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numbering.xml" ContentType="application/vnd.openxmlformats-officedocument.wordprocessingml.numbering+xml"/>
  <Override PartName="/customXml/itemProps3.xml" ContentType="application/vnd.openxmlformats-officedocument.customXmlProperties+xml"/>
  <Override PartName="/word/styles.xml" ContentType="application/vnd.openxmlformats-officedocument.wordprocessingml.styl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Look w:val="04A0" w:firstRow="1" w:lastRow="0" w:firstColumn="1" w:lastColumn="0" w:noHBand="0" w:noVBand="1"/>
      </w:tblPr>
      <w:tblGrid>
        <w:gridCol w:w="9061"/>
      </w:tblGrid>
      <w:tr w:rsidR="007A42AD" w:rsidRPr="007A42AD" w14:paraId="31674208" w14:textId="77777777" w:rsidTr="007A42AD">
        <w:tc>
          <w:tcPr>
            <w:tcW w:w="9061" w:type="dxa"/>
          </w:tcPr>
          <w:p w14:paraId="733FB0B2" w14:textId="77777777" w:rsidR="007A42AD" w:rsidRPr="0095095C" w:rsidRDefault="007A42AD" w:rsidP="007A42AD">
            <w:pPr>
              <w:spacing w:line="240" w:lineRule="auto"/>
              <w:rPr>
                <w:szCs w:val="22"/>
              </w:rPr>
            </w:pPr>
            <w:r w:rsidRPr="0095095C">
              <w:rPr>
                <w:szCs w:val="22"/>
              </w:rPr>
              <w:t xml:space="preserve">Prezentul document conține informațiile aprobate referitoare la produs pentru </w:t>
            </w:r>
            <w:r>
              <w:rPr>
                <w:szCs w:val="22"/>
                <w:lang w:val="fr-FR"/>
              </w:rPr>
              <w:t>Amgevita</w:t>
            </w:r>
            <w:r w:rsidRPr="0095095C">
              <w:rPr>
                <w:szCs w:val="22"/>
              </w:rPr>
              <w:t xml:space="preserve">, cu evidențierea modificărilor aduse de la procedura anterioară care au afectat informațiile referitoare la produs </w:t>
            </w:r>
            <w:r w:rsidRPr="000D27BB">
              <w:rPr>
                <w:szCs w:val="22"/>
                <w:lang w:val="da-DK"/>
              </w:rPr>
              <w:t>(EMA/N/0000248712)</w:t>
            </w:r>
            <w:r w:rsidRPr="0095095C">
              <w:rPr>
                <w:szCs w:val="22"/>
              </w:rPr>
              <w:t>.</w:t>
            </w:r>
          </w:p>
          <w:p w14:paraId="6D6A91C6" w14:textId="77777777" w:rsidR="007A42AD" w:rsidRPr="0095095C" w:rsidRDefault="007A42AD" w:rsidP="007A42AD">
            <w:pPr>
              <w:spacing w:line="240" w:lineRule="auto"/>
              <w:rPr>
                <w:szCs w:val="22"/>
              </w:rPr>
            </w:pPr>
          </w:p>
          <w:p w14:paraId="5A275150" w14:textId="2C675589" w:rsidR="007A42AD" w:rsidRPr="007A42AD" w:rsidRDefault="007A42AD" w:rsidP="007A42AD">
            <w:pPr>
              <w:spacing w:line="240" w:lineRule="auto"/>
              <w:outlineLvl w:val="0"/>
              <w:rPr>
                <w:rFonts w:eastAsia="SimSun"/>
                <w:lang w:val="nb-NO" w:eastAsia="zh-CN"/>
              </w:rPr>
            </w:pPr>
            <w:r w:rsidRPr="0095095C">
              <w:rPr>
                <w:szCs w:val="22"/>
              </w:rPr>
              <w:t xml:space="preserve">Mai multe informații se pot găsi pe site-ul Agenției Europene pentru Medicamente: </w:t>
            </w:r>
            <w:hyperlink r:id="rId10" w:history="1">
              <w:r w:rsidRPr="000D27BB">
                <w:rPr>
                  <w:rStyle w:val="Hyperlink"/>
                  <w:szCs w:val="22"/>
                  <w:lang w:val="cs-CZ"/>
                </w:rPr>
                <w:t>https://www.ema.europa.eu/en/medicines/human/EPAR/amgevita</w:t>
              </w:r>
            </w:hyperlink>
          </w:p>
        </w:tc>
      </w:tr>
    </w:tbl>
    <w:p w14:paraId="47979828" w14:textId="77777777" w:rsidR="00C04CAD" w:rsidRPr="007A42AD" w:rsidRDefault="00C04CAD">
      <w:pPr>
        <w:spacing w:line="240" w:lineRule="auto"/>
        <w:outlineLvl w:val="0"/>
        <w:rPr>
          <w:rFonts w:eastAsia="SimSun"/>
          <w:lang w:val="nb-NO" w:eastAsia="zh-CN"/>
        </w:rPr>
      </w:pPr>
    </w:p>
    <w:p w14:paraId="1DB515C4" w14:textId="77777777" w:rsidR="00C04CAD" w:rsidRDefault="00C04CAD">
      <w:pPr>
        <w:spacing w:line="240" w:lineRule="auto"/>
        <w:outlineLvl w:val="0"/>
        <w:rPr>
          <w:b/>
        </w:rPr>
      </w:pPr>
    </w:p>
    <w:p w14:paraId="4710D4DF" w14:textId="77777777" w:rsidR="00C04CAD" w:rsidRDefault="00C04CAD">
      <w:pPr>
        <w:spacing w:line="240" w:lineRule="auto"/>
        <w:outlineLvl w:val="0"/>
        <w:rPr>
          <w:b/>
        </w:rPr>
      </w:pPr>
    </w:p>
    <w:p w14:paraId="6BC35297" w14:textId="77777777" w:rsidR="00C04CAD" w:rsidRDefault="00C04CAD">
      <w:pPr>
        <w:spacing w:line="240" w:lineRule="auto"/>
        <w:outlineLvl w:val="0"/>
        <w:rPr>
          <w:b/>
        </w:rPr>
      </w:pPr>
    </w:p>
    <w:p w14:paraId="3F44540E" w14:textId="77777777" w:rsidR="00C04CAD" w:rsidRDefault="00C04CAD">
      <w:pPr>
        <w:spacing w:line="240" w:lineRule="auto"/>
        <w:outlineLvl w:val="0"/>
        <w:rPr>
          <w:b/>
        </w:rPr>
      </w:pPr>
    </w:p>
    <w:p w14:paraId="3B5977D3" w14:textId="77777777" w:rsidR="00C04CAD" w:rsidRDefault="00C04CAD">
      <w:pPr>
        <w:spacing w:line="240" w:lineRule="auto"/>
        <w:outlineLvl w:val="0"/>
        <w:rPr>
          <w:b/>
        </w:rPr>
      </w:pPr>
    </w:p>
    <w:p w14:paraId="7256B237" w14:textId="77777777" w:rsidR="00C04CAD" w:rsidRDefault="00C04CAD">
      <w:pPr>
        <w:spacing w:line="240" w:lineRule="auto"/>
        <w:outlineLvl w:val="0"/>
        <w:rPr>
          <w:b/>
        </w:rPr>
      </w:pPr>
    </w:p>
    <w:p w14:paraId="02FFDCA6" w14:textId="77777777" w:rsidR="00C04CAD" w:rsidRDefault="00C04CAD">
      <w:pPr>
        <w:spacing w:line="240" w:lineRule="auto"/>
        <w:outlineLvl w:val="0"/>
        <w:rPr>
          <w:b/>
        </w:rPr>
      </w:pPr>
    </w:p>
    <w:p w14:paraId="2CC078BD" w14:textId="77777777" w:rsidR="00C04CAD" w:rsidRDefault="00C04CAD">
      <w:pPr>
        <w:spacing w:line="240" w:lineRule="auto"/>
        <w:outlineLvl w:val="0"/>
        <w:rPr>
          <w:b/>
        </w:rPr>
      </w:pPr>
    </w:p>
    <w:p w14:paraId="7D365AF1" w14:textId="77777777" w:rsidR="00C04CAD" w:rsidRDefault="00C04CAD">
      <w:pPr>
        <w:spacing w:line="240" w:lineRule="auto"/>
        <w:outlineLvl w:val="0"/>
        <w:rPr>
          <w:b/>
        </w:rPr>
      </w:pPr>
    </w:p>
    <w:p w14:paraId="294BCD0F" w14:textId="77777777" w:rsidR="00C04CAD" w:rsidRDefault="00C04CAD">
      <w:pPr>
        <w:spacing w:line="240" w:lineRule="auto"/>
        <w:outlineLvl w:val="0"/>
        <w:rPr>
          <w:b/>
        </w:rPr>
      </w:pPr>
    </w:p>
    <w:p w14:paraId="5C067584" w14:textId="77777777" w:rsidR="00C04CAD" w:rsidRDefault="00C04CAD">
      <w:pPr>
        <w:spacing w:line="240" w:lineRule="auto"/>
        <w:outlineLvl w:val="0"/>
        <w:rPr>
          <w:b/>
        </w:rPr>
      </w:pPr>
    </w:p>
    <w:p w14:paraId="7ED72436" w14:textId="77777777" w:rsidR="00C04CAD" w:rsidRDefault="00C04CAD">
      <w:pPr>
        <w:spacing w:line="240" w:lineRule="auto"/>
        <w:outlineLvl w:val="0"/>
        <w:rPr>
          <w:b/>
        </w:rPr>
      </w:pPr>
    </w:p>
    <w:p w14:paraId="1E9534F7" w14:textId="77777777" w:rsidR="00C04CAD" w:rsidRDefault="00C04CAD">
      <w:pPr>
        <w:spacing w:line="240" w:lineRule="auto"/>
        <w:outlineLvl w:val="0"/>
        <w:rPr>
          <w:b/>
        </w:rPr>
      </w:pPr>
    </w:p>
    <w:p w14:paraId="5D1D9942" w14:textId="77777777" w:rsidR="00C04CAD" w:rsidRDefault="00C04CAD">
      <w:pPr>
        <w:spacing w:line="240" w:lineRule="auto"/>
        <w:outlineLvl w:val="0"/>
        <w:rPr>
          <w:b/>
        </w:rPr>
      </w:pPr>
    </w:p>
    <w:p w14:paraId="538D554A" w14:textId="77777777" w:rsidR="00C04CAD" w:rsidRDefault="00C04CAD">
      <w:pPr>
        <w:spacing w:line="240" w:lineRule="auto"/>
        <w:outlineLvl w:val="0"/>
        <w:rPr>
          <w:b/>
        </w:rPr>
      </w:pPr>
    </w:p>
    <w:p w14:paraId="700DC954" w14:textId="77777777" w:rsidR="00C04CAD" w:rsidRDefault="00C04CAD">
      <w:pPr>
        <w:spacing w:line="240" w:lineRule="auto"/>
        <w:outlineLvl w:val="0"/>
        <w:rPr>
          <w:b/>
        </w:rPr>
      </w:pPr>
    </w:p>
    <w:p w14:paraId="5BBC7886" w14:textId="77777777" w:rsidR="00C04CAD" w:rsidRDefault="00060E34">
      <w:pPr>
        <w:spacing w:line="240" w:lineRule="auto"/>
        <w:jc w:val="center"/>
        <w:outlineLvl w:val="0"/>
      </w:pPr>
      <w:r>
        <w:rPr>
          <w:b/>
        </w:rPr>
        <w:t>ANEXA I</w:t>
      </w:r>
    </w:p>
    <w:p w14:paraId="6868853E" w14:textId="77777777" w:rsidR="00C04CAD" w:rsidRDefault="00C04CAD">
      <w:pPr>
        <w:spacing w:line="240" w:lineRule="auto"/>
        <w:jc w:val="center"/>
        <w:outlineLvl w:val="0"/>
      </w:pPr>
    </w:p>
    <w:p w14:paraId="0CCC9031" w14:textId="77777777" w:rsidR="00C04CAD" w:rsidRDefault="00060E34">
      <w:pPr>
        <w:pStyle w:val="TitleA"/>
        <w:widowControl/>
        <w:rPr>
          <w:lang w:val="ro-RO"/>
        </w:rPr>
      </w:pPr>
      <w:r>
        <w:rPr>
          <w:lang w:val="ro-RO"/>
        </w:rPr>
        <w:t>REZUMATUL CARACTERISTICILOR PRODUSULUI</w:t>
      </w:r>
    </w:p>
    <w:p w14:paraId="1EC45429" w14:textId="77777777" w:rsidR="00C04CAD" w:rsidRDefault="00060E34">
      <w:pPr>
        <w:spacing w:line="240" w:lineRule="auto"/>
        <w:rPr>
          <w:szCs w:val="22"/>
        </w:rPr>
      </w:pPr>
      <w:r>
        <w:br w:type="page"/>
      </w:r>
    </w:p>
    <w:p w14:paraId="6CDD70C0" w14:textId="77777777" w:rsidR="00C04CAD" w:rsidRDefault="00C04CAD">
      <w:pPr>
        <w:spacing w:line="240" w:lineRule="auto"/>
        <w:rPr>
          <w:szCs w:val="22"/>
        </w:rPr>
      </w:pPr>
    </w:p>
    <w:p w14:paraId="063B5703" w14:textId="77777777" w:rsidR="00C04CAD" w:rsidRDefault="00060E34">
      <w:pPr>
        <w:keepNext/>
        <w:numPr>
          <w:ilvl w:val="0"/>
          <w:numId w:val="7"/>
        </w:numPr>
        <w:suppressAutoHyphens/>
        <w:spacing w:line="240" w:lineRule="auto"/>
        <w:ind w:left="567" w:hanging="567"/>
        <w:rPr>
          <w:szCs w:val="22"/>
        </w:rPr>
      </w:pPr>
      <w:r>
        <w:rPr>
          <w:b/>
          <w:szCs w:val="22"/>
        </w:rPr>
        <w:t>DENUMIREA COMERCIALĂ A MEDICAMENTULUI</w:t>
      </w:r>
    </w:p>
    <w:p w14:paraId="2D85B8E0" w14:textId="77777777" w:rsidR="00C04CAD" w:rsidRDefault="00C04CAD">
      <w:pPr>
        <w:keepNext/>
        <w:spacing w:line="240" w:lineRule="auto"/>
        <w:rPr>
          <w:iCs/>
          <w:szCs w:val="22"/>
        </w:rPr>
      </w:pPr>
    </w:p>
    <w:p w14:paraId="7E123859"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20 mg soluţie injectabilă în seringă preumplută.</w:t>
      </w:r>
    </w:p>
    <w:p w14:paraId="1C089968" w14:textId="77777777" w:rsidR="00C04CAD" w:rsidRDefault="00060E34">
      <w:pPr>
        <w:tabs>
          <w:tab w:val="clear" w:pos="567"/>
        </w:tabs>
        <w:kinsoku w:val="0"/>
        <w:overflowPunct w:val="0"/>
        <w:autoSpaceDE w:val="0"/>
        <w:autoSpaceDN w:val="0"/>
        <w:adjustRightInd w:val="0"/>
        <w:spacing w:line="240" w:lineRule="auto"/>
        <w:rPr>
          <w:szCs w:val="22"/>
        </w:rPr>
      </w:pPr>
      <w:r>
        <w:t>AMGEVITA</w:t>
      </w:r>
      <w:r>
        <w:rPr>
          <w:szCs w:val="22"/>
        </w:rPr>
        <w:t xml:space="preserve"> 40 mg soluţie injectabilă în seringă preumplută.</w:t>
      </w:r>
    </w:p>
    <w:p w14:paraId="10F1F3FD"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40 mg soluţie injectabilă în pen preumplut.</w:t>
      </w:r>
    </w:p>
    <w:p w14:paraId="2D29F625" w14:textId="77777777" w:rsidR="00C04CAD" w:rsidRDefault="00C04CAD">
      <w:pPr>
        <w:spacing w:line="240" w:lineRule="auto"/>
        <w:rPr>
          <w:szCs w:val="22"/>
        </w:rPr>
      </w:pPr>
    </w:p>
    <w:p w14:paraId="3DD4BCFD" w14:textId="77777777" w:rsidR="00C04CAD" w:rsidRDefault="00C04CAD">
      <w:pPr>
        <w:spacing w:line="240" w:lineRule="auto"/>
        <w:rPr>
          <w:iCs/>
          <w:szCs w:val="22"/>
        </w:rPr>
      </w:pPr>
    </w:p>
    <w:p w14:paraId="2562FDB2" w14:textId="77777777" w:rsidR="00C04CAD" w:rsidRDefault="00060E34">
      <w:pPr>
        <w:keepNext/>
        <w:numPr>
          <w:ilvl w:val="0"/>
          <w:numId w:val="7"/>
        </w:numPr>
        <w:suppressAutoHyphens/>
        <w:spacing w:line="240" w:lineRule="auto"/>
        <w:ind w:left="567" w:hanging="567"/>
        <w:rPr>
          <w:szCs w:val="22"/>
        </w:rPr>
      </w:pPr>
      <w:r>
        <w:rPr>
          <w:b/>
          <w:szCs w:val="22"/>
        </w:rPr>
        <w:t>COMPOZIȚIA CALITATIVĂ ȘI CANTITATIVĂ</w:t>
      </w:r>
    </w:p>
    <w:p w14:paraId="61AB4996" w14:textId="77777777" w:rsidR="00C04CAD" w:rsidRDefault="00C04CAD">
      <w:pPr>
        <w:keepNext/>
        <w:spacing w:line="240" w:lineRule="auto"/>
        <w:rPr>
          <w:szCs w:val="22"/>
        </w:rPr>
      </w:pPr>
    </w:p>
    <w:p w14:paraId="0332FAFA" w14:textId="77777777" w:rsidR="00C04CAD" w:rsidRDefault="00060E34">
      <w:pPr>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20 mg soluţie injectabilă în seringă preumplută</w:t>
      </w:r>
    </w:p>
    <w:p w14:paraId="55D3097C" w14:textId="77777777" w:rsidR="00C04CAD" w:rsidRDefault="00C04CAD">
      <w:pPr>
        <w:tabs>
          <w:tab w:val="clear" w:pos="567"/>
        </w:tabs>
        <w:kinsoku w:val="0"/>
        <w:overflowPunct w:val="0"/>
        <w:autoSpaceDE w:val="0"/>
        <w:autoSpaceDN w:val="0"/>
        <w:adjustRightInd w:val="0"/>
        <w:spacing w:line="240" w:lineRule="auto"/>
        <w:rPr>
          <w:rFonts w:eastAsia="MS Mincho"/>
          <w:szCs w:val="22"/>
          <w:u w:val="single"/>
          <w:lang w:eastAsia="en-US" w:bidi="ar-SA"/>
        </w:rPr>
      </w:pPr>
    </w:p>
    <w:p w14:paraId="1C1FAA86" w14:textId="77777777" w:rsidR="00C04CAD" w:rsidRDefault="00060E34">
      <w:pPr>
        <w:spacing w:line="240" w:lineRule="auto"/>
        <w:rPr>
          <w:szCs w:val="22"/>
        </w:rPr>
      </w:pPr>
      <w:r>
        <w:rPr>
          <w:szCs w:val="22"/>
        </w:rPr>
        <w:t xml:space="preserve">Fiecare seringă preumplută conţine adalimumab </w:t>
      </w:r>
      <w:r>
        <w:rPr>
          <w:rFonts w:eastAsia="MS Mincho"/>
          <w:szCs w:val="22"/>
          <w:lang w:eastAsia="en-US" w:bidi="ar-SA"/>
        </w:rPr>
        <w:t>20 mg în 0,4 ml soluţie (</w:t>
      </w:r>
      <w:r>
        <w:rPr>
          <w:rFonts w:eastAsia="MS Mincho"/>
          <w:szCs w:val="22"/>
          <w:lang w:eastAsia="en-GB" w:bidi="ar-SA"/>
        </w:rPr>
        <w:t>50 mg/ml)</w:t>
      </w:r>
      <w:r>
        <w:rPr>
          <w:rFonts w:eastAsia="MS Mincho"/>
          <w:szCs w:val="22"/>
          <w:lang w:eastAsia="en-US" w:bidi="ar-SA"/>
        </w:rPr>
        <w:t>.</w:t>
      </w:r>
    </w:p>
    <w:p w14:paraId="05DDA44F" w14:textId="77777777" w:rsidR="00C04CAD" w:rsidRDefault="00C04CAD">
      <w:pPr>
        <w:spacing w:line="240" w:lineRule="auto"/>
        <w:rPr>
          <w:rFonts w:eastAsia="MS Mincho"/>
          <w:szCs w:val="22"/>
          <w:lang w:eastAsia="en-US" w:bidi="ar-SA"/>
        </w:rPr>
      </w:pPr>
    </w:p>
    <w:p w14:paraId="22F52512" w14:textId="77777777" w:rsidR="00C04CAD" w:rsidRDefault="00060E34">
      <w:pPr>
        <w:kinsoku w:val="0"/>
        <w:overflowPunct w:val="0"/>
        <w:spacing w:line="240" w:lineRule="auto"/>
        <w:rPr>
          <w:szCs w:val="22"/>
          <w:u w:val="single"/>
        </w:rPr>
      </w:pPr>
      <w:r>
        <w:rPr>
          <w:szCs w:val="22"/>
          <w:u w:val="single"/>
        </w:rPr>
        <w:t>AMGEVITA 40 mg soluţie injectabilă în seringă preumplută</w:t>
      </w:r>
    </w:p>
    <w:p w14:paraId="319BEA1F" w14:textId="77777777" w:rsidR="00C04CAD" w:rsidRDefault="00C04CAD">
      <w:pPr>
        <w:kinsoku w:val="0"/>
        <w:overflowPunct w:val="0"/>
        <w:spacing w:line="240" w:lineRule="auto"/>
        <w:rPr>
          <w:szCs w:val="22"/>
          <w:u w:val="single"/>
        </w:rPr>
      </w:pPr>
    </w:p>
    <w:p w14:paraId="45718526" w14:textId="77777777" w:rsidR="00C04CAD" w:rsidRDefault="00060E34">
      <w:pPr>
        <w:kinsoku w:val="0"/>
        <w:overflowPunct w:val="0"/>
        <w:spacing w:line="240" w:lineRule="auto"/>
        <w:rPr>
          <w:szCs w:val="22"/>
        </w:rPr>
      </w:pPr>
      <w:r>
        <w:rPr>
          <w:szCs w:val="22"/>
        </w:rPr>
        <w:t>Fiecare seringă preumplută conţine adalimumab 40 mg în 0,8 ml soluţie (</w:t>
      </w:r>
      <w:r>
        <w:rPr>
          <w:szCs w:val="22"/>
          <w:lang w:eastAsia="en-GB"/>
        </w:rPr>
        <w:t>50 mg/ml)</w:t>
      </w:r>
      <w:r>
        <w:rPr>
          <w:szCs w:val="22"/>
        </w:rPr>
        <w:t>.</w:t>
      </w:r>
    </w:p>
    <w:p w14:paraId="2F0DCD23" w14:textId="77777777" w:rsidR="00C04CAD" w:rsidRDefault="00C04CAD">
      <w:pPr>
        <w:kinsoku w:val="0"/>
        <w:overflowPunct w:val="0"/>
        <w:spacing w:line="240" w:lineRule="auto"/>
        <w:rPr>
          <w:szCs w:val="22"/>
        </w:rPr>
      </w:pPr>
    </w:p>
    <w:p w14:paraId="3F837262" w14:textId="77777777" w:rsidR="00C04CAD" w:rsidRDefault="00060E34">
      <w:pPr>
        <w:pStyle w:val="BodyText"/>
        <w:kinsoku w:val="0"/>
        <w:overflowPunct w:val="0"/>
        <w:rPr>
          <w:i w:val="0"/>
          <w:color w:val="auto"/>
          <w:szCs w:val="22"/>
          <w:u w:val="single"/>
        </w:rPr>
      </w:pPr>
      <w:r>
        <w:rPr>
          <w:i w:val="0"/>
          <w:color w:val="auto"/>
          <w:szCs w:val="22"/>
          <w:u w:val="single"/>
        </w:rPr>
        <w:t>AMGEVITA 40 mg soluţie injectabilă în pen preumplut</w:t>
      </w:r>
    </w:p>
    <w:p w14:paraId="30C7FC0F" w14:textId="77777777" w:rsidR="00C04CAD" w:rsidRDefault="00C04CAD">
      <w:pPr>
        <w:pStyle w:val="BodyText"/>
        <w:kinsoku w:val="0"/>
        <w:overflowPunct w:val="0"/>
        <w:rPr>
          <w:i w:val="0"/>
          <w:color w:val="auto"/>
          <w:szCs w:val="22"/>
          <w:u w:val="single"/>
        </w:rPr>
      </w:pPr>
    </w:p>
    <w:p w14:paraId="031D98DB" w14:textId="77777777" w:rsidR="00C04CAD" w:rsidRDefault="00060E34">
      <w:pPr>
        <w:kinsoku w:val="0"/>
        <w:overflowPunct w:val="0"/>
        <w:spacing w:line="240" w:lineRule="auto"/>
        <w:rPr>
          <w:szCs w:val="22"/>
        </w:rPr>
      </w:pPr>
      <w:r>
        <w:rPr>
          <w:szCs w:val="22"/>
        </w:rPr>
        <w:t>Fiecare pen preumplut conţine adalimumab 40 mg în 0,8 ml soluţie (</w:t>
      </w:r>
      <w:r>
        <w:rPr>
          <w:szCs w:val="22"/>
          <w:lang w:eastAsia="en-GB"/>
        </w:rPr>
        <w:t>50 mg/ml)</w:t>
      </w:r>
      <w:r>
        <w:rPr>
          <w:szCs w:val="22"/>
        </w:rPr>
        <w:t>.</w:t>
      </w:r>
    </w:p>
    <w:p w14:paraId="217DAF06" w14:textId="77777777" w:rsidR="00C04CAD" w:rsidRDefault="00C04CAD">
      <w:pPr>
        <w:kinsoku w:val="0"/>
        <w:overflowPunct w:val="0"/>
        <w:spacing w:line="240" w:lineRule="auto"/>
        <w:rPr>
          <w:szCs w:val="22"/>
        </w:rPr>
      </w:pPr>
    </w:p>
    <w:p w14:paraId="6DB04C20" w14:textId="77777777" w:rsidR="00C04CAD" w:rsidRDefault="00060E34">
      <w:pPr>
        <w:pStyle w:val="BodyText"/>
        <w:kinsoku w:val="0"/>
        <w:overflowPunct w:val="0"/>
        <w:rPr>
          <w:i w:val="0"/>
          <w:color w:val="auto"/>
          <w:szCs w:val="22"/>
        </w:rPr>
      </w:pPr>
      <w:r>
        <w:rPr>
          <w:i w:val="0"/>
          <w:color w:val="auto"/>
          <w:szCs w:val="22"/>
        </w:rPr>
        <w:t>Adalimumab este un anticorp monoclonal uman recombinant produs pe celulele ovariene de hamster chinezesc.</w:t>
      </w:r>
    </w:p>
    <w:p w14:paraId="1F655B64" w14:textId="77777777" w:rsidR="00C04CAD" w:rsidRDefault="00C04CAD">
      <w:pPr>
        <w:kinsoku w:val="0"/>
        <w:overflowPunct w:val="0"/>
        <w:spacing w:line="240" w:lineRule="auto"/>
        <w:rPr>
          <w:i/>
          <w:szCs w:val="22"/>
        </w:rPr>
      </w:pPr>
    </w:p>
    <w:p w14:paraId="0E6FD73C" w14:textId="77777777" w:rsidR="00C04CAD" w:rsidRDefault="00060E34">
      <w:pPr>
        <w:pStyle w:val="BodyText"/>
        <w:kinsoku w:val="0"/>
        <w:overflowPunct w:val="0"/>
        <w:rPr>
          <w:color w:val="auto"/>
          <w:szCs w:val="22"/>
        </w:rPr>
      </w:pPr>
      <w:r>
        <w:rPr>
          <w:i w:val="0"/>
          <w:color w:val="auto"/>
          <w:szCs w:val="22"/>
        </w:rPr>
        <w:t>Pentru lista tuturor excipienţilor, vezi pct. 6.1</w:t>
      </w:r>
      <w:r>
        <w:rPr>
          <w:color w:val="auto"/>
          <w:szCs w:val="22"/>
        </w:rPr>
        <w:t>.</w:t>
      </w:r>
    </w:p>
    <w:p w14:paraId="73A0CC58" w14:textId="77777777" w:rsidR="00C04CAD" w:rsidRDefault="00C04CAD">
      <w:pPr>
        <w:spacing w:line="240" w:lineRule="auto"/>
        <w:rPr>
          <w:szCs w:val="22"/>
        </w:rPr>
      </w:pPr>
    </w:p>
    <w:p w14:paraId="7ACC4AF8" w14:textId="77777777" w:rsidR="00C04CAD" w:rsidRDefault="00C04CAD">
      <w:pPr>
        <w:spacing w:line="240" w:lineRule="auto"/>
        <w:rPr>
          <w:szCs w:val="22"/>
        </w:rPr>
      </w:pPr>
    </w:p>
    <w:p w14:paraId="0A6507CE" w14:textId="77777777" w:rsidR="00C04CAD" w:rsidRDefault="00060E34">
      <w:pPr>
        <w:keepNext/>
        <w:numPr>
          <w:ilvl w:val="0"/>
          <w:numId w:val="7"/>
        </w:numPr>
        <w:suppressAutoHyphens/>
        <w:spacing w:line="240" w:lineRule="auto"/>
        <w:ind w:left="567" w:hanging="567"/>
        <w:rPr>
          <w:b/>
          <w:bCs/>
          <w:caps/>
          <w:szCs w:val="22"/>
        </w:rPr>
      </w:pPr>
      <w:r>
        <w:rPr>
          <w:b/>
          <w:szCs w:val="22"/>
        </w:rPr>
        <w:t>FORMA FARMACEUTICĂ</w:t>
      </w:r>
    </w:p>
    <w:p w14:paraId="60E9191D" w14:textId="77777777" w:rsidR="00C04CAD" w:rsidRDefault="00C04CAD">
      <w:pPr>
        <w:keepNext/>
        <w:spacing w:line="240" w:lineRule="auto"/>
        <w:rPr>
          <w:szCs w:val="22"/>
        </w:rPr>
      </w:pPr>
    </w:p>
    <w:p w14:paraId="69755EF9" w14:textId="77777777" w:rsidR="00C04CAD" w:rsidRDefault="00060E34">
      <w:pPr>
        <w:pStyle w:val="BodyText"/>
        <w:kinsoku w:val="0"/>
        <w:overflowPunct w:val="0"/>
        <w:rPr>
          <w:i w:val="0"/>
          <w:color w:val="auto"/>
          <w:szCs w:val="22"/>
        </w:rPr>
      </w:pPr>
      <w:r>
        <w:rPr>
          <w:rFonts w:eastAsia="MS Mincho"/>
          <w:i w:val="0"/>
          <w:color w:val="auto"/>
          <w:szCs w:val="22"/>
          <w:lang w:eastAsia="en-US" w:bidi="ar-SA"/>
        </w:rPr>
        <w:t>Soluţie injectabilă (injec</w:t>
      </w:r>
      <w:r>
        <w:rPr>
          <w:i w:val="0"/>
          <w:color w:val="auto"/>
          <w:szCs w:val="22"/>
        </w:rPr>
        <w:t>ție).</w:t>
      </w:r>
    </w:p>
    <w:p w14:paraId="56C976CF" w14:textId="77777777" w:rsidR="00C04CAD" w:rsidRDefault="00C04CAD">
      <w:pPr>
        <w:pStyle w:val="BodyText"/>
        <w:kinsoku w:val="0"/>
        <w:overflowPunct w:val="0"/>
        <w:rPr>
          <w:i w:val="0"/>
          <w:color w:val="auto"/>
          <w:szCs w:val="22"/>
        </w:rPr>
      </w:pPr>
    </w:p>
    <w:p w14:paraId="09DFC2D0" w14:textId="77777777" w:rsidR="00C04CAD" w:rsidRDefault="00060E34">
      <w:pPr>
        <w:pStyle w:val="BodyText"/>
        <w:kinsoku w:val="0"/>
        <w:overflowPunct w:val="0"/>
        <w:rPr>
          <w:i w:val="0"/>
          <w:color w:val="auto"/>
          <w:szCs w:val="22"/>
        </w:rPr>
      </w:pPr>
      <w:r>
        <w:rPr>
          <w:i w:val="0"/>
          <w:color w:val="auto"/>
          <w:szCs w:val="22"/>
        </w:rPr>
        <w:t>Soluţie injectabilă (injecţie) în pen preumplut (SureClick)</w:t>
      </w:r>
    </w:p>
    <w:p w14:paraId="68415058" w14:textId="77777777" w:rsidR="00C04CAD" w:rsidRDefault="00C04CAD">
      <w:pPr>
        <w:pStyle w:val="BodyText"/>
        <w:kinsoku w:val="0"/>
        <w:overflowPunct w:val="0"/>
        <w:rPr>
          <w:i w:val="0"/>
          <w:color w:val="auto"/>
          <w:szCs w:val="22"/>
        </w:rPr>
      </w:pPr>
    </w:p>
    <w:p w14:paraId="2CB4354F" w14:textId="77777777" w:rsidR="00C04CAD" w:rsidRDefault="00060E34">
      <w:pPr>
        <w:spacing w:line="240" w:lineRule="auto"/>
        <w:rPr>
          <w:szCs w:val="22"/>
        </w:rPr>
      </w:pPr>
      <w:r>
        <w:rPr>
          <w:szCs w:val="22"/>
        </w:rPr>
        <w:t>Soluţie limpede şi incoloră până la uşor gălbuie.</w:t>
      </w:r>
    </w:p>
    <w:p w14:paraId="186DDC69" w14:textId="77777777" w:rsidR="00C04CAD" w:rsidRDefault="00C04CAD">
      <w:pPr>
        <w:spacing w:line="240" w:lineRule="auto"/>
        <w:rPr>
          <w:szCs w:val="22"/>
        </w:rPr>
      </w:pPr>
    </w:p>
    <w:p w14:paraId="49AD7146" w14:textId="77777777" w:rsidR="00C04CAD" w:rsidRDefault="00C04CAD">
      <w:pPr>
        <w:spacing w:line="240" w:lineRule="auto"/>
        <w:rPr>
          <w:szCs w:val="22"/>
        </w:rPr>
      </w:pPr>
    </w:p>
    <w:p w14:paraId="1DDF6F10" w14:textId="77777777" w:rsidR="00C04CAD" w:rsidRDefault="00060E34">
      <w:pPr>
        <w:keepNext/>
        <w:numPr>
          <w:ilvl w:val="0"/>
          <w:numId w:val="7"/>
        </w:numPr>
        <w:suppressAutoHyphens/>
        <w:spacing w:line="240" w:lineRule="auto"/>
        <w:ind w:left="567" w:hanging="567"/>
        <w:rPr>
          <w:b/>
          <w:bCs/>
          <w:caps/>
          <w:szCs w:val="22"/>
        </w:rPr>
      </w:pPr>
      <w:r>
        <w:rPr>
          <w:b/>
          <w:szCs w:val="22"/>
        </w:rPr>
        <w:t>DATE CLINICE</w:t>
      </w:r>
    </w:p>
    <w:p w14:paraId="1FB46A1E" w14:textId="77777777" w:rsidR="00C04CAD" w:rsidRDefault="00C04CAD">
      <w:pPr>
        <w:keepNext/>
        <w:spacing w:line="240" w:lineRule="auto"/>
        <w:rPr>
          <w:szCs w:val="22"/>
        </w:rPr>
      </w:pPr>
    </w:p>
    <w:p w14:paraId="6757C84E" w14:textId="77777777" w:rsidR="00C04CAD" w:rsidRDefault="00060E34">
      <w:pPr>
        <w:keepNext/>
        <w:numPr>
          <w:ilvl w:val="1"/>
          <w:numId w:val="7"/>
        </w:numPr>
        <w:spacing w:line="240" w:lineRule="auto"/>
        <w:outlineLvl w:val="0"/>
        <w:rPr>
          <w:szCs w:val="22"/>
        </w:rPr>
      </w:pPr>
      <w:r>
        <w:rPr>
          <w:b/>
          <w:szCs w:val="22"/>
        </w:rPr>
        <w:t>Indicații terapeutice</w:t>
      </w:r>
    </w:p>
    <w:p w14:paraId="2DAC3626" w14:textId="77777777" w:rsidR="00C04CAD" w:rsidRDefault="00C04CAD">
      <w:pPr>
        <w:keepNext/>
        <w:spacing w:line="240" w:lineRule="auto"/>
        <w:rPr>
          <w:szCs w:val="22"/>
        </w:rPr>
      </w:pPr>
    </w:p>
    <w:p w14:paraId="42A6132A" w14:textId="77777777" w:rsidR="00C04CAD" w:rsidRDefault="00060E34">
      <w:pPr>
        <w:pStyle w:val="BodyText"/>
        <w:kinsoku w:val="0"/>
        <w:overflowPunct w:val="0"/>
        <w:rPr>
          <w:i w:val="0"/>
          <w:color w:val="auto"/>
          <w:szCs w:val="22"/>
          <w:u w:val="single"/>
        </w:rPr>
      </w:pPr>
      <w:r>
        <w:rPr>
          <w:i w:val="0"/>
          <w:color w:val="auto"/>
          <w:szCs w:val="22"/>
          <w:u w:val="single"/>
        </w:rPr>
        <w:t>Poliartrită reumatoidă</w:t>
      </w:r>
    </w:p>
    <w:p w14:paraId="783A1768" w14:textId="77777777" w:rsidR="00C04CAD" w:rsidRDefault="00C04CAD">
      <w:pPr>
        <w:kinsoku w:val="0"/>
        <w:overflowPunct w:val="0"/>
        <w:spacing w:line="240" w:lineRule="auto"/>
        <w:rPr>
          <w:szCs w:val="22"/>
        </w:rPr>
      </w:pPr>
    </w:p>
    <w:p w14:paraId="67A0F939" w14:textId="77777777" w:rsidR="00C04CAD" w:rsidRDefault="00060E34">
      <w:pPr>
        <w:pStyle w:val="BodyText"/>
        <w:kinsoku w:val="0"/>
        <w:overflowPunct w:val="0"/>
        <w:rPr>
          <w:i w:val="0"/>
          <w:color w:val="auto"/>
          <w:szCs w:val="22"/>
        </w:rPr>
      </w:pPr>
      <w:r>
        <w:rPr>
          <w:i w:val="0"/>
          <w:color w:val="auto"/>
          <w:szCs w:val="22"/>
        </w:rPr>
        <w:t>AMGEVITA în asociere cu metotrexat este indicat în:</w:t>
      </w:r>
    </w:p>
    <w:p w14:paraId="2585F712" w14:textId="77777777" w:rsidR="00C04CAD" w:rsidRDefault="00060E34">
      <w:pPr>
        <w:pStyle w:val="BodyText"/>
        <w:numPr>
          <w:ilvl w:val="0"/>
          <w:numId w:val="8"/>
        </w:numPr>
        <w:tabs>
          <w:tab w:val="left" w:pos="567"/>
        </w:tabs>
        <w:kinsoku w:val="0"/>
        <w:overflowPunct w:val="0"/>
        <w:autoSpaceDE w:val="0"/>
        <w:autoSpaceDN w:val="0"/>
        <w:adjustRightInd w:val="0"/>
        <w:ind w:left="567"/>
        <w:rPr>
          <w:i w:val="0"/>
          <w:color w:val="auto"/>
          <w:szCs w:val="22"/>
        </w:rPr>
      </w:pPr>
      <w:r>
        <w:rPr>
          <w:i w:val="0"/>
          <w:color w:val="auto"/>
          <w:szCs w:val="22"/>
        </w:rPr>
        <w:t>tratamentul poliartritei reumatoide active, moderată până la severă, la pacienţii adulţi, atunci când răspunsul la medicamentele anti-reumatice modificatoare de boală (MARMB), inclusiv metotrexat, este inadecvat.</w:t>
      </w:r>
    </w:p>
    <w:p w14:paraId="1F642E94" w14:textId="77777777" w:rsidR="00C04CAD" w:rsidRDefault="00060E34">
      <w:pPr>
        <w:pStyle w:val="BodyText"/>
        <w:numPr>
          <w:ilvl w:val="0"/>
          <w:numId w:val="8"/>
        </w:numPr>
        <w:tabs>
          <w:tab w:val="left" w:pos="567"/>
        </w:tabs>
        <w:kinsoku w:val="0"/>
        <w:overflowPunct w:val="0"/>
        <w:autoSpaceDE w:val="0"/>
        <w:autoSpaceDN w:val="0"/>
        <w:adjustRightInd w:val="0"/>
        <w:ind w:left="567"/>
        <w:rPr>
          <w:i w:val="0"/>
          <w:color w:val="auto"/>
          <w:szCs w:val="22"/>
        </w:rPr>
      </w:pPr>
      <w:r>
        <w:rPr>
          <w:i w:val="0"/>
          <w:color w:val="auto"/>
          <w:szCs w:val="22"/>
        </w:rPr>
        <w:t>tratamentul poliartritei reumatoide active, severe şi progresive, la pacienţii adulţi netrataţi anterior cu metotrexat.</w:t>
      </w:r>
    </w:p>
    <w:p w14:paraId="615BB0B7" w14:textId="77777777" w:rsidR="00C04CAD" w:rsidRDefault="00C04CAD">
      <w:pPr>
        <w:kinsoku w:val="0"/>
        <w:overflowPunct w:val="0"/>
        <w:spacing w:line="240" w:lineRule="auto"/>
        <w:rPr>
          <w:szCs w:val="22"/>
        </w:rPr>
      </w:pPr>
    </w:p>
    <w:p w14:paraId="15974B3A" w14:textId="77777777" w:rsidR="00C04CAD" w:rsidRDefault="00060E34">
      <w:pPr>
        <w:pStyle w:val="BodyText"/>
        <w:kinsoku w:val="0"/>
        <w:overflowPunct w:val="0"/>
        <w:rPr>
          <w:i w:val="0"/>
          <w:color w:val="auto"/>
          <w:szCs w:val="22"/>
        </w:rPr>
      </w:pPr>
      <w:r>
        <w:rPr>
          <w:i w:val="0"/>
          <w:color w:val="auto"/>
          <w:szCs w:val="22"/>
        </w:rPr>
        <w:t>AMGEVITA poate fi administrat în monoterapie în caz de intoleranţă la metotrexat sau atunci când tratamentul continuu cu metotrexat este inadecvat.</w:t>
      </w:r>
    </w:p>
    <w:p w14:paraId="682DB560" w14:textId="77777777" w:rsidR="00C04CAD" w:rsidRDefault="00C04CAD">
      <w:pPr>
        <w:kinsoku w:val="0"/>
        <w:overflowPunct w:val="0"/>
        <w:spacing w:line="240" w:lineRule="auto"/>
        <w:rPr>
          <w:szCs w:val="22"/>
        </w:rPr>
      </w:pPr>
    </w:p>
    <w:p w14:paraId="3C9424C1" w14:textId="77777777" w:rsidR="00C04CAD" w:rsidRDefault="00060E34">
      <w:pPr>
        <w:spacing w:line="240" w:lineRule="auto"/>
        <w:rPr>
          <w:color w:val="000000"/>
          <w:szCs w:val="22"/>
        </w:rPr>
      </w:pPr>
      <w:r>
        <w:rPr>
          <w:szCs w:val="22"/>
        </w:rPr>
        <w:t>S-a demonstrat că AMGEVITA reduce rata progresiei distrucţiei articulare evidenţiată radiologic şi ameliorează funcţionalitatea articulară, atunci când este administrat în asociere cu metotrexat.</w:t>
      </w:r>
    </w:p>
    <w:p w14:paraId="1A52C3C7" w14:textId="77777777" w:rsidR="00C04CAD" w:rsidRDefault="00C04CAD">
      <w:pPr>
        <w:spacing w:line="240" w:lineRule="auto"/>
        <w:rPr>
          <w:szCs w:val="22"/>
        </w:rPr>
      </w:pPr>
    </w:p>
    <w:p w14:paraId="742D5D97" w14:textId="77777777" w:rsidR="00C04CAD" w:rsidRDefault="00060E34">
      <w:pPr>
        <w:keepNext/>
        <w:kinsoku w:val="0"/>
        <w:overflowPunct w:val="0"/>
        <w:spacing w:line="240" w:lineRule="auto"/>
        <w:rPr>
          <w:u w:val="single"/>
        </w:rPr>
      </w:pPr>
      <w:r>
        <w:rPr>
          <w:u w:val="single"/>
        </w:rPr>
        <w:lastRenderedPageBreak/>
        <w:t>Artrită juvenilă idiopatică</w:t>
      </w:r>
    </w:p>
    <w:p w14:paraId="0B6C61D2" w14:textId="77777777" w:rsidR="00C04CAD" w:rsidRDefault="00C04CAD">
      <w:pPr>
        <w:keepNext/>
        <w:kinsoku w:val="0"/>
        <w:overflowPunct w:val="0"/>
        <w:spacing w:line="240" w:lineRule="auto"/>
        <w:rPr>
          <w:u w:val="single"/>
        </w:rPr>
      </w:pPr>
    </w:p>
    <w:p w14:paraId="57F1616C" w14:textId="77777777" w:rsidR="00C04CAD" w:rsidRDefault="00060E34">
      <w:pPr>
        <w:keepNext/>
        <w:kinsoku w:val="0"/>
        <w:overflowPunct w:val="0"/>
        <w:spacing w:line="240" w:lineRule="auto"/>
        <w:rPr>
          <w:i/>
        </w:rPr>
      </w:pPr>
      <w:r>
        <w:rPr>
          <w:i/>
        </w:rPr>
        <w:t>Artrită juvenilă idiopatică, forma poliarticulară</w:t>
      </w:r>
    </w:p>
    <w:p w14:paraId="6233458C" w14:textId="77777777" w:rsidR="00C04CAD" w:rsidRDefault="00C04CAD">
      <w:pPr>
        <w:keepNext/>
        <w:kinsoku w:val="0"/>
        <w:overflowPunct w:val="0"/>
        <w:spacing w:line="240" w:lineRule="auto"/>
      </w:pPr>
    </w:p>
    <w:p w14:paraId="63FFF97A" w14:textId="77777777" w:rsidR="00C04CAD" w:rsidRDefault="00060E34">
      <w:pPr>
        <w:spacing w:line="240" w:lineRule="auto"/>
      </w:pPr>
      <w:r>
        <w:t>AMGEVITA în asociere cu metotrexat este indicat în tratamentul artritei juvenile idiopatice acute forma poliarticulară, la pacienţii cu vârsta de 2 ani şi peste, atunci când răspunsul la unul sau mai multe MARMB a fost inadecvat. AMGEVITA poate fi administrat în monoterapie în caz de intoleranţă la metotrexat sau atunci când tratamentul continuu cu metotrexat este inadecvat (vezi pct. 5.1 pentru eficacitatea în monoterapie). Nu a fost studiată utilizarea adalimumab la pacienţii cu vârsta sub 2 ani.</w:t>
      </w:r>
    </w:p>
    <w:p w14:paraId="6E12B38E" w14:textId="77777777" w:rsidR="00C04CAD" w:rsidRDefault="00C04CAD">
      <w:pPr>
        <w:spacing w:line="240" w:lineRule="auto"/>
      </w:pPr>
    </w:p>
    <w:p w14:paraId="5E7F408D" w14:textId="77777777" w:rsidR="00C04CAD" w:rsidRDefault="00060E34">
      <w:pPr>
        <w:kinsoku w:val="0"/>
        <w:overflowPunct w:val="0"/>
        <w:spacing w:line="240" w:lineRule="auto"/>
      </w:pPr>
      <w:r>
        <w:rPr>
          <w:i/>
        </w:rPr>
        <w:t>Artrită asociată entezitei</w:t>
      </w:r>
    </w:p>
    <w:p w14:paraId="52DC45B3" w14:textId="77777777" w:rsidR="00C04CAD" w:rsidRDefault="00C04CAD">
      <w:pPr>
        <w:kinsoku w:val="0"/>
        <w:overflowPunct w:val="0"/>
        <w:spacing w:line="240" w:lineRule="auto"/>
      </w:pPr>
    </w:p>
    <w:p w14:paraId="676AD41E" w14:textId="77777777" w:rsidR="00C04CAD" w:rsidRDefault="00060E34">
      <w:pPr>
        <w:pStyle w:val="BodyText"/>
        <w:kinsoku w:val="0"/>
        <w:overflowPunct w:val="0"/>
        <w:rPr>
          <w:i w:val="0"/>
          <w:color w:val="auto"/>
        </w:rPr>
      </w:pPr>
      <w:r>
        <w:rPr>
          <w:i w:val="0"/>
          <w:color w:val="auto"/>
        </w:rPr>
        <w:t>AMGEVITA este indicat în tratamentul artritei asociată entezitei la pacienţi cu vârsta de 6 ani şi peste, care nu au avut un răspuns adecvat la tratamentul convenţional sau care au intoleranţă la acest tratament (vezi pct. 5.1).</w:t>
      </w:r>
    </w:p>
    <w:p w14:paraId="085878EA" w14:textId="77777777" w:rsidR="00C04CAD" w:rsidRDefault="00C04CAD">
      <w:pPr>
        <w:spacing w:line="240" w:lineRule="auto"/>
      </w:pPr>
    </w:p>
    <w:p w14:paraId="45235FB5" w14:textId="77777777" w:rsidR="00C04CAD" w:rsidRDefault="00060E34">
      <w:pPr>
        <w:pStyle w:val="BodyText"/>
        <w:kinsoku w:val="0"/>
        <w:overflowPunct w:val="0"/>
        <w:rPr>
          <w:i w:val="0"/>
          <w:color w:val="auto"/>
        </w:rPr>
      </w:pPr>
      <w:r>
        <w:rPr>
          <w:i w:val="0"/>
          <w:color w:val="auto"/>
          <w:u w:val="single"/>
        </w:rPr>
        <w:t>Spondiloartrită axială</w:t>
      </w:r>
    </w:p>
    <w:p w14:paraId="791B6D28" w14:textId="77777777" w:rsidR="00C04CAD" w:rsidRDefault="00C04CAD">
      <w:pPr>
        <w:kinsoku w:val="0"/>
        <w:overflowPunct w:val="0"/>
        <w:spacing w:line="240" w:lineRule="auto"/>
      </w:pPr>
    </w:p>
    <w:p w14:paraId="2C377F89" w14:textId="77777777" w:rsidR="00C04CAD" w:rsidRDefault="00060E34">
      <w:pPr>
        <w:kinsoku w:val="0"/>
        <w:overflowPunct w:val="0"/>
        <w:spacing w:line="240" w:lineRule="auto"/>
      </w:pPr>
      <w:r>
        <w:rPr>
          <w:i/>
        </w:rPr>
        <w:t>Spondilită anchilozantă (SA</w:t>
      </w:r>
      <w:r>
        <w:t>)</w:t>
      </w:r>
    </w:p>
    <w:p w14:paraId="682462BD" w14:textId="77777777" w:rsidR="00C04CAD" w:rsidRDefault="00C04CAD">
      <w:pPr>
        <w:kinsoku w:val="0"/>
        <w:overflowPunct w:val="0"/>
        <w:spacing w:line="240" w:lineRule="auto"/>
      </w:pPr>
    </w:p>
    <w:p w14:paraId="56ECE0CC" w14:textId="77777777" w:rsidR="00C04CAD" w:rsidRDefault="00060E34">
      <w:pPr>
        <w:pStyle w:val="BodyText"/>
        <w:kinsoku w:val="0"/>
        <w:overflowPunct w:val="0"/>
        <w:rPr>
          <w:i w:val="0"/>
          <w:color w:val="auto"/>
        </w:rPr>
      </w:pPr>
      <w:r>
        <w:rPr>
          <w:i w:val="0"/>
          <w:color w:val="auto"/>
        </w:rPr>
        <w:t>AMGEVITA este indicat în tratamentul spondilitei anchilozante active severe, la pacienţi adulţi, atunci când răspunsul la tratamentul convenţional este inadecvat.</w:t>
      </w:r>
    </w:p>
    <w:p w14:paraId="5878E0C7" w14:textId="77777777" w:rsidR="00C04CAD" w:rsidRDefault="00C04CAD">
      <w:pPr>
        <w:kinsoku w:val="0"/>
        <w:overflowPunct w:val="0"/>
        <w:spacing w:line="240" w:lineRule="auto"/>
      </w:pPr>
    </w:p>
    <w:p w14:paraId="305416FF" w14:textId="77777777" w:rsidR="00C04CAD" w:rsidRDefault="00060E34">
      <w:pPr>
        <w:kinsoku w:val="0"/>
        <w:overflowPunct w:val="0"/>
        <w:spacing w:line="240" w:lineRule="auto"/>
      </w:pPr>
      <w:r>
        <w:rPr>
          <w:i/>
        </w:rPr>
        <w:t>Spondiloartrită axială fără dovadă radiologică a spondilitei anchilozante</w:t>
      </w:r>
    </w:p>
    <w:p w14:paraId="25031346" w14:textId="77777777" w:rsidR="00C04CAD" w:rsidRDefault="00C04CAD">
      <w:pPr>
        <w:kinsoku w:val="0"/>
        <w:overflowPunct w:val="0"/>
        <w:spacing w:line="240" w:lineRule="auto"/>
      </w:pPr>
    </w:p>
    <w:p w14:paraId="020727B8" w14:textId="77777777" w:rsidR="00C04CAD" w:rsidRDefault="00060E34">
      <w:pPr>
        <w:pStyle w:val="BodyText"/>
        <w:kinsoku w:val="0"/>
        <w:overflowPunct w:val="0"/>
        <w:rPr>
          <w:i w:val="0"/>
          <w:color w:val="auto"/>
        </w:rPr>
      </w:pPr>
      <w:r>
        <w:rPr>
          <w:i w:val="0"/>
          <w:color w:val="auto"/>
        </w:rPr>
        <w:t>AMGEVITA este indicat în tratamentul adulţilor cu spondiloartrită axială severă fără dovadă radiologică a spondilitei anchilozante dar cu semne obiective de inflamaţie evidențiate prin valori crescute ale PCR şi/sau prin RMN, care au avut un răspuns inadecvat sau intoleranţă la antiinflamatoarele nesteroidiene.</w:t>
      </w:r>
    </w:p>
    <w:p w14:paraId="678B75AA" w14:textId="77777777" w:rsidR="00C04CAD" w:rsidRDefault="00C04CAD">
      <w:pPr>
        <w:spacing w:line="240" w:lineRule="auto"/>
      </w:pPr>
    </w:p>
    <w:p w14:paraId="6C2DE0F6" w14:textId="77777777" w:rsidR="00C04CAD" w:rsidRDefault="00060E34">
      <w:pPr>
        <w:pStyle w:val="BodyText"/>
        <w:kinsoku w:val="0"/>
        <w:overflowPunct w:val="0"/>
        <w:rPr>
          <w:i w:val="0"/>
          <w:color w:val="auto"/>
        </w:rPr>
      </w:pPr>
      <w:r>
        <w:rPr>
          <w:i w:val="0"/>
          <w:color w:val="auto"/>
          <w:u w:val="single"/>
        </w:rPr>
        <w:t>Artrită psoriazică</w:t>
      </w:r>
    </w:p>
    <w:p w14:paraId="371C24EB" w14:textId="77777777" w:rsidR="00C04CAD" w:rsidRDefault="00C04CAD">
      <w:pPr>
        <w:kinsoku w:val="0"/>
        <w:overflowPunct w:val="0"/>
        <w:spacing w:line="240" w:lineRule="auto"/>
      </w:pPr>
    </w:p>
    <w:p w14:paraId="4DC12669" w14:textId="77777777" w:rsidR="00C04CAD" w:rsidRDefault="00060E34">
      <w:pPr>
        <w:spacing w:line="240" w:lineRule="auto"/>
      </w:pPr>
      <w:r>
        <w:t>AMGEVITA este indicat în tratamentul artritei psoriazice active şi progresive, la pacienţii adulţi, atunci când răspunsul la MARMB este inadecvat. La pacienţii cu subtipul de boală poliarticulară simetrică s-a demonstrat prin folosirea razelor X că AMGEVITA reduce rata de progresie a afectării articulaţiilor periferice (vezi pct. 5.1) şi îmbunătăţeşte activitatea fizică.</w:t>
      </w:r>
    </w:p>
    <w:p w14:paraId="05EB5839" w14:textId="77777777" w:rsidR="00C04CAD" w:rsidRDefault="00C04CAD">
      <w:pPr>
        <w:spacing w:line="240" w:lineRule="auto"/>
      </w:pPr>
    </w:p>
    <w:p w14:paraId="30A44086" w14:textId="77777777" w:rsidR="00C04CAD" w:rsidRDefault="00060E34">
      <w:pPr>
        <w:pStyle w:val="BodyText"/>
        <w:kinsoku w:val="0"/>
        <w:overflowPunct w:val="0"/>
        <w:rPr>
          <w:i w:val="0"/>
          <w:color w:val="auto"/>
        </w:rPr>
      </w:pPr>
      <w:r>
        <w:rPr>
          <w:i w:val="0"/>
          <w:color w:val="auto"/>
          <w:u w:val="single"/>
        </w:rPr>
        <w:t>Psoriazis</w:t>
      </w:r>
    </w:p>
    <w:p w14:paraId="284C28E7" w14:textId="77777777" w:rsidR="00C04CAD" w:rsidRDefault="00C04CAD">
      <w:pPr>
        <w:kinsoku w:val="0"/>
        <w:overflowPunct w:val="0"/>
        <w:spacing w:line="240" w:lineRule="auto"/>
      </w:pPr>
    </w:p>
    <w:p w14:paraId="0CC9DFB1" w14:textId="77777777" w:rsidR="00C04CAD" w:rsidRDefault="00060E34">
      <w:pPr>
        <w:pStyle w:val="BodyText"/>
        <w:kinsoku w:val="0"/>
        <w:overflowPunct w:val="0"/>
        <w:rPr>
          <w:i w:val="0"/>
          <w:color w:val="auto"/>
        </w:rPr>
      </w:pPr>
      <w:r>
        <w:rPr>
          <w:i w:val="0"/>
          <w:color w:val="auto"/>
        </w:rPr>
        <w:t>AMGEVITA este indicat în tratamentul psoriazisului în plăci cronic, moderat până la sever, la pacienţi adulţi care sunt eligibili pentru tratamentul sistemic.</w:t>
      </w:r>
    </w:p>
    <w:p w14:paraId="37973E80" w14:textId="77777777" w:rsidR="00C04CAD" w:rsidRDefault="00C04CAD">
      <w:pPr>
        <w:kinsoku w:val="0"/>
        <w:overflowPunct w:val="0"/>
        <w:spacing w:line="240" w:lineRule="auto"/>
      </w:pPr>
    </w:p>
    <w:p w14:paraId="40458CFE" w14:textId="77777777" w:rsidR="00C04CAD" w:rsidRDefault="00060E34">
      <w:pPr>
        <w:pStyle w:val="BodyText"/>
        <w:kinsoku w:val="0"/>
        <w:overflowPunct w:val="0"/>
        <w:rPr>
          <w:color w:val="auto"/>
        </w:rPr>
      </w:pPr>
      <w:r>
        <w:rPr>
          <w:color w:val="auto"/>
          <w:u w:val="single"/>
        </w:rPr>
        <w:t>Psoriazis în plăci la copii și adolescenți</w:t>
      </w:r>
    </w:p>
    <w:p w14:paraId="473EB39B" w14:textId="77777777" w:rsidR="00C04CAD" w:rsidRDefault="00C04CAD">
      <w:pPr>
        <w:kinsoku w:val="0"/>
        <w:overflowPunct w:val="0"/>
        <w:spacing w:line="240" w:lineRule="auto"/>
      </w:pPr>
    </w:p>
    <w:p w14:paraId="4B7D1826" w14:textId="77777777" w:rsidR="00C04CAD" w:rsidRDefault="00060E34">
      <w:pPr>
        <w:spacing w:line="240" w:lineRule="auto"/>
      </w:pPr>
      <w:r>
        <w:t>AMGEVITA este indicat pentru tratamentul psoriazisului în plăci cronic sever la copii și adolescenți cu vârsta începând de la 4 ani care nu au răspuns corespunzător sau care nu au fost eligibili pentru tratamentul topic și fototerapii.</w:t>
      </w:r>
    </w:p>
    <w:p w14:paraId="191457A7" w14:textId="77777777" w:rsidR="00C04CAD" w:rsidRDefault="00C04CAD">
      <w:pPr>
        <w:spacing w:line="240" w:lineRule="auto"/>
      </w:pPr>
    </w:p>
    <w:p w14:paraId="3C736015" w14:textId="77777777" w:rsidR="00C04CAD" w:rsidRDefault="00060E34">
      <w:pPr>
        <w:pStyle w:val="BodyText"/>
        <w:keepNext/>
        <w:kinsoku w:val="0"/>
        <w:overflowPunct w:val="0"/>
        <w:rPr>
          <w:i w:val="0"/>
          <w:color w:val="auto"/>
        </w:rPr>
      </w:pPr>
      <w:r>
        <w:rPr>
          <w:i w:val="0"/>
          <w:color w:val="auto"/>
          <w:u w:val="single"/>
        </w:rPr>
        <w:t>Hidrosadenită supurativă (HS)</w:t>
      </w:r>
    </w:p>
    <w:p w14:paraId="3139EB3C" w14:textId="77777777" w:rsidR="00C04CAD" w:rsidRDefault="00C04CAD">
      <w:pPr>
        <w:keepNext/>
        <w:kinsoku w:val="0"/>
        <w:overflowPunct w:val="0"/>
        <w:spacing w:line="240" w:lineRule="auto"/>
      </w:pPr>
    </w:p>
    <w:p w14:paraId="16021BF7" w14:textId="77777777" w:rsidR="00C04CAD" w:rsidRDefault="00060E34">
      <w:pPr>
        <w:pStyle w:val="BodyText"/>
        <w:kinsoku w:val="0"/>
        <w:overflowPunct w:val="0"/>
        <w:rPr>
          <w:i w:val="0"/>
          <w:color w:val="auto"/>
        </w:rPr>
      </w:pPr>
      <w:r>
        <w:rPr>
          <w:i w:val="0"/>
          <w:color w:val="auto"/>
        </w:rPr>
        <w:t xml:space="preserve">AMGEVITA este indicat pentru tratamentul hidrosadenitei supurative (acnee inversa) active, moderată până la severă la pacienţii adulţi și adolescenți de la </w:t>
      </w:r>
      <w:r>
        <w:rPr>
          <w:bCs/>
          <w:i w:val="0"/>
          <w:color w:val="auto"/>
          <w:szCs w:val="22"/>
        </w:rPr>
        <w:t xml:space="preserve">vârsta de </w:t>
      </w:r>
      <w:r>
        <w:rPr>
          <w:i w:val="0"/>
          <w:color w:val="auto"/>
        </w:rPr>
        <w:t>12 ani care nu au răspuns corespunzător la tratamentul sistemic convenţional pentru HS (vezi pct. 5.1 și 5.2).</w:t>
      </w:r>
    </w:p>
    <w:p w14:paraId="69F78AED" w14:textId="77777777" w:rsidR="00C04CAD" w:rsidRDefault="00C04CAD">
      <w:pPr>
        <w:kinsoku w:val="0"/>
        <w:overflowPunct w:val="0"/>
        <w:spacing w:line="240" w:lineRule="auto"/>
      </w:pPr>
    </w:p>
    <w:p w14:paraId="589988C7" w14:textId="77777777" w:rsidR="00C04CAD" w:rsidRDefault="00060E34">
      <w:pPr>
        <w:pStyle w:val="BodyText"/>
        <w:keepNext/>
        <w:kinsoku w:val="0"/>
        <w:overflowPunct w:val="0"/>
        <w:rPr>
          <w:i w:val="0"/>
          <w:color w:val="auto"/>
        </w:rPr>
      </w:pPr>
      <w:r>
        <w:rPr>
          <w:i w:val="0"/>
          <w:color w:val="auto"/>
          <w:u w:val="single"/>
        </w:rPr>
        <w:lastRenderedPageBreak/>
        <w:t>Boală Crohn</w:t>
      </w:r>
    </w:p>
    <w:p w14:paraId="15211C9A" w14:textId="77777777" w:rsidR="00C04CAD" w:rsidRDefault="00C04CAD">
      <w:pPr>
        <w:keepNext/>
        <w:kinsoku w:val="0"/>
        <w:overflowPunct w:val="0"/>
        <w:spacing w:line="240" w:lineRule="auto"/>
      </w:pPr>
    </w:p>
    <w:p w14:paraId="3252FF69" w14:textId="77777777" w:rsidR="00C04CAD" w:rsidRDefault="00060E34">
      <w:pPr>
        <w:pStyle w:val="BodyText"/>
        <w:kinsoku w:val="0"/>
        <w:overflowPunct w:val="0"/>
        <w:rPr>
          <w:i w:val="0"/>
          <w:color w:val="auto"/>
        </w:rPr>
      </w:pPr>
      <w:r>
        <w:rPr>
          <w:i w:val="0"/>
          <w:color w:val="auto"/>
        </w:rPr>
        <w:t>AMGEVITA este indicat în tratamentul bolii Crohn active, forma moderată până la severă, la pacienţii adulţi care nu au răspuns la un tratament corespunzător şi complet cu medicamente corticosteroidiene şi/sau imunosupresoare sau la pacienţii care au intoleranţă la acest tratament sau cărora le este contraindicat.</w:t>
      </w:r>
    </w:p>
    <w:p w14:paraId="351D3337" w14:textId="77777777" w:rsidR="00C04CAD" w:rsidRDefault="00C04CAD">
      <w:pPr>
        <w:kinsoku w:val="0"/>
        <w:overflowPunct w:val="0"/>
        <w:spacing w:line="240" w:lineRule="auto"/>
      </w:pPr>
    </w:p>
    <w:p w14:paraId="3C42972D" w14:textId="77777777" w:rsidR="00C04CAD" w:rsidRDefault="00060E34">
      <w:pPr>
        <w:pStyle w:val="BodyText"/>
        <w:kinsoku w:val="0"/>
        <w:overflowPunct w:val="0"/>
        <w:rPr>
          <w:i w:val="0"/>
          <w:color w:val="auto"/>
        </w:rPr>
      </w:pPr>
      <w:r>
        <w:rPr>
          <w:i w:val="0"/>
          <w:color w:val="auto"/>
          <w:u w:val="single"/>
        </w:rPr>
        <w:t>Boală Crohn la copii și adolescenți</w:t>
      </w:r>
    </w:p>
    <w:p w14:paraId="61AE7D27" w14:textId="77777777" w:rsidR="00C04CAD" w:rsidRDefault="00C04CAD">
      <w:pPr>
        <w:kinsoku w:val="0"/>
        <w:overflowPunct w:val="0"/>
        <w:spacing w:line="240" w:lineRule="auto"/>
      </w:pPr>
    </w:p>
    <w:p w14:paraId="7E0418E8" w14:textId="77777777" w:rsidR="00C04CAD" w:rsidRDefault="00060E34">
      <w:pPr>
        <w:pStyle w:val="BodyText"/>
        <w:kinsoku w:val="0"/>
        <w:overflowPunct w:val="0"/>
        <w:rPr>
          <w:i w:val="0"/>
          <w:color w:val="auto"/>
        </w:rPr>
      </w:pPr>
      <w:r>
        <w:rPr>
          <w:i w:val="0"/>
          <w:color w:val="auto"/>
        </w:rPr>
        <w:t>AMGEVITA este indicat pentru tratamentul bolii Crohn active, forma moderată până la severă, la copii (de la vârsta de 6 ani) atunci când nu au răspuns la tratamentul convenţional, inclusiv la tratamentul nutriţional iniţial şi la medicamente corticosteroidiene şi/sau imunosupresoare, sau la pacienţii care au intoleranţă la aceste tratamente sau cărora le sunt contraindicate.</w:t>
      </w:r>
    </w:p>
    <w:p w14:paraId="7E3C7104" w14:textId="77777777" w:rsidR="00C04CAD" w:rsidRDefault="00C04CAD">
      <w:pPr>
        <w:kinsoku w:val="0"/>
        <w:overflowPunct w:val="0"/>
        <w:spacing w:line="240" w:lineRule="auto"/>
      </w:pPr>
    </w:p>
    <w:p w14:paraId="6FC8A6A7" w14:textId="77777777" w:rsidR="00C04CAD" w:rsidRDefault="00060E34">
      <w:pPr>
        <w:pStyle w:val="BodyText"/>
        <w:kinsoku w:val="0"/>
        <w:overflowPunct w:val="0"/>
        <w:rPr>
          <w:i w:val="0"/>
          <w:color w:val="auto"/>
        </w:rPr>
      </w:pPr>
      <w:r>
        <w:rPr>
          <w:i w:val="0"/>
          <w:color w:val="auto"/>
          <w:u w:val="single"/>
        </w:rPr>
        <w:t>Colită ulcerativă</w:t>
      </w:r>
    </w:p>
    <w:p w14:paraId="7FAE4CC6" w14:textId="77777777" w:rsidR="00C04CAD" w:rsidRDefault="00C04CAD">
      <w:pPr>
        <w:kinsoku w:val="0"/>
        <w:overflowPunct w:val="0"/>
        <w:spacing w:line="240" w:lineRule="auto"/>
      </w:pPr>
    </w:p>
    <w:p w14:paraId="5CC44EB9" w14:textId="77777777" w:rsidR="00C04CAD" w:rsidRDefault="00060E34">
      <w:pPr>
        <w:pStyle w:val="BodyText"/>
        <w:kinsoku w:val="0"/>
        <w:overflowPunct w:val="0"/>
        <w:rPr>
          <w:i w:val="0"/>
          <w:color w:val="auto"/>
          <w:u w:val="single"/>
        </w:rPr>
      </w:pPr>
      <w:r>
        <w:rPr>
          <w:i w:val="0"/>
          <w:color w:val="auto"/>
        </w:rPr>
        <w:t>AMGEVITA este indicat în tratamentul colitei ulcerative active, forma moderată până la severă, la pacienţii adulţi care nu au avut un răspuns adecvat la tratamentul convenţional, inclusiv la corticosteroizi şi 6</w:t>
      </w:r>
      <w:r>
        <w:rPr>
          <w:i w:val="0"/>
          <w:color w:val="auto"/>
        </w:rPr>
        <w:noBreakHyphen/>
        <w:t>mercaptopurină (6-MP) sau azatioprină (AZA) sau care au intoleranţă la aceste tratamente sau cărora aceste tratamente le sunt contraindicate.</w:t>
      </w:r>
    </w:p>
    <w:p w14:paraId="720D06B7" w14:textId="77777777" w:rsidR="00C04CAD" w:rsidRDefault="00C04CAD">
      <w:pPr>
        <w:pStyle w:val="BodyText"/>
        <w:kinsoku w:val="0"/>
        <w:overflowPunct w:val="0"/>
        <w:rPr>
          <w:i w:val="0"/>
          <w:color w:val="auto"/>
          <w:u w:val="single"/>
        </w:rPr>
      </w:pPr>
    </w:p>
    <w:p w14:paraId="78C78FD1"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bookmarkStart w:id="0" w:name="_Hlk69384725"/>
      <w:r>
        <w:rPr>
          <w:rFonts w:eastAsia="MS Mincho"/>
          <w:color w:val="000000"/>
          <w:szCs w:val="22"/>
          <w:u w:val="single"/>
          <w:lang w:eastAsia="ja-JP" w:bidi="ar-SA"/>
        </w:rPr>
        <w:t>Colită ulcerativă la copii și adolescenți</w:t>
      </w:r>
    </w:p>
    <w:p w14:paraId="1AE53027"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574F8F2" w14:textId="77777777" w:rsidR="00C04CAD" w:rsidRDefault="00060E34">
      <w:pPr>
        <w:pStyle w:val="BodyText"/>
        <w:kinsoku w:val="0"/>
        <w:overflowPunct w:val="0"/>
        <w:rPr>
          <w:i w:val="0"/>
          <w:color w:val="auto"/>
        </w:rPr>
      </w:pPr>
      <w:r>
        <w:rPr>
          <w:rFonts w:eastAsia="MS Mincho"/>
          <w:i w:val="0"/>
          <w:color w:val="000000"/>
          <w:szCs w:val="22"/>
          <w:lang w:eastAsia="ja-JP" w:bidi="ar-SA"/>
        </w:rPr>
        <w:t>AMGEVITA este indicat în tratamentul colitei ulcerative active, forma moderată până la severă, la pacienții copii și adolescenți (de la vârsta de 6 ani) care nu au avut un răspuns adecvat la tratamentul convențional, inclusiv la corticosteroizi și/sau 6-mercaptopurină (6-MP) sau azatioprină (AZA), sau care au intoleranță la aceste tratamente sau cărora aceste tratamente le sunt contraindicate din motive medicale.</w:t>
      </w:r>
      <w:bookmarkEnd w:id="0"/>
    </w:p>
    <w:p w14:paraId="537F3F45" w14:textId="77777777" w:rsidR="00C04CAD" w:rsidRDefault="00C04CAD">
      <w:pPr>
        <w:pStyle w:val="BodyText"/>
        <w:kinsoku w:val="0"/>
        <w:overflowPunct w:val="0"/>
        <w:rPr>
          <w:i w:val="0"/>
          <w:color w:val="auto"/>
        </w:rPr>
      </w:pPr>
    </w:p>
    <w:p w14:paraId="53AB0E5C" w14:textId="77777777" w:rsidR="00C04CAD" w:rsidRDefault="00060E34">
      <w:pPr>
        <w:pStyle w:val="BodyText"/>
        <w:kinsoku w:val="0"/>
        <w:overflowPunct w:val="0"/>
        <w:rPr>
          <w:i w:val="0"/>
          <w:color w:val="auto"/>
        </w:rPr>
      </w:pPr>
      <w:r>
        <w:rPr>
          <w:i w:val="0"/>
          <w:color w:val="auto"/>
          <w:u w:val="single"/>
        </w:rPr>
        <w:t>Uveită</w:t>
      </w:r>
    </w:p>
    <w:p w14:paraId="6452C685" w14:textId="77777777" w:rsidR="00C04CAD" w:rsidRDefault="00C04CAD">
      <w:pPr>
        <w:kinsoku w:val="0"/>
        <w:overflowPunct w:val="0"/>
        <w:spacing w:line="240" w:lineRule="auto"/>
      </w:pPr>
    </w:p>
    <w:p w14:paraId="5696DA1F" w14:textId="77777777" w:rsidR="00C04CAD" w:rsidRDefault="00060E34">
      <w:pPr>
        <w:pStyle w:val="BodyText"/>
        <w:kinsoku w:val="0"/>
        <w:overflowPunct w:val="0"/>
        <w:rPr>
          <w:i w:val="0"/>
          <w:color w:val="auto"/>
        </w:rPr>
      </w:pPr>
      <w:r>
        <w:rPr>
          <w:i w:val="0"/>
          <w:color w:val="auto"/>
        </w:rPr>
        <w:t>AMGEVITA este indicat pentru tratamentul uveitei non-infecțioase, intermediare, posterioare şi panuveitei la pacienții adulți care nu au avut un răspuns adecvat la corticosteroizi, la pacienții care necesită scăderea progresivă a dozelor de corticosteroizi sau pentru care nu este potrivit tratamentul cu corticosteroizi.</w:t>
      </w:r>
    </w:p>
    <w:p w14:paraId="743AB020" w14:textId="77777777" w:rsidR="00C04CAD" w:rsidRDefault="00C04CAD">
      <w:pPr>
        <w:pStyle w:val="BodyText"/>
        <w:kinsoku w:val="0"/>
        <w:overflowPunct w:val="0"/>
        <w:rPr>
          <w:i w:val="0"/>
          <w:color w:val="auto"/>
        </w:rPr>
      </w:pPr>
    </w:p>
    <w:p w14:paraId="0A83A5CD" w14:textId="77777777" w:rsidR="00C04CAD" w:rsidRDefault="00060E34">
      <w:pPr>
        <w:pStyle w:val="BodyText"/>
        <w:kinsoku w:val="0"/>
        <w:overflowPunct w:val="0"/>
        <w:rPr>
          <w:i w:val="0"/>
          <w:color w:val="auto"/>
          <w:u w:val="single"/>
        </w:rPr>
      </w:pPr>
      <w:r>
        <w:rPr>
          <w:i w:val="0"/>
          <w:color w:val="auto"/>
          <w:u w:val="single"/>
        </w:rPr>
        <w:t>Uveită la copii și adolescenți</w:t>
      </w:r>
    </w:p>
    <w:p w14:paraId="777C6BC8" w14:textId="77777777" w:rsidR="00C04CAD" w:rsidRDefault="00C04CAD">
      <w:pPr>
        <w:pStyle w:val="BodyText"/>
        <w:kinsoku w:val="0"/>
        <w:overflowPunct w:val="0"/>
        <w:rPr>
          <w:i w:val="0"/>
          <w:color w:val="auto"/>
        </w:rPr>
      </w:pPr>
    </w:p>
    <w:p w14:paraId="7B3FCE57" w14:textId="77777777" w:rsidR="00C04CAD" w:rsidRDefault="00060E34">
      <w:pPr>
        <w:pStyle w:val="BodyText"/>
        <w:kinsoku w:val="0"/>
        <w:overflowPunct w:val="0"/>
        <w:rPr>
          <w:i w:val="0"/>
          <w:color w:val="auto"/>
        </w:rPr>
      </w:pPr>
      <w:r>
        <w:rPr>
          <w:i w:val="0"/>
          <w:color w:val="auto"/>
        </w:rPr>
        <w:t xml:space="preserve">AMGEVITA este indicat pentru tratamentul uveitei anterioare non-infecțioase </w:t>
      </w:r>
      <w:r>
        <w:rPr>
          <w:i w:val="0"/>
          <w:color w:val="000000"/>
        </w:rPr>
        <w:t xml:space="preserve">cronice la copii cu vârsta de la 2 ani </w:t>
      </w:r>
      <w:r>
        <w:rPr>
          <w:i w:val="0"/>
          <w:color w:val="auto"/>
        </w:rPr>
        <w:t>care nu au avut un răspuns adecvat sau au intoleranță la tratamentul convenţional sau pentru care tratamentul convenţional este inadecvat.</w:t>
      </w:r>
    </w:p>
    <w:p w14:paraId="59DBD504" w14:textId="77777777" w:rsidR="00C04CAD" w:rsidRDefault="00C04CAD">
      <w:pPr>
        <w:spacing w:line="240" w:lineRule="auto"/>
        <w:rPr>
          <w:szCs w:val="22"/>
        </w:rPr>
      </w:pPr>
    </w:p>
    <w:p w14:paraId="6187EC91" w14:textId="77777777" w:rsidR="00C04CAD" w:rsidRDefault="00060E34">
      <w:pPr>
        <w:keepNext/>
        <w:numPr>
          <w:ilvl w:val="1"/>
          <w:numId w:val="7"/>
        </w:numPr>
        <w:spacing w:line="240" w:lineRule="auto"/>
        <w:outlineLvl w:val="0"/>
        <w:rPr>
          <w:szCs w:val="22"/>
        </w:rPr>
      </w:pPr>
      <w:r>
        <w:rPr>
          <w:b/>
          <w:szCs w:val="22"/>
        </w:rPr>
        <w:t>Doze și mod de administrare</w:t>
      </w:r>
    </w:p>
    <w:p w14:paraId="368B6904" w14:textId="77777777" w:rsidR="00C04CAD" w:rsidRDefault="00C04CAD">
      <w:pPr>
        <w:keepNext/>
        <w:spacing w:line="240" w:lineRule="auto"/>
        <w:rPr>
          <w:szCs w:val="22"/>
        </w:rPr>
      </w:pPr>
    </w:p>
    <w:p w14:paraId="1D489F56"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Tratamentul cu </w:t>
      </w:r>
      <w:r>
        <w:rPr>
          <w:rFonts w:eastAsia="MS Mincho"/>
          <w:szCs w:val="22"/>
          <w:lang w:eastAsia="en-US" w:bidi="ar-SA"/>
        </w:rPr>
        <w:t xml:space="preserve">AMGEVITA </w:t>
      </w:r>
      <w:r>
        <w:rPr>
          <w:szCs w:val="22"/>
        </w:rPr>
        <w:t xml:space="preserve">trebuie iniţiat şi supravegheat de medici specialişti cu experienţă în diagnosticarea şi tratamentul afecţiunilor pentru care este indicat </w:t>
      </w:r>
      <w:r>
        <w:rPr>
          <w:rFonts w:eastAsia="MS Mincho"/>
          <w:szCs w:val="22"/>
          <w:lang w:eastAsia="en-US" w:bidi="ar-SA"/>
        </w:rPr>
        <w:t xml:space="preserve">AMGEVITA. </w:t>
      </w:r>
      <w:r>
        <w:t xml:space="preserve">Înainte de iniţierea tratamentului cu AMGEVITA, medicii oftalmologi sunt sfătuiţi să se consulte cu un astfel de medic specialist cu experienţă în aceste cazuri (vezi pct. 4.4). </w:t>
      </w:r>
      <w:r>
        <w:rPr>
          <w:rFonts w:eastAsia="MS Mincho"/>
          <w:szCs w:val="22"/>
          <w:lang w:eastAsia="en-US" w:bidi="ar-SA"/>
        </w:rPr>
        <w:t xml:space="preserve">Pacienţii trataţi cu AMGEVITA </w:t>
      </w:r>
      <w:r>
        <w:rPr>
          <w:szCs w:val="22"/>
        </w:rPr>
        <w:t>trebuie să primească un card de aten</w:t>
      </w:r>
      <w:r>
        <w:rPr>
          <w:rFonts w:eastAsia="MS Mincho"/>
          <w:szCs w:val="22"/>
          <w:lang w:eastAsia="en-US" w:bidi="ar-SA"/>
        </w:rPr>
        <w:t xml:space="preserve">ţionare </w:t>
      </w:r>
      <w:r>
        <w:rPr>
          <w:szCs w:val="22"/>
        </w:rPr>
        <w:t>special.</w:t>
      </w:r>
    </w:p>
    <w:p w14:paraId="06157AC4" w14:textId="77777777" w:rsidR="00C04CAD" w:rsidRDefault="00C04CAD">
      <w:pPr>
        <w:tabs>
          <w:tab w:val="clear" w:pos="567"/>
        </w:tabs>
        <w:kinsoku w:val="0"/>
        <w:overflowPunct w:val="0"/>
        <w:autoSpaceDE w:val="0"/>
        <w:autoSpaceDN w:val="0"/>
        <w:adjustRightInd w:val="0"/>
        <w:spacing w:line="240" w:lineRule="auto"/>
        <w:rPr>
          <w:szCs w:val="22"/>
        </w:rPr>
      </w:pPr>
    </w:p>
    <w:p w14:paraId="0113607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După instruirea corespunzătoare asupra tehnicii de injectare, pacienţii pot să-şi autoadministreze </w:t>
      </w:r>
      <w:r>
        <w:rPr>
          <w:rFonts w:eastAsia="MS Mincho"/>
          <w:szCs w:val="22"/>
          <w:lang w:eastAsia="en-US" w:bidi="ar-SA"/>
        </w:rPr>
        <w:t xml:space="preserve">AMGEVITA </w:t>
      </w:r>
      <w:r>
        <w:rPr>
          <w:szCs w:val="22"/>
        </w:rPr>
        <w:t>dacă medicul lor consideră că acest lucru este adecvat şi dacă se asigură supravegherea medicală în funcţie de necesităţi.</w:t>
      </w:r>
    </w:p>
    <w:p w14:paraId="5F694020" w14:textId="77777777" w:rsidR="00C04CAD" w:rsidRDefault="00C04CAD">
      <w:pPr>
        <w:tabs>
          <w:tab w:val="clear" w:pos="567"/>
        </w:tabs>
        <w:kinsoku w:val="0"/>
        <w:overflowPunct w:val="0"/>
        <w:autoSpaceDE w:val="0"/>
        <w:autoSpaceDN w:val="0"/>
        <w:adjustRightInd w:val="0"/>
        <w:spacing w:line="240" w:lineRule="auto"/>
        <w:rPr>
          <w:szCs w:val="22"/>
        </w:rPr>
      </w:pPr>
    </w:p>
    <w:p w14:paraId="63CDE59D" w14:textId="77777777" w:rsidR="00C04CAD" w:rsidRDefault="00060E34">
      <w:pPr>
        <w:spacing w:line="240" w:lineRule="auto"/>
        <w:rPr>
          <w:szCs w:val="22"/>
          <w:u w:val="single"/>
        </w:rPr>
      </w:pPr>
      <w:r>
        <w:rPr>
          <w:szCs w:val="22"/>
        </w:rPr>
        <w:t xml:space="preserve">În timpul tratamentului cu </w:t>
      </w:r>
      <w:r>
        <w:rPr>
          <w:rFonts w:eastAsia="MS Mincho"/>
          <w:szCs w:val="22"/>
          <w:lang w:eastAsia="en-US" w:bidi="ar-SA"/>
        </w:rPr>
        <w:t>AMGEVITA</w:t>
      </w:r>
      <w:r>
        <w:rPr>
          <w:szCs w:val="22"/>
        </w:rPr>
        <w:t>, terapiile concomitente (de exemplu medicamentele corticosteroidiene şi/sau imunomodulatoare) trebuie ajustate.</w:t>
      </w:r>
    </w:p>
    <w:p w14:paraId="6CEEA31B" w14:textId="77777777" w:rsidR="00C04CAD" w:rsidRDefault="00C04CAD">
      <w:pPr>
        <w:keepNext/>
        <w:spacing w:line="240" w:lineRule="auto"/>
        <w:rPr>
          <w:szCs w:val="22"/>
          <w:u w:val="single"/>
        </w:rPr>
      </w:pPr>
    </w:p>
    <w:p w14:paraId="19F4324E" w14:textId="77777777" w:rsidR="00C04CAD" w:rsidRDefault="00060E34">
      <w:pPr>
        <w:keepNext/>
        <w:spacing w:line="240" w:lineRule="auto"/>
        <w:rPr>
          <w:szCs w:val="22"/>
          <w:u w:val="single"/>
        </w:rPr>
      </w:pPr>
      <w:r>
        <w:rPr>
          <w:szCs w:val="22"/>
          <w:u w:val="single"/>
        </w:rPr>
        <w:t>Doze</w:t>
      </w:r>
    </w:p>
    <w:p w14:paraId="483A989A" w14:textId="77777777" w:rsidR="00C04CAD" w:rsidRDefault="00C04CAD">
      <w:pPr>
        <w:keepNext/>
        <w:spacing w:line="240" w:lineRule="auto"/>
        <w:rPr>
          <w:szCs w:val="22"/>
        </w:rPr>
      </w:pPr>
    </w:p>
    <w:p w14:paraId="0AFD239D" w14:textId="77777777" w:rsidR="00C04CAD" w:rsidRDefault="00060E34">
      <w:pPr>
        <w:kinsoku w:val="0"/>
        <w:overflowPunct w:val="0"/>
        <w:spacing w:line="240" w:lineRule="auto"/>
        <w:rPr>
          <w:szCs w:val="22"/>
        </w:rPr>
      </w:pPr>
      <w:r>
        <w:rPr>
          <w:i/>
          <w:szCs w:val="22"/>
        </w:rPr>
        <w:t>Poliartrită reumatoidă</w:t>
      </w:r>
    </w:p>
    <w:p w14:paraId="2C4C0571" w14:textId="77777777" w:rsidR="00C04CAD" w:rsidRDefault="00C04CAD">
      <w:pPr>
        <w:kinsoku w:val="0"/>
        <w:overflowPunct w:val="0"/>
        <w:spacing w:line="240" w:lineRule="auto"/>
        <w:rPr>
          <w:szCs w:val="22"/>
        </w:rPr>
      </w:pPr>
    </w:p>
    <w:p w14:paraId="7B799DDC" w14:textId="77777777" w:rsidR="00C04CAD" w:rsidRDefault="00060E34">
      <w:pPr>
        <w:pStyle w:val="BodyText"/>
        <w:kinsoku w:val="0"/>
        <w:overflowPunct w:val="0"/>
        <w:rPr>
          <w:i w:val="0"/>
          <w:color w:val="auto"/>
          <w:szCs w:val="22"/>
        </w:rPr>
      </w:pPr>
      <w:r>
        <w:rPr>
          <w:i w:val="0"/>
          <w:color w:val="auto"/>
          <w:szCs w:val="22"/>
        </w:rPr>
        <w:t>Doza de AMGEVITA recomandată pentru pacienţii adulţi cu poliartrită reumatoidă este de 40 mg adalimumab, administrată odată la două săptămâni, ca doză unică, printr-o injecţie subcutanată. Tratamentul cu metotrexat trebuie continuat pe durata tratamentului cu AMGEVITA.</w:t>
      </w:r>
    </w:p>
    <w:p w14:paraId="03A9EAA6" w14:textId="77777777" w:rsidR="00C04CAD" w:rsidRDefault="00C04CAD">
      <w:pPr>
        <w:kinsoku w:val="0"/>
        <w:overflowPunct w:val="0"/>
        <w:spacing w:line="240" w:lineRule="auto"/>
        <w:rPr>
          <w:szCs w:val="22"/>
        </w:rPr>
      </w:pPr>
    </w:p>
    <w:p w14:paraId="289BA12C" w14:textId="77777777" w:rsidR="00C04CAD" w:rsidRDefault="00060E34">
      <w:pPr>
        <w:pStyle w:val="BodyText"/>
        <w:kinsoku w:val="0"/>
        <w:overflowPunct w:val="0"/>
        <w:rPr>
          <w:i w:val="0"/>
          <w:color w:val="auto"/>
          <w:szCs w:val="22"/>
        </w:rPr>
      </w:pPr>
      <w:r>
        <w:rPr>
          <w:i w:val="0"/>
          <w:color w:val="auto"/>
          <w:szCs w:val="22"/>
        </w:rPr>
        <w:t>Tratamentul cu glucocorticoizi, salicilaţi, medicamente antiinflamatoare nesteroidiene sau analgezice poate fi continuat pe durata tratamentului cu AMGEVITA. În ceea ce priveşte asocierea cu medicamente antireumatice modificatoare de boală, în afară de metotrexat, vezi pct. 4.4 şi 5.1.</w:t>
      </w:r>
    </w:p>
    <w:p w14:paraId="7582D7AB" w14:textId="77777777" w:rsidR="00C04CAD" w:rsidRDefault="00C04CAD">
      <w:pPr>
        <w:kinsoku w:val="0"/>
        <w:overflowPunct w:val="0"/>
        <w:spacing w:line="240" w:lineRule="auto"/>
        <w:rPr>
          <w:szCs w:val="22"/>
        </w:rPr>
      </w:pPr>
    </w:p>
    <w:p w14:paraId="3798AE49" w14:textId="77777777" w:rsidR="00C04CAD" w:rsidRDefault="00060E34">
      <w:pPr>
        <w:pStyle w:val="BodyText"/>
        <w:kinsoku w:val="0"/>
        <w:overflowPunct w:val="0"/>
        <w:rPr>
          <w:i w:val="0"/>
          <w:color w:val="auto"/>
          <w:szCs w:val="22"/>
        </w:rPr>
      </w:pPr>
      <w:r>
        <w:rPr>
          <w:i w:val="0"/>
          <w:color w:val="auto"/>
          <w:szCs w:val="22"/>
        </w:rPr>
        <w:t>Atunci când este utilizat în monoterapie, unii pacienţi care prezintă o diminuare a răspunsului la AMGEVITA 40 mg administrată odată la două săptămâni, pot beneficia de creşterea dozei de adalimumab la 40 mg, o dată pe săptămână sau 80 mg odată la două săptămâni.</w:t>
      </w:r>
    </w:p>
    <w:p w14:paraId="77630766" w14:textId="77777777" w:rsidR="00C04CAD" w:rsidRDefault="00C04CAD">
      <w:pPr>
        <w:kinsoku w:val="0"/>
        <w:overflowPunct w:val="0"/>
        <w:spacing w:line="240" w:lineRule="auto"/>
      </w:pPr>
    </w:p>
    <w:p w14:paraId="2D1FCEF0" w14:textId="77777777" w:rsidR="00C04CAD" w:rsidRDefault="00060E34">
      <w:pPr>
        <w:pStyle w:val="BodyText"/>
        <w:kinsoku w:val="0"/>
        <w:overflowPunct w:val="0"/>
        <w:rPr>
          <w:i w:val="0"/>
          <w:color w:val="auto"/>
        </w:rPr>
      </w:pPr>
      <w:r>
        <w:rPr>
          <w:i w:val="0"/>
          <w:color w:val="auto"/>
        </w:rPr>
        <w:t>Datele disponibile despre adalimumab sugerează că răspunsul clinic este obţinut, de obicei, în cursul a 12 săptămâni de tratament. Continuarea tratamentului trebuie reevaluată în cazul unui pacient care nu răspunde la tratament în cursul acestei perioade.</w:t>
      </w:r>
    </w:p>
    <w:p w14:paraId="3852A2D5" w14:textId="77777777" w:rsidR="00C04CAD" w:rsidRDefault="00C04CAD">
      <w:pPr>
        <w:pStyle w:val="BodyText"/>
        <w:kinsoku w:val="0"/>
        <w:overflowPunct w:val="0"/>
        <w:rPr>
          <w:i w:val="0"/>
          <w:color w:val="auto"/>
        </w:rPr>
      </w:pPr>
    </w:p>
    <w:p w14:paraId="553D9075" w14:textId="77777777" w:rsidR="00C04CAD" w:rsidRDefault="00060E34">
      <w:pPr>
        <w:kinsoku w:val="0"/>
        <w:overflowPunct w:val="0"/>
        <w:spacing w:line="240" w:lineRule="auto"/>
        <w:rPr>
          <w:u w:val="single"/>
        </w:rPr>
      </w:pPr>
      <w:r>
        <w:rPr>
          <w:i/>
          <w:u w:val="single"/>
        </w:rPr>
        <w:t>Întreruperea administrării</w:t>
      </w:r>
    </w:p>
    <w:p w14:paraId="35DBB27E" w14:textId="77777777" w:rsidR="00C04CAD" w:rsidRDefault="00C04CAD">
      <w:pPr>
        <w:kinsoku w:val="0"/>
        <w:overflowPunct w:val="0"/>
        <w:spacing w:line="240" w:lineRule="auto"/>
      </w:pPr>
    </w:p>
    <w:p w14:paraId="485B6B62" w14:textId="77777777" w:rsidR="00C04CAD" w:rsidRDefault="00060E34">
      <w:pPr>
        <w:pStyle w:val="BodyText"/>
        <w:kinsoku w:val="0"/>
        <w:overflowPunct w:val="0"/>
        <w:rPr>
          <w:i w:val="0"/>
          <w:color w:val="auto"/>
        </w:rPr>
      </w:pPr>
      <w:r>
        <w:rPr>
          <w:i w:val="0"/>
          <w:color w:val="auto"/>
        </w:rPr>
        <w:t>Întreruperea administrării dozei poate fi necesară, de exemplu înainte de intervenţii chirurgicale sau dacă apare o infecţie gravă.</w:t>
      </w:r>
    </w:p>
    <w:p w14:paraId="76335FBF" w14:textId="77777777" w:rsidR="00C04CAD" w:rsidRDefault="00C04CAD">
      <w:pPr>
        <w:kinsoku w:val="0"/>
        <w:overflowPunct w:val="0"/>
        <w:spacing w:line="240" w:lineRule="auto"/>
      </w:pPr>
    </w:p>
    <w:p w14:paraId="2BED17BA" w14:textId="77777777" w:rsidR="00C04CAD" w:rsidRDefault="00060E34">
      <w:pPr>
        <w:pStyle w:val="BodyText"/>
        <w:kinsoku w:val="0"/>
        <w:overflowPunct w:val="0"/>
        <w:rPr>
          <w:i w:val="0"/>
          <w:color w:val="auto"/>
        </w:rPr>
      </w:pPr>
      <w:r>
        <w:rPr>
          <w:i w:val="0"/>
          <w:color w:val="auto"/>
        </w:rPr>
        <w:t>Datele disponibile sugerează că reintroducerea tratamentului cu adalimumab după o întrerupere de 70 zile sau mai lungă, determină un răspuns clinic de aceeaşi amploare şi un profil de siguranţă similar cu cel observat înainte de întreruperea administrării.</w:t>
      </w:r>
    </w:p>
    <w:p w14:paraId="41B3FF6E" w14:textId="77777777" w:rsidR="00C04CAD" w:rsidRDefault="00C04CAD">
      <w:pPr>
        <w:kinsoku w:val="0"/>
        <w:overflowPunct w:val="0"/>
        <w:spacing w:line="240" w:lineRule="auto"/>
      </w:pPr>
    </w:p>
    <w:p w14:paraId="315AF607" w14:textId="77777777" w:rsidR="00C04CAD" w:rsidRDefault="00060E34">
      <w:pPr>
        <w:kinsoku w:val="0"/>
        <w:overflowPunct w:val="0"/>
        <w:spacing w:line="240" w:lineRule="auto"/>
        <w:rPr>
          <w:i/>
        </w:rPr>
      </w:pPr>
      <w:r>
        <w:rPr>
          <w:i/>
        </w:rPr>
        <w:t>Spondilită anchilozantă, spondiloartrită axială fără dovadă radiologică a spondilitei anchilozante şi artrită psoriazică</w:t>
      </w:r>
    </w:p>
    <w:p w14:paraId="099D46EF" w14:textId="77777777" w:rsidR="00C04CAD" w:rsidRDefault="00C04CAD">
      <w:pPr>
        <w:kinsoku w:val="0"/>
        <w:overflowPunct w:val="0"/>
        <w:spacing w:line="240" w:lineRule="auto"/>
      </w:pPr>
    </w:p>
    <w:p w14:paraId="71B6F0E0" w14:textId="77777777" w:rsidR="00C04CAD" w:rsidRDefault="00060E34">
      <w:pPr>
        <w:pStyle w:val="BodyText"/>
        <w:kinsoku w:val="0"/>
        <w:overflowPunct w:val="0"/>
        <w:rPr>
          <w:i w:val="0"/>
          <w:color w:val="auto"/>
        </w:rPr>
      </w:pPr>
      <w:r>
        <w:rPr>
          <w:i w:val="0"/>
          <w:color w:val="auto"/>
        </w:rPr>
        <w:t>Doza de AMGEVITA recomandată pentru pacienţii cu spondilită anchilozantă, spondiloartrită axială fără dovadă radiologică a spondilitei anchilozante şi pentru pacienţii cu artrită psoriazică este de 40 mg adalimumab administrată o dată la două săptămâni, ca doză unică, printr-o injecţie subcutanată.</w:t>
      </w:r>
    </w:p>
    <w:p w14:paraId="1243A81B" w14:textId="77777777" w:rsidR="00C04CAD" w:rsidRDefault="00C04CAD">
      <w:pPr>
        <w:pStyle w:val="BodyText"/>
        <w:kinsoku w:val="0"/>
        <w:overflowPunct w:val="0"/>
        <w:rPr>
          <w:i w:val="0"/>
          <w:color w:val="auto"/>
        </w:rPr>
      </w:pPr>
    </w:p>
    <w:p w14:paraId="4894C87C" w14:textId="77777777" w:rsidR="00C04CAD" w:rsidRDefault="00060E34">
      <w:pPr>
        <w:pStyle w:val="BodyText"/>
        <w:kinsoku w:val="0"/>
        <w:overflowPunct w:val="0"/>
        <w:rPr>
          <w:i w:val="0"/>
          <w:color w:val="auto"/>
        </w:rPr>
      </w:pPr>
      <w:r>
        <w:rPr>
          <w:i w:val="0"/>
          <w:color w:val="auto"/>
        </w:rPr>
        <w:t>Datele disponibile sugerează că răspunsul clinic este obţinut, de obicei, în cursul a 12 săptămâni de tratament. Continuarea tratamentului trebuie reevaluată în cazul unui pacient care nu răspunde la tratament în cursul acestei perioade.</w:t>
      </w:r>
    </w:p>
    <w:p w14:paraId="0EDC0B20" w14:textId="77777777" w:rsidR="00C04CAD" w:rsidRDefault="00C04CAD">
      <w:pPr>
        <w:keepNext/>
        <w:spacing w:line="240" w:lineRule="auto"/>
      </w:pPr>
    </w:p>
    <w:p w14:paraId="2AA38871" w14:textId="77777777" w:rsidR="00C04CAD" w:rsidRDefault="00060E34">
      <w:pPr>
        <w:kinsoku w:val="0"/>
        <w:overflowPunct w:val="0"/>
        <w:spacing w:line="240" w:lineRule="auto"/>
      </w:pPr>
      <w:r>
        <w:rPr>
          <w:i/>
        </w:rPr>
        <w:t>Psoriazis</w:t>
      </w:r>
    </w:p>
    <w:p w14:paraId="5EB62B45" w14:textId="77777777" w:rsidR="00C04CAD" w:rsidRDefault="00C04CAD">
      <w:pPr>
        <w:kinsoku w:val="0"/>
        <w:overflowPunct w:val="0"/>
        <w:spacing w:line="240" w:lineRule="auto"/>
      </w:pPr>
    </w:p>
    <w:p w14:paraId="0DA6D634" w14:textId="77777777" w:rsidR="00C04CAD" w:rsidRDefault="00060E34">
      <w:pPr>
        <w:pStyle w:val="BodyText"/>
        <w:kinsoku w:val="0"/>
        <w:overflowPunct w:val="0"/>
        <w:rPr>
          <w:i w:val="0"/>
          <w:color w:val="auto"/>
        </w:rPr>
      </w:pPr>
      <w:r>
        <w:rPr>
          <w:i w:val="0"/>
          <w:color w:val="auto"/>
        </w:rPr>
        <w:t>Doza de AMGEVITA recomandată la adulţi este de 80 mg administrată subcutanat ca doză iniţială, urmată de 40 mg administrate subcutanat, la fiecare două săptămâni începând la o săptămână după doza iniţială.</w:t>
      </w:r>
    </w:p>
    <w:p w14:paraId="54743E17" w14:textId="77777777" w:rsidR="00C04CAD" w:rsidRDefault="00C04CAD">
      <w:pPr>
        <w:kinsoku w:val="0"/>
        <w:overflowPunct w:val="0"/>
        <w:spacing w:line="240" w:lineRule="auto"/>
      </w:pPr>
    </w:p>
    <w:p w14:paraId="0A7ED0D9" w14:textId="77777777" w:rsidR="00C04CAD" w:rsidRDefault="00060E34">
      <w:pPr>
        <w:pStyle w:val="BodyText"/>
        <w:kinsoku w:val="0"/>
        <w:overflowPunct w:val="0"/>
        <w:rPr>
          <w:i w:val="0"/>
          <w:color w:val="auto"/>
        </w:rPr>
      </w:pPr>
      <w:r>
        <w:rPr>
          <w:i w:val="0"/>
          <w:color w:val="auto"/>
        </w:rPr>
        <w:t>Continuarea tratamentului peste 16 săptămâni trebuie reevaluată atent în cazul unui pacient care nu răspunde la tratament în cursul acestei perioade.</w:t>
      </w:r>
    </w:p>
    <w:p w14:paraId="3E1EDC2A" w14:textId="77777777" w:rsidR="00C04CAD" w:rsidRDefault="00C04CAD">
      <w:pPr>
        <w:kinsoku w:val="0"/>
        <w:overflowPunct w:val="0"/>
        <w:spacing w:line="240" w:lineRule="auto"/>
      </w:pPr>
    </w:p>
    <w:p w14:paraId="40F10E1A" w14:textId="77777777" w:rsidR="00C04CAD" w:rsidRDefault="00060E34">
      <w:pPr>
        <w:pStyle w:val="BodyText"/>
        <w:kinsoku w:val="0"/>
        <w:overflowPunct w:val="0"/>
        <w:rPr>
          <w:i w:val="0"/>
          <w:color w:val="auto"/>
        </w:rPr>
      </w:pPr>
      <w:r>
        <w:rPr>
          <w:i w:val="0"/>
          <w:color w:val="auto"/>
        </w:rPr>
        <w:t xml:space="preserve">După 16 săptămâni, pacienţii care nu au avut un răspuns adecvat la </w:t>
      </w:r>
      <w:r>
        <w:rPr>
          <w:i w:val="0"/>
          <w:color w:val="auto"/>
          <w:szCs w:val="22"/>
        </w:rPr>
        <w:t xml:space="preserve">AMGEVITA 40 mg administrată o dată la două săptămâni </w:t>
      </w:r>
      <w:r>
        <w:rPr>
          <w:i w:val="0"/>
          <w:color w:val="auto"/>
        </w:rPr>
        <w:t xml:space="preserve">pot beneficia de o creştere a dozei la 40 mg săptămânal sau </w:t>
      </w:r>
      <w:r>
        <w:rPr>
          <w:i w:val="0"/>
          <w:color w:val="auto"/>
          <w:szCs w:val="22"/>
        </w:rPr>
        <w:t>80 mg o dată la două săptămâni</w:t>
      </w:r>
      <w:r>
        <w:rPr>
          <w:i w:val="0"/>
          <w:color w:val="auto"/>
        </w:rPr>
        <w:t xml:space="preserve">. Beneficiile şi riscurile continuării tratamentului cu 40 mg administrat săptămânal sau 80 mg o dată la </w:t>
      </w:r>
      <w:r>
        <w:rPr>
          <w:i w:val="0"/>
          <w:color w:val="auto"/>
          <w:szCs w:val="22"/>
        </w:rPr>
        <w:t xml:space="preserve">două săptămâni </w:t>
      </w:r>
      <w:r>
        <w:rPr>
          <w:i w:val="0"/>
          <w:color w:val="auto"/>
        </w:rPr>
        <w:t xml:space="preserve">trebuie reevaluate atent în cazul unui pacient care nu răspunde adecvat după creşterea dozei (vezi pct. 5.1). Dacă se obţine un răspuns adecvat la doza de 40 mg săptămânal sau </w:t>
      </w:r>
      <w:r>
        <w:rPr>
          <w:i w:val="0"/>
          <w:color w:val="auto"/>
          <w:szCs w:val="22"/>
        </w:rPr>
        <w:t>80 mg o dată la două săptămâni</w:t>
      </w:r>
      <w:r>
        <w:rPr>
          <w:i w:val="0"/>
          <w:color w:val="auto"/>
        </w:rPr>
        <w:t>, doza poate fi scăzută ulterior la 40 mg la două săptămâni.</w:t>
      </w:r>
    </w:p>
    <w:p w14:paraId="7AB6C2EC" w14:textId="77777777" w:rsidR="00C04CAD" w:rsidRDefault="00C04CAD">
      <w:pPr>
        <w:keepNext/>
        <w:spacing w:line="240" w:lineRule="auto"/>
        <w:rPr>
          <w:i/>
        </w:rPr>
      </w:pPr>
    </w:p>
    <w:p w14:paraId="5060E2E0" w14:textId="77777777" w:rsidR="00C04CAD" w:rsidRDefault="00060E34">
      <w:pPr>
        <w:kinsoku w:val="0"/>
        <w:overflowPunct w:val="0"/>
        <w:spacing w:line="240" w:lineRule="auto"/>
      </w:pPr>
      <w:bookmarkStart w:id="1" w:name="_Hlk530751074"/>
      <w:r>
        <w:rPr>
          <w:i/>
        </w:rPr>
        <w:t>Hidrosadenită supurativă</w:t>
      </w:r>
      <w:bookmarkEnd w:id="1"/>
    </w:p>
    <w:p w14:paraId="2FEC910E" w14:textId="77777777" w:rsidR="00C04CAD" w:rsidRDefault="00C04CAD">
      <w:pPr>
        <w:kinsoku w:val="0"/>
        <w:overflowPunct w:val="0"/>
        <w:spacing w:line="240" w:lineRule="auto"/>
      </w:pPr>
    </w:p>
    <w:p w14:paraId="21858C39" w14:textId="77777777" w:rsidR="00C04CAD" w:rsidRDefault="00060E34">
      <w:pPr>
        <w:pStyle w:val="BodyText"/>
        <w:kinsoku w:val="0"/>
        <w:overflowPunct w:val="0"/>
        <w:rPr>
          <w:i w:val="0"/>
          <w:color w:val="auto"/>
        </w:rPr>
      </w:pPr>
      <w:r>
        <w:rPr>
          <w:i w:val="0"/>
          <w:color w:val="auto"/>
        </w:rPr>
        <w:t xml:space="preserve">Doza recomandată de AMGEVITA la pacienţii adulţi cu hidrosadenită supurativă (HS) este iniţial de 160 mg în Ziua 1 (administrată sub formă de patru injecţii a 40 mg într-o zi sau sub formă de două injecţii a 40 mg pe zi, două zile consecutive), urmată de 80 mg două săptămâni mai târziu în Ziua 15 (administrată sub formă de două injecţii a 40 mg într-o zi). Două săptămâni mai târziu (Ziua 29) se continuă cu o doză de 40 mg în fiecare săptămână sau </w:t>
      </w:r>
      <w:r>
        <w:rPr>
          <w:i w:val="0"/>
          <w:color w:val="auto"/>
          <w:szCs w:val="22"/>
        </w:rPr>
        <w:t xml:space="preserve">80 mg o dată la două săptămâni (administrată </w:t>
      </w:r>
      <w:r>
        <w:rPr>
          <w:i w:val="0"/>
          <w:color w:val="auto"/>
        </w:rPr>
        <w:t xml:space="preserve">sub formă de </w:t>
      </w:r>
      <w:r>
        <w:rPr>
          <w:i w:val="0"/>
          <w:color w:val="auto"/>
          <w:szCs w:val="22"/>
        </w:rPr>
        <w:t>două injecții de 40 mg într-o singură zi)</w:t>
      </w:r>
      <w:r>
        <w:rPr>
          <w:i w:val="0"/>
          <w:color w:val="auto"/>
        </w:rPr>
        <w:t>. Dacă este necesar se poate continua tratamentul cu antibiotice în timpul tratamentului cu AMGEVITA. Se recomandă ca în timpul tratamentului cu AMGEVITA, pacienţii să spele zilnic leziunile de HS cu un antiseptic local.</w:t>
      </w:r>
    </w:p>
    <w:p w14:paraId="1B611AC9" w14:textId="77777777" w:rsidR="00C04CAD" w:rsidRDefault="00C04CAD">
      <w:pPr>
        <w:kinsoku w:val="0"/>
        <w:overflowPunct w:val="0"/>
        <w:spacing w:line="240" w:lineRule="auto"/>
      </w:pPr>
    </w:p>
    <w:p w14:paraId="774D4DB5" w14:textId="77777777" w:rsidR="00C04CAD" w:rsidRDefault="00060E34">
      <w:pPr>
        <w:pStyle w:val="BodyText"/>
        <w:kinsoku w:val="0"/>
        <w:overflowPunct w:val="0"/>
        <w:rPr>
          <w:i w:val="0"/>
          <w:color w:val="auto"/>
        </w:rPr>
      </w:pPr>
      <w:r>
        <w:rPr>
          <w:i w:val="0"/>
          <w:color w:val="auto"/>
        </w:rPr>
        <w:t>Continuarea tratamentului după 12 săptămâni trebuie reconsiderată atent la pacienţii care nu au nicio ameliorare în timpul acestei perioade de timp.</w:t>
      </w:r>
    </w:p>
    <w:p w14:paraId="6BAB1DE6" w14:textId="77777777" w:rsidR="00C04CAD" w:rsidRDefault="00C04CAD">
      <w:pPr>
        <w:kinsoku w:val="0"/>
        <w:overflowPunct w:val="0"/>
        <w:spacing w:line="240" w:lineRule="auto"/>
      </w:pPr>
    </w:p>
    <w:p w14:paraId="1EA6F838" w14:textId="77777777" w:rsidR="00C04CAD" w:rsidRDefault="00060E34">
      <w:pPr>
        <w:pStyle w:val="BodyText"/>
        <w:kinsoku w:val="0"/>
        <w:overflowPunct w:val="0"/>
        <w:rPr>
          <w:i w:val="0"/>
          <w:color w:val="auto"/>
        </w:rPr>
      </w:pPr>
      <w:r>
        <w:rPr>
          <w:i w:val="0"/>
          <w:color w:val="auto"/>
        </w:rPr>
        <w:t xml:space="preserve">Dacă trebuie întrerupt tratamentul, se poate reintroduce AMGEVITA 40 mg în fiecare săptămână sau </w:t>
      </w:r>
      <w:r>
        <w:rPr>
          <w:i w:val="0"/>
          <w:color w:val="auto"/>
          <w:szCs w:val="22"/>
        </w:rPr>
        <w:t>80 mg o dată la două săptămâni</w:t>
      </w:r>
      <w:r>
        <w:rPr>
          <w:i w:val="0"/>
          <w:color w:val="auto"/>
        </w:rPr>
        <w:t xml:space="preserve"> (vezi pct. 5.1).</w:t>
      </w:r>
    </w:p>
    <w:p w14:paraId="068D32F8" w14:textId="77777777" w:rsidR="00C04CAD" w:rsidRDefault="00C04CAD">
      <w:pPr>
        <w:kinsoku w:val="0"/>
        <w:overflowPunct w:val="0"/>
        <w:spacing w:line="240" w:lineRule="auto"/>
      </w:pPr>
    </w:p>
    <w:p w14:paraId="71E91787" w14:textId="77777777" w:rsidR="00C04CAD" w:rsidRDefault="00060E34">
      <w:pPr>
        <w:pStyle w:val="BodyText"/>
        <w:kinsoku w:val="0"/>
        <w:overflowPunct w:val="0"/>
        <w:rPr>
          <w:i w:val="0"/>
          <w:color w:val="auto"/>
        </w:rPr>
      </w:pPr>
      <w:r>
        <w:rPr>
          <w:i w:val="0"/>
          <w:color w:val="auto"/>
        </w:rPr>
        <w:t>Beneficiul şi riscul pe termen lung al tratamentului trebuie să fie re-evaluat periodic (vezi pct 5.1).</w:t>
      </w:r>
    </w:p>
    <w:p w14:paraId="1638822B" w14:textId="77777777" w:rsidR="00C04CAD" w:rsidRDefault="00C04CAD">
      <w:pPr>
        <w:pStyle w:val="BodyText"/>
        <w:kinsoku w:val="0"/>
        <w:overflowPunct w:val="0"/>
        <w:rPr>
          <w:color w:val="auto"/>
        </w:rPr>
      </w:pPr>
    </w:p>
    <w:p w14:paraId="10E6634C" w14:textId="77777777" w:rsidR="00C04CAD" w:rsidRDefault="00060E34">
      <w:pPr>
        <w:kinsoku w:val="0"/>
        <w:overflowPunct w:val="0"/>
        <w:spacing w:line="240" w:lineRule="auto"/>
      </w:pPr>
      <w:r>
        <w:rPr>
          <w:i/>
        </w:rPr>
        <w:t>Boală Crohn</w:t>
      </w:r>
    </w:p>
    <w:p w14:paraId="717C0C82" w14:textId="77777777" w:rsidR="00C04CAD" w:rsidRDefault="00C04CAD">
      <w:pPr>
        <w:kinsoku w:val="0"/>
        <w:overflowPunct w:val="0"/>
        <w:spacing w:line="240" w:lineRule="auto"/>
      </w:pPr>
    </w:p>
    <w:p w14:paraId="3EF8D661" w14:textId="77777777" w:rsidR="00C04CAD" w:rsidRDefault="00060E34">
      <w:pPr>
        <w:pStyle w:val="BodyText"/>
        <w:kinsoku w:val="0"/>
        <w:overflowPunct w:val="0"/>
        <w:rPr>
          <w:i w:val="0"/>
          <w:color w:val="auto"/>
        </w:rPr>
      </w:pPr>
      <w:r>
        <w:rPr>
          <w:i w:val="0"/>
          <w:color w:val="auto"/>
        </w:rPr>
        <w:t>La iniţierea tratamentului, doza de AMGEVITA recomandată pentru pacienţii adulţi cu boala Crohn activă moderată până la severă este de 80 mg în săptămâna 0 urmată de 40 mg în săptămâna 2. În cazul în care este necesar un răspuns mai rapid la tratament, se poate utiliza doza de 160 mg în săptămâna 0 (administrată sub forma a patru injecţii de 40 mg într-o zi sau două injecţii de 40 mg pe zi, două zile consecutiv), urmată de 80 mg în săptămâna 2 (administrată sub forma a două injecţii de 40 mg într-o zi), cu atenţionarea că riscul apariţiei reacţiilor adverse este mai mare la iniţierea tratamentului.</w:t>
      </w:r>
    </w:p>
    <w:p w14:paraId="6B452A84" w14:textId="77777777" w:rsidR="00C04CAD" w:rsidRDefault="00C04CAD">
      <w:pPr>
        <w:kinsoku w:val="0"/>
        <w:overflowPunct w:val="0"/>
        <w:spacing w:line="240" w:lineRule="auto"/>
      </w:pPr>
    </w:p>
    <w:p w14:paraId="577CFDA4" w14:textId="77777777" w:rsidR="00C04CAD" w:rsidRDefault="00060E34">
      <w:pPr>
        <w:pStyle w:val="BodyText"/>
        <w:kinsoku w:val="0"/>
        <w:overflowPunct w:val="0"/>
        <w:rPr>
          <w:i w:val="0"/>
          <w:color w:val="auto"/>
        </w:rPr>
      </w:pPr>
      <w:r>
        <w:rPr>
          <w:i w:val="0"/>
          <w:color w:val="auto"/>
        </w:rPr>
        <w:t>După iniţierea tratamentului, doza recomandată este de 40 mg la două săptămâni sub forma injecţiei subcutanate. Altă variantă, dacă un pacient a întrerupt tratamentul cu AMGEVITA şi semnele şi simptomele bolii au reapărut, AMGEVITA se poate readministra. Experienţa privind readministrarea după mai mult de 8 săptămâni de la ultima doză este limitată.</w:t>
      </w:r>
    </w:p>
    <w:p w14:paraId="711B67CC" w14:textId="77777777" w:rsidR="00C04CAD" w:rsidRDefault="00C04CAD">
      <w:pPr>
        <w:kinsoku w:val="0"/>
        <w:overflowPunct w:val="0"/>
        <w:spacing w:line="240" w:lineRule="auto"/>
      </w:pPr>
    </w:p>
    <w:p w14:paraId="4369FA8A" w14:textId="77777777" w:rsidR="00C04CAD" w:rsidRDefault="00060E34">
      <w:pPr>
        <w:pStyle w:val="BodyText"/>
        <w:kinsoku w:val="0"/>
        <w:overflowPunct w:val="0"/>
        <w:rPr>
          <w:i w:val="0"/>
          <w:color w:val="auto"/>
        </w:rPr>
      </w:pPr>
      <w:r>
        <w:rPr>
          <w:i w:val="0"/>
          <w:color w:val="auto"/>
        </w:rPr>
        <w:t>În timpul tratamentului de întreţinere, medicamentele corticosteroidiene se întrerup progresiv conform ghidurilor de practică medicală.</w:t>
      </w:r>
    </w:p>
    <w:p w14:paraId="53BD5CAB" w14:textId="77777777" w:rsidR="00C04CAD" w:rsidRDefault="00C04CAD">
      <w:pPr>
        <w:kinsoku w:val="0"/>
        <w:overflowPunct w:val="0"/>
        <w:spacing w:line="240" w:lineRule="auto"/>
      </w:pPr>
    </w:p>
    <w:p w14:paraId="2298F27A" w14:textId="77777777" w:rsidR="00C04CAD" w:rsidRDefault="00060E34">
      <w:pPr>
        <w:pStyle w:val="BodyText"/>
        <w:kinsoku w:val="0"/>
        <w:overflowPunct w:val="0"/>
        <w:rPr>
          <w:i w:val="0"/>
          <w:color w:val="auto"/>
        </w:rPr>
      </w:pPr>
      <w:r>
        <w:rPr>
          <w:i w:val="0"/>
          <w:color w:val="auto"/>
        </w:rPr>
        <w:t xml:space="preserve">Unii pacienţi care au avut un răspuns redus la tratamentul cu AMGEVITA </w:t>
      </w:r>
      <w:r>
        <w:rPr>
          <w:i w:val="0"/>
          <w:color w:val="auto"/>
          <w:szCs w:val="22"/>
        </w:rPr>
        <w:t xml:space="preserve">40 mg administrat o dată la două săptămâni </w:t>
      </w:r>
      <w:r>
        <w:rPr>
          <w:i w:val="0"/>
          <w:color w:val="auto"/>
        </w:rPr>
        <w:t xml:space="preserve">pot beneficia de o creştere a dozei de AMGEVITA la 40 mg săptămânal sau </w:t>
      </w:r>
      <w:r>
        <w:rPr>
          <w:i w:val="0"/>
          <w:color w:val="auto"/>
          <w:szCs w:val="22"/>
        </w:rPr>
        <w:t>80 mg o dată la două săptămâni</w:t>
      </w:r>
      <w:r>
        <w:rPr>
          <w:i w:val="0"/>
          <w:color w:val="auto"/>
        </w:rPr>
        <w:t>.</w:t>
      </w:r>
    </w:p>
    <w:p w14:paraId="609AEA71" w14:textId="77777777" w:rsidR="00C04CAD" w:rsidRDefault="00C04CAD">
      <w:pPr>
        <w:pStyle w:val="BodyText"/>
        <w:kinsoku w:val="0"/>
        <w:overflowPunct w:val="0"/>
        <w:rPr>
          <w:i w:val="0"/>
          <w:color w:val="auto"/>
        </w:rPr>
      </w:pPr>
    </w:p>
    <w:p w14:paraId="3220CCC4" w14:textId="77777777" w:rsidR="00C04CAD" w:rsidRDefault="00060E34">
      <w:pPr>
        <w:pStyle w:val="BodyText"/>
        <w:kinsoku w:val="0"/>
        <w:overflowPunct w:val="0"/>
        <w:rPr>
          <w:i w:val="0"/>
          <w:color w:val="auto"/>
        </w:rPr>
      </w:pPr>
      <w:r>
        <w:rPr>
          <w:i w:val="0"/>
          <w:color w:val="auto"/>
        </w:rPr>
        <w:t>Unii pacienţi care nu au răspuns la tratament până în săptămâna 4 pot beneficia de un tratament continuu de întreţinere până în săptămâna 12. Continuarea tratamentului trebuie reconsiderată atent la pacienţii care nu au răspuns în timpul acestei perioade de timp.</w:t>
      </w:r>
    </w:p>
    <w:p w14:paraId="2F5C3B45" w14:textId="77777777" w:rsidR="00C04CAD" w:rsidRDefault="00C04CAD">
      <w:pPr>
        <w:pStyle w:val="BodyText"/>
        <w:kinsoku w:val="0"/>
        <w:overflowPunct w:val="0"/>
        <w:rPr>
          <w:color w:val="auto"/>
        </w:rPr>
      </w:pPr>
    </w:p>
    <w:p w14:paraId="005A8529" w14:textId="77777777" w:rsidR="00C04CAD" w:rsidRDefault="00060E34">
      <w:pPr>
        <w:kinsoku w:val="0"/>
        <w:overflowPunct w:val="0"/>
        <w:spacing w:line="240" w:lineRule="auto"/>
      </w:pPr>
      <w:r>
        <w:rPr>
          <w:i/>
        </w:rPr>
        <w:t>Colită ulcerativă</w:t>
      </w:r>
    </w:p>
    <w:p w14:paraId="2BB32720" w14:textId="77777777" w:rsidR="00C04CAD" w:rsidRDefault="00C04CAD">
      <w:pPr>
        <w:kinsoku w:val="0"/>
        <w:overflowPunct w:val="0"/>
        <w:spacing w:line="240" w:lineRule="auto"/>
      </w:pPr>
    </w:p>
    <w:p w14:paraId="12F0B711" w14:textId="77777777" w:rsidR="00C04CAD" w:rsidRDefault="00060E34">
      <w:pPr>
        <w:pStyle w:val="BodyText"/>
        <w:kinsoku w:val="0"/>
        <w:overflowPunct w:val="0"/>
        <w:rPr>
          <w:i w:val="0"/>
          <w:color w:val="auto"/>
        </w:rPr>
      </w:pPr>
      <w:r>
        <w:rPr>
          <w:i w:val="0"/>
          <w:color w:val="auto"/>
        </w:rPr>
        <w:t>Dozele de AMGEVITA recomandate în faza de inducţie pentru pacienţii adulţi cu colită ulcerativă forma moderată până la severă, sunt de 160 mg în săptămâna 0 (administrată sub forma a patru injecţii de 40 mg într-o zi sau două injecţii de 40 mg pe zi, timp de două zile consecutive) şi 80 mg în săptămâna 2 (administrată sub forma a două injecţii de 40 mg într-o zi). După iniţierea tratamentului, doza recomandată este de 40 mg la două săptămâni prin injecţii subcutanate.</w:t>
      </w:r>
    </w:p>
    <w:p w14:paraId="37ABD121" w14:textId="77777777" w:rsidR="00C04CAD" w:rsidRDefault="00C04CAD">
      <w:pPr>
        <w:kinsoku w:val="0"/>
        <w:overflowPunct w:val="0"/>
        <w:spacing w:line="240" w:lineRule="auto"/>
      </w:pPr>
    </w:p>
    <w:p w14:paraId="5582C38B" w14:textId="77777777" w:rsidR="00C04CAD" w:rsidRDefault="00060E34">
      <w:pPr>
        <w:pStyle w:val="BodyText"/>
        <w:kinsoku w:val="0"/>
        <w:overflowPunct w:val="0"/>
        <w:rPr>
          <w:i w:val="0"/>
          <w:color w:val="auto"/>
        </w:rPr>
      </w:pPr>
      <w:r>
        <w:rPr>
          <w:i w:val="0"/>
          <w:color w:val="auto"/>
        </w:rPr>
        <w:t>În timpul tratamentului de întreţinere, se poate reduce doza de corticosteroizi conform ghidurilor de practică medicală.</w:t>
      </w:r>
    </w:p>
    <w:p w14:paraId="14947C32" w14:textId="77777777" w:rsidR="00C04CAD" w:rsidRDefault="00C04CAD">
      <w:pPr>
        <w:kinsoku w:val="0"/>
        <w:overflowPunct w:val="0"/>
        <w:spacing w:line="240" w:lineRule="auto"/>
      </w:pPr>
    </w:p>
    <w:p w14:paraId="1F6D55B2" w14:textId="77777777" w:rsidR="00C04CAD" w:rsidRDefault="00060E34">
      <w:pPr>
        <w:pStyle w:val="BodyText"/>
        <w:kinsoku w:val="0"/>
        <w:overflowPunct w:val="0"/>
        <w:rPr>
          <w:i w:val="0"/>
          <w:color w:val="auto"/>
        </w:rPr>
      </w:pPr>
      <w:r>
        <w:rPr>
          <w:i w:val="0"/>
          <w:color w:val="auto"/>
        </w:rPr>
        <w:lastRenderedPageBreak/>
        <w:t xml:space="preserve">Unii pacienţi care au avut un răspuns insuficient la tratamentul cu AMGEVITA </w:t>
      </w:r>
      <w:r>
        <w:rPr>
          <w:i w:val="0"/>
          <w:color w:val="auto"/>
          <w:szCs w:val="22"/>
        </w:rPr>
        <w:t xml:space="preserve">40 mg administrat o dată la două săptămâni </w:t>
      </w:r>
      <w:r>
        <w:rPr>
          <w:i w:val="0"/>
          <w:color w:val="auto"/>
        </w:rPr>
        <w:t xml:space="preserve">pot beneficia de o creştere a dozei de AMGEVITA la 40 mg săptămânal sau </w:t>
      </w:r>
      <w:r>
        <w:rPr>
          <w:i w:val="0"/>
          <w:color w:val="auto"/>
          <w:szCs w:val="22"/>
        </w:rPr>
        <w:t>80 mg o dată la două săptămâni</w:t>
      </w:r>
      <w:r>
        <w:rPr>
          <w:i w:val="0"/>
          <w:color w:val="auto"/>
        </w:rPr>
        <w:t>.</w:t>
      </w:r>
    </w:p>
    <w:p w14:paraId="407D44BD" w14:textId="77777777" w:rsidR="00C04CAD" w:rsidRDefault="00C04CAD">
      <w:pPr>
        <w:kinsoku w:val="0"/>
        <w:overflowPunct w:val="0"/>
        <w:spacing w:line="240" w:lineRule="auto"/>
      </w:pPr>
    </w:p>
    <w:p w14:paraId="20C2CD8B" w14:textId="77777777" w:rsidR="00C04CAD" w:rsidRDefault="00060E34">
      <w:pPr>
        <w:pStyle w:val="BodyText"/>
        <w:kinsoku w:val="0"/>
        <w:overflowPunct w:val="0"/>
        <w:rPr>
          <w:i w:val="0"/>
          <w:color w:val="auto"/>
        </w:rPr>
      </w:pPr>
      <w:r>
        <w:rPr>
          <w:i w:val="0"/>
          <w:color w:val="auto"/>
        </w:rPr>
        <w:t>Datele disponibile sugerează că răspunsul clinic se obţine de obicei în 2-8 săptămâni de tratament. Tratamentul cu AMGEVITA nu trebuie continuat la pacienţii care nu au răspuns la tratament în timpul acestei perioade.</w:t>
      </w:r>
    </w:p>
    <w:p w14:paraId="6C5420E4" w14:textId="77777777" w:rsidR="00C04CAD" w:rsidRDefault="00C04CAD">
      <w:pPr>
        <w:keepNext/>
        <w:spacing w:line="240" w:lineRule="auto"/>
      </w:pPr>
    </w:p>
    <w:p w14:paraId="727EAB09" w14:textId="77777777" w:rsidR="00C04CAD" w:rsidRDefault="00060E34">
      <w:pPr>
        <w:keepNext/>
        <w:kinsoku w:val="0"/>
        <w:overflowPunct w:val="0"/>
        <w:spacing w:line="240" w:lineRule="auto"/>
      </w:pPr>
      <w:r>
        <w:rPr>
          <w:i/>
        </w:rPr>
        <w:t>Uveită</w:t>
      </w:r>
    </w:p>
    <w:p w14:paraId="00745ACE" w14:textId="77777777" w:rsidR="00C04CAD" w:rsidRDefault="00C04CAD">
      <w:pPr>
        <w:keepNext/>
        <w:kinsoku w:val="0"/>
        <w:overflowPunct w:val="0"/>
        <w:spacing w:line="240" w:lineRule="auto"/>
      </w:pPr>
    </w:p>
    <w:p w14:paraId="0ACC3EEC" w14:textId="77777777" w:rsidR="00C04CAD" w:rsidRDefault="00060E34">
      <w:pPr>
        <w:pStyle w:val="BodyText"/>
        <w:kinsoku w:val="0"/>
        <w:overflowPunct w:val="0"/>
        <w:rPr>
          <w:i w:val="0"/>
          <w:color w:val="auto"/>
        </w:rPr>
      </w:pPr>
      <w:r>
        <w:rPr>
          <w:i w:val="0"/>
          <w:color w:val="auto"/>
        </w:rPr>
        <w:t>Doza de AMGEVITA iniţială recomandată pentru pacienții adulți cu uveită este de 80 mg, urmată de o doză de 40 mg administrată o dată la două săptămâni începând cu prima săptămână după doza inițială. Experiența legată de inițierea tratamentului cu adalimumab în monoterapie este limitată. Tratamentul cu AMGEVITA poate fi inițiat în asociere cu corticosteroizi și/sau cu alte medicamente imunomodulatoare non</w:t>
      </w:r>
      <w:r>
        <w:rPr>
          <w:i w:val="0"/>
          <w:color w:val="auto"/>
        </w:rPr>
        <w:noBreakHyphen/>
        <w:t>biologice. Doza de corticosteroizi administrată concomitent poate fi scăzută treptat, în conformitate cu practica clinică, după două săptămâni de la iniţierea tratamentului cu AMGEVITA.</w:t>
      </w:r>
    </w:p>
    <w:p w14:paraId="58968C0C" w14:textId="77777777" w:rsidR="00C04CAD" w:rsidRDefault="00C04CAD">
      <w:pPr>
        <w:kinsoku w:val="0"/>
        <w:overflowPunct w:val="0"/>
        <w:spacing w:line="240" w:lineRule="auto"/>
      </w:pPr>
    </w:p>
    <w:p w14:paraId="22878310" w14:textId="77777777" w:rsidR="00C04CAD" w:rsidRDefault="00060E34">
      <w:pPr>
        <w:pStyle w:val="BodyText"/>
        <w:kinsoku w:val="0"/>
        <w:overflowPunct w:val="0"/>
        <w:rPr>
          <w:i w:val="0"/>
          <w:color w:val="auto"/>
        </w:rPr>
      </w:pPr>
      <w:r>
        <w:rPr>
          <w:i w:val="0"/>
          <w:color w:val="auto"/>
        </w:rPr>
        <w:t>Se recomandă ca beneficiile și riscurile continuării tratamentului pe termen lung să fie evaluate anual (vezi pct. 5.1).</w:t>
      </w:r>
    </w:p>
    <w:p w14:paraId="43BBBEC0" w14:textId="77777777" w:rsidR="00C04CAD" w:rsidRDefault="00C04CAD">
      <w:pPr>
        <w:pStyle w:val="BodyText"/>
        <w:kinsoku w:val="0"/>
        <w:overflowPunct w:val="0"/>
        <w:rPr>
          <w:color w:val="auto"/>
        </w:rPr>
      </w:pPr>
    </w:p>
    <w:p w14:paraId="14919F99" w14:textId="77777777" w:rsidR="00C04CAD" w:rsidRDefault="00060E34">
      <w:pPr>
        <w:tabs>
          <w:tab w:val="clear" w:pos="567"/>
        </w:tabs>
        <w:kinsoku w:val="0"/>
        <w:overflowPunct w:val="0"/>
        <w:autoSpaceDE w:val="0"/>
        <w:autoSpaceDN w:val="0"/>
        <w:adjustRightInd w:val="0"/>
        <w:spacing w:line="240" w:lineRule="auto"/>
        <w:rPr>
          <w:u w:val="single"/>
        </w:rPr>
      </w:pPr>
      <w:r>
        <w:rPr>
          <w:u w:val="single"/>
        </w:rPr>
        <w:t>Grupe speciale de pacienți</w:t>
      </w:r>
    </w:p>
    <w:p w14:paraId="31A46DE0" w14:textId="77777777" w:rsidR="00C04CAD" w:rsidRDefault="00C04CAD">
      <w:pPr>
        <w:tabs>
          <w:tab w:val="clear" w:pos="567"/>
        </w:tabs>
        <w:kinsoku w:val="0"/>
        <w:overflowPunct w:val="0"/>
        <w:autoSpaceDE w:val="0"/>
        <w:autoSpaceDN w:val="0"/>
        <w:adjustRightInd w:val="0"/>
        <w:spacing w:line="240" w:lineRule="auto"/>
        <w:rPr>
          <w:u w:val="single"/>
        </w:rPr>
      </w:pPr>
    </w:p>
    <w:p w14:paraId="0C17F42F" w14:textId="77777777" w:rsidR="00C04CAD" w:rsidRDefault="00060E34">
      <w:pPr>
        <w:tabs>
          <w:tab w:val="clear" w:pos="567"/>
        </w:tabs>
        <w:kinsoku w:val="0"/>
        <w:overflowPunct w:val="0"/>
        <w:autoSpaceDE w:val="0"/>
        <w:autoSpaceDN w:val="0"/>
        <w:adjustRightInd w:val="0"/>
        <w:spacing w:line="240" w:lineRule="auto"/>
        <w:rPr>
          <w:i/>
        </w:rPr>
      </w:pPr>
      <w:r>
        <w:rPr>
          <w:i/>
        </w:rPr>
        <w:t>Vârstnici</w:t>
      </w:r>
    </w:p>
    <w:p w14:paraId="0DFF5F55" w14:textId="77777777" w:rsidR="00C04CAD" w:rsidRDefault="00C04CAD">
      <w:pPr>
        <w:tabs>
          <w:tab w:val="clear" w:pos="567"/>
        </w:tabs>
        <w:kinsoku w:val="0"/>
        <w:overflowPunct w:val="0"/>
        <w:autoSpaceDE w:val="0"/>
        <w:autoSpaceDN w:val="0"/>
        <w:adjustRightInd w:val="0"/>
        <w:spacing w:line="240" w:lineRule="auto"/>
      </w:pPr>
    </w:p>
    <w:p w14:paraId="18F8F275" w14:textId="77777777" w:rsidR="00C04CAD" w:rsidRDefault="00060E34">
      <w:pPr>
        <w:tabs>
          <w:tab w:val="clear" w:pos="567"/>
        </w:tabs>
        <w:kinsoku w:val="0"/>
        <w:overflowPunct w:val="0"/>
        <w:autoSpaceDE w:val="0"/>
        <w:autoSpaceDN w:val="0"/>
        <w:adjustRightInd w:val="0"/>
        <w:spacing w:line="240" w:lineRule="auto"/>
      </w:pPr>
      <w:r>
        <w:t>Nu este necesară ajustarea dozei.</w:t>
      </w:r>
    </w:p>
    <w:p w14:paraId="217A3D49" w14:textId="77777777" w:rsidR="00C04CAD" w:rsidRDefault="00C04CAD">
      <w:pPr>
        <w:tabs>
          <w:tab w:val="clear" w:pos="567"/>
        </w:tabs>
        <w:kinsoku w:val="0"/>
        <w:overflowPunct w:val="0"/>
        <w:autoSpaceDE w:val="0"/>
        <w:autoSpaceDN w:val="0"/>
        <w:adjustRightInd w:val="0"/>
        <w:spacing w:line="240" w:lineRule="auto"/>
        <w:rPr>
          <w:u w:val="single"/>
        </w:rPr>
      </w:pPr>
    </w:p>
    <w:p w14:paraId="698DD7A2" w14:textId="77777777" w:rsidR="00C04CAD" w:rsidRDefault="00060E34">
      <w:pPr>
        <w:tabs>
          <w:tab w:val="clear" w:pos="567"/>
        </w:tabs>
        <w:kinsoku w:val="0"/>
        <w:overflowPunct w:val="0"/>
        <w:autoSpaceDE w:val="0"/>
        <w:autoSpaceDN w:val="0"/>
        <w:adjustRightInd w:val="0"/>
        <w:spacing w:line="240" w:lineRule="auto"/>
        <w:rPr>
          <w:i/>
        </w:rPr>
      </w:pPr>
      <w:r>
        <w:rPr>
          <w:i/>
        </w:rPr>
        <w:t>Insuficienţă renală şi/sau hepatică</w:t>
      </w:r>
    </w:p>
    <w:p w14:paraId="019651F3" w14:textId="77777777" w:rsidR="00C04CAD" w:rsidRDefault="00C04CAD">
      <w:pPr>
        <w:tabs>
          <w:tab w:val="clear" w:pos="567"/>
        </w:tabs>
        <w:kinsoku w:val="0"/>
        <w:overflowPunct w:val="0"/>
        <w:autoSpaceDE w:val="0"/>
        <w:autoSpaceDN w:val="0"/>
        <w:adjustRightInd w:val="0"/>
        <w:spacing w:line="240" w:lineRule="auto"/>
      </w:pPr>
    </w:p>
    <w:p w14:paraId="7ED2808F" w14:textId="77777777" w:rsidR="00C04CAD" w:rsidRDefault="00060E34">
      <w:pPr>
        <w:keepNext/>
        <w:spacing w:line="240" w:lineRule="auto"/>
        <w:rPr>
          <w:szCs w:val="22"/>
        </w:rPr>
      </w:pPr>
      <w:r>
        <w:rPr>
          <w:rFonts w:eastAsia="MS Mincho"/>
          <w:szCs w:val="22"/>
          <w:lang w:eastAsia="en-US" w:bidi="ar-SA"/>
        </w:rPr>
        <w:t>Adalimumab</w:t>
      </w:r>
      <w:r>
        <w:rPr>
          <w:szCs w:val="22"/>
        </w:rPr>
        <w:t xml:space="preserve"> nu a fost studiat în cadrul acestor populaţii de pacienţi. Nu se </w:t>
      </w:r>
      <w:r>
        <w:rPr>
          <w:rFonts w:eastAsia="MS Mincho"/>
          <w:szCs w:val="22"/>
          <w:lang w:eastAsia="en-US" w:bidi="ar-SA"/>
        </w:rPr>
        <w:t xml:space="preserve">poate </w:t>
      </w:r>
      <w:r>
        <w:rPr>
          <w:szCs w:val="22"/>
        </w:rPr>
        <w:t xml:space="preserve">face </w:t>
      </w:r>
      <w:r>
        <w:rPr>
          <w:rFonts w:eastAsia="MS Mincho"/>
          <w:szCs w:val="22"/>
          <w:lang w:eastAsia="en-US" w:bidi="ar-SA"/>
        </w:rPr>
        <w:t xml:space="preserve">nicio recomandare </w:t>
      </w:r>
      <w:r>
        <w:rPr>
          <w:szCs w:val="22"/>
        </w:rPr>
        <w:t>asupra dozei.</w:t>
      </w:r>
    </w:p>
    <w:p w14:paraId="6C9AF15F" w14:textId="77777777" w:rsidR="00C04CAD" w:rsidRDefault="00C04CAD">
      <w:pPr>
        <w:keepNext/>
        <w:spacing w:line="240" w:lineRule="auto"/>
        <w:rPr>
          <w:szCs w:val="22"/>
        </w:rPr>
      </w:pPr>
    </w:p>
    <w:p w14:paraId="0F2AC5D2" w14:textId="77777777" w:rsidR="00C04CAD" w:rsidRDefault="00060E34">
      <w:pPr>
        <w:pStyle w:val="BodyText"/>
        <w:kinsoku w:val="0"/>
        <w:overflowPunct w:val="0"/>
        <w:rPr>
          <w:color w:val="auto"/>
          <w:szCs w:val="22"/>
        </w:rPr>
      </w:pPr>
      <w:r>
        <w:rPr>
          <w:color w:val="auto"/>
          <w:szCs w:val="22"/>
        </w:rPr>
        <w:t>Copii şi adolescenţi</w:t>
      </w:r>
    </w:p>
    <w:p w14:paraId="76F3C9F3" w14:textId="77777777" w:rsidR="00C04CAD" w:rsidRDefault="00C04CAD">
      <w:pPr>
        <w:kinsoku w:val="0"/>
        <w:overflowPunct w:val="0"/>
        <w:spacing w:line="240" w:lineRule="auto"/>
      </w:pPr>
    </w:p>
    <w:p w14:paraId="0197661E" w14:textId="77777777" w:rsidR="00C04CAD" w:rsidRDefault="00060E34">
      <w:pPr>
        <w:kinsoku w:val="0"/>
        <w:overflowPunct w:val="0"/>
        <w:spacing w:line="240" w:lineRule="auto"/>
        <w:rPr>
          <w:iCs/>
          <w:szCs w:val="22"/>
          <w:u w:val="single"/>
        </w:rPr>
      </w:pPr>
      <w:r>
        <w:rPr>
          <w:i/>
          <w:u w:val="single"/>
        </w:rPr>
        <w:t>Artrită juvenilă idiopatică</w:t>
      </w:r>
    </w:p>
    <w:p w14:paraId="283543AC" w14:textId="77777777" w:rsidR="00C04CAD" w:rsidRDefault="00C04CAD">
      <w:pPr>
        <w:keepNext/>
        <w:spacing w:line="240" w:lineRule="auto"/>
      </w:pPr>
    </w:p>
    <w:p w14:paraId="1E71EEDC" w14:textId="77777777" w:rsidR="00C04CAD" w:rsidRDefault="00060E34">
      <w:pPr>
        <w:tabs>
          <w:tab w:val="clear" w:pos="567"/>
        </w:tabs>
        <w:kinsoku w:val="0"/>
        <w:overflowPunct w:val="0"/>
        <w:autoSpaceDE w:val="0"/>
        <w:autoSpaceDN w:val="0"/>
        <w:adjustRightInd w:val="0"/>
        <w:spacing w:line="240" w:lineRule="auto"/>
      </w:pPr>
      <w:r>
        <w:t xml:space="preserve">Artrită juvenilă idiopatică forma poliarticulară </w:t>
      </w:r>
      <w:r>
        <w:rPr>
          <w:rFonts w:eastAsia="MS Mincho"/>
          <w:iCs/>
          <w:szCs w:val="22"/>
          <w:lang w:eastAsia="en-US" w:bidi="ar-SA"/>
        </w:rPr>
        <w:t xml:space="preserve">de </w:t>
      </w:r>
      <w:r>
        <w:t>la vârsta de 2 ani</w:t>
      </w:r>
    </w:p>
    <w:p w14:paraId="13E536F1" w14:textId="77777777" w:rsidR="00C04CAD" w:rsidRDefault="00C04CAD">
      <w:pPr>
        <w:tabs>
          <w:tab w:val="clear" w:pos="567"/>
        </w:tabs>
        <w:kinsoku w:val="0"/>
        <w:overflowPunct w:val="0"/>
        <w:autoSpaceDE w:val="0"/>
        <w:autoSpaceDN w:val="0"/>
        <w:adjustRightInd w:val="0"/>
        <w:spacing w:line="240" w:lineRule="auto"/>
      </w:pPr>
    </w:p>
    <w:p w14:paraId="5B79828B" w14:textId="77777777" w:rsidR="00C04CAD" w:rsidRDefault="00060E34">
      <w:pPr>
        <w:keepNext/>
        <w:spacing w:line="240" w:lineRule="auto"/>
        <w:rPr>
          <w:szCs w:val="22"/>
        </w:rPr>
      </w:pPr>
      <w:r>
        <w:rPr>
          <w:szCs w:val="22"/>
        </w:rPr>
        <w:t xml:space="preserve">Doza de </w:t>
      </w:r>
      <w:r>
        <w:rPr>
          <w:rFonts w:eastAsia="MS Mincho"/>
          <w:szCs w:val="22"/>
          <w:lang w:eastAsia="en-US" w:bidi="ar-SA"/>
        </w:rPr>
        <w:t>AMGEVITA</w:t>
      </w:r>
      <w:r>
        <w:rPr>
          <w:szCs w:val="22"/>
        </w:rPr>
        <w:t xml:space="preserve"> recomandată pentru pacienţii cu artrită juvenilă idiopatică forma poliarticulară de la vârsta de 2 ani se bazează pe suprafaţa corporală (tabelul 1). AMGEVITA se administrează injectabil subcutanat la două săptămâni.</w:t>
      </w:r>
    </w:p>
    <w:p w14:paraId="5F91FF86" w14:textId="77777777" w:rsidR="00C04CAD" w:rsidRDefault="00C04CAD">
      <w:pPr>
        <w:keepNext/>
        <w:spacing w:line="240" w:lineRule="auto"/>
      </w:pPr>
    </w:p>
    <w:p w14:paraId="7F04A4EC" w14:textId="77777777" w:rsidR="00C04CAD" w:rsidRDefault="00060E34">
      <w:pPr>
        <w:suppressAutoHyphens/>
        <w:spacing w:line="240" w:lineRule="auto"/>
        <w:rPr>
          <w:b/>
          <w:szCs w:val="22"/>
        </w:rPr>
      </w:pPr>
      <w:r>
        <w:rPr>
          <w:b/>
          <w:szCs w:val="22"/>
        </w:rPr>
        <w:t xml:space="preserve">Tabelul 1. Doza de AMGEVITA pentru pacienții cu artrită juvenilă idiopatică forma poliarticulară </w:t>
      </w:r>
    </w:p>
    <w:p w14:paraId="7037EB7E" w14:textId="77777777" w:rsidR="00C04CAD" w:rsidRDefault="00C04CAD">
      <w:pPr>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37BECD9D" w14:textId="77777777">
        <w:trPr>
          <w:tblHeader/>
        </w:trPr>
        <w:tc>
          <w:tcPr>
            <w:tcW w:w="2241" w:type="pct"/>
          </w:tcPr>
          <w:p w14:paraId="2C52210F"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65CAFFA8"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7D9B35AC" w14:textId="77777777">
        <w:trPr>
          <w:tblHeader/>
        </w:trPr>
        <w:tc>
          <w:tcPr>
            <w:tcW w:w="2241" w:type="pct"/>
          </w:tcPr>
          <w:p w14:paraId="2DE2C3FF"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10 kg până la&lt; 30 kg</w:t>
            </w:r>
          </w:p>
        </w:tc>
        <w:tc>
          <w:tcPr>
            <w:tcW w:w="2759" w:type="pct"/>
          </w:tcPr>
          <w:p w14:paraId="6F85DDCF"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20 mg la două săptămâni</w:t>
            </w:r>
          </w:p>
        </w:tc>
      </w:tr>
      <w:tr w:rsidR="00C04CAD" w14:paraId="40452276" w14:textId="77777777">
        <w:trPr>
          <w:tblHeader/>
        </w:trPr>
        <w:tc>
          <w:tcPr>
            <w:tcW w:w="2241" w:type="pct"/>
          </w:tcPr>
          <w:p w14:paraId="466701D8"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78BE86C5"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40 mg la două săptămâni</w:t>
            </w:r>
          </w:p>
        </w:tc>
      </w:tr>
    </w:tbl>
    <w:p w14:paraId="3747DC1D" w14:textId="77777777" w:rsidR="00C04CAD" w:rsidRDefault="00C04CAD">
      <w:pPr>
        <w:tabs>
          <w:tab w:val="clear" w:pos="567"/>
        </w:tabs>
        <w:kinsoku w:val="0"/>
        <w:overflowPunct w:val="0"/>
        <w:autoSpaceDE w:val="0"/>
        <w:autoSpaceDN w:val="0"/>
        <w:adjustRightInd w:val="0"/>
        <w:spacing w:line="240" w:lineRule="auto"/>
      </w:pPr>
    </w:p>
    <w:p w14:paraId="5AD416CE"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 xml:space="preserve">Datele clinice disponibile sugerează că răspunsul </w:t>
      </w:r>
      <w:r>
        <w:t>clinic este obţinut, de regulă, în cursul a 12 săptămâni de tratament. Continuarea tratamentului trebuie reevaluată atent în cazul pacienţilor care nu răspund la tratament în timpul acestei perioade.</w:t>
      </w:r>
    </w:p>
    <w:p w14:paraId="157BC79D" w14:textId="77777777" w:rsidR="00C04CAD" w:rsidRDefault="00C04CAD">
      <w:pPr>
        <w:tabs>
          <w:tab w:val="clear" w:pos="567"/>
        </w:tabs>
        <w:kinsoku w:val="0"/>
        <w:overflowPunct w:val="0"/>
        <w:autoSpaceDE w:val="0"/>
        <w:autoSpaceDN w:val="0"/>
        <w:adjustRightInd w:val="0"/>
        <w:spacing w:line="240" w:lineRule="auto"/>
      </w:pPr>
    </w:p>
    <w:p w14:paraId="48A57F4B" w14:textId="77777777" w:rsidR="00C04CAD" w:rsidRDefault="00060E34">
      <w:pPr>
        <w:tabs>
          <w:tab w:val="clear" w:pos="567"/>
        </w:tabs>
        <w:kinsoku w:val="0"/>
        <w:overflowPunct w:val="0"/>
        <w:autoSpaceDE w:val="0"/>
        <w:autoSpaceDN w:val="0"/>
        <w:adjustRightInd w:val="0"/>
        <w:spacing w:line="240" w:lineRule="auto"/>
      </w:pPr>
      <w:r>
        <w:t xml:space="preserve">Pentru această indicaţie, nu există date relevante privind utilizarea </w:t>
      </w:r>
      <w:r>
        <w:rPr>
          <w:rFonts w:eastAsia="MS Mincho"/>
          <w:szCs w:val="22"/>
          <w:lang w:eastAsia="en-US" w:bidi="ar-SA"/>
        </w:rPr>
        <w:t xml:space="preserve">adalimumab </w:t>
      </w:r>
      <w:r>
        <w:t>la pacienţi cu vârsta mai mică de 2 ani.</w:t>
      </w:r>
    </w:p>
    <w:p w14:paraId="10112F00" w14:textId="77777777" w:rsidR="00C04CAD" w:rsidRDefault="00C04CAD">
      <w:pPr>
        <w:tabs>
          <w:tab w:val="clear" w:pos="567"/>
        </w:tabs>
        <w:kinsoku w:val="0"/>
        <w:overflowPunct w:val="0"/>
        <w:autoSpaceDE w:val="0"/>
        <w:autoSpaceDN w:val="0"/>
        <w:adjustRightInd w:val="0"/>
        <w:spacing w:line="240" w:lineRule="auto"/>
      </w:pPr>
    </w:p>
    <w:p w14:paraId="7E44C2CD" w14:textId="77777777" w:rsidR="00C04CAD" w:rsidRDefault="00060E34">
      <w:pPr>
        <w:keepNext/>
        <w:tabs>
          <w:tab w:val="clear" w:pos="567"/>
        </w:tabs>
        <w:kinsoku w:val="0"/>
        <w:overflowPunct w:val="0"/>
        <w:autoSpaceDE w:val="0"/>
        <w:autoSpaceDN w:val="0"/>
        <w:adjustRightInd w:val="0"/>
        <w:spacing w:line="240" w:lineRule="auto"/>
      </w:pPr>
      <w:r>
        <w:rPr>
          <w:i/>
        </w:rPr>
        <w:lastRenderedPageBreak/>
        <w:t>Artrită asociată entezitei</w:t>
      </w:r>
    </w:p>
    <w:p w14:paraId="2EF22E55" w14:textId="77777777" w:rsidR="00C04CAD" w:rsidRDefault="00C04CAD">
      <w:pPr>
        <w:keepNext/>
        <w:tabs>
          <w:tab w:val="clear" w:pos="567"/>
        </w:tabs>
        <w:kinsoku w:val="0"/>
        <w:overflowPunct w:val="0"/>
        <w:autoSpaceDE w:val="0"/>
        <w:autoSpaceDN w:val="0"/>
        <w:adjustRightInd w:val="0"/>
        <w:spacing w:line="240" w:lineRule="auto"/>
      </w:pPr>
    </w:p>
    <w:p w14:paraId="1BE83019" w14:textId="77777777" w:rsidR="00C04CAD" w:rsidRDefault="00060E34">
      <w:pPr>
        <w:tabs>
          <w:tab w:val="clear" w:pos="567"/>
        </w:tabs>
        <w:kinsoku w:val="0"/>
        <w:overflowPunct w:val="0"/>
        <w:autoSpaceDE w:val="0"/>
        <w:autoSpaceDN w:val="0"/>
        <w:adjustRightInd w:val="0"/>
        <w:spacing w:line="240" w:lineRule="auto"/>
      </w:pPr>
      <w:r>
        <w:t xml:space="preserve">Doza de </w:t>
      </w:r>
      <w:r>
        <w:rPr>
          <w:rFonts w:eastAsia="MS Mincho"/>
          <w:szCs w:val="22"/>
          <w:lang w:eastAsia="en-US" w:bidi="ar-SA"/>
        </w:rPr>
        <w:t>AMGEVITA</w:t>
      </w:r>
      <w:r>
        <w:t xml:space="preserve"> recomandată pentru pacienţii cu artrită asociată entezitei de la vârsta de 6 ani se bazează pe greutate corporală (tabelul 2). AMGEVITA se administrează o dată la două săptămâni prin injecţie subcutanată.</w:t>
      </w:r>
    </w:p>
    <w:p w14:paraId="3589F1EB" w14:textId="77777777" w:rsidR="00C04CAD" w:rsidRDefault="00C04CAD">
      <w:pPr>
        <w:tabs>
          <w:tab w:val="clear" w:pos="567"/>
        </w:tabs>
        <w:kinsoku w:val="0"/>
        <w:overflowPunct w:val="0"/>
        <w:autoSpaceDE w:val="0"/>
        <w:autoSpaceDN w:val="0"/>
        <w:adjustRightInd w:val="0"/>
        <w:spacing w:line="240" w:lineRule="auto"/>
      </w:pPr>
    </w:p>
    <w:p w14:paraId="08129F1D" w14:textId="77777777" w:rsidR="00C04CAD" w:rsidRDefault="00060E34">
      <w:pPr>
        <w:keepNext/>
        <w:tabs>
          <w:tab w:val="clear" w:pos="567"/>
        </w:tabs>
        <w:kinsoku w:val="0"/>
        <w:overflowPunct w:val="0"/>
        <w:autoSpaceDE w:val="0"/>
        <w:autoSpaceDN w:val="0"/>
        <w:adjustRightInd w:val="0"/>
        <w:spacing w:line="240" w:lineRule="auto"/>
      </w:pPr>
      <w:r>
        <w:rPr>
          <w:b/>
          <w:szCs w:val="22"/>
        </w:rPr>
        <w:t>Tabelul 2. Doza de AMGEVITA pentru pacienții cu artrită asociată entezitei</w:t>
      </w:r>
    </w:p>
    <w:p w14:paraId="4D6ECDBD" w14:textId="77777777" w:rsidR="00C04CAD" w:rsidRDefault="00C04CAD">
      <w:pPr>
        <w:keepNext/>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76794B35" w14:textId="77777777">
        <w:trPr>
          <w:tblHeader/>
        </w:trPr>
        <w:tc>
          <w:tcPr>
            <w:tcW w:w="2241" w:type="pct"/>
          </w:tcPr>
          <w:p w14:paraId="2ED799F6"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203A4517"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080BACA8" w14:textId="77777777">
        <w:trPr>
          <w:tblHeader/>
        </w:trPr>
        <w:tc>
          <w:tcPr>
            <w:tcW w:w="2241" w:type="pct"/>
          </w:tcPr>
          <w:p w14:paraId="264737E0"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15 kg până la&lt; 30 kg</w:t>
            </w:r>
          </w:p>
        </w:tc>
        <w:tc>
          <w:tcPr>
            <w:tcW w:w="2759" w:type="pct"/>
          </w:tcPr>
          <w:p w14:paraId="15375D86"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20 mg la două săptămâni</w:t>
            </w:r>
          </w:p>
        </w:tc>
      </w:tr>
      <w:tr w:rsidR="00C04CAD" w14:paraId="462D4BCC" w14:textId="77777777">
        <w:trPr>
          <w:tblHeader/>
        </w:trPr>
        <w:tc>
          <w:tcPr>
            <w:tcW w:w="2241" w:type="pct"/>
          </w:tcPr>
          <w:p w14:paraId="42EB6DBE"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5CDDDB27"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40 mg la două săptămâni</w:t>
            </w:r>
          </w:p>
        </w:tc>
      </w:tr>
    </w:tbl>
    <w:p w14:paraId="52C1A8C6" w14:textId="77777777" w:rsidR="00C04CAD" w:rsidRDefault="00C04CAD">
      <w:pPr>
        <w:tabs>
          <w:tab w:val="clear" w:pos="567"/>
        </w:tabs>
        <w:kinsoku w:val="0"/>
        <w:overflowPunct w:val="0"/>
        <w:autoSpaceDE w:val="0"/>
        <w:autoSpaceDN w:val="0"/>
        <w:adjustRightInd w:val="0"/>
        <w:spacing w:line="240" w:lineRule="auto"/>
      </w:pPr>
    </w:p>
    <w:p w14:paraId="6A74A1B3"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Adalimumab</w:t>
      </w:r>
      <w:r>
        <w:t xml:space="preserve"> nu a fost studiat la pacienţii cu artrită asociată entezitei cu vârsta mai mică de 6 ani.</w:t>
      </w:r>
    </w:p>
    <w:p w14:paraId="176C2DD7" w14:textId="77777777" w:rsidR="00C04CAD" w:rsidRDefault="00C04CAD">
      <w:pPr>
        <w:tabs>
          <w:tab w:val="clear" w:pos="567"/>
        </w:tabs>
        <w:kinsoku w:val="0"/>
        <w:overflowPunct w:val="0"/>
        <w:autoSpaceDE w:val="0"/>
        <w:autoSpaceDN w:val="0"/>
        <w:adjustRightInd w:val="0"/>
        <w:spacing w:line="240" w:lineRule="auto"/>
      </w:pPr>
    </w:p>
    <w:p w14:paraId="2C27547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Artrita psoriazică şi spondiloartrita axială inclusiv spondilita anchilozantă </w:t>
      </w:r>
    </w:p>
    <w:p w14:paraId="7BE03E61"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64C617AE" w14:textId="77777777" w:rsidR="00C04CAD" w:rsidRDefault="00060E34">
      <w:pPr>
        <w:tabs>
          <w:tab w:val="clear" w:pos="567"/>
        </w:tabs>
        <w:kinsoku w:val="0"/>
        <w:overflowPunct w:val="0"/>
        <w:autoSpaceDE w:val="0"/>
        <w:autoSpaceDN w:val="0"/>
        <w:adjustRightInd w:val="0"/>
        <w:spacing w:line="240" w:lineRule="auto"/>
      </w:pPr>
      <w:r>
        <w:rPr>
          <w:rFonts w:eastAsia="MS Mincho"/>
          <w:color w:val="000000"/>
          <w:szCs w:val="22"/>
          <w:lang w:eastAsia="ja-JP" w:bidi="ar-SA"/>
        </w:rPr>
        <w:t>Pentru indicaţiile spondilită anchilozantă şi artrită psoriazică nu există date relevante privind utilizarea adalimumabului la copii și adolescenți.</w:t>
      </w:r>
    </w:p>
    <w:p w14:paraId="1E876593" w14:textId="77777777" w:rsidR="00C04CAD" w:rsidRDefault="00C04CAD">
      <w:pPr>
        <w:tabs>
          <w:tab w:val="clear" w:pos="567"/>
        </w:tabs>
        <w:kinsoku w:val="0"/>
        <w:overflowPunct w:val="0"/>
        <w:autoSpaceDE w:val="0"/>
        <w:autoSpaceDN w:val="0"/>
        <w:adjustRightInd w:val="0"/>
        <w:spacing w:line="240" w:lineRule="auto"/>
      </w:pPr>
    </w:p>
    <w:p w14:paraId="4B507971" w14:textId="77777777" w:rsidR="00C04CAD" w:rsidRDefault="00060E34">
      <w:pPr>
        <w:tabs>
          <w:tab w:val="clear" w:pos="567"/>
        </w:tabs>
        <w:kinsoku w:val="0"/>
        <w:overflowPunct w:val="0"/>
        <w:autoSpaceDE w:val="0"/>
        <w:autoSpaceDN w:val="0"/>
        <w:adjustRightInd w:val="0"/>
        <w:spacing w:line="240" w:lineRule="auto"/>
      </w:pPr>
      <w:r>
        <w:rPr>
          <w:i/>
        </w:rPr>
        <w:t>Psoriazis în plăci la copii și adolescenți</w:t>
      </w:r>
    </w:p>
    <w:p w14:paraId="694FB100" w14:textId="77777777" w:rsidR="00C04CAD" w:rsidRDefault="00C04CAD">
      <w:pPr>
        <w:tabs>
          <w:tab w:val="clear" w:pos="567"/>
        </w:tabs>
        <w:kinsoku w:val="0"/>
        <w:overflowPunct w:val="0"/>
        <w:autoSpaceDE w:val="0"/>
        <w:autoSpaceDN w:val="0"/>
        <w:adjustRightInd w:val="0"/>
        <w:spacing w:line="240" w:lineRule="auto"/>
      </w:pPr>
    </w:p>
    <w:p w14:paraId="31463BBF" w14:textId="77777777" w:rsidR="00C04CAD" w:rsidRDefault="00060E34">
      <w:pPr>
        <w:tabs>
          <w:tab w:val="clear" w:pos="567"/>
        </w:tabs>
        <w:kinsoku w:val="0"/>
        <w:overflowPunct w:val="0"/>
        <w:autoSpaceDE w:val="0"/>
        <w:autoSpaceDN w:val="0"/>
        <w:adjustRightInd w:val="0"/>
        <w:spacing w:line="240" w:lineRule="auto"/>
      </w:pPr>
      <w:r>
        <w:t xml:space="preserve">Doza de </w:t>
      </w:r>
      <w:r>
        <w:rPr>
          <w:rFonts w:eastAsia="MS Mincho"/>
          <w:szCs w:val="22"/>
          <w:lang w:eastAsia="en-US" w:bidi="ar-SA"/>
        </w:rPr>
        <w:t>AMGEVITA</w:t>
      </w:r>
      <w:r>
        <w:t xml:space="preserve"> recomandată pentru pacienții cu psoriazis în plăci, cu vârsta cuprinsă între 4 și 17 ani se bazează pe greutatea corporală (tabelul 3). AMGEVITA se administrează prin injecţie subcutanată.</w:t>
      </w:r>
    </w:p>
    <w:p w14:paraId="6E6ED3B1" w14:textId="77777777" w:rsidR="00C04CAD" w:rsidRDefault="00C04CAD">
      <w:pPr>
        <w:tabs>
          <w:tab w:val="clear" w:pos="567"/>
        </w:tabs>
        <w:kinsoku w:val="0"/>
        <w:overflowPunct w:val="0"/>
        <w:autoSpaceDE w:val="0"/>
        <w:autoSpaceDN w:val="0"/>
        <w:adjustRightInd w:val="0"/>
        <w:spacing w:line="240" w:lineRule="auto"/>
      </w:pPr>
    </w:p>
    <w:p w14:paraId="2CBC2E2E" w14:textId="77777777" w:rsidR="00C04CAD" w:rsidRDefault="00060E34">
      <w:pPr>
        <w:suppressAutoHyphens/>
        <w:spacing w:line="240" w:lineRule="auto"/>
        <w:rPr>
          <w:b/>
          <w:szCs w:val="22"/>
        </w:rPr>
      </w:pPr>
      <w:r>
        <w:rPr>
          <w:b/>
          <w:szCs w:val="22"/>
        </w:rPr>
        <w:t xml:space="preserve">Tabelul 3. AMGEVITA Doza pentru psoriazisul în plăci la copii și adolescenți </w:t>
      </w:r>
    </w:p>
    <w:p w14:paraId="4A445E5F" w14:textId="77777777" w:rsidR="00C04CAD" w:rsidRDefault="00C04CAD">
      <w:pPr>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208BEE56" w14:textId="77777777">
        <w:trPr>
          <w:tblHeader/>
        </w:trPr>
        <w:tc>
          <w:tcPr>
            <w:tcW w:w="2241" w:type="pct"/>
          </w:tcPr>
          <w:p w14:paraId="3BE53D2D"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6468B8F1"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2477CC4C" w14:textId="77777777">
        <w:trPr>
          <w:tblHeader/>
        </w:trPr>
        <w:tc>
          <w:tcPr>
            <w:tcW w:w="2241" w:type="pct"/>
          </w:tcPr>
          <w:p w14:paraId="33432B97"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15 kg până la&lt; 30 kg</w:t>
            </w:r>
          </w:p>
        </w:tc>
        <w:tc>
          <w:tcPr>
            <w:tcW w:w="2759" w:type="pct"/>
          </w:tcPr>
          <w:p w14:paraId="32EC0B3C"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Doza inițială de 20 mg, urmată de o doză de 20 mg administrată la două săptămâni, începând la o săptămână după doza inițială.</w:t>
            </w:r>
          </w:p>
        </w:tc>
      </w:tr>
      <w:tr w:rsidR="00C04CAD" w14:paraId="716988CD" w14:textId="77777777">
        <w:trPr>
          <w:tblHeader/>
        </w:trPr>
        <w:tc>
          <w:tcPr>
            <w:tcW w:w="2241" w:type="pct"/>
          </w:tcPr>
          <w:p w14:paraId="22E54EBC"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520A54F1" w14:textId="77777777" w:rsidR="00C04CAD" w:rsidRDefault="00060E34">
            <w:pPr>
              <w:suppressAutoHyphens/>
              <w:spacing w:line="240" w:lineRule="auto"/>
              <w:rPr>
                <w:b/>
                <w:szCs w:val="22"/>
              </w:rPr>
            </w:pPr>
            <w:r>
              <w:rPr>
                <w:rFonts w:eastAsia="Calibri"/>
                <w:szCs w:val="22"/>
                <w:lang w:eastAsia="ja-JP"/>
              </w:rPr>
              <w:t>Doza inițială de 40 mg, urmată de o doză de 40 mg administrată la două săptămâni, începând la o săptămână după doza inițială</w:t>
            </w:r>
          </w:p>
        </w:tc>
      </w:tr>
    </w:tbl>
    <w:p w14:paraId="78B205D9" w14:textId="77777777" w:rsidR="00C04CAD" w:rsidRDefault="00C04CAD">
      <w:pPr>
        <w:tabs>
          <w:tab w:val="clear" w:pos="567"/>
        </w:tabs>
        <w:autoSpaceDE w:val="0"/>
        <w:autoSpaceDN w:val="0"/>
        <w:adjustRightInd w:val="0"/>
        <w:spacing w:line="240" w:lineRule="auto"/>
        <w:rPr>
          <w:color w:val="000000"/>
          <w:szCs w:val="22"/>
        </w:rPr>
      </w:pPr>
    </w:p>
    <w:p w14:paraId="60974CE4" w14:textId="77777777" w:rsidR="00C04CAD" w:rsidRDefault="00060E34">
      <w:pPr>
        <w:tabs>
          <w:tab w:val="clear" w:pos="567"/>
        </w:tabs>
        <w:kinsoku w:val="0"/>
        <w:overflowPunct w:val="0"/>
        <w:autoSpaceDE w:val="0"/>
        <w:autoSpaceDN w:val="0"/>
        <w:adjustRightInd w:val="0"/>
        <w:spacing w:line="240" w:lineRule="auto"/>
        <w:rPr>
          <w:color w:val="000000"/>
          <w:szCs w:val="22"/>
        </w:rPr>
      </w:pPr>
      <w:r>
        <w:rPr>
          <w:color w:val="000000"/>
          <w:szCs w:val="22"/>
        </w:rPr>
        <w:t xml:space="preserve">Trebuie evaluată cu atenție continuarea tratamentului pe o durată mai mare de 16 săptămâni dacă pacienții nu răspund la tratament în acest interval de timp. </w:t>
      </w:r>
    </w:p>
    <w:p w14:paraId="276DB8CC" w14:textId="77777777" w:rsidR="00C04CAD" w:rsidRDefault="00C04CAD">
      <w:pPr>
        <w:tabs>
          <w:tab w:val="clear" w:pos="567"/>
        </w:tabs>
        <w:kinsoku w:val="0"/>
        <w:overflowPunct w:val="0"/>
        <w:autoSpaceDE w:val="0"/>
        <w:autoSpaceDN w:val="0"/>
        <w:adjustRightInd w:val="0"/>
        <w:spacing w:line="240" w:lineRule="auto"/>
      </w:pPr>
    </w:p>
    <w:p w14:paraId="37572827" w14:textId="77777777" w:rsidR="00C04CAD" w:rsidRDefault="00060E34">
      <w:pPr>
        <w:tabs>
          <w:tab w:val="clear" w:pos="567"/>
        </w:tabs>
        <w:kinsoku w:val="0"/>
        <w:overflowPunct w:val="0"/>
        <w:autoSpaceDE w:val="0"/>
        <w:autoSpaceDN w:val="0"/>
        <w:adjustRightInd w:val="0"/>
        <w:spacing w:line="240" w:lineRule="auto"/>
      </w:pPr>
      <w:r>
        <w:t xml:space="preserve">Dacă este indicată reluarea tratamentului cu </w:t>
      </w:r>
      <w:r>
        <w:rPr>
          <w:rFonts w:eastAsia="MS Mincho"/>
          <w:szCs w:val="22"/>
          <w:lang w:eastAsia="en-US" w:bidi="ar-SA"/>
        </w:rPr>
        <w:t>AMGEVITA</w:t>
      </w:r>
      <w:r>
        <w:t>, trebuie urmate recomandările de mai sus referitoare la doză și la durata tratamentului.</w:t>
      </w:r>
    </w:p>
    <w:p w14:paraId="25AC22EE" w14:textId="77777777" w:rsidR="00C04CAD" w:rsidRDefault="00C04CAD">
      <w:pPr>
        <w:tabs>
          <w:tab w:val="clear" w:pos="567"/>
        </w:tabs>
        <w:kinsoku w:val="0"/>
        <w:overflowPunct w:val="0"/>
        <w:autoSpaceDE w:val="0"/>
        <w:autoSpaceDN w:val="0"/>
        <w:adjustRightInd w:val="0"/>
        <w:spacing w:line="240" w:lineRule="auto"/>
      </w:pPr>
    </w:p>
    <w:p w14:paraId="57C4D83B" w14:textId="77777777" w:rsidR="00C04CAD" w:rsidRDefault="00060E34">
      <w:pPr>
        <w:tabs>
          <w:tab w:val="clear" w:pos="567"/>
        </w:tabs>
        <w:kinsoku w:val="0"/>
        <w:overflowPunct w:val="0"/>
        <w:autoSpaceDE w:val="0"/>
        <w:autoSpaceDN w:val="0"/>
        <w:adjustRightInd w:val="0"/>
        <w:spacing w:line="240" w:lineRule="auto"/>
      </w:pPr>
      <w:r>
        <w:t xml:space="preserve">Siguranța </w:t>
      </w:r>
      <w:r>
        <w:rPr>
          <w:rFonts w:eastAsia="MS Mincho"/>
          <w:szCs w:val="22"/>
          <w:lang w:eastAsia="en-US" w:bidi="ar-SA"/>
        </w:rPr>
        <w:t xml:space="preserve">adalimumab </w:t>
      </w:r>
      <w:r>
        <w:t>la pacienți copii și adolescenți cu psoriazis în plăci a fost evaluată pentru o perioadă medie de 13luni.</w:t>
      </w:r>
    </w:p>
    <w:p w14:paraId="35A82C1F" w14:textId="77777777" w:rsidR="00C04CAD" w:rsidRDefault="00C04CAD">
      <w:pPr>
        <w:tabs>
          <w:tab w:val="clear" w:pos="567"/>
        </w:tabs>
        <w:kinsoku w:val="0"/>
        <w:overflowPunct w:val="0"/>
        <w:autoSpaceDE w:val="0"/>
        <w:autoSpaceDN w:val="0"/>
        <w:adjustRightInd w:val="0"/>
        <w:spacing w:line="240" w:lineRule="auto"/>
      </w:pPr>
    </w:p>
    <w:p w14:paraId="0FB16F31" w14:textId="77777777" w:rsidR="00C04CAD" w:rsidRDefault="00060E34">
      <w:pPr>
        <w:tabs>
          <w:tab w:val="clear" w:pos="567"/>
        </w:tabs>
        <w:kinsoku w:val="0"/>
        <w:overflowPunct w:val="0"/>
        <w:autoSpaceDE w:val="0"/>
        <w:autoSpaceDN w:val="0"/>
        <w:adjustRightInd w:val="0"/>
        <w:spacing w:line="240" w:lineRule="auto"/>
      </w:pPr>
      <w:r>
        <w:t xml:space="preserve">Pentru această indicaţie, nu există date relevante privind utilizarea </w:t>
      </w:r>
      <w:r>
        <w:rPr>
          <w:rFonts w:eastAsia="MS Mincho"/>
          <w:szCs w:val="22"/>
          <w:lang w:eastAsia="en-US" w:bidi="ar-SA"/>
        </w:rPr>
        <w:t xml:space="preserve">adalimumab </w:t>
      </w:r>
      <w:r>
        <w:t>la copii cu vârsta mai mică de 4 ani.</w:t>
      </w:r>
    </w:p>
    <w:p w14:paraId="25035AAF" w14:textId="77777777" w:rsidR="00C04CAD" w:rsidRDefault="00C04CAD">
      <w:pPr>
        <w:tabs>
          <w:tab w:val="clear" w:pos="567"/>
        </w:tabs>
        <w:kinsoku w:val="0"/>
        <w:overflowPunct w:val="0"/>
        <w:autoSpaceDE w:val="0"/>
        <w:autoSpaceDN w:val="0"/>
        <w:adjustRightInd w:val="0"/>
        <w:spacing w:line="240" w:lineRule="auto"/>
      </w:pPr>
    </w:p>
    <w:p w14:paraId="0CBAA1AD" w14:textId="77777777" w:rsidR="00C04CAD" w:rsidRDefault="00060E34">
      <w:pPr>
        <w:tabs>
          <w:tab w:val="clear" w:pos="567"/>
        </w:tabs>
        <w:kinsoku w:val="0"/>
        <w:overflowPunct w:val="0"/>
        <w:autoSpaceDE w:val="0"/>
        <w:autoSpaceDN w:val="0"/>
        <w:adjustRightInd w:val="0"/>
        <w:spacing w:line="240" w:lineRule="auto"/>
      </w:pPr>
      <w:r>
        <w:rPr>
          <w:i/>
        </w:rPr>
        <w:t>Hidrosadenită supurativă la adolescenți (de la vârsta de 12 ani, cu greutatea de cel puțin 30 kg)</w:t>
      </w:r>
    </w:p>
    <w:p w14:paraId="6ED922DE" w14:textId="77777777" w:rsidR="00C04CAD" w:rsidRDefault="00C04CAD">
      <w:pPr>
        <w:tabs>
          <w:tab w:val="clear" w:pos="567"/>
        </w:tabs>
        <w:kinsoku w:val="0"/>
        <w:overflowPunct w:val="0"/>
        <w:autoSpaceDE w:val="0"/>
        <w:autoSpaceDN w:val="0"/>
        <w:adjustRightInd w:val="0"/>
        <w:spacing w:line="240" w:lineRule="auto"/>
      </w:pPr>
    </w:p>
    <w:p w14:paraId="1B1B8142" w14:textId="77777777" w:rsidR="00C04CAD" w:rsidRDefault="00060E34">
      <w:pPr>
        <w:tabs>
          <w:tab w:val="clear" w:pos="567"/>
        </w:tabs>
        <w:kinsoku w:val="0"/>
        <w:overflowPunct w:val="0"/>
        <w:autoSpaceDE w:val="0"/>
        <w:autoSpaceDN w:val="0"/>
        <w:adjustRightInd w:val="0"/>
        <w:spacing w:line="240" w:lineRule="auto"/>
      </w:pPr>
      <w:r>
        <w:t xml:space="preserve">Nu s-au </w:t>
      </w:r>
      <w:r>
        <w:rPr>
          <w:szCs w:val="22"/>
        </w:rPr>
        <w:t>desfășurat</w:t>
      </w:r>
      <w:r>
        <w:t xml:space="preserve"> studii clinice cu adalimumab la pacienți adolescenți cu HS. Doza de AMGEVITA la acești pacienți a fost stabilită conform modelării și simulării farmacocinetice (vezi pct. 5.2).</w:t>
      </w:r>
    </w:p>
    <w:p w14:paraId="093A75F4" w14:textId="77777777" w:rsidR="00C04CAD" w:rsidRDefault="00C04CAD">
      <w:pPr>
        <w:tabs>
          <w:tab w:val="clear" w:pos="567"/>
        </w:tabs>
        <w:kinsoku w:val="0"/>
        <w:overflowPunct w:val="0"/>
        <w:autoSpaceDE w:val="0"/>
        <w:autoSpaceDN w:val="0"/>
        <w:adjustRightInd w:val="0"/>
        <w:spacing w:line="240" w:lineRule="auto"/>
      </w:pPr>
    </w:p>
    <w:p w14:paraId="22CBD53A" w14:textId="77777777" w:rsidR="00C04CAD" w:rsidRDefault="00060E34">
      <w:pPr>
        <w:tabs>
          <w:tab w:val="clear" w:pos="567"/>
        </w:tabs>
        <w:kinsoku w:val="0"/>
        <w:overflowPunct w:val="0"/>
        <w:autoSpaceDE w:val="0"/>
        <w:autoSpaceDN w:val="0"/>
        <w:adjustRightInd w:val="0"/>
        <w:spacing w:line="240" w:lineRule="auto"/>
      </w:pPr>
      <w:r>
        <w:t>Doza de AMGEVITA recomandată este de 80 mg în săptămâna 0, urmată de 40 mg la două săptămâni începând cu săptămâna 1 prin injecție subcutanată.</w:t>
      </w:r>
    </w:p>
    <w:p w14:paraId="00BFE5C5" w14:textId="77777777" w:rsidR="00C04CAD" w:rsidRDefault="00C04CAD">
      <w:pPr>
        <w:tabs>
          <w:tab w:val="clear" w:pos="567"/>
        </w:tabs>
        <w:kinsoku w:val="0"/>
        <w:overflowPunct w:val="0"/>
        <w:autoSpaceDE w:val="0"/>
        <w:autoSpaceDN w:val="0"/>
        <w:adjustRightInd w:val="0"/>
        <w:spacing w:line="240" w:lineRule="auto"/>
      </w:pPr>
    </w:p>
    <w:p w14:paraId="5CDE65EB" w14:textId="77777777" w:rsidR="00C04CAD" w:rsidRDefault="00060E34">
      <w:pPr>
        <w:tabs>
          <w:tab w:val="clear" w:pos="567"/>
        </w:tabs>
        <w:kinsoku w:val="0"/>
        <w:overflowPunct w:val="0"/>
        <w:autoSpaceDE w:val="0"/>
        <w:autoSpaceDN w:val="0"/>
        <w:adjustRightInd w:val="0"/>
        <w:spacing w:line="240" w:lineRule="auto"/>
      </w:pPr>
      <w:r>
        <w:t xml:space="preserve">La pacienții adolescenți </w:t>
      </w:r>
      <w:r>
        <w:rPr>
          <w:szCs w:val="22"/>
        </w:rPr>
        <w:t xml:space="preserve">care nu au răspuns corespunzător la </w:t>
      </w:r>
      <w:r>
        <w:t>AMGEVITA 40 mg la două săptămâni, se poate lua în considerare o creștere a dozei la 40 mg săptămânal sau 80 mg la două săptămâni.</w:t>
      </w:r>
    </w:p>
    <w:p w14:paraId="5AF8E0C8" w14:textId="77777777" w:rsidR="00C04CAD" w:rsidRDefault="00C04CAD">
      <w:pPr>
        <w:tabs>
          <w:tab w:val="clear" w:pos="567"/>
        </w:tabs>
        <w:kinsoku w:val="0"/>
        <w:overflowPunct w:val="0"/>
        <w:autoSpaceDE w:val="0"/>
        <w:autoSpaceDN w:val="0"/>
        <w:adjustRightInd w:val="0"/>
        <w:spacing w:line="240" w:lineRule="auto"/>
      </w:pPr>
    </w:p>
    <w:p w14:paraId="18D439FE" w14:textId="77777777" w:rsidR="00C04CAD" w:rsidRDefault="00060E34">
      <w:pPr>
        <w:tabs>
          <w:tab w:val="clear" w:pos="567"/>
        </w:tabs>
        <w:kinsoku w:val="0"/>
        <w:overflowPunct w:val="0"/>
        <w:autoSpaceDE w:val="0"/>
        <w:autoSpaceDN w:val="0"/>
        <w:adjustRightInd w:val="0"/>
        <w:spacing w:line="240" w:lineRule="auto"/>
      </w:pPr>
      <w:r>
        <w:rPr>
          <w:szCs w:val="22"/>
        </w:rPr>
        <w:t xml:space="preserve">Dacă este necesar se poate continua tratamentul cu antibiotice în timpul tratamentului cu </w:t>
      </w:r>
      <w:r>
        <w:t xml:space="preserve">AMGEVITA. Se recomandă ca în timpul tratamentului cu AMGEVITA </w:t>
      </w:r>
      <w:r>
        <w:rPr>
          <w:szCs w:val="22"/>
        </w:rPr>
        <w:t>pacienţii să spele zilnic leziunile de HS cu un antiseptic local</w:t>
      </w:r>
      <w:r>
        <w:t>.</w:t>
      </w:r>
    </w:p>
    <w:p w14:paraId="20C176E1" w14:textId="77777777" w:rsidR="00C04CAD" w:rsidRDefault="00C04CAD">
      <w:pPr>
        <w:tabs>
          <w:tab w:val="clear" w:pos="567"/>
        </w:tabs>
        <w:kinsoku w:val="0"/>
        <w:overflowPunct w:val="0"/>
        <w:autoSpaceDE w:val="0"/>
        <w:autoSpaceDN w:val="0"/>
        <w:adjustRightInd w:val="0"/>
        <w:spacing w:line="240" w:lineRule="auto"/>
      </w:pPr>
    </w:p>
    <w:p w14:paraId="38FA52A8" w14:textId="77777777" w:rsidR="00C04CAD" w:rsidRDefault="00060E34">
      <w:pPr>
        <w:tabs>
          <w:tab w:val="clear" w:pos="567"/>
        </w:tabs>
        <w:kinsoku w:val="0"/>
        <w:overflowPunct w:val="0"/>
        <w:autoSpaceDE w:val="0"/>
        <w:autoSpaceDN w:val="0"/>
        <w:adjustRightInd w:val="0"/>
        <w:spacing w:line="240" w:lineRule="auto"/>
      </w:pPr>
      <w:r>
        <w:t xml:space="preserve">Continuarea tratamentului după 12 săptămâni trebuie reconsiderată atent la </w:t>
      </w:r>
      <w:r>
        <w:rPr>
          <w:szCs w:val="22"/>
        </w:rPr>
        <w:t xml:space="preserve">pacienţii </w:t>
      </w:r>
      <w:r>
        <w:t>care nu au nicio ameliorare în timpul acestei perioade de timp.</w:t>
      </w:r>
    </w:p>
    <w:p w14:paraId="7641C45B" w14:textId="77777777" w:rsidR="00C04CAD" w:rsidRDefault="00C04CAD">
      <w:pPr>
        <w:tabs>
          <w:tab w:val="clear" w:pos="567"/>
        </w:tabs>
        <w:kinsoku w:val="0"/>
        <w:overflowPunct w:val="0"/>
        <w:autoSpaceDE w:val="0"/>
        <w:autoSpaceDN w:val="0"/>
        <w:adjustRightInd w:val="0"/>
        <w:spacing w:line="240" w:lineRule="auto"/>
      </w:pPr>
    </w:p>
    <w:p w14:paraId="5416C248" w14:textId="77777777" w:rsidR="00C04CAD" w:rsidRDefault="00060E34">
      <w:pPr>
        <w:tabs>
          <w:tab w:val="clear" w:pos="567"/>
        </w:tabs>
        <w:kinsoku w:val="0"/>
        <w:overflowPunct w:val="0"/>
        <w:autoSpaceDE w:val="0"/>
        <w:autoSpaceDN w:val="0"/>
        <w:adjustRightInd w:val="0"/>
        <w:spacing w:line="240" w:lineRule="auto"/>
      </w:pPr>
      <w:r>
        <w:rPr>
          <w:szCs w:val="22"/>
        </w:rPr>
        <w:t xml:space="preserve">Dacă este necesară întreruperea tratamentului cu </w:t>
      </w:r>
      <w:r>
        <w:t xml:space="preserve">AMGEVITA, </w:t>
      </w:r>
      <w:r>
        <w:rPr>
          <w:szCs w:val="22"/>
        </w:rPr>
        <w:t>acesta poate fi reluat ulterior, dacă este cazul</w:t>
      </w:r>
      <w:r>
        <w:t>.</w:t>
      </w:r>
    </w:p>
    <w:p w14:paraId="08281B4D" w14:textId="77777777" w:rsidR="00C04CAD" w:rsidRDefault="00C04CAD">
      <w:pPr>
        <w:tabs>
          <w:tab w:val="clear" w:pos="567"/>
        </w:tabs>
        <w:kinsoku w:val="0"/>
        <w:overflowPunct w:val="0"/>
        <w:autoSpaceDE w:val="0"/>
        <w:autoSpaceDN w:val="0"/>
        <w:adjustRightInd w:val="0"/>
        <w:spacing w:line="240" w:lineRule="auto"/>
      </w:pPr>
    </w:p>
    <w:p w14:paraId="05AC15F8" w14:textId="77777777" w:rsidR="00C04CAD" w:rsidRDefault="00060E34">
      <w:pPr>
        <w:tabs>
          <w:tab w:val="clear" w:pos="567"/>
        </w:tabs>
        <w:kinsoku w:val="0"/>
        <w:overflowPunct w:val="0"/>
        <w:autoSpaceDE w:val="0"/>
        <w:autoSpaceDN w:val="0"/>
        <w:adjustRightInd w:val="0"/>
        <w:spacing w:line="240" w:lineRule="auto"/>
      </w:pPr>
      <w:r>
        <w:t xml:space="preserve">Beneficiul și riscul </w:t>
      </w:r>
      <w:r>
        <w:rPr>
          <w:szCs w:val="22"/>
        </w:rPr>
        <w:t>continuării pe termen lung al tratamentului trebuie să fie evaluate periodic (vezi datele pentru adulți la pct. 5.1)</w:t>
      </w:r>
      <w:r>
        <w:t>.</w:t>
      </w:r>
    </w:p>
    <w:p w14:paraId="35D37907" w14:textId="77777777" w:rsidR="00C04CAD" w:rsidRDefault="00C04CAD">
      <w:pPr>
        <w:tabs>
          <w:tab w:val="clear" w:pos="567"/>
        </w:tabs>
        <w:kinsoku w:val="0"/>
        <w:overflowPunct w:val="0"/>
        <w:autoSpaceDE w:val="0"/>
        <w:autoSpaceDN w:val="0"/>
        <w:adjustRightInd w:val="0"/>
        <w:spacing w:line="240" w:lineRule="auto"/>
      </w:pPr>
    </w:p>
    <w:p w14:paraId="0CD6C249" w14:textId="77777777" w:rsidR="00C04CAD" w:rsidRDefault="00060E34">
      <w:pPr>
        <w:tabs>
          <w:tab w:val="clear" w:pos="567"/>
        </w:tabs>
        <w:kinsoku w:val="0"/>
        <w:overflowPunct w:val="0"/>
        <w:autoSpaceDE w:val="0"/>
        <w:autoSpaceDN w:val="0"/>
        <w:adjustRightInd w:val="0"/>
        <w:spacing w:line="240" w:lineRule="auto"/>
      </w:pPr>
      <w:r>
        <w:rPr>
          <w:szCs w:val="22"/>
        </w:rPr>
        <w:t xml:space="preserve">Pentru copiii cu vârsta mai mică de 12 ani, utilizarea </w:t>
      </w:r>
      <w:r>
        <w:t xml:space="preserve">AMGEVITA </w:t>
      </w:r>
      <w:r>
        <w:rPr>
          <w:szCs w:val="22"/>
        </w:rPr>
        <w:t>nu este relevantă pentru această indicație</w:t>
      </w:r>
      <w:r>
        <w:t>.</w:t>
      </w:r>
    </w:p>
    <w:p w14:paraId="25E81B99" w14:textId="77777777" w:rsidR="00C04CAD" w:rsidRDefault="00C04CAD">
      <w:pPr>
        <w:tabs>
          <w:tab w:val="clear" w:pos="567"/>
        </w:tabs>
        <w:kinsoku w:val="0"/>
        <w:overflowPunct w:val="0"/>
        <w:autoSpaceDE w:val="0"/>
        <w:autoSpaceDN w:val="0"/>
        <w:adjustRightInd w:val="0"/>
        <w:spacing w:line="240" w:lineRule="auto"/>
      </w:pPr>
    </w:p>
    <w:p w14:paraId="54779572" w14:textId="77777777" w:rsidR="00C04CAD" w:rsidRDefault="00060E34">
      <w:pPr>
        <w:kinsoku w:val="0"/>
        <w:overflowPunct w:val="0"/>
        <w:spacing w:line="240" w:lineRule="auto"/>
      </w:pPr>
      <w:r>
        <w:rPr>
          <w:i/>
          <w:iCs/>
          <w:szCs w:val="22"/>
        </w:rPr>
        <w:t>Boal</w:t>
      </w:r>
      <w:r>
        <w:rPr>
          <w:i/>
          <w:szCs w:val="22"/>
        </w:rPr>
        <w:t>ă</w:t>
      </w:r>
      <w:r>
        <w:rPr>
          <w:i/>
        </w:rPr>
        <w:t xml:space="preserve"> Crohn la copii și adolescenți</w:t>
      </w:r>
    </w:p>
    <w:p w14:paraId="0AAD2097" w14:textId="77777777" w:rsidR="00C04CAD" w:rsidRDefault="00C04CAD">
      <w:pPr>
        <w:kinsoku w:val="0"/>
        <w:overflowPunct w:val="0"/>
        <w:spacing w:line="240" w:lineRule="auto"/>
      </w:pPr>
    </w:p>
    <w:p w14:paraId="2EC80318" w14:textId="77777777" w:rsidR="00C04CAD" w:rsidRDefault="00060E34">
      <w:pPr>
        <w:pStyle w:val="BodyText"/>
        <w:kinsoku w:val="0"/>
        <w:overflowPunct w:val="0"/>
        <w:rPr>
          <w:i w:val="0"/>
          <w:color w:val="auto"/>
        </w:rPr>
      </w:pPr>
      <w:r>
        <w:rPr>
          <w:i w:val="0"/>
          <w:color w:val="auto"/>
        </w:rPr>
        <w:t xml:space="preserve">Doza de AMGEVITA recomandată pentru inducție pentru pacienții cu boală Crohn cu vârsta între 6 și 17 ani se bazează pe greutatea corporală (tabelul 4). AMGEVITA se administrează prin injecție subcutanată. </w:t>
      </w:r>
    </w:p>
    <w:p w14:paraId="4A2B7913" w14:textId="77777777" w:rsidR="00C04CAD" w:rsidRDefault="00C04CAD">
      <w:pPr>
        <w:pStyle w:val="BodyText"/>
        <w:kinsoku w:val="0"/>
        <w:overflowPunct w:val="0"/>
        <w:rPr>
          <w:i w:val="0"/>
          <w:color w:val="auto"/>
        </w:rPr>
      </w:pPr>
    </w:p>
    <w:p w14:paraId="00D0A114" w14:textId="77777777" w:rsidR="00C04CAD" w:rsidRDefault="00060E34">
      <w:pPr>
        <w:keepNext/>
        <w:suppressAutoHyphens/>
        <w:spacing w:line="240" w:lineRule="auto"/>
        <w:rPr>
          <w:b/>
          <w:szCs w:val="22"/>
        </w:rPr>
      </w:pPr>
      <w:r>
        <w:rPr>
          <w:b/>
          <w:szCs w:val="22"/>
        </w:rPr>
        <w:t>Tabelul 4. AMGEVITA Doza pentru boala Crohn la pacienţi copii şi adolescenţi</w:t>
      </w:r>
    </w:p>
    <w:p w14:paraId="5EC02134" w14:textId="77777777" w:rsidR="00C04CAD" w:rsidRDefault="00C04CAD">
      <w:pPr>
        <w:keepNext/>
        <w:suppressAutoHyphens/>
        <w:spacing w:line="240" w:lineRule="auto"/>
        <w:rPr>
          <w:szCs w:val="24"/>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00"/>
        <w:gridCol w:w="6111"/>
        <w:gridCol w:w="1444"/>
      </w:tblGrid>
      <w:tr w:rsidR="00C04CAD" w14:paraId="0498EB15" w14:textId="77777777">
        <w:trPr>
          <w:tblHeader/>
        </w:trPr>
        <w:tc>
          <w:tcPr>
            <w:tcW w:w="828" w:type="pct"/>
            <w:tcBorders>
              <w:top w:val="single" w:sz="6" w:space="0" w:color="000000"/>
              <w:left w:val="single" w:sz="6" w:space="0" w:color="000000"/>
              <w:bottom w:val="single" w:sz="6" w:space="0" w:color="000000"/>
              <w:right w:val="single" w:sz="6" w:space="0" w:color="000000"/>
            </w:tcBorders>
          </w:tcPr>
          <w:p w14:paraId="0BC6B6CA" w14:textId="77777777" w:rsidR="00C04CAD" w:rsidRDefault="00060E34">
            <w:pPr>
              <w:suppressAutoHyphens/>
              <w:spacing w:line="240" w:lineRule="auto"/>
              <w:rPr>
                <w:szCs w:val="24"/>
              </w:rPr>
            </w:pPr>
            <w:r>
              <w:rPr>
                <w:b/>
                <w:szCs w:val="24"/>
              </w:rPr>
              <w:t>Greutatea pacientului</w:t>
            </w:r>
          </w:p>
        </w:tc>
        <w:tc>
          <w:tcPr>
            <w:tcW w:w="0" w:type="auto"/>
            <w:tcBorders>
              <w:top w:val="single" w:sz="6" w:space="0" w:color="000000"/>
              <w:left w:val="single" w:sz="6" w:space="0" w:color="000000"/>
              <w:bottom w:val="single" w:sz="6" w:space="0" w:color="000000"/>
              <w:right w:val="single" w:sz="6" w:space="0" w:color="000000"/>
            </w:tcBorders>
          </w:tcPr>
          <w:p w14:paraId="615F1BBA" w14:textId="77777777" w:rsidR="00C04CAD" w:rsidRDefault="00060E34">
            <w:pPr>
              <w:suppressAutoHyphens/>
              <w:spacing w:line="240" w:lineRule="auto"/>
              <w:rPr>
                <w:szCs w:val="24"/>
              </w:rPr>
            </w:pPr>
            <w:r>
              <w:rPr>
                <w:b/>
                <w:szCs w:val="24"/>
              </w:rPr>
              <w:t>Doza de inducție</w:t>
            </w:r>
          </w:p>
        </w:tc>
        <w:tc>
          <w:tcPr>
            <w:tcW w:w="0" w:type="auto"/>
            <w:tcBorders>
              <w:top w:val="single" w:sz="6" w:space="0" w:color="000000"/>
              <w:left w:val="single" w:sz="6" w:space="0" w:color="000000"/>
              <w:bottom w:val="single" w:sz="6" w:space="0" w:color="000000"/>
              <w:right w:val="single" w:sz="6" w:space="0" w:color="000000"/>
            </w:tcBorders>
          </w:tcPr>
          <w:p w14:paraId="18B79F31" w14:textId="77777777" w:rsidR="00C04CAD" w:rsidRDefault="00060E34">
            <w:pPr>
              <w:suppressAutoHyphens/>
              <w:spacing w:line="240" w:lineRule="auto"/>
              <w:rPr>
                <w:b/>
                <w:szCs w:val="24"/>
              </w:rPr>
            </w:pPr>
            <w:r>
              <w:rPr>
                <w:b/>
                <w:szCs w:val="24"/>
              </w:rPr>
              <w:t>Doza de întreținere</w:t>
            </w:r>
          </w:p>
          <w:p w14:paraId="5762CE80" w14:textId="77777777" w:rsidR="00C04CAD" w:rsidRDefault="00060E34">
            <w:pPr>
              <w:suppressAutoHyphens/>
              <w:spacing w:line="240" w:lineRule="auto"/>
              <w:rPr>
                <w:szCs w:val="24"/>
              </w:rPr>
            </w:pPr>
            <w:r>
              <w:rPr>
                <w:b/>
                <w:szCs w:val="24"/>
              </w:rPr>
              <w:t>începând cu săptămâna 4</w:t>
            </w:r>
          </w:p>
        </w:tc>
      </w:tr>
      <w:tr w:rsidR="00C04CAD" w14:paraId="60A0EFD6" w14:textId="77777777">
        <w:tc>
          <w:tcPr>
            <w:tcW w:w="828" w:type="pct"/>
            <w:tcBorders>
              <w:top w:val="single" w:sz="6" w:space="0" w:color="000000"/>
              <w:left w:val="single" w:sz="6" w:space="0" w:color="000000"/>
              <w:bottom w:val="single" w:sz="6" w:space="0" w:color="000000"/>
              <w:right w:val="single" w:sz="6" w:space="0" w:color="000000"/>
            </w:tcBorders>
          </w:tcPr>
          <w:p w14:paraId="797F2B4A" w14:textId="77777777" w:rsidR="00C04CAD" w:rsidRDefault="00060E34">
            <w:pPr>
              <w:suppressAutoHyphens/>
              <w:spacing w:line="240" w:lineRule="auto"/>
              <w:jc w:val="center"/>
              <w:rPr>
                <w:szCs w:val="24"/>
              </w:rPr>
            </w:pPr>
            <w:r>
              <w:rPr>
                <w:szCs w:val="24"/>
              </w:rPr>
              <w:t>&lt; 40 kg</w:t>
            </w:r>
          </w:p>
        </w:tc>
        <w:tc>
          <w:tcPr>
            <w:tcW w:w="0" w:type="auto"/>
            <w:tcBorders>
              <w:top w:val="single" w:sz="6" w:space="0" w:color="000000"/>
              <w:left w:val="single" w:sz="6" w:space="0" w:color="000000"/>
              <w:bottom w:val="single" w:sz="6" w:space="0" w:color="000000"/>
              <w:right w:val="single" w:sz="6" w:space="0" w:color="000000"/>
            </w:tcBorders>
          </w:tcPr>
          <w:p w14:paraId="1EACAB99" w14:textId="77777777" w:rsidR="00C04CAD" w:rsidRDefault="00060E34">
            <w:pPr>
              <w:numPr>
                <w:ilvl w:val="0"/>
                <w:numId w:val="9"/>
              </w:numPr>
              <w:tabs>
                <w:tab w:val="clear" w:pos="567"/>
              </w:tabs>
              <w:suppressAutoHyphens/>
              <w:spacing w:line="240" w:lineRule="auto"/>
              <w:ind w:left="307" w:hanging="180"/>
              <w:rPr>
                <w:szCs w:val="22"/>
              </w:rPr>
            </w:pPr>
            <w:r>
              <w:rPr>
                <w:szCs w:val="22"/>
              </w:rPr>
              <w:t>40 mg la săptămâna 0 și 20 mg la săptămâna 2</w:t>
            </w:r>
          </w:p>
          <w:p w14:paraId="613FCDD8" w14:textId="77777777" w:rsidR="00C04CAD" w:rsidRDefault="00C04CAD">
            <w:pPr>
              <w:tabs>
                <w:tab w:val="clear" w:pos="567"/>
              </w:tabs>
              <w:spacing w:line="240" w:lineRule="auto"/>
              <w:ind w:left="337"/>
              <w:rPr>
                <w:szCs w:val="22"/>
              </w:rPr>
            </w:pPr>
          </w:p>
          <w:p w14:paraId="67C8B953" w14:textId="77777777" w:rsidR="00C04CAD" w:rsidRDefault="00060E34">
            <w:pPr>
              <w:tabs>
                <w:tab w:val="clear" w:pos="567"/>
              </w:tabs>
              <w:spacing w:line="240" w:lineRule="auto"/>
              <w:ind w:left="150"/>
              <w:rPr>
                <w:szCs w:val="22"/>
              </w:rPr>
            </w:pPr>
            <w:r>
              <w:rPr>
                <w:szCs w:val="22"/>
              </w:rPr>
              <w:t>În cazul în care este necesar un răspuns mai rapid la tratament și luând în considerare riscul mai mare de reacții adverse în cazul utilizării unor doze de inducție mai mari, poate fi utilizată următoarea doză</w:t>
            </w:r>
            <w:r>
              <w:rPr>
                <w:iCs/>
                <w:szCs w:val="22"/>
              </w:rPr>
              <w:t>:</w:t>
            </w:r>
          </w:p>
          <w:p w14:paraId="1A7A8789" w14:textId="77777777" w:rsidR="00C04CAD" w:rsidRDefault="00060E34">
            <w:pPr>
              <w:numPr>
                <w:ilvl w:val="0"/>
                <w:numId w:val="10"/>
              </w:numPr>
              <w:tabs>
                <w:tab w:val="clear" w:pos="567"/>
              </w:tabs>
              <w:suppressAutoHyphens/>
              <w:spacing w:line="240" w:lineRule="auto"/>
              <w:ind w:left="307" w:hanging="180"/>
              <w:rPr>
                <w:iCs/>
                <w:szCs w:val="22"/>
              </w:rPr>
            </w:pPr>
            <w:r>
              <w:rPr>
                <w:szCs w:val="22"/>
              </w:rPr>
              <w:t>80 mg la săptămâna 0 și 40 mg la săptămâna 2</w:t>
            </w:r>
          </w:p>
        </w:tc>
        <w:tc>
          <w:tcPr>
            <w:tcW w:w="0" w:type="auto"/>
            <w:tcBorders>
              <w:top w:val="single" w:sz="6" w:space="0" w:color="000000"/>
              <w:left w:val="single" w:sz="6" w:space="0" w:color="000000"/>
              <w:bottom w:val="single" w:sz="6" w:space="0" w:color="000000"/>
              <w:right w:val="single" w:sz="6" w:space="0" w:color="000000"/>
            </w:tcBorders>
          </w:tcPr>
          <w:p w14:paraId="69AE5933" w14:textId="77777777" w:rsidR="00C04CAD" w:rsidRDefault="00060E34">
            <w:pPr>
              <w:tabs>
                <w:tab w:val="clear" w:pos="567"/>
              </w:tabs>
              <w:spacing w:line="240" w:lineRule="auto"/>
              <w:ind w:left="16"/>
              <w:jc w:val="center"/>
              <w:rPr>
                <w:szCs w:val="24"/>
              </w:rPr>
            </w:pPr>
            <w:r>
              <w:rPr>
                <w:szCs w:val="24"/>
              </w:rPr>
              <w:t>20 mg la două săptămâni</w:t>
            </w:r>
          </w:p>
        </w:tc>
      </w:tr>
      <w:tr w:rsidR="00C04CAD" w14:paraId="10A5F4B7" w14:textId="77777777">
        <w:tc>
          <w:tcPr>
            <w:tcW w:w="828" w:type="pct"/>
            <w:tcBorders>
              <w:top w:val="single" w:sz="6" w:space="0" w:color="000000"/>
              <w:left w:val="single" w:sz="6" w:space="0" w:color="000000"/>
              <w:bottom w:val="single" w:sz="6" w:space="0" w:color="000000"/>
              <w:right w:val="single" w:sz="6" w:space="0" w:color="000000"/>
            </w:tcBorders>
          </w:tcPr>
          <w:p w14:paraId="191DDDAE" w14:textId="77777777" w:rsidR="00C04CAD" w:rsidRDefault="00060E34">
            <w:pPr>
              <w:suppressAutoHyphens/>
              <w:spacing w:line="240" w:lineRule="auto"/>
              <w:jc w:val="center"/>
              <w:rPr>
                <w:szCs w:val="24"/>
              </w:rPr>
            </w:pPr>
            <w:r>
              <w:rPr>
                <w:szCs w:val="24"/>
              </w:rPr>
              <w:t>≥ 40 kg</w:t>
            </w:r>
          </w:p>
        </w:tc>
        <w:tc>
          <w:tcPr>
            <w:tcW w:w="0" w:type="auto"/>
            <w:tcBorders>
              <w:top w:val="single" w:sz="6" w:space="0" w:color="000000"/>
              <w:left w:val="single" w:sz="6" w:space="0" w:color="000000"/>
              <w:bottom w:val="single" w:sz="6" w:space="0" w:color="000000"/>
              <w:right w:val="single" w:sz="6" w:space="0" w:color="000000"/>
            </w:tcBorders>
          </w:tcPr>
          <w:p w14:paraId="29CE1622" w14:textId="77777777" w:rsidR="00C04CAD" w:rsidRDefault="00060E34">
            <w:pPr>
              <w:numPr>
                <w:ilvl w:val="0"/>
                <w:numId w:val="11"/>
              </w:numPr>
              <w:tabs>
                <w:tab w:val="clear" w:pos="567"/>
              </w:tabs>
              <w:suppressAutoHyphens/>
              <w:spacing w:line="240" w:lineRule="auto"/>
              <w:ind w:left="307" w:hanging="175"/>
              <w:rPr>
                <w:szCs w:val="22"/>
              </w:rPr>
            </w:pPr>
            <w:r>
              <w:rPr>
                <w:szCs w:val="22"/>
              </w:rPr>
              <w:t>80 mg la săptămâna 0 și 40 mg la săptămâna 2</w:t>
            </w:r>
          </w:p>
          <w:p w14:paraId="6233D97C" w14:textId="77777777" w:rsidR="00C04CAD" w:rsidRDefault="00C04CAD">
            <w:pPr>
              <w:tabs>
                <w:tab w:val="clear" w:pos="567"/>
              </w:tabs>
              <w:spacing w:line="240" w:lineRule="auto"/>
              <w:rPr>
                <w:szCs w:val="22"/>
              </w:rPr>
            </w:pPr>
          </w:p>
          <w:p w14:paraId="7A2B60A8" w14:textId="77777777" w:rsidR="00C04CAD" w:rsidRDefault="00060E34">
            <w:pPr>
              <w:tabs>
                <w:tab w:val="clear" w:pos="567"/>
              </w:tabs>
              <w:spacing w:line="240" w:lineRule="auto"/>
              <w:ind w:left="150"/>
              <w:rPr>
                <w:szCs w:val="22"/>
              </w:rPr>
            </w:pPr>
            <w:r>
              <w:rPr>
                <w:szCs w:val="22"/>
              </w:rPr>
              <w:t>În cazul în care este necesar un răspuns mai rapid la tratament și luând în considerare riscul mai mare de reacții adverse în cazul utilizării unor doze de inducție mai mari, poate fi utilizată următoarea doză</w:t>
            </w:r>
            <w:r>
              <w:rPr>
                <w:iCs/>
                <w:szCs w:val="22"/>
              </w:rPr>
              <w:t>:</w:t>
            </w:r>
          </w:p>
          <w:p w14:paraId="6D27FB79" w14:textId="77777777" w:rsidR="00C04CAD" w:rsidRDefault="00060E34">
            <w:pPr>
              <w:numPr>
                <w:ilvl w:val="0"/>
                <w:numId w:val="12"/>
              </w:numPr>
              <w:tabs>
                <w:tab w:val="clear" w:pos="567"/>
              </w:tabs>
              <w:suppressAutoHyphens/>
              <w:spacing w:line="240" w:lineRule="auto"/>
              <w:ind w:left="314" w:hanging="187"/>
              <w:rPr>
                <w:szCs w:val="22"/>
              </w:rPr>
            </w:pPr>
            <w:r>
              <w:rPr>
                <w:szCs w:val="22"/>
              </w:rPr>
              <w:t>160 mg la săptămâna 0 și 80 mg la săptămâna 2</w:t>
            </w:r>
          </w:p>
        </w:tc>
        <w:tc>
          <w:tcPr>
            <w:tcW w:w="0" w:type="auto"/>
            <w:tcBorders>
              <w:top w:val="single" w:sz="6" w:space="0" w:color="000000"/>
              <w:left w:val="single" w:sz="6" w:space="0" w:color="000000"/>
              <w:bottom w:val="single" w:sz="6" w:space="0" w:color="000000"/>
              <w:right w:val="single" w:sz="6" w:space="0" w:color="000000"/>
            </w:tcBorders>
          </w:tcPr>
          <w:p w14:paraId="31E74745" w14:textId="77777777" w:rsidR="00C04CAD" w:rsidRDefault="00060E34">
            <w:pPr>
              <w:tabs>
                <w:tab w:val="clear" w:pos="567"/>
              </w:tabs>
              <w:spacing w:line="240" w:lineRule="auto"/>
              <w:ind w:left="16"/>
              <w:jc w:val="center"/>
              <w:rPr>
                <w:szCs w:val="24"/>
              </w:rPr>
            </w:pPr>
            <w:r>
              <w:rPr>
                <w:szCs w:val="24"/>
              </w:rPr>
              <w:t>40 mg la două săptămâni</w:t>
            </w:r>
          </w:p>
        </w:tc>
      </w:tr>
    </w:tbl>
    <w:p w14:paraId="49A9D15E" w14:textId="77777777" w:rsidR="00C04CAD" w:rsidRDefault="00C04CAD">
      <w:pPr>
        <w:keepNext/>
        <w:suppressAutoHyphens/>
        <w:spacing w:line="240" w:lineRule="auto"/>
        <w:rPr>
          <w:szCs w:val="24"/>
        </w:rPr>
      </w:pPr>
      <w:bookmarkStart w:id="2" w:name="l35893291409284316"/>
      <w:bookmarkStart w:id="3" w:name="l409697291409284461"/>
      <w:bookmarkStart w:id="4" w:name="l604373291409284474"/>
      <w:bookmarkStart w:id="5" w:name="l409706291409284374"/>
      <w:bookmarkEnd w:id="2"/>
      <w:bookmarkEnd w:id="3"/>
      <w:bookmarkEnd w:id="4"/>
      <w:bookmarkEnd w:id="5"/>
    </w:p>
    <w:p w14:paraId="12D1E888" w14:textId="77777777" w:rsidR="00C04CAD" w:rsidRDefault="00060E34">
      <w:pPr>
        <w:keepNext/>
        <w:suppressAutoHyphens/>
        <w:spacing w:line="240" w:lineRule="auto"/>
        <w:rPr>
          <w:szCs w:val="24"/>
        </w:rPr>
      </w:pPr>
      <w:r>
        <w:rPr>
          <w:szCs w:val="24"/>
        </w:rPr>
        <w:t>Pacienții cu un răspuns insuficient la tratament pot beneficia de creșterea dozei:</w:t>
      </w:r>
    </w:p>
    <w:p w14:paraId="19D253AB" w14:textId="77777777" w:rsidR="00C04CAD" w:rsidRDefault="00060E34">
      <w:pPr>
        <w:keepNext/>
        <w:numPr>
          <w:ilvl w:val="0"/>
          <w:numId w:val="12"/>
        </w:numPr>
        <w:tabs>
          <w:tab w:val="clear" w:pos="567"/>
          <w:tab w:val="left" w:pos="540"/>
        </w:tabs>
        <w:suppressAutoHyphens/>
        <w:spacing w:line="240" w:lineRule="auto"/>
        <w:ind w:left="540" w:hanging="540"/>
        <w:rPr>
          <w:szCs w:val="24"/>
        </w:rPr>
      </w:pPr>
      <w:r>
        <w:rPr>
          <w:szCs w:val="24"/>
        </w:rPr>
        <w:t>&lt; 40 kg: 20 mg în fiecare săptămână</w:t>
      </w:r>
    </w:p>
    <w:p w14:paraId="34E08BAE" w14:textId="77777777" w:rsidR="00C04CAD" w:rsidRDefault="00060E34">
      <w:pPr>
        <w:keepNext/>
        <w:numPr>
          <w:ilvl w:val="0"/>
          <w:numId w:val="12"/>
        </w:numPr>
        <w:tabs>
          <w:tab w:val="clear" w:pos="567"/>
          <w:tab w:val="left" w:pos="540"/>
        </w:tabs>
        <w:suppressAutoHyphens/>
        <w:spacing w:line="240" w:lineRule="auto"/>
        <w:ind w:left="540" w:hanging="540"/>
        <w:rPr>
          <w:szCs w:val="24"/>
        </w:rPr>
      </w:pPr>
      <w:r>
        <w:rPr>
          <w:szCs w:val="24"/>
        </w:rPr>
        <w:t xml:space="preserve">≥ 40 kg: 40 mg în fiecare săptămână sau </w:t>
      </w:r>
      <w:r>
        <w:rPr>
          <w:szCs w:val="22"/>
        </w:rPr>
        <w:t>80 mg o dată la două săptămâni</w:t>
      </w:r>
    </w:p>
    <w:p w14:paraId="255B73C5" w14:textId="77777777" w:rsidR="00C04CAD" w:rsidRDefault="00C04CAD">
      <w:pPr>
        <w:pStyle w:val="BodyText"/>
        <w:kinsoku w:val="0"/>
        <w:overflowPunct w:val="0"/>
        <w:rPr>
          <w:i w:val="0"/>
          <w:color w:val="auto"/>
        </w:rPr>
      </w:pPr>
    </w:p>
    <w:p w14:paraId="40751313" w14:textId="77777777" w:rsidR="00C04CAD" w:rsidRDefault="00060E34">
      <w:pPr>
        <w:pStyle w:val="BodyText"/>
        <w:kinsoku w:val="0"/>
        <w:overflowPunct w:val="0"/>
        <w:rPr>
          <w:i w:val="0"/>
          <w:color w:val="auto"/>
        </w:rPr>
      </w:pPr>
      <w:r>
        <w:rPr>
          <w:i w:val="0"/>
          <w:color w:val="auto"/>
        </w:rPr>
        <w:t>Continuarea tratamentului trebuie atent evaluată la pacienţii care nu răspund la tratament până în săptămâna 12.</w:t>
      </w:r>
    </w:p>
    <w:p w14:paraId="666996D1" w14:textId="77777777" w:rsidR="00C04CAD" w:rsidRDefault="00C04CAD">
      <w:pPr>
        <w:kinsoku w:val="0"/>
        <w:overflowPunct w:val="0"/>
        <w:spacing w:line="240" w:lineRule="auto"/>
      </w:pPr>
    </w:p>
    <w:p w14:paraId="7BCBC4BC" w14:textId="77777777" w:rsidR="00C04CAD" w:rsidRDefault="00060E34">
      <w:pPr>
        <w:pStyle w:val="BodyText"/>
        <w:kinsoku w:val="0"/>
        <w:overflowPunct w:val="0"/>
        <w:rPr>
          <w:color w:val="auto"/>
        </w:rPr>
      </w:pPr>
      <w:r>
        <w:rPr>
          <w:i w:val="0"/>
          <w:color w:val="auto"/>
        </w:rPr>
        <w:t>Pentru această indicaţie nu există date relevante privind utilizarea adalimumab la copii cu vârsta mai mică de 6 ani</w:t>
      </w:r>
      <w:r>
        <w:rPr>
          <w:color w:val="auto"/>
        </w:rPr>
        <w:t>.</w:t>
      </w:r>
    </w:p>
    <w:p w14:paraId="53476751" w14:textId="77777777" w:rsidR="00C04CAD" w:rsidRDefault="00C04CAD">
      <w:pPr>
        <w:pStyle w:val="BodyText"/>
        <w:kinsoku w:val="0"/>
        <w:overflowPunct w:val="0"/>
        <w:rPr>
          <w:color w:val="auto"/>
        </w:rPr>
      </w:pPr>
    </w:p>
    <w:p w14:paraId="7553748D"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lastRenderedPageBreak/>
        <w:t xml:space="preserve">Colita ulcerativă la copii și adolescenți </w:t>
      </w:r>
    </w:p>
    <w:p w14:paraId="1DAB352B"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4C23747C"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Doza de AMGEVITA recomandată pentru pacienții cu vârsta cuprinsă între 6 și 17 ani cu colită ulcerativă se stabilește în funcție de greutatea corporală (tabelul 5). AMGEVITA se administrează prin injecție subcutanată.</w:t>
      </w:r>
    </w:p>
    <w:p w14:paraId="073885ED"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E769683" w14:textId="77777777" w:rsidR="00C04CAD" w:rsidRDefault="00060E34">
      <w:pPr>
        <w:keepNext/>
        <w:suppressAutoHyphens/>
        <w:spacing w:line="240" w:lineRule="auto"/>
        <w:rPr>
          <w:b/>
          <w:szCs w:val="22"/>
          <w:lang w:eastAsia="en-US" w:bidi="ar-SA"/>
        </w:rPr>
      </w:pPr>
      <w:r>
        <w:rPr>
          <w:b/>
          <w:szCs w:val="22"/>
          <w:lang w:eastAsia="en-US" w:bidi="ar-SA"/>
        </w:rPr>
        <w:t>Tabelul 5. Doza de AMGEVITA pentru pacienții copii și adolescenți cu colită ulcerativă</w:t>
      </w:r>
    </w:p>
    <w:p w14:paraId="4678E905" w14:textId="77777777" w:rsidR="00C04CAD" w:rsidRDefault="00C04CAD">
      <w:pPr>
        <w:tabs>
          <w:tab w:val="clear" w:pos="567"/>
          <w:tab w:val="left" w:pos="720"/>
        </w:tabs>
        <w:autoSpaceDE w:val="0"/>
        <w:autoSpaceDN w:val="0"/>
        <w:adjustRightInd w:val="0"/>
        <w:spacing w:line="240" w:lineRule="auto"/>
        <w:rPr>
          <w:rFonts w:eastAsia="PMingLiU"/>
          <w:iCs/>
          <w:szCs w:val="22"/>
          <w:lang w:eastAsia="en-GB" w:bidi="ar-SA"/>
        </w:rPr>
      </w:pPr>
    </w:p>
    <w:tbl>
      <w:tblPr>
        <w:tblW w:w="5000" w:type="pct"/>
        <w:tblInd w:w="85" w:type="dxa"/>
        <w:tblBorders>
          <w:top w:val="outset" w:sz="6" w:space="0" w:color="auto"/>
          <w:left w:val="outset" w:sz="6" w:space="0" w:color="auto"/>
          <w:bottom w:val="outset" w:sz="6" w:space="0" w:color="auto"/>
          <w:right w:val="outset" w:sz="6" w:space="0" w:color="auto"/>
        </w:tblBorders>
        <w:tblLayout w:type="fixed"/>
        <w:tblCellMar>
          <w:top w:w="15" w:type="dxa"/>
          <w:left w:w="85" w:type="dxa"/>
          <w:bottom w:w="15" w:type="dxa"/>
          <w:right w:w="85" w:type="dxa"/>
        </w:tblCellMar>
        <w:tblLook w:val="04A0" w:firstRow="1" w:lastRow="0" w:firstColumn="1" w:lastColumn="0" w:noHBand="0" w:noVBand="1"/>
      </w:tblPr>
      <w:tblGrid>
        <w:gridCol w:w="1277"/>
        <w:gridCol w:w="6152"/>
        <w:gridCol w:w="1626"/>
      </w:tblGrid>
      <w:tr w:rsidR="00C04CAD" w14:paraId="5E9AF5B1" w14:textId="77777777">
        <w:trPr>
          <w:tblHeader/>
        </w:trPr>
        <w:tc>
          <w:tcPr>
            <w:tcW w:w="705" w:type="pct"/>
            <w:tcBorders>
              <w:top w:val="single" w:sz="6" w:space="0" w:color="000000"/>
              <w:left w:val="single" w:sz="6" w:space="0" w:color="000000"/>
              <w:bottom w:val="single" w:sz="6" w:space="0" w:color="000000"/>
              <w:right w:val="single" w:sz="6" w:space="0" w:color="000000"/>
            </w:tcBorders>
          </w:tcPr>
          <w:p w14:paraId="27903EF5" w14:textId="77777777" w:rsidR="00C04CAD" w:rsidRDefault="00060E34">
            <w:pPr>
              <w:suppressAutoHyphens/>
              <w:spacing w:line="240" w:lineRule="auto"/>
              <w:rPr>
                <w:szCs w:val="24"/>
                <w:lang w:eastAsia="en-US" w:bidi="ar-SA"/>
              </w:rPr>
            </w:pPr>
            <w:r>
              <w:rPr>
                <w:b/>
                <w:bCs/>
                <w:szCs w:val="22"/>
              </w:rPr>
              <w:t xml:space="preserve">Greutatea pacientului </w:t>
            </w:r>
          </w:p>
        </w:tc>
        <w:tc>
          <w:tcPr>
            <w:tcW w:w="3397" w:type="pct"/>
            <w:tcBorders>
              <w:top w:val="single" w:sz="6" w:space="0" w:color="000000"/>
              <w:left w:val="single" w:sz="6" w:space="0" w:color="000000"/>
              <w:bottom w:val="single" w:sz="6" w:space="0" w:color="000000"/>
              <w:right w:val="single" w:sz="6" w:space="0" w:color="000000"/>
            </w:tcBorders>
          </w:tcPr>
          <w:p w14:paraId="63CC042F" w14:textId="77777777" w:rsidR="00C04CAD" w:rsidRDefault="00060E34">
            <w:pPr>
              <w:suppressAutoHyphens/>
              <w:spacing w:line="240" w:lineRule="auto"/>
              <w:rPr>
                <w:szCs w:val="24"/>
                <w:lang w:eastAsia="en-US" w:bidi="ar-SA"/>
              </w:rPr>
            </w:pPr>
            <w:r>
              <w:rPr>
                <w:b/>
                <w:bCs/>
                <w:szCs w:val="22"/>
              </w:rPr>
              <w:t xml:space="preserve">Doza de inducție </w:t>
            </w:r>
          </w:p>
        </w:tc>
        <w:tc>
          <w:tcPr>
            <w:tcW w:w="899" w:type="pct"/>
            <w:tcBorders>
              <w:top w:val="single" w:sz="6" w:space="0" w:color="000000"/>
              <w:left w:val="single" w:sz="6" w:space="0" w:color="000000"/>
              <w:bottom w:val="single" w:sz="6" w:space="0" w:color="000000"/>
              <w:right w:val="single" w:sz="6" w:space="0" w:color="000000"/>
            </w:tcBorders>
          </w:tcPr>
          <w:p w14:paraId="24C96E58" w14:textId="77777777" w:rsidR="00C04CAD" w:rsidRDefault="00060E34">
            <w:pPr>
              <w:suppressAutoHyphens/>
              <w:spacing w:line="240" w:lineRule="auto"/>
              <w:rPr>
                <w:szCs w:val="24"/>
                <w:lang w:eastAsia="en-US" w:bidi="ar-SA"/>
              </w:rPr>
            </w:pPr>
            <w:r>
              <w:rPr>
                <w:b/>
                <w:bCs/>
                <w:szCs w:val="22"/>
              </w:rPr>
              <w:t xml:space="preserve">Doza de întreținere începând cu săptămâna 4* </w:t>
            </w:r>
          </w:p>
        </w:tc>
      </w:tr>
      <w:tr w:rsidR="00C04CAD" w14:paraId="6308570D" w14:textId="77777777">
        <w:tc>
          <w:tcPr>
            <w:tcW w:w="705" w:type="pct"/>
            <w:tcBorders>
              <w:top w:val="single" w:sz="6" w:space="0" w:color="000000"/>
              <w:left w:val="single" w:sz="6" w:space="0" w:color="000000"/>
              <w:bottom w:val="single" w:sz="6" w:space="0" w:color="000000"/>
              <w:right w:val="single" w:sz="6" w:space="0" w:color="000000"/>
            </w:tcBorders>
          </w:tcPr>
          <w:p w14:paraId="79D06B54" w14:textId="77777777" w:rsidR="00C04CAD" w:rsidRDefault="00060E34">
            <w:pPr>
              <w:suppressAutoHyphens/>
              <w:spacing w:line="240" w:lineRule="auto"/>
              <w:jc w:val="center"/>
              <w:rPr>
                <w:szCs w:val="24"/>
                <w:lang w:eastAsia="en-US" w:bidi="ar-SA"/>
              </w:rPr>
            </w:pPr>
            <w:r>
              <w:rPr>
                <w:szCs w:val="24"/>
                <w:lang w:eastAsia="en-US" w:bidi="ar-SA"/>
              </w:rPr>
              <w:t>&lt; 40 kg</w:t>
            </w:r>
          </w:p>
        </w:tc>
        <w:tc>
          <w:tcPr>
            <w:tcW w:w="3397" w:type="pct"/>
            <w:tcBorders>
              <w:top w:val="single" w:sz="6" w:space="0" w:color="000000"/>
              <w:left w:val="single" w:sz="6" w:space="0" w:color="000000"/>
              <w:bottom w:val="single" w:sz="6" w:space="0" w:color="000000"/>
              <w:right w:val="single" w:sz="6" w:space="0" w:color="000000"/>
            </w:tcBorders>
          </w:tcPr>
          <w:p w14:paraId="4BB26229" w14:textId="77777777" w:rsidR="00C04CAD" w:rsidRDefault="00060E34">
            <w:pPr>
              <w:numPr>
                <w:ilvl w:val="0"/>
                <w:numId w:val="10"/>
              </w:numPr>
              <w:tabs>
                <w:tab w:val="clear" w:pos="567"/>
              </w:tabs>
              <w:suppressAutoHyphens/>
              <w:spacing w:line="240" w:lineRule="auto"/>
              <w:ind w:left="652" w:hanging="567"/>
              <w:rPr>
                <w:iCs/>
                <w:szCs w:val="22"/>
                <w:lang w:eastAsia="en-US" w:bidi="ar-SA"/>
              </w:rPr>
            </w:pPr>
            <w:r>
              <w:rPr>
                <w:iCs/>
                <w:szCs w:val="22"/>
                <w:lang w:eastAsia="en-US" w:bidi="ar-SA"/>
              </w:rPr>
              <w:t>80</w:t>
            </w:r>
            <w:r>
              <w:rPr>
                <w:lang w:eastAsia="en-US" w:bidi="ar-SA"/>
              </w:rPr>
              <w:t> </w:t>
            </w:r>
            <w:r>
              <w:rPr>
                <w:iCs/>
                <w:szCs w:val="22"/>
                <w:lang w:eastAsia="en-US" w:bidi="ar-SA"/>
              </w:rPr>
              <w:t>mg în săptămâna 0 (administrată sub formă de două injecții a 40 mg într-o zi) și</w:t>
            </w:r>
          </w:p>
          <w:p w14:paraId="156CA76C" w14:textId="77777777" w:rsidR="00C04CAD" w:rsidRDefault="00060E34">
            <w:pPr>
              <w:numPr>
                <w:ilvl w:val="0"/>
                <w:numId w:val="10"/>
              </w:numPr>
              <w:tabs>
                <w:tab w:val="clear" w:pos="567"/>
              </w:tabs>
              <w:suppressAutoHyphens/>
              <w:spacing w:line="240" w:lineRule="auto"/>
              <w:ind w:left="652" w:hanging="567"/>
              <w:rPr>
                <w:iCs/>
                <w:szCs w:val="22"/>
                <w:lang w:eastAsia="en-US" w:bidi="ar-SA"/>
              </w:rPr>
            </w:pPr>
            <w:r>
              <w:rPr>
                <w:iCs/>
                <w:szCs w:val="22"/>
                <w:lang w:eastAsia="en-US" w:bidi="ar-SA"/>
              </w:rPr>
              <w:t>40</w:t>
            </w:r>
            <w:r>
              <w:rPr>
                <w:lang w:eastAsia="en-US" w:bidi="ar-SA"/>
              </w:rPr>
              <w:t> </w:t>
            </w:r>
            <w:r>
              <w:rPr>
                <w:iCs/>
                <w:szCs w:val="22"/>
                <w:lang w:eastAsia="en-US" w:bidi="ar-SA"/>
              </w:rPr>
              <w:t>mg în săptămâna 2 (administrată sub formă de o injecție a 40 mg)</w:t>
            </w:r>
          </w:p>
        </w:tc>
        <w:tc>
          <w:tcPr>
            <w:tcW w:w="899" w:type="pct"/>
            <w:tcBorders>
              <w:top w:val="single" w:sz="6" w:space="0" w:color="000000"/>
              <w:left w:val="single" w:sz="6" w:space="0" w:color="000000"/>
              <w:bottom w:val="single" w:sz="6" w:space="0" w:color="000000"/>
              <w:right w:val="single" w:sz="6" w:space="0" w:color="000000"/>
            </w:tcBorders>
          </w:tcPr>
          <w:p w14:paraId="045F9CA0" w14:textId="77777777" w:rsidR="00C04CAD" w:rsidRDefault="00060E34">
            <w:pPr>
              <w:spacing w:line="240" w:lineRule="auto"/>
              <w:jc w:val="center"/>
              <w:rPr>
                <w:lang w:eastAsia="en-US" w:bidi="ar-SA"/>
              </w:rPr>
            </w:pPr>
            <w:r>
              <w:rPr>
                <w:lang w:eastAsia="en-US" w:bidi="ar-SA"/>
              </w:rPr>
              <w:t xml:space="preserve">40 mg </w:t>
            </w:r>
            <w:r>
              <w:t>la două săptămâni</w:t>
            </w:r>
          </w:p>
        </w:tc>
      </w:tr>
      <w:tr w:rsidR="00C04CAD" w14:paraId="1100DD93" w14:textId="77777777">
        <w:tc>
          <w:tcPr>
            <w:tcW w:w="705" w:type="pct"/>
            <w:tcBorders>
              <w:top w:val="single" w:sz="6" w:space="0" w:color="000000"/>
              <w:left w:val="single" w:sz="6" w:space="0" w:color="000000"/>
              <w:bottom w:val="single" w:sz="6" w:space="0" w:color="000000"/>
              <w:right w:val="single" w:sz="6" w:space="0" w:color="000000"/>
            </w:tcBorders>
          </w:tcPr>
          <w:p w14:paraId="52007F03" w14:textId="77777777" w:rsidR="00C04CAD" w:rsidRDefault="00060E34">
            <w:pPr>
              <w:suppressAutoHyphens/>
              <w:spacing w:line="240" w:lineRule="auto"/>
              <w:jc w:val="center"/>
              <w:rPr>
                <w:szCs w:val="24"/>
                <w:lang w:eastAsia="en-US" w:bidi="ar-SA"/>
              </w:rPr>
            </w:pPr>
            <w:r>
              <w:rPr>
                <w:szCs w:val="24"/>
                <w:lang w:eastAsia="en-US" w:bidi="ar-SA"/>
              </w:rPr>
              <w:t>≥ 40 kg</w:t>
            </w:r>
          </w:p>
        </w:tc>
        <w:tc>
          <w:tcPr>
            <w:tcW w:w="3397" w:type="pct"/>
            <w:tcBorders>
              <w:top w:val="single" w:sz="6" w:space="0" w:color="000000"/>
              <w:left w:val="single" w:sz="6" w:space="0" w:color="000000"/>
              <w:bottom w:val="single" w:sz="6" w:space="0" w:color="000000"/>
              <w:right w:val="single" w:sz="6" w:space="0" w:color="000000"/>
            </w:tcBorders>
          </w:tcPr>
          <w:p w14:paraId="78158881" w14:textId="77777777" w:rsidR="00C04CAD" w:rsidRDefault="00060E34">
            <w:pPr>
              <w:numPr>
                <w:ilvl w:val="0"/>
                <w:numId w:val="12"/>
              </w:numPr>
              <w:tabs>
                <w:tab w:val="clear" w:pos="567"/>
              </w:tabs>
              <w:suppressAutoHyphens/>
              <w:spacing w:line="240" w:lineRule="auto"/>
              <w:ind w:left="652" w:hanging="567"/>
              <w:rPr>
                <w:szCs w:val="22"/>
                <w:lang w:eastAsia="en-US" w:bidi="ar-SA"/>
              </w:rPr>
            </w:pPr>
            <w:r>
              <w:rPr>
                <w:szCs w:val="22"/>
                <w:lang w:eastAsia="en-US" w:bidi="ar-SA"/>
              </w:rPr>
              <w:t>160</w:t>
            </w:r>
            <w:r>
              <w:rPr>
                <w:lang w:eastAsia="en-US" w:bidi="ar-SA"/>
              </w:rPr>
              <w:t> </w:t>
            </w:r>
            <w:r>
              <w:rPr>
                <w:szCs w:val="22"/>
                <w:lang w:eastAsia="en-US" w:bidi="ar-SA"/>
              </w:rPr>
              <w:t>mg în săptămâna 0 (administrată sub formă de patru injecții a 40 mg într-o zi sau de două injecții a 40 mg pe zi timp de două zile consecutive) și</w:t>
            </w:r>
          </w:p>
          <w:p w14:paraId="6D22A4B6" w14:textId="77777777" w:rsidR="00C04CAD" w:rsidRDefault="00060E34">
            <w:pPr>
              <w:numPr>
                <w:ilvl w:val="0"/>
                <w:numId w:val="12"/>
              </w:numPr>
              <w:tabs>
                <w:tab w:val="clear" w:pos="567"/>
              </w:tabs>
              <w:suppressAutoHyphens/>
              <w:spacing w:line="240" w:lineRule="auto"/>
              <w:ind w:left="652" w:hanging="567"/>
              <w:rPr>
                <w:szCs w:val="22"/>
                <w:lang w:eastAsia="en-US" w:bidi="ar-SA"/>
              </w:rPr>
            </w:pPr>
            <w:r>
              <w:rPr>
                <w:szCs w:val="22"/>
                <w:lang w:eastAsia="en-US" w:bidi="ar-SA"/>
              </w:rPr>
              <w:t>80</w:t>
            </w:r>
            <w:r>
              <w:rPr>
                <w:lang w:eastAsia="en-US" w:bidi="ar-SA"/>
              </w:rPr>
              <w:t> </w:t>
            </w:r>
            <w:r>
              <w:rPr>
                <w:szCs w:val="22"/>
                <w:lang w:eastAsia="en-US" w:bidi="ar-SA"/>
              </w:rPr>
              <w:t>mg în săptămâna 2 (administrată sub formă de două injecții a 40 mg într-o zi)</w:t>
            </w:r>
          </w:p>
        </w:tc>
        <w:tc>
          <w:tcPr>
            <w:tcW w:w="899" w:type="pct"/>
            <w:tcBorders>
              <w:top w:val="single" w:sz="6" w:space="0" w:color="000000"/>
              <w:left w:val="single" w:sz="6" w:space="0" w:color="000000"/>
              <w:bottom w:val="single" w:sz="6" w:space="0" w:color="000000"/>
              <w:right w:val="single" w:sz="6" w:space="0" w:color="000000"/>
            </w:tcBorders>
          </w:tcPr>
          <w:p w14:paraId="6515D107" w14:textId="77777777" w:rsidR="00C04CAD" w:rsidRDefault="00060E34">
            <w:pPr>
              <w:spacing w:line="240" w:lineRule="auto"/>
              <w:jc w:val="center"/>
              <w:rPr>
                <w:lang w:eastAsia="en-US" w:bidi="ar-SA"/>
              </w:rPr>
            </w:pPr>
            <w:r>
              <w:rPr>
                <w:lang w:eastAsia="en-US" w:bidi="ar-SA"/>
              </w:rPr>
              <w:t xml:space="preserve">80 mg </w:t>
            </w:r>
            <w:r>
              <w:t>la două săptămâni</w:t>
            </w:r>
          </w:p>
        </w:tc>
      </w:tr>
    </w:tbl>
    <w:p w14:paraId="694116AF" w14:textId="77777777" w:rsidR="00C04CAD" w:rsidRDefault="00060E34">
      <w:pPr>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lang w:eastAsia="ja-JP" w:bidi="ar-SA"/>
        </w:rPr>
        <w:t>* Pacienții copii și adolescenți care împlinesc vârsta de 18 ani în timpul tratamentului cu AMGEVITA trebuie să continue cu doza de întreținere prescrisă.</w:t>
      </w:r>
    </w:p>
    <w:p w14:paraId="01101FF4" w14:textId="77777777" w:rsidR="00C04CAD" w:rsidRDefault="00C04CAD">
      <w:pPr>
        <w:pStyle w:val="BodyText"/>
        <w:kinsoku w:val="0"/>
        <w:overflowPunct w:val="0"/>
        <w:rPr>
          <w:color w:val="auto"/>
        </w:rPr>
      </w:pPr>
    </w:p>
    <w:p w14:paraId="62A6881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Continuarea tratamentului peste 8 săptămâni trebuie evaluată cu atenție la pacienții care nu răspund la tratament în această perioadă. </w:t>
      </w:r>
    </w:p>
    <w:p w14:paraId="29BFB9E4"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B4B357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Pentru această indicație, nu există date relevante privind utilizarea AMGEVITA la copii cu vârsta mai mică de 6 ani. </w:t>
      </w:r>
    </w:p>
    <w:p w14:paraId="4F4F2E09" w14:textId="77777777" w:rsidR="00C04CAD" w:rsidRDefault="00C04CAD">
      <w:pPr>
        <w:pStyle w:val="BodyText"/>
        <w:kinsoku w:val="0"/>
        <w:overflowPunct w:val="0"/>
        <w:rPr>
          <w:rFonts w:eastAsia="MS Mincho"/>
          <w:i w:val="0"/>
          <w:color w:val="000000"/>
          <w:szCs w:val="22"/>
          <w:lang w:eastAsia="ja-JP" w:bidi="ar-SA"/>
        </w:rPr>
      </w:pPr>
    </w:p>
    <w:p w14:paraId="2BA5E943" w14:textId="77777777" w:rsidR="00C04CAD" w:rsidRDefault="00060E34">
      <w:pPr>
        <w:pStyle w:val="BodyText"/>
        <w:kinsoku w:val="0"/>
        <w:overflowPunct w:val="0"/>
        <w:rPr>
          <w:color w:val="auto"/>
        </w:rPr>
      </w:pPr>
      <w:r>
        <w:rPr>
          <w:color w:val="auto"/>
        </w:rPr>
        <w:t>Copii și adolescenți cu uveită</w:t>
      </w:r>
    </w:p>
    <w:p w14:paraId="16F26897" w14:textId="77777777" w:rsidR="00C04CAD" w:rsidRDefault="00C04CAD">
      <w:pPr>
        <w:pStyle w:val="BodyText"/>
        <w:kinsoku w:val="0"/>
        <w:overflowPunct w:val="0"/>
        <w:rPr>
          <w:color w:val="auto"/>
        </w:rPr>
      </w:pPr>
    </w:p>
    <w:p w14:paraId="6CA313A3" w14:textId="77777777" w:rsidR="00C04CAD" w:rsidRDefault="00060E34">
      <w:pPr>
        <w:pStyle w:val="BodyText"/>
        <w:kinsoku w:val="0"/>
        <w:overflowPunct w:val="0"/>
        <w:rPr>
          <w:i w:val="0"/>
          <w:color w:val="auto"/>
        </w:rPr>
      </w:pPr>
      <w:r>
        <w:rPr>
          <w:i w:val="0"/>
          <w:color w:val="auto"/>
        </w:rPr>
        <w:t xml:space="preserve">Doza de AMGEVITA recomandată la </w:t>
      </w:r>
      <w:r>
        <w:rPr>
          <w:i w:val="0"/>
          <w:color w:val="auto"/>
          <w:szCs w:val="22"/>
        </w:rPr>
        <w:t xml:space="preserve">pacienții </w:t>
      </w:r>
      <w:r>
        <w:rPr>
          <w:i w:val="0"/>
          <w:color w:val="auto"/>
        </w:rPr>
        <w:t xml:space="preserve">copii cu uveită cu vârsta </w:t>
      </w:r>
      <w:r>
        <w:rPr>
          <w:i w:val="0"/>
          <w:color w:val="auto"/>
          <w:szCs w:val="22"/>
        </w:rPr>
        <w:t xml:space="preserve">începând </w:t>
      </w:r>
      <w:r>
        <w:rPr>
          <w:i w:val="0"/>
          <w:color w:val="auto"/>
        </w:rPr>
        <w:t xml:space="preserve">de la 2 ani se </w:t>
      </w:r>
      <w:r>
        <w:rPr>
          <w:i w:val="0"/>
          <w:color w:val="auto"/>
          <w:szCs w:val="22"/>
        </w:rPr>
        <w:t>stabilește în funcție</w:t>
      </w:r>
      <w:r>
        <w:rPr>
          <w:i w:val="0"/>
          <w:color w:val="auto"/>
        </w:rPr>
        <w:t xml:space="preserve"> greutatea pacientului (tabelul 6). AMGEVITA se administrează prin </w:t>
      </w:r>
      <w:r>
        <w:rPr>
          <w:i w:val="0"/>
          <w:color w:val="auto"/>
          <w:szCs w:val="22"/>
        </w:rPr>
        <w:t xml:space="preserve">injecţie </w:t>
      </w:r>
      <w:r>
        <w:rPr>
          <w:i w:val="0"/>
          <w:color w:val="auto"/>
        </w:rPr>
        <w:t>subcutanată.</w:t>
      </w:r>
    </w:p>
    <w:p w14:paraId="4735498D" w14:textId="77777777" w:rsidR="00C04CAD" w:rsidRDefault="00C04CAD">
      <w:pPr>
        <w:pStyle w:val="BodyText"/>
        <w:kinsoku w:val="0"/>
        <w:overflowPunct w:val="0"/>
        <w:rPr>
          <w:i w:val="0"/>
          <w:color w:val="auto"/>
        </w:rPr>
      </w:pPr>
    </w:p>
    <w:p w14:paraId="62539171" w14:textId="77777777" w:rsidR="00C04CAD" w:rsidRDefault="00060E34">
      <w:pPr>
        <w:pStyle w:val="BodyText"/>
        <w:kinsoku w:val="0"/>
        <w:overflowPunct w:val="0"/>
        <w:rPr>
          <w:i w:val="0"/>
          <w:color w:val="auto"/>
        </w:rPr>
      </w:pPr>
      <w:r>
        <w:rPr>
          <w:i w:val="0"/>
          <w:color w:val="auto"/>
        </w:rPr>
        <w:t>La copii și adolescenți cu uveită, nu există date privind utilizarea tratamentului cu AMGEVITA fără tratament asociat cu metotrexat.</w:t>
      </w:r>
    </w:p>
    <w:p w14:paraId="3AFF997B" w14:textId="77777777" w:rsidR="00C04CAD" w:rsidRDefault="00C04CAD">
      <w:pPr>
        <w:pStyle w:val="BodyText"/>
        <w:kinsoku w:val="0"/>
        <w:overflowPunct w:val="0"/>
        <w:rPr>
          <w:i w:val="0"/>
          <w:color w:val="auto"/>
        </w:rPr>
      </w:pPr>
    </w:p>
    <w:p w14:paraId="7AAFE011" w14:textId="77777777" w:rsidR="00C04CAD" w:rsidRDefault="00060E34">
      <w:pPr>
        <w:pStyle w:val="BodyText"/>
        <w:keepNext/>
        <w:keepLines/>
        <w:kinsoku w:val="0"/>
        <w:overflowPunct w:val="0"/>
        <w:rPr>
          <w:b/>
          <w:i w:val="0"/>
          <w:color w:val="auto"/>
          <w:szCs w:val="22"/>
        </w:rPr>
      </w:pPr>
      <w:r>
        <w:rPr>
          <w:b/>
          <w:i w:val="0"/>
          <w:color w:val="auto"/>
          <w:szCs w:val="22"/>
        </w:rPr>
        <w:t>Tabelul 6. Doza de AMGEVITA la pacienţi copii cu uveită</w:t>
      </w:r>
    </w:p>
    <w:p w14:paraId="4833EAF4" w14:textId="77777777" w:rsidR="00C04CAD" w:rsidRDefault="00C04CAD">
      <w:pPr>
        <w:pStyle w:val="BodyText"/>
        <w:keepNext/>
        <w:keepLines/>
        <w:kinsoku w:val="0"/>
        <w:overflowPunct w:val="0"/>
        <w:rPr>
          <w:i w:val="0"/>
          <w:color w:val="auto"/>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C04CAD" w14:paraId="7125ADA4" w14:textId="77777777">
        <w:trPr>
          <w:tblHeader/>
        </w:trPr>
        <w:tc>
          <w:tcPr>
            <w:tcW w:w="4253" w:type="dxa"/>
            <w:tcBorders>
              <w:top w:val="single" w:sz="4" w:space="0" w:color="auto"/>
              <w:left w:val="single" w:sz="4" w:space="0" w:color="auto"/>
              <w:bottom w:val="single" w:sz="4" w:space="0" w:color="auto"/>
              <w:right w:val="single" w:sz="4" w:space="0" w:color="auto"/>
            </w:tcBorders>
          </w:tcPr>
          <w:p w14:paraId="0AC9795F" w14:textId="77777777" w:rsidR="00C04CAD" w:rsidRDefault="00060E34">
            <w:pPr>
              <w:keepNext/>
              <w:tabs>
                <w:tab w:val="clear" w:pos="567"/>
                <w:tab w:val="left" w:pos="720"/>
              </w:tabs>
              <w:spacing w:line="240" w:lineRule="auto"/>
              <w:rPr>
                <w:rFonts w:eastAsia="Calibri"/>
                <w:b/>
                <w:szCs w:val="22"/>
                <w:lang w:eastAsia="ja-JP"/>
              </w:rPr>
            </w:pPr>
            <w:r>
              <w:rPr>
                <w:rFonts w:eastAsia="Calibri"/>
                <w:b/>
                <w:szCs w:val="22"/>
                <w:lang w:eastAsia="ja-JP"/>
              </w:rPr>
              <w:t>Greutate pacient</w:t>
            </w:r>
          </w:p>
        </w:tc>
        <w:tc>
          <w:tcPr>
            <w:tcW w:w="5103" w:type="dxa"/>
            <w:tcBorders>
              <w:top w:val="single" w:sz="4" w:space="0" w:color="auto"/>
              <w:left w:val="single" w:sz="4" w:space="0" w:color="auto"/>
              <w:bottom w:val="single" w:sz="4" w:space="0" w:color="auto"/>
              <w:right w:val="single" w:sz="4" w:space="0" w:color="auto"/>
            </w:tcBorders>
          </w:tcPr>
          <w:p w14:paraId="6E41E61C" w14:textId="77777777" w:rsidR="00C04CAD" w:rsidRDefault="00060E34">
            <w:pPr>
              <w:keepNext/>
              <w:tabs>
                <w:tab w:val="clear" w:pos="567"/>
                <w:tab w:val="left" w:pos="720"/>
              </w:tabs>
              <w:spacing w:line="240" w:lineRule="auto"/>
              <w:rPr>
                <w:rFonts w:eastAsia="Calibri"/>
                <w:b/>
                <w:szCs w:val="22"/>
                <w:lang w:eastAsia="ja-JP"/>
              </w:rPr>
            </w:pPr>
            <w:r>
              <w:rPr>
                <w:rFonts w:eastAsia="Calibri"/>
                <w:b/>
                <w:szCs w:val="22"/>
                <w:lang w:eastAsia="ja-JP"/>
              </w:rPr>
              <w:t>Doza</w:t>
            </w:r>
          </w:p>
        </w:tc>
      </w:tr>
      <w:tr w:rsidR="00C04CAD" w14:paraId="4F17F48B" w14:textId="77777777">
        <w:trPr>
          <w:tblHeader/>
        </w:trPr>
        <w:tc>
          <w:tcPr>
            <w:tcW w:w="4253" w:type="dxa"/>
            <w:tcBorders>
              <w:top w:val="single" w:sz="4" w:space="0" w:color="auto"/>
              <w:left w:val="single" w:sz="4" w:space="0" w:color="auto"/>
              <w:bottom w:val="single" w:sz="4" w:space="0" w:color="auto"/>
              <w:right w:val="single" w:sz="4" w:space="0" w:color="auto"/>
            </w:tcBorders>
          </w:tcPr>
          <w:p w14:paraId="4D8354F4" w14:textId="77777777" w:rsidR="00C04CAD" w:rsidRDefault="00060E34">
            <w:pPr>
              <w:keepNext/>
              <w:tabs>
                <w:tab w:val="clear" w:pos="567"/>
                <w:tab w:val="left" w:pos="720"/>
              </w:tabs>
              <w:spacing w:line="240" w:lineRule="auto"/>
              <w:rPr>
                <w:rFonts w:eastAsia="Calibri"/>
                <w:b/>
                <w:szCs w:val="22"/>
                <w:lang w:eastAsia="ja-JP"/>
              </w:rPr>
            </w:pPr>
            <w:r>
              <w:rPr>
                <w:rFonts w:eastAsia="Calibri"/>
                <w:szCs w:val="22"/>
                <w:lang w:eastAsia="ja-JP"/>
              </w:rPr>
              <w:t>&lt; 30 kg</w:t>
            </w:r>
          </w:p>
        </w:tc>
        <w:tc>
          <w:tcPr>
            <w:tcW w:w="5103" w:type="dxa"/>
            <w:tcBorders>
              <w:top w:val="single" w:sz="4" w:space="0" w:color="auto"/>
              <w:left w:val="single" w:sz="4" w:space="0" w:color="auto"/>
              <w:bottom w:val="single" w:sz="4" w:space="0" w:color="auto"/>
              <w:right w:val="single" w:sz="4" w:space="0" w:color="auto"/>
            </w:tcBorders>
          </w:tcPr>
          <w:p w14:paraId="425EEF87" w14:textId="77777777" w:rsidR="00C04CAD" w:rsidRDefault="00060E34">
            <w:pPr>
              <w:keepNext/>
              <w:tabs>
                <w:tab w:val="clear" w:pos="567"/>
                <w:tab w:val="left" w:pos="720"/>
              </w:tabs>
              <w:spacing w:line="240" w:lineRule="auto"/>
              <w:rPr>
                <w:rFonts w:eastAsia="Calibri"/>
                <w:szCs w:val="22"/>
                <w:lang w:eastAsia="ja-JP"/>
              </w:rPr>
            </w:pPr>
            <w:r>
              <w:rPr>
                <w:szCs w:val="24"/>
              </w:rPr>
              <w:t>20 mg la două săptămâni</w:t>
            </w:r>
            <w:r>
              <w:rPr>
                <w:rFonts w:eastAsia="Calibri"/>
                <w:szCs w:val="22"/>
                <w:lang w:eastAsia="ja-JP"/>
              </w:rPr>
              <w:t xml:space="preserve"> asociat cu metotrexat</w:t>
            </w:r>
          </w:p>
        </w:tc>
      </w:tr>
      <w:tr w:rsidR="00C04CAD" w14:paraId="73744547" w14:textId="77777777">
        <w:trPr>
          <w:tblHeader/>
        </w:trPr>
        <w:tc>
          <w:tcPr>
            <w:tcW w:w="4253" w:type="dxa"/>
            <w:tcBorders>
              <w:top w:val="single" w:sz="4" w:space="0" w:color="auto"/>
              <w:left w:val="single" w:sz="4" w:space="0" w:color="auto"/>
              <w:bottom w:val="single" w:sz="4" w:space="0" w:color="auto"/>
              <w:right w:val="single" w:sz="4" w:space="0" w:color="auto"/>
            </w:tcBorders>
          </w:tcPr>
          <w:p w14:paraId="650D64EA" w14:textId="77777777" w:rsidR="00C04CAD" w:rsidRDefault="00060E34">
            <w:pPr>
              <w:keepNext/>
              <w:tabs>
                <w:tab w:val="clear" w:pos="567"/>
                <w:tab w:val="left" w:pos="720"/>
              </w:tabs>
              <w:spacing w:line="240" w:lineRule="auto"/>
              <w:rPr>
                <w:rFonts w:eastAsia="Calibri"/>
                <w:b/>
                <w:szCs w:val="22"/>
                <w:lang w:eastAsia="ja-JP"/>
              </w:rPr>
            </w:pPr>
            <w:r>
              <w:rPr>
                <w:rFonts w:eastAsia="Calibri"/>
                <w:szCs w:val="22"/>
                <w:lang w:eastAsia="ja-JP"/>
              </w:rPr>
              <w:t>≥ 30 kg</w:t>
            </w:r>
          </w:p>
        </w:tc>
        <w:tc>
          <w:tcPr>
            <w:tcW w:w="5103" w:type="dxa"/>
            <w:tcBorders>
              <w:top w:val="single" w:sz="4" w:space="0" w:color="auto"/>
              <w:left w:val="single" w:sz="4" w:space="0" w:color="auto"/>
              <w:bottom w:val="single" w:sz="4" w:space="0" w:color="auto"/>
              <w:right w:val="single" w:sz="4" w:space="0" w:color="auto"/>
            </w:tcBorders>
          </w:tcPr>
          <w:p w14:paraId="4DE55ED7" w14:textId="77777777" w:rsidR="00C04CAD" w:rsidRDefault="00060E34">
            <w:pPr>
              <w:suppressAutoHyphens/>
              <w:spacing w:line="240" w:lineRule="auto"/>
              <w:rPr>
                <w:szCs w:val="22"/>
              </w:rPr>
            </w:pPr>
            <w:r>
              <w:rPr>
                <w:szCs w:val="24"/>
              </w:rPr>
              <w:t xml:space="preserve">40 mg la două săptămâni </w:t>
            </w:r>
            <w:r>
              <w:rPr>
                <w:rFonts w:eastAsia="Calibri"/>
                <w:szCs w:val="22"/>
                <w:lang w:eastAsia="ja-JP"/>
              </w:rPr>
              <w:t xml:space="preserve">asociat cu </w:t>
            </w:r>
            <w:r>
              <w:rPr>
                <w:szCs w:val="22"/>
              </w:rPr>
              <w:t>metotrexat</w:t>
            </w:r>
          </w:p>
        </w:tc>
      </w:tr>
    </w:tbl>
    <w:p w14:paraId="4E92B991" w14:textId="77777777" w:rsidR="00C04CAD" w:rsidRDefault="00C04CAD">
      <w:pPr>
        <w:kinsoku w:val="0"/>
        <w:overflowPunct w:val="0"/>
        <w:spacing w:line="240" w:lineRule="auto"/>
      </w:pPr>
    </w:p>
    <w:p w14:paraId="6DE5C46B" w14:textId="77777777" w:rsidR="00C04CAD" w:rsidRDefault="00060E34">
      <w:pPr>
        <w:kinsoku w:val="0"/>
        <w:overflowPunct w:val="0"/>
        <w:spacing w:line="240" w:lineRule="auto"/>
      </w:pPr>
      <w:r>
        <w:t xml:space="preserve">Atunci când se inițiază tratamentul cu AMGEVITA, o doză de încărcare de 40 mg la pacienții cu greutatea &lt; 30 kg sau 80 mg la pacienții cu greutatea ≥ 30 kg poate fi administrată cu o săptămână înainte de începerea tratamentului de menținere. </w:t>
      </w:r>
      <w:r>
        <w:rPr>
          <w:szCs w:val="24"/>
        </w:rPr>
        <w:t xml:space="preserve">Nu sunt disponibile date clinice privind utilizarea unei doze de încărcare cu </w:t>
      </w:r>
      <w:r>
        <w:t>AMGEVITA la copii cu vârsta &lt; 6 ani (vezi pct. 5.2).</w:t>
      </w:r>
    </w:p>
    <w:p w14:paraId="22AD276C" w14:textId="77777777" w:rsidR="00C04CAD" w:rsidRDefault="00C04CAD">
      <w:pPr>
        <w:kinsoku w:val="0"/>
        <w:overflowPunct w:val="0"/>
        <w:spacing w:line="240" w:lineRule="auto"/>
      </w:pPr>
    </w:p>
    <w:p w14:paraId="67CE1919" w14:textId="77777777" w:rsidR="00C04CAD" w:rsidRDefault="00060E34">
      <w:pPr>
        <w:kinsoku w:val="0"/>
        <w:overflowPunct w:val="0"/>
        <w:spacing w:line="240" w:lineRule="auto"/>
      </w:pPr>
      <w:r>
        <w:t>Pentru această indicație, utilizarea medicamentului AMGEVITA la copii cu vârsta mai mică de 2 ani nu este relevantă.</w:t>
      </w:r>
    </w:p>
    <w:p w14:paraId="68A5BD21" w14:textId="77777777" w:rsidR="00C04CAD" w:rsidRDefault="00C04CAD">
      <w:pPr>
        <w:kinsoku w:val="0"/>
        <w:overflowPunct w:val="0"/>
        <w:spacing w:line="240" w:lineRule="auto"/>
      </w:pPr>
    </w:p>
    <w:p w14:paraId="39558E27" w14:textId="77777777" w:rsidR="00C04CAD" w:rsidRDefault="00060E34">
      <w:pPr>
        <w:kinsoku w:val="0"/>
        <w:overflowPunct w:val="0"/>
        <w:spacing w:line="240" w:lineRule="auto"/>
      </w:pPr>
      <w:r>
        <w:t>Se recomandă ca beneficiul și riscul continuării tratamentului pe termen lung să fie evaluate anual (vezi pct. 5.1).</w:t>
      </w:r>
    </w:p>
    <w:p w14:paraId="223B4EFA" w14:textId="77777777" w:rsidR="00C04CAD" w:rsidRDefault="00C04CAD">
      <w:pPr>
        <w:kinsoku w:val="0"/>
        <w:overflowPunct w:val="0"/>
        <w:spacing w:line="240" w:lineRule="auto"/>
      </w:pPr>
    </w:p>
    <w:p w14:paraId="58519A5F" w14:textId="77777777" w:rsidR="00C04CAD" w:rsidRDefault="00060E34">
      <w:pPr>
        <w:pStyle w:val="BodyText"/>
        <w:kinsoku w:val="0"/>
        <w:overflowPunct w:val="0"/>
        <w:rPr>
          <w:i w:val="0"/>
          <w:color w:val="auto"/>
        </w:rPr>
      </w:pPr>
      <w:r>
        <w:rPr>
          <w:i w:val="0"/>
          <w:color w:val="auto"/>
          <w:u w:val="single"/>
        </w:rPr>
        <w:lastRenderedPageBreak/>
        <w:t>Mod de administrare</w:t>
      </w:r>
    </w:p>
    <w:p w14:paraId="4D9C0846" w14:textId="77777777" w:rsidR="00C04CAD" w:rsidRDefault="00C04CAD">
      <w:pPr>
        <w:kinsoku w:val="0"/>
        <w:overflowPunct w:val="0"/>
        <w:spacing w:line="240" w:lineRule="auto"/>
      </w:pPr>
    </w:p>
    <w:p w14:paraId="75F6567E" w14:textId="77777777" w:rsidR="00C04CAD" w:rsidRDefault="00060E34">
      <w:pPr>
        <w:pStyle w:val="BodyText"/>
        <w:kinsoku w:val="0"/>
        <w:overflowPunct w:val="0"/>
        <w:rPr>
          <w:i w:val="0"/>
          <w:color w:val="auto"/>
        </w:rPr>
      </w:pPr>
      <w:r>
        <w:rPr>
          <w:i w:val="0"/>
          <w:color w:val="auto"/>
        </w:rPr>
        <w:t>AMGEVITA se administrează prin injecție subcutanată. Instrucţiuni complete privind administrarea sunt disponibile în prospect.</w:t>
      </w:r>
    </w:p>
    <w:p w14:paraId="066123A7" w14:textId="77777777" w:rsidR="00C04CAD" w:rsidRDefault="00C04CAD">
      <w:pPr>
        <w:pStyle w:val="BodyText"/>
        <w:kinsoku w:val="0"/>
        <w:overflowPunct w:val="0"/>
        <w:rPr>
          <w:i w:val="0"/>
          <w:color w:val="auto"/>
        </w:rPr>
      </w:pPr>
    </w:p>
    <w:p w14:paraId="57A16527" w14:textId="77777777" w:rsidR="00C04CAD" w:rsidRDefault="00060E34">
      <w:pPr>
        <w:keepNext/>
        <w:numPr>
          <w:ilvl w:val="1"/>
          <w:numId w:val="7"/>
        </w:numPr>
        <w:spacing w:line="240" w:lineRule="auto"/>
        <w:outlineLvl w:val="0"/>
        <w:rPr>
          <w:szCs w:val="22"/>
        </w:rPr>
      </w:pPr>
      <w:r>
        <w:rPr>
          <w:b/>
        </w:rPr>
        <w:t>Contraindicații</w:t>
      </w:r>
    </w:p>
    <w:p w14:paraId="65B27ECE" w14:textId="77777777" w:rsidR="00C04CAD" w:rsidRDefault="00C04CAD">
      <w:pPr>
        <w:keepNext/>
        <w:spacing w:line="240" w:lineRule="auto"/>
      </w:pPr>
    </w:p>
    <w:p w14:paraId="0BB7856C" w14:textId="77777777" w:rsidR="00C04CAD" w:rsidRDefault="00060E34">
      <w:pPr>
        <w:pStyle w:val="BodyText"/>
        <w:kinsoku w:val="0"/>
        <w:overflowPunct w:val="0"/>
        <w:rPr>
          <w:i w:val="0"/>
          <w:color w:val="auto"/>
        </w:rPr>
      </w:pPr>
      <w:r>
        <w:rPr>
          <w:i w:val="0"/>
          <w:color w:val="auto"/>
        </w:rPr>
        <w:t>Hipersensibilitate la substanţa activă sau la oricare dintre excipienţii enumeraţi la pct. 6.1.</w:t>
      </w:r>
    </w:p>
    <w:p w14:paraId="1A8638E2" w14:textId="77777777" w:rsidR="00C04CAD" w:rsidRDefault="00C04CAD">
      <w:pPr>
        <w:pStyle w:val="BodyText"/>
        <w:kinsoku w:val="0"/>
        <w:overflowPunct w:val="0"/>
        <w:rPr>
          <w:i w:val="0"/>
          <w:color w:val="auto"/>
        </w:rPr>
      </w:pPr>
    </w:p>
    <w:p w14:paraId="2A40F5DE" w14:textId="77777777" w:rsidR="00C04CAD" w:rsidRDefault="00060E34">
      <w:pPr>
        <w:pStyle w:val="BodyText"/>
        <w:kinsoku w:val="0"/>
        <w:overflowPunct w:val="0"/>
        <w:rPr>
          <w:i w:val="0"/>
          <w:color w:val="auto"/>
        </w:rPr>
      </w:pPr>
      <w:r>
        <w:rPr>
          <w:i w:val="0"/>
          <w:color w:val="auto"/>
        </w:rPr>
        <w:t xml:space="preserve">Tuberculoză activă sau alte infecţii severe cum sunt stări septice şi infecţii oportuniste (vezi pct. 4.4). </w:t>
      </w:r>
    </w:p>
    <w:p w14:paraId="19250F3B" w14:textId="77777777" w:rsidR="00C04CAD" w:rsidRDefault="00C04CAD">
      <w:pPr>
        <w:pStyle w:val="BodyText"/>
        <w:kinsoku w:val="0"/>
        <w:overflowPunct w:val="0"/>
        <w:rPr>
          <w:i w:val="0"/>
          <w:color w:val="auto"/>
        </w:rPr>
      </w:pPr>
    </w:p>
    <w:p w14:paraId="3DC60C25" w14:textId="77777777" w:rsidR="00C04CAD" w:rsidRDefault="00060E34">
      <w:pPr>
        <w:pStyle w:val="BodyText"/>
        <w:kinsoku w:val="0"/>
        <w:overflowPunct w:val="0"/>
        <w:rPr>
          <w:i w:val="0"/>
          <w:color w:val="auto"/>
        </w:rPr>
      </w:pPr>
      <w:r>
        <w:rPr>
          <w:i w:val="0"/>
          <w:color w:val="auto"/>
        </w:rPr>
        <w:t>Insuficienţă cardiacă moderată până la severă (clasa III/IVNYHA) (vezi pct. 4.4).</w:t>
      </w:r>
    </w:p>
    <w:p w14:paraId="71CCCCBE" w14:textId="77777777" w:rsidR="00C04CAD" w:rsidRDefault="00C04CAD">
      <w:pPr>
        <w:spacing w:line="240" w:lineRule="auto"/>
      </w:pPr>
    </w:p>
    <w:p w14:paraId="58D7850A" w14:textId="77777777" w:rsidR="00C04CAD" w:rsidRDefault="00060E34">
      <w:pPr>
        <w:keepNext/>
        <w:numPr>
          <w:ilvl w:val="1"/>
          <w:numId w:val="7"/>
        </w:numPr>
        <w:spacing w:line="240" w:lineRule="auto"/>
        <w:outlineLvl w:val="0"/>
      </w:pPr>
      <w:r>
        <w:rPr>
          <w:b/>
        </w:rPr>
        <w:t>Atenționări și precauții speciale pentru utilizare</w:t>
      </w:r>
    </w:p>
    <w:p w14:paraId="5F17BFC0" w14:textId="77777777" w:rsidR="00C04CAD" w:rsidRDefault="00C04CAD">
      <w:pPr>
        <w:keepNext/>
        <w:spacing w:line="240" w:lineRule="auto"/>
        <w:ind w:left="567" w:hanging="567"/>
        <w:rPr>
          <w:b/>
        </w:rPr>
      </w:pPr>
    </w:p>
    <w:p w14:paraId="2D2410E7" w14:textId="77777777" w:rsidR="00C04CAD" w:rsidRDefault="00060E34">
      <w:pPr>
        <w:keepNext/>
        <w:spacing w:line="240" w:lineRule="auto"/>
        <w:ind w:left="567" w:hanging="567"/>
        <w:rPr>
          <w:u w:val="single"/>
        </w:rPr>
      </w:pPr>
      <w:r>
        <w:rPr>
          <w:u w:val="single"/>
        </w:rPr>
        <w:t>Trasabilitate</w:t>
      </w:r>
    </w:p>
    <w:p w14:paraId="5BA933D3" w14:textId="77777777" w:rsidR="00C04CAD" w:rsidRDefault="00C04CAD">
      <w:pPr>
        <w:keepNext/>
        <w:spacing w:line="240" w:lineRule="auto"/>
        <w:ind w:left="567" w:hanging="567"/>
        <w:rPr>
          <w:b/>
        </w:rPr>
      </w:pPr>
    </w:p>
    <w:p w14:paraId="0536118E" w14:textId="77777777" w:rsidR="00C04CAD" w:rsidRDefault="00060E34">
      <w:pPr>
        <w:pStyle w:val="BodyText"/>
        <w:kinsoku w:val="0"/>
        <w:overflowPunct w:val="0"/>
        <w:rPr>
          <w:i w:val="0"/>
          <w:color w:val="auto"/>
        </w:rPr>
      </w:pPr>
      <w:r>
        <w:rPr>
          <w:i w:val="0"/>
          <w:color w:val="auto"/>
        </w:rPr>
        <w:t>Denumirea și numărul lotului medicamentului administrat trebuie să fie înregistrate în mod clar în vederea îmbunătățirii trasabilității medicamentelor biologice.</w:t>
      </w:r>
    </w:p>
    <w:p w14:paraId="064C1748" w14:textId="77777777" w:rsidR="00C04CAD" w:rsidRDefault="00C04CAD">
      <w:pPr>
        <w:kinsoku w:val="0"/>
        <w:overflowPunct w:val="0"/>
        <w:spacing w:line="240" w:lineRule="auto"/>
      </w:pPr>
    </w:p>
    <w:p w14:paraId="3025DC74" w14:textId="77777777" w:rsidR="00C04CAD" w:rsidRDefault="00060E34">
      <w:pPr>
        <w:pStyle w:val="BodyText"/>
        <w:kinsoku w:val="0"/>
        <w:overflowPunct w:val="0"/>
        <w:rPr>
          <w:i w:val="0"/>
          <w:color w:val="auto"/>
        </w:rPr>
      </w:pPr>
      <w:r>
        <w:rPr>
          <w:i w:val="0"/>
          <w:color w:val="auto"/>
          <w:u w:val="single"/>
        </w:rPr>
        <w:t>Infecţii</w:t>
      </w:r>
    </w:p>
    <w:p w14:paraId="378729EE" w14:textId="77777777" w:rsidR="00C04CAD" w:rsidRDefault="00C04CAD">
      <w:pPr>
        <w:kinsoku w:val="0"/>
        <w:overflowPunct w:val="0"/>
        <w:spacing w:line="240" w:lineRule="auto"/>
        <w:rPr>
          <w:szCs w:val="22"/>
        </w:rPr>
      </w:pPr>
    </w:p>
    <w:p w14:paraId="5760567E" w14:textId="77777777" w:rsidR="00C04CAD" w:rsidRDefault="00060E34">
      <w:pPr>
        <w:pStyle w:val="BodyText"/>
        <w:kinsoku w:val="0"/>
        <w:overflowPunct w:val="0"/>
        <w:rPr>
          <w:i w:val="0"/>
          <w:color w:val="auto"/>
          <w:szCs w:val="22"/>
        </w:rPr>
      </w:pPr>
      <w:r>
        <w:rPr>
          <w:i w:val="0"/>
          <w:color w:val="auto"/>
          <w:szCs w:val="22"/>
        </w:rPr>
        <w:t>Pacienţii care utilizează antagonişti TNF au un risc crescut de apariţie a infecţiilor grave. Alterarea funcţiei pulmonare creşte riscul de apariţie a infecţiilor. Prin urmare, pacienţii trebuie monitorizaţi atent în vederea detectării infecţiilor, inclusiv a tuberculozei, înainte, în timpul şi după tratamentul cu AMGEVITA. Deoarece eliminarea adalimumabului poate dura până la patru luni, monitorizarea trebuie continuată pe întreg parcursul acestei perioade.</w:t>
      </w:r>
    </w:p>
    <w:p w14:paraId="25E3011B" w14:textId="77777777" w:rsidR="00C04CAD" w:rsidRDefault="00C04CAD">
      <w:pPr>
        <w:kinsoku w:val="0"/>
        <w:overflowPunct w:val="0"/>
        <w:spacing w:line="240" w:lineRule="auto"/>
        <w:rPr>
          <w:szCs w:val="22"/>
        </w:rPr>
      </w:pPr>
    </w:p>
    <w:p w14:paraId="10AE40C7" w14:textId="77777777" w:rsidR="00C04CAD" w:rsidRDefault="00060E34">
      <w:pPr>
        <w:pStyle w:val="BodyText"/>
        <w:kinsoku w:val="0"/>
        <w:overflowPunct w:val="0"/>
        <w:rPr>
          <w:i w:val="0"/>
          <w:color w:val="auto"/>
          <w:szCs w:val="22"/>
        </w:rPr>
      </w:pPr>
      <w:r>
        <w:rPr>
          <w:i w:val="0"/>
          <w:color w:val="auto"/>
          <w:szCs w:val="22"/>
        </w:rPr>
        <w:t>Tratamentul cu AMGEVITA nu trebuie iniţiat în cazul pacienţilor cu infecţii active, inclusiv infecţii cronice sau localizate, până când acestea nu sunt controlate. Înainte de începerea tratamentului cu AMGEVITA, trebuie luate în considerare riscul şi beneficiile tratamentului în cazul pacienţilor care au fost expuşi la tuberculoză şi a pacienţilor care au călătorit în zone cu risc crescut de tuberculoză sau zone endemice de micoze, cum ar fi histoplasmoză, coccidioidomicoză sau blastomicoză (vezi Alte Infecţii oportuniste).</w:t>
      </w:r>
    </w:p>
    <w:p w14:paraId="07F7CF37" w14:textId="77777777" w:rsidR="00C04CAD" w:rsidRDefault="00C04CAD">
      <w:pPr>
        <w:kinsoku w:val="0"/>
        <w:overflowPunct w:val="0"/>
        <w:spacing w:line="240" w:lineRule="auto"/>
        <w:rPr>
          <w:szCs w:val="22"/>
        </w:rPr>
      </w:pPr>
    </w:p>
    <w:p w14:paraId="48D517F1" w14:textId="77777777" w:rsidR="00C04CAD" w:rsidRDefault="00060E34">
      <w:pPr>
        <w:pStyle w:val="BodyText"/>
        <w:kinsoku w:val="0"/>
        <w:overflowPunct w:val="0"/>
        <w:rPr>
          <w:i w:val="0"/>
          <w:color w:val="auto"/>
          <w:szCs w:val="22"/>
        </w:rPr>
      </w:pPr>
      <w:r>
        <w:rPr>
          <w:i w:val="0"/>
          <w:color w:val="auto"/>
          <w:szCs w:val="22"/>
        </w:rPr>
        <w:t>Pacienţii care dezvoltă o nouă infecţie pe durata tratamentului cu AMGEVITA trebuie monitorizaţi atent şi supuşi unei evaluări complete a diagnosticului. Administrarea AMGEVITA trebuie întreruptă dacă un pacient prezintă o nouă infecţie gravă sau sepsis şi trebuie început un tratament adecvat antimicrobian sau antimicotic, până când infecţia este controlată. Este necesară prudenţă din partea medicilor atunci când trebuie să se ia în considerare recomandarea tratamentului cu AMGEVITA la pacienţii cu antecedente de infecţii recidivante sau cu boli de fond care pot predispune la infecţii, inclusiv utilizarea concomitentă a medicamentelor imunosupresoare.</w:t>
      </w:r>
    </w:p>
    <w:p w14:paraId="320463C6" w14:textId="77777777" w:rsidR="00C04CAD" w:rsidRDefault="00C04CAD">
      <w:pPr>
        <w:kinsoku w:val="0"/>
        <w:overflowPunct w:val="0"/>
        <w:spacing w:line="240" w:lineRule="auto"/>
        <w:rPr>
          <w:szCs w:val="22"/>
        </w:rPr>
      </w:pPr>
    </w:p>
    <w:p w14:paraId="6D7479FE" w14:textId="77777777" w:rsidR="00C04CAD" w:rsidRDefault="00060E34">
      <w:pPr>
        <w:keepNext/>
        <w:kinsoku w:val="0"/>
        <w:overflowPunct w:val="0"/>
        <w:spacing w:line="240" w:lineRule="auto"/>
        <w:rPr>
          <w:i/>
          <w:szCs w:val="22"/>
        </w:rPr>
      </w:pPr>
      <w:r>
        <w:rPr>
          <w:i/>
          <w:szCs w:val="22"/>
        </w:rPr>
        <w:t xml:space="preserve">Infecţii </w:t>
      </w:r>
      <w:r>
        <w:rPr>
          <w:i/>
          <w:iCs/>
          <w:szCs w:val="22"/>
        </w:rPr>
        <w:t>grave</w:t>
      </w:r>
    </w:p>
    <w:p w14:paraId="28790806" w14:textId="77777777" w:rsidR="00C04CAD" w:rsidRDefault="00C04CAD">
      <w:pPr>
        <w:keepNext/>
        <w:kinsoku w:val="0"/>
        <w:overflowPunct w:val="0"/>
        <w:spacing w:line="240" w:lineRule="auto"/>
        <w:rPr>
          <w:szCs w:val="22"/>
        </w:rPr>
      </w:pPr>
    </w:p>
    <w:p w14:paraId="4635A6AC" w14:textId="77777777" w:rsidR="00C04CAD" w:rsidRDefault="00060E34">
      <w:pPr>
        <w:pStyle w:val="BodyText"/>
        <w:kinsoku w:val="0"/>
        <w:overflowPunct w:val="0"/>
        <w:rPr>
          <w:color w:val="auto"/>
          <w:szCs w:val="22"/>
        </w:rPr>
      </w:pPr>
      <w:r>
        <w:rPr>
          <w:i w:val="0"/>
          <w:color w:val="auto"/>
          <w:szCs w:val="22"/>
        </w:rPr>
        <w:t>S-au raportat infecţii grave, inclusiv sepsis cauzat de infecţii bacteriene, micobacteriene, infecţii micotice invazive, parazitare, virale, sau alte infecţii oportuniste cum sunt listerioza, legioneloza şi pneomocistoza, la pacienţii care utilizează adalimumab.</w:t>
      </w:r>
    </w:p>
    <w:p w14:paraId="1347DBD2" w14:textId="77777777" w:rsidR="00C04CAD" w:rsidRDefault="00C04CAD">
      <w:pPr>
        <w:kinsoku w:val="0"/>
        <w:overflowPunct w:val="0"/>
        <w:spacing w:line="240" w:lineRule="auto"/>
      </w:pPr>
    </w:p>
    <w:p w14:paraId="46C8B7C5" w14:textId="77777777" w:rsidR="00C04CAD" w:rsidRDefault="00060E34">
      <w:pPr>
        <w:spacing w:line="240" w:lineRule="auto"/>
      </w:pPr>
      <w:r>
        <w:t>Alte infecţii grave raportate în studii clinice sunt pneumonia, pielonefrita, artrita septică şi septicemia. S-au raportat spitalizări sau decese ca urmare a infecţiilor.</w:t>
      </w:r>
    </w:p>
    <w:p w14:paraId="1D3EC80D" w14:textId="77777777" w:rsidR="00C04CAD" w:rsidRDefault="00C04CAD">
      <w:pPr>
        <w:spacing w:line="240" w:lineRule="auto"/>
      </w:pPr>
    </w:p>
    <w:p w14:paraId="0C8D5924" w14:textId="77777777" w:rsidR="00C04CAD" w:rsidRDefault="00060E34">
      <w:pPr>
        <w:keepNext/>
        <w:tabs>
          <w:tab w:val="clear" w:pos="567"/>
        </w:tabs>
        <w:kinsoku w:val="0"/>
        <w:overflowPunct w:val="0"/>
        <w:autoSpaceDE w:val="0"/>
        <w:autoSpaceDN w:val="0"/>
        <w:adjustRightInd w:val="0"/>
        <w:spacing w:line="240" w:lineRule="auto"/>
      </w:pPr>
      <w:r>
        <w:rPr>
          <w:i/>
        </w:rPr>
        <w:t>Tuberculoză</w:t>
      </w:r>
    </w:p>
    <w:p w14:paraId="25A17952" w14:textId="77777777" w:rsidR="00C04CAD" w:rsidRDefault="00C04CAD">
      <w:pPr>
        <w:keepNext/>
        <w:tabs>
          <w:tab w:val="clear" w:pos="567"/>
        </w:tabs>
        <w:kinsoku w:val="0"/>
        <w:overflowPunct w:val="0"/>
        <w:autoSpaceDE w:val="0"/>
        <w:autoSpaceDN w:val="0"/>
        <w:adjustRightInd w:val="0"/>
        <w:spacing w:line="240" w:lineRule="auto"/>
      </w:pPr>
    </w:p>
    <w:p w14:paraId="3EB7FDF4" w14:textId="77777777" w:rsidR="00C04CAD" w:rsidRDefault="00060E34">
      <w:pPr>
        <w:tabs>
          <w:tab w:val="clear" w:pos="567"/>
        </w:tabs>
        <w:kinsoku w:val="0"/>
        <w:overflowPunct w:val="0"/>
        <w:autoSpaceDE w:val="0"/>
        <w:autoSpaceDN w:val="0"/>
        <w:adjustRightInd w:val="0"/>
        <w:spacing w:line="240" w:lineRule="auto"/>
      </w:pPr>
      <w:r>
        <w:t xml:space="preserve">Au fost raportate cazuri de tuberculoză, inclusiv reactivarea şi debutul tuberculozei la pacienţii care utilizează </w:t>
      </w:r>
      <w:r>
        <w:rPr>
          <w:rFonts w:eastAsia="MS Mincho"/>
          <w:szCs w:val="22"/>
          <w:lang w:eastAsia="en-US" w:bidi="ar-SA"/>
        </w:rPr>
        <w:t>adalimumab</w:t>
      </w:r>
      <w:r>
        <w:t>. Raportările includ cazuri de tuberculoză pulmonară şi extrapulmonară (ca de exemplu forma diseminată).</w:t>
      </w:r>
    </w:p>
    <w:p w14:paraId="33965834" w14:textId="77777777" w:rsidR="00C04CAD" w:rsidRDefault="00C04CAD">
      <w:pPr>
        <w:tabs>
          <w:tab w:val="clear" w:pos="567"/>
        </w:tabs>
        <w:kinsoku w:val="0"/>
        <w:overflowPunct w:val="0"/>
        <w:autoSpaceDE w:val="0"/>
        <w:autoSpaceDN w:val="0"/>
        <w:adjustRightInd w:val="0"/>
        <w:spacing w:line="240" w:lineRule="auto"/>
      </w:pPr>
    </w:p>
    <w:p w14:paraId="29C27F36" w14:textId="77777777" w:rsidR="00C04CAD" w:rsidRDefault="00060E34">
      <w:pPr>
        <w:tabs>
          <w:tab w:val="clear" w:pos="567"/>
        </w:tabs>
        <w:kinsoku w:val="0"/>
        <w:overflowPunct w:val="0"/>
        <w:autoSpaceDE w:val="0"/>
        <w:autoSpaceDN w:val="0"/>
        <w:adjustRightInd w:val="0"/>
        <w:spacing w:line="240" w:lineRule="auto"/>
      </w:pPr>
      <w:r>
        <w:t xml:space="preserve">Înainte de iniţierea tratamentului cu </w:t>
      </w:r>
      <w:r>
        <w:rPr>
          <w:rFonts w:eastAsia="MS Mincho"/>
          <w:szCs w:val="22"/>
          <w:lang w:eastAsia="en-US" w:bidi="ar-SA"/>
        </w:rPr>
        <w:t>AMGEVITA</w:t>
      </w:r>
      <w:r>
        <w:t xml:space="preserve">, toţi pacienţii trebuie evaluaţi pentru depistarea tuberculozei active şi inactive (latente). Această evaluare trebuie să includă un control medical detaliat al pacienţilor, care să cuprindă antecedente privind tuberculoza sau un posibil contact anterior cu persoane cu tuberculoză activă, precum şi tratament imunosupresor anterior şi/sau prezent. Testele de screening adecvate (de exemplu intradermoreacţia la tuberculină şi radiografia toracică) trebuie efectuate la toţi pacienţii (se pot aplica recomandări locale). Este recomandat ca efectuarea acestor teste şi rezultatele să fie înregistrate pe “Cardul de </w:t>
      </w:r>
      <w:r>
        <w:rPr>
          <w:szCs w:val="22"/>
        </w:rPr>
        <w:t>avertizare al pacientului</w:t>
      </w:r>
      <w:r>
        <w:t xml:space="preserve">”. Se reaminteşte medicilor care prescriu acest medicament, riscul apariţiei rezultatelor fals negative ale intradermoreacţiei la tuberculină, mai ales la pacienţii </w:t>
      </w:r>
      <w:r>
        <w:rPr>
          <w:rFonts w:eastAsia="MS Mincho"/>
          <w:szCs w:val="22"/>
          <w:lang w:eastAsia="en-US" w:bidi="ar-SA"/>
        </w:rPr>
        <w:t xml:space="preserve">cu boală severă </w:t>
      </w:r>
      <w:r>
        <w:t>sau cu imunitatea compromisă.</w:t>
      </w:r>
    </w:p>
    <w:p w14:paraId="2596F690" w14:textId="77777777" w:rsidR="00C04CAD" w:rsidRDefault="00C04CAD">
      <w:pPr>
        <w:tabs>
          <w:tab w:val="clear" w:pos="567"/>
        </w:tabs>
        <w:kinsoku w:val="0"/>
        <w:overflowPunct w:val="0"/>
        <w:autoSpaceDE w:val="0"/>
        <w:autoSpaceDN w:val="0"/>
        <w:adjustRightInd w:val="0"/>
        <w:spacing w:line="240" w:lineRule="auto"/>
      </w:pPr>
    </w:p>
    <w:p w14:paraId="2B7DB1C7" w14:textId="77777777" w:rsidR="00C04CAD" w:rsidRDefault="00060E34">
      <w:pPr>
        <w:tabs>
          <w:tab w:val="clear" w:pos="567"/>
        </w:tabs>
        <w:kinsoku w:val="0"/>
        <w:overflowPunct w:val="0"/>
        <w:autoSpaceDE w:val="0"/>
        <w:autoSpaceDN w:val="0"/>
        <w:adjustRightInd w:val="0"/>
        <w:spacing w:line="240" w:lineRule="auto"/>
      </w:pPr>
      <w:r>
        <w:rPr>
          <w:spacing w:val="-1"/>
        </w:rPr>
        <w:t>D</w:t>
      </w:r>
      <w:r>
        <w:t>acă e</w:t>
      </w:r>
      <w:r>
        <w:rPr>
          <w:spacing w:val="-2"/>
        </w:rPr>
        <w:t>s</w:t>
      </w:r>
      <w:r>
        <w:rPr>
          <w:spacing w:val="1"/>
        </w:rPr>
        <w:t>t</w:t>
      </w:r>
      <w:r>
        <w:t>e</w:t>
      </w:r>
      <w:r>
        <w:rPr>
          <w:spacing w:val="-2"/>
        </w:rPr>
        <w:t xml:space="preserve"> </w:t>
      </w:r>
      <w:r>
        <w:t>d</w:t>
      </w:r>
      <w:r>
        <w:rPr>
          <w:spacing w:val="1"/>
        </w:rPr>
        <w:t>i</w:t>
      </w:r>
      <w:r>
        <w:t>a</w:t>
      </w:r>
      <w:r>
        <w:rPr>
          <w:spacing w:val="-3"/>
        </w:rPr>
        <w:t>g</w:t>
      </w:r>
      <w:r>
        <w:t>no</w:t>
      </w:r>
      <w:r>
        <w:rPr>
          <w:spacing w:val="-2"/>
        </w:rPr>
        <w:t>s</w:t>
      </w:r>
      <w:r>
        <w:rPr>
          <w:spacing w:val="1"/>
        </w:rPr>
        <w:t>t</w:t>
      </w:r>
      <w:r>
        <w:rPr>
          <w:spacing w:val="-2"/>
        </w:rPr>
        <w:t>i</w:t>
      </w:r>
      <w:r>
        <w:t>ca</w:t>
      </w:r>
      <w:r>
        <w:rPr>
          <w:spacing w:val="-2"/>
        </w:rPr>
        <w:t>t</w:t>
      </w:r>
      <w:r>
        <w:t xml:space="preserve">ă </w:t>
      </w:r>
      <w:r>
        <w:rPr>
          <w:spacing w:val="1"/>
        </w:rPr>
        <w:t>t</w:t>
      </w:r>
      <w:r>
        <w:rPr>
          <w:spacing w:val="-3"/>
        </w:rPr>
        <w:t>ub</w:t>
      </w:r>
      <w:r>
        <w:t>erc</w:t>
      </w:r>
      <w:r>
        <w:rPr>
          <w:spacing w:val="-3"/>
        </w:rPr>
        <w:t>u</w:t>
      </w:r>
      <w:r>
        <w:rPr>
          <w:spacing w:val="1"/>
        </w:rPr>
        <w:t>l</w:t>
      </w:r>
      <w:r>
        <w:t>o</w:t>
      </w:r>
      <w:r>
        <w:rPr>
          <w:spacing w:val="-3"/>
        </w:rPr>
        <w:t>z</w:t>
      </w:r>
      <w:r>
        <w:t>a a</w:t>
      </w:r>
      <w:r>
        <w:rPr>
          <w:spacing w:val="-3"/>
        </w:rPr>
        <w:t>c</w:t>
      </w:r>
      <w:r>
        <w:rPr>
          <w:spacing w:val="1"/>
        </w:rPr>
        <w:t>ti</w:t>
      </w:r>
      <w:r>
        <w:rPr>
          <w:spacing w:val="-3"/>
        </w:rPr>
        <w:t>v</w:t>
      </w:r>
      <w:r>
        <w:t>ă,</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2"/>
        </w:rPr>
        <w:t xml:space="preserve"> </w:t>
      </w:r>
      <w:r>
        <w:t xml:space="preserve">cu </w:t>
      </w:r>
      <w:r>
        <w:rPr>
          <w:rFonts w:eastAsia="MS Mincho"/>
          <w:spacing w:val="-1"/>
          <w:szCs w:val="22"/>
          <w:lang w:eastAsia="en-US" w:bidi="ar-SA"/>
        </w:rPr>
        <w:t>AMGEVITA</w:t>
      </w:r>
      <w:r>
        <w:t xml:space="preserve"> nu</w:t>
      </w:r>
      <w:r>
        <w:rPr>
          <w:spacing w:val="-3"/>
        </w:rPr>
        <w:t xml:space="preserve"> </w:t>
      </w:r>
      <w:r>
        <w:rPr>
          <w:spacing w:val="1"/>
        </w:rPr>
        <w:t>t</w:t>
      </w:r>
      <w:r>
        <w:t>r</w:t>
      </w:r>
      <w:r>
        <w:rPr>
          <w:spacing w:val="-3"/>
        </w:rPr>
        <w:t>e</w:t>
      </w:r>
      <w:r>
        <w:t>bu</w:t>
      </w:r>
      <w:r>
        <w:rPr>
          <w:spacing w:val="-2"/>
        </w:rPr>
        <w:t>i</w:t>
      </w:r>
      <w:r>
        <w:t xml:space="preserve">e </w:t>
      </w:r>
      <w:r>
        <w:rPr>
          <w:spacing w:val="1"/>
        </w:rPr>
        <w:t>i</w:t>
      </w:r>
      <w:r>
        <w:rPr>
          <w:spacing w:val="-3"/>
        </w:rPr>
        <w:t>n</w:t>
      </w:r>
      <w:r>
        <w:rPr>
          <w:spacing w:val="1"/>
        </w:rPr>
        <w:t>i</w:t>
      </w:r>
      <w:r>
        <w:rPr>
          <w:spacing w:val="-2"/>
        </w:rPr>
        <w:t>ţ</w:t>
      </w:r>
      <w:r>
        <w:rPr>
          <w:spacing w:val="1"/>
        </w:rPr>
        <w:t>i</w:t>
      </w:r>
      <w:r>
        <w:rPr>
          <w:spacing w:val="-3"/>
        </w:rPr>
        <w:t>a</w:t>
      </w:r>
      <w:r>
        <w:t>t</w:t>
      </w:r>
      <w:r>
        <w:rPr>
          <w:spacing w:val="1"/>
        </w:rPr>
        <w:t xml:space="preserve"> </w:t>
      </w:r>
      <w:r>
        <w:t>(</w:t>
      </w:r>
      <w:r>
        <w:rPr>
          <w:spacing w:val="-3"/>
        </w:rPr>
        <w:t>v</w:t>
      </w:r>
      <w:r>
        <w:t>e</w:t>
      </w:r>
      <w:r>
        <w:rPr>
          <w:spacing w:val="-3"/>
        </w:rPr>
        <w:t>z</w:t>
      </w:r>
      <w:r>
        <w:t>i</w:t>
      </w:r>
      <w:r>
        <w:rPr>
          <w:spacing w:val="1"/>
        </w:rPr>
        <w:t xml:space="preserve"> </w:t>
      </w:r>
      <w:r>
        <w:t>pc</w:t>
      </w:r>
      <w:r>
        <w:rPr>
          <w:spacing w:val="-2"/>
        </w:rPr>
        <w:t>t</w:t>
      </w:r>
      <w:r>
        <w:t>. 4.</w:t>
      </w:r>
      <w:r>
        <w:rPr>
          <w:spacing w:val="-3"/>
        </w:rPr>
        <w:t>3</w:t>
      </w:r>
      <w:r>
        <w:t>).</w:t>
      </w:r>
    </w:p>
    <w:p w14:paraId="1019F35E" w14:textId="77777777" w:rsidR="00C04CAD" w:rsidRDefault="00C04CAD">
      <w:pPr>
        <w:tabs>
          <w:tab w:val="clear" w:pos="567"/>
        </w:tabs>
        <w:kinsoku w:val="0"/>
        <w:overflowPunct w:val="0"/>
        <w:autoSpaceDE w:val="0"/>
        <w:autoSpaceDN w:val="0"/>
        <w:adjustRightInd w:val="0"/>
        <w:spacing w:line="240" w:lineRule="auto"/>
      </w:pPr>
    </w:p>
    <w:p w14:paraId="4E9A08FB" w14:textId="77777777" w:rsidR="00C04CAD" w:rsidRDefault="00060E34">
      <w:pPr>
        <w:tabs>
          <w:tab w:val="clear" w:pos="567"/>
        </w:tabs>
        <w:kinsoku w:val="0"/>
        <w:overflowPunct w:val="0"/>
        <w:autoSpaceDE w:val="0"/>
        <w:autoSpaceDN w:val="0"/>
        <w:adjustRightInd w:val="0"/>
        <w:spacing w:line="240" w:lineRule="auto"/>
      </w:pPr>
      <w:r>
        <w:rPr>
          <w:spacing w:val="-4"/>
        </w:rPr>
        <w:t>Î</w:t>
      </w:r>
      <w:r>
        <w:t xml:space="preserve">n </w:t>
      </w:r>
      <w:r>
        <w:rPr>
          <w:spacing w:val="1"/>
        </w:rPr>
        <w:t>t</w:t>
      </w:r>
      <w:r>
        <w:t>oa</w:t>
      </w:r>
      <w:r>
        <w:rPr>
          <w:spacing w:val="1"/>
        </w:rPr>
        <w:t>t</w:t>
      </w:r>
      <w:r>
        <w:t>e s</w:t>
      </w:r>
      <w:r>
        <w:rPr>
          <w:spacing w:val="-2"/>
        </w:rPr>
        <w:t>i</w:t>
      </w:r>
      <w:r>
        <w:rPr>
          <w:spacing w:val="1"/>
        </w:rPr>
        <w:t>t</w:t>
      </w:r>
      <w:r>
        <w:rPr>
          <w:spacing w:val="-3"/>
        </w:rPr>
        <w:t>u</w:t>
      </w:r>
      <w:r>
        <w:t>a</w:t>
      </w:r>
      <w:r>
        <w:rPr>
          <w:spacing w:val="-2"/>
        </w:rPr>
        <w:t>ţ</w:t>
      </w:r>
      <w:r>
        <w:rPr>
          <w:spacing w:val="1"/>
        </w:rPr>
        <w:t>i</w:t>
      </w:r>
      <w:r>
        <w:rPr>
          <w:spacing w:val="-2"/>
        </w:rPr>
        <w:t>i</w:t>
      </w:r>
      <w:r>
        <w:rPr>
          <w:spacing w:val="1"/>
        </w:rPr>
        <w:t>l</w:t>
      </w:r>
      <w:r>
        <w:t>e d</w:t>
      </w:r>
      <w:r>
        <w:rPr>
          <w:spacing w:val="-3"/>
        </w:rPr>
        <w:t>e</w:t>
      </w:r>
      <w:r>
        <w:t>s</w:t>
      </w:r>
      <w:r>
        <w:rPr>
          <w:spacing w:val="-3"/>
        </w:rPr>
        <w:t>c</w:t>
      </w:r>
      <w:r>
        <w:t>r</w:t>
      </w:r>
      <w:r>
        <w:rPr>
          <w:spacing w:val="1"/>
        </w:rPr>
        <w:t>i</w:t>
      </w:r>
      <w:r>
        <w:rPr>
          <w:spacing w:val="-2"/>
        </w:rPr>
        <w:t>s</w:t>
      </w:r>
      <w:r>
        <w:t xml:space="preserve">e </w:t>
      </w:r>
      <w:r>
        <w:rPr>
          <w:spacing w:val="-2"/>
        </w:rPr>
        <w:t>î</w:t>
      </w:r>
      <w:r>
        <w:t>n con</w:t>
      </w:r>
      <w:r>
        <w:rPr>
          <w:spacing w:val="-2"/>
        </w:rPr>
        <w:t>t</w:t>
      </w:r>
      <w:r>
        <w:rPr>
          <w:spacing w:val="1"/>
        </w:rPr>
        <w:t>i</w:t>
      </w:r>
      <w:r>
        <w:t>n</w:t>
      </w:r>
      <w:r>
        <w:rPr>
          <w:spacing w:val="-3"/>
        </w:rPr>
        <w:t>u</w:t>
      </w:r>
      <w:r>
        <w:t>are,</w:t>
      </w:r>
      <w:r>
        <w:rPr>
          <w:spacing w:val="-3"/>
        </w:rPr>
        <w:t xml:space="preserve"> </w:t>
      </w:r>
      <w:r>
        <w:rPr>
          <w:spacing w:val="-2"/>
        </w:rPr>
        <w:t>t</w:t>
      </w:r>
      <w:r>
        <w:t>reb</w:t>
      </w:r>
      <w:r>
        <w:rPr>
          <w:spacing w:val="-3"/>
        </w:rPr>
        <w:t>u</w:t>
      </w:r>
      <w:r>
        <w:rPr>
          <w:spacing w:val="1"/>
        </w:rPr>
        <w:t>i</w:t>
      </w:r>
      <w:r>
        <w:t xml:space="preserve">e </w:t>
      </w:r>
      <w:r>
        <w:rPr>
          <w:spacing w:val="-3"/>
        </w:rPr>
        <w:t>a</w:t>
      </w:r>
      <w:r>
        <w:t>na</w:t>
      </w:r>
      <w:r>
        <w:rPr>
          <w:spacing w:val="-2"/>
        </w:rPr>
        <w:t>l</w:t>
      </w:r>
      <w:r>
        <w:rPr>
          <w:spacing w:val="1"/>
        </w:rPr>
        <w:t>i</w:t>
      </w:r>
      <w:r>
        <w:rPr>
          <w:spacing w:val="-3"/>
        </w:rPr>
        <w:t>z</w:t>
      </w:r>
      <w:r>
        <w:t>at</w:t>
      </w:r>
      <w:r>
        <w:rPr>
          <w:spacing w:val="1"/>
        </w:rPr>
        <w:t xml:space="preserve"> </w:t>
      </w:r>
      <w:r>
        <w:t>cu</w:t>
      </w:r>
      <w:r>
        <w:rPr>
          <w:spacing w:val="-3"/>
        </w:rPr>
        <w:t xml:space="preserve"> </w:t>
      </w:r>
      <w:r>
        <w:t>a</w:t>
      </w:r>
      <w:r>
        <w:rPr>
          <w:spacing w:val="-2"/>
        </w:rPr>
        <w:t>t</w:t>
      </w:r>
      <w:r>
        <w:t>en</w:t>
      </w:r>
      <w:r>
        <w:rPr>
          <w:spacing w:val="-2"/>
        </w:rPr>
        <w:t>ţ</w:t>
      </w:r>
      <w:r>
        <w:rPr>
          <w:spacing w:val="1"/>
        </w:rPr>
        <w:t>i</w:t>
      </w:r>
      <w:r>
        <w:t>e</w:t>
      </w:r>
      <w:r>
        <w:rPr>
          <w:spacing w:val="-2"/>
        </w:rPr>
        <w:t xml:space="preserve"> </w:t>
      </w:r>
      <w:r>
        <w:t>rap</w:t>
      </w:r>
      <w:r>
        <w:rPr>
          <w:spacing w:val="-3"/>
        </w:rPr>
        <w:t>o</w:t>
      </w:r>
      <w:r>
        <w:t>r</w:t>
      </w:r>
      <w:r>
        <w:rPr>
          <w:spacing w:val="-2"/>
        </w:rPr>
        <w:t>t</w:t>
      </w:r>
      <w:r>
        <w:t>ul</w:t>
      </w:r>
      <w:r>
        <w:rPr>
          <w:spacing w:val="1"/>
        </w:rPr>
        <w:t xml:space="preserve"> </w:t>
      </w:r>
      <w:r>
        <w:rPr>
          <w:spacing w:val="-3"/>
        </w:rPr>
        <w:t>b</w:t>
      </w:r>
      <w:r>
        <w:t>en</w:t>
      </w:r>
      <w:r>
        <w:rPr>
          <w:spacing w:val="-3"/>
        </w:rPr>
        <w:t>e</w:t>
      </w:r>
      <w:r>
        <w:t>f</w:t>
      </w:r>
      <w:r>
        <w:rPr>
          <w:spacing w:val="-2"/>
        </w:rPr>
        <w:t>i</w:t>
      </w:r>
      <w:r>
        <w:t>c</w:t>
      </w:r>
      <w:r>
        <w:rPr>
          <w:spacing w:val="1"/>
        </w:rPr>
        <w:t>i</w:t>
      </w:r>
      <w:r>
        <w:rPr>
          <w:spacing w:val="-3"/>
        </w:rPr>
        <w:t>u</w:t>
      </w:r>
      <w:r>
        <w:rPr>
          <w:spacing w:val="1"/>
        </w:rPr>
        <w:t>/</w:t>
      </w:r>
      <w:r>
        <w:rPr>
          <w:spacing w:val="-2"/>
        </w:rPr>
        <w:t>r</w:t>
      </w:r>
      <w:r>
        <w:rPr>
          <w:spacing w:val="1"/>
        </w:rPr>
        <w:t>i</w:t>
      </w:r>
      <w:r>
        <w:t>sc</w:t>
      </w:r>
      <w:r>
        <w:rPr>
          <w:spacing w:val="-2"/>
        </w:rPr>
        <w:t xml:space="preserve"> </w:t>
      </w:r>
      <w:r>
        <w:t xml:space="preserve">al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w:t>
      </w:r>
      <w:r>
        <w:rPr>
          <w:spacing w:val="1"/>
        </w:rPr>
        <w:t>i.</w:t>
      </w:r>
    </w:p>
    <w:p w14:paraId="065768FE" w14:textId="77777777" w:rsidR="00C04CAD" w:rsidRDefault="00C04CAD">
      <w:pPr>
        <w:tabs>
          <w:tab w:val="clear" w:pos="567"/>
        </w:tabs>
        <w:kinsoku w:val="0"/>
        <w:overflowPunct w:val="0"/>
        <w:autoSpaceDE w:val="0"/>
        <w:autoSpaceDN w:val="0"/>
        <w:adjustRightInd w:val="0"/>
        <w:spacing w:line="240" w:lineRule="auto"/>
      </w:pPr>
    </w:p>
    <w:p w14:paraId="626389A6" w14:textId="77777777" w:rsidR="00C04CAD" w:rsidRDefault="00060E34">
      <w:pPr>
        <w:tabs>
          <w:tab w:val="clear" w:pos="567"/>
        </w:tabs>
        <w:kinsoku w:val="0"/>
        <w:overflowPunct w:val="0"/>
        <w:autoSpaceDE w:val="0"/>
        <w:autoSpaceDN w:val="0"/>
        <w:adjustRightInd w:val="0"/>
        <w:spacing w:line="240" w:lineRule="auto"/>
      </w:pPr>
      <w:r>
        <w:rPr>
          <w:spacing w:val="-1"/>
        </w:rPr>
        <w:t>D</w:t>
      </w:r>
      <w:r>
        <w:t>acă e</w:t>
      </w:r>
      <w:r>
        <w:rPr>
          <w:spacing w:val="-2"/>
        </w:rPr>
        <w:t>s</w:t>
      </w:r>
      <w:r>
        <w:rPr>
          <w:spacing w:val="1"/>
        </w:rPr>
        <w:t>t</w:t>
      </w:r>
      <w:r>
        <w:t>e</w:t>
      </w:r>
      <w:r>
        <w:rPr>
          <w:spacing w:val="-2"/>
        </w:rPr>
        <w:t xml:space="preserve"> </w:t>
      </w:r>
      <w:r>
        <w:t>sus</w:t>
      </w:r>
      <w:r>
        <w:rPr>
          <w:spacing w:val="-3"/>
        </w:rPr>
        <w:t>p</w:t>
      </w:r>
      <w:r>
        <w:t>ec</w:t>
      </w:r>
      <w:r>
        <w:rPr>
          <w:spacing w:val="-2"/>
        </w:rPr>
        <w:t>t</w:t>
      </w:r>
      <w:r>
        <w:t>a</w:t>
      </w:r>
      <w:r>
        <w:rPr>
          <w:spacing w:val="-2"/>
        </w:rPr>
        <w:t>t</w:t>
      </w:r>
      <w:r>
        <w:t xml:space="preserve">ă </w:t>
      </w:r>
      <w:r>
        <w:rPr>
          <w:spacing w:val="1"/>
        </w:rPr>
        <w:t>t</w:t>
      </w:r>
      <w:r>
        <w:rPr>
          <w:spacing w:val="-3"/>
        </w:rPr>
        <w:t>u</w:t>
      </w:r>
      <w:r>
        <w:t>be</w:t>
      </w:r>
      <w:r>
        <w:rPr>
          <w:spacing w:val="-2"/>
        </w:rPr>
        <w:t>r</w:t>
      </w:r>
      <w:r>
        <w:rPr>
          <w:spacing w:val="-3"/>
        </w:rPr>
        <w:t>c</w:t>
      </w:r>
      <w:r>
        <w:t>u</w:t>
      </w:r>
      <w:r>
        <w:rPr>
          <w:spacing w:val="1"/>
        </w:rPr>
        <w:t>l</w:t>
      </w:r>
      <w:r>
        <w:t>o</w:t>
      </w:r>
      <w:r>
        <w:rPr>
          <w:spacing w:val="-3"/>
        </w:rPr>
        <w:t>z</w:t>
      </w:r>
      <w:r>
        <w:t xml:space="preserve">a </w:t>
      </w:r>
      <w:r>
        <w:rPr>
          <w:spacing w:val="1"/>
        </w:rPr>
        <w:t>l</w:t>
      </w:r>
      <w:r>
        <w:rPr>
          <w:spacing w:val="-3"/>
        </w:rPr>
        <w:t>a</w:t>
      </w:r>
      <w:r>
        <w:rPr>
          <w:spacing w:val="1"/>
        </w:rPr>
        <w:t>t</w:t>
      </w:r>
      <w:r>
        <w:t>e</w:t>
      </w:r>
      <w:r>
        <w:rPr>
          <w:spacing w:val="-3"/>
        </w:rPr>
        <w:t>n</w:t>
      </w:r>
      <w:r>
        <w:rPr>
          <w:spacing w:val="1"/>
        </w:rPr>
        <w:t>t</w:t>
      </w:r>
      <w:r>
        <w:t>ă,</w:t>
      </w:r>
      <w:r>
        <w:rPr>
          <w:spacing w:val="-3"/>
        </w:rPr>
        <w:t xml:space="preserve"> </w:t>
      </w:r>
      <w:r>
        <w:rPr>
          <w:spacing w:val="1"/>
        </w:rPr>
        <w:t>t</w:t>
      </w:r>
      <w:r>
        <w:rPr>
          <w:spacing w:val="-2"/>
        </w:rPr>
        <w:t>r</w:t>
      </w:r>
      <w:r>
        <w:t>eb</w:t>
      </w:r>
      <w:r>
        <w:rPr>
          <w:spacing w:val="-3"/>
        </w:rPr>
        <w:t>u</w:t>
      </w:r>
      <w:r>
        <w:rPr>
          <w:spacing w:val="1"/>
        </w:rPr>
        <w:t>i</w:t>
      </w:r>
      <w:r>
        <w:t>e c</w:t>
      </w:r>
      <w:r>
        <w:rPr>
          <w:spacing w:val="-3"/>
        </w:rPr>
        <w:t>o</w:t>
      </w:r>
      <w:r>
        <w:t>ns</w:t>
      </w:r>
      <w:r>
        <w:rPr>
          <w:spacing w:val="-3"/>
        </w:rPr>
        <w:t>u</w:t>
      </w:r>
      <w:r>
        <w:rPr>
          <w:spacing w:val="1"/>
        </w:rPr>
        <w:t>lt</w:t>
      </w:r>
      <w:r>
        <w:rPr>
          <w:spacing w:val="-3"/>
        </w:rPr>
        <w:t>a</w:t>
      </w:r>
      <w:r>
        <w:t>t</w:t>
      </w:r>
      <w:r>
        <w:rPr>
          <w:spacing w:val="1"/>
        </w:rPr>
        <w:t xml:space="preserve"> </w:t>
      </w:r>
      <w:r>
        <w:t xml:space="preserve">un </w:t>
      </w:r>
      <w:r>
        <w:rPr>
          <w:spacing w:val="-4"/>
        </w:rPr>
        <w:t>m</w:t>
      </w:r>
      <w:r>
        <w:t>ed</w:t>
      </w:r>
      <w:r>
        <w:rPr>
          <w:spacing w:val="1"/>
        </w:rPr>
        <w:t>i</w:t>
      </w:r>
      <w:r>
        <w:t>c</w:t>
      </w:r>
      <w:r>
        <w:rPr>
          <w:spacing w:val="-2"/>
        </w:rPr>
        <w:t xml:space="preserve"> </w:t>
      </w:r>
      <w:r>
        <w:t>sp</w:t>
      </w:r>
      <w:r>
        <w:rPr>
          <w:spacing w:val="-3"/>
        </w:rPr>
        <w:t>e</w:t>
      </w:r>
      <w:r>
        <w:t>c</w:t>
      </w:r>
      <w:r>
        <w:rPr>
          <w:spacing w:val="1"/>
        </w:rPr>
        <w:t>i</w:t>
      </w:r>
      <w:r>
        <w:rPr>
          <w:spacing w:val="-3"/>
        </w:rPr>
        <w:t>a</w:t>
      </w:r>
      <w:r>
        <w:rPr>
          <w:spacing w:val="1"/>
        </w:rPr>
        <w:t>l</w:t>
      </w:r>
      <w:r>
        <w:rPr>
          <w:spacing w:val="-2"/>
        </w:rPr>
        <w:t>i</w:t>
      </w:r>
      <w:r>
        <w:t>st</w:t>
      </w:r>
      <w:r>
        <w:rPr>
          <w:spacing w:val="-2"/>
        </w:rPr>
        <w:t xml:space="preserve"> </w:t>
      </w:r>
      <w:r>
        <w:rPr>
          <w:spacing w:val="1"/>
        </w:rPr>
        <w:t>î</w:t>
      </w:r>
      <w:r>
        <w:t>n</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rPr>
          <w:spacing w:val="-3"/>
        </w:rPr>
        <w:t>u</w:t>
      </w:r>
      <w:r>
        <w:t xml:space="preserve">l </w:t>
      </w:r>
      <w:r>
        <w:rPr>
          <w:spacing w:val="1"/>
        </w:rPr>
        <w:t>t</w:t>
      </w:r>
      <w:r>
        <w:t>ub</w:t>
      </w:r>
      <w:r>
        <w:rPr>
          <w:spacing w:val="-3"/>
        </w:rPr>
        <w:t>e</w:t>
      </w:r>
      <w:r>
        <w:t>rc</w:t>
      </w:r>
      <w:r>
        <w:rPr>
          <w:spacing w:val="-3"/>
        </w:rPr>
        <w:t>u</w:t>
      </w:r>
      <w:r>
        <w:rPr>
          <w:spacing w:val="1"/>
        </w:rPr>
        <w:t>l</w:t>
      </w:r>
      <w:r>
        <w:t>o</w:t>
      </w:r>
      <w:r>
        <w:rPr>
          <w:spacing w:val="-3"/>
        </w:rPr>
        <w:t>z</w:t>
      </w:r>
      <w:r>
        <w:t>e</w:t>
      </w:r>
      <w:r>
        <w:rPr>
          <w:spacing w:val="1"/>
        </w:rPr>
        <w:t>i</w:t>
      </w:r>
      <w:r>
        <w:t>.</w:t>
      </w:r>
    </w:p>
    <w:p w14:paraId="1FA49A0C" w14:textId="77777777" w:rsidR="00C04CAD" w:rsidRDefault="00C04CAD">
      <w:pPr>
        <w:tabs>
          <w:tab w:val="clear" w:pos="567"/>
        </w:tabs>
        <w:kinsoku w:val="0"/>
        <w:overflowPunct w:val="0"/>
        <w:autoSpaceDE w:val="0"/>
        <w:autoSpaceDN w:val="0"/>
        <w:adjustRightInd w:val="0"/>
        <w:spacing w:line="240" w:lineRule="auto"/>
      </w:pPr>
    </w:p>
    <w:p w14:paraId="08B671B0" w14:textId="77777777" w:rsidR="00C04CAD" w:rsidRDefault="00060E34">
      <w:pPr>
        <w:tabs>
          <w:tab w:val="clear" w:pos="567"/>
        </w:tabs>
        <w:kinsoku w:val="0"/>
        <w:overflowPunct w:val="0"/>
        <w:autoSpaceDE w:val="0"/>
        <w:autoSpaceDN w:val="0"/>
        <w:adjustRightInd w:val="0"/>
        <w:spacing w:line="240" w:lineRule="auto"/>
      </w:pPr>
      <w:r>
        <w:rPr>
          <w:spacing w:val="-1"/>
        </w:rPr>
        <w:t>D</w:t>
      </w:r>
      <w:r>
        <w:t>acă e</w:t>
      </w:r>
      <w:r>
        <w:rPr>
          <w:spacing w:val="-2"/>
        </w:rPr>
        <w:t>s</w:t>
      </w:r>
      <w:r>
        <w:rPr>
          <w:spacing w:val="1"/>
        </w:rPr>
        <w:t>t</w:t>
      </w:r>
      <w:r>
        <w:t>e</w:t>
      </w:r>
      <w:r>
        <w:rPr>
          <w:spacing w:val="-2"/>
        </w:rPr>
        <w:t xml:space="preserve"> </w:t>
      </w:r>
      <w:r>
        <w:t>d</w:t>
      </w:r>
      <w:r>
        <w:rPr>
          <w:spacing w:val="1"/>
        </w:rPr>
        <w:t>i</w:t>
      </w:r>
      <w:r>
        <w:t>a</w:t>
      </w:r>
      <w:r>
        <w:rPr>
          <w:spacing w:val="-3"/>
        </w:rPr>
        <w:t>g</w:t>
      </w:r>
      <w:r>
        <w:t>no</w:t>
      </w:r>
      <w:r>
        <w:rPr>
          <w:spacing w:val="-2"/>
        </w:rPr>
        <w:t>s</w:t>
      </w:r>
      <w:r>
        <w:rPr>
          <w:spacing w:val="1"/>
        </w:rPr>
        <w:t>t</w:t>
      </w:r>
      <w:r>
        <w:rPr>
          <w:spacing w:val="-2"/>
        </w:rPr>
        <w:t>i</w:t>
      </w:r>
      <w:r>
        <w:t>ca</w:t>
      </w:r>
      <w:r>
        <w:rPr>
          <w:spacing w:val="-2"/>
        </w:rPr>
        <w:t>t</w:t>
      </w:r>
      <w:r>
        <w:t xml:space="preserve">ă </w:t>
      </w:r>
      <w:r>
        <w:rPr>
          <w:spacing w:val="1"/>
        </w:rPr>
        <w:t>t</w:t>
      </w:r>
      <w:r>
        <w:rPr>
          <w:spacing w:val="-3"/>
        </w:rPr>
        <w:t>ub</w:t>
      </w:r>
      <w:r>
        <w:t>erc</w:t>
      </w:r>
      <w:r>
        <w:rPr>
          <w:spacing w:val="-3"/>
        </w:rPr>
        <w:t>u</w:t>
      </w:r>
      <w:r>
        <w:rPr>
          <w:spacing w:val="1"/>
        </w:rPr>
        <w:t>l</w:t>
      </w:r>
      <w:r>
        <w:t>o</w:t>
      </w:r>
      <w:r>
        <w:rPr>
          <w:spacing w:val="-3"/>
        </w:rPr>
        <w:t>z</w:t>
      </w:r>
      <w:r>
        <w:t xml:space="preserve">a </w:t>
      </w:r>
      <w:r>
        <w:rPr>
          <w:spacing w:val="1"/>
        </w:rPr>
        <w:t>l</w:t>
      </w:r>
      <w:r>
        <w:rPr>
          <w:spacing w:val="-3"/>
        </w:rPr>
        <w:t>a</w:t>
      </w:r>
      <w:r>
        <w:rPr>
          <w:spacing w:val="1"/>
        </w:rPr>
        <w:t>t</w:t>
      </w:r>
      <w:r>
        <w:t>e</w:t>
      </w:r>
      <w:r>
        <w:rPr>
          <w:spacing w:val="-3"/>
        </w:rPr>
        <w:t>n</w:t>
      </w:r>
      <w:r>
        <w:rPr>
          <w:spacing w:val="1"/>
        </w:rPr>
        <w:t>t</w:t>
      </w:r>
      <w:r>
        <w:t>ă,</w:t>
      </w:r>
      <w:r>
        <w:rPr>
          <w:spacing w:val="-3"/>
        </w:rPr>
        <w:t xml:space="preserve"> </w:t>
      </w:r>
      <w:r>
        <w:rPr>
          <w:spacing w:val="1"/>
        </w:rPr>
        <w:t>î</w:t>
      </w:r>
      <w:r>
        <w:rPr>
          <w:spacing w:val="-3"/>
        </w:rPr>
        <w:t>n</w:t>
      </w:r>
      <w:r>
        <w:t>a</w:t>
      </w:r>
      <w:r>
        <w:rPr>
          <w:spacing w:val="1"/>
        </w:rPr>
        <w:t>i</w:t>
      </w:r>
      <w:r>
        <w:rPr>
          <w:spacing w:val="-3"/>
        </w:rPr>
        <w:t>n</w:t>
      </w:r>
      <w:r>
        <w:rPr>
          <w:spacing w:val="1"/>
        </w:rPr>
        <w:t>t</w:t>
      </w:r>
      <w:r>
        <w:t xml:space="preserve">e </w:t>
      </w:r>
      <w:r>
        <w:rPr>
          <w:spacing w:val="-3"/>
        </w:rPr>
        <w:t>d</w:t>
      </w:r>
      <w:r>
        <w:t>e</w:t>
      </w:r>
      <w:r>
        <w:rPr>
          <w:spacing w:val="-2"/>
        </w:rPr>
        <w:t xml:space="preserve"> </w:t>
      </w:r>
      <w:r>
        <w:rPr>
          <w:spacing w:val="1"/>
        </w:rPr>
        <w:t>î</w:t>
      </w:r>
      <w:r>
        <w:t>nce</w:t>
      </w:r>
      <w:r>
        <w:rPr>
          <w:spacing w:val="-3"/>
        </w:rPr>
        <w:t>p</w:t>
      </w:r>
      <w:r>
        <w:t>e</w:t>
      </w:r>
      <w:r>
        <w:rPr>
          <w:spacing w:val="-2"/>
        </w:rPr>
        <w:t>r</w:t>
      </w:r>
      <w:r>
        <w:t xml:space="preserve">ea </w:t>
      </w:r>
      <w:r>
        <w:rPr>
          <w:spacing w:val="-2"/>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cu</w:t>
      </w:r>
      <w:r>
        <w:rPr>
          <w:spacing w:val="-3"/>
        </w:rPr>
        <w:t xml:space="preserve"> </w:t>
      </w:r>
      <w:r>
        <w:rPr>
          <w:rFonts w:eastAsia="MS Mincho"/>
          <w:spacing w:val="-1"/>
          <w:szCs w:val="22"/>
          <w:lang w:eastAsia="en-US" w:bidi="ar-SA"/>
        </w:rPr>
        <w:t>AMGEVITA</w:t>
      </w:r>
      <w:r>
        <w:t xml:space="preserve"> </w:t>
      </w:r>
      <w:r>
        <w:rPr>
          <w:spacing w:val="1"/>
        </w:rPr>
        <w:t>t</w:t>
      </w:r>
      <w:r>
        <w:t>r</w:t>
      </w:r>
      <w:r>
        <w:rPr>
          <w:spacing w:val="-3"/>
        </w:rPr>
        <w:t>e</w:t>
      </w:r>
      <w:r>
        <w:t>bu</w:t>
      </w:r>
      <w:r>
        <w:rPr>
          <w:spacing w:val="-2"/>
        </w:rPr>
        <w:t>i</w:t>
      </w:r>
      <w:r>
        <w:t xml:space="preserve">e </w:t>
      </w:r>
      <w:r>
        <w:rPr>
          <w:spacing w:val="1"/>
        </w:rPr>
        <w:t>i</w:t>
      </w:r>
      <w:r>
        <w:t>n</w:t>
      </w:r>
      <w:r>
        <w:rPr>
          <w:spacing w:val="-2"/>
        </w:rPr>
        <w:t>i</w:t>
      </w:r>
      <w:r>
        <w:rPr>
          <w:spacing w:val="1"/>
        </w:rPr>
        <w:t>ţ</w:t>
      </w:r>
      <w:r>
        <w:rPr>
          <w:spacing w:val="-2"/>
        </w:rPr>
        <w:t>i</w:t>
      </w:r>
      <w:r>
        <w:t>at</w:t>
      </w:r>
      <w:r>
        <w:rPr>
          <w:spacing w:val="1"/>
        </w:rPr>
        <w:t xml:space="preserve"> </w:t>
      </w:r>
      <w:r>
        <w:rPr>
          <w:spacing w:val="-3"/>
        </w:rPr>
        <w:t>u</w:t>
      </w:r>
      <w:r>
        <w:t xml:space="preserve">n </w:t>
      </w:r>
      <w:r>
        <w:rPr>
          <w:spacing w:val="-2"/>
        </w:rPr>
        <w:t>t</w:t>
      </w:r>
      <w:r>
        <w:t>ra</w:t>
      </w:r>
      <w:r>
        <w:rPr>
          <w:spacing w:val="-2"/>
        </w:rPr>
        <w:t>t</w:t>
      </w:r>
      <w:r>
        <w:t>a</w:t>
      </w:r>
      <w:r>
        <w:rPr>
          <w:spacing w:val="-4"/>
        </w:rPr>
        <w:t>m</w:t>
      </w:r>
      <w:r>
        <w:t>ent</w:t>
      </w:r>
      <w:r>
        <w:rPr>
          <w:spacing w:val="1"/>
        </w:rPr>
        <w:t xml:space="preserve"> </w:t>
      </w:r>
      <w:r>
        <w:t>co</w:t>
      </w:r>
      <w:r>
        <w:rPr>
          <w:spacing w:val="-2"/>
        </w:rPr>
        <w:t>r</w:t>
      </w:r>
      <w:r>
        <w:t>esp</w:t>
      </w:r>
      <w:r>
        <w:rPr>
          <w:spacing w:val="-3"/>
        </w:rPr>
        <w:t>u</w:t>
      </w:r>
      <w:r>
        <w:t>n</w:t>
      </w:r>
      <w:r>
        <w:rPr>
          <w:spacing w:val="-3"/>
        </w:rPr>
        <w:t>z</w:t>
      </w:r>
      <w:r>
        <w:t>ă</w:t>
      </w:r>
      <w:r>
        <w:rPr>
          <w:spacing w:val="1"/>
        </w:rPr>
        <w:t>t</w:t>
      </w:r>
      <w:r>
        <w:t>or</w:t>
      </w:r>
      <w:r>
        <w:rPr>
          <w:spacing w:val="1"/>
        </w:rPr>
        <w:t xml:space="preserve"> </w:t>
      </w:r>
      <w:r>
        <w:rPr>
          <w:spacing w:val="-3"/>
        </w:rPr>
        <w:t>p</w:t>
      </w:r>
      <w:r>
        <w:t>en</w:t>
      </w:r>
      <w:r>
        <w:rPr>
          <w:spacing w:val="-2"/>
        </w:rPr>
        <w:t>t</w:t>
      </w:r>
      <w:r>
        <w:t xml:space="preserve">ru </w:t>
      </w:r>
      <w:r>
        <w:rPr>
          <w:spacing w:val="-2"/>
        </w:rPr>
        <w:t>t</w:t>
      </w:r>
      <w:r>
        <w:t>ub</w:t>
      </w:r>
      <w:r>
        <w:rPr>
          <w:spacing w:val="-3"/>
        </w:rPr>
        <w:t>e</w:t>
      </w:r>
      <w:r>
        <w:t>rc</w:t>
      </w:r>
      <w:r>
        <w:rPr>
          <w:spacing w:val="-3"/>
        </w:rPr>
        <w:t>u</w:t>
      </w:r>
      <w:r>
        <w:rPr>
          <w:spacing w:val="1"/>
        </w:rPr>
        <w:t>l</w:t>
      </w:r>
      <w:r>
        <w:t>o</w:t>
      </w:r>
      <w:r>
        <w:rPr>
          <w:spacing w:val="-3"/>
        </w:rPr>
        <w:t>z</w:t>
      </w:r>
      <w:r>
        <w:t xml:space="preserve">a </w:t>
      </w:r>
      <w:r>
        <w:rPr>
          <w:spacing w:val="-2"/>
        </w:rPr>
        <w:t>l</w:t>
      </w:r>
      <w:r>
        <w:t>a</w:t>
      </w:r>
      <w:r>
        <w:rPr>
          <w:spacing w:val="1"/>
        </w:rPr>
        <w:t>t</w:t>
      </w:r>
      <w:r>
        <w:t>e</w:t>
      </w:r>
      <w:r>
        <w:rPr>
          <w:spacing w:val="-3"/>
        </w:rPr>
        <w:t>n</w:t>
      </w:r>
      <w:r>
        <w:rPr>
          <w:spacing w:val="1"/>
        </w:rPr>
        <w:t>t</w:t>
      </w:r>
      <w:r>
        <w:t>ă,</w:t>
      </w:r>
      <w:r>
        <w:rPr>
          <w:spacing w:val="-3"/>
        </w:rPr>
        <w:t xml:space="preserve"> </w:t>
      </w:r>
      <w:r>
        <w:t>fo</w:t>
      </w:r>
      <w:r>
        <w:rPr>
          <w:spacing w:val="-2"/>
        </w:rPr>
        <w:t>l</w:t>
      </w:r>
      <w:r>
        <w:t>o</w:t>
      </w:r>
      <w:r>
        <w:rPr>
          <w:spacing w:val="-2"/>
        </w:rPr>
        <w:t>s</w:t>
      </w:r>
      <w:r>
        <w:rPr>
          <w:spacing w:val="1"/>
        </w:rPr>
        <w:t>i</w:t>
      </w:r>
      <w:r>
        <w:t xml:space="preserve">nd </w:t>
      </w:r>
      <w:r>
        <w:rPr>
          <w:spacing w:val="-3"/>
        </w:rPr>
        <w:t>p</w:t>
      </w:r>
      <w:r>
        <w:t>ro</w:t>
      </w:r>
      <w:r>
        <w:rPr>
          <w:spacing w:val="-2"/>
        </w:rPr>
        <w:t>f</w:t>
      </w:r>
      <w:r>
        <w:rPr>
          <w:spacing w:val="1"/>
        </w:rPr>
        <w:t>i</w:t>
      </w:r>
      <w:r>
        <w:rPr>
          <w:spacing w:val="-2"/>
        </w:rPr>
        <w:t>l</w:t>
      </w:r>
      <w:r>
        <w:t>ax</w:t>
      </w:r>
      <w:r>
        <w:rPr>
          <w:spacing w:val="-2"/>
        </w:rPr>
        <w:t>i</w:t>
      </w:r>
      <w:r>
        <w:t xml:space="preserve">a </w:t>
      </w:r>
      <w:r>
        <w:rPr>
          <w:spacing w:val="-3"/>
        </w:rPr>
        <w:t>a</w:t>
      </w:r>
      <w:r>
        <w:t>n</w:t>
      </w:r>
      <w:r>
        <w:rPr>
          <w:spacing w:val="1"/>
        </w:rPr>
        <w:t>t</w:t>
      </w:r>
      <w:r>
        <w:rPr>
          <w:spacing w:val="-2"/>
        </w:rPr>
        <w:t>i</w:t>
      </w:r>
      <w:r>
        <w:rPr>
          <w:spacing w:val="1"/>
        </w:rPr>
        <w:t>t</w:t>
      </w:r>
      <w:r>
        <w:t>ub</w:t>
      </w:r>
      <w:r>
        <w:rPr>
          <w:spacing w:val="-3"/>
        </w:rPr>
        <w:t>e</w:t>
      </w:r>
      <w:r>
        <w:t>rc</w:t>
      </w:r>
      <w:r>
        <w:rPr>
          <w:spacing w:val="-3"/>
        </w:rPr>
        <w:t>u</w:t>
      </w:r>
      <w:r>
        <w:rPr>
          <w:spacing w:val="1"/>
        </w:rPr>
        <w:t>l</w:t>
      </w:r>
      <w:r>
        <w:t>o</w:t>
      </w:r>
      <w:r>
        <w:rPr>
          <w:spacing w:val="-3"/>
        </w:rPr>
        <w:t>a</w:t>
      </w:r>
      <w:r>
        <w:t>să, conf</w:t>
      </w:r>
      <w:r>
        <w:rPr>
          <w:spacing w:val="-3"/>
        </w:rPr>
        <w:t>o</w:t>
      </w:r>
      <w:r>
        <w:t>rm</w:t>
      </w:r>
      <w:r>
        <w:rPr>
          <w:spacing w:val="-4"/>
        </w:rPr>
        <w:t xml:space="preserve"> </w:t>
      </w:r>
      <w:r>
        <w:t>reco</w:t>
      </w:r>
      <w:r>
        <w:rPr>
          <w:spacing w:val="-4"/>
        </w:rPr>
        <w:t>m</w:t>
      </w:r>
      <w:r>
        <w:t>andăr</w:t>
      </w:r>
      <w:r>
        <w:rPr>
          <w:spacing w:val="-2"/>
        </w:rPr>
        <w:t>i</w:t>
      </w:r>
      <w:r>
        <w:rPr>
          <w:spacing w:val="1"/>
        </w:rPr>
        <w:t>l</w:t>
      </w:r>
      <w:r>
        <w:rPr>
          <w:spacing w:val="-3"/>
        </w:rPr>
        <w:t>o</w:t>
      </w:r>
      <w:r>
        <w:t>r</w:t>
      </w:r>
      <w:r>
        <w:rPr>
          <w:spacing w:val="1"/>
        </w:rPr>
        <w:t xml:space="preserve"> l</w:t>
      </w:r>
      <w:r>
        <w:rPr>
          <w:spacing w:val="-3"/>
        </w:rPr>
        <w:t>o</w:t>
      </w:r>
      <w:r>
        <w:t>ca</w:t>
      </w:r>
      <w:r>
        <w:rPr>
          <w:spacing w:val="1"/>
        </w:rPr>
        <w:t>l</w:t>
      </w:r>
      <w:r>
        <w:rPr>
          <w:spacing w:val="-3"/>
        </w:rPr>
        <w:t>e</w:t>
      </w:r>
      <w:r>
        <w:t>.</w:t>
      </w:r>
    </w:p>
    <w:p w14:paraId="5A3430AC" w14:textId="77777777" w:rsidR="00C04CAD" w:rsidRDefault="00C04CAD">
      <w:pPr>
        <w:tabs>
          <w:tab w:val="clear" w:pos="567"/>
        </w:tabs>
        <w:kinsoku w:val="0"/>
        <w:overflowPunct w:val="0"/>
        <w:autoSpaceDE w:val="0"/>
        <w:autoSpaceDN w:val="0"/>
        <w:adjustRightInd w:val="0"/>
        <w:spacing w:line="240" w:lineRule="auto"/>
      </w:pPr>
    </w:p>
    <w:p w14:paraId="1F3C181E" w14:textId="77777777" w:rsidR="00C04CAD" w:rsidRDefault="00060E34">
      <w:pPr>
        <w:tabs>
          <w:tab w:val="clear" w:pos="567"/>
        </w:tabs>
        <w:kinsoku w:val="0"/>
        <w:overflowPunct w:val="0"/>
        <w:autoSpaceDE w:val="0"/>
        <w:autoSpaceDN w:val="0"/>
        <w:adjustRightInd w:val="0"/>
        <w:spacing w:line="240" w:lineRule="auto"/>
      </w:pPr>
      <w:r>
        <w:rPr>
          <w:spacing w:val="-1"/>
        </w:rPr>
        <w:t>U</w:t>
      </w:r>
      <w:r>
        <w:rPr>
          <w:spacing w:val="1"/>
        </w:rPr>
        <w:t>ti</w:t>
      </w:r>
      <w:r>
        <w:rPr>
          <w:spacing w:val="-2"/>
        </w:rPr>
        <w:t>l</w:t>
      </w:r>
      <w:r>
        <w:rPr>
          <w:spacing w:val="1"/>
        </w:rPr>
        <w:t>i</w:t>
      </w:r>
      <w:r>
        <w:rPr>
          <w:spacing w:val="-3"/>
        </w:rPr>
        <w:t>z</w:t>
      </w:r>
      <w:r>
        <w:t>ar</w:t>
      </w:r>
      <w:r>
        <w:rPr>
          <w:spacing w:val="-3"/>
        </w:rPr>
        <w:t>e</w:t>
      </w:r>
      <w:r>
        <w:t xml:space="preserve">a </w:t>
      </w:r>
      <w:r>
        <w:rPr>
          <w:spacing w:val="-2"/>
        </w:rPr>
        <w:t>t</w:t>
      </w:r>
      <w: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rPr>
          <w:spacing w:val="-3"/>
        </w:rPr>
        <w:t>p</w:t>
      </w:r>
      <w:r>
        <w:t>r</w:t>
      </w:r>
      <w:r>
        <w:rPr>
          <w:spacing w:val="-3"/>
        </w:rPr>
        <w:t>o</w:t>
      </w:r>
      <w:r>
        <w:t>f</w:t>
      </w:r>
      <w:r>
        <w:rPr>
          <w:spacing w:val="-2"/>
        </w:rPr>
        <w:t>i</w:t>
      </w:r>
      <w:r>
        <w:rPr>
          <w:spacing w:val="1"/>
        </w:rPr>
        <w:t>l</w:t>
      </w:r>
      <w:r>
        <w:t>a</w:t>
      </w:r>
      <w:r>
        <w:rPr>
          <w:spacing w:val="-3"/>
        </w:rPr>
        <w:t>c</w:t>
      </w:r>
      <w:r>
        <w:rPr>
          <w:spacing w:val="1"/>
        </w:rPr>
        <w:t>t</w:t>
      </w:r>
      <w:r>
        <w:rPr>
          <w:spacing w:val="-2"/>
        </w:rPr>
        <w:t>i</w:t>
      </w:r>
      <w:r>
        <w:t>c a</w:t>
      </w:r>
      <w:r>
        <w:rPr>
          <w:spacing w:val="-3"/>
        </w:rPr>
        <w:t>n</w:t>
      </w:r>
      <w:r>
        <w:rPr>
          <w:spacing w:val="1"/>
        </w:rPr>
        <w:t>t</w:t>
      </w:r>
      <w:r>
        <w:rPr>
          <w:spacing w:val="-2"/>
        </w:rPr>
        <w:t>i</w:t>
      </w:r>
      <w:r>
        <w:rPr>
          <w:spacing w:val="1"/>
        </w:rPr>
        <w:t>t</w:t>
      </w:r>
      <w:r>
        <w:t>ub</w:t>
      </w:r>
      <w:r>
        <w:rPr>
          <w:spacing w:val="-3"/>
        </w:rPr>
        <w:t>e</w:t>
      </w:r>
      <w:r>
        <w:t>rc</w:t>
      </w:r>
      <w:r>
        <w:rPr>
          <w:spacing w:val="-3"/>
        </w:rPr>
        <w:t>u</w:t>
      </w:r>
      <w:r>
        <w:rPr>
          <w:spacing w:val="1"/>
        </w:rPr>
        <w:t>l</w:t>
      </w:r>
      <w:r>
        <w:t>os</w:t>
      </w:r>
      <w:r>
        <w:rPr>
          <w:spacing w:val="-2"/>
        </w:rPr>
        <w:t xml:space="preserve"> </w:t>
      </w:r>
      <w:r>
        <w:rPr>
          <w:spacing w:val="1"/>
        </w:rPr>
        <w:t>t</w:t>
      </w:r>
      <w:r>
        <w:rPr>
          <w:spacing w:val="-2"/>
        </w:rPr>
        <w:t>r</w:t>
      </w:r>
      <w:r>
        <w:rPr>
          <w:spacing w:val="-1"/>
        </w:rPr>
        <w:t>e</w:t>
      </w:r>
      <w:r>
        <w:t>b</w:t>
      </w:r>
      <w:r>
        <w:rPr>
          <w:spacing w:val="-3"/>
        </w:rPr>
        <w:t>u</w:t>
      </w:r>
      <w:r>
        <w:rPr>
          <w:spacing w:val="1"/>
        </w:rPr>
        <w:t>i</w:t>
      </w:r>
      <w:r>
        <w:t>e de</w:t>
      </w:r>
      <w:r>
        <w:rPr>
          <w:spacing w:val="-2"/>
        </w:rPr>
        <w:t xml:space="preserve"> </w:t>
      </w:r>
      <w:r>
        <w:t>ase</w:t>
      </w:r>
      <w:r>
        <w:rPr>
          <w:spacing w:val="-4"/>
        </w:rPr>
        <w:t>m</w:t>
      </w:r>
      <w:r>
        <w:t>enea</w:t>
      </w:r>
      <w:r>
        <w:rPr>
          <w:spacing w:val="-2"/>
        </w:rPr>
        <w:t xml:space="preserve"> </w:t>
      </w:r>
      <w:r>
        <w:rPr>
          <w:spacing w:val="1"/>
        </w:rPr>
        <w:t>l</w:t>
      </w:r>
      <w:r>
        <w:t>u</w:t>
      </w:r>
      <w:r>
        <w:rPr>
          <w:spacing w:val="-3"/>
        </w:rPr>
        <w:t>a</w:t>
      </w:r>
      <w:r>
        <w:rPr>
          <w:spacing w:val="1"/>
        </w:rPr>
        <w:t>t</w:t>
      </w:r>
      <w:r>
        <w:t>ă</w:t>
      </w:r>
      <w:r>
        <w:rPr>
          <w:spacing w:val="-2"/>
        </w:rPr>
        <w:t xml:space="preserve"> </w:t>
      </w:r>
      <w:r>
        <w:rPr>
          <w:spacing w:val="1"/>
        </w:rPr>
        <w:t>î</w:t>
      </w:r>
      <w:r>
        <w:t>n c</w:t>
      </w:r>
      <w:r>
        <w:rPr>
          <w:spacing w:val="-3"/>
        </w:rPr>
        <w:t>on</w:t>
      </w:r>
      <w:r>
        <w:t>s</w:t>
      </w:r>
      <w:r>
        <w:rPr>
          <w:spacing w:val="1"/>
        </w:rPr>
        <w:t>i</w:t>
      </w:r>
      <w:r>
        <w:t>d</w:t>
      </w:r>
      <w:r>
        <w:rPr>
          <w:spacing w:val="-3"/>
        </w:rPr>
        <w:t>e</w:t>
      </w:r>
      <w:r>
        <w:t>r</w:t>
      </w:r>
      <w:r>
        <w:rPr>
          <w:spacing w:val="-3"/>
        </w:rPr>
        <w:t>a</w:t>
      </w:r>
      <w:r>
        <w:t>re</w:t>
      </w:r>
      <w:r>
        <w:rPr>
          <w:spacing w:val="-2"/>
        </w:rPr>
        <w:t xml:space="preserve"> </w:t>
      </w:r>
      <w:r>
        <w:rPr>
          <w:spacing w:val="1"/>
        </w:rPr>
        <w:t>î</w:t>
      </w:r>
      <w:r>
        <w:t>n</w:t>
      </w:r>
      <w:r>
        <w:rPr>
          <w:spacing w:val="-3"/>
        </w:rPr>
        <w:t>a</w:t>
      </w:r>
      <w:r>
        <w:rPr>
          <w:spacing w:val="1"/>
        </w:rPr>
        <w:t>i</w:t>
      </w:r>
      <w:r>
        <w:t>n</w:t>
      </w:r>
      <w:r>
        <w:rPr>
          <w:spacing w:val="-2"/>
        </w:rPr>
        <w:t>t</w:t>
      </w:r>
      <w:r>
        <w:t xml:space="preserve">e de </w:t>
      </w:r>
      <w:r>
        <w:rPr>
          <w:spacing w:val="1"/>
        </w:rPr>
        <w:t>i</w:t>
      </w:r>
      <w:r>
        <w:t>n</w:t>
      </w:r>
      <w:r>
        <w:rPr>
          <w:spacing w:val="-2"/>
        </w:rPr>
        <w:t>i</w:t>
      </w:r>
      <w:r>
        <w:rPr>
          <w:spacing w:val="1"/>
        </w:rPr>
        <w:t>ţ</w:t>
      </w:r>
      <w:r>
        <w:rPr>
          <w:spacing w:val="-2"/>
        </w:rPr>
        <w:t>i</w:t>
      </w:r>
      <w:r>
        <w:t>er</w:t>
      </w:r>
      <w:r>
        <w:rPr>
          <w:spacing w:val="-3"/>
        </w:rPr>
        <w:t>e</w:t>
      </w:r>
      <w:r>
        <w:t xml:space="preserve">a </w:t>
      </w:r>
      <w:r>
        <w:rPr>
          <w:spacing w:val="-2"/>
        </w:rPr>
        <w:t>t</w:t>
      </w:r>
      <w: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rPr>
          <w:spacing w:val="-3"/>
        </w:rPr>
        <w:t>c</w:t>
      </w:r>
      <w:r>
        <w:t xml:space="preserve">u </w:t>
      </w:r>
      <w:r>
        <w:rPr>
          <w:rFonts w:eastAsia="MS Mincho"/>
          <w:spacing w:val="-1"/>
          <w:szCs w:val="22"/>
          <w:lang w:eastAsia="en-US" w:bidi="ar-SA"/>
        </w:rPr>
        <w:t>AMGEVITA</w:t>
      </w:r>
      <w:r>
        <w:t xml:space="preserve"> </w:t>
      </w:r>
      <w:r>
        <w:rPr>
          <w:spacing w:val="1"/>
        </w:rPr>
        <w:t>l</w:t>
      </w:r>
      <w:r>
        <w:t xml:space="preserve">a </w:t>
      </w:r>
      <w:r>
        <w:rPr>
          <w:spacing w:val="-3"/>
        </w:rPr>
        <w:t>p</w:t>
      </w:r>
      <w:r>
        <w:t>ac</w:t>
      </w:r>
      <w:r>
        <w:rPr>
          <w:spacing w:val="-2"/>
        </w:rPr>
        <w:t>i</w:t>
      </w:r>
      <w:r>
        <w:t>en</w:t>
      </w:r>
      <w:r>
        <w:rPr>
          <w:spacing w:val="-2"/>
        </w:rPr>
        <w:t>ţi</w:t>
      </w:r>
      <w:r>
        <w:t>i</w:t>
      </w:r>
      <w:r>
        <w:rPr>
          <w:spacing w:val="1"/>
        </w:rPr>
        <w:t xml:space="preserve"> </w:t>
      </w:r>
      <w:r>
        <w:t xml:space="preserve">cu </w:t>
      </w:r>
      <w:r>
        <w:rPr>
          <w:spacing w:val="-4"/>
        </w:rPr>
        <w:t>m</w:t>
      </w:r>
      <w:r>
        <w:t>ai</w:t>
      </w:r>
      <w:r>
        <w:rPr>
          <w:spacing w:val="1"/>
        </w:rPr>
        <w:t xml:space="preserve"> </w:t>
      </w:r>
      <w:r>
        <w:rPr>
          <w:spacing w:val="-2"/>
        </w:rPr>
        <w:t>m</w:t>
      </w:r>
      <w:r>
        <w:t>u</w:t>
      </w:r>
      <w:r>
        <w:rPr>
          <w:spacing w:val="1"/>
        </w:rPr>
        <w:t>l</w:t>
      </w:r>
      <w:r>
        <w:rPr>
          <w:spacing w:val="-2"/>
        </w:rPr>
        <w:t>ţ</w:t>
      </w:r>
      <w:r>
        <w:t>i</w:t>
      </w:r>
      <w:r>
        <w:rPr>
          <w:spacing w:val="1"/>
        </w:rPr>
        <w:t xml:space="preserve"> </w:t>
      </w:r>
      <w:r>
        <w:rPr>
          <w:spacing w:val="-2"/>
        </w:rPr>
        <w:t>f</w:t>
      </w:r>
      <w:r>
        <w:t>ac</w:t>
      </w:r>
      <w:r>
        <w:rPr>
          <w:spacing w:val="-2"/>
        </w:rPr>
        <w:t>t</w:t>
      </w:r>
      <w:r>
        <w:t>o</w:t>
      </w:r>
      <w:r>
        <w:rPr>
          <w:spacing w:val="-2"/>
        </w:rPr>
        <w:t>r</w:t>
      </w:r>
      <w:r>
        <w:t>i</w:t>
      </w:r>
      <w:r>
        <w:rPr>
          <w:spacing w:val="1"/>
        </w:rPr>
        <w:t xml:space="preserve"> </w:t>
      </w:r>
      <w:r>
        <w:t>de</w:t>
      </w:r>
      <w:r>
        <w:rPr>
          <w:spacing w:val="-2"/>
        </w:rPr>
        <w:t xml:space="preserve"> </w:t>
      </w:r>
      <w:r>
        <w:t>r</w:t>
      </w:r>
      <w:r>
        <w:rPr>
          <w:spacing w:val="-2"/>
        </w:rPr>
        <w:t>i</w:t>
      </w:r>
      <w:r>
        <w:t xml:space="preserve">sc </w:t>
      </w:r>
      <w:r>
        <w:rPr>
          <w:spacing w:val="-2"/>
        </w:rPr>
        <w:t>s</w:t>
      </w:r>
      <w:r>
        <w:t>au cu</w:t>
      </w:r>
      <w:r>
        <w:rPr>
          <w:spacing w:val="-3"/>
        </w:rPr>
        <w:t xml:space="preserve"> </w:t>
      </w:r>
      <w:r>
        <w:t>f</w:t>
      </w:r>
      <w:r>
        <w:rPr>
          <w:spacing w:val="-3"/>
        </w:rPr>
        <w:t>a</w:t>
      </w:r>
      <w:r>
        <w:t>c</w:t>
      </w:r>
      <w:r>
        <w:rPr>
          <w:spacing w:val="1"/>
        </w:rPr>
        <w:t>t</w:t>
      </w:r>
      <w:r>
        <w:t>o</w:t>
      </w:r>
      <w:r>
        <w:rPr>
          <w:spacing w:val="-2"/>
        </w:rPr>
        <w:t>r</w:t>
      </w:r>
      <w:r>
        <w:t>i</w:t>
      </w:r>
      <w:r>
        <w:rPr>
          <w:spacing w:val="1"/>
        </w:rPr>
        <w:t xml:space="preserve"> </w:t>
      </w:r>
      <w:r>
        <w:rPr>
          <w:spacing w:val="-3"/>
        </w:rPr>
        <w:t>d</w:t>
      </w:r>
      <w:r>
        <w:t xml:space="preserve">e </w:t>
      </w:r>
      <w:r>
        <w:rPr>
          <w:spacing w:val="-2"/>
        </w:rPr>
        <w:t>r</w:t>
      </w:r>
      <w:r>
        <w:rPr>
          <w:spacing w:val="1"/>
        </w:rPr>
        <w:t>i</w:t>
      </w:r>
      <w:r>
        <w:t>sc se</w:t>
      </w:r>
      <w:r>
        <w:rPr>
          <w:spacing w:val="-4"/>
        </w:rPr>
        <w:t>m</w:t>
      </w:r>
      <w:r>
        <w:t>n</w:t>
      </w:r>
      <w:r>
        <w:rPr>
          <w:spacing w:val="1"/>
        </w:rPr>
        <w:t>i</w:t>
      </w:r>
      <w:r>
        <w:t>f</w:t>
      </w:r>
      <w:r>
        <w:rPr>
          <w:spacing w:val="1"/>
        </w:rPr>
        <w:t>i</w:t>
      </w:r>
      <w:r>
        <w:rPr>
          <w:spacing w:val="-3"/>
        </w:rPr>
        <w:t>c</w:t>
      </w:r>
      <w:r>
        <w:t>a</w:t>
      </w:r>
      <w:r>
        <w:rPr>
          <w:spacing w:val="-2"/>
        </w:rPr>
        <w:t>t</w:t>
      </w:r>
      <w:r>
        <w:rPr>
          <w:spacing w:val="1"/>
        </w:rPr>
        <w:t>i</w:t>
      </w:r>
      <w:r>
        <w:rPr>
          <w:spacing w:val="-3"/>
        </w:rPr>
        <w:t>v</w:t>
      </w:r>
      <w:r>
        <w:t>i</w:t>
      </w:r>
      <w:r>
        <w:rPr>
          <w:spacing w:val="1"/>
        </w:rPr>
        <w:t xml:space="preserve"> </w:t>
      </w:r>
      <w:r>
        <w:t>pe</w:t>
      </w:r>
      <w:r>
        <w:rPr>
          <w:spacing w:val="-3"/>
        </w:rPr>
        <w:t>n</w:t>
      </w:r>
      <w:r>
        <w:rPr>
          <w:spacing w:val="1"/>
        </w:rPr>
        <w:t>t</w:t>
      </w:r>
      <w:r>
        <w:t>ru</w:t>
      </w:r>
      <w:r>
        <w:rPr>
          <w:spacing w:val="-3"/>
        </w:rPr>
        <w:t xml:space="preserve"> </w:t>
      </w:r>
      <w:r>
        <w:rPr>
          <w:spacing w:val="1"/>
        </w:rPr>
        <w:t>t</w:t>
      </w:r>
      <w:r>
        <w:t>u</w:t>
      </w:r>
      <w:r>
        <w:rPr>
          <w:spacing w:val="-3"/>
        </w:rPr>
        <w:t>b</w:t>
      </w:r>
      <w:r>
        <w:t>er</w:t>
      </w:r>
      <w:r>
        <w:rPr>
          <w:spacing w:val="-3"/>
        </w:rPr>
        <w:t>c</w:t>
      </w:r>
      <w:r>
        <w:t>u</w:t>
      </w:r>
      <w:r>
        <w:rPr>
          <w:spacing w:val="1"/>
        </w:rPr>
        <w:t>l</w:t>
      </w:r>
      <w:r>
        <w:t>o</w:t>
      </w:r>
      <w:r>
        <w:rPr>
          <w:spacing w:val="-3"/>
        </w:rPr>
        <w:t>z</w:t>
      </w:r>
      <w:r>
        <w:t>ă, c</w:t>
      </w:r>
      <w:r>
        <w:rPr>
          <w:spacing w:val="-3"/>
        </w:rPr>
        <w:t>h</w:t>
      </w:r>
      <w:r>
        <w:rPr>
          <w:spacing w:val="1"/>
        </w:rPr>
        <w:t>i</w:t>
      </w:r>
      <w:r>
        <w:t>ar</w:t>
      </w:r>
      <w:r>
        <w:rPr>
          <w:spacing w:val="-2"/>
        </w:rPr>
        <w:t xml:space="preserve"> </w:t>
      </w:r>
      <w:r>
        <w:t>da</w:t>
      </w:r>
      <w:r>
        <w:rPr>
          <w:spacing w:val="-3"/>
        </w:rPr>
        <w:t>c</w:t>
      </w:r>
      <w:r>
        <w:t xml:space="preserve">ă </w:t>
      </w:r>
      <w:r>
        <w:rPr>
          <w:spacing w:val="-2"/>
        </w:rPr>
        <w:t>t</w:t>
      </w:r>
      <w:r>
        <w:t>es</w:t>
      </w:r>
      <w:r>
        <w:rPr>
          <w:spacing w:val="-2"/>
        </w:rPr>
        <w:t>t</w:t>
      </w:r>
      <w:r>
        <w:t>ul</w:t>
      </w:r>
      <w:r>
        <w:rPr>
          <w:spacing w:val="1"/>
        </w:rPr>
        <w:t xml:space="preserve"> </w:t>
      </w:r>
      <w:r>
        <w:rPr>
          <w:spacing w:val="-3"/>
        </w:rPr>
        <w:t>p</w:t>
      </w:r>
      <w:r>
        <w:t>en</w:t>
      </w:r>
      <w:r>
        <w:rPr>
          <w:spacing w:val="-2"/>
        </w:rPr>
        <w:t>t</w:t>
      </w:r>
      <w:r>
        <w:t xml:space="preserve">ru </w:t>
      </w:r>
      <w:r>
        <w:rPr>
          <w:spacing w:val="1"/>
        </w:rPr>
        <w:t>t</w:t>
      </w:r>
      <w:r>
        <w:rPr>
          <w:spacing w:val="-3"/>
        </w:rPr>
        <w:t>u</w:t>
      </w:r>
      <w:r>
        <w:t>be</w:t>
      </w:r>
      <w:r>
        <w:rPr>
          <w:spacing w:val="-2"/>
        </w:rPr>
        <w:t>r</w:t>
      </w:r>
      <w:r>
        <w:t>cu</w:t>
      </w:r>
      <w:r>
        <w:rPr>
          <w:spacing w:val="-2"/>
        </w:rPr>
        <w:t>l</w:t>
      </w:r>
      <w:r>
        <w:t>o</w:t>
      </w:r>
      <w:r>
        <w:rPr>
          <w:spacing w:val="-3"/>
        </w:rPr>
        <w:t>z</w:t>
      </w:r>
      <w:r>
        <w:t>ă es</w:t>
      </w:r>
      <w:r>
        <w:rPr>
          <w:spacing w:val="-2"/>
        </w:rPr>
        <w:t>t</w:t>
      </w:r>
      <w:r>
        <w:t>e ne</w:t>
      </w:r>
      <w:r>
        <w:rPr>
          <w:spacing w:val="-3"/>
        </w:rPr>
        <w:t>g</w:t>
      </w:r>
      <w:r>
        <w:t>a</w:t>
      </w:r>
      <w:r>
        <w:rPr>
          <w:spacing w:val="-2"/>
        </w:rPr>
        <w:t>t</w:t>
      </w:r>
      <w:r>
        <w:rPr>
          <w:spacing w:val="1"/>
        </w:rPr>
        <w:t>i</w:t>
      </w:r>
      <w:r>
        <w:rPr>
          <w:spacing w:val="-3"/>
        </w:rPr>
        <w:t>v</w:t>
      </w:r>
      <w:r>
        <w:t>, pre</w:t>
      </w:r>
      <w:r>
        <w:rPr>
          <w:spacing w:val="-3"/>
        </w:rPr>
        <w:t>c</w:t>
      </w:r>
      <w:r>
        <w:t>um</w:t>
      </w:r>
      <w:r>
        <w:rPr>
          <w:spacing w:val="-4"/>
        </w:rPr>
        <w:t xml:space="preserve"> </w:t>
      </w:r>
      <w:r>
        <w:t>şi</w:t>
      </w:r>
      <w:r>
        <w:rPr>
          <w:spacing w:val="1"/>
        </w:rPr>
        <w:t xml:space="preserve"> l</w:t>
      </w:r>
      <w:r>
        <w:t>a pac</w:t>
      </w:r>
      <w:r>
        <w:rPr>
          <w:spacing w:val="-2"/>
        </w:rPr>
        <w:t>i</w:t>
      </w:r>
      <w:r>
        <w:t>en</w:t>
      </w:r>
      <w:r>
        <w:rPr>
          <w:spacing w:val="-2"/>
        </w:rPr>
        <w:t>ţ</w:t>
      </w:r>
      <w:r>
        <w:rPr>
          <w:spacing w:val="1"/>
        </w:rPr>
        <w:t>i</w:t>
      </w:r>
      <w:r>
        <w:t>i</w:t>
      </w:r>
      <w:r>
        <w:rPr>
          <w:spacing w:val="-2"/>
        </w:rPr>
        <w:t xml:space="preserve"> </w:t>
      </w:r>
      <w:r>
        <w:t>cu a</w:t>
      </w:r>
      <w:r>
        <w:rPr>
          <w:spacing w:val="-3"/>
        </w:rPr>
        <w:t>n</w:t>
      </w:r>
      <w:r>
        <w:rPr>
          <w:spacing w:val="1"/>
        </w:rPr>
        <w:t>t</w:t>
      </w:r>
      <w:r>
        <w:rPr>
          <w:spacing w:val="-3"/>
        </w:rPr>
        <w:t>e</w:t>
      </w:r>
      <w:r>
        <w:t>ced</w:t>
      </w:r>
      <w:r>
        <w:rPr>
          <w:spacing w:val="-3"/>
        </w:rPr>
        <w:t>e</w:t>
      </w:r>
      <w:r>
        <w:t>n</w:t>
      </w:r>
      <w:r>
        <w:rPr>
          <w:spacing w:val="1"/>
        </w:rPr>
        <w:t>t</w:t>
      </w:r>
      <w:r>
        <w:t>e</w:t>
      </w:r>
      <w:r>
        <w:rPr>
          <w:spacing w:val="-2"/>
        </w:rPr>
        <w:t xml:space="preserve"> </w:t>
      </w:r>
      <w:r>
        <w:t>de</w:t>
      </w:r>
      <w:r>
        <w:rPr>
          <w:spacing w:val="-2"/>
        </w:rPr>
        <w:t xml:space="preserve"> </w:t>
      </w:r>
      <w:r>
        <w:rPr>
          <w:spacing w:val="1"/>
        </w:rPr>
        <w:t>t</w:t>
      </w:r>
      <w:r>
        <w:t>ub</w:t>
      </w:r>
      <w:r>
        <w:rPr>
          <w:spacing w:val="-3"/>
        </w:rPr>
        <w:t>e</w:t>
      </w:r>
      <w:r>
        <w:t>rc</w:t>
      </w:r>
      <w:r>
        <w:rPr>
          <w:spacing w:val="-3"/>
        </w:rPr>
        <w:t>u</w:t>
      </w:r>
      <w:r>
        <w:rPr>
          <w:spacing w:val="1"/>
        </w:rPr>
        <w:t>l</w:t>
      </w:r>
      <w:r>
        <w:t>o</w:t>
      </w:r>
      <w:r>
        <w:rPr>
          <w:spacing w:val="-3"/>
        </w:rPr>
        <w:t>z</w:t>
      </w:r>
      <w:r>
        <w:t xml:space="preserve">ă </w:t>
      </w:r>
      <w:r>
        <w:rPr>
          <w:spacing w:val="1"/>
        </w:rPr>
        <w:t>l</w:t>
      </w:r>
      <w:r>
        <w:rPr>
          <w:spacing w:val="-3"/>
        </w:rPr>
        <w:t>a</w:t>
      </w:r>
      <w:r>
        <w:rPr>
          <w:spacing w:val="1"/>
        </w:rPr>
        <w:t>t</w:t>
      </w:r>
      <w:r>
        <w:t>e</w:t>
      </w:r>
      <w:r>
        <w:rPr>
          <w:spacing w:val="-3"/>
        </w:rPr>
        <w:t>n</w:t>
      </w:r>
      <w:r>
        <w:rPr>
          <w:spacing w:val="1"/>
        </w:rPr>
        <w:t>t</w:t>
      </w:r>
      <w:r>
        <w:t>ă</w:t>
      </w:r>
      <w:r>
        <w:rPr>
          <w:spacing w:val="-2"/>
        </w:rPr>
        <w:t xml:space="preserve"> </w:t>
      </w:r>
      <w:r>
        <w:t xml:space="preserve">sau </w:t>
      </w:r>
      <w:r>
        <w:rPr>
          <w:spacing w:val="-3"/>
        </w:rPr>
        <w:t>a</w:t>
      </w:r>
      <w:r>
        <w:t>c</w:t>
      </w:r>
      <w:r>
        <w:rPr>
          <w:spacing w:val="-2"/>
        </w:rPr>
        <w:t>ti</w:t>
      </w:r>
      <w:r>
        <w:rPr>
          <w:spacing w:val="-3"/>
        </w:rPr>
        <w:t>v</w:t>
      </w:r>
      <w:r>
        <w:t>ă pen</w:t>
      </w:r>
      <w:r>
        <w:rPr>
          <w:spacing w:val="1"/>
        </w:rPr>
        <w:t>t</w:t>
      </w:r>
      <w:r>
        <w:t>ru</w:t>
      </w:r>
      <w:r>
        <w:rPr>
          <w:spacing w:val="-3"/>
        </w:rPr>
        <w:t xml:space="preserve"> </w:t>
      </w:r>
      <w:r>
        <w:t>c</w:t>
      </w:r>
      <w:r>
        <w:rPr>
          <w:spacing w:val="-3"/>
        </w:rPr>
        <w:t>a</w:t>
      </w:r>
      <w:r>
        <w:t>re nu</w:t>
      </w:r>
      <w:r>
        <w:rPr>
          <w:spacing w:val="-3"/>
        </w:rPr>
        <w:t xml:space="preserve"> </w:t>
      </w:r>
      <w:r>
        <w:t>se p</w:t>
      </w:r>
      <w:r>
        <w:rPr>
          <w:spacing w:val="-3"/>
        </w:rPr>
        <w:t>o</w:t>
      </w:r>
      <w:r>
        <w:t>a</w:t>
      </w:r>
      <w:r>
        <w:rPr>
          <w:spacing w:val="-2"/>
        </w:rPr>
        <w:t>t</w:t>
      </w:r>
      <w:r>
        <w:t xml:space="preserve">e </w:t>
      </w:r>
      <w:r>
        <w:rPr>
          <w:spacing w:val="-3"/>
        </w:rPr>
        <w:t>c</w:t>
      </w:r>
      <w:r>
        <w:t>onf</w:t>
      </w:r>
      <w:r>
        <w:rPr>
          <w:spacing w:val="-2"/>
        </w:rPr>
        <w:t>i</w:t>
      </w:r>
      <w:r>
        <w:t>r</w:t>
      </w:r>
      <w:r>
        <w:rPr>
          <w:spacing w:val="-4"/>
        </w:rPr>
        <w:t>m</w:t>
      </w:r>
      <w:r>
        <w:t>a o pe</w:t>
      </w:r>
      <w:r>
        <w:rPr>
          <w:spacing w:val="-2"/>
        </w:rPr>
        <w:t>r</w:t>
      </w:r>
      <w:r>
        <w:rPr>
          <w:spacing w:val="1"/>
        </w:rPr>
        <w:t>i</w:t>
      </w:r>
      <w:r>
        <w:t>oa</w:t>
      </w:r>
      <w:r>
        <w:rPr>
          <w:spacing w:val="-3"/>
        </w:rPr>
        <w:t>d</w:t>
      </w:r>
      <w:r>
        <w:t>ă cor</w:t>
      </w:r>
      <w:r>
        <w:rPr>
          <w:spacing w:val="-3"/>
        </w:rPr>
        <w:t>e</w:t>
      </w:r>
      <w:r>
        <w:t>spun</w:t>
      </w:r>
      <w:r>
        <w:rPr>
          <w:spacing w:val="-3"/>
        </w:rPr>
        <w:t>z</w:t>
      </w:r>
      <w:r>
        <w:t>ă</w:t>
      </w:r>
      <w:r>
        <w:rPr>
          <w:spacing w:val="1"/>
        </w:rPr>
        <w:t>t</w:t>
      </w:r>
      <w:r>
        <w:rPr>
          <w:spacing w:val="-3"/>
        </w:rPr>
        <w:t>o</w:t>
      </w:r>
      <w:r>
        <w:t>are</w:t>
      </w:r>
      <w:r>
        <w:rPr>
          <w:spacing w:val="-2"/>
        </w:rPr>
        <w:t xml:space="preserve"> </w:t>
      </w:r>
      <w:r>
        <w:t>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w:t>
      </w:r>
    </w:p>
    <w:p w14:paraId="5F76045F" w14:textId="77777777" w:rsidR="00C04CAD" w:rsidRDefault="00C04CAD">
      <w:pPr>
        <w:tabs>
          <w:tab w:val="clear" w:pos="567"/>
        </w:tabs>
        <w:kinsoku w:val="0"/>
        <w:overflowPunct w:val="0"/>
        <w:autoSpaceDE w:val="0"/>
        <w:autoSpaceDN w:val="0"/>
        <w:adjustRightInd w:val="0"/>
        <w:spacing w:line="240" w:lineRule="auto"/>
      </w:pPr>
    </w:p>
    <w:p w14:paraId="4D92A9AC" w14:textId="77777777" w:rsidR="00C04CAD" w:rsidRDefault="00060E34">
      <w:pPr>
        <w:tabs>
          <w:tab w:val="clear" w:pos="567"/>
        </w:tabs>
        <w:kinsoku w:val="0"/>
        <w:overflowPunct w:val="0"/>
        <w:autoSpaceDE w:val="0"/>
        <w:autoSpaceDN w:val="0"/>
        <w:adjustRightInd w:val="0"/>
        <w:spacing w:line="240" w:lineRule="auto"/>
      </w:pPr>
      <w:r>
        <w:rPr>
          <w:spacing w:val="-1"/>
        </w:rPr>
        <w:t>C</w:t>
      </w:r>
      <w:r>
        <w:t>h</w:t>
      </w:r>
      <w:r>
        <w:rPr>
          <w:spacing w:val="1"/>
        </w:rPr>
        <w:t>i</w:t>
      </w:r>
      <w:r>
        <w:t>ar</w:t>
      </w:r>
      <w:r>
        <w:rPr>
          <w:spacing w:val="-2"/>
        </w:rPr>
        <w:t xml:space="preserve"> </w:t>
      </w:r>
      <w:r>
        <w:t>da</w:t>
      </w:r>
      <w:r>
        <w:rPr>
          <w:spacing w:val="-3"/>
        </w:rPr>
        <w:t>c</w:t>
      </w:r>
      <w:r>
        <w:t>ă s</w:t>
      </w:r>
      <w:r>
        <w:rPr>
          <w:spacing w:val="-4"/>
        </w:rPr>
        <w:t>-</w:t>
      </w:r>
      <w:r>
        <w:t>a efe</w:t>
      </w:r>
      <w:r>
        <w:rPr>
          <w:spacing w:val="-3"/>
        </w:rPr>
        <w:t>c</w:t>
      </w:r>
      <w:r>
        <w:rPr>
          <w:spacing w:val="1"/>
        </w:rPr>
        <w:t>t</w:t>
      </w:r>
      <w:r>
        <w:t>u</w:t>
      </w:r>
      <w:r>
        <w:rPr>
          <w:spacing w:val="-3"/>
        </w:rPr>
        <w:t>a</w:t>
      </w:r>
      <w:r>
        <w:t>t</w:t>
      </w:r>
      <w:r>
        <w:rPr>
          <w:spacing w:val="1"/>
        </w:rPr>
        <w:t xml:space="preserve"> </w:t>
      </w:r>
      <w:r>
        <w:rPr>
          <w:spacing w:val="-2"/>
        </w:rPr>
        <w:t>t</w:t>
      </w:r>
      <w:r>
        <w:t>r</w:t>
      </w:r>
      <w:r>
        <w:rPr>
          <w:spacing w:val="-3"/>
        </w:rPr>
        <w:t>a</w:t>
      </w:r>
      <w:r>
        <w:rPr>
          <w:spacing w:val="1"/>
        </w:rPr>
        <w:t>t</w:t>
      </w:r>
      <w:r>
        <w:rPr>
          <w:spacing w:val="-3"/>
        </w:rPr>
        <w:t>a</w:t>
      </w:r>
      <w:r>
        <w:rPr>
          <w:spacing w:val="-4"/>
        </w:rPr>
        <w:t>m</w:t>
      </w:r>
      <w:r>
        <w:t>ent</w:t>
      </w:r>
      <w:r>
        <w:rPr>
          <w:spacing w:val="1"/>
        </w:rPr>
        <w:t xml:space="preserve"> </w:t>
      </w:r>
      <w:r>
        <w:t>pro</w:t>
      </w:r>
      <w:r>
        <w:rPr>
          <w:spacing w:val="-2"/>
        </w:rPr>
        <w:t>f</w:t>
      </w:r>
      <w:r>
        <w:rPr>
          <w:spacing w:val="1"/>
        </w:rPr>
        <w:t>il</w:t>
      </w:r>
      <w:r>
        <w:rPr>
          <w:spacing w:val="-3"/>
        </w:rPr>
        <w:t>a</w:t>
      </w:r>
      <w:r>
        <w:t>c</w:t>
      </w:r>
      <w:r>
        <w:rPr>
          <w:spacing w:val="-2"/>
        </w:rPr>
        <w:t>t</w:t>
      </w:r>
      <w:r>
        <w:rPr>
          <w:spacing w:val="1"/>
        </w:rPr>
        <w:t>i</w:t>
      </w:r>
      <w:r>
        <w:t xml:space="preserve">c </w:t>
      </w:r>
      <w:r>
        <w:rPr>
          <w:spacing w:val="-3"/>
        </w:rPr>
        <w:t>p</w:t>
      </w:r>
      <w:r>
        <w:t>en</w:t>
      </w:r>
      <w:r>
        <w:rPr>
          <w:spacing w:val="-2"/>
        </w:rPr>
        <w:t>t</w:t>
      </w:r>
      <w:r>
        <w:t>ru</w:t>
      </w:r>
      <w:r>
        <w:rPr>
          <w:spacing w:val="-3"/>
        </w:rPr>
        <w:t xml:space="preserve"> </w:t>
      </w:r>
      <w:r>
        <w:rPr>
          <w:spacing w:val="1"/>
        </w:rPr>
        <w:t>t</w:t>
      </w:r>
      <w:r>
        <w:t>ub</w:t>
      </w:r>
      <w:r>
        <w:rPr>
          <w:spacing w:val="-3"/>
        </w:rPr>
        <w:t>e</w:t>
      </w:r>
      <w:r>
        <w:t>rcu</w:t>
      </w:r>
      <w:r>
        <w:rPr>
          <w:spacing w:val="-2"/>
        </w:rPr>
        <w:t>l</w:t>
      </w:r>
      <w:r>
        <w:t>o</w:t>
      </w:r>
      <w:r>
        <w:rPr>
          <w:spacing w:val="-3"/>
        </w:rPr>
        <w:t>z</w:t>
      </w:r>
      <w:r>
        <w:t>ă, au a</w:t>
      </w:r>
      <w:r>
        <w:rPr>
          <w:spacing w:val="-3"/>
        </w:rPr>
        <w:t>p</w:t>
      </w:r>
      <w:r>
        <w:t>ăr</w:t>
      </w:r>
      <w:r>
        <w:rPr>
          <w:spacing w:val="-3"/>
        </w:rPr>
        <w:t>u</w:t>
      </w:r>
      <w:r>
        <w:t>t</w:t>
      </w:r>
      <w:r>
        <w:rPr>
          <w:spacing w:val="1"/>
        </w:rPr>
        <w:t xml:space="preserve"> </w:t>
      </w:r>
      <w:r>
        <w:rPr>
          <w:spacing w:val="-3"/>
        </w:rPr>
        <w:t>c</w:t>
      </w:r>
      <w:r>
        <w:t>a</w:t>
      </w:r>
      <w:r>
        <w:rPr>
          <w:spacing w:val="-3"/>
        </w:rPr>
        <w:t>z</w:t>
      </w:r>
      <w:r>
        <w:t>uri</w:t>
      </w:r>
      <w:r>
        <w:rPr>
          <w:spacing w:val="1"/>
        </w:rPr>
        <w:t xml:space="preserve"> </w:t>
      </w:r>
      <w:r>
        <w:rPr>
          <w:spacing w:val="-3"/>
        </w:rPr>
        <w:t>d</w:t>
      </w:r>
      <w:r>
        <w:t>e</w:t>
      </w:r>
      <w:r>
        <w:rPr>
          <w:spacing w:val="-2"/>
        </w:rPr>
        <w:t xml:space="preserve"> </w:t>
      </w:r>
      <w:r>
        <w:rPr>
          <w:spacing w:val="1"/>
        </w:rPr>
        <w:t>t</w:t>
      </w:r>
      <w:r>
        <w:t>ub</w:t>
      </w:r>
      <w:r>
        <w:rPr>
          <w:spacing w:val="-3"/>
        </w:rPr>
        <w:t>e</w:t>
      </w:r>
      <w:r>
        <w:t>rc</w:t>
      </w:r>
      <w:r>
        <w:rPr>
          <w:spacing w:val="-3"/>
        </w:rPr>
        <w:t>u</w:t>
      </w:r>
      <w:r>
        <w:rPr>
          <w:spacing w:val="1"/>
        </w:rPr>
        <w:t>l</w:t>
      </w:r>
      <w:r>
        <w:t>o</w:t>
      </w:r>
      <w:r>
        <w:rPr>
          <w:spacing w:val="-3"/>
        </w:rPr>
        <w:t>z</w:t>
      </w:r>
      <w:r>
        <w:t>ă rea</w:t>
      </w:r>
      <w:r>
        <w:rPr>
          <w:spacing w:val="-3"/>
        </w:rPr>
        <w:t>c</w:t>
      </w:r>
      <w:r>
        <w:rPr>
          <w:spacing w:val="1"/>
        </w:rPr>
        <w:t>ti</w:t>
      </w:r>
      <w:r>
        <w:rPr>
          <w:spacing w:val="-3"/>
        </w:rPr>
        <w:t>v</w:t>
      </w:r>
      <w:r>
        <w:t>a</w:t>
      </w:r>
      <w:r>
        <w:rPr>
          <w:spacing w:val="-2"/>
        </w:rPr>
        <w:t>t</w:t>
      </w:r>
      <w:r>
        <w:t xml:space="preserve">ă </w:t>
      </w:r>
      <w:r>
        <w:rPr>
          <w:spacing w:val="-2"/>
        </w:rPr>
        <w:t>l</w:t>
      </w:r>
      <w:r>
        <w:t>a p</w:t>
      </w:r>
      <w:r>
        <w:rPr>
          <w:spacing w:val="-3"/>
        </w:rPr>
        <w:t>a</w:t>
      </w:r>
      <w:r>
        <w:t>c</w:t>
      </w:r>
      <w:r>
        <w:rPr>
          <w:spacing w:val="1"/>
        </w:rPr>
        <w:t>i</w:t>
      </w:r>
      <w:r>
        <w:rPr>
          <w:spacing w:val="-3"/>
        </w:rPr>
        <w:t>e</w:t>
      </w:r>
      <w:r>
        <w:t>n</w:t>
      </w:r>
      <w:r>
        <w:rPr>
          <w:spacing w:val="-2"/>
        </w:rPr>
        <w:t>ţ</w:t>
      </w:r>
      <w:r>
        <w:rPr>
          <w:spacing w:val="1"/>
        </w:rPr>
        <w:t>i</w:t>
      </w:r>
      <w:r>
        <w:t>i</w:t>
      </w:r>
      <w:r>
        <w:rPr>
          <w:spacing w:val="-2"/>
        </w:rPr>
        <w:t xml:space="preserve"> </w:t>
      </w:r>
      <w:r>
        <w:rPr>
          <w:spacing w:val="1"/>
        </w:rPr>
        <w:t>t</w:t>
      </w:r>
      <w:r>
        <w:rPr>
          <w:spacing w:val="-2"/>
        </w:rPr>
        <w:t>r</w:t>
      </w:r>
      <w:r>
        <w:t>a</w:t>
      </w:r>
      <w:r>
        <w:rPr>
          <w:spacing w:val="1"/>
        </w:rPr>
        <w:t>t</w:t>
      </w:r>
      <w:r>
        <w:rPr>
          <w:spacing w:val="-3"/>
        </w:rPr>
        <w:t>a</w:t>
      </w:r>
      <w:r>
        <w:rPr>
          <w:spacing w:val="1"/>
        </w:rPr>
        <w:t>ţ</w:t>
      </w:r>
      <w:r>
        <w:t>i</w:t>
      </w:r>
      <w:r>
        <w:rPr>
          <w:spacing w:val="-2"/>
        </w:rPr>
        <w:t xml:space="preserve"> </w:t>
      </w:r>
      <w:r>
        <w:t>cu</w:t>
      </w:r>
      <w:r>
        <w:rPr>
          <w:spacing w:val="-1"/>
        </w:rPr>
        <w:t xml:space="preserve"> </w:t>
      </w:r>
      <w:r>
        <w:rPr>
          <w:rFonts w:eastAsia="MS Mincho"/>
          <w:spacing w:val="-1"/>
          <w:szCs w:val="22"/>
          <w:lang w:eastAsia="en-US" w:bidi="ar-SA"/>
        </w:rPr>
        <w:t>adalimumab</w:t>
      </w:r>
      <w:r>
        <w:t xml:space="preserve">. </w:t>
      </w:r>
      <w:r>
        <w:rPr>
          <w:spacing w:val="-1"/>
        </w:rPr>
        <w:t>U</w:t>
      </w:r>
      <w:r>
        <w:t>n</w:t>
      </w:r>
      <w:r>
        <w:rPr>
          <w:spacing w:val="-2"/>
        </w:rPr>
        <w:t>i</w:t>
      </w:r>
      <w:r>
        <w:t>i</w:t>
      </w:r>
      <w:r>
        <w:rPr>
          <w:spacing w:val="1"/>
        </w:rPr>
        <w:t xml:space="preserve"> </w:t>
      </w:r>
      <w:r>
        <w:t>p</w:t>
      </w:r>
      <w:r>
        <w:rPr>
          <w:spacing w:val="-3"/>
        </w:rPr>
        <w:t>a</w:t>
      </w:r>
      <w:r>
        <w:t>c</w:t>
      </w:r>
      <w:r>
        <w:rPr>
          <w:spacing w:val="1"/>
        </w:rPr>
        <w:t>i</w:t>
      </w:r>
      <w:r>
        <w:rPr>
          <w:spacing w:val="-3"/>
        </w:rPr>
        <w:t>e</w:t>
      </w:r>
      <w:r>
        <w:t>n</w:t>
      </w:r>
      <w:r>
        <w:rPr>
          <w:spacing w:val="-2"/>
        </w:rPr>
        <w:t>ţ</w:t>
      </w:r>
      <w:r>
        <w:t>i</w:t>
      </w:r>
      <w:r>
        <w:rPr>
          <w:spacing w:val="1"/>
        </w:rPr>
        <w:t xml:space="preserve"> </w:t>
      </w:r>
      <w:r>
        <w:rPr>
          <w:spacing w:val="-3"/>
        </w:rPr>
        <w:t>c</w:t>
      </w:r>
      <w:r>
        <w:t xml:space="preserve">are </w:t>
      </w:r>
      <w:r>
        <w:rPr>
          <w:spacing w:val="-3"/>
        </w:rPr>
        <w:t>a</w:t>
      </w:r>
      <w:r>
        <w:t>u f</w:t>
      </w:r>
      <w:r>
        <w:rPr>
          <w:spacing w:val="-3"/>
        </w:rPr>
        <w:t>o</w:t>
      </w:r>
      <w:r>
        <w:t>st</w:t>
      </w:r>
      <w:r>
        <w:rPr>
          <w:spacing w:val="-2"/>
        </w:rPr>
        <w:t xml:space="preserve"> </w:t>
      </w:r>
      <w:r>
        <w:rPr>
          <w:spacing w:val="1"/>
        </w:rPr>
        <w:t>t</w:t>
      </w:r>
      <w:r>
        <w:rPr>
          <w:spacing w:val="-2"/>
        </w:rPr>
        <w:t>r</w:t>
      </w:r>
      <w:r>
        <w:t>a</w:t>
      </w:r>
      <w:r>
        <w:rPr>
          <w:spacing w:val="1"/>
        </w:rPr>
        <w:t>t</w:t>
      </w:r>
      <w:r>
        <w:rPr>
          <w:spacing w:val="-3"/>
        </w:rPr>
        <w:t>a</w:t>
      </w:r>
      <w:r>
        <w:rPr>
          <w:spacing w:val="-2"/>
        </w:rPr>
        <w:t>ţ</w:t>
      </w:r>
      <w:r>
        <w:t>i</w:t>
      </w:r>
      <w:r>
        <w:rPr>
          <w:spacing w:val="1"/>
        </w:rPr>
        <w:t xml:space="preserve"> </w:t>
      </w:r>
      <w:r>
        <w:t xml:space="preserve">cu </w:t>
      </w:r>
      <w:r>
        <w:rPr>
          <w:spacing w:val="-2"/>
        </w:rPr>
        <w:t>s</w:t>
      </w:r>
      <w:r>
        <w:t>uc</w:t>
      </w:r>
      <w:r>
        <w:rPr>
          <w:spacing w:val="-3"/>
        </w:rPr>
        <w:t>c</w:t>
      </w:r>
      <w:r>
        <w:t>es</w:t>
      </w:r>
      <w:r>
        <w:rPr>
          <w:spacing w:val="-2"/>
        </w:rPr>
        <w:t xml:space="preserve"> </w:t>
      </w:r>
      <w:r>
        <w:t>pen</w:t>
      </w:r>
      <w:r>
        <w:rPr>
          <w:spacing w:val="-2"/>
        </w:rPr>
        <w:t>t</w:t>
      </w:r>
      <w:r>
        <w:t xml:space="preserve">ru </w:t>
      </w:r>
      <w:r>
        <w:rPr>
          <w:spacing w:val="-2"/>
        </w:rPr>
        <w:t>t</w:t>
      </w:r>
      <w:r>
        <w:t>ub</w:t>
      </w:r>
      <w:r>
        <w:rPr>
          <w:spacing w:val="-3"/>
        </w:rPr>
        <w:t>e</w:t>
      </w:r>
      <w:r>
        <w:t>rc</w:t>
      </w:r>
      <w:r>
        <w:rPr>
          <w:spacing w:val="-3"/>
        </w:rPr>
        <w:t>u</w:t>
      </w:r>
      <w:r>
        <w:rPr>
          <w:spacing w:val="1"/>
        </w:rPr>
        <w:t>l</w:t>
      </w:r>
      <w:r>
        <w:t>o</w:t>
      </w:r>
      <w:r>
        <w:rPr>
          <w:spacing w:val="-3"/>
        </w:rPr>
        <w:t>z</w:t>
      </w:r>
      <w:r>
        <w:t>a ac</w:t>
      </w:r>
      <w:r>
        <w:rPr>
          <w:spacing w:val="-2"/>
        </w:rPr>
        <w:t>t</w:t>
      </w:r>
      <w:r>
        <w:rPr>
          <w:spacing w:val="1"/>
        </w:rPr>
        <w:t>i</w:t>
      </w:r>
      <w:r>
        <w:rPr>
          <w:spacing w:val="-3"/>
        </w:rPr>
        <w:t>v</w:t>
      </w:r>
      <w:r>
        <w:t>ă, au de</w:t>
      </w:r>
      <w:r>
        <w:rPr>
          <w:spacing w:val="-3"/>
        </w:rPr>
        <w:t>zv</w:t>
      </w:r>
      <w:r>
        <w:t>o</w:t>
      </w:r>
      <w:r>
        <w:rPr>
          <w:spacing w:val="1"/>
        </w:rPr>
        <w:t>lt</w:t>
      </w:r>
      <w:r>
        <w:rPr>
          <w:spacing w:val="-3"/>
        </w:rPr>
        <w:t>a</w:t>
      </w:r>
      <w:r>
        <w:t>t</w:t>
      </w:r>
      <w:r>
        <w:rPr>
          <w:spacing w:val="1"/>
        </w:rPr>
        <w:t xml:space="preserve"> </w:t>
      </w:r>
      <w:r>
        <w:rPr>
          <w:spacing w:val="-3"/>
        </w:rPr>
        <w:t>d</w:t>
      </w:r>
      <w:r>
        <w:rPr>
          <w:spacing w:val="1"/>
        </w:rPr>
        <w:t>i</w:t>
      </w:r>
      <w:r>
        <w:t>n nou</w:t>
      </w:r>
      <w:r>
        <w:rPr>
          <w:spacing w:val="-3"/>
        </w:rPr>
        <w:t xml:space="preserve"> </w:t>
      </w:r>
      <w:r>
        <w:rPr>
          <w:spacing w:val="1"/>
        </w:rPr>
        <w:t>t</w:t>
      </w:r>
      <w:r>
        <w:t>ub</w:t>
      </w:r>
      <w:r>
        <w:rPr>
          <w:spacing w:val="-3"/>
        </w:rPr>
        <w:t>e</w:t>
      </w:r>
      <w:r>
        <w:t>rc</w:t>
      </w:r>
      <w:r>
        <w:rPr>
          <w:spacing w:val="-3"/>
        </w:rPr>
        <w:t>u</w:t>
      </w:r>
      <w:r>
        <w:rPr>
          <w:spacing w:val="1"/>
        </w:rPr>
        <w:t>l</w:t>
      </w:r>
      <w:r>
        <w:t>o</w:t>
      </w:r>
      <w:r>
        <w:rPr>
          <w:spacing w:val="-3"/>
        </w:rPr>
        <w:t>z</w:t>
      </w:r>
      <w:r>
        <w:t xml:space="preserve">ă </w:t>
      </w:r>
      <w:r>
        <w:rPr>
          <w:spacing w:val="1"/>
        </w:rPr>
        <w:t>î</w:t>
      </w:r>
      <w:r>
        <w:t>n</w:t>
      </w:r>
      <w:r>
        <w:rPr>
          <w:spacing w:val="-3"/>
        </w:rPr>
        <w:t xml:space="preserve"> </w:t>
      </w:r>
      <w:r>
        <w:rPr>
          <w:spacing w:val="1"/>
        </w:rPr>
        <w:t>ti</w:t>
      </w:r>
      <w:r>
        <w:rPr>
          <w:spacing w:val="-4"/>
        </w:rPr>
        <w:t>m</w:t>
      </w:r>
      <w:r>
        <w:t>pul</w:t>
      </w:r>
      <w:r>
        <w:rPr>
          <w:spacing w:val="-2"/>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u</w:t>
      </w:r>
      <w:r>
        <w:rPr>
          <w:spacing w:val="1"/>
        </w:rPr>
        <w:t>l</w:t>
      </w:r>
      <w:r>
        <w:t>ui</w:t>
      </w:r>
      <w:r>
        <w:rPr>
          <w:spacing w:val="1"/>
        </w:rPr>
        <w:t xml:space="preserve"> </w:t>
      </w:r>
      <w:r>
        <w:rPr>
          <w:spacing w:val="-3"/>
        </w:rPr>
        <w:t>c</w:t>
      </w:r>
      <w:r>
        <w:t xml:space="preserve">u </w:t>
      </w:r>
      <w:r>
        <w:rPr>
          <w:rFonts w:eastAsia="MS Mincho"/>
          <w:spacing w:val="-1"/>
          <w:szCs w:val="22"/>
          <w:lang w:eastAsia="en-US" w:bidi="ar-SA"/>
        </w:rPr>
        <w:t>adalimumab</w:t>
      </w:r>
      <w:r>
        <w:t>.</w:t>
      </w:r>
    </w:p>
    <w:p w14:paraId="0E83FA50" w14:textId="77777777" w:rsidR="00C04CAD" w:rsidRDefault="00C04CAD">
      <w:pPr>
        <w:tabs>
          <w:tab w:val="clear" w:pos="567"/>
        </w:tabs>
        <w:kinsoku w:val="0"/>
        <w:overflowPunct w:val="0"/>
        <w:autoSpaceDE w:val="0"/>
        <w:autoSpaceDN w:val="0"/>
        <w:adjustRightInd w:val="0"/>
        <w:spacing w:line="240" w:lineRule="auto"/>
        <w:rPr>
          <w:szCs w:val="22"/>
        </w:rPr>
      </w:pPr>
    </w:p>
    <w:p w14:paraId="782685D5" w14:textId="77777777" w:rsidR="00C04CAD" w:rsidRDefault="00060E34">
      <w:pPr>
        <w:spacing w:line="240" w:lineRule="auto"/>
        <w:rPr>
          <w:szCs w:val="22"/>
        </w:rPr>
      </w:pPr>
      <w:r>
        <w:rPr>
          <w:spacing w:val="-1"/>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ebu</w:t>
      </w:r>
      <w:r>
        <w:rPr>
          <w:spacing w:val="-2"/>
          <w:szCs w:val="22"/>
        </w:rPr>
        <w:t>i</w:t>
      </w:r>
      <w:r>
        <w:rPr>
          <w:szCs w:val="22"/>
        </w:rPr>
        <w:t xml:space="preserve">e </w:t>
      </w:r>
      <w:r>
        <w:rPr>
          <w:spacing w:val="-2"/>
          <w:szCs w:val="22"/>
        </w:rPr>
        <w:t>s</w:t>
      </w:r>
      <w:r>
        <w:rPr>
          <w:szCs w:val="22"/>
        </w:rPr>
        <w:t>f</w:t>
      </w:r>
      <w:r>
        <w:rPr>
          <w:spacing w:val="-3"/>
          <w:szCs w:val="22"/>
        </w:rPr>
        <w:t>ă</w:t>
      </w:r>
      <w:r>
        <w:rPr>
          <w:spacing w:val="1"/>
          <w:szCs w:val="22"/>
        </w:rPr>
        <w:t>t</w:t>
      </w:r>
      <w:r>
        <w:rPr>
          <w:szCs w:val="22"/>
        </w:rPr>
        <w:t>u</w:t>
      </w:r>
      <w:r>
        <w:rPr>
          <w:spacing w:val="-2"/>
          <w:szCs w:val="22"/>
        </w:rPr>
        <w:t>i</w:t>
      </w:r>
      <w:r>
        <w:rPr>
          <w:spacing w:val="1"/>
          <w:szCs w:val="22"/>
        </w:rPr>
        <w:t>ţ</w:t>
      </w:r>
      <w:r>
        <w:rPr>
          <w:szCs w:val="22"/>
        </w:rPr>
        <w:t>i</w:t>
      </w:r>
      <w:r>
        <w:rPr>
          <w:spacing w:val="-2"/>
          <w:szCs w:val="22"/>
        </w:rPr>
        <w:t xml:space="preserve"> </w:t>
      </w:r>
      <w:r>
        <w:rPr>
          <w:szCs w:val="22"/>
        </w:rPr>
        <w:t>să</w:t>
      </w:r>
      <w:r>
        <w:rPr>
          <w:spacing w:val="-2"/>
          <w:szCs w:val="22"/>
        </w:rPr>
        <w:t xml:space="preserve"> </w:t>
      </w:r>
      <w:r>
        <w:rPr>
          <w:szCs w:val="22"/>
        </w:rPr>
        <w:t>so</w:t>
      </w:r>
      <w:r>
        <w:rPr>
          <w:spacing w:val="-2"/>
          <w:szCs w:val="22"/>
        </w:rPr>
        <w:t>l</w:t>
      </w:r>
      <w:r>
        <w:rPr>
          <w:spacing w:val="1"/>
          <w:szCs w:val="22"/>
        </w:rPr>
        <w:t>i</w:t>
      </w:r>
      <w:r>
        <w:rPr>
          <w:szCs w:val="22"/>
        </w:rPr>
        <w:t>c</w:t>
      </w:r>
      <w:r>
        <w:rPr>
          <w:spacing w:val="-2"/>
          <w:szCs w:val="22"/>
        </w:rPr>
        <w:t>i</w:t>
      </w:r>
      <w:r>
        <w:rPr>
          <w:spacing w:val="1"/>
          <w:szCs w:val="22"/>
        </w:rPr>
        <w:t>t</w:t>
      </w:r>
      <w:r>
        <w:rPr>
          <w:szCs w:val="22"/>
        </w:rPr>
        <w:t>e</w:t>
      </w:r>
      <w:r>
        <w:rPr>
          <w:spacing w:val="-2"/>
          <w:szCs w:val="22"/>
        </w:rPr>
        <w:t xml:space="preserve"> </w:t>
      </w:r>
      <w:r>
        <w:rPr>
          <w:szCs w:val="22"/>
        </w:rPr>
        <w:t>cons</w:t>
      </w:r>
      <w:r>
        <w:rPr>
          <w:spacing w:val="-3"/>
          <w:szCs w:val="22"/>
        </w:rPr>
        <w:t>u</w:t>
      </w:r>
      <w:r>
        <w:rPr>
          <w:spacing w:val="1"/>
          <w:szCs w:val="22"/>
        </w:rPr>
        <w:t>l</w:t>
      </w:r>
      <w:r>
        <w:rPr>
          <w:szCs w:val="22"/>
        </w:rPr>
        <w:t>t</w:t>
      </w:r>
      <w:r>
        <w:rPr>
          <w:spacing w:val="-2"/>
          <w:szCs w:val="22"/>
        </w:rPr>
        <w:t xml:space="preserve"> </w:t>
      </w:r>
      <w:r>
        <w:rPr>
          <w:spacing w:val="-4"/>
          <w:szCs w:val="22"/>
        </w:rPr>
        <w:t>m</w:t>
      </w:r>
      <w:r>
        <w:rPr>
          <w:szCs w:val="22"/>
        </w:rPr>
        <w:t>ed</w:t>
      </w:r>
      <w:r>
        <w:rPr>
          <w:spacing w:val="1"/>
          <w:szCs w:val="22"/>
        </w:rPr>
        <w:t>i</w:t>
      </w:r>
      <w:r>
        <w:rPr>
          <w:szCs w:val="22"/>
        </w:rPr>
        <w:t>cal</w:t>
      </w:r>
      <w:r>
        <w:rPr>
          <w:spacing w:val="-2"/>
          <w:szCs w:val="22"/>
        </w:rPr>
        <w:t xml:space="preserve"> </w:t>
      </w:r>
      <w:r>
        <w:rPr>
          <w:szCs w:val="22"/>
        </w:rPr>
        <w:t>da</w:t>
      </w:r>
      <w:r>
        <w:rPr>
          <w:spacing w:val="-3"/>
          <w:szCs w:val="22"/>
        </w:rPr>
        <w:t>c</w:t>
      </w:r>
      <w:r>
        <w:rPr>
          <w:szCs w:val="22"/>
        </w:rPr>
        <w:t xml:space="preserve">ă </w:t>
      </w:r>
      <w:r>
        <w:rPr>
          <w:spacing w:val="1"/>
          <w:szCs w:val="22"/>
        </w:rPr>
        <w:t>î</w:t>
      </w:r>
      <w:r>
        <w:rPr>
          <w:szCs w:val="22"/>
        </w:rPr>
        <w:t>n</w:t>
      </w:r>
      <w:r>
        <w:rPr>
          <w:spacing w:val="-3"/>
          <w:szCs w:val="22"/>
        </w:rPr>
        <w:t xml:space="preserve"> </w:t>
      </w:r>
      <w:r>
        <w:rPr>
          <w:spacing w:val="1"/>
          <w:szCs w:val="22"/>
        </w:rPr>
        <w:t>ti</w:t>
      </w:r>
      <w:r>
        <w:rPr>
          <w:spacing w:val="-4"/>
          <w:szCs w:val="22"/>
        </w:rPr>
        <w:t>m</w:t>
      </w:r>
      <w:r>
        <w:rPr>
          <w:szCs w:val="22"/>
        </w:rPr>
        <w:t>pul</w:t>
      </w:r>
      <w:r>
        <w:rPr>
          <w:spacing w:val="1"/>
          <w:szCs w:val="22"/>
        </w:rPr>
        <w:t xml:space="preserve"> </w:t>
      </w:r>
      <w:r>
        <w:rPr>
          <w:szCs w:val="22"/>
        </w:rPr>
        <w:t>s</w:t>
      </w:r>
      <w:r>
        <w:rPr>
          <w:spacing w:val="-3"/>
          <w:szCs w:val="22"/>
        </w:rPr>
        <w:t>a</w:t>
      </w:r>
      <w:r>
        <w:rPr>
          <w:szCs w:val="22"/>
        </w:rPr>
        <w:t>u du</w:t>
      </w:r>
      <w:r>
        <w:rPr>
          <w:spacing w:val="-3"/>
          <w:szCs w:val="22"/>
        </w:rPr>
        <w:t>p</w:t>
      </w:r>
      <w:r>
        <w:rPr>
          <w:szCs w:val="22"/>
        </w:rPr>
        <w:t xml:space="preserve">ă </w:t>
      </w:r>
      <w:r>
        <w:rPr>
          <w:spacing w:val="-2"/>
          <w:szCs w:val="22"/>
        </w:rPr>
        <w:t>t</w:t>
      </w:r>
      <w:r>
        <w:rPr>
          <w:szCs w:val="22"/>
        </w:rPr>
        <w:t>ra</w:t>
      </w:r>
      <w:r>
        <w:rPr>
          <w:spacing w:val="-2"/>
          <w:szCs w:val="22"/>
        </w:rPr>
        <w:t>t</w:t>
      </w:r>
      <w:r>
        <w:rPr>
          <w:szCs w:val="22"/>
        </w:rPr>
        <w:t>a</w:t>
      </w:r>
      <w:r>
        <w:rPr>
          <w:spacing w:val="-2"/>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 xml:space="preserve">cu </w:t>
      </w:r>
      <w:r>
        <w:rPr>
          <w:rFonts w:eastAsia="MS Mincho"/>
          <w:spacing w:val="-1"/>
          <w:szCs w:val="22"/>
          <w:lang w:eastAsia="en-US" w:bidi="ar-SA"/>
        </w:rPr>
        <w:t>AMGEVITA</w:t>
      </w:r>
      <w:r>
        <w:rPr>
          <w:szCs w:val="22"/>
        </w:rPr>
        <w:t xml:space="preserve"> apar</w:t>
      </w:r>
      <w:r>
        <w:rPr>
          <w:spacing w:val="-2"/>
          <w:szCs w:val="22"/>
        </w:rPr>
        <w:t xml:space="preserve"> </w:t>
      </w:r>
      <w:r>
        <w:rPr>
          <w:szCs w:val="22"/>
        </w:rPr>
        <w:t>se</w:t>
      </w:r>
      <w:r>
        <w:rPr>
          <w:spacing w:val="-4"/>
          <w:szCs w:val="22"/>
        </w:rPr>
        <w:t>m</w:t>
      </w:r>
      <w:r>
        <w:rPr>
          <w:szCs w:val="22"/>
        </w:rPr>
        <w:t>ne</w:t>
      </w:r>
      <w:r>
        <w:rPr>
          <w:spacing w:val="1"/>
          <w:szCs w:val="22"/>
        </w:rPr>
        <w:t>/</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 care</w:t>
      </w:r>
      <w:r>
        <w:rPr>
          <w:spacing w:val="-2"/>
          <w:szCs w:val="22"/>
        </w:rPr>
        <w:t xml:space="preserve"> </w:t>
      </w:r>
      <w:r>
        <w:rPr>
          <w:szCs w:val="22"/>
        </w:rPr>
        <w:t>su</w:t>
      </w:r>
      <w:r>
        <w:rPr>
          <w:spacing w:val="-3"/>
          <w:szCs w:val="22"/>
        </w:rPr>
        <w:t>g</w:t>
      </w:r>
      <w:r>
        <w:rPr>
          <w:szCs w:val="22"/>
        </w:rPr>
        <w:t>erea</w:t>
      </w:r>
      <w:r>
        <w:rPr>
          <w:spacing w:val="-3"/>
          <w:szCs w:val="22"/>
        </w:rPr>
        <w:t>z</w:t>
      </w:r>
      <w:r>
        <w:rPr>
          <w:szCs w:val="22"/>
        </w:rPr>
        <w:t xml:space="preserve">ă </w:t>
      </w:r>
      <w:r>
        <w:rPr>
          <w:spacing w:val="1"/>
          <w:szCs w:val="22"/>
        </w:rPr>
        <w:t>i</w:t>
      </w:r>
      <w:r>
        <w:rPr>
          <w:spacing w:val="-3"/>
          <w:szCs w:val="22"/>
        </w:rPr>
        <w:t>n</w:t>
      </w:r>
      <w:r>
        <w:rPr>
          <w:szCs w:val="22"/>
        </w:rPr>
        <w:t>f</w:t>
      </w:r>
      <w:r>
        <w:rPr>
          <w:spacing w:val="-3"/>
          <w:szCs w:val="22"/>
        </w:rPr>
        <w:t>e</w:t>
      </w:r>
      <w:r>
        <w:rPr>
          <w:szCs w:val="22"/>
        </w:rPr>
        <w:t>c</w:t>
      </w:r>
      <w:r>
        <w:rPr>
          <w:spacing w:val="-2"/>
          <w:szCs w:val="22"/>
        </w:rPr>
        <w:t>ţ</w:t>
      </w:r>
      <w:r>
        <w:rPr>
          <w:spacing w:val="1"/>
          <w:szCs w:val="22"/>
        </w:rPr>
        <w:t>i</w:t>
      </w:r>
      <w:r>
        <w:rPr>
          <w:szCs w:val="22"/>
        </w:rPr>
        <w:t>a</w:t>
      </w:r>
      <w:r>
        <w:rPr>
          <w:spacing w:val="-2"/>
          <w:szCs w:val="22"/>
        </w:rPr>
        <w:t xml:space="preserve"> </w:t>
      </w:r>
      <w:r>
        <w:rPr>
          <w:spacing w:val="1"/>
          <w:szCs w:val="22"/>
        </w:rPr>
        <w:t>t</w:t>
      </w:r>
      <w:r>
        <w:rPr>
          <w:szCs w:val="22"/>
        </w:rPr>
        <w:t>ub</w:t>
      </w:r>
      <w:r>
        <w:rPr>
          <w:spacing w:val="-3"/>
          <w:szCs w:val="22"/>
        </w:rPr>
        <w:t>e</w:t>
      </w:r>
      <w:r>
        <w:rPr>
          <w:szCs w:val="22"/>
        </w:rPr>
        <w:t>rc</w:t>
      </w:r>
      <w:r>
        <w:rPr>
          <w:spacing w:val="-3"/>
          <w:szCs w:val="22"/>
        </w:rPr>
        <w:t>u</w:t>
      </w:r>
      <w:r>
        <w:rPr>
          <w:spacing w:val="-2"/>
          <w:szCs w:val="22"/>
        </w:rPr>
        <w:t>l</w:t>
      </w:r>
      <w:r>
        <w:rPr>
          <w:szCs w:val="22"/>
        </w:rPr>
        <w:t>oasă</w:t>
      </w:r>
      <w:r>
        <w:rPr>
          <w:spacing w:val="-2"/>
          <w:szCs w:val="22"/>
        </w:rPr>
        <w:t xml:space="preserve"> </w:t>
      </w:r>
      <w:r>
        <w:rPr>
          <w:szCs w:val="22"/>
        </w:rPr>
        <w:t>(de</w:t>
      </w:r>
      <w:r>
        <w:rPr>
          <w:spacing w:val="-2"/>
          <w:szCs w:val="22"/>
        </w:rPr>
        <w:t xml:space="preserve"> </w:t>
      </w:r>
      <w:r>
        <w:rPr>
          <w:szCs w:val="22"/>
        </w:rPr>
        <w:t>exe</w:t>
      </w:r>
      <w:r>
        <w:rPr>
          <w:spacing w:val="-4"/>
          <w:szCs w:val="22"/>
        </w:rPr>
        <w:t>m</w:t>
      </w:r>
      <w:r>
        <w:rPr>
          <w:szCs w:val="22"/>
        </w:rPr>
        <w:t>p</w:t>
      </w:r>
      <w:r>
        <w:rPr>
          <w:spacing w:val="1"/>
          <w:szCs w:val="22"/>
        </w:rPr>
        <w:t>l</w:t>
      </w:r>
      <w:r>
        <w:rPr>
          <w:szCs w:val="22"/>
        </w:rPr>
        <w:t xml:space="preserve">u </w:t>
      </w:r>
      <w:r>
        <w:rPr>
          <w:spacing w:val="1"/>
          <w:szCs w:val="22"/>
        </w:rPr>
        <w:t>t</w:t>
      </w:r>
      <w:r>
        <w:rPr>
          <w:spacing w:val="-3"/>
          <w:szCs w:val="22"/>
        </w:rPr>
        <w:t>u</w:t>
      </w:r>
      <w:r>
        <w:rPr>
          <w:szCs w:val="22"/>
        </w:rPr>
        <w:t xml:space="preserve">se </w:t>
      </w:r>
      <w:r>
        <w:rPr>
          <w:spacing w:val="-3"/>
          <w:szCs w:val="22"/>
        </w:rPr>
        <w:t>p</w:t>
      </w:r>
      <w:r>
        <w:rPr>
          <w:szCs w:val="22"/>
        </w:rPr>
        <w:t>er</w:t>
      </w:r>
      <w:r>
        <w:rPr>
          <w:spacing w:val="-2"/>
          <w:szCs w:val="22"/>
        </w:rPr>
        <w:t>si</w:t>
      </w:r>
      <w:r>
        <w:rPr>
          <w:szCs w:val="22"/>
        </w:rPr>
        <w:t>s</w:t>
      </w:r>
      <w:r>
        <w:rPr>
          <w:spacing w:val="1"/>
          <w:szCs w:val="22"/>
        </w:rPr>
        <w:t>t</w:t>
      </w:r>
      <w:r>
        <w:rPr>
          <w:szCs w:val="22"/>
        </w:rPr>
        <w:t>e</w:t>
      </w:r>
      <w:r>
        <w:rPr>
          <w:spacing w:val="-3"/>
          <w:szCs w:val="22"/>
        </w:rPr>
        <w:t>n</w:t>
      </w:r>
      <w:r>
        <w:rPr>
          <w:spacing w:val="1"/>
          <w:szCs w:val="22"/>
        </w:rPr>
        <w:t>t</w:t>
      </w:r>
      <w:r>
        <w:rPr>
          <w:szCs w:val="22"/>
        </w:rPr>
        <w:t>ă, as</w:t>
      </w:r>
      <w:r>
        <w:rPr>
          <w:spacing w:val="1"/>
          <w:szCs w:val="22"/>
        </w:rPr>
        <w:t>t</w:t>
      </w:r>
      <w:r>
        <w:rPr>
          <w:spacing w:val="-3"/>
          <w:szCs w:val="22"/>
        </w:rPr>
        <w:t>e</w:t>
      </w:r>
      <w:r>
        <w:rPr>
          <w:szCs w:val="22"/>
        </w:rPr>
        <w:t>n</w:t>
      </w:r>
      <w:r>
        <w:rPr>
          <w:spacing w:val="1"/>
          <w:szCs w:val="22"/>
        </w:rPr>
        <w:t>i</w:t>
      </w:r>
      <w:r>
        <w:rPr>
          <w:spacing w:val="-3"/>
          <w:szCs w:val="22"/>
        </w:rPr>
        <w:t>e</w:t>
      </w:r>
      <w:r>
        <w:rPr>
          <w:spacing w:val="1"/>
          <w:szCs w:val="22"/>
        </w:rPr>
        <w:t>/</w:t>
      </w:r>
      <w:r>
        <w:rPr>
          <w:spacing w:val="-2"/>
          <w:szCs w:val="22"/>
        </w:rPr>
        <w:t>s</w:t>
      </w:r>
      <w:r>
        <w:rPr>
          <w:szCs w:val="22"/>
        </w:rPr>
        <w:t>căd</w:t>
      </w:r>
      <w:r>
        <w:rPr>
          <w:spacing w:val="-3"/>
          <w:szCs w:val="22"/>
        </w:rPr>
        <w:t>e</w:t>
      </w:r>
      <w:r>
        <w:rPr>
          <w:szCs w:val="22"/>
        </w:rPr>
        <w:t xml:space="preserve">re </w:t>
      </w:r>
      <w:r>
        <w:rPr>
          <w:spacing w:val="-3"/>
          <w:szCs w:val="22"/>
        </w:rPr>
        <w:t>p</w:t>
      </w:r>
      <w:r>
        <w:rPr>
          <w:szCs w:val="22"/>
        </w:rPr>
        <w:t>ond</w:t>
      </w:r>
      <w:r>
        <w:rPr>
          <w:spacing w:val="-3"/>
          <w:szCs w:val="22"/>
        </w:rPr>
        <w:t>e</w:t>
      </w:r>
      <w:r>
        <w:rPr>
          <w:szCs w:val="22"/>
        </w:rPr>
        <w:t>r</w:t>
      </w:r>
      <w:r>
        <w:rPr>
          <w:spacing w:val="-3"/>
          <w:szCs w:val="22"/>
        </w:rPr>
        <w:t>a</w:t>
      </w:r>
      <w:r>
        <w:rPr>
          <w:spacing w:val="1"/>
          <w:szCs w:val="22"/>
        </w:rPr>
        <w:t>l</w:t>
      </w:r>
      <w:r>
        <w:rPr>
          <w:szCs w:val="22"/>
        </w:rPr>
        <w:t xml:space="preserve">ă, </w:t>
      </w:r>
      <w:r>
        <w:rPr>
          <w:spacing w:val="-2"/>
          <w:szCs w:val="22"/>
        </w:rPr>
        <w:t>s</w:t>
      </w:r>
      <w:r>
        <w:rPr>
          <w:szCs w:val="22"/>
        </w:rPr>
        <w:t>ubfe</w:t>
      </w:r>
      <w:r>
        <w:rPr>
          <w:spacing w:val="-3"/>
          <w:szCs w:val="22"/>
        </w:rPr>
        <w:t>b</w:t>
      </w:r>
      <w:r>
        <w:rPr>
          <w:szCs w:val="22"/>
        </w:rPr>
        <w:t>r</w:t>
      </w:r>
      <w:r>
        <w:rPr>
          <w:spacing w:val="-2"/>
          <w:szCs w:val="22"/>
        </w:rPr>
        <w:t>i</w:t>
      </w:r>
      <w:r>
        <w:rPr>
          <w:spacing w:val="1"/>
          <w:szCs w:val="22"/>
        </w:rPr>
        <w:t>l</w:t>
      </w:r>
      <w:r>
        <w:rPr>
          <w:spacing w:val="-2"/>
          <w:szCs w:val="22"/>
        </w:rPr>
        <w:t>i</w:t>
      </w:r>
      <w:r>
        <w:rPr>
          <w:spacing w:val="1"/>
          <w:szCs w:val="22"/>
        </w:rPr>
        <w:t>t</w:t>
      </w:r>
      <w:r>
        <w:rPr>
          <w:spacing w:val="-3"/>
          <w:szCs w:val="22"/>
        </w:rPr>
        <w:t>a</w:t>
      </w:r>
      <w:r>
        <w:rPr>
          <w:spacing w:val="1"/>
          <w:szCs w:val="22"/>
        </w:rPr>
        <w:t>t</w:t>
      </w:r>
      <w:r>
        <w:rPr>
          <w:szCs w:val="22"/>
        </w:rPr>
        <w:t xml:space="preserve">e, </w:t>
      </w:r>
      <w:r>
        <w:rPr>
          <w:spacing w:val="-3"/>
          <w:szCs w:val="22"/>
        </w:rPr>
        <w:t>a</w:t>
      </w:r>
      <w:r>
        <w:rPr>
          <w:szCs w:val="22"/>
        </w:rPr>
        <w:t>pa</w:t>
      </w:r>
      <w:r>
        <w:rPr>
          <w:spacing w:val="-2"/>
          <w:szCs w:val="22"/>
        </w:rPr>
        <w:t>t</w:t>
      </w:r>
      <w:r>
        <w:rPr>
          <w:spacing w:val="1"/>
          <w:szCs w:val="22"/>
        </w:rPr>
        <w:t>i</w:t>
      </w:r>
      <w:r>
        <w:rPr>
          <w:spacing w:val="-3"/>
          <w:szCs w:val="22"/>
        </w:rPr>
        <w:t>e</w:t>
      </w:r>
      <w:r>
        <w:rPr>
          <w:szCs w:val="22"/>
        </w:rPr>
        <w:t>).</w:t>
      </w:r>
    </w:p>
    <w:p w14:paraId="78E9341C" w14:textId="77777777" w:rsidR="00C04CAD" w:rsidRDefault="00C04CAD">
      <w:pPr>
        <w:spacing w:line="240" w:lineRule="auto"/>
      </w:pPr>
    </w:p>
    <w:p w14:paraId="25812091" w14:textId="77777777" w:rsidR="00C04CAD" w:rsidRDefault="00060E34">
      <w:pPr>
        <w:keepNext/>
        <w:kinsoku w:val="0"/>
        <w:overflowPunct w:val="0"/>
        <w:spacing w:line="240" w:lineRule="auto"/>
      </w:pPr>
      <w:r>
        <w:rPr>
          <w:i/>
          <w:spacing w:val="-1"/>
        </w:rPr>
        <w:t>A</w:t>
      </w:r>
      <w:r>
        <w:rPr>
          <w:i/>
          <w:spacing w:val="1"/>
        </w:rPr>
        <w:t>lt</w:t>
      </w:r>
      <w:r>
        <w:rPr>
          <w:i/>
        </w:rPr>
        <w:t>e</w:t>
      </w:r>
      <w:r>
        <w:rPr>
          <w:i/>
          <w:spacing w:val="-2"/>
        </w:rPr>
        <w:t xml:space="preserve"> </w:t>
      </w:r>
      <w:r>
        <w:rPr>
          <w:i/>
          <w:spacing w:val="1"/>
        </w:rPr>
        <w:t>i</w:t>
      </w:r>
      <w:r>
        <w:rPr>
          <w:i/>
          <w:spacing w:val="-3"/>
        </w:rPr>
        <w:t>n</w:t>
      </w:r>
      <w:r>
        <w:rPr>
          <w:i/>
          <w:spacing w:val="1"/>
        </w:rPr>
        <w:t>f</w:t>
      </w:r>
      <w:r>
        <w:rPr>
          <w:i/>
        </w:rPr>
        <w:t>e</w:t>
      </w:r>
      <w:r>
        <w:rPr>
          <w:i/>
          <w:spacing w:val="-3"/>
        </w:rPr>
        <w:t>c</w:t>
      </w:r>
      <w:r>
        <w:rPr>
          <w:i/>
          <w:spacing w:val="1"/>
        </w:rPr>
        <w:t>ţ</w:t>
      </w:r>
      <w:r>
        <w:rPr>
          <w:i/>
          <w:spacing w:val="-2"/>
        </w:rPr>
        <w:t>i</w:t>
      </w:r>
      <w:r>
        <w:rPr>
          <w:i/>
        </w:rPr>
        <w:t>i</w:t>
      </w:r>
      <w:r>
        <w:rPr>
          <w:i/>
          <w:spacing w:val="1"/>
        </w:rPr>
        <w:t xml:space="preserve"> </w:t>
      </w:r>
      <w:r>
        <w:rPr>
          <w:i/>
        </w:rPr>
        <w:t>o</w:t>
      </w:r>
      <w:r>
        <w:rPr>
          <w:i/>
          <w:spacing w:val="-1"/>
        </w:rPr>
        <w:t>p</w:t>
      </w:r>
      <w:r>
        <w:rPr>
          <w:i/>
          <w:spacing w:val="-3"/>
        </w:rPr>
        <w:t>o</w:t>
      </w:r>
      <w:r>
        <w:rPr>
          <w:i/>
        </w:rPr>
        <w:t>r</w:t>
      </w:r>
      <w:r>
        <w:rPr>
          <w:i/>
          <w:spacing w:val="1"/>
        </w:rPr>
        <w:t>t</w:t>
      </w:r>
      <w:r>
        <w:rPr>
          <w:i/>
          <w:spacing w:val="-3"/>
        </w:rPr>
        <w:t>u</w:t>
      </w:r>
      <w:r>
        <w:rPr>
          <w:i/>
        </w:rPr>
        <w:t>n</w:t>
      </w:r>
      <w:r>
        <w:rPr>
          <w:i/>
          <w:spacing w:val="1"/>
        </w:rPr>
        <w:t>i</w:t>
      </w:r>
      <w:r>
        <w:rPr>
          <w:i/>
          <w:spacing w:val="-2"/>
        </w:rPr>
        <w:t>s</w:t>
      </w:r>
      <w:r>
        <w:rPr>
          <w:i/>
          <w:spacing w:val="1"/>
        </w:rPr>
        <w:t>te</w:t>
      </w:r>
    </w:p>
    <w:p w14:paraId="65CB2108" w14:textId="77777777" w:rsidR="00C04CAD" w:rsidRDefault="00C04CAD">
      <w:pPr>
        <w:keepNext/>
        <w:kinsoku w:val="0"/>
        <w:overflowPunct w:val="0"/>
        <w:spacing w:line="240" w:lineRule="auto"/>
      </w:pPr>
    </w:p>
    <w:p w14:paraId="3CBF1F40" w14:textId="77777777" w:rsidR="00C04CAD" w:rsidRDefault="00060E34">
      <w:pPr>
        <w:pStyle w:val="BodyText"/>
        <w:kinsoku w:val="0"/>
        <w:overflowPunct w:val="0"/>
        <w:rPr>
          <w:i w:val="0"/>
          <w:color w:val="auto"/>
        </w:rPr>
      </w:pPr>
      <w:r>
        <w:rPr>
          <w:i w:val="0"/>
          <w:color w:val="auto"/>
          <w:spacing w:val="-1"/>
        </w:rPr>
        <w:t>A</w:t>
      </w:r>
      <w:r>
        <w:rPr>
          <w:i w:val="0"/>
          <w:color w:val="auto"/>
        </w:rPr>
        <w:t>u fo</w:t>
      </w:r>
      <w:r>
        <w:rPr>
          <w:i w:val="0"/>
          <w:color w:val="auto"/>
          <w:spacing w:val="-2"/>
        </w:rPr>
        <w:t>s</w:t>
      </w:r>
      <w:r>
        <w:rPr>
          <w:i w:val="0"/>
          <w:color w:val="auto"/>
        </w:rPr>
        <w:t>t</w:t>
      </w:r>
      <w:r>
        <w:rPr>
          <w:i w:val="0"/>
          <w:color w:val="auto"/>
          <w:spacing w:val="1"/>
        </w:rPr>
        <w:t xml:space="preserve"> </w:t>
      </w:r>
      <w:r>
        <w:rPr>
          <w:i w:val="0"/>
          <w:color w:val="auto"/>
        </w:rPr>
        <w:t>r</w:t>
      </w:r>
      <w:r>
        <w:rPr>
          <w:i w:val="0"/>
          <w:color w:val="auto"/>
          <w:spacing w:val="-3"/>
        </w:rPr>
        <w:t>a</w:t>
      </w:r>
      <w:r>
        <w:rPr>
          <w:i w:val="0"/>
          <w:color w:val="auto"/>
        </w:rPr>
        <w:t>po</w:t>
      </w:r>
      <w:r>
        <w:rPr>
          <w:i w:val="0"/>
          <w:color w:val="auto"/>
          <w:spacing w:val="-2"/>
        </w:rPr>
        <w:t>r</w:t>
      </w:r>
      <w:r>
        <w:rPr>
          <w:i w:val="0"/>
          <w:color w:val="auto"/>
          <w:spacing w:val="1"/>
        </w:rPr>
        <w:t>t</w:t>
      </w:r>
      <w:r>
        <w:rPr>
          <w:i w:val="0"/>
          <w:color w:val="auto"/>
          <w:spacing w:val="-3"/>
        </w:rPr>
        <w:t>a</w:t>
      </w:r>
      <w:r>
        <w:rPr>
          <w:i w:val="0"/>
          <w:color w:val="auto"/>
          <w:spacing w:val="1"/>
        </w:rPr>
        <w:t>t</w:t>
      </w:r>
      <w:r>
        <w:rPr>
          <w:i w:val="0"/>
          <w:color w:val="auto"/>
        </w:rPr>
        <w:t xml:space="preserve">e </w:t>
      </w:r>
      <w:r>
        <w:rPr>
          <w:i w:val="0"/>
          <w:color w:val="auto"/>
          <w:spacing w:val="-2"/>
        </w:rPr>
        <w:t>i</w:t>
      </w:r>
      <w:r>
        <w:rPr>
          <w:i w:val="0"/>
          <w:color w:val="auto"/>
        </w:rPr>
        <w:t>nf</w:t>
      </w:r>
      <w:r>
        <w:rPr>
          <w:i w:val="0"/>
          <w:color w:val="auto"/>
          <w:spacing w:val="-3"/>
        </w:rPr>
        <w:t>e</w:t>
      </w:r>
      <w:r>
        <w:rPr>
          <w:i w:val="0"/>
          <w:color w:val="auto"/>
        </w:rPr>
        <w:t>c</w:t>
      </w:r>
      <w:r>
        <w:rPr>
          <w:i w:val="0"/>
          <w:color w:val="auto"/>
          <w:spacing w:val="-2"/>
        </w:rPr>
        <w:t>ţ</w:t>
      </w:r>
      <w:r>
        <w:rPr>
          <w:i w:val="0"/>
          <w:color w:val="auto"/>
          <w:spacing w:val="1"/>
        </w:rPr>
        <w:t>i</w:t>
      </w:r>
      <w:r>
        <w:rPr>
          <w:i w:val="0"/>
          <w:color w:val="auto"/>
        </w:rPr>
        <w:t>i</w:t>
      </w:r>
      <w:r>
        <w:rPr>
          <w:i w:val="0"/>
          <w:color w:val="auto"/>
          <w:spacing w:val="-2"/>
        </w:rPr>
        <w:t xml:space="preserve"> </w:t>
      </w:r>
      <w:r>
        <w:rPr>
          <w:i w:val="0"/>
          <w:color w:val="auto"/>
        </w:rPr>
        <w:t>o</w:t>
      </w:r>
      <w:r>
        <w:rPr>
          <w:i w:val="0"/>
          <w:color w:val="auto"/>
          <w:spacing w:val="-3"/>
        </w:rPr>
        <w:t>p</w:t>
      </w:r>
      <w:r>
        <w:rPr>
          <w:i w:val="0"/>
          <w:color w:val="auto"/>
        </w:rPr>
        <w:t>or</w:t>
      </w:r>
      <w:r>
        <w:rPr>
          <w:i w:val="0"/>
          <w:color w:val="auto"/>
          <w:spacing w:val="1"/>
        </w:rPr>
        <w:t>t</w:t>
      </w:r>
      <w:r>
        <w:rPr>
          <w:i w:val="0"/>
          <w:color w:val="auto"/>
        </w:rPr>
        <w:t>u</w:t>
      </w:r>
      <w:r>
        <w:rPr>
          <w:i w:val="0"/>
          <w:color w:val="auto"/>
          <w:spacing w:val="-3"/>
        </w:rPr>
        <w:t>n</w:t>
      </w:r>
      <w:r>
        <w:rPr>
          <w:i w:val="0"/>
          <w:color w:val="auto"/>
          <w:spacing w:val="1"/>
        </w:rPr>
        <w:t>i</w:t>
      </w:r>
      <w:r>
        <w:rPr>
          <w:i w:val="0"/>
          <w:color w:val="auto"/>
          <w:spacing w:val="-2"/>
        </w:rPr>
        <w:t>s</w:t>
      </w:r>
      <w:r>
        <w:rPr>
          <w:i w:val="0"/>
          <w:color w:val="auto"/>
          <w:spacing w:val="1"/>
        </w:rPr>
        <w:t>t</w:t>
      </w:r>
      <w:r>
        <w:rPr>
          <w:i w:val="0"/>
          <w:color w:val="auto"/>
        </w:rPr>
        <w:t>e,</w:t>
      </w:r>
      <w:r>
        <w:rPr>
          <w:i w:val="0"/>
          <w:color w:val="auto"/>
          <w:spacing w:val="-3"/>
        </w:rPr>
        <w:t xml:space="preserve"> </w:t>
      </w:r>
      <w:r>
        <w:rPr>
          <w:i w:val="0"/>
          <w:color w:val="auto"/>
          <w:spacing w:val="1"/>
        </w:rPr>
        <w:t>i</w:t>
      </w:r>
      <w:r>
        <w:rPr>
          <w:i w:val="0"/>
          <w:color w:val="auto"/>
        </w:rPr>
        <w:t>n</w:t>
      </w:r>
      <w:r>
        <w:rPr>
          <w:i w:val="0"/>
          <w:color w:val="auto"/>
          <w:spacing w:val="-3"/>
        </w:rPr>
        <w:t>c</w:t>
      </w:r>
      <w:r>
        <w:rPr>
          <w:i w:val="0"/>
          <w:color w:val="auto"/>
          <w:spacing w:val="1"/>
        </w:rPr>
        <w:t>l</w:t>
      </w:r>
      <w:r>
        <w:rPr>
          <w:i w:val="0"/>
          <w:color w:val="auto"/>
        </w:rPr>
        <w:t>u</w:t>
      </w:r>
      <w:r>
        <w:rPr>
          <w:i w:val="0"/>
          <w:color w:val="auto"/>
          <w:spacing w:val="-2"/>
        </w:rPr>
        <w:t>s</w:t>
      </w:r>
      <w:r>
        <w:rPr>
          <w:i w:val="0"/>
          <w:color w:val="auto"/>
          <w:spacing w:val="1"/>
        </w:rPr>
        <w:t>i</w:t>
      </w:r>
      <w:r>
        <w:rPr>
          <w:i w:val="0"/>
          <w:color w:val="auto"/>
        </w:rPr>
        <w:t>v</w:t>
      </w:r>
      <w:r>
        <w:rPr>
          <w:i w:val="0"/>
          <w:color w:val="auto"/>
          <w:spacing w:val="-3"/>
        </w:rPr>
        <w:t xml:space="preserve"> </w:t>
      </w:r>
      <w:r>
        <w:rPr>
          <w:i w:val="0"/>
          <w:color w:val="auto"/>
          <w:spacing w:val="1"/>
        </w:rPr>
        <w:t>i</w:t>
      </w:r>
      <w:r>
        <w:rPr>
          <w:i w:val="0"/>
          <w:color w:val="auto"/>
        </w:rPr>
        <w:t>n</w:t>
      </w:r>
      <w:r>
        <w:rPr>
          <w:i w:val="0"/>
          <w:color w:val="auto"/>
          <w:spacing w:val="-2"/>
        </w:rPr>
        <w:t>f</w:t>
      </w:r>
      <w:r>
        <w:rPr>
          <w:i w:val="0"/>
          <w:color w:val="auto"/>
        </w:rPr>
        <w:t>ec</w:t>
      </w:r>
      <w:r>
        <w:rPr>
          <w:i w:val="0"/>
          <w:color w:val="auto"/>
          <w:spacing w:val="-2"/>
        </w:rPr>
        <w:t>ţi</w:t>
      </w:r>
      <w:r>
        <w:rPr>
          <w:i w:val="0"/>
          <w:color w:val="auto"/>
        </w:rPr>
        <w:t>i</w:t>
      </w:r>
      <w:r>
        <w:rPr>
          <w:i w:val="0"/>
          <w:color w:val="auto"/>
          <w:spacing w:val="-2"/>
        </w:rPr>
        <w:t xml:space="preserve"> </w:t>
      </w:r>
      <w:r>
        <w:rPr>
          <w:i w:val="0"/>
          <w:color w:val="auto"/>
          <w:spacing w:val="-4"/>
        </w:rPr>
        <w:t>m</w:t>
      </w:r>
      <w:r>
        <w:rPr>
          <w:i w:val="0"/>
          <w:color w:val="auto"/>
          <w:spacing w:val="1"/>
        </w:rPr>
        <w:t>i</w:t>
      </w:r>
      <w:r>
        <w:rPr>
          <w:i w:val="0"/>
          <w:color w:val="auto"/>
        </w:rPr>
        <w:t>co</w:t>
      </w:r>
      <w:r>
        <w:rPr>
          <w:i w:val="0"/>
          <w:color w:val="auto"/>
          <w:spacing w:val="1"/>
        </w:rPr>
        <w:t>ti</w:t>
      </w:r>
      <w:r>
        <w:rPr>
          <w:i w:val="0"/>
          <w:color w:val="auto"/>
        </w:rPr>
        <w:t>ce</w:t>
      </w:r>
      <w:r>
        <w:rPr>
          <w:i w:val="0"/>
          <w:color w:val="auto"/>
          <w:spacing w:val="-2"/>
        </w:rPr>
        <w:t xml:space="preserve"> </w:t>
      </w:r>
      <w:r>
        <w:rPr>
          <w:i w:val="0"/>
          <w:color w:val="auto"/>
          <w:spacing w:val="1"/>
        </w:rPr>
        <w:t>i</w:t>
      </w:r>
      <w:r>
        <w:rPr>
          <w:i w:val="0"/>
          <w:color w:val="auto"/>
        </w:rPr>
        <w:t>n</w:t>
      </w:r>
      <w:r>
        <w:rPr>
          <w:i w:val="0"/>
          <w:color w:val="auto"/>
          <w:spacing w:val="-3"/>
        </w:rPr>
        <w:t>v</w:t>
      </w:r>
      <w:r>
        <w:rPr>
          <w:i w:val="0"/>
          <w:color w:val="auto"/>
        </w:rPr>
        <w:t>a</w:t>
      </w:r>
      <w:r>
        <w:rPr>
          <w:i w:val="0"/>
          <w:color w:val="auto"/>
          <w:spacing w:val="-3"/>
        </w:rPr>
        <w:t>z</w:t>
      </w:r>
      <w:r>
        <w:rPr>
          <w:i w:val="0"/>
          <w:color w:val="auto"/>
          <w:spacing w:val="1"/>
        </w:rPr>
        <w:t>i</w:t>
      </w:r>
      <w:r>
        <w:rPr>
          <w:i w:val="0"/>
          <w:color w:val="auto"/>
          <w:spacing w:val="-3"/>
        </w:rPr>
        <w:t>v</w:t>
      </w:r>
      <w:r>
        <w:rPr>
          <w:i w:val="0"/>
          <w:color w:val="auto"/>
        </w:rPr>
        <w:t xml:space="preserve">e, </w:t>
      </w:r>
      <w:r>
        <w:rPr>
          <w:i w:val="0"/>
          <w:color w:val="auto"/>
          <w:spacing w:val="1"/>
        </w:rPr>
        <w:t>l</w:t>
      </w:r>
      <w:r>
        <w:rPr>
          <w:i w:val="0"/>
          <w:color w:val="auto"/>
        </w:rPr>
        <w:t xml:space="preserve">a </w:t>
      </w:r>
      <w:r>
        <w:rPr>
          <w:i w:val="0"/>
          <w:color w:val="auto"/>
          <w:spacing w:val="-3"/>
        </w:rPr>
        <w:t>p</w:t>
      </w:r>
      <w:r>
        <w:rPr>
          <w:i w:val="0"/>
          <w:color w:val="auto"/>
        </w:rPr>
        <w:t>ac</w:t>
      </w:r>
      <w:r>
        <w:rPr>
          <w:i w:val="0"/>
          <w:color w:val="auto"/>
          <w:spacing w:val="-2"/>
        </w:rPr>
        <w:t>i</w:t>
      </w:r>
      <w:r>
        <w:rPr>
          <w:i w:val="0"/>
          <w:color w:val="auto"/>
        </w:rPr>
        <w:t>e</w:t>
      </w:r>
      <w:r>
        <w:rPr>
          <w:i w:val="0"/>
          <w:color w:val="auto"/>
          <w:spacing w:val="-3"/>
        </w:rPr>
        <w:t>n</w:t>
      </w:r>
      <w:r>
        <w:rPr>
          <w:i w:val="0"/>
          <w:color w:val="auto"/>
          <w:spacing w:val="1"/>
        </w:rPr>
        <w:t>ţ</w:t>
      </w:r>
      <w:r>
        <w:rPr>
          <w:i w:val="0"/>
          <w:color w:val="auto"/>
          <w:spacing w:val="-2"/>
        </w:rPr>
        <w:t>i</w:t>
      </w:r>
      <w:r>
        <w:rPr>
          <w:i w:val="0"/>
          <w:color w:val="auto"/>
        </w:rPr>
        <w:t>i</w:t>
      </w:r>
      <w:r>
        <w:rPr>
          <w:i w:val="0"/>
          <w:color w:val="auto"/>
          <w:spacing w:val="1"/>
        </w:rPr>
        <w:t xml:space="preserve"> </w:t>
      </w:r>
      <w:r>
        <w:rPr>
          <w:i w:val="0"/>
          <w:color w:val="auto"/>
        </w:rPr>
        <w:t>c</w:t>
      </w:r>
      <w:r>
        <w:rPr>
          <w:i w:val="0"/>
          <w:color w:val="auto"/>
          <w:spacing w:val="-2"/>
        </w:rPr>
        <w:t>a</w:t>
      </w:r>
      <w:r>
        <w:rPr>
          <w:i w:val="0"/>
          <w:color w:val="auto"/>
        </w:rPr>
        <w:t xml:space="preserve">re </w:t>
      </w:r>
      <w:r>
        <w:rPr>
          <w:i w:val="0"/>
          <w:color w:val="auto"/>
          <w:spacing w:val="-3"/>
        </w:rPr>
        <w:t>u</w:t>
      </w:r>
      <w:r>
        <w:rPr>
          <w:i w:val="0"/>
          <w:color w:val="auto"/>
          <w:spacing w:val="1"/>
        </w:rPr>
        <w:t>t</w:t>
      </w:r>
      <w:r>
        <w:rPr>
          <w:i w:val="0"/>
          <w:color w:val="auto"/>
          <w:spacing w:val="-2"/>
        </w:rPr>
        <w:t>i</w:t>
      </w:r>
      <w:r>
        <w:rPr>
          <w:i w:val="0"/>
          <w:color w:val="auto"/>
          <w:spacing w:val="1"/>
        </w:rPr>
        <w:t>li</w:t>
      </w:r>
      <w:r>
        <w:rPr>
          <w:i w:val="0"/>
          <w:color w:val="auto"/>
          <w:spacing w:val="-3"/>
        </w:rPr>
        <w:t>z</w:t>
      </w:r>
      <w:r>
        <w:rPr>
          <w:i w:val="0"/>
          <w:color w:val="auto"/>
        </w:rPr>
        <w:t>ea</w:t>
      </w:r>
      <w:r>
        <w:rPr>
          <w:i w:val="0"/>
          <w:color w:val="auto"/>
          <w:spacing w:val="-3"/>
        </w:rPr>
        <w:t>z</w:t>
      </w:r>
      <w:r>
        <w:rPr>
          <w:i w:val="0"/>
          <w:color w:val="auto"/>
        </w:rPr>
        <w:t xml:space="preserve">ă </w:t>
      </w:r>
      <w:r>
        <w:rPr>
          <w:i w:val="0"/>
          <w:color w:val="auto"/>
          <w:spacing w:val="-1"/>
        </w:rPr>
        <w:t>adalimumab</w:t>
      </w:r>
      <w:r>
        <w:rPr>
          <w:i w:val="0"/>
          <w:color w:val="auto"/>
        </w:rPr>
        <w:t xml:space="preserve">. </w:t>
      </w:r>
      <w:r>
        <w:rPr>
          <w:i w:val="0"/>
          <w:color w:val="auto"/>
          <w:spacing w:val="-1"/>
        </w:rPr>
        <w:t>A</w:t>
      </w:r>
      <w:r>
        <w:rPr>
          <w:i w:val="0"/>
          <w:color w:val="auto"/>
        </w:rPr>
        <w:t>ces</w:t>
      </w:r>
      <w:r>
        <w:rPr>
          <w:i w:val="0"/>
          <w:color w:val="auto"/>
          <w:spacing w:val="-2"/>
        </w:rPr>
        <w:t>t</w:t>
      </w:r>
      <w:r>
        <w:rPr>
          <w:i w:val="0"/>
          <w:color w:val="auto"/>
        </w:rPr>
        <w:t xml:space="preserve">e </w:t>
      </w:r>
      <w:r>
        <w:rPr>
          <w:i w:val="0"/>
          <w:color w:val="auto"/>
          <w:spacing w:val="1"/>
        </w:rPr>
        <w:t>i</w:t>
      </w:r>
      <w:r>
        <w:rPr>
          <w:i w:val="0"/>
          <w:color w:val="auto"/>
          <w:spacing w:val="-3"/>
        </w:rPr>
        <w:t>n</w:t>
      </w:r>
      <w:r>
        <w:rPr>
          <w:i w:val="0"/>
          <w:color w:val="auto"/>
        </w:rPr>
        <w:t>f</w:t>
      </w:r>
      <w:r>
        <w:rPr>
          <w:i w:val="0"/>
          <w:color w:val="auto"/>
          <w:spacing w:val="-3"/>
        </w:rPr>
        <w:t>e</w:t>
      </w:r>
      <w:r>
        <w:rPr>
          <w:i w:val="0"/>
          <w:color w:val="auto"/>
        </w:rPr>
        <w:t>c</w:t>
      </w:r>
      <w:r>
        <w:rPr>
          <w:i w:val="0"/>
          <w:color w:val="auto"/>
          <w:spacing w:val="-2"/>
        </w:rPr>
        <w:t>ţ</w:t>
      </w:r>
      <w:r>
        <w:rPr>
          <w:i w:val="0"/>
          <w:color w:val="auto"/>
          <w:spacing w:val="1"/>
        </w:rPr>
        <w:t>i</w:t>
      </w:r>
      <w:r>
        <w:rPr>
          <w:i w:val="0"/>
          <w:color w:val="auto"/>
        </w:rPr>
        <w:t>i</w:t>
      </w:r>
      <w:r>
        <w:rPr>
          <w:i w:val="0"/>
          <w:color w:val="auto"/>
          <w:spacing w:val="1"/>
        </w:rPr>
        <w:t xml:space="preserve"> </w:t>
      </w:r>
      <w:r>
        <w:rPr>
          <w:i w:val="0"/>
          <w:color w:val="auto"/>
          <w:spacing w:val="-3"/>
        </w:rPr>
        <w:t>n</w:t>
      </w:r>
      <w:r>
        <w:rPr>
          <w:i w:val="0"/>
          <w:color w:val="auto"/>
        </w:rPr>
        <w:t>u</w:t>
      </w:r>
      <w:r>
        <w:rPr>
          <w:i w:val="0"/>
          <w:color w:val="auto"/>
          <w:spacing w:val="-3"/>
        </w:rPr>
        <w:t xml:space="preserve"> </w:t>
      </w:r>
      <w:r>
        <w:rPr>
          <w:i w:val="0"/>
          <w:color w:val="auto"/>
        </w:rPr>
        <w:t>sunt</w:t>
      </w:r>
      <w:r>
        <w:rPr>
          <w:i w:val="0"/>
          <w:color w:val="auto"/>
          <w:spacing w:val="-2"/>
        </w:rPr>
        <w:t xml:space="preserve"> </w:t>
      </w:r>
      <w:r>
        <w:rPr>
          <w:i w:val="0"/>
          <w:color w:val="auto"/>
          <w:spacing w:val="1"/>
        </w:rPr>
        <w:t>î</w:t>
      </w:r>
      <w:r>
        <w:rPr>
          <w:i w:val="0"/>
          <w:color w:val="auto"/>
        </w:rPr>
        <w:t>n</w:t>
      </w:r>
      <w:r>
        <w:rPr>
          <w:i w:val="0"/>
          <w:color w:val="auto"/>
          <w:spacing w:val="-2"/>
        </w:rPr>
        <w:t>t</w:t>
      </w:r>
      <w:r>
        <w:rPr>
          <w:i w:val="0"/>
          <w:color w:val="auto"/>
        </w:rPr>
        <w:t>o</w:t>
      </w:r>
      <w:r>
        <w:rPr>
          <w:i w:val="0"/>
          <w:color w:val="auto"/>
          <w:spacing w:val="1"/>
        </w:rPr>
        <w:t>t</w:t>
      </w:r>
      <w:r>
        <w:rPr>
          <w:i w:val="0"/>
          <w:color w:val="auto"/>
          <w:spacing w:val="-3"/>
        </w:rPr>
        <w:t>d</w:t>
      </w:r>
      <w:r>
        <w:rPr>
          <w:i w:val="0"/>
          <w:color w:val="auto"/>
        </w:rPr>
        <w:t>eau</w:t>
      </w:r>
      <w:r>
        <w:rPr>
          <w:i w:val="0"/>
          <w:color w:val="auto"/>
          <w:spacing w:val="-3"/>
        </w:rPr>
        <w:t>n</w:t>
      </w:r>
      <w:r>
        <w:rPr>
          <w:i w:val="0"/>
          <w:color w:val="auto"/>
        </w:rPr>
        <w:t>a r</w:t>
      </w:r>
      <w:r>
        <w:rPr>
          <w:i w:val="0"/>
          <w:color w:val="auto"/>
          <w:spacing w:val="-3"/>
        </w:rPr>
        <w:t>e</w:t>
      </w:r>
      <w:r>
        <w:rPr>
          <w:i w:val="0"/>
          <w:color w:val="auto"/>
        </w:rPr>
        <w:t>cun</w:t>
      </w:r>
      <w:r>
        <w:rPr>
          <w:i w:val="0"/>
          <w:color w:val="auto"/>
          <w:spacing w:val="-3"/>
        </w:rPr>
        <w:t>o</w:t>
      </w:r>
      <w:r>
        <w:rPr>
          <w:i w:val="0"/>
          <w:color w:val="auto"/>
        </w:rPr>
        <w:t>sc</w:t>
      </w:r>
      <w:r>
        <w:rPr>
          <w:i w:val="0"/>
          <w:color w:val="auto"/>
          <w:spacing w:val="-3"/>
        </w:rPr>
        <w:t>u</w:t>
      </w:r>
      <w:r>
        <w:rPr>
          <w:i w:val="0"/>
          <w:color w:val="auto"/>
          <w:spacing w:val="-2"/>
        </w:rPr>
        <w:t>t</w:t>
      </w:r>
      <w:r>
        <w:rPr>
          <w:i w:val="0"/>
          <w:color w:val="auto"/>
        </w:rPr>
        <w:t xml:space="preserve">e </w:t>
      </w:r>
      <w:r>
        <w:rPr>
          <w:i w:val="0"/>
          <w:color w:val="auto"/>
          <w:spacing w:val="1"/>
        </w:rPr>
        <w:t>l</w:t>
      </w:r>
      <w:r>
        <w:rPr>
          <w:i w:val="0"/>
          <w:color w:val="auto"/>
        </w:rPr>
        <w:t xml:space="preserve">a </w:t>
      </w:r>
      <w:r>
        <w:rPr>
          <w:i w:val="0"/>
          <w:color w:val="auto"/>
          <w:spacing w:val="-3"/>
        </w:rPr>
        <w:t>p</w:t>
      </w:r>
      <w:r>
        <w:rPr>
          <w:i w:val="0"/>
          <w:color w:val="auto"/>
        </w:rPr>
        <w:t>a</w:t>
      </w:r>
      <w:r>
        <w:rPr>
          <w:i w:val="0"/>
          <w:color w:val="auto"/>
          <w:spacing w:val="-3"/>
        </w:rPr>
        <w:t>c</w:t>
      </w:r>
      <w:r>
        <w:rPr>
          <w:i w:val="0"/>
          <w:color w:val="auto"/>
          <w:spacing w:val="1"/>
        </w:rPr>
        <w:t>i</w:t>
      </w:r>
      <w:r>
        <w:rPr>
          <w:i w:val="0"/>
          <w:color w:val="auto"/>
        </w:rPr>
        <w:t>e</w:t>
      </w:r>
      <w:r>
        <w:rPr>
          <w:i w:val="0"/>
          <w:color w:val="auto"/>
          <w:spacing w:val="-3"/>
        </w:rPr>
        <w:t>n</w:t>
      </w:r>
      <w:r>
        <w:rPr>
          <w:i w:val="0"/>
          <w:color w:val="auto"/>
          <w:spacing w:val="1"/>
        </w:rPr>
        <w:t>ţ</w:t>
      </w:r>
      <w:r>
        <w:rPr>
          <w:i w:val="0"/>
          <w:color w:val="auto"/>
          <w:spacing w:val="-2"/>
        </w:rPr>
        <w:t>i</w:t>
      </w:r>
      <w:r>
        <w:rPr>
          <w:i w:val="0"/>
          <w:color w:val="auto"/>
        </w:rPr>
        <w:t>i</w:t>
      </w:r>
      <w:r>
        <w:rPr>
          <w:i w:val="0"/>
          <w:color w:val="auto"/>
          <w:spacing w:val="1"/>
        </w:rPr>
        <w:t xml:space="preserve"> </w:t>
      </w:r>
      <w:r>
        <w:rPr>
          <w:i w:val="0"/>
          <w:color w:val="auto"/>
        </w:rPr>
        <w:t>c</w:t>
      </w:r>
      <w:r>
        <w:rPr>
          <w:i w:val="0"/>
          <w:color w:val="auto"/>
          <w:spacing w:val="-3"/>
        </w:rPr>
        <w:t>a</w:t>
      </w:r>
      <w:r>
        <w:rPr>
          <w:i w:val="0"/>
          <w:color w:val="auto"/>
        </w:rPr>
        <w:t xml:space="preserve">re </w:t>
      </w:r>
      <w:r>
        <w:rPr>
          <w:i w:val="0"/>
          <w:color w:val="auto"/>
          <w:spacing w:val="-3"/>
        </w:rPr>
        <w:t>u</w:t>
      </w:r>
      <w:r>
        <w:rPr>
          <w:i w:val="0"/>
          <w:color w:val="auto"/>
          <w:spacing w:val="1"/>
        </w:rPr>
        <w:t>t</w:t>
      </w:r>
      <w:r>
        <w:rPr>
          <w:i w:val="0"/>
          <w:color w:val="auto"/>
          <w:spacing w:val="-2"/>
        </w:rPr>
        <w:t>il</w:t>
      </w:r>
      <w:r>
        <w:rPr>
          <w:i w:val="0"/>
          <w:color w:val="auto"/>
          <w:spacing w:val="1"/>
        </w:rPr>
        <w:t>i</w:t>
      </w:r>
      <w:r>
        <w:rPr>
          <w:i w:val="0"/>
          <w:color w:val="auto"/>
          <w:spacing w:val="-3"/>
        </w:rPr>
        <w:t>z</w:t>
      </w:r>
      <w:r>
        <w:rPr>
          <w:i w:val="0"/>
          <w:color w:val="auto"/>
        </w:rPr>
        <w:t>ea</w:t>
      </w:r>
      <w:r>
        <w:rPr>
          <w:i w:val="0"/>
          <w:color w:val="auto"/>
          <w:spacing w:val="-3"/>
        </w:rPr>
        <w:t>z</w:t>
      </w:r>
      <w:r>
        <w:rPr>
          <w:i w:val="0"/>
          <w:color w:val="auto"/>
        </w:rPr>
        <w:t>ă an</w:t>
      </w:r>
      <w:r>
        <w:rPr>
          <w:i w:val="0"/>
          <w:color w:val="auto"/>
          <w:spacing w:val="1"/>
        </w:rPr>
        <w:t>t</w:t>
      </w:r>
      <w:r>
        <w:rPr>
          <w:i w:val="0"/>
          <w:color w:val="auto"/>
        </w:rPr>
        <w:t>a</w:t>
      </w:r>
      <w:r>
        <w:rPr>
          <w:i w:val="0"/>
          <w:color w:val="auto"/>
          <w:spacing w:val="-3"/>
        </w:rPr>
        <w:t>g</w:t>
      </w:r>
      <w:r>
        <w:rPr>
          <w:i w:val="0"/>
          <w:color w:val="auto"/>
        </w:rPr>
        <w:t>on</w:t>
      </w:r>
      <w:r>
        <w:rPr>
          <w:i w:val="0"/>
          <w:color w:val="auto"/>
          <w:spacing w:val="-2"/>
        </w:rPr>
        <w:t>i</w:t>
      </w:r>
      <w:r>
        <w:rPr>
          <w:i w:val="0"/>
          <w:color w:val="auto"/>
        </w:rPr>
        <w:t>ş</w:t>
      </w:r>
      <w:r>
        <w:rPr>
          <w:i w:val="0"/>
          <w:color w:val="auto"/>
          <w:spacing w:val="-2"/>
        </w:rPr>
        <w:t>t</w:t>
      </w:r>
      <w:r>
        <w:rPr>
          <w:i w:val="0"/>
          <w:color w:val="auto"/>
        </w:rPr>
        <w:t>i</w:t>
      </w:r>
      <w:r>
        <w:rPr>
          <w:i w:val="0"/>
          <w:color w:val="auto"/>
          <w:spacing w:val="-2"/>
        </w:rPr>
        <w:t xml:space="preserve"> </w:t>
      </w:r>
      <w:r>
        <w:rPr>
          <w:i w:val="0"/>
          <w:color w:val="auto"/>
          <w:spacing w:val="1"/>
        </w:rPr>
        <w:t>T</w:t>
      </w:r>
      <w:r>
        <w:rPr>
          <w:i w:val="0"/>
          <w:color w:val="auto"/>
          <w:spacing w:val="-1"/>
        </w:rPr>
        <w:t>N</w:t>
      </w:r>
      <w:r>
        <w:rPr>
          <w:i w:val="0"/>
          <w:color w:val="auto"/>
        </w:rPr>
        <w:t>F</w:t>
      </w:r>
      <w:r>
        <w:rPr>
          <w:i w:val="0"/>
          <w:color w:val="auto"/>
          <w:spacing w:val="-1"/>
        </w:rPr>
        <w:t xml:space="preserve"> </w:t>
      </w:r>
      <w:r>
        <w:rPr>
          <w:i w:val="0"/>
          <w:color w:val="auto"/>
          <w:spacing w:val="-2"/>
        </w:rPr>
        <w:t>ş</w:t>
      </w:r>
      <w:r>
        <w:rPr>
          <w:i w:val="0"/>
          <w:color w:val="auto"/>
        </w:rPr>
        <w:t>i ace</w:t>
      </w:r>
      <w:r>
        <w:rPr>
          <w:i w:val="0"/>
          <w:color w:val="auto"/>
          <w:spacing w:val="-2"/>
        </w:rPr>
        <w:t>s</w:t>
      </w:r>
      <w:r>
        <w:rPr>
          <w:i w:val="0"/>
          <w:color w:val="auto"/>
        </w:rPr>
        <w:t>t</w:t>
      </w:r>
      <w:r>
        <w:rPr>
          <w:i w:val="0"/>
          <w:color w:val="auto"/>
          <w:spacing w:val="1"/>
        </w:rPr>
        <w:t xml:space="preserve"> </w:t>
      </w:r>
      <w:r>
        <w:rPr>
          <w:i w:val="0"/>
          <w:color w:val="auto"/>
          <w:spacing w:val="-2"/>
        </w:rPr>
        <w:t>l</w:t>
      </w:r>
      <w:r>
        <w:rPr>
          <w:i w:val="0"/>
          <w:color w:val="auto"/>
        </w:rPr>
        <w:t>uc</w:t>
      </w:r>
      <w:r>
        <w:rPr>
          <w:i w:val="0"/>
          <w:color w:val="auto"/>
          <w:spacing w:val="-2"/>
        </w:rPr>
        <w:t>r</w:t>
      </w:r>
      <w:r>
        <w:rPr>
          <w:i w:val="0"/>
          <w:color w:val="auto"/>
        </w:rPr>
        <w:t>u a d</w:t>
      </w:r>
      <w:r>
        <w:rPr>
          <w:i w:val="0"/>
          <w:color w:val="auto"/>
          <w:spacing w:val="-3"/>
        </w:rPr>
        <w:t>u</w:t>
      </w:r>
      <w:r>
        <w:rPr>
          <w:i w:val="0"/>
          <w:color w:val="auto"/>
        </w:rPr>
        <w:t xml:space="preserve">s </w:t>
      </w:r>
      <w:r>
        <w:rPr>
          <w:i w:val="0"/>
          <w:color w:val="auto"/>
          <w:spacing w:val="-2"/>
        </w:rPr>
        <w:t>l</w:t>
      </w:r>
      <w:r>
        <w:rPr>
          <w:i w:val="0"/>
          <w:color w:val="auto"/>
        </w:rPr>
        <w:t xml:space="preserve">a </w:t>
      </w:r>
      <w:r>
        <w:rPr>
          <w:i w:val="0"/>
          <w:color w:val="auto"/>
          <w:spacing w:val="1"/>
        </w:rPr>
        <w:t>î</w:t>
      </w:r>
      <w:r>
        <w:rPr>
          <w:i w:val="0"/>
          <w:color w:val="auto"/>
          <w:spacing w:val="-3"/>
        </w:rPr>
        <w:t>n</w:t>
      </w:r>
      <w:r>
        <w:rPr>
          <w:i w:val="0"/>
          <w:color w:val="auto"/>
          <w:spacing w:val="1"/>
        </w:rPr>
        <w:t>t</w:t>
      </w:r>
      <w:r>
        <w:rPr>
          <w:i w:val="0"/>
          <w:color w:val="auto"/>
          <w:spacing w:val="-3"/>
        </w:rPr>
        <w:t>â</w:t>
      </w:r>
      <w:r>
        <w:rPr>
          <w:i w:val="0"/>
          <w:color w:val="auto"/>
        </w:rPr>
        <w:t>r</w:t>
      </w:r>
      <w:r>
        <w:rPr>
          <w:i w:val="0"/>
          <w:color w:val="auto"/>
          <w:spacing w:val="-3"/>
        </w:rPr>
        <w:t>z</w:t>
      </w:r>
      <w:r>
        <w:rPr>
          <w:i w:val="0"/>
          <w:color w:val="auto"/>
          <w:spacing w:val="1"/>
        </w:rPr>
        <w:t>i</w:t>
      </w:r>
      <w:r>
        <w:rPr>
          <w:i w:val="0"/>
          <w:color w:val="auto"/>
          <w:spacing w:val="-3"/>
        </w:rPr>
        <w:t>e</w:t>
      </w:r>
      <w:r>
        <w:rPr>
          <w:i w:val="0"/>
          <w:color w:val="auto"/>
        </w:rPr>
        <w:t>ri</w:t>
      </w:r>
      <w:r>
        <w:rPr>
          <w:i w:val="0"/>
          <w:color w:val="auto"/>
          <w:spacing w:val="-2"/>
        </w:rPr>
        <w:t xml:space="preserve"> </w:t>
      </w:r>
      <w:r>
        <w:rPr>
          <w:i w:val="0"/>
          <w:color w:val="auto"/>
          <w:spacing w:val="1"/>
        </w:rPr>
        <w:t>î</w:t>
      </w:r>
      <w:r>
        <w:rPr>
          <w:i w:val="0"/>
          <w:color w:val="auto"/>
        </w:rPr>
        <w:t>n ad</w:t>
      </w:r>
      <w:r>
        <w:rPr>
          <w:i w:val="0"/>
          <w:color w:val="auto"/>
          <w:spacing w:val="-4"/>
        </w:rPr>
        <w:t>m</w:t>
      </w:r>
      <w:r>
        <w:rPr>
          <w:i w:val="0"/>
          <w:color w:val="auto"/>
          <w:spacing w:val="1"/>
        </w:rPr>
        <w:t>i</w:t>
      </w:r>
      <w:r>
        <w:rPr>
          <w:i w:val="0"/>
          <w:color w:val="auto"/>
        </w:rPr>
        <w:t>n</w:t>
      </w:r>
      <w:r>
        <w:rPr>
          <w:i w:val="0"/>
          <w:color w:val="auto"/>
          <w:spacing w:val="-2"/>
        </w:rPr>
        <w:t>i</w:t>
      </w:r>
      <w:r>
        <w:rPr>
          <w:i w:val="0"/>
          <w:color w:val="auto"/>
        </w:rPr>
        <w:t>s</w:t>
      </w:r>
      <w:r>
        <w:rPr>
          <w:i w:val="0"/>
          <w:color w:val="auto"/>
          <w:spacing w:val="-2"/>
        </w:rPr>
        <w:t>t</w:t>
      </w:r>
      <w:r>
        <w:rPr>
          <w:i w:val="0"/>
          <w:color w:val="auto"/>
        </w:rPr>
        <w:t>ra</w:t>
      </w:r>
      <w:r>
        <w:rPr>
          <w:i w:val="0"/>
          <w:color w:val="auto"/>
          <w:spacing w:val="-2"/>
        </w:rPr>
        <w:t>r</w:t>
      </w:r>
      <w:r>
        <w:rPr>
          <w:i w:val="0"/>
          <w:color w:val="auto"/>
        </w:rPr>
        <w:t>ea</w:t>
      </w:r>
      <w:r>
        <w:rPr>
          <w:i w:val="0"/>
          <w:color w:val="auto"/>
          <w:spacing w:val="-2"/>
        </w:rPr>
        <w:t xml:space="preserve"> </w:t>
      </w:r>
      <w:r>
        <w:rPr>
          <w:i w:val="0"/>
          <w:color w:val="auto"/>
          <w:spacing w:val="1"/>
        </w:rPr>
        <w:t>t</w:t>
      </w:r>
      <w:r>
        <w:rPr>
          <w:i w:val="0"/>
          <w:color w:val="auto"/>
        </w:rPr>
        <w:t>r</w:t>
      </w:r>
      <w:r>
        <w:rPr>
          <w:i w:val="0"/>
          <w:color w:val="auto"/>
          <w:spacing w:val="-3"/>
        </w:rPr>
        <w:t>a</w:t>
      </w:r>
      <w:r>
        <w:rPr>
          <w:i w:val="0"/>
          <w:color w:val="auto"/>
          <w:spacing w:val="1"/>
        </w:rPr>
        <w:t>t</w:t>
      </w:r>
      <w:r>
        <w:rPr>
          <w:i w:val="0"/>
          <w:color w:val="auto"/>
        </w:rPr>
        <w:t>a</w:t>
      </w:r>
      <w:r>
        <w:rPr>
          <w:i w:val="0"/>
          <w:color w:val="auto"/>
          <w:spacing w:val="-4"/>
        </w:rPr>
        <w:t>m</w:t>
      </w:r>
      <w:r>
        <w:rPr>
          <w:i w:val="0"/>
          <w:color w:val="auto"/>
        </w:rPr>
        <w:t>en</w:t>
      </w:r>
      <w:r>
        <w:rPr>
          <w:i w:val="0"/>
          <w:color w:val="auto"/>
          <w:spacing w:val="1"/>
        </w:rPr>
        <w:t>t</w:t>
      </w:r>
      <w:r>
        <w:rPr>
          <w:i w:val="0"/>
          <w:color w:val="auto"/>
        </w:rPr>
        <w:t>u</w:t>
      </w:r>
      <w:r>
        <w:rPr>
          <w:i w:val="0"/>
          <w:color w:val="auto"/>
          <w:spacing w:val="1"/>
        </w:rPr>
        <w:t>l</w:t>
      </w:r>
      <w:r>
        <w:rPr>
          <w:i w:val="0"/>
          <w:color w:val="auto"/>
          <w:spacing w:val="-3"/>
        </w:rPr>
        <w:t>u</w:t>
      </w:r>
      <w:r>
        <w:rPr>
          <w:i w:val="0"/>
          <w:color w:val="auto"/>
        </w:rPr>
        <w:t>i</w:t>
      </w:r>
      <w:r>
        <w:rPr>
          <w:i w:val="0"/>
          <w:color w:val="auto"/>
          <w:spacing w:val="1"/>
        </w:rPr>
        <w:t xml:space="preserve"> </w:t>
      </w:r>
      <w:r>
        <w:rPr>
          <w:i w:val="0"/>
          <w:color w:val="auto"/>
        </w:rPr>
        <w:t>a</w:t>
      </w:r>
      <w:r>
        <w:rPr>
          <w:i w:val="0"/>
          <w:color w:val="auto"/>
          <w:spacing w:val="-3"/>
        </w:rPr>
        <w:t>d</w:t>
      </w:r>
      <w:r>
        <w:rPr>
          <w:i w:val="0"/>
          <w:color w:val="auto"/>
        </w:rPr>
        <w:t>ec</w:t>
      </w:r>
      <w:r>
        <w:rPr>
          <w:i w:val="0"/>
          <w:color w:val="auto"/>
          <w:spacing w:val="-3"/>
        </w:rPr>
        <w:t>v</w:t>
      </w:r>
      <w:r>
        <w:rPr>
          <w:i w:val="0"/>
          <w:color w:val="auto"/>
        </w:rPr>
        <w:t>a</w:t>
      </w:r>
      <w:r>
        <w:rPr>
          <w:i w:val="0"/>
          <w:color w:val="auto"/>
          <w:spacing w:val="1"/>
        </w:rPr>
        <w:t>t</w:t>
      </w:r>
      <w:r>
        <w:rPr>
          <w:i w:val="0"/>
          <w:color w:val="auto"/>
        </w:rPr>
        <w:t xml:space="preserve">, </w:t>
      </w:r>
      <w:r>
        <w:rPr>
          <w:i w:val="0"/>
          <w:color w:val="auto"/>
          <w:spacing w:val="-3"/>
        </w:rPr>
        <w:t>u</w:t>
      </w:r>
      <w:r>
        <w:rPr>
          <w:i w:val="0"/>
          <w:color w:val="auto"/>
        </w:rPr>
        <w:t>ne</w:t>
      </w:r>
      <w:r>
        <w:rPr>
          <w:i w:val="0"/>
          <w:color w:val="auto"/>
          <w:spacing w:val="-3"/>
        </w:rPr>
        <w:t>o</w:t>
      </w:r>
      <w:r>
        <w:rPr>
          <w:i w:val="0"/>
          <w:color w:val="auto"/>
        </w:rPr>
        <w:t>ri</w:t>
      </w:r>
      <w:r>
        <w:rPr>
          <w:i w:val="0"/>
          <w:color w:val="auto"/>
          <w:spacing w:val="1"/>
        </w:rPr>
        <w:t xml:space="preserve"> </w:t>
      </w:r>
      <w:r>
        <w:rPr>
          <w:i w:val="0"/>
          <w:color w:val="auto"/>
        </w:rPr>
        <w:t>a</w:t>
      </w:r>
      <w:r>
        <w:rPr>
          <w:i w:val="0"/>
          <w:color w:val="auto"/>
          <w:spacing w:val="-3"/>
        </w:rPr>
        <w:t>v</w:t>
      </w:r>
      <w:r>
        <w:rPr>
          <w:i w:val="0"/>
          <w:color w:val="auto"/>
        </w:rPr>
        <w:t>ând</w:t>
      </w:r>
      <w:r>
        <w:rPr>
          <w:i w:val="0"/>
          <w:color w:val="auto"/>
          <w:spacing w:val="-3"/>
        </w:rPr>
        <w:t xml:space="preserve"> </w:t>
      </w:r>
      <w:r>
        <w:rPr>
          <w:i w:val="0"/>
          <w:color w:val="auto"/>
        </w:rPr>
        <w:t>ca re</w:t>
      </w:r>
      <w:r>
        <w:rPr>
          <w:i w:val="0"/>
          <w:color w:val="auto"/>
          <w:spacing w:val="-3"/>
        </w:rPr>
        <w:t>z</w:t>
      </w:r>
      <w:r>
        <w:rPr>
          <w:i w:val="0"/>
          <w:color w:val="auto"/>
        </w:rPr>
        <w:t>u</w:t>
      </w:r>
      <w:r>
        <w:rPr>
          <w:i w:val="0"/>
          <w:color w:val="auto"/>
          <w:spacing w:val="-2"/>
        </w:rPr>
        <w:t>l</w:t>
      </w:r>
      <w:r>
        <w:rPr>
          <w:i w:val="0"/>
          <w:color w:val="auto"/>
          <w:spacing w:val="1"/>
        </w:rPr>
        <w:t>t</w:t>
      </w:r>
      <w:r>
        <w:rPr>
          <w:i w:val="0"/>
          <w:color w:val="auto"/>
          <w:spacing w:val="-3"/>
        </w:rPr>
        <w:t>a</w:t>
      </w:r>
      <w:r>
        <w:rPr>
          <w:i w:val="0"/>
          <w:color w:val="auto"/>
        </w:rPr>
        <w:t>t</w:t>
      </w:r>
      <w:r>
        <w:rPr>
          <w:i w:val="0"/>
          <w:color w:val="auto"/>
          <w:spacing w:val="1"/>
        </w:rPr>
        <w:t xml:space="preserve"> </w:t>
      </w:r>
      <w:r>
        <w:rPr>
          <w:i w:val="0"/>
          <w:color w:val="auto"/>
        </w:rPr>
        <w:t>d</w:t>
      </w:r>
      <w:r>
        <w:rPr>
          <w:i w:val="0"/>
          <w:color w:val="auto"/>
          <w:spacing w:val="-3"/>
        </w:rPr>
        <w:t>e</w:t>
      </w:r>
      <w:r>
        <w:rPr>
          <w:i w:val="0"/>
          <w:color w:val="auto"/>
        </w:rPr>
        <w:t>ce</w:t>
      </w:r>
      <w:r>
        <w:rPr>
          <w:i w:val="0"/>
          <w:color w:val="auto"/>
          <w:spacing w:val="-2"/>
        </w:rPr>
        <w:t>s</w:t>
      </w:r>
      <w:r>
        <w:rPr>
          <w:i w:val="0"/>
          <w:color w:val="auto"/>
        </w:rPr>
        <w:t>u</w:t>
      </w:r>
      <w:r>
        <w:rPr>
          <w:i w:val="0"/>
          <w:color w:val="auto"/>
          <w:spacing w:val="1"/>
        </w:rPr>
        <w:t>l</w:t>
      </w:r>
      <w:r>
        <w:rPr>
          <w:i w:val="0"/>
          <w:color w:val="auto"/>
        </w:rPr>
        <w:t>.</w:t>
      </w:r>
    </w:p>
    <w:p w14:paraId="0B1EB0F2" w14:textId="77777777" w:rsidR="00C04CAD" w:rsidRDefault="00C04CAD">
      <w:pPr>
        <w:kinsoku w:val="0"/>
        <w:overflowPunct w:val="0"/>
        <w:spacing w:line="240" w:lineRule="auto"/>
      </w:pPr>
    </w:p>
    <w:p w14:paraId="3376ED76" w14:textId="77777777" w:rsidR="00C04CAD" w:rsidRDefault="00060E34">
      <w:pPr>
        <w:spacing w:line="240" w:lineRule="auto"/>
      </w:pPr>
      <w:r>
        <w:rPr>
          <w:spacing w:val="1"/>
        </w:rPr>
        <w:t>T</w:t>
      </w:r>
      <w:r>
        <w:rPr>
          <w:spacing w:val="-2"/>
        </w:rPr>
        <w:t>r</w:t>
      </w:r>
      <w:r>
        <w:t>eb</w:t>
      </w:r>
      <w:r>
        <w:rPr>
          <w:spacing w:val="-3"/>
        </w:rPr>
        <w:t>u</w:t>
      </w:r>
      <w:r>
        <w:rPr>
          <w:spacing w:val="1"/>
        </w:rPr>
        <w:t>i</w:t>
      </w:r>
      <w:r>
        <w:t xml:space="preserve">e </w:t>
      </w:r>
      <w:r>
        <w:rPr>
          <w:spacing w:val="-2"/>
        </w:rPr>
        <w:t>s</w:t>
      </w:r>
      <w:r>
        <w:t>usp</w:t>
      </w:r>
      <w:r>
        <w:rPr>
          <w:spacing w:val="-3"/>
        </w:rPr>
        <w:t>e</w:t>
      </w:r>
      <w:r>
        <w:t>c</w:t>
      </w:r>
      <w:r>
        <w:rPr>
          <w:spacing w:val="1"/>
        </w:rPr>
        <w:t>t</w:t>
      </w:r>
      <w:r>
        <w:rPr>
          <w:spacing w:val="-3"/>
        </w:rPr>
        <w:t>a</w:t>
      </w:r>
      <w:r>
        <w:rPr>
          <w:spacing w:val="1"/>
        </w:rPr>
        <w:t>t</w:t>
      </w:r>
      <w:r>
        <w:t>ă</w:t>
      </w:r>
      <w:r>
        <w:rPr>
          <w:spacing w:val="-2"/>
        </w:rPr>
        <w:t xml:space="preserve"> </w:t>
      </w:r>
      <w:r>
        <w:t xml:space="preserve">o </w:t>
      </w:r>
      <w:r>
        <w:rPr>
          <w:spacing w:val="1"/>
        </w:rPr>
        <w:t>i</w:t>
      </w:r>
      <w:r>
        <w:rPr>
          <w:spacing w:val="-3"/>
        </w:rPr>
        <w:t>n</w:t>
      </w:r>
      <w:r>
        <w:t>fe</w:t>
      </w:r>
      <w:r>
        <w:rPr>
          <w:spacing w:val="-3"/>
        </w:rPr>
        <w:t>c</w:t>
      </w:r>
      <w:r>
        <w:rPr>
          <w:spacing w:val="1"/>
        </w:rPr>
        <w:t>ţ</w:t>
      </w:r>
      <w:r>
        <w:rPr>
          <w:spacing w:val="-2"/>
        </w:rPr>
        <w:t>i</w:t>
      </w:r>
      <w:r>
        <w:t xml:space="preserve">e </w:t>
      </w:r>
      <w:r>
        <w:rPr>
          <w:spacing w:val="-4"/>
        </w:rPr>
        <w:t>m</w:t>
      </w:r>
      <w:r>
        <w:rPr>
          <w:spacing w:val="1"/>
        </w:rPr>
        <w:t>i</w:t>
      </w:r>
      <w:r>
        <w:t>co</w:t>
      </w:r>
      <w:r>
        <w:rPr>
          <w:spacing w:val="1"/>
        </w:rPr>
        <w:t>ti</w:t>
      </w:r>
      <w:r>
        <w:rPr>
          <w:spacing w:val="-3"/>
        </w:rPr>
        <w:t>c</w:t>
      </w:r>
      <w:r>
        <w:t xml:space="preserve">ă </w:t>
      </w:r>
      <w:r>
        <w:rPr>
          <w:spacing w:val="-2"/>
        </w:rPr>
        <w:t>i</w:t>
      </w:r>
      <w:r>
        <w:t>n</w:t>
      </w:r>
      <w:r>
        <w:rPr>
          <w:spacing w:val="-3"/>
        </w:rPr>
        <w:t>v</w:t>
      </w:r>
      <w:r>
        <w:t>a</w:t>
      </w:r>
      <w:r>
        <w:rPr>
          <w:spacing w:val="-3"/>
        </w:rPr>
        <w:t>z</w:t>
      </w:r>
      <w:r>
        <w:rPr>
          <w:spacing w:val="1"/>
        </w:rPr>
        <w:t>i</w:t>
      </w:r>
      <w:r>
        <w:rPr>
          <w:spacing w:val="-3"/>
        </w:rPr>
        <w:t>v</w:t>
      </w:r>
      <w:r>
        <w:t xml:space="preserve">ă </w:t>
      </w:r>
      <w:r>
        <w:rPr>
          <w:spacing w:val="1"/>
        </w:rPr>
        <w:t>î</w:t>
      </w:r>
      <w:r>
        <w:t>n ca</w:t>
      </w:r>
      <w:r>
        <w:rPr>
          <w:spacing w:val="-3"/>
        </w:rPr>
        <w:t>z</w:t>
      </w:r>
      <w:r>
        <w:t>ul</w:t>
      </w:r>
      <w:r>
        <w:rPr>
          <w:spacing w:val="-2"/>
        </w:rPr>
        <w:t xml:space="preserve"> </w:t>
      </w:r>
      <w:r>
        <w:t>pac</w:t>
      </w:r>
      <w:r>
        <w:rPr>
          <w:spacing w:val="-2"/>
        </w:rPr>
        <w:t>i</w:t>
      </w:r>
      <w:r>
        <w:t>en</w:t>
      </w:r>
      <w:r>
        <w:rPr>
          <w:spacing w:val="-2"/>
        </w:rPr>
        <w:t>ţ</w:t>
      </w:r>
      <w:r>
        <w:rPr>
          <w:spacing w:val="1"/>
        </w:rPr>
        <w:t>i</w:t>
      </w:r>
      <w:r>
        <w:rPr>
          <w:spacing w:val="-2"/>
        </w:rPr>
        <w:t>l</w:t>
      </w:r>
      <w:r>
        <w:t>or</w:t>
      </w:r>
      <w:r>
        <w:rPr>
          <w:spacing w:val="1"/>
        </w:rPr>
        <w:t xml:space="preserve"> </w:t>
      </w:r>
      <w:r>
        <w:rPr>
          <w:spacing w:val="-3"/>
        </w:rPr>
        <w:t>c</w:t>
      </w:r>
      <w:r>
        <w:t>a</w:t>
      </w:r>
      <w:r>
        <w:rPr>
          <w:spacing w:val="-2"/>
        </w:rPr>
        <w:t>r</w:t>
      </w:r>
      <w:r>
        <w:t>e p</w:t>
      </w:r>
      <w:r>
        <w:rPr>
          <w:spacing w:val="-2"/>
        </w:rPr>
        <w:t>r</w:t>
      </w:r>
      <w:r>
        <w:t>e</w:t>
      </w:r>
      <w:r>
        <w:rPr>
          <w:spacing w:val="-3"/>
        </w:rPr>
        <w:t>z</w:t>
      </w:r>
      <w:r>
        <w:rPr>
          <w:spacing w:val="1"/>
        </w:rPr>
        <w:t>i</w:t>
      </w:r>
      <w:r>
        <w:t>n</w:t>
      </w:r>
      <w:r>
        <w:rPr>
          <w:spacing w:val="1"/>
        </w:rPr>
        <w:t>t</w:t>
      </w:r>
      <w:r>
        <w:t>ă</w:t>
      </w:r>
      <w:r>
        <w:rPr>
          <w:spacing w:val="-2"/>
        </w:rPr>
        <w:t xml:space="preserve"> </w:t>
      </w:r>
      <w:r>
        <w:t>s</w:t>
      </w:r>
      <w:r>
        <w:rPr>
          <w:spacing w:val="-3"/>
        </w:rPr>
        <w:t>e</w:t>
      </w:r>
      <w:r>
        <w:rPr>
          <w:spacing w:val="-4"/>
        </w:rPr>
        <w:t>m</w:t>
      </w:r>
      <w:r>
        <w:t>ne şi</w:t>
      </w:r>
      <w:r>
        <w:rPr>
          <w:spacing w:val="1"/>
        </w:rPr>
        <w:t xml:space="preserve"> </w:t>
      </w:r>
      <w:r>
        <w:t>s</w:t>
      </w:r>
      <w:r>
        <w:rPr>
          <w:spacing w:val="1"/>
        </w:rPr>
        <w:t>i</w:t>
      </w:r>
      <w:r>
        <w:rPr>
          <w:spacing w:val="-4"/>
        </w:rPr>
        <w:t>m</w:t>
      </w:r>
      <w:r>
        <w:t>p</w:t>
      </w:r>
      <w:r>
        <w:rPr>
          <w:spacing w:val="1"/>
        </w:rPr>
        <w:t>t</w:t>
      </w:r>
      <w:r>
        <w:t>o</w:t>
      </w:r>
      <w:r>
        <w:rPr>
          <w:spacing w:val="-4"/>
        </w:rPr>
        <w:t>m</w:t>
      </w:r>
      <w:r>
        <w:t>e cum</w:t>
      </w:r>
      <w:r>
        <w:rPr>
          <w:spacing w:val="-4"/>
        </w:rPr>
        <w:t xml:space="preserve"> </w:t>
      </w:r>
      <w:r>
        <w:t>sunt</w:t>
      </w:r>
      <w:r>
        <w:rPr>
          <w:spacing w:val="1"/>
        </w:rPr>
        <w:t xml:space="preserve"> </w:t>
      </w:r>
      <w:r>
        <w:t>fe</w:t>
      </w:r>
      <w:r>
        <w:rPr>
          <w:spacing w:val="-3"/>
        </w:rPr>
        <w:t>b</w:t>
      </w:r>
      <w:r>
        <w:t>ră,</w:t>
      </w:r>
      <w:r>
        <w:rPr>
          <w:spacing w:val="-3"/>
        </w:rPr>
        <w:t xml:space="preserve"> </w:t>
      </w:r>
      <w:r>
        <w:t>s</w:t>
      </w:r>
      <w:r>
        <w:rPr>
          <w:spacing w:val="-2"/>
        </w:rPr>
        <w:t>t</w:t>
      </w:r>
      <w:r>
        <w:t>are</w:t>
      </w:r>
      <w:r>
        <w:rPr>
          <w:spacing w:val="-2"/>
        </w:rPr>
        <w:t xml:space="preserve"> </w:t>
      </w:r>
      <w:r>
        <w:t xml:space="preserve">de </w:t>
      </w:r>
      <w:r>
        <w:rPr>
          <w:spacing w:val="-2"/>
        </w:rPr>
        <w:t>r</w:t>
      </w:r>
      <w:r>
        <w:t>ă</w:t>
      </w:r>
      <w:r>
        <w:rPr>
          <w:spacing w:val="-3"/>
        </w:rPr>
        <w:t>u</w:t>
      </w:r>
      <w:r>
        <w:t>, p</w:t>
      </w:r>
      <w:r>
        <w:rPr>
          <w:spacing w:val="1"/>
        </w:rPr>
        <w:t>i</w:t>
      </w:r>
      <w:r>
        <w:rPr>
          <w:spacing w:val="-3"/>
        </w:rPr>
        <w:t>e</w:t>
      </w:r>
      <w:r>
        <w:t>rd</w:t>
      </w:r>
      <w:r>
        <w:rPr>
          <w:spacing w:val="-3"/>
        </w:rPr>
        <w:t>e</w:t>
      </w:r>
      <w:r>
        <w:t>re</w:t>
      </w:r>
      <w:r>
        <w:rPr>
          <w:spacing w:val="-2"/>
        </w:rPr>
        <w:t xml:space="preserve"> </w:t>
      </w:r>
      <w:r>
        <w:rPr>
          <w:spacing w:val="1"/>
        </w:rPr>
        <w:t>î</w:t>
      </w:r>
      <w:r>
        <w:t xml:space="preserve">n </w:t>
      </w:r>
      <w:r>
        <w:rPr>
          <w:spacing w:val="-3"/>
        </w:rPr>
        <w:t>g</w:t>
      </w:r>
      <w:r>
        <w:t>reu</w:t>
      </w:r>
      <w:r>
        <w:rPr>
          <w:spacing w:val="-2"/>
        </w:rPr>
        <w:t>t</w:t>
      </w:r>
      <w:r>
        <w:t>a</w:t>
      </w:r>
      <w:r>
        <w:rPr>
          <w:spacing w:val="-2"/>
        </w:rPr>
        <w:t>t</w:t>
      </w:r>
      <w:r>
        <w:t xml:space="preserve">e, </w:t>
      </w:r>
      <w:r>
        <w:rPr>
          <w:spacing w:val="-2"/>
        </w:rPr>
        <w:t>t</w:t>
      </w:r>
      <w:r>
        <w:t>ra</w:t>
      </w:r>
      <w:r>
        <w:rPr>
          <w:spacing w:val="-3"/>
        </w:rPr>
        <w:t>n</w:t>
      </w:r>
      <w:r>
        <w:rPr>
          <w:spacing w:val="-2"/>
        </w:rPr>
        <w:t>s</w:t>
      </w:r>
      <w:r>
        <w:t>p</w:t>
      </w:r>
      <w:r>
        <w:rPr>
          <w:spacing w:val="1"/>
        </w:rPr>
        <w:t>i</w:t>
      </w:r>
      <w:r>
        <w:t>r</w:t>
      </w:r>
      <w:r>
        <w:rPr>
          <w:spacing w:val="-3"/>
        </w:rPr>
        <w:t>a</w:t>
      </w:r>
      <w:r>
        <w:rPr>
          <w:spacing w:val="-2"/>
        </w:rPr>
        <w:t>ţ</w:t>
      </w:r>
      <w:r>
        <w:rPr>
          <w:spacing w:val="1"/>
        </w:rPr>
        <w:t>ii</w:t>
      </w:r>
      <w:r>
        <w:t>,</w:t>
      </w:r>
      <w:r>
        <w:rPr>
          <w:spacing w:val="-3"/>
        </w:rPr>
        <w:t xml:space="preserve"> </w:t>
      </w:r>
      <w:r>
        <w:rPr>
          <w:spacing w:val="1"/>
        </w:rPr>
        <w:t>t</w:t>
      </w:r>
      <w:r>
        <w:t>u</w:t>
      </w:r>
      <w:r>
        <w:rPr>
          <w:spacing w:val="-2"/>
        </w:rPr>
        <w:t>s</w:t>
      </w:r>
      <w:r>
        <w:t>e, d</w:t>
      </w:r>
      <w:r>
        <w:rPr>
          <w:spacing w:val="-2"/>
        </w:rPr>
        <w:t>i</w:t>
      </w:r>
      <w:r>
        <w:t>spn</w:t>
      </w:r>
      <w:r>
        <w:rPr>
          <w:spacing w:val="-3"/>
        </w:rPr>
        <w:t>e</w:t>
      </w:r>
      <w:r>
        <w:t xml:space="preserve">e </w:t>
      </w:r>
      <w:r>
        <w:rPr>
          <w:spacing w:val="-2"/>
        </w:rPr>
        <w:t>ş</w:t>
      </w:r>
      <w:r>
        <w:rPr>
          <w:spacing w:val="1"/>
        </w:rPr>
        <w:t>i/</w:t>
      </w:r>
      <w:r>
        <w:rPr>
          <w:spacing w:val="-2"/>
        </w:rPr>
        <w:t>s</w:t>
      </w:r>
      <w:r>
        <w:t>au</w:t>
      </w:r>
      <w:r>
        <w:rPr>
          <w:spacing w:val="-3"/>
        </w:rPr>
        <w:t xml:space="preserve"> </w:t>
      </w:r>
      <w:r>
        <w:rPr>
          <w:spacing w:val="-2"/>
        </w:rPr>
        <w:t>i</w:t>
      </w:r>
      <w:r>
        <w:t>nf</w:t>
      </w:r>
      <w:r>
        <w:rPr>
          <w:spacing w:val="-2"/>
        </w:rPr>
        <w:t>i</w:t>
      </w:r>
      <w:r>
        <w:rPr>
          <w:spacing w:val="1"/>
        </w:rPr>
        <w:t>l</w:t>
      </w:r>
      <w:r>
        <w:rPr>
          <w:spacing w:val="-2"/>
        </w:rPr>
        <w:t>t</w:t>
      </w:r>
      <w:r>
        <w:t>r</w:t>
      </w:r>
      <w:r>
        <w:rPr>
          <w:spacing w:val="-3"/>
        </w:rPr>
        <w:t>a</w:t>
      </w:r>
      <w:r>
        <w:rPr>
          <w:spacing w:val="1"/>
        </w:rPr>
        <w:t>t</w:t>
      </w:r>
      <w:r>
        <w:t>e p</w:t>
      </w:r>
      <w:r>
        <w:rPr>
          <w:spacing w:val="-3"/>
        </w:rPr>
        <w:t>u</w:t>
      </w:r>
      <w:r>
        <w:rPr>
          <w:spacing w:val="1"/>
        </w:rPr>
        <w:t>l</w:t>
      </w:r>
      <w:r>
        <w:rPr>
          <w:spacing w:val="-4"/>
        </w:rPr>
        <w:t>m</w:t>
      </w:r>
      <w:r>
        <w:t xml:space="preserve">onare sau </w:t>
      </w:r>
      <w:r>
        <w:rPr>
          <w:spacing w:val="-3"/>
        </w:rPr>
        <w:t>a</w:t>
      </w:r>
      <w:r>
        <w:rPr>
          <w:spacing w:val="1"/>
        </w:rPr>
        <w:t>l</w:t>
      </w:r>
      <w:r>
        <w:rPr>
          <w:spacing w:val="-2"/>
        </w:rPr>
        <w:t>t</w:t>
      </w:r>
      <w:r>
        <w:t>e bo</w:t>
      </w:r>
      <w:r>
        <w:rPr>
          <w:spacing w:val="-2"/>
        </w:rPr>
        <w:t>l</w:t>
      </w:r>
      <w:r>
        <w:t>i</w:t>
      </w:r>
      <w:r>
        <w:rPr>
          <w:spacing w:val="1"/>
        </w:rPr>
        <w:t xml:space="preserve"> </w:t>
      </w:r>
      <w:r>
        <w:rPr>
          <w:spacing w:val="-2"/>
        </w:rPr>
        <w:t>s</w:t>
      </w:r>
      <w:r>
        <w:rPr>
          <w:spacing w:val="1"/>
        </w:rPr>
        <w:t>i</w:t>
      </w:r>
      <w:r>
        <w:rPr>
          <w:spacing w:val="-2"/>
        </w:rPr>
        <w:t>s</w:t>
      </w:r>
      <w:r>
        <w:rPr>
          <w:spacing w:val="1"/>
        </w:rPr>
        <w:t>t</w:t>
      </w:r>
      <w:r>
        <w:t>e</w:t>
      </w:r>
      <w:r>
        <w:rPr>
          <w:spacing w:val="-4"/>
        </w:rPr>
        <w:t>m</w:t>
      </w:r>
      <w:r>
        <w:rPr>
          <w:spacing w:val="1"/>
        </w:rPr>
        <w:t>i</w:t>
      </w:r>
      <w:r>
        <w:t xml:space="preserve">ce </w:t>
      </w:r>
      <w:r>
        <w:rPr>
          <w:spacing w:val="-2"/>
        </w:rPr>
        <w:t>grave</w:t>
      </w:r>
      <w:r>
        <w:t xml:space="preserve"> </w:t>
      </w:r>
      <w:r>
        <w:rPr>
          <w:spacing w:val="1"/>
        </w:rPr>
        <w:t>î</w:t>
      </w:r>
      <w:r>
        <w:t>n</w:t>
      </w:r>
      <w:r>
        <w:rPr>
          <w:spacing w:val="-2"/>
        </w:rPr>
        <w:t>s</w:t>
      </w:r>
      <w:r>
        <w:t>o</w:t>
      </w:r>
      <w:r>
        <w:rPr>
          <w:spacing w:val="-2"/>
        </w:rPr>
        <w:t>ţ</w:t>
      </w:r>
      <w:r>
        <w:rPr>
          <w:spacing w:val="1"/>
        </w:rPr>
        <w:t>it</w:t>
      </w:r>
      <w:r>
        <w:t>e</w:t>
      </w:r>
      <w:r>
        <w:rPr>
          <w:spacing w:val="-2"/>
        </w:rPr>
        <w:t xml:space="preserve"> </w:t>
      </w:r>
      <w:r>
        <w:t>sau</w:t>
      </w:r>
      <w:r>
        <w:rPr>
          <w:spacing w:val="-3"/>
        </w:rPr>
        <w:t xml:space="preserve"> </w:t>
      </w:r>
      <w:r>
        <w:t>nu de</w:t>
      </w:r>
      <w:r>
        <w:rPr>
          <w:spacing w:val="-2"/>
        </w:rPr>
        <w:t xml:space="preserve"> </w:t>
      </w:r>
      <w:r>
        <w:t>şoc</w:t>
      </w:r>
      <w:r>
        <w:rPr>
          <w:spacing w:val="-2"/>
        </w:rPr>
        <w:t xml:space="preserve"> </w:t>
      </w:r>
      <w:r>
        <w:t>şi</w:t>
      </w:r>
      <w:r>
        <w:rPr>
          <w:spacing w:val="-2"/>
        </w:rPr>
        <w:t xml:space="preserve"> </w:t>
      </w:r>
      <w:r>
        <w:rPr>
          <w:spacing w:val="1"/>
        </w:rPr>
        <w:t>t</w:t>
      </w:r>
      <w:r>
        <w:rPr>
          <w:spacing w:val="-2"/>
        </w:rPr>
        <w:t>r</w:t>
      </w:r>
      <w:r>
        <w:t>ebu</w:t>
      </w:r>
      <w:r>
        <w:rPr>
          <w:spacing w:val="1"/>
        </w:rPr>
        <w:t>i</w:t>
      </w:r>
      <w:r>
        <w:t>e</w:t>
      </w:r>
      <w:r>
        <w:rPr>
          <w:spacing w:val="-2"/>
        </w:rPr>
        <w:t xml:space="preserve"> </w:t>
      </w:r>
      <w:r>
        <w:rPr>
          <w:spacing w:val="1"/>
        </w:rPr>
        <w:t>î</w:t>
      </w:r>
      <w:r>
        <w:rPr>
          <w:spacing w:val="-3"/>
        </w:rPr>
        <w:t>n</w:t>
      </w:r>
      <w:r>
        <w:rPr>
          <w:spacing w:val="1"/>
        </w:rPr>
        <w:t>t</w:t>
      </w:r>
      <w:r>
        <w:rPr>
          <w:spacing w:val="-2"/>
        </w:rPr>
        <w:t>r</w:t>
      </w:r>
      <w:r>
        <w:t>eru</w:t>
      </w:r>
      <w:r>
        <w:rPr>
          <w:spacing w:val="-3"/>
        </w:rPr>
        <w:t>p</w:t>
      </w:r>
      <w:r>
        <w:t>t</w:t>
      </w:r>
      <w:r>
        <w:rPr>
          <w:spacing w:val="-2"/>
        </w:rPr>
        <w:t xml:space="preserve"> </w:t>
      </w:r>
      <w:r>
        <w:rPr>
          <w:spacing w:val="1"/>
        </w:rPr>
        <w:t>i</w:t>
      </w:r>
      <w:r>
        <w:rPr>
          <w:spacing w:val="-4"/>
        </w:rPr>
        <w:t>m</w:t>
      </w:r>
      <w:r>
        <w:t>ed</w:t>
      </w:r>
      <w:r>
        <w:rPr>
          <w:spacing w:val="1"/>
        </w:rPr>
        <w:t>i</w:t>
      </w:r>
      <w:r>
        <w:t>at</w:t>
      </w:r>
      <w:r>
        <w:rPr>
          <w:spacing w:val="-2"/>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ul</w:t>
      </w:r>
      <w:r>
        <w:rPr>
          <w:spacing w:val="1"/>
        </w:rPr>
        <w:t xml:space="preserve"> </w:t>
      </w:r>
      <w:r>
        <w:t xml:space="preserve">cu </w:t>
      </w:r>
      <w:r>
        <w:rPr>
          <w:spacing w:val="-1"/>
        </w:rPr>
        <w:t>AMGEVITA</w:t>
      </w:r>
      <w:r>
        <w:t xml:space="preserve">. </w:t>
      </w:r>
      <w:r>
        <w:rPr>
          <w:spacing w:val="-1"/>
        </w:rPr>
        <w:t>L</w:t>
      </w:r>
      <w:r>
        <w:t>a ac</w:t>
      </w:r>
      <w:r>
        <w:rPr>
          <w:spacing w:val="-3"/>
        </w:rPr>
        <w:t>e</w:t>
      </w:r>
      <w:r>
        <w:t>ş</w:t>
      </w:r>
      <w:r>
        <w:rPr>
          <w:spacing w:val="-2"/>
        </w:rPr>
        <w:t>t</w:t>
      </w:r>
      <w:r>
        <w:t>i</w:t>
      </w:r>
      <w:r>
        <w:rPr>
          <w:spacing w:val="1"/>
        </w:rPr>
        <w:t xml:space="preserve"> </w:t>
      </w:r>
      <w:r>
        <w:t>p</w:t>
      </w:r>
      <w:r>
        <w:rPr>
          <w:spacing w:val="-3"/>
        </w:rPr>
        <w:t>a</w:t>
      </w:r>
      <w:r>
        <w:t>c</w:t>
      </w:r>
      <w:r>
        <w:rPr>
          <w:spacing w:val="1"/>
        </w:rPr>
        <w:t>i</w:t>
      </w:r>
      <w:r>
        <w:rPr>
          <w:spacing w:val="-3"/>
        </w:rPr>
        <w:t>e</w:t>
      </w:r>
      <w:r>
        <w:t>n</w:t>
      </w:r>
      <w:r>
        <w:rPr>
          <w:spacing w:val="-2"/>
        </w:rPr>
        <w:t>ţ</w:t>
      </w:r>
      <w:r>
        <w:rPr>
          <w:spacing w:val="1"/>
        </w:rPr>
        <w:t>i</w:t>
      </w:r>
      <w:r>
        <w:t>, d</w:t>
      </w:r>
      <w:r>
        <w:rPr>
          <w:spacing w:val="-2"/>
        </w:rPr>
        <w:t>i</w:t>
      </w:r>
      <w:r>
        <w:t>a</w:t>
      </w:r>
      <w:r>
        <w:rPr>
          <w:spacing w:val="-3"/>
        </w:rPr>
        <w:t>g</w:t>
      </w:r>
      <w:r>
        <w:t>nos</w:t>
      </w:r>
      <w:r>
        <w:rPr>
          <w:spacing w:val="-2"/>
        </w:rPr>
        <w:t>ti</w:t>
      </w:r>
      <w:r>
        <w:t>car</w:t>
      </w:r>
      <w:r>
        <w:rPr>
          <w:spacing w:val="-3"/>
        </w:rPr>
        <w:t>e</w:t>
      </w:r>
      <w:r>
        <w:t xml:space="preserve">a </w:t>
      </w:r>
      <w:r>
        <w:rPr>
          <w:spacing w:val="-2"/>
        </w:rPr>
        <w:t>ş</w:t>
      </w:r>
      <w:r>
        <w:t>i</w:t>
      </w:r>
      <w:r>
        <w:rPr>
          <w:spacing w:val="1"/>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w:t>
      </w:r>
      <w:r>
        <w:rPr>
          <w:spacing w:val="-2"/>
        </w:rPr>
        <w:t>r</w:t>
      </w:r>
      <w:r>
        <w:t>ea un</w:t>
      </w:r>
      <w:r>
        <w:rPr>
          <w:spacing w:val="-3"/>
        </w:rPr>
        <w:t>u</w:t>
      </w:r>
      <w:r>
        <w:t>i</w:t>
      </w:r>
      <w:r>
        <w:rPr>
          <w:spacing w:val="-2"/>
        </w:rPr>
        <w:t xml:space="preserve"> </w:t>
      </w:r>
      <w:r>
        <w:rPr>
          <w:spacing w:val="1"/>
        </w:rPr>
        <w:t>t</w:t>
      </w:r>
      <w:r>
        <w:t>r</w:t>
      </w:r>
      <w:r>
        <w:rPr>
          <w:spacing w:val="-3"/>
        </w:rPr>
        <w:t>a</w:t>
      </w:r>
      <w:r>
        <w:rPr>
          <w:spacing w:val="1"/>
        </w:rPr>
        <w:t>t</w:t>
      </w:r>
      <w:r>
        <w:t>a</w:t>
      </w:r>
      <w:r>
        <w:rPr>
          <w:spacing w:val="-4"/>
        </w:rPr>
        <w:t>m</w:t>
      </w:r>
      <w:r>
        <w:t>ent</w:t>
      </w:r>
      <w:r>
        <w:rPr>
          <w:spacing w:val="1"/>
        </w:rPr>
        <w:t xml:space="preserve"> </w:t>
      </w:r>
      <w:r>
        <w:t>e</w:t>
      </w:r>
      <w:r>
        <w:rPr>
          <w:spacing w:val="-4"/>
        </w:rPr>
        <w:t>m</w:t>
      </w:r>
      <w:r>
        <w:t>p</w:t>
      </w:r>
      <w:r>
        <w:rPr>
          <w:spacing w:val="1"/>
        </w:rPr>
        <w:t>i</w:t>
      </w:r>
      <w:r>
        <w:rPr>
          <w:spacing w:val="-2"/>
        </w:rPr>
        <w:t>r</w:t>
      </w:r>
      <w:r>
        <w:rPr>
          <w:spacing w:val="1"/>
        </w:rPr>
        <w:t>i</w:t>
      </w:r>
      <w:r>
        <w:t>c cu</w:t>
      </w:r>
      <w:r>
        <w:rPr>
          <w:spacing w:val="-3"/>
        </w:rPr>
        <w:t xml:space="preserve"> </w:t>
      </w:r>
      <w:r>
        <w:t>a</w:t>
      </w:r>
      <w:r>
        <w:rPr>
          <w:spacing w:val="-3"/>
        </w:rPr>
        <w:t>n</w:t>
      </w:r>
      <w:r>
        <w:rPr>
          <w:spacing w:val="1"/>
        </w:rPr>
        <w:t>ti</w:t>
      </w:r>
      <w:r>
        <w:rPr>
          <w:spacing w:val="-4"/>
        </w:rPr>
        <w:t>m</w:t>
      </w:r>
      <w:r>
        <w:rPr>
          <w:spacing w:val="1"/>
        </w:rPr>
        <w:t>i</w:t>
      </w:r>
      <w:r>
        <w:t>co</w:t>
      </w:r>
      <w:r>
        <w:rPr>
          <w:spacing w:val="-2"/>
        </w:rPr>
        <w:t>t</w:t>
      </w:r>
      <w:r>
        <w:rPr>
          <w:spacing w:val="1"/>
        </w:rPr>
        <w:t>i</w:t>
      </w:r>
      <w:r>
        <w:t>ce</w:t>
      </w:r>
      <w:r>
        <w:rPr>
          <w:spacing w:val="-2"/>
        </w:rPr>
        <w:t xml:space="preserve"> </w:t>
      </w:r>
      <w:r>
        <w:rPr>
          <w:spacing w:val="1"/>
        </w:rPr>
        <w:t>t</w:t>
      </w:r>
      <w:r>
        <w:rPr>
          <w:spacing w:val="-2"/>
        </w:rPr>
        <w:t>r</w:t>
      </w:r>
      <w:r>
        <w:t>e</w:t>
      </w:r>
      <w:r>
        <w:rPr>
          <w:spacing w:val="-1"/>
        </w:rPr>
        <w:t>b</w:t>
      </w:r>
      <w:r>
        <w:t>u</w:t>
      </w:r>
      <w:r>
        <w:rPr>
          <w:spacing w:val="-2"/>
        </w:rPr>
        <w:t>i</w:t>
      </w:r>
      <w:r>
        <w:t>e să</w:t>
      </w:r>
      <w:r>
        <w:rPr>
          <w:spacing w:val="-2"/>
        </w:rPr>
        <w:t xml:space="preserve"> </w:t>
      </w:r>
      <w:r>
        <w:t>se facă</w:t>
      </w:r>
      <w:r>
        <w:rPr>
          <w:spacing w:val="-2"/>
        </w:rPr>
        <w:t xml:space="preserve"> </w:t>
      </w:r>
      <w:r>
        <w:rPr>
          <w:spacing w:val="1"/>
        </w:rPr>
        <w:t>î</w:t>
      </w:r>
      <w:r>
        <w:t xml:space="preserve">n </w:t>
      </w:r>
      <w:r>
        <w:rPr>
          <w:spacing w:val="-3"/>
        </w:rPr>
        <w:t>u</w:t>
      </w:r>
      <w:r>
        <w:t>r</w:t>
      </w:r>
      <w:r>
        <w:rPr>
          <w:spacing w:val="-4"/>
        </w:rPr>
        <w:t>m</w:t>
      </w:r>
      <w:r>
        <w:t>a cons</w:t>
      </w:r>
      <w:r>
        <w:rPr>
          <w:spacing w:val="-3"/>
        </w:rPr>
        <w:t>u</w:t>
      </w:r>
      <w:r>
        <w:rPr>
          <w:spacing w:val="1"/>
        </w:rPr>
        <w:t>lt</w:t>
      </w:r>
      <w:r>
        <w:rPr>
          <w:spacing w:val="-3"/>
        </w:rPr>
        <w:t>u</w:t>
      </w:r>
      <w:r>
        <w:rPr>
          <w:spacing w:val="1"/>
        </w:rPr>
        <w:t>l</w:t>
      </w:r>
      <w:r>
        <w:rPr>
          <w:spacing w:val="-3"/>
        </w:rPr>
        <w:t>u</w:t>
      </w:r>
      <w:r>
        <w:t>i</w:t>
      </w:r>
      <w:r>
        <w:rPr>
          <w:spacing w:val="1"/>
        </w:rPr>
        <w:t xml:space="preserve"> </w:t>
      </w:r>
      <w:r>
        <w:t>u</w:t>
      </w:r>
      <w:r>
        <w:rPr>
          <w:spacing w:val="-3"/>
        </w:rPr>
        <w:t>n</w:t>
      </w:r>
      <w:r>
        <w:t>ui</w:t>
      </w:r>
      <w:r>
        <w:rPr>
          <w:spacing w:val="1"/>
        </w:rPr>
        <w:t xml:space="preserve"> </w:t>
      </w:r>
      <w:r>
        <w:rPr>
          <w:spacing w:val="-4"/>
        </w:rPr>
        <w:t>m</w:t>
      </w:r>
      <w:r>
        <w:t>ed</w:t>
      </w:r>
      <w:r>
        <w:rPr>
          <w:spacing w:val="1"/>
        </w:rPr>
        <w:t>i</w:t>
      </w:r>
      <w:r>
        <w:t>c cu</w:t>
      </w:r>
      <w:r>
        <w:rPr>
          <w:spacing w:val="-3"/>
        </w:rPr>
        <w:t xml:space="preserve"> </w:t>
      </w:r>
      <w:r>
        <w:t>exp</w:t>
      </w:r>
      <w:r>
        <w:rPr>
          <w:spacing w:val="-3"/>
        </w:rPr>
        <w:t>e</w:t>
      </w:r>
      <w:r>
        <w:t>r</w:t>
      </w:r>
      <w:r>
        <w:rPr>
          <w:spacing w:val="-2"/>
        </w:rPr>
        <w:t>t</w:t>
      </w:r>
      <w:r>
        <w:rPr>
          <w:spacing w:val="1"/>
        </w:rPr>
        <w:t>i</w:t>
      </w:r>
      <w:r>
        <w:rPr>
          <w:spacing w:val="-3"/>
        </w:rPr>
        <w:t>z</w:t>
      </w:r>
      <w:r>
        <w:t xml:space="preserve">ă </w:t>
      </w:r>
      <w:r>
        <w:rPr>
          <w:spacing w:val="1"/>
        </w:rPr>
        <w:t>î</w:t>
      </w:r>
      <w:r>
        <w:t>n</w:t>
      </w:r>
      <w:r>
        <w:rPr>
          <w:spacing w:val="-3"/>
        </w:rPr>
        <w:t xml:space="preserve"> </w:t>
      </w:r>
      <w:r>
        <w:rPr>
          <w:spacing w:val="1"/>
        </w:rPr>
        <w:t>î</w:t>
      </w:r>
      <w:r>
        <w:t>n</w:t>
      </w:r>
      <w:r>
        <w:rPr>
          <w:spacing w:val="-3"/>
        </w:rPr>
        <w:t>g</w:t>
      </w:r>
      <w:r>
        <w:t>r</w:t>
      </w:r>
      <w:r>
        <w:rPr>
          <w:spacing w:val="-2"/>
        </w:rPr>
        <w:t>i</w:t>
      </w:r>
      <w:r>
        <w:rPr>
          <w:spacing w:val="1"/>
        </w:rPr>
        <w:t>j</w:t>
      </w:r>
      <w:r>
        <w:rPr>
          <w:spacing w:val="-2"/>
        </w:rPr>
        <w:t>i</w:t>
      </w:r>
      <w:r>
        <w:t xml:space="preserve">rea </w:t>
      </w:r>
      <w:r>
        <w:rPr>
          <w:spacing w:val="-3"/>
        </w:rPr>
        <w:t>p</w:t>
      </w:r>
      <w:r>
        <w:t>a</w:t>
      </w:r>
      <w:r>
        <w:rPr>
          <w:spacing w:val="-3"/>
        </w:rPr>
        <w:t>c</w:t>
      </w:r>
      <w:r>
        <w:rPr>
          <w:spacing w:val="1"/>
        </w:rPr>
        <w:t>i</w:t>
      </w:r>
      <w:r>
        <w:t>e</w:t>
      </w:r>
      <w:r>
        <w:rPr>
          <w:spacing w:val="-3"/>
        </w:rPr>
        <w:t>n</w:t>
      </w:r>
      <w:r>
        <w:rPr>
          <w:spacing w:val="1"/>
        </w:rPr>
        <w:t>ţ</w:t>
      </w:r>
      <w:r>
        <w:rPr>
          <w:spacing w:val="-2"/>
        </w:rPr>
        <w:t>i</w:t>
      </w:r>
      <w:r>
        <w:rPr>
          <w:spacing w:val="1"/>
        </w:rPr>
        <w:t>l</w:t>
      </w:r>
      <w:r>
        <w:t>or</w:t>
      </w:r>
      <w:r>
        <w:rPr>
          <w:spacing w:val="-2"/>
        </w:rPr>
        <w:t xml:space="preserve"> </w:t>
      </w:r>
      <w:r>
        <w:t xml:space="preserve">cu </w:t>
      </w:r>
      <w:r>
        <w:rPr>
          <w:spacing w:val="-2"/>
        </w:rPr>
        <w:t>i</w:t>
      </w:r>
      <w:r>
        <w:t>nf</w:t>
      </w:r>
      <w:r>
        <w:rPr>
          <w:spacing w:val="-3"/>
        </w:rPr>
        <w:t>e</w:t>
      </w:r>
      <w:r>
        <w:t>c</w:t>
      </w:r>
      <w:r>
        <w:rPr>
          <w:spacing w:val="-2"/>
        </w:rPr>
        <w:t>ţi</w:t>
      </w:r>
      <w:r>
        <w:t>i</w:t>
      </w:r>
      <w:r>
        <w:rPr>
          <w:spacing w:val="1"/>
        </w:rPr>
        <w:t xml:space="preserve"> </w:t>
      </w:r>
      <w:r>
        <w:rPr>
          <w:spacing w:val="-4"/>
        </w:rPr>
        <w:t>m</w:t>
      </w:r>
      <w:r>
        <w:rPr>
          <w:spacing w:val="1"/>
        </w:rPr>
        <w:t>i</w:t>
      </w:r>
      <w:r>
        <w:t>co</w:t>
      </w:r>
      <w:r>
        <w:rPr>
          <w:spacing w:val="1"/>
        </w:rPr>
        <w:t>t</w:t>
      </w:r>
      <w:r>
        <w:rPr>
          <w:spacing w:val="-2"/>
        </w:rPr>
        <w:t>i</w:t>
      </w:r>
      <w:r>
        <w:t>ce</w:t>
      </w:r>
      <w:r>
        <w:rPr>
          <w:spacing w:val="-2"/>
        </w:rPr>
        <w:t xml:space="preserve"> </w:t>
      </w:r>
      <w:r>
        <w:rPr>
          <w:spacing w:val="1"/>
        </w:rPr>
        <w:t>i</w:t>
      </w:r>
      <w:r>
        <w:t>n</w:t>
      </w:r>
      <w:r>
        <w:rPr>
          <w:spacing w:val="-3"/>
        </w:rPr>
        <w:t>v</w:t>
      </w:r>
      <w:r>
        <w:t>a</w:t>
      </w:r>
      <w:r>
        <w:rPr>
          <w:spacing w:val="-3"/>
        </w:rPr>
        <w:t>z</w:t>
      </w:r>
      <w:r>
        <w:rPr>
          <w:spacing w:val="1"/>
        </w:rPr>
        <w:t>i</w:t>
      </w:r>
      <w:r>
        <w:rPr>
          <w:spacing w:val="-3"/>
        </w:rPr>
        <w:t>v</w:t>
      </w:r>
      <w:r>
        <w:t>e.</w:t>
      </w:r>
    </w:p>
    <w:p w14:paraId="74808E86" w14:textId="77777777" w:rsidR="00C04CAD" w:rsidRDefault="00C04CAD">
      <w:pPr>
        <w:spacing w:line="240" w:lineRule="auto"/>
        <w:rPr>
          <w:szCs w:val="22"/>
        </w:rPr>
      </w:pPr>
    </w:p>
    <w:p w14:paraId="02E88F8A" w14:textId="77777777" w:rsidR="00C04CAD" w:rsidRDefault="00060E34">
      <w:pPr>
        <w:pStyle w:val="BodyText"/>
        <w:kinsoku w:val="0"/>
        <w:overflowPunct w:val="0"/>
        <w:rPr>
          <w:i w:val="0"/>
          <w:color w:val="auto"/>
          <w:szCs w:val="22"/>
        </w:rPr>
      </w:pPr>
      <w:r>
        <w:rPr>
          <w:i w:val="0"/>
          <w:color w:val="auto"/>
          <w:spacing w:val="-1"/>
          <w:szCs w:val="22"/>
          <w:u w:val="single"/>
        </w:rPr>
        <w:t>R</w:t>
      </w:r>
      <w:r>
        <w:rPr>
          <w:i w:val="0"/>
          <w:color w:val="auto"/>
          <w:szCs w:val="22"/>
          <w:u w:val="single"/>
        </w:rPr>
        <w:t>eac</w:t>
      </w:r>
      <w:r>
        <w:rPr>
          <w:i w:val="0"/>
          <w:color w:val="auto"/>
          <w:spacing w:val="-2"/>
          <w:szCs w:val="22"/>
          <w:u w:val="single"/>
        </w:rPr>
        <w:t>t</w:t>
      </w:r>
      <w:r>
        <w:rPr>
          <w:i w:val="0"/>
          <w:color w:val="auto"/>
          <w:spacing w:val="1"/>
          <w:szCs w:val="22"/>
          <w:u w:val="single"/>
        </w:rPr>
        <w:t>i</w:t>
      </w:r>
      <w:r>
        <w:rPr>
          <w:i w:val="0"/>
          <w:color w:val="auto"/>
          <w:spacing w:val="-3"/>
          <w:szCs w:val="22"/>
          <w:u w:val="single"/>
        </w:rPr>
        <w:t>v</w:t>
      </w:r>
      <w:r>
        <w:rPr>
          <w:i w:val="0"/>
          <w:color w:val="auto"/>
          <w:szCs w:val="22"/>
          <w:u w:val="single"/>
        </w:rPr>
        <w:t>area</w:t>
      </w:r>
      <w:r>
        <w:rPr>
          <w:i w:val="0"/>
          <w:color w:val="auto"/>
          <w:spacing w:val="-3"/>
          <w:szCs w:val="22"/>
          <w:u w:val="single"/>
        </w:rPr>
        <w:t xml:space="preserve"> </w:t>
      </w:r>
      <w:r>
        <w:rPr>
          <w:i w:val="0"/>
          <w:color w:val="auto"/>
          <w:szCs w:val="22"/>
          <w:u w:val="single"/>
        </w:rPr>
        <w:t>he</w:t>
      </w:r>
      <w:r>
        <w:rPr>
          <w:i w:val="0"/>
          <w:color w:val="auto"/>
          <w:spacing w:val="-1"/>
          <w:szCs w:val="22"/>
          <w:u w:val="single"/>
        </w:rPr>
        <w:t>p</w:t>
      </w:r>
      <w:r>
        <w:rPr>
          <w:i w:val="0"/>
          <w:color w:val="auto"/>
          <w:spacing w:val="-3"/>
          <w:szCs w:val="22"/>
          <w:u w:val="single"/>
        </w:rPr>
        <w:t>a</w:t>
      </w:r>
      <w:r>
        <w:rPr>
          <w:i w:val="0"/>
          <w:color w:val="auto"/>
          <w:spacing w:val="-2"/>
          <w:szCs w:val="22"/>
          <w:u w:val="single"/>
        </w:rPr>
        <w:t>t</w:t>
      </w:r>
      <w:r>
        <w:rPr>
          <w:i w:val="0"/>
          <w:color w:val="auto"/>
          <w:spacing w:val="1"/>
          <w:szCs w:val="22"/>
          <w:u w:val="single"/>
        </w:rPr>
        <w:t>it</w:t>
      </w:r>
      <w:r>
        <w:rPr>
          <w:i w:val="0"/>
          <w:color w:val="auto"/>
          <w:spacing w:val="-3"/>
          <w:szCs w:val="22"/>
          <w:u w:val="single"/>
        </w:rPr>
        <w:t>e</w:t>
      </w:r>
      <w:r>
        <w:rPr>
          <w:i w:val="0"/>
          <w:color w:val="auto"/>
          <w:szCs w:val="22"/>
          <w:u w:val="single"/>
        </w:rPr>
        <w:t>i</w:t>
      </w:r>
      <w:r>
        <w:rPr>
          <w:i w:val="0"/>
          <w:color w:val="auto"/>
          <w:spacing w:val="1"/>
          <w:szCs w:val="22"/>
          <w:u w:val="single"/>
        </w:rPr>
        <w:t xml:space="preserve"> </w:t>
      </w:r>
      <w:r>
        <w:rPr>
          <w:i w:val="0"/>
          <w:color w:val="auto"/>
          <w:szCs w:val="22"/>
          <w:u w:val="single"/>
        </w:rPr>
        <w:t>B</w:t>
      </w:r>
    </w:p>
    <w:p w14:paraId="2ED74121" w14:textId="77777777" w:rsidR="00C04CAD" w:rsidRDefault="00C04CAD">
      <w:pPr>
        <w:kinsoku w:val="0"/>
        <w:overflowPunct w:val="0"/>
        <w:spacing w:line="240" w:lineRule="auto"/>
        <w:rPr>
          <w:szCs w:val="22"/>
        </w:rPr>
      </w:pPr>
    </w:p>
    <w:p w14:paraId="12EA57F9" w14:textId="77777777" w:rsidR="00C04CAD" w:rsidRDefault="00060E34">
      <w:pPr>
        <w:pStyle w:val="BodyText"/>
        <w:kinsoku w:val="0"/>
        <w:overflowPunct w:val="0"/>
        <w:rPr>
          <w:i w:val="0"/>
          <w:color w:val="auto"/>
          <w:szCs w:val="22"/>
        </w:rPr>
      </w:pPr>
      <w:r>
        <w:rPr>
          <w:i w:val="0"/>
          <w:color w:val="auto"/>
          <w:spacing w:val="-1"/>
          <w:szCs w:val="22"/>
        </w:rPr>
        <w:t>R</w:t>
      </w:r>
      <w:r>
        <w:rPr>
          <w:i w:val="0"/>
          <w:color w:val="auto"/>
          <w:szCs w:val="22"/>
        </w:rPr>
        <w:t>eac</w:t>
      </w:r>
      <w:r>
        <w:rPr>
          <w:i w:val="0"/>
          <w:color w:val="auto"/>
          <w:spacing w:val="-2"/>
          <w:szCs w:val="22"/>
        </w:rPr>
        <w:t>t</w:t>
      </w:r>
      <w:r>
        <w:rPr>
          <w:i w:val="0"/>
          <w:color w:val="auto"/>
          <w:spacing w:val="1"/>
          <w:szCs w:val="22"/>
        </w:rPr>
        <w:t>i</w:t>
      </w:r>
      <w:r>
        <w:rPr>
          <w:i w:val="0"/>
          <w:color w:val="auto"/>
          <w:spacing w:val="-3"/>
          <w:szCs w:val="22"/>
        </w:rPr>
        <w:t>v</w:t>
      </w:r>
      <w:r>
        <w:rPr>
          <w:i w:val="0"/>
          <w:color w:val="auto"/>
          <w:szCs w:val="22"/>
        </w:rPr>
        <w:t>area</w:t>
      </w:r>
      <w:r>
        <w:rPr>
          <w:i w:val="0"/>
          <w:color w:val="auto"/>
          <w:spacing w:val="-2"/>
          <w:szCs w:val="22"/>
        </w:rPr>
        <w:t xml:space="preserve"> </w:t>
      </w:r>
      <w:r>
        <w:rPr>
          <w:i w:val="0"/>
          <w:color w:val="auto"/>
          <w:szCs w:val="22"/>
        </w:rPr>
        <w:t>hep</w:t>
      </w:r>
      <w:r>
        <w:rPr>
          <w:i w:val="0"/>
          <w:color w:val="auto"/>
          <w:spacing w:val="-3"/>
          <w:szCs w:val="22"/>
        </w:rPr>
        <w:t>a</w:t>
      </w:r>
      <w:r>
        <w:rPr>
          <w:i w:val="0"/>
          <w:color w:val="auto"/>
          <w:spacing w:val="-2"/>
          <w:szCs w:val="22"/>
        </w:rPr>
        <w:t>t</w:t>
      </w:r>
      <w:r>
        <w:rPr>
          <w:i w:val="0"/>
          <w:color w:val="auto"/>
          <w:spacing w:val="1"/>
          <w:szCs w:val="22"/>
        </w:rPr>
        <w:t>it</w:t>
      </w:r>
      <w:r>
        <w:rPr>
          <w:i w:val="0"/>
          <w:color w:val="auto"/>
          <w:spacing w:val="-3"/>
          <w:szCs w:val="22"/>
        </w:rPr>
        <w:t>e</w:t>
      </w:r>
      <w:r>
        <w:rPr>
          <w:i w:val="0"/>
          <w:color w:val="auto"/>
          <w:szCs w:val="22"/>
        </w:rPr>
        <w:t>i</w:t>
      </w:r>
      <w:r>
        <w:rPr>
          <w:i w:val="0"/>
          <w:color w:val="auto"/>
          <w:spacing w:val="1"/>
          <w:szCs w:val="22"/>
        </w:rPr>
        <w:t xml:space="preserve"> </w:t>
      </w:r>
      <w:r>
        <w:rPr>
          <w:i w:val="0"/>
          <w:color w:val="auto"/>
          <w:szCs w:val="22"/>
        </w:rPr>
        <w:t>B</w:t>
      </w:r>
      <w:r>
        <w:rPr>
          <w:i w:val="0"/>
          <w:color w:val="auto"/>
          <w:spacing w:val="-1"/>
          <w:szCs w:val="22"/>
        </w:rPr>
        <w:t xml:space="preserve"> </w:t>
      </w:r>
      <w:r>
        <w:rPr>
          <w:i w:val="0"/>
          <w:color w:val="auto"/>
          <w:spacing w:val="-3"/>
          <w:szCs w:val="22"/>
        </w:rPr>
        <w:t>a</w:t>
      </w:r>
      <w:r>
        <w:rPr>
          <w:i w:val="0"/>
          <w:color w:val="auto"/>
          <w:szCs w:val="22"/>
        </w:rPr>
        <w:t>re</w:t>
      </w:r>
      <w:r>
        <w:rPr>
          <w:i w:val="0"/>
          <w:color w:val="auto"/>
          <w:spacing w:val="-2"/>
          <w:szCs w:val="22"/>
        </w:rPr>
        <w:t xml:space="preserve"> </w:t>
      </w:r>
      <w:r>
        <w:rPr>
          <w:i w:val="0"/>
          <w:color w:val="auto"/>
          <w:spacing w:val="1"/>
          <w:szCs w:val="22"/>
        </w:rPr>
        <w:t>l</w:t>
      </w:r>
      <w:r>
        <w:rPr>
          <w:i w:val="0"/>
          <w:color w:val="auto"/>
          <w:szCs w:val="22"/>
        </w:rPr>
        <w:t>oc</w:t>
      </w:r>
      <w:r>
        <w:rPr>
          <w:i w:val="0"/>
          <w:color w:val="auto"/>
          <w:spacing w:val="-2"/>
          <w:szCs w:val="22"/>
        </w:rPr>
        <w:t xml:space="preserve"> </w:t>
      </w:r>
      <w:r>
        <w:rPr>
          <w:i w:val="0"/>
          <w:color w:val="auto"/>
          <w:spacing w:val="1"/>
          <w:szCs w:val="22"/>
        </w:rPr>
        <w:t>l</w:t>
      </w:r>
      <w:r>
        <w:rPr>
          <w:i w:val="0"/>
          <w:color w:val="auto"/>
          <w:szCs w:val="22"/>
        </w:rPr>
        <w:t>a p</w:t>
      </w:r>
      <w:r>
        <w:rPr>
          <w:i w:val="0"/>
          <w:color w:val="auto"/>
          <w:spacing w:val="-3"/>
          <w:szCs w:val="22"/>
        </w:rPr>
        <w:t>a</w:t>
      </w:r>
      <w:r>
        <w:rPr>
          <w:i w:val="0"/>
          <w:color w:val="auto"/>
          <w:szCs w:val="22"/>
        </w:rPr>
        <w:t>c</w:t>
      </w:r>
      <w:r>
        <w:rPr>
          <w:i w:val="0"/>
          <w:color w:val="auto"/>
          <w:spacing w:val="-2"/>
          <w:szCs w:val="22"/>
        </w:rPr>
        <w:t>i</w:t>
      </w:r>
      <w:r>
        <w:rPr>
          <w:i w:val="0"/>
          <w:color w:val="auto"/>
          <w:szCs w:val="22"/>
        </w:rPr>
        <w:t>en</w:t>
      </w:r>
      <w:r>
        <w:rPr>
          <w:i w:val="0"/>
          <w:color w:val="auto"/>
          <w:spacing w:val="-2"/>
          <w:szCs w:val="22"/>
        </w:rPr>
        <w:t>ţ</w:t>
      </w:r>
      <w:r>
        <w:rPr>
          <w:i w:val="0"/>
          <w:color w:val="auto"/>
          <w:spacing w:val="1"/>
          <w:szCs w:val="22"/>
        </w:rPr>
        <w:t>i</w:t>
      </w:r>
      <w:r>
        <w:rPr>
          <w:i w:val="0"/>
          <w:color w:val="auto"/>
          <w:szCs w:val="22"/>
        </w:rPr>
        <w:t>i</w:t>
      </w:r>
      <w:r>
        <w:rPr>
          <w:i w:val="0"/>
          <w:color w:val="auto"/>
          <w:spacing w:val="-2"/>
          <w:szCs w:val="22"/>
        </w:rPr>
        <w:t xml:space="preserve"> </w:t>
      </w:r>
      <w:r>
        <w:rPr>
          <w:i w:val="0"/>
          <w:color w:val="auto"/>
          <w:szCs w:val="22"/>
        </w:rPr>
        <w:t>c</w:t>
      </w:r>
      <w:r>
        <w:rPr>
          <w:i w:val="0"/>
          <w:color w:val="auto"/>
          <w:spacing w:val="-3"/>
          <w:szCs w:val="22"/>
        </w:rPr>
        <w:t>ă</w:t>
      </w:r>
      <w:r>
        <w:rPr>
          <w:i w:val="0"/>
          <w:color w:val="auto"/>
          <w:szCs w:val="22"/>
        </w:rPr>
        <w:t>ro</w:t>
      </w:r>
      <w:r>
        <w:rPr>
          <w:i w:val="0"/>
          <w:color w:val="auto"/>
          <w:spacing w:val="-2"/>
          <w:szCs w:val="22"/>
        </w:rPr>
        <w:t>r</w:t>
      </w:r>
      <w:r>
        <w:rPr>
          <w:i w:val="0"/>
          <w:color w:val="auto"/>
          <w:szCs w:val="22"/>
        </w:rPr>
        <w:t xml:space="preserve">a </w:t>
      </w:r>
      <w:r>
        <w:rPr>
          <w:i w:val="0"/>
          <w:color w:val="auto"/>
          <w:spacing w:val="-2"/>
          <w:szCs w:val="22"/>
        </w:rPr>
        <w:t>l</w:t>
      </w:r>
      <w:r>
        <w:rPr>
          <w:i w:val="0"/>
          <w:color w:val="auto"/>
          <w:szCs w:val="22"/>
        </w:rPr>
        <w:t>i</w:t>
      </w:r>
      <w:r>
        <w:rPr>
          <w:i w:val="0"/>
          <w:color w:val="auto"/>
          <w:spacing w:val="1"/>
          <w:szCs w:val="22"/>
        </w:rPr>
        <w:t xml:space="preserve"> </w:t>
      </w:r>
      <w:r>
        <w:rPr>
          <w:i w:val="0"/>
          <w:color w:val="auto"/>
          <w:szCs w:val="22"/>
        </w:rPr>
        <w:t>se</w:t>
      </w:r>
      <w:r>
        <w:rPr>
          <w:i w:val="0"/>
          <w:color w:val="auto"/>
          <w:spacing w:val="-2"/>
          <w:szCs w:val="22"/>
        </w:rPr>
        <w:t xml:space="preserve"> </w:t>
      </w:r>
      <w:r>
        <w:rPr>
          <w:i w:val="0"/>
          <w:color w:val="auto"/>
          <w:szCs w:val="22"/>
        </w:rPr>
        <w:t>ad</w:t>
      </w:r>
      <w:r>
        <w:rPr>
          <w:i w:val="0"/>
          <w:color w:val="auto"/>
          <w:spacing w:val="-4"/>
          <w:szCs w:val="22"/>
        </w:rPr>
        <w:t>m</w:t>
      </w:r>
      <w:r>
        <w:rPr>
          <w:i w:val="0"/>
          <w:color w:val="auto"/>
          <w:spacing w:val="1"/>
          <w:szCs w:val="22"/>
        </w:rPr>
        <w:t>i</w:t>
      </w:r>
      <w:r>
        <w:rPr>
          <w:i w:val="0"/>
          <w:color w:val="auto"/>
          <w:szCs w:val="22"/>
        </w:rPr>
        <w:t>n</w:t>
      </w:r>
      <w:r>
        <w:rPr>
          <w:i w:val="0"/>
          <w:color w:val="auto"/>
          <w:spacing w:val="1"/>
          <w:szCs w:val="22"/>
        </w:rPr>
        <w:t>i</w:t>
      </w:r>
      <w:r>
        <w:rPr>
          <w:i w:val="0"/>
          <w:color w:val="auto"/>
          <w:szCs w:val="22"/>
        </w:rPr>
        <w:t>s</w:t>
      </w:r>
      <w:r>
        <w:rPr>
          <w:i w:val="0"/>
          <w:color w:val="auto"/>
          <w:spacing w:val="-2"/>
          <w:szCs w:val="22"/>
        </w:rPr>
        <w:t>t</w:t>
      </w:r>
      <w:r>
        <w:rPr>
          <w:i w:val="0"/>
          <w:color w:val="auto"/>
          <w:szCs w:val="22"/>
        </w:rPr>
        <w:t>rea</w:t>
      </w:r>
      <w:r>
        <w:rPr>
          <w:i w:val="0"/>
          <w:color w:val="auto"/>
          <w:spacing w:val="-3"/>
          <w:szCs w:val="22"/>
        </w:rPr>
        <w:t>z</w:t>
      </w:r>
      <w:r>
        <w:rPr>
          <w:i w:val="0"/>
          <w:color w:val="auto"/>
          <w:szCs w:val="22"/>
        </w:rPr>
        <w:t xml:space="preserve">ă </w:t>
      </w:r>
      <w:r>
        <w:rPr>
          <w:i w:val="0"/>
          <w:color w:val="auto"/>
          <w:spacing w:val="-3"/>
          <w:szCs w:val="22"/>
        </w:rPr>
        <w:t>a</w:t>
      </w:r>
      <w:r>
        <w:rPr>
          <w:i w:val="0"/>
          <w:color w:val="auto"/>
          <w:szCs w:val="22"/>
        </w:rPr>
        <w:t>n</w:t>
      </w:r>
      <w:r>
        <w:rPr>
          <w:i w:val="0"/>
          <w:color w:val="auto"/>
          <w:spacing w:val="1"/>
          <w:szCs w:val="22"/>
        </w:rPr>
        <w:t>t</w:t>
      </w:r>
      <w:r>
        <w:rPr>
          <w:i w:val="0"/>
          <w:color w:val="auto"/>
          <w:szCs w:val="22"/>
        </w:rPr>
        <w:t>a</w:t>
      </w:r>
      <w:r>
        <w:rPr>
          <w:i w:val="0"/>
          <w:color w:val="auto"/>
          <w:spacing w:val="-3"/>
          <w:szCs w:val="22"/>
        </w:rPr>
        <w:t>g</w:t>
      </w:r>
      <w:r>
        <w:rPr>
          <w:i w:val="0"/>
          <w:color w:val="auto"/>
          <w:szCs w:val="22"/>
        </w:rPr>
        <w:t>on</w:t>
      </w:r>
      <w:r>
        <w:rPr>
          <w:i w:val="0"/>
          <w:color w:val="auto"/>
          <w:spacing w:val="-2"/>
          <w:szCs w:val="22"/>
        </w:rPr>
        <w:t>i</w:t>
      </w:r>
      <w:r>
        <w:rPr>
          <w:i w:val="0"/>
          <w:color w:val="auto"/>
          <w:szCs w:val="22"/>
        </w:rPr>
        <w:t>ş</w:t>
      </w:r>
      <w:r>
        <w:rPr>
          <w:i w:val="0"/>
          <w:color w:val="auto"/>
          <w:spacing w:val="-2"/>
          <w:szCs w:val="22"/>
        </w:rPr>
        <w:t>t</w:t>
      </w:r>
      <w:r>
        <w:rPr>
          <w:i w:val="0"/>
          <w:color w:val="auto"/>
          <w:szCs w:val="22"/>
        </w:rPr>
        <w:t>i</w:t>
      </w:r>
      <w:r>
        <w:rPr>
          <w:i w:val="0"/>
          <w:color w:val="auto"/>
          <w:spacing w:val="1"/>
          <w:szCs w:val="22"/>
        </w:rPr>
        <w:t xml:space="preserve"> </w:t>
      </w:r>
      <w:r>
        <w:rPr>
          <w:i w:val="0"/>
          <w:color w:val="auto"/>
          <w:spacing w:val="-3"/>
          <w:szCs w:val="22"/>
        </w:rPr>
        <w:t>d</w:t>
      </w:r>
      <w:r>
        <w:rPr>
          <w:i w:val="0"/>
          <w:color w:val="auto"/>
          <w:szCs w:val="22"/>
        </w:rPr>
        <w:t xml:space="preserve">e </w:t>
      </w:r>
      <w:r>
        <w:rPr>
          <w:i w:val="0"/>
          <w:color w:val="auto"/>
          <w:spacing w:val="1"/>
          <w:szCs w:val="22"/>
        </w:rPr>
        <w:t>T</w:t>
      </w:r>
      <w:r>
        <w:rPr>
          <w:i w:val="0"/>
          <w:color w:val="auto"/>
          <w:spacing w:val="-1"/>
          <w:szCs w:val="22"/>
        </w:rPr>
        <w:t>NF</w:t>
      </w:r>
      <w:r>
        <w:rPr>
          <w:i w:val="0"/>
          <w:color w:val="auto"/>
          <w:szCs w:val="22"/>
        </w:rPr>
        <w:t>,</w:t>
      </w:r>
      <w:r>
        <w:rPr>
          <w:i w:val="0"/>
          <w:color w:val="auto"/>
          <w:spacing w:val="-3"/>
          <w:szCs w:val="22"/>
        </w:rPr>
        <w:t xml:space="preserve"> </w:t>
      </w:r>
      <w:r>
        <w:rPr>
          <w:i w:val="0"/>
          <w:color w:val="auto"/>
          <w:spacing w:val="1"/>
          <w:szCs w:val="22"/>
        </w:rPr>
        <w:t>i</w:t>
      </w:r>
      <w:r>
        <w:rPr>
          <w:i w:val="0"/>
          <w:color w:val="auto"/>
          <w:szCs w:val="22"/>
        </w:rPr>
        <w:t>n</w:t>
      </w:r>
      <w:r>
        <w:rPr>
          <w:i w:val="0"/>
          <w:color w:val="auto"/>
          <w:spacing w:val="-3"/>
          <w:szCs w:val="22"/>
        </w:rPr>
        <w:t>c</w:t>
      </w:r>
      <w:r>
        <w:rPr>
          <w:i w:val="0"/>
          <w:color w:val="auto"/>
          <w:spacing w:val="1"/>
          <w:szCs w:val="22"/>
        </w:rPr>
        <w:t>l</w:t>
      </w:r>
      <w:r>
        <w:rPr>
          <w:i w:val="0"/>
          <w:color w:val="auto"/>
          <w:szCs w:val="22"/>
        </w:rPr>
        <w:t>u</w:t>
      </w:r>
      <w:r>
        <w:rPr>
          <w:i w:val="0"/>
          <w:color w:val="auto"/>
          <w:spacing w:val="-2"/>
          <w:szCs w:val="22"/>
        </w:rPr>
        <w:t>s</w:t>
      </w:r>
      <w:r>
        <w:rPr>
          <w:i w:val="0"/>
          <w:color w:val="auto"/>
          <w:spacing w:val="1"/>
          <w:szCs w:val="22"/>
        </w:rPr>
        <w:t>i</w:t>
      </w:r>
      <w:r>
        <w:rPr>
          <w:i w:val="0"/>
          <w:color w:val="auto"/>
          <w:szCs w:val="22"/>
        </w:rPr>
        <w:t xml:space="preserve">v </w:t>
      </w:r>
      <w:r>
        <w:rPr>
          <w:i w:val="0"/>
          <w:color w:val="auto"/>
          <w:spacing w:val="-1"/>
          <w:szCs w:val="22"/>
        </w:rPr>
        <w:t>adalimumab</w:t>
      </w:r>
      <w:r>
        <w:rPr>
          <w:i w:val="0"/>
          <w:color w:val="auto"/>
          <w:szCs w:val="22"/>
        </w:rPr>
        <w:t xml:space="preserve"> şi</w:t>
      </w:r>
      <w:r>
        <w:rPr>
          <w:i w:val="0"/>
          <w:color w:val="auto"/>
          <w:spacing w:val="1"/>
          <w:szCs w:val="22"/>
        </w:rPr>
        <w:t xml:space="preserve"> </w:t>
      </w:r>
      <w:r>
        <w:rPr>
          <w:i w:val="0"/>
          <w:color w:val="auto"/>
          <w:spacing w:val="-3"/>
          <w:szCs w:val="22"/>
        </w:rPr>
        <w:t>c</w:t>
      </w:r>
      <w:r>
        <w:rPr>
          <w:i w:val="0"/>
          <w:color w:val="auto"/>
          <w:szCs w:val="22"/>
        </w:rPr>
        <w:t>are</w:t>
      </w:r>
      <w:r>
        <w:rPr>
          <w:i w:val="0"/>
          <w:color w:val="auto"/>
          <w:spacing w:val="-2"/>
          <w:szCs w:val="22"/>
        </w:rPr>
        <w:t xml:space="preserve"> </w:t>
      </w:r>
      <w:r>
        <w:rPr>
          <w:i w:val="0"/>
          <w:color w:val="auto"/>
          <w:szCs w:val="22"/>
        </w:rPr>
        <w:t>su</w:t>
      </w:r>
      <w:r>
        <w:rPr>
          <w:i w:val="0"/>
          <w:color w:val="auto"/>
          <w:spacing w:val="-3"/>
          <w:szCs w:val="22"/>
        </w:rPr>
        <w:t>n</w:t>
      </w:r>
      <w:r>
        <w:rPr>
          <w:i w:val="0"/>
          <w:color w:val="auto"/>
          <w:szCs w:val="22"/>
        </w:rPr>
        <w:t>t</w:t>
      </w:r>
      <w:r>
        <w:rPr>
          <w:i w:val="0"/>
          <w:color w:val="auto"/>
          <w:spacing w:val="1"/>
          <w:szCs w:val="22"/>
        </w:rPr>
        <w:t xml:space="preserve"> </w:t>
      </w:r>
      <w:r>
        <w:rPr>
          <w:i w:val="0"/>
          <w:color w:val="auto"/>
          <w:szCs w:val="22"/>
        </w:rPr>
        <w:t>p</w:t>
      </w:r>
      <w:r>
        <w:rPr>
          <w:i w:val="0"/>
          <w:color w:val="auto"/>
          <w:spacing w:val="-3"/>
          <w:szCs w:val="22"/>
        </w:rPr>
        <w:t>u</w:t>
      </w:r>
      <w:r>
        <w:rPr>
          <w:i w:val="0"/>
          <w:color w:val="auto"/>
          <w:szCs w:val="22"/>
        </w:rPr>
        <w:t>r</w:t>
      </w:r>
      <w:r>
        <w:rPr>
          <w:i w:val="0"/>
          <w:color w:val="auto"/>
          <w:spacing w:val="1"/>
          <w:szCs w:val="22"/>
        </w:rPr>
        <w:t>t</w:t>
      </w:r>
      <w:r>
        <w:rPr>
          <w:i w:val="0"/>
          <w:color w:val="auto"/>
          <w:spacing w:val="-3"/>
          <w:szCs w:val="22"/>
        </w:rPr>
        <w:t>ă</w:t>
      </w:r>
      <w:r>
        <w:rPr>
          <w:i w:val="0"/>
          <w:color w:val="auto"/>
          <w:spacing w:val="1"/>
          <w:szCs w:val="22"/>
        </w:rPr>
        <w:t>t</w:t>
      </w:r>
      <w:r>
        <w:rPr>
          <w:i w:val="0"/>
          <w:color w:val="auto"/>
          <w:spacing w:val="-3"/>
          <w:szCs w:val="22"/>
        </w:rPr>
        <w:t>o</w:t>
      </w:r>
      <w:r>
        <w:rPr>
          <w:i w:val="0"/>
          <w:color w:val="auto"/>
          <w:szCs w:val="22"/>
        </w:rPr>
        <w:t>ri</w:t>
      </w:r>
      <w:r>
        <w:rPr>
          <w:i w:val="0"/>
          <w:color w:val="auto"/>
          <w:spacing w:val="1"/>
          <w:szCs w:val="22"/>
        </w:rPr>
        <w:t xml:space="preserve"> </w:t>
      </w:r>
      <w:r>
        <w:rPr>
          <w:i w:val="0"/>
          <w:color w:val="auto"/>
          <w:spacing w:val="-3"/>
          <w:szCs w:val="22"/>
        </w:rPr>
        <w:t>c</w:t>
      </w:r>
      <w:r>
        <w:rPr>
          <w:i w:val="0"/>
          <w:color w:val="auto"/>
          <w:szCs w:val="22"/>
        </w:rPr>
        <w:t>ro</w:t>
      </w:r>
      <w:r>
        <w:rPr>
          <w:i w:val="0"/>
          <w:color w:val="auto"/>
          <w:spacing w:val="-3"/>
          <w:szCs w:val="22"/>
        </w:rPr>
        <w:t>n</w:t>
      </w:r>
      <w:r>
        <w:rPr>
          <w:i w:val="0"/>
          <w:color w:val="auto"/>
          <w:spacing w:val="1"/>
          <w:szCs w:val="22"/>
        </w:rPr>
        <w:t>i</w:t>
      </w:r>
      <w:r>
        <w:rPr>
          <w:i w:val="0"/>
          <w:color w:val="auto"/>
          <w:spacing w:val="-3"/>
          <w:szCs w:val="22"/>
        </w:rPr>
        <w:t>c</w:t>
      </w:r>
      <w:r>
        <w:rPr>
          <w:i w:val="0"/>
          <w:color w:val="auto"/>
          <w:szCs w:val="22"/>
        </w:rPr>
        <w:t>i</w:t>
      </w:r>
      <w:r>
        <w:rPr>
          <w:i w:val="0"/>
          <w:color w:val="auto"/>
          <w:spacing w:val="1"/>
          <w:szCs w:val="22"/>
        </w:rPr>
        <w:t xml:space="preserve"> </w:t>
      </w:r>
      <w:r>
        <w:rPr>
          <w:i w:val="0"/>
          <w:color w:val="auto"/>
          <w:szCs w:val="22"/>
        </w:rPr>
        <w:t>ai</w:t>
      </w:r>
      <w:r>
        <w:rPr>
          <w:i w:val="0"/>
          <w:color w:val="auto"/>
          <w:spacing w:val="-2"/>
          <w:szCs w:val="22"/>
        </w:rPr>
        <w:t xml:space="preserve"> </w:t>
      </w:r>
      <w:r>
        <w:rPr>
          <w:i w:val="0"/>
          <w:color w:val="auto"/>
          <w:szCs w:val="22"/>
        </w:rPr>
        <w:t>ac</w:t>
      </w:r>
      <w:r>
        <w:rPr>
          <w:i w:val="0"/>
          <w:color w:val="auto"/>
          <w:spacing w:val="-3"/>
          <w:szCs w:val="22"/>
        </w:rPr>
        <w:t>e</w:t>
      </w:r>
      <w:r>
        <w:rPr>
          <w:i w:val="0"/>
          <w:color w:val="auto"/>
          <w:szCs w:val="22"/>
        </w:rPr>
        <w:t>s</w:t>
      </w:r>
      <w:r>
        <w:rPr>
          <w:i w:val="0"/>
          <w:color w:val="auto"/>
          <w:spacing w:val="-2"/>
          <w:szCs w:val="22"/>
        </w:rPr>
        <w:t>t</w:t>
      </w:r>
      <w:r>
        <w:rPr>
          <w:i w:val="0"/>
          <w:color w:val="auto"/>
          <w:szCs w:val="22"/>
        </w:rPr>
        <w:t>ui</w:t>
      </w:r>
      <w:r>
        <w:rPr>
          <w:i w:val="0"/>
          <w:color w:val="auto"/>
          <w:spacing w:val="1"/>
          <w:szCs w:val="22"/>
        </w:rPr>
        <w:t xml:space="preserve"> </w:t>
      </w:r>
      <w:r>
        <w:rPr>
          <w:i w:val="0"/>
          <w:color w:val="auto"/>
          <w:spacing w:val="-3"/>
          <w:szCs w:val="22"/>
        </w:rPr>
        <w:t>v</w:t>
      </w:r>
      <w:r>
        <w:rPr>
          <w:i w:val="0"/>
          <w:color w:val="auto"/>
          <w:spacing w:val="1"/>
          <w:szCs w:val="22"/>
        </w:rPr>
        <w:t>i</w:t>
      </w:r>
      <w:r>
        <w:rPr>
          <w:i w:val="0"/>
          <w:color w:val="auto"/>
          <w:szCs w:val="22"/>
        </w:rPr>
        <w:t>r</w:t>
      </w:r>
      <w:r>
        <w:rPr>
          <w:i w:val="0"/>
          <w:color w:val="auto"/>
          <w:spacing w:val="-3"/>
          <w:szCs w:val="22"/>
        </w:rPr>
        <w:t>u</w:t>
      </w:r>
      <w:r>
        <w:rPr>
          <w:i w:val="0"/>
          <w:color w:val="auto"/>
          <w:szCs w:val="22"/>
        </w:rPr>
        <w:t>s (</w:t>
      </w:r>
      <w:r>
        <w:rPr>
          <w:i w:val="0"/>
          <w:color w:val="auto"/>
          <w:spacing w:val="-3"/>
          <w:szCs w:val="22"/>
        </w:rPr>
        <w:t>d</w:t>
      </w:r>
      <w:r>
        <w:rPr>
          <w:i w:val="0"/>
          <w:color w:val="auto"/>
          <w:szCs w:val="22"/>
        </w:rPr>
        <w:t>e exe</w:t>
      </w:r>
      <w:r>
        <w:rPr>
          <w:i w:val="0"/>
          <w:color w:val="auto"/>
          <w:spacing w:val="-4"/>
          <w:szCs w:val="22"/>
        </w:rPr>
        <w:t>m</w:t>
      </w:r>
      <w:r>
        <w:rPr>
          <w:i w:val="0"/>
          <w:color w:val="auto"/>
          <w:szCs w:val="22"/>
        </w:rPr>
        <w:t>p</w:t>
      </w:r>
      <w:r>
        <w:rPr>
          <w:i w:val="0"/>
          <w:color w:val="auto"/>
          <w:spacing w:val="1"/>
          <w:szCs w:val="22"/>
        </w:rPr>
        <w:t>l</w:t>
      </w:r>
      <w:r>
        <w:rPr>
          <w:i w:val="0"/>
          <w:color w:val="auto"/>
          <w:szCs w:val="22"/>
        </w:rPr>
        <w:t>u a</w:t>
      </w:r>
      <w:r>
        <w:rPr>
          <w:i w:val="0"/>
          <w:color w:val="auto"/>
          <w:spacing w:val="-3"/>
          <w:szCs w:val="22"/>
        </w:rPr>
        <w:t>n</w:t>
      </w:r>
      <w:r>
        <w:rPr>
          <w:i w:val="0"/>
          <w:color w:val="auto"/>
          <w:spacing w:val="1"/>
          <w:szCs w:val="22"/>
        </w:rPr>
        <w:t>ti</w:t>
      </w:r>
      <w:r>
        <w:rPr>
          <w:i w:val="0"/>
          <w:color w:val="auto"/>
          <w:spacing w:val="-3"/>
          <w:szCs w:val="22"/>
        </w:rPr>
        <w:t>g</w:t>
      </w:r>
      <w:r>
        <w:rPr>
          <w:i w:val="0"/>
          <w:color w:val="auto"/>
          <w:szCs w:val="22"/>
        </w:rPr>
        <w:t xml:space="preserve">en </w:t>
      </w:r>
      <w:r>
        <w:rPr>
          <w:i w:val="0"/>
          <w:color w:val="auto"/>
          <w:spacing w:val="-2"/>
          <w:szCs w:val="22"/>
        </w:rPr>
        <w:t>d</w:t>
      </w:r>
      <w:r>
        <w:rPr>
          <w:i w:val="0"/>
          <w:color w:val="auto"/>
          <w:szCs w:val="22"/>
        </w:rPr>
        <w:t>e su</w:t>
      </w:r>
      <w:r>
        <w:rPr>
          <w:i w:val="0"/>
          <w:color w:val="auto"/>
          <w:spacing w:val="-3"/>
          <w:szCs w:val="22"/>
        </w:rPr>
        <w:t>p</w:t>
      </w:r>
      <w:r>
        <w:rPr>
          <w:i w:val="0"/>
          <w:color w:val="auto"/>
          <w:szCs w:val="22"/>
        </w:rPr>
        <w:t>r</w:t>
      </w:r>
      <w:r>
        <w:rPr>
          <w:i w:val="0"/>
          <w:color w:val="auto"/>
          <w:spacing w:val="-3"/>
          <w:szCs w:val="22"/>
        </w:rPr>
        <w:t>a</w:t>
      </w:r>
      <w:r>
        <w:rPr>
          <w:i w:val="0"/>
          <w:color w:val="auto"/>
          <w:spacing w:val="-2"/>
          <w:szCs w:val="22"/>
        </w:rPr>
        <w:t>f</w:t>
      </w:r>
      <w:r>
        <w:rPr>
          <w:i w:val="0"/>
          <w:color w:val="auto"/>
          <w:szCs w:val="22"/>
        </w:rPr>
        <w:t>a</w:t>
      </w:r>
      <w:r>
        <w:rPr>
          <w:i w:val="0"/>
          <w:color w:val="auto"/>
          <w:spacing w:val="1"/>
          <w:szCs w:val="22"/>
        </w:rPr>
        <w:t>ţ</w:t>
      </w:r>
      <w:r>
        <w:rPr>
          <w:i w:val="0"/>
          <w:color w:val="auto"/>
          <w:szCs w:val="22"/>
        </w:rPr>
        <w:t xml:space="preserve">ă </w:t>
      </w:r>
      <w:r>
        <w:rPr>
          <w:i w:val="0"/>
          <w:color w:val="auto"/>
          <w:spacing w:val="-3"/>
          <w:szCs w:val="22"/>
        </w:rPr>
        <w:t>p</w:t>
      </w:r>
      <w:r>
        <w:rPr>
          <w:i w:val="0"/>
          <w:color w:val="auto"/>
          <w:szCs w:val="22"/>
        </w:rPr>
        <w:t>o</w:t>
      </w:r>
      <w:r>
        <w:rPr>
          <w:i w:val="0"/>
          <w:color w:val="auto"/>
          <w:spacing w:val="-3"/>
          <w:szCs w:val="22"/>
        </w:rPr>
        <w:t>z</w:t>
      </w:r>
      <w:r>
        <w:rPr>
          <w:i w:val="0"/>
          <w:color w:val="auto"/>
          <w:spacing w:val="1"/>
          <w:szCs w:val="22"/>
        </w:rPr>
        <w:t>iti</w:t>
      </w:r>
      <w:r>
        <w:rPr>
          <w:i w:val="0"/>
          <w:color w:val="auto"/>
          <w:spacing w:val="-3"/>
          <w:szCs w:val="22"/>
        </w:rPr>
        <w:t>v</w:t>
      </w:r>
      <w:r>
        <w:rPr>
          <w:i w:val="0"/>
          <w:color w:val="auto"/>
          <w:szCs w:val="22"/>
        </w:rPr>
        <w:t xml:space="preserve">). </w:t>
      </w:r>
      <w:r>
        <w:rPr>
          <w:i w:val="0"/>
          <w:color w:val="auto"/>
          <w:spacing w:val="-1"/>
          <w:szCs w:val="22"/>
        </w:rPr>
        <w:t>U</w:t>
      </w:r>
      <w:r>
        <w:rPr>
          <w:i w:val="0"/>
          <w:color w:val="auto"/>
          <w:spacing w:val="-3"/>
          <w:szCs w:val="22"/>
        </w:rPr>
        <w:t>n</w:t>
      </w:r>
      <w:r>
        <w:rPr>
          <w:i w:val="0"/>
          <w:color w:val="auto"/>
          <w:szCs w:val="22"/>
        </w:rPr>
        <w:t>e</w:t>
      </w:r>
      <w:r>
        <w:rPr>
          <w:i w:val="0"/>
          <w:color w:val="auto"/>
          <w:spacing w:val="1"/>
          <w:szCs w:val="22"/>
        </w:rPr>
        <w:t>l</w:t>
      </w:r>
      <w:r>
        <w:rPr>
          <w:i w:val="0"/>
          <w:color w:val="auto"/>
          <w:szCs w:val="22"/>
        </w:rPr>
        <w:t>e ca</w:t>
      </w:r>
      <w:r>
        <w:rPr>
          <w:i w:val="0"/>
          <w:color w:val="auto"/>
          <w:spacing w:val="-3"/>
          <w:szCs w:val="22"/>
        </w:rPr>
        <w:t>z</w:t>
      </w:r>
      <w:r>
        <w:rPr>
          <w:i w:val="0"/>
          <w:color w:val="auto"/>
          <w:szCs w:val="22"/>
        </w:rPr>
        <w:t>uri</w:t>
      </w:r>
      <w:r>
        <w:rPr>
          <w:i w:val="0"/>
          <w:color w:val="auto"/>
          <w:spacing w:val="1"/>
          <w:szCs w:val="22"/>
        </w:rPr>
        <w:t xml:space="preserve"> </w:t>
      </w:r>
      <w:r>
        <w:rPr>
          <w:i w:val="0"/>
          <w:color w:val="auto"/>
          <w:spacing w:val="-3"/>
          <w:szCs w:val="22"/>
        </w:rPr>
        <w:t>a</w:t>
      </w:r>
      <w:r>
        <w:rPr>
          <w:i w:val="0"/>
          <w:color w:val="auto"/>
          <w:szCs w:val="22"/>
        </w:rPr>
        <w:t>u a</w:t>
      </w:r>
      <w:r>
        <w:rPr>
          <w:i w:val="0"/>
          <w:color w:val="auto"/>
          <w:spacing w:val="-3"/>
          <w:szCs w:val="22"/>
        </w:rPr>
        <w:t>v</w:t>
      </w:r>
      <w:r>
        <w:rPr>
          <w:i w:val="0"/>
          <w:color w:val="auto"/>
          <w:szCs w:val="22"/>
        </w:rPr>
        <w:t>ut</w:t>
      </w:r>
      <w:r>
        <w:rPr>
          <w:i w:val="0"/>
          <w:color w:val="auto"/>
          <w:spacing w:val="1"/>
          <w:szCs w:val="22"/>
        </w:rPr>
        <w:t xml:space="preserve"> </w:t>
      </w:r>
      <w:r>
        <w:rPr>
          <w:i w:val="0"/>
          <w:color w:val="auto"/>
          <w:szCs w:val="22"/>
        </w:rPr>
        <w:t>o</w:t>
      </w:r>
      <w:r>
        <w:rPr>
          <w:i w:val="0"/>
          <w:color w:val="auto"/>
          <w:spacing w:val="-3"/>
          <w:szCs w:val="22"/>
        </w:rPr>
        <w:t xml:space="preserve"> </w:t>
      </w:r>
      <w:r>
        <w:rPr>
          <w:i w:val="0"/>
          <w:color w:val="auto"/>
          <w:szCs w:val="22"/>
        </w:rPr>
        <w:t>e</w:t>
      </w:r>
      <w:r>
        <w:rPr>
          <w:i w:val="0"/>
          <w:color w:val="auto"/>
          <w:spacing w:val="-3"/>
          <w:szCs w:val="22"/>
        </w:rPr>
        <w:t>v</w:t>
      </w:r>
      <w:r>
        <w:rPr>
          <w:i w:val="0"/>
          <w:color w:val="auto"/>
          <w:szCs w:val="22"/>
        </w:rPr>
        <w:t>o</w:t>
      </w:r>
      <w:r>
        <w:rPr>
          <w:i w:val="0"/>
          <w:color w:val="auto"/>
          <w:spacing w:val="1"/>
          <w:szCs w:val="22"/>
        </w:rPr>
        <w:t>l</w:t>
      </w:r>
      <w:r>
        <w:rPr>
          <w:i w:val="0"/>
          <w:color w:val="auto"/>
          <w:szCs w:val="22"/>
        </w:rPr>
        <w:t>u</w:t>
      </w:r>
      <w:r>
        <w:rPr>
          <w:i w:val="0"/>
          <w:color w:val="auto"/>
          <w:spacing w:val="-2"/>
          <w:szCs w:val="22"/>
        </w:rPr>
        <w:t>ţ</w:t>
      </w:r>
      <w:r>
        <w:rPr>
          <w:i w:val="0"/>
          <w:color w:val="auto"/>
          <w:spacing w:val="1"/>
          <w:szCs w:val="22"/>
        </w:rPr>
        <w:t>i</w:t>
      </w:r>
      <w:r>
        <w:rPr>
          <w:i w:val="0"/>
          <w:color w:val="auto"/>
          <w:szCs w:val="22"/>
        </w:rPr>
        <w:t>e</w:t>
      </w:r>
      <w:r>
        <w:rPr>
          <w:i w:val="0"/>
          <w:color w:val="auto"/>
          <w:spacing w:val="-2"/>
          <w:szCs w:val="22"/>
        </w:rPr>
        <w:t xml:space="preserve"> </w:t>
      </w:r>
      <w:r>
        <w:rPr>
          <w:i w:val="0"/>
          <w:color w:val="auto"/>
          <w:spacing w:val="1"/>
          <w:szCs w:val="22"/>
        </w:rPr>
        <w:t>l</w:t>
      </w:r>
      <w:r>
        <w:rPr>
          <w:i w:val="0"/>
          <w:color w:val="auto"/>
          <w:szCs w:val="22"/>
        </w:rPr>
        <w:t>e</w:t>
      </w:r>
      <w:r>
        <w:rPr>
          <w:i w:val="0"/>
          <w:color w:val="auto"/>
          <w:spacing w:val="-2"/>
          <w:szCs w:val="22"/>
        </w:rPr>
        <w:t>t</w:t>
      </w:r>
      <w:r>
        <w:rPr>
          <w:i w:val="0"/>
          <w:color w:val="auto"/>
          <w:szCs w:val="22"/>
        </w:rPr>
        <w:t>a</w:t>
      </w:r>
      <w:r>
        <w:rPr>
          <w:i w:val="0"/>
          <w:color w:val="auto"/>
          <w:spacing w:val="1"/>
          <w:szCs w:val="22"/>
        </w:rPr>
        <w:t>l</w:t>
      </w:r>
      <w:r>
        <w:rPr>
          <w:i w:val="0"/>
          <w:color w:val="auto"/>
          <w:szCs w:val="22"/>
        </w:rPr>
        <w:t xml:space="preserve">ă. </w:t>
      </w:r>
      <w:r>
        <w:rPr>
          <w:i w:val="0"/>
          <w:color w:val="auto"/>
          <w:spacing w:val="-4"/>
          <w:szCs w:val="22"/>
        </w:rPr>
        <w:t>Î</w:t>
      </w:r>
      <w:r>
        <w:rPr>
          <w:i w:val="0"/>
          <w:color w:val="auto"/>
          <w:szCs w:val="22"/>
        </w:rPr>
        <w:t>na</w:t>
      </w:r>
      <w:r>
        <w:rPr>
          <w:i w:val="0"/>
          <w:color w:val="auto"/>
          <w:spacing w:val="1"/>
          <w:szCs w:val="22"/>
        </w:rPr>
        <w:t>i</w:t>
      </w:r>
      <w:r>
        <w:rPr>
          <w:i w:val="0"/>
          <w:color w:val="auto"/>
          <w:szCs w:val="22"/>
        </w:rPr>
        <w:t>n</w:t>
      </w:r>
      <w:r>
        <w:rPr>
          <w:i w:val="0"/>
          <w:color w:val="auto"/>
          <w:spacing w:val="-2"/>
          <w:szCs w:val="22"/>
        </w:rPr>
        <w:t>t</w:t>
      </w:r>
      <w:r>
        <w:rPr>
          <w:i w:val="0"/>
          <w:color w:val="auto"/>
          <w:szCs w:val="22"/>
        </w:rPr>
        <w:t>ea</w:t>
      </w:r>
      <w:r>
        <w:rPr>
          <w:i w:val="0"/>
          <w:color w:val="auto"/>
          <w:spacing w:val="-2"/>
          <w:szCs w:val="22"/>
        </w:rPr>
        <w:t xml:space="preserve"> </w:t>
      </w:r>
      <w:r>
        <w:rPr>
          <w:i w:val="0"/>
          <w:color w:val="auto"/>
          <w:spacing w:val="1"/>
          <w:szCs w:val="22"/>
        </w:rPr>
        <w:t>i</w:t>
      </w:r>
      <w:r>
        <w:rPr>
          <w:i w:val="0"/>
          <w:color w:val="auto"/>
          <w:szCs w:val="22"/>
        </w:rPr>
        <w:t>n</w:t>
      </w:r>
      <w:r>
        <w:rPr>
          <w:i w:val="0"/>
          <w:color w:val="auto"/>
          <w:spacing w:val="-2"/>
          <w:szCs w:val="22"/>
        </w:rPr>
        <w:t>i</w:t>
      </w:r>
      <w:r>
        <w:rPr>
          <w:i w:val="0"/>
          <w:color w:val="auto"/>
          <w:spacing w:val="1"/>
          <w:szCs w:val="22"/>
        </w:rPr>
        <w:t>ţ</w:t>
      </w:r>
      <w:r>
        <w:rPr>
          <w:i w:val="0"/>
          <w:color w:val="auto"/>
          <w:spacing w:val="-2"/>
          <w:szCs w:val="22"/>
        </w:rPr>
        <w:t>i</w:t>
      </w:r>
      <w:r>
        <w:rPr>
          <w:i w:val="0"/>
          <w:color w:val="auto"/>
          <w:szCs w:val="22"/>
        </w:rPr>
        <w:t>e</w:t>
      </w:r>
      <w:r>
        <w:rPr>
          <w:i w:val="0"/>
          <w:color w:val="auto"/>
          <w:spacing w:val="-2"/>
          <w:szCs w:val="22"/>
        </w:rPr>
        <w:t>r</w:t>
      </w:r>
      <w:r>
        <w:rPr>
          <w:i w:val="0"/>
          <w:color w:val="auto"/>
          <w:spacing w:val="1"/>
          <w:szCs w:val="22"/>
        </w:rPr>
        <w:t>i</w:t>
      </w:r>
      <w:r>
        <w:rPr>
          <w:i w:val="0"/>
          <w:color w:val="auto"/>
          <w:szCs w:val="22"/>
        </w:rPr>
        <w:t>i</w:t>
      </w:r>
      <w:r>
        <w:rPr>
          <w:i w:val="0"/>
          <w:color w:val="auto"/>
          <w:spacing w:val="-2"/>
          <w:szCs w:val="22"/>
        </w:rPr>
        <w:t xml:space="preserve"> </w:t>
      </w:r>
      <w:r>
        <w:rPr>
          <w:i w:val="0"/>
          <w:color w:val="auto"/>
          <w:spacing w:val="1"/>
          <w:szCs w:val="22"/>
        </w:rPr>
        <w:t>t</w:t>
      </w:r>
      <w:r>
        <w:rPr>
          <w:i w:val="0"/>
          <w:color w:val="auto"/>
          <w:spacing w:val="-2"/>
          <w:szCs w:val="22"/>
        </w:rPr>
        <w:t>r</w:t>
      </w:r>
      <w:r>
        <w:rPr>
          <w:i w:val="0"/>
          <w:color w:val="auto"/>
          <w:szCs w:val="22"/>
        </w:rPr>
        <w:t>a</w:t>
      </w:r>
      <w:r>
        <w:rPr>
          <w:i w:val="0"/>
          <w:color w:val="auto"/>
          <w:spacing w:val="-2"/>
          <w:szCs w:val="22"/>
        </w:rPr>
        <w:t>t</w:t>
      </w:r>
      <w:r>
        <w:rPr>
          <w:i w:val="0"/>
          <w:color w:val="auto"/>
          <w:szCs w:val="22"/>
        </w:rPr>
        <w:t>a</w:t>
      </w:r>
      <w:r>
        <w:rPr>
          <w:i w:val="0"/>
          <w:color w:val="auto"/>
          <w:spacing w:val="-2"/>
          <w:szCs w:val="22"/>
        </w:rPr>
        <w:t>m</w:t>
      </w:r>
      <w:r>
        <w:rPr>
          <w:i w:val="0"/>
          <w:color w:val="auto"/>
          <w:szCs w:val="22"/>
        </w:rPr>
        <w:t>en</w:t>
      </w:r>
      <w:r>
        <w:rPr>
          <w:i w:val="0"/>
          <w:color w:val="auto"/>
          <w:spacing w:val="1"/>
          <w:szCs w:val="22"/>
        </w:rPr>
        <w:t>t</w:t>
      </w:r>
      <w:r>
        <w:rPr>
          <w:i w:val="0"/>
          <w:color w:val="auto"/>
          <w:spacing w:val="-3"/>
          <w:szCs w:val="22"/>
        </w:rPr>
        <w:t>u</w:t>
      </w:r>
      <w:r>
        <w:rPr>
          <w:i w:val="0"/>
          <w:color w:val="auto"/>
          <w:spacing w:val="1"/>
          <w:szCs w:val="22"/>
        </w:rPr>
        <w:t>l</w:t>
      </w:r>
      <w:r>
        <w:rPr>
          <w:i w:val="0"/>
          <w:color w:val="auto"/>
          <w:szCs w:val="22"/>
        </w:rPr>
        <w:t>ui</w:t>
      </w:r>
      <w:r>
        <w:rPr>
          <w:i w:val="0"/>
          <w:color w:val="auto"/>
          <w:spacing w:val="-2"/>
          <w:szCs w:val="22"/>
        </w:rPr>
        <w:t xml:space="preserve"> </w:t>
      </w:r>
      <w:r>
        <w:rPr>
          <w:i w:val="0"/>
          <w:color w:val="auto"/>
          <w:szCs w:val="22"/>
        </w:rPr>
        <w:t xml:space="preserve">cu </w:t>
      </w:r>
      <w:r>
        <w:rPr>
          <w:i w:val="0"/>
          <w:color w:val="auto"/>
          <w:spacing w:val="-1"/>
          <w:szCs w:val="22"/>
        </w:rPr>
        <w:t>AMGEVITA</w:t>
      </w:r>
      <w:r>
        <w:rPr>
          <w:i w:val="0"/>
          <w:color w:val="auto"/>
          <w:szCs w:val="22"/>
        </w:rPr>
        <w:t xml:space="preserve">, </w:t>
      </w:r>
      <w:r>
        <w:rPr>
          <w:i w:val="0"/>
          <w:color w:val="auto"/>
          <w:spacing w:val="-3"/>
          <w:szCs w:val="22"/>
        </w:rPr>
        <w:t>p</w:t>
      </w:r>
      <w:r>
        <w:rPr>
          <w:i w:val="0"/>
          <w:color w:val="auto"/>
          <w:szCs w:val="22"/>
        </w:rPr>
        <w:t>ac</w:t>
      </w:r>
      <w:r>
        <w:rPr>
          <w:i w:val="0"/>
          <w:color w:val="auto"/>
          <w:spacing w:val="-2"/>
          <w:szCs w:val="22"/>
        </w:rPr>
        <w:t>i</w:t>
      </w:r>
      <w:r>
        <w:rPr>
          <w:i w:val="0"/>
          <w:color w:val="auto"/>
          <w:szCs w:val="22"/>
        </w:rPr>
        <w:t>en</w:t>
      </w:r>
      <w:r>
        <w:rPr>
          <w:i w:val="0"/>
          <w:color w:val="auto"/>
          <w:spacing w:val="-2"/>
          <w:szCs w:val="22"/>
        </w:rPr>
        <w:t>ţi</w:t>
      </w:r>
      <w:r>
        <w:rPr>
          <w:i w:val="0"/>
          <w:color w:val="auto"/>
          <w:szCs w:val="22"/>
        </w:rPr>
        <w:t>i</w:t>
      </w:r>
      <w:r>
        <w:rPr>
          <w:i w:val="0"/>
          <w:color w:val="auto"/>
          <w:spacing w:val="1"/>
          <w:szCs w:val="22"/>
        </w:rPr>
        <w:t xml:space="preserve"> </w:t>
      </w:r>
      <w:r>
        <w:rPr>
          <w:i w:val="0"/>
          <w:color w:val="auto"/>
          <w:spacing w:val="-2"/>
          <w:szCs w:val="22"/>
        </w:rPr>
        <w:t>t</w:t>
      </w:r>
      <w:r>
        <w:rPr>
          <w:i w:val="0"/>
          <w:color w:val="auto"/>
          <w:szCs w:val="22"/>
        </w:rPr>
        <w:t>reb</w:t>
      </w:r>
      <w:r>
        <w:rPr>
          <w:i w:val="0"/>
          <w:color w:val="auto"/>
          <w:spacing w:val="-3"/>
          <w:szCs w:val="22"/>
        </w:rPr>
        <w:t>u</w:t>
      </w:r>
      <w:r>
        <w:rPr>
          <w:i w:val="0"/>
          <w:color w:val="auto"/>
          <w:spacing w:val="1"/>
          <w:szCs w:val="22"/>
        </w:rPr>
        <w:t>i</w:t>
      </w:r>
      <w:r>
        <w:rPr>
          <w:i w:val="0"/>
          <w:color w:val="auto"/>
          <w:szCs w:val="22"/>
        </w:rPr>
        <w:t>e</w:t>
      </w:r>
      <w:r>
        <w:rPr>
          <w:i w:val="0"/>
          <w:color w:val="auto"/>
          <w:spacing w:val="-2"/>
          <w:szCs w:val="22"/>
        </w:rPr>
        <w:t xml:space="preserve"> </w:t>
      </w:r>
      <w:r>
        <w:rPr>
          <w:i w:val="0"/>
          <w:color w:val="auto"/>
          <w:spacing w:val="1"/>
          <w:szCs w:val="22"/>
        </w:rPr>
        <w:lastRenderedPageBreak/>
        <w:t>t</w:t>
      </w:r>
      <w:r>
        <w:rPr>
          <w:i w:val="0"/>
          <w:color w:val="auto"/>
          <w:szCs w:val="22"/>
        </w:rPr>
        <w:t>e</w:t>
      </w:r>
      <w:r>
        <w:rPr>
          <w:i w:val="0"/>
          <w:color w:val="auto"/>
          <w:spacing w:val="-2"/>
          <w:szCs w:val="22"/>
        </w:rPr>
        <w:t>s</w:t>
      </w:r>
      <w:r>
        <w:rPr>
          <w:i w:val="0"/>
          <w:color w:val="auto"/>
          <w:spacing w:val="1"/>
          <w:szCs w:val="22"/>
        </w:rPr>
        <w:t>t</w:t>
      </w:r>
      <w:r>
        <w:rPr>
          <w:i w:val="0"/>
          <w:color w:val="auto"/>
          <w:spacing w:val="-3"/>
          <w:szCs w:val="22"/>
        </w:rPr>
        <w:t>a</w:t>
      </w:r>
      <w:r>
        <w:rPr>
          <w:i w:val="0"/>
          <w:color w:val="auto"/>
          <w:spacing w:val="1"/>
          <w:szCs w:val="22"/>
        </w:rPr>
        <w:t>ţ</w:t>
      </w:r>
      <w:r>
        <w:rPr>
          <w:i w:val="0"/>
          <w:color w:val="auto"/>
          <w:szCs w:val="22"/>
        </w:rPr>
        <w:t>i</w:t>
      </w:r>
      <w:r>
        <w:rPr>
          <w:i w:val="0"/>
          <w:color w:val="auto"/>
          <w:spacing w:val="1"/>
          <w:szCs w:val="22"/>
        </w:rPr>
        <w:t xml:space="preserve"> </w:t>
      </w:r>
      <w:r>
        <w:rPr>
          <w:i w:val="0"/>
          <w:color w:val="auto"/>
          <w:spacing w:val="-3"/>
          <w:szCs w:val="22"/>
        </w:rPr>
        <w:t>d</w:t>
      </w:r>
      <w:r>
        <w:rPr>
          <w:i w:val="0"/>
          <w:color w:val="auto"/>
          <w:spacing w:val="1"/>
          <w:szCs w:val="22"/>
        </w:rPr>
        <w:t xml:space="preserve">in </w:t>
      </w:r>
      <w:r>
        <w:rPr>
          <w:i w:val="0"/>
          <w:color w:val="auto"/>
          <w:szCs w:val="22"/>
        </w:rPr>
        <w:t>punct</w:t>
      </w:r>
      <w:r>
        <w:rPr>
          <w:i w:val="0"/>
          <w:color w:val="auto"/>
          <w:spacing w:val="-2"/>
          <w:szCs w:val="22"/>
        </w:rPr>
        <w:t xml:space="preserve"> </w:t>
      </w:r>
      <w:r>
        <w:rPr>
          <w:i w:val="0"/>
          <w:color w:val="auto"/>
          <w:szCs w:val="22"/>
        </w:rPr>
        <w:t xml:space="preserve">de </w:t>
      </w:r>
      <w:r>
        <w:rPr>
          <w:i w:val="0"/>
          <w:color w:val="auto"/>
          <w:spacing w:val="-3"/>
          <w:szCs w:val="22"/>
        </w:rPr>
        <w:t>v</w:t>
      </w:r>
      <w:r>
        <w:rPr>
          <w:i w:val="0"/>
          <w:color w:val="auto"/>
          <w:szCs w:val="22"/>
        </w:rPr>
        <w:t>ede</w:t>
      </w:r>
      <w:r>
        <w:rPr>
          <w:i w:val="0"/>
          <w:color w:val="auto"/>
          <w:spacing w:val="-2"/>
          <w:szCs w:val="22"/>
        </w:rPr>
        <w:t>r</w:t>
      </w:r>
      <w:r>
        <w:rPr>
          <w:i w:val="0"/>
          <w:color w:val="auto"/>
          <w:szCs w:val="22"/>
        </w:rPr>
        <w:t xml:space="preserve">e a </w:t>
      </w:r>
      <w:r>
        <w:rPr>
          <w:i w:val="0"/>
          <w:color w:val="auto"/>
          <w:spacing w:val="-3"/>
          <w:szCs w:val="22"/>
        </w:rPr>
        <w:t>p</w:t>
      </w:r>
      <w:r>
        <w:rPr>
          <w:i w:val="0"/>
          <w:color w:val="auto"/>
          <w:szCs w:val="22"/>
        </w:rPr>
        <w:t>re</w:t>
      </w:r>
      <w:r>
        <w:rPr>
          <w:i w:val="0"/>
          <w:color w:val="auto"/>
          <w:spacing w:val="-3"/>
          <w:szCs w:val="22"/>
        </w:rPr>
        <w:t>z</w:t>
      </w:r>
      <w:r>
        <w:rPr>
          <w:i w:val="0"/>
          <w:color w:val="auto"/>
          <w:szCs w:val="22"/>
        </w:rPr>
        <w:t>en</w:t>
      </w:r>
      <w:r>
        <w:rPr>
          <w:i w:val="0"/>
          <w:color w:val="auto"/>
          <w:spacing w:val="-2"/>
          <w:szCs w:val="22"/>
        </w:rPr>
        <w:t>ţ</w:t>
      </w:r>
      <w:r>
        <w:rPr>
          <w:i w:val="0"/>
          <w:color w:val="auto"/>
          <w:szCs w:val="22"/>
        </w:rPr>
        <w:t>ei</w:t>
      </w:r>
      <w:r>
        <w:rPr>
          <w:i w:val="0"/>
          <w:color w:val="auto"/>
          <w:spacing w:val="-2"/>
          <w:szCs w:val="22"/>
        </w:rPr>
        <w:t xml:space="preserve"> </w:t>
      </w:r>
      <w:r>
        <w:rPr>
          <w:i w:val="0"/>
          <w:color w:val="auto"/>
          <w:spacing w:val="1"/>
          <w:szCs w:val="22"/>
        </w:rPr>
        <w:t>i</w:t>
      </w:r>
      <w:r>
        <w:rPr>
          <w:i w:val="0"/>
          <w:color w:val="auto"/>
          <w:szCs w:val="22"/>
        </w:rPr>
        <w:t>n</w:t>
      </w:r>
      <w:r>
        <w:rPr>
          <w:i w:val="0"/>
          <w:color w:val="auto"/>
          <w:spacing w:val="-2"/>
          <w:szCs w:val="22"/>
        </w:rPr>
        <w:t>f</w:t>
      </w:r>
      <w:r>
        <w:rPr>
          <w:i w:val="0"/>
          <w:color w:val="auto"/>
          <w:szCs w:val="22"/>
        </w:rPr>
        <w:t>ec</w:t>
      </w:r>
      <w:r>
        <w:rPr>
          <w:i w:val="0"/>
          <w:color w:val="auto"/>
          <w:spacing w:val="-2"/>
          <w:szCs w:val="22"/>
        </w:rPr>
        <w:t>ţ</w:t>
      </w:r>
      <w:r>
        <w:rPr>
          <w:i w:val="0"/>
          <w:color w:val="auto"/>
          <w:spacing w:val="1"/>
          <w:szCs w:val="22"/>
        </w:rPr>
        <w:t>i</w:t>
      </w:r>
      <w:r>
        <w:rPr>
          <w:i w:val="0"/>
          <w:color w:val="auto"/>
          <w:spacing w:val="-3"/>
          <w:szCs w:val="22"/>
        </w:rPr>
        <w:t>e</w:t>
      </w:r>
      <w:r>
        <w:rPr>
          <w:i w:val="0"/>
          <w:color w:val="auto"/>
          <w:szCs w:val="22"/>
        </w:rPr>
        <w:t>i</w:t>
      </w:r>
      <w:r>
        <w:rPr>
          <w:i w:val="0"/>
          <w:color w:val="auto"/>
          <w:spacing w:val="-2"/>
          <w:szCs w:val="22"/>
        </w:rPr>
        <w:t xml:space="preserve"> </w:t>
      </w:r>
      <w:r>
        <w:rPr>
          <w:i w:val="0"/>
          <w:color w:val="auto"/>
          <w:spacing w:val="1"/>
          <w:szCs w:val="22"/>
        </w:rPr>
        <w:t>V</w:t>
      </w:r>
      <w:r>
        <w:rPr>
          <w:i w:val="0"/>
          <w:color w:val="auto"/>
          <w:spacing w:val="-1"/>
          <w:szCs w:val="22"/>
        </w:rPr>
        <w:t>HB</w:t>
      </w:r>
      <w:r>
        <w:rPr>
          <w:i w:val="0"/>
          <w:color w:val="auto"/>
          <w:szCs w:val="22"/>
        </w:rPr>
        <w:t xml:space="preserve">. </w:t>
      </w:r>
      <w:r>
        <w:rPr>
          <w:i w:val="0"/>
          <w:color w:val="auto"/>
          <w:spacing w:val="-1"/>
          <w:szCs w:val="22"/>
        </w:rPr>
        <w:t>P</w:t>
      </w:r>
      <w:r>
        <w:rPr>
          <w:i w:val="0"/>
          <w:color w:val="auto"/>
          <w:szCs w:val="22"/>
        </w:rPr>
        <w:t>en</w:t>
      </w:r>
      <w:r>
        <w:rPr>
          <w:i w:val="0"/>
          <w:color w:val="auto"/>
          <w:spacing w:val="-2"/>
          <w:szCs w:val="22"/>
        </w:rPr>
        <w:t>t</w:t>
      </w:r>
      <w:r>
        <w:rPr>
          <w:i w:val="0"/>
          <w:color w:val="auto"/>
          <w:szCs w:val="22"/>
        </w:rPr>
        <w:t xml:space="preserve">ru </w:t>
      </w:r>
      <w:r>
        <w:rPr>
          <w:i w:val="0"/>
          <w:color w:val="auto"/>
          <w:spacing w:val="-3"/>
          <w:szCs w:val="22"/>
        </w:rPr>
        <w:t>p</w:t>
      </w:r>
      <w:r>
        <w:rPr>
          <w:i w:val="0"/>
          <w:color w:val="auto"/>
          <w:szCs w:val="22"/>
        </w:rPr>
        <w:t>a</w:t>
      </w:r>
      <w:r>
        <w:rPr>
          <w:i w:val="0"/>
          <w:color w:val="auto"/>
          <w:spacing w:val="-3"/>
          <w:szCs w:val="22"/>
        </w:rPr>
        <w:t>c</w:t>
      </w:r>
      <w:r>
        <w:rPr>
          <w:i w:val="0"/>
          <w:color w:val="auto"/>
          <w:spacing w:val="-2"/>
          <w:szCs w:val="22"/>
        </w:rPr>
        <w:t>i</w:t>
      </w:r>
      <w:r>
        <w:rPr>
          <w:i w:val="0"/>
          <w:color w:val="auto"/>
          <w:szCs w:val="22"/>
        </w:rPr>
        <w:t>en</w:t>
      </w:r>
      <w:r>
        <w:rPr>
          <w:i w:val="0"/>
          <w:color w:val="auto"/>
          <w:spacing w:val="-2"/>
          <w:szCs w:val="22"/>
        </w:rPr>
        <w:t>ţ</w:t>
      </w:r>
      <w:r>
        <w:rPr>
          <w:i w:val="0"/>
          <w:color w:val="auto"/>
          <w:spacing w:val="1"/>
          <w:szCs w:val="22"/>
        </w:rPr>
        <w:t>i</w:t>
      </w:r>
      <w:r>
        <w:rPr>
          <w:i w:val="0"/>
          <w:color w:val="auto"/>
          <w:szCs w:val="22"/>
        </w:rPr>
        <w:t>i</w:t>
      </w:r>
      <w:r>
        <w:rPr>
          <w:i w:val="0"/>
          <w:color w:val="auto"/>
          <w:spacing w:val="1"/>
          <w:szCs w:val="22"/>
        </w:rPr>
        <w:t xml:space="preserve"> </w:t>
      </w:r>
      <w:r>
        <w:rPr>
          <w:i w:val="0"/>
          <w:color w:val="auto"/>
          <w:spacing w:val="-3"/>
          <w:szCs w:val="22"/>
        </w:rPr>
        <w:t>c</w:t>
      </w:r>
      <w:r>
        <w:rPr>
          <w:i w:val="0"/>
          <w:color w:val="auto"/>
          <w:szCs w:val="22"/>
        </w:rPr>
        <w:t xml:space="preserve">u </w:t>
      </w:r>
      <w:r>
        <w:rPr>
          <w:i w:val="0"/>
          <w:color w:val="auto"/>
          <w:spacing w:val="-2"/>
          <w:szCs w:val="22"/>
        </w:rPr>
        <w:t>t</w:t>
      </w:r>
      <w:r>
        <w:rPr>
          <w:i w:val="0"/>
          <w:color w:val="auto"/>
          <w:szCs w:val="22"/>
        </w:rPr>
        <w:t>est</w:t>
      </w:r>
      <w:r>
        <w:rPr>
          <w:i w:val="0"/>
          <w:color w:val="auto"/>
          <w:spacing w:val="-2"/>
          <w:szCs w:val="22"/>
        </w:rPr>
        <w:t xml:space="preserve"> </w:t>
      </w:r>
      <w:r>
        <w:rPr>
          <w:i w:val="0"/>
          <w:color w:val="auto"/>
          <w:szCs w:val="22"/>
        </w:rPr>
        <w:t>po</w:t>
      </w:r>
      <w:r>
        <w:rPr>
          <w:i w:val="0"/>
          <w:color w:val="auto"/>
          <w:spacing w:val="-3"/>
          <w:szCs w:val="22"/>
        </w:rPr>
        <w:t>z</w:t>
      </w:r>
      <w:r>
        <w:rPr>
          <w:i w:val="0"/>
          <w:color w:val="auto"/>
          <w:spacing w:val="1"/>
          <w:szCs w:val="22"/>
        </w:rPr>
        <w:t>i</w:t>
      </w:r>
      <w:r>
        <w:rPr>
          <w:i w:val="0"/>
          <w:color w:val="auto"/>
          <w:spacing w:val="-2"/>
          <w:szCs w:val="22"/>
        </w:rPr>
        <w:t>t</w:t>
      </w:r>
      <w:r>
        <w:rPr>
          <w:i w:val="0"/>
          <w:color w:val="auto"/>
          <w:spacing w:val="1"/>
          <w:szCs w:val="22"/>
        </w:rPr>
        <w:t>i</w:t>
      </w:r>
      <w:r>
        <w:rPr>
          <w:i w:val="0"/>
          <w:color w:val="auto"/>
          <w:szCs w:val="22"/>
        </w:rPr>
        <w:t>v</w:t>
      </w:r>
      <w:r>
        <w:rPr>
          <w:i w:val="0"/>
          <w:color w:val="auto"/>
          <w:spacing w:val="-3"/>
          <w:szCs w:val="22"/>
        </w:rPr>
        <w:t xml:space="preserve"> </w:t>
      </w:r>
      <w:r>
        <w:rPr>
          <w:i w:val="0"/>
          <w:color w:val="auto"/>
          <w:szCs w:val="22"/>
        </w:rPr>
        <w:t>pen</w:t>
      </w:r>
      <w:r>
        <w:rPr>
          <w:i w:val="0"/>
          <w:color w:val="auto"/>
          <w:spacing w:val="-2"/>
          <w:szCs w:val="22"/>
        </w:rPr>
        <w:t>t</w:t>
      </w:r>
      <w:r>
        <w:rPr>
          <w:i w:val="0"/>
          <w:color w:val="auto"/>
          <w:szCs w:val="22"/>
        </w:rPr>
        <w:t xml:space="preserve">ru </w:t>
      </w:r>
      <w:r>
        <w:rPr>
          <w:i w:val="0"/>
          <w:color w:val="auto"/>
          <w:spacing w:val="-2"/>
          <w:szCs w:val="22"/>
        </w:rPr>
        <w:t>i</w:t>
      </w:r>
      <w:r>
        <w:rPr>
          <w:i w:val="0"/>
          <w:color w:val="auto"/>
          <w:szCs w:val="22"/>
        </w:rPr>
        <w:t>nfe</w:t>
      </w:r>
      <w:r>
        <w:rPr>
          <w:i w:val="0"/>
          <w:color w:val="auto"/>
          <w:spacing w:val="-3"/>
          <w:szCs w:val="22"/>
        </w:rPr>
        <w:t>c</w:t>
      </w:r>
      <w:r>
        <w:rPr>
          <w:i w:val="0"/>
          <w:color w:val="auto"/>
          <w:spacing w:val="1"/>
          <w:szCs w:val="22"/>
        </w:rPr>
        <w:t>ţ</w:t>
      </w:r>
      <w:r>
        <w:rPr>
          <w:i w:val="0"/>
          <w:color w:val="auto"/>
          <w:spacing w:val="-2"/>
          <w:szCs w:val="22"/>
        </w:rPr>
        <w:t>i</w:t>
      </w:r>
      <w:r>
        <w:rPr>
          <w:i w:val="0"/>
          <w:color w:val="auto"/>
          <w:szCs w:val="22"/>
        </w:rPr>
        <w:t xml:space="preserve">a cu </w:t>
      </w:r>
      <w:r>
        <w:rPr>
          <w:i w:val="0"/>
          <w:color w:val="auto"/>
          <w:spacing w:val="-3"/>
          <w:szCs w:val="22"/>
        </w:rPr>
        <w:t>h</w:t>
      </w:r>
      <w:r>
        <w:rPr>
          <w:i w:val="0"/>
          <w:color w:val="auto"/>
          <w:szCs w:val="22"/>
        </w:rPr>
        <w:t>ep</w:t>
      </w:r>
      <w:r>
        <w:rPr>
          <w:i w:val="0"/>
          <w:color w:val="auto"/>
          <w:spacing w:val="-3"/>
          <w:szCs w:val="22"/>
        </w:rPr>
        <w:t>a</w:t>
      </w:r>
      <w:r>
        <w:rPr>
          <w:i w:val="0"/>
          <w:color w:val="auto"/>
          <w:spacing w:val="1"/>
          <w:szCs w:val="22"/>
        </w:rPr>
        <w:t>t</w:t>
      </w:r>
      <w:r>
        <w:rPr>
          <w:i w:val="0"/>
          <w:color w:val="auto"/>
          <w:spacing w:val="-2"/>
          <w:szCs w:val="22"/>
        </w:rPr>
        <w:t>i</w:t>
      </w:r>
      <w:r>
        <w:rPr>
          <w:i w:val="0"/>
          <w:color w:val="auto"/>
          <w:spacing w:val="1"/>
          <w:szCs w:val="22"/>
        </w:rPr>
        <w:t>t</w:t>
      </w:r>
      <w:r>
        <w:rPr>
          <w:i w:val="0"/>
          <w:color w:val="auto"/>
          <w:szCs w:val="22"/>
        </w:rPr>
        <w:t xml:space="preserve">ă </w:t>
      </w:r>
      <w:r>
        <w:rPr>
          <w:i w:val="0"/>
          <w:color w:val="auto"/>
          <w:spacing w:val="-1"/>
          <w:szCs w:val="22"/>
        </w:rPr>
        <w:t>B</w:t>
      </w:r>
      <w:r>
        <w:rPr>
          <w:i w:val="0"/>
          <w:color w:val="auto"/>
          <w:szCs w:val="22"/>
        </w:rPr>
        <w:t xml:space="preserve">, se </w:t>
      </w:r>
      <w:r>
        <w:rPr>
          <w:i w:val="0"/>
          <w:color w:val="auto"/>
          <w:spacing w:val="-2"/>
          <w:szCs w:val="22"/>
        </w:rPr>
        <w:t>r</w:t>
      </w:r>
      <w:r>
        <w:rPr>
          <w:i w:val="0"/>
          <w:color w:val="auto"/>
          <w:szCs w:val="22"/>
        </w:rPr>
        <w:t>eco</w:t>
      </w:r>
      <w:r>
        <w:rPr>
          <w:i w:val="0"/>
          <w:color w:val="auto"/>
          <w:spacing w:val="-4"/>
          <w:szCs w:val="22"/>
        </w:rPr>
        <w:t>m</w:t>
      </w:r>
      <w:r>
        <w:rPr>
          <w:i w:val="0"/>
          <w:color w:val="auto"/>
          <w:szCs w:val="22"/>
        </w:rPr>
        <w:t>andă co</w:t>
      </w:r>
      <w:r>
        <w:rPr>
          <w:i w:val="0"/>
          <w:color w:val="auto"/>
          <w:spacing w:val="-3"/>
          <w:szCs w:val="22"/>
        </w:rPr>
        <w:t>n</w:t>
      </w:r>
      <w:r>
        <w:rPr>
          <w:i w:val="0"/>
          <w:color w:val="auto"/>
          <w:szCs w:val="22"/>
        </w:rPr>
        <w:t>su</w:t>
      </w:r>
      <w:r>
        <w:rPr>
          <w:i w:val="0"/>
          <w:color w:val="auto"/>
          <w:spacing w:val="-2"/>
          <w:szCs w:val="22"/>
        </w:rPr>
        <w:t>l</w:t>
      </w:r>
      <w:r>
        <w:rPr>
          <w:i w:val="0"/>
          <w:color w:val="auto"/>
          <w:spacing w:val="1"/>
          <w:szCs w:val="22"/>
        </w:rPr>
        <w:t>t</w:t>
      </w:r>
      <w:r>
        <w:rPr>
          <w:i w:val="0"/>
          <w:color w:val="auto"/>
          <w:spacing w:val="-3"/>
          <w:szCs w:val="22"/>
        </w:rPr>
        <w:t>u</w:t>
      </w:r>
      <w:r>
        <w:rPr>
          <w:i w:val="0"/>
          <w:color w:val="auto"/>
          <w:szCs w:val="22"/>
        </w:rPr>
        <w:t>l</w:t>
      </w:r>
      <w:r>
        <w:rPr>
          <w:i w:val="0"/>
          <w:color w:val="auto"/>
          <w:spacing w:val="-2"/>
          <w:szCs w:val="22"/>
        </w:rPr>
        <w:t xml:space="preserve"> </w:t>
      </w:r>
      <w:r>
        <w:rPr>
          <w:i w:val="0"/>
          <w:color w:val="auto"/>
          <w:szCs w:val="22"/>
        </w:rPr>
        <w:t>unui</w:t>
      </w:r>
      <w:r>
        <w:rPr>
          <w:i w:val="0"/>
          <w:color w:val="auto"/>
          <w:spacing w:val="1"/>
          <w:szCs w:val="22"/>
        </w:rPr>
        <w:t xml:space="preserve"> </w:t>
      </w:r>
      <w:r>
        <w:rPr>
          <w:i w:val="0"/>
          <w:color w:val="auto"/>
          <w:spacing w:val="-4"/>
          <w:szCs w:val="22"/>
        </w:rPr>
        <w:t>m</w:t>
      </w:r>
      <w:r>
        <w:rPr>
          <w:i w:val="0"/>
          <w:color w:val="auto"/>
          <w:szCs w:val="22"/>
        </w:rPr>
        <w:t>ed</w:t>
      </w:r>
      <w:r>
        <w:rPr>
          <w:i w:val="0"/>
          <w:color w:val="auto"/>
          <w:spacing w:val="1"/>
          <w:szCs w:val="22"/>
        </w:rPr>
        <w:t>i</w:t>
      </w:r>
      <w:r>
        <w:rPr>
          <w:i w:val="0"/>
          <w:color w:val="auto"/>
          <w:szCs w:val="22"/>
        </w:rPr>
        <w:t>c</w:t>
      </w:r>
      <w:r>
        <w:rPr>
          <w:i w:val="0"/>
          <w:color w:val="auto"/>
          <w:spacing w:val="-2"/>
          <w:szCs w:val="22"/>
        </w:rPr>
        <w:t xml:space="preserve"> </w:t>
      </w:r>
      <w:r>
        <w:rPr>
          <w:i w:val="0"/>
          <w:color w:val="auto"/>
          <w:szCs w:val="22"/>
        </w:rPr>
        <w:t>spe</w:t>
      </w:r>
      <w:r>
        <w:rPr>
          <w:i w:val="0"/>
          <w:color w:val="auto"/>
          <w:spacing w:val="-3"/>
          <w:szCs w:val="22"/>
        </w:rPr>
        <w:t>c</w:t>
      </w:r>
      <w:r>
        <w:rPr>
          <w:i w:val="0"/>
          <w:color w:val="auto"/>
          <w:spacing w:val="1"/>
          <w:szCs w:val="22"/>
        </w:rPr>
        <w:t>i</w:t>
      </w:r>
      <w:r>
        <w:rPr>
          <w:i w:val="0"/>
          <w:color w:val="auto"/>
          <w:spacing w:val="-3"/>
          <w:szCs w:val="22"/>
        </w:rPr>
        <w:t>a</w:t>
      </w:r>
      <w:r>
        <w:rPr>
          <w:i w:val="0"/>
          <w:color w:val="auto"/>
          <w:spacing w:val="1"/>
          <w:szCs w:val="22"/>
        </w:rPr>
        <w:t>l</w:t>
      </w:r>
      <w:r>
        <w:rPr>
          <w:i w:val="0"/>
          <w:color w:val="auto"/>
          <w:spacing w:val="-2"/>
          <w:szCs w:val="22"/>
        </w:rPr>
        <w:t>i</w:t>
      </w:r>
      <w:r>
        <w:rPr>
          <w:i w:val="0"/>
          <w:color w:val="auto"/>
          <w:szCs w:val="22"/>
        </w:rPr>
        <w:t>st</w:t>
      </w:r>
      <w:r>
        <w:rPr>
          <w:i w:val="0"/>
          <w:color w:val="auto"/>
          <w:spacing w:val="1"/>
          <w:szCs w:val="22"/>
        </w:rPr>
        <w:t xml:space="preserve"> </w:t>
      </w:r>
      <w:r>
        <w:rPr>
          <w:i w:val="0"/>
          <w:color w:val="auto"/>
          <w:spacing w:val="-3"/>
          <w:szCs w:val="22"/>
        </w:rPr>
        <w:t>c</w:t>
      </w:r>
      <w:r>
        <w:rPr>
          <w:i w:val="0"/>
          <w:color w:val="auto"/>
          <w:szCs w:val="22"/>
        </w:rPr>
        <w:t>u e</w:t>
      </w:r>
      <w:r>
        <w:rPr>
          <w:i w:val="0"/>
          <w:color w:val="auto"/>
          <w:spacing w:val="-3"/>
          <w:szCs w:val="22"/>
        </w:rPr>
        <w:t>x</w:t>
      </w:r>
      <w:r>
        <w:rPr>
          <w:i w:val="0"/>
          <w:color w:val="auto"/>
          <w:szCs w:val="22"/>
        </w:rPr>
        <w:t>per</w:t>
      </w:r>
      <w:r>
        <w:rPr>
          <w:i w:val="0"/>
          <w:color w:val="auto"/>
          <w:spacing w:val="-2"/>
          <w:szCs w:val="22"/>
        </w:rPr>
        <w:t>i</w:t>
      </w:r>
      <w:r>
        <w:rPr>
          <w:i w:val="0"/>
          <w:color w:val="auto"/>
          <w:szCs w:val="22"/>
        </w:rPr>
        <w:t>en</w:t>
      </w:r>
      <w:r>
        <w:rPr>
          <w:i w:val="0"/>
          <w:color w:val="auto"/>
          <w:spacing w:val="-2"/>
          <w:szCs w:val="22"/>
        </w:rPr>
        <w:t>ţ</w:t>
      </w:r>
      <w:r>
        <w:rPr>
          <w:i w:val="0"/>
          <w:color w:val="auto"/>
          <w:szCs w:val="22"/>
        </w:rPr>
        <w:t xml:space="preserve">ă </w:t>
      </w:r>
      <w:r>
        <w:rPr>
          <w:i w:val="0"/>
          <w:color w:val="auto"/>
          <w:spacing w:val="-2"/>
          <w:szCs w:val="22"/>
        </w:rPr>
        <w:t>î</w:t>
      </w:r>
      <w:r>
        <w:rPr>
          <w:i w:val="0"/>
          <w:color w:val="auto"/>
          <w:szCs w:val="22"/>
        </w:rPr>
        <w:t xml:space="preserve">n </w:t>
      </w:r>
      <w:r>
        <w:rPr>
          <w:i w:val="0"/>
          <w:color w:val="auto"/>
          <w:spacing w:val="-2"/>
          <w:szCs w:val="22"/>
        </w:rPr>
        <w:t>t</w:t>
      </w:r>
      <w:r>
        <w:rPr>
          <w:i w:val="0"/>
          <w:color w:val="auto"/>
          <w:szCs w:val="22"/>
        </w:rPr>
        <w:t>ra</w:t>
      </w:r>
      <w:r>
        <w:rPr>
          <w:i w:val="0"/>
          <w:color w:val="auto"/>
          <w:spacing w:val="-2"/>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ul</w:t>
      </w:r>
      <w:r>
        <w:rPr>
          <w:i w:val="0"/>
          <w:color w:val="auto"/>
          <w:spacing w:val="1"/>
          <w:szCs w:val="22"/>
        </w:rPr>
        <w:t xml:space="preserve"> </w:t>
      </w:r>
      <w:r>
        <w:rPr>
          <w:i w:val="0"/>
          <w:color w:val="auto"/>
          <w:spacing w:val="-3"/>
          <w:szCs w:val="22"/>
        </w:rPr>
        <w:t>h</w:t>
      </w:r>
      <w:r>
        <w:rPr>
          <w:i w:val="0"/>
          <w:color w:val="auto"/>
          <w:szCs w:val="22"/>
        </w:rPr>
        <w:t>e</w:t>
      </w:r>
      <w:r>
        <w:rPr>
          <w:i w:val="0"/>
          <w:color w:val="auto"/>
          <w:spacing w:val="-3"/>
          <w:szCs w:val="22"/>
        </w:rPr>
        <w:t>p</w:t>
      </w:r>
      <w:r>
        <w:rPr>
          <w:i w:val="0"/>
          <w:color w:val="auto"/>
          <w:szCs w:val="22"/>
        </w:rPr>
        <w:t>a</w:t>
      </w:r>
      <w:r>
        <w:rPr>
          <w:i w:val="0"/>
          <w:color w:val="auto"/>
          <w:spacing w:val="1"/>
          <w:szCs w:val="22"/>
        </w:rPr>
        <w:t>t</w:t>
      </w:r>
      <w:r>
        <w:rPr>
          <w:i w:val="0"/>
          <w:color w:val="auto"/>
          <w:spacing w:val="-2"/>
          <w:szCs w:val="22"/>
        </w:rPr>
        <w:t>i</w:t>
      </w:r>
      <w:r>
        <w:rPr>
          <w:i w:val="0"/>
          <w:color w:val="auto"/>
          <w:szCs w:val="22"/>
        </w:rPr>
        <w:t>t</w:t>
      </w:r>
      <w:r>
        <w:rPr>
          <w:i w:val="0"/>
          <w:color w:val="auto"/>
          <w:spacing w:val="-2"/>
          <w:szCs w:val="22"/>
        </w:rPr>
        <w:t>e</w:t>
      </w:r>
      <w:r>
        <w:rPr>
          <w:i w:val="0"/>
          <w:color w:val="auto"/>
          <w:szCs w:val="22"/>
        </w:rPr>
        <w:t>i</w:t>
      </w:r>
      <w:r>
        <w:rPr>
          <w:i w:val="0"/>
          <w:color w:val="auto"/>
          <w:spacing w:val="1"/>
          <w:szCs w:val="22"/>
        </w:rPr>
        <w:t xml:space="preserve"> </w:t>
      </w:r>
      <w:r>
        <w:rPr>
          <w:i w:val="0"/>
          <w:color w:val="auto"/>
          <w:spacing w:val="-1"/>
          <w:szCs w:val="22"/>
        </w:rPr>
        <w:t>B</w:t>
      </w:r>
      <w:r>
        <w:rPr>
          <w:i w:val="0"/>
          <w:color w:val="auto"/>
          <w:szCs w:val="22"/>
        </w:rPr>
        <w:t>.</w:t>
      </w:r>
    </w:p>
    <w:p w14:paraId="433DB2CA" w14:textId="77777777" w:rsidR="00C04CAD" w:rsidRDefault="00C04CAD">
      <w:pPr>
        <w:kinsoku w:val="0"/>
        <w:overflowPunct w:val="0"/>
        <w:spacing w:line="240" w:lineRule="auto"/>
        <w:rPr>
          <w:szCs w:val="22"/>
        </w:rPr>
      </w:pPr>
    </w:p>
    <w:p w14:paraId="3100C63A" w14:textId="77777777" w:rsidR="00C04CAD" w:rsidRDefault="00060E34">
      <w:pPr>
        <w:spacing w:line="240" w:lineRule="auto"/>
        <w:rPr>
          <w:szCs w:val="22"/>
        </w:rPr>
      </w:pPr>
      <w:r>
        <w:rPr>
          <w:spacing w:val="-1"/>
          <w:szCs w:val="22"/>
        </w:rPr>
        <w:t>P</w:t>
      </w:r>
      <w:r>
        <w:rPr>
          <w:szCs w:val="22"/>
        </w:rPr>
        <w:t>ur</w:t>
      </w:r>
      <w:r>
        <w:rPr>
          <w:spacing w:val="1"/>
          <w:szCs w:val="22"/>
        </w:rPr>
        <w:t>t</w:t>
      </w:r>
      <w:r>
        <w:rPr>
          <w:spacing w:val="-3"/>
          <w:szCs w:val="22"/>
        </w:rPr>
        <w:t>ă</w:t>
      </w:r>
      <w:r>
        <w:rPr>
          <w:spacing w:val="1"/>
          <w:szCs w:val="22"/>
        </w:rPr>
        <w:t>t</w:t>
      </w:r>
      <w:r>
        <w:rPr>
          <w:spacing w:val="-3"/>
          <w:szCs w:val="22"/>
        </w:rPr>
        <w:t>o</w:t>
      </w:r>
      <w:r>
        <w:rPr>
          <w:szCs w:val="22"/>
        </w:rPr>
        <w:t>r</w:t>
      </w:r>
      <w:r>
        <w:rPr>
          <w:spacing w:val="-2"/>
          <w:szCs w:val="22"/>
        </w:rPr>
        <w:t>i</w:t>
      </w:r>
      <w:r>
        <w:rPr>
          <w:szCs w:val="22"/>
        </w:rPr>
        <w:t>i</w:t>
      </w:r>
      <w:r>
        <w:rPr>
          <w:spacing w:val="-2"/>
          <w:szCs w:val="22"/>
        </w:rPr>
        <w:t xml:space="preserve"> </w:t>
      </w:r>
      <w:r>
        <w:rPr>
          <w:spacing w:val="1"/>
          <w:szCs w:val="22"/>
        </w:rPr>
        <w:t>V</w:t>
      </w:r>
      <w:r>
        <w:rPr>
          <w:spacing w:val="-1"/>
          <w:szCs w:val="22"/>
        </w:rPr>
        <w:t>H</w:t>
      </w:r>
      <w:r>
        <w:rPr>
          <w:szCs w:val="22"/>
        </w:rPr>
        <w:t>B</w:t>
      </w:r>
      <w:r>
        <w:rPr>
          <w:spacing w:val="-1"/>
          <w:szCs w:val="22"/>
        </w:rPr>
        <w:t xml:space="preserve"> </w:t>
      </w:r>
      <w:r>
        <w:rPr>
          <w:szCs w:val="22"/>
        </w:rPr>
        <w:t>ca</w:t>
      </w:r>
      <w:r>
        <w:rPr>
          <w:spacing w:val="-2"/>
          <w:szCs w:val="22"/>
        </w:rPr>
        <w:t>r</w:t>
      </w:r>
      <w:r>
        <w:rPr>
          <w:szCs w:val="22"/>
        </w:rPr>
        <w:t>e n</w:t>
      </w:r>
      <w:r>
        <w:rPr>
          <w:spacing w:val="-3"/>
          <w:szCs w:val="22"/>
        </w:rPr>
        <w:t>e</w:t>
      </w:r>
      <w:r>
        <w:rPr>
          <w:szCs w:val="22"/>
        </w:rPr>
        <w:t>ce</w:t>
      </w:r>
      <w:r>
        <w:rPr>
          <w:spacing w:val="-2"/>
          <w:szCs w:val="22"/>
        </w:rPr>
        <w:t>s</w:t>
      </w:r>
      <w:r>
        <w:rPr>
          <w:spacing w:val="1"/>
          <w:szCs w:val="22"/>
        </w:rPr>
        <w:t>i</w:t>
      </w:r>
      <w:r>
        <w:rPr>
          <w:spacing w:val="-2"/>
          <w:szCs w:val="22"/>
        </w:rPr>
        <w:t>t</w:t>
      </w:r>
      <w:r>
        <w:rPr>
          <w:szCs w:val="22"/>
        </w:rPr>
        <w:t xml:space="preserve">ă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ent</w:t>
      </w:r>
      <w:r>
        <w:rPr>
          <w:spacing w:val="1"/>
          <w:szCs w:val="22"/>
        </w:rPr>
        <w:t xml:space="preserve"> </w:t>
      </w:r>
      <w:r>
        <w:rPr>
          <w:szCs w:val="22"/>
        </w:rPr>
        <w:t xml:space="preserve">cu </w:t>
      </w:r>
      <w:r>
        <w:rPr>
          <w:spacing w:val="-1"/>
          <w:szCs w:val="22"/>
        </w:rPr>
        <w:t>AMGEVITA</w:t>
      </w:r>
      <w:r>
        <w:rPr>
          <w:szCs w:val="22"/>
        </w:rPr>
        <w:t xml:space="preserve"> </w:t>
      </w:r>
      <w:r>
        <w:rPr>
          <w:spacing w:val="-2"/>
          <w:szCs w:val="22"/>
        </w:rPr>
        <w:t>t</w:t>
      </w:r>
      <w:r>
        <w:rPr>
          <w:szCs w:val="22"/>
        </w:rPr>
        <w:t>re</w:t>
      </w:r>
      <w:r>
        <w:rPr>
          <w:spacing w:val="-3"/>
          <w:szCs w:val="22"/>
        </w:rPr>
        <w:t>b</w:t>
      </w:r>
      <w:r>
        <w:rPr>
          <w:szCs w:val="22"/>
        </w:rPr>
        <w:t>u</w:t>
      </w:r>
      <w:r>
        <w:rPr>
          <w:spacing w:val="1"/>
          <w:szCs w:val="22"/>
        </w:rPr>
        <w:t>i</w:t>
      </w:r>
      <w:r>
        <w:rPr>
          <w:szCs w:val="22"/>
        </w:rPr>
        <w:t xml:space="preserve">e </w:t>
      </w:r>
      <w:r>
        <w:rPr>
          <w:spacing w:val="-3"/>
          <w:szCs w:val="22"/>
        </w:rPr>
        <w:t>a</w:t>
      </w:r>
      <w:r>
        <w:rPr>
          <w:spacing w:val="1"/>
          <w:szCs w:val="22"/>
        </w:rPr>
        <w:t>t</w:t>
      </w:r>
      <w:r>
        <w:rPr>
          <w:szCs w:val="22"/>
        </w:rPr>
        <w:t>e</w:t>
      </w:r>
      <w:r>
        <w:rPr>
          <w:spacing w:val="-3"/>
          <w:szCs w:val="22"/>
        </w:rPr>
        <w:t>n</w:t>
      </w:r>
      <w:r>
        <w:rPr>
          <w:szCs w:val="22"/>
        </w:rPr>
        <w:t>t</w:t>
      </w:r>
      <w:r>
        <w:rPr>
          <w:spacing w:val="1"/>
          <w:szCs w:val="22"/>
        </w:rPr>
        <w:t xml:space="preserve"> </w:t>
      </w:r>
      <w:r>
        <w:rPr>
          <w:spacing w:val="-4"/>
          <w:szCs w:val="22"/>
        </w:rPr>
        <w:t>m</w:t>
      </w:r>
      <w:r>
        <w:rPr>
          <w:szCs w:val="22"/>
        </w:rPr>
        <w:t>on</w:t>
      </w:r>
      <w:r>
        <w:rPr>
          <w:spacing w:val="1"/>
          <w:szCs w:val="22"/>
        </w:rPr>
        <w:t>it</w:t>
      </w:r>
      <w:r>
        <w:rPr>
          <w:spacing w:val="-3"/>
          <w:szCs w:val="22"/>
        </w:rPr>
        <w:t>o</w:t>
      </w:r>
      <w:r>
        <w:rPr>
          <w:szCs w:val="22"/>
        </w:rPr>
        <w:t>r</w:t>
      </w:r>
      <w:r>
        <w:rPr>
          <w:spacing w:val="1"/>
          <w:szCs w:val="22"/>
        </w:rPr>
        <w:t>i</w:t>
      </w:r>
      <w:r>
        <w:rPr>
          <w:spacing w:val="-3"/>
          <w:szCs w:val="22"/>
        </w:rPr>
        <w:t>z</w:t>
      </w:r>
      <w:r>
        <w:rPr>
          <w:szCs w:val="22"/>
        </w:rPr>
        <w:t>a</w:t>
      </w:r>
      <w:r>
        <w:rPr>
          <w:spacing w:val="-2"/>
          <w:szCs w:val="22"/>
        </w:rPr>
        <w:t>ţ</w:t>
      </w:r>
      <w:r>
        <w:rPr>
          <w:szCs w:val="22"/>
        </w:rPr>
        <w:t>i</w:t>
      </w:r>
      <w:r>
        <w:rPr>
          <w:spacing w:val="-2"/>
          <w:szCs w:val="22"/>
        </w:rPr>
        <w:t xml:space="preserve"> </w:t>
      </w:r>
      <w:r>
        <w:rPr>
          <w:spacing w:val="1"/>
          <w:szCs w:val="22"/>
        </w:rPr>
        <w:t>î</w:t>
      </w:r>
      <w:r>
        <w:rPr>
          <w:szCs w:val="22"/>
        </w:rPr>
        <w:t>n c</w:t>
      </w:r>
      <w:r>
        <w:rPr>
          <w:spacing w:val="-3"/>
          <w:szCs w:val="22"/>
        </w:rPr>
        <w:t>ee</w:t>
      </w:r>
      <w:r>
        <w:rPr>
          <w:szCs w:val="22"/>
        </w:rPr>
        <w:t xml:space="preserve">a ce </w:t>
      </w:r>
      <w:r>
        <w:rPr>
          <w:spacing w:val="-3"/>
          <w:szCs w:val="22"/>
        </w:rPr>
        <w:t>p</w:t>
      </w:r>
      <w:r>
        <w:rPr>
          <w:szCs w:val="22"/>
        </w:rPr>
        <w:t>r</w:t>
      </w:r>
      <w:r>
        <w:rPr>
          <w:spacing w:val="1"/>
          <w:szCs w:val="22"/>
        </w:rPr>
        <w:t>i</w:t>
      </w:r>
      <w:r>
        <w:rPr>
          <w:spacing w:val="-3"/>
          <w:szCs w:val="22"/>
        </w:rPr>
        <w:t>v</w:t>
      </w:r>
      <w:r>
        <w:rPr>
          <w:szCs w:val="22"/>
        </w:rPr>
        <w:t>e</w:t>
      </w:r>
      <w:r>
        <w:rPr>
          <w:spacing w:val="-2"/>
          <w:szCs w:val="22"/>
        </w:rPr>
        <w:t>ş</w:t>
      </w:r>
      <w:r>
        <w:rPr>
          <w:spacing w:val="1"/>
          <w:szCs w:val="22"/>
        </w:rPr>
        <w:t>t</w:t>
      </w:r>
      <w:r>
        <w:rPr>
          <w:szCs w:val="22"/>
        </w:rPr>
        <w:t>e se</w:t>
      </w:r>
      <w:r>
        <w:rPr>
          <w:spacing w:val="-4"/>
          <w:szCs w:val="22"/>
        </w:rPr>
        <w:t>m</w:t>
      </w:r>
      <w:r>
        <w:rPr>
          <w:szCs w:val="22"/>
        </w:rPr>
        <w:t>ne</w:t>
      </w:r>
      <w:r>
        <w:rPr>
          <w:spacing w:val="1"/>
          <w:szCs w:val="22"/>
        </w:rPr>
        <w:t>l</w:t>
      </w:r>
      <w:r>
        <w:rPr>
          <w:szCs w:val="22"/>
        </w:rPr>
        <w:t xml:space="preserve">e </w:t>
      </w:r>
      <w:r>
        <w:rPr>
          <w:spacing w:val="-2"/>
          <w:szCs w:val="22"/>
        </w:rPr>
        <w:t>ş</w:t>
      </w:r>
      <w:r>
        <w:rPr>
          <w:szCs w:val="22"/>
        </w:rPr>
        <w:t>i</w:t>
      </w:r>
      <w:r>
        <w:rPr>
          <w:spacing w:val="1"/>
          <w:szCs w:val="22"/>
        </w:rPr>
        <w:t xml:space="preserve">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 xml:space="preserve">e </w:t>
      </w:r>
      <w:r>
        <w:rPr>
          <w:spacing w:val="1"/>
          <w:szCs w:val="22"/>
        </w:rPr>
        <w:t>i</w:t>
      </w:r>
      <w:r>
        <w:rPr>
          <w:szCs w:val="22"/>
        </w:rPr>
        <w:t>nf</w:t>
      </w:r>
      <w:r>
        <w:rPr>
          <w:spacing w:val="-3"/>
          <w:szCs w:val="22"/>
        </w:rPr>
        <w:t>e</w:t>
      </w:r>
      <w:r>
        <w:rPr>
          <w:szCs w:val="22"/>
        </w:rPr>
        <w:t>c</w:t>
      </w:r>
      <w:r>
        <w:rPr>
          <w:spacing w:val="1"/>
          <w:szCs w:val="22"/>
        </w:rPr>
        <w:t>ţ</w:t>
      </w:r>
      <w:r>
        <w:rPr>
          <w:spacing w:val="-2"/>
          <w:szCs w:val="22"/>
        </w:rPr>
        <w:t>i</w:t>
      </w:r>
      <w:r>
        <w:rPr>
          <w:szCs w:val="22"/>
        </w:rPr>
        <w:t>ei</w:t>
      </w:r>
      <w:r>
        <w:rPr>
          <w:spacing w:val="-2"/>
          <w:szCs w:val="22"/>
        </w:rPr>
        <w:t xml:space="preserve"> </w:t>
      </w:r>
      <w:r>
        <w:rPr>
          <w:szCs w:val="22"/>
        </w:rPr>
        <w:t>ac</w:t>
      </w:r>
      <w:r>
        <w:rPr>
          <w:spacing w:val="-2"/>
          <w:szCs w:val="22"/>
        </w:rPr>
        <w:t>t</w:t>
      </w:r>
      <w:r>
        <w:rPr>
          <w:spacing w:val="1"/>
          <w:szCs w:val="22"/>
        </w:rPr>
        <w:t>i</w:t>
      </w:r>
      <w:r>
        <w:rPr>
          <w:spacing w:val="-3"/>
          <w:szCs w:val="22"/>
        </w:rPr>
        <w:t>v</w:t>
      </w:r>
      <w:r>
        <w:rPr>
          <w:szCs w:val="22"/>
        </w:rPr>
        <w:t>e cu</w:t>
      </w:r>
      <w:r>
        <w:rPr>
          <w:spacing w:val="-3"/>
          <w:szCs w:val="22"/>
        </w:rPr>
        <w:t xml:space="preserve"> </w:t>
      </w:r>
      <w:r>
        <w:rPr>
          <w:spacing w:val="1"/>
          <w:szCs w:val="22"/>
        </w:rPr>
        <w:t>V</w:t>
      </w:r>
      <w:r>
        <w:rPr>
          <w:spacing w:val="-1"/>
          <w:szCs w:val="22"/>
        </w:rPr>
        <w:t>H</w:t>
      </w:r>
      <w:r>
        <w:rPr>
          <w:szCs w:val="22"/>
        </w:rPr>
        <w:t>B</w:t>
      </w:r>
      <w:r>
        <w:rPr>
          <w:spacing w:val="-1"/>
          <w:szCs w:val="22"/>
        </w:rPr>
        <w:t xml:space="preserve"> </w:t>
      </w:r>
      <w:r>
        <w:rPr>
          <w:spacing w:val="1"/>
          <w:szCs w:val="22"/>
        </w:rPr>
        <w:t>î</w:t>
      </w:r>
      <w:r>
        <w:rPr>
          <w:szCs w:val="22"/>
        </w:rPr>
        <w:t>n</w:t>
      </w:r>
      <w:r>
        <w:rPr>
          <w:spacing w:val="-3"/>
          <w:szCs w:val="22"/>
        </w:rPr>
        <w:t xml:space="preserve"> </w:t>
      </w:r>
      <w:r>
        <w:rPr>
          <w:spacing w:val="1"/>
          <w:szCs w:val="22"/>
        </w:rPr>
        <w:t>ti</w:t>
      </w:r>
      <w:r>
        <w:rPr>
          <w:spacing w:val="-4"/>
          <w:szCs w:val="22"/>
        </w:rPr>
        <w:t>m</w:t>
      </w:r>
      <w:r>
        <w:rPr>
          <w:szCs w:val="22"/>
        </w:rPr>
        <w:t>pul</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w:t>
      </w:r>
      <w:r>
        <w:rPr>
          <w:spacing w:val="1"/>
          <w:szCs w:val="22"/>
        </w:rPr>
        <w:t>l</w:t>
      </w:r>
      <w:r>
        <w:rPr>
          <w:spacing w:val="-3"/>
          <w:szCs w:val="22"/>
        </w:rPr>
        <w:t>u</w:t>
      </w:r>
      <w:r>
        <w:rPr>
          <w:szCs w:val="22"/>
        </w:rPr>
        <w:t>i</w:t>
      </w:r>
      <w:r>
        <w:rPr>
          <w:spacing w:val="1"/>
          <w:szCs w:val="22"/>
        </w:rPr>
        <w:t xml:space="preserve"> </w:t>
      </w:r>
      <w:r>
        <w:rPr>
          <w:spacing w:val="-2"/>
          <w:szCs w:val="22"/>
        </w:rPr>
        <w:t>ş</w:t>
      </w:r>
      <w:r>
        <w:rPr>
          <w:szCs w:val="22"/>
        </w:rPr>
        <w:t>i</w:t>
      </w:r>
      <w:r>
        <w:rPr>
          <w:spacing w:val="1"/>
          <w:szCs w:val="22"/>
        </w:rPr>
        <w:t xml:space="preserve"> </w:t>
      </w:r>
      <w:r>
        <w:rPr>
          <w:spacing w:val="-3"/>
          <w:szCs w:val="22"/>
        </w:rPr>
        <w:t>c</w:t>
      </w:r>
      <w:r>
        <w:rPr>
          <w:szCs w:val="22"/>
        </w:rPr>
        <w:t>â</w:t>
      </w:r>
      <w:r>
        <w:rPr>
          <w:spacing w:val="1"/>
          <w:szCs w:val="22"/>
        </w:rPr>
        <w:t>t</w:t>
      </w:r>
      <w:r>
        <w:rPr>
          <w:szCs w:val="22"/>
        </w:rPr>
        <w:t>e</w:t>
      </w:r>
      <w:r>
        <w:rPr>
          <w:spacing w:val="-3"/>
          <w:szCs w:val="22"/>
        </w:rPr>
        <w:t>v</w:t>
      </w:r>
      <w:r>
        <w:rPr>
          <w:szCs w:val="22"/>
        </w:rPr>
        <w:t>a</w:t>
      </w:r>
      <w:r>
        <w:rPr>
          <w:spacing w:val="-2"/>
          <w:szCs w:val="22"/>
        </w:rPr>
        <w:t xml:space="preserve"> </w:t>
      </w:r>
      <w:r>
        <w:rPr>
          <w:spacing w:val="1"/>
          <w:szCs w:val="22"/>
        </w:rPr>
        <w:t>l</w:t>
      </w:r>
      <w:r>
        <w:rPr>
          <w:spacing w:val="-3"/>
          <w:szCs w:val="22"/>
        </w:rPr>
        <w:t>u</w:t>
      </w:r>
      <w:r>
        <w:rPr>
          <w:szCs w:val="22"/>
        </w:rPr>
        <w:t>ni</w:t>
      </w:r>
      <w:r>
        <w:rPr>
          <w:spacing w:val="1"/>
          <w:szCs w:val="22"/>
        </w:rPr>
        <w:t xml:space="preserve"> </w:t>
      </w:r>
      <w:r>
        <w:rPr>
          <w:szCs w:val="22"/>
        </w:rPr>
        <w:t>du</w:t>
      </w:r>
      <w:r>
        <w:rPr>
          <w:spacing w:val="-3"/>
          <w:szCs w:val="22"/>
        </w:rPr>
        <w:t>p</w:t>
      </w:r>
      <w:r>
        <w:rPr>
          <w:szCs w:val="22"/>
        </w:rPr>
        <w:t xml:space="preserve">ă </w:t>
      </w:r>
      <w:r>
        <w:rPr>
          <w:spacing w:val="1"/>
          <w:szCs w:val="22"/>
        </w:rPr>
        <w:t>t</w:t>
      </w:r>
      <w:r>
        <w:rPr>
          <w:spacing w:val="-3"/>
          <w:szCs w:val="22"/>
        </w:rPr>
        <w:t>e</w:t>
      </w:r>
      <w:r>
        <w:rPr>
          <w:szCs w:val="22"/>
        </w:rPr>
        <w:t>r</w:t>
      </w:r>
      <w:r>
        <w:rPr>
          <w:spacing w:val="-4"/>
          <w:szCs w:val="22"/>
        </w:rPr>
        <w:t>m</w:t>
      </w:r>
      <w:r>
        <w:rPr>
          <w:spacing w:val="1"/>
          <w:szCs w:val="22"/>
        </w:rPr>
        <w:t>i</w:t>
      </w:r>
      <w:r>
        <w:rPr>
          <w:szCs w:val="22"/>
        </w:rPr>
        <w:t>nar</w:t>
      </w:r>
      <w:r>
        <w:rPr>
          <w:spacing w:val="-3"/>
          <w:szCs w:val="22"/>
        </w:rPr>
        <w:t>e</w:t>
      </w:r>
      <w:r>
        <w:rPr>
          <w:szCs w:val="22"/>
        </w:rPr>
        <w:t xml:space="preserve">a </w:t>
      </w:r>
      <w:r>
        <w:rPr>
          <w:spacing w:val="1"/>
          <w:szCs w:val="22"/>
        </w:rPr>
        <w:t>t</w:t>
      </w:r>
      <w:r>
        <w:rPr>
          <w:szCs w:val="22"/>
        </w:rPr>
        <w:t>e</w:t>
      </w:r>
      <w:r>
        <w:rPr>
          <w:spacing w:val="-2"/>
          <w:szCs w:val="22"/>
        </w:rPr>
        <w:t>r</w:t>
      </w:r>
      <w:r>
        <w:rPr>
          <w:szCs w:val="22"/>
        </w:rPr>
        <w:t>ap</w:t>
      </w:r>
      <w:r>
        <w:rPr>
          <w:spacing w:val="-2"/>
          <w:szCs w:val="22"/>
        </w:rPr>
        <w:t>i</w:t>
      </w:r>
      <w:r>
        <w:rPr>
          <w:szCs w:val="22"/>
        </w:rPr>
        <w:t>e</w:t>
      </w:r>
      <w:r>
        <w:rPr>
          <w:spacing w:val="1"/>
          <w:szCs w:val="22"/>
        </w:rPr>
        <w:t>i</w:t>
      </w:r>
      <w:r>
        <w:rPr>
          <w:szCs w:val="22"/>
        </w:rPr>
        <w:t xml:space="preserve">. </w:t>
      </w:r>
      <w:r>
        <w:rPr>
          <w:spacing w:val="-1"/>
          <w:szCs w:val="22"/>
        </w:rPr>
        <w:t>N</w:t>
      </w:r>
      <w:r>
        <w:rPr>
          <w:szCs w:val="22"/>
        </w:rPr>
        <w:t>u</w:t>
      </w:r>
      <w:r>
        <w:rPr>
          <w:spacing w:val="-3"/>
          <w:szCs w:val="22"/>
        </w:rPr>
        <w:t xml:space="preserve"> </w:t>
      </w:r>
      <w:r>
        <w:rPr>
          <w:szCs w:val="22"/>
        </w:rPr>
        <w:t>su</w:t>
      </w:r>
      <w:r>
        <w:rPr>
          <w:spacing w:val="-3"/>
          <w:szCs w:val="22"/>
        </w:rPr>
        <w:t>n</w:t>
      </w:r>
      <w:r>
        <w:rPr>
          <w:szCs w:val="22"/>
        </w:rPr>
        <w:t>t</w:t>
      </w:r>
      <w:r>
        <w:rPr>
          <w:spacing w:val="1"/>
          <w:szCs w:val="22"/>
        </w:rPr>
        <w:t xml:space="preserve"> </w:t>
      </w:r>
      <w:r>
        <w:rPr>
          <w:szCs w:val="22"/>
        </w:rPr>
        <w:t>d</w:t>
      </w:r>
      <w:r>
        <w:rPr>
          <w:spacing w:val="-2"/>
          <w:szCs w:val="22"/>
        </w:rPr>
        <w:t>i</w:t>
      </w:r>
      <w:r>
        <w:rPr>
          <w:szCs w:val="22"/>
        </w:rPr>
        <w:t>spo</w:t>
      </w:r>
      <w:r>
        <w:rPr>
          <w:spacing w:val="-3"/>
          <w:szCs w:val="22"/>
        </w:rPr>
        <w:t>n</w:t>
      </w:r>
      <w:r>
        <w:rPr>
          <w:spacing w:val="1"/>
          <w:szCs w:val="22"/>
        </w:rPr>
        <w:t>i</w:t>
      </w:r>
      <w:r>
        <w:rPr>
          <w:szCs w:val="22"/>
        </w:rPr>
        <w:t>b</w:t>
      </w:r>
      <w:r>
        <w:rPr>
          <w:spacing w:val="-2"/>
          <w:szCs w:val="22"/>
        </w:rPr>
        <w:t>il</w:t>
      </w:r>
      <w:r>
        <w:rPr>
          <w:szCs w:val="22"/>
        </w:rPr>
        <w:t>e da</w:t>
      </w:r>
      <w:r>
        <w:rPr>
          <w:spacing w:val="-2"/>
          <w:szCs w:val="22"/>
        </w:rPr>
        <w:t>t</w:t>
      </w:r>
      <w:r>
        <w:rPr>
          <w:szCs w:val="22"/>
        </w:rPr>
        <w:t>e c</w:t>
      </w:r>
      <w:r>
        <w:rPr>
          <w:spacing w:val="-3"/>
          <w:szCs w:val="22"/>
        </w:rPr>
        <w:t>o</w:t>
      </w:r>
      <w:r>
        <w:rPr>
          <w:szCs w:val="22"/>
        </w:rPr>
        <w:t>re</w:t>
      </w:r>
      <w:r>
        <w:rPr>
          <w:spacing w:val="-2"/>
          <w:szCs w:val="22"/>
        </w:rPr>
        <w:t>s</w:t>
      </w:r>
      <w:r>
        <w:rPr>
          <w:szCs w:val="22"/>
        </w:rPr>
        <w:t>pun</w:t>
      </w:r>
      <w:r>
        <w:rPr>
          <w:spacing w:val="-3"/>
          <w:szCs w:val="22"/>
        </w:rPr>
        <w:t>z</w:t>
      </w:r>
      <w:r>
        <w:rPr>
          <w:szCs w:val="22"/>
        </w:rPr>
        <w:t>ă</w:t>
      </w:r>
      <w:r>
        <w:rPr>
          <w:spacing w:val="1"/>
          <w:szCs w:val="22"/>
        </w:rPr>
        <w:t>t</w:t>
      </w:r>
      <w:r>
        <w:rPr>
          <w:szCs w:val="22"/>
        </w:rPr>
        <w:t>o</w:t>
      </w:r>
      <w:r>
        <w:rPr>
          <w:spacing w:val="-3"/>
          <w:szCs w:val="22"/>
        </w:rPr>
        <w:t>a</w:t>
      </w:r>
      <w:r>
        <w:rPr>
          <w:szCs w:val="22"/>
        </w:rPr>
        <w:t>re</w:t>
      </w:r>
      <w:r>
        <w:rPr>
          <w:spacing w:val="-2"/>
          <w:szCs w:val="22"/>
        </w:rPr>
        <w:t xml:space="preserve"> </w:t>
      </w:r>
      <w:r>
        <w:rPr>
          <w:szCs w:val="22"/>
        </w:rPr>
        <w:t>p</w:t>
      </w:r>
      <w:r>
        <w:rPr>
          <w:spacing w:val="-2"/>
          <w:szCs w:val="22"/>
        </w:rPr>
        <w:t>r</w:t>
      </w:r>
      <w:r>
        <w:rPr>
          <w:spacing w:val="1"/>
          <w:szCs w:val="22"/>
        </w:rPr>
        <w:t>i</w:t>
      </w:r>
      <w:r>
        <w:rPr>
          <w:spacing w:val="-3"/>
          <w:szCs w:val="22"/>
        </w:rPr>
        <w:t>v</w:t>
      </w:r>
      <w:r>
        <w:rPr>
          <w:spacing w:val="1"/>
          <w:szCs w:val="22"/>
        </w:rPr>
        <w:t>i</w:t>
      </w:r>
      <w:r>
        <w:rPr>
          <w:szCs w:val="22"/>
        </w:rPr>
        <w:t xml:space="preserve">nd </w:t>
      </w:r>
      <w:r>
        <w:rPr>
          <w:spacing w:val="-3"/>
          <w:szCs w:val="22"/>
        </w:rPr>
        <w:t>p</w:t>
      </w:r>
      <w:r>
        <w:rPr>
          <w:szCs w:val="22"/>
        </w:rPr>
        <w:t>re</w:t>
      </w:r>
      <w:r>
        <w:rPr>
          <w:spacing w:val="-3"/>
          <w:szCs w:val="22"/>
        </w:rPr>
        <w:t>v</w:t>
      </w:r>
      <w:r>
        <w:rPr>
          <w:szCs w:val="22"/>
        </w:rPr>
        <w:t>en</w:t>
      </w:r>
      <w:r>
        <w:rPr>
          <w:spacing w:val="-2"/>
          <w:szCs w:val="22"/>
        </w:rPr>
        <w:t>i</w:t>
      </w:r>
      <w:r>
        <w:rPr>
          <w:szCs w:val="22"/>
        </w:rPr>
        <w:t>rea</w:t>
      </w:r>
      <w:r>
        <w:rPr>
          <w:spacing w:val="-2"/>
          <w:szCs w:val="22"/>
        </w:rPr>
        <w:t xml:space="preserve"> </w:t>
      </w:r>
      <w:r>
        <w:rPr>
          <w:szCs w:val="22"/>
        </w:rPr>
        <w:t>re</w:t>
      </w:r>
      <w:r>
        <w:rPr>
          <w:spacing w:val="-3"/>
          <w:szCs w:val="22"/>
        </w:rPr>
        <w:t>a</w:t>
      </w:r>
      <w:r>
        <w:rPr>
          <w:szCs w:val="22"/>
        </w:rPr>
        <w:t>c</w:t>
      </w:r>
      <w:r>
        <w:rPr>
          <w:spacing w:val="-2"/>
          <w:szCs w:val="22"/>
        </w:rPr>
        <w:t>t</w:t>
      </w:r>
      <w:r>
        <w:rPr>
          <w:spacing w:val="1"/>
          <w:szCs w:val="22"/>
        </w:rPr>
        <w:t>i</w:t>
      </w:r>
      <w:r>
        <w:rPr>
          <w:spacing w:val="-3"/>
          <w:szCs w:val="22"/>
        </w:rPr>
        <w:t>v</w:t>
      </w:r>
      <w:r>
        <w:rPr>
          <w:szCs w:val="22"/>
        </w:rPr>
        <w:t>ăr</w:t>
      </w:r>
      <w:r>
        <w:rPr>
          <w:spacing w:val="-2"/>
          <w:szCs w:val="22"/>
        </w:rPr>
        <w:t>i</w:t>
      </w:r>
      <w:r>
        <w:rPr>
          <w:szCs w:val="22"/>
        </w:rPr>
        <w:t>i</w:t>
      </w:r>
      <w:r>
        <w:rPr>
          <w:spacing w:val="1"/>
          <w:szCs w:val="22"/>
        </w:rPr>
        <w:t xml:space="preserve"> V</w:t>
      </w:r>
      <w:r>
        <w:rPr>
          <w:spacing w:val="-4"/>
          <w:szCs w:val="22"/>
        </w:rPr>
        <w:t>H</w:t>
      </w:r>
      <w:r>
        <w:rPr>
          <w:szCs w:val="22"/>
        </w:rPr>
        <w:t>B</w:t>
      </w:r>
      <w:r>
        <w:rPr>
          <w:spacing w:val="-1"/>
          <w:szCs w:val="22"/>
        </w:rPr>
        <w:t xml:space="preserve">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2"/>
          <w:szCs w:val="22"/>
        </w:rPr>
        <w:t>ţ</w:t>
      </w:r>
      <w:r>
        <w:rPr>
          <w:spacing w:val="1"/>
          <w:szCs w:val="22"/>
        </w:rPr>
        <w:t>i</w:t>
      </w:r>
      <w:r>
        <w:rPr>
          <w:szCs w:val="22"/>
        </w:rPr>
        <w:t>i pur</w:t>
      </w:r>
      <w:r>
        <w:rPr>
          <w:spacing w:val="-2"/>
          <w:szCs w:val="22"/>
        </w:rPr>
        <w:t>t</w:t>
      </w:r>
      <w:r>
        <w:rPr>
          <w:szCs w:val="22"/>
        </w:rPr>
        <w:t>ă</w:t>
      </w:r>
      <w:r>
        <w:rPr>
          <w:spacing w:val="1"/>
          <w:szCs w:val="22"/>
        </w:rPr>
        <w:t>t</w:t>
      </w:r>
      <w:r>
        <w:rPr>
          <w:spacing w:val="-3"/>
          <w:szCs w:val="22"/>
        </w:rPr>
        <w:t>o</w:t>
      </w:r>
      <w:r>
        <w:rPr>
          <w:szCs w:val="22"/>
        </w:rPr>
        <w:t>ri</w:t>
      </w:r>
      <w:r>
        <w:rPr>
          <w:spacing w:val="-2"/>
          <w:szCs w:val="22"/>
        </w:rPr>
        <w:t xml:space="preserve"> </w:t>
      </w:r>
      <w:r>
        <w:rPr>
          <w:szCs w:val="22"/>
        </w:rPr>
        <w:t>de</w:t>
      </w:r>
      <w:r>
        <w:rPr>
          <w:spacing w:val="-2"/>
          <w:szCs w:val="22"/>
        </w:rPr>
        <w:t xml:space="preserve"> </w:t>
      </w:r>
      <w:r>
        <w:rPr>
          <w:spacing w:val="1"/>
          <w:szCs w:val="22"/>
        </w:rPr>
        <w:t>V</w:t>
      </w:r>
      <w:r>
        <w:rPr>
          <w:spacing w:val="-1"/>
          <w:szCs w:val="22"/>
        </w:rPr>
        <w:t>H</w:t>
      </w:r>
      <w:r>
        <w:rPr>
          <w:szCs w:val="22"/>
        </w:rPr>
        <w:t>B</w:t>
      </w:r>
      <w:r>
        <w:rPr>
          <w:spacing w:val="-1"/>
          <w:szCs w:val="22"/>
        </w:rPr>
        <w:t xml:space="preserve"> </w:t>
      </w:r>
      <w:r>
        <w:rPr>
          <w:szCs w:val="22"/>
        </w:rPr>
        <w:t>c</w:t>
      </w:r>
      <w:r>
        <w:rPr>
          <w:spacing w:val="-3"/>
          <w:szCs w:val="22"/>
        </w:rPr>
        <w:t>a</w:t>
      </w:r>
      <w:r>
        <w:rPr>
          <w:szCs w:val="22"/>
        </w:rPr>
        <w:t xml:space="preserve">re </w:t>
      </w:r>
      <w:r>
        <w:rPr>
          <w:spacing w:val="-3"/>
          <w:szCs w:val="22"/>
        </w:rPr>
        <w:t>p</w:t>
      </w:r>
      <w:r>
        <w:rPr>
          <w:szCs w:val="22"/>
        </w:rPr>
        <w:t>r</w:t>
      </w:r>
      <w:r>
        <w:rPr>
          <w:spacing w:val="1"/>
          <w:szCs w:val="22"/>
        </w:rPr>
        <w:t>i</w:t>
      </w:r>
      <w:r>
        <w:rPr>
          <w:spacing w:val="-4"/>
          <w:szCs w:val="22"/>
        </w:rPr>
        <w:t>m</w:t>
      </w:r>
      <w:r>
        <w:rPr>
          <w:szCs w:val="22"/>
        </w:rPr>
        <w:t>esc</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zCs w:val="22"/>
        </w:rPr>
        <w:t>a</w:t>
      </w:r>
      <w:r>
        <w:rPr>
          <w:spacing w:val="-3"/>
          <w:szCs w:val="22"/>
        </w:rPr>
        <w:t>n</w:t>
      </w:r>
      <w:r>
        <w:rPr>
          <w:spacing w:val="1"/>
          <w:szCs w:val="22"/>
        </w:rPr>
        <w:t>ti</w:t>
      </w:r>
      <w:r>
        <w:rPr>
          <w:spacing w:val="-3"/>
          <w:szCs w:val="22"/>
        </w:rPr>
        <w:t>v</w:t>
      </w:r>
      <w:r>
        <w:rPr>
          <w:spacing w:val="-2"/>
          <w:szCs w:val="22"/>
        </w:rPr>
        <w:t>i</w:t>
      </w:r>
      <w:r>
        <w:rPr>
          <w:szCs w:val="22"/>
        </w:rPr>
        <w:t>ral</w:t>
      </w:r>
      <w:r>
        <w:rPr>
          <w:spacing w:val="-2"/>
          <w:szCs w:val="22"/>
        </w:rPr>
        <w:t xml:space="preserve"> </w:t>
      </w:r>
      <w:r>
        <w:rPr>
          <w:szCs w:val="22"/>
        </w:rPr>
        <w:t>co</w:t>
      </w:r>
      <w:r>
        <w:rPr>
          <w:spacing w:val="-3"/>
          <w:szCs w:val="22"/>
        </w:rPr>
        <w:t>nc</w:t>
      </w:r>
      <w:r>
        <w:rPr>
          <w:szCs w:val="22"/>
        </w:rPr>
        <w:t>o</w:t>
      </w:r>
      <w:r>
        <w:rPr>
          <w:spacing w:val="-4"/>
          <w:szCs w:val="22"/>
        </w:rPr>
        <w:t>m</w:t>
      </w:r>
      <w:r>
        <w:rPr>
          <w:spacing w:val="1"/>
          <w:szCs w:val="22"/>
        </w:rPr>
        <w:t>it</w:t>
      </w:r>
      <w:r>
        <w:rPr>
          <w:szCs w:val="22"/>
        </w:rPr>
        <w:t>ent</w:t>
      </w:r>
      <w:r>
        <w:rPr>
          <w:spacing w:val="1"/>
          <w:szCs w:val="22"/>
        </w:rPr>
        <w:t xml:space="preserve"> </w:t>
      </w:r>
      <w:r>
        <w:rPr>
          <w:szCs w:val="22"/>
        </w:rPr>
        <w:t>cu</w:t>
      </w:r>
      <w:r>
        <w:rPr>
          <w:spacing w:val="-3"/>
          <w:szCs w:val="22"/>
        </w:rPr>
        <w:t xml:space="preserve"> </w:t>
      </w:r>
      <w:r>
        <w:rPr>
          <w:spacing w:val="-2"/>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 xml:space="preserve">u </w:t>
      </w:r>
      <w:r>
        <w:rPr>
          <w:spacing w:val="-3"/>
          <w:szCs w:val="22"/>
        </w:rPr>
        <w:t>a</w:t>
      </w:r>
      <w:r>
        <w:rPr>
          <w:szCs w:val="22"/>
        </w:rPr>
        <w:t>n</w:t>
      </w:r>
      <w:r>
        <w:rPr>
          <w:spacing w:val="1"/>
          <w:szCs w:val="22"/>
        </w:rPr>
        <w:t>t</w:t>
      </w:r>
      <w:r>
        <w:rPr>
          <w:szCs w:val="22"/>
        </w:rPr>
        <w:t>a</w:t>
      </w:r>
      <w:r>
        <w:rPr>
          <w:spacing w:val="-3"/>
          <w:szCs w:val="22"/>
        </w:rPr>
        <w:t>g</w:t>
      </w:r>
      <w:r>
        <w:rPr>
          <w:szCs w:val="22"/>
        </w:rPr>
        <w:t>on</w:t>
      </w:r>
      <w:r>
        <w:rPr>
          <w:spacing w:val="1"/>
          <w:szCs w:val="22"/>
        </w:rPr>
        <w:t>i</w:t>
      </w:r>
      <w:r>
        <w:rPr>
          <w:spacing w:val="-2"/>
          <w:szCs w:val="22"/>
        </w:rPr>
        <w:t>ş</w:t>
      </w:r>
      <w:r>
        <w:rPr>
          <w:spacing w:val="1"/>
          <w:szCs w:val="22"/>
        </w:rPr>
        <w:t>t</w:t>
      </w:r>
      <w:r>
        <w:rPr>
          <w:szCs w:val="22"/>
        </w:rPr>
        <w:t>i</w:t>
      </w:r>
      <w:r>
        <w:rPr>
          <w:spacing w:val="-2"/>
          <w:szCs w:val="22"/>
        </w:rPr>
        <w:t xml:space="preserve"> </w:t>
      </w:r>
      <w:r>
        <w:rPr>
          <w:szCs w:val="22"/>
        </w:rPr>
        <w:t>de</w:t>
      </w:r>
      <w:r>
        <w:rPr>
          <w:spacing w:val="-2"/>
          <w:szCs w:val="22"/>
        </w:rPr>
        <w:t xml:space="preserve"> </w:t>
      </w:r>
      <w:r>
        <w:rPr>
          <w:spacing w:val="1"/>
          <w:szCs w:val="22"/>
        </w:rPr>
        <w:t>T</w:t>
      </w:r>
      <w:r>
        <w:rPr>
          <w:spacing w:val="-1"/>
          <w:szCs w:val="22"/>
        </w:rPr>
        <w:t>NF</w:t>
      </w:r>
      <w:r>
        <w:rPr>
          <w:szCs w:val="22"/>
        </w:rPr>
        <w:t xml:space="preserve">. </w:t>
      </w: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ar</w:t>
      </w:r>
      <w:r>
        <w:rPr>
          <w:spacing w:val="-3"/>
          <w:szCs w:val="22"/>
        </w:rPr>
        <w:t>e</w:t>
      </w:r>
      <w:r>
        <w:rPr>
          <w:szCs w:val="22"/>
        </w:rPr>
        <w:t xml:space="preserve">a </w:t>
      </w:r>
      <w:r>
        <w:rPr>
          <w:spacing w:val="-1"/>
          <w:szCs w:val="22"/>
        </w:rPr>
        <w:t>AMGEVITA</w:t>
      </w:r>
      <w:r>
        <w:rPr>
          <w:szCs w:val="22"/>
        </w:rPr>
        <w:t xml:space="preserve"> </w:t>
      </w:r>
      <w:r>
        <w:rPr>
          <w:spacing w:val="-2"/>
          <w:szCs w:val="22"/>
        </w:rPr>
        <w:t>t</w:t>
      </w:r>
      <w:r>
        <w:rPr>
          <w:szCs w:val="22"/>
        </w:rPr>
        <w:t>re</w:t>
      </w:r>
      <w:r>
        <w:rPr>
          <w:spacing w:val="-3"/>
          <w:szCs w:val="22"/>
        </w:rPr>
        <w:t>b</w:t>
      </w:r>
      <w:r>
        <w:rPr>
          <w:szCs w:val="22"/>
        </w:rPr>
        <w:t>u</w:t>
      </w:r>
      <w:r>
        <w:rPr>
          <w:spacing w:val="1"/>
          <w:szCs w:val="22"/>
        </w:rPr>
        <w:t>i</w:t>
      </w:r>
      <w:r>
        <w:rPr>
          <w:szCs w:val="22"/>
        </w:rPr>
        <w:t>e</w:t>
      </w:r>
      <w:r>
        <w:rPr>
          <w:spacing w:val="-2"/>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rup</w:t>
      </w:r>
      <w:r>
        <w:rPr>
          <w:spacing w:val="-2"/>
          <w:szCs w:val="22"/>
        </w:rPr>
        <w:t>t</w:t>
      </w:r>
      <w:r>
        <w:rPr>
          <w:szCs w:val="22"/>
        </w:rPr>
        <w:t xml:space="preserve">ă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1"/>
          <w:szCs w:val="22"/>
        </w:rPr>
        <w:t>l</w:t>
      </w:r>
      <w:r>
        <w:rPr>
          <w:szCs w:val="22"/>
        </w:rPr>
        <w:t>a</w:t>
      </w:r>
      <w:r>
        <w:rPr>
          <w:spacing w:val="-2"/>
          <w:szCs w:val="22"/>
        </w:rPr>
        <w:t xml:space="preserve"> </w:t>
      </w:r>
      <w:r>
        <w:rPr>
          <w:szCs w:val="22"/>
        </w:rPr>
        <w:t>care</w:t>
      </w:r>
      <w:r>
        <w:rPr>
          <w:spacing w:val="-2"/>
          <w:szCs w:val="22"/>
        </w:rPr>
        <w:t xml:space="preserve"> </w:t>
      </w:r>
      <w:r>
        <w:rPr>
          <w:szCs w:val="22"/>
        </w:rPr>
        <w:t>ap</w:t>
      </w:r>
      <w:r>
        <w:rPr>
          <w:spacing w:val="-3"/>
          <w:szCs w:val="22"/>
        </w:rPr>
        <w:t>a</w:t>
      </w:r>
      <w:r>
        <w:rPr>
          <w:szCs w:val="22"/>
        </w:rPr>
        <w:t>re</w:t>
      </w:r>
      <w:r>
        <w:rPr>
          <w:spacing w:val="-2"/>
          <w:szCs w:val="22"/>
        </w:rPr>
        <w:t xml:space="preserve"> </w:t>
      </w:r>
      <w:r>
        <w:rPr>
          <w:szCs w:val="22"/>
        </w:rPr>
        <w:t>re</w:t>
      </w:r>
      <w:r>
        <w:rPr>
          <w:spacing w:val="-3"/>
          <w:szCs w:val="22"/>
        </w:rPr>
        <w:t>a</w:t>
      </w:r>
      <w:r>
        <w:rPr>
          <w:szCs w:val="22"/>
        </w:rPr>
        <w:t>c</w:t>
      </w:r>
      <w:r>
        <w:rPr>
          <w:spacing w:val="-2"/>
          <w:szCs w:val="22"/>
        </w:rPr>
        <w:t>t</w:t>
      </w:r>
      <w:r>
        <w:rPr>
          <w:spacing w:val="1"/>
          <w:szCs w:val="22"/>
        </w:rPr>
        <w:t>i</w:t>
      </w:r>
      <w:r>
        <w:rPr>
          <w:spacing w:val="-3"/>
          <w:szCs w:val="22"/>
        </w:rPr>
        <w:t>v</w:t>
      </w:r>
      <w:r>
        <w:rPr>
          <w:szCs w:val="22"/>
        </w:rPr>
        <w:t xml:space="preserve">area </w:t>
      </w:r>
      <w:r>
        <w:rPr>
          <w:spacing w:val="-3"/>
          <w:szCs w:val="22"/>
        </w:rPr>
        <w:t>h</w:t>
      </w:r>
      <w:r>
        <w:rPr>
          <w:szCs w:val="22"/>
        </w:rPr>
        <w:t>ep</w:t>
      </w:r>
      <w:r>
        <w:rPr>
          <w:spacing w:val="-3"/>
          <w:szCs w:val="22"/>
        </w:rPr>
        <w:t>a</w:t>
      </w:r>
      <w:r>
        <w:rPr>
          <w:spacing w:val="1"/>
          <w:szCs w:val="22"/>
        </w:rPr>
        <w:t>t</w:t>
      </w:r>
      <w:r>
        <w:rPr>
          <w:spacing w:val="-2"/>
          <w:szCs w:val="22"/>
        </w:rPr>
        <w:t>i</w:t>
      </w:r>
      <w:r>
        <w:rPr>
          <w:spacing w:val="1"/>
          <w:szCs w:val="22"/>
        </w:rPr>
        <w:t>t</w:t>
      </w:r>
      <w:r>
        <w:rPr>
          <w:szCs w:val="22"/>
        </w:rPr>
        <w:t>ei</w:t>
      </w:r>
      <w:r>
        <w:rPr>
          <w:spacing w:val="-2"/>
          <w:szCs w:val="22"/>
        </w:rPr>
        <w:t xml:space="preserve"> </w:t>
      </w:r>
      <w:r>
        <w:rPr>
          <w:szCs w:val="22"/>
        </w:rPr>
        <w:t>B</w:t>
      </w:r>
      <w:r>
        <w:rPr>
          <w:spacing w:val="-1"/>
          <w:szCs w:val="22"/>
        </w:rPr>
        <w:t xml:space="preserve"> </w:t>
      </w:r>
      <w:r>
        <w:rPr>
          <w:szCs w:val="22"/>
        </w:rPr>
        <w:t>şi</w:t>
      </w:r>
      <w:r>
        <w:rPr>
          <w:spacing w:val="-2"/>
          <w:szCs w:val="22"/>
        </w:rPr>
        <w:t xml:space="preserve"> </w:t>
      </w:r>
      <w:r>
        <w:rPr>
          <w:spacing w:val="1"/>
          <w:szCs w:val="22"/>
        </w:rPr>
        <w:t>t</w:t>
      </w:r>
      <w:r>
        <w:rPr>
          <w:spacing w:val="-2"/>
          <w:szCs w:val="22"/>
        </w:rPr>
        <w:t>r</w:t>
      </w:r>
      <w:r>
        <w:rPr>
          <w:szCs w:val="22"/>
        </w:rPr>
        <w:t>eb</w:t>
      </w:r>
      <w:r>
        <w:rPr>
          <w:spacing w:val="-3"/>
          <w:szCs w:val="22"/>
        </w:rPr>
        <w:t>u</w:t>
      </w:r>
      <w:r>
        <w:rPr>
          <w:spacing w:val="1"/>
          <w:szCs w:val="22"/>
        </w:rPr>
        <w:t>i</w:t>
      </w:r>
      <w:r>
        <w:rPr>
          <w:szCs w:val="22"/>
        </w:rPr>
        <w:t xml:space="preserve">e </w:t>
      </w:r>
      <w:r>
        <w:rPr>
          <w:spacing w:val="1"/>
          <w:szCs w:val="22"/>
        </w:rPr>
        <w:t>i</w:t>
      </w:r>
      <w:r>
        <w:rPr>
          <w:szCs w:val="22"/>
        </w:rPr>
        <w:t>n</w:t>
      </w:r>
      <w:r>
        <w:rPr>
          <w:spacing w:val="-2"/>
          <w:szCs w:val="22"/>
        </w:rPr>
        <w:t>i</w:t>
      </w:r>
      <w:r>
        <w:rPr>
          <w:spacing w:val="1"/>
          <w:szCs w:val="22"/>
        </w:rPr>
        <w:t>ţ</w:t>
      </w:r>
      <w:r>
        <w:rPr>
          <w:spacing w:val="-2"/>
          <w:szCs w:val="22"/>
        </w:rPr>
        <w:t>i</w:t>
      </w:r>
      <w:r>
        <w:rPr>
          <w:szCs w:val="22"/>
        </w:rPr>
        <w:t>at</w:t>
      </w:r>
      <w:r>
        <w:rPr>
          <w:spacing w:val="1"/>
          <w:szCs w:val="22"/>
        </w:rPr>
        <w:t xml:space="preserve"> </w:t>
      </w:r>
      <w:r>
        <w:rPr>
          <w:spacing w:val="-3"/>
          <w:szCs w:val="22"/>
        </w:rPr>
        <w:t>u</w:t>
      </w:r>
      <w:r>
        <w:rPr>
          <w:szCs w:val="22"/>
        </w:rPr>
        <w:t xml:space="preserve">n </w:t>
      </w:r>
      <w:r>
        <w:rPr>
          <w:spacing w:val="-2"/>
          <w:szCs w:val="22"/>
        </w:rPr>
        <w:t>t</w:t>
      </w:r>
      <w:r>
        <w:rPr>
          <w:szCs w:val="22"/>
        </w:rPr>
        <w:t>ra</w:t>
      </w:r>
      <w:r>
        <w:rPr>
          <w:spacing w:val="-2"/>
          <w:szCs w:val="22"/>
        </w:rPr>
        <w:t>t</w:t>
      </w:r>
      <w:r>
        <w:rPr>
          <w:szCs w:val="22"/>
        </w:rPr>
        <w:t>a</w:t>
      </w:r>
      <w:r>
        <w:rPr>
          <w:spacing w:val="-4"/>
          <w:szCs w:val="22"/>
        </w:rPr>
        <w:t>m</w:t>
      </w:r>
      <w:r>
        <w:rPr>
          <w:szCs w:val="22"/>
        </w:rPr>
        <w:t>ent</w:t>
      </w:r>
      <w:r>
        <w:rPr>
          <w:spacing w:val="1"/>
          <w:szCs w:val="22"/>
        </w:rPr>
        <w:t xml:space="preserve"> </w:t>
      </w:r>
      <w:r>
        <w:rPr>
          <w:szCs w:val="22"/>
        </w:rPr>
        <w:t>e</w:t>
      </w:r>
      <w:r>
        <w:rPr>
          <w:spacing w:val="-2"/>
          <w:szCs w:val="22"/>
        </w:rPr>
        <w:t>f</w:t>
      </w:r>
      <w:r>
        <w:rPr>
          <w:spacing w:val="1"/>
          <w:szCs w:val="22"/>
        </w:rPr>
        <w:t>i</w:t>
      </w:r>
      <w:r>
        <w:rPr>
          <w:szCs w:val="22"/>
        </w:rPr>
        <w:t>c</w:t>
      </w:r>
      <w:r>
        <w:rPr>
          <w:spacing w:val="-3"/>
          <w:szCs w:val="22"/>
        </w:rPr>
        <w:t>a</w:t>
      </w:r>
      <w:r>
        <w:rPr>
          <w:szCs w:val="22"/>
        </w:rPr>
        <w:t>ce</w:t>
      </w:r>
      <w:r>
        <w:rPr>
          <w:spacing w:val="-2"/>
          <w:szCs w:val="22"/>
        </w:rPr>
        <w:t xml:space="preserve"> </w:t>
      </w:r>
      <w:r>
        <w:rPr>
          <w:szCs w:val="22"/>
        </w:rPr>
        <w:t>an</w:t>
      </w:r>
      <w:r>
        <w:rPr>
          <w:spacing w:val="-2"/>
          <w:szCs w:val="22"/>
        </w:rPr>
        <w:t>t</w:t>
      </w:r>
      <w:r>
        <w:rPr>
          <w:spacing w:val="1"/>
          <w:szCs w:val="22"/>
        </w:rPr>
        <w:t>i</w:t>
      </w:r>
      <w:r>
        <w:rPr>
          <w:spacing w:val="-3"/>
          <w:szCs w:val="22"/>
        </w:rPr>
        <w:t>v</w:t>
      </w:r>
      <w:r>
        <w:rPr>
          <w:spacing w:val="1"/>
          <w:szCs w:val="22"/>
        </w:rPr>
        <w:t>i</w:t>
      </w:r>
      <w:r>
        <w:rPr>
          <w:szCs w:val="22"/>
        </w:rPr>
        <w:t>r</w:t>
      </w:r>
      <w:r>
        <w:rPr>
          <w:spacing w:val="-3"/>
          <w:szCs w:val="22"/>
        </w:rPr>
        <w:t>a</w:t>
      </w:r>
      <w:r>
        <w:rPr>
          <w:szCs w:val="22"/>
        </w:rPr>
        <w:t>l</w:t>
      </w:r>
      <w:r>
        <w:rPr>
          <w:spacing w:val="1"/>
          <w:szCs w:val="22"/>
        </w:rPr>
        <w:t xml:space="preserve"> </w:t>
      </w:r>
      <w:r>
        <w:rPr>
          <w:szCs w:val="22"/>
        </w:rPr>
        <w:t>cu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3"/>
          <w:szCs w:val="22"/>
        </w:rPr>
        <w:t>d</w:t>
      </w:r>
      <w:r>
        <w:rPr>
          <w:szCs w:val="22"/>
        </w:rPr>
        <w:t>e s</w:t>
      </w:r>
      <w:r>
        <w:rPr>
          <w:spacing w:val="-3"/>
          <w:szCs w:val="22"/>
        </w:rPr>
        <w:t>u</w:t>
      </w:r>
      <w:r>
        <w:rPr>
          <w:szCs w:val="22"/>
        </w:rPr>
        <w:t>s</w:t>
      </w:r>
      <w:r>
        <w:rPr>
          <w:spacing w:val="1"/>
          <w:szCs w:val="22"/>
        </w:rPr>
        <w:t>ţ</w:t>
      </w:r>
      <w:r>
        <w:rPr>
          <w:spacing w:val="-2"/>
          <w:szCs w:val="22"/>
        </w:rPr>
        <w:t>i</w:t>
      </w:r>
      <w:r>
        <w:rPr>
          <w:szCs w:val="22"/>
        </w:rPr>
        <w:t>ne</w:t>
      </w:r>
      <w:r>
        <w:rPr>
          <w:spacing w:val="-2"/>
          <w:szCs w:val="22"/>
        </w:rPr>
        <w:t>r</w:t>
      </w:r>
      <w:r>
        <w:rPr>
          <w:szCs w:val="22"/>
        </w:rPr>
        <w:t>e a</w:t>
      </w:r>
      <w:r>
        <w:rPr>
          <w:spacing w:val="-3"/>
          <w:szCs w:val="22"/>
        </w:rPr>
        <w:t>d</w:t>
      </w:r>
      <w:r>
        <w:rPr>
          <w:szCs w:val="22"/>
        </w:rPr>
        <w:t>ec</w:t>
      </w:r>
      <w:r>
        <w:rPr>
          <w:spacing w:val="-3"/>
          <w:szCs w:val="22"/>
        </w:rPr>
        <w:t>v</w:t>
      </w:r>
      <w:r>
        <w:rPr>
          <w:szCs w:val="22"/>
        </w:rPr>
        <w:t>a</w:t>
      </w:r>
      <w:r>
        <w:rPr>
          <w:spacing w:val="1"/>
          <w:szCs w:val="22"/>
        </w:rPr>
        <w:t>t</w:t>
      </w:r>
      <w:r>
        <w:rPr>
          <w:szCs w:val="22"/>
        </w:rPr>
        <w:t>.</w:t>
      </w:r>
    </w:p>
    <w:p w14:paraId="05C1668E" w14:textId="77777777" w:rsidR="00C04CAD" w:rsidRDefault="00C04CAD">
      <w:pPr>
        <w:spacing w:line="240" w:lineRule="auto"/>
        <w:rPr>
          <w:szCs w:val="22"/>
        </w:rPr>
      </w:pPr>
    </w:p>
    <w:p w14:paraId="67881400" w14:textId="77777777" w:rsidR="00C04CAD" w:rsidRDefault="00060E34">
      <w:pPr>
        <w:pStyle w:val="BodyText"/>
        <w:keepNext/>
        <w:kinsoku w:val="0"/>
        <w:overflowPunct w:val="0"/>
        <w:rPr>
          <w:i w:val="0"/>
          <w:color w:val="auto"/>
          <w:szCs w:val="22"/>
        </w:rPr>
      </w:pPr>
      <w:r>
        <w:rPr>
          <w:i w:val="0"/>
          <w:color w:val="auto"/>
          <w:szCs w:val="22"/>
          <w:u w:val="single"/>
        </w:rPr>
        <w:t>Evenimente neurologice</w:t>
      </w:r>
    </w:p>
    <w:p w14:paraId="6A74299A" w14:textId="77777777" w:rsidR="00C04CAD" w:rsidRDefault="00C04CAD">
      <w:pPr>
        <w:kinsoku w:val="0"/>
        <w:overflowPunct w:val="0"/>
        <w:spacing w:line="240" w:lineRule="auto"/>
        <w:rPr>
          <w:szCs w:val="22"/>
        </w:rPr>
      </w:pPr>
    </w:p>
    <w:p w14:paraId="056CDE7A" w14:textId="77777777" w:rsidR="00C04CAD" w:rsidRDefault="00060E34">
      <w:pPr>
        <w:spacing w:line="240" w:lineRule="auto"/>
        <w:rPr>
          <w:szCs w:val="22"/>
        </w:rPr>
      </w:pPr>
      <w:r>
        <w:rPr>
          <w:spacing w:val="-1"/>
          <w:szCs w:val="22"/>
        </w:rPr>
        <w:t>A</w:t>
      </w:r>
      <w:r>
        <w:rPr>
          <w:szCs w:val="22"/>
        </w:rPr>
        <w:t>n</w:t>
      </w:r>
      <w:r>
        <w:rPr>
          <w:spacing w:val="1"/>
          <w:szCs w:val="22"/>
        </w:rPr>
        <w:t>t</w:t>
      </w:r>
      <w:r>
        <w:rPr>
          <w:szCs w:val="22"/>
        </w:rPr>
        <w:t>a</w:t>
      </w:r>
      <w:r>
        <w:rPr>
          <w:spacing w:val="-3"/>
          <w:szCs w:val="22"/>
        </w:rPr>
        <w:t>g</w:t>
      </w:r>
      <w:r>
        <w:rPr>
          <w:szCs w:val="22"/>
        </w:rPr>
        <w:t>on</w:t>
      </w:r>
      <w:r>
        <w:rPr>
          <w:spacing w:val="1"/>
          <w:szCs w:val="22"/>
        </w:rPr>
        <w:t>i</w:t>
      </w:r>
      <w:r>
        <w:rPr>
          <w:spacing w:val="-2"/>
          <w:szCs w:val="22"/>
        </w:rPr>
        <w:t>ş</w:t>
      </w:r>
      <w:r>
        <w:rPr>
          <w:spacing w:val="1"/>
          <w:szCs w:val="22"/>
        </w:rPr>
        <w:t>t</w:t>
      </w:r>
      <w:r>
        <w:rPr>
          <w:spacing w:val="-2"/>
          <w:szCs w:val="22"/>
        </w:rPr>
        <w:t>i</w:t>
      </w:r>
      <w:r>
        <w:rPr>
          <w:szCs w:val="22"/>
        </w:rPr>
        <w:t>i</w:t>
      </w:r>
      <w:r>
        <w:rPr>
          <w:spacing w:val="-2"/>
          <w:szCs w:val="22"/>
        </w:rPr>
        <w:t xml:space="preserve"> </w:t>
      </w:r>
      <w:r>
        <w:rPr>
          <w:spacing w:val="1"/>
          <w:szCs w:val="22"/>
        </w:rPr>
        <w:t>T</w:t>
      </w:r>
      <w:r>
        <w:rPr>
          <w:spacing w:val="-1"/>
          <w:szCs w:val="22"/>
        </w:rPr>
        <w:t>N</w:t>
      </w:r>
      <w:r>
        <w:rPr>
          <w:szCs w:val="22"/>
        </w:rPr>
        <w:t>F</w:t>
      </w:r>
      <w:r>
        <w:rPr>
          <w:spacing w:val="-1"/>
          <w:szCs w:val="22"/>
        </w:rPr>
        <w:t xml:space="preserve"> </w:t>
      </w:r>
      <w:r>
        <w:rPr>
          <w:spacing w:val="-2"/>
          <w:szCs w:val="22"/>
        </w:rPr>
        <w:t>(</w:t>
      </w:r>
      <w:r>
        <w:rPr>
          <w:szCs w:val="22"/>
        </w:rPr>
        <w:t>fa</w:t>
      </w:r>
      <w:r>
        <w:rPr>
          <w:spacing w:val="-3"/>
          <w:szCs w:val="22"/>
        </w:rPr>
        <w:t>c</w:t>
      </w:r>
      <w:r>
        <w:rPr>
          <w:spacing w:val="1"/>
          <w:szCs w:val="22"/>
        </w:rPr>
        <w:t>t</w:t>
      </w:r>
      <w:r>
        <w:rPr>
          <w:szCs w:val="22"/>
        </w:rPr>
        <w:t>or</w:t>
      </w:r>
      <w:r>
        <w:rPr>
          <w:spacing w:val="-2"/>
          <w:szCs w:val="22"/>
        </w:rPr>
        <w:t xml:space="preserve"> </w:t>
      </w:r>
      <w:r>
        <w:rPr>
          <w:spacing w:val="-3"/>
          <w:szCs w:val="22"/>
        </w:rPr>
        <w:t>d</w:t>
      </w:r>
      <w:r>
        <w:rPr>
          <w:szCs w:val="22"/>
        </w:rPr>
        <w:t>e ne</w:t>
      </w:r>
      <w:r>
        <w:rPr>
          <w:spacing w:val="-3"/>
          <w:szCs w:val="22"/>
        </w:rPr>
        <w:t>c</w:t>
      </w:r>
      <w:r>
        <w:rPr>
          <w:szCs w:val="22"/>
        </w:rPr>
        <w:t>ro</w:t>
      </w:r>
      <w:r>
        <w:rPr>
          <w:spacing w:val="-3"/>
          <w:szCs w:val="22"/>
        </w:rPr>
        <w:t>z</w:t>
      </w:r>
      <w:r>
        <w:rPr>
          <w:szCs w:val="22"/>
        </w:rPr>
        <w:t xml:space="preserve">ă </w:t>
      </w:r>
      <w:r>
        <w:rPr>
          <w:spacing w:val="1"/>
          <w:szCs w:val="22"/>
        </w:rPr>
        <w:t>t</w:t>
      </w:r>
      <w:r>
        <w:rPr>
          <w:szCs w:val="22"/>
        </w:rPr>
        <w:t>u</w:t>
      </w:r>
      <w:r>
        <w:rPr>
          <w:spacing w:val="-4"/>
          <w:szCs w:val="22"/>
        </w:rPr>
        <w:t>m</w:t>
      </w:r>
      <w:r>
        <w:rPr>
          <w:szCs w:val="22"/>
        </w:rPr>
        <w:t>ora</w:t>
      </w:r>
      <w:r>
        <w:rPr>
          <w:spacing w:val="-2"/>
          <w:szCs w:val="22"/>
        </w:rPr>
        <w:t>l</w:t>
      </w:r>
      <w:r>
        <w:rPr>
          <w:szCs w:val="22"/>
        </w:rPr>
        <w:t xml:space="preserve">ă), </w:t>
      </w:r>
      <w:r>
        <w:rPr>
          <w:spacing w:val="-3"/>
          <w:szCs w:val="22"/>
        </w:rPr>
        <w:t>p</w:t>
      </w:r>
      <w:r>
        <w:rPr>
          <w:szCs w:val="22"/>
        </w:rPr>
        <w:t>r</w:t>
      </w:r>
      <w:r>
        <w:rPr>
          <w:spacing w:val="-2"/>
          <w:szCs w:val="22"/>
        </w:rPr>
        <w:t>i</w:t>
      </w:r>
      <w:r>
        <w:rPr>
          <w:szCs w:val="22"/>
        </w:rPr>
        <w:t>n</w:t>
      </w:r>
      <w:r>
        <w:rPr>
          <w:spacing w:val="-2"/>
          <w:szCs w:val="22"/>
        </w:rPr>
        <w:t>t</w:t>
      </w:r>
      <w:r>
        <w:rPr>
          <w:szCs w:val="22"/>
        </w:rPr>
        <w:t>re</w:t>
      </w:r>
      <w:r>
        <w:rPr>
          <w:spacing w:val="-2"/>
          <w:szCs w:val="22"/>
        </w:rPr>
        <w:t xml:space="preserve"> </w:t>
      </w:r>
      <w:r>
        <w:rPr>
          <w:szCs w:val="22"/>
        </w:rPr>
        <w:t>care</w:t>
      </w:r>
      <w:r>
        <w:rPr>
          <w:spacing w:val="-2"/>
          <w:szCs w:val="22"/>
        </w:rPr>
        <w:t xml:space="preserve"> </w:t>
      </w:r>
      <w:r>
        <w:rPr>
          <w:szCs w:val="22"/>
        </w:rPr>
        <w:t>şi</w:t>
      </w:r>
      <w:r>
        <w:rPr>
          <w:spacing w:val="-2"/>
          <w:szCs w:val="22"/>
        </w:rPr>
        <w:t xml:space="preserve"> </w:t>
      </w:r>
      <w:r>
        <w:rPr>
          <w:spacing w:val="-1"/>
          <w:szCs w:val="22"/>
        </w:rPr>
        <w:t>adalimumab</w:t>
      </w:r>
      <w:r>
        <w:rPr>
          <w:szCs w:val="22"/>
        </w:rPr>
        <w:t>, au</w:t>
      </w:r>
      <w:r>
        <w:rPr>
          <w:spacing w:val="-3"/>
          <w:szCs w:val="22"/>
        </w:rPr>
        <w:t xml:space="preserve"> </w:t>
      </w:r>
      <w:r>
        <w:rPr>
          <w:szCs w:val="22"/>
        </w:rPr>
        <w:t>fo</w:t>
      </w:r>
      <w:r>
        <w:rPr>
          <w:spacing w:val="-2"/>
          <w:szCs w:val="22"/>
        </w:rPr>
        <w:t>s</w:t>
      </w:r>
      <w:r>
        <w:rPr>
          <w:szCs w:val="22"/>
        </w:rPr>
        <w:t>t</w:t>
      </w:r>
      <w:r>
        <w:rPr>
          <w:spacing w:val="1"/>
          <w:szCs w:val="22"/>
        </w:rPr>
        <w:t xml:space="preserve"> </w:t>
      </w:r>
      <w:r>
        <w:rPr>
          <w:szCs w:val="22"/>
        </w:rPr>
        <w:t>a</w:t>
      </w:r>
      <w:r>
        <w:rPr>
          <w:spacing w:val="-2"/>
          <w:szCs w:val="22"/>
        </w:rPr>
        <w:t>s</w:t>
      </w:r>
      <w:r>
        <w:rPr>
          <w:spacing w:val="-3"/>
          <w:szCs w:val="22"/>
        </w:rPr>
        <w:t>o</w:t>
      </w:r>
      <w:r>
        <w:rPr>
          <w:szCs w:val="22"/>
        </w:rPr>
        <w:t>c</w:t>
      </w:r>
      <w:r>
        <w:rPr>
          <w:spacing w:val="1"/>
          <w:szCs w:val="22"/>
        </w:rPr>
        <w:t>i</w:t>
      </w:r>
      <w:r>
        <w:rPr>
          <w:spacing w:val="-3"/>
          <w:szCs w:val="22"/>
        </w:rPr>
        <w:t>a</w:t>
      </w:r>
      <w:r>
        <w:rPr>
          <w:spacing w:val="1"/>
          <w:szCs w:val="22"/>
        </w:rPr>
        <w:t>ţ</w:t>
      </w:r>
      <w:r>
        <w:rPr>
          <w:szCs w:val="22"/>
        </w:rPr>
        <w:t>i</w:t>
      </w:r>
      <w:r>
        <w:rPr>
          <w:spacing w:val="-2"/>
          <w:szCs w:val="22"/>
        </w:rPr>
        <w:t xml:space="preserve"> </w:t>
      </w:r>
      <w:r>
        <w:rPr>
          <w:spacing w:val="1"/>
          <w:szCs w:val="22"/>
        </w:rPr>
        <w:t>î</w:t>
      </w:r>
      <w:r>
        <w:rPr>
          <w:szCs w:val="22"/>
        </w:rPr>
        <w:t xml:space="preserve">n </w:t>
      </w:r>
      <w:r>
        <w:rPr>
          <w:spacing w:val="-2"/>
          <w:szCs w:val="22"/>
        </w:rPr>
        <w:t>s</w:t>
      </w:r>
      <w:r>
        <w:rPr>
          <w:spacing w:val="1"/>
          <w:szCs w:val="22"/>
        </w:rPr>
        <w:t>i</w:t>
      </w:r>
      <w:r>
        <w:rPr>
          <w:spacing w:val="-2"/>
          <w:szCs w:val="22"/>
        </w:rPr>
        <w:t>t</w:t>
      </w:r>
      <w:r>
        <w:rPr>
          <w:szCs w:val="22"/>
        </w:rPr>
        <w:t>ua</w:t>
      </w:r>
      <w:r>
        <w:rPr>
          <w:spacing w:val="-2"/>
          <w:szCs w:val="22"/>
        </w:rPr>
        <w:t>ţi</w:t>
      </w:r>
      <w:r>
        <w:rPr>
          <w:szCs w:val="22"/>
        </w:rPr>
        <w:t>i</w:t>
      </w:r>
      <w:r>
        <w:rPr>
          <w:spacing w:val="1"/>
          <w:szCs w:val="22"/>
        </w:rPr>
        <w:t xml:space="preserve"> </w:t>
      </w:r>
      <w:r>
        <w:rPr>
          <w:szCs w:val="22"/>
        </w:rPr>
        <w:t>r</w:t>
      </w:r>
      <w:r>
        <w:rPr>
          <w:spacing w:val="-3"/>
          <w:szCs w:val="22"/>
        </w:rPr>
        <w:t>a</w:t>
      </w:r>
      <w:r>
        <w:rPr>
          <w:szCs w:val="22"/>
        </w:rPr>
        <w:t>re cu deb</w:t>
      </w:r>
      <w:r>
        <w:rPr>
          <w:spacing w:val="-3"/>
          <w:szCs w:val="22"/>
        </w:rPr>
        <w:t>u</w:t>
      </w:r>
      <w:r>
        <w:rPr>
          <w:spacing w:val="1"/>
          <w:szCs w:val="22"/>
        </w:rPr>
        <w:t>t</w:t>
      </w:r>
      <w:r>
        <w:rPr>
          <w:spacing w:val="-3"/>
          <w:szCs w:val="22"/>
        </w:rPr>
        <w:t>u</w:t>
      </w:r>
      <w:r>
        <w:rPr>
          <w:szCs w:val="22"/>
        </w:rPr>
        <w:t>l</w:t>
      </w:r>
      <w:r>
        <w:rPr>
          <w:spacing w:val="1"/>
          <w:szCs w:val="22"/>
        </w:rPr>
        <w:t xml:space="preserve"> </w:t>
      </w:r>
      <w:r>
        <w:rPr>
          <w:szCs w:val="22"/>
        </w:rPr>
        <w:t>sau</w:t>
      </w:r>
      <w:r>
        <w:rPr>
          <w:spacing w:val="-3"/>
          <w:szCs w:val="22"/>
        </w:rPr>
        <w:t xml:space="preserve"> </w:t>
      </w:r>
      <w:r>
        <w:rPr>
          <w:szCs w:val="22"/>
        </w:rPr>
        <w:t>ex</w:t>
      </w:r>
      <w:r>
        <w:rPr>
          <w:spacing w:val="-3"/>
          <w:szCs w:val="22"/>
        </w:rPr>
        <w:t>a</w:t>
      </w:r>
      <w:r>
        <w:rPr>
          <w:szCs w:val="22"/>
        </w:rPr>
        <w:t>ce</w:t>
      </w:r>
      <w:r>
        <w:rPr>
          <w:spacing w:val="-2"/>
          <w:szCs w:val="22"/>
        </w:rPr>
        <w:t>r</w:t>
      </w:r>
      <w:r>
        <w:rPr>
          <w:szCs w:val="22"/>
        </w:rPr>
        <w:t>ba</w:t>
      </w:r>
      <w:r>
        <w:rPr>
          <w:spacing w:val="-2"/>
          <w:szCs w:val="22"/>
        </w:rPr>
        <w:t>r</w:t>
      </w:r>
      <w:r>
        <w:rPr>
          <w:szCs w:val="22"/>
        </w:rPr>
        <w:t>ea</w:t>
      </w:r>
      <w:r>
        <w:rPr>
          <w:spacing w:val="-2"/>
          <w:szCs w:val="22"/>
        </w:rPr>
        <w:t xml:space="preserve"> </w:t>
      </w:r>
      <w:r>
        <w:rPr>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or</w:t>
      </w:r>
      <w:r>
        <w:rPr>
          <w:spacing w:val="1"/>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ce</w:t>
      </w:r>
      <w:r>
        <w:rPr>
          <w:spacing w:val="-2"/>
          <w:szCs w:val="22"/>
        </w:rPr>
        <w:t xml:space="preserve"> </w:t>
      </w:r>
      <w:r>
        <w:rPr>
          <w:szCs w:val="22"/>
        </w:rPr>
        <w:t>ş</w:t>
      </w:r>
      <w:r>
        <w:rPr>
          <w:spacing w:val="-2"/>
          <w:szCs w:val="22"/>
        </w:rPr>
        <w:t>i</w:t>
      </w:r>
      <w:r>
        <w:rPr>
          <w:spacing w:val="1"/>
          <w:szCs w:val="22"/>
        </w:rPr>
        <w:t>/</w:t>
      </w:r>
      <w:r>
        <w:rPr>
          <w:szCs w:val="22"/>
        </w:rPr>
        <w:t>s</w:t>
      </w:r>
      <w:r>
        <w:rPr>
          <w:spacing w:val="-3"/>
          <w:szCs w:val="22"/>
        </w:rPr>
        <w:t>a</w:t>
      </w:r>
      <w:r>
        <w:rPr>
          <w:szCs w:val="22"/>
        </w:rPr>
        <w:t>u</w:t>
      </w:r>
      <w:r>
        <w:rPr>
          <w:spacing w:val="-4"/>
          <w:szCs w:val="22"/>
        </w:rPr>
        <w:t xml:space="preserve"> </w:t>
      </w:r>
      <w:r>
        <w:rPr>
          <w:szCs w:val="22"/>
        </w:rPr>
        <w:t>a pa</w:t>
      </w:r>
      <w:r>
        <w:rPr>
          <w:spacing w:val="-2"/>
          <w:szCs w:val="22"/>
        </w:rPr>
        <w:t>r</w:t>
      </w:r>
      <w:r>
        <w:rPr>
          <w:szCs w:val="22"/>
        </w:rPr>
        <w:t>a</w:t>
      </w:r>
      <w:r>
        <w:rPr>
          <w:spacing w:val="-4"/>
          <w:szCs w:val="22"/>
        </w:rPr>
        <w:t>m</w:t>
      </w:r>
      <w:r>
        <w:rPr>
          <w:szCs w:val="22"/>
        </w:rPr>
        <w:t>e</w:t>
      </w:r>
      <w:r>
        <w:rPr>
          <w:spacing w:val="1"/>
          <w:szCs w:val="22"/>
        </w:rPr>
        <w:t>t</w:t>
      </w:r>
      <w:r>
        <w:rPr>
          <w:szCs w:val="22"/>
        </w:rPr>
        <w:t>r</w:t>
      </w:r>
      <w:r>
        <w:rPr>
          <w:spacing w:val="-2"/>
          <w:szCs w:val="22"/>
        </w:rPr>
        <w:t>i</w:t>
      </w:r>
      <w:r>
        <w:rPr>
          <w:spacing w:val="1"/>
          <w:szCs w:val="22"/>
        </w:rPr>
        <w:t>l</w:t>
      </w:r>
      <w:r>
        <w:rPr>
          <w:szCs w:val="22"/>
        </w:rPr>
        <w:t>or</w:t>
      </w:r>
      <w:r>
        <w:rPr>
          <w:spacing w:val="-2"/>
          <w:szCs w:val="22"/>
        </w:rPr>
        <w:t xml:space="preserve"> </w:t>
      </w:r>
      <w:r>
        <w:rPr>
          <w:szCs w:val="22"/>
        </w:rPr>
        <w:t>ra</w:t>
      </w:r>
      <w:r>
        <w:rPr>
          <w:spacing w:val="-3"/>
          <w:szCs w:val="22"/>
        </w:rPr>
        <w:t>d</w:t>
      </w:r>
      <w:r>
        <w:rPr>
          <w:spacing w:val="1"/>
          <w:szCs w:val="22"/>
        </w:rPr>
        <w:t>i</w:t>
      </w:r>
      <w:r>
        <w:rPr>
          <w:spacing w:val="-3"/>
          <w:szCs w:val="22"/>
        </w:rPr>
        <w:t>o</w:t>
      </w:r>
      <w:r>
        <w:rPr>
          <w:spacing w:val="1"/>
          <w:szCs w:val="22"/>
        </w:rPr>
        <w:t>l</w:t>
      </w:r>
      <w:r>
        <w:rPr>
          <w:szCs w:val="22"/>
        </w:rPr>
        <w:t>o</w:t>
      </w:r>
      <w:r>
        <w:rPr>
          <w:spacing w:val="-3"/>
          <w:szCs w:val="22"/>
        </w:rPr>
        <w:t>g</w:t>
      </w:r>
      <w:r>
        <w:rPr>
          <w:spacing w:val="1"/>
          <w:szCs w:val="22"/>
        </w:rPr>
        <w:t>i</w:t>
      </w:r>
      <w:r>
        <w:rPr>
          <w:szCs w:val="22"/>
        </w:rPr>
        <w:t>ci</w:t>
      </w:r>
      <w:r>
        <w:rPr>
          <w:spacing w:val="-2"/>
          <w:szCs w:val="22"/>
        </w:rPr>
        <w:t xml:space="preserve"> </w:t>
      </w:r>
      <w:r>
        <w:rPr>
          <w:spacing w:val="-3"/>
          <w:szCs w:val="22"/>
        </w:rPr>
        <w:t>d</w:t>
      </w:r>
      <w:r>
        <w:rPr>
          <w:szCs w:val="22"/>
        </w:rPr>
        <w:t>e bo</w:t>
      </w:r>
      <w:r>
        <w:rPr>
          <w:spacing w:val="-3"/>
          <w:szCs w:val="22"/>
        </w:rPr>
        <w:t>a</w:t>
      </w:r>
      <w:r>
        <w:rPr>
          <w:spacing w:val="1"/>
          <w:szCs w:val="22"/>
        </w:rPr>
        <w:t>l</w:t>
      </w:r>
      <w:r>
        <w:rPr>
          <w:szCs w:val="22"/>
        </w:rPr>
        <w:t>ă de</w:t>
      </w:r>
      <w:r>
        <w:rPr>
          <w:spacing w:val="-4"/>
          <w:szCs w:val="22"/>
        </w:rPr>
        <w:t>m</w:t>
      </w:r>
      <w:r>
        <w:rPr>
          <w:spacing w:val="1"/>
          <w:szCs w:val="22"/>
        </w:rPr>
        <w:t>i</w:t>
      </w:r>
      <w:r>
        <w:rPr>
          <w:szCs w:val="22"/>
        </w:rPr>
        <w:t>e</w:t>
      </w:r>
      <w:r>
        <w:rPr>
          <w:spacing w:val="1"/>
          <w:szCs w:val="22"/>
        </w:rPr>
        <w:t>li</w:t>
      </w:r>
      <w:r>
        <w:rPr>
          <w:spacing w:val="-3"/>
          <w:szCs w:val="22"/>
        </w:rPr>
        <w:t>n</w:t>
      </w:r>
      <w:r>
        <w:rPr>
          <w:spacing w:val="1"/>
          <w:szCs w:val="22"/>
        </w:rPr>
        <w:t>i</w:t>
      </w:r>
      <w:r>
        <w:rPr>
          <w:spacing w:val="-3"/>
          <w:szCs w:val="22"/>
        </w:rPr>
        <w:t>z</w:t>
      </w:r>
      <w:r>
        <w:rPr>
          <w:szCs w:val="22"/>
        </w:rPr>
        <w:t>an</w:t>
      </w:r>
      <w:r>
        <w:rPr>
          <w:spacing w:val="1"/>
          <w:szCs w:val="22"/>
        </w:rPr>
        <w:t>t</w:t>
      </w:r>
      <w:r>
        <w:rPr>
          <w:szCs w:val="22"/>
        </w:rPr>
        <w:t>ă</w:t>
      </w:r>
      <w:r>
        <w:rPr>
          <w:spacing w:val="-2"/>
          <w:szCs w:val="22"/>
        </w:rPr>
        <w:t xml:space="preserve"> </w:t>
      </w:r>
      <w:r>
        <w:rPr>
          <w:szCs w:val="22"/>
        </w:rPr>
        <w:t xml:space="preserve">a </w:t>
      </w:r>
      <w:r>
        <w:rPr>
          <w:spacing w:val="-2"/>
          <w:szCs w:val="22"/>
        </w:rPr>
        <w:t>s</w:t>
      </w:r>
      <w:r>
        <w:rPr>
          <w:spacing w:val="1"/>
          <w:szCs w:val="22"/>
        </w:rPr>
        <w:t>i</w:t>
      </w:r>
      <w:r>
        <w:rPr>
          <w:spacing w:val="-2"/>
          <w:szCs w:val="22"/>
        </w:rPr>
        <w:t>s</w:t>
      </w:r>
      <w:r>
        <w:rPr>
          <w:spacing w:val="1"/>
          <w:szCs w:val="22"/>
        </w:rPr>
        <w:t>t</w:t>
      </w:r>
      <w:r>
        <w:rPr>
          <w:szCs w:val="22"/>
        </w:rPr>
        <w:t>e</w:t>
      </w:r>
      <w:r>
        <w:rPr>
          <w:spacing w:val="-4"/>
          <w:szCs w:val="22"/>
        </w:rPr>
        <w:t>m</w:t>
      </w:r>
      <w:r>
        <w:rPr>
          <w:szCs w:val="22"/>
        </w:rPr>
        <w:t>u</w:t>
      </w:r>
      <w:r>
        <w:rPr>
          <w:spacing w:val="1"/>
          <w:szCs w:val="22"/>
        </w:rPr>
        <w:t>l</w:t>
      </w:r>
      <w:r>
        <w:rPr>
          <w:szCs w:val="22"/>
        </w:rPr>
        <w:t>ui</w:t>
      </w:r>
      <w:r>
        <w:rPr>
          <w:spacing w:val="-2"/>
          <w:szCs w:val="22"/>
        </w:rPr>
        <w:t xml:space="preserve"> </w:t>
      </w:r>
      <w:r>
        <w:rPr>
          <w:szCs w:val="22"/>
        </w:rPr>
        <w:t>ner</w:t>
      </w:r>
      <w:r>
        <w:rPr>
          <w:spacing w:val="-3"/>
          <w:szCs w:val="22"/>
        </w:rPr>
        <w:t>v</w:t>
      </w:r>
      <w:r>
        <w:rPr>
          <w:szCs w:val="22"/>
        </w:rPr>
        <w:t>os c</w:t>
      </w:r>
      <w:r>
        <w:rPr>
          <w:spacing w:val="-3"/>
          <w:szCs w:val="22"/>
        </w:rPr>
        <w:t>e</w:t>
      </w:r>
      <w:r>
        <w:rPr>
          <w:szCs w:val="22"/>
        </w:rPr>
        <w:t>n</w:t>
      </w:r>
      <w:r>
        <w:rPr>
          <w:spacing w:val="-2"/>
          <w:szCs w:val="22"/>
        </w:rPr>
        <w:t>t</w:t>
      </w:r>
      <w:r>
        <w:rPr>
          <w:szCs w:val="22"/>
        </w:rPr>
        <w:t>ra</w:t>
      </w:r>
      <w:r>
        <w:rPr>
          <w:spacing w:val="1"/>
          <w:szCs w:val="22"/>
        </w:rPr>
        <w:t>l</w:t>
      </w:r>
      <w:r>
        <w:rPr>
          <w:szCs w:val="22"/>
        </w:rPr>
        <w:t>,</w:t>
      </w:r>
      <w:r>
        <w:rPr>
          <w:spacing w:val="-3"/>
          <w:szCs w:val="22"/>
        </w:rPr>
        <w:t xml:space="preserve"> </w:t>
      </w:r>
      <w:r>
        <w:rPr>
          <w:spacing w:val="1"/>
          <w:szCs w:val="22"/>
        </w:rPr>
        <w:t>i</w:t>
      </w:r>
      <w:r>
        <w:rPr>
          <w:spacing w:val="-3"/>
          <w:szCs w:val="22"/>
        </w:rPr>
        <w:t>n</w:t>
      </w:r>
      <w:r>
        <w:rPr>
          <w:szCs w:val="22"/>
        </w:rPr>
        <w:t>c</w:t>
      </w:r>
      <w:r>
        <w:rPr>
          <w:spacing w:val="1"/>
          <w:szCs w:val="22"/>
        </w:rPr>
        <w:t>l</w:t>
      </w:r>
      <w:r>
        <w:rPr>
          <w:spacing w:val="-3"/>
          <w:szCs w:val="22"/>
        </w:rPr>
        <w:t>u</w:t>
      </w:r>
      <w:r>
        <w:rPr>
          <w:szCs w:val="22"/>
        </w:rPr>
        <w:t>s</w:t>
      </w:r>
      <w:r>
        <w:rPr>
          <w:spacing w:val="1"/>
          <w:szCs w:val="22"/>
        </w:rPr>
        <w:t>i</w:t>
      </w:r>
      <w:r>
        <w:rPr>
          <w:szCs w:val="22"/>
        </w:rPr>
        <w:t>v</w:t>
      </w:r>
      <w:r>
        <w:rPr>
          <w:spacing w:val="-3"/>
          <w:szCs w:val="22"/>
        </w:rPr>
        <w:t xml:space="preserve"> </w:t>
      </w:r>
      <w:r>
        <w:rPr>
          <w:szCs w:val="22"/>
        </w:rPr>
        <w:t xml:space="preserve">a </w:t>
      </w:r>
      <w:r>
        <w:rPr>
          <w:spacing w:val="-2"/>
          <w:szCs w:val="22"/>
        </w:rPr>
        <w:t>s</w:t>
      </w:r>
      <w:r>
        <w:rPr>
          <w:szCs w:val="22"/>
        </w:rPr>
        <w:t>c</w:t>
      </w:r>
      <w:r>
        <w:rPr>
          <w:spacing w:val="1"/>
          <w:szCs w:val="22"/>
        </w:rPr>
        <w:t>l</w:t>
      </w:r>
      <w:r>
        <w:rPr>
          <w:spacing w:val="-3"/>
          <w:szCs w:val="22"/>
        </w:rPr>
        <w:t>e</w:t>
      </w:r>
      <w:r>
        <w:rPr>
          <w:szCs w:val="22"/>
        </w:rPr>
        <w:t>ro</w:t>
      </w:r>
      <w:r>
        <w:rPr>
          <w:spacing w:val="-3"/>
          <w:szCs w:val="22"/>
        </w:rPr>
        <w:t>z</w:t>
      </w:r>
      <w:r>
        <w:rPr>
          <w:szCs w:val="22"/>
        </w:rPr>
        <w:t>ei</w:t>
      </w:r>
      <w:r>
        <w:rPr>
          <w:spacing w:val="1"/>
          <w:szCs w:val="22"/>
        </w:rPr>
        <w:t xml:space="preserve"> </w:t>
      </w:r>
      <w:r>
        <w:rPr>
          <w:spacing w:val="-4"/>
          <w:szCs w:val="22"/>
        </w:rPr>
        <w:t>m</w:t>
      </w:r>
      <w:r>
        <w:rPr>
          <w:szCs w:val="22"/>
        </w:rPr>
        <w:t>u</w:t>
      </w:r>
      <w:r>
        <w:rPr>
          <w:spacing w:val="1"/>
          <w:szCs w:val="22"/>
        </w:rPr>
        <w:t>lt</w:t>
      </w:r>
      <w:r>
        <w:rPr>
          <w:spacing w:val="-2"/>
          <w:szCs w:val="22"/>
        </w:rPr>
        <w:t>i</w:t>
      </w:r>
      <w:r>
        <w:rPr>
          <w:szCs w:val="22"/>
        </w:rPr>
        <w:t>p</w:t>
      </w:r>
      <w:r>
        <w:rPr>
          <w:spacing w:val="1"/>
          <w:szCs w:val="22"/>
        </w:rPr>
        <w:t>l</w:t>
      </w:r>
      <w:r>
        <w:rPr>
          <w:szCs w:val="22"/>
        </w:rPr>
        <w:t>e</w:t>
      </w:r>
      <w:r>
        <w:rPr>
          <w:spacing w:val="-2"/>
          <w:szCs w:val="22"/>
        </w:rPr>
        <w:t xml:space="preserve"> </w:t>
      </w:r>
      <w:r>
        <w:rPr>
          <w:szCs w:val="22"/>
        </w:rPr>
        <w:t>şi</w:t>
      </w:r>
      <w:r>
        <w:rPr>
          <w:spacing w:val="-2"/>
          <w:szCs w:val="22"/>
        </w:rPr>
        <w:t xml:space="preserve"> </w:t>
      </w:r>
      <w:r>
        <w:rPr>
          <w:szCs w:val="22"/>
        </w:rPr>
        <w:t>ne</w:t>
      </w:r>
      <w:r>
        <w:rPr>
          <w:spacing w:val="-3"/>
          <w:szCs w:val="22"/>
        </w:rPr>
        <w:t>v</w:t>
      </w:r>
      <w:r>
        <w:rPr>
          <w:szCs w:val="22"/>
        </w:rPr>
        <w:t>r</w:t>
      </w:r>
      <w:r>
        <w:rPr>
          <w:spacing w:val="-2"/>
          <w:szCs w:val="22"/>
        </w:rPr>
        <w:t>i</w:t>
      </w:r>
      <w:r>
        <w:rPr>
          <w:spacing w:val="1"/>
          <w:szCs w:val="22"/>
        </w:rPr>
        <w:t>t</w:t>
      </w:r>
      <w:r>
        <w:rPr>
          <w:szCs w:val="22"/>
        </w:rPr>
        <w:t>ei</w:t>
      </w:r>
      <w:r>
        <w:rPr>
          <w:spacing w:val="-2"/>
          <w:szCs w:val="22"/>
        </w:rPr>
        <w:t xml:space="preserve"> </w:t>
      </w:r>
      <w:r>
        <w:rPr>
          <w:szCs w:val="22"/>
        </w:rPr>
        <w:t>op</w:t>
      </w:r>
      <w:r>
        <w:rPr>
          <w:spacing w:val="1"/>
          <w:szCs w:val="22"/>
        </w:rPr>
        <w:t>t</w:t>
      </w:r>
      <w:r>
        <w:rPr>
          <w:spacing w:val="-2"/>
          <w:szCs w:val="22"/>
        </w:rPr>
        <w:t>i</w:t>
      </w:r>
      <w:r>
        <w:rPr>
          <w:szCs w:val="22"/>
        </w:rPr>
        <w:t xml:space="preserve">ce </w:t>
      </w:r>
      <w:r>
        <w:rPr>
          <w:spacing w:val="-2"/>
          <w:szCs w:val="22"/>
        </w:rPr>
        <w:t>ş</w:t>
      </w:r>
      <w:r>
        <w:rPr>
          <w:szCs w:val="22"/>
        </w:rPr>
        <w:t>i</w:t>
      </w:r>
      <w:r>
        <w:rPr>
          <w:spacing w:val="1"/>
          <w:szCs w:val="22"/>
        </w:rPr>
        <w:t xml:space="preserve"> </w:t>
      </w:r>
      <w:r>
        <w:rPr>
          <w:spacing w:val="-3"/>
          <w:szCs w:val="22"/>
        </w:rPr>
        <w:t>d</w:t>
      </w:r>
      <w:r>
        <w:rPr>
          <w:szCs w:val="22"/>
        </w:rPr>
        <w:t>e bo</w:t>
      </w:r>
      <w:r>
        <w:rPr>
          <w:spacing w:val="-3"/>
          <w:szCs w:val="22"/>
        </w:rPr>
        <w:t>a</w:t>
      </w:r>
      <w:r>
        <w:rPr>
          <w:spacing w:val="1"/>
          <w:szCs w:val="22"/>
        </w:rPr>
        <w:t>l</w:t>
      </w:r>
      <w:r>
        <w:rPr>
          <w:szCs w:val="22"/>
        </w:rPr>
        <w:t>ă de</w:t>
      </w:r>
      <w:r>
        <w:rPr>
          <w:spacing w:val="-4"/>
          <w:szCs w:val="22"/>
        </w:rPr>
        <w:t>m</w:t>
      </w:r>
      <w:r>
        <w:rPr>
          <w:spacing w:val="1"/>
          <w:szCs w:val="22"/>
        </w:rPr>
        <w:t>i</w:t>
      </w:r>
      <w:r>
        <w:rPr>
          <w:szCs w:val="22"/>
        </w:rPr>
        <w:t>e</w:t>
      </w:r>
      <w:r>
        <w:rPr>
          <w:spacing w:val="1"/>
          <w:szCs w:val="22"/>
        </w:rPr>
        <w:t>li</w:t>
      </w:r>
      <w:r>
        <w:rPr>
          <w:spacing w:val="-3"/>
          <w:szCs w:val="22"/>
        </w:rPr>
        <w:t>n</w:t>
      </w:r>
      <w:r>
        <w:rPr>
          <w:spacing w:val="1"/>
          <w:szCs w:val="22"/>
        </w:rPr>
        <w:t>i</w:t>
      </w:r>
      <w:r>
        <w:rPr>
          <w:spacing w:val="-3"/>
          <w:szCs w:val="22"/>
        </w:rPr>
        <w:t>z</w:t>
      </w:r>
      <w:r>
        <w:rPr>
          <w:szCs w:val="22"/>
        </w:rPr>
        <w:t>an</w:t>
      </w:r>
      <w:r>
        <w:rPr>
          <w:spacing w:val="1"/>
          <w:szCs w:val="22"/>
        </w:rPr>
        <w:t>t</w:t>
      </w:r>
      <w:r>
        <w:rPr>
          <w:szCs w:val="22"/>
        </w:rPr>
        <w:t>ă</w:t>
      </w:r>
      <w:r>
        <w:rPr>
          <w:spacing w:val="-2"/>
          <w:szCs w:val="22"/>
        </w:rPr>
        <w:t xml:space="preserve"> </w:t>
      </w:r>
      <w:r>
        <w:rPr>
          <w:szCs w:val="22"/>
        </w:rPr>
        <w:t>pe</w:t>
      </w:r>
      <w:r>
        <w:rPr>
          <w:spacing w:val="-2"/>
          <w:szCs w:val="22"/>
        </w:rPr>
        <w:t>r</w:t>
      </w:r>
      <w:r>
        <w:rPr>
          <w:spacing w:val="1"/>
          <w:szCs w:val="22"/>
        </w:rPr>
        <w:t>i</w:t>
      </w:r>
      <w:r>
        <w:rPr>
          <w:spacing w:val="-2"/>
          <w:szCs w:val="22"/>
        </w:rPr>
        <w:t>f</w:t>
      </w:r>
      <w:r>
        <w:rPr>
          <w:szCs w:val="22"/>
        </w:rPr>
        <w:t>e</w:t>
      </w:r>
      <w:r>
        <w:rPr>
          <w:spacing w:val="-2"/>
          <w:szCs w:val="22"/>
        </w:rPr>
        <w:t>r</w:t>
      </w:r>
      <w:r>
        <w:rPr>
          <w:spacing w:val="1"/>
          <w:szCs w:val="22"/>
        </w:rPr>
        <w:t>i</w:t>
      </w:r>
      <w:r>
        <w:rPr>
          <w:szCs w:val="22"/>
        </w:rPr>
        <w:t>că,</w:t>
      </w:r>
      <w:r>
        <w:rPr>
          <w:spacing w:val="-3"/>
          <w:szCs w:val="22"/>
        </w:rPr>
        <w:t xml:space="preserve"> </w:t>
      </w:r>
      <w:r>
        <w:rPr>
          <w:spacing w:val="-2"/>
          <w:szCs w:val="22"/>
        </w:rPr>
        <w:t>i</w:t>
      </w:r>
      <w:r>
        <w:rPr>
          <w:szCs w:val="22"/>
        </w:rPr>
        <w:t>nc</w:t>
      </w:r>
      <w:r>
        <w:rPr>
          <w:spacing w:val="1"/>
          <w:szCs w:val="22"/>
        </w:rPr>
        <w:t>l</w:t>
      </w:r>
      <w:r>
        <w:rPr>
          <w:szCs w:val="22"/>
        </w:rPr>
        <w:t>u</w:t>
      </w:r>
      <w:r>
        <w:rPr>
          <w:spacing w:val="-2"/>
          <w:szCs w:val="22"/>
        </w:rPr>
        <w:t>s</w:t>
      </w:r>
      <w:r>
        <w:rPr>
          <w:spacing w:val="1"/>
          <w:szCs w:val="22"/>
        </w:rPr>
        <w:t>i</w:t>
      </w:r>
      <w:r>
        <w:rPr>
          <w:szCs w:val="22"/>
        </w:rPr>
        <w:t>v</w:t>
      </w:r>
      <w:r>
        <w:rPr>
          <w:spacing w:val="-3"/>
          <w:szCs w:val="22"/>
        </w:rPr>
        <w:t xml:space="preserve"> </w:t>
      </w:r>
      <w:r>
        <w:rPr>
          <w:szCs w:val="22"/>
        </w:rPr>
        <w:t xml:space="preserve">a </w:t>
      </w:r>
      <w:r>
        <w:rPr>
          <w:spacing w:val="-2"/>
          <w:szCs w:val="22"/>
        </w:rPr>
        <w:t>s</w:t>
      </w:r>
      <w:r>
        <w:rPr>
          <w:spacing w:val="1"/>
          <w:szCs w:val="22"/>
        </w:rPr>
        <w:t>i</w:t>
      </w:r>
      <w:r>
        <w:rPr>
          <w:szCs w:val="22"/>
        </w:rPr>
        <w:t>ndro</w:t>
      </w:r>
      <w:r>
        <w:rPr>
          <w:spacing w:val="-4"/>
          <w:szCs w:val="22"/>
        </w:rPr>
        <w:t>m</w:t>
      </w:r>
      <w:r>
        <w:rPr>
          <w:szCs w:val="22"/>
        </w:rPr>
        <w:t>u</w:t>
      </w:r>
      <w:r>
        <w:rPr>
          <w:spacing w:val="1"/>
          <w:szCs w:val="22"/>
        </w:rPr>
        <w:t>l</w:t>
      </w:r>
      <w:r>
        <w:rPr>
          <w:spacing w:val="-3"/>
          <w:szCs w:val="22"/>
        </w:rPr>
        <w:t>u</w:t>
      </w:r>
      <w:r>
        <w:rPr>
          <w:szCs w:val="22"/>
        </w:rPr>
        <w:t>i</w:t>
      </w:r>
      <w:r>
        <w:rPr>
          <w:spacing w:val="1"/>
          <w:szCs w:val="22"/>
        </w:rPr>
        <w:t xml:space="preserve"> </w:t>
      </w:r>
      <w:r>
        <w:rPr>
          <w:spacing w:val="-1"/>
          <w:szCs w:val="22"/>
        </w:rPr>
        <w:t>G</w:t>
      </w:r>
      <w:r>
        <w:rPr>
          <w:szCs w:val="22"/>
        </w:rPr>
        <w:t>u</w:t>
      </w:r>
      <w:r>
        <w:rPr>
          <w:spacing w:val="-2"/>
          <w:szCs w:val="22"/>
        </w:rPr>
        <w:t>i</w:t>
      </w:r>
      <w:r>
        <w:rPr>
          <w:spacing w:val="1"/>
          <w:szCs w:val="22"/>
        </w:rPr>
        <w:t>l</w:t>
      </w:r>
      <w:r>
        <w:rPr>
          <w:spacing w:val="-2"/>
          <w:szCs w:val="22"/>
        </w:rPr>
        <w:t>l</w:t>
      </w:r>
      <w:r>
        <w:rPr>
          <w:szCs w:val="22"/>
        </w:rPr>
        <w:t>a</w:t>
      </w:r>
      <w:r>
        <w:rPr>
          <w:spacing w:val="1"/>
          <w:szCs w:val="22"/>
        </w:rPr>
        <w:t>i</w:t>
      </w:r>
      <w:r>
        <w:rPr>
          <w:szCs w:val="22"/>
        </w:rPr>
        <w:t>n</w:t>
      </w:r>
      <w:r>
        <w:rPr>
          <w:spacing w:val="-4"/>
          <w:szCs w:val="22"/>
        </w:rPr>
        <w:t>-</w:t>
      </w:r>
      <w:r>
        <w:rPr>
          <w:spacing w:val="-1"/>
          <w:szCs w:val="22"/>
        </w:rPr>
        <w:t>B</w:t>
      </w:r>
      <w:r>
        <w:rPr>
          <w:szCs w:val="22"/>
        </w:rPr>
        <w:t>arré.</w:t>
      </w:r>
      <w:r>
        <w:rPr>
          <w:spacing w:val="-3"/>
          <w:szCs w:val="22"/>
        </w:rPr>
        <w:t xml:space="preserve"> </w:t>
      </w:r>
      <w:r>
        <w:rPr>
          <w:szCs w:val="22"/>
        </w:rPr>
        <w:t>Me</w:t>
      </w:r>
      <w:r>
        <w:rPr>
          <w:spacing w:val="-3"/>
          <w:szCs w:val="22"/>
        </w:rPr>
        <w:t>d</w:t>
      </w:r>
      <w:r>
        <w:rPr>
          <w:spacing w:val="1"/>
          <w:szCs w:val="22"/>
        </w:rPr>
        <w:t>i</w:t>
      </w:r>
      <w:r>
        <w:rPr>
          <w:szCs w:val="22"/>
        </w:rPr>
        <w:t>c</w:t>
      </w:r>
      <w:r>
        <w:rPr>
          <w:spacing w:val="-2"/>
          <w:szCs w:val="22"/>
        </w:rPr>
        <w:t>i</w:t>
      </w:r>
      <w:r>
        <w:rPr>
          <w:szCs w:val="22"/>
        </w:rPr>
        <w:t>i</w:t>
      </w:r>
      <w:r>
        <w:rPr>
          <w:spacing w:val="1"/>
          <w:szCs w:val="22"/>
        </w:rPr>
        <w:t xml:space="preserve"> </w:t>
      </w:r>
      <w:r>
        <w:rPr>
          <w:spacing w:val="-3"/>
          <w:szCs w:val="22"/>
        </w:rPr>
        <w:t>c</w:t>
      </w:r>
      <w:r>
        <w:rPr>
          <w:szCs w:val="22"/>
        </w:rPr>
        <w:t>are</w:t>
      </w:r>
      <w:r>
        <w:rPr>
          <w:spacing w:val="-2"/>
          <w:szCs w:val="22"/>
        </w:rPr>
        <w:t xml:space="preserve"> </w:t>
      </w:r>
      <w:r>
        <w:rPr>
          <w:szCs w:val="22"/>
        </w:rPr>
        <w:t>pr</w:t>
      </w:r>
      <w:r>
        <w:rPr>
          <w:spacing w:val="-3"/>
          <w:szCs w:val="22"/>
        </w:rPr>
        <w:t>e</w:t>
      </w:r>
      <w:r>
        <w:rPr>
          <w:szCs w:val="22"/>
        </w:rPr>
        <w:t>sc</w:t>
      </w:r>
      <w:r>
        <w:rPr>
          <w:spacing w:val="-2"/>
          <w:szCs w:val="22"/>
        </w:rPr>
        <w:t>r</w:t>
      </w:r>
      <w:r>
        <w:rPr>
          <w:spacing w:val="1"/>
          <w:szCs w:val="22"/>
        </w:rPr>
        <w:t>i</w:t>
      </w:r>
      <w:r>
        <w:rPr>
          <w:szCs w:val="22"/>
        </w:rPr>
        <w:t xml:space="preserve">u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2"/>
          <w:szCs w:val="22"/>
        </w:rPr>
        <w:t xml:space="preserve"> </w:t>
      </w:r>
      <w:r>
        <w:rPr>
          <w:szCs w:val="22"/>
        </w:rPr>
        <w:t xml:space="preserve">cu </w:t>
      </w:r>
      <w:r>
        <w:rPr>
          <w:spacing w:val="-1"/>
          <w:szCs w:val="22"/>
        </w:rPr>
        <w:t>AMGEVITA</w:t>
      </w:r>
      <w:r>
        <w:rPr>
          <w:szCs w:val="22"/>
        </w:rPr>
        <w:t xml:space="preserve"> </w:t>
      </w:r>
      <w:r>
        <w:rPr>
          <w:spacing w:val="1"/>
          <w:szCs w:val="22"/>
        </w:rPr>
        <w:t>t</w:t>
      </w:r>
      <w:r>
        <w:rPr>
          <w:szCs w:val="22"/>
        </w:rPr>
        <w:t>r</w:t>
      </w:r>
      <w:r>
        <w:rPr>
          <w:spacing w:val="-3"/>
          <w:szCs w:val="22"/>
        </w:rPr>
        <w:t>e</w:t>
      </w:r>
      <w:r>
        <w:rPr>
          <w:szCs w:val="22"/>
        </w:rPr>
        <w:t>bu</w:t>
      </w:r>
      <w:r>
        <w:rPr>
          <w:spacing w:val="-2"/>
          <w:szCs w:val="22"/>
        </w:rPr>
        <w:t>i</w:t>
      </w:r>
      <w:r>
        <w:rPr>
          <w:szCs w:val="22"/>
        </w:rPr>
        <w:t>e să</w:t>
      </w:r>
      <w:r>
        <w:rPr>
          <w:spacing w:val="-2"/>
          <w:szCs w:val="22"/>
        </w:rPr>
        <w:t xml:space="preserve"> </w:t>
      </w:r>
      <w:r>
        <w:rPr>
          <w:szCs w:val="22"/>
        </w:rPr>
        <w:t>f</w:t>
      </w:r>
      <w:r>
        <w:rPr>
          <w:spacing w:val="-2"/>
          <w:szCs w:val="22"/>
        </w:rPr>
        <w:t>i</w:t>
      </w:r>
      <w:r>
        <w:rPr>
          <w:szCs w:val="22"/>
        </w:rPr>
        <w:t>e p</w:t>
      </w:r>
      <w:r>
        <w:rPr>
          <w:spacing w:val="-2"/>
          <w:szCs w:val="22"/>
        </w:rPr>
        <w:t>r</w:t>
      </w:r>
      <w:r>
        <w:rPr>
          <w:szCs w:val="22"/>
        </w:rPr>
        <w:t>ud</w:t>
      </w:r>
      <w:r>
        <w:rPr>
          <w:spacing w:val="-3"/>
          <w:szCs w:val="22"/>
        </w:rPr>
        <w:t>e</w:t>
      </w:r>
      <w:r>
        <w:rPr>
          <w:szCs w:val="22"/>
        </w:rPr>
        <w:t>n</w:t>
      </w:r>
      <w:r>
        <w:rPr>
          <w:spacing w:val="1"/>
          <w:szCs w:val="22"/>
        </w:rPr>
        <w:t>ţ</w:t>
      </w:r>
      <w:r>
        <w:rPr>
          <w:szCs w:val="22"/>
        </w:rPr>
        <w:t>i</w:t>
      </w:r>
      <w:r>
        <w:rPr>
          <w:spacing w:val="-2"/>
          <w:szCs w:val="22"/>
        </w:rPr>
        <w:t xml:space="preserve"> </w:t>
      </w:r>
      <w:r>
        <w:rPr>
          <w:spacing w:val="1"/>
          <w:szCs w:val="22"/>
        </w:rPr>
        <w:t>î</w:t>
      </w:r>
      <w:r>
        <w:rPr>
          <w:szCs w:val="22"/>
        </w:rPr>
        <w:t xml:space="preserve">n </w:t>
      </w:r>
      <w:r>
        <w:rPr>
          <w:spacing w:val="-3"/>
          <w:szCs w:val="22"/>
        </w:rPr>
        <w:t>c</w:t>
      </w:r>
      <w:r>
        <w:rPr>
          <w:szCs w:val="22"/>
        </w:rPr>
        <w:t>a</w:t>
      </w:r>
      <w:r>
        <w:rPr>
          <w:spacing w:val="-3"/>
          <w:szCs w:val="22"/>
        </w:rPr>
        <w:t>z</w:t>
      </w:r>
      <w:r>
        <w:rPr>
          <w:szCs w:val="22"/>
        </w:rPr>
        <w:t>ul</w:t>
      </w:r>
      <w:r>
        <w:rPr>
          <w:spacing w:val="1"/>
          <w:szCs w:val="22"/>
        </w:rPr>
        <w:t xml:space="preserve"> </w:t>
      </w:r>
      <w:r>
        <w:rPr>
          <w:szCs w:val="22"/>
        </w:rPr>
        <w:t>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il</w:t>
      </w:r>
      <w:r>
        <w:rPr>
          <w:spacing w:val="-3"/>
          <w:szCs w:val="22"/>
        </w:rPr>
        <w:t>o</w:t>
      </w:r>
      <w:r>
        <w:rPr>
          <w:szCs w:val="22"/>
        </w:rPr>
        <w:t>r</w:t>
      </w:r>
      <w:r>
        <w:rPr>
          <w:spacing w:val="1"/>
          <w:szCs w:val="22"/>
        </w:rPr>
        <w:t xml:space="preserve"> </w:t>
      </w:r>
      <w:r>
        <w:rPr>
          <w:szCs w:val="22"/>
        </w:rPr>
        <w:t>cu</w:t>
      </w:r>
      <w:r>
        <w:rPr>
          <w:spacing w:val="-3"/>
          <w:szCs w:val="22"/>
        </w:rPr>
        <w:t xml:space="preserve"> a</w:t>
      </w:r>
      <w:r>
        <w:rPr>
          <w:szCs w:val="22"/>
        </w:rPr>
        <w:t>fe</w:t>
      </w:r>
      <w:r>
        <w:rPr>
          <w:spacing w:val="-3"/>
          <w:szCs w:val="22"/>
        </w:rPr>
        <w:t>c</w:t>
      </w:r>
      <w:r>
        <w:rPr>
          <w:spacing w:val="1"/>
          <w:szCs w:val="22"/>
        </w:rPr>
        <w:t>ţi</w:t>
      </w:r>
      <w:r>
        <w:rPr>
          <w:szCs w:val="22"/>
        </w:rPr>
        <w:t>u</w:t>
      </w:r>
      <w:r>
        <w:rPr>
          <w:spacing w:val="-3"/>
          <w:szCs w:val="22"/>
        </w:rPr>
        <w:t>n</w:t>
      </w:r>
      <w:r>
        <w:rPr>
          <w:szCs w:val="22"/>
        </w:rPr>
        <w:t>i</w:t>
      </w:r>
      <w:r>
        <w:rPr>
          <w:spacing w:val="1"/>
          <w:szCs w:val="22"/>
        </w:rPr>
        <w:t xml:space="preserve"> </w:t>
      </w:r>
      <w:r>
        <w:rPr>
          <w:spacing w:val="-3"/>
          <w:szCs w:val="22"/>
        </w:rPr>
        <w:t>d</w:t>
      </w:r>
      <w:r>
        <w:rPr>
          <w:szCs w:val="22"/>
        </w:rPr>
        <w:t>e</w:t>
      </w:r>
      <w:r>
        <w:rPr>
          <w:spacing w:val="-4"/>
          <w:szCs w:val="22"/>
        </w:rPr>
        <w:t>m</w:t>
      </w:r>
      <w:r>
        <w:rPr>
          <w:spacing w:val="1"/>
          <w:szCs w:val="22"/>
        </w:rPr>
        <w:t>i</w:t>
      </w:r>
      <w:r>
        <w:rPr>
          <w:szCs w:val="22"/>
        </w:rPr>
        <w:t>e</w:t>
      </w:r>
      <w:r>
        <w:rPr>
          <w:spacing w:val="1"/>
          <w:szCs w:val="22"/>
        </w:rPr>
        <w:t>li</w:t>
      </w:r>
      <w:r>
        <w:rPr>
          <w:spacing w:val="-3"/>
          <w:szCs w:val="22"/>
        </w:rPr>
        <w:t>n</w:t>
      </w:r>
      <w:r>
        <w:rPr>
          <w:spacing w:val="1"/>
          <w:szCs w:val="22"/>
        </w:rPr>
        <w:t>i</w:t>
      </w:r>
      <w:r>
        <w:rPr>
          <w:spacing w:val="-3"/>
          <w:szCs w:val="22"/>
        </w:rPr>
        <w:t>z</w:t>
      </w:r>
      <w:r>
        <w:rPr>
          <w:szCs w:val="22"/>
        </w:rPr>
        <w:t>an</w:t>
      </w:r>
      <w:r>
        <w:rPr>
          <w:spacing w:val="1"/>
          <w:szCs w:val="22"/>
        </w:rPr>
        <w:t>t</w:t>
      </w:r>
      <w:r>
        <w:rPr>
          <w:szCs w:val="22"/>
        </w:rPr>
        <w:t>e</w:t>
      </w:r>
      <w:r>
        <w:rPr>
          <w:spacing w:val="-2"/>
          <w:szCs w:val="22"/>
        </w:rPr>
        <w:t xml:space="preserve"> </w:t>
      </w:r>
      <w:r>
        <w:rPr>
          <w:szCs w:val="22"/>
        </w:rPr>
        <w:t>a</w:t>
      </w:r>
      <w:r>
        <w:rPr>
          <w:spacing w:val="-2"/>
          <w:szCs w:val="22"/>
        </w:rPr>
        <w:t>l</w:t>
      </w:r>
      <w:r>
        <w:rPr>
          <w:szCs w:val="22"/>
        </w:rPr>
        <w:t>e</w:t>
      </w:r>
      <w:r>
        <w:rPr>
          <w:spacing w:val="-2"/>
          <w:szCs w:val="22"/>
        </w:rPr>
        <w:t xml:space="preserve"> </w:t>
      </w:r>
      <w:r>
        <w:rPr>
          <w:szCs w:val="22"/>
        </w:rPr>
        <w:t>s</w:t>
      </w:r>
      <w:r>
        <w:rPr>
          <w:spacing w:val="1"/>
          <w:szCs w:val="22"/>
        </w:rPr>
        <w:t>i</w:t>
      </w:r>
      <w:r>
        <w:rPr>
          <w:spacing w:val="-2"/>
          <w:szCs w:val="22"/>
        </w:rPr>
        <w:t>s</w:t>
      </w:r>
      <w:r>
        <w:rPr>
          <w:spacing w:val="1"/>
          <w:szCs w:val="22"/>
        </w:rPr>
        <w:t>t</w:t>
      </w:r>
      <w:r>
        <w:rPr>
          <w:szCs w:val="22"/>
        </w:rPr>
        <w:t>e</w:t>
      </w:r>
      <w:r>
        <w:rPr>
          <w:spacing w:val="-4"/>
          <w:szCs w:val="22"/>
        </w:rPr>
        <w:t>m</w:t>
      </w:r>
      <w:r>
        <w:rPr>
          <w:szCs w:val="22"/>
        </w:rPr>
        <w:t>u</w:t>
      </w:r>
      <w:r>
        <w:rPr>
          <w:spacing w:val="1"/>
          <w:szCs w:val="22"/>
        </w:rPr>
        <w:t>l</w:t>
      </w:r>
      <w:r>
        <w:rPr>
          <w:szCs w:val="22"/>
        </w:rPr>
        <w:t>ui</w:t>
      </w:r>
      <w:r>
        <w:rPr>
          <w:spacing w:val="1"/>
          <w:szCs w:val="22"/>
        </w:rPr>
        <w:t xml:space="preserve"> </w:t>
      </w:r>
      <w:r>
        <w:rPr>
          <w:spacing w:val="-3"/>
          <w:szCs w:val="22"/>
        </w:rPr>
        <w:t>n</w:t>
      </w:r>
      <w:r>
        <w:rPr>
          <w:szCs w:val="22"/>
        </w:rPr>
        <w:t>er</w:t>
      </w:r>
      <w:r>
        <w:rPr>
          <w:spacing w:val="-3"/>
          <w:szCs w:val="22"/>
        </w:rPr>
        <w:t>v</w:t>
      </w:r>
      <w:r>
        <w:rPr>
          <w:szCs w:val="22"/>
        </w:rPr>
        <w:t>os cen</w:t>
      </w:r>
      <w:r>
        <w:rPr>
          <w:spacing w:val="-2"/>
          <w:szCs w:val="22"/>
        </w:rPr>
        <w:t>t</w:t>
      </w:r>
      <w:r>
        <w:rPr>
          <w:szCs w:val="22"/>
        </w:rPr>
        <w:t>r</w:t>
      </w:r>
      <w:r>
        <w:rPr>
          <w:spacing w:val="-3"/>
          <w:szCs w:val="22"/>
        </w:rPr>
        <w:t>a</w:t>
      </w:r>
      <w:r>
        <w:rPr>
          <w:szCs w:val="22"/>
        </w:rPr>
        <w:t>l</w:t>
      </w:r>
      <w:r>
        <w:rPr>
          <w:spacing w:val="1"/>
          <w:szCs w:val="22"/>
        </w:rPr>
        <w:t xml:space="preserve"> </w:t>
      </w:r>
      <w:r>
        <w:rPr>
          <w:szCs w:val="22"/>
        </w:rPr>
        <w:t>s</w:t>
      </w:r>
      <w:r>
        <w:rPr>
          <w:spacing w:val="-3"/>
          <w:szCs w:val="22"/>
        </w:rPr>
        <w:t>a</w:t>
      </w:r>
      <w:r>
        <w:rPr>
          <w:szCs w:val="22"/>
        </w:rPr>
        <w:t>u p</w:t>
      </w:r>
      <w:r>
        <w:rPr>
          <w:spacing w:val="-3"/>
          <w:szCs w:val="22"/>
        </w:rPr>
        <w:t>e</w:t>
      </w:r>
      <w:r>
        <w:rPr>
          <w:szCs w:val="22"/>
        </w:rPr>
        <w:t>r</w:t>
      </w:r>
      <w:r>
        <w:rPr>
          <w:spacing w:val="-2"/>
          <w:szCs w:val="22"/>
        </w:rPr>
        <w:t>i</w:t>
      </w:r>
      <w:r>
        <w:rPr>
          <w:szCs w:val="22"/>
        </w:rPr>
        <w:t>fe</w:t>
      </w:r>
      <w:r>
        <w:rPr>
          <w:spacing w:val="-2"/>
          <w:szCs w:val="22"/>
        </w:rPr>
        <w:t>r</w:t>
      </w:r>
      <w:r>
        <w:rPr>
          <w:spacing w:val="1"/>
          <w:szCs w:val="22"/>
        </w:rPr>
        <w:t>i</w:t>
      </w:r>
      <w:r>
        <w:rPr>
          <w:szCs w:val="22"/>
        </w:rPr>
        <w:t xml:space="preserve">c, </w:t>
      </w:r>
      <w:r>
        <w:rPr>
          <w:spacing w:val="-3"/>
          <w:szCs w:val="22"/>
        </w:rPr>
        <w:t>p</w:t>
      </w:r>
      <w:r>
        <w:rPr>
          <w:szCs w:val="22"/>
        </w:rPr>
        <w:t>re</w:t>
      </w:r>
      <w:r>
        <w:rPr>
          <w:spacing w:val="-5"/>
          <w:szCs w:val="22"/>
        </w:rPr>
        <w:t>-</w:t>
      </w:r>
      <w:r>
        <w:rPr>
          <w:szCs w:val="22"/>
        </w:rPr>
        <w:t>ex</w:t>
      </w:r>
      <w:r>
        <w:rPr>
          <w:spacing w:val="1"/>
          <w:szCs w:val="22"/>
        </w:rPr>
        <w:t>i</w:t>
      </w:r>
      <w:r>
        <w:rPr>
          <w:szCs w:val="22"/>
        </w:rPr>
        <w:t>s</w:t>
      </w:r>
      <w:r>
        <w:rPr>
          <w:spacing w:val="-2"/>
          <w:szCs w:val="22"/>
        </w:rPr>
        <w:t>t</w:t>
      </w:r>
      <w:r>
        <w:rPr>
          <w:szCs w:val="22"/>
        </w:rPr>
        <w:t>en</w:t>
      </w:r>
      <w:r>
        <w:rPr>
          <w:spacing w:val="-2"/>
          <w:szCs w:val="22"/>
        </w:rPr>
        <w:t>t</w:t>
      </w:r>
      <w:r>
        <w:rPr>
          <w:szCs w:val="22"/>
        </w:rPr>
        <w:t>e s</w:t>
      </w:r>
      <w:r>
        <w:rPr>
          <w:spacing w:val="-3"/>
          <w:szCs w:val="22"/>
        </w:rPr>
        <w:t>a</w:t>
      </w:r>
      <w:r>
        <w:rPr>
          <w:szCs w:val="22"/>
        </w:rPr>
        <w:t xml:space="preserve">u cu </w:t>
      </w:r>
      <w:r>
        <w:rPr>
          <w:spacing w:val="-3"/>
          <w:szCs w:val="22"/>
        </w:rPr>
        <w:t>d</w:t>
      </w:r>
      <w:r>
        <w:rPr>
          <w:szCs w:val="22"/>
        </w:rPr>
        <w:t>eb</w:t>
      </w:r>
      <w:r>
        <w:rPr>
          <w:spacing w:val="-3"/>
          <w:szCs w:val="22"/>
        </w:rPr>
        <w:t>u</w:t>
      </w:r>
      <w:r>
        <w:rPr>
          <w:szCs w:val="22"/>
        </w:rPr>
        <w:t>t</w:t>
      </w:r>
      <w:r>
        <w:rPr>
          <w:spacing w:val="1"/>
          <w:szCs w:val="22"/>
        </w:rPr>
        <w:t xml:space="preserve"> </w:t>
      </w:r>
      <w:r>
        <w:rPr>
          <w:szCs w:val="22"/>
        </w:rPr>
        <w:t>r</w:t>
      </w:r>
      <w:r>
        <w:rPr>
          <w:spacing w:val="-3"/>
          <w:szCs w:val="22"/>
        </w:rPr>
        <w:t>e</w:t>
      </w:r>
      <w:r>
        <w:rPr>
          <w:szCs w:val="22"/>
        </w:rPr>
        <w:t>ce</w:t>
      </w:r>
      <w:r>
        <w:rPr>
          <w:spacing w:val="-3"/>
          <w:szCs w:val="22"/>
        </w:rPr>
        <w:t>n</w:t>
      </w:r>
      <w:r>
        <w:rPr>
          <w:szCs w:val="22"/>
        </w:rPr>
        <w:t xml:space="preserve">t; </w:t>
      </w:r>
      <w:r>
        <w:rPr>
          <w:spacing w:val="1"/>
          <w:szCs w:val="22"/>
        </w:rPr>
        <w:t>î</w:t>
      </w:r>
      <w:r>
        <w:rPr>
          <w:szCs w:val="22"/>
        </w:rPr>
        <w:t>n ca</w:t>
      </w:r>
      <w:r>
        <w:rPr>
          <w:spacing w:val="-3"/>
          <w:szCs w:val="22"/>
        </w:rPr>
        <w:t>z</w:t>
      </w:r>
      <w:r>
        <w:rPr>
          <w:szCs w:val="22"/>
        </w:rPr>
        <w:t>ul</w:t>
      </w:r>
      <w:r>
        <w:rPr>
          <w:spacing w:val="-2"/>
          <w:szCs w:val="22"/>
        </w:rPr>
        <w:t xml:space="preserve"> </w:t>
      </w:r>
      <w:r>
        <w:rPr>
          <w:spacing w:val="1"/>
          <w:szCs w:val="22"/>
        </w:rPr>
        <w:t>î</w:t>
      </w:r>
      <w:r>
        <w:rPr>
          <w:szCs w:val="22"/>
        </w:rPr>
        <w:t>n</w:t>
      </w:r>
      <w:r>
        <w:rPr>
          <w:spacing w:val="-3"/>
          <w:szCs w:val="22"/>
        </w:rPr>
        <w:t xml:space="preserve"> </w:t>
      </w:r>
      <w:r>
        <w:rPr>
          <w:szCs w:val="22"/>
        </w:rPr>
        <w:t>ca</w:t>
      </w:r>
      <w:r>
        <w:rPr>
          <w:spacing w:val="-2"/>
          <w:szCs w:val="22"/>
        </w:rPr>
        <w:t>r</w:t>
      </w:r>
      <w:r>
        <w:rPr>
          <w:szCs w:val="22"/>
        </w:rPr>
        <w:t>e a</w:t>
      </w:r>
      <w:r>
        <w:rPr>
          <w:spacing w:val="-3"/>
          <w:szCs w:val="22"/>
        </w:rPr>
        <w:t>p</w:t>
      </w:r>
      <w:r>
        <w:rPr>
          <w:szCs w:val="22"/>
        </w:rPr>
        <w:t>are</w:t>
      </w:r>
      <w:r>
        <w:rPr>
          <w:spacing w:val="-2"/>
          <w:szCs w:val="22"/>
        </w:rPr>
        <w:t xml:space="preserve"> </w:t>
      </w:r>
      <w:r>
        <w:rPr>
          <w:szCs w:val="22"/>
        </w:rPr>
        <w:t>o</w:t>
      </w:r>
      <w:r>
        <w:rPr>
          <w:spacing w:val="-2"/>
          <w:szCs w:val="22"/>
        </w:rPr>
        <w:t>r</w:t>
      </w:r>
      <w:r>
        <w:rPr>
          <w:spacing w:val="1"/>
          <w:szCs w:val="22"/>
        </w:rPr>
        <w:t>i</w:t>
      </w:r>
      <w:r>
        <w:rPr>
          <w:szCs w:val="22"/>
        </w:rPr>
        <w:t>c</w:t>
      </w:r>
      <w:r>
        <w:rPr>
          <w:spacing w:val="-3"/>
          <w:szCs w:val="22"/>
        </w:rPr>
        <w:t>a</w:t>
      </w:r>
      <w:r>
        <w:rPr>
          <w:spacing w:val="-2"/>
          <w:szCs w:val="22"/>
        </w:rPr>
        <w:t>r</w:t>
      </w:r>
      <w:r>
        <w:rPr>
          <w:szCs w:val="22"/>
        </w:rPr>
        <w:t>e d</w:t>
      </w:r>
      <w:r>
        <w:rPr>
          <w:spacing w:val="1"/>
          <w:szCs w:val="22"/>
        </w:rPr>
        <w:t>i</w:t>
      </w:r>
      <w:r>
        <w:rPr>
          <w:spacing w:val="-3"/>
          <w:szCs w:val="22"/>
        </w:rPr>
        <w:t>n</w:t>
      </w:r>
      <w:r>
        <w:rPr>
          <w:spacing w:val="1"/>
          <w:szCs w:val="22"/>
        </w:rPr>
        <w:t>t</w:t>
      </w:r>
      <w:r>
        <w:rPr>
          <w:spacing w:val="-2"/>
          <w:szCs w:val="22"/>
        </w:rPr>
        <w:t>r</w:t>
      </w:r>
      <w:r>
        <w:rPr>
          <w:szCs w:val="22"/>
        </w:rPr>
        <w:t>e a</w:t>
      </w:r>
      <w:r>
        <w:rPr>
          <w:spacing w:val="-3"/>
          <w:szCs w:val="22"/>
        </w:rPr>
        <w:t>c</w:t>
      </w:r>
      <w:r>
        <w:rPr>
          <w:szCs w:val="22"/>
        </w:rPr>
        <w:t>es</w:t>
      </w:r>
      <w:r>
        <w:rPr>
          <w:spacing w:val="-2"/>
          <w:szCs w:val="22"/>
        </w:rPr>
        <w:t>t</w:t>
      </w:r>
      <w:r>
        <w:rPr>
          <w:szCs w:val="22"/>
        </w:rPr>
        <w:t>e afe</w:t>
      </w:r>
      <w:r>
        <w:rPr>
          <w:spacing w:val="-3"/>
          <w:szCs w:val="22"/>
        </w:rPr>
        <w:t>c</w:t>
      </w:r>
      <w:r>
        <w:rPr>
          <w:spacing w:val="1"/>
          <w:szCs w:val="22"/>
        </w:rPr>
        <w:t>ţ</w:t>
      </w:r>
      <w:r>
        <w:rPr>
          <w:spacing w:val="-2"/>
          <w:szCs w:val="22"/>
        </w:rPr>
        <w:t>i</w:t>
      </w:r>
      <w:r>
        <w:rPr>
          <w:szCs w:val="22"/>
        </w:rPr>
        <w:t>uni</w:t>
      </w:r>
      <w:r>
        <w:rPr>
          <w:spacing w:val="-2"/>
          <w:szCs w:val="22"/>
        </w:rPr>
        <w:t xml:space="preserve"> </w:t>
      </w:r>
      <w:r>
        <w:rPr>
          <w:spacing w:val="1"/>
          <w:szCs w:val="22"/>
        </w:rPr>
        <w:t>t</w:t>
      </w:r>
      <w:r>
        <w:rPr>
          <w:spacing w:val="-2"/>
          <w:szCs w:val="22"/>
        </w:rPr>
        <w:t>r</w:t>
      </w:r>
      <w:r>
        <w:rPr>
          <w:szCs w:val="22"/>
        </w:rPr>
        <w:t>eb</w:t>
      </w:r>
      <w:r>
        <w:rPr>
          <w:spacing w:val="-3"/>
          <w:szCs w:val="22"/>
        </w:rPr>
        <w:t>u</w:t>
      </w:r>
      <w:r>
        <w:rPr>
          <w:spacing w:val="1"/>
          <w:szCs w:val="22"/>
        </w:rPr>
        <w:t>i</w:t>
      </w:r>
      <w:r>
        <w:rPr>
          <w:szCs w:val="22"/>
        </w:rPr>
        <w:t xml:space="preserve">e </w:t>
      </w:r>
      <w:r>
        <w:rPr>
          <w:spacing w:val="-2"/>
          <w:szCs w:val="22"/>
        </w:rPr>
        <w:t>l</w:t>
      </w:r>
      <w:r>
        <w:rPr>
          <w:szCs w:val="22"/>
        </w:rPr>
        <w:t>ua</w:t>
      </w:r>
      <w:r>
        <w:rPr>
          <w:spacing w:val="-2"/>
          <w:szCs w:val="22"/>
        </w:rPr>
        <w:t>t</w:t>
      </w:r>
      <w:r>
        <w:rPr>
          <w:szCs w:val="22"/>
        </w:rPr>
        <w:t xml:space="preserve">ă </w:t>
      </w:r>
      <w:r>
        <w:rPr>
          <w:spacing w:val="-2"/>
          <w:szCs w:val="22"/>
        </w:rPr>
        <w:t>î</w:t>
      </w:r>
      <w:r>
        <w:rPr>
          <w:szCs w:val="22"/>
        </w:rPr>
        <w:t>n c</w:t>
      </w:r>
      <w:r>
        <w:rPr>
          <w:spacing w:val="-3"/>
          <w:szCs w:val="22"/>
        </w:rPr>
        <w:t>o</w:t>
      </w:r>
      <w:r>
        <w:rPr>
          <w:szCs w:val="22"/>
        </w:rPr>
        <w:t>ns</w:t>
      </w:r>
      <w:r>
        <w:rPr>
          <w:spacing w:val="1"/>
          <w:szCs w:val="22"/>
        </w:rPr>
        <w:t>i</w:t>
      </w:r>
      <w:r>
        <w:rPr>
          <w:szCs w:val="22"/>
        </w:rPr>
        <w:t>d</w:t>
      </w:r>
      <w:r>
        <w:rPr>
          <w:spacing w:val="-3"/>
          <w:szCs w:val="22"/>
        </w:rPr>
        <w:t>e</w:t>
      </w:r>
      <w:r>
        <w:rPr>
          <w:szCs w:val="22"/>
        </w:rPr>
        <w:t>r</w:t>
      </w:r>
      <w:r>
        <w:rPr>
          <w:spacing w:val="-3"/>
          <w:szCs w:val="22"/>
        </w:rPr>
        <w:t>a</w:t>
      </w:r>
      <w:r>
        <w:rPr>
          <w:szCs w:val="22"/>
        </w:rPr>
        <w:t>re</w:t>
      </w:r>
      <w:r>
        <w:rPr>
          <w:spacing w:val="-2"/>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rup</w:t>
      </w:r>
      <w:r>
        <w:rPr>
          <w:spacing w:val="-3"/>
          <w:szCs w:val="22"/>
        </w:rPr>
        <w:t>e</w:t>
      </w:r>
      <w:r>
        <w:rPr>
          <w:szCs w:val="22"/>
        </w:rPr>
        <w:t>rea</w:t>
      </w:r>
      <w:r>
        <w:rPr>
          <w:spacing w:val="-2"/>
          <w:szCs w:val="22"/>
        </w:rPr>
        <w:t xml:space="preserve"> </w:t>
      </w:r>
      <w:r>
        <w:rPr>
          <w:spacing w:val="1"/>
          <w:szCs w:val="22"/>
        </w:rPr>
        <w:t>t</w:t>
      </w:r>
      <w:r>
        <w:rPr>
          <w:spacing w:val="-2"/>
          <w:szCs w:val="22"/>
        </w:rPr>
        <w:t>r</w:t>
      </w:r>
      <w:r>
        <w:rPr>
          <w:szCs w:val="22"/>
        </w:rPr>
        <w:t>a</w:t>
      </w:r>
      <w:r>
        <w:rPr>
          <w:spacing w:val="-2"/>
          <w:szCs w:val="22"/>
        </w:rPr>
        <w:t>t</w:t>
      </w:r>
      <w:r>
        <w:rPr>
          <w:spacing w:val="-3"/>
          <w:szCs w:val="22"/>
        </w:rPr>
        <w:t>a</w:t>
      </w:r>
      <w:r>
        <w:rPr>
          <w:spacing w:val="-4"/>
          <w:szCs w:val="22"/>
        </w:rPr>
        <w:t>m</w:t>
      </w:r>
      <w:r>
        <w:rPr>
          <w:szCs w:val="22"/>
        </w:rPr>
        <w:t>en</w:t>
      </w:r>
      <w:r>
        <w:rPr>
          <w:spacing w:val="1"/>
          <w:szCs w:val="22"/>
        </w:rPr>
        <w:t>t</w:t>
      </w:r>
      <w:r>
        <w:rPr>
          <w:szCs w:val="22"/>
        </w:rPr>
        <w:t>ului</w:t>
      </w:r>
      <w:r>
        <w:rPr>
          <w:spacing w:val="1"/>
          <w:szCs w:val="22"/>
        </w:rPr>
        <w:t xml:space="preserve"> </w:t>
      </w:r>
      <w:r>
        <w:rPr>
          <w:spacing w:val="-3"/>
          <w:szCs w:val="22"/>
        </w:rPr>
        <w:t>c</w:t>
      </w:r>
      <w:r>
        <w:rPr>
          <w:szCs w:val="22"/>
        </w:rPr>
        <w:t xml:space="preserve">u </w:t>
      </w:r>
      <w:r>
        <w:rPr>
          <w:spacing w:val="-1"/>
          <w:szCs w:val="22"/>
        </w:rPr>
        <w:t>AMGEVITA</w:t>
      </w:r>
      <w:r>
        <w:rPr>
          <w:szCs w:val="22"/>
        </w:rPr>
        <w:t xml:space="preserve">. </w:t>
      </w:r>
      <w:r>
        <w:rPr>
          <w:spacing w:val="-1"/>
          <w:szCs w:val="22"/>
        </w:rPr>
        <w:t>E</w:t>
      </w:r>
      <w:r>
        <w:rPr>
          <w:spacing w:val="-3"/>
          <w:szCs w:val="22"/>
        </w:rPr>
        <w:t>x</w:t>
      </w:r>
      <w:r>
        <w:rPr>
          <w:spacing w:val="1"/>
          <w:szCs w:val="22"/>
        </w:rPr>
        <w:t>i</w:t>
      </w:r>
      <w:r>
        <w:rPr>
          <w:szCs w:val="22"/>
        </w:rPr>
        <w:t>s</w:t>
      </w:r>
      <w:r>
        <w:rPr>
          <w:spacing w:val="-2"/>
          <w:szCs w:val="22"/>
        </w:rPr>
        <w:t>t</w:t>
      </w:r>
      <w:r>
        <w:rPr>
          <w:szCs w:val="22"/>
        </w:rPr>
        <w:t>ă</w:t>
      </w:r>
      <w:r>
        <w:rPr>
          <w:spacing w:val="-2"/>
          <w:szCs w:val="22"/>
        </w:rPr>
        <w:t xml:space="preserve"> </w:t>
      </w:r>
      <w:r>
        <w:rPr>
          <w:szCs w:val="22"/>
        </w:rPr>
        <w:t>o aso</w:t>
      </w:r>
      <w:r>
        <w:rPr>
          <w:spacing w:val="-3"/>
          <w:szCs w:val="22"/>
        </w:rPr>
        <w:t>c</w:t>
      </w:r>
      <w:r>
        <w:rPr>
          <w:spacing w:val="1"/>
          <w:szCs w:val="22"/>
        </w:rPr>
        <w:t>i</w:t>
      </w:r>
      <w:r>
        <w:rPr>
          <w:spacing w:val="-3"/>
          <w:szCs w:val="22"/>
        </w:rPr>
        <w:t>e</w:t>
      </w:r>
      <w:r>
        <w:rPr>
          <w:szCs w:val="22"/>
        </w:rPr>
        <w:t>re cunos</w:t>
      </w:r>
      <w:r>
        <w:rPr>
          <w:spacing w:val="-3"/>
          <w:szCs w:val="22"/>
        </w:rPr>
        <w:t>c</w:t>
      </w:r>
      <w:r>
        <w:rPr>
          <w:szCs w:val="22"/>
        </w:rPr>
        <w:t>u</w:t>
      </w:r>
      <w:r>
        <w:rPr>
          <w:spacing w:val="1"/>
          <w:szCs w:val="22"/>
        </w:rPr>
        <w:t>t</w:t>
      </w:r>
      <w:r>
        <w:rPr>
          <w:szCs w:val="22"/>
        </w:rPr>
        <w:t>ă</w:t>
      </w:r>
      <w:r>
        <w:rPr>
          <w:spacing w:val="-2"/>
          <w:szCs w:val="22"/>
        </w:rPr>
        <w:t xml:space="preserve"> </w:t>
      </w:r>
      <w:r>
        <w:rPr>
          <w:spacing w:val="1"/>
          <w:szCs w:val="22"/>
        </w:rPr>
        <w:t>î</w:t>
      </w:r>
      <w:r>
        <w:rPr>
          <w:spacing w:val="-3"/>
          <w:szCs w:val="22"/>
        </w:rPr>
        <w:t>n</w:t>
      </w:r>
      <w:r>
        <w:rPr>
          <w:spacing w:val="1"/>
          <w:szCs w:val="22"/>
        </w:rPr>
        <w:t>t</w:t>
      </w:r>
      <w:r>
        <w:rPr>
          <w:spacing w:val="-2"/>
          <w:szCs w:val="22"/>
        </w:rPr>
        <w:t>r</w:t>
      </w:r>
      <w:r>
        <w:rPr>
          <w:szCs w:val="22"/>
        </w:rPr>
        <w:t>e u</w:t>
      </w:r>
      <w:r>
        <w:rPr>
          <w:spacing w:val="-3"/>
          <w:szCs w:val="22"/>
        </w:rPr>
        <w:t>v</w:t>
      </w:r>
      <w:r>
        <w:rPr>
          <w:szCs w:val="22"/>
        </w:rPr>
        <w:t>e</w:t>
      </w:r>
      <w:r>
        <w:rPr>
          <w:spacing w:val="1"/>
          <w:szCs w:val="22"/>
        </w:rPr>
        <w:t>i</w:t>
      </w:r>
      <w:r>
        <w:rPr>
          <w:spacing w:val="-2"/>
          <w:szCs w:val="22"/>
        </w:rPr>
        <w:t>t</w:t>
      </w:r>
      <w:r>
        <w:rPr>
          <w:szCs w:val="22"/>
        </w:rPr>
        <w:t xml:space="preserve">a </w:t>
      </w:r>
      <w:r>
        <w:rPr>
          <w:spacing w:val="1"/>
          <w:szCs w:val="22"/>
        </w:rPr>
        <w:t>i</w:t>
      </w:r>
      <w:r>
        <w:rPr>
          <w:spacing w:val="-3"/>
          <w:szCs w:val="22"/>
        </w:rPr>
        <w:t>n</w:t>
      </w:r>
      <w:r>
        <w:rPr>
          <w:spacing w:val="1"/>
          <w:szCs w:val="22"/>
        </w:rPr>
        <w:t>t</w:t>
      </w:r>
      <w:r>
        <w:rPr>
          <w:spacing w:val="-3"/>
          <w:szCs w:val="22"/>
        </w:rPr>
        <w:t>e</w:t>
      </w:r>
      <w:r>
        <w:rPr>
          <w:spacing w:val="-2"/>
          <w:szCs w:val="22"/>
        </w:rPr>
        <w:t>r</w:t>
      </w:r>
      <w:r>
        <w:rPr>
          <w:spacing w:val="-4"/>
          <w:szCs w:val="22"/>
        </w:rPr>
        <w:t>m</w:t>
      </w:r>
      <w:r>
        <w:rPr>
          <w:szCs w:val="22"/>
        </w:rPr>
        <w:t>ed</w:t>
      </w:r>
      <w:r>
        <w:rPr>
          <w:spacing w:val="1"/>
          <w:szCs w:val="22"/>
        </w:rPr>
        <w:t>i</w:t>
      </w:r>
      <w:r>
        <w:rPr>
          <w:szCs w:val="22"/>
        </w:rPr>
        <w:t xml:space="preserve">ară </w:t>
      </w:r>
      <w:r>
        <w:rPr>
          <w:spacing w:val="-2"/>
          <w:szCs w:val="22"/>
        </w:rPr>
        <w:t>ș</w:t>
      </w:r>
      <w:r>
        <w:rPr>
          <w:szCs w:val="22"/>
        </w:rPr>
        <w:t>i</w:t>
      </w:r>
      <w:r>
        <w:rPr>
          <w:spacing w:val="1"/>
          <w:szCs w:val="22"/>
        </w:rPr>
        <w:t xml:space="preserve"> </w:t>
      </w:r>
      <w:r>
        <w:rPr>
          <w:szCs w:val="22"/>
        </w:rPr>
        <w:t>b</w:t>
      </w:r>
      <w:r>
        <w:rPr>
          <w:spacing w:val="-3"/>
          <w:szCs w:val="22"/>
        </w:rPr>
        <w:t>o</w:t>
      </w:r>
      <w:r>
        <w:rPr>
          <w:spacing w:val="1"/>
          <w:szCs w:val="22"/>
        </w:rPr>
        <w:t>l</w:t>
      </w:r>
      <w:r>
        <w:rPr>
          <w:spacing w:val="-2"/>
          <w:szCs w:val="22"/>
        </w:rPr>
        <w:t>i</w:t>
      </w:r>
      <w:r>
        <w:rPr>
          <w:spacing w:val="1"/>
          <w:szCs w:val="22"/>
        </w:rPr>
        <w:t>l</w:t>
      </w:r>
      <w:r>
        <w:rPr>
          <w:szCs w:val="22"/>
        </w:rPr>
        <w:t xml:space="preserve">e </w:t>
      </w:r>
      <w:r>
        <w:rPr>
          <w:spacing w:val="-3"/>
          <w:szCs w:val="22"/>
        </w:rPr>
        <w:t>d</w:t>
      </w:r>
      <w:r>
        <w:rPr>
          <w:szCs w:val="22"/>
        </w:rPr>
        <w:t>e</w:t>
      </w:r>
      <w:r>
        <w:rPr>
          <w:spacing w:val="-4"/>
          <w:szCs w:val="22"/>
        </w:rPr>
        <w:t>m</w:t>
      </w:r>
      <w:r>
        <w:rPr>
          <w:spacing w:val="1"/>
          <w:szCs w:val="22"/>
        </w:rPr>
        <w:t>i</w:t>
      </w:r>
      <w:r>
        <w:rPr>
          <w:szCs w:val="22"/>
        </w:rPr>
        <w:t>e</w:t>
      </w:r>
      <w:r>
        <w:rPr>
          <w:spacing w:val="1"/>
          <w:szCs w:val="22"/>
        </w:rPr>
        <w:t>li</w:t>
      </w:r>
      <w:r>
        <w:rPr>
          <w:spacing w:val="-3"/>
          <w:szCs w:val="22"/>
        </w:rPr>
        <w:t>n</w:t>
      </w:r>
      <w:r>
        <w:rPr>
          <w:spacing w:val="1"/>
          <w:szCs w:val="22"/>
        </w:rPr>
        <w:t>i</w:t>
      </w:r>
      <w:r>
        <w:rPr>
          <w:spacing w:val="-3"/>
          <w:szCs w:val="22"/>
        </w:rPr>
        <w:t>z</w:t>
      </w:r>
      <w:r>
        <w:rPr>
          <w:szCs w:val="22"/>
        </w:rPr>
        <w:t>an</w:t>
      </w:r>
      <w:r>
        <w:rPr>
          <w:spacing w:val="1"/>
          <w:szCs w:val="22"/>
        </w:rPr>
        <w:t>t</w:t>
      </w:r>
      <w:r>
        <w:rPr>
          <w:szCs w:val="22"/>
        </w:rPr>
        <w:t>e</w:t>
      </w:r>
      <w:r>
        <w:rPr>
          <w:spacing w:val="-2"/>
          <w:szCs w:val="22"/>
        </w:rPr>
        <w:t xml:space="preserve"> </w:t>
      </w:r>
      <w:r>
        <w:rPr>
          <w:szCs w:val="22"/>
        </w:rPr>
        <w:t>a</w:t>
      </w:r>
      <w:r>
        <w:rPr>
          <w:spacing w:val="-2"/>
          <w:szCs w:val="22"/>
        </w:rPr>
        <w:t>l</w:t>
      </w:r>
      <w:r>
        <w:rPr>
          <w:szCs w:val="22"/>
        </w:rPr>
        <w:t>e s</w:t>
      </w:r>
      <w:r>
        <w:rPr>
          <w:spacing w:val="-2"/>
          <w:szCs w:val="22"/>
        </w:rPr>
        <w:t>i</w:t>
      </w:r>
      <w:r>
        <w:rPr>
          <w:szCs w:val="22"/>
        </w:rPr>
        <w:t>s</w:t>
      </w:r>
      <w:r>
        <w:rPr>
          <w:spacing w:val="-2"/>
          <w:szCs w:val="22"/>
        </w:rPr>
        <w:t>t</w:t>
      </w:r>
      <w:r>
        <w:rPr>
          <w:szCs w:val="22"/>
        </w:rPr>
        <w:t>e</w:t>
      </w:r>
      <w:r>
        <w:rPr>
          <w:spacing w:val="-4"/>
          <w:szCs w:val="22"/>
        </w:rPr>
        <w:t>m</w:t>
      </w:r>
      <w:r>
        <w:rPr>
          <w:szCs w:val="22"/>
        </w:rPr>
        <w:t>u</w:t>
      </w:r>
      <w:r>
        <w:rPr>
          <w:spacing w:val="1"/>
          <w:szCs w:val="22"/>
        </w:rPr>
        <w:t>l</w:t>
      </w:r>
      <w:r>
        <w:rPr>
          <w:szCs w:val="22"/>
        </w:rPr>
        <w:t>ui</w:t>
      </w:r>
      <w:r>
        <w:rPr>
          <w:spacing w:val="1"/>
          <w:szCs w:val="22"/>
        </w:rPr>
        <w:t xml:space="preserve"> </w:t>
      </w:r>
      <w:r>
        <w:rPr>
          <w:szCs w:val="22"/>
        </w:rPr>
        <w:t>n</w:t>
      </w:r>
      <w:r>
        <w:rPr>
          <w:spacing w:val="-3"/>
          <w:szCs w:val="22"/>
        </w:rPr>
        <w:t>e</w:t>
      </w:r>
      <w:r>
        <w:rPr>
          <w:szCs w:val="22"/>
        </w:rPr>
        <w:t>r</w:t>
      </w:r>
      <w:r>
        <w:rPr>
          <w:spacing w:val="-3"/>
          <w:szCs w:val="22"/>
        </w:rPr>
        <w:t>v</w:t>
      </w:r>
      <w:r>
        <w:rPr>
          <w:szCs w:val="22"/>
        </w:rPr>
        <w:t xml:space="preserve">os </w:t>
      </w:r>
      <w:r>
        <w:rPr>
          <w:spacing w:val="-3"/>
          <w:szCs w:val="22"/>
        </w:rPr>
        <w:t>c</w:t>
      </w:r>
      <w:r>
        <w:rPr>
          <w:szCs w:val="22"/>
        </w:rPr>
        <w:t>en</w:t>
      </w:r>
      <w:r>
        <w:rPr>
          <w:spacing w:val="1"/>
          <w:szCs w:val="22"/>
        </w:rPr>
        <w:t>t</w:t>
      </w:r>
      <w:r>
        <w:rPr>
          <w:spacing w:val="-2"/>
          <w:szCs w:val="22"/>
        </w:rPr>
        <w:t>r</w:t>
      </w:r>
      <w:r>
        <w:rPr>
          <w:szCs w:val="22"/>
        </w:rPr>
        <w:t>a</w:t>
      </w:r>
      <w:r>
        <w:rPr>
          <w:spacing w:val="1"/>
          <w:szCs w:val="22"/>
        </w:rPr>
        <w:t>l</w:t>
      </w:r>
      <w:r>
        <w:rPr>
          <w:szCs w:val="22"/>
        </w:rPr>
        <w:t xml:space="preserve">. </w:t>
      </w:r>
      <w:r>
        <w:rPr>
          <w:spacing w:val="-3"/>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2"/>
          <w:szCs w:val="22"/>
        </w:rPr>
        <w:t>ț</w:t>
      </w:r>
      <w:r>
        <w:rPr>
          <w:spacing w:val="1"/>
          <w:szCs w:val="22"/>
        </w:rPr>
        <w:t>i</w:t>
      </w:r>
      <w:r>
        <w:rPr>
          <w:szCs w:val="22"/>
        </w:rPr>
        <w:t>i cu u</w:t>
      </w:r>
      <w:r>
        <w:rPr>
          <w:spacing w:val="-3"/>
          <w:szCs w:val="22"/>
        </w:rPr>
        <w:t>v</w:t>
      </w:r>
      <w:r>
        <w:rPr>
          <w:szCs w:val="22"/>
        </w:rPr>
        <w:t>e</w:t>
      </w:r>
      <w:r>
        <w:rPr>
          <w:spacing w:val="1"/>
          <w:szCs w:val="22"/>
        </w:rPr>
        <w:t>i</w:t>
      </w:r>
      <w:r>
        <w:rPr>
          <w:spacing w:val="-2"/>
          <w:szCs w:val="22"/>
        </w:rPr>
        <w:t>t</w:t>
      </w:r>
      <w:r>
        <w:rPr>
          <w:szCs w:val="22"/>
        </w:rPr>
        <w:t xml:space="preserve">ă </w:t>
      </w:r>
      <w:r>
        <w:rPr>
          <w:spacing w:val="1"/>
          <w:szCs w:val="22"/>
        </w:rPr>
        <w:t>i</w:t>
      </w:r>
      <w:r>
        <w:rPr>
          <w:spacing w:val="-3"/>
          <w:szCs w:val="22"/>
        </w:rPr>
        <w:t>n</w:t>
      </w:r>
      <w:r>
        <w:rPr>
          <w:spacing w:val="1"/>
          <w:szCs w:val="22"/>
        </w:rPr>
        <w:t>t</w:t>
      </w:r>
      <w:r>
        <w:rPr>
          <w:spacing w:val="-3"/>
          <w:szCs w:val="22"/>
        </w:rPr>
        <w:t>e</w:t>
      </w:r>
      <w:r>
        <w:rPr>
          <w:szCs w:val="22"/>
        </w:rPr>
        <w:t>r</w:t>
      </w:r>
      <w:r>
        <w:rPr>
          <w:spacing w:val="-4"/>
          <w:szCs w:val="22"/>
        </w:rPr>
        <w:t>m</w:t>
      </w:r>
      <w:r>
        <w:rPr>
          <w:szCs w:val="22"/>
        </w:rPr>
        <w:t>ed</w:t>
      </w:r>
      <w:r>
        <w:rPr>
          <w:spacing w:val="1"/>
          <w:szCs w:val="22"/>
        </w:rPr>
        <w:t>i</w:t>
      </w:r>
      <w:r>
        <w:rPr>
          <w:szCs w:val="22"/>
        </w:rPr>
        <w:t>ară</w:t>
      </w:r>
      <w:r>
        <w:rPr>
          <w:spacing w:val="-2"/>
          <w:szCs w:val="22"/>
        </w:rPr>
        <w:t xml:space="preserve"> </w:t>
      </w:r>
      <w:r>
        <w:rPr>
          <w:szCs w:val="22"/>
        </w:rPr>
        <w:t>non</w:t>
      </w:r>
      <w:r>
        <w:rPr>
          <w:spacing w:val="-2"/>
          <w:szCs w:val="22"/>
        </w:rPr>
        <w:t>-</w:t>
      </w:r>
      <w:r>
        <w:rPr>
          <w:spacing w:val="1"/>
          <w:szCs w:val="22"/>
        </w:rPr>
        <w:t>i</w:t>
      </w:r>
      <w:r>
        <w:rPr>
          <w:szCs w:val="22"/>
        </w:rPr>
        <w:t>nf</w:t>
      </w:r>
      <w:r>
        <w:rPr>
          <w:spacing w:val="-2"/>
          <w:szCs w:val="22"/>
        </w:rPr>
        <w:t>e</w:t>
      </w:r>
      <w:r>
        <w:rPr>
          <w:szCs w:val="22"/>
        </w:rPr>
        <w:t>c</w:t>
      </w:r>
      <w:r>
        <w:rPr>
          <w:spacing w:val="-2"/>
          <w:szCs w:val="22"/>
        </w:rPr>
        <w:t>ţ</w:t>
      </w:r>
      <w:r>
        <w:rPr>
          <w:spacing w:val="1"/>
          <w:szCs w:val="22"/>
        </w:rPr>
        <w:t>i</w:t>
      </w:r>
      <w:r>
        <w:rPr>
          <w:szCs w:val="22"/>
        </w:rPr>
        <w:t>o</w:t>
      </w:r>
      <w:r>
        <w:rPr>
          <w:spacing w:val="-2"/>
          <w:szCs w:val="22"/>
        </w:rPr>
        <w:t>a</w:t>
      </w:r>
      <w:r>
        <w:rPr>
          <w:szCs w:val="22"/>
        </w:rPr>
        <w:t>să,</w:t>
      </w:r>
      <w:r>
        <w:rPr>
          <w:spacing w:val="-3"/>
          <w:szCs w:val="22"/>
        </w:rPr>
        <w:t xml:space="preserve"> </w:t>
      </w:r>
      <w:r>
        <w:rPr>
          <w:spacing w:val="1"/>
          <w:szCs w:val="22"/>
        </w:rPr>
        <w:t>î</w:t>
      </w:r>
      <w:r>
        <w:rPr>
          <w:szCs w:val="22"/>
        </w:rPr>
        <w:t>n</w:t>
      </w:r>
      <w:r>
        <w:rPr>
          <w:spacing w:val="-3"/>
          <w:szCs w:val="22"/>
        </w:rPr>
        <w:t>a</w:t>
      </w:r>
      <w:r>
        <w:rPr>
          <w:spacing w:val="1"/>
          <w:szCs w:val="22"/>
        </w:rPr>
        <w:t>i</w:t>
      </w:r>
      <w:r>
        <w:rPr>
          <w:szCs w:val="22"/>
        </w:rPr>
        <w:t>n</w:t>
      </w:r>
      <w:r>
        <w:rPr>
          <w:spacing w:val="-2"/>
          <w:szCs w:val="22"/>
        </w:rPr>
        <w:t>t</w:t>
      </w:r>
      <w:r>
        <w:rPr>
          <w:szCs w:val="22"/>
        </w:rPr>
        <w:t>e de</w:t>
      </w:r>
      <w:r>
        <w:rPr>
          <w:spacing w:val="-2"/>
          <w:szCs w:val="22"/>
        </w:rPr>
        <w:t xml:space="preserve"> </w:t>
      </w:r>
      <w:r>
        <w:rPr>
          <w:spacing w:val="1"/>
          <w:szCs w:val="22"/>
        </w:rPr>
        <w:t>î</w:t>
      </w:r>
      <w:r>
        <w:rPr>
          <w:szCs w:val="22"/>
        </w:rPr>
        <w:t>n</w:t>
      </w:r>
      <w:r>
        <w:rPr>
          <w:spacing w:val="-3"/>
          <w:szCs w:val="22"/>
        </w:rPr>
        <w:t>c</w:t>
      </w:r>
      <w:r>
        <w:rPr>
          <w:szCs w:val="22"/>
        </w:rPr>
        <w:t>e</w:t>
      </w:r>
      <w:r>
        <w:rPr>
          <w:spacing w:val="-3"/>
          <w:szCs w:val="22"/>
        </w:rPr>
        <w:t>p</w:t>
      </w:r>
      <w:r>
        <w:rPr>
          <w:szCs w:val="22"/>
        </w:rPr>
        <w:t>erea</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u</w:t>
      </w:r>
      <w:r>
        <w:rPr>
          <w:spacing w:val="1"/>
          <w:szCs w:val="22"/>
        </w:rPr>
        <w:t>l</w:t>
      </w:r>
      <w:r>
        <w:rPr>
          <w:spacing w:val="-3"/>
          <w:szCs w:val="22"/>
        </w:rPr>
        <w:t>u</w:t>
      </w:r>
      <w:r>
        <w:rPr>
          <w:szCs w:val="22"/>
        </w:rPr>
        <w:t>i</w:t>
      </w:r>
      <w:r>
        <w:rPr>
          <w:spacing w:val="1"/>
          <w:szCs w:val="22"/>
        </w:rPr>
        <w:t xml:space="preserve"> </w:t>
      </w:r>
      <w:r>
        <w:rPr>
          <w:spacing w:val="-2"/>
          <w:szCs w:val="22"/>
        </w:rPr>
        <w:t>ș</w:t>
      </w:r>
      <w:r>
        <w:rPr>
          <w:spacing w:val="1"/>
          <w:szCs w:val="22"/>
        </w:rPr>
        <w:t>i</w:t>
      </w:r>
      <w:r>
        <w:rPr>
          <w:szCs w:val="22"/>
        </w:rPr>
        <w:t xml:space="preserve">, </w:t>
      </w:r>
      <w:r>
        <w:rPr>
          <w:spacing w:val="-2"/>
          <w:szCs w:val="22"/>
        </w:rPr>
        <w:t>î</w:t>
      </w:r>
      <w:r>
        <w:rPr>
          <w:szCs w:val="22"/>
        </w:rPr>
        <w:t xml:space="preserve">n </w:t>
      </w:r>
      <w:r>
        <w:rPr>
          <w:spacing w:val="-4"/>
          <w:szCs w:val="22"/>
        </w:rPr>
        <w:t>m</w:t>
      </w:r>
      <w:r>
        <w:rPr>
          <w:spacing w:val="2"/>
          <w:szCs w:val="22"/>
        </w:rPr>
        <w:t>o</w:t>
      </w:r>
      <w:r>
        <w:rPr>
          <w:szCs w:val="22"/>
        </w:rPr>
        <w:t>d re</w:t>
      </w:r>
      <w:r>
        <w:rPr>
          <w:spacing w:val="-3"/>
          <w:szCs w:val="22"/>
        </w:rPr>
        <w:t>g</w:t>
      </w:r>
      <w:r>
        <w:rPr>
          <w:szCs w:val="22"/>
        </w:rPr>
        <w:t>u</w:t>
      </w:r>
      <w:r>
        <w:rPr>
          <w:spacing w:val="1"/>
          <w:szCs w:val="22"/>
        </w:rPr>
        <w:t>l</w:t>
      </w:r>
      <w:r>
        <w:rPr>
          <w:spacing w:val="-3"/>
          <w:szCs w:val="22"/>
        </w:rPr>
        <w:t>a</w:t>
      </w:r>
      <w:r>
        <w:rPr>
          <w:spacing w:val="1"/>
          <w:szCs w:val="22"/>
        </w:rPr>
        <w:t>t</w:t>
      </w:r>
      <w:r>
        <w:rPr>
          <w:szCs w:val="22"/>
        </w:rPr>
        <w:t xml:space="preserve">, </w:t>
      </w:r>
      <w:r>
        <w:rPr>
          <w:spacing w:val="-2"/>
          <w:szCs w:val="22"/>
        </w:rPr>
        <w:t>î</w:t>
      </w:r>
      <w:r>
        <w:rPr>
          <w:szCs w:val="22"/>
        </w:rPr>
        <w:t xml:space="preserve">n </w:t>
      </w:r>
      <w:r>
        <w:rPr>
          <w:spacing w:val="-2"/>
          <w:szCs w:val="22"/>
        </w:rPr>
        <w:t>t</w:t>
      </w:r>
      <w:r>
        <w:rPr>
          <w:spacing w:val="1"/>
          <w:szCs w:val="22"/>
        </w:rPr>
        <w:t>i</w:t>
      </w:r>
      <w:r>
        <w:rPr>
          <w:spacing w:val="-4"/>
          <w:szCs w:val="22"/>
        </w:rPr>
        <w:t>m</w:t>
      </w:r>
      <w:r>
        <w:rPr>
          <w:szCs w:val="22"/>
        </w:rPr>
        <w:t xml:space="preserve">pul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pacing w:val="1"/>
          <w:szCs w:val="22"/>
        </w:rPr>
        <w:t>l</w:t>
      </w:r>
      <w:r>
        <w:rPr>
          <w:szCs w:val="22"/>
        </w:rPr>
        <w:t>ui</w:t>
      </w:r>
      <w:r>
        <w:rPr>
          <w:spacing w:val="-2"/>
          <w:szCs w:val="22"/>
        </w:rPr>
        <w:t xml:space="preserve"> </w:t>
      </w:r>
      <w:r>
        <w:rPr>
          <w:szCs w:val="22"/>
        </w:rPr>
        <w:t xml:space="preserve">cu </w:t>
      </w:r>
      <w:r>
        <w:rPr>
          <w:spacing w:val="-1"/>
          <w:szCs w:val="22"/>
        </w:rPr>
        <w:t>AMGEVITA</w:t>
      </w:r>
      <w:r>
        <w:rPr>
          <w:szCs w:val="22"/>
        </w:rPr>
        <w:t>,</w:t>
      </w:r>
      <w:r>
        <w:rPr>
          <w:spacing w:val="-3"/>
          <w:szCs w:val="22"/>
        </w:rPr>
        <w:t xml:space="preserve"> </w:t>
      </w:r>
      <w:r>
        <w:rPr>
          <w:spacing w:val="1"/>
          <w:szCs w:val="22"/>
        </w:rPr>
        <w:t>t</w:t>
      </w:r>
      <w:r>
        <w:rPr>
          <w:spacing w:val="-2"/>
          <w:szCs w:val="22"/>
        </w:rPr>
        <w:t>r</w:t>
      </w:r>
      <w:r>
        <w:rPr>
          <w:szCs w:val="22"/>
        </w:rPr>
        <w:t>ebu</w:t>
      </w:r>
      <w:r>
        <w:rPr>
          <w:spacing w:val="1"/>
          <w:szCs w:val="22"/>
        </w:rPr>
        <w:t>i</w:t>
      </w:r>
      <w:r>
        <w:rPr>
          <w:szCs w:val="22"/>
        </w:rPr>
        <w:t>e</w:t>
      </w:r>
      <w:r>
        <w:rPr>
          <w:spacing w:val="-2"/>
          <w:szCs w:val="22"/>
        </w:rPr>
        <w:t xml:space="preserve"> </w:t>
      </w:r>
      <w:r>
        <w:rPr>
          <w:szCs w:val="22"/>
        </w:rPr>
        <w:t>e</w:t>
      </w:r>
      <w:r>
        <w:rPr>
          <w:spacing w:val="-2"/>
          <w:szCs w:val="22"/>
        </w:rPr>
        <w:t>f</w:t>
      </w:r>
      <w:r>
        <w:rPr>
          <w:szCs w:val="22"/>
        </w:rPr>
        <w:t>ec</w:t>
      </w:r>
      <w:r>
        <w:rPr>
          <w:spacing w:val="-2"/>
          <w:szCs w:val="22"/>
        </w:rPr>
        <w:t>t</w:t>
      </w:r>
      <w:r>
        <w:rPr>
          <w:szCs w:val="22"/>
        </w:rPr>
        <w:t>ua</w:t>
      </w:r>
      <w:r>
        <w:rPr>
          <w:spacing w:val="-2"/>
          <w:szCs w:val="22"/>
        </w:rPr>
        <w:t>t</w:t>
      </w:r>
      <w:r>
        <w:rPr>
          <w:szCs w:val="22"/>
        </w:rPr>
        <w:t>ă e</w:t>
      </w:r>
      <w:r>
        <w:rPr>
          <w:spacing w:val="-3"/>
          <w:szCs w:val="22"/>
        </w:rPr>
        <w:t>v</w:t>
      </w:r>
      <w:r>
        <w:rPr>
          <w:szCs w:val="22"/>
        </w:rPr>
        <w:t>a</w:t>
      </w:r>
      <w:r>
        <w:rPr>
          <w:spacing w:val="1"/>
          <w:szCs w:val="22"/>
        </w:rPr>
        <w:t>l</w:t>
      </w:r>
      <w:r>
        <w:rPr>
          <w:spacing w:val="-3"/>
          <w:szCs w:val="22"/>
        </w:rPr>
        <w:t>u</w:t>
      </w:r>
      <w:r>
        <w:rPr>
          <w:szCs w:val="22"/>
        </w:rPr>
        <w:t>are</w:t>
      </w:r>
      <w:r>
        <w:rPr>
          <w:spacing w:val="-2"/>
          <w:szCs w:val="22"/>
        </w:rPr>
        <w:t xml:space="preserve"> </w:t>
      </w:r>
      <w:r>
        <w:rPr>
          <w:szCs w:val="22"/>
        </w:rPr>
        <w:t>n</w:t>
      </w:r>
      <w:r>
        <w:rPr>
          <w:spacing w:val="-3"/>
          <w:szCs w:val="22"/>
        </w:rPr>
        <w:t>e</w:t>
      </w:r>
      <w:r>
        <w:rPr>
          <w:szCs w:val="22"/>
        </w:rPr>
        <w:t>uro</w:t>
      </w:r>
      <w:r>
        <w:rPr>
          <w:spacing w:val="1"/>
          <w:szCs w:val="22"/>
        </w:rPr>
        <w:t>l</w:t>
      </w:r>
      <w:r>
        <w:rPr>
          <w:szCs w:val="22"/>
        </w:rPr>
        <w:t>o</w:t>
      </w:r>
      <w:r>
        <w:rPr>
          <w:spacing w:val="-3"/>
          <w:szCs w:val="22"/>
        </w:rPr>
        <w:t>g</w:t>
      </w:r>
      <w:r>
        <w:rPr>
          <w:spacing w:val="1"/>
          <w:szCs w:val="22"/>
        </w:rPr>
        <w:t>i</w:t>
      </w:r>
      <w:r>
        <w:rPr>
          <w:spacing w:val="-3"/>
          <w:szCs w:val="22"/>
        </w:rPr>
        <w:t>c</w:t>
      </w:r>
      <w:r>
        <w:rPr>
          <w:szCs w:val="22"/>
        </w:rPr>
        <w:t>ă p</w:t>
      </w:r>
      <w:r>
        <w:rPr>
          <w:spacing w:val="-3"/>
          <w:szCs w:val="22"/>
        </w:rPr>
        <w:t>e</w:t>
      </w:r>
      <w:r>
        <w:rPr>
          <w:szCs w:val="22"/>
        </w:rPr>
        <w:t>n</w:t>
      </w:r>
      <w:r>
        <w:rPr>
          <w:spacing w:val="-2"/>
          <w:szCs w:val="22"/>
        </w:rPr>
        <w:t>t</w:t>
      </w:r>
      <w:r>
        <w:rPr>
          <w:szCs w:val="22"/>
        </w:rPr>
        <w:t>ru a p</w:t>
      </w:r>
      <w:r>
        <w:rPr>
          <w:spacing w:val="-3"/>
          <w:szCs w:val="22"/>
        </w:rPr>
        <w:t>u</w:t>
      </w:r>
      <w:r>
        <w:rPr>
          <w:spacing w:val="1"/>
          <w:szCs w:val="22"/>
        </w:rPr>
        <w:t>t</w:t>
      </w:r>
      <w:r>
        <w:rPr>
          <w:spacing w:val="-3"/>
          <w:szCs w:val="22"/>
        </w:rPr>
        <w:t>e</w:t>
      </w:r>
      <w:r>
        <w:rPr>
          <w:szCs w:val="22"/>
        </w:rPr>
        <w:t>a d</w:t>
      </w:r>
      <w:r>
        <w:rPr>
          <w:spacing w:val="-3"/>
          <w:szCs w:val="22"/>
        </w:rPr>
        <w:t>e</w:t>
      </w:r>
      <w:r>
        <w:rPr>
          <w:spacing w:val="-2"/>
          <w:szCs w:val="22"/>
        </w:rPr>
        <w:t>t</w:t>
      </w:r>
      <w:r>
        <w:rPr>
          <w:szCs w:val="22"/>
        </w:rPr>
        <w:t>ec</w:t>
      </w:r>
      <w:r>
        <w:rPr>
          <w:spacing w:val="1"/>
          <w:szCs w:val="22"/>
        </w:rPr>
        <w:t>t</w:t>
      </w:r>
      <w:r>
        <w:rPr>
          <w:szCs w:val="22"/>
        </w:rPr>
        <w:t>a</w:t>
      </w:r>
      <w:r>
        <w:rPr>
          <w:spacing w:val="-2"/>
          <w:szCs w:val="22"/>
        </w:rPr>
        <w:t xml:space="preserve"> </w:t>
      </w:r>
      <w:r>
        <w:rPr>
          <w:szCs w:val="22"/>
        </w:rPr>
        <w:t>bo</w:t>
      </w:r>
      <w:r>
        <w:rPr>
          <w:spacing w:val="-2"/>
          <w:szCs w:val="22"/>
        </w:rPr>
        <w:t>l</w:t>
      </w:r>
      <w:r>
        <w:rPr>
          <w:spacing w:val="1"/>
          <w:szCs w:val="22"/>
        </w:rPr>
        <w:t>i</w:t>
      </w:r>
      <w:r>
        <w:rPr>
          <w:spacing w:val="-2"/>
          <w:szCs w:val="22"/>
        </w:rPr>
        <w:t>l</w:t>
      </w:r>
      <w:r>
        <w:rPr>
          <w:szCs w:val="22"/>
        </w:rPr>
        <w:t>e de</w:t>
      </w:r>
      <w:r>
        <w:rPr>
          <w:spacing w:val="-4"/>
          <w:szCs w:val="22"/>
        </w:rPr>
        <w:t>m</w:t>
      </w:r>
      <w:r>
        <w:rPr>
          <w:spacing w:val="1"/>
          <w:szCs w:val="22"/>
        </w:rPr>
        <w:t>i</w:t>
      </w:r>
      <w:r>
        <w:rPr>
          <w:szCs w:val="22"/>
        </w:rPr>
        <w:t>e</w:t>
      </w:r>
      <w:r>
        <w:rPr>
          <w:spacing w:val="1"/>
          <w:szCs w:val="22"/>
        </w:rPr>
        <w:t>li</w:t>
      </w:r>
      <w:r>
        <w:rPr>
          <w:spacing w:val="-3"/>
          <w:szCs w:val="22"/>
        </w:rPr>
        <w:t>n</w:t>
      </w:r>
      <w:r>
        <w:rPr>
          <w:spacing w:val="1"/>
          <w:szCs w:val="22"/>
        </w:rPr>
        <w:t>i</w:t>
      </w:r>
      <w:r>
        <w:rPr>
          <w:spacing w:val="-3"/>
          <w:szCs w:val="22"/>
        </w:rPr>
        <w:t>z</w:t>
      </w:r>
      <w:r>
        <w:rPr>
          <w:szCs w:val="22"/>
        </w:rPr>
        <w:t>an</w:t>
      </w:r>
      <w:r>
        <w:rPr>
          <w:spacing w:val="1"/>
          <w:szCs w:val="22"/>
        </w:rPr>
        <w:t>t</w:t>
      </w:r>
      <w:r>
        <w:rPr>
          <w:szCs w:val="22"/>
        </w:rPr>
        <w:t>e</w:t>
      </w:r>
      <w:r>
        <w:rPr>
          <w:spacing w:val="-2"/>
          <w:szCs w:val="22"/>
        </w:rPr>
        <w:t xml:space="preserve"> </w:t>
      </w:r>
      <w:r>
        <w:rPr>
          <w:szCs w:val="22"/>
        </w:rPr>
        <w:t>a</w:t>
      </w:r>
      <w:r>
        <w:rPr>
          <w:spacing w:val="-2"/>
          <w:szCs w:val="22"/>
        </w:rPr>
        <w:t>l</w:t>
      </w:r>
      <w:r>
        <w:rPr>
          <w:szCs w:val="22"/>
        </w:rPr>
        <w:t xml:space="preserve">e </w:t>
      </w:r>
      <w:r>
        <w:rPr>
          <w:spacing w:val="-2"/>
          <w:szCs w:val="22"/>
        </w:rPr>
        <w:t>s</w:t>
      </w:r>
      <w:r>
        <w:rPr>
          <w:spacing w:val="1"/>
          <w:szCs w:val="22"/>
        </w:rPr>
        <w:t>i</w:t>
      </w:r>
      <w:r>
        <w:rPr>
          <w:szCs w:val="22"/>
        </w:rPr>
        <w:t>s</w:t>
      </w:r>
      <w:r>
        <w:rPr>
          <w:spacing w:val="-2"/>
          <w:szCs w:val="22"/>
        </w:rPr>
        <w:t>t</w:t>
      </w:r>
      <w:r>
        <w:rPr>
          <w:szCs w:val="22"/>
        </w:rPr>
        <w:t>e</w:t>
      </w:r>
      <w:r>
        <w:rPr>
          <w:spacing w:val="-4"/>
          <w:szCs w:val="22"/>
        </w:rPr>
        <w:t>m</w:t>
      </w:r>
      <w:r>
        <w:rPr>
          <w:spacing w:val="-1"/>
          <w:szCs w:val="22"/>
        </w:rPr>
        <w:t>u</w:t>
      </w:r>
      <w:r>
        <w:rPr>
          <w:spacing w:val="1"/>
          <w:szCs w:val="22"/>
        </w:rPr>
        <w:t>l</w:t>
      </w:r>
      <w:r>
        <w:rPr>
          <w:szCs w:val="22"/>
        </w:rPr>
        <w:t>ui</w:t>
      </w:r>
      <w:r>
        <w:rPr>
          <w:spacing w:val="1"/>
          <w:szCs w:val="22"/>
        </w:rPr>
        <w:t xml:space="preserve"> </w:t>
      </w:r>
      <w:r>
        <w:rPr>
          <w:szCs w:val="22"/>
        </w:rPr>
        <w:t>n</w:t>
      </w:r>
      <w:r>
        <w:rPr>
          <w:spacing w:val="-3"/>
          <w:szCs w:val="22"/>
        </w:rPr>
        <w:t>e</w:t>
      </w:r>
      <w:r>
        <w:rPr>
          <w:szCs w:val="22"/>
        </w:rPr>
        <w:t>r</w:t>
      </w:r>
      <w:r>
        <w:rPr>
          <w:spacing w:val="-3"/>
          <w:szCs w:val="22"/>
        </w:rPr>
        <w:t>v</w:t>
      </w:r>
      <w:r>
        <w:rPr>
          <w:szCs w:val="22"/>
        </w:rPr>
        <w:t>os ce</w:t>
      </w:r>
      <w:r>
        <w:rPr>
          <w:spacing w:val="-3"/>
          <w:szCs w:val="22"/>
        </w:rPr>
        <w:t>n</w:t>
      </w:r>
      <w:r>
        <w:rPr>
          <w:spacing w:val="1"/>
          <w:szCs w:val="22"/>
        </w:rPr>
        <w:t>t</w:t>
      </w:r>
      <w:r>
        <w:rPr>
          <w:spacing w:val="-2"/>
          <w:szCs w:val="22"/>
        </w:rPr>
        <w:t>r</w:t>
      </w:r>
      <w:r>
        <w:rPr>
          <w:szCs w:val="22"/>
        </w:rPr>
        <w:t>al</w:t>
      </w:r>
      <w:r>
        <w:rPr>
          <w:spacing w:val="1"/>
          <w:szCs w:val="22"/>
        </w:rPr>
        <w:t xml:space="preserve"> </w:t>
      </w:r>
      <w:r>
        <w:rPr>
          <w:spacing w:val="-3"/>
          <w:szCs w:val="22"/>
        </w:rPr>
        <w:t>p</w:t>
      </w:r>
      <w:r>
        <w:rPr>
          <w:szCs w:val="22"/>
        </w:rPr>
        <w:t>re</w:t>
      </w:r>
      <w:r>
        <w:rPr>
          <w:spacing w:val="-5"/>
          <w:szCs w:val="22"/>
        </w:rPr>
        <w:t>-</w:t>
      </w:r>
      <w:r>
        <w:rPr>
          <w:szCs w:val="22"/>
        </w:rPr>
        <w:t>ex</w:t>
      </w:r>
      <w:r>
        <w:rPr>
          <w:spacing w:val="1"/>
          <w:szCs w:val="22"/>
        </w:rPr>
        <w:t>i</w:t>
      </w:r>
      <w:r>
        <w:rPr>
          <w:szCs w:val="22"/>
        </w:rPr>
        <w:t>s</w:t>
      </w:r>
      <w:r>
        <w:rPr>
          <w:spacing w:val="-2"/>
          <w:szCs w:val="22"/>
        </w:rPr>
        <w:t>t</w:t>
      </w:r>
      <w:r>
        <w:rPr>
          <w:spacing w:val="-3"/>
          <w:szCs w:val="22"/>
        </w:rPr>
        <w:t>e</w:t>
      </w:r>
      <w:r>
        <w:rPr>
          <w:szCs w:val="22"/>
        </w:rPr>
        <w:t>n</w:t>
      </w:r>
      <w:r>
        <w:rPr>
          <w:spacing w:val="1"/>
          <w:szCs w:val="22"/>
        </w:rPr>
        <w:t>t</w:t>
      </w:r>
      <w:r>
        <w:rPr>
          <w:szCs w:val="22"/>
        </w:rPr>
        <w:t xml:space="preserve">e </w:t>
      </w:r>
      <w:r>
        <w:rPr>
          <w:spacing w:val="-2"/>
          <w:szCs w:val="22"/>
        </w:rPr>
        <w:t>s</w:t>
      </w:r>
      <w:r>
        <w:rPr>
          <w:szCs w:val="22"/>
        </w:rPr>
        <w:t xml:space="preserve">au </w:t>
      </w:r>
      <w:r>
        <w:rPr>
          <w:spacing w:val="-2"/>
          <w:szCs w:val="22"/>
        </w:rPr>
        <w:t>î</w:t>
      </w:r>
      <w:r>
        <w:rPr>
          <w:szCs w:val="22"/>
        </w:rPr>
        <w:t>n c</w:t>
      </w:r>
      <w:r>
        <w:rPr>
          <w:spacing w:val="-3"/>
          <w:szCs w:val="22"/>
        </w:rPr>
        <w:t>u</w:t>
      </w:r>
      <w:r>
        <w:rPr>
          <w:szCs w:val="22"/>
        </w:rPr>
        <w:t xml:space="preserve">rs </w:t>
      </w:r>
      <w:r>
        <w:rPr>
          <w:spacing w:val="-3"/>
          <w:szCs w:val="22"/>
        </w:rPr>
        <w:t>d</w:t>
      </w:r>
      <w:r>
        <w:rPr>
          <w:szCs w:val="22"/>
        </w:rPr>
        <w:t>e ap</w:t>
      </w:r>
      <w:r>
        <w:rPr>
          <w:spacing w:val="-3"/>
          <w:szCs w:val="22"/>
        </w:rPr>
        <w:t>a</w:t>
      </w:r>
      <w:r>
        <w:rPr>
          <w:szCs w:val="22"/>
        </w:rPr>
        <w:t>r</w:t>
      </w:r>
      <w:r>
        <w:rPr>
          <w:spacing w:val="-2"/>
          <w:szCs w:val="22"/>
        </w:rPr>
        <w:t>i</w:t>
      </w:r>
      <w:r>
        <w:rPr>
          <w:spacing w:val="1"/>
          <w:szCs w:val="22"/>
        </w:rPr>
        <w:t>ţ</w:t>
      </w:r>
      <w:r>
        <w:rPr>
          <w:spacing w:val="-2"/>
          <w:szCs w:val="22"/>
        </w:rPr>
        <w:t>i</w:t>
      </w:r>
      <w:r>
        <w:rPr>
          <w:szCs w:val="22"/>
        </w:rPr>
        <w:t>e.</w:t>
      </w:r>
    </w:p>
    <w:p w14:paraId="3C9FA684" w14:textId="77777777" w:rsidR="00C04CAD" w:rsidRDefault="00C04CAD">
      <w:pPr>
        <w:spacing w:line="240" w:lineRule="auto"/>
        <w:rPr>
          <w:szCs w:val="22"/>
        </w:rPr>
      </w:pPr>
    </w:p>
    <w:p w14:paraId="53C3F8A2" w14:textId="77777777" w:rsidR="00C04CAD" w:rsidRDefault="00060E34">
      <w:pPr>
        <w:pStyle w:val="BodyText"/>
        <w:keepNext/>
        <w:kinsoku w:val="0"/>
        <w:overflowPunct w:val="0"/>
        <w:rPr>
          <w:i w:val="0"/>
          <w:color w:val="auto"/>
        </w:rPr>
      </w:pPr>
      <w:r>
        <w:rPr>
          <w:i w:val="0"/>
          <w:color w:val="auto"/>
          <w:spacing w:val="-1"/>
          <w:u w:val="single"/>
        </w:rPr>
        <w:t>R</w:t>
      </w:r>
      <w:r>
        <w:rPr>
          <w:i w:val="0"/>
          <w:color w:val="auto"/>
          <w:u w:val="single"/>
        </w:rPr>
        <w:t>eac</w:t>
      </w:r>
      <w:r>
        <w:rPr>
          <w:i w:val="0"/>
          <w:color w:val="auto"/>
          <w:spacing w:val="-2"/>
          <w:u w:val="single"/>
        </w:rPr>
        <w:t>ţ</w:t>
      </w:r>
      <w:r>
        <w:rPr>
          <w:i w:val="0"/>
          <w:color w:val="auto"/>
          <w:spacing w:val="1"/>
          <w:u w:val="single"/>
        </w:rPr>
        <w:t>i</w:t>
      </w:r>
      <w:r>
        <w:rPr>
          <w:i w:val="0"/>
          <w:color w:val="auto"/>
          <w:u w:val="single"/>
        </w:rPr>
        <w:t>i a</w:t>
      </w:r>
      <w:r>
        <w:rPr>
          <w:i w:val="0"/>
          <w:color w:val="auto"/>
          <w:spacing w:val="-2"/>
          <w:u w:val="single"/>
        </w:rPr>
        <w:t>l</w:t>
      </w:r>
      <w:r>
        <w:rPr>
          <w:i w:val="0"/>
          <w:color w:val="auto"/>
          <w:u w:val="single"/>
        </w:rPr>
        <w:t>er</w:t>
      </w:r>
      <w:r>
        <w:rPr>
          <w:i w:val="0"/>
          <w:color w:val="auto"/>
          <w:spacing w:val="-3"/>
          <w:u w:val="single"/>
        </w:rPr>
        <w:t>g</w:t>
      </w:r>
      <w:r>
        <w:rPr>
          <w:i w:val="0"/>
          <w:color w:val="auto"/>
          <w:spacing w:val="1"/>
          <w:u w:val="single"/>
        </w:rPr>
        <w:t>i</w:t>
      </w:r>
      <w:r>
        <w:rPr>
          <w:i w:val="0"/>
          <w:color w:val="auto"/>
          <w:u w:val="single"/>
        </w:rPr>
        <w:t>ce</w:t>
      </w:r>
    </w:p>
    <w:p w14:paraId="20264129" w14:textId="77777777" w:rsidR="00C04CAD" w:rsidRDefault="00C04CAD">
      <w:pPr>
        <w:keepNext/>
        <w:kinsoku w:val="0"/>
        <w:overflowPunct w:val="0"/>
        <w:spacing w:line="240" w:lineRule="auto"/>
      </w:pPr>
    </w:p>
    <w:p w14:paraId="769E815B" w14:textId="77777777" w:rsidR="00C04CAD" w:rsidRDefault="00060E34">
      <w:pPr>
        <w:pStyle w:val="BodyText"/>
        <w:kinsoku w:val="0"/>
        <w:overflowPunct w:val="0"/>
        <w:rPr>
          <w:i w:val="0"/>
          <w:color w:val="auto"/>
        </w:rPr>
      </w:pPr>
      <w:r>
        <w:rPr>
          <w:i w:val="0"/>
          <w:color w:val="auto"/>
          <w:spacing w:val="-4"/>
        </w:rPr>
        <w:t>Î</w:t>
      </w:r>
      <w:r>
        <w:rPr>
          <w:i w:val="0"/>
          <w:color w:val="auto"/>
        </w:rPr>
        <w:t xml:space="preserve">n </w:t>
      </w:r>
      <w:r>
        <w:rPr>
          <w:i w:val="0"/>
          <w:color w:val="auto"/>
          <w:spacing w:val="1"/>
        </w:rPr>
        <w:t>t</w:t>
      </w:r>
      <w:r>
        <w:rPr>
          <w:i w:val="0"/>
          <w:color w:val="auto"/>
          <w:spacing w:val="3"/>
        </w:rPr>
        <w:t>i</w:t>
      </w:r>
      <w:r>
        <w:rPr>
          <w:i w:val="0"/>
          <w:color w:val="auto"/>
          <w:spacing w:val="-4"/>
        </w:rPr>
        <w:t>m</w:t>
      </w:r>
      <w:r>
        <w:rPr>
          <w:i w:val="0"/>
          <w:color w:val="auto"/>
        </w:rPr>
        <w:t>pul</w:t>
      </w:r>
      <w:r>
        <w:rPr>
          <w:i w:val="0"/>
          <w:color w:val="auto"/>
          <w:spacing w:val="1"/>
        </w:rPr>
        <w:t xml:space="preserve"> </w:t>
      </w:r>
      <w:r>
        <w:rPr>
          <w:i w:val="0"/>
          <w:color w:val="auto"/>
        </w:rPr>
        <w:t>s</w:t>
      </w:r>
      <w:r>
        <w:rPr>
          <w:i w:val="0"/>
          <w:color w:val="auto"/>
          <w:spacing w:val="1"/>
        </w:rPr>
        <w:t>t</w:t>
      </w:r>
      <w:r>
        <w:rPr>
          <w:i w:val="0"/>
          <w:color w:val="auto"/>
          <w:spacing w:val="-3"/>
        </w:rPr>
        <w:t>u</w:t>
      </w:r>
      <w:r>
        <w:rPr>
          <w:i w:val="0"/>
          <w:color w:val="auto"/>
        </w:rPr>
        <w:t>d</w:t>
      </w:r>
      <w:r>
        <w:rPr>
          <w:i w:val="0"/>
          <w:color w:val="auto"/>
          <w:spacing w:val="-2"/>
        </w:rPr>
        <w:t>i</w:t>
      </w:r>
      <w:r>
        <w:rPr>
          <w:i w:val="0"/>
          <w:color w:val="auto"/>
          <w:spacing w:val="1"/>
        </w:rPr>
        <w:t>il</w:t>
      </w:r>
      <w:r>
        <w:rPr>
          <w:i w:val="0"/>
          <w:color w:val="auto"/>
          <w:spacing w:val="-3"/>
        </w:rPr>
        <w:t>o</w:t>
      </w:r>
      <w:r>
        <w:rPr>
          <w:i w:val="0"/>
          <w:color w:val="auto"/>
        </w:rPr>
        <w:t>r</w:t>
      </w:r>
      <w:r>
        <w:rPr>
          <w:i w:val="0"/>
          <w:color w:val="auto"/>
          <w:spacing w:val="1"/>
        </w:rPr>
        <w:t xml:space="preserve"> </w:t>
      </w:r>
      <w:r>
        <w:rPr>
          <w:i w:val="0"/>
          <w:color w:val="auto"/>
          <w:spacing w:val="-3"/>
        </w:rPr>
        <w:t>c</w:t>
      </w:r>
      <w:r>
        <w:rPr>
          <w:i w:val="0"/>
          <w:color w:val="auto"/>
          <w:spacing w:val="1"/>
        </w:rPr>
        <w:t>li</w:t>
      </w:r>
      <w:r>
        <w:rPr>
          <w:i w:val="0"/>
          <w:color w:val="auto"/>
          <w:spacing w:val="-3"/>
        </w:rPr>
        <w:t>n</w:t>
      </w:r>
      <w:r>
        <w:rPr>
          <w:i w:val="0"/>
          <w:color w:val="auto"/>
          <w:spacing w:val="1"/>
        </w:rPr>
        <w:t>i</w:t>
      </w:r>
      <w:r>
        <w:rPr>
          <w:i w:val="0"/>
          <w:color w:val="auto"/>
          <w:spacing w:val="-3"/>
        </w:rPr>
        <w:t>c</w:t>
      </w:r>
      <w:r>
        <w:rPr>
          <w:i w:val="0"/>
          <w:color w:val="auto"/>
        </w:rPr>
        <w:t>e,</w:t>
      </w:r>
      <w:r>
        <w:rPr>
          <w:i w:val="0"/>
          <w:color w:val="auto"/>
          <w:spacing w:val="53"/>
        </w:rPr>
        <w:t xml:space="preserve"> </w:t>
      </w:r>
      <w:r>
        <w:rPr>
          <w:i w:val="0"/>
          <w:color w:val="auto"/>
        </w:rPr>
        <w:t>au f</w:t>
      </w:r>
      <w:r>
        <w:rPr>
          <w:i w:val="0"/>
          <w:color w:val="auto"/>
          <w:spacing w:val="-3"/>
        </w:rPr>
        <w:t>o</w:t>
      </w:r>
      <w:r>
        <w:rPr>
          <w:i w:val="0"/>
          <w:color w:val="auto"/>
        </w:rPr>
        <w:t>st</w:t>
      </w:r>
      <w:r>
        <w:rPr>
          <w:i w:val="0"/>
          <w:color w:val="auto"/>
          <w:spacing w:val="-2"/>
        </w:rPr>
        <w:t xml:space="preserve"> </w:t>
      </w:r>
      <w:r>
        <w:rPr>
          <w:i w:val="0"/>
          <w:color w:val="auto"/>
        </w:rPr>
        <w:t>rap</w:t>
      </w:r>
      <w:r>
        <w:rPr>
          <w:i w:val="0"/>
          <w:color w:val="auto"/>
          <w:spacing w:val="-3"/>
        </w:rPr>
        <w:t>o</w:t>
      </w:r>
      <w:r>
        <w:rPr>
          <w:i w:val="0"/>
          <w:color w:val="auto"/>
        </w:rPr>
        <w:t>r</w:t>
      </w:r>
      <w:r>
        <w:rPr>
          <w:i w:val="0"/>
          <w:color w:val="auto"/>
          <w:spacing w:val="-2"/>
        </w:rPr>
        <w:t>t</w:t>
      </w:r>
      <w:r>
        <w:rPr>
          <w:i w:val="0"/>
          <w:color w:val="auto"/>
        </w:rPr>
        <w:t>a</w:t>
      </w:r>
      <w:r>
        <w:rPr>
          <w:i w:val="0"/>
          <w:color w:val="auto"/>
          <w:spacing w:val="1"/>
        </w:rPr>
        <w:t>t</w:t>
      </w:r>
      <w:r>
        <w:rPr>
          <w:i w:val="0"/>
          <w:color w:val="auto"/>
        </w:rPr>
        <w:t>e</w:t>
      </w:r>
      <w:r>
        <w:rPr>
          <w:i w:val="0"/>
          <w:color w:val="auto"/>
          <w:spacing w:val="-2"/>
        </w:rPr>
        <w:t xml:space="preserve"> </w:t>
      </w:r>
      <w:r>
        <w:rPr>
          <w:i w:val="0"/>
          <w:color w:val="auto"/>
        </w:rPr>
        <w:t>r</w:t>
      </w:r>
      <w:r>
        <w:rPr>
          <w:i w:val="0"/>
          <w:color w:val="auto"/>
          <w:spacing w:val="-3"/>
        </w:rPr>
        <w:t>a</w:t>
      </w:r>
      <w:r>
        <w:rPr>
          <w:i w:val="0"/>
          <w:color w:val="auto"/>
        </w:rPr>
        <w:t>r</w:t>
      </w:r>
      <w:r>
        <w:rPr>
          <w:i w:val="0"/>
          <w:color w:val="auto"/>
          <w:spacing w:val="1"/>
        </w:rPr>
        <w:t xml:space="preserve"> </w:t>
      </w:r>
      <w:r>
        <w:rPr>
          <w:i w:val="0"/>
          <w:color w:val="auto"/>
          <w:spacing w:val="-2"/>
        </w:rPr>
        <w:t>r</w:t>
      </w:r>
      <w:r>
        <w:rPr>
          <w:i w:val="0"/>
          <w:color w:val="auto"/>
        </w:rPr>
        <w:t>ea</w:t>
      </w:r>
      <w:r>
        <w:rPr>
          <w:i w:val="0"/>
          <w:color w:val="auto"/>
          <w:spacing w:val="-3"/>
        </w:rPr>
        <w:t>c</w:t>
      </w:r>
      <w:r>
        <w:rPr>
          <w:i w:val="0"/>
          <w:color w:val="auto"/>
          <w:spacing w:val="1"/>
        </w:rPr>
        <w:t>ţ</w:t>
      </w:r>
      <w:r>
        <w:rPr>
          <w:i w:val="0"/>
          <w:color w:val="auto"/>
          <w:spacing w:val="-2"/>
        </w:rPr>
        <w:t>i</w:t>
      </w:r>
      <w:r>
        <w:rPr>
          <w:i w:val="0"/>
          <w:color w:val="auto"/>
        </w:rPr>
        <w:t>i</w:t>
      </w:r>
      <w:r>
        <w:rPr>
          <w:i w:val="0"/>
          <w:color w:val="auto"/>
          <w:spacing w:val="-2"/>
        </w:rPr>
        <w:t xml:space="preserve"> </w:t>
      </w:r>
      <w:r>
        <w:rPr>
          <w:i w:val="0"/>
          <w:color w:val="auto"/>
        </w:rPr>
        <w:t>a</w:t>
      </w:r>
      <w:r>
        <w:rPr>
          <w:i w:val="0"/>
          <w:color w:val="auto"/>
          <w:spacing w:val="1"/>
        </w:rPr>
        <w:t>l</w:t>
      </w:r>
      <w:r>
        <w:rPr>
          <w:i w:val="0"/>
          <w:color w:val="auto"/>
          <w:spacing w:val="-3"/>
        </w:rPr>
        <w:t>e</w:t>
      </w:r>
      <w:r>
        <w:rPr>
          <w:i w:val="0"/>
          <w:color w:val="auto"/>
        </w:rPr>
        <w:t>r</w:t>
      </w:r>
      <w:r>
        <w:rPr>
          <w:i w:val="0"/>
          <w:color w:val="auto"/>
          <w:spacing w:val="-3"/>
        </w:rPr>
        <w:t>g</w:t>
      </w:r>
      <w:r>
        <w:rPr>
          <w:i w:val="0"/>
          <w:color w:val="auto"/>
          <w:spacing w:val="1"/>
        </w:rPr>
        <w:t>i</w:t>
      </w:r>
      <w:r>
        <w:rPr>
          <w:i w:val="0"/>
          <w:color w:val="auto"/>
        </w:rPr>
        <w:t xml:space="preserve">ce </w:t>
      </w:r>
      <w:r>
        <w:rPr>
          <w:i w:val="0"/>
          <w:color w:val="auto"/>
          <w:spacing w:val="-3"/>
        </w:rPr>
        <w:t>g</w:t>
      </w:r>
      <w:r>
        <w:rPr>
          <w:i w:val="0"/>
          <w:color w:val="auto"/>
        </w:rPr>
        <w:t>ra</w:t>
      </w:r>
      <w:r>
        <w:rPr>
          <w:i w:val="0"/>
          <w:color w:val="auto"/>
          <w:spacing w:val="-3"/>
        </w:rPr>
        <w:t>v</w:t>
      </w:r>
      <w:r>
        <w:rPr>
          <w:i w:val="0"/>
          <w:color w:val="auto"/>
        </w:rPr>
        <w:t>e as</w:t>
      </w:r>
      <w:r>
        <w:rPr>
          <w:i w:val="0"/>
          <w:color w:val="auto"/>
          <w:spacing w:val="-3"/>
        </w:rPr>
        <w:t>o</w:t>
      </w:r>
      <w:r>
        <w:rPr>
          <w:i w:val="0"/>
          <w:color w:val="auto"/>
        </w:rPr>
        <w:t>c</w:t>
      </w:r>
      <w:r>
        <w:rPr>
          <w:i w:val="0"/>
          <w:color w:val="auto"/>
          <w:spacing w:val="-2"/>
        </w:rPr>
        <w:t>i</w:t>
      </w:r>
      <w:r>
        <w:rPr>
          <w:i w:val="0"/>
          <w:color w:val="auto"/>
        </w:rPr>
        <w:t>a</w:t>
      </w:r>
      <w:r>
        <w:rPr>
          <w:i w:val="0"/>
          <w:color w:val="auto"/>
          <w:spacing w:val="1"/>
        </w:rPr>
        <w:t>t</w:t>
      </w:r>
      <w:r>
        <w:rPr>
          <w:i w:val="0"/>
          <w:color w:val="auto"/>
        </w:rPr>
        <w:t>e</w:t>
      </w:r>
      <w:r>
        <w:rPr>
          <w:i w:val="0"/>
          <w:color w:val="auto"/>
          <w:spacing w:val="-2"/>
        </w:rPr>
        <w:t xml:space="preserve"> </w:t>
      </w:r>
      <w:r>
        <w:rPr>
          <w:i w:val="0"/>
          <w:color w:val="auto"/>
        </w:rPr>
        <w:t>cu</w:t>
      </w:r>
      <w:r>
        <w:rPr>
          <w:i w:val="0"/>
          <w:color w:val="auto"/>
          <w:spacing w:val="-3"/>
        </w:rPr>
        <w:t xml:space="preserve"> </w:t>
      </w:r>
      <w:r>
        <w:rPr>
          <w:i w:val="0"/>
          <w:color w:val="auto"/>
        </w:rPr>
        <w:t>u</w:t>
      </w:r>
      <w:r>
        <w:rPr>
          <w:i w:val="0"/>
          <w:color w:val="auto"/>
          <w:spacing w:val="1"/>
        </w:rPr>
        <w:t>t</w:t>
      </w:r>
      <w:r>
        <w:rPr>
          <w:i w:val="0"/>
          <w:color w:val="auto"/>
          <w:spacing w:val="-2"/>
        </w:rPr>
        <w:t>i</w:t>
      </w:r>
      <w:r>
        <w:rPr>
          <w:i w:val="0"/>
          <w:color w:val="auto"/>
          <w:spacing w:val="1"/>
        </w:rPr>
        <w:t>li</w:t>
      </w:r>
      <w:r>
        <w:rPr>
          <w:i w:val="0"/>
          <w:color w:val="auto"/>
          <w:spacing w:val="-3"/>
        </w:rPr>
        <w:t>z</w:t>
      </w:r>
      <w:r>
        <w:rPr>
          <w:i w:val="0"/>
          <w:color w:val="auto"/>
        </w:rPr>
        <w:t>a</w:t>
      </w:r>
      <w:r>
        <w:rPr>
          <w:i w:val="0"/>
          <w:color w:val="auto"/>
          <w:spacing w:val="-2"/>
        </w:rPr>
        <w:t>r</w:t>
      </w:r>
      <w:r>
        <w:rPr>
          <w:i w:val="0"/>
          <w:color w:val="auto"/>
        </w:rPr>
        <w:t xml:space="preserve">ea </w:t>
      </w:r>
      <w:r>
        <w:rPr>
          <w:i w:val="0"/>
          <w:color w:val="auto"/>
          <w:spacing w:val="-1"/>
        </w:rPr>
        <w:t>adalimumab</w:t>
      </w:r>
      <w:r>
        <w:rPr>
          <w:i w:val="0"/>
          <w:color w:val="auto"/>
        </w:rPr>
        <w:t xml:space="preserve">. </w:t>
      </w:r>
      <w:r>
        <w:rPr>
          <w:i w:val="0"/>
          <w:color w:val="auto"/>
          <w:spacing w:val="-4"/>
        </w:rPr>
        <w:t>Î</w:t>
      </w:r>
      <w:r>
        <w:rPr>
          <w:i w:val="0"/>
          <w:color w:val="auto"/>
        </w:rPr>
        <w:t xml:space="preserve">n </w:t>
      </w:r>
      <w:r>
        <w:rPr>
          <w:i w:val="0"/>
          <w:color w:val="auto"/>
          <w:spacing w:val="1"/>
        </w:rPr>
        <w:t>ti</w:t>
      </w:r>
      <w:r>
        <w:rPr>
          <w:i w:val="0"/>
          <w:color w:val="auto"/>
          <w:spacing w:val="-4"/>
        </w:rPr>
        <w:t>m</w:t>
      </w:r>
      <w:r>
        <w:rPr>
          <w:i w:val="0"/>
          <w:color w:val="auto"/>
        </w:rPr>
        <w:t>pul</w:t>
      </w:r>
      <w:r>
        <w:rPr>
          <w:i w:val="0"/>
          <w:color w:val="auto"/>
          <w:spacing w:val="1"/>
        </w:rPr>
        <w:t xml:space="preserve"> </w:t>
      </w:r>
      <w:r>
        <w:rPr>
          <w:i w:val="0"/>
          <w:color w:val="auto"/>
          <w:spacing w:val="-2"/>
        </w:rPr>
        <w:t>s</w:t>
      </w:r>
      <w:r>
        <w:rPr>
          <w:i w:val="0"/>
          <w:color w:val="auto"/>
          <w:spacing w:val="1"/>
        </w:rPr>
        <w:t>t</w:t>
      </w:r>
      <w:r>
        <w:rPr>
          <w:i w:val="0"/>
          <w:color w:val="auto"/>
        </w:rPr>
        <w:t>ud</w:t>
      </w:r>
      <w:r>
        <w:rPr>
          <w:i w:val="0"/>
          <w:color w:val="auto"/>
          <w:spacing w:val="-2"/>
        </w:rPr>
        <w:t>i</w:t>
      </w:r>
      <w:r>
        <w:rPr>
          <w:i w:val="0"/>
          <w:color w:val="auto"/>
          <w:spacing w:val="1"/>
        </w:rPr>
        <w:t>i</w:t>
      </w:r>
      <w:r>
        <w:rPr>
          <w:i w:val="0"/>
          <w:color w:val="auto"/>
          <w:spacing w:val="-2"/>
        </w:rPr>
        <w:t>l</w:t>
      </w:r>
      <w:r>
        <w:rPr>
          <w:i w:val="0"/>
          <w:color w:val="auto"/>
        </w:rPr>
        <w:t>or</w:t>
      </w:r>
      <w:r>
        <w:rPr>
          <w:i w:val="0"/>
          <w:color w:val="auto"/>
          <w:spacing w:val="1"/>
        </w:rPr>
        <w:t xml:space="preserve"> </w:t>
      </w:r>
      <w:r>
        <w:rPr>
          <w:i w:val="0"/>
          <w:color w:val="auto"/>
          <w:spacing w:val="-3"/>
        </w:rPr>
        <w:t>c</w:t>
      </w:r>
      <w:r>
        <w:rPr>
          <w:i w:val="0"/>
          <w:color w:val="auto"/>
          <w:spacing w:val="-2"/>
        </w:rPr>
        <w:t>l</w:t>
      </w:r>
      <w:r>
        <w:rPr>
          <w:i w:val="0"/>
          <w:color w:val="auto"/>
          <w:spacing w:val="1"/>
        </w:rPr>
        <w:t>i</w:t>
      </w:r>
      <w:r>
        <w:rPr>
          <w:i w:val="0"/>
          <w:color w:val="auto"/>
        </w:rPr>
        <w:t>n</w:t>
      </w:r>
      <w:r>
        <w:rPr>
          <w:i w:val="0"/>
          <w:color w:val="auto"/>
          <w:spacing w:val="-2"/>
        </w:rPr>
        <w:t>i</w:t>
      </w:r>
      <w:r>
        <w:rPr>
          <w:i w:val="0"/>
          <w:color w:val="auto"/>
        </w:rPr>
        <w:t xml:space="preserve">ce, </w:t>
      </w:r>
      <w:r>
        <w:rPr>
          <w:i w:val="0"/>
          <w:color w:val="auto"/>
          <w:spacing w:val="-2"/>
        </w:rPr>
        <w:t>r</w:t>
      </w:r>
      <w:r>
        <w:rPr>
          <w:i w:val="0"/>
          <w:color w:val="auto"/>
        </w:rPr>
        <w:t>e</w:t>
      </w:r>
      <w:r>
        <w:rPr>
          <w:i w:val="0"/>
          <w:color w:val="auto"/>
          <w:spacing w:val="-3"/>
        </w:rPr>
        <w:t>a</w:t>
      </w:r>
      <w:r>
        <w:rPr>
          <w:i w:val="0"/>
          <w:color w:val="auto"/>
        </w:rPr>
        <w:t>c</w:t>
      </w:r>
      <w:r>
        <w:rPr>
          <w:i w:val="0"/>
          <w:color w:val="auto"/>
          <w:spacing w:val="1"/>
        </w:rPr>
        <w:t>ţ</w:t>
      </w:r>
      <w:r>
        <w:rPr>
          <w:i w:val="0"/>
          <w:color w:val="auto"/>
          <w:spacing w:val="-2"/>
        </w:rPr>
        <w:t>i</w:t>
      </w:r>
      <w:r>
        <w:rPr>
          <w:i w:val="0"/>
          <w:color w:val="auto"/>
          <w:spacing w:val="1"/>
        </w:rPr>
        <w:t>i</w:t>
      </w:r>
      <w:r>
        <w:rPr>
          <w:i w:val="0"/>
          <w:color w:val="auto"/>
          <w:spacing w:val="-2"/>
        </w:rPr>
        <w:t>l</w:t>
      </w:r>
      <w:r>
        <w:rPr>
          <w:i w:val="0"/>
          <w:color w:val="auto"/>
        </w:rPr>
        <w:t xml:space="preserve">e </w:t>
      </w:r>
      <w:r>
        <w:rPr>
          <w:i w:val="0"/>
          <w:color w:val="auto"/>
          <w:spacing w:val="-3"/>
        </w:rPr>
        <w:t>a</w:t>
      </w:r>
      <w:r>
        <w:rPr>
          <w:i w:val="0"/>
          <w:color w:val="auto"/>
          <w:spacing w:val="1"/>
        </w:rPr>
        <w:t>l</w:t>
      </w:r>
      <w:r>
        <w:rPr>
          <w:i w:val="0"/>
          <w:color w:val="auto"/>
        </w:rPr>
        <w:t>er</w:t>
      </w:r>
      <w:r>
        <w:rPr>
          <w:i w:val="0"/>
          <w:color w:val="auto"/>
          <w:spacing w:val="-3"/>
        </w:rPr>
        <w:t>g</w:t>
      </w:r>
      <w:r>
        <w:rPr>
          <w:i w:val="0"/>
          <w:color w:val="auto"/>
          <w:spacing w:val="1"/>
        </w:rPr>
        <w:t>i</w:t>
      </w:r>
      <w:r>
        <w:rPr>
          <w:i w:val="0"/>
          <w:color w:val="auto"/>
          <w:spacing w:val="-3"/>
        </w:rPr>
        <w:t>c</w:t>
      </w:r>
      <w:r>
        <w:rPr>
          <w:i w:val="0"/>
          <w:color w:val="auto"/>
        </w:rPr>
        <w:t>e non</w:t>
      </w:r>
      <w:r>
        <w:rPr>
          <w:i w:val="0"/>
          <w:color w:val="auto"/>
          <w:spacing w:val="-4"/>
        </w:rPr>
        <w:t>-</w:t>
      </w:r>
      <w:r>
        <w:rPr>
          <w:i w:val="0"/>
          <w:color w:val="auto"/>
          <w:spacing w:val="-3"/>
        </w:rPr>
        <w:t>g</w:t>
      </w:r>
      <w:r>
        <w:rPr>
          <w:i w:val="0"/>
          <w:color w:val="auto"/>
        </w:rPr>
        <w:t>ra</w:t>
      </w:r>
      <w:r>
        <w:rPr>
          <w:i w:val="0"/>
          <w:color w:val="auto"/>
          <w:spacing w:val="-3"/>
        </w:rPr>
        <w:t>v</w:t>
      </w:r>
      <w:r>
        <w:rPr>
          <w:i w:val="0"/>
          <w:color w:val="auto"/>
        </w:rPr>
        <w:t>e asoc</w:t>
      </w:r>
      <w:r>
        <w:rPr>
          <w:i w:val="0"/>
          <w:color w:val="auto"/>
          <w:spacing w:val="1"/>
        </w:rPr>
        <w:t>i</w:t>
      </w:r>
      <w:r>
        <w:rPr>
          <w:i w:val="0"/>
          <w:color w:val="auto"/>
          <w:spacing w:val="-3"/>
        </w:rPr>
        <w:t>a</w:t>
      </w:r>
      <w:r>
        <w:rPr>
          <w:i w:val="0"/>
          <w:color w:val="auto"/>
          <w:spacing w:val="1"/>
        </w:rPr>
        <w:t>t</w:t>
      </w:r>
      <w:r>
        <w:rPr>
          <w:i w:val="0"/>
          <w:color w:val="auto"/>
        </w:rPr>
        <w:t>e</w:t>
      </w:r>
      <w:r>
        <w:rPr>
          <w:i w:val="0"/>
          <w:color w:val="auto"/>
          <w:spacing w:val="-2"/>
        </w:rPr>
        <w:t xml:space="preserve"> </w:t>
      </w:r>
      <w:r>
        <w:rPr>
          <w:i w:val="0"/>
          <w:color w:val="auto"/>
          <w:spacing w:val="1"/>
        </w:rPr>
        <w:t>t</w:t>
      </w:r>
      <w:r>
        <w:rPr>
          <w:i w:val="0"/>
          <w:color w:val="auto"/>
          <w:spacing w:val="-2"/>
        </w:rPr>
        <w:t>r</w:t>
      </w:r>
      <w:r>
        <w:rPr>
          <w:i w:val="0"/>
          <w:color w:val="auto"/>
        </w:rPr>
        <w:t>a</w:t>
      </w:r>
      <w:r>
        <w:rPr>
          <w:i w:val="0"/>
          <w:color w:val="auto"/>
          <w:spacing w:val="1"/>
        </w:rPr>
        <w:t>t</w:t>
      </w:r>
      <w:r>
        <w:rPr>
          <w:i w:val="0"/>
          <w:color w:val="auto"/>
        </w:rPr>
        <w:t>a</w:t>
      </w:r>
      <w:r>
        <w:rPr>
          <w:i w:val="0"/>
          <w:color w:val="auto"/>
          <w:spacing w:val="-4"/>
        </w:rPr>
        <w:t>m</w:t>
      </w:r>
      <w:r>
        <w:rPr>
          <w:i w:val="0"/>
          <w:color w:val="auto"/>
        </w:rPr>
        <w:t>en</w:t>
      </w:r>
      <w:r>
        <w:rPr>
          <w:i w:val="0"/>
          <w:color w:val="auto"/>
          <w:spacing w:val="1"/>
        </w:rPr>
        <w:t>t</w:t>
      </w:r>
      <w:r>
        <w:rPr>
          <w:i w:val="0"/>
          <w:color w:val="auto"/>
          <w:spacing w:val="-3"/>
        </w:rPr>
        <w:t>u</w:t>
      </w:r>
      <w:r>
        <w:rPr>
          <w:i w:val="0"/>
          <w:color w:val="auto"/>
          <w:spacing w:val="1"/>
        </w:rPr>
        <w:t>l</w:t>
      </w:r>
      <w:r>
        <w:rPr>
          <w:i w:val="0"/>
          <w:color w:val="auto"/>
        </w:rPr>
        <w:t>ui</w:t>
      </w:r>
      <w:r>
        <w:rPr>
          <w:i w:val="0"/>
          <w:color w:val="auto"/>
          <w:spacing w:val="-2"/>
        </w:rPr>
        <w:t xml:space="preserve"> </w:t>
      </w:r>
      <w:r>
        <w:rPr>
          <w:i w:val="0"/>
          <w:color w:val="auto"/>
        </w:rPr>
        <w:t xml:space="preserve">cu </w:t>
      </w:r>
      <w:r>
        <w:rPr>
          <w:i w:val="0"/>
          <w:color w:val="auto"/>
          <w:spacing w:val="-1"/>
        </w:rPr>
        <w:t>adalimumab</w:t>
      </w:r>
      <w:r>
        <w:rPr>
          <w:i w:val="0"/>
          <w:color w:val="auto"/>
        </w:rPr>
        <w:t xml:space="preserve"> au f</w:t>
      </w:r>
      <w:r>
        <w:rPr>
          <w:i w:val="0"/>
          <w:color w:val="auto"/>
          <w:spacing w:val="-3"/>
        </w:rPr>
        <w:t>o</w:t>
      </w:r>
      <w:r>
        <w:rPr>
          <w:i w:val="0"/>
          <w:color w:val="auto"/>
        </w:rPr>
        <w:t>st</w:t>
      </w:r>
      <w:r>
        <w:rPr>
          <w:i w:val="0"/>
          <w:color w:val="auto"/>
          <w:spacing w:val="-2"/>
        </w:rPr>
        <w:t xml:space="preserve"> </w:t>
      </w:r>
      <w:r>
        <w:rPr>
          <w:i w:val="0"/>
          <w:color w:val="auto"/>
        </w:rPr>
        <w:t>rap</w:t>
      </w:r>
      <w:r>
        <w:rPr>
          <w:i w:val="0"/>
          <w:color w:val="auto"/>
          <w:spacing w:val="-3"/>
        </w:rPr>
        <w:t>o</w:t>
      </w:r>
      <w:r>
        <w:rPr>
          <w:i w:val="0"/>
          <w:color w:val="auto"/>
        </w:rPr>
        <w:t>r</w:t>
      </w:r>
      <w:r>
        <w:rPr>
          <w:i w:val="0"/>
          <w:color w:val="auto"/>
          <w:spacing w:val="-2"/>
        </w:rPr>
        <w:t>t</w:t>
      </w:r>
      <w:r>
        <w:rPr>
          <w:i w:val="0"/>
          <w:color w:val="auto"/>
        </w:rPr>
        <w:t>a</w:t>
      </w:r>
      <w:r>
        <w:rPr>
          <w:i w:val="0"/>
          <w:color w:val="auto"/>
          <w:spacing w:val="1"/>
        </w:rPr>
        <w:t>t</w:t>
      </w:r>
      <w:r>
        <w:rPr>
          <w:i w:val="0"/>
          <w:color w:val="auto"/>
        </w:rPr>
        <w:t xml:space="preserve">e ca </w:t>
      </w:r>
      <w:r>
        <w:rPr>
          <w:i w:val="0"/>
          <w:color w:val="auto"/>
          <w:spacing w:val="-2"/>
        </w:rPr>
        <w:t>f</w:t>
      </w:r>
      <w:r>
        <w:rPr>
          <w:i w:val="0"/>
          <w:color w:val="auto"/>
          <w:spacing w:val="1"/>
        </w:rPr>
        <w:t>ii</w:t>
      </w:r>
      <w:r>
        <w:rPr>
          <w:i w:val="0"/>
          <w:color w:val="auto"/>
          <w:spacing w:val="-3"/>
        </w:rPr>
        <w:t>n</w:t>
      </w:r>
      <w:r>
        <w:rPr>
          <w:i w:val="0"/>
          <w:color w:val="auto"/>
        </w:rPr>
        <w:t xml:space="preserve">d </w:t>
      </w:r>
      <w:r>
        <w:rPr>
          <w:i w:val="0"/>
          <w:color w:val="auto"/>
          <w:spacing w:val="-4"/>
        </w:rPr>
        <w:t>m</w:t>
      </w:r>
      <w:r>
        <w:rPr>
          <w:i w:val="0"/>
          <w:color w:val="auto"/>
        </w:rPr>
        <w:t>ai</w:t>
      </w:r>
      <w:r>
        <w:rPr>
          <w:i w:val="0"/>
          <w:color w:val="auto"/>
          <w:spacing w:val="1"/>
        </w:rPr>
        <w:t xml:space="preserve"> </w:t>
      </w:r>
      <w:r>
        <w:rPr>
          <w:i w:val="0"/>
          <w:color w:val="auto"/>
        </w:rPr>
        <w:t>pu</w:t>
      </w:r>
      <w:r>
        <w:rPr>
          <w:i w:val="0"/>
          <w:color w:val="auto"/>
          <w:spacing w:val="-2"/>
        </w:rPr>
        <w:t>ţ</w:t>
      </w:r>
      <w:r>
        <w:rPr>
          <w:i w:val="0"/>
          <w:color w:val="auto"/>
          <w:spacing w:val="1"/>
        </w:rPr>
        <w:t>i</w:t>
      </w:r>
      <w:r>
        <w:rPr>
          <w:i w:val="0"/>
          <w:color w:val="auto"/>
        </w:rPr>
        <w:t xml:space="preserve">n </w:t>
      </w:r>
      <w:r>
        <w:rPr>
          <w:i w:val="0"/>
          <w:color w:val="auto"/>
          <w:spacing w:val="-2"/>
        </w:rPr>
        <w:t>f</w:t>
      </w:r>
      <w:r>
        <w:rPr>
          <w:i w:val="0"/>
          <w:color w:val="auto"/>
        </w:rPr>
        <w:t>rec</w:t>
      </w:r>
      <w:r>
        <w:rPr>
          <w:i w:val="0"/>
          <w:color w:val="auto"/>
          <w:spacing w:val="-3"/>
        </w:rPr>
        <w:t>v</w:t>
      </w:r>
      <w:r>
        <w:rPr>
          <w:i w:val="0"/>
          <w:color w:val="auto"/>
        </w:rPr>
        <w:t>e</w:t>
      </w:r>
      <w:r>
        <w:rPr>
          <w:i w:val="0"/>
          <w:color w:val="auto"/>
          <w:spacing w:val="-3"/>
        </w:rPr>
        <w:t>n</w:t>
      </w:r>
      <w:r>
        <w:rPr>
          <w:i w:val="0"/>
          <w:color w:val="auto"/>
          <w:spacing w:val="1"/>
        </w:rPr>
        <w:t>t</w:t>
      </w:r>
      <w:r>
        <w:rPr>
          <w:i w:val="0"/>
          <w:color w:val="auto"/>
          <w:spacing w:val="-3"/>
        </w:rPr>
        <w:t>e</w:t>
      </w:r>
      <w:r>
        <w:rPr>
          <w:i w:val="0"/>
          <w:color w:val="auto"/>
        </w:rPr>
        <w:t xml:space="preserve">. </w:t>
      </w:r>
      <w:r>
        <w:rPr>
          <w:i w:val="0"/>
          <w:color w:val="auto"/>
          <w:spacing w:val="-1"/>
        </w:rPr>
        <w:t>D</w:t>
      </w:r>
      <w:r>
        <w:rPr>
          <w:i w:val="0"/>
          <w:color w:val="auto"/>
        </w:rPr>
        <w:t>upă ad</w:t>
      </w:r>
      <w:r>
        <w:rPr>
          <w:i w:val="0"/>
          <w:color w:val="auto"/>
          <w:spacing w:val="-4"/>
        </w:rPr>
        <w:t>m</w:t>
      </w:r>
      <w:r>
        <w:rPr>
          <w:i w:val="0"/>
          <w:color w:val="auto"/>
          <w:spacing w:val="1"/>
        </w:rPr>
        <w:t>i</w:t>
      </w:r>
      <w:r>
        <w:rPr>
          <w:i w:val="0"/>
          <w:color w:val="auto"/>
        </w:rPr>
        <w:t>n</w:t>
      </w:r>
      <w:r>
        <w:rPr>
          <w:i w:val="0"/>
          <w:color w:val="auto"/>
          <w:spacing w:val="1"/>
        </w:rPr>
        <w:t>i</w:t>
      </w:r>
      <w:r>
        <w:rPr>
          <w:i w:val="0"/>
          <w:color w:val="auto"/>
          <w:spacing w:val="-2"/>
        </w:rPr>
        <w:t>s</w:t>
      </w:r>
      <w:r>
        <w:rPr>
          <w:i w:val="0"/>
          <w:color w:val="auto"/>
          <w:spacing w:val="1"/>
        </w:rPr>
        <w:t>t</w:t>
      </w:r>
      <w:r>
        <w:rPr>
          <w:i w:val="0"/>
          <w:color w:val="auto"/>
          <w:spacing w:val="-2"/>
        </w:rPr>
        <w:t>r</w:t>
      </w:r>
      <w:r>
        <w:rPr>
          <w:i w:val="0"/>
          <w:color w:val="auto"/>
        </w:rPr>
        <w:t>ar</w:t>
      </w:r>
      <w:r>
        <w:rPr>
          <w:i w:val="0"/>
          <w:color w:val="auto"/>
          <w:spacing w:val="-3"/>
        </w:rPr>
        <w:t>e</w:t>
      </w:r>
      <w:r>
        <w:rPr>
          <w:i w:val="0"/>
          <w:color w:val="auto"/>
        </w:rPr>
        <w:t xml:space="preserve">a </w:t>
      </w:r>
      <w:r>
        <w:rPr>
          <w:i w:val="0"/>
          <w:color w:val="auto"/>
          <w:spacing w:val="-1"/>
        </w:rPr>
        <w:t>adalimumab</w:t>
      </w:r>
      <w:r>
        <w:rPr>
          <w:i w:val="0"/>
          <w:color w:val="auto"/>
        </w:rPr>
        <w:t>, au</w:t>
      </w:r>
      <w:r>
        <w:rPr>
          <w:i w:val="0"/>
          <w:color w:val="auto"/>
          <w:spacing w:val="-3"/>
        </w:rPr>
        <w:t xml:space="preserve"> </w:t>
      </w:r>
      <w:r>
        <w:rPr>
          <w:i w:val="0"/>
          <w:color w:val="auto"/>
        </w:rPr>
        <w:t>fo</w:t>
      </w:r>
      <w:r>
        <w:rPr>
          <w:i w:val="0"/>
          <w:color w:val="auto"/>
          <w:spacing w:val="-2"/>
        </w:rPr>
        <w:t>s</w:t>
      </w:r>
      <w:r>
        <w:rPr>
          <w:i w:val="0"/>
          <w:color w:val="auto"/>
        </w:rPr>
        <w:t>t</w:t>
      </w:r>
      <w:r>
        <w:rPr>
          <w:i w:val="0"/>
          <w:color w:val="auto"/>
          <w:spacing w:val="-2"/>
        </w:rPr>
        <w:t xml:space="preserve"> </w:t>
      </w:r>
      <w:r>
        <w:rPr>
          <w:i w:val="0"/>
          <w:color w:val="auto"/>
        </w:rPr>
        <w:t>rap</w:t>
      </w:r>
      <w:r>
        <w:rPr>
          <w:i w:val="0"/>
          <w:color w:val="auto"/>
          <w:spacing w:val="-3"/>
        </w:rPr>
        <w:t>o</w:t>
      </w:r>
      <w:r>
        <w:rPr>
          <w:i w:val="0"/>
          <w:color w:val="auto"/>
        </w:rPr>
        <w:t>r</w:t>
      </w:r>
      <w:r>
        <w:rPr>
          <w:i w:val="0"/>
          <w:color w:val="auto"/>
          <w:spacing w:val="1"/>
        </w:rPr>
        <w:t>t</w:t>
      </w:r>
      <w:r>
        <w:rPr>
          <w:i w:val="0"/>
          <w:color w:val="auto"/>
          <w:spacing w:val="-3"/>
        </w:rPr>
        <w:t>a</w:t>
      </w:r>
      <w:r>
        <w:rPr>
          <w:i w:val="0"/>
          <w:color w:val="auto"/>
          <w:spacing w:val="1"/>
        </w:rPr>
        <w:t>t</w:t>
      </w:r>
      <w:r>
        <w:rPr>
          <w:i w:val="0"/>
          <w:color w:val="auto"/>
        </w:rPr>
        <w:t>e</w:t>
      </w:r>
      <w:r>
        <w:rPr>
          <w:i w:val="0"/>
          <w:color w:val="auto"/>
          <w:spacing w:val="-2"/>
        </w:rPr>
        <w:t xml:space="preserve"> </w:t>
      </w:r>
      <w:r>
        <w:rPr>
          <w:i w:val="0"/>
          <w:color w:val="auto"/>
        </w:rPr>
        <w:t>r</w:t>
      </w:r>
      <w:r>
        <w:rPr>
          <w:i w:val="0"/>
          <w:color w:val="auto"/>
          <w:spacing w:val="-3"/>
        </w:rPr>
        <w:t>e</w:t>
      </w:r>
      <w:r>
        <w:rPr>
          <w:i w:val="0"/>
          <w:color w:val="auto"/>
        </w:rPr>
        <w:t>ac</w:t>
      </w:r>
      <w:r>
        <w:rPr>
          <w:i w:val="0"/>
          <w:color w:val="auto"/>
          <w:spacing w:val="-2"/>
        </w:rPr>
        <w:t>ţ</w:t>
      </w:r>
      <w:r>
        <w:rPr>
          <w:i w:val="0"/>
          <w:color w:val="auto"/>
          <w:spacing w:val="1"/>
        </w:rPr>
        <w:t>i</w:t>
      </w:r>
      <w:r>
        <w:rPr>
          <w:i w:val="0"/>
          <w:color w:val="auto"/>
        </w:rPr>
        <w:t>i</w:t>
      </w:r>
      <w:r>
        <w:rPr>
          <w:i w:val="0"/>
          <w:color w:val="auto"/>
          <w:spacing w:val="-2"/>
        </w:rPr>
        <w:t xml:space="preserve"> </w:t>
      </w:r>
      <w:r>
        <w:rPr>
          <w:i w:val="0"/>
          <w:color w:val="auto"/>
        </w:rPr>
        <w:t>a</w:t>
      </w:r>
      <w:r>
        <w:rPr>
          <w:i w:val="0"/>
          <w:color w:val="auto"/>
          <w:spacing w:val="1"/>
        </w:rPr>
        <w:t>l</w:t>
      </w:r>
      <w:r>
        <w:rPr>
          <w:i w:val="0"/>
          <w:color w:val="auto"/>
          <w:spacing w:val="-3"/>
        </w:rPr>
        <w:t>e</w:t>
      </w:r>
      <w:r>
        <w:rPr>
          <w:i w:val="0"/>
          <w:color w:val="auto"/>
        </w:rPr>
        <w:t>r</w:t>
      </w:r>
      <w:r>
        <w:rPr>
          <w:i w:val="0"/>
          <w:color w:val="auto"/>
          <w:spacing w:val="-3"/>
        </w:rPr>
        <w:t>g</w:t>
      </w:r>
      <w:r>
        <w:rPr>
          <w:i w:val="0"/>
          <w:color w:val="auto"/>
          <w:spacing w:val="1"/>
        </w:rPr>
        <w:t>i</w:t>
      </w:r>
      <w:r>
        <w:rPr>
          <w:i w:val="0"/>
          <w:color w:val="auto"/>
        </w:rPr>
        <w:t xml:space="preserve">ce </w:t>
      </w:r>
      <w:r>
        <w:rPr>
          <w:i w:val="0"/>
          <w:color w:val="auto"/>
          <w:spacing w:val="-3"/>
        </w:rPr>
        <w:t>g</w:t>
      </w:r>
      <w:r>
        <w:rPr>
          <w:i w:val="0"/>
          <w:color w:val="auto"/>
        </w:rPr>
        <w:t>ra</w:t>
      </w:r>
      <w:r>
        <w:rPr>
          <w:i w:val="0"/>
          <w:color w:val="auto"/>
          <w:spacing w:val="-3"/>
        </w:rPr>
        <w:t>v</w:t>
      </w:r>
      <w:r>
        <w:rPr>
          <w:i w:val="0"/>
          <w:color w:val="auto"/>
        </w:rPr>
        <w:t xml:space="preserve">e, </w:t>
      </w:r>
      <w:r>
        <w:rPr>
          <w:i w:val="0"/>
          <w:color w:val="auto"/>
          <w:spacing w:val="1"/>
        </w:rPr>
        <w:t>i</w:t>
      </w:r>
      <w:r>
        <w:rPr>
          <w:i w:val="0"/>
          <w:color w:val="auto"/>
        </w:rPr>
        <w:t>n</w:t>
      </w:r>
      <w:r>
        <w:rPr>
          <w:i w:val="0"/>
          <w:color w:val="auto"/>
          <w:spacing w:val="-3"/>
        </w:rPr>
        <w:t>c</w:t>
      </w:r>
      <w:r>
        <w:rPr>
          <w:i w:val="0"/>
          <w:color w:val="auto"/>
          <w:spacing w:val="1"/>
        </w:rPr>
        <w:t>l</w:t>
      </w:r>
      <w:r>
        <w:rPr>
          <w:i w:val="0"/>
          <w:color w:val="auto"/>
        </w:rPr>
        <w:t>u</w:t>
      </w:r>
      <w:r>
        <w:rPr>
          <w:i w:val="0"/>
          <w:color w:val="auto"/>
          <w:spacing w:val="-2"/>
        </w:rPr>
        <w:t>s</w:t>
      </w:r>
      <w:r>
        <w:rPr>
          <w:i w:val="0"/>
          <w:color w:val="auto"/>
          <w:spacing w:val="1"/>
        </w:rPr>
        <w:t>i</w:t>
      </w:r>
      <w:r>
        <w:rPr>
          <w:i w:val="0"/>
          <w:color w:val="auto"/>
        </w:rPr>
        <w:t>v</w:t>
      </w:r>
      <w:r>
        <w:rPr>
          <w:i w:val="0"/>
          <w:color w:val="auto"/>
          <w:spacing w:val="-3"/>
        </w:rPr>
        <w:t xml:space="preserve"> </w:t>
      </w:r>
      <w:r>
        <w:rPr>
          <w:i w:val="0"/>
          <w:color w:val="auto"/>
        </w:rPr>
        <w:t>ana</w:t>
      </w:r>
      <w:r>
        <w:rPr>
          <w:i w:val="0"/>
          <w:color w:val="auto"/>
          <w:spacing w:val="-2"/>
        </w:rPr>
        <w:t>f</w:t>
      </w:r>
      <w:r>
        <w:rPr>
          <w:i w:val="0"/>
          <w:color w:val="auto"/>
        </w:rPr>
        <w:t>i</w:t>
      </w:r>
      <w:r>
        <w:rPr>
          <w:i w:val="0"/>
          <w:color w:val="auto"/>
          <w:spacing w:val="1"/>
        </w:rPr>
        <w:t>l</w:t>
      </w:r>
      <w:r>
        <w:rPr>
          <w:i w:val="0"/>
          <w:color w:val="auto"/>
          <w:spacing w:val="-3"/>
        </w:rPr>
        <w:t>a</w:t>
      </w:r>
      <w:r>
        <w:rPr>
          <w:i w:val="0"/>
          <w:color w:val="auto"/>
        </w:rPr>
        <w:t>x</w:t>
      </w:r>
      <w:r>
        <w:rPr>
          <w:i w:val="0"/>
          <w:color w:val="auto"/>
          <w:spacing w:val="1"/>
        </w:rPr>
        <w:t>i</w:t>
      </w:r>
      <w:r>
        <w:rPr>
          <w:i w:val="0"/>
          <w:color w:val="auto"/>
          <w:spacing w:val="-3"/>
        </w:rPr>
        <w:t>e</w:t>
      </w:r>
      <w:r>
        <w:rPr>
          <w:i w:val="0"/>
          <w:color w:val="auto"/>
        </w:rPr>
        <w:t xml:space="preserve">. </w:t>
      </w:r>
      <w:r>
        <w:rPr>
          <w:i w:val="0"/>
          <w:color w:val="auto"/>
          <w:spacing w:val="-1"/>
        </w:rPr>
        <w:t>D</w:t>
      </w:r>
      <w:r>
        <w:rPr>
          <w:i w:val="0"/>
          <w:color w:val="auto"/>
        </w:rPr>
        <w:t>acă</w:t>
      </w:r>
      <w:r>
        <w:rPr>
          <w:i w:val="0"/>
          <w:color w:val="auto"/>
          <w:spacing w:val="-2"/>
        </w:rPr>
        <w:t xml:space="preserve"> </w:t>
      </w:r>
      <w:r>
        <w:rPr>
          <w:i w:val="0"/>
          <w:color w:val="auto"/>
        </w:rPr>
        <w:t>a</w:t>
      </w:r>
      <w:r>
        <w:rPr>
          <w:i w:val="0"/>
          <w:color w:val="auto"/>
          <w:spacing w:val="-3"/>
        </w:rPr>
        <w:t>p</w:t>
      </w:r>
      <w:r>
        <w:rPr>
          <w:i w:val="0"/>
          <w:color w:val="auto"/>
        </w:rPr>
        <w:t>are o</w:t>
      </w:r>
      <w:r>
        <w:rPr>
          <w:i w:val="0"/>
          <w:color w:val="auto"/>
          <w:spacing w:val="-3"/>
        </w:rPr>
        <w:t xml:space="preserve"> </w:t>
      </w:r>
      <w:r>
        <w:rPr>
          <w:i w:val="0"/>
          <w:color w:val="auto"/>
        </w:rPr>
        <w:t>r</w:t>
      </w:r>
      <w:r>
        <w:rPr>
          <w:i w:val="0"/>
          <w:color w:val="auto"/>
          <w:spacing w:val="-3"/>
        </w:rPr>
        <w:t>e</w:t>
      </w:r>
      <w:r>
        <w:rPr>
          <w:i w:val="0"/>
          <w:color w:val="auto"/>
        </w:rPr>
        <w:t>ac</w:t>
      </w:r>
      <w:r>
        <w:rPr>
          <w:i w:val="0"/>
          <w:color w:val="auto"/>
          <w:spacing w:val="-2"/>
        </w:rPr>
        <w:t>ţ</w:t>
      </w:r>
      <w:r>
        <w:rPr>
          <w:i w:val="0"/>
          <w:color w:val="auto"/>
          <w:spacing w:val="1"/>
        </w:rPr>
        <w:t>i</w:t>
      </w:r>
      <w:r>
        <w:rPr>
          <w:i w:val="0"/>
          <w:color w:val="auto"/>
        </w:rPr>
        <w:t>e</w:t>
      </w:r>
      <w:r>
        <w:rPr>
          <w:i w:val="0"/>
          <w:color w:val="auto"/>
          <w:spacing w:val="-2"/>
        </w:rPr>
        <w:t xml:space="preserve"> </w:t>
      </w:r>
      <w:r>
        <w:rPr>
          <w:i w:val="0"/>
          <w:color w:val="auto"/>
        </w:rPr>
        <w:t>an</w:t>
      </w:r>
      <w:r>
        <w:rPr>
          <w:i w:val="0"/>
          <w:color w:val="auto"/>
          <w:spacing w:val="-3"/>
        </w:rPr>
        <w:t>a</w:t>
      </w:r>
      <w:r>
        <w:rPr>
          <w:i w:val="0"/>
          <w:color w:val="auto"/>
        </w:rPr>
        <w:t>f</w:t>
      </w:r>
      <w:r>
        <w:rPr>
          <w:i w:val="0"/>
          <w:color w:val="auto"/>
          <w:spacing w:val="-2"/>
        </w:rPr>
        <w:t>i</w:t>
      </w:r>
      <w:r>
        <w:rPr>
          <w:i w:val="0"/>
          <w:color w:val="auto"/>
          <w:spacing w:val="1"/>
        </w:rPr>
        <w:t>l</w:t>
      </w:r>
      <w:r>
        <w:rPr>
          <w:i w:val="0"/>
          <w:color w:val="auto"/>
        </w:rPr>
        <w:t>a</w:t>
      </w:r>
      <w:r>
        <w:rPr>
          <w:i w:val="0"/>
          <w:color w:val="auto"/>
          <w:spacing w:val="-3"/>
        </w:rPr>
        <w:t>c</w:t>
      </w:r>
      <w:r>
        <w:rPr>
          <w:i w:val="0"/>
          <w:color w:val="auto"/>
          <w:spacing w:val="1"/>
        </w:rPr>
        <w:t>t</w:t>
      </w:r>
      <w:r>
        <w:rPr>
          <w:i w:val="0"/>
          <w:color w:val="auto"/>
          <w:spacing w:val="-2"/>
        </w:rPr>
        <w:t>i</w:t>
      </w:r>
      <w:r>
        <w:rPr>
          <w:i w:val="0"/>
          <w:color w:val="auto"/>
        </w:rPr>
        <w:t xml:space="preserve">că </w:t>
      </w:r>
      <w:r>
        <w:rPr>
          <w:i w:val="0"/>
          <w:color w:val="auto"/>
          <w:spacing w:val="-2"/>
        </w:rPr>
        <w:t>s</w:t>
      </w:r>
      <w:r>
        <w:rPr>
          <w:i w:val="0"/>
          <w:color w:val="auto"/>
          <w:spacing w:val="-3"/>
        </w:rPr>
        <w:t>a</w:t>
      </w:r>
      <w:r>
        <w:rPr>
          <w:i w:val="0"/>
          <w:color w:val="auto"/>
        </w:rPr>
        <w:t>u a</w:t>
      </w:r>
      <w:r>
        <w:rPr>
          <w:i w:val="0"/>
          <w:color w:val="auto"/>
          <w:spacing w:val="-2"/>
        </w:rPr>
        <w:t>l</w:t>
      </w:r>
      <w:r>
        <w:rPr>
          <w:i w:val="0"/>
          <w:color w:val="auto"/>
          <w:spacing w:val="1"/>
        </w:rPr>
        <w:t>t</w:t>
      </w:r>
      <w:r>
        <w:rPr>
          <w:i w:val="0"/>
          <w:color w:val="auto"/>
        </w:rPr>
        <w:t xml:space="preserve">ă </w:t>
      </w:r>
      <w:r>
        <w:rPr>
          <w:i w:val="0"/>
          <w:color w:val="auto"/>
          <w:spacing w:val="-2"/>
        </w:rPr>
        <w:t>r</w:t>
      </w:r>
      <w:r>
        <w:rPr>
          <w:i w:val="0"/>
          <w:color w:val="auto"/>
        </w:rPr>
        <w:t>ea</w:t>
      </w:r>
      <w:r>
        <w:rPr>
          <w:i w:val="0"/>
          <w:color w:val="auto"/>
          <w:spacing w:val="-3"/>
        </w:rPr>
        <w:t>c</w:t>
      </w:r>
      <w:r>
        <w:rPr>
          <w:i w:val="0"/>
          <w:color w:val="auto"/>
          <w:spacing w:val="1"/>
        </w:rPr>
        <w:t>ţ</w:t>
      </w:r>
      <w:r>
        <w:rPr>
          <w:i w:val="0"/>
          <w:color w:val="auto"/>
          <w:spacing w:val="-2"/>
        </w:rPr>
        <w:t>i</w:t>
      </w:r>
      <w:r>
        <w:rPr>
          <w:i w:val="0"/>
          <w:color w:val="auto"/>
        </w:rPr>
        <w:t xml:space="preserve">e </w:t>
      </w:r>
      <w:r>
        <w:rPr>
          <w:i w:val="0"/>
          <w:color w:val="auto"/>
          <w:spacing w:val="-3"/>
        </w:rPr>
        <w:t>a</w:t>
      </w:r>
      <w:r>
        <w:rPr>
          <w:i w:val="0"/>
          <w:color w:val="auto"/>
          <w:spacing w:val="1"/>
        </w:rPr>
        <w:t>l</w:t>
      </w:r>
      <w:r>
        <w:rPr>
          <w:i w:val="0"/>
          <w:color w:val="auto"/>
        </w:rPr>
        <w:t>er</w:t>
      </w:r>
      <w:r>
        <w:rPr>
          <w:i w:val="0"/>
          <w:color w:val="auto"/>
          <w:spacing w:val="-3"/>
        </w:rPr>
        <w:t>g</w:t>
      </w:r>
      <w:r>
        <w:rPr>
          <w:i w:val="0"/>
          <w:color w:val="auto"/>
          <w:spacing w:val="1"/>
        </w:rPr>
        <w:t>i</w:t>
      </w:r>
      <w:r>
        <w:rPr>
          <w:i w:val="0"/>
          <w:color w:val="auto"/>
          <w:spacing w:val="-3"/>
        </w:rPr>
        <w:t>c</w:t>
      </w:r>
      <w:r>
        <w:rPr>
          <w:i w:val="0"/>
          <w:color w:val="auto"/>
        </w:rPr>
        <w:t xml:space="preserve">ă </w:t>
      </w:r>
      <w:r>
        <w:rPr>
          <w:i w:val="0"/>
          <w:color w:val="auto"/>
          <w:spacing w:val="-3"/>
        </w:rPr>
        <w:t>g</w:t>
      </w:r>
      <w:r>
        <w:rPr>
          <w:i w:val="0"/>
          <w:color w:val="auto"/>
        </w:rPr>
        <w:t>ra</w:t>
      </w:r>
      <w:r>
        <w:rPr>
          <w:i w:val="0"/>
          <w:color w:val="auto"/>
          <w:spacing w:val="-3"/>
        </w:rPr>
        <w:t>v</w:t>
      </w:r>
      <w:r>
        <w:rPr>
          <w:i w:val="0"/>
          <w:color w:val="auto"/>
        </w:rPr>
        <w:t>ă, ad</w:t>
      </w:r>
      <w:r>
        <w:rPr>
          <w:i w:val="0"/>
          <w:color w:val="auto"/>
          <w:spacing w:val="-4"/>
        </w:rPr>
        <w:t>m</w:t>
      </w:r>
      <w:r>
        <w:rPr>
          <w:i w:val="0"/>
          <w:color w:val="auto"/>
          <w:spacing w:val="1"/>
        </w:rPr>
        <w:t>i</w:t>
      </w:r>
      <w:r>
        <w:rPr>
          <w:i w:val="0"/>
          <w:color w:val="auto"/>
        </w:rPr>
        <w:t>n</w:t>
      </w:r>
      <w:r>
        <w:rPr>
          <w:i w:val="0"/>
          <w:color w:val="auto"/>
          <w:spacing w:val="1"/>
        </w:rPr>
        <w:t>i</w:t>
      </w:r>
      <w:r>
        <w:rPr>
          <w:i w:val="0"/>
          <w:color w:val="auto"/>
        </w:rPr>
        <w:t>s</w:t>
      </w:r>
      <w:r>
        <w:rPr>
          <w:i w:val="0"/>
          <w:color w:val="auto"/>
          <w:spacing w:val="-2"/>
        </w:rPr>
        <w:t>t</w:t>
      </w:r>
      <w:r>
        <w:rPr>
          <w:i w:val="0"/>
          <w:color w:val="auto"/>
        </w:rPr>
        <w:t>r</w:t>
      </w:r>
      <w:r>
        <w:rPr>
          <w:i w:val="0"/>
          <w:color w:val="auto"/>
          <w:spacing w:val="-3"/>
        </w:rPr>
        <w:t>a</w:t>
      </w:r>
      <w:r>
        <w:rPr>
          <w:i w:val="0"/>
          <w:color w:val="auto"/>
        </w:rPr>
        <w:t>rea</w:t>
      </w:r>
      <w:r>
        <w:rPr>
          <w:i w:val="0"/>
          <w:color w:val="auto"/>
          <w:spacing w:val="-2"/>
        </w:rPr>
        <w:t xml:space="preserve"> </w:t>
      </w:r>
      <w:r>
        <w:rPr>
          <w:i w:val="0"/>
          <w:color w:val="auto"/>
        </w:rPr>
        <w:t xml:space="preserve">de </w:t>
      </w:r>
      <w:r>
        <w:rPr>
          <w:i w:val="0"/>
          <w:color w:val="auto"/>
          <w:spacing w:val="-1"/>
        </w:rPr>
        <w:t>AMGEVITA</w:t>
      </w:r>
      <w:r>
        <w:rPr>
          <w:i w:val="0"/>
          <w:color w:val="auto"/>
        </w:rPr>
        <w:t xml:space="preserve"> </w:t>
      </w:r>
      <w:r>
        <w:rPr>
          <w:i w:val="0"/>
          <w:color w:val="auto"/>
          <w:spacing w:val="1"/>
        </w:rPr>
        <w:t>t</w:t>
      </w:r>
      <w:r>
        <w:rPr>
          <w:i w:val="0"/>
          <w:color w:val="auto"/>
        </w:rPr>
        <w:t>r</w:t>
      </w:r>
      <w:r>
        <w:rPr>
          <w:i w:val="0"/>
          <w:color w:val="auto"/>
          <w:spacing w:val="-3"/>
        </w:rPr>
        <w:t>e</w:t>
      </w:r>
      <w:r>
        <w:rPr>
          <w:i w:val="0"/>
          <w:color w:val="auto"/>
        </w:rPr>
        <w:t>bu</w:t>
      </w:r>
      <w:r>
        <w:rPr>
          <w:i w:val="0"/>
          <w:color w:val="auto"/>
          <w:spacing w:val="-2"/>
        </w:rPr>
        <w:t>i</w:t>
      </w:r>
      <w:r>
        <w:rPr>
          <w:i w:val="0"/>
          <w:color w:val="auto"/>
        </w:rPr>
        <w:t xml:space="preserve">e </w:t>
      </w:r>
      <w:r>
        <w:rPr>
          <w:i w:val="0"/>
          <w:color w:val="auto"/>
          <w:spacing w:val="1"/>
        </w:rPr>
        <w:t>î</w:t>
      </w:r>
      <w:r>
        <w:rPr>
          <w:i w:val="0"/>
          <w:color w:val="auto"/>
          <w:spacing w:val="-3"/>
        </w:rPr>
        <w:t>n</w:t>
      </w:r>
      <w:r>
        <w:rPr>
          <w:i w:val="0"/>
          <w:color w:val="auto"/>
          <w:spacing w:val="1"/>
        </w:rPr>
        <w:t>t</w:t>
      </w:r>
      <w:r>
        <w:rPr>
          <w:i w:val="0"/>
          <w:color w:val="auto"/>
          <w:spacing w:val="-2"/>
        </w:rPr>
        <w:t>r</w:t>
      </w:r>
      <w:r>
        <w:rPr>
          <w:i w:val="0"/>
          <w:color w:val="auto"/>
        </w:rPr>
        <w:t>eru</w:t>
      </w:r>
      <w:r>
        <w:rPr>
          <w:i w:val="0"/>
          <w:color w:val="auto"/>
          <w:spacing w:val="-3"/>
        </w:rPr>
        <w:t>p</w:t>
      </w:r>
      <w:r>
        <w:rPr>
          <w:i w:val="0"/>
          <w:color w:val="auto"/>
          <w:spacing w:val="1"/>
        </w:rPr>
        <w:t>t</w:t>
      </w:r>
      <w:r>
        <w:rPr>
          <w:i w:val="0"/>
          <w:color w:val="auto"/>
        </w:rPr>
        <w:t>ă</w:t>
      </w:r>
      <w:r>
        <w:rPr>
          <w:i w:val="0"/>
          <w:color w:val="auto"/>
          <w:spacing w:val="-2"/>
        </w:rPr>
        <w:t xml:space="preserve"> i</w:t>
      </w:r>
      <w:r>
        <w:rPr>
          <w:i w:val="0"/>
          <w:color w:val="auto"/>
          <w:spacing w:val="-4"/>
        </w:rPr>
        <w:t>m</w:t>
      </w:r>
      <w:r>
        <w:rPr>
          <w:i w:val="0"/>
          <w:color w:val="auto"/>
        </w:rPr>
        <w:t>ed</w:t>
      </w:r>
      <w:r>
        <w:rPr>
          <w:i w:val="0"/>
          <w:color w:val="auto"/>
          <w:spacing w:val="1"/>
        </w:rPr>
        <w:t>i</w:t>
      </w:r>
      <w:r>
        <w:rPr>
          <w:i w:val="0"/>
          <w:color w:val="auto"/>
        </w:rPr>
        <w:t>at</w:t>
      </w:r>
      <w:r>
        <w:rPr>
          <w:i w:val="0"/>
          <w:color w:val="auto"/>
          <w:spacing w:val="1"/>
        </w:rPr>
        <w:t xml:space="preserve"> </w:t>
      </w:r>
      <w:r>
        <w:rPr>
          <w:i w:val="0"/>
          <w:color w:val="auto"/>
        </w:rPr>
        <w:t>şi</w:t>
      </w:r>
      <w:r>
        <w:rPr>
          <w:i w:val="0"/>
          <w:color w:val="auto"/>
          <w:spacing w:val="-2"/>
        </w:rPr>
        <w:t xml:space="preserve"> t</w:t>
      </w:r>
      <w:r>
        <w:rPr>
          <w:i w:val="0"/>
          <w:color w:val="auto"/>
        </w:rPr>
        <w:t>reb</w:t>
      </w:r>
      <w:r>
        <w:rPr>
          <w:i w:val="0"/>
          <w:color w:val="auto"/>
          <w:spacing w:val="-3"/>
        </w:rPr>
        <w:t>u</w:t>
      </w:r>
      <w:r>
        <w:rPr>
          <w:i w:val="0"/>
          <w:color w:val="auto"/>
          <w:spacing w:val="1"/>
        </w:rPr>
        <w:t>i</w:t>
      </w:r>
      <w:r>
        <w:rPr>
          <w:i w:val="0"/>
          <w:color w:val="auto"/>
        </w:rPr>
        <w:t>e</w:t>
      </w:r>
      <w:r>
        <w:rPr>
          <w:i w:val="0"/>
          <w:color w:val="auto"/>
          <w:spacing w:val="-2"/>
        </w:rPr>
        <w:t xml:space="preserve"> </w:t>
      </w:r>
      <w:r>
        <w:rPr>
          <w:i w:val="0"/>
          <w:color w:val="auto"/>
          <w:spacing w:val="1"/>
        </w:rPr>
        <w:t>i</w:t>
      </w:r>
      <w:r>
        <w:rPr>
          <w:i w:val="0"/>
          <w:color w:val="auto"/>
        </w:rPr>
        <w:t>n</w:t>
      </w:r>
      <w:r>
        <w:rPr>
          <w:i w:val="0"/>
          <w:color w:val="auto"/>
          <w:spacing w:val="-2"/>
        </w:rPr>
        <w:t>i</w:t>
      </w:r>
      <w:r>
        <w:rPr>
          <w:i w:val="0"/>
          <w:color w:val="auto"/>
          <w:spacing w:val="1"/>
        </w:rPr>
        <w:t>ţ</w:t>
      </w:r>
      <w:r>
        <w:rPr>
          <w:i w:val="0"/>
          <w:color w:val="auto"/>
          <w:spacing w:val="-2"/>
        </w:rPr>
        <w:t>i</w:t>
      </w:r>
      <w:r>
        <w:rPr>
          <w:i w:val="0"/>
          <w:color w:val="auto"/>
        </w:rPr>
        <w:t>at</w:t>
      </w:r>
      <w:r>
        <w:rPr>
          <w:i w:val="0"/>
          <w:color w:val="auto"/>
          <w:spacing w:val="1"/>
        </w:rPr>
        <w:t xml:space="preserve"> </w:t>
      </w:r>
      <w:r>
        <w:rPr>
          <w:i w:val="0"/>
          <w:color w:val="auto"/>
          <w:spacing w:val="-3"/>
        </w:rPr>
        <w:t>u</w:t>
      </w:r>
      <w:r>
        <w:rPr>
          <w:i w:val="0"/>
          <w:color w:val="auto"/>
        </w:rPr>
        <w:t xml:space="preserve">n </w:t>
      </w:r>
      <w:r>
        <w:rPr>
          <w:i w:val="0"/>
          <w:color w:val="auto"/>
          <w:spacing w:val="-2"/>
        </w:rPr>
        <w:t>t</w:t>
      </w:r>
      <w:r>
        <w:rPr>
          <w:i w:val="0"/>
          <w:color w:val="auto"/>
        </w:rPr>
        <w:t>ra</w:t>
      </w:r>
      <w:r>
        <w:rPr>
          <w:i w:val="0"/>
          <w:color w:val="auto"/>
          <w:spacing w:val="-2"/>
        </w:rPr>
        <w:t>t</w:t>
      </w:r>
      <w:r>
        <w:rPr>
          <w:i w:val="0"/>
          <w:color w:val="auto"/>
        </w:rPr>
        <w:t>a</w:t>
      </w:r>
      <w:r>
        <w:rPr>
          <w:i w:val="0"/>
          <w:color w:val="auto"/>
          <w:spacing w:val="-4"/>
        </w:rPr>
        <w:t>m</w:t>
      </w:r>
      <w:r>
        <w:rPr>
          <w:i w:val="0"/>
          <w:color w:val="auto"/>
        </w:rPr>
        <w:t>ent</w:t>
      </w:r>
      <w:r>
        <w:rPr>
          <w:i w:val="0"/>
          <w:color w:val="auto"/>
          <w:spacing w:val="1"/>
        </w:rPr>
        <w:t xml:space="preserve"> </w:t>
      </w:r>
      <w:r>
        <w:rPr>
          <w:i w:val="0"/>
          <w:color w:val="auto"/>
        </w:rPr>
        <w:t>co</w:t>
      </w:r>
      <w:r>
        <w:rPr>
          <w:i w:val="0"/>
          <w:color w:val="auto"/>
          <w:spacing w:val="-2"/>
        </w:rPr>
        <w:t>r</w:t>
      </w:r>
      <w:r>
        <w:rPr>
          <w:i w:val="0"/>
          <w:color w:val="auto"/>
        </w:rPr>
        <w:t>espun</w:t>
      </w:r>
      <w:r>
        <w:rPr>
          <w:i w:val="0"/>
          <w:color w:val="auto"/>
          <w:spacing w:val="-3"/>
        </w:rPr>
        <w:t>ză</w:t>
      </w:r>
      <w:r>
        <w:rPr>
          <w:i w:val="0"/>
          <w:color w:val="auto"/>
          <w:spacing w:val="1"/>
        </w:rPr>
        <w:t>t</w:t>
      </w:r>
      <w:r>
        <w:rPr>
          <w:i w:val="0"/>
          <w:color w:val="auto"/>
        </w:rPr>
        <w:t>or.</w:t>
      </w:r>
    </w:p>
    <w:p w14:paraId="39D57A7E" w14:textId="77777777" w:rsidR="00C04CAD" w:rsidRDefault="00C04CAD">
      <w:pPr>
        <w:kinsoku w:val="0"/>
        <w:overflowPunct w:val="0"/>
        <w:spacing w:line="240" w:lineRule="auto"/>
        <w:rPr>
          <w:szCs w:val="22"/>
        </w:rPr>
      </w:pPr>
    </w:p>
    <w:p w14:paraId="4DC9061E" w14:textId="77777777" w:rsidR="00C04CAD" w:rsidRDefault="00060E34">
      <w:pPr>
        <w:keepNext/>
        <w:tabs>
          <w:tab w:val="clear" w:pos="567"/>
        </w:tabs>
        <w:kinsoku w:val="0"/>
        <w:overflowPunct w:val="0"/>
        <w:autoSpaceDE w:val="0"/>
        <w:autoSpaceDN w:val="0"/>
        <w:adjustRightInd w:val="0"/>
        <w:spacing w:line="240" w:lineRule="auto"/>
      </w:pPr>
      <w:r>
        <w:rPr>
          <w:u w:val="single"/>
        </w:rPr>
        <w:t>Imunosupresie</w:t>
      </w:r>
    </w:p>
    <w:p w14:paraId="33FC9EA4" w14:textId="77777777" w:rsidR="00C04CAD" w:rsidRDefault="00C04CAD">
      <w:pPr>
        <w:keepNext/>
        <w:tabs>
          <w:tab w:val="clear" w:pos="567"/>
        </w:tabs>
        <w:kinsoku w:val="0"/>
        <w:overflowPunct w:val="0"/>
        <w:autoSpaceDE w:val="0"/>
        <w:autoSpaceDN w:val="0"/>
        <w:adjustRightInd w:val="0"/>
        <w:spacing w:line="240" w:lineRule="auto"/>
      </w:pPr>
    </w:p>
    <w:p w14:paraId="7D5EC913" w14:textId="77777777" w:rsidR="00C04CAD" w:rsidRDefault="00060E34">
      <w:pPr>
        <w:tabs>
          <w:tab w:val="clear" w:pos="567"/>
        </w:tabs>
        <w:kinsoku w:val="0"/>
        <w:overflowPunct w:val="0"/>
        <w:autoSpaceDE w:val="0"/>
        <w:autoSpaceDN w:val="0"/>
        <w:adjustRightInd w:val="0"/>
        <w:spacing w:line="240" w:lineRule="auto"/>
      </w:pPr>
      <w:r>
        <w:rPr>
          <w:spacing w:val="-4"/>
        </w:rPr>
        <w:t>Î</w:t>
      </w:r>
      <w:r>
        <w:t>n cadrul</w:t>
      </w:r>
      <w:r>
        <w:rPr>
          <w:spacing w:val="1"/>
        </w:rPr>
        <w:t xml:space="preserve"> </w:t>
      </w:r>
      <w:r>
        <w:t>un</w:t>
      </w:r>
      <w:r>
        <w:rPr>
          <w:spacing w:val="-3"/>
        </w:rPr>
        <w:t>u</w:t>
      </w:r>
      <w:r>
        <w:t>i</w:t>
      </w:r>
      <w:r>
        <w:rPr>
          <w:spacing w:val="1"/>
        </w:rPr>
        <w:t xml:space="preserve"> </w:t>
      </w:r>
      <w:r>
        <w:rPr>
          <w:spacing w:val="-2"/>
        </w:rPr>
        <w:t>s</w:t>
      </w:r>
      <w:r>
        <w:rPr>
          <w:spacing w:val="1"/>
        </w:rPr>
        <w:t>t</w:t>
      </w:r>
      <w:r>
        <w:t>u</w:t>
      </w:r>
      <w:r>
        <w:rPr>
          <w:spacing w:val="-3"/>
        </w:rPr>
        <w:t>d</w:t>
      </w:r>
      <w:r>
        <w:rPr>
          <w:spacing w:val="1"/>
        </w:rPr>
        <w:t>i</w:t>
      </w:r>
      <w:r>
        <w:t xml:space="preserve">u </w:t>
      </w:r>
      <w:r>
        <w:rPr>
          <w:spacing w:val="1"/>
        </w:rPr>
        <w:t>î</w:t>
      </w:r>
      <w:r>
        <w:t>n</w:t>
      </w:r>
      <w:r>
        <w:rPr>
          <w:spacing w:val="-3"/>
        </w:rPr>
        <w:t xml:space="preserve"> </w:t>
      </w:r>
      <w:r>
        <w:t>c</w:t>
      </w:r>
      <w:r>
        <w:rPr>
          <w:spacing w:val="-3"/>
        </w:rPr>
        <w:t>a</w:t>
      </w:r>
      <w:r>
        <w:rPr>
          <w:spacing w:val="-2"/>
        </w:rPr>
        <w:t>r</w:t>
      </w:r>
      <w:r>
        <w:t xml:space="preserve">e au </w:t>
      </w:r>
      <w:r>
        <w:rPr>
          <w:spacing w:val="-2"/>
        </w:rPr>
        <w:t>f</w:t>
      </w:r>
      <w:r>
        <w:t>ost</w:t>
      </w:r>
      <w:r>
        <w:rPr>
          <w:spacing w:val="-2"/>
        </w:rPr>
        <w:t xml:space="preserve"> </w:t>
      </w:r>
      <w:r>
        <w:rPr>
          <w:spacing w:val="1"/>
        </w:rPr>
        <w:t>i</w:t>
      </w:r>
      <w:r>
        <w:rPr>
          <w:spacing w:val="-3"/>
        </w:rPr>
        <w:t>n</w:t>
      </w:r>
      <w:r>
        <w:t>c</w:t>
      </w:r>
      <w:r>
        <w:rPr>
          <w:spacing w:val="1"/>
        </w:rPr>
        <w:t>l</w:t>
      </w:r>
      <w:r>
        <w:rPr>
          <w:spacing w:val="-3"/>
        </w:rPr>
        <w:t>u</w:t>
      </w:r>
      <w:r>
        <w:t>şi</w:t>
      </w:r>
      <w:r>
        <w:rPr>
          <w:spacing w:val="1"/>
        </w:rPr>
        <w:t xml:space="preserve"> </w:t>
      </w:r>
      <w:r>
        <w:t>64</w:t>
      </w:r>
      <w:r>
        <w:rPr>
          <w:spacing w:val="-3"/>
        </w:rPr>
        <w:t xml:space="preserve"> </w:t>
      </w:r>
      <w:r>
        <w:t>pa</w:t>
      </w:r>
      <w:r>
        <w:rPr>
          <w:spacing w:val="-3"/>
        </w:rPr>
        <w:t>c</w:t>
      </w:r>
      <w:r>
        <w:rPr>
          <w:spacing w:val="1"/>
        </w:rPr>
        <w:t>i</w:t>
      </w:r>
      <w:r>
        <w:t>e</w:t>
      </w:r>
      <w:r>
        <w:rPr>
          <w:spacing w:val="-3"/>
        </w:rPr>
        <w:t>n</w:t>
      </w:r>
      <w:r>
        <w:rPr>
          <w:spacing w:val="1"/>
        </w:rPr>
        <w:t>ţ</w:t>
      </w:r>
      <w:r>
        <w:t>i</w:t>
      </w:r>
      <w:r>
        <w:rPr>
          <w:spacing w:val="-2"/>
        </w:rPr>
        <w:t xml:space="preserve"> </w:t>
      </w:r>
      <w:r>
        <w:t>cu po</w:t>
      </w:r>
      <w:r>
        <w:rPr>
          <w:spacing w:val="-2"/>
        </w:rPr>
        <w:t>l</w:t>
      </w:r>
      <w:r>
        <w:rPr>
          <w:spacing w:val="1"/>
        </w:rPr>
        <w:t>i</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t>o</w:t>
      </w:r>
      <w:r>
        <w:rPr>
          <w:spacing w:val="-2"/>
        </w:rPr>
        <w:t>i</w:t>
      </w:r>
      <w:r>
        <w:t xml:space="preserve">dă </w:t>
      </w:r>
      <w:r>
        <w:rPr>
          <w:spacing w:val="-3"/>
        </w:rPr>
        <w:t>c</w:t>
      </w:r>
      <w:r>
        <w:t xml:space="preserve">are </w:t>
      </w:r>
      <w:r>
        <w:rPr>
          <w:spacing w:val="-3"/>
        </w:rPr>
        <w:t>a</w:t>
      </w:r>
      <w:r>
        <w:t>u f</w:t>
      </w:r>
      <w:r>
        <w:rPr>
          <w:spacing w:val="-3"/>
        </w:rPr>
        <w:t>o</w:t>
      </w:r>
      <w:r>
        <w:t>st</w:t>
      </w:r>
      <w:r>
        <w:rPr>
          <w:spacing w:val="-2"/>
        </w:rPr>
        <w:t xml:space="preserve"> </w:t>
      </w:r>
      <w:r>
        <w:rPr>
          <w:spacing w:val="1"/>
        </w:rPr>
        <w:t>t</w:t>
      </w:r>
      <w:r>
        <w:rPr>
          <w:spacing w:val="-2"/>
        </w:rPr>
        <w:t>r</w:t>
      </w:r>
      <w:r>
        <w:t>a</w:t>
      </w:r>
      <w:r>
        <w:rPr>
          <w:spacing w:val="1"/>
        </w:rPr>
        <w:t>t</w:t>
      </w:r>
      <w:r>
        <w:rPr>
          <w:spacing w:val="-3"/>
        </w:rPr>
        <w:t>a</w:t>
      </w:r>
      <w:r>
        <w:rPr>
          <w:spacing w:val="-2"/>
        </w:rPr>
        <w:t>ţ</w:t>
      </w:r>
      <w:r>
        <w:t>i</w:t>
      </w:r>
      <w:r>
        <w:rPr>
          <w:spacing w:val="1"/>
        </w:rPr>
        <w:t xml:space="preserve"> </w:t>
      </w:r>
      <w:r>
        <w:t xml:space="preserve">cu </w:t>
      </w:r>
      <w:r>
        <w:rPr>
          <w:rFonts w:eastAsia="MS Mincho"/>
          <w:spacing w:val="-1"/>
          <w:szCs w:val="22"/>
          <w:lang w:eastAsia="en-US" w:bidi="ar-SA"/>
        </w:rPr>
        <w:t>adalimumab</w:t>
      </w:r>
      <w:r>
        <w:t>, nu s</w:t>
      </w:r>
      <w:r>
        <w:rPr>
          <w:spacing w:val="-4"/>
        </w:rPr>
        <w:t>-</w:t>
      </w:r>
      <w:r>
        <w:t>au e</w:t>
      </w:r>
      <w:r>
        <w:rPr>
          <w:spacing w:val="-3"/>
        </w:rPr>
        <w:t>v</w:t>
      </w:r>
      <w:r>
        <w:rPr>
          <w:spacing w:val="1"/>
        </w:rPr>
        <w:t>i</w:t>
      </w:r>
      <w:r>
        <w:t>den</w:t>
      </w:r>
      <w:r>
        <w:rPr>
          <w:spacing w:val="-2"/>
        </w:rPr>
        <w:t>ţ</w:t>
      </w:r>
      <w:r>
        <w:rPr>
          <w:spacing w:val="1"/>
        </w:rPr>
        <w:t>i</w:t>
      </w:r>
      <w:r>
        <w:t>at</w:t>
      </w:r>
      <w:r>
        <w:rPr>
          <w:spacing w:val="-4"/>
        </w:rPr>
        <w:t xml:space="preserve"> </w:t>
      </w:r>
      <w:r>
        <w:t>scăd</w:t>
      </w:r>
      <w:r>
        <w:rPr>
          <w:spacing w:val="-3"/>
        </w:rPr>
        <w:t>e</w:t>
      </w:r>
      <w:r>
        <w:t>r</w:t>
      </w:r>
      <w:r>
        <w:rPr>
          <w:spacing w:val="-3"/>
        </w:rPr>
        <w:t>e</w:t>
      </w:r>
      <w:r>
        <w:t>a h</w:t>
      </w:r>
      <w:r>
        <w:rPr>
          <w:spacing w:val="1"/>
        </w:rPr>
        <w:t>i</w:t>
      </w:r>
      <w:r>
        <w:rPr>
          <w:spacing w:val="-3"/>
        </w:rPr>
        <w:t>p</w:t>
      </w:r>
      <w:r>
        <w:t>e</w:t>
      </w:r>
      <w:r>
        <w:rPr>
          <w:spacing w:val="-2"/>
        </w:rPr>
        <w:t>r</w:t>
      </w:r>
      <w:r>
        <w:t>sen</w:t>
      </w:r>
      <w:r>
        <w:rPr>
          <w:spacing w:val="-2"/>
        </w:rPr>
        <w:t>s</w:t>
      </w:r>
      <w:r>
        <w:rPr>
          <w:spacing w:val="1"/>
        </w:rPr>
        <w:t>i</w:t>
      </w:r>
      <w:r>
        <w:rPr>
          <w:spacing w:val="-3"/>
        </w:rPr>
        <w:t>b</w:t>
      </w:r>
      <w:r>
        <w:rPr>
          <w:spacing w:val="1"/>
        </w:rPr>
        <w:t>i</w:t>
      </w:r>
      <w:r>
        <w:rPr>
          <w:spacing w:val="-2"/>
        </w:rPr>
        <w:t>l</w:t>
      </w:r>
      <w:r>
        <w:rPr>
          <w:spacing w:val="1"/>
        </w:rPr>
        <w:t>it</w:t>
      </w:r>
      <w:r>
        <w:rPr>
          <w:spacing w:val="-3"/>
        </w:rPr>
        <w:t>ă</w:t>
      </w:r>
      <w:r>
        <w:rPr>
          <w:spacing w:val="-2"/>
        </w:rPr>
        <w:t>ţ</w:t>
      </w:r>
      <w:r>
        <w:rPr>
          <w:spacing w:val="1"/>
        </w:rPr>
        <w:t>i</w:t>
      </w:r>
      <w:r>
        <w:t>i</w:t>
      </w:r>
      <w:r>
        <w:rPr>
          <w:spacing w:val="-2"/>
        </w:rPr>
        <w:t xml:space="preserve"> </w:t>
      </w:r>
      <w:r>
        <w:t xml:space="preserve">de </w:t>
      </w:r>
      <w:r>
        <w:rPr>
          <w:spacing w:val="-2"/>
        </w:rPr>
        <w:t>t</w:t>
      </w:r>
      <w:r>
        <w:rPr>
          <w:spacing w:val="1"/>
        </w:rPr>
        <w:t>i</w:t>
      </w:r>
      <w:r>
        <w:t xml:space="preserve">p </w:t>
      </w:r>
      <w:r>
        <w:rPr>
          <w:spacing w:val="-2"/>
        </w:rPr>
        <w:t>î</w:t>
      </w:r>
      <w:r>
        <w:t>n</w:t>
      </w:r>
      <w:r>
        <w:rPr>
          <w:spacing w:val="1"/>
        </w:rPr>
        <w:t>t</w:t>
      </w:r>
      <w:r>
        <w:rPr>
          <w:spacing w:val="-3"/>
        </w:rPr>
        <w:t>â</w:t>
      </w:r>
      <w:r>
        <w:t>r</w:t>
      </w:r>
      <w:r>
        <w:rPr>
          <w:spacing w:val="-3"/>
        </w:rPr>
        <w:t>z</w:t>
      </w:r>
      <w:r>
        <w:rPr>
          <w:spacing w:val="1"/>
        </w:rPr>
        <w:t>i</w:t>
      </w:r>
      <w:r>
        <w:rPr>
          <w:spacing w:val="-3"/>
        </w:rPr>
        <w:t>a</w:t>
      </w:r>
      <w:r>
        <w:rPr>
          <w:spacing w:val="1"/>
        </w:rPr>
        <w:t>t</w:t>
      </w:r>
      <w:r>
        <w:t>, s</w:t>
      </w:r>
      <w:r>
        <w:rPr>
          <w:spacing w:val="-3"/>
        </w:rPr>
        <w:t>c</w:t>
      </w:r>
      <w:r>
        <w:t>ăd</w:t>
      </w:r>
      <w:r>
        <w:rPr>
          <w:spacing w:val="-3"/>
        </w:rPr>
        <w:t>e</w:t>
      </w:r>
      <w:r>
        <w:t xml:space="preserve">rea </w:t>
      </w:r>
      <w:r>
        <w:rPr>
          <w:spacing w:val="-3"/>
        </w:rPr>
        <w:t>n</w:t>
      </w:r>
      <w:r>
        <w:rPr>
          <w:spacing w:val="-2"/>
        </w:rPr>
        <w:t>i</w:t>
      </w:r>
      <w:r>
        <w:rPr>
          <w:spacing w:val="-3"/>
        </w:rPr>
        <w:t>v</w:t>
      </w:r>
      <w:r>
        <w:t>e</w:t>
      </w:r>
      <w:r>
        <w:rPr>
          <w:spacing w:val="1"/>
        </w:rPr>
        <w:t>l</w:t>
      </w:r>
      <w:r>
        <w:t>ur</w:t>
      </w:r>
      <w:r>
        <w:rPr>
          <w:spacing w:val="-2"/>
        </w:rPr>
        <w:t>i</w:t>
      </w:r>
      <w:r>
        <w:rPr>
          <w:spacing w:val="1"/>
        </w:rPr>
        <w:t>l</w:t>
      </w:r>
      <w:r>
        <w:t>or</w:t>
      </w:r>
      <w:r>
        <w:rPr>
          <w:spacing w:val="-2"/>
        </w:rPr>
        <w:t xml:space="preserve"> </w:t>
      </w:r>
      <w:r>
        <w:t xml:space="preserve">de </w:t>
      </w:r>
      <w:r>
        <w:rPr>
          <w:spacing w:val="1"/>
        </w:rPr>
        <w:t>i</w:t>
      </w:r>
      <w:r>
        <w:rPr>
          <w:spacing w:val="-4"/>
        </w:rPr>
        <w:t>m</w:t>
      </w:r>
      <w:r>
        <w:t>uno</w:t>
      </w:r>
      <w:r>
        <w:rPr>
          <w:spacing w:val="-3"/>
        </w:rPr>
        <w:t>g</w:t>
      </w:r>
      <w:r>
        <w:rPr>
          <w:spacing w:val="1"/>
        </w:rPr>
        <w:t>l</w:t>
      </w:r>
      <w:r>
        <w:t>obu</w:t>
      </w:r>
      <w:r>
        <w:rPr>
          <w:spacing w:val="1"/>
        </w:rPr>
        <w:t>li</w:t>
      </w:r>
      <w:r>
        <w:t>ne</w:t>
      </w:r>
      <w:r>
        <w:rPr>
          <w:spacing w:val="-2"/>
        </w:rPr>
        <w:t xml:space="preserve"> </w:t>
      </w:r>
      <w:r>
        <w:t xml:space="preserve">sau </w:t>
      </w:r>
      <w:r>
        <w:rPr>
          <w:spacing w:val="-4"/>
        </w:rPr>
        <w:t>m</w:t>
      </w:r>
      <w:r>
        <w:t>od</w:t>
      </w:r>
      <w:r>
        <w:rPr>
          <w:spacing w:val="1"/>
        </w:rPr>
        <w:t>i</w:t>
      </w:r>
      <w:r>
        <w:rPr>
          <w:spacing w:val="-2"/>
        </w:rPr>
        <w:t>fi</w:t>
      </w:r>
      <w:r>
        <w:t>car</w:t>
      </w:r>
      <w:r>
        <w:rPr>
          <w:spacing w:val="-3"/>
        </w:rPr>
        <w:t>e</w:t>
      </w:r>
      <w:r>
        <w:t>a nu</w:t>
      </w:r>
      <w:r>
        <w:rPr>
          <w:spacing w:val="-4"/>
        </w:rPr>
        <w:t>m</w:t>
      </w:r>
      <w:r>
        <w:t>ăru</w:t>
      </w:r>
      <w:r>
        <w:rPr>
          <w:spacing w:val="1"/>
        </w:rPr>
        <w:t>l</w:t>
      </w:r>
      <w:r>
        <w:rPr>
          <w:spacing w:val="-3"/>
        </w:rPr>
        <w:t>u</w:t>
      </w:r>
      <w:r>
        <w:t>i</w:t>
      </w:r>
      <w:r>
        <w:rPr>
          <w:spacing w:val="1"/>
        </w:rPr>
        <w:t xml:space="preserve"> </w:t>
      </w:r>
      <w:r>
        <w:rPr>
          <w:spacing w:val="-3"/>
        </w:rPr>
        <w:t>d</w:t>
      </w:r>
      <w:r>
        <w:t>e c</w:t>
      </w:r>
      <w:r>
        <w:rPr>
          <w:spacing w:val="-3"/>
        </w:rPr>
        <w:t>e</w:t>
      </w:r>
      <w:r>
        <w:rPr>
          <w:spacing w:val="1"/>
        </w:rPr>
        <w:t>l</w:t>
      </w:r>
      <w:r>
        <w:t>u</w:t>
      </w:r>
      <w:r>
        <w:rPr>
          <w:spacing w:val="-2"/>
        </w:rPr>
        <w:t>l</w:t>
      </w:r>
      <w:r>
        <w:t>e</w:t>
      </w:r>
      <w:r>
        <w:rPr>
          <w:spacing w:val="-2"/>
        </w:rPr>
        <w:t xml:space="preserve"> </w:t>
      </w:r>
      <w:r>
        <w:rPr>
          <w:spacing w:val="-1"/>
        </w:rPr>
        <w:t>T</w:t>
      </w:r>
      <w:r>
        <w:t xml:space="preserve">, </w:t>
      </w:r>
      <w:r>
        <w:rPr>
          <w:spacing w:val="-1"/>
        </w:rPr>
        <w:t>B</w:t>
      </w:r>
      <w:r>
        <w:t xml:space="preserve">, </w:t>
      </w:r>
      <w:r>
        <w:rPr>
          <w:spacing w:val="-1"/>
        </w:rPr>
        <w:t>N</w:t>
      </w:r>
      <w:r>
        <w:t>K</w:t>
      </w:r>
      <w:r>
        <w:rPr>
          <w:spacing w:val="1"/>
        </w:rPr>
        <w:t xml:space="preserve"> </w:t>
      </w:r>
      <w:r>
        <w:rPr>
          <w:spacing w:val="-3"/>
        </w:rPr>
        <w:t>e</w:t>
      </w:r>
      <w:r>
        <w:t>fe</w:t>
      </w:r>
      <w:r>
        <w:rPr>
          <w:spacing w:val="-3"/>
        </w:rPr>
        <w:t>c</w:t>
      </w:r>
      <w:r>
        <w:rPr>
          <w:spacing w:val="1"/>
        </w:rPr>
        <w:t>t</w:t>
      </w:r>
      <w:r>
        <w:t>o</w:t>
      </w:r>
      <w:r>
        <w:rPr>
          <w:spacing w:val="-3"/>
        </w:rPr>
        <w:t>a</w:t>
      </w:r>
      <w:r>
        <w:t xml:space="preserve">re, </w:t>
      </w:r>
      <w:r>
        <w:rPr>
          <w:spacing w:val="-3"/>
        </w:rPr>
        <w:t>d</w:t>
      </w:r>
      <w:r>
        <w:t xml:space="preserve">e </w:t>
      </w:r>
      <w:r>
        <w:rPr>
          <w:spacing w:val="-4"/>
        </w:rPr>
        <w:t>m</w:t>
      </w:r>
      <w:r>
        <w:t>onoc</w:t>
      </w:r>
      <w:r>
        <w:rPr>
          <w:spacing w:val="1"/>
        </w:rPr>
        <w:t>i</w:t>
      </w:r>
      <w:r>
        <w:rPr>
          <w:spacing w:val="-2"/>
        </w:rPr>
        <w:t>t</w:t>
      </w:r>
      <w:r>
        <w:t>e</w:t>
      </w:r>
      <w:r>
        <w:rPr>
          <w:spacing w:val="1"/>
        </w:rPr>
        <w:t>/</w:t>
      </w:r>
      <w:r>
        <w:rPr>
          <w:spacing w:val="-4"/>
        </w:rPr>
        <w:t>m</w:t>
      </w:r>
      <w:r>
        <w:t>acr</w:t>
      </w:r>
      <w:r>
        <w:rPr>
          <w:spacing w:val="-3"/>
        </w:rPr>
        <w:t>o</w:t>
      </w:r>
      <w:r>
        <w:t>fa</w:t>
      </w:r>
      <w:r>
        <w:rPr>
          <w:spacing w:val="-3"/>
        </w:rPr>
        <w:t>g</w:t>
      </w:r>
      <w:r>
        <w:t>e şi</w:t>
      </w:r>
      <w:r>
        <w:rPr>
          <w:spacing w:val="-2"/>
        </w:rPr>
        <w:t xml:space="preserve"> </w:t>
      </w:r>
      <w:r>
        <w:t>de neu</w:t>
      </w:r>
      <w:r>
        <w:rPr>
          <w:spacing w:val="-2"/>
        </w:rPr>
        <w:t>t</w:t>
      </w:r>
      <w:r>
        <w:t>ro</w:t>
      </w:r>
      <w:r>
        <w:rPr>
          <w:spacing w:val="-2"/>
        </w:rPr>
        <w:t>f</w:t>
      </w:r>
      <w:r>
        <w:rPr>
          <w:spacing w:val="1"/>
        </w:rPr>
        <w:t>i</w:t>
      </w:r>
      <w:r>
        <w:rPr>
          <w:spacing w:val="-2"/>
        </w:rPr>
        <w:t>l</w:t>
      </w:r>
      <w:r>
        <w:t>e.</w:t>
      </w:r>
    </w:p>
    <w:p w14:paraId="3854D364" w14:textId="77777777" w:rsidR="00C04CAD" w:rsidRDefault="00C04CAD">
      <w:pPr>
        <w:tabs>
          <w:tab w:val="clear" w:pos="567"/>
        </w:tabs>
        <w:kinsoku w:val="0"/>
        <w:overflowPunct w:val="0"/>
        <w:autoSpaceDE w:val="0"/>
        <w:autoSpaceDN w:val="0"/>
        <w:adjustRightInd w:val="0"/>
        <w:spacing w:line="240" w:lineRule="auto"/>
      </w:pPr>
    </w:p>
    <w:p w14:paraId="293E75FA" w14:textId="77777777" w:rsidR="00C04CAD" w:rsidRDefault="00060E34">
      <w:pPr>
        <w:tabs>
          <w:tab w:val="clear" w:pos="567"/>
        </w:tabs>
        <w:kinsoku w:val="0"/>
        <w:overflowPunct w:val="0"/>
        <w:autoSpaceDE w:val="0"/>
        <w:autoSpaceDN w:val="0"/>
        <w:adjustRightInd w:val="0"/>
        <w:spacing w:line="240" w:lineRule="auto"/>
      </w:pPr>
      <w:r>
        <w:rPr>
          <w:spacing w:val="-2"/>
          <w:u w:val="single"/>
        </w:rPr>
        <w:t>A</w:t>
      </w:r>
      <w:r>
        <w:rPr>
          <w:u w:val="single"/>
        </w:rPr>
        <w:t>fec</w:t>
      </w:r>
      <w:r>
        <w:rPr>
          <w:spacing w:val="-2"/>
          <w:u w:val="single"/>
        </w:rPr>
        <w:t>ţ</w:t>
      </w:r>
      <w:r>
        <w:rPr>
          <w:spacing w:val="1"/>
          <w:u w:val="single"/>
        </w:rPr>
        <w:t>i</w:t>
      </w:r>
      <w:r>
        <w:rPr>
          <w:u w:val="single"/>
        </w:rPr>
        <w:t>u</w:t>
      </w:r>
      <w:r>
        <w:rPr>
          <w:spacing w:val="-3"/>
          <w:u w:val="single"/>
        </w:rPr>
        <w:t>n</w:t>
      </w:r>
      <w:r>
        <w:rPr>
          <w:u w:val="single"/>
        </w:rPr>
        <w:t xml:space="preserve">i </w:t>
      </w:r>
      <w:r>
        <w:rPr>
          <w:spacing w:val="-4"/>
          <w:u w:val="single"/>
        </w:rPr>
        <w:t>m</w:t>
      </w:r>
      <w:r>
        <w:rPr>
          <w:u w:val="single"/>
        </w:rPr>
        <w:t>a</w:t>
      </w:r>
      <w:r>
        <w:rPr>
          <w:spacing w:val="1"/>
          <w:u w:val="single"/>
        </w:rPr>
        <w:t>li</w:t>
      </w:r>
      <w:r>
        <w:rPr>
          <w:spacing w:val="-3"/>
          <w:u w:val="single"/>
        </w:rPr>
        <w:t>g</w:t>
      </w:r>
      <w:r>
        <w:rPr>
          <w:u w:val="single"/>
        </w:rPr>
        <w:t xml:space="preserve">ne </w:t>
      </w:r>
      <w:r>
        <w:rPr>
          <w:spacing w:val="-2"/>
          <w:u w:val="single"/>
        </w:rPr>
        <w:t>ş</w:t>
      </w:r>
      <w:r>
        <w:rPr>
          <w:u w:val="single"/>
        </w:rPr>
        <w:t xml:space="preserve">i </w:t>
      </w:r>
      <w:r>
        <w:rPr>
          <w:spacing w:val="-2"/>
          <w:u w:val="single"/>
        </w:rPr>
        <w:t>l</w:t>
      </w:r>
      <w:r>
        <w:rPr>
          <w:spacing w:val="1"/>
          <w:u w:val="single"/>
        </w:rPr>
        <w:t>i</w:t>
      </w:r>
      <w:r>
        <w:rPr>
          <w:spacing w:val="-4"/>
          <w:u w:val="single"/>
        </w:rPr>
        <w:t>m</w:t>
      </w:r>
      <w:r>
        <w:rPr>
          <w:u w:val="single"/>
        </w:rPr>
        <w:t>fopro</w:t>
      </w:r>
      <w:r>
        <w:rPr>
          <w:spacing w:val="-2"/>
          <w:u w:val="single"/>
        </w:rPr>
        <w:t>l</w:t>
      </w:r>
      <w:r>
        <w:rPr>
          <w:spacing w:val="1"/>
          <w:u w:val="single"/>
        </w:rPr>
        <w:t>i</w:t>
      </w:r>
      <w:r>
        <w:rPr>
          <w:u w:val="single"/>
        </w:rPr>
        <w:t>f</w:t>
      </w:r>
      <w:r>
        <w:rPr>
          <w:spacing w:val="-3"/>
          <w:u w:val="single"/>
        </w:rPr>
        <w:t>e</w:t>
      </w:r>
      <w:r>
        <w:rPr>
          <w:u w:val="single"/>
        </w:rPr>
        <w:t>r</w:t>
      </w:r>
      <w:r>
        <w:rPr>
          <w:spacing w:val="-3"/>
          <w:u w:val="single"/>
        </w:rPr>
        <w:t>a</w:t>
      </w:r>
      <w:r>
        <w:rPr>
          <w:spacing w:val="1"/>
          <w:u w:val="single"/>
        </w:rPr>
        <w:t>ti</w:t>
      </w:r>
      <w:r>
        <w:rPr>
          <w:spacing w:val="-3"/>
          <w:u w:val="single"/>
        </w:rPr>
        <w:t>v</w:t>
      </w:r>
      <w:r>
        <w:rPr>
          <w:u w:val="single"/>
        </w:rPr>
        <w:t>e</w:t>
      </w:r>
    </w:p>
    <w:p w14:paraId="5C40B8B5" w14:textId="77777777" w:rsidR="00C04CAD" w:rsidRDefault="00C04CAD">
      <w:pPr>
        <w:tabs>
          <w:tab w:val="clear" w:pos="567"/>
        </w:tabs>
        <w:kinsoku w:val="0"/>
        <w:overflowPunct w:val="0"/>
        <w:autoSpaceDE w:val="0"/>
        <w:autoSpaceDN w:val="0"/>
        <w:adjustRightInd w:val="0"/>
        <w:spacing w:line="240" w:lineRule="auto"/>
      </w:pPr>
    </w:p>
    <w:p w14:paraId="39FADD22" w14:textId="77777777" w:rsidR="00C04CAD" w:rsidRDefault="00060E34">
      <w:pPr>
        <w:tabs>
          <w:tab w:val="clear" w:pos="567"/>
        </w:tabs>
        <w:kinsoku w:val="0"/>
        <w:overflowPunct w:val="0"/>
        <w:autoSpaceDE w:val="0"/>
        <w:autoSpaceDN w:val="0"/>
        <w:adjustRightInd w:val="0"/>
        <w:spacing w:line="240" w:lineRule="auto"/>
      </w:pPr>
      <w:r>
        <w:rPr>
          <w:spacing w:val="-4"/>
        </w:rPr>
        <w:t>Î</w:t>
      </w:r>
      <w:r>
        <w:t xml:space="preserve">n </w:t>
      </w:r>
      <w:r>
        <w:rPr>
          <w:rFonts w:eastAsia="MS Mincho"/>
          <w:szCs w:val="22"/>
          <w:lang w:eastAsia="en-US" w:bidi="ar-SA"/>
        </w:rPr>
        <w:t>grupul</w:t>
      </w:r>
      <w:r>
        <w:t xml:space="preserve"> de c</w:t>
      </w:r>
      <w:r>
        <w:rPr>
          <w:spacing w:val="-3"/>
        </w:rPr>
        <w:t>o</w:t>
      </w:r>
      <w:r>
        <w:t>n</w:t>
      </w:r>
      <w:r>
        <w:rPr>
          <w:spacing w:val="-2"/>
        </w:rPr>
        <w:t>t</w:t>
      </w:r>
      <w:r>
        <w:t>rol</w:t>
      </w:r>
      <w:r>
        <w:rPr>
          <w:spacing w:val="-2"/>
        </w:rPr>
        <w:t xml:space="preserve"> </w:t>
      </w:r>
      <w:r>
        <w:rPr>
          <w:rFonts w:eastAsia="MS Mincho"/>
          <w:spacing w:val="-2"/>
          <w:szCs w:val="22"/>
          <w:lang w:eastAsia="en-US" w:bidi="ar-SA"/>
        </w:rPr>
        <w:t>pentru adalimumab</w:t>
      </w:r>
      <w:r>
        <w:rPr>
          <w:rFonts w:eastAsia="MS Mincho"/>
          <w:szCs w:val="22"/>
          <w:lang w:eastAsia="en-US" w:bidi="ar-SA"/>
        </w:rPr>
        <w:t xml:space="preserve"> din cadrul</w:t>
      </w:r>
      <w:r>
        <w:t xml:space="preserve"> </w:t>
      </w:r>
      <w:r>
        <w:rPr>
          <w:spacing w:val="-2"/>
        </w:rPr>
        <w:t>s</w:t>
      </w:r>
      <w:r>
        <w:rPr>
          <w:spacing w:val="1"/>
        </w:rPr>
        <w:t>t</w:t>
      </w:r>
      <w:r>
        <w:t>ud</w:t>
      </w:r>
      <w:r>
        <w:rPr>
          <w:spacing w:val="-2"/>
        </w:rPr>
        <w:t>iil</w:t>
      </w:r>
      <w:r>
        <w:t>or</w:t>
      </w:r>
      <w:r>
        <w:rPr>
          <w:spacing w:val="1"/>
        </w:rPr>
        <w:t xml:space="preserve"> </w:t>
      </w:r>
      <w:r>
        <w:rPr>
          <w:spacing w:val="-3"/>
        </w:rPr>
        <w:t>c</w:t>
      </w:r>
      <w:r>
        <w:rPr>
          <w:spacing w:val="1"/>
        </w:rPr>
        <w:t>li</w:t>
      </w:r>
      <w:r>
        <w:rPr>
          <w:spacing w:val="-3"/>
        </w:rPr>
        <w:t>n</w:t>
      </w:r>
      <w:r>
        <w:rPr>
          <w:spacing w:val="1"/>
        </w:rPr>
        <w:t>i</w:t>
      </w:r>
      <w:r>
        <w:t>ce</w:t>
      </w:r>
      <w:r>
        <w:rPr>
          <w:spacing w:val="-2"/>
        </w:rPr>
        <w:t xml:space="preserve"> </w:t>
      </w:r>
      <w:r>
        <w:t>p</w:t>
      </w:r>
      <w:r>
        <w:rPr>
          <w:spacing w:val="-2"/>
        </w:rPr>
        <w:t>r</w:t>
      </w:r>
      <w:r>
        <w:rPr>
          <w:spacing w:val="1"/>
        </w:rPr>
        <w:t>i</w:t>
      </w:r>
      <w:r>
        <w:rPr>
          <w:spacing w:val="-3"/>
        </w:rPr>
        <w:t>v</w:t>
      </w:r>
      <w:r>
        <w:rPr>
          <w:spacing w:val="1"/>
        </w:rPr>
        <w:t>i</w:t>
      </w:r>
      <w:r>
        <w:t>nd a</w:t>
      </w:r>
      <w:r>
        <w:rPr>
          <w:spacing w:val="-3"/>
        </w:rPr>
        <w:t>n</w:t>
      </w:r>
      <w:r>
        <w:rPr>
          <w:spacing w:val="1"/>
        </w:rPr>
        <w:t>t</w:t>
      </w:r>
      <w:r>
        <w:t>a</w:t>
      </w:r>
      <w:r>
        <w:rPr>
          <w:spacing w:val="-3"/>
        </w:rPr>
        <w:t>g</w:t>
      </w:r>
      <w:r>
        <w:t>on</w:t>
      </w:r>
      <w:r>
        <w:rPr>
          <w:spacing w:val="1"/>
        </w:rPr>
        <w:t>i</w:t>
      </w:r>
      <w:r>
        <w:rPr>
          <w:spacing w:val="-2"/>
        </w:rPr>
        <w:t>ş</w:t>
      </w:r>
      <w:r>
        <w:rPr>
          <w:spacing w:val="1"/>
        </w:rPr>
        <w:t>t</w:t>
      </w:r>
      <w:r>
        <w:rPr>
          <w:spacing w:val="-2"/>
        </w:rPr>
        <w:t>i</w:t>
      </w:r>
      <w:r>
        <w:t>i</w:t>
      </w:r>
      <w:r>
        <w:rPr>
          <w:spacing w:val="-2"/>
        </w:rPr>
        <w:t xml:space="preserve"> </w:t>
      </w:r>
      <w:r>
        <w:rPr>
          <w:spacing w:val="1"/>
        </w:rPr>
        <w:t>T</w:t>
      </w:r>
      <w:r>
        <w:rPr>
          <w:spacing w:val="-1"/>
        </w:rPr>
        <w:t>N</w:t>
      </w:r>
      <w:r>
        <w:t>F</w:t>
      </w:r>
      <w:r>
        <w:rPr>
          <w:spacing w:val="-1"/>
        </w:rPr>
        <w:t xml:space="preserve"> </w:t>
      </w:r>
      <w:r>
        <w:t>au</w:t>
      </w:r>
      <w:r>
        <w:rPr>
          <w:spacing w:val="-3"/>
        </w:rPr>
        <w:t xml:space="preserve"> </w:t>
      </w:r>
      <w:r>
        <w:t>fo</w:t>
      </w:r>
      <w:r>
        <w:rPr>
          <w:spacing w:val="-2"/>
        </w:rPr>
        <w:t>s</w:t>
      </w:r>
      <w:r>
        <w:t>t</w:t>
      </w:r>
      <w:r>
        <w:rPr>
          <w:spacing w:val="1"/>
        </w:rPr>
        <w:t xml:space="preserve"> </w:t>
      </w:r>
      <w:r>
        <w:t>r</w:t>
      </w:r>
      <w:r>
        <w:rPr>
          <w:spacing w:val="-3"/>
        </w:rPr>
        <w:t>a</w:t>
      </w:r>
      <w:r>
        <w:t>po</w:t>
      </w:r>
      <w:r>
        <w:rPr>
          <w:spacing w:val="-2"/>
        </w:rPr>
        <w:t>r</w:t>
      </w:r>
      <w:r>
        <w:rPr>
          <w:spacing w:val="1"/>
        </w:rPr>
        <w:t>t</w:t>
      </w:r>
      <w:r>
        <w:rPr>
          <w:spacing w:val="-3"/>
        </w:rPr>
        <w:t>a</w:t>
      </w:r>
      <w:r>
        <w:rPr>
          <w:spacing w:val="1"/>
        </w:rPr>
        <w:t>t</w:t>
      </w:r>
      <w:r>
        <w:t xml:space="preserve">e </w:t>
      </w:r>
      <w:r>
        <w:rPr>
          <w:spacing w:val="-4"/>
        </w:rPr>
        <w:t>m</w:t>
      </w:r>
      <w:r>
        <w:t>ai</w:t>
      </w:r>
      <w:r>
        <w:rPr>
          <w:spacing w:val="1"/>
        </w:rPr>
        <w:t xml:space="preserve"> </w:t>
      </w:r>
      <w:r>
        <w:rPr>
          <w:spacing w:val="-4"/>
        </w:rPr>
        <w:t>m</w:t>
      </w:r>
      <w:r>
        <w:t>u</w:t>
      </w:r>
      <w:r>
        <w:rPr>
          <w:spacing w:val="1"/>
        </w:rPr>
        <w:t>lt</w:t>
      </w:r>
      <w:r>
        <w:t>e</w:t>
      </w:r>
      <w:r>
        <w:rPr>
          <w:spacing w:val="-2"/>
        </w:rPr>
        <w:t xml:space="preserve"> </w:t>
      </w:r>
      <w:r>
        <w:t>ca</w:t>
      </w:r>
      <w:r>
        <w:rPr>
          <w:spacing w:val="-3"/>
        </w:rPr>
        <w:t>z</w:t>
      </w:r>
      <w:r>
        <w:t>uri</w:t>
      </w:r>
      <w:r>
        <w:rPr>
          <w:spacing w:val="-2"/>
        </w:rPr>
        <w:t xml:space="preserve"> </w:t>
      </w:r>
      <w:r>
        <w:t>de afe</w:t>
      </w:r>
      <w:r>
        <w:rPr>
          <w:spacing w:val="-3"/>
        </w:rPr>
        <w:t>c</w:t>
      </w:r>
      <w:r>
        <w:rPr>
          <w:spacing w:val="1"/>
        </w:rPr>
        <w:t>ţ</w:t>
      </w:r>
      <w:r>
        <w:rPr>
          <w:spacing w:val="-2"/>
        </w:rPr>
        <w:t>i</w:t>
      </w:r>
      <w:r>
        <w:t>uni</w:t>
      </w:r>
      <w:r>
        <w:rPr>
          <w:spacing w:val="1"/>
        </w:rPr>
        <w:t xml:space="preserve"> </w:t>
      </w:r>
      <w:r>
        <w:rPr>
          <w:spacing w:val="-4"/>
        </w:rPr>
        <w:t>m</w:t>
      </w:r>
      <w:r>
        <w:t>a</w:t>
      </w:r>
      <w:r>
        <w:rPr>
          <w:spacing w:val="1"/>
        </w:rPr>
        <w:t>li</w:t>
      </w:r>
      <w:r>
        <w:rPr>
          <w:spacing w:val="-3"/>
        </w:rPr>
        <w:t>g</w:t>
      </w:r>
      <w:r>
        <w:t>ne</w:t>
      </w:r>
      <w:r>
        <w:rPr>
          <w:spacing w:val="-2"/>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rPr>
          <w:spacing w:val="-2"/>
        </w:rPr>
        <w:t>l</w:t>
      </w:r>
      <w:r>
        <w:rPr>
          <w:spacing w:val="1"/>
        </w:rPr>
        <w:t>i</w:t>
      </w:r>
      <w:r>
        <w:rPr>
          <w:spacing w:val="-4"/>
        </w:rPr>
        <w:t>m</w:t>
      </w:r>
      <w:r>
        <w:t>fom</w:t>
      </w:r>
      <w:r>
        <w:rPr>
          <w:spacing w:val="-4"/>
        </w:rPr>
        <w:t xml:space="preserve"> </w:t>
      </w:r>
      <w:r>
        <w:rPr>
          <w:spacing w:val="1"/>
        </w:rPr>
        <w:t>î</w:t>
      </w:r>
      <w:r>
        <w:t>n ca</w:t>
      </w:r>
      <w:r>
        <w:rPr>
          <w:spacing w:val="-3"/>
        </w:rPr>
        <w:t>z</w:t>
      </w:r>
      <w:r>
        <w:t>ul</w:t>
      </w:r>
      <w:r>
        <w:rPr>
          <w:spacing w:val="1"/>
        </w:rPr>
        <w:t xml:space="preserve"> </w:t>
      </w:r>
      <w:r>
        <w:t>pac</w:t>
      </w:r>
      <w:r>
        <w:rPr>
          <w:spacing w:val="-2"/>
        </w:rPr>
        <w:t>i</w:t>
      </w:r>
      <w:r>
        <w:t>en</w:t>
      </w:r>
      <w:r>
        <w:rPr>
          <w:spacing w:val="-2"/>
        </w:rPr>
        <w:t>ţ</w:t>
      </w:r>
      <w:r>
        <w:rPr>
          <w:spacing w:val="1"/>
        </w:rPr>
        <w:t>i</w:t>
      </w:r>
      <w:r>
        <w:rPr>
          <w:spacing w:val="-2"/>
        </w:rPr>
        <w:t>l</w:t>
      </w:r>
      <w:r>
        <w:t>or</w:t>
      </w:r>
      <w:r>
        <w:rPr>
          <w:spacing w:val="-2"/>
        </w:rPr>
        <w:t xml:space="preserve"> </w:t>
      </w:r>
      <w:r>
        <w:t>care</w:t>
      </w:r>
      <w:r>
        <w:rPr>
          <w:spacing w:val="-2"/>
        </w:rPr>
        <w:t xml:space="preserve"> </w:t>
      </w:r>
      <w:r>
        <w:t xml:space="preserve">au </w:t>
      </w:r>
      <w:r>
        <w:rPr>
          <w:spacing w:val="-3"/>
        </w:rPr>
        <w:t>p</w:t>
      </w:r>
      <w:r>
        <w:t>r</w:t>
      </w:r>
      <w:r>
        <w:rPr>
          <w:spacing w:val="1"/>
        </w:rPr>
        <w:t>i</w:t>
      </w:r>
      <w:r>
        <w:rPr>
          <w:spacing w:val="-4"/>
        </w:rPr>
        <w:t>m</w:t>
      </w:r>
      <w:r>
        <w:rPr>
          <w:spacing w:val="1"/>
        </w:rPr>
        <w:t>i</w:t>
      </w:r>
      <w:r>
        <w:t>t</w:t>
      </w:r>
      <w:r>
        <w:rPr>
          <w:spacing w:val="1"/>
        </w:rPr>
        <w:t xml:space="preserve"> </w:t>
      </w:r>
      <w:r>
        <w:rPr>
          <w:spacing w:val="-3"/>
        </w:rPr>
        <w:t>a</w:t>
      </w:r>
      <w:r>
        <w:t>n</w:t>
      </w:r>
      <w:r>
        <w:rPr>
          <w:spacing w:val="1"/>
        </w:rPr>
        <w:t>t</w:t>
      </w:r>
      <w:r>
        <w:t>a</w:t>
      </w:r>
      <w:r>
        <w:rPr>
          <w:spacing w:val="-3"/>
        </w:rPr>
        <w:t>g</w:t>
      </w:r>
      <w:r>
        <w:t>on</w:t>
      </w:r>
      <w:r>
        <w:rPr>
          <w:spacing w:val="-2"/>
        </w:rPr>
        <w:t>i</w:t>
      </w:r>
      <w:r>
        <w:t>ş</w:t>
      </w:r>
      <w:r>
        <w:rPr>
          <w:spacing w:val="-2"/>
        </w:rPr>
        <w:t>t</w:t>
      </w:r>
      <w:r>
        <w:t>i</w:t>
      </w:r>
      <w:r>
        <w:rPr>
          <w:spacing w:val="-2"/>
        </w:rPr>
        <w:t xml:space="preserve"> </w:t>
      </w:r>
      <w:r>
        <w:rPr>
          <w:spacing w:val="-1"/>
        </w:rPr>
        <w:t>TN</w:t>
      </w:r>
      <w:r>
        <w:t>F</w:t>
      </w:r>
      <w:r>
        <w:rPr>
          <w:spacing w:val="-1"/>
        </w:rPr>
        <w:t xml:space="preserve"> </w:t>
      </w:r>
      <w:r>
        <w:t>co</w:t>
      </w:r>
      <w:r>
        <w:rPr>
          <w:spacing w:val="-4"/>
        </w:rPr>
        <w:t>m</w:t>
      </w:r>
      <w:r>
        <w:t>para</w:t>
      </w:r>
      <w:r>
        <w:rPr>
          <w:spacing w:val="1"/>
        </w:rPr>
        <w:t>ti</w:t>
      </w:r>
      <w:r>
        <w:t>v</w:t>
      </w:r>
      <w:r>
        <w:rPr>
          <w:spacing w:val="-3"/>
        </w:rPr>
        <w:t xml:space="preserve"> </w:t>
      </w:r>
      <w:r>
        <w:t>cu pac</w:t>
      </w:r>
      <w:r>
        <w:rPr>
          <w:spacing w:val="-2"/>
        </w:rPr>
        <w:t>i</w:t>
      </w:r>
      <w:r>
        <w:t>en</w:t>
      </w:r>
      <w:r>
        <w:rPr>
          <w:spacing w:val="-2"/>
        </w:rPr>
        <w:t>ţ</w:t>
      </w:r>
      <w:r>
        <w:rPr>
          <w:spacing w:val="1"/>
        </w:rPr>
        <w:t>i</w:t>
      </w:r>
      <w:r>
        <w:t>i</w:t>
      </w:r>
      <w:r>
        <w:rPr>
          <w:spacing w:val="-2"/>
        </w:rPr>
        <w:t xml:space="preserve"> </w:t>
      </w:r>
      <w:r>
        <w:t>d</w:t>
      </w:r>
      <w:r>
        <w:rPr>
          <w:spacing w:val="1"/>
        </w:rPr>
        <w:t>i</w:t>
      </w:r>
      <w:r>
        <w:t xml:space="preserve">n </w:t>
      </w:r>
      <w:r>
        <w:rPr>
          <w:spacing w:val="-3"/>
        </w:rPr>
        <w:t>g</w:t>
      </w:r>
      <w:r>
        <w:t>ru</w:t>
      </w:r>
      <w:r>
        <w:rPr>
          <w:spacing w:val="-3"/>
        </w:rPr>
        <w:t>p</w:t>
      </w:r>
      <w:r>
        <w:t>ul</w:t>
      </w:r>
      <w:r>
        <w:rPr>
          <w:spacing w:val="1"/>
        </w:rPr>
        <w:t xml:space="preserve"> </w:t>
      </w:r>
      <w:r>
        <w:rPr>
          <w:spacing w:val="-3"/>
        </w:rPr>
        <w:t>d</w:t>
      </w:r>
      <w:r>
        <w:t>e co</w:t>
      </w:r>
      <w:r>
        <w:rPr>
          <w:spacing w:val="-3"/>
        </w:rPr>
        <w:t>n</w:t>
      </w:r>
      <w:r>
        <w:rPr>
          <w:spacing w:val="-2"/>
        </w:rPr>
        <w:t>t</w:t>
      </w:r>
      <w:r>
        <w:t>ro</w:t>
      </w:r>
      <w:r>
        <w:rPr>
          <w:spacing w:val="1"/>
        </w:rPr>
        <w:t>l</w:t>
      </w:r>
      <w:r>
        <w:t>.</w:t>
      </w:r>
      <w:r>
        <w:rPr>
          <w:spacing w:val="-3"/>
        </w:rPr>
        <w:t xml:space="preserve"> </w:t>
      </w:r>
      <w:r>
        <w:rPr>
          <w:spacing w:val="1"/>
        </w:rPr>
        <w:t>T</w:t>
      </w:r>
      <w:r>
        <w:rPr>
          <w:spacing w:val="-3"/>
        </w:rPr>
        <w:t>o</w:t>
      </w:r>
      <w:r>
        <w:rPr>
          <w:spacing w:val="1"/>
        </w:rPr>
        <w:t>t</w:t>
      </w:r>
      <w:r>
        <w:rPr>
          <w:spacing w:val="-3"/>
        </w:rPr>
        <w:t>u</w:t>
      </w:r>
      <w:r>
        <w:t>ş</w:t>
      </w:r>
      <w:r>
        <w:rPr>
          <w:spacing w:val="1"/>
        </w:rPr>
        <w:t>i</w:t>
      </w:r>
      <w:r>
        <w:t>,</w:t>
      </w:r>
      <w:r>
        <w:rPr>
          <w:spacing w:val="-3"/>
        </w:rPr>
        <w:t xml:space="preserve"> </w:t>
      </w:r>
      <w:r>
        <w:rPr>
          <w:spacing w:val="1"/>
        </w:rPr>
        <w:t>i</w:t>
      </w:r>
      <w:r>
        <w:t>n</w:t>
      </w:r>
      <w:r>
        <w:rPr>
          <w:spacing w:val="-3"/>
        </w:rPr>
        <w:t>c</w:t>
      </w:r>
      <w:r>
        <w:rPr>
          <w:spacing w:val="1"/>
        </w:rPr>
        <w:t>i</w:t>
      </w:r>
      <w:r>
        <w:t>de</w:t>
      </w:r>
      <w:r>
        <w:rPr>
          <w:spacing w:val="-3"/>
        </w:rPr>
        <w:t>n</w:t>
      </w:r>
      <w:r>
        <w:rPr>
          <w:spacing w:val="1"/>
        </w:rPr>
        <w:t>ţ</w:t>
      </w:r>
      <w:r>
        <w:t>a</w:t>
      </w:r>
      <w:r>
        <w:rPr>
          <w:spacing w:val="-2"/>
        </w:rPr>
        <w:t xml:space="preserve"> </w:t>
      </w:r>
      <w:r>
        <w:t>a f</w:t>
      </w:r>
      <w:r>
        <w:rPr>
          <w:spacing w:val="-3"/>
        </w:rPr>
        <w:t>o</w:t>
      </w:r>
      <w:r>
        <w:t>st</w:t>
      </w:r>
      <w:r>
        <w:rPr>
          <w:spacing w:val="-2"/>
        </w:rPr>
        <w:t xml:space="preserve"> </w:t>
      </w:r>
      <w:r>
        <w:t>ra</w:t>
      </w:r>
      <w:r>
        <w:rPr>
          <w:spacing w:val="-2"/>
        </w:rPr>
        <w:t>r</w:t>
      </w:r>
      <w:r>
        <w:t xml:space="preserve">ă. </w:t>
      </w:r>
      <w:r>
        <w:rPr>
          <w:spacing w:val="-4"/>
        </w:rPr>
        <w:t>Î</w:t>
      </w:r>
      <w:r>
        <w:t>n obser</w:t>
      </w:r>
      <w:r>
        <w:rPr>
          <w:spacing w:val="-3"/>
        </w:rPr>
        <w:t>v</w:t>
      </w:r>
      <w:r>
        <w:t>a</w:t>
      </w:r>
      <w:r>
        <w:rPr>
          <w:spacing w:val="1"/>
        </w:rPr>
        <w:t>ţ</w:t>
      </w:r>
      <w:r>
        <w:rPr>
          <w:spacing w:val="-2"/>
        </w:rPr>
        <w:t>i</w:t>
      </w:r>
      <w:r>
        <w:rPr>
          <w:spacing w:val="1"/>
        </w:rPr>
        <w:t>i</w:t>
      </w:r>
      <w:r>
        <w:rPr>
          <w:spacing w:val="-2"/>
        </w:rPr>
        <w:t>l</w:t>
      </w:r>
      <w:r>
        <w:t>e de</w:t>
      </w:r>
      <w:r>
        <w:rPr>
          <w:spacing w:val="-2"/>
        </w:rPr>
        <w:t xml:space="preserve"> </w:t>
      </w:r>
      <w:r>
        <w:t>du</w:t>
      </w:r>
      <w:r>
        <w:rPr>
          <w:spacing w:val="-3"/>
        </w:rPr>
        <w:t>p</w:t>
      </w:r>
      <w:r>
        <w:t>ă pun</w:t>
      </w:r>
      <w:r>
        <w:rPr>
          <w:spacing w:val="-3"/>
        </w:rPr>
        <w:t>e</w:t>
      </w:r>
      <w:r>
        <w:t xml:space="preserve">re </w:t>
      </w:r>
      <w:r>
        <w:rPr>
          <w:spacing w:val="-3"/>
        </w:rPr>
        <w:t>p</w:t>
      </w:r>
      <w:r>
        <w:t>e p</w:t>
      </w:r>
      <w:r>
        <w:rPr>
          <w:spacing w:val="-2"/>
        </w:rPr>
        <w:t>i</w:t>
      </w:r>
      <w:r>
        <w:t>a</w:t>
      </w:r>
      <w:r>
        <w:rPr>
          <w:spacing w:val="1"/>
        </w:rPr>
        <w:t>ţ</w:t>
      </w:r>
      <w:r>
        <w:rPr>
          <w:spacing w:val="-3"/>
        </w:rPr>
        <w:t>ă</w:t>
      </w:r>
      <w:r>
        <w:t>, s</w:t>
      </w:r>
      <w:r>
        <w:rPr>
          <w:spacing w:val="-4"/>
        </w:rPr>
        <w:t>-</w:t>
      </w:r>
      <w:r>
        <w:t>au rapor</w:t>
      </w:r>
      <w:r>
        <w:rPr>
          <w:spacing w:val="-2"/>
        </w:rPr>
        <w:t>t</w:t>
      </w:r>
      <w:r>
        <w:t>at</w:t>
      </w:r>
      <w:r>
        <w:rPr>
          <w:spacing w:val="-2"/>
        </w:rPr>
        <w:t xml:space="preserve"> </w:t>
      </w:r>
      <w:r>
        <w:t>ca</w:t>
      </w:r>
      <w:r>
        <w:rPr>
          <w:spacing w:val="-3"/>
        </w:rPr>
        <w:t>z</w:t>
      </w:r>
      <w:r>
        <w:t>uri</w:t>
      </w:r>
      <w:r>
        <w:rPr>
          <w:spacing w:val="-2"/>
        </w:rPr>
        <w:t xml:space="preserve"> </w:t>
      </w:r>
      <w:r>
        <w:t>de</w:t>
      </w:r>
      <w:r>
        <w:rPr>
          <w:spacing w:val="-2"/>
        </w:rPr>
        <w:t xml:space="preserve"> </w:t>
      </w:r>
      <w:r>
        <w:rPr>
          <w:spacing w:val="1"/>
        </w:rPr>
        <w:t>l</w:t>
      </w:r>
      <w:r>
        <w:t>eu</w:t>
      </w:r>
      <w:r>
        <w:rPr>
          <w:spacing w:val="-3"/>
        </w:rPr>
        <w:t>c</w:t>
      </w:r>
      <w:r>
        <w:t>e</w:t>
      </w:r>
      <w:r>
        <w:rPr>
          <w:spacing w:val="-4"/>
        </w:rPr>
        <w:t>m</w:t>
      </w:r>
      <w:r>
        <w:rPr>
          <w:spacing w:val="1"/>
        </w:rPr>
        <w:t>i</w:t>
      </w:r>
      <w:r>
        <w:t xml:space="preserve">e </w:t>
      </w:r>
      <w:r>
        <w:rPr>
          <w:spacing w:val="1"/>
        </w:rPr>
        <w:t>l</w:t>
      </w:r>
      <w:r>
        <w:t>a p</w:t>
      </w:r>
      <w:r>
        <w:rPr>
          <w:spacing w:val="-3"/>
        </w:rPr>
        <w:t>a</w:t>
      </w:r>
      <w:r>
        <w:t>c</w:t>
      </w:r>
      <w:r>
        <w:rPr>
          <w:spacing w:val="1"/>
        </w:rPr>
        <w:t>i</w:t>
      </w:r>
      <w:r>
        <w:rPr>
          <w:spacing w:val="-3"/>
        </w:rPr>
        <w:t>e</w:t>
      </w:r>
      <w:r>
        <w:t>n</w:t>
      </w:r>
      <w:r>
        <w:rPr>
          <w:spacing w:val="-2"/>
        </w:rPr>
        <w:t>ţ</w:t>
      </w:r>
      <w:r>
        <w:rPr>
          <w:spacing w:val="1"/>
        </w:rPr>
        <w:t>i</w:t>
      </w:r>
      <w:r>
        <w:t>i</w:t>
      </w:r>
      <w:r>
        <w:rPr>
          <w:spacing w:val="-2"/>
        </w:rPr>
        <w:t xml:space="preserve"> </w:t>
      </w:r>
      <w:r>
        <w:rPr>
          <w:spacing w:val="1"/>
        </w:rPr>
        <w:t>t</w:t>
      </w:r>
      <w:r>
        <w:rPr>
          <w:spacing w:val="-2"/>
        </w:rPr>
        <w:t>r</w:t>
      </w:r>
      <w:r>
        <w:t>a</w:t>
      </w:r>
      <w:r>
        <w:rPr>
          <w:spacing w:val="1"/>
        </w:rPr>
        <w:t>t</w:t>
      </w:r>
      <w:r>
        <w:rPr>
          <w:spacing w:val="-3"/>
        </w:rPr>
        <w:t>a</w:t>
      </w:r>
      <w:r>
        <w:rPr>
          <w:spacing w:val="-2"/>
        </w:rPr>
        <w:t>ţ</w:t>
      </w:r>
      <w:r>
        <w:t>i</w:t>
      </w:r>
      <w:r>
        <w:rPr>
          <w:spacing w:val="1"/>
        </w:rPr>
        <w:t xml:space="preserve"> </w:t>
      </w:r>
      <w:r>
        <w:t xml:space="preserve">cu </w:t>
      </w:r>
      <w:r>
        <w:rPr>
          <w:spacing w:val="-3"/>
        </w:rPr>
        <w:t>a</w:t>
      </w:r>
      <w:r>
        <w:t>n</w:t>
      </w:r>
      <w:r>
        <w:rPr>
          <w:spacing w:val="1"/>
        </w:rPr>
        <w:t>t</w:t>
      </w:r>
      <w:r>
        <w:t>a</w:t>
      </w:r>
      <w:r>
        <w:rPr>
          <w:spacing w:val="-3"/>
        </w:rPr>
        <w:t>g</w:t>
      </w:r>
      <w:r>
        <w:t>on</w:t>
      </w:r>
      <w:r>
        <w:rPr>
          <w:spacing w:val="1"/>
        </w:rPr>
        <w:t>i</w:t>
      </w:r>
      <w:r>
        <w:rPr>
          <w:spacing w:val="-2"/>
        </w:rPr>
        <w:t>ş</w:t>
      </w:r>
      <w:r>
        <w:rPr>
          <w:spacing w:val="1"/>
        </w:rPr>
        <w:t>t</w:t>
      </w:r>
      <w:r>
        <w:t>i</w:t>
      </w:r>
      <w:r>
        <w:rPr>
          <w:spacing w:val="-2"/>
        </w:rPr>
        <w:t xml:space="preserve"> </w:t>
      </w:r>
      <w:r>
        <w:rPr>
          <w:spacing w:val="1"/>
        </w:rPr>
        <w:t>T</w:t>
      </w:r>
      <w:r>
        <w:rPr>
          <w:spacing w:val="-1"/>
        </w:rPr>
        <w:t>NF</w:t>
      </w:r>
      <w:r>
        <w:t xml:space="preserve">. </w:t>
      </w:r>
      <w:r>
        <w:rPr>
          <w:spacing w:val="-3"/>
        </w:rPr>
        <w:t>E</w:t>
      </w:r>
      <w:r>
        <w:t>x</w:t>
      </w:r>
      <w:r>
        <w:rPr>
          <w:spacing w:val="1"/>
        </w:rPr>
        <w:t>i</w:t>
      </w:r>
      <w:r>
        <w:rPr>
          <w:spacing w:val="-2"/>
        </w:rPr>
        <w:t>s</w:t>
      </w:r>
      <w:r>
        <w:rPr>
          <w:spacing w:val="1"/>
        </w:rPr>
        <w:t>t</w:t>
      </w:r>
      <w:r>
        <w:t>ă</w:t>
      </w:r>
      <w:r>
        <w:rPr>
          <w:spacing w:val="-2"/>
        </w:rPr>
        <w:t xml:space="preserve"> </w:t>
      </w:r>
      <w:r>
        <w:t>o c</w:t>
      </w:r>
      <w:r>
        <w:rPr>
          <w:spacing w:val="-2"/>
        </w:rPr>
        <w:t>r</w:t>
      </w:r>
      <w:r>
        <w:t>eş</w:t>
      </w:r>
      <w:r>
        <w:rPr>
          <w:spacing w:val="1"/>
        </w:rPr>
        <w:t>t</w:t>
      </w:r>
      <w:r>
        <w:rPr>
          <w:spacing w:val="-3"/>
        </w:rPr>
        <w:t>e</w:t>
      </w:r>
      <w:r>
        <w:t>re</w:t>
      </w:r>
      <w:r>
        <w:rPr>
          <w:spacing w:val="-2"/>
        </w:rPr>
        <w:t xml:space="preserve"> </w:t>
      </w:r>
      <w:r>
        <w:t xml:space="preserve">a </w:t>
      </w:r>
      <w:r>
        <w:rPr>
          <w:spacing w:val="-2"/>
        </w:rPr>
        <w:t>r</w:t>
      </w:r>
      <w:r>
        <w:rPr>
          <w:spacing w:val="1"/>
        </w:rPr>
        <w:t>i</w:t>
      </w:r>
      <w:r>
        <w:t>s</w:t>
      </w:r>
      <w:r>
        <w:rPr>
          <w:spacing w:val="-3"/>
        </w:rPr>
        <w:t>c</w:t>
      </w:r>
      <w:r>
        <w:t>u</w:t>
      </w:r>
      <w:r>
        <w:rPr>
          <w:spacing w:val="1"/>
        </w:rPr>
        <w:t>l</w:t>
      </w:r>
      <w:r>
        <w:rPr>
          <w:spacing w:val="-3"/>
        </w:rPr>
        <w:t>u</w:t>
      </w:r>
      <w:r>
        <w:t xml:space="preserve">i </w:t>
      </w:r>
      <w:r>
        <w:rPr>
          <w:spacing w:val="1"/>
        </w:rPr>
        <w:t>i</w:t>
      </w:r>
      <w:r>
        <w:t>n</w:t>
      </w:r>
      <w:r>
        <w:rPr>
          <w:spacing w:val="-2"/>
        </w:rPr>
        <w:t>i</w:t>
      </w:r>
      <w:r>
        <w:rPr>
          <w:spacing w:val="1"/>
        </w:rPr>
        <w:t>ţ</w:t>
      </w:r>
      <w:r>
        <w:rPr>
          <w:spacing w:val="-2"/>
        </w:rPr>
        <w:t>i</w:t>
      </w:r>
      <w:r>
        <w:t>al</w:t>
      </w:r>
      <w:r>
        <w:rPr>
          <w:spacing w:val="1"/>
        </w:rPr>
        <w:t xml:space="preserve"> </w:t>
      </w:r>
      <w:r>
        <w:rPr>
          <w:spacing w:val="-3"/>
        </w:rPr>
        <w:t>p</w:t>
      </w:r>
      <w:r>
        <w:t>r</w:t>
      </w:r>
      <w:r>
        <w:rPr>
          <w:spacing w:val="1"/>
        </w:rPr>
        <w:t>i</w:t>
      </w:r>
      <w:r>
        <w:rPr>
          <w:spacing w:val="-3"/>
        </w:rPr>
        <w:t>v</w:t>
      </w:r>
      <w:r>
        <w:rPr>
          <w:spacing w:val="1"/>
        </w:rPr>
        <w:t>i</w:t>
      </w:r>
      <w:r>
        <w:t>nd</w:t>
      </w:r>
      <w:r>
        <w:rPr>
          <w:spacing w:val="-3"/>
        </w:rPr>
        <w:t xml:space="preserve"> </w:t>
      </w:r>
      <w:r>
        <w:t>ap</w:t>
      </w:r>
      <w:r>
        <w:rPr>
          <w:spacing w:val="-3"/>
        </w:rPr>
        <w:t>a</w:t>
      </w:r>
      <w:r>
        <w:t>r</w:t>
      </w:r>
      <w:r>
        <w:rPr>
          <w:spacing w:val="-2"/>
        </w:rPr>
        <w:t>i</w:t>
      </w:r>
      <w:r>
        <w:rPr>
          <w:spacing w:val="1"/>
        </w:rPr>
        <w:t>ţ</w:t>
      </w:r>
      <w:r>
        <w:rPr>
          <w:spacing w:val="-2"/>
        </w:rPr>
        <w:t>i</w:t>
      </w:r>
      <w:r>
        <w:t xml:space="preserve">a </w:t>
      </w:r>
      <w:r>
        <w:rPr>
          <w:spacing w:val="-2"/>
        </w:rPr>
        <w:t>l</w:t>
      </w:r>
      <w:r>
        <w:rPr>
          <w:spacing w:val="1"/>
        </w:rPr>
        <w:t>i</w:t>
      </w:r>
      <w:r>
        <w:rPr>
          <w:spacing w:val="-4"/>
        </w:rPr>
        <w:t>m</w:t>
      </w:r>
      <w:r>
        <w:t>foa</w:t>
      </w:r>
      <w:r>
        <w:rPr>
          <w:spacing w:val="-4"/>
        </w:rPr>
        <w:t>m</w:t>
      </w:r>
      <w:r>
        <w:t>e</w:t>
      </w:r>
      <w:r>
        <w:rPr>
          <w:spacing w:val="1"/>
        </w:rPr>
        <w:t>l</w:t>
      </w:r>
      <w:r>
        <w:t>or</w:t>
      </w:r>
      <w:r>
        <w:rPr>
          <w:spacing w:val="1"/>
        </w:rPr>
        <w:t xml:space="preserve"> </w:t>
      </w:r>
      <w:r>
        <w:rPr>
          <w:rFonts w:eastAsia="MS Mincho"/>
          <w:spacing w:val="-2"/>
          <w:szCs w:val="22"/>
          <w:lang w:eastAsia="en-US" w:bidi="ar-SA"/>
        </w:rPr>
        <w:t>ş</w:t>
      </w:r>
      <w:r>
        <w:rPr>
          <w:rFonts w:eastAsia="MS Mincho"/>
          <w:szCs w:val="22"/>
          <w:lang w:eastAsia="en-US" w:bidi="ar-SA"/>
        </w:rPr>
        <w:t>i</w:t>
      </w:r>
      <w:r>
        <w:rPr>
          <w:rFonts w:eastAsia="MS Mincho"/>
          <w:spacing w:val="1"/>
          <w:szCs w:val="22"/>
          <w:lang w:eastAsia="en-US" w:bidi="ar-SA"/>
        </w:rPr>
        <w:t xml:space="preserve"> a leucemiei </w:t>
      </w:r>
      <w:r>
        <w:rPr>
          <w:spacing w:val="1"/>
        </w:rPr>
        <w:t>l</w:t>
      </w:r>
      <w:r>
        <w:t>a</w:t>
      </w:r>
      <w:r>
        <w:rPr>
          <w:spacing w:val="-2"/>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t>cu</w:t>
      </w:r>
      <w:r>
        <w:rPr>
          <w:spacing w:val="-3"/>
        </w:rPr>
        <w:t xml:space="preserve"> </w:t>
      </w:r>
      <w:r>
        <w:t>po</w:t>
      </w:r>
      <w:r>
        <w:rPr>
          <w:spacing w:val="-2"/>
        </w:rPr>
        <w:t>l</w:t>
      </w:r>
      <w:r>
        <w:rPr>
          <w:spacing w:val="1"/>
        </w:rPr>
        <w:t>i</w:t>
      </w:r>
      <w:r>
        <w:rPr>
          <w:spacing w:val="-3"/>
        </w:rPr>
        <w:t>a</w:t>
      </w:r>
      <w:r>
        <w:t>r</w:t>
      </w:r>
      <w:r>
        <w:rPr>
          <w:spacing w:val="1"/>
        </w:rPr>
        <w:t>t</w:t>
      </w:r>
      <w:r>
        <w:rPr>
          <w:spacing w:val="-2"/>
        </w:rPr>
        <w:t>ri</w:t>
      </w:r>
      <w:r>
        <w:rPr>
          <w:spacing w:val="1"/>
        </w:rPr>
        <w:t>t</w:t>
      </w:r>
      <w:r>
        <w:t xml:space="preserve">ă </w:t>
      </w:r>
      <w:r>
        <w:rPr>
          <w:spacing w:val="-2"/>
        </w:rPr>
        <w:t>r</w:t>
      </w:r>
      <w:r>
        <w:t>eu</w:t>
      </w:r>
      <w:r>
        <w:rPr>
          <w:spacing w:val="-4"/>
        </w:rPr>
        <w:t>m</w:t>
      </w:r>
      <w:r>
        <w:t>a</w:t>
      </w:r>
      <w:r>
        <w:rPr>
          <w:spacing w:val="1"/>
        </w:rPr>
        <w:t>t</w:t>
      </w:r>
      <w:r>
        <w:t>o</w:t>
      </w:r>
      <w:r>
        <w:rPr>
          <w:spacing w:val="1"/>
        </w:rPr>
        <w:t>i</w:t>
      </w:r>
      <w:r>
        <w:rPr>
          <w:spacing w:val="-3"/>
        </w:rPr>
        <w:t>d</w:t>
      </w:r>
      <w:r>
        <w:t xml:space="preserve">ă cu </w:t>
      </w:r>
      <w:r>
        <w:rPr>
          <w:spacing w:val="-3"/>
        </w:rPr>
        <w:t>b</w:t>
      </w:r>
      <w:r>
        <w:t>oa</w:t>
      </w:r>
      <w:r>
        <w:rPr>
          <w:spacing w:val="-2"/>
        </w:rPr>
        <w:t>l</w:t>
      </w:r>
      <w:r>
        <w:t xml:space="preserve">ă </w:t>
      </w:r>
      <w:r>
        <w:rPr>
          <w:spacing w:val="-2"/>
        </w:rPr>
        <w:t>i</w:t>
      </w:r>
      <w:r>
        <w:t>nf</w:t>
      </w:r>
      <w:r>
        <w:rPr>
          <w:spacing w:val="1"/>
        </w:rPr>
        <w:t>l</w:t>
      </w:r>
      <w:r>
        <w:t>a</w:t>
      </w:r>
      <w:r>
        <w:rPr>
          <w:spacing w:val="-4"/>
        </w:rPr>
        <w:t>m</w:t>
      </w:r>
      <w:r>
        <w:t>a</w:t>
      </w:r>
      <w:r>
        <w:rPr>
          <w:spacing w:val="1"/>
        </w:rPr>
        <w:t>t</w:t>
      </w:r>
      <w:r>
        <w:rPr>
          <w:spacing w:val="-3"/>
        </w:rPr>
        <w:t>o</w:t>
      </w:r>
      <w:r>
        <w:t>r</w:t>
      </w:r>
      <w:r>
        <w:rPr>
          <w:spacing w:val="1"/>
        </w:rPr>
        <w:t>i</w:t>
      </w:r>
      <w:r>
        <w:t>e</w:t>
      </w:r>
      <w:r>
        <w:rPr>
          <w:spacing w:val="-2"/>
        </w:rPr>
        <w:t xml:space="preserve"> </w:t>
      </w:r>
      <w:r>
        <w:t>f</w:t>
      </w:r>
      <w:r>
        <w:rPr>
          <w:spacing w:val="-3"/>
        </w:rPr>
        <w:t>o</w:t>
      </w:r>
      <w:r>
        <w:t>a</w:t>
      </w:r>
      <w:r>
        <w:rPr>
          <w:spacing w:val="-2"/>
        </w:rPr>
        <w:t>r</w:t>
      </w:r>
      <w:r>
        <w:rPr>
          <w:spacing w:val="1"/>
        </w:rPr>
        <w:t>t</w:t>
      </w:r>
      <w:r>
        <w:t>e ac</w:t>
      </w:r>
      <w:r>
        <w:rPr>
          <w:spacing w:val="-2"/>
        </w:rPr>
        <w:t>t</w:t>
      </w:r>
      <w:r>
        <w:rPr>
          <w:spacing w:val="1"/>
        </w:rPr>
        <w:t>i</w:t>
      </w:r>
      <w:r>
        <w:rPr>
          <w:spacing w:val="-3"/>
        </w:rPr>
        <w:t>v</w:t>
      </w:r>
      <w:r>
        <w:t>ă şi</w:t>
      </w:r>
      <w:r>
        <w:rPr>
          <w:spacing w:val="1"/>
        </w:rPr>
        <w:t xml:space="preserve"> </w:t>
      </w:r>
      <w:r>
        <w:rPr>
          <w:spacing w:val="-3"/>
        </w:rPr>
        <w:t>d</w:t>
      </w:r>
      <w:r>
        <w:t xml:space="preserve">e </w:t>
      </w:r>
      <w:r>
        <w:rPr>
          <w:spacing w:val="1"/>
        </w:rPr>
        <w:t>l</w:t>
      </w:r>
      <w:r>
        <w:rPr>
          <w:spacing w:val="-3"/>
        </w:rPr>
        <w:t>u</w:t>
      </w:r>
      <w:r>
        <w:t>n</w:t>
      </w:r>
      <w:r>
        <w:rPr>
          <w:spacing w:val="-3"/>
        </w:rPr>
        <w:t>g</w:t>
      </w:r>
      <w:r>
        <w:t>ă dur</w:t>
      </w:r>
      <w:r>
        <w:rPr>
          <w:spacing w:val="-3"/>
        </w:rPr>
        <w:t>a</w:t>
      </w:r>
      <w:r>
        <w:rPr>
          <w:spacing w:val="1"/>
        </w:rPr>
        <w:t>t</w:t>
      </w:r>
      <w:r>
        <w:t>ă,</w:t>
      </w:r>
      <w:r>
        <w:rPr>
          <w:spacing w:val="-3"/>
        </w:rPr>
        <w:t xml:space="preserve"> </w:t>
      </w:r>
      <w:r>
        <w:t>c</w:t>
      </w:r>
      <w:r>
        <w:rPr>
          <w:spacing w:val="-3"/>
        </w:rPr>
        <w:t>a</w:t>
      </w:r>
      <w:r>
        <w:t>re co</w:t>
      </w:r>
      <w:r>
        <w:rPr>
          <w:spacing w:val="-4"/>
        </w:rPr>
        <w:t>m</w:t>
      </w:r>
      <w:r>
        <w:t>p</w:t>
      </w:r>
      <w:r>
        <w:rPr>
          <w:spacing w:val="1"/>
        </w:rPr>
        <w:t>l</w:t>
      </w:r>
      <w:r>
        <w:rPr>
          <w:spacing w:val="-2"/>
        </w:rPr>
        <w:t>i</w:t>
      </w:r>
      <w:r>
        <w:t xml:space="preserve">că </w:t>
      </w:r>
      <w:r>
        <w:rPr>
          <w:spacing w:val="-3"/>
        </w:rPr>
        <w:t>e</w:t>
      </w:r>
      <w:r>
        <w:t>s</w:t>
      </w:r>
      <w:r>
        <w:rPr>
          <w:spacing w:val="-2"/>
        </w:rPr>
        <w:t>t</w:t>
      </w:r>
      <w:r>
        <w:rPr>
          <w:spacing w:val="1"/>
        </w:rPr>
        <w:t>i</w:t>
      </w:r>
      <w:r>
        <w:rPr>
          <w:spacing w:val="-4"/>
        </w:rPr>
        <w:t>m</w:t>
      </w:r>
      <w:r>
        <w:t xml:space="preserve">area </w:t>
      </w:r>
      <w:r>
        <w:rPr>
          <w:spacing w:val="-3"/>
        </w:rPr>
        <w:t>g</w:t>
      </w:r>
      <w:r>
        <w:t>ra</w:t>
      </w:r>
      <w:r>
        <w:rPr>
          <w:spacing w:val="-3"/>
        </w:rPr>
        <w:t>d</w:t>
      </w:r>
      <w:r>
        <w:t>u</w:t>
      </w:r>
      <w:r>
        <w:rPr>
          <w:spacing w:val="1"/>
        </w:rPr>
        <w:t>l</w:t>
      </w:r>
      <w:r>
        <w:t>ui</w:t>
      </w:r>
      <w:r>
        <w:rPr>
          <w:spacing w:val="-2"/>
        </w:rPr>
        <w:t xml:space="preserve"> </w:t>
      </w:r>
      <w:r>
        <w:t xml:space="preserve">de </w:t>
      </w:r>
      <w:r>
        <w:rPr>
          <w:spacing w:val="-2"/>
        </w:rPr>
        <w:t>r</w:t>
      </w:r>
      <w:r>
        <w:rPr>
          <w:spacing w:val="1"/>
        </w:rPr>
        <w:t>i</w:t>
      </w:r>
      <w:r>
        <w:rPr>
          <w:spacing w:val="-2"/>
        </w:rPr>
        <w:t>s</w:t>
      </w:r>
      <w:r>
        <w:t xml:space="preserve">c. </w:t>
      </w:r>
      <w:r>
        <w:rPr>
          <w:spacing w:val="-1"/>
        </w:rPr>
        <w:t>P</w:t>
      </w:r>
      <w:r>
        <w:t xml:space="preserve">e </w:t>
      </w:r>
      <w:r>
        <w:rPr>
          <w:spacing w:val="-3"/>
        </w:rPr>
        <w:t>b</w:t>
      </w:r>
      <w:r>
        <w:t>a</w:t>
      </w:r>
      <w:r>
        <w:rPr>
          <w:spacing w:val="-3"/>
        </w:rPr>
        <w:t>z</w:t>
      </w:r>
      <w:r>
        <w:t>a cun</w:t>
      </w:r>
      <w:r>
        <w:rPr>
          <w:spacing w:val="-3"/>
        </w:rPr>
        <w:t>o</w:t>
      </w:r>
      <w:r>
        <w:t>ş</w:t>
      </w:r>
      <w:r>
        <w:rPr>
          <w:spacing w:val="-2"/>
        </w:rPr>
        <w:t>ti</w:t>
      </w:r>
      <w:r>
        <w:t>n</w:t>
      </w:r>
      <w:r>
        <w:rPr>
          <w:spacing w:val="1"/>
        </w:rPr>
        <w:t>ţ</w:t>
      </w:r>
      <w:r>
        <w:rPr>
          <w:spacing w:val="-3"/>
        </w:rPr>
        <w:t>e</w:t>
      </w:r>
      <w:r>
        <w:rPr>
          <w:spacing w:val="1"/>
        </w:rPr>
        <w:t>l</w:t>
      </w:r>
      <w:r>
        <w:t>or</w:t>
      </w:r>
      <w:r>
        <w:rPr>
          <w:spacing w:val="-2"/>
        </w:rPr>
        <w:t xml:space="preserve"> </w:t>
      </w:r>
      <w:r>
        <w:t>ac</w:t>
      </w:r>
      <w:r>
        <w:rPr>
          <w:spacing w:val="-2"/>
        </w:rPr>
        <w:t>t</w:t>
      </w:r>
      <w:r>
        <w:t>ua</w:t>
      </w:r>
      <w:r>
        <w:rPr>
          <w:spacing w:val="-2"/>
        </w:rPr>
        <w:t>l</w:t>
      </w:r>
      <w:r>
        <w:t>e, nu poa</w:t>
      </w:r>
      <w:r>
        <w:rPr>
          <w:spacing w:val="1"/>
        </w:rPr>
        <w:t>t</w:t>
      </w:r>
      <w:r>
        <w:t>e</w:t>
      </w:r>
      <w:r>
        <w:rPr>
          <w:spacing w:val="-2"/>
        </w:rPr>
        <w:t xml:space="preserve"> f</w:t>
      </w:r>
      <w:r>
        <w:t>i</w:t>
      </w:r>
      <w:r>
        <w:rPr>
          <w:spacing w:val="1"/>
        </w:rPr>
        <w:t xml:space="preserve"> </w:t>
      </w:r>
      <w:r>
        <w:t>ex</w:t>
      </w:r>
      <w:r>
        <w:rPr>
          <w:spacing w:val="-3"/>
        </w:rPr>
        <w:t>c</w:t>
      </w:r>
      <w:r>
        <w:rPr>
          <w:spacing w:val="1"/>
        </w:rPr>
        <w:t>l</w:t>
      </w:r>
      <w:r>
        <w:t>us</w:t>
      </w:r>
      <w:r>
        <w:rPr>
          <w:spacing w:val="-2"/>
        </w:rPr>
        <w:t xml:space="preserve"> r</w:t>
      </w:r>
      <w:r>
        <w:rPr>
          <w:spacing w:val="1"/>
        </w:rPr>
        <w:t>i</w:t>
      </w:r>
      <w:r>
        <w:t>sc</w:t>
      </w:r>
      <w:r>
        <w:rPr>
          <w:spacing w:val="-3"/>
        </w:rPr>
        <w:t>u</w:t>
      </w:r>
      <w:r>
        <w:t>l</w:t>
      </w:r>
      <w:r>
        <w:rPr>
          <w:spacing w:val="1"/>
        </w:rPr>
        <w:t xml:space="preserve"> </w:t>
      </w:r>
      <w:r>
        <w:t>a</w:t>
      </w:r>
      <w:r>
        <w:rPr>
          <w:spacing w:val="-3"/>
        </w:rPr>
        <w:t>p</w:t>
      </w:r>
      <w:r>
        <w:t>a</w:t>
      </w:r>
      <w:r>
        <w:rPr>
          <w:spacing w:val="-2"/>
        </w:rPr>
        <w:t>r</w:t>
      </w:r>
      <w:r>
        <w:rPr>
          <w:spacing w:val="1"/>
        </w:rPr>
        <w:t>i</w:t>
      </w:r>
      <w:r>
        <w:rPr>
          <w:spacing w:val="-2"/>
        </w:rPr>
        <w:t>ţi</w:t>
      </w:r>
      <w:r>
        <w:t>ei</w:t>
      </w:r>
      <w:r>
        <w:rPr>
          <w:spacing w:val="1"/>
        </w:rPr>
        <w:t xml:space="preserve"> </w:t>
      </w:r>
      <w:r>
        <w:rPr>
          <w:spacing w:val="-2"/>
        </w:rPr>
        <w:t>l</w:t>
      </w:r>
      <w:r>
        <w:rPr>
          <w:spacing w:val="1"/>
        </w:rPr>
        <w:t>i</w:t>
      </w:r>
      <w:r>
        <w:rPr>
          <w:spacing w:val="-4"/>
        </w:rPr>
        <w:t>m</w:t>
      </w:r>
      <w:r>
        <w:t>foa</w:t>
      </w:r>
      <w:r>
        <w:rPr>
          <w:spacing w:val="-4"/>
        </w:rPr>
        <w:t>m</w:t>
      </w:r>
      <w:r>
        <w:t>e</w:t>
      </w:r>
      <w:r>
        <w:rPr>
          <w:spacing w:val="1"/>
        </w:rPr>
        <w:t>l</w:t>
      </w:r>
      <w:r>
        <w:t xml:space="preserve">or, </w:t>
      </w:r>
      <w:r>
        <w:rPr>
          <w:spacing w:val="-2"/>
        </w:rPr>
        <w:t>l</w:t>
      </w:r>
      <w:r>
        <w:t>eu</w:t>
      </w:r>
      <w:r>
        <w:rPr>
          <w:spacing w:val="-3"/>
        </w:rPr>
        <w:t>c</w:t>
      </w:r>
      <w:r>
        <w:t>e</w:t>
      </w:r>
      <w:r>
        <w:rPr>
          <w:spacing w:val="-4"/>
        </w:rPr>
        <w:t>m</w:t>
      </w:r>
      <w:r>
        <w:rPr>
          <w:spacing w:val="1"/>
        </w:rPr>
        <w:t>i</w:t>
      </w:r>
      <w:r>
        <w:t>ei</w:t>
      </w:r>
      <w:r>
        <w:rPr>
          <w:spacing w:val="1"/>
        </w:rPr>
        <w:t xml:space="preserve"> </w:t>
      </w:r>
      <w:r>
        <w:rPr>
          <w:spacing w:val="-2"/>
        </w:rPr>
        <w:t>ş</w:t>
      </w:r>
      <w:r>
        <w:t>i</w:t>
      </w:r>
      <w:r>
        <w:rPr>
          <w:spacing w:val="1"/>
        </w:rPr>
        <w:t xml:space="preserve"> </w:t>
      </w:r>
      <w:r>
        <w:t xml:space="preserve">a </w:t>
      </w:r>
      <w:r>
        <w:rPr>
          <w:spacing w:val="-3"/>
        </w:rPr>
        <w:t>a</w:t>
      </w:r>
      <w:r>
        <w:rPr>
          <w:spacing w:val="1"/>
        </w:rPr>
        <w:t>l</w:t>
      </w:r>
      <w:r>
        <w:rPr>
          <w:spacing w:val="-2"/>
        </w:rPr>
        <w:t>t</w:t>
      </w:r>
      <w:r>
        <w:t>or</w:t>
      </w:r>
      <w:r>
        <w:rPr>
          <w:spacing w:val="1"/>
        </w:rPr>
        <w:t xml:space="preserve"> </w:t>
      </w:r>
      <w:r>
        <w:rPr>
          <w:spacing w:val="-3"/>
        </w:rPr>
        <w:t>a</w:t>
      </w:r>
      <w:r>
        <w:t>fe</w:t>
      </w:r>
      <w:r>
        <w:rPr>
          <w:spacing w:val="-3"/>
        </w:rPr>
        <w:t>c</w:t>
      </w:r>
      <w:r>
        <w:rPr>
          <w:spacing w:val="-2"/>
        </w:rPr>
        <w:t>ţ</w:t>
      </w:r>
      <w:r>
        <w:rPr>
          <w:spacing w:val="1"/>
        </w:rPr>
        <w:t>i</w:t>
      </w:r>
      <w:r>
        <w:t>uni</w:t>
      </w:r>
      <w:r>
        <w:rPr>
          <w:spacing w:val="1"/>
        </w:rPr>
        <w:t xml:space="preserve"> </w:t>
      </w:r>
      <w:r>
        <w:rPr>
          <w:spacing w:val="-4"/>
        </w:rPr>
        <w:t>m</w:t>
      </w:r>
      <w:r>
        <w:t>a</w:t>
      </w:r>
      <w:r>
        <w:rPr>
          <w:spacing w:val="-2"/>
        </w:rPr>
        <w:t>l</w:t>
      </w:r>
      <w:r>
        <w:rPr>
          <w:spacing w:val="1"/>
        </w:rPr>
        <w:t>i</w:t>
      </w:r>
      <w:r>
        <w:rPr>
          <w:spacing w:val="-3"/>
        </w:rPr>
        <w:t>g</w:t>
      </w:r>
      <w:r>
        <w:t xml:space="preserve">ne </w:t>
      </w:r>
      <w:r>
        <w:rPr>
          <w:spacing w:val="-2"/>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rPr>
          <w:spacing w:val="-3"/>
        </w:rPr>
        <w:t>a</w:t>
      </w:r>
      <w:r>
        <w:rPr>
          <w:spacing w:val="1"/>
        </w:rPr>
        <w:t>ţ</w:t>
      </w:r>
      <w:r>
        <w:t>i</w:t>
      </w:r>
      <w:r>
        <w:rPr>
          <w:spacing w:val="1"/>
        </w:rPr>
        <w:t xml:space="preserve"> </w:t>
      </w:r>
      <w:r>
        <w:rPr>
          <w:spacing w:val="-3"/>
        </w:rPr>
        <w:t>c</w:t>
      </w:r>
      <w:r>
        <w:t>u an</w:t>
      </w:r>
      <w:r>
        <w:rPr>
          <w:spacing w:val="1"/>
        </w:rPr>
        <w:t>t</w:t>
      </w:r>
      <w:r>
        <w:t>a</w:t>
      </w:r>
      <w:r>
        <w:rPr>
          <w:spacing w:val="-3"/>
        </w:rPr>
        <w:t>g</w:t>
      </w:r>
      <w:r>
        <w:t>on</w:t>
      </w:r>
      <w:r>
        <w:rPr>
          <w:spacing w:val="-2"/>
        </w:rPr>
        <w:t>i</w:t>
      </w:r>
      <w:r>
        <w:t>ş</w:t>
      </w:r>
      <w:r>
        <w:rPr>
          <w:spacing w:val="-2"/>
        </w:rPr>
        <w:t>t</w:t>
      </w:r>
      <w:r>
        <w:t>i</w:t>
      </w:r>
      <w:r>
        <w:rPr>
          <w:spacing w:val="-2"/>
        </w:rPr>
        <w:t xml:space="preserve"> </w:t>
      </w:r>
      <w:r>
        <w:rPr>
          <w:spacing w:val="1"/>
        </w:rPr>
        <w:t>T</w:t>
      </w:r>
      <w:r>
        <w:rPr>
          <w:spacing w:val="-1"/>
        </w:rPr>
        <w:t>NF</w:t>
      </w:r>
      <w:r>
        <w:t>.</w:t>
      </w:r>
    </w:p>
    <w:p w14:paraId="680231F9" w14:textId="77777777" w:rsidR="00C04CAD" w:rsidRDefault="00C04CAD">
      <w:pPr>
        <w:tabs>
          <w:tab w:val="clear" w:pos="567"/>
        </w:tabs>
        <w:kinsoku w:val="0"/>
        <w:overflowPunct w:val="0"/>
        <w:autoSpaceDE w:val="0"/>
        <w:autoSpaceDN w:val="0"/>
        <w:adjustRightInd w:val="0"/>
        <w:spacing w:line="240" w:lineRule="auto"/>
      </w:pPr>
    </w:p>
    <w:p w14:paraId="37440861" w14:textId="77777777" w:rsidR="00C04CAD" w:rsidRDefault="00060E34">
      <w:pPr>
        <w:tabs>
          <w:tab w:val="clear" w:pos="567"/>
        </w:tabs>
        <w:kinsoku w:val="0"/>
        <w:overflowPunct w:val="0"/>
        <w:autoSpaceDE w:val="0"/>
        <w:autoSpaceDN w:val="0"/>
        <w:adjustRightInd w:val="0"/>
        <w:spacing w:line="240" w:lineRule="auto"/>
      </w:pPr>
      <w:r>
        <w:rPr>
          <w:spacing w:val="-1"/>
        </w:rPr>
        <w:t>D</w:t>
      </w:r>
      <w:r>
        <w:t>upă pun</w:t>
      </w:r>
      <w:r>
        <w:rPr>
          <w:spacing w:val="-3"/>
        </w:rPr>
        <w:t>e</w:t>
      </w:r>
      <w:r>
        <w:t>rea</w:t>
      </w:r>
      <w:r>
        <w:rPr>
          <w:spacing w:val="-2"/>
        </w:rPr>
        <w:t xml:space="preserve"> </w:t>
      </w:r>
      <w:r>
        <w:t xml:space="preserve">pe </w:t>
      </w:r>
      <w:r>
        <w:rPr>
          <w:spacing w:val="-3"/>
        </w:rPr>
        <w:t>p</w:t>
      </w:r>
      <w:r>
        <w:rPr>
          <w:spacing w:val="1"/>
        </w:rPr>
        <w:t>i</w:t>
      </w:r>
      <w:r>
        <w:rPr>
          <w:spacing w:val="-3"/>
        </w:rPr>
        <w:t>a</w:t>
      </w:r>
      <w:r>
        <w:rPr>
          <w:spacing w:val="1"/>
        </w:rPr>
        <w:t>ţ</w:t>
      </w:r>
      <w:r>
        <w:t>ă, s</w:t>
      </w:r>
      <w:r>
        <w:rPr>
          <w:spacing w:val="-4"/>
        </w:rPr>
        <w:t>-</w:t>
      </w:r>
      <w:r>
        <w:t>au rap</w:t>
      </w:r>
      <w:r>
        <w:rPr>
          <w:spacing w:val="-3"/>
        </w:rPr>
        <w:t>o</w:t>
      </w:r>
      <w:r>
        <w:t>r</w:t>
      </w:r>
      <w:r>
        <w:rPr>
          <w:spacing w:val="-2"/>
        </w:rPr>
        <w:t>t</w:t>
      </w:r>
      <w:r>
        <w:t>at</w:t>
      </w:r>
      <w:r>
        <w:rPr>
          <w:spacing w:val="1"/>
        </w:rPr>
        <w:t xml:space="preserve"> </w:t>
      </w:r>
      <w:r>
        <w:rPr>
          <w:spacing w:val="-3"/>
        </w:rPr>
        <w:t>a</w:t>
      </w:r>
      <w:r>
        <w:t>f</w:t>
      </w:r>
      <w:r>
        <w:rPr>
          <w:spacing w:val="-3"/>
        </w:rPr>
        <w:t>e</w:t>
      </w:r>
      <w:r>
        <w:t>c</w:t>
      </w:r>
      <w:r>
        <w:rPr>
          <w:spacing w:val="-2"/>
        </w:rPr>
        <w:t>ţ</w:t>
      </w:r>
      <w:r>
        <w:rPr>
          <w:spacing w:val="1"/>
        </w:rPr>
        <w:t>i</w:t>
      </w:r>
      <w:r>
        <w:t>uni</w:t>
      </w:r>
      <w:r>
        <w:rPr>
          <w:spacing w:val="-2"/>
        </w:rPr>
        <w:t xml:space="preserve"> </w:t>
      </w:r>
      <w:r>
        <w:rPr>
          <w:spacing w:val="-4"/>
        </w:rPr>
        <w:t>m</w:t>
      </w:r>
      <w:r>
        <w:t>a</w:t>
      </w:r>
      <w:r>
        <w:rPr>
          <w:spacing w:val="1"/>
        </w:rPr>
        <w:t>li</w:t>
      </w:r>
      <w:r>
        <w:rPr>
          <w:spacing w:val="-3"/>
        </w:rPr>
        <w:t>g</w:t>
      </w:r>
      <w:r>
        <w:t>ne, une</w:t>
      </w:r>
      <w:r>
        <w:rPr>
          <w:spacing w:val="1"/>
        </w:rPr>
        <w:t>l</w:t>
      </w:r>
      <w:r>
        <w:t>e</w:t>
      </w:r>
      <w:r>
        <w:rPr>
          <w:spacing w:val="-2"/>
        </w:rPr>
        <w:t xml:space="preserve"> </w:t>
      </w:r>
      <w:r>
        <w:rPr>
          <w:spacing w:val="1"/>
        </w:rPr>
        <w:t>l</w:t>
      </w:r>
      <w:r>
        <w:rPr>
          <w:spacing w:val="-3"/>
        </w:rPr>
        <w:t>e</w:t>
      </w:r>
      <w:r>
        <w:rPr>
          <w:spacing w:val="1"/>
        </w:rPr>
        <w:t>t</w:t>
      </w:r>
      <w:r>
        <w:rPr>
          <w:spacing w:val="-3"/>
        </w:rPr>
        <w:t>a</w:t>
      </w:r>
      <w:r>
        <w:rPr>
          <w:spacing w:val="1"/>
        </w:rPr>
        <w:t>l</w:t>
      </w:r>
      <w:r>
        <w:t>e,</w:t>
      </w:r>
      <w:r>
        <w:rPr>
          <w:spacing w:val="-3"/>
        </w:rPr>
        <w:t xml:space="preserve"> </w:t>
      </w:r>
      <w:r>
        <w:rPr>
          <w:spacing w:val="1"/>
        </w:rPr>
        <w:t>l</w:t>
      </w:r>
      <w:r>
        <w:t xml:space="preserve">a </w:t>
      </w:r>
      <w:r>
        <w:rPr>
          <w:spacing w:val="-3"/>
        </w:rPr>
        <w:t>c</w:t>
      </w:r>
      <w:r>
        <w:t>op</w:t>
      </w:r>
      <w:r>
        <w:rPr>
          <w:spacing w:val="-2"/>
        </w:rPr>
        <w:t>i</w:t>
      </w:r>
      <w:r>
        <w:rPr>
          <w:spacing w:val="1"/>
        </w:rPr>
        <w:t>i</w:t>
      </w:r>
      <w:r>
        <w:t xml:space="preserve">, </w:t>
      </w:r>
      <w:r>
        <w:rPr>
          <w:spacing w:val="-3"/>
        </w:rPr>
        <w:t>a</w:t>
      </w:r>
      <w:r>
        <w:t>do</w:t>
      </w:r>
      <w:r>
        <w:rPr>
          <w:spacing w:val="-2"/>
        </w:rPr>
        <w:t>l</w:t>
      </w:r>
      <w:r>
        <w:t>e</w:t>
      </w:r>
      <w:r>
        <w:rPr>
          <w:spacing w:val="-2"/>
        </w:rPr>
        <w:t>s</w:t>
      </w:r>
      <w:r>
        <w:t>cen</w:t>
      </w:r>
      <w:r>
        <w:rPr>
          <w:spacing w:val="-2"/>
        </w:rPr>
        <w:t>ţ</w:t>
      </w:r>
      <w:r>
        <w:t>i</w:t>
      </w:r>
      <w:r>
        <w:rPr>
          <w:spacing w:val="1"/>
        </w:rPr>
        <w:t xml:space="preserve"> </w:t>
      </w:r>
      <w:r>
        <w:rPr>
          <w:spacing w:val="-2"/>
        </w:rPr>
        <w:t>ş</w:t>
      </w:r>
      <w:r>
        <w:t xml:space="preserve">i </w:t>
      </w:r>
      <w:r>
        <w:rPr>
          <w:rFonts w:eastAsia="MS Mincho"/>
          <w:szCs w:val="22"/>
          <w:lang w:eastAsia="en-US" w:bidi="ar-SA"/>
        </w:rPr>
        <w:t>adul</w:t>
      </w:r>
      <w:r>
        <w:rPr>
          <w:rFonts w:eastAsia="MS Mincho"/>
          <w:spacing w:val="1"/>
          <w:szCs w:val="22"/>
          <w:lang w:eastAsia="en-US" w:bidi="ar-SA"/>
        </w:rPr>
        <w:t xml:space="preserve">ţi </w:t>
      </w:r>
      <w:r>
        <w:rPr>
          <w:spacing w:val="-2"/>
        </w:rPr>
        <w:t>t</w:t>
      </w:r>
      <w:r>
        <w:rPr>
          <w:spacing w:val="1"/>
        </w:rPr>
        <w:t>i</w:t>
      </w:r>
      <w:r>
        <w:t>n</w:t>
      </w:r>
      <w:r>
        <w:rPr>
          <w:spacing w:val="-3"/>
        </w:rPr>
        <w:t>e</w:t>
      </w:r>
      <w:r>
        <w:t>ri</w:t>
      </w:r>
      <w:r>
        <w:rPr>
          <w:spacing w:val="-2"/>
        </w:rPr>
        <w:t xml:space="preserve"> </w:t>
      </w:r>
      <w:r>
        <w:t xml:space="preserve">(cu </w:t>
      </w:r>
      <w:r>
        <w:rPr>
          <w:spacing w:val="-3"/>
        </w:rPr>
        <w:t>v</w:t>
      </w:r>
      <w:r>
        <w:t>ârs</w:t>
      </w:r>
      <w:r>
        <w:rPr>
          <w:spacing w:val="1"/>
        </w:rPr>
        <w:t>t</w:t>
      </w:r>
      <w:r>
        <w:t xml:space="preserve">a </w:t>
      </w:r>
      <w:r>
        <w:rPr>
          <w:spacing w:val="-3"/>
        </w:rPr>
        <w:t>d</w:t>
      </w:r>
      <w:r>
        <w:t>e pâ</w:t>
      </w:r>
      <w:r>
        <w:rPr>
          <w:spacing w:val="-3"/>
        </w:rPr>
        <w:t>n</w:t>
      </w:r>
      <w:r>
        <w:t xml:space="preserve">ă </w:t>
      </w:r>
      <w:r>
        <w:rPr>
          <w:spacing w:val="-2"/>
        </w:rPr>
        <w:t>l</w:t>
      </w:r>
      <w:r>
        <w:t xml:space="preserve">a 22 </w:t>
      </w:r>
      <w:r>
        <w:rPr>
          <w:spacing w:val="-3"/>
        </w:rPr>
        <w:t>a</w:t>
      </w:r>
      <w:r>
        <w:t>n</w:t>
      </w:r>
      <w:r>
        <w:rPr>
          <w:spacing w:val="-2"/>
        </w:rPr>
        <w:t>i</w:t>
      </w:r>
      <w:r>
        <w:t>)</w:t>
      </w:r>
      <w:r>
        <w:rPr>
          <w:spacing w:val="1"/>
        </w:rPr>
        <w:t xml:space="preserve"> </w:t>
      </w:r>
      <w:r>
        <w:rPr>
          <w:spacing w:val="-2"/>
        </w:rPr>
        <w:t>t</w:t>
      </w:r>
      <w:r>
        <w:t>r</w:t>
      </w:r>
      <w:r>
        <w:rPr>
          <w:spacing w:val="-3"/>
        </w:rPr>
        <w:t>a</w:t>
      </w:r>
      <w:r>
        <w:rPr>
          <w:spacing w:val="1"/>
        </w:rPr>
        <w:t>t</w:t>
      </w:r>
      <w:r>
        <w:t>a</w:t>
      </w:r>
      <w:r>
        <w:rPr>
          <w:spacing w:val="-2"/>
        </w:rPr>
        <w:t>ţ</w:t>
      </w:r>
      <w:r>
        <w:t>i</w:t>
      </w:r>
      <w:r>
        <w:rPr>
          <w:spacing w:val="1"/>
        </w:rPr>
        <w:t xml:space="preserve"> </w:t>
      </w:r>
      <w:r>
        <w:t>cu</w:t>
      </w:r>
      <w:r>
        <w:rPr>
          <w:spacing w:val="-3"/>
        </w:rPr>
        <w:t xml:space="preserve"> </w:t>
      </w:r>
      <w:r>
        <w:t>a</w:t>
      </w:r>
      <w:r>
        <w:rPr>
          <w:spacing w:val="-3"/>
        </w:rPr>
        <w:t>n</w:t>
      </w:r>
      <w:r>
        <w:rPr>
          <w:spacing w:val="1"/>
        </w:rPr>
        <w:t>t</w:t>
      </w:r>
      <w:r>
        <w:t>a</w:t>
      </w:r>
      <w:r>
        <w:rPr>
          <w:spacing w:val="-3"/>
        </w:rPr>
        <w:t>g</w:t>
      </w:r>
      <w:r>
        <w:t>on</w:t>
      </w:r>
      <w:r>
        <w:rPr>
          <w:spacing w:val="1"/>
        </w:rPr>
        <w:t>i</w:t>
      </w:r>
      <w:r>
        <w:rPr>
          <w:spacing w:val="-2"/>
        </w:rPr>
        <w:t>ş</w:t>
      </w:r>
      <w:r>
        <w:rPr>
          <w:spacing w:val="1"/>
        </w:rPr>
        <w:t>t</w:t>
      </w:r>
      <w:r>
        <w:t>i</w:t>
      </w:r>
      <w:r>
        <w:rPr>
          <w:spacing w:val="-2"/>
        </w:rPr>
        <w:t xml:space="preserve"> </w:t>
      </w:r>
      <w:r>
        <w:rPr>
          <w:spacing w:val="1"/>
        </w:rPr>
        <w:t>T</w:t>
      </w:r>
      <w:r>
        <w:rPr>
          <w:spacing w:val="-1"/>
        </w:rPr>
        <w:t>N</w:t>
      </w:r>
      <w:r>
        <w:t>F</w:t>
      </w:r>
      <w:r>
        <w:rPr>
          <w:spacing w:val="-3"/>
        </w:rPr>
        <w:t xml:space="preserve"> </w:t>
      </w:r>
      <w:r>
        <w:t>(</w:t>
      </w:r>
      <w:r>
        <w:rPr>
          <w:spacing w:val="-2"/>
        </w:rPr>
        <w:t>t</w:t>
      </w:r>
      <w:r>
        <w:t>r</w:t>
      </w:r>
      <w:r>
        <w:rPr>
          <w:spacing w:val="-3"/>
        </w:rPr>
        <w:t>a</w:t>
      </w:r>
      <w:r>
        <w:rPr>
          <w:spacing w:val="-2"/>
        </w:rPr>
        <w:t>t</w:t>
      </w:r>
      <w:r>
        <w:t>a</w:t>
      </w:r>
      <w:r>
        <w:rPr>
          <w:spacing w:val="-4"/>
        </w:rPr>
        <w:t>m</w:t>
      </w:r>
      <w:r>
        <w:t>ent</w:t>
      </w:r>
      <w:r>
        <w:rPr>
          <w:spacing w:val="1"/>
        </w:rPr>
        <w:t xml:space="preserve"> i</w:t>
      </w:r>
      <w:r>
        <w:t>n</w:t>
      </w:r>
      <w:r>
        <w:rPr>
          <w:spacing w:val="-2"/>
        </w:rPr>
        <w:t>i</w:t>
      </w:r>
      <w:r>
        <w:rPr>
          <w:spacing w:val="1"/>
        </w:rPr>
        <w:t>ţ</w:t>
      </w:r>
      <w:r>
        <w:rPr>
          <w:spacing w:val="-2"/>
        </w:rPr>
        <w:t>i</w:t>
      </w:r>
      <w:r>
        <w:t>at</w:t>
      </w:r>
      <w:r>
        <w:rPr>
          <w:spacing w:val="-2"/>
        </w:rPr>
        <w:t xml:space="preserve"> </w:t>
      </w:r>
      <w:r>
        <w:rPr>
          <w:spacing w:val="1"/>
        </w:rPr>
        <w:t>l</w:t>
      </w:r>
      <w:r>
        <w:t xml:space="preserve">a </w:t>
      </w:r>
      <w:r>
        <w:rPr>
          <w:spacing w:val="-3"/>
        </w:rPr>
        <w:t>v</w:t>
      </w:r>
      <w:r>
        <w:t>âr</w:t>
      </w:r>
      <w:r>
        <w:rPr>
          <w:spacing w:val="-2"/>
        </w:rPr>
        <w:t>s</w:t>
      </w:r>
      <w:r>
        <w:rPr>
          <w:spacing w:val="1"/>
        </w:rPr>
        <w:t>t</w:t>
      </w:r>
      <w:r>
        <w:t>a</w:t>
      </w:r>
      <w:r>
        <w:rPr>
          <w:spacing w:val="-2"/>
        </w:rPr>
        <w:t xml:space="preserve"> </w:t>
      </w:r>
      <w:r>
        <w:rPr>
          <w:spacing w:val="1"/>
        </w:rPr>
        <w:t>≤ </w:t>
      </w:r>
      <w:r>
        <w:t>18</w:t>
      </w:r>
      <w:r>
        <w:rPr>
          <w:spacing w:val="-3"/>
        </w:rPr>
        <w:t xml:space="preserve"> a</w:t>
      </w:r>
      <w:r>
        <w:t>n</w:t>
      </w:r>
      <w:r>
        <w:rPr>
          <w:spacing w:val="1"/>
        </w:rPr>
        <w:t>i</w:t>
      </w:r>
      <w:r>
        <w:t>),</w:t>
      </w:r>
      <w:r>
        <w:rPr>
          <w:spacing w:val="-3"/>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cu ada</w:t>
      </w:r>
      <w:r>
        <w:rPr>
          <w:spacing w:val="-2"/>
        </w:rPr>
        <w:t>l</w:t>
      </w:r>
      <w:r>
        <w:rPr>
          <w:spacing w:val="1"/>
        </w:rPr>
        <w:t>i</w:t>
      </w:r>
      <w:r>
        <w:rPr>
          <w:spacing w:val="-4"/>
        </w:rPr>
        <w:t>m</w:t>
      </w:r>
      <w:r>
        <w:rPr>
          <w:spacing w:val="2"/>
        </w:rPr>
        <w:t>u</w:t>
      </w:r>
      <w:r>
        <w:rPr>
          <w:spacing w:val="-4"/>
        </w:rPr>
        <w:t>m</w:t>
      </w:r>
      <w:r>
        <w:t xml:space="preserve">ab. </w:t>
      </w:r>
      <w:r>
        <w:rPr>
          <w:spacing w:val="-1"/>
        </w:rPr>
        <w:t>A</w:t>
      </w:r>
      <w:r>
        <w:t>prox</w:t>
      </w:r>
      <w:r>
        <w:rPr>
          <w:spacing w:val="1"/>
        </w:rPr>
        <w:t>i</w:t>
      </w:r>
      <w:r>
        <w:rPr>
          <w:spacing w:val="-4"/>
        </w:rPr>
        <w:t>m</w:t>
      </w:r>
      <w:r>
        <w:t>a</w:t>
      </w:r>
      <w:r>
        <w:rPr>
          <w:spacing w:val="1"/>
        </w:rPr>
        <w:t>ti</w:t>
      </w:r>
      <w:r>
        <w:t>v</w:t>
      </w:r>
      <w:r>
        <w:rPr>
          <w:spacing w:val="-5"/>
        </w:rPr>
        <w:t xml:space="preserve"> </w:t>
      </w:r>
      <w:r>
        <w:rPr>
          <w:spacing w:val="1"/>
        </w:rPr>
        <w:t>j</w:t>
      </w:r>
      <w:r>
        <w:t>u</w:t>
      </w:r>
      <w:r>
        <w:rPr>
          <w:spacing w:val="-4"/>
        </w:rPr>
        <w:t>m</w:t>
      </w:r>
      <w:r>
        <w:t>ă</w:t>
      </w:r>
      <w:r>
        <w:rPr>
          <w:spacing w:val="1"/>
        </w:rPr>
        <w:t>t</w:t>
      </w:r>
      <w:r>
        <w:t>a</w:t>
      </w:r>
      <w:r>
        <w:rPr>
          <w:spacing w:val="1"/>
        </w:rPr>
        <w:t>t</w:t>
      </w:r>
      <w:r>
        <w:t xml:space="preserve">e </w:t>
      </w:r>
      <w:r>
        <w:rPr>
          <w:spacing w:val="-3"/>
        </w:rPr>
        <w:t>d</w:t>
      </w:r>
      <w:r>
        <w:rPr>
          <w:spacing w:val="1"/>
        </w:rPr>
        <w:t>i</w:t>
      </w:r>
      <w:r>
        <w:t>n</w:t>
      </w:r>
      <w:r>
        <w:rPr>
          <w:spacing w:val="-2"/>
        </w:rPr>
        <w:t>t</w:t>
      </w:r>
      <w:r>
        <w:t xml:space="preserve">re </w:t>
      </w:r>
      <w:r>
        <w:rPr>
          <w:spacing w:val="-3"/>
        </w:rPr>
        <w:t>a</w:t>
      </w:r>
      <w:r>
        <w:t>ce</w:t>
      </w:r>
      <w:r>
        <w:rPr>
          <w:spacing w:val="-2"/>
        </w:rPr>
        <w:t>s</w:t>
      </w:r>
      <w:r>
        <w:rPr>
          <w:spacing w:val="1"/>
        </w:rPr>
        <w:t>t</w:t>
      </w:r>
      <w:r>
        <w:t>e</w:t>
      </w:r>
      <w:r>
        <w:rPr>
          <w:spacing w:val="-2"/>
        </w:rPr>
        <w:t xml:space="preserve"> </w:t>
      </w:r>
      <w:r>
        <w:t>ca</w:t>
      </w:r>
      <w:r>
        <w:rPr>
          <w:spacing w:val="-3"/>
        </w:rPr>
        <w:t>z</w:t>
      </w:r>
      <w:r>
        <w:t>uri</w:t>
      </w:r>
      <w:r>
        <w:rPr>
          <w:spacing w:val="-2"/>
        </w:rPr>
        <w:t xml:space="preserve"> </w:t>
      </w:r>
      <w:r>
        <w:t>au f</w:t>
      </w:r>
      <w:r>
        <w:rPr>
          <w:spacing w:val="-3"/>
        </w:rPr>
        <w:t>o</w:t>
      </w:r>
      <w:r>
        <w:t>st</w:t>
      </w:r>
      <w:r>
        <w:rPr>
          <w:spacing w:val="-2"/>
        </w:rPr>
        <w:t xml:space="preserve"> </w:t>
      </w:r>
      <w:r>
        <w:rPr>
          <w:spacing w:val="1"/>
        </w:rPr>
        <w:t>li</w:t>
      </w:r>
      <w:r>
        <w:rPr>
          <w:spacing w:val="-4"/>
        </w:rPr>
        <w:t>m</w:t>
      </w:r>
      <w:r>
        <w:t>foa</w:t>
      </w:r>
      <w:r>
        <w:rPr>
          <w:spacing w:val="-4"/>
        </w:rPr>
        <w:t>m</w:t>
      </w:r>
      <w:r>
        <w:t xml:space="preserve">e. </w:t>
      </w:r>
      <w:r>
        <w:rPr>
          <w:spacing w:val="-1"/>
        </w:rPr>
        <w:t>C</w:t>
      </w:r>
      <w:r>
        <w:t>e</w:t>
      </w:r>
      <w:r>
        <w:rPr>
          <w:spacing w:val="1"/>
        </w:rPr>
        <w:t>l</w:t>
      </w:r>
      <w:r>
        <w:rPr>
          <w:spacing w:val="-3"/>
        </w:rPr>
        <w:t>e</w:t>
      </w:r>
      <w:r>
        <w:rPr>
          <w:spacing w:val="1"/>
        </w:rPr>
        <w:t>l</w:t>
      </w:r>
      <w:r>
        <w:t>a</w:t>
      </w:r>
      <w:r>
        <w:rPr>
          <w:spacing w:val="-2"/>
        </w:rPr>
        <w:t>l</w:t>
      </w:r>
      <w:r>
        <w:rPr>
          <w:spacing w:val="1"/>
        </w:rPr>
        <w:t>t</w:t>
      </w:r>
      <w:r>
        <w:t>e</w:t>
      </w:r>
      <w:r>
        <w:rPr>
          <w:spacing w:val="-2"/>
        </w:rPr>
        <w:t xml:space="preserve"> </w:t>
      </w:r>
      <w:r>
        <w:t>ca</w:t>
      </w:r>
      <w:r>
        <w:rPr>
          <w:spacing w:val="-3"/>
        </w:rPr>
        <w:t>z</w:t>
      </w:r>
      <w:r>
        <w:t>uri</w:t>
      </w:r>
      <w:r>
        <w:rPr>
          <w:spacing w:val="-2"/>
        </w:rPr>
        <w:t xml:space="preserve"> </w:t>
      </w:r>
      <w:r>
        <w:t>au rep</w:t>
      </w:r>
      <w:r>
        <w:rPr>
          <w:spacing w:val="-2"/>
        </w:rPr>
        <w:t>r</w:t>
      </w:r>
      <w:r>
        <w:t>e</w:t>
      </w:r>
      <w:r>
        <w:rPr>
          <w:spacing w:val="-3"/>
        </w:rPr>
        <w:t>z</w:t>
      </w:r>
      <w:r>
        <w:t>en</w:t>
      </w:r>
      <w:r>
        <w:rPr>
          <w:spacing w:val="1"/>
        </w:rPr>
        <w:t>t</w:t>
      </w:r>
      <w:r>
        <w:rPr>
          <w:spacing w:val="-3"/>
        </w:rPr>
        <w:t>a</w:t>
      </w:r>
      <w:r>
        <w:t>t</w:t>
      </w:r>
      <w:r>
        <w:rPr>
          <w:spacing w:val="1"/>
        </w:rPr>
        <w:t xml:space="preserve"> </w:t>
      </w:r>
      <w:r>
        <w:t xml:space="preserve">o </w:t>
      </w:r>
      <w:r>
        <w:rPr>
          <w:spacing w:val="-3"/>
        </w:rPr>
        <w:t>v</w:t>
      </w:r>
      <w:r>
        <w:t>a</w:t>
      </w:r>
      <w:r>
        <w:rPr>
          <w:spacing w:val="-2"/>
        </w:rPr>
        <w:t>r</w:t>
      </w:r>
      <w:r>
        <w:rPr>
          <w:spacing w:val="1"/>
        </w:rPr>
        <w:t>i</w:t>
      </w:r>
      <w:r>
        <w:rPr>
          <w:spacing w:val="-3"/>
        </w:rPr>
        <w:t>e</w:t>
      </w:r>
      <w:r>
        <w:rPr>
          <w:spacing w:val="1"/>
        </w:rPr>
        <w:t>t</w:t>
      </w:r>
      <w:r>
        <w:t>a</w:t>
      </w:r>
      <w:r>
        <w:rPr>
          <w:spacing w:val="-2"/>
        </w:rPr>
        <w:t>t</w:t>
      </w:r>
      <w:r>
        <w:t>e de</w:t>
      </w:r>
      <w:r>
        <w:rPr>
          <w:spacing w:val="-2"/>
        </w:rPr>
        <w:t xml:space="preserve"> </w:t>
      </w:r>
      <w:r>
        <w:t>a</w:t>
      </w:r>
      <w:r>
        <w:rPr>
          <w:spacing w:val="-2"/>
        </w:rPr>
        <w:t>f</w:t>
      </w:r>
      <w:r>
        <w:t>ec</w:t>
      </w:r>
      <w:r>
        <w:rPr>
          <w:spacing w:val="-2"/>
        </w:rPr>
        <w:t>ţ</w:t>
      </w:r>
      <w:r>
        <w:rPr>
          <w:spacing w:val="1"/>
        </w:rPr>
        <w:t>i</w:t>
      </w:r>
      <w:r>
        <w:t>u</w:t>
      </w:r>
      <w:r>
        <w:rPr>
          <w:spacing w:val="-3"/>
        </w:rPr>
        <w:t>n</w:t>
      </w:r>
      <w:r>
        <w:t>i</w:t>
      </w:r>
      <w:r>
        <w:rPr>
          <w:spacing w:val="1"/>
        </w:rPr>
        <w:t xml:space="preserve"> </w:t>
      </w:r>
      <w:r>
        <w:rPr>
          <w:spacing w:val="-4"/>
        </w:rPr>
        <w:t>m</w:t>
      </w:r>
      <w:r>
        <w:t>a</w:t>
      </w:r>
      <w:r>
        <w:rPr>
          <w:spacing w:val="1"/>
        </w:rPr>
        <w:t>li</w:t>
      </w:r>
      <w:r>
        <w:rPr>
          <w:spacing w:val="-3"/>
        </w:rPr>
        <w:t>g</w:t>
      </w:r>
      <w:r>
        <w:t>ne şi</w:t>
      </w:r>
      <w:r>
        <w:rPr>
          <w:spacing w:val="-2"/>
        </w:rPr>
        <w:t xml:space="preserve"> </w:t>
      </w:r>
      <w:r>
        <w:t xml:space="preserve">au </w:t>
      </w:r>
      <w:r>
        <w:rPr>
          <w:spacing w:val="-2"/>
        </w:rPr>
        <w:t>i</w:t>
      </w:r>
      <w:r>
        <w:t>nc</w:t>
      </w:r>
      <w:r>
        <w:rPr>
          <w:spacing w:val="-2"/>
        </w:rPr>
        <w:t>l</w:t>
      </w:r>
      <w:r>
        <w:t>us</w:t>
      </w:r>
      <w:r>
        <w:rPr>
          <w:spacing w:val="-2"/>
        </w:rPr>
        <w:t xml:space="preserve"> </w:t>
      </w:r>
      <w:r>
        <w:t>afe</w:t>
      </w:r>
      <w:r>
        <w:rPr>
          <w:spacing w:val="-3"/>
        </w:rPr>
        <w:t>c</w:t>
      </w:r>
      <w:r>
        <w:rPr>
          <w:spacing w:val="-2"/>
        </w:rPr>
        <w:t>ţ</w:t>
      </w:r>
      <w:r>
        <w:rPr>
          <w:spacing w:val="1"/>
        </w:rPr>
        <w:t>i</w:t>
      </w:r>
      <w:r>
        <w:t>uni</w:t>
      </w:r>
      <w:r>
        <w:rPr>
          <w:spacing w:val="1"/>
        </w:rPr>
        <w:t xml:space="preserve"> </w:t>
      </w:r>
      <w:r>
        <w:rPr>
          <w:spacing w:val="-4"/>
        </w:rPr>
        <w:t>m</w:t>
      </w:r>
      <w:r>
        <w:t>a</w:t>
      </w:r>
      <w:r>
        <w:rPr>
          <w:spacing w:val="-2"/>
        </w:rPr>
        <w:t>l</w:t>
      </w:r>
      <w:r>
        <w:rPr>
          <w:spacing w:val="1"/>
        </w:rPr>
        <w:t>i</w:t>
      </w:r>
      <w:r>
        <w:rPr>
          <w:spacing w:val="-3"/>
        </w:rPr>
        <w:t>g</w:t>
      </w:r>
      <w:r>
        <w:t>ne r</w:t>
      </w:r>
      <w:r>
        <w:rPr>
          <w:spacing w:val="-3"/>
        </w:rPr>
        <w:t>a</w:t>
      </w:r>
      <w:r>
        <w:t>re, de</w:t>
      </w:r>
      <w:r>
        <w:rPr>
          <w:spacing w:val="-5"/>
        </w:rPr>
        <w:t xml:space="preserve"> </w:t>
      </w:r>
      <w:r>
        <w:t>ob</w:t>
      </w:r>
      <w:r>
        <w:rPr>
          <w:spacing w:val="1"/>
        </w:rPr>
        <w:t>i</w:t>
      </w:r>
      <w:r>
        <w:t>c</w:t>
      </w:r>
      <w:r>
        <w:rPr>
          <w:spacing w:val="-3"/>
        </w:rPr>
        <w:t>e</w:t>
      </w:r>
      <w:r>
        <w:t>i</w:t>
      </w:r>
      <w:r>
        <w:rPr>
          <w:spacing w:val="1"/>
        </w:rPr>
        <w:t xml:space="preserve"> </w:t>
      </w:r>
      <w:r>
        <w:rPr>
          <w:spacing w:val="-3"/>
        </w:rPr>
        <w:t>a</w:t>
      </w:r>
      <w:r>
        <w:t>so</w:t>
      </w:r>
      <w:r>
        <w:rPr>
          <w:spacing w:val="-3"/>
        </w:rPr>
        <w:t>c</w:t>
      </w:r>
      <w:r>
        <w:rPr>
          <w:spacing w:val="1"/>
        </w:rPr>
        <w:t>i</w:t>
      </w:r>
      <w:r>
        <w:rPr>
          <w:spacing w:val="-3"/>
        </w:rPr>
        <w:t>a</w:t>
      </w:r>
      <w:r>
        <w:rPr>
          <w:spacing w:val="1"/>
        </w:rPr>
        <w:t>t</w:t>
      </w:r>
      <w:r>
        <w:t xml:space="preserve">e cu </w:t>
      </w:r>
      <w:r>
        <w:rPr>
          <w:spacing w:val="1"/>
        </w:rPr>
        <w:t>i</w:t>
      </w:r>
      <w:r>
        <w:rPr>
          <w:spacing w:val="-4"/>
        </w:rPr>
        <w:t>m</w:t>
      </w:r>
      <w:r>
        <w:t>unosupre</w:t>
      </w:r>
      <w:r>
        <w:rPr>
          <w:spacing w:val="-2"/>
        </w:rPr>
        <w:t>s</w:t>
      </w:r>
      <w:r>
        <w:rPr>
          <w:spacing w:val="1"/>
        </w:rPr>
        <w:t>i</w:t>
      </w:r>
      <w:r>
        <w:t xml:space="preserve">a. </w:t>
      </w:r>
      <w:r>
        <w:rPr>
          <w:spacing w:val="-1"/>
        </w:rPr>
        <w:t>N</w:t>
      </w:r>
      <w:r>
        <w:t>u</w:t>
      </w:r>
      <w:r>
        <w:rPr>
          <w:spacing w:val="-3"/>
        </w:rPr>
        <w:t xml:space="preserve"> </w:t>
      </w:r>
      <w:r>
        <w:t>po</w:t>
      </w:r>
      <w:r>
        <w:rPr>
          <w:spacing w:val="-3"/>
        </w:rPr>
        <w:t>a</w:t>
      </w:r>
      <w:r>
        <w:rPr>
          <w:spacing w:val="1"/>
        </w:rPr>
        <w:t>t</w:t>
      </w:r>
      <w:r>
        <w:t>e</w:t>
      </w:r>
      <w:r>
        <w:rPr>
          <w:spacing w:val="-2"/>
        </w:rPr>
        <w:t xml:space="preserve"> </w:t>
      </w:r>
      <w:r>
        <w:t>fi</w:t>
      </w:r>
      <w:r>
        <w:rPr>
          <w:spacing w:val="-2"/>
        </w:rPr>
        <w:t xml:space="preserve"> </w:t>
      </w:r>
      <w:r>
        <w:t>exc</w:t>
      </w:r>
      <w:r>
        <w:rPr>
          <w:spacing w:val="1"/>
        </w:rPr>
        <w:t>l</w:t>
      </w:r>
      <w:r>
        <w:rPr>
          <w:spacing w:val="-3"/>
        </w:rPr>
        <w:t>u</w:t>
      </w:r>
      <w:r>
        <w:t xml:space="preserve">s </w:t>
      </w:r>
      <w:r>
        <w:rPr>
          <w:spacing w:val="-2"/>
        </w:rPr>
        <w:t>r</w:t>
      </w:r>
      <w:r>
        <w:rPr>
          <w:spacing w:val="1"/>
        </w:rPr>
        <w:t>i</w:t>
      </w:r>
      <w:r>
        <w:rPr>
          <w:spacing w:val="-2"/>
        </w:rPr>
        <w:t>s</w:t>
      </w:r>
      <w:r>
        <w:t>cul</w:t>
      </w:r>
      <w:r>
        <w:rPr>
          <w:spacing w:val="-2"/>
        </w:rPr>
        <w:t xml:space="preserve"> </w:t>
      </w:r>
      <w:r>
        <w:t>ap</w:t>
      </w:r>
      <w:r>
        <w:rPr>
          <w:spacing w:val="-3"/>
        </w:rPr>
        <w:t>a</w:t>
      </w:r>
      <w:r>
        <w:t>r</w:t>
      </w:r>
      <w:r>
        <w:rPr>
          <w:spacing w:val="-2"/>
        </w:rPr>
        <w:t>i</w:t>
      </w:r>
      <w:r>
        <w:rPr>
          <w:spacing w:val="1"/>
        </w:rPr>
        <w:t>ţi</w:t>
      </w:r>
      <w:r>
        <w:rPr>
          <w:spacing w:val="-3"/>
        </w:rPr>
        <w:t>e</w:t>
      </w:r>
      <w:r>
        <w:t>i</w:t>
      </w:r>
      <w:r>
        <w:rPr>
          <w:spacing w:val="1"/>
        </w:rPr>
        <w:t xml:space="preserve"> </w:t>
      </w:r>
      <w:r>
        <w:rPr>
          <w:spacing w:val="-3"/>
        </w:rPr>
        <w:t>a</w:t>
      </w:r>
      <w:r>
        <w:t>fe</w:t>
      </w:r>
      <w:r>
        <w:rPr>
          <w:spacing w:val="-3"/>
        </w:rPr>
        <w:t>c</w:t>
      </w:r>
      <w:r>
        <w:rPr>
          <w:spacing w:val="-2"/>
        </w:rPr>
        <w:t>ţi</w:t>
      </w:r>
      <w:r>
        <w:t>un</w:t>
      </w:r>
      <w:r>
        <w:rPr>
          <w:spacing w:val="1"/>
        </w:rPr>
        <w:t>i</w:t>
      </w:r>
      <w:r>
        <w:rPr>
          <w:spacing w:val="-2"/>
        </w:rPr>
        <w:t>l</w:t>
      </w:r>
      <w:r>
        <w:t>or</w:t>
      </w:r>
      <w:r>
        <w:rPr>
          <w:spacing w:val="1"/>
        </w:rPr>
        <w:t xml:space="preserve"> </w:t>
      </w:r>
      <w:r>
        <w:rPr>
          <w:spacing w:val="-4"/>
        </w:rPr>
        <w:t>m</w:t>
      </w:r>
      <w:r>
        <w:t>a</w:t>
      </w:r>
      <w:r>
        <w:rPr>
          <w:spacing w:val="1"/>
        </w:rPr>
        <w:t>li</w:t>
      </w:r>
      <w:r>
        <w:rPr>
          <w:spacing w:val="-3"/>
        </w:rPr>
        <w:t>g</w:t>
      </w:r>
      <w:r>
        <w:t xml:space="preserve">ne </w:t>
      </w:r>
      <w:r>
        <w:rPr>
          <w:spacing w:val="-2"/>
        </w:rPr>
        <w:t>l</w:t>
      </w:r>
      <w:r>
        <w:t>a co</w:t>
      </w:r>
      <w:r>
        <w:rPr>
          <w:spacing w:val="-3"/>
        </w:rPr>
        <w:t>p</w:t>
      </w:r>
      <w:r>
        <w:rPr>
          <w:spacing w:val="-2"/>
        </w:rPr>
        <w:t>i</w:t>
      </w:r>
      <w:r>
        <w:rPr>
          <w:spacing w:val="1"/>
        </w:rPr>
        <w:t>i</w:t>
      </w:r>
      <w:r>
        <w:t>i</w:t>
      </w:r>
      <w:r>
        <w:rPr>
          <w:spacing w:val="1"/>
        </w:rPr>
        <w:t xml:space="preserve"> </w:t>
      </w:r>
      <w:r>
        <w:rPr>
          <w:spacing w:val="-2"/>
        </w:rPr>
        <w:t>ş</w:t>
      </w:r>
      <w:r>
        <w:t>i</w:t>
      </w:r>
      <w:r>
        <w:rPr>
          <w:spacing w:val="1"/>
        </w:rPr>
        <w:t xml:space="preserve"> </w:t>
      </w:r>
      <w:r>
        <w:rPr>
          <w:spacing w:val="-3"/>
        </w:rPr>
        <w:t>a</w:t>
      </w:r>
      <w:r>
        <w:t>do</w:t>
      </w:r>
      <w:r>
        <w:rPr>
          <w:spacing w:val="1"/>
        </w:rPr>
        <w:t>l</w:t>
      </w:r>
      <w:r>
        <w:t>e</w:t>
      </w:r>
      <w:r>
        <w:rPr>
          <w:spacing w:val="-2"/>
        </w:rPr>
        <w:t>s</w:t>
      </w:r>
      <w:r>
        <w:t>ce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rPr>
          <w:spacing w:val="-3"/>
        </w:rPr>
        <w:t>a</w:t>
      </w:r>
      <w:r>
        <w:rPr>
          <w:spacing w:val="1"/>
        </w:rPr>
        <w:t>ţ</w:t>
      </w:r>
      <w:r>
        <w:t>i</w:t>
      </w:r>
      <w:r>
        <w:rPr>
          <w:spacing w:val="-2"/>
        </w:rPr>
        <w:t xml:space="preserve"> </w:t>
      </w:r>
      <w:r>
        <w:t>cu an</w:t>
      </w:r>
      <w:r>
        <w:rPr>
          <w:spacing w:val="1"/>
        </w:rPr>
        <w:t>t</w:t>
      </w:r>
      <w:r>
        <w:t>a</w:t>
      </w:r>
      <w:r>
        <w:rPr>
          <w:spacing w:val="-3"/>
        </w:rPr>
        <w:t>g</w:t>
      </w:r>
      <w:r>
        <w:t>on</w:t>
      </w:r>
      <w:r>
        <w:rPr>
          <w:spacing w:val="-2"/>
        </w:rPr>
        <w:t>i</w:t>
      </w:r>
      <w:r>
        <w:t>ş</w:t>
      </w:r>
      <w:r>
        <w:rPr>
          <w:spacing w:val="-2"/>
        </w:rPr>
        <w:t>t</w:t>
      </w:r>
      <w:r>
        <w:t>i</w:t>
      </w:r>
      <w:r>
        <w:rPr>
          <w:spacing w:val="-2"/>
        </w:rPr>
        <w:t xml:space="preserve"> </w:t>
      </w:r>
      <w:r>
        <w:rPr>
          <w:spacing w:val="1"/>
        </w:rPr>
        <w:t>T</w:t>
      </w:r>
      <w:r>
        <w:rPr>
          <w:spacing w:val="-1"/>
        </w:rPr>
        <w:t>NF</w:t>
      </w:r>
      <w:r>
        <w:t>.</w:t>
      </w:r>
    </w:p>
    <w:p w14:paraId="480252CB" w14:textId="77777777" w:rsidR="00C04CAD" w:rsidRDefault="00C04CAD">
      <w:pPr>
        <w:tabs>
          <w:tab w:val="clear" w:pos="567"/>
        </w:tabs>
        <w:kinsoku w:val="0"/>
        <w:overflowPunct w:val="0"/>
        <w:autoSpaceDE w:val="0"/>
        <w:autoSpaceDN w:val="0"/>
        <w:adjustRightInd w:val="0"/>
        <w:spacing w:line="240" w:lineRule="auto"/>
      </w:pPr>
    </w:p>
    <w:p w14:paraId="1C2F229F" w14:textId="77777777" w:rsidR="00C04CAD" w:rsidRDefault="00060E34">
      <w:pPr>
        <w:tabs>
          <w:tab w:val="clear" w:pos="567"/>
        </w:tabs>
        <w:kinsoku w:val="0"/>
        <w:overflowPunct w:val="0"/>
        <w:autoSpaceDE w:val="0"/>
        <w:autoSpaceDN w:val="0"/>
        <w:adjustRightInd w:val="0"/>
        <w:spacing w:line="240" w:lineRule="auto"/>
      </w:pPr>
      <w:r>
        <w:rPr>
          <w:spacing w:val="-1"/>
        </w:rPr>
        <w:lastRenderedPageBreak/>
        <w:t>D</w:t>
      </w:r>
      <w:r>
        <w:t>upă pun</w:t>
      </w:r>
      <w:r>
        <w:rPr>
          <w:spacing w:val="-3"/>
        </w:rPr>
        <w:t>e</w:t>
      </w:r>
      <w:r>
        <w:t>rea</w:t>
      </w:r>
      <w:r>
        <w:rPr>
          <w:spacing w:val="-2"/>
        </w:rPr>
        <w:t xml:space="preserve"> </w:t>
      </w:r>
      <w:r>
        <w:t xml:space="preserve">pe </w:t>
      </w:r>
      <w:r>
        <w:rPr>
          <w:spacing w:val="-3"/>
        </w:rPr>
        <w:t>p</w:t>
      </w:r>
      <w:r>
        <w:rPr>
          <w:spacing w:val="1"/>
        </w:rPr>
        <w:t>i</w:t>
      </w:r>
      <w:r>
        <w:rPr>
          <w:spacing w:val="-3"/>
        </w:rPr>
        <w:t>a</w:t>
      </w:r>
      <w:r>
        <w:rPr>
          <w:spacing w:val="1"/>
        </w:rPr>
        <w:t>ţ</w:t>
      </w:r>
      <w:r>
        <w:t>ă au</w:t>
      </w:r>
      <w:r>
        <w:rPr>
          <w:spacing w:val="-3"/>
        </w:rPr>
        <w:t xml:space="preserve"> </w:t>
      </w:r>
      <w:r>
        <w:rPr>
          <w:spacing w:val="-2"/>
        </w:rPr>
        <w:t>f</w:t>
      </w:r>
      <w:r>
        <w:t>ost</w:t>
      </w:r>
      <w:r>
        <w:rPr>
          <w:spacing w:val="-2"/>
        </w:rPr>
        <w:t xml:space="preserve"> </w:t>
      </w:r>
      <w:r>
        <w:rPr>
          <w:spacing w:val="1"/>
        </w:rPr>
        <w:t>i</w:t>
      </w:r>
      <w:r>
        <w:t>de</w:t>
      </w:r>
      <w:r>
        <w:rPr>
          <w:spacing w:val="-3"/>
        </w:rPr>
        <w:t>n</w:t>
      </w:r>
      <w:r>
        <w:rPr>
          <w:spacing w:val="1"/>
        </w:rPr>
        <w:t>t</w:t>
      </w:r>
      <w:r>
        <w:rPr>
          <w:spacing w:val="-2"/>
        </w:rPr>
        <w:t>i</w:t>
      </w:r>
      <w:r>
        <w:t>f</w:t>
      </w:r>
      <w:r>
        <w:rPr>
          <w:spacing w:val="-2"/>
        </w:rPr>
        <w:t>i</w:t>
      </w:r>
      <w:r>
        <w:t>ca</w:t>
      </w:r>
      <w:r>
        <w:rPr>
          <w:spacing w:val="-2"/>
        </w:rPr>
        <w:t>t</w:t>
      </w:r>
      <w:r>
        <w:t>e ca</w:t>
      </w:r>
      <w:r>
        <w:rPr>
          <w:spacing w:val="-3"/>
        </w:rPr>
        <w:t>z</w:t>
      </w:r>
      <w:r>
        <w:t>u</w:t>
      </w:r>
      <w:r>
        <w:rPr>
          <w:spacing w:val="-2"/>
        </w:rPr>
        <w:t>r</w:t>
      </w:r>
      <w:r>
        <w:t>i</w:t>
      </w:r>
      <w:r>
        <w:rPr>
          <w:spacing w:val="-2"/>
        </w:rPr>
        <w:t xml:space="preserve"> </w:t>
      </w:r>
      <w:r>
        <w:t>ra</w:t>
      </w:r>
      <w:r>
        <w:rPr>
          <w:spacing w:val="-2"/>
        </w:rPr>
        <w:t>r</w:t>
      </w:r>
      <w:r>
        <w:t xml:space="preserve">e </w:t>
      </w:r>
      <w:r>
        <w:rPr>
          <w:spacing w:val="-3"/>
        </w:rPr>
        <w:t>d</w:t>
      </w:r>
      <w:r>
        <w:t xml:space="preserve">e </w:t>
      </w:r>
      <w:r>
        <w:rPr>
          <w:spacing w:val="1"/>
        </w:rPr>
        <w:t>li</w:t>
      </w:r>
      <w:r>
        <w:rPr>
          <w:spacing w:val="-4"/>
        </w:rPr>
        <w:t>m</w:t>
      </w:r>
      <w:r>
        <w:t>fom</w:t>
      </w:r>
      <w:r>
        <w:rPr>
          <w:spacing w:val="-4"/>
        </w:rPr>
        <w:t xml:space="preserve"> </w:t>
      </w:r>
      <w:r>
        <w:t>hepa</w:t>
      </w:r>
      <w:r>
        <w:rPr>
          <w:spacing w:val="1"/>
        </w:rPr>
        <w:t>t</w:t>
      </w:r>
      <w:r>
        <w:rPr>
          <w:spacing w:val="-3"/>
        </w:rPr>
        <w:t>o</w:t>
      </w:r>
      <w:r>
        <w:t>sp</w:t>
      </w:r>
      <w:r>
        <w:rPr>
          <w:spacing w:val="-2"/>
        </w:rPr>
        <w:t>l</w:t>
      </w:r>
      <w:r>
        <w:t>en</w:t>
      </w:r>
      <w:r>
        <w:rPr>
          <w:spacing w:val="-2"/>
        </w:rPr>
        <w:t>i</w:t>
      </w:r>
      <w:r>
        <w:t>c cu</w:t>
      </w:r>
      <w:r>
        <w:rPr>
          <w:spacing w:val="-3"/>
        </w:rPr>
        <w:t xml:space="preserve"> </w:t>
      </w:r>
      <w:r>
        <w:t>ce</w:t>
      </w:r>
      <w:r>
        <w:rPr>
          <w:spacing w:val="1"/>
        </w:rPr>
        <w:t>l</w:t>
      </w:r>
      <w:r>
        <w:rPr>
          <w:spacing w:val="-3"/>
        </w:rPr>
        <w:t>u</w:t>
      </w:r>
      <w:r>
        <w:rPr>
          <w:spacing w:val="1"/>
        </w:rPr>
        <w:t>l</w:t>
      </w:r>
      <w:r>
        <w:t>e</w:t>
      </w:r>
      <w:r>
        <w:rPr>
          <w:spacing w:val="-2"/>
        </w:rPr>
        <w:t xml:space="preserve"> </w:t>
      </w:r>
      <w:r>
        <w:t>T</w:t>
      </w:r>
      <w:r>
        <w:rPr>
          <w:spacing w:val="-1"/>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 xml:space="preserve">i </w:t>
      </w:r>
      <w:r>
        <w:rPr>
          <w:spacing w:val="1"/>
        </w:rPr>
        <w:t>t</w:t>
      </w:r>
      <w:r>
        <w:t>r</w:t>
      </w:r>
      <w:r>
        <w:rPr>
          <w:spacing w:val="-3"/>
        </w:rPr>
        <w:t>a</w:t>
      </w:r>
      <w:r>
        <w:rPr>
          <w:spacing w:val="1"/>
        </w:rPr>
        <w:t>t</w:t>
      </w:r>
      <w:r>
        <w:rPr>
          <w:spacing w:val="-3"/>
        </w:rPr>
        <w:t>a</w:t>
      </w:r>
      <w:r>
        <w:rPr>
          <w:spacing w:val="1"/>
        </w:rPr>
        <w:t>ţ</w:t>
      </w:r>
      <w:r>
        <w:t>i</w:t>
      </w:r>
      <w:r>
        <w:rPr>
          <w:spacing w:val="-2"/>
        </w:rPr>
        <w:t xml:space="preserve"> </w:t>
      </w:r>
      <w:r>
        <w:t>cu a</w:t>
      </w:r>
      <w:r>
        <w:rPr>
          <w:spacing w:val="-3"/>
        </w:rPr>
        <w:t>d</w:t>
      </w:r>
      <w:r>
        <w:t>a</w:t>
      </w:r>
      <w:r>
        <w:rPr>
          <w:spacing w:val="-2"/>
        </w:rPr>
        <w:t>l</w:t>
      </w:r>
      <w:r>
        <w:rPr>
          <w:spacing w:val="1"/>
        </w:rPr>
        <w:t>i</w:t>
      </w:r>
      <w:r>
        <w:rPr>
          <w:spacing w:val="-4"/>
        </w:rPr>
        <w:t>m</w:t>
      </w:r>
      <w:r>
        <w:rPr>
          <w:spacing w:val="2"/>
        </w:rPr>
        <w:t>u</w:t>
      </w:r>
      <w:r>
        <w:rPr>
          <w:spacing w:val="-4"/>
        </w:rPr>
        <w:t>m</w:t>
      </w:r>
      <w:r>
        <w:t xml:space="preserve">ab. </w:t>
      </w:r>
      <w:r>
        <w:rPr>
          <w:spacing w:val="-1"/>
        </w:rPr>
        <w:t>A</w:t>
      </w:r>
      <w:r>
        <w:t>cest</w:t>
      </w:r>
      <w:r>
        <w:rPr>
          <w:spacing w:val="1"/>
        </w:rPr>
        <w:t xml:space="preserve"> </w:t>
      </w:r>
      <w:r>
        <w:rPr>
          <w:spacing w:val="-2"/>
        </w:rPr>
        <w:t>t</w:t>
      </w:r>
      <w:r>
        <w:rPr>
          <w:spacing w:val="1"/>
        </w:rPr>
        <w:t>i</w:t>
      </w:r>
      <w:r>
        <w:t>p</w:t>
      </w:r>
      <w:r>
        <w:rPr>
          <w:spacing w:val="-3"/>
        </w:rPr>
        <w:t xml:space="preserve"> </w:t>
      </w:r>
      <w:r>
        <w:t>rar</w:t>
      </w:r>
      <w:r>
        <w:rPr>
          <w:spacing w:val="-2"/>
        </w:rPr>
        <w:t xml:space="preserve"> </w:t>
      </w:r>
      <w:r>
        <w:t>de</w:t>
      </w:r>
      <w:r>
        <w:rPr>
          <w:spacing w:val="-2"/>
        </w:rPr>
        <w:t xml:space="preserve"> </w:t>
      </w:r>
      <w:r>
        <w:rPr>
          <w:spacing w:val="1"/>
        </w:rPr>
        <w:t>li</w:t>
      </w:r>
      <w:r>
        <w:rPr>
          <w:spacing w:val="-4"/>
        </w:rPr>
        <w:t>m</w:t>
      </w:r>
      <w:r>
        <w:t>fom</w:t>
      </w:r>
      <w:r>
        <w:rPr>
          <w:spacing w:val="-4"/>
        </w:rPr>
        <w:t xml:space="preserve"> </w:t>
      </w:r>
      <w:r>
        <w:t>cu ce</w:t>
      </w:r>
      <w:r>
        <w:rPr>
          <w:spacing w:val="1"/>
        </w:rPr>
        <w:t>l</w:t>
      </w:r>
      <w:r>
        <w:rPr>
          <w:spacing w:val="-3"/>
        </w:rPr>
        <w:t>u</w:t>
      </w:r>
      <w:r>
        <w:rPr>
          <w:spacing w:val="-2"/>
        </w:rPr>
        <w:t>l</w:t>
      </w:r>
      <w:r>
        <w:t>e T</w:t>
      </w:r>
      <w:r>
        <w:rPr>
          <w:spacing w:val="-1"/>
        </w:rPr>
        <w:t xml:space="preserve"> </w:t>
      </w:r>
      <w:r>
        <w:t>e</w:t>
      </w:r>
      <w:r>
        <w:rPr>
          <w:spacing w:val="-2"/>
        </w:rPr>
        <w:t>s</w:t>
      </w:r>
      <w:r>
        <w:rPr>
          <w:spacing w:val="1"/>
        </w:rPr>
        <w:t>t</w:t>
      </w:r>
      <w:r>
        <w:t>e o</w:t>
      </w:r>
      <w:r>
        <w:rPr>
          <w:spacing w:val="-3"/>
        </w:rPr>
        <w:t xml:space="preserve"> </w:t>
      </w:r>
      <w:r>
        <w:t>af</w:t>
      </w:r>
      <w:r>
        <w:rPr>
          <w:spacing w:val="-3"/>
        </w:rPr>
        <w:t>e</w:t>
      </w:r>
      <w:r>
        <w:t>c</w:t>
      </w:r>
      <w:r>
        <w:rPr>
          <w:spacing w:val="-2"/>
        </w:rPr>
        <w:t>ţ</w:t>
      </w:r>
      <w:r>
        <w:rPr>
          <w:spacing w:val="1"/>
        </w:rPr>
        <w:t>i</w:t>
      </w:r>
      <w:r>
        <w:t>une</w:t>
      </w:r>
      <w:r>
        <w:rPr>
          <w:spacing w:val="-2"/>
        </w:rPr>
        <w:t xml:space="preserve"> </w:t>
      </w:r>
      <w:r>
        <w:t>cu e</w:t>
      </w:r>
      <w:r>
        <w:rPr>
          <w:spacing w:val="-3"/>
        </w:rPr>
        <w:t>v</w:t>
      </w:r>
      <w:r>
        <w:t>o</w:t>
      </w:r>
      <w:r>
        <w:rPr>
          <w:spacing w:val="-2"/>
        </w:rPr>
        <w:t>l</w:t>
      </w:r>
      <w:r>
        <w:t>u</w:t>
      </w:r>
      <w:r>
        <w:rPr>
          <w:spacing w:val="1"/>
        </w:rPr>
        <w:t>ţ</w:t>
      </w:r>
      <w:r>
        <w:rPr>
          <w:spacing w:val="-2"/>
        </w:rPr>
        <w:t>i</w:t>
      </w:r>
      <w:r>
        <w:t xml:space="preserve">e </w:t>
      </w:r>
      <w:r>
        <w:rPr>
          <w:spacing w:val="-3"/>
        </w:rPr>
        <w:t>g</w:t>
      </w:r>
      <w:r>
        <w:t>ra</w:t>
      </w:r>
      <w:r>
        <w:rPr>
          <w:spacing w:val="-3"/>
        </w:rPr>
        <w:t>v</w:t>
      </w:r>
      <w:r>
        <w:t>ă şi</w:t>
      </w:r>
      <w:r>
        <w:rPr>
          <w:spacing w:val="1"/>
        </w:rPr>
        <w:t xml:space="preserve"> </w:t>
      </w:r>
      <w:r>
        <w:rPr>
          <w:spacing w:val="-3"/>
        </w:rPr>
        <w:t>d</w:t>
      </w:r>
      <w:r>
        <w:t>e ob</w:t>
      </w:r>
      <w:r>
        <w:rPr>
          <w:spacing w:val="1"/>
        </w:rPr>
        <w:t>i</w:t>
      </w:r>
      <w:r>
        <w:t>c</w:t>
      </w:r>
      <w:r>
        <w:rPr>
          <w:spacing w:val="-3"/>
        </w:rPr>
        <w:t>e</w:t>
      </w:r>
      <w:r>
        <w:t>i</w:t>
      </w:r>
      <w:r>
        <w:rPr>
          <w:spacing w:val="1"/>
        </w:rPr>
        <w:t xml:space="preserve"> </w:t>
      </w:r>
      <w:r>
        <w:rPr>
          <w:spacing w:val="-3"/>
        </w:rPr>
        <w:t>e</w:t>
      </w:r>
      <w:r>
        <w:t>s</w:t>
      </w:r>
      <w:r>
        <w:rPr>
          <w:spacing w:val="-2"/>
        </w:rPr>
        <w:t>t</w:t>
      </w:r>
      <w:r>
        <w:t xml:space="preserve">e </w:t>
      </w:r>
      <w:r>
        <w:rPr>
          <w:spacing w:val="1"/>
        </w:rPr>
        <w:t>l</w:t>
      </w:r>
      <w:r>
        <w:rPr>
          <w:spacing w:val="-3"/>
        </w:rPr>
        <w:t>e</w:t>
      </w:r>
      <w:r>
        <w:rPr>
          <w:spacing w:val="1"/>
        </w:rPr>
        <w:t>t</w:t>
      </w:r>
      <w:r>
        <w:rPr>
          <w:spacing w:val="-3"/>
        </w:rPr>
        <w:t>a</w:t>
      </w:r>
      <w:r>
        <w:rPr>
          <w:spacing w:val="1"/>
        </w:rPr>
        <w:t>l</w:t>
      </w:r>
      <w:r>
        <w:t xml:space="preserve">ă. </w:t>
      </w:r>
      <w:r>
        <w:rPr>
          <w:spacing w:val="-2"/>
        </w:rPr>
        <w:t>U</w:t>
      </w:r>
      <w:r>
        <w:rPr>
          <w:spacing w:val="-3"/>
        </w:rPr>
        <w:t>n</w:t>
      </w:r>
      <w:r>
        <w:t>e</w:t>
      </w:r>
      <w:r>
        <w:rPr>
          <w:spacing w:val="1"/>
        </w:rPr>
        <w:t>l</w:t>
      </w:r>
      <w:r>
        <w:t>e</w:t>
      </w:r>
      <w:r>
        <w:rPr>
          <w:spacing w:val="-2"/>
        </w:rPr>
        <w:t xml:space="preserve"> </w:t>
      </w:r>
      <w:r>
        <w:t>d</w:t>
      </w:r>
      <w:r>
        <w:rPr>
          <w:spacing w:val="1"/>
        </w:rPr>
        <w:t>i</w:t>
      </w:r>
      <w:r>
        <w:rPr>
          <w:spacing w:val="-3"/>
        </w:rPr>
        <w:t>n</w:t>
      </w:r>
      <w:r>
        <w:rPr>
          <w:spacing w:val="1"/>
        </w:rPr>
        <w:t>t</w:t>
      </w:r>
      <w:r>
        <w:t>re</w:t>
      </w:r>
      <w:r>
        <w:rPr>
          <w:spacing w:val="-2"/>
        </w:rPr>
        <w:t xml:space="preserve"> </w:t>
      </w:r>
      <w:r>
        <w:t>ac</w:t>
      </w:r>
      <w:r>
        <w:rPr>
          <w:spacing w:val="-3"/>
        </w:rPr>
        <w:t>e</w:t>
      </w:r>
      <w:r>
        <w:t>s</w:t>
      </w:r>
      <w:r>
        <w:rPr>
          <w:spacing w:val="1"/>
        </w:rPr>
        <w:t>t</w:t>
      </w:r>
      <w:r>
        <w:t>e</w:t>
      </w:r>
      <w:r>
        <w:rPr>
          <w:spacing w:val="-2"/>
        </w:rPr>
        <w:t xml:space="preserve"> l</w:t>
      </w:r>
      <w:r>
        <w:rPr>
          <w:spacing w:val="1"/>
        </w:rPr>
        <w:t>i</w:t>
      </w:r>
      <w:r>
        <w:rPr>
          <w:spacing w:val="-4"/>
        </w:rPr>
        <w:t>m</w:t>
      </w:r>
      <w:r>
        <w:t>foa</w:t>
      </w:r>
      <w:r>
        <w:rPr>
          <w:spacing w:val="-4"/>
        </w:rPr>
        <w:t>m</w:t>
      </w:r>
      <w:r>
        <w:t>e</w:t>
      </w:r>
      <w:r>
        <w:rPr>
          <w:spacing w:val="1"/>
        </w:rPr>
        <w:t xml:space="preserve"> </w:t>
      </w:r>
      <w:r>
        <w:rPr>
          <w:rFonts w:eastAsia="MS Mincho"/>
          <w:szCs w:val="22"/>
          <w:lang w:eastAsia="en-US" w:bidi="ar-SA"/>
        </w:rPr>
        <w:t>hepa</w:t>
      </w:r>
      <w:r>
        <w:rPr>
          <w:rFonts w:eastAsia="MS Mincho"/>
          <w:spacing w:val="1"/>
          <w:szCs w:val="22"/>
          <w:lang w:eastAsia="en-US" w:bidi="ar-SA"/>
        </w:rPr>
        <w:t>t</w:t>
      </w:r>
      <w:r>
        <w:rPr>
          <w:rFonts w:eastAsia="MS Mincho"/>
          <w:spacing w:val="-3"/>
          <w:szCs w:val="22"/>
          <w:lang w:eastAsia="en-US" w:bidi="ar-SA"/>
        </w:rPr>
        <w:t>o</w:t>
      </w:r>
      <w:r>
        <w:rPr>
          <w:rFonts w:eastAsia="MS Mincho"/>
          <w:szCs w:val="22"/>
          <w:lang w:eastAsia="en-US" w:bidi="ar-SA"/>
        </w:rPr>
        <w:t>sp</w:t>
      </w:r>
      <w:r>
        <w:rPr>
          <w:rFonts w:eastAsia="MS Mincho"/>
          <w:spacing w:val="-2"/>
          <w:szCs w:val="22"/>
          <w:lang w:eastAsia="en-US" w:bidi="ar-SA"/>
        </w:rPr>
        <w:t>l</w:t>
      </w:r>
      <w:r>
        <w:rPr>
          <w:rFonts w:eastAsia="MS Mincho"/>
          <w:szCs w:val="22"/>
          <w:lang w:eastAsia="en-US" w:bidi="ar-SA"/>
        </w:rPr>
        <w:t>en</w:t>
      </w:r>
      <w:r>
        <w:rPr>
          <w:rFonts w:eastAsia="MS Mincho"/>
          <w:spacing w:val="-2"/>
          <w:szCs w:val="22"/>
          <w:lang w:eastAsia="en-US" w:bidi="ar-SA"/>
        </w:rPr>
        <w:t>i</w:t>
      </w:r>
      <w:r>
        <w:rPr>
          <w:rFonts w:eastAsia="MS Mincho"/>
          <w:szCs w:val="22"/>
          <w:lang w:eastAsia="en-US" w:bidi="ar-SA"/>
        </w:rPr>
        <w:t xml:space="preserve">ce </w:t>
      </w:r>
      <w:r>
        <w:t>cu ce</w:t>
      </w:r>
      <w:r>
        <w:rPr>
          <w:spacing w:val="1"/>
        </w:rPr>
        <w:t>l</w:t>
      </w:r>
      <w:r>
        <w:rPr>
          <w:spacing w:val="-3"/>
        </w:rPr>
        <w:t>u</w:t>
      </w:r>
      <w:r>
        <w:rPr>
          <w:spacing w:val="1"/>
        </w:rPr>
        <w:t>l</w:t>
      </w:r>
      <w:r>
        <w:t>e</w:t>
      </w:r>
      <w:r>
        <w:rPr>
          <w:spacing w:val="-2"/>
        </w:rPr>
        <w:t xml:space="preserve"> </w:t>
      </w:r>
      <w:r>
        <w:t>T</w:t>
      </w:r>
      <w:r>
        <w:rPr>
          <w:spacing w:val="2"/>
        </w:rPr>
        <w:t xml:space="preserve"> </w:t>
      </w:r>
      <w:r>
        <w:t>a</w:t>
      </w:r>
      <w:r>
        <w:rPr>
          <w:spacing w:val="-3"/>
        </w:rPr>
        <w:t>p</w:t>
      </w:r>
      <w:r>
        <w:t>ăr</w:t>
      </w:r>
      <w:r>
        <w:rPr>
          <w:spacing w:val="-3"/>
        </w:rPr>
        <w:t>u</w:t>
      </w:r>
      <w:r>
        <w:rPr>
          <w:spacing w:val="1"/>
        </w:rPr>
        <w:t>t</w:t>
      </w:r>
      <w:r>
        <w:t>e</w:t>
      </w:r>
      <w:r>
        <w:rPr>
          <w:spacing w:val="-2"/>
        </w:rPr>
        <w:t xml:space="preserve"> </w:t>
      </w:r>
      <w:r>
        <w:rPr>
          <w:spacing w:val="1"/>
        </w:rPr>
        <w:t>î</w:t>
      </w:r>
      <w:r>
        <w:t>n</w:t>
      </w:r>
      <w:r>
        <w:rPr>
          <w:spacing w:val="-3"/>
        </w:rPr>
        <w:t xml:space="preserve"> </w:t>
      </w:r>
      <w:r>
        <w:rPr>
          <w:spacing w:val="1"/>
        </w:rPr>
        <w:t>ti</w:t>
      </w:r>
      <w:r>
        <w:rPr>
          <w:spacing w:val="-4"/>
        </w:rPr>
        <w:t>m</w:t>
      </w:r>
      <w:r>
        <w:t>pul</w:t>
      </w:r>
      <w:r>
        <w:rPr>
          <w:spacing w:val="1"/>
        </w:rPr>
        <w:t xml:space="preserve"> </w:t>
      </w:r>
      <w:r>
        <w:rPr>
          <w:spacing w:val="-2"/>
        </w:rPr>
        <w:t>t</w:t>
      </w:r>
      <w:r>
        <w:t>r</w:t>
      </w:r>
      <w:r>
        <w:rPr>
          <w:spacing w:val="-3"/>
        </w:rPr>
        <w:t>a</w:t>
      </w:r>
      <w:r>
        <w:rPr>
          <w:spacing w:val="1"/>
        </w:rPr>
        <w:t>t</w:t>
      </w:r>
      <w:r>
        <w:rPr>
          <w:spacing w:val="-3"/>
        </w:rPr>
        <w:t>a</w:t>
      </w:r>
      <w:r>
        <w:rPr>
          <w:spacing w:val="-4"/>
        </w:rPr>
        <w:t>m</w:t>
      </w:r>
      <w:r>
        <w:t>en</w:t>
      </w:r>
      <w:r>
        <w:rPr>
          <w:spacing w:val="1"/>
        </w:rPr>
        <w:t>t</w:t>
      </w:r>
      <w:r>
        <w:t>u</w:t>
      </w:r>
      <w:r>
        <w:rPr>
          <w:spacing w:val="1"/>
        </w:rPr>
        <w:t>l</w:t>
      </w:r>
      <w:r>
        <w:t>ui</w:t>
      </w:r>
      <w:r>
        <w:rPr>
          <w:spacing w:val="1"/>
        </w:rPr>
        <w:t xml:space="preserve"> </w:t>
      </w:r>
      <w:r>
        <w:rPr>
          <w:spacing w:val="-3"/>
        </w:rPr>
        <w:t>c</w:t>
      </w:r>
      <w:r>
        <w:t xml:space="preserve">u </w:t>
      </w:r>
      <w:r>
        <w:rPr>
          <w:rFonts w:eastAsia="MS Mincho"/>
          <w:spacing w:val="-1"/>
          <w:szCs w:val="22"/>
          <w:lang w:eastAsia="en-US" w:bidi="ar-SA"/>
        </w:rPr>
        <w:t>adalimumab</w:t>
      </w:r>
      <w:r>
        <w:t xml:space="preserve"> s</w:t>
      </w:r>
      <w:r>
        <w:rPr>
          <w:spacing w:val="-4"/>
        </w:rPr>
        <w:t>-</w:t>
      </w:r>
      <w:r>
        <w:t xml:space="preserve">au </w:t>
      </w:r>
      <w:r>
        <w:rPr>
          <w:spacing w:val="1"/>
        </w:rPr>
        <w:t>î</w:t>
      </w:r>
      <w:r>
        <w:t>n</w:t>
      </w:r>
      <w:r>
        <w:rPr>
          <w:spacing w:val="1"/>
        </w:rPr>
        <w:t>t</w:t>
      </w:r>
      <w:r>
        <w:t>â</w:t>
      </w:r>
      <w:r>
        <w:rPr>
          <w:spacing w:val="-2"/>
        </w:rPr>
        <w:t>l</w:t>
      </w:r>
      <w:r>
        <w:t>n</w:t>
      </w:r>
      <w:r>
        <w:rPr>
          <w:spacing w:val="-2"/>
        </w:rPr>
        <w:t>i</w:t>
      </w:r>
      <w:r>
        <w:t>t</w:t>
      </w:r>
      <w:r>
        <w:rPr>
          <w:spacing w:val="1"/>
        </w:rPr>
        <w:t xml:space="preserve"> </w:t>
      </w:r>
      <w:r>
        <w:rPr>
          <w:spacing w:val="-2"/>
        </w:rPr>
        <w:t>l</w:t>
      </w:r>
      <w:r>
        <w:t>a pa</w:t>
      </w:r>
      <w:r>
        <w:rPr>
          <w:spacing w:val="-3"/>
        </w:rPr>
        <w:t>c</w:t>
      </w:r>
      <w:r>
        <w:rPr>
          <w:spacing w:val="1"/>
        </w:rPr>
        <w:t>i</w:t>
      </w:r>
      <w:r>
        <w:t>e</w:t>
      </w:r>
      <w:r>
        <w:rPr>
          <w:spacing w:val="-3"/>
        </w:rPr>
        <w:t>n</w:t>
      </w:r>
      <w:r>
        <w:rPr>
          <w:spacing w:val="1"/>
        </w:rPr>
        <w:t>ţ</w:t>
      </w:r>
      <w:r>
        <w:rPr>
          <w:spacing w:val="-2"/>
        </w:rPr>
        <w:t>i</w:t>
      </w:r>
      <w:r>
        <w:t>i</w:t>
      </w:r>
      <w:r>
        <w:rPr>
          <w:spacing w:val="-2"/>
        </w:rPr>
        <w:t xml:space="preserve"> </w:t>
      </w:r>
      <w:r>
        <w:rPr>
          <w:spacing w:val="1"/>
        </w:rPr>
        <w:t>ti</w:t>
      </w:r>
      <w:r>
        <w:rPr>
          <w:spacing w:val="-3"/>
        </w:rPr>
        <w:t>ne</w:t>
      </w:r>
      <w:r>
        <w:t>ri</w:t>
      </w:r>
      <w:r>
        <w:rPr>
          <w:spacing w:val="1"/>
        </w:rPr>
        <w:t xml:space="preserve"> </w:t>
      </w:r>
      <w:r>
        <w:rPr>
          <w:spacing w:val="-3"/>
        </w:rPr>
        <w:t>c</w:t>
      </w:r>
      <w:r>
        <w:t>ăr</w:t>
      </w:r>
      <w:r>
        <w:rPr>
          <w:spacing w:val="-3"/>
        </w:rPr>
        <w:t>o</w:t>
      </w:r>
      <w:r>
        <w:t>ra</w:t>
      </w:r>
      <w:r>
        <w:rPr>
          <w:spacing w:val="-2"/>
        </w:rPr>
        <w:t xml:space="preserve"> </w:t>
      </w:r>
      <w:r>
        <w:rPr>
          <w:spacing w:val="1"/>
        </w:rPr>
        <w:t>l</w:t>
      </w:r>
      <w:r>
        <w:t>i</w:t>
      </w:r>
      <w:r>
        <w:rPr>
          <w:spacing w:val="-2"/>
        </w:rPr>
        <w:t xml:space="preserve"> </w:t>
      </w:r>
      <w:r>
        <w:t xml:space="preserve">se </w:t>
      </w:r>
      <w:r>
        <w:rPr>
          <w:spacing w:val="-3"/>
        </w:rPr>
        <w:t>a</w:t>
      </w:r>
      <w:r>
        <w:t>d</w:t>
      </w:r>
      <w:r>
        <w:rPr>
          <w:spacing w:val="-4"/>
        </w:rPr>
        <w:t>m</w:t>
      </w:r>
      <w:r>
        <w:rPr>
          <w:spacing w:val="1"/>
        </w:rPr>
        <w:t>i</w:t>
      </w:r>
      <w:r>
        <w:t>n</w:t>
      </w:r>
      <w:r>
        <w:rPr>
          <w:spacing w:val="1"/>
        </w:rPr>
        <w:t>i</w:t>
      </w:r>
      <w:r>
        <w:t>s</w:t>
      </w:r>
      <w:r>
        <w:rPr>
          <w:spacing w:val="-2"/>
        </w:rPr>
        <w:t>t</w:t>
      </w:r>
      <w:r>
        <w:t>rea</w:t>
      </w:r>
      <w:r>
        <w:rPr>
          <w:spacing w:val="-3"/>
        </w:rPr>
        <w:t>z</w:t>
      </w:r>
      <w:r>
        <w:t>ă</w:t>
      </w:r>
      <w:r>
        <w:rPr>
          <w:spacing w:val="-2"/>
        </w:rPr>
        <w:t xml:space="preserve"> </w:t>
      </w:r>
      <w:r>
        <w:t>conco</w:t>
      </w:r>
      <w:r>
        <w:rPr>
          <w:spacing w:val="-4"/>
        </w:rPr>
        <w:t>m</w:t>
      </w:r>
      <w:r>
        <w:rPr>
          <w:spacing w:val="1"/>
        </w:rPr>
        <w:t>it</w:t>
      </w:r>
      <w:r>
        <w:t>e</w:t>
      </w:r>
      <w:r>
        <w:rPr>
          <w:spacing w:val="-3"/>
        </w:rPr>
        <w:t>n</w:t>
      </w:r>
      <w:r>
        <w:t>t</w:t>
      </w:r>
      <w:r>
        <w:rPr>
          <w:spacing w:val="-2"/>
        </w:rPr>
        <w:t xml:space="preserve"> </w:t>
      </w:r>
      <w:r>
        <w:rPr>
          <w:spacing w:val="1"/>
        </w:rPr>
        <w:t>t</w:t>
      </w:r>
      <w:r>
        <w:t>r</w:t>
      </w:r>
      <w:r>
        <w:rPr>
          <w:spacing w:val="-3"/>
        </w:rPr>
        <w:t>a</w:t>
      </w:r>
      <w:r>
        <w:rPr>
          <w:spacing w:val="1"/>
        </w:rPr>
        <w:t>t</w:t>
      </w:r>
      <w:r>
        <w:t>a</w:t>
      </w:r>
      <w:r>
        <w:rPr>
          <w:spacing w:val="-4"/>
        </w:rPr>
        <w:t>m</w:t>
      </w:r>
      <w:r>
        <w:t>ent</w:t>
      </w:r>
      <w:r>
        <w:rPr>
          <w:spacing w:val="1"/>
        </w:rPr>
        <w:t xml:space="preserve"> </w:t>
      </w:r>
      <w:r>
        <w:t>cu</w:t>
      </w:r>
      <w:r>
        <w:rPr>
          <w:spacing w:val="-3"/>
        </w:rPr>
        <w:t xml:space="preserve"> az</w:t>
      </w:r>
      <w:r>
        <w:t>a</w:t>
      </w:r>
      <w:r>
        <w:rPr>
          <w:spacing w:val="1"/>
        </w:rPr>
        <w:t>ti</w:t>
      </w:r>
      <w:r>
        <w:t>op</w:t>
      </w:r>
      <w:r>
        <w:rPr>
          <w:spacing w:val="-2"/>
        </w:rPr>
        <w:t>r</w:t>
      </w:r>
      <w:r>
        <w:rPr>
          <w:spacing w:val="1"/>
        </w:rPr>
        <w:t>i</w:t>
      </w:r>
      <w:r>
        <w:t>nă</w:t>
      </w:r>
      <w:r>
        <w:rPr>
          <w:spacing w:val="-2"/>
        </w:rPr>
        <w:t xml:space="preserve"> </w:t>
      </w:r>
      <w:r>
        <w:t>sau</w:t>
      </w:r>
      <w:r>
        <w:rPr>
          <w:spacing w:val="-3"/>
        </w:rPr>
        <w:t xml:space="preserve"> </w:t>
      </w:r>
      <w:r>
        <w:t>6</w:t>
      </w:r>
      <w:r>
        <w:noBreakHyphen/>
      </w:r>
      <w:r>
        <w:rPr>
          <w:spacing w:val="-4"/>
        </w:rPr>
        <w:t>m</w:t>
      </w:r>
      <w:r>
        <w:t>ercap</w:t>
      </w:r>
      <w:r>
        <w:rPr>
          <w:spacing w:val="1"/>
        </w:rPr>
        <w:t>t</w:t>
      </w:r>
      <w:r>
        <w:t>op</w:t>
      </w:r>
      <w:r>
        <w:rPr>
          <w:spacing w:val="-3"/>
        </w:rPr>
        <w:t>u</w:t>
      </w:r>
      <w:r>
        <w:t>r</w:t>
      </w:r>
      <w:r>
        <w:rPr>
          <w:spacing w:val="1"/>
        </w:rPr>
        <w:t>i</w:t>
      </w:r>
      <w:r>
        <w:rPr>
          <w:spacing w:val="-3"/>
        </w:rPr>
        <w:t>n</w:t>
      </w:r>
      <w:r>
        <w:t xml:space="preserve">ă </w:t>
      </w:r>
      <w:r>
        <w:rPr>
          <w:spacing w:val="-3"/>
        </w:rPr>
        <w:t>u</w:t>
      </w:r>
      <w:r>
        <w:rPr>
          <w:spacing w:val="1"/>
        </w:rPr>
        <w:t>t</w:t>
      </w:r>
      <w:r>
        <w:rPr>
          <w:spacing w:val="-2"/>
        </w:rPr>
        <w:t>i</w:t>
      </w:r>
      <w:r>
        <w:rPr>
          <w:spacing w:val="1"/>
        </w:rPr>
        <w:t>li</w:t>
      </w:r>
      <w:r>
        <w:rPr>
          <w:spacing w:val="-3"/>
        </w:rPr>
        <w:t>z</w:t>
      </w:r>
      <w:r>
        <w:t>a</w:t>
      </w:r>
      <w:r>
        <w:rPr>
          <w:spacing w:val="-2"/>
        </w:rPr>
        <w:t>t</w:t>
      </w:r>
      <w:r>
        <w:t>e p</w:t>
      </w:r>
      <w:r>
        <w:rPr>
          <w:spacing w:val="-3"/>
        </w:rPr>
        <w:t>e</w:t>
      </w:r>
      <w:r>
        <w:t>n</w:t>
      </w:r>
      <w:r>
        <w:rPr>
          <w:spacing w:val="1"/>
        </w:rPr>
        <w:t>t</w:t>
      </w:r>
      <w:r>
        <w:t>ru</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ul</w:t>
      </w:r>
      <w:r>
        <w:rPr>
          <w:spacing w:val="1"/>
        </w:rPr>
        <w:t xml:space="preserve"> </w:t>
      </w:r>
      <w:r>
        <w:rPr>
          <w:spacing w:val="-3"/>
        </w:rPr>
        <w:t>a</w:t>
      </w:r>
      <w:r>
        <w:t>fe</w:t>
      </w:r>
      <w:r>
        <w:rPr>
          <w:spacing w:val="-3"/>
        </w:rPr>
        <w:t>c</w:t>
      </w:r>
      <w:r>
        <w:rPr>
          <w:spacing w:val="1"/>
        </w:rPr>
        <w:t>ţ</w:t>
      </w:r>
      <w:r>
        <w:rPr>
          <w:spacing w:val="-2"/>
        </w:rPr>
        <w:t>i</w:t>
      </w:r>
      <w:r>
        <w:t>un</w:t>
      </w:r>
      <w:r>
        <w:rPr>
          <w:spacing w:val="-2"/>
        </w:rPr>
        <w:t>i</w:t>
      </w:r>
      <w:r>
        <w:rPr>
          <w:spacing w:val="1"/>
        </w:rPr>
        <w:t>l</w:t>
      </w:r>
      <w:r>
        <w:rPr>
          <w:spacing w:val="-3"/>
        </w:rPr>
        <w:t>o</w:t>
      </w:r>
      <w:r>
        <w:t>r</w:t>
      </w:r>
      <w:r>
        <w:rPr>
          <w:spacing w:val="1"/>
        </w:rPr>
        <w:t xml:space="preserve"> i</w:t>
      </w:r>
      <w:r>
        <w:rPr>
          <w:spacing w:val="-3"/>
        </w:rPr>
        <w:t>n</w:t>
      </w:r>
      <w:r>
        <w:t>f</w:t>
      </w:r>
      <w:r>
        <w:rPr>
          <w:spacing w:val="-2"/>
        </w:rPr>
        <w:t>l</w:t>
      </w:r>
      <w:r>
        <w:t>a</w:t>
      </w:r>
      <w:r>
        <w:rPr>
          <w:spacing w:val="-4"/>
        </w:rPr>
        <w:t>m</w:t>
      </w:r>
      <w:r>
        <w:t>a</w:t>
      </w:r>
      <w:r>
        <w:rPr>
          <w:spacing w:val="1"/>
        </w:rPr>
        <w:t>t</w:t>
      </w:r>
      <w:r>
        <w:t>or</w:t>
      </w:r>
      <w:r>
        <w:rPr>
          <w:spacing w:val="-2"/>
        </w:rPr>
        <w:t>i</w:t>
      </w:r>
      <w:r>
        <w:t>i</w:t>
      </w:r>
      <w:r>
        <w:rPr>
          <w:spacing w:val="1"/>
        </w:rPr>
        <w:t xml:space="preserve"> </w:t>
      </w:r>
      <w:r>
        <w:rPr>
          <w:spacing w:val="-2"/>
        </w:rPr>
        <w:t>i</w:t>
      </w:r>
      <w:r>
        <w:t>n</w:t>
      </w:r>
      <w:r>
        <w:rPr>
          <w:spacing w:val="1"/>
        </w:rPr>
        <w:t>t</w:t>
      </w:r>
      <w:r>
        <w:rPr>
          <w:spacing w:val="-3"/>
        </w:rPr>
        <w:t>e</w:t>
      </w:r>
      <w:r>
        <w:t>s</w:t>
      </w:r>
      <w:r>
        <w:rPr>
          <w:spacing w:val="-2"/>
        </w:rPr>
        <w:t>t</w:t>
      </w:r>
      <w:r>
        <w:rPr>
          <w:spacing w:val="1"/>
        </w:rPr>
        <w:t>i</w:t>
      </w:r>
      <w:r>
        <w:t>n</w:t>
      </w:r>
      <w:r>
        <w:rPr>
          <w:spacing w:val="-3"/>
        </w:rPr>
        <w:t>a</w:t>
      </w:r>
      <w:r>
        <w:rPr>
          <w:spacing w:val="1"/>
        </w:rPr>
        <w:t>l</w:t>
      </w:r>
      <w:r>
        <w:t>e.</w:t>
      </w:r>
      <w:r>
        <w:rPr>
          <w:spacing w:val="-3"/>
        </w:rPr>
        <w:t xml:space="preserve"> </w:t>
      </w:r>
      <w:r>
        <w:rPr>
          <w:spacing w:val="-1"/>
        </w:rPr>
        <w:t>T</w:t>
      </w:r>
      <w:r>
        <w:rPr>
          <w:spacing w:val="-2"/>
        </w:rPr>
        <w:t>r</w:t>
      </w:r>
      <w:r>
        <w:t>e</w:t>
      </w:r>
      <w:r>
        <w:rPr>
          <w:spacing w:val="-1"/>
        </w:rPr>
        <w:t>b</w:t>
      </w:r>
      <w:r>
        <w:t>u</w:t>
      </w:r>
      <w:r>
        <w:rPr>
          <w:spacing w:val="1"/>
        </w:rPr>
        <w:t>i</w:t>
      </w:r>
      <w:r>
        <w:t>e</w:t>
      </w:r>
      <w:r>
        <w:rPr>
          <w:spacing w:val="-2"/>
        </w:rPr>
        <w:t xml:space="preserve"> </w:t>
      </w:r>
      <w:r>
        <w:rPr>
          <w:spacing w:val="1"/>
        </w:rPr>
        <w:t>l</w:t>
      </w:r>
      <w:r>
        <w:rPr>
          <w:spacing w:val="-3"/>
        </w:rPr>
        <w:t>u</w:t>
      </w:r>
      <w:r>
        <w:t>at</w:t>
      </w:r>
      <w:r>
        <w:rPr>
          <w:spacing w:val="-2"/>
        </w:rPr>
        <w:t xml:space="preserve"> </w:t>
      </w:r>
      <w:r>
        <w:rPr>
          <w:spacing w:val="1"/>
        </w:rPr>
        <w:t xml:space="preserve">în </w:t>
      </w:r>
      <w:r>
        <w:t>cons</w:t>
      </w:r>
      <w:r>
        <w:rPr>
          <w:spacing w:val="-2"/>
        </w:rPr>
        <w:t>i</w:t>
      </w:r>
      <w:r>
        <w:t>de</w:t>
      </w:r>
      <w:r>
        <w:rPr>
          <w:spacing w:val="-2"/>
        </w:rPr>
        <w:t>r</w:t>
      </w:r>
      <w:r>
        <w:t>a</w:t>
      </w:r>
      <w:r>
        <w:rPr>
          <w:spacing w:val="-2"/>
        </w:rPr>
        <w:t>r</w:t>
      </w:r>
      <w:r>
        <w:t xml:space="preserve">e cu </w:t>
      </w:r>
      <w:r>
        <w:rPr>
          <w:spacing w:val="-3"/>
        </w:rPr>
        <w:t>a</w:t>
      </w:r>
      <w:r>
        <w:rPr>
          <w:spacing w:val="1"/>
        </w:rPr>
        <w:t>t</w:t>
      </w:r>
      <w:r>
        <w:t>e</w:t>
      </w:r>
      <w:r>
        <w:rPr>
          <w:spacing w:val="-3"/>
        </w:rPr>
        <w:t>n</w:t>
      </w:r>
      <w:r>
        <w:rPr>
          <w:spacing w:val="-2"/>
        </w:rPr>
        <w:t>ţ</w:t>
      </w:r>
      <w:r>
        <w:rPr>
          <w:spacing w:val="1"/>
        </w:rPr>
        <w:t>i</w:t>
      </w:r>
      <w:r>
        <w:t xml:space="preserve">e </w:t>
      </w:r>
      <w:r>
        <w:rPr>
          <w:spacing w:val="-2"/>
        </w:rPr>
        <w:t>r</w:t>
      </w:r>
      <w:r>
        <w:rPr>
          <w:spacing w:val="1"/>
        </w:rPr>
        <w:t>i</w:t>
      </w:r>
      <w:r>
        <w:rPr>
          <w:spacing w:val="-2"/>
        </w:rPr>
        <w:t>s</w:t>
      </w:r>
      <w:r>
        <w:t>c</w:t>
      </w:r>
      <w:r>
        <w:rPr>
          <w:spacing w:val="-3"/>
        </w:rPr>
        <w:t>u</w:t>
      </w:r>
      <w:r>
        <w:t>l</w:t>
      </w:r>
      <w:r>
        <w:rPr>
          <w:spacing w:val="1"/>
        </w:rPr>
        <w:t xml:space="preserve"> </w:t>
      </w:r>
      <w:r>
        <w:t>po</w:t>
      </w:r>
      <w:r>
        <w:rPr>
          <w:spacing w:val="-2"/>
        </w:rPr>
        <w:t>t</w:t>
      </w:r>
      <w:r>
        <w:t>en</w:t>
      </w:r>
      <w:r>
        <w:rPr>
          <w:spacing w:val="-2"/>
        </w:rPr>
        <w:t>ţ</w:t>
      </w:r>
      <w:r>
        <w:rPr>
          <w:spacing w:val="1"/>
        </w:rPr>
        <w:t>i</w:t>
      </w:r>
      <w:r>
        <w:rPr>
          <w:spacing w:val="-3"/>
        </w:rPr>
        <w:t>a</w:t>
      </w:r>
      <w:r>
        <w:t>l</w:t>
      </w:r>
      <w:r>
        <w:rPr>
          <w:spacing w:val="1"/>
        </w:rPr>
        <w:t xml:space="preserve"> </w:t>
      </w:r>
      <w:r>
        <w:rPr>
          <w:spacing w:val="-2"/>
        </w:rPr>
        <w:t>î</w:t>
      </w:r>
      <w:r>
        <w:t>n ca</w:t>
      </w:r>
      <w:r>
        <w:rPr>
          <w:spacing w:val="-3"/>
        </w:rPr>
        <w:t>z</w:t>
      </w:r>
      <w:r>
        <w:t>ul</w:t>
      </w:r>
      <w:r>
        <w:rPr>
          <w:spacing w:val="-2"/>
        </w:rPr>
        <w:t xml:space="preserve"> </w:t>
      </w:r>
      <w:r>
        <w:t>u</w:t>
      </w:r>
      <w:r>
        <w:rPr>
          <w:spacing w:val="-2"/>
        </w:rPr>
        <w:t>t</w:t>
      </w:r>
      <w:r>
        <w:rPr>
          <w:spacing w:val="1"/>
        </w:rPr>
        <w:t>i</w:t>
      </w:r>
      <w:r>
        <w:rPr>
          <w:spacing w:val="-2"/>
        </w:rPr>
        <w:t>l</w:t>
      </w:r>
      <w:r>
        <w:rPr>
          <w:spacing w:val="1"/>
        </w:rPr>
        <w:t>i</w:t>
      </w:r>
      <w:r>
        <w:rPr>
          <w:spacing w:val="-3"/>
        </w:rPr>
        <w:t>z</w:t>
      </w:r>
      <w:r>
        <w:t>ăr</w:t>
      </w:r>
      <w:r>
        <w:rPr>
          <w:spacing w:val="-2"/>
        </w:rPr>
        <w:t>i</w:t>
      </w:r>
      <w:r>
        <w:t>i</w:t>
      </w:r>
      <w:r>
        <w:rPr>
          <w:spacing w:val="-2"/>
        </w:rPr>
        <w:t xml:space="preserve"> </w:t>
      </w:r>
      <w:r>
        <w:t>conco</w:t>
      </w:r>
      <w:r>
        <w:rPr>
          <w:spacing w:val="-4"/>
        </w:rPr>
        <w:t>m</w:t>
      </w:r>
      <w:r>
        <w:rPr>
          <w:spacing w:val="1"/>
        </w:rPr>
        <w:t>it</w:t>
      </w:r>
      <w:r>
        <w:t>e</w:t>
      </w:r>
      <w:r>
        <w:rPr>
          <w:spacing w:val="-3"/>
        </w:rPr>
        <w:t>n</w:t>
      </w:r>
      <w:r>
        <w:rPr>
          <w:spacing w:val="1"/>
        </w:rPr>
        <w:t>t</w:t>
      </w:r>
      <w:r>
        <w:t>e</w:t>
      </w:r>
      <w:r>
        <w:rPr>
          <w:spacing w:val="-2"/>
        </w:rPr>
        <w:t xml:space="preserve"> </w:t>
      </w:r>
      <w:r>
        <w:t>a a</w:t>
      </w:r>
      <w:r>
        <w:rPr>
          <w:spacing w:val="-3"/>
        </w:rPr>
        <w:t>z</w:t>
      </w:r>
      <w:r>
        <w:t>a</w:t>
      </w:r>
      <w:r>
        <w:rPr>
          <w:spacing w:val="-2"/>
        </w:rPr>
        <w:t>t</w:t>
      </w:r>
      <w:r>
        <w:rPr>
          <w:spacing w:val="1"/>
        </w:rPr>
        <w:t>i</w:t>
      </w:r>
      <w:r>
        <w:t>o</w:t>
      </w:r>
      <w:r>
        <w:rPr>
          <w:spacing w:val="-3"/>
        </w:rPr>
        <w:t>p</w:t>
      </w:r>
      <w:r>
        <w:t>r</w:t>
      </w:r>
      <w:r>
        <w:rPr>
          <w:spacing w:val="1"/>
        </w:rPr>
        <w:t>i</w:t>
      </w:r>
      <w:r>
        <w:rPr>
          <w:spacing w:val="-3"/>
        </w:rPr>
        <w:t>ne</w:t>
      </w:r>
      <w:r>
        <w:t>i</w:t>
      </w:r>
      <w:r>
        <w:rPr>
          <w:spacing w:val="1"/>
        </w:rPr>
        <w:t xml:space="preserve"> </w:t>
      </w:r>
      <w:r>
        <w:t>sau</w:t>
      </w:r>
      <w:r>
        <w:rPr>
          <w:spacing w:val="-3"/>
        </w:rPr>
        <w:t xml:space="preserve"> </w:t>
      </w:r>
      <w:r>
        <w:t>a 6</w:t>
      </w:r>
      <w:r>
        <w:rPr>
          <w:spacing w:val="-2"/>
        </w:rPr>
        <w:noBreakHyphen/>
      </w:r>
      <w:r>
        <w:rPr>
          <w:spacing w:val="-4"/>
        </w:rPr>
        <w:t>m</w:t>
      </w:r>
      <w:r>
        <w:t>ercap</w:t>
      </w:r>
      <w:r>
        <w:rPr>
          <w:spacing w:val="1"/>
        </w:rPr>
        <w:t>t</w:t>
      </w:r>
      <w:r>
        <w:t>opu</w:t>
      </w:r>
      <w:r>
        <w:rPr>
          <w:spacing w:val="-2"/>
        </w:rPr>
        <w:t>r</w:t>
      </w:r>
      <w:r>
        <w:rPr>
          <w:spacing w:val="1"/>
        </w:rPr>
        <w:t>i</w:t>
      </w:r>
      <w:r>
        <w:t>n</w:t>
      </w:r>
      <w:r>
        <w:rPr>
          <w:spacing w:val="-3"/>
        </w:rPr>
        <w:t>e</w:t>
      </w:r>
      <w:r>
        <w:t>i</w:t>
      </w:r>
      <w:r>
        <w:rPr>
          <w:spacing w:val="1"/>
        </w:rPr>
        <w:t xml:space="preserve"> </w:t>
      </w:r>
      <w:r>
        <w:t>cu</w:t>
      </w:r>
      <w:r>
        <w:rPr>
          <w:spacing w:val="-3"/>
        </w:rPr>
        <w:t xml:space="preserve"> </w:t>
      </w:r>
      <w:r>
        <w:rPr>
          <w:rFonts w:eastAsia="MS Mincho"/>
          <w:spacing w:val="-1"/>
          <w:szCs w:val="22"/>
          <w:lang w:eastAsia="en-US" w:bidi="ar-SA"/>
        </w:rPr>
        <w:t>AMGEVITA</w:t>
      </w:r>
      <w:r>
        <w:t xml:space="preserve">. </w:t>
      </w:r>
      <w:r>
        <w:rPr>
          <w:spacing w:val="-1"/>
        </w:rPr>
        <w:t>N</w:t>
      </w:r>
      <w:r>
        <w:t>u p</w:t>
      </w:r>
      <w:r>
        <w:rPr>
          <w:spacing w:val="-3"/>
        </w:rPr>
        <w:t>o</w:t>
      </w:r>
      <w:r>
        <w:t>a</w:t>
      </w:r>
      <w:r>
        <w:rPr>
          <w:spacing w:val="1"/>
        </w:rPr>
        <w:t>t</w:t>
      </w:r>
      <w:r>
        <w:t>e</w:t>
      </w:r>
      <w:r>
        <w:rPr>
          <w:spacing w:val="-2"/>
        </w:rPr>
        <w:t xml:space="preserve"> f</w:t>
      </w:r>
      <w:r>
        <w:t>i</w:t>
      </w:r>
      <w:r>
        <w:rPr>
          <w:spacing w:val="1"/>
        </w:rPr>
        <w:t xml:space="preserve"> </w:t>
      </w:r>
      <w:r>
        <w:t>ex</w:t>
      </w:r>
      <w:r>
        <w:rPr>
          <w:spacing w:val="-3"/>
        </w:rPr>
        <w:t>c</w:t>
      </w:r>
      <w:r>
        <w:rPr>
          <w:spacing w:val="1"/>
        </w:rPr>
        <w:t>l</w:t>
      </w:r>
      <w:r>
        <w:t>us</w:t>
      </w:r>
      <w:r>
        <w:rPr>
          <w:spacing w:val="-2"/>
        </w:rPr>
        <w:t xml:space="preserve"> r</w:t>
      </w:r>
      <w:r>
        <w:rPr>
          <w:spacing w:val="1"/>
        </w:rPr>
        <w:t>i</w:t>
      </w:r>
      <w:r>
        <w:t>sc</w:t>
      </w:r>
      <w:r>
        <w:rPr>
          <w:spacing w:val="-3"/>
        </w:rPr>
        <w:t>u</w:t>
      </w:r>
      <w:r>
        <w:t>l</w:t>
      </w:r>
      <w:r>
        <w:rPr>
          <w:spacing w:val="-2"/>
        </w:rPr>
        <w:t xml:space="preserve"> </w:t>
      </w:r>
      <w:r>
        <w:t>de ap</w:t>
      </w:r>
      <w:r>
        <w:rPr>
          <w:spacing w:val="-3"/>
        </w:rPr>
        <w:t>a</w:t>
      </w:r>
      <w:r>
        <w:t>r</w:t>
      </w:r>
      <w:r>
        <w:rPr>
          <w:spacing w:val="-2"/>
        </w:rPr>
        <w:t>i</w:t>
      </w:r>
      <w:r>
        <w:rPr>
          <w:spacing w:val="1"/>
        </w:rPr>
        <w:t>ţ</w:t>
      </w:r>
      <w:r>
        <w:rPr>
          <w:spacing w:val="-2"/>
        </w:rPr>
        <w:t>i</w:t>
      </w:r>
      <w:r>
        <w:t>e a</w:t>
      </w:r>
      <w:r>
        <w:rPr>
          <w:spacing w:val="-2"/>
        </w:rPr>
        <w:t xml:space="preserve"> </w:t>
      </w:r>
      <w:r>
        <w:rPr>
          <w:spacing w:val="1"/>
        </w:rPr>
        <w:t>li</w:t>
      </w:r>
      <w:r>
        <w:rPr>
          <w:spacing w:val="-4"/>
        </w:rPr>
        <w:t>m</w:t>
      </w:r>
      <w:r>
        <w:t>fo</w:t>
      </w:r>
      <w:r>
        <w:rPr>
          <w:spacing w:val="-4"/>
        </w:rPr>
        <w:t>m</w:t>
      </w:r>
      <w:r>
        <w:t>u</w:t>
      </w:r>
      <w:r>
        <w:rPr>
          <w:spacing w:val="1"/>
        </w:rPr>
        <w:t>l</w:t>
      </w:r>
      <w:r>
        <w:t>ui</w:t>
      </w:r>
      <w:r>
        <w:rPr>
          <w:spacing w:val="1"/>
        </w:rPr>
        <w:t xml:space="preserve"> </w:t>
      </w:r>
      <w:r>
        <w:t>h</w:t>
      </w:r>
      <w:r>
        <w:rPr>
          <w:spacing w:val="-3"/>
        </w:rPr>
        <w:t>e</w:t>
      </w:r>
      <w:r>
        <w:t>pa</w:t>
      </w:r>
      <w:r>
        <w:rPr>
          <w:spacing w:val="1"/>
        </w:rPr>
        <w:t>t</w:t>
      </w:r>
      <w:r>
        <w:t>o</w:t>
      </w:r>
      <w:r>
        <w:rPr>
          <w:spacing w:val="-2"/>
        </w:rPr>
        <w:t>s</w:t>
      </w:r>
      <w:r>
        <w:t>p</w:t>
      </w:r>
      <w:r>
        <w:rPr>
          <w:spacing w:val="1"/>
        </w:rPr>
        <w:t>l</w:t>
      </w:r>
      <w:r>
        <w:rPr>
          <w:spacing w:val="-3"/>
        </w:rPr>
        <w:t>e</w:t>
      </w:r>
      <w:r>
        <w:t>n</w:t>
      </w:r>
      <w:r>
        <w:rPr>
          <w:spacing w:val="1"/>
        </w:rPr>
        <w:t>i</w:t>
      </w:r>
      <w:r>
        <w:t>c</w:t>
      </w:r>
      <w:r>
        <w:rPr>
          <w:spacing w:val="-2"/>
        </w:rPr>
        <w:t xml:space="preserve"> </w:t>
      </w:r>
      <w:r>
        <w:t>cu ce</w:t>
      </w:r>
      <w:r>
        <w:rPr>
          <w:spacing w:val="1"/>
        </w:rPr>
        <w:t>l</w:t>
      </w:r>
      <w:r>
        <w:rPr>
          <w:spacing w:val="-3"/>
        </w:rPr>
        <w:t>u</w:t>
      </w:r>
      <w:r>
        <w:rPr>
          <w:spacing w:val="1"/>
        </w:rPr>
        <w:t>l</w:t>
      </w:r>
      <w:r>
        <w:t>e</w:t>
      </w:r>
      <w:r>
        <w:rPr>
          <w:spacing w:val="-2"/>
        </w:rPr>
        <w:t xml:space="preserve"> </w:t>
      </w:r>
      <w:r>
        <w:t>T</w:t>
      </w:r>
      <w:r>
        <w:rPr>
          <w:spacing w:val="-1"/>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t>a</w:t>
      </w:r>
      <w:r>
        <w:rPr>
          <w:spacing w:val="-2"/>
        </w:rPr>
        <w:t>ţ</w:t>
      </w:r>
      <w:r>
        <w:t>i</w:t>
      </w:r>
      <w:r>
        <w:rPr>
          <w:spacing w:val="-2"/>
        </w:rPr>
        <w:t xml:space="preserve"> </w:t>
      </w:r>
      <w:r>
        <w:t xml:space="preserve">cu </w:t>
      </w:r>
      <w:r>
        <w:rPr>
          <w:rFonts w:eastAsia="MS Mincho"/>
          <w:spacing w:val="-1"/>
          <w:szCs w:val="22"/>
          <w:lang w:eastAsia="en-US" w:bidi="ar-SA"/>
        </w:rPr>
        <w:t>AMGEVITA</w:t>
      </w:r>
      <w:r>
        <w:t xml:space="preserve"> (</w:t>
      </w:r>
      <w:r>
        <w:rPr>
          <w:spacing w:val="-3"/>
        </w:rPr>
        <w:t>v</w:t>
      </w:r>
      <w:r>
        <w:t>e</w:t>
      </w:r>
      <w:r>
        <w:rPr>
          <w:spacing w:val="-3"/>
        </w:rPr>
        <w:t>z</w:t>
      </w:r>
      <w:r>
        <w:t>i</w:t>
      </w:r>
      <w:r>
        <w:rPr>
          <w:spacing w:val="1"/>
        </w:rPr>
        <w:t xml:space="preserve"> </w:t>
      </w:r>
      <w:r>
        <w:t>pc</w:t>
      </w:r>
      <w:r>
        <w:rPr>
          <w:spacing w:val="-2"/>
        </w:rPr>
        <w:t>t</w:t>
      </w:r>
      <w:r>
        <w:t>. 4.</w:t>
      </w:r>
      <w:r>
        <w:rPr>
          <w:spacing w:val="-3"/>
        </w:rPr>
        <w:t>8</w:t>
      </w:r>
      <w:r>
        <w:t>).</w:t>
      </w:r>
    </w:p>
    <w:p w14:paraId="574FDE50" w14:textId="77777777" w:rsidR="00C04CAD" w:rsidRDefault="00C04CAD">
      <w:pPr>
        <w:tabs>
          <w:tab w:val="clear" w:pos="567"/>
        </w:tabs>
        <w:kinsoku w:val="0"/>
        <w:overflowPunct w:val="0"/>
        <w:autoSpaceDE w:val="0"/>
        <w:autoSpaceDN w:val="0"/>
        <w:adjustRightInd w:val="0"/>
        <w:spacing w:line="240" w:lineRule="auto"/>
        <w:rPr>
          <w:spacing w:val="-1"/>
        </w:rPr>
      </w:pPr>
    </w:p>
    <w:p w14:paraId="2E1097E1" w14:textId="77777777" w:rsidR="00C04CAD" w:rsidRDefault="00060E34">
      <w:pPr>
        <w:tabs>
          <w:tab w:val="clear" w:pos="567"/>
        </w:tabs>
        <w:kinsoku w:val="0"/>
        <w:overflowPunct w:val="0"/>
        <w:autoSpaceDE w:val="0"/>
        <w:autoSpaceDN w:val="0"/>
        <w:adjustRightInd w:val="0"/>
        <w:spacing w:line="240" w:lineRule="auto"/>
      </w:pPr>
      <w:r>
        <w:rPr>
          <w:spacing w:val="-1"/>
        </w:rPr>
        <w:t>N</w:t>
      </w:r>
      <w:r>
        <w:t>u au f</w:t>
      </w:r>
      <w:r>
        <w:rPr>
          <w:spacing w:val="-3"/>
        </w:rPr>
        <w:t>o</w:t>
      </w:r>
      <w:r>
        <w:t>st</w:t>
      </w:r>
      <w:r>
        <w:rPr>
          <w:spacing w:val="1"/>
        </w:rPr>
        <w:t xml:space="preserve"> </w:t>
      </w:r>
      <w:r>
        <w:rPr>
          <w:spacing w:val="-3"/>
        </w:rPr>
        <w:t>d</w:t>
      </w:r>
      <w:r>
        <w:t>er</w:t>
      </w:r>
      <w:r>
        <w:rPr>
          <w:spacing w:val="-3"/>
        </w:rPr>
        <w:t>u</w:t>
      </w:r>
      <w:r>
        <w:rPr>
          <w:spacing w:val="1"/>
        </w:rPr>
        <w:t>l</w:t>
      </w:r>
      <w:r>
        <w:rPr>
          <w:spacing w:val="-3"/>
        </w:rPr>
        <w:t>a</w:t>
      </w:r>
      <w:r>
        <w:rPr>
          <w:spacing w:val="1"/>
        </w:rPr>
        <w:t>t</w:t>
      </w:r>
      <w:r>
        <w:t xml:space="preserve">e </w:t>
      </w:r>
      <w:r>
        <w:rPr>
          <w:spacing w:val="-2"/>
        </w:rPr>
        <w:t>s</w:t>
      </w:r>
      <w:r>
        <w:rPr>
          <w:spacing w:val="1"/>
        </w:rPr>
        <w:t>t</w:t>
      </w:r>
      <w:r>
        <w:t>u</w:t>
      </w:r>
      <w:r>
        <w:rPr>
          <w:spacing w:val="-3"/>
        </w:rPr>
        <w:t>d</w:t>
      </w:r>
      <w:r>
        <w:rPr>
          <w:spacing w:val="1"/>
        </w:rPr>
        <w:t>i</w:t>
      </w:r>
      <w:r>
        <w:t>i</w:t>
      </w:r>
      <w:r>
        <w:rPr>
          <w:spacing w:val="-2"/>
        </w:rPr>
        <w:t xml:space="preserve"> </w:t>
      </w:r>
      <w:r>
        <w:t>c</w:t>
      </w:r>
      <w:r>
        <w:rPr>
          <w:spacing w:val="-2"/>
        </w:rPr>
        <w:t>l</w:t>
      </w:r>
      <w:r>
        <w:rPr>
          <w:spacing w:val="1"/>
        </w:rPr>
        <w:t>i</w:t>
      </w:r>
      <w:r>
        <w:t>n</w:t>
      </w:r>
      <w:r>
        <w:rPr>
          <w:spacing w:val="-2"/>
        </w:rPr>
        <w:t>i</w:t>
      </w:r>
      <w:r>
        <w:t xml:space="preserve">ce </w:t>
      </w:r>
      <w:r>
        <w:rPr>
          <w:spacing w:val="-3"/>
        </w:rPr>
        <w:t>c</w:t>
      </w:r>
      <w:r>
        <w:t>are</w:t>
      </w:r>
      <w:r>
        <w:rPr>
          <w:spacing w:val="-2"/>
        </w:rPr>
        <w:t xml:space="preserve"> </w:t>
      </w:r>
      <w:r>
        <w:t>să</w:t>
      </w:r>
      <w:r>
        <w:rPr>
          <w:spacing w:val="-2"/>
        </w:rPr>
        <w:t xml:space="preserve"> </w:t>
      </w:r>
      <w:r>
        <w:rPr>
          <w:spacing w:val="1"/>
        </w:rPr>
        <w:t>i</w:t>
      </w:r>
      <w:r>
        <w:t>n</w:t>
      </w:r>
      <w:r>
        <w:rPr>
          <w:spacing w:val="-3"/>
        </w:rPr>
        <w:t>c</w:t>
      </w:r>
      <w:r>
        <w:rPr>
          <w:spacing w:val="1"/>
        </w:rPr>
        <w:t>l</w:t>
      </w:r>
      <w:r>
        <w:t>udă</w:t>
      </w:r>
      <w:r>
        <w:rPr>
          <w:spacing w:val="-2"/>
        </w:rPr>
        <w:t xml:space="preserve"> </w:t>
      </w:r>
      <w:r>
        <w:t>pa</w:t>
      </w:r>
      <w:r>
        <w:rPr>
          <w:spacing w:val="-3"/>
        </w:rPr>
        <w:t>c</w:t>
      </w:r>
      <w:r>
        <w:rPr>
          <w:spacing w:val="1"/>
        </w:rPr>
        <w:t>i</w:t>
      </w:r>
      <w:r>
        <w:t>e</w:t>
      </w:r>
      <w:r>
        <w:rPr>
          <w:spacing w:val="-3"/>
        </w:rPr>
        <w:t>n</w:t>
      </w:r>
      <w:r>
        <w:rPr>
          <w:spacing w:val="1"/>
        </w:rPr>
        <w:t>ţ</w:t>
      </w:r>
      <w:r>
        <w:t>i</w:t>
      </w:r>
      <w:r>
        <w:rPr>
          <w:spacing w:val="1"/>
        </w:rPr>
        <w:t xml:space="preserve"> </w:t>
      </w:r>
      <w:r>
        <w:rPr>
          <w:spacing w:val="-3"/>
        </w:rPr>
        <w:t>c</w:t>
      </w:r>
      <w:r>
        <w:t>u a</w:t>
      </w:r>
      <w:r>
        <w:rPr>
          <w:spacing w:val="-2"/>
        </w:rPr>
        <w:t>f</w:t>
      </w:r>
      <w:r>
        <w:t>e</w:t>
      </w:r>
      <w:r>
        <w:rPr>
          <w:spacing w:val="-3"/>
        </w:rPr>
        <w:t>c</w:t>
      </w:r>
      <w:r>
        <w:rPr>
          <w:spacing w:val="1"/>
        </w:rPr>
        <w:t>ţi</w:t>
      </w:r>
      <w:r>
        <w:t>u</w:t>
      </w:r>
      <w:r>
        <w:rPr>
          <w:spacing w:val="-3"/>
        </w:rPr>
        <w:t>n</w:t>
      </w:r>
      <w:r>
        <w:t>i</w:t>
      </w:r>
      <w:r>
        <w:rPr>
          <w:spacing w:val="1"/>
        </w:rPr>
        <w:t xml:space="preserve"> </w:t>
      </w:r>
      <w:r>
        <w:rPr>
          <w:spacing w:val="-4"/>
        </w:rPr>
        <w:t>m</w:t>
      </w:r>
      <w:r>
        <w:t>a</w:t>
      </w:r>
      <w:r>
        <w:rPr>
          <w:spacing w:val="1"/>
        </w:rPr>
        <w:t>li</w:t>
      </w:r>
      <w:r>
        <w:rPr>
          <w:spacing w:val="-3"/>
        </w:rPr>
        <w:t>g</w:t>
      </w:r>
      <w:r>
        <w:t xml:space="preserve">ne </w:t>
      </w:r>
      <w:r>
        <w:rPr>
          <w:spacing w:val="-2"/>
        </w:rPr>
        <w:t>î</w:t>
      </w:r>
      <w:r>
        <w:t xml:space="preserve">n </w:t>
      </w:r>
      <w:r>
        <w:rPr>
          <w:spacing w:val="-3"/>
        </w:rPr>
        <w:t>a</w:t>
      </w:r>
      <w:r>
        <w:t>n</w:t>
      </w:r>
      <w:r>
        <w:rPr>
          <w:spacing w:val="1"/>
        </w:rPr>
        <w:t>t</w:t>
      </w:r>
      <w:r>
        <w:t>e</w:t>
      </w:r>
      <w:r>
        <w:rPr>
          <w:spacing w:val="-3"/>
        </w:rPr>
        <w:t>c</w:t>
      </w:r>
      <w:r>
        <w:t>ede</w:t>
      </w:r>
      <w:r>
        <w:rPr>
          <w:spacing w:val="-3"/>
        </w:rPr>
        <w:t>n</w:t>
      </w:r>
      <w:r>
        <w:rPr>
          <w:spacing w:val="1"/>
        </w:rPr>
        <w:t>t</w:t>
      </w:r>
      <w:r>
        <w:t>e</w:t>
      </w:r>
      <w:r>
        <w:rPr>
          <w:spacing w:val="-2"/>
        </w:rPr>
        <w:t xml:space="preserve"> </w:t>
      </w:r>
      <w:r>
        <w:t>sau pac</w:t>
      </w:r>
      <w:r>
        <w:rPr>
          <w:spacing w:val="-2"/>
        </w:rPr>
        <w:t>i</w:t>
      </w:r>
      <w:r>
        <w:t>en</w:t>
      </w:r>
      <w:r>
        <w:rPr>
          <w:spacing w:val="-2"/>
        </w:rPr>
        <w:t>ţ</w:t>
      </w:r>
      <w:r>
        <w:t>i</w:t>
      </w:r>
      <w:r>
        <w:rPr>
          <w:spacing w:val="1"/>
        </w:rPr>
        <w:t xml:space="preserve"> </w:t>
      </w:r>
      <w:r>
        <w:rPr>
          <w:spacing w:val="-3"/>
        </w:rPr>
        <w:t>c</w:t>
      </w:r>
      <w:r>
        <w:t>are</w:t>
      </w:r>
      <w:r>
        <w:rPr>
          <w:spacing w:val="-2"/>
        </w:rPr>
        <w:t xml:space="preserve"> </w:t>
      </w:r>
      <w:r>
        <w:t>au c</w:t>
      </w:r>
      <w:r>
        <w:rPr>
          <w:spacing w:val="-3"/>
        </w:rPr>
        <w:t>o</w:t>
      </w:r>
      <w:r>
        <w:t>n</w:t>
      </w:r>
      <w:r>
        <w:rPr>
          <w:spacing w:val="-2"/>
        </w:rPr>
        <w:t>t</w:t>
      </w:r>
      <w:r>
        <w:rPr>
          <w:spacing w:val="1"/>
        </w:rPr>
        <w:t>i</w:t>
      </w:r>
      <w:r>
        <w:t>nu</w:t>
      </w:r>
      <w:r>
        <w:rPr>
          <w:spacing w:val="-3"/>
        </w:rPr>
        <w:t>a</w:t>
      </w:r>
      <w:r>
        <w:t>t</w:t>
      </w:r>
      <w:r>
        <w:rPr>
          <w:spacing w:val="1"/>
        </w:rPr>
        <w:t xml:space="preserve"> </w:t>
      </w:r>
      <w:r>
        <w:rPr>
          <w:spacing w:val="-2"/>
        </w:rPr>
        <w:t>tr</w:t>
      </w:r>
      <w:r>
        <w:t>a</w:t>
      </w:r>
      <w:r>
        <w:rPr>
          <w:spacing w:val="1"/>
        </w:rPr>
        <w:t>t</w:t>
      </w:r>
      <w:r>
        <w:t>a</w:t>
      </w:r>
      <w:r>
        <w:rPr>
          <w:spacing w:val="-4"/>
        </w:rPr>
        <w:t>m</w:t>
      </w:r>
      <w:r>
        <w:t>en</w:t>
      </w:r>
      <w:r>
        <w:rPr>
          <w:spacing w:val="1"/>
        </w:rPr>
        <w:t>t</w:t>
      </w:r>
      <w:r>
        <w:rPr>
          <w:spacing w:val="-3"/>
        </w:rPr>
        <w:t>u</w:t>
      </w:r>
      <w:r>
        <w:t>l</w:t>
      </w:r>
      <w:r>
        <w:rPr>
          <w:spacing w:val="1"/>
        </w:rPr>
        <w:t xml:space="preserve"> </w:t>
      </w:r>
      <w:r>
        <w:t xml:space="preserve">cu </w:t>
      </w:r>
      <w:r>
        <w:rPr>
          <w:rFonts w:eastAsia="MS Mincho"/>
          <w:spacing w:val="-1"/>
          <w:szCs w:val="22"/>
          <w:lang w:eastAsia="en-US" w:bidi="ar-SA"/>
        </w:rPr>
        <w:t>adalimumab</w:t>
      </w:r>
      <w:r>
        <w:t xml:space="preserve"> </w:t>
      </w:r>
      <w:r>
        <w:rPr>
          <w:spacing w:val="-3"/>
        </w:rPr>
        <w:t>d</w:t>
      </w:r>
      <w:r>
        <w:t>upă</w:t>
      </w:r>
      <w:r>
        <w:rPr>
          <w:spacing w:val="-2"/>
        </w:rPr>
        <w:t xml:space="preserve"> </w:t>
      </w:r>
      <w:r>
        <w:t>apa</w:t>
      </w:r>
      <w:r>
        <w:rPr>
          <w:spacing w:val="-2"/>
        </w:rPr>
        <w:t>r</w:t>
      </w:r>
      <w:r>
        <w:rPr>
          <w:spacing w:val="1"/>
        </w:rPr>
        <w:t>i</w:t>
      </w:r>
      <w:r>
        <w:rPr>
          <w:spacing w:val="-2"/>
        </w:rPr>
        <w:t>ţ</w:t>
      </w:r>
      <w:r>
        <w:rPr>
          <w:spacing w:val="1"/>
        </w:rPr>
        <w:t>i</w:t>
      </w:r>
      <w:r>
        <w:t xml:space="preserve">a </w:t>
      </w:r>
      <w:r>
        <w:rPr>
          <w:spacing w:val="-3"/>
        </w:rPr>
        <w:t>d</w:t>
      </w:r>
      <w:r>
        <w:t>e b</w:t>
      </w:r>
      <w:r>
        <w:rPr>
          <w:spacing w:val="-3"/>
        </w:rPr>
        <w:t>o</w:t>
      </w:r>
      <w:r>
        <w:rPr>
          <w:spacing w:val="1"/>
        </w:rPr>
        <w:t>l</w:t>
      </w:r>
      <w:r>
        <w:t>i</w:t>
      </w:r>
      <w:r>
        <w:rPr>
          <w:spacing w:val="1"/>
        </w:rPr>
        <w:t xml:space="preserve"> </w:t>
      </w:r>
      <w:r>
        <w:rPr>
          <w:spacing w:val="-4"/>
        </w:rPr>
        <w:t>m</w:t>
      </w:r>
      <w:r>
        <w:t>a</w:t>
      </w:r>
      <w:r>
        <w:rPr>
          <w:spacing w:val="1"/>
        </w:rPr>
        <w:t>li</w:t>
      </w:r>
      <w:r>
        <w:rPr>
          <w:spacing w:val="-3"/>
        </w:rPr>
        <w:t>g</w:t>
      </w:r>
      <w:r>
        <w:t>ne</w:t>
      </w:r>
      <w:r>
        <w:rPr>
          <w:spacing w:val="-2"/>
        </w:rPr>
        <w:t xml:space="preserve"> </w:t>
      </w:r>
      <w:r>
        <w:rPr>
          <w:spacing w:val="1"/>
        </w:rPr>
        <w:t>î</w:t>
      </w:r>
      <w:r>
        <w:t xml:space="preserve">n </w:t>
      </w:r>
      <w:r>
        <w:rPr>
          <w:spacing w:val="-2"/>
        </w:rPr>
        <w:t>t</w:t>
      </w:r>
      <w:r>
        <w:rPr>
          <w:spacing w:val="1"/>
        </w:rPr>
        <w:t>i</w:t>
      </w:r>
      <w:r>
        <w:rPr>
          <w:spacing w:val="-4"/>
        </w:rPr>
        <w:t>m</w:t>
      </w:r>
      <w:r>
        <w:t>pul</w:t>
      </w:r>
      <w:r>
        <w:rPr>
          <w:spacing w:val="1"/>
        </w:rPr>
        <w:t xml:space="preserve"> </w:t>
      </w:r>
      <w:r>
        <w:t>ace</w:t>
      </w:r>
      <w:r>
        <w:rPr>
          <w:spacing w:val="-2"/>
        </w:rPr>
        <w:t>s</w:t>
      </w:r>
      <w:r>
        <w:rPr>
          <w:spacing w:val="1"/>
        </w:rPr>
        <w:t>t</w:t>
      </w:r>
      <w:r>
        <w:rPr>
          <w:spacing w:val="-3"/>
        </w:rPr>
        <w:t>u</w:t>
      </w:r>
      <w:r>
        <w:t xml:space="preserve">i </w:t>
      </w:r>
      <w:r>
        <w:rPr>
          <w:spacing w:val="1"/>
        </w:rPr>
        <w:t>t</w:t>
      </w:r>
      <w:r>
        <w:t>r</w:t>
      </w:r>
      <w:r>
        <w:rPr>
          <w:spacing w:val="-3"/>
        </w:rPr>
        <w:t>a</w:t>
      </w:r>
      <w:r>
        <w:rPr>
          <w:spacing w:val="1"/>
        </w:rPr>
        <w:t>t</w:t>
      </w:r>
      <w:r>
        <w:t>a</w:t>
      </w:r>
      <w:r>
        <w:rPr>
          <w:spacing w:val="-4"/>
        </w:rPr>
        <w:t>m</w:t>
      </w:r>
      <w:r>
        <w:t>en</w:t>
      </w:r>
      <w:r>
        <w:rPr>
          <w:spacing w:val="1"/>
        </w:rPr>
        <w:t>t</w:t>
      </w:r>
      <w:r>
        <w:t xml:space="preserve">. </w:t>
      </w:r>
      <w:r>
        <w:rPr>
          <w:spacing w:val="-1"/>
        </w:rPr>
        <w:t>A</w:t>
      </w:r>
      <w:r>
        <w:rPr>
          <w:spacing w:val="-2"/>
        </w:rPr>
        <w:t>s</w:t>
      </w:r>
      <w:r>
        <w:rPr>
          <w:spacing w:val="1"/>
        </w:rPr>
        <w:t>t</w:t>
      </w:r>
      <w:r>
        <w:t>f</w:t>
      </w:r>
      <w:r>
        <w:rPr>
          <w:spacing w:val="-3"/>
        </w:rPr>
        <w:t>e</w:t>
      </w:r>
      <w:r>
        <w:rPr>
          <w:spacing w:val="1"/>
        </w:rPr>
        <w:t>l</w:t>
      </w:r>
      <w:r>
        <w:t>,</w:t>
      </w:r>
      <w:r>
        <w:rPr>
          <w:spacing w:val="-3"/>
        </w:rPr>
        <w:t xml:space="preserve"> </w:t>
      </w:r>
      <w:r>
        <w:rPr>
          <w:spacing w:val="1"/>
        </w:rPr>
        <w:t>t</w:t>
      </w:r>
      <w:r>
        <w:t>r</w:t>
      </w:r>
      <w:r>
        <w:rPr>
          <w:spacing w:val="-3"/>
        </w:rPr>
        <w:t>e</w:t>
      </w:r>
      <w:r>
        <w:t>bu</w:t>
      </w:r>
      <w:r>
        <w:rPr>
          <w:spacing w:val="-2"/>
        </w:rPr>
        <w:t>i</w:t>
      </w:r>
      <w:r>
        <w:t xml:space="preserve">e </w:t>
      </w:r>
      <w:r>
        <w:rPr>
          <w:spacing w:val="1"/>
        </w:rPr>
        <w:t>l</w:t>
      </w:r>
      <w:r>
        <w:rPr>
          <w:spacing w:val="-4"/>
        </w:rPr>
        <w:t>u</w:t>
      </w:r>
      <w:r>
        <w:t>a</w:t>
      </w:r>
      <w:r>
        <w:rPr>
          <w:spacing w:val="1"/>
        </w:rPr>
        <w:t>t</w:t>
      </w:r>
      <w:r>
        <w:t xml:space="preserve">e </w:t>
      </w:r>
      <w:r>
        <w:rPr>
          <w:spacing w:val="-3"/>
        </w:rPr>
        <w:t>p</w:t>
      </w:r>
      <w:r>
        <w:t>re</w:t>
      </w:r>
      <w:r>
        <w:rPr>
          <w:spacing w:val="-3"/>
        </w:rPr>
        <w:t>c</w:t>
      </w:r>
      <w:r>
        <w:t>au</w:t>
      </w:r>
      <w:r>
        <w:rPr>
          <w:spacing w:val="-2"/>
        </w:rPr>
        <w:t>ţi</w:t>
      </w:r>
      <w:r>
        <w:t>i</w:t>
      </w:r>
      <w:r>
        <w:rPr>
          <w:spacing w:val="1"/>
        </w:rPr>
        <w:t xml:space="preserve"> </w:t>
      </w:r>
      <w:r>
        <w:t>su</w:t>
      </w:r>
      <w:r>
        <w:rPr>
          <w:spacing w:val="-3"/>
        </w:rPr>
        <w:t>p</w:t>
      </w:r>
      <w:r>
        <w:rPr>
          <w:spacing w:val="1"/>
        </w:rPr>
        <w:t>li</w:t>
      </w:r>
      <w:r>
        <w:rPr>
          <w:spacing w:val="-4"/>
        </w:rPr>
        <w:t>m</w:t>
      </w:r>
      <w:r>
        <w:t>en</w:t>
      </w:r>
      <w:r>
        <w:rPr>
          <w:spacing w:val="1"/>
        </w:rPr>
        <w:t>t</w:t>
      </w:r>
      <w:r>
        <w:rPr>
          <w:spacing w:val="-3"/>
        </w:rPr>
        <w:t>a</w:t>
      </w:r>
      <w:r>
        <w:t>re</w:t>
      </w:r>
      <w:r>
        <w:rPr>
          <w:spacing w:val="-2"/>
        </w:rPr>
        <w:t xml:space="preserve"> </w:t>
      </w:r>
      <w:r>
        <w:rPr>
          <w:spacing w:val="-3"/>
        </w:rPr>
        <w:t>a</w:t>
      </w:r>
      <w:r>
        <w:rPr>
          <w:spacing w:val="1"/>
        </w:rPr>
        <w:t>t</w:t>
      </w:r>
      <w:r>
        <w:t>un</w:t>
      </w:r>
      <w:r>
        <w:rPr>
          <w:spacing w:val="-3"/>
        </w:rPr>
        <w:t>c</w:t>
      </w:r>
      <w:r>
        <w:t>i</w:t>
      </w:r>
      <w:r>
        <w:rPr>
          <w:spacing w:val="1"/>
        </w:rPr>
        <w:t xml:space="preserve"> </w:t>
      </w:r>
      <w:r>
        <w:t>c</w:t>
      </w:r>
      <w:r>
        <w:rPr>
          <w:spacing w:val="-3"/>
        </w:rPr>
        <w:t>â</w:t>
      </w:r>
      <w:r>
        <w:t>nd se</w:t>
      </w:r>
      <w:r>
        <w:rPr>
          <w:spacing w:val="-2"/>
        </w:rPr>
        <w:t xml:space="preserve"> </w:t>
      </w:r>
      <w:r>
        <w:rPr>
          <w:spacing w:val="1"/>
        </w:rPr>
        <w:t>i</w:t>
      </w:r>
      <w:r>
        <w:t>a</w:t>
      </w:r>
      <w:r>
        <w:rPr>
          <w:spacing w:val="-2"/>
        </w:rPr>
        <w:t xml:space="preserve"> </w:t>
      </w:r>
      <w:r>
        <w:rPr>
          <w:spacing w:val="1"/>
        </w:rPr>
        <w:t>î</w:t>
      </w:r>
      <w:r>
        <w:t>n</w:t>
      </w:r>
      <w:r>
        <w:rPr>
          <w:spacing w:val="-3"/>
        </w:rPr>
        <w:t xml:space="preserve"> </w:t>
      </w:r>
      <w:r>
        <w:t>con</w:t>
      </w:r>
      <w:r>
        <w:rPr>
          <w:spacing w:val="-2"/>
        </w:rPr>
        <w:t>s</w:t>
      </w:r>
      <w:r>
        <w:rPr>
          <w:spacing w:val="1"/>
        </w:rPr>
        <w:t>i</w:t>
      </w:r>
      <w:r>
        <w:t>d</w:t>
      </w:r>
      <w:r>
        <w:rPr>
          <w:spacing w:val="-3"/>
        </w:rPr>
        <w:t>e</w:t>
      </w:r>
      <w:r>
        <w:rPr>
          <w:spacing w:val="-2"/>
        </w:rPr>
        <w:t>r</w:t>
      </w:r>
      <w:r>
        <w:t>are</w:t>
      </w:r>
      <w:r>
        <w:rPr>
          <w:spacing w:val="-2"/>
        </w:rPr>
        <w:t xml:space="preserve"> </w:t>
      </w:r>
      <w:r>
        <w:rPr>
          <w:spacing w:val="1"/>
        </w:rPr>
        <w:t>i</w:t>
      </w:r>
      <w:r>
        <w:t>n</w:t>
      </w:r>
      <w:r>
        <w:rPr>
          <w:spacing w:val="-2"/>
        </w:rPr>
        <w:t>i</w:t>
      </w:r>
      <w:r>
        <w:rPr>
          <w:spacing w:val="1"/>
        </w:rPr>
        <w:t>ţ</w:t>
      </w:r>
      <w:r>
        <w:rPr>
          <w:spacing w:val="-2"/>
        </w:rPr>
        <w:t>i</w:t>
      </w:r>
      <w:r>
        <w:t>e</w:t>
      </w:r>
      <w:r>
        <w:rPr>
          <w:spacing w:val="-2"/>
        </w:rPr>
        <w:t>r</w:t>
      </w:r>
      <w:r>
        <w:t xml:space="preserve">ea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 xml:space="preserve">cu </w:t>
      </w:r>
      <w:r>
        <w:rPr>
          <w:rFonts w:eastAsia="MS Mincho"/>
          <w:spacing w:val="-1"/>
          <w:szCs w:val="22"/>
          <w:lang w:eastAsia="en-US" w:bidi="ar-SA"/>
        </w:rPr>
        <w:t>AMGEVITA</w:t>
      </w:r>
      <w:r>
        <w:t xml:space="preserve"> </w:t>
      </w:r>
      <w:r>
        <w:rPr>
          <w:spacing w:val="-2"/>
        </w:rPr>
        <w:t>l</w:t>
      </w:r>
      <w:r>
        <w:t>a</w:t>
      </w:r>
      <w:r>
        <w:rPr>
          <w:spacing w:val="-2"/>
        </w:rPr>
        <w:t xml:space="preserve"> </w:t>
      </w:r>
      <w:r>
        <w:t>ace</w:t>
      </w:r>
      <w:r>
        <w:rPr>
          <w:spacing w:val="-2"/>
        </w:rPr>
        <w:t>ş</w:t>
      </w:r>
      <w:r>
        <w:rPr>
          <w:spacing w:val="1"/>
        </w:rPr>
        <w:t>t</w:t>
      </w:r>
      <w:r>
        <w:t>i</w:t>
      </w:r>
      <w:r>
        <w:rPr>
          <w:spacing w:val="-2"/>
        </w:rPr>
        <w:t xml:space="preserve"> </w:t>
      </w:r>
      <w:r>
        <w:t>pa</w:t>
      </w:r>
      <w:r>
        <w:rPr>
          <w:spacing w:val="-3"/>
        </w:rPr>
        <w:t>c</w:t>
      </w:r>
      <w:r>
        <w:rPr>
          <w:spacing w:val="1"/>
        </w:rPr>
        <w:t>i</w:t>
      </w:r>
      <w:r>
        <w:t>e</w:t>
      </w:r>
      <w:r>
        <w:rPr>
          <w:spacing w:val="-3"/>
        </w:rPr>
        <w:t>n</w:t>
      </w:r>
      <w:r>
        <w:rPr>
          <w:spacing w:val="1"/>
        </w:rPr>
        <w:t>ţ</w:t>
      </w:r>
      <w:r>
        <w:t>i</w:t>
      </w:r>
      <w:r>
        <w:rPr>
          <w:spacing w:val="-2"/>
        </w:rPr>
        <w:t xml:space="preserve"> </w:t>
      </w:r>
      <w:r>
        <w:t>(</w:t>
      </w:r>
      <w:r>
        <w:rPr>
          <w:spacing w:val="-3"/>
        </w:rPr>
        <w:t>v</w:t>
      </w:r>
      <w:r>
        <w:t>e</w:t>
      </w:r>
      <w:r>
        <w:rPr>
          <w:spacing w:val="-3"/>
        </w:rPr>
        <w:t>z</w:t>
      </w:r>
      <w:r>
        <w:t>i</w:t>
      </w:r>
      <w:r>
        <w:rPr>
          <w:spacing w:val="1"/>
        </w:rPr>
        <w:t xml:space="preserve"> </w:t>
      </w:r>
      <w:r>
        <w:t>pc</w:t>
      </w:r>
      <w:r>
        <w:rPr>
          <w:spacing w:val="1"/>
        </w:rPr>
        <w:t>t</w:t>
      </w:r>
      <w:r>
        <w:t>.</w:t>
      </w:r>
      <w:r>
        <w:rPr>
          <w:spacing w:val="-3"/>
        </w:rPr>
        <w:t xml:space="preserve"> </w:t>
      </w:r>
      <w:r>
        <w:t>4.</w:t>
      </w:r>
      <w:r>
        <w:rPr>
          <w:spacing w:val="-3"/>
        </w:rPr>
        <w:t>8</w:t>
      </w:r>
      <w:r>
        <w:t>).</w:t>
      </w:r>
    </w:p>
    <w:p w14:paraId="4D9F4D08" w14:textId="77777777" w:rsidR="00C04CAD" w:rsidRDefault="00C04CAD">
      <w:pPr>
        <w:tabs>
          <w:tab w:val="clear" w:pos="567"/>
        </w:tabs>
        <w:kinsoku w:val="0"/>
        <w:overflowPunct w:val="0"/>
        <w:autoSpaceDE w:val="0"/>
        <w:autoSpaceDN w:val="0"/>
        <w:adjustRightInd w:val="0"/>
        <w:spacing w:line="240" w:lineRule="auto"/>
      </w:pPr>
    </w:p>
    <w:p w14:paraId="735B11E1" w14:textId="77777777" w:rsidR="00C04CAD" w:rsidRDefault="00060E34">
      <w:pPr>
        <w:tabs>
          <w:tab w:val="clear" w:pos="567"/>
        </w:tabs>
        <w:kinsoku w:val="0"/>
        <w:overflowPunct w:val="0"/>
        <w:autoSpaceDE w:val="0"/>
        <w:autoSpaceDN w:val="0"/>
        <w:adjustRightInd w:val="0"/>
        <w:spacing w:line="240" w:lineRule="auto"/>
      </w:pPr>
      <w:r>
        <w:rPr>
          <w:spacing w:val="-4"/>
        </w:rPr>
        <w:t>Î</w:t>
      </w:r>
      <w:r>
        <w:t>na</w:t>
      </w:r>
      <w:r>
        <w:rPr>
          <w:spacing w:val="1"/>
        </w:rPr>
        <w:t>i</w:t>
      </w:r>
      <w:r>
        <w:t>n</w:t>
      </w:r>
      <w:r>
        <w:rPr>
          <w:spacing w:val="1"/>
        </w:rPr>
        <w:t>t</w:t>
      </w:r>
      <w:r>
        <w:t>e de</w:t>
      </w:r>
      <w:r>
        <w:rPr>
          <w:spacing w:val="-2"/>
        </w:rPr>
        <w:t xml:space="preserve"> </w:t>
      </w:r>
      <w:r>
        <w:rPr>
          <w:spacing w:val="1"/>
        </w:rPr>
        <w:t>î</w:t>
      </w:r>
      <w:r>
        <w:t>nc</w:t>
      </w:r>
      <w:r>
        <w:rPr>
          <w:spacing w:val="-3"/>
        </w:rPr>
        <w:t>e</w:t>
      </w:r>
      <w:r>
        <w:t>pe</w:t>
      </w:r>
      <w:r>
        <w:rPr>
          <w:spacing w:val="-2"/>
        </w:rPr>
        <w:t>r</w:t>
      </w:r>
      <w:r>
        <w:t>ea</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rPr>
          <w:rFonts w:eastAsia="MS Mincho"/>
          <w:spacing w:val="-2"/>
          <w:szCs w:val="22"/>
          <w:lang w:eastAsia="en-US" w:bidi="ar-SA"/>
        </w:rPr>
        <w:t xml:space="preserve">sau </w:t>
      </w:r>
      <w:r>
        <w:rPr>
          <w:rFonts w:eastAsia="MS Mincho"/>
          <w:spacing w:val="1"/>
          <w:szCs w:val="22"/>
          <w:lang w:eastAsia="en-US" w:bidi="ar-SA"/>
        </w:rPr>
        <w:t>î</w:t>
      </w:r>
      <w:r>
        <w:rPr>
          <w:rFonts w:eastAsia="MS Mincho"/>
          <w:szCs w:val="22"/>
          <w:lang w:eastAsia="en-US" w:bidi="ar-SA"/>
        </w:rPr>
        <w:t xml:space="preserve">n timpul tratamentului </w:t>
      </w:r>
      <w:r>
        <w:t xml:space="preserve">cu </w:t>
      </w:r>
      <w:r>
        <w:rPr>
          <w:rFonts w:eastAsia="MS Mincho"/>
          <w:spacing w:val="-1"/>
          <w:szCs w:val="22"/>
          <w:lang w:eastAsia="en-US" w:bidi="ar-SA"/>
        </w:rPr>
        <w:t>AMGEVITA</w:t>
      </w:r>
      <w:r>
        <w:t>,</w:t>
      </w:r>
      <w:r>
        <w:rPr>
          <w:spacing w:val="-3"/>
        </w:rPr>
        <w:t xml:space="preserve"> </w:t>
      </w:r>
      <w:r>
        <w:rPr>
          <w:spacing w:val="1"/>
        </w:rPr>
        <w:t>t</w:t>
      </w:r>
      <w:r>
        <w:t>o</w:t>
      </w:r>
      <w:r>
        <w:rPr>
          <w:spacing w:val="-2"/>
        </w:rPr>
        <w:t>ţ</w:t>
      </w:r>
      <w:r>
        <w:t>i</w:t>
      </w:r>
      <w:r>
        <w:rPr>
          <w:spacing w:val="1"/>
        </w:rPr>
        <w:t xml:space="preserve"> </w:t>
      </w:r>
      <w:r>
        <w:t>p</w:t>
      </w:r>
      <w:r>
        <w:rPr>
          <w:spacing w:val="-3"/>
        </w:rPr>
        <w:t>a</w:t>
      </w:r>
      <w:r>
        <w:t>c</w:t>
      </w:r>
      <w:r>
        <w:rPr>
          <w:spacing w:val="-2"/>
        </w:rPr>
        <w:t>i</w:t>
      </w:r>
      <w:r>
        <w:t>en</w:t>
      </w:r>
      <w:r>
        <w:rPr>
          <w:spacing w:val="-2"/>
        </w:rPr>
        <w:t>ţ</w:t>
      </w:r>
      <w:r>
        <w:rPr>
          <w:spacing w:val="1"/>
        </w:rPr>
        <w:t>i</w:t>
      </w:r>
      <w:r>
        <w:t>i</w:t>
      </w:r>
      <w:r>
        <w:rPr>
          <w:spacing w:val="1"/>
        </w:rPr>
        <w:t xml:space="preserve"> </w:t>
      </w:r>
      <w:r>
        <w:rPr>
          <w:spacing w:val="-2"/>
        </w:rPr>
        <w:t>ş</w:t>
      </w:r>
      <w:r>
        <w:t>i</w:t>
      </w:r>
      <w:r>
        <w:rPr>
          <w:spacing w:val="1"/>
        </w:rPr>
        <w:t xml:space="preserve"> </w:t>
      </w:r>
      <w:r>
        <w:rPr>
          <w:spacing w:val="-4"/>
        </w:rPr>
        <w:t>m</w:t>
      </w:r>
      <w:r>
        <w:t>ai</w:t>
      </w:r>
      <w:r>
        <w:rPr>
          <w:spacing w:val="1"/>
        </w:rPr>
        <w:t xml:space="preserve"> </w:t>
      </w:r>
      <w:r>
        <w:rPr>
          <w:spacing w:val="-3"/>
        </w:rPr>
        <w:t>a</w:t>
      </w:r>
      <w:r>
        <w:rPr>
          <w:spacing w:val="1"/>
        </w:rPr>
        <w:t>l</w:t>
      </w:r>
      <w:r>
        <w:t xml:space="preserve">es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t>cu</w:t>
      </w:r>
      <w:r>
        <w:rPr>
          <w:spacing w:val="-3"/>
        </w:rPr>
        <w:t xml:space="preserve"> </w:t>
      </w:r>
      <w:r>
        <w:t>an</w:t>
      </w:r>
      <w:r>
        <w:rPr>
          <w:spacing w:val="1"/>
        </w:rPr>
        <w:t>t</w:t>
      </w:r>
      <w:r>
        <w:rPr>
          <w:spacing w:val="-3"/>
        </w:rPr>
        <w:t>e</w:t>
      </w:r>
      <w:r>
        <w:t>ced</w:t>
      </w:r>
      <w:r>
        <w:rPr>
          <w:spacing w:val="-3"/>
        </w:rPr>
        <w:t>e</w:t>
      </w:r>
      <w:r>
        <w:t>n</w:t>
      </w:r>
      <w:r>
        <w:rPr>
          <w:spacing w:val="1"/>
        </w:rPr>
        <w:t>t</w:t>
      </w:r>
      <w:r>
        <w:t xml:space="preserve">e </w:t>
      </w:r>
      <w:r>
        <w:rPr>
          <w:spacing w:val="-4"/>
        </w:rPr>
        <w:t>m</w:t>
      </w:r>
      <w:r>
        <w:t>ed</w:t>
      </w:r>
      <w:r>
        <w:rPr>
          <w:spacing w:val="1"/>
        </w:rPr>
        <w:t>i</w:t>
      </w:r>
      <w:r>
        <w:t>ca</w:t>
      </w:r>
      <w:r>
        <w:rPr>
          <w:spacing w:val="1"/>
        </w:rPr>
        <w:t>l</w:t>
      </w:r>
      <w:r>
        <w:t xml:space="preserve">e </w:t>
      </w:r>
      <w:r>
        <w:rPr>
          <w:spacing w:val="-3"/>
        </w:rPr>
        <w:t>d</w:t>
      </w:r>
      <w:r>
        <w:t xml:space="preserve">e </w:t>
      </w:r>
      <w:r>
        <w:rPr>
          <w:spacing w:val="-2"/>
        </w:rPr>
        <w:t>t</w:t>
      </w:r>
      <w:r>
        <w:t>r</w:t>
      </w:r>
      <w:r>
        <w:rPr>
          <w:spacing w:val="-3"/>
        </w:rPr>
        <w:t>a</w:t>
      </w:r>
      <w:r>
        <w:rPr>
          <w:spacing w:val="1"/>
        </w:rPr>
        <w:t>t</w:t>
      </w:r>
      <w:r>
        <w:t>a</w:t>
      </w:r>
      <w:r>
        <w:rPr>
          <w:spacing w:val="-4"/>
        </w:rPr>
        <w:t>m</w:t>
      </w:r>
      <w:r>
        <w:t>ent</w:t>
      </w:r>
      <w:r>
        <w:rPr>
          <w:spacing w:val="1"/>
        </w:rPr>
        <w:t xml:space="preserve"> i</w:t>
      </w:r>
      <w:r>
        <w:rPr>
          <w:spacing w:val="-4"/>
        </w:rPr>
        <w:t>m</w:t>
      </w:r>
      <w:r>
        <w:rPr>
          <w:spacing w:val="-1"/>
        </w:rPr>
        <w:t>u</w:t>
      </w:r>
      <w:r>
        <w:t>n</w:t>
      </w:r>
      <w:r>
        <w:rPr>
          <w:spacing w:val="-1"/>
        </w:rPr>
        <w:t>o</w:t>
      </w:r>
      <w:r>
        <w:t>sup</w:t>
      </w:r>
      <w:r>
        <w:rPr>
          <w:spacing w:val="-2"/>
        </w:rPr>
        <w:t>r</w:t>
      </w:r>
      <w:r>
        <w:t>es</w:t>
      </w:r>
      <w:r>
        <w:rPr>
          <w:spacing w:val="-3"/>
        </w:rPr>
        <w:t>o</w:t>
      </w:r>
      <w:r>
        <w:t>r</w:t>
      </w:r>
      <w:r>
        <w:rPr>
          <w:spacing w:val="1"/>
        </w:rPr>
        <w:t xml:space="preserve"> i</w:t>
      </w:r>
      <w:r>
        <w:rPr>
          <w:spacing w:val="-3"/>
        </w:rPr>
        <w:t>n</w:t>
      </w:r>
      <w:r>
        <w:rPr>
          <w:spacing w:val="1"/>
        </w:rPr>
        <w:t>t</w:t>
      </w:r>
      <w:r>
        <w:t>e</w:t>
      </w:r>
      <w:r>
        <w:rPr>
          <w:spacing w:val="-3"/>
        </w:rPr>
        <w:t>n</w:t>
      </w:r>
      <w:r>
        <w:t>s s</w:t>
      </w:r>
      <w:r>
        <w:rPr>
          <w:spacing w:val="-3"/>
        </w:rPr>
        <w:t>a</w:t>
      </w:r>
      <w:r>
        <w:t>u pa</w:t>
      </w:r>
      <w:r>
        <w:rPr>
          <w:spacing w:val="-3"/>
        </w:rPr>
        <w:t>c</w:t>
      </w:r>
      <w:r>
        <w:rPr>
          <w:spacing w:val="1"/>
        </w:rPr>
        <w:t>i</w:t>
      </w:r>
      <w:r>
        <w:t>e</w:t>
      </w:r>
      <w:r>
        <w:rPr>
          <w:spacing w:val="-3"/>
        </w:rPr>
        <w:t>n</w:t>
      </w:r>
      <w:r>
        <w:rPr>
          <w:spacing w:val="1"/>
        </w:rPr>
        <w:t>ţ</w:t>
      </w:r>
      <w:r>
        <w:rPr>
          <w:spacing w:val="-2"/>
        </w:rPr>
        <w:t>i</w:t>
      </w:r>
      <w:r>
        <w:t>i</w:t>
      </w:r>
      <w:r>
        <w:rPr>
          <w:spacing w:val="1"/>
        </w:rPr>
        <w:t xml:space="preserve"> </w:t>
      </w:r>
      <w:r>
        <w:t xml:space="preserve">cu </w:t>
      </w:r>
      <w:r>
        <w:rPr>
          <w:spacing w:val="-3"/>
        </w:rPr>
        <w:t>p</w:t>
      </w:r>
      <w:r>
        <w:t>so</w:t>
      </w:r>
      <w:r>
        <w:rPr>
          <w:spacing w:val="-2"/>
        </w:rPr>
        <w:t>r</w:t>
      </w:r>
      <w:r>
        <w:rPr>
          <w:spacing w:val="1"/>
        </w:rPr>
        <w:t>i</w:t>
      </w:r>
      <w:r>
        <w:t>a</w:t>
      </w:r>
      <w:r>
        <w:rPr>
          <w:spacing w:val="-3"/>
        </w:rPr>
        <w:t>z</w:t>
      </w:r>
      <w:r>
        <w:rPr>
          <w:spacing w:val="1"/>
        </w:rPr>
        <w:t>i</w:t>
      </w:r>
      <w:r>
        <w:t>s</w:t>
      </w:r>
      <w:r>
        <w:rPr>
          <w:spacing w:val="-2"/>
        </w:rPr>
        <w:t xml:space="preserve"> </w:t>
      </w:r>
      <w:r>
        <w:t>c</w:t>
      </w:r>
      <w:r>
        <w:rPr>
          <w:spacing w:val="-3"/>
        </w:rPr>
        <w:t>a</w:t>
      </w:r>
      <w:r>
        <w:t>re au</w:t>
      </w:r>
      <w:r>
        <w:rPr>
          <w:spacing w:val="-3"/>
        </w:rPr>
        <w:t xml:space="preserve"> </w:t>
      </w:r>
      <w:r>
        <w:t>ur</w:t>
      </w:r>
      <w:r>
        <w:rPr>
          <w:spacing w:val="-4"/>
        </w:rPr>
        <w:t>m</w:t>
      </w:r>
      <w:r>
        <w:t>at</w:t>
      </w:r>
      <w:r>
        <w:rPr>
          <w:spacing w:val="1"/>
        </w:rPr>
        <w:t xml:space="preserve"> </w:t>
      </w:r>
      <w:r>
        <w:t>un</w:t>
      </w:r>
      <w:r>
        <w:rPr>
          <w:spacing w:val="-3"/>
        </w:rPr>
        <w:t xml:space="preserve"> </w:t>
      </w:r>
      <w:r>
        <w:rPr>
          <w:spacing w:val="1"/>
        </w:rPr>
        <w:t>t</w:t>
      </w:r>
      <w:r>
        <w:rPr>
          <w:spacing w:val="-2"/>
        </w:rPr>
        <w:t>r</w:t>
      </w:r>
      <w:r>
        <w:t>a</w:t>
      </w:r>
      <w:r>
        <w:rPr>
          <w:spacing w:val="1"/>
        </w:rPr>
        <w:t>t</w:t>
      </w:r>
      <w:r>
        <w:t>a</w:t>
      </w:r>
      <w:r>
        <w:rPr>
          <w:spacing w:val="-4"/>
        </w:rPr>
        <w:t>m</w:t>
      </w:r>
      <w:r>
        <w:t xml:space="preserve">ent </w:t>
      </w:r>
      <w:r>
        <w:rPr>
          <w:spacing w:val="-1"/>
        </w:rPr>
        <w:t>PU</w:t>
      </w:r>
      <w:r>
        <w:rPr>
          <w:spacing w:val="1"/>
        </w:rPr>
        <w:t>V</w:t>
      </w:r>
      <w:r>
        <w:rPr>
          <w:spacing w:val="-1"/>
        </w:rPr>
        <w:t>A</w:t>
      </w:r>
      <w:r>
        <w:t xml:space="preserve">, </w:t>
      </w:r>
      <w:r>
        <w:rPr>
          <w:spacing w:val="-2"/>
        </w:rPr>
        <w:t>t</w:t>
      </w:r>
      <w:r>
        <w:t>reb</w:t>
      </w:r>
      <w:r>
        <w:rPr>
          <w:spacing w:val="-3"/>
        </w:rPr>
        <w:t>u</w:t>
      </w:r>
      <w:r>
        <w:rPr>
          <w:spacing w:val="1"/>
        </w:rPr>
        <w:t>i</w:t>
      </w:r>
      <w:r>
        <w:t xml:space="preserve">e </w:t>
      </w:r>
      <w:r>
        <w:rPr>
          <w:spacing w:val="-3"/>
        </w:rPr>
        <w:t>e</w:t>
      </w:r>
      <w:r>
        <w:t>xa</w:t>
      </w:r>
      <w:r>
        <w:rPr>
          <w:spacing w:val="-4"/>
        </w:rPr>
        <w:t>m</w:t>
      </w:r>
      <w:r>
        <w:rPr>
          <w:spacing w:val="1"/>
        </w:rPr>
        <w:t>i</w:t>
      </w:r>
      <w:r>
        <w:t>na</w:t>
      </w:r>
      <w:r>
        <w:rPr>
          <w:spacing w:val="-2"/>
        </w:rPr>
        <w:t>ţ</w:t>
      </w:r>
      <w:r>
        <w:t>i</w:t>
      </w:r>
      <w:r>
        <w:rPr>
          <w:spacing w:val="1"/>
        </w:rPr>
        <w:t xml:space="preserve"> </w:t>
      </w:r>
      <w:r>
        <w:rPr>
          <w:spacing w:val="-3"/>
        </w:rPr>
        <w:t>p</w:t>
      </w:r>
      <w:r>
        <w:t>en</w:t>
      </w:r>
      <w:r>
        <w:rPr>
          <w:spacing w:val="1"/>
        </w:rPr>
        <w:t>t</w:t>
      </w:r>
      <w:r>
        <w:rPr>
          <w:spacing w:val="-2"/>
        </w:rPr>
        <w:t>r</w:t>
      </w:r>
      <w:r>
        <w:t>u de</w:t>
      </w:r>
      <w:r>
        <w:rPr>
          <w:spacing w:val="-3"/>
        </w:rPr>
        <w:t>p</w:t>
      </w:r>
      <w:r>
        <w:rPr>
          <w:spacing w:val="1"/>
        </w:rPr>
        <w:t>i</w:t>
      </w:r>
      <w:r>
        <w:rPr>
          <w:spacing w:val="-2"/>
        </w:rPr>
        <w:t>s</w:t>
      </w:r>
      <w:r>
        <w:rPr>
          <w:spacing w:val="1"/>
        </w:rPr>
        <w:t>t</w:t>
      </w:r>
      <w:r>
        <w:rPr>
          <w:spacing w:val="-3"/>
        </w:rPr>
        <w:t>a</w:t>
      </w:r>
      <w:r>
        <w:t xml:space="preserve">rea </w:t>
      </w:r>
      <w:r>
        <w:rPr>
          <w:spacing w:val="-3"/>
        </w:rPr>
        <w:t>u</w:t>
      </w:r>
      <w:r>
        <w:t>nui</w:t>
      </w:r>
      <w:r>
        <w:rPr>
          <w:spacing w:val="-2"/>
        </w:rPr>
        <w:t xml:space="preserve"> </w:t>
      </w:r>
      <w:r>
        <w:t>e</w:t>
      </w:r>
      <w:r>
        <w:rPr>
          <w:spacing w:val="-3"/>
        </w:rPr>
        <w:t>v</w:t>
      </w:r>
      <w:r>
        <w:t>en</w:t>
      </w:r>
      <w:r>
        <w:rPr>
          <w:spacing w:val="-2"/>
        </w:rPr>
        <w:t>t</w:t>
      </w:r>
      <w:r>
        <w:t>ual</w:t>
      </w:r>
      <w:r>
        <w:rPr>
          <w:spacing w:val="1"/>
        </w:rPr>
        <w:t xml:space="preserve"> </w:t>
      </w:r>
      <w:r>
        <w:rPr>
          <w:spacing w:val="-3"/>
        </w:rPr>
        <w:t>c</w:t>
      </w:r>
      <w:r>
        <w:t>anc</w:t>
      </w:r>
      <w:r>
        <w:rPr>
          <w:spacing w:val="-3"/>
        </w:rPr>
        <w:t>e</w:t>
      </w:r>
      <w:r>
        <w:t>r</w:t>
      </w:r>
      <w:r>
        <w:rPr>
          <w:spacing w:val="1"/>
        </w:rPr>
        <w:t xml:space="preserve"> </w:t>
      </w:r>
      <w:r>
        <w:rPr>
          <w:spacing w:val="-3"/>
        </w:rPr>
        <w:t>c</w:t>
      </w:r>
      <w:r>
        <w:t>u</w:t>
      </w:r>
      <w:r>
        <w:rPr>
          <w:spacing w:val="1"/>
        </w:rPr>
        <w:t>t</w:t>
      </w:r>
      <w:r>
        <w:rPr>
          <w:spacing w:val="-3"/>
        </w:rPr>
        <w:t>a</w:t>
      </w:r>
      <w:r>
        <w:t>nat</w:t>
      </w:r>
      <w:r>
        <w:rPr>
          <w:spacing w:val="-2"/>
        </w:rPr>
        <w:t xml:space="preserve"> </w:t>
      </w:r>
      <w:r>
        <w:t>de</w:t>
      </w:r>
      <w:r>
        <w:rPr>
          <w:spacing w:val="-2"/>
        </w:rPr>
        <w:t xml:space="preserve"> </w:t>
      </w:r>
      <w:r>
        <w:rPr>
          <w:spacing w:val="1"/>
        </w:rPr>
        <w:t>ti</w:t>
      </w:r>
      <w:r>
        <w:t xml:space="preserve">p </w:t>
      </w:r>
      <w:r>
        <w:rPr>
          <w:spacing w:val="-3"/>
        </w:rPr>
        <w:t>n</w:t>
      </w:r>
      <w:r>
        <w:rPr>
          <w:spacing w:val="-2"/>
        </w:rPr>
        <w:t>e-m</w:t>
      </w:r>
      <w:r>
        <w:t>e</w:t>
      </w:r>
      <w:r>
        <w:rPr>
          <w:spacing w:val="1"/>
        </w:rPr>
        <w:t>l</w:t>
      </w:r>
      <w:r>
        <w:t>ano</w:t>
      </w:r>
      <w:r>
        <w:rPr>
          <w:spacing w:val="-4"/>
        </w:rPr>
        <w:t>m</w:t>
      </w:r>
      <w:r>
        <w:t xml:space="preserve">. </w:t>
      </w:r>
      <w:r>
        <w:rPr>
          <w:spacing w:val="2"/>
        </w:rPr>
        <w:t>S</w:t>
      </w:r>
      <w:r>
        <w:rPr>
          <w:spacing w:val="-4"/>
        </w:rPr>
        <w:t>-</w:t>
      </w:r>
      <w:r>
        <w:t>au rap</w:t>
      </w:r>
      <w:r>
        <w:rPr>
          <w:spacing w:val="-3"/>
        </w:rPr>
        <w:t>o</w:t>
      </w:r>
      <w:r>
        <w:t>r</w:t>
      </w:r>
      <w:r>
        <w:rPr>
          <w:spacing w:val="1"/>
        </w:rPr>
        <w:t>t</w:t>
      </w:r>
      <w:r>
        <w:rPr>
          <w:spacing w:val="-3"/>
        </w:rPr>
        <w:t>a</w:t>
      </w:r>
      <w:r>
        <w:rPr>
          <w:spacing w:val="1"/>
        </w:rPr>
        <w:t>t</w:t>
      </w:r>
      <w:r>
        <w:t xml:space="preserve">, </w:t>
      </w:r>
      <w:r>
        <w:rPr>
          <w:spacing w:val="-3"/>
        </w:rPr>
        <w:t>d</w:t>
      </w:r>
      <w:r>
        <w:t>e a</w:t>
      </w:r>
      <w:r>
        <w:rPr>
          <w:spacing w:val="-2"/>
        </w:rPr>
        <w:t>s</w:t>
      </w:r>
      <w:r>
        <w:t>e</w:t>
      </w:r>
      <w:r>
        <w:rPr>
          <w:spacing w:val="-4"/>
        </w:rPr>
        <w:t>m</w:t>
      </w:r>
      <w:r>
        <w:t>enea, ca</w:t>
      </w:r>
      <w:r>
        <w:rPr>
          <w:spacing w:val="-3"/>
        </w:rPr>
        <w:t>zu</w:t>
      </w:r>
      <w:r>
        <w:t>ri</w:t>
      </w:r>
      <w:r>
        <w:rPr>
          <w:spacing w:val="1"/>
        </w:rPr>
        <w:t xml:space="preserve"> </w:t>
      </w:r>
      <w:r>
        <w:rPr>
          <w:spacing w:val="-3"/>
        </w:rPr>
        <w:t>d</w:t>
      </w:r>
      <w:r>
        <w:t xml:space="preserve">e </w:t>
      </w:r>
      <w:r>
        <w:rPr>
          <w:spacing w:val="-4"/>
        </w:rPr>
        <w:t>m</w:t>
      </w:r>
      <w:r>
        <w:t>e</w:t>
      </w:r>
      <w:r>
        <w:rPr>
          <w:spacing w:val="1"/>
        </w:rPr>
        <w:t>l</w:t>
      </w:r>
      <w:r>
        <w:t>anom</w:t>
      </w:r>
      <w:r>
        <w:rPr>
          <w:spacing w:val="-4"/>
        </w:rPr>
        <w:t xml:space="preserve"> </w:t>
      </w:r>
      <w:r>
        <w:t>şi</w:t>
      </w:r>
      <w:r>
        <w:rPr>
          <w:spacing w:val="1"/>
        </w:rPr>
        <w:t xml:space="preserve"> </w:t>
      </w:r>
      <w:r>
        <w:t>c</w:t>
      </w:r>
      <w:r>
        <w:rPr>
          <w:spacing w:val="-3"/>
        </w:rPr>
        <w:t>a</w:t>
      </w:r>
      <w:r>
        <w:t>rc</w:t>
      </w:r>
      <w:r>
        <w:rPr>
          <w:spacing w:val="-2"/>
        </w:rPr>
        <w:t>i</w:t>
      </w:r>
      <w:r>
        <w:t>nom</w:t>
      </w:r>
      <w:r>
        <w:rPr>
          <w:spacing w:val="-4"/>
        </w:rPr>
        <w:t xml:space="preserve"> </w:t>
      </w:r>
      <w:r>
        <w:t>cu c</w:t>
      </w:r>
      <w:r>
        <w:rPr>
          <w:spacing w:val="-3"/>
        </w:rPr>
        <w:t>e</w:t>
      </w:r>
      <w:r>
        <w:rPr>
          <w:spacing w:val="1"/>
        </w:rPr>
        <w:t>l</w:t>
      </w:r>
      <w:r>
        <w:t>u</w:t>
      </w:r>
      <w:r>
        <w:rPr>
          <w:spacing w:val="-2"/>
        </w:rPr>
        <w:t>l</w:t>
      </w:r>
      <w:r>
        <w:t xml:space="preserve">e </w:t>
      </w:r>
      <w:r>
        <w:rPr>
          <w:spacing w:val="-2"/>
        </w:rPr>
        <w:t>M</w:t>
      </w:r>
      <w:r>
        <w:t>er</w:t>
      </w:r>
      <w:r>
        <w:rPr>
          <w:spacing w:val="-3"/>
        </w:rPr>
        <w:t>k</w:t>
      </w:r>
      <w:r>
        <w:t>el</w:t>
      </w:r>
      <w:r>
        <w:rPr>
          <w:spacing w:val="-2"/>
        </w:rPr>
        <w:t xml:space="preserve"> </w:t>
      </w:r>
      <w:r>
        <w:rPr>
          <w:spacing w:val="1"/>
        </w:rPr>
        <w:t>l</w:t>
      </w:r>
      <w:r>
        <w:t xml:space="preserve">a </w:t>
      </w:r>
      <w:r>
        <w:rPr>
          <w:spacing w:val="-3"/>
        </w:rPr>
        <w:t>p</w:t>
      </w:r>
      <w:r>
        <w:t>ac</w:t>
      </w:r>
      <w:r>
        <w:rPr>
          <w:spacing w:val="-2"/>
        </w:rPr>
        <w:t>i</w:t>
      </w:r>
      <w:r>
        <w:t>en</w:t>
      </w:r>
      <w:r>
        <w:rPr>
          <w:spacing w:val="-2"/>
        </w:rPr>
        <w:t>ţi</w:t>
      </w:r>
      <w:r>
        <w:t>i</w:t>
      </w:r>
      <w:r>
        <w:rPr>
          <w:spacing w:val="1"/>
        </w:rPr>
        <w:t xml:space="preserve"> </w:t>
      </w:r>
      <w:r>
        <w:t>c</w:t>
      </w:r>
      <w:r>
        <w:rPr>
          <w:spacing w:val="-3"/>
        </w:rPr>
        <w:t>a</w:t>
      </w:r>
      <w:r>
        <w:t xml:space="preserve">re </w:t>
      </w:r>
      <w:r>
        <w:rPr>
          <w:spacing w:val="-3"/>
        </w:rPr>
        <w:t>a</w:t>
      </w:r>
      <w:r>
        <w:t>u</w:t>
      </w:r>
      <w:r>
        <w:rPr>
          <w:spacing w:val="-2"/>
        </w:rPr>
        <w:t xml:space="preserve"> </w:t>
      </w:r>
      <w:r>
        <w:t>u</w:t>
      </w:r>
      <w:r>
        <w:rPr>
          <w:spacing w:val="-2"/>
        </w:rPr>
        <w:t>t</w:t>
      </w:r>
      <w:r>
        <w:rPr>
          <w:spacing w:val="1"/>
        </w:rPr>
        <w:t>i</w:t>
      </w:r>
      <w:r>
        <w:rPr>
          <w:spacing w:val="-2"/>
        </w:rPr>
        <w:t>l</w:t>
      </w:r>
      <w:r>
        <w:rPr>
          <w:spacing w:val="1"/>
        </w:rPr>
        <w:t>i</w:t>
      </w:r>
      <w:r>
        <w:rPr>
          <w:spacing w:val="-3"/>
        </w:rPr>
        <w:t>z</w:t>
      </w:r>
      <w:r>
        <w:t>at</w:t>
      </w:r>
      <w:r>
        <w:rPr>
          <w:spacing w:val="1"/>
        </w:rPr>
        <w:t xml:space="preserve"> </w:t>
      </w:r>
      <w:r>
        <w:t xml:space="preserve">un </w:t>
      </w:r>
      <w:r>
        <w:rPr>
          <w:spacing w:val="1"/>
        </w:rPr>
        <w:t>t</w:t>
      </w:r>
      <w:r>
        <w:t>r</w:t>
      </w:r>
      <w:r>
        <w:rPr>
          <w:spacing w:val="-3"/>
        </w:rPr>
        <w:t>a</w:t>
      </w:r>
      <w:r>
        <w:rPr>
          <w:spacing w:val="1"/>
        </w:rPr>
        <w:t>t</w:t>
      </w:r>
      <w:r>
        <w:t>a</w:t>
      </w:r>
      <w:r>
        <w:rPr>
          <w:spacing w:val="-4"/>
        </w:rPr>
        <w:t>m</w:t>
      </w:r>
      <w:r>
        <w:t>ent</w:t>
      </w:r>
      <w:r>
        <w:rPr>
          <w:spacing w:val="1"/>
        </w:rPr>
        <w:t xml:space="preserve"> </w:t>
      </w:r>
      <w:r>
        <w:t xml:space="preserve">cu </w:t>
      </w:r>
      <w:r>
        <w:rPr>
          <w:spacing w:val="-4"/>
        </w:rPr>
        <w:t>m</w:t>
      </w:r>
      <w:r>
        <w:t>ed</w:t>
      </w:r>
      <w:r>
        <w:rPr>
          <w:spacing w:val="1"/>
        </w:rPr>
        <w:t>i</w:t>
      </w:r>
      <w:r>
        <w:rPr>
          <w:spacing w:val="-3"/>
        </w:rPr>
        <w:t>c</w:t>
      </w:r>
      <w:r>
        <w:t>a</w:t>
      </w:r>
      <w:r>
        <w:rPr>
          <w:spacing w:val="-4"/>
        </w:rPr>
        <w:t>m</w:t>
      </w:r>
      <w:r>
        <w:t>en</w:t>
      </w:r>
      <w:r>
        <w:rPr>
          <w:spacing w:val="1"/>
        </w:rPr>
        <w:t>t</w:t>
      </w:r>
      <w:r>
        <w:t>e</w:t>
      </w:r>
      <w:r>
        <w:rPr>
          <w:spacing w:val="-2"/>
        </w:rPr>
        <w:t xml:space="preserve"> </w:t>
      </w:r>
      <w:r>
        <w:t>an</w:t>
      </w:r>
      <w:r>
        <w:rPr>
          <w:spacing w:val="-2"/>
        </w:rPr>
        <w:t>t</w:t>
      </w:r>
      <w:r>
        <w:t>i</w:t>
      </w:r>
      <w:r>
        <w:rPr>
          <w:spacing w:val="-4"/>
        </w:rPr>
        <w:t>-</w:t>
      </w:r>
      <w:r>
        <w:rPr>
          <w:spacing w:val="1"/>
        </w:rPr>
        <w:t>T</w:t>
      </w:r>
      <w:r>
        <w:rPr>
          <w:spacing w:val="-1"/>
        </w:rPr>
        <w:t>NF</w:t>
      </w:r>
      <w: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ada</w:t>
      </w:r>
      <w:r>
        <w:rPr>
          <w:spacing w:val="-2"/>
        </w:rPr>
        <w:t>l</w:t>
      </w:r>
      <w:r>
        <w:rPr>
          <w:spacing w:val="1"/>
        </w:rPr>
        <w:t>i</w:t>
      </w:r>
      <w:r>
        <w:rPr>
          <w:spacing w:val="-4"/>
        </w:rPr>
        <w:t>m</w:t>
      </w:r>
      <w:r>
        <w:rPr>
          <w:spacing w:val="2"/>
        </w:rPr>
        <w:t>u</w:t>
      </w:r>
      <w:r>
        <w:rPr>
          <w:spacing w:val="-4"/>
        </w:rPr>
        <w:t>m</w:t>
      </w:r>
      <w:r>
        <w:t>ab (</w:t>
      </w:r>
      <w:r>
        <w:rPr>
          <w:spacing w:val="-3"/>
        </w:rPr>
        <w:t>v</w:t>
      </w:r>
      <w:r>
        <w:t>e</w:t>
      </w:r>
      <w:r>
        <w:rPr>
          <w:spacing w:val="-3"/>
        </w:rPr>
        <w:t>z</w:t>
      </w:r>
      <w:r>
        <w:t>i</w:t>
      </w:r>
      <w:r>
        <w:rPr>
          <w:spacing w:val="1"/>
        </w:rPr>
        <w:t xml:space="preserve"> </w:t>
      </w:r>
      <w:r>
        <w:t>pc</w:t>
      </w:r>
      <w:r>
        <w:rPr>
          <w:spacing w:val="1"/>
        </w:rPr>
        <w:t>t</w:t>
      </w:r>
      <w:r>
        <w:t>. 4.8).</w:t>
      </w:r>
    </w:p>
    <w:p w14:paraId="07C9ED1D" w14:textId="77777777" w:rsidR="00C04CAD" w:rsidRDefault="00C04CAD">
      <w:pPr>
        <w:tabs>
          <w:tab w:val="clear" w:pos="567"/>
        </w:tabs>
        <w:kinsoku w:val="0"/>
        <w:overflowPunct w:val="0"/>
        <w:autoSpaceDE w:val="0"/>
        <w:autoSpaceDN w:val="0"/>
        <w:adjustRightInd w:val="0"/>
        <w:spacing w:line="240" w:lineRule="auto"/>
      </w:pPr>
    </w:p>
    <w:p w14:paraId="689A1520" w14:textId="77777777" w:rsidR="00C04CAD" w:rsidRDefault="00060E34">
      <w:pPr>
        <w:tabs>
          <w:tab w:val="clear" w:pos="567"/>
        </w:tabs>
        <w:kinsoku w:val="0"/>
        <w:overflowPunct w:val="0"/>
        <w:autoSpaceDE w:val="0"/>
        <w:autoSpaceDN w:val="0"/>
        <w:adjustRightInd w:val="0"/>
        <w:spacing w:line="240" w:lineRule="auto"/>
      </w:pPr>
      <w:r>
        <w:rPr>
          <w:spacing w:val="-4"/>
        </w:rPr>
        <w:t>Î</w:t>
      </w:r>
      <w:r>
        <w:t>n</w:t>
      </w:r>
      <w:r>
        <w:rPr>
          <w:spacing w:val="1"/>
        </w:rPr>
        <w:t>t</w:t>
      </w:r>
      <w:r>
        <w:rPr>
          <w:spacing w:val="3"/>
        </w:rPr>
        <w:t>r</w:t>
      </w:r>
      <w:r>
        <w:rPr>
          <w:spacing w:val="-4"/>
        </w:rPr>
        <w:t>-</w:t>
      </w:r>
      <w:r>
        <w:t>un s</w:t>
      </w:r>
      <w:r>
        <w:rPr>
          <w:spacing w:val="1"/>
        </w:rPr>
        <w:t>t</w:t>
      </w:r>
      <w:r>
        <w:t>ud</w:t>
      </w:r>
      <w:r>
        <w:rPr>
          <w:spacing w:val="1"/>
        </w:rPr>
        <w:t>i</w:t>
      </w:r>
      <w:r>
        <w:t>u</w:t>
      </w:r>
      <w:r>
        <w:rPr>
          <w:spacing w:val="-3"/>
        </w:rPr>
        <w:t xml:space="preserve"> </w:t>
      </w:r>
      <w:r>
        <w:t>c</w:t>
      </w:r>
      <w:r>
        <w:rPr>
          <w:spacing w:val="-2"/>
        </w:rPr>
        <w:t>l</w:t>
      </w:r>
      <w:r>
        <w:rPr>
          <w:spacing w:val="1"/>
        </w:rPr>
        <w:t>i</w:t>
      </w:r>
      <w:r>
        <w:rPr>
          <w:spacing w:val="-3"/>
        </w:rPr>
        <w:t>n</w:t>
      </w:r>
      <w:r>
        <w:rPr>
          <w:spacing w:val="1"/>
        </w:rPr>
        <w:t>i</w:t>
      </w:r>
      <w:r>
        <w:t>c de</w:t>
      </w:r>
      <w:r>
        <w:rPr>
          <w:spacing w:val="-2"/>
        </w:rPr>
        <w:t xml:space="preserve"> </w:t>
      </w:r>
      <w:r>
        <w:rPr>
          <w:spacing w:val="1"/>
        </w:rPr>
        <w:t>t</w:t>
      </w:r>
      <w:r>
        <w:rPr>
          <w:spacing w:val="-3"/>
        </w:rPr>
        <w:t>a</w:t>
      </w:r>
      <w:r>
        <w:rPr>
          <w:spacing w:val="1"/>
        </w:rPr>
        <w:t>t</w:t>
      </w:r>
      <w:r>
        <w:rPr>
          <w:spacing w:val="-3"/>
        </w:rPr>
        <w:t>o</w:t>
      </w:r>
      <w:r>
        <w:t>nare</w:t>
      </w:r>
      <w:r>
        <w:rPr>
          <w:spacing w:val="-2"/>
        </w:rPr>
        <w:t xml:space="preserve"> </w:t>
      </w:r>
      <w:r>
        <w:t>e</w:t>
      </w:r>
      <w:r>
        <w:rPr>
          <w:spacing w:val="-3"/>
        </w:rPr>
        <w:t>v</w:t>
      </w:r>
      <w:r>
        <w:t>a</w:t>
      </w:r>
      <w:r>
        <w:rPr>
          <w:spacing w:val="1"/>
        </w:rPr>
        <w:t>l</w:t>
      </w:r>
      <w:r>
        <w:t>uând</w:t>
      </w:r>
      <w:r>
        <w:rPr>
          <w:spacing w:val="-3"/>
        </w:rPr>
        <w:t xml:space="preserve"> </w:t>
      </w:r>
      <w:r>
        <w:t>u</w:t>
      </w:r>
      <w:r>
        <w:rPr>
          <w:spacing w:val="-2"/>
        </w:rPr>
        <w:t>t</w:t>
      </w:r>
      <w:r>
        <w:rPr>
          <w:spacing w:val="1"/>
        </w:rPr>
        <w:t>i</w:t>
      </w:r>
      <w:r>
        <w:rPr>
          <w:spacing w:val="-2"/>
        </w:rPr>
        <w:t>l</w:t>
      </w:r>
      <w:r>
        <w:rPr>
          <w:spacing w:val="1"/>
        </w:rPr>
        <w:t>i</w:t>
      </w:r>
      <w:r>
        <w:rPr>
          <w:spacing w:val="-3"/>
        </w:rPr>
        <w:t>z</w:t>
      </w:r>
      <w:r>
        <w:t>ar</w:t>
      </w:r>
      <w:r>
        <w:rPr>
          <w:spacing w:val="-3"/>
        </w:rPr>
        <w:t>e</w:t>
      </w:r>
      <w:r>
        <w:t>a a</w:t>
      </w:r>
      <w:r>
        <w:rPr>
          <w:spacing w:val="-2"/>
        </w:rPr>
        <w:t>lt</w:t>
      </w:r>
      <w:r>
        <w:t>ui</w:t>
      </w:r>
      <w:r>
        <w:rPr>
          <w:spacing w:val="1"/>
        </w:rPr>
        <w:t xml:space="preserve"> </w:t>
      </w:r>
      <w:r>
        <w:rPr>
          <w:spacing w:val="-4"/>
        </w:rPr>
        <w:t>m</w:t>
      </w:r>
      <w:r>
        <w:t>ed</w:t>
      </w:r>
      <w:r>
        <w:rPr>
          <w:spacing w:val="1"/>
        </w:rPr>
        <w:t>i</w:t>
      </w:r>
      <w:r>
        <w:t>ca</w:t>
      </w:r>
      <w:r>
        <w:rPr>
          <w:spacing w:val="-4"/>
        </w:rPr>
        <w:t>m</w:t>
      </w:r>
      <w:r>
        <w:t>ent</w:t>
      </w:r>
      <w:r>
        <w:rPr>
          <w:spacing w:val="1"/>
        </w:rPr>
        <w:t xml:space="preserve"> </w:t>
      </w:r>
      <w:r>
        <w:t>a</w:t>
      </w:r>
      <w:r>
        <w:rPr>
          <w:spacing w:val="-3"/>
        </w:rPr>
        <w:t>n</w:t>
      </w:r>
      <w:r>
        <w:rPr>
          <w:spacing w:val="1"/>
        </w:rPr>
        <w:t>t</w:t>
      </w:r>
      <w:r>
        <w:rPr>
          <w:spacing w:val="-1"/>
        </w:rPr>
        <w:t>i</w:t>
      </w:r>
      <w:r>
        <w:rPr>
          <w:spacing w:val="-4"/>
        </w:rPr>
        <w:t>-</w:t>
      </w:r>
      <w:r>
        <w:rPr>
          <w:spacing w:val="1"/>
        </w:rPr>
        <w:t>T</w:t>
      </w:r>
      <w:r>
        <w:rPr>
          <w:spacing w:val="-2"/>
        </w:rPr>
        <w:t>N</w:t>
      </w:r>
      <w:r>
        <w:rPr>
          <w:spacing w:val="-1"/>
        </w:rPr>
        <w:t>F</w:t>
      </w:r>
      <w:r>
        <w:t xml:space="preserve">, </w:t>
      </w:r>
      <w:r>
        <w:rPr>
          <w:spacing w:val="-2"/>
        </w:rPr>
        <w:t>i</w:t>
      </w:r>
      <w:r>
        <w:rPr>
          <w:spacing w:val="-3"/>
        </w:rPr>
        <w:t>n</w:t>
      </w:r>
      <w:r>
        <w:t>f</w:t>
      </w:r>
      <w:r>
        <w:rPr>
          <w:spacing w:val="-2"/>
        </w:rPr>
        <w:t>l</w:t>
      </w:r>
      <w:r>
        <w:rPr>
          <w:spacing w:val="1"/>
        </w:rPr>
        <w:t>i</w:t>
      </w:r>
      <w:r>
        <w:rPr>
          <w:spacing w:val="-1"/>
        </w:rPr>
        <w:t>x</w:t>
      </w:r>
      <w:r>
        <w:rPr>
          <w:spacing w:val="1"/>
        </w:rPr>
        <w:t>i</w:t>
      </w:r>
      <w:r>
        <w:rPr>
          <w:spacing w:val="-4"/>
        </w:rPr>
        <w:t>m</w:t>
      </w:r>
      <w:r>
        <w:t>a</w:t>
      </w:r>
      <w:r>
        <w:rPr>
          <w:spacing w:val="-1"/>
        </w:rPr>
        <w:t>b</w:t>
      </w:r>
      <w:r>
        <w:t>, au</w:t>
      </w:r>
      <w:r>
        <w:rPr>
          <w:spacing w:val="-3"/>
        </w:rPr>
        <w:t xml:space="preserve"> </w:t>
      </w:r>
      <w:r>
        <w:t>fo</w:t>
      </w:r>
      <w:r>
        <w:rPr>
          <w:spacing w:val="-2"/>
        </w:rPr>
        <w:t>s</w:t>
      </w:r>
      <w:r>
        <w:t>t rap</w:t>
      </w:r>
      <w:r>
        <w:rPr>
          <w:spacing w:val="-3"/>
        </w:rPr>
        <w:t>o</w:t>
      </w:r>
      <w:r>
        <w:t>r</w:t>
      </w:r>
      <w:r>
        <w:rPr>
          <w:spacing w:val="1"/>
        </w:rPr>
        <w:t>t</w:t>
      </w:r>
      <w:r>
        <w:rPr>
          <w:spacing w:val="-3"/>
        </w:rPr>
        <w:t>a</w:t>
      </w:r>
      <w:r>
        <w:rPr>
          <w:spacing w:val="1"/>
        </w:rPr>
        <w:t>t</w:t>
      </w:r>
      <w:r>
        <w:t>e</w:t>
      </w:r>
      <w:r>
        <w:rPr>
          <w:spacing w:val="-2"/>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t>a</w:t>
      </w:r>
      <w:r>
        <w:rPr>
          <w:spacing w:val="-2"/>
        </w:rPr>
        <w:t>ţ</w:t>
      </w:r>
      <w:r>
        <w:t>i</w:t>
      </w:r>
      <w:r>
        <w:rPr>
          <w:spacing w:val="-2"/>
        </w:rPr>
        <w:t xml:space="preserve"> </w:t>
      </w:r>
      <w:r>
        <w:t xml:space="preserve">cu </w:t>
      </w:r>
      <w:r>
        <w:rPr>
          <w:spacing w:val="1"/>
        </w:rPr>
        <w:t>i</w:t>
      </w:r>
      <w:r>
        <w:rPr>
          <w:spacing w:val="-3"/>
        </w:rPr>
        <w:t>n</w:t>
      </w:r>
      <w:r>
        <w:t>f</w:t>
      </w:r>
      <w:r>
        <w:rPr>
          <w:spacing w:val="-2"/>
        </w:rPr>
        <w:t>l</w:t>
      </w:r>
      <w:r>
        <w:rPr>
          <w:spacing w:val="1"/>
        </w:rPr>
        <w:t>i</w:t>
      </w:r>
      <w:r>
        <w:t>x</w:t>
      </w:r>
      <w:r>
        <w:rPr>
          <w:spacing w:val="1"/>
        </w:rPr>
        <w:t>i</w:t>
      </w:r>
      <w:r>
        <w:rPr>
          <w:spacing w:val="-4"/>
        </w:rPr>
        <w:t>m</w:t>
      </w:r>
      <w:r>
        <w:t>ab co</w:t>
      </w:r>
      <w:r>
        <w:rPr>
          <w:spacing w:val="-4"/>
        </w:rPr>
        <w:t>m</w:t>
      </w:r>
      <w:r>
        <w:t>par</w:t>
      </w:r>
      <w:r>
        <w:rPr>
          <w:spacing w:val="-3"/>
        </w:rPr>
        <w:t>a</w:t>
      </w:r>
      <w:r>
        <w:rPr>
          <w:spacing w:val="1"/>
        </w:rPr>
        <w:t>ti</w:t>
      </w:r>
      <w:r>
        <w:t>v</w:t>
      </w:r>
      <w:r>
        <w:rPr>
          <w:spacing w:val="-3"/>
        </w:rPr>
        <w:t xml:space="preserve"> c</w:t>
      </w:r>
      <w:r>
        <w:t xml:space="preserve">u un </w:t>
      </w:r>
      <w:r>
        <w:rPr>
          <w:spacing w:val="-3"/>
        </w:rPr>
        <w:t>g</w:t>
      </w:r>
      <w:r>
        <w:t>rup co</w:t>
      </w:r>
      <w:r>
        <w:rPr>
          <w:spacing w:val="-3"/>
        </w:rPr>
        <w:t>n</w:t>
      </w:r>
      <w:r>
        <w:rPr>
          <w:spacing w:val="1"/>
        </w:rPr>
        <w:t>t</w:t>
      </w:r>
      <w:r>
        <w:t>r</w:t>
      </w:r>
      <w:r>
        <w:rPr>
          <w:spacing w:val="-3"/>
        </w:rPr>
        <w:t>o</w:t>
      </w:r>
      <w:r>
        <w:rPr>
          <w:spacing w:val="1"/>
        </w:rPr>
        <w:t>l</w:t>
      </w:r>
      <w:r>
        <w:t>,</w:t>
      </w:r>
      <w:r>
        <w:rPr>
          <w:spacing w:val="-3"/>
        </w:rPr>
        <w:t xml:space="preserve"> </w:t>
      </w:r>
      <w:r>
        <w:t>ca</w:t>
      </w:r>
      <w:r>
        <w:rPr>
          <w:spacing w:val="-3"/>
        </w:rPr>
        <w:t>z</w:t>
      </w:r>
      <w:r>
        <w:t>uri</w:t>
      </w:r>
      <w:r>
        <w:rPr>
          <w:spacing w:val="-2"/>
        </w:rPr>
        <w:t xml:space="preserve"> </w:t>
      </w:r>
      <w:r>
        <w:t>de</w:t>
      </w:r>
      <w:r>
        <w:rPr>
          <w:spacing w:val="-2"/>
        </w:rPr>
        <w:t xml:space="preserve"> </w:t>
      </w:r>
      <w:r>
        <w:t>bo</w:t>
      </w:r>
      <w:r>
        <w:rPr>
          <w:spacing w:val="1"/>
        </w:rPr>
        <w:t>l</w:t>
      </w:r>
      <w:r>
        <w:t>i</w:t>
      </w:r>
      <w:r>
        <w:rPr>
          <w:spacing w:val="-2"/>
        </w:rPr>
        <w:t xml:space="preserve"> </w:t>
      </w:r>
      <w:r>
        <w:t>pu</w:t>
      </w:r>
      <w:r>
        <w:rPr>
          <w:spacing w:val="1"/>
        </w:rPr>
        <w:t>l</w:t>
      </w:r>
      <w:r>
        <w:rPr>
          <w:spacing w:val="-4"/>
        </w:rPr>
        <w:t>m</w:t>
      </w:r>
      <w:r>
        <w:t>ona</w:t>
      </w:r>
      <w:r>
        <w:rPr>
          <w:spacing w:val="-2"/>
        </w:rPr>
        <w:t>r</w:t>
      </w:r>
      <w:r>
        <w:t>e obs</w:t>
      </w:r>
      <w:r>
        <w:rPr>
          <w:spacing w:val="-2"/>
        </w:rPr>
        <w:t>t</w:t>
      </w:r>
      <w:r>
        <w:t>ru</w:t>
      </w:r>
      <w:r>
        <w:rPr>
          <w:spacing w:val="-3"/>
        </w:rPr>
        <w:t>c</w:t>
      </w:r>
      <w:r>
        <w:rPr>
          <w:spacing w:val="1"/>
        </w:rPr>
        <w:t>ti</w:t>
      </w:r>
      <w:r>
        <w:rPr>
          <w:spacing w:val="-3"/>
        </w:rPr>
        <w:t>v</w:t>
      </w:r>
      <w:r>
        <w:t xml:space="preserve">e </w:t>
      </w:r>
      <w:r>
        <w:rPr>
          <w:spacing w:val="-3"/>
        </w:rPr>
        <w:t>c</w:t>
      </w:r>
      <w:r>
        <w:t>ron</w:t>
      </w:r>
      <w:r>
        <w:rPr>
          <w:spacing w:val="-2"/>
        </w:rPr>
        <w:t>i</w:t>
      </w:r>
      <w:r>
        <w:t>ce</w:t>
      </w:r>
      <w:r>
        <w:rPr>
          <w:spacing w:val="-2"/>
        </w:rPr>
        <w:t xml:space="preserve"> </w:t>
      </w:r>
      <w:r>
        <w:t>(</w:t>
      </w:r>
      <w:r>
        <w:rPr>
          <w:spacing w:val="-1"/>
        </w:rPr>
        <w:t>BP</w:t>
      </w:r>
      <w:r>
        <w:rPr>
          <w:spacing w:val="-2"/>
        </w:rPr>
        <w:t>O</w:t>
      </w:r>
      <w:r>
        <w:rPr>
          <w:spacing w:val="-1"/>
        </w:rPr>
        <w:t>C</w:t>
      </w:r>
      <w:r>
        <w:t>)</w:t>
      </w:r>
      <w:r>
        <w:rPr>
          <w:spacing w:val="-2"/>
        </w:rPr>
        <w:t xml:space="preserve"> </w:t>
      </w:r>
      <w:r>
        <w:rPr>
          <w:spacing w:val="-4"/>
        </w:rPr>
        <w:t>m</w:t>
      </w:r>
      <w:r>
        <w:t>odera</w:t>
      </w:r>
      <w:r>
        <w:rPr>
          <w:spacing w:val="1"/>
        </w:rPr>
        <w:t>t</w:t>
      </w:r>
      <w:r>
        <w:t xml:space="preserve">e </w:t>
      </w:r>
      <w:r>
        <w:rPr>
          <w:spacing w:val="-3"/>
        </w:rPr>
        <w:t>p</w:t>
      </w:r>
      <w:r>
        <w:t>ână</w:t>
      </w:r>
      <w:r>
        <w:rPr>
          <w:spacing w:val="-2"/>
        </w:rPr>
        <w:t xml:space="preserve"> </w:t>
      </w:r>
      <w:r>
        <w:rPr>
          <w:spacing w:val="1"/>
        </w:rPr>
        <w:t>l</w:t>
      </w:r>
      <w:r>
        <w:t xml:space="preserve">a </w:t>
      </w:r>
      <w:r>
        <w:rPr>
          <w:spacing w:val="-2"/>
        </w:rPr>
        <w:t>s</w:t>
      </w:r>
      <w:r>
        <w:t>e</w:t>
      </w:r>
      <w:r>
        <w:rPr>
          <w:spacing w:val="-3"/>
        </w:rPr>
        <w:t>v</w:t>
      </w:r>
      <w:r>
        <w:t xml:space="preserve">ere, </w:t>
      </w:r>
      <w:r>
        <w:rPr>
          <w:spacing w:val="-4"/>
        </w:rPr>
        <w:t>m</w:t>
      </w:r>
      <w:r>
        <w:t>ai</w:t>
      </w:r>
      <w:r>
        <w:rPr>
          <w:spacing w:val="1"/>
        </w:rPr>
        <w:t xml:space="preserve"> </w:t>
      </w:r>
      <w:r>
        <w:rPr>
          <w:spacing w:val="-4"/>
        </w:rPr>
        <w:t>m</w:t>
      </w:r>
      <w:r>
        <w:t>u</w:t>
      </w:r>
      <w:r>
        <w:rPr>
          <w:spacing w:val="1"/>
        </w:rPr>
        <w:t>lt</w:t>
      </w:r>
      <w:r>
        <w:t>e</w:t>
      </w:r>
      <w:r>
        <w:rPr>
          <w:spacing w:val="-2"/>
        </w:rPr>
        <w:t xml:space="preserve"> </w:t>
      </w:r>
      <w:r>
        <w:t>ca</w:t>
      </w:r>
      <w:r>
        <w:rPr>
          <w:spacing w:val="-3"/>
        </w:rPr>
        <w:t>z</w:t>
      </w:r>
      <w:r>
        <w:t>uri</w:t>
      </w:r>
      <w:r>
        <w:rPr>
          <w:spacing w:val="-2"/>
        </w:rPr>
        <w:t xml:space="preserve"> </w:t>
      </w:r>
      <w:r>
        <w:t xml:space="preserve">de </w:t>
      </w:r>
      <w:r>
        <w:rPr>
          <w:spacing w:val="-3"/>
        </w:rPr>
        <w:t>a</w:t>
      </w:r>
      <w:r>
        <w:t>fe</w:t>
      </w:r>
      <w:r>
        <w:rPr>
          <w:spacing w:val="-3"/>
        </w:rPr>
        <w:t>c</w:t>
      </w:r>
      <w:r>
        <w:rPr>
          <w:spacing w:val="1"/>
        </w:rPr>
        <w:t>ţ</w:t>
      </w:r>
      <w:r>
        <w:rPr>
          <w:spacing w:val="-2"/>
        </w:rPr>
        <w:t>i</w:t>
      </w:r>
      <w:r>
        <w:t>uni</w:t>
      </w:r>
      <w:r>
        <w:rPr>
          <w:spacing w:val="-2"/>
        </w:rPr>
        <w:t xml:space="preserve"> </w:t>
      </w:r>
      <w:r>
        <w:rPr>
          <w:spacing w:val="-4"/>
        </w:rPr>
        <w:t>m</w:t>
      </w:r>
      <w:r>
        <w:t>a</w:t>
      </w:r>
      <w:r>
        <w:rPr>
          <w:spacing w:val="1"/>
        </w:rPr>
        <w:t>li</w:t>
      </w:r>
      <w:r>
        <w:rPr>
          <w:spacing w:val="-3"/>
        </w:rPr>
        <w:t>g</w:t>
      </w:r>
      <w:r>
        <w:t xml:space="preserve">ne, </w:t>
      </w:r>
      <w:r>
        <w:rPr>
          <w:spacing w:val="-4"/>
        </w:rPr>
        <w:t>m</w:t>
      </w:r>
      <w:r>
        <w:t>ai</w:t>
      </w:r>
      <w:r>
        <w:rPr>
          <w:spacing w:val="1"/>
        </w:rPr>
        <w:t xml:space="preserve"> </w:t>
      </w:r>
      <w:r>
        <w:t>a</w:t>
      </w:r>
      <w:r>
        <w:rPr>
          <w:spacing w:val="1"/>
        </w:rPr>
        <w:t>l</w:t>
      </w:r>
      <w:r>
        <w:t xml:space="preserve">es </w:t>
      </w:r>
      <w:r>
        <w:rPr>
          <w:spacing w:val="1"/>
        </w:rPr>
        <w:t>l</w:t>
      </w:r>
      <w:r>
        <w:t xml:space="preserve">a </w:t>
      </w:r>
      <w:r>
        <w:rPr>
          <w:spacing w:val="-3"/>
        </w:rPr>
        <w:t>n</w:t>
      </w:r>
      <w:r>
        <w:rPr>
          <w:spacing w:val="1"/>
        </w:rPr>
        <w:t>i</w:t>
      </w:r>
      <w:r>
        <w:rPr>
          <w:spacing w:val="-3"/>
        </w:rPr>
        <w:t>v</w:t>
      </w:r>
      <w:r>
        <w:t>e</w:t>
      </w:r>
      <w:r>
        <w:rPr>
          <w:spacing w:val="1"/>
        </w:rPr>
        <w:t>l</w:t>
      </w:r>
      <w:r>
        <w:t>ul</w:t>
      </w:r>
      <w:r>
        <w:rPr>
          <w:spacing w:val="-2"/>
        </w:rPr>
        <w:t xml:space="preserve"> </w:t>
      </w:r>
      <w:r>
        <w:t>p</w:t>
      </w:r>
      <w:r>
        <w:rPr>
          <w:spacing w:val="1"/>
        </w:rPr>
        <w:t>l</w:t>
      </w:r>
      <w:r>
        <w:t>ă</w:t>
      </w:r>
      <w:r>
        <w:rPr>
          <w:spacing w:val="-4"/>
        </w:rPr>
        <w:t>m</w:t>
      </w:r>
      <w:r>
        <w:t>ânu</w:t>
      </w:r>
      <w:r>
        <w:rPr>
          <w:spacing w:val="1"/>
        </w:rPr>
        <w:t>l</w:t>
      </w:r>
      <w:r>
        <w:rPr>
          <w:spacing w:val="-3"/>
        </w:rPr>
        <w:t>u</w:t>
      </w:r>
      <w:r>
        <w:rPr>
          <w:spacing w:val="1"/>
        </w:rPr>
        <w:t>i</w:t>
      </w:r>
      <w:r>
        <w:t xml:space="preserve">, </w:t>
      </w:r>
      <w:r>
        <w:rPr>
          <w:spacing w:val="-3"/>
        </w:rPr>
        <w:t>c</w:t>
      </w:r>
      <w:r>
        <w:t>ap</w:t>
      </w:r>
      <w:r>
        <w:rPr>
          <w:spacing w:val="-3"/>
        </w:rPr>
        <w:t>u</w:t>
      </w:r>
      <w:r>
        <w:rPr>
          <w:spacing w:val="-2"/>
        </w:rPr>
        <w:t>l</w:t>
      </w:r>
      <w:r>
        <w:t>ui</w:t>
      </w:r>
      <w:r>
        <w:rPr>
          <w:spacing w:val="1"/>
        </w:rPr>
        <w:t xml:space="preserve"> </w:t>
      </w:r>
      <w:r>
        <w:t>s</w:t>
      </w:r>
      <w:r>
        <w:rPr>
          <w:spacing w:val="-3"/>
        </w:rPr>
        <w:t>a</w:t>
      </w:r>
      <w:r>
        <w:t xml:space="preserve">u </w:t>
      </w:r>
      <w:r>
        <w:rPr>
          <w:spacing w:val="-3"/>
        </w:rPr>
        <w:t>g</w:t>
      </w:r>
      <w:r>
        <w:t>â</w:t>
      </w:r>
      <w:r>
        <w:rPr>
          <w:spacing w:val="1"/>
        </w:rPr>
        <w:t>t</w:t>
      </w:r>
      <w:r>
        <w:t>u</w:t>
      </w:r>
      <w:r>
        <w:rPr>
          <w:spacing w:val="-2"/>
        </w:rPr>
        <w:t>l</w:t>
      </w:r>
      <w:r>
        <w:t>u</w:t>
      </w:r>
      <w:r>
        <w:rPr>
          <w:spacing w:val="1"/>
        </w:rPr>
        <w:t>i</w:t>
      </w:r>
      <w:r>
        <w:t>.</w:t>
      </w:r>
      <w:r>
        <w:rPr>
          <w:spacing w:val="-3"/>
        </w:rPr>
        <w:t xml:space="preserve"> </w:t>
      </w:r>
      <w:r>
        <w:rPr>
          <w:spacing w:val="1"/>
        </w:rPr>
        <w:t>T</w:t>
      </w:r>
      <w:r>
        <w:rPr>
          <w:spacing w:val="-3"/>
        </w:rPr>
        <w:t>o</w:t>
      </w:r>
      <w:r>
        <w:rPr>
          <w:spacing w:val="1"/>
        </w:rPr>
        <w:t>ţ</w:t>
      </w:r>
      <w:r>
        <w:t>i</w:t>
      </w:r>
      <w:r>
        <w:rPr>
          <w:spacing w:val="-2"/>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t>a</w:t>
      </w:r>
      <w:r>
        <w:rPr>
          <w:spacing w:val="-3"/>
        </w:rPr>
        <w:t>v</w:t>
      </w:r>
      <w:r>
        <w:t>eau un</w:t>
      </w:r>
      <w:r>
        <w:rPr>
          <w:spacing w:val="-3"/>
        </w:rPr>
        <w:t xml:space="preserve"> </w:t>
      </w:r>
      <w:r>
        <w:rPr>
          <w:spacing w:val="1"/>
        </w:rPr>
        <w:t>i</w:t>
      </w:r>
      <w:r>
        <w:rPr>
          <w:spacing w:val="-2"/>
        </w:rPr>
        <w:t>s</w:t>
      </w:r>
      <w:r>
        <w:rPr>
          <w:spacing w:val="1"/>
        </w:rPr>
        <w:t>t</w:t>
      </w:r>
      <w:r>
        <w:t>o</w:t>
      </w:r>
      <w:r>
        <w:rPr>
          <w:spacing w:val="-2"/>
        </w:rPr>
        <w:t>r</w:t>
      </w:r>
      <w:r>
        <w:rPr>
          <w:spacing w:val="1"/>
        </w:rPr>
        <w:t>i</w:t>
      </w:r>
      <w:r>
        <w:t xml:space="preserve">c </w:t>
      </w:r>
      <w:r>
        <w:rPr>
          <w:spacing w:val="-3"/>
        </w:rPr>
        <w:t>d</w:t>
      </w:r>
      <w:r>
        <w:t>e fu</w:t>
      </w:r>
      <w:r>
        <w:rPr>
          <w:spacing w:val="-4"/>
        </w:rPr>
        <w:t>m</w:t>
      </w:r>
      <w:r>
        <w:t>at</w:t>
      </w:r>
      <w:r>
        <w:rPr>
          <w:spacing w:val="-2"/>
        </w:rPr>
        <w:t xml:space="preserve"> i</w:t>
      </w:r>
      <w:r>
        <w:t>n</w:t>
      </w:r>
      <w:r>
        <w:rPr>
          <w:spacing w:val="1"/>
        </w:rPr>
        <w:t>t</w:t>
      </w:r>
      <w:r>
        <w:t>en</w:t>
      </w:r>
      <w:r>
        <w:rPr>
          <w:spacing w:val="-2"/>
        </w:rPr>
        <w:t>s</w:t>
      </w:r>
      <w:r>
        <w:t xml:space="preserve">. </w:t>
      </w:r>
      <w:r>
        <w:rPr>
          <w:spacing w:val="-1"/>
        </w:rPr>
        <w:t>D</w:t>
      </w:r>
      <w:r>
        <w:t>e a</w:t>
      </w:r>
      <w:r>
        <w:rPr>
          <w:spacing w:val="-3"/>
        </w:rPr>
        <w:t>c</w:t>
      </w:r>
      <w:r>
        <w:t xml:space="preserve">eea, </w:t>
      </w:r>
      <w:r>
        <w:rPr>
          <w:spacing w:val="1"/>
        </w:rPr>
        <w:t>t</w:t>
      </w:r>
      <w:r>
        <w:t>re</w:t>
      </w:r>
      <w:r>
        <w:rPr>
          <w:spacing w:val="-3"/>
        </w:rPr>
        <w:t>b</w:t>
      </w:r>
      <w:r>
        <w:t>u</w:t>
      </w:r>
      <w:r>
        <w:rPr>
          <w:spacing w:val="1"/>
        </w:rPr>
        <w:t>i</w:t>
      </w:r>
      <w:r>
        <w:t>e</w:t>
      </w:r>
      <w:r>
        <w:rPr>
          <w:spacing w:val="-2"/>
        </w:rPr>
        <w:t xml:space="preserve"> </w:t>
      </w:r>
      <w:r>
        <w:t>a</w:t>
      </w:r>
      <w:r>
        <w:rPr>
          <w:spacing w:val="-3"/>
        </w:rPr>
        <w:t>v</w:t>
      </w:r>
      <w:r>
        <w:t>u</w:t>
      </w:r>
      <w:r>
        <w:rPr>
          <w:spacing w:val="1"/>
        </w:rPr>
        <w:t>t</w:t>
      </w:r>
      <w:r>
        <w:t xml:space="preserve">ă </w:t>
      </w:r>
      <w:r>
        <w:rPr>
          <w:spacing w:val="-3"/>
        </w:rPr>
        <w:t>g</w:t>
      </w:r>
      <w:r>
        <w:t>r</w:t>
      </w:r>
      <w:r>
        <w:rPr>
          <w:spacing w:val="-2"/>
        </w:rPr>
        <w:t>i</w:t>
      </w:r>
      <w:r>
        <w:rPr>
          <w:spacing w:val="1"/>
        </w:rPr>
        <w:t>j</w:t>
      </w:r>
      <w:r>
        <w:t>ă</w:t>
      </w:r>
      <w:r>
        <w:rPr>
          <w:spacing w:val="-2"/>
        </w:rPr>
        <w:t xml:space="preserve"> </w:t>
      </w:r>
      <w:r>
        <w:t>atu</w:t>
      </w:r>
      <w:r>
        <w:rPr>
          <w:spacing w:val="-3"/>
        </w:rPr>
        <w:t>n</w:t>
      </w:r>
      <w:r>
        <w:t>ci</w:t>
      </w:r>
      <w:r>
        <w:rPr>
          <w:spacing w:val="-2"/>
        </w:rPr>
        <w:t xml:space="preserve"> </w:t>
      </w:r>
      <w:r>
        <w:t>c</w:t>
      </w:r>
      <w:r>
        <w:rPr>
          <w:spacing w:val="-3"/>
        </w:rPr>
        <w:t>â</w:t>
      </w:r>
      <w:r>
        <w:t xml:space="preserve">nd se </w:t>
      </w:r>
      <w:r>
        <w:rPr>
          <w:spacing w:val="-3"/>
        </w:rPr>
        <w:t>u</w:t>
      </w:r>
      <w:r>
        <w:rPr>
          <w:spacing w:val="1"/>
        </w:rPr>
        <w:t>t</w:t>
      </w:r>
      <w:r>
        <w:rPr>
          <w:spacing w:val="-2"/>
        </w:rPr>
        <w:t>i</w:t>
      </w:r>
      <w:r>
        <w:rPr>
          <w:spacing w:val="1"/>
        </w:rPr>
        <w:t>li</w:t>
      </w:r>
      <w:r>
        <w:rPr>
          <w:spacing w:val="-3"/>
        </w:rPr>
        <w:t>z</w:t>
      </w:r>
      <w:r>
        <w:t>ea</w:t>
      </w:r>
      <w:r>
        <w:rPr>
          <w:spacing w:val="-3"/>
        </w:rPr>
        <w:t>z</w:t>
      </w:r>
      <w:r>
        <w:t xml:space="preserve">ă </w:t>
      </w:r>
      <w:r>
        <w:rPr>
          <w:spacing w:val="-3"/>
        </w:rPr>
        <w:t>a</w:t>
      </w:r>
      <w:r>
        <w:t>n</w:t>
      </w:r>
      <w:r>
        <w:rPr>
          <w:spacing w:val="1"/>
        </w:rPr>
        <w:t>t</w:t>
      </w:r>
      <w:r>
        <w:t>a</w:t>
      </w:r>
      <w:r>
        <w:rPr>
          <w:spacing w:val="-3"/>
        </w:rPr>
        <w:t>g</w:t>
      </w:r>
      <w:r>
        <w:t>on</w:t>
      </w:r>
      <w:r>
        <w:rPr>
          <w:spacing w:val="-2"/>
        </w:rPr>
        <w:t>i</w:t>
      </w:r>
      <w:r>
        <w:t>ş</w:t>
      </w:r>
      <w:r>
        <w:rPr>
          <w:spacing w:val="-2"/>
        </w:rPr>
        <w:t>t</w:t>
      </w:r>
      <w:r>
        <w:t>i</w:t>
      </w:r>
      <w:r>
        <w:rPr>
          <w:spacing w:val="-2"/>
        </w:rPr>
        <w:t xml:space="preserve"> </w:t>
      </w:r>
      <w:r>
        <w:rPr>
          <w:spacing w:val="1"/>
        </w:rPr>
        <w:t>T</w:t>
      </w:r>
      <w:r>
        <w:rPr>
          <w:spacing w:val="-1"/>
        </w:rPr>
        <w:t>N</w:t>
      </w:r>
      <w:r>
        <w:t>F</w:t>
      </w:r>
      <w:r>
        <w:rPr>
          <w:spacing w:val="-1"/>
        </w:rPr>
        <w:t xml:space="preserve"> </w:t>
      </w:r>
      <w:r>
        <w:rPr>
          <w:spacing w:val="-2"/>
        </w:rPr>
        <w:t>l</w:t>
      </w:r>
      <w:r>
        <w:t>a p</w:t>
      </w:r>
      <w:r>
        <w:rPr>
          <w:spacing w:val="-3"/>
        </w:rPr>
        <w:t>a</w:t>
      </w:r>
      <w:r>
        <w:t>c</w:t>
      </w:r>
      <w:r>
        <w:rPr>
          <w:spacing w:val="1"/>
        </w:rPr>
        <w:t>i</w:t>
      </w:r>
      <w:r>
        <w:rPr>
          <w:spacing w:val="-3"/>
        </w:rPr>
        <w:t>e</w:t>
      </w:r>
      <w:r>
        <w:t>n</w:t>
      </w:r>
      <w:r>
        <w:rPr>
          <w:spacing w:val="-2"/>
        </w:rPr>
        <w:t>ţ</w:t>
      </w:r>
      <w:r>
        <w:rPr>
          <w:spacing w:val="1"/>
        </w:rPr>
        <w:t>i</w:t>
      </w:r>
      <w:r>
        <w:t>i</w:t>
      </w:r>
      <w:r>
        <w:rPr>
          <w:spacing w:val="1"/>
        </w:rPr>
        <w:t xml:space="preserve"> </w:t>
      </w:r>
      <w:r>
        <w:rPr>
          <w:spacing w:val="-1"/>
        </w:rPr>
        <w:t>BPO</w:t>
      </w:r>
      <w:r>
        <w:t>C</w:t>
      </w:r>
      <w:r>
        <w:rPr>
          <w:spacing w:val="-1"/>
        </w:rPr>
        <w:t xml:space="preserve"> </w:t>
      </w:r>
      <w:r>
        <w:rPr>
          <w:spacing w:val="-3"/>
        </w:rPr>
        <w:t>p</w:t>
      </w:r>
      <w:r>
        <w:t>r</w:t>
      </w:r>
      <w:r>
        <w:rPr>
          <w:spacing w:val="-3"/>
        </w:rPr>
        <w:t>e</w:t>
      </w:r>
      <w:r>
        <w:t>cum</w:t>
      </w:r>
      <w:r>
        <w:rPr>
          <w:spacing w:val="-4"/>
        </w:rPr>
        <w:t xml:space="preserve"> </w:t>
      </w:r>
      <w:r>
        <w:t>şi</w:t>
      </w:r>
      <w:r>
        <w:rPr>
          <w:spacing w:val="1"/>
        </w:rPr>
        <w:t xml:space="preserve"> l</w:t>
      </w:r>
      <w:r>
        <w:t xml:space="preserve">a </w:t>
      </w:r>
      <w:r>
        <w:rPr>
          <w:spacing w:val="-3"/>
        </w:rPr>
        <w:t>p</w:t>
      </w:r>
      <w:r>
        <w:t>ac</w:t>
      </w:r>
      <w:r>
        <w:rPr>
          <w:spacing w:val="-2"/>
        </w:rPr>
        <w:t>i</w:t>
      </w:r>
      <w:r>
        <w:t>en</w:t>
      </w:r>
      <w:r>
        <w:rPr>
          <w:spacing w:val="-2"/>
        </w:rPr>
        <w:t>ţ</w:t>
      </w:r>
      <w:r>
        <w:rPr>
          <w:spacing w:val="1"/>
        </w:rPr>
        <w:t>i</w:t>
      </w:r>
      <w:r>
        <w:t xml:space="preserve">i cu </w:t>
      </w:r>
      <w:r>
        <w:rPr>
          <w:spacing w:val="-2"/>
        </w:rPr>
        <w:t>r</w:t>
      </w:r>
      <w:r>
        <w:rPr>
          <w:spacing w:val="1"/>
        </w:rPr>
        <w:t>i</w:t>
      </w:r>
      <w:r>
        <w:t>sc</w:t>
      </w:r>
      <w:r>
        <w:rPr>
          <w:spacing w:val="-2"/>
        </w:rPr>
        <w:t xml:space="preserve"> </w:t>
      </w:r>
      <w:r>
        <w:t>cr</w:t>
      </w:r>
      <w:r>
        <w:rPr>
          <w:spacing w:val="-3"/>
        </w:rPr>
        <w:t>e</w:t>
      </w:r>
      <w:r>
        <w:t>sc</w:t>
      </w:r>
      <w:r>
        <w:rPr>
          <w:spacing w:val="-3"/>
        </w:rPr>
        <w:t>u</w:t>
      </w:r>
      <w:r>
        <w:t>t</w:t>
      </w:r>
      <w:r>
        <w:rPr>
          <w:spacing w:val="1"/>
        </w:rPr>
        <w:t xml:space="preserve"> </w:t>
      </w:r>
      <w:r>
        <w:t>pe</w:t>
      </w:r>
      <w:r>
        <w:rPr>
          <w:spacing w:val="-3"/>
        </w:rPr>
        <w:t>n</w:t>
      </w:r>
      <w:r>
        <w:rPr>
          <w:spacing w:val="1"/>
        </w:rPr>
        <w:t>t</w:t>
      </w:r>
      <w:r>
        <w:rPr>
          <w:spacing w:val="-2"/>
        </w:rPr>
        <w:t>r</w:t>
      </w:r>
      <w:r>
        <w:t>u a</w:t>
      </w:r>
      <w:r>
        <w:rPr>
          <w:spacing w:val="-2"/>
        </w:rPr>
        <w:t>f</w:t>
      </w:r>
      <w:r>
        <w:t>e</w:t>
      </w:r>
      <w:r>
        <w:rPr>
          <w:spacing w:val="-3"/>
        </w:rPr>
        <w:t>c</w:t>
      </w:r>
      <w:r>
        <w:rPr>
          <w:spacing w:val="1"/>
        </w:rPr>
        <w:t>ţ</w:t>
      </w:r>
      <w:r>
        <w:rPr>
          <w:spacing w:val="-2"/>
        </w:rPr>
        <w:t>i</w:t>
      </w:r>
      <w:r>
        <w:t>un</w:t>
      </w:r>
      <w:r>
        <w:rPr>
          <w:spacing w:val="1"/>
        </w:rPr>
        <w:t>i</w:t>
      </w:r>
      <w:r>
        <w:rPr>
          <w:spacing w:val="-2"/>
        </w:rPr>
        <w:t>l</w:t>
      </w:r>
      <w:r>
        <w:t xml:space="preserve">e </w:t>
      </w:r>
      <w:r>
        <w:rPr>
          <w:spacing w:val="-4"/>
        </w:rPr>
        <w:t>m</w:t>
      </w:r>
      <w:r>
        <w:t>a</w:t>
      </w:r>
      <w:r>
        <w:rPr>
          <w:spacing w:val="1"/>
        </w:rPr>
        <w:t>li</w:t>
      </w:r>
      <w:r>
        <w:rPr>
          <w:spacing w:val="-3"/>
        </w:rPr>
        <w:t>g</w:t>
      </w:r>
      <w:r>
        <w:t>ne cau</w:t>
      </w:r>
      <w:r>
        <w:rPr>
          <w:spacing w:val="-3"/>
        </w:rPr>
        <w:t>z</w:t>
      </w:r>
      <w:r>
        <w:t>a</w:t>
      </w:r>
      <w:r>
        <w:rPr>
          <w:spacing w:val="-2"/>
        </w:rPr>
        <w:t>t</w:t>
      </w:r>
      <w:r>
        <w:t>e de</w:t>
      </w:r>
      <w:r>
        <w:rPr>
          <w:spacing w:val="-2"/>
        </w:rPr>
        <w:t xml:space="preserve"> </w:t>
      </w:r>
      <w:r>
        <w:t>f</w:t>
      </w:r>
      <w:r>
        <w:rPr>
          <w:spacing w:val="-3"/>
        </w:rPr>
        <w:t>u</w:t>
      </w:r>
      <w:r>
        <w:rPr>
          <w:spacing w:val="-4"/>
        </w:rPr>
        <w:t>m</w:t>
      </w:r>
      <w:r>
        <w:t>a</w:t>
      </w:r>
      <w:r>
        <w:rPr>
          <w:spacing w:val="1"/>
        </w:rPr>
        <w:t>t</w:t>
      </w:r>
      <w:r>
        <w:t>ul</w:t>
      </w:r>
      <w:r>
        <w:rPr>
          <w:spacing w:val="1"/>
        </w:rPr>
        <w:t xml:space="preserve"> i</w:t>
      </w:r>
      <w:r>
        <w:rPr>
          <w:spacing w:val="-3"/>
        </w:rPr>
        <w:t>n</w:t>
      </w:r>
      <w:r>
        <w:rPr>
          <w:spacing w:val="1"/>
        </w:rPr>
        <w:t>t</w:t>
      </w:r>
      <w:r>
        <w:t>e</w:t>
      </w:r>
      <w:r>
        <w:rPr>
          <w:spacing w:val="-1"/>
        </w:rPr>
        <w:t>n</w:t>
      </w:r>
      <w:r>
        <w:t>s.</w:t>
      </w:r>
    </w:p>
    <w:p w14:paraId="7A29512D" w14:textId="77777777" w:rsidR="00C04CAD" w:rsidRDefault="00C04CAD">
      <w:pPr>
        <w:tabs>
          <w:tab w:val="clear" w:pos="567"/>
        </w:tabs>
        <w:kinsoku w:val="0"/>
        <w:overflowPunct w:val="0"/>
        <w:autoSpaceDE w:val="0"/>
        <w:autoSpaceDN w:val="0"/>
        <w:adjustRightInd w:val="0"/>
        <w:spacing w:line="240" w:lineRule="auto"/>
        <w:rPr>
          <w:szCs w:val="22"/>
        </w:rPr>
      </w:pPr>
    </w:p>
    <w:p w14:paraId="1E1C2269" w14:textId="77777777" w:rsidR="00C04CAD" w:rsidRDefault="00060E34">
      <w:pPr>
        <w:pStyle w:val="BodyText"/>
        <w:kinsoku w:val="0"/>
        <w:overflowPunct w:val="0"/>
        <w:rPr>
          <w:i w:val="0"/>
          <w:color w:val="auto"/>
          <w:szCs w:val="22"/>
        </w:rPr>
      </w:pPr>
      <w:r>
        <w:rPr>
          <w:i w:val="0"/>
          <w:color w:val="auto"/>
          <w:spacing w:val="-1"/>
          <w:szCs w:val="22"/>
        </w:rPr>
        <w:t>D</w:t>
      </w:r>
      <w:r>
        <w:rPr>
          <w:i w:val="0"/>
          <w:color w:val="auto"/>
          <w:spacing w:val="1"/>
          <w:szCs w:val="22"/>
        </w:rPr>
        <w:t>i</w:t>
      </w:r>
      <w:r>
        <w:rPr>
          <w:i w:val="0"/>
          <w:color w:val="auto"/>
          <w:szCs w:val="22"/>
        </w:rPr>
        <w:t>n d</w:t>
      </w:r>
      <w:r>
        <w:rPr>
          <w:i w:val="0"/>
          <w:color w:val="auto"/>
          <w:spacing w:val="-3"/>
          <w:szCs w:val="22"/>
        </w:rPr>
        <w:t>a</w:t>
      </w:r>
      <w:r>
        <w:rPr>
          <w:i w:val="0"/>
          <w:color w:val="auto"/>
          <w:spacing w:val="1"/>
          <w:szCs w:val="22"/>
        </w:rPr>
        <w:t>t</w:t>
      </w:r>
      <w:r>
        <w:rPr>
          <w:i w:val="0"/>
          <w:color w:val="auto"/>
          <w:szCs w:val="22"/>
        </w:rPr>
        <w:t>e</w:t>
      </w:r>
      <w:r>
        <w:rPr>
          <w:i w:val="0"/>
          <w:color w:val="auto"/>
          <w:spacing w:val="-2"/>
          <w:szCs w:val="22"/>
        </w:rPr>
        <w:t>l</w:t>
      </w:r>
      <w:r>
        <w:rPr>
          <w:i w:val="0"/>
          <w:color w:val="auto"/>
          <w:szCs w:val="22"/>
        </w:rPr>
        <w:t>e a</w:t>
      </w:r>
      <w:r>
        <w:rPr>
          <w:i w:val="0"/>
          <w:color w:val="auto"/>
          <w:spacing w:val="-3"/>
          <w:szCs w:val="22"/>
        </w:rPr>
        <w:t>c</w:t>
      </w:r>
      <w:r>
        <w:rPr>
          <w:i w:val="0"/>
          <w:color w:val="auto"/>
          <w:spacing w:val="1"/>
          <w:szCs w:val="22"/>
        </w:rPr>
        <w:t>t</w:t>
      </w:r>
      <w:r>
        <w:rPr>
          <w:i w:val="0"/>
          <w:color w:val="auto"/>
          <w:szCs w:val="22"/>
        </w:rPr>
        <w:t>u</w:t>
      </w:r>
      <w:r>
        <w:rPr>
          <w:i w:val="0"/>
          <w:color w:val="auto"/>
          <w:spacing w:val="-3"/>
          <w:szCs w:val="22"/>
        </w:rPr>
        <w:t>a</w:t>
      </w:r>
      <w:r>
        <w:rPr>
          <w:i w:val="0"/>
          <w:color w:val="auto"/>
          <w:spacing w:val="1"/>
          <w:szCs w:val="22"/>
        </w:rPr>
        <w:t>l</w:t>
      </w:r>
      <w:r>
        <w:rPr>
          <w:i w:val="0"/>
          <w:color w:val="auto"/>
          <w:szCs w:val="22"/>
        </w:rPr>
        <w:t>e,</w:t>
      </w:r>
      <w:r>
        <w:rPr>
          <w:i w:val="0"/>
          <w:color w:val="auto"/>
          <w:spacing w:val="-3"/>
          <w:szCs w:val="22"/>
        </w:rPr>
        <w:t xml:space="preserve"> </w:t>
      </w:r>
      <w:r>
        <w:rPr>
          <w:i w:val="0"/>
          <w:color w:val="auto"/>
          <w:szCs w:val="22"/>
        </w:rPr>
        <w:t>nu se</w:t>
      </w:r>
      <w:r>
        <w:rPr>
          <w:i w:val="0"/>
          <w:color w:val="auto"/>
          <w:spacing w:val="-2"/>
          <w:szCs w:val="22"/>
        </w:rPr>
        <w:t xml:space="preserve"> </w:t>
      </w:r>
      <w:r>
        <w:rPr>
          <w:i w:val="0"/>
          <w:color w:val="auto"/>
          <w:szCs w:val="22"/>
        </w:rPr>
        <w:t>c</w:t>
      </w:r>
      <w:r>
        <w:rPr>
          <w:i w:val="0"/>
          <w:color w:val="auto"/>
          <w:spacing w:val="-3"/>
          <w:szCs w:val="22"/>
        </w:rPr>
        <w:t>u</w:t>
      </w:r>
      <w:r>
        <w:rPr>
          <w:i w:val="0"/>
          <w:color w:val="auto"/>
          <w:szCs w:val="22"/>
        </w:rPr>
        <w:t>noaş</w:t>
      </w:r>
      <w:r>
        <w:rPr>
          <w:i w:val="0"/>
          <w:color w:val="auto"/>
          <w:spacing w:val="-2"/>
          <w:szCs w:val="22"/>
        </w:rPr>
        <w:t>t</w:t>
      </w:r>
      <w:r>
        <w:rPr>
          <w:i w:val="0"/>
          <w:color w:val="auto"/>
          <w:szCs w:val="22"/>
        </w:rPr>
        <w:t>e d</w:t>
      </w:r>
      <w:r>
        <w:rPr>
          <w:i w:val="0"/>
          <w:color w:val="auto"/>
          <w:spacing w:val="-3"/>
          <w:szCs w:val="22"/>
        </w:rPr>
        <w:t>a</w:t>
      </w:r>
      <w:r>
        <w:rPr>
          <w:i w:val="0"/>
          <w:color w:val="auto"/>
          <w:szCs w:val="22"/>
        </w:rPr>
        <w:t>că</w:t>
      </w:r>
      <w:r>
        <w:rPr>
          <w:i w:val="0"/>
          <w:color w:val="auto"/>
          <w:spacing w:val="-2"/>
          <w:szCs w:val="22"/>
        </w:rPr>
        <w:t xml:space="preserve"> </w:t>
      </w:r>
      <w:r>
        <w:rPr>
          <w:i w:val="0"/>
          <w:color w:val="auto"/>
          <w:spacing w:val="1"/>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pacing w:val="-3"/>
          <w:szCs w:val="22"/>
        </w:rPr>
        <w:t>u</w:t>
      </w:r>
      <w:r>
        <w:rPr>
          <w:i w:val="0"/>
          <w:color w:val="auto"/>
          <w:szCs w:val="22"/>
        </w:rPr>
        <w:t>l</w:t>
      </w:r>
      <w:r>
        <w:rPr>
          <w:i w:val="0"/>
          <w:color w:val="auto"/>
          <w:spacing w:val="1"/>
          <w:szCs w:val="22"/>
        </w:rPr>
        <w:t xml:space="preserve"> </w:t>
      </w:r>
      <w:r>
        <w:rPr>
          <w:i w:val="0"/>
          <w:color w:val="auto"/>
          <w:szCs w:val="22"/>
        </w:rPr>
        <w:t>cu</w:t>
      </w:r>
      <w:r>
        <w:rPr>
          <w:i w:val="0"/>
          <w:color w:val="auto"/>
          <w:spacing w:val="-3"/>
          <w:szCs w:val="22"/>
        </w:rPr>
        <w:t xml:space="preserve"> </w:t>
      </w:r>
      <w:r>
        <w:rPr>
          <w:i w:val="0"/>
          <w:color w:val="auto"/>
          <w:szCs w:val="22"/>
        </w:rPr>
        <w:t>ada</w:t>
      </w:r>
      <w:r>
        <w:rPr>
          <w:i w:val="0"/>
          <w:color w:val="auto"/>
          <w:spacing w:val="-2"/>
          <w:szCs w:val="22"/>
        </w:rPr>
        <w:t>l</w:t>
      </w:r>
      <w:r>
        <w:rPr>
          <w:i w:val="0"/>
          <w:color w:val="auto"/>
          <w:spacing w:val="1"/>
          <w:szCs w:val="22"/>
        </w:rPr>
        <w:t>i</w:t>
      </w:r>
      <w:r>
        <w:rPr>
          <w:i w:val="0"/>
          <w:color w:val="auto"/>
          <w:spacing w:val="-4"/>
          <w:szCs w:val="22"/>
        </w:rPr>
        <w:t>m</w:t>
      </w:r>
      <w:r>
        <w:rPr>
          <w:i w:val="0"/>
          <w:color w:val="auto"/>
          <w:spacing w:val="2"/>
          <w:szCs w:val="22"/>
        </w:rPr>
        <w:t>u</w:t>
      </w:r>
      <w:r>
        <w:rPr>
          <w:i w:val="0"/>
          <w:color w:val="auto"/>
          <w:spacing w:val="-4"/>
          <w:szCs w:val="22"/>
        </w:rPr>
        <w:t>m</w:t>
      </w:r>
      <w:r>
        <w:rPr>
          <w:i w:val="0"/>
          <w:color w:val="auto"/>
          <w:szCs w:val="22"/>
        </w:rPr>
        <w:t xml:space="preserve">ab </w:t>
      </w:r>
      <w:r>
        <w:rPr>
          <w:i w:val="0"/>
          <w:color w:val="auto"/>
          <w:spacing w:val="1"/>
          <w:szCs w:val="22"/>
        </w:rPr>
        <w:t>i</w:t>
      </w:r>
      <w:r>
        <w:rPr>
          <w:i w:val="0"/>
          <w:color w:val="auto"/>
          <w:szCs w:val="22"/>
        </w:rPr>
        <w:t>n</w:t>
      </w:r>
      <w:r>
        <w:rPr>
          <w:i w:val="0"/>
          <w:color w:val="auto"/>
          <w:spacing w:val="-2"/>
          <w:szCs w:val="22"/>
        </w:rPr>
        <w:t>f</w:t>
      </w:r>
      <w:r>
        <w:rPr>
          <w:i w:val="0"/>
          <w:color w:val="auto"/>
          <w:spacing w:val="1"/>
          <w:szCs w:val="22"/>
        </w:rPr>
        <w:t>l</w:t>
      </w:r>
      <w:r>
        <w:rPr>
          <w:i w:val="0"/>
          <w:color w:val="auto"/>
          <w:szCs w:val="22"/>
        </w:rPr>
        <w:t>ue</w:t>
      </w:r>
      <w:r>
        <w:rPr>
          <w:i w:val="0"/>
          <w:color w:val="auto"/>
          <w:spacing w:val="-3"/>
          <w:szCs w:val="22"/>
        </w:rPr>
        <w:t>n</w:t>
      </w:r>
      <w:r>
        <w:rPr>
          <w:i w:val="0"/>
          <w:color w:val="auto"/>
          <w:spacing w:val="1"/>
          <w:szCs w:val="22"/>
        </w:rPr>
        <w:t>ţ</w:t>
      </w:r>
      <w:r>
        <w:rPr>
          <w:i w:val="0"/>
          <w:color w:val="auto"/>
          <w:szCs w:val="22"/>
        </w:rPr>
        <w:t>ea</w:t>
      </w:r>
      <w:r>
        <w:rPr>
          <w:i w:val="0"/>
          <w:color w:val="auto"/>
          <w:spacing w:val="-3"/>
          <w:szCs w:val="22"/>
        </w:rPr>
        <w:t>z</w:t>
      </w:r>
      <w:r>
        <w:rPr>
          <w:i w:val="0"/>
          <w:color w:val="auto"/>
          <w:szCs w:val="22"/>
        </w:rPr>
        <w:t>ă</w:t>
      </w:r>
      <w:r>
        <w:rPr>
          <w:i w:val="0"/>
          <w:color w:val="auto"/>
          <w:spacing w:val="-2"/>
          <w:szCs w:val="22"/>
        </w:rPr>
        <w:t xml:space="preserve"> </w:t>
      </w:r>
      <w:r>
        <w:rPr>
          <w:i w:val="0"/>
          <w:color w:val="auto"/>
          <w:szCs w:val="22"/>
        </w:rPr>
        <w:t>r</w:t>
      </w:r>
      <w:r>
        <w:rPr>
          <w:i w:val="0"/>
          <w:color w:val="auto"/>
          <w:spacing w:val="-2"/>
          <w:szCs w:val="22"/>
        </w:rPr>
        <w:t>i</w:t>
      </w:r>
      <w:r>
        <w:rPr>
          <w:i w:val="0"/>
          <w:color w:val="auto"/>
          <w:szCs w:val="22"/>
        </w:rPr>
        <w:t>scul</w:t>
      </w:r>
      <w:r>
        <w:rPr>
          <w:i w:val="0"/>
          <w:color w:val="auto"/>
          <w:spacing w:val="-2"/>
          <w:szCs w:val="22"/>
        </w:rPr>
        <w:t xml:space="preserve"> </w:t>
      </w:r>
      <w:r>
        <w:rPr>
          <w:i w:val="0"/>
          <w:color w:val="auto"/>
          <w:szCs w:val="22"/>
        </w:rPr>
        <w:t>de a</w:t>
      </w:r>
      <w:r>
        <w:rPr>
          <w:i w:val="0"/>
          <w:color w:val="auto"/>
          <w:spacing w:val="-3"/>
          <w:szCs w:val="22"/>
        </w:rPr>
        <w:t>p</w:t>
      </w:r>
      <w:r>
        <w:rPr>
          <w:i w:val="0"/>
          <w:color w:val="auto"/>
          <w:szCs w:val="22"/>
        </w:rPr>
        <w:t>a</w:t>
      </w:r>
      <w:r>
        <w:rPr>
          <w:i w:val="0"/>
          <w:color w:val="auto"/>
          <w:spacing w:val="-2"/>
          <w:szCs w:val="22"/>
        </w:rPr>
        <w:t>r</w:t>
      </w:r>
      <w:r>
        <w:rPr>
          <w:i w:val="0"/>
          <w:color w:val="auto"/>
          <w:spacing w:val="1"/>
          <w:szCs w:val="22"/>
        </w:rPr>
        <w:t>i</w:t>
      </w:r>
      <w:r>
        <w:rPr>
          <w:i w:val="0"/>
          <w:color w:val="auto"/>
          <w:spacing w:val="-2"/>
          <w:szCs w:val="22"/>
        </w:rPr>
        <w:t>ţ</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a d</w:t>
      </w:r>
      <w:r>
        <w:rPr>
          <w:i w:val="0"/>
          <w:color w:val="auto"/>
          <w:spacing w:val="1"/>
          <w:szCs w:val="22"/>
        </w:rPr>
        <w:t>i</w:t>
      </w:r>
      <w:r>
        <w:rPr>
          <w:i w:val="0"/>
          <w:color w:val="auto"/>
          <w:szCs w:val="22"/>
        </w:rPr>
        <w:t>s</w:t>
      </w:r>
      <w:r>
        <w:rPr>
          <w:i w:val="0"/>
          <w:color w:val="auto"/>
          <w:spacing w:val="-3"/>
          <w:szCs w:val="22"/>
        </w:rPr>
        <w:t>p</w:t>
      </w:r>
      <w:r>
        <w:rPr>
          <w:i w:val="0"/>
          <w:color w:val="auto"/>
          <w:spacing w:val="1"/>
          <w:szCs w:val="22"/>
        </w:rPr>
        <w:t>l</w:t>
      </w:r>
      <w:r>
        <w:rPr>
          <w:i w:val="0"/>
          <w:color w:val="auto"/>
          <w:szCs w:val="22"/>
        </w:rPr>
        <w:t>a</w:t>
      </w:r>
      <w:r>
        <w:rPr>
          <w:i w:val="0"/>
          <w:color w:val="auto"/>
          <w:spacing w:val="-3"/>
          <w:szCs w:val="22"/>
        </w:rPr>
        <w:t>z</w:t>
      </w:r>
      <w:r>
        <w:rPr>
          <w:i w:val="0"/>
          <w:color w:val="auto"/>
          <w:spacing w:val="1"/>
          <w:szCs w:val="22"/>
        </w:rPr>
        <w:t>i</w:t>
      </w:r>
      <w:r>
        <w:rPr>
          <w:i w:val="0"/>
          <w:color w:val="auto"/>
          <w:spacing w:val="-3"/>
          <w:szCs w:val="22"/>
        </w:rPr>
        <w:t>e</w:t>
      </w:r>
      <w:r>
        <w:rPr>
          <w:i w:val="0"/>
          <w:color w:val="auto"/>
          <w:szCs w:val="22"/>
        </w:rPr>
        <w:t>i</w:t>
      </w:r>
      <w:r>
        <w:rPr>
          <w:i w:val="0"/>
          <w:color w:val="auto"/>
          <w:spacing w:val="1"/>
          <w:szCs w:val="22"/>
        </w:rPr>
        <w:t xml:space="preserve"> </w:t>
      </w:r>
      <w:r>
        <w:rPr>
          <w:i w:val="0"/>
          <w:color w:val="auto"/>
          <w:szCs w:val="22"/>
        </w:rPr>
        <w:t>s</w:t>
      </w:r>
      <w:r>
        <w:rPr>
          <w:i w:val="0"/>
          <w:color w:val="auto"/>
          <w:spacing w:val="-3"/>
          <w:szCs w:val="22"/>
        </w:rPr>
        <w:t>a</w:t>
      </w:r>
      <w:r>
        <w:rPr>
          <w:i w:val="0"/>
          <w:color w:val="auto"/>
          <w:szCs w:val="22"/>
        </w:rPr>
        <w:t xml:space="preserve">u a </w:t>
      </w:r>
      <w:r>
        <w:rPr>
          <w:i w:val="0"/>
          <w:color w:val="auto"/>
          <w:spacing w:val="-3"/>
          <w:szCs w:val="22"/>
        </w:rPr>
        <w:t>c</w:t>
      </w:r>
      <w:r>
        <w:rPr>
          <w:i w:val="0"/>
          <w:color w:val="auto"/>
          <w:szCs w:val="22"/>
        </w:rPr>
        <w:t>anc</w:t>
      </w:r>
      <w:r>
        <w:rPr>
          <w:i w:val="0"/>
          <w:color w:val="auto"/>
          <w:spacing w:val="-3"/>
          <w:szCs w:val="22"/>
        </w:rPr>
        <w:t>e</w:t>
      </w:r>
      <w:r>
        <w:rPr>
          <w:i w:val="0"/>
          <w:color w:val="auto"/>
          <w:szCs w:val="22"/>
        </w:rPr>
        <w:t>r</w:t>
      </w:r>
      <w:r>
        <w:rPr>
          <w:i w:val="0"/>
          <w:color w:val="auto"/>
          <w:spacing w:val="-3"/>
          <w:szCs w:val="22"/>
        </w:rPr>
        <w:t>u</w:t>
      </w:r>
      <w:r>
        <w:rPr>
          <w:i w:val="0"/>
          <w:color w:val="auto"/>
          <w:spacing w:val="1"/>
          <w:szCs w:val="22"/>
        </w:rPr>
        <w:t>l</w:t>
      </w:r>
      <w:r>
        <w:rPr>
          <w:i w:val="0"/>
          <w:color w:val="auto"/>
          <w:szCs w:val="22"/>
        </w:rPr>
        <w:t>ui</w:t>
      </w:r>
      <w:r>
        <w:rPr>
          <w:i w:val="0"/>
          <w:color w:val="auto"/>
          <w:spacing w:val="-2"/>
          <w:szCs w:val="22"/>
        </w:rPr>
        <w:t xml:space="preserve"> </w:t>
      </w:r>
      <w:r>
        <w:rPr>
          <w:i w:val="0"/>
          <w:color w:val="auto"/>
          <w:szCs w:val="22"/>
        </w:rPr>
        <w:t>de c</w:t>
      </w:r>
      <w:r>
        <w:rPr>
          <w:i w:val="0"/>
          <w:color w:val="auto"/>
          <w:spacing w:val="-3"/>
          <w:szCs w:val="22"/>
        </w:rPr>
        <w:t>o</w:t>
      </w:r>
      <w:r>
        <w:rPr>
          <w:i w:val="0"/>
          <w:color w:val="auto"/>
          <w:spacing w:val="1"/>
          <w:szCs w:val="22"/>
        </w:rPr>
        <w:t>l</w:t>
      </w:r>
      <w:r>
        <w:rPr>
          <w:i w:val="0"/>
          <w:color w:val="auto"/>
          <w:szCs w:val="22"/>
        </w:rPr>
        <w:t>on.</w:t>
      </w:r>
      <w:r>
        <w:rPr>
          <w:i w:val="0"/>
          <w:color w:val="auto"/>
          <w:spacing w:val="-3"/>
          <w:szCs w:val="22"/>
        </w:rPr>
        <w:t xml:space="preserve"> </w:t>
      </w:r>
      <w:r>
        <w:rPr>
          <w:i w:val="0"/>
          <w:color w:val="auto"/>
          <w:spacing w:val="1"/>
          <w:szCs w:val="22"/>
        </w:rPr>
        <w:t>T</w:t>
      </w:r>
      <w:r>
        <w:rPr>
          <w:i w:val="0"/>
          <w:color w:val="auto"/>
          <w:spacing w:val="-3"/>
          <w:szCs w:val="22"/>
        </w:rPr>
        <w:t>o</w:t>
      </w:r>
      <w:r>
        <w:rPr>
          <w:i w:val="0"/>
          <w:color w:val="auto"/>
          <w:spacing w:val="1"/>
          <w:szCs w:val="22"/>
        </w:rPr>
        <w:t>ţ</w:t>
      </w:r>
      <w:r>
        <w:rPr>
          <w:i w:val="0"/>
          <w:color w:val="auto"/>
          <w:szCs w:val="22"/>
        </w:rPr>
        <w:t>i</w:t>
      </w:r>
      <w:r>
        <w:rPr>
          <w:i w:val="0"/>
          <w:color w:val="auto"/>
          <w:spacing w:val="-2"/>
          <w:szCs w:val="22"/>
        </w:rPr>
        <w:t xml:space="preserve"> </w:t>
      </w:r>
      <w:r>
        <w:rPr>
          <w:i w:val="0"/>
          <w:color w:val="auto"/>
          <w:szCs w:val="22"/>
        </w:rPr>
        <w:t>pa</w:t>
      </w:r>
      <w:r>
        <w:rPr>
          <w:i w:val="0"/>
          <w:color w:val="auto"/>
          <w:spacing w:val="-3"/>
          <w:szCs w:val="22"/>
        </w:rPr>
        <w:t>c</w:t>
      </w:r>
      <w:r>
        <w:rPr>
          <w:i w:val="0"/>
          <w:color w:val="auto"/>
          <w:spacing w:val="1"/>
          <w:szCs w:val="22"/>
        </w:rPr>
        <w:t>i</w:t>
      </w:r>
      <w:r>
        <w:rPr>
          <w:i w:val="0"/>
          <w:color w:val="auto"/>
          <w:szCs w:val="22"/>
        </w:rPr>
        <w:t>e</w:t>
      </w:r>
      <w:r>
        <w:rPr>
          <w:i w:val="0"/>
          <w:color w:val="auto"/>
          <w:spacing w:val="-3"/>
          <w:szCs w:val="22"/>
        </w:rPr>
        <w:t>n</w:t>
      </w:r>
      <w:r>
        <w:rPr>
          <w:i w:val="0"/>
          <w:color w:val="auto"/>
          <w:spacing w:val="1"/>
          <w:szCs w:val="22"/>
        </w:rPr>
        <w:t>ţ</w:t>
      </w:r>
      <w:r>
        <w:rPr>
          <w:i w:val="0"/>
          <w:color w:val="auto"/>
          <w:spacing w:val="-2"/>
          <w:szCs w:val="22"/>
        </w:rPr>
        <w:t>i</w:t>
      </w:r>
      <w:r>
        <w:rPr>
          <w:i w:val="0"/>
          <w:color w:val="auto"/>
          <w:szCs w:val="22"/>
        </w:rPr>
        <w:t>i</w:t>
      </w:r>
      <w:r>
        <w:rPr>
          <w:i w:val="0"/>
          <w:color w:val="auto"/>
          <w:spacing w:val="1"/>
          <w:szCs w:val="22"/>
        </w:rPr>
        <w:t xml:space="preserve"> </w:t>
      </w:r>
      <w:r>
        <w:rPr>
          <w:i w:val="0"/>
          <w:color w:val="auto"/>
          <w:szCs w:val="22"/>
        </w:rPr>
        <w:t>cu</w:t>
      </w:r>
      <w:r>
        <w:rPr>
          <w:i w:val="0"/>
          <w:color w:val="auto"/>
          <w:spacing w:val="-3"/>
          <w:szCs w:val="22"/>
        </w:rPr>
        <w:t xml:space="preserve"> c</w:t>
      </w:r>
      <w:r>
        <w:rPr>
          <w:i w:val="0"/>
          <w:color w:val="auto"/>
          <w:szCs w:val="22"/>
        </w:rPr>
        <w:t>o</w:t>
      </w:r>
      <w:r>
        <w:rPr>
          <w:i w:val="0"/>
          <w:color w:val="auto"/>
          <w:spacing w:val="1"/>
          <w:szCs w:val="22"/>
        </w:rPr>
        <w:t>l</w:t>
      </w:r>
      <w:r>
        <w:rPr>
          <w:i w:val="0"/>
          <w:color w:val="auto"/>
          <w:spacing w:val="-2"/>
          <w:szCs w:val="22"/>
        </w:rPr>
        <w:t>i</w:t>
      </w:r>
      <w:r>
        <w:rPr>
          <w:i w:val="0"/>
          <w:color w:val="auto"/>
          <w:spacing w:val="1"/>
          <w:szCs w:val="22"/>
        </w:rPr>
        <w:t>t</w:t>
      </w:r>
      <w:r>
        <w:rPr>
          <w:i w:val="0"/>
          <w:color w:val="auto"/>
          <w:szCs w:val="22"/>
        </w:rPr>
        <w:t xml:space="preserve">ă </w:t>
      </w:r>
      <w:r>
        <w:rPr>
          <w:i w:val="0"/>
          <w:color w:val="auto"/>
          <w:spacing w:val="-3"/>
          <w:szCs w:val="22"/>
        </w:rPr>
        <w:t>u</w:t>
      </w:r>
      <w:r>
        <w:rPr>
          <w:i w:val="0"/>
          <w:color w:val="auto"/>
          <w:spacing w:val="1"/>
          <w:szCs w:val="22"/>
        </w:rPr>
        <w:t>l</w:t>
      </w:r>
      <w:r>
        <w:rPr>
          <w:i w:val="0"/>
          <w:color w:val="auto"/>
          <w:szCs w:val="22"/>
        </w:rPr>
        <w:t>c</w:t>
      </w:r>
      <w:r>
        <w:rPr>
          <w:i w:val="0"/>
          <w:color w:val="auto"/>
          <w:spacing w:val="-3"/>
          <w:szCs w:val="22"/>
        </w:rPr>
        <w:t>e</w:t>
      </w:r>
      <w:r>
        <w:rPr>
          <w:i w:val="0"/>
          <w:color w:val="auto"/>
          <w:szCs w:val="22"/>
        </w:rPr>
        <w:t>r</w:t>
      </w:r>
      <w:r>
        <w:rPr>
          <w:i w:val="0"/>
          <w:color w:val="auto"/>
          <w:spacing w:val="-3"/>
          <w:szCs w:val="22"/>
        </w:rPr>
        <w:t>a</w:t>
      </w:r>
      <w:r>
        <w:rPr>
          <w:i w:val="0"/>
          <w:color w:val="auto"/>
          <w:spacing w:val="1"/>
          <w:szCs w:val="22"/>
        </w:rPr>
        <w:t>ti</w:t>
      </w:r>
      <w:r>
        <w:rPr>
          <w:i w:val="0"/>
          <w:color w:val="auto"/>
          <w:spacing w:val="-3"/>
          <w:szCs w:val="22"/>
        </w:rPr>
        <w:t>v</w:t>
      </w:r>
      <w:r>
        <w:rPr>
          <w:i w:val="0"/>
          <w:color w:val="auto"/>
          <w:szCs w:val="22"/>
        </w:rPr>
        <w:t>ă c</w:t>
      </w:r>
      <w:r>
        <w:rPr>
          <w:i w:val="0"/>
          <w:color w:val="auto"/>
          <w:spacing w:val="-3"/>
          <w:szCs w:val="22"/>
        </w:rPr>
        <w:t>a</w:t>
      </w:r>
      <w:r>
        <w:rPr>
          <w:i w:val="0"/>
          <w:color w:val="auto"/>
          <w:szCs w:val="22"/>
        </w:rPr>
        <w:t>re</w:t>
      </w:r>
      <w:r>
        <w:rPr>
          <w:i w:val="0"/>
          <w:color w:val="auto"/>
          <w:spacing w:val="-2"/>
          <w:szCs w:val="22"/>
        </w:rPr>
        <w:t xml:space="preserve"> </w:t>
      </w:r>
      <w:r>
        <w:rPr>
          <w:i w:val="0"/>
          <w:color w:val="auto"/>
          <w:szCs w:val="22"/>
        </w:rPr>
        <w:t>au un</w:t>
      </w:r>
      <w:r>
        <w:rPr>
          <w:i w:val="0"/>
          <w:color w:val="auto"/>
          <w:spacing w:val="-3"/>
          <w:szCs w:val="22"/>
        </w:rPr>
        <w:t xml:space="preserve"> </w:t>
      </w:r>
      <w:r>
        <w:rPr>
          <w:i w:val="0"/>
          <w:color w:val="auto"/>
          <w:spacing w:val="-2"/>
          <w:szCs w:val="22"/>
        </w:rPr>
        <w:t>r</w:t>
      </w:r>
      <w:r>
        <w:rPr>
          <w:i w:val="0"/>
          <w:color w:val="auto"/>
          <w:spacing w:val="1"/>
          <w:szCs w:val="22"/>
        </w:rPr>
        <w:t>i</w:t>
      </w:r>
      <w:r>
        <w:rPr>
          <w:i w:val="0"/>
          <w:color w:val="auto"/>
          <w:szCs w:val="22"/>
        </w:rPr>
        <w:t>sc</w:t>
      </w:r>
      <w:r>
        <w:rPr>
          <w:i w:val="0"/>
          <w:color w:val="auto"/>
          <w:spacing w:val="-2"/>
          <w:szCs w:val="22"/>
        </w:rPr>
        <w:t xml:space="preserve"> </w:t>
      </w:r>
      <w:r>
        <w:rPr>
          <w:i w:val="0"/>
          <w:color w:val="auto"/>
          <w:szCs w:val="22"/>
        </w:rPr>
        <w:t>cr</w:t>
      </w:r>
      <w:r>
        <w:rPr>
          <w:i w:val="0"/>
          <w:color w:val="auto"/>
          <w:spacing w:val="-3"/>
          <w:szCs w:val="22"/>
        </w:rPr>
        <w:t>e</w:t>
      </w:r>
      <w:r>
        <w:rPr>
          <w:i w:val="0"/>
          <w:color w:val="auto"/>
          <w:szCs w:val="22"/>
        </w:rPr>
        <w:t>sc</w:t>
      </w:r>
      <w:r>
        <w:rPr>
          <w:i w:val="0"/>
          <w:color w:val="auto"/>
          <w:spacing w:val="-3"/>
          <w:szCs w:val="22"/>
        </w:rPr>
        <w:t>u</w:t>
      </w:r>
      <w:r>
        <w:rPr>
          <w:i w:val="0"/>
          <w:color w:val="auto"/>
          <w:szCs w:val="22"/>
        </w:rPr>
        <w:t>t</w:t>
      </w:r>
      <w:r>
        <w:rPr>
          <w:i w:val="0"/>
          <w:color w:val="auto"/>
          <w:spacing w:val="1"/>
          <w:szCs w:val="22"/>
        </w:rPr>
        <w:t xml:space="preserve"> </w:t>
      </w:r>
      <w:r>
        <w:rPr>
          <w:i w:val="0"/>
          <w:color w:val="auto"/>
          <w:szCs w:val="22"/>
        </w:rPr>
        <w:t>pe</w:t>
      </w:r>
      <w:r>
        <w:rPr>
          <w:i w:val="0"/>
          <w:color w:val="auto"/>
          <w:spacing w:val="-3"/>
          <w:szCs w:val="22"/>
        </w:rPr>
        <w:t>n</w:t>
      </w:r>
      <w:r>
        <w:rPr>
          <w:i w:val="0"/>
          <w:color w:val="auto"/>
          <w:spacing w:val="1"/>
          <w:szCs w:val="22"/>
        </w:rPr>
        <w:t>t</w:t>
      </w:r>
      <w:r>
        <w:rPr>
          <w:i w:val="0"/>
          <w:color w:val="auto"/>
          <w:spacing w:val="-2"/>
          <w:szCs w:val="22"/>
        </w:rPr>
        <w:t>r</w:t>
      </w:r>
      <w:r>
        <w:rPr>
          <w:i w:val="0"/>
          <w:color w:val="auto"/>
          <w:szCs w:val="22"/>
        </w:rPr>
        <w:t>u d</w:t>
      </w:r>
      <w:r>
        <w:rPr>
          <w:i w:val="0"/>
          <w:color w:val="auto"/>
          <w:spacing w:val="1"/>
          <w:szCs w:val="22"/>
        </w:rPr>
        <w:t>i</w:t>
      </w:r>
      <w:r>
        <w:rPr>
          <w:i w:val="0"/>
          <w:color w:val="auto"/>
          <w:szCs w:val="22"/>
        </w:rPr>
        <w:t>s</w:t>
      </w:r>
      <w:r>
        <w:rPr>
          <w:i w:val="0"/>
          <w:color w:val="auto"/>
          <w:spacing w:val="-3"/>
          <w:szCs w:val="22"/>
        </w:rPr>
        <w:t>p</w:t>
      </w:r>
      <w:r>
        <w:rPr>
          <w:i w:val="0"/>
          <w:color w:val="auto"/>
          <w:spacing w:val="1"/>
          <w:szCs w:val="22"/>
        </w:rPr>
        <w:t>l</w:t>
      </w:r>
      <w:r>
        <w:rPr>
          <w:i w:val="0"/>
          <w:color w:val="auto"/>
          <w:szCs w:val="22"/>
        </w:rPr>
        <w:t>a</w:t>
      </w:r>
      <w:r>
        <w:rPr>
          <w:i w:val="0"/>
          <w:color w:val="auto"/>
          <w:spacing w:val="-3"/>
          <w:szCs w:val="22"/>
        </w:rPr>
        <w:t>z</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 xml:space="preserve">sau </w:t>
      </w:r>
      <w:r>
        <w:rPr>
          <w:i w:val="0"/>
          <w:color w:val="auto"/>
          <w:spacing w:val="-3"/>
          <w:szCs w:val="22"/>
        </w:rPr>
        <w:t>c</w:t>
      </w:r>
      <w:r>
        <w:rPr>
          <w:i w:val="0"/>
          <w:color w:val="auto"/>
          <w:szCs w:val="22"/>
        </w:rPr>
        <w:t>a</w:t>
      </w:r>
      <w:r>
        <w:rPr>
          <w:i w:val="0"/>
          <w:color w:val="auto"/>
          <w:spacing w:val="-2"/>
          <w:szCs w:val="22"/>
        </w:rPr>
        <w:t>r</w:t>
      </w:r>
      <w:r>
        <w:rPr>
          <w:i w:val="0"/>
          <w:color w:val="auto"/>
          <w:szCs w:val="22"/>
        </w:rPr>
        <w:t>c</w:t>
      </w:r>
      <w:r>
        <w:rPr>
          <w:i w:val="0"/>
          <w:color w:val="auto"/>
          <w:spacing w:val="1"/>
          <w:szCs w:val="22"/>
        </w:rPr>
        <w:t>i</w:t>
      </w:r>
      <w:r>
        <w:rPr>
          <w:i w:val="0"/>
          <w:color w:val="auto"/>
          <w:szCs w:val="22"/>
        </w:rPr>
        <w:t>nom</w:t>
      </w:r>
      <w:r>
        <w:rPr>
          <w:i w:val="0"/>
          <w:color w:val="auto"/>
          <w:spacing w:val="-4"/>
          <w:szCs w:val="22"/>
        </w:rPr>
        <w:t xml:space="preserve"> </w:t>
      </w:r>
      <w:r>
        <w:rPr>
          <w:i w:val="0"/>
          <w:color w:val="auto"/>
          <w:szCs w:val="22"/>
        </w:rPr>
        <w:t xml:space="preserve">de </w:t>
      </w:r>
      <w:r>
        <w:rPr>
          <w:i w:val="0"/>
          <w:color w:val="auto"/>
          <w:spacing w:val="-3"/>
          <w:szCs w:val="22"/>
        </w:rPr>
        <w:t>c</w:t>
      </w:r>
      <w:r>
        <w:rPr>
          <w:i w:val="0"/>
          <w:color w:val="auto"/>
          <w:szCs w:val="22"/>
        </w:rPr>
        <w:t>o</w:t>
      </w:r>
      <w:r>
        <w:rPr>
          <w:i w:val="0"/>
          <w:color w:val="auto"/>
          <w:spacing w:val="1"/>
          <w:szCs w:val="22"/>
        </w:rPr>
        <w:t>l</w:t>
      </w:r>
      <w:r>
        <w:rPr>
          <w:i w:val="0"/>
          <w:color w:val="auto"/>
          <w:szCs w:val="22"/>
        </w:rPr>
        <w:t>on</w:t>
      </w:r>
      <w:r>
        <w:rPr>
          <w:i w:val="0"/>
          <w:color w:val="auto"/>
          <w:spacing w:val="-3"/>
          <w:szCs w:val="22"/>
        </w:rPr>
        <w:t xml:space="preserve"> </w:t>
      </w:r>
      <w:r>
        <w:rPr>
          <w:i w:val="0"/>
          <w:color w:val="auto"/>
          <w:szCs w:val="22"/>
        </w:rPr>
        <w:t xml:space="preserve">(de </w:t>
      </w:r>
      <w:r>
        <w:rPr>
          <w:i w:val="0"/>
          <w:color w:val="auto"/>
          <w:spacing w:val="-3"/>
          <w:szCs w:val="22"/>
        </w:rPr>
        <w:t>e</w:t>
      </w:r>
      <w:r>
        <w:rPr>
          <w:i w:val="0"/>
          <w:color w:val="auto"/>
          <w:szCs w:val="22"/>
        </w:rPr>
        <w:t>xe</w:t>
      </w:r>
      <w:r>
        <w:rPr>
          <w:i w:val="0"/>
          <w:color w:val="auto"/>
          <w:spacing w:val="-4"/>
          <w:szCs w:val="22"/>
        </w:rPr>
        <w:t>m</w:t>
      </w:r>
      <w:r>
        <w:rPr>
          <w:i w:val="0"/>
          <w:color w:val="auto"/>
          <w:szCs w:val="22"/>
        </w:rPr>
        <w:t>p</w:t>
      </w:r>
      <w:r>
        <w:rPr>
          <w:i w:val="0"/>
          <w:color w:val="auto"/>
          <w:spacing w:val="1"/>
          <w:szCs w:val="22"/>
        </w:rPr>
        <w:t>l</w:t>
      </w:r>
      <w:r>
        <w:rPr>
          <w:i w:val="0"/>
          <w:color w:val="auto"/>
          <w:szCs w:val="22"/>
        </w:rPr>
        <w:t>u, pa</w:t>
      </w:r>
      <w:r>
        <w:rPr>
          <w:i w:val="0"/>
          <w:color w:val="auto"/>
          <w:spacing w:val="-3"/>
          <w:szCs w:val="22"/>
        </w:rPr>
        <w:t>c</w:t>
      </w:r>
      <w:r>
        <w:rPr>
          <w:i w:val="0"/>
          <w:color w:val="auto"/>
          <w:spacing w:val="1"/>
          <w:szCs w:val="22"/>
        </w:rPr>
        <w:t>i</w:t>
      </w:r>
      <w:r>
        <w:rPr>
          <w:i w:val="0"/>
          <w:color w:val="auto"/>
          <w:szCs w:val="22"/>
        </w:rPr>
        <w:t>e</w:t>
      </w:r>
      <w:r>
        <w:rPr>
          <w:i w:val="0"/>
          <w:color w:val="auto"/>
          <w:spacing w:val="-3"/>
          <w:szCs w:val="22"/>
        </w:rPr>
        <w:t>n</w:t>
      </w:r>
      <w:r>
        <w:rPr>
          <w:i w:val="0"/>
          <w:color w:val="auto"/>
          <w:spacing w:val="1"/>
          <w:szCs w:val="22"/>
        </w:rPr>
        <w:t>ţ</w:t>
      </w:r>
      <w:r>
        <w:rPr>
          <w:i w:val="0"/>
          <w:color w:val="auto"/>
          <w:szCs w:val="22"/>
        </w:rPr>
        <w:t>i</w:t>
      </w:r>
      <w:r>
        <w:rPr>
          <w:i w:val="0"/>
          <w:color w:val="auto"/>
          <w:spacing w:val="-4"/>
          <w:szCs w:val="22"/>
        </w:rPr>
        <w:t xml:space="preserve"> </w:t>
      </w:r>
      <w:r>
        <w:rPr>
          <w:i w:val="0"/>
          <w:color w:val="auto"/>
          <w:szCs w:val="22"/>
        </w:rPr>
        <w:t>cu c</w:t>
      </w:r>
      <w:r>
        <w:rPr>
          <w:i w:val="0"/>
          <w:color w:val="auto"/>
          <w:spacing w:val="-3"/>
          <w:szCs w:val="22"/>
        </w:rPr>
        <w:t>o</w:t>
      </w:r>
      <w:r>
        <w:rPr>
          <w:i w:val="0"/>
          <w:color w:val="auto"/>
          <w:spacing w:val="1"/>
          <w:szCs w:val="22"/>
        </w:rPr>
        <w:t>l</w:t>
      </w:r>
      <w:r>
        <w:rPr>
          <w:i w:val="0"/>
          <w:color w:val="auto"/>
          <w:spacing w:val="-2"/>
          <w:szCs w:val="22"/>
        </w:rPr>
        <w:t>i</w:t>
      </w:r>
      <w:r>
        <w:rPr>
          <w:i w:val="0"/>
          <w:color w:val="auto"/>
          <w:spacing w:val="1"/>
          <w:szCs w:val="22"/>
        </w:rPr>
        <w:t>t</w:t>
      </w:r>
      <w:r>
        <w:rPr>
          <w:i w:val="0"/>
          <w:color w:val="auto"/>
          <w:szCs w:val="22"/>
        </w:rPr>
        <w:t xml:space="preserve">ă </w:t>
      </w:r>
      <w:r>
        <w:rPr>
          <w:i w:val="0"/>
          <w:color w:val="auto"/>
          <w:spacing w:val="-3"/>
          <w:szCs w:val="22"/>
        </w:rPr>
        <w:t>u</w:t>
      </w:r>
      <w:r>
        <w:rPr>
          <w:i w:val="0"/>
          <w:color w:val="auto"/>
          <w:spacing w:val="1"/>
          <w:szCs w:val="22"/>
        </w:rPr>
        <w:t>l</w:t>
      </w:r>
      <w:r>
        <w:rPr>
          <w:i w:val="0"/>
          <w:color w:val="auto"/>
          <w:szCs w:val="22"/>
        </w:rPr>
        <w:t>c</w:t>
      </w:r>
      <w:r>
        <w:rPr>
          <w:i w:val="0"/>
          <w:color w:val="auto"/>
          <w:spacing w:val="-3"/>
          <w:szCs w:val="22"/>
        </w:rPr>
        <w:t>e</w:t>
      </w:r>
      <w:r>
        <w:rPr>
          <w:i w:val="0"/>
          <w:color w:val="auto"/>
          <w:szCs w:val="22"/>
        </w:rPr>
        <w:t>r</w:t>
      </w:r>
      <w:r>
        <w:rPr>
          <w:i w:val="0"/>
          <w:color w:val="auto"/>
          <w:spacing w:val="-3"/>
          <w:szCs w:val="22"/>
        </w:rPr>
        <w:t>a</w:t>
      </w:r>
      <w:r>
        <w:rPr>
          <w:i w:val="0"/>
          <w:color w:val="auto"/>
          <w:spacing w:val="1"/>
          <w:szCs w:val="22"/>
        </w:rPr>
        <w:t>ti</w:t>
      </w:r>
      <w:r>
        <w:rPr>
          <w:i w:val="0"/>
          <w:color w:val="auto"/>
          <w:spacing w:val="-3"/>
          <w:szCs w:val="22"/>
        </w:rPr>
        <w:t>v</w:t>
      </w:r>
      <w:r>
        <w:rPr>
          <w:i w:val="0"/>
          <w:color w:val="auto"/>
          <w:szCs w:val="22"/>
        </w:rPr>
        <w:t>ă p</w:t>
      </w:r>
      <w:r>
        <w:rPr>
          <w:i w:val="0"/>
          <w:color w:val="auto"/>
          <w:spacing w:val="-2"/>
          <w:szCs w:val="22"/>
        </w:rPr>
        <w:t>r</w:t>
      </w:r>
      <w:r>
        <w:rPr>
          <w:i w:val="0"/>
          <w:color w:val="auto"/>
          <w:szCs w:val="22"/>
        </w:rPr>
        <w:t>e</w:t>
      </w:r>
      <w:r>
        <w:rPr>
          <w:i w:val="0"/>
          <w:color w:val="auto"/>
          <w:spacing w:val="-3"/>
          <w:szCs w:val="22"/>
        </w:rPr>
        <w:t>z</w:t>
      </w:r>
      <w:r>
        <w:rPr>
          <w:i w:val="0"/>
          <w:color w:val="auto"/>
          <w:szCs w:val="22"/>
        </w:rPr>
        <w:t>en</w:t>
      </w:r>
      <w:r>
        <w:rPr>
          <w:i w:val="0"/>
          <w:color w:val="auto"/>
          <w:spacing w:val="-2"/>
          <w:szCs w:val="22"/>
        </w:rPr>
        <w:t>t</w:t>
      </w:r>
      <w:r>
        <w:rPr>
          <w:i w:val="0"/>
          <w:color w:val="auto"/>
          <w:szCs w:val="22"/>
        </w:rPr>
        <w:t>ă de un</w:t>
      </w:r>
      <w:r>
        <w:rPr>
          <w:i w:val="0"/>
          <w:color w:val="auto"/>
          <w:spacing w:val="-3"/>
          <w:szCs w:val="22"/>
        </w:rPr>
        <w:t xml:space="preserve"> </w:t>
      </w:r>
      <w:r>
        <w:rPr>
          <w:i w:val="0"/>
          <w:color w:val="auto"/>
          <w:spacing w:val="1"/>
          <w:szCs w:val="22"/>
        </w:rPr>
        <w:t>ti</w:t>
      </w:r>
      <w:r>
        <w:rPr>
          <w:i w:val="0"/>
          <w:color w:val="auto"/>
          <w:spacing w:val="-4"/>
          <w:szCs w:val="22"/>
        </w:rPr>
        <w:t>m</w:t>
      </w:r>
      <w:r>
        <w:rPr>
          <w:i w:val="0"/>
          <w:color w:val="auto"/>
          <w:szCs w:val="22"/>
        </w:rPr>
        <w:t xml:space="preserve">p </w:t>
      </w:r>
      <w:r>
        <w:rPr>
          <w:i w:val="0"/>
          <w:color w:val="auto"/>
          <w:spacing w:val="1"/>
          <w:szCs w:val="22"/>
        </w:rPr>
        <w:t>î</w:t>
      </w:r>
      <w:r>
        <w:rPr>
          <w:i w:val="0"/>
          <w:color w:val="auto"/>
          <w:szCs w:val="22"/>
        </w:rPr>
        <w:t>nd</w:t>
      </w:r>
      <w:r>
        <w:rPr>
          <w:i w:val="0"/>
          <w:color w:val="auto"/>
          <w:spacing w:val="-3"/>
          <w:szCs w:val="22"/>
        </w:rPr>
        <w:t>e</w:t>
      </w:r>
      <w:r>
        <w:rPr>
          <w:i w:val="0"/>
          <w:color w:val="auto"/>
          <w:spacing w:val="1"/>
          <w:szCs w:val="22"/>
        </w:rPr>
        <w:t>l</w:t>
      </w:r>
      <w:r>
        <w:rPr>
          <w:i w:val="0"/>
          <w:color w:val="auto"/>
          <w:szCs w:val="22"/>
        </w:rPr>
        <w:t>un</w:t>
      </w:r>
      <w:r>
        <w:rPr>
          <w:i w:val="0"/>
          <w:color w:val="auto"/>
          <w:spacing w:val="-3"/>
          <w:szCs w:val="22"/>
        </w:rPr>
        <w:t>g</w:t>
      </w:r>
      <w:r>
        <w:rPr>
          <w:i w:val="0"/>
          <w:color w:val="auto"/>
          <w:szCs w:val="22"/>
        </w:rPr>
        <w:t>at</w:t>
      </w:r>
      <w:r>
        <w:rPr>
          <w:i w:val="0"/>
          <w:color w:val="auto"/>
          <w:spacing w:val="1"/>
          <w:szCs w:val="22"/>
        </w:rPr>
        <w:t xml:space="preserve"> </w:t>
      </w:r>
      <w:r>
        <w:rPr>
          <w:i w:val="0"/>
          <w:color w:val="auto"/>
          <w:spacing w:val="-2"/>
          <w:szCs w:val="22"/>
        </w:rPr>
        <w:t>s</w:t>
      </w:r>
      <w:r>
        <w:rPr>
          <w:i w:val="0"/>
          <w:color w:val="auto"/>
          <w:szCs w:val="22"/>
        </w:rPr>
        <w:t>au c</w:t>
      </w:r>
      <w:r>
        <w:rPr>
          <w:i w:val="0"/>
          <w:color w:val="auto"/>
          <w:spacing w:val="-3"/>
          <w:szCs w:val="22"/>
        </w:rPr>
        <w:t>o</w:t>
      </w:r>
      <w:r>
        <w:rPr>
          <w:i w:val="0"/>
          <w:color w:val="auto"/>
          <w:spacing w:val="1"/>
          <w:szCs w:val="22"/>
        </w:rPr>
        <w:t>l</w:t>
      </w:r>
      <w:r>
        <w:rPr>
          <w:i w:val="0"/>
          <w:color w:val="auto"/>
          <w:szCs w:val="22"/>
        </w:rPr>
        <w:t>an</w:t>
      </w:r>
      <w:r>
        <w:rPr>
          <w:i w:val="0"/>
          <w:color w:val="auto"/>
          <w:spacing w:val="-3"/>
          <w:szCs w:val="22"/>
        </w:rPr>
        <w:t>g</w:t>
      </w:r>
      <w:r>
        <w:rPr>
          <w:i w:val="0"/>
          <w:color w:val="auto"/>
          <w:spacing w:val="-2"/>
          <w:szCs w:val="22"/>
        </w:rPr>
        <w:t>i</w:t>
      </w:r>
      <w:r>
        <w:rPr>
          <w:i w:val="0"/>
          <w:color w:val="auto"/>
          <w:spacing w:val="1"/>
          <w:szCs w:val="22"/>
        </w:rPr>
        <w:t>t</w:t>
      </w:r>
      <w:r>
        <w:rPr>
          <w:i w:val="0"/>
          <w:color w:val="auto"/>
          <w:szCs w:val="22"/>
        </w:rPr>
        <w:t xml:space="preserve">ă </w:t>
      </w:r>
      <w:r>
        <w:rPr>
          <w:i w:val="0"/>
          <w:color w:val="auto"/>
          <w:spacing w:val="-2"/>
          <w:szCs w:val="22"/>
        </w:rPr>
        <w:t>s</w:t>
      </w:r>
      <w:r>
        <w:rPr>
          <w:i w:val="0"/>
          <w:color w:val="auto"/>
          <w:szCs w:val="22"/>
        </w:rPr>
        <w:t>c</w:t>
      </w:r>
      <w:r>
        <w:rPr>
          <w:i w:val="0"/>
          <w:color w:val="auto"/>
          <w:spacing w:val="-2"/>
          <w:szCs w:val="22"/>
        </w:rPr>
        <w:t>l</w:t>
      </w:r>
      <w:r>
        <w:rPr>
          <w:i w:val="0"/>
          <w:color w:val="auto"/>
          <w:szCs w:val="22"/>
        </w:rPr>
        <w:t>ero</w:t>
      </w:r>
      <w:r>
        <w:rPr>
          <w:i w:val="0"/>
          <w:color w:val="auto"/>
          <w:spacing w:val="-3"/>
          <w:szCs w:val="22"/>
        </w:rPr>
        <w:t>z</w:t>
      </w:r>
      <w:r>
        <w:rPr>
          <w:i w:val="0"/>
          <w:color w:val="auto"/>
          <w:szCs w:val="22"/>
        </w:rPr>
        <w:t>an</w:t>
      </w:r>
      <w:r>
        <w:rPr>
          <w:i w:val="0"/>
          <w:color w:val="auto"/>
          <w:spacing w:val="-2"/>
          <w:szCs w:val="22"/>
        </w:rPr>
        <w:t>t</w:t>
      </w:r>
      <w:r>
        <w:rPr>
          <w:i w:val="0"/>
          <w:color w:val="auto"/>
          <w:szCs w:val="22"/>
        </w:rPr>
        <w:t>ă p</w:t>
      </w:r>
      <w:r>
        <w:rPr>
          <w:i w:val="0"/>
          <w:color w:val="auto"/>
          <w:spacing w:val="-2"/>
          <w:szCs w:val="22"/>
        </w:rPr>
        <w:t>r</w:t>
      </w:r>
      <w:r>
        <w:rPr>
          <w:i w:val="0"/>
          <w:color w:val="auto"/>
          <w:spacing w:val="1"/>
          <w:szCs w:val="22"/>
        </w:rPr>
        <w:t>i</w:t>
      </w:r>
      <w:r>
        <w:rPr>
          <w:i w:val="0"/>
          <w:color w:val="auto"/>
          <w:spacing w:val="-4"/>
          <w:szCs w:val="22"/>
        </w:rPr>
        <w:t>m</w:t>
      </w:r>
      <w:r>
        <w:rPr>
          <w:i w:val="0"/>
          <w:color w:val="auto"/>
          <w:szCs w:val="22"/>
        </w:rPr>
        <w:t>ară),</w:t>
      </w:r>
      <w:r>
        <w:rPr>
          <w:i w:val="0"/>
          <w:color w:val="auto"/>
          <w:spacing w:val="-3"/>
          <w:szCs w:val="22"/>
        </w:rPr>
        <w:t xml:space="preserve"> </w:t>
      </w:r>
      <w:r>
        <w:rPr>
          <w:i w:val="0"/>
          <w:color w:val="auto"/>
          <w:szCs w:val="22"/>
        </w:rPr>
        <w:t xml:space="preserve">sau </w:t>
      </w:r>
      <w:r>
        <w:rPr>
          <w:i w:val="0"/>
          <w:color w:val="auto"/>
          <w:spacing w:val="-3"/>
          <w:szCs w:val="22"/>
        </w:rPr>
        <w:t>c</w:t>
      </w:r>
      <w:r>
        <w:rPr>
          <w:i w:val="0"/>
          <w:color w:val="auto"/>
          <w:szCs w:val="22"/>
        </w:rPr>
        <w:t>a</w:t>
      </w:r>
      <w:r>
        <w:rPr>
          <w:i w:val="0"/>
          <w:color w:val="auto"/>
          <w:spacing w:val="-2"/>
          <w:szCs w:val="22"/>
        </w:rPr>
        <w:t>r</w:t>
      </w:r>
      <w:r>
        <w:rPr>
          <w:i w:val="0"/>
          <w:color w:val="auto"/>
          <w:szCs w:val="22"/>
        </w:rPr>
        <w:t>e</w:t>
      </w:r>
      <w:r>
        <w:rPr>
          <w:i w:val="0"/>
          <w:color w:val="auto"/>
          <w:spacing w:val="-2"/>
          <w:szCs w:val="22"/>
        </w:rPr>
        <w:t xml:space="preserve"> </w:t>
      </w:r>
      <w:r>
        <w:rPr>
          <w:i w:val="0"/>
          <w:color w:val="auto"/>
          <w:szCs w:val="22"/>
        </w:rPr>
        <w:t>au a</w:t>
      </w:r>
      <w:r>
        <w:rPr>
          <w:i w:val="0"/>
          <w:color w:val="auto"/>
          <w:spacing w:val="-3"/>
          <w:szCs w:val="22"/>
        </w:rPr>
        <w:t>v</w:t>
      </w:r>
      <w:r>
        <w:rPr>
          <w:i w:val="0"/>
          <w:color w:val="auto"/>
          <w:szCs w:val="22"/>
        </w:rPr>
        <w:t>ut</w:t>
      </w:r>
      <w:r>
        <w:rPr>
          <w:i w:val="0"/>
          <w:color w:val="auto"/>
          <w:spacing w:val="1"/>
          <w:szCs w:val="22"/>
        </w:rPr>
        <w:t xml:space="preserve"> </w:t>
      </w:r>
      <w:r>
        <w:rPr>
          <w:i w:val="0"/>
          <w:color w:val="auto"/>
          <w:szCs w:val="22"/>
        </w:rPr>
        <w:t>a</w:t>
      </w:r>
      <w:r>
        <w:rPr>
          <w:i w:val="0"/>
          <w:color w:val="auto"/>
          <w:spacing w:val="-3"/>
          <w:szCs w:val="22"/>
        </w:rPr>
        <w:t>n</w:t>
      </w:r>
      <w:r>
        <w:rPr>
          <w:i w:val="0"/>
          <w:color w:val="auto"/>
          <w:spacing w:val="1"/>
          <w:szCs w:val="22"/>
        </w:rPr>
        <w:t>t</w:t>
      </w:r>
      <w:r>
        <w:rPr>
          <w:i w:val="0"/>
          <w:color w:val="auto"/>
          <w:spacing w:val="-3"/>
          <w:szCs w:val="22"/>
        </w:rPr>
        <w:t>e</w:t>
      </w:r>
      <w:r>
        <w:rPr>
          <w:i w:val="0"/>
          <w:color w:val="auto"/>
          <w:szCs w:val="22"/>
        </w:rPr>
        <w:t>r</w:t>
      </w:r>
      <w:r>
        <w:rPr>
          <w:i w:val="0"/>
          <w:color w:val="auto"/>
          <w:spacing w:val="1"/>
          <w:szCs w:val="22"/>
        </w:rPr>
        <w:t>i</w:t>
      </w:r>
      <w:r>
        <w:rPr>
          <w:i w:val="0"/>
          <w:color w:val="auto"/>
          <w:spacing w:val="-3"/>
          <w:szCs w:val="22"/>
        </w:rPr>
        <w:t>o</w:t>
      </w:r>
      <w:r>
        <w:rPr>
          <w:i w:val="0"/>
          <w:color w:val="auto"/>
          <w:szCs w:val="22"/>
        </w:rPr>
        <w:t>r</w:t>
      </w:r>
      <w:r>
        <w:rPr>
          <w:i w:val="0"/>
          <w:color w:val="auto"/>
          <w:spacing w:val="1"/>
          <w:szCs w:val="22"/>
        </w:rPr>
        <w:t xml:space="preserve"> </w:t>
      </w:r>
      <w:r>
        <w:rPr>
          <w:rFonts w:eastAsia="MS Mincho"/>
          <w:i w:val="0"/>
          <w:color w:val="auto"/>
          <w:szCs w:val="22"/>
          <w:lang w:eastAsia="en-US" w:bidi="ar-SA"/>
        </w:rPr>
        <w:t>antecedente</w:t>
      </w:r>
      <w:r>
        <w:rPr>
          <w:i w:val="0"/>
          <w:color w:val="auto"/>
          <w:szCs w:val="22"/>
        </w:rPr>
        <w:t xml:space="preserve"> </w:t>
      </w:r>
      <w:r>
        <w:rPr>
          <w:i w:val="0"/>
          <w:color w:val="auto"/>
          <w:spacing w:val="-3"/>
          <w:szCs w:val="22"/>
        </w:rPr>
        <w:t>d</w:t>
      </w:r>
      <w:r>
        <w:rPr>
          <w:i w:val="0"/>
          <w:color w:val="auto"/>
          <w:szCs w:val="22"/>
        </w:rPr>
        <w:t>e d</w:t>
      </w:r>
      <w:r>
        <w:rPr>
          <w:i w:val="0"/>
          <w:color w:val="auto"/>
          <w:spacing w:val="1"/>
          <w:szCs w:val="22"/>
        </w:rPr>
        <w:t>i</w:t>
      </w:r>
      <w:r>
        <w:rPr>
          <w:i w:val="0"/>
          <w:color w:val="auto"/>
          <w:spacing w:val="-2"/>
          <w:szCs w:val="22"/>
        </w:rPr>
        <w:t>s</w:t>
      </w:r>
      <w:r>
        <w:rPr>
          <w:i w:val="0"/>
          <w:color w:val="auto"/>
          <w:szCs w:val="22"/>
        </w:rPr>
        <w:t>p</w:t>
      </w:r>
      <w:r>
        <w:rPr>
          <w:i w:val="0"/>
          <w:color w:val="auto"/>
          <w:spacing w:val="1"/>
          <w:szCs w:val="22"/>
        </w:rPr>
        <w:t>l</w:t>
      </w:r>
      <w:r>
        <w:rPr>
          <w:i w:val="0"/>
          <w:color w:val="auto"/>
          <w:szCs w:val="22"/>
        </w:rPr>
        <w:t>a</w:t>
      </w:r>
      <w:r>
        <w:rPr>
          <w:i w:val="0"/>
          <w:color w:val="auto"/>
          <w:spacing w:val="-3"/>
          <w:szCs w:val="22"/>
        </w:rPr>
        <w:t>z</w:t>
      </w:r>
      <w:r>
        <w:rPr>
          <w:i w:val="0"/>
          <w:color w:val="auto"/>
          <w:spacing w:val="-2"/>
          <w:szCs w:val="22"/>
        </w:rPr>
        <w:t>i</w:t>
      </w:r>
      <w:r>
        <w:rPr>
          <w:i w:val="0"/>
          <w:color w:val="auto"/>
          <w:szCs w:val="22"/>
        </w:rPr>
        <w:t>e sau car</w:t>
      </w:r>
      <w:r>
        <w:rPr>
          <w:i w:val="0"/>
          <w:color w:val="auto"/>
          <w:spacing w:val="-3"/>
          <w:szCs w:val="22"/>
        </w:rPr>
        <w:t>c</w:t>
      </w:r>
      <w:r>
        <w:rPr>
          <w:i w:val="0"/>
          <w:color w:val="auto"/>
          <w:spacing w:val="1"/>
          <w:szCs w:val="22"/>
        </w:rPr>
        <w:t>i</w:t>
      </w:r>
      <w:r>
        <w:rPr>
          <w:i w:val="0"/>
          <w:color w:val="auto"/>
          <w:szCs w:val="22"/>
        </w:rPr>
        <w:t>nom</w:t>
      </w:r>
      <w:r>
        <w:rPr>
          <w:i w:val="0"/>
          <w:color w:val="auto"/>
          <w:spacing w:val="-4"/>
          <w:szCs w:val="22"/>
        </w:rPr>
        <w:t xml:space="preserve"> </w:t>
      </w:r>
      <w:r>
        <w:rPr>
          <w:i w:val="0"/>
          <w:color w:val="auto"/>
          <w:szCs w:val="22"/>
        </w:rPr>
        <w:t>de c</w:t>
      </w:r>
      <w:r>
        <w:rPr>
          <w:i w:val="0"/>
          <w:color w:val="auto"/>
          <w:spacing w:val="-3"/>
          <w:szCs w:val="22"/>
        </w:rPr>
        <w:t>o</w:t>
      </w:r>
      <w:r>
        <w:rPr>
          <w:i w:val="0"/>
          <w:color w:val="auto"/>
          <w:spacing w:val="1"/>
          <w:szCs w:val="22"/>
        </w:rPr>
        <w:t>l</w:t>
      </w:r>
      <w:r>
        <w:rPr>
          <w:i w:val="0"/>
          <w:color w:val="auto"/>
          <w:szCs w:val="22"/>
        </w:rPr>
        <w:t>on,</w:t>
      </w:r>
      <w:r>
        <w:rPr>
          <w:i w:val="0"/>
          <w:color w:val="auto"/>
          <w:spacing w:val="-3"/>
          <w:szCs w:val="22"/>
        </w:rPr>
        <w:t xml:space="preserve"> </w:t>
      </w:r>
      <w:r>
        <w:rPr>
          <w:i w:val="0"/>
          <w:color w:val="auto"/>
          <w:spacing w:val="1"/>
          <w:szCs w:val="22"/>
        </w:rPr>
        <w:t>t</w:t>
      </w:r>
      <w:r>
        <w:rPr>
          <w:i w:val="0"/>
          <w:color w:val="auto"/>
          <w:szCs w:val="22"/>
        </w:rPr>
        <w:t>r</w:t>
      </w:r>
      <w:r>
        <w:rPr>
          <w:i w:val="0"/>
          <w:color w:val="auto"/>
          <w:spacing w:val="-3"/>
          <w:szCs w:val="22"/>
        </w:rPr>
        <w:t>e</w:t>
      </w:r>
      <w:r>
        <w:rPr>
          <w:i w:val="0"/>
          <w:color w:val="auto"/>
          <w:szCs w:val="22"/>
        </w:rPr>
        <w:t>bu</w:t>
      </w:r>
      <w:r>
        <w:rPr>
          <w:i w:val="0"/>
          <w:color w:val="auto"/>
          <w:spacing w:val="-2"/>
          <w:szCs w:val="22"/>
        </w:rPr>
        <w:t>i</w:t>
      </w:r>
      <w:r>
        <w:rPr>
          <w:i w:val="0"/>
          <w:color w:val="auto"/>
          <w:szCs w:val="22"/>
        </w:rPr>
        <w:t>e</w:t>
      </w:r>
      <w:r>
        <w:rPr>
          <w:i w:val="0"/>
          <w:color w:val="auto"/>
          <w:spacing w:val="-2"/>
          <w:szCs w:val="22"/>
        </w:rPr>
        <w:t xml:space="preserve"> </w:t>
      </w:r>
      <w:r>
        <w:rPr>
          <w:i w:val="0"/>
          <w:color w:val="auto"/>
          <w:spacing w:val="1"/>
          <w:szCs w:val="22"/>
        </w:rPr>
        <w:t>t</w:t>
      </w:r>
      <w:r>
        <w:rPr>
          <w:i w:val="0"/>
          <w:color w:val="auto"/>
          <w:szCs w:val="22"/>
        </w:rPr>
        <w:t>e</w:t>
      </w:r>
      <w:r>
        <w:rPr>
          <w:i w:val="0"/>
          <w:color w:val="auto"/>
          <w:spacing w:val="-2"/>
          <w:szCs w:val="22"/>
        </w:rPr>
        <w:t>s</w:t>
      </w:r>
      <w:r>
        <w:rPr>
          <w:i w:val="0"/>
          <w:color w:val="auto"/>
          <w:spacing w:val="1"/>
          <w:szCs w:val="22"/>
        </w:rPr>
        <w:t>t</w:t>
      </w:r>
      <w:r>
        <w:rPr>
          <w:i w:val="0"/>
          <w:color w:val="auto"/>
          <w:spacing w:val="-3"/>
          <w:szCs w:val="22"/>
        </w:rPr>
        <w:t>a</w:t>
      </w:r>
      <w:r>
        <w:rPr>
          <w:i w:val="0"/>
          <w:color w:val="auto"/>
          <w:spacing w:val="1"/>
          <w:szCs w:val="22"/>
        </w:rPr>
        <w:t>ţ</w:t>
      </w:r>
      <w:r>
        <w:rPr>
          <w:i w:val="0"/>
          <w:color w:val="auto"/>
          <w:szCs w:val="22"/>
        </w:rPr>
        <w:t>i</w:t>
      </w:r>
      <w:r>
        <w:rPr>
          <w:i w:val="0"/>
          <w:color w:val="auto"/>
          <w:spacing w:val="1"/>
          <w:szCs w:val="22"/>
        </w:rPr>
        <w:t xml:space="preserve"> </w:t>
      </w:r>
      <w:r>
        <w:rPr>
          <w:i w:val="0"/>
          <w:color w:val="auto"/>
          <w:spacing w:val="-3"/>
          <w:szCs w:val="22"/>
        </w:rPr>
        <w:t>p</w:t>
      </w:r>
      <w:r>
        <w:rPr>
          <w:i w:val="0"/>
          <w:color w:val="auto"/>
          <w:szCs w:val="22"/>
        </w:rPr>
        <w:t>en</w:t>
      </w:r>
      <w:r>
        <w:rPr>
          <w:i w:val="0"/>
          <w:color w:val="auto"/>
          <w:spacing w:val="-2"/>
          <w:szCs w:val="22"/>
        </w:rPr>
        <w:t>t</w:t>
      </w:r>
      <w:r>
        <w:rPr>
          <w:i w:val="0"/>
          <w:color w:val="auto"/>
          <w:szCs w:val="22"/>
        </w:rPr>
        <w:t xml:space="preserve">ru </w:t>
      </w:r>
      <w:r>
        <w:rPr>
          <w:i w:val="0"/>
          <w:color w:val="auto"/>
          <w:spacing w:val="-3"/>
          <w:szCs w:val="22"/>
        </w:rPr>
        <w:t>d</w:t>
      </w:r>
      <w:r>
        <w:rPr>
          <w:i w:val="0"/>
          <w:color w:val="auto"/>
          <w:spacing w:val="1"/>
          <w:szCs w:val="22"/>
        </w:rPr>
        <w:t>i</w:t>
      </w:r>
      <w:r>
        <w:rPr>
          <w:i w:val="0"/>
          <w:color w:val="auto"/>
          <w:szCs w:val="22"/>
        </w:rPr>
        <w:t>s</w:t>
      </w:r>
      <w:r>
        <w:rPr>
          <w:i w:val="0"/>
          <w:color w:val="auto"/>
          <w:spacing w:val="-3"/>
          <w:szCs w:val="22"/>
        </w:rPr>
        <w:t>p</w:t>
      </w:r>
      <w:r>
        <w:rPr>
          <w:i w:val="0"/>
          <w:color w:val="auto"/>
          <w:spacing w:val="1"/>
          <w:szCs w:val="22"/>
        </w:rPr>
        <w:t>l</w:t>
      </w:r>
      <w:r>
        <w:rPr>
          <w:i w:val="0"/>
          <w:color w:val="auto"/>
          <w:szCs w:val="22"/>
        </w:rPr>
        <w:t>a</w:t>
      </w:r>
      <w:r>
        <w:rPr>
          <w:i w:val="0"/>
          <w:color w:val="auto"/>
          <w:spacing w:val="-3"/>
          <w:szCs w:val="22"/>
        </w:rPr>
        <w:t>z</w:t>
      </w:r>
      <w:r>
        <w:rPr>
          <w:i w:val="0"/>
          <w:color w:val="auto"/>
          <w:spacing w:val="1"/>
          <w:szCs w:val="22"/>
        </w:rPr>
        <w:t>i</w:t>
      </w:r>
      <w:r>
        <w:rPr>
          <w:i w:val="0"/>
          <w:color w:val="auto"/>
          <w:szCs w:val="22"/>
        </w:rPr>
        <w:t>e</w:t>
      </w:r>
      <w:r>
        <w:rPr>
          <w:i w:val="0"/>
          <w:color w:val="auto"/>
          <w:spacing w:val="-2"/>
          <w:szCs w:val="22"/>
        </w:rPr>
        <w:t xml:space="preserve"> </w:t>
      </w:r>
      <w:r>
        <w:rPr>
          <w:i w:val="0"/>
          <w:color w:val="auto"/>
          <w:spacing w:val="1"/>
          <w:szCs w:val="22"/>
        </w:rPr>
        <w:t>l</w:t>
      </w:r>
      <w:r>
        <w:rPr>
          <w:i w:val="0"/>
          <w:color w:val="auto"/>
          <w:szCs w:val="22"/>
        </w:rPr>
        <w:t>a</w:t>
      </w:r>
      <w:r>
        <w:rPr>
          <w:i w:val="0"/>
          <w:color w:val="auto"/>
          <w:spacing w:val="-2"/>
          <w:szCs w:val="22"/>
        </w:rPr>
        <w:t xml:space="preserve"> </w:t>
      </w:r>
      <w:r>
        <w:rPr>
          <w:i w:val="0"/>
          <w:color w:val="auto"/>
          <w:spacing w:val="1"/>
          <w:szCs w:val="22"/>
        </w:rPr>
        <w:t>i</w:t>
      </w:r>
      <w:r>
        <w:rPr>
          <w:i w:val="0"/>
          <w:color w:val="auto"/>
          <w:spacing w:val="-3"/>
          <w:szCs w:val="22"/>
        </w:rPr>
        <w:t>n</w:t>
      </w:r>
      <w:r>
        <w:rPr>
          <w:i w:val="0"/>
          <w:color w:val="auto"/>
          <w:spacing w:val="1"/>
          <w:szCs w:val="22"/>
        </w:rPr>
        <w:t>t</w:t>
      </w:r>
      <w:r>
        <w:rPr>
          <w:i w:val="0"/>
          <w:color w:val="auto"/>
          <w:szCs w:val="22"/>
        </w:rPr>
        <w:t>er</w:t>
      </w:r>
      <w:r>
        <w:rPr>
          <w:i w:val="0"/>
          <w:color w:val="auto"/>
          <w:spacing w:val="-3"/>
          <w:szCs w:val="22"/>
        </w:rPr>
        <w:t>v</w:t>
      </w:r>
      <w:r>
        <w:rPr>
          <w:i w:val="0"/>
          <w:color w:val="auto"/>
          <w:szCs w:val="22"/>
        </w:rPr>
        <w:t>a</w:t>
      </w:r>
      <w:r>
        <w:rPr>
          <w:i w:val="0"/>
          <w:color w:val="auto"/>
          <w:spacing w:val="-2"/>
          <w:szCs w:val="22"/>
        </w:rPr>
        <w:t>l</w:t>
      </w:r>
      <w:r>
        <w:rPr>
          <w:i w:val="0"/>
          <w:color w:val="auto"/>
          <w:szCs w:val="22"/>
        </w:rPr>
        <w:t>e re</w:t>
      </w:r>
      <w:r>
        <w:rPr>
          <w:i w:val="0"/>
          <w:color w:val="auto"/>
          <w:spacing w:val="-3"/>
          <w:szCs w:val="22"/>
        </w:rPr>
        <w:t>g</w:t>
      </w:r>
      <w:r>
        <w:rPr>
          <w:i w:val="0"/>
          <w:color w:val="auto"/>
          <w:szCs w:val="22"/>
        </w:rPr>
        <w:t>u</w:t>
      </w:r>
      <w:r>
        <w:rPr>
          <w:i w:val="0"/>
          <w:color w:val="auto"/>
          <w:spacing w:val="-2"/>
          <w:szCs w:val="22"/>
        </w:rPr>
        <w:t>l</w:t>
      </w:r>
      <w:r>
        <w:rPr>
          <w:i w:val="0"/>
          <w:color w:val="auto"/>
          <w:szCs w:val="22"/>
        </w:rPr>
        <w:t>a</w:t>
      </w:r>
      <w:r>
        <w:rPr>
          <w:i w:val="0"/>
          <w:color w:val="auto"/>
          <w:spacing w:val="1"/>
          <w:szCs w:val="22"/>
        </w:rPr>
        <w:t>t</w:t>
      </w:r>
      <w:r>
        <w:rPr>
          <w:i w:val="0"/>
          <w:color w:val="auto"/>
          <w:szCs w:val="22"/>
        </w:rPr>
        <w:t>e</w:t>
      </w:r>
      <w:r>
        <w:rPr>
          <w:i w:val="0"/>
          <w:color w:val="auto"/>
          <w:spacing w:val="-2"/>
          <w:szCs w:val="22"/>
        </w:rPr>
        <w:t xml:space="preserve"> </w:t>
      </w:r>
      <w:r>
        <w:rPr>
          <w:i w:val="0"/>
          <w:color w:val="auto"/>
          <w:szCs w:val="22"/>
        </w:rPr>
        <w:t>de</w:t>
      </w:r>
      <w:r>
        <w:rPr>
          <w:i w:val="0"/>
          <w:color w:val="auto"/>
          <w:spacing w:val="-2"/>
          <w:szCs w:val="22"/>
        </w:rPr>
        <w:t xml:space="preserve"> </w:t>
      </w:r>
      <w:r>
        <w:rPr>
          <w:i w:val="0"/>
          <w:color w:val="auto"/>
          <w:spacing w:val="1"/>
          <w:szCs w:val="22"/>
        </w:rPr>
        <w:t>ti</w:t>
      </w:r>
      <w:r>
        <w:rPr>
          <w:i w:val="0"/>
          <w:color w:val="auto"/>
          <w:spacing w:val="-4"/>
          <w:szCs w:val="22"/>
        </w:rPr>
        <w:t>m</w:t>
      </w:r>
      <w:r>
        <w:rPr>
          <w:i w:val="0"/>
          <w:color w:val="auto"/>
          <w:szCs w:val="22"/>
        </w:rPr>
        <w:t xml:space="preserve">p </w:t>
      </w:r>
      <w:r>
        <w:rPr>
          <w:i w:val="0"/>
          <w:color w:val="auto"/>
          <w:spacing w:val="1"/>
          <w:szCs w:val="22"/>
        </w:rPr>
        <w:t>î</w:t>
      </w:r>
      <w:r>
        <w:rPr>
          <w:i w:val="0"/>
          <w:color w:val="auto"/>
          <w:szCs w:val="22"/>
        </w:rPr>
        <w:t>n</w:t>
      </w:r>
      <w:r>
        <w:rPr>
          <w:i w:val="0"/>
          <w:color w:val="auto"/>
          <w:spacing w:val="-3"/>
          <w:szCs w:val="22"/>
        </w:rPr>
        <w:t>a</w:t>
      </w:r>
      <w:r>
        <w:rPr>
          <w:i w:val="0"/>
          <w:color w:val="auto"/>
          <w:spacing w:val="1"/>
          <w:szCs w:val="22"/>
        </w:rPr>
        <w:t>i</w:t>
      </w:r>
      <w:r>
        <w:rPr>
          <w:i w:val="0"/>
          <w:color w:val="auto"/>
          <w:szCs w:val="22"/>
        </w:rPr>
        <w:t>n</w:t>
      </w:r>
      <w:r>
        <w:rPr>
          <w:i w:val="0"/>
          <w:color w:val="auto"/>
          <w:spacing w:val="-2"/>
          <w:szCs w:val="22"/>
        </w:rPr>
        <w:t>t</w:t>
      </w:r>
      <w:r>
        <w:rPr>
          <w:i w:val="0"/>
          <w:color w:val="auto"/>
          <w:szCs w:val="22"/>
        </w:rPr>
        <w:t>e de</w:t>
      </w:r>
      <w:r>
        <w:rPr>
          <w:i w:val="0"/>
          <w:color w:val="auto"/>
          <w:spacing w:val="-2"/>
          <w:szCs w:val="22"/>
        </w:rPr>
        <w:t xml:space="preserve"> </w:t>
      </w:r>
      <w:r>
        <w:rPr>
          <w:i w:val="0"/>
          <w:color w:val="auto"/>
          <w:spacing w:val="1"/>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ent</w:t>
      </w:r>
      <w:r>
        <w:rPr>
          <w:i w:val="0"/>
          <w:color w:val="auto"/>
          <w:spacing w:val="1"/>
          <w:szCs w:val="22"/>
        </w:rPr>
        <w:t xml:space="preserve"> </w:t>
      </w:r>
      <w:r>
        <w:rPr>
          <w:i w:val="0"/>
          <w:color w:val="auto"/>
          <w:spacing w:val="-2"/>
          <w:szCs w:val="22"/>
        </w:rPr>
        <w:t>ş</w:t>
      </w:r>
      <w:r>
        <w:rPr>
          <w:i w:val="0"/>
          <w:color w:val="auto"/>
          <w:szCs w:val="22"/>
        </w:rPr>
        <w:t>i pe du</w:t>
      </w:r>
      <w:r>
        <w:rPr>
          <w:i w:val="0"/>
          <w:color w:val="auto"/>
          <w:spacing w:val="-2"/>
          <w:szCs w:val="22"/>
        </w:rPr>
        <w:t>r</w:t>
      </w:r>
      <w:r>
        <w:rPr>
          <w:i w:val="0"/>
          <w:color w:val="auto"/>
          <w:szCs w:val="22"/>
        </w:rPr>
        <w:t>a</w:t>
      </w:r>
      <w:r>
        <w:rPr>
          <w:i w:val="0"/>
          <w:color w:val="auto"/>
          <w:spacing w:val="-2"/>
          <w:szCs w:val="22"/>
        </w:rPr>
        <w:t>t</w:t>
      </w:r>
      <w:r>
        <w:rPr>
          <w:i w:val="0"/>
          <w:color w:val="auto"/>
          <w:szCs w:val="22"/>
        </w:rPr>
        <w:t>a bo</w:t>
      </w:r>
      <w:r>
        <w:rPr>
          <w:i w:val="0"/>
          <w:color w:val="auto"/>
          <w:spacing w:val="-2"/>
          <w:szCs w:val="22"/>
        </w:rPr>
        <w:t>li</w:t>
      </w:r>
      <w:r>
        <w:rPr>
          <w:i w:val="0"/>
          <w:color w:val="auto"/>
          <w:spacing w:val="1"/>
          <w:szCs w:val="22"/>
        </w:rPr>
        <w:t>i</w:t>
      </w:r>
      <w:r>
        <w:rPr>
          <w:i w:val="0"/>
          <w:color w:val="auto"/>
          <w:szCs w:val="22"/>
        </w:rPr>
        <w:t xml:space="preserve">. </w:t>
      </w:r>
      <w:r>
        <w:rPr>
          <w:i w:val="0"/>
          <w:color w:val="auto"/>
          <w:spacing w:val="-1"/>
          <w:szCs w:val="22"/>
        </w:rPr>
        <w:t>A</w:t>
      </w:r>
      <w:r>
        <w:rPr>
          <w:i w:val="0"/>
          <w:color w:val="auto"/>
          <w:szCs w:val="22"/>
        </w:rPr>
        <w:t>ce</w:t>
      </w:r>
      <w:r>
        <w:rPr>
          <w:i w:val="0"/>
          <w:color w:val="auto"/>
          <w:spacing w:val="-3"/>
          <w:szCs w:val="22"/>
        </w:rPr>
        <w:t>a</w:t>
      </w:r>
      <w:r>
        <w:rPr>
          <w:i w:val="0"/>
          <w:color w:val="auto"/>
          <w:szCs w:val="22"/>
        </w:rPr>
        <w:t>s</w:t>
      </w:r>
      <w:r>
        <w:rPr>
          <w:i w:val="0"/>
          <w:color w:val="auto"/>
          <w:spacing w:val="-2"/>
          <w:szCs w:val="22"/>
        </w:rPr>
        <w:t>t</w:t>
      </w:r>
      <w:r>
        <w:rPr>
          <w:i w:val="0"/>
          <w:color w:val="auto"/>
          <w:szCs w:val="22"/>
        </w:rPr>
        <w:t>ă e</w:t>
      </w:r>
      <w:r>
        <w:rPr>
          <w:i w:val="0"/>
          <w:color w:val="auto"/>
          <w:spacing w:val="-3"/>
          <w:szCs w:val="22"/>
        </w:rPr>
        <w:t>v</w:t>
      </w:r>
      <w:r>
        <w:rPr>
          <w:i w:val="0"/>
          <w:color w:val="auto"/>
          <w:szCs w:val="22"/>
        </w:rPr>
        <w:t>a</w:t>
      </w:r>
      <w:r>
        <w:rPr>
          <w:i w:val="0"/>
          <w:color w:val="auto"/>
          <w:spacing w:val="1"/>
          <w:szCs w:val="22"/>
        </w:rPr>
        <w:t>l</w:t>
      </w:r>
      <w:r>
        <w:rPr>
          <w:i w:val="0"/>
          <w:color w:val="auto"/>
          <w:szCs w:val="22"/>
        </w:rPr>
        <w:t>ua</w:t>
      </w:r>
      <w:r>
        <w:rPr>
          <w:i w:val="0"/>
          <w:color w:val="auto"/>
          <w:spacing w:val="-2"/>
          <w:szCs w:val="22"/>
        </w:rPr>
        <w:t>r</w:t>
      </w:r>
      <w:r>
        <w:rPr>
          <w:i w:val="0"/>
          <w:color w:val="auto"/>
          <w:szCs w:val="22"/>
        </w:rPr>
        <w:t xml:space="preserve">e </w:t>
      </w:r>
      <w:r>
        <w:rPr>
          <w:i w:val="0"/>
          <w:color w:val="auto"/>
          <w:spacing w:val="-2"/>
          <w:szCs w:val="22"/>
        </w:rPr>
        <w:t>t</w:t>
      </w:r>
      <w:r>
        <w:rPr>
          <w:i w:val="0"/>
          <w:color w:val="auto"/>
          <w:szCs w:val="22"/>
        </w:rPr>
        <w:t>re</w:t>
      </w:r>
      <w:r>
        <w:rPr>
          <w:i w:val="0"/>
          <w:color w:val="auto"/>
          <w:spacing w:val="-3"/>
          <w:szCs w:val="22"/>
        </w:rPr>
        <w:t>b</w:t>
      </w:r>
      <w:r>
        <w:rPr>
          <w:i w:val="0"/>
          <w:color w:val="auto"/>
          <w:szCs w:val="22"/>
        </w:rPr>
        <w:t>u</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să</w:t>
      </w:r>
      <w:r>
        <w:rPr>
          <w:i w:val="0"/>
          <w:color w:val="auto"/>
          <w:spacing w:val="-2"/>
          <w:szCs w:val="22"/>
        </w:rPr>
        <w:t xml:space="preserve"> </w:t>
      </w:r>
      <w:r>
        <w:rPr>
          <w:i w:val="0"/>
          <w:color w:val="auto"/>
          <w:spacing w:val="1"/>
          <w:szCs w:val="22"/>
        </w:rPr>
        <w:t>i</w:t>
      </w:r>
      <w:r>
        <w:rPr>
          <w:i w:val="0"/>
          <w:color w:val="auto"/>
          <w:szCs w:val="22"/>
        </w:rPr>
        <w:t>n</w:t>
      </w:r>
      <w:r>
        <w:rPr>
          <w:i w:val="0"/>
          <w:color w:val="auto"/>
          <w:spacing w:val="-3"/>
          <w:szCs w:val="22"/>
        </w:rPr>
        <w:t>c</w:t>
      </w:r>
      <w:r>
        <w:rPr>
          <w:i w:val="0"/>
          <w:color w:val="auto"/>
          <w:spacing w:val="1"/>
          <w:szCs w:val="22"/>
        </w:rPr>
        <w:t>l</w:t>
      </w:r>
      <w:r>
        <w:rPr>
          <w:i w:val="0"/>
          <w:color w:val="auto"/>
          <w:szCs w:val="22"/>
        </w:rPr>
        <w:t>udă</w:t>
      </w:r>
      <w:r>
        <w:rPr>
          <w:i w:val="0"/>
          <w:color w:val="auto"/>
          <w:spacing w:val="-2"/>
          <w:szCs w:val="22"/>
        </w:rPr>
        <w:t xml:space="preserve"> </w:t>
      </w:r>
      <w:r>
        <w:rPr>
          <w:i w:val="0"/>
          <w:color w:val="auto"/>
          <w:szCs w:val="22"/>
        </w:rPr>
        <w:t>co</w:t>
      </w:r>
      <w:r>
        <w:rPr>
          <w:i w:val="0"/>
          <w:color w:val="auto"/>
          <w:spacing w:val="-2"/>
          <w:szCs w:val="22"/>
        </w:rPr>
        <w:t>l</w:t>
      </w:r>
      <w:r>
        <w:rPr>
          <w:i w:val="0"/>
          <w:color w:val="auto"/>
          <w:szCs w:val="22"/>
        </w:rPr>
        <w:t>onosco</w:t>
      </w:r>
      <w:r>
        <w:rPr>
          <w:i w:val="0"/>
          <w:color w:val="auto"/>
          <w:spacing w:val="-3"/>
          <w:szCs w:val="22"/>
        </w:rPr>
        <w:t>p</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şi</w:t>
      </w:r>
      <w:r>
        <w:rPr>
          <w:i w:val="0"/>
          <w:color w:val="auto"/>
          <w:spacing w:val="1"/>
          <w:szCs w:val="22"/>
        </w:rPr>
        <w:t xml:space="preserve"> </w:t>
      </w:r>
      <w:r>
        <w:rPr>
          <w:i w:val="0"/>
          <w:color w:val="auto"/>
          <w:spacing w:val="-3"/>
          <w:szCs w:val="22"/>
        </w:rPr>
        <w:t>b</w:t>
      </w:r>
      <w:r>
        <w:rPr>
          <w:i w:val="0"/>
          <w:color w:val="auto"/>
          <w:spacing w:val="1"/>
          <w:szCs w:val="22"/>
        </w:rPr>
        <w:t>i</w:t>
      </w:r>
      <w:r>
        <w:rPr>
          <w:i w:val="0"/>
          <w:color w:val="auto"/>
          <w:szCs w:val="22"/>
        </w:rPr>
        <w:t>o</w:t>
      </w:r>
      <w:r>
        <w:rPr>
          <w:i w:val="0"/>
          <w:color w:val="auto"/>
          <w:spacing w:val="-3"/>
          <w:szCs w:val="22"/>
        </w:rPr>
        <w:t>p</w:t>
      </w:r>
      <w:r>
        <w:rPr>
          <w:i w:val="0"/>
          <w:color w:val="auto"/>
          <w:szCs w:val="22"/>
        </w:rPr>
        <w:t>s</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co</w:t>
      </w:r>
      <w:r>
        <w:rPr>
          <w:i w:val="0"/>
          <w:color w:val="auto"/>
          <w:spacing w:val="-3"/>
          <w:szCs w:val="22"/>
        </w:rPr>
        <w:t>n</w:t>
      </w:r>
      <w:r>
        <w:rPr>
          <w:i w:val="0"/>
          <w:color w:val="auto"/>
          <w:szCs w:val="22"/>
        </w:rPr>
        <w:t>fo</w:t>
      </w:r>
      <w:r>
        <w:rPr>
          <w:i w:val="0"/>
          <w:color w:val="auto"/>
          <w:spacing w:val="-2"/>
          <w:szCs w:val="22"/>
        </w:rPr>
        <w:t>r</w:t>
      </w:r>
      <w:r>
        <w:rPr>
          <w:i w:val="0"/>
          <w:color w:val="auto"/>
          <w:szCs w:val="22"/>
        </w:rPr>
        <w:t>m</w:t>
      </w:r>
      <w:r>
        <w:rPr>
          <w:i w:val="0"/>
          <w:color w:val="auto"/>
          <w:spacing w:val="-4"/>
          <w:szCs w:val="22"/>
        </w:rPr>
        <w:t xml:space="preserve"> </w:t>
      </w:r>
      <w:r>
        <w:rPr>
          <w:i w:val="0"/>
          <w:color w:val="auto"/>
          <w:szCs w:val="22"/>
        </w:rPr>
        <w:t>reco</w:t>
      </w:r>
      <w:r>
        <w:rPr>
          <w:i w:val="0"/>
          <w:color w:val="auto"/>
          <w:spacing w:val="-4"/>
          <w:szCs w:val="22"/>
        </w:rPr>
        <w:t>m</w:t>
      </w:r>
      <w:r>
        <w:rPr>
          <w:i w:val="0"/>
          <w:color w:val="auto"/>
          <w:szCs w:val="22"/>
        </w:rPr>
        <w:t>andăr</w:t>
      </w:r>
      <w:r>
        <w:rPr>
          <w:i w:val="0"/>
          <w:color w:val="auto"/>
          <w:spacing w:val="1"/>
          <w:szCs w:val="22"/>
        </w:rPr>
        <w:t>il</w:t>
      </w:r>
      <w:r>
        <w:rPr>
          <w:i w:val="0"/>
          <w:color w:val="auto"/>
          <w:spacing w:val="-3"/>
          <w:szCs w:val="22"/>
        </w:rPr>
        <w:t>o</w:t>
      </w:r>
      <w:r>
        <w:rPr>
          <w:i w:val="0"/>
          <w:color w:val="auto"/>
          <w:szCs w:val="22"/>
        </w:rPr>
        <w:t xml:space="preserve">r </w:t>
      </w:r>
      <w:r>
        <w:rPr>
          <w:i w:val="0"/>
          <w:color w:val="auto"/>
          <w:spacing w:val="1"/>
          <w:szCs w:val="22"/>
        </w:rPr>
        <w:t>l</w:t>
      </w:r>
      <w:r>
        <w:rPr>
          <w:i w:val="0"/>
          <w:color w:val="auto"/>
          <w:szCs w:val="22"/>
        </w:rPr>
        <w:t>oc</w:t>
      </w:r>
      <w:r>
        <w:rPr>
          <w:i w:val="0"/>
          <w:color w:val="auto"/>
          <w:spacing w:val="-3"/>
          <w:szCs w:val="22"/>
        </w:rPr>
        <w:t>a</w:t>
      </w:r>
      <w:r>
        <w:rPr>
          <w:i w:val="0"/>
          <w:color w:val="auto"/>
          <w:spacing w:val="1"/>
          <w:szCs w:val="22"/>
        </w:rPr>
        <w:t>l</w:t>
      </w:r>
      <w:r>
        <w:rPr>
          <w:i w:val="0"/>
          <w:color w:val="auto"/>
          <w:szCs w:val="22"/>
        </w:rPr>
        <w:t>e.</w:t>
      </w:r>
    </w:p>
    <w:p w14:paraId="3860E1BF" w14:textId="77777777" w:rsidR="00C04CAD" w:rsidRDefault="00C04CAD">
      <w:pPr>
        <w:pStyle w:val="BodyText"/>
        <w:kinsoku w:val="0"/>
        <w:overflowPunct w:val="0"/>
        <w:rPr>
          <w:color w:val="auto"/>
          <w:szCs w:val="22"/>
        </w:rPr>
      </w:pPr>
    </w:p>
    <w:p w14:paraId="77C140CA"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R</w:t>
      </w:r>
      <w:r>
        <w:rPr>
          <w:u w:val="single"/>
        </w:rPr>
        <w:t>eac</w:t>
      </w:r>
      <w:r>
        <w:rPr>
          <w:spacing w:val="-2"/>
          <w:u w:val="single"/>
        </w:rPr>
        <w:t>ţ</w:t>
      </w:r>
      <w:r>
        <w:rPr>
          <w:spacing w:val="1"/>
          <w:u w:val="single"/>
        </w:rPr>
        <w:t>i</w:t>
      </w:r>
      <w:r>
        <w:rPr>
          <w:u w:val="single"/>
        </w:rPr>
        <w:t>i he</w:t>
      </w:r>
      <w:r>
        <w:rPr>
          <w:spacing w:val="-4"/>
          <w:u w:val="single"/>
        </w:rPr>
        <w:t>m</w:t>
      </w:r>
      <w:r>
        <w:rPr>
          <w:u w:val="single"/>
        </w:rPr>
        <w:t>a</w:t>
      </w:r>
      <w:r>
        <w:rPr>
          <w:spacing w:val="1"/>
          <w:u w:val="single"/>
        </w:rPr>
        <w:t>t</w:t>
      </w:r>
      <w:r>
        <w:rPr>
          <w:u w:val="single"/>
        </w:rPr>
        <w:t>o</w:t>
      </w:r>
      <w:r>
        <w:rPr>
          <w:spacing w:val="1"/>
          <w:u w:val="single"/>
        </w:rPr>
        <w:t>l</w:t>
      </w:r>
      <w:r>
        <w:rPr>
          <w:u w:val="single"/>
        </w:rPr>
        <w:t>o</w:t>
      </w:r>
      <w:r>
        <w:rPr>
          <w:spacing w:val="-3"/>
          <w:u w:val="single"/>
        </w:rPr>
        <w:t>g</w:t>
      </w:r>
      <w:r>
        <w:rPr>
          <w:spacing w:val="1"/>
          <w:u w:val="single"/>
        </w:rPr>
        <w:t>i</w:t>
      </w:r>
      <w:r>
        <w:rPr>
          <w:spacing w:val="-3"/>
          <w:u w:val="single"/>
        </w:rPr>
        <w:t>c</w:t>
      </w:r>
      <w:r>
        <w:rPr>
          <w:u w:val="single"/>
        </w:rPr>
        <w:t>e</w:t>
      </w:r>
    </w:p>
    <w:p w14:paraId="4BDF6E82" w14:textId="77777777" w:rsidR="00C04CAD" w:rsidRDefault="00C04CAD">
      <w:pPr>
        <w:keepNext/>
        <w:tabs>
          <w:tab w:val="clear" w:pos="567"/>
        </w:tabs>
        <w:kinsoku w:val="0"/>
        <w:overflowPunct w:val="0"/>
        <w:autoSpaceDE w:val="0"/>
        <w:autoSpaceDN w:val="0"/>
        <w:adjustRightInd w:val="0"/>
        <w:spacing w:line="240" w:lineRule="auto"/>
      </w:pPr>
    </w:p>
    <w:p w14:paraId="559F4512" w14:textId="77777777" w:rsidR="00C04CAD" w:rsidRDefault="00060E34">
      <w:pPr>
        <w:tabs>
          <w:tab w:val="clear" w:pos="567"/>
        </w:tabs>
        <w:kinsoku w:val="0"/>
        <w:overflowPunct w:val="0"/>
        <w:autoSpaceDE w:val="0"/>
        <w:autoSpaceDN w:val="0"/>
        <w:adjustRightInd w:val="0"/>
        <w:spacing w:line="240" w:lineRule="auto"/>
      </w:pPr>
      <w:r>
        <w:rPr>
          <w:spacing w:val="-1"/>
        </w:rPr>
        <w:t>A</w:t>
      </w:r>
      <w:r>
        <w:t>u fo</w:t>
      </w:r>
      <w:r>
        <w:rPr>
          <w:spacing w:val="-2"/>
        </w:rPr>
        <w:t>s</w:t>
      </w:r>
      <w:r>
        <w:t>t</w:t>
      </w:r>
      <w:r>
        <w:rPr>
          <w:spacing w:val="1"/>
        </w:rPr>
        <w:t xml:space="preserve"> </w:t>
      </w:r>
      <w:r>
        <w:t>r</w:t>
      </w:r>
      <w:r>
        <w:rPr>
          <w:spacing w:val="-3"/>
        </w:rPr>
        <w:t>a</w:t>
      </w:r>
      <w:r>
        <w:t>po</w:t>
      </w:r>
      <w:r>
        <w:rPr>
          <w:spacing w:val="-2"/>
        </w:rPr>
        <w:t>r</w:t>
      </w:r>
      <w:r>
        <w:rPr>
          <w:spacing w:val="1"/>
        </w:rPr>
        <w:t>t</w:t>
      </w:r>
      <w:r>
        <w:rPr>
          <w:spacing w:val="-3"/>
        </w:rPr>
        <w:t>a</w:t>
      </w:r>
      <w:r>
        <w:rPr>
          <w:spacing w:val="1"/>
        </w:rPr>
        <w:t>t</w:t>
      </w:r>
      <w:r>
        <w:t xml:space="preserve">e </w:t>
      </w:r>
      <w:r>
        <w:rPr>
          <w:spacing w:val="-3"/>
        </w:rPr>
        <w:t>c</w:t>
      </w:r>
      <w:r>
        <w:t>a</w:t>
      </w:r>
      <w:r>
        <w:rPr>
          <w:spacing w:val="-3"/>
        </w:rPr>
        <w:t>z</w:t>
      </w:r>
      <w:r>
        <w:t>uri</w:t>
      </w:r>
      <w:r>
        <w:rPr>
          <w:spacing w:val="-2"/>
        </w:rPr>
        <w:t xml:space="preserve"> </w:t>
      </w:r>
      <w:r>
        <w:t>ra</w:t>
      </w:r>
      <w:r>
        <w:rPr>
          <w:spacing w:val="-2"/>
        </w:rPr>
        <w:t>r</w:t>
      </w:r>
      <w:r>
        <w:t>e de p</w:t>
      </w:r>
      <w:r>
        <w:rPr>
          <w:spacing w:val="-3"/>
        </w:rPr>
        <w:t>a</w:t>
      </w:r>
      <w:r>
        <w:t>nc</w:t>
      </w:r>
      <w:r>
        <w:rPr>
          <w:spacing w:val="-2"/>
        </w:rPr>
        <w:t>i</w:t>
      </w:r>
      <w:r>
        <w:rPr>
          <w:spacing w:val="1"/>
        </w:rPr>
        <w:t>t</w:t>
      </w:r>
      <w:r>
        <w:t>o</w:t>
      </w:r>
      <w:r>
        <w:rPr>
          <w:spacing w:val="-3"/>
        </w:rPr>
        <w:t>p</w:t>
      </w:r>
      <w:r>
        <w:t>en</w:t>
      </w:r>
      <w:r>
        <w:rPr>
          <w:spacing w:val="-2"/>
        </w:rPr>
        <w:t>i</w:t>
      </w:r>
      <w:r>
        <w:t xml:space="preserve">e, </w:t>
      </w:r>
      <w:r>
        <w:rPr>
          <w:spacing w:val="1"/>
        </w:rPr>
        <w:t>i</w:t>
      </w:r>
      <w:r>
        <w:rPr>
          <w:spacing w:val="-3"/>
        </w:rPr>
        <w:t>n</w:t>
      </w:r>
      <w:r>
        <w:t>c</w:t>
      </w:r>
      <w:r>
        <w:rPr>
          <w:spacing w:val="1"/>
        </w:rPr>
        <w:t>l</w:t>
      </w:r>
      <w:r>
        <w:rPr>
          <w:spacing w:val="-3"/>
        </w:rPr>
        <w:t>u</w:t>
      </w:r>
      <w:r>
        <w:t>s</w:t>
      </w:r>
      <w:r>
        <w:rPr>
          <w:spacing w:val="1"/>
        </w:rPr>
        <w:t>i</w:t>
      </w:r>
      <w:r>
        <w:t>v</w:t>
      </w:r>
      <w:r>
        <w:rPr>
          <w:spacing w:val="-5"/>
        </w:rPr>
        <w:t xml:space="preserve"> </w:t>
      </w:r>
      <w:r>
        <w:t>ane</w:t>
      </w:r>
      <w:r>
        <w:rPr>
          <w:spacing w:val="-4"/>
        </w:rPr>
        <w:t>m</w:t>
      </w:r>
      <w:r>
        <w:rPr>
          <w:spacing w:val="1"/>
        </w:rPr>
        <w:t>i</w:t>
      </w:r>
      <w:r>
        <w:t>e ap</w:t>
      </w:r>
      <w:r>
        <w:rPr>
          <w:spacing w:val="-2"/>
        </w:rPr>
        <w:t>l</w:t>
      </w:r>
      <w:r>
        <w:t>a</w:t>
      </w:r>
      <w:r>
        <w:rPr>
          <w:spacing w:val="-2"/>
        </w:rPr>
        <w:t>s</w:t>
      </w:r>
      <w:r>
        <w:rPr>
          <w:spacing w:val="1"/>
        </w:rPr>
        <w:t>ti</w:t>
      </w:r>
      <w:r>
        <w:rPr>
          <w:spacing w:val="-3"/>
        </w:rPr>
        <w:t>c</w:t>
      </w:r>
      <w:r>
        <w:t xml:space="preserve">ă </w:t>
      </w:r>
      <w:r>
        <w:rPr>
          <w:spacing w:val="1"/>
        </w:rPr>
        <w:t>î</w:t>
      </w:r>
      <w:r>
        <w:t>n</w:t>
      </w:r>
      <w:r>
        <w:rPr>
          <w:spacing w:val="-3"/>
        </w:rPr>
        <w:t xml:space="preserve"> </w:t>
      </w:r>
      <w:r>
        <w:t>ca</w:t>
      </w:r>
      <w:r>
        <w:rPr>
          <w:spacing w:val="-3"/>
        </w:rPr>
        <w:t>z</w:t>
      </w:r>
      <w:r>
        <w:t>ul</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cu an</w:t>
      </w:r>
      <w:r>
        <w:rPr>
          <w:spacing w:val="1"/>
        </w:rPr>
        <w:t>t</w:t>
      </w:r>
      <w:r>
        <w:t>a</w:t>
      </w:r>
      <w:r>
        <w:rPr>
          <w:spacing w:val="-3"/>
        </w:rPr>
        <w:t>g</w:t>
      </w:r>
      <w:r>
        <w:t>on</w:t>
      </w:r>
      <w:r>
        <w:rPr>
          <w:spacing w:val="-2"/>
        </w:rPr>
        <w:t>i</w:t>
      </w:r>
      <w:r>
        <w:t>ş</w:t>
      </w:r>
      <w:r>
        <w:rPr>
          <w:spacing w:val="-2"/>
        </w:rPr>
        <w:t>t</w:t>
      </w:r>
      <w:r>
        <w:t>i</w:t>
      </w:r>
      <w:r>
        <w:rPr>
          <w:spacing w:val="1"/>
        </w:rPr>
        <w:t xml:space="preserve"> </w:t>
      </w:r>
      <w:r>
        <w:t>de</w:t>
      </w:r>
      <w:r>
        <w:rPr>
          <w:spacing w:val="-2"/>
        </w:rPr>
        <w:t xml:space="preserve"> </w:t>
      </w:r>
      <w:r>
        <w:rPr>
          <w:spacing w:val="1"/>
        </w:rPr>
        <w:t>T</w:t>
      </w:r>
      <w:r>
        <w:rPr>
          <w:spacing w:val="-1"/>
        </w:rPr>
        <w:t>NF</w:t>
      </w:r>
      <w:r>
        <w:t xml:space="preserve">. </w:t>
      </w:r>
      <w:r>
        <w:rPr>
          <w:spacing w:val="-4"/>
        </w:rPr>
        <w:t>Î</w:t>
      </w:r>
      <w:r>
        <w:t>n ca</w:t>
      </w:r>
      <w:r>
        <w:rPr>
          <w:spacing w:val="-3"/>
        </w:rPr>
        <w:t>z</w:t>
      </w:r>
      <w:r>
        <w:t>ul</w:t>
      </w:r>
      <w:r>
        <w:rPr>
          <w:spacing w:val="1"/>
        </w:rPr>
        <w:t xml:space="preserve"> </w:t>
      </w:r>
      <w:r>
        <w:t>f</w:t>
      </w:r>
      <w:r>
        <w:rPr>
          <w:spacing w:val="-3"/>
        </w:rPr>
        <w:t>o</w:t>
      </w:r>
      <w:r>
        <w:rPr>
          <w:spacing w:val="1"/>
        </w:rPr>
        <w:t>l</w:t>
      </w:r>
      <w:r>
        <w:t>o</w:t>
      </w:r>
      <w:r>
        <w:rPr>
          <w:spacing w:val="-2"/>
        </w:rPr>
        <w:t>s</w:t>
      </w:r>
      <w:r>
        <w:rPr>
          <w:spacing w:val="1"/>
        </w:rPr>
        <w:t>i</w:t>
      </w:r>
      <w:r>
        <w:rPr>
          <w:spacing w:val="-2"/>
        </w:rPr>
        <w:t>r</w:t>
      </w:r>
      <w:r>
        <w:rPr>
          <w:spacing w:val="1"/>
        </w:rPr>
        <w:t>i</w:t>
      </w:r>
      <w:r>
        <w:t>i</w:t>
      </w:r>
      <w:r>
        <w:rPr>
          <w:spacing w:val="1"/>
        </w:rPr>
        <w:t xml:space="preserve"> </w:t>
      </w:r>
      <w:r>
        <w:rPr>
          <w:rFonts w:eastAsia="MS Mincho"/>
          <w:spacing w:val="-1"/>
          <w:szCs w:val="22"/>
          <w:lang w:eastAsia="en-US" w:bidi="ar-SA"/>
        </w:rPr>
        <w:t>adalimumab</w:t>
      </w:r>
      <w:r>
        <w:rPr>
          <w:spacing w:val="-2"/>
        </w:rPr>
        <w:t xml:space="preserve"> </w:t>
      </w:r>
      <w:r>
        <w:t xml:space="preserve">au </w:t>
      </w:r>
      <w:r>
        <w:rPr>
          <w:spacing w:val="-2"/>
        </w:rPr>
        <w:t>f</w:t>
      </w:r>
      <w:r>
        <w:t>ost</w:t>
      </w:r>
      <w:r>
        <w:rPr>
          <w:spacing w:val="-2"/>
        </w:rPr>
        <w:t xml:space="preserve"> </w:t>
      </w:r>
      <w:r>
        <w:t>r</w:t>
      </w:r>
      <w:r>
        <w:rPr>
          <w:spacing w:val="-3"/>
        </w:rPr>
        <w:t>a</w:t>
      </w:r>
      <w:r>
        <w:t>por</w:t>
      </w:r>
      <w:r>
        <w:rPr>
          <w:spacing w:val="-2"/>
        </w:rPr>
        <w:t>t</w:t>
      </w:r>
      <w:r>
        <w:t>a</w:t>
      </w:r>
      <w:r>
        <w:rPr>
          <w:spacing w:val="1"/>
        </w:rPr>
        <w:t>t</w:t>
      </w:r>
      <w:r>
        <w:t>e</w:t>
      </w:r>
      <w:r>
        <w:rPr>
          <w:spacing w:val="-2"/>
        </w:rPr>
        <w:t xml:space="preserve"> </w:t>
      </w:r>
      <w:r>
        <w:t>r</w:t>
      </w:r>
      <w:r>
        <w:rPr>
          <w:spacing w:val="-3"/>
        </w:rPr>
        <w:t>e</w:t>
      </w:r>
      <w:r>
        <w:t>ac</w:t>
      </w:r>
      <w:r>
        <w:rPr>
          <w:spacing w:val="-2"/>
        </w:rPr>
        <w:t>ţi</w:t>
      </w:r>
      <w:r>
        <w:t>i</w:t>
      </w:r>
      <w:r>
        <w:rPr>
          <w:spacing w:val="1"/>
        </w:rPr>
        <w:t xml:space="preserve"> </w:t>
      </w:r>
      <w:r>
        <w:t>ad</w:t>
      </w:r>
      <w:r>
        <w:rPr>
          <w:spacing w:val="-3"/>
        </w:rPr>
        <w:t>v</w:t>
      </w:r>
      <w:r>
        <w:t>er</w:t>
      </w:r>
      <w:r>
        <w:rPr>
          <w:spacing w:val="-2"/>
        </w:rPr>
        <w:t>s</w:t>
      </w:r>
      <w:r>
        <w:t xml:space="preserve">e </w:t>
      </w:r>
      <w:r>
        <w:rPr>
          <w:spacing w:val="-2"/>
        </w:rPr>
        <w:t>l</w:t>
      </w:r>
      <w:r>
        <w:t>a n</w:t>
      </w:r>
      <w:r>
        <w:rPr>
          <w:spacing w:val="-2"/>
        </w:rPr>
        <w:t>i</w:t>
      </w:r>
      <w:r>
        <w:rPr>
          <w:spacing w:val="-3"/>
        </w:rPr>
        <w:t>v</w:t>
      </w:r>
      <w:r>
        <w:t>e</w:t>
      </w:r>
      <w:r>
        <w:rPr>
          <w:spacing w:val="1"/>
        </w:rPr>
        <w:t>l</w:t>
      </w:r>
      <w:r>
        <w:t>ul</w:t>
      </w:r>
      <w:r>
        <w:rPr>
          <w:spacing w:val="1"/>
        </w:rPr>
        <w:t xml:space="preserve"> </w:t>
      </w:r>
      <w:r>
        <w:rPr>
          <w:spacing w:val="-2"/>
        </w:rPr>
        <w:t>s</w:t>
      </w:r>
      <w:r>
        <w:rPr>
          <w:spacing w:val="1"/>
        </w:rPr>
        <w:t>i</w:t>
      </w:r>
      <w:r>
        <w:t>s</w:t>
      </w:r>
      <w:r>
        <w:rPr>
          <w:spacing w:val="-2"/>
        </w:rPr>
        <w:t>t</w:t>
      </w:r>
      <w:r>
        <w:t>e</w:t>
      </w:r>
      <w:r>
        <w:rPr>
          <w:spacing w:val="-4"/>
        </w:rPr>
        <w:t>m</w:t>
      </w:r>
      <w:r>
        <w:t>u</w:t>
      </w:r>
      <w:r>
        <w:rPr>
          <w:spacing w:val="1"/>
        </w:rPr>
        <w:t>l</w:t>
      </w:r>
      <w:r>
        <w:t>ui he</w:t>
      </w:r>
      <w:r>
        <w:rPr>
          <w:spacing w:val="-4"/>
        </w:rPr>
        <w:t>m</w:t>
      </w:r>
      <w:r>
        <w:t>a</w:t>
      </w:r>
      <w:r>
        <w:rPr>
          <w:spacing w:val="1"/>
        </w:rPr>
        <w:t>t</w:t>
      </w:r>
      <w:r>
        <w:rPr>
          <w:spacing w:val="-1"/>
        </w:rPr>
        <w:t>o</w:t>
      </w:r>
      <w:r>
        <w:rPr>
          <w:spacing w:val="1"/>
        </w:rPr>
        <w:t>l</w:t>
      </w:r>
      <w:r>
        <w:rPr>
          <w:spacing w:val="-1"/>
        </w:rPr>
        <w:t>o</w:t>
      </w:r>
      <w:r>
        <w:rPr>
          <w:spacing w:val="-3"/>
        </w:rPr>
        <w:t>g</w:t>
      </w:r>
      <w:r>
        <w:rPr>
          <w:spacing w:val="1"/>
        </w:rPr>
        <w:t>i</w:t>
      </w:r>
      <w:r>
        <w:t>c,</w:t>
      </w:r>
      <w:r>
        <w:rPr>
          <w:spacing w:val="-3"/>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c</w:t>
      </w:r>
      <w:r>
        <w:rPr>
          <w:spacing w:val="1"/>
        </w:rPr>
        <w:t>it</w:t>
      </w:r>
      <w:r>
        <w:rPr>
          <w:spacing w:val="-3"/>
        </w:rPr>
        <w:t>op</w:t>
      </w:r>
      <w:r>
        <w:t>e</w:t>
      </w:r>
      <w:r>
        <w:rPr>
          <w:spacing w:val="-1"/>
        </w:rPr>
        <w:t>n</w:t>
      </w:r>
      <w:r>
        <w:rPr>
          <w:spacing w:val="1"/>
        </w:rPr>
        <w:t>i</w:t>
      </w:r>
      <w:r>
        <w:t>e</w:t>
      </w:r>
      <w:r>
        <w:rPr>
          <w:spacing w:val="-2"/>
        </w:rPr>
        <w:t xml:space="preserve"> </w:t>
      </w:r>
      <w:r>
        <w:rPr>
          <w:spacing w:val="-1"/>
        </w:rPr>
        <w:t>s</w:t>
      </w:r>
      <w:r>
        <w:t>e</w:t>
      </w:r>
      <w:r>
        <w:rPr>
          <w:spacing w:val="-4"/>
        </w:rPr>
        <w:t>m</w:t>
      </w:r>
      <w:r>
        <w:t>n</w:t>
      </w:r>
      <w:r>
        <w:rPr>
          <w:spacing w:val="1"/>
        </w:rPr>
        <w:t>i</w:t>
      </w:r>
      <w:r>
        <w:t>f</w:t>
      </w:r>
      <w:r>
        <w:rPr>
          <w:spacing w:val="-2"/>
        </w:rPr>
        <w:t>i</w:t>
      </w:r>
      <w:r>
        <w:t>c</w:t>
      </w:r>
      <w:r>
        <w:rPr>
          <w:spacing w:val="-3"/>
        </w:rPr>
        <w:t>a</w:t>
      </w:r>
      <w:r>
        <w:rPr>
          <w:spacing w:val="1"/>
        </w:rPr>
        <w:t>ti</w:t>
      </w:r>
      <w:r>
        <w:rPr>
          <w:spacing w:val="-3"/>
        </w:rPr>
        <w:t>v</w:t>
      </w:r>
      <w:r>
        <w:t>ă c</w:t>
      </w:r>
      <w:r>
        <w:rPr>
          <w:spacing w:val="-2"/>
        </w:rPr>
        <w:t>l</w:t>
      </w:r>
      <w:r>
        <w:rPr>
          <w:spacing w:val="1"/>
        </w:rPr>
        <w:t>i</w:t>
      </w:r>
      <w:r>
        <w:rPr>
          <w:spacing w:val="-3"/>
        </w:rPr>
        <w:t>n</w:t>
      </w:r>
      <w:r>
        <w:rPr>
          <w:spacing w:val="1"/>
        </w:rPr>
        <w:t>i</w:t>
      </w:r>
      <w:r>
        <w:t>c</w:t>
      </w:r>
      <w:r>
        <w:rPr>
          <w:spacing w:val="-2"/>
        </w:rPr>
        <w:t xml:space="preserve"> </w:t>
      </w:r>
      <w:r>
        <w:t>(</w:t>
      </w:r>
      <w:r>
        <w:rPr>
          <w:spacing w:val="-3"/>
        </w:rPr>
        <w:t>d</w:t>
      </w:r>
      <w:r>
        <w:t>e exe</w:t>
      </w:r>
      <w:r>
        <w:rPr>
          <w:spacing w:val="-4"/>
        </w:rPr>
        <w:t>m</w:t>
      </w:r>
      <w:r>
        <w:t>p</w:t>
      </w:r>
      <w:r>
        <w:rPr>
          <w:spacing w:val="1"/>
        </w:rPr>
        <w:t>l</w:t>
      </w:r>
      <w:r>
        <w:t xml:space="preserve">u </w:t>
      </w:r>
      <w:r>
        <w:rPr>
          <w:spacing w:val="-2"/>
        </w:rPr>
        <w:t>t</w:t>
      </w:r>
      <w:r>
        <w:t>ro</w:t>
      </w:r>
      <w:r>
        <w:rPr>
          <w:spacing w:val="-4"/>
        </w:rPr>
        <w:t>m</w:t>
      </w:r>
      <w:r>
        <w:t>boc</w:t>
      </w:r>
      <w:r>
        <w:rPr>
          <w:spacing w:val="1"/>
        </w:rPr>
        <w:t>i</w:t>
      </w:r>
      <w:r>
        <w:rPr>
          <w:spacing w:val="-2"/>
        </w:rPr>
        <w:t>t</w:t>
      </w:r>
      <w:r>
        <w:t>ope</w:t>
      </w:r>
      <w:r>
        <w:rPr>
          <w:spacing w:val="-3"/>
        </w:rPr>
        <w:t>n</w:t>
      </w:r>
      <w:r>
        <w:rPr>
          <w:spacing w:val="1"/>
        </w:rPr>
        <w:t>i</w:t>
      </w:r>
      <w:r>
        <w:rPr>
          <w:spacing w:val="-3"/>
        </w:rPr>
        <w:t>e</w:t>
      </w:r>
      <w:r>
        <w:t xml:space="preserve">, </w:t>
      </w:r>
      <w:r>
        <w:rPr>
          <w:spacing w:val="1"/>
        </w:rPr>
        <w:t>l</w:t>
      </w:r>
      <w:r>
        <w:t>eu</w:t>
      </w:r>
      <w:r>
        <w:rPr>
          <w:spacing w:val="-3"/>
        </w:rPr>
        <w:t>c</w:t>
      </w:r>
      <w:r>
        <w:t>ope</w:t>
      </w:r>
      <w:r>
        <w:rPr>
          <w:spacing w:val="-3"/>
        </w:rPr>
        <w:t>n</w:t>
      </w:r>
      <w:r>
        <w:rPr>
          <w:spacing w:val="1"/>
        </w:rPr>
        <w:t>i</w:t>
      </w:r>
      <w:r>
        <w:rPr>
          <w:spacing w:val="-3"/>
        </w:rPr>
        <w:t>e</w:t>
      </w:r>
      <w:r>
        <w:t>).</w:t>
      </w:r>
      <w:r>
        <w:rPr>
          <w:spacing w:val="-3"/>
        </w:rPr>
        <w:t xml:space="preserve"> </w:t>
      </w:r>
      <w:r>
        <w:rPr>
          <w:spacing w:val="1"/>
        </w:rPr>
        <w:t>T</w:t>
      </w:r>
      <w:r>
        <w:t>o</w:t>
      </w:r>
      <w:r>
        <w:rPr>
          <w:spacing w:val="-2"/>
        </w:rPr>
        <w:t>ţ</w:t>
      </w:r>
      <w:r>
        <w:t>i pac</w:t>
      </w:r>
      <w:r>
        <w:rPr>
          <w:spacing w:val="-2"/>
        </w:rPr>
        <w:t>i</w:t>
      </w:r>
      <w:r>
        <w:t>en</w:t>
      </w:r>
      <w:r>
        <w:rPr>
          <w:spacing w:val="-2"/>
        </w:rPr>
        <w:t>ţ</w:t>
      </w:r>
      <w:r>
        <w:rPr>
          <w:spacing w:val="1"/>
        </w:rPr>
        <w:t>i</w:t>
      </w:r>
      <w:r>
        <w:t>i</w:t>
      </w:r>
      <w:r>
        <w:rPr>
          <w:spacing w:val="-2"/>
        </w:rPr>
        <w:t xml:space="preserve"> </w:t>
      </w:r>
      <w:r>
        <w:t>c</w:t>
      </w:r>
      <w:r>
        <w:rPr>
          <w:spacing w:val="-3"/>
        </w:rPr>
        <w:t>a</w:t>
      </w:r>
      <w:r>
        <w:t xml:space="preserve">re </w:t>
      </w:r>
      <w:r>
        <w:rPr>
          <w:spacing w:val="-3"/>
        </w:rPr>
        <w:t>p</w:t>
      </w:r>
      <w:r>
        <w:t>r</w:t>
      </w:r>
      <w:r>
        <w:rPr>
          <w:spacing w:val="1"/>
        </w:rPr>
        <w:t>i</w:t>
      </w:r>
      <w:r>
        <w:rPr>
          <w:spacing w:val="-4"/>
        </w:rPr>
        <w:t>m</w:t>
      </w:r>
      <w:r>
        <w:t xml:space="preserve">esc </w:t>
      </w:r>
      <w:r>
        <w:rPr>
          <w:rFonts w:eastAsia="MS Mincho"/>
          <w:spacing w:val="-1"/>
          <w:szCs w:val="22"/>
          <w:lang w:eastAsia="en-US" w:bidi="ar-SA"/>
        </w:rPr>
        <w:t>AMGEVITA</w:t>
      </w:r>
      <w:r>
        <w:rPr>
          <w:spacing w:val="-2"/>
        </w:rPr>
        <w:t xml:space="preserve"> </w:t>
      </w:r>
      <w:r>
        <w:rPr>
          <w:spacing w:val="1"/>
        </w:rPr>
        <w:t>t</w:t>
      </w:r>
      <w:r>
        <w:rPr>
          <w:spacing w:val="-2"/>
        </w:rPr>
        <w:t>r</w:t>
      </w:r>
      <w:r>
        <w:t>eb</w:t>
      </w:r>
      <w:r>
        <w:rPr>
          <w:spacing w:val="-3"/>
        </w:rPr>
        <w:t>u</w:t>
      </w:r>
      <w:r>
        <w:rPr>
          <w:spacing w:val="1"/>
        </w:rPr>
        <w:t>i</w:t>
      </w:r>
      <w:r>
        <w:t xml:space="preserve">e </w:t>
      </w:r>
      <w:r>
        <w:rPr>
          <w:spacing w:val="-3"/>
        </w:rPr>
        <w:t>a</w:t>
      </w:r>
      <w:r>
        <w:rPr>
          <w:spacing w:val="1"/>
        </w:rPr>
        <w:t>t</w:t>
      </w:r>
      <w:r>
        <w:t>e</w:t>
      </w:r>
      <w:r>
        <w:rPr>
          <w:spacing w:val="-3"/>
        </w:rPr>
        <w:t>n</w:t>
      </w:r>
      <w:r>
        <w:rPr>
          <w:spacing w:val="1"/>
        </w:rPr>
        <w:t>ţi</w:t>
      </w:r>
      <w:r>
        <w:rPr>
          <w:spacing w:val="-3"/>
        </w:rPr>
        <w:t>o</w:t>
      </w:r>
      <w:r>
        <w:t>na</w:t>
      </w:r>
      <w:r>
        <w:rPr>
          <w:spacing w:val="-2"/>
        </w:rPr>
        <w:t>ţ</w:t>
      </w:r>
      <w:r>
        <w:t>i</w:t>
      </w:r>
      <w:r>
        <w:rPr>
          <w:spacing w:val="1"/>
        </w:rPr>
        <w:t xml:space="preserve"> </w:t>
      </w:r>
      <w:r>
        <w:rPr>
          <w:spacing w:val="-2"/>
        </w:rPr>
        <w:t>s</w:t>
      </w:r>
      <w:r>
        <w:t>ă s</w:t>
      </w:r>
      <w:r>
        <w:rPr>
          <w:spacing w:val="-3"/>
        </w:rPr>
        <w:t>o</w:t>
      </w:r>
      <w:r>
        <w:rPr>
          <w:spacing w:val="-2"/>
        </w:rPr>
        <w:t>l</w:t>
      </w:r>
      <w:r>
        <w:rPr>
          <w:spacing w:val="1"/>
        </w:rPr>
        <w:t>i</w:t>
      </w:r>
      <w:r>
        <w:t>c</w:t>
      </w:r>
      <w:r>
        <w:rPr>
          <w:spacing w:val="-2"/>
        </w:rPr>
        <w:t>i</w:t>
      </w:r>
      <w:r>
        <w:rPr>
          <w:spacing w:val="1"/>
        </w:rPr>
        <w:t>t</w:t>
      </w:r>
      <w:r>
        <w:t>e</w:t>
      </w:r>
      <w:r>
        <w:rPr>
          <w:spacing w:val="-2"/>
        </w:rPr>
        <w:t xml:space="preserve"> </w:t>
      </w:r>
      <w:r>
        <w:rPr>
          <w:spacing w:val="1"/>
        </w:rPr>
        <w:t>i</w:t>
      </w:r>
      <w:r>
        <w:rPr>
          <w:spacing w:val="-4"/>
        </w:rPr>
        <w:t>m</w:t>
      </w:r>
      <w:r>
        <w:t>ed</w:t>
      </w:r>
      <w:r>
        <w:rPr>
          <w:spacing w:val="1"/>
        </w:rPr>
        <w:t>i</w:t>
      </w:r>
      <w:r>
        <w:t>at</w:t>
      </w:r>
      <w:r>
        <w:rPr>
          <w:spacing w:val="-2"/>
        </w:rPr>
        <w:t xml:space="preserve"> </w:t>
      </w:r>
      <w:r>
        <w:t>con</w:t>
      </w:r>
      <w:r>
        <w:rPr>
          <w:spacing w:val="-2"/>
        </w:rPr>
        <w:t>s</w:t>
      </w:r>
      <w:r>
        <w:t>u</w:t>
      </w:r>
      <w:r>
        <w:rPr>
          <w:spacing w:val="-2"/>
        </w:rPr>
        <w:t>l</w:t>
      </w:r>
      <w:r>
        <w:t>t</w:t>
      </w:r>
      <w:r>
        <w:rPr>
          <w:spacing w:val="1"/>
        </w:rPr>
        <w:t xml:space="preserve"> </w:t>
      </w:r>
      <w:r>
        <w:rPr>
          <w:spacing w:val="-4"/>
        </w:rPr>
        <w:t>m</w:t>
      </w:r>
      <w:r>
        <w:t>ed</w:t>
      </w:r>
      <w:r>
        <w:rPr>
          <w:spacing w:val="1"/>
        </w:rPr>
        <w:t>i</w:t>
      </w:r>
      <w:r>
        <w:rPr>
          <w:spacing w:val="-3"/>
        </w:rPr>
        <w:t>c</w:t>
      </w:r>
      <w:r>
        <w:t>al</w:t>
      </w:r>
      <w:r>
        <w:rPr>
          <w:spacing w:val="1"/>
        </w:rPr>
        <w:t xml:space="preserve"> </w:t>
      </w:r>
      <w:r>
        <w:t>d</w:t>
      </w:r>
      <w:r>
        <w:rPr>
          <w:spacing w:val="-3"/>
        </w:rPr>
        <w:t>a</w:t>
      </w:r>
      <w:r>
        <w:t xml:space="preserve">că </w:t>
      </w:r>
      <w:r>
        <w:rPr>
          <w:spacing w:val="-3"/>
        </w:rPr>
        <w:t>a</w:t>
      </w:r>
      <w:r>
        <w:t>par</w:t>
      </w:r>
      <w:r>
        <w:rPr>
          <w:spacing w:val="-2"/>
        </w:rPr>
        <w:t xml:space="preserve"> </w:t>
      </w:r>
      <w:r>
        <w:t>se</w:t>
      </w:r>
      <w:r>
        <w:rPr>
          <w:spacing w:val="-4"/>
        </w:rPr>
        <w:t>m</w:t>
      </w:r>
      <w:r>
        <w:t>ne şi</w:t>
      </w:r>
      <w:r>
        <w:rPr>
          <w:spacing w:val="1"/>
        </w:rPr>
        <w:t xml:space="preserve"> </w:t>
      </w:r>
      <w:r>
        <w:rPr>
          <w:spacing w:val="-2"/>
        </w:rPr>
        <w:t>s</w:t>
      </w:r>
      <w:r>
        <w:rPr>
          <w:spacing w:val="1"/>
        </w:rPr>
        <w:t>i</w:t>
      </w:r>
      <w:r>
        <w:rPr>
          <w:spacing w:val="-4"/>
        </w:rPr>
        <w:t>m</w:t>
      </w:r>
      <w:r>
        <w:t>p</w:t>
      </w:r>
      <w:r>
        <w:rPr>
          <w:spacing w:val="1"/>
        </w:rPr>
        <w:t>t</w:t>
      </w:r>
      <w:r>
        <w:rPr>
          <w:spacing w:val="-1"/>
        </w:rPr>
        <w:t>o</w:t>
      </w:r>
      <w:r>
        <w:rPr>
          <w:spacing w:val="-4"/>
        </w:rPr>
        <w:t>m</w:t>
      </w:r>
      <w:r>
        <w:t>e care su</w:t>
      </w:r>
      <w:r>
        <w:rPr>
          <w:spacing w:val="-3"/>
        </w:rPr>
        <w:t>g</w:t>
      </w:r>
      <w:r>
        <w:t>e</w:t>
      </w:r>
      <w:r>
        <w:rPr>
          <w:spacing w:val="-2"/>
        </w:rPr>
        <w:t>r</w:t>
      </w:r>
      <w:r>
        <w:t>ea</w:t>
      </w:r>
      <w:r>
        <w:rPr>
          <w:spacing w:val="-3"/>
        </w:rPr>
        <w:t>z</w:t>
      </w:r>
      <w:r>
        <w:t>ă</w:t>
      </w:r>
      <w:r>
        <w:rPr>
          <w:spacing w:val="-2"/>
        </w:rPr>
        <w:t xml:space="preserve"> </w:t>
      </w:r>
      <w:r>
        <w:rPr>
          <w:spacing w:val="1"/>
        </w:rPr>
        <w:t>t</w:t>
      </w:r>
      <w:r>
        <w:t>u</w:t>
      </w:r>
      <w:r>
        <w:rPr>
          <w:spacing w:val="1"/>
        </w:rPr>
        <w:t>l</w:t>
      </w:r>
      <w:r>
        <w:rPr>
          <w:spacing w:val="-3"/>
        </w:rPr>
        <w:t>b</w:t>
      </w:r>
      <w:r>
        <w:t>ur</w:t>
      </w:r>
      <w:r>
        <w:rPr>
          <w:spacing w:val="-3"/>
        </w:rPr>
        <w:t>ă</w:t>
      </w:r>
      <w:r>
        <w:t>ri</w:t>
      </w:r>
      <w:r>
        <w:rPr>
          <w:spacing w:val="-2"/>
        </w:rPr>
        <w:t xml:space="preserve"> </w:t>
      </w:r>
      <w:r>
        <w:t>he</w:t>
      </w:r>
      <w:r>
        <w:rPr>
          <w:spacing w:val="-4"/>
        </w:rPr>
        <w:t>m</w:t>
      </w:r>
      <w:r>
        <w:t>a</w:t>
      </w:r>
      <w:r>
        <w:rPr>
          <w:spacing w:val="1"/>
        </w:rPr>
        <w:t>t</w:t>
      </w:r>
      <w:r>
        <w:t>o</w:t>
      </w:r>
      <w:r>
        <w:rPr>
          <w:spacing w:val="1"/>
        </w:rPr>
        <w:t>l</w:t>
      </w:r>
      <w:r>
        <w:t>o</w:t>
      </w:r>
      <w:r>
        <w:rPr>
          <w:spacing w:val="-3"/>
        </w:rPr>
        <w:t>g</w:t>
      </w:r>
      <w:r>
        <w:rPr>
          <w:spacing w:val="1"/>
        </w:rPr>
        <w:t>i</w:t>
      </w:r>
      <w:r>
        <w:rPr>
          <w:spacing w:val="-3"/>
        </w:rPr>
        <w:t>c</w:t>
      </w:r>
      <w:r>
        <w:t>e (</w:t>
      </w:r>
      <w:r>
        <w:rPr>
          <w:spacing w:val="-3"/>
        </w:rPr>
        <w:t>d</w:t>
      </w:r>
      <w:r>
        <w:t>e</w:t>
      </w:r>
      <w:r>
        <w:rPr>
          <w:spacing w:val="-2"/>
        </w:rPr>
        <w:t xml:space="preserve"> </w:t>
      </w:r>
      <w:r>
        <w:t>exe</w:t>
      </w:r>
      <w:r>
        <w:rPr>
          <w:spacing w:val="-4"/>
        </w:rPr>
        <w:t>m</w:t>
      </w:r>
      <w:r>
        <w:t>p</w:t>
      </w:r>
      <w:r>
        <w:rPr>
          <w:spacing w:val="1"/>
        </w:rPr>
        <w:t>l</w:t>
      </w:r>
      <w:r>
        <w:t>u fe</w:t>
      </w:r>
      <w:r>
        <w:rPr>
          <w:spacing w:val="-3"/>
        </w:rPr>
        <w:t>b</w:t>
      </w:r>
      <w:r>
        <w:t xml:space="preserve">ră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t>ă,</w:t>
      </w:r>
      <w:r>
        <w:rPr>
          <w:spacing w:val="-3"/>
        </w:rPr>
        <w:t xml:space="preserve"> </w:t>
      </w:r>
      <w:r>
        <w:t>ech</w:t>
      </w:r>
      <w:r>
        <w:rPr>
          <w:spacing w:val="1"/>
        </w:rPr>
        <w:t>i</w:t>
      </w:r>
      <w:r>
        <w:rPr>
          <w:spacing w:val="-4"/>
        </w:rPr>
        <w:t>m</w:t>
      </w:r>
      <w:r>
        <w:rPr>
          <w:spacing w:val="-2"/>
        </w:rPr>
        <w:t>oz</w:t>
      </w:r>
      <w:r>
        <w:t>e, sân</w:t>
      </w:r>
      <w:r>
        <w:rPr>
          <w:spacing w:val="-3"/>
        </w:rPr>
        <w:t>g</w:t>
      </w:r>
      <w:r>
        <w:t>er</w:t>
      </w:r>
      <w:r>
        <w:rPr>
          <w:spacing w:val="-3"/>
        </w:rPr>
        <w:t>a</w:t>
      </w:r>
      <w:r>
        <w:t>re, p</w:t>
      </w:r>
      <w:r>
        <w:rPr>
          <w:spacing w:val="-3"/>
        </w:rPr>
        <w:t>a</w:t>
      </w:r>
      <w:r>
        <w:rPr>
          <w:spacing w:val="1"/>
        </w:rPr>
        <w:t>l</w:t>
      </w:r>
      <w:r>
        <w:t>o</w:t>
      </w:r>
      <w:r>
        <w:rPr>
          <w:spacing w:val="-3"/>
        </w:rPr>
        <w:t>a</w:t>
      </w:r>
      <w:r>
        <w:t>r</w:t>
      </w:r>
      <w:r>
        <w:rPr>
          <w:spacing w:val="-3"/>
        </w:rPr>
        <w:t>e</w:t>
      </w:r>
      <w:r>
        <w:t xml:space="preserve">). </w:t>
      </w:r>
      <w:r>
        <w:rPr>
          <w:spacing w:val="-4"/>
        </w:rPr>
        <w:t>Î</w:t>
      </w:r>
      <w:r>
        <w:t>n</w:t>
      </w:r>
      <w:r>
        <w:rPr>
          <w:spacing w:val="1"/>
        </w:rPr>
        <w:t>t</w:t>
      </w:r>
      <w:r>
        <w:t>rer</w:t>
      </w:r>
      <w:r>
        <w:rPr>
          <w:spacing w:val="-3"/>
        </w:rPr>
        <w:t>u</w:t>
      </w:r>
      <w:r>
        <w:t>per</w:t>
      </w:r>
      <w:r>
        <w:rPr>
          <w:spacing w:val="-3"/>
        </w:rPr>
        <w:t>e</w:t>
      </w:r>
      <w:r>
        <w:t xml:space="preserve">a </w:t>
      </w:r>
      <w:r>
        <w:rPr>
          <w:spacing w:val="-2"/>
        </w:rPr>
        <w:t>t</w:t>
      </w:r>
      <w:r>
        <w:t>ra</w:t>
      </w:r>
      <w:r>
        <w:rPr>
          <w:spacing w:val="-2"/>
        </w:rPr>
        <w:t>t</w:t>
      </w:r>
      <w:r>
        <w:t>a</w:t>
      </w:r>
      <w:r>
        <w:rPr>
          <w:spacing w:val="-4"/>
        </w:rPr>
        <w:t>m</w:t>
      </w:r>
      <w:r>
        <w:t>en</w:t>
      </w:r>
      <w:r>
        <w:rPr>
          <w:spacing w:val="1"/>
        </w:rPr>
        <w:t>t</w:t>
      </w:r>
      <w:r>
        <w:t>u</w:t>
      </w:r>
      <w:r>
        <w:rPr>
          <w:spacing w:val="1"/>
        </w:rPr>
        <w:t>l</w:t>
      </w:r>
      <w:r>
        <w:rPr>
          <w:spacing w:val="-3"/>
        </w:rPr>
        <w:t>u</w:t>
      </w:r>
      <w:r>
        <w:t>i</w:t>
      </w:r>
      <w:r>
        <w:rPr>
          <w:spacing w:val="1"/>
        </w:rPr>
        <w:t xml:space="preserve"> </w:t>
      </w:r>
      <w:r>
        <w:t>cu</w:t>
      </w:r>
      <w:r>
        <w:rPr>
          <w:spacing w:val="-3"/>
        </w:rPr>
        <w:t xml:space="preserve"> </w:t>
      </w:r>
      <w:r>
        <w:rPr>
          <w:rFonts w:eastAsia="MS Mincho"/>
          <w:spacing w:val="-1"/>
          <w:szCs w:val="22"/>
          <w:lang w:eastAsia="en-US" w:bidi="ar-SA"/>
        </w:rPr>
        <w:t>AMGEVITA</w:t>
      </w:r>
      <w:r>
        <w:t xml:space="preserve"> </w:t>
      </w:r>
      <w:r>
        <w:rPr>
          <w:spacing w:val="1"/>
        </w:rPr>
        <w:t>t</w:t>
      </w:r>
      <w:r>
        <w:t>r</w:t>
      </w:r>
      <w:r>
        <w:rPr>
          <w:spacing w:val="-3"/>
        </w:rPr>
        <w:t>e</w:t>
      </w:r>
      <w:r>
        <w:t>bu</w:t>
      </w:r>
      <w:r>
        <w:rPr>
          <w:spacing w:val="-2"/>
        </w:rPr>
        <w:t>i</w:t>
      </w:r>
      <w:r>
        <w:t xml:space="preserve">e </w:t>
      </w:r>
      <w:r>
        <w:rPr>
          <w:spacing w:val="1"/>
        </w:rPr>
        <w:t>l</w:t>
      </w:r>
      <w:r>
        <w:rPr>
          <w:spacing w:val="-3"/>
        </w:rPr>
        <w:t>u</w:t>
      </w:r>
      <w:r>
        <w:t>at</w:t>
      </w:r>
      <w:r>
        <w:rPr>
          <w:spacing w:val="-2"/>
        </w:rPr>
        <w:t xml:space="preserve"> </w:t>
      </w:r>
      <w:r>
        <w:rPr>
          <w:spacing w:val="1"/>
        </w:rPr>
        <w:t>î</w:t>
      </w:r>
      <w:r>
        <w:t xml:space="preserve">n </w:t>
      </w:r>
      <w:r>
        <w:rPr>
          <w:spacing w:val="-3"/>
        </w:rPr>
        <w:t>c</w:t>
      </w:r>
      <w:r>
        <w:t>on</w:t>
      </w:r>
      <w:r>
        <w:rPr>
          <w:spacing w:val="-2"/>
        </w:rPr>
        <w:t>s</w:t>
      </w:r>
      <w:r>
        <w:rPr>
          <w:spacing w:val="1"/>
        </w:rPr>
        <w:t>i</w:t>
      </w:r>
      <w:r>
        <w:t>d</w:t>
      </w:r>
      <w:r>
        <w:rPr>
          <w:spacing w:val="-3"/>
        </w:rPr>
        <w:t>e</w:t>
      </w:r>
      <w:r>
        <w:t>ra</w:t>
      </w:r>
      <w:r>
        <w:rPr>
          <w:spacing w:val="-2"/>
        </w:rPr>
        <w:t>r</w:t>
      </w:r>
      <w:r>
        <w:t xml:space="preserve">e </w:t>
      </w:r>
      <w:r>
        <w:rPr>
          <w:spacing w:val="1"/>
        </w:rPr>
        <w:t>î</w:t>
      </w:r>
      <w:r>
        <w:t>n</w:t>
      </w:r>
      <w:r>
        <w:rPr>
          <w:spacing w:val="-3"/>
        </w:rPr>
        <w:t xml:space="preserve"> </w:t>
      </w:r>
      <w:r>
        <w:t>ca</w:t>
      </w:r>
      <w:r>
        <w:rPr>
          <w:spacing w:val="-3"/>
        </w:rPr>
        <w:t>z</w:t>
      </w:r>
      <w:r>
        <w:t>ul pac</w:t>
      </w:r>
      <w:r>
        <w:rPr>
          <w:spacing w:val="-2"/>
        </w:rPr>
        <w:t>i</w:t>
      </w:r>
      <w:r>
        <w:t>en</w:t>
      </w:r>
      <w:r>
        <w:rPr>
          <w:spacing w:val="-2"/>
        </w:rPr>
        <w:t>ţ</w:t>
      </w:r>
      <w:r>
        <w:rPr>
          <w:spacing w:val="1"/>
        </w:rPr>
        <w:t>i</w:t>
      </w:r>
      <w:r>
        <w:rPr>
          <w:spacing w:val="-2"/>
        </w:rPr>
        <w:t>l</w:t>
      </w:r>
      <w:r>
        <w:t>or</w:t>
      </w:r>
      <w:r>
        <w:rPr>
          <w:spacing w:val="1"/>
        </w:rPr>
        <w:t xml:space="preserve"> </w:t>
      </w:r>
      <w:r>
        <w:rPr>
          <w:spacing w:val="-3"/>
        </w:rPr>
        <w:t>c</w:t>
      </w:r>
      <w:r>
        <w:t>are</w:t>
      </w:r>
      <w:r>
        <w:rPr>
          <w:spacing w:val="-2"/>
        </w:rPr>
        <w:t xml:space="preserve"> </w:t>
      </w:r>
      <w:r>
        <w:t>au</w:t>
      </w:r>
      <w:r>
        <w:rPr>
          <w:spacing w:val="-3"/>
        </w:rPr>
        <w:t xml:space="preserve"> </w:t>
      </w:r>
      <w:r>
        <w:rPr>
          <w:spacing w:val="1"/>
        </w:rPr>
        <w:t>t</w:t>
      </w:r>
      <w:r>
        <w:t>u</w:t>
      </w:r>
      <w:r>
        <w:rPr>
          <w:spacing w:val="-2"/>
        </w:rPr>
        <w:t>l</w:t>
      </w:r>
      <w:r>
        <w:t>bur</w:t>
      </w:r>
      <w:r>
        <w:rPr>
          <w:spacing w:val="-3"/>
        </w:rPr>
        <w:t>ă</w:t>
      </w:r>
      <w:r>
        <w:t>ri</w:t>
      </w:r>
      <w:r>
        <w:rPr>
          <w:spacing w:val="-2"/>
        </w:rPr>
        <w:t xml:space="preserve"> </w:t>
      </w:r>
      <w:r>
        <w:t>he</w:t>
      </w:r>
      <w:r>
        <w:rPr>
          <w:spacing w:val="-4"/>
        </w:rPr>
        <w:t>m</w:t>
      </w:r>
      <w:r>
        <w:t>a</w:t>
      </w:r>
      <w:r>
        <w:rPr>
          <w:spacing w:val="1"/>
        </w:rPr>
        <w:t>t</w:t>
      </w:r>
      <w:r>
        <w:t>o</w:t>
      </w:r>
      <w:r>
        <w:rPr>
          <w:spacing w:val="1"/>
        </w:rPr>
        <w:t>l</w:t>
      </w:r>
      <w:r>
        <w:t>o</w:t>
      </w:r>
      <w:r>
        <w:rPr>
          <w:spacing w:val="-3"/>
        </w:rPr>
        <w:t>g</w:t>
      </w:r>
      <w:r>
        <w:rPr>
          <w:spacing w:val="1"/>
        </w:rPr>
        <w:t>i</w:t>
      </w:r>
      <w:r>
        <w:t>ce</w:t>
      </w:r>
      <w:r>
        <w:rPr>
          <w:spacing w:val="-2"/>
        </w:rPr>
        <w:t xml:space="preserve"> </w:t>
      </w:r>
      <w:r>
        <w:t>se</w:t>
      </w:r>
      <w:r>
        <w:rPr>
          <w:spacing w:val="-4"/>
        </w:rPr>
        <w:t>m</w:t>
      </w:r>
      <w:r>
        <w:t>n</w:t>
      </w:r>
      <w:r>
        <w:rPr>
          <w:spacing w:val="1"/>
        </w:rPr>
        <w:t>i</w:t>
      </w:r>
      <w:r>
        <w:t>f</w:t>
      </w:r>
      <w:r>
        <w:rPr>
          <w:spacing w:val="-2"/>
        </w:rPr>
        <w:t>i</w:t>
      </w:r>
      <w:r>
        <w:t>c</w:t>
      </w:r>
      <w:r>
        <w:rPr>
          <w:spacing w:val="-3"/>
        </w:rPr>
        <w:t>a</w:t>
      </w:r>
      <w:r>
        <w:rPr>
          <w:spacing w:val="1"/>
        </w:rPr>
        <w:t>ti</w:t>
      </w:r>
      <w:r>
        <w:rPr>
          <w:spacing w:val="-3"/>
        </w:rPr>
        <w:t>v</w:t>
      </w:r>
      <w:r>
        <w:t>e.</w:t>
      </w:r>
    </w:p>
    <w:p w14:paraId="5A29A731" w14:textId="77777777" w:rsidR="00C04CAD" w:rsidRDefault="00C04CAD">
      <w:pPr>
        <w:tabs>
          <w:tab w:val="clear" w:pos="567"/>
        </w:tabs>
        <w:kinsoku w:val="0"/>
        <w:overflowPunct w:val="0"/>
        <w:autoSpaceDE w:val="0"/>
        <w:autoSpaceDN w:val="0"/>
        <w:adjustRightInd w:val="0"/>
        <w:spacing w:line="240" w:lineRule="auto"/>
      </w:pPr>
    </w:p>
    <w:p w14:paraId="0AFFF2F9" w14:textId="77777777" w:rsidR="00C04CAD" w:rsidRDefault="00060E34">
      <w:pPr>
        <w:keepNext/>
        <w:tabs>
          <w:tab w:val="clear" w:pos="567"/>
        </w:tabs>
        <w:kinsoku w:val="0"/>
        <w:overflowPunct w:val="0"/>
        <w:autoSpaceDE w:val="0"/>
        <w:autoSpaceDN w:val="0"/>
        <w:adjustRightInd w:val="0"/>
        <w:spacing w:line="240" w:lineRule="auto"/>
      </w:pPr>
      <w:r>
        <w:rPr>
          <w:u w:val="single"/>
        </w:rPr>
        <w:t>Vaccinări</w:t>
      </w:r>
    </w:p>
    <w:p w14:paraId="1818EAB7" w14:textId="77777777" w:rsidR="00C04CAD" w:rsidRDefault="00C04CAD">
      <w:pPr>
        <w:keepNext/>
        <w:tabs>
          <w:tab w:val="clear" w:pos="567"/>
        </w:tabs>
        <w:kinsoku w:val="0"/>
        <w:overflowPunct w:val="0"/>
        <w:autoSpaceDE w:val="0"/>
        <w:autoSpaceDN w:val="0"/>
        <w:adjustRightInd w:val="0"/>
        <w:spacing w:line="240" w:lineRule="auto"/>
      </w:pPr>
    </w:p>
    <w:p w14:paraId="0EF1210F" w14:textId="77777777" w:rsidR="00C04CAD" w:rsidRDefault="00060E34">
      <w:pPr>
        <w:tabs>
          <w:tab w:val="clear" w:pos="567"/>
        </w:tabs>
        <w:kinsoku w:val="0"/>
        <w:overflowPunct w:val="0"/>
        <w:autoSpaceDE w:val="0"/>
        <w:autoSpaceDN w:val="0"/>
        <w:adjustRightInd w:val="0"/>
        <w:spacing w:line="240" w:lineRule="auto"/>
      </w:pPr>
      <w:r>
        <w:rPr>
          <w:spacing w:val="-4"/>
        </w:rPr>
        <w:t>Î</w:t>
      </w:r>
      <w:r>
        <w:t>n</w:t>
      </w:r>
      <w:r>
        <w:rPr>
          <w:spacing w:val="1"/>
        </w:rPr>
        <w:t>t</w:t>
      </w:r>
      <w:r>
        <w:rPr>
          <w:spacing w:val="3"/>
        </w:rPr>
        <w:t>r</w:t>
      </w:r>
      <w:r>
        <w:rPr>
          <w:spacing w:val="-4"/>
        </w:rPr>
        <w:t>-</w:t>
      </w:r>
      <w:r>
        <w:t>un s</w:t>
      </w:r>
      <w:r>
        <w:rPr>
          <w:spacing w:val="1"/>
        </w:rPr>
        <w:t>t</w:t>
      </w:r>
      <w:r>
        <w:t>ud</w:t>
      </w:r>
      <w:r>
        <w:rPr>
          <w:spacing w:val="1"/>
        </w:rPr>
        <w:t>i</w:t>
      </w:r>
      <w:r>
        <w:t>u</w:t>
      </w:r>
      <w:r>
        <w:rPr>
          <w:spacing w:val="-3"/>
        </w:rPr>
        <w:t xml:space="preserve"> </w:t>
      </w:r>
      <w:r>
        <w:rPr>
          <w:spacing w:val="1"/>
        </w:rPr>
        <w:t>l</w:t>
      </w:r>
      <w:r>
        <w:t>a</w:t>
      </w:r>
      <w:r>
        <w:rPr>
          <w:spacing w:val="-2"/>
        </w:rPr>
        <w:t xml:space="preserve"> </w:t>
      </w:r>
      <w:r>
        <w:t>226 s</w:t>
      </w:r>
      <w:r>
        <w:rPr>
          <w:spacing w:val="-3"/>
        </w:rPr>
        <w:t>u</w:t>
      </w:r>
      <w:r>
        <w:t>b</w:t>
      </w:r>
      <w:r>
        <w:rPr>
          <w:spacing w:val="1"/>
        </w:rPr>
        <w:t>i</w:t>
      </w:r>
      <w:r>
        <w:rPr>
          <w:spacing w:val="-3"/>
        </w:rPr>
        <w:t>ec</w:t>
      </w:r>
      <w:r>
        <w:rPr>
          <w:spacing w:val="1"/>
        </w:rPr>
        <w:t>ţ</w:t>
      </w:r>
      <w:r>
        <w:t>i</w:t>
      </w:r>
      <w:r>
        <w:rPr>
          <w:spacing w:val="1"/>
        </w:rPr>
        <w:t xml:space="preserve"> </w:t>
      </w:r>
      <w:r>
        <w:rPr>
          <w:spacing w:val="-3"/>
        </w:rPr>
        <w:t>a</w:t>
      </w:r>
      <w:r>
        <w:t>du</w:t>
      </w:r>
      <w:r>
        <w:rPr>
          <w:spacing w:val="-2"/>
        </w:rPr>
        <w:t>l</w:t>
      </w:r>
      <w:r>
        <w:rPr>
          <w:spacing w:val="1"/>
        </w:rPr>
        <w:t>ţ</w:t>
      </w:r>
      <w:r>
        <w:t>i</w:t>
      </w:r>
      <w:r>
        <w:rPr>
          <w:spacing w:val="-2"/>
        </w:rPr>
        <w:t xml:space="preserve"> </w:t>
      </w:r>
      <w:r>
        <w:t xml:space="preserve">cu </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t>o</w:t>
      </w:r>
      <w:r>
        <w:rPr>
          <w:spacing w:val="-2"/>
        </w:rPr>
        <w:t>i</w:t>
      </w:r>
      <w:r>
        <w:t>dă c</w:t>
      </w:r>
      <w:r>
        <w:rPr>
          <w:spacing w:val="-3"/>
        </w:rPr>
        <w:t>a</w:t>
      </w:r>
      <w:r>
        <w:t xml:space="preserve">re </w:t>
      </w:r>
      <w:r>
        <w:rPr>
          <w:spacing w:val="-3"/>
        </w:rPr>
        <w:t>a</w:t>
      </w:r>
      <w:r>
        <w:t>u f</w:t>
      </w:r>
      <w:r>
        <w:rPr>
          <w:spacing w:val="-3"/>
        </w:rPr>
        <w:t>o</w:t>
      </w:r>
      <w:r>
        <w:t>st</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t>cu a</w:t>
      </w:r>
      <w:r>
        <w:rPr>
          <w:spacing w:val="-3"/>
        </w:rPr>
        <w:t>d</w:t>
      </w:r>
      <w:r>
        <w:t>a</w:t>
      </w:r>
      <w:r>
        <w:rPr>
          <w:spacing w:val="1"/>
        </w:rPr>
        <w:t>li</w:t>
      </w:r>
      <w:r>
        <w:rPr>
          <w:spacing w:val="-4"/>
        </w:rPr>
        <w:t>m</w:t>
      </w:r>
      <w:r>
        <w:t>u</w:t>
      </w:r>
      <w:r>
        <w:rPr>
          <w:spacing w:val="-4"/>
        </w:rPr>
        <w:t>m</w:t>
      </w:r>
      <w:r>
        <w:t>ab sau cu p</w:t>
      </w:r>
      <w:r>
        <w:rPr>
          <w:spacing w:val="1"/>
        </w:rPr>
        <w:t>l</w:t>
      </w:r>
      <w:r>
        <w:t>a</w:t>
      </w:r>
      <w:r>
        <w:rPr>
          <w:spacing w:val="-3"/>
        </w:rPr>
        <w:t>c</w:t>
      </w:r>
      <w:r>
        <w:t xml:space="preserve">ebo, </w:t>
      </w:r>
      <w:r>
        <w:rPr>
          <w:spacing w:val="-3"/>
        </w:rPr>
        <w:t>a</w:t>
      </w:r>
      <w:r>
        <w:t>u f</w:t>
      </w:r>
      <w:r>
        <w:rPr>
          <w:spacing w:val="-3"/>
        </w:rPr>
        <w:t>o</w:t>
      </w:r>
      <w:r>
        <w:t>st</w:t>
      </w:r>
      <w:r>
        <w:rPr>
          <w:spacing w:val="1"/>
        </w:rPr>
        <w:t xml:space="preserve"> </w:t>
      </w:r>
      <w:r>
        <w:rPr>
          <w:spacing w:val="-3"/>
        </w:rPr>
        <w:t>o</w:t>
      </w:r>
      <w:r>
        <w:t>bs</w:t>
      </w:r>
      <w:r>
        <w:rPr>
          <w:spacing w:val="-3"/>
        </w:rPr>
        <w:t>e</w:t>
      </w:r>
      <w:r>
        <w:t>r</w:t>
      </w:r>
      <w:r>
        <w:rPr>
          <w:spacing w:val="-3"/>
        </w:rPr>
        <w:t>v</w:t>
      </w:r>
      <w:r>
        <w:t>a</w:t>
      </w:r>
      <w:r>
        <w:rPr>
          <w:spacing w:val="1"/>
        </w:rPr>
        <w:t>t</w:t>
      </w:r>
      <w:r>
        <w:t>e</w:t>
      </w:r>
      <w:r>
        <w:rPr>
          <w:spacing w:val="-2"/>
        </w:rPr>
        <w:t xml:space="preserve"> r</w:t>
      </w:r>
      <w:r>
        <w:t>ăspun</w:t>
      </w:r>
      <w:r>
        <w:rPr>
          <w:spacing w:val="-2"/>
        </w:rPr>
        <w:t>s</w:t>
      </w:r>
      <w:r>
        <w:t>u</w:t>
      </w:r>
      <w:r>
        <w:rPr>
          <w:spacing w:val="-2"/>
        </w:rPr>
        <w:t>r</w:t>
      </w:r>
      <w:r>
        <w:t>i</w:t>
      </w:r>
      <w:r>
        <w:rPr>
          <w:spacing w:val="1"/>
        </w:rPr>
        <w:t xml:space="preserve"> </w:t>
      </w:r>
      <w:r>
        <w:rPr>
          <w:spacing w:val="-2"/>
        </w:rPr>
        <w:t>s</w:t>
      </w:r>
      <w:r>
        <w:rPr>
          <w:spacing w:val="1"/>
        </w:rPr>
        <w:t>i</w:t>
      </w:r>
      <w:r>
        <w:rPr>
          <w:spacing w:val="-4"/>
        </w:rPr>
        <w:t>m</w:t>
      </w:r>
      <w:r>
        <w:rPr>
          <w:spacing w:val="1"/>
        </w:rPr>
        <w:t>il</w:t>
      </w:r>
      <w:r>
        <w:t>are</w:t>
      </w:r>
      <w:r>
        <w:rPr>
          <w:spacing w:val="-2"/>
        </w:rPr>
        <w:t xml:space="preserve"> </w:t>
      </w:r>
      <w:r>
        <w:rPr>
          <w:spacing w:val="1"/>
        </w:rPr>
        <w:t>l</w:t>
      </w:r>
      <w:r>
        <w:t xml:space="preserve">a </w:t>
      </w:r>
      <w:r>
        <w:rPr>
          <w:spacing w:val="-3"/>
        </w:rPr>
        <w:t>v</w:t>
      </w:r>
      <w:r>
        <w:t>ac</w:t>
      </w:r>
      <w:r>
        <w:rPr>
          <w:spacing w:val="-3"/>
        </w:rPr>
        <w:t>c</w:t>
      </w:r>
      <w:r>
        <w:rPr>
          <w:spacing w:val="1"/>
        </w:rPr>
        <w:t>i</w:t>
      </w:r>
      <w:r>
        <w:rPr>
          <w:spacing w:val="-3"/>
        </w:rPr>
        <w:t>n</w:t>
      </w:r>
      <w:r>
        <w:t>ul</w:t>
      </w:r>
      <w:r>
        <w:rPr>
          <w:spacing w:val="1"/>
        </w:rPr>
        <w:t xml:space="preserve"> </w:t>
      </w:r>
      <w:r>
        <w:t>pn</w:t>
      </w:r>
      <w:r>
        <w:rPr>
          <w:spacing w:val="-3"/>
        </w:rPr>
        <w:t>e</w:t>
      </w:r>
      <w:r>
        <w:t>u</w:t>
      </w:r>
      <w:r>
        <w:rPr>
          <w:spacing w:val="-4"/>
        </w:rPr>
        <w:t>m</w:t>
      </w:r>
      <w:r>
        <w:t>ococ</w:t>
      </w:r>
      <w:r>
        <w:rPr>
          <w:spacing w:val="1"/>
        </w:rPr>
        <w:t>i</w:t>
      </w:r>
      <w:r>
        <w:t xml:space="preserve">c </w:t>
      </w:r>
      <w:r>
        <w:rPr>
          <w:spacing w:val="-2"/>
        </w:rPr>
        <w:t>s</w:t>
      </w:r>
      <w:r>
        <w:rPr>
          <w:spacing w:val="1"/>
        </w:rPr>
        <w:t>t</w:t>
      </w:r>
      <w:r>
        <w:t>a</w:t>
      </w:r>
      <w:r>
        <w:rPr>
          <w:spacing w:val="-3"/>
        </w:rPr>
        <w:t>n</w:t>
      </w:r>
      <w:r>
        <w:t>da</w:t>
      </w:r>
      <w:r>
        <w:rPr>
          <w:spacing w:val="-2"/>
        </w:rPr>
        <w:t>r</w:t>
      </w:r>
      <w:r>
        <w:t xml:space="preserve">d </w:t>
      </w:r>
      <w:r>
        <w:rPr>
          <w:spacing w:val="-3"/>
        </w:rPr>
        <w:t>v</w:t>
      </w:r>
      <w:r>
        <w:t>a</w:t>
      </w:r>
      <w:r>
        <w:rPr>
          <w:spacing w:val="1"/>
        </w:rPr>
        <w:t>l</w:t>
      </w:r>
      <w:r>
        <w:t>e</w:t>
      </w:r>
      <w:r>
        <w:rPr>
          <w:spacing w:val="-3"/>
        </w:rPr>
        <w:t>n</w:t>
      </w:r>
      <w:r>
        <w:rPr>
          <w:spacing w:val="1"/>
        </w:rPr>
        <w:t>t</w:t>
      </w:r>
      <w:r>
        <w:rPr>
          <w:spacing w:val="-4"/>
        </w:rPr>
        <w:t>-</w:t>
      </w:r>
      <w:r>
        <w:t>23 şi</w:t>
      </w:r>
      <w:r>
        <w:rPr>
          <w:spacing w:val="1"/>
        </w:rPr>
        <w:t xml:space="preserve"> </w:t>
      </w:r>
      <w:r>
        <w:rPr>
          <w:spacing w:val="-2"/>
        </w:rPr>
        <w:t>l</w:t>
      </w:r>
      <w:r>
        <w:t xml:space="preserve">a </w:t>
      </w:r>
      <w:r>
        <w:rPr>
          <w:spacing w:val="-3"/>
        </w:rPr>
        <w:t>v</w:t>
      </w:r>
      <w:r>
        <w:t>acc</w:t>
      </w:r>
      <w:r>
        <w:rPr>
          <w:spacing w:val="1"/>
        </w:rPr>
        <w:t>i</w:t>
      </w:r>
      <w:r>
        <w:t>nul</w:t>
      </w:r>
      <w:r>
        <w:rPr>
          <w:spacing w:val="-2"/>
        </w:rPr>
        <w:t xml:space="preserve"> t</w:t>
      </w:r>
      <w:r>
        <w:t>r</w:t>
      </w:r>
      <w:r>
        <w:rPr>
          <w:spacing w:val="1"/>
        </w:rPr>
        <w:t>i</w:t>
      </w:r>
      <w:r>
        <w:rPr>
          <w:spacing w:val="-3"/>
        </w:rPr>
        <w:t>v</w:t>
      </w:r>
      <w:r>
        <w:t>a</w:t>
      </w:r>
      <w:r>
        <w:rPr>
          <w:spacing w:val="1"/>
        </w:rPr>
        <w:t>l</w:t>
      </w:r>
      <w:r>
        <w:rPr>
          <w:spacing w:val="-3"/>
        </w:rPr>
        <w:t>e</w:t>
      </w:r>
      <w:r>
        <w:t>nt</w:t>
      </w:r>
      <w:r>
        <w:rPr>
          <w:spacing w:val="1"/>
        </w:rPr>
        <w:t xml:space="preserve"> </w:t>
      </w:r>
      <w:r>
        <w:rPr>
          <w:spacing w:val="-3"/>
        </w:rPr>
        <w:t>g</w:t>
      </w:r>
      <w:r>
        <w:t>r</w:t>
      </w:r>
      <w:r>
        <w:rPr>
          <w:spacing w:val="-2"/>
        </w:rPr>
        <w:t>i</w:t>
      </w:r>
      <w:r>
        <w:t>pa</w:t>
      </w:r>
      <w:r>
        <w:rPr>
          <w:spacing w:val="1"/>
        </w:rPr>
        <w:t>l</w:t>
      </w:r>
      <w:r>
        <w:t>.</w:t>
      </w:r>
      <w:r>
        <w:rPr>
          <w:spacing w:val="-3"/>
        </w:rPr>
        <w:t xml:space="preserve"> </w:t>
      </w:r>
      <w:r>
        <w:rPr>
          <w:spacing w:val="-1"/>
        </w:rPr>
        <w:t>N</w:t>
      </w:r>
      <w:r>
        <w:t>u sunt</w:t>
      </w:r>
      <w:r>
        <w:rPr>
          <w:spacing w:val="-2"/>
        </w:rPr>
        <w:t xml:space="preserve"> </w:t>
      </w:r>
      <w:r>
        <w:t>d</w:t>
      </w:r>
      <w:r>
        <w:rPr>
          <w:spacing w:val="-3"/>
        </w:rPr>
        <w:t>a</w:t>
      </w:r>
      <w:r>
        <w:rPr>
          <w:spacing w:val="1"/>
        </w:rPr>
        <w:t>t</w:t>
      </w:r>
      <w:r>
        <w:t xml:space="preserve">e </w:t>
      </w:r>
      <w:r>
        <w:rPr>
          <w:spacing w:val="-3"/>
        </w:rPr>
        <w:t>d</w:t>
      </w:r>
      <w:r>
        <w:rPr>
          <w:spacing w:val="1"/>
        </w:rPr>
        <w:t>i</w:t>
      </w:r>
      <w:r>
        <w:t>spo</w:t>
      </w:r>
      <w:r>
        <w:rPr>
          <w:spacing w:val="-3"/>
        </w:rPr>
        <w:t>n</w:t>
      </w:r>
      <w:r>
        <w:rPr>
          <w:spacing w:val="1"/>
        </w:rPr>
        <w:t>i</w:t>
      </w:r>
      <w:r>
        <w:rPr>
          <w:spacing w:val="-3"/>
        </w:rPr>
        <w:t>b</w:t>
      </w:r>
      <w:r>
        <w:rPr>
          <w:spacing w:val="1"/>
        </w:rPr>
        <w:t>il</w:t>
      </w:r>
      <w:r>
        <w:t>e</w:t>
      </w:r>
      <w:r>
        <w:rPr>
          <w:spacing w:val="-2"/>
        </w:rPr>
        <w:t xml:space="preserve"> </w:t>
      </w:r>
      <w:r>
        <w:t>p</w:t>
      </w:r>
      <w:r>
        <w:rPr>
          <w:spacing w:val="-2"/>
        </w:rPr>
        <w:t>r</w:t>
      </w:r>
      <w:r>
        <w:rPr>
          <w:spacing w:val="1"/>
        </w:rPr>
        <w:t>i</w:t>
      </w:r>
      <w:r>
        <w:rPr>
          <w:spacing w:val="-3"/>
        </w:rPr>
        <w:t>v</w:t>
      </w:r>
      <w:r>
        <w:rPr>
          <w:spacing w:val="1"/>
        </w:rPr>
        <w:t>i</w:t>
      </w:r>
      <w:r>
        <w:t xml:space="preserve">nd </w:t>
      </w:r>
      <w:r>
        <w:rPr>
          <w:spacing w:val="-2"/>
        </w:rPr>
        <w:t>t</w:t>
      </w:r>
      <w:r>
        <w:t>ra</w:t>
      </w:r>
      <w:r>
        <w:rPr>
          <w:spacing w:val="-3"/>
        </w:rPr>
        <w:t>n</w:t>
      </w:r>
      <w:r>
        <w:t>s</w:t>
      </w:r>
      <w:r>
        <w:rPr>
          <w:spacing w:val="-4"/>
        </w:rPr>
        <w:t>m</w:t>
      </w:r>
      <w:r>
        <w:rPr>
          <w:spacing w:val="1"/>
        </w:rPr>
        <w:t>it</w:t>
      </w:r>
      <w:r>
        <w:t>e</w:t>
      </w:r>
      <w:r>
        <w:rPr>
          <w:spacing w:val="-2"/>
        </w:rPr>
        <w:t>r</w:t>
      </w:r>
      <w:r>
        <w:t xml:space="preserve">ea </w:t>
      </w:r>
      <w:r>
        <w:rPr>
          <w:spacing w:val="-2"/>
        </w:rPr>
        <w:t>s</w:t>
      </w:r>
      <w:r>
        <w:t>ecun</w:t>
      </w:r>
      <w:r>
        <w:rPr>
          <w:spacing w:val="-3"/>
        </w:rPr>
        <w:t>d</w:t>
      </w:r>
      <w:r>
        <w:t>a</w:t>
      </w:r>
      <w:r>
        <w:rPr>
          <w:spacing w:val="-2"/>
        </w:rPr>
        <w:t>r</w:t>
      </w:r>
      <w:r>
        <w:t>ă</w:t>
      </w:r>
      <w:r>
        <w:rPr>
          <w:spacing w:val="-2"/>
        </w:rPr>
        <w:t xml:space="preserve"> </w:t>
      </w:r>
      <w:r>
        <w:t xml:space="preserve">a </w:t>
      </w:r>
      <w:r>
        <w:rPr>
          <w:spacing w:val="1"/>
        </w:rPr>
        <w:t>i</w:t>
      </w:r>
      <w:r>
        <w:rPr>
          <w:spacing w:val="-3"/>
        </w:rPr>
        <w:t>n</w:t>
      </w:r>
      <w:r>
        <w:t>fe</w:t>
      </w:r>
      <w:r>
        <w:rPr>
          <w:spacing w:val="-3"/>
        </w:rPr>
        <w:t>c</w:t>
      </w:r>
      <w:r>
        <w:rPr>
          <w:spacing w:val="1"/>
        </w:rPr>
        <w:t>ţ</w:t>
      </w:r>
      <w:r>
        <w:rPr>
          <w:spacing w:val="-2"/>
        </w:rPr>
        <w:t>i</w:t>
      </w:r>
      <w:r>
        <w:t>ei</w:t>
      </w:r>
      <w:r>
        <w:rPr>
          <w:spacing w:val="1"/>
        </w:rPr>
        <w:t xml:space="preserve"> </w:t>
      </w:r>
      <w:r>
        <w:rPr>
          <w:spacing w:val="-3"/>
        </w:rPr>
        <w:t>d</w:t>
      </w:r>
      <w:r>
        <w:t>e c</w:t>
      </w:r>
      <w:r>
        <w:rPr>
          <w:spacing w:val="-3"/>
        </w:rPr>
        <w:t>ă</w:t>
      </w:r>
      <w:r>
        <w:rPr>
          <w:spacing w:val="1"/>
        </w:rPr>
        <w:t>t</w:t>
      </w:r>
      <w:r>
        <w:rPr>
          <w:spacing w:val="-2"/>
        </w:rPr>
        <w:t>r</w:t>
      </w:r>
      <w:r>
        <w:t xml:space="preserve">e </w:t>
      </w:r>
      <w:r>
        <w:rPr>
          <w:spacing w:val="-3"/>
        </w:rPr>
        <w:t>v</w:t>
      </w:r>
      <w:r>
        <w:t>acc</w:t>
      </w:r>
      <w:r>
        <w:rPr>
          <w:spacing w:val="1"/>
        </w:rPr>
        <w:t>i</w:t>
      </w:r>
      <w:r>
        <w:t>nu</w:t>
      </w:r>
      <w:r>
        <w:rPr>
          <w:spacing w:val="-2"/>
        </w:rPr>
        <w:t>r</w:t>
      </w:r>
      <w:r>
        <w:rPr>
          <w:spacing w:val="1"/>
        </w:rPr>
        <w:t>i</w:t>
      </w:r>
      <w:r>
        <w:rPr>
          <w:spacing w:val="-2"/>
        </w:rPr>
        <w:t>l</w:t>
      </w:r>
      <w:r>
        <w:t xml:space="preserve">e cu </w:t>
      </w:r>
      <w:r>
        <w:rPr>
          <w:spacing w:val="-3"/>
        </w:rPr>
        <w:t>v</w:t>
      </w:r>
      <w:r>
        <w:rPr>
          <w:spacing w:val="-2"/>
        </w:rPr>
        <w:t>i</w:t>
      </w:r>
      <w:r>
        <w:t xml:space="preserve">rus </w:t>
      </w:r>
      <w:r>
        <w:rPr>
          <w:spacing w:val="-3"/>
        </w:rPr>
        <w:t>v</w:t>
      </w:r>
      <w:r>
        <w:rPr>
          <w:spacing w:val="1"/>
        </w:rPr>
        <w:t>i</w:t>
      </w:r>
      <w:r>
        <w:t>u</w:t>
      </w:r>
      <w:r>
        <w:rPr>
          <w:spacing w:val="-3"/>
        </w:rPr>
        <w:t xml:space="preserve"> </w:t>
      </w:r>
      <w:r>
        <w:rPr>
          <w:spacing w:val="1"/>
        </w:rPr>
        <w:t>l</w:t>
      </w:r>
      <w:r>
        <w:t xml:space="preserve">a </w:t>
      </w:r>
      <w:r>
        <w:rPr>
          <w:spacing w:val="-3"/>
        </w:rPr>
        <w:t>p</w:t>
      </w:r>
      <w:r>
        <w:t>ac</w:t>
      </w:r>
      <w:r>
        <w:rPr>
          <w:spacing w:val="1"/>
        </w:rPr>
        <w:t>i</w:t>
      </w:r>
      <w:r>
        <w:rPr>
          <w:spacing w:val="-3"/>
        </w:rPr>
        <w:t>e</w:t>
      </w:r>
      <w:r>
        <w:t>n</w:t>
      </w:r>
      <w:r>
        <w:rPr>
          <w:spacing w:val="-2"/>
        </w:rPr>
        <w:t>ţ</w:t>
      </w:r>
      <w:r>
        <w:rPr>
          <w:spacing w:val="1"/>
        </w:rPr>
        <w:t>i</w:t>
      </w:r>
      <w:r>
        <w:t>i</w:t>
      </w:r>
      <w:r>
        <w:rPr>
          <w:spacing w:val="-2"/>
        </w:rPr>
        <w:t xml:space="preserve"> </w:t>
      </w:r>
      <w:r>
        <w:t>ca</w:t>
      </w:r>
      <w:r>
        <w:rPr>
          <w:spacing w:val="-2"/>
        </w:rPr>
        <w:t>r</w:t>
      </w:r>
      <w:r>
        <w:t>e p</w:t>
      </w:r>
      <w:r>
        <w:rPr>
          <w:spacing w:val="-2"/>
        </w:rPr>
        <w:t>r</w:t>
      </w:r>
      <w:r>
        <w:rPr>
          <w:spacing w:val="1"/>
        </w:rPr>
        <w:t>i</w:t>
      </w:r>
      <w:r>
        <w:rPr>
          <w:spacing w:val="-4"/>
        </w:rPr>
        <w:t>m</w:t>
      </w:r>
      <w:r>
        <w:t xml:space="preserve">esc </w:t>
      </w:r>
      <w:r>
        <w:rPr>
          <w:rFonts w:eastAsia="MS Mincho"/>
          <w:spacing w:val="-1"/>
          <w:szCs w:val="22"/>
          <w:lang w:eastAsia="en-US" w:bidi="ar-SA"/>
        </w:rPr>
        <w:t>adalimumab</w:t>
      </w:r>
      <w:r>
        <w:t>.</w:t>
      </w:r>
    </w:p>
    <w:p w14:paraId="538E073A" w14:textId="77777777" w:rsidR="00C04CAD" w:rsidRDefault="00C04CAD">
      <w:pPr>
        <w:tabs>
          <w:tab w:val="clear" w:pos="567"/>
        </w:tabs>
        <w:kinsoku w:val="0"/>
        <w:overflowPunct w:val="0"/>
        <w:autoSpaceDE w:val="0"/>
        <w:autoSpaceDN w:val="0"/>
        <w:adjustRightInd w:val="0"/>
        <w:spacing w:line="240" w:lineRule="auto"/>
      </w:pPr>
    </w:p>
    <w:p w14:paraId="0AB8208D" w14:textId="77777777" w:rsidR="00C04CAD" w:rsidRDefault="00060E34">
      <w:pPr>
        <w:tabs>
          <w:tab w:val="clear" w:pos="567"/>
        </w:tabs>
        <w:kinsoku w:val="0"/>
        <w:overflowPunct w:val="0"/>
        <w:autoSpaceDE w:val="0"/>
        <w:autoSpaceDN w:val="0"/>
        <w:adjustRightInd w:val="0"/>
        <w:spacing w:line="240" w:lineRule="auto"/>
      </w:pPr>
      <w:r>
        <w:rPr>
          <w:spacing w:val="-1"/>
        </w:rPr>
        <w:t>S</w:t>
      </w:r>
      <w:r>
        <w:t>e r</w:t>
      </w:r>
      <w:r>
        <w:rPr>
          <w:spacing w:val="-3"/>
        </w:rPr>
        <w:t>e</w:t>
      </w:r>
      <w:r>
        <w:t>co</w:t>
      </w:r>
      <w:r>
        <w:rPr>
          <w:spacing w:val="-4"/>
        </w:rPr>
        <w:t>m</w:t>
      </w:r>
      <w:r>
        <w:t xml:space="preserve">andă ca </w:t>
      </w:r>
      <w:r>
        <w:rPr>
          <w:spacing w:val="-3"/>
        </w:rPr>
        <w:t>p</w:t>
      </w:r>
      <w:r>
        <w:t>ac</w:t>
      </w:r>
      <w:r>
        <w:rPr>
          <w:spacing w:val="-2"/>
        </w:rPr>
        <w:t>i</w:t>
      </w:r>
      <w:r>
        <w:t>en</w:t>
      </w:r>
      <w:r>
        <w:rPr>
          <w:spacing w:val="-2"/>
        </w:rPr>
        <w:t>ţ</w:t>
      </w:r>
      <w:r>
        <w:rPr>
          <w:spacing w:val="1"/>
        </w:rPr>
        <w:t>i</w:t>
      </w:r>
      <w:r>
        <w:t>i</w:t>
      </w:r>
      <w:r>
        <w:rPr>
          <w:spacing w:val="-2"/>
        </w:rPr>
        <w:t xml:space="preserve"> </w:t>
      </w:r>
      <w:r>
        <w:rPr>
          <w:spacing w:val="-3"/>
        </w:rPr>
        <w:t>c</w:t>
      </w:r>
      <w:r>
        <w:t>op</w:t>
      </w:r>
      <w:r>
        <w:rPr>
          <w:spacing w:val="1"/>
        </w:rPr>
        <w:t>i</w:t>
      </w:r>
      <w:r>
        <w:t>i</w:t>
      </w:r>
      <w:r>
        <w:rPr>
          <w:spacing w:val="-2"/>
        </w:rPr>
        <w:t xml:space="preserve"> </w:t>
      </w:r>
      <w:r>
        <w:t>și</w:t>
      </w:r>
      <w:r>
        <w:rPr>
          <w:spacing w:val="-2"/>
        </w:rPr>
        <w:t xml:space="preserve"> </w:t>
      </w:r>
      <w:r>
        <w:t>ad</w:t>
      </w:r>
      <w:r>
        <w:rPr>
          <w:spacing w:val="-3"/>
        </w:rPr>
        <w:t>o</w:t>
      </w:r>
      <w:r>
        <w:rPr>
          <w:spacing w:val="1"/>
        </w:rPr>
        <w:t>l</w:t>
      </w:r>
      <w:r>
        <w:t>e</w:t>
      </w:r>
      <w:r>
        <w:rPr>
          <w:spacing w:val="-2"/>
        </w:rPr>
        <w:t>s</w:t>
      </w:r>
      <w:r>
        <w:t>ce</w:t>
      </w:r>
      <w:r>
        <w:rPr>
          <w:spacing w:val="-3"/>
        </w:rPr>
        <w:t>n</w:t>
      </w:r>
      <w:r>
        <w:rPr>
          <w:spacing w:val="1"/>
        </w:rPr>
        <w:t>ți</w:t>
      </w:r>
      <w:r>
        <w:t xml:space="preserve">, </w:t>
      </w:r>
      <w:r>
        <w:rPr>
          <w:spacing w:val="-3"/>
        </w:rPr>
        <w:t>d</w:t>
      </w:r>
      <w:r>
        <w:t>acă</w:t>
      </w:r>
      <w:r>
        <w:rPr>
          <w:spacing w:val="-2"/>
        </w:rPr>
        <w:t xml:space="preserve"> </w:t>
      </w:r>
      <w:r>
        <w:t>e</w:t>
      </w:r>
      <w:r>
        <w:rPr>
          <w:spacing w:val="-2"/>
        </w:rPr>
        <w:t>st</w:t>
      </w:r>
      <w:r>
        <w:t>e po</w:t>
      </w:r>
      <w:r>
        <w:rPr>
          <w:spacing w:val="-2"/>
        </w:rPr>
        <w:t>s</w:t>
      </w:r>
      <w:r>
        <w:rPr>
          <w:spacing w:val="1"/>
        </w:rPr>
        <w:t>i</w:t>
      </w:r>
      <w:r>
        <w:t>b</w:t>
      </w:r>
      <w:r>
        <w:rPr>
          <w:spacing w:val="-2"/>
        </w:rPr>
        <w:t>i</w:t>
      </w:r>
      <w:r>
        <w:rPr>
          <w:spacing w:val="1"/>
        </w:rPr>
        <w:t>l</w:t>
      </w:r>
      <w:r>
        <w:t xml:space="preserve">, </w:t>
      </w:r>
      <w:r>
        <w:rPr>
          <w:spacing w:val="-2"/>
        </w:rPr>
        <w:t>s</w:t>
      </w:r>
      <w:r>
        <w:t xml:space="preserve">ă </w:t>
      </w:r>
      <w:r>
        <w:rPr>
          <w:spacing w:val="-2"/>
        </w:rPr>
        <w:t>f</w:t>
      </w:r>
      <w:r>
        <w:rPr>
          <w:spacing w:val="1"/>
        </w:rPr>
        <w:t>i</w:t>
      </w:r>
      <w:r>
        <w:t xml:space="preserve">e </w:t>
      </w:r>
      <w:r>
        <w:rPr>
          <w:spacing w:val="-3"/>
        </w:rPr>
        <w:t>a</w:t>
      </w:r>
      <w:r>
        <w:t>du</w:t>
      </w:r>
      <w:r>
        <w:rPr>
          <w:spacing w:val="-2"/>
        </w:rPr>
        <w:t>ş</w:t>
      </w:r>
      <w:r>
        <w:t>i</w:t>
      </w:r>
      <w:r>
        <w:rPr>
          <w:spacing w:val="1"/>
        </w:rPr>
        <w:t xml:space="preserve"> l</w:t>
      </w:r>
      <w:r>
        <w:t>a</w:t>
      </w:r>
      <w:r>
        <w:rPr>
          <w:spacing w:val="-2"/>
        </w:rPr>
        <w:t xml:space="preserve"> </w:t>
      </w:r>
      <w:r>
        <w:rPr>
          <w:spacing w:val="-3"/>
        </w:rPr>
        <w:t>z</w:t>
      </w:r>
      <w:r>
        <w:t>i</w:t>
      </w:r>
      <w:r>
        <w:rPr>
          <w:spacing w:val="1"/>
        </w:rPr>
        <w:t xml:space="preserve"> </w:t>
      </w:r>
      <w:r>
        <w:rPr>
          <w:spacing w:val="-3"/>
        </w:rPr>
        <w:t>c</w:t>
      </w:r>
      <w:r>
        <w:t xml:space="preserve">u </w:t>
      </w:r>
      <w:r>
        <w:rPr>
          <w:spacing w:val="1"/>
        </w:rPr>
        <w:t>i</w:t>
      </w:r>
      <w:r>
        <w:rPr>
          <w:spacing w:val="-4"/>
        </w:rPr>
        <w:t>m</w:t>
      </w:r>
      <w:r>
        <w:t>un</w:t>
      </w:r>
      <w:r>
        <w:rPr>
          <w:spacing w:val="1"/>
        </w:rPr>
        <w:t>i</w:t>
      </w:r>
      <w:r>
        <w:rPr>
          <w:spacing w:val="-3"/>
        </w:rPr>
        <w:t>z</w:t>
      </w:r>
      <w:r>
        <w:t>ăr</w:t>
      </w:r>
      <w:r>
        <w:rPr>
          <w:spacing w:val="1"/>
        </w:rPr>
        <w:t>i</w:t>
      </w:r>
      <w:r>
        <w:rPr>
          <w:spacing w:val="-2"/>
        </w:rPr>
        <w:t>l</w:t>
      </w:r>
      <w:r>
        <w:t xml:space="preserve">e, </w:t>
      </w:r>
      <w:r>
        <w:rPr>
          <w:spacing w:val="-2"/>
        </w:rPr>
        <w:t>î</w:t>
      </w:r>
      <w:r>
        <w:t>n conc</w:t>
      </w:r>
      <w:r>
        <w:rPr>
          <w:spacing w:val="-3"/>
        </w:rPr>
        <w:t>o</w:t>
      </w:r>
      <w:r>
        <w:t>rda</w:t>
      </w:r>
      <w:r>
        <w:rPr>
          <w:spacing w:val="-3"/>
        </w:rPr>
        <w:t>n</w:t>
      </w:r>
      <w:r>
        <w:rPr>
          <w:spacing w:val="1"/>
        </w:rPr>
        <w:t>ţ</w:t>
      </w:r>
      <w:r>
        <w:t xml:space="preserve">ă </w:t>
      </w:r>
      <w:r>
        <w:rPr>
          <w:spacing w:val="-3"/>
        </w:rPr>
        <w:t>c</w:t>
      </w:r>
      <w:r>
        <w:t>u r</w:t>
      </w:r>
      <w:r>
        <w:rPr>
          <w:spacing w:val="-3"/>
        </w:rPr>
        <w:t>e</w:t>
      </w:r>
      <w:r>
        <w:t>co</w:t>
      </w:r>
      <w:r>
        <w:rPr>
          <w:spacing w:val="-4"/>
        </w:rPr>
        <w:t>m</w:t>
      </w:r>
      <w:r>
        <w:t>andă</w:t>
      </w:r>
      <w:r>
        <w:rPr>
          <w:spacing w:val="-2"/>
        </w:rPr>
        <w:t>r</w:t>
      </w:r>
      <w:r>
        <w:rPr>
          <w:spacing w:val="1"/>
        </w:rPr>
        <w:t>il</w:t>
      </w:r>
      <w:r>
        <w:t>e</w:t>
      </w:r>
      <w:r>
        <w:rPr>
          <w:spacing w:val="-2"/>
        </w:rPr>
        <w:t xml:space="preserve"> </w:t>
      </w:r>
      <w:r>
        <w:t>a</w:t>
      </w:r>
      <w:r>
        <w:rPr>
          <w:spacing w:val="-3"/>
        </w:rPr>
        <w:t>c</w:t>
      </w:r>
      <w:r>
        <w:rPr>
          <w:spacing w:val="1"/>
        </w:rPr>
        <w:t>t</w:t>
      </w:r>
      <w:r>
        <w:t>u</w:t>
      </w:r>
      <w:r>
        <w:rPr>
          <w:spacing w:val="-3"/>
        </w:rPr>
        <w:t>a</w:t>
      </w:r>
      <w:r>
        <w:rPr>
          <w:spacing w:val="1"/>
        </w:rPr>
        <w:t>l</w:t>
      </w:r>
      <w:r>
        <w:t xml:space="preserve">e </w:t>
      </w:r>
      <w:r>
        <w:rPr>
          <w:spacing w:val="-3"/>
        </w:rPr>
        <w:t>p</w:t>
      </w:r>
      <w:r>
        <w:t>r</w:t>
      </w:r>
      <w:r>
        <w:rPr>
          <w:spacing w:val="1"/>
        </w:rPr>
        <w:t>i</w:t>
      </w:r>
      <w:r>
        <w:rPr>
          <w:spacing w:val="-3"/>
        </w:rPr>
        <w:t>v</w:t>
      </w:r>
      <w:r>
        <w:rPr>
          <w:spacing w:val="1"/>
        </w:rPr>
        <w:t>i</w:t>
      </w:r>
      <w:r>
        <w:t>nd</w:t>
      </w:r>
      <w:r>
        <w:rPr>
          <w:spacing w:val="-3"/>
        </w:rPr>
        <w:t xml:space="preserve"> </w:t>
      </w:r>
      <w:r>
        <w:rPr>
          <w:spacing w:val="1"/>
        </w:rPr>
        <w:t>i</w:t>
      </w:r>
      <w:r>
        <w:rPr>
          <w:spacing w:val="-4"/>
        </w:rPr>
        <w:t>m</w:t>
      </w:r>
      <w:r>
        <w:t>un</w:t>
      </w:r>
      <w:r>
        <w:rPr>
          <w:spacing w:val="1"/>
        </w:rPr>
        <w:t>i</w:t>
      </w:r>
      <w:r>
        <w:rPr>
          <w:spacing w:val="-3"/>
        </w:rPr>
        <w:t>z</w:t>
      </w:r>
      <w:r>
        <w:t xml:space="preserve">area, </w:t>
      </w:r>
      <w:r>
        <w:rPr>
          <w:spacing w:val="1"/>
        </w:rPr>
        <w:t>î</w:t>
      </w:r>
      <w:r>
        <w:rPr>
          <w:spacing w:val="-3"/>
        </w:rPr>
        <w:t>n</w:t>
      </w:r>
      <w:r>
        <w:t>a</w:t>
      </w:r>
      <w:r>
        <w:rPr>
          <w:spacing w:val="1"/>
        </w:rPr>
        <w:t>i</w:t>
      </w:r>
      <w:r>
        <w:rPr>
          <w:spacing w:val="-3"/>
        </w:rPr>
        <w:t>n</w:t>
      </w:r>
      <w:r>
        <w:rPr>
          <w:spacing w:val="1"/>
        </w:rPr>
        <w:t>t</w:t>
      </w:r>
      <w:r>
        <w:t>e</w:t>
      </w:r>
      <w:r>
        <w:rPr>
          <w:spacing w:val="-2"/>
        </w:rPr>
        <w:t xml:space="preserve"> </w:t>
      </w:r>
      <w:r>
        <w:t xml:space="preserve">de </w:t>
      </w:r>
      <w:r>
        <w:rPr>
          <w:spacing w:val="-2"/>
        </w:rPr>
        <w:t>î</w:t>
      </w:r>
      <w:r>
        <w:t>nce</w:t>
      </w:r>
      <w:r>
        <w:rPr>
          <w:spacing w:val="-3"/>
        </w:rPr>
        <w:t>p</w:t>
      </w:r>
      <w:r>
        <w:t>e</w:t>
      </w:r>
      <w:r>
        <w:rPr>
          <w:spacing w:val="-2"/>
        </w:rPr>
        <w:t>r</w:t>
      </w:r>
      <w:r>
        <w:t xml:space="preserve">ea </w:t>
      </w:r>
      <w:r>
        <w:rPr>
          <w:spacing w:val="-2"/>
        </w:rPr>
        <w:t>t</w:t>
      </w:r>
      <w:r>
        <w:t>r</w:t>
      </w:r>
      <w:r>
        <w:rPr>
          <w:spacing w:val="-3"/>
        </w:rPr>
        <w:t>a</w:t>
      </w:r>
      <w:r>
        <w:rPr>
          <w:spacing w:val="-2"/>
        </w:rPr>
        <w:t>t</w:t>
      </w:r>
      <w:r>
        <w:t>a</w:t>
      </w:r>
      <w:r>
        <w:rPr>
          <w:spacing w:val="-4"/>
        </w:rPr>
        <w:t>m</w:t>
      </w:r>
      <w:r>
        <w:t>en</w:t>
      </w:r>
      <w:r>
        <w:rPr>
          <w:spacing w:val="1"/>
        </w:rPr>
        <w:t>t</w:t>
      </w:r>
      <w:r>
        <w:t>u</w:t>
      </w:r>
      <w:r>
        <w:rPr>
          <w:spacing w:val="1"/>
        </w:rPr>
        <w:t>l</w:t>
      </w:r>
      <w:r>
        <w:t>ui</w:t>
      </w:r>
      <w:r>
        <w:rPr>
          <w:spacing w:val="-2"/>
        </w:rPr>
        <w:t xml:space="preserve"> </w:t>
      </w:r>
      <w:r>
        <w:t xml:space="preserve">cu </w:t>
      </w:r>
      <w:r>
        <w:rPr>
          <w:rFonts w:eastAsia="MS Mincho"/>
          <w:spacing w:val="-1"/>
          <w:szCs w:val="22"/>
          <w:lang w:eastAsia="en-US" w:bidi="ar-SA"/>
        </w:rPr>
        <w:t>AMGEVITA</w:t>
      </w:r>
      <w:r>
        <w:t>.</w:t>
      </w:r>
    </w:p>
    <w:p w14:paraId="54C58AF3" w14:textId="77777777" w:rsidR="00C04CAD" w:rsidRDefault="00C04CAD">
      <w:pPr>
        <w:tabs>
          <w:tab w:val="clear" w:pos="567"/>
        </w:tabs>
        <w:kinsoku w:val="0"/>
        <w:overflowPunct w:val="0"/>
        <w:autoSpaceDE w:val="0"/>
        <w:autoSpaceDN w:val="0"/>
        <w:adjustRightInd w:val="0"/>
        <w:spacing w:line="240" w:lineRule="auto"/>
        <w:rPr>
          <w:szCs w:val="22"/>
        </w:rPr>
      </w:pPr>
    </w:p>
    <w:p w14:paraId="3970824A" w14:textId="77777777" w:rsidR="00C04CAD" w:rsidRDefault="00060E34">
      <w:pPr>
        <w:pStyle w:val="BodyText"/>
        <w:kinsoku w:val="0"/>
        <w:overflowPunct w:val="0"/>
        <w:rPr>
          <w:i w:val="0"/>
          <w:color w:val="auto"/>
          <w:szCs w:val="22"/>
        </w:rPr>
      </w:pPr>
      <w:r>
        <w:rPr>
          <w:i w:val="0"/>
          <w:color w:val="auto"/>
          <w:spacing w:val="-1"/>
          <w:szCs w:val="22"/>
        </w:rPr>
        <w:lastRenderedPageBreak/>
        <w:t>P</w:t>
      </w:r>
      <w:r>
        <w:rPr>
          <w:i w:val="0"/>
          <w:color w:val="auto"/>
          <w:szCs w:val="22"/>
        </w:rPr>
        <w:t>ac</w:t>
      </w:r>
      <w:r>
        <w:rPr>
          <w:i w:val="0"/>
          <w:color w:val="auto"/>
          <w:spacing w:val="1"/>
          <w:szCs w:val="22"/>
        </w:rPr>
        <w:t>i</w:t>
      </w:r>
      <w:r>
        <w:rPr>
          <w:i w:val="0"/>
          <w:color w:val="auto"/>
          <w:spacing w:val="-3"/>
          <w:szCs w:val="22"/>
        </w:rPr>
        <w:t>e</w:t>
      </w:r>
      <w:r>
        <w:rPr>
          <w:i w:val="0"/>
          <w:color w:val="auto"/>
          <w:szCs w:val="22"/>
        </w:rPr>
        <w:t>n</w:t>
      </w:r>
      <w:r>
        <w:rPr>
          <w:i w:val="0"/>
          <w:color w:val="auto"/>
          <w:spacing w:val="-2"/>
          <w:szCs w:val="22"/>
        </w:rPr>
        <w:t>ţ</w:t>
      </w:r>
      <w:r>
        <w:rPr>
          <w:i w:val="0"/>
          <w:color w:val="auto"/>
          <w:spacing w:val="1"/>
          <w:szCs w:val="22"/>
        </w:rPr>
        <w:t>i</w:t>
      </w:r>
      <w:r>
        <w:rPr>
          <w:i w:val="0"/>
          <w:color w:val="auto"/>
          <w:szCs w:val="22"/>
        </w:rPr>
        <w:t>i</w:t>
      </w:r>
      <w:r>
        <w:rPr>
          <w:i w:val="0"/>
          <w:color w:val="auto"/>
          <w:spacing w:val="-2"/>
          <w:szCs w:val="22"/>
        </w:rPr>
        <w:t xml:space="preserve"> </w:t>
      </w:r>
      <w:r>
        <w:rPr>
          <w:i w:val="0"/>
          <w:color w:val="auto"/>
          <w:spacing w:val="1"/>
          <w:szCs w:val="22"/>
        </w:rPr>
        <w:t>t</w:t>
      </w:r>
      <w:r>
        <w:rPr>
          <w:i w:val="0"/>
          <w:color w:val="auto"/>
          <w:spacing w:val="-2"/>
          <w:szCs w:val="22"/>
        </w:rPr>
        <w:t>r</w:t>
      </w:r>
      <w:r>
        <w:rPr>
          <w:i w:val="0"/>
          <w:color w:val="auto"/>
          <w:szCs w:val="22"/>
        </w:rPr>
        <w:t>a</w:t>
      </w:r>
      <w:r>
        <w:rPr>
          <w:i w:val="0"/>
          <w:color w:val="auto"/>
          <w:spacing w:val="1"/>
          <w:szCs w:val="22"/>
        </w:rPr>
        <w:t>t</w:t>
      </w:r>
      <w:r>
        <w:rPr>
          <w:i w:val="0"/>
          <w:color w:val="auto"/>
          <w:spacing w:val="-3"/>
          <w:szCs w:val="22"/>
        </w:rPr>
        <w:t>a</w:t>
      </w:r>
      <w:r>
        <w:rPr>
          <w:i w:val="0"/>
          <w:color w:val="auto"/>
          <w:spacing w:val="-2"/>
          <w:szCs w:val="22"/>
        </w:rPr>
        <w:t>ţ</w:t>
      </w:r>
      <w:r>
        <w:rPr>
          <w:i w:val="0"/>
          <w:color w:val="auto"/>
          <w:szCs w:val="22"/>
        </w:rPr>
        <w:t>i</w:t>
      </w:r>
      <w:r>
        <w:rPr>
          <w:i w:val="0"/>
          <w:color w:val="auto"/>
          <w:spacing w:val="1"/>
          <w:szCs w:val="22"/>
        </w:rPr>
        <w:t xml:space="preserve"> </w:t>
      </w:r>
      <w:r>
        <w:rPr>
          <w:i w:val="0"/>
          <w:color w:val="auto"/>
          <w:szCs w:val="22"/>
        </w:rPr>
        <w:t xml:space="preserve">cu </w:t>
      </w:r>
      <w:r>
        <w:rPr>
          <w:rFonts w:eastAsia="MS Mincho"/>
          <w:i w:val="0"/>
          <w:color w:val="auto"/>
          <w:spacing w:val="-1"/>
          <w:szCs w:val="22"/>
          <w:lang w:eastAsia="en-US" w:bidi="ar-SA"/>
        </w:rPr>
        <w:t>AMGEVITA</w:t>
      </w:r>
      <w:r>
        <w:rPr>
          <w:i w:val="0"/>
          <w:color w:val="auto"/>
          <w:spacing w:val="-2"/>
          <w:szCs w:val="22"/>
        </w:rPr>
        <w:t xml:space="preserve"> </w:t>
      </w:r>
      <w:r>
        <w:rPr>
          <w:i w:val="0"/>
          <w:color w:val="auto"/>
          <w:szCs w:val="22"/>
        </w:rPr>
        <w:t>pot</w:t>
      </w:r>
      <w:r>
        <w:rPr>
          <w:i w:val="0"/>
          <w:color w:val="auto"/>
          <w:spacing w:val="1"/>
          <w:szCs w:val="22"/>
        </w:rPr>
        <w:t xml:space="preserve"> </w:t>
      </w:r>
      <w:r>
        <w:rPr>
          <w:i w:val="0"/>
          <w:color w:val="auto"/>
          <w:spacing w:val="-3"/>
          <w:szCs w:val="22"/>
        </w:rPr>
        <w:t>p</w:t>
      </w:r>
      <w:r>
        <w:rPr>
          <w:i w:val="0"/>
          <w:color w:val="auto"/>
          <w:szCs w:val="22"/>
        </w:rPr>
        <w:t>r</w:t>
      </w:r>
      <w:r>
        <w:rPr>
          <w:i w:val="0"/>
          <w:color w:val="auto"/>
          <w:spacing w:val="1"/>
          <w:szCs w:val="22"/>
        </w:rPr>
        <w:t>i</w:t>
      </w:r>
      <w:r>
        <w:rPr>
          <w:i w:val="0"/>
          <w:color w:val="auto"/>
          <w:spacing w:val="-4"/>
          <w:szCs w:val="22"/>
        </w:rPr>
        <w:t>m</w:t>
      </w:r>
      <w:r>
        <w:rPr>
          <w:i w:val="0"/>
          <w:color w:val="auto"/>
          <w:szCs w:val="22"/>
        </w:rPr>
        <w:t>i</w:t>
      </w:r>
      <w:r>
        <w:rPr>
          <w:i w:val="0"/>
          <w:color w:val="auto"/>
          <w:spacing w:val="1"/>
          <w:szCs w:val="22"/>
        </w:rPr>
        <w:t xml:space="preserve"> </w:t>
      </w:r>
      <w:r>
        <w:rPr>
          <w:i w:val="0"/>
          <w:color w:val="auto"/>
          <w:spacing w:val="-3"/>
          <w:szCs w:val="22"/>
        </w:rPr>
        <w:t>v</w:t>
      </w:r>
      <w:r>
        <w:rPr>
          <w:i w:val="0"/>
          <w:color w:val="auto"/>
          <w:szCs w:val="22"/>
        </w:rPr>
        <w:t>acc</w:t>
      </w:r>
      <w:r>
        <w:rPr>
          <w:i w:val="0"/>
          <w:color w:val="auto"/>
          <w:spacing w:val="1"/>
          <w:szCs w:val="22"/>
        </w:rPr>
        <w:t>i</w:t>
      </w:r>
      <w:r>
        <w:rPr>
          <w:i w:val="0"/>
          <w:color w:val="auto"/>
          <w:spacing w:val="-3"/>
          <w:szCs w:val="22"/>
        </w:rPr>
        <w:t>n</w:t>
      </w:r>
      <w:r>
        <w:rPr>
          <w:i w:val="0"/>
          <w:color w:val="auto"/>
          <w:szCs w:val="22"/>
        </w:rPr>
        <w:t>ă</w:t>
      </w:r>
      <w:r>
        <w:rPr>
          <w:i w:val="0"/>
          <w:color w:val="auto"/>
          <w:spacing w:val="-2"/>
          <w:szCs w:val="22"/>
        </w:rPr>
        <w:t>r</w:t>
      </w:r>
      <w:r>
        <w:rPr>
          <w:i w:val="0"/>
          <w:color w:val="auto"/>
          <w:spacing w:val="1"/>
          <w:szCs w:val="22"/>
        </w:rPr>
        <w:t>il</w:t>
      </w:r>
      <w:r>
        <w:rPr>
          <w:i w:val="0"/>
          <w:color w:val="auto"/>
          <w:szCs w:val="22"/>
        </w:rPr>
        <w:t>e</w:t>
      </w:r>
      <w:r>
        <w:rPr>
          <w:i w:val="0"/>
          <w:color w:val="auto"/>
          <w:spacing w:val="-2"/>
          <w:szCs w:val="22"/>
        </w:rPr>
        <w:t xml:space="preserve"> </w:t>
      </w:r>
      <w:r>
        <w:rPr>
          <w:i w:val="0"/>
          <w:color w:val="auto"/>
          <w:szCs w:val="22"/>
        </w:rPr>
        <w:t>cu</w:t>
      </w:r>
      <w:r>
        <w:rPr>
          <w:i w:val="0"/>
          <w:color w:val="auto"/>
          <w:spacing w:val="-2"/>
          <w:szCs w:val="22"/>
        </w:rPr>
        <w:t>r</w:t>
      </w:r>
      <w:r>
        <w:rPr>
          <w:i w:val="0"/>
          <w:color w:val="auto"/>
          <w:szCs w:val="22"/>
        </w:rPr>
        <w:t>en</w:t>
      </w:r>
      <w:r>
        <w:rPr>
          <w:i w:val="0"/>
          <w:color w:val="auto"/>
          <w:spacing w:val="-2"/>
          <w:szCs w:val="22"/>
        </w:rPr>
        <w:t>t</w:t>
      </w:r>
      <w:r>
        <w:rPr>
          <w:i w:val="0"/>
          <w:color w:val="auto"/>
          <w:szCs w:val="22"/>
        </w:rPr>
        <w:t xml:space="preserve">e, cu </w:t>
      </w:r>
      <w:r>
        <w:rPr>
          <w:i w:val="0"/>
          <w:color w:val="auto"/>
          <w:spacing w:val="-3"/>
          <w:szCs w:val="22"/>
        </w:rPr>
        <w:t>e</w:t>
      </w:r>
      <w:r>
        <w:rPr>
          <w:i w:val="0"/>
          <w:color w:val="auto"/>
          <w:szCs w:val="22"/>
        </w:rPr>
        <w:t>xce</w:t>
      </w:r>
      <w:r>
        <w:rPr>
          <w:i w:val="0"/>
          <w:color w:val="auto"/>
          <w:spacing w:val="-3"/>
          <w:szCs w:val="22"/>
        </w:rPr>
        <w:t>p</w:t>
      </w:r>
      <w:r>
        <w:rPr>
          <w:i w:val="0"/>
          <w:color w:val="auto"/>
          <w:spacing w:val="1"/>
          <w:szCs w:val="22"/>
        </w:rPr>
        <w:t>ţ</w:t>
      </w:r>
      <w:r>
        <w:rPr>
          <w:i w:val="0"/>
          <w:color w:val="auto"/>
          <w:spacing w:val="-2"/>
          <w:szCs w:val="22"/>
        </w:rPr>
        <w:t>i</w:t>
      </w:r>
      <w:r>
        <w:rPr>
          <w:i w:val="0"/>
          <w:color w:val="auto"/>
          <w:szCs w:val="22"/>
        </w:rPr>
        <w:t xml:space="preserve">a </w:t>
      </w:r>
      <w:r>
        <w:rPr>
          <w:i w:val="0"/>
          <w:color w:val="auto"/>
          <w:spacing w:val="-3"/>
          <w:szCs w:val="22"/>
        </w:rPr>
        <w:t>v</w:t>
      </w:r>
      <w:r>
        <w:rPr>
          <w:i w:val="0"/>
          <w:color w:val="auto"/>
          <w:szCs w:val="22"/>
        </w:rPr>
        <w:t>acc</w:t>
      </w:r>
      <w:r>
        <w:rPr>
          <w:i w:val="0"/>
          <w:color w:val="auto"/>
          <w:spacing w:val="-2"/>
          <w:szCs w:val="22"/>
        </w:rPr>
        <w:t>i</w:t>
      </w:r>
      <w:r>
        <w:rPr>
          <w:i w:val="0"/>
          <w:color w:val="auto"/>
          <w:szCs w:val="22"/>
        </w:rPr>
        <w:t>nu</w:t>
      </w:r>
      <w:r>
        <w:rPr>
          <w:i w:val="0"/>
          <w:color w:val="auto"/>
          <w:spacing w:val="-2"/>
          <w:szCs w:val="22"/>
        </w:rPr>
        <w:t>r</w:t>
      </w:r>
      <w:r>
        <w:rPr>
          <w:i w:val="0"/>
          <w:color w:val="auto"/>
          <w:spacing w:val="1"/>
          <w:szCs w:val="22"/>
        </w:rPr>
        <w:t>il</w:t>
      </w:r>
      <w:r>
        <w:rPr>
          <w:i w:val="0"/>
          <w:color w:val="auto"/>
          <w:spacing w:val="-3"/>
          <w:szCs w:val="22"/>
        </w:rPr>
        <w:t>o</w:t>
      </w:r>
      <w:r>
        <w:rPr>
          <w:i w:val="0"/>
          <w:color w:val="auto"/>
          <w:szCs w:val="22"/>
        </w:rPr>
        <w:t>r</w:t>
      </w:r>
      <w:r>
        <w:rPr>
          <w:i w:val="0"/>
          <w:color w:val="auto"/>
          <w:spacing w:val="-2"/>
          <w:szCs w:val="22"/>
        </w:rPr>
        <w:t xml:space="preserve"> </w:t>
      </w:r>
      <w:r>
        <w:rPr>
          <w:i w:val="0"/>
          <w:color w:val="auto"/>
          <w:szCs w:val="22"/>
        </w:rPr>
        <w:t xml:space="preserve">cu </w:t>
      </w:r>
      <w:r>
        <w:rPr>
          <w:i w:val="0"/>
          <w:color w:val="auto"/>
          <w:spacing w:val="-3"/>
          <w:szCs w:val="22"/>
        </w:rPr>
        <w:t>v</w:t>
      </w:r>
      <w:r>
        <w:rPr>
          <w:i w:val="0"/>
          <w:color w:val="auto"/>
          <w:spacing w:val="1"/>
          <w:szCs w:val="22"/>
        </w:rPr>
        <w:t>i</w:t>
      </w:r>
      <w:r>
        <w:rPr>
          <w:i w:val="0"/>
          <w:color w:val="auto"/>
          <w:szCs w:val="22"/>
        </w:rPr>
        <w:t xml:space="preserve">rus </w:t>
      </w:r>
      <w:r>
        <w:rPr>
          <w:i w:val="0"/>
          <w:color w:val="auto"/>
          <w:spacing w:val="-3"/>
          <w:szCs w:val="22"/>
        </w:rPr>
        <w:t>v</w:t>
      </w:r>
      <w:r>
        <w:rPr>
          <w:i w:val="0"/>
          <w:color w:val="auto"/>
          <w:spacing w:val="1"/>
          <w:szCs w:val="22"/>
        </w:rPr>
        <w:t>i</w:t>
      </w:r>
      <w:r>
        <w:rPr>
          <w:i w:val="0"/>
          <w:color w:val="auto"/>
          <w:szCs w:val="22"/>
        </w:rPr>
        <w:t xml:space="preserve">u. </w:t>
      </w:r>
      <w:r>
        <w:rPr>
          <w:i w:val="0"/>
          <w:color w:val="auto"/>
          <w:spacing w:val="-3"/>
          <w:szCs w:val="22"/>
        </w:rPr>
        <w:t>L</w:t>
      </w:r>
      <w:r>
        <w:rPr>
          <w:i w:val="0"/>
          <w:color w:val="auto"/>
          <w:szCs w:val="22"/>
        </w:rPr>
        <w:t>a su</w:t>
      </w:r>
      <w:r>
        <w:rPr>
          <w:i w:val="0"/>
          <w:color w:val="auto"/>
          <w:spacing w:val="-3"/>
          <w:szCs w:val="22"/>
        </w:rPr>
        <w:t>g</w:t>
      </w:r>
      <w:r>
        <w:rPr>
          <w:i w:val="0"/>
          <w:color w:val="auto"/>
          <w:szCs w:val="22"/>
        </w:rPr>
        <w:t>ar</w:t>
      </w:r>
      <w:r>
        <w:rPr>
          <w:i w:val="0"/>
          <w:color w:val="auto"/>
          <w:spacing w:val="1"/>
          <w:szCs w:val="22"/>
        </w:rPr>
        <w:t>i</w:t>
      </w:r>
      <w:r>
        <w:rPr>
          <w:i w:val="0"/>
          <w:color w:val="auto"/>
          <w:szCs w:val="22"/>
        </w:rPr>
        <w:t>i</w:t>
      </w:r>
      <w:r>
        <w:rPr>
          <w:i w:val="0"/>
          <w:color w:val="auto"/>
          <w:spacing w:val="-2"/>
          <w:szCs w:val="22"/>
        </w:rPr>
        <w:t xml:space="preserve"> </w:t>
      </w:r>
      <w:r>
        <w:rPr>
          <w:i w:val="0"/>
          <w:color w:val="auto"/>
          <w:szCs w:val="22"/>
        </w:rPr>
        <w:t>c</w:t>
      </w:r>
      <w:r>
        <w:rPr>
          <w:i w:val="0"/>
          <w:color w:val="auto"/>
          <w:spacing w:val="-3"/>
          <w:szCs w:val="22"/>
        </w:rPr>
        <w:t>a</w:t>
      </w:r>
      <w:r>
        <w:rPr>
          <w:i w:val="0"/>
          <w:color w:val="auto"/>
          <w:szCs w:val="22"/>
        </w:rPr>
        <w:t xml:space="preserve">re </w:t>
      </w:r>
      <w:r>
        <w:rPr>
          <w:i w:val="0"/>
          <w:color w:val="auto"/>
          <w:spacing w:val="-3"/>
          <w:szCs w:val="22"/>
        </w:rPr>
        <w:t>a</w:t>
      </w:r>
      <w:r>
        <w:rPr>
          <w:i w:val="0"/>
          <w:color w:val="auto"/>
          <w:szCs w:val="22"/>
        </w:rPr>
        <w:t>u f</w:t>
      </w:r>
      <w:r>
        <w:rPr>
          <w:i w:val="0"/>
          <w:color w:val="auto"/>
          <w:spacing w:val="-3"/>
          <w:szCs w:val="22"/>
        </w:rPr>
        <w:t>o</w:t>
      </w:r>
      <w:r>
        <w:rPr>
          <w:i w:val="0"/>
          <w:color w:val="auto"/>
          <w:szCs w:val="22"/>
        </w:rPr>
        <w:t>st</w:t>
      </w:r>
      <w:r>
        <w:rPr>
          <w:i w:val="0"/>
          <w:color w:val="auto"/>
          <w:spacing w:val="1"/>
          <w:szCs w:val="22"/>
        </w:rPr>
        <w:t xml:space="preserve"> </w:t>
      </w:r>
      <w:r>
        <w:rPr>
          <w:i w:val="0"/>
          <w:color w:val="auto"/>
          <w:spacing w:val="-3"/>
          <w:szCs w:val="22"/>
        </w:rPr>
        <w:t>e</w:t>
      </w:r>
      <w:r>
        <w:rPr>
          <w:i w:val="0"/>
          <w:color w:val="auto"/>
          <w:szCs w:val="22"/>
        </w:rPr>
        <w:t>xpu</w:t>
      </w:r>
      <w:r>
        <w:rPr>
          <w:i w:val="0"/>
          <w:color w:val="auto"/>
          <w:spacing w:val="-2"/>
          <w:szCs w:val="22"/>
        </w:rPr>
        <w:t>ş</w:t>
      </w:r>
      <w:r>
        <w:rPr>
          <w:i w:val="0"/>
          <w:color w:val="auto"/>
          <w:szCs w:val="22"/>
        </w:rPr>
        <w:t>i</w:t>
      </w:r>
      <w:r>
        <w:rPr>
          <w:i w:val="0"/>
          <w:color w:val="auto"/>
          <w:spacing w:val="1"/>
          <w:szCs w:val="22"/>
        </w:rPr>
        <w:t xml:space="preserve"> </w:t>
      </w:r>
      <w:r>
        <w:rPr>
          <w:i w:val="0"/>
          <w:color w:val="auto"/>
          <w:spacing w:val="-2"/>
          <w:szCs w:val="22"/>
        </w:rPr>
        <w:t>i</w:t>
      </w:r>
      <w:r>
        <w:rPr>
          <w:i w:val="0"/>
          <w:color w:val="auto"/>
          <w:szCs w:val="22"/>
        </w:rPr>
        <w:t>n u</w:t>
      </w:r>
      <w:r>
        <w:rPr>
          <w:i w:val="0"/>
          <w:color w:val="auto"/>
          <w:spacing w:val="1"/>
          <w:szCs w:val="22"/>
        </w:rPr>
        <w:t>t</w:t>
      </w:r>
      <w:r>
        <w:rPr>
          <w:i w:val="0"/>
          <w:color w:val="auto"/>
          <w:spacing w:val="-3"/>
          <w:szCs w:val="22"/>
        </w:rPr>
        <w:t>e</w:t>
      </w:r>
      <w:r>
        <w:rPr>
          <w:i w:val="0"/>
          <w:color w:val="auto"/>
          <w:szCs w:val="22"/>
        </w:rPr>
        <w:t xml:space="preserve">ro </w:t>
      </w:r>
      <w:r>
        <w:rPr>
          <w:i w:val="0"/>
          <w:color w:val="auto"/>
          <w:spacing w:val="-2"/>
          <w:szCs w:val="22"/>
        </w:rPr>
        <w:t>l</w:t>
      </w:r>
      <w:r>
        <w:rPr>
          <w:i w:val="0"/>
          <w:color w:val="auto"/>
          <w:szCs w:val="22"/>
        </w:rPr>
        <w:t xml:space="preserve">a </w:t>
      </w:r>
      <w:r>
        <w:rPr>
          <w:rFonts w:eastAsia="MS Mincho"/>
          <w:i w:val="0"/>
          <w:color w:val="auto"/>
          <w:spacing w:val="-1"/>
          <w:szCs w:val="22"/>
          <w:lang w:eastAsia="en-US" w:bidi="ar-SA"/>
        </w:rPr>
        <w:t>AMGEVITA</w:t>
      </w:r>
      <w:r>
        <w:rPr>
          <w:i w:val="0"/>
          <w:color w:val="auto"/>
          <w:szCs w:val="22"/>
        </w:rPr>
        <w:t xml:space="preserve">, nu </w:t>
      </w:r>
      <w:r>
        <w:rPr>
          <w:i w:val="0"/>
          <w:color w:val="auto"/>
          <w:spacing w:val="-3"/>
          <w:szCs w:val="22"/>
        </w:rPr>
        <w:t>e</w:t>
      </w:r>
      <w:r>
        <w:rPr>
          <w:i w:val="0"/>
          <w:color w:val="auto"/>
          <w:szCs w:val="22"/>
        </w:rPr>
        <w:t>s</w:t>
      </w:r>
      <w:r>
        <w:rPr>
          <w:i w:val="0"/>
          <w:color w:val="auto"/>
          <w:spacing w:val="1"/>
          <w:szCs w:val="22"/>
        </w:rPr>
        <w:t>t</w:t>
      </w:r>
      <w:r>
        <w:rPr>
          <w:i w:val="0"/>
          <w:color w:val="auto"/>
          <w:szCs w:val="22"/>
        </w:rPr>
        <w:t>e</w:t>
      </w:r>
      <w:r>
        <w:rPr>
          <w:i w:val="0"/>
          <w:color w:val="auto"/>
          <w:spacing w:val="-2"/>
          <w:szCs w:val="22"/>
        </w:rPr>
        <w:t xml:space="preserve"> </w:t>
      </w:r>
      <w:r>
        <w:rPr>
          <w:i w:val="0"/>
          <w:color w:val="auto"/>
          <w:szCs w:val="22"/>
        </w:rPr>
        <w:t>re</w:t>
      </w:r>
      <w:r>
        <w:rPr>
          <w:i w:val="0"/>
          <w:color w:val="auto"/>
          <w:spacing w:val="-3"/>
          <w:szCs w:val="22"/>
        </w:rPr>
        <w:t>c</w:t>
      </w:r>
      <w:r>
        <w:rPr>
          <w:i w:val="0"/>
          <w:color w:val="auto"/>
          <w:szCs w:val="22"/>
        </w:rPr>
        <w:t>o</w:t>
      </w:r>
      <w:r>
        <w:rPr>
          <w:i w:val="0"/>
          <w:color w:val="auto"/>
          <w:spacing w:val="-4"/>
          <w:szCs w:val="22"/>
        </w:rPr>
        <w:t>m</w:t>
      </w:r>
      <w:r>
        <w:rPr>
          <w:i w:val="0"/>
          <w:color w:val="auto"/>
          <w:szCs w:val="22"/>
        </w:rPr>
        <w:t>anda</w:t>
      </w:r>
      <w:r>
        <w:rPr>
          <w:i w:val="0"/>
          <w:color w:val="auto"/>
          <w:spacing w:val="1"/>
          <w:szCs w:val="22"/>
        </w:rPr>
        <w:t>t</w:t>
      </w:r>
      <w:r>
        <w:rPr>
          <w:i w:val="0"/>
          <w:color w:val="auto"/>
          <w:szCs w:val="22"/>
        </w:rPr>
        <w:t xml:space="preserve">ă </w:t>
      </w:r>
      <w:r>
        <w:rPr>
          <w:i w:val="0"/>
          <w:color w:val="auto"/>
          <w:spacing w:val="-3"/>
          <w:szCs w:val="22"/>
        </w:rPr>
        <w:t>a</w:t>
      </w:r>
      <w:r>
        <w:rPr>
          <w:i w:val="0"/>
          <w:color w:val="auto"/>
          <w:szCs w:val="22"/>
        </w:rPr>
        <w:t>d</w:t>
      </w:r>
      <w:r>
        <w:rPr>
          <w:i w:val="0"/>
          <w:color w:val="auto"/>
          <w:spacing w:val="-4"/>
          <w:szCs w:val="22"/>
        </w:rPr>
        <w:t>m</w:t>
      </w:r>
      <w:r>
        <w:rPr>
          <w:i w:val="0"/>
          <w:color w:val="auto"/>
          <w:spacing w:val="1"/>
          <w:szCs w:val="22"/>
        </w:rPr>
        <w:t>i</w:t>
      </w:r>
      <w:r>
        <w:rPr>
          <w:i w:val="0"/>
          <w:color w:val="auto"/>
          <w:szCs w:val="22"/>
        </w:rPr>
        <w:t>n</w:t>
      </w:r>
      <w:r>
        <w:rPr>
          <w:i w:val="0"/>
          <w:color w:val="auto"/>
          <w:spacing w:val="1"/>
          <w:szCs w:val="22"/>
        </w:rPr>
        <w:t>i</w:t>
      </w:r>
      <w:r>
        <w:rPr>
          <w:i w:val="0"/>
          <w:color w:val="auto"/>
          <w:szCs w:val="22"/>
        </w:rPr>
        <w:t>s</w:t>
      </w:r>
      <w:r>
        <w:rPr>
          <w:i w:val="0"/>
          <w:color w:val="auto"/>
          <w:spacing w:val="-2"/>
          <w:szCs w:val="22"/>
        </w:rPr>
        <w:t>t</w:t>
      </w:r>
      <w:r>
        <w:rPr>
          <w:i w:val="0"/>
          <w:color w:val="auto"/>
          <w:szCs w:val="22"/>
        </w:rPr>
        <w:t>r</w:t>
      </w:r>
      <w:r>
        <w:rPr>
          <w:i w:val="0"/>
          <w:color w:val="auto"/>
          <w:spacing w:val="-3"/>
          <w:szCs w:val="22"/>
        </w:rPr>
        <w:t>a</w:t>
      </w:r>
      <w:r>
        <w:rPr>
          <w:i w:val="0"/>
          <w:color w:val="auto"/>
          <w:szCs w:val="22"/>
        </w:rPr>
        <w:t xml:space="preserve">rea </w:t>
      </w:r>
      <w:r>
        <w:rPr>
          <w:i w:val="0"/>
          <w:color w:val="auto"/>
          <w:spacing w:val="-3"/>
          <w:szCs w:val="22"/>
        </w:rPr>
        <w:t>d</w:t>
      </w:r>
      <w:r>
        <w:rPr>
          <w:i w:val="0"/>
          <w:color w:val="auto"/>
          <w:szCs w:val="22"/>
        </w:rPr>
        <w:t xml:space="preserve">e </w:t>
      </w:r>
      <w:r>
        <w:rPr>
          <w:i w:val="0"/>
          <w:color w:val="auto"/>
          <w:spacing w:val="-3"/>
          <w:szCs w:val="22"/>
        </w:rPr>
        <w:t>v</w:t>
      </w:r>
      <w:r>
        <w:rPr>
          <w:i w:val="0"/>
          <w:color w:val="auto"/>
          <w:szCs w:val="22"/>
        </w:rPr>
        <w:t>acc</w:t>
      </w:r>
      <w:r>
        <w:rPr>
          <w:i w:val="0"/>
          <w:color w:val="auto"/>
          <w:spacing w:val="-2"/>
          <w:szCs w:val="22"/>
        </w:rPr>
        <w:t>i</w:t>
      </w:r>
      <w:r>
        <w:rPr>
          <w:i w:val="0"/>
          <w:color w:val="auto"/>
          <w:szCs w:val="22"/>
        </w:rPr>
        <w:t>nu</w:t>
      </w:r>
      <w:r>
        <w:rPr>
          <w:i w:val="0"/>
          <w:color w:val="auto"/>
          <w:spacing w:val="-2"/>
          <w:szCs w:val="22"/>
        </w:rPr>
        <w:t>r</w:t>
      </w:r>
      <w:r>
        <w:rPr>
          <w:i w:val="0"/>
          <w:color w:val="auto"/>
          <w:szCs w:val="22"/>
        </w:rPr>
        <w:t>i</w:t>
      </w:r>
      <w:r>
        <w:rPr>
          <w:i w:val="0"/>
          <w:color w:val="auto"/>
          <w:spacing w:val="1"/>
          <w:szCs w:val="22"/>
        </w:rPr>
        <w:t xml:space="preserve"> </w:t>
      </w:r>
      <w:r>
        <w:rPr>
          <w:i w:val="0"/>
          <w:color w:val="auto"/>
          <w:szCs w:val="22"/>
        </w:rPr>
        <w:t xml:space="preserve">cu </w:t>
      </w:r>
      <w:r>
        <w:rPr>
          <w:i w:val="0"/>
          <w:color w:val="auto"/>
          <w:spacing w:val="-3"/>
          <w:szCs w:val="22"/>
        </w:rPr>
        <w:t>v</w:t>
      </w:r>
      <w:r>
        <w:rPr>
          <w:i w:val="0"/>
          <w:color w:val="auto"/>
          <w:spacing w:val="1"/>
          <w:szCs w:val="22"/>
        </w:rPr>
        <w:t>i</w:t>
      </w:r>
      <w:r>
        <w:rPr>
          <w:i w:val="0"/>
          <w:color w:val="auto"/>
          <w:szCs w:val="22"/>
        </w:rPr>
        <w:t xml:space="preserve">rus </w:t>
      </w:r>
      <w:r>
        <w:rPr>
          <w:i w:val="0"/>
          <w:color w:val="000000"/>
          <w:spacing w:val="-3"/>
          <w:szCs w:val="22"/>
        </w:rPr>
        <w:t>v</w:t>
      </w:r>
      <w:r>
        <w:rPr>
          <w:i w:val="0"/>
          <w:color w:val="000000"/>
          <w:spacing w:val="1"/>
          <w:szCs w:val="22"/>
        </w:rPr>
        <w:t>i</w:t>
      </w:r>
      <w:r>
        <w:rPr>
          <w:i w:val="0"/>
          <w:color w:val="000000"/>
          <w:szCs w:val="22"/>
        </w:rPr>
        <w:t>u (de exemplu vaccinul BCG)</w:t>
      </w:r>
      <w:r>
        <w:rPr>
          <w:color w:val="000000"/>
          <w:szCs w:val="22"/>
        </w:rPr>
        <w:t xml:space="preserve"> </w:t>
      </w:r>
      <w:r>
        <w:rPr>
          <w:i w:val="0"/>
          <w:color w:val="auto"/>
          <w:spacing w:val="-2"/>
          <w:szCs w:val="22"/>
        </w:rPr>
        <w:t>t</w:t>
      </w:r>
      <w:r>
        <w:rPr>
          <w:i w:val="0"/>
          <w:color w:val="auto"/>
          <w:spacing w:val="1"/>
          <w:szCs w:val="22"/>
        </w:rPr>
        <w:t>i</w:t>
      </w:r>
      <w:r>
        <w:rPr>
          <w:i w:val="0"/>
          <w:color w:val="auto"/>
          <w:spacing w:val="-4"/>
          <w:szCs w:val="22"/>
        </w:rPr>
        <w:t>m</w:t>
      </w:r>
      <w:r>
        <w:rPr>
          <w:i w:val="0"/>
          <w:color w:val="auto"/>
          <w:szCs w:val="22"/>
        </w:rPr>
        <w:t xml:space="preserve">p de 5 </w:t>
      </w:r>
      <w:r>
        <w:rPr>
          <w:i w:val="0"/>
          <w:color w:val="auto"/>
          <w:spacing w:val="1"/>
          <w:szCs w:val="22"/>
        </w:rPr>
        <w:t>l</w:t>
      </w:r>
      <w:r>
        <w:rPr>
          <w:i w:val="0"/>
          <w:color w:val="auto"/>
          <w:szCs w:val="22"/>
        </w:rPr>
        <w:t>u</w:t>
      </w:r>
      <w:r>
        <w:rPr>
          <w:i w:val="0"/>
          <w:color w:val="auto"/>
          <w:spacing w:val="-3"/>
          <w:szCs w:val="22"/>
        </w:rPr>
        <w:t>n</w:t>
      </w:r>
      <w:r>
        <w:rPr>
          <w:i w:val="0"/>
          <w:color w:val="auto"/>
          <w:szCs w:val="22"/>
        </w:rPr>
        <w:t>i</w:t>
      </w:r>
      <w:r>
        <w:rPr>
          <w:i w:val="0"/>
          <w:color w:val="auto"/>
          <w:spacing w:val="1"/>
          <w:szCs w:val="22"/>
        </w:rPr>
        <w:t xml:space="preserve"> </w:t>
      </w:r>
      <w:r>
        <w:rPr>
          <w:i w:val="0"/>
          <w:color w:val="auto"/>
          <w:szCs w:val="22"/>
        </w:rPr>
        <w:t>de</w:t>
      </w:r>
      <w:r>
        <w:rPr>
          <w:i w:val="0"/>
          <w:color w:val="auto"/>
          <w:spacing w:val="-2"/>
          <w:szCs w:val="22"/>
        </w:rPr>
        <w:t xml:space="preserve"> l</w:t>
      </w:r>
      <w:r>
        <w:rPr>
          <w:i w:val="0"/>
          <w:color w:val="auto"/>
          <w:szCs w:val="22"/>
        </w:rPr>
        <w:t>a u</w:t>
      </w:r>
      <w:r>
        <w:rPr>
          <w:i w:val="0"/>
          <w:color w:val="auto"/>
          <w:spacing w:val="-2"/>
          <w:szCs w:val="22"/>
        </w:rPr>
        <w:t>l</w:t>
      </w:r>
      <w:r>
        <w:rPr>
          <w:i w:val="0"/>
          <w:color w:val="auto"/>
          <w:spacing w:val="1"/>
          <w:szCs w:val="22"/>
        </w:rPr>
        <w:t>ti</w:t>
      </w:r>
      <w:r>
        <w:rPr>
          <w:i w:val="0"/>
          <w:color w:val="auto"/>
          <w:spacing w:val="-4"/>
          <w:szCs w:val="22"/>
        </w:rPr>
        <w:t>m</w:t>
      </w:r>
      <w:r>
        <w:rPr>
          <w:i w:val="0"/>
          <w:color w:val="auto"/>
          <w:szCs w:val="22"/>
        </w:rPr>
        <w:t>a do</w:t>
      </w:r>
      <w:r>
        <w:rPr>
          <w:i w:val="0"/>
          <w:color w:val="auto"/>
          <w:spacing w:val="-3"/>
          <w:szCs w:val="22"/>
        </w:rPr>
        <w:t>z</w:t>
      </w:r>
      <w:r>
        <w:rPr>
          <w:i w:val="0"/>
          <w:color w:val="auto"/>
          <w:szCs w:val="22"/>
        </w:rPr>
        <w:t xml:space="preserve">ă de </w:t>
      </w:r>
      <w:r>
        <w:rPr>
          <w:rFonts w:eastAsia="MS Mincho"/>
          <w:i w:val="0"/>
          <w:color w:val="auto"/>
          <w:spacing w:val="-1"/>
          <w:szCs w:val="22"/>
          <w:lang w:eastAsia="en-US" w:bidi="ar-SA"/>
        </w:rPr>
        <w:t>AMGEVITA</w:t>
      </w:r>
      <w:r>
        <w:rPr>
          <w:i w:val="0"/>
          <w:color w:val="auto"/>
          <w:szCs w:val="22"/>
        </w:rPr>
        <w:t xml:space="preserve"> ad</w:t>
      </w:r>
      <w:r>
        <w:rPr>
          <w:i w:val="0"/>
          <w:color w:val="auto"/>
          <w:spacing w:val="-4"/>
          <w:szCs w:val="22"/>
        </w:rPr>
        <w:t>m</w:t>
      </w:r>
      <w:r>
        <w:rPr>
          <w:i w:val="0"/>
          <w:color w:val="auto"/>
          <w:spacing w:val="1"/>
          <w:szCs w:val="22"/>
        </w:rPr>
        <w:t>i</w:t>
      </w:r>
      <w:r>
        <w:rPr>
          <w:i w:val="0"/>
          <w:color w:val="auto"/>
          <w:szCs w:val="22"/>
        </w:rPr>
        <w:t>n</w:t>
      </w:r>
      <w:r>
        <w:rPr>
          <w:i w:val="0"/>
          <w:color w:val="auto"/>
          <w:spacing w:val="1"/>
          <w:szCs w:val="22"/>
        </w:rPr>
        <w:t>i</w:t>
      </w:r>
      <w:r>
        <w:rPr>
          <w:i w:val="0"/>
          <w:color w:val="auto"/>
          <w:spacing w:val="-2"/>
          <w:szCs w:val="22"/>
        </w:rPr>
        <w:t>s</w:t>
      </w:r>
      <w:r>
        <w:rPr>
          <w:i w:val="0"/>
          <w:color w:val="auto"/>
          <w:spacing w:val="1"/>
          <w:szCs w:val="22"/>
        </w:rPr>
        <w:t>t</w:t>
      </w:r>
      <w:r>
        <w:rPr>
          <w:i w:val="0"/>
          <w:color w:val="auto"/>
          <w:spacing w:val="-2"/>
          <w:szCs w:val="22"/>
        </w:rPr>
        <w:t>r</w:t>
      </w:r>
      <w:r>
        <w:rPr>
          <w:i w:val="0"/>
          <w:color w:val="auto"/>
          <w:szCs w:val="22"/>
        </w:rPr>
        <w:t>a</w:t>
      </w:r>
      <w:r>
        <w:rPr>
          <w:i w:val="0"/>
          <w:color w:val="auto"/>
          <w:spacing w:val="1"/>
          <w:szCs w:val="22"/>
        </w:rPr>
        <w:t>t</w:t>
      </w:r>
      <w:r>
        <w:rPr>
          <w:i w:val="0"/>
          <w:color w:val="auto"/>
          <w:szCs w:val="22"/>
        </w:rPr>
        <w:t>ă</w:t>
      </w:r>
      <w:r>
        <w:rPr>
          <w:i w:val="0"/>
          <w:color w:val="auto"/>
          <w:spacing w:val="-2"/>
          <w:szCs w:val="22"/>
        </w:rPr>
        <w:t xml:space="preserve"> </w:t>
      </w:r>
      <w:r>
        <w:rPr>
          <w:i w:val="0"/>
          <w:color w:val="auto"/>
          <w:spacing w:val="-4"/>
          <w:szCs w:val="22"/>
        </w:rPr>
        <w:t>m</w:t>
      </w:r>
      <w:r>
        <w:rPr>
          <w:i w:val="0"/>
          <w:color w:val="auto"/>
          <w:spacing w:val="2"/>
          <w:szCs w:val="22"/>
        </w:rPr>
        <w:t>a</w:t>
      </w:r>
      <w:r>
        <w:rPr>
          <w:i w:val="0"/>
          <w:color w:val="auto"/>
          <w:spacing w:val="-4"/>
          <w:szCs w:val="22"/>
        </w:rPr>
        <w:t>m</w:t>
      </w:r>
      <w:r>
        <w:rPr>
          <w:i w:val="0"/>
          <w:color w:val="auto"/>
          <w:szCs w:val="22"/>
        </w:rPr>
        <w:t>ei</w:t>
      </w:r>
      <w:r>
        <w:rPr>
          <w:i w:val="0"/>
          <w:color w:val="auto"/>
          <w:spacing w:val="1"/>
          <w:szCs w:val="22"/>
        </w:rPr>
        <w:t xml:space="preserve"> î</w:t>
      </w:r>
      <w:r>
        <w:rPr>
          <w:i w:val="0"/>
          <w:color w:val="auto"/>
          <w:szCs w:val="22"/>
        </w:rPr>
        <w:t xml:space="preserve">n </w:t>
      </w:r>
      <w:r>
        <w:rPr>
          <w:i w:val="0"/>
          <w:color w:val="auto"/>
          <w:spacing w:val="-2"/>
          <w:szCs w:val="22"/>
        </w:rPr>
        <w:t>ti</w:t>
      </w:r>
      <w:r>
        <w:rPr>
          <w:i w:val="0"/>
          <w:color w:val="auto"/>
          <w:spacing w:val="-4"/>
          <w:szCs w:val="22"/>
        </w:rPr>
        <w:t>m</w:t>
      </w:r>
      <w:r>
        <w:rPr>
          <w:i w:val="0"/>
          <w:color w:val="auto"/>
          <w:szCs w:val="22"/>
        </w:rPr>
        <w:t>pul</w:t>
      </w:r>
      <w:r>
        <w:rPr>
          <w:i w:val="0"/>
          <w:color w:val="auto"/>
          <w:spacing w:val="1"/>
          <w:szCs w:val="22"/>
        </w:rPr>
        <w:t xml:space="preserve"> </w:t>
      </w:r>
      <w:r>
        <w:rPr>
          <w:i w:val="0"/>
          <w:color w:val="auto"/>
          <w:szCs w:val="22"/>
        </w:rPr>
        <w:t>sar</w:t>
      </w:r>
      <w:r>
        <w:rPr>
          <w:i w:val="0"/>
          <w:color w:val="auto"/>
          <w:spacing w:val="-3"/>
          <w:szCs w:val="22"/>
        </w:rPr>
        <w:t>c</w:t>
      </w:r>
      <w:r>
        <w:rPr>
          <w:i w:val="0"/>
          <w:color w:val="auto"/>
          <w:spacing w:val="1"/>
          <w:szCs w:val="22"/>
        </w:rPr>
        <w:t>i</w:t>
      </w:r>
      <w:r>
        <w:rPr>
          <w:i w:val="0"/>
          <w:color w:val="auto"/>
          <w:szCs w:val="22"/>
        </w:rPr>
        <w:t>n</w:t>
      </w:r>
      <w:r>
        <w:rPr>
          <w:i w:val="0"/>
          <w:color w:val="auto"/>
          <w:spacing w:val="-2"/>
          <w:szCs w:val="22"/>
        </w:rPr>
        <w:t>i</w:t>
      </w:r>
      <w:r>
        <w:rPr>
          <w:i w:val="0"/>
          <w:color w:val="auto"/>
          <w:spacing w:val="1"/>
          <w:szCs w:val="22"/>
        </w:rPr>
        <w:t>i</w:t>
      </w:r>
      <w:r>
        <w:rPr>
          <w:i w:val="0"/>
          <w:color w:val="auto"/>
          <w:szCs w:val="22"/>
        </w:rPr>
        <w:t>.</w:t>
      </w:r>
    </w:p>
    <w:p w14:paraId="2C432DF2" w14:textId="77777777" w:rsidR="00C04CAD" w:rsidRDefault="00C04CAD">
      <w:pPr>
        <w:pStyle w:val="BodyText"/>
        <w:kinsoku w:val="0"/>
        <w:overflowPunct w:val="0"/>
        <w:rPr>
          <w:color w:val="auto"/>
          <w:szCs w:val="22"/>
        </w:rPr>
      </w:pPr>
    </w:p>
    <w:p w14:paraId="28466752" w14:textId="77777777" w:rsidR="00C04CAD" w:rsidRDefault="00060E34">
      <w:pPr>
        <w:keepNext/>
        <w:tabs>
          <w:tab w:val="clear" w:pos="567"/>
        </w:tabs>
        <w:kinsoku w:val="0"/>
        <w:overflowPunct w:val="0"/>
        <w:autoSpaceDE w:val="0"/>
        <w:autoSpaceDN w:val="0"/>
        <w:adjustRightInd w:val="0"/>
        <w:spacing w:line="240" w:lineRule="auto"/>
      </w:pPr>
      <w:r>
        <w:rPr>
          <w:spacing w:val="-4"/>
          <w:u w:val="single"/>
        </w:rPr>
        <w:t>I</w:t>
      </w:r>
      <w:r>
        <w:rPr>
          <w:u w:val="single"/>
        </w:rPr>
        <w:t>nsuf</w:t>
      </w:r>
      <w:r>
        <w:rPr>
          <w:spacing w:val="1"/>
          <w:u w:val="single"/>
        </w:rPr>
        <w:t>i</w:t>
      </w:r>
      <w:r>
        <w:rPr>
          <w:u w:val="single"/>
        </w:rPr>
        <w:t>c</w:t>
      </w:r>
      <w:r>
        <w:rPr>
          <w:spacing w:val="1"/>
          <w:u w:val="single"/>
        </w:rPr>
        <w:t>i</w:t>
      </w:r>
      <w:r>
        <w:rPr>
          <w:u w:val="single"/>
        </w:rPr>
        <w:t>e</w:t>
      </w:r>
      <w:r>
        <w:rPr>
          <w:spacing w:val="-3"/>
          <w:u w:val="single"/>
        </w:rPr>
        <w:t>n</w:t>
      </w:r>
      <w:r>
        <w:rPr>
          <w:spacing w:val="1"/>
          <w:u w:val="single"/>
        </w:rPr>
        <w:t>ţ</w:t>
      </w:r>
      <w:r>
        <w:rPr>
          <w:u w:val="single"/>
        </w:rPr>
        <w:t xml:space="preserve">ă cardiacă </w:t>
      </w:r>
      <w:r>
        <w:rPr>
          <w:spacing w:val="-3"/>
          <w:u w:val="single"/>
        </w:rPr>
        <w:t>c</w:t>
      </w:r>
      <w:r>
        <w:rPr>
          <w:u w:val="single"/>
        </w:rPr>
        <w:t>on</w:t>
      </w:r>
      <w:r>
        <w:rPr>
          <w:spacing w:val="-3"/>
          <w:u w:val="single"/>
        </w:rPr>
        <w:t>g</w:t>
      </w:r>
      <w:r>
        <w:rPr>
          <w:u w:val="single"/>
        </w:rPr>
        <w:t>es</w:t>
      </w:r>
      <w:r>
        <w:rPr>
          <w:spacing w:val="1"/>
          <w:u w:val="single"/>
        </w:rPr>
        <w:t>ti</w:t>
      </w:r>
      <w:r>
        <w:rPr>
          <w:spacing w:val="-3"/>
          <w:u w:val="single"/>
        </w:rPr>
        <w:t>v</w:t>
      </w:r>
      <w:r>
        <w:rPr>
          <w:u w:val="single"/>
        </w:rPr>
        <w:t>ă</w:t>
      </w:r>
    </w:p>
    <w:p w14:paraId="2FF6766D" w14:textId="77777777" w:rsidR="00C04CAD" w:rsidRDefault="00C04CAD">
      <w:pPr>
        <w:keepNext/>
        <w:tabs>
          <w:tab w:val="clear" w:pos="567"/>
        </w:tabs>
        <w:kinsoku w:val="0"/>
        <w:overflowPunct w:val="0"/>
        <w:autoSpaceDE w:val="0"/>
        <w:autoSpaceDN w:val="0"/>
        <w:adjustRightInd w:val="0"/>
        <w:spacing w:line="240" w:lineRule="auto"/>
        <w:rPr>
          <w:szCs w:val="22"/>
        </w:rPr>
      </w:pPr>
    </w:p>
    <w:p w14:paraId="1D2A11EF"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w:t>
      </w:r>
      <w:r>
        <w:rPr>
          <w:spacing w:val="1"/>
          <w:szCs w:val="22"/>
        </w:rPr>
        <w:t>t</w:t>
      </w:r>
      <w:r>
        <w:rPr>
          <w:spacing w:val="3"/>
          <w:szCs w:val="22"/>
        </w:rPr>
        <w:t>r</w:t>
      </w:r>
      <w:r>
        <w:rPr>
          <w:spacing w:val="-4"/>
          <w:szCs w:val="22"/>
        </w:rPr>
        <w:t>-</w:t>
      </w:r>
      <w:r>
        <w:rPr>
          <w:szCs w:val="22"/>
        </w:rPr>
        <w:t>un s</w:t>
      </w:r>
      <w:r>
        <w:rPr>
          <w:spacing w:val="1"/>
          <w:szCs w:val="22"/>
        </w:rPr>
        <w:t>t</w:t>
      </w:r>
      <w:r>
        <w:rPr>
          <w:szCs w:val="22"/>
        </w:rPr>
        <w:t>ud</w:t>
      </w:r>
      <w:r>
        <w:rPr>
          <w:spacing w:val="1"/>
          <w:szCs w:val="22"/>
        </w:rPr>
        <w:t>i</w:t>
      </w:r>
      <w:r>
        <w:rPr>
          <w:szCs w:val="22"/>
        </w:rPr>
        <w:t>u</w:t>
      </w:r>
      <w:r>
        <w:rPr>
          <w:spacing w:val="-3"/>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 xml:space="preserve">c </w:t>
      </w:r>
      <w:r>
        <w:rPr>
          <w:spacing w:val="-3"/>
          <w:szCs w:val="22"/>
        </w:rPr>
        <w:t>u</w:t>
      </w:r>
      <w:r>
        <w:rPr>
          <w:spacing w:val="1"/>
          <w:szCs w:val="22"/>
        </w:rPr>
        <w:t>t</w:t>
      </w:r>
      <w:r>
        <w:rPr>
          <w:spacing w:val="-2"/>
          <w:szCs w:val="22"/>
        </w:rPr>
        <w:t>i</w:t>
      </w:r>
      <w:r>
        <w:rPr>
          <w:spacing w:val="1"/>
          <w:szCs w:val="22"/>
        </w:rPr>
        <w:t>li</w:t>
      </w:r>
      <w:r>
        <w:rPr>
          <w:spacing w:val="-3"/>
          <w:szCs w:val="22"/>
        </w:rPr>
        <w:t>zâ</w:t>
      </w:r>
      <w:r>
        <w:rPr>
          <w:szCs w:val="22"/>
        </w:rPr>
        <w:t>nd a</w:t>
      </w:r>
      <w:r>
        <w:rPr>
          <w:spacing w:val="-2"/>
          <w:szCs w:val="22"/>
        </w:rPr>
        <w:t>l</w:t>
      </w:r>
      <w:r>
        <w:rPr>
          <w:szCs w:val="22"/>
        </w:rPr>
        <w:t>t</w:t>
      </w:r>
      <w:r>
        <w:rPr>
          <w:spacing w:val="1"/>
          <w:szCs w:val="22"/>
        </w:rPr>
        <w:t xml:space="preserve"> </w:t>
      </w:r>
      <w:r>
        <w:rPr>
          <w:szCs w:val="22"/>
        </w:rPr>
        <w:t>a</w:t>
      </w:r>
      <w:r>
        <w:rPr>
          <w:spacing w:val="-3"/>
          <w:szCs w:val="22"/>
        </w:rPr>
        <w:t>n</w:t>
      </w:r>
      <w:r>
        <w:rPr>
          <w:spacing w:val="1"/>
          <w:szCs w:val="22"/>
        </w:rPr>
        <w:t>t</w:t>
      </w:r>
      <w:r>
        <w:rPr>
          <w:szCs w:val="22"/>
        </w:rPr>
        <w:t>a</w:t>
      </w:r>
      <w:r>
        <w:rPr>
          <w:spacing w:val="-3"/>
          <w:szCs w:val="22"/>
        </w:rPr>
        <w:t>g</w:t>
      </w:r>
      <w:r>
        <w:rPr>
          <w:szCs w:val="22"/>
        </w:rPr>
        <w:t>on</w:t>
      </w:r>
      <w:r>
        <w:rPr>
          <w:spacing w:val="-2"/>
          <w:szCs w:val="22"/>
        </w:rPr>
        <w:t>i</w:t>
      </w:r>
      <w:r>
        <w:rPr>
          <w:szCs w:val="22"/>
        </w:rPr>
        <w:t>st</w:t>
      </w:r>
      <w:r>
        <w:rPr>
          <w:spacing w:val="-2"/>
          <w:szCs w:val="22"/>
        </w:rPr>
        <w:t xml:space="preserve"> </w:t>
      </w:r>
      <w:r>
        <w:rPr>
          <w:spacing w:val="1"/>
          <w:szCs w:val="22"/>
        </w:rPr>
        <w:t>T</w:t>
      </w:r>
      <w:r>
        <w:rPr>
          <w:spacing w:val="-1"/>
          <w:szCs w:val="22"/>
        </w:rPr>
        <w:t>NF</w:t>
      </w:r>
      <w:r>
        <w:rPr>
          <w:szCs w:val="22"/>
        </w:rPr>
        <w:t>, a</w:t>
      </w:r>
      <w:r>
        <w:rPr>
          <w:spacing w:val="-2"/>
          <w:szCs w:val="22"/>
        </w:rPr>
        <w:t xml:space="preserve"> </w:t>
      </w:r>
      <w:r>
        <w:rPr>
          <w:szCs w:val="22"/>
        </w:rPr>
        <w:t>f</w:t>
      </w:r>
      <w:r>
        <w:rPr>
          <w:spacing w:val="-3"/>
          <w:szCs w:val="22"/>
        </w:rPr>
        <w:t>o</w:t>
      </w:r>
      <w:r>
        <w:rPr>
          <w:szCs w:val="22"/>
        </w:rPr>
        <w:t>st</w:t>
      </w:r>
      <w:r>
        <w:rPr>
          <w:spacing w:val="1"/>
          <w:szCs w:val="22"/>
        </w:rPr>
        <w:t xml:space="preserve"> </w:t>
      </w:r>
      <w:r>
        <w:rPr>
          <w:szCs w:val="22"/>
        </w:rPr>
        <w:t>o</w:t>
      </w:r>
      <w:r>
        <w:rPr>
          <w:spacing w:val="-3"/>
          <w:szCs w:val="22"/>
        </w:rPr>
        <w:t>b</w:t>
      </w:r>
      <w:r>
        <w:rPr>
          <w:szCs w:val="22"/>
        </w:rPr>
        <w:t>ser</w:t>
      </w:r>
      <w:r>
        <w:rPr>
          <w:spacing w:val="-3"/>
          <w:szCs w:val="22"/>
        </w:rPr>
        <w:t>v</w:t>
      </w:r>
      <w:r>
        <w:rPr>
          <w:szCs w:val="22"/>
        </w:rPr>
        <w:t>a</w:t>
      </w:r>
      <w:r>
        <w:rPr>
          <w:spacing w:val="-2"/>
          <w:szCs w:val="22"/>
        </w:rPr>
        <w:t>t</w:t>
      </w:r>
      <w:r>
        <w:rPr>
          <w:szCs w:val="22"/>
        </w:rPr>
        <w:t>ă a</w:t>
      </w:r>
      <w:r>
        <w:rPr>
          <w:spacing w:val="-3"/>
          <w:szCs w:val="22"/>
        </w:rPr>
        <w:t>g</w:t>
      </w:r>
      <w:r>
        <w:rPr>
          <w:szCs w:val="22"/>
        </w:rPr>
        <w:t>ra</w:t>
      </w:r>
      <w:r>
        <w:rPr>
          <w:spacing w:val="-3"/>
          <w:szCs w:val="22"/>
        </w:rPr>
        <w:t>v</w:t>
      </w:r>
      <w:r>
        <w:rPr>
          <w:szCs w:val="22"/>
        </w:rPr>
        <w:t>ar</w:t>
      </w:r>
      <w:r>
        <w:rPr>
          <w:spacing w:val="-3"/>
          <w:szCs w:val="22"/>
        </w:rPr>
        <w:t>e</w:t>
      </w:r>
      <w:r>
        <w:rPr>
          <w:szCs w:val="22"/>
        </w:rPr>
        <w:t xml:space="preserve">a </w:t>
      </w:r>
      <w:r>
        <w:rPr>
          <w:spacing w:val="1"/>
          <w:szCs w:val="22"/>
        </w:rPr>
        <w:t>i</w:t>
      </w:r>
      <w:r>
        <w:rPr>
          <w:spacing w:val="-3"/>
          <w:szCs w:val="22"/>
        </w:rPr>
        <w:t>n</w:t>
      </w:r>
      <w:r>
        <w:rPr>
          <w:szCs w:val="22"/>
        </w:rPr>
        <w:t>su</w:t>
      </w:r>
      <w:r>
        <w:rPr>
          <w:spacing w:val="-2"/>
          <w:szCs w:val="22"/>
        </w:rPr>
        <w:t>f</w:t>
      </w:r>
      <w:r>
        <w:rPr>
          <w:spacing w:val="1"/>
          <w:szCs w:val="22"/>
        </w:rPr>
        <w:t>i</w:t>
      </w:r>
      <w:r>
        <w:rPr>
          <w:szCs w:val="22"/>
        </w:rPr>
        <w:t>c</w:t>
      </w:r>
      <w:r>
        <w:rPr>
          <w:spacing w:val="-2"/>
          <w:szCs w:val="22"/>
        </w:rPr>
        <w:t>i</w:t>
      </w:r>
      <w:r>
        <w:rPr>
          <w:szCs w:val="22"/>
        </w:rPr>
        <w:t>en</w:t>
      </w:r>
      <w:r>
        <w:rPr>
          <w:spacing w:val="-2"/>
          <w:szCs w:val="22"/>
        </w:rPr>
        <w:t>ţ</w:t>
      </w:r>
      <w:r>
        <w:rPr>
          <w:szCs w:val="22"/>
        </w:rPr>
        <w:t>ei</w:t>
      </w:r>
      <w:r>
        <w:rPr>
          <w:spacing w:val="-2"/>
          <w:szCs w:val="22"/>
        </w:rPr>
        <w:t xml:space="preserve"> </w:t>
      </w:r>
      <w:r>
        <w:rPr>
          <w:szCs w:val="22"/>
        </w:rPr>
        <w:t>ca</w:t>
      </w:r>
      <w:r>
        <w:rPr>
          <w:spacing w:val="-2"/>
          <w:szCs w:val="22"/>
        </w:rPr>
        <w:t>r</w:t>
      </w:r>
      <w:r>
        <w:rPr>
          <w:szCs w:val="22"/>
        </w:rPr>
        <w:t>d</w:t>
      </w:r>
      <w:r>
        <w:rPr>
          <w:spacing w:val="1"/>
          <w:szCs w:val="22"/>
        </w:rPr>
        <w:t>i</w:t>
      </w:r>
      <w:r>
        <w:rPr>
          <w:spacing w:val="-3"/>
          <w:szCs w:val="22"/>
        </w:rPr>
        <w:t>a</w:t>
      </w:r>
      <w:r>
        <w:rPr>
          <w:szCs w:val="22"/>
        </w:rPr>
        <w:t>ce con</w:t>
      </w:r>
      <w:r>
        <w:rPr>
          <w:spacing w:val="-3"/>
          <w:szCs w:val="22"/>
        </w:rPr>
        <w:t>g</w:t>
      </w:r>
      <w:r>
        <w:rPr>
          <w:szCs w:val="22"/>
        </w:rPr>
        <w:t>es</w:t>
      </w:r>
      <w:r>
        <w:rPr>
          <w:spacing w:val="1"/>
          <w:szCs w:val="22"/>
        </w:rPr>
        <w:t>ti</w:t>
      </w:r>
      <w:r>
        <w:rPr>
          <w:spacing w:val="-3"/>
          <w:szCs w:val="22"/>
        </w:rPr>
        <w:t>v</w:t>
      </w:r>
      <w:r>
        <w:rPr>
          <w:szCs w:val="22"/>
        </w:rPr>
        <w:t xml:space="preserve">e </w:t>
      </w:r>
      <w:r>
        <w:rPr>
          <w:spacing w:val="-2"/>
          <w:szCs w:val="22"/>
        </w:rPr>
        <w:t>ş</w:t>
      </w:r>
      <w:r>
        <w:rPr>
          <w:szCs w:val="22"/>
        </w:rPr>
        <w:t>i</w:t>
      </w:r>
      <w:r>
        <w:rPr>
          <w:spacing w:val="1"/>
          <w:szCs w:val="22"/>
        </w:rPr>
        <w:t xml:space="preserve"> </w:t>
      </w:r>
      <w:r>
        <w:rPr>
          <w:spacing w:val="-3"/>
          <w:szCs w:val="22"/>
        </w:rPr>
        <w:t>c</w:t>
      </w:r>
      <w:r>
        <w:rPr>
          <w:szCs w:val="22"/>
        </w:rPr>
        <w:t>re</w:t>
      </w:r>
      <w:r>
        <w:rPr>
          <w:spacing w:val="-2"/>
          <w:szCs w:val="22"/>
        </w:rPr>
        <w:t>ş</w:t>
      </w:r>
      <w:r>
        <w:rPr>
          <w:spacing w:val="1"/>
          <w:szCs w:val="22"/>
        </w:rPr>
        <w:t>t</w:t>
      </w:r>
      <w:r>
        <w:rPr>
          <w:spacing w:val="-3"/>
          <w:szCs w:val="22"/>
        </w:rPr>
        <w:t>e</w:t>
      </w:r>
      <w:r>
        <w:rPr>
          <w:szCs w:val="22"/>
        </w:rPr>
        <w:t xml:space="preserve">rea </w:t>
      </w:r>
      <w:r>
        <w:rPr>
          <w:spacing w:val="-4"/>
          <w:szCs w:val="22"/>
        </w:rPr>
        <w:t>m</w:t>
      </w:r>
      <w:r>
        <w:rPr>
          <w:szCs w:val="22"/>
        </w:rPr>
        <w:t>or</w:t>
      </w:r>
      <w:r>
        <w:rPr>
          <w:spacing w:val="-2"/>
          <w:szCs w:val="22"/>
        </w:rPr>
        <w:t>t</w:t>
      </w:r>
      <w:r>
        <w:rPr>
          <w:szCs w:val="22"/>
        </w:rPr>
        <w:t>a</w:t>
      </w:r>
      <w:r>
        <w:rPr>
          <w:spacing w:val="1"/>
          <w:szCs w:val="22"/>
        </w:rPr>
        <w:t>l</w:t>
      </w:r>
      <w:r>
        <w:rPr>
          <w:spacing w:val="-2"/>
          <w:szCs w:val="22"/>
        </w:rPr>
        <w:t>i</w:t>
      </w:r>
      <w:r>
        <w:rPr>
          <w:spacing w:val="1"/>
          <w:szCs w:val="22"/>
        </w:rPr>
        <w:t>t</w:t>
      </w:r>
      <w:r>
        <w:rPr>
          <w:spacing w:val="-3"/>
          <w:szCs w:val="22"/>
        </w:rPr>
        <w:t>ă</w:t>
      </w:r>
      <w:r>
        <w:rPr>
          <w:spacing w:val="1"/>
          <w:szCs w:val="22"/>
        </w:rPr>
        <w:t>ţ</w:t>
      </w:r>
      <w:r>
        <w:rPr>
          <w:spacing w:val="-2"/>
          <w:szCs w:val="22"/>
        </w:rPr>
        <w:t>i</w:t>
      </w:r>
      <w:r>
        <w:rPr>
          <w:szCs w:val="22"/>
        </w:rPr>
        <w:t>i</w:t>
      </w:r>
      <w:r>
        <w:rPr>
          <w:spacing w:val="1"/>
          <w:szCs w:val="22"/>
        </w:rPr>
        <w:t xml:space="preserve"> </w:t>
      </w:r>
      <w:r>
        <w:rPr>
          <w:szCs w:val="22"/>
        </w:rPr>
        <w:t>d</w:t>
      </w:r>
      <w:r>
        <w:rPr>
          <w:spacing w:val="-3"/>
          <w:szCs w:val="22"/>
        </w:rPr>
        <w:t>e</w:t>
      </w:r>
      <w:r>
        <w:rPr>
          <w:spacing w:val="1"/>
          <w:szCs w:val="22"/>
        </w:rPr>
        <w:t>t</w:t>
      </w:r>
      <w:r>
        <w:rPr>
          <w:spacing w:val="-3"/>
          <w:szCs w:val="22"/>
        </w:rPr>
        <w:t>e</w:t>
      </w:r>
      <w:r>
        <w:rPr>
          <w:szCs w:val="22"/>
        </w:rPr>
        <w:t>r</w:t>
      </w:r>
      <w:r>
        <w:rPr>
          <w:spacing w:val="-4"/>
          <w:szCs w:val="22"/>
        </w:rPr>
        <w:t>m</w:t>
      </w:r>
      <w:r>
        <w:rPr>
          <w:spacing w:val="1"/>
          <w:szCs w:val="22"/>
        </w:rPr>
        <w:t>i</w:t>
      </w:r>
      <w:r>
        <w:rPr>
          <w:szCs w:val="22"/>
        </w:rPr>
        <w:t>na</w:t>
      </w:r>
      <w:r>
        <w:rPr>
          <w:spacing w:val="1"/>
          <w:szCs w:val="22"/>
        </w:rPr>
        <w:t>t</w:t>
      </w:r>
      <w:r>
        <w:rPr>
          <w:szCs w:val="22"/>
        </w:rPr>
        <w:t xml:space="preserve">e </w:t>
      </w:r>
      <w:r>
        <w:rPr>
          <w:spacing w:val="-3"/>
          <w:szCs w:val="22"/>
        </w:rPr>
        <w:t>d</w:t>
      </w:r>
      <w:r>
        <w:rPr>
          <w:szCs w:val="22"/>
        </w:rPr>
        <w:t xml:space="preserve">e </w:t>
      </w:r>
      <w:r>
        <w:rPr>
          <w:spacing w:val="-2"/>
          <w:szCs w:val="22"/>
        </w:rPr>
        <w:t>i</w:t>
      </w:r>
      <w:r>
        <w:rPr>
          <w:szCs w:val="22"/>
        </w:rPr>
        <w:t>nsu</w:t>
      </w:r>
      <w:r>
        <w:rPr>
          <w:spacing w:val="-2"/>
          <w:szCs w:val="22"/>
        </w:rPr>
        <w:t>f</w:t>
      </w:r>
      <w:r>
        <w:rPr>
          <w:spacing w:val="1"/>
          <w:szCs w:val="22"/>
        </w:rPr>
        <w:t>i</w:t>
      </w:r>
      <w:r>
        <w:rPr>
          <w:szCs w:val="22"/>
        </w:rPr>
        <w:t>c</w:t>
      </w:r>
      <w:r>
        <w:rPr>
          <w:spacing w:val="-2"/>
          <w:szCs w:val="22"/>
        </w:rPr>
        <w:t>i</w:t>
      </w:r>
      <w:r>
        <w:rPr>
          <w:szCs w:val="22"/>
        </w:rPr>
        <w:t>en</w:t>
      </w:r>
      <w:r>
        <w:rPr>
          <w:spacing w:val="-2"/>
          <w:szCs w:val="22"/>
        </w:rPr>
        <w:t>ţ</w:t>
      </w:r>
      <w:r>
        <w:rPr>
          <w:szCs w:val="22"/>
        </w:rPr>
        <w:t>a c</w:t>
      </w:r>
      <w:r>
        <w:rPr>
          <w:spacing w:val="-3"/>
          <w:szCs w:val="22"/>
        </w:rPr>
        <w:t>a</w:t>
      </w:r>
      <w:r>
        <w:rPr>
          <w:szCs w:val="22"/>
        </w:rPr>
        <w:t>r</w:t>
      </w:r>
      <w:r>
        <w:rPr>
          <w:spacing w:val="-3"/>
          <w:szCs w:val="22"/>
        </w:rPr>
        <w:t>d</w:t>
      </w:r>
      <w:r>
        <w:rPr>
          <w:spacing w:val="1"/>
          <w:szCs w:val="22"/>
        </w:rPr>
        <w:t>i</w:t>
      </w:r>
      <w:r>
        <w:rPr>
          <w:szCs w:val="22"/>
        </w:rPr>
        <w:t>acă</w:t>
      </w:r>
      <w:r>
        <w:rPr>
          <w:spacing w:val="-2"/>
          <w:szCs w:val="22"/>
        </w:rPr>
        <w:t xml:space="preserve"> </w:t>
      </w:r>
      <w:r>
        <w:rPr>
          <w:szCs w:val="22"/>
        </w:rPr>
        <w:t>con</w:t>
      </w:r>
      <w:r>
        <w:rPr>
          <w:spacing w:val="-3"/>
          <w:szCs w:val="22"/>
        </w:rPr>
        <w:t>g</w:t>
      </w:r>
      <w:r>
        <w:rPr>
          <w:szCs w:val="22"/>
        </w:rPr>
        <w:t>e</w:t>
      </w:r>
      <w:r>
        <w:rPr>
          <w:spacing w:val="-2"/>
          <w:szCs w:val="22"/>
        </w:rPr>
        <w:t>s</w:t>
      </w:r>
      <w:r>
        <w:rPr>
          <w:spacing w:val="1"/>
          <w:szCs w:val="22"/>
        </w:rPr>
        <w:t>ti</w:t>
      </w:r>
      <w:r>
        <w:rPr>
          <w:spacing w:val="-3"/>
          <w:szCs w:val="22"/>
        </w:rPr>
        <w:t>v</w:t>
      </w:r>
      <w:r>
        <w:rPr>
          <w:szCs w:val="22"/>
        </w:rPr>
        <w:t>ă.</w:t>
      </w:r>
      <w:r>
        <w:rPr>
          <w:spacing w:val="-3"/>
          <w:szCs w:val="22"/>
        </w:rPr>
        <w:t xml:space="preserve"> </w:t>
      </w:r>
      <w:r>
        <w:rPr>
          <w:spacing w:val="-1"/>
          <w:szCs w:val="22"/>
        </w:rPr>
        <w:t>A</w:t>
      </w:r>
      <w:r>
        <w:rPr>
          <w:szCs w:val="22"/>
        </w:rPr>
        <w:t>u fo</w:t>
      </w:r>
      <w:r>
        <w:rPr>
          <w:spacing w:val="-2"/>
          <w:szCs w:val="22"/>
        </w:rPr>
        <w:t>s</w:t>
      </w:r>
      <w:r>
        <w:rPr>
          <w:szCs w:val="22"/>
        </w:rPr>
        <w:t>t</w:t>
      </w:r>
      <w:r>
        <w:rPr>
          <w:spacing w:val="1"/>
          <w:szCs w:val="22"/>
        </w:rPr>
        <w:t xml:space="preserve"> </w:t>
      </w:r>
      <w:r>
        <w:rPr>
          <w:szCs w:val="22"/>
        </w:rPr>
        <w:t>r</w:t>
      </w:r>
      <w:r>
        <w:rPr>
          <w:spacing w:val="-3"/>
          <w:szCs w:val="22"/>
        </w:rPr>
        <w:t>a</w:t>
      </w:r>
      <w:r>
        <w:rPr>
          <w:szCs w:val="22"/>
        </w:rPr>
        <w:t>po</w:t>
      </w:r>
      <w:r>
        <w:rPr>
          <w:spacing w:val="-2"/>
          <w:szCs w:val="22"/>
        </w:rPr>
        <w:t>r</w:t>
      </w:r>
      <w:r>
        <w:rPr>
          <w:spacing w:val="1"/>
          <w:szCs w:val="22"/>
        </w:rPr>
        <w:t>t</w:t>
      </w:r>
      <w:r>
        <w:rPr>
          <w:spacing w:val="-3"/>
          <w:szCs w:val="22"/>
        </w:rPr>
        <w:t>a</w:t>
      </w:r>
      <w:r>
        <w:rPr>
          <w:spacing w:val="1"/>
          <w:szCs w:val="22"/>
        </w:rPr>
        <w:t>t</w:t>
      </w:r>
      <w:r>
        <w:rPr>
          <w:szCs w:val="22"/>
        </w:rPr>
        <w:t>e, de a</w:t>
      </w:r>
      <w:r>
        <w:rPr>
          <w:spacing w:val="-2"/>
          <w:szCs w:val="22"/>
        </w:rPr>
        <w:t>s</w:t>
      </w:r>
      <w:r>
        <w:rPr>
          <w:szCs w:val="22"/>
        </w:rPr>
        <w:t>e</w:t>
      </w:r>
      <w:r>
        <w:rPr>
          <w:spacing w:val="-4"/>
          <w:szCs w:val="22"/>
        </w:rPr>
        <w:t>m</w:t>
      </w:r>
      <w:r>
        <w:rPr>
          <w:szCs w:val="22"/>
        </w:rPr>
        <w:t>enea, ca</w:t>
      </w:r>
      <w:r>
        <w:rPr>
          <w:spacing w:val="-3"/>
          <w:szCs w:val="22"/>
        </w:rPr>
        <w:t>z</w:t>
      </w:r>
      <w:r>
        <w:rPr>
          <w:szCs w:val="22"/>
        </w:rPr>
        <w:t>u</w:t>
      </w:r>
      <w:r>
        <w:rPr>
          <w:spacing w:val="-2"/>
          <w:szCs w:val="22"/>
        </w:rPr>
        <w:t>r</w:t>
      </w:r>
      <w:r>
        <w:rPr>
          <w:szCs w:val="22"/>
        </w:rPr>
        <w:t>i</w:t>
      </w:r>
      <w:r>
        <w:rPr>
          <w:spacing w:val="1"/>
          <w:szCs w:val="22"/>
        </w:rPr>
        <w:t xml:space="preserve"> </w:t>
      </w:r>
      <w:r>
        <w:rPr>
          <w:szCs w:val="22"/>
        </w:rPr>
        <w:t>de a</w:t>
      </w:r>
      <w:r>
        <w:rPr>
          <w:spacing w:val="-3"/>
          <w:szCs w:val="22"/>
        </w:rPr>
        <w:t>g</w:t>
      </w:r>
      <w:r>
        <w:rPr>
          <w:spacing w:val="-2"/>
          <w:szCs w:val="22"/>
        </w:rPr>
        <w:t>r</w:t>
      </w:r>
      <w:r>
        <w:rPr>
          <w:szCs w:val="22"/>
        </w:rPr>
        <w:t>a</w:t>
      </w:r>
      <w:r>
        <w:rPr>
          <w:spacing w:val="-3"/>
          <w:szCs w:val="22"/>
        </w:rPr>
        <w:t>v</w:t>
      </w:r>
      <w:r>
        <w:rPr>
          <w:szCs w:val="22"/>
        </w:rPr>
        <w:t>are a</w:t>
      </w:r>
      <w:r>
        <w:rPr>
          <w:spacing w:val="-2"/>
          <w:szCs w:val="22"/>
        </w:rPr>
        <w:t xml:space="preserve"> </w:t>
      </w:r>
      <w:r>
        <w:rPr>
          <w:spacing w:val="1"/>
          <w:szCs w:val="22"/>
        </w:rPr>
        <w:t>i</w:t>
      </w:r>
      <w:r>
        <w:rPr>
          <w:szCs w:val="22"/>
        </w:rPr>
        <w:t>ns</w:t>
      </w:r>
      <w:r>
        <w:rPr>
          <w:spacing w:val="-3"/>
          <w:szCs w:val="22"/>
        </w:rPr>
        <w:t>u</w:t>
      </w:r>
      <w:r>
        <w:rPr>
          <w:szCs w:val="22"/>
        </w:rPr>
        <w:t>f</w:t>
      </w:r>
      <w:r>
        <w:rPr>
          <w:spacing w:val="-2"/>
          <w:szCs w:val="22"/>
        </w:rPr>
        <w:t>i</w:t>
      </w:r>
      <w:r>
        <w:rPr>
          <w:szCs w:val="22"/>
        </w:rPr>
        <w:t>c</w:t>
      </w:r>
      <w:r>
        <w:rPr>
          <w:spacing w:val="1"/>
          <w:szCs w:val="22"/>
        </w:rPr>
        <w:t>i</w:t>
      </w:r>
      <w:r>
        <w:rPr>
          <w:spacing w:val="-3"/>
          <w:szCs w:val="22"/>
        </w:rPr>
        <w:t>e</w:t>
      </w:r>
      <w:r>
        <w:rPr>
          <w:szCs w:val="22"/>
        </w:rPr>
        <w:t>n</w:t>
      </w:r>
      <w:r>
        <w:rPr>
          <w:spacing w:val="1"/>
          <w:szCs w:val="22"/>
        </w:rPr>
        <w:t>ţ</w:t>
      </w:r>
      <w:r>
        <w:rPr>
          <w:spacing w:val="-3"/>
          <w:szCs w:val="22"/>
        </w:rPr>
        <w:t>e</w:t>
      </w:r>
      <w:r>
        <w:rPr>
          <w:szCs w:val="22"/>
        </w:rPr>
        <w:t>i</w:t>
      </w:r>
      <w:r>
        <w:rPr>
          <w:spacing w:val="1"/>
          <w:szCs w:val="22"/>
        </w:rPr>
        <w:t xml:space="preserve"> </w:t>
      </w:r>
      <w:r>
        <w:rPr>
          <w:spacing w:val="-3"/>
          <w:szCs w:val="22"/>
        </w:rPr>
        <w:t>c</w:t>
      </w:r>
      <w:r>
        <w:rPr>
          <w:szCs w:val="22"/>
        </w:rPr>
        <w:t>ar</w:t>
      </w:r>
      <w:r>
        <w:rPr>
          <w:spacing w:val="-3"/>
          <w:szCs w:val="22"/>
        </w:rPr>
        <w:t>d</w:t>
      </w:r>
      <w:r>
        <w:rPr>
          <w:spacing w:val="1"/>
          <w:szCs w:val="22"/>
        </w:rPr>
        <w:t>i</w:t>
      </w:r>
      <w:r>
        <w:rPr>
          <w:spacing w:val="-3"/>
          <w:szCs w:val="22"/>
        </w:rPr>
        <w:t>a</w:t>
      </w:r>
      <w:r>
        <w:rPr>
          <w:szCs w:val="22"/>
        </w:rPr>
        <w:t>ce con</w:t>
      </w:r>
      <w:r>
        <w:rPr>
          <w:spacing w:val="-3"/>
          <w:szCs w:val="22"/>
        </w:rPr>
        <w:t>g</w:t>
      </w:r>
      <w:r>
        <w:rPr>
          <w:szCs w:val="22"/>
        </w:rPr>
        <w:t>e</w:t>
      </w:r>
      <w:r>
        <w:rPr>
          <w:spacing w:val="-2"/>
          <w:szCs w:val="22"/>
        </w:rPr>
        <w:t>s</w:t>
      </w:r>
      <w:r>
        <w:rPr>
          <w:spacing w:val="1"/>
          <w:szCs w:val="22"/>
        </w:rPr>
        <w:t>ti</w:t>
      </w:r>
      <w:r>
        <w:rPr>
          <w:spacing w:val="-3"/>
          <w:szCs w:val="22"/>
        </w:rPr>
        <w:t>v</w:t>
      </w:r>
      <w:r>
        <w:rPr>
          <w:szCs w:val="22"/>
        </w:rPr>
        <w:t xml:space="preserve">e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2"/>
          <w:szCs w:val="22"/>
        </w:rPr>
        <w:t>ţ</w:t>
      </w:r>
      <w:r>
        <w:rPr>
          <w:spacing w:val="1"/>
          <w:szCs w:val="22"/>
        </w:rPr>
        <w:t>i</w:t>
      </w:r>
      <w:r>
        <w:rPr>
          <w:szCs w:val="22"/>
        </w:rPr>
        <w:t>i</w:t>
      </w:r>
      <w:r>
        <w:rPr>
          <w:spacing w:val="1"/>
          <w:szCs w:val="22"/>
        </w:rPr>
        <w:t xml:space="preserve"> </w:t>
      </w:r>
      <w:r>
        <w:rPr>
          <w:spacing w:val="-3"/>
          <w:szCs w:val="22"/>
        </w:rPr>
        <w:t>c</w:t>
      </w:r>
      <w:r>
        <w:rPr>
          <w:szCs w:val="22"/>
        </w:rPr>
        <w:t xml:space="preserve">are </w:t>
      </w:r>
      <w:r>
        <w:rPr>
          <w:spacing w:val="-3"/>
          <w:szCs w:val="22"/>
        </w:rPr>
        <w:t>a</w:t>
      </w:r>
      <w:r>
        <w:rPr>
          <w:szCs w:val="22"/>
        </w:rPr>
        <w:t>u p</w:t>
      </w:r>
      <w:r>
        <w:rPr>
          <w:spacing w:val="-2"/>
          <w:szCs w:val="22"/>
        </w:rPr>
        <w:t>r</w:t>
      </w:r>
      <w:r>
        <w:rPr>
          <w:spacing w:val="1"/>
          <w:szCs w:val="22"/>
        </w:rPr>
        <w:t>i</w:t>
      </w:r>
      <w:r>
        <w:rPr>
          <w:spacing w:val="-4"/>
          <w:szCs w:val="22"/>
        </w:rPr>
        <w:t>m</w:t>
      </w:r>
      <w:r>
        <w:rPr>
          <w:spacing w:val="1"/>
          <w:szCs w:val="22"/>
        </w:rPr>
        <w:t>i</w:t>
      </w:r>
      <w:r>
        <w:rPr>
          <w:szCs w:val="22"/>
        </w:rPr>
        <w:t xml:space="preserve">t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zCs w:val="22"/>
        </w:rPr>
        <w:t xml:space="preserve">cu </w:t>
      </w:r>
      <w:r>
        <w:rPr>
          <w:rFonts w:eastAsia="MS Mincho"/>
          <w:spacing w:val="-1"/>
          <w:szCs w:val="22"/>
          <w:lang w:eastAsia="en-US" w:bidi="ar-SA"/>
        </w:rPr>
        <w:t>adalimumab</w:t>
      </w:r>
      <w:r>
        <w:rPr>
          <w:rFonts w:eastAsia="MS Mincho"/>
          <w:szCs w:val="22"/>
          <w:lang w:eastAsia="en-US" w:bidi="ar-SA"/>
        </w:rPr>
        <w:t xml:space="preserve">. </w:t>
      </w:r>
      <w:r>
        <w:rPr>
          <w:rFonts w:eastAsia="MS Mincho"/>
          <w:spacing w:val="-1"/>
          <w:szCs w:val="22"/>
          <w:lang w:eastAsia="en-US" w:bidi="ar-SA"/>
        </w:rPr>
        <w:t>AMGEVITA</w:t>
      </w:r>
      <w:r>
        <w:rPr>
          <w:szCs w:val="22"/>
        </w:rPr>
        <w:t xml:space="preserve"> </w:t>
      </w:r>
      <w:r>
        <w:rPr>
          <w:spacing w:val="-2"/>
          <w:szCs w:val="22"/>
        </w:rPr>
        <w:t>t</w:t>
      </w:r>
      <w:r>
        <w:rPr>
          <w:szCs w:val="22"/>
        </w:rPr>
        <w:t>re</w:t>
      </w:r>
      <w:r>
        <w:rPr>
          <w:spacing w:val="-3"/>
          <w:szCs w:val="22"/>
        </w:rPr>
        <w:t>b</w:t>
      </w:r>
      <w:r>
        <w:rPr>
          <w:szCs w:val="22"/>
        </w:rPr>
        <w:t>u</w:t>
      </w:r>
      <w:r>
        <w:rPr>
          <w:spacing w:val="1"/>
          <w:szCs w:val="22"/>
        </w:rPr>
        <w:t>i</w:t>
      </w:r>
      <w:r>
        <w:rPr>
          <w:szCs w:val="22"/>
        </w:rPr>
        <w:t>e</w:t>
      </w:r>
      <w:r>
        <w:rPr>
          <w:spacing w:val="-2"/>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at</w:t>
      </w:r>
      <w:r>
        <w:rPr>
          <w:spacing w:val="1"/>
          <w:szCs w:val="22"/>
        </w:rPr>
        <w:t xml:space="preserve"> </w:t>
      </w:r>
      <w:r>
        <w:rPr>
          <w:szCs w:val="22"/>
        </w:rPr>
        <w:t>cu</w:t>
      </w:r>
      <w:r>
        <w:rPr>
          <w:spacing w:val="-3"/>
          <w:szCs w:val="22"/>
        </w:rPr>
        <w:t xml:space="preserve"> </w:t>
      </w:r>
      <w:r>
        <w:rPr>
          <w:szCs w:val="22"/>
        </w:rPr>
        <w:t>pru</w:t>
      </w:r>
      <w:r>
        <w:rPr>
          <w:spacing w:val="-3"/>
          <w:szCs w:val="22"/>
        </w:rPr>
        <w:t>d</w:t>
      </w:r>
      <w:r>
        <w:rPr>
          <w:szCs w:val="22"/>
        </w:rPr>
        <w:t>e</w:t>
      </w:r>
      <w:r>
        <w:rPr>
          <w:spacing w:val="-3"/>
          <w:szCs w:val="22"/>
        </w:rPr>
        <w:t>n</w:t>
      </w:r>
      <w:r>
        <w:rPr>
          <w:spacing w:val="1"/>
          <w:szCs w:val="22"/>
        </w:rPr>
        <w:t>ţ</w:t>
      </w:r>
      <w:r>
        <w:rPr>
          <w:szCs w:val="22"/>
        </w:rPr>
        <w:t xml:space="preserve">ă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 xml:space="preserve">cu </w:t>
      </w:r>
      <w:r>
        <w:rPr>
          <w:spacing w:val="-2"/>
          <w:szCs w:val="22"/>
        </w:rPr>
        <w:t>i</w:t>
      </w:r>
      <w:r>
        <w:rPr>
          <w:szCs w:val="22"/>
        </w:rPr>
        <w:t>ns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pacing w:val="-2"/>
          <w:szCs w:val="22"/>
        </w:rPr>
        <w:t>ţ</w:t>
      </w:r>
      <w:r>
        <w:rPr>
          <w:szCs w:val="22"/>
        </w:rPr>
        <w:t>ă ca</w:t>
      </w:r>
      <w:r>
        <w:rPr>
          <w:spacing w:val="-2"/>
          <w:szCs w:val="22"/>
        </w:rPr>
        <w:t>r</w:t>
      </w:r>
      <w:r>
        <w:rPr>
          <w:szCs w:val="22"/>
        </w:rPr>
        <w:t>d</w:t>
      </w:r>
      <w:r>
        <w:rPr>
          <w:spacing w:val="1"/>
          <w:szCs w:val="22"/>
        </w:rPr>
        <w:t>i</w:t>
      </w:r>
      <w:r>
        <w:rPr>
          <w:spacing w:val="-3"/>
          <w:szCs w:val="22"/>
        </w:rPr>
        <w:t>a</w:t>
      </w:r>
      <w:r>
        <w:rPr>
          <w:szCs w:val="22"/>
        </w:rPr>
        <w:t xml:space="preserve">că </w:t>
      </w:r>
      <w:r>
        <w:rPr>
          <w:spacing w:val="-3"/>
          <w:szCs w:val="22"/>
        </w:rPr>
        <w:t>u</w:t>
      </w:r>
      <w:r>
        <w:rPr>
          <w:szCs w:val="22"/>
        </w:rPr>
        <w:t>şo</w:t>
      </w:r>
      <w:r>
        <w:rPr>
          <w:spacing w:val="-3"/>
          <w:szCs w:val="22"/>
        </w:rPr>
        <w:t>a</w:t>
      </w:r>
      <w:r>
        <w:rPr>
          <w:szCs w:val="22"/>
        </w:rPr>
        <w:t>ră (c</w:t>
      </w:r>
      <w:r>
        <w:rPr>
          <w:spacing w:val="-2"/>
          <w:szCs w:val="22"/>
        </w:rPr>
        <w:t>l</w:t>
      </w:r>
      <w:r>
        <w:rPr>
          <w:szCs w:val="22"/>
        </w:rPr>
        <w:t xml:space="preserve">asa </w:t>
      </w:r>
      <w:r>
        <w:rPr>
          <w:spacing w:val="-4"/>
          <w:szCs w:val="22"/>
        </w:rPr>
        <w:t>I</w:t>
      </w:r>
      <w:r>
        <w:rPr>
          <w:spacing w:val="1"/>
          <w:szCs w:val="22"/>
        </w:rPr>
        <w:t>/</w:t>
      </w:r>
      <w:r>
        <w:rPr>
          <w:spacing w:val="-2"/>
          <w:szCs w:val="22"/>
        </w:rPr>
        <w:t>I</w:t>
      </w:r>
      <w:r>
        <w:rPr>
          <w:szCs w:val="22"/>
        </w:rPr>
        <w:t>I</w:t>
      </w:r>
      <w:r>
        <w:rPr>
          <w:spacing w:val="-2"/>
          <w:szCs w:val="22"/>
        </w:rPr>
        <w:t xml:space="preserve"> </w:t>
      </w:r>
      <w:r>
        <w:rPr>
          <w:spacing w:val="-1"/>
          <w:szCs w:val="22"/>
        </w:rPr>
        <w:t>NY</w:t>
      </w:r>
      <w:r>
        <w:rPr>
          <w:spacing w:val="-2"/>
          <w:szCs w:val="22"/>
        </w:rPr>
        <w:t>H</w:t>
      </w:r>
      <w:r>
        <w:rPr>
          <w:spacing w:val="-1"/>
          <w:szCs w:val="22"/>
        </w:rPr>
        <w:t>A</w:t>
      </w:r>
      <w:r>
        <w:rPr>
          <w:szCs w:val="22"/>
        </w:rPr>
        <w:t xml:space="preserve">). </w:t>
      </w:r>
      <w:r>
        <w:rPr>
          <w:rFonts w:eastAsia="MS Mincho"/>
          <w:spacing w:val="-1"/>
          <w:szCs w:val="22"/>
          <w:lang w:eastAsia="en-US" w:bidi="ar-SA"/>
        </w:rPr>
        <w:t>AMGEVITA</w:t>
      </w:r>
      <w:r>
        <w:rPr>
          <w:szCs w:val="22"/>
        </w:rPr>
        <w:t xml:space="preserve"> es</w:t>
      </w:r>
      <w:r>
        <w:rPr>
          <w:spacing w:val="1"/>
          <w:szCs w:val="22"/>
        </w:rPr>
        <w:t>t</w:t>
      </w:r>
      <w:r>
        <w:rPr>
          <w:szCs w:val="22"/>
        </w:rPr>
        <w:t>e</w:t>
      </w:r>
      <w:r>
        <w:rPr>
          <w:spacing w:val="-2"/>
          <w:szCs w:val="22"/>
        </w:rPr>
        <w:t xml:space="preserve"> </w:t>
      </w:r>
      <w:r>
        <w:rPr>
          <w:szCs w:val="22"/>
        </w:rPr>
        <w:t>co</w:t>
      </w:r>
      <w:r>
        <w:rPr>
          <w:spacing w:val="-3"/>
          <w:szCs w:val="22"/>
        </w:rPr>
        <w:t>n</w:t>
      </w:r>
      <w:r>
        <w:rPr>
          <w:spacing w:val="1"/>
          <w:szCs w:val="22"/>
        </w:rPr>
        <w:t>t</w:t>
      </w:r>
      <w:r>
        <w:rPr>
          <w:spacing w:val="-2"/>
          <w:szCs w:val="22"/>
        </w:rPr>
        <w:t>r</w:t>
      </w:r>
      <w:r>
        <w:rPr>
          <w:szCs w:val="22"/>
        </w:rPr>
        <w:t>a</w:t>
      </w:r>
      <w:r>
        <w:rPr>
          <w:spacing w:val="1"/>
          <w:szCs w:val="22"/>
        </w:rPr>
        <w:t>i</w:t>
      </w:r>
      <w:r>
        <w:rPr>
          <w:szCs w:val="22"/>
        </w:rPr>
        <w:t>n</w:t>
      </w:r>
      <w:r>
        <w:rPr>
          <w:spacing w:val="-3"/>
          <w:szCs w:val="22"/>
        </w:rPr>
        <w:t>d</w:t>
      </w:r>
      <w:r>
        <w:rPr>
          <w:spacing w:val="1"/>
          <w:szCs w:val="22"/>
        </w:rPr>
        <w:t>i</w:t>
      </w:r>
      <w:r>
        <w:rPr>
          <w:spacing w:val="-3"/>
          <w:szCs w:val="22"/>
        </w:rPr>
        <w:t>c</w:t>
      </w:r>
      <w:r>
        <w:rPr>
          <w:szCs w:val="22"/>
        </w:rPr>
        <w:t>at</w:t>
      </w:r>
      <w:r>
        <w:rPr>
          <w:spacing w:val="-2"/>
          <w:szCs w:val="22"/>
        </w:rPr>
        <w:t xml:space="preserve"> </w:t>
      </w:r>
      <w:r>
        <w:rPr>
          <w:spacing w:val="1"/>
          <w:szCs w:val="22"/>
        </w:rPr>
        <w:t>î</w:t>
      </w:r>
      <w:r>
        <w:rPr>
          <w:szCs w:val="22"/>
        </w:rPr>
        <w:t xml:space="preserve">n </w:t>
      </w:r>
      <w:r>
        <w:rPr>
          <w:spacing w:val="-3"/>
          <w:szCs w:val="22"/>
        </w:rPr>
        <w:t>c</w:t>
      </w:r>
      <w:r>
        <w:rPr>
          <w:szCs w:val="22"/>
        </w:rPr>
        <w:t>a</w:t>
      </w:r>
      <w:r>
        <w:rPr>
          <w:spacing w:val="-3"/>
          <w:szCs w:val="22"/>
        </w:rPr>
        <w:t>z</w:t>
      </w:r>
      <w:r>
        <w:rPr>
          <w:szCs w:val="22"/>
        </w:rPr>
        <w:t>ul</w:t>
      </w:r>
      <w:r>
        <w:rPr>
          <w:spacing w:val="1"/>
          <w:szCs w:val="22"/>
        </w:rPr>
        <w:t xml:space="preserve"> </w:t>
      </w:r>
      <w:r>
        <w:rPr>
          <w:spacing w:val="-2"/>
          <w:szCs w:val="22"/>
        </w:rPr>
        <w:t>i</w:t>
      </w:r>
      <w:r>
        <w:rPr>
          <w:szCs w:val="22"/>
        </w:rPr>
        <w:t>nsu</w:t>
      </w:r>
      <w:r>
        <w:rPr>
          <w:spacing w:val="-2"/>
          <w:szCs w:val="22"/>
        </w:rPr>
        <w:t>f</w:t>
      </w:r>
      <w:r>
        <w:rPr>
          <w:spacing w:val="1"/>
          <w:szCs w:val="22"/>
        </w:rPr>
        <w:t>i</w:t>
      </w:r>
      <w:r>
        <w:rPr>
          <w:szCs w:val="22"/>
        </w:rPr>
        <w:t>c</w:t>
      </w:r>
      <w:r>
        <w:rPr>
          <w:spacing w:val="-2"/>
          <w:szCs w:val="22"/>
        </w:rPr>
        <w:t>i</w:t>
      </w:r>
      <w:r>
        <w:rPr>
          <w:szCs w:val="22"/>
        </w:rPr>
        <w:t>en</w:t>
      </w:r>
      <w:r>
        <w:rPr>
          <w:spacing w:val="-2"/>
          <w:szCs w:val="22"/>
        </w:rPr>
        <w:t>ţ</w:t>
      </w:r>
      <w:r>
        <w:rPr>
          <w:szCs w:val="22"/>
        </w:rPr>
        <w:t>ei</w:t>
      </w:r>
      <w:r>
        <w:rPr>
          <w:spacing w:val="-2"/>
          <w:szCs w:val="22"/>
        </w:rPr>
        <w:t xml:space="preserve"> </w:t>
      </w:r>
      <w:r>
        <w:rPr>
          <w:szCs w:val="22"/>
        </w:rPr>
        <w:t>c</w:t>
      </w:r>
      <w:r>
        <w:rPr>
          <w:spacing w:val="-3"/>
          <w:szCs w:val="22"/>
        </w:rPr>
        <w:t>a</w:t>
      </w:r>
      <w:r>
        <w:rPr>
          <w:szCs w:val="22"/>
        </w:rPr>
        <w:t>rd</w:t>
      </w:r>
      <w:r>
        <w:rPr>
          <w:spacing w:val="-2"/>
          <w:szCs w:val="22"/>
        </w:rPr>
        <w:t>i</w:t>
      </w:r>
      <w:r>
        <w:rPr>
          <w:szCs w:val="22"/>
        </w:rPr>
        <w:t xml:space="preserve">ace </w:t>
      </w:r>
      <w:r>
        <w:rPr>
          <w:spacing w:val="-4"/>
          <w:szCs w:val="22"/>
        </w:rPr>
        <w:t>m</w:t>
      </w:r>
      <w:r>
        <w:rPr>
          <w:szCs w:val="22"/>
        </w:rPr>
        <w:t>ode</w:t>
      </w:r>
      <w:r>
        <w:rPr>
          <w:spacing w:val="-2"/>
          <w:szCs w:val="22"/>
        </w:rPr>
        <w:t>r</w:t>
      </w:r>
      <w:r>
        <w:rPr>
          <w:szCs w:val="22"/>
        </w:rPr>
        <w:t>a</w:t>
      </w:r>
      <w:r>
        <w:rPr>
          <w:spacing w:val="1"/>
          <w:szCs w:val="22"/>
        </w:rPr>
        <w:t>t</w:t>
      </w:r>
      <w:r>
        <w:rPr>
          <w:spacing w:val="-3"/>
          <w:szCs w:val="22"/>
        </w:rPr>
        <w:t>e</w:t>
      </w:r>
      <w:r>
        <w:rPr>
          <w:spacing w:val="1"/>
          <w:szCs w:val="22"/>
        </w:rPr>
        <w:t>/</w:t>
      </w:r>
      <w:r>
        <w:rPr>
          <w:szCs w:val="22"/>
        </w:rPr>
        <w:t>se</w:t>
      </w:r>
      <w:r>
        <w:rPr>
          <w:spacing w:val="-3"/>
          <w:szCs w:val="22"/>
        </w:rPr>
        <w:t>v</w:t>
      </w:r>
      <w:r>
        <w:rPr>
          <w:szCs w:val="22"/>
        </w:rPr>
        <w:t>e</w:t>
      </w:r>
      <w:r>
        <w:rPr>
          <w:spacing w:val="-2"/>
          <w:szCs w:val="22"/>
        </w:rPr>
        <w:t>r</w:t>
      </w:r>
      <w:r>
        <w:rPr>
          <w:szCs w:val="22"/>
        </w:rPr>
        <w:t>e (</w:t>
      </w:r>
      <w:r>
        <w:rPr>
          <w:spacing w:val="-3"/>
          <w:szCs w:val="22"/>
        </w:rPr>
        <w:t>v</w:t>
      </w:r>
      <w:r>
        <w:rPr>
          <w:szCs w:val="22"/>
        </w:rPr>
        <w:t>e</w:t>
      </w:r>
      <w:r>
        <w:rPr>
          <w:spacing w:val="-3"/>
          <w:szCs w:val="22"/>
        </w:rPr>
        <w:t>z</w:t>
      </w:r>
      <w:r>
        <w:rPr>
          <w:szCs w:val="22"/>
        </w:rPr>
        <w:t>i</w:t>
      </w:r>
      <w:r>
        <w:rPr>
          <w:spacing w:val="1"/>
          <w:szCs w:val="22"/>
        </w:rPr>
        <w:t xml:space="preserve"> </w:t>
      </w:r>
      <w:r>
        <w:rPr>
          <w:szCs w:val="22"/>
        </w:rPr>
        <w:t>pc</w:t>
      </w:r>
      <w:r>
        <w:rPr>
          <w:spacing w:val="1"/>
          <w:szCs w:val="22"/>
        </w:rPr>
        <w:t>t</w:t>
      </w:r>
      <w:r>
        <w:rPr>
          <w:szCs w:val="22"/>
        </w:rPr>
        <w:t>. 4.</w:t>
      </w:r>
      <w:r>
        <w:rPr>
          <w:spacing w:val="-3"/>
          <w:szCs w:val="22"/>
        </w:rPr>
        <w:t>3</w:t>
      </w:r>
      <w:r>
        <w:rPr>
          <w:szCs w:val="22"/>
        </w:rPr>
        <w:t>).</w:t>
      </w:r>
      <w:r>
        <w:rPr>
          <w:spacing w:val="-3"/>
          <w:szCs w:val="22"/>
        </w:rPr>
        <w:t xml:space="preserve"> </w:t>
      </w:r>
      <w:r>
        <w:rPr>
          <w:spacing w:val="-1"/>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2"/>
          <w:szCs w:val="22"/>
        </w:rPr>
        <w:t xml:space="preserve"> </w:t>
      </w:r>
      <w:r>
        <w:rPr>
          <w:szCs w:val="22"/>
        </w:rPr>
        <w:t xml:space="preserve">cu </w:t>
      </w:r>
      <w:r>
        <w:rPr>
          <w:rFonts w:eastAsia="MS Mincho"/>
          <w:spacing w:val="-1"/>
          <w:szCs w:val="22"/>
          <w:lang w:eastAsia="en-US" w:bidi="ar-SA"/>
        </w:rPr>
        <w:t>AMGEVITA</w:t>
      </w:r>
      <w:r>
        <w:rPr>
          <w:szCs w:val="22"/>
        </w:rPr>
        <w:t xml:space="preserve"> </w:t>
      </w:r>
      <w:r>
        <w:rPr>
          <w:spacing w:val="-2"/>
          <w:szCs w:val="22"/>
        </w:rPr>
        <w:t>t</w:t>
      </w:r>
      <w:r>
        <w:rPr>
          <w:szCs w:val="22"/>
        </w:rPr>
        <w:t>reb</w:t>
      </w:r>
      <w:r>
        <w:rPr>
          <w:spacing w:val="-3"/>
          <w:szCs w:val="22"/>
        </w:rPr>
        <w:t>u</w:t>
      </w:r>
      <w:r>
        <w:rPr>
          <w:spacing w:val="1"/>
          <w:szCs w:val="22"/>
        </w:rPr>
        <w:t>i</w:t>
      </w:r>
      <w:r>
        <w:rPr>
          <w:szCs w:val="22"/>
        </w:rPr>
        <w:t>e</w:t>
      </w:r>
      <w:r>
        <w:rPr>
          <w:spacing w:val="-2"/>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ru</w:t>
      </w:r>
      <w:r>
        <w:rPr>
          <w:spacing w:val="-3"/>
          <w:szCs w:val="22"/>
        </w:rPr>
        <w:t>p</w:t>
      </w:r>
      <w:r>
        <w:rPr>
          <w:szCs w:val="22"/>
        </w:rPr>
        <w:t>t</w:t>
      </w:r>
      <w:r>
        <w:rPr>
          <w:spacing w:val="1"/>
          <w:szCs w:val="22"/>
        </w:rPr>
        <w:t xml:space="preserve"> 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2"/>
          <w:szCs w:val="22"/>
        </w:rPr>
        <w:t xml:space="preserve"> </w:t>
      </w:r>
      <w:r>
        <w:rPr>
          <w:spacing w:val="1"/>
          <w:szCs w:val="22"/>
        </w:rPr>
        <w:t>l</w:t>
      </w:r>
      <w:r>
        <w:rPr>
          <w:szCs w:val="22"/>
        </w:rPr>
        <w:t xml:space="preserve">a </w:t>
      </w:r>
      <w:r>
        <w:rPr>
          <w:spacing w:val="-3"/>
          <w:szCs w:val="22"/>
        </w:rPr>
        <w:t>c</w:t>
      </w:r>
      <w:r>
        <w:rPr>
          <w:szCs w:val="22"/>
        </w:rPr>
        <w:t>are</w:t>
      </w:r>
      <w:r>
        <w:rPr>
          <w:spacing w:val="-2"/>
          <w:szCs w:val="22"/>
        </w:rPr>
        <w:t xml:space="preserve"> </w:t>
      </w:r>
      <w:r>
        <w:rPr>
          <w:szCs w:val="22"/>
        </w:rPr>
        <w:t>ap</w:t>
      </w:r>
      <w:r>
        <w:rPr>
          <w:spacing w:val="-3"/>
          <w:szCs w:val="22"/>
        </w:rPr>
        <w:t>a</w:t>
      </w:r>
      <w:r>
        <w:rPr>
          <w:szCs w:val="22"/>
        </w:rPr>
        <w:t>r</w:t>
      </w:r>
      <w:r>
        <w:rPr>
          <w:spacing w:val="1"/>
          <w:szCs w:val="22"/>
        </w:rPr>
        <w:t xml:space="preserve"> </w:t>
      </w:r>
      <w:r>
        <w:rPr>
          <w:spacing w:val="-2"/>
          <w:szCs w:val="22"/>
        </w:rPr>
        <w:t>si</w:t>
      </w:r>
      <w:r>
        <w:rPr>
          <w:spacing w:val="-4"/>
          <w:szCs w:val="22"/>
        </w:rPr>
        <w:t>m</w:t>
      </w:r>
      <w:r>
        <w:rPr>
          <w:szCs w:val="22"/>
        </w:rPr>
        <w:t>p</w:t>
      </w:r>
      <w:r>
        <w:rPr>
          <w:spacing w:val="1"/>
          <w:szCs w:val="22"/>
        </w:rPr>
        <w:t>t</w:t>
      </w:r>
      <w:r>
        <w:rPr>
          <w:spacing w:val="2"/>
          <w:szCs w:val="22"/>
        </w:rPr>
        <w:t>o</w:t>
      </w:r>
      <w:r>
        <w:rPr>
          <w:spacing w:val="-4"/>
          <w:szCs w:val="22"/>
        </w:rPr>
        <w:t>m</w:t>
      </w:r>
      <w:r>
        <w:rPr>
          <w:szCs w:val="22"/>
        </w:rPr>
        <w:t>e noi</w:t>
      </w:r>
      <w:r>
        <w:rPr>
          <w:spacing w:val="1"/>
          <w:szCs w:val="22"/>
        </w:rPr>
        <w:t xml:space="preserve"> </w:t>
      </w:r>
      <w:r>
        <w:rPr>
          <w:szCs w:val="22"/>
        </w:rPr>
        <w:t xml:space="preserve">de </w:t>
      </w:r>
      <w:r>
        <w:rPr>
          <w:spacing w:val="1"/>
          <w:szCs w:val="22"/>
        </w:rPr>
        <w:t>i</w:t>
      </w:r>
      <w:r>
        <w:rPr>
          <w:szCs w:val="22"/>
        </w:rPr>
        <w:t>ns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pacing w:val="1"/>
          <w:szCs w:val="22"/>
        </w:rPr>
        <w:t>ţ</w:t>
      </w:r>
      <w:r>
        <w:rPr>
          <w:szCs w:val="22"/>
        </w:rPr>
        <w:t>ă</w:t>
      </w:r>
      <w:r>
        <w:rPr>
          <w:spacing w:val="-2"/>
          <w:szCs w:val="22"/>
        </w:rPr>
        <w:t xml:space="preserve"> </w:t>
      </w:r>
      <w:r>
        <w:rPr>
          <w:szCs w:val="22"/>
        </w:rPr>
        <w:t>c</w:t>
      </w:r>
      <w:r>
        <w:rPr>
          <w:spacing w:val="-3"/>
          <w:szCs w:val="22"/>
        </w:rPr>
        <w:t>a</w:t>
      </w:r>
      <w:r>
        <w:rPr>
          <w:szCs w:val="22"/>
        </w:rPr>
        <w:t>rd</w:t>
      </w:r>
      <w:r>
        <w:rPr>
          <w:spacing w:val="-2"/>
          <w:szCs w:val="22"/>
        </w:rPr>
        <w:t>i</w:t>
      </w:r>
      <w:r>
        <w:rPr>
          <w:szCs w:val="22"/>
        </w:rPr>
        <w:t>acă</w:t>
      </w:r>
      <w:r>
        <w:rPr>
          <w:spacing w:val="-2"/>
          <w:szCs w:val="22"/>
        </w:rPr>
        <w:t xml:space="preserve"> </w:t>
      </w:r>
      <w:r>
        <w:rPr>
          <w:szCs w:val="22"/>
        </w:rPr>
        <w:t>con</w:t>
      </w:r>
      <w:r>
        <w:rPr>
          <w:spacing w:val="-3"/>
          <w:szCs w:val="22"/>
        </w:rPr>
        <w:t>g</w:t>
      </w:r>
      <w:r>
        <w:rPr>
          <w:szCs w:val="22"/>
        </w:rPr>
        <w:t>es</w:t>
      </w:r>
      <w:r>
        <w:rPr>
          <w:spacing w:val="1"/>
          <w:szCs w:val="22"/>
        </w:rPr>
        <w:t>ti</w:t>
      </w:r>
      <w:r>
        <w:rPr>
          <w:spacing w:val="-3"/>
          <w:szCs w:val="22"/>
        </w:rPr>
        <w:t>v</w:t>
      </w:r>
      <w:r>
        <w:rPr>
          <w:szCs w:val="22"/>
        </w:rPr>
        <w:t xml:space="preserve">ă </w:t>
      </w:r>
      <w:r>
        <w:rPr>
          <w:spacing w:val="-2"/>
          <w:szCs w:val="22"/>
        </w:rPr>
        <w:t>s</w:t>
      </w:r>
      <w:r>
        <w:rPr>
          <w:szCs w:val="22"/>
        </w:rPr>
        <w:t>au se</w:t>
      </w:r>
      <w:r>
        <w:rPr>
          <w:spacing w:val="-2"/>
          <w:szCs w:val="22"/>
        </w:rPr>
        <w:t xml:space="preserve"> </w:t>
      </w:r>
      <w:r>
        <w:rPr>
          <w:szCs w:val="22"/>
        </w:rPr>
        <w:t>a</w:t>
      </w:r>
      <w:r>
        <w:rPr>
          <w:spacing w:val="-3"/>
          <w:szCs w:val="22"/>
        </w:rPr>
        <w:t>g</w:t>
      </w:r>
      <w:r>
        <w:rPr>
          <w:szCs w:val="22"/>
        </w:rPr>
        <w:t>ra</w:t>
      </w:r>
      <w:r>
        <w:rPr>
          <w:spacing w:val="-3"/>
          <w:szCs w:val="22"/>
        </w:rPr>
        <w:t>v</w:t>
      </w:r>
      <w:r>
        <w:rPr>
          <w:szCs w:val="22"/>
        </w:rPr>
        <w:t>ea</w:t>
      </w:r>
      <w:r>
        <w:rPr>
          <w:spacing w:val="-3"/>
          <w:szCs w:val="22"/>
        </w:rPr>
        <w:t>z</w:t>
      </w:r>
      <w:r>
        <w:rPr>
          <w:szCs w:val="22"/>
        </w:rPr>
        <w:t>ă ce</w:t>
      </w:r>
      <w:r>
        <w:rPr>
          <w:spacing w:val="-2"/>
          <w:szCs w:val="22"/>
        </w:rPr>
        <w:t>l</w:t>
      </w:r>
      <w:r>
        <w:rPr>
          <w:szCs w:val="22"/>
        </w:rPr>
        <w:t>e</w:t>
      </w:r>
      <w:r>
        <w:rPr>
          <w:spacing w:val="-2"/>
          <w:szCs w:val="22"/>
        </w:rPr>
        <w:t xml:space="preserve"> </w:t>
      </w:r>
      <w:r>
        <w:rPr>
          <w:szCs w:val="22"/>
        </w:rPr>
        <w:t>pre</w:t>
      </w:r>
      <w:r>
        <w:rPr>
          <w:spacing w:val="-6"/>
          <w:szCs w:val="22"/>
        </w:rPr>
        <w:t>-</w:t>
      </w:r>
      <w:r>
        <w:rPr>
          <w:szCs w:val="22"/>
        </w:rPr>
        <w:t>ex</w:t>
      </w:r>
      <w:r>
        <w:rPr>
          <w:spacing w:val="1"/>
          <w:szCs w:val="22"/>
        </w:rPr>
        <w:t>i</w:t>
      </w:r>
      <w:r>
        <w:rPr>
          <w:szCs w:val="22"/>
        </w:rPr>
        <w:t>s</w:t>
      </w:r>
      <w:r>
        <w:rPr>
          <w:spacing w:val="-2"/>
          <w:szCs w:val="22"/>
        </w:rPr>
        <w:t>t</w:t>
      </w:r>
      <w:r>
        <w:rPr>
          <w:szCs w:val="22"/>
        </w:rPr>
        <w:t>en</w:t>
      </w:r>
      <w:r>
        <w:rPr>
          <w:spacing w:val="-2"/>
          <w:szCs w:val="22"/>
        </w:rPr>
        <w:t>t</w:t>
      </w:r>
      <w:r>
        <w:rPr>
          <w:szCs w:val="22"/>
        </w:rPr>
        <w:t>e.</w:t>
      </w:r>
    </w:p>
    <w:p w14:paraId="71FECB99" w14:textId="77777777" w:rsidR="00C04CAD" w:rsidRDefault="00C04CAD">
      <w:pPr>
        <w:tabs>
          <w:tab w:val="clear" w:pos="567"/>
        </w:tabs>
        <w:kinsoku w:val="0"/>
        <w:overflowPunct w:val="0"/>
        <w:autoSpaceDE w:val="0"/>
        <w:autoSpaceDN w:val="0"/>
        <w:adjustRightInd w:val="0"/>
        <w:spacing w:line="240" w:lineRule="auto"/>
      </w:pPr>
    </w:p>
    <w:p w14:paraId="56D59B40"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R</w:t>
      </w:r>
      <w:r>
        <w:rPr>
          <w:u w:val="single"/>
        </w:rPr>
        <w:t>eac</w:t>
      </w:r>
      <w:r>
        <w:rPr>
          <w:spacing w:val="-2"/>
          <w:u w:val="single"/>
        </w:rPr>
        <w:t>ţ</w:t>
      </w:r>
      <w:r>
        <w:rPr>
          <w:spacing w:val="1"/>
          <w:u w:val="single"/>
        </w:rPr>
        <w:t>i</w:t>
      </w:r>
      <w:r>
        <w:rPr>
          <w:u w:val="single"/>
        </w:rPr>
        <w:t>i au</w:t>
      </w:r>
      <w:r>
        <w:rPr>
          <w:spacing w:val="-2"/>
          <w:u w:val="single"/>
        </w:rPr>
        <w:t>t</w:t>
      </w:r>
      <w:r>
        <w:rPr>
          <w:u w:val="single"/>
        </w:rPr>
        <w:t>o</w:t>
      </w:r>
      <w:r>
        <w:rPr>
          <w:spacing w:val="1"/>
          <w:u w:val="single"/>
        </w:rPr>
        <w:t>i</w:t>
      </w:r>
      <w:r>
        <w:rPr>
          <w:spacing w:val="-4"/>
          <w:u w:val="single"/>
        </w:rPr>
        <w:t>m</w:t>
      </w:r>
      <w:r>
        <w:rPr>
          <w:u w:val="single"/>
        </w:rPr>
        <w:t>une</w:t>
      </w:r>
    </w:p>
    <w:p w14:paraId="5BB1CB07" w14:textId="77777777" w:rsidR="00C04CAD" w:rsidRDefault="00C04CAD">
      <w:pPr>
        <w:keepNext/>
        <w:tabs>
          <w:tab w:val="clear" w:pos="567"/>
        </w:tabs>
        <w:kinsoku w:val="0"/>
        <w:overflowPunct w:val="0"/>
        <w:autoSpaceDE w:val="0"/>
        <w:autoSpaceDN w:val="0"/>
        <w:adjustRightInd w:val="0"/>
        <w:spacing w:line="240" w:lineRule="auto"/>
        <w:rPr>
          <w:spacing w:val="1"/>
        </w:rPr>
      </w:pPr>
    </w:p>
    <w:p w14:paraId="4EC6B125" w14:textId="77777777" w:rsidR="00C04CAD" w:rsidRDefault="00060E34">
      <w:pPr>
        <w:pStyle w:val="BodyText"/>
        <w:kinsoku w:val="0"/>
        <w:overflowPunct w:val="0"/>
        <w:rPr>
          <w:i w:val="0"/>
          <w:color w:val="auto"/>
          <w:szCs w:val="22"/>
        </w:rPr>
      </w:pPr>
      <w:r>
        <w:rPr>
          <w:i w:val="0"/>
          <w:color w:val="auto"/>
          <w:spacing w:val="1"/>
          <w:szCs w:val="22"/>
        </w:rPr>
        <w:t>T</w:t>
      </w:r>
      <w:r>
        <w:rPr>
          <w:i w:val="0"/>
          <w:color w:val="auto"/>
          <w:spacing w:val="-2"/>
          <w:szCs w:val="22"/>
        </w:rPr>
        <w:t>r</w:t>
      </w:r>
      <w:r>
        <w:rPr>
          <w:i w:val="0"/>
          <w:color w:val="auto"/>
          <w:szCs w:val="22"/>
        </w:rPr>
        <w:t>a</w:t>
      </w:r>
      <w:r>
        <w:rPr>
          <w:i w:val="0"/>
          <w:color w:val="auto"/>
          <w:spacing w:val="-2"/>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ul</w:t>
      </w:r>
      <w:r>
        <w:rPr>
          <w:i w:val="0"/>
          <w:color w:val="auto"/>
          <w:spacing w:val="1"/>
          <w:szCs w:val="22"/>
        </w:rPr>
        <w:t xml:space="preserve"> </w:t>
      </w:r>
      <w:r>
        <w:rPr>
          <w:i w:val="0"/>
          <w:color w:val="auto"/>
          <w:spacing w:val="-3"/>
          <w:szCs w:val="22"/>
        </w:rPr>
        <w:t>c</w:t>
      </w:r>
      <w:r>
        <w:rPr>
          <w:i w:val="0"/>
          <w:color w:val="auto"/>
          <w:szCs w:val="22"/>
        </w:rPr>
        <w:t xml:space="preserve">u </w:t>
      </w:r>
      <w:r>
        <w:rPr>
          <w:rFonts w:eastAsia="MS Mincho"/>
          <w:i w:val="0"/>
          <w:color w:val="auto"/>
          <w:spacing w:val="-1"/>
          <w:szCs w:val="22"/>
          <w:lang w:eastAsia="en-US" w:bidi="ar-SA"/>
        </w:rPr>
        <w:t>AMGEVITA</w:t>
      </w:r>
      <w:r>
        <w:rPr>
          <w:i w:val="0"/>
          <w:color w:val="auto"/>
          <w:szCs w:val="22"/>
        </w:rPr>
        <w:t xml:space="preserve"> po</w:t>
      </w:r>
      <w:r>
        <w:rPr>
          <w:i w:val="0"/>
          <w:color w:val="auto"/>
          <w:spacing w:val="-3"/>
          <w:szCs w:val="22"/>
        </w:rPr>
        <w:t>a</w:t>
      </w:r>
      <w:r>
        <w:rPr>
          <w:i w:val="0"/>
          <w:color w:val="auto"/>
          <w:spacing w:val="1"/>
          <w:szCs w:val="22"/>
        </w:rPr>
        <w:t>t</w:t>
      </w:r>
      <w:r>
        <w:rPr>
          <w:i w:val="0"/>
          <w:color w:val="auto"/>
          <w:szCs w:val="22"/>
        </w:rPr>
        <w:t>e d</w:t>
      </w:r>
      <w:r>
        <w:rPr>
          <w:i w:val="0"/>
          <w:color w:val="auto"/>
          <w:spacing w:val="-3"/>
          <w:szCs w:val="22"/>
        </w:rPr>
        <w:t>e</w:t>
      </w:r>
      <w:r>
        <w:rPr>
          <w:i w:val="0"/>
          <w:color w:val="auto"/>
          <w:spacing w:val="1"/>
          <w:szCs w:val="22"/>
        </w:rPr>
        <w:t>t</w:t>
      </w:r>
      <w:r>
        <w:rPr>
          <w:i w:val="0"/>
          <w:color w:val="auto"/>
          <w:spacing w:val="-3"/>
          <w:szCs w:val="22"/>
        </w:rPr>
        <w:t>e</w:t>
      </w:r>
      <w:r>
        <w:rPr>
          <w:i w:val="0"/>
          <w:color w:val="auto"/>
          <w:szCs w:val="22"/>
        </w:rPr>
        <w:t>r</w:t>
      </w:r>
      <w:r>
        <w:rPr>
          <w:i w:val="0"/>
          <w:color w:val="auto"/>
          <w:spacing w:val="-4"/>
          <w:szCs w:val="22"/>
        </w:rPr>
        <w:t>m</w:t>
      </w:r>
      <w:r>
        <w:rPr>
          <w:i w:val="0"/>
          <w:color w:val="auto"/>
          <w:spacing w:val="1"/>
          <w:szCs w:val="22"/>
        </w:rPr>
        <w:t>i</w:t>
      </w:r>
      <w:r>
        <w:rPr>
          <w:i w:val="0"/>
          <w:color w:val="auto"/>
          <w:szCs w:val="22"/>
        </w:rPr>
        <w:t>na f</w:t>
      </w:r>
      <w:r>
        <w:rPr>
          <w:i w:val="0"/>
          <w:color w:val="auto"/>
          <w:spacing w:val="-3"/>
          <w:szCs w:val="22"/>
        </w:rPr>
        <w:t>o</w:t>
      </w:r>
      <w:r>
        <w:rPr>
          <w:i w:val="0"/>
          <w:color w:val="auto"/>
          <w:szCs w:val="22"/>
        </w:rPr>
        <w:t>r</w:t>
      </w:r>
      <w:r>
        <w:rPr>
          <w:i w:val="0"/>
          <w:color w:val="auto"/>
          <w:spacing w:val="-4"/>
          <w:szCs w:val="22"/>
        </w:rPr>
        <w:t>m</w:t>
      </w:r>
      <w:r>
        <w:rPr>
          <w:i w:val="0"/>
          <w:color w:val="auto"/>
          <w:szCs w:val="22"/>
        </w:rPr>
        <w:t xml:space="preserve">area </w:t>
      </w:r>
      <w:r>
        <w:rPr>
          <w:i w:val="0"/>
          <w:color w:val="auto"/>
          <w:spacing w:val="-1"/>
          <w:szCs w:val="22"/>
        </w:rPr>
        <w:t>d</w:t>
      </w:r>
      <w:r>
        <w:rPr>
          <w:i w:val="0"/>
          <w:color w:val="auto"/>
          <w:szCs w:val="22"/>
        </w:rPr>
        <w:t>e</w:t>
      </w:r>
      <w:r>
        <w:rPr>
          <w:i w:val="0"/>
          <w:color w:val="auto"/>
          <w:spacing w:val="-2"/>
          <w:szCs w:val="22"/>
        </w:rPr>
        <w:t xml:space="preserve"> </w:t>
      </w:r>
      <w:r>
        <w:rPr>
          <w:i w:val="0"/>
          <w:color w:val="auto"/>
          <w:spacing w:val="-3"/>
          <w:szCs w:val="22"/>
        </w:rPr>
        <w:t>a</w:t>
      </w:r>
      <w:r>
        <w:rPr>
          <w:i w:val="0"/>
          <w:color w:val="auto"/>
          <w:szCs w:val="22"/>
        </w:rPr>
        <w:t>n</w:t>
      </w:r>
      <w:r>
        <w:rPr>
          <w:i w:val="0"/>
          <w:color w:val="auto"/>
          <w:spacing w:val="1"/>
          <w:szCs w:val="22"/>
        </w:rPr>
        <w:t>t</w:t>
      </w:r>
      <w:r>
        <w:rPr>
          <w:i w:val="0"/>
          <w:color w:val="auto"/>
          <w:spacing w:val="-2"/>
          <w:szCs w:val="22"/>
        </w:rPr>
        <w:t>i</w:t>
      </w:r>
      <w:r>
        <w:rPr>
          <w:i w:val="0"/>
          <w:color w:val="auto"/>
          <w:szCs w:val="22"/>
        </w:rPr>
        <w:t>cor</w:t>
      </w:r>
      <w:r>
        <w:rPr>
          <w:i w:val="0"/>
          <w:color w:val="auto"/>
          <w:spacing w:val="-3"/>
          <w:szCs w:val="22"/>
        </w:rPr>
        <w:t>p</w:t>
      </w:r>
      <w:r>
        <w:rPr>
          <w:i w:val="0"/>
          <w:color w:val="auto"/>
          <w:szCs w:val="22"/>
        </w:rPr>
        <w:t>i</w:t>
      </w:r>
      <w:r>
        <w:rPr>
          <w:i w:val="0"/>
          <w:color w:val="auto"/>
          <w:spacing w:val="1"/>
          <w:szCs w:val="22"/>
        </w:rPr>
        <w:t xml:space="preserve"> </w:t>
      </w:r>
      <w:r>
        <w:rPr>
          <w:i w:val="0"/>
          <w:color w:val="auto"/>
          <w:szCs w:val="22"/>
        </w:rPr>
        <w:t>a</w:t>
      </w:r>
      <w:r>
        <w:rPr>
          <w:i w:val="0"/>
          <w:color w:val="auto"/>
          <w:spacing w:val="-3"/>
          <w:szCs w:val="22"/>
        </w:rPr>
        <w:t>u</w:t>
      </w:r>
      <w:r>
        <w:rPr>
          <w:i w:val="0"/>
          <w:color w:val="auto"/>
          <w:spacing w:val="1"/>
          <w:szCs w:val="22"/>
        </w:rPr>
        <w:t>t</w:t>
      </w:r>
      <w:r>
        <w:rPr>
          <w:i w:val="0"/>
          <w:color w:val="auto"/>
          <w:spacing w:val="-3"/>
          <w:szCs w:val="22"/>
        </w:rPr>
        <w:t>o</w:t>
      </w:r>
      <w:r>
        <w:rPr>
          <w:i w:val="0"/>
          <w:color w:val="auto"/>
          <w:spacing w:val="1"/>
          <w:szCs w:val="22"/>
        </w:rPr>
        <w:t>i</w:t>
      </w:r>
      <w:r>
        <w:rPr>
          <w:i w:val="0"/>
          <w:color w:val="auto"/>
          <w:spacing w:val="-4"/>
          <w:szCs w:val="22"/>
        </w:rPr>
        <w:t>m</w:t>
      </w:r>
      <w:r>
        <w:rPr>
          <w:i w:val="0"/>
          <w:color w:val="auto"/>
          <w:szCs w:val="22"/>
        </w:rPr>
        <w:t>un</w:t>
      </w:r>
      <w:r>
        <w:rPr>
          <w:i w:val="0"/>
          <w:color w:val="auto"/>
          <w:spacing w:val="1"/>
          <w:szCs w:val="22"/>
        </w:rPr>
        <w:t>i</w:t>
      </w:r>
      <w:r>
        <w:rPr>
          <w:i w:val="0"/>
          <w:color w:val="auto"/>
          <w:szCs w:val="22"/>
        </w:rPr>
        <w:t xml:space="preserve">. </w:t>
      </w:r>
      <w:r>
        <w:rPr>
          <w:i w:val="0"/>
          <w:color w:val="auto"/>
          <w:spacing w:val="-2"/>
          <w:szCs w:val="22"/>
        </w:rPr>
        <w:t>I</w:t>
      </w:r>
      <w:r>
        <w:rPr>
          <w:i w:val="0"/>
          <w:color w:val="auto"/>
          <w:spacing w:val="-4"/>
          <w:szCs w:val="22"/>
        </w:rPr>
        <w:t>m</w:t>
      </w:r>
      <w:r>
        <w:rPr>
          <w:i w:val="0"/>
          <w:color w:val="auto"/>
          <w:szCs w:val="22"/>
        </w:rPr>
        <w:t>pac</w:t>
      </w:r>
      <w:r>
        <w:rPr>
          <w:i w:val="0"/>
          <w:color w:val="auto"/>
          <w:spacing w:val="1"/>
          <w:szCs w:val="22"/>
        </w:rPr>
        <w:t>t</w:t>
      </w:r>
      <w:r>
        <w:rPr>
          <w:i w:val="0"/>
          <w:color w:val="auto"/>
          <w:szCs w:val="22"/>
        </w:rPr>
        <w:t>ul</w:t>
      </w:r>
      <w:r>
        <w:rPr>
          <w:i w:val="0"/>
          <w:color w:val="auto"/>
          <w:spacing w:val="1"/>
          <w:szCs w:val="22"/>
        </w:rPr>
        <w:t xml:space="preserve"> </w:t>
      </w:r>
      <w:r>
        <w:rPr>
          <w:i w:val="0"/>
          <w:color w:val="auto"/>
          <w:spacing w:val="-2"/>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w:t>
      </w:r>
      <w:r>
        <w:rPr>
          <w:i w:val="0"/>
          <w:color w:val="auto"/>
          <w:spacing w:val="1"/>
          <w:szCs w:val="22"/>
        </w:rPr>
        <w:t>l</w:t>
      </w:r>
      <w:r>
        <w:rPr>
          <w:i w:val="0"/>
          <w:color w:val="auto"/>
          <w:spacing w:val="-3"/>
          <w:szCs w:val="22"/>
        </w:rPr>
        <w:t>u</w:t>
      </w:r>
      <w:r>
        <w:rPr>
          <w:i w:val="0"/>
          <w:color w:val="auto"/>
          <w:szCs w:val="22"/>
        </w:rPr>
        <w:t>i</w:t>
      </w:r>
      <w:r>
        <w:rPr>
          <w:i w:val="0"/>
          <w:color w:val="auto"/>
          <w:spacing w:val="1"/>
          <w:szCs w:val="22"/>
        </w:rPr>
        <w:t xml:space="preserve"> </w:t>
      </w:r>
      <w:r>
        <w:rPr>
          <w:i w:val="0"/>
          <w:color w:val="auto"/>
          <w:spacing w:val="-3"/>
          <w:szCs w:val="22"/>
        </w:rPr>
        <w:t>p</w:t>
      </w:r>
      <w:r>
        <w:rPr>
          <w:i w:val="0"/>
          <w:color w:val="auto"/>
          <w:szCs w:val="22"/>
        </w:rPr>
        <w:t xml:space="preserve">e </w:t>
      </w:r>
      <w:r>
        <w:rPr>
          <w:i w:val="0"/>
          <w:color w:val="auto"/>
          <w:spacing w:val="1"/>
          <w:szCs w:val="22"/>
        </w:rPr>
        <w:t>t</w:t>
      </w:r>
      <w:r>
        <w:rPr>
          <w:i w:val="0"/>
          <w:color w:val="auto"/>
          <w:szCs w:val="22"/>
        </w:rPr>
        <w:t>er</w:t>
      </w:r>
      <w:r>
        <w:rPr>
          <w:i w:val="0"/>
          <w:color w:val="auto"/>
          <w:spacing w:val="-4"/>
          <w:szCs w:val="22"/>
        </w:rPr>
        <w:t>m</w:t>
      </w:r>
      <w:r>
        <w:rPr>
          <w:i w:val="0"/>
          <w:color w:val="auto"/>
          <w:szCs w:val="22"/>
        </w:rPr>
        <w:t xml:space="preserve">en </w:t>
      </w:r>
      <w:r>
        <w:rPr>
          <w:i w:val="0"/>
          <w:color w:val="auto"/>
          <w:spacing w:val="1"/>
          <w:szCs w:val="22"/>
        </w:rPr>
        <w:t>l</w:t>
      </w:r>
      <w:r>
        <w:rPr>
          <w:i w:val="0"/>
          <w:color w:val="auto"/>
          <w:szCs w:val="22"/>
        </w:rPr>
        <w:t>ung</w:t>
      </w:r>
      <w:r>
        <w:rPr>
          <w:i w:val="0"/>
          <w:color w:val="auto"/>
          <w:spacing w:val="-3"/>
          <w:szCs w:val="22"/>
        </w:rPr>
        <w:t xml:space="preserve"> </w:t>
      </w:r>
      <w:r>
        <w:rPr>
          <w:i w:val="0"/>
          <w:color w:val="auto"/>
          <w:szCs w:val="22"/>
        </w:rPr>
        <w:t xml:space="preserve">cu </w:t>
      </w:r>
      <w:r>
        <w:rPr>
          <w:rFonts w:eastAsia="MS Mincho"/>
          <w:i w:val="0"/>
          <w:color w:val="auto"/>
          <w:spacing w:val="-1"/>
          <w:szCs w:val="22"/>
          <w:lang w:eastAsia="en-US" w:bidi="ar-SA"/>
        </w:rPr>
        <w:t>AMGEVITA</w:t>
      </w:r>
      <w:r>
        <w:rPr>
          <w:i w:val="0"/>
          <w:color w:val="auto"/>
          <w:szCs w:val="22"/>
        </w:rPr>
        <w:t xml:space="preserve"> </w:t>
      </w:r>
      <w:r>
        <w:rPr>
          <w:i w:val="0"/>
          <w:color w:val="auto"/>
          <w:spacing w:val="-3"/>
          <w:szCs w:val="22"/>
        </w:rPr>
        <w:t>p</w:t>
      </w:r>
      <w:r>
        <w:rPr>
          <w:i w:val="0"/>
          <w:color w:val="auto"/>
          <w:szCs w:val="22"/>
        </w:rPr>
        <w:t>r</w:t>
      </w:r>
      <w:r>
        <w:rPr>
          <w:i w:val="0"/>
          <w:color w:val="auto"/>
          <w:spacing w:val="1"/>
          <w:szCs w:val="22"/>
        </w:rPr>
        <w:t>i</w:t>
      </w:r>
      <w:r>
        <w:rPr>
          <w:i w:val="0"/>
          <w:color w:val="auto"/>
          <w:spacing w:val="-5"/>
          <w:szCs w:val="22"/>
        </w:rPr>
        <w:t>v</w:t>
      </w:r>
      <w:r>
        <w:rPr>
          <w:i w:val="0"/>
          <w:color w:val="auto"/>
          <w:spacing w:val="1"/>
          <w:szCs w:val="22"/>
        </w:rPr>
        <w:t>i</w:t>
      </w:r>
      <w:r>
        <w:rPr>
          <w:i w:val="0"/>
          <w:color w:val="auto"/>
          <w:szCs w:val="22"/>
        </w:rPr>
        <w:t>nd de</w:t>
      </w:r>
      <w:r>
        <w:rPr>
          <w:i w:val="0"/>
          <w:color w:val="auto"/>
          <w:spacing w:val="-3"/>
          <w:szCs w:val="22"/>
        </w:rPr>
        <w:t>zv</w:t>
      </w:r>
      <w:r>
        <w:rPr>
          <w:i w:val="0"/>
          <w:color w:val="auto"/>
          <w:szCs w:val="22"/>
        </w:rPr>
        <w:t>o</w:t>
      </w:r>
      <w:r>
        <w:rPr>
          <w:i w:val="0"/>
          <w:color w:val="auto"/>
          <w:spacing w:val="1"/>
          <w:szCs w:val="22"/>
        </w:rPr>
        <w:t>lt</w:t>
      </w:r>
      <w:r>
        <w:rPr>
          <w:i w:val="0"/>
          <w:color w:val="auto"/>
          <w:spacing w:val="-3"/>
          <w:szCs w:val="22"/>
        </w:rPr>
        <w:t>a</w:t>
      </w:r>
      <w:r>
        <w:rPr>
          <w:i w:val="0"/>
          <w:color w:val="auto"/>
          <w:szCs w:val="22"/>
        </w:rPr>
        <w:t>r</w:t>
      </w:r>
      <w:r>
        <w:rPr>
          <w:i w:val="0"/>
          <w:color w:val="auto"/>
          <w:spacing w:val="-3"/>
          <w:szCs w:val="22"/>
        </w:rPr>
        <w:t>e</w:t>
      </w:r>
      <w:r>
        <w:rPr>
          <w:i w:val="0"/>
          <w:color w:val="auto"/>
          <w:szCs w:val="22"/>
        </w:rPr>
        <w:t>a bo</w:t>
      </w:r>
      <w:r>
        <w:rPr>
          <w:i w:val="0"/>
          <w:color w:val="auto"/>
          <w:spacing w:val="-2"/>
          <w:szCs w:val="22"/>
        </w:rPr>
        <w:t>li</w:t>
      </w:r>
      <w:r>
        <w:rPr>
          <w:i w:val="0"/>
          <w:color w:val="auto"/>
          <w:spacing w:val="1"/>
          <w:szCs w:val="22"/>
        </w:rPr>
        <w:t>l</w:t>
      </w:r>
      <w:r>
        <w:rPr>
          <w:i w:val="0"/>
          <w:color w:val="auto"/>
          <w:szCs w:val="22"/>
        </w:rPr>
        <w:t>or</w:t>
      </w:r>
      <w:r>
        <w:rPr>
          <w:i w:val="0"/>
          <w:color w:val="auto"/>
          <w:spacing w:val="-2"/>
          <w:szCs w:val="22"/>
        </w:rPr>
        <w:t xml:space="preserve"> </w:t>
      </w:r>
      <w:r>
        <w:rPr>
          <w:i w:val="0"/>
          <w:color w:val="auto"/>
          <w:szCs w:val="22"/>
        </w:rPr>
        <w:t>au</w:t>
      </w:r>
      <w:r>
        <w:rPr>
          <w:i w:val="0"/>
          <w:color w:val="auto"/>
          <w:spacing w:val="1"/>
          <w:szCs w:val="22"/>
        </w:rPr>
        <w:t>t</w:t>
      </w:r>
      <w:r>
        <w:rPr>
          <w:i w:val="0"/>
          <w:color w:val="auto"/>
          <w:spacing w:val="-3"/>
          <w:szCs w:val="22"/>
        </w:rPr>
        <w:t>o</w:t>
      </w:r>
      <w:r>
        <w:rPr>
          <w:i w:val="0"/>
          <w:color w:val="auto"/>
          <w:spacing w:val="1"/>
          <w:szCs w:val="22"/>
        </w:rPr>
        <w:t>i</w:t>
      </w:r>
      <w:r>
        <w:rPr>
          <w:i w:val="0"/>
          <w:color w:val="auto"/>
          <w:spacing w:val="-4"/>
          <w:szCs w:val="22"/>
        </w:rPr>
        <w:t>m</w:t>
      </w:r>
      <w:r>
        <w:rPr>
          <w:i w:val="0"/>
          <w:color w:val="auto"/>
          <w:szCs w:val="22"/>
        </w:rPr>
        <w:t>une nu e</w:t>
      </w:r>
      <w:r>
        <w:rPr>
          <w:i w:val="0"/>
          <w:color w:val="auto"/>
          <w:spacing w:val="-2"/>
          <w:szCs w:val="22"/>
        </w:rPr>
        <w:t>s</w:t>
      </w:r>
      <w:r>
        <w:rPr>
          <w:i w:val="0"/>
          <w:color w:val="auto"/>
          <w:spacing w:val="1"/>
          <w:szCs w:val="22"/>
        </w:rPr>
        <w:t>t</w:t>
      </w:r>
      <w:r>
        <w:rPr>
          <w:i w:val="0"/>
          <w:color w:val="auto"/>
          <w:szCs w:val="22"/>
        </w:rPr>
        <w:t>e c</w:t>
      </w:r>
      <w:r>
        <w:rPr>
          <w:i w:val="0"/>
          <w:color w:val="auto"/>
          <w:spacing w:val="-3"/>
          <w:szCs w:val="22"/>
        </w:rPr>
        <w:t>u</w:t>
      </w:r>
      <w:r>
        <w:rPr>
          <w:i w:val="0"/>
          <w:color w:val="auto"/>
          <w:szCs w:val="22"/>
        </w:rPr>
        <w:t>nos</w:t>
      </w:r>
      <w:r>
        <w:rPr>
          <w:i w:val="0"/>
          <w:color w:val="auto"/>
          <w:spacing w:val="-3"/>
          <w:szCs w:val="22"/>
        </w:rPr>
        <w:t>c</w:t>
      </w:r>
      <w:r>
        <w:rPr>
          <w:i w:val="0"/>
          <w:color w:val="auto"/>
          <w:szCs w:val="22"/>
        </w:rPr>
        <w:t>u</w:t>
      </w:r>
      <w:r>
        <w:rPr>
          <w:i w:val="0"/>
          <w:color w:val="auto"/>
          <w:spacing w:val="1"/>
          <w:szCs w:val="22"/>
        </w:rPr>
        <w:t>t</w:t>
      </w:r>
      <w:r>
        <w:rPr>
          <w:i w:val="0"/>
          <w:color w:val="auto"/>
          <w:szCs w:val="22"/>
        </w:rPr>
        <w:t xml:space="preserve">. </w:t>
      </w:r>
      <w:r>
        <w:rPr>
          <w:i w:val="0"/>
          <w:color w:val="auto"/>
          <w:spacing w:val="-2"/>
          <w:szCs w:val="22"/>
        </w:rPr>
        <w:t>N</w:t>
      </w:r>
      <w:r>
        <w:rPr>
          <w:i w:val="0"/>
          <w:color w:val="auto"/>
          <w:szCs w:val="22"/>
        </w:rPr>
        <w:t>u</w:t>
      </w:r>
      <w:r>
        <w:rPr>
          <w:i w:val="0"/>
          <w:color w:val="auto"/>
          <w:spacing w:val="-3"/>
          <w:szCs w:val="22"/>
        </w:rPr>
        <w:t xml:space="preserve"> </w:t>
      </w:r>
      <w:r>
        <w:rPr>
          <w:i w:val="0"/>
          <w:color w:val="auto"/>
          <w:spacing w:val="1"/>
          <w:szCs w:val="22"/>
        </w:rPr>
        <w:t>t</w:t>
      </w:r>
      <w:r>
        <w:rPr>
          <w:i w:val="0"/>
          <w:color w:val="auto"/>
          <w:szCs w:val="22"/>
        </w:rPr>
        <w:t>r</w:t>
      </w:r>
      <w:r>
        <w:rPr>
          <w:i w:val="0"/>
          <w:color w:val="auto"/>
          <w:spacing w:val="-3"/>
          <w:szCs w:val="22"/>
        </w:rPr>
        <w:t>e</w:t>
      </w:r>
      <w:r>
        <w:rPr>
          <w:i w:val="0"/>
          <w:color w:val="auto"/>
          <w:szCs w:val="22"/>
        </w:rPr>
        <w:t>bu</w:t>
      </w:r>
      <w:r>
        <w:rPr>
          <w:i w:val="0"/>
          <w:color w:val="auto"/>
          <w:spacing w:val="-2"/>
          <w:szCs w:val="22"/>
        </w:rPr>
        <w:t>i</w:t>
      </w:r>
      <w:r>
        <w:rPr>
          <w:i w:val="0"/>
          <w:color w:val="auto"/>
          <w:szCs w:val="22"/>
        </w:rPr>
        <w:t>e co</w:t>
      </w:r>
      <w:r>
        <w:rPr>
          <w:i w:val="0"/>
          <w:color w:val="auto"/>
          <w:spacing w:val="-3"/>
          <w:szCs w:val="22"/>
        </w:rPr>
        <w:t>n</w:t>
      </w:r>
      <w:r>
        <w:rPr>
          <w:i w:val="0"/>
          <w:color w:val="auto"/>
          <w:spacing w:val="1"/>
          <w:szCs w:val="22"/>
        </w:rPr>
        <w:t>t</w:t>
      </w:r>
      <w:r>
        <w:rPr>
          <w:i w:val="0"/>
          <w:color w:val="auto"/>
          <w:spacing w:val="-2"/>
          <w:szCs w:val="22"/>
        </w:rPr>
        <w:t>i</w:t>
      </w:r>
      <w:r>
        <w:rPr>
          <w:i w:val="0"/>
          <w:color w:val="auto"/>
          <w:szCs w:val="22"/>
        </w:rPr>
        <w:t>nu</w:t>
      </w:r>
      <w:r>
        <w:rPr>
          <w:i w:val="0"/>
          <w:color w:val="auto"/>
          <w:spacing w:val="-3"/>
          <w:szCs w:val="22"/>
        </w:rPr>
        <w:t>a</w:t>
      </w:r>
      <w:r>
        <w:rPr>
          <w:i w:val="0"/>
          <w:color w:val="auto"/>
          <w:szCs w:val="22"/>
        </w:rPr>
        <w:t xml:space="preserve">t </w:t>
      </w:r>
      <w:r>
        <w:rPr>
          <w:i w:val="0"/>
          <w:color w:val="auto"/>
          <w:spacing w:val="1"/>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pacing w:val="-3"/>
          <w:szCs w:val="22"/>
        </w:rPr>
        <w:t>u</w:t>
      </w:r>
      <w:r>
        <w:rPr>
          <w:i w:val="0"/>
          <w:color w:val="auto"/>
          <w:szCs w:val="22"/>
        </w:rPr>
        <w:t>l</w:t>
      </w:r>
      <w:r>
        <w:rPr>
          <w:i w:val="0"/>
          <w:color w:val="auto"/>
          <w:spacing w:val="1"/>
          <w:szCs w:val="22"/>
        </w:rPr>
        <w:t xml:space="preserve"> </w:t>
      </w:r>
      <w:r>
        <w:rPr>
          <w:i w:val="0"/>
          <w:color w:val="auto"/>
          <w:szCs w:val="22"/>
        </w:rPr>
        <w:t xml:space="preserve">cu </w:t>
      </w:r>
      <w:r>
        <w:rPr>
          <w:rFonts w:eastAsia="MS Mincho"/>
          <w:i w:val="0"/>
          <w:color w:val="auto"/>
          <w:spacing w:val="-1"/>
          <w:szCs w:val="22"/>
          <w:lang w:eastAsia="en-US" w:bidi="ar-SA"/>
        </w:rPr>
        <w:t>AMGEVITA</w:t>
      </w:r>
      <w:r>
        <w:rPr>
          <w:i w:val="0"/>
          <w:color w:val="auto"/>
          <w:szCs w:val="22"/>
        </w:rPr>
        <w:t xml:space="preserve"> </w:t>
      </w:r>
      <w:r>
        <w:rPr>
          <w:i w:val="0"/>
          <w:color w:val="auto"/>
          <w:spacing w:val="-3"/>
          <w:szCs w:val="22"/>
        </w:rPr>
        <w:t>d</w:t>
      </w:r>
      <w:r>
        <w:rPr>
          <w:i w:val="0"/>
          <w:color w:val="auto"/>
          <w:szCs w:val="22"/>
        </w:rPr>
        <w:t>acă</w:t>
      </w:r>
      <w:r>
        <w:rPr>
          <w:i w:val="0"/>
          <w:color w:val="auto"/>
          <w:spacing w:val="-2"/>
          <w:szCs w:val="22"/>
        </w:rPr>
        <w:t xml:space="preserve"> </w:t>
      </w:r>
      <w:r>
        <w:rPr>
          <w:i w:val="0"/>
          <w:color w:val="auto"/>
          <w:spacing w:val="1"/>
          <w:szCs w:val="22"/>
        </w:rPr>
        <w:t>l</w:t>
      </w:r>
      <w:r>
        <w:rPr>
          <w:i w:val="0"/>
          <w:color w:val="auto"/>
          <w:szCs w:val="22"/>
        </w:rPr>
        <w:t>a p</w:t>
      </w:r>
      <w:r>
        <w:rPr>
          <w:i w:val="0"/>
          <w:color w:val="auto"/>
          <w:spacing w:val="-3"/>
          <w:szCs w:val="22"/>
        </w:rPr>
        <w:t>a</w:t>
      </w:r>
      <w:r>
        <w:rPr>
          <w:i w:val="0"/>
          <w:color w:val="auto"/>
          <w:szCs w:val="22"/>
        </w:rPr>
        <w:t>c</w:t>
      </w:r>
      <w:r>
        <w:rPr>
          <w:i w:val="0"/>
          <w:color w:val="auto"/>
          <w:spacing w:val="-2"/>
          <w:szCs w:val="22"/>
        </w:rPr>
        <w:t>i</w:t>
      </w:r>
      <w:r>
        <w:rPr>
          <w:i w:val="0"/>
          <w:color w:val="auto"/>
          <w:szCs w:val="22"/>
        </w:rPr>
        <w:t>ent</w:t>
      </w:r>
      <w:r>
        <w:rPr>
          <w:i w:val="0"/>
          <w:color w:val="auto"/>
          <w:spacing w:val="-2"/>
          <w:szCs w:val="22"/>
        </w:rPr>
        <w:t xml:space="preserve"> </w:t>
      </w:r>
      <w:r>
        <w:rPr>
          <w:i w:val="0"/>
          <w:color w:val="auto"/>
          <w:szCs w:val="22"/>
        </w:rPr>
        <w:t>ap</w:t>
      </w:r>
      <w:r>
        <w:rPr>
          <w:i w:val="0"/>
          <w:color w:val="auto"/>
          <w:spacing w:val="-3"/>
          <w:szCs w:val="22"/>
        </w:rPr>
        <w:t>a</w:t>
      </w:r>
      <w:r>
        <w:rPr>
          <w:i w:val="0"/>
          <w:color w:val="auto"/>
          <w:szCs w:val="22"/>
        </w:rPr>
        <w:t>r</w:t>
      </w:r>
      <w:r>
        <w:rPr>
          <w:i w:val="0"/>
          <w:color w:val="auto"/>
          <w:spacing w:val="1"/>
          <w:szCs w:val="22"/>
        </w:rPr>
        <w:t xml:space="preserve"> </w:t>
      </w:r>
      <w:r>
        <w:rPr>
          <w:i w:val="0"/>
          <w:color w:val="auto"/>
          <w:szCs w:val="22"/>
        </w:rPr>
        <w:t>se</w:t>
      </w:r>
      <w:r>
        <w:rPr>
          <w:i w:val="0"/>
          <w:color w:val="auto"/>
          <w:spacing w:val="-4"/>
          <w:szCs w:val="22"/>
        </w:rPr>
        <w:t>m</w:t>
      </w:r>
      <w:r>
        <w:rPr>
          <w:i w:val="0"/>
          <w:color w:val="auto"/>
          <w:szCs w:val="22"/>
        </w:rPr>
        <w:t>ne su</w:t>
      </w:r>
      <w:r>
        <w:rPr>
          <w:i w:val="0"/>
          <w:color w:val="auto"/>
          <w:spacing w:val="-3"/>
          <w:szCs w:val="22"/>
        </w:rPr>
        <w:t>ge</w:t>
      </w:r>
      <w:r>
        <w:rPr>
          <w:i w:val="0"/>
          <w:color w:val="auto"/>
          <w:szCs w:val="22"/>
        </w:rPr>
        <w:t>s</w:t>
      </w:r>
      <w:r>
        <w:rPr>
          <w:i w:val="0"/>
          <w:color w:val="auto"/>
          <w:spacing w:val="1"/>
          <w:szCs w:val="22"/>
        </w:rPr>
        <w:t>ti</w:t>
      </w:r>
      <w:r>
        <w:rPr>
          <w:i w:val="0"/>
          <w:color w:val="auto"/>
          <w:spacing w:val="-3"/>
          <w:szCs w:val="22"/>
        </w:rPr>
        <w:t>v</w:t>
      </w:r>
      <w:r>
        <w:rPr>
          <w:i w:val="0"/>
          <w:color w:val="auto"/>
          <w:szCs w:val="22"/>
        </w:rPr>
        <w:t>e p</w:t>
      </w:r>
      <w:r>
        <w:rPr>
          <w:i w:val="0"/>
          <w:color w:val="auto"/>
          <w:spacing w:val="-3"/>
          <w:szCs w:val="22"/>
        </w:rPr>
        <w:t>e</w:t>
      </w:r>
      <w:r>
        <w:rPr>
          <w:i w:val="0"/>
          <w:color w:val="auto"/>
          <w:szCs w:val="22"/>
        </w:rPr>
        <w:t>n</w:t>
      </w:r>
      <w:r>
        <w:rPr>
          <w:i w:val="0"/>
          <w:color w:val="auto"/>
          <w:spacing w:val="-2"/>
          <w:szCs w:val="22"/>
        </w:rPr>
        <w:t>t</w:t>
      </w:r>
      <w:r>
        <w:rPr>
          <w:i w:val="0"/>
          <w:color w:val="auto"/>
          <w:szCs w:val="22"/>
        </w:rPr>
        <w:t xml:space="preserve">ru </w:t>
      </w:r>
      <w:r>
        <w:rPr>
          <w:i w:val="0"/>
          <w:color w:val="auto"/>
          <w:spacing w:val="-2"/>
          <w:szCs w:val="22"/>
        </w:rPr>
        <w:t>s</w:t>
      </w:r>
      <w:r>
        <w:rPr>
          <w:i w:val="0"/>
          <w:color w:val="auto"/>
          <w:spacing w:val="1"/>
          <w:szCs w:val="22"/>
        </w:rPr>
        <w:t>i</w:t>
      </w:r>
      <w:r>
        <w:rPr>
          <w:i w:val="0"/>
          <w:color w:val="auto"/>
          <w:szCs w:val="22"/>
        </w:rPr>
        <w:t>nd</w:t>
      </w:r>
      <w:r>
        <w:rPr>
          <w:i w:val="0"/>
          <w:color w:val="auto"/>
          <w:spacing w:val="-2"/>
          <w:szCs w:val="22"/>
        </w:rPr>
        <w:t>r</w:t>
      </w:r>
      <w:r>
        <w:rPr>
          <w:i w:val="0"/>
          <w:color w:val="auto"/>
          <w:szCs w:val="22"/>
        </w:rPr>
        <w:t>o</w:t>
      </w:r>
      <w:r>
        <w:rPr>
          <w:i w:val="0"/>
          <w:color w:val="auto"/>
          <w:spacing w:val="-4"/>
          <w:szCs w:val="22"/>
        </w:rPr>
        <w:t>m</w:t>
      </w:r>
      <w:r>
        <w:rPr>
          <w:i w:val="0"/>
          <w:color w:val="auto"/>
          <w:szCs w:val="22"/>
        </w:rPr>
        <w:t>ul</w:t>
      </w:r>
      <w:r>
        <w:rPr>
          <w:i w:val="0"/>
          <w:color w:val="auto"/>
          <w:spacing w:val="1"/>
          <w:szCs w:val="22"/>
        </w:rPr>
        <w:t xml:space="preserve"> </w:t>
      </w:r>
      <w:r>
        <w:rPr>
          <w:i w:val="0"/>
          <w:color w:val="auto"/>
          <w:szCs w:val="22"/>
        </w:rPr>
        <w:t>as</w:t>
      </w:r>
      <w:r>
        <w:rPr>
          <w:i w:val="0"/>
          <w:color w:val="auto"/>
          <w:spacing w:val="-3"/>
          <w:szCs w:val="22"/>
        </w:rPr>
        <w:t>e</w:t>
      </w:r>
      <w:r>
        <w:rPr>
          <w:i w:val="0"/>
          <w:color w:val="auto"/>
          <w:spacing w:val="-4"/>
          <w:szCs w:val="22"/>
        </w:rPr>
        <w:t>m</w:t>
      </w:r>
      <w:r>
        <w:rPr>
          <w:i w:val="0"/>
          <w:color w:val="auto"/>
          <w:szCs w:val="22"/>
        </w:rPr>
        <w:t>ănă</w:t>
      </w:r>
      <w:r>
        <w:rPr>
          <w:i w:val="0"/>
          <w:color w:val="auto"/>
          <w:spacing w:val="1"/>
          <w:szCs w:val="22"/>
        </w:rPr>
        <w:t>t</w:t>
      </w:r>
      <w:r>
        <w:rPr>
          <w:i w:val="0"/>
          <w:color w:val="auto"/>
          <w:szCs w:val="22"/>
        </w:rPr>
        <w:t>or</w:t>
      </w:r>
      <w:r>
        <w:rPr>
          <w:i w:val="0"/>
          <w:color w:val="auto"/>
          <w:spacing w:val="1"/>
          <w:szCs w:val="22"/>
        </w:rPr>
        <w:t xml:space="preserve"> l</w:t>
      </w:r>
      <w:r>
        <w:rPr>
          <w:i w:val="0"/>
          <w:color w:val="auto"/>
          <w:spacing w:val="-3"/>
          <w:szCs w:val="22"/>
        </w:rPr>
        <w:t>u</w:t>
      </w:r>
      <w:r>
        <w:rPr>
          <w:i w:val="0"/>
          <w:color w:val="auto"/>
          <w:szCs w:val="22"/>
        </w:rPr>
        <w:t>pus</w:t>
      </w:r>
      <w:r>
        <w:rPr>
          <w:i w:val="0"/>
          <w:color w:val="auto"/>
          <w:spacing w:val="-3"/>
          <w:szCs w:val="22"/>
        </w:rPr>
        <w:t>u</w:t>
      </w:r>
      <w:r>
        <w:rPr>
          <w:i w:val="0"/>
          <w:color w:val="auto"/>
          <w:spacing w:val="1"/>
          <w:szCs w:val="22"/>
        </w:rPr>
        <w:t>l</w:t>
      </w:r>
      <w:r>
        <w:rPr>
          <w:i w:val="0"/>
          <w:color w:val="auto"/>
          <w:szCs w:val="22"/>
        </w:rPr>
        <w:t>ui</w:t>
      </w:r>
      <w:r>
        <w:rPr>
          <w:i w:val="0"/>
          <w:color w:val="auto"/>
          <w:spacing w:val="-2"/>
          <w:szCs w:val="22"/>
        </w:rPr>
        <w:t xml:space="preserve"> </w:t>
      </w:r>
      <w:r>
        <w:rPr>
          <w:i w:val="0"/>
          <w:color w:val="auto"/>
          <w:szCs w:val="22"/>
        </w:rPr>
        <w:t>ca ur</w:t>
      </w:r>
      <w:r>
        <w:rPr>
          <w:i w:val="0"/>
          <w:color w:val="auto"/>
          <w:spacing w:val="-4"/>
          <w:szCs w:val="22"/>
        </w:rPr>
        <w:t>m</w:t>
      </w:r>
      <w:r>
        <w:rPr>
          <w:i w:val="0"/>
          <w:color w:val="auto"/>
          <w:szCs w:val="22"/>
        </w:rPr>
        <w:t xml:space="preserve">are a </w:t>
      </w:r>
      <w:r>
        <w:rPr>
          <w:i w:val="0"/>
          <w:color w:val="auto"/>
          <w:spacing w:val="-2"/>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w:t>
      </w:r>
      <w:r>
        <w:rPr>
          <w:i w:val="0"/>
          <w:color w:val="auto"/>
          <w:spacing w:val="-2"/>
          <w:szCs w:val="22"/>
        </w:rPr>
        <w:t>l</w:t>
      </w:r>
      <w:r>
        <w:rPr>
          <w:i w:val="0"/>
          <w:color w:val="auto"/>
          <w:szCs w:val="22"/>
        </w:rPr>
        <w:t>ui</w:t>
      </w:r>
      <w:r>
        <w:rPr>
          <w:i w:val="0"/>
          <w:color w:val="auto"/>
          <w:spacing w:val="-2"/>
          <w:szCs w:val="22"/>
        </w:rPr>
        <w:t xml:space="preserve"> </w:t>
      </w:r>
      <w:r>
        <w:rPr>
          <w:i w:val="0"/>
          <w:color w:val="auto"/>
          <w:szCs w:val="22"/>
        </w:rPr>
        <w:t>cu</w:t>
      </w:r>
      <w:r>
        <w:rPr>
          <w:i w:val="0"/>
          <w:color w:val="auto"/>
          <w:spacing w:val="-3"/>
          <w:szCs w:val="22"/>
        </w:rPr>
        <w:t xml:space="preserve"> </w:t>
      </w:r>
      <w:r>
        <w:rPr>
          <w:rFonts w:eastAsia="MS Mincho"/>
          <w:i w:val="0"/>
          <w:color w:val="auto"/>
          <w:spacing w:val="-1"/>
          <w:szCs w:val="22"/>
          <w:lang w:eastAsia="en-US" w:bidi="ar-SA"/>
        </w:rPr>
        <w:t>AMGEVITA</w:t>
      </w:r>
      <w:r>
        <w:rPr>
          <w:i w:val="0"/>
          <w:color w:val="auto"/>
          <w:szCs w:val="22"/>
        </w:rPr>
        <w:t xml:space="preserve"> şi</w:t>
      </w:r>
      <w:r>
        <w:rPr>
          <w:i w:val="0"/>
          <w:color w:val="auto"/>
          <w:spacing w:val="1"/>
          <w:szCs w:val="22"/>
        </w:rPr>
        <w:t xml:space="preserve"> </w:t>
      </w:r>
      <w:r>
        <w:rPr>
          <w:i w:val="0"/>
          <w:color w:val="auto"/>
          <w:spacing w:val="-3"/>
          <w:szCs w:val="22"/>
        </w:rPr>
        <w:t>e</w:t>
      </w:r>
      <w:r>
        <w:rPr>
          <w:i w:val="0"/>
          <w:color w:val="auto"/>
          <w:szCs w:val="22"/>
        </w:rPr>
        <w:t>s</w:t>
      </w:r>
      <w:r>
        <w:rPr>
          <w:i w:val="0"/>
          <w:color w:val="auto"/>
          <w:spacing w:val="1"/>
          <w:szCs w:val="22"/>
        </w:rPr>
        <w:t>t</w:t>
      </w:r>
      <w:r>
        <w:rPr>
          <w:i w:val="0"/>
          <w:color w:val="auto"/>
          <w:szCs w:val="22"/>
        </w:rPr>
        <w:t>e</w:t>
      </w:r>
      <w:r>
        <w:rPr>
          <w:i w:val="0"/>
          <w:color w:val="auto"/>
          <w:spacing w:val="-2"/>
          <w:szCs w:val="22"/>
        </w:rPr>
        <w:t xml:space="preserve"> </w:t>
      </w:r>
      <w:r>
        <w:rPr>
          <w:i w:val="0"/>
          <w:color w:val="auto"/>
          <w:szCs w:val="22"/>
        </w:rPr>
        <w:t>po</w:t>
      </w:r>
      <w:r>
        <w:rPr>
          <w:i w:val="0"/>
          <w:color w:val="auto"/>
          <w:spacing w:val="-3"/>
          <w:szCs w:val="22"/>
        </w:rPr>
        <w:t>z</w:t>
      </w:r>
      <w:r>
        <w:rPr>
          <w:i w:val="0"/>
          <w:color w:val="auto"/>
          <w:spacing w:val="1"/>
          <w:szCs w:val="22"/>
        </w:rPr>
        <w:t>i</w:t>
      </w:r>
      <w:r>
        <w:rPr>
          <w:i w:val="0"/>
          <w:color w:val="auto"/>
          <w:spacing w:val="-2"/>
          <w:szCs w:val="22"/>
        </w:rPr>
        <w:t>t</w:t>
      </w:r>
      <w:r>
        <w:rPr>
          <w:i w:val="0"/>
          <w:color w:val="auto"/>
          <w:spacing w:val="1"/>
          <w:szCs w:val="22"/>
        </w:rPr>
        <w:t>i</w:t>
      </w:r>
      <w:r>
        <w:rPr>
          <w:i w:val="0"/>
          <w:color w:val="auto"/>
          <w:szCs w:val="22"/>
        </w:rPr>
        <w:t>v</w:t>
      </w:r>
      <w:r>
        <w:rPr>
          <w:i w:val="0"/>
          <w:color w:val="auto"/>
          <w:spacing w:val="-3"/>
          <w:szCs w:val="22"/>
        </w:rPr>
        <w:t xml:space="preserve"> </w:t>
      </w:r>
      <w:r>
        <w:rPr>
          <w:i w:val="0"/>
          <w:color w:val="auto"/>
          <w:szCs w:val="22"/>
        </w:rPr>
        <w:t>pen</w:t>
      </w:r>
      <w:r>
        <w:rPr>
          <w:i w:val="0"/>
          <w:color w:val="auto"/>
          <w:spacing w:val="-2"/>
          <w:szCs w:val="22"/>
        </w:rPr>
        <w:t>tr</w:t>
      </w:r>
      <w:r>
        <w:rPr>
          <w:i w:val="0"/>
          <w:color w:val="auto"/>
          <w:szCs w:val="22"/>
        </w:rPr>
        <w:t>u an</w:t>
      </w:r>
      <w:r>
        <w:rPr>
          <w:i w:val="0"/>
          <w:color w:val="auto"/>
          <w:spacing w:val="-2"/>
          <w:szCs w:val="22"/>
        </w:rPr>
        <w:t>t</w:t>
      </w:r>
      <w:r>
        <w:rPr>
          <w:i w:val="0"/>
          <w:color w:val="auto"/>
          <w:spacing w:val="1"/>
          <w:szCs w:val="22"/>
        </w:rPr>
        <w:t>i</w:t>
      </w:r>
      <w:r>
        <w:rPr>
          <w:i w:val="0"/>
          <w:color w:val="auto"/>
          <w:szCs w:val="22"/>
        </w:rPr>
        <w:t>c</w:t>
      </w:r>
      <w:r>
        <w:rPr>
          <w:i w:val="0"/>
          <w:color w:val="auto"/>
          <w:spacing w:val="-3"/>
          <w:szCs w:val="22"/>
        </w:rPr>
        <w:t>o</w:t>
      </w:r>
      <w:r>
        <w:rPr>
          <w:i w:val="0"/>
          <w:color w:val="auto"/>
          <w:szCs w:val="22"/>
        </w:rPr>
        <w:t>rp</w:t>
      </w:r>
      <w:r>
        <w:rPr>
          <w:i w:val="0"/>
          <w:color w:val="auto"/>
          <w:spacing w:val="-2"/>
          <w:szCs w:val="22"/>
        </w:rPr>
        <w:t>i</w:t>
      </w:r>
      <w:r>
        <w:rPr>
          <w:i w:val="0"/>
          <w:color w:val="auto"/>
          <w:szCs w:val="22"/>
        </w:rPr>
        <w:t>i</w:t>
      </w:r>
      <w:r>
        <w:rPr>
          <w:i w:val="0"/>
          <w:color w:val="auto"/>
          <w:spacing w:val="1"/>
          <w:szCs w:val="22"/>
        </w:rPr>
        <w:t xml:space="preserve"> </w:t>
      </w:r>
      <w:r>
        <w:rPr>
          <w:i w:val="0"/>
          <w:color w:val="auto"/>
          <w:spacing w:val="-3"/>
          <w:szCs w:val="22"/>
        </w:rPr>
        <w:t>a</w:t>
      </w:r>
      <w:r>
        <w:rPr>
          <w:i w:val="0"/>
          <w:color w:val="auto"/>
          <w:szCs w:val="22"/>
        </w:rPr>
        <w:t>n</w:t>
      </w:r>
      <w:r>
        <w:rPr>
          <w:i w:val="0"/>
          <w:color w:val="auto"/>
          <w:spacing w:val="-2"/>
          <w:szCs w:val="22"/>
        </w:rPr>
        <w:t>t</w:t>
      </w:r>
      <w:r>
        <w:rPr>
          <w:i w:val="0"/>
          <w:color w:val="auto"/>
          <w:szCs w:val="22"/>
        </w:rPr>
        <w:t>i</w:t>
      </w:r>
      <w:r>
        <w:rPr>
          <w:i w:val="0"/>
          <w:color w:val="auto"/>
          <w:spacing w:val="1"/>
          <w:szCs w:val="22"/>
        </w:rPr>
        <w:t xml:space="preserve"> </w:t>
      </w:r>
      <w:r>
        <w:rPr>
          <w:i w:val="0"/>
          <w:color w:val="auto"/>
          <w:spacing w:val="-1"/>
          <w:szCs w:val="22"/>
        </w:rPr>
        <w:t>AD</w:t>
      </w:r>
      <w:r>
        <w:rPr>
          <w:i w:val="0"/>
          <w:color w:val="auto"/>
          <w:szCs w:val="22"/>
        </w:rPr>
        <w:t>N</w:t>
      </w:r>
      <w:r>
        <w:rPr>
          <w:i w:val="0"/>
          <w:color w:val="auto"/>
          <w:spacing w:val="-1"/>
          <w:szCs w:val="22"/>
        </w:rPr>
        <w:t xml:space="preserve"> </w:t>
      </w:r>
      <w:r>
        <w:rPr>
          <w:i w:val="0"/>
          <w:color w:val="auto"/>
          <w:szCs w:val="22"/>
        </w:rPr>
        <w:t>dub</w:t>
      </w:r>
      <w:r>
        <w:rPr>
          <w:i w:val="0"/>
          <w:color w:val="auto"/>
          <w:spacing w:val="-2"/>
          <w:szCs w:val="22"/>
        </w:rPr>
        <w:t>l</w:t>
      </w:r>
      <w:r>
        <w:rPr>
          <w:i w:val="0"/>
          <w:color w:val="auto"/>
          <w:szCs w:val="22"/>
        </w:rPr>
        <w:t xml:space="preserve">u </w:t>
      </w:r>
      <w:r>
        <w:rPr>
          <w:rFonts w:eastAsia="MS Mincho"/>
          <w:i w:val="0"/>
          <w:color w:val="auto"/>
          <w:szCs w:val="22"/>
          <w:lang w:eastAsia="en-US" w:bidi="ar-SA"/>
        </w:rPr>
        <w:t>catenar</w:t>
      </w:r>
      <w:r>
        <w:rPr>
          <w:i w:val="0"/>
          <w:color w:val="auto"/>
          <w:szCs w:val="22"/>
        </w:rPr>
        <w:t xml:space="preserve"> (</w:t>
      </w:r>
      <w:r>
        <w:rPr>
          <w:i w:val="0"/>
          <w:color w:val="auto"/>
          <w:spacing w:val="-3"/>
          <w:szCs w:val="22"/>
        </w:rPr>
        <w:t>v</w:t>
      </w:r>
      <w:r>
        <w:rPr>
          <w:i w:val="0"/>
          <w:color w:val="auto"/>
          <w:szCs w:val="22"/>
        </w:rPr>
        <w:t>e</w:t>
      </w:r>
      <w:r>
        <w:rPr>
          <w:i w:val="0"/>
          <w:color w:val="auto"/>
          <w:spacing w:val="-3"/>
          <w:szCs w:val="22"/>
        </w:rPr>
        <w:t>z</w:t>
      </w:r>
      <w:r>
        <w:rPr>
          <w:i w:val="0"/>
          <w:color w:val="auto"/>
          <w:szCs w:val="22"/>
        </w:rPr>
        <w:t>i</w:t>
      </w:r>
      <w:r>
        <w:rPr>
          <w:i w:val="0"/>
          <w:color w:val="auto"/>
          <w:spacing w:val="1"/>
          <w:szCs w:val="22"/>
        </w:rPr>
        <w:t xml:space="preserve"> </w:t>
      </w:r>
      <w:r>
        <w:rPr>
          <w:i w:val="0"/>
          <w:color w:val="auto"/>
          <w:szCs w:val="22"/>
        </w:rPr>
        <w:t>pc</w:t>
      </w:r>
      <w:r>
        <w:rPr>
          <w:i w:val="0"/>
          <w:color w:val="auto"/>
          <w:spacing w:val="1"/>
          <w:szCs w:val="22"/>
        </w:rPr>
        <w:t>t</w:t>
      </w:r>
      <w:r>
        <w:rPr>
          <w:i w:val="0"/>
          <w:color w:val="auto"/>
          <w:szCs w:val="22"/>
        </w:rPr>
        <w:t>. 4.</w:t>
      </w:r>
      <w:r>
        <w:rPr>
          <w:i w:val="0"/>
          <w:color w:val="auto"/>
          <w:spacing w:val="-3"/>
          <w:szCs w:val="22"/>
        </w:rPr>
        <w:t>8</w:t>
      </w:r>
      <w:r>
        <w:rPr>
          <w:i w:val="0"/>
          <w:color w:val="auto"/>
          <w:szCs w:val="22"/>
        </w:rPr>
        <w:t>).</w:t>
      </w:r>
    </w:p>
    <w:p w14:paraId="3786BDF8" w14:textId="77777777" w:rsidR="00C04CAD" w:rsidRDefault="00C04CAD">
      <w:pPr>
        <w:pStyle w:val="BodyText"/>
        <w:kinsoku w:val="0"/>
        <w:overflowPunct w:val="0"/>
        <w:rPr>
          <w:color w:val="auto"/>
          <w:szCs w:val="22"/>
        </w:rPr>
      </w:pPr>
    </w:p>
    <w:p w14:paraId="4732B1A7" w14:textId="77777777" w:rsidR="00C04CAD" w:rsidRDefault="00060E34">
      <w:pPr>
        <w:pStyle w:val="BodyText"/>
        <w:kinsoku w:val="0"/>
        <w:overflowPunct w:val="0"/>
        <w:rPr>
          <w:i w:val="0"/>
          <w:color w:val="auto"/>
        </w:rPr>
      </w:pPr>
      <w:r>
        <w:rPr>
          <w:i w:val="0"/>
          <w:color w:val="auto"/>
          <w:spacing w:val="-1"/>
          <w:u w:val="single"/>
        </w:rPr>
        <w:t>A</w:t>
      </w:r>
      <w:r>
        <w:rPr>
          <w:i w:val="0"/>
          <w:color w:val="auto"/>
          <w:u w:val="single"/>
        </w:rPr>
        <w:t>d</w:t>
      </w:r>
      <w:r>
        <w:rPr>
          <w:i w:val="0"/>
          <w:color w:val="auto"/>
          <w:spacing w:val="-4"/>
          <w:u w:val="single"/>
        </w:rPr>
        <w:t>m</w:t>
      </w:r>
      <w:r>
        <w:rPr>
          <w:i w:val="0"/>
          <w:color w:val="auto"/>
          <w:spacing w:val="1"/>
          <w:u w:val="single"/>
        </w:rPr>
        <w:t>i</w:t>
      </w:r>
      <w:r>
        <w:rPr>
          <w:i w:val="0"/>
          <w:color w:val="auto"/>
          <w:u w:val="single"/>
        </w:rPr>
        <w:t>n</w:t>
      </w:r>
      <w:r>
        <w:rPr>
          <w:i w:val="0"/>
          <w:color w:val="auto"/>
          <w:spacing w:val="1"/>
          <w:u w:val="single"/>
        </w:rPr>
        <w:t>i</w:t>
      </w:r>
      <w:r>
        <w:rPr>
          <w:i w:val="0"/>
          <w:color w:val="auto"/>
          <w:u w:val="single"/>
        </w:rPr>
        <w:t>s</w:t>
      </w:r>
      <w:r>
        <w:rPr>
          <w:i w:val="0"/>
          <w:color w:val="auto"/>
          <w:spacing w:val="1"/>
          <w:u w:val="single"/>
        </w:rPr>
        <w:t>t</w:t>
      </w:r>
      <w:r>
        <w:rPr>
          <w:i w:val="0"/>
          <w:color w:val="auto"/>
          <w:spacing w:val="-2"/>
          <w:u w:val="single"/>
        </w:rPr>
        <w:t>r</w:t>
      </w:r>
      <w:r>
        <w:rPr>
          <w:i w:val="0"/>
          <w:color w:val="auto"/>
          <w:u w:val="single"/>
        </w:rPr>
        <w:t>ar</w:t>
      </w:r>
      <w:r>
        <w:rPr>
          <w:i w:val="0"/>
          <w:color w:val="auto"/>
          <w:spacing w:val="-3"/>
          <w:u w:val="single"/>
        </w:rPr>
        <w:t>e</w:t>
      </w:r>
      <w:r>
        <w:rPr>
          <w:i w:val="0"/>
          <w:color w:val="auto"/>
          <w:u w:val="single"/>
        </w:rPr>
        <w:t xml:space="preserve">a </w:t>
      </w:r>
      <w:r>
        <w:rPr>
          <w:i w:val="0"/>
          <w:color w:val="auto"/>
          <w:spacing w:val="-2"/>
          <w:u w:val="single"/>
        </w:rPr>
        <w:t>s</w:t>
      </w:r>
      <w:r>
        <w:rPr>
          <w:i w:val="0"/>
          <w:color w:val="auto"/>
          <w:spacing w:val="1"/>
          <w:u w:val="single"/>
        </w:rPr>
        <w:t>i</w:t>
      </w:r>
      <w:r>
        <w:rPr>
          <w:i w:val="0"/>
          <w:color w:val="auto"/>
          <w:spacing w:val="-4"/>
          <w:u w:val="single"/>
        </w:rPr>
        <w:t>m</w:t>
      </w:r>
      <w:r>
        <w:rPr>
          <w:i w:val="0"/>
          <w:color w:val="auto"/>
          <w:u w:val="single"/>
        </w:rPr>
        <w:t>u</w:t>
      </w:r>
      <w:r>
        <w:rPr>
          <w:i w:val="0"/>
          <w:color w:val="auto"/>
          <w:spacing w:val="1"/>
          <w:u w:val="single"/>
        </w:rPr>
        <w:t>lt</w:t>
      </w:r>
      <w:r>
        <w:rPr>
          <w:i w:val="0"/>
          <w:color w:val="auto"/>
          <w:u w:val="single"/>
        </w:rPr>
        <w:t xml:space="preserve">ană </w:t>
      </w:r>
      <w:r>
        <w:rPr>
          <w:i w:val="0"/>
          <w:color w:val="auto"/>
          <w:spacing w:val="-3"/>
          <w:u w:val="single"/>
        </w:rPr>
        <w:t>d</w:t>
      </w:r>
      <w:r>
        <w:rPr>
          <w:i w:val="0"/>
          <w:color w:val="auto"/>
          <w:u w:val="single"/>
        </w:rPr>
        <w:t>e M</w:t>
      </w:r>
      <w:r>
        <w:rPr>
          <w:i w:val="0"/>
          <w:color w:val="auto"/>
          <w:spacing w:val="-1"/>
          <w:u w:val="single"/>
        </w:rPr>
        <w:t>AR</w:t>
      </w:r>
      <w:r>
        <w:rPr>
          <w:i w:val="0"/>
          <w:color w:val="auto"/>
          <w:u w:val="single"/>
        </w:rPr>
        <w:t>M</w:t>
      </w:r>
      <w:r>
        <w:rPr>
          <w:i w:val="0"/>
          <w:color w:val="auto"/>
          <w:spacing w:val="-1"/>
          <w:u w:val="single"/>
        </w:rPr>
        <w:t>B</w:t>
      </w:r>
      <w:r>
        <w:rPr>
          <w:i w:val="0"/>
          <w:color w:val="auto"/>
          <w:spacing w:val="-4"/>
          <w:u w:val="single"/>
        </w:rPr>
        <w:t>-</w:t>
      </w:r>
      <w:r>
        <w:rPr>
          <w:i w:val="0"/>
          <w:color w:val="auto"/>
          <w:u w:val="single"/>
        </w:rPr>
        <w:t>uri</w:t>
      </w:r>
      <w:r>
        <w:rPr>
          <w:i w:val="0"/>
          <w:color w:val="auto"/>
          <w:spacing w:val="1"/>
          <w:u w:val="single"/>
        </w:rPr>
        <w:t xml:space="preserve"> </w:t>
      </w:r>
      <w:r>
        <w:rPr>
          <w:i w:val="0"/>
          <w:color w:val="auto"/>
          <w:u w:val="single"/>
        </w:rPr>
        <w:t>b</w:t>
      </w:r>
      <w:r>
        <w:rPr>
          <w:i w:val="0"/>
          <w:color w:val="auto"/>
          <w:spacing w:val="1"/>
          <w:u w:val="single"/>
        </w:rPr>
        <w:t>i</w:t>
      </w:r>
      <w:r>
        <w:rPr>
          <w:i w:val="0"/>
          <w:color w:val="auto"/>
          <w:spacing w:val="-3"/>
          <w:u w:val="single"/>
        </w:rPr>
        <w:t>o</w:t>
      </w:r>
      <w:r>
        <w:rPr>
          <w:i w:val="0"/>
          <w:color w:val="auto"/>
          <w:spacing w:val="1"/>
          <w:u w:val="single"/>
        </w:rPr>
        <w:t>l</w:t>
      </w:r>
      <w:r>
        <w:rPr>
          <w:i w:val="0"/>
          <w:color w:val="auto"/>
          <w:u w:val="single"/>
        </w:rPr>
        <w:t>o</w:t>
      </w:r>
      <w:r>
        <w:rPr>
          <w:i w:val="0"/>
          <w:color w:val="auto"/>
          <w:spacing w:val="-3"/>
          <w:u w:val="single"/>
        </w:rPr>
        <w:t>g</w:t>
      </w:r>
      <w:r>
        <w:rPr>
          <w:i w:val="0"/>
          <w:color w:val="auto"/>
          <w:spacing w:val="1"/>
          <w:u w:val="single"/>
        </w:rPr>
        <w:t>i</w:t>
      </w:r>
      <w:r>
        <w:rPr>
          <w:i w:val="0"/>
          <w:color w:val="auto"/>
          <w:u w:val="single"/>
        </w:rPr>
        <w:t>ce</w:t>
      </w:r>
      <w:r>
        <w:rPr>
          <w:i w:val="0"/>
          <w:color w:val="auto"/>
          <w:spacing w:val="-3"/>
          <w:u w:val="single"/>
        </w:rPr>
        <w:t xml:space="preserve"> </w:t>
      </w:r>
      <w:r>
        <w:rPr>
          <w:i w:val="0"/>
          <w:color w:val="auto"/>
          <w:u w:val="single"/>
        </w:rPr>
        <w:t>sau an</w:t>
      </w:r>
      <w:r>
        <w:rPr>
          <w:i w:val="0"/>
          <w:color w:val="auto"/>
          <w:spacing w:val="1"/>
          <w:u w:val="single"/>
        </w:rPr>
        <w:t>t</w:t>
      </w:r>
      <w:r>
        <w:rPr>
          <w:i w:val="0"/>
          <w:color w:val="auto"/>
          <w:u w:val="single"/>
        </w:rPr>
        <w:t>a</w:t>
      </w:r>
      <w:r>
        <w:rPr>
          <w:i w:val="0"/>
          <w:color w:val="auto"/>
          <w:spacing w:val="-3"/>
          <w:u w:val="single"/>
        </w:rPr>
        <w:t>g</w:t>
      </w:r>
      <w:r>
        <w:rPr>
          <w:i w:val="0"/>
          <w:color w:val="auto"/>
          <w:u w:val="single"/>
        </w:rPr>
        <w:t>on</w:t>
      </w:r>
      <w:r>
        <w:rPr>
          <w:i w:val="0"/>
          <w:color w:val="auto"/>
          <w:spacing w:val="-2"/>
          <w:u w:val="single"/>
        </w:rPr>
        <w:t>i</w:t>
      </w:r>
      <w:r>
        <w:rPr>
          <w:i w:val="0"/>
          <w:color w:val="auto"/>
          <w:u w:val="single"/>
        </w:rPr>
        <w:t>ş</w:t>
      </w:r>
      <w:r>
        <w:rPr>
          <w:i w:val="0"/>
          <w:color w:val="auto"/>
          <w:spacing w:val="-2"/>
          <w:u w:val="single"/>
        </w:rPr>
        <w:t>t</w:t>
      </w:r>
      <w:r>
        <w:rPr>
          <w:i w:val="0"/>
          <w:color w:val="auto"/>
          <w:u w:val="single"/>
        </w:rPr>
        <w:t xml:space="preserve">i </w:t>
      </w:r>
      <w:r>
        <w:rPr>
          <w:i w:val="0"/>
          <w:color w:val="auto"/>
          <w:spacing w:val="1"/>
          <w:u w:val="single"/>
        </w:rPr>
        <w:t>T</w:t>
      </w:r>
      <w:r>
        <w:rPr>
          <w:i w:val="0"/>
          <w:color w:val="auto"/>
          <w:spacing w:val="-1"/>
          <w:u w:val="single"/>
        </w:rPr>
        <w:t>N</w:t>
      </w:r>
      <w:r>
        <w:rPr>
          <w:i w:val="0"/>
          <w:color w:val="auto"/>
          <w:u w:val="single"/>
        </w:rPr>
        <w:t>F</w:t>
      </w:r>
    </w:p>
    <w:p w14:paraId="7ED63658" w14:textId="77777777" w:rsidR="00C04CAD" w:rsidRDefault="00C04CAD">
      <w:pPr>
        <w:kinsoku w:val="0"/>
        <w:overflowPunct w:val="0"/>
        <w:spacing w:line="240" w:lineRule="auto"/>
      </w:pPr>
    </w:p>
    <w:p w14:paraId="7AEFD6A2" w14:textId="77777777" w:rsidR="00C04CAD" w:rsidRDefault="00060E34">
      <w:pPr>
        <w:pStyle w:val="BodyText"/>
        <w:kinsoku w:val="0"/>
        <w:overflowPunct w:val="0"/>
        <w:rPr>
          <w:i w:val="0"/>
          <w:color w:val="auto"/>
        </w:rPr>
      </w:pPr>
      <w:r>
        <w:rPr>
          <w:i w:val="0"/>
          <w:color w:val="auto"/>
          <w:spacing w:val="-4"/>
        </w:rPr>
        <w:t>Î</w:t>
      </w:r>
      <w:r>
        <w:rPr>
          <w:i w:val="0"/>
          <w:color w:val="auto"/>
        </w:rPr>
        <w:t>n cadrul</w:t>
      </w:r>
      <w:r>
        <w:rPr>
          <w:i w:val="0"/>
          <w:color w:val="auto"/>
          <w:spacing w:val="1"/>
        </w:rPr>
        <w:t xml:space="preserve"> </w:t>
      </w:r>
      <w:r>
        <w:rPr>
          <w:i w:val="0"/>
          <w:color w:val="auto"/>
          <w:spacing w:val="-2"/>
        </w:rPr>
        <w:t>s</w:t>
      </w:r>
      <w:r>
        <w:rPr>
          <w:i w:val="0"/>
          <w:color w:val="auto"/>
          <w:spacing w:val="1"/>
        </w:rPr>
        <w:t>t</w:t>
      </w:r>
      <w:r>
        <w:rPr>
          <w:i w:val="0"/>
          <w:color w:val="auto"/>
        </w:rPr>
        <w:t>ud</w:t>
      </w:r>
      <w:r>
        <w:rPr>
          <w:i w:val="0"/>
          <w:color w:val="auto"/>
          <w:spacing w:val="-2"/>
        </w:rPr>
        <w:t>ii</w:t>
      </w:r>
      <w:r>
        <w:rPr>
          <w:i w:val="0"/>
          <w:color w:val="auto"/>
          <w:spacing w:val="1"/>
        </w:rPr>
        <w:t>l</w:t>
      </w:r>
      <w:r>
        <w:rPr>
          <w:i w:val="0"/>
          <w:color w:val="auto"/>
        </w:rPr>
        <w:t>or</w:t>
      </w:r>
      <w:r>
        <w:rPr>
          <w:i w:val="0"/>
          <w:color w:val="auto"/>
          <w:spacing w:val="-2"/>
        </w:rPr>
        <w:t xml:space="preserve"> </w:t>
      </w:r>
      <w:r>
        <w:rPr>
          <w:i w:val="0"/>
          <w:color w:val="auto"/>
        </w:rPr>
        <w:t>c</w:t>
      </w:r>
      <w:r>
        <w:rPr>
          <w:i w:val="0"/>
          <w:color w:val="auto"/>
          <w:spacing w:val="-2"/>
        </w:rPr>
        <w:t>l</w:t>
      </w:r>
      <w:r>
        <w:rPr>
          <w:i w:val="0"/>
          <w:color w:val="auto"/>
          <w:spacing w:val="1"/>
        </w:rPr>
        <w:t>i</w:t>
      </w:r>
      <w:r>
        <w:rPr>
          <w:i w:val="0"/>
          <w:color w:val="auto"/>
        </w:rPr>
        <w:t>n</w:t>
      </w:r>
      <w:r>
        <w:rPr>
          <w:i w:val="0"/>
          <w:color w:val="auto"/>
          <w:spacing w:val="-2"/>
        </w:rPr>
        <w:t>i</w:t>
      </w:r>
      <w:r>
        <w:rPr>
          <w:i w:val="0"/>
          <w:color w:val="auto"/>
        </w:rPr>
        <w:t>ce</w:t>
      </w:r>
      <w:r>
        <w:rPr>
          <w:i w:val="0"/>
          <w:color w:val="auto"/>
          <w:spacing w:val="-2"/>
        </w:rPr>
        <w:t xml:space="preserve"> </w:t>
      </w:r>
      <w:r>
        <w:rPr>
          <w:i w:val="0"/>
          <w:color w:val="auto"/>
          <w:spacing w:val="1"/>
        </w:rPr>
        <w:t>î</w:t>
      </w:r>
      <w:r>
        <w:rPr>
          <w:i w:val="0"/>
          <w:color w:val="auto"/>
        </w:rPr>
        <w:t>n</w:t>
      </w:r>
      <w:r>
        <w:rPr>
          <w:i w:val="0"/>
          <w:color w:val="auto"/>
          <w:spacing w:val="-3"/>
        </w:rPr>
        <w:t xml:space="preserve"> </w:t>
      </w:r>
      <w:r>
        <w:rPr>
          <w:i w:val="0"/>
          <w:color w:val="auto"/>
        </w:rPr>
        <w:t>care</w:t>
      </w:r>
      <w:r>
        <w:rPr>
          <w:i w:val="0"/>
          <w:color w:val="auto"/>
          <w:spacing w:val="-2"/>
        </w:rPr>
        <w:t xml:space="preserve"> </w:t>
      </w:r>
      <w:r>
        <w:rPr>
          <w:i w:val="0"/>
          <w:color w:val="auto"/>
        </w:rPr>
        <w:t>s</w:t>
      </w:r>
      <w:r>
        <w:rPr>
          <w:i w:val="0"/>
          <w:color w:val="auto"/>
          <w:spacing w:val="-4"/>
        </w:rPr>
        <w:t>-</w:t>
      </w:r>
      <w:r>
        <w:rPr>
          <w:i w:val="0"/>
          <w:color w:val="auto"/>
        </w:rPr>
        <w:t>au fo</w:t>
      </w:r>
      <w:r>
        <w:rPr>
          <w:i w:val="0"/>
          <w:color w:val="auto"/>
          <w:spacing w:val="1"/>
        </w:rPr>
        <w:t>l</w:t>
      </w:r>
      <w:r>
        <w:rPr>
          <w:i w:val="0"/>
          <w:color w:val="auto"/>
          <w:spacing w:val="-3"/>
        </w:rPr>
        <w:t>o</w:t>
      </w:r>
      <w:r>
        <w:rPr>
          <w:i w:val="0"/>
          <w:color w:val="auto"/>
        </w:rPr>
        <w:t>s</w:t>
      </w:r>
      <w:r>
        <w:rPr>
          <w:i w:val="0"/>
          <w:color w:val="auto"/>
          <w:spacing w:val="-2"/>
        </w:rPr>
        <w:t>i</w:t>
      </w:r>
      <w:r>
        <w:rPr>
          <w:i w:val="0"/>
          <w:color w:val="auto"/>
        </w:rPr>
        <w:t>t</w:t>
      </w:r>
      <w:r>
        <w:rPr>
          <w:i w:val="0"/>
          <w:color w:val="auto"/>
          <w:spacing w:val="1"/>
        </w:rPr>
        <w:t xml:space="preserve"> </w:t>
      </w:r>
      <w:r>
        <w:rPr>
          <w:i w:val="0"/>
          <w:color w:val="auto"/>
          <w:spacing w:val="-2"/>
        </w:rPr>
        <w:t>s</w:t>
      </w:r>
      <w:r>
        <w:rPr>
          <w:i w:val="0"/>
          <w:color w:val="auto"/>
          <w:spacing w:val="1"/>
        </w:rPr>
        <w:t>i</w:t>
      </w:r>
      <w:r>
        <w:rPr>
          <w:i w:val="0"/>
          <w:color w:val="auto"/>
          <w:spacing w:val="-4"/>
        </w:rPr>
        <w:t>m</w:t>
      </w:r>
      <w:r>
        <w:rPr>
          <w:i w:val="0"/>
          <w:color w:val="auto"/>
        </w:rPr>
        <w:t>u</w:t>
      </w:r>
      <w:r>
        <w:rPr>
          <w:i w:val="0"/>
          <w:color w:val="auto"/>
          <w:spacing w:val="1"/>
        </w:rPr>
        <w:t>lt</w:t>
      </w:r>
      <w:r>
        <w:rPr>
          <w:i w:val="0"/>
          <w:color w:val="auto"/>
        </w:rPr>
        <w:t xml:space="preserve">an </w:t>
      </w:r>
      <w:r>
        <w:rPr>
          <w:i w:val="0"/>
          <w:color w:val="auto"/>
          <w:spacing w:val="-3"/>
        </w:rPr>
        <w:t>a</w:t>
      </w:r>
      <w:r>
        <w:rPr>
          <w:i w:val="0"/>
          <w:color w:val="auto"/>
        </w:rPr>
        <w:t>na</w:t>
      </w:r>
      <w:r>
        <w:rPr>
          <w:i w:val="0"/>
          <w:color w:val="auto"/>
          <w:spacing w:val="-3"/>
        </w:rPr>
        <w:t>k</w:t>
      </w:r>
      <w:r>
        <w:rPr>
          <w:i w:val="0"/>
          <w:color w:val="auto"/>
          <w:spacing w:val="1"/>
        </w:rPr>
        <w:t>i</w:t>
      </w:r>
      <w:r>
        <w:rPr>
          <w:i w:val="0"/>
          <w:color w:val="auto"/>
        </w:rPr>
        <w:t>nra</w:t>
      </w:r>
      <w:r>
        <w:rPr>
          <w:i w:val="0"/>
          <w:color w:val="auto"/>
          <w:spacing w:val="-2"/>
        </w:rPr>
        <w:t xml:space="preserve"> </w:t>
      </w:r>
      <w:r>
        <w:rPr>
          <w:i w:val="0"/>
          <w:color w:val="auto"/>
        </w:rPr>
        <w:t>şi</w:t>
      </w:r>
      <w:r>
        <w:rPr>
          <w:i w:val="0"/>
          <w:color w:val="auto"/>
          <w:spacing w:val="1"/>
        </w:rPr>
        <w:t xml:space="preserve"> </w:t>
      </w:r>
      <w:r>
        <w:rPr>
          <w:i w:val="0"/>
          <w:color w:val="auto"/>
        </w:rPr>
        <w:t>un</w:t>
      </w:r>
      <w:r>
        <w:rPr>
          <w:i w:val="0"/>
          <w:color w:val="auto"/>
          <w:spacing w:val="-3"/>
        </w:rPr>
        <w:t xml:space="preserve"> </w:t>
      </w:r>
      <w:r>
        <w:rPr>
          <w:i w:val="0"/>
          <w:color w:val="auto"/>
        </w:rPr>
        <w:t>a</w:t>
      </w:r>
      <w:r>
        <w:rPr>
          <w:i w:val="0"/>
          <w:color w:val="auto"/>
          <w:spacing w:val="-2"/>
        </w:rPr>
        <w:t>l</w:t>
      </w:r>
      <w:r>
        <w:rPr>
          <w:i w:val="0"/>
          <w:color w:val="auto"/>
        </w:rPr>
        <w:t>t</w:t>
      </w:r>
      <w:r>
        <w:rPr>
          <w:i w:val="0"/>
          <w:color w:val="auto"/>
          <w:spacing w:val="1"/>
        </w:rPr>
        <w:t xml:space="preserve"> </w:t>
      </w:r>
      <w:r>
        <w:rPr>
          <w:i w:val="0"/>
          <w:color w:val="auto"/>
        </w:rPr>
        <w:t>a</w:t>
      </w:r>
      <w:r>
        <w:rPr>
          <w:i w:val="0"/>
          <w:color w:val="auto"/>
          <w:spacing w:val="-3"/>
        </w:rPr>
        <w:t>n</w:t>
      </w:r>
      <w:r>
        <w:rPr>
          <w:i w:val="0"/>
          <w:color w:val="auto"/>
          <w:spacing w:val="1"/>
        </w:rPr>
        <w:t>t</w:t>
      </w:r>
      <w:r>
        <w:rPr>
          <w:i w:val="0"/>
          <w:color w:val="auto"/>
        </w:rPr>
        <w:t>a</w:t>
      </w:r>
      <w:r>
        <w:rPr>
          <w:i w:val="0"/>
          <w:color w:val="auto"/>
          <w:spacing w:val="-3"/>
        </w:rPr>
        <w:t>g</w:t>
      </w:r>
      <w:r>
        <w:rPr>
          <w:i w:val="0"/>
          <w:color w:val="auto"/>
        </w:rPr>
        <w:t>on</w:t>
      </w:r>
      <w:r>
        <w:rPr>
          <w:i w:val="0"/>
          <w:color w:val="auto"/>
          <w:spacing w:val="-2"/>
        </w:rPr>
        <w:t>i</w:t>
      </w:r>
      <w:r>
        <w:rPr>
          <w:i w:val="0"/>
          <w:color w:val="auto"/>
        </w:rPr>
        <w:t>st</w:t>
      </w:r>
      <w:r>
        <w:rPr>
          <w:i w:val="0"/>
          <w:color w:val="auto"/>
          <w:spacing w:val="-2"/>
        </w:rPr>
        <w:t xml:space="preserve"> </w:t>
      </w:r>
      <w:r>
        <w:rPr>
          <w:i w:val="0"/>
          <w:color w:val="auto"/>
          <w:spacing w:val="1"/>
        </w:rPr>
        <w:t>T</w:t>
      </w:r>
      <w:r>
        <w:rPr>
          <w:i w:val="0"/>
          <w:color w:val="auto"/>
          <w:spacing w:val="-1"/>
        </w:rPr>
        <w:t>NF</w:t>
      </w:r>
      <w:r>
        <w:rPr>
          <w:i w:val="0"/>
          <w:color w:val="auto"/>
        </w:rPr>
        <w:t xml:space="preserve">, </w:t>
      </w:r>
      <w:r>
        <w:rPr>
          <w:i w:val="0"/>
          <w:color w:val="auto"/>
          <w:spacing w:val="-3"/>
        </w:rPr>
        <w:t>e</w:t>
      </w:r>
      <w:r>
        <w:rPr>
          <w:i w:val="0"/>
          <w:color w:val="auto"/>
          <w:spacing w:val="1"/>
        </w:rPr>
        <w:t>t</w:t>
      </w:r>
      <w:r>
        <w:rPr>
          <w:i w:val="0"/>
          <w:color w:val="auto"/>
        </w:rPr>
        <w:t>a</w:t>
      </w:r>
      <w:r>
        <w:rPr>
          <w:i w:val="0"/>
          <w:color w:val="auto"/>
          <w:spacing w:val="-3"/>
        </w:rPr>
        <w:t>n</w:t>
      </w:r>
      <w:r>
        <w:rPr>
          <w:i w:val="0"/>
          <w:color w:val="auto"/>
        </w:rPr>
        <w:t>er</w:t>
      </w:r>
      <w:r>
        <w:rPr>
          <w:i w:val="0"/>
          <w:color w:val="auto"/>
          <w:spacing w:val="-3"/>
        </w:rPr>
        <w:t>c</w:t>
      </w:r>
      <w:r>
        <w:rPr>
          <w:i w:val="0"/>
          <w:color w:val="auto"/>
        </w:rPr>
        <w:t>ep</w:t>
      </w:r>
      <w:r>
        <w:rPr>
          <w:i w:val="0"/>
          <w:color w:val="auto"/>
          <w:spacing w:val="1"/>
        </w:rPr>
        <w:t>t</w:t>
      </w:r>
      <w:r>
        <w:rPr>
          <w:i w:val="0"/>
          <w:color w:val="auto"/>
        </w:rPr>
        <w:t>,</w:t>
      </w:r>
      <w:r>
        <w:rPr>
          <w:i w:val="0"/>
          <w:color w:val="auto"/>
          <w:spacing w:val="-3"/>
        </w:rPr>
        <w:t xml:space="preserve"> </w:t>
      </w:r>
      <w:r>
        <w:rPr>
          <w:i w:val="0"/>
          <w:color w:val="auto"/>
        </w:rPr>
        <w:t>au fost</w:t>
      </w:r>
      <w:r>
        <w:rPr>
          <w:i w:val="0"/>
          <w:color w:val="auto"/>
          <w:spacing w:val="-2"/>
        </w:rPr>
        <w:t xml:space="preserve"> </w:t>
      </w:r>
      <w:r>
        <w:rPr>
          <w:i w:val="0"/>
          <w:color w:val="auto"/>
        </w:rPr>
        <w:t>r</w:t>
      </w:r>
      <w:r>
        <w:rPr>
          <w:i w:val="0"/>
          <w:color w:val="auto"/>
          <w:spacing w:val="-3"/>
        </w:rPr>
        <w:t>a</w:t>
      </w:r>
      <w:r>
        <w:rPr>
          <w:i w:val="0"/>
          <w:color w:val="auto"/>
        </w:rPr>
        <w:t>po</w:t>
      </w:r>
      <w:r>
        <w:rPr>
          <w:i w:val="0"/>
          <w:color w:val="auto"/>
          <w:spacing w:val="-2"/>
        </w:rPr>
        <w:t>r</w:t>
      </w:r>
      <w:r>
        <w:rPr>
          <w:i w:val="0"/>
          <w:color w:val="auto"/>
          <w:spacing w:val="1"/>
        </w:rPr>
        <w:t>t</w:t>
      </w:r>
      <w:r>
        <w:rPr>
          <w:i w:val="0"/>
          <w:color w:val="auto"/>
          <w:spacing w:val="-3"/>
        </w:rPr>
        <w:t>a</w:t>
      </w:r>
      <w:r>
        <w:rPr>
          <w:i w:val="0"/>
          <w:color w:val="auto"/>
          <w:spacing w:val="1"/>
        </w:rPr>
        <w:t>t</w:t>
      </w:r>
      <w:r>
        <w:rPr>
          <w:i w:val="0"/>
          <w:color w:val="auto"/>
        </w:rPr>
        <w:t xml:space="preserve">e </w:t>
      </w:r>
      <w:r>
        <w:rPr>
          <w:i w:val="0"/>
          <w:color w:val="auto"/>
          <w:spacing w:val="-2"/>
        </w:rPr>
        <w:t>i</w:t>
      </w:r>
      <w:r>
        <w:rPr>
          <w:i w:val="0"/>
          <w:color w:val="auto"/>
        </w:rPr>
        <w:t>nf</w:t>
      </w:r>
      <w:r>
        <w:rPr>
          <w:i w:val="0"/>
          <w:color w:val="auto"/>
          <w:spacing w:val="-3"/>
        </w:rPr>
        <w:t>e</w:t>
      </w:r>
      <w:r>
        <w:rPr>
          <w:i w:val="0"/>
          <w:color w:val="auto"/>
        </w:rPr>
        <w:t>c</w:t>
      </w:r>
      <w:r>
        <w:rPr>
          <w:i w:val="0"/>
          <w:color w:val="auto"/>
          <w:spacing w:val="-2"/>
        </w:rPr>
        <w:t>ţ</w:t>
      </w:r>
      <w:r>
        <w:rPr>
          <w:i w:val="0"/>
          <w:color w:val="auto"/>
          <w:spacing w:val="1"/>
        </w:rPr>
        <w:t>i</w:t>
      </w:r>
      <w:r>
        <w:rPr>
          <w:i w:val="0"/>
          <w:color w:val="auto"/>
        </w:rPr>
        <w:t>i</w:t>
      </w:r>
      <w:r>
        <w:rPr>
          <w:i w:val="0"/>
          <w:color w:val="auto"/>
          <w:spacing w:val="-2"/>
        </w:rPr>
        <w:t xml:space="preserve"> </w:t>
      </w:r>
      <w:r>
        <w:rPr>
          <w:i w:val="0"/>
          <w:color w:val="auto"/>
        </w:rPr>
        <w:t>grave f</w:t>
      </w:r>
      <w:r>
        <w:rPr>
          <w:i w:val="0"/>
          <w:color w:val="auto"/>
          <w:spacing w:val="-3"/>
        </w:rPr>
        <w:t>ă</w:t>
      </w:r>
      <w:r>
        <w:rPr>
          <w:i w:val="0"/>
          <w:color w:val="auto"/>
        </w:rPr>
        <w:t>ră e</w:t>
      </w:r>
      <w:r>
        <w:rPr>
          <w:i w:val="0"/>
          <w:color w:val="auto"/>
          <w:spacing w:val="-3"/>
        </w:rPr>
        <w:t>v</w:t>
      </w:r>
      <w:r>
        <w:rPr>
          <w:i w:val="0"/>
          <w:color w:val="auto"/>
          <w:spacing w:val="1"/>
        </w:rPr>
        <w:t>i</w:t>
      </w:r>
      <w:r>
        <w:rPr>
          <w:i w:val="0"/>
          <w:color w:val="auto"/>
          <w:spacing w:val="-3"/>
        </w:rPr>
        <w:t>d</w:t>
      </w:r>
      <w:r>
        <w:rPr>
          <w:i w:val="0"/>
          <w:color w:val="auto"/>
        </w:rPr>
        <w:t>en</w:t>
      </w:r>
      <w:r>
        <w:rPr>
          <w:i w:val="0"/>
          <w:color w:val="auto"/>
          <w:spacing w:val="-2"/>
        </w:rPr>
        <w:t>ţ</w:t>
      </w:r>
      <w:r>
        <w:rPr>
          <w:i w:val="0"/>
          <w:color w:val="auto"/>
          <w:spacing w:val="1"/>
        </w:rPr>
        <w:t>i</w:t>
      </w:r>
      <w:r>
        <w:rPr>
          <w:i w:val="0"/>
          <w:color w:val="auto"/>
          <w:spacing w:val="-3"/>
        </w:rPr>
        <w:t>e</w:t>
      </w:r>
      <w:r>
        <w:rPr>
          <w:i w:val="0"/>
          <w:color w:val="auto"/>
        </w:rPr>
        <w:t xml:space="preserve">rea </w:t>
      </w:r>
      <w:r>
        <w:rPr>
          <w:i w:val="0"/>
          <w:color w:val="auto"/>
          <w:spacing w:val="-3"/>
        </w:rPr>
        <w:t>u</w:t>
      </w:r>
      <w:r>
        <w:rPr>
          <w:i w:val="0"/>
          <w:color w:val="auto"/>
        </w:rPr>
        <w:t>nor</w:t>
      </w:r>
      <w:r>
        <w:rPr>
          <w:i w:val="0"/>
          <w:color w:val="auto"/>
          <w:spacing w:val="1"/>
        </w:rPr>
        <w:t xml:space="preserve"> </w:t>
      </w:r>
      <w:r>
        <w:rPr>
          <w:i w:val="0"/>
          <w:color w:val="auto"/>
          <w:spacing w:val="-3"/>
        </w:rPr>
        <w:t>b</w:t>
      </w:r>
      <w:r>
        <w:rPr>
          <w:i w:val="0"/>
          <w:color w:val="auto"/>
        </w:rPr>
        <w:t>e</w:t>
      </w:r>
      <w:r>
        <w:rPr>
          <w:i w:val="0"/>
          <w:color w:val="auto"/>
          <w:spacing w:val="-3"/>
        </w:rPr>
        <w:t>n</w:t>
      </w:r>
      <w:r>
        <w:rPr>
          <w:i w:val="0"/>
          <w:color w:val="auto"/>
        </w:rPr>
        <w:t>ef</w:t>
      </w:r>
      <w:r>
        <w:rPr>
          <w:i w:val="0"/>
          <w:color w:val="auto"/>
          <w:spacing w:val="-2"/>
        </w:rPr>
        <w:t>i</w:t>
      </w:r>
      <w:r>
        <w:rPr>
          <w:i w:val="0"/>
          <w:color w:val="auto"/>
        </w:rPr>
        <w:t>c</w:t>
      </w:r>
      <w:r>
        <w:rPr>
          <w:i w:val="0"/>
          <w:color w:val="auto"/>
          <w:spacing w:val="-2"/>
        </w:rPr>
        <w:t>i</w:t>
      </w:r>
      <w:r>
        <w:rPr>
          <w:i w:val="0"/>
          <w:color w:val="auto"/>
        </w:rPr>
        <w:t>i</w:t>
      </w:r>
      <w:r>
        <w:rPr>
          <w:i w:val="0"/>
          <w:color w:val="auto"/>
          <w:spacing w:val="1"/>
        </w:rPr>
        <w:t xml:space="preserve"> </w:t>
      </w:r>
      <w:r>
        <w:rPr>
          <w:i w:val="0"/>
          <w:color w:val="auto"/>
          <w:spacing w:val="-3"/>
        </w:rPr>
        <w:t>c</w:t>
      </w:r>
      <w:r>
        <w:rPr>
          <w:i w:val="0"/>
          <w:color w:val="auto"/>
          <w:spacing w:val="1"/>
        </w:rPr>
        <w:t>li</w:t>
      </w:r>
      <w:r>
        <w:rPr>
          <w:i w:val="0"/>
          <w:color w:val="auto"/>
          <w:spacing w:val="-3"/>
        </w:rPr>
        <w:t>n</w:t>
      </w:r>
      <w:r>
        <w:rPr>
          <w:i w:val="0"/>
          <w:color w:val="auto"/>
          <w:spacing w:val="1"/>
        </w:rPr>
        <w:t>i</w:t>
      </w:r>
      <w:r>
        <w:rPr>
          <w:i w:val="0"/>
          <w:color w:val="auto"/>
        </w:rPr>
        <w:t>ce</w:t>
      </w:r>
      <w:r>
        <w:rPr>
          <w:i w:val="0"/>
          <w:color w:val="auto"/>
          <w:spacing w:val="-2"/>
        </w:rPr>
        <w:t xml:space="preserve"> </w:t>
      </w:r>
      <w:r>
        <w:rPr>
          <w:i w:val="0"/>
          <w:color w:val="auto"/>
        </w:rPr>
        <w:t>su</w:t>
      </w:r>
      <w:r>
        <w:rPr>
          <w:i w:val="0"/>
          <w:color w:val="auto"/>
          <w:spacing w:val="-3"/>
        </w:rPr>
        <w:t>p</w:t>
      </w:r>
      <w:r>
        <w:rPr>
          <w:i w:val="0"/>
          <w:color w:val="auto"/>
          <w:spacing w:val="1"/>
        </w:rPr>
        <w:t>li</w:t>
      </w:r>
      <w:r>
        <w:rPr>
          <w:i w:val="0"/>
          <w:color w:val="auto"/>
          <w:spacing w:val="-4"/>
        </w:rPr>
        <w:t>m</w:t>
      </w:r>
      <w:r>
        <w:rPr>
          <w:i w:val="0"/>
          <w:color w:val="auto"/>
        </w:rPr>
        <w:t>en</w:t>
      </w:r>
      <w:r>
        <w:rPr>
          <w:i w:val="0"/>
          <w:color w:val="auto"/>
          <w:spacing w:val="1"/>
        </w:rPr>
        <w:t>t</w:t>
      </w:r>
      <w:r>
        <w:rPr>
          <w:i w:val="0"/>
          <w:color w:val="auto"/>
          <w:spacing w:val="-3"/>
        </w:rPr>
        <w:t>a</w:t>
      </w:r>
      <w:r>
        <w:rPr>
          <w:i w:val="0"/>
          <w:color w:val="auto"/>
        </w:rPr>
        <w:t xml:space="preserve">re </w:t>
      </w:r>
      <w:r>
        <w:rPr>
          <w:i w:val="0"/>
          <w:color w:val="auto"/>
          <w:spacing w:val="-3"/>
        </w:rPr>
        <w:t>c</w:t>
      </w:r>
      <w:r>
        <w:rPr>
          <w:i w:val="0"/>
          <w:color w:val="auto"/>
        </w:rPr>
        <w:t>o</w:t>
      </w:r>
      <w:r>
        <w:rPr>
          <w:i w:val="0"/>
          <w:color w:val="auto"/>
          <w:spacing w:val="-4"/>
        </w:rPr>
        <w:t>m</w:t>
      </w:r>
      <w:r>
        <w:rPr>
          <w:i w:val="0"/>
          <w:color w:val="auto"/>
        </w:rPr>
        <w:t>para</w:t>
      </w:r>
      <w:r>
        <w:rPr>
          <w:i w:val="0"/>
          <w:color w:val="auto"/>
          <w:spacing w:val="1"/>
        </w:rPr>
        <w:t>ti</w:t>
      </w:r>
      <w:r>
        <w:rPr>
          <w:i w:val="0"/>
          <w:color w:val="auto"/>
        </w:rPr>
        <w:t>v</w:t>
      </w:r>
      <w:r>
        <w:rPr>
          <w:i w:val="0"/>
          <w:color w:val="auto"/>
          <w:spacing w:val="-3"/>
        </w:rPr>
        <w:t xml:space="preserve"> </w:t>
      </w:r>
      <w:r>
        <w:rPr>
          <w:i w:val="0"/>
          <w:color w:val="auto"/>
        </w:rPr>
        <w:t>cu ad</w:t>
      </w:r>
      <w:r>
        <w:rPr>
          <w:i w:val="0"/>
          <w:color w:val="auto"/>
          <w:spacing w:val="-4"/>
        </w:rPr>
        <w:t>m</w:t>
      </w:r>
      <w:r>
        <w:rPr>
          <w:i w:val="0"/>
          <w:color w:val="auto"/>
          <w:spacing w:val="1"/>
        </w:rPr>
        <w:t>i</w:t>
      </w:r>
      <w:r>
        <w:rPr>
          <w:i w:val="0"/>
          <w:color w:val="auto"/>
        </w:rPr>
        <w:t>n</w:t>
      </w:r>
      <w:r>
        <w:rPr>
          <w:i w:val="0"/>
          <w:color w:val="auto"/>
          <w:spacing w:val="1"/>
        </w:rPr>
        <w:t>i</w:t>
      </w:r>
      <w:r>
        <w:rPr>
          <w:i w:val="0"/>
          <w:color w:val="auto"/>
        </w:rPr>
        <w:t>s</w:t>
      </w:r>
      <w:r>
        <w:rPr>
          <w:i w:val="0"/>
          <w:color w:val="auto"/>
          <w:spacing w:val="-2"/>
        </w:rPr>
        <w:t>t</w:t>
      </w:r>
      <w:r>
        <w:rPr>
          <w:i w:val="0"/>
          <w:color w:val="auto"/>
        </w:rPr>
        <w:t>ra</w:t>
      </w:r>
      <w:r>
        <w:rPr>
          <w:i w:val="0"/>
          <w:color w:val="auto"/>
          <w:spacing w:val="-2"/>
        </w:rPr>
        <w:t>r</w:t>
      </w:r>
      <w:r>
        <w:rPr>
          <w:i w:val="0"/>
          <w:color w:val="auto"/>
        </w:rPr>
        <w:t xml:space="preserve">ea </w:t>
      </w:r>
      <w:r>
        <w:rPr>
          <w:i w:val="0"/>
          <w:color w:val="auto"/>
          <w:spacing w:val="-3"/>
        </w:rPr>
        <w:t>d</w:t>
      </w:r>
      <w:r>
        <w:rPr>
          <w:i w:val="0"/>
          <w:color w:val="auto"/>
        </w:rPr>
        <w:t xml:space="preserve">e </w:t>
      </w:r>
      <w:r>
        <w:rPr>
          <w:i w:val="0"/>
          <w:color w:val="auto"/>
          <w:spacing w:val="-3"/>
        </w:rPr>
        <w:t>e</w:t>
      </w:r>
      <w:r>
        <w:rPr>
          <w:i w:val="0"/>
          <w:color w:val="auto"/>
          <w:spacing w:val="1"/>
        </w:rPr>
        <w:t>t</w:t>
      </w:r>
      <w:r>
        <w:rPr>
          <w:i w:val="0"/>
          <w:color w:val="auto"/>
        </w:rPr>
        <w:t>an</w:t>
      </w:r>
      <w:r>
        <w:rPr>
          <w:i w:val="0"/>
          <w:color w:val="auto"/>
          <w:spacing w:val="-3"/>
        </w:rPr>
        <w:t>e</w:t>
      </w:r>
      <w:r>
        <w:rPr>
          <w:i w:val="0"/>
          <w:color w:val="auto"/>
        </w:rPr>
        <w:t>rc</w:t>
      </w:r>
      <w:r>
        <w:rPr>
          <w:i w:val="0"/>
          <w:color w:val="auto"/>
          <w:spacing w:val="-3"/>
        </w:rPr>
        <w:t>e</w:t>
      </w:r>
      <w:r>
        <w:rPr>
          <w:i w:val="0"/>
          <w:color w:val="auto"/>
        </w:rPr>
        <w:t>pt</w:t>
      </w:r>
      <w:r>
        <w:rPr>
          <w:i w:val="0"/>
          <w:color w:val="auto"/>
          <w:spacing w:val="-2"/>
        </w:rPr>
        <w:t xml:space="preserve"> </w:t>
      </w:r>
      <w:r>
        <w:rPr>
          <w:i w:val="0"/>
          <w:color w:val="auto"/>
          <w:spacing w:val="1"/>
        </w:rPr>
        <w:t>î</w:t>
      </w:r>
      <w:r>
        <w:rPr>
          <w:i w:val="0"/>
          <w:color w:val="auto"/>
        </w:rPr>
        <w:t xml:space="preserve">n </w:t>
      </w:r>
      <w:r>
        <w:rPr>
          <w:i w:val="0"/>
          <w:color w:val="auto"/>
          <w:spacing w:val="-4"/>
        </w:rPr>
        <w:t>m</w:t>
      </w:r>
      <w:r>
        <w:rPr>
          <w:i w:val="0"/>
          <w:color w:val="auto"/>
        </w:rPr>
        <w:t>ono</w:t>
      </w:r>
      <w:r>
        <w:rPr>
          <w:i w:val="0"/>
          <w:color w:val="auto"/>
          <w:spacing w:val="1"/>
        </w:rPr>
        <w:t>t</w:t>
      </w:r>
      <w:r>
        <w:rPr>
          <w:i w:val="0"/>
          <w:color w:val="auto"/>
        </w:rPr>
        <w:t>e</w:t>
      </w:r>
      <w:r>
        <w:rPr>
          <w:i w:val="0"/>
          <w:color w:val="auto"/>
          <w:spacing w:val="-2"/>
        </w:rPr>
        <w:t>r</w:t>
      </w:r>
      <w:r>
        <w:rPr>
          <w:i w:val="0"/>
          <w:color w:val="auto"/>
        </w:rPr>
        <w:t>ap</w:t>
      </w:r>
      <w:r>
        <w:rPr>
          <w:i w:val="0"/>
          <w:color w:val="auto"/>
          <w:spacing w:val="-2"/>
        </w:rPr>
        <w:t>i</w:t>
      </w:r>
      <w:r>
        <w:rPr>
          <w:i w:val="0"/>
          <w:color w:val="auto"/>
        </w:rPr>
        <w:t xml:space="preserve">e. </w:t>
      </w:r>
      <w:r>
        <w:rPr>
          <w:i w:val="0"/>
          <w:color w:val="auto"/>
          <w:spacing w:val="-1"/>
        </w:rPr>
        <w:t>D</w:t>
      </w:r>
      <w:r>
        <w:rPr>
          <w:i w:val="0"/>
          <w:color w:val="auto"/>
          <w:spacing w:val="1"/>
        </w:rPr>
        <w:t>i</w:t>
      </w:r>
      <w:r>
        <w:rPr>
          <w:i w:val="0"/>
          <w:color w:val="auto"/>
        </w:rPr>
        <w:t>n</w:t>
      </w:r>
      <w:r>
        <w:rPr>
          <w:i w:val="0"/>
          <w:color w:val="auto"/>
          <w:spacing w:val="-3"/>
        </w:rPr>
        <w:t xml:space="preserve"> </w:t>
      </w:r>
      <w:r>
        <w:rPr>
          <w:i w:val="0"/>
          <w:color w:val="auto"/>
        </w:rPr>
        <w:t>cau</w:t>
      </w:r>
      <w:r>
        <w:rPr>
          <w:i w:val="0"/>
          <w:color w:val="auto"/>
          <w:spacing w:val="-3"/>
        </w:rPr>
        <w:t>z</w:t>
      </w:r>
      <w:r>
        <w:rPr>
          <w:i w:val="0"/>
          <w:color w:val="auto"/>
        </w:rPr>
        <w:t>a</w:t>
      </w:r>
      <w:r>
        <w:rPr>
          <w:i w:val="0"/>
          <w:color w:val="auto"/>
          <w:spacing w:val="-2"/>
        </w:rPr>
        <w:t xml:space="preserve"> </w:t>
      </w:r>
      <w:r>
        <w:rPr>
          <w:i w:val="0"/>
          <w:color w:val="auto"/>
          <w:spacing w:val="1"/>
        </w:rPr>
        <w:t>ti</w:t>
      </w:r>
      <w:r>
        <w:rPr>
          <w:i w:val="0"/>
          <w:color w:val="auto"/>
        </w:rPr>
        <w:t>p</w:t>
      </w:r>
      <w:r>
        <w:rPr>
          <w:i w:val="0"/>
          <w:color w:val="auto"/>
          <w:spacing w:val="-3"/>
        </w:rPr>
        <w:t>u</w:t>
      </w:r>
      <w:r>
        <w:rPr>
          <w:i w:val="0"/>
          <w:color w:val="auto"/>
          <w:spacing w:val="1"/>
        </w:rPr>
        <w:t>l</w:t>
      </w:r>
      <w:r>
        <w:rPr>
          <w:i w:val="0"/>
          <w:color w:val="auto"/>
          <w:spacing w:val="-3"/>
        </w:rPr>
        <w:t>u</w:t>
      </w:r>
      <w:r>
        <w:rPr>
          <w:i w:val="0"/>
          <w:color w:val="auto"/>
        </w:rPr>
        <w:t>i</w:t>
      </w:r>
      <w:r>
        <w:rPr>
          <w:i w:val="0"/>
          <w:color w:val="auto"/>
          <w:spacing w:val="1"/>
        </w:rPr>
        <w:t xml:space="preserve"> </w:t>
      </w:r>
      <w:r>
        <w:rPr>
          <w:i w:val="0"/>
          <w:color w:val="auto"/>
        </w:rPr>
        <w:t>de</w:t>
      </w:r>
      <w:r>
        <w:rPr>
          <w:i w:val="0"/>
          <w:color w:val="auto"/>
          <w:spacing w:val="-2"/>
        </w:rPr>
        <w:t xml:space="preserve"> </w:t>
      </w:r>
      <w:r>
        <w:rPr>
          <w:i w:val="0"/>
          <w:color w:val="auto"/>
        </w:rPr>
        <w:t>re</w:t>
      </w:r>
      <w:r>
        <w:rPr>
          <w:i w:val="0"/>
          <w:color w:val="auto"/>
          <w:spacing w:val="-3"/>
        </w:rPr>
        <w:t>a</w:t>
      </w:r>
      <w:r>
        <w:rPr>
          <w:i w:val="0"/>
          <w:color w:val="auto"/>
        </w:rPr>
        <w:t>c</w:t>
      </w:r>
      <w:r>
        <w:rPr>
          <w:i w:val="0"/>
          <w:color w:val="auto"/>
          <w:spacing w:val="-2"/>
        </w:rPr>
        <w:t>ţ</w:t>
      </w:r>
      <w:r>
        <w:rPr>
          <w:i w:val="0"/>
          <w:color w:val="auto"/>
          <w:spacing w:val="1"/>
        </w:rPr>
        <w:t>i</w:t>
      </w:r>
      <w:r>
        <w:rPr>
          <w:i w:val="0"/>
          <w:color w:val="auto"/>
        </w:rPr>
        <w:t>i</w:t>
      </w:r>
      <w:r>
        <w:rPr>
          <w:i w:val="0"/>
          <w:color w:val="auto"/>
          <w:spacing w:val="-2"/>
        </w:rPr>
        <w:t xml:space="preserve"> </w:t>
      </w:r>
      <w:r>
        <w:rPr>
          <w:i w:val="0"/>
          <w:color w:val="auto"/>
        </w:rPr>
        <w:t>ad</w:t>
      </w:r>
      <w:r>
        <w:rPr>
          <w:i w:val="0"/>
          <w:color w:val="auto"/>
          <w:spacing w:val="-3"/>
        </w:rPr>
        <w:t>v</w:t>
      </w:r>
      <w:r>
        <w:rPr>
          <w:i w:val="0"/>
          <w:color w:val="auto"/>
        </w:rPr>
        <w:t>erse</w:t>
      </w:r>
      <w:r>
        <w:rPr>
          <w:i w:val="0"/>
          <w:color w:val="auto"/>
          <w:spacing w:val="-2"/>
        </w:rPr>
        <w:t xml:space="preserve"> </w:t>
      </w:r>
      <w:r>
        <w:rPr>
          <w:i w:val="0"/>
          <w:color w:val="auto"/>
          <w:spacing w:val="1"/>
        </w:rPr>
        <w:t>î</w:t>
      </w:r>
      <w:r>
        <w:rPr>
          <w:i w:val="0"/>
          <w:color w:val="auto"/>
          <w:spacing w:val="-3"/>
        </w:rPr>
        <w:t>n</w:t>
      </w:r>
      <w:r>
        <w:rPr>
          <w:i w:val="0"/>
          <w:color w:val="auto"/>
          <w:spacing w:val="-2"/>
        </w:rPr>
        <w:t>t</w:t>
      </w:r>
      <w:r>
        <w:rPr>
          <w:i w:val="0"/>
          <w:color w:val="auto"/>
        </w:rPr>
        <w:t>â</w:t>
      </w:r>
      <w:r>
        <w:rPr>
          <w:i w:val="0"/>
          <w:color w:val="auto"/>
          <w:spacing w:val="1"/>
        </w:rPr>
        <w:t>l</w:t>
      </w:r>
      <w:r>
        <w:rPr>
          <w:i w:val="0"/>
          <w:color w:val="auto"/>
          <w:spacing w:val="-3"/>
        </w:rPr>
        <w:t>n</w:t>
      </w:r>
      <w:r>
        <w:rPr>
          <w:i w:val="0"/>
          <w:color w:val="auto"/>
          <w:spacing w:val="1"/>
        </w:rPr>
        <w:t>it</w:t>
      </w:r>
      <w:r>
        <w:rPr>
          <w:i w:val="0"/>
          <w:color w:val="auto"/>
        </w:rPr>
        <w:t>e</w:t>
      </w:r>
      <w:r>
        <w:rPr>
          <w:i w:val="0"/>
          <w:color w:val="auto"/>
          <w:spacing w:val="-2"/>
        </w:rPr>
        <w:t xml:space="preserve"> </w:t>
      </w:r>
      <w:r>
        <w:rPr>
          <w:i w:val="0"/>
          <w:color w:val="auto"/>
          <w:spacing w:val="1"/>
        </w:rPr>
        <w:t>î</w:t>
      </w:r>
      <w:r>
        <w:rPr>
          <w:i w:val="0"/>
          <w:color w:val="auto"/>
        </w:rPr>
        <w:t>n</w:t>
      </w:r>
      <w:r>
        <w:rPr>
          <w:i w:val="0"/>
          <w:color w:val="auto"/>
          <w:spacing w:val="-3"/>
        </w:rPr>
        <w:t xml:space="preserve"> </w:t>
      </w:r>
      <w:r>
        <w:rPr>
          <w:i w:val="0"/>
          <w:color w:val="auto"/>
        </w:rPr>
        <w:t>ca</w:t>
      </w:r>
      <w:r>
        <w:rPr>
          <w:i w:val="0"/>
          <w:color w:val="auto"/>
          <w:spacing w:val="-3"/>
        </w:rPr>
        <w:t>z</w:t>
      </w:r>
      <w:r>
        <w:rPr>
          <w:i w:val="0"/>
          <w:color w:val="auto"/>
        </w:rPr>
        <w:t>ul ad</w:t>
      </w:r>
      <w:r>
        <w:rPr>
          <w:i w:val="0"/>
          <w:color w:val="auto"/>
          <w:spacing w:val="-4"/>
        </w:rPr>
        <w:t>m</w:t>
      </w:r>
      <w:r>
        <w:rPr>
          <w:i w:val="0"/>
          <w:color w:val="auto"/>
          <w:spacing w:val="1"/>
        </w:rPr>
        <w:t>i</w:t>
      </w:r>
      <w:r>
        <w:rPr>
          <w:i w:val="0"/>
          <w:color w:val="auto"/>
        </w:rPr>
        <w:t>n</w:t>
      </w:r>
      <w:r>
        <w:rPr>
          <w:i w:val="0"/>
          <w:color w:val="auto"/>
          <w:spacing w:val="1"/>
        </w:rPr>
        <w:t>i</w:t>
      </w:r>
      <w:r>
        <w:rPr>
          <w:i w:val="0"/>
          <w:color w:val="auto"/>
        </w:rPr>
        <w:t>s</w:t>
      </w:r>
      <w:r>
        <w:rPr>
          <w:i w:val="0"/>
          <w:color w:val="auto"/>
          <w:spacing w:val="-2"/>
        </w:rPr>
        <w:t>t</w:t>
      </w:r>
      <w:r>
        <w:rPr>
          <w:i w:val="0"/>
          <w:color w:val="auto"/>
        </w:rPr>
        <w:t>ră</w:t>
      </w:r>
      <w:r>
        <w:rPr>
          <w:i w:val="0"/>
          <w:color w:val="auto"/>
          <w:spacing w:val="-2"/>
        </w:rPr>
        <w:t>ri</w:t>
      </w:r>
      <w:r>
        <w:rPr>
          <w:i w:val="0"/>
          <w:color w:val="auto"/>
        </w:rPr>
        <w:t>i</w:t>
      </w:r>
      <w:r>
        <w:rPr>
          <w:i w:val="0"/>
          <w:color w:val="auto"/>
          <w:spacing w:val="1"/>
        </w:rPr>
        <w:t xml:space="preserve"> t</w:t>
      </w:r>
      <w:r>
        <w:rPr>
          <w:i w:val="0"/>
          <w:color w:val="auto"/>
          <w:spacing w:val="-3"/>
        </w:rPr>
        <w:t>e</w:t>
      </w:r>
      <w:r>
        <w:rPr>
          <w:i w:val="0"/>
          <w:color w:val="auto"/>
        </w:rPr>
        <w:t>ra</w:t>
      </w:r>
      <w:r>
        <w:rPr>
          <w:i w:val="0"/>
          <w:color w:val="auto"/>
          <w:spacing w:val="-3"/>
        </w:rPr>
        <w:t>p</w:t>
      </w:r>
      <w:r>
        <w:rPr>
          <w:i w:val="0"/>
          <w:color w:val="auto"/>
          <w:spacing w:val="1"/>
        </w:rPr>
        <w:t>i</w:t>
      </w:r>
      <w:r>
        <w:rPr>
          <w:i w:val="0"/>
          <w:color w:val="auto"/>
          <w:spacing w:val="-3"/>
        </w:rPr>
        <w:t>e</w:t>
      </w:r>
      <w:r>
        <w:rPr>
          <w:i w:val="0"/>
          <w:color w:val="auto"/>
        </w:rPr>
        <w:t>i</w:t>
      </w:r>
      <w:r>
        <w:rPr>
          <w:i w:val="0"/>
          <w:color w:val="auto"/>
          <w:spacing w:val="1"/>
        </w:rPr>
        <w:t xml:space="preserve"> </w:t>
      </w:r>
      <w:r>
        <w:rPr>
          <w:i w:val="0"/>
          <w:color w:val="auto"/>
          <w:spacing w:val="-2"/>
        </w:rPr>
        <w:t>s</w:t>
      </w:r>
      <w:r>
        <w:rPr>
          <w:i w:val="0"/>
          <w:color w:val="auto"/>
          <w:spacing w:val="1"/>
        </w:rPr>
        <w:t>i</w:t>
      </w:r>
      <w:r>
        <w:rPr>
          <w:i w:val="0"/>
          <w:color w:val="auto"/>
          <w:spacing w:val="-4"/>
        </w:rPr>
        <w:t>m</w:t>
      </w:r>
      <w:r>
        <w:rPr>
          <w:i w:val="0"/>
          <w:color w:val="auto"/>
        </w:rPr>
        <w:t>u</w:t>
      </w:r>
      <w:r>
        <w:rPr>
          <w:i w:val="0"/>
          <w:color w:val="auto"/>
          <w:spacing w:val="1"/>
        </w:rPr>
        <w:t>l</w:t>
      </w:r>
      <w:r>
        <w:rPr>
          <w:i w:val="0"/>
          <w:color w:val="auto"/>
          <w:spacing w:val="-2"/>
        </w:rPr>
        <w:t>t</w:t>
      </w:r>
      <w:r>
        <w:rPr>
          <w:i w:val="0"/>
          <w:color w:val="auto"/>
        </w:rPr>
        <w:t>ane de</w:t>
      </w:r>
      <w:r>
        <w:rPr>
          <w:i w:val="0"/>
          <w:color w:val="auto"/>
          <w:spacing w:val="-2"/>
        </w:rPr>
        <w:t xml:space="preserve"> </w:t>
      </w:r>
      <w:r>
        <w:rPr>
          <w:i w:val="0"/>
          <w:color w:val="auto"/>
        </w:rPr>
        <w:t>e</w:t>
      </w:r>
      <w:r>
        <w:rPr>
          <w:i w:val="0"/>
          <w:color w:val="auto"/>
          <w:spacing w:val="-2"/>
        </w:rPr>
        <w:t>t</w:t>
      </w:r>
      <w:r>
        <w:rPr>
          <w:i w:val="0"/>
          <w:color w:val="auto"/>
        </w:rPr>
        <w:t>an</w:t>
      </w:r>
      <w:r>
        <w:rPr>
          <w:i w:val="0"/>
          <w:color w:val="auto"/>
          <w:spacing w:val="-3"/>
        </w:rPr>
        <w:t>e</w:t>
      </w:r>
      <w:r>
        <w:rPr>
          <w:i w:val="0"/>
          <w:color w:val="auto"/>
        </w:rPr>
        <w:t>rce</w:t>
      </w:r>
      <w:r>
        <w:rPr>
          <w:i w:val="0"/>
          <w:color w:val="auto"/>
          <w:spacing w:val="-3"/>
        </w:rPr>
        <w:t>p</w:t>
      </w:r>
      <w:r>
        <w:rPr>
          <w:i w:val="0"/>
          <w:color w:val="auto"/>
        </w:rPr>
        <w:t>t</w:t>
      </w:r>
      <w:r>
        <w:rPr>
          <w:i w:val="0"/>
          <w:color w:val="auto"/>
          <w:spacing w:val="1"/>
        </w:rPr>
        <w:t xml:space="preserve"> </w:t>
      </w:r>
      <w:r>
        <w:rPr>
          <w:i w:val="0"/>
          <w:color w:val="auto"/>
          <w:spacing w:val="-2"/>
        </w:rPr>
        <w:t>ş</w:t>
      </w:r>
      <w:r>
        <w:rPr>
          <w:i w:val="0"/>
          <w:color w:val="auto"/>
        </w:rPr>
        <w:t>i</w:t>
      </w:r>
      <w:r>
        <w:rPr>
          <w:i w:val="0"/>
          <w:color w:val="auto"/>
          <w:spacing w:val="1"/>
        </w:rPr>
        <w:t xml:space="preserve"> </w:t>
      </w:r>
      <w:r>
        <w:rPr>
          <w:i w:val="0"/>
          <w:color w:val="auto"/>
        </w:rPr>
        <w:t>a</w:t>
      </w:r>
      <w:r>
        <w:rPr>
          <w:i w:val="0"/>
          <w:color w:val="auto"/>
          <w:spacing w:val="-3"/>
        </w:rPr>
        <w:t>n</w:t>
      </w:r>
      <w:r>
        <w:rPr>
          <w:i w:val="0"/>
          <w:color w:val="auto"/>
        </w:rPr>
        <w:t>a</w:t>
      </w:r>
      <w:r>
        <w:rPr>
          <w:i w:val="0"/>
          <w:color w:val="auto"/>
          <w:spacing w:val="-3"/>
        </w:rPr>
        <w:t>k</w:t>
      </w:r>
      <w:r>
        <w:rPr>
          <w:i w:val="0"/>
          <w:color w:val="auto"/>
          <w:spacing w:val="1"/>
        </w:rPr>
        <w:t>i</w:t>
      </w:r>
      <w:r>
        <w:rPr>
          <w:i w:val="0"/>
          <w:color w:val="auto"/>
        </w:rPr>
        <w:t>n</w:t>
      </w:r>
      <w:r>
        <w:rPr>
          <w:i w:val="0"/>
          <w:color w:val="auto"/>
          <w:spacing w:val="-2"/>
        </w:rPr>
        <w:t>r</w:t>
      </w:r>
      <w:r>
        <w:rPr>
          <w:i w:val="0"/>
          <w:color w:val="auto"/>
        </w:rPr>
        <w:t xml:space="preserve">a, </w:t>
      </w:r>
      <w:r>
        <w:rPr>
          <w:i w:val="0"/>
          <w:color w:val="auto"/>
          <w:spacing w:val="1"/>
        </w:rPr>
        <w:t>t</w:t>
      </w:r>
      <w:r>
        <w:rPr>
          <w:i w:val="0"/>
          <w:color w:val="auto"/>
        </w:rPr>
        <w:t>o</w:t>
      </w:r>
      <w:r>
        <w:rPr>
          <w:i w:val="0"/>
          <w:color w:val="auto"/>
          <w:spacing w:val="-3"/>
        </w:rPr>
        <w:t>x</w:t>
      </w:r>
      <w:r>
        <w:rPr>
          <w:i w:val="0"/>
          <w:color w:val="auto"/>
          <w:spacing w:val="1"/>
        </w:rPr>
        <w:t>i</w:t>
      </w:r>
      <w:r>
        <w:rPr>
          <w:i w:val="0"/>
          <w:color w:val="auto"/>
          <w:spacing w:val="-3"/>
        </w:rPr>
        <w:t>c</w:t>
      </w:r>
      <w:r>
        <w:rPr>
          <w:i w:val="0"/>
          <w:color w:val="auto"/>
          <w:spacing w:val="1"/>
        </w:rPr>
        <w:t>i</w:t>
      </w:r>
      <w:r>
        <w:rPr>
          <w:i w:val="0"/>
          <w:color w:val="auto"/>
          <w:spacing w:val="-2"/>
        </w:rPr>
        <w:t>t</w:t>
      </w:r>
      <w:r>
        <w:rPr>
          <w:i w:val="0"/>
          <w:color w:val="auto"/>
        </w:rPr>
        <w:t>a</w:t>
      </w:r>
      <w:r>
        <w:rPr>
          <w:i w:val="0"/>
          <w:color w:val="auto"/>
          <w:spacing w:val="1"/>
        </w:rPr>
        <w:t>t</w:t>
      </w:r>
      <w:r>
        <w:rPr>
          <w:i w:val="0"/>
          <w:color w:val="auto"/>
        </w:rPr>
        <w:t>e</w:t>
      </w:r>
      <w:r>
        <w:rPr>
          <w:i w:val="0"/>
          <w:color w:val="auto"/>
          <w:spacing w:val="-2"/>
        </w:rPr>
        <w:t xml:space="preserve"> </w:t>
      </w:r>
      <w:r>
        <w:rPr>
          <w:i w:val="0"/>
          <w:color w:val="auto"/>
        </w:rPr>
        <w:t>s</w:t>
      </w:r>
      <w:r>
        <w:rPr>
          <w:i w:val="0"/>
          <w:color w:val="auto"/>
          <w:spacing w:val="1"/>
        </w:rPr>
        <w:t>i</w:t>
      </w:r>
      <w:r>
        <w:rPr>
          <w:i w:val="0"/>
          <w:color w:val="auto"/>
          <w:spacing w:val="-4"/>
        </w:rPr>
        <w:t>m</w:t>
      </w:r>
      <w:r>
        <w:rPr>
          <w:i w:val="0"/>
          <w:color w:val="auto"/>
          <w:spacing w:val="1"/>
        </w:rPr>
        <w:t>il</w:t>
      </w:r>
      <w:r>
        <w:rPr>
          <w:i w:val="0"/>
          <w:color w:val="auto"/>
          <w:spacing w:val="-3"/>
        </w:rPr>
        <w:t>a</w:t>
      </w:r>
      <w:r>
        <w:rPr>
          <w:i w:val="0"/>
          <w:color w:val="auto"/>
        </w:rPr>
        <w:t xml:space="preserve">ră </w:t>
      </w:r>
      <w:r>
        <w:rPr>
          <w:i w:val="0"/>
          <w:color w:val="auto"/>
          <w:spacing w:val="-3"/>
        </w:rPr>
        <w:t>p</w:t>
      </w:r>
      <w:r>
        <w:rPr>
          <w:i w:val="0"/>
          <w:color w:val="auto"/>
        </w:rPr>
        <w:t>oa</w:t>
      </w:r>
      <w:r>
        <w:rPr>
          <w:i w:val="0"/>
          <w:color w:val="auto"/>
          <w:spacing w:val="-2"/>
        </w:rPr>
        <w:t>t</w:t>
      </w:r>
      <w:r>
        <w:rPr>
          <w:i w:val="0"/>
          <w:color w:val="auto"/>
        </w:rPr>
        <w:t xml:space="preserve">e </w:t>
      </w:r>
      <w:r>
        <w:rPr>
          <w:i w:val="0"/>
          <w:color w:val="auto"/>
          <w:spacing w:val="-2"/>
        </w:rPr>
        <w:t>r</w:t>
      </w:r>
      <w:r>
        <w:rPr>
          <w:i w:val="0"/>
          <w:color w:val="auto"/>
        </w:rPr>
        <w:t>e</w:t>
      </w:r>
      <w:r>
        <w:rPr>
          <w:i w:val="0"/>
          <w:color w:val="auto"/>
          <w:spacing w:val="-3"/>
        </w:rPr>
        <w:t>z</w:t>
      </w:r>
      <w:r>
        <w:rPr>
          <w:i w:val="0"/>
          <w:color w:val="auto"/>
        </w:rPr>
        <w:t>u</w:t>
      </w:r>
      <w:r>
        <w:rPr>
          <w:i w:val="0"/>
          <w:color w:val="auto"/>
          <w:spacing w:val="1"/>
        </w:rPr>
        <w:t>lt</w:t>
      </w:r>
      <w:r>
        <w:rPr>
          <w:i w:val="0"/>
          <w:color w:val="auto"/>
        </w:rPr>
        <w:t xml:space="preserve">a, </w:t>
      </w:r>
      <w:r>
        <w:rPr>
          <w:i w:val="0"/>
          <w:color w:val="auto"/>
          <w:spacing w:val="-3"/>
        </w:rPr>
        <w:t>d</w:t>
      </w:r>
      <w:r>
        <w:rPr>
          <w:i w:val="0"/>
          <w:color w:val="auto"/>
        </w:rPr>
        <w:t>e ase</w:t>
      </w:r>
      <w:r>
        <w:rPr>
          <w:i w:val="0"/>
          <w:color w:val="auto"/>
          <w:spacing w:val="-4"/>
        </w:rPr>
        <w:t>m</w:t>
      </w:r>
      <w:r>
        <w:rPr>
          <w:i w:val="0"/>
          <w:color w:val="auto"/>
        </w:rPr>
        <w:t xml:space="preserve">enea, </w:t>
      </w:r>
      <w:r>
        <w:rPr>
          <w:i w:val="0"/>
          <w:color w:val="auto"/>
          <w:spacing w:val="-2"/>
        </w:rPr>
        <w:t>ş</w:t>
      </w:r>
      <w:r>
        <w:rPr>
          <w:i w:val="0"/>
          <w:color w:val="auto"/>
        </w:rPr>
        <w:t>i</w:t>
      </w:r>
      <w:r>
        <w:rPr>
          <w:i w:val="0"/>
          <w:color w:val="auto"/>
          <w:spacing w:val="1"/>
        </w:rPr>
        <w:t xml:space="preserve"> </w:t>
      </w:r>
      <w:r>
        <w:rPr>
          <w:i w:val="0"/>
          <w:color w:val="auto"/>
          <w:spacing w:val="-2"/>
        </w:rPr>
        <w:t>î</w:t>
      </w:r>
      <w:r>
        <w:rPr>
          <w:i w:val="0"/>
          <w:color w:val="auto"/>
        </w:rPr>
        <w:t>n ca</w:t>
      </w:r>
      <w:r>
        <w:rPr>
          <w:i w:val="0"/>
          <w:color w:val="auto"/>
          <w:spacing w:val="-3"/>
        </w:rPr>
        <w:t>z</w:t>
      </w:r>
      <w:r>
        <w:rPr>
          <w:i w:val="0"/>
          <w:color w:val="auto"/>
        </w:rPr>
        <w:t>ul</w:t>
      </w:r>
      <w:r>
        <w:rPr>
          <w:i w:val="0"/>
          <w:color w:val="auto"/>
          <w:spacing w:val="-2"/>
        </w:rPr>
        <w:t xml:space="preserve"> </w:t>
      </w:r>
      <w:r>
        <w:rPr>
          <w:i w:val="0"/>
          <w:color w:val="auto"/>
        </w:rPr>
        <w:t>ad</w:t>
      </w:r>
      <w:r>
        <w:rPr>
          <w:i w:val="0"/>
          <w:color w:val="auto"/>
          <w:spacing w:val="-4"/>
        </w:rPr>
        <w:t>m</w:t>
      </w:r>
      <w:r>
        <w:rPr>
          <w:i w:val="0"/>
          <w:color w:val="auto"/>
          <w:spacing w:val="1"/>
        </w:rPr>
        <w:t>i</w:t>
      </w:r>
      <w:r>
        <w:rPr>
          <w:i w:val="0"/>
          <w:color w:val="auto"/>
        </w:rPr>
        <w:t>n</w:t>
      </w:r>
      <w:r>
        <w:rPr>
          <w:i w:val="0"/>
          <w:color w:val="auto"/>
          <w:spacing w:val="1"/>
        </w:rPr>
        <w:t>i</w:t>
      </w:r>
      <w:r>
        <w:rPr>
          <w:i w:val="0"/>
          <w:color w:val="auto"/>
          <w:spacing w:val="-2"/>
        </w:rPr>
        <w:t>s</w:t>
      </w:r>
      <w:r>
        <w:rPr>
          <w:i w:val="0"/>
          <w:color w:val="auto"/>
          <w:spacing w:val="1"/>
        </w:rPr>
        <w:t>t</w:t>
      </w:r>
      <w:r>
        <w:rPr>
          <w:i w:val="0"/>
          <w:color w:val="auto"/>
        </w:rPr>
        <w:t>r</w:t>
      </w:r>
      <w:r>
        <w:rPr>
          <w:i w:val="0"/>
          <w:color w:val="auto"/>
          <w:spacing w:val="-3"/>
        </w:rPr>
        <w:t>ă</w:t>
      </w:r>
      <w:r>
        <w:rPr>
          <w:i w:val="0"/>
          <w:color w:val="auto"/>
        </w:rPr>
        <w:t>r</w:t>
      </w:r>
      <w:r>
        <w:rPr>
          <w:i w:val="0"/>
          <w:color w:val="auto"/>
          <w:spacing w:val="-2"/>
        </w:rPr>
        <w:t>i</w:t>
      </w:r>
      <w:r>
        <w:rPr>
          <w:i w:val="0"/>
          <w:color w:val="auto"/>
        </w:rPr>
        <w:t>i</w:t>
      </w:r>
      <w:r>
        <w:rPr>
          <w:i w:val="0"/>
          <w:color w:val="auto"/>
          <w:spacing w:val="1"/>
        </w:rPr>
        <w:t xml:space="preserve"> </w:t>
      </w:r>
      <w:r>
        <w:rPr>
          <w:i w:val="0"/>
          <w:color w:val="auto"/>
        </w:rPr>
        <w:t>c</w:t>
      </w:r>
      <w:r>
        <w:rPr>
          <w:i w:val="0"/>
          <w:color w:val="auto"/>
          <w:spacing w:val="-3"/>
        </w:rPr>
        <w:t>o</w:t>
      </w:r>
      <w:r>
        <w:rPr>
          <w:i w:val="0"/>
          <w:color w:val="auto"/>
        </w:rPr>
        <w:t>nco</w:t>
      </w:r>
      <w:r>
        <w:rPr>
          <w:i w:val="0"/>
          <w:color w:val="auto"/>
          <w:spacing w:val="-4"/>
        </w:rPr>
        <w:t>m</w:t>
      </w:r>
      <w:r>
        <w:rPr>
          <w:i w:val="0"/>
          <w:color w:val="auto"/>
          <w:spacing w:val="1"/>
        </w:rPr>
        <w:t>it</w:t>
      </w:r>
      <w:r>
        <w:rPr>
          <w:i w:val="0"/>
          <w:color w:val="auto"/>
        </w:rPr>
        <w:t>e</w:t>
      </w:r>
      <w:r>
        <w:rPr>
          <w:i w:val="0"/>
          <w:color w:val="auto"/>
          <w:spacing w:val="-3"/>
        </w:rPr>
        <w:t>n</w:t>
      </w:r>
      <w:r>
        <w:rPr>
          <w:i w:val="0"/>
          <w:color w:val="auto"/>
          <w:spacing w:val="1"/>
        </w:rPr>
        <w:t>t</w:t>
      </w:r>
      <w:r>
        <w:rPr>
          <w:i w:val="0"/>
          <w:color w:val="auto"/>
        </w:rPr>
        <w:t xml:space="preserve">e </w:t>
      </w:r>
      <w:r>
        <w:rPr>
          <w:i w:val="0"/>
          <w:color w:val="auto"/>
          <w:spacing w:val="-3"/>
        </w:rPr>
        <w:t>d</w:t>
      </w:r>
      <w:r>
        <w:rPr>
          <w:i w:val="0"/>
          <w:color w:val="auto"/>
        </w:rPr>
        <w:t>e a</w:t>
      </w:r>
      <w:r>
        <w:rPr>
          <w:i w:val="0"/>
          <w:color w:val="auto"/>
          <w:spacing w:val="-3"/>
        </w:rPr>
        <w:t>n</w:t>
      </w:r>
      <w:r>
        <w:rPr>
          <w:i w:val="0"/>
          <w:color w:val="auto"/>
        </w:rPr>
        <w:t>a</w:t>
      </w:r>
      <w:r>
        <w:rPr>
          <w:i w:val="0"/>
          <w:color w:val="auto"/>
          <w:spacing w:val="-3"/>
        </w:rPr>
        <w:t>k</w:t>
      </w:r>
      <w:r>
        <w:rPr>
          <w:i w:val="0"/>
          <w:color w:val="auto"/>
          <w:spacing w:val="1"/>
        </w:rPr>
        <w:t>i</w:t>
      </w:r>
      <w:r>
        <w:rPr>
          <w:i w:val="0"/>
          <w:color w:val="auto"/>
        </w:rPr>
        <w:t xml:space="preserve">nra </w:t>
      </w:r>
      <w:r>
        <w:rPr>
          <w:i w:val="0"/>
          <w:color w:val="auto"/>
          <w:spacing w:val="-2"/>
        </w:rPr>
        <w:t>ş</w:t>
      </w:r>
      <w:r>
        <w:rPr>
          <w:i w:val="0"/>
          <w:color w:val="auto"/>
        </w:rPr>
        <w:t>i</w:t>
      </w:r>
      <w:r>
        <w:rPr>
          <w:i w:val="0"/>
          <w:color w:val="auto"/>
          <w:spacing w:val="1"/>
        </w:rPr>
        <w:t xml:space="preserve"> </w:t>
      </w:r>
      <w:r>
        <w:rPr>
          <w:i w:val="0"/>
          <w:color w:val="auto"/>
        </w:rPr>
        <w:t>un</w:t>
      </w:r>
      <w:r>
        <w:rPr>
          <w:i w:val="0"/>
          <w:color w:val="auto"/>
          <w:spacing w:val="-3"/>
        </w:rPr>
        <w:t xml:space="preserve"> </w:t>
      </w:r>
      <w:r>
        <w:rPr>
          <w:i w:val="0"/>
          <w:color w:val="auto"/>
        </w:rPr>
        <w:t>a</w:t>
      </w:r>
      <w:r>
        <w:rPr>
          <w:i w:val="0"/>
          <w:color w:val="auto"/>
          <w:spacing w:val="-2"/>
        </w:rPr>
        <w:t>l</w:t>
      </w:r>
      <w:r>
        <w:rPr>
          <w:i w:val="0"/>
          <w:color w:val="auto"/>
        </w:rPr>
        <w:t>t</w:t>
      </w:r>
      <w:r>
        <w:rPr>
          <w:i w:val="0"/>
          <w:color w:val="auto"/>
          <w:spacing w:val="1"/>
        </w:rPr>
        <w:t xml:space="preserve"> </w:t>
      </w:r>
      <w:r>
        <w:rPr>
          <w:i w:val="0"/>
          <w:color w:val="auto"/>
        </w:rPr>
        <w:t>a</w:t>
      </w:r>
      <w:r>
        <w:rPr>
          <w:i w:val="0"/>
          <w:color w:val="auto"/>
          <w:spacing w:val="-3"/>
        </w:rPr>
        <w:t>n</w:t>
      </w:r>
      <w:r>
        <w:rPr>
          <w:i w:val="0"/>
          <w:color w:val="auto"/>
          <w:spacing w:val="1"/>
        </w:rPr>
        <w:t>t</w:t>
      </w:r>
      <w:r>
        <w:rPr>
          <w:i w:val="0"/>
          <w:color w:val="auto"/>
        </w:rPr>
        <w:t>a</w:t>
      </w:r>
      <w:r>
        <w:rPr>
          <w:i w:val="0"/>
          <w:color w:val="auto"/>
          <w:spacing w:val="-3"/>
        </w:rPr>
        <w:t>g</w:t>
      </w:r>
      <w:r>
        <w:rPr>
          <w:i w:val="0"/>
          <w:color w:val="auto"/>
        </w:rPr>
        <w:t>on</w:t>
      </w:r>
      <w:r>
        <w:rPr>
          <w:i w:val="0"/>
          <w:color w:val="auto"/>
          <w:spacing w:val="1"/>
        </w:rPr>
        <w:t>i</w:t>
      </w:r>
      <w:r>
        <w:rPr>
          <w:i w:val="0"/>
          <w:color w:val="auto"/>
          <w:spacing w:val="-2"/>
        </w:rPr>
        <w:t>s</w:t>
      </w:r>
      <w:r>
        <w:rPr>
          <w:i w:val="0"/>
          <w:color w:val="auto"/>
        </w:rPr>
        <w:t>t</w:t>
      </w:r>
      <w:r>
        <w:rPr>
          <w:i w:val="0"/>
          <w:color w:val="auto"/>
          <w:spacing w:val="1"/>
        </w:rPr>
        <w:t xml:space="preserve"> </w:t>
      </w:r>
      <w:r>
        <w:rPr>
          <w:i w:val="0"/>
          <w:color w:val="auto"/>
          <w:spacing w:val="-3"/>
        </w:rPr>
        <w:t>d</w:t>
      </w:r>
      <w:r>
        <w:rPr>
          <w:i w:val="0"/>
          <w:color w:val="auto"/>
        </w:rPr>
        <w:t xml:space="preserve">e </w:t>
      </w:r>
      <w:r>
        <w:rPr>
          <w:i w:val="0"/>
          <w:color w:val="auto"/>
          <w:spacing w:val="1"/>
        </w:rPr>
        <w:t>T</w:t>
      </w:r>
      <w:r>
        <w:rPr>
          <w:i w:val="0"/>
          <w:color w:val="auto"/>
          <w:spacing w:val="-1"/>
        </w:rPr>
        <w:t>NF</w:t>
      </w:r>
      <w:r>
        <w:rPr>
          <w:i w:val="0"/>
          <w:color w:val="auto"/>
        </w:rPr>
        <w:t xml:space="preserve">. </w:t>
      </w:r>
      <w:r>
        <w:rPr>
          <w:i w:val="0"/>
          <w:color w:val="auto"/>
          <w:spacing w:val="-1"/>
        </w:rPr>
        <w:t>D</w:t>
      </w:r>
      <w:r>
        <w:rPr>
          <w:i w:val="0"/>
          <w:color w:val="auto"/>
        </w:rPr>
        <w:t>e</w:t>
      </w:r>
      <w:r>
        <w:rPr>
          <w:i w:val="0"/>
          <w:color w:val="auto"/>
          <w:spacing w:val="-2"/>
        </w:rPr>
        <w:t xml:space="preserve"> </w:t>
      </w:r>
      <w:r>
        <w:rPr>
          <w:i w:val="0"/>
          <w:color w:val="auto"/>
        </w:rPr>
        <w:t>ac</w:t>
      </w:r>
      <w:r>
        <w:rPr>
          <w:i w:val="0"/>
          <w:color w:val="auto"/>
          <w:spacing w:val="-3"/>
        </w:rPr>
        <w:t>e</w:t>
      </w:r>
      <w:r>
        <w:rPr>
          <w:i w:val="0"/>
          <w:color w:val="auto"/>
        </w:rPr>
        <w:t xml:space="preserve">ea, </w:t>
      </w:r>
      <w:r>
        <w:rPr>
          <w:i w:val="0"/>
          <w:color w:val="auto"/>
          <w:spacing w:val="-3"/>
        </w:rPr>
        <w:t>n</w:t>
      </w:r>
      <w:r>
        <w:rPr>
          <w:i w:val="0"/>
          <w:color w:val="auto"/>
        </w:rPr>
        <w:t>u es</w:t>
      </w:r>
      <w:r>
        <w:rPr>
          <w:i w:val="0"/>
          <w:color w:val="auto"/>
          <w:spacing w:val="1"/>
        </w:rPr>
        <w:t>t</w:t>
      </w:r>
      <w:r>
        <w:rPr>
          <w:i w:val="0"/>
          <w:color w:val="auto"/>
        </w:rPr>
        <w:t>e</w:t>
      </w:r>
      <w:r>
        <w:rPr>
          <w:i w:val="0"/>
          <w:color w:val="auto"/>
          <w:spacing w:val="-2"/>
        </w:rPr>
        <w:t xml:space="preserve"> </w:t>
      </w:r>
      <w:r>
        <w:rPr>
          <w:i w:val="0"/>
          <w:color w:val="auto"/>
        </w:rPr>
        <w:t>r</w:t>
      </w:r>
      <w:r>
        <w:rPr>
          <w:i w:val="0"/>
          <w:color w:val="auto"/>
          <w:spacing w:val="-3"/>
        </w:rPr>
        <w:t>e</w:t>
      </w:r>
      <w:r>
        <w:rPr>
          <w:i w:val="0"/>
          <w:color w:val="auto"/>
        </w:rPr>
        <w:t>co</w:t>
      </w:r>
      <w:r>
        <w:rPr>
          <w:i w:val="0"/>
          <w:color w:val="auto"/>
          <w:spacing w:val="-4"/>
        </w:rPr>
        <w:t>m</w:t>
      </w:r>
      <w:r>
        <w:rPr>
          <w:i w:val="0"/>
          <w:color w:val="auto"/>
        </w:rPr>
        <w:t>anda</w:t>
      </w:r>
      <w:r>
        <w:rPr>
          <w:i w:val="0"/>
          <w:color w:val="auto"/>
          <w:spacing w:val="1"/>
        </w:rPr>
        <w:t>t</w:t>
      </w:r>
      <w:r>
        <w:rPr>
          <w:i w:val="0"/>
          <w:color w:val="auto"/>
        </w:rPr>
        <w:t>ă</w:t>
      </w:r>
      <w:r>
        <w:rPr>
          <w:i w:val="0"/>
          <w:color w:val="auto"/>
          <w:spacing w:val="-2"/>
        </w:rPr>
        <w:t xml:space="preserve"> </w:t>
      </w:r>
      <w:r>
        <w:rPr>
          <w:i w:val="0"/>
          <w:color w:val="auto"/>
        </w:rPr>
        <w:t>aso</w:t>
      </w:r>
      <w:r>
        <w:rPr>
          <w:i w:val="0"/>
          <w:color w:val="auto"/>
          <w:spacing w:val="-3"/>
        </w:rPr>
        <w:t>c</w:t>
      </w:r>
      <w:r>
        <w:rPr>
          <w:i w:val="0"/>
          <w:color w:val="auto"/>
          <w:spacing w:val="1"/>
        </w:rPr>
        <w:t>i</w:t>
      </w:r>
      <w:r>
        <w:rPr>
          <w:i w:val="0"/>
          <w:color w:val="auto"/>
          <w:spacing w:val="-3"/>
        </w:rPr>
        <w:t>e</w:t>
      </w:r>
      <w:r>
        <w:rPr>
          <w:i w:val="0"/>
          <w:color w:val="auto"/>
        </w:rPr>
        <w:t>rea</w:t>
      </w:r>
      <w:r>
        <w:rPr>
          <w:i w:val="0"/>
          <w:color w:val="auto"/>
          <w:spacing w:val="-5"/>
        </w:rPr>
        <w:t xml:space="preserve"> </w:t>
      </w:r>
      <w:r>
        <w:rPr>
          <w:i w:val="0"/>
          <w:color w:val="auto"/>
        </w:rPr>
        <w:t>de AMGEVITA şi</w:t>
      </w:r>
      <w:r>
        <w:rPr>
          <w:i w:val="0"/>
          <w:color w:val="auto"/>
          <w:spacing w:val="1"/>
        </w:rPr>
        <w:t xml:space="preserve"> </w:t>
      </w:r>
      <w:r>
        <w:rPr>
          <w:i w:val="0"/>
          <w:color w:val="auto"/>
        </w:rPr>
        <w:t>ana</w:t>
      </w:r>
      <w:r>
        <w:rPr>
          <w:i w:val="0"/>
          <w:color w:val="auto"/>
          <w:spacing w:val="-3"/>
        </w:rPr>
        <w:t>k</w:t>
      </w:r>
      <w:r>
        <w:rPr>
          <w:i w:val="0"/>
          <w:color w:val="auto"/>
          <w:spacing w:val="1"/>
        </w:rPr>
        <w:t>i</w:t>
      </w:r>
      <w:r>
        <w:rPr>
          <w:i w:val="0"/>
          <w:color w:val="auto"/>
          <w:spacing w:val="-3"/>
        </w:rPr>
        <w:t>n</w:t>
      </w:r>
      <w:r>
        <w:rPr>
          <w:i w:val="0"/>
          <w:color w:val="auto"/>
        </w:rPr>
        <w:t>ra</w:t>
      </w:r>
      <w:r>
        <w:rPr>
          <w:i w:val="0"/>
          <w:color w:val="auto"/>
          <w:spacing w:val="-2"/>
        </w:rPr>
        <w:t xml:space="preserve"> </w:t>
      </w:r>
      <w:r>
        <w:rPr>
          <w:i w:val="0"/>
          <w:color w:val="auto"/>
        </w:rPr>
        <w:t>(</w:t>
      </w:r>
      <w:r>
        <w:rPr>
          <w:i w:val="0"/>
          <w:color w:val="auto"/>
          <w:spacing w:val="-3"/>
        </w:rPr>
        <w:t>v</w:t>
      </w:r>
      <w:r>
        <w:rPr>
          <w:i w:val="0"/>
          <w:color w:val="auto"/>
        </w:rPr>
        <w:t>e</w:t>
      </w:r>
      <w:r>
        <w:rPr>
          <w:i w:val="0"/>
          <w:color w:val="auto"/>
          <w:spacing w:val="-3"/>
        </w:rPr>
        <w:t>z</w:t>
      </w:r>
      <w:r>
        <w:rPr>
          <w:i w:val="0"/>
          <w:color w:val="auto"/>
        </w:rPr>
        <w:t>i</w:t>
      </w:r>
      <w:r>
        <w:rPr>
          <w:i w:val="0"/>
          <w:color w:val="auto"/>
          <w:spacing w:val="1"/>
        </w:rPr>
        <w:t xml:space="preserve"> </w:t>
      </w:r>
      <w:r>
        <w:rPr>
          <w:i w:val="0"/>
          <w:color w:val="auto"/>
        </w:rPr>
        <w:t>pc</w:t>
      </w:r>
      <w:r>
        <w:rPr>
          <w:i w:val="0"/>
          <w:color w:val="auto"/>
          <w:spacing w:val="1"/>
        </w:rPr>
        <w:t>t</w:t>
      </w:r>
      <w:r>
        <w:rPr>
          <w:i w:val="0"/>
          <w:color w:val="auto"/>
        </w:rPr>
        <w:t>. 4.</w:t>
      </w:r>
      <w:r>
        <w:rPr>
          <w:i w:val="0"/>
          <w:color w:val="auto"/>
          <w:spacing w:val="-3"/>
        </w:rPr>
        <w:t>5</w:t>
      </w:r>
      <w:r>
        <w:rPr>
          <w:i w:val="0"/>
          <w:color w:val="auto"/>
        </w:rPr>
        <w:t>).</w:t>
      </w:r>
    </w:p>
    <w:p w14:paraId="5E0A110A" w14:textId="77777777" w:rsidR="00C04CAD" w:rsidRDefault="00C04CAD">
      <w:pPr>
        <w:kinsoku w:val="0"/>
        <w:overflowPunct w:val="0"/>
        <w:spacing w:line="240" w:lineRule="auto"/>
      </w:pPr>
    </w:p>
    <w:p w14:paraId="433CA724" w14:textId="77777777" w:rsidR="00C04CAD" w:rsidRDefault="00060E34">
      <w:pPr>
        <w:pStyle w:val="BodyText"/>
        <w:kinsoku w:val="0"/>
        <w:overflowPunct w:val="0"/>
        <w:rPr>
          <w:i w:val="0"/>
          <w:color w:val="auto"/>
        </w:rPr>
      </w:pPr>
      <w:r>
        <w:rPr>
          <w:i w:val="0"/>
          <w:color w:val="auto"/>
          <w:spacing w:val="-1"/>
        </w:rPr>
        <w:t>N</w:t>
      </w:r>
      <w:r>
        <w:rPr>
          <w:i w:val="0"/>
          <w:color w:val="auto"/>
        </w:rPr>
        <w:t>u es</w:t>
      </w:r>
      <w:r>
        <w:rPr>
          <w:i w:val="0"/>
          <w:color w:val="auto"/>
          <w:spacing w:val="-2"/>
        </w:rPr>
        <w:t>t</w:t>
      </w:r>
      <w:r>
        <w:rPr>
          <w:i w:val="0"/>
          <w:color w:val="auto"/>
        </w:rPr>
        <w:t>e r</w:t>
      </w:r>
      <w:r>
        <w:rPr>
          <w:i w:val="0"/>
          <w:color w:val="auto"/>
          <w:spacing w:val="-3"/>
        </w:rPr>
        <w:t>e</w:t>
      </w:r>
      <w:r>
        <w:rPr>
          <w:i w:val="0"/>
          <w:color w:val="auto"/>
        </w:rPr>
        <w:t>co</w:t>
      </w:r>
      <w:r>
        <w:rPr>
          <w:i w:val="0"/>
          <w:color w:val="auto"/>
          <w:spacing w:val="-4"/>
        </w:rPr>
        <w:t>m</w:t>
      </w:r>
      <w:r>
        <w:rPr>
          <w:i w:val="0"/>
          <w:color w:val="auto"/>
        </w:rPr>
        <w:t>anda</w:t>
      </w:r>
      <w:r>
        <w:rPr>
          <w:i w:val="0"/>
          <w:color w:val="auto"/>
          <w:spacing w:val="1"/>
        </w:rPr>
        <w:t>t</w:t>
      </w:r>
      <w:r>
        <w:rPr>
          <w:i w:val="0"/>
          <w:color w:val="auto"/>
        </w:rPr>
        <w:t>ă</w:t>
      </w:r>
      <w:r>
        <w:rPr>
          <w:i w:val="0"/>
          <w:color w:val="auto"/>
          <w:spacing w:val="-2"/>
        </w:rPr>
        <w:t xml:space="preserve"> </w:t>
      </w:r>
      <w:r>
        <w:rPr>
          <w:i w:val="0"/>
          <w:color w:val="auto"/>
        </w:rPr>
        <w:t>ad</w:t>
      </w:r>
      <w:r>
        <w:rPr>
          <w:i w:val="0"/>
          <w:color w:val="auto"/>
          <w:spacing w:val="-4"/>
        </w:rPr>
        <w:t>m</w:t>
      </w:r>
      <w:r>
        <w:rPr>
          <w:i w:val="0"/>
          <w:color w:val="auto"/>
          <w:spacing w:val="1"/>
        </w:rPr>
        <w:t>i</w:t>
      </w:r>
      <w:r>
        <w:rPr>
          <w:i w:val="0"/>
          <w:color w:val="auto"/>
        </w:rPr>
        <w:t>n</w:t>
      </w:r>
      <w:r>
        <w:rPr>
          <w:i w:val="0"/>
          <w:color w:val="auto"/>
          <w:spacing w:val="1"/>
        </w:rPr>
        <w:t>i</w:t>
      </w:r>
      <w:r>
        <w:rPr>
          <w:i w:val="0"/>
          <w:color w:val="auto"/>
        </w:rPr>
        <w:t>s</w:t>
      </w:r>
      <w:r>
        <w:rPr>
          <w:i w:val="0"/>
          <w:color w:val="auto"/>
          <w:spacing w:val="-2"/>
        </w:rPr>
        <w:t>t</w:t>
      </w:r>
      <w:r>
        <w:rPr>
          <w:i w:val="0"/>
          <w:color w:val="auto"/>
        </w:rPr>
        <w:t>r</w:t>
      </w:r>
      <w:r>
        <w:rPr>
          <w:i w:val="0"/>
          <w:color w:val="auto"/>
          <w:spacing w:val="-3"/>
        </w:rPr>
        <w:t>a</w:t>
      </w:r>
      <w:r>
        <w:rPr>
          <w:i w:val="0"/>
          <w:color w:val="auto"/>
        </w:rPr>
        <w:t>rea</w:t>
      </w:r>
      <w:r>
        <w:rPr>
          <w:i w:val="0"/>
          <w:color w:val="auto"/>
          <w:spacing w:val="-2"/>
        </w:rPr>
        <w:t xml:space="preserve"> </w:t>
      </w:r>
      <w:r>
        <w:rPr>
          <w:i w:val="0"/>
          <w:color w:val="auto"/>
        </w:rPr>
        <w:t>s</w:t>
      </w:r>
      <w:r>
        <w:rPr>
          <w:i w:val="0"/>
          <w:color w:val="auto"/>
          <w:spacing w:val="1"/>
        </w:rPr>
        <w:t>i</w:t>
      </w:r>
      <w:r>
        <w:rPr>
          <w:i w:val="0"/>
          <w:color w:val="auto"/>
          <w:spacing w:val="-4"/>
        </w:rPr>
        <w:t>m</w:t>
      </w:r>
      <w:r>
        <w:rPr>
          <w:i w:val="0"/>
          <w:color w:val="auto"/>
        </w:rPr>
        <w:t>u</w:t>
      </w:r>
      <w:r>
        <w:rPr>
          <w:i w:val="0"/>
          <w:color w:val="auto"/>
          <w:spacing w:val="1"/>
        </w:rPr>
        <w:t>lt</w:t>
      </w:r>
      <w:r>
        <w:rPr>
          <w:i w:val="0"/>
          <w:color w:val="auto"/>
          <w:spacing w:val="-3"/>
        </w:rPr>
        <w:t>a</w:t>
      </w:r>
      <w:r>
        <w:rPr>
          <w:i w:val="0"/>
          <w:color w:val="auto"/>
        </w:rPr>
        <w:t>nă</w:t>
      </w:r>
      <w:r>
        <w:rPr>
          <w:i w:val="0"/>
          <w:color w:val="auto"/>
          <w:spacing w:val="55"/>
        </w:rPr>
        <w:t xml:space="preserve"> </w:t>
      </w:r>
      <w:r>
        <w:rPr>
          <w:i w:val="0"/>
          <w:color w:val="auto"/>
        </w:rPr>
        <w:t>a</w:t>
      </w:r>
      <w:r>
        <w:rPr>
          <w:i w:val="0"/>
          <w:color w:val="auto"/>
          <w:spacing w:val="-2"/>
        </w:rPr>
        <w:t xml:space="preserve"> </w:t>
      </w:r>
      <w:r>
        <w:rPr>
          <w:i w:val="0"/>
          <w:color w:val="auto"/>
        </w:rPr>
        <w:t>AMGEVITA</w:t>
      </w:r>
      <w:r>
        <w:rPr>
          <w:i w:val="0"/>
          <w:color w:val="auto"/>
          <w:spacing w:val="1"/>
        </w:rPr>
        <w:t xml:space="preserve"> </w:t>
      </w:r>
      <w:r>
        <w:rPr>
          <w:i w:val="0"/>
          <w:color w:val="auto"/>
        </w:rPr>
        <w:t>cu</w:t>
      </w:r>
      <w:r>
        <w:rPr>
          <w:i w:val="0"/>
          <w:color w:val="auto"/>
          <w:spacing w:val="-3"/>
        </w:rPr>
        <w:t xml:space="preserve"> </w:t>
      </w:r>
      <w:r>
        <w:rPr>
          <w:i w:val="0"/>
          <w:color w:val="auto"/>
        </w:rPr>
        <w:t>a</w:t>
      </w:r>
      <w:r>
        <w:rPr>
          <w:i w:val="0"/>
          <w:color w:val="auto"/>
          <w:spacing w:val="-2"/>
        </w:rPr>
        <w:t>l</w:t>
      </w:r>
      <w:r>
        <w:rPr>
          <w:i w:val="0"/>
          <w:color w:val="auto"/>
          <w:spacing w:val="1"/>
        </w:rPr>
        <w:t>t</w:t>
      </w:r>
      <w:r>
        <w:rPr>
          <w:i w:val="0"/>
          <w:color w:val="auto"/>
        </w:rPr>
        <w:t>e</w:t>
      </w:r>
      <w:r>
        <w:rPr>
          <w:i w:val="0"/>
          <w:color w:val="auto"/>
          <w:spacing w:val="-2"/>
        </w:rPr>
        <w:t xml:space="preserve"> </w:t>
      </w:r>
      <w:r>
        <w:rPr>
          <w:i w:val="0"/>
          <w:color w:val="auto"/>
        </w:rPr>
        <w:t>M</w:t>
      </w:r>
      <w:r>
        <w:rPr>
          <w:i w:val="0"/>
          <w:color w:val="auto"/>
          <w:spacing w:val="-1"/>
        </w:rPr>
        <w:t>AR</w:t>
      </w:r>
      <w:r>
        <w:rPr>
          <w:i w:val="0"/>
          <w:color w:val="auto"/>
        </w:rPr>
        <w:t>M</w:t>
      </w:r>
      <w:r>
        <w:rPr>
          <w:i w:val="0"/>
          <w:color w:val="auto"/>
          <w:spacing w:val="-2"/>
        </w:rPr>
        <w:t xml:space="preserve">B </w:t>
      </w:r>
      <w:r>
        <w:rPr>
          <w:i w:val="0"/>
          <w:color w:val="auto"/>
        </w:rPr>
        <w:t>(de</w:t>
      </w:r>
      <w:r>
        <w:rPr>
          <w:i w:val="0"/>
          <w:color w:val="auto"/>
          <w:spacing w:val="-2"/>
        </w:rPr>
        <w:t xml:space="preserve"> </w:t>
      </w:r>
      <w:r>
        <w:rPr>
          <w:i w:val="0"/>
          <w:color w:val="auto"/>
        </w:rPr>
        <w:t>exe</w:t>
      </w:r>
      <w:r>
        <w:rPr>
          <w:i w:val="0"/>
          <w:color w:val="auto"/>
          <w:spacing w:val="-4"/>
        </w:rPr>
        <w:t>m</w:t>
      </w:r>
      <w:r>
        <w:rPr>
          <w:i w:val="0"/>
          <w:color w:val="auto"/>
        </w:rPr>
        <w:t>p</w:t>
      </w:r>
      <w:r>
        <w:rPr>
          <w:i w:val="0"/>
          <w:color w:val="auto"/>
          <w:spacing w:val="1"/>
        </w:rPr>
        <w:t>l</w:t>
      </w:r>
      <w:r>
        <w:rPr>
          <w:i w:val="0"/>
          <w:color w:val="auto"/>
        </w:rPr>
        <w:t>u ana</w:t>
      </w:r>
      <w:r>
        <w:rPr>
          <w:i w:val="0"/>
          <w:color w:val="auto"/>
          <w:spacing w:val="-3"/>
        </w:rPr>
        <w:t>k</w:t>
      </w:r>
      <w:r>
        <w:rPr>
          <w:i w:val="0"/>
          <w:color w:val="auto"/>
          <w:spacing w:val="1"/>
        </w:rPr>
        <w:t>i</w:t>
      </w:r>
      <w:r>
        <w:rPr>
          <w:i w:val="0"/>
          <w:color w:val="auto"/>
        </w:rPr>
        <w:t>nra</w:t>
      </w:r>
      <w:r>
        <w:rPr>
          <w:i w:val="0"/>
          <w:color w:val="auto"/>
          <w:spacing w:val="-2"/>
        </w:rPr>
        <w:t xml:space="preserve"> </w:t>
      </w:r>
      <w:r>
        <w:rPr>
          <w:i w:val="0"/>
          <w:color w:val="auto"/>
        </w:rPr>
        <w:t>şi</w:t>
      </w:r>
      <w:r>
        <w:rPr>
          <w:i w:val="0"/>
          <w:color w:val="auto"/>
          <w:spacing w:val="-2"/>
        </w:rPr>
        <w:t xml:space="preserve"> </w:t>
      </w:r>
      <w:r>
        <w:rPr>
          <w:i w:val="0"/>
          <w:color w:val="auto"/>
        </w:rPr>
        <w:t>ab</w:t>
      </w:r>
      <w:r>
        <w:rPr>
          <w:i w:val="0"/>
          <w:color w:val="auto"/>
          <w:spacing w:val="-3"/>
        </w:rPr>
        <w:t>a</w:t>
      </w:r>
      <w:r>
        <w:rPr>
          <w:i w:val="0"/>
          <w:color w:val="auto"/>
          <w:spacing w:val="1"/>
        </w:rPr>
        <w:t>t</w:t>
      </w:r>
      <w:r>
        <w:rPr>
          <w:i w:val="0"/>
          <w:color w:val="auto"/>
        </w:rPr>
        <w:t>a</w:t>
      </w:r>
      <w:r>
        <w:rPr>
          <w:i w:val="0"/>
          <w:color w:val="auto"/>
          <w:spacing w:val="-3"/>
        </w:rPr>
        <w:t>c</w:t>
      </w:r>
      <w:r>
        <w:rPr>
          <w:i w:val="0"/>
          <w:color w:val="auto"/>
        </w:rPr>
        <w:t>ep</w:t>
      </w:r>
      <w:r>
        <w:rPr>
          <w:i w:val="0"/>
          <w:color w:val="auto"/>
          <w:spacing w:val="-2"/>
        </w:rPr>
        <w:t>t</w:t>
      </w:r>
      <w:r>
        <w:rPr>
          <w:i w:val="0"/>
          <w:color w:val="auto"/>
        </w:rPr>
        <w:t>)</w:t>
      </w:r>
      <w:r>
        <w:rPr>
          <w:i w:val="0"/>
          <w:color w:val="auto"/>
          <w:spacing w:val="1"/>
        </w:rPr>
        <w:t xml:space="preserve"> </w:t>
      </w:r>
      <w:r>
        <w:rPr>
          <w:i w:val="0"/>
          <w:color w:val="auto"/>
          <w:spacing w:val="-2"/>
        </w:rPr>
        <w:t>s</w:t>
      </w:r>
      <w:r>
        <w:rPr>
          <w:i w:val="0"/>
          <w:color w:val="auto"/>
        </w:rPr>
        <w:t xml:space="preserve">au </w:t>
      </w:r>
      <w:r>
        <w:rPr>
          <w:i w:val="0"/>
          <w:color w:val="auto"/>
          <w:spacing w:val="-3"/>
        </w:rPr>
        <w:t>a</w:t>
      </w:r>
      <w:r>
        <w:rPr>
          <w:i w:val="0"/>
          <w:color w:val="auto"/>
          <w:spacing w:val="1"/>
        </w:rPr>
        <w:t>l</w:t>
      </w:r>
      <w:r>
        <w:rPr>
          <w:i w:val="0"/>
          <w:color w:val="auto"/>
          <w:spacing w:val="-2"/>
        </w:rPr>
        <w:t>ţ</w:t>
      </w:r>
      <w:r>
        <w:rPr>
          <w:i w:val="0"/>
          <w:color w:val="auto"/>
        </w:rPr>
        <w:t>i</w:t>
      </w:r>
      <w:r>
        <w:rPr>
          <w:i w:val="0"/>
          <w:color w:val="auto"/>
          <w:spacing w:val="1"/>
        </w:rPr>
        <w:t xml:space="preserve"> </w:t>
      </w:r>
      <w:r>
        <w:rPr>
          <w:i w:val="0"/>
          <w:color w:val="auto"/>
        </w:rPr>
        <w:t>a</w:t>
      </w:r>
      <w:r>
        <w:rPr>
          <w:i w:val="0"/>
          <w:color w:val="auto"/>
          <w:spacing w:val="-3"/>
        </w:rPr>
        <w:t>n</w:t>
      </w:r>
      <w:r>
        <w:rPr>
          <w:i w:val="0"/>
          <w:color w:val="auto"/>
          <w:spacing w:val="1"/>
        </w:rPr>
        <w:t>t</w:t>
      </w:r>
      <w:r>
        <w:rPr>
          <w:i w:val="0"/>
          <w:color w:val="auto"/>
        </w:rPr>
        <w:t>a</w:t>
      </w:r>
      <w:r>
        <w:rPr>
          <w:i w:val="0"/>
          <w:color w:val="auto"/>
          <w:spacing w:val="-3"/>
        </w:rPr>
        <w:t>g</w:t>
      </w:r>
      <w:r>
        <w:rPr>
          <w:i w:val="0"/>
          <w:color w:val="auto"/>
        </w:rPr>
        <w:t>on</w:t>
      </w:r>
      <w:r>
        <w:rPr>
          <w:i w:val="0"/>
          <w:color w:val="auto"/>
          <w:spacing w:val="1"/>
        </w:rPr>
        <w:t>i</w:t>
      </w:r>
      <w:r>
        <w:rPr>
          <w:i w:val="0"/>
          <w:color w:val="auto"/>
          <w:spacing w:val="-2"/>
        </w:rPr>
        <w:t>ş</w:t>
      </w:r>
      <w:r>
        <w:rPr>
          <w:i w:val="0"/>
          <w:color w:val="auto"/>
          <w:spacing w:val="1"/>
        </w:rPr>
        <w:t>t</w:t>
      </w:r>
      <w:r>
        <w:rPr>
          <w:i w:val="0"/>
          <w:color w:val="auto"/>
        </w:rPr>
        <w:t>i</w:t>
      </w:r>
      <w:r>
        <w:rPr>
          <w:i w:val="0"/>
          <w:color w:val="auto"/>
          <w:spacing w:val="-2"/>
        </w:rPr>
        <w:t xml:space="preserve"> </w:t>
      </w:r>
      <w:r>
        <w:rPr>
          <w:i w:val="0"/>
          <w:color w:val="auto"/>
          <w:spacing w:val="1"/>
        </w:rPr>
        <w:t>T</w:t>
      </w:r>
      <w:r>
        <w:rPr>
          <w:i w:val="0"/>
          <w:color w:val="auto"/>
          <w:spacing w:val="-2"/>
        </w:rPr>
        <w:t>N</w:t>
      </w:r>
      <w:r>
        <w:rPr>
          <w:i w:val="0"/>
          <w:color w:val="auto"/>
          <w:spacing w:val="-1"/>
        </w:rPr>
        <w:t>F</w:t>
      </w:r>
      <w:r>
        <w:rPr>
          <w:i w:val="0"/>
          <w:color w:val="auto"/>
        </w:rPr>
        <w:t>,</w:t>
      </w:r>
      <w:r>
        <w:rPr>
          <w:i w:val="0"/>
          <w:color w:val="auto"/>
          <w:spacing w:val="-3"/>
        </w:rPr>
        <w:t xml:space="preserve"> </w:t>
      </w:r>
      <w:r>
        <w:rPr>
          <w:i w:val="0"/>
          <w:color w:val="auto"/>
        </w:rPr>
        <w:t>d</w:t>
      </w:r>
      <w:r>
        <w:rPr>
          <w:i w:val="0"/>
          <w:color w:val="auto"/>
          <w:spacing w:val="1"/>
        </w:rPr>
        <w:t>i</w:t>
      </w:r>
      <w:r>
        <w:rPr>
          <w:i w:val="0"/>
          <w:color w:val="auto"/>
        </w:rPr>
        <w:t>n</w:t>
      </w:r>
      <w:r>
        <w:rPr>
          <w:i w:val="0"/>
          <w:color w:val="auto"/>
          <w:spacing w:val="-3"/>
        </w:rPr>
        <w:t xml:space="preserve"> </w:t>
      </w:r>
      <w:r>
        <w:rPr>
          <w:i w:val="0"/>
          <w:color w:val="auto"/>
        </w:rPr>
        <w:t>ca</w:t>
      </w:r>
      <w:r>
        <w:rPr>
          <w:i w:val="0"/>
          <w:color w:val="auto"/>
          <w:spacing w:val="-3"/>
        </w:rPr>
        <w:t>uz</w:t>
      </w:r>
      <w:r>
        <w:rPr>
          <w:i w:val="0"/>
          <w:color w:val="auto"/>
        </w:rPr>
        <w:t>a cre</w:t>
      </w:r>
      <w:r>
        <w:rPr>
          <w:i w:val="0"/>
          <w:color w:val="auto"/>
          <w:spacing w:val="-2"/>
        </w:rPr>
        <w:t>ş</w:t>
      </w:r>
      <w:r>
        <w:rPr>
          <w:i w:val="0"/>
          <w:color w:val="auto"/>
          <w:spacing w:val="1"/>
        </w:rPr>
        <w:t>t</w:t>
      </w:r>
      <w:r>
        <w:rPr>
          <w:i w:val="0"/>
          <w:color w:val="auto"/>
        </w:rPr>
        <w:t>e</w:t>
      </w:r>
      <w:r>
        <w:rPr>
          <w:i w:val="0"/>
          <w:color w:val="auto"/>
          <w:spacing w:val="-2"/>
        </w:rPr>
        <w:t>r</w:t>
      </w:r>
      <w:r>
        <w:rPr>
          <w:i w:val="0"/>
          <w:color w:val="auto"/>
          <w:spacing w:val="1"/>
        </w:rPr>
        <w:t>i</w:t>
      </w:r>
      <w:r>
        <w:rPr>
          <w:i w:val="0"/>
          <w:color w:val="auto"/>
        </w:rPr>
        <w:t>i</w:t>
      </w:r>
      <w:r>
        <w:rPr>
          <w:i w:val="0"/>
          <w:color w:val="auto"/>
          <w:spacing w:val="-2"/>
        </w:rPr>
        <w:t xml:space="preserve"> r</w:t>
      </w:r>
      <w:r>
        <w:rPr>
          <w:i w:val="0"/>
          <w:color w:val="auto"/>
          <w:spacing w:val="1"/>
        </w:rPr>
        <w:t>i</w:t>
      </w:r>
      <w:r>
        <w:rPr>
          <w:i w:val="0"/>
          <w:color w:val="auto"/>
        </w:rPr>
        <w:t>sc</w:t>
      </w:r>
      <w:r>
        <w:rPr>
          <w:i w:val="0"/>
          <w:color w:val="auto"/>
          <w:spacing w:val="-3"/>
        </w:rPr>
        <w:t>u</w:t>
      </w:r>
      <w:r>
        <w:rPr>
          <w:i w:val="0"/>
          <w:color w:val="auto"/>
          <w:spacing w:val="1"/>
        </w:rPr>
        <w:t>l</w:t>
      </w:r>
      <w:r>
        <w:rPr>
          <w:i w:val="0"/>
          <w:color w:val="auto"/>
          <w:spacing w:val="-3"/>
        </w:rPr>
        <w:t>u</w:t>
      </w:r>
      <w:r>
        <w:rPr>
          <w:i w:val="0"/>
          <w:color w:val="auto"/>
        </w:rPr>
        <w:t>i</w:t>
      </w:r>
      <w:r>
        <w:rPr>
          <w:i w:val="0"/>
          <w:color w:val="auto"/>
          <w:spacing w:val="1"/>
        </w:rPr>
        <w:t xml:space="preserve"> </w:t>
      </w:r>
      <w:r>
        <w:rPr>
          <w:i w:val="0"/>
          <w:color w:val="auto"/>
        </w:rPr>
        <w:t>de</w:t>
      </w:r>
      <w:r>
        <w:rPr>
          <w:i w:val="0"/>
          <w:color w:val="auto"/>
          <w:spacing w:val="-2"/>
        </w:rPr>
        <w:t xml:space="preserve"> </w:t>
      </w:r>
      <w:r>
        <w:rPr>
          <w:i w:val="0"/>
          <w:color w:val="auto"/>
        </w:rPr>
        <w:t>apa</w:t>
      </w:r>
      <w:r>
        <w:rPr>
          <w:i w:val="0"/>
          <w:color w:val="auto"/>
          <w:spacing w:val="-2"/>
        </w:rPr>
        <w:t>ri</w:t>
      </w:r>
      <w:r>
        <w:rPr>
          <w:i w:val="0"/>
          <w:color w:val="auto"/>
          <w:spacing w:val="1"/>
        </w:rPr>
        <w:t>ţi</w:t>
      </w:r>
      <w:r>
        <w:rPr>
          <w:i w:val="0"/>
          <w:color w:val="auto"/>
        </w:rPr>
        <w:t>e</w:t>
      </w:r>
      <w:r>
        <w:rPr>
          <w:i w:val="0"/>
          <w:color w:val="auto"/>
          <w:spacing w:val="-2"/>
        </w:rPr>
        <w:t xml:space="preserve"> </w:t>
      </w:r>
      <w:r>
        <w:rPr>
          <w:i w:val="0"/>
          <w:color w:val="auto"/>
        </w:rPr>
        <w:t xml:space="preserve">a </w:t>
      </w:r>
      <w:r>
        <w:rPr>
          <w:i w:val="0"/>
          <w:color w:val="auto"/>
          <w:spacing w:val="-2"/>
        </w:rPr>
        <w:t>i</w:t>
      </w:r>
      <w:r>
        <w:rPr>
          <w:i w:val="0"/>
          <w:color w:val="auto"/>
        </w:rPr>
        <w:t>nf</w:t>
      </w:r>
      <w:r>
        <w:rPr>
          <w:i w:val="0"/>
          <w:color w:val="auto"/>
          <w:spacing w:val="-3"/>
        </w:rPr>
        <w:t>e</w:t>
      </w:r>
      <w:r>
        <w:rPr>
          <w:i w:val="0"/>
          <w:color w:val="auto"/>
        </w:rPr>
        <w:t>c</w:t>
      </w:r>
      <w:r>
        <w:rPr>
          <w:i w:val="0"/>
          <w:color w:val="auto"/>
          <w:spacing w:val="-2"/>
        </w:rPr>
        <w:t>ţ</w:t>
      </w:r>
      <w:r>
        <w:rPr>
          <w:i w:val="0"/>
          <w:color w:val="auto"/>
          <w:spacing w:val="1"/>
        </w:rPr>
        <w:t>i</w:t>
      </w:r>
      <w:r>
        <w:rPr>
          <w:i w:val="0"/>
          <w:color w:val="auto"/>
          <w:spacing w:val="-2"/>
        </w:rPr>
        <w:t>i</w:t>
      </w:r>
      <w:r>
        <w:rPr>
          <w:i w:val="0"/>
          <w:color w:val="auto"/>
          <w:spacing w:val="1"/>
        </w:rPr>
        <w:t>l</w:t>
      </w:r>
      <w:r>
        <w:rPr>
          <w:i w:val="0"/>
          <w:color w:val="auto"/>
        </w:rPr>
        <w:t xml:space="preserve">or, </w:t>
      </w:r>
      <w:r>
        <w:rPr>
          <w:i w:val="0"/>
          <w:color w:val="auto"/>
          <w:spacing w:val="1"/>
        </w:rPr>
        <w:t>i</w:t>
      </w:r>
      <w:r>
        <w:rPr>
          <w:i w:val="0"/>
          <w:color w:val="auto"/>
        </w:rPr>
        <w:t>n</w:t>
      </w:r>
      <w:r>
        <w:rPr>
          <w:i w:val="0"/>
          <w:color w:val="auto"/>
          <w:spacing w:val="-3"/>
        </w:rPr>
        <w:t>c</w:t>
      </w:r>
      <w:r>
        <w:rPr>
          <w:i w:val="0"/>
          <w:color w:val="auto"/>
          <w:spacing w:val="1"/>
        </w:rPr>
        <w:t>l</w:t>
      </w:r>
      <w:r>
        <w:rPr>
          <w:i w:val="0"/>
          <w:color w:val="auto"/>
        </w:rPr>
        <w:t>u</w:t>
      </w:r>
      <w:r>
        <w:rPr>
          <w:i w:val="0"/>
          <w:color w:val="auto"/>
          <w:spacing w:val="-2"/>
        </w:rPr>
        <w:t>s</w:t>
      </w:r>
      <w:r>
        <w:rPr>
          <w:i w:val="0"/>
          <w:color w:val="auto"/>
          <w:spacing w:val="1"/>
        </w:rPr>
        <w:t>i</w:t>
      </w:r>
      <w:r>
        <w:rPr>
          <w:i w:val="0"/>
          <w:color w:val="auto"/>
        </w:rPr>
        <w:t>v</w:t>
      </w:r>
      <w:r>
        <w:rPr>
          <w:i w:val="0"/>
          <w:color w:val="auto"/>
          <w:spacing w:val="-3"/>
        </w:rPr>
        <w:t xml:space="preserve"> </w:t>
      </w:r>
      <w:r>
        <w:rPr>
          <w:i w:val="0"/>
          <w:color w:val="auto"/>
        </w:rPr>
        <w:t xml:space="preserve">a </w:t>
      </w:r>
      <w:r>
        <w:rPr>
          <w:i w:val="0"/>
          <w:color w:val="auto"/>
          <w:spacing w:val="1"/>
        </w:rPr>
        <w:t>i</w:t>
      </w:r>
      <w:r>
        <w:rPr>
          <w:i w:val="0"/>
          <w:color w:val="auto"/>
        </w:rPr>
        <w:t>n</w:t>
      </w:r>
      <w:r>
        <w:rPr>
          <w:i w:val="0"/>
          <w:color w:val="auto"/>
          <w:spacing w:val="-2"/>
        </w:rPr>
        <w:t>f</w:t>
      </w:r>
      <w:r>
        <w:rPr>
          <w:i w:val="0"/>
          <w:color w:val="auto"/>
        </w:rPr>
        <w:t>e</w:t>
      </w:r>
      <w:r>
        <w:rPr>
          <w:i w:val="0"/>
          <w:color w:val="auto"/>
          <w:spacing w:val="-3"/>
        </w:rPr>
        <w:t>c</w:t>
      </w:r>
      <w:r>
        <w:rPr>
          <w:i w:val="0"/>
          <w:color w:val="auto"/>
          <w:spacing w:val="1"/>
        </w:rPr>
        <w:t>ţ</w:t>
      </w:r>
      <w:r>
        <w:rPr>
          <w:i w:val="0"/>
          <w:color w:val="auto"/>
          <w:spacing w:val="-2"/>
        </w:rPr>
        <w:t>i</w:t>
      </w:r>
      <w:r>
        <w:rPr>
          <w:i w:val="0"/>
          <w:color w:val="auto"/>
          <w:spacing w:val="1"/>
        </w:rPr>
        <w:t>il</w:t>
      </w:r>
      <w:r>
        <w:rPr>
          <w:i w:val="0"/>
          <w:color w:val="auto"/>
          <w:spacing w:val="-3"/>
        </w:rPr>
        <w:t>o</w:t>
      </w:r>
      <w:r>
        <w:rPr>
          <w:i w:val="0"/>
          <w:color w:val="auto"/>
        </w:rPr>
        <w:t>r</w:t>
      </w:r>
      <w:r>
        <w:rPr>
          <w:i w:val="0"/>
          <w:color w:val="auto"/>
          <w:spacing w:val="1"/>
        </w:rPr>
        <w:t xml:space="preserve"> </w:t>
      </w:r>
      <w:r>
        <w:rPr>
          <w:i w:val="0"/>
          <w:color w:val="auto"/>
          <w:spacing w:val="-3"/>
        </w:rPr>
        <w:t>g</w:t>
      </w:r>
      <w:r>
        <w:rPr>
          <w:i w:val="0"/>
          <w:color w:val="auto"/>
        </w:rPr>
        <w:t>ra</w:t>
      </w:r>
      <w:r>
        <w:rPr>
          <w:i w:val="0"/>
          <w:color w:val="auto"/>
          <w:spacing w:val="-3"/>
        </w:rPr>
        <w:t>v</w:t>
      </w:r>
      <w:r>
        <w:rPr>
          <w:i w:val="0"/>
          <w:color w:val="auto"/>
        </w:rPr>
        <w:t xml:space="preserve">e </w:t>
      </w:r>
      <w:r>
        <w:rPr>
          <w:i w:val="0"/>
          <w:color w:val="auto"/>
          <w:spacing w:val="-2"/>
        </w:rPr>
        <w:t>ş</w:t>
      </w:r>
      <w:r>
        <w:rPr>
          <w:i w:val="0"/>
          <w:color w:val="auto"/>
        </w:rPr>
        <w:t>i</w:t>
      </w:r>
      <w:r>
        <w:rPr>
          <w:i w:val="0"/>
          <w:color w:val="auto"/>
          <w:spacing w:val="1"/>
        </w:rPr>
        <w:t xml:space="preserve"> </w:t>
      </w:r>
      <w:r>
        <w:rPr>
          <w:i w:val="0"/>
          <w:color w:val="auto"/>
        </w:rPr>
        <w:t xml:space="preserve">a </w:t>
      </w:r>
      <w:r>
        <w:rPr>
          <w:i w:val="0"/>
          <w:color w:val="auto"/>
          <w:spacing w:val="-3"/>
        </w:rPr>
        <w:t>a</w:t>
      </w:r>
      <w:r>
        <w:rPr>
          <w:i w:val="0"/>
          <w:color w:val="auto"/>
          <w:spacing w:val="1"/>
        </w:rPr>
        <w:t>l</w:t>
      </w:r>
      <w:r>
        <w:rPr>
          <w:i w:val="0"/>
          <w:color w:val="auto"/>
          <w:spacing w:val="-2"/>
        </w:rPr>
        <w:t>t</w:t>
      </w:r>
      <w:r>
        <w:rPr>
          <w:i w:val="0"/>
          <w:color w:val="auto"/>
        </w:rPr>
        <w:t>or</w:t>
      </w:r>
      <w:r>
        <w:rPr>
          <w:i w:val="0"/>
          <w:color w:val="auto"/>
          <w:spacing w:val="1"/>
        </w:rPr>
        <w:t xml:space="preserve"> </w:t>
      </w:r>
      <w:r>
        <w:rPr>
          <w:i w:val="0"/>
          <w:color w:val="auto"/>
        </w:rPr>
        <w:t>p</w:t>
      </w:r>
      <w:r>
        <w:rPr>
          <w:i w:val="0"/>
          <w:color w:val="auto"/>
          <w:spacing w:val="-3"/>
        </w:rPr>
        <w:t>o</w:t>
      </w:r>
      <w:r>
        <w:rPr>
          <w:i w:val="0"/>
          <w:color w:val="auto"/>
          <w:spacing w:val="1"/>
        </w:rPr>
        <w:t>t</w:t>
      </w:r>
      <w:r>
        <w:rPr>
          <w:i w:val="0"/>
          <w:color w:val="auto"/>
        </w:rPr>
        <w:t>e</w:t>
      </w:r>
      <w:r>
        <w:rPr>
          <w:i w:val="0"/>
          <w:color w:val="auto"/>
          <w:spacing w:val="-3"/>
        </w:rPr>
        <w:t>n</w:t>
      </w:r>
      <w:r>
        <w:rPr>
          <w:i w:val="0"/>
          <w:color w:val="auto"/>
          <w:spacing w:val="1"/>
        </w:rPr>
        <w:t>ţ</w:t>
      </w:r>
      <w:r>
        <w:rPr>
          <w:i w:val="0"/>
          <w:color w:val="auto"/>
          <w:spacing w:val="-2"/>
        </w:rPr>
        <w:t>i</w:t>
      </w:r>
      <w:r>
        <w:rPr>
          <w:i w:val="0"/>
          <w:color w:val="auto"/>
        </w:rPr>
        <w:t>a</w:t>
      </w:r>
      <w:r>
        <w:rPr>
          <w:i w:val="0"/>
          <w:color w:val="auto"/>
          <w:spacing w:val="-2"/>
        </w:rPr>
        <w:t>l</w:t>
      </w:r>
      <w:r>
        <w:rPr>
          <w:i w:val="0"/>
          <w:color w:val="auto"/>
        </w:rPr>
        <w:t xml:space="preserve">e </w:t>
      </w:r>
      <w:r>
        <w:rPr>
          <w:i w:val="0"/>
          <w:color w:val="auto"/>
          <w:spacing w:val="1"/>
        </w:rPr>
        <w:t>i</w:t>
      </w:r>
      <w:r>
        <w:rPr>
          <w:i w:val="0"/>
          <w:color w:val="auto"/>
          <w:spacing w:val="-3"/>
        </w:rPr>
        <w:t>n</w:t>
      </w:r>
      <w:r>
        <w:rPr>
          <w:i w:val="0"/>
          <w:color w:val="auto"/>
          <w:spacing w:val="1"/>
        </w:rPr>
        <w:t>t</w:t>
      </w:r>
      <w:r>
        <w:rPr>
          <w:i w:val="0"/>
          <w:color w:val="auto"/>
          <w:spacing w:val="-3"/>
        </w:rPr>
        <w:t>e</w:t>
      </w:r>
      <w:r>
        <w:rPr>
          <w:i w:val="0"/>
          <w:color w:val="auto"/>
        </w:rPr>
        <w:t>ra</w:t>
      </w:r>
      <w:r>
        <w:rPr>
          <w:i w:val="0"/>
          <w:color w:val="auto"/>
          <w:spacing w:val="-3"/>
        </w:rPr>
        <w:t>c</w:t>
      </w:r>
      <w:r>
        <w:rPr>
          <w:i w:val="0"/>
          <w:color w:val="auto"/>
          <w:spacing w:val="1"/>
        </w:rPr>
        <w:t>ţ</w:t>
      </w:r>
      <w:r>
        <w:rPr>
          <w:i w:val="0"/>
          <w:color w:val="auto"/>
          <w:spacing w:val="-2"/>
        </w:rPr>
        <w:t>i</w:t>
      </w:r>
      <w:r>
        <w:rPr>
          <w:i w:val="0"/>
          <w:color w:val="auto"/>
        </w:rPr>
        <w:t>uni</w:t>
      </w:r>
      <w:r>
        <w:rPr>
          <w:i w:val="0"/>
          <w:color w:val="auto"/>
          <w:spacing w:val="1"/>
        </w:rPr>
        <w:t xml:space="preserve"> </w:t>
      </w:r>
      <w:r>
        <w:rPr>
          <w:i w:val="0"/>
          <w:color w:val="auto"/>
          <w:spacing w:val="-2"/>
        </w:rPr>
        <w:t>f</w:t>
      </w:r>
      <w:r>
        <w:rPr>
          <w:i w:val="0"/>
          <w:color w:val="auto"/>
        </w:rPr>
        <w:t>ar</w:t>
      </w:r>
      <w:r>
        <w:rPr>
          <w:i w:val="0"/>
          <w:color w:val="auto"/>
          <w:spacing w:val="-4"/>
        </w:rPr>
        <w:t>m</w:t>
      </w:r>
      <w:r>
        <w:rPr>
          <w:i w:val="0"/>
          <w:color w:val="auto"/>
        </w:rPr>
        <w:t>aco</w:t>
      </w:r>
      <w:r>
        <w:rPr>
          <w:i w:val="0"/>
          <w:color w:val="auto"/>
          <w:spacing w:val="1"/>
        </w:rPr>
        <w:t>l</w:t>
      </w:r>
      <w:r>
        <w:rPr>
          <w:i w:val="0"/>
          <w:color w:val="auto"/>
        </w:rPr>
        <w:t>o</w:t>
      </w:r>
      <w:r>
        <w:rPr>
          <w:i w:val="0"/>
          <w:color w:val="auto"/>
          <w:spacing w:val="-3"/>
        </w:rPr>
        <w:t>g</w:t>
      </w:r>
      <w:r>
        <w:rPr>
          <w:i w:val="0"/>
          <w:color w:val="auto"/>
          <w:spacing w:val="1"/>
        </w:rPr>
        <w:t>i</w:t>
      </w:r>
      <w:r>
        <w:rPr>
          <w:i w:val="0"/>
          <w:color w:val="auto"/>
          <w:spacing w:val="-3"/>
        </w:rPr>
        <w:t>c</w:t>
      </w:r>
      <w:r>
        <w:rPr>
          <w:i w:val="0"/>
          <w:color w:val="auto"/>
        </w:rPr>
        <w:t>e. (</w:t>
      </w:r>
      <w:r>
        <w:rPr>
          <w:i w:val="0"/>
          <w:color w:val="auto"/>
          <w:spacing w:val="-3"/>
        </w:rPr>
        <w:t>v</w:t>
      </w:r>
      <w:r>
        <w:rPr>
          <w:i w:val="0"/>
          <w:color w:val="auto"/>
        </w:rPr>
        <w:t>e</w:t>
      </w:r>
      <w:r>
        <w:rPr>
          <w:i w:val="0"/>
          <w:color w:val="auto"/>
          <w:spacing w:val="-3"/>
        </w:rPr>
        <w:t>z</w:t>
      </w:r>
      <w:r>
        <w:rPr>
          <w:i w:val="0"/>
          <w:color w:val="auto"/>
        </w:rPr>
        <w:t>i</w:t>
      </w:r>
      <w:r>
        <w:rPr>
          <w:i w:val="0"/>
          <w:color w:val="auto"/>
          <w:spacing w:val="1"/>
        </w:rPr>
        <w:t xml:space="preserve"> </w:t>
      </w:r>
      <w:r>
        <w:rPr>
          <w:i w:val="0"/>
          <w:color w:val="auto"/>
        </w:rPr>
        <w:t>p</w:t>
      </w:r>
      <w:r>
        <w:rPr>
          <w:i w:val="0"/>
          <w:color w:val="auto"/>
          <w:spacing w:val="-3"/>
        </w:rPr>
        <w:t>c</w:t>
      </w:r>
      <w:r>
        <w:rPr>
          <w:i w:val="0"/>
          <w:color w:val="auto"/>
          <w:spacing w:val="1"/>
        </w:rPr>
        <w:t>t</w:t>
      </w:r>
      <w:r>
        <w:rPr>
          <w:i w:val="0"/>
          <w:color w:val="auto"/>
        </w:rPr>
        <w:t>. 4.</w:t>
      </w:r>
      <w:r>
        <w:rPr>
          <w:i w:val="0"/>
          <w:color w:val="auto"/>
          <w:spacing w:val="-3"/>
        </w:rPr>
        <w:t>5</w:t>
      </w:r>
      <w:r>
        <w:rPr>
          <w:i w:val="0"/>
          <w:color w:val="auto"/>
        </w:rPr>
        <w:t>).</w:t>
      </w:r>
    </w:p>
    <w:p w14:paraId="08E4E93F" w14:textId="77777777" w:rsidR="00C04CAD" w:rsidRDefault="00C04CAD">
      <w:pPr>
        <w:pStyle w:val="BodyText"/>
        <w:kinsoku w:val="0"/>
        <w:overflowPunct w:val="0"/>
        <w:rPr>
          <w:color w:val="auto"/>
        </w:rPr>
      </w:pPr>
    </w:p>
    <w:p w14:paraId="50D4CF35" w14:textId="77777777" w:rsidR="00C04CAD" w:rsidRDefault="00060E34">
      <w:pPr>
        <w:tabs>
          <w:tab w:val="clear" w:pos="567"/>
        </w:tabs>
        <w:kinsoku w:val="0"/>
        <w:overflowPunct w:val="0"/>
        <w:autoSpaceDE w:val="0"/>
        <w:autoSpaceDN w:val="0"/>
        <w:adjustRightInd w:val="0"/>
        <w:spacing w:line="240" w:lineRule="auto"/>
      </w:pPr>
      <w:r>
        <w:rPr>
          <w:spacing w:val="-1"/>
          <w:u w:val="single"/>
        </w:rPr>
        <w:t>C</w:t>
      </w:r>
      <w:r>
        <w:rPr>
          <w:u w:val="single"/>
        </w:rPr>
        <w:t>h</w:t>
      </w:r>
      <w:r>
        <w:rPr>
          <w:spacing w:val="1"/>
          <w:u w:val="single"/>
        </w:rPr>
        <w:t>i</w:t>
      </w:r>
      <w:r>
        <w:rPr>
          <w:u w:val="single"/>
        </w:rPr>
        <w:t>r</w:t>
      </w:r>
      <w:r>
        <w:rPr>
          <w:spacing w:val="-3"/>
          <w:u w:val="single"/>
        </w:rPr>
        <w:t>u</w:t>
      </w:r>
      <w:r>
        <w:rPr>
          <w:u w:val="single"/>
        </w:rPr>
        <w:t>r</w:t>
      </w:r>
      <w:r>
        <w:rPr>
          <w:spacing w:val="-3"/>
          <w:u w:val="single"/>
        </w:rPr>
        <w:t>g</w:t>
      </w:r>
      <w:r>
        <w:rPr>
          <w:spacing w:val="1"/>
          <w:u w:val="single"/>
        </w:rPr>
        <w:t>i</w:t>
      </w:r>
      <w:r>
        <w:rPr>
          <w:u w:val="single"/>
        </w:rPr>
        <w:t>e</w:t>
      </w:r>
    </w:p>
    <w:p w14:paraId="0F1DFC5F" w14:textId="77777777" w:rsidR="00C04CAD" w:rsidRDefault="00C04CAD">
      <w:pPr>
        <w:tabs>
          <w:tab w:val="clear" w:pos="567"/>
        </w:tabs>
        <w:kinsoku w:val="0"/>
        <w:overflowPunct w:val="0"/>
        <w:autoSpaceDE w:val="0"/>
        <w:autoSpaceDN w:val="0"/>
        <w:adjustRightInd w:val="0"/>
        <w:spacing w:line="240" w:lineRule="auto"/>
      </w:pPr>
    </w:p>
    <w:p w14:paraId="0C67935E" w14:textId="77777777" w:rsidR="00C04CAD" w:rsidRDefault="00060E34">
      <w:pPr>
        <w:tabs>
          <w:tab w:val="clear" w:pos="567"/>
        </w:tabs>
        <w:kinsoku w:val="0"/>
        <w:overflowPunct w:val="0"/>
        <w:autoSpaceDE w:val="0"/>
        <w:autoSpaceDN w:val="0"/>
        <w:adjustRightInd w:val="0"/>
        <w:spacing w:line="240" w:lineRule="auto"/>
      </w:pPr>
      <w:r>
        <w:rPr>
          <w:spacing w:val="-1"/>
        </w:rPr>
        <w:t>E</w:t>
      </w:r>
      <w:r>
        <w:t>x</w:t>
      </w:r>
      <w:r>
        <w:rPr>
          <w:spacing w:val="1"/>
        </w:rPr>
        <w:t>i</w:t>
      </w:r>
      <w:r>
        <w:rPr>
          <w:spacing w:val="-2"/>
        </w:rPr>
        <w:t>s</w:t>
      </w:r>
      <w:r>
        <w:rPr>
          <w:spacing w:val="1"/>
        </w:rPr>
        <w:t>t</w:t>
      </w:r>
      <w:r>
        <w:t>ă e</w:t>
      </w:r>
      <w:r>
        <w:rPr>
          <w:spacing w:val="-3"/>
        </w:rPr>
        <w:t>x</w:t>
      </w:r>
      <w:r>
        <w:t>pe</w:t>
      </w:r>
      <w:r>
        <w:rPr>
          <w:spacing w:val="-2"/>
        </w:rPr>
        <w:t>r</w:t>
      </w:r>
      <w:r>
        <w:rPr>
          <w:spacing w:val="1"/>
        </w:rPr>
        <w:t>i</w:t>
      </w:r>
      <w:r>
        <w:t>e</w:t>
      </w:r>
      <w:r>
        <w:rPr>
          <w:spacing w:val="-3"/>
        </w:rPr>
        <w:t>n</w:t>
      </w:r>
      <w:r>
        <w:rPr>
          <w:spacing w:val="1"/>
        </w:rPr>
        <w:t>ţ</w:t>
      </w:r>
      <w:r>
        <w:t>ă</w:t>
      </w:r>
      <w:r>
        <w:rPr>
          <w:spacing w:val="-2"/>
        </w:rPr>
        <w:t xml:space="preserve"> </w:t>
      </w:r>
      <w:r>
        <w:rPr>
          <w:spacing w:val="1"/>
        </w:rPr>
        <w:t>li</w:t>
      </w:r>
      <w:r>
        <w:rPr>
          <w:spacing w:val="-4"/>
        </w:rPr>
        <w:t>m</w:t>
      </w:r>
      <w:r>
        <w:rPr>
          <w:spacing w:val="1"/>
        </w:rPr>
        <w:t>it</w:t>
      </w:r>
      <w:r>
        <w:rPr>
          <w:spacing w:val="-3"/>
        </w:rPr>
        <w:t>a</w:t>
      </w:r>
      <w:r>
        <w:rPr>
          <w:spacing w:val="1"/>
        </w:rPr>
        <w:t>t</w:t>
      </w:r>
      <w:r>
        <w:t>ă</w:t>
      </w:r>
      <w:r>
        <w:rPr>
          <w:spacing w:val="-2"/>
        </w:rPr>
        <w:t xml:space="preserve"> </w:t>
      </w:r>
      <w:r>
        <w:rPr>
          <w:spacing w:val="-3"/>
        </w:rPr>
        <w:t>c</w:t>
      </w:r>
      <w:r>
        <w:t>u pr</w:t>
      </w:r>
      <w:r>
        <w:rPr>
          <w:spacing w:val="1"/>
        </w:rPr>
        <w:t>i</w:t>
      </w:r>
      <w:r>
        <w:rPr>
          <w:spacing w:val="-3"/>
        </w:rPr>
        <w:t>v</w:t>
      </w:r>
      <w:r>
        <w:rPr>
          <w:spacing w:val="-2"/>
        </w:rPr>
        <w:t>i</w:t>
      </w:r>
      <w:r>
        <w:t xml:space="preserve">re </w:t>
      </w:r>
      <w:r>
        <w:rPr>
          <w:spacing w:val="-2"/>
        </w:rPr>
        <w:t>l</w:t>
      </w:r>
      <w:r>
        <w:t xml:space="preserve">a </w:t>
      </w:r>
      <w:r>
        <w:rPr>
          <w:spacing w:val="-2"/>
        </w:rPr>
        <w:t>s</w:t>
      </w:r>
      <w:r>
        <w:rPr>
          <w:spacing w:val="1"/>
        </w:rPr>
        <w:t>i</w:t>
      </w:r>
      <w:r>
        <w:rPr>
          <w:spacing w:val="-3"/>
        </w:rPr>
        <w:t>g</w:t>
      </w:r>
      <w:r>
        <w:t>ura</w:t>
      </w:r>
      <w:r>
        <w:rPr>
          <w:spacing w:val="-3"/>
        </w:rPr>
        <w:t>n</w:t>
      </w:r>
      <w:r>
        <w:rPr>
          <w:spacing w:val="1"/>
        </w:rPr>
        <w:t>ţ</w:t>
      </w:r>
      <w:r>
        <w:t xml:space="preserve">a </w:t>
      </w:r>
      <w:r>
        <w:rPr>
          <w:spacing w:val="-3"/>
        </w:rPr>
        <w:t>p</w:t>
      </w:r>
      <w:r>
        <w:t>roc</w:t>
      </w:r>
      <w:r>
        <w:rPr>
          <w:spacing w:val="-3"/>
        </w:rPr>
        <w:t>e</w:t>
      </w:r>
      <w:r>
        <w:t>dur</w:t>
      </w:r>
      <w:r>
        <w:rPr>
          <w:spacing w:val="-2"/>
        </w:rPr>
        <w:t>i</w:t>
      </w:r>
      <w:r>
        <w:rPr>
          <w:spacing w:val="1"/>
        </w:rPr>
        <w:t>l</w:t>
      </w:r>
      <w:r>
        <w:t>or</w:t>
      </w:r>
      <w:r>
        <w:rPr>
          <w:spacing w:val="-2"/>
        </w:rPr>
        <w:t xml:space="preserve"> </w:t>
      </w:r>
      <w:r>
        <w:t>c</w:t>
      </w:r>
      <w:r>
        <w:rPr>
          <w:spacing w:val="-3"/>
        </w:rPr>
        <w:t>h</w:t>
      </w:r>
      <w:r>
        <w:rPr>
          <w:spacing w:val="1"/>
        </w:rPr>
        <w:t>i</w:t>
      </w:r>
      <w:r>
        <w:t>r</w:t>
      </w:r>
      <w:r>
        <w:rPr>
          <w:spacing w:val="-3"/>
        </w:rPr>
        <w:t>u</w:t>
      </w:r>
      <w:r>
        <w:t>r</w:t>
      </w:r>
      <w:r>
        <w:rPr>
          <w:spacing w:val="-3"/>
        </w:rPr>
        <w:t>g</w:t>
      </w:r>
      <w:r>
        <w:rPr>
          <w:spacing w:val="1"/>
        </w:rPr>
        <w:t>i</w:t>
      </w:r>
      <w:r>
        <w:t>c</w:t>
      </w:r>
      <w:r>
        <w:rPr>
          <w:spacing w:val="-3"/>
        </w:rPr>
        <w:t>a</w:t>
      </w:r>
      <w:r>
        <w:rPr>
          <w:spacing w:val="1"/>
        </w:rPr>
        <w:t>l</w:t>
      </w:r>
      <w:r>
        <w:t xml:space="preserve">e </w:t>
      </w:r>
      <w:r>
        <w:rPr>
          <w:spacing w:val="-2"/>
        </w:rPr>
        <w:t>l</w:t>
      </w:r>
      <w:r>
        <w:t>a p</w:t>
      </w:r>
      <w:r>
        <w:rPr>
          <w:spacing w:val="-3"/>
        </w:rPr>
        <w:t>a</w:t>
      </w:r>
      <w:r>
        <w:t>c</w:t>
      </w:r>
      <w:r>
        <w:rPr>
          <w:spacing w:val="1"/>
        </w:rPr>
        <w:t>i</w:t>
      </w:r>
      <w:r>
        <w:rPr>
          <w:spacing w:val="-3"/>
        </w:rPr>
        <w:t>e</w:t>
      </w:r>
      <w:r>
        <w:t>n</w:t>
      </w:r>
      <w:r>
        <w:rPr>
          <w:spacing w:val="1"/>
        </w:rPr>
        <w:t>ţ</w:t>
      </w:r>
      <w:r>
        <w:rPr>
          <w:spacing w:val="-2"/>
        </w:rPr>
        <w:t>i</w:t>
      </w:r>
      <w:r>
        <w:t>i</w:t>
      </w:r>
      <w:r>
        <w:rPr>
          <w:spacing w:val="1"/>
        </w:rPr>
        <w:t xml:space="preserve"> </w:t>
      </w:r>
      <w:r>
        <w:rPr>
          <w:spacing w:val="-2"/>
        </w:rPr>
        <w:t>t</w:t>
      </w:r>
      <w:r>
        <w:t>r</w:t>
      </w:r>
      <w:r>
        <w:rPr>
          <w:spacing w:val="-3"/>
        </w:rPr>
        <w:t>a</w:t>
      </w:r>
      <w:r>
        <w:rPr>
          <w:spacing w:val="1"/>
        </w:rPr>
        <w:t>t</w:t>
      </w:r>
      <w:r>
        <w:rPr>
          <w:spacing w:val="-3"/>
        </w:rPr>
        <w:t>a</w:t>
      </w:r>
      <w:r>
        <w:rPr>
          <w:spacing w:val="1"/>
        </w:rPr>
        <w:t>ţ</w:t>
      </w:r>
      <w:r>
        <w:t>i</w:t>
      </w:r>
      <w:r>
        <w:rPr>
          <w:spacing w:val="1"/>
        </w:rPr>
        <w:t xml:space="preserve"> </w:t>
      </w:r>
      <w:r>
        <w:rPr>
          <w:spacing w:val="-3"/>
        </w:rPr>
        <w:t>c</w:t>
      </w:r>
      <w:r>
        <w:t xml:space="preserve">u </w:t>
      </w:r>
      <w:r>
        <w:rPr>
          <w:rFonts w:eastAsia="MS Mincho"/>
          <w:spacing w:val="-1"/>
          <w:szCs w:val="22"/>
          <w:lang w:eastAsia="en-US" w:bidi="ar-SA"/>
        </w:rPr>
        <w:t>adalimumab</w:t>
      </w:r>
      <w:r>
        <w:t xml:space="preserve">. </w:t>
      </w:r>
      <w:r>
        <w:rPr>
          <w:spacing w:val="-1"/>
        </w:rPr>
        <w:t>D</w:t>
      </w:r>
      <w:r>
        <w:t xml:space="preserve">acă </w:t>
      </w:r>
      <w:r>
        <w:rPr>
          <w:spacing w:val="-2"/>
        </w:rPr>
        <w:t>s</w:t>
      </w:r>
      <w:r>
        <w:t xml:space="preserve">e </w:t>
      </w:r>
      <w:r>
        <w:rPr>
          <w:spacing w:val="1"/>
        </w:rPr>
        <w:t>i</w:t>
      </w:r>
      <w:r>
        <w:rPr>
          <w:spacing w:val="-3"/>
        </w:rPr>
        <w:t>n</w:t>
      </w:r>
      <w:r>
        <w:rPr>
          <w:spacing w:val="1"/>
        </w:rPr>
        <w:t>t</w:t>
      </w:r>
      <w:r>
        <w:t>e</w:t>
      </w:r>
      <w:r>
        <w:rPr>
          <w:spacing w:val="-3"/>
        </w:rPr>
        <w:t>n</w:t>
      </w:r>
      <w:r>
        <w:rPr>
          <w:spacing w:val="1"/>
        </w:rPr>
        <w:t>ţ</w:t>
      </w:r>
      <w:r>
        <w:rPr>
          <w:spacing w:val="-2"/>
        </w:rPr>
        <w:t>i</w:t>
      </w:r>
      <w:r>
        <w:t>on</w:t>
      </w:r>
      <w:r>
        <w:rPr>
          <w:spacing w:val="-3"/>
        </w:rPr>
        <w:t>e</w:t>
      </w:r>
      <w:r>
        <w:t>a</w:t>
      </w:r>
      <w:r>
        <w:rPr>
          <w:spacing w:val="-3"/>
        </w:rPr>
        <w:t>z</w:t>
      </w:r>
      <w:r>
        <w:t>ă să se</w:t>
      </w:r>
      <w:r>
        <w:rPr>
          <w:spacing w:val="-2"/>
        </w:rPr>
        <w:t xml:space="preserve"> </w:t>
      </w:r>
      <w:r>
        <w:t>e</w:t>
      </w:r>
      <w:r>
        <w:rPr>
          <w:spacing w:val="-2"/>
        </w:rPr>
        <w:t>f</w:t>
      </w:r>
      <w:r>
        <w:t>ec</w:t>
      </w:r>
      <w:r>
        <w:rPr>
          <w:spacing w:val="-2"/>
        </w:rPr>
        <w:t>t</w:t>
      </w:r>
      <w:r>
        <w:t>ue</w:t>
      </w:r>
      <w:r>
        <w:rPr>
          <w:spacing w:val="-3"/>
        </w:rPr>
        <w:t>z</w:t>
      </w:r>
      <w:r>
        <w:t xml:space="preserve">e o </w:t>
      </w:r>
      <w:r>
        <w:rPr>
          <w:spacing w:val="1"/>
        </w:rPr>
        <w:t>i</w:t>
      </w:r>
      <w:r>
        <w:rPr>
          <w:spacing w:val="-3"/>
        </w:rPr>
        <w:t>n</w:t>
      </w:r>
      <w:r>
        <w:rPr>
          <w:spacing w:val="1"/>
        </w:rPr>
        <w:t>t</w:t>
      </w:r>
      <w:r>
        <w:rPr>
          <w:spacing w:val="-3"/>
        </w:rPr>
        <w:t>e</w:t>
      </w:r>
      <w:r>
        <w:t>r</w:t>
      </w:r>
      <w:r>
        <w:rPr>
          <w:spacing w:val="-3"/>
        </w:rPr>
        <w:t>v</w:t>
      </w:r>
      <w:r>
        <w:t>en</w:t>
      </w:r>
      <w:r>
        <w:rPr>
          <w:spacing w:val="-2"/>
        </w:rPr>
        <w:t>ţ</w:t>
      </w:r>
      <w:r>
        <w:rPr>
          <w:spacing w:val="1"/>
        </w:rPr>
        <w:t>i</w:t>
      </w:r>
      <w:r>
        <w:t>e c</w:t>
      </w:r>
      <w:r>
        <w:rPr>
          <w:spacing w:val="-3"/>
        </w:rPr>
        <w:t>h</w:t>
      </w:r>
      <w:r>
        <w:rPr>
          <w:spacing w:val="1"/>
        </w:rPr>
        <w:t>i</w:t>
      </w:r>
      <w:r>
        <w:rPr>
          <w:spacing w:val="-2"/>
        </w:rPr>
        <w:t>r</w:t>
      </w:r>
      <w:r>
        <w:t>ur</w:t>
      </w:r>
      <w:r>
        <w:rPr>
          <w:spacing w:val="-3"/>
        </w:rPr>
        <w:t>g</w:t>
      </w:r>
      <w:r>
        <w:rPr>
          <w:spacing w:val="1"/>
        </w:rPr>
        <w:t>i</w:t>
      </w:r>
      <w:r>
        <w:t>c</w:t>
      </w:r>
      <w:r>
        <w:rPr>
          <w:spacing w:val="-3"/>
        </w:rPr>
        <w:t>a</w:t>
      </w:r>
      <w:r>
        <w:rPr>
          <w:spacing w:val="1"/>
        </w:rPr>
        <w:t>l</w:t>
      </w:r>
      <w:r>
        <w:t>ă,</w:t>
      </w:r>
      <w:r>
        <w:rPr>
          <w:spacing w:val="-3"/>
        </w:rPr>
        <w:t xml:space="preserve"> </w:t>
      </w:r>
      <w:r>
        <w:rPr>
          <w:spacing w:val="1"/>
        </w:rPr>
        <w:t>t</w:t>
      </w:r>
      <w:r>
        <w:rPr>
          <w:spacing w:val="-2"/>
        </w:rPr>
        <w:t>r</w:t>
      </w:r>
      <w:r>
        <w:t>eb</w:t>
      </w:r>
      <w:r>
        <w:rPr>
          <w:spacing w:val="-3"/>
        </w:rPr>
        <w:t>u</w:t>
      </w:r>
      <w:r>
        <w:rPr>
          <w:spacing w:val="1"/>
        </w:rPr>
        <w:t>i</w:t>
      </w:r>
      <w:r>
        <w:t xml:space="preserve">e </w:t>
      </w:r>
      <w:r>
        <w:rPr>
          <w:spacing w:val="-2"/>
        </w:rPr>
        <w:t>l</w:t>
      </w:r>
      <w:r>
        <w:t>uat</w:t>
      </w:r>
      <w:r>
        <w:rPr>
          <w:spacing w:val="-2"/>
        </w:rPr>
        <w:t xml:space="preserve"> </w:t>
      </w:r>
      <w:r>
        <w:rPr>
          <w:spacing w:val="1"/>
        </w:rPr>
        <w:t>î</w:t>
      </w:r>
      <w:r>
        <w:t>n co</w:t>
      </w:r>
      <w:r>
        <w:rPr>
          <w:spacing w:val="-3"/>
        </w:rPr>
        <w:t>n</w:t>
      </w:r>
      <w:r>
        <w:t>s</w:t>
      </w:r>
      <w:r>
        <w:rPr>
          <w:spacing w:val="-2"/>
        </w:rPr>
        <w:t>i</w:t>
      </w:r>
      <w:r>
        <w:t>de</w:t>
      </w:r>
      <w:r>
        <w:rPr>
          <w:spacing w:val="-2"/>
        </w:rPr>
        <w:t>r</w:t>
      </w:r>
      <w:r>
        <w:t xml:space="preserve">are </w:t>
      </w:r>
      <w:r>
        <w:rPr>
          <w:spacing w:val="1"/>
        </w:rPr>
        <w:t>ti</w:t>
      </w:r>
      <w:r>
        <w:rPr>
          <w:spacing w:val="-4"/>
        </w:rPr>
        <w:t>m</w:t>
      </w:r>
      <w:r>
        <w:t>pul</w:t>
      </w:r>
      <w:r>
        <w:rPr>
          <w:spacing w:val="1"/>
        </w:rPr>
        <w:t xml:space="preserve"> </w:t>
      </w:r>
      <w:r>
        <w:t>de</w:t>
      </w:r>
      <w:r>
        <w:rPr>
          <w:spacing w:val="-2"/>
        </w:rPr>
        <w:t xml:space="preserve"> </w:t>
      </w:r>
      <w:r>
        <w:rPr>
          <w:spacing w:val="1"/>
        </w:rPr>
        <w:t>î</w:t>
      </w:r>
      <w:r>
        <w:rPr>
          <w:spacing w:val="-3"/>
        </w:rPr>
        <w:t>n</w:t>
      </w:r>
      <w:r>
        <w:rPr>
          <w:spacing w:val="1"/>
        </w:rPr>
        <w:t>j</w:t>
      </w:r>
      <w:r>
        <w:t>u</w:t>
      </w:r>
      <w:r>
        <w:rPr>
          <w:spacing w:val="-4"/>
        </w:rPr>
        <w:t>m</w:t>
      </w:r>
      <w:r>
        <w:t>ă</w:t>
      </w:r>
      <w:r>
        <w:rPr>
          <w:spacing w:val="1"/>
        </w:rPr>
        <w:t>t</w:t>
      </w:r>
      <w:r>
        <w:t>ă</w:t>
      </w:r>
      <w:r>
        <w:rPr>
          <w:spacing w:val="-2"/>
        </w:rPr>
        <w:t>ţ</w:t>
      </w:r>
      <w:r>
        <w:rPr>
          <w:spacing w:val="1"/>
        </w:rPr>
        <w:t>i</w:t>
      </w:r>
      <w:r>
        <w:t>re</w:t>
      </w:r>
      <w:r>
        <w:rPr>
          <w:spacing w:val="-2"/>
        </w:rPr>
        <w:t xml:space="preserve"> </w:t>
      </w:r>
      <w:r>
        <w:rPr>
          <w:spacing w:val="1"/>
        </w:rPr>
        <w:t>l</w:t>
      </w:r>
      <w:r>
        <w:t>ung</w:t>
      </w:r>
      <w:r>
        <w:rPr>
          <w:spacing w:val="-5"/>
        </w:rPr>
        <w:t xml:space="preserve"> </w:t>
      </w:r>
      <w:r>
        <w:t>al</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w:t>
      </w:r>
      <w:r>
        <w:rPr>
          <w:spacing w:val="2"/>
        </w:rPr>
        <w:t xml:space="preserve"> </w:t>
      </w:r>
      <w:r>
        <w:rPr>
          <w:spacing w:val="-4"/>
        </w:rPr>
        <w:t>Î</w:t>
      </w:r>
      <w:r>
        <w:t>n ca</w:t>
      </w:r>
      <w:r>
        <w:rPr>
          <w:spacing w:val="-3"/>
        </w:rPr>
        <w:t>z</w:t>
      </w:r>
      <w:r>
        <w:t>ul</w:t>
      </w:r>
      <w:r>
        <w:rPr>
          <w:spacing w:val="1"/>
        </w:rPr>
        <w:t xml:space="preserve"> î</w:t>
      </w:r>
      <w:r>
        <w:t>n</w:t>
      </w:r>
      <w:r>
        <w:rPr>
          <w:spacing w:val="-3"/>
        </w:rPr>
        <w:t xml:space="preserve"> </w:t>
      </w:r>
      <w:r>
        <w:t>care</w:t>
      </w:r>
      <w:r>
        <w:rPr>
          <w:spacing w:val="-2"/>
        </w:rPr>
        <w:t xml:space="preserve"> </w:t>
      </w:r>
      <w:r>
        <w:t>un p</w:t>
      </w:r>
      <w:r>
        <w:rPr>
          <w:spacing w:val="-3"/>
        </w:rPr>
        <w:t>a</w:t>
      </w:r>
      <w:r>
        <w:t>c</w:t>
      </w:r>
      <w:r>
        <w:rPr>
          <w:spacing w:val="-2"/>
        </w:rPr>
        <w:t>i</w:t>
      </w:r>
      <w:r>
        <w:t>ent</w:t>
      </w:r>
      <w:r>
        <w:rPr>
          <w:spacing w:val="1"/>
        </w:rPr>
        <w:t xml:space="preserve"> </w:t>
      </w:r>
      <w:r>
        <w:rPr>
          <w:spacing w:val="-3"/>
        </w:rPr>
        <w:t>n</w:t>
      </w:r>
      <w:r>
        <w:t>ec</w:t>
      </w:r>
      <w:r>
        <w:rPr>
          <w:spacing w:val="-3"/>
        </w:rPr>
        <w:t>e</w:t>
      </w:r>
      <w:r>
        <w:t>s</w:t>
      </w:r>
      <w:r>
        <w:rPr>
          <w:spacing w:val="-2"/>
        </w:rPr>
        <w:t>i</w:t>
      </w:r>
      <w:r>
        <w:rPr>
          <w:spacing w:val="1"/>
        </w:rPr>
        <w:t>t</w:t>
      </w:r>
      <w:r>
        <w:t>ă</w:t>
      </w:r>
      <w:r>
        <w:rPr>
          <w:spacing w:val="-2"/>
        </w:rPr>
        <w:t xml:space="preserve"> </w:t>
      </w:r>
      <w:r>
        <w:rPr>
          <w:spacing w:val="1"/>
        </w:rPr>
        <w:t>i</w:t>
      </w:r>
      <w:r>
        <w:t>n</w:t>
      </w:r>
      <w:r>
        <w:rPr>
          <w:spacing w:val="-2"/>
        </w:rPr>
        <w:t>t</w:t>
      </w:r>
      <w:r>
        <w:t>er</w:t>
      </w:r>
      <w:r>
        <w:rPr>
          <w:spacing w:val="-3"/>
        </w:rPr>
        <w:t>v</w:t>
      </w:r>
      <w:r>
        <w:t>en</w:t>
      </w:r>
      <w:r>
        <w:rPr>
          <w:spacing w:val="1"/>
        </w:rPr>
        <w:t>ţ</w:t>
      </w:r>
      <w:r>
        <w:rPr>
          <w:spacing w:val="-2"/>
        </w:rPr>
        <w:t>i</w:t>
      </w:r>
      <w:r>
        <w:t>e c</w:t>
      </w:r>
      <w:r>
        <w:rPr>
          <w:spacing w:val="-3"/>
        </w:rPr>
        <w:t>h</w:t>
      </w:r>
      <w:r>
        <w:rPr>
          <w:spacing w:val="1"/>
        </w:rPr>
        <w:t>i</w:t>
      </w:r>
      <w:r>
        <w:rPr>
          <w:spacing w:val="-2"/>
        </w:rPr>
        <w:t>r</w:t>
      </w:r>
      <w:r>
        <w:t>ur</w:t>
      </w:r>
      <w:r>
        <w:rPr>
          <w:spacing w:val="-3"/>
        </w:rPr>
        <w:t>g</w:t>
      </w:r>
      <w:r>
        <w:rPr>
          <w:spacing w:val="1"/>
        </w:rPr>
        <w:t>i</w:t>
      </w:r>
      <w:r>
        <w:t>c</w:t>
      </w:r>
      <w:r>
        <w:rPr>
          <w:spacing w:val="-3"/>
        </w:rPr>
        <w:t>a</w:t>
      </w:r>
      <w:r>
        <w:rPr>
          <w:spacing w:val="1"/>
        </w:rPr>
        <w:t>l</w:t>
      </w:r>
      <w:r>
        <w:t xml:space="preserve">ă </w:t>
      </w:r>
      <w:r>
        <w:rPr>
          <w:spacing w:val="1"/>
        </w:rPr>
        <w:t>î</w:t>
      </w:r>
      <w:r>
        <w:t xml:space="preserve">n </w:t>
      </w:r>
      <w:r>
        <w:rPr>
          <w:spacing w:val="-2"/>
        </w:rPr>
        <w:t>t</w:t>
      </w:r>
      <w:r>
        <w:rPr>
          <w:spacing w:val="1"/>
        </w:rPr>
        <w:t>i</w:t>
      </w:r>
      <w:r>
        <w:rPr>
          <w:spacing w:val="-4"/>
        </w:rPr>
        <w:t>m</w:t>
      </w:r>
      <w:r>
        <w:t>pul</w:t>
      </w:r>
      <w:r>
        <w:rPr>
          <w:spacing w:val="1"/>
        </w:rPr>
        <w:t xml:space="preserve"> t</w:t>
      </w:r>
      <w:r>
        <w:rPr>
          <w:spacing w:val="-2"/>
        </w:rPr>
        <w:t>r</w:t>
      </w:r>
      <w:r>
        <w:t>a</w:t>
      </w:r>
      <w:r>
        <w:rPr>
          <w:spacing w:val="-2"/>
        </w:rPr>
        <w:t>t</w:t>
      </w:r>
      <w:r>
        <w:t>a</w:t>
      </w:r>
      <w:r>
        <w:rPr>
          <w:spacing w:val="-4"/>
        </w:rPr>
        <w:t>m</w:t>
      </w:r>
      <w:r>
        <w:t>en</w:t>
      </w:r>
      <w:r>
        <w:rPr>
          <w:spacing w:val="1"/>
        </w:rPr>
        <w:t>t</w:t>
      </w:r>
      <w:r>
        <w:t>u</w:t>
      </w:r>
      <w:r>
        <w:rPr>
          <w:spacing w:val="1"/>
        </w:rPr>
        <w:t>l</w:t>
      </w:r>
      <w:r>
        <w:rPr>
          <w:spacing w:val="-3"/>
        </w:rPr>
        <w:t>u</w:t>
      </w:r>
      <w:r>
        <w:t>i</w:t>
      </w:r>
      <w:r>
        <w:rPr>
          <w:spacing w:val="1"/>
        </w:rPr>
        <w:t xml:space="preserve"> </w:t>
      </w:r>
      <w:r>
        <w:t>cu</w:t>
      </w:r>
      <w:r>
        <w:rPr>
          <w:spacing w:val="-3"/>
        </w:rPr>
        <w:t xml:space="preserve"> </w:t>
      </w:r>
      <w:r>
        <w:rPr>
          <w:rFonts w:eastAsia="MS Mincho"/>
          <w:spacing w:val="-1"/>
          <w:szCs w:val="22"/>
          <w:lang w:eastAsia="en-US" w:bidi="ar-SA"/>
        </w:rPr>
        <w:t>AMGEVITA</w:t>
      </w:r>
      <w:r>
        <w:t xml:space="preserve">, </w:t>
      </w:r>
      <w:r>
        <w:rPr>
          <w:spacing w:val="1"/>
        </w:rPr>
        <w:t>t</w:t>
      </w:r>
      <w:r>
        <w:t>r</w:t>
      </w:r>
      <w:r>
        <w:rPr>
          <w:spacing w:val="-3"/>
        </w:rPr>
        <w:t>e</w:t>
      </w:r>
      <w:r>
        <w:t>bu</w:t>
      </w:r>
      <w:r>
        <w:rPr>
          <w:spacing w:val="-2"/>
        </w:rPr>
        <w:t>i</w:t>
      </w:r>
      <w:r>
        <w:t xml:space="preserve">e </w:t>
      </w:r>
      <w:r>
        <w:rPr>
          <w:spacing w:val="-4"/>
        </w:rPr>
        <w:t>m</w:t>
      </w:r>
      <w:r>
        <w:t>on</w:t>
      </w:r>
      <w:r>
        <w:rPr>
          <w:spacing w:val="1"/>
        </w:rPr>
        <w:t>it</w:t>
      </w:r>
      <w:r>
        <w:t>o</w:t>
      </w:r>
      <w:r>
        <w:rPr>
          <w:spacing w:val="-2"/>
        </w:rPr>
        <w:t>r</w:t>
      </w:r>
      <w:r>
        <w:rPr>
          <w:spacing w:val="1"/>
        </w:rPr>
        <w:t>i</w:t>
      </w:r>
      <w:r>
        <w:rPr>
          <w:spacing w:val="-3"/>
        </w:rPr>
        <w:t>za</w:t>
      </w:r>
      <w:r>
        <w:t>t</w:t>
      </w:r>
      <w:r>
        <w:rPr>
          <w:spacing w:val="1"/>
        </w:rPr>
        <w:t xml:space="preserve"> </w:t>
      </w:r>
      <w:r>
        <w:t>a</w:t>
      </w:r>
      <w:r>
        <w:rPr>
          <w:spacing w:val="-2"/>
        </w:rPr>
        <w:t>t</w:t>
      </w:r>
      <w:r>
        <w:t>ent</w:t>
      </w:r>
      <w:r>
        <w:rPr>
          <w:spacing w:val="-2"/>
        </w:rPr>
        <w:t xml:space="preserve"> </w:t>
      </w:r>
      <w:r>
        <w:rPr>
          <w:spacing w:val="1"/>
        </w:rPr>
        <w:t>î</w:t>
      </w:r>
      <w:r>
        <w:t xml:space="preserve">n </w:t>
      </w:r>
      <w:r>
        <w:rPr>
          <w:spacing w:val="-3"/>
        </w:rPr>
        <w:t>v</w:t>
      </w:r>
      <w:r>
        <w:t>ed</w:t>
      </w:r>
      <w:r>
        <w:rPr>
          <w:spacing w:val="-3"/>
        </w:rPr>
        <w:t>e</w:t>
      </w:r>
      <w:r>
        <w:t>rea</w:t>
      </w:r>
      <w:r>
        <w:rPr>
          <w:spacing w:val="-2"/>
        </w:rPr>
        <w:t xml:space="preserve"> </w:t>
      </w:r>
      <w:r>
        <w:t>de</w:t>
      </w:r>
      <w:r>
        <w:rPr>
          <w:spacing w:val="-3"/>
        </w:rPr>
        <w:t>p</w:t>
      </w:r>
      <w:r>
        <w:rPr>
          <w:spacing w:val="1"/>
        </w:rPr>
        <w:t>i</w:t>
      </w:r>
      <w:r>
        <w:t>s</w:t>
      </w:r>
      <w:r>
        <w:rPr>
          <w:spacing w:val="-2"/>
        </w:rPr>
        <w:t>t</w:t>
      </w:r>
      <w:r>
        <w:t>ă</w:t>
      </w:r>
      <w:r>
        <w:rPr>
          <w:spacing w:val="-2"/>
        </w:rPr>
        <w:t>r</w:t>
      </w:r>
      <w:r>
        <w:rPr>
          <w:spacing w:val="1"/>
        </w:rPr>
        <w:t>i</w:t>
      </w:r>
      <w:r>
        <w:t>i</w:t>
      </w:r>
      <w:r>
        <w:rPr>
          <w:spacing w:val="-2"/>
        </w:rPr>
        <w:t xml:space="preserve"> </w:t>
      </w:r>
      <w:r>
        <w:rPr>
          <w:spacing w:val="1"/>
        </w:rPr>
        <w:t>i</w:t>
      </w:r>
      <w:r>
        <w:t>nf</w:t>
      </w:r>
      <w:r>
        <w:rPr>
          <w:spacing w:val="-3"/>
        </w:rPr>
        <w:t>e</w:t>
      </w:r>
      <w:r>
        <w:t>c</w:t>
      </w:r>
      <w:r>
        <w:rPr>
          <w:spacing w:val="-2"/>
        </w:rPr>
        <w:t>ţ</w:t>
      </w:r>
      <w:r>
        <w:rPr>
          <w:spacing w:val="1"/>
        </w:rPr>
        <w:t>i</w:t>
      </w:r>
      <w:r>
        <w:rPr>
          <w:spacing w:val="-2"/>
        </w:rPr>
        <w:t>i</w:t>
      </w:r>
      <w:r>
        <w:rPr>
          <w:spacing w:val="1"/>
        </w:rPr>
        <w:t>l</w:t>
      </w:r>
      <w:r>
        <w:rPr>
          <w:spacing w:val="-3"/>
        </w:rPr>
        <w:t>o</w:t>
      </w:r>
      <w:r>
        <w:t>r</w:t>
      </w:r>
      <w:r>
        <w:rPr>
          <w:spacing w:val="1"/>
        </w:rPr>
        <w:t xml:space="preserve"> </w:t>
      </w:r>
      <w:r>
        <w:t>şi</w:t>
      </w:r>
      <w:r>
        <w:rPr>
          <w:spacing w:val="-2"/>
        </w:rPr>
        <w:t xml:space="preserve"> t</w:t>
      </w:r>
      <w:r>
        <w:t>reb</w:t>
      </w:r>
      <w:r>
        <w:rPr>
          <w:spacing w:val="-3"/>
        </w:rPr>
        <w:t>u</w:t>
      </w:r>
      <w:r>
        <w:rPr>
          <w:spacing w:val="1"/>
        </w:rPr>
        <w:t>i</w:t>
      </w:r>
      <w:r>
        <w:t xml:space="preserve">e </w:t>
      </w:r>
      <w:r>
        <w:rPr>
          <w:spacing w:val="1"/>
        </w:rPr>
        <w:t>l</w:t>
      </w:r>
      <w:r>
        <w:t>u</w:t>
      </w:r>
      <w:r>
        <w:rPr>
          <w:spacing w:val="-3"/>
        </w:rPr>
        <w:t>a</w:t>
      </w:r>
      <w:r>
        <w:rPr>
          <w:spacing w:val="1"/>
        </w:rPr>
        <w:t>t</w:t>
      </w:r>
      <w:r>
        <w:t xml:space="preserve">e </w:t>
      </w:r>
      <w:r>
        <w:rPr>
          <w:spacing w:val="-4"/>
        </w:rPr>
        <w:t>m</w:t>
      </w:r>
      <w:r>
        <w:t>ăsuri</w:t>
      </w:r>
      <w:r>
        <w:rPr>
          <w:spacing w:val="-2"/>
        </w:rPr>
        <w:t xml:space="preserve"> </w:t>
      </w:r>
      <w:r>
        <w:t>co</w:t>
      </w:r>
      <w:r>
        <w:rPr>
          <w:spacing w:val="-2"/>
        </w:rPr>
        <w:t>r</w:t>
      </w:r>
      <w:r>
        <w:t>esp</w:t>
      </w:r>
      <w:r>
        <w:rPr>
          <w:spacing w:val="-3"/>
        </w:rPr>
        <w:t>u</w:t>
      </w:r>
      <w:r>
        <w:t>n</w:t>
      </w:r>
      <w:r>
        <w:rPr>
          <w:spacing w:val="-3"/>
        </w:rPr>
        <w:t>z</w:t>
      </w:r>
      <w:r>
        <w:t>ă</w:t>
      </w:r>
      <w:r>
        <w:rPr>
          <w:spacing w:val="1"/>
        </w:rPr>
        <w:t>t</w:t>
      </w:r>
      <w:r>
        <w:t>o</w:t>
      </w:r>
      <w:r>
        <w:rPr>
          <w:spacing w:val="-3"/>
        </w:rPr>
        <w:t>a</w:t>
      </w:r>
      <w:r>
        <w:t xml:space="preserve">re. </w:t>
      </w:r>
      <w:r>
        <w:rPr>
          <w:spacing w:val="-1"/>
        </w:rPr>
        <w:t>E</w:t>
      </w:r>
      <w:r>
        <w:rPr>
          <w:spacing w:val="-3"/>
        </w:rPr>
        <w:t>x</w:t>
      </w:r>
      <w:r>
        <w:rPr>
          <w:spacing w:val="1"/>
        </w:rPr>
        <w:t>i</w:t>
      </w:r>
      <w:r>
        <w:t>s</w:t>
      </w:r>
      <w:r>
        <w:rPr>
          <w:spacing w:val="-2"/>
        </w:rPr>
        <w:t>t</w:t>
      </w:r>
      <w:r>
        <w:t>ă e</w:t>
      </w:r>
      <w:r>
        <w:rPr>
          <w:spacing w:val="-3"/>
        </w:rPr>
        <w:t>x</w:t>
      </w:r>
      <w:r>
        <w:t>pe</w:t>
      </w:r>
      <w:r>
        <w:rPr>
          <w:spacing w:val="-2"/>
        </w:rPr>
        <w:t>r</w:t>
      </w:r>
      <w:r>
        <w:rPr>
          <w:spacing w:val="1"/>
        </w:rPr>
        <w:t>i</w:t>
      </w:r>
      <w:r>
        <w:t>e</w:t>
      </w:r>
      <w:r>
        <w:rPr>
          <w:spacing w:val="-3"/>
        </w:rPr>
        <w:t>n</w:t>
      </w:r>
      <w:r>
        <w:rPr>
          <w:spacing w:val="1"/>
        </w:rPr>
        <w:t>ţ</w:t>
      </w:r>
      <w:r>
        <w:t>ă</w:t>
      </w:r>
      <w:r>
        <w:rPr>
          <w:spacing w:val="-2"/>
        </w:rPr>
        <w:t xml:space="preserve"> </w:t>
      </w:r>
      <w:r>
        <w:rPr>
          <w:spacing w:val="1"/>
        </w:rPr>
        <w:t>li</w:t>
      </w:r>
      <w:r>
        <w:rPr>
          <w:spacing w:val="-4"/>
        </w:rPr>
        <w:t>m</w:t>
      </w:r>
      <w:r>
        <w:rPr>
          <w:spacing w:val="1"/>
        </w:rPr>
        <w:t>it</w:t>
      </w:r>
      <w:r>
        <w:rPr>
          <w:spacing w:val="-3"/>
        </w:rPr>
        <w:t>a</w:t>
      </w:r>
      <w:r>
        <w:rPr>
          <w:spacing w:val="-2"/>
        </w:rPr>
        <w:t>t</w:t>
      </w:r>
      <w:r>
        <w:t>ă p</w:t>
      </w:r>
      <w:r>
        <w:rPr>
          <w:spacing w:val="-2"/>
        </w:rPr>
        <w:t>r</w:t>
      </w:r>
      <w:r>
        <w:rPr>
          <w:spacing w:val="1"/>
        </w:rPr>
        <w:t>i</w:t>
      </w:r>
      <w:r>
        <w:rPr>
          <w:spacing w:val="-3"/>
        </w:rPr>
        <w:t>v</w:t>
      </w:r>
      <w:r>
        <w:rPr>
          <w:spacing w:val="1"/>
        </w:rPr>
        <w:t>i</w:t>
      </w:r>
      <w:r>
        <w:t xml:space="preserve">nd </w:t>
      </w:r>
      <w:r>
        <w:rPr>
          <w:spacing w:val="-2"/>
        </w:rPr>
        <w:t>s</w:t>
      </w:r>
      <w:r>
        <w:rPr>
          <w:spacing w:val="1"/>
        </w:rPr>
        <w:t>i</w:t>
      </w:r>
      <w:r>
        <w:rPr>
          <w:spacing w:val="-3"/>
        </w:rPr>
        <w:t>g</w:t>
      </w:r>
      <w:r>
        <w:t>uran</w:t>
      </w:r>
      <w:r>
        <w:rPr>
          <w:spacing w:val="-2"/>
        </w:rPr>
        <w:t>ţ</w:t>
      </w:r>
      <w:r>
        <w:t xml:space="preserve">a </w:t>
      </w:r>
      <w:r>
        <w:rPr>
          <w:spacing w:val="-2"/>
        </w:rPr>
        <w:t>l</w:t>
      </w:r>
      <w:r>
        <w:t>a pa</w:t>
      </w:r>
      <w:r>
        <w:rPr>
          <w:spacing w:val="-3"/>
        </w:rPr>
        <w:t>c</w:t>
      </w:r>
      <w:r>
        <w:rPr>
          <w:spacing w:val="1"/>
        </w:rPr>
        <w:t>i</w:t>
      </w:r>
      <w:r>
        <w:rPr>
          <w:spacing w:val="-3"/>
        </w:rPr>
        <w:t>e</w:t>
      </w:r>
      <w:r>
        <w:t>n</w:t>
      </w:r>
      <w:r>
        <w:rPr>
          <w:spacing w:val="1"/>
        </w:rPr>
        <w:t>ţ</w:t>
      </w:r>
      <w:r>
        <w:rPr>
          <w:spacing w:val="-2"/>
        </w:rPr>
        <w:t>i</w:t>
      </w:r>
      <w:r>
        <w:t>i</w:t>
      </w:r>
      <w:r>
        <w:rPr>
          <w:spacing w:val="1"/>
        </w:rPr>
        <w:t xml:space="preserve"> </w:t>
      </w:r>
      <w:r>
        <w:rPr>
          <w:spacing w:val="-2"/>
        </w:rPr>
        <w:t>l</w:t>
      </w:r>
      <w:r>
        <w:t>a c</w:t>
      </w:r>
      <w:r>
        <w:rPr>
          <w:spacing w:val="-3"/>
        </w:rPr>
        <w:t>a</w:t>
      </w:r>
      <w:r>
        <w:t>re</w:t>
      </w:r>
      <w:r>
        <w:rPr>
          <w:spacing w:val="-2"/>
        </w:rPr>
        <w:t xml:space="preserve"> </w:t>
      </w:r>
      <w:r>
        <w:t>se efe</w:t>
      </w:r>
      <w:r>
        <w:rPr>
          <w:spacing w:val="-3"/>
        </w:rPr>
        <w:t>c</w:t>
      </w:r>
      <w:r>
        <w:rPr>
          <w:spacing w:val="1"/>
        </w:rPr>
        <w:t>t</w:t>
      </w:r>
      <w:r>
        <w:t>u</w:t>
      </w:r>
      <w:r>
        <w:rPr>
          <w:spacing w:val="-3"/>
        </w:rPr>
        <w:t>e</w:t>
      </w:r>
      <w:r>
        <w:t>a</w:t>
      </w:r>
      <w:r>
        <w:rPr>
          <w:spacing w:val="-3"/>
        </w:rPr>
        <w:t>z</w:t>
      </w:r>
      <w:r>
        <w:t>ă a</w:t>
      </w:r>
      <w:r>
        <w:rPr>
          <w:spacing w:val="-2"/>
        </w:rPr>
        <w:t>r</w:t>
      </w:r>
      <w:r>
        <w:rPr>
          <w:spacing w:val="1"/>
        </w:rPr>
        <w:t>t</w:t>
      </w:r>
      <w:r>
        <w:t>r</w:t>
      </w:r>
      <w:r>
        <w:rPr>
          <w:spacing w:val="-3"/>
        </w:rPr>
        <w:t>o</w:t>
      </w:r>
      <w:r>
        <w:t>p</w:t>
      </w:r>
      <w:r>
        <w:rPr>
          <w:spacing w:val="1"/>
        </w:rPr>
        <w:t>l</w:t>
      </w:r>
      <w:r>
        <w:rPr>
          <w:spacing w:val="-3"/>
        </w:rPr>
        <w:t>a</w:t>
      </w:r>
      <w:r>
        <w:t>s</w:t>
      </w:r>
      <w:r>
        <w:rPr>
          <w:spacing w:val="-2"/>
        </w:rPr>
        <w:t>t</w:t>
      </w:r>
      <w:r>
        <w:rPr>
          <w:spacing w:val="1"/>
        </w:rPr>
        <w:t>i</w:t>
      </w:r>
      <w:r>
        <w:t xml:space="preserve">e </w:t>
      </w:r>
      <w:r>
        <w:rPr>
          <w:spacing w:val="-2"/>
        </w:rPr>
        <w:t>ş</w:t>
      </w:r>
      <w:r>
        <w:t>i</w:t>
      </w:r>
      <w:r>
        <w:rPr>
          <w:spacing w:val="1"/>
        </w:rPr>
        <w:t xml:space="preserve"> </w:t>
      </w:r>
      <w:r>
        <w:rPr>
          <w:spacing w:val="-2"/>
        </w:rPr>
        <w:t>s</w:t>
      </w:r>
      <w:r>
        <w:rPr>
          <w:spacing w:val="-3"/>
        </w:rPr>
        <w:t>u</w:t>
      </w:r>
      <w:r>
        <w:t>nt</w:t>
      </w:r>
      <w:r>
        <w:rPr>
          <w:spacing w:val="1"/>
        </w:rPr>
        <w:t xml:space="preserve"> î</w:t>
      </w:r>
      <w:r>
        <w:t>n</w:t>
      </w:r>
      <w:r>
        <w:rPr>
          <w:spacing w:val="-3"/>
        </w:rPr>
        <w:t xml:space="preserve"> </w:t>
      </w:r>
      <w:r>
        <w:rPr>
          <w:spacing w:val="-2"/>
        </w:rPr>
        <w:t>t</w:t>
      </w:r>
      <w:r>
        <w:t>ra</w:t>
      </w:r>
      <w:r>
        <w:rPr>
          <w:spacing w:val="-2"/>
        </w:rPr>
        <w:t>t</w:t>
      </w:r>
      <w:r>
        <w:t>a</w:t>
      </w:r>
      <w:r>
        <w:rPr>
          <w:spacing w:val="-4"/>
        </w:rPr>
        <w:t>m</w:t>
      </w:r>
      <w:r>
        <w:t>ent</w:t>
      </w:r>
      <w:r>
        <w:rPr>
          <w:spacing w:val="1"/>
        </w:rPr>
        <w:t xml:space="preserve"> </w:t>
      </w:r>
      <w:r>
        <w:t xml:space="preserve">cu </w:t>
      </w:r>
      <w:r>
        <w:rPr>
          <w:rFonts w:eastAsia="MS Mincho"/>
          <w:spacing w:val="-1"/>
          <w:szCs w:val="22"/>
          <w:lang w:eastAsia="en-US" w:bidi="ar-SA"/>
        </w:rPr>
        <w:t>adalimumab</w:t>
      </w:r>
      <w:r>
        <w:t>.</w:t>
      </w:r>
    </w:p>
    <w:p w14:paraId="7C8D423B" w14:textId="77777777" w:rsidR="00C04CAD" w:rsidRDefault="00C04CAD">
      <w:pPr>
        <w:tabs>
          <w:tab w:val="clear" w:pos="567"/>
        </w:tabs>
        <w:kinsoku w:val="0"/>
        <w:overflowPunct w:val="0"/>
        <w:autoSpaceDE w:val="0"/>
        <w:autoSpaceDN w:val="0"/>
        <w:adjustRightInd w:val="0"/>
        <w:spacing w:line="240" w:lineRule="auto"/>
        <w:rPr>
          <w:szCs w:val="22"/>
        </w:rPr>
      </w:pPr>
    </w:p>
    <w:p w14:paraId="5232BD68" w14:textId="77777777" w:rsidR="00C04CAD" w:rsidRDefault="00060E34">
      <w:pPr>
        <w:keepNext/>
        <w:tabs>
          <w:tab w:val="clear" w:pos="567"/>
        </w:tabs>
        <w:kinsoku w:val="0"/>
        <w:overflowPunct w:val="0"/>
        <w:autoSpaceDE w:val="0"/>
        <w:autoSpaceDN w:val="0"/>
        <w:adjustRightInd w:val="0"/>
        <w:spacing w:line="240" w:lineRule="auto"/>
        <w:rPr>
          <w:szCs w:val="22"/>
        </w:rPr>
      </w:pPr>
      <w:r>
        <w:rPr>
          <w:spacing w:val="-1"/>
          <w:szCs w:val="22"/>
          <w:u w:val="single"/>
        </w:rPr>
        <w:t>O</w:t>
      </w:r>
      <w:r>
        <w:rPr>
          <w:szCs w:val="22"/>
          <w:u w:val="single"/>
        </w:rPr>
        <w:t>c</w:t>
      </w:r>
      <w:r>
        <w:rPr>
          <w:spacing w:val="1"/>
          <w:szCs w:val="22"/>
          <w:u w:val="single"/>
        </w:rPr>
        <w:t>l</w:t>
      </w:r>
      <w:r>
        <w:rPr>
          <w:szCs w:val="22"/>
          <w:u w:val="single"/>
        </w:rPr>
        <w:t>u</w:t>
      </w:r>
      <w:r>
        <w:rPr>
          <w:spacing w:val="-3"/>
          <w:szCs w:val="22"/>
          <w:u w:val="single"/>
        </w:rPr>
        <w:t>z</w:t>
      </w:r>
      <w:r>
        <w:rPr>
          <w:spacing w:val="1"/>
          <w:szCs w:val="22"/>
          <w:u w:val="single"/>
        </w:rPr>
        <w:t>ie i</w:t>
      </w:r>
      <w:r>
        <w:rPr>
          <w:szCs w:val="22"/>
          <w:u w:val="single"/>
        </w:rPr>
        <w:t>n</w:t>
      </w:r>
      <w:r>
        <w:rPr>
          <w:spacing w:val="-2"/>
          <w:szCs w:val="22"/>
          <w:u w:val="single"/>
        </w:rPr>
        <w:t>t</w:t>
      </w:r>
      <w:r>
        <w:rPr>
          <w:szCs w:val="22"/>
          <w:u w:val="single"/>
        </w:rPr>
        <w:t>es</w:t>
      </w:r>
      <w:r>
        <w:rPr>
          <w:spacing w:val="-2"/>
          <w:szCs w:val="22"/>
          <w:u w:val="single"/>
        </w:rPr>
        <w:t>t</w:t>
      </w:r>
      <w:r>
        <w:rPr>
          <w:spacing w:val="1"/>
          <w:szCs w:val="22"/>
          <w:u w:val="single"/>
        </w:rPr>
        <w:t>i</w:t>
      </w:r>
      <w:r>
        <w:rPr>
          <w:szCs w:val="22"/>
          <w:u w:val="single"/>
        </w:rPr>
        <w:t>n</w:t>
      </w:r>
      <w:r>
        <w:rPr>
          <w:spacing w:val="-3"/>
          <w:szCs w:val="22"/>
          <w:u w:val="single"/>
        </w:rPr>
        <w:t>a</w:t>
      </w:r>
      <w:r>
        <w:rPr>
          <w:spacing w:val="1"/>
          <w:szCs w:val="22"/>
          <w:u w:val="single"/>
        </w:rPr>
        <w:t>lă</w:t>
      </w:r>
    </w:p>
    <w:p w14:paraId="7F990EE0" w14:textId="77777777" w:rsidR="00C04CAD" w:rsidRDefault="00C04CAD">
      <w:pPr>
        <w:keepNext/>
        <w:tabs>
          <w:tab w:val="clear" w:pos="567"/>
        </w:tabs>
        <w:kinsoku w:val="0"/>
        <w:overflowPunct w:val="0"/>
        <w:autoSpaceDE w:val="0"/>
        <w:autoSpaceDN w:val="0"/>
        <w:adjustRightInd w:val="0"/>
        <w:spacing w:line="240" w:lineRule="auto"/>
        <w:rPr>
          <w:szCs w:val="22"/>
        </w:rPr>
      </w:pPr>
    </w:p>
    <w:p w14:paraId="2DDCAE3F" w14:textId="77777777" w:rsidR="00C04CAD" w:rsidRDefault="00060E34">
      <w:pPr>
        <w:pStyle w:val="BodyText"/>
        <w:kinsoku w:val="0"/>
        <w:overflowPunct w:val="0"/>
        <w:rPr>
          <w:i w:val="0"/>
          <w:color w:val="auto"/>
          <w:szCs w:val="22"/>
        </w:rPr>
      </w:pPr>
      <w:r>
        <w:rPr>
          <w:i w:val="0"/>
          <w:color w:val="auto"/>
          <w:spacing w:val="-1"/>
          <w:szCs w:val="22"/>
        </w:rPr>
        <w:t>E</w:t>
      </w:r>
      <w:r>
        <w:rPr>
          <w:i w:val="0"/>
          <w:color w:val="auto"/>
          <w:szCs w:val="22"/>
        </w:rPr>
        <w:t>şec</w:t>
      </w:r>
      <w:r>
        <w:rPr>
          <w:i w:val="0"/>
          <w:color w:val="auto"/>
          <w:spacing w:val="-3"/>
          <w:szCs w:val="22"/>
        </w:rPr>
        <w:t>u</w:t>
      </w:r>
      <w:r>
        <w:rPr>
          <w:i w:val="0"/>
          <w:color w:val="auto"/>
          <w:szCs w:val="22"/>
        </w:rPr>
        <w:t>l</w:t>
      </w:r>
      <w:r>
        <w:rPr>
          <w:i w:val="0"/>
          <w:color w:val="auto"/>
          <w:spacing w:val="1"/>
          <w:szCs w:val="22"/>
        </w:rPr>
        <w:t xml:space="preserve"> </w:t>
      </w:r>
      <w:r>
        <w:rPr>
          <w:i w:val="0"/>
          <w:color w:val="auto"/>
          <w:spacing w:val="-2"/>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w:t>
      </w:r>
      <w:r>
        <w:rPr>
          <w:i w:val="0"/>
          <w:color w:val="auto"/>
          <w:spacing w:val="1"/>
          <w:szCs w:val="22"/>
        </w:rPr>
        <w:t>l</w:t>
      </w:r>
      <w:r>
        <w:rPr>
          <w:i w:val="0"/>
          <w:color w:val="auto"/>
          <w:spacing w:val="-3"/>
          <w:szCs w:val="22"/>
        </w:rPr>
        <w:t>u</w:t>
      </w:r>
      <w:r>
        <w:rPr>
          <w:i w:val="0"/>
          <w:color w:val="auto"/>
          <w:szCs w:val="22"/>
        </w:rPr>
        <w:t>i</w:t>
      </w:r>
      <w:r>
        <w:rPr>
          <w:i w:val="0"/>
          <w:color w:val="auto"/>
          <w:spacing w:val="1"/>
          <w:szCs w:val="22"/>
        </w:rPr>
        <w:t xml:space="preserve"> </w:t>
      </w:r>
      <w:r>
        <w:rPr>
          <w:i w:val="0"/>
          <w:color w:val="auto"/>
          <w:szCs w:val="22"/>
        </w:rPr>
        <w:t>b</w:t>
      </w:r>
      <w:r>
        <w:rPr>
          <w:i w:val="0"/>
          <w:color w:val="auto"/>
          <w:spacing w:val="-3"/>
          <w:szCs w:val="22"/>
        </w:rPr>
        <w:t>o</w:t>
      </w:r>
      <w:r>
        <w:rPr>
          <w:i w:val="0"/>
          <w:color w:val="auto"/>
          <w:spacing w:val="1"/>
          <w:szCs w:val="22"/>
        </w:rPr>
        <w:t>l</w:t>
      </w:r>
      <w:r>
        <w:rPr>
          <w:i w:val="0"/>
          <w:color w:val="auto"/>
          <w:spacing w:val="-2"/>
          <w:szCs w:val="22"/>
        </w:rPr>
        <w:t>i</w:t>
      </w:r>
      <w:r>
        <w:rPr>
          <w:i w:val="0"/>
          <w:color w:val="auto"/>
          <w:szCs w:val="22"/>
        </w:rPr>
        <w:t>i</w:t>
      </w:r>
      <w:r>
        <w:rPr>
          <w:i w:val="0"/>
          <w:color w:val="auto"/>
          <w:spacing w:val="-2"/>
          <w:szCs w:val="22"/>
        </w:rPr>
        <w:t xml:space="preserve"> </w:t>
      </w:r>
      <w:r>
        <w:rPr>
          <w:i w:val="0"/>
          <w:color w:val="auto"/>
          <w:spacing w:val="-1"/>
          <w:szCs w:val="22"/>
        </w:rPr>
        <w:t>C</w:t>
      </w:r>
      <w:r>
        <w:rPr>
          <w:i w:val="0"/>
          <w:color w:val="auto"/>
          <w:szCs w:val="22"/>
        </w:rPr>
        <w:t>rohn p</w:t>
      </w:r>
      <w:r>
        <w:rPr>
          <w:i w:val="0"/>
          <w:color w:val="auto"/>
          <w:spacing w:val="-3"/>
          <w:szCs w:val="22"/>
        </w:rPr>
        <w:t>o</w:t>
      </w:r>
      <w:r>
        <w:rPr>
          <w:i w:val="0"/>
          <w:color w:val="auto"/>
          <w:szCs w:val="22"/>
        </w:rPr>
        <w:t>a</w:t>
      </w:r>
      <w:r>
        <w:rPr>
          <w:i w:val="0"/>
          <w:color w:val="auto"/>
          <w:spacing w:val="1"/>
          <w:szCs w:val="22"/>
        </w:rPr>
        <w:t>t</w:t>
      </w:r>
      <w:r>
        <w:rPr>
          <w:i w:val="0"/>
          <w:color w:val="auto"/>
          <w:szCs w:val="22"/>
        </w:rPr>
        <w:t>e</w:t>
      </w:r>
      <w:r>
        <w:rPr>
          <w:i w:val="0"/>
          <w:color w:val="auto"/>
          <w:spacing w:val="-2"/>
          <w:szCs w:val="22"/>
        </w:rPr>
        <w:t xml:space="preserve"> </w:t>
      </w:r>
      <w:r>
        <w:rPr>
          <w:i w:val="0"/>
          <w:color w:val="auto"/>
          <w:spacing w:val="1"/>
          <w:szCs w:val="22"/>
        </w:rPr>
        <w:t>i</w:t>
      </w:r>
      <w:r>
        <w:rPr>
          <w:i w:val="0"/>
          <w:color w:val="auto"/>
          <w:szCs w:val="22"/>
        </w:rPr>
        <w:t>n</w:t>
      </w:r>
      <w:r>
        <w:rPr>
          <w:i w:val="0"/>
          <w:color w:val="auto"/>
          <w:spacing w:val="-3"/>
          <w:szCs w:val="22"/>
        </w:rPr>
        <w:t>d</w:t>
      </w:r>
      <w:r>
        <w:rPr>
          <w:i w:val="0"/>
          <w:color w:val="auto"/>
          <w:spacing w:val="1"/>
          <w:szCs w:val="22"/>
        </w:rPr>
        <w:t>i</w:t>
      </w:r>
      <w:r>
        <w:rPr>
          <w:i w:val="0"/>
          <w:color w:val="auto"/>
          <w:szCs w:val="22"/>
        </w:rPr>
        <w:t>ca</w:t>
      </w:r>
      <w:r>
        <w:rPr>
          <w:i w:val="0"/>
          <w:color w:val="auto"/>
          <w:spacing w:val="-2"/>
          <w:szCs w:val="22"/>
        </w:rPr>
        <w:t xml:space="preserve"> </w:t>
      </w:r>
      <w:r>
        <w:rPr>
          <w:i w:val="0"/>
          <w:color w:val="auto"/>
          <w:szCs w:val="22"/>
        </w:rPr>
        <w:t>pre</w:t>
      </w:r>
      <w:r>
        <w:rPr>
          <w:i w:val="0"/>
          <w:color w:val="auto"/>
          <w:spacing w:val="-3"/>
          <w:szCs w:val="22"/>
        </w:rPr>
        <w:t>z</w:t>
      </w:r>
      <w:r>
        <w:rPr>
          <w:i w:val="0"/>
          <w:color w:val="auto"/>
          <w:szCs w:val="22"/>
        </w:rPr>
        <w:t>e</w:t>
      </w:r>
      <w:r>
        <w:rPr>
          <w:i w:val="0"/>
          <w:color w:val="auto"/>
          <w:spacing w:val="-3"/>
          <w:szCs w:val="22"/>
        </w:rPr>
        <w:t>n</w:t>
      </w:r>
      <w:r>
        <w:rPr>
          <w:i w:val="0"/>
          <w:color w:val="auto"/>
          <w:spacing w:val="-2"/>
          <w:szCs w:val="22"/>
        </w:rPr>
        <w:t>ţ</w:t>
      </w:r>
      <w:r>
        <w:rPr>
          <w:i w:val="0"/>
          <w:color w:val="auto"/>
          <w:szCs w:val="22"/>
        </w:rPr>
        <w:t>a un</w:t>
      </w:r>
      <w:r>
        <w:rPr>
          <w:i w:val="0"/>
          <w:color w:val="auto"/>
          <w:spacing w:val="-3"/>
          <w:szCs w:val="22"/>
        </w:rPr>
        <w:t>e</w:t>
      </w:r>
      <w:r>
        <w:rPr>
          <w:i w:val="0"/>
          <w:color w:val="auto"/>
          <w:szCs w:val="22"/>
        </w:rPr>
        <w:t>i</w:t>
      </w:r>
      <w:r>
        <w:rPr>
          <w:i w:val="0"/>
          <w:color w:val="auto"/>
          <w:spacing w:val="1"/>
          <w:szCs w:val="22"/>
        </w:rPr>
        <w:t xml:space="preserve"> </w:t>
      </w:r>
      <w:r>
        <w:rPr>
          <w:i w:val="0"/>
          <w:color w:val="auto"/>
          <w:szCs w:val="22"/>
        </w:rPr>
        <w:t>s</w:t>
      </w:r>
      <w:r>
        <w:rPr>
          <w:i w:val="0"/>
          <w:color w:val="auto"/>
          <w:spacing w:val="-2"/>
          <w:szCs w:val="22"/>
        </w:rPr>
        <w:t>t</w:t>
      </w:r>
      <w:r>
        <w:rPr>
          <w:i w:val="0"/>
          <w:color w:val="auto"/>
          <w:szCs w:val="22"/>
        </w:rPr>
        <w:t>r</w:t>
      </w:r>
      <w:r>
        <w:rPr>
          <w:i w:val="0"/>
          <w:color w:val="auto"/>
          <w:spacing w:val="-2"/>
          <w:szCs w:val="22"/>
        </w:rPr>
        <w:t>i</w:t>
      </w:r>
      <w:r>
        <w:rPr>
          <w:i w:val="0"/>
          <w:color w:val="auto"/>
          <w:szCs w:val="22"/>
        </w:rPr>
        <w:t>c</w:t>
      </w:r>
      <w:r>
        <w:rPr>
          <w:i w:val="0"/>
          <w:color w:val="auto"/>
          <w:spacing w:val="-2"/>
          <w:szCs w:val="22"/>
        </w:rPr>
        <w:t>t</w:t>
      </w:r>
      <w:r>
        <w:rPr>
          <w:i w:val="0"/>
          <w:color w:val="auto"/>
          <w:szCs w:val="22"/>
        </w:rPr>
        <w:t>u</w:t>
      </w:r>
      <w:r>
        <w:rPr>
          <w:i w:val="0"/>
          <w:color w:val="auto"/>
          <w:spacing w:val="-2"/>
          <w:szCs w:val="22"/>
        </w:rPr>
        <w:t>r</w:t>
      </w:r>
      <w:r>
        <w:rPr>
          <w:i w:val="0"/>
          <w:color w:val="auto"/>
          <w:szCs w:val="22"/>
        </w:rPr>
        <w:t>i</w:t>
      </w:r>
      <w:r>
        <w:rPr>
          <w:i w:val="0"/>
          <w:color w:val="auto"/>
          <w:spacing w:val="1"/>
          <w:szCs w:val="22"/>
        </w:rPr>
        <w:t xml:space="preserve"> </w:t>
      </w:r>
      <w:r>
        <w:rPr>
          <w:i w:val="0"/>
          <w:color w:val="auto"/>
          <w:spacing w:val="-2"/>
          <w:szCs w:val="22"/>
        </w:rPr>
        <w:t>f</w:t>
      </w:r>
      <w:r>
        <w:rPr>
          <w:i w:val="0"/>
          <w:color w:val="auto"/>
          <w:spacing w:val="1"/>
          <w:szCs w:val="22"/>
        </w:rPr>
        <w:t>i</w:t>
      </w:r>
      <w:r>
        <w:rPr>
          <w:i w:val="0"/>
          <w:color w:val="auto"/>
          <w:szCs w:val="22"/>
        </w:rPr>
        <w:t>br</w:t>
      </w:r>
      <w:r>
        <w:rPr>
          <w:i w:val="0"/>
          <w:color w:val="auto"/>
          <w:spacing w:val="-3"/>
          <w:szCs w:val="22"/>
        </w:rPr>
        <w:t>o</w:t>
      </w:r>
      <w:r>
        <w:rPr>
          <w:i w:val="0"/>
          <w:color w:val="auto"/>
          <w:szCs w:val="22"/>
        </w:rPr>
        <w:t>ase</w:t>
      </w:r>
      <w:r>
        <w:rPr>
          <w:i w:val="0"/>
          <w:color w:val="auto"/>
          <w:spacing w:val="-2"/>
          <w:szCs w:val="22"/>
        </w:rPr>
        <w:t xml:space="preserve"> </w:t>
      </w:r>
      <w:r>
        <w:rPr>
          <w:i w:val="0"/>
          <w:color w:val="auto"/>
          <w:szCs w:val="22"/>
        </w:rPr>
        <w:t>f</w:t>
      </w:r>
      <w:r>
        <w:rPr>
          <w:i w:val="0"/>
          <w:color w:val="auto"/>
          <w:spacing w:val="-2"/>
          <w:szCs w:val="22"/>
        </w:rPr>
        <w:t>i</w:t>
      </w:r>
      <w:r>
        <w:rPr>
          <w:i w:val="0"/>
          <w:color w:val="auto"/>
          <w:szCs w:val="22"/>
        </w:rPr>
        <w:t>xe</w:t>
      </w:r>
      <w:r>
        <w:rPr>
          <w:i w:val="0"/>
          <w:color w:val="auto"/>
          <w:spacing w:val="-2"/>
          <w:szCs w:val="22"/>
        </w:rPr>
        <w:t xml:space="preserve"> </w:t>
      </w:r>
      <w:r>
        <w:rPr>
          <w:i w:val="0"/>
          <w:color w:val="auto"/>
          <w:szCs w:val="22"/>
        </w:rPr>
        <w:t>care</w:t>
      </w:r>
      <w:r>
        <w:rPr>
          <w:i w:val="0"/>
          <w:color w:val="auto"/>
          <w:spacing w:val="-2"/>
          <w:szCs w:val="22"/>
        </w:rPr>
        <w:t xml:space="preserve"> </w:t>
      </w:r>
      <w:r>
        <w:rPr>
          <w:i w:val="0"/>
          <w:color w:val="auto"/>
          <w:szCs w:val="22"/>
        </w:rPr>
        <w:t>ne</w:t>
      </w:r>
      <w:r>
        <w:rPr>
          <w:i w:val="0"/>
          <w:color w:val="auto"/>
          <w:spacing w:val="-3"/>
          <w:szCs w:val="22"/>
        </w:rPr>
        <w:t>c</w:t>
      </w:r>
      <w:r>
        <w:rPr>
          <w:i w:val="0"/>
          <w:color w:val="auto"/>
          <w:szCs w:val="22"/>
        </w:rPr>
        <w:t>e</w:t>
      </w:r>
      <w:r>
        <w:rPr>
          <w:i w:val="0"/>
          <w:color w:val="auto"/>
          <w:spacing w:val="-2"/>
          <w:szCs w:val="22"/>
        </w:rPr>
        <w:t>s</w:t>
      </w:r>
      <w:r>
        <w:rPr>
          <w:i w:val="0"/>
          <w:color w:val="auto"/>
          <w:spacing w:val="1"/>
          <w:szCs w:val="22"/>
        </w:rPr>
        <w:t>it</w:t>
      </w:r>
      <w:r>
        <w:rPr>
          <w:i w:val="0"/>
          <w:color w:val="auto"/>
          <w:szCs w:val="22"/>
        </w:rPr>
        <w:t xml:space="preserve">ă </w:t>
      </w:r>
      <w:r>
        <w:rPr>
          <w:i w:val="0"/>
          <w:color w:val="auto"/>
          <w:spacing w:val="1"/>
          <w:szCs w:val="22"/>
        </w:rPr>
        <w:t>t</w:t>
      </w:r>
      <w:r>
        <w:rPr>
          <w:i w:val="0"/>
          <w:color w:val="auto"/>
          <w:szCs w:val="22"/>
        </w:rPr>
        <w:t>r</w:t>
      </w:r>
      <w:r>
        <w:rPr>
          <w:i w:val="0"/>
          <w:color w:val="auto"/>
          <w:spacing w:val="-3"/>
          <w:szCs w:val="22"/>
        </w:rPr>
        <w:t>a</w:t>
      </w:r>
      <w:r>
        <w:rPr>
          <w:i w:val="0"/>
          <w:color w:val="auto"/>
          <w:spacing w:val="1"/>
          <w:szCs w:val="22"/>
        </w:rPr>
        <w:t>t</w:t>
      </w:r>
      <w:r>
        <w:rPr>
          <w:i w:val="0"/>
          <w:color w:val="auto"/>
          <w:szCs w:val="22"/>
        </w:rPr>
        <w:t>a</w:t>
      </w:r>
      <w:r>
        <w:rPr>
          <w:i w:val="0"/>
          <w:color w:val="auto"/>
          <w:spacing w:val="-4"/>
          <w:szCs w:val="22"/>
        </w:rPr>
        <w:t>m</w:t>
      </w:r>
      <w:r>
        <w:rPr>
          <w:i w:val="0"/>
          <w:color w:val="auto"/>
          <w:szCs w:val="22"/>
        </w:rPr>
        <w:t>ent</w:t>
      </w:r>
      <w:r>
        <w:rPr>
          <w:i w:val="0"/>
          <w:color w:val="auto"/>
          <w:spacing w:val="1"/>
          <w:szCs w:val="22"/>
        </w:rPr>
        <w:t xml:space="preserve"> </w:t>
      </w:r>
      <w:r>
        <w:rPr>
          <w:i w:val="0"/>
          <w:color w:val="auto"/>
          <w:szCs w:val="22"/>
        </w:rPr>
        <w:t>c</w:t>
      </w:r>
      <w:r>
        <w:rPr>
          <w:i w:val="0"/>
          <w:color w:val="auto"/>
          <w:spacing w:val="-3"/>
          <w:szCs w:val="22"/>
        </w:rPr>
        <w:t>h</w:t>
      </w:r>
      <w:r>
        <w:rPr>
          <w:i w:val="0"/>
          <w:color w:val="auto"/>
          <w:spacing w:val="1"/>
          <w:szCs w:val="22"/>
        </w:rPr>
        <w:t>i</w:t>
      </w:r>
      <w:r>
        <w:rPr>
          <w:i w:val="0"/>
          <w:color w:val="auto"/>
          <w:spacing w:val="-2"/>
          <w:szCs w:val="22"/>
        </w:rPr>
        <w:t>r</w:t>
      </w:r>
      <w:r>
        <w:rPr>
          <w:i w:val="0"/>
          <w:color w:val="auto"/>
          <w:szCs w:val="22"/>
        </w:rPr>
        <w:t>ur</w:t>
      </w:r>
      <w:r>
        <w:rPr>
          <w:i w:val="0"/>
          <w:color w:val="auto"/>
          <w:spacing w:val="-3"/>
          <w:szCs w:val="22"/>
        </w:rPr>
        <w:t>g</w:t>
      </w:r>
      <w:r>
        <w:rPr>
          <w:i w:val="0"/>
          <w:color w:val="auto"/>
          <w:spacing w:val="1"/>
          <w:szCs w:val="22"/>
        </w:rPr>
        <w:t>i</w:t>
      </w:r>
      <w:r>
        <w:rPr>
          <w:i w:val="0"/>
          <w:color w:val="auto"/>
          <w:szCs w:val="22"/>
        </w:rPr>
        <w:t>c</w:t>
      </w:r>
      <w:r>
        <w:rPr>
          <w:i w:val="0"/>
          <w:color w:val="auto"/>
          <w:spacing w:val="-3"/>
          <w:szCs w:val="22"/>
        </w:rPr>
        <w:t>a</w:t>
      </w:r>
      <w:r>
        <w:rPr>
          <w:i w:val="0"/>
          <w:color w:val="auto"/>
          <w:spacing w:val="1"/>
          <w:szCs w:val="22"/>
        </w:rPr>
        <w:t>l</w:t>
      </w:r>
      <w:r>
        <w:rPr>
          <w:i w:val="0"/>
          <w:color w:val="auto"/>
          <w:szCs w:val="22"/>
        </w:rPr>
        <w:t xml:space="preserve">. </w:t>
      </w:r>
      <w:r>
        <w:rPr>
          <w:i w:val="0"/>
          <w:color w:val="auto"/>
          <w:spacing w:val="-2"/>
          <w:szCs w:val="22"/>
        </w:rPr>
        <w:t>D</w:t>
      </w:r>
      <w:r>
        <w:rPr>
          <w:i w:val="0"/>
          <w:color w:val="auto"/>
          <w:spacing w:val="-3"/>
          <w:szCs w:val="22"/>
        </w:rPr>
        <w:t>a</w:t>
      </w:r>
      <w:r>
        <w:rPr>
          <w:i w:val="0"/>
          <w:color w:val="auto"/>
          <w:spacing w:val="1"/>
          <w:szCs w:val="22"/>
        </w:rPr>
        <w:t>t</w:t>
      </w:r>
      <w:r>
        <w:rPr>
          <w:i w:val="0"/>
          <w:color w:val="auto"/>
          <w:spacing w:val="-3"/>
          <w:szCs w:val="22"/>
        </w:rPr>
        <w:t>e</w:t>
      </w:r>
      <w:r>
        <w:rPr>
          <w:i w:val="0"/>
          <w:color w:val="auto"/>
          <w:spacing w:val="-2"/>
          <w:szCs w:val="22"/>
        </w:rPr>
        <w:t>l</w:t>
      </w:r>
      <w:r>
        <w:rPr>
          <w:i w:val="0"/>
          <w:color w:val="auto"/>
          <w:szCs w:val="22"/>
        </w:rPr>
        <w:t>e d</w:t>
      </w:r>
      <w:r>
        <w:rPr>
          <w:i w:val="0"/>
          <w:color w:val="auto"/>
          <w:spacing w:val="1"/>
          <w:szCs w:val="22"/>
        </w:rPr>
        <w:t>i</w:t>
      </w:r>
      <w:r>
        <w:rPr>
          <w:i w:val="0"/>
          <w:color w:val="auto"/>
          <w:spacing w:val="-2"/>
          <w:szCs w:val="22"/>
        </w:rPr>
        <w:t>s</w:t>
      </w:r>
      <w:r>
        <w:rPr>
          <w:i w:val="0"/>
          <w:color w:val="auto"/>
          <w:szCs w:val="22"/>
        </w:rPr>
        <w:t>pon</w:t>
      </w:r>
      <w:r>
        <w:rPr>
          <w:i w:val="0"/>
          <w:color w:val="auto"/>
          <w:spacing w:val="-2"/>
          <w:szCs w:val="22"/>
        </w:rPr>
        <w:t>i</w:t>
      </w:r>
      <w:r>
        <w:rPr>
          <w:i w:val="0"/>
          <w:color w:val="auto"/>
          <w:szCs w:val="22"/>
        </w:rPr>
        <w:t>b</w:t>
      </w:r>
      <w:r>
        <w:rPr>
          <w:i w:val="0"/>
          <w:color w:val="auto"/>
          <w:spacing w:val="-2"/>
          <w:szCs w:val="22"/>
        </w:rPr>
        <w:t>i</w:t>
      </w:r>
      <w:r>
        <w:rPr>
          <w:i w:val="0"/>
          <w:color w:val="auto"/>
          <w:spacing w:val="1"/>
          <w:szCs w:val="22"/>
        </w:rPr>
        <w:t>l</w:t>
      </w:r>
      <w:r>
        <w:rPr>
          <w:i w:val="0"/>
          <w:color w:val="auto"/>
          <w:szCs w:val="22"/>
        </w:rPr>
        <w:t xml:space="preserve">e </w:t>
      </w:r>
      <w:r>
        <w:rPr>
          <w:i w:val="0"/>
          <w:color w:val="auto"/>
          <w:spacing w:val="-3"/>
          <w:szCs w:val="22"/>
        </w:rPr>
        <w:t>p</w:t>
      </w:r>
      <w:r>
        <w:rPr>
          <w:i w:val="0"/>
          <w:color w:val="auto"/>
          <w:szCs w:val="22"/>
        </w:rPr>
        <w:t xml:space="preserve">ână </w:t>
      </w:r>
      <w:r>
        <w:rPr>
          <w:i w:val="0"/>
          <w:color w:val="auto"/>
          <w:spacing w:val="-3"/>
          <w:szCs w:val="22"/>
        </w:rPr>
        <w:t>a</w:t>
      </w:r>
      <w:r>
        <w:rPr>
          <w:i w:val="0"/>
          <w:color w:val="auto"/>
          <w:szCs w:val="22"/>
        </w:rPr>
        <w:t>cum</w:t>
      </w:r>
      <w:r>
        <w:rPr>
          <w:i w:val="0"/>
          <w:color w:val="auto"/>
          <w:spacing w:val="-4"/>
          <w:szCs w:val="22"/>
        </w:rPr>
        <w:t xml:space="preserve"> </w:t>
      </w:r>
      <w:r>
        <w:rPr>
          <w:i w:val="0"/>
          <w:color w:val="auto"/>
          <w:szCs w:val="22"/>
        </w:rPr>
        <w:t>ar</w:t>
      </w:r>
      <w:r>
        <w:rPr>
          <w:i w:val="0"/>
          <w:color w:val="auto"/>
          <w:spacing w:val="-3"/>
          <w:szCs w:val="22"/>
        </w:rPr>
        <w:t>a</w:t>
      </w:r>
      <w:r>
        <w:rPr>
          <w:i w:val="0"/>
          <w:color w:val="auto"/>
          <w:spacing w:val="1"/>
          <w:szCs w:val="22"/>
        </w:rPr>
        <w:t>t</w:t>
      </w:r>
      <w:r>
        <w:rPr>
          <w:i w:val="0"/>
          <w:color w:val="auto"/>
          <w:szCs w:val="22"/>
        </w:rPr>
        <w:t xml:space="preserve">ă </w:t>
      </w:r>
      <w:r>
        <w:rPr>
          <w:i w:val="0"/>
          <w:color w:val="auto"/>
          <w:spacing w:val="-3"/>
          <w:szCs w:val="22"/>
        </w:rPr>
        <w:t>c</w:t>
      </w:r>
      <w:r>
        <w:rPr>
          <w:i w:val="0"/>
          <w:color w:val="auto"/>
          <w:szCs w:val="22"/>
        </w:rPr>
        <w:t xml:space="preserve">ă </w:t>
      </w:r>
      <w:r>
        <w:rPr>
          <w:i w:val="0"/>
          <w:color w:val="auto"/>
          <w:spacing w:val="-2"/>
          <w:szCs w:val="22"/>
        </w:rPr>
        <w:t>t</w:t>
      </w:r>
      <w:r>
        <w:rPr>
          <w:i w:val="0"/>
          <w:color w:val="auto"/>
          <w:szCs w:val="22"/>
        </w:rPr>
        <w:t>ra</w:t>
      </w:r>
      <w:r>
        <w:rPr>
          <w:i w:val="0"/>
          <w:color w:val="auto"/>
          <w:spacing w:val="-2"/>
          <w:szCs w:val="22"/>
        </w:rPr>
        <w:t>t</w:t>
      </w:r>
      <w:r>
        <w:rPr>
          <w:i w:val="0"/>
          <w:color w:val="auto"/>
          <w:szCs w:val="22"/>
        </w:rPr>
        <w:t>a</w:t>
      </w:r>
      <w:r>
        <w:rPr>
          <w:i w:val="0"/>
          <w:color w:val="auto"/>
          <w:spacing w:val="-4"/>
          <w:szCs w:val="22"/>
        </w:rPr>
        <w:t>m</w:t>
      </w:r>
      <w:r>
        <w:rPr>
          <w:i w:val="0"/>
          <w:color w:val="auto"/>
          <w:szCs w:val="22"/>
        </w:rPr>
        <w:t>en</w:t>
      </w:r>
      <w:r>
        <w:rPr>
          <w:i w:val="0"/>
          <w:color w:val="auto"/>
          <w:spacing w:val="1"/>
          <w:szCs w:val="22"/>
        </w:rPr>
        <w:t>t</w:t>
      </w:r>
      <w:r>
        <w:rPr>
          <w:i w:val="0"/>
          <w:color w:val="auto"/>
          <w:szCs w:val="22"/>
        </w:rPr>
        <w:t>ul</w:t>
      </w:r>
      <w:r>
        <w:rPr>
          <w:i w:val="0"/>
          <w:color w:val="auto"/>
          <w:spacing w:val="-2"/>
          <w:szCs w:val="22"/>
        </w:rPr>
        <w:t xml:space="preserve"> </w:t>
      </w:r>
      <w:r>
        <w:rPr>
          <w:i w:val="0"/>
          <w:color w:val="auto"/>
          <w:szCs w:val="22"/>
        </w:rPr>
        <w:t xml:space="preserve">cu </w:t>
      </w:r>
      <w:r>
        <w:rPr>
          <w:rFonts w:eastAsia="MS Mincho"/>
          <w:i w:val="0"/>
          <w:color w:val="auto"/>
          <w:spacing w:val="-1"/>
          <w:szCs w:val="22"/>
          <w:lang w:eastAsia="en-US" w:bidi="ar-SA"/>
        </w:rPr>
        <w:t>adalimumab</w:t>
      </w:r>
      <w:r>
        <w:rPr>
          <w:i w:val="0"/>
          <w:color w:val="auto"/>
          <w:spacing w:val="-2"/>
          <w:szCs w:val="22"/>
        </w:rPr>
        <w:t xml:space="preserve"> </w:t>
      </w:r>
      <w:r>
        <w:rPr>
          <w:i w:val="0"/>
          <w:color w:val="auto"/>
          <w:szCs w:val="22"/>
        </w:rPr>
        <w:t>nu a</w:t>
      </w:r>
      <w:r>
        <w:rPr>
          <w:i w:val="0"/>
          <w:color w:val="auto"/>
          <w:spacing w:val="-3"/>
          <w:szCs w:val="22"/>
        </w:rPr>
        <w:t>g</w:t>
      </w:r>
      <w:r>
        <w:rPr>
          <w:i w:val="0"/>
          <w:color w:val="auto"/>
          <w:szCs w:val="22"/>
        </w:rPr>
        <w:t>ra</w:t>
      </w:r>
      <w:r>
        <w:rPr>
          <w:i w:val="0"/>
          <w:color w:val="auto"/>
          <w:spacing w:val="-3"/>
          <w:szCs w:val="22"/>
        </w:rPr>
        <w:t>v</w:t>
      </w:r>
      <w:r>
        <w:rPr>
          <w:i w:val="0"/>
          <w:color w:val="auto"/>
          <w:szCs w:val="22"/>
        </w:rPr>
        <w:t>ea</w:t>
      </w:r>
      <w:r>
        <w:rPr>
          <w:i w:val="0"/>
          <w:color w:val="auto"/>
          <w:spacing w:val="-3"/>
          <w:szCs w:val="22"/>
        </w:rPr>
        <w:t>z</w:t>
      </w:r>
      <w:r>
        <w:rPr>
          <w:i w:val="0"/>
          <w:color w:val="auto"/>
          <w:szCs w:val="22"/>
        </w:rPr>
        <w:t>ă sau nu de</w:t>
      </w:r>
      <w:r>
        <w:rPr>
          <w:i w:val="0"/>
          <w:color w:val="auto"/>
          <w:spacing w:val="-2"/>
          <w:szCs w:val="22"/>
        </w:rPr>
        <w:t>t</w:t>
      </w:r>
      <w:r>
        <w:rPr>
          <w:i w:val="0"/>
          <w:color w:val="auto"/>
          <w:szCs w:val="22"/>
        </w:rPr>
        <w:t>er</w:t>
      </w:r>
      <w:r>
        <w:rPr>
          <w:i w:val="0"/>
          <w:color w:val="auto"/>
          <w:spacing w:val="-4"/>
          <w:szCs w:val="22"/>
        </w:rPr>
        <w:t>m</w:t>
      </w:r>
      <w:r>
        <w:rPr>
          <w:i w:val="0"/>
          <w:color w:val="auto"/>
          <w:spacing w:val="1"/>
          <w:szCs w:val="22"/>
        </w:rPr>
        <w:t>i</w:t>
      </w:r>
      <w:r>
        <w:rPr>
          <w:i w:val="0"/>
          <w:color w:val="auto"/>
          <w:szCs w:val="22"/>
        </w:rPr>
        <w:t>nă a</w:t>
      </w:r>
      <w:r>
        <w:rPr>
          <w:i w:val="0"/>
          <w:color w:val="auto"/>
          <w:spacing w:val="-3"/>
          <w:szCs w:val="22"/>
        </w:rPr>
        <w:t>p</w:t>
      </w:r>
      <w:r>
        <w:rPr>
          <w:i w:val="0"/>
          <w:color w:val="auto"/>
          <w:szCs w:val="22"/>
        </w:rPr>
        <w:t>a</w:t>
      </w:r>
      <w:r>
        <w:rPr>
          <w:i w:val="0"/>
          <w:color w:val="auto"/>
          <w:spacing w:val="-2"/>
          <w:szCs w:val="22"/>
        </w:rPr>
        <w:t>r</w:t>
      </w:r>
      <w:r>
        <w:rPr>
          <w:i w:val="0"/>
          <w:color w:val="auto"/>
          <w:spacing w:val="1"/>
          <w:szCs w:val="22"/>
        </w:rPr>
        <w:t>i</w:t>
      </w:r>
      <w:r>
        <w:rPr>
          <w:i w:val="0"/>
          <w:color w:val="auto"/>
          <w:spacing w:val="-2"/>
          <w:szCs w:val="22"/>
        </w:rPr>
        <w:t>ţ</w:t>
      </w:r>
      <w:r>
        <w:rPr>
          <w:i w:val="0"/>
          <w:color w:val="auto"/>
          <w:spacing w:val="1"/>
          <w:szCs w:val="22"/>
        </w:rPr>
        <w:t>i</w:t>
      </w:r>
      <w:r>
        <w:rPr>
          <w:i w:val="0"/>
          <w:color w:val="auto"/>
          <w:szCs w:val="22"/>
        </w:rPr>
        <w:t>a</w:t>
      </w:r>
      <w:r>
        <w:rPr>
          <w:i w:val="0"/>
          <w:color w:val="auto"/>
          <w:spacing w:val="-2"/>
          <w:szCs w:val="22"/>
        </w:rPr>
        <w:t xml:space="preserve"> </w:t>
      </w:r>
      <w:r>
        <w:rPr>
          <w:i w:val="0"/>
          <w:color w:val="auto"/>
          <w:szCs w:val="22"/>
        </w:rPr>
        <w:t>s</w:t>
      </w:r>
      <w:r>
        <w:rPr>
          <w:i w:val="0"/>
          <w:color w:val="auto"/>
          <w:spacing w:val="-2"/>
          <w:szCs w:val="22"/>
        </w:rPr>
        <w:t>t</w:t>
      </w:r>
      <w:r>
        <w:rPr>
          <w:i w:val="0"/>
          <w:color w:val="auto"/>
          <w:szCs w:val="22"/>
        </w:rPr>
        <w:t>r</w:t>
      </w:r>
      <w:r>
        <w:rPr>
          <w:i w:val="0"/>
          <w:color w:val="auto"/>
          <w:spacing w:val="1"/>
          <w:szCs w:val="22"/>
        </w:rPr>
        <w:t>i</w:t>
      </w:r>
      <w:r>
        <w:rPr>
          <w:i w:val="0"/>
          <w:color w:val="auto"/>
          <w:spacing w:val="-3"/>
          <w:szCs w:val="22"/>
        </w:rPr>
        <w:t>c</w:t>
      </w:r>
      <w:r>
        <w:rPr>
          <w:i w:val="0"/>
          <w:color w:val="auto"/>
          <w:spacing w:val="-2"/>
          <w:szCs w:val="22"/>
        </w:rPr>
        <w:t>t</w:t>
      </w:r>
      <w:r>
        <w:rPr>
          <w:i w:val="0"/>
          <w:color w:val="auto"/>
          <w:szCs w:val="22"/>
        </w:rPr>
        <w:t>ur</w:t>
      </w:r>
      <w:r>
        <w:rPr>
          <w:i w:val="0"/>
          <w:color w:val="auto"/>
          <w:spacing w:val="-2"/>
          <w:szCs w:val="22"/>
        </w:rPr>
        <w:t>i</w:t>
      </w:r>
      <w:r>
        <w:rPr>
          <w:i w:val="0"/>
          <w:color w:val="auto"/>
          <w:spacing w:val="1"/>
          <w:szCs w:val="22"/>
        </w:rPr>
        <w:t>l</w:t>
      </w:r>
      <w:r>
        <w:rPr>
          <w:i w:val="0"/>
          <w:color w:val="auto"/>
          <w:szCs w:val="22"/>
        </w:rPr>
        <w:t>or.</w:t>
      </w:r>
    </w:p>
    <w:p w14:paraId="06157EEE" w14:textId="77777777" w:rsidR="00C04CAD" w:rsidRDefault="00C04CAD">
      <w:pPr>
        <w:pStyle w:val="BodyText"/>
        <w:kinsoku w:val="0"/>
        <w:overflowPunct w:val="0"/>
        <w:rPr>
          <w:color w:val="auto"/>
          <w:szCs w:val="22"/>
        </w:rPr>
      </w:pPr>
    </w:p>
    <w:p w14:paraId="01B3345A" w14:textId="77777777" w:rsidR="00C04CAD" w:rsidRDefault="00060E34">
      <w:pPr>
        <w:keepNext/>
        <w:keepLines/>
        <w:tabs>
          <w:tab w:val="clear" w:pos="567"/>
        </w:tabs>
        <w:kinsoku w:val="0"/>
        <w:overflowPunct w:val="0"/>
        <w:autoSpaceDE w:val="0"/>
        <w:autoSpaceDN w:val="0"/>
        <w:adjustRightInd w:val="0"/>
        <w:spacing w:line="240" w:lineRule="auto"/>
        <w:rPr>
          <w:szCs w:val="22"/>
        </w:rPr>
      </w:pPr>
      <w:r>
        <w:rPr>
          <w:szCs w:val="22"/>
          <w:u w:val="single"/>
        </w:rPr>
        <w:t>Vârstnici</w:t>
      </w:r>
    </w:p>
    <w:p w14:paraId="52EC0389" w14:textId="77777777" w:rsidR="00C04CAD" w:rsidRDefault="00C04CAD">
      <w:pPr>
        <w:keepNext/>
        <w:keepLines/>
        <w:tabs>
          <w:tab w:val="clear" w:pos="567"/>
        </w:tabs>
        <w:kinsoku w:val="0"/>
        <w:overflowPunct w:val="0"/>
        <w:autoSpaceDE w:val="0"/>
        <w:autoSpaceDN w:val="0"/>
        <w:adjustRightInd w:val="0"/>
        <w:spacing w:line="240" w:lineRule="auto"/>
        <w:rPr>
          <w:szCs w:val="22"/>
        </w:rPr>
      </w:pPr>
    </w:p>
    <w:p w14:paraId="43508A5E" w14:textId="77777777" w:rsidR="00C04CAD" w:rsidRDefault="00060E34">
      <w:pPr>
        <w:pStyle w:val="BodyText"/>
        <w:kinsoku w:val="0"/>
        <w:overflowPunct w:val="0"/>
        <w:rPr>
          <w:i w:val="0"/>
          <w:color w:val="auto"/>
          <w:szCs w:val="22"/>
        </w:rPr>
      </w:pPr>
      <w:r>
        <w:rPr>
          <w:i w:val="0"/>
          <w:color w:val="auto"/>
          <w:spacing w:val="-1"/>
          <w:szCs w:val="22"/>
        </w:rPr>
        <w:t>L</w:t>
      </w:r>
      <w:r>
        <w:rPr>
          <w:i w:val="0"/>
          <w:color w:val="auto"/>
          <w:szCs w:val="22"/>
        </w:rPr>
        <w:t>a pa</w:t>
      </w:r>
      <w:r>
        <w:rPr>
          <w:i w:val="0"/>
          <w:color w:val="auto"/>
          <w:spacing w:val="-3"/>
          <w:szCs w:val="22"/>
        </w:rPr>
        <w:t>c</w:t>
      </w:r>
      <w:r>
        <w:rPr>
          <w:i w:val="0"/>
          <w:color w:val="auto"/>
          <w:spacing w:val="1"/>
          <w:szCs w:val="22"/>
        </w:rPr>
        <w:t>i</w:t>
      </w:r>
      <w:r>
        <w:rPr>
          <w:i w:val="0"/>
          <w:color w:val="auto"/>
          <w:szCs w:val="22"/>
        </w:rPr>
        <w:t>e</w:t>
      </w:r>
      <w:r>
        <w:rPr>
          <w:i w:val="0"/>
          <w:color w:val="auto"/>
          <w:spacing w:val="-3"/>
          <w:szCs w:val="22"/>
        </w:rPr>
        <w:t>n</w:t>
      </w:r>
      <w:r>
        <w:rPr>
          <w:i w:val="0"/>
          <w:color w:val="auto"/>
          <w:spacing w:val="1"/>
          <w:szCs w:val="22"/>
        </w:rPr>
        <w:t>ţ</w:t>
      </w:r>
      <w:r>
        <w:rPr>
          <w:i w:val="0"/>
          <w:color w:val="auto"/>
          <w:spacing w:val="-2"/>
          <w:szCs w:val="22"/>
        </w:rPr>
        <w:t>i</w:t>
      </w:r>
      <w:r>
        <w:rPr>
          <w:i w:val="0"/>
          <w:color w:val="auto"/>
          <w:szCs w:val="22"/>
        </w:rPr>
        <w:t>i</w:t>
      </w:r>
      <w:r>
        <w:rPr>
          <w:i w:val="0"/>
          <w:color w:val="auto"/>
          <w:spacing w:val="1"/>
          <w:szCs w:val="22"/>
        </w:rPr>
        <w:t xml:space="preserve"> </w:t>
      </w:r>
      <w:r>
        <w:rPr>
          <w:i w:val="0"/>
          <w:color w:val="auto"/>
          <w:szCs w:val="22"/>
        </w:rPr>
        <w:t xml:space="preserve">cu </w:t>
      </w:r>
      <w:r>
        <w:rPr>
          <w:i w:val="0"/>
          <w:color w:val="auto"/>
          <w:spacing w:val="-3"/>
          <w:szCs w:val="22"/>
        </w:rPr>
        <w:t>v</w:t>
      </w:r>
      <w:r>
        <w:rPr>
          <w:i w:val="0"/>
          <w:color w:val="auto"/>
          <w:szCs w:val="22"/>
        </w:rPr>
        <w:t>â</w:t>
      </w:r>
      <w:r>
        <w:rPr>
          <w:i w:val="0"/>
          <w:color w:val="auto"/>
          <w:spacing w:val="-2"/>
          <w:szCs w:val="22"/>
        </w:rPr>
        <w:t>r</w:t>
      </w:r>
      <w:r>
        <w:rPr>
          <w:i w:val="0"/>
          <w:color w:val="auto"/>
          <w:szCs w:val="22"/>
        </w:rPr>
        <w:t>s</w:t>
      </w:r>
      <w:r>
        <w:rPr>
          <w:i w:val="0"/>
          <w:color w:val="auto"/>
          <w:spacing w:val="-2"/>
          <w:szCs w:val="22"/>
        </w:rPr>
        <w:t>t</w:t>
      </w:r>
      <w:r>
        <w:rPr>
          <w:i w:val="0"/>
          <w:color w:val="auto"/>
          <w:szCs w:val="22"/>
        </w:rPr>
        <w:t>a pe</w:t>
      </w:r>
      <w:r>
        <w:rPr>
          <w:i w:val="0"/>
          <w:color w:val="auto"/>
          <w:spacing w:val="-2"/>
          <w:szCs w:val="22"/>
        </w:rPr>
        <w:t>s</w:t>
      </w:r>
      <w:r>
        <w:rPr>
          <w:i w:val="0"/>
          <w:color w:val="auto"/>
          <w:spacing w:val="1"/>
          <w:szCs w:val="22"/>
        </w:rPr>
        <w:t>t</w:t>
      </w:r>
      <w:r>
        <w:rPr>
          <w:i w:val="0"/>
          <w:color w:val="auto"/>
          <w:szCs w:val="22"/>
        </w:rPr>
        <w:t>e</w:t>
      </w:r>
      <w:r>
        <w:rPr>
          <w:i w:val="0"/>
          <w:color w:val="auto"/>
          <w:spacing w:val="-2"/>
          <w:szCs w:val="22"/>
        </w:rPr>
        <w:t xml:space="preserve"> </w:t>
      </w:r>
      <w:r>
        <w:rPr>
          <w:i w:val="0"/>
          <w:color w:val="auto"/>
          <w:szCs w:val="22"/>
        </w:rPr>
        <w:t>65 ani</w:t>
      </w:r>
      <w:r>
        <w:rPr>
          <w:i w:val="0"/>
          <w:color w:val="auto"/>
          <w:spacing w:val="-2"/>
          <w:szCs w:val="22"/>
        </w:rPr>
        <w:t xml:space="preserve"> </w:t>
      </w:r>
      <w:r>
        <w:rPr>
          <w:i w:val="0"/>
          <w:color w:val="auto"/>
          <w:spacing w:val="1"/>
          <w:szCs w:val="22"/>
        </w:rPr>
        <w:t>t</w:t>
      </w:r>
      <w:r>
        <w:rPr>
          <w:i w:val="0"/>
          <w:color w:val="auto"/>
          <w:spacing w:val="-2"/>
          <w:szCs w:val="22"/>
        </w:rPr>
        <w:t>r</w:t>
      </w:r>
      <w:r>
        <w:rPr>
          <w:i w:val="0"/>
          <w:color w:val="auto"/>
          <w:szCs w:val="22"/>
        </w:rPr>
        <w:t>a</w:t>
      </w:r>
      <w:r>
        <w:rPr>
          <w:i w:val="0"/>
          <w:color w:val="auto"/>
          <w:spacing w:val="-2"/>
          <w:szCs w:val="22"/>
        </w:rPr>
        <w:t>t</w:t>
      </w:r>
      <w:r>
        <w:rPr>
          <w:i w:val="0"/>
          <w:color w:val="auto"/>
          <w:szCs w:val="22"/>
        </w:rPr>
        <w:t>a</w:t>
      </w:r>
      <w:r>
        <w:rPr>
          <w:i w:val="0"/>
          <w:color w:val="auto"/>
          <w:spacing w:val="-2"/>
          <w:szCs w:val="22"/>
        </w:rPr>
        <w:t>ţ</w:t>
      </w:r>
      <w:r>
        <w:rPr>
          <w:i w:val="0"/>
          <w:color w:val="auto"/>
          <w:szCs w:val="22"/>
        </w:rPr>
        <w:t>i</w:t>
      </w:r>
      <w:r>
        <w:rPr>
          <w:i w:val="0"/>
          <w:color w:val="auto"/>
          <w:spacing w:val="1"/>
          <w:szCs w:val="22"/>
        </w:rPr>
        <w:t xml:space="preserve"> </w:t>
      </w:r>
      <w:r>
        <w:rPr>
          <w:i w:val="0"/>
          <w:color w:val="auto"/>
          <w:szCs w:val="22"/>
        </w:rPr>
        <w:t xml:space="preserve">cu </w:t>
      </w:r>
      <w:r>
        <w:rPr>
          <w:rFonts w:eastAsia="MS Mincho"/>
          <w:i w:val="0"/>
          <w:color w:val="auto"/>
          <w:spacing w:val="-1"/>
          <w:szCs w:val="22"/>
          <w:lang w:eastAsia="en-US" w:bidi="ar-SA"/>
        </w:rPr>
        <w:t>adalimumab</w:t>
      </w:r>
      <w:r>
        <w:rPr>
          <w:i w:val="0"/>
          <w:color w:val="auto"/>
          <w:szCs w:val="22"/>
        </w:rPr>
        <w:t>,</w:t>
      </w:r>
      <w:r>
        <w:rPr>
          <w:i w:val="0"/>
          <w:color w:val="auto"/>
          <w:spacing w:val="-3"/>
          <w:szCs w:val="22"/>
        </w:rPr>
        <w:t xml:space="preserve"> </w:t>
      </w:r>
      <w:r>
        <w:rPr>
          <w:i w:val="0"/>
          <w:color w:val="auto"/>
          <w:szCs w:val="22"/>
        </w:rPr>
        <w:t>f</w:t>
      </w:r>
      <w:r>
        <w:rPr>
          <w:i w:val="0"/>
          <w:color w:val="auto"/>
          <w:spacing w:val="-2"/>
          <w:szCs w:val="22"/>
        </w:rPr>
        <w:t>r</w:t>
      </w:r>
      <w:r>
        <w:rPr>
          <w:i w:val="0"/>
          <w:color w:val="auto"/>
          <w:spacing w:val="-3"/>
          <w:szCs w:val="22"/>
        </w:rPr>
        <w:t>e</w:t>
      </w:r>
      <w:r>
        <w:rPr>
          <w:i w:val="0"/>
          <w:color w:val="auto"/>
          <w:szCs w:val="22"/>
        </w:rPr>
        <w:t>c</w:t>
      </w:r>
      <w:r>
        <w:rPr>
          <w:i w:val="0"/>
          <w:color w:val="auto"/>
          <w:spacing w:val="-3"/>
          <w:szCs w:val="22"/>
        </w:rPr>
        <w:t>v</w:t>
      </w:r>
      <w:r>
        <w:rPr>
          <w:i w:val="0"/>
          <w:color w:val="auto"/>
          <w:szCs w:val="22"/>
        </w:rPr>
        <w:t>en</w:t>
      </w:r>
      <w:r>
        <w:rPr>
          <w:i w:val="0"/>
          <w:color w:val="auto"/>
          <w:spacing w:val="1"/>
          <w:szCs w:val="22"/>
        </w:rPr>
        <w:t>ţ</w:t>
      </w:r>
      <w:r>
        <w:rPr>
          <w:i w:val="0"/>
          <w:color w:val="auto"/>
          <w:szCs w:val="22"/>
        </w:rPr>
        <w:t xml:space="preserve">a </w:t>
      </w:r>
      <w:r>
        <w:rPr>
          <w:i w:val="0"/>
          <w:color w:val="auto"/>
          <w:spacing w:val="-2"/>
          <w:szCs w:val="22"/>
        </w:rPr>
        <w:t>i</w:t>
      </w:r>
      <w:r>
        <w:rPr>
          <w:i w:val="0"/>
          <w:color w:val="auto"/>
          <w:szCs w:val="22"/>
        </w:rPr>
        <w:t>nf</w:t>
      </w:r>
      <w:r>
        <w:rPr>
          <w:i w:val="0"/>
          <w:color w:val="auto"/>
          <w:spacing w:val="-3"/>
          <w:szCs w:val="22"/>
        </w:rPr>
        <w:t>e</w:t>
      </w:r>
      <w:r>
        <w:rPr>
          <w:i w:val="0"/>
          <w:color w:val="auto"/>
          <w:szCs w:val="22"/>
        </w:rPr>
        <w:t>c</w:t>
      </w:r>
      <w:r>
        <w:rPr>
          <w:i w:val="0"/>
          <w:color w:val="auto"/>
          <w:spacing w:val="-2"/>
          <w:szCs w:val="22"/>
        </w:rPr>
        <w:t>ţ</w:t>
      </w:r>
      <w:r>
        <w:rPr>
          <w:i w:val="0"/>
          <w:color w:val="auto"/>
          <w:spacing w:val="1"/>
          <w:szCs w:val="22"/>
        </w:rPr>
        <w:t>i</w:t>
      </w:r>
      <w:r>
        <w:rPr>
          <w:i w:val="0"/>
          <w:color w:val="auto"/>
          <w:spacing w:val="-2"/>
          <w:szCs w:val="22"/>
        </w:rPr>
        <w:t>i</w:t>
      </w:r>
      <w:r>
        <w:rPr>
          <w:i w:val="0"/>
          <w:color w:val="auto"/>
          <w:spacing w:val="1"/>
          <w:szCs w:val="22"/>
        </w:rPr>
        <w:t>l</w:t>
      </w:r>
      <w:r>
        <w:rPr>
          <w:i w:val="0"/>
          <w:color w:val="auto"/>
          <w:szCs w:val="22"/>
        </w:rPr>
        <w:t>or</w:t>
      </w:r>
      <w:r>
        <w:rPr>
          <w:i w:val="0"/>
          <w:color w:val="auto"/>
          <w:spacing w:val="-2"/>
          <w:szCs w:val="22"/>
        </w:rPr>
        <w:t xml:space="preserve"> </w:t>
      </w:r>
      <w:r>
        <w:rPr>
          <w:rFonts w:eastAsia="MS Mincho"/>
          <w:i w:val="0"/>
          <w:color w:val="auto"/>
          <w:szCs w:val="22"/>
          <w:lang w:eastAsia="en-US" w:bidi="ar-SA"/>
        </w:rPr>
        <w:t>grave</w:t>
      </w:r>
      <w:r>
        <w:rPr>
          <w:i w:val="0"/>
          <w:color w:val="auto"/>
          <w:spacing w:val="-2"/>
          <w:szCs w:val="22"/>
        </w:rPr>
        <w:t xml:space="preserve"> </w:t>
      </w:r>
      <w:r>
        <w:rPr>
          <w:i w:val="0"/>
          <w:color w:val="auto"/>
          <w:szCs w:val="22"/>
        </w:rPr>
        <w:t xml:space="preserve">a </w:t>
      </w:r>
      <w:r>
        <w:rPr>
          <w:i w:val="0"/>
          <w:color w:val="auto"/>
          <w:spacing w:val="-2"/>
          <w:szCs w:val="22"/>
        </w:rPr>
        <w:t>f</w:t>
      </w:r>
      <w:r>
        <w:rPr>
          <w:i w:val="0"/>
          <w:color w:val="auto"/>
          <w:szCs w:val="22"/>
        </w:rPr>
        <w:t>ost</w:t>
      </w:r>
      <w:r>
        <w:rPr>
          <w:i w:val="0"/>
          <w:color w:val="auto"/>
          <w:spacing w:val="1"/>
          <w:szCs w:val="22"/>
        </w:rPr>
        <w:t xml:space="preserve"> </w:t>
      </w:r>
      <w:r>
        <w:rPr>
          <w:i w:val="0"/>
          <w:color w:val="auto"/>
          <w:spacing w:val="-4"/>
          <w:szCs w:val="22"/>
        </w:rPr>
        <w:t>m</w:t>
      </w:r>
      <w:r>
        <w:rPr>
          <w:i w:val="0"/>
          <w:color w:val="auto"/>
          <w:szCs w:val="22"/>
        </w:rPr>
        <w:t>ai</w:t>
      </w:r>
      <w:r>
        <w:rPr>
          <w:i w:val="0"/>
          <w:color w:val="auto"/>
          <w:spacing w:val="1"/>
          <w:szCs w:val="22"/>
        </w:rPr>
        <w:t xml:space="preserve"> </w:t>
      </w:r>
      <w:r>
        <w:rPr>
          <w:i w:val="0"/>
          <w:color w:val="auto"/>
          <w:spacing w:val="-4"/>
          <w:szCs w:val="22"/>
        </w:rPr>
        <w:t>m</w:t>
      </w:r>
      <w:r>
        <w:rPr>
          <w:i w:val="0"/>
          <w:color w:val="auto"/>
          <w:szCs w:val="22"/>
        </w:rPr>
        <w:t>are (3,7%)</w:t>
      </w:r>
      <w:r>
        <w:rPr>
          <w:i w:val="0"/>
          <w:color w:val="auto"/>
          <w:spacing w:val="1"/>
          <w:szCs w:val="22"/>
        </w:rPr>
        <w:t xml:space="preserve"> </w:t>
      </w:r>
      <w:r>
        <w:rPr>
          <w:i w:val="0"/>
          <w:color w:val="auto"/>
          <w:spacing w:val="-3"/>
          <w:szCs w:val="22"/>
        </w:rPr>
        <w:t>d</w:t>
      </w:r>
      <w:r>
        <w:rPr>
          <w:i w:val="0"/>
          <w:color w:val="auto"/>
          <w:szCs w:val="22"/>
        </w:rPr>
        <w:t>ec</w:t>
      </w:r>
      <w:r>
        <w:rPr>
          <w:i w:val="0"/>
          <w:color w:val="auto"/>
          <w:spacing w:val="-3"/>
          <w:szCs w:val="22"/>
        </w:rPr>
        <w:t>â</w:t>
      </w:r>
      <w:r>
        <w:rPr>
          <w:i w:val="0"/>
          <w:color w:val="auto"/>
          <w:szCs w:val="22"/>
        </w:rPr>
        <w:t>t</w:t>
      </w:r>
      <w:r>
        <w:rPr>
          <w:i w:val="0"/>
          <w:color w:val="auto"/>
          <w:spacing w:val="1"/>
          <w:szCs w:val="22"/>
        </w:rPr>
        <w:t xml:space="preserve"> </w:t>
      </w:r>
      <w:r>
        <w:rPr>
          <w:i w:val="0"/>
          <w:color w:val="auto"/>
          <w:spacing w:val="-2"/>
          <w:szCs w:val="22"/>
        </w:rPr>
        <w:t>l</w:t>
      </w:r>
      <w:r>
        <w:rPr>
          <w:i w:val="0"/>
          <w:color w:val="auto"/>
          <w:szCs w:val="22"/>
        </w:rPr>
        <w:t>a p</w:t>
      </w:r>
      <w:r>
        <w:rPr>
          <w:i w:val="0"/>
          <w:color w:val="auto"/>
          <w:spacing w:val="-3"/>
          <w:szCs w:val="22"/>
        </w:rPr>
        <w:t>a</w:t>
      </w:r>
      <w:r>
        <w:rPr>
          <w:i w:val="0"/>
          <w:color w:val="auto"/>
          <w:szCs w:val="22"/>
        </w:rPr>
        <w:t>c</w:t>
      </w:r>
      <w:r>
        <w:rPr>
          <w:i w:val="0"/>
          <w:color w:val="auto"/>
          <w:spacing w:val="1"/>
          <w:szCs w:val="22"/>
        </w:rPr>
        <w:t>i</w:t>
      </w:r>
      <w:r>
        <w:rPr>
          <w:i w:val="0"/>
          <w:color w:val="auto"/>
          <w:spacing w:val="-3"/>
          <w:szCs w:val="22"/>
        </w:rPr>
        <w:t>e</w:t>
      </w:r>
      <w:r>
        <w:rPr>
          <w:i w:val="0"/>
          <w:color w:val="auto"/>
          <w:szCs w:val="22"/>
        </w:rPr>
        <w:t>n</w:t>
      </w:r>
      <w:r>
        <w:rPr>
          <w:i w:val="0"/>
          <w:color w:val="auto"/>
          <w:spacing w:val="-2"/>
          <w:szCs w:val="22"/>
        </w:rPr>
        <w:t>ţ</w:t>
      </w:r>
      <w:r>
        <w:rPr>
          <w:i w:val="0"/>
          <w:color w:val="auto"/>
          <w:spacing w:val="1"/>
          <w:szCs w:val="22"/>
        </w:rPr>
        <w:t>i</w:t>
      </w:r>
      <w:r>
        <w:rPr>
          <w:i w:val="0"/>
          <w:color w:val="auto"/>
          <w:szCs w:val="22"/>
        </w:rPr>
        <w:t>i</w:t>
      </w:r>
      <w:r>
        <w:rPr>
          <w:i w:val="0"/>
          <w:color w:val="auto"/>
          <w:spacing w:val="-2"/>
          <w:szCs w:val="22"/>
        </w:rPr>
        <w:t xml:space="preserve"> </w:t>
      </w:r>
      <w:r>
        <w:rPr>
          <w:i w:val="0"/>
          <w:color w:val="auto"/>
          <w:spacing w:val="-3"/>
          <w:szCs w:val="22"/>
        </w:rPr>
        <w:t>c</w:t>
      </w:r>
      <w:r>
        <w:rPr>
          <w:i w:val="0"/>
          <w:color w:val="auto"/>
          <w:szCs w:val="22"/>
        </w:rPr>
        <w:t xml:space="preserve">u </w:t>
      </w:r>
      <w:r>
        <w:rPr>
          <w:i w:val="0"/>
          <w:color w:val="auto"/>
          <w:spacing w:val="-3"/>
          <w:szCs w:val="22"/>
        </w:rPr>
        <w:t>v</w:t>
      </w:r>
      <w:r>
        <w:rPr>
          <w:i w:val="0"/>
          <w:color w:val="auto"/>
          <w:szCs w:val="22"/>
        </w:rPr>
        <w:t>ârs</w:t>
      </w:r>
      <w:r>
        <w:rPr>
          <w:i w:val="0"/>
          <w:color w:val="auto"/>
          <w:spacing w:val="1"/>
          <w:szCs w:val="22"/>
        </w:rPr>
        <w:t>t</w:t>
      </w:r>
      <w:r>
        <w:rPr>
          <w:i w:val="0"/>
          <w:color w:val="auto"/>
          <w:szCs w:val="22"/>
        </w:rPr>
        <w:t>a</w:t>
      </w:r>
      <w:r>
        <w:rPr>
          <w:i w:val="0"/>
          <w:color w:val="auto"/>
          <w:spacing w:val="-2"/>
          <w:szCs w:val="22"/>
        </w:rPr>
        <w:t xml:space="preserve"> </w:t>
      </w:r>
      <w:r>
        <w:rPr>
          <w:i w:val="0"/>
          <w:color w:val="auto"/>
          <w:szCs w:val="22"/>
        </w:rPr>
        <w:t>sub 65</w:t>
      </w:r>
      <w:r>
        <w:rPr>
          <w:i w:val="0"/>
          <w:color w:val="auto"/>
          <w:spacing w:val="-3"/>
          <w:szCs w:val="22"/>
        </w:rPr>
        <w:t xml:space="preserve"> </w:t>
      </w:r>
      <w:r>
        <w:rPr>
          <w:i w:val="0"/>
          <w:color w:val="auto"/>
          <w:szCs w:val="22"/>
        </w:rPr>
        <w:t>a</w:t>
      </w:r>
      <w:r>
        <w:rPr>
          <w:i w:val="0"/>
          <w:color w:val="auto"/>
          <w:spacing w:val="-3"/>
          <w:szCs w:val="22"/>
        </w:rPr>
        <w:t>n</w:t>
      </w:r>
      <w:r>
        <w:rPr>
          <w:i w:val="0"/>
          <w:color w:val="auto"/>
          <w:szCs w:val="22"/>
        </w:rPr>
        <w:t>i</w:t>
      </w:r>
      <w:r>
        <w:rPr>
          <w:i w:val="0"/>
          <w:color w:val="auto"/>
          <w:spacing w:val="1"/>
          <w:szCs w:val="22"/>
        </w:rPr>
        <w:t xml:space="preserve"> </w:t>
      </w:r>
      <w:r>
        <w:rPr>
          <w:i w:val="0"/>
          <w:color w:val="auto"/>
          <w:szCs w:val="22"/>
        </w:rPr>
        <w:t>(1</w:t>
      </w:r>
      <w:r>
        <w:rPr>
          <w:i w:val="0"/>
          <w:color w:val="auto"/>
          <w:spacing w:val="-3"/>
          <w:szCs w:val="22"/>
        </w:rPr>
        <w:t>,</w:t>
      </w:r>
      <w:r>
        <w:rPr>
          <w:i w:val="0"/>
          <w:color w:val="auto"/>
          <w:szCs w:val="22"/>
        </w:rPr>
        <w:t>5</w:t>
      </w:r>
      <w:r>
        <w:rPr>
          <w:i w:val="0"/>
          <w:color w:val="auto"/>
          <w:spacing w:val="-2"/>
          <w:szCs w:val="22"/>
        </w:rPr>
        <w:t>%</w:t>
      </w:r>
      <w:r>
        <w:rPr>
          <w:i w:val="0"/>
          <w:color w:val="auto"/>
          <w:szCs w:val="22"/>
        </w:rPr>
        <w:t>).</w:t>
      </w:r>
      <w:r>
        <w:rPr>
          <w:i w:val="0"/>
          <w:color w:val="auto"/>
          <w:spacing w:val="-3"/>
          <w:szCs w:val="22"/>
        </w:rPr>
        <w:t xml:space="preserve"> </w:t>
      </w:r>
      <w:r>
        <w:rPr>
          <w:i w:val="0"/>
          <w:color w:val="auto"/>
          <w:spacing w:val="-1"/>
          <w:szCs w:val="22"/>
        </w:rPr>
        <w:t>U</w:t>
      </w:r>
      <w:r>
        <w:rPr>
          <w:i w:val="0"/>
          <w:color w:val="auto"/>
          <w:szCs w:val="22"/>
        </w:rPr>
        <w:t>ne</w:t>
      </w:r>
      <w:r>
        <w:rPr>
          <w:i w:val="0"/>
          <w:color w:val="auto"/>
          <w:spacing w:val="1"/>
          <w:szCs w:val="22"/>
        </w:rPr>
        <w:t>l</w:t>
      </w:r>
      <w:r>
        <w:rPr>
          <w:i w:val="0"/>
          <w:color w:val="auto"/>
          <w:szCs w:val="22"/>
        </w:rPr>
        <w:t xml:space="preserve">e </w:t>
      </w:r>
      <w:r>
        <w:rPr>
          <w:i w:val="0"/>
          <w:color w:val="auto"/>
          <w:spacing w:val="-3"/>
          <w:szCs w:val="22"/>
        </w:rPr>
        <w:t>d</w:t>
      </w:r>
      <w:r>
        <w:rPr>
          <w:i w:val="0"/>
          <w:color w:val="auto"/>
          <w:spacing w:val="1"/>
          <w:szCs w:val="22"/>
        </w:rPr>
        <w:t>i</w:t>
      </w:r>
      <w:r>
        <w:rPr>
          <w:i w:val="0"/>
          <w:color w:val="auto"/>
          <w:spacing w:val="-3"/>
          <w:szCs w:val="22"/>
        </w:rPr>
        <w:t>n</w:t>
      </w:r>
      <w:r>
        <w:rPr>
          <w:i w:val="0"/>
          <w:color w:val="auto"/>
          <w:spacing w:val="1"/>
          <w:szCs w:val="22"/>
        </w:rPr>
        <w:t>t</w:t>
      </w:r>
      <w:r>
        <w:rPr>
          <w:i w:val="0"/>
          <w:color w:val="auto"/>
          <w:szCs w:val="22"/>
        </w:rPr>
        <w:t>re</w:t>
      </w:r>
      <w:r>
        <w:rPr>
          <w:i w:val="0"/>
          <w:color w:val="auto"/>
          <w:spacing w:val="-2"/>
          <w:szCs w:val="22"/>
        </w:rPr>
        <w:t xml:space="preserve"> </w:t>
      </w:r>
      <w:r>
        <w:rPr>
          <w:i w:val="0"/>
          <w:color w:val="auto"/>
          <w:szCs w:val="22"/>
        </w:rPr>
        <w:t>ca</w:t>
      </w:r>
      <w:r>
        <w:rPr>
          <w:i w:val="0"/>
          <w:color w:val="auto"/>
          <w:spacing w:val="-3"/>
          <w:szCs w:val="22"/>
        </w:rPr>
        <w:t>z</w:t>
      </w:r>
      <w:r>
        <w:rPr>
          <w:i w:val="0"/>
          <w:color w:val="auto"/>
          <w:szCs w:val="22"/>
        </w:rPr>
        <w:t>u</w:t>
      </w:r>
      <w:r>
        <w:rPr>
          <w:i w:val="0"/>
          <w:color w:val="auto"/>
          <w:spacing w:val="-2"/>
          <w:szCs w:val="22"/>
        </w:rPr>
        <w:t>r</w:t>
      </w:r>
      <w:r>
        <w:rPr>
          <w:i w:val="0"/>
          <w:color w:val="auto"/>
          <w:szCs w:val="22"/>
        </w:rPr>
        <w:t>i</w:t>
      </w:r>
      <w:r>
        <w:rPr>
          <w:i w:val="0"/>
          <w:color w:val="auto"/>
          <w:spacing w:val="1"/>
          <w:szCs w:val="22"/>
        </w:rPr>
        <w:t xml:space="preserve"> </w:t>
      </w:r>
      <w:r>
        <w:rPr>
          <w:i w:val="0"/>
          <w:color w:val="auto"/>
          <w:szCs w:val="22"/>
        </w:rPr>
        <w:t>au a</w:t>
      </w:r>
      <w:r>
        <w:rPr>
          <w:i w:val="0"/>
          <w:color w:val="auto"/>
          <w:spacing w:val="-3"/>
          <w:szCs w:val="22"/>
        </w:rPr>
        <w:t>v</w:t>
      </w:r>
      <w:r>
        <w:rPr>
          <w:i w:val="0"/>
          <w:color w:val="auto"/>
          <w:szCs w:val="22"/>
        </w:rPr>
        <w:t>ut</w:t>
      </w:r>
      <w:r>
        <w:rPr>
          <w:i w:val="0"/>
          <w:color w:val="auto"/>
          <w:spacing w:val="-2"/>
          <w:szCs w:val="22"/>
        </w:rPr>
        <w:t xml:space="preserve"> </w:t>
      </w:r>
      <w:r>
        <w:rPr>
          <w:i w:val="0"/>
          <w:color w:val="auto"/>
          <w:szCs w:val="22"/>
        </w:rPr>
        <w:t>e</w:t>
      </w:r>
      <w:r>
        <w:rPr>
          <w:i w:val="0"/>
          <w:color w:val="auto"/>
          <w:spacing w:val="-3"/>
          <w:szCs w:val="22"/>
        </w:rPr>
        <w:t>v</w:t>
      </w:r>
      <w:r>
        <w:rPr>
          <w:i w:val="0"/>
          <w:color w:val="auto"/>
          <w:szCs w:val="22"/>
        </w:rPr>
        <w:t>o</w:t>
      </w:r>
      <w:r>
        <w:rPr>
          <w:i w:val="0"/>
          <w:color w:val="auto"/>
          <w:spacing w:val="1"/>
          <w:szCs w:val="22"/>
        </w:rPr>
        <w:t>l</w:t>
      </w:r>
      <w:r>
        <w:rPr>
          <w:i w:val="0"/>
          <w:color w:val="auto"/>
          <w:szCs w:val="22"/>
        </w:rPr>
        <w:t>u</w:t>
      </w:r>
      <w:r>
        <w:rPr>
          <w:i w:val="0"/>
          <w:color w:val="auto"/>
          <w:spacing w:val="1"/>
          <w:szCs w:val="22"/>
        </w:rPr>
        <w:t>ţ</w:t>
      </w:r>
      <w:r>
        <w:rPr>
          <w:i w:val="0"/>
          <w:color w:val="auto"/>
          <w:spacing w:val="-2"/>
          <w:szCs w:val="22"/>
        </w:rPr>
        <w:t>i</w:t>
      </w:r>
      <w:r>
        <w:rPr>
          <w:i w:val="0"/>
          <w:color w:val="auto"/>
          <w:szCs w:val="22"/>
        </w:rPr>
        <w:t xml:space="preserve">e </w:t>
      </w:r>
      <w:r>
        <w:rPr>
          <w:i w:val="0"/>
          <w:color w:val="auto"/>
          <w:spacing w:val="-2"/>
          <w:szCs w:val="22"/>
        </w:rPr>
        <w:t>l</w:t>
      </w:r>
      <w:r>
        <w:rPr>
          <w:i w:val="0"/>
          <w:color w:val="auto"/>
          <w:szCs w:val="22"/>
        </w:rPr>
        <w:t>e</w:t>
      </w:r>
      <w:r>
        <w:rPr>
          <w:i w:val="0"/>
          <w:color w:val="auto"/>
          <w:spacing w:val="1"/>
          <w:szCs w:val="22"/>
        </w:rPr>
        <w:t>t</w:t>
      </w:r>
      <w:r>
        <w:rPr>
          <w:i w:val="0"/>
          <w:color w:val="auto"/>
          <w:spacing w:val="-3"/>
          <w:szCs w:val="22"/>
        </w:rPr>
        <w:t>a</w:t>
      </w:r>
      <w:r>
        <w:rPr>
          <w:i w:val="0"/>
          <w:color w:val="auto"/>
          <w:spacing w:val="1"/>
          <w:szCs w:val="22"/>
        </w:rPr>
        <w:t>l</w:t>
      </w:r>
      <w:r>
        <w:rPr>
          <w:i w:val="0"/>
          <w:color w:val="auto"/>
          <w:szCs w:val="22"/>
        </w:rPr>
        <w:t xml:space="preserve">ă. </w:t>
      </w:r>
      <w:r>
        <w:rPr>
          <w:i w:val="0"/>
          <w:color w:val="auto"/>
          <w:spacing w:val="-3"/>
          <w:szCs w:val="22"/>
        </w:rPr>
        <w:t>E</w:t>
      </w:r>
      <w:r>
        <w:rPr>
          <w:i w:val="0"/>
          <w:color w:val="auto"/>
          <w:szCs w:val="22"/>
        </w:rPr>
        <w:t>s</w:t>
      </w:r>
      <w:r>
        <w:rPr>
          <w:i w:val="0"/>
          <w:color w:val="auto"/>
          <w:spacing w:val="-2"/>
          <w:szCs w:val="22"/>
        </w:rPr>
        <w:t>t</w:t>
      </w:r>
      <w:r>
        <w:rPr>
          <w:i w:val="0"/>
          <w:color w:val="auto"/>
          <w:szCs w:val="22"/>
        </w:rPr>
        <w:t>e nece</w:t>
      </w:r>
      <w:r>
        <w:rPr>
          <w:i w:val="0"/>
          <w:color w:val="auto"/>
          <w:spacing w:val="-2"/>
          <w:szCs w:val="22"/>
        </w:rPr>
        <w:t>s</w:t>
      </w:r>
      <w:r>
        <w:rPr>
          <w:i w:val="0"/>
          <w:color w:val="auto"/>
          <w:szCs w:val="22"/>
        </w:rPr>
        <w:t>a</w:t>
      </w:r>
      <w:r>
        <w:rPr>
          <w:i w:val="0"/>
          <w:color w:val="auto"/>
          <w:spacing w:val="-2"/>
          <w:szCs w:val="22"/>
        </w:rPr>
        <w:t>r</w:t>
      </w:r>
      <w:r>
        <w:rPr>
          <w:i w:val="0"/>
          <w:color w:val="auto"/>
          <w:szCs w:val="22"/>
        </w:rPr>
        <w:t>ă a</w:t>
      </w:r>
      <w:r>
        <w:rPr>
          <w:i w:val="0"/>
          <w:color w:val="auto"/>
          <w:spacing w:val="-2"/>
          <w:szCs w:val="22"/>
        </w:rPr>
        <w:t>t</w:t>
      </w:r>
      <w:r>
        <w:rPr>
          <w:i w:val="0"/>
          <w:color w:val="auto"/>
          <w:szCs w:val="22"/>
        </w:rPr>
        <w:t>en</w:t>
      </w:r>
      <w:r>
        <w:rPr>
          <w:i w:val="0"/>
          <w:color w:val="auto"/>
          <w:spacing w:val="-2"/>
          <w:szCs w:val="22"/>
        </w:rPr>
        <w:t>ţ</w:t>
      </w:r>
      <w:r>
        <w:rPr>
          <w:i w:val="0"/>
          <w:color w:val="auto"/>
          <w:spacing w:val="1"/>
          <w:szCs w:val="22"/>
        </w:rPr>
        <w:t>i</w:t>
      </w:r>
      <w:r>
        <w:rPr>
          <w:i w:val="0"/>
          <w:color w:val="auto"/>
          <w:szCs w:val="22"/>
        </w:rPr>
        <w:t>e</w:t>
      </w:r>
      <w:r>
        <w:rPr>
          <w:i w:val="0"/>
          <w:color w:val="auto"/>
          <w:spacing w:val="-2"/>
          <w:szCs w:val="22"/>
        </w:rPr>
        <w:t xml:space="preserve"> </w:t>
      </w:r>
      <w:r>
        <w:rPr>
          <w:i w:val="0"/>
          <w:color w:val="auto"/>
          <w:szCs w:val="22"/>
        </w:rPr>
        <w:t>deo</w:t>
      </w:r>
      <w:r>
        <w:rPr>
          <w:i w:val="0"/>
          <w:color w:val="auto"/>
          <w:spacing w:val="-2"/>
          <w:szCs w:val="22"/>
        </w:rPr>
        <w:t>s</w:t>
      </w:r>
      <w:r>
        <w:rPr>
          <w:i w:val="0"/>
          <w:color w:val="auto"/>
          <w:szCs w:val="22"/>
        </w:rPr>
        <w:t>eb</w:t>
      </w:r>
      <w:r>
        <w:rPr>
          <w:i w:val="0"/>
          <w:color w:val="auto"/>
          <w:spacing w:val="-2"/>
          <w:szCs w:val="22"/>
        </w:rPr>
        <w:t>i</w:t>
      </w:r>
      <w:r>
        <w:rPr>
          <w:i w:val="0"/>
          <w:color w:val="auto"/>
          <w:spacing w:val="1"/>
          <w:szCs w:val="22"/>
        </w:rPr>
        <w:t>t</w:t>
      </w:r>
      <w:r>
        <w:rPr>
          <w:i w:val="0"/>
          <w:color w:val="auto"/>
          <w:szCs w:val="22"/>
        </w:rPr>
        <w:t>ă</w:t>
      </w:r>
      <w:r>
        <w:rPr>
          <w:i w:val="0"/>
          <w:color w:val="auto"/>
          <w:spacing w:val="-2"/>
          <w:szCs w:val="22"/>
        </w:rPr>
        <w:t xml:space="preserve"> î</w:t>
      </w:r>
      <w:r>
        <w:rPr>
          <w:i w:val="0"/>
          <w:color w:val="auto"/>
          <w:szCs w:val="22"/>
        </w:rPr>
        <w:t>n ceea</w:t>
      </w:r>
      <w:r>
        <w:rPr>
          <w:i w:val="0"/>
          <w:color w:val="auto"/>
          <w:spacing w:val="-2"/>
          <w:szCs w:val="22"/>
        </w:rPr>
        <w:t xml:space="preserve"> </w:t>
      </w:r>
      <w:r>
        <w:rPr>
          <w:i w:val="0"/>
          <w:color w:val="auto"/>
          <w:szCs w:val="22"/>
        </w:rPr>
        <w:t xml:space="preserve">ce </w:t>
      </w:r>
      <w:r>
        <w:rPr>
          <w:i w:val="0"/>
          <w:color w:val="auto"/>
          <w:spacing w:val="-3"/>
          <w:szCs w:val="22"/>
        </w:rPr>
        <w:t>p</w:t>
      </w:r>
      <w:r>
        <w:rPr>
          <w:i w:val="0"/>
          <w:color w:val="auto"/>
          <w:szCs w:val="22"/>
        </w:rPr>
        <w:t>r</w:t>
      </w:r>
      <w:r>
        <w:rPr>
          <w:i w:val="0"/>
          <w:color w:val="auto"/>
          <w:spacing w:val="1"/>
          <w:szCs w:val="22"/>
        </w:rPr>
        <w:t>i</w:t>
      </w:r>
      <w:r>
        <w:rPr>
          <w:i w:val="0"/>
          <w:color w:val="auto"/>
          <w:spacing w:val="-3"/>
          <w:szCs w:val="22"/>
        </w:rPr>
        <w:t>v</w:t>
      </w:r>
      <w:r>
        <w:rPr>
          <w:i w:val="0"/>
          <w:color w:val="auto"/>
          <w:szCs w:val="22"/>
        </w:rPr>
        <w:t>e</w:t>
      </w:r>
      <w:r>
        <w:rPr>
          <w:i w:val="0"/>
          <w:color w:val="auto"/>
          <w:spacing w:val="-2"/>
          <w:szCs w:val="22"/>
        </w:rPr>
        <w:t>ş</w:t>
      </w:r>
      <w:r>
        <w:rPr>
          <w:i w:val="0"/>
          <w:color w:val="auto"/>
          <w:spacing w:val="1"/>
          <w:szCs w:val="22"/>
        </w:rPr>
        <w:t>t</w:t>
      </w:r>
      <w:r>
        <w:rPr>
          <w:i w:val="0"/>
          <w:color w:val="auto"/>
          <w:szCs w:val="22"/>
        </w:rPr>
        <w:t>e</w:t>
      </w:r>
      <w:r>
        <w:rPr>
          <w:i w:val="0"/>
          <w:color w:val="auto"/>
          <w:spacing w:val="-2"/>
          <w:szCs w:val="22"/>
        </w:rPr>
        <w:t xml:space="preserve"> </w:t>
      </w:r>
      <w:r>
        <w:rPr>
          <w:i w:val="0"/>
          <w:color w:val="auto"/>
          <w:szCs w:val="22"/>
        </w:rPr>
        <w:t>r</w:t>
      </w:r>
      <w:r>
        <w:rPr>
          <w:i w:val="0"/>
          <w:color w:val="auto"/>
          <w:spacing w:val="1"/>
          <w:szCs w:val="22"/>
        </w:rPr>
        <w:t>i</w:t>
      </w:r>
      <w:r>
        <w:rPr>
          <w:i w:val="0"/>
          <w:color w:val="auto"/>
          <w:spacing w:val="-2"/>
          <w:szCs w:val="22"/>
        </w:rPr>
        <w:t>s</w:t>
      </w:r>
      <w:r>
        <w:rPr>
          <w:i w:val="0"/>
          <w:color w:val="auto"/>
          <w:szCs w:val="22"/>
        </w:rPr>
        <w:t>cul</w:t>
      </w:r>
      <w:r>
        <w:rPr>
          <w:i w:val="0"/>
          <w:color w:val="auto"/>
          <w:spacing w:val="-2"/>
          <w:szCs w:val="22"/>
        </w:rPr>
        <w:t xml:space="preserve"> </w:t>
      </w:r>
      <w:r>
        <w:rPr>
          <w:i w:val="0"/>
          <w:color w:val="auto"/>
          <w:szCs w:val="22"/>
        </w:rPr>
        <w:t>de</w:t>
      </w:r>
      <w:r>
        <w:rPr>
          <w:i w:val="0"/>
          <w:color w:val="auto"/>
          <w:spacing w:val="-2"/>
          <w:szCs w:val="22"/>
        </w:rPr>
        <w:t xml:space="preserve"> </w:t>
      </w:r>
      <w:r>
        <w:rPr>
          <w:i w:val="0"/>
          <w:color w:val="auto"/>
          <w:spacing w:val="1"/>
          <w:szCs w:val="22"/>
        </w:rPr>
        <w:t>i</w:t>
      </w:r>
      <w:r>
        <w:rPr>
          <w:i w:val="0"/>
          <w:color w:val="auto"/>
          <w:szCs w:val="22"/>
        </w:rPr>
        <w:t>nf</w:t>
      </w:r>
      <w:r>
        <w:rPr>
          <w:i w:val="0"/>
          <w:color w:val="auto"/>
          <w:spacing w:val="-3"/>
          <w:szCs w:val="22"/>
        </w:rPr>
        <w:t>e</w:t>
      </w:r>
      <w:r>
        <w:rPr>
          <w:i w:val="0"/>
          <w:color w:val="auto"/>
          <w:szCs w:val="22"/>
        </w:rPr>
        <w:t>c</w:t>
      </w:r>
      <w:r>
        <w:rPr>
          <w:i w:val="0"/>
          <w:color w:val="auto"/>
          <w:spacing w:val="-2"/>
          <w:szCs w:val="22"/>
        </w:rPr>
        <w:t>ţ</w:t>
      </w:r>
      <w:r>
        <w:rPr>
          <w:i w:val="0"/>
          <w:color w:val="auto"/>
          <w:spacing w:val="1"/>
          <w:szCs w:val="22"/>
        </w:rPr>
        <w:t>i</w:t>
      </w:r>
      <w:r>
        <w:rPr>
          <w:i w:val="0"/>
          <w:color w:val="auto"/>
          <w:szCs w:val="22"/>
        </w:rPr>
        <w:t>e</w:t>
      </w:r>
      <w:r>
        <w:rPr>
          <w:i w:val="0"/>
          <w:color w:val="auto"/>
          <w:spacing w:val="-4"/>
          <w:szCs w:val="22"/>
        </w:rPr>
        <w:t xml:space="preserve"> </w:t>
      </w:r>
      <w:r>
        <w:rPr>
          <w:i w:val="0"/>
          <w:color w:val="auto"/>
          <w:szCs w:val="22"/>
        </w:rPr>
        <w:t>a</w:t>
      </w:r>
      <w:r>
        <w:rPr>
          <w:i w:val="0"/>
          <w:color w:val="auto"/>
          <w:spacing w:val="1"/>
          <w:szCs w:val="22"/>
        </w:rPr>
        <w:t>t</w:t>
      </w:r>
      <w:r>
        <w:rPr>
          <w:i w:val="0"/>
          <w:color w:val="auto"/>
          <w:szCs w:val="22"/>
        </w:rPr>
        <w:t>u</w:t>
      </w:r>
      <w:r>
        <w:rPr>
          <w:i w:val="0"/>
          <w:color w:val="auto"/>
          <w:spacing w:val="-3"/>
          <w:szCs w:val="22"/>
        </w:rPr>
        <w:t>n</w:t>
      </w:r>
      <w:r>
        <w:rPr>
          <w:i w:val="0"/>
          <w:color w:val="auto"/>
          <w:szCs w:val="22"/>
        </w:rPr>
        <w:t>ci</w:t>
      </w:r>
      <w:r>
        <w:rPr>
          <w:i w:val="0"/>
          <w:color w:val="auto"/>
          <w:spacing w:val="-2"/>
          <w:szCs w:val="22"/>
        </w:rPr>
        <w:t xml:space="preserve"> </w:t>
      </w:r>
      <w:r>
        <w:rPr>
          <w:i w:val="0"/>
          <w:color w:val="auto"/>
          <w:szCs w:val="22"/>
        </w:rPr>
        <w:t>când</w:t>
      </w:r>
      <w:r>
        <w:rPr>
          <w:i w:val="0"/>
          <w:color w:val="auto"/>
          <w:spacing w:val="-3"/>
          <w:szCs w:val="22"/>
        </w:rPr>
        <w:t xml:space="preserve"> </w:t>
      </w:r>
      <w:r>
        <w:rPr>
          <w:i w:val="0"/>
          <w:color w:val="auto"/>
          <w:szCs w:val="22"/>
        </w:rPr>
        <w:t>se</w:t>
      </w:r>
      <w:r>
        <w:rPr>
          <w:i w:val="0"/>
          <w:color w:val="auto"/>
          <w:spacing w:val="-2"/>
          <w:szCs w:val="22"/>
        </w:rPr>
        <w:t xml:space="preserve"> </w:t>
      </w:r>
      <w:r>
        <w:rPr>
          <w:i w:val="0"/>
          <w:color w:val="auto"/>
          <w:spacing w:val="1"/>
          <w:szCs w:val="22"/>
        </w:rPr>
        <w:t>t</w:t>
      </w:r>
      <w:r>
        <w:rPr>
          <w:i w:val="0"/>
          <w:color w:val="auto"/>
          <w:szCs w:val="22"/>
        </w:rPr>
        <w:t>r</w:t>
      </w:r>
      <w:r>
        <w:rPr>
          <w:i w:val="0"/>
          <w:color w:val="auto"/>
          <w:spacing w:val="-3"/>
          <w:szCs w:val="22"/>
        </w:rPr>
        <w:t>a</w:t>
      </w:r>
      <w:r>
        <w:rPr>
          <w:i w:val="0"/>
          <w:color w:val="auto"/>
          <w:spacing w:val="1"/>
          <w:szCs w:val="22"/>
        </w:rPr>
        <w:t>t</w:t>
      </w:r>
      <w:r>
        <w:rPr>
          <w:i w:val="0"/>
          <w:color w:val="auto"/>
          <w:spacing w:val="-3"/>
          <w:szCs w:val="22"/>
        </w:rPr>
        <w:t>e</w:t>
      </w:r>
      <w:r>
        <w:rPr>
          <w:i w:val="0"/>
          <w:color w:val="auto"/>
          <w:szCs w:val="22"/>
        </w:rPr>
        <w:t>a</w:t>
      </w:r>
      <w:r>
        <w:rPr>
          <w:i w:val="0"/>
          <w:color w:val="auto"/>
          <w:spacing w:val="-3"/>
          <w:szCs w:val="22"/>
        </w:rPr>
        <w:t>z</w:t>
      </w:r>
      <w:r>
        <w:rPr>
          <w:i w:val="0"/>
          <w:color w:val="auto"/>
          <w:szCs w:val="22"/>
        </w:rPr>
        <w:t xml:space="preserve">ă </w:t>
      </w:r>
      <w:r>
        <w:rPr>
          <w:i w:val="0"/>
          <w:color w:val="auto"/>
          <w:spacing w:val="-3"/>
          <w:szCs w:val="22"/>
        </w:rPr>
        <w:t>v</w:t>
      </w:r>
      <w:r>
        <w:rPr>
          <w:i w:val="0"/>
          <w:color w:val="auto"/>
          <w:szCs w:val="22"/>
        </w:rPr>
        <w:t>ârs</w:t>
      </w:r>
      <w:r>
        <w:rPr>
          <w:i w:val="0"/>
          <w:color w:val="auto"/>
          <w:spacing w:val="1"/>
          <w:szCs w:val="22"/>
        </w:rPr>
        <w:t>t</w:t>
      </w:r>
      <w:r>
        <w:rPr>
          <w:i w:val="0"/>
          <w:color w:val="auto"/>
          <w:spacing w:val="-3"/>
          <w:szCs w:val="22"/>
        </w:rPr>
        <w:t>n</w:t>
      </w:r>
      <w:r>
        <w:rPr>
          <w:i w:val="0"/>
          <w:color w:val="auto"/>
          <w:spacing w:val="1"/>
          <w:szCs w:val="22"/>
        </w:rPr>
        <w:t>i</w:t>
      </w:r>
      <w:r>
        <w:rPr>
          <w:i w:val="0"/>
          <w:color w:val="auto"/>
          <w:szCs w:val="22"/>
        </w:rPr>
        <w:t>ci.</w:t>
      </w:r>
    </w:p>
    <w:p w14:paraId="03D922B3" w14:textId="77777777" w:rsidR="00C04CAD" w:rsidRDefault="00C04CAD">
      <w:pPr>
        <w:pStyle w:val="BodyText"/>
        <w:kinsoku w:val="0"/>
        <w:overflowPunct w:val="0"/>
        <w:rPr>
          <w:color w:val="auto"/>
          <w:szCs w:val="22"/>
        </w:rPr>
      </w:pPr>
    </w:p>
    <w:p w14:paraId="3C14EBBE"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lastRenderedPageBreak/>
        <w:t>Copii şi adolescenţi</w:t>
      </w:r>
    </w:p>
    <w:p w14:paraId="09A4B324" w14:textId="77777777" w:rsidR="00C04CAD" w:rsidRDefault="00C04CAD">
      <w:pPr>
        <w:tabs>
          <w:tab w:val="clear" w:pos="567"/>
        </w:tabs>
        <w:kinsoku w:val="0"/>
        <w:overflowPunct w:val="0"/>
        <w:autoSpaceDE w:val="0"/>
        <w:autoSpaceDN w:val="0"/>
        <w:adjustRightInd w:val="0"/>
        <w:spacing w:line="240" w:lineRule="auto"/>
        <w:rPr>
          <w:szCs w:val="22"/>
        </w:rPr>
      </w:pPr>
    </w:p>
    <w:p w14:paraId="0E791AC3" w14:textId="77777777" w:rsidR="00C04CAD" w:rsidRDefault="00060E34">
      <w:pPr>
        <w:pStyle w:val="BodyText"/>
        <w:kinsoku w:val="0"/>
        <w:overflowPunct w:val="0"/>
        <w:rPr>
          <w:i w:val="0"/>
          <w:color w:val="auto"/>
          <w:szCs w:val="22"/>
        </w:rPr>
      </w:pPr>
      <w:r>
        <w:rPr>
          <w:i w:val="0"/>
          <w:color w:val="auto"/>
          <w:szCs w:val="22"/>
        </w:rPr>
        <w:t>Vezi pct. Vaccinări de mai sus.</w:t>
      </w:r>
    </w:p>
    <w:p w14:paraId="57046489" w14:textId="77777777" w:rsidR="00C04CAD" w:rsidRDefault="00C04CAD">
      <w:pPr>
        <w:pStyle w:val="BodyText"/>
        <w:kinsoku w:val="0"/>
        <w:overflowPunct w:val="0"/>
        <w:rPr>
          <w:i w:val="0"/>
          <w:color w:val="auto"/>
          <w:szCs w:val="22"/>
        </w:rPr>
      </w:pPr>
    </w:p>
    <w:p w14:paraId="5E91B05D" w14:textId="77777777" w:rsidR="00C04CAD" w:rsidRDefault="00060E34">
      <w:pPr>
        <w:pStyle w:val="BodyText"/>
        <w:keepNext/>
        <w:kinsoku w:val="0"/>
        <w:overflowPunct w:val="0"/>
        <w:rPr>
          <w:i w:val="0"/>
          <w:color w:val="auto"/>
          <w:szCs w:val="22"/>
          <w:u w:val="single"/>
        </w:rPr>
      </w:pPr>
      <w:r>
        <w:rPr>
          <w:i w:val="0"/>
          <w:color w:val="auto"/>
          <w:szCs w:val="22"/>
          <w:u w:val="single"/>
        </w:rPr>
        <w:t>Conţinut de sodiu</w:t>
      </w:r>
    </w:p>
    <w:p w14:paraId="1627BC66" w14:textId="77777777" w:rsidR="00C04CAD" w:rsidRDefault="00C04CAD">
      <w:pPr>
        <w:pStyle w:val="BodyText"/>
        <w:keepNext/>
        <w:kinsoku w:val="0"/>
        <w:overflowPunct w:val="0"/>
        <w:rPr>
          <w:i w:val="0"/>
          <w:color w:val="auto"/>
          <w:szCs w:val="22"/>
        </w:rPr>
      </w:pPr>
    </w:p>
    <w:p w14:paraId="0D735C04" w14:textId="77777777" w:rsidR="00C04CAD" w:rsidRDefault="00060E34">
      <w:pPr>
        <w:pStyle w:val="BodyText"/>
        <w:kinsoku w:val="0"/>
        <w:overflowPunct w:val="0"/>
        <w:rPr>
          <w:i w:val="0"/>
          <w:color w:val="auto"/>
          <w:szCs w:val="22"/>
        </w:rPr>
      </w:pPr>
      <w:r>
        <w:rPr>
          <w:i w:val="0"/>
          <w:color w:val="auto"/>
          <w:szCs w:val="22"/>
        </w:rPr>
        <w:t>Acest medicament conține sodiu mai puțin de 1 mmol (23 mg) per doză de 0,8 ml, adică practic „nu conţine sodiu”.</w:t>
      </w:r>
    </w:p>
    <w:p w14:paraId="1D9DB975" w14:textId="77777777" w:rsidR="00C04CAD" w:rsidRDefault="00C04CAD">
      <w:pPr>
        <w:pStyle w:val="BodyText"/>
        <w:kinsoku w:val="0"/>
        <w:overflowPunct w:val="0"/>
        <w:rPr>
          <w:color w:val="auto"/>
          <w:szCs w:val="22"/>
        </w:rPr>
      </w:pPr>
    </w:p>
    <w:p w14:paraId="46E0733A" w14:textId="77777777" w:rsidR="00C04CAD" w:rsidRDefault="00060E34">
      <w:pPr>
        <w:keepNext/>
        <w:numPr>
          <w:ilvl w:val="1"/>
          <w:numId w:val="7"/>
        </w:numPr>
        <w:spacing w:line="240" w:lineRule="auto"/>
        <w:outlineLvl w:val="0"/>
        <w:rPr>
          <w:szCs w:val="22"/>
        </w:rPr>
      </w:pPr>
      <w:r>
        <w:rPr>
          <w:b/>
          <w:szCs w:val="22"/>
        </w:rPr>
        <w:t>Interacțiuni cu alte medicamente și alte forme de interacțiune</w:t>
      </w:r>
    </w:p>
    <w:p w14:paraId="2BB15AFA" w14:textId="77777777" w:rsidR="00C04CAD" w:rsidRDefault="00C04CAD">
      <w:pPr>
        <w:keepNext/>
        <w:spacing w:line="240" w:lineRule="auto"/>
        <w:rPr>
          <w:szCs w:val="22"/>
        </w:rPr>
      </w:pPr>
    </w:p>
    <w:p w14:paraId="4DFBF9AB"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pacing w:val="-1"/>
          <w:szCs w:val="22"/>
          <w:lang w:eastAsia="en-US" w:bidi="ar-SA"/>
        </w:rPr>
        <w:t>Adalimumab</w:t>
      </w:r>
      <w:r>
        <w:rPr>
          <w:szCs w:val="22"/>
        </w:rPr>
        <w:t xml:space="preserve"> a fo</w:t>
      </w:r>
      <w:r>
        <w:rPr>
          <w:spacing w:val="-2"/>
          <w:szCs w:val="22"/>
        </w:rPr>
        <w:t>s</w:t>
      </w:r>
      <w:r>
        <w:rPr>
          <w:szCs w:val="22"/>
        </w:rPr>
        <w:t>t</w:t>
      </w:r>
      <w:r>
        <w:rPr>
          <w:spacing w:val="1"/>
          <w:szCs w:val="22"/>
        </w:rPr>
        <w:t xml:space="preserve"> </w:t>
      </w:r>
      <w:r>
        <w:rPr>
          <w:spacing w:val="-2"/>
          <w:szCs w:val="22"/>
        </w:rPr>
        <w:t>s</w:t>
      </w:r>
      <w:r>
        <w:rPr>
          <w:spacing w:val="1"/>
          <w:szCs w:val="22"/>
        </w:rPr>
        <w:t>t</w:t>
      </w:r>
      <w:r>
        <w:rPr>
          <w:szCs w:val="22"/>
        </w:rPr>
        <w:t>u</w:t>
      </w:r>
      <w:r>
        <w:rPr>
          <w:spacing w:val="-3"/>
          <w:szCs w:val="22"/>
        </w:rPr>
        <w:t>d</w:t>
      </w:r>
      <w:r>
        <w:rPr>
          <w:spacing w:val="1"/>
          <w:szCs w:val="22"/>
        </w:rPr>
        <w:t>i</w:t>
      </w:r>
      <w:r>
        <w:rPr>
          <w:spacing w:val="-3"/>
          <w:szCs w:val="22"/>
        </w:rPr>
        <w:t>a</w:t>
      </w:r>
      <w:r>
        <w:rPr>
          <w:szCs w:val="22"/>
        </w:rPr>
        <w:t>t</w:t>
      </w:r>
      <w:r>
        <w:rPr>
          <w:spacing w:val="1"/>
          <w:szCs w:val="22"/>
        </w:rPr>
        <w:t xml:space="preserve"> 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1"/>
          <w:szCs w:val="22"/>
        </w:rPr>
        <w:t xml:space="preserve"> </w:t>
      </w:r>
      <w:r>
        <w:rPr>
          <w:spacing w:val="-3"/>
          <w:szCs w:val="22"/>
        </w:rPr>
        <w:t>c</w:t>
      </w:r>
      <w:r>
        <w:rPr>
          <w:szCs w:val="22"/>
        </w:rPr>
        <w:t>u p</w:t>
      </w:r>
      <w:r>
        <w:rPr>
          <w:spacing w:val="-3"/>
          <w:szCs w:val="22"/>
        </w:rPr>
        <w:t>o</w:t>
      </w:r>
      <w:r>
        <w:rPr>
          <w:spacing w:val="1"/>
          <w:szCs w:val="22"/>
        </w:rPr>
        <w:t>li</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w:t>
      </w:r>
      <w:r>
        <w:rPr>
          <w:spacing w:val="-2"/>
          <w:szCs w:val="22"/>
        </w:rPr>
        <w:t xml:space="preserve"> </w:t>
      </w:r>
      <w:r>
        <w:rPr>
          <w:szCs w:val="22"/>
        </w:rPr>
        <w:t>reu</w:t>
      </w:r>
      <w:r>
        <w:rPr>
          <w:spacing w:val="-4"/>
          <w:szCs w:val="22"/>
        </w:rPr>
        <w:t>m</w:t>
      </w:r>
      <w:r>
        <w:rPr>
          <w:szCs w:val="22"/>
        </w:rPr>
        <w:t>a</w:t>
      </w:r>
      <w:r>
        <w:rPr>
          <w:spacing w:val="1"/>
          <w:szCs w:val="22"/>
        </w:rPr>
        <w:t>t</w:t>
      </w:r>
      <w:r>
        <w:rPr>
          <w:szCs w:val="22"/>
        </w:rPr>
        <w:t>o</w:t>
      </w:r>
      <w:r>
        <w:rPr>
          <w:spacing w:val="-2"/>
          <w:szCs w:val="22"/>
        </w:rPr>
        <w:t>i</w:t>
      </w:r>
      <w:r>
        <w:rPr>
          <w:szCs w:val="22"/>
        </w:rPr>
        <w:t>dă, 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pacing w:val="1"/>
          <w:szCs w:val="22"/>
        </w:rPr>
        <w:t>j</w:t>
      </w:r>
      <w:r>
        <w:rPr>
          <w:szCs w:val="22"/>
        </w:rPr>
        <w:t>u</w:t>
      </w:r>
      <w:r>
        <w:rPr>
          <w:spacing w:val="-3"/>
          <w:szCs w:val="22"/>
        </w:rPr>
        <w:t>v</w:t>
      </w:r>
      <w:r>
        <w:rPr>
          <w:szCs w:val="22"/>
        </w:rPr>
        <w:t>en</w:t>
      </w:r>
      <w:r>
        <w:rPr>
          <w:spacing w:val="1"/>
          <w:szCs w:val="22"/>
        </w:rPr>
        <w:t>i</w:t>
      </w:r>
      <w:r>
        <w:rPr>
          <w:spacing w:val="-2"/>
          <w:szCs w:val="22"/>
        </w:rPr>
        <w:t>l</w:t>
      </w:r>
      <w:r>
        <w:rPr>
          <w:szCs w:val="22"/>
        </w:rPr>
        <w:t xml:space="preserve">ă </w:t>
      </w:r>
      <w:r>
        <w:rPr>
          <w:spacing w:val="1"/>
          <w:szCs w:val="22"/>
        </w:rPr>
        <w:t>i</w:t>
      </w:r>
      <w:r>
        <w:rPr>
          <w:spacing w:val="-3"/>
          <w:szCs w:val="22"/>
        </w:rPr>
        <w:t>d</w:t>
      </w:r>
      <w:r>
        <w:rPr>
          <w:spacing w:val="1"/>
          <w:szCs w:val="22"/>
        </w:rPr>
        <w:t>i</w:t>
      </w:r>
      <w:r>
        <w:rPr>
          <w:szCs w:val="22"/>
        </w:rPr>
        <w:t>o</w:t>
      </w:r>
      <w:r>
        <w:rPr>
          <w:spacing w:val="-3"/>
          <w:szCs w:val="22"/>
        </w:rPr>
        <w:t>p</w:t>
      </w:r>
      <w:r>
        <w:rPr>
          <w:szCs w:val="22"/>
        </w:rPr>
        <w:t>a</w:t>
      </w:r>
      <w:r>
        <w:rPr>
          <w:spacing w:val="-2"/>
          <w:szCs w:val="22"/>
        </w:rPr>
        <w:t>t</w:t>
      </w:r>
      <w:r>
        <w:rPr>
          <w:spacing w:val="1"/>
          <w:szCs w:val="22"/>
        </w:rPr>
        <w:t>i</w:t>
      </w:r>
      <w:r>
        <w:rPr>
          <w:spacing w:val="-3"/>
          <w:szCs w:val="22"/>
        </w:rPr>
        <w:t>c</w:t>
      </w:r>
      <w:r>
        <w:rPr>
          <w:szCs w:val="22"/>
        </w:rPr>
        <w:t>ă for</w:t>
      </w:r>
      <w:r>
        <w:rPr>
          <w:spacing w:val="-4"/>
          <w:szCs w:val="22"/>
        </w:rPr>
        <w:t>m</w:t>
      </w:r>
      <w:r>
        <w:rPr>
          <w:szCs w:val="22"/>
        </w:rPr>
        <w:t>a 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i</w:t>
      </w:r>
      <w:r>
        <w:rPr>
          <w:szCs w:val="22"/>
        </w:rPr>
        <w:t>cu</w:t>
      </w:r>
      <w:r>
        <w:rPr>
          <w:spacing w:val="-2"/>
          <w:szCs w:val="22"/>
        </w:rPr>
        <w:t>l</w:t>
      </w:r>
      <w:r>
        <w:rPr>
          <w:szCs w:val="22"/>
        </w:rPr>
        <w:t>ară</w:t>
      </w:r>
      <w:r>
        <w:rPr>
          <w:spacing w:val="-3"/>
          <w:szCs w:val="22"/>
        </w:rPr>
        <w:t xml:space="preserve"> </w:t>
      </w:r>
      <w:r>
        <w:rPr>
          <w:szCs w:val="22"/>
        </w:rPr>
        <w:t>şi</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it</w:t>
      </w:r>
      <w:r>
        <w:rPr>
          <w:szCs w:val="22"/>
        </w:rPr>
        <w:t>ă</w:t>
      </w:r>
      <w:r>
        <w:rPr>
          <w:spacing w:val="-2"/>
          <w:szCs w:val="22"/>
        </w:rPr>
        <w:t xml:space="preserve"> </w:t>
      </w:r>
      <w:r>
        <w:rPr>
          <w:szCs w:val="22"/>
        </w:rPr>
        <w:t>ps</w:t>
      </w:r>
      <w:r>
        <w:rPr>
          <w:spacing w:val="-3"/>
          <w:szCs w:val="22"/>
        </w:rPr>
        <w:t>o</w:t>
      </w:r>
      <w:r>
        <w:rPr>
          <w:szCs w:val="22"/>
        </w:rPr>
        <w:t>r</w:t>
      </w:r>
      <w:r>
        <w:rPr>
          <w:spacing w:val="-2"/>
          <w:szCs w:val="22"/>
        </w:rPr>
        <w:t>i</w:t>
      </w:r>
      <w:r>
        <w:rPr>
          <w:szCs w:val="22"/>
        </w:rPr>
        <w:t>a</w:t>
      </w:r>
      <w:r>
        <w:rPr>
          <w:spacing w:val="-3"/>
          <w:szCs w:val="22"/>
        </w:rPr>
        <w:t>z</w:t>
      </w:r>
      <w:r>
        <w:rPr>
          <w:spacing w:val="1"/>
          <w:szCs w:val="22"/>
        </w:rPr>
        <w:t>i</w:t>
      </w:r>
      <w:r>
        <w:rPr>
          <w:szCs w:val="22"/>
        </w:rPr>
        <w:t>că c</w:t>
      </w:r>
      <w:r>
        <w:rPr>
          <w:spacing w:val="-3"/>
          <w:szCs w:val="22"/>
        </w:rPr>
        <w:t>ă</w:t>
      </w:r>
      <w:r>
        <w:rPr>
          <w:szCs w:val="22"/>
        </w:rPr>
        <w:t>r</w:t>
      </w:r>
      <w:r>
        <w:rPr>
          <w:spacing w:val="-3"/>
          <w:szCs w:val="22"/>
        </w:rPr>
        <w:t>o</w:t>
      </w:r>
      <w:r>
        <w:rPr>
          <w:szCs w:val="22"/>
        </w:rPr>
        <w:t>ra</w:t>
      </w:r>
      <w:r>
        <w:rPr>
          <w:spacing w:val="-2"/>
          <w:szCs w:val="22"/>
        </w:rPr>
        <w:t xml:space="preserve"> </w:t>
      </w:r>
      <w:r>
        <w:rPr>
          <w:spacing w:val="1"/>
          <w:szCs w:val="22"/>
        </w:rPr>
        <w:t>l</w:t>
      </w:r>
      <w:r>
        <w:rPr>
          <w:szCs w:val="22"/>
        </w:rPr>
        <w:t>i</w:t>
      </w:r>
      <w:r>
        <w:rPr>
          <w:spacing w:val="1"/>
          <w:szCs w:val="22"/>
        </w:rPr>
        <w:t xml:space="preserve"> </w:t>
      </w:r>
      <w:r>
        <w:rPr>
          <w:spacing w:val="-2"/>
          <w:szCs w:val="22"/>
        </w:rPr>
        <w:t>s</w:t>
      </w:r>
      <w:r>
        <w:rPr>
          <w:szCs w:val="22"/>
        </w:rPr>
        <w:t>e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w:t>
      </w:r>
      <w:r>
        <w:rPr>
          <w:spacing w:val="-2"/>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w:t>
      </w:r>
      <w:r>
        <w:rPr>
          <w:spacing w:val="-2"/>
          <w:szCs w:val="22"/>
        </w:rPr>
        <w:t>r</w:t>
      </w:r>
      <w:r>
        <w:rPr>
          <w:szCs w:val="22"/>
        </w:rPr>
        <w:t>ap</w:t>
      </w:r>
      <w:r>
        <w:rPr>
          <w:spacing w:val="-2"/>
          <w:szCs w:val="22"/>
        </w:rPr>
        <w:t>i</w:t>
      </w:r>
      <w:r>
        <w:rPr>
          <w:szCs w:val="22"/>
        </w:rPr>
        <w:t>e, c</w:t>
      </w:r>
      <w:r>
        <w:rPr>
          <w:spacing w:val="-3"/>
          <w:szCs w:val="22"/>
        </w:rPr>
        <w:t>â</w:t>
      </w:r>
      <w:r>
        <w:rPr>
          <w:szCs w:val="22"/>
        </w:rPr>
        <w:t>t</w:t>
      </w:r>
      <w:r>
        <w:rPr>
          <w:spacing w:val="1"/>
          <w:szCs w:val="22"/>
        </w:rPr>
        <w:t xml:space="preserve"> </w:t>
      </w:r>
      <w:r>
        <w:rPr>
          <w:szCs w:val="22"/>
        </w:rPr>
        <w:t>şi</w:t>
      </w:r>
      <w:r>
        <w:rPr>
          <w:spacing w:val="-2"/>
          <w:szCs w:val="22"/>
        </w:rPr>
        <w:t xml:space="preserve"> </w:t>
      </w:r>
      <w:r>
        <w:rPr>
          <w:spacing w:val="1"/>
          <w:szCs w:val="22"/>
        </w:rPr>
        <w:t>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ca</w:t>
      </w:r>
      <w:r>
        <w:rPr>
          <w:spacing w:val="-2"/>
          <w:szCs w:val="22"/>
        </w:rPr>
        <w:t>r</w:t>
      </w:r>
      <w:r>
        <w:rPr>
          <w:szCs w:val="22"/>
        </w:rPr>
        <w:t xml:space="preserve">e </w:t>
      </w:r>
      <w:r>
        <w:rPr>
          <w:spacing w:val="1"/>
          <w:szCs w:val="22"/>
        </w:rPr>
        <w:t>l</w:t>
      </w:r>
      <w:r>
        <w:rPr>
          <w:szCs w:val="22"/>
        </w:rPr>
        <w:t>uau</w:t>
      </w:r>
      <w:r>
        <w:rPr>
          <w:spacing w:val="-3"/>
          <w:szCs w:val="22"/>
        </w:rPr>
        <w:t xml:space="preserve"> </w:t>
      </w:r>
      <w:r>
        <w:rPr>
          <w:szCs w:val="22"/>
        </w:rPr>
        <w:t>conco</w:t>
      </w:r>
      <w:r>
        <w:rPr>
          <w:spacing w:val="-4"/>
          <w:szCs w:val="22"/>
        </w:rPr>
        <w:t>m</w:t>
      </w:r>
      <w:r>
        <w:rPr>
          <w:spacing w:val="1"/>
          <w:szCs w:val="22"/>
        </w:rPr>
        <w:t>it</w:t>
      </w:r>
      <w:r>
        <w:rPr>
          <w:spacing w:val="-3"/>
          <w:szCs w:val="22"/>
        </w:rPr>
        <w:t>e</w:t>
      </w:r>
      <w:r>
        <w:rPr>
          <w:szCs w:val="22"/>
        </w:rPr>
        <w:t>nt</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xa</w:t>
      </w:r>
      <w:r>
        <w:rPr>
          <w:spacing w:val="1"/>
          <w:szCs w:val="22"/>
        </w:rPr>
        <w:t>t</w:t>
      </w:r>
      <w:r>
        <w:rPr>
          <w:szCs w:val="22"/>
        </w:rPr>
        <w:t xml:space="preserve">. </w:t>
      </w:r>
      <w:r>
        <w:rPr>
          <w:spacing w:val="-1"/>
          <w:szCs w:val="22"/>
        </w:rPr>
        <w:t>F</w:t>
      </w:r>
      <w:r>
        <w:rPr>
          <w:szCs w:val="22"/>
        </w:rPr>
        <w:t>or</w:t>
      </w:r>
      <w:r>
        <w:rPr>
          <w:spacing w:val="-4"/>
          <w:szCs w:val="22"/>
        </w:rPr>
        <w:t>m</w:t>
      </w:r>
      <w:r>
        <w:rPr>
          <w:szCs w:val="22"/>
        </w:rPr>
        <w:t>area</w:t>
      </w:r>
      <w:r>
        <w:rPr>
          <w:spacing w:val="-2"/>
          <w:szCs w:val="22"/>
        </w:rPr>
        <w:t xml:space="preserve"> </w:t>
      </w:r>
      <w:r>
        <w:rPr>
          <w:szCs w:val="22"/>
        </w:rPr>
        <w:t xml:space="preserve">de </w:t>
      </w:r>
      <w:r>
        <w:rPr>
          <w:spacing w:val="-3"/>
          <w:szCs w:val="22"/>
        </w:rPr>
        <w:t>a</w:t>
      </w:r>
      <w:r>
        <w:rPr>
          <w:szCs w:val="22"/>
        </w:rPr>
        <w:t>n</w:t>
      </w:r>
      <w:r>
        <w:rPr>
          <w:spacing w:val="-2"/>
          <w:szCs w:val="22"/>
        </w:rPr>
        <w:t>t</w:t>
      </w:r>
      <w:r>
        <w:rPr>
          <w:spacing w:val="1"/>
          <w:szCs w:val="22"/>
        </w:rPr>
        <w:t>i</w:t>
      </w:r>
      <w:r>
        <w:rPr>
          <w:szCs w:val="22"/>
        </w:rPr>
        <w:t>c</w:t>
      </w:r>
      <w:r>
        <w:rPr>
          <w:spacing w:val="-3"/>
          <w:szCs w:val="22"/>
        </w:rPr>
        <w:t>o</w:t>
      </w:r>
      <w:r>
        <w:rPr>
          <w:szCs w:val="22"/>
        </w:rPr>
        <w:t>rpi</w:t>
      </w:r>
      <w:r>
        <w:rPr>
          <w:spacing w:val="-2"/>
          <w:szCs w:val="22"/>
        </w:rPr>
        <w:t xml:space="preserve"> </w:t>
      </w:r>
      <w:r>
        <w:rPr>
          <w:szCs w:val="22"/>
        </w:rPr>
        <w:t xml:space="preserve">a </w:t>
      </w:r>
      <w:r>
        <w:rPr>
          <w:spacing w:val="-2"/>
          <w:szCs w:val="22"/>
        </w:rPr>
        <w:t>f</w:t>
      </w:r>
      <w:r>
        <w:rPr>
          <w:szCs w:val="22"/>
        </w:rPr>
        <w:t>ost</w:t>
      </w:r>
      <w:r>
        <w:rPr>
          <w:spacing w:val="1"/>
          <w:szCs w:val="22"/>
        </w:rPr>
        <w:t xml:space="preserve"> </w:t>
      </w:r>
      <w:r>
        <w:rPr>
          <w:spacing w:val="-4"/>
          <w:szCs w:val="22"/>
        </w:rPr>
        <w:t>m</w:t>
      </w:r>
      <w:r>
        <w:rPr>
          <w:szCs w:val="22"/>
        </w:rPr>
        <w:t>ai</w:t>
      </w:r>
      <w:r>
        <w:rPr>
          <w:spacing w:val="1"/>
          <w:szCs w:val="22"/>
        </w:rPr>
        <w:t xml:space="preserve"> </w:t>
      </w:r>
      <w:r>
        <w:rPr>
          <w:szCs w:val="22"/>
        </w:rPr>
        <w:t>s</w:t>
      </w:r>
      <w:r>
        <w:rPr>
          <w:spacing w:val="-3"/>
          <w:szCs w:val="22"/>
        </w:rPr>
        <w:t>c</w:t>
      </w:r>
      <w:r>
        <w:rPr>
          <w:szCs w:val="22"/>
        </w:rPr>
        <w:t>ă</w:t>
      </w:r>
      <w:r>
        <w:rPr>
          <w:spacing w:val="-3"/>
          <w:szCs w:val="22"/>
        </w:rPr>
        <w:t>z</w:t>
      </w:r>
      <w:r>
        <w:rPr>
          <w:szCs w:val="22"/>
        </w:rPr>
        <w:t>u</w:t>
      </w:r>
      <w:r>
        <w:rPr>
          <w:spacing w:val="1"/>
          <w:szCs w:val="22"/>
        </w:rPr>
        <w:t>t</w:t>
      </w:r>
      <w:r>
        <w:rPr>
          <w:szCs w:val="22"/>
        </w:rPr>
        <w:t xml:space="preserve">ă </w:t>
      </w:r>
      <w:r>
        <w:rPr>
          <w:spacing w:val="-3"/>
          <w:szCs w:val="22"/>
        </w:rPr>
        <w:t>a</w:t>
      </w:r>
      <w:r>
        <w:rPr>
          <w:spacing w:val="1"/>
          <w:szCs w:val="22"/>
        </w:rPr>
        <w:t>t</w:t>
      </w:r>
      <w:r>
        <w:rPr>
          <w:szCs w:val="22"/>
        </w:rPr>
        <w:t>u</w:t>
      </w:r>
      <w:r>
        <w:rPr>
          <w:spacing w:val="-3"/>
          <w:szCs w:val="22"/>
        </w:rPr>
        <w:t>n</w:t>
      </w:r>
      <w:r>
        <w:rPr>
          <w:szCs w:val="22"/>
        </w:rPr>
        <w:t>ci</w:t>
      </w:r>
      <w:r>
        <w:rPr>
          <w:spacing w:val="1"/>
          <w:szCs w:val="22"/>
        </w:rPr>
        <w:t xml:space="preserve"> </w:t>
      </w:r>
      <w:r>
        <w:rPr>
          <w:spacing w:val="-3"/>
          <w:szCs w:val="22"/>
        </w:rPr>
        <w:t>c</w:t>
      </w:r>
      <w:r>
        <w:rPr>
          <w:szCs w:val="22"/>
        </w:rPr>
        <w:t>ând</w:t>
      </w:r>
      <w:r>
        <w:rPr>
          <w:spacing w:val="-3"/>
          <w:szCs w:val="22"/>
        </w:rPr>
        <w:t xml:space="preserve"> </w:t>
      </w:r>
      <w:r>
        <w:rPr>
          <w:rFonts w:eastAsia="MS Mincho"/>
          <w:spacing w:val="-1"/>
          <w:szCs w:val="22"/>
          <w:lang w:eastAsia="en-US" w:bidi="ar-SA"/>
        </w:rPr>
        <w:t>adalimumab</w:t>
      </w:r>
      <w:r>
        <w:rPr>
          <w:szCs w:val="22"/>
        </w:rPr>
        <w:t xml:space="preserve"> a fo</w:t>
      </w:r>
      <w:r>
        <w:rPr>
          <w:spacing w:val="-2"/>
          <w:szCs w:val="22"/>
        </w:rPr>
        <w:t>s</w:t>
      </w:r>
      <w:r>
        <w:rPr>
          <w:szCs w:val="22"/>
        </w:rPr>
        <w:t>t 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t</w:t>
      </w:r>
      <w:r>
        <w:rPr>
          <w:szCs w:val="22"/>
        </w:rPr>
        <w:t xml:space="preserve">ă </w:t>
      </w:r>
      <w:r>
        <w:rPr>
          <w:spacing w:val="1"/>
          <w:szCs w:val="22"/>
        </w:rPr>
        <w:t>î</w:t>
      </w:r>
      <w:r>
        <w:rPr>
          <w:spacing w:val="-4"/>
          <w:szCs w:val="22"/>
        </w:rPr>
        <w:t>m</w:t>
      </w:r>
      <w:r>
        <w:rPr>
          <w:szCs w:val="22"/>
        </w:rPr>
        <w:t>preu</w:t>
      </w:r>
      <w:r>
        <w:rPr>
          <w:spacing w:val="-3"/>
          <w:szCs w:val="22"/>
        </w:rPr>
        <w:t>n</w:t>
      </w:r>
      <w:r>
        <w:rPr>
          <w:szCs w:val="22"/>
        </w:rPr>
        <w:t>ă cu</w:t>
      </w:r>
      <w:r>
        <w:rPr>
          <w:spacing w:val="-3"/>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pacing w:val="1"/>
          <w:szCs w:val="22"/>
        </w:rPr>
        <w:t>t</w:t>
      </w:r>
      <w:r>
        <w:rPr>
          <w:szCs w:val="22"/>
        </w:rPr>
        <w:t xml:space="preserve">, </w:t>
      </w:r>
      <w:r>
        <w:rPr>
          <w:spacing w:val="-3"/>
          <w:szCs w:val="22"/>
        </w:rPr>
        <w:t>c</w:t>
      </w:r>
      <w:r>
        <w:rPr>
          <w:szCs w:val="22"/>
        </w:rPr>
        <w:t>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cu u</w:t>
      </w:r>
      <w:r>
        <w:rPr>
          <w:spacing w:val="1"/>
          <w:szCs w:val="22"/>
        </w:rPr>
        <w:t>t</w:t>
      </w:r>
      <w:r>
        <w:rPr>
          <w:spacing w:val="-2"/>
          <w:szCs w:val="22"/>
        </w:rPr>
        <w:t>i</w:t>
      </w:r>
      <w:r>
        <w:rPr>
          <w:spacing w:val="1"/>
          <w:szCs w:val="22"/>
        </w:rPr>
        <w:t>li</w:t>
      </w:r>
      <w:r>
        <w:rPr>
          <w:spacing w:val="-3"/>
          <w:szCs w:val="22"/>
        </w:rPr>
        <w:t>z</w:t>
      </w:r>
      <w:r>
        <w:rPr>
          <w:szCs w:val="22"/>
        </w:rPr>
        <w:t>a</w:t>
      </w:r>
      <w:r>
        <w:rPr>
          <w:spacing w:val="-2"/>
          <w:szCs w:val="22"/>
        </w:rPr>
        <w:t>r</w:t>
      </w:r>
      <w:r>
        <w:rPr>
          <w:szCs w:val="22"/>
        </w:rPr>
        <w:t xml:space="preserve">ea </w:t>
      </w:r>
      <w:r>
        <w:rPr>
          <w:rFonts w:eastAsia="MS Mincho"/>
          <w:spacing w:val="-1"/>
          <w:szCs w:val="22"/>
          <w:lang w:eastAsia="en-US" w:bidi="ar-SA"/>
        </w:rPr>
        <w:t>adalimumab</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2"/>
          <w:szCs w:val="22"/>
        </w:rPr>
        <w:t>t</w:t>
      </w:r>
      <w:r>
        <w:rPr>
          <w:szCs w:val="22"/>
        </w:rPr>
        <w:t>era</w:t>
      </w:r>
      <w:r>
        <w:rPr>
          <w:spacing w:val="-3"/>
          <w:szCs w:val="22"/>
        </w:rPr>
        <w:t>p</w:t>
      </w:r>
      <w:r>
        <w:rPr>
          <w:spacing w:val="1"/>
          <w:szCs w:val="22"/>
        </w:rPr>
        <w:t>i</w:t>
      </w:r>
      <w:r>
        <w:rPr>
          <w:szCs w:val="22"/>
        </w:rPr>
        <w:t xml:space="preserve">e. </w:t>
      </w: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pacing w:val="-2"/>
          <w:szCs w:val="22"/>
        </w:rPr>
        <w:t>r</w:t>
      </w:r>
      <w:r>
        <w:rPr>
          <w:szCs w:val="22"/>
        </w:rPr>
        <w:t>a</w:t>
      </w:r>
      <w:r>
        <w:rPr>
          <w:spacing w:val="-2"/>
          <w:szCs w:val="22"/>
        </w:rPr>
        <w:t>r</w:t>
      </w:r>
      <w:r>
        <w:rPr>
          <w:szCs w:val="22"/>
        </w:rPr>
        <w:t xml:space="preserve">ea </w:t>
      </w:r>
      <w:r>
        <w:rPr>
          <w:rFonts w:eastAsia="MS Mincho"/>
          <w:spacing w:val="-1"/>
          <w:szCs w:val="22"/>
          <w:lang w:eastAsia="en-US" w:bidi="ar-SA"/>
        </w:rPr>
        <w:t>adalimumab</w:t>
      </w:r>
      <w:r>
        <w:rPr>
          <w:szCs w:val="22"/>
        </w:rPr>
        <w:t xml:space="preserve"> fă</w:t>
      </w:r>
      <w:r>
        <w:rPr>
          <w:spacing w:val="-2"/>
          <w:szCs w:val="22"/>
        </w:rPr>
        <w:t>r</w:t>
      </w:r>
      <w:r>
        <w:rPr>
          <w:szCs w:val="22"/>
        </w:rPr>
        <w:t xml:space="preserve">ă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ex</w:t>
      </w:r>
      <w:r>
        <w:rPr>
          <w:spacing w:val="-3"/>
          <w:szCs w:val="22"/>
        </w:rPr>
        <w:t>a</w:t>
      </w:r>
      <w:r>
        <w:rPr>
          <w:szCs w:val="22"/>
        </w:rPr>
        <w:t>t</w:t>
      </w:r>
      <w:r>
        <w:rPr>
          <w:spacing w:val="1"/>
          <w:szCs w:val="22"/>
        </w:rPr>
        <w:t xml:space="preserve"> </w:t>
      </w:r>
      <w:r>
        <w:rPr>
          <w:szCs w:val="22"/>
        </w:rPr>
        <w:t xml:space="preserve">a </w:t>
      </w:r>
      <w:r>
        <w:rPr>
          <w:spacing w:val="-3"/>
          <w:szCs w:val="22"/>
        </w:rPr>
        <w:t>d</w:t>
      </w:r>
      <w:r>
        <w:rPr>
          <w:szCs w:val="22"/>
        </w:rPr>
        <w:t>e</w:t>
      </w:r>
      <w:r>
        <w:rPr>
          <w:spacing w:val="1"/>
          <w:szCs w:val="22"/>
        </w:rPr>
        <w:t>t</w:t>
      </w:r>
      <w:r>
        <w:rPr>
          <w:spacing w:val="-3"/>
          <w:szCs w:val="22"/>
        </w:rPr>
        <w:t>e</w:t>
      </w:r>
      <w:r>
        <w:rPr>
          <w:szCs w:val="22"/>
        </w:rPr>
        <w:t>r</w:t>
      </w:r>
      <w:r>
        <w:rPr>
          <w:spacing w:val="-4"/>
          <w:szCs w:val="22"/>
        </w:rPr>
        <w:t>m</w:t>
      </w:r>
      <w:r>
        <w:rPr>
          <w:spacing w:val="1"/>
          <w:szCs w:val="22"/>
        </w:rPr>
        <w:t>i</w:t>
      </w:r>
      <w:r>
        <w:rPr>
          <w:szCs w:val="22"/>
        </w:rPr>
        <w:t>nat</w:t>
      </w:r>
      <w:r>
        <w:rPr>
          <w:spacing w:val="1"/>
          <w:szCs w:val="22"/>
        </w:rPr>
        <w:t xml:space="preserve"> </w:t>
      </w:r>
      <w:r>
        <w:rPr>
          <w:spacing w:val="-3"/>
          <w:szCs w:val="22"/>
        </w:rPr>
        <w:t>c</w:t>
      </w:r>
      <w:r>
        <w:rPr>
          <w:szCs w:val="22"/>
        </w:rPr>
        <w:t>re</w:t>
      </w:r>
      <w:r>
        <w:rPr>
          <w:spacing w:val="-2"/>
          <w:szCs w:val="22"/>
        </w:rPr>
        <w:t>ş</w:t>
      </w:r>
      <w:r>
        <w:rPr>
          <w:spacing w:val="1"/>
          <w:szCs w:val="22"/>
        </w:rPr>
        <w:t>t</w:t>
      </w:r>
      <w:r>
        <w:rPr>
          <w:spacing w:val="-3"/>
          <w:szCs w:val="22"/>
        </w:rPr>
        <w:t>e</w:t>
      </w:r>
      <w:r>
        <w:rPr>
          <w:szCs w:val="22"/>
        </w:rPr>
        <w:t>rea</w:t>
      </w:r>
      <w:r>
        <w:rPr>
          <w:spacing w:val="-2"/>
          <w:szCs w:val="22"/>
        </w:rPr>
        <w:t xml:space="preserve"> </w:t>
      </w:r>
      <w:r>
        <w:rPr>
          <w:szCs w:val="22"/>
        </w:rPr>
        <w:t>for</w:t>
      </w:r>
      <w:r>
        <w:rPr>
          <w:spacing w:val="-4"/>
          <w:szCs w:val="22"/>
        </w:rPr>
        <w:t>m</w:t>
      </w:r>
      <w:r>
        <w:rPr>
          <w:szCs w:val="22"/>
        </w:rPr>
        <w:t>ăr</w:t>
      </w:r>
      <w:r>
        <w:rPr>
          <w:spacing w:val="-2"/>
          <w:szCs w:val="22"/>
        </w:rPr>
        <w:t>i</w:t>
      </w:r>
      <w:r>
        <w:rPr>
          <w:szCs w:val="22"/>
        </w:rPr>
        <w:t>i</w:t>
      </w:r>
      <w:r>
        <w:rPr>
          <w:spacing w:val="-2"/>
          <w:szCs w:val="22"/>
        </w:rPr>
        <w:t xml:space="preserve"> </w:t>
      </w:r>
      <w:r>
        <w:rPr>
          <w:szCs w:val="22"/>
        </w:rPr>
        <w:t>de a</w:t>
      </w:r>
      <w:r>
        <w:rPr>
          <w:spacing w:val="-3"/>
          <w:szCs w:val="22"/>
        </w:rPr>
        <w:t>n</w:t>
      </w:r>
      <w:r>
        <w:rPr>
          <w:spacing w:val="1"/>
          <w:szCs w:val="22"/>
        </w:rPr>
        <w:t>ti</w:t>
      </w:r>
      <w:r>
        <w:rPr>
          <w:spacing w:val="-3"/>
          <w:szCs w:val="22"/>
        </w:rPr>
        <w:t>c</w:t>
      </w:r>
      <w:r>
        <w:rPr>
          <w:szCs w:val="22"/>
        </w:rPr>
        <w:t>or</w:t>
      </w:r>
      <w:r>
        <w:rPr>
          <w:spacing w:val="-3"/>
          <w:szCs w:val="22"/>
        </w:rPr>
        <w:t>p</w:t>
      </w:r>
      <w:r>
        <w:rPr>
          <w:spacing w:val="1"/>
          <w:szCs w:val="22"/>
        </w:rPr>
        <w:t>i</w:t>
      </w:r>
      <w:r>
        <w:rPr>
          <w:szCs w:val="22"/>
        </w:rPr>
        <w:t xml:space="preserve">, </w:t>
      </w:r>
      <w:r>
        <w:rPr>
          <w:spacing w:val="-2"/>
          <w:szCs w:val="22"/>
        </w:rPr>
        <w:t>c</w:t>
      </w:r>
      <w:r>
        <w:rPr>
          <w:szCs w:val="22"/>
        </w:rPr>
        <w:t>re</w:t>
      </w:r>
      <w:r>
        <w:rPr>
          <w:spacing w:val="-2"/>
          <w:szCs w:val="22"/>
        </w:rPr>
        <w:t>ş</w:t>
      </w:r>
      <w:r>
        <w:rPr>
          <w:spacing w:val="1"/>
          <w:szCs w:val="22"/>
        </w:rPr>
        <w:t>t</w:t>
      </w:r>
      <w:r>
        <w:rPr>
          <w:spacing w:val="-3"/>
          <w:szCs w:val="22"/>
        </w:rPr>
        <w:t>e</w:t>
      </w:r>
      <w:r>
        <w:rPr>
          <w:szCs w:val="22"/>
        </w:rPr>
        <w:t>rea</w:t>
      </w:r>
      <w:r>
        <w:rPr>
          <w:spacing w:val="-2"/>
          <w:szCs w:val="22"/>
        </w:rPr>
        <w:t xml:space="preserve"> </w:t>
      </w:r>
      <w:r>
        <w:rPr>
          <w:szCs w:val="22"/>
        </w:rPr>
        <w:t>c</w:t>
      </w:r>
      <w:r>
        <w:rPr>
          <w:spacing w:val="-2"/>
          <w:szCs w:val="22"/>
        </w:rPr>
        <w:t>l</w:t>
      </w:r>
      <w:r>
        <w:rPr>
          <w:szCs w:val="22"/>
        </w:rPr>
        <w:t>e</w:t>
      </w:r>
      <w:r>
        <w:rPr>
          <w:spacing w:val="-3"/>
          <w:szCs w:val="22"/>
        </w:rPr>
        <w:t>a</w:t>
      </w:r>
      <w:r>
        <w:rPr>
          <w:szCs w:val="22"/>
        </w:rPr>
        <w:t>ran</w:t>
      </w:r>
      <w:r>
        <w:rPr>
          <w:spacing w:val="-3"/>
          <w:szCs w:val="22"/>
        </w:rPr>
        <w:t>c</w:t>
      </w:r>
      <w:r>
        <w:rPr>
          <w:szCs w:val="22"/>
        </w:rPr>
        <w:t>e</w:t>
      </w:r>
      <w:r>
        <w:rPr>
          <w:spacing w:val="-5"/>
          <w:szCs w:val="22"/>
        </w:rPr>
        <w:t>-</w:t>
      </w:r>
      <w:r>
        <w:rPr>
          <w:szCs w:val="22"/>
        </w:rPr>
        <w:t>u</w:t>
      </w:r>
      <w:r>
        <w:rPr>
          <w:spacing w:val="1"/>
          <w:szCs w:val="22"/>
        </w:rPr>
        <w:t>l</w:t>
      </w:r>
      <w:r>
        <w:rPr>
          <w:szCs w:val="22"/>
        </w:rPr>
        <w:t>ui</w:t>
      </w:r>
      <w:r>
        <w:rPr>
          <w:spacing w:val="1"/>
          <w:szCs w:val="22"/>
        </w:rPr>
        <w:t xml:space="preserve"> </w:t>
      </w:r>
      <w:r>
        <w:rPr>
          <w:szCs w:val="22"/>
        </w:rPr>
        <w:t>şi redu</w:t>
      </w:r>
      <w:r>
        <w:rPr>
          <w:spacing w:val="-3"/>
          <w:szCs w:val="22"/>
        </w:rPr>
        <w:t>c</w:t>
      </w:r>
      <w:r>
        <w:rPr>
          <w:szCs w:val="22"/>
        </w:rPr>
        <w:t>e</w:t>
      </w:r>
      <w:r>
        <w:rPr>
          <w:spacing w:val="-2"/>
          <w:szCs w:val="22"/>
        </w:rPr>
        <w:t>r</w:t>
      </w:r>
      <w:r>
        <w:rPr>
          <w:szCs w:val="22"/>
        </w:rPr>
        <w:t xml:space="preserve">ea </w:t>
      </w:r>
      <w:r>
        <w:rPr>
          <w:spacing w:val="-3"/>
          <w:szCs w:val="22"/>
        </w:rPr>
        <w:t>e</w:t>
      </w:r>
      <w:r>
        <w:rPr>
          <w:szCs w:val="22"/>
        </w:rPr>
        <w:t>f</w:t>
      </w:r>
      <w:r>
        <w:rPr>
          <w:spacing w:val="-2"/>
          <w:szCs w:val="22"/>
        </w:rPr>
        <w:t>i</w:t>
      </w:r>
      <w:r>
        <w:rPr>
          <w:szCs w:val="22"/>
        </w:rPr>
        <w:t>ca</w:t>
      </w:r>
      <w:r>
        <w:rPr>
          <w:spacing w:val="-3"/>
          <w:szCs w:val="22"/>
        </w:rPr>
        <w:t>c</w:t>
      </w:r>
      <w:r>
        <w:rPr>
          <w:spacing w:val="1"/>
          <w:szCs w:val="22"/>
        </w:rPr>
        <w:t>i</w:t>
      </w:r>
      <w:r>
        <w:rPr>
          <w:spacing w:val="-2"/>
          <w:szCs w:val="22"/>
        </w:rPr>
        <w:t>t</w:t>
      </w:r>
      <w:r>
        <w:rPr>
          <w:szCs w:val="22"/>
        </w:rPr>
        <w:t>ă</w:t>
      </w:r>
      <w:r>
        <w:rPr>
          <w:spacing w:val="-2"/>
          <w:szCs w:val="22"/>
        </w:rPr>
        <w:t>ţ</w:t>
      </w:r>
      <w:r>
        <w:rPr>
          <w:spacing w:val="1"/>
          <w:szCs w:val="22"/>
        </w:rPr>
        <w:t>i</w:t>
      </w:r>
      <w:r>
        <w:rPr>
          <w:szCs w:val="22"/>
        </w:rPr>
        <w:t>i</w:t>
      </w:r>
      <w:r>
        <w:rPr>
          <w:spacing w:val="-2"/>
          <w:szCs w:val="22"/>
        </w:rPr>
        <w:t xml:space="preserve"> </w:t>
      </w:r>
      <w:r>
        <w:rPr>
          <w:szCs w:val="22"/>
        </w:rPr>
        <w:t>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ab (</w:t>
      </w:r>
      <w:r>
        <w:rPr>
          <w:spacing w:val="-3"/>
          <w:szCs w:val="22"/>
        </w:rPr>
        <w:t>v</w:t>
      </w:r>
      <w:r>
        <w:rPr>
          <w:spacing w:val="2"/>
          <w:szCs w:val="22"/>
        </w:rPr>
        <w:t>e</w:t>
      </w:r>
      <w:r>
        <w:rPr>
          <w:spacing w:val="-3"/>
          <w:szCs w:val="22"/>
        </w:rPr>
        <w:t>z</w:t>
      </w:r>
      <w:r>
        <w:rPr>
          <w:szCs w:val="22"/>
        </w:rPr>
        <w:t>i</w:t>
      </w:r>
      <w:r>
        <w:rPr>
          <w:spacing w:val="1"/>
          <w:szCs w:val="22"/>
        </w:rPr>
        <w:t xml:space="preserve"> </w:t>
      </w:r>
      <w:r>
        <w:rPr>
          <w:szCs w:val="22"/>
        </w:rPr>
        <w:t>pc</w:t>
      </w:r>
      <w:r>
        <w:rPr>
          <w:spacing w:val="1"/>
          <w:szCs w:val="22"/>
        </w:rPr>
        <w:t>t</w:t>
      </w:r>
      <w:r>
        <w:rPr>
          <w:szCs w:val="22"/>
        </w:rPr>
        <w:t>. 5</w:t>
      </w:r>
      <w:r>
        <w:rPr>
          <w:spacing w:val="-3"/>
          <w:szCs w:val="22"/>
        </w:rPr>
        <w:t>.</w:t>
      </w:r>
      <w:r>
        <w:rPr>
          <w:szCs w:val="22"/>
        </w:rPr>
        <w:t>1).</w:t>
      </w:r>
    </w:p>
    <w:p w14:paraId="56A5EE96" w14:textId="77777777" w:rsidR="00C04CAD" w:rsidRDefault="00C04CAD">
      <w:pPr>
        <w:tabs>
          <w:tab w:val="clear" w:pos="567"/>
        </w:tabs>
        <w:kinsoku w:val="0"/>
        <w:overflowPunct w:val="0"/>
        <w:autoSpaceDE w:val="0"/>
        <w:autoSpaceDN w:val="0"/>
        <w:adjustRightInd w:val="0"/>
        <w:spacing w:line="240" w:lineRule="auto"/>
        <w:rPr>
          <w:szCs w:val="22"/>
        </w:rPr>
      </w:pPr>
    </w:p>
    <w:p w14:paraId="36BEC5B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ar</w:t>
      </w:r>
      <w:r>
        <w:rPr>
          <w:spacing w:val="-3"/>
          <w:szCs w:val="22"/>
        </w:rPr>
        <w:t>e</w:t>
      </w:r>
      <w:r>
        <w:rPr>
          <w:szCs w:val="22"/>
        </w:rPr>
        <w:t xml:space="preserve">a </w:t>
      </w:r>
      <w:r>
        <w:rPr>
          <w:spacing w:val="-2"/>
          <w:szCs w:val="22"/>
        </w:rPr>
        <w:t>s</w:t>
      </w:r>
      <w:r>
        <w:rPr>
          <w:spacing w:val="1"/>
          <w:szCs w:val="22"/>
        </w:rPr>
        <w:t>i</w:t>
      </w:r>
      <w:r>
        <w:rPr>
          <w:spacing w:val="-4"/>
          <w:szCs w:val="22"/>
        </w:rPr>
        <w:t>m</w:t>
      </w:r>
      <w:r>
        <w:rPr>
          <w:szCs w:val="22"/>
        </w:rPr>
        <w:t>u</w:t>
      </w:r>
      <w:r>
        <w:rPr>
          <w:spacing w:val="1"/>
          <w:szCs w:val="22"/>
        </w:rPr>
        <w:t>lt</w:t>
      </w:r>
      <w:r>
        <w:rPr>
          <w:szCs w:val="22"/>
        </w:rPr>
        <w:t xml:space="preserve">ană </w:t>
      </w:r>
      <w:r>
        <w:rPr>
          <w:spacing w:val="-3"/>
          <w:szCs w:val="22"/>
        </w:rPr>
        <w:t>d</w:t>
      </w:r>
      <w:r>
        <w:rPr>
          <w:szCs w:val="22"/>
        </w:rPr>
        <w:t>e</w:t>
      </w:r>
      <w:r>
        <w:rPr>
          <w:spacing w:val="-2"/>
          <w:szCs w:val="22"/>
        </w:rPr>
        <w:t xml:space="preserve"> </w:t>
      </w:r>
      <w:r>
        <w:rPr>
          <w:rFonts w:eastAsia="MS Mincho"/>
          <w:spacing w:val="-1"/>
          <w:szCs w:val="22"/>
          <w:lang w:eastAsia="en-US" w:bidi="ar-SA"/>
        </w:rPr>
        <w:t>AMGEVITA</w:t>
      </w:r>
      <w:r>
        <w:rPr>
          <w:szCs w:val="22"/>
        </w:rPr>
        <w:t xml:space="preserve"> cu ana</w:t>
      </w:r>
      <w:r>
        <w:rPr>
          <w:spacing w:val="-3"/>
          <w:szCs w:val="22"/>
        </w:rPr>
        <w:t>k</w:t>
      </w:r>
      <w:r>
        <w:rPr>
          <w:spacing w:val="1"/>
          <w:szCs w:val="22"/>
        </w:rPr>
        <w:t>i</w:t>
      </w:r>
      <w:r>
        <w:rPr>
          <w:spacing w:val="-3"/>
          <w:szCs w:val="22"/>
        </w:rPr>
        <w:t>n</w:t>
      </w:r>
      <w:r>
        <w:rPr>
          <w:szCs w:val="22"/>
        </w:rPr>
        <w:t xml:space="preserve">ra </w:t>
      </w:r>
      <w:r>
        <w:rPr>
          <w:spacing w:val="-3"/>
          <w:szCs w:val="22"/>
        </w:rPr>
        <w:t>n</w:t>
      </w:r>
      <w:r>
        <w:rPr>
          <w:szCs w:val="22"/>
        </w:rPr>
        <w:t>u e</w:t>
      </w:r>
      <w:r>
        <w:rPr>
          <w:spacing w:val="-2"/>
          <w:szCs w:val="22"/>
        </w:rPr>
        <w:t>st</w:t>
      </w:r>
      <w:r>
        <w:rPr>
          <w:szCs w:val="22"/>
        </w:rPr>
        <w:t>e re</w:t>
      </w:r>
      <w:r>
        <w:rPr>
          <w:spacing w:val="-3"/>
          <w:szCs w:val="22"/>
        </w:rPr>
        <w:t>c</w:t>
      </w:r>
      <w:r>
        <w:rPr>
          <w:szCs w:val="22"/>
        </w:rPr>
        <w:t>o</w:t>
      </w:r>
      <w:r>
        <w:rPr>
          <w:spacing w:val="-4"/>
          <w:szCs w:val="22"/>
        </w:rPr>
        <w:t>m</w:t>
      </w:r>
      <w:r>
        <w:rPr>
          <w:szCs w:val="22"/>
        </w:rPr>
        <w:t>anda</w:t>
      </w:r>
      <w:r>
        <w:rPr>
          <w:spacing w:val="1"/>
          <w:szCs w:val="22"/>
        </w:rPr>
        <w:t>t</w:t>
      </w:r>
      <w:r>
        <w:rPr>
          <w:szCs w:val="22"/>
        </w:rPr>
        <w:t>ă</w:t>
      </w:r>
      <w:r>
        <w:rPr>
          <w:spacing w:val="-2"/>
          <w:szCs w:val="22"/>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w:t>
      </w:r>
      <w:r>
        <w:rPr>
          <w:szCs w:val="22"/>
        </w:rPr>
        <w:t>pc</w:t>
      </w:r>
      <w:r>
        <w:rPr>
          <w:spacing w:val="1"/>
          <w:szCs w:val="22"/>
        </w:rPr>
        <w:t>t</w:t>
      </w:r>
      <w:r>
        <w:rPr>
          <w:szCs w:val="22"/>
        </w:rPr>
        <w:t>. 4</w:t>
      </w:r>
      <w:r>
        <w:rPr>
          <w:spacing w:val="-3"/>
          <w:szCs w:val="22"/>
        </w:rPr>
        <w:t>.</w:t>
      </w:r>
      <w:r>
        <w:rPr>
          <w:szCs w:val="22"/>
        </w:rPr>
        <w:t>4 “</w:t>
      </w: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rea s</w:t>
      </w:r>
      <w:r>
        <w:rPr>
          <w:spacing w:val="1"/>
          <w:szCs w:val="22"/>
        </w:rPr>
        <w:t>i</w:t>
      </w:r>
      <w:r>
        <w:rPr>
          <w:spacing w:val="-4"/>
          <w:szCs w:val="22"/>
        </w:rPr>
        <w:t>m</w:t>
      </w:r>
      <w:r>
        <w:rPr>
          <w:szCs w:val="22"/>
        </w:rPr>
        <w:t>u</w:t>
      </w:r>
      <w:r>
        <w:rPr>
          <w:spacing w:val="1"/>
          <w:szCs w:val="22"/>
        </w:rPr>
        <w:t>lt</w:t>
      </w:r>
      <w:r>
        <w:rPr>
          <w:szCs w:val="22"/>
        </w:rPr>
        <w:t>a</w:t>
      </w:r>
      <w:r>
        <w:rPr>
          <w:spacing w:val="-3"/>
          <w:szCs w:val="22"/>
        </w:rPr>
        <w:t>n</w:t>
      </w:r>
      <w:r>
        <w:rPr>
          <w:szCs w:val="22"/>
        </w:rPr>
        <w:t>ă de</w:t>
      </w:r>
      <w:r>
        <w:rPr>
          <w:spacing w:val="-2"/>
          <w:szCs w:val="22"/>
        </w:rPr>
        <w:t xml:space="preserve"> </w:t>
      </w:r>
      <w:r>
        <w:rPr>
          <w:szCs w:val="22"/>
        </w:rPr>
        <w:t>M</w:t>
      </w:r>
      <w:r>
        <w:rPr>
          <w:spacing w:val="-1"/>
          <w:szCs w:val="22"/>
        </w:rPr>
        <w:t>A</w:t>
      </w:r>
      <w:r>
        <w:rPr>
          <w:szCs w:val="22"/>
        </w:rPr>
        <w:t>RM</w:t>
      </w:r>
      <w:r>
        <w:rPr>
          <w:spacing w:val="-1"/>
          <w:szCs w:val="22"/>
        </w:rPr>
        <w:t xml:space="preserve">B </w:t>
      </w:r>
      <w:r>
        <w:rPr>
          <w:szCs w:val="22"/>
        </w:rPr>
        <w:t>b</w:t>
      </w:r>
      <w:r>
        <w:rPr>
          <w:spacing w:val="-2"/>
          <w:szCs w:val="22"/>
        </w:rPr>
        <w:t>i</w:t>
      </w:r>
      <w:r>
        <w:rPr>
          <w:szCs w:val="22"/>
        </w:rPr>
        <w:t>o</w:t>
      </w:r>
      <w:r>
        <w:rPr>
          <w:spacing w:val="-2"/>
          <w:szCs w:val="22"/>
        </w:rPr>
        <w:t>l</w:t>
      </w:r>
      <w:r>
        <w:rPr>
          <w:szCs w:val="22"/>
        </w:rPr>
        <w:t>o</w:t>
      </w:r>
      <w:r>
        <w:rPr>
          <w:spacing w:val="-3"/>
          <w:szCs w:val="22"/>
        </w:rPr>
        <w:t>g</w:t>
      </w:r>
      <w:r>
        <w:rPr>
          <w:spacing w:val="1"/>
          <w:szCs w:val="22"/>
        </w:rPr>
        <w:t>i</w:t>
      </w:r>
      <w:r>
        <w:rPr>
          <w:szCs w:val="22"/>
        </w:rPr>
        <w:t>ce sau</w:t>
      </w:r>
      <w:r>
        <w:rPr>
          <w:spacing w:val="-3"/>
          <w:szCs w:val="22"/>
        </w:rPr>
        <w:t xml:space="preserve"> </w:t>
      </w:r>
      <w:r>
        <w:rPr>
          <w:szCs w:val="22"/>
        </w:rPr>
        <w:t>an</w:t>
      </w:r>
      <w:r>
        <w:rPr>
          <w:spacing w:val="-2"/>
          <w:szCs w:val="22"/>
        </w:rPr>
        <w:t>t</w:t>
      </w:r>
      <w:r>
        <w:rPr>
          <w:szCs w:val="22"/>
        </w:rPr>
        <w:t>a</w:t>
      </w:r>
      <w:r>
        <w:rPr>
          <w:spacing w:val="-3"/>
          <w:szCs w:val="22"/>
        </w:rPr>
        <w:t>g</w:t>
      </w:r>
      <w:r>
        <w:rPr>
          <w:szCs w:val="22"/>
        </w:rPr>
        <w:t>on</w:t>
      </w:r>
      <w:r>
        <w:rPr>
          <w:spacing w:val="1"/>
          <w:szCs w:val="22"/>
        </w:rPr>
        <w:t>i</w:t>
      </w:r>
      <w:r>
        <w:rPr>
          <w:spacing w:val="-2"/>
          <w:szCs w:val="22"/>
        </w:rPr>
        <w:t>ş</w:t>
      </w:r>
      <w:r>
        <w:rPr>
          <w:spacing w:val="1"/>
          <w:szCs w:val="22"/>
        </w:rPr>
        <w:t>t</w:t>
      </w:r>
      <w:r>
        <w:rPr>
          <w:szCs w:val="22"/>
        </w:rPr>
        <w:t>i</w:t>
      </w:r>
      <w:r>
        <w:rPr>
          <w:spacing w:val="-2"/>
          <w:szCs w:val="22"/>
        </w:rPr>
        <w:t xml:space="preserve"> </w:t>
      </w:r>
      <w:r>
        <w:rPr>
          <w:spacing w:val="1"/>
          <w:szCs w:val="22"/>
        </w:rPr>
        <w:t>T</w:t>
      </w:r>
      <w:r>
        <w:rPr>
          <w:spacing w:val="-1"/>
          <w:szCs w:val="22"/>
        </w:rPr>
        <w:t>NF</w:t>
      </w:r>
      <w:r>
        <w:rPr>
          <w:spacing w:val="-3"/>
          <w:szCs w:val="22"/>
        </w:rPr>
        <w:t>”</w:t>
      </w:r>
      <w:r>
        <w:rPr>
          <w:szCs w:val="22"/>
        </w:rPr>
        <w:t>).</w:t>
      </w:r>
    </w:p>
    <w:p w14:paraId="4FB2B891" w14:textId="77777777" w:rsidR="00C04CAD" w:rsidRDefault="00C04CAD">
      <w:pPr>
        <w:tabs>
          <w:tab w:val="clear" w:pos="567"/>
        </w:tabs>
        <w:kinsoku w:val="0"/>
        <w:overflowPunct w:val="0"/>
        <w:autoSpaceDE w:val="0"/>
        <w:autoSpaceDN w:val="0"/>
        <w:adjustRightInd w:val="0"/>
        <w:spacing w:line="240" w:lineRule="auto"/>
      </w:pPr>
    </w:p>
    <w:p w14:paraId="165F8565" w14:textId="77777777" w:rsidR="00C04CAD" w:rsidRDefault="00060E34">
      <w:pPr>
        <w:tabs>
          <w:tab w:val="clear" w:pos="567"/>
        </w:tabs>
        <w:kinsoku w:val="0"/>
        <w:overflowPunct w:val="0"/>
        <w:autoSpaceDE w:val="0"/>
        <w:autoSpaceDN w:val="0"/>
        <w:adjustRightInd w:val="0"/>
        <w:spacing w:line="240" w:lineRule="auto"/>
      </w:pPr>
      <w:r>
        <w:rPr>
          <w:spacing w:val="-1"/>
        </w:rPr>
        <w:t>A</w:t>
      </w:r>
      <w:r>
        <w:t>d</w:t>
      </w:r>
      <w:r>
        <w:rPr>
          <w:spacing w:val="-4"/>
        </w:rPr>
        <w:t>m</w:t>
      </w:r>
      <w:r>
        <w:rPr>
          <w:spacing w:val="1"/>
        </w:rPr>
        <w:t>i</w:t>
      </w:r>
      <w:r>
        <w:t>n</w:t>
      </w:r>
      <w:r>
        <w:rPr>
          <w:spacing w:val="1"/>
        </w:rPr>
        <w:t>i</w:t>
      </w:r>
      <w:r>
        <w:t>s</w:t>
      </w:r>
      <w:r>
        <w:rPr>
          <w:spacing w:val="1"/>
        </w:rPr>
        <w:t>t</w:t>
      </w:r>
      <w:r>
        <w:rPr>
          <w:spacing w:val="-2"/>
        </w:rPr>
        <w:t>r</w:t>
      </w:r>
      <w:r>
        <w:t>ar</w:t>
      </w:r>
      <w:r>
        <w:rPr>
          <w:spacing w:val="-3"/>
        </w:rPr>
        <w:t>e</w:t>
      </w:r>
      <w:r>
        <w:t xml:space="preserve">a </w:t>
      </w:r>
      <w:r>
        <w:rPr>
          <w:spacing w:val="-2"/>
        </w:rPr>
        <w:t>s</w:t>
      </w:r>
      <w:r>
        <w:rPr>
          <w:spacing w:val="1"/>
        </w:rPr>
        <w:t>i</w:t>
      </w:r>
      <w:r>
        <w:rPr>
          <w:spacing w:val="-4"/>
        </w:rPr>
        <w:t>m</w:t>
      </w:r>
      <w:r>
        <w:t>u</w:t>
      </w:r>
      <w:r>
        <w:rPr>
          <w:spacing w:val="1"/>
        </w:rPr>
        <w:t>lt</w:t>
      </w:r>
      <w:r>
        <w:t xml:space="preserve">ană </w:t>
      </w:r>
      <w:r>
        <w:rPr>
          <w:spacing w:val="-3"/>
        </w:rPr>
        <w:t>d</w:t>
      </w:r>
      <w:r>
        <w:t>e</w:t>
      </w:r>
      <w:r>
        <w:rPr>
          <w:spacing w:val="-2"/>
        </w:rPr>
        <w:t xml:space="preserve"> </w:t>
      </w:r>
      <w:r>
        <w:rPr>
          <w:rFonts w:eastAsia="MS Mincho"/>
          <w:spacing w:val="-1"/>
          <w:szCs w:val="22"/>
          <w:lang w:eastAsia="en-US" w:bidi="ar-SA"/>
        </w:rPr>
        <w:t>AMGEVITA</w:t>
      </w:r>
      <w:r>
        <w:t xml:space="preserve"> cu ab</w:t>
      </w:r>
      <w:r>
        <w:rPr>
          <w:spacing w:val="-3"/>
        </w:rPr>
        <w:t>a</w:t>
      </w:r>
      <w:r>
        <w:rPr>
          <w:spacing w:val="1"/>
        </w:rPr>
        <w:t>t</w:t>
      </w:r>
      <w:r>
        <w:rPr>
          <w:spacing w:val="-3"/>
        </w:rPr>
        <w:t>a</w:t>
      </w:r>
      <w:r>
        <w:t>ce</w:t>
      </w:r>
      <w:r>
        <w:rPr>
          <w:spacing w:val="-3"/>
        </w:rPr>
        <w:t>p</w:t>
      </w:r>
      <w:r>
        <w:t>t</w:t>
      </w:r>
      <w:r>
        <w:rPr>
          <w:spacing w:val="1"/>
        </w:rPr>
        <w:t xml:space="preserve"> </w:t>
      </w:r>
      <w:r>
        <w:t xml:space="preserve">nu </w:t>
      </w:r>
      <w:r>
        <w:rPr>
          <w:spacing w:val="-3"/>
        </w:rPr>
        <w:t>e</w:t>
      </w:r>
      <w:r>
        <w:t>s</w:t>
      </w:r>
      <w:r>
        <w:rPr>
          <w:spacing w:val="-2"/>
        </w:rPr>
        <w:t>t</w:t>
      </w:r>
      <w:r>
        <w:t>e re</w:t>
      </w:r>
      <w:r>
        <w:rPr>
          <w:spacing w:val="-3"/>
        </w:rPr>
        <w:t>c</w:t>
      </w:r>
      <w:r>
        <w:t>o</w:t>
      </w:r>
      <w:r>
        <w:rPr>
          <w:spacing w:val="-4"/>
        </w:rPr>
        <w:t>m</w:t>
      </w:r>
      <w:r>
        <w:t>anda</w:t>
      </w:r>
      <w:r>
        <w:rPr>
          <w:spacing w:val="1"/>
        </w:rPr>
        <w:t>t</w:t>
      </w:r>
      <w:r>
        <w:t>ă</w:t>
      </w:r>
      <w:r>
        <w:rPr>
          <w:spacing w:val="-2"/>
        </w:rPr>
        <w:t xml:space="preserve"> </w:t>
      </w:r>
      <w:r>
        <w:t>(</w:t>
      </w:r>
      <w:r>
        <w:rPr>
          <w:spacing w:val="-3"/>
        </w:rPr>
        <w:t>v</w:t>
      </w:r>
      <w:r>
        <w:t>e</w:t>
      </w:r>
      <w:r>
        <w:rPr>
          <w:spacing w:val="-3"/>
        </w:rPr>
        <w:t>z</w:t>
      </w:r>
      <w:r>
        <w:t>i</w:t>
      </w:r>
      <w:r>
        <w:rPr>
          <w:spacing w:val="1"/>
        </w:rPr>
        <w:t xml:space="preserve"> </w:t>
      </w:r>
      <w:r>
        <w:t>pc</w:t>
      </w:r>
      <w:r>
        <w:rPr>
          <w:spacing w:val="1"/>
        </w:rPr>
        <w:t>t</w:t>
      </w:r>
      <w:r>
        <w:t>. 4</w:t>
      </w:r>
      <w:r>
        <w:rPr>
          <w:spacing w:val="-3"/>
        </w:rPr>
        <w:t>.</w:t>
      </w:r>
      <w:r>
        <w:t xml:space="preserve">4 </w:t>
      </w:r>
      <w:r>
        <w:rPr>
          <w:szCs w:val="22"/>
        </w:rPr>
        <w:t>“</w:t>
      </w: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rea s</w:t>
      </w:r>
      <w:r>
        <w:rPr>
          <w:spacing w:val="1"/>
          <w:szCs w:val="22"/>
        </w:rPr>
        <w:t>i</w:t>
      </w:r>
      <w:r>
        <w:rPr>
          <w:spacing w:val="-4"/>
          <w:szCs w:val="22"/>
        </w:rPr>
        <w:t>m</w:t>
      </w:r>
      <w:r>
        <w:rPr>
          <w:szCs w:val="22"/>
        </w:rPr>
        <w:t>u</w:t>
      </w:r>
      <w:r>
        <w:rPr>
          <w:spacing w:val="1"/>
          <w:szCs w:val="22"/>
        </w:rPr>
        <w:t>lt</w:t>
      </w:r>
      <w:r>
        <w:rPr>
          <w:szCs w:val="22"/>
        </w:rPr>
        <w:t>a</w:t>
      </w:r>
      <w:r>
        <w:rPr>
          <w:spacing w:val="-3"/>
          <w:szCs w:val="22"/>
        </w:rPr>
        <w:t>n</w:t>
      </w:r>
      <w:r>
        <w:rPr>
          <w:szCs w:val="22"/>
        </w:rPr>
        <w:t>ă de</w:t>
      </w:r>
      <w:r>
        <w:rPr>
          <w:spacing w:val="-2"/>
          <w:szCs w:val="22"/>
        </w:rPr>
        <w:t xml:space="preserve"> </w:t>
      </w:r>
      <w:r>
        <w:rPr>
          <w:szCs w:val="22"/>
        </w:rPr>
        <w:t>M</w:t>
      </w:r>
      <w:r>
        <w:rPr>
          <w:spacing w:val="-1"/>
          <w:szCs w:val="22"/>
        </w:rPr>
        <w:t>A</w:t>
      </w:r>
      <w:r>
        <w:rPr>
          <w:szCs w:val="22"/>
        </w:rPr>
        <w:t>RM</w:t>
      </w:r>
      <w:r>
        <w:rPr>
          <w:spacing w:val="-1"/>
          <w:szCs w:val="22"/>
        </w:rPr>
        <w:t xml:space="preserve">B </w:t>
      </w:r>
      <w:r>
        <w:rPr>
          <w:szCs w:val="22"/>
        </w:rPr>
        <w:t>b</w:t>
      </w:r>
      <w:r>
        <w:rPr>
          <w:spacing w:val="-2"/>
          <w:szCs w:val="22"/>
        </w:rPr>
        <w:t>i</w:t>
      </w:r>
      <w:r>
        <w:rPr>
          <w:szCs w:val="22"/>
        </w:rPr>
        <w:t>o</w:t>
      </w:r>
      <w:r>
        <w:rPr>
          <w:spacing w:val="-2"/>
          <w:szCs w:val="22"/>
        </w:rPr>
        <w:t>l</w:t>
      </w:r>
      <w:r>
        <w:rPr>
          <w:szCs w:val="22"/>
        </w:rPr>
        <w:t>o</w:t>
      </w:r>
      <w:r>
        <w:rPr>
          <w:spacing w:val="-3"/>
          <w:szCs w:val="22"/>
        </w:rPr>
        <w:t>g</w:t>
      </w:r>
      <w:r>
        <w:rPr>
          <w:spacing w:val="1"/>
          <w:szCs w:val="22"/>
        </w:rPr>
        <w:t>i</w:t>
      </w:r>
      <w:r>
        <w:rPr>
          <w:szCs w:val="22"/>
        </w:rPr>
        <w:t>ce sau</w:t>
      </w:r>
      <w:r>
        <w:rPr>
          <w:spacing w:val="-3"/>
          <w:szCs w:val="22"/>
        </w:rPr>
        <w:t xml:space="preserve"> </w:t>
      </w:r>
      <w:r>
        <w:rPr>
          <w:szCs w:val="22"/>
        </w:rPr>
        <w:t>an</w:t>
      </w:r>
      <w:r>
        <w:rPr>
          <w:spacing w:val="-2"/>
          <w:szCs w:val="22"/>
        </w:rPr>
        <w:t>t</w:t>
      </w:r>
      <w:r>
        <w:rPr>
          <w:szCs w:val="22"/>
        </w:rPr>
        <w:t>a</w:t>
      </w:r>
      <w:r>
        <w:rPr>
          <w:spacing w:val="-3"/>
          <w:szCs w:val="22"/>
        </w:rPr>
        <w:t>g</w:t>
      </w:r>
      <w:r>
        <w:rPr>
          <w:szCs w:val="22"/>
        </w:rPr>
        <w:t>on</w:t>
      </w:r>
      <w:r>
        <w:rPr>
          <w:spacing w:val="1"/>
          <w:szCs w:val="22"/>
        </w:rPr>
        <w:t>i</w:t>
      </w:r>
      <w:r>
        <w:rPr>
          <w:spacing w:val="-2"/>
          <w:szCs w:val="22"/>
        </w:rPr>
        <w:t>ş</w:t>
      </w:r>
      <w:r>
        <w:rPr>
          <w:spacing w:val="1"/>
          <w:szCs w:val="22"/>
        </w:rPr>
        <w:t>t</w:t>
      </w:r>
      <w:r>
        <w:rPr>
          <w:szCs w:val="22"/>
        </w:rPr>
        <w:t>i</w:t>
      </w:r>
      <w:r>
        <w:rPr>
          <w:spacing w:val="-2"/>
          <w:szCs w:val="22"/>
        </w:rPr>
        <w:t xml:space="preserve"> </w:t>
      </w:r>
      <w:r>
        <w:rPr>
          <w:spacing w:val="1"/>
          <w:szCs w:val="22"/>
        </w:rPr>
        <w:t>T</w:t>
      </w:r>
      <w:r>
        <w:rPr>
          <w:spacing w:val="-1"/>
          <w:szCs w:val="22"/>
        </w:rPr>
        <w:t>NF</w:t>
      </w:r>
      <w:r>
        <w:rPr>
          <w:spacing w:val="-3"/>
          <w:szCs w:val="22"/>
        </w:rPr>
        <w:t>”</w:t>
      </w:r>
      <w:r>
        <w:rPr>
          <w:szCs w:val="22"/>
        </w:rPr>
        <w:t>).</w:t>
      </w:r>
    </w:p>
    <w:p w14:paraId="698D2AB0" w14:textId="77777777" w:rsidR="00C04CAD" w:rsidRDefault="00C04CAD">
      <w:pPr>
        <w:spacing w:line="240" w:lineRule="auto"/>
      </w:pPr>
    </w:p>
    <w:p w14:paraId="67AB8836" w14:textId="77777777" w:rsidR="00C04CAD" w:rsidRDefault="00060E34">
      <w:pPr>
        <w:keepNext/>
        <w:numPr>
          <w:ilvl w:val="1"/>
          <w:numId w:val="7"/>
        </w:numPr>
        <w:spacing w:line="240" w:lineRule="auto"/>
        <w:outlineLvl w:val="0"/>
        <w:rPr>
          <w:szCs w:val="22"/>
        </w:rPr>
      </w:pPr>
      <w:r>
        <w:rPr>
          <w:b/>
        </w:rPr>
        <w:t>Fertilitatea, sarcina și alăptarea</w:t>
      </w:r>
    </w:p>
    <w:p w14:paraId="3A957D7F" w14:textId="77777777" w:rsidR="00C04CAD" w:rsidRDefault="00C04CAD">
      <w:pPr>
        <w:keepNext/>
        <w:spacing w:line="240" w:lineRule="auto"/>
      </w:pPr>
    </w:p>
    <w:p w14:paraId="13FC50F9"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F</w:t>
      </w:r>
      <w:r>
        <w:rPr>
          <w:u w:val="single"/>
        </w:rPr>
        <w:t>e</w:t>
      </w:r>
      <w:r>
        <w:rPr>
          <w:spacing w:val="-4"/>
          <w:u w:val="single"/>
        </w:rPr>
        <w:t>m</w:t>
      </w:r>
      <w:r>
        <w:rPr>
          <w:u w:val="single"/>
        </w:rPr>
        <w:t>e</w:t>
      </w:r>
      <w:r>
        <w:rPr>
          <w:spacing w:val="1"/>
          <w:u w:val="single"/>
        </w:rPr>
        <w:t>il</w:t>
      </w:r>
      <w:r>
        <w:rPr>
          <w:u w:val="single"/>
        </w:rPr>
        <w:t>e cu potenţial f</w:t>
      </w:r>
      <w:r>
        <w:rPr>
          <w:spacing w:val="-3"/>
          <w:u w:val="single"/>
        </w:rPr>
        <w:t>e</w:t>
      </w:r>
      <w:r>
        <w:rPr>
          <w:u w:val="single"/>
        </w:rPr>
        <w:t>r</w:t>
      </w:r>
      <w:r>
        <w:rPr>
          <w:spacing w:val="-2"/>
          <w:u w:val="single"/>
        </w:rPr>
        <w:t>t</w:t>
      </w:r>
      <w:r>
        <w:rPr>
          <w:spacing w:val="1"/>
          <w:u w:val="single"/>
        </w:rPr>
        <w:t>i</w:t>
      </w:r>
      <w:r>
        <w:rPr>
          <w:spacing w:val="-2"/>
          <w:u w:val="single"/>
        </w:rPr>
        <w:t>l</w:t>
      </w:r>
    </w:p>
    <w:p w14:paraId="51BB2025" w14:textId="77777777" w:rsidR="00C04CAD" w:rsidRDefault="00C04CAD">
      <w:pPr>
        <w:keepNext/>
        <w:tabs>
          <w:tab w:val="clear" w:pos="567"/>
        </w:tabs>
        <w:kinsoku w:val="0"/>
        <w:overflowPunct w:val="0"/>
        <w:autoSpaceDE w:val="0"/>
        <w:autoSpaceDN w:val="0"/>
        <w:adjustRightInd w:val="0"/>
        <w:spacing w:line="240" w:lineRule="auto"/>
      </w:pPr>
    </w:p>
    <w:p w14:paraId="12CD146B" w14:textId="77777777" w:rsidR="00C04CAD" w:rsidRDefault="00060E34">
      <w:pPr>
        <w:tabs>
          <w:tab w:val="clear" w:pos="567"/>
        </w:tabs>
        <w:kinsoku w:val="0"/>
        <w:overflowPunct w:val="0"/>
        <w:autoSpaceDE w:val="0"/>
        <w:autoSpaceDN w:val="0"/>
        <w:adjustRightInd w:val="0"/>
        <w:spacing w:line="240" w:lineRule="auto"/>
      </w:pPr>
      <w:r>
        <w:rPr>
          <w:spacing w:val="-1"/>
        </w:rPr>
        <w:t>F</w:t>
      </w:r>
      <w:r>
        <w:t>e</w:t>
      </w:r>
      <w:r>
        <w:rPr>
          <w:spacing w:val="-4"/>
        </w:rPr>
        <w:t>m</w:t>
      </w:r>
      <w:r>
        <w:t>e</w:t>
      </w:r>
      <w:r>
        <w:rPr>
          <w:spacing w:val="1"/>
        </w:rPr>
        <w:t xml:space="preserve">ile </w:t>
      </w:r>
      <w:r>
        <w:rPr>
          <w:spacing w:val="-3"/>
        </w:rPr>
        <w:t>c</w:t>
      </w:r>
      <w:r>
        <w:t>u p</w:t>
      </w:r>
      <w:r>
        <w:rPr>
          <w:spacing w:val="-3"/>
        </w:rPr>
        <w:t>o</w:t>
      </w:r>
      <w:r>
        <w:rPr>
          <w:spacing w:val="1"/>
        </w:rPr>
        <w:t>t</w:t>
      </w:r>
      <w:r>
        <w:t>e</w:t>
      </w:r>
      <w:r>
        <w:rPr>
          <w:spacing w:val="-3"/>
        </w:rPr>
        <w:t>n</w:t>
      </w:r>
      <w:r>
        <w:rPr>
          <w:spacing w:val="1"/>
        </w:rPr>
        <w:t>ţi</w:t>
      </w:r>
      <w:r>
        <w:rPr>
          <w:spacing w:val="-3"/>
        </w:rPr>
        <w:t>a</w:t>
      </w:r>
      <w:r>
        <w:t>l</w:t>
      </w:r>
      <w:r>
        <w:rPr>
          <w:spacing w:val="1"/>
        </w:rPr>
        <w:t xml:space="preserve"> </w:t>
      </w:r>
      <w:r>
        <w:rPr>
          <w:spacing w:val="-2"/>
        </w:rPr>
        <w:t>f</w:t>
      </w:r>
      <w:r>
        <w:t>e</w:t>
      </w:r>
      <w:r>
        <w:rPr>
          <w:spacing w:val="-2"/>
        </w:rPr>
        <w:t>r</w:t>
      </w:r>
      <w:r>
        <w:rPr>
          <w:spacing w:val="1"/>
        </w:rPr>
        <w:t>t</w:t>
      </w:r>
      <w:r>
        <w:rPr>
          <w:spacing w:val="-2"/>
        </w:rPr>
        <w:t>i</w:t>
      </w:r>
      <w:r>
        <w:t>l</w:t>
      </w:r>
      <w:r>
        <w:rPr>
          <w:spacing w:val="-2"/>
        </w:rPr>
        <w:t xml:space="preserve"> </w:t>
      </w:r>
      <w:r>
        <w:rPr>
          <w:szCs w:val="22"/>
        </w:rPr>
        <w:t xml:space="preserve">trebuie să ia în considerare utilizarea </w:t>
      </w:r>
      <w:r>
        <w:rPr>
          <w:spacing w:val="-4"/>
        </w:rPr>
        <w:t>m</w:t>
      </w:r>
      <w:r>
        <w:rPr>
          <w:spacing w:val="1"/>
        </w:rPr>
        <w:t>ijl</w:t>
      </w:r>
      <w:r>
        <w:t>o</w:t>
      </w:r>
      <w:r>
        <w:rPr>
          <w:spacing w:val="-3"/>
        </w:rPr>
        <w:t>a</w:t>
      </w:r>
      <w:r>
        <w:t xml:space="preserve">celor </w:t>
      </w:r>
      <w:r>
        <w:rPr>
          <w:spacing w:val="-3"/>
        </w:rPr>
        <w:t>c</w:t>
      </w:r>
      <w:r>
        <w:t>on</w:t>
      </w:r>
      <w:r>
        <w:rPr>
          <w:spacing w:val="-2"/>
        </w:rPr>
        <w:t>t</w:t>
      </w:r>
      <w:r>
        <w:t>ra</w:t>
      </w:r>
      <w:r>
        <w:rPr>
          <w:spacing w:val="-3"/>
        </w:rPr>
        <w:t>ce</w:t>
      </w:r>
      <w:r>
        <w:t>p</w:t>
      </w:r>
      <w:r>
        <w:rPr>
          <w:spacing w:val="1"/>
        </w:rPr>
        <w:t>ti</w:t>
      </w:r>
      <w:r>
        <w:rPr>
          <w:spacing w:val="-3"/>
        </w:rPr>
        <w:t>v</w:t>
      </w:r>
      <w:r>
        <w:t>e a</w:t>
      </w:r>
      <w:r>
        <w:rPr>
          <w:spacing w:val="-3"/>
        </w:rPr>
        <w:t>d</w:t>
      </w:r>
      <w:r>
        <w:t>ec</w:t>
      </w:r>
      <w:r>
        <w:rPr>
          <w:spacing w:val="-3"/>
        </w:rPr>
        <w:t>v</w:t>
      </w:r>
      <w:r>
        <w:t>a</w:t>
      </w:r>
      <w:r>
        <w:rPr>
          <w:spacing w:val="1"/>
        </w:rPr>
        <w:t>t</w:t>
      </w:r>
      <w:r>
        <w:t>e pen</w:t>
      </w:r>
      <w:r>
        <w:rPr>
          <w:spacing w:val="-2"/>
        </w:rPr>
        <w:t>t</w:t>
      </w:r>
      <w:r>
        <w:t xml:space="preserve">ru a </w:t>
      </w:r>
      <w:r>
        <w:rPr>
          <w:spacing w:val="-3"/>
        </w:rPr>
        <w:t>p</w:t>
      </w:r>
      <w:r>
        <w:t>re</w:t>
      </w:r>
      <w:r>
        <w:rPr>
          <w:spacing w:val="-3"/>
        </w:rPr>
        <w:t>v</w:t>
      </w:r>
      <w:r>
        <w:t>eni</w:t>
      </w:r>
      <w:r>
        <w:rPr>
          <w:spacing w:val="-2"/>
        </w:rPr>
        <w:t xml:space="preserve"> </w:t>
      </w:r>
      <w:r>
        <w:t>ap</w:t>
      </w:r>
      <w:r>
        <w:rPr>
          <w:spacing w:val="-3"/>
        </w:rPr>
        <w:t>a</w:t>
      </w:r>
      <w:r>
        <w:t>r</w:t>
      </w:r>
      <w:r>
        <w:rPr>
          <w:spacing w:val="-2"/>
        </w:rPr>
        <w:t>i</w:t>
      </w:r>
      <w:r>
        <w:rPr>
          <w:spacing w:val="1"/>
        </w:rPr>
        <w:t>ţ</w:t>
      </w:r>
      <w:r>
        <w:rPr>
          <w:spacing w:val="-2"/>
        </w:rPr>
        <w:t>i</w:t>
      </w:r>
      <w:r>
        <w:t>a s</w:t>
      </w:r>
      <w:r>
        <w:rPr>
          <w:spacing w:val="-3"/>
        </w:rPr>
        <w:t>a</w:t>
      </w:r>
      <w:r>
        <w:rPr>
          <w:spacing w:val="-2"/>
        </w:rPr>
        <w:t>r</w:t>
      </w:r>
      <w:r>
        <w:t>c</w:t>
      </w:r>
      <w:r>
        <w:rPr>
          <w:spacing w:val="1"/>
        </w:rPr>
        <w:t>i</w:t>
      </w:r>
      <w:r>
        <w:rPr>
          <w:spacing w:val="-3"/>
        </w:rPr>
        <w:t>n</w:t>
      </w:r>
      <w:r>
        <w:rPr>
          <w:spacing w:val="1"/>
        </w:rPr>
        <w:t>i</w:t>
      </w:r>
      <w:r>
        <w:t>i</w:t>
      </w:r>
      <w:r>
        <w:rPr>
          <w:spacing w:val="1"/>
        </w:rPr>
        <w:t xml:space="preserve"> </w:t>
      </w:r>
      <w:r>
        <w:rPr>
          <w:spacing w:val="-2"/>
        </w:rPr>
        <w:t>ş</w:t>
      </w:r>
      <w:r>
        <w:t>i</w:t>
      </w:r>
      <w:r>
        <w:rPr>
          <w:spacing w:val="1"/>
        </w:rPr>
        <w:t xml:space="preserve"> </w:t>
      </w:r>
      <w:r>
        <w:rPr>
          <w:spacing w:val="-2"/>
        </w:rPr>
        <w:t>s</w:t>
      </w:r>
      <w:r>
        <w:t>ă co</w:t>
      </w:r>
      <w:r>
        <w:rPr>
          <w:spacing w:val="-3"/>
        </w:rPr>
        <w:t>n</w:t>
      </w:r>
      <w:r>
        <w:rPr>
          <w:spacing w:val="1"/>
        </w:rPr>
        <w:t>t</w:t>
      </w:r>
      <w:r>
        <w:rPr>
          <w:spacing w:val="-2"/>
        </w:rPr>
        <w:t>i</w:t>
      </w:r>
      <w:r>
        <w:t xml:space="preserve">nue </w:t>
      </w:r>
      <w:r>
        <w:rPr>
          <w:spacing w:val="-3"/>
        </w:rPr>
        <w:t>u</w:t>
      </w:r>
      <w:r>
        <w:rPr>
          <w:spacing w:val="1"/>
        </w:rPr>
        <w:t>t</w:t>
      </w:r>
      <w:r>
        <w:rPr>
          <w:spacing w:val="-2"/>
        </w:rPr>
        <w:t>i</w:t>
      </w:r>
      <w:r>
        <w:rPr>
          <w:spacing w:val="1"/>
        </w:rPr>
        <w:t>li</w:t>
      </w:r>
      <w:r>
        <w:rPr>
          <w:spacing w:val="-3"/>
        </w:rPr>
        <w:t>za</w:t>
      </w:r>
      <w:r>
        <w:t>r</w:t>
      </w:r>
      <w:r>
        <w:rPr>
          <w:spacing w:val="-3"/>
        </w:rPr>
        <w:t>e</w:t>
      </w:r>
      <w:r>
        <w:t>a ac</w:t>
      </w:r>
      <w:r>
        <w:rPr>
          <w:spacing w:val="-3"/>
        </w:rPr>
        <w:t>e</w:t>
      </w:r>
      <w:r>
        <w:t>s</w:t>
      </w:r>
      <w:r>
        <w:rPr>
          <w:spacing w:val="1"/>
        </w:rPr>
        <w:t>t</w:t>
      </w:r>
      <w:r>
        <w:rPr>
          <w:spacing w:val="-3"/>
        </w:rPr>
        <w:t>o</w:t>
      </w:r>
      <w:r>
        <w:t xml:space="preserve">ra </w:t>
      </w:r>
      <w:r>
        <w:rPr>
          <w:spacing w:val="-3"/>
        </w:rPr>
        <w:t>p</w:t>
      </w:r>
      <w:r>
        <w:t>e o p</w:t>
      </w:r>
      <w:r>
        <w:rPr>
          <w:spacing w:val="-3"/>
        </w:rPr>
        <w:t>e</w:t>
      </w:r>
      <w:r>
        <w:t>r</w:t>
      </w:r>
      <w:r>
        <w:rPr>
          <w:spacing w:val="-2"/>
        </w:rPr>
        <w:t>i</w:t>
      </w:r>
      <w:r>
        <w:t>oadă</w:t>
      </w:r>
      <w:r>
        <w:rPr>
          <w:spacing w:val="-2"/>
        </w:rPr>
        <w:t xml:space="preserve"> </w:t>
      </w:r>
      <w:r>
        <w:t>de</w:t>
      </w:r>
      <w:r>
        <w:rPr>
          <w:spacing w:val="-2"/>
        </w:rPr>
        <w:t xml:space="preserve"> </w:t>
      </w:r>
      <w:r>
        <w:t>cel</w:t>
      </w:r>
      <w:r>
        <w:rPr>
          <w:spacing w:val="1"/>
        </w:rPr>
        <w:t xml:space="preserve"> </w:t>
      </w:r>
      <w:r>
        <w:rPr>
          <w:spacing w:val="-3"/>
        </w:rPr>
        <w:t>p</w:t>
      </w:r>
      <w:r>
        <w:t>u</w:t>
      </w:r>
      <w:r>
        <w:rPr>
          <w:spacing w:val="-2"/>
        </w:rPr>
        <w:t>ţ</w:t>
      </w:r>
      <w:r>
        <w:rPr>
          <w:spacing w:val="1"/>
        </w:rPr>
        <w:t>i</w:t>
      </w:r>
      <w:r>
        <w:t xml:space="preserve">n </w:t>
      </w:r>
      <w:r>
        <w:rPr>
          <w:spacing w:val="-3"/>
        </w:rPr>
        <w:t>c</w:t>
      </w:r>
      <w:r>
        <w:rPr>
          <w:spacing w:val="1"/>
        </w:rPr>
        <w:t>i</w:t>
      </w:r>
      <w:r>
        <w:t>n</w:t>
      </w:r>
      <w:r>
        <w:rPr>
          <w:spacing w:val="-3"/>
        </w:rPr>
        <w:t>c</w:t>
      </w:r>
      <w:r>
        <w:t>i</w:t>
      </w:r>
      <w:r>
        <w:rPr>
          <w:spacing w:val="1"/>
        </w:rPr>
        <w:t xml:space="preserve"> l</w:t>
      </w:r>
      <w:r>
        <w:rPr>
          <w:spacing w:val="-3"/>
        </w:rPr>
        <w:t>u</w:t>
      </w:r>
      <w:r>
        <w:t xml:space="preserve">ni de </w:t>
      </w:r>
      <w:r>
        <w:rPr>
          <w:spacing w:val="1"/>
        </w:rPr>
        <w:t>l</w:t>
      </w:r>
      <w:r>
        <w:t>a</w:t>
      </w:r>
      <w:r>
        <w:rPr>
          <w:spacing w:val="-2"/>
        </w:rPr>
        <w:t xml:space="preserve"> </w:t>
      </w:r>
      <w:r>
        <w:rPr>
          <w:rFonts w:eastAsia="MS Mincho"/>
          <w:spacing w:val="1"/>
          <w:szCs w:val="22"/>
          <w:lang w:eastAsia="en-US" w:bidi="ar-SA"/>
        </w:rPr>
        <w:t>ultimul</w:t>
      </w:r>
      <w:r>
        <w:rPr>
          <w:rFonts w:eastAsia="MS Mincho"/>
          <w:szCs w:val="22"/>
          <w:lang w:eastAsia="en-US" w:bidi="ar-SA"/>
        </w:rPr>
        <w:t xml:space="preserve"> </w:t>
      </w:r>
      <w:r>
        <w:rPr>
          <w:rFonts w:eastAsia="MS Mincho"/>
          <w:spacing w:val="-2"/>
          <w:szCs w:val="22"/>
          <w:lang w:eastAsia="en-US" w:bidi="ar-SA"/>
        </w:rPr>
        <w:t>t</w:t>
      </w:r>
      <w:r>
        <w:rPr>
          <w:rFonts w:eastAsia="MS Mincho"/>
          <w:szCs w:val="22"/>
          <w:lang w:eastAsia="en-US" w:bidi="ar-SA"/>
        </w:rPr>
        <w:t>r</w:t>
      </w:r>
      <w:r>
        <w:rPr>
          <w:rFonts w:eastAsia="MS Mincho"/>
          <w:spacing w:val="-3"/>
          <w:szCs w:val="22"/>
          <w:lang w:eastAsia="en-US" w:bidi="ar-SA"/>
        </w:rPr>
        <w:t>a</w:t>
      </w:r>
      <w:r>
        <w:rPr>
          <w:rFonts w:eastAsia="MS Mincho"/>
          <w:spacing w:val="1"/>
          <w:szCs w:val="22"/>
          <w:lang w:eastAsia="en-US" w:bidi="ar-SA"/>
        </w:rPr>
        <w:t>t</w:t>
      </w:r>
      <w:r>
        <w:rPr>
          <w:rFonts w:eastAsia="MS Mincho"/>
          <w:szCs w:val="22"/>
          <w:lang w:eastAsia="en-US" w:bidi="ar-SA"/>
        </w:rPr>
        <w:t>a</w:t>
      </w:r>
      <w:r>
        <w:rPr>
          <w:rFonts w:eastAsia="MS Mincho"/>
          <w:spacing w:val="-4"/>
          <w:szCs w:val="22"/>
          <w:lang w:eastAsia="en-US" w:bidi="ar-SA"/>
        </w:rPr>
        <w:t>m</w:t>
      </w:r>
      <w:r>
        <w:rPr>
          <w:rFonts w:eastAsia="MS Mincho"/>
          <w:szCs w:val="22"/>
          <w:lang w:eastAsia="en-US" w:bidi="ar-SA"/>
        </w:rPr>
        <w:t>en</w:t>
      </w:r>
      <w:r>
        <w:rPr>
          <w:rFonts w:eastAsia="MS Mincho"/>
          <w:spacing w:val="-2"/>
          <w:szCs w:val="22"/>
          <w:lang w:eastAsia="en-US" w:bidi="ar-SA"/>
        </w:rPr>
        <w:t xml:space="preserve">t </w:t>
      </w:r>
      <w:r>
        <w:rPr>
          <w:rFonts w:eastAsia="MS Mincho"/>
          <w:szCs w:val="22"/>
          <w:lang w:eastAsia="en-US" w:bidi="ar-SA"/>
        </w:rPr>
        <w:t xml:space="preserve">cu </w:t>
      </w:r>
      <w:bookmarkStart w:id="6" w:name="_Hlk531189840"/>
      <w:r>
        <w:rPr>
          <w:rFonts w:eastAsia="MS Mincho"/>
          <w:spacing w:val="-1"/>
          <w:szCs w:val="22"/>
          <w:lang w:eastAsia="en-US" w:bidi="ar-SA"/>
        </w:rPr>
        <w:t>AMGEVITA</w:t>
      </w:r>
      <w:bookmarkEnd w:id="6"/>
      <w:r>
        <w:t>.</w:t>
      </w:r>
    </w:p>
    <w:p w14:paraId="609512B4" w14:textId="77777777" w:rsidR="00C04CAD" w:rsidRDefault="00C04CAD">
      <w:pPr>
        <w:spacing w:line="240" w:lineRule="auto"/>
      </w:pPr>
    </w:p>
    <w:p w14:paraId="51FB6851" w14:textId="77777777" w:rsidR="00C04CAD" w:rsidRDefault="00060E34">
      <w:pPr>
        <w:spacing w:line="240" w:lineRule="auto"/>
      </w:pPr>
      <w:r>
        <w:rPr>
          <w:u w:val="single"/>
        </w:rPr>
        <w:t>Sarcina</w:t>
      </w:r>
    </w:p>
    <w:p w14:paraId="34DDDEF7" w14:textId="77777777" w:rsidR="00C04CAD" w:rsidRDefault="00C04CAD">
      <w:pPr>
        <w:spacing w:line="240" w:lineRule="auto"/>
      </w:pPr>
    </w:p>
    <w:p w14:paraId="3EBF8704" w14:textId="77777777" w:rsidR="00C04CAD" w:rsidRDefault="00060E34">
      <w:pPr>
        <w:pStyle w:val="EMEANormal"/>
        <w:rPr>
          <w:szCs w:val="22"/>
          <w:lang w:val="ro-RO"/>
        </w:rPr>
      </w:pPr>
      <w:r>
        <w:rPr>
          <w:szCs w:val="22"/>
          <w:lang w:val="ro-RO"/>
        </w:rPr>
        <w:t>Un număr mare (aproximativ 2 100) de cazuri colectate prospectiv, cu rezultate cunoscute, de sarcini la gravide expuse la adalimumab finalizate cu nașterea unui făt viu, inclusiv mai mult de 1 500 de sarcini la gravide expuse în primul trimestru, nu a indicat o creștere a ratei de apariție a malformațiilor la nou-născut.</w:t>
      </w:r>
    </w:p>
    <w:p w14:paraId="54AB83C3" w14:textId="77777777" w:rsidR="00C04CAD" w:rsidRDefault="00C04CAD">
      <w:pPr>
        <w:pStyle w:val="EMEANormal"/>
        <w:rPr>
          <w:szCs w:val="22"/>
          <w:lang w:val="ro-RO"/>
        </w:rPr>
      </w:pPr>
    </w:p>
    <w:p w14:paraId="52EAAB7A" w14:textId="77777777" w:rsidR="00C04CAD" w:rsidRDefault="00060E34">
      <w:pPr>
        <w:pStyle w:val="EMEANormal"/>
        <w:rPr>
          <w:lang w:val="ro-RO"/>
        </w:rPr>
      </w:pPr>
      <w:r>
        <w:rPr>
          <w:szCs w:val="22"/>
          <w:lang w:val="ro-RO"/>
        </w:rPr>
        <w:t>Într-un registru de cohortă prospectiv, au fost înscrise 257 de gravide cu poliartrită reumatoidă (PR) sau boală Crohn (BC) tratate cu adalimumab cel puțin în perioada primului trimestru și 120 de femei cu PR sau BC care nu au fost tratate cu adalimumab. Obiectivul primar a fost prevalența malformațiilor congenitale majore la naștere. Proporția sarcinilor care s-au finalizat cu cel puțin un copil născut viu cu o malformație congenitală majoră la naștere la femeile cu PR tratate cu adalimumab a fost de 6/69 (8,7%) și de 5/74 (6,8%) la femeile cu PR netratate (1,31 valoarea RR neajustată, 95% IÎ 0,38-4,52) și de 16/152 (10,5%) la femeile cu BC tratate cu adalimumab și de 3/32 (9,4%) la femeile cu BC netratate (1,14 valoarea riscului relativ [RR] neajustată, 95% IÎ 0,31-4,16). Valoarea RR ajustată (calculând diferențele față de momentul inițial) a fost de 1,10 (95% IÎ 0,45-2,73) pentru ambele afecțiuni PR și BC. Pentru obiectivele secundare, avorturi spontane, malformații congenitale minore la naștere, naștere prematură, greutate la naștere și infecții grave sau oportuniste, nu au existat diferențe clare între gravidele tratate cu adalimumab și cele netratate și nu s-au raportat cazuri de nou-născuți morți la naștere sau cancere. Interpretarea datelor poate fi influențată de limitările metodologice ale registrului, inclusiv dimensiunea mică a eșantionului și modelul non</w:t>
      </w:r>
      <w:r>
        <w:rPr>
          <w:szCs w:val="22"/>
          <w:lang w:val="ro-RO"/>
        </w:rPr>
        <w:noBreakHyphen/>
        <w:t>randomizat.</w:t>
      </w:r>
    </w:p>
    <w:p w14:paraId="0FC146C8" w14:textId="77777777" w:rsidR="00C04CAD" w:rsidRDefault="00C04CAD">
      <w:pPr>
        <w:tabs>
          <w:tab w:val="clear" w:pos="567"/>
        </w:tabs>
        <w:kinsoku w:val="0"/>
        <w:overflowPunct w:val="0"/>
        <w:autoSpaceDE w:val="0"/>
        <w:autoSpaceDN w:val="0"/>
        <w:adjustRightInd w:val="0"/>
        <w:spacing w:line="240" w:lineRule="auto"/>
      </w:pPr>
    </w:p>
    <w:p w14:paraId="04C529DF" w14:textId="77777777" w:rsidR="00C04CAD" w:rsidRDefault="00060E34">
      <w:pPr>
        <w:tabs>
          <w:tab w:val="clear" w:pos="567"/>
        </w:tabs>
        <w:kinsoku w:val="0"/>
        <w:overflowPunct w:val="0"/>
        <w:autoSpaceDE w:val="0"/>
        <w:autoSpaceDN w:val="0"/>
        <w:adjustRightInd w:val="0"/>
        <w:spacing w:line="240" w:lineRule="auto"/>
      </w:pPr>
      <w:r>
        <w:lastRenderedPageBreak/>
        <w:t>Într-un studiu privind toxicitatea asupra dezvoltării, efectuat la maimuţe, nu au existat semne de toxicitate maternă, de embriotoxicitate sau de teratogeneză. Nu sunt disponibile date preclinice despre toxicitatea postnatală a adalimumab (vezi pct. 5.3).</w:t>
      </w:r>
    </w:p>
    <w:p w14:paraId="1AE400DE" w14:textId="77777777" w:rsidR="00C04CAD" w:rsidRDefault="00C04CAD">
      <w:pPr>
        <w:tabs>
          <w:tab w:val="clear" w:pos="567"/>
        </w:tabs>
        <w:kinsoku w:val="0"/>
        <w:overflowPunct w:val="0"/>
        <w:autoSpaceDE w:val="0"/>
        <w:autoSpaceDN w:val="0"/>
        <w:adjustRightInd w:val="0"/>
        <w:spacing w:line="240" w:lineRule="auto"/>
      </w:pPr>
    </w:p>
    <w:p w14:paraId="3802089C" w14:textId="77777777" w:rsidR="00C04CAD" w:rsidRDefault="00060E34">
      <w:pPr>
        <w:tabs>
          <w:tab w:val="clear" w:pos="567"/>
        </w:tabs>
        <w:kinsoku w:val="0"/>
        <w:overflowPunct w:val="0"/>
        <w:autoSpaceDE w:val="0"/>
        <w:autoSpaceDN w:val="0"/>
        <w:adjustRightInd w:val="0"/>
        <w:spacing w:line="240" w:lineRule="auto"/>
      </w:pPr>
      <w:r>
        <w:t xml:space="preserve">Administrarea de adalimumab în timpul sarcinii poate afecta răspunsul imun normal al nou-născutului din cauza acţiunii medicamentului de inhibarea TNFα. </w:t>
      </w:r>
      <w:r>
        <w:rPr>
          <w:szCs w:val="22"/>
        </w:rPr>
        <w:t xml:space="preserve">În timpul sarcinii, </w:t>
      </w:r>
      <w:r>
        <w:rPr>
          <w:rFonts w:eastAsia="MS Mincho"/>
          <w:szCs w:val="22"/>
          <w:lang w:eastAsia="en-US" w:bidi="ar-SA"/>
        </w:rPr>
        <w:t>AMGEVITA</w:t>
      </w:r>
      <w:r>
        <w:rPr>
          <w:szCs w:val="22"/>
        </w:rPr>
        <w:t xml:space="preserve"> se poate utiliza numai dacă este absolut necesar.</w:t>
      </w:r>
    </w:p>
    <w:p w14:paraId="411118D8" w14:textId="77777777" w:rsidR="00C04CAD" w:rsidRDefault="00C04CAD">
      <w:pPr>
        <w:tabs>
          <w:tab w:val="clear" w:pos="567"/>
        </w:tabs>
        <w:kinsoku w:val="0"/>
        <w:overflowPunct w:val="0"/>
        <w:autoSpaceDE w:val="0"/>
        <w:autoSpaceDN w:val="0"/>
        <w:adjustRightInd w:val="0"/>
        <w:spacing w:line="240" w:lineRule="auto"/>
        <w:rPr>
          <w:szCs w:val="22"/>
        </w:rPr>
      </w:pPr>
    </w:p>
    <w:p w14:paraId="47F2FDF2"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da</w:t>
      </w:r>
      <w:r>
        <w:rPr>
          <w:spacing w:val="1"/>
          <w:szCs w:val="22"/>
        </w:rPr>
        <w:t>li</w:t>
      </w:r>
      <w:r>
        <w:rPr>
          <w:spacing w:val="-4"/>
          <w:szCs w:val="22"/>
        </w:rPr>
        <w:t>m</w:t>
      </w:r>
      <w:r>
        <w:rPr>
          <w:szCs w:val="22"/>
        </w:rPr>
        <w:t>u</w:t>
      </w:r>
      <w:r>
        <w:rPr>
          <w:spacing w:val="-4"/>
          <w:szCs w:val="22"/>
        </w:rPr>
        <w:t>m</w:t>
      </w:r>
      <w:r>
        <w:rPr>
          <w:szCs w:val="22"/>
        </w:rPr>
        <w:t>ab poa</w:t>
      </w:r>
      <w:r>
        <w:rPr>
          <w:spacing w:val="1"/>
          <w:szCs w:val="22"/>
        </w:rPr>
        <w:t>t</w:t>
      </w:r>
      <w:r>
        <w:rPr>
          <w:szCs w:val="22"/>
        </w:rPr>
        <w:t>e</w:t>
      </w:r>
      <w:r>
        <w:rPr>
          <w:spacing w:val="-2"/>
          <w:szCs w:val="22"/>
        </w:rPr>
        <w:t xml:space="preserve"> </w:t>
      </w:r>
      <w:r>
        <w:rPr>
          <w:spacing w:val="1"/>
          <w:szCs w:val="22"/>
        </w:rPr>
        <w:t>t</w:t>
      </w:r>
      <w:r>
        <w:rPr>
          <w:szCs w:val="22"/>
        </w:rPr>
        <w:t>ra</w:t>
      </w:r>
      <w:r>
        <w:rPr>
          <w:spacing w:val="-3"/>
          <w:szCs w:val="22"/>
        </w:rPr>
        <w:t>v</w:t>
      </w:r>
      <w:r>
        <w:rPr>
          <w:szCs w:val="22"/>
        </w:rPr>
        <w:t>e</w:t>
      </w:r>
      <w:r>
        <w:rPr>
          <w:spacing w:val="-2"/>
          <w:szCs w:val="22"/>
        </w:rPr>
        <w:t>r</w:t>
      </w:r>
      <w:r>
        <w:rPr>
          <w:szCs w:val="22"/>
        </w:rPr>
        <w:t>sa</w:t>
      </w:r>
      <w:r>
        <w:rPr>
          <w:spacing w:val="-2"/>
          <w:szCs w:val="22"/>
        </w:rPr>
        <w:t xml:space="preserve"> </w:t>
      </w:r>
      <w:r>
        <w:rPr>
          <w:szCs w:val="22"/>
        </w:rPr>
        <w:t>ba</w:t>
      </w:r>
      <w:r>
        <w:rPr>
          <w:spacing w:val="-2"/>
          <w:szCs w:val="22"/>
        </w:rPr>
        <w:t>r</w:t>
      </w:r>
      <w:r>
        <w:rPr>
          <w:spacing w:val="1"/>
          <w:szCs w:val="22"/>
        </w:rPr>
        <w:t>i</w:t>
      </w:r>
      <w:r>
        <w:rPr>
          <w:szCs w:val="22"/>
        </w:rPr>
        <w:t>e</w:t>
      </w:r>
      <w:r>
        <w:rPr>
          <w:spacing w:val="-2"/>
          <w:szCs w:val="22"/>
        </w:rPr>
        <w:t>r</w:t>
      </w:r>
      <w:r>
        <w:rPr>
          <w:szCs w:val="22"/>
        </w:rPr>
        <w:t>a p</w:t>
      </w:r>
      <w:r>
        <w:rPr>
          <w:spacing w:val="-2"/>
          <w:szCs w:val="22"/>
        </w:rPr>
        <w:t>l</w:t>
      </w:r>
      <w:r>
        <w:rPr>
          <w:szCs w:val="22"/>
        </w:rPr>
        <w:t>ac</w:t>
      </w:r>
      <w:r>
        <w:rPr>
          <w:spacing w:val="-3"/>
          <w:szCs w:val="22"/>
        </w:rPr>
        <w:t>e</w:t>
      </w:r>
      <w:r>
        <w:rPr>
          <w:szCs w:val="22"/>
        </w:rPr>
        <w:t>n</w:t>
      </w:r>
      <w:r>
        <w:rPr>
          <w:spacing w:val="1"/>
          <w:szCs w:val="22"/>
        </w:rPr>
        <w:t>t</w:t>
      </w:r>
      <w:r>
        <w:rPr>
          <w:spacing w:val="-3"/>
          <w:szCs w:val="22"/>
        </w:rPr>
        <w:t>a</w:t>
      </w:r>
      <w:r>
        <w:rPr>
          <w:szCs w:val="22"/>
        </w:rPr>
        <w:t>ră</w:t>
      </w:r>
      <w:r>
        <w:rPr>
          <w:spacing w:val="-2"/>
          <w:szCs w:val="22"/>
        </w:rPr>
        <w:t xml:space="preserve"> </w:t>
      </w:r>
      <w:r>
        <w:rPr>
          <w:szCs w:val="22"/>
        </w:rPr>
        <w:t>şi</w:t>
      </w:r>
      <w:r>
        <w:rPr>
          <w:spacing w:val="1"/>
          <w:szCs w:val="22"/>
        </w:rPr>
        <w:t xml:space="preserve"> </w:t>
      </w:r>
      <w:r>
        <w:rPr>
          <w:spacing w:val="-3"/>
          <w:szCs w:val="22"/>
        </w:rPr>
        <w:t>e</w:t>
      </w:r>
      <w:r>
        <w:rPr>
          <w:szCs w:val="22"/>
        </w:rPr>
        <w:t>s</w:t>
      </w:r>
      <w:r>
        <w:rPr>
          <w:spacing w:val="-2"/>
          <w:szCs w:val="22"/>
        </w:rPr>
        <w:t>t</w:t>
      </w:r>
      <w:r>
        <w:rPr>
          <w:szCs w:val="22"/>
        </w:rPr>
        <w:t xml:space="preserve">e </w:t>
      </w:r>
      <w:r>
        <w:rPr>
          <w:spacing w:val="-3"/>
          <w:szCs w:val="22"/>
        </w:rPr>
        <w:t>p</w:t>
      </w:r>
      <w:r>
        <w:rPr>
          <w:szCs w:val="22"/>
        </w:rPr>
        <w:t>re</w:t>
      </w:r>
      <w:r>
        <w:rPr>
          <w:spacing w:val="-3"/>
          <w:szCs w:val="22"/>
        </w:rPr>
        <w:t>z</w:t>
      </w:r>
      <w:r>
        <w:rPr>
          <w:szCs w:val="22"/>
        </w:rPr>
        <w:t>ent</w:t>
      </w:r>
      <w:r>
        <w:rPr>
          <w:spacing w:val="-2"/>
          <w:szCs w:val="22"/>
        </w:rPr>
        <w:t xml:space="preserve"> </w:t>
      </w:r>
      <w:r>
        <w:rPr>
          <w:spacing w:val="1"/>
          <w:szCs w:val="22"/>
        </w:rPr>
        <w:t>î</w:t>
      </w:r>
      <w:r>
        <w:rPr>
          <w:szCs w:val="22"/>
        </w:rPr>
        <w:t xml:space="preserve">n </w:t>
      </w:r>
      <w:r>
        <w:rPr>
          <w:spacing w:val="-2"/>
          <w:szCs w:val="22"/>
        </w:rPr>
        <w:t>s</w:t>
      </w:r>
      <w:r>
        <w:rPr>
          <w:szCs w:val="22"/>
        </w:rPr>
        <w:t>er</w:t>
      </w:r>
      <w:r>
        <w:rPr>
          <w:spacing w:val="-3"/>
          <w:szCs w:val="22"/>
        </w:rPr>
        <w:t>u</w:t>
      </w:r>
      <w:r>
        <w:rPr>
          <w:szCs w:val="22"/>
        </w:rPr>
        <w:t>l</w:t>
      </w:r>
      <w:r>
        <w:rPr>
          <w:spacing w:val="1"/>
          <w:szCs w:val="22"/>
        </w:rPr>
        <w:t xml:space="preserve"> </w:t>
      </w:r>
      <w:r>
        <w:rPr>
          <w:szCs w:val="22"/>
        </w:rPr>
        <w:t>nou</w:t>
      </w:r>
      <w:r>
        <w:rPr>
          <w:spacing w:val="-3"/>
          <w:szCs w:val="22"/>
        </w:rPr>
        <w:t xml:space="preserve"> </w:t>
      </w:r>
      <w:r>
        <w:rPr>
          <w:szCs w:val="22"/>
        </w:rPr>
        <w:t>nă</w:t>
      </w:r>
      <w:r>
        <w:rPr>
          <w:spacing w:val="-2"/>
          <w:szCs w:val="22"/>
        </w:rPr>
        <w:t>s</w:t>
      </w:r>
      <w:r>
        <w:rPr>
          <w:szCs w:val="22"/>
        </w:rPr>
        <w:t>cu</w:t>
      </w:r>
      <w:r>
        <w:rPr>
          <w:spacing w:val="-2"/>
          <w:szCs w:val="22"/>
        </w:rPr>
        <w:t>ţ</w:t>
      </w:r>
      <w:r>
        <w:rPr>
          <w:spacing w:val="1"/>
          <w:szCs w:val="22"/>
        </w:rPr>
        <w:t>i</w:t>
      </w:r>
      <w:r>
        <w:rPr>
          <w:spacing w:val="-2"/>
          <w:szCs w:val="22"/>
        </w:rPr>
        <w:t>l</w:t>
      </w:r>
      <w:r>
        <w:rPr>
          <w:szCs w:val="22"/>
        </w:rPr>
        <w:t>or</w:t>
      </w:r>
      <w:r>
        <w:rPr>
          <w:spacing w:val="1"/>
          <w:szCs w:val="22"/>
        </w:rPr>
        <w:t xml:space="preserve"> </w:t>
      </w:r>
      <w:r>
        <w:rPr>
          <w:szCs w:val="22"/>
        </w:rPr>
        <w:t>fe</w:t>
      </w:r>
      <w:r>
        <w:rPr>
          <w:spacing w:val="-4"/>
          <w:szCs w:val="22"/>
        </w:rPr>
        <w:t>m</w:t>
      </w:r>
      <w:r>
        <w:rPr>
          <w:szCs w:val="22"/>
        </w:rPr>
        <w:t>e</w:t>
      </w:r>
      <w:r>
        <w:rPr>
          <w:spacing w:val="-2"/>
          <w:szCs w:val="22"/>
        </w:rPr>
        <w:t>i</w:t>
      </w:r>
      <w:r>
        <w:rPr>
          <w:spacing w:val="1"/>
          <w:szCs w:val="22"/>
        </w:rPr>
        <w:t>l</w:t>
      </w:r>
      <w:r>
        <w:rPr>
          <w:szCs w:val="22"/>
        </w:rPr>
        <w:t>or</w:t>
      </w:r>
      <w:r>
        <w:rPr>
          <w:spacing w:val="-2"/>
          <w:szCs w:val="22"/>
        </w:rPr>
        <w:t xml:space="preserve"> </w:t>
      </w:r>
      <w:r>
        <w:rPr>
          <w:szCs w:val="22"/>
        </w:rPr>
        <w:t>ca</w:t>
      </w:r>
      <w:r>
        <w:rPr>
          <w:spacing w:val="-2"/>
          <w:szCs w:val="22"/>
        </w:rPr>
        <w:t>r</w:t>
      </w:r>
      <w:r>
        <w:rPr>
          <w:szCs w:val="22"/>
        </w:rPr>
        <w:t>e au u</w:t>
      </w:r>
      <w:r>
        <w:rPr>
          <w:spacing w:val="1"/>
          <w:szCs w:val="22"/>
        </w:rPr>
        <w:t>t</w:t>
      </w:r>
      <w:r>
        <w:rPr>
          <w:spacing w:val="-2"/>
          <w:szCs w:val="22"/>
        </w:rPr>
        <w:t>i</w:t>
      </w:r>
      <w:r>
        <w:rPr>
          <w:spacing w:val="1"/>
          <w:szCs w:val="22"/>
        </w:rPr>
        <w:t>li</w:t>
      </w:r>
      <w:r>
        <w:rPr>
          <w:spacing w:val="-3"/>
          <w:szCs w:val="22"/>
        </w:rPr>
        <w:t>z</w:t>
      </w:r>
      <w:r>
        <w:rPr>
          <w:szCs w:val="22"/>
        </w:rPr>
        <w:t>at</w:t>
      </w:r>
      <w:r>
        <w:rPr>
          <w:spacing w:val="-2"/>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4"/>
          <w:szCs w:val="22"/>
        </w:rPr>
        <w:t>m</w:t>
      </w:r>
      <w:r>
        <w:rPr>
          <w:szCs w:val="22"/>
        </w:rPr>
        <w:t xml:space="preserve">ab </w:t>
      </w:r>
      <w:r>
        <w:rPr>
          <w:spacing w:val="1"/>
          <w:szCs w:val="22"/>
        </w:rPr>
        <w:t>î</w:t>
      </w:r>
      <w:r>
        <w:rPr>
          <w:szCs w:val="22"/>
        </w:rPr>
        <w:t xml:space="preserve">n </w:t>
      </w:r>
      <w:r>
        <w:rPr>
          <w:spacing w:val="1"/>
          <w:szCs w:val="22"/>
        </w:rPr>
        <w:t>ti</w:t>
      </w:r>
      <w:r>
        <w:rPr>
          <w:spacing w:val="-4"/>
          <w:szCs w:val="22"/>
        </w:rPr>
        <w:t>m</w:t>
      </w:r>
      <w:r>
        <w:rPr>
          <w:szCs w:val="22"/>
        </w:rPr>
        <w:t>pul</w:t>
      </w:r>
      <w:r>
        <w:rPr>
          <w:spacing w:val="1"/>
          <w:szCs w:val="22"/>
        </w:rPr>
        <w:t xml:space="preserve"> </w:t>
      </w:r>
      <w:r>
        <w:rPr>
          <w:szCs w:val="22"/>
        </w:rPr>
        <w:t>s</w:t>
      </w:r>
      <w:r>
        <w:rPr>
          <w:spacing w:val="-3"/>
          <w:szCs w:val="22"/>
        </w:rPr>
        <w:t>a</w:t>
      </w:r>
      <w:r>
        <w:rPr>
          <w:szCs w:val="22"/>
        </w:rPr>
        <w:t>r</w:t>
      </w:r>
      <w:r>
        <w:rPr>
          <w:spacing w:val="-3"/>
          <w:szCs w:val="22"/>
        </w:rPr>
        <w:t>c</w:t>
      </w:r>
      <w:r>
        <w:rPr>
          <w:spacing w:val="1"/>
          <w:szCs w:val="22"/>
        </w:rPr>
        <w:t>i</w:t>
      </w:r>
      <w:r>
        <w:rPr>
          <w:szCs w:val="22"/>
        </w:rPr>
        <w:t>n</w:t>
      </w:r>
      <w:r>
        <w:rPr>
          <w:spacing w:val="-2"/>
          <w:szCs w:val="22"/>
        </w:rPr>
        <w:t>i</w:t>
      </w:r>
      <w:r>
        <w:rPr>
          <w:spacing w:val="1"/>
          <w:szCs w:val="22"/>
        </w:rPr>
        <w:t>i</w:t>
      </w:r>
      <w:r>
        <w:rPr>
          <w:szCs w:val="22"/>
        </w:rPr>
        <w:t xml:space="preserve">. </w:t>
      </w:r>
      <w:r>
        <w:rPr>
          <w:spacing w:val="-4"/>
          <w:szCs w:val="22"/>
        </w:rPr>
        <w:t>Î</w:t>
      </w:r>
      <w:r>
        <w:rPr>
          <w:szCs w:val="22"/>
        </w:rPr>
        <w:t>n conse</w:t>
      </w:r>
      <w:r>
        <w:rPr>
          <w:spacing w:val="-3"/>
          <w:szCs w:val="22"/>
        </w:rPr>
        <w:t>c</w:t>
      </w:r>
      <w:r>
        <w:rPr>
          <w:spacing w:val="1"/>
          <w:szCs w:val="22"/>
        </w:rPr>
        <w:t>i</w:t>
      </w:r>
      <w:r>
        <w:rPr>
          <w:spacing w:val="-3"/>
          <w:szCs w:val="22"/>
        </w:rPr>
        <w:t>n</w:t>
      </w:r>
      <w:r>
        <w:rPr>
          <w:spacing w:val="1"/>
          <w:szCs w:val="22"/>
        </w:rPr>
        <w:t>ţ</w:t>
      </w:r>
      <w:r>
        <w:rPr>
          <w:szCs w:val="22"/>
        </w:rPr>
        <w:t xml:space="preserve">ă, </w:t>
      </w:r>
      <w:r>
        <w:rPr>
          <w:spacing w:val="-3"/>
          <w:szCs w:val="22"/>
        </w:rPr>
        <w:t>ac</w:t>
      </w:r>
      <w:r>
        <w:rPr>
          <w:szCs w:val="22"/>
        </w:rPr>
        <w:t>eş</w:t>
      </w:r>
      <w:r>
        <w:rPr>
          <w:spacing w:val="-2"/>
          <w:szCs w:val="22"/>
        </w:rPr>
        <w:t>t</w:t>
      </w:r>
      <w:r>
        <w:rPr>
          <w:szCs w:val="22"/>
        </w:rPr>
        <w:t>i</w:t>
      </w:r>
      <w:r>
        <w:rPr>
          <w:spacing w:val="1"/>
          <w:szCs w:val="22"/>
        </w:rPr>
        <w:t xml:space="preserve"> </w:t>
      </w:r>
      <w:r>
        <w:rPr>
          <w:szCs w:val="22"/>
        </w:rPr>
        <w:t>su</w:t>
      </w:r>
      <w:r>
        <w:rPr>
          <w:spacing w:val="-3"/>
          <w:szCs w:val="22"/>
        </w:rPr>
        <w:t>g</w:t>
      </w:r>
      <w:r>
        <w:rPr>
          <w:szCs w:val="22"/>
        </w:rPr>
        <w:t>a</w:t>
      </w:r>
      <w:r>
        <w:rPr>
          <w:spacing w:val="-2"/>
          <w:szCs w:val="22"/>
        </w:rPr>
        <w:t>r</w:t>
      </w:r>
      <w:r>
        <w:rPr>
          <w:szCs w:val="22"/>
        </w:rPr>
        <w:t>i</w:t>
      </w:r>
      <w:r>
        <w:rPr>
          <w:spacing w:val="1"/>
          <w:szCs w:val="22"/>
        </w:rPr>
        <w:t xml:space="preserve"> </w:t>
      </w:r>
      <w:r>
        <w:rPr>
          <w:szCs w:val="22"/>
        </w:rPr>
        <w:t>p</w:t>
      </w:r>
      <w:r>
        <w:rPr>
          <w:spacing w:val="-3"/>
          <w:szCs w:val="22"/>
        </w:rPr>
        <w:t>o</w:t>
      </w:r>
      <w:r>
        <w:rPr>
          <w:szCs w:val="22"/>
        </w:rPr>
        <w:t>t</w:t>
      </w:r>
      <w:r>
        <w:rPr>
          <w:spacing w:val="1"/>
          <w:szCs w:val="22"/>
        </w:rPr>
        <w:t xml:space="preserve"> </w:t>
      </w:r>
      <w:r>
        <w:rPr>
          <w:szCs w:val="22"/>
        </w:rPr>
        <w:t>p</w:t>
      </w:r>
      <w:r>
        <w:rPr>
          <w:spacing w:val="-2"/>
          <w:szCs w:val="22"/>
        </w:rPr>
        <w:t>r</w:t>
      </w:r>
      <w:r>
        <w:rPr>
          <w:szCs w:val="22"/>
        </w:rPr>
        <w:t>e</w:t>
      </w:r>
      <w:r>
        <w:rPr>
          <w:spacing w:val="-3"/>
          <w:szCs w:val="22"/>
        </w:rPr>
        <w:t>z</w:t>
      </w:r>
      <w:r>
        <w:rPr>
          <w:szCs w:val="22"/>
        </w:rPr>
        <w:t>en</w:t>
      </w:r>
      <w:r>
        <w:rPr>
          <w:spacing w:val="1"/>
          <w:szCs w:val="22"/>
        </w:rPr>
        <w:t>t</w:t>
      </w:r>
      <w:r>
        <w:rPr>
          <w:szCs w:val="22"/>
        </w:rPr>
        <w:t>a</w:t>
      </w:r>
      <w:r>
        <w:rPr>
          <w:spacing w:val="-2"/>
          <w:szCs w:val="22"/>
        </w:rPr>
        <w:t xml:space="preserve"> </w:t>
      </w:r>
      <w:r>
        <w:rPr>
          <w:szCs w:val="22"/>
        </w:rPr>
        <w:t xml:space="preserve">un </w:t>
      </w:r>
      <w:r>
        <w:rPr>
          <w:spacing w:val="-2"/>
          <w:szCs w:val="22"/>
        </w:rPr>
        <w:t>r</w:t>
      </w:r>
      <w:r>
        <w:rPr>
          <w:spacing w:val="1"/>
          <w:szCs w:val="22"/>
        </w:rPr>
        <w:t>i</w:t>
      </w:r>
      <w:r>
        <w:rPr>
          <w:szCs w:val="22"/>
        </w:rPr>
        <w:t>sc</w:t>
      </w:r>
      <w:r>
        <w:rPr>
          <w:spacing w:val="-2"/>
          <w:szCs w:val="22"/>
        </w:rPr>
        <w:t xml:space="preserve"> </w:t>
      </w:r>
      <w:r>
        <w:rPr>
          <w:szCs w:val="22"/>
        </w:rPr>
        <w:t>cr</w:t>
      </w:r>
      <w:r>
        <w:rPr>
          <w:spacing w:val="-3"/>
          <w:szCs w:val="22"/>
        </w:rPr>
        <w:t>e</w:t>
      </w:r>
      <w:r>
        <w:rPr>
          <w:szCs w:val="22"/>
        </w:rPr>
        <w:t>sc</w:t>
      </w:r>
      <w:r>
        <w:rPr>
          <w:spacing w:val="-3"/>
          <w:szCs w:val="22"/>
        </w:rPr>
        <w:t>u</w:t>
      </w:r>
      <w:r>
        <w:rPr>
          <w:szCs w:val="22"/>
        </w:rPr>
        <w:t>t</w:t>
      </w:r>
      <w:r>
        <w:rPr>
          <w:spacing w:val="1"/>
          <w:szCs w:val="22"/>
        </w:rPr>
        <w:t xml:space="preserve"> </w:t>
      </w:r>
      <w:r>
        <w:rPr>
          <w:szCs w:val="22"/>
        </w:rPr>
        <w:t xml:space="preserve">de </w:t>
      </w:r>
      <w:r>
        <w:rPr>
          <w:spacing w:val="1"/>
          <w:szCs w:val="22"/>
        </w:rPr>
        <w:t>i</w:t>
      </w:r>
      <w:r>
        <w:rPr>
          <w:szCs w:val="22"/>
        </w:rPr>
        <w:t>nf</w:t>
      </w:r>
      <w:r>
        <w:rPr>
          <w:spacing w:val="-3"/>
          <w:szCs w:val="22"/>
        </w:rPr>
        <w:t>e</w:t>
      </w:r>
      <w:r>
        <w:rPr>
          <w:szCs w:val="22"/>
        </w:rPr>
        <w:t>c</w:t>
      </w:r>
      <w:r>
        <w:rPr>
          <w:spacing w:val="-2"/>
          <w:szCs w:val="22"/>
        </w:rPr>
        <w:t>ţ</w:t>
      </w:r>
      <w:r>
        <w:rPr>
          <w:spacing w:val="1"/>
          <w:szCs w:val="22"/>
        </w:rPr>
        <w:t>ii</w:t>
      </w:r>
      <w:r>
        <w:rPr>
          <w:szCs w:val="22"/>
        </w:rPr>
        <w:t>.</w:t>
      </w:r>
      <w:r>
        <w:rPr>
          <w:spacing w:val="-3"/>
          <w:szCs w:val="22"/>
        </w:rPr>
        <w:t xml:space="preserve"> </w:t>
      </w:r>
      <w:r>
        <w:rPr>
          <w:spacing w:val="-1"/>
          <w:szCs w:val="22"/>
        </w:rPr>
        <w:t>L</w:t>
      </w:r>
      <w:r>
        <w:rPr>
          <w:szCs w:val="22"/>
        </w:rPr>
        <w:t>a su</w:t>
      </w:r>
      <w:r>
        <w:rPr>
          <w:spacing w:val="-3"/>
          <w:szCs w:val="22"/>
        </w:rPr>
        <w:t>g</w:t>
      </w:r>
      <w:r>
        <w:rPr>
          <w:szCs w:val="22"/>
        </w:rPr>
        <w:t>a</w:t>
      </w:r>
      <w:r>
        <w:rPr>
          <w:spacing w:val="-2"/>
          <w:szCs w:val="22"/>
        </w:rPr>
        <w:t>r</w:t>
      </w:r>
      <w:r>
        <w:rPr>
          <w:spacing w:val="1"/>
          <w:szCs w:val="22"/>
        </w:rPr>
        <w:t>i</w:t>
      </w:r>
      <w:r>
        <w:rPr>
          <w:szCs w:val="22"/>
        </w:rPr>
        <w:t>i</w:t>
      </w:r>
      <w:r>
        <w:rPr>
          <w:spacing w:val="-2"/>
          <w:szCs w:val="22"/>
        </w:rPr>
        <w:t xml:space="preserve"> </w:t>
      </w:r>
      <w:r>
        <w:rPr>
          <w:szCs w:val="22"/>
        </w:rPr>
        <w:t>c</w:t>
      </w:r>
      <w:r>
        <w:rPr>
          <w:spacing w:val="-3"/>
          <w:szCs w:val="22"/>
        </w:rPr>
        <w:t>a</w:t>
      </w:r>
      <w:r>
        <w:rPr>
          <w:szCs w:val="22"/>
        </w:rPr>
        <w:t>re au</w:t>
      </w:r>
      <w:r>
        <w:rPr>
          <w:spacing w:val="-3"/>
          <w:szCs w:val="22"/>
        </w:rPr>
        <w:t xml:space="preserve"> </w:t>
      </w:r>
      <w:r>
        <w:rPr>
          <w:spacing w:val="-2"/>
          <w:szCs w:val="22"/>
        </w:rPr>
        <w:t>f</w:t>
      </w:r>
      <w:r>
        <w:rPr>
          <w:szCs w:val="22"/>
        </w:rPr>
        <w:t>ost</w:t>
      </w:r>
      <w:r>
        <w:rPr>
          <w:spacing w:val="1"/>
          <w:szCs w:val="22"/>
        </w:rPr>
        <w:t xml:space="preserve"> </w:t>
      </w:r>
      <w:r>
        <w:rPr>
          <w:spacing w:val="-3"/>
          <w:szCs w:val="22"/>
        </w:rPr>
        <w:t>e</w:t>
      </w:r>
      <w:r>
        <w:rPr>
          <w:szCs w:val="22"/>
        </w:rPr>
        <w:t>xpu</w:t>
      </w:r>
      <w:r>
        <w:rPr>
          <w:spacing w:val="-2"/>
          <w:szCs w:val="22"/>
        </w:rPr>
        <w:t>ş</w:t>
      </w:r>
      <w:r>
        <w:rPr>
          <w:szCs w:val="22"/>
        </w:rPr>
        <w:t>i</w:t>
      </w:r>
      <w:r>
        <w:rPr>
          <w:spacing w:val="1"/>
          <w:szCs w:val="22"/>
        </w:rPr>
        <w:t xml:space="preserve"> </w:t>
      </w:r>
      <w:r>
        <w:rPr>
          <w:i/>
          <w:spacing w:val="-2"/>
          <w:szCs w:val="22"/>
        </w:rPr>
        <w:t>i</w:t>
      </w:r>
      <w:r>
        <w:rPr>
          <w:i/>
          <w:szCs w:val="22"/>
        </w:rPr>
        <w:t>n u</w:t>
      </w:r>
      <w:r>
        <w:rPr>
          <w:i/>
          <w:spacing w:val="-2"/>
          <w:szCs w:val="22"/>
        </w:rPr>
        <w:t>t</w:t>
      </w:r>
      <w:r>
        <w:rPr>
          <w:i/>
          <w:szCs w:val="22"/>
        </w:rPr>
        <w:t>ero</w:t>
      </w:r>
      <w:r>
        <w:rPr>
          <w:spacing w:val="-3"/>
          <w:szCs w:val="22"/>
        </w:rPr>
        <w:t xml:space="preserve"> </w:t>
      </w:r>
      <w:r>
        <w:rPr>
          <w:spacing w:val="1"/>
          <w:szCs w:val="22"/>
        </w:rPr>
        <w:t>l</w:t>
      </w:r>
      <w:r>
        <w:rPr>
          <w:szCs w:val="22"/>
        </w:rPr>
        <w:t>a</w:t>
      </w:r>
      <w:r>
        <w:rPr>
          <w:spacing w:val="-2"/>
          <w:szCs w:val="22"/>
        </w:rPr>
        <w:t xml:space="preserve"> </w:t>
      </w:r>
      <w:r>
        <w:rPr>
          <w:szCs w:val="22"/>
        </w:rPr>
        <w:t>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ab, nu se re</w:t>
      </w:r>
      <w:r>
        <w:rPr>
          <w:spacing w:val="-3"/>
          <w:szCs w:val="22"/>
        </w:rPr>
        <w:t>c</w:t>
      </w:r>
      <w:r>
        <w:rPr>
          <w:szCs w:val="22"/>
        </w:rPr>
        <w:t>o</w:t>
      </w:r>
      <w:r>
        <w:rPr>
          <w:spacing w:val="-4"/>
          <w:szCs w:val="22"/>
        </w:rPr>
        <w:t>m</w:t>
      </w:r>
      <w:r>
        <w:rPr>
          <w:szCs w:val="22"/>
        </w:rPr>
        <w:t xml:space="preserve">andă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ar</w:t>
      </w:r>
      <w:r>
        <w:rPr>
          <w:spacing w:val="-3"/>
          <w:szCs w:val="22"/>
        </w:rPr>
        <w:t>e</w:t>
      </w:r>
      <w:r>
        <w:rPr>
          <w:szCs w:val="22"/>
        </w:rPr>
        <w:t xml:space="preserve">a de </w:t>
      </w:r>
      <w:r>
        <w:rPr>
          <w:spacing w:val="-3"/>
          <w:szCs w:val="22"/>
        </w:rPr>
        <w:t>v</w:t>
      </w:r>
      <w:r>
        <w:rPr>
          <w:szCs w:val="22"/>
        </w:rPr>
        <w:t>acc</w:t>
      </w:r>
      <w:r>
        <w:rPr>
          <w:spacing w:val="1"/>
          <w:szCs w:val="22"/>
        </w:rPr>
        <w:t>i</w:t>
      </w:r>
      <w:r>
        <w:rPr>
          <w:szCs w:val="22"/>
        </w:rPr>
        <w:t>nu</w:t>
      </w:r>
      <w:r>
        <w:rPr>
          <w:spacing w:val="-2"/>
          <w:szCs w:val="22"/>
        </w:rPr>
        <w:t>r</w:t>
      </w:r>
      <w:r>
        <w:rPr>
          <w:szCs w:val="22"/>
        </w:rPr>
        <w:t>i</w:t>
      </w:r>
      <w:r>
        <w:rPr>
          <w:spacing w:val="1"/>
          <w:szCs w:val="22"/>
        </w:rPr>
        <w:t xml:space="preserve"> </w:t>
      </w:r>
      <w:r>
        <w:rPr>
          <w:spacing w:val="-3"/>
          <w:szCs w:val="22"/>
        </w:rPr>
        <w:t>v</w:t>
      </w:r>
      <w:r>
        <w:rPr>
          <w:spacing w:val="1"/>
          <w:szCs w:val="22"/>
        </w:rPr>
        <w:t>i</w:t>
      </w:r>
      <w:r>
        <w:rPr>
          <w:szCs w:val="22"/>
        </w:rPr>
        <w:t>i</w:t>
      </w:r>
      <w:r>
        <w:rPr>
          <w:spacing w:val="-2"/>
          <w:szCs w:val="22"/>
        </w:rPr>
        <w:t xml:space="preserve"> </w:t>
      </w:r>
      <w:r>
        <w:rPr>
          <w:szCs w:val="22"/>
        </w:rPr>
        <w:t>(de exemplu vaccinul BCG)</w:t>
      </w:r>
      <w:r>
        <w:rPr>
          <w:i/>
          <w:szCs w:val="22"/>
        </w:rPr>
        <w:t xml:space="preserve"> </w:t>
      </w:r>
      <w:r>
        <w:rPr>
          <w:spacing w:val="1"/>
          <w:szCs w:val="22"/>
        </w:rPr>
        <w:t>ti</w:t>
      </w:r>
      <w:r>
        <w:rPr>
          <w:spacing w:val="-4"/>
          <w:szCs w:val="22"/>
        </w:rPr>
        <w:t>m</w:t>
      </w:r>
      <w:r>
        <w:rPr>
          <w:szCs w:val="22"/>
        </w:rPr>
        <w:t>p de 5</w:t>
      </w:r>
      <w:r>
        <w:rPr>
          <w:spacing w:val="-3"/>
          <w:szCs w:val="22"/>
        </w:rPr>
        <w:t xml:space="preserve"> </w:t>
      </w:r>
      <w:r>
        <w:rPr>
          <w:spacing w:val="1"/>
          <w:szCs w:val="22"/>
        </w:rPr>
        <w:t>l</w:t>
      </w:r>
      <w:r>
        <w:rPr>
          <w:szCs w:val="22"/>
        </w:rPr>
        <w:t>u</w:t>
      </w:r>
      <w:r>
        <w:rPr>
          <w:spacing w:val="-3"/>
          <w:szCs w:val="22"/>
        </w:rPr>
        <w:t>n</w:t>
      </w:r>
      <w:r>
        <w:rPr>
          <w:szCs w:val="22"/>
        </w:rPr>
        <w:t>i</w:t>
      </w:r>
      <w:r>
        <w:rPr>
          <w:spacing w:val="-2"/>
          <w:szCs w:val="22"/>
        </w:rPr>
        <w:t xml:space="preserve"> </w:t>
      </w:r>
      <w:r>
        <w:rPr>
          <w:szCs w:val="22"/>
        </w:rPr>
        <w:t xml:space="preserve">de </w:t>
      </w:r>
      <w:r>
        <w:rPr>
          <w:spacing w:val="1"/>
          <w:szCs w:val="22"/>
        </w:rPr>
        <w:t>l</w:t>
      </w:r>
      <w:r>
        <w:rPr>
          <w:szCs w:val="22"/>
        </w:rPr>
        <w:t>a</w:t>
      </w:r>
      <w:r>
        <w:rPr>
          <w:spacing w:val="-2"/>
          <w:szCs w:val="22"/>
        </w:rPr>
        <w:t xml:space="preserve"> </w:t>
      </w:r>
      <w:r>
        <w:rPr>
          <w:szCs w:val="22"/>
        </w:rPr>
        <w:t>u</w:t>
      </w:r>
      <w:r>
        <w:rPr>
          <w:spacing w:val="-2"/>
          <w:szCs w:val="22"/>
        </w:rPr>
        <w:t>l</w:t>
      </w:r>
      <w:r>
        <w:rPr>
          <w:spacing w:val="1"/>
          <w:szCs w:val="22"/>
        </w:rPr>
        <w:t>ti</w:t>
      </w:r>
      <w:r>
        <w:rPr>
          <w:spacing w:val="-4"/>
          <w:szCs w:val="22"/>
        </w:rPr>
        <w:t>m</w:t>
      </w:r>
      <w:r>
        <w:rPr>
          <w:szCs w:val="22"/>
        </w:rPr>
        <w:t>a do</w:t>
      </w:r>
      <w:r>
        <w:rPr>
          <w:spacing w:val="-3"/>
          <w:szCs w:val="22"/>
        </w:rPr>
        <w:t>z</w:t>
      </w:r>
      <w:r>
        <w:rPr>
          <w:szCs w:val="22"/>
        </w:rPr>
        <w:t>ă de a</w:t>
      </w:r>
      <w:r>
        <w:rPr>
          <w:spacing w:val="-3"/>
          <w:szCs w:val="22"/>
        </w:rPr>
        <w:t>d</w:t>
      </w:r>
      <w:r>
        <w:rPr>
          <w:szCs w:val="22"/>
        </w:rPr>
        <w:t>a</w:t>
      </w:r>
      <w:r>
        <w:rPr>
          <w:spacing w:val="-2"/>
          <w:szCs w:val="22"/>
        </w:rPr>
        <w:t>l</w:t>
      </w:r>
      <w:r>
        <w:rPr>
          <w:spacing w:val="1"/>
          <w:szCs w:val="22"/>
        </w:rPr>
        <w:t>i</w:t>
      </w:r>
      <w:r>
        <w:rPr>
          <w:spacing w:val="-2"/>
          <w:szCs w:val="22"/>
        </w:rPr>
        <w:t>m</w:t>
      </w:r>
      <w:r>
        <w:rPr>
          <w:szCs w:val="22"/>
        </w:rPr>
        <w:t>u</w:t>
      </w:r>
      <w:r>
        <w:rPr>
          <w:spacing w:val="-4"/>
          <w:szCs w:val="22"/>
        </w:rPr>
        <w:t>m</w:t>
      </w:r>
      <w:r>
        <w:rPr>
          <w:szCs w:val="22"/>
        </w:rPr>
        <w:t>ab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zCs w:val="22"/>
        </w:rPr>
        <w:t>r</w:t>
      </w:r>
      <w:r>
        <w:rPr>
          <w:spacing w:val="-3"/>
          <w:szCs w:val="22"/>
        </w:rPr>
        <w:t>a</w:t>
      </w:r>
      <w:r>
        <w:rPr>
          <w:spacing w:val="1"/>
          <w:szCs w:val="22"/>
        </w:rPr>
        <w:t>t</w:t>
      </w:r>
      <w:r>
        <w:rPr>
          <w:szCs w:val="22"/>
        </w:rPr>
        <w:t xml:space="preserve">ă </w:t>
      </w:r>
      <w:r>
        <w:rPr>
          <w:spacing w:val="-4"/>
          <w:szCs w:val="22"/>
        </w:rPr>
        <w:t>m</w:t>
      </w:r>
      <w:r>
        <w:rPr>
          <w:szCs w:val="22"/>
        </w:rPr>
        <w:t>a</w:t>
      </w:r>
      <w:r>
        <w:rPr>
          <w:spacing w:val="-4"/>
          <w:szCs w:val="22"/>
        </w:rPr>
        <w:t>m</w:t>
      </w:r>
      <w:r>
        <w:rPr>
          <w:szCs w:val="22"/>
        </w:rPr>
        <w:t>ei</w:t>
      </w:r>
      <w:r>
        <w:rPr>
          <w:spacing w:val="1"/>
          <w:szCs w:val="22"/>
        </w:rPr>
        <w:t xml:space="preserve"> </w:t>
      </w:r>
      <w:r>
        <w:rPr>
          <w:spacing w:val="-2"/>
          <w:szCs w:val="22"/>
        </w:rPr>
        <w:t>î</w:t>
      </w:r>
      <w:r>
        <w:rPr>
          <w:szCs w:val="22"/>
        </w:rPr>
        <w:t xml:space="preserve">n </w:t>
      </w:r>
      <w:r>
        <w:rPr>
          <w:spacing w:val="1"/>
          <w:szCs w:val="22"/>
        </w:rPr>
        <w:t>ti</w:t>
      </w:r>
      <w:r>
        <w:rPr>
          <w:spacing w:val="-4"/>
          <w:szCs w:val="22"/>
        </w:rPr>
        <w:t>m</w:t>
      </w:r>
      <w:r>
        <w:rPr>
          <w:szCs w:val="22"/>
        </w:rPr>
        <w:t>pul</w:t>
      </w:r>
      <w:r>
        <w:rPr>
          <w:spacing w:val="1"/>
          <w:szCs w:val="22"/>
        </w:rPr>
        <w:t xml:space="preserve"> </w:t>
      </w:r>
      <w:r>
        <w:rPr>
          <w:spacing w:val="-2"/>
          <w:szCs w:val="22"/>
        </w:rPr>
        <w:t>s</w:t>
      </w:r>
      <w:r>
        <w:rPr>
          <w:szCs w:val="22"/>
        </w:rPr>
        <w:t>ar</w:t>
      </w:r>
      <w:r>
        <w:rPr>
          <w:spacing w:val="-3"/>
          <w:szCs w:val="22"/>
        </w:rPr>
        <w:t>c</w:t>
      </w:r>
      <w:r>
        <w:rPr>
          <w:spacing w:val="1"/>
          <w:szCs w:val="22"/>
        </w:rPr>
        <w:t>i</w:t>
      </w:r>
      <w:r>
        <w:rPr>
          <w:spacing w:val="-3"/>
          <w:szCs w:val="22"/>
        </w:rPr>
        <w:t>n</w:t>
      </w:r>
      <w:r>
        <w:rPr>
          <w:spacing w:val="1"/>
          <w:szCs w:val="22"/>
        </w:rPr>
        <w:t>ii</w:t>
      </w:r>
      <w:r>
        <w:rPr>
          <w:szCs w:val="22"/>
        </w:rPr>
        <w:t>.</w:t>
      </w:r>
    </w:p>
    <w:p w14:paraId="500500D5" w14:textId="77777777" w:rsidR="00C04CAD" w:rsidRDefault="00C04CAD">
      <w:pPr>
        <w:spacing w:line="240" w:lineRule="auto"/>
        <w:rPr>
          <w:szCs w:val="22"/>
        </w:rPr>
      </w:pPr>
    </w:p>
    <w:p w14:paraId="6AFDD600" w14:textId="77777777" w:rsidR="00C04CAD" w:rsidRDefault="00060E34">
      <w:pPr>
        <w:keepNext/>
        <w:spacing w:line="240" w:lineRule="auto"/>
        <w:rPr>
          <w:szCs w:val="22"/>
        </w:rPr>
      </w:pPr>
      <w:r>
        <w:rPr>
          <w:szCs w:val="22"/>
          <w:u w:val="single"/>
        </w:rPr>
        <w:t>Alăptarea</w:t>
      </w:r>
    </w:p>
    <w:p w14:paraId="2707AA0C" w14:textId="77777777" w:rsidR="00C04CAD" w:rsidRDefault="00C04CAD">
      <w:pPr>
        <w:keepNext/>
        <w:spacing w:line="240" w:lineRule="auto"/>
        <w:rPr>
          <w:szCs w:val="22"/>
        </w:rPr>
      </w:pPr>
    </w:p>
    <w:p w14:paraId="6C136580" w14:textId="77777777" w:rsidR="00C04CAD" w:rsidRDefault="00060E34">
      <w:pPr>
        <w:spacing w:line="240" w:lineRule="auto"/>
        <w:rPr>
          <w:szCs w:val="22"/>
        </w:rPr>
      </w:pPr>
      <w:r>
        <w:rPr>
          <w:szCs w:val="22"/>
        </w:rPr>
        <w:t xml:space="preserve">Informații limitate din literatura publicată indică faptul că adalimumab este excretat în laptele matern în concentrații foarte mici, cu prezența adalimumab în laptele uman la concentrații de 0,1% până la 1% din concentrația prezentă în serul matern. Administrate pe cale orală, proteinele imunoglobulinei G sunt supuse proteolizei intestinale și au o biodisponibilitate redusă. Nu sunt anticipate efecte asupra nou-născuților/copiilor alăptați. În consecință, </w:t>
      </w:r>
      <w:r>
        <w:rPr>
          <w:rFonts w:eastAsia="MS Mincho"/>
          <w:szCs w:val="22"/>
          <w:lang w:eastAsia="en-US" w:bidi="ar-SA"/>
        </w:rPr>
        <w:t>AMGEVITA</w:t>
      </w:r>
      <w:r>
        <w:rPr>
          <w:szCs w:val="22"/>
        </w:rPr>
        <w:t xml:space="preserve"> poate fi utilizat în timpul alăptării.</w:t>
      </w:r>
    </w:p>
    <w:p w14:paraId="3F29C2DB" w14:textId="77777777" w:rsidR="00C04CAD" w:rsidRDefault="00C04CAD">
      <w:pPr>
        <w:spacing w:line="240" w:lineRule="auto"/>
        <w:rPr>
          <w:szCs w:val="22"/>
        </w:rPr>
      </w:pPr>
    </w:p>
    <w:p w14:paraId="40252001" w14:textId="77777777" w:rsidR="00C04CAD" w:rsidRDefault="00060E34">
      <w:pPr>
        <w:keepNext/>
        <w:spacing w:line="240" w:lineRule="auto"/>
        <w:rPr>
          <w:szCs w:val="22"/>
        </w:rPr>
      </w:pPr>
      <w:r>
        <w:rPr>
          <w:szCs w:val="22"/>
          <w:u w:val="single"/>
        </w:rPr>
        <w:t>Fertilitatea</w:t>
      </w:r>
    </w:p>
    <w:p w14:paraId="6B499509" w14:textId="77777777" w:rsidR="00C04CAD" w:rsidRDefault="00C04CAD">
      <w:pPr>
        <w:keepNext/>
        <w:spacing w:line="240" w:lineRule="auto"/>
        <w:rPr>
          <w:szCs w:val="22"/>
        </w:rPr>
      </w:pPr>
    </w:p>
    <w:p w14:paraId="00E76FD6" w14:textId="77777777" w:rsidR="00C04CAD" w:rsidRDefault="00060E34">
      <w:pPr>
        <w:spacing w:line="240" w:lineRule="auto"/>
        <w:rPr>
          <w:szCs w:val="22"/>
        </w:rPr>
      </w:pPr>
      <w:r>
        <w:rPr>
          <w:spacing w:val="-1"/>
          <w:szCs w:val="22"/>
        </w:rPr>
        <w:t>N</w:t>
      </w:r>
      <w:r>
        <w:rPr>
          <w:szCs w:val="22"/>
        </w:rPr>
        <w:t>u sunt</w:t>
      </w:r>
      <w:r>
        <w:rPr>
          <w:spacing w:val="1"/>
          <w:szCs w:val="22"/>
        </w:rPr>
        <w:t xml:space="preserve"> </w:t>
      </w:r>
      <w:r>
        <w:rPr>
          <w:spacing w:val="-3"/>
          <w:szCs w:val="22"/>
        </w:rPr>
        <w:t>d</w:t>
      </w:r>
      <w:r>
        <w:rPr>
          <w:spacing w:val="1"/>
          <w:szCs w:val="22"/>
        </w:rPr>
        <w:t>i</w:t>
      </w:r>
      <w:r>
        <w:rPr>
          <w:szCs w:val="22"/>
        </w:rPr>
        <w:t>s</w:t>
      </w:r>
      <w:r>
        <w:rPr>
          <w:spacing w:val="-3"/>
          <w:szCs w:val="22"/>
        </w:rPr>
        <w:t>p</w:t>
      </w:r>
      <w:r>
        <w:rPr>
          <w:szCs w:val="22"/>
        </w:rPr>
        <w:t>on</w:t>
      </w:r>
      <w:r>
        <w:rPr>
          <w:spacing w:val="-2"/>
          <w:szCs w:val="22"/>
        </w:rPr>
        <w:t>i</w:t>
      </w:r>
      <w:r>
        <w:rPr>
          <w:szCs w:val="22"/>
        </w:rPr>
        <w:t>b</w:t>
      </w:r>
      <w:r>
        <w:rPr>
          <w:spacing w:val="-2"/>
          <w:szCs w:val="22"/>
        </w:rPr>
        <w:t>i</w:t>
      </w:r>
      <w:r>
        <w:rPr>
          <w:spacing w:val="1"/>
          <w:szCs w:val="22"/>
        </w:rPr>
        <w:t>l</w:t>
      </w:r>
      <w:r>
        <w:rPr>
          <w:szCs w:val="22"/>
        </w:rPr>
        <w:t>e d</w:t>
      </w:r>
      <w:r>
        <w:rPr>
          <w:spacing w:val="-3"/>
          <w:szCs w:val="22"/>
        </w:rPr>
        <w:t>a</w:t>
      </w:r>
      <w:r>
        <w:rPr>
          <w:spacing w:val="1"/>
          <w:szCs w:val="22"/>
        </w:rPr>
        <w:t>t</w:t>
      </w:r>
      <w:r>
        <w:rPr>
          <w:szCs w:val="22"/>
        </w:rPr>
        <w:t>e</w:t>
      </w:r>
      <w:r>
        <w:rPr>
          <w:spacing w:val="-2"/>
          <w:szCs w:val="22"/>
        </w:rPr>
        <w:t xml:space="preserve"> </w:t>
      </w:r>
      <w:r>
        <w:rPr>
          <w:szCs w:val="22"/>
        </w:rPr>
        <w:t>p</w:t>
      </w:r>
      <w:r>
        <w:rPr>
          <w:spacing w:val="-2"/>
          <w:szCs w:val="22"/>
        </w:rPr>
        <w:t>r</w:t>
      </w:r>
      <w:r>
        <w:rPr>
          <w:szCs w:val="22"/>
        </w:rPr>
        <w:t>ec</w:t>
      </w:r>
      <w:r>
        <w:rPr>
          <w:spacing w:val="-2"/>
          <w:szCs w:val="22"/>
        </w:rPr>
        <w:t>l</w:t>
      </w:r>
      <w:r>
        <w:rPr>
          <w:spacing w:val="1"/>
          <w:szCs w:val="22"/>
        </w:rPr>
        <w:t>i</w:t>
      </w:r>
      <w:r>
        <w:rPr>
          <w:szCs w:val="22"/>
        </w:rPr>
        <w:t>n</w:t>
      </w:r>
      <w:r>
        <w:rPr>
          <w:spacing w:val="-2"/>
          <w:szCs w:val="22"/>
        </w:rPr>
        <w:t>i</w:t>
      </w:r>
      <w:r>
        <w:rPr>
          <w:szCs w:val="22"/>
        </w:rPr>
        <w:t xml:space="preserve">ce </w:t>
      </w:r>
      <w:r>
        <w:rPr>
          <w:spacing w:val="-3"/>
          <w:szCs w:val="22"/>
        </w:rPr>
        <w:t>p</w:t>
      </w:r>
      <w:r>
        <w:rPr>
          <w:szCs w:val="22"/>
        </w:rPr>
        <w:t>r</w:t>
      </w:r>
      <w:r>
        <w:rPr>
          <w:spacing w:val="1"/>
          <w:szCs w:val="22"/>
        </w:rPr>
        <w:t>i</w:t>
      </w:r>
      <w:r>
        <w:rPr>
          <w:spacing w:val="-3"/>
          <w:szCs w:val="22"/>
        </w:rPr>
        <w:t>v</w:t>
      </w:r>
      <w:r>
        <w:rPr>
          <w:spacing w:val="1"/>
          <w:szCs w:val="22"/>
        </w:rPr>
        <w:t>i</w:t>
      </w:r>
      <w:r>
        <w:rPr>
          <w:szCs w:val="22"/>
        </w:rPr>
        <w:t>nd</w:t>
      </w:r>
      <w:r>
        <w:rPr>
          <w:spacing w:val="-3"/>
          <w:szCs w:val="22"/>
        </w:rPr>
        <w:t xml:space="preserve"> </w:t>
      </w:r>
      <w:r>
        <w:rPr>
          <w:szCs w:val="22"/>
        </w:rPr>
        <w:t>f</w:t>
      </w:r>
      <w:r>
        <w:rPr>
          <w:spacing w:val="-3"/>
          <w:szCs w:val="22"/>
        </w:rPr>
        <w:t>e</w:t>
      </w:r>
      <w:r>
        <w:rPr>
          <w:szCs w:val="22"/>
        </w:rPr>
        <w:t>r</w:t>
      </w:r>
      <w:r>
        <w:rPr>
          <w:spacing w:val="-2"/>
          <w:szCs w:val="22"/>
        </w:rPr>
        <w:t>t</w:t>
      </w:r>
      <w:r>
        <w:rPr>
          <w:spacing w:val="1"/>
          <w:szCs w:val="22"/>
        </w:rPr>
        <w:t>i</w:t>
      </w:r>
      <w:r>
        <w:rPr>
          <w:spacing w:val="-2"/>
          <w:szCs w:val="22"/>
        </w:rPr>
        <w:t>l</w:t>
      </w:r>
      <w:r>
        <w:rPr>
          <w:spacing w:val="1"/>
          <w:szCs w:val="22"/>
        </w:rPr>
        <w:t>i</w:t>
      </w:r>
      <w:r>
        <w:rPr>
          <w:spacing w:val="-2"/>
          <w:szCs w:val="22"/>
        </w:rPr>
        <w:t>t</w:t>
      </w:r>
      <w:r>
        <w:rPr>
          <w:szCs w:val="22"/>
        </w:rPr>
        <w:t>a</w:t>
      </w:r>
      <w:r>
        <w:rPr>
          <w:spacing w:val="1"/>
          <w:szCs w:val="22"/>
        </w:rPr>
        <w:t>t</w:t>
      </w:r>
      <w:r>
        <w:rPr>
          <w:spacing w:val="-3"/>
          <w:szCs w:val="22"/>
        </w:rPr>
        <w:t>e</w:t>
      </w:r>
      <w:r>
        <w:rPr>
          <w:szCs w:val="22"/>
        </w:rPr>
        <w:t>a.</w:t>
      </w:r>
    </w:p>
    <w:p w14:paraId="49BA1811" w14:textId="77777777" w:rsidR="00C04CAD" w:rsidRDefault="00C04CAD">
      <w:pPr>
        <w:spacing w:line="240" w:lineRule="auto"/>
      </w:pPr>
    </w:p>
    <w:p w14:paraId="033A2E48" w14:textId="77777777" w:rsidR="00C04CAD" w:rsidRDefault="00060E34">
      <w:pPr>
        <w:keepNext/>
        <w:numPr>
          <w:ilvl w:val="1"/>
          <w:numId w:val="7"/>
        </w:numPr>
        <w:spacing w:line="240" w:lineRule="auto"/>
        <w:outlineLvl w:val="0"/>
      </w:pPr>
      <w:r>
        <w:rPr>
          <w:b/>
        </w:rPr>
        <w:t>Efecte asupra capacității de a conduce vehicule și de a folosi utilaje</w:t>
      </w:r>
    </w:p>
    <w:p w14:paraId="6A0E2086" w14:textId="77777777" w:rsidR="00C04CAD" w:rsidRDefault="00C04CAD">
      <w:pPr>
        <w:keepNext/>
        <w:spacing w:line="240" w:lineRule="auto"/>
      </w:pPr>
    </w:p>
    <w:p w14:paraId="3B02A081" w14:textId="77777777" w:rsidR="00C04CAD" w:rsidRDefault="00060E34">
      <w:pPr>
        <w:tabs>
          <w:tab w:val="clear" w:pos="567"/>
        </w:tabs>
        <w:kinsoku w:val="0"/>
        <w:overflowPunct w:val="0"/>
        <w:autoSpaceDE w:val="0"/>
        <w:autoSpaceDN w:val="0"/>
        <w:adjustRightInd w:val="0"/>
        <w:spacing w:line="240" w:lineRule="auto"/>
      </w:pPr>
      <w:r>
        <w:rPr>
          <w:rFonts w:eastAsia="MS Mincho"/>
          <w:spacing w:val="-1"/>
          <w:szCs w:val="22"/>
          <w:lang w:eastAsia="en-US" w:bidi="ar-SA"/>
        </w:rPr>
        <w:t>AMGEVITA</w:t>
      </w:r>
      <w:r>
        <w:t xml:space="preserve"> poa</w:t>
      </w:r>
      <w:r>
        <w:rPr>
          <w:spacing w:val="-2"/>
        </w:rPr>
        <w:t>t</w:t>
      </w:r>
      <w:r>
        <w:t xml:space="preserve">e </w:t>
      </w:r>
      <w:r>
        <w:rPr>
          <w:spacing w:val="1"/>
        </w:rPr>
        <w:t>i</w:t>
      </w:r>
      <w:r>
        <w:rPr>
          <w:spacing w:val="-3"/>
        </w:rPr>
        <w:t>n</w:t>
      </w:r>
      <w:r>
        <w:t>f</w:t>
      </w:r>
      <w:r>
        <w:rPr>
          <w:spacing w:val="1"/>
        </w:rPr>
        <w:t>l</w:t>
      </w:r>
      <w:r>
        <w:rPr>
          <w:spacing w:val="-3"/>
        </w:rPr>
        <w:t>u</w:t>
      </w:r>
      <w:r>
        <w:t>en</w:t>
      </w:r>
      <w:r>
        <w:rPr>
          <w:spacing w:val="-2"/>
        </w:rPr>
        <w:t>ţ</w:t>
      </w:r>
      <w:r>
        <w:t xml:space="preserve">a </w:t>
      </w:r>
      <w:r>
        <w:rPr>
          <w:spacing w:val="-2"/>
        </w:rPr>
        <w:t>î</w:t>
      </w:r>
      <w:r>
        <w:t>n</w:t>
      </w:r>
      <w:r>
        <w:rPr>
          <w:spacing w:val="-3"/>
        </w:rPr>
        <w:t xml:space="preserve"> </w:t>
      </w:r>
      <w:r>
        <w:rPr>
          <w:spacing w:val="-4"/>
        </w:rPr>
        <w:t>m</w:t>
      </w:r>
      <w:r>
        <w:rPr>
          <w:spacing w:val="1"/>
        </w:rPr>
        <w:t>i</w:t>
      </w:r>
      <w:r>
        <w:t xml:space="preserve">că </w:t>
      </w:r>
      <w:r>
        <w:rPr>
          <w:spacing w:val="-4"/>
        </w:rPr>
        <w:t>m</w:t>
      </w:r>
      <w:r>
        <w:t>ăsură cap</w:t>
      </w:r>
      <w:r>
        <w:rPr>
          <w:spacing w:val="-3"/>
        </w:rPr>
        <w:t>a</w:t>
      </w:r>
      <w:r>
        <w:t>c</w:t>
      </w:r>
      <w:r>
        <w:rPr>
          <w:spacing w:val="-2"/>
        </w:rPr>
        <w:t>i</w:t>
      </w:r>
      <w:r>
        <w:rPr>
          <w:spacing w:val="1"/>
        </w:rPr>
        <w:t>t</w:t>
      </w:r>
      <w:r>
        <w:rPr>
          <w:spacing w:val="-3"/>
        </w:rPr>
        <w:t>a</w:t>
      </w:r>
      <w:r>
        <w:rPr>
          <w:spacing w:val="1"/>
        </w:rPr>
        <w:t>t</w:t>
      </w:r>
      <w:r>
        <w:t xml:space="preserve">ea </w:t>
      </w:r>
      <w:r>
        <w:rPr>
          <w:spacing w:val="-3"/>
        </w:rPr>
        <w:t>d</w:t>
      </w:r>
      <w:r>
        <w:t>e</w:t>
      </w:r>
      <w:r>
        <w:rPr>
          <w:spacing w:val="-2"/>
        </w:rPr>
        <w:t xml:space="preserve"> </w:t>
      </w:r>
      <w:r>
        <w:t>a cond</w:t>
      </w:r>
      <w:r>
        <w:rPr>
          <w:spacing w:val="-3"/>
        </w:rPr>
        <w:t>u</w:t>
      </w:r>
      <w:r>
        <w:t xml:space="preserve">ce </w:t>
      </w:r>
      <w:r>
        <w:rPr>
          <w:spacing w:val="-3"/>
        </w:rPr>
        <w:t>v</w:t>
      </w:r>
      <w:r>
        <w:t>eh</w:t>
      </w:r>
      <w:r>
        <w:rPr>
          <w:spacing w:val="-2"/>
        </w:rPr>
        <w:t>i</w:t>
      </w:r>
      <w:r>
        <w:t>cu</w:t>
      </w:r>
      <w:r>
        <w:rPr>
          <w:spacing w:val="-2"/>
        </w:rPr>
        <w:t>l</w:t>
      </w:r>
      <w:r>
        <w:t xml:space="preserve">e </w:t>
      </w:r>
      <w:r>
        <w:rPr>
          <w:spacing w:val="-2"/>
        </w:rPr>
        <w:t>ş</w:t>
      </w:r>
      <w:r>
        <w:t>i</w:t>
      </w:r>
      <w:r>
        <w:rPr>
          <w:spacing w:val="1"/>
        </w:rPr>
        <w:t xml:space="preserve"> </w:t>
      </w:r>
      <w:r>
        <w:t>de</w:t>
      </w:r>
      <w:r>
        <w:rPr>
          <w:spacing w:val="-2"/>
        </w:rPr>
        <w:t xml:space="preserve"> </w:t>
      </w:r>
      <w:r>
        <w:t>a</w:t>
      </w:r>
      <w:r>
        <w:rPr>
          <w:spacing w:val="-2"/>
        </w:rPr>
        <w:t xml:space="preserve"> </w:t>
      </w:r>
      <w:r>
        <w:t>fo</w:t>
      </w:r>
      <w:r>
        <w:rPr>
          <w:spacing w:val="1"/>
        </w:rPr>
        <w:t>l</w:t>
      </w:r>
      <w:r>
        <w:rPr>
          <w:spacing w:val="-3"/>
        </w:rPr>
        <w:t>o</w:t>
      </w:r>
      <w:r>
        <w:t>si</w:t>
      </w:r>
      <w:r>
        <w:rPr>
          <w:spacing w:val="1"/>
        </w:rPr>
        <w:t xml:space="preserve"> </w:t>
      </w:r>
      <w:r>
        <w:rPr>
          <w:spacing w:val="-3"/>
        </w:rPr>
        <w:t>u</w:t>
      </w:r>
      <w:r>
        <w:rPr>
          <w:spacing w:val="1"/>
        </w:rPr>
        <w:t>t</w:t>
      </w:r>
      <w:r>
        <w:rPr>
          <w:spacing w:val="-2"/>
        </w:rPr>
        <w:t>i</w:t>
      </w:r>
      <w:r>
        <w:rPr>
          <w:spacing w:val="1"/>
        </w:rPr>
        <w:t>l</w:t>
      </w:r>
      <w:r>
        <w:rPr>
          <w:spacing w:val="-3"/>
        </w:rPr>
        <w:t>a</w:t>
      </w:r>
      <w:r>
        <w:rPr>
          <w:spacing w:val="1"/>
        </w:rPr>
        <w:t>j</w:t>
      </w:r>
      <w:r>
        <w:t xml:space="preserve">e. </w:t>
      </w:r>
      <w:r>
        <w:rPr>
          <w:spacing w:val="-1"/>
        </w:rPr>
        <w:t>D</w:t>
      </w:r>
      <w:r>
        <w:t>u</w:t>
      </w:r>
      <w:r>
        <w:rPr>
          <w:spacing w:val="-3"/>
        </w:rPr>
        <w:t>p</w:t>
      </w:r>
      <w:r>
        <w:t>ă ad</w:t>
      </w:r>
      <w:r>
        <w:rPr>
          <w:spacing w:val="-4"/>
        </w:rPr>
        <w:t>m</w:t>
      </w:r>
      <w:r>
        <w:rPr>
          <w:spacing w:val="1"/>
        </w:rPr>
        <w:t>i</w:t>
      </w:r>
      <w:r>
        <w:t>n</w:t>
      </w:r>
      <w:r>
        <w:rPr>
          <w:spacing w:val="1"/>
        </w:rPr>
        <w:t>i</w:t>
      </w:r>
      <w:r>
        <w:t>s</w:t>
      </w:r>
      <w:r>
        <w:rPr>
          <w:spacing w:val="-2"/>
        </w:rPr>
        <w:t>t</w:t>
      </w:r>
      <w:r>
        <w:t>ra</w:t>
      </w:r>
      <w:r>
        <w:rPr>
          <w:spacing w:val="-2"/>
        </w:rPr>
        <w:t>r</w:t>
      </w:r>
      <w:r>
        <w:t xml:space="preserve">ea </w:t>
      </w:r>
      <w:r>
        <w:rPr>
          <w:spacing w:val="-3"/>
        </w:rPr>
        <w:t>d</w:t>
      </w:r>
      <w:r>
        <w:t xml:space="preserve">e </w:t>
      </w:r>
      <w:r>
        <w:rPr>
          <w:rFonts w:eastAsia="MS Mincho"/>
          <w:spacing w:val="-1"/>
          <w:szCs w:val="22"/>
          <w:lang w:eastAsia="en-US" w:bidi="ar-SA"/>
        </w:rPr>
        <w:t>AMGEVITA</w:t>
      </w:r>
      <w:r>
        <w:t xml:space="preserve"> </w:t>
      </w:r>
      <w:r>
        <w:rPr>
          <w:spacing w:val="-3"/>
        </w:rPr>
        <w:t>p</w:t>
      </w:r>
      <w:r>
        <w:t>ot</w:t>
      </w:r>
      <w:r>
        <w:rPr>
          <w:spacing w:val="1"/>
        </w:rPr>
        <w:t xml:space="preserve"> </w:t>
      </w:r>
      <w:r>
        <w:t>să</w:t>
      </w:r>
      <w:r>
        <w:rPr>
          <w:spacing w:val="-2"/>
        </w:rPr>
        <w:t xml:space="preserve"> </w:t>
      </w:r>
      <w:r>
        <w:t>ap</w:t>
      </w:r>
      <w:r>
        <w:rPr>
          <w:spacing w:val="-3"/>
        </w:rPr>
        <w:t>a</w:t>
      </w:r>
      <w:r>
        <w:t xml:space="preserve">ră </w:t>
      </w:r>
      <w:r>
        <w:rPr>
          <w:spacing w:val="-3"/>
        </w:rPr>
        <w:t>v</w:t>
      </w:r>
      <w:r>
        <w:t>e</w:t>
      </w:r>
      <w:r>
        <w:rPr>
          <w:spacing w:val="-2"/>
        </w:rPr>
        <w:t>r</w:t>
      </w:r>
      <w:r>
        <w:rPr>
          <w:spacing w:val="1"/>
        </w:rPr>
        <w:t>t</w:t>
      </w:r>
      <w:r>
        <w:rPr>
          <w:spacing w:val="-2"/>
        </w:rPr>
        <w:t>i</w:t>
      </w:r>
      <w:r>
        <w:t>j</w:t>
      </w:r>
      <w:r>
        <w:rPr>
          <w:spacing w:val="1"/>
        </w:rPr>
        <w:t xml:space="preserve"> </w:t>
      </w:r>
      <w:r>
        <w:rPr>
          <w:spacing w:val="-2"/>
        </w:rPr>
        <w:t>ş</w:t>
      </w:r>
      <w:r>
        <w:t>i</w:t>
      </w:r>
      <w:r>
        <w:rPr>
          <w:spacing w:val="1"/>
        </w:rPr>
        <w:t xml:space="preserve"> t</w:t>
      </w:r>
      <w:r>
        <w:rPr>
          <w:spacing w:val="-3"/>
        </w:rPr>
        <w:t>u</w:t>
      </w:r>
      <w:r>
        <w:rPr>
          <w:spacing w:val="1"/>
        </w:rPr>
        <w:t>l</w:t>
      </w:r>
      <w:r>
        <w:t>b</w:t>
      </w:r>
      <w:r>
        <w:rPr>
          <w:spacing w:val="-3"/>
        </w:rPr>
        <w:t>u</w:t>
      </w:r>
      <w:r>
        <w:t>ră</w:t>
      </w:r>
      <w:r>
        <w:rPr>
          <w:spacing w:val="-2"/>
        </w:rPr>
        <w:t>r</w:t>
      </w:r>
      <w:r>
        <w:t>i</w:t>
      </w:r>
      <w:r>
        <w:rPr>
          <w:spacing w:val="1"/>
        </w:rPr>
        <w:t xml:space="preserve"> </w:t>
      </w:r>
      <w:r>
        <w:t xml:space="preserve">de </w:t>
      </w:r>
      <w:r>
        <w:rPr>
          <w:spacing w:val="-3"/>
        </w:rPr>
        <w:t>v</w:t>
      </w:r>
      <w:r>
        <w:t>ed</w:t>
      </w:r>
      <w:r>
        <w:rPr>
          <w:spacing w:val="-3"/>
        </w:rPr>
        <w:t>e</w:t>
      </w:r>
      <w:r>
        <w:t>re (</w:t>
      </w:r>
      <w:r>
        <w:rPr>
          <w:spacing w:val="-3"/>
        </w:rPr>
        <w:t>v</w:t>
      </w:r>
      <w:r>
        <w:t>e</w:t>
      </w:r>
      <w:r>
        <w:rPr>
          <w:spacing w:val="-3"/>
        </w:rPr>
        <w:t>z</w:t>
      </w:r>
      <w:r>
        <w:t>i</w:t>
      </w:r>
      <w:r>
        <w:rPr>
          <w:spacing w:val="1"/>
        </w:rPr>
        <w:t xml:space="preserve"> </w:t>
      </w:r>
      <w:r>
        <w:t>p</w:t>
      </w:r>
      <w:r>
        <w:rPr>
          <w:spacing w:val="-3"/>
        </w:rPr>
        <w:t>c</w:t>
      </w:r>
      <w:r>
        <w:rPr>
          <w:spacing w:val="1"/>
        </w:rPr>
        <w:t>t</w:t>
      </w:r>
      <w:r>
        <w:t>. 4.</w:t>
      </w:r>
      <w:r>
        <w:rPr>
          <w:spacing w:val="-3"/>
        </w:rPr>
        <w:t>8</w:t>
      </w:r>
      <w:r>
        <w:t>).</w:t>
      </w:r>
    </w:p>
    <w:p w14:paraId="6ED44DF3" w14:textId="77777777" w:rsidR="00C04CAD" w:rsidRDefault="00C04CAD">
      <w:pPr>
        <w:spacing w:line="240" w:lineRule="auto"/>
      </w:pPr>
    </w:p>
    <w:p w14:paraId="61BF625B" w14:textId="77777777" w:rsidR="00C04CAD" w:rsidRDefault="00060E34">
      <w:pPr>
        <w:keepNext/>
        <w:numPr>
          <w:ilvl w:val="1"/>
          <w:numId w:val="7"/>
        </w:numPr>
        <w:spacing w:line="240" w:lineRule="auto"/>
        <w:outlineLvl w:val="0"/>
      </w:pPr>
      <w:r>
        <w:rPr>
          <w:b/>
        </w:rPr>
        <w:t>Reacții adverse</w:t>
      </w:r>
    </w:p>
    <w:p w14:paraId="062D194D" w14:textId="77777777" w:rsidR="00C04CAD" w:rsidRDefault="00C04CAD">
      <w:pPr>
        <w:keepNext/>
        <w:autoSpaceDE w:val="0"/>
        <w:autoSpaceDN w:val="0"/>
        <w:adjustRightInd w:val="0"/>
        <w:spacing w:line="240" w:lineRule="auto"/>
        <w:jc w:val="both"/>
      </w:pPr>
    </w:p>
    <w:p w14:paraId="0B304317"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R</w:t>
      </w:r>
      <w:r>
        <w:rPr>
          <w:u w:val="single"/>
        </w:rPr>
        <w:t>e</w:t>
      </w:r>
      <w:r>
        <w:rPr>
          <w:spacing w:val="-3"/>
          <w:u w:val="single"/>
        </w:rPr>
        <w:t>z</w:t>
      </w:r>
      <w:r>
        <w:rPr>
          <w:spacing w:val="2"/>
          <w:u w:val="single"/>
        </w:rPr>
        <w:t>u</w:t>
      </w:r>
      <w:r>
        <w:rPr>
          <w:spacing w:val="-4"/>
          <w:u w:val="single"/>
        </w:rPr>
        <w:t>m</w:t>
      </w:r>
      <w:r>
        <w:rPr>
          <w:u w:val="single"/>
        </w:rPr>
        <w:t>a</w:t>
      </w:r>
      <w:r>
        <w:rPr>
          <w:spacing w:val="1"/>
          <w:u w:val="single"/>
        </w:rPr>
        <w:t>t</w:t>
      </w:r>
      <w:r>
        <w:rPr>
          <w:spacing w:val="-1"/>
          <w:u w:val="single"/>
        </w:rPr>
        <w:t>u</w:t>
      </w:r>
      <w:r>
        <w:rPr>
          <w:u w:val="single"/>
        </w:rPr>
        <w:t xml:space="preserve">l </w:t>
      </w:r>
      <w:r>
        <w:rPr>
          <w:spacing w:val="-3"/>
          <w:u w:val="single"/>
        </w:rPr>
        <w:t>p</w:t>
      </w:r>
      <w:r>
        <w:rPr>
          <w:u w:val="single"/>
        </w:rPr>
        <w:t>ro</w:t>
      </w:r>
      <w:r>
        <w:rPr>
          <w:spacing w:val="-2"/>
          <w:u w:val="single"/>
        </w:rPr>
        <w:t>f</w:t>
      </w:r>
      <w:r>
        <w:rPr>
          <w:spacing w:val="1"/>
          <w:u w:val="single"/>
        </w:rPr>
        <w:t>il</w:t>
      </w:r>
      <w:r>
        <w:rPr>
          <w:spacing w:val="-3"/>
          <w:u w:val="single"/>
        </w:rPr>
        <w:t>u</w:t>
      </w:r>
      <w:r>
        <w:rPr>
          <w:spacing w:val="1"/>
          <w:u w:val="single"/>
        </w:rPr>
        <w:t>l</w:t>
      </w:r>
      <w:r>
        <w:rPr>
          <w:spacing w:val="-3"/>
          <w:u w:val="single"/>
        </w:rPr>
        <w:t>u</w:t>
      </w:r>
      <w:r>
        <w:rPr>
          <w:u w:val="single"/>
        </w:rPr>
        <w:t xml:space="preserve">i </w:t>
      </w:r>
      <w:r>
        <w:rPr>
          <w:spacing w:val="-1"/>
          <w:u w:val="single"/>
        </w:rPr>
        <w:t>d</w:t>
      </w:r>
      <w:r>
        <w:rPr>
          <w:u w:val="single"/>
        </w:rPr>
        <w:t>e s</w:t>
      </w:r>
      <w:r>
        <w:rPr>
          <w:spacing w:val="1"/>
          <w:u w:val="single"/>
        </w:rPr>
        <w:t>i</w:t>
      </w:r>
      <w:r>
        <w:rPr>
          <w:spacing w:val="-3"/>
          <w:u w:val="single"/>
        </w:rPr>
        <w:t>g</w:t>
      </w:r>
      <w:r>
        <w:rPr>
          <w:u w:val="single"/>
        </w:rPr>
        <w:t>ura</w:t>
      </w:r>
      <w:r>
        <w:rPr>
          <w:spacing w:val="-3"/>
          <w:u w:val="single"/>
        </w:rPr>
        <w:t>n</w:t>
      </w:r>
      <w:r>
        <w:rPr>
          <w:spacing w:val="1"/>
          <w:u w:val="single"/>
        </w:rPr>
        <w:t>ţă</w:t>
      </w:r>
    </w:p>
    <w:p w14:paraId="558A91F6" w14:textId="77777777" w:rsidR="00C04CAD" w:rsidRDefault="00C04CAD">
      <w:pPr>
        <w:tabs>
          <w:tab w:val="clear" w:pos="567"/>
        </w:tabs>
        <w:kinsoku w:val="0"/>
        <w:overflowPunct w:val="0"/>
        <w:autoSpaceDE w:val="0"/>
        <w:autoSpaceDN w:val="0"/>
        <w:adjustRightInd w:val="0"/>
        <w:spacing w:line="240" w:lineRule="auto"/>
      </w:pPr>
    </w:p>
    <w:p w14:paraId="400E6495" w14:textId="77777777" w:rsidR="00C04CAD" w:rsidRDefault="00060E34">
      <w:pPr>
        <w:tabs>
          <w:tab w:val="clear" w:pos="567"/>
        </w:tabs>
        <w:kinsoku w:val="0"/>
        <w:overflowPunct w:val="0"/>
        <w:autoSpaceDE w:val="0"/>
        <w:autoSpaceDN w:val="0"/>
        <w:adjustRightInd w:val="0"/>
        <w:spacing w:line="240" w:lineRule="auto"/>
      </w:pPr>
      <w:r>
        <w:rPr>
          <w:rFonts w:eastAsia="MS Mincho"/>
          <w:spacing w:val="-1"/>
          <w:szCs w:val="22"/>
          <w:lang w:eastAsia="en-US" w:bidi="ar-SA"/>
        </w:rPr>
        <w:t>Adalimumab</w:t>
      </w:r>
      <w:r>
        <w:t xml:space="preserve"> a fo</w:t>
      </w:r>
      <w:r>
        <w:rPr>
          <w:spacing w:val="-2"/>
        </w:rPr>
        <w:t>s</w:t>
      </w:r>
      <w:r>
        <w:t>t</w:t>
      </w:r>
      <w:r>
        <w:rPr>
          <w:spacing w:val="1"/>
        </w:rPr>
        <w:t xml:space="preserve"> </w:t>
      </w:r>
      <w:r>
        <w:rPr>
          <w:spacing w:val="-2"/>
        </w:rPr>
        <w:t>s</w:t>
      </w:r>
      <w:r>
        <w:rPr>
          <w:spacing w:val="1"/>
        </w:rPr>
        <w:t>t</w:t>
      </w:r>
      <w:r>
        <w:t>u</w:t>
      </w:r>
      <w:r>
        <w:rPr>
          <w:spacing w:val="-3"/>
        </w:rPr>
        <w:t>d</w:t>
      </w:r>
      <w:r>
        <w:rPr>
          <w:spacing w:val="1"/>
        </w:rPr>
        <w:t>i</w:t>
      </w:r>
      <w:r>
        <w:rPr>
          <w:spacing w:val="-3"/>
        </w:rPr>
        <w:t>a</w:t>
      </w:r>
      <w:r>
        <w:t>t</w:t>
      </w:r>
      <w:r>
        <w:rPr>
          <w:spacing w:val="1"/>
        </w:rPr>
        <w:t xml:space="preserve"> l</w:t>
      </w:r>
      <w:r>
        <w:t>a</w:t>
      </w:r>
      <w:r>
        <w:rPr>
          <w:spacing w:val="-2"/>
        </w:rPr>
        <w:t xml:space="preserve"> </w:t>
      </w:r>
      <w:r>
        <w:t>95</w:t>
      </w:r>
      <w:r>
        <w:rPr>
          <w:spacing w:val="-3"/>
        </w:rPr>
        <w:t>0</w:t>
      </w:r>
      <w:r>
        <w:t>6 pa</w:t>
      </w:r>
      <w:r>
        <w:rPr>
          <w:spacing w:val="-3"/>
        </w:rPr>
        <w:t>c</w:t>
      </w:r>
      <w:r>
        <w:rPr>
          <w:spacing w:val="1"/>
        </w:rPr>
        <w:t>i</w:t>
      </w:r>
      <w:r>
        <w:t>e</w:t>
      </w:r>
      <w:r>
        <w:rPr>
          <w:spacing w:val="-3"/>
        </w:rPr>
        <w:t>n</w:t>
      </w:r>
      <w:r>
        <w:rPr>
          <w:spacing w:val="1"/>
        </w:rPr>
        <w:t>ţ</w:t>
      </w:r>
      <w:r>
        <w:t>i</w:t>
      </w:r>
      <w:r>
        <w:rPr>
          <w:spacing w:val="-2"/>
        </w:rPr>
        <w:t xml:space="preserve"> </w:t>
      </w:r>
      <w:r>
        <w:rPr>
          <w:spacing w:val="1"/>
        </w:rPr>
        <w:t>î</w:t>
      </w:r>
      <w:r>
        <w:t xml:space="preserve">n </w:t>
      </w:r>
      <w:r>
        <w:rPr>
          <w:spacing w:val="-3"/>
        </w:rPr>
        <w:t>c</w:t>
      </w:r>
      <w:r>
        <w:t>adr</w:t>
      </w:r>
      <w:r>
        <w:rPr>
          <w:spacing w:val="-3"/>
        </w:rPr>
        <w:t>u</w:t>
      </w:r>
      <w:r>
        <w:t>l</w:t>
      </w:r>
      <w:r>
        <w:rPr>
          <w:spacing w:val="1"/>
        </w:rPr>
        <w:t xml:space="preserve"> </w:t>
      </w:r>
      <w:r>
        <w:t>un</w:t>
      </w:r>
      <w:r>
        <w:rPr>
          <w:spacing w:val="-3"/>
        </w:rPr>
        <w:t>o</w:t>
      </w:r>
      <w:r>
        <w:t>r</w:t>
      </w:r>
      <w:r>
        <w:rPr>
          <w:spacing w:val="1"/>
        </w:rPr>
        <w:t xml:space="preserve"> </w:t>
      </w:r>
      <w:r>
        <w:rPr>
          <w:spacing w:val="-2"/>
        </w:rPr>
        <w:t>st</w:t>
      </w:r>
      <w:r>
        <w:t>ud</w:t>
      </w:r>
      <w:r>
        <w:rPr>
          <w:spacing w:val="1"/>
        </w:rPr>
        <w:t>i</w:t>
      </w:r>
      <w:r>
        <w:t>i</w:t>
      </w:r>
      <w:r>
        <w:rPr>
          <w:spacing w:val="-2"/>
        </w:rPr>
        <w:t xml:space="preserve"> </w:t>
      </w:r>
      <w:r>
        <w:t>c</w:t>
      </w:r>
      <w:r>
        <w:rPr>
          <w:spacing w:val="-2"/>
        </w:rPr>
        <w:t>l</w:t>
      </w:r>
      <w:r>
        <w:rPr>
          <w:spacing w:val="1"/>
        </w:rPr>
        <w:t>i</w:t>
      </w:r>
      <w:r>
        <w:rPr>
          <w:spacing w:val="-3"/>
        </w:rPr>
        <w:t>n</w:t>
      </w:r>
      <w:r>
        <w:rPr>
          <w:spacing w:val="1"/>
        </w:rPr>
        <w:t>i</w:t>
      </w:r>
      <w:r>
        <w:t xml:space="preserve">ce </w:t>
      </w:r>
      <w:r>
        <w:rPr>
          <w:spacing w:val="-3"/>
        </w:rPr>
        <w:t>p</w:t>
      </w:r>
      <w:r>
        <w:rPr>
          <w:spacing w:val="1"/>
        </w:rPr>
        <w:t>i</w:t>
      </w:r>
      <w:r>
        <w:rPr>
          <w:spacing w:val="-3"/>
        </w:rPr>
        <w:t>v</w:t>
      </w:r>
      <w:r>
        <w:t>ot</w:t>
      </w:r>
      <w:r>
        <w:rPr>
          <w:spacing w:val="1"/>
        </w:rPr>
        <w:t xml:space="preserve"> </w:t>
      </w:r>
      <w:r>
        <w:rPr>
          <w:spacing w:val="-3"/>
        </w:rPr>
        <w:t>p</w:t>
      </w:r>
      <w:r>
        <w:rPr>
          <w:spacing w:val="1"/>
        </w:rPr>
        <w:t>l</w:t>
      </w:r>
      <w:r>
        <w:t>ac</w:t>
      </w:r>
      <w:r>
        <w:rPr>
          <w:spacing w:val="-3"/>
        </w:rPr>
        <w:t>e</w:t>
      </w:r>
      <w:r>
        <w:t>bo</w:t>
      </w:r>
      <w:r>
        <w:rPr>
          <w:spacing w:val="-5"/>
        </w:rPr>
        <w:t>-</w:t>
      </w:r>
      <w:r>
        <w:t>con</w:t>
      </w:r>
      <w:r>
        <w:rPr>
          <w:spacing w:val="1"/>
        </w:rPr>
        <w:t>t</w:t>
      </w:r>
      <w:r>
        <w:t>r</w:t>
      </w:r>
      <w:r>
        <w:rPr>
          <w:spacing w:val="-3"/>
        </w:rPr>
        <w:t>o</w:t>
      </w:r>
      <w:r>
        <w:rPr>
          <w:spacing w:val="1"/>
        </w:rPr>
        <w:t>l</w:t>
      </w:r>
      <w:r>
        <w:rPr>
          <w:spacing w:val="-3"/>
        </w:rPr>
        <w:t>a</w:t>
      </w:r>
      <w:r>
        <w:rPr>
          <w:spacing w:val="1"/>
        </w:rPr>
        <w:t>t</w:t>
      </w:r>
      <w:r>
        <w:t>e</w:t>
      </w:r>
      <w:r>
        <w:rPr>
          <w:spacing w:val="-2"/>
        </w:rPr>
        <w:t xml:space="preserve"> </w:t>
      </w:r>
      <w:r>
        <w:t>şi</w:t>
      </w:r>
      <w:r>
        <w:rPr>
          <w:spacing w:val="1"/>
        </w:rPr>
        <w:t xml:space="preserve"> </w:t>
      </w:r>
      <w:r>
        <w:rPr>
          <w:spacing w:val="-3"/>
        </w:rPr>
        <w:t>d</w:t>
      </w:r>
      <w:r>
        <w:t>esc</w:t>
      </w:r>
      <w:r>
        <w:rPr>
          <w:spacing w:val="-3"/>
        </w:rPr>
        <w:t>h</w:t>
      </w:r>
      <w:r>
        <w:rPr>
          <w:spacing w:val="1"/>
        </w:rPr>
        <w:t>i</w:t>
      </w:r>
      <w:r>
        <w:rPr>
          <w:spacing w:val="-2"/>
        </w:rPr>
        <w:t>s</w:t>
      </w:r>
      <w:r>
        <w:t>e o pe</w:t>
      </w:r>
      <w:r>
        <w:rPr>
          <w:spacing w:val="-2"/>
        </w:rPr>
        <w:t>r</w:t>
      </w:r>
      <w:r>
        <w:rPr>
          <w:spacing w:val="1"/>
        </w:rPr>
        <w:t>i</w:t>
      </w:r>
      <w:r>
        <w:t>oa</w:t>
      </w:r>
      <w:r>
        <w:rPr>
          <w:spacing w:val="-3"/>
        </w:rPr>
        <w:t>d</w:t>
      </w:r>
      <w:r>
        <w:t xml:space="preserve">ă de </w:t>
      </w:r>
      <w:r>
        <w:rPr>
          <w:spacing w:val="-3"/>
        </w:rPr>
        <w:t>p</w:t>
      </w:r>
      <w:r>
        <w:t>ână</w:t>
      </w:r>
      <w:r>
        <w:rPr>
          <w:spacing w:val="-2"/>
        </w:rPr>
        <w:t xml:space="preserve"> </w:t>
      </w:r>
      <w:r>
        <w:rPr>
          <w:spacing w:val="1"/>
        </w:rPr>
        <w:t>l</w:t>
      </w:r>
      <w:r>
        <w:t xml:space="preserve">a </w:t>
      </w:r>
      <w:r>
        <w:rPr>
          <w:spacing w:val="-3"/>
        </w:rPr>
        <w:t>6</w:t>
      </w:r>
      <w:r>
        <w:t xml:space="preserve">0 </w:t>
      </w:r>
      <w:r>
        <w:rPr>
          <w:spacing w:val="1"/>
        </w:rPr>
        <w:t>l</w:t>
      </w:r>
      <w:r>
        <w:rPr>
          <w:spacing w:val="-3"/>
        </w:rPr>
        <w:t>u</w:t>
      </w:r>
      <w:r>
        <w:t>ni</w:t>
      </w:r>
      <w:r>
        <w:rPr>
          <w:spacing w:val="1"/>
        </w:rPr>
        <w:t xml:space="preserve"> </w:t>
      </w:r>
      <w:r>
        <w:t>s</w:t>
      </w:r>
      <w:r>
        <w:rPr>
          <w:spacing w:val="-3"/>
        </w:rPr>
        <w:t>a</w:t>
      </w:r>
      <w:r>
        <w:t>u pe</w:t>
      </w:r>
      <w:r>
        <w:rPr>
          <w:spacing w:val="-2"/>
        </w:rPr>
        <w:t>s</w:t>
      </w:r>
      <w:r>
        <w:rPr>
          <w:spacing w:val="1"/>
        </w:rPr>
        <w:t>t</w:t>
      </w:r>
      <w:r>
        <w:t xml:space="preserve">e. </w:t>
      </w:r>
      <w:r>
        <w:rPr>
          <w:spacing w:val="-4"/>
        </w:rPr>
        <w:t>A</w:t>
      </w:r>
      <w:r>
        <w:t>ce</w:t>
      </w:r>
      <w:r>
        <w:rPr>
          <w:spacing w:val="-2"/>
        </w:rPr>
        <w:t>s</w:t>
      </w:r>
      <w:r>
        <w:rPr>
          <w:spacing w:val="1"/>
        </w:rPr>
        <w:t>t</w:t>
      </w:r>
      <w:r>
        <w:t xml:space="preserve">e </w:t>
      </w:r>
      <w:r>
        <w:rPr>
          <w:spacing w:val="-2"/>
        </w:rPr>
        <w:t>s</w:t>
      </w:r>
      <w:r>
        <w:rPr>
          <w:spacing w:val="1"/>
        </w:rPr>
        <w:t>t</w:t>
      </w:r>
      <w:r>
        <w:t>u</w:t>
      </w:r>
      <w:r>
        <w:rPr>
          <w:spacing w:val="-3"/>
        </w:rPr>
        <w:t>d</w:t>
      </w:r>
      <w:r>
        <w:rPr>
          <w:spacing w:val="1"/>
        </w:rPr>
        <w:t>i</w:t>
      </w:r>
      <w:r>
        <w:t>i</w:t>
      </w:r>
      <w:r>
        <w:rPr>
          <w:spacing w:val="-2"/>
        </w:rPr>
        <w:t xml:space="preserve"> </w:t>
      </w:r>
      <w:r>
        <w:rPr>
          <w:spacing w:val="-3"/>
        </w:rPr>
        <w:t>a</w:t>
      </w:r>
      <w:r>
        <w:t xml:space="preserve">u </w:t>
      </w:r>
      <w:r>
        <w:rPr>
          <w:spacing w:val="1"/>
        </w:rPr>
        <w:t>i</w:t>
      </w:r>
      <w:r>
        <w:t>n</w:t>
      </w:r>
      <w:r>
        <w:rPr>
          <w:spacing w:val="-3"/>
        </w:rPr>
        <w:t>c</w:t>
      </w:r>
      <w:r>
        <w:rPr>
          <w:spacing w:val="1"/>
        </w:rPr>
        <w:t>l</w:t>
      </w:r>
      <w:r>
        <w:t>us</w:t>
      </w:r>
      <w:r>
        <w:rPr>
          <w:spacing w:val="-2"/>
        </w:rPr>
        <w:t xml:space="preserve"> </w:t>
      </w:r>
      <w:r>
        <w:t>pa</w:t>
      </w:r>
      <w:r>
        <w:rPr>
          <w:spacing w:val="-3"/>
        </w:rPr>
        <w:t>c</w:t>
      </w:r>
      <w:r>
        <w:rPr>
          <w:spacing w:val="1"/>
        </w:rPr>
        <w:t>i</w:t>
      </w:r>
      <w:r>
        <w:t>e</w:t>
      </w:r>
      <w:r>
        <w:rPr>
          <w:spacing w:val="-3"/>
        </w:rPr>
        <w:t>n</w:t>
      </w:r>
      <w:r>
        <w:rPr>
          <w:spacing w:val="1"/>
        </w:rPr>
        <w:t>ţ</w:t>
      </w:r>
      <w:r>
        <w:t>i</w:t>
      </w:r>
      <w:r>
        <w:rPr>
          <w:spacing w:val="-2"/>
        </w:rPr>
        <w:t xml:space="preserve"> </w:t>
      </w:r>
      <w:r>
        <w:t>cu p</w:t>
      </w:r>
      <w:r>
        <w:rPr>
          <w:spacing w:val="-3"/>
        </w:rPr>
        <w:t>o</w:t>
      </w:r>
      <w:r>
        <w:rPr>
          <w:spacing w:val="1"/>
        </w:rPr>
        <w:t>l</w:t>
      </w:r>
      <w:r>
        <w:rPr>
          <w:spacing w:val="-2"/>
        </w:rPr>
        <w:t>i</w:t>
      </w:r>
      <w:r>
        <w:t>a</w:t>
      </w:r>
      <w:r>
        <w:rPr>
          <w:spacing w:val="-2"/>
        </w:rPr>
        <w:t>r</w:t>
      </w:r>
      <w:r>
        <w:rPr>
          <w:spacing w:val="1"/>
        </w:rPr>
        <w:t>t</w:t>
      </w:r>
      <w:r>
        <w:rPr>
          <w:spacing w:val="-2"/>
        </w:rPr>
        <w:t>r</w:t>
      </w:r>
      <w:r>
        <w:rPr>
          <w:spacing w:val="1"/>
        </w:rPr>
        <w:t>it</w:t>
      </w:r>
      <w:r>
        <w:t>ă</w:t>
      </w:r>
      <w:r>
        <w:rPr>
          <w:spacing w:val="-2"/>
        </w:rPr>
        <w:t xml:space="preserve"> </w:t>
      </w:r>
      <w:r>
        <w:t>reu</w:t>
      </w:r>
      <w:r>
        <w:rPr>
          <w:spacing w:val="-4"/>
        </w:rPr>
        <w:t>m</w:t>
      </w:r>
      <w:r>
        <w:t>a</w:t>
      </w:r>
      <w:r>
        <w:rPr>
          <w:spacing w:val="1"/>
        </w:rPr>
        <w:t>t</w:t>
      </w:r>
      <w:r>
        <w:rPr>
          <w:spacing w:val="-3"/>
        </w:rPr>
        <w:t>o</w:t>
      </w:r>
      <w:r>
        <w:rPr>
          <w:spacing w:val="1"/>
        </w:rPr>
        <w:t>i</w:t>
      </w:r>
      <w:r>
        <w:t xml:space="preserve">dă </w:t>
      </w:r>
      <w:r>
        <w:rPr>
          <w:spacing w:val="-3"/>
        </w:rPr>
        <w:t>d</w:t>
      </w:r>
      <w:r>
        <w:t xml:space="preserve">e </w:t>
      </w:r>
      <w:r>
        <w:rPr>
          <w:spacing w:val="1"/>
        </w:rPr>
        <w:t>l</w:t>
      </w:r>
      <w:r>
        <w:t>un</w:t>
      </w:r>
      <w:r>
        <w:rPr>
          <w:spacing w:val="-3"/>
        </w:rPr>
        <w:t>g</w:t>
      </w:r>
      <w:r>
        <w:t>ă du</w:t>
      </w:r>
      <w:r>
        <w:rPr>
          <w:spacing w:val="-2"/>
        </w:rPr>
        <w:t>r</w:t>
      </w:r>
      <w:r>
        <w:t>a</w:t>
      </w:r>
      <w:r>
        <w:rPr>
          <w:spacing w:val="1"/>
        </w:rPr>
        <w:t>t</w:t>
      </w:r>
      <w:r>
        <w:t>ă</w:t>
      </w:r>
      <w:r>
        <w:rPr>
          <w:spacing w:val="-2"/>
        </w:rPr>
        <w:t xml:space="preserve"> </w:t>
      </w:r>
      <w:r>
        <w:t>sau</w:t>
      </w:r>
      <w:r>
        <w:rPr>
          <w:spacing w:val="-3"/>
        </w:rPr>
        <w:t xml:space="preserve"> </w:t>
      </w:r>
      <w:r>
        <w:t xml:space="preserve">cu </w:t>
      </w:r>
      <w:r>
        <w:rPr>
          <w:spacing w:val="-2"/>
        </w:rPr>
        <w:t>i</w:t>
      </w:r>
      <w:r>
        <w:t>ns</w:t>
      </w:r>
      <w:r>
        <w:rPr>
          <w:spacing w:val="-2"/>
        </w:rPr>
        <w:t>t</w:t>
      </w:r>
      <w:r>
        <w:t>a</w:t>
      </w:r>
      <w:r>
        <w:rPr>
          <w:spacing w:val="-2"/>
        </w:rPr>
        <w:t>l</w:t>
      </w:r>
      <w:r>
        <w:t>a</w:t>
      </w:r>
      <w:r>
        <w:rPr>
          <w:spacing w:val="-2"/>
        </w:rPr>
        <w:t>r</w:t>
      </w:r>
      <w:r>
        <w:t>e re</w:t>
      </w:r>
      <w:r>
        <w:rPr>
          <w:spacing w:val="-3"/>
        </w:rPr>
        <w:t>c</w:t>
      </w:r>
      <w:r>
        <w:t>en</w:t>
      </w:r>
      <w:r>
        <w:rPr>
          <w:spacing w:val="-2"/>
        </w:rPr>
        <w:t>t</w:t>
      </w:r>
      <w:r>
        <w:t xml:space="preserve">ă, </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t>o</w:t>
      </w:r>
      <w:r>
        <w:rPr>
          <w:spacing w:val="-2"/>
        </w:rPr>
        <w:t>i</w:t>
      </w:r>
      <w:r>
        <w:rPr>
          <w:spacing w:val="-3"/>
        </w:rPr>
        <w:t>d</w:t>
      </w:r>
      <w:r>
        <w:t>ă</w:t>
      </w:r>
      <w:r>
        <w:rPr>
          <w:spacing w:val="-2"/>
        </w:rPr>
        <w:t xml:space="preserve"> </w:t>
      </w:r>
      <w:r>
        <w:rPr>
          <w:spacing w:val="3"/>
        </w:rPr>
        <w:t>j</w:t>
      </w:r>
      <w:r>
        <w:t>u</w:t>
      </w:r>
      <w:r>
        <w:rPr>
          <w:spacing w:val="-3"/>
        </w:rPr>
        <w:t>v</w:t>
      </w:r>
      <w:r>
        <w:t>en</w:t>
      </w:r>
      <w:r>
        <w:rPr>
          <w:spacing w:val="-2"/>
        </w:rPr>
        <w:t>i</w:t>
      </w:r>
      <w:r>
        <w:rPr>
          <w:spacing w:val="1"/>
        </w:rPr>
        <w:t>l</w:t>
      </w:r>
      <w:r>
        <w:t>ă</w:t>
      </w:r>
      <w:r>
        <w:rPr>
          <w:spacing w:val="-2"/>
        </w:rPr>
        <w:t xml:space="preserve"> </w:t>
      </w:r>
      <w:r>
        <w:rPr>
          <w:spacing w:val="1"/>
        </w:rPr>
        <w:t>i</w:t>
      </w:r>
      <w:r>
        <w:t>d</w:t>
      </w:r>
      <w:r>
        <w:rPr>
          <w:spacing w:val="-2"/>
        </w:rPr>
        <w:t>i</w:t>
      </w:r>
      <w:r>
        <w:t>op</w:t>
      </w:r>
      <w:r>
        <w:rPr>
          <w:spacing w:val="-3"/>
        </w:rPr>
        <w:t>a</w:t>
      </w:r>
      <w:r>
        <w:rPr>
          <w:spacing w:val="1"/>
        </w:rPr>
        <w:t>ti</w:t>
      </w:r>
      <w:r>
        <w:rPr>
          <w:spacing w:val="-3"/>
        </w:rPr>
        <w:t>c</w:t>
      </w:r>
      <w:r>
        <w:t xml:space="preserve">ă </w:t>
      </w:r>
      <w:r>
        <w:rPr>
          <w:spacing w:val="-2"/>
        </w:rPr>
        <w:t>(</w:t>
      </w:r>
      <w:r>
        <w:t>a</w:t>
      </w:r>
      <w:r>
        <w:rPr>
          <w:spacing w:val="-2"/>
        </w:rPr>
        <w:t>r</w:t>
      </w:r>
      <w:r>
        <w:rPr>
          <w:spacing w:val="1"/>
        </w:rPr>
        <w:t>t</w:t>
      </w:r>
      <w:r>
        <w:rPr>
          <w:spacing w:val="-2"/>
        </w:rPr>
        <w:t>r</w:t>
      </w:r>
      <w:r>
        <w:rPr>
          <w:spacing w:val="1"/>
        </w:rPr>
        <w:t>it</w:t>
      </w:r>
      <w:r>
        <w:t>ă</w:t>
      </w:r>
      <w:r>
        <w:rPr>
          <w:spacing w:val="-5"/>
        </w:rPr>
        <w:t xml:space="preserve"> </w:t>
      </w:r>
      <w:r>
        <w:rPr>
          <w:spacing w:val="3"/>
        </w:rPr>
        <w:t>j</w:t>
      </w:r>
      <w:r>
        <w:t>u</w:t>
      </w:r>
      <w:r>
        <w:rPr>
          <w:spacing w:val="-3"/>
        </w:rPr>
        <w:t>v</w:t>
      </w:r>
      <w:r>
        <w:t>en</w:t>
      </w:r>
      <w:r>
        <w:rPr>
          <w:spacing w:val="1"/>
        </w:rPr>
        <w:t>i</w:t>
      </w:r>
      <w:r>
        <w:rPr>
          <w:spacing w:val="-2"/>
        </w:rPr>
        <w:t>l</w:t>
      </w:r>
      <w:r>
        <w:t xml:space="preserve">ă </w:t>
      </w:r>
      <w:r>
        <w:rPr>
          <w:spacing w:val="-2"/>
        </w:rPr>
        <w:t>i</w:t>
      </w:r>
      <w:r>
        <w:t>d</w:t>
      </w:r>
      <w:r>
        <w:rPr>
          <w:spacing w:val="1"/>
        </w:rPr>
        <w:t>i</w:t>
      </w:r>
      <w:r>
        <w:t>o</w:t>
      </w:r>
      <w:r>
        <w:rPr>
          <w:spacing w:val="-3"/>
        </w:rPr>
        <w:t>p</w:t>
      </w:r>
      <w:r>
        <w:t>a</w:t>
      </w:r>
      <w:r>
        <w:rPr>
          <w:spacing w:val="-2"/>
        </w:rPr>
        <w:t>t</w:t>
      </w:r>
      <w:r>
        <w:rPr>
          <w:spacing w:val="1"/>
        </w:rPr>
        <w:t>i</w:t>
      </w:r>
      <w:r>
        <w:t>că for</w:t>
      </w:r>
      <w:r>
        <w:rPr>
          <w:spacing w:val="-4"/>
        </w:rPr>
        <w:t>m</w:t>
      </w:r>
      <w:r>
        <w:t>a po</w:t>
      </w:r>
      <w:r>
        <w:rPr>
          <w:spacing w:val="-2"/>
        </w:rPr>
        <w:t>l</w:t>
      </w:r>
      <w:r>
        <w:rPr>
          <w:spacing w:val="1"/>
        </w:rPr>
        <w:t>i</w:t>
      </w:r>
      <w:r>
        <w:t>a</w:t>
      </w:r>
      <w:r>
        <w:rPr>
          <w:spacing w:val="-2"/>
        </w:rPr>
        <w:t>r</w:t>
      </w:r>
      <w:r>
        <w:rPr>
          <w:spacing w:val="1"/>
        </w:rPr>
        <w:t>t</w:t>
      </w:r>
      <w:r>
        <w:rPr>
          <w:spacing w:val="-2"/>
        </w:rPr>
        <w:t>i</w:t>
      </w:r>
      <w:r>
        <w:t>cu</w:t>
      </w:r>
      <w:r>
        <w:rPr>
          <w:spacing w:val="-2"/>
        </w:rPr>
        <w:t>l</w:t>
      </w:r>
      <w:r>
        <w:t>a</w:t>
      </w:r>
      <w:r>
        <w:rPr>
          <w:spacing w:val="-2"/>
        </w:rPr>
        <w:t>r</w:t>
      </w:r>
      <w:r>
        <w:t>ă şi</w:t>
      </w:r>
      <w:r>
        <w:rPr>
          <w:spacing w:val="-2"/>
        </w:rPr>
        <w:t xml:space="preserve"> </w:t>
      </w:r>
      <w:r>
        <w:t>a</w:t>
      </w:r>
      <w:r>
        <w:rPr>
          <w:spacing w:val="-2"/>
        </w:rPr>
        <w:t>r</w:t>
      </w:r>
      <w:r>
        <w:rPr>
          <w:spacing w:val="1"/>
        </w:rPr>
        <w:t>t</w:t>
      </w:r>
      <w:r>
        <w:rPr>
          <w:spacing w:val="-2"/>
        </w:rPr>
        <w:t>r</w:t>
      </w:r>
      <w:r>
        <w:rPr>
          <w:spacing w:val="1"/>
        </w:rPr>
        <w:t>i</w:t>
      </w:r>
      <w:r>
        <w:rPr>
          <w:spacing w:val="-2"/>
        </w:rPr>
        <w:t>t</w:t>
      </w:r>
      <w:r>
        <w:t>ă as</w:t>
      </w:r>
      <w:r>
        <w:rPr>
          <w:spacing w:val="-3"/>
        </w:rPr>
        <w:t>o</w:t>
      </w:r>
      <w:r>
        <w:t>c</w:t>
      </w:r>
      <w:r>
        <w:rPr>
          <w:spacing w:val="1"/>
        </w:rPr>
        <w:t>i</w:t>
      </w:r>
      <w:r>
        <w:rPr>
          <w:spacing w:val="-3"/>
        </w:rPr>
        <w:t>a</w:t>
      </w:r>
      <w:r>
        <w:rPr>
          <w:spacing w:val="1"/>
        </w:rPr>
        <w:t>t</w:t>
      </w:r>
      <w:r>
        <w:t>ă</w:t>
      </w:r>
      <w:r>
        <w:rPr>
          <w:spacing w:val="-2"/>
        </w:rPr>
        <w:t xml:space="preserve"> </w:t>
      </w:r>
      <w:r>
        <w:t>en</w:t>
      </w:r>
      <w:r>
        <w:rPr>
          <w:spacing w:val="-2"/>
        </w:rPr>
        <w:t>t</w:t>
      </w:r>
      <w:r>
        <w:t>e</w:t>
      </w:r>
      <w:r>
        <w:rPr>
          <w:spacing w:val="-3"/>
        </w:rPr>
        <w:t>z</w:t>
      </w:r>
      <w:r>
        <w:rPr>
          <w:spacing w:val="1"/>
        </w:rPr>
        <w:t>it</w:t>
      </w:r>
      <w:r>
        <w:rPr>
          <w:spacing w:val="-3"/>
        </w:rPr>
        <w:t>e</w:t>
      </w:r>
      <w:r>
        <w:rPr>
          <w:spacing w:val="1"/>
        </w:rPr>
        <w:t>i</w:t>
      </w:r>
      <w:r>
        <w:t>),</w:t>
      </w:r>
      <w:r>
        <w:rPr>
          <w:spacing w:val="-3"/>
        </w:rPr>
        <w:t xml:space="preserve"> </w:t>
      </w:r>
      <w:r>
        <w:t>pr</w:t>
      </w:r>
      <w:r>
        <w:rPr>
          <w:spacing w:val="-3"/>
        </w:rPr>
        <w:t>e</w:t>
      </w:r>
      <w:r>
        <w:t>c</w:t>
      </w:r>
      <w:r>
        <w:rPr>
          <w:spacing w:val="-3"/>
        </w:rPr>
        <w:t>u</w:t>
      </w:r>
      <w:r>
        <w:t>m</w:t>
      </w:r>
      <w:r>
        <w:rPr>
          <w:spacing w:val="-4"/>
        </w:rPr>
        <w:t xml:space="preserve"> </w:t>
      </w:r>
      <w:r>
        <w:t>şi</w:t>
      </w:r>
      <w:r>
        <w:rPr>
          <w:spacing w:val="1"/>
        </w:rPr>
        <w:t xml:space="preserve"> </w:t>
      </w:r>
      <w:r>
        <w:t>pac</w:t>
      </w:r>
      <w:r>
        <w:rPr>
          <w:spacing w:val="1"/>
        </w:rPr>
        <w:t>i</w:t>
      </w:r>
      <w:r>
        <w:t>e</w:t>
      </w:r>
      <w:r>
        <w:rPr>
          <w:spacing w:val="-3"/>
        </w:rPr>
        <w:t>n</w:t>
      </w:r>
      <w:r>
        <w:rPr>
          <w:spacing w:val="-2"/>
        </w:rPr>
        <w:t>ţ</w:t>
      </w:r>
      <w:r>
        <w:t>i</w:t>
      </w:r>
      <w:r>
        <w:rPr>
          <w:spacing w:val="1"/>
        </w:rPr>
        <w:t xml:space="preserve"> </w:t>
      </w:r>
      <w:r>
        <w:t>cu</w:t>
      </w:r>
      <w:r>
        <w:rPr>
          <w:spacing w:val="-3"/>
        </w:rPr>
        <w:t xml:space="preserve"> </w:t>
      </w:r>
      <w:r>
        <w:t>spon</w:t>
      </w:r>
      <w:r>
        <w:rPr>
          <w:spacing w:val="-3"/>
        </w:rPr>
        <w:t>d</w:t>
      </w:r>
      <w:r>
        <w:rPr>
          <w:spacing w:val="1"/>
        </w:rPr>
        <w:t>il</w:t>
      </w:r>
      <w:r>
        <w:rPr>
          <w:spacing w:val="-3"/>
        </w:rPr>
        <w:t>o</w:t>
      </w:r>
      <w:r>
        <w:t>a</w:t>
      </w:r>
      <w:r>
        <w:rPr>
          <w:spacing w:val="-2"/>
        </w:rPr>
        <w:t>rt</w:t>
      </w:r>
      <w:r>
        <w:t>r</w:t>
      </w:r>
      <w:r>
        <w:rPr>
          <w:spacing w:val="-2"/>
        </w:rPr>
        <w:t>i</w:t>
      </w:r>
      <w:r>
        <w:rPr>
          <w:spacing w:val="1"/>
        </w:rPr>
        <w:t>t</w:t>
      </w:r>
      <w:r>
        <w:t>ă a</w:t>
      </w:r>
      <w:r>
        <w:rPr>
          <w:spacing w:val="-3"/>
        </w:rPr>
        <w:t>x</w:t>
      </w:r>
      <w:r>
        <w:rPr>
          <w:spacing w:val="1"/>
        </w:rPr>
        <w:t>i</w:t>
      </w:r>
      <w:r>
        <w:rPr>
          <w:spacing w:val="-3"/>
        </w:rPr>
        <w:t>a</w:t>
      </w:r>
      <w:r>
        <w:rPr>
          <w:spacing w:val="1"/>
        </w:rPr>
        <w:t>l</w:t>
      </w:r>
      <w:r>
        <w:t>ă (spon</w:t>
      </w:r>
      <w:r>
        <w:rPr>
          <w:spacing w:val="-3"/>
        </w:rPr>
        <w:t>d</w:t>
      </w:r>
      <w:r>
        <w:rPr>
          <w:spacing w:val="-2"/>
        </w:rPr>
        <w:t>i</w:t>
      </w:r>
      <w:r>
        <w:rPr>
          <w:spacing w:val="1"/>
        </w:rPr>
        <w:t>l</w:t>
      </w:r>
      <w:r>
        <w:rPr>
          <w:spacing w:val="-2"/>
        </w:rPr>
        <w:t>i</w:t>
      </w:r>
      <w:r>
        <w:rPr>
          <w:spacing w:val="1"/>
        </w:rPr>
        <w:t>t</w:t>
      </w:r>
      <w:r>
        <w:t>ă a</w:t>
      </w:r>
      <w:r>
        <w:rPr>
          <w:spacing w:val="-3"/>
        </w:rPr>
        <w:t>n</w:t>
      </w:r>
      <w:r>
        <w:t>ch</w:t>
      </w:r>
      <w:r>
        <w:rPr>
          <w:spacing w:val="-2"/>
        </w:rPr>
        <w:t>i</w:t>
      </w:r>
      <w:r>
        <w:rPr>
          <w:spacing w:val="1"/>
        </w:rPr>
        <w:t>l</w:t>
      </w:r>
      <w:r>
        <w:t>o</w:t>
      </w:r>
      <w:r>
        <w:rPr>
          <w:spacing w:val="-3"/>
        </w:rPr>
        <w:t>z</w:t>
      </w:r>
      <w:r>
        <w:t>an</w:t>
      </w:r>
      <w:r>
        <w:rPr>
          <w:spacing w:val="-2"/>
        </w:rPr>
        <w:t>t</w:t>
      </w:r>
      <w:r>
        <w:t xml:space="preserve">ă </w:t>
      </w:r>
      <w:r>
        <w:rPr>
          <w:spacing w:val="-2"/>
        </w:rPr>
        <w:t>ş</w:t>
      </w:r>
      <w:r>
        <w:t>i</w:t>
      </w:r>
      <w:r>
        <w:rPr>
          <w:spacing w:val="1"/>
        </w:rPr>
        <w:t xml:space="preserve"> </w:t>
      </w:r>
      <w:r>
        <w:rPr>
          <w:spacing w:val="-2"/>
        </w:rPr>
        <w:t>s</w:t>
      </w:r>
      <w:r>
        <w:t>pond</w:t>
      </w:r>
      <w:r>
        <w:rPr>
          <w:spacing w:val="-2"/>
        </w:rPr>
        <w:t>i</w:t>
      </w:r>
      <w:r>
        <w:rPr>
          <w:spacing w:val="1"/>
        </w:rPr>
        <w:t>l</w:t>
      </w:r>
      <w:r>
        <w:t>o</w:t>
      </w:r>
      <w:r>
        <w:rPr>
          <w:spacing w:val="-3"/>
        </w:rPr>
        <w:t>a</w:t>
      </w:r>
      <w:r>
        <w:t>r</w:t>
      </w:r>
      <w:r>
        <w:rPr>
          <w:spacing w:val="-2"/>
        </w:rPr>
        <w:t>t</w:t>
      </w:r>
      <w:r>
        <w:t>r</w:t>
      </w:r>
      <w:r>
        <w:rPr>
          <w:spacing w:val="-2"/>
        </w:rPr>
        <w:t>i</w:t>
      </w:r>
      <w:r>
        <w:rPr>
          <w:spacing w:val="1"/>
        </w:rPr>
        <w:t>t</w:t>
      </w:r>
      <w:r>
        <w:t xml:space="preserve">ă </w:t>
      </w:r>
      <w:r>
        <w:rPr>
          <w:spacing w:val="-3"/>
        </w:rPr>
        <w:t>a</w:t>
      </w:r>
      <w:r>
        <w:t>x</w:t>
      </w:r>
      <w:r>
        <w:rPr>
          <w:spacing w:val="1"/>
        </w:rPr>
        <w:t>i</w:t>
      </w:r>
      <w:r>
        <w:rPr>
          <w:spacing w:val="-3"/>
        </w:rPr>
        <w:t>a</w:t>
      </w:r>
      <w:r>
        <w:rPr>
          <w:spacing w:val="1"/>
        </w:rPr>
        <w:t>l</w:t>
      </w:r>
      <w:r>
        <w:t>ă</w:t>
      </w:r>
      <w:r>
        <w:rPr>
          <w:spacing w:val="-2"/>
        </w:rPr>
        <w:t xml:space="preserve"> </w:t>
      </w:r>
      <w:r>
        <w:t>f</w:t>
      </w:r>
      <w:r>
        <w:rPr>
          <w:spacing w:val="-3"/>
        </w:rPr>
        <w:t>ă</w:t>
      </w:r>
      <w:r>
        <w:t>ră d</w:t>
      </w:r>
      <w:r>
        <w:rPr>
          <w:spacing w:val="-3"/>
        </w:rPr>
        <w:t>ov</w:t>
      </w:r>
      <w:r>
        <w:t>adă ra</w:t>
      </w:r>
      <w:r>
        <w:rPr>
          <w:spacing w:val="-3"/>
        </w:rPr>
        <w:t>d</w:t>
      </w:r>
      <w:r>
        <w:rPr>
          <w:spacing w:val="1"/>
        </w:rPr>
        <w:t>i</w:t>
      </w:r>
      <w:r>
        <w:t>o</w:t>
      </w:r>
      <w:r>
        <w:rPr>
          <w:spacing w:val="1"/>
        </w:rPr>
        <w:t>l</w:t>
      </w:r>
      <w:r>
        <w:t>o</w:t>
      </w:r>
      <w:r>
        <w:rPr>
          <w:spacing w:val="-3"/>
        </w:rPr>
        <w:t>g</w:t>
      </w:r>
      <w:r>
        <w:rPr>
          <w:spacing w:val="1"/>
        </w:rPr>
        <w:t>i</w:t>
      </w:r>
      <w:r>
        <w:rPr>
          <w:spacing w:val="-3"/>
        </w:rPr>
        <w:t>c</w:t>
      </w:r>
      <w:r>
        <w:t xml:space="preserve">ă a </w:t>
      </w:r>
      <w:r>
        <w:rPr>
          <w:spacing w:val="-2"/>
        </w:rPr>
        <w:t>s</w:t>
      </w:r>
      <w:r>
        <w:t>pon</w:t>
      </w:r>
      <w:r>
        <w:rPr>
          <w:spacing w:val="-3"/>
        </w:rPr>
        <w:t>d</w:t>
      </w:r>
      <w:r>
        <w:rPr>
          <w:spacing w:val="1"/>
        </w:rPr>
        <w:t>i</w:t>
      </w:r>
      <w:r>
        <w:rPr>
          <w:spacing w:val="-2"/>
        </w:rPr>
        <w:t>l</w:t>
      </w:r>
      <w:r>
        <w:rPr>
          <w:spacing w:val="1"/>
        </w:rPr>
        <w:t>i</w:t>
      </w:r>
      <w:r>
        <w:rPr>
          <w:spacing w:val="-2"/>
        </w:rPr>
        <w:t>t</w:t>
      </w:r>
      <w:r>
        <w:t>ei</w:t>
      </w:r>
      <w:r>
        <w:rPr>
          <w:spacing w:val="1"/>
        </w:rPr>
        <w:t xml:space="preserve"> </w:t>
      </w:r>
      <w:r>
        <w:t>a</w:t>
      </w:r>
      <w:r>
        <w:rPr>
          <w:spacing w:val="-3"/>
        </w:rPr>
        <w:t>n</w:t>
      </w:r>
      <w:r>
        <w:t>ch</w:t>
      </w:r>
      <w:r>
        <w:rPr>
          <w:spacing w:val="-2"/>
        </w:rPr>
        <w:t>i</w:t>
      </w:r>
      <w:r>
        <w:rPr>
          <w:spacing w:val="1"/>
        </w:rPr>
        <w:t>l</w:t>
      </w:r>
      <w:r>
        <w:t>o</w:t>
      </w:r>
      <w:r>
        <w:rPr>
          <w:spacing w:val="-3"/>
        </w:rPr>
        <w:t>z</w:t>
      </w:r>
      <w:r>
        <w:t>an</w:t>
      </w:r>
      <w:r>
        <w:rPr>
          <w:spacing w:val="-2"/>
        </w:rPr>
        <w:t>t</w:t>
      </w:r>
      <w:r>
        <w:t>e), ar</w:t>
      </w:r>
      <w:r>
        <w:rPr>
          <w:spacing w:val="-2"/>
        </w:rPr>
        <w:t>t</w:t>
      </w:r>
      <w:r>
        <w:t>r</w:t>
      </w:r>
      <w:r>
        <w:rPr>
          <w:spacing w:val="-2"/>
        </w:rPr>
        <w:t>i</w:t>
      </w:r>
      <w:r>
        <w:rPr>
          <w:spacing w:val="1"/>
        </w:rPr>
        <w:t>t</w:t>
      </w:r>
      <w:r>
        <w:t xml:space="preserve">ă </w:t>
      </w:r>
      <w:r>
        <w:rPr>
          <w:spacing w:val="-3"/>
        </w:rPr>
        <w:t>p</w:t>
      </w:r>
      <w:r>
        <w:t>so</w:t>
      </w:r>
      <w:r>
        <w:rPr>
          <w:spacing w:val="-2"/>
        </w:rPr>
        <w:t>r</w:t>
      </w:r>
      <w:r>
        <w:rPr>
          <w:spacing w:val="1"/>
        </w:rPr>
        <w:t>i</w:t>
      </w:r>
      <w:r>
        <w:t>a</w:t>
      </w:r>
      <w:r>
        <w:rPr>
          <w:spacing w:val="-3"/>
        </w:rPr>
        <w:t>z</w:t>
      </w:r>
      <w:r>
        <w:rPr>
          <w:spacing w:val="1"/>
        </w:rPr>
        <w:t>i</w:t>
      </w:r>
      <w:r>
        <w:rPr>
          <w:spacing w:val="-3"/>
        </w:rPr>
        <w:t>c</w:t>
      </w:r>
      <w:r>
        <w:t>ă, bo</w:t>
      </w:r>
      <w:r>
        <w:rPr>
          <w:spacing w:val="-3"/>
        </w:rPr>
        <w:t>a</w:t>
      </w:r>
      <w:r>
        <w:rPr>
          <w:spacing w:val="1"/>
        </w:rPr>
        <w:t>l</w:t>
      </w:r>
      <w:r>
        <w:t xml:space="preserve">ă </w:t>
      </w:r>
      <w:r>
        <w:rPr>
          <w:spacing w:val="-4"/>
        </w:rPr>
        <w:t>C</w:t>
      </w:r>
      <w:r>
        <w:t>r</w:t>
      </w:r>
      <w:r>
        <w:rPr>
          <w:spacing w:val="-3"/>
        </w:rPr>
        <w:t>o</w:t>
      </w:r>
      <w:r>
        <w:t>hn, co</w:t>
      </w:r>
      <w:r>
        <w:rPr>
          <w:spacing w:val="-2"/>
        </w:rPr>
        <w:t>li</w:t>
      </w:r>
      <w:r>
        <w:rPr>
          <w:spacing w:val="1"/>
        </w:rPr>
        <w:t>t</w:t>
      </w:r>
      <w:r>
        <w:t xml:space="preserve">ă </w:t>
      </w:r>
      <w:r>
        <w:rPr>
          <w:spacing w:val="-3"/>
        </w:rPr>
        <w:t>u</w:t>
      </w:r>
      <w:r>
        <w:rPr>
          <w:spacing w:val="1"/>
        </w:rPr>
        <w:t>l</w:t>
      </w:r>
      <w:r>
        <w:t>c</w:t>
      </w:r>
      <w:r>
        <w:rPr>
          <w:spacing w:val="-3"/>
        </w:rPr>
        <w:t>e</w:t>
      </w:r>
      <w:r>
        <w:t>r</w:t>
      </w:r>
      <w:r>
        <w:rPr>
          <w:spacing w:val="-3"/>
        </w:rPr>
        <w:t>a</w:t>
      </w:r>
      <w:r>
        <w:rPr>
          <w:spacing w:val="1"/>
        </w:rPr>
        <w:t>ti</w:t>
      </w:r>
      <w:r>
        <w:rPr>
          <w:spacing w:val="-3"/>
        </w:rPr>
        <w:t>v</w:t>
      </w:r>
      <w:r>
        <w:t>ă, ps</w:t>
      </w:r>
      <w:r>
        <w:rPr>
          <w:spacing w:val="-3"/>
        </w:rPr>
        <w:t>o</w:t>
      </w:r>
      <w:r>
        <w:t>r</w:t>
      </w:r>
      <w:r>
        <w:rPr>
          <w:spacing w:val="-2"/>
        </w:rPr>
        <w:t>iaz</w:t>
      </w:r>
      <w:r>
        <w:rPr>
          <w:spacing w:val="1"/>
        </w:rPr>
        <w:t>i</w:t>
      </w:r>
      <w:r>
        <w:t>s, h</w:t>
      </w:r>
      <w:r>
        <w:rPr>
          <w:spacing w:val="1"/>
        </w:rPr>
        <w:t>i</w:t>
      </w:r>
      <w:r>
        <w:rPr>
          <w:spacing w:val="-3"/>
        </w:rPr>
        <w:t>d</w:t>
      </w:r>
      <w:r>
        <w:t>ros</w:t>
      </w:r>
      <w:r>
        <w:rPr>
          <w:spacing w:val="-3"/>
        </w:rPr>
        <w:t>a</w:t>
      </w:r>
      <w:r>
        <w:t>de</w:t>
      </w:r>
      <w:r>
        <w:rPr>
          <w:spacing w:val="-3"/>
        </w:rPr>
        <w:t>n</w:t>
      </w:r>
      <w:r>
        <w:rPr>
          <w:spacing w:val="1"/>
        </w:rPr>
        <w:t>it</w:t>
      </w:r>
      <w:r>
        <w:t>ă</w:t>
      </w:r>
      <w:r>
        <w:rPr>
          <w:spacing w:val="-2"/>
        </w:rPr>
        <w:t xml:space="preserve"> </w:t>
      </w:r>
      <w:r>
        <w:t>sup</w:t>
      </w:r>
      <w:r>
        <w:rPr>
          <w:spacing w:val="-3"/>
        </w:rPr>
        <w:t>u</w:t>
      </w:r>
      <w:r>
        <w:t>r</w:t>
      </w:r>
      <w:r>
        <w:rPr>
          <w:spacing w:val="-3"/>
        </w:rPr>
        <w:t>a</w:t>
      </w:r>
      <w:r>
        <w:rPr>
          <w:spacing w:val="1"/>
        </w:rPr>
        <w:t>ti</w:t>
      </w:r>
      <w:r>
        <w:rPr>
          <w:spacing w:val="-3"/>
        </w:rPr>
        <w:t>v</w:t>
      </w:r>
      <w:r>
        <w:t>ă şi</w:t>
      </w:r>
      <w:r>
        <w:rPr>
          <w:spacing w:val="1"/>
        </w:rPr>
        <w:t xml:space="preserve"> </w:t>
      </w:r>
      <w:r>
        <w:t>u</w:t>
      </w:r>
      <w:r>
        <w:rPr>
          <w:spacing w:val="-3"/>
        </w:rPr>
        <w:t>v</w:t>
      </w:r>
      <w:r>
        <w:t>e</w:t>
      </w:r>
      <w:r>
        <w:rPr>
          <w:spacing w:val="-2"/>
        </w:rPr>
        <w:t>i</w:t>
      </w:r>
      <w:r>
        <w:rPr>
          <w:spacing w:val="1"/>
        </w:rPr>
        <w:t>t</w:t>
      </w:r>
      <w:r>
        <w:t xml:space="preserve">ă. </w:t>
      </w:r>
      <w:r>
        <w:rPr>
          <w:spacing w:val="-4"/>
        </w:rPr>
        <w:t>Î</w:t>
      </w:r>
      <w:r>
        <w:t>n s</w:t>
      </w:r>
      <w:r>
        <w:rPr>
          <w:spacing w:val="1"/>
        </w:rPr>
        <w:t>t</w:t>
      </w:r>
      <w:r>
        <w:t>u</w:t>
      </w:r>
      <w:r>
        <w:rPr>
          <w:spacing w:val="-3"/>
        </w:rPr>
        <w:t>d</w:t>
      </w:r>
      <w:r>
        <w:rPr>
          <w:spacing w:val="1"/>
        </w:rPr>
        <w:t>i</w:t>
      </w:r>
      <w:r>
        <w:t>i con</w:t>
      </w:r>
      <w:r>
        <w:rPr>
          <w:spacing w:val="-2"/>
        </w:rPr>
        <w:t>t</w:t>
      </w:r>
      <w:r>
        <w:t>ro</w:t>
      </w:r>
      <w:r>
        <w:rPr>
          <w:spacing w:val="-2"/>
        </w:rPr>
        <w:t>l</w:t>
      </w:r>
      <w:r>
        <w:t>a</w:t>
      </w:r>
      <w:r>
        <w:rPr>
          <w:spacing w:val="1"/>
        </w:rPr>
        <w:t>t</w:t>
      </w:r>
      <w:r>
        <w:t>e</w:t>
      </w:r>
      <w:r>
        <w:rPr>
          <w:spacing w:val="-2"/>
        </w:rPr>
        <w:t xml:space="preserve"> </w:t>
      </w:r>
      <w:r>
        <w:t>p</w:t>
      </w:r>
      <w:r>
        <w:rPr>
          <w:spacing w:val="1"/>
        </w:rPr>
        <w:t>i</w:t>
      </w:r>
      <w:r>
        <w:rPr>
          <w:spacing w:val="-3"/>
        </w:rPr>
        <w:t>v</w:t>
      </w:r>
      <w:r>
        <w:t>ot</w:t>
      </w:r>
      <w:r>
        <w:rPr>
          <w:spacing w:val="-2"/>
        </w:rPr>
        <w:t xml:space="preserve"> </w:t>
      </w:r>
      <w:r>
        <w:t>au f</w:t>
      </w:r>
      <w:r>
        <w:rPr>
          <w:spacing w:val="-3"/>
        </w:rPr>
        <w:t>o</w:t>
      </w:r>
      <w:r>
        <w:t>st</w:t>
      </w:r>
      <w:r>
        <w:rPr>
          <w:spacing w:val="-2"/>
        </w:rPr>
        <w:t xml:space="preserve"> </w:t>
      </w:r>
      <w:r>
        <w:rPr>
          <w:spacing w:val="1"/>
        </w:rPr>
        <w:t>i</w:t>
      </w:r>
      <w:r>
        <w:rPr>
          <w:spacing w:val="-4"/>
        </w:rPr>
        <w:t>m</w:t>
      </w:r>
      <w:r>
        <w:t>p</w:t>
      </w:r>
      <w:r>
        <w:rPr>
          <w:spacing w:val="1"/>
        </w:rPr>
        <w:t>li</w:t>
      </w:r>
      <w:r>
        <w:rPr>
          <w:spacing w:val="-3"/>
        </w:rPr>
        <w:t>c</w:t>
      </w:r>
      <w:r>
        <w:t>a</w:t>
      </w:r>
      <w:r>
        <w:rPr>
          <w:spacing w:val="-2"/>
        </w:rPr>
        <w:t>ţ</w:t>
      </w:r>
      <w:r>
        <w:t>i</w:t>
      </w:r>
      <w:r>
        <w:rPr>
          <w:spacing w:val="1"/>
        </w:rPr>
        <w:t xml:space="preserve"> </w:t>
      </w:r>
      <w:r>
        <w:t>6089</w:t>
      </w:r>
      <w:r>
        <w:rPr>
          <w:spacing w:val="-3"/>
        </w:rPr>
        <w:t xml:space="preserve"> </w:t>
      </w:r>
      <w:r>
        <w:t>pa</w:t>
      </w:r>
      <w:r>
        <w:rPr>
          <w:spacing w:val="-3"/>
        </w:rPr>
        <w:t>c</w:t>
      </w:r>
      <w:r>
        <w:rPr>
          <w:spacing w:val="1"/>
        </w:rPr>
        <w:t>i</w:t>
      </w:r>
      <w:r>
        <w:t>e</w:t>
      </w:r>
      <w:r>
        <w:rPr>
          <w:spacing w:val="-3"/>
        </w:rPr>
        <w:t>n</w:t>
      </w:r>
      <w:r>
        <w:rPr>
          <w:spacing w:val="1"/>
        </w:rPr>
        <w:t>ţ</w:t>
      </w:r>
      <w:r>
        <w:t>i</w:t>
      </w:r>
      <w:r>
        <w:rPr>
          <w:spacing w:val="-2"/>
        </w:rPr>
        <w:t xml:space="preserve"> </w:t>
      </w:r>
      <w:r>
        <w:t>c</w:t>
      </w:r>
      <w:r>
        <w:rPr>
          <w:spacing w:val="-3"/>
        </w:rPr>
        <w:t>a</w:t>
      </w:r>
      <w:r>
        <w:t>re au</w:t>
      </w:r>
      <w:r>
        <w:rPr>
          <w:spacing w:val="-5"/>
        </w:rPr>
        <w:t xml:space="preserve"> </w:t>
      </w:r>
      <w:r>
        <w:t>pr</w:t>
      </w:r>
      <w:r>
        <w:rPr>
          <w:spacing w:val="1"/>
        </w:rPr>
        <w:t>i</w:t>
      </w:r>
      <w:r>
        <w:rPr>
          <w:spacing w:val="-4"/>
        </w:rPr>
        <w:t>m</w:t>
      </w:r>
      <w:r>
        <w:rPr>
          <w:spacing w:val="1"/>
        </w:rPr>
        <w:t>i</w:t>
      </w:r>
      <w:r>
        <w:t>t</w:t>
      </w:r>
      <w:r>
        <w:rPr>
          <w:spacing w:val="1"/>
        </w:rPr>
        <w:t xml:space="preserve"> </w:t>
      </w:r>
      <w:r>
        <w:rPr>
          <w:rFonts w:eastAsia="MS Mincho"/>
          <w:spacing w:val="-1"/>
          <w:szCs w:val="22"/>
          <w:lang w:eastAsia="en-US" w:bidi="ar-SA"/>
        </w:rPr>
        <w:t>adalimumab</w:t>
      </w:r>
      <w:r>
        <w:t xml:space="preserve"> </w:t>
      </w:r>
      <w:r>
        <w:rPr>
          <w:spacing w:val="-2"/>
        </w:rPr>
        <w:t>ş</w:t>
      </w:r>
      <w:r>
        <w:t>i 38</w:t>
      </w:r>
      <w:r>
        <w:rPr>
          <w:spacing w:val="-3"/>
        </w:rPr>
        <w:t>0</w:t>
      </w:r>
      <w:r>
        <w:t>1 p</w:t>
      </w:r>
      <w:r>
        <w:rPr>
          <w:spacing w:val="-3"/>
        </w:rPr>
        <w:t>a</w:t>
      </w:r>
      <w:r>
        <w:t>c</w:t>
      </w:r>
      <w:r>
        <w:rPr>
          <w:spacing w:val="-2"/>
        </w:rPr>
        <w:t>i</w:t>
      </w:r>
      <w:r>
        <w:t>en</w:t>
      </w:r>
      <w:r>
        <w:rPr>
          <w:spacing w:val="-2"/>
        </w:rPr>
        <w:t>ţ</w:t>
      </w:r>
      <w:r>
        <w:t>i</w:t>
      </w:r>
      <w:r>
        <w:rPr>
          <w:spacing w:val="1"/>
        </w:rPr>
        <w:t xml:space="preserve"> </w:t>
      </w:r>
      <w:r>
        <w:t>c</w:t>
      </w:r>
      <w:r>
        <w:rPr>
          <w:spacing w:val="-3"/>
        </w:rPr>
        <w:t>a</w:t>
      </w:r>
      <w:r>
        <w:t xml:space="preserve">re </w:t>
      </w:r>
      <w:r>
        <w:rPr>
          <w:spacing w:val="-3"/>
        </w:rPr>
        <w:t>a</w:t>
      </w:r>
      <w:r>
        <w:t>u p</w:t>
      </w:r>
      <w:r>
        <w:rPr>
          <w:spacing w:val="-2"/>
        </w:rPr>
        <w:t>r</w:t>
      </w:r>
      <w:r>
        <w:rPr>
          <w:spacing w:val="1"/>
        </w:rPr>
        <w:t>i</w:t>
      </w:r>
      <w:r>
        <w:rPr>
          <w:spacing w:val="-4"/>
        </w:rPr>
        <w:t>m</w:t>
      </w:r>
      <w:r>
        <w:rPr>
          <w:spacing w:val="1"/>
        </w:rPr>
        <w:t>i</w:t>
      </w:r>
      <w:r>
        <w:t>t p</w:t>
      </w:r>
      <w:r>
        <w:rPr>
          <w:spacing w:val="1"/>
        </w:rPr>
        <w:t>l</w:t>
      </w:r>
      <w:r>
        <w:t>a</w:t>
      </w:r>
      <w:r>
        <w:rPr>
          <w:spacing w:val="-3"/>
        </w:rPr>
        <w:t>c</w:t>
      </w:r>
      <w:r>
        <w:t xml:space="preserve">ebo </w:t>
      </w:r>
      <w:r>
        <w:rPr>
          <w:spacing w:val="-2"/>
        </w:rPr>
        <w:t>s</w:t>
      </w:r>
      <w:r>
        <w:t>au un</w:t>
      </w:r>
      <w:r>
        <w:rPr>
          <w:spacing w:val="-3"/>
        </w:rPr>
        <w:t xml:space="preserve"> </w:t>
      </w:r>
      <w:r>
        <w:t>co</w:t>
      </w:r>
      <w:r>
        <w:rPr>
          <w:spacing w:val="-4"/>
        </w:rPr>
        <w:t>m</w:t>
      </w:r>
      <w:r>
        <w:t>para</w:t>
      </w:r>
      <w:r>
        <w:rPr>
          <w:spacing w:val="1"/>
        </w:rPr>
        <w:t>t</w:t>
      </w:r>
      <w:r>
        <w:rPr>
          <w:spacing w:val="-3"/>
        </w:rPr>
        <w:t>o</w:t>
      </w:r>
      <w:r>
        <w:t>r</w:t>
      </w:r>
      <w:r>
        <w:rPr>
          <w:spacing w:val="-2"/>
        </w:rPr>
        <w:t xml:space="preserve"> </w:t>
      </w:r>
      <w:r>
        <w:t>ac</w:t>
      </w:r>
      <w:r>
        <w:rPr>
          <w:spacing w:val="-2"/>
        </w:rPr>
        <w:t>t</w:t>
      </w:r>
      <w:r>
        <w:rPr>
          <w:spacing w:val="1"/>
        </w:rPr>
        <w:t>i</w:t>
      </w:r>
      <w:r>
        <w:t>v</w:t>
      </w:r>
      <w:r>
        <w:rPr>
          <w:spacing w:val="-3"/>
        </w:rPr>
        <w:t xml:space="preserve"> </w:t>
      </w:r>
      <w:r>
        <w:rPr>
          <w:spacing w:val="1"/>
        </w:rPr>
        <w:t>î</w:t>
      </w:r>
      <w:r>
        <w:t>n p</w:t>
      </w:r>
      <w:r>
        <w:rPr>
          <w:spacing w:val="-3"/>
        </w:rPr>
        <w:t>e</w:t>
      </w:r>
      <w:r>
        <w:t>r</w:t>
      </w:r>
      <w:r>
        <w:rPr>
          <w:spacing w:val="1"/>
        </w:rPr>
        <w:t>i</w:t>
      </w:r>
      <w:r>
        <w:rPr>
          <w:spacing w:val="-3"/>
        </w:rPr>
        <w:t>o</w:t>
      </w:r>
      <w:r>
        <w:t xml:space="preserve">ada </w:t>
      </w:r>
      <w:r>
        <w:rPr>
          <w:spacing w:val="-3"/>
        </w:rPr>
        <w:t>d</w:t>
      </w:r>
      <w:r>
        <w:t>e co</w:t>
      </w:r>
      <w:r>
        <w:rPr>
          <w:spacing w:val="-3"/>
        </w:rPr>
        <w:t>n</w:t>
      </w:r>
      <w:r>
        <w:rPr>
          <w:spacing w:val="1"/>
        </w:rPr>
        <w:t>t</w:t>
      </w:r>
      <w:r>
        <w:rPr>
          <w:spacing w:val="-2"/>
        </w:rPr>
        <w:t>r</w:t>
      </w:r>
      <w:r>
        <w:t>o</w:t>
      </w:r>
      <w:r>
        <w:rPr>
          <w:spacing w:val="-2"/>
        </w:rPr>
        <w:t>l</w:t>
      </w:r>
      <w:r>
        <w:t>.</w:t>
      </w:r>
    </w:p>
    <w:p w14:paraId="03357648" w14:textId="77777777" w:rsidR="00C04CAD" w:rsidRDefault="00C04CAD">
      <w:pPr>
        <w:tabs>
          <w:tab w:val="clear" w:pos="567"/>
        </w:tabs>
        <w:kinsoku w:val="0"/>
        <w:overflowPunct w:val="0"/>
        <w:autoSpaceDE w:val="0"/>
        <w:autoSpaceDN w:val="0"/>
        <w:adjustRightInd w:val="0"/>
        <w:spacing w:line="240" w:lineRule="auto"/>
      </w:pPr>
    </w:p>
    <w:p w14:paraId="35076CF1" w14:textId="77777777" w:rsidR="00C04CAD" w:rsidRDefault="00060E34">
      <w:pPr>
        <w:tabs>
          <w:tab w:val="clear" w:pos="567"/>
        </w:tabs>
        <w:kinsoku w:val="0"/>
        <w:overflowPunct w:val="0"/>
        <w:autoSpaceDE w:val="0"/>
        <w:autoSpaceDN w:val="0"/>
        <w:adjustRightInd w:val="0"/>
        <w:spacing w:line="240" w:lineRule="auto"/>
      </w:pPr>
      <w:r>
        <w:rPr>
          <w:spacing w:val="-1"/>
        </w:rPr>
        <w:t>P</w:t>
      </w:r>
      <w:r>
        <w:t>roce</w:t>
      </w:r>
      <w:r>
        <w:rPr>
          <w:spacing w:val="-3"/>
        </w:rPr>
        <w:t>n</w:t>
      </w:r>
      <w:r>
        <w:rPr>
          <w:spacing w:val="1"/>
        </w:rPr>
        <w:t>t</w:t>
      </w:r>
      <w:r>
        <w:rPr>
          <w:spacing w:val="-3"/>
        </w:rPr>
        <w:t>u</w:t>
      </w:r>
      <w:r>
        <w:t>l</w:t>
      </w:r>
      <w:r>
        <w:rPr>
          <w:spacing w:val="1"/>
        </w:rPr>
        <w:t xml:space="preserve"> </w:t>
      </w:r>
      <w:r>
        <w:t>p</w:t>
      </w:r>
      <w:r>
        <w:rPr>
          <w:spacing w:val="-3"/>
        </w:rPr>
        <w:t>a</w:t>
      </w:r>
      <w:r>
        <w:t>c</w:t>
      </w:r>
      <w:r>
        <w:rPr>
          <w:spacing w:val="1"/>
        </w:rPr>
        <w:t>i</w:t>
      </w:r>
      <w:r>
        <w:rPr>
          <w:spacing w:val="-3"/>
        </w:rPr>
        <w:t>e</w:t>
      </w:r>
      <w:r>
        <w:t>n</w:t>
      </w:r>
      <w:r>
        <w:rPr>
          <w:spacing w:val="-2"/>
        </w:rPr>
        <w:t>ţ</w:t>
      </w:r>
      <w:r>
        <w:rPr>
          <w:spacing w:val="1"/>
        </w:rPr>
        <w:t>il</w:t>
      </w:r>
      <w:r>
        <w:rPr>
          <w:spacing w:val="-3"/>
        </w:rPr>
        <w:t>o</w:t>
      </w:r>
      <w:r>
        <w:t>r</w:t>
      </w:r>
      <w:r>
        <w:rPr>
          <w:spacing w:val="1"/>
        </w:rPr>
        <w:t xml:space="preserve"> </w:t>
      </w:r>
      <w:r>
        <w:t>c</w:t>
      </w:r>
      <w:r>
        <w:rPr>
          <w:spacing w:val="-3"/>
        </w:rPr>
        <w:t>a</w:t>
      </w:r>
      <w:r>
        <w:t>re</w:t>
      </w:r>
      <w:r>
        <w:rPr>
          <w:spacing w:val="-2"/>
        </w:rPr>
        <w:t xml:space="preserve"> </w:t>
      </w:r>
      <w:r>
        <w:rPr>
          <w:spacing w:val="-3"/>
        </w:rPr>
        <w:t>a</w:t>
      </w:r>
      <w:r>
        <w:t xml:space="preserve">u </w:t>
      </w:r>
      <w:r>
        <w:rPr>
          <w:spacing w:val="1"/>
        </w:rPr>
        <w:t>î</w:t>
      </w:r>
      <w:r>
        <w:t>n</w:t>
      </w:r>
      <w:r>
        <w:rPr>
          <w:spacing w:val="-2"/>
        </w:rPr>
        <w:t>t</w:t>
      </w:r>
      <w:r>
        <w:t>r</w:t>
      </w:r>
      <w:r>
        <w:rPr>
          <w:spacing w:val="-3"/>
        </w:rPr>
        <w:t>e</w:t>
      </w:r>
      <w:r>
        <w:t>ru</w:t>
      </w:r>
      <w:r>
        <w:rPr>
          <w:spacing w:val="-3"/>
        </w:rPr>
        <w:t>p</w:t>
      </w:r>
      <w:r>
        <w:t>t</w:t>
      </w:r>
      <w:r>
        <w:rPr>
          <w:spacing w:val="1"/>
        </w:rPr>
        <w:t xml:space="preserve"> </w:t>
      </w:r>
      <w:r>
        <w:rPr>
          <w:spacing w:val="-2"/>
        </w:rPr>
        <w:t>t</w:t>
      </w:r>
      <w:r>
        <w:t>r</w:t>
      </w:r>
      <w:r>
        <w:rPr>
          <w:spacing w:val="-3"/>
        </w:rPr>
        <w:t>a</w:t>
      </w:r>
      <w:r>
        <w:rPr>
          <w:spacing w:val="1"/>
        </w:rPr>
        <w:t>t</w:t>
      </w:r>
      <w:r>
        <w:t>a</w:t>
      </w:r>
      <w:r>
        <w:rPr>
          <w:spacing w:val="-4"/>
        </w:rPr>
        <w:t>m</w:t>
      </w:r>
      <w:r>
        <w:t>en</w:t>
      </w:r>
      <w:r>
        <w:rPr>
          <w:spacing w:val="1"/>
        </w:rPr>
        <w:t>t</w:t>
      </w:r>
      <w:r>
        <w:t>ul</w:t>
      </w:r>
      <w:r>
        <w:rPr>
          <w:spacing w:val="1"/>
        </w:rPr>
        <w:t xml:space="preserve"> </w:t>
      </w:r>
      <w:r>
        <w:rPr>
          <w:spacing w:val="-3"/>
        </w:rPr>
        <w:t>din cauza</w:t>
      </w:r>
      <w:r>
        <w:t xml:space="preserve"> e</w:t>
      </w:r>
      <w:r>
        <w:rPr>
          <w:spacing w:val="-3"/>
        </w:rPr>
        <w:t>v</w:t>
      </w:r>
      <w:r>
        <w:t>en</w:t>
      </w:r>
      <w:r>
        <w:rPr>
          <w:spacing w:val="1"/>
        </w:rPr>
        <w:t>i</w:t>
      </w:r>
      <w:r>
        <w:rPr>
          <w:spacing w:val="-4"/>
        </w:rPr>
        <w:t>m</w:t>
      </w:r>
      <w:r>
        <w:t>en</w:t>
      </w:r>
      <w:r>
        <w:rPr>
          <w:spacing w:val="1"/>
        </w:rPr>
        <w:t>t</w:t>
      </w:r>
      <w:r>
        <w:rPr>
          <w:spacing w:val="-3"/>
        </w:rPr>
        <w:t>e</w:t>
      </w:r>
      <w:r>
        <w:rPr>
          <w:spacing w:val="1"/>
        </w:rPr>
        <w:t>l</w:t>
      </w:r>
      <w:r>
        <w:rPr>
          <w:spacing w:val="-3"/>
        </w:rPr>
        <w:t>o</w:t>
      </w:r>
      <w:r>
        <w:t>r</w:t>
      </w:r>
      <w:r>
        <w:rPr>
          <w:spacing w:val="1"/>
        </w:rPr>
        <w:t xml:space="preserve"> </w:t>
      </w:r>
      <w:r>
        <w:t>ad</w:t>
      </w:r>
      <w:r>
        <w:rPr>
          <w:spacing w:val="-3"/>
        </w:rPr>
        <w:t>v</w:t>
      </w:r>
      <w:r>
        <w:t>er</w:t>
      </w:r>
      <w:r>
        <w:rPr>
          <w:spacing w:val="-2"/>
        </w:rPr>
        <w:t>s</w:t>
      </w:r>
      <w:r>
        <w:t xml:space="preserve">e </w:t>
      </w:r>
      <w:r>
        <w:rPr>
          <w:spacing w:val="-2"/>
        </w:rPr>
        <w:t>î</w:t>
      </w:r>
      <w:r>
        <w:t>n pe</w:t>
      </w:r>
      <w:r>
        <w:rPr>
          <w:spacing w:val="-2"/>
        </w:rPr>
        <w:t>r</w:t>
      </w:r>
      <w:r>
        <w:rPr>
          <w:spacing w:val="1"/>
        </w:rPr>
        <w:t>i</w:t>
      </w:r>
      <w:r>
        <w:t>oa</w:t>
      </w:r>
      <w:r>
        <w:rPr>
          <w:spacing w:val="-3"/>
        </w:rPr>
        <w:t>d</w:t>
      </w:r>
      <w:r>
        <w:t>a con</w:t>
      </w:r>
      <w:r>
        <w:rPr>
          <w:spacing w:val="-2"/>
        </w:rPr>
        <w:t>t</w:t>
      </w:r>
      <w:r>
        <w:t>ro</w:t>
      </w:r>
      <w:r>
        <w:rPr>
          <w:spacing w:val="-2"/>
        </w:rPr>
        <w:t>l</w:t>
      </w:r>
      <w:r>
        <w:t>a</w:t>
      </w:r>
      <w:r>
        <w:rPr>
          <w:spacing w:val="1"/>
        </w:rPr>
        <w:t>t</w:t>
      </w:r>
      <w:r>
        <w:t>ă</w:t>
      </w:r>
      <w:r>
        <w:rPr>
          <w:spacing w:val="-2"/>
        </w:rPr>
        <w:t xml:space="preserve"> </w:t>
      </w:r>
      <w:r>
        <w:t>du</w:t>
      </w:r>
      <w:r>
        <w:rPr>
          <w:spacing w:val="-3"/>
        </w:rPr>
        <w:t>b</w:t>
      </w:r>
      <w:r>
        <w:rPr>
          <w:spacing w:val="1"/>
        </w:rPr>
        <w:t>l</w:t>
      </w:r>
      <w:r>
        <w:t>u</w:t>
      </w:r>
      <w:r>
        <w:rPr>
          <w:spacing w:val="-4"/>
        </w:rPr>
        <w:t>-</w:t>
      </w:r>
      <w:r>
        <w:t>orb d</w:t>
      </w:r>
      <w:r>
        <w:rPr>
          <w:spacing w:val="1"/>
        </w:rPr>
        <w:t>i</w:t>
      </w:r>
      <w:r>
        <w:t xml:space="preserve">n </w:t>
      </w:r>
      <w:r>
        <w:rPr>
          <w:spacing w:val="-3"/>
        </w:rPr>
        <w:t>ca</w:t>
      </w:r>
      <w:r>
        <w:t>drul</w:t>
      </w:r>
      <w:r>
        <w:rPr>
          <w:spacing w:val="-2"/>
        </w:rPr>
        <w:t xml:space="preserve"> </w:t>
      </w:r>
      <w:r>
        <w:t>s</w:t>
      </w:r>
      <w:r>
        <w:rPr>
          <w:spacing w:val="1"/>
        </w:rPr>
        <w:t>t</w:t>
      </w:r>
      <w:r>
        <w:rPr>
          <w:spacing w:val="-3"/>
        </w:rPr>
        <w:t>u</w:t>
      </w:r>
      <w:r>
        <w:t>d</w:t>
      </w:r>
      <w:r>
        <w:rPr>
          <w:spacing w:val="-2"/>
        </w:rPr>
        <w:t>i</w:t>
      </w:r>
      <w:r>
        <w:rPr>
          <w:spacing w:val="1"/>
        </w:rPr>
        <w:t>il</w:t>
      </w:r>
      <w:r>
        <w:rPr>
          <w:spacing w:val="-3"/>
        </w:rPr>
        <w:t>o</w:t>
      </w:r>
      <w:r>
        <w:t>r</w:t>
      </w:r>
      <w:r>
        <w:rPr>
          <w:spacing w:val="1"/>
        </w:rPr>
        <w:t xml:space="preserve"> </w:t>
      </w:r>
      <w:r>
        <w:rPr>
          <w:spacing w:val="-3"/>
        </w:rPr>
        <w:t>p</w:t>
      </w:r>
      <w:r>
        <w:rPr>
          <w:spacing w:val="1"/>
        </w:rPr>
        <w:t>i</w:t>
      </w:r>
      <w:r>
        <w:rPr>
          <w:spacing w:val="-3"/>
        </w:rPr>
        <w:t>v</w:t>
      </w:r>
      <w:r>
        <w:t>ot</w:t>
      </w:r>
      <w:r>
        <w:rPr>
          <w:spacing w:val="1"/>
        </w:rPr>
        <w:t xml:space="preserve"> </w:t>
      </w:r>
      <w:r>
        <w:t xml:space="preserve">a </w:t>
      </w:r>
      <w:r>
        <w:rPr>
          <w:spacing w:val="-2"/>
        </w:rPr>
        <w:t>f</w:t>
      </w:r>
      <w:r>
        <w:t>ost</w:t>
      </w:r>
      <w:r>
        <w:rPr>
          <w:spacing w:val="-2"/>
        </w:rPr>
        <w:t xml:space="preserve"> </w:t>
      </w:r>
      <w:r>
        <w:t>de</w:t>
      </w:r>
      <w:r>
        <w:rPr>
          <w:spacing w:val="-2"/>
        </w:rPr>
        <w:t xml:space="preserve"> </w:t>
      </w:r>
      <w:r>
        <w:t>5,9%</w:t>
      </w:r>
      <w:r>
        <w:rPr>
          <w:spacing w:val="1"/>
        </w:rPr>
        <w:t xml:space="preserve"> </w:t>
      </w:r>
      <w:r>
        <w:rPr>
          <w:spacing w:val="-3"/>
        </w:rPr>
        <w:t>p</w:t>
      </w:r>
      <w:r>
        <w:t>en</w:t>
      </w:r>
      <w:r>
        <w:rPr>
          <w:spacing w:val="-2"/>
        </w:rPr>
        <w:t>t</w:t>
      </w:r>
      <w:r>
        <w:t xml:space="preserve">ru </w:t>
      </w:r>
      <w:r>
        <w:rPr>
          <w:spacing w:val="-3"/>
        </w:rPr>
        <w:t>p</w:t>
      </w:r>
      <w:r>
        <w:t>ac</w:t>
      </w:r>
      <w:r>
        <w:rPr>
          <w:spacing w:val="-2"/>
        </w:rPr>
        <w:t>i</w:t>
      </w:r>
      <w:r>
        <w:t>en</w:t>
      </w:r>
      <w:r>
        <w:rPr>
          <w:spacing w:val="-2"/>
        </w:rPr>
        <w:t>ţ</w:t>
      </w:r>
      <w:r>
        <w:rPr>
          <w:spacing w:val="1"/>
        </w:rPr>
        <w:t>i</w:t>
      </w:r>
      <w:r>
        <w:t>i</w:t>
      </w:r>
      <w:r>
        <w:rPr>
          <w:spacing w:val="-2"/>
        </w:rPr>
        <w:t xml:space="preserve"> </w:t>
      </w:r>
      <w:r>
        <w:t>c</w:t>
      </w:r>
      <w:r>
        <w:rPr>
          <w:spacing w:val="-3"/>
        </w:rPr>
        <w:t>a</w:t>
      </w:r>
      <w:r>
        <w:t>re</w:t>
      </w:r>
      <w:r>
        <w:rPr>
          <w:spacing w:val="-2"/>
        </w:rPr>
        <w:t xml:space="preserve"> </w:t>
      </w:r>
      <w:r>
        <w:t>au p</w:t>
      </w:r>
      <w:r>
        <w:rPr>
          <w:spacing w:val="-2"/>
        </w:rPr>
        <w:t>r</w:t>
      </w:r>
      <w:r>
        <w:rPr>
          <w:spacing w:val="1"/>
        </w:rPr>
        <w:t>i</w:t>
      </w:r>
      <w:r>
        <w:rPr>
          <w:spacing w:val="-4"/>
        </w:rPr>
        <w:t>m</w:t>
      </w:r>
      <w:r>
        <w:rPr>
          <w:spacing w:val="1"/>
        </w:rPr>
        <w:t>i</w:t>
      </w:r>
      <w:r>
        <w:t>t</w:t>
      </w:r>
      <w:r>
        <w:rPr>
          <w:spacing w:val="1"/>
        </w:rPr>
        <w:t xml:space="preserve"> </w:t>
      </w:r>
      <w:r>
        <w:rPr>
          <w:rFonts w:eastAsia="MS Mincho"/>
          <w:spacing w:val="-1"/>
          <w:szCs w:val="22"/>
          <w:lang w:eastAsia="en-US" w:bidi="ar-SA"/>
        </w:rPr>
        <w:t>adalimumab</w:t>
      </w:r>
      <w:r>
        <w:t xml:space="preserve"> şi 5,4%</w:t>
      </w:r>
      <w:r>
        <w:rPr>
          <w:spacing w:val="1"/>
        </w:rPr>
        <w:t xml:space="preserve"> </w:t>
      </w:r>
      <w:r>
        <w:rPr>
          <w:spacing w:val="-3"/>
        </w:rPr>
        <w:t>p</w:t>
      </w:r>
      <w:r>
        <w:t>en</w:t>
      </w:r>
      <w:r>
        <w:rPr>
          <w:spacing w:val="-2"/>
        </w:rPr>
        <w:t>t</w:t>
      </w:r>
      <w:r>
        <w:t xml:space="preserve">ru </w:t>
      </w:r>
      <w:r>
        <w:rPr>
          <w:spacing w:val="-3"/>
        </w:rPr>
        <w:t>g</w:t>
      </w:r>
      <w:r>
        <w:t>rup</w:t>
      </w:r>
      <w:r>
        <w:rPr>
          <w:spacing w:val="-3"/>
        </w:rPr>
        <w:t>u</w:t>
      </w:r>
      <w:r>
        <w:t>l</w:t>
      </w:r>
      <w:r>
        <w:rPr>
          <w:spacing w:val="1"/>
        </w:rPr>
        <w:t xml:space="preserve"> </w:t>
      </w:r>
      <w:r>
        <w:t>de</w:t>
      </w:r>
      <w:r>
        <w:rPr>
          <w:spacing w:val="-2"/>
        </w:rPr>
        <w:t xml:space="preserve"> </w:t>
      </w:r>
      <w:r>
        <w:t>con</w:t>
      </w:r>
      <w:r>
        <w:rPr>
          <w:spacing w:val="-2"/>
        </w:rPr>
        <w:t>t</w:t>
      </w:r>
      <w:r>
        <w:t>ro</w:t>
      </w:r>
      <w:r>
        <w:rPr>
          <w:spacing w:val="1"/>
        </w:rPr>
        <w:t>l</w:t>
      </w:r>
      <w:r>
        <w:t>.</w:t>
      </w:r>
    </w:p>
    <w:p w14:paraId="78EB29A6" w14:textId="77777777" w:rsidR="00C04CAD" w:rsidRDefault="00C04CAD">
      <w:pPr>
        <w:tabs>
          <w:tab w:val="clear" w:pos="567"/>
        </w:tabs>
        <w:kinsoku w:val="0"/>
        <w:overflowPunct w:val="0"/>
        <w:autoSpaceDE w:val="0"/>
        <w:autoSpaceDN w:val="0"/>
        <w:adjustRightInd w:val="0"/>
        <w:spacing w:line="240" w:lineRule="auto"/>
      </w:pPr>
    </w:p>
    <w:p w14:paraId="70A9BCD0" w14:textId="77777777" w:rsidR="00C04CAD" w:rsidRDefault="00060E34">
      <w:pPr>
        <w:tabs>
          <w:tab w:val="clear" w:pos="567"/>
        </w:tabs>
        <w:kinsoku w:val="0"/>
        <w:overflowPunct w:val="0"/>
        <w:autoSpaceDE w:val="0"/>
        <w:autoSpaceDN w:val="0"/>
        <w:adjustRightInd w:val="0"/>
        <w:spacing w:line="240" w:lineRule="auto"/>
      </w:pPr>
      <w:r>
        <w:rPr>
          <w:spacing w:val="-1"/>
        </w:rPr>
        <w:t>C</w:t>
      </w:r>
      <w:r>
        <w:t>e</w:t>
      </w:r>
      <w:r>
        <w:rPr>
          <w:spacing w:val="1"/>
        </w:rPr>
        <w:t>l</w:t>
      </w:r>
      <w:r>
        <w:t xml:space="preserve">e </w:t>
      </w:r>
      <w:r>
        <w:rPr>
          <w:spacing w:val="-4"/>
        </w:rPr>
        <w:t>m</w:t>
      </w:r>
      <w:r>
        <w:t>ai</w:t>
      </w:r>
      <w:r>
        <w:rPr>
          <w:spacing w:val="1"/>
        </w:rPr>
        <w:t xml:space="preserve"> </w:t>
      </w:r>
      <w:r>
        <w:rPr>
          <w:spacing w:val="-2"/>
        </w:rPr>
        <w:t>f</w:t>
      </w:r>
      <w:r>
        <w:t>rec</w:t>
      </w:r>
      <w:r>
        <w:rPr>
          <w:spacing w:val="-3"/>
        </w:rPr>
        <w:t>v</w:t>
      </w:r>
      <w:r>
        <w:t>en</w:t>
      </w:r>
      <w:r>
        <w:rPr>
          <w:spacing w:val="-2"/>
        </w:rPr>
        <w:t>t</w:t>
      </w:r>
      <w:r>
        <w:t xml:space="preserve">e </w:t>
      </w:r>
      <w:r>
        <w:rPr>
          <w:spacing w:val="-2"/>
        </w:rPr>
        <w:t>r</w:t>
      </w:r>
      <w:r>
        <w:t>ea</w:t>
      </w:r>
      <w:r>
        <w:rPr>
          <w:spacing w:val="-3"/>
        </w:rPr>
        <w:t>c</w:t>
      </w:r>
      <w:r>
        <w:rPr>
          <w:spacing w:val="1"/>
        </w:rPr>
        <w:t>ţ</w:t>
      </w:r>
      <w:r>
        <w:rPr>
          <w:spacing w:val="-2"/>
        </w:rPr>
        <w:t>i</w:t>
      </w:r>
      <w:r>
        <w:t>i</w:t>
      </w:r>
      <w:r>
        <w:rPr>
          <w:spacing w:val="1"/>
        </w:rPr>
        <w:t xml:space="preserve"> </w:t>
      </w:r>
      <w:r>
        <w:rPr>
          <w:spacing w:val="-3"/>
        </w:rPr>
        <w:t>a</w:t>
      </w:r>
      <w:r>
        <w:t>d</w:t>
      </w:r>
      <w:r>
        <w:rPr>
          <w:spacing w:val="-3"/>
        </w:rPr>
        <w:t>v</w:t>
      </w:r>
      <w:r>
        <w:t xml:space="preserve">erse </w:t>
      </w:r>
      <w:r>
        <w:rPr>
          <w:spacing w:val="-2"/>
        </w:rPr>
        <w:t>r</w:t>
      </w:r>
      <w:r>
        <w:t>apo</w:t>
      </w:r>
      <w:r>
        <w:rPr>
          <w:spacing w:val="-2"/>
        </w:rPr>
        <w:t>r</w:t>
      </w:r>
      <w:r>
        <w:rPr>
          <w:spacing w:val="1"/>
        </w:rPr>
        <w:t>t</w:t>
      </w:r>
      <w:r>
        <w:rPr>
          <w:spacing w:val="-3"/>
        </w:rPr>
        <w:t>a</w:t>
      </w:r>
      <w:r>
        <w:rPr>
          <w:spacing w:val="1"/>
        </w:rPr>
        <w:t>t</w:t>
      </w:r>
      <w:r>
        <w:t xml:space="preserve">e </w:t>
      </w:r>
      <w:r>
        <w:rPr>
          <w:spacing w:val="-2"/>
        </w:rPr>
        <w:t>s</w:t>
      </w:r>
      <w:r>
        <w:t>unt</w:t>
      </w:r>
      <w:r>
        <w:rPr>
          <w:spacing w:val="-2"/>
        </w:rPr>
        <w:t xml:space="preserve"> </w:t>
      </w:r>
      <w:r>
        <w:rPr>
          <w:spacing w:val="1"/>
        </w:rPr>
        <w:t>i</w:t>
      </w:r>
      <w:r>
        <w:rPr>
          <w:spacing w:val="-3"/>
        </w:rPr>
        <w:t>n</w:t>
      </w:r>
      <w:r>
        <w:t>fe</w:t>
      </w:r>
      <w:r>
        <w:rPr>
          <w:spacing w:val="-3"/>
        </w:rPr>
        <w:t>c</w:t>
      </w:r>
      <w:r>
        <w:rPr>
          <w:spacing w:val="1"/>
        </w:rPr>
        <w:t>ţ</w:t>
      </w:r>
      <w:r>
        <w:rPr>
          <w:spacing w:val="-2"/>
        </w:rPr>
        <w:t>i</w:t>
      </w:r>
      <w:r>
        <w:rPr>
          <w:spacing w:val="1"/>
        </w:rPr>
        <w:t>il</w:t>
      </w:r>
      <w:r>
        <w:t>e</w:t>
      </w:r>
      <w:r>
        <w:rPr>
          <w:spacing w:val="-2"/>
        </w:rPr>
        <w:t xml:space="preserve"> </w:t>
      </w:r>
      <w:r>
        <w:t>(cum</w:t>
      </w:r>
      <w:r>
        <w:rPr>
          <w:spacing w:val="-4"/>
        </w:rPr>
        <w:t xml:space="preserve"> </w:t>
      </w:r>
      <w:r>
        <w:t>sunt</w:t>
      </w:r>
      <w:r>
        <w:rPr>
          <w:spacing w:val="-2"/>
        </w:rPr>
        <w:t xml:space="preserve"> </w:t>
      </w:r>
      <w:r>
        <w:t>r</w:t>
      </w:r>
      <w:r>
        <w:rPr>
          <w:spacing w:val="-2"/>
        </w:rPr>
        <w:t>i</w:t>
      </w:r>
      <w:r>
        <w:t>no</w:t>
      </w:r>
      <w:r>
        <w:rPr>
          <w:spacing w:val="-2"/>
        </w:rPr>
        <w:t>f</w:t>
      </w:r>
      <w:r>
        <w:t>a</w:t>
      </w:r>
      <w:r>
        <w:rPr>
          <w:spacing w:val="-2"/>
        </w:rPr>
        <w:t>r</w:t>
      </w:r>
      <w:r>
        <w:rPr>
          <w:spacing w:val="1"/>
        </w:rPr>
        <w:t>i</w:t>
      </w:r>
      <w:r>
        <w:t>n</w:t>
      </w:r>
      <w:r>
        <w:rPr>
          <w:spacing w:val="-3"/>
        </w:rPr>
        <w:t>g</w:t>
      </w:r>
      <w:r>
        <w:rPr>
          <w:spacing w:val="1"/>
        </w:rPr>
        <w:t>it</w:t>
      </w:r>
      <w:r>
        <w:t>ă,</w:t>
      </w:r>
      <w:r>
        <w:rPr>
          <w:spacing w:val="-3"/>
        </w:rPr>
        <w:t xml:space="preserve"> </w:t>
      </w: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 xml:space="preserve">e </w:t>
      </w:r>
      <w:r>
        <w:rPr>
          <w:spacing w:val="-2"/>
        </w:rPr>
        <w:t>t</w:t>
      </w:r>
      <w:r>
        <w:t>ra</w:t>
      </w:r>
      <w:r>
        <w:rPr>
          <w:spacing w:val="-3"/>
        </w:rPr>
        <w:t>c</w:t>
      </w:r>
      <w:r>
        <w:rPr>
          <w:spacing w:val="1"/>
        </w:rPr>
        <w:t>t</w:t>
      </w:r>
      <w:r>
        <w:rPr>
          <w:spacing w:val="-3"/>
        </w:rPr>
        <w:t>u</w:t>
      </w:r>
      <w:r>
        <w:rPr>
          <w:spacing w:val="1"/>
        </w:rPr>
        <w:t>l</w:t>
      </w:r>
      <w:r>
        <w:t>ui res</w:t>
      </w:r>
      <w:r>
        <w:rPr>
          <w:spacing w:val="-3"/>
        </w:rPr>
        <w:t>p</w:t>
      </w:r>
      <w:r>
        <w:rPr>
          <w:spacing w:val="1"/>
        </w:rPr>
        <w:t>i</w:t>
      </w:r>
      <w:r>
        <w:rPr>
          <w:spacing w:val="-2"/>
        </w:rPr>
        <w:t>r</w:t>
      </w:r>
      <w:r>
        <w:t>a</w:t>
      </w:r>
      <w:r>
        <w:rPr>
          <w:spacing w:val="1"/>
        </w:rPr>
        <w:t>t</w:t>
      </w:r>
      <w:r>
        <w:rPr>
          <w:spacing w:val="-3"/>
        </w:rPr>
        <w:t>o</w:t>
      </w:r>
      <w:r>
        <w:t>r</w:t>
      </w:r>
      <w:r>
        <w:rPr>
          <w:spacing w:val="1"/>
        </w:rPr>
        <w:t xml:space="preserve"> </w:t>
      </w:r>
      <w:r>
        <w:t>su</w:t>
      </w:r>
      <w:r>
        <w:rPr>
          <w:spacing w:val="-3"/>
        </w:rPr>
        <w:t>p</w:t>
      </w:r>
      <w:r>
        <w:t>e</w:t>
      </w:r>
      <w:r>
        <w:rPr>
          <w:spacing w:val="-2"/>
        </w:rPr>
        <w:t>r</w:t>
      </w:r>
      <w:r>
        <w:rPr>
          <w:spacing w:val="1"/>
        </w:rPr>
        <w:t>i</w:t>
      </w:r>
      <w:r>
        <w:t>or</w:t>
      </w:r>
      <w:r>
        <w:rPr>
          <w:spacing w:val="-2"/>
        </w:rPr>
        <w:t xml:space="preserve"> </w:t>
      </w:r>
      <w:r>
        <w:t>şi</w:t>
      </w:r>
      <w:r>
        <w:rPr>
          <w:spacing w:val="-2"/>
        </w:rPr>
        <w:t xml:space="preserve"> </w:t>
      </w:r>
      <w:r>
        <w:t>s</w:t>
      </w:r>
      <w:r>
        <w:rPr>
          <w:spacing w:val="1"/>
        </w:rPr>
        <w:t>i</w:t>
      </w:r>
      <w:r>
        <w:rPr>
          <w:spacing w:val="-3"/>
        </w:rPr>
        <w:t>n</w:t>
      </w:r>
      <w:r>
        <w:t>u</w:t>
      </w:r>
      <w:r>
        <w:rPr>
          <w:spacing w:val="-3"/>
        </w:rPr>
        <w:t>z</w:t>
      </w:r>
      <w:r>
        <w:rPr>
          <w:spacing w:val="1"/>
        </w:rPr>
        <w:t>it</w:t>
      </w:r>
      <w:r>
        <w:t>ă),</w:t>
      </w:r>
      <w:r>
        <w:rPr>
          <w:spacing w:val="-3"/>
        </w:rPr>
        <w:t xml:space="preserve"> </w:t>
      </w:r>
      <w:r>
        <w:t>r</w:t>
      </w:r>
      <w:r>
        <w:rPr>
          <w:spacing w:val="-3"/>
        </w:rPr>
        <w:t>e</w:t>
      </w:r>
      <w:r>
        <w:t>ac</w:t>
      </w:r>
      <w:r>
        <w:rPr>
          <w:spacing w:val="-2"/>
        </w:rPr>
        <w:t>ţ</w:t>
      </w:r>
      <w:r>
        <w:rPr>
          <w:spacing w:val="1"/>
        </w:rPr>
        <w:t>i</w:t>
      </w:r>
      <w:r>
        <w:t>i</w:t>
      </w:r>
      <w:r>
        <w:rPr>
          <w:spacing w:val="-2"/>
        </w:rPr>
        <w:t xml:space="preserve"> </w:t>
      </w:r>
      <w:r>
        <w:rPr>
          <w:spacing w:val="1"/>
        </w:rPr>
        <w:t>l</w:t>
      </w:r>
      <w:r>
        <w:t>a</w:t>
      </w:r>
      <w:r>
        <w:rPr>
          <w:spacing w:val="-2"/>
        </w:rPr>
        <w:t xml:space="preserve"> </w:t>
      </w:r>
      <w:r>
        <w:rPr>
          <w:spacing w:val="1"/>
        </w:rPr>
        <w:t>l</w:t>
      </w:r>
      <w:r>
        <w:t>o</w:t>
      </w:r>
      <w:r>
        <w:rPr>
          <w:spacing w:val="-3"/>
        </w:rPr>
        <w:t>c</w:t>
      </w:r>
      <w:r>
        <w:t>ul</w:t>
      </w:r>
      <w:r>
        <w:rPr>
          <w:spacing w:val="1"/>
        </w:rPr>
        <w:t xml:space="preserve"> </w:t>
      </w:r>
      <w:r>
        <w:rPr>
          <w:spacing w:val="-3"/>
        </w:rPr>
        <w:t>d</w:t>
      </w:r>
      <w:r>
        <w:t xml:space="preserve">e </w:t>
      </w:r>
      <w:r>
        <w:rPr>
          <w:spacing w:val="-2"/>
        </w:rPr>
        <w:t>i</w:t>
      </w:r>
      <w:r>
        <w:rPr>
          <w:spacing w:val="-3"/>
        </w:rPr>
        <w:t>n</w:t>
      </w:r>
      <w:r>
        <w:rPr>
          <w:spacing w:val="3"/>
        </w:rPr>
        <w:t>j</w:t>
      </w:r>
      <w:r>
        <w:rPr>
          <w:spacing w:val="-3"/>
        </w:rPr>
        <w:t>e</w:t>
      </w:r>
      <w:r>
        <w:t>c</w:t>
      </w:r>
      <w:r>
        <w:rPr>
          <w:spacing w:val="-2"/>
        </w:rPr>
        <w:t>ţ</w:t>
      </w:r>
      <w:r>
        <w:rPr>
          <w:spacing w:val="1"/>
        </w:rPr>
        <w:t>i</w:t>
      </w:r>
      <w:r>
        <w:t xml:space="preserve">e </w:t>
      </w:r>
      <w:r>
        <w:rPr>
          <w:spacing w:val="-2"/>
        </w:rPr>
        <w:t>(</w:t>
      </w:r>
      <w:r>
        <w:t>e</w:t>
      </w:r>
      <w:r>
        <w:rPr>
          <w:spacing w:val="-2"/>
        </w:rPr>
        <w:t>r</w:t>
      </w:r>
      <w:r>
        <w:rPr>
          <w:spacing w:val="1"/>
        </w:rPr>
        <w:t>i</w:t>
      </w:r>
      <w:r>
        <w:rPr>
          <w:spacing w:val="-2"/>
        </w:rPr>
        <w:t>t</w:t>
      </w:r>
      <w:r>
        <w:t>e</w:t>
      </w:r>
      <w:r>
        <w:rPr>
          <w:spacing w:val="-4"/>
        </w:rPr>
        <w:t>m</w:t>
      </w:r>
      <w:r>
        <w:t>, prur</w:t>
      </w:r>
      <w:r>
        <w:rPr>
          <w:spacing w:val="-2"/>
        </w:rPr>
        <w:t>i</w:t>
      </w:r>
      <w:r>
        <w:rPr>
          <w:spacing w:val="1"/>
        </w:rPr>
        <w:t>t</w:t>
      </w:r>
      <w:r>
        <w:t>, he</w:t>
      </w:r>
      <w:r>
        <w:rPr>
          <w:spacing w:val="-4"/>
        </w:rPr>
        <w:t>m</w:t>
      </w:r>
      <w:r>
        <w:t>ora</w:t>
      </w:r>
      <w:r>
        <w:rPr>
          <w:spacing w:val="-3"/>
        </w:rPr>
        <w:t>g</w:t>
      </w:r>
      <w:r>
        <w:rPr>
          <w:spacing w:val="-2"/>
        </w:rPr>
        <w:t>i</w:t>
      </w:r>
      <w:r>
        <w:t>e, du</w:t>
      </w:r>
      <w:r>
        <w:rPr>
          <w:spacing w:val="-2"/>
        </w:rPr>
        <w:t>r</w:t>
      </w:r>
      <w:r>
        <w:t>ere</w:t>
      </w:r>
      <w:r>
        <w:rPr>
          <w:spacing w:val="-2"/>
        </w:rPr>
        <w:t xml:space="preserve"> </w:t>
      </w:r>
      <w:r>
        <w:t>sau</w:t>
      </w:r>
      <w:r>
        <w:rPr>
          <w:spacing w:val="-3"/>
        </w:rPr>
        <w:t xml:space="preserve"> </w:t>
      </w:r>
      <w:r>
        <w:t>ede</w:t>
      </w:r>
      <w:r>
        <w:rPr>
          <w:spacing w:val="-4"/>
        </w:rPr>
        <w:t>m</w:t>
      </w:r>
      <w:r>
        <w:t>) cef</w:t>
      </w:r>
      <w:r>
        <w:rPr>
          <w:spacing w:val="-3"/>
        </w:rPr>
        <w:t>a</w:t>
      </w:r>
      <w:r>
        <w:rPr>
          <w:spacing w:val="1"/>
        </w:rPr>
        <w:t>l</w:t>
      </w:r>
      <w:r>
        <w:rPr>
          <w:spacing w:val="-3"/>
        </w:rPr>
        <w:t>e</w:t>
      </w:r>
      <w:r>
        <w:t>e şi</w:t>
      </w:r>
      <w:r>
        <w:rPr>
          <w:spacing w:val="-2"/>
        </w:rPr>
        <w:t xml:space="preserve"> </w:t>
      </w:r>
      <w:r>
        <w:t>du</w:t>
      </w:r>
      <w:r>
        <w:rPr>
          <w:spacing w:val="-2"/>
        </w:rPr>
        <w:t>r</w:t>
      </w:r>
      <w:r>
        <w:t>ere</w:t>
      </w:r>
      <w:r>
        <w:rPr>
          <w:spacing w:val="-2"/>
        </w:rPr>
        <w:t xml:space="preserve"> </w:t>
      </w:r>
      <w:r>
        <w:rPr>
          <w:spacing w:val="-4"/>
        </w:rPr>
        <w:t>m</w:t>
      </w:r>
      <w:r>
        <w:t>uscu</w:t>
      </w:r>
      <w:r>
        <w:rPr>
          <w:spacing w:val="1"/>
        </w:rPr>
        <w:t>l</w:t>
      </w:r>
      <w:r>
        <w:t>o</w:t>
      </w:r>
      <w:r>
        <w:rPr>
          <w:spacing w:val="-2"/>
        </w:rPr>
        <w:t>s</w:t>
      </w:r>
      <w:r>
        <w:rPr>
          <w:spacing w:val="-3"/>
        </w:rPr>
        <w:t>c</w:t>
      </w:r>
      <w:r>
        <w:t>he</w:t>
      </w:r>
      <w:r>
        <w:rPr>
          <w:spacing w:val="1"/>
        </w:rPr>
        <w:t>l</w:t>
      </w:r>
      <w:r>
        <w:rPr>
          <w:spacing w:val="-3"/>
        </w:rPr>
        <w:t>e</w:t>
      </w:r>
      <w:r>
        <w:rPr>
          <w:spacing w:val="1"/>
        </w:rPr>
        <w:t>t</w:t>
      </w:r>
      <w:r>
        <w:rPr>
          <w:spacing w:val="-2"/>
        </w:rPr>
        <w:t>i</w:t>
      </w:r>
      <w:r>
        <w:t>că.</w:t>
      </w:r>
    </w:p>
    <w:p w14:paraId="3ABD6CFA" w14:textId="77777777" w:rsidR="00C04CAD" w:rsidRDefault="00C04CAD">
      <w:pPr>
        <w:tabs>
          <w:tab w:val="clear" w:pos="567"/>
        </w:tabs>
        <w:kinsoku w:val="0"/>
        <w:overflowPunct w:val="0"/>
        <w:autoSpaceDE w:val="0"/>
        <w:autoSpaceDN w:val="0"/>
        <w:adjustRightInd w:val="0"/>
        <w:spacing w:line="240" w:lineRule="auto"/>
      </w:pPr>
    </w:p>
    <w:p w14:paraId="100A7E93" w14:textId="77777777" w:rsidR="00C04CAD" w:rsidRDefault="00060E34">
      <w:pPr>
        <w:tabs>
          <w:tab w:val="clear" w:pos="567"/>
        </w:tabs>
        <w:kinsoku w:val="0"/>
        <w:overflowPunct w:val="0"/>
        <w:autoSpaceDE w:val="0"/>
        <w:autoSpaceDN w:val="0"/>
        <w:adjustRightInd w:val="0"/>
        <w:spacing w:line="240" w:lineRule="auto"/>
        <w:rPr>
          <w:rFonts w:eastAsia="MS Mincho"/>
          <w:spacing w:val="2"/>
          <w:szCs w:val="22"/>
          <w:lang w:eastAsia="en-US" w:bidi="ar-SA"/>
        </w:rPr>
      </w:pPr>
      <w:r>
        <w:rPr>
          <w:spacing w:val="2"/>
        </w:rPr>
        <w:t>S</w:t>
      </w:r>
      <w:r>
        <w:rPr>
          <w:spacing w:val="-4"/>
        </w:rPr>
        <w:t>-</w:t>
      </w:r>
      <w:r>
        <w:t>au rap</w:t>
      </w:r>
      <w:r>
        <w:rPr>
          <w:spacing w:val="-3"/>
        </w:rPr>
        <w:t>o</w:t>
      </w:r>
      <w:r>
        <w:t>r</w:t>
      </w:r>
      <w:r>
        <w:rPr>
          <w:spacing w:val="1"/>
        </w:rPr>
        <w:t>t</w:t>
      </w:r>
      <w:r>
        <w:rPr>
          <w:spacing w:val="-3"/>
        </w:rPr>
        <w:t>a</w:t>
      </w:r>
      <w:r>
        <w:t>t</w:t>
      </w:r>
      <w:r>
        <w:rPr>
          <w:spacing w:val="-2"/>
        </w:rPr>
        <w:t xml:space="preserve"> </w:t>
      </w:r>
      <w:r>
        <w:t>rea</w:t>
      </w:r>
      <w:r>
        <w:rPr>
          <w:spacing w:val="-3"/>
        </w:rPr>
        <w:t>c</w:t>
      </w:r>
      <w:r>
        <w:rPr>
          <w:spacing w:val="-2"/>
        </w:rPr>
        <w:t>ţ</w:t>
      </w:r>
      <w:r>
        <w:rPr>
          <w:spacing w:val="1"/>
        </w:rPr>
        <w:t>i</w:t>
      </w:r>
      <w:r>
        <w:t>i</w:t>
      </w:r>
      <w:r>
        <w:rPr>
          <w:spacing w:val="1"/>
        </w:rPr>
        <w:t xml:space="preserve"> </w:t>
      </w:r>
      <w:r>
        <w:rPr>
          <w:spacing w:val="-3"/>
        </w:rPr>
        <w:t>a</w:t>
      </w:r>
      <w:r>
        <w:t>d</w:t>
      </w:r>
      <w:r>
        <w:rPr>
          <w:spacing w:val="-3"/>
        </w:rPr>
        <w:t>v</w:t>
      </w:r>
      <w:r>
        <w:t>er</w:t>
      </w:r>
      <w:r>
        <w:rPr>
          <w:spacing w:val="-2"/>
        </w:rPr>
        <w:t>s</w:t>
      </w:r>
      <w:r>
        <w:t xml:space="preserve">e </w:t>
      </w:r>
      <w:r>
        <w:rPr>
          <w:spacing w:val="-3"/>
        </w:rPr>
        <w:t>g</w:t>
      </w:r>
      <w:r>
        <w:t>ra</w:t>
      </w:r>
      <w:r>
        <w:rPr>
          <w:spacing w:val="-3"/>
        </w:rPr>
        <w:t>v</w:t>
      </w:r>
      <w:r>
        <w:t xml:space="preserve">e </w:t>
      </w:r>
      <w:r>
        <w:rPr>
          <w:spacing w:val="1"/>
        </w:rPr>
        <w:t>l</w:t>
      </w:r>
      <w:r>
        <w:t xml:space="preserve">a </w:t>
      </w:r>
      <w:r>
        <w:rPr>
          <w:rFonts w:eastAsia="MS Mincho"/>
          <w:spacing w:val="-1"/>
          <w:szCs w:val="22"/>
          <w:lang w:eastAsia="en-US" w:bidi="ar-SA"/>
        </w:rPr>
        <w:t>adalimumab</w:t>
      </w:r>
      <w:r>
        <w:t xml:space="preserve">. </w:t>
      </w:r>
      <w:r>
        <w:rPr>
          <w:spacing w:val="-1"/>
        </w:rPr>
        <w:t>A</w:t>
      </w:r>
      <w:r>
        <w:t>n</w:t>
      </w:r>
      <w:r>
        <w:rPr>
          <w:spacing w:val="-2"/>
        </w:rPr>
        <w:t>t</w:t>
      </w:r>
      <w:r>
        <w:t>a</w:t>
      </w:r>
      <w:r>
        <w:rPr>
          <w:spacing w:val="-3"/>
        </w:rPr>
        <w:t>g</w:t>
      </w:r>
      <w:r>
        <w:t>on</w:t>
      </w:r>
      <w:r>
        <w:rPr>
          <w:spacing w:val="1"/>
        </w:rPr>
        <w:t>i</w:t>
      </w:r>
      <w:r>
        <w:t>ş</w:t>
      </w:r>
      <w:r>
        <w:rPr>
          <w:spacing w:val="-2"/>
        </w:rPr>
        <w:t>t</w:t>
      </w:r>
      <w:r>
        <w:t>i</w:t>
      </w:r>
      <w:r>
        <w:rPr>
          <w:spacing w:val="-2"/>
        </w:rPr>
        <w:t xml:space="preserve"> </w:t>
      </w:r>
      <w:r>
        <w:rPr>
          <w:spacing w:val="1"/>
        </w:rPr>
        <w:t>T</w:t>
      </w:r>
      <w:r>
        <w:rPr>
          <w:spacing w:val="-1"/>
        </w:rPr>
        <w:t>NF</w:t>
      </w:r>
      <w:r>
        <w:t>, cum</w:t>
      </w:r>
      <w:r>
        <w:rPr>
          <w:spacing w:val="-4"/>
        </w:rPr>
        <w:t xml:space="preserve"> </w:t>
      </w:r>
      <w:r>
        <w:t>es</w:t>
      </w:r>
      <w:r>
        <w:rPr>
          <w:spacing w:val="-2"/>
        </w:rPr>
        <w:t>t</w:t>
      </w:r>
      <w:r>
        <w:t xml:space="preserve">e </w:t>
      </w:r>
      <w:r>
        <w:rPr>
          <w:rFonts w:eastAsia="MS Mincho"/>
          <w:spacing w:val="-1"/>
          <w:szCs w:val="22"/>
          <w:lang w:eastAsia="en-US" w:bidi="ar-SA"/>
        </w:rPr>
        <w:t>AMGEVITA</w:t>
      </w:r>
      <w:r>
        <w:t>,</w:t>
      </w:r>
      <w:r>
        <w:rPr>
          <w:spacing w:val="-3"/>
        </w:rPr>
        <w:t xml:space="preserve"> </w:t>
      </w:r>
      <w:r>
        <w:t>afe</w:t>
      </w:r>
      <w:r>
        <w:rPr>
          <w:spacing w:val="-3"/>
        </w:rPr>
        <w:t>c</w:t>
      </w:r>
      <w:r>
        <w:rPr>
          <w:spacing w:val="1"/>
        </w:rPr>
        <w:t>t</w:t>
      </w:r>
      <w:r>
        <w:rPr>
          <w:spacing w:val="-3"/>
        </w:rPr>
        <w:t>e</w:t>
      </w:r>
      <w:r>
        <w:t>a</w:t>
      </w:r>
      <w:r>
        <w:rPr>
          <w:spacing w:val="-3"/>
        </w:rPr>
        <w:t>z</w:t>
      </w:r>
      <w:r>
        <w:t>ă s</w:t>
      </w:r>
      <w:r>
        <w:rPr>
          <w:spacing w:val="-2"/>
        </w:rPr>
        <w:t>i</w:t>
      </w:r>
      <w:r>
        <w:t>s</w:t>
      </w:r>
      <w:r>
        <w:rPr>
          <w:spacing w:val="1"/>
        </w:rPr>
        <w:t>t</w:t>
      </w:r>
      <w:r>
        <w:t>e</w:t>
      </w:r>
      <w:r>
        <w:rPr>
          <w:spacing w:val="-4"/>
        </w:rPr>
        <w:t>m</w:t>
      </w:r>
      <w:r>
        <w:t xml:space="preserve">ul </w:t>
      </w:r>
      <w:r>
        <w:rPr>
          <w:spacing w:val="1"/>
        </w:rPr>
        <w:t>i</w:t>
      </w:r>
      <w:r>
        <w:rPr>
          <w:spacing w:val="-4"/>
        </w:rPr>
        <w:t>m</w:t>
      </w:r>
      <w:r>
        <w:t>un</w:t>
      </w:r>
      <w:r>
        <w:rPr>
          <w:spacing w:val="1"/>
        </w:rPr>
        <w:t>it</w:t>
      </w:r>
      <w:r>
        <w:t>ar</w:t>
      </w:r>
      <w:r>
        <w:rPr>
          <w:spacing w:val="-2"/>
        </w:rPr>
        <w:t xml:space="preserve"> </w:t>
      </w:r>
      <w:r>
        <w:t>şi</w:t>
      </w:r>
      <w:r>
        <w:rPr>
          <w:spacing w:val="-2"/>
        </w:rPr>
        <w:t xml:space="preserve"> </w:t>
      </w:r>
      <w:r>
        <w:t>u</w:t>
      </w:r>
      <w:r>
        <w:rPr>
          <w:spacing w:val="-2"/>
        </w:rPr>
        <w:t>t</w:t>
      </w:r>
      <w:r>
        <w:rPr>
          <w:spacing w:val="1"/>
        </w:rPr>
        <w:t>i</w:t>
      </w:r>
      <w:r>
        <w:rPr>
          <w:spacing w:val="-2"/>
        </w:rPr>
        <w:t>l</w:t>
      </w:r>
      <w:r>
        <w:rPr>
          <w:spacing w:val="1"/>
        </w:rPr>
        <w:t>i</w:t>
      </w:r>
      <w:r>
        <w:rPr>
          <w:spacing w:val="-3"/>
        </w:rPr>
        <w:t>z</w:t>
      </w:r>
      <w:r>
        <w:t>area</w:t>
      </w:r>
      <w:r>
        <w:rPr>
          <w:spacing w:val="-2"/>
        </w:rPr>
        <w:t xml:space="preserve"> </w:t>
      </w:r>
      <w:r>
        <w:rPr>
          <w:spacing w:val="1"/>
        </w:rPr>
        <w:t>l</w:t>
      </w:r>
      <w:r>
        <w:rPr>
          <w:spacing w:val="-3"/>
        </w:rPr>
        <w:t>o</w:t>
      </w:r>
      <w:r>
        <w:t>r</w:t>
      </w:r>
      <w:r>
        <w:rPr>
          <w:spacing w:val="1"/>
        </w:rPr>
        <w:t xml:space="preserve"> </w:t>
      </w:r>
      <w:r>
        <w:t>p</w:t>
      </w:r>
      <w:r>
        <w:rPr>
          <w:spacing w:val="-3"/>
        </w:rPr>
        <w:t>o</w:t>
      </w:r>
      <w:r>
        <w:t>a</w:t>
      </w:r>
      <w:r>
        <w:rPr>
          <w:spacing w:val="1"/>
        </w:rPr>
        <w:t>t</w:t>
      </w:r>
      <w:r>
        <w:t>e</w:t>
      </w:r>
      <w:r>
        <w:rPr>
          <w:spacing w:val="-2"/>
        </w:rPr>
        <w:t xml:space="preserve"> </w:t>
      </w:r>
      <w:r>
        <w:t xml:space="preserve">să </w:t>
      </w:r>
      <w:r>
        <w:rPr>
          <w:spacing w:val="-3"/>
        </w:rPr>
        <w:t>a</w:t>
      </w:r>
      <w:r>
        <w:t>fe</w:t>
      </w:r>
      <w:r>
        <w:rPr>
          <w:spacing w:val="-3"/>
        </w:rPr>
        <w:t>c</w:t>
      </w:r>
      <w:r>
        <w:rPr>
          <w:spacing w:val="1"/>
        </w:rPr>
        <w:t>t</w:t>
      </w:r>
      <w:r>
        <w:t>e</w:t>
      </w:r>
      <w:r>
        <w:rPr>
          <w:spacing w:val="-3"/>
        </w:rPr>
        <w:t>z</w:t>
      </w:r>
      <w:r>
        <w:t>e a</w:t>
      </w:r>
      <w:r>
        <w:rPr>
          <w:spacing w:val="-3"/>
        </w:rPr>
        <w:t>p</w:t>
      </w:r>
      <w:r>
        <w:t>ăr</w:t>
      </w:r>
      <w:r>
        <w:rPr>
          <w:spacing w:val="-3"/>
        </w:rPr>
        <w:t>a</w:t>
      </w:r>
      <w:r>
        <w:t>r</w:t>
      </w:r>
      <w:r>
        <w:rPr>
          <w:spacing w:val="-3"/>
        </w:rPr>
        <w:t>e</w:t>
      </w:r>
      <w:r>
        <w:t>a or</w:t>
      </w:r>
      <w:r>
        <w:rPr>
          <w:spacing w:val="-3"/>
        </w:rPr>
        <w:t>g</w:t>
      </w:r>
      <w:r>
        <w:t>an</w:t>
      </w:r>
      <w:r>
        <w:rPr>
          <w:spacing w:val="1"/>
        </w:rPr>
        <w:t>i</w:t>
      </w:r>
      <w:r>
        <w:t>s</w:t>
      </w:r>
      <w:r>
        <w:rPr>
          <w:spacing w:val="-4"/>
        </w:rPr>
        <w:t>m</w:t>
      </w:r>
      <w:r>
        <w:t>u</w:t>
      </w:r>
      <w:r>
        <w:rPr>
          <w:spacing w:val="1"/>
        </w:rPr>
        <w:t>l</w:t>
      </w:r>
      <w:r>
        <w:t>ui</w:t>
      </w:r>
      <w:r>
        <w:rPr>
          <w:spacing w:val="-2"/>
        </w:rPr>
        <w:t xml:space="preserve"> </w:t>
      </w:r>
      <w:r>
        <w:rPr>
          <w:spacing w:val="1"/>
        </w:rPr>
        <w:t>î</w:t>
      </w:r>
      <w:r>
        <w:rPr>
          <w:spacing w:val="-4"/>
        </w:rPr>
        <w:t>m</w:t>
      </w:r>
      <w:r>
        <w:t>po</w:t>
      </w:r>
      <w:r>
        <w:rPr>
          <w:spacing w:val="1"/>
        </w:rPr>
        <w:t>t</w:t>
      </w:r>
      <w:r>
        <w:rPr>
          <w:spacing w:val="-3"/>
        </w:rPr>
        <w:t>r</w:t>
      </w:r>
      <w:r>
        <w:rPr>
          <w:spacing w:val="1"/>
        </w:rPr>
        <w:t>i</w:t>
      </w:r>
      <w:r>
        <w:rPr>
          <w:spacing w:val="-3"/>
        </w:rPr>
        <w:t>v</w:t>
      </w:r>
      <w:r>
        <w:t xml:space="preserve">a </w:t>
      </w:r>
      <w:r>
        <w:rPr>
          <w:spacing w:val="1"/>
        </w:rPr>
        <w:t>i</w:t>
      </w:r>
      <w:r>
        <w:t>n</w:t>
      </w:r>
      <w:r>
        <w:rPr>
          <w:spacing w:val="-2"/>
        </w:rPr>
        <w:t>f</w:t>
      </w:r>
      <w:r>
        <w:t>ec</w:t>
      </w:r>
      <w:r>
        <w:rPr>
          <w:spacing w:val="-2"/>
        </w:rPr>
        <w:t>ţii</w:t>
      </w:r>
      <w:r>
        <w:rPr>
          <w:spacing w:val="1"/>
        </w:rPr>
        <w:t>l</w:t>
      </w:r>
      <w:r>
        <w:t>or</w:t>
      </w:r>
      <w:r>
        <w:rPr>
          <w:spacing w:val="-2"/>
        </w:rPr>
        <w:t xml:space="preserve"> </w:t>
      </w:r>
      <w:r>
        <w:t>şi</w:t>
      </w:r>
      <w:r>
        <w:rPr>
          <w:spacing w:val="1"/>
        </w:rPr>
        <w:t xml:space="preserve"> </w:t>
      </w:r>
      <w:r>
        <w:t>a</w:t>
      </w:r>
      <w:r>
        <w:rPr>
          <w:spacing w:val="-2"/>
        </w:rPr>
        <w:t xml:space="preserve"> </w:t>
      </w:r>
      <w:r>
        <w:t>ca</w:t>
      </w:r>
      <w:r>
        <w:rPr>
          <w:spacing w:val="-3"/>
        </w:rPr>
        <w:t>n</w:t>
      </w:r>
      <w:r>
        <w:t>ce</w:t>
      </w:r>
      <w:r>
        <w:rPr>
          <w:spacing w:val="-2"/>
        </w:rPr>
        <w:t>r</w:t>
      </w:r>
      <w:r>
        <w:t>u</w:t>
      </w:r>
      <w:r>
        <w:rPr>
          <w:spacing w:val="1"/>
        </w:rPr>
        <w:t>l</w:t>
      </w:r>
      <w:r>
        <w:rPr>
          <w:spacing w:val="-3"/>
        </w:rPr>
        <w:t>u</w:t>
      </w:r>
      <w:r>
        <w:rPr>
          <w:spacing w:val="1"/>
        </w:rPr>
        <w:t>i</w:t>
      </w:r>
      <w:r>
        <w:t>.</w:t>
      </w:r>
      <w:r>
        <w:rPr>
          <w:spacing w:val="2"/>
        </w:rPr>
        <w:t xml:space="preserve"> </w:t>
      </w:r>
    </w:p>
    <w:p w14:paraId="7DA69960" w14:textId="77777777" w:rsidR="00C04CAD" w:rsidRDefault="00C04CAD">
      <w:pPr>
        <w:tabs>
          <w:tab w:val="clear" w:pos="567"/>
        </w:tabs>
        <w:kinsoku w:val="0"/>
        <w:overflowPunct w:val="0"/>
        <w:autoSpaceDE w:val="0"/>
        <w:autoSpaceDN w:val="0"/>
        <w:adjustRightInd w:val="0"/>
        <w:spacing w:line="240" w:lineRule="auto"/>
        <w:rPr>
          <w:rFonts w:eastAsia="MS Mincho"/>
          <w:spacing w:val="2"/>
          <w:szCs w:val="22"/>
          <w:lang w:eastAsia="en-US" w:bidi="ar-SA"/>
        </w:rPr>
      </w:pPr>
    </w:p>
    <w:p w14:paraId="7B56FF1E" w14:textId="77777777" w:rsidR="00C04CAD" w:rsidRDefault="00060E34">
      <w:pPr>
        <w:tabs>
          <w:tab w:val="clear" w:pos="567"/>
        </w:tabs>
        <w:kinsoku w:val="0"/>
        <w:overflowPunct w:val="0"/>
        <w:autoSpaceDE w:val="0"/>
        <w:autoSpaceDN w:val="0"/>
        <w:adjustRightInd w:val="0"/>
        <w:spacing w:line="240" w:lineRule="auto"/>
      </w:pPr>
      <w:r>
        <w:rPr>
          <w:spacing w:val="2"/>
        </w:rPr>
        <w:lastRenderedPageBreak/>
        <w:t>S</w:t>
      </w:r>
      <w:r>
        <w:rPr>
          <w:spacing w:val="-4"/>
        </w:rPr>
        <w:noBreakHyphen/>
      </w:r>
      <w:r>
        <w:t>au rap</w:t>
      </w:r>
      <w:r>
        <w:rPr>
          <w:spacing w:val="-3"/>
        </w:rPr>
        <w:t>o</w:t>
      </w:r>
      <w:r>
        <w:t>r</w:t>
      </w:r>
      <w:r>
        <w:rPr>
          <w:spacing w:val="1"/>
        </w:rPr>
        <w:t>t</w:t>
      </w:r>
      <w:r>
        <w:rPr>
          <w:spacing w:val="-3"/>
        </w:rPr>
        <w:t>a</w:t>
      </w:r>
      <w:r>
        <w:t>t</w:t>
      </w:r>
      <w:r>
        <w:rPr>
          <w:spacing w:val="1"/>
        </w:rPr>
        <w:t xml:space="preserve"> </w:t>
      </w:r>
      <w:r>
        <w:rPr>
          <w:spacing w:val="-3"/>
        </w:rPr>
        <w:t>d</w:t>
      </w:r>
      <w:r>
        <w:t>e a</w:t>
      </w:r>
      <w:r>
        <w:rPr>
          <w:spacing w:val="-2"/>
        </w:rPr>
        <w:t>s</w:t>
      </w:r>
      <w:r>
        <w:t>e</w:t>
      </w:r>
      <w:r>
        <w:rPr>
          <w:spacing w:val="-4"/>
        </w:rPr>
        <w:t>m</w:t>
      </w:r>
      <w:r>
        <w:t xml:space="preserve">enea </w:t>
      </w:r>
      <w:r>
        <w:rPr>
          <w:spacing w:val="-2"/>
        </w:rPr>
        <w:t>l</w:t>
      </w:r>
      <w:r>
        <w:t xml:space="preserve">a </w:t>
      </w:r>
      <w:r>
        <w:rPr>
          <w:rFonts w:eastAsia="MS Mincho"/>
          <w:spacing w:val="-1"/>
          <w:szCs w:val="22"/>
          <w:lang w:eastAsia="en-US" w:bidi="ar-SA"/>
        </w:rPr>
        <w:t>adalimumab</w:t>
      </w:r>
      <w:r>
        <w:t xml:space="preserve">, </w:t>
      </w:r>
      <w:r>
        <w:rPr>
          <w:spacing w:val="1"/>
        </w:rPr>
        <w:t>i</w:t>
      </w:r>
      <w:r>
        <w:rPr>
          <w:spacing w:val="-3"/>
        </w:rPr>
        <w:t>n</w:t>
      </w:r>
      <w:r>
        <w:t>fe</w:t>
      </w:r>
      <w:r>
        <w:rPr>
          <w:spacing w:val="-3"/>
        </w:rPr>
        <w:t>c</w:t>
      </w:r>
      <w:r>
        <w:rPr>
          <w:spacing w:val="1"/>
        </w:rPr>
        <w:t>ţ</w:t>
      </w:r>
      <w:r>
        <w:rPr>
          <w:spacing w:val="-2"/>
        </w:rPr>
        <w:t>i</w:t>
      </w:r>
      <w:r>
        <w:t>i</w:t>
      </w:r>
      <w:r>
        <w:rPr>
          <w:spacing w:val="1"/>
        </w:rPr>
        <w:t xml:space="preserve"> </w:t>
      </w:r>
      <w:r>
        <w:rPr>
          <w:rFonts w:eastAsia="MS Mincho"/>
          <w:szCs w:val="22"/>
          <w:lang w:eastAsia="en-US" w:bidi="ar-SA"/>
        </w:rPr>
        <w:t xml:space="preserve">care pun </w:t>
      </w:r>
      <w:r>
        <w:rPr>
          <w:rFonts w:eastAsia="MS Mincho"/>
          <w:spacing w:val="-3"/>
          <w:szCs w:val="22"/>
          <w:lang w:eastAsia="en-US" w:bidi="ar-SA"/>
        </w:rPr>
        <w:t>v</w:t>
      </w:r>
      <w:r>
        <w:rPr>
          <w:rFonts w:eastAsia="MS Mincho"/>
          <w:spacing w:val="1"/>
          <w:szCs w:val="22"/>
          <w:lang w:eastAsia="en-US" w:bidi="ar-SA"/>
        </w:rPr>
        <w:t>i</w:t>
      </w:r>
      <w:r>
        <w:rPr>
          <w:rFonts w:eastAsia="MS Mincho"/>
          <w:spacing w:val="-3"/>
          <w:szCs w:val="22"/>
          <w:lang w:eastAsia="en-US" w:bidi="ar-SA"/>
        </w:rPr>
        <w:t>a</w:t>
      </w:r>
      <w:r>
        <w:rPr>
          <w:rFonts w:eastAsia="MS Mincho"/>
          <w:spacing w:val="1"/>
          <w:szCs w:val="22"/>
          <w:lang w:eastAsia="en-US" w:bidi="ar-SA"/>
        </w:rPr>
        <w:t>ţa</w:t>
      </w:r>
      <w:r>
        <w:rPr>
          <w:rFonts w:eastAsia="MS Mincho"/>
          <w:szCs w:val="22"/>
          <w:lang w:eastAsia="en-US" w:bidi="ar-SA"/>
        </w:rPr>
        <w:t xml:space="preserve"> </w:t>
      </w:r>
      <w:r>
        <w:rPr>
          <w:rFonts w:eastAsia="MS Mincho"/>
          <w:spacing w:val="1"/>
          <w:szCs w:val="22"/>
          <w:lang w:eastAsia="en-US" w:bidi="ar-SA"/>
        </w:rPr>
        <w:t>în pericol</w:t>
      </w:r>
      <w:r>
        <w:rPr>
          <w:spacing w:val="-2"/>
        </w:rPr>
        <w:t xml:space="preserve"> </w:t>
      </w:r>
      <w:r>
        <w:t>sau</w:t>
      </w:r>
      <w:r>
        <w:rPr>
          <w:spacing w:val="-3"/>
        </w:rPr>
        <w:t xml:space="preserve"> </w:t>
      </w:r>
      <w:r>
        <w:rPr>
          <w:spacing w:val="1"/>
        </w:rPr>
        <w:t>l</w:t>
      </w:r>
      <w:r>
        <w:rPr>
          <w:spacing w:val="-3"/>
        </w:rPr>
        <w:t>e</w:t>
      </w:r>
      <w:r>
        <w:rPr>
          <w:spacing w:val="1"/>
        </w:rPr>
        <w:t>t</w:t>
      </w:r>
      <w:r>
        <w:t>a</w:t>
      </w:r>
      <w:r>
        <w:rPr>
          <w:spacing w:val="-2"/>
        </w:rPr>
        <w:t>l</w:t>
      </w:r>
      <w:r>
        <w:t xml:space="preserve">e </w:t>
      </w:r>
      <w:r>
        <w:rPr>
          <w:spacing w:val="-2"/>
        </w:rPr>
        <w:t>(</w:t>
      </w:r>
      <w:r>
        <w:rPr>
          <w:spacing w:val="1"/>
        </w:rPr>
        <w:t>i</w:t>
      </w:r>
      <w:r>
        <w:rPr>
          <w:spacing w:val="-3"/>
        </w:rPr>
        <w:t>n</w:t>
      </w:r>
      <w:r>
        <w:t>c</w:t>
      </w:r>
      <w:r>
        <w:rPr>
          <w:spacing w:val="1"/>
        </w:rPr>
        <w:t>l</w:t>
      </w:r>
      <w:r>
        <w:t>u</w:t>
      </w:r>
      <w:r>
        <w:rPr>
          <w:spacing w:val="-2"/>
        </w:rPr>
        <w:t>s</w:t>
      </w:r>
      <w:r>
        <w:rPr>
          <w:spacing w:val="1"/>
        </w:rPr>
        <w:t>i</w:t>
      </w:r>
      <w:r>
        <w:t>v</w:t>
      </w:r>
      <w:r>
        <w:rPr>
          <w:spacing w:val="-3"/>
        </w:rPr>
        <w:t xml:space="preserve"> </w:t>
      </w:r>
      <w:r>
        <w:t>sep</w:t>
      </w:r>
      <w:r>
        <w:rPr>
          <w:spacing w:val="-2"/>
        </w:rPr>
        <w:t>s</w:t>
      </w:r>
      <w:r>
        <w:rPr>
          <w:spacing w:val="1"/>
        </w:rPr>
        <w:t>i</w:t>
      </w:r>
      <w:r>
        <w:t>s,</w:t>
      </w:r>
      <w:r>
        <w:rPr>
          <w:spacing w:val="-3"/>
        </w:rPr>
        <w:t xml:space="preserve"> </w:t>
      </w:r>
      <w:r>
        <w:rPr>
          <w:spacing w:val="1"/>
        </w:rPr>
        <w:t>i</w:t>
      </w:r>
      <w:r>
        <w:t>n</w:t>
      </w:r>
      <w:r>
        <w:rPr>
          <w:spacing w:val="-2"/>
        </w:rPr>
        <w:t>f</w:t>
      </w:r>
      <w:r>
        <w:t>e</w:t>
      </w:r>
      <w:r>
        <w:rPr>
          <w:spacing w:val="-3"/>
        </w:rPr>
        <w:t>c</w:t>
      </w:r>
      <w:r>
        <w:rPr>
          <w:spacing w:val="1"/>
        </w:rPr>
        <w:t>ţ</w:t>
      </w:r>
      <w:r>
        <w:rPr>
          <w:spacing w:val="-2"/>
        </w:rPr>
        <w:t>i</w:t>
      </w:r>
      <w:r>
        <w:t>i opor</w:t>
      </w:r>
      <w:r>
        <w:rPr>
          <w:spacing w:val="-2"/>
        </w:rPr>
        <w:t>t</w:t>
      </w:r>
      <w:r>
        <w:t>un</w:t>
      </w:r>
      <w:r>
        <w:rPr>
          <w:spacing w:val="-2"/>
        </w:rPr>
        <w:t>i</w:t>
      </w:r>
      <w:r>
        <w:t>s</w:t>
      </w:r>
      <w:r>
        <w:rPr>
          <w:spacing w:val="-2"/>
        </w:rPr>
        <w:t>t</w:t>
      </w:r>
      <w:r>
        <w:t>e şi</w:t>
      </w:r>
      <w:r>
        <w:rPr>
          <w:spacing w:val="-4"/>
        </w:rPr>
        <w:t xml:space="preserve"> </w:t>
      </w:r>
      <w:r>
        <w:rPr>
          <w:spacing w:val="1"/>
        </w:rPr>
        <w:t>T</w:t>
      </w:r>
      <w:r>
        <w:rPr>
          <w:spacing w:val="-1"/>
        </w:rPr>
        <w:t>B</w:t>
      </w:r>
      <w:r>
        <w:t xml:space="preserve">), </w:t>
      </w:r>
      <w:r>
        <w:rPr>
          <w:spacing w:val="-2"/>
        </w:rPr>
        <w:t>r</w:t>
      </w:r>
      <w:r>
        <w:t>ea</w:t>
      </w:r>
      <w:r>
        <w:rPr>
          <w:spacing w:val="-3"/>
        </w:rPr>
        <w:t>c</w:t>
      </w:r>
      <w:r>
        <w:rPr>
          <w:spacing w:val="1"/>
        </w:rPr>
        <w:t>ti</w:t>
      </w:r>
      <w:r>
        <w:rPr>
          <w:spacing w:val="-3"/>
        </w:rPr>
        <w:t>va</w:t>
      </w:r>
      <w:r>
        <w:t xml:space="preserve">rea </w:t>
      </w:r>
      <w:r>
        <w:rPr>
          <w:spacing w:val="-3"/>
        </w:rPr>
        <w:t>h</w:t>
      </w:r>
      <w:r>
        <w:t>ep</w:t>
      </w:r>
      <w:r>
        <w:rPr>
          <w:spacing w:val="-3"/>
        </w:rPr>
        <w:t>a</w:t>
      </w:r>
      <w:r>
        <w:rPr>
          <w:spacing w:val="1"/>
        </w:rPr>
        <w:t>t</w:t>
      </w:r>
      <w:r>
        <w:rPr>
          <w:spacing w:val="-2"/>
        </w:rPr>
        <w:t>i</w:t>
      </w:r>
      <w:r>
        <w:rPr>
          <w:spacing w:val="1"/>
        </w:rPr>
        <w:t>t</w:t>
      </w:r>
      <w:r>
        <w:rPr>
          <w:spacing w:val="-3"/>
        </w:rPr>
        <w:t>e</w:t>
      </w:r>
      <w:r>
        <w:t>i</w:t>
      </w:r>
      <w:r>
        <w:rPr>
          <w:spacing w:val="1"/>
        </w:rPr>
        <w:t xml:space="preserve"> </w:t>
      </w:r>
      <w:r>
        <w:t>B</w:t>
      </w:r>
      <w:r>
        <w:rPr>
          <w:spacing w:val="-1"/>
        </w:rPr>
        <w:t xml:space="preserve"> </w:t>
      </w:r>
      <w:r>
        <w:t>(</w:t>
      </w:r>
      <w:r>
        <w:rPr>
          <w:spacing w:val="1"/>
        </w:rPr>
        <w:t>V</w:t>
      </w:r>
      <w:r>
        <w:rPr>
          <w:spacing w:val="-4"/>
        </w:rPr>
        <w:t>H</w:t>
      </w:r>
      <w:r>
        <w:rPr>
          <w:spacing w:val="-1"/>
        </w:rPr>
        <w:t>B</w:t>
      </w:r>
      <w:r>
        <w:t>)</w:t>
      </w:r>
      <w:r>
        <w:rPr>
          <w:spacing w:val="1"/>
        </w:rPr>
        <w:t xml:space="preserve"> </w:t>
      </w:r>
      <w:r>
        <w:rPr>
          <w:spacing w:val="-2"/>
        </w:rPr>
        <w:t>ş</w:t>
      </w:r>
      <w:r>
        <w:t>i</w:t>
      </w:r>
      <w:r>
        <w:rPr>
          <w:spacing w:val="1"/>
        </w:rPr>
        <w:t xml:space="preserve"> </w:t>
      </w:r>
      <w:r>
        <w:rPr>
          <w:spacing w:val="-3"/>
        </w:rPr>
        <w:t>v</w:t>
      </w:r>
      <w:r>
        <w:t>ar</w:t>
      </w:r>
      <w:r>
        <w:rPr>
          <w:spacing w:val="1"/>
        </w:rPr>
        <w:t>i</w:t>
      </w:r>
      <w:r>
        <w:rPr>
          <w:spacing w:val="-3"/>
        </w:rPr>
        <w:t>a</w:t>
      </w:r>
      <w:r>
        <w:rPr>
          <w:spacing w:val="1"/>
        </w:rPr>
        <w:t>t</w:t>
      </w:r>
      <w:r>
        <w:t xml:space="preserve">e </w:t>
      </w:r>
      <w:r>
        <w:rPr>
          <w:spacing w:val="-4"/>
        </w:rPr>
        <w:t>m</w:t>
      </w:r>
      <w:r>
        <w:t>a</w:t>
      </w:r>
      <w:r>
        <w:rPr>
          <w:spacing w:val="1"/>
        </w:rPr>
        <w:t>li</w:t>
      </w:r>
      <w:r>
        <w:rPr>
          <w:spacing w:val="-3"/>
        </w:rPr>
        <w:t>g</w:t>
      </w:r>
      <w:r>
        <w:t>n</w:t>
      </w:r>
      <w:r>
        <w:rPr>
          <w:spacing w:val="-2"/>
        </w:rPr>
        <w:t>i</w:t>
      </w:r>
      <w:r>
        <w:rPr>
          <w:spacing w:val="1"/>
        </w:rPr>
        <w:t>t</w:t>
      </w:r>
      <w:r>
        <w:rPr>
          <w:spacing w:val="-3"/>
        </w:rPr>
        <w:t>ă</w:t>
      </w:r>
      <w:r>
        <w:rPr>
          <w:spacing w:val="1"/>
        </w:rPr>
        <w:t>ţ</w:t>
      </w:r>
      <w:r>
        <w:t>i</w:t>
      </w:r>
      <w:r>
        <w:rPr>
          <w:spacing w:val="-2"/>
        </w:rPr>
        <w:t xml:space="preserve"> </w:t>
      </w:r>
      <w:r>
        <w:t>(</w:t>
      </w:r>
      <w:r>
        <w:rPr>
          <w:spacing w:val="1"/>
        </w:rPr>
        <w:t>i</w:t>
      </w:r>
      <w:r>
        <w:rPr>
          <w:spacing w:val="-3"/>
        </w:rPr>
        <w:t>n</w:t>
      </w:r>
      <w:r>
        <w:t>c</w:t>
      </w:r>
      <w:r>
        <w:rPr>
          <w:spacing w:val="1"/>
        </w:rPr>
        <w:t>l</w:t>
      </w:r>
      <w:r>
        <w:rPr>
          <w:spacing w:val="-3"/>
        </w:rPr>
        <w:t>u</w:t>
      </w:r>
      <w:r>
        <w:t>s</w:t>
      </w:r>
      <w:r>
        <w:rPr>
          <w:spacing w:val="1"/>
        </w:rPr>
        <w:t>i</w:t>
      </w:r>
      <w:r>
        <w:t>v</w:t>
      </w:r>
      <w:r>
        <w:rPr>
          <w:spacing w:val="-3"/>
        </w:rPr>
        <w:t xml:space="preserve"> </w:t>
      </w:r>
      <w:r>
        <w:rPr>
          <w:spacing w:val="1"/>
        </w:rPr>
        <w:t>l</w:t>
      </w:r>
      <w:r>
        <w:rPr>
          <w:spacing w:val="-3"/>
        </w:rPr>
        <w:t>e</w:t>
      </w:r>
      <w:r>
        <w:t>uce</w:t>
      </w:r>
      <w:r>
        <w:rPr>
          <w:spacing w:val="-4"/>
        </w:rPr>
        <w:t>m</w:t>
      </w:r>
      <w:r>
        <w:rPr>
          <w:spacing w:val="1"/>
        </w:rPr>
        <w:t>i</w:t>
      </w:r>
      <w:r>
        <w:t xml:space="preserve">e, </w:t>
      </w:r>
      <w:r>
        <w:rPr>
          <w:spacing w:val="-2"/>
        </w:rPr>
        <w:t>l</w:t>
      </w:r>
      <w:r>
        <w:rPr>
          <w:spacing w:val="1"/>
        </w:rPr>
        <w:t>i</w:t>
      </w:r>
      <w:r>
        <w:rPr>
          <w:spacing w:val="-4"/>
        </w:rPr>
        <w:t>m</w:t>
      </w:r>
      <w:r>
        <w:t>fom</w:t>
      </w:r>
      <w:r>
        <w:rPr>
          <w:spacing w:val="-4"/>
        </w:rPr>
        <w:t xml:space="preserve"> </w:t>
      </w:r>
      <w:r>
        <w:t xml:space="preserve">şi </w:t>
      </w:r>
      <w:r>
        <w:rPr>
          <w:spacing w:val="1"/>
        </w:rPr>
        <w:t>li</w:t>
      </w:r>
      <w:r>
        <w:rPr>
          <w:spacing w:val="-4"/>
        </w:rPr>
        <w:t>m</w:t>
      </w:r>
      <w:r>
        <w:t>fom</w:t>
      </w:r>
      <w:r>
        <w:rPr>
          <w:spacing w:val="-4"/>
        </w:rPr>
        <w:t xml:space="preserve"> </w:t>
      </w:r>
      <w:r>
        <w:t>hepa</w:t>
      </w:r>
      <w:r>
        <w:rPr>
          <w:spacing w:val="1"/>
        </w:rPr>
        <w:t>t</w:t>
      </w:r>
      <w:r>
        <w:t>os</w:t>
      </w:r>
      <w:r>
        <w:rPr>
          <w:spacing w:val="-3"/>
        </w:rPr>
        <w:t>p</w:t>
      </w:r>
      <w:r>
        <w:rPr>
          <w:spacing w:val="1"/>
        </w:rPr>
        <w:t>l</w:t>
      </w:r>
      <w:r>
        <w:t>e</w:t>
      </w:r>
      <w:r>
        <w:rPr>
          <w:spacing w:val="-3"/>
        </w:rPr>
        <w:t>n</w:t>
      </w:r>
      <w:r>
        <w:rPr>
          <w:spacing w:val="1"/>
        </w:rPr>
        <w:t>i</w:t>
      </w:r>
      <w:r>
        <w:t>c</w:t>
      </w:r>
      <w:r>
        <w:rPr>
          <w:spacing w:val="-2"/>
        </w:rPr>
        <w:t xml:space="preserve"> </w:t>
      </w:r>
      <w:r>
        <w:t>cu c</w:t>
      </w:r>
      <w:r>
        <w:rPr>
          <w:spacing w:val="-3"/>
        </w:rPr>
        <w:t>e</w:t>
      </w:r>
      <w:r>
        <w:rPr>
          <w:spacing w:val="1"/>
        </w:rPr>
        <w:t>l</w:t>
      </w:r>
      <w:r>
        <w:t>u</w:t>
      </w:r>
      <w:r>
        <w:rPr>
          <w:spacing w:val="-2"/>
        </w:rPr>
        <w:t>l</w:t>
      </w:r>
      <w:r>
        <w:t>e</w:t>
      </w:r>
      <w:r>
        <w:rPr>
          <w:spacing w:val="-2"/>
        </w:rPr>
        <w:t xml:space="preserve"> </w:t>
      </w:r>
      <w:r>
        <w:t>T</w:t>
      </w:r>
      <w:r>
        <w:rPr>
          <w:spacing w:val="2"/>
        </w:rPr>
        <w:t xml:space="preserve"> </w:t>
      </w:r>
      <w:r>
        <w:t>(</w:t>
      </w:r>
      <w:r>
        <w:rPr>
          <w:spacing w:val="-1"/>
        </w:rPr>
        <w:t>LHS</w:t>
      </w:r>
      <w:r>
        <w:rPr>
          <w:spacing w:val="-4"/>
        </w:rPr>
        <w:t>C</w:t>
      </w:r>
      <w:r>
        <w:rPr>
          <w:spacing w:val="1"/>
        </w:rPr>
        <w:t>T</w:t>
      </w:r>
      <w:r>
        <w:rPr>
          <w:spacing w:val="-2"/>
        </w:rPr>
        <w:t>)</w:t>
      </w:r>
      <w:r>
        <w:t>).</w:t>
      </w:r>
    </w:p>
    <w:p w14:paraId="53861CDB" w14:textId="77777777" w:rsidR="00C04CAD" w:rsidRDefault="00C04CAD">
      <w:pPr>
        <w:tabs>
          <w:tab w:val="clear" w:pos="567"/>
        </w:tabs>
        <w:kinsoku w:val="0"/>
        <w:overflowPunct w:val="0"/>
        <w:autoSpaceDE w:val="0"/>
        <w:autoSpaceDN w:val="0"/>
        <w:adjustRightInd w:val="0"/>
        <w:spacing w:line="240" w:lineRule="auto"/>
      </w:pPr>
    </w:p>
    <w:p w14:paraId="5B0DDA3E" w14:textId="77777777" w:rsidR="00C04CAD" w:rsidRDefault="00060E34">
      <w:pPr>
        <w:tabs>
          <w:tab w:val="clear" w:pos="567"/>
        </w:tabs>
        <w:kinsoku w:val="0"/>
        <w:overflowPunct w:val="0"/>
        <w:autoSpaceDE w:val="0"/>
        <w:autoSpaceDN w:val="0"/>
        <w:adjustRightInd w:val="0"/>
        <w:spacing w:line="240" w:lineRule="auto"/>
      </w:pPr>
      <w:r>
        <w:rPr>
          <w:spacing w:val="2"/>
        </w:rPr>
        <w:t>S</w:t>
      </w:r>
      <w:r>
        <w:rPr>
          <w:spacing w:val="-4"/>
        </w:rPr>
        <w:t>-</w:t>
      </w:r>
      <w:r>
        <w:t>au rap</w:t>
      </w:r>
      <w:r>
        <w:rPr>
          <w:spacing w:val="-3"/>
        </w:rPr>
        <w:t>o</w:t>
      </w:r>
      <w:r>
        <w:t>r</w:t>
      </w:r>
      <w:r>
        <w:rPr>
          <w:spacing w:val="1"/>
        </w:rPr>
        <w:t>t</w:t>
      </w:r>
      <w:r>
        <w:rPr>
          <w:spacing w:val="-3"/>
        </w:rPr>
        <w:t>a</w:t>
      </w:r>
      <w:r>
        <w:t>t</w:t>
      </w:r>
      <w:r>
        <w:rPr>
          <w:spacing w:val="1"/>
        </w:rPr>
        <w:t xml:space="preserve"> </w:t>
      </w:r>
      <w:r>
        <w:rPr>
          <w:spacing w:val="-3"/>
        </w:rPr>
        <w:t>d</w:t>
      </w:r>
      <w:r>
        <w:t>e a</w:t>
      </w:r>
      <w:r>
        <w:rPr>
          <w:spacing w:val="-2"/>
        </w:rPr>
        <w:t>s</w:t>
      </w:r>
      <w:r>
        <w:t>e</w:t>
      </w:r>
      <w:r>
        <w:rPr>
          <w:spacing w:val="-4"/>
        </w:rPr>
        <w:t>m</w:t>
      </w:r>
      <w:r>
        <w:t xml:space="preserve">enea </w:t>
      </w:r>
      <w:r>
        <w:rPr>
          <w:spacing w:val="-2"/>
        </w:rPr>
        <w:t>r</w:t>
      </w:r>
      <w:r>
        <w:t>eac</w:t>
      </w:r>
      <w:r>
        <w:rPr>
          <w:spacing w:val="-2"/>
        </w:rPr>
        <w:t>ţi</w:t>
      </w:r>
      <w:r>
        <w:t>i</w:t>
      </w:r>
      <w:r>
        <w:rPr>
          <w:spacing w:val="1"/>
        </w:rPr>
        <w:t xml:space="preserve"> </w:t>
      </w:r>
      <w:r>
        <w:rPr>
          <w:spacing w:val="-3"/>
        </w:rPr>
        <w:t>g</w:t>
      </w:r>
      <w:r>
        <w:t>ra</w:t>
      </w:r>
      <w:r>
        <w:rPr>
          <w:spacing w:val="-3"/>
        </w:rPr>
        <w:t>v</w:t>
      </w:r>
      <w:r>
        <w:t>e he</w:t>
      </w:r>
      <w:r>
        <w:rPr>
          <w:spacing w:val="-4"/>
        </w:rPr>
        <w:t>m</w:t>
      </w:r>
      <w:r>
        <w:t>a</w:t>
      </w:r>
      <w:r>
        <w:rPr>
          <w:spacing w:val="1"/>
        </w:rPr>
        <w:t>t</w:t>
      </w:r>
      <w:r>
        <w:t>o</w:t>
      </w:r>
      <w:r>
        <w:rPr>
          <w:spacing w:val="1"/>
        </w:rPr>
        <w:t>l</w:t>
      </w:r>
      <w:r>
        <w:t>o</w:t>
      </w:r>
      <w:r>
        <w:rPr>
          <w:spacing w:val="-3"/>
        </w:rPr>
        <w:t>g</w:t>
      </w:r>
      <w:r>
        <w:rPr>
          <w:spacing w:val="1"/>
        </w:rPr>
        <w:t>i</w:t>
      </w:r>
      <w:r>
        <w:t>ce,</w:t>
      </w:r>
      <w:r>
        <w:rPr>
          <w:spacing w:val="-3"/>
        </w:rPr>
        <w:t xml:space="preserve"> </w:t>
      </w:r>
      <w:r>
        <w:t>neur</w:t>
      </w:r>
      <w:r>
        <w:rPr>
          <w:spacing w:val="-3"/>
        </w:rPr>
        <w:t>o</w:t>
      </w:r>
      <w:r>
        <w:rPr>
          <w:spacing w:val="1"/>
        </w:rPr>
        <w:t>l</w:t>
      </w:r>
      <w:r>
        <w:t>o</w:t>
      </w:r>
      <w:r>
        <w:rPr>
          <w:spacing w:val="-3"/>
        </w:rPr>
        <w:t>g</w:t>
      </w:r>
      <w:r>
        <w:rPr>
          <w:spacing w:val="1"/>
        </w:rPr>
        <w:t>i</w:t>
      </w:r>
      <w:r>
        <w:t>ce</w:t>
      </w:r>
      <w:r>
        <w:rPr>
          <w:spacing w:val="-2"/>
        </w:rPr>
        <w:t xml:space="preserve"> </w:t>
      </w:r>
      <w:r>
        <w:t>şi</w:t>
      </w:r>
      <w:r>
        <w:rPr>
          <w:spacing w:val="-2"/>
        </w:rPr>
        <w:t xml:space="preserve"> </w:t>
      </w:r>
      <w:r>
        <w:t>au</w:t>
      </w:r>
      <w:r>
        <w:rPr>
          <w:spacing w:val="1"/>
        </w:rPr>
        <w:t>t</w:t>
      </w:r>
      <w:r>
        <w:rPr>
          <w:spacing w:val="-3"/>
        </w:rPr>
        <w:t>o</w:t>
      </w:r>
      <w:r>
        <w:rPr>
          <w:spacing w:val="1"/>
        </w:rPr>
        <w:t>i</w:t>
      </w:r>
      <w:r>
        <w:rPr>
          <w:spacing w:val="-4"/>
        </w:rPr>
        <w:t>m</w:t>
      </w:r>
      <w:r>
        <w:t xml:space="preserve">une. </w:t>
      </w:r>
      <w:r>
        <w:rPr>
          <w:spacing w:val="-1"/>
        </w:rPr>
        <w:t>A</w:t>
      </w:r>
      <w:r>
        <w:t>ces</w:t>
      </w:r>
      <w:r>
        <w:rPr>
          <w:spacing w:val="-2"/>
        </w:rPr>
        <w:t>t</w:t>
      </w:r>
      <w:r>
        <w:t>ea</w:t>
      </w:r>
      <w:r>
        <w:rPr>
          <w:spacing w:val="-2"/>
        </w:rPr>
        <w:t xml:space="preserve"> </w:t>
      </w:r>
      <w:r>
        <w:rPr>
          <w:spacing w:val="1"/>
        </w:rPr>
        <w:t>i</w:t>
      </w:r>
      <w:r>
        <w:t>n</w:t>
      </w:r>
      <w:r>
        <w:rPr>
          <w:spacing w:val="-3"/>
        </w:rPr>
        <w:t>c</w:t>
      </w:r>
      <w:r>
        <w:rPr>
          <w:spacing w:val="1"/>
        </w:rPr>
        <w:t>l</w:t>
      </w:r>
      <w:r>
        <w:t xml:space="preserve">ud </w:t>
      </w:r>
      <w:r>
        <w:rPr>
          <w:spacing w:val="-3"/>
        </w:rPr>
        <w:t>c</w:t>
      </w:r>
      <w:r>
        <w:t>a</w:t>
      </w:r>
      <w:r>
        <w:rPr>
          <w:spacing w:val="-3"/>
        </w:rPr>
        <w:t>z</w:t>
      </w:r>
      <w:r>
        <w:t>uri ra</w:t>
      </w:r>
      <w:r>
        <w:rPr>
          <w:spacing w:val="-2"/>
        </w:rPr>
        <w:t>r</w:t>
      </w:r>
      <w:r>
        <w:t xml:space="preserve">e de </w:t>
      </w:r>
      <w:r>
        <w:rPr>
          <w:spacing w:val="-3"/>
        </w:rPr>
        <w:t>p</w:t>
      </w:r>
      <w:r>
        <w:t>an</w:t>
      </w:r>
      <w:r>
        <w:rPr>
          <w:spacing w:val="-3"/>
        </w:rPr>
        <w:t>c</w:t>
      </w:r>
      <w:r>
        <w:rPr>
          <w:spacing w:val="1"/>
        </w:rPr>
        <w:t>it</w:t>
      </w:r>
      <w:r>
        <w:rPr>
          <w:spacing w:val="-3"/>
        </w:rPr>
        <w:t>o</w:t>
      </w:r>
      <w:r>
        <w:t>pe</w:t>
      </w:r>
      <w:r>
        <w:rPr>
          <w:spacing w:val="-3"/>
        </w:rPr>
        <w:t>n</w:t>
      </w:r>
      <w:r>
        <w:rPr>
          <w:spacing w:val="1"/>
        </w:rPr>
        <w:t>i</w:t>
      </w:r>
      <w:r>
        <w:t>e, a</w:t>
      </w:r>
      <w:r>
        <w:rPr>
          <w:spacing w:val="-3"/>
        </w:rPr>
        <w:t>n</w:t>
      </w:r>
      <w:r>
        <w:t>e</w:t>
      </w:r>
      <w:r>
        <w:rPr>
          <w:spacing w:val="-4"/>
        </w:rPr>
        <w:t>m</w:t>
      </w:r>
      <w:r>
        <w:rPr>
          <w:spacing w:val="1"/>
        </w:rPr>
        <w:t>i</w:t>
      </w:r>
      <w:r>
        <w:t>e ap</w:t>
      </w:r>
      <w:r>
        <w:rPr>
          <w:spacing w:val="-2"/>
        </w:rPr>
        <w:t>l</w:t>
      </w:r>
      <w:r>
        <w:t>a</w:t>
      </w:r>
      <w:r>
        <w:rPr>
          <w:spacing w:val="-2"/>
        </w:rPr>
        <w:t>s</w:t>
      </w:r>
      <w:r>
        <w:rPr>
          <w:spacing w:val="1"/>
        </w:rPr>
        <w:t>ti</w:t>
      </w:r>
      <w:r>
        <w:rPr>
          <w:spacing w:val="-3"/>
        </w:rPr>
        <w:t>c</w:t>
      </w:r>
      <w:r>
        <w:t>ă, e</w:t>
      </w:r>
      <w:r>
        <w:rPr>
          <w:spacing w:val="-3"/>
        </w:rPr>
        <w:t>v</w:t>
      </w:r>
      <w:r>
        <w:t>en</w:t>
      </w:r>
      <w:r>
        <w:rPr>
          <w:spacing w:val="1"/>
        </w:rPr>
        <w:t>i</w:t>
      </w:r>
      <w:r>
        <w:rPr>
          <w:spacing w:val="-4"/>
        </w:rPr>
        <w:t>m</w:t>
      </w:r>
      <w:r>
        <w:t>en</w:t>
      </w:r>
      <w:r>
        <w:rPr>
          <w:spacing w:val="1"/>
        </w:rPr>
        <w:t>t</w:t>
      </w:r>
      <w:r>
        <w:t>e</w:t>
      </w:r>
      <w:r>
        <w:rPr>
          <w:spacing w:val="-2"/>
        </w:rPr>
        <w:t xml:space="preserve"> </w:t>
      </w:r>
      <w:r>
        <w:t>de</w:t>
      </w:r>
      <w:r>
        <w:rPr>
          <w:spacing w:val="-2"/>
        </w:rPr>
        <w:t xml:space="preserve"> </w:t>
      </w:r>
      <w:r>
        <w:t>de</w:t>
      </w:r>
      <w:r>
        <w:rPr>
          <w:spacing w:val="-4"/>
        </w:rPr>
        <w:t>m</w:t>
      </w:r>
      <w:r>
        <w:rPr>
          <w:spacing w:val="1"/>
        </w:rPr>
        <w:t>i</w:t>
      </w:r>
      <w:r>
        <w:t>e</w:t>
      </w:r>
      <w:r>
        <w:rPr>
          <w:spacing w:val="1"/>
        </w:rPr>
        <w:t>li</w:t>
      </w:r>
      <w:r>
        <w:rPr>
          <w:spacing w:val="-3"/>
        </w:rPr>
        <w:t>n</w:t>
      </w:r>
      <w:r>
        <w:rPr>
          <w:spacing w:val="1"/>
        </w:rPr>
        <w:t>i</w:t>
      </w:r>
      <w:r>
        <w:rPr>
          <w:spacing w:val="-3"/>
        </w:rPr>
        <w:t>z</w:t>
      </w:r>
      <w:r>
        <w:t>are</w:t>
      </w:r>
      <w:r>
        <w:rPr>
          <w:spacing w:val="-2"/>
        </w:rPr>
        <w:t xml:space="preserve"> </w:t>
      </w:r>
      <w:r>
        <w:t>ce</w:t>
      </w:r>
      <w:r>
        <w:rPr>
          <w:spacing w:val="-3"/>
        </w:rPr>
        <w:t>n</w:t>
      </w:r>
      <w:r>
        <w:rPr>
          <w:spacing w:val="1"/>
        </w:rPr>
        <w:t>t</w:t>
      </w:r>
      <w:r>
        <w:t>r</w:t>
      </w:r>
      <w:r>
        <w:rPr>
          <w:spacing w:val="-3"/>
        </w:rPr>
        <w:t>a</w:t>
      </w:r>
      <w:r>
        <w:rPr>
          <w:spacing w:val="1"/>
        </w:rPr>
        <w:t>l</w:t>
      </w:r>
      <w:r>
        <w:t>ă</w:t>
      </w:r>
      <w:r>
        <w:rPr>
          <w:spacing w:val="-2"/>
        </w:rPr>
        <w:t xml:space="preserve"> </w:t>
      </w:r>
      <w:r>
        <w:t>şi</w:t>
      </w:r>
      <w:r>
        <w:rPr>
          <w:spacing w:val="1"/>
        </w:rPr>
        <w:t xml:space="preserve"> </w:t>
      </w:r>
      <w:r>
        <w:rPr>
          <w:spacing w:val="-3"/>
        </w:rPr>
        <w:t>pe</w:t>
      </w:r>
      <w:r>
        <w:t>r</w:t>
      </w:r>
      <w:r>
        <w:rPr>
          <w:spacing w:val="1"/>
        </w:rPr>
        <w:t>i</w:t>
      </w:r>
      <w:r>
        <w:rPr>
          <w:spacing w:val="-2"/>
        </w:rPr>
        <w:t>f</w:t>
      </w:r>
      <w:r>
        <w:t>e</w:t>
      </w:r>
      <w:r>
        <w:rPr>
          <w:spacing w:val="-2"/>
        </w:rPr>
        <w:t>r</w:t>
      </w:r>
      <w:r>
        <w:rPr>
          <w:spacing w:val="1"/>
        </w:rPr>
        <w:t>i</w:t>
      </w:r>
      <w:r>
        <w:t>că</w:t>
      </w:r>
      <w:r>
        <w:rPr>
          <w:spacing w:val="-2"/>
        </w:rPr>
        <w:t xml:space="preserve"> </w:t>
      </w:r>
      <w:r>
        <w:t>şi</w:t>
      </w:r>
      <w:r>
        <w:rPr>
          <w:spacing w:val="-2"/>
        </w:rPr>
        <w:t xml:space="preserve"> </w:t>
      </w:r>
      <w:r>
        <w:t>ca</w:t>
      </w:r>
      <w:r>
        <w:rPr>
          <w:spacing w:val="-3"/>
        </w:rPr>
        <w:t>z</w:t>
      </w:r>
      <w:r>
        <w:t>u</w:t>
      </w:r>
      <w:r>
        <w:rPr>
          <w:spacing w:val="-2"/>
        </w:rPr>
        <w:t>r</w:t>
      </w:r>
      <w:r>
        <w:t>i</w:t>
      </w:r>
      <w:r>
        <w:rPr>
          <w:spacing w:val="1"/>
        </w:rPr>
        <w:t xml:space="preserve"> </w:t>
      </w:r>
      <w:r>
        <w:t xml:space="preserve">de </w:t>
      </w:r>
      <w:r>
        <w:rPr>
          <w:spacing w:val="1"/>
        </w:rPr>
        <w:t>l</w:t>
      </w:r>
      <w:r>
        <w:t>upus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 </w:t>
      </w:r>
      <w:r>
        <w:rPr>
          <w:spacing w:val="-2"/>
        </w:rPr>
        <w:t>s</w:t>
      </w:r>
      <w:r>
        <w:t>is</w:t>
      </w:r>
      <w:r>
        <w:rPr>
          <w:spacing w:val="-2"/>
        </w:rPr>
        <w:t>t</w:t>
      </w:r>
      <w:r>
        <w:t>e</w:t>
      </w:r>
      <w:r>
        <w:rPr>
          <w:spacing w:val="-4"/>
        </w:rPr>
        <w:t>m</w:t>
      </w:r>
      <w:r>
        <w:rPr>
          <w:spacing w:val="1"/>
        </w:rPr>
        <w:t>i</w:t>
      </w:r>
      <w:r>
        <w:t xml:space="preserve">c, </w:t>
      </w:r>
      <w:r>
        <w:rPr>
          <w:spacing w:val="-4"/>
        </w:rPr>
        <w:t>m</w:t>
      </w:r>
      <w:r>
        <w:t>an</w:t>
      </w:r>
      <w:r>
        <w:rPr>
          <w:spacing w:val="1"/>
        </w:rPr>
        <w:t>i</w:t>
      </w:r>
      <w:r>
        <w:t>fes</w:t>
      </w:r>
      <w:r>
        <w:rPr>
          <w:spacing w:val="-2"/>
        </w:rPr>
        <w:t>t</w:t>
      </w:r>
      <w:r>
        <w:t>ă</w:t>
      </w:r>
      <w:r>
        <w:rPr>
          <w:spacing w:val="-2"/>
        </w:rPr>
        <w:t>r</w:t>
      </w:r>
      <w:r>
        <w:t>i</w:t>
      </w:r>
      <w:r>
        <w:rPr>
          <w:spacing w:val="1"/>
        </w:rPr>
        <w:t xml:space="preserve"> </w:t>
      </w:r>
      <w:r>
        <w:t>a</w:t>
      </w:r>
      <w:r>
        <w:rPr>
          <w:spacing w:val="-2"/>
        </w:rPr>
        <w:t>s</w:t>
      </w:r>
      <w:r>
        <w:t>oc</w:t>
      </w:r>
      <w:r>
        <w:rPr>
          <w:spacing w:val="-2"/>
        </w:rPr>
        <w:t>i</w:t>
      </w:r>
      <w:r>
        <w:t>a</w:t>
      </w:r>
      <w:r>
        <w:rPr>
          <w:spacing w:val="-2"/>
        </w:rPr>
        <w:t>t</w:t>
      </w:r>
      <w:r>
        <w:t xml:space="preserve">e </w:t>
      </w:r>
      <w:r>
        <w:rPr>
          <w:spacing w:val="1"/>
        </w:rPr>
        <w:t>l</w:t>
      </w:r>
      <w:r>
        <w:t>u</w:t>
      </w:r>
      <w:r>
        <w:rPr>
          <w:spacing w:val="-3"/>
        </w:rPr>
        <w:t>p</w:t>
      </w:r>
      <w:r>
        <w:t>us</w:t>
      </w:r>
      <w:r>
        <w:rPr>
          <w:spacing w:val="-3"/>
        </w:rPr>
        <w:t>u</w:t>
      </w:r>
      <w:r>
        <w:rPr>
          <w:spacing w:val="-2"/>
        </w:rPr>
        <w:t>l</w:t>
      </w:r>
      <w:r>
        <w:t>ui</w:t>
      </w:r>
      <w:r>
        <w:rPr>
          <w:spacing w:val="1"/>
        </w:rPr>
        <w:t xml:space="preserve"> </w:t>
      </w:r>
      <w:r>
        <w:rPr>
          <w:spacing w:val="-2"/>
        </w:rPr>
        <w:t>ş</w:t>
      </w:r>
      <w:r>
        <w:t>i</w:t>
      </w:r>
      <w:r>
        <w:rPr>
          <w:spacing w:val="1"/>
        </w:rPr>
        <w:t xml:space="preserve"> </w:t>
      </w:r>
      <w:r>
        <w:rPr>
          <w:spacing w:val="-2"/>
        </w:rPr>
        <w:t>s</w:t>
      </w:r>
      <w:r>
        <w:rPr>
          <w:spacing w:val="1"/>
        </w:rPr>
        <w:t>i</w:t>
      </w:r>
      <w:r>
        <w:t>nd</w:t>
      </w:r>
      <w:r>
        <w:rPr>
          <w:spacing w:val="-2"/>
        </w:rPr>
        <w:t>r</w:t>
      </w:r>
      <w:r>
        <w:t>om</w:t>
      </w:r>
      <w:r>
        <w:rPr>
          <w:spacing w:val="-4"/>
        </w:rPr>
        <w:t xml:space="preserve"> </w:t>
      </w:r>
      <w:r>
        <w:rPr>
          <w:spacing w:val="-1"/>
        </w:rPr>
        <w:t>S</w:t>
      </w:r>
      <w:r>
        <w:rPr>
          <w:spacing w:val="1"/>
        </w:rPr>
        <w:t>t</w:t>
      </w:r>
      <w:r>
        <w:t>e</w:t>
      </w:r>
      <w:r>
        <w:rPr>
          <w:spacing w:val="-3"/>
        </w:rPr>
        <w:t>v</w:t>
      </w:r>
      <w:r>
        <w:t>ens</w:t>
      </w:r>
      <w:r>
        <w:rPr>
          <w:spacing w:val="-4"/>
        </w:rPr>
        <w:t>-</w:t>
      </w:r>
      <w:r>
        <w:rPr>
          <w:spacing w:val="2"/>
        </w:rPr>
        <w:t>J</w:t>
      </w:r>
      <w:r>
        <w:t>ohnson.</w:t>
      </w:r>
    </w:p>
    <w:p w14:paraId="3D7A70D0" w14:textId="77777777" w:rsidR="00C04CAD" w:rsidRDefault="00C04CAD">
      <w:pPr>
        <w:autoSpaceDE w:val="0"/>
        <w:autoSpaceDN w:val="0"/>
        <w:adjustRightInd w:val="0"/>
        <w:spacing w:line="240" w:lineRule="auto"/>
        <w:jc w:val="both"/>
      </w:pPr>
    </w:p>
    <w:p w14:paraId="1D46B1CF" w14:textId="77777777" w:rsidR="00C04CAD" w:rsidRDefault="00060E34">
      <w:pPr>
        <w:keepNext/>
        <w:autoSpaceDE w:val="0"/>
        <w:autoSpaceDN w:val="0"/>
        <w:adjustRightInd w:val="0"/>
        <w:spacing w:line="240" w:lineRule="auto"/>
        <w:jc w:val="both"/>
      </w:pPr>
      <w:r>
        <w:rPr>
          <w:u w:val="single"/>
        </w:rPr>
        <w:t>Copii și adolescenți</w:t>
      </w:r>
    </w:p>
    <w:p w14:paraId="3C20084C" w14:textId="77777777" w:rsidR="00C04CAD" w:rsidRDefault="00C04CAD">
      <w:pPr>
        <w:keepNext/>
        <w:autoSpaceDE w:val="0"/>
        <w:autoSpaceDN w:val="0"/>
        <w:adjustRightInd w:val="0"/>
        <w:spacing w:line="240" w:lineRule="auto"/>
        <w:jc w:val="both"/>
      </w:pPr>
    </w:p>
    <w:p w14:paraId="33EB2AFF" w14:textId="77777777" w:rsidR="00C04CAD" w:rsidRDefault="00060E34">
      <w:pPr>
        <w:autoSpaceDE w:val="0"/>
        <w:autoSpaceDN w:val="0"/>
        <w:adjustRightInd w:val="0"/>
        <w:spacing w:line="240" w:lineRule="auto"/>
        <w:jc w:val="both"/>
        <w:rPr>
          <w:szCs w:val="22"/>
        </w:rPr>
      </w:pPr>
      <w:r>
        <w:rPr>
          <w:szCs w:val="22"/>
        </w:rPr>
        <w:t xml:space="preserve">În general, evenimentele adverse la copiii </w:t>
      </w:r>
      <w:r>
        <w:rPr>
          <w:rFonts w:eastAsia="MS Mincho"/>
          <w:szCs w:val="22"/>
          <w:lang w:eastAsia="en-US" w:bidi="ar-SA"/>
        </w:rPr>
        <w:t>şi adolescenţi</w:t>
      </w:r>
      <w:r>
        <w:rPr>
          <w:szCs w:val="22"/>
        </w:rPr>
        <w:t xml:space="preserve"> au fost asemănătoare, ca frecvenţă şi tip, cu cele întâlnite la adulţi.</w:t>
      </w:r>
    </w:p>
    <w:p w14:paraId="5FDD34E1" w14:textId="77777777" w:rsidR="00C04CAD" w:rsidRDefault="00C04CAD">
      <w:pPr>
        <w:autoSpaceDE w:val="0"/>
        <w:autoSpaceDN w:val="0"/>
        <w:adjustRightInd w:val="0"/>
        <w:spacing w:line="240" w:lineRule="auto"/>
        <w:jc w:val="both"/>
        <w:rPr>
          <w:szCs w:val="22"/>
        </w:rPr>
      </w:pPr>
    </w:p>
    <w:p w14:paraId="44427713"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Lista în format tabelar a reacțiilor adverse</w:t>
      </w:r>
    </w:p>
    <w:p w14:paraId="44DEFDDA" w14:textId="77777777" w:rsidR="00C04CAD" w:rsidRDefault="00C04CAD">
      <w:pPr>
        <w:keepNext/>
        <w:tabs>
          <w:tab w:val="clear" w:pos="567"/>
        </w:tabs>
        <w:kinsoku w:val="0"/>
        <w:overflowPunct w:val="0"/>
        <w:autoSpaceDE w:val="0"/>
        <w:autoSpaceDN w:val="0"/>
        <w:adjustRightInd w:val="0"/>
        <w:spacing w:line="240" w:lineRule="auto"/>
        <w:rPr>
          <w:szCs w:val="22"/>
        </w:rPr>
      </w:pPr>
    </w:p>
    <w:p w14:paraId="39BD67E4" w14:textId="77777777" w:rsidR="00C04CAD" w:rsidRDefault="00060E34">
      <w:pPr>
        <w:autoSpaceDE w:val="0"/>
        <w:autoSpaceDN w:val="0"/>
        <w:adjustRightInd w:val="0"/>
        <w:spacing w:line="240" w:lineRule="auto"/>
        <w:jc w:val="both"/>
        <w:rPr>
          <w:szCs w:val="22"/>
        </w:rPr>
      </w:pPr>
      <w:r>
        <w:rPr>
          <w:spacing w:val="-1"/>
          <w:szCs w:val="22"/>
        </w:rPr>
        <w:t>U</w:t>
      </w:r>
      <w:r>
        <w:rPr>
          <w:szCs w:val="22"/>
        </w:rPr>
        <w:t>r</w:t>
      </w:r>
      <w:r>
        <w:rPr>
          <w:spacing w:val="-4"/>
          <w:szCs w:val="22"/>
        </w:rPr>
        <w:t>m</w:t>
      </w:r>
      <w:r>
        <w:rPr>
          <w:szCs w:val="22"/>
        </w:rPr>
        <w:t>ă</w:t>
      </w:r>
      <w:r>
        <w:rPr>
          <w:spacing w:val="1"/>
          <w:szCs w:val="22"/>
        </w:rPr>
        <w:t>t</w:t>
      </w:r>
      <w:r>
        <w:rPr>
          <w:szCs w:val="22"/>
        </w:rPr>
        <w:t>oarea</w:t>
      </w:r>
      <w:r>
        <w:rPr>
          <w:spacing w:val="-2"/>
          <w:szCs w:val="22"/>
        </w:rPr>
        <w:t xml:space="preserve"> l</w:t>
      </w:r>
      <w:r>
        <w:rPr>
          <w:spacing w:val="1"/>
          <w:szCs w:val="22"/>
        </w:rPr>
        <w:t>i</w:t>
      </w:r>
      <w:r>
        <w:rPr>
          <w:szCs w:val="22"/>
        </w:rPr>
        <w:t>s</w:t>
      </w:r>
      <w:r>
        <w:rPr>
          <w:spacing w:val="-2"/>
          <w:szCs w:val="22"/>
        </w:rPr>
        <w:t>t</w:t>
      </w:r>
      <w:r>
        <w:rPr>
          <w:szCs w:val="22"/>
        </w:rPr>
        <w:t>ă cu</w:t>
      </w:r>
      <w:r>
        <w:rPr>
          <w:spacing w:val="-3"/>
          <w:szCs w:val="22"/>
        </w:rPr>
        <w:t xml:space="preserve"> </w:t>
      </w:r>
      <w:r>
        <w:rPr>
          <w:szCs w:val="22"/>
        </w:rPr>
        <w:t>re</w:t>
      </w:r>
      <w:r>
        <w:rPr>
          <w:spacing w:val="-3"/>
          <w:szCs w:val="22"/>
        </w:rPr>
        <w:t>a</w:t>
      </w:r>
      <w:r>
        <w:rPr>
          <w:szCs w:val="22"/>
        </w:rPr>
        <w:t>c</w:t>
      </w:r>
      <w:r>
        <w:rPr>
          <w:spacing w:val="-2"/>
          <w:szCs w:val="22"/>
        </w:rPr>
        <w:t>ţ</w:t>
      </w:r>
      <w:r>
        <w:rPr>
          <w:spacing w:val="1"/>
          <w:szCs w:val="22"/>
        </w:rPr>
        <w:t>i</w:t>
      </w:r>
      <w:r>
        <w:rPr>
          <w:szCs w:val="22"/>
        </w:rPr>
        <w:t>i</w:t>
      </w:r>
      <w:r>
        <w:rPr>
          <w:spacing w:val="-2"/>
          <w:szCs w:val="22"/>
        </w:rPr>
        <w:t xml:space="preserve"> </w:t>
      </w:r>
      <w:r>
        <w:rPr>
          <w:szCs w:val="22"/>
        </w:rPr>
        <w:t>ad</w:t>
      </w:r>
      <w:r>
        <w:rPr>
          <w:spacing w:val="-3"/>
          <w:szCs w:val="22"/>
        </w:rPr>
        <w:t>v</w:t>
      </w:r>
      <w:r>
        <w:rPr>
          <w:szCs w:val="22"/>
        </w:rPr>
        <w:t xml:space="preserve">erse </w:t>
      </w:r>
      <w:r>
        <w:rPr>
          <w:spacing w:val="-3"/>
          <w:szCs w:val="22"/>
        </w:rPr>
        <w:t>a</w:t>
      </w:r>
      <w:r>
        <w:rPr>
          <w:szCs w:val="22"/>
        </w:rPr>
        <w:t>re</w:t>
      </w:r>
      <w:r>
        <w:rPr>
          <w:spacing w:val="-2"/>
          <w:szCs w:val="22"/>
        </w:rPr>
        <w:t xml:space="preserve"> </w:t>
      </w:r>
      <w:r>
        <w:rPr>
          <w:spacing w:val="1"/>
          <w:szCs w:val="22"/>
        </w:rPr>
        <w:t>l</w:t>
      </w:r>
      <w:r>
        <w:rPr>
          <w:szCs w:val="22"/>
        </w:rPr>
        <w:t xml:space="preserve">a </w:t>
      </w:r>
      <w:r>
        <w:rPr>
          <w:spacing w:val="-3"/>
          <w:szCs w:val="22"/>
        </w:rPr>
        <w:t>b</w:t>
      </w:r>
      <w:r>
        <w:rPr>
          <w:szCs w:val="22"/>
        </w:rPr>
        <w:t>a</w:t>
      </w:r>
      <w:r>
        <w:rPr>
          <w:spacing w:val="-3"/>
          <w:szCs w:val="22"/>
        </w:rPr>
        <w:t>z</w:t>
      </w:r>
      <w:r>
        <w:rPr>
          <w:szCs w:val="22"/>
        </w:rPr>
        <w:t>ă exp</w:t>
      </w:r>
      <w:r>
        <w:rPr>
          <w:spacing w:val="-3"/>
          <w:szCs w:val="22"/>
        </w:rPr>
        <w:t>e</w:t>
      </w:r>
      <w:r>
        <w:rPr>
          <w:szCs w:val="22"/>
        </w:rPr>
        <w:t>r</w:t>
      </w:r>
      <w:r>
        <w:rPr>
          <w:spacing w:val="-2"/>
          <w:szCs w:val="22"/>
        </w:rPr>
        <w:t>i</w:t>
      </w:r>
      <w:r>
        <w:rPr>
          <w:spacing w:val="-3"/>
          <w:szCs w:val="22"/>
        </w:rPr>
        <w:t>e</w:t>
      </w:r>
      <w:r>
        <w:rPr>
          <w:szCs w:val="22"/>
        </w:rPr>
        <w:t>n</w:t>
      </w:r>
      <w:r>
        <w:rPr>
          <w:spacing w:val="1"/>
          <w:szCs w:val="22"/>
        </w:rPr>
        <w:t>ţ</w:t>
      </w:r>
      <w:r>
        <w:rPr>
          <w:szCs w:val="22"/>
        </w:rPr>
        <w:t xml:space="preserve">a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 xml:space="preserve">e </w:t>
      </w:r>
      <w:r>
        <w:rPr>
          <w:spacing w:val="-3"/>
          <w:szCs w:val="22"/>
        </w:rPr>
        <w:t>c</w:t>
      </w:r>
      <w:r>
        <w:rPr>
          <w:spacing w:val="-2"/>
          <w:szCs w:val="22"/>
        </w:rPr>
        <w:t>l</w:t>
      </w:r>
      <w:r>
        <w:rPr>
          <w:spacing w:val="1"/>
          <w:szCs w:val="22"/>
        </w:rPr>
        <w:t>i</w:t>
      </w:r>
      <w:r>
        <w:rPr>
          <w:szCs w:val="22"/>
        </w:rPr>
        <w:t>n</w:t>
      </w:r>
      <w:r>
        <w:rPr>
          <w:spacing w:val="-2"/>
          <w:szCs w:val="22"/>
        </w:rPr>
        <w:t>i</w:t>
      </w:r>
      <w:r>
        <w:rPr>
          <w:szCs w:val="22"/>
        </w:rPr>
        <w:t xml:space="preserve">ce </w:t>
      </w:r>
      <w:r>
        <w:rPr>
          <w:spacing w:val="-2"/>
          <w:szCs w:val="22"/>
        </w:rPr>
        <w:t>ş</w:t>
      </w:r>
      <w:r>
        <w:rPr>
          <w:szCs w:val="22"/>
        </w:rPr>
        <w:t>i</w:t>
      </w:r>
      <w:r>
        <w:rPr>
          <w:spacing w:val="1"/>
          <w:szCs w:val="22"/>
        </w:rPr>
        <w:t xml:space="preserve"> </w:t>
      </w:r>
      <w:r>
        <w:rPr>
          <w:szCs w:val="22"/>
        </w:rPr>
        <w:t>de</w:t>
      </w:r>
      <w:r>
        <w:rPr>
          <w:spacing w:val="-2"/>
          <w:szCs w:val="22"/>
        </w:rPr>
        <w:t xml:space="preserve"> </w:t>
      </w:r>
      <w:r>
        <w:rPr>
          <w:szCs w:val="22"/>
        </w:rPr>
        <w:t>după pu</w:t>
      </w:r>
      <w:r>
        <w:rPr>
          <w:spacing w:val="-3"/>
          <w:szCs w:val="22"/>
        </w:rPr>
        <w:t>n</w:t>
      </w:r>
      <w:r>
        <w:rPr>
          <w:szCs w:val="22"/>
        </w:rPr>
        <w:t>e</w:t>
      </w:r>
      <w:r>
        <w:rPr>
          <w:spacing w:val="-2"/>
          <w:szCs w:val="22"/>
        </w:rPr>
        <w:t>r</w:t>
      </w:r>
      <w:r>
        <w:rPr>
          <w:szCs w:val="22"/>
        </w:rPr>
        <w:t>ea pe p</w:t>
      </w:r>
      <w:r>
        <w:rPr>
          <w:spacing w:val="1"/>
          <w:szCs w:val="22"/>
        </w:rPr>
        <w:t>i</w:t>
      </w:r>
      <w:r>
        <w:rPr>
          <w:spacing w:val="-3"/>
          <w:szCs w:val="22"/>
        </w:rPr>
        <w:t>a</w:t>
      </w:r>
      <w:r>
        <w:rPr>
          <w:spacing w:val="1"/>
          <w:szCs w:val="22"/>
        </w:rPr>
        <w:t>ţ</w:t>
      </w:r>
      <w:r>
        <w:rPr>
          <w:szCs w:val="22"/>
        </w:rPr>
        <w:t xml:space="preserve">ă </w:t>
      </w:r>
      <w:r>
        <w:rPr>
          <w:spacing w:val="-2"/>
          <w:szCs w:val="22"/>
        </w:rPr>
        <w:t>ş</w:t>
      </w:r>
      <w:r>
        <w:rPr>
          <w:szCs w:val="22"/>
        </w:rPr>
        <w:t>i</w:t>
      </w:r>
      <w:r>
        <w:rPr>
          <w:spacing w:val="1"/>
          <w:szCs w:val="22"/>
        </w:rPr>
        <w:t xml:space="preserve"> </w:t>
      </w:r>
      <w:r>
        <w:rPr>
          <w:szCs w:val="22"/>
        </w:rPr>
        <w:t>e</w:t>
      </w:r>
      <w:r>
        <w:rPr>
          <w:spacing w:val="-2"/>
          <w:szCs w:val="22"/>
        </w:rPr>
        <w:t>s</w:t>
      </w:r>
      <w:r>
        <w:rPr>
          <w:spacing w:val="1"/>
          <w:szCs w:val="22"/>
        </w:rPr>
        <w:t>t</w:t>
      </w:r>
      <w:r>
        <w:rPr>
          <w:szCs w:val="22"/>
        </w:rPr>
        <w:t>e</w:t>
      </w:r>
      <w:r>
        <w:rPr>
          <w:spacing w:val="-2"/>
          <w:szCs w:val="22"/>
        </w:rPr>
        <w:t xml:space="preserve"> </w:t>
      </w:r>
      <w:r>
        <w:rPr>
          <w:szCs w:val="22"/>
        </w:rPr>
        <w:t>pre</w:t>
      </w:r>
      <w:r>
        <w:rPr>
          <w:spacing w:val="-3"/>
          <w:szCs w:val="22"/>
        </w:rPr>
        <w:t>z</w:t>
      </w:r>
      <w:r>
        <w:rPr>
          <w:szCs w:val="22"/>
        </w:rPr>
        <w:t>e</w:t>
      </w:r>
      <w:r>
        <w:rPr>
          <w:spacing w:val="-3"/>
          <w:szCs w:val="22"/>
        </w:rPr>
        <w:t>n</w:t>
      </w:r>
      <w:r>
        <w:rPr>
          <w:spacing w:val="1"/>
          <w:szCs w:val="22"/>
        </w:rPr>
        <w:t>t</w:t>
      </w:r>
      <w:r>
        <w:rPr>
          <w:spacing w:val="-3"/>
          <w:szCs w:val="22"/>
        </w:rPr>
        <w:t>a</w:t>
      </w:r>
      <w:r>
        <w:rPr>
          <w:spacing w:val="1"/>
          <w:szCs w:val="22"/>
        </w:rPr>
        <w:t>t</w:t>
      </w:r>
      <w:r>
        <w:rPr>
          <w:szCs w:val="22"/>
        </w:rPr>
        <w:t xml:space="preserve">ă </w:t>
      </w:r>
      <w:r>
        <w:rPr>
          <w:spacing w:val="-2"/>
          <w:szCs w:val="22"/>
        </w:rPr>
        <w:t>î</w:t>
      </w:r>
      <w:r>
        <w:rPr>
          <w:szCs w:val="22"/>
        </w:rPr>
        <w:t>n f</w:t>
      </w:r>
      <w:r>
        <w:rPr>
          <w:spacing w:val="-3"/>
          <w:szCs w:val="22"/>
        </w:rPr>
        <w:t>u</w:t>
      </w:r>
      <w:r>
        <w:rPr>
          <w:szCs w:val="22"/>
        </w:rPr>
        <w:t>nc</w:t>
      </w:r>
      <w:r>
        <w:rPr>
          <w:spacing w:val="-2"/>
          <w:szCs w:val="22"/>
        </w:rPr>
        <w:t>ţ</w:t>
      </w:r>
      <w:r>
        <w:rPr>
          <w:spacing w:val="1"/>
          <w:szCs w:val="22"/>
        </w:rPr>
        <w:t>i</w:t>
      </w:r>
      <w:r>
        <w:rPr>
          <w:szCs w:val="22"/>
        </w:rPr>
        <w:t>e de</w:t>
      </w:r>
      <w:r>
        <w:rPr>
          <w:spacing w:val="-2"/>
          <w:szCs w:val="22"/>
        </w:rPr>
        <w:t xml:space="preserve"> </w:t>
      </w:r>
      <w:r>
        <w:rPr>
          <w:szCs w:val="22"/>
        </w:rPr>
        <w:t>s</w:t>
      </w:r>
      <w:r>
        <w:rPr>
          <w:spacing w:val="-2"/>
          <w:szCs w:val="22"/>
        </w:rPr>
        <w:t>i</w:t>
      </w:r>
      <w:r>
        <w:rPr>
          <w:szCs w:val="22"/>
        </w:rPr>
        <w:t>s</w:t>
      </w:r>
      <w:r>
        <w:rPr>
          <w:spacing w:val="-2"/>
          <w:szCs w:val="22"/>
        </w:rPr>
        <w:t>t</w:t>
      </w:r>
      <w:r>
        <w:rPr>
          <w:szCs w:val="22"/>
        </w:rPr>
        <w:t>e</w:t>
      </w:r>
      <w:r>
        <w:rPr>
          <w:spacing w:val="-4"/>
          <w:szCs w:val="22"/>
        </w:rPr>
        <w:t>m</w:t>
      </w:r>
      <w:r>
        <w:rPr>
          <w:szCs w:val="22"/>
        </w:rPr>
        <w:t>e</w:t>
      </w:r>
      <w:r>
        <w:rPr>
          <w:spacing w:val="1"/>
          <w:szCs w:val="22"/>
        </w:rPr>
        <w:t>l</w:t>
      </w:r>
      <w:r>
        <w:rPr>
          <w:szCs w:val="22"/>
        </w:rPr>
        <w:t>e şi</w:t>
      </w:r>
      <w:r>
        <w:rPr>
          <w:spacing w:val="-2"/>
          <w:szCs w:val="22"/>
        </w:rPr>
        <w:t xml:space="preserve"> </w:t>
      </w:r>
      <w:r>
        <w:rPr>
          <w:szCs w:val="22"/>
        </w:rPr>
        <w:t>or</w:t>
      </w:r>
      <w:r>
        <w:rPr>
          <w:spacing w:val="-3"/>
          <w:szCs w:val="22"/>
        </w:rPr>
        <w:t>g</w:t>
      </w:r>
      <w:r>
        <w:rPr>
          <w:szCs w:val="22"/>
        </w:rPr>
        <w:t>an</w:t>
      </w:r>
      <w:r>
        <w:rPr>
          <w:spacing w:val="-3"/>
          <w:szCs w:val="22"/>
        </w:rPr>
        <w:t>e</w:t>
      </w:r>
      <w:r>
        <w:rPr>
          <w:spacing w:val="1"/>
          <w:szCs w:val="22"/>
        </w:rPr>
        <w:t>l</w:t>
      </w:r>
      <w:r>
        <w:rPr>
          <w:szCs w:val="22"/>
        </w:rPr>
        <w:t xml:space="preserve">e </w:t>
      </w:r>
      <w:r>
        <w:rPr>
          <w:spacing w:val="-3"/>
          <w:szCs w:val="22"/>
        </w:rPr>
        <w:t>a</w:t>
      </w:r>
      <w:r>
        <w:rPr>
          <w:szCs w:val="22"/>
        </w:rPr>
        <w:t>fe</w:t>
      </w:r>
      <w:r>
        <w:rPr>
          <w:spacing w:val="-3"/>
          <w:szCs w:val="22"/>
        </w:rPr>
        <w:t>c</w:t>
      </w:r>
      <w:r>
        <w:rPr>
          <w:spacing w:val="1"/>
          <w:szCs w:val="22"/>
        </w:rPr>
        <w:t>t</w:t>
      </w:r>
      <w:r>
        <w:rPr>
          <w:spacing w:val="-3"/>
          <w:szCs w:val="22"/>
        </w:rPr>
        <w:t>a</w:t>
      </w:r>
      <w:r>
        <w:rPr>
          <w:spacing w:val="1"/>
          <w:szCs w:val="22"/>
        </w:rPr>
        <w:t>t</w:t>
      </w:r>
      <w:r>
        <w:rPr>
          <w:szCs w:val="22"/>
        </w:rPr>
        <w:t xml:space="preserve">e, </w:t>
      </w:r>
      <w:r>
        <w:rPr>
          <w:spacing w:val="-3"/>
          <w:szCs w:val="22"/>
        </w:rPr>
        <w:t>p</w:t>
      </w:r>
      <w:r>
        <w:rPr>
          <w:szCs w:val="22"/>
        </w:rPr>
        <w:t>re</w:t>
      </w:r>
      <w:r>
        <w:rPr>
          <w:spacing w:val="-3"/>
          <w:szCs w:val="22"/>
        </w:rPr>
        <w:t>c</w:t>
      </w:r>
      <w:r>
        <w:rPr>
          <w:szCs w:val="22"/>
        </w:rPr>
        <w:t>um</w:t>
      </w:r>
      <w:r>
        <w:rPr>
          <w:spacing w:val="-4"/>
          <w:szCs w:val="22"/>
        </w:rPr>
        <w:t xml:space="preserve"> </w:t>
      </w:r>
      <w:r>
        <w:rPr>
          <w:szCs w:val="22"/>
        </w:rPr>
        <w:t xml:space="preserve">şi de </w:t>
      </w:r>
      <w:r>
        <w:rPr>
          <w:spacing w:val="-2"/>
          <w:szCs w:val="22"/>
        </w:rPr>
        <w:t>f</w:t>
      </w:r>
      <w:r>
        <w:rPr>
          <w:szCs w:val="22"/>
        </w:rPr>
        <w:t>r</w:t>
      </w:r>
      <w:r>
        <w:rPr>
          <w:spacing w:val="-3"/>
          <w:szCs w:val="22"/>
        </w:rPr>
        <w:t>e</w:t>
      </w:r>
      <w:r>
        <w:rPr>
          <w:szCs w:val="22"/>
        </w:rPr>
        <w:t>c</w:t>
      </w:r>
      <w:r>
        <w:rPr>
          <w:spacing w:val="-3"/>
          <w:szCs w:val="22"/>
        </w:rPr>
        <w:t>v</w:t>
      </w:r>
      <w:r>
        <w:rPr>
          <w:szCs w:val="22"/>
        </w:rPr>
        <w:t>en</w:t>
      </w:r>
      <w:r>
        <w:rPr>
          <w:spacing w:val="1"/>
          <w:szCs w:val="22"/>
        </w:rPr>
        <w:t>ţ</w:t>
      </w:r>
      <w:r>
        <w:rPr>
          <w:szCs w:val="22"/>
        </w:rPr>
        <w:t xml:space="preserve">ă </w:t>
      </w:r>
      <w:r>
        <w:rPr>
          <w:spacing w:val="-2"/>
          <w:szCs w:val="22"/>
        </w:rPr>
        <w:t>î</w:t>
      </w:r>
      <w:r>
        <w:rPr>
          <w:szCs w:val="22"/>
        </w:rPr>
        <w:t xml:space="preserve">n </w:t>
      </w:r>
      <w:r>
        <w:rPr>
          <w:spacing w:val="1"/>
          <w:szCs w:val="22"/>
        </w:rPr>
        <w:t>t</w:t>
      </w:r>
      <w:r>
        <w:rPr>
          <w:spacing w:val="-3"/>
          <w:szCs w:val="22"/>
        </w:rPr>
        <w:t>a</w:t>
      </w:r>
      <w:r>
        <w:rPr>
          <w:szCs w:val="22"/>
        </w:rPr>
        <w:t>be</w:t>
      </w:r>
      <w:r>
        <w:rPr>
          <w:spacing w:val="-2"/>
          <w:szCs w:val="22"/>
        </w:rPr>
        <w:t>l</w:t>
      </w:r>
      <w:r>
        <w:rPr>
          <w:szCs w:val="22"/>
        </w:rPr>
        <w:t>ul</w:t>
      </w:r>
      <w:r>
        <w:rPr>
          <w:rFonts w:eastAsia="MS Mincho"/>
          <w:spacing w:val="-3"/>
          <w:szCs w:val="22"/>
          <w:lang w:eastAsia="en-US" w:bidi="ar-SA"/>
        </w:rPr>
        <w:t> 7</w:t>
      </w:r>
      <w:r>
        <w:rPr>
          <w:szCs w:val="22"/>
        </w:rPr>
        <w:t>: foa</w:t>
      </w:r>
      <w:r>
        <w:rPr>
          <w:spacing w:val="-2"/>
          <w:szCs w:val="22"/>
        </w:rPr>
        <w:t>r</w:t>
      </w:r>
      <w:r>
        <w:rPr>
          <w:spacing w:val="1"/>
          <w:szCs w:val="22"/>
        </w:rPr>
        <w:t>t</w:t>
      </w:r>
      <w:r>
        <w:rPr>
          <w:szCs w:val="22"/>
        </w:rPr>
        <w:t>e</w:t>
      </w:r>
      <w:r>
        <w:rPr>
          <w:spacing w:val="-2"/>
          <w:szCs w:val="22"/>
        </w:rPr>
        <w:t xml:space="preserve"> </w:t>
      </w:r>
      <w:r>
        <w:rPr>
          <w:szCs w:val="22"/>
        </w:rPr>
        <w:t>f</w:t>
      </w:r>
      <w:r>
        <w:rPr>
          <w:spacing w:val="-2"/>
          <w:szCs w:val="22"/>
        </w:rPr>
        <w:t>r</w:t>
      </w:r>
      <w:r>
        <w:rPr>
          <w:szCs w:val="22"/>
        </w:rPr>
        <w:t>ec</w:t>
      </w:r>
      <w:r>
        <w:rPr>
          <w:spacing w:val="-3"/>
          <w:szCs w:val="22"/>
        </w:rPr>
        <w:t>v</w:t>
      </w:r>
      <w:r>
        <w:rPr>
          <w:szCs w:val="22"/>
        </w:rPr>
        <w:t>en</w:t>
      </w:r>
      <w:r>
        <w:rPr>
          <w:spacing w:val="1"/>
          <w:szCs w:val="22"/>
        </w:rPr>
        <w:t>t</w:t>
      </w:r>
      <w:r>
        <w:rPr>
          <w:szCs w:val="22"/>
        </w:rPr>
        <w:t>e</w:t>
      </w:r>
      <w:r>
        <w:rPr>
          <w:spacing w:val="-2"/>
          <w:szCs w:val="22"/>
        </w:rPr>
        <w:t xml:space="preserve"> (</w:t>
      </w:r>
      <w:r>
        <w:rPr>
          <w:spacing w:val="1"/>
          <w:szCs w:val="22"/>
        </w:rPr>
        <w:t>≥</w:t>
      </w:r>
      <w:r>
        <w:rPr>
          <w:szCs w:val="22"/>
        </w:rPr>
        <w:t>1</w:t>
      </w:r>
      <w:r>
        <w:rPr>
          <w:spacing w:val="1"/>
          <w:szCs w:val="22"/>
        </w:rPr>
        <w:t>/</w:t>
      </w:r>
      <w:r>
        <w:rPr>
          <w:spacing w:val="-3"/>
          <w:szCs w:val="22"/>
        </w:rPr>
        <w:t>1</w:t>
      </w:r>
      <w:r>
        <w:rPr>
          <w:szCs w:val="22"/>
        </w:rPr>
        <w:t>0</w:t>
      </w:r>
      <w:r>
        <w:rPr>
          <w:spacing w:val="-2"/>
          <w:szCs w:val="22"/>
        </w:rPr>
        <w:t>)</w:t>
      </w:r>
      <w:r>
        <w:rPr>
          <w:szCs w:val="22"/>
        </w:rPr>
        <w:t>;</w:t>
      </w:r>
      <w:r>
        <w:rPr>
          <w:spacing w:val="1"/>
          <w:szCs w:val="22"/>
        </w:rPr>
        <w:t xml:space="preserve"> </w:t>
      </w:r>
      <w:r>
        <w:rPr>
          <w:spacing w:val="-2"/>
          <w:szCs w:val="22"/>
        </w:rPr>
        <w:t>fr</w:t>
      </w:r>
      <w:r>
        <w:rPr>
          <w:szCs w:val="22"/>
        </w:rPr>
        <w:t>ec</w:t>
      </w:r>
      <w:r>
        <w:rPr>
          <w:spacing w:val="-3"/>
          <w:szCs w:val="22"/>
        </w:rPr>
        <w:t>v</w:t>
      </w:r>
      <w:r>
        <w:rPr>
          <w:szCs w:val="22"/>
        </w:rPr>
        <w:t>en</w:t>
      </w:r>
      <w:r>
        <w:rPr>
          <w:spacing w:val="1"/>
          <w:szCs w:val="22"/>
        </w:rPr>
        <w:t>t</w:t>
      </w:r>
      <w:r>
        <w:rPr>
          <w:szCs w:val="22"/>
        </w:rPr>
        <w:t>e</w:t>
      </w:r>
      <w:r>
        <w:rPr>
          <w:spacing w:val="-3"/>
          <w:szCs w:val="22"/>
        </w:rPr>
        <w:t xml:space="preserve"> </w:t>
      </w:r>
      <w:r>
        <w:rPr>
          <w:szCs w:val="22"/>
        </w:rPr>
        <w:t>(</w:t>
      </w:r>
      <w:r>
        <w:rPr>
          <w:spacing w:val="-2"/>
          <w:szCs w:val="22"/>
        </w:rPr>
        <w:t>≥</w:t>
      </w:r>
      <w:r>
        <w:rPr>
          <w:szCs w:val="22"/>
        </w:rPr>
        <w:t>1</w:t>
      </w:r>
      <w:r>
        <w:rPr>
          <w:spacing w:val="1"/>
          <w:szCs w:val="22"/>
        </w:rPr>
        <w:t>/</w:t>
      </w:r>
      <w:r>
        <w:rPr>
          <w:szCs w:val="22"/>
        </w:rPr>
        <w:t>1</w:t>
      </w:r>
      <w:r>
        <w:rPr>
          <w:spacing w:val="-3"/>
          <w:szCs w:val="22"/>
        </w:rPr>
        <w:t>0</w:t>
      </w:r>
      <w:r>
        <w:rPr>
          <w:szCs w:val="22"/>
        </w:rPr>
        <w:t>0 şi</w:t>
      </w:r>
      <w:r>
        <w:rPr>
          <w:spacing w:val="-2"/>
          <w:szCs w:val="22"/>
        </w:rPr>
        <w:t xml:space="preserve"> </w:t>
      </w:r>
      <w:r>
        <w:rPr>
          <w:szCs w:val="22"/>
        </w:rPr>
        <w:t>&lt;</w:t>
      </w:r>
      <w:r>
        <w:rPr>
          <w:spacing w:val="-3"/>
          <w:szCs w:val="22"/>
        </w:rPr>
        <w:t>1</w:t>
      </w:r>
      <w:r>
        <w:rPr>
          <w:spacing w:val="1"/>
          <w:szCs w:val="22"/>
        </w:rPr>
        <w:t>/</w:t>
      </w:r>
      <w:r>
        <w:rPr>
          <w:szCs w:val="22"/>
        </w:rPr>
        <w:t>10</w:t>
      </w:r>
      <w:r>
        <w:rPr>
          <w:spacing w:val="-2"/>
          <w:szCs w:val="22"/>
        </w:rPr>
        <w:t>)</w:t>
      </w:r>
      <w:r>
        <w:rPr>
          <w:szCs w:val="22"/>
        </w:rPr>
        <w:t>;</w:t>
      </w:r>
      <w:r>
        <w:rPr>
          <w:spacing w:val="-2"/>
          <w:szCs w:val="22"/>
        </w:rPr>
        <w:t xml:space="preserve"> </w:t>
      </w:r>
      <w:r>
        <w:rPr>
          <w:spacing w:val="-4"/>
          <w:szCs w:val="22"/>
        </w:rPr>
        <w:t>m</w:t>
      </w:r>
      <w:r>
        <w:rPr>
          <w:szCs w:val="22"/>
        </w:rPr>
        <w:t>ai</w:t>
      </w:r>
      <w:r>
        <w:rPr>
          <w:spacing w:val="1"/>
          <w:szCs w:val="22"/>
        </w:rPr>
        <w:t xml:space="preserve"> </w:t>
      </w:r>
      <w:r>
        <w:rPr>
          <w:szCs w:val="22"/>
        </w:rPr>
        <w:t>pu</w:t>
      </w:r>
      <w:r>
        <w:rPr>
          <w:spacing w:val="1"/>
          <w:szCs w:val="22"/>
        </w:rPr>
        <w:t>ţi</w:t>
      </w:r>
      <w:r>
        <w:rPr>
          <w:szCs w:val="22"/>
        </w:rPr>
        <w:t>n</w:t>
      </w:r>
      <w:r>
        <w:rPr>
          <w:spacing w:val="-3"/>
          <w:szCs w:val="22"/>
        </w:rPr>
        <w:t xml:space="preserve"> </w:t>
      </w:r>
      <w:r>
        <w:rPr>
          <w:szCs w:val="22"/>
        </w:rPr>
        <w:t>f</w:t>
      </w:r>
      <w:r>
        <w:rPr>
          <w:spacing w:val="-2"/>
          <w:szCs w:val="22"/>
        </w:rPr>
        <w:t>r</w:t>
      </w:r>
      <w:r>
        <w:rPr>
          <w:szCs w:val="22"/>
        </w:rPr>
        <w:t>ec</w:t>
      </w:r>
      <w:r>
        <w:rPr>
          <w:spacing w:val="-3"/>
          <w:szCs w:val="22"/>
        </w:rPr>
        <w:t>v</w:t>
      </w:r>
      <w:r>
        <w:rPr>
          <w:szCs w:val="22"/>
        </w:rPr>
        <w:t>en</w:t>
      </w:r>
      <w:r>
        <w:rPr>
          <w:spacing w:val="1"/>
          <w:szCs w:val="22"/>
        </w:rPr>
        <w:t>t</w:t>
      </w:r>
      <w:r>
        <w:rPr>
          <w:szCs w:val="22"/>
        </w:rPr>
        <w:t>e</w:t>
      </w:r>
      <w:r>
        <w:rPr>
          <w:spacing w:val="-2"/>
          <w:szCs w:val="22"/>
        </w:rPr>
        <w:t xml:space="preserve"> (</w:t>
      </w:r>
      <w:r>
        <w:rPr>
          <w:spacing w:val="1"/>
          <w:szCs w:val="22"/>
        </w:rPr>
        <w:t>≥</w:t>
      </w:r>
      <w:r>
        <w:rPr>
          <w:szCs w:val="22"/>
        </w:rPr>
        <w:t>1</w:t>
      </w:r>
      <w:r>
        <w:rPr>
          <w:spacing w:val="1"/>
          <w:szCs w:val="22"/>
        </w:rPr>
        <w:t>/</w:t>
      </w:r>
      <w:r>
        <w:rPr>
          <w:spacing w:val="-3"/>
          <w:szCs w:val="22"/>
        </w:rPr>
        <w:t>10</w:t>
      </w:r>
      <w:r>
        <w:rPr>
          <w:szCs w:val="22"/>
        </w:rPr>
        <w:t>00 şi</w:t>
      </w:r>
      <w:r>
        <w:rPr>
          <w:spacing w:val="-2"/>
          <w:szCs w:val="22"/>
        </w:rPr>
        <w:t xml:space="preserve"> </w:t>
      </w:r>
      <w:r>
        <w:rPr>
          <w:szCs w:val="22"/>
        </w:rPr>
        <w:t>&lt;1</w:t>
      </w:r>
      <w:r>
        <w:rPr>
          <w:spacing w:val="1"/>
          <w:szCs w:val="22"/>
        </w:rPr>
        <w:t>/</w:t>
      </w:r>
      <w:r>
        <w:rPr>
          <w:spacing w:val="-3"/>
          <w:szCs w:val="22"/>
        </w:rPr>
        <w:t>1</w:t>
      </w:r>
      <w:r>
        <w:rPr>
          <w:szCs w:val="22"/>
        </w:rPr>
        <w:t>00),</w:t>
      </w:r>
      <w:r>
        <w:rPr>
          <w:spacing w:val="-3"/>
          <w:szCs w:val="22"/>
        </w:rPr>
        <w:t xml:space="preserve"> </w:t>
      </w:r>
      <w:r>
        <w:rPr>
          <w:szCs w:val="22"/>
        </w:rPr>
        <w:t>r</w:t>
      </w:r>
      <w:r>
        <w:rPr>
          <w:spacing w:val="-3"/>
          <w:szCs w:val="22"/>
        </w:rPr>
        <w:t>a</w:t>
      </w:r>
      <w:r>
        <w:rPr>
          <w:szCs w:val="22"/>
        </w:rPr>
        <w:t>re</w:t>
      </w:r>
      <w:r>
        <w:rPr>
          <w:spacing w:val="-2"/>
          <w:szCs w:val="22"/>
        </w:rPr>
        <w:t xml:space="preserve"> </w:t>
      </w:r>
      <w:r>
        <w:rPr>
          <w:szCs w:val="22"/>
        </w:rPr>
        <w:t>(</w:t>
      </w:r>
      <w:r>
        <w:rPr>
          <w:spacing w:val="1"/>
          <w:szCs w:val="22"/>
        </w:rPr>
        <w:t>≥</w:t>
      </w:r>
      <w:r>
        <w:rPr>
          <w:szCs w:val="22"/>
        </w:rPr>
        <w:t>1</w:t>
      </w:r>
      <w:r>
        <w:rPr>
          <w:spacing w:val="-2"/>
          <w:szCs w:val="22"/>
        </w:rPr>
        <w:t>/</w:t>
      </w:r>
      <w:r>
        <w:rPr>
          <w:szCs w:val="22"/>
        </w:rPr>
        <w:t>10000</w:t>
      </w:r>
      <w:r>
        <w:rPr>
          <w:spacing w:val="-3"/>
          <w:szCs w:val="22"/>
        </w:rPr>
        <w:t xml:space="preserve"> </w:t>
      </w:r>
      <w:r>
        <w:rPr>
          <w:szCs w:val="22"/>
        </w:rPr>
        <w:t>şi</w:t>
      </w:r>
      <w:r>
        <w:rPr>
          <w:spacing w:val="-2"/>
          <w:szCs w:val="22"/>
        </w:rPr>
        <w:t xml:space="preserve"> </w:t>
      </w:r>
      <w:r>
        <w:rPr>
          <w:szCs w:val="22"/>
        </w:rPr>
        <w:t>&lt;1</w:t>
      </w:r>
      <w:r>
        <w:rPr>
          <w:spacing w:val="1"/>
          <w:szCs w:val="22"/>
        </w:rPr>
        <w:t>/</w:t>
      </w:r>
      <w:r>
        <w:rPr>
          <w:spacing w:val="-3"/>
          <w:szCs w:val="22"/>
        </w:rPr>
        <w:t>1</w:t>
      </w:r>
      <w:r>
        <w:rPr>
          <w:szCs w:val="22"/>
        </w:rPr>
        <w:t>000)</w:t>
      </w:r>
      <w:r>
        <w:rPr>
          <w:spacing w:val="-2"/>
          <w:szCs w:val="22"/>
        </w:rPr>
        <w:t xml:space="preserve"> </w:t>
      </w:r>
      <w:r>
        <w:rPr>
          <w:szCs w:val="22"/>
        </w:rPr>
        <w:t>şi</w:t>
      </w:r>
      <w:r>
        <w:rPr>
          <w:spacing w:val="-2"/>
          <w:szCs w:val="22"/>
        </w:rPr>
        <w:t xml:space="preserve"> </w:t>
      </w:r>
      <w:r>
        <w:rPr>
          <w:szCs w:val="22"/>
        </w:rPr>
        <w:t>cu</w:t>
      </w:r>
      <w:r>
        <w:rPr>
          <w:spacing w:val="-3"/>
          <w:szCs w:val="22"/>
        </w:rPr>
        <w:t xml:space="preserve"> </w:t>
      </w:r>
      <w:r>
        <w:rPr>
          <w:szCs w:val="22"/>
        </w:rPr>
        <w:t>fr</w:t>
      </w:r>
      <w:r>
        <w:rPr>
          <w:spacing w:val="-3"/>
          <w:szCs w:val="22"/>
        </w:rPr>
        <w:t>e</w:t>
      </w:r>
      <w:r>
        <w:rPr>
          <w:szCs w:val="22"/>
        </w:rPr>
        <w:t>c</w:t>
      </w:r>
      <w:r>
        <w:rPr>
          <w:spacing w:val="-3"/>
          <w:szCs w:val="22"/>
        </w:rPr>
        <w:t>v</w:t>
      </w:r>
      <w:r>
        <w:rPr>
          <w:szCs w:val="22"/>
        </w:rPr>
        <w:t>en</w:t>
      </w:r>
      <w:r>
        <w:rPr>
          <w:spacing w:val="1"/>
          <w:szCs w:val="22"/>
        </w:rPr>
        <w:t>ţ</w:t>
      </w:r>
      <w:r>
        <w:rPr>
          <w:szCs w:val="22"/>
        </w:rPr>
        <w:t xml:space="preserve">ă </w:t>
      </w:r>
      <w:r>
        <w:rPr>
          <w:spacing w:val="-3"/>
          <w:szCs w:val="22"/>
        </w:rPr>
        <w:t>n</w:t>
      </w:r>
      <w:r>
        <w:rPr>
          <w:szCs w:val="22"/>
        </w:rPr>
        <w:t>ecun</w:t>
      </w:r>
      <w:r>
        <w:rPr>
          <w:spacing w:val="-3"/>
          <w:szCs w:val="22"/>
        </w:rPr>
        <w:t>o</w:t>
      </w:r>
      <w:r>
        <w:rPr>
          <w:szCs w:val="22"/>
        </w:rPr>
        <w:t>sc</w:t>
      </w:r>
      <w:r>
        <w:rPr>
          <w:spacing w:val="-3"/>
          <w:szCs w:val="22"/>
        </w:rPr>
        <w:t>u</w:t>
      </w:r>
      <w:r>
        <w:rPr>
          <w:spacing w:val="1"/>
          <w:szCs w:val="22"/>
        </w:rPr>
        <w:t>t</w:t>
      </w:r>
      <w:r>
        <w:rPr>
          <w:szCs w:val="22"/>
        </w:rPr>
        <w:t>ă</w:t>
      </w:r>
      <w:r>
        <w:rPr>
          <w:spacing w:val="-3"/>
          <w:szCs w:val="22"/>
        </w:rPr>
        <w:t xml:space="preserve"> </w:t>
      </w:r>
      <w:r>
        <w:rPr>
          <w:szCs w:val="22"/>
        </w:rPr>
        <w:t>(nu</w:t>
      </w:r>
      <w:r>
        <w:rPr>
          <w:spacing w:val="-3"/>
          <w:szCs w:val="22"/>
        </w:rPr>
        <w:t xml:space="preserve"> </w:t>
      </w:r>
      <w:r>
        <w:rPr>
          <w:szCs w:val="22"/>
        </w:rPr>
        <w:t>poa</w:t>
      </w:r>
      <w:r>
        <w:rPr>
          <w:spacing w:val="1"/>
          <w:szCs w:val="22"/>
        </w:rPr>
        <w:t>t</w:t>
      </w:r>
      <w:r>
        <w:rPr>
          <w:szCs w:val="22"/>
        </w:rPr>
        <w:t>e</w:t>
      </w:r>
      <w:r>
        <w:rPr>
          <w:spacing w:val="-2"/>
          <w:szCs w:val="22"/>
        </w:rPr>
        <w:t xml:space="preserve"> f</w:t>
      </w:r>
      <w:r>
        <w:rPr>
          <w:szCs w:val="22"/>
        </w:rPr>
        <w:t>i</w:t>
      </w:r>
      <w:r>
        <w:rPr>
          <w:spacing w:val="1"/>
          <w:szCs w:val="22"/>
        </w:rPr>
        <w:t xml:space="preserve"> </w:t>
      </w:r>
      <w:r>
        <w:rPr>
          <w:szCs w:val="22"/>
        </w:rPr>
        <w:t>e</w:t>
      </w:r>
      <w:r>
        <w:rPr>
          <w:spacing w:val="-2"/>
          <w:szCs w:val="22"/>
        </w:rPr>
        <w:t>s</w:t>
      </w:r>
      <w:r>
        <w:rPr>
          <w:spacing w:val="1"/>
          <w:szCs w:val="22"/>
        </w:rPr>
        <w:t>ti</w:t>
      </w:r>
      <w:r>
        <w:rPr>
          <w:spacing w:val="-4"/>
          <w:szCs w:val="22"/>
        </w:rPr>
        <w:t>m</w:t>
      </w:r>
      <w:r>
        <w:rPr>
          <w:szCs w:val="22"/>
        </w:rPr>
        <w:t>a</w:t>
      </w:r>
      <w:r>
        <w:rPr>
          <w:spacing w:val="1"/>
          <w:szCs w:val="22"/>
        </w:rPr>
        <w:t>t</w:t>
      </w:r>
      <w:r>
        <w:rPr>
          <w:szCs w:val="22"/>
        </w:rPr>
        <w:t xml:space="preserve">ă </w:t>
      </w:r>
      <w:r>
        <w:rPr>
          <w:spacing w:val="-3"/>
          <w:szCs w:val="22"/>
        </w:rPr>
        <w:t>d</w:t>
      </w:r>
      <w:r>
        <w:rPr>
          <w:spacing w:val="1"/>
          <w:szCs w:val="22"/>
        </w:rPr>
        <w:t>i</w:t>
      </w:r>
      <w:r>
        <w:rPr>
          <w:szCs w:val="22"/>
        </w:rPr>
        <w:t xml:space="preserve">n </w:t>
      </w:r>
      <w:r>
        <w:rPr>
          <w:spacing w:val="-3"/>
          <w:szCs w:val="22"/>
        </w:rPr>
        <w:t>d</w:t>
      </w:r>
      <w:r>
        <w:rPr>
          <w:szCs w:val="22"/>
        </w:rPr>
        <w:t>a</w:t>
      </w:r>
      <w:r>
        <w:rPr>
          <w:spacing w:val="-2"/>
          <w:szCs w:val="22"/>
        </w:rPr>
        <w:t>t</w:t>
      </w:r>
      <w:r>
        <w:rPr>
          <w:szCs w:val="22"/>
        </w:rPr>
        <w:t>e</w:t>
      </w:r>
      <w:r>
        <w:rPr>
          <w:spacing w:val="1"/>
          <w:szCs w:val="22"/>
        </w:rPr>
        <w:t>l</w:t>
      </w:r>
      <w:r>
        <w:rPr>
          <w:szCs w:val="22"/>
        </w:rPr>
        <w:t>e</w:t>
      </w:r>
      <w:r>
        <w:rPr>
          <w:spacing w:val="-2"/>
          <w:szCs w:val="22"/>
        </w:rPr>
        <w:t xml:space="preserve"> </w:t>
      </w:r>
      <w:r>
        <w:rPr>
          <w:szCs w:val="22"/>
        </w:rPr>
        <w:t>d</w:t>
      </w:r>
      <w:r>
        <w:rPr>
          <w:spacing w:val="1"/>
          <w:szCs w:val="22"/>
        </w:rPr>
        <w:t>i</w:t>
      </w:r>
      <w:r>
        <w:rPr>
          <w:szCs w:val="22"/>
        </w:rPr>
        <w:t>sp</w:t>
      </w:r>
      <w:r>
        <w:rPr>
          <w:spacing w:val="-3"/>
          <w:szCs w:val="22"/>
        </w:rPr>
        <w:t>o</w:t>
      </w:r>
      <w:r>
        <w:rPr>
          <w:szCs w:val="22"/>
        </w:rPr>
        <w:t>n</w:t>
      </w:r>
      <w:r>
        <w:rPr>
          <w:spacing w:val="1"/>
          <w:szCs w:val="22"/>
        </w:rPr>
        <w:t>i</w:t>
      </w:r>
      <w:r>
        <w:rPr>
          <w:spacing w:val="-3"/>
          <w:szCs w:val="22"/>
        </w:rPr>
        <w:t>b</w:t>
      </w:r>
      <w:r>
        <w:rPr>
          <w:spacing w:val="1"/>
          <w:szCs w:val="22"/>
        </w:rPr>
        <w:t>i</w:t>
      </w:r>
      <w:r>
        <w:rPr>
          <w:spacing w:val="-2"/>
          <w:szCs w:val="22"/>
        </w:rPr>
        <w:t>l</w:t>
      </w:r>
      <w:r>
        <w:rPr>
          <w:szCs w:val="22"/>
        </w:rPr>
        <w:t xml:space="preserve">e). </w:t>
      </w:r>
      <w:r>
        <w:rPr>
          <w:spacing w:val="-4"/>
          <w:szCs w:val="22"/>
        </w:rPr>
        <w:t>Î</w:t>
      </w:r>
      <w:r>
        <w:rPr>
          <w:szCs w:val="22"/>
        </w:rPr>
        <w:t>n cadr</w:t>
      </w:r>
      <w:r>
        <w:rPr>
          <w:spacing w:val="-3"/>
          <w:szCs w:val="22"/>
        </w:rPr>
        <w:t>u</w:t>
      </w:r>
      <w:r>
        <w:rPr>
          <w:szCs w:val="22"/>
        </w:rPr>
        <w:t>l</w:t>
      </w:r>
      <w:r>
        <w:rPr>
          <w:spacing w:val="-2"/>
          <w:szCs w:val="22"/>
        </w:rPr>
        <w:t xml:space="preserve"> </w:t>
      </w:r>
      <w:r>
        <w:rPr>
          <w:szCs w:val="22"/>
        </w:rPr>
        <w:t>f</w:t>
      </w:r>
      <w:r>
        <w:rPr>
          <w:spacing w:val="1"/>
          <w:szCs w:val="22"/>
        </w:rPr>
        <w:t>i</w:t>
      </w:r>
      <w:r>
        <w:rPr>
          <w:spacing w:val="-3"/>
          <w:szCs w:val="22"/>
        </w:rPr>
        <w:t>e</w:t>
      </w:r>
      <w:r>
        <w:rPr>
          <w:szCs w:val="22"/>
        </w:rPr>
        <w:t>că</w:t>
      </w:r>
      <w:r>
        <w:rPr>
          <w:spacing w:val="-2"/>
          <w:szCs w:val="22"/>
        </w:rPr>
        <w:t>r</w:t>
      </w:r>
      <w:r>
        <w:rPr>
          <w:szCs w:val="22"/>
        </w:rPr>
        <w:t>ui</w:t>
      </w:r>
      <w:r>
        <w:rPr>
          <w:spacing w:val="1"/>
          <w:szCs w:val="22"/>
        </w:rPr>
        <w:t xml:space="preserve"> </w:t>
      </w:r>
      <w:r>
        <w:rPr>
          <w:spacing w:val="-3"/>
          <w:szCs w:val="22"/>
        </w:rPr>
        <w:t>g</w:t>
      </w:r>
      <w:r>
        <w:rPr>
          <w:szCs w:val="22"/>
        </w:rPr>
        <w:t xml:space="preserve">rup </w:t>
      </w:r>
      <w:r>
        <w:rPr>
          <w:rFonts w:eastAsia="MS Mincho"/>
          <w:spacing w:val="-3"/>
          <w:szCs w:val="22"/>
          <w:lang w:eastAsia="en-US" w:bidi="ar-SA"/>
        </w:rPr>
        <w:t xml:space="preserve">de </w:t>
      </w:r>
      <w:r>
        <w:rPr>
          <w:rFonts w:eastAsia="MS Mincho"/>
          <w:szCs w:val="22"/>
          <w:lang w:eastAsia="en-US" w:bidi="ar-SA"/>
        </w:rPr>
        <w:t>fr</w:t>
      </w:r>
      <w:r>
        <w:rPr>
          <w:rFonts w:eastAsia="MS Mincho"/>
          <w:spacing w:val="-3"/>
          <w:szCs w:val="22"/>
          <w:lang w:eastAsia="en-US" w:bidi="ar-SA"/>
        </w:rPr>
        <w:t>e</w:t>
      </w:r>
      <w:r>
        <w:rPr>
          <w:rFonts w:eastAsia="MS Mincho"/>
          <w:szCs w:val="22"/>
          <w:lang w:eastAsia="en-US" w:bidi="ar-SA"/>
        </w:rPr>
        <w:t>c</w:t>
      </w:r>
      <w:r>
        <w:rPr>
          <w:rFonts w:eastAsia="MS Mincho"/>
          <w:spacing w:val="-3"/>
          <w:szCs w:val="22"/>
          <w:lang w:eastAsia="en-US" w:bidi="ar-SA"/>
        </w:rPr>
        <w:t>v</w:t>
      </w:r>
      <w:r>
        <w:rPr>
          <w:rFonts w:eastAsia="MS Mincho"/>
          <w:szCs w:val="22"/>
          <w:lang w:eastAsia="en-US" w:bidi="ar-SA"/>
        </w:rPr>
        <w:t>en</w:t>
      </w:r>
      <w:r>
        <w:rPr>
          <w:rFonts w:eastAsia="MS Mincho"/>
          <w:spacing w:val="1"/>
          <w:szCs w:val="22"/>
          <w:lang w:eastAsia="en-US" w:bidi="ar-SA"/>
        </w:rPr>
        <w:t>ţ</w:t>
      </w:r>
      <w:r>
        <w:rPr>
          <w:rFonts w:eastAsia="MS Mincho"/>
          <w:szCs w:val="22"/>
          <w:lang w:eastAsia="en-US" w:bidi="ar-SA"/>
        </w:rPr>
        <w:t>ă</w:t>
      </w:r>
      <w:r>
        <w:rPr>
          <w:szCs w:val="22"/>
        </w:rPr>
        <w:t>,</w:t>
      </w:r>
      <w:r>
        <w:rPr>
          <w:spacing w:val="-3"/>
          <w:szCs w:val="22"/>
        </w:rPr>
        <w:t xml:space="preserve"> </w:t>
      </w:r>
      <w:r>
        <w:rPr>
          <w:szCs w:val="22"/>
        </w:rPr>
        <w:t>ef</w:t>
      </w:r>
      <w:r>
        <w:rPr>
          <w:spacing w:val="-3"/>
          <w:szCs w:val="22"/>
        </w:rPr>
        <w:t>e</w:t>
      </w:r>
      <w:r>
        <w:rPr>
          <w:szCs w:val="22"/>
        </w:rPr>
        <w:t>c</w:t>
      </w:r>
      <w:r>
        <w:rPr>
          <w:spacing w:val="-2"/>
          <w:szCs w:val="22"/>
        </w:rPr>
        <w:t>t</w:t>
      </w:r>
      <w:r>
        <w:rPr>
          <w:szCs w:val="22"/>
        </w:rPr>
        <w:t>e</w:t>
      </w:r>
      <w:r>
        <w:rPr>
          <w:spacing w:val="1"/>
          <w:szCs w:val="22"/>
        </w:rPr>
        <w:t>l</w:t>
      </w:r>
      <w:r>
        <w:rPr>
          <w:szCs w:val="22"/>
        </w:rPr>
        <w:t>e</w:t>
      </w:r>
      <w:r>
        <w:rPr>
          <w:spacing w:val="-2"/>
          <w:szCs w:val="22"/>
        </w:rPr>
        <w:t xml:space="preserve"> </w:t>
      </w:r>
      <w:r>
        <w:rPr>
          <w:szCs w:val="22"/>
        </w:rPr>
        <w:t>ad</w:t>
      </w:r>
      <w:r>
        <w:rPr>
          <w:spacing w:val="-3"/>
          <w:szCs w:val="22"/>
        </w:rPr>
        <w:t>v</w:t>
      </w:r>
      <w:r>
        <w:rPr>
          <w:szCs w:val="22"/>
        </w:rPr>
        <w:t>er</w:t>
      </w:r>
      <w:r>
        <w:rPr>
          <w:spacing w:val="-2"/>
          <w:szCs w:val="22"/>
        </w:rPr>
        <w:t>s</w:t>
      </w:r>
      <w:r>
        <w:rPr>
          <w:szCs w:val="22"/>
        </w:rPr>
        <w:t>e</w:t>
      </w:r>
      <w:r>
        <w:rPr>
          <w:spacing w:val="-2"/>
          <w:szCs w:val="22"/>
        </w:rPr>
        <w:t xml:space="preserve"> </w:t>
      </w:r>
      <w:r>
        <w:rPr>
          <w:szCs w:val="22"/>
        </w:rPr>
        <w:t>sunt</w:t>
      </w:r>
      <w:r>
        <w:rPr>
          <w:spacing w:val="1"/>
          <w:szCs w:val="22"/>
        </w:rPr>
        <w:t xml:space="preserve"> </w:t>
      </w:r>
      <w:r>
        <w:rPr>
          <w:spacing w:val="-4"/>
          <w:szCs w:val="22"/>
        </w:rPr>
        <w:t>m</w:t>
      </w:r>
      <w:r>
        <w:rPr>
          <w:szCs w:val="22"/>
        </w:rPr>
        <w:t>en</w:t>
      </w:r>
      <w:r>
        <w:rPr>
          <w:spacing w:val="1"/>
          <w:szCs w:val="22"/>
        </w:rPr>
        <w:t>ţ</w:t>
      </w:r>
      <w:r>
        <w:rPr>
          <w:spacing w:val="-2"/>
          <w:szCs w:val="22"/>
        </w:rPr>
        <w:t>i</w:t>
      </w:r>
      <w:r>
        <w:rPr>
          <w:szCs w:val="22"/>
        </w:rPr>
        <w:t>on</w:t>
      </w:r>
      <w:r>
        <w:rPr>
          <w:spacing w:val="-3"/>
          <w:szCs w:val="22"/>
        </w:rPr>
        <w:t>a</w:t>
      </w:r>
      <w:r>
        <w:rPr>
          <w:spacing w:val="1"/>
          <w:szCs w:val="22"/>
        </w:rPr>
        <w:t>t</w:t>
      </w:r>
      <w:r>
        <w:rPr>
          <w:szCs w:val="22"/>
        </w:rPr>
        <w:t>e</w:t>
      </w:r>
      <w:r>
        <w:rPr>
          <w:spacing w:val="-2"/>
          <w:szCs w:val="22"/>
        </w:rPr>
        <w:t xml:space="preserve"> </w:t>
      </w:r>
      <w:r>
        <w:rPr>
          <w:spacing w:val="1"/>
          <w:szCs w:val="22"/>
        </w:rPr>
        <w:t>î</w:t>
      </w:r>
      <w:r>
        <w:rPr>
          <w:szCs w:val="22"/>
        </w:rPr>
        <w:t>n o</w:t>
      </w:r>
      <w:r>
        <w:rPr>
          <w:spacing w:val="-2"/>
          <w:szCs w:val="22"/>
        </w:rPr>
        <w:t>r</w:t>
      </w:r>
      <w:r>
        <w:rPr>
          <w:szCs w:val="22"/>
        </w:rPr>
        <w:t>d</w:t>
      </w:r>
      <w:r>
        <w:rPr>
          <w:spacing w:val="1"/>
          <w:szCs w:val="22"/>
        </w:rPr>
        <w:t>i</w:t>
      </w:r>
      <w:r>
        <w:rPr>
          <w:spacing w:val="-3"/>
          <w:szCs w:val="22"/>
        </w:rPr>
        <w:t>n</w:t>
      </w:r>
      <w:r>
        <w:rPr>
          <w:szCs w:val="22"/>
        </w:rPr>
        <w:t>ea</w:t>
      </w:r>
      <w:r>
        <w:rPr>
          <w:spacing w:val="-2"/>
          <w:szCs w:val="22"/>
        </w:rPr>
        <w:t xml:space="preserve"> </w:t>
      </w:r>
      <w:r>
        <w:rPr>
          <w:szCs w:val="22"/>
        </w:rPr>
        <w:t>des</w:t>
      </w:r>
      <w:r>
        <w:rPr>
          <w:spacing w:val="-3"/>
          <w:szCs w:val="22"/>
        </w:rPr>
        <w:t>c</w:t>
      </w:r>
      <w:r>
        <w:rPr>
          <w:szCs w:val="22"/>
        </w:rPr>
        <w:t>re</w:t>
      </w:r>
      <w:r>
        <w:rPr>
          <w:spacing w:val="-2"/>
          <w:szCs w:val="22"/>
        </w:rPr>
        <w:t>s</w:t>
      </w:r>
      <w:r>
        <w:rPr>
          <w:szCs w:val="22"/>
        </w:rPr>
        <w:t>cândă</w:t>
      </w:r>
      <w:r>
        <w:rPr>
          <w:spacing w:val="-2"/>
          <w:szCs w:val="22"/>
        </w:rPr>
        <w:t xml:space="preserve"> </w:t>
      </w:r>
      <w:r>
        <w:rPr>
          <w:szCs w:val="22"/>
        </w:rPr>
        <w:t xml:space="preserve">a </w:t>
      </w:r>
      <w:r>
        <w:rPr>
          <w:spacing w:val="-3"/>
          <w:szCs w:val="22"/>
        </w:rPr>
        <w:t>g</w:t>
      </w:r>
      <w:r>
        <w:rPr>
          <w:szCs w:val="22"/>
        </w:rPr>
        <w:t>ra</w:t>
      </w:r>
      <w:r>
        <w:rPr>
          <w:spacing w:val="-3"/>
          <w:szCs w:val="22"/>
        </w:rPr>
        <w:t>v</w:t>
      </w:r>
      <w:r>
        <w:rPr>
          <w:spacing w:val="1"/>
          <w:szCs w:val="22"/>
        </w:rPr>
        <w:t>it</w:t>
      </w:r>
      <w:r>
        <w:rPr>
          <w:szCs w:val="22"/>
        </w:rPr>
        <w:t>ă</w:t>
      </w:r>
      <w:r>
        <w:rPr>
          <w:spacing w:val="-2"/>
          <w:szCs w:val="22"/>
        </w:rPr>
        <w:t>ţ</w:t>
      </w:r>
      <w:r>
        <w:rPr>
          <w:spacing w:val="1"/>
          <w:szCs w:val="22"/>
        </w:rPr>
        <w:t>ii</w:t>
      </w:r>
      <w:r>
        <w:rPr>
          <w:szCs w:val="22"/>
        </w:rPr>
        <w:t xml:space="preserve">. </w:t>
      </w:r>
      <w:r>
        <w:rPr>
          <w:spacing w:val="-1"/>
          <w:szCs w:val="22"/>
        </w:rPr>
        <w:t>A</w:t>
      </w:r>
      <w:r>
        <w:rPr>
          <w:szCs w:val="22"/>
        </w:rPr>
        <w:t>u</w:t>
      </w:r>
      <w:r>
        <w:rPr>
          <w:spacing w:val="-3"/>
          <w:szCs w:val="22"/>
        </w:rPr>
        <w:t xml:space="preserve"> </w:t>
      </w:r>
      <w:r>
        <w:rPr>
          <w:szCs w:val="22"/>
        </w:rPr>
        <w:t>fo</w:t>
      </w:r>
      <w:r>
        <w:rPr>
          <w:spacing w:val="-2"/>
          <w:szCs w:val="22"/>
        </w:rPr>
        <w:t>s</w:t>
      </w:r>
      <w:r>
        <w:rPr>
          <w:szCs w:val="22"/>
        </w:rPr>
        <w:t>t</w:t>
      </w:r>
      <w:r>
        <w:rPr>
          <w:spacing w:val="1"/>
          <w:szCs w:val="22"/>
        </w:rPr>
        <w:t xml:space="preserve"> </w:t>
      </w:r>
      <w:r>
        <w:rPr>
          <w:spacing w:val="-2"/>
          <w:szCs w:val="22"/>
        </w:rPr>
        <w:t>i</w:t>
      </w:r>
      <w:r>
        <w:rPr>
          <w:szCs w:val="22"/>
        </w:rPr>
        <w:t>nc</w:t>
      </w:r>
      <w:r>
        <w:rPr>
          <w:spacing w:val="-2"/>
          <w:szCs w:val="22"/>
        </w:rPr>
        <w:t>l</w:t>
      </w:r>
      <w:r>
        <w:rPr>
          <w:szCs w:val="22"/>
        </w:rPr>
        <w:t>use</w:t>
      </w:r>
      <w:r>
        <w:rPr>
          <w:spacing w:val="-2"/>
          <w:szCs w:val="22"/>
        </w:rPr>
        <w:t xml:space="preserve"> </w:t>
      </w:r>
      <w:r>
        <w:rPr>
          <w:szCs w:val="22"/>
        </w:rPr>
        <w:t>şi</w:t>
      </w:r>
      <w:r>
        <w:rPr>
          <w:spacing w:val="-2"/>
          <w:szCs w:val="22"/>
        </w:rPr>
        <w:t xml:space="preserve"> </w:t>
      </w:r>
      <w:r>
        <w:rPr>
          <w:szCs w:val="22"/>
        </w:rPr>
        <w:t>rea</w:t>
      </w:r>
      <w:r>
        <w:rPr>
          <w:spacing w:val="-3"/>
          <w:szCs w:val="22"/>
        </w:rPr>
        <w:t>c</w:t>
      </w:r>
      <w:r>
        <w:rPr>
          <w:spacing w:val="-2"/>
          <w:szCs w:val="22"/>
        </w:rPr>
        <w:t>ţ</w:t>
      </w:r>
      <w:r>
        <w:rPr>
          <w:spacing w:val="1"/>
          <w:szCs w:val="22"/>
        </w:rPr>
        <w:t>i</w:t>
      </w:r>
      <w:r>
        <w:rPr>
          <w:spacing w:val="-2"/>
          <w:szCs w:val="22"/>
        </w:rPr>
        <w:t>i</w:t>
      </w:r>
      <w:r>
        <w:rPr>
          <w:spacing w:val="1"/>
          <w:szCs w:val="22"/>
        </w:rPr>
        <w:t>l</w:t>
      </w:r>
      <w:r>
        <w:rPr>
          <w:szCs w:val="22"/>
        </w:rPr>
        <w:t>e ad</w:t>
      </w:r>
      <w:r>
        <w:rPr>
          <w:spacing w:val="-3"/>
          <w:szCs w:val="22"/>
        </w:rPr>
        <w:t>v</w:t>
      </w:r>
      <w:r>
        <w:rPr>
          <w:szCs w:val="22"/>
        </w:rPr>
        <w:t>e</w:t>
      </w:r>
      <w:r>
        <w:rPr>
          <w:spacing w:val="-2"/>
          <w:szCs w:val="22"/>
        </w:rPr>
        <w:t>r</w:t>
      </w:r>
      <w:r>
        <w:rPr>
          <w:szCs w:val="22"/>
        </w:rPr>
        <w:t xml:space="preserve">se </w:t>
      </w:r>
      <w:r>
        <w:rPr>
          <w:spacing w:val="-3"/>
          <w:szCs w:val="22"/>
        </w:rPr>
        <w:t>c</w:t>
      </w:r>
      <w:r>
        <w:rPr>
          <w:szCs w:val="22"/>
        </w:rPr>
        <w:t xml:space="preserve">u </w:t>
      </w:r>
      <w:r>
        <w:rPr>
          <w:spacing w:val="-2"/>
          <w:szCs w:val="22"/>
        </w:rPr>
        <w:t>f</w:t>
      </w:r>
      <w:r>
        <w:rPr>
          <w:szCs w:val="22"/>
        </w:rPr>
        <w:t>rec</w:t>
      </w:r>
      <w:r>
        <w:rPr>
          <w:spacing w:val="-3"/>
          <w:szCs w:val="22"/>
        </w:rPr>
        <w:t>ve</w:t>
      </w:r>
      <w:r>
        <w:rPr>
          <w:szCs w:val="22"/>
        </w:rPr>
        <w:t>n</w:t>
      </w:r>
      <w:r>
        <w:rPr>
          <w:spacing w:val="1"/>
          <w:szCs w:val="22"/>
        </w:rPr>
        <w:t>ţ</w:t>
      </w:r>
      <w:r>
        <w:rPr>
          <w:szCs w:val="22"/>
        </w:rPr>
        <w:t xml:space="preserve">a </w:t>
      </w:r>
      <w:r>
        <w:rPr>
          <w:spacing w:val="-3"/>
          <w:szCs w:val="22"/>
        </w:rPr>
        <w:t>c</w:t>
      </w:r>
      <w:r>
        <w:rPr>
          <w:szCs w:val="22"/>
        </w:rPr>
        <w:t xml:space="preserve">ea </w:t>
      </w:r>
      <w:r>
        <w:rPr>
          <w:spacing w:val="-4"/>
          <w:szCs w:val="22"/>
        </w:rPr>
        <w:t>m</w:t>
      </w:r>
      <w:r>
        <w:rPr>
          <w:szCs w:val="22"/>
        </w:rPr>
        <w:t>ai</w:t>
      </w:r>
      <w:r>
        <w:rPr>
          <w:spacing w:val="1"/>
          <w:szCs w:val="22"/>
        </w:rPr>
        <w:t xml:space="preserve"> </w:t>
      </w:r>
      <w:r>
        <w:rPr>
          <w:spacing w:val="-4"/>
          <w:szCs w:val="22"/>
        </w:rPr>
        <w:t>m</w:t>
      </w:r>
      <w:r>
        <w:rPr>
          <w:szCs w:val="22"/>
        </w:rPr>
        <w:t>are ob</w:t>
      </w:r>
      <w:r>
        <w:rPr>
          <w:spacing w:val="-2"/>
          <w:szCs w:val="22"/>
        </w:rPr>
        <w:t>s</w:t>
      </w:r>
      <w:r>
        <w:rPr>
          <w:szCs w:val="22"/>
        </w:rPr>
        <w:t>er</w:t>
      </w:r>
      <w:r>
        <w:rPr>
          <w:spacing w:val="-3"/>
          <w:szCs w:val="22"/>
        </w:rPr>
        <w:t>v</w:t>
      </w:r>
      <w:r>
        <w:rPr>
          <w:szCs w:val="22"/>
        </w:rPr>
        <w:t>a</w:t>
      </w:r>
      <w:r>
        <w:rPr>
          <w:spacing w:val="1"/>
          <w:szCs w:val="22"/>
        </w:rPr>
        <w:t>t</w:t>
      </w:r>
      <w:r>
        <w:rPr>
          <w:szCs w:val="22"/>
        </w:rPr>
        <w:t>e</w:t>
      </w:r>
      <w:r>
        <w:rPr>
          <w:spacing w:val="-2"/>
          <w:szCs w:val="22"/>
        </w:rPr>
        <w:t xml:space="preserve"> </w:t>
      </w:r>
      <w:r>
        <w:rPr>
          <w:spacing w:val="1"/>
          <w:szCs w:val="22"/>
        </w:rPr>
        <w:t>î</w:t>
      </w:r>
      <w:r>
        <w:rPr>
          <w:szCs w:val="22"/>
        </w:rPr>
        <w:t xml:space="preserve">n </w:t>
      </w:r>
      <w:r>
        <w:rPr>
          <w:spacing w:val="-2"/>
          <w:szCs w:val="22"/>
        </w:rPr>
        <w:t>t</w:t>
      </w:r>
      <w:r>
        <w:rPr>
          <w:spacing w:val="1"/>
          <w:szCs w:val="22"/>
        </w:rPr>
        <w:t>i</w:t>
      </w:r>
      <w:r>
        <w:rPr>
          <w:spacing w:val="-4"/>
          <w:szCs w:val="22"/>
        </w:rPr>
        <w:t>m</w:t>
      </w:r>
      <w:r>
        <w:rPr>
          <w:szCs w:val="22"/>
        </w:rPr>
        <w:t>pul</w:t>
      </w:r>
      <w:r>
        <w:rPr>
          <w:spacing w:val="1"/>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ăr</w:t>
      </w:r>
      <w:r>
        <w:rPr>
          <w:spacing w:val="-2"/>
          <w:szCs w:val="22"/>
        </w:rPr>
        <w:t>i</w:t>
      </w:r>
      <w:r>
        <w:rPr>
          <w:szCs w:val="22"/>
        </w:rPr>
        <w:t xml:space="preserve">i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u</w:t>
      </w:r>
      <w:r>
        <w:rPr>
          <w:spacing w:val="1"/>
          <w:szCs w:val="22"/>
        </w:rPr>
        <w:t>l</w:t>
      </w:r>
      <w:r>
        <w:rPr>
          <w:szCs w:val="22"/>
        </w:rPr>
        <w:t>ui</w:t>
      </w:r>
      <w:r>
        <w:rPr>
          <w:spacing w:val="-2"/>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d</w:t>
      </w:r>
      <w:r>
        <w:rPr>
          <w:spacing w:val="-2"/>
          <w:szCs w:val="22"/>
        </w:rPr>
        <w:t>i</w:t>
      </w:r>
      <w:r>
        <w:rPr>
          <w:szCs w:val="22"/>
        </w:rPr>
        <w:t>f</w:t>
      </w:r>
      <w:r>
        <w:rPr>
          <w:spacing w:val="-3"/>
          <w:szCs w:val="22"/>
        </w:rPr>
        <w:t>e</w:t>
      </w:r>
      <w:r>
        <w:rPr>
          <w:szCs w:val="22"/>
        </w:rPr>
        <w:t>r</w:t>
      </w:r>
      <w:r>
        <w:rPr>
          <w:spacing w:val="-2"/>
          <w:szCs w:val="22"/>
        </w:rPr>
        <w:t>i</w:t>
      </w:r>
      <w:r>
        <w:rPr>
          <w:spacing w:val="1"/>
          <w:szCs w:val="22"/>
        </w:rPr>
        <w:t>t</w:t>
      </w:r>
      <w:r>
        <w:rPr>
          <w:szCs w:val="22"/>
        </w:rPr>
        <w:t xml:space="preserve">e </w:t>
      </w:r>
      <w:r>
        <w:rPr>
          <w:spacing w:val="-2"/>
          <w:szCs w:val="22"/>
        </w:rPr>
        <w:t>i</w:t>
      </w:r>
      <w:r>
        <w:rPr>
          <w:szCs w:val="22"/>
        </w:rPr>
        <w:t>nd</w:t>
      </w:r>
      <w:r>
        <w:rPr>
          <w:spacing w:val="-2"/>
          <w:szCs w:val="22"/>
        </w:rPr>
        <w:t>i</w:t>
      </w:r>
      <w:r>
        <w:rPr>
          <w:szCs w:val="22"/>
        </w:rPr>
        <w:t>ca</w:t>
      </w:r>
      <w:r>
        <w:rPr>
          <w:spacing w:val="-2"/>
          <w:szCs w:val="22"/>
        </w:rPr>
        <w:t>ţi</w:t>
      </w:r>
      <w:r>
        <w:rPr>
          <w:spacing w:val="1"/>
          <w:szCs w:val="22"/>
        </w:rPr>
        <w:t>i</w:t>
      </w:r>
      <w:r>
        <w:rPr>
          <w:szCs w:val="22"/>
        </w:rPr>
        <w:t xml:space="preserve">. </w:t>
      </w:r>
      <w:r>
        <w:rPr>
          <w:spacing w:val="-4"/>
          <w:szCs w:val="22"/>
        </w:rPr>
        <w:t>Î</w:t>
      </w:r>
      <w:r>
        <w:rPr>
          <w:szCs w:val="22"/>
        </w:rPr>
        <w:t>n co</w:t>
      </w:r>
      <w:r>
        <w:rPr>
          <w:spacing w:val="1"/>
          <w:szCs w:val="22"/>
        </w:rPr>
        <w:t>l</w:t>
      </w:r>
      <w:r>
        <w:rPr>
          <w:szCs w:val="22"/>
        </w:rPr>
        <w:t>oana</w:t>
      </w:r>
      <w:r>
        <w:rPr>
          <w:spacing w:val="-2"/>
          <w:szCs w:val="22"/>
        </w:rPr>
        <w:t xml:space="preserve"> </w:t>
      </w:r>
      <w:r>
        <w:rPr>
          <w:szCs w:val="22"/>
        </w:rPr>
        <w:t>„</w:t>
      </w:r>
      <w:r>
        <w:rPr>
          <w:spacing w:val="-4"/>
          <w:szCs w:val="22"/>
        </w:rPr>
        <w:t>C</w:t>
      </w:r>
      <w:r>
        <w:rPr>
          <w:spacing w:val="1"/>
          <w:szCs w:val="22"/>
        </w:rPr>
        <w:t>l</w:t>
      </w:r>
      <w:r>
        <w:rPr>
          <w:szCs w:val="22"/>
        </w:rPr>
        <w:t>a</w:t>
      </w:r>
      <w:r>
        <w:rPr>
          <w:spacing w:val="-2"/>
          <w:szCs w:val="22"/>
        </w:rPr>
        <w:t>s</w:t>
      </w:r>
      <w:r>
        <w:rPr>
          <w:spacing w:val="1"/>
          <w:szCs w:val="22"/>
        </w:rPr>
        <w:t>i</w:t>
      </w:r>
      <w:r>
        <w:rPr>
          <w:spacing w:val="-2"/>
          <w:szCs w:val="22"/>
        </w:rPr>
        <w:t>f</w:t>
      </w:r>
      <w:r>
        <w:rPr>
          <w:spacing w:val="1"/>
          <w:szCs w:val="22"/>
        </w:rPr>
        <w:t>i</w:t>
      </w:r>
      <w:r>
        <w:rPr>
          <w:szCs w:val="22"/>
        </w:rPr>
        <w:t>c</w:t>
      </w:r>
      <w:r>
        <w:rPr>
          <w:spacing w:val="-3"/>
          <w:szCs w:val="22"/>
        </w:rPr>
        <w:t>a</w:t>
      </w:r>
      <w:r>
        <w:rPr>
          <w:szCs w:val="22"/>
        </w:rPr>
        <w:t xml:space="preserve">re </w:t>
      </w:r>
      <w:r>
        <w:rPr>
          <w:spacing w:val="-3"/>
          <w:szCs w:val="22"/>
        </w:rPr>
        <w:t>p</w:t>
      </w:r>
      <w:r>
        <w:rPr>
          <w:szCs w:val="22"/>
        </w:rPr>
        <w:t>e a</w:t>
      </w:r>
      <w:r>
        <w:rPr>
          <w:spacing w:val="-3"/>
          <w:szCs w:val="22"/>
        </w:rPr>
        <w:t>p</w:t>
      </w:r>
      <w:r>
        <w:rPr>
          <w:szCs w:val="22"/>
        </w:rPr>
        <w:t>ar</w:t>
      </w:r>
      <w:r>
        <w:rPr>
          <w:spacing w:val="-3"/>
          <w:szCs w:val="22"/>
        </w:rPr>
        <w:t>a</w:t>
      </w:r>
      <w:r>
        <w:rPr>
          <w:spacing w:val="1"/>
          <w:szCs w:val="22"/>
        </w:rPr>
        <w:t>t</w:t>
      </w:r>
      <w:r>
        <w:rPr>
          <w:szCs w:val="22"/>
        </w:rPr>
        <w:t>e,</w:t>
      </w:r>
      <w:r>
        <w:rPr>
          <w:spacing w:val="-3"/>
          <w:szCs w:val="22"/>
        </w:rPr>
        <w:t xml:space="preserve"> </w:t>
      </w:r>
      <w:r>
        <w:rPr>
          <w:szCs w:val="22"/>
        </w:rPr>
        <w:t>s</w:t>
      </w:r>
      <w:r>
        <w:rPr>
          <w:spacing w:val="1"/>
          <w:szCs w:val="22"/>
        </w:rPr>
        <w:t>i</w:t>
      </w:r>
      <w:r>
        <w:rPr>
          <w:spacing w:val="-2"/>
          <w:szCs w:val="22"/>
        </w:rPr>
        <w:t>s</w:t>
      </w:r>
      <w:r>
        <w:rPr>
          <w:spacing w:val="1"/>
          <w:szCs w:val="22"/>
        </w:rPr>
        <w:t>t</w:t>
      </w:r>
      <w:r>
        <w:rPr>
          <w:szCs w:val="22"/>
        </w:rPr>
        <w:t>e</w:t>
      </w:r>
      <w:r>
        <w:rPr>
          <w:spacing w:val="-4"/>
          <w:szCs w:val="22"/>
        </w:rPr>
        <w:t>m</w:t>
      </w:r>
      <w:r>
        <w:rPr>
          <w:szCs w:val="22"/>
        </w:rPr>
        <w:t>e şi</w:t>
      </w:r>
      <w:r>
        <w:rPr>
          <w:spacing w:val="1"/>
          <w:szCs w:val="22"/>
        </w:rPr>
        <w:t xml:space="preserve"> </w:t>
      </w:r>
      <w:r>
        <w:rPr>
          <w:spacing w:val="-3"/>
          <w:szCs w:val="22"/>
        </w:rPr>
        <w:t>o</w:t>
      </w:r>
      <w:r>
        <w:rPr>
          <w:szCs w:val="22"/>
        </w:rPr>
        <w:t>r</w:t>
      </w:r>
      <w:r>
        <w:rPr>
          <w:spacing w:val="-3"/>
          <w:szCs w:val="22"/>
        </w:rPr>
        <w:t>g</w:t>
      </w:r>
      <w:r>
        <w:rPr>
          <w:szCs w:val="22"/>
        </w:rPr>
        <w:t>ane”</w:t>
      </w:r>
      <w:r>
        <w:rPr>
          <w:spacing w:val="-2"/>
          <w:szCs w:val="22"/>
        </w:rPr>
        <w:t xml:space="preserve"> </w:t>
      </w:r>
      <w:r>
        <w:rPr>
          <w:szCs w:val="22"/>
        </w:rPr>
        <w:t>ap</w:t>
      </w:r>
      <w:r>
        <w:rPr>
          <w:spacing w:val="-3"/>
          <w:szCs w:val="22"/>
        </w:rPr>
        <w:t>a</w:t>
      </w:r>
      <w:r>
        <w:rPr>
          <w:szCs w:val="22"/>
        </w:rPr>
        <w:t>re un a</w:t>
      </w:r>
      <w:r>
        <w:rPr>
          <w:spacing w:val="-2"/>
          <w:szCs w:val="22"/>
        </w:rPr>
        <w:t>s</w:t>
      </w:r>
      <w:r>
        <w:rPr>
          <w:spacing w:val="1"/>
          <w:szCs w:val="22"/>
        </w:rPr>
        <w:t>t</w:t>
      </w:r>
      <w:r>
        <w:rPr>
          <w:szCs w:val="22"/>
        </w:rPr>
        <w:t>e</w:t>
      </w:r>
      <w:r>
        <w:rPr>
          <w:spacing w:val="-2"/>
          <w:szCs w:val="22"/>
        </w:rPr>
        <w:t>r</w:t>
      </w:r>
      <w:r>
        <w:rPr>
          <w:spacing w:val="1"/>
          <w:szCs w:val="22"/>
        </w:rPr>
        <w:t>i</w:t>
      </w:r>
      <w:r>
        <w:rPr>
          <w:spacing w:val="-2"/>
          <w:szCs w:val="22"/>
        </w:rPr>
        <w:t>s</w:t>
      </w:r>
      <w:r>
        <w:rPr>
          <w:szCs w:val="22"/>
        </w:rPr>
        <w:t>c (</w:t>
      </w:r>
      <w:r>
        <w:rPr>
          <w:spacing w:val="-3"/>
          <w:szCs w:val="22"/>
        </w:rPr>
        <w:t>*</w:t>
      </w:r>
      <w:r>
        <w:rPr>
          <w:szCs w:val="22"/>
        </w:rPr>
        <w:t>)</w:t>
      </w:r>
      <w:r>
        <w:rPr>
          <w:spacing w:val="1"/>
          <w:szCs w:val="22"/>
        </w:rPr>
        <w:t xml:space="preserve"> </w:t>
      </w:r>
      <w:r>
        <w:rPr>
          <w:szCs w:val="22"/>
        </w:rPr>
        <w:t>d</w:t>
      </w:r>
      <w:r>
        <w:rPr>
          <w:spacing w:val="-3"/>
          <w:szCs w:val="22"/>
        </w:rPr>
        <w:t>a</w:t>
      </w:r>
      <w:r>
        <w:rPr>
          <w:szCs w:val="22"/>
        </w:rPr>
        <w:t xml:space="preserve">că </w:t>
      </w:r>
      <w:r>
        <w:rPr>
          <w:spacing w:val="-2"/>
          <w:szCs w:val="22"/>
        </w:rPr>
        <w:t>s</w:t>
      </w:r>
      <w:r>
        <w:rPr>
          <w:szCs w:val="22"/>
        </w:rPr>
        <w:t xml:space="preserve">e </w:t>
      </w:r>
      <w:r>
        <w:rPr>
          <w:spacing w:val="-3"/>
          <w:szCs w:val="22"/>
        </w:rPr>
        <w:t>g</w:t>
      </w:r>
      <w:r>
        <w:rPr>
          <w:szCs w:val="22"/>
        </w:rPr>
        <w:t>ăs</w:t>
      </w:r>
      <w:r>
        <w:rPr>
          <w:spacing w:val="-3"/>
          <w:szCs w:val="22"/>
        </w:rPr>
        <w:t>e</w:t>
      </w:r>
      <w:r>
        <w:rPr>
          <w:szCs w:val="22"/>
        </w:rPr>
        <w:t xml:space="preserve">sc </w:t>
      </w:r>
      <w:r>
        <w:rPr>
          <w:spacing w:val="1"/>
          <w:szCs w:val="22"/>
        </w:rPr>
        <w:t>i</w:t>
      </w:r>
      <w:r>
        <w:rPr>
          <w:spacing w:val="-3"/>
          <w:szCs w:val="22"/>
        </w:rPr>
        <w:t>n</w:t>
      </w:r>
      <w:r>
        <w:rPr>
          <w:szCs w:val="22"/>
        </w:rPr>
        <w:t>f</w:t>
      </w:r>
      <w:r>
        <w:rPr>
          <w:spacing w:val="-3"/>
          <w:szCs w:val="22"/>
        </w:rPr>
        <w:t>o</w:t>
      </w:r>
      <w:r>
        <w:rPr>
          <w:szCs w:val="22"/>
        </w:rPr>
        <w:t>r</w:t>
      </w:r>
      <w:r>
        <w:rPr>
          <w:spacing w:val="-4"/>
          <w:szCs w:val="22"/>
        </w:rPr>
        <w:t>m</w:t>
      </w:r>
      <w:r>
        <w:rPr>
          <w:szCs w:val="22"/>
        </w:rPr>
        <w:t>a</w:t>
      </w:r>
      <w:r>
        <w:rPr>
          <w:spacing w:val="1"/>
          <w:szCs w:val="22"/>
        </w:rPr>
        <w:t>ţi</w:t>
      </w:r>
      <w:r>
        <w:rPr>
          <w:szCs w:val="22"/>
        </w:rPr>
        <w:t>i</w:t>
      </w:r>
      <w:r>
        <w:rPr>
          <w:spacing w:val="-2"/>
          <w:szCs w:val="22"/>
        </w:rPr>
        <w:t xml:space="preserve"> </w:t>
      </w:r>
      <w:r>
        <w:rPr>
          <w:szCs w:val="22"/>
        </w:rPr>
        <w:t>sup</w:t>
      </w:r>
      <w:r>
        <w:rPr>
          <w:spacing w:val="-2"/>
          <w:szCs w:val="22"/>
        </w:rPr>
        <w:t>l</w:t>
      </w:r>
      <w:r>
        <w:rPr>
          <w:spacing w:val="1"/>
          <w:szCs w:val="22"/>
        </w:rPr>
        <w:t>i</w:t>
      </w:r>
      <w:r>
        <w:rPr>
          <w:spacing w:val="-4"/>
          <w:szCs w:val="22"/>
        </w:rPr>
        <w:t>m</w:t>
      </w:r>
      <w:r>
        <w:rPr>
          <w:szCs w:val="22"/>
        </w:rPr>
        <w:t>en</w:t>
      </w:r>
      <w:r>
        <w:rPr>
          <w:spacing w:val="1"/>
          <w:szCs w:val="22"/>
        </w:rPr>
        <w:t>t</w:t>
      </w:r>
      <w:r>
        <w:rPr>
          <w:szCs w:val="22"/>
        </w:rPr>
        <w:t>a</w:t>
      </w:r>
      <w:r>
        <w:rPr>
          <w:spacing w:val="-2"/>
          <w:szCs w:val="22"/>
        </w:rPr>
        <w:t>r</w:t>
      </w:r>
      <w:r>
        <w:rPr>
          <w:szCs w:val="22"/>
        </w:rPr>
        <w:t xml:space="preserve">e </w:t>
      </w:r>
      <w:r>
        <w:rPr>
          <w:spacing w:val="-2"/>
          <w:szCs w:val="22"/>
        </w:rPr>
        <w:t>ş</w:t>
      </w:r>
      <w:r>
        <w:rPr>
          <w:szCs w:val="22"/>
        </w:rPr>
        <w:t>i</w:t>
      </w:r>
      <w:r>
        <w:rPr>
          <w:spacing w:val="1"/>
          <w:szCs w:val="22"/>
        </w:rPr>
        <w:t xml:space="preserve"> î</w:t>
      </w:r>
      <w:r>
        <w:rPr>
          <w:szCs w:val="22"/>
        </w:rPr>
        <w:t>n</w:t>
      </w:r>
      <w:r>
        <w:rPr>
          <w:spacing w:val="-3"/>
          <w:szCs w:val="22"/>
        </w:rPr>
        <w:t xml:space="preserve"> </w:t>
      </w:r>
      <w:r>
        <w:rPr>
          <w:szCs w:val="22"/>
        </w:rPr>
        <w:t>ca</w:t>
      </w:r>
      <w:r>
        <w:rPr>
          <w:spacing w:val="-3"/>
          <w:szCs w:val="22"/>
        </w:rPr>
        <w:t>p</w:t>
      </w:r>
      <w:r>
        <w:rPr>
          <w:spacing w:val="1"/>
          <w:szCs w:val="22"/>
        </w:rPr>
        <w:t>it</w:t>
      </w:r>
      <w:r>
        <w:rPr>
          <w:spacing w:val="-3"/>
          <w:szCs w:val="22"/>
        </w:rPr>
        <w:t>o</w:t>
      </w:r>
      <w:r>
        <w:rPr>
          <w:spacing w:val="1"/>
          <w:szCs w:val="22"/>
        </w:rPr>
        <w:t>l</w:t>
      </w:r>
      <w:r>
        <w:rPr>
          <w:spacing w:val="-3"/>
          <w:szCs w:val="22"/>
        </w:rPr>
        <w:t>e</w:t>
      </w:r>
      <w:r>
        <w:rPr>
          <w:spacing w:val="1"/>
          <w:szCs w:val="22"/>
        </w:rPr>
        <w:t>l</w:t>
      </w:r>
      <w:r>
        <w:rPr>
          <w:szCs w:val="22"/>
        </w:rPr>
        <w:t>e 4</w:t>
      </w:r>
      <w:r>
        <w:rPr>
          <w:spacing w:val="-3"/>
          <w:szCs w:val="22"/>
        </w:rPr>
        <w:t>.</w:t>
      </w:r>
      <w:r>
        <w:rPr>
          <w:szCs w:val="22"/>
        </w:rPr>
        <w:t>3, 4.4</w:t>
      </w:r>
      <w:r>
        <w:rPr>
          <w:spacing w:val="-3"/>
          <w:szCs w:val="22"/>
        </w:rPr>
        <w:t xml:space="preserve"> </w:t>
      </w:r>
      <w:r>
        <w:rPr>
          <w:szCs w:val="22"/>
        </w:rPr>
        <w:t>şi</w:t>
      </w:r>
      <w:r>
        <w:rPr>
          <w:spacing w:val="1"/>
          <w:szCs w:val="22"/>
        </w:rPr>
        <w:t xml:space="preserve"> </w:t>
      </w:r>
      <w:r>
        <w:rPr>
          <w:szCs w:val="22"/>
        </w:rPr>
        <w:t>4</w:t>
      </w:r>
      <w:r>
        <w:rPr>
          <w:spacing w:val="-3"/>
          <w:szCs w:val="22"/>
        </w:rPr>
        <w:t>.8</w:t>
      </w:r>
      <w:r>
        <w:rPr>
          <w:szCs w:val="22"/>
        </w:rPr>
        <w:t>.</w:t>
      </w:r>
    </w:p>
    <w:p w14:paraId="32476B8C" w14:textId="77777777" w:rsidR="00C04CAD" w:rsidRDefault="00C04CAD">
      <w:pPr>
        <w:autoSpaceDE w:val="0"/>
        <w:autoSpaceDN w:val="0"/>
        <w:adjustRightInd w:val="0"/>
        <w:spacing w:line="240" w:lineRule="auto"/>
        <w:jc w:val="both"/>
        <w:rPr>
          <w:sz w:val="24"/>
        </w:rPr>
      </w:pPr>
    </w:p>
    <w:p w14:paraId="78F5ABE7" w14:textId="77777777" w:rsidR="00C04CAD" w:rsidRDefault="00060E34">
      <w:pPr>
        <w:keepNext/>
        <w:autoSpaceDE w:val="0"/>
        <w:autoSpaceDN w:val="0"/>
        <w:adjustRightInd w:val="0"/>
        <w:spacing w:line="240" w:lineRule="auto"/>
        <w:jc w:val="both"/>
        <w:rPr>
          <w:sz w:val="24"/>
        </w:rPr>
      </w:pPr>
      <w:r>
        <w:rPr>
          <w:b/>
        </w:rPr>
        <w:t>Tabelul 7. Reacţii adverse</w:t>
      </w:r>
    </w:p>
    <w:p w14:paraId="03D0B927" w14:textId="77777777" w:rsidR="00C04CAD" w:rsidRDefault="00C04CAD">
      <w:pPr>
        <w:keepNext/>
        <w:autoSpaceDE w:val="0"/>
        <w:autoSpaceDN w:val="0"/>
        <w:adjustRightInd w:val="0"/>
        <w:spacing w:line="240" w:lineRule="auto"/>
        <w:jc w:val="both"/>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9"/>
        <w:gridCol w:w="1776"/>
        <w:gridCol w:w="4688"/>
      </w:tblGrid>
      <w:tr w:rsidR="00C04CAD" w14:paraId="7C87F798" w14:textId="77777777">
        <w:trPr>
          <w:cantSplit/>
          <w:trHeight w:val="451"/>
          <w:tblHeader/>
        </w:trPr>
        <w:tc>
          <w:tcPr>
            <w:tcW w:w="2501" w:type="dxa"/>
            <w:vAlign w:val="center"/>
          </w:tcPr>
          <w:p w14:paraId="795BC6EF" w14:textId="77777777" w:rsidR="00C04CAD" w:rsidRDefault="00060E34">
            <w:pPr>
              <w:keepNext/>
              <w:tabs>
                <w:tab w:val="clear" w:pos="567"/>
              </w:tabs>
              <w:kinsoku w:val="0"/>
              <w:overflowPunct w:val="0"/>
              <w:autoSpaceDE w:val="0"/>
              <w:autoSpaceDN w:val="0"/>
              <w:adjustRightInd w:val="0"/>
              <w:spacing w:line="240" w:lineRule="auto"/>
            </w:pPr>
            <w:r>
              <w:rPr>
                <w:b/>
                <w:spacing w:val="-1"/>
              </w:rPr>
              <w:t>C</w:t>
            </w:r>
            <w:r>
              <w:rPr>
                <w:b/>
                <w:spacing w:val="1"/>
              </w:rPr>
              <w:t>l</w:t>
            </w:r>
            <w:r>
              <w:rPr>
                <w:b/>
              </w:rPr>
              <w:t>as</w:t>
            </w:r>
            <w:r>
              <w:rPr>
                <w:b/>
                <w:spacing w:val="-2"/>
              </w:rPr>
              <w:t>i</w:t>
            </w:r>
            <w:r>
              <w:rPr>
                <w:b/>
              </w:rPr>
              <w:t>f</w:t>
            </w:r>
            <w:r>
              <w:rPr>
                <w:b/>
                <w:spacing w:val="-2"/>
              </w:rPr>
              <w:t>i</w:t>
            </w:r>
            <w:r>
              <w:rPr>
                <w:b/>
              </w:rPr>
              <w:t>care</w:t>
            </w:r>
            <w:r>
              <w:rPr>
                <w:b/>
                <w:spacing w:val="-2"/>
              </w:rPr>
              <w:t xml:space="preserve"> </w:t>
            </w:r>
            <w:r>
              <w:rPr>
                <w:b/>
                <w:spacing w:val="-1"/>
              </w:rPr>
              <w:t>p</w:t>
            </w:r>
            <w:r>
              <w:rPr>
                <w:b/>
              </w:rPr>
              <w:t>e a</w:t>
            </w:r>
            <w:r>
              <w:rPr>
                <w:b/>
                <w:spacing w:val="-1"/>
              </w:rPr>
              <w:t>p</w:t>
            </w:r>
            <w:r>
              <w:rPr>
                <w:b/>
                <w:spacing w:val="-3"/>
              </w:rPr>
              <w:t>a</w:t>
            </w:r>
            <w:r>
              <w:rPr>
                <w:b/>
              </w:rPr>
              <w:t>ra</w:t>
            </w:r>
            <w:r>
              <w:rPr>
                <w:b/>
                <w:spacing w:val="-2"/>
              </w:rPr>
              <w:t>t</w:t>
            </w:r>
            <w:r>
              <w:rPr>
                <w:b/>
              </w:rPr>
              <w:t>e, s</w:t>
            </w:r>
            <w:r>
              <w:rPr>
                <w:b/>
                <w:spacing w:val="1"/>
              </w:rPr>
              <w:t>i</w:t>
            </w:r>
            <w:r>
              <w:rPr>
                <w:b/>
                <w:spacing w:val="-2"/>
              </w:rPr>
              <w:t>s</w:t>
            </w:r>
            <w:r>
              <w:rPr>
                <w:b/>
              </w:rPr>
              <w:t>t</w:t>
            </w:r>
            <w:r>
              <w:rPr>
                <w:b/>
                <w:spacing w:val="-3"/>
              </w:rPr>
              <w:t>e</w:t>
            </w:r>
            <w:r>
              <w:rPr>
                <w:b/>
              </w:rPr>
              <w:t xml:space="preserve">me </w:t>
            </w:r>
            <w:r>
              <w:rPr>
                <w:b/>
                <w:spacing w:val="-2"/>
              </w:rPr>
              <w:t>ş</w:t>
            </w:r>
            <w:r>
              <w:rPr>
                <w:b/>
              </w:rPr>
              <w:t>i</w:t>
            </w:r>
            <w:r>
              <w:rPr>
                <w:b/>
                <w:spacing w:val="1"/>
              </w:rPr>
              <w:t xml:space="preserve"> </w:t>
            </w:r>
            <w:r>
              <w:rPr>
                <w:b/>
              </w:rPr>
              <w:t>o</w:t>
            </w:r>
            <w:r>
              <w:rPr>
                <w:b/>
                <w:spacing w:val="-3"/>
              </w:rPr>
              <w:t>r</w:t>
            </w:r>
            <w:r>
              <w:rPr>
                <w:b/>
              </w:rPr>
              <w:t>ga</w:t>
            </w:r>
            <w:r>
              <w:rPr>
                <w:b/>
                <w:spacing w:val="-1"/>
              </w:rPr>
              <w:t>n</w:t>
            </w:r>
            <w:r>
              <w:rPr>
                <w:b/>
              </w:rPr>
              <w:t>e</w:t>
            </w:r>
          </w:p>
        </w:tc>
        <w:tc>
          <w:tcPr>
            <w:tcW w:w="1784" w:type="dxa"/>
            <w:vAlign w:val="center"/>
          </w:tcPr>
          <w:p w14:paraId="50EBC0C0" w14:textId="77777777" w:rsidR="00C04CAD" w:rsidRDefault="00060E34">
            <w:pPr>
              <w:keepNext/>
              <w:tabs>
                <w:tab w:val="clear" w:pos="567"/>
              </w:tabs>
              <w:kinsoku w:val="0"/>
              <w:overflowPunct w:val="0"/>
              <w:autoSpaceDE w:val="0"/>
              <w:autoSpaceDN w:val="0"/>
              <w:adjustRightInd w:val="0"/>
              <w:spacing w:line="240" w:lineRule="auto"/>
            </w:pPr>
            <w:r>
              <w:rPr>
                <w:b/>
                <w:spacing w:val="1"/>
              </w:rPr>
              <w:t>F</w:t>
            </w:r>
            <w:r>
              <w:rPr>
                <w:b/>
                <w:spacing w:val="-3"/>
              </w:rPr>
              <w:t>r</w:t>
            </w:r>
            <w:r>
              <w:rPr>
                <w:b/>
              </w:rPr>
              <w:t>ecve</w:t>
            </w:r>
            <w:r>
              <w:rPr>
                <w:b/>
                <w:spacing w:val="-3"/>
              </w:rPr>
              <w:t>n</w:t>
            </w:r>
            <w:r>
              <w:rPr>
                <w:b/>
              </w:rPr>
              <w:t>ţă</w:t>
            </w:r>
          </w:p>
        </w:tc>
        <w:tc>
          <w:tcPr>
            <w:tcW w:w="4740" w:type="dxa"/>
            <w:vAlign w:val="center"/>
          </w:tcPr>
          <w:p w14:paraId="7F4E5E63" w14:textId="77777777" w:rsidR="00C04CAD" w:rsidRDefault="00060E34">
            <w:pPr>
              <w:keepNext/>
              <w:tabs>
                <w:tab w:val="clear" w:pos="567"/>
              </w:tabs>
              <w:kinsoku w:val="0"/>
              <w:overflowPunct w:val="0"/>
              <w:autoSpaceDE w:val="0"/>
              <w:autoSpaceDN w:val="0"/>
              <w:adjustRightInd w:val="0"/>
              <w:spacing w:line="240" w:lineRule="auto"/>
            </w:pPr>
            <w:r>
              <w:rPr>
                <w:b/>
                <w:spacing w:val="-1"/>
              </w:rPr>
              <w:t>R</w:t>
            </w:r>
            <w:r>
              <w:rPr>
                <w:b/>
              </w:rPr>
              <w:t>eac</w:t>
            </w:r>
            <w:r>
              <w:rPr>
                <w:b/>
                <w:spacing w:val="-2"/>
              </w:rPr>
              <w:t>ţ</w:t>
            </w:r>
            <w:r>
              <w:rPr>
                <w:b/>
                <w:spacing w:val="1"/>
              </w:rPr>
              <w:t>i</w:t>
            </w:r>
            <w:r>
              <w:rPr>
                <w:b/>
              </w:rPr>
              <w:t xml:space="preserve">e </w:t>
            </w:r>
            <w:r>
              <w:rPr>
                <w:b/>
                <w:spacing w:val="-1"/>
              </w:rPr>
              <w:t>ad</w:t>
            </w:r>
            <w:r>
              <w:rPr>
                <w:b/>
                <w:spacing w:val="-3"/>
              </w:rPr>
              <w:t>v</w:t>
            </w:r>
            <w:r>
              <w:rPr>
                <w:b/>
              </w:rPr>
              <w:t>er</w:t>
            </w:r>
            <w:r>
              <w:rPr>
                <w:b/>
                <w:spacing w:val="-2"/>
              </w:rPr>
              <w:t>s</w:t>
            </w:r>
            <w:r>
              <w:rPr>
                <w:b/>
              </w:rPr>
              <w:t>e</w:t>
            </w:r>
          </w:p>
        </w:tc>
      </w:tr>
      <w:tr w:rsidR="00C04CAD" w14:paraId="341D187E" w14:textId="77777777">
        <w:trPr>
          <w:cantSplit/>
        </w:trPr>
        <w:tc>
          <w:tcPr>
            <w:tcW w:w="2501" w:type="dxa"/>
          </w:tcPr>
          <w:p w14:paraId="07327756" w14:textId="77777777" w:rsidR="00C04CAD" w:rsidRDefault="00060E34">
            <w:pPr>
              <w:tabs>
                <w:tab w:val="clear" w:pos="567"/>
              </w:tabs>
              <w:kinsoku w:val="0"/>
              <w:overflowPunct w:val="0"/>
              <w:autoSpaceDE w:val="0"/>
              <w:autoSpaceDN w:val="0"/>
              <w:adjustRightInd w:val="0"/>
              <w:spacing w:line="240" w:lineRule="auto"/>
            </w:pPr>
            <w:r>
              <w:rPr>
                <w:spacing w:val="-4"/>
              </w:rPr>
              <w:t>I</w:t>
            </w:r>
            <w:r>
              <w:t>nfec</w:t>
            </w:r>
            <w:r>
              <w:rPr>
                <w:spacing w:val="1"/>
              </w:rPr>
              <w:t>ţi</w:t>
            </w:r>
            <w:r>
              <w:t>i</w:t>
            </w:r>
            <w:r>
              <w:rPr>
                <w:spacing w:val="-2"/>
              </w:rPr>
              <w:t xml:space="preserve"> </w:t>
            </w:r>
            <w:r>
              <w:t>şi</w:t>
            </w:r>
            <w:r>
              <w:rPr>
                <w:spacing w:val="-2"/>
              </w:rPr>
              <w:t xml:space="preserve"> </w:t>
            </w:r>
            <w:r>
              <w:rPr>
                <w:spacing w:val="1"/>
              </w:rPr>
              <w:t>i</w:t>
            </w:r>
            <w:r>
              <w:rPr>
                <w:spacing w:val="-3"/>
              </w:rPr>
              <w:t>n</w:t>
            </w:r>
            <w:r>
              <w:t>fe</w:t>
            </w:r>
            <w:r>
              <w:rPr>
                <w:spacing w:val="-2"/>
              </w:rPr>
              <w:t>s</w:t>
            </w:r>
            <w:r>
              <w:rPr>
                <w:spacing w:val="1"/>
              </w:rPr>
              <w:t>t</w:t>
            </w:r>
            <w:r>
              <w:t>ă</w:t>
            </w:r>
            <w:r>
              <w:rPr>
                <w:spacing w:val="-2"/>
              </w:rPr>
              <w:t>r</w:t>
            </w:r>
            <w:r>
              <w:rPr>
                <w:spacing w:val="1"/>
              </w:rPr>
              <w:t>i*</w:t>
            </w:r>
          </w:p>
        </w:tc>
        <w:tc>
          <w:tcPr>
            <w:tcW w:w="1784" w:type="dxa"/>
          </w:tcPr>
          <w:p w14:paraId="3618CE1F"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70A857B8" w14:textId="77777777" w:rsidR="00C04CAD" w:rsidRDefault="00C04CAD">
            <w:pPr>
              <w:tabs>
                <w:tab w:val="clear" w:pos="567"/>
              </w:tabs>
              <w:kinsoku w:val="0"/>
              <w:overflowPunct w:val="0"/>
              <w:autoSpaceDE w:val="0"/>
              <w:autoSpaceDN w:val="0"/>
              <w:adjustRightInd w:val="0"/>
              <w:spacing w:line="240" w:lineRule="auto"/>
              <w:rPr>
                <w:spacing w:val="-4"/>
              </w:rPr>
            </w:pPr>
          </w:p>
          <w:p w14:paraId="053A3398" w14:textId="77777777" w:rsidR="00C04CAD" w:rsidRDefault="00C04CAD">
            <w:pPr>
              <w:tabs>
                <w:tab w:val="clear" w:pos="567"/>
              </w:tabs>
              <w:kinsoku w:val="0"/>
              <w:overflowPunct w:val="0"/>
              <w:autoSpaceDE w:val="0"/>
              <w:autoSpaceDN w:val="0"/>
              <w:adjustRightInd w:val="0"/>
              <w:spacing w:line="240" w:lineRule="auto"/>
              <w:rPr>
                <w:spacing w:val="-4"/>
              </w:rPr>
            </w:pPr>
          </w:p>
          <w:p w14:paraId="24DA0A8A" w14:textId="77777777" w:rsidR="00C04CAD" w:rsidRDefault="00C04CAD">
            <w:pPr>
              <w:tabs>
                <w:tab w:val="clear" w:pos="567"/>
              </w:tabs>
              <w:kinsoku w:val="0"/>
              <w:overflowPunct w:val="0"/>
              <w:autoSpaceDE w:val="0"/>
              <w:autoSpaceDN w:val="0"/>
              <w:adjustRightInd w:val="0"/>
              <w:spacing w:line="240" w:lineRule="auto"/>
              <w:rPr>
                <w:spacing w:val="-4"/>
              </w:rPr>
            </w:pPr>
          </w:p>
          <w:p w14:paraId="5BD30C13" w14:textId="77777777" w:rsidR="00C04CAD" w:rsidRDefault="00C04CAD">
            <w:pPr>
              <w:tabs>
                <w:tab w:val="clear" w:pos="567"/>
              </w:tabs>
              <w:kinsoku w:val="0"/>
              <w:overflowPunct w:val="0"/>
              <w:autoSpaceDE w:val="0"/>
              <w:autoSpaceDN w:val="0"/>
              <w:adjustRightInd w:val="0"/>
              <w:spacing w:line="240" w:lineRule="auto"/>
              <w:rPr>
                <w:spacing w:val="-4"/>
              </w:rPr>
            </w:pPr>
          </w:p>
          <w:p w14:paraId="4A831ABB" w14:textId="77777777" w:rsidR="00C04CAD" w:rsidRDefault="00060E34">
            <w:pPr>
              <w:tabs>
                <w:tab w:val="clear" w:pos="567"/>
              </w:tabs>
              <w:kinsoku w:val="0"/>
              <w:overflowPunct w:val="0"/>
              <w:autoSpaceDE w:val="0"/>
              <w:autoSpaceDN w:val="0"/>
              <w:adjustRightInd w:val="0"/>
              <w:spacing w:line="240" w:lineRule="auto"/>
              <w:rPr>
                <w:spacing w:val="-4"/>
              </w:rPr>
            </w:pPr>
            <w:r>
              <w:rPr>
                <w:spacing w:val="-1"/>
              </w:rPr>
              <w:t>F</w:t>
            </w:r>
            <w:r>
              <w:t>rec</w:t>
            </w:r>
            <w:r>
              <w:rPr>
                <w:spacing w:val="-3"/>
              </w:rPr>
              <w:t>v</w:t>
            </w:r>
            <w:r>
              <w:t>en</w:t>
            </w:r>
            <w:r>
              <w:rPr>
                <w:spacing w:val="-2"/>
              </w:rPr>
              <w:t>t</w:t>
            </w:r>
            <w:r>
              <w:t>e</w:t>
            </w:r>
            <w:r>
              <w:rPr>
                <w:spacing w:val="-4"/>
              </w:rPr>
              <w:t xml:space="preserve"> </w:t>
            </w:r>
          </w:p>
          <w:p w14:paraId="22A54C01" w14:textId="77777777" w:rsidR="00C04CAD" w:rsidRDefault="00C04CAD">
            <w:pPr>
              <w:tabs>
                <w:tab w:val="clear" w:pos="567"/>
              </w:tabs>
              <w:kinsoku w:val="0"/>
              <w:overflowPunct w:val="0"/>
              <w:autoSpaceDE w:val="0"/>
              <w:autoSpaceDN w:val="0"/>
              <w:adjustRightInd w:val="0"/>
              <w:spacing w:line="240" w:lineRule="auto"/>
              <w:rPr>
                <w:spacing w:val="-4"/>
              </w:rPr>
            </w:pPr>
          </w:p>
          <w:p w14:paraId="3A61948F" w14:textId="77777777" w:rsidR="00C04CAD" w:rsidRDefault="00C04CAD">
            <w:pPr>
              <w:tabs>
                <w:tab w:val="clear" w:pos="567"/>
              </w:tabs>
              <w:kinsoku w:val="0"/>
              <w:overflowPunct w:val="0"/>
              <w:autoSpaceDE w:val="0"/>
              <w:autoSpaceDN w:val="0"/>
              <w:adjustRightInd w:val="0"/>
              <w:spacing w:line="240" w:lineRule="auto"/>
              <w:rPr>
                <w:spacing w:val="-4"/>
              </w:rPr>
            </w:pPr>
          </w:p>
          <w:p w14:paraId="4C8D15C1" w14:textId="77777777" w:rsidR="00C04CAD" w:rsidRDefault="00C04CAD">
            <w:pPr>
              <w:tabs>
                <w:tab w:val="clear" w:pos="567"/>
              </w:tabs>
              <w:kinsoku w:val="0"/>
              <w:overflowPunct w:val="0"/>
              <w:autoSpaceDE w:val="0"/>
              <w:autoSpaceDN w:val="0"/>
              <w:adjustRightInd w:val="0"/>
              <w:spacing w:line="240" w:lineRule="auto"/>
              <w:rPr>
                <w:spacing w:val="-4"/>
              </w:rPr>
            </w:pPr>
          </w:p>
          <w:p w14:paraId="5B8864DA" w14:textId="77777777" w:rsidR="00C04CAD" w:rsidRDefault="00C04CAD">
            <w:pPr>
              <w:tabs>
                <w:tab w:val="clear" w:pos="567"/>
              </w:tabs>
              <w:kinsoku w:val="0"/>
              <w:overflowPunct w:val="0"/>
              <w:autoSpaceDE w:val="0"/>
              <w:autoSpaceDN w:val="0"/>
              <w:adjustRightInd w:val="0"/>
              <w:spacing w:line="240" w:lineRule="auto"/>
              <w:rPr>
                <w:spacing w:val="-4"/>
              </w:rPr>
            </w:pPr>
          </w:p>
          <w:p w14:paraId="1A91F3F0" w14:textId="77777777" w:rsidR="00C04CAD" w:rsidRDefault="00C04CAD">
            <w:pPr>
              <w:tabs>
                <w:tab w:val="clear" w:pos="567"/>
              </w:tabs>
              <w:kinsoku w:val="0"/>
              <w:overflowPunct w:val="0"/>
              <w:autoSpaceDE w:val="0"/>
              <w:autoSpaceDN w:val="0"/>
              <w:adjustRightInd w:val="0"/>
              <w:spacing w:line="240" w:lineRule="auto"/>
              <w:rPr>
                <w:spacing w:val="-4"/>
              </w:rPr>
            </w:pPr>
          </w:p>
          <w:p w14:paraId="6C47F183" w14:textId="77777777" w:rsidR="00C04CAD" w:rsidRDefault="00C04CAD">
            <w:pPr>
              <w:tabs>
                <w:tab w:val="clear" w:pos="567"/>
              </w:tabs>
              <w:kinsoku w:val="0"/>
              <w:overflowPunct w:val="0"/>
              <w:autoSpaceDE w:val="0"/>
              <w:autoSpaceDN w:val="0"/>
              <w:adjustRightInd w:val="0"/>
              <w:spacing w:line="240" w:lineRule="auto"/>
              <w:rPr>
                <w:spacing w:val="-4"/>
              </w:rPr>
            </w:pPr>
          </w:p>
          <w:p w14:paraId="1F0918B1" w14:textId="77777777" w:rsidR="00C04CAD" w:rsidRDefault="00C04CAD">
            <w:pPr>
              <w:tabs>
                <w:tab w:val="clear" w:pos="567"/>
              </w:tabs>
              <w:kinsoku w:val="0"/>
              <w:overflowPunct w:val="0"/>
              <w:autoSpaceDE w:val="0"/>
              <w:autoSpaceDN w:val="0"/>
              <w:adjustRightInd w:val="0"/>
              <w:spacing w:line="240" w:lineRule="auto"/>
              <w:rPr>
                <w:spacing w:val="-4"/>
              </w:rPr>
            </w:pPr>
          </w:p>
          <w:p w14:paraId="3B04F992" w14:textId="77777777" w:rsidR="00C04CAD" w:rsidRDefault="00C04CAD">
            <w:pPr>
              <w:tabs>
                <w:tab w:val="clear" w:pos="567"/>
              </w:tabs>
              <w:kinsoku w:val="0"/>
              <w:overflowPunct w:val="0"/>
              <w:autoSpaceDE w:val="0"/>
              <w:autoSpaceDN w:val="0"/>
              <w:adjustRightInd w:val="0"/>
              <w:spacing w:line="240" w:lineRule="auto"/>
              <w:rPr>
                <w:spacing w:val="-4"/>
              </w:rPr>
            </w:pPr>
          </w:p>
          <w:p w14:paraId="48E72384" w14:textId="77777777" w:rsidR="00C04CAD" w:rsidRDefault="00C04CAD">
            <w:pPr>
              <w:tabs>
                <w:tab w:val="clear" w:pos="567"/>
              </w:tabs>
              <w:kinsoku w:val="0"/>
              <w:overflowPunct w:val="0"/>
              <w:autoSpaceDE w:val="0"/>
              <w:autoSpaceDN w:val="0"/>
              <w:adjustRightInd w:val="0"/>
              <w:spacing w:line="240" w:lineRule="auto"/>
              <w:rPr>
                <w:spacing w:val="-4"/>
              </w:rPr>
            </w:pPr>
          </w:p>
          <w:p w14:paraId="664A51BF" w14:textId="77777777" w:rsidR="00C04CAD" w:rsidRDefault="00C04CAD">
            <w:pPr>
              <w:tabs>
                <w:tab w:val="clear" w:pos="567"/>
              </w:tabs>
              <w:kinsoku w:val="0"/>
              <w:overflowPunct w:val="0"/>
              <w:autoSpaceDE w:val="0"/>
              <w:autoSpaceDN w:val="0"/>
              <w:adjustRightInd w:val="0"/>
              <w:spacing w:line="240" w:lineRule="auto"/>
              <w:rPr>
                <w:spacing w:val="-4"/>
              </w:rPr>
            </w:pPr>
          </w:p>
          <w:p w14:paraId="4C2F0193" w14:textId="77777777" w:rsidR="00C04CAD" w:rsidRDefault="00C04CAD">
            <w:pPr>
              <w:tabs>
                <w:tab w:val="clear" w:pos="567"/>
              </w:tabs>
              <w:kinsoku w:val="0"/>
              <w:overflowPunct w:val="0"/>
              <w:autoSpaceDE w:val="0"/>
              <w:autoSpaceDN w:val="0"/>
              <w:adjustRightInd w:val="0"/>
              <w:spacing w:line="240" w:lineRule="auto"/>
              <w:rPr>
                <w:spacing w:val="-4"/>
              </w:rPr>
            </w:pPr>
          </w:p>
          <w:p w14:paraId="425C418A" w14:textId="77777777" w:rsidR="00C04CAD" w:rsidRDefault="00C04CAD">
            <w:pPr>
              <w:tabs>
                <w:tab w:val="clear" w:pos="567"/>
              </w:tabs>
              <w:kinsoku w:val="0"/>
              <w:overflowPunct w:val="0"/>
              <w:autoSpaceDE w:val="0"/>
              <w:autoSpaceDN w:val="0"/>
              <w:adjustRightInd w:val="0"/>
              <w:spacing w:line="240" w:lineRule="auto"/>
              <w:rPr>
                <w:spacing w:val="-4"/>
              </w:rPr>
            </w:pPr>
          </w:p>
          <w:p w14:paraId="684B1C81" w14:textId="77777777" w:rsidR="00C04CAD" w:rsidRDefault="00C04CAD">
            <w:pPr>
              <w:tabs>
                <w:tab w:val="clear" w:pos="567"/>
              </w:tabs>
              <w:kinsoku w:val="0"/>
              <w:overflowPunct w:val="0"/>
              <w:autoSpaceDE w:val="0"/>
              <w:autoSpaceDN w:val="0"/>
              <w:adjustRightInd w:val="0"/>
              <w:spacing w:line="240" w:lineRule="auto"/>
              <w:rPr>
                <w:spacing w:val="-4"/>
              </w:rPr>
            </w:pPr>
          </w:p>
          <w:p w14:paraId="249164BF" w14:textId="77777777" w:rsidR="00C04CAD" w:rsidRDefault="00C04CAD">
            <w:pPr>
              <w:tabs>
                <w:tab w:val="clear" w:pos="567"/>
              </w:tabs>
              <w:kinsoku w:val="0"/>
              <w:overflowPunct w:val="0"/>
              <w:autoSpaceDE w:val="0"/>
              <w:autoSpaceDN w:val="0"/>
              <w:adjustRightInd w:val="0"/>
              <w:spacing w:line="240" w:lineRule="auto"/>
            </w:pPr>
          </w:p>
          <w:p w14:paraId="78D2ABBB" w14:textId="77777777" w:rsidR="00C04CAD" w:rsidRDefault="00060E34">
            <w:pPr>
              <w:tabs>
                <w:tab w:val="clear" w:pos="567"/>
              </w:tabs>
              <w:kinsoku w:val="0"/>
              <w:overflowPunct w:val="0"/>
              <w:autoSpaceDE w:val="0"/>
              <w:autoSpaceDN w:val="0"/>
              <w:adjustRightInd w:val="0"/>
              <w:spacing w:line="240" w:lineRule="auto"/>
              <w:rPr>
                <w:spacing w:val="-4"/>
              </w:rPr>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r>
              <w:rPr>
                <w:spacing w:val="-4"/>
              </w:rPr>
              <w:t xml:space="preserve"> </w:t>
            </w:r>
          </w:p>
          <w:p w14:paraId="4513158D" w14:textId="77777777" w:rsidR="00C04CAD" w:rsidRDefault="00C04CAD">
            <w:pPr>
              <w:tabs>
                <w:tab w:val="clear" w:pos="567"/>
              </w:tabs>
              <w:kinsoku w:val="0"/>
              <w:overflowPunct w:val="0"/>
              <w:autoSpaceDE w:val="0"/>
              <w:autoSpaceDN w:val="0"/>
              <w:adjustRightInd w:val="0"/>
              <w:spacing w:line="240" w:lineRule="auto"/>
              <w:rPr>
                <w:spacing w:val="-4"/>
              </w:rPr>
            </w:pPr>
          </w:p>
          <w:p w14:paraId="082E9C5D" w14:textId="77777777" w:rsidR="00C04CAD" w:rsidRDefault="00C04CAD">
            <w:pPr>
              <w:tabs>
                <w:tab w:val="clear" w:pos="567"/>
              </w:tabs>
              <w:kinsoku w:val="0"/>
              <w:overflowPunct w:val="0"/>
              <w:autoSpaceDE w:val="0"/>
              <w:autoSpaceDN w:val="0"/>
              <w:adjustRightInd w:val="0"/>
              <w:spacing w:line="240" w:lineRule="auto"/>
              <w:rPr>
                <w:spacing w:val="-4"/>
              </w:rPr>
            </w:pPr>
          </w:p>
          <w:p w14:paraId="7F3162F7" w14:textId="77777777" w:rsidR="00C04CAD" w:rsidRDefault="00C04CAD">
            <w:pPr>
              <w:tabs>
                <w:tab w:val="clear" w:pos="567"/>
              </w:tabs>
              <w:kinsoku w:val="0"/>
              <w:overflowPunct w:val="0"/>
              <w:autoSpaceDE w:val="0"/>
              <w:autoSpaceDN w:val="0"/>
              <w:adjustRightInd w:val="0"/>
              <w:spacing w:line="240" w:lineRule="auto"/>
              <w:rPr>
                <w:spacing w:val="-4"/>
              </w:rPr>
            </w:pPr>
          </w:p>
          <w:p w14:paraId="24AE8D00" w14:textId="77777777" w:rsidR="00C04CAD" w:rsidRDefault="00C04CAD">
            <w:pPr>
              <w:tabs>
                <w:tab w:val="clear" w:pos="567"/>
              </w:tabs>
              <w:kinsoku w:val="0"/>
              <w:overflowPunct w:val="0"/>
              <w:autoSpaceDE w:val="0"/>
              <w:autoSpaceDN w:val="0"/>
              <w:adjustRightInd w:val="0"/>
              <w:spacing w:line="240" w:lineRule="auto"/>
              <w:rPr>
                <w:spacing w:val="-4"/>
              </w:rPr>
            </w:pPr>
          </w:p>
        </w:tc>
        <w:tc>
          <w:tcPr>
            <w:tcW w:w="4740" w:type="dxa"/>
          </w:tcPr>
          <w:p w14:paraId="576408CC"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 xml:space="preserve">e </w:t>
            </w:r>
            <w:r>
              <w:rPr>
                <w:spacing w:val="-2"/>
              </w:rPr>
              <w:t>t</w:t>
            </w:r>
            <w:r>
              <w:t>ra</w:t>
            </w:r>
            <w:r>
              <w:rPr>
                <w:spacing w:val="-3"/>
              </w:rPr>
              <w:t>c</w:t>
            </w:r>
            <w:r>
              <w:rPr>
                <w:spacing w:val="1"/>
              </w:rPr>
              <w:t>t</w:t>
            </w:r>
            <w:r>
              <w:rPr>
                <w:spacing w:val="-3"/>
              </w:rPr>
              <w:t>u</w:t>
            </w:r>
            <w:r>
              <w:rPr>
                <w:spacing w:val="1"/>
              </w:rPr>
              <w:t>l</w:t>
            </w:r>
            <w:r>
              <w:t>ui</w:t>
            </w:r>
            <w:r>
              <w:rPr>
                <w:spacing w:val="-2"/>
              </w:rPr>
              <w:t xml:space="preserve"> </w:t>
            </w:r>
            <w:r>
              <w:t>re</w:t>
            </w:r>
            <w:r>
              <w:rPr>
                <w:spacing w:val="-2"/>
              </w:rPr>
              <w:t>s</w:t>
            </w:r>
            <w:r>
              <w:t>p</w:t>
            </w:r>
            <w:r>
              <w:rPr>
                <w:spacing w:val="-2"/>
              </w:rPr>
              <w:t>i</w:t>
            </w:r>
            <w:r>
              <w:t>ra</w:t>
            </w:r>
            <w:r>
              <w:rPr>
                <w:spacing w:val="-2"/>
              </w:rPr>
              <w:t>t</w:t>
            </w:r>
            <w:r>
              <w:t>or</w:t>
            </w:r>
            <w:r>
              <w:rPr>
                <w:spacing w:val="1"/>
              </w:rPr>
              <w:t xml:space="preserv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rPr>
                <w:spacing w:val="1"/>
              </w:rPr>
              <w:t>i</w:t>
            </w:r>
            <w:r>
              <w:t>nf</w:t>
            </w:r>
            <w:r>
              <w:rPr>
                <w:spacing w:val="-3"/>
              </w:rPr>
              <w:t>e</w:t>
            </w:r>
            <w:r>
              <w:t>c</w:t>
            </w:r>
            <w:r>
              <w:rPr>
                <w:spacing w:val="-2"/>
              </w:rPr>
              <w:t>ţ</w:t>
            </w:r>
            <w:r>
              <w:rPr>
                <w:spacing w:val="1"/>
              </w:rPr>
              <w:t xml:space="preserve">ii </w:t>
            </w:r>
            <w:r>
              <w:t>a</w:t>
            </w:r>
            <w:r>
              <w:rPr>
                <w:spacing w:val="1"/>
              </w:rPr>
              <w:t>l</w:t>
            </w:r>
            <w:r>
              <w:t>e</w:t>
            </w:r>
            <w:r>
              <w:rPr>
                <w:spacing w:val="-2"/>
              </w:rPr>
              <w:t xml:space="preserve"> </w:t>
            </w:r>
            <w:r>
              <w:rPr>
                <w:spacing w:val="1"/>
              </w:rPr>
              <w:t>t</w:t>
            </w:r>
            <w:r>
              <w:rPr>
                <w:spacing w:val="-2"/>
              </w:rPr>
              <w:t>r</w:t>
            </w:r>
            <w:r>
              <w:t>ac</w:t>
            </w:r>
            <w:r>
              <w:rPr>
                <w:spacing w:val="-2"/>
              </w:rPr>
              <w:t>t</w:t>
            </w:r>
            <w:r>
              <w:t>u</w:t>
            </w:r>
            <w:r>
              <w:rPr>
                <w:spacing w:val="1"/>
              </w:rPr>
              <w:t>l</w:t>
            </w:r>
            <w:r>
              <w:rPr>
                <w:spacing w:val="-3"/>
              </w:rPr>
              <w:t>u</w:t>
            </w:r>
            <w:r>
              <w:t>i</w:t>
            </w:r>
            <w:r>
              <w:rPr>
                <w:spacing w:val="1"/>
              </w:rPr>
              <w:t xml:space="preserve"> </w:t>
            </w:r>
            <w:r>
              <w:rPr>
                <w:spacing w:val="-2"/>
              </w:rPr>
              <w:t>r</w:t>
            </w:r>
            <w:r>
              <w:t>es</w:t>
            </w:r>
            <w:r>
              <w:rPr>
                <w:spacing w:val="-3"/>
              </w:rPr>
              <w:t>p</w:t>
            </w:r>
            <w:r>
              <w:rPr>
                <w:spacing w:val="1"/>
              </w:rPr>
              <w:t>i</w:t>
            </w:r>
            <w:r>
              <w:t>r</w:t>
            </w:r>
            <w:r>
              <w:rPr>
                <w:spacing w:val="-3"/>
              </w:rPr>
              <w:t>a</w:t>
            </w:r>
            <w:r>
              <w:rPr>
                <w:spacing w:val="1"/>
              </w:rPr>
              <w:t>t</w:t>
            </w:r>
            <w:r>
              <w:rPr>
                <w:spacing w:val="-3"/>
              </w:rPr>
              <w:t>o</w:t>
            </w:r>
            <w:r>
              <w:t>r</w:t>
            </w:r>
            <w:r>
              <w:rPr>
                <w:spacing w:val="1"/>
              </w:rPr>
              <w:t xml:space="preserve"> i</w:t>
            </w:r>
            <w:r>
              <w:rPr>
                <w:spacing w:val="-3"/>
              </w:rPr>
              <w:t>n</w:t>
            </w:r>
            <w:r>
              <w:t>f</w:t>
            </w:r>
            <w:r>
              <w:rPr>
                <w:spacing w:val="-3"/>
              </w:rPr>
              <w:t>e</w:t>
            </w:r>
            <w:r>
              <w:rPr>
                <w:spacing w:val="-2"/>
              </w:rPr>
              <w:t>r</w:t>
            </w:r>
            <w:r>
              <w:rPr>
                <w:spacing w:val="1"/>
              </w:rPr>
              <w:t>i</w:t>
            </w:r>
            <w:r>
              <w:t>or</w:t>
            </w:r>
            <w:r>
              <w:rPr>
                <w:spacing w:val="-2"/>
              </w:rPr>
              <w:t xml:space="preserve"> </w:t>
            </w:r>
            <w:r>
              <w:t>şi</w:t>
            </w:r>
            <w:r>
              <w:rPr>
                <w:spacing w:val="-2"/>
              </w:rPr>
              <w:t xml:space="preserve"> </w:t>
            </w:r>
            <w:r>
              <w:t>sup</w:t>
            </w:r>
            <w:r>
              <w:rPr>
                <w:spacing w:val="-3"/>
              </w:rPr>
              <w:t>e</w:t>
            </w:r>
            <w:r>
              <w:t>r</w:t>
            </w:r>
            <w:r>
              <w:rPr>
                <w:spacing w:val="1"/>
              </w:rPr>
              <w:t>i</w:t>
            </w:r>
            <w:r>
              <w:rPr>
                <w:spacing w:val="-3"/>
              </w:rPr>
              <w:t>o</w:t>
            </w:r>
            <w:r>
              <w:t>r, pneu</w:t>
            </w:r>
            <w:r>
              <w:rPr>
                <w:spacing w:val="-4"/>
              </w:rPr>
              <w:t>m</w:t>
            </w:r>
            <w:r>
              <w:t>on</w:t>
            </w:r>
            <w:r>
              <w:rPr>
                <w:spacing w:val="1"/>
              </w:rPr>
              <w:t>i</w:t>
            </w:r>
            <w:r>
              <w:t xml:space="preserve">e, </w:t>
            </w:r>
            <w:r>
              <w:rPr>
                <w:spacing w:val="-2"/>
              </w:rPr>
              <w:t>s</w:t>
            </w:r>
            <w:r>
              <w:rPr>
                <w:spacing w:val="1"/>
              </w:rPr>
              <w:t>i</w:t>
            </w:r>
            <w:r>
              <w:t>nu</w:t>
            </w:r>
            <w:r>
              <w:rPr>
                <w:spacing w:val="-3"/>
              </w:rPr>
              <w:t>z</w:t>
            </w:r>
            <w:r>
              <w:rPr>
                <w:spacing w:val="1"/>
              </w:rPr>
              <w:t>i</w:t>
            </w:r>
            <w:r>
              <w:rPr>
                <w:spacing w:val="-2"/>
              </w:rPr>
              <w:t>t</w:t>
            </w:r>
            <w:r>
              <w:t xml:space="preserve">ă, </w:t>
            </w:r>
            <w:r>
              <w:rPr>
                <w:spacing w:val="-2"/>
              </w:rPr>
              <w:t>f</w:t>
            </w:r>
            <w:r>
              <w:t>a</w:t>
            </w:r>
            <w:r>
              <w:rPr>
                <w:spacing w:val="-2"/>
              </w:rPr>
              <w:t>r</w:t>
            </w:r>
            <w:r>
              <w:rPr>
                <w:spacing w:val="1"/>
              </w:rPr>
              <w:t>i</w:t>
            </w:r>
            <w:r>
              <w:t>n</w:t>
            </w:r>
            <w:r>
              <w:rPr>
                <w:spacing w:val="-3"/>
              </w:rPr>
              <w:t>g</w:t>
            </w:r>
            <w:r>
              <w:rPr>
                <w:spacing w:val="1"/>
              </w:rPr>
              <w:t>it</w:t>
            </w:r>
            <w:r>
              <w:t>ă,</w:t>
            </w:r>
            <w:r>
              <w:rPr>
                <w:spacing w:val="-3"/>
              </w:rPr>
              <w:t xml:space="preserve"> </w:t>
            </w:r>
            <w:r>
              <w:rPr>
                <w:spacing w:val="-2"/>
              </w:rPr>
              <w:t>r</w:t>
            </w:r>
            <w:r>
              <w:rPr>
                <w:spacing w:val="1"/>
              </w:rPr>
              <w:t>i</w:t>
            </w:r>
            <w:r>
              <w:t>no</w:t>
            </w:r>
            <w:r>
              <w:rPr>
                <w:spacing w:val="-2"/>
              </w:rPr>
              <w:t>f</w:t>
            </w:r>
            <w:r>
              <w:t>a</w:t>
            </w:r>
            <w:r>
              <w:rPr>
                <w:spacing w:val="-2"/>
              </w:rPr>
              <w:t>r</w:t>
            </w:r>
            <w:r>
              <w:rPr>
                <w:spacing w:val="1"/>
              </w:rPr>
              <w:t>i</w:t>
            </w:r>
            <w:r>
              <w:t>n</w:t>
            </w:r>
            <w:r>
              <w:rPr>
                <w:spacing w:val="-3"/>
              </w:rPr>
              <w:t>g</w:t>
            </w:r>
            <w:r>
              <w:rPr>
                <w:spacing w:val="1"/>
              </w:rPr>
              <w:t>it</w:t>
            </w:r>
            <w:r>
              <w:t>ă</w:t>
            </w:r>
            <w:r>
              <w:rPr>
                <w:spacing w:val="-2"/>
              </w:rPr>
              <w:t xml:space="preserve"> </w:t>
            </w:r>
            <w:r>
              <w:t>şi pneu</w:t>
            </w:r>
            <w:r>
              <w:rPr>
                <w:spacing w:val="-4"/>
              </w:rPr>
              <w:t>m</w:t>
            </w:r>
            <w:r>
              <w:t>on</w:t>
            </w:r>
            <w:r>
              <w:rPr>
                <w:spacing w:val="1"/>
              </w:rPr>
              <w:t>i</w:t>
            </w:r>
            <w:r>
              <w:t xml:space="preserve">e cu </w:t>
            </w:r>
            <w:r>
              <w:rPr>
                <w:spacing w:val="-3"/>
              </w:rPr>
              <w:t>v</w:t>
            </w:r>
            <w:r>
              <w:rPr>
                <w:spacing w:val="1"/>
              </w:rPr>
              <w:t>i</w:t>
            </w:r>
            <w:r>
              <w:rPr>
                <w:spacing w:val="-2"/>
              </w:rPr>
              <w:t>r</w:t>
            </w:r>
            <w:r>
              <w:t>us</w:t>
            </w:r>
            <w:r>
              <w:rPr>
                <w:spacing w:val="-3"/>
              </w:rPr>
              <w:t>u</w:t>
            </w:r>
            <w:r>
              <w:t>l</w:t>
            </w:r>
            <w:r>
              <w:rPr>
                <w:spacing w:val="1"/>
              </w:rPr>
              <w:t xml:space="preserve"> </w:t>
            </w:r>
            <w:r>
              <w:t>h</w:t>
            </w:r>
            <w:r>
              <w:rPr>
                <w:spacing w:val="-3"/>
              </w:rPr>
              <w:t>e</w:t>
            </w:r>
            <w:r>
              <w:t>rp</w:t>
            </w:r>
            <w:r>
              <w:rPr>
                <w:spacing w:val="-3"/>
              </w:rPr>
              <w:t>e</w:t>
            </w:r>
            <w:r>
              <w:rPr>
                <w:spacing w:val="1"/>
              </w:rPr>
              <w:t>ti</w:t>
            </w:r>
            <w:r>
              <w:rPr>
                <w:spacing w:val="-3"/>
              </w:rPr>
              <w:t>c</w:t>
            </w:r>
            <w:r>
              <w:t>)</w:t>
            </w:r>
          </w:p>
          <w:p w14:paraId="33B2651C" w14:textId="77777777" w:rsidR="00C04CAD" w:rsidRDefault="00C04CAD">
            <w:pPr>
              <w:tabs>
                <w:tab w:val="clear" w:pos="567"/>
              </w:tabs>
              <w:kinsoku w:val="0"/>
              <w:overflowPunct w:val="0"/>
              <w:autoSpaceDE w:val="0"/>
              <w:autoSpaceDN w:val="0"/>
              <w:adjustRightInd w:val="0"/>
              <w:spacing w:line="240" w:lineRule="auto"/>
              <w:rPr>
                <w:spacing w:val="-4"/>
              </w:rPr>
            </w:pPr>
          </w:p>
          <w:p w14:paraId="5DDDA555"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1"/>
              </w:rPr>
              <w:t xml:space="preserve"> </w:t>
            </w:r>
            <w:r>
              <w:rPr>
                <w:spacing w:val="-3"/>
              </w:rPr>
              <w:t>g</w:t>
            </w:r>
            <w:r>
              <w:t>en</w:t>
            </w:r>
            <w:r>
              <w:rPr>
                <w:spacing w:val="-3"/>
              </w:rPr>
              <w:t>e</w:t>
            </w:r>
            <w:r>
              <w:t>r</w:t>
            </w:r>
            <w:r>
              <w:rPr>
                <w:spacing w:val="-3"/>
              </w:rPr>
              <w:t>a</w:t>
            </w:r>
            <w:r>
              <w:rPr>
                <w:spacing w:val="1"/>
              </w:rPr>
              <w:t>li</w:t>
            </w:r>
            <w:r>
              <w:rPr>
                <w:spacing w:val="-3"/>
              </w:rPr>
              <w:t>z</w:t>
            </w:r>
            <w:r>
              <w:t>a</w:t>
            </w:r>
            <w:r>
              <w:rPr>
                <w:spacing w:val="-2"/>
              </w:rPr>
              <w:t>t</w:t>
            </w:r>
            <w:r>
              <w:t xml:space="preserve">e </w:t>
            </w:r>
            <w:r>
              <w:rPr>
                <w:spacing w:val="-2"/>
              </w:rPr>
              <w:t>(</w:t>
            </w:r>
            <w:r>
              <w:rPr>
                <w:spacing w:val="1"/>
              </w:rPr>
              <w:t>i</w:t>
            </w:r>
            <w:r>
              <w:t>n</w:t>
            </w:r>
            <w:r>
              <w:rPr>
                <w:spacing w:val="-3"/>
              </w:rPr>
              <w:t>c</w:t>
            </w:r>
            <w:r>
              <w:rPr>
                <w:spacing w:val="1"/>
              </w:rPr>
              <w:t>l</w:t>
            </w:r>
            <w:r>
              <w:t>u</w:t>
            </w:r>
            <w:r>
              <w:rPr>
                <w:spacing w:val="-2"/>
              </w:rPr>
              <w:t>si</w:t>
            </w:r>
            <w:r>
              <w:t>v</w:t>
            </w:r>
            <w:r>
              <w:rPr>
                <w:spacing w:val="-3"/>
              </w:rPr>
              <w:t xml:space="preserve"> </w:t>
            </w:r>
            <w:r>
              <w:t>seps</w:t>
            </w:r>
            <w:r>
              <w:rPr>
                <w:spacing w:val="1"/>
              </w:rPr>
              <w:t>i</w:t>
            </w:r>
            <w:r>
              <w:t>s,</w:t>
            </w:r>
            <w:r>
              <w:rPr>
                <w:spacing w:val="-3"/>
              </w:rPr>
              <w:t xml:space="preserve"> </w:t>
            </w:r>
            <w:r>
              <w:t>can</w:t>
            </w:r>
            <w:r>
              <w:rPr>
                <w:spacing w:val="-3"/>
              </w:rPr>
              <w:t>d</w:t>
            </w:r>
            <w:r>
              <w:rPr>
                <w:spacing w:val="1"/>
              </w:rPr>
              <w:t>i</w:t>
            </w:r>
            <w:r>
              <w:t>do</w:t>
            </w:r>
            <w:r>
              <w:rPr>
                <w:spacing w:val="-3"/>
              </w:rPr>
              <w:t>z</w:t>
            </w:r>
            <w:r>
              <w:t>ă şi</w:t>
            </w:r>
            <w:r>
              <w:rPr>
                <w:spacing w:val="1"/>
              </w:rPr>
              <w:t xml:space="preserve"> </w:t>
            </w:r>
            <w:r>
              <w:rPr>
                <w:spacing w:val="-3"/>
              </w:rPr>
              <w:t>g</w:t>
            </w:r>
            <w:r>
              <w:t>r</w:t>
            </w:r>
            <w:r>
              <w:rPr>
                <w:spacing w:val="1"/>
              </w:rPr>
              <w:t>i</w:t>
            </w:r>
            <w:r>
              <w:rPr>
                <w:spacing w:val="-3"/>
              </w:rPr>
              <w:t>p</w:t>
            </w:r>
            <w:r>
              <w:t>ă),</w:t>
            </w:r>
          </w:p>
          <w:p w14:paraId="1B1C96A2"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rPr>
                <w:spacing w:val="1"/>
              </w:rPr>
              <w:t>i</w:t>
            </w:r>
            <w:r>
              <w:rPr>
                <w:spacing w:val="-3"/>
              </w:rPr>
              <w:t>n</w:t>
            </w:r>
            <w:r>
              <w:rPr>
                <w:spacing w:val="1"/>
              </w:rPr>
              <w:t>t</w:t>
            </w:r>
            <w:r>
              <w:t>e</w:t>
            </w:r>
            <w:r>
              <w:rPr>
                <w:spacing w:val="-2"/>
              </w:rPr>
              <w:t>s</w:t>
            </w:r>
            <w:r>
              <w:rPr>
                <w:spacing w:val="1"/>
              </w:rPr>
              <w:t>t</w:t>
            </w:r>
            <w:r>
              <w:rPr>
                <w:spacing w:val="-2"/>
              </w:rPr>
              <w:t>i</w:t>
            </w:r>
            <w:r>
              <w:t>na</w:t>
            </w:r>
            <w:r>
              <w:rPr>
                <w:spacing w:val="-2"/>
              </w:rPr>
              <w:t>l</w:t>
            </w:r>
            <w:r>
              <w:t xml:space="preserve">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g</w:t>
            </w:r>
            <w:r>
              <w:t>as</w:t>
            </w:r>
            <w:r>
              <w:rPr>
                <w:spacing w:val="1"/>
              </w:rPr>
              <w:t>t</w:t>
            </w:r>
            <w:r>
              <w:t>r</w:t>
            </w:r>
            <w:r>
              <w:rPr>
                <w:spacing w:val="-1"/>
              </w:rPr>
              <w:t>o</w:t>
            </w:r>
            <w:r>
              <w:rPr>
                <w:spacing w:val="-3"/>
              </w:rPr>
              <w:t>e</w:t>
            </w:r>
            <w:r>
              <w:t>n</w:t>
            </w:r>
            <w:r>
              <w:rPr>
                <w:spacing w:val="1"/>
              </w:rPr>
              <w:t>t</w:t>
            </w:r>
            <w:r>
              <w:rPr>
                <w:spacing w:val="-3"/>
              </w:rPr>
              <w:t>e</w:t>
            </w:r>
            <w:r>
              <w:t>r</w:t>
            </w:r>
            <w:r>
              <w:rPr>
                <w:spacing w:val="-2"/>
              </w:rPr>
              <w:t>i</w:t>
            </w:r>
            <w:r>
              <w:rPr>
                <w:spacing w:val="1"/>
              </w:rPr>
              <w:t xml:space="preserve">tă </w:t>
            </w:r>
            <w:r>
              <w:rPr>
                <w:spacing w:val="-3"/>
              </w:rPr>
              <w:t>v</w:t>
            </w:r>
            <w:r>
              <w:rPr>
                <w:spacing w:val="1"/>
              </w:rPr>
              <w:t>i</w:t>
            </w:r>
            <w:r>
              <w:t>ra</w:t>
            </w:r>
            <w:r>
              <w:rPr>
                <w:spacing w:val="1"/>
              </w:rPr>
              <w:t>l</w:t>
            </w:r>
            <w:r>
              <w:rPr>
                <w:spacing w:val="-3"/>
              </w:rPr>
              <w:t>ă</w:t>
            </w:r>
            <w:r>
              <w:t>),</w:t>
            </w:r>
            <w:r>
              <w:rPr>
                <w:spacing w:val="1"/>
              </w:rPr>
              <w:t xml:space="preserve"> i</w:t>
            </w:r>
            <w:r>
              <w:t>nf</w:t>
            </w:r>
            <w:r>
              <w:rPr>
                <w:spacing w:val="-3"/>
              </w:rPr>
              <w:t>e</w:t>
            </w:r>
            <w:r>
              <w:t>c</w:t>
            </w:r>
            <w:r>
              <w:rPr>
                <w:spacing w:val="-2"/>
              </w:rPr>
              <w:t>ţ</w:t>
            </w:r>
            <w:r>
              <w:rPr>
                <w:spacing w:val="1"/>
              </w:rPr>
              <w:t>i</w:t>
            </w:r>
            <w:r>
              <w:t>i</w:t>
            </w:r>
            <w:r>
              <w:rPr>
                <w:spacing w:val="-2"/>
              </w:rPr>
              <w:t xml:space="preserve"> </w:t>
            </w:r>
            <w:r>
              <w:t>cu</w:t>
            </w:r>
            <w:r>
              <w:rPr>
                <w:spacing w:val="-2"/>
              </w:rPr>
              <w:t>t</w:t>
            </w:r>
            <w:r>
              <w:t>an</w:t>
            </w:r>
            <w:r>
              <w:rPr>
                <w:spacing w:val="-3"/>
              </w:rPr>
              <w:t>a</w:t>
            </w:r>
            <w:r>
              <w:rPr>
                <w:spacing w:val="1"/>
              </w:rPr>
              <w:t>t</w:t>
            </w:r>
            <w:r>
              <w:t xml:space="preserve">e </w:t>
            </w:r>
            <w:r>
              <w:rPr>
                <w:spacing w:val="-2"/>
              </w:rPr>
              <w:t>ş</w:t>
            </w:r>
            <w:r>
              <w:t>i</w:t>
            </w:r>
            <w:r>
              <w:rPr>
                <w:spacing w:val="1"/>
              </w:rPr>
              <w:t xml:space="preserve"> </w:t>
            </w:r>
            <w:r>
              <w:rPr>
                <w:spacing w:val="-3"/>
              </w:rPr>
              <w:t>a</w:t>
            </w:r>
            <w:r>
              <w:rPr>
                <w:spacing w:val="1"/>
              </w:rPr>
              <w:t>l</w:t>
            </w:r>
            <w:r>
              <w:t>e</w:t>
            </w:r>
            <w:r>
              <w:rPr>
                <w:spacing w:val="-2"/>
              </w:rPr>
              <w:t xml:space="preserve"> </w:t>
            </w:r>
            <w:r>
              <w:rPr>
                <w:spacing w:val="1"/>
              </w:rPr>
              <w:t>ţ</w:t>
            </w:r>
            <w:r>
              <w:rPr>
                <w:spacing w:val="-3"/>
              </w:rPr>
              <w:t>e</w:t>
            </w:r>
            <w:r>
              <w:t>su</w:t>
            </w:r>
            <w:r>
              <w:rPr>
                <w:spacing w:val="-2"/>
              </w:rPr>
              <w:t>t</w:t>
            </w:r>
            <w:r>
              <w:t>ur</w:t>
            </w:r>
            <w:r>
              <w:rPr>
                <w:spacing w:val="-2"/>
              </w:rPr>
              <w:t>i</w:t>
            </w:r>
            <w:r>
              <w:rPr>
                <w:spacing w:val="1"/>
              </w:rPr>
              <w:t>l</w:t>
            </w:r>
            <w:r>
              <w:t>or</w:t>
            </w:r>
            <w:r>
              <w:rPr>
                <w:spacing w:val="1"/>
              </w:rPr>
              <w:t xml:space="preserve"> </w:t>
            </w:r>
            <w:r>
              <w:rPr>
                <w:spacing w:val="-4"/>
              </w:rPr>
              <w:t>m</w:t>
            </w:r>
            <w:r>
              <w:t>oi</w:t>
            </w:r>
            <w:r>
              <w:rPr>
                <w:spacing w:val="1"/>
              </w:rPr>
              <w:t xml:space="preserve"> </w:t>
            </w:r>
            <w:r>
              <w:rPr>
                <w:spacing w:val="-2"/>
              </w:rPr>
              <w:t>(</w:t>
            </w:r>
            <w:r>
              <w:rPr>
                <w:spacing w:val="1"/>
              </w:rPr>
              <w:t>inclusiv</w:t>
            </w:r>
            <w:r>
              <w:t xml:space="preserve"> paro</w:t>
            </w:r>
            <w:r>
              <w:rPr>
                <w:spacing w:val="-3"/>
              </w:rPr>
              <w:t>n</w:t>
            </w:r>
            <w:r>
              <w:rPr>
                <w:spacing w:val="1"/>
              </w:rPr>
              <w:t>i</w:t>
            </w:r>
            <w:r>
              <w:t>c</w:t>
            </w:r>
            <w:r>
              <w:rPr>
                <w:spacing w:val="-3"/>
              </w:rPr>
              <w:t>h</w:t>
            </w:r>
            <w:r>
              <w:rPr>
                <w:spacing w:val="1"/>
              </w:rPr>
              <w:t>i</w:t>
            </w:r>
            <w:r>
              <w:t>e,</w:t>
            </w:r>
            <w:r>
              <w:rPr>
                <w:spacing w:val="-3"/>
              </w:rPr>
              <w:t xml:space="preserve"> </w:t>
            </w:r>
            <w:r>
              <w:t>ce</w:t>
            </w:r>
            <w:r>
              <w:rPr>
                <w:spacing w:val="-2"/>
              </w:rPr>
              <w:t>l</w:t>
            </w:r>
            <w:r>
              <w:t>u</w:t>
            </w:r>
            <w:r>
              <w:rPr>
                <w:spacing w:val="-2"/>
              </w:rPr>
              <w:t>l</w:t>
            </w:r>
            <w:r>
              <w:rPr>
                <w:spacing w:val="1"/>
              </w:rPr>
              <w:t>it</w:t>
            </w:r>
            <w:r>
              <w:rPr>
                <w:spacing w:val="-3"/>
              </w:rPr>
              <w:t>ă</w:t>
            </w:r>
            <w:r>
              <w:t xml:space="preserve">, </w:t>
            </w:r>
            <w:r>
              <w:rPr>
                <w:spacing w:val="1"/>
              </w:rPr>
              <w:t>i</w:t>
            </w:r>
            <w:r>
              <w:rPr>
                <w:spacing w:val="-4"/>
              </w:rPr>
              <w:t>m</w:t>
            </w:r>
            <w:r>
              <w:t>pe</w:t>
            </w:r>
            <w:r>
              <w:rPr>
                <w:spacing w:val="1"/>
              </w:rPr>
              <w:t>t</w:t>
            </w:r>
            <w:r>
              <w:rPr>
                <w:spacing w:val="-2"/>
              </w:rPr>
              <w:t>i</w:t>
            </w:r>
            <w:r>
              <w:rPr>
                <w:spacing w:val="-3"/>
              </w:rPr>
              <w:t>g</w:t>
            </w:r>
            <w:r>
              <w:t>o, fasc</w:t>
            </w:r>
            <w:r>
              <w:rPr>
                <w:spacing w:val="-2"/>
              </w:rPr>
              <w:t>i</w:t>
            </w:r>
            <w:r>
              <w:rPr>
                <w:spacing w:val="1"/>
              </w:rPr>
              <w:t>i</w:t>
            </w:r>
            <w:r>
              <w:rPr>
                <w:spacing w:val="-2"/>
              </w:rPr>
              <w:t>t</w:t>
            </w:r>
            <w:r>
              <w:t>ă necro</w:t>
            </w:r>
            <w:r>
              <w:rPr>
                <w:spacing w:val="-3"/>
              </w:rPr>
              <w:t>z</w:t>
            </w:r>
            <w:r>
              <w:t>a</w:t>
            </w:r>
            <w:r>
              <w:rPr>
                <w:spacing w:val="-3"/>
              </w:rPr>
              <w:t>n</w:t>
            </w:r>
            <w:r>
              <w:rPr>
                <w:spacing w:val="1"/>
              </w:rPr>
              <w:t>t</w:t>
            </w:r>
            <w:r>
              <w:t xml:space="preserve">ă </w:t>
            </w:r>
            <w:r>
              <w:rPr>
                <w:spacing w:val="-2"/>
              </w:rPr>
              <w:t>ş</w:t>
            </w:r>
            <w:r>
              <w:t>i</w:t>
            </w:r>
            <w:r>
              <w:rPr>
                <w:spacing w:val="1"/>
              </w:rPr>
              <w:t xml:space="preserve"> </w:t>
            </w:r>
            <w:r>
              <w:rPr>
                <w:spacing w:val="-3"/>
              </w:rPr>
              <w:t>h</w:t>
            </w:r>
            <w:r>
              <w:t>erp</w:t>
            </w:r>
            <w:r>
              <w:rPr>
                <w:spacing w:val="-3"/>
              </w:rPr>
              <w:t>e</w:t>
            </w:r>
            <w:r>
              <w:t xml:space="preserve">s </w:t>
            </w:r>
            <w:r>
              <w:rPr>
                <w:spacing w:val="-3"/>
              </w:rPr>
              <w:t>z</w:t>
            </w:r>
            <w:r>
              <w:t>os</w:t>
            </w:r>
            <w:r>
              <w:rPr>
                <w:spacing w:val="-2"/>
              </w:rPr>
              <w:t>t</w:t>
            </w:r>
            <w:r>
              <w:t>er</w:t>
            </w:r>
            <w:r>
              <w:rPr>
                <w:spacing w:val="-2"/>
              </w:rPr>
              <w:t>)</w:t>
            </w:r>
            <w:r>
              <w:t>,</w:t>
            </w:r>
          </w:p>
          <w:p w14:paraId="32CB75C8"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e u</w:t>
            </w:r>
            <w:r>
              <w:rPr>
                <w:spacing w:val="-2"/>
              </w:rPr>
              <w:t>r</w:t>
            </w:r>
            <w:r>
              <w:t>ec</w:t>
            </w:r>
            <w:r>
              <w:rPr>
                <w:spacing w:val="-3"/>
              </w:rPr>
              <w:t>h</w:t>
            </w:r>
            <w:r>
              <w:rPr>
                <w:spacing w:val="1"/>
              </w:rPr>
              <w:t>ii</w:t>
            </w:r>
            <w:r>
              <w:t>,</w:t>
            </w:r>
          </w:p>
          <w:p w14:paraId="42724496"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e ca</w:t>
            </w:r>
            <w:r>
              <w:rPr>
                <w:spacing w:val="-3"/>
              </w:rPr>
              <w:t>v</w:t>
            </w:r>
            <w:r>
              <w:rPr>
                <w:spacing w:val="-2"/>
              </w:rPr>
              <w:t>i</w:t>
            </w:r>
            <w:r>
              <w:t>tă</w:t>
            </w:r>
            <w:r>
              <w:rPr>
                <w:spacing w:val="-2"/>
              </w:rPr>
              <w:t>ţ</w:t>
            </w:r>
            <w:r>
              <w:rPr>
                <w:spacing w:val="1"/>
              </w:rPr>
              <w:t>i</w:t>
            </w:r>
            <w:r>
              <w:t>i</w:t>
            </w:r>
            <w:r>
              <w:rPr>
                <w:spacing w:val="-2"/>
              </w:rPr>
              <w:t xml:space="preserve"> </w:t>
            </w:r>
            <w:r>
              <w:t>buc</w:t>
            </w:r>
            <w:r>
              <w:rPr>
                <w:spacing w:val="-3"/>
              </w:rPr>
              <w:t>a</w:t>
            </w:r>
            <w:r>
              <w:rPr>
                <w:spacing w:val="1"/>
              </w:rPr>
              <w:t>l</w:t>
            </w:r>
            <w:r>
              <w:t>e</w:t>
            </w:r>
            <w:r>
              <w:rPr>
                <w:spacing w:val="-2"/>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herp</w:t>
            </w:r>
            <w:r>
              <w:rPr>
                <w:spacing w:val="-3"/>
              </w:rPr>
              <w:t>e</w:t>
            </w:r>
            <w:r>
              <w:t>s s</w:t>
            </w:r>
            <w:r>
              <w:rPr>
                <w:spacing w:val="1"/>
              </w:rPr>
              <w:t>i</w:t>
            </w:r>
            <w:r>
              <w:rPr>
                <w:spacing w:val="-4"/>
              </w:rPr>
              <w:t>m</w:t>
            </w:r>
            <w:r>
              <w:t>p</w:t>
            </w:r>
            <w:r>
              <w:rPr>
                <w:spacing w:val="1"/>
              </w:rPr>
              <w:t>l</w:t>
            </w:r>
            <w:r>
              <w:t>ex, h</w:t>
            </w:r>
            <w:r>
              <w:rPr>
                <w:spacing w:val="-3"/>
              </w:rPr>
              <w:t>e</w:t>
            </w:r>
            <w:r>
              <w:t>rp</w:t>
            </w:r>
            <w:r>
              <w:rPr>
                <w:spacing w:val="-3"/>
              </w:rPr>
              <w:t>e</w:t>
            </w:r>
            <w:r>
              <w:t>s bu</w:t>
            </w:r>
            <w:r>
              <w:rPr>
                <w:spacing w:val="-3"/>
              </w:rPr>
              <w:t>c</w:t>
            </w:r>
            <w:r>
              <w:t>al</w:t>
            </w:r>
            <w:r>
              <w:rPr>
                <w:spacing w:val="-2"/>
              </w:rPr>
              <w:t xml:space="preserve"> </w:t>
            </w:r>
            <w:r>
              <w:t>şi</w:t>
            </w:r>
            <w:r>
              <w:rPr>
                <w:spacing w:val="-2"/>
              </w:rPr>
              <w:t xml:space="preserve"> </w:t>
            </w:r>
            <w:r>
              <w:rPr>
                <w:spacing w:val="1"/>
              </w:rPr>
              <w:t>i</w:t>
            </w:r>
            <w:r>
              <w:t>n</w:t>
            </w:r>
            <w:r>
              <w:rPr>
                <w:spacing w:val="-2"/>
              </w:rPr>
              <w:t>f</w:t>
            </w:r>
            <w:r>
              <w:t>ec</w:t>
            </w:r>
            <w:r>
              <w:rPr>
                <w:spacing w:val="-2"/>
              </w:rPr>
              <w:t>ţ</w:t>
            </w:r>
            <w:r>
              <w:rPr>
                <w:spacing w:val="1"/>
              </w:rPr>
              <w:t>i</w:t>
            </w:r>
            <w:r>
              <w:t>i</w:t>
            </w:r>
            <w:r>
              <w:rPr>
                <w:spacing w:val="1"/>
              </w:rPr>
              <w:t xml:space="preserve"> </w:t>
            </w:r>
            <w:r>
              <w:rPr>
                <w:spacing w:val="-3"/>
              </w:rPr>
              <w:t>d</w:t>
            </w:r>
            <w:r>
              <w:t>en</w:t>
            </w:r>
            <w:r>
              <w:rPr>
                <w:spacing w:val="-2"/>
              </w:rPr>
              <w:t>t</w:t>
            </w:r>
            <w:r>
              <w:t>a</w:t>
            </w:r>
            <w:r>
              <w:rPr>
                <w:spacing w:val="-2"/>
              </w:rPr>
              <w:t>r</w:t>
            </w:r>
            <w:r>
              <w:t>e),</w:t>
            </w:r>
          </w:p>
          <w:p w14:paraId="34BDFA8C"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 xml:space="preserve">e </w:t>
            </w:r>
            <w:r>
              <w:rPr>
                <w:spacing w:val="-2"/>
              </w:rPr>
              <w:t>t</w:t>
            </w:r>
            <w:r>
              <w:t>ra</w:t>
            </w:r>
            <w:r>
              <w:rPr>
                <w:spacing w:val="-3"/>
              </w:rPr>
              <w:t>c</w:t>
            </w:r>
            <w:r>
              <w:rPr>
                <w:spacing w:val="1"/>
              </w:rPr>
              <w:t>t</w:t>
            </w:r>
            <w:r>
              <w:rPr>
                <w:spacing w:val="-3"/>
              </w:rPr>
              <w:t>u</w:t>
            </w:r>
            <w:r>
              <w:rPr>
                <w:spacing w:val="1"/>
              </w:rPr>
              <w:t>l</w:t>
            </w:r>
            <w:r>
              <w:t>ui</w:t>
            </w:r>
            <w:r>
              <w:rPr>
                <w:spacing w:val="1"/>
              </w:rPr>
              <w:t xml:space="preserve"> </w:t>
            </w:r>
            <w:r>
              <w:rPr>
                <w:spacing w:val="-3"/>
              </w:rPr>
              <w:t>g</w:t>
            </w:r>
            <w:r>
              <w:t>en</w:t>
            </w:r>
            <w:r>
              <w:rPr>
                <w:spacing w:val="-2"/>
              </w:rPr>
              <w:t>i</w:t>
            </w:r>
            <w:r>
              <w:rPr>
                <w:spacing w:val="1"/>
              </w:rPr>
              <w:t>t</w:t>
            </w:r>
            <w:r>
              <w:rPr>
                <w:spacing w:val="-3"/>
              </w:rPr>
              <w:t>a</w:t>
            </w:r>
            <w:r>
              <w:t>l</w:t>
            </w:r>
            <w:r>
              <w:rPr>
                <w:spacing w:val="-2"/>
              </w:rPr>
              <w:t xml:space="preserve"> </w:t>
            </w:r>
            <w:r>
              <w:t>(</w:t>
            </w:r>
            <w:r>
              <w:rPr>
                <w:spacing w:val="1"/>
              </w:rPr>
              <w:t xml:space="preserve">inclusiv </w:t>
            </w:r>
            <w:r>
              <w:rPr>
                <w:spacing w:val="-3"/>
              </w:rPr>
              <w:t>v</w:t>
            </w:r>
            <w:r>
              <w:t>u</w:t>
            </w:r>
            <w:r>
              <w:rPr>
                <w:spacing w:val="1"/>
              </w:rPr>
              <w:t>l</w:t>
            </w:r>
            <w:r>
              <w:rPr>
                <w:spacing w:val="-3"/>
              </w:rPr>
              <w:t>v</w:t>
            </w:r>
            <w:r>
              <w:rPr>
                <w:spacing w:val="2"/>
              </w:rPr>
              <w:t>o</w:t>
            </w:r>
            <w:r>
              <w:rPr>
                <w:spacing w:val="-3"/>
              </w:rPr>
              <w:t>v</w:t>
            </w:r>
            <w:r>
              <w:t>a</w:t>
            </w:r>
            <w:r>
              <w:rPr>
                <w:spacing w:val="-3"/>
              </w:rPr>
              <w:t>g</w:t>
            </w:r>
            <w:r>
              <w:rPr>
                <w:spacing w:val="1"/>
              </w:rPr>
              <w:t>i</w:t>
            </w:r>
            <w:r>
              <w:t>n</w:t>
            </w:r>
            <w:r>
              <w:rPr>
                <w:spacing w:val="1"/>
              </w:rPr>
              <w:t>it</w:t>
            </w:r>
            <w:r>
              <w:t xml:space="preserve">ă </w:t>
            </w:r>
            <w:r>
              <w:rPr>
                <w:spacing w:val="-4"/>
              </w:rPr>
              <w:t>m</w:t>
            </w:r>
            <w:r>
              <w:rPr>
                <w:spacing w:val="1"/>
              </w:rPr>
              <w:t>i</w:t>
            </w:r>
            <w:r>
              <w:t>co</w:t>
            </w:r>
            <w:r>
              <w:rPr>
                <w:spacing w:val="-2"/>
              </w:rPr>
              <w:t>t</w:t>
            </w:r>
            <w:r>
              <w:rPr>
                <w:spacing w:val="1"/>
              </w:rPr>
              <w:t>i</w:t>
            </w:r>
            <w:r>
              <w:t>c</w:t>
            </w:r>
            <w:r>
              <w:rPr>
                <w:spacing w:val="-3"/>
              </w:rPr>
              <w:t>ă</w:t>
            </w:r>
            <w:r>
              <w:t>),</w:t>
            </w:r>
          </w:p>
          <w:p w14:paraId="77418E58"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l</w:t>
            </w:r>
            <w:r>
              <w:t xml:space="preserve">e </w:t>
            </w:r>
            <w:r>
              <w:rPr>
                <w:spacing w:val="-2"/>
              </w:rPr>
              <w:t>t</w:t>
            </w:r>
            <w:r>
              <w:t>ra</w:t>
            </w:r>
            <w:r>
              <w:rPr>
                <w:spacing w:val="-3"/>
              </w:rPr>
              <w:t>c</w:t>
            </w:r>
            <w:r>
              <w:rPr>
                <w:spacing w:val="1"/>
              </w:rPr>
              <w:t>t</w:t>
            </w:r>
            <w:r>
              <w:rPr>
                <w:spacing w:val="-3"/>
              </w:rPr>
              <w:t>u</w:t>
            </w:r>
            <w:r>
              <w:rPr>
                <w:spacing w:val="1"/>
              </w:rPr>
              <w:t>l</w:t>
            </w:r>
            <w:r>
              <w:t>ui</w:t>
            </w:r>
            <w:r>
              <w:rPr>
                <w:spacing w:val="1"/>
              </w:rPr>
              <w:t xml:space="preserve"> </w:t>
            </w:r>
            <w:r>
              <w:rPr>
                <w:spacing w:val="-3"/>
              </w:rPr>
              <w:t>u</w:t>
            </w:r>
            <w:r>
              <w:t>r</w:t>
            </w:r>
            <w:r>
              <w:rPr>
                <w:spacing w:val="-2"/>
              </w:rPr>
              <w:t>i</w:t>
            </w:r>
            <w:r>
              <w:t>nar</w:t>
            </w:r>
            <w:r>
              <w:rPr>
                <w:spacing w:val="-2"/>
              </w:rPr>
              <w:t xml:space="preserve"> (</w:t>
            </w:r>
            <w:r>
              <w:rPr>
                <w:spacing w:val="1"/>
              </w:rPr>
              <w:t>i</w:t>
            </w:r>
            <w:r>
              <w:t>n</w:t>
            </w:r>
            <w:r>
              <w:rPr>
                <w:spacing w:val="-3"/>
              </w:rPr>
              <w:t>c</w:t>
            </w:r>
            <w:r>
              <w:rPr>
                <w:spacing w:val="1"/>
              </w:rPr>
              <w:t>l</w:t>
            </w:r>
            <w:r>
              <w:t>u</w:t>
            </w:r>
            <w:r>
              <w:rPr>
                <w:spacing w:val="-2"/>
              </w:rPr>
              <w:t>s</w:t>
            </w:r>
            <w:r>
              <w:rPr>
                <w:spacing w:val="1"/>
              </w:rPr>
              <w:t xml:space="preserve">iv </w:t>
            </w:r>
            <w:r>
              <w:t>p</w:t>
            </w:r>
            <w:r>
              <w:rPr>
                <w:spacing w:val="1"/>
              </w:rPr>
              <w:t>i</w:t>
            </w:r>
            <w:r>
              <w:rPr>
                <w:spacing w:val="-3"/>
              </w:rPr>
              <w:t>e</w:t>
            </w:r>
            <w:r>
              <w:rPr>
                <w:spacing w:val="1"/>
              </w:rPr>
              <w:t>l</w:t>
            </w:r>
            <w:r>
              <w:t>on</w:t>
            </w:r>
            <w:r>
              <w:rPr>
                <w:spacing w:val="-3"/>
              </w:rPr>
              <w:t>e</w:t>
            </w:r>
            <w:r>
              <w:t>f</w:t>
            </w:r>
            <w:r>
              <w:rPr>
                <w:spacing w:val="-2"/>
              </w:rPr>
              <w:t>r</w:t>
            </w:r>
            <w:r>
              <w:rPr>
                <w:spacing w:val="1"/>
              </w:rPr>
              <w:t>it</w:t>
            </w:r>
            <w:r>
              <w:rPr>
                <w:spacing w:val="-3"/>
              </w:rPr>
              <w:t>ă</w:t>
            </w:r>
            <w:r>
              <w:t>),</w:t>
            </w:r>
          </w:p>
          <w:p w14:paraId="28FEBCBB"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1"/>
              </w:rPr>
              <w:t xml:space="preserve"> </w:t>
            </w:r>
            <w:r>
              <w:rPr>
                <w:spacing w:val="-4"/>
              </w:rPr>
              <w:t>m</w:t>
            </w:r>
            <w:r>
              <w:rPr>
                <w:spacing w:val="1"/>
              </w:rPr>
              <w:t>i</w:t>
            </w:r>
            <w:r>
              <w:t>c</w:t>
            </w:r>
            <w:r>
              <w:rPr>
                <w:spacing w:val="-3"/>
              </w:rPr>
              <w:t>o</w:t>
            </w:r>
            <w:r>
              <w:rPr>
                <w:spacing w:val="1"/>
              </w:rPr>
              <w:t>t</w:t>
            </w:r>
            <w:r>
              <w:rPr>
                <w:spacing w:val="-2"/>
              </w:rPr>
              <w:t>i</w:t>
            </w:r>
            <w:r>
              <w:t>ce,</w:t>
            </w:r>
          </w:p>
          <w:p w14:paraId="4F9B2807"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a</w:t>
            </w:r>
            <w:r>
              <w:rPr>
                <w:spacing w:val="-2"/>
              </w:rPr>
              <w:t>r</w:t>
            </w:r>
            <w:r>
              <w:rPr>
                <w:spacing w:val="1"/>
              </w:rPr>
              <w:t>t</w:t>
            </w:r>
            <w:r>
              <w:rPr>
                <w:spacing w:val="-2"/>
              </w:rPr>
              <w:t>i</w:t>
            </w:r>
            <w:r>
              <w:t>cu</w:t>
            </w:r>
            <w:r>
              <w:rPr>
                <w:spacing w:val="-2"/>
              </w:rPr>
              <w:t>l</w:t>
            </w:r>
            <w:r>
              <w:t>are</w:t>
            </w:r>
          </w:p>
          <w:p w14:paraId="0E5B6312" w14:textId="77777777" w:rsidR="00C04CAD" w:rsidRDefault="00C04CAD">
            <w:pPr>
              <w:tabs>
                <w:tab w:val="clear" w:pos="567"/>
              </w:tabs>
              <w:kinsoku w:val="0"/>
              <w:overflowPunct w:val="0"/>
              <w:autoSpaceDE w:val="0"/>
              <w:autoSpaceDN w:val="0"/>
              <w:adjustRightInd w:val="0"/>
              <w:spacing w:line="240" w:lineRule="auto"/>
              <w:rPr>
                <w:spacing w:val="-4"/>
              </w:rPr>
            </w:pPr>
          </w:p>
          <w:p w14:paraId="62F46ACD"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rPr>
                <w:spacing w:val="-1"/>
              </w:rPr>
              <w:t>n</w:t>
            </w:r>
            <w:r>
              <w:t>e</w:t>
            </w:r>
            <w:r>
              <w:rPr>
                <w:spacing w:val="-3"/>
              </w:rPr>
              <w:t>u</w:t>
            </w:r>
            <w:r>
              <w:t>ro</w:t>
            </w:r>
            <w:r>
              <w:rPr>
                <w:spacing w:val="1"/>
              </w:rPr>
              <w:t>l</w:t>
            </w:r>
            <w:r>
              <w:t>o</w:t>
            </w:r>
            <w:r>
              <w:rPr>
                <w:spacing w:val="-3"/>
              </w:rPr>
              <w:t>g</w:t>
            </w:r>
            <w:r>
              <w:rPr>
                <w:spacing w:val="1"/>
              </w:rPr>
              <w:t>i</w:t>
            </w:r>
            <w:r>
              <w:rPr>
                <w:spacing w:val="-3"/>
              </w:rPr>
              <w:t>c</w:t>
            </w:r>
            <w:r>
              <w:t xml:space="preserve">e </w:t>
            </w:r>
            <w:r>
              <w:rPr>
                <w:spacing w:val="-2"/>
              </w:rPr>
              <w:t>(</w:t>
            </w:r>
            <w:r>
              <w:rPr>
                <w:spacing w:val="1"/>
              </w:rPr>
              <w:t>i</w:t>
            </w:r>
            <w:r>
              <w:t>n</w:t>
            </w:r>
            <w:r>
              <w:rPr>
                <w:spacing w:val="-3"/>
              </w:rPr>
              <w:t>c</w:t>
            </w:r>
            <w:r>
              <w:rPr>
                <w:spacing w:val="1"/>
              </w:rPr>
              <w:t>l</w:t>
            </w:r>
            <w:r>
              <w:t>u</w:t>
            </w:r>
            <w:r>
              <w:rPr>
                <w:spacing w:val="-2"/>
              </w:rPr>
              <w:t>si</w:t>
            </w:r>
            <w:r>
              <w:t xml:space="preserve">v </w:t>
            </w:r>
            <w:r>
              <w:rPr>
                <w:spacing w:val="-4"/>
              </w:rPr>
              <w:t>m</w:t>
            </w:r>
            <w:r>
              <w:t>en</w:t>
            </w:r>
            <w:r>
              <w:rPr>
                <w:spacing w:val="1"/>
              </w:rPr>
              <w:t>i</w:t>
            </w:r>
            <w:r>
              <w:t>n</w:t>
            </w:r>
            <w:r>
              <w:rPr>
                <w:spacing w:val="-3"/>
              </w:rPr>
              <w:t>g</w:t>
            </w:r>
            <w:r>
              <w:rPr>
                <w:spacing w:val="1"/>
              </w:rPr>
              <w:t>it</w:t>
            </w:r>
            <w:r>
              <w:t xml:space="preserve">ă </w:t>
            </w:r>
            <w:r>
              <w:rPr>
                <w:spacing w:val="-3"/>
              </w:rPr>
              <w:t>v</w:t>
            </w:r>
            <w:r>
              <w:rPr>
                <w:spacing w:val="1"/>
              </w:rPr>
              <w:t>i</w:t>
            </w:r>
            <w:r>
              <w:t>r</w:t>
            </w:r>
            <w:r>
              <w:rPr>
                <w:spacing w:val="-3"/>
              </w:rPr>
              <w:t>a</w:t>
            </w:r>
            <w:r>
              <w:rPr>
                <w:spacing w:val="1"/>
              </w:rPr>
              <w:t>l</w:t>
            </w:r>
            <w:r>
              <w:rPr>
                <w:spacing w:val="-3"/>
              </w:rPr>
              <w:t>ă</w:t>
            </w:r>
            <w:r>
              <w:t xml:space="preserve">), </w:t>
            </w:r>
            <w:r>
              <w:rPr>
                <w:spacing w:val="1"/>
              </w:rPr>
              <w:t>i</w:t>
            </w:r>
            <w:r>
              <w:t>nf</w:t>
            </w:r>
            <w:r>
              <w:rPr>
                <w:spacing w:val="-3"/>
              </w:rPr>
              <w:t>e</w:t>
            </w:r>
            <w:r>
              <w:t>c</w:t>
            </w:r>
            <w:r>
              <w:rPr>
                <w:spacing w:val="-2"/>
              </w:rPr>
              <w:t>ţ</w:t>
            </w:r>
            <w:r>
              <w:rPr>
                <w:spacing w:val="1"/>
              </w:rPr>
              <w:t>i</w:t>
            </w:r>
            <w:r>
              <w:t>i</w:t>
            </w:r>
            <w:r>
              <w:rPr>
                <w:spacing w:val="-2"/>
              </w:rPr>
              <w:t xml:space="preserve"> </w:t>
            </w:r>
            <w:r>
              <w:t>opo</w:t>
            </w:r>
            <w:r>
              <w:rPr>
                <w:spacing w:val="-2"/>
              </w:rPr>
              <w:t>r</w:t>
            </w:r>
            <w:r>
              <w:rPr>
                <w:spacing w:val="1"/>
              </w:rPr>
              <w:t>t</w:t>
            </w:r>
            <w:r>
              <w:t>u</w:t>
            </w:r>
            <w:r>
              <w:rPr>
                <w:spacing w:val="-3"/>
              </w:rPr>
              <w:t>n</w:t>
            </w:r>
            <w:r>
              <w:rPr>
                <w:spacing w:val="1"/>
              </w:rPr>
              <w:t>i</w:t>
            </w:r>
            <w:r>
              <w:rPr>
                <w:spacing w:val="-2"/>
              </w:rPr>
              <w:t>s</w:t>
            </w:r>
            <w:r>
              <w:rPr>
                <w:spacing w:val="1"/>
              </w:rPr>
              <w:t>t</w:t>
            </w:r>
            <w:r>
              <w:t xml:space="preserve">e </w:t>
            </w:r>
            <w:r>
              <w:rPr>
                <w:spacing w:val="-2"/>
              </w:rPr>
              <w:t>ş</w:t>
            </w:r>
            <w:r>
              <w:t>i</w:t>
            </w:r>
            <w:r>
              <w:rPr>
                <w:spacing w:val="-2"/>
              </w:rPr>
              <w:t xml:space="preserve"> </w:t>
            </w:r>
            <w:r>
              <w:rPr>
                <w:spacing w:val="1"/>
              </w:rPr>
              <w:t>t</w:t>
            </w:r>
            <w:r>
              <w:t>ub</w:t>
            </w:r>
            <w:r>
              <w:rPr>
                <w:spacing w:val="-3"/>
              </w:rPr>
              <w:t>e</w:t>
            </w:r>
            <w:r>
              <w:rPr>
                <w:spacing w:val="-2"/>
              </w:rPr>
              <w:t>r</w:t>
            </w:r>
            <w:r>
              <w:t>cu</w:t>
            </w:r>
            <w:r>
              <w:rPr>
                <w:spacing w:val="1"/>
              </w:rPr>
              <w:t>l</w:t>
            </w:r>
            <w:r>
              <w:t>o</w:t>
            </w:r>
            <w:r>
              <w:rPr>
                <w:spacing w:val="-3"/>
              </w:rPr>
              <w:t>z</w:t>
            </w:r>
            <w:r>
              <w:t xml:space="preserve">ă </w:t>
            </w:r>
            <w:r>
              <w:rPr>
                <w:spacing w:val="-2"/>
              </w:rPr>
              <w:t>(</w:t>
            </w:r>
            <w:r>
              <w:rPr>
                <w:spacing w:val="1"/>
              </w:rPr>
              <w:t>i</w:t>
            </w:r>
            <w:r>
              <w:t>n</w:t>
            </w:r>
            <w:r>
              <w:rPr>
                <w:spacing w:val="-3"/>
              </w:rPr>
              <w:t>c</w:t>
            </w:r>
            <w:r>
              <w:rPr>
                <w:spacing w:val="1"/>
              </w:rPr>
              <w:t>l</w:t>
            </w:r>
            <w:r>
              <w:t>u</w:t>
            </w:r>
            <w:r>
              <w:rPr>
                <w:spacing w:val="-2"/>
              </w:rPr>
              <w:t>s</w:t>
            </w:r>
            <w:r>
              <w:rPr>
                <w:spacing w:val="1"/>
              </w:rPr>
              <w:t>i</w:t>
            </w:r>
            <w:r>
              <w:t>v coc</w:t>
            </w:r>
            <w:r>
              <w:rPr>
                <w:spacing w:val="-3"/>
              </w:rPr>
              <w:t>c</w:t>
            </w:r>
            <w:r>
              <w:rPr>
                <w:spacing w:val="1"/>
              </w:rPr>
              <w:t>i</w:t>
            </w:r>
            <w:r>
              <w:t>d</w:t>
            </w:r>
            <w:r>
              <w:rPr>
                <w:spacing w:val="1"/>
              </w:rPr>
              <w:t>i</w:t>
            </w:r>
            <w:r>
              <w:rPr>
                <w:spacing w:val="-3"/>
              </w:rPr>
              <w:t>o</w:t>
            </w:r>
            <w:r>
              <w:rPr>
                <w:spacing w:val="1"/>
              </w:rPr>
              <w:t>i</w:t>
            </w:r>
            <w:r>
              <w:t>do</w:t>
            </w:r>
            <w:r>
              <w:rPr>
                <w:spacing w:val="-4"/>
              </w:rPr>
              <w:t>m</w:t>
            </w:r>
            <w:r>
              <w:rPr>
                <w:spacing w:val="1"/>
              </w:rPr>
              <w:t>i</w:t>
            </w:r>
            <w:r>
              <w:t>co</w:t>
            </w:r>
            <w:r>
              <w:rPr>
                <w:spacing w:val="-3"/>
              </w:rPr>
              <w:t>z</w:t>
            </w:r>
            <w:r>
              <w:t xml:space="preserve">ă, </w:t>
            </w:r>
            <w:r>
              <w:rPr>
                <w:spacing w:val="-3"/>
              </w:rPr>
              <w:t>h</w:t>
            </w:r>
            <w:r>
              <w:rPr>
                <w:spacing w:val="1"/>
              </w:rPr>
              <w:t>i</w:t>
            </w:r>
            <w:r>
              <w:t>s</w:t>
            </w:r>
            <w:r>
              <w:rPr>
                <w:spacing w:val="-2"/>
              </w:rPr>
              <w:t>t</w:t>
            </w:r>
            <w:r>
              <w:t>op</w:t>
            </w:r>
            <w:r>
              <w:rPr>
                <w:spacing w:val="-2"/>
              </w:rPr>
              <w:t>l</w:t>
            </w:r>
            <w:r>
              <w:t>as</w:t>
            </w:r>
            <w:r>
              <w:rPr>
                <w:spacing w:val="-4"/>
              </w:rPr>
              <w:t>m</w:t>
            </w:r>
            <w:r>
              <w:t>o</w:t>
            </w:r>
            <w:r>
              <w:rPr>
                <w:spacing w:val="-3"/>
              </w:rPr>
              <w:t>z</w:t>
            </w:r>
            <w:r>
              <w:t>ă şi</w:t>
            </w:r>
            <w:r>
              <w:rPr>
                <w:spacing w:val="1"/>
              </w:rPr>
              <w:t xml:space="preserve"> i</w:t>
            </w:r>
            <w:r>
              <w:t>n</w:t>
            </w:r>
            <w:r>
              <w:rPr>
                <w:spacing w:val="-2"/>
              </w:rPr>
              <w:t>f</w:t>
            </w:r>
            <w:r>
              <w:t>ec</w:t>
            </w:r>
            <w:r>
              <w:rPr>
                <w:spacing w:val="-2"/>
              </w:rPr>
              <w:t>ţi</w:t>
            </w:r>
            <w:r>
              <w:t>i</w:t>
            </w:r>
            <w:r>
              <w:rPr>
                <w:spacing w:val="1"/>
              </w:rPr>
              <w:t xml:space="preserve"> </w:t>
            </w:r>
            <w:r>
              <w:t xml:space="preserve">cu </w:t>
            </w:r>
            <w:r>
              <w:rPr>
                <w:spacing w:val="-4"/>
              </w:rPr>
              <w:t>m</w:t>
            </w:r>
            <w:r>
              <w:rPr>
                <w:spacing w:val="1"/>
              </w:rPr>
              <w:t>i</w:t>
            </w:r>
            <w:r>
              <w:t>cobac</w:t>
            </w:r>
            <w:r>
              <w:rPr>
                <w:spacing w:val="1"/>
              </w:rPr>
              <w:t>t</w:t>
            </w:r>
            <w:r>
              <w:rPr>
                <w:spacing w:val="-3"/>
              </w:rPr>
              <w:t>e</w:t>
            </w:r>
            <w:r>
              <w:t>r</w:t>
            </w:r>
            <w:r>
              <w:rPr>
                <w:spacing w:val="1"/>
              </w:rPr>
              <w:t>i</w:t>
            </w:r>
            <w:r>
              <w:t>um</w:t>
            </w:r>
            <w:r>
              <w:rPr>
                <w:spacing w:val="-4"/>
              </w:rPr>
              <w:t xml:space="preserve"> </w:t>
            </w:r>
            <w:r>
              <w:t>a</w:t>
            </w:r>
            <w:r>
              <w:rPr>
                <w:spacing w:val="-3"/>
              </w:rPr>
              <w:t>v</w:t>
            </w:r>
            <w:r>
              <w:rPr>
                <w:spacing w:val="1"/>
              </w:rPr>
              <w:t>i</w:t>
            </w:r>
            <w:r>
              <w:t>um</w:t>
            </w:r>
            <w:r>
              <w:rPr>
                <w:spacing w:val="-4"/>
              </w:rPr>
              <w:t xml:space="preserve"> </w:t>
            </w:r>
            <w:r>
              <w:t>c</w:t>
            </w:r>
            <w:r>
              <w:rPr>
                <w:spacing w:val="2"/>
              </w:rPr>
              <w:t>o</w:t>
            </w:r>
            <w:r>
              <w:rPr>
                <w:spacing w:val="-2"/>
              </w:rPr>
              <w:t>m</w:t>
            </w:r>
            <w:r>
              <w:t>p</w:t>
            </w:r>
            <w:r>
              <w:rPr>
                <w:spacing w:val="1"/>
              </w:rPr>
              <w:t>l</w:t>
            </w:r>
            <w:r>
              <w:t>e</w:t>
            </w:r>
            <w:r>
              <w:rPr>
                <w:spacing w:val="-3"/>
              </w:rPr>
              <w:t>x</w:t>
            </w:r>
            <w:r>
              <w:t>),</w:t>
            </w:r>
          </w:p>
          <w:p w14:paraId="55B21C54"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rPr>
                <w:spacing w:val="-1"/>
              </w:rPr>
              <w:t>b</w:t>
            </w:r>
            <w:r>
              <w:t>a</w:t>
            </w:r>
            <w:r>
              <w:rPr>
                <w:spacing w:val="-3"/>
              </w:rPr>
              <w:t>c</w:t>
            </w:r>
            <w:r>
              <w:rPr>
                <w:spacing w:val="1"/>
              </w:rPr>
              <w:t>t</w:t>
            </w:r>
            <w:r>
              <w:rPr>
                <w:spacing w:val="-3"/>
              </w:rPr>
              <w:t>e</w:t>
            </w:r>
            <w:r>
              <w:t>r</w:t>
            </w:r>
            <w:r>
              <w:rPr>
                <w:spacing w:val="1"/>
              </w:rPr>
              <w:t>i</w:t>
            </w:r>
            <w:r>
              <w:rPr>
                <w:spacing w:val="-3"/>
              </w:rPr>
              <w:t>e</w:t>
            </w:r>
            <w:r>
              <w:t>ne,</w:t>
            </w:r>
          </w:p>
          <w:p w14:paraId="2CF5A4E6" w14:textId="77777777" w:rsidR="00C04CAD" w:rsidRDefault="00060E34">
            <w:pPr>
              <w:tabs>
                <w:tab w:val="clear" w:pos="567"/>
              </w:tabs>
              <w:kinsoku w:val="0"/>
              <w:overflowPunct w:val="0"/>
              <w:autoSpaceDE w:val="0"/>
              <w:autoSpaceDN w:val="0"/>
              <w:adjustRightInd w:val="0"/>
              <w:spacing w:line="240" w:lineRule="auto"/>
            </w:pPr>
            <w:r>
              <w:rPr>
                <w:spacing w:val="1"/>
              </w:rPr>
              <w:t>i</w:t>
            </w:r>
            <w:r>
              <w:t>nf</w:t>
            </w:r>
            <w:r>
              <w:rPr>
                <w:spacing w:val="-3"/>
              </w:rPr>
              <w:t>e</w:t>
            </w:r>
            <w:r>
              <w:t>c</w:t>
            </w:r>
            <w:r>
              <w:rPr>
                <w:spacing w:val="-2"/>
              </w:rPr>
              <w:t>ţ</w:t>
            </w:r>
            <w:r>
              <w:rPr>
                <w:spacing w:val="1"/>
              </w:rPr>
              <w:t>i</w:t>
            </w:r>
            <w:r>
              <w:t>i</w:t>
            </w:r>
            <w:r>
              <w:rPr>
                <w:spacing w:val="-2"/>
              </w:rPr>
              <w:t xml:space="preserve"> </w:t>
            </w:r>
            <w:r>
              <w:t>oc</w:t>
            </w:r>
            <w:r>
              <w:rPr>
                <w:spacing w:val="-3"/>
              </w:rPr>
              <w:t>u</w:t>
            </w:r>
            <w:r>
              <w:rPr>
                <w:spacing w:val="1"/>
              </w:rPr>
              <w:t>l</w:t>
            </w:r>
            <w:r>
              <w:t>a</w:t>
            </w:r>
            <w:r>
              <w:rPr>
                <w:spacing w:val="-2"/>
              </w:rPr>
              <w:t>r</w:t>
            </w:r>
            <w:r>
              <w:t>e,</w:t>
            </w:r>
          </w:p>
          <w:p w14:paraId="66C3D1FC" w14:textId="77777777" w:rsidR="00C04CAD" w:rsidRDefault="00060E34">
            <w:pPr>
              <w:tabs>
                <w:tab w:val="clear" w:pos="567"/>
              </w:tabs>
              <w:kinsoku w:val="0"/>
              <w:overflowPunct w:val="0"/>
              <w:autoSpaceDE w:val="0"/>
              <w:autoSpaceDN w:val="0"/>
              <w:adjustRightInd w:val="0"/>
              <w:spacing w:line="240" w:lineRule="auto"/>
              <w:rPr>
                <w:spacing w:val="1"/>
              </w:rPr>
            </w:pPr>
            <w:r>
              <w:rPr>
                <w:spacing w:val="1"/>
              </w:rPr>
              <w:t>diverticulită</w:t>
            </w:r>
            <w:r>
              <w:rPr>
                <w:spacing w:val="1"/>
                <w:vertAlign w:val="superscript"/>
              </w:rPr>
              <w:t>1)</w:t>
            </w:r>
          </w:p>
          <w:p w14:paraId="015BA6DD" w14:textId="77777777" w:rsidR="00C04CAD" w:rsidRDefault="00C04CAD">
            <w:pPr>
              <w:tabs>
                <w:tab w:val="clear" w:pos="567"/>
              </w:tabs>
              <w:kinsoku w:val="0"/>
              <w:overflowPunct w:val="0"/>
              <w:autoSpaceDE w:val="0"/>
              <w:autoSpaceDN w:val="0"/>
              <w:adjustRightInd w:val="0"/>
              <w:spacing w:line="240" w:lineRule="auto"/>
              <w:rPr>
                <w:spacing w:val="-4"/>
              </w:rPr>
            </w:pPr>
          </w:p>
        </w:tc>
      </w:tr>
      <w:tr w:rsidR="00C04CAD" w14:paraId="61AE3DF0" w14:textId="77777777">
        <w:trPr>
          <w:cantSplit/>
        </w:trPr>
        <w:tc>
          <w:tcPr>
            <w:tcW w:w="2501" w:type="dxa"/>
          </w:tcPr>
          <w:p w14:paraId="5B417A0E" w14:textId="77777777" w:rsidR="00C04CAD" w:rsidRDefault="00060E34">
            <w:pPr>
              <w:tabs>
                <w:tab w:val="clear" w:pos="567"/>
              </w:tabs>
              <w:kinsoku w:val="0"/>
              <w:overflowPunct w:val="0"/>
              <w:autoSpaceDE w:val="0"/>
              <w:autoSpaceDN w:val="0"/>
              <w:adjustRightInd w:val="0"/>
              <w:spacing w:line="240" w:lineRule="auto"/>
            </w:pPr>
            <w:r>
              <w:rPr>
                <w:spacing w:val="1"/>
              </w:rPr>
              <w:lastRenderedPageBreak/>
              <w:t>T</w:t>
            </w:r>
            <w:r>
              <w:t>u</w:t>
            </w:r>
            <w:r>
              <w:rPr>
                <w:spacing w:val="-4"/>
              </w:rPr>
              <w:t>m</w:t>
            </w:r>
            <w:r>
              <w:t>ori</w:t>
            </w:r>
            <w:r>
              <w:rPr>
                <w:spacing w:val="1"/>
              </w:rPr>
              <w:t xml:space="preserve"> </w:t>
            </w:r>
            <w:r>
              <w:rPr>
                <w:spacing w:val="-4"/>
              </w:rPr>
              <w:t>m</w:t>
            </w:r>
            <w:r>
              <w:t>a</w:t>
            </w:r>
            <w:r>
              <w:rPr>
                <w:spacing w:val="1"/>
              </w:rPr>
              <w:t>li</w:t>
            </w:r>
            <w:r>
              <w:rPr>
                <w:spacing w:val="-3"/>
              </w:rPr>
              <w:t>g</w:t>
            </w:r>
            <w:r>
              <w:t>ne, b</w:t>
            </w:r>
            <w:r>
              <w:rPr>
                <w:spacing w:val="-3"/>
              </w:rPr>
              <w:t>e</w:t>
            </w:r>
            <w:r>
              <w:t>n</w:t>
            </w:r>
            <w:r>
              <w:rPr>
                <w:spacing w:val="1"/>
              </w:rPr>
              <w:t>i</w:t>
            </w:r>
            <w:r>
              <w:rPr>
                <w:spacing w:val="-3"/>
              </w:rPr>
              <w:t>g</w:t>
            </w:r>
            <w:r>
              <w:t xml:space="preserve">ne </w:t>
            </w:r>
            <w:r>
              <w:rPr>
                <w:spacing w:val="-2"/>
              </w:rPr>
              <w:t>ş</w:t>
            </w:r>
            <w:r>
              <w:t>i nesp</w:t>
            </w:r>
            <w:r>
              <w:rPr>
                <w:spacing w:val="-3"/>
              </w:rPr>
              <w:t>e</w:t>
            </w:r>
            <w:r>
              <w:t>c</w:t>
            </w:r>
            <w:r>
              <w:rPr>
                <w:spacing w:val="-2"/>
              </w:rPr>
              <w:t>i</w:t>
            </w:r>
            <w:r>
              <w:t>f</w:t>
            </w:r>
            <w:r>
              <w:rPr>
                <w:spacing w:val="1"/>
              </w:rPr>
              <w:t>i</w:t>
            </w:r>
            <w:r>
              <w:rPr>
                <w:spacing w:val="-3"/>
              </w:rPr>
              <w:t>c</w:t>
            </w:r>
            <w:r>
              <w:t>a</w:t>
            </w:r>
            <w:r>
              <w:rPr>
                <w:spacing w:val="-2"/>
              </w:rPr>
              <w:t>t</w:t>
            </w:r>
            <w:r>
              <w:t xml:space="preserve">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ch</w:t>
            </w:r>
            <w:r>
              <w:rPr>
                <w:spacing w:val="1"/>
              </w:rPr>
              <w:t>i</w:t>
            </w:r>
            <w:r>
              <w:rPr>
                <w:spacing w:val="-2"/>
              </w:rPr>
              <w:t>st</w:t>
            </w:r>
            <w:r>
              <w:t>uri şi</w:t>
            </w:r>
            <w:r>
              <w:rPr>
                <w:spacing w:val="1"/>
              </w:rPr>
              <w:t xml:space="preserve"> </w:t>
            </w:r>
            <w:r>
              <w:t>p</w:t>
            </w:r>
            <w:r>
              <w:rPr>
                <w:spacing w:val="-3"/>
              </w:rPr>
              <w:t>o</w:t>
            </w:r>
            <w:r>
              <w:rPr>
                <w:spacing w:val="1"/>
              </w:rPr>
              <w:t>li</w:t>
            </w:r>
            <w:r>
              <w:rPr>
                <w:spacing w:val="-3"/>
              </w:rPr>
              <w:t>p</w:t>
            </w:r>
            <w:r>
              <w:rPr>
                <w:spacing w:val="1"/>
              </w:rPr>
              <w:t>i</w:t>
            </w:r>
            <w:r>
              <w:rPr>
                <w:spacing w:val="-2"/>
              </w:rPr>
              <w:t>)</w:t>
            </w:r>
            <w:r>
              <w:t>*</w:t>
            </w:r>
          </w:p>
        </w:tc>
        <w:tc>
          <w:tcPr>
            <w:tcW w:w="1784" w:type="dxa"/>
          </w:tcPr>
          <w:p w14:paraId="79F46015"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2F170ADA" w14:textId="77777777" w:rsidR="00C04CAD" w:rsidRDefault="00C04CAD">
            <w:pPr>
              <w:tabs>
                <w:tab w:val="clear" w:pos="567"/>
              </w:tabs>
              <w:kinsoku w:val="0"/>
              <w:overflowPunct w:val="0"/>
              <w:autoSpaceDE w:val="0"/>
              <w:autoSpaceDN w:val="0"/>
              <w:adjustRightInd w:val="0"/>
              <w:spacing w:line="240" w:lineRule="auto"/>
              <w:rPr>
                <w:spacing w:val="-4"/>
              </w:rPr>
            </w:pPr>
          </w:p>
          <w:p w14:paraId="2208258A" w14:textId="77777777" w:rsidR="00C04CAD" w:rsidRDefault="00C04CAD">
            <w:pPr>
              <w:tabs>
                <w:tab w:val="clear" w:pos="567"/>
              </w:tabs>
              <w:kinsoku w:val="0"/>
              <w:overflowPunct w:val="0"/>
              <w:autoSpaceDE w:val="0"/>
              <w:autoSpaceDN w:val="0"/>
              <w:adjustRightInd w:val="0"/>
              <w:spacing w:line="240" w:lineRule="auto"/>
              <w:rPr>
                <w:spacing w:val="-4"/>
              </w:rPr>
            </w:pPr>
          </w:p>
          <w:p w14:paraId="2D94D888" w14:textId="77777777" w:rsidR="00C04CAD" w:rsidRDefault="00C04CAD">
            <w:pPr>
              <w:tabs>
                <w:tab w:val="clear" w:pos="567"/>
              </w:tabs>
              <w:kinsoku w:val="0"/>
              <w:overflowPunct w:val="0"/>
              <w:autoSpaceDE w:val="0"/>
              <w:autoSpaceDN w:val="0"/>
              <w:adjustRightInd w:val="0"/>
              <w:spacing w:line="240" w:lineRule="auto"/>
              <w:rPr>
                <w:spacing w:val="-4"/>
              </w:rPr>
            </w:pPr>
          </w:p>
          <w:p w14:paraId="42439221" w14:textId="77777777" w:rsidR="00C04CAD" w:rsidRDefault="00C04CAD">
            <w:pPr>
              <w:tabs>
                <w:tab w:val="clear" w:pos="567"/>
              </w:tabs>
              <w:kinsoku w:val="0"/>
              <w:overflowPunct w:val="0"/>
              <w:autoSpaceDE w:val="0"/>
              <w:autoSpaceDN w:val="0"/>
              <w:adjustRightInd w:val="0"/>
              <w:spacing w:line="240" w:lineRule="auto"/>
              <w:rPr>
                <w:spacing w:val="-4"/>
              </w:rPr>
            </w:pPr>
          </w:p>
          <w:p w14:paraId="3549C2B9"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Mai puţin</w:t>
            </w:r>
          </w:p>
          <w:p w14:paraId="69BFF8AA" w14:textId="77777777" w:rsidR="00C04CAD" w:rsidRDefault="00060E34">
            <w:pPr>
              <w:tabs>
                <w:tab w:val="clear" w:pos="567"/>
              </w:tabs>
              <w:kinsoku w:val="0"/>
              <w:overflowPunct w:val="0"/>
              <w:autoSpaceDE w:val="0"/>
              <w:autoSpaceDN w:val="0"/>
              <w:adjustRightInd w:val="0"/>
              <w:spacing w:line="240" w:lineRule="auto"/>
              <w:rPr>
                <w:spacing w:val="-4"/>
              </w:rPr>
            </w:pPr>
            <w:r>
              <w:rPr>
                <w:rFonts w:eastAsia="TimesNewRomanPSMT"/>
              </w:rPr>
              <w:t>frecvente</w:t>
            </w:r>
          </w:p>
          <w:p w14:paraId="04B37A36" w14:textId="77777777" w:rsidR="00C04CAD" w:rsidRDefault="00C04CAD">
            <w:pPr>
              <w:tabs>
                <w:tab w:val="clear" w:pos="567"/>
              </w:tabs>
              <w:kinsoku w:val="0"/>
              <w:overflowPunct w:val="0"/>
              <w:autoSpaceDE w:val="0"/>
              <w:autoSpaceDN w:val="0"/>
              <w:adjustRightInd w:val="0"/>
              <w:spacing w:line="240" w:lineRule="auto"/>
              <w:rPr>
                <w:spacing w:val="-4"/>
              </w:rPr>
            </w:pPr>
          </w:p>
          <w:p w14:paraId="74642508" w14:textId="77777777" w:rsidR="00C04CAD" w:rsidRDefault="00C04CAD">
            <w:pPr>
              <w:tabs>
                <w:tab w:val="clear" w:pos="567"/>
              </w:tabs>
              <w:kinsoku w:val="0"/>
              <w:overflowPunct w:val="0"/>
              <w:autoSpaceDE w:val="0"/>
              <w:autoSpaceDN w:val="0"/>
              <w:adjustRightInd w:val="0"/>
              <w:spacing w:line="240" w:lineRule="auto"/>
              <w:rPr>
                <w:spacing w:val="-4"/>
              </w:rPr>
            </w:pPr>
          </w:p>
          <w:p w14:paraId="40EDA5AF" w14:textId="77777777" w:rsidR="00C04CAD" w:rsidRDefault="00C04CAD">
            <w:pPr>
              <w:tabs>
                <w:tab w:val="clear" w:pos="567"/>
              </w:tabs>
              <w:kinsoku w:val="0"/>
              <w:overflowPunct w:val="0"/>
              <w:autoSpaceDE w:val="0"/>
              <w:autoSpaceDN w:val="0"/>
              <w:adjustRightInd w:val="0"/>
              <w:spacing w:line="240" w:lineRule="auto"/>
              <w:rPr>
                <w:spacing w:val="-4"/>
              </w:rPr>
            </w:pPr>
          </w:p>
          <w:p w14:paraId="77F9F520" w14:textId="77777777" w:rsidR="00C04CAD" w:rsidRDefault="00060E34">
            <w:pPr>
              <w:tabs>
                <w:tab w:val="clear" w:pos="567"/>
              </w:tabs>
              <w:kinsoku w:val="0"/>
              <w:overflowPunct w:val="0"/>
              <w:autoSpaceDE w:val="0"/>
              <w:autoSpaceDN w:val="0"/>
              <w:adjustRightInd w:val="0"/>
              <w:spacing w:line="240" w:lineRule="auto"/>
              <w:rPr>
                <w:spacing w:val="-4"/>
              </w:rPr>
            </w:pPr>
            <w:r>
              <w:rPr>
                <w:spacing w:val="-4"/>
              </w:rPr>
              <w:t>Rare</w:t>
            </w:r>
          </w:p>
          <w:p w14:paraId="4B3DC290" w14:textId="77777777" w:rsidR="00C04CAD" w:rsidRDefault="00C04CAD">
            <w:pPr>
              <w:tabs>
                <w:tab w:val="clear" w:pos="567"/>
              </w:tabs>
              <w:kinsoku w:val="0"/>
              <w:overflowPunct w:val="0"/>
              <w:autoSpaceDE w:val="0"/>
              <w:autoSpaceDN w:val="0"/>
              <w:adjustRightInd w:val="0"/>
              <w:spacing w:line="240" w:lineRule="auto"/>
              <w:rPr>
                <w:spacing w:val="-4"/>
              </w:rPr>
            </w:pPr>
          </w:p>
          <w:p w14:paraId="1B5DE48F" w14:textId="77777777" w:rsidR="00C04CAD" w:rsidRDefault="00C04CAD">
            <w:pPr>
              <w:tabs>
                <w:tab w:val="clear" w:pos="567"/>
              </w:tabs>
              <w:kinsoku w:val="0"/>
              <w:overflowPunct w:val="0"/>
              <w:autoSpaceDE w:val="0"/>
              <w:autoSpaceDN w:val="0"/>
              <w:adjustRightInd w:val="0"/>
              <w:spacing w:line="240" w:lineRule="auto"/>
              <w:rPr>
                <w:spacing w:val="-4"/>
              </w:rPr>
            </w:pPr>
          </w:p>
          <w:p w14:paraId="7C15F80B" w14:textId="77777777" w:rsidR="00C04CAD" w:rsidRDefault="00060E34">
            <w:pPr>
              <w:tabs>
                <w:tab w:val="clear" w:pos="567"/>
              </w:tabs>
              <w:kinsoku w:val="0"/>
              <w:overflowPunct w:val="0"/>
              <w:autoSpaceDE w:val="0"/>
              <w:autoSpaceDN w:val="0"/>
              <w:adjustRightInd w:val="0"/>
              <w:spacing w:line="240" w:lineRule="auto"/>
              <w:rPr>
                <w:spacing w:val="-4"/>
              </w:rPr>
            </w:pPr>
            <w:r>
              <w:rPr>
                <w:spacing w:val="-1"/>
              </w:rPr>
              <w:t>N</w:t>
            </w:r>
            <w:r>
              <w:t>ecuno</w:t>
            </w:r>
            <w:r>
              <w:rPr>
                <w:spacing w:val="-2"/>
              </w:rPr>
              <w:t>s</w:t>
            </w:r>
            <w:r>
              <w:t>cu</w:t>
            </w:r>
            <w:r>
              <w:rPr>
                <w:spacing w:val="-2"/>
              </w:rPr>
              <w:t>t</w:t>
            </w:r>
            <w:r>
              <w:t>ă</w:t>
            </w:r>
          </w:p>
        </w:tc>
        <w:tc>
          <w:tcPr>
            <w:tcW w:w="4740" w:type="dxa"/>
          </w:tcPr>
          <w:p w14:paraId="71D9C3BE" w14:textId="77777777" w:rsidR="00C04CAD" w:rsidRDefault="00060E34">
            <w:pPr>
              <w:tabs>
                <w:tab w:val="clear" w:pos="567"/>
              </w:tabs>
              <w:kinsoku w:val="0"/>
              <w:overflowPunct w:val="0"/>
              <w:autoSpaceDE w:val="0"/>
              <w:autoSpaceDN w:val="0"/>
              <w:adjustRightInd w:val="0"/>
              <w:spacing w:line="240" w:lineRule="auto"/>
            </w:pPr>
            <w:r>
              <w:t>canc</w:t>
            </w:r>
            <w:r>
              <w:rPr>
                <w:spacing w:val="-3"/>
              </w:rPr>
              <w:t>e</w:t>
            </w:r>
            <w:r>
              <w:t>r</w:t>
            </w:r>
            <w:r>
              <w:rPr>
                <w:spacing w:val="1"/>
              </w:rPr>
              <w:t xml:space="preserve"> </w:t>
            </w:r>
            <w:r>
              <w:t>c</w:t>
            </w:r>
            <w:r>
              <w:rPr>
                <w:spacing w:val="-3"/>
              </w:rPr>
              <w:t>u</w:t>
            </w:r>
            <w:r>
              <w:rPr>
                <w:spacing w:val="1"/>
              </w:rPr>
              <w:t>t</w:t>
            </w:r>
            <w:r>
              <w:t>a</w:t>
            </w:r>
            <w:r>
              <w:rPr>
                <w:spacing w:val="-3"/>
              </w:rPr>
              <w:t>n</w:t>
            </w:r>
            <w:r>
              <w:t>at</w:t>
            </w:r>
            <w:r>
              <w:rPr>
                <w:spacing w:val="-2"/>
              </w:rPr>
              <w:t xml:space="preserve"> </w:t>
            </w:r>
            <w:r>
              <w:t>cu e</w:t>
            </w:r>
            <w:r>
              <w:rPr>
                <w:spacing w:val="-3"/>
              </w:rPr>
              <w:t>x</w:t>
            </w:r>
            <w:r>
              <w:t>ce</w:t>
            </w:r>
            <w:r>
              <w:rPr>
                <w:spacing w:val="-3"/>
              </w:rPr>
              <w:t>p</w:t>
            </w:r>
            <w:r>
              <w:rPr>
                <w:spacing w:val="1"/>
              </w:rPr>
              <w:t>ţ</w:t>
            </w:r>
            <w:r>
              <w:rPr>
                <w:spacing w:val="-2"/>
              </w:rPr>
              <w:t>i</w:t>
            </w:r>
            <w:r>
              <w:t>a</w:t>
            </w:r>
            <w:r>
              <w:rPr>
                <w:spacing w:val="-2"/>
              </w:rPr>
              <w:t xml:space="preserve"> </w:t>
            </w:r>
            <w:r>
              <w:rPr>
                <w:spacing w:val="-4"/>
              </w:rPr>
              <w:t>m</w:t>
            </w:r>
            <w:r>
              <w:t>e</w:t>
            </w:r>
            <w:r>
              <w:rPr>
                <w:spacing w:val="1"/>
              </w:rPr>
              <w:t>l</w:t>
            </w:r>
            <w:r>
              <w:t>ano</w:t>
            </w:r>
            <w:r>
              <w:rPr>
                <w:spacing w:val="-4"/>
              </w:rPr>
              <w:t>m</w:t>
            </w:r>
            <w:r>
              <w:rPr>
                <w:spacing w:val="-1"/>
              </w:rPr>
              <w:t>u</w:t>
            </w:r>
            <w:r>
              <w:rPr>
                <w:spacing w:val="1"/>
              </w:rPr>
              <w:t>l</w:t>
            </w:r>
            <w:r>
              <w:t>ui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ca</w:t>
            </w:r>
            <w:r>
              <w:rPr>
                <w:spacing w:val="-2"/>
              </w:rPr>
              <w:t>r</w:t>
            </w:r>
            <w:r>
              <w:t>c</w:t>
            </w:r>
            <w:r>
              <w:rPr>
                <w:spacing w:val="1"/>
              </w:rPr>
              <w:t>i</w:t>
            </w:r>
            <w:r>
              <w:rPr>
                <w:spacing w:val="-3"/>
              </w:rPr>
              <w:t>n</w:t>
            </w:r>
            <w:r>
              <w:t>om</w:t>
            </w:r>
            <w:r>
              <w:rPr>
                <w:spacing w:val="-4"/>
              </w:rPr>
              <w:t xml:space="preserve"> </w:t>
            </w:r>
            <w:r>
              <w:t>cu ce</w:t>
            </w:r>
            <w:r>
              <w:rPr>
                <w:spacing w:val="1"/>
              </w:rPr>
              <w:t>l</w:t>
            </w:r>
            <w:r>
              <w:rPr>
                <w:spacing w:val="-3"/>
              </w:rPr>
              <w:t>u</w:t>
            </w:r>
            <w:r>
              <w:rPr>
                <w:spacing w:val="-2"/>
              </w:rPr>
              <w:t>l</w:t>
            </w:r>
            <w:r>
              <w:t>e ba</w:t>
            </w:r>
            <w:r>
              <w:rPr>
                <w:spacing w:val="-2"/>
              </w:rPr>
              <w:t>z</w:t>
            </w:r>
            <w:r>
              <w:t>a</w:t>
            </w:r>
            <w:r>
              <w:rPr>
                <w:spacing w:val="1"/>
              </w:rPr>
              <w:t>l</w:t>
            </w:r>
            <w:r>
              <w:t>e</w:t>
            </w:r>
            <w:r>
              <w:rPr>
                <w:spacing w:val="-2"/>
              </w:rPr>
              <w:t xml:space="preserve"> </w:t>
            </w:r>
            <w:r>
              <w:t>şi</w:t>
            </w:r>
            <w:r>
              <w:rPr>
                <w:spacing w:val="-2"/>
              </w:rPr>
              <w:t xml:space="preserve"> </w:t>
            </w:r>
            <w:r>
              <w:t>ca</w:t>
            </w:r>
            <w:r>
              <w:rPr>
                <w:spacing w:val="-2"/>
              </w:rPr>
              <w:t>r</w:t>
            </w:r>
            <w:r>
              <w:t>c</w:t>
            </w:r>
            <w:r>
              <w:rPr>
                <w:spacing w:val="1"/>
              </w:rPr>
              <w:t>i</w:t>
            </w:r>
            <w:r>
              <w:rPr>
                <w:spacing w:val="-3"/>
              </w:rPr>
              <w:t>n</w:t>
            </w:r>
            <w:r>
              <w:t>om cu c</w:t>
            </w:r>
            <w:r>
              <w:rPr>
                <w:spacing w:val="-3"/>
              </w:rPr>
              <w:t>e</w:t>
            </w:r>
            <w:r>
              <w:rPr>
                <w:spacing w:val="1"/>
              </w:rPr>
              <w:t>l</w:t>
            </w:r>
            <w:r>
              <w:t>u</w:t>
            </w:r>
            <w:r>
              <w:rPr>
                <w:spacing w:val="-2"/>
              </w:rPr>
              <w:t>l</w:t>
            </w:r>
            <w:r>
              <w:t>e s</w:t>
            </w:r>
            <w:r>
              <w:rPr>
                <w:spacing w:val="-3"/>
              </w:rPr>
              <w:t>c</w:t>
            </w:r>
            <w:r>
              <w:t>ua</w:t>
            </w:r>
            <w:r>
              <w:rPr>
                <w:spacing w:val="-4"/>
              </w:rPr>
              <w:t>m</w:t>
            </w:r>
            <w:r>
              <w:t>oase),</w:t>
            </w:r>
          </w:p>
          <w:p w14:paraId="4A3732B4"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4"/>
              </w:rPr>
              <w:t>m</w:t>
            </w:r>
            <w:r>
              <w:t>ori</w:t>
            </w:r>
            <w:r>
              <w:rPr>
                <w:spacing w:val="1"/>
              </w:rPr>
              <w:t xml:space="preserve"> </w:t>
            </w:r>
            <w:r>
              <w:t>be</w:t>
            </w:r>
            <w:r>
              <w:rPr>
                <w:spacing w:val="-3"/>
              </w:rPr>
              <w:t>n</w:t>
            </w:r>
            <w:r>
              <w:rPr>
                <w:spacing w:val="1"/>
              </w:rPr>
              <w:t>i</w:t>
            </w:r>
            <w:r>
              <w:rPr>
                <w:spacing w:val="-3"/>
              </w:rPr>
              <w:t>g</w:t>
            </w:r>
            <w:r>
              <w:t>ne</w:t>
            </w:r>
          </w:p>
          <w:p w14:paraId="42A105C6" w14:textId="77777777" w:rsidR="00C04CAD" w:rsidRDefault="00C04CAD">
            <w:pPr>
              <w:tabs>
                <w:tab w:val="clear" w:pos="567"/>
              </w:tabs>
              <w:kinsoku w:val="0"/>
              <w:overflowPunct w:val="0"/>
              <w:autoSpaceDE w:val="0"/>
              <w:autoSpaceDN w:val="0"/>
              <w:adjustRightInd w:val="0"/>
              <w:spacing w:line="240" w:lineRule="auto"/>
              <w:rPr>
                <w:spacing w:val="-4"/>
              </w:rPr>
            </w:pPr>
          </w:p>
          <w:p w14:paraId="3667435D" w14:textId="77777777" w:rsidR="00C04CAD" w:rsidRDefault="00060E34">
            <w:pPr>
              <w:tabs>
                <w:tab w:val="clear" w:pos="567"/>
              </w:tabs>
              <w:kinsoku w:val="0"/>
              <w:overflowPunct w:val="0"/>
              <w:autoSpaceDE w:val="0"/>
              <w:autoSpaceDN w:val="0"/>
              <w:adjustRightInd w:val="0"/>
              <w:spacing w:line="240" w:lineRule="auto"/>
            </w:pPr>
            <w:r>
              <w:rPr>
                <w:spacing w:val="1"/>
              </w:rPr>
              <w:t>li</w:t>
            </w:r>
            <w:r>
              <w:rPr>
                <w:spacing w:val="-4"/>
              </w:rPr>
              <w:t>m</w:t>
            </w:r>
            <w:r>
              <w:t>fo</w:t>
            </w:r>
            <w:r>
              <w:rPr>
                <w:spacing w:val="-4"/>
              </w:rPr>
              <w:t>m</w:t>
            </w:r>
            <w:r>
              <w:t>**,</w:t>
            </w:r>
          </w:p>
          <w:p w14:paraId="329016BC" w14:textId="77777777" w:rsidR="00C04CAD" w:rsidRDefault="00060E34">
            <w:pPr>
              <w:tabs>
                <w:tab w:val="clear" w:pos="567"/>
              </w:tabs>
              <w:kinsoku w:val="0"/>
              <w:overflowPunct w:val="0"/>
              <w:autoSpaceDE w:val="0"/>
              <w:autoSpaceDN w:val="0"/>
              <w:adjustRightInd w:val="0"/>
              <w:spacing w:line="240" w:lineRule="auto"/>
              <w:rPr>
                <w:spacing w:val="-4"/>
              </w:rPr>
            </w:pPr>
            <w:r>
              <w:rPr>
                <w:spacing w:val="1"/>
              </w:rPr>
              <w:t>t</w:t>
            </w:r>
            <w:r>
              <w:t>u</w:t>
            </w:r>
            <w:r>
              <w:rPr>
                <w:spacing w:val="-4"/>
              </w:rPr>
              <w:t>m</w:t>
            </w:r>
            <w:r>
              <w:t>ori</w:t>
            </w:r>
            <w:r>
              <w:rPr>
                <w:spacing w:val="1"/>
              </w:rPr>
              <w:t xml:space="preserve"> </w:t>
            </w:r>
            <w:r>
              <w:rPr>
                <w:spacing w:val="-4"/>
              </w:rPr>
              <w:t>m</w:t>
            </w:r>
            <w:r>
              <w:t>a</w:t>
            </w:r>
            <w:r>
              <w:rPr>
                <w:spacing w:val="1"/>
              </w:rPr>
              <w:t>li</w:t>
            </w:r>
            <w:r>
              <w:rPr>
                <w:spacing w:val="-3"/>
              </w:rPr>
              <w:t>g</w:t>
            </w:r>
            <w:r>
              <w:t>ne so</w:t>
            </w:r>
            <w:r>
              <w:rPr>
                <w:spacing w:val="-2"/>
              </w:rPr>
              <w:t>l</w:t>
            </w:r>
            <w:r>
              <w:rPr>
                <w:spacing w:val="1"/>
              </w:rPr>
              <w:t>i</w:t>
            </w:r>
            <w:r>
              <w:t>de</w:t>
            </w:r>
            <w:r>
              <w:rPr>
                <w:spacing w:val="-2"/>
              </w:rPr>
              <w:t xml:space="preserve"> </w:t>
            </w:r>
            <w:r>
              <w:t>a</w:t>
            </w:r>
            <w:r>
              <w:rPr>
                <w:spacing w:val="-2"/>
              </w:rPr>
              <w:t>l</w:t>
            </w:r>
            <w:r>
              <w:t xml:space="preserve">e </w:t>
            </w:r>
            <w:r>
              <w:rPr>
                <w:spacing w:val="-3"/>
              </w:rPr>
              <w:t>o</w:t>
            </w:r>
            <w:r>
              <w:t>r</w:t>
            </w:r>
            <w:r>
              <w:rPr>
                <w:spacing w:val="-3"/>
              </w:rPr>
              <w:t>g</w:t>
            </w:r>
            <w:r>
              <w:t>ane</w:t>
            </w:r>
            <w:r>
              <w:rPr>
                <w:spacing w:val="1"/>
              </w:rPr>
              <w:t>l</w:t>
            </w:r>
            <w:r>
              <w:rPr>
                <w:spacing w:val="-3"/>
              </w:rPr>
              <w:t>o</w:t>
            </w:r>
            <w:r>
              <w:t>r</w:t>
            </w:r>
            <w:r>
              <w:rPr>
                <w:spacing w:val="1"/>
              </w:rPr>
              <w:t xml:space="preserve"> </w:t>
            </w:r>
            <w:r>
              <w:rPr>
                <w:spacing w:val="-2"/>
              </w:rPr>
              <w:t>(</w:t>
            </w:r>
            <w:r>
              <w:rPr>
                <w:spacing w:val="1"/>
              </w:rPr>
              <w:t>i</w:t>
            </w:r>
            <w:r>
              <w:t>n</w:t>
            </w:r>
            <w:r>
              <w:rPr>
                <w:spacing w:val="-3"/>
              </w:rPr>
              <w:t>c</w:t>
            </w:r>
            <w:r>
              <w:rPr>
                <w:spacing w:val="1"/>
              </w:rPr>
              <w:t>l</w:t>
            </w:r>
            <w:r>
              <w:rPr>
                <w:spacing w:val="-1"/>
              </w:rPr>
              <w:t>u</w:t>
            </w:r>
            <w:r>
              <w:rPr>
                <w:spacing w:val="-2"/>
              </w:rPr>
              <w:t>s</w:t>
            </w:r>
            <w:r>
              <w:rPr>
                <w:spacing w:val="1"/>
              </w:rPr>
              <w:t xml:space="preserve">iv </w:t>
            </w:r>
            <w:r>
              <w:t>canc</w:t>
            </w:r>
            <w:r>
              <w:rPr>
                <w:spacing w:val="-3"/>
              </w:rPr>
              <w:t>e</w:t>
            </w:r>
            <w:r>
              <w:t>r</w:t>
            </w:r>
            <w:r>
              <w:rPr>
                <w:spacing w:val="1"/>
              </w:rPr>
              <w:t xml:space="preserve"> </w:t>
            </w:r>
            <w:r>
              <w:t>de</w:t>
            </w:r>
            <w:r>
              <w:rPr>
                <w:spacing w:val="-2"/>
              </w:rPr>
              <w:t xml:space="preserve"> </w:t>
            </w:r>
            <w:r>
              <w:t>sân,</w:t>
            </w:r>
            <w:r>
              <w:rPr>
                <w:spacing w:val="-3"/>
              </w:rPr>
              <w:t xml:space="preserve"> </w:t>
            </w:r>
            <w:r>
              <w:t>ca</w:t>
            </w:r>
            <w:r>
              <w:rPr>
                <w:spacing w:val="-3"/>
              </w:rPr>
              <w:t>n</w:t>
            </w:r>
            <w:r>
              <w:t>cer</w:t>
            </w:r>
            <w:r>
              <w:rPr>
                <w:spacing w:val="-2"/>
              </w:rPr>
              <w:t xml:space="preserve"> </w:t>
            </w:r>
            <w:r>
              <w:t>pu</w:t>
            </w:r>
            <w:r>
              <w:rPr>
                <w:spacing w:val="1"/>
              </w:rPr>
              <w:t>l</w:t>
            </w:r>
            <w:r>
              <w:rPr>
                <w:spacing w:val="-4"/>
              </w:rPr>
              <w:t>m</w:t>
            </w:r>
            <w:r>
              <w:t>onar</w:t>
            </w:r>
            <w:r>
              <w:rPr>
                <w:spacing w:val="-2"/>
              </w:rPr>
              <w:t xml:space="preserve"> </w:t>
            </w:r>
            <w:r>
              <w:t>şi</w:t>
            </w:r>
            <w:r>
              <w:rPr>
                <w:spacing w:val="1"/>
              </w:rPr>
              <w:t xml:space="preserve"> </w:t>
            </w:r>
            <w:r>
              <w:rPr>
                <w:spacing w:val="-3"/>
              </w:rPr>
              <w:t>c</w:t>
            </w:r>
            <w:r>
              <w:t>an</w:t>
            </w:r>
            <w:r>
              <w:rPr>
                <w:spacing w:val="-3"/>
              </w:rPr>
              <w:t>c</w:t>
            </w:r>
            <w:r>
              <w:t xml:space="preserve">er </w:t>
            </w:r>
            <w:r>
              <w:rPr>
                <w:spacing w:val="1"/>
              </w:rPr>
              <w:t>t</w:t>
            </w:r>
            <w:r>
              <w:rPr>
                <w:spacing w:val="-2"/>
              </w:rPr>
              <w:t>i</w:t>
            </w:r>
            <w:r>
              <w:t>ro</w:t>
            </w:r>
            <w:r>
              <w:rPr>
                <w:spacing w:val="1"/>
              </w:rPr>
              <w:t>i</w:t>
            </w:r>
            <w:r>
              <w:rPr>
                <w:spacing w:val="-3"/>
              </w:rPr>
              <w:t>d</w:t>
            </w:r>
            <w:r>
              <w:rPr>
                <w:spacing w:val="1"/>
              </w:rPr>
              <w:t>i</w:t>
            </w:r>
            <w:r>
              <w:t>a</w:t>
            </w:r>
            <w:r>
              <w:rPr>
                <w:spacing w:val="-3"/>
              </w:rPr>
              <w:t>n</w:t>
            </w:r>
            <w:r>
              <w:t>),</w:t>
            </w:r>
            <w:r>
              <w:rPr>
                <w:spacing w:val="-4"/>
              </w:rPr>
              <w:t xml:space="preserve"> </w:t>
            </w:r>
          </w:p>
          <w:p w14:paraId="5CC4FCDE" w14:textId="77777777" w:rsidR="00C04CAD" w:rsidRDefault="00060E34">
            <w:pPr>
              <w:tabs>
                <w:tab w:val="clear" w:pos="567"/>
              </w:tabs>
              <w:kinsoku w:val="0"/>
              <w:overflowPunct w:val="0"/>
              <w:autoSpaceDE w:val="0"/>
              <w:autoSpaceDN w:val="0"/>
              <w:adjustRightInd w:val="0"/>
              <w:spacing w:line="240" w:lineRule="auto"/>
            </w:pPr>
            <w:r>
              <w:rPr>
                <w:spacing w:val="-4"/>
              </w:rPr>
              <w:t>m</w:t>
            </w:r>
            <w:r>
              <w:t>e</w:t>
            </w:r>
            <w:r>
              <w:rPr>
                <w:spacing w:val="1"/>
              </w:rPr>
              <w:t>l</w:t>
            </w:r>
            <w:r>
              <w:t>ano</w:t>
            </w:r>
            <w:r>
              <w:rPr>
                <w:spacing w:val="-4"/>
              </w:rPr>
              <w:t>m</w:t>
            </w:r>
            <w:r>
              <w:t>**</w:t>
            </w:r>
          </w:p>
          <w:p w14:paraId="0C25B0EF" w14:textId="77777777" w:rsidR="00C04CAD" w:rsidRDefault="00C04CAD">
            <w:pPr>
              <w:tabs>
                <w:tab w:val="clear" w:pos="567"/>
              </w:tabs>
              <w:kinsoku w:val="0"/>
              <w:overflowPunct w:val="0"/>
              <w:autoSpaceDE w:val="0"/>
              <w:autoSpaceDN w:val="0"/>
              <w:adjustRightInd w:val="0"/>
              <w:spacing w:line="240" w:lineRule="auto"/>
              <w:rPr>
                <w:spacing w:val="-4"/>
              </w:rPr>
            </w:pPr>
          </w:p>
          <w:p w14:paraId="1D0183F6" w14:textId="77777777" w:rsidR="00C04CAD" w:rsidRDefault="00060E34">
            <w:pPr>
              <w:tabs>
                <w:tab w:val="clear" w:pos="567"/>
              </w:tabs>
              <w:kinsoku w:val="0"/>
              <w:overflowPunct w:val="0"/>
              <w:autoSpaceDE w:val="0"/>
              <w:autoSpaceDN w:val="0"/>
              <w:adjustRightInd w:val="0"/>
              <w:spacing w:line="240" w:lineRule="auto"/>
            </w:pPr>
            <w:r>
              <w:t>leucemie</w:t>
            </w:r>
            <w:r>
              <w:rPr>
                <w:vertAlign w:val="superscript"/>
              </w:rPr>
              <w:t>1)</w:t>
            </w:r>
          </w:p>
          <w:p w14:paraId="5E30449D" w14:textId="77777777" w:rsidR="00C04CAD" w:rsidRDefault="00C04CAD">
            <w:pPr>
              <w:tabs>
                <w:tab w:val="clear" w:pos="567"/>
              </w:tabs>
              <w:kinsoku w:val="0"/>
              <w:overflowPunct w:val="0"/>
              <w:autoSpaceDE w:val="0"/>
              <w:autoSpaceDN w:val="0"/>
              <w:adjustRightInd w:val="0"/>
              <w:spacing w:line="240" w:lineRule="auto"/>
              <w:rPr>
                <w:spacing w:val="-4"/>
              </w:rPr>
            </w:pPr>
          </w:p>
          <w:p w14:paraId="7CC5297A" w14:textId="77777777" w:rsidR="00C04CAD" w:rsidRDefault="00C04CAD">
            <w:pPr>
              <w:tabs>
                <w:tab w:val="clear" w:pos="567"/>
              </w:tabs>
              <w:kinsoku w:val="0"/>
              <w:overflowPunct w:val="0"/>
              <w:autoSpaceDE w:val="0"/>
              <w:autoSpaceDN w:val="0"/>
              <w:adjustRightInd w:val="0"/>
              <w:spacing w:line="240" w:lineRule="auto"/>
              <w:rPr>
                <w:spacing w:val="-4"/>
              </w:rPr>
            </w:pPr>
          </w:p>
          <w:p w14:paraId="32D5237C" w14:textId="77777777" w:rsidR="00C04CAD" w:rsidRDefault="00060E34">
            <w:pPr>
              <w:tabs>
                <w:tab w:val="clear" w:pos="567"/>
              </w:tabs>
              <w:kinsoku w:val="0"/>
              <w:overflowPunct w:val="0"/>
              <w:autoSpaceDE w:val="0"/>
              <w:autoSpaceDN w:val="0"/>
              <w:adjustRightInd w:val="0"/>
              <w:spacing w:line="240" w:lineRule="auto"/>
              <w:rPr>
                <w:spacing w:val="-3"/>
              </w:rPr>
            </w:pPr>
            <w:r>
              <w:rPr>
                <w:spacing w:val="1"/>
              </w:rPr>
              <w:t>li</w:t>
            </w:r>
            <w:r>
              <w:rPr>
                <w:spacing w:val="-4"/>
              </w:rPr>
              <w:t>m</w:t>
            </w:r>
            <w:r>
              <w:t>fom</w:t>
            </w:r>
            <w:r>
              <w:rPr>
                <w:spacing w:val="-5"/>
              </w:rPr>
              <w:t xml:space="preserve"> </w:t>
            </w:r>
            <w:r>
              <w:t>hepa</w:t>
            </w:r>
            <w:r>
              <w:rPr>
                <w:spacing w:val="1"/>
              </w:rPr>
              <w:t>t</w:t>
            </w:r>
            <w:r>
              <w:t>os</w:t>
            </w:r>
            <w:r>
              <w:rPr>
                <w:spacing w:val="-3"/>
              </w:rPr>
              <w:t>p</w:t>
            </w:r>
            <w:r>
              <w:rPr>
                <w:spacing w:val="1"/>
              </w:rPr>
              <w:t>l</w:t>
            </w:r>
            <w:r>
              <w:t>e</w:t>
            </w:r>
            <w:r>
              <w:rPr>
                <w:spacing w:val="-3"/>
              </w:rPr>
              <w:t>n</w:t>
            </w:r>
            <w:r>
              <w:rPr>
                <w:spacing w:val="1"/>
              </w:rPr>
              <w:t>i</w:t>
            </w:r>
            <w:r>
              <w:t>c</w:t>
            </w:r>
            <w:r>
              <w:rPr>
                <w:spacing w:val="-2"/>
              </w:rPr>
              <w:t xml:space="preserve"> </w:t>
            </w:r>
            <w:r>
              <w:t>cu c</w:t>
            </w:r>
            <w:r>
              <w:rPr>
                <w:spacing w:val="-3"/>
              </w:rPr>
              <w:t>e</w:t>
            </w:r>
            <w:r>
              <w:rPr>
                <w:spacing w:val="1"/>
              </w:rPr>
              <w:t>l</w:t>
            </w:r>
            <w:r>
              <w:t>u</w:t>
            </w:r>
            <w:r>
              <w:rPr>
                <w:spacing w:val="-2"/>
              </w:rPr>
              <w:t>l</w:t>
            </w:r>
            <w:r>
              <w:t>e</w:t>
            </w:r>
            <w:r>
              <w:rPr>
                <w:spacing w:val="-3"/>
              </w:rPr>
              <w:t xml:space="preserve"> </w:t>
            </w:r>
            <w:r>
              <w:t>T</w:t>
            </w:r>
            <w:r>
              <w:rPr>
                <w:vertAlign w:val="superscript"/>
              </w:rPr>
              <w:t>1)</w:t>
            </w:r>
            <w:r>
              <w:t>,</w:t>
            </w:r>
            <w:r>
              <w:rPr>
                <w:spacing w:val="-3"/>
              </w:rPr>
              <w:t xml:space="preserve"> </w:t>
            </w:r>
          </w:p>
          <w:p w14:paraId="35BF10C2" w14:textId="77777777" w:rsidR="00C04CAD" w:rsidRDefault="00060E34">
            <w:pPr>
              <w:tabs>
                <w:tab w:val="clear" w:pos="567"/>
              </w:tabs>
              <w:kinsoku w:val="0"/>
              <w:overflowPunct w:val="0"/>
              <w:autoSpaceDE w:val="0"/>
              <w:autoSpaceDN w:val="0"/>
              <w:adjustRightInd w:val="0"/>
              <w:spacing w:line="240" w:lineRule="auto"/>
            </w:pPr>
            <w:r>
              <w:t>car</w:t>
            </w:r>
            <w:r>
              <w:rPr>
                <w:spacing w:val="-3"/>
              </w:rPr>
              <w:t>c</w:t>
            </w:r>
            <w:r>
              <w:rPr>
                <w:spacing w:val="1"/>
              </w:rPr>
              <w:t>i</w:t>
            </w:r>
            <w:r>
              <w:t>nom</w:t>
            </w:r>
            <w:r>
              <w:rPr>
                <w:spacing w:val="-4"/>
              </w:rPr>
              <w:t xml:space="preserve"> </w:t>
            </w:r>
            <w:r>
              <w:t>cu c</w:t>
            </w:r>
            <w:r>
              <w:rPr>
                <w:spacing w:val="-3"/>
              </w:rPr>
              <w:t>e</w:t>
            </w:r>
            <w:r>
              <w:rPr>
                <w:spacing w:val="1"/>
              </w:rPr>
              <w:t>l</w:t>
            </w:r>
            <w:r>
              <w:t>u</w:t>
            </w:r>
            <w:r>
              <w:rPr>
                <w:spacing w:val="-2"/>
              </w:rPr>
              <w:t>l</w:t>
            </w:r>
            <w:r>
              <w:t xml:space="preserve">e </w:t>
            </w:r>
            <w:r>
              <w:rPr>
                <w:spacing w:val="-2"/>
              </w:rPr>
              <w:t>M</w:t>
            </w:r>
            <w:r>
              <w:t>er</w:t>
            </w:r>
            <w:r>
              <w:rPr>
                <w:spacing w:val="-3"/>
              </w:rPr>
              <w:t>k</w:t>
            </w:r>
            <w:r>
              <w:t>el</w:t>
            </w:r>
            <w:r>
              <w:rPr>
                <w:spacing w:val="-2"/>
              </w:rPr>
              <w:t xml:space="preserve"> </w:t>
            </w:r>
            <w:r>
              <w:t>(c</w:t>
            </w:r>
            <w:r>
              <w:rPr>
                <w:spacing w:val="-3"/>
              </w:rPr>
              <w:t>a</w:t>
            </w:r>
            <w:r>
              <w:t>rc</w:t>
            </w:r>
            <w:r>
              <w:rPr>
                <w:spacing w:val="-2"/>
              </w:rPr>
              <w:t>i</w:t>
            </w:r>
            <w:r>
              <w:t>nom neur</w:t>
            </w:r>
            <w:r>
              <w:rPr>
                <w:spacing w:val="-3"/>
              </w:rPr>
              <w:t>o</w:t>
            </w:r>
            <w:r>
              <w:t>endo</w:t>
            </w:r>
            <w:r>
              <w:rPr>
                <w:spacing w:val="-3"/>
              </w:rPr>
              <w:t>c</w:t>
            </w:r>
            <w:r>
              <w:t>r</w:t>
            </w:r>
            <w:r>
              <w:rPr>
                <w:spacing w:val="-2"/>
              </w:rPr>
              <w:t>i</w:t>
            </w:r>
            <w:r>
              <w:t>n</w:t>
            </w:r>
            <w:r>
              <w:rPr>
                <w:spacing w:val="-1"/>
              </w:rPr>
              <w:t xml:space="preserve"> </w:t>
            </w:r>
            <w:r>
              <w:t>c</w:t>
            </w:r>
            <w:r>
              <w:rPr>
                <w:spacing w:val="-3"/>
              </w:rPr>
              <w:t>u</w:t>
            </w:r>
            <w:r>
              <w:rPr>
                <w:spacing w:val="1"/>
              </w:rPr>
              <w:t>t</w:t>
            </w:r>
            <w:r>
              <w:t>an</w:t>
            </w:r>
            <w:r>
              <w:rPr>
                <w:spacing w:val="-3"/>
              </w:rPr>
              <w:t>a</w:t>
            </w:r>
            <w:r>
              <w:rPr>
                <w:spacing w:val="1"/>
              </w:rPr>
              <w:t>t</w:t>
            </w:r>
            <w:r>
              <w:t>)</w:t>
            </w:r>
            <w:r>
              <w:rPr>
                <w:vertAlign w:val="superscript"/>
              </w:rPr>
              <w:t>1)</w:t>
            </w:r>
            <w:r>
              <w:t>,</w:t>
            </w:r>
          </w:p>
          <w:p w14:paraId="7DF2AB9A" w14:textId="77777777" w:rsidR="00C04CAD" w:rsidRDefault="00060E34">
            <w:pPr>
              <w:tabs>
                <w:tab w:val="clear" w:pos="567"/>
              </w:tabs>
              <w:kinsoku w:val="0"/>
              <w:overflowPunct w:val="0"/>
              <w:autoSpaceDE w:val="0"/>
              <w:autoSpaceDN w:val="0"/>
              <w:adjustRightInd w:val="0"/>
              <w:spacing w:line="240" w:lineRule="auto"/>
              <w:rPr>
                <w:spacing w:val="-4"/>
              </w:rPr>
            </w:pPr>
            <w:r>
              <w:rPr>
                <w:spacing w:val="-4"/>
              </w:rPr>
              <w:t>Sarcom Kaposi</w:t>
            </w:r>
          </w:p>
        </w:tc>
      </w:tr>
      <w:tr w:rsidR="00C04CAD" w14:paraId="2BD15EA3" w14:textId="77777777">
        <w:trPr>
          <w:cantSplit/>
        </w:trPr>
        <w:tc>
          <w:tcPr>
            <w:tcW w:w="2501" w:type="dxa"/>
          </w:tcPr>
          <w:p w14:paraId="748AF7ED" w14:textId="77777777" w:rsidR="00C04CAD" w:rsidRDefault="00060E34">
            <w:pPr>
              <w:tabs>
                <w:tab w:val="clear" w:pos="567"/>
              </w:tabs>
              <w:kinsoku w:val="0"/>
              <w:overflowPunct w:val="0"/>
              <w:autoSpaceDE w:val="0"/>
              <w:autoSpaceDN w:val="0"/>
              <w:adjustRightInd w:val="0"/>
              <w:spacing w:line="240" w:lineRule="auto"/>
              <w:rPr>
                <w:spacing w:val="-1"/>
              </w:rPr>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t>he</w:t>
            </w:r>
            <w:r>
              <w:rPr>
                <w:spacing w:val="-4"/>
              </w:rPr>
              <w:t>m</w:t>
            </w:r>
            <w:r>
              <w:t>a</w:t>
            </w:r>
            <w:r>
              <w:rPr>
                <w:spacing w:val="1"/>
              </w:rPr>
              <w:t>t</w:t>
            </w:r>
            <w:r>
              <w:rPr>
                <w:spacing w:val="-3"/>
              </w:rPr>
              <w:t>o</w:t>
            </w:r>
            <w:r>
              <w:rPr>
                <w:spacing w:val="1"/>
              </w:rPr>
              <w:t>l</w:t>
            </w:r>
            <w:r>
              <w:t>o</w:t>
            </w:r>
            <w:r>
              <w:rPr>
                <w:spacing w:val="-3"/>
              </w:rPr>
              <w:t>g</w:t>
            </w:r>
            <w:r>
              <w:rPr>
                <w:spacing w:val="1"/>
              </w:rPr>
              <w:t>i</w:t>
            </w:r>
            <w:r>
              <w:t xml:space="preserve">ce </w:t>
            </w:r>
            <w:r>
              <w:rPr>
                <w:spacing w:val="-2"/>
              </w:rPr>
              <w:t>ş</w:t>
            </w:r>
            <w:r>
              <w:t xml:space="preserve">i </w:t>
            </w:r>
            <w:r>
              <w:rPr>
                <w:spacing w:val="1"/>
              </w:rPr>
              <w:t>li</w:t>
            </w:r>
            <w:r>
              <w:rPr>
                <w:spacing w:val="-4"/>
              </w:rPr>
              <w:t>m</w:t>
            </w:r>
            <w:r>
              <w:t>fa</w:t>
            </w:r>
            <w:r>
              <w:rPr>
                <w:spacing w:val="-2"/>
              </w:rPr>
              <w:t>t</w:t>
            </w:r>
            <w:r>
              <w:rPr>
                <w:spacing w:val="1"/>
              </w:rPr>
              <w:t>i</w:t>
            </w:r>
            <w:r>
              <w:t>ce*</w:t>
            </w:r>
          </w:p>
        </w:tc>
        <w:tc>
          <w:tcPr>
            <w:tcW w:w="1784" w:type="dxa"/>
          </w:tcPr>
          <w:p w14:paraId="125633D7"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100F7296" w14:textId="77777777" w:rsidR="00C04CAD" w:rsidRDefault="00C04CAD">
            <w:pPr>
              <w:tabs>
                <w:tab w:val="clear" w:pos="567"/>
              </w:tabs>
              <w:kinsoku w:val="0"/>
              <w:overflowPunct w:val="0"/>
              <w:autoSpaceDE w:val="0"/>
              <w:autoSpaceDN w:val="0"/>
              <w:adjustRightInd w:val="0"/>
              <w:spacing w:line="240" w:lineRule="auto"/>
              <w:rPr>
                <w:spacing w:val="-4"/>
              </w:rPr>
            </w:pPr>
          </w:p>
          <w:p w14:paraId="3BAB8FCD" w14:textId="77777777" w:rsidR="00C04CAD" w:rsidRDefault="00C04CAD">
            <w:pPr>
              <w:tabs>
                <w:tab w:val="clear" w:pos="567"/>
              </w:tabs>
              <w:kinsoku w:val="0"/>
              <w:overflowPunct w:val="0"/>
              <w:autoSpaceDE w:val="0"/>
              <w:autoSpaceDN w:val="0"/>
              <w:adjustRightInd w:val="0"/>
              <w:spacing w:line="240" w:lineRule="auto"/>
              <w:rPr>
                <w:spacing w:val="-4"/>
              </w:rPr>
            </w:pPr>
          </w:p>
          <w:p w14:paraId="3FB884DD" w14:textId="77777777" w:rsidR="00C04CAD" w:rsidRDefault="00C04CAD">
            <w:pPr>
              <w:tabs>
                <w:tab w:val="clear" w:pos="567"/>
              </w:tabs>
              <w:kinsoku w:val="0"/>
              <w:overflowPunct w:val="0"/>
              <w:autoSpaceDE w:val="0"/>
              <w:autoSpaceDN w:val="0"/>
              <w:adjustRightInd w:val="0"/>
              <w:spacing w:line="240" w:lineRule="auto"/>
              <w:rPr>
                <w:spacing w:val="-4"/>
              </w:rPr>
            </w:pPr>
          </w:p>
          <w:p w14:paraId="24CDE083" w14:textId="77777777" w:rsidR="00C04CAD" w:rsidRDefault="00C04CAD">
            <w:pPr>
              <w:tabs>
                <w:tab w:val="clear" w:pos="567"/>
              </w:tabs>
              <w:kinsoku w:val="0"/>
              <w:overflowPunct w:val="0"/>
              <w:autoSpaceDE w:val="0"/>
              <w:autoSpaceDN w:val="0"/>
              <w:adjustRightInd w:val="0"/>
              <w:spacing w:line="240" w:lineRule="auto"/>
              <w:rPr>
                <w:spacing w:val="-4"/>
              </w:rPr>
            </w:pPr>
          </w:p>
          <w:p w14:paraId="092ACD59"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4A1474F2" w14:textId="77777777" w:rsidR="00C04CAD" w:rsidRDefault="00C04CAD">
            <w:pPr>
              <w:tabs>
                <w:tab w:val="clear" w:pos="567"/>
              </w:tabs>
              <w:kinsoku w:val="0"/>
              <w:overflowPunct w:val="0"/>
              <w:autoSpaceDE w:val="0"/>
              <w:autoSpaceDN w:val="0"/>
              <w:adjustRightInd w:val="0"/>
              <w:spacing w:line="240" w:lineRule="auto"/>
              <w:rPr>
                <w:spacing w:val="-4"/>
              </w:rPr>
            </w:pPr>
          </w:p>
          <w:p w14:paraId="0DD748CD" w14:textId="77777777" w:rsidR="00C04CAD" w:rsidRDefault="00C04CAD">
            <w:pPr>
              <w:tabs>
                <w:tab w:val="clear" w:pos="567"/>
              </w:tabs>
              <w:kinsoku w:val="0"/>
              <w:overflowPunct w:val="0"/>
              <w:autoSpaceDE w:val="0"/>
              <w:autoSpaceDN w:val="0"/>
              <w:adjustRightInd w:val="0"/>
              <w:spacing w:line="240" w:lineRule="auto"/>
              <w:rPr>
                <w:spacing w:val="-4"/>
              </w:rPr>
            </w:pPr>
          </w:p>
          <w:p w14:paraId="17108EA2"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w:t>
            </w:r>
          </w:p>
          <w:p w14:paraId="713C8C21" w14:textId="77777777" w:rsidR="00C04CAD" w:rsidRDefault="00060E34">
            <w:pPr>
              <w:tabs>
                <w:tab w:val="clear" w:pos="567"/>
              </w:tabs>
              <w:kinsoku w:val="0"/>
              <w:overflowPunct w:val="0"/>
              <w:autoSpaceDE w:val="0"/>
              <w:autoSpaceDN w:val="0"/>
              <w:adjustRightInd w:val="0"/>
              <w:spacing w:line="240" w:lineRule="auto"/>
            </w:pPr>
            <w:r>
              <w:t>fr</w:t>
            </w:r>
            <w:r>
              <w:rPr>
                <w:spacing w:val="-3"/>
              </w:rPr>
              <w:t>e</w:t>
            </w:r>
            <w:r>
              <w:t>c</w:t>
            </w:r>
            <w:r>
              <w:rPr>
                <w:spacing w:val="-3"/>
              </w:rPr>
              <w:t>v</w:t>
            </w:r>
            <w:r>
              <w:t>en</w:t>
            </w:r>
            <w:r>
              <w:rPr>
                <w:spacing w:val="1"/>
              </w:rPr>
              <w:t>t</w:t>
            </w:r>
            <w:r>
              <w:t xml:space="preserve">e </w:t>
            </w:r>
          </w:p>
          <w:p w14:paraId="3AD8BF6E" w14:textId="77777777" w:rsidR="00C04CAD" w:rsidRDefault="00C04CAD">
            <w:pPr>
              <w:tabs>
                <w:tab w:val="clear" w:pos="567"/>
              </w:tabs>
              <w:kinsoku w:val="0"/>
              <w:overflowPunct w:val="0"/>
              <w:autoSpaceDE w:val="0"/>
              <w:autoSpaceDN w:val="0"/>
              <w:adjustRightInd w:val="0"/>
              <w:spacing w:line="240" w:lineRule="auto"/>
              <w:rPr>
                <w:spacing w:val="-4"/>
              </w:rPr>
            </w:pPr>
          </w:p>
          <w:p w14:paraId="2834B91A" w14:textId="77777777" w:rsidR="00C04CAD" w:rsidRDefault="00060E34">
            <w:pPr>
              <w:tabs>
                <w:tab w:val="clear" w:pos="567"/>
              </w:tabs>
              <w:kinsoku w:val="0"/>
              <w:overflowPunct w:val="0"/>
              <w:autoSpaceDE w:val="0"/>
              <w:autoSpaceDN w:val="0"/>
              <w:adjustRightInd w:val="0"/>
              <w:spacing w:line="240" w:lineRule="auto"/>
              <w:rPr>
                <w:spacing w:val="-4"/>
              </w:rPr>
            </w:pPr>
            <w:r>
              <w:rPr>
                <w:spacing w:val="-1"/>
              </w:rPr>
              <w:t>R</w:t>
            </w:r>
            <w:r>
              <w:t>are</w:t>
            </w:r>
            <w:r>
              <w:rPr>
                <w:spacing w:val="-4"/>
              </w:rPr>
              <w:t xml:space="preserve"> </w:t>
            </w:r>
          </w:p>
        </w:tc>
        <w:tc>
          <w:tcPr>
            <w:tcW w:w="4740" w:type="dxa"/>
          </w:tcPr>
          <w:p w14:paraId="09ADE1A1" w14:textId="77777777" w:rsidR="00C04CAD" w:rsidRDefault="00060E34">
            <w:pPr>
              <w:tabs>
                <w:tab w:val="clear" w:pos="567"/>
              </w:tabs>
              <w:kinsoku w:val="0"/>
              <w:overflowPunct w:val="0"/>
              <w:autoSpaceDE w:val="0"/>
              <w:autoSpaceDN w:val="0"/>
              <w:adjustRightInd w:val="0"/>
              <w:spacing w:line="240" w:lineRule="auto"/>
            </w:pPr>
            <w:r>
              <w:rPr>
                <w:spacing w:val="1"/>
              </w:rPr>
              <w:t>l</w:t>
            </w:r>
            <w:r>
              <w:t>euc</w:t>
            </w:r>
            <w:r>
              <w:rPr>
                <w:spacing w:val="-3"/>
              </w:rPr>
              <w:t>o</w:t>
            </w:r>
            <w:r>
              <w:rPr>
                <w:spacing w:val="-1"/>
              </w:rPr>
              <w:t>p</w:t>
            </w:r>
            <w:r>
              <w:t>e</w:t>
            </w:r>
            <w:r>
              <w:rPr>
                <w:spacing w:val="-3"/>
              </w:rPr>
              <w:t>n</w:t>
            </w:r>
            <w:r>
              <w:rPr>
                <w:spacing w:val="1"/>
              </w:rPr>
              <w:t>i</w:t>
            </w:r>
            <w:r>
              <w:t>e,</w:t>
            </w:r>
            <w:r>
              <w:rPr>
                <w:spacing w:val="-3"/>
              </w:rPr>
              <w:t xml:space="preserve"> </w:t>
            </w:r>
            <w:r>
              <w:t>(</w:t>
            </w:r>
            <w:r>
              <w:rPr>
                <w:spacing w:val="1"/>
              </w:rPr>
              <w:t>i</w:t>
            </w:r>
            <w:r>
              <w:rPr>
                <w:spacing w:val="-3"/>
              </w:rPr>
              <w:t>n</w:t>
            </w:r>
            <w:r>
              <w:t>c</w:t>
            </w:r>
            <w:r>
              <w:rPr>
                <w:spacing w:val="1"/>
              </w:rPr>
              <w:t>l</w:t>
            </w:r>
            <w:r>
              <w:rPr>
                <w:spacing w:val="-3"/>
              </w:rPr>
              <w:t>u</w:t>
            </w:r>
            <w:r>
              <w:t>s</w:t>
            </w:r>
            <w:r>
              <w:rPr>
                <w:spacing w:val="1"/>
              </w:rPr>
              <w:t>i</w:t>
            </w:r>
            <w:r>
              <w:t>v</w:t>
            </w:r>
            <w:r>
              <w:rPr>
                <w:spacing w:val="-3"/>
              </w:rPr>
              <w:t xml:space="preserve"> </w:t>
            </w:r>
            <w:r>
              <w:t>ne</w:t>
            </w:r>
            <w:r>
              <w:rPr>
                <w:spacing w:val="-3"/>
              </w:rPr>
              <w:t>u</w:t>
            </w:r>
            <w:r>
              <w:rPr>
                <w:spacing w:val="1"/>
              </w:rPr>
              <w:t>t</w:t>
            </w:r>
            <w:r>
              <w:t>r</w:t>
            </w:r>
            <w:r>
              <w:rPr>
                <w:spacing w:val="-3"/>
              </w:rPr>
              <w:t>o</w:t>
            </w:r>
            <w:r>
              <w:t>pen</w:t>
            </w:r>
            <w:r>
              <w:rPr>
                <w:spacing w:val="1"/>
              </w:rPr>
              <w:t>i</w:t>
            </w:r>
            <w:r>
              <w:t>e</w:t>
            </w:r>
            <w:r>
              <w:rPr>
                <w:spacing w:val="-2"/>
              </w:rPr>
              <w:t xml:space="preserve"> </w:t>
            </w:r>
            <w:r>
              <w:t>şi a</w:t>
            </w:r>
            <w:r>
              <w:rPr>
                <w:spacing w:val="-3"/>
              </w:rPr>
              <w:t>g</w:t>
            </w:r>
            <w:r>
              <w:t>ranu</w:t>
            </w:r>
            <w:r>
              <w:rPr>
                <w:spacing w:val="1"/>
              </w:rPr>
              <w:t>l</w:t>
            </w:r>
            <w:r>
              <w:rPr>
                <w:spacing w:val="-3"/>
              </w:rPr>
              <w:t>o</w:t>
            </w:r>
            <w:r>
              <w:t>c</w:t>
            </w:r>
            <w:r>
              <w:rPr>
                <w:spacing w:val="-2"/>
              </w:rPr>
              <w:t>i</w:t>
            </w:r>
            <w:r>
              <w:rPr>
                <w:spacing w:val="1"/>
              </w:rPr>
              <w:t>t</w:t>
            </w:r>
            <w:r>
              <w:t>o</w:t>
            </w:r>
            <w:r>
              <w:rPr>
                <w:spacing w:val="-3"/>
              </w:rPr>
              <w:t>z</w:t>
            </w:r>
            <w:r>
              <w:t>ă),</w:t>
            </w:r>
          </w:p>
          <w:p w14:paraId="6EB5A664" w14:textId="77777777" w:rsidR="00C04CAD" w:rsidRDefault="00060E34">
            <w:pPr>
              <w:tabs>
                <w:tab w:val="clear" w:pos="567"/>
              </w:tabs>
              <w:kinsoku w:val="0"/>
              <w:overflowPunct w:val="0"/>
              <w:autoSpaceDE w:val="0"/>
              <w:autoSpaceDN w:val="0"/>
              <w:adjustRightInd w:val="0"/>
              <w:spacing w:line="240" w:lineRule="auto"/>
            </w:pPr>
            <w:r>
              <w:t>ane</w:t>
            </w:r>
            <w:r>
              <w:rPr>
                <w:spacing w:val="-4"/>
              </w:rPr>
              <w:t>m</w:t>
            </w:r>
            <w:r>
              <w:rPr>
                <w:spacing w:val="1"/>
              </w:rPr>
              <w:t>i</w:t>
            </w:r>
            <w:r>
              <w:t>e</w:t>
            </w:r>
          </w:p>
          <w:p w14:paraId="49BD406A" w14:textId="77777777" w:rsidR="00C04CAD" w:rsidRDefault="00C04CAD">
            <w:pPr>
              <w:tabs>
                <w:tab w:val="clear" w:pos="567"/>
              </w:tabs>
              <w:kinsoku w:val="0"/>
              <w:overflowPunct w:val="0"/>
              <w:autoSpaceDE w:val="0"/>
              <w:autoSpaceDN w:val="0"/>
              <w:adjustRightInd w:val="0"/>
              <w:spacing w:line="240" w:lineRule="auto"/>
              <w:rPr>
                <w:spacing w:val="-4"/>
              </w:rPr>
            </w:pPr>
          </w:p>
          <w:p w14:paraId="7C5D0689" w14:textId="77777777" w:rsidR="00C04CAD" w:rsidRDefault="00C04CAD">
            <w:pPr>
              <w:tabs>
                <w:tab w:val="clear" w:pos="567"/>
              </w:tabs>
              <w:kinsoku w:val="0"/>
              <w:overflowPunct w:val="0"/>
              <w:autoSpaceDE w:val="0"/>
              <w:autoSpaceDN w:val="0"/>
              <w:adjustRightInd w:val="0"/>
              <w:spacing w:line="240" w:lineRule="auto"/>
              <w:rPr>
                <w:spacing w:val="-4"/>
              </w:rPr>
            </w:pPr>
          </w:p>
          <w:p w14:paraId="17D0A26B" w14:textId="77777777" w:rsidR="00C04CAD" w:rsidRDefault="00060E34">
            <w:pPr>
              <w:tabs>
                <w:tab w:val="clear" w:pos="567"/>
              </w:tabs>
              <w:kinsoku w:val="0"/>
              <w:overflowPunct w:val="0"/>
              <w:autoSpaceDE w:val="0"/>
              <w:autoSpaceDN w:val="0"/>
              <w:adjustRightInd w:val="0"/>
              <w:spacing w:line="240" w:lineRule="auto"/>
            </w:pPr>
            <w:r>
              <w:rPr>
                <w:spacing w:val="1"/>
              </w:rPr>
              <w:t>l</w:t>
            </w:r>
            <w:r>
              <w:t>euc</w:t>
            </w:r>
            <w:r>
              <w:rPr>
                <w:spacing w:val="-3"/>
              </w:rPr>
              <w:t>o</w:t>
            </w:r>
            <w:r>
              <w:t>c</w:t>
            </w:r>
            <w:r>
              <w:rPr>
                <w:spacing w:val="-2"/>
              </w:rPr>
              <w:t>i</w:t>
            </w:r>
            <w:r>
              <w:rPr>
                <w:spacing w:val="1"/>
              </w:rPr>
              <w:t>t</w:t>
            </w:r>
            <w:r>
              <w:rPr>
                <w:spacing w:val="-1"/>
              </w:rPr>
              <w:t>o</w:t>
            </w:r>
            <w:r>
              <w:rPr>
                <w:spacing w:val="-3"/>
              </w:rPr>
              <w:t>z</w:t>
            </w:r>
            <w:r>
              <w:t>ă,</w:t>
            </w:r>
          </w:p>
          <w:p w14:paraId="39F3A509" w14:textId="77777777" w:rsidR="00C04CAD" w:rsidRDefault="00060E34">
            <w:pPr>
              <w:tabs>
                <w:tab w:val="clear" w:pos="567"/>
              </w:tabs>
              <w:kinsoku w:val="0"/>
              <w:overflowPunct w:val="0"/>
              <w:autoSpaceDE w:val="0"/>
              <w:autoSpaceDN w:val="0"/>
              <w:adjustRightInd w:val="0"/>
              <w:spacing w:line="240" w:lineRule="auto"/>
            </w:pPr>
            <w:r>
              <w:rPr>
                <w:spacing w:val="1"/>
              </w:rPr>
              <w:t>t</w:t>
            </w:r>
            <w:r>
              <w:t>ro</w:t>
            </w:r>
            <w:r>
              <w:rPr>
                <w:spacing w:val="-4"/>
              </w:rPr>
              <w:t>m</w:t>
            </w:r>
            <w:r>
              <w:t>boc</w:t>
            </w:r>
            <w:r>
              <w:rPr>
                <w:spacing w:val="-2"/>
              </w:rPr>
              <w:t>i</w:t>
            </w:r>
            <w:r>
              <w:rPr>
                <w:spacing w:val="1"/>
              </w:rPr>
              <w:t>t</w:t>
            </w:r>
            <w:r>
              <w:t>ope</w:t>
            </w:r>
            <w:r>
              <w:rPr>
                <w:spacing w:val="-3"/>
              </w:rPr>
              <w:t>n</w:t>
            </w:r>
            <w:r>
              <w:rPr>
                <w:spacing w:val="1"/>
              </w:rPr>
              <w:t>i</w:t>
            </w:r>
            <w:r>
              <w:t>e</w:t>
            </w:r>
          </w:p>
          <w:p w14:paraId="530F0CA8" w14:textId="77777777" w:rsidR="00C04CAD" w:rsidRDefault="00C04CAD">
            <w:pPr>
              <w:tabs>
                <w:tab w:val="clear" w:pos="567"/>
              </w:tabs>
              <w:kinsoku w:val="0"/>
              <w:overflowPunct w:val="0"/>
              <w:autoSpaceDE w:val="0"/>
              <w:autoSpaceDN w:val="0"/>
              <w:adjustRightInd w:val="0"/>
              <w:spacing w:line="240" w:lineRule="auto"/>
              <w:rPr>
                <w:spacing w:val="-4"/>
              </w:rPr>
            </w:pPr>
          </w:p>
          <w:p w14:paraId="03656054" w14:textId="77777777" w:rsidR="00C04CAD" w:rsidRDefault="00060E34">
            <w:pPr>
              <w:tabs>
                <w:tab w:val="clear" w:pos="567"/>
              </w:tabs>
              <w:kinsoku w:val="0"/>
              <w:overflowPunct w:val="0"/>
              <w:autoSpaceDE w:val="0"/>
              <w:autoSpaceDN w:val="0"/>
              <w:adjustRightInd w:val="0"/>
              <w:spacing w:line="240" w:lineRule="auto"/>
            </w:pPr>
            <w:r>
              <w:t>purp</w:t>
            </w:r>
            <w:r>
              <w:rPr>
                <w:spacing w:val="-3"/>
              </w:rPr>
              <w:t>u</w:t>
            </w:r>
            <w:r>
              <w:t>ră</w:t>
            </w:r>
            <w:r>
              <w:rPr>
                <w:spacing w:val="-2"/>
              </w:rPr>
              <w:t xml:space="preserve"> </w:t>
            </w:r>
            <w:r>
              <w:rPr>
                <w:spacing w:val="1"/>
              </w:rPr>
              <w:t>t</w:t>
            </w:r>
            <w:r>
              <w:t>ro</w:t>
            </w:r>
            <w:r>
              <w:rPr>
                <w:spacing w:val="-4"/>
              </w:rPr>
              <w:t>m</w:t>
            </w:r>
            <w:r>
              <w:t>boc</w:t>
            </w:r>
            <w:r>
              <w:rPr>
                <w:spacing w:val="-2"/>
              </w:rPr>
              <w:t>i</w:t>
            </w:r>
            <w:r>
              <w:rPr>
                <w:spacing w:val="1"/>
              </w:rPr>
              <w:t>t</w:t>
            </w:r>
            <w:r>
              <w:t>ope</w:t>
            </w:r>
            <w:r>
              <w:rPr>
                <w:spacing w:val="-3"/>
              </w:rPr>
              <w:t>n</w:t>
            </w:r>
            <w:r>
              <w:rPr>
                <w:spacing w:val="1"/>
              </w:rPr>
              <w:t>i</w:t>
            </w:r>
            <w:r>
              <w:t>că</w:t>
            </w:r>
            <w:r>
              <w:rPr>
                <w:spacing w:val="-2"/>
              </w:rPr>
              <w:t xml:space="preserve"> i</w:t>
            </w:r>
            <w:r>
              <w:t>d</w:t>
            </w:r>
            <w:r>
              <w:rPr>
                <w:spacing w:val="1"/>
              </w:rPr>
              <w:t>i</w:t>
            </w:r>
            <w:r>
              <w:t>op</w:t>
            </w:r>
            <w:r>
              <w:rPr>
                <w:spacing w:val="-3"/>
              </w:rPr>
              <w:t>a</w:t>
            </w:r>
            <w:r>
              <w:rPr>
                <w:spacing w:val="1"/>
              </w:rPr>
              <w:t>t</w:t>
            </w:r>
            <w:r>
              <w:rPr>
                <w:spacing w:val="-2"/>
              </w:rPr>
              <w:t>i</w:t>
            </w:r>
            <w:r>
              <w:t>că</w:t>
            </w:r>
          </w:p>
          <w:p w14:paraId="632D1B14" w14:textId="77777777" w:rsidR="00C04CAD" w:rsidRDefault="00C04CAD">
            <w:pPr>
              <w:tabs>
                <w:tab w:val="clear" w:pos="567"/>
              </w:tabs>
              <w:kinsoku w:val="0"/>
              <w:overflowPunct w:val="0"/>
              <w:autoSpaceDE w:val="0"/>
              <w:autoSpaceDN w:val="0"/>
              <w:adjustRightInd w:val="0"/>
              <w:spacing w:line="240" w:lineRule="auto"/>
              <w:rPr>
                <w:spacing w:val="-4"/>
              </w:rPr>
            </w:pPr>
          </w:p>
          <w:p w14:paraId="5474C0AE" w14:textId="77777777" w:rsidR="00C04CAD" w:rsidRDefault="00C04CAD">
            <w:pPr>
              <w:tabs>
                <w:tab w:val="clear" w:pos="567"/>
              </w:tabs>
              <w:kinsoku w:val="0"/>
              <w:overflowPunct w:val="0"/>
              <w:autoSpaceDE w:val="0"/>
              <w:autoSpaceDN w:val="0"/>
              <w:adjustRightInd w:val="0"/>
              <w:spacing w:line="240" w:lineRule="auto"/>
            </w:pPr>
          </w:p>
          <w:p w14:paraId="1E10BB10" w14:textId="77777777" w:rsidR="00C04CAD" w:rsidRDefault="00060E34">
            <w:pPr>
              <w:tabs>
                <w:tab w:val="clear" w:pos="567"/>
              </w:tabs>
              <w:kinsoku w:val="0"/>
              <w:overflowPunct w:val="0"/>
              <w:autoSpaceDE w:val="0"/>
              <w:autoSpaceDN w:val="0"/>
              <w:adjustRightInd w:val="0"/>
              <w:spacing w:line="240" w:lineRule="auto"/>
              <w:rPr>
                <w:spacing w:val="-4"/>
              </w:rPr>
            </w:pPr>
            <w:r>
              <w:t>panc</w:t>
            </w:r>
            <w:r>
              <w:rPr>
                <w:spacing w:val="-2"/>
              </w:rPr>
              <w:t>i</w:t>
            </w:r>
            <w:r>
              <w:rPr>
                <w:spacing w:val="1"/>
              </w:rPr>
              <w:t>t</w:t>
            </w:r>
            <w:r>
              <w:t>o</w:t>
            </w:r>
            <w:r>
              <w:rPr>
                <w:spacing w:val="-3"/>
              </w:rPr>
              <w:t>p</w:t>
            </w:r>
            <w:r>
              <w:t>en</w:t>
            </w:r>
            <w:r>
              <w:rPr>
                <w:spacing w:val="-2"/>
              </w:rPr>
              <w:t>i</w:t>
            </w:r>
            <w:r>
              <w:t>e</w:t>
            </w:r>
            <w:r>
              <w:rPr>
                <w:spacing w:val="-4"/>
              </w:rPr>
              <w:t xml:space="preserve"> </w:t>
            </w:r>
          </w:p>
          <w:p w14:paraId="02E52537" w14:textId="77777777" w:rsidR="00C04CAD" w:rsidRDefault="00C04CAD">
            <w:pPr>
              <w:tabs>
                <w:tab w:val="clear" w:pos="567"/>
              </w:tabs>
              <w:kinsoku w:val="0"/>
              <w:overflowPunct w:val="0"/>
              <w:autoSpaceDE w:val="0"/>
              <w:autoSpaceDN w:val="0"/>
              <w:adjustRightInd w:val="0"/>
              <w:spacing w:line="240" w:lineRule="auto"/>
              <w:rPr>
                <w:spacing w:val="-4"/>
              </w:rPr>
            </w:pPr>
          </w:p>
        </w:tc>
      </w:tr>
      <w:tr w:rsidR="00C04CAD" w14:paraId="4209BEFF" w14:textId="77777777">
        <w:trPr>
          <w:cantSplit/>
        </w:trPr>
        <w:tc>
          <w:tcPr>
            <w:tcW w:w="2501" w:type="dxa"/>
          </w:tcPr>
          <w:p w14:paraId="1A285AC7"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a</w:t>
            </w:r>
            <w:r>
              <w:rPr>
                <w:spacing w:val="1"/>
              </w:rPr>
              <w:t>l</w:t>
            </w:r>
            <w:r>
              <w:t xml:space="preserve">e </w:t>
            </w:r>
            <w:r>
              <w:rPr>
                <w:spacing w:val="-2"/>
              </w:rPr>
              <w:t>s</w:t>
            </w:r>
            <w:r>
              <w:rPr>
                <w:spacing w:val="1"/>
              </w:rPr>
              <w:t>i</w:t>
            </w:r>
            <w:r>
              <w:rPr>
                <w:spacing w:val="-2"/>
              </w:rPr>
              <w:t>s</w:t>
            </w:r>
            <w:r>
              <w:rPr>
                <w:spacing w:val="1"/>
              </w:rPr>
              <w:t>t</w:t>
            </w:r>
            <w:r>
              <w:t>e</w:t>
            </w:r>
            <w:r>
              <w:rPr>
                <w:spacing w:val="-4"/>
              </w:rPr>
              <w:t>m</w:t>
            </w:r>
            <w:r>
              <w:t>u</w:t>
            </w:r>
            <w:r>
              <w:rPr>
                <w:spacing w:val="1"/>
              </w:rPr>
              <w:t>l</w:t>
            </w:r>
            <w:r>
              <w:t>ui</w:t>
            </w:r>
          </w:p>
          <w:p w14:paraId="192F3A52" w14:textId="77777777" w:rsidR="00C04CAD" w:rsidRDefault="00060E34">
            <w:pPr>
              <w:tabs>
                <w:tab w:val="clear" w:pos="567"/>
              </w:tabs>
              <w:kinsoku w:val="0"/>
              <w:overflowPunct w:val="0"/>
              <w:autoSpaceDE w:val="0"/>
              <w:autoSpaceDN w:val="0"/>
              <w:adjustRightInd w:val="0"/>
              <w:spacing w:line="240" w:lineRule="auto"/>
              <w:rPr>
                <w:spacing w:val="-1"/>
              </w:rPr>
            </w:pPr>
            <w:r>
              <w:rPr>
                <w:spacing w:val="1"/>
              </w:rPr>
              <w:t>i</w:t>
            </w:r>
            <w:r>
              <w:rPr>
                <w:spacing w:val="-4"/>
              </w:rPr>
              <w:t>m</w:t>
            </w:r>
            <w:r>
              <w:t>un</w:t>
            </w:r>
            <w:r>
              <w:rPr>
                <w:spacing w:val="1"/>
              </w:rPr>
              <w:t>it</w:t>
            </w:r>
            <w:r>
              <w:t>a</w:t>
            </w:r>
            <w:r>
              <w:rPr>
                <w:spacing w:val="-2"/>
              </w:rPr>
              <w:t>r</w:t>
            </w:r>
            <w:r>
              <w:t>*</w:t>
            </w:r>
          </w:p>
        </w:tc>
        <w:tc>
          <w:tcPr>
            <w:tcW w:w="1784" w:type="dxa"/>
          </w:tcPr>
          <w:p w14:paraId="43DD0DD7"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1268D7D6" w14:textId="77777777" w:rsidR="00C04CAD" w:rsidRDefault="00C04CAD">
            <w:pPr>
              <w:tabs>
                <w:tab w:val="clear" w:pos="567"/>
              </w:tabs>
              <w:kinsoku w:val="0"/>
              <w:overflowPunct w:val="0"/>
              <w:autoSpaceDE w:val="0"/>
              <w:autoSpaceDN w:val="0"/>
              <w:adjustRightInd w:val="0"/>
              <w:spacing w:line="240" w:lineRule="auto"/>
              <w:rPr>
                <w:spacing w:val="-4"/>
              </w:rPr>
            </w:pPr>
          </w:p>
          <w:p w14:paraId="5B2CE157" w14:textId="77777777" w:rsidR="00C04CAD" w:rsidRDefault="00C04CAD">
            <w:pPr>
              <w:tabs>
                <w:tab w:val="clear" w:pos="567"/>
              </w:tabs>
              <w:kinsoku w:val="0"/>
              <w:overflowPunct w:val="0"/>
              <w:autoSpaceDE w:val="0"/>
              <w:autoSpaceDN w:val="0"/>
              <w:adjustRightInd w:val="0"/>
              <w:spacing w:line="240" w:lineRule="auto"/>
              <w:rPr>
                <w:spacing w:val="-4"/>
              </w:rPr>
            </w:pPr>
          </w:p>
          <w:p w14:paraId="63CDB413"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p>
          <w:p w14:paraId="65822533" w14:textId="77777777" w:rsidR="00C04CAD" w:rsidRDefault="00C04CAD">
            <w:pPr>
              <w:tabs>
                <w:tab w:val="clear" w:pos="567"/>
              </w:tabs>
              <w:kinsoku w:val="0"/>
              <w:overflowPunct w:val="0"/>
              <w:autoSpaceDE w:val="0"/>
              <w:autoSpaceDN w:val="0"/>
              <w:adjustRightInd w:val="0"/>
              <w:spacing w:line="240" w:lineRule="auto"/>
              <w:rPr>
                <w:spacing w:val="-4"/>
              </w:rPr>
            </w:pPr>
          </w:p>
          <w:p w14:paraId="4CDA0FBC" w14:textId="77777777" w:rsidR="00C04CAD" w:rsidRDefault="00C04CAD">
            <w:pPr>
              <w:tabs>
                <w:tab w:val="clear" w:pos="567"/>
              </w:tabs>
              <w:kinsoku w:val="0"/>
              <w:overflowPunct w:val="0"/>
              <w:autoSpaceDE w:val="0"/>
              <w:autoSpaceDN w:val="0"/>
              <w:adjustRightInd w:val="0"/>
              <w:spacing w:line="240" w:lineRule="auto"/>
              <w:rPr>
                <w:spacing w:val="-4"/>
              </w:rPr>
            </w:pPr>
          </w:p>
          <w:p w14:paraId="649A82F3" w14:textId="77777777" w:rsidR="00C04CAD" w:rsidRDefault="00060E34">
            <w:pPr>
              <w:tabs>
                <w:tab w:val="clear" w:pos="567"/>
              </w:tabs>
              <w:kinsoku w:val="0"/>
              <w:overflowPunct w:val="0"/>
              <w:autoSpaceDE w:val="0"/>
              <w:autoSpaceDN w:val="0"/>
              <w:adjustRightInd w:val="0"/>
              <w:spacing w:line="240" w:lineRule="auto"/>
              <w:rPr>
                <w:spacing w:val="-4"/>
              </w:rPr>
            </w:pPr>
            <w:r>
              <w:rPr>
                <w:spacing w:val="-1"/>
              </w:rPr>
              <w:t>R</w:t>
            </w:r>
            <w:r>
              <w:t>are</w:t>
            </w:r>
            <w:r>
              <w:rPr>
                <w:spacing w:val="-4"/>
              </w:rPr>
              <w:t xml:space="preserve"> </w:t>
            </w:r>
          </w:p>
        </w:tc>
        <w:tc>
          <w:tcPr>
            <w:tcW w:w="4740" w:type="dxa"/>
          </w:tcPr>
          <w:p w14:paraId="169E9473" w14:textId="77777777" w:rsidR="00C04CAD" w:rsidRDefault="00060E34">
            <w:pPr>
              <w:tabs>
                <w:tab w:val="clear" w:pos="567"/>
              </w:tabs>
              <w:kinsoku w:val="0"/>
              <w:overflowPunct w:val="0"/>
              <w:autoSpaceDE w:val="0"/>
              <w:autoSpaceDN w:val="0"/>
              <w:adjustRightInd w:val="0"/>
              <w:spacing w:line="240" w:lineRule="auto"/>
            </w:pPr>
            <w:r>
              <w:t>h</w:t>
            </w:r>
            <w:r>
              <w:rPr>
                <w:spacing w:val="1"/>
              </w:rPr>
              <w:t>i</w:t>
            </w:r>
            <w:r>
              <w:t>p</w:t>
            </w:r>
            <w:r>
              <w:rPr>
                <w:spacing w:val="-3"/>
              </w:rPr>
              <w:t>e</w:t>
            </w:r>
            <w:r>
              <w:t>rse</w:t>
            </w:r>
            <w:r>
              <w:rPr>
                <w:spacing w:val="-3"/>
              </w:rPr>
              <w:t>n</w:t>
            </w:r>
            <w:r>
              <w:t>s</w:t>
            </w:r>
            <w:r>
              <w:rPr>
                <w:spacing w:val="1"/>
              </w:rPr>
              <w:t>i</w:t>
            </w:r>
            <w:r>
              <w:rPr>
                <w:spacing w:val="-3"/>
              </w:rPr>
              <w:t>b</w:t>
            </w:r>
            <w:r>
              <w:rPr>
                <w:spacing w:val="-2"/>
              </w:rPr>
              <w:t>i</w:t>
            </w:r>
            <w:r>
              <w:rPr>
                <w:spacing w:val="1"/>
              </w:rPr>
              <w:t>l</w:t>
            </w:r>
            <w:r>
              <w:rPr>
                <w:spacing w:val="-2"/>
              </w:rPr>
              <w:t>i</w:t>
            </w:r>
            <w:r>
              <w:rPr>
                <w:spacing w:val="1"/>
              </w:rPr>
              <w:t>t</w:t>
            </w:r>
            <w:r>
              <w:t>a</w:t>
            </w:r>
            <w:r>
              <w:rPr>
                <w:spacing w:val="-2"/>
              </w:rPr>
              <w:t>t</w:t>
            </w:r>
            <w:r>
              <w:t>e,</w:t>
            </w:r>
          </w:p>
          <w:p w14:paraId="5CB1B008" w14:textId="77777777" w:rsidR="00C04CAD" w:rsidRDefault="00060E34">
            <w:pPr>
              <w:tabs>
                <w:tab w:val="clear" w:pos="567"/>
              </w:tabs>
              <w:kinsoku w:val="0"/>
              <w:overflowPunct w:val="0"/>
              <w:autoSpaceDE w:val="0"/>
              <w:autoSpaceDN w:val="0"/>
              <w:adjustRightInd w:val="0"/>
              <w:spacing w:line="240" w:lineRule="auto"/>
            </w:pPr>
            <w:r>
              <w:t>a</w:t>
            </w:r>
            <w:r>
              <w:rPr>
                <w:spacing w:val="1"/>
              </w:rPr>
              <w:t>l</w:t>
            </w:r>
            <w:r>
              <w:rPr>
                <w:spacing w:val="-3"/>
              </w:rPr>
              <w:t>e</w:t>
            </w:r>
            <w:r>
              <w:t>r</w:t>
            </w:r>
            <w:r>
              <w:rPr>
                <w:spacing w:val="-3"/>
              </w:rPr>
              <w:t>g</w:t>
            </w:r>
            <w:r>
              <w:rPr>
                <w:spacing w:val="1"/>
              </w:rPr>
              <w:t>i</w:t>
            </w:r>
            <w:r>
              <w:t>i</w:t>
            </w:r>
            <w:r>
              <w:rPr>
                <w:spacing w:val="1"/>
              </w:rPr>
              <w:t xml:space="preserv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a</w:t>
            </w:r>
            <w:r>
              <w:rPr>
                <w:spacing w:val="1"/>
              </w:rPr>
              <w:t>l</w:t>
            </w:r>
            <w:r>
              <w:rPr>
                <w:spacing w:val="-3"/>
              </w:rPr>
              <w:t>e</w:t>
            </w:r>
            <w:r>
              <w:t>r</w:t>
            </w:r>
            <w:r>
              <w:rPr>
                <w:spacing w:val="-3"/>
              </w:rPr>
              <w:t>g</w:t>
            </w:r>
            <w:r>
              <w:rPr>
                <w:spacing w:val="1"/>
              </w:rPr>
              <w:t>i</w:t>
            </w:r>
            <w:r>
              <w:t xml:space="preserve">e </w:t>
            </w:r>
            <w:r>
              <w:rPr>
                <w:spacing w:val="-2"/>
              </w:rPr>
              <w:t>s</w:t>
            </w:r>
            <w:r>
              <w:t>e</w:t>
            </w:r>
            <w:r>
              <w:rPr>
                <w:spacing w:val="-3"/>
              </w:rPr>
              <w:t>z</w:t>
            </w:r>
            <w:r>
              <w:t>on</w:t>
            </w:r>
            <w:r>
              <w:rPr>
                <w:spacing w:val="1"/>
              </w:rPr>
              <w:t>i</w:t>
            </w:r>
            <w:r>
              <w:rPr>
                <w:spacing w:val="-3"/>
              </w:rPr>
              <w:t>e</w:t>
            </w:r>
            <w:r>
              <w:t>ră)</w:t>
            </w:r>
          </w:p>
          <w:p w14:paraId="27BAFBD9" w14:textId="77777777" w:rsidR="00C04CAD" w:rsidRDefault="00C04CAD">
            <w:pPr>
              <w:tabs>
                <w:tab w:val="clear" w:pos="567"/>
              </w:tabs>
              <w:kinsoku w:val="0"/>
              <w:overflowPunct w:val="0"/>
              <w:autoSpaceDE w:val="0"/>
              <w:autoSpaceDN w:val="0"/>
              <w:adjustRightInd w:val="0"/>
              <w:spacing w:line="240" w:lineRule="auto"/>
              <w:rPr>
                <w:spacing w:val="-4"/>
              </w:rPr>
            </w:pPr>
          </w:p>
          <w:p w14:paraId="4B5C7E9C" w14:textId="77777777" w:rsidR="00C04CAD" w:rsidRDefault="00060E34">
            <w:pPr>
              <w:tabs>
                <w:tab w:val="clear" w:pos="567"/>
              </w:tabs>
              <w:kinsoku w:val="0"/>
              <w:overflowPunct w:val="0"/>
              <w:autoSpaceDE w:val="0"/>
              <w:autoSpaceDN w:val="0"/>
              <w:adjustRightInd w:val="0"/>
              <w:spacing w:line="240" w:lineRule="auto"/>
            </w:pPr>
            <w:r>
              <w:rPr>
                <w:spacing w:val="1"/>
              </w:rPr>
              <w:t>sarcoidoză</w:t>
            </w:r>
            <w:r>
              <w:rPr>
                <w:spacing w:val="1"/>
                <w:vertAlign w:val="superscript"/>
              </w:rPr>
              <w:t>1)</w:t>
            </w:r>
            <w:r>
              <w:t>,</w:t>
            </w:r>
          </w:p>
          <w:p w14:paraId="36720B27" w14:textId="77777777" w:rsidR="00C04CAD" w:rsidRDefault="00060E34">
            <w:pPr>
              <w:tabs>
                <w:tab w:val="clear" w:pos="567"/>
              </w:tabs>
              <w:kinsoku w:val="0"/>
              <w:overflowPunct w:val="0"/>
              <w:autoSpaceDE w:val="0"/>
              <w:autoSpaceDN w:val="0"/>
              <w:adjustRightInd w:val="0"/>
              <w:spacing w:line="240" w:lineRule="auto"/>
            </w:pPr>
            <w:r>
              <w:rPr>
                <w:spacing w:val="-3"/>
              </w:rPr>
              <w:t>v</w:t>
            </w:r>
            <w:r>
              <w:t>ascu</w:t>
            </w:r>
            <w:r>
              <w:rPr>
                <w:spacing w:val="1"/>
              </w:rPr>
              <w:t>l</w:t>
            </w:r>
            <w:r>
              <w:rPr>
                <w:spacing w:val="-2"/>
              </w:rPr>
              <w:t>i</w:t>
            </w:r>
            <w:r>
              <w:rPr>
                <w:spacing w:val="1"/>
              </w:rPr>
              <w:t>t</w:t>
            </w:r>
            <w:r>
              <w:t>ă</w:t>
            </w:r>
          </w:p>
          <w:p w14:paraId="5022A0E6" w14:textId="77777777" w:rsidR="00C04CAD" w:rsidRDefault="00C04CAD">
            <w:pPr>
              <w:tabs>
                <w:tab w:val="clear" w:pos="567"/>
              </w:tabs>
              <w:kinsoku w:val="0"/>
              <w:overflowPunct w:val="0"/>
              <w:autoSpaceDE w:val="0"/>
              <w:autoSpaceDN w:val="0"/>
              <w:adjustRightInd w:val="0"/>
              <w:spacing w:line="240" w:lineRule="auto"/>
              <w:rPr>
                <w:spacing w:val="-4"/>
              </w:rPr>
            </w:pPr>
          </w:p>
          <w:p w14:paraId="5B836734" w14:textId="77777777" w:rsidR="00C04CAD" w:rsidRDefault="00C04CAD">
            <w:pPr>
              <w:tabs>
                <w:tab w:val="clear" w:pos="567"/>
              </w:tabs>
              <w:kinsoku w:val="0"/>
              <w:overflowPunct w:val="0"/>
              <w:autoSpaceDE w:val="0"/>
              <w:autoSpaceDN w:val="0"/>
              <w:adjustRightInd w:val="0"/>
              <w:spacing w:line="240" w:lineRule="auto"/>
            </w:pPr>
          </w:p>
          <w:p w14:paraId="5B1B12F3" w14:textId="77777777" w:rsidR="00C04CAD" w:rsidRDefault="00060E34">
            <w:pPr>
              <w:tabs>
                <w:tab w:val="clear" w:pos="567"/>
              </w:tabs>
              <w:kinsoku w:val="0"/>
              <w:overflowPunct w:val="0"/>
              <w:autoSpaceDE w:val="0"/>
              <w:autoSpaceDN w:val="0"/>
              <w:adjustRightInd w:val="0"/>
              <w:spacing w:line="240" w:lineRule="auto"/>
            </w:pPr>
            <w:r>
              <w:t>ana</w:t>
            </w:r>
            <w:r>
              <w:rPr>
                <w:spacing w:val="-2"/>
              </w:rPr>
              <w:t>f</w:t>
            </w:r>
            <w:r>
              <w:rPr>
                <w:spacing w:val="1"/>
              </w:rPr>
              <w:t>i</w:t>
            </w:r>
            <w:r>
              <w:rPr>
                <w:spacing w:val="-2"/>
              </w:rPr>
              <w:t>l</w:t>
            </w:r>
            <w:r>
              <w:t>ax</w:t>
            </w:r>
            <w:r>
              <w:rPr>
                <w:spacing w:val="-2"/>
              </w:rPr>
              <w:t>i</w:t>
            </w:r>
            <w:r>
              <w:t>e</w:t>
            </w:r>
            <w:r>
              <w:rPr>
                <w:vertAlign w:val="superscript"/>
              </w:rPr>
              <w:t>1)</w:t>
            </w:r>
          </w:p>
          <w:p w14:paraId="38B2E50C" w14:textId="77777777" w:rsidR="00C04CAD" w:rsidRDefault="00C04CAD">
            <w:pPr>
              <w:tabs>
                <w:tab w:val="clear" w:pos="567"/>
              </w:tabs>
              <w:kinsoku w:val="0"/>
              <w:overflowPunct w:val="0"/>
              <w:autoSpaceDE w:val="0"/>
              <w:autoSpaceDN w:val="0"/>
              <w:adjustRightInd w:val="0"/>
              <w:spacing w:line="240" w:lineRule="auto"/>
              <w:rPr>
                <w:spacing w:val="-4"/>
              </w:rPr>
            </w:pPr>
          </w:p>
        </w:tc>
      </w:tr>
      <w:tr w:rsidR="00C04CAD" w14:paraId="3341B6B5" w14:textId="77777777">
        <w:trPr>
          <w:cantSplit/>
        </w:trPr>
        <w:tc>
          <w:tcPr>
            <w:tcW w:w="2501" w:type="dxa"/>
          </w:tcPr>
          <w:p w14:paraId="0AF11AFA"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T</w:t>
            </w:r>
            <w:r>
              <w:rPr>
                <w:spacing w:val="-3"/>
                <w:szCs w:val="22"/>
              </w:rPr>
              <w:t>u</w:t>
            </w:r>
            <w:r>
              <w:rPr>
                <w:spacing w:val="1"/>
                <w:szCs w:val="22"/>
              </w:rPr>
              <w:t>l</w:t>
            </w:r>
            <w:r>
              <w:rPr>
                <w:szCs w:val="22"/>
              </w:rPr>
              <w:t>bu</w:t>
            </w:r>
            <w:r>
              <w:rPr>
                <w:spacing w:val="-2"/>
                <w:szCs w:val="22"/>
              </w:rPr>
              <w:t>r</w:t>
            </w:r>
            <w:r>
              <w:rPr>
                <w:szCs w:val="22"/>
              </w:rPr>
              <w:t>ă</w:t>
            </w:r>
            <w:r>
              <w:rPr>
                <w:spacing w:val="-2"/>
                <w:szCs w:val="22"/>
              </w:rPr>
              <w:t>r</w:t>
            </w:r>
            <w:r>
              <w:rPr>
                <w:szCs w:val="22"/>
              </w:rPr>
              <w:t>i</w:t>
            </w:r>
            <w:r>
              <w:rPr>
                <w:spacing w:val="1"/>
                <w:szCs w:val="22"/>
              </w:rPr>
              <w:t xml:space="preserve"> </w:t>
            </w:r>
            <w:r>
              <w:rPr>
                <w:spacing w:val="-4"/>
                <w:szCs w:val="22"/>
              </w:rPr>
              <w:t>m</w:t>
            </w:r>
            <w:r>
              <w:rPr>
                <w:szCs w:val="22"/>
              </w:rPr>
              <w:t>e</w:t>
            </w:r>
            <w:r>
              <w:rPr>
                <w:spacing w:val="1"/>
                <w:szCs w:val="22"/>
              </w:rPr>
              <w:t>t</w:t>
            </w:r>
            <w:r>
              <w:rPr>
                <w:szCs w:val="22"/>
              </w:rPr>
              <w:t>ab</w:t>
            </w:r>
            <w:r>
              <w:rPr>
                <w:spacing w:val="-3"/>
                <w:szCs w:val="22"/>
              </w:rPr>
              <w:t>o</w:t>
            </w:r>
            <w:r>
              <w:rPr>
                <w:spacing w:val="1"/>
                <w:szCs w:val="22"/>
              </w:rPr>
              <w:t>li</w:t>
            </w:r>
            <w:r>
              <w:rPr>
                <w:spacing w:val="-3"/>
                <w:szCs w:val="22"/>
              </w:rPr>
              <w:t>c</w:t>
            </w:r>
            <w:r>
              <w:rPr>
                <w:szCs w:val="22"/>
              </w:rPr>
              <w:t xml:space="preserve">e </w:t>
            </w:r>
            <w:r>
              <w:rPr>
                <w:spacing w:val="-2"/>
                <w:szCs w:val="22"/>
              </w:rPr>
              <w:t>ş</w:t>
            </w:r>
            <w:r>
              <w:rPr>
                <w:szCs w:val="22"/>
              </w:rPr>
              <w:t>i</w:t>
            </w:r>
            <w:r>
              <w:rPr>
                <w:spacing w:val="1"/>
                <w:szCs w:val="22"/>
              </w:rPr>
              <w:t xml:space="preserve"> </w:t>
            </w:r>
            <w:r>
              <w:rPr>
                <w:szCs w:val="22"/>
              </w:rPr>
              <w:t>de nu</w:t>
            </w:r>
            <w:r>
              <w:rPr>
                <w:spacing w:val="1"/>
                <w:szCs w:val="22"/>
              </w:rPr>
              <w:t>t</w:t>
            </w:r>
            <w:r>
              <w:rPr>
                <w:spacing w:val="-2"/>
                <w:szCs w:val="22"/>
              </w:rPr>
              <w:t>r</w:t>
            </w:r>
            <w:r>
              <w:rPr>
                <w:spacing w:val="1"/>
                <w:szCs w:val="22"/>
              </w:rPr>
              <w:t>i</w:t>
            </w:r>
            <w:r>
              <w:rPr>
                <w:spacing w:val="-2"/>
                <w:szCs w:val="22"/>
              </w:rPr>
              <w:t>ţ</w:t>
            </w:r>
            <w:r>
              <w:rPr>
                <w:spacing w:val="1"/>
                <w:szCs w:val="22"/>
              </w:rPr>
              <w:t>ie</w:t>
            </w:r>
          </w:p>
        </w:tc>
        <w:tc>
          <w:tcPr>
            <w:tcW w:w="1784" w:type="dxa"/>
          </w:tcPr>
          <w:p w14:paraId="5EA4903B"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F</w:t>
            </w:r>
            <w:r>
              <w:rPr>
                <w:szCs w:val="22"/>
              </w:rPr>
              <w:t>oar</w:t>
            </w:r>
            <w:r>
              <w:rPr>
                <w:spacing w:val="-2"/>
                <w:szCs w:val="22"/>
              </w:rPr>
              <w:t>t</w:t>
            </w:r>
            <w:r>
              <w:rPr>
                <w:szCs w:val="22"/>
              </w:rPr>
              <w:t xml:space="preserve">e </w:t>
            </w:r>
            <w:r>
              <w:rPr>
                <w:spacing w:val="-2"/>
                <w:szCs w:val="22"/>
              </w:rPr>
              <w:t>f</w:t>
            </w:r>
            <w:r>
              <w:rPr>
                <w:szCs w:val="22"/>
              </w:rPr>
              <w:t>rec</w:t>
            </w:r>
            <w:r>
              <w:rPr>
                <w:spacing w:val="-3"/>
                <w:szCs w:val="22"/>
              </w:rPr>
              <w:t>v</w:t>
            </w:r>
            <w:r>
              <w:rPr>
                <w:szCs w:val="22"/>
              </w:rPr>
              <w:t>e</w:t>
            </w:r>
            <w:r>
              <w:rPr>
                <w:spacing w:val="-3"/>
                <w:szCs w:val="22"/>
              </w:rPr>
              <w:t>n</w:t>
            </w:r>
            <w:r>
              <w:rPr>
                <w:spacing w:val="1"/>
                <w:szCs w:val="22"/>
              </w:rPr>
              <w:t>t</w:t>
            </w:r>
            <w:r>
              <w:rPr>
                <w:szCs w:val="22"/>
              </w:rPr>
              <w:t>e</w:t>
            </w:r>
          </w:p>
          <w:p w14:paraId="6A3E161A"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6AE2C826" w14:textId="77777777" w:rsidR="00C04CAD" w:rsidRDefault="00060E34">
            <w:pPr>
              <w:tabs>
                <w:tab w:val="clear" w:pos="567"/>
              </w:tabs>
              <w:kinsoku w:val="0"/>
              <w:overflowPunct w:val="0"/>
              <w:autoSpaceDE w:val="0"/>
              <w:autoSpaceDN w:val="0"/>
              <w:adjustRightInd w:val="0"/>
              <w:spacing w:line="240" w:lineRule="auto"/>
              <w:rPr>
                <w:spacing w:val="-4"/>
                <w:szCs w:val="22"/>
              </w:rPr>
            </w:pPr>
            <w:r>
              <w:rPr>
                <w:spacing w:val="-1"/>
                <w:szCs w:val="22"/>
              </w:rPr>
              <w:t>F</w:t>
            </w:r>
            <w:r>
              <w:rPr>
                <w:szCs w:val="22"/>
              </w:rPr>
              <w:t>rec</w:t>
            </w:r>
            <w:r>
              <w:rPr>
                <w:spacing w:val="-3"/>
                <w:szCs w:val="22"/>
              </w:rPr>
              <w:t>v</w:t>
            </w:r>
            <w:r>
              <w:rPr>
                <w:szCs w:val="22"/>
              </w:rPr>
              <w:t>en</w:t>
            </w:r>
            <w:r>
              <w:rPr>
                <w:spacing w:val="-2"/>
                <w:szCs w:val="22"/>
              </w:rPr>
              <w:t>t</w:t>
            </w:r>
            <w:r>
              <w:rPr>
                <w:szCs w:val="22"/>
              </w:rPr>
              <w:t>e</w:t>
            </w:r>
            <w:r>
              <w:rPr>
                <w:spacing w:val="-4"/>
                <w:szCs w:val="22"/>
              </w:rPr>
              <w:t xml:space="preserve"> </w:t>
            </w:r>
          </w:p>
          <w:p w14:paraId="19253871"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43F30A69"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5DE3434C"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72999CB0"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0A1D033A"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16118225" w14:textId="77777777" w:rsidR="00C04CAD" w:rsidRDefault="00C04CAD">
            <w:pPr>
              <w:tabs>
                <w:tab w:val="clear" w:pos="567"/>
              </w:tabs>
              <w:kinsoku w:val="0"/>
              <w:overflowPunct w:val="0"/>
              <w:autoSpaceDE w:val="0"/>
              <w:autoSpaceDN w:val="0"/>
              <w:adjustRightInd w:val="0"/>
              <w:spacing w:line="240" w:lineRule="auto"/>
              <w:rPr>
                <w:spacing w:val="-4"/>
                <w:szCs w:val="22"/>
              </w:rPr>
            </w:pPr>
          </w:p>
        </w:tc>
        <w:tc>
          <w:tcPr>
            <w:tcW w:w="4740" w:type="dxa"/>
          </w:tcPr>
          <w:p w14:paraId="38BA702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cre</w:t>
            </w:r>
            <w:r>
              <w:rPr>
                <w:spacing w:val="-2"/>
                <w:szCs w:val="22"/>
              </w:rPr>
              <w:t>ş</w:t>
            </w:r>
            <w:r>
              <w:rPr>
                <w:spacing w:val="1"/>
                <w:szCs w:val="22"/>
              </w:rPr>
              <w:t>t</w:t>
            </w:r>
            <w:r>
              <w:rPr>
                <w:spacing w:val="-3"/>
                <w:szCs w:val="22"/>
              </w:rPr>
              <w:t>e</w:t>
            </w:r>
            <w:r>
              <w:rPr>
                <w:szCs w:val="22"/>
              </w:rPr>
              <w:t>rea</w:t>
            </w:r>
            <w:r>
              <w:rPr>
                <w:spacing w:val="-2"/>
                <w:szCs w:val="22"/>
              </w:rPr>
              <w:t xml:space="preserve"> </w:t>
            </w:r>
            <w:r>
              <w:rPr>
                <w:spacing w:val="1"/>
                <w:szCs w:val="22"/>
              </w:rPr>
              <w:t>l</w:t>
            </w:r>
            <w:r>
              <w:rPr>
                <w:spacing w:val="-2"/>
                <w:szCs w:val="22"/>
              </w:rPr>
              <w:t>i</w:t>
            </w:r>
            <w:r>
              <w:rPr>
                <w:szCs w:val="22"/>
              </w:rPr>
              <w:t>p</w:t>
            </w:r>
            <w:r>
              <w:rPr>
                <w:spacing w:val="1"/>
                <w:szCs w:val="22"/>
              </w:rPr>
              <w:t>i</w:t>
            </w:r>
            <w:r>
              <w:rPr>
                <w:spacing w:val="-3"/>
                <w:szCs w:val="22"/>
              </w:rPr>
              <w:t>d</w:t>
            </w:r>
            <w:r>
              <w:rPr>
                <w:szCs w:val="22"/>
              </w:rPr>
              <w:t>e</w:t>
            </w:r>
            <w:r>
              <w:rPr>
                <w:spacing w:val="1"/>
                <w:szCs w:val="22"/>
              </w:rPr>
              <w:t>l</w:t>
            </w:r>
            <w:r>
              <w:rPr>
                <w:spacing w:val="-3"/>
                <w:szCs w:val="22"/>
              </w:rPr>
              <w:t>o</w:t>
            </w:r>
            <w:r>
              <w:rPr>
                <w:szCs w:val="22"/>
              </w:rPr>
              <w:t>r</w:t>
            </w:r>
            <w:r>
              <w:rPr>
                <w:spacing w:val="1"/>
                <w:szCs w:val="22"/>
              </w:rPr>
              <w:t xml:space="preserve"> </w:t>
            </w:r>
            <w:r>
              <w:rPr>
                <w:spacing w:val="-2"/>
                <w:szCs w:val="22"/>
              </w:rPr>
              <w:t>s</w:t>
            </w:r>
            <w:r>
              <w:rPr>
                <w:szCs w:val="22"/>
              </w:rPr>
              <w:t>e</w:t>
            </w:r>
            <w:r>
              <w:rPr>
                <w:spacing w:val="-2"/>
                <w:szCs w:val="22"/>
              </w:rPr>
              <w:t>r</w:t>
            </w:r>
            <w:r>
              <w:rPr>
                <w:spacing w:val="1"/>
                <w:szCs w:val="22"/>
              </w:rPr>
              <w:t>i</w:t>
            </w:r>
            <w:r>
              <w:rPr>
                <w:szCs w:val="22"/>
              </w:rPr>
              <w:t>ce,</w:t>
            </w:r>
          </w:p>
          <w:p w14:paraId="636D502C"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73A9972D"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rPr>
              <w:t>h</w:t>
            </w:r>
            <w:r>
              <w:rPr>
                <w:rFonts w:eastAsia="MS Mincho"/>
                <w:spacing w:val="1"/>
                <w:szCs w:val="22"/>
              </w:rPr>
              <w:t>i</w:t>
            </w:r>
            <w:r>
              <w:rPr>
                <w:rFonts w:eastAsia="MS Mincho"/>
                <w:szCs w:val="22"/>
              </w:rPr>
              <w:t>pokalie</w:t>
            </w:r>
            <w:r>
              <w:rPr>
                <w:rFonts w:eastAsia="MS Mincho"/>
                <w:spacing w:val="-4"/>
                <w:szCs w:val="22"/>
              </w:rPr>
              <w:t>m</w:t>
            </w:r>
            <w:r>
              <w:rPr>
                <w:rFonts w:eastAsia="MS Mincho"/>
                <w:spacing w:val="1"/>
                <w:szCs w:val="22"/>
              </w:rPr>
              <w:t>i</w:t>
            </w:r>
            <w:r>
              <w:rPr>
                <w:rFonts w:eastAsia="MS Mincho"/>
                <w:szCs w:val="22"/>
              </w:rPr>
              <w:t>e</w:t>
            </w:r>
            <w:r>
              <w:rPr>
                <w:szCs w:val="22"/>
              </w:rPr>
              <w:t>,</w:t>
            </w:r>
          </w:p>
          <w:p w14:paraId="4C19887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cre</w:t>
            </w:r>
            <w:r>
              <w:rPr>
                <w:spacing w:val="-2"/>
                <w:szCs w:val="22"/>
              </w:rPr>
              <w:t>ş</w:t>
            </w:r>
            <w:r>
              <w:rPr>
                <w:spacing w:val="1"/>
                <w:szCs w:val="22"/>
              </w:rPr>
              <w:t>t</w:t>
            </w:r>
            <w:r>
              <w:rPr>
                <w:spacing w:val="-3"/>
                <w:szCs w:val="22"/>
              </w:rPr>
              <w:t>e</w:t>
            </w:r>
            <w:r>
              <w:rPr>
                <w:szCs w:val="22"/>
              </w:rPr>
              <w:t>rea</w:t>
            </w:r>
            <w:r>
              <w:rPr>
                <w:spacing w:val="-2"/>
                <w:szCs w:val="22"/>
              </w:rPr>
              <w:t xml:space="preserve"> </w:t>
            </w:r>
            <w:r>
              <w:rPr>
                <w:szCs w:val="22"/>
              </w:rPr>
              <w:t>a</w:t>
            </w:r>
            <w:r>
              <w:rPr>
                <w:spacing w:val="-3"/>
                <w:szCs w:val="22"/>
              </w:rPr>
              <w:t>c</w:t>
            </w:r>
            <w:r>
              <w:rPr>
                <w:spacing w:val="1"/>
                <w:szCs w:val="22"/>
              </w:rPr>
              <w:t>i</w:t>
            </w:r>
            <w:r>
              <w:rPr>
                <w:szCs w:val="22"/>
              </w:rPr>
              <w:t>du</w:t>
            </w:r>
            <w:r>
              <w:rPr>
                <w:spacing w:val="-2"/>
                <w:szCs w:val="22"/>
              </w:rPr>
              <w:t>l</w:t>
            </w:r>
            <w:r>
              <w:rPr>
                <w:szCs w:val="22"/>
              </w:rPr>
              <w:t>ui</w:t>
            </w:r>
            <w:r>
              <w:rPr>
                <w:spacing w:val="1"/>
                <w:szCs w:val="22"/>
              </w:rPr>
              <w:t xml:space="preserve"> </w:t>
            </w:r>
            <w:r>
              <w:rPr>
                <w:spacing w:val="-3"/>
                <w:szCs w:val="22"/>
              </w:rPr>
              <w:t>u</w:t>
            </w:r>
            <w:r>
              <w:rPr>
                <w:szCs w:val="22"/>
              </w:rPr>
              <w:t>r</w:t>
            </w:r>
            <w:r>
              <w:rPr>
                <w:spacing w:val="-2"/>
                <w:szCs w:val="22"/>
              </w:rPr>
              <w:t>i</w:t>
            </w:r>
            <w:r>
              <w:rPr>
                <w:szCs w:val="22"/>
              </w:rPr>
              <w:t>c,</w:t>
            </w:r>
          </w:p>
          <w:p w14:paraId="0A952576"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m</w:t>
            </w:r>
            <w:r>
              <w:rPr>
                <w:szCs w:val="22"/>
              </w:rPr>
              <w:t>od</w:t>
            </w:r>
            <w:r>
              <w:rPr>
                <w:spacing w:val="1"/>
                <w:szCs w:val="22"/>
              </w:rPr>
              <w:t>i</w:t>
            </w:r>
            <w:r>
              <w:rPr>
                <w:szCs w:val="22"/>
              </w:rPr>
              <w:t>f</w:t>
            </w:r>
            <w:r>
              <w:rPr>
                <w:spacing w:val="1"/>
                <w:szCs w:val="22"/>
              </w:rPr>
              <w:t>i</w:t>
            </w:r>
            <w:r>
              <w:rPr>
                <w:szCs w:val="22"/>
              </w:rPr>
              <w:t>c</w:t>
            </w:r>
            <w:r>
              <w:rPr>
                <w:spacing w:val="-3"/>
                <w:szCs w:val="22"/>
              </w:rPr>
              <w:t>ă</w:t>
            </w:r>
            <w:r>
              <w:rPr>
                <w:szCs w:val="22"/>
              </w:rPr>
              <w:t>ri</w:t>
            </w:r>
            <w:r>
              <w:rPr>
                <w:spacing w:val="-2"/>
                <w:szCs w:val="22"/>
              </w:rPr>
              <w:t xml:space="preserve"> </w:t>
            </w:r>
            <w:r>
              <w:rPr>
                <w:szCs w:val="22"/>
              </w:rPr>
              <w:t>a</w:t>
            </w:r>
            <w:r>
              <w:rPr>
                <w:spacing w:val="1"/>
                <w:szCs w:val="22"/>
              </w:rPr>
              <w:t>l</w:t>
            </w:r>
            <w:r>
              <w:rPr>
                <w:szCs w:val="22"/>
              </w:rPr>
              <w:t>e</w:t>
            </w:r>
            <w:r>
              <w:rPr>
                <w:spacing w:val="-2"/>
                <w:szCs w:val="22"/>
              </w:rPr>
              <w:t xml:space="preserve"> </w:t>
            </w:r>
            <w:r>
              <w:rPr>
                <w:szCs w:val="22"/>
              </w:rPr>
              <w:t>con</w:t>
            </w:r>
            <w:r>
              <w:rPr>
                <w:spacing w:val="-3"/>
                <w:szCs w:val="22"/>
              </w:rPr>
              <w:t>c</w:t>
            </w:r>
            <w:r>
              <w:rPr>
                <w:szCs w:val="22"/>
              </w:rPr>
              <w:t>en</w:t>
            </w:r>
            <w:r>
              <w:rPr>
                <w:spacing w:val="-2"/>
                <w:szCs w:val="22"/>
              </w:rPr>
              <w:t>t</w:t>
            </w:r>
            <w:r>
              <w:rPr>
                <w:szCs w:val="22"/>
              </w:rPr>
              <w:t>r</w:t>
            </w:r>
            <w:r>
              <w:rPr>
                <w:spacing w:val="-3"/>
                <w:szCs w:val="22"/>
              </w:rPr>
              <w:t>a</w:t>
            </w:r>
            <w:r>
              <w:rPr>
                <w:spacing w:val="1"/>
                <w:szCs w:val="22"/>
              </w:rPr>
              <w:t>ţ</w:t>
            </w:r>
            <w:r>
              <w:rPr>
                <w:spacing w:val="-2"/>
                <w:szCs w:val="22"/>
              </w:rPr>
              <w:t>i</w:t>
            </w:r>
            <w:r>
              <w:rPr>
                <w:szCs w:val="22"/>
              </w:rPr>
              <w:t>ei</w:t>
            </w:r>
            <w:r>
              <w:rPr>
                <w:spacing w:val="-2"/>
                <w:szCs w:val="22"/>
              </w:rPr>
              <w:t xml:space="preserve"> </w:t>
            </w:r>
            <w:r>
              <w:rPr>
                <w:szCs w:val="22"/>
              </w:rPr>
              <w:t>se</w:t>
            </w:r>
            <w:r>
              <w:rPr>
                <w:spacing w:val="-2"/>
                <w:szCs w:val="22"/>
              </w:rPr>
              <w:t>r</w:t>
            </w:r>
            <w:r>
              <w:rPr>
                <w:spacing w:val="1"/>
                <w:szCs w:val="22"/>
              </w:rPr>
              <w:t>i</w:t>
            </w:r>
            <w:r>
              <w:rPr>
                <w:szCs w:val="22"/>
              </w:rPr>
              <w:t>ce</w:t>
            </w:r>
            <w:r>
              <w:rPr>
                <w:spacing w:val="-2"/>
                <w:szCs w:val="22"/>
              </w:rPr>
              <w:t xml:space="preserve"> </w:t>
            </w:r>
            <w:r>
              <w:rPr>
                <w:szCs w:val="22"/>
              </w:rPr>
              <w:t>a so</w:t>
            </w:r>
            <w:r>
              <w:rPr>
                <w:spacing w:val="-3"/>
                <w:szCs w:val="22"/>
              </w:rPr>
              <w:t>d</w:t>
            </w:r>
            <w:r>
              <w:rPr>
                <w:spacing w:val="1"/>
                <w:szCs w:val="22"/>
              </w:rPr>
              <w:t>i</w:t>
            </w:r>
            <w:r>
              <w:rPr>
                <w:spacing w:val="-3"/>
                <w:szCs w:val="22"/>
              </w:rPr>
              <w:t>u</w:t>
            </w:r>
            <w:r>
              <w:rPr>
                <w:spacing w:val="1"/>
                <w:szCs w:val="22"/>
              </w:rPr>
              <w:t>l</w:t>
            </w:r>
            <w:r>
              <w:rPr>
                <w:szCs w:val="22"/>
              </w:rPr>
              <w:t>u</w:t>
            </w:r>
            <w:r>
              <w:rPr>
                <w:spacing w:val="1"/>
                <w:szCs w:val="22"/>
              </w:rPr>
              <w:t>i</w:t>
            </w:r>
            <w:r>
              <w:rPr>
                <w:szCs w:val="22"/>
              </w:rPr>
              <w:t>, h</w:t>
            </w:r>
            <w:r>
              <w:rPr>
                <w:spacing w:val="1"/>
                <w:szCs w:val="22"/>
              </w:rPr>
              <w:t>i</w:t>
            </w:r>
            <w:r>
              <w:rPr>
                <w:szCs w:val="22"/>
              </w:rPr>
              <w:t>po</w:t>
            </w:r>
            <w:r>
              <w:rPr>
                <w:spacing w:val="-3"/>
                <w:szCs w:val="22"/>
              </w:rPr>
              <w:t>c</w:t>
            </w:r>
            <w:r>
              <w:rPr>
                <w:szCs w:val="22"/>
              </w:rPr>
              <w:t>a</w:t>
            </w:r>
            <w:r>
              <w:rPr>
                <w:spacing w:val="1"/>
                <w:szCs w:val="22"/>
              </w:rPr>
              <w:t>l</w:t>
            </w:r>
            <w:r>
              <w:rPr>
                <w:spacing w:val="-3"/>
                <w:szCs w:val="22"/>
              </w:rPr>
              <w:t>c</w:t>
            </w:r>
            <w:r>
              <w:rPr>
                <w:szCs w:val="22"/>
              </w:rPr>
              <w:t>e</w:t>
            </w:r>
            <w:r>
              <w:rPr>
                <w:spacing w:val="-4"/>
                <w:szCs w:val="22"/>
              </w:rPr>
              <w:t>m</w:t>
            </w:r>
            <w:r>
              <w:rPr>
                <w:spacing w:val="1"/>
                <w:szCs w:val="22"/>
              </w:rPr>
              <w:t>i</w:t>
            </w:r>
            <w:r>
              <w:rPr>
                <w:szCs w:val="22"/>
              </w:rPr>
              <w:t>e,</w:t>
            </w:r>
          </w:p>
          <w:p w14:paraId="16CAC66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h</w:t>
            </w:r>
            <w:r>
              <w:rPr>
                <w:spacing w:val="1"/>
                <w:szCs w:val="22"/>
              </w:rPr>
              <w:t>i</w:t>
            </w:r>
            <w:r>
              <w:rPr>
                <w:szCs w:val="22"/>
              </w:rPr>
              <w:t>p</w:t>
            </w:r>
            <w:r>
              <w:rPr>
                <w:spacing w:val="-3"/>
                <w:szCs w:val="22"/>
              </w:rPr>
              <w:t>e</w:t>
            </w:r>
            <w:r>
              <w:rPr>
                <w:szCs w:val="22"/>
              </w:rPr>
              <w:t>r</w:t>
            </w:r>
            <w:r>
              <w:rPr>
                <w:spacing w:val="-3"/>
                <w:szCs w:val="22"/>
              </w:rPr>
              <w:t>g</w:t>
            </w:r>
            <w:r>
              <w:rPr>
                <w:spacing w:val="1"/>
                <w:szCs w:val="22"/>
              </w:rPr>
              <w:t>li</w:t>
            </w:r>
            <w:r>
              <w:rPr>
                <w:szCs w:val="22"/>
              </w:rPr>
              <w:t>ce</w:t>
            </w:r>
            <w:r>
              <w:rPr>
                <w:spacing w:val="-4"/>
                <w:szCs w:val="22"/>
              </w:rPr>
              <w:t>m</w:t>
            </w:r>
            <w:r>
              <w:rPr>
                <w:spacing w:val="1"/>
                <w:szCs w:val="22"/>
              </w:rPr>
              <w:t>i</w:t>
            </w:r>
            <w:r>
              <w:rPr>
                <w:szCs w:val="22"/>
              </w:rPr>
              <w:t>e,</w:t>
            </w:r>
          </w:p>
          <w:p w14:paraId="7C295F0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h</w:t>
            </w:r>
            <w:r>
              <w:rPr>
                <w:spacing w:val="1"/>
                <w:szCs w:val="22"/>
              </w:rPr>
              <w:t>i</w:t>
            </w:r>
            <w:r>
              <w:rPr>
                <w:szCs w:val="22"/>
              </w:rPr>
              <w:t>po</w:t>
            </w:r>
            <w:r>
              <w:rPr>
                <w:spacing w:val="-2"/>
                <w:szCs w:val="22"/>
              </w:rPr>
              <w:t>f</w:t>
            </w:r>
            <w:r>
              <w:rPr>
                <w:szCs w:val="22"/>
              </w:rPr>
              <w:t>os</w:t>
            </w:r>
            <w:r>
              <w:rPr>
                <w:spacing w:val="-2"/>
                <w:szCs w:val="22"/>
              </w:rPr>
              <w:t>f</w:t>
            </w:r>
            <w:r>
              <w:rPr>
                <w:szCs w:val="22"/>
              </w:rPr>
              <w:t>a</w:t>
            </w:r>
            <w:r>
              <w:rPr>
                <w:spacing w:val="-2"/>
                <w:szCs w:val="22"/>
              </w:rPr>
              <w:t>t</w:t>
            </w:r>
            <w:r>
              <w:rPr>
                <w:szCs w:val="22"/>
              </w:rPr>
              <w:t>e</w:t>
            </w:r>
            <w:r>
              <w:rPr>
                <w:spacing w:val="-4"/>
                <w:szCs w:val="22"/>
              </w:rPr>
              <w:t>m</w:t>
            </w:r>
            <w:r>
              <w:rPr>
                <w:spacing w:val="1"/>
                <w:szCs w:val="22"/>
              </w:rPr>
              <w:t>i</w:t>
            </w:r>
            <w:r>
              <w:rPr>
                <w:szCs w:val="22"/>
              </w:rPr>
              <w:t>e,</w:t>
            </w:r>
          </w:p>
          <w:p w14:paraId="5A2EE5E2" w14:textId="77777777" w:rsidR="00C04CAD" w:rsidRDefault="00060E34">
            <w:pPr>
              <w:tabs>
                <w:tab w:val="clear" w:pos="567"/>
              </w:tabs>
              <w:kinsoku w:val="0"/>
              <w:overflowPunct w:val="0"/>
              <w:autoSpaceDE w:val="0"/>
              <w:autoSpaceDN w:val="0"/>
              <w:adjustRightInd w:val="0"/>
              <w:spacing w:line="240" w:lineRule="auto"/>
              <w:rPr>
                <w:spacing w:val="-4"/>
                <w:szCs w:val="22"/>
              </w:rPr>
            </w:pPr>
            <w:r>
              <w:rPr>
                <w:szCs w:val="22"/>
              </w:rPr>
              <w:t>desh</w:t>
            </w:r>
            <w:r>
              <w:rPr>
                <w:spacing w:val="-2"/>
                <w:szCs w:val="22"/>
              </w:rPr>
              <w:t>i</w:t>
            </w:r>
            <w:r>
              <w:rPr>
                <w:szCs w:val="22"/>
              </w:rPr>
              <w:t>dr</w:t>
            </w:r>
            <w:r>
              <w:rPr>
                <w:spacing w:val="-3"/>
                <w:szCs w:val="22"/>
              </w:rPr>
              <w:t>a</w:t>
            </w:r>
            <w:r>
              <w:rPr>
                <w:spacing w:val="1"/>
                <w:szCs w:val="22"/>
              </w:rPr>
              <w:t>t</w:t>
            </w:r>
            <w:r>
              <w:rPr>
                <w:spacing w:val="-3"/>
                <w:szCs w:val="22"/>
              </w:rPr>
              <w:t>a</w:t>
            </w:r>
            <w:r>
              <w:rPr>
                <w:szCs w:val="22"/>
              </w:rPr>
              <w:t>re</w:t>
            </w:r>
            <w:r>
              <w:rPr>
                <w:spacing w:val="-4"/>
                <w:szCs w:val="22"/>
              </w:rPr>
              <w:t xml:space="preserve"> </w:t>
            </w:r>
          </w:p>
          <w:p w14:paraId="5435E93D" w14:textId="77777777" w:rsidR="00C04CAD" w:rsidRDefault="00C04CAD">
            <w:pPr>
              <w:tabs>
                <w:tab w:val="clear" w:pos="567"/>
              </w:tabs>
              <w:kinsoku w:val="0"/>
              <w:overflowPunct w:val="0"/>
              <w:autoSpaceDE w:val="0"/>
              <w:autoSpaceDN w:val="0"/>
              <w:adjustRightInd w:val="0"/>
              <w:spacing w:line="240" w:lineRule="auto"/>
              <w:rPr>
                <w:spacing w:val="-4"/>
                <w:szCs w:val="22"/>
              </w:rPr>
            </w:pPr>
          </w:p>
        </w:tc>
      </w:tr>
      <w:tr w:rsidR="00C04CAD" w14:paraId="0E283FB2" w14:textId="77777777">
        <w:trPr>
          <w:cantSplit/>
        </w:trPr>
        <w:tc>
          <w:tcPr>
            <w:tcW w:w="2501" w:type="dxa"/>
          </w:tcPr>
          <w:p w14:paraId="7B0B06A8"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t>p</w:t>
            </w:r>
            <w:r>
              <w:rPr>
                <w:spacing w:val="-2"/>
              </w:rPr>
              <w:t>s</w:t>
            </w:r>
            <w:r>
              <w:rPr>
                <w:spacing w:val="1"/>
              </w:rPr>
              <w:t>i</w:t>
            </w:r>
            <w:r>
              <w:rPr>
                <w:spacing w:val="-3"/>
              </w:rPr>
              <w:t>h</w:t>
            </w:r>
            <w:r>
              <w:rPr>
                <w:spacing w:val="1"/>
              </w:rPr>
              <w:t>i</w:t>
            </w:r>
            <w:r>
              <w:t>ce</w:t>
            </w:r>
          </w:p>
        </w:tc>
        <w:tc>
          <w:tcPr>
            <w:tcW w:w="1784" w:type="dxa"/>
          </w:tcPr>
          <w:p w14:paraId="710B511E"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 xml:space="preserve">e </w:t>
            </w:r>
          </w:p>
          <w:p w14:paraId="5A33CFED" w14:textId="77777777" w:rsidR="00C04CAD" w:rsidRDefault="00C04CAD">
            <w:pPr>
              <w:tabs>
                <w:tab w:val="clear" w:pos="567"/>
              </w:tabs>
              <w:kinsoku w:val="0"/>
              <w:overflowPunct w:val="0"/>
              <w:autoSpaceDE w:val="0"/>
              <w:autoSpaceDN w:val="0"/>
              <w:adjustRightInd w:val="0"/>
              <w:spacing w:line="240" w:lineRule="auto"/>
            </w:pPr>
          </w:p>
          <w:p w14:paraId="10BCA3D2"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2FE57845" w14:textId="77777777" w:rsidR="00C04CAD" w:rsidRDefault="00060E34">
            <w:pPr>
              <w:tabs>
                <w:tab w:val="clear" w:pos="567"/>
              </w:tabs>
              <w:kinsoku w:val="0"/>
              <w:overflowPunct w:val="0"/>
              <w:autoSpaceDE w:val="0"/>
              <w:autoSpaceDN w:val="0"/>
              <w:adjustRightInd w:val="0"/>
              <w:spacing w:line="240" w:lineRule="auto"/>
            </w:pPr>
            <w:r>
              <w:t>a</w:t>
            </w:r>
            <w:r>
              <w:rPr>
                <w:spacing w:val="1"/>
              </w:rPr>
              <w:t>l</w:t>
            </w:r>
            <w:r>
              <w:rPr>
                <w:spacing w:val="-2"/>
              </w:rPr>
              <w:t>t</w:t>
            </w:r>
            <w:r>
              <w:t>er</w:t>
            </w:r>
            <w:r>
              <w:rPr>
                <w:spacing w:val="-3"/>
              </w:rPr>
              <w:t>a</w:t>
            </w:r>
            <w:r>
              <w:t>r</w:t>
            </w:r>
            <w:r>
              <w:rPr>
                <w:spacing w:val="-3"/>
              </w:rPr>
              <w:t>e</w:t>
            </w:r>
            <w:r>
              <w:t>a d</w:t>
            </w:r>
            <w:r>
              <w:rPr>
                <w:spacing w:val="-2"/>
              </w:rPr>
              <w:t>i</w:t>
            </w:r>
            <w:r>
              <w:t>spo</w:t>
            </w:r>
            <w:r>
              <w:rPr>
                <w:spacing w:val="-3"/>
              </w:rPr>
              <w:t>z</w:t>
            </w:r>
            <w:r>
              <w:rPr>
                <w:spacing w:val="1"/>
              </w:rPr>
              <w:t>i</w:t>
            </w:r>
            <w:r>
              <w:rPr>
                <w:spacing w:val="-2"/>
              </w:rPr>
              <w:t>ţ</w:t>
            </w:r>
            <w:r>
              <w:rPr>
                <w:spacing w:val="1"/>
              </w:rPr>
              <w:t>i</w:t>
            </w:r>
            <w:r>
              <w:rPr>
                <w:spacing w:val="-3"/>
              </w:rPr>
              <w:t>e</w:t>
            </w:r>
            <w:r>
              <w:t>i</w:t>
            </w:r>
            <w:r>
              <w:rPr>
                <w:spacing w:val="1"/>
              </w:rPr>
              <w:t xml:space="preserve"> </w:t>
            </w:r>
            <w:r>
              <w:rPr>
                <w:spacing w:val="-2"/>
              </w:rPr>
              <w:t>(</w:t>
            </w:r>
            <w:r>
              <w:rPr>
                <w:spacing w:val="1"/>
              </w:rPr>
              <w:t>i</w:t>
            </w:r>
            <w:r>
              <w:t>n</w:t>
            </w:r>
            <w:r>
              <w:rPr>
                <w:spacing w:val="-3"/>
              </w:rPr>
              <w:t>c</w:t>
            </w:r>
            <w:r>
              <w:rPr>
                <w:spacing w:val="1"/>
              </w:rPr>
              <w:t>l</w:t>
            </w:r>
            <w:r>
              <w:t>u</w:t>
            </w:r>
            <w:r>
              <w:rPr>
                <w:spacing w:val="-2"/>
              </w:rPr>
              <w:t>si</w:t>
            </w:r>
            <w:r>
              <w:t>v</w:t>
            </w:r>
            <w:r>
              <w:rPr>
                <w:spacing w:val="-3"/>
              </w:rPr>
              <w:t xml:space="preserve"> </w:t>
            </w:r>
            <w:r>
              <w:t>depre</w:t>
            </w:r>
            <w:r>
              <w:rPr>
                <w:spacing w:val="-2"/>
              </w:rPr>
              <w:t>s</w:t>
            </w:r>
            <w:r>
              <w:rPr>
                <w:spacing w:val="1"/>
              </w:rPr>
              <w:t>i</w:t>
            </w:r>
            <w:r>
              <w:t>e),</w:t>
            </w:r>
          </w:p>
          <w:p w14:paraId="1143C5C3" w14:textId="77777777" w:rsidR="00C04CAD" w:rsidRDefault="00060E34">
            <w:pPr>
              <w:tabs>
                <w:tab w:val="clear" w:pos="567"/>
              </w:tabs>
              <w:kinsoku w:val="0"/>
              <w:overflowPunct w:val="0"/>
              <w:autoSpaceDE w:val="0"/>
              <w:autoSpaceDN w:val="0"/>
              <w:adjustRightInd w:val="0"/>
              <w:spacing w:line="240" w:lineRule="auto"/>
            </w:pPr>
            <w:r>
              <w:t>anx</w:t>
            </w:r>
            <w:r>
              <w:rPr>
                <w:spacing w:val="1"/>
              </w:rPr>
              <w:t>i</w:t>
            </w:r>
            <w:r>
              <w:rPr>
                <w:spacing w:val="-3"/>
              </w:rPr>
              <w:t>e</w:t>
            </w:r>
            <w:r>
              <w:rPr>
                <w:spacing w:val="1"/>
              </w:rPr>
              <w:t>t</w:t>
            </w:r>
            <w:r>
              <w:rPr>
                <w:spacing w:val="-3"/>
              </w:rPr>
              <w:t>a</w:t>
            </w:r>
            <w:r>
              <w:rPr>
                <w:spacing w:val="1"/>
              </w:rPr>
              <w:t>t</w:t>
            </w:r>
            <w:r>
              <w:t>e,</w:t>
            </w:r>
          </w:p>
          <w:p w14:paraId="70068362" w14:textId="77777777" w:rsidR="00C04CAD" w:rsidRDefault="00060E34">
            <w:pPr>
              <w:tabs>
                <w:tab w:val="clear" w:pos="567"/>
              </w:tabs>
              <w:kinsoku w:val="0"/>
              <w:overflowPunct w:val="0"/>
              <w:autoSpaceDE w:val="0"/>
              <w:autoSpaceDN w:val="0"/>
              <w:adjustRightInd w:val="0"/>
              <w:spacing w:line="240" w:lineRule="auto"/>
            </w:pPr>
            <w:r>
              <w:rPr>
                <w:spacing w:val="1"/>
              </w:rPr>
              <w:t>i</w:t>
            </w:r>
            <w:r>
              <w:t>nso</w:t>
            </w:r>
            <w:r>
              <w:rPr>
                <w:spacing w:val="-4"/>
              </w:rPr>
              <w:t>m</w:t>
            </w:r>
            <w:r>
              <w:t>n</w:t>
            </w:r>
            <w:r>
              <w:rPr>
                <w:spacing w:val="1"/>
              </w:rPr>
              <w:t>i</w:t>
            </w:r>
            <w:r>
              <w:t xml:space="preserve">e </w:t>
            </w:r>
          </w:p>
          <w:p w14:paraId="44EB339F" w14:textId="77777777" w:rsidR="00C04CAD" w:rsidRDefault="00C04CAD">
            <w:pPr>
              <w:tabs>
                <w:tab w:val="clear" w:pos="567"/>
              </w:tabs>
              <w:kinsoku w:val="0"/>
              <w:overflowPunct w:val="0"/>
              <w:autoSpaceDE w:val="0"/>
              <w:autoSpaceDN w:val="0"/>
              <w:adjustRightInd w:val="0"/>
              <w:spacing w:line="240" w:lineRule="auto"/>
            </w:pPr>
          </w:p>
        </w:tc>
      </w:tr>
      <w:tr w:rsidR="00C04CAD" w14:paraId="202F7DB2" w14:textId="77777777">
        <w:trPr>
          <w:cantSplit/>
        </w:trPr>
        <w:tc>
          <w:tcPr>
            <w:tcW w:w="2501" w:type="dxa"/>
          </w:tcPr>
          <w:p w14:paraId="3920367A" w14:textId="77777777" w:rsidR="00C04CAD" w:rsidRDefault="00060E34">
            <w:pPr>
              <w:tabs>
                <w:tab w:val="clear" w:pos="567"/>
              </w:tabs>
              <w:kinsoku w:val="0"/>
              <w:overflowPunct w:val="0"/>
              <w:autoSpaceDE w:val="0"/>
              <w:autoSpaceDN w:val="0"/>
              <w:adjustRightInd w:val="0"/>
              <w:spacing w:line="240" w:lineRule="auto"/>
            </w:pPr>
            <w:r>
              <w:rPr>
                <w:spacing w:val="1"/>
              </w:rPr>
              <w:lastRenderedPageBreak/>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a</w:t>
            </w:r>
            <w:r>
              <w:rPr>
                <w:spacing w:val="1"/>
              </w:rPr>
              <w:t>l</w:t>
            </w:r>
            <w:r>
              <w:t xml:space="preserve">e </w:t>
            </w:r>
            <w:r>
              <w:rPr>
                <w:spacing w:val="-2"/>
              </w:rPr>
              <w:t>s</w:t>
            </w:r>
            <w:r>
              <w:rPr>
                <w:spacing w:val="1"/>
              </w:rPr>
              <w:t>i</w:t>
            </w:r>
            <w:r>
              <w:rPr>
                <w:spacing w:val="-2"/>
              </w:rPr>
              <w:t>s</w:t>
            </w:r>
            <w:r>
              <w:rPr>
                <w:spacing w:val="1"/>
              </w:rPr>
              <w:t>t</w:t>
            </w:r>
            <w:r>
              <w:t>e</w:t>
            </w:r>
            <w:r>
              <w:rPr>
                <w:spacing w:val="-4"/>
              </w:rPr>
              <w:t>m</w:t>
            </w:r>
            <w:r>
              <w:t>u</w:t>
            </w:r>
            <w:r>
              <w:rPr>
                <w:spacing w:val="1"/>
              </w:rPr>
              <w:t>l</w:t>
            </w:r>
            <w:r>
              <w:t>ui</w:t>
            </w:r>
          </w:p>
          <w:p w14:paraId="23D6C39C" w14:textId="77777777" w:rsidR="00C04CAD" w:rsidRDefault="00060E34">
            <w:pPr>
              <w:tabs>
                <w:tab w:val="clear" w:pos="567"/>
              </w:tabs>
              <w:kinsoku w:val="0"/>
              <w:overflowPunct w:val="0"/>
              <w:autoSpaceDE w:val="0"/>
              <w:autoSpaceDN w:val="0"/>
              <w:adjustRightInd w:val="0"/>
              <w:spacing w:line="240" w:lineRule="auto"/>
            </w:pPr>
            <w:r>
              <w:t>ner</w:t>
            </w:r>
            <w:r>
              <w:rPr>
                <w:spacing w:val="-3"/>
              </w:rPr>
              <w:t>v</w:t>
            </w:r>
            <w:r>
              <w:t>os*</w:t>
            </w:r>
          </w:p>
        </w:tc>
        <w:tc>
          <w:tcPr>
            <w:tcW w:w="1784" w:type="dxa"/>
          </w:tcPr>
          <w:p w14:paraId="011AF09F"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018DB90A" w14:textId="77777777" w:rsidR="00C04CAD" w:rsidRDefault="00C04CAD">
            <w:pPr>
              <w:tabs>
                <w:tab w:val="clear" w:pos="567"/>
              </w:tabs>
              <w:kinsoku w:val="0"/>
              <w:overflowPunct w:val="0"/>
              <w:autoSpaceDE w:val="0"/>
              <w:autoSpaceDN w:val="0"/>
              <w:adjustRightInd w:val="0"/>
              <w:spacing w:line="240" w:lineRule="auto"/>
            </w:pPr>
          </w:p>
          <w:p w14:paraId="35006DBB"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6C7E6DA4" w14:textId="77777777" w:rsidR="00C04CAD" w:rsidRDefault="00C04CAD">
            <w:pPr>
              <w:tabs>
                <w:tab w:val="clear" w:pos="567"/>
              </w:tabs>
              <w:kinsoku w:val="0"/>
              <w:overflowPunct w:val="0"/>
              <w:autoSpaceDE w:val="0"/>
              <w:autoSpaceDN w:val="0"/>
              <w:adjustRightInd w:val="0"/>
              <w:spacing w:line="240" w:lineRule="auto"/>
            </w:pPr>
          </w:p>
          <w:p w14:paraId="494121CE" w14:textId="77777777" w:rsidR="00C04CAD" w:rsidRDefault="00C04CAD">
            <w:pPr>
              <w:tabs>
                <w:tab w:val="clear" w:pos="567"/>
              </w:tabs>
              <w:kinsoku w:val="0"/>
              <w:overflowPunct w:val="0"/>
              <w:autoSpaceDE w:val="0"/>
              <w:autoSpaceDN w:val="0"/>
              <w:adjustRightInd w:val="0"/>
              <w:spacing w:line="240" w:lineRule="auto"/>
            </w:pPr>
          </w:p>
          <w:p w14:paraId="62BAA963" w14:textId="77777777" w:rsidR="00C04CAD" w:rsidRDefault="00C04CAD">
            <w:pPr>
              <w:tabs>
                <w:tab w:val="clear" w:pos="567"/>
              </w:tabs>
              <w:kinsoku w:val="0"/>
              <w:overflowPunct w:val="0"/>
              <w:autoSpaceDE w:val="0"/>
              <w:autoSpaceDN w:val="0"/>
              <w:adjustRightInd w:val="0"/>
              <w:spacing w:line="240" w:lineRule="auto"/>
            </w:pPr>
          </w:p>
          <w:p w14:paraId="2E0114BB" w14:textId="77777777" w:rsidR="00C04CAD" w:rsidRDefault="00C04CAD">
            <w:pPr>
              <w:tabs>
                <w:tab w:val="clear" w:pos="567"/>
              </w:tabs>
              <w:kinsoku w:val="0"/>
              <w:overflowPunct w:val="0"/>
              <w:autoSpaceDE w:val="0"/>
              <w:autoSpaceDN w:val="0"/>
              <w:adjustRightInd w:val="0"/>
              <w:spacing w:line="240" w:lineRule="auto"/>
            </w:pPr>
          </w:p>
          <w:p w14:paraId="7A8514A2"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p>
          <w:p w14:paraId="5E758EB9" w14:textId="77777777" w:rsidR="00C04CAD" w:rsidRDefault="00C04CAD">
            <w:pPr>
              <w:tabs>
                <w:tab w:val="clear" w:pos="567"/>
              </w:tabs>
              <w:kinsoku w:val="0"/>
              <w:overflowPunct w:val="0"/>
              <w:autoSpaceDE w:val="0"/>
              <w:autoSpaceDN w:val="0"/>
              <w:adjustRightInd w:val="0"/>
              <w:spacing w:line="240" w:lineRule="auto"/>
            </w:pPr>
          </w:p>
          <w:p w14:paraId="5EF1436B" w14:textId="77777777" w:rsidR="00C04CAD" w:rsidRDefault="00C04CAD">
            <w:pPr>
              <w:tabs>
                <w:tab w:val="clear" w:pos="567"/>
              </w:tabs>
              <w:kinsoku w:val="0"/>
              <w:overflowPunct w:val="0"/>
              <w:autoSpaceDE w:val="0"/>
              <w:autoSpaceDN w:val="0"/>
              <w:adjustRightInd w:val="0"/>
              <w:spacing w:line="240" w:lineRule="auto"/>
            </w:pPr>
          </w:p>
          <w:p w14:paraId="68B45582" w14:textId="77777777" w:rsidR="00C04CAD" w:rsidRDefault="00060E34">
            <w:pPr>
              <w:tabs>
                <w:tab w:val="clear" w:pos="567"/>
              </w:tabs>
              <w:kinsoku w:val="0"/>
              <w:overflowPunct w:val="0"/>
              <w:autoSpaceDE w:val="0"/>
              <w:autoSpaceDN w:val="0"/>
              <w:adjustRightInd w:val="0"/>
              <w:spacing w:line="240" w:lineRule="auto"/>
            </w:pPr>
            <w:r>
              <w:t>Rare</w:t>
            </w:r>
          </w:p>
          <w:p w14:paraId="69413CCF" w14:textId="77777777" w:rsidR="00C04CAD" w:rsidRDefault="00C04CAD">
            <w:pPr>
              <w:tabs>
                <w:tab w:val="clear" w:pos="567"/>
              </w:tabs>
              <w:kinsoku w:val="0"/>
              <w:overflowPunct w:val="0"/>
              <w:autoSpaceDE w:val="0"/>
              <w:autoSpaceDN w:val="0"/>
              <w:adjustRightInd w:val="0"/>
              <w:spacing w:line="240" w:lineRule="auto"/>
            </w:pPr>
          </w:p>
          <w:p w14:paraId="06C6B036" w14:textId="77777777" w:rsidR="00C04CAD" w:rsidRDefault="00C04CAD">
            <w:pPr>
              <w:tabs>
                <w:tab w:val="clear" w:pos="567"/>
              </w:tabs>
              <w:kinsoku w:val="0"/>
              <w:overflowPunct w:val="0"/>
              <w:autoSpaceDE w:val="0"/>
              <w:autoSpaceDN w:val="0"/>
              <w:adjustRightInd w:val="0"/>
              <w:spacing w:line="240" w:lineRule="auto"/>
            </w:pPr>
          </w:p>
          <w:p w14:paraId="0F62C762"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5B87C42E" w14:textId="77777777" w:rsidR="00C04CAD" w:rsidRDefault="00060E34">
            <w:pPr>
              <w:tabs>
                <w:tab w:val="clear" w:pos="567"/>
              </w:tabs>
              <w:kinsoku w:val="0"/>
              <w:overflowPunct w:val="0"/>
              <w:autoSpaceDE w:val="0"/>
              <w:autoSpaceDN w:val="0"/>
              <w:adjustRightInd w:val="0"/>
              <w:spacing w:line="240" w:lineRule="auto"/>
            </w:pPr>
            <w:r>
              <w:t>cef</w:t>
            </w:r>
            <w:r>
              <w:rPr>
                <w:spacing w:val="-2"/>
              </w:rPr>
              <w:t>a</w:t>
            </w:r>
            <w:r>
              <w:rPr>
                <w:spacing w:val="1"/>
              </w:rPr>
              <w:t>l</w:t>
            </w:r>
            <w:r>
              <w:rPr>
                <w:spacing w:val="-2"/>
              </w:rPr>
              <w:t>ee</w:t>
            </w:r>
          </w:p>
          <w:p w14:paraId="027E00CA" w14:textId="77777777" w:rsidR="00C04CAD" w:rsidRDefault="00C04CAD">
            <w:pPr>
              <w:tabs>
                <w:tab w:val="clear" w:pos="567"/>
              </w:tabs>
              <w:kinsoku w:val="0"/>
              <w:overflowPunct w:val="0"/>
              <w:autoSpaceDE w:val="0"/>
              <w:autoSpaceDN w:val="0"/>
              <w:adjustRightInd w:val="0"/>
              <w:spacing w:line="240" w:lineRule="auto"/>
            </w:pPr>
          </w:p>
          <w:p w14:paraId="36F10453" w14:textId="77777777" w:rsidR="00C04CAD" w:rsidRDefault="00060E34">
            <w:pPr>
              <w:tabs>
                <w:tab w:val="clear" w:pos="567"/>
              </w:tabs>
              <w:kinsoku w:val="0"/>
              <w:overflowPunct w:val="0"/>
              <w:autoSpaceDE w:val="0"/>
              <w:autoSpaceDN w:val="0"/>
              <w:adjustRightInd w:val="0"/>
              <w:spacing w:line="240" w:lineRule="auto"/>
            </w:pPr>
            <w:r>
              <w:t>par</w:t>
            </w:r>
            <w:r>
              <w:rPr>
                <w:spacing w:val="-3"/>
              </w:rPr>
              <w:t>e</w:t>
            </w:r>
            <w:r>
              <w:t>s</w:t>
            </w:r>
            <w:r>
              <w:rPr>
                <w:spacing w:val="1"/>
              </w:rPr>
              <w:t>t</w:t>
            </w:r>
            <w:r>
              <w:t>e</w:t>
            </w:r>
            <w:r>
              <w:rPr>
                <w:spacing w:val="-3"/>
              </w:rPr>
              <w:t>z</w:t>
            </w:r>
            <w:r>
              <w:rPr>
                <w:spacing w:val="-2"/>
              </w:rPr>
              <w:t>i</w:t>
            </w:r>
            <w:r>
              <w:t xml:space="preserve">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h</w:t>
            </w:r>
            <w:r>
              <w:rPr>
                <w:spacing w:val="1"/>
              </w:rPr>
              <w:t>i</w:t>
            </w:r>
            <w:r>
              <w:t>po</w:t>
            </w:r>
            <w:r>
              <w:rPr>
                <w:spacing w:val="-3"/>
              </w:rPr>
              <w:t>e</w:t>
            </w:r>
            <w:r>
              <w:t>s</w:t>
            </w:r>
            <w:r>
              <w:rPr>
                <w:spacing w:val="-2"/>
              </w:rPr>
              <w:t>t</w:t>
            </w:r>
            <w:r>
              <w:t>e</w:t>
            </w:r>
            <w:r>
              <w:rPr>
                <w:spacing w:val="-3"/>
              </w:rPr>
              <w:t>z</w:t>
            </w:r>
            <w:r>
              <w:rPr>
                <w:spacing w:val="1"/>
              </w:rPr>
              <w:t>i</w:t>
            </w:r>
            <w:r>
              <w:t>e),</w:t>
            </w:r>
          </w:p>
          <w:p w14:paraId="573FADCF" w14:textId="77777777" w:rsidR="00C04CAD" w:rsidRDefault="00060E34">
            <w:pPr>
              <w:tabs>
                <w:tab w:val="clear" w:pos="567"/>
              </w:tabs>
              <w:kinsoku w:val="0"/>
              <w:overflowPunct w:val="0"/>
              <w:autoSpaceDE w:val="0"/>
              <w:autoSpaceDN w:val="0"/>
              <w:adjustRightInd w:val="0"/>
              <w:spacing w:line="240" w:lineRule="auto"/>
            </w:pPr>
            <w:r>
              <w:rPr>
                <w:spacing w:val="-4"/>
              </w:rPr>
              <w:t>m</w:t>
            </w:r>
            <w:r>
              <w:rPr>
                <w:spacing w:val="3"/>
              </w:rPr>
              <w:t>i</w:t>
            </w:r>
            <w:r>
              <w:rPr>
                <w:spacing w:val="-3"/>
              </w:rPr>
              <w:t>g</w:t>
            </w:r>
            <w:r>
              <w:t>renă,</w:t>
            </w:r>
          </w:p>
          <w:p w14:paraId="40FBBDE2" w14:textId="77777777" w:rsidR="00C04CAD" w:rsidRDefault="00060E34">
            <w:pPr>
              <w:tabs>
                <w:tab w:val="clear" w:pos="567"/>
              </w:tabs>
              <w:kinsoku w:val="0"/>
              <w:overflowPunct w:val="0"/>
              <w:autoSpaceDE w:val="0"/>
              <w:autoSpaceDN w:val="0"/>
              <w:adjustRightInd w:val="0"/>
              <w:spacing w:line="240" w:lineRule="auto"/>
            </w:pPr>
            <w:r>
              <w:t>co</w:t>
            </w:r>
            <w:r>
              <w:rPr>
                <w:spacing w:val="-4"/>
              </w:rPr>
              <w:t>m</w:t>
            </w:r>
            <w:r>
              <w:t>pres</w:t>
            </w:r>
            <w:r>
              <w:rPr>
                <w:spacing w:val="1"/>
              </w:rPr>
              <w:t>i</w:t>
            </w:r>
            <w:r>
              <w:t>e</w:t>
            </w:r>
            <w:r>
              <w:rPr>
                <w:spacing w:val="-2"/>
              </w:rPr>
              <w:t xml:space="preserve"> </w:t>
            </w:r>
            <w:r>
              <w:t>ra</w:t>
            </w:r>
            <w:r>
              <w:rPr>
                <w:spacing w:val="-3"/>
              </w:rPr>
              <w:t>d</w:t>
            </w:r>
            <w:r>
              <w:rPr>
                <w:spacing w:val="1"/>
              </w:rPr>
              <w:t>i</w:t>
            </w:r>
            <w:r>
              <w:t>c</w:t>
            </w:r>
            <w:r>
              <w:rPr>
                <w:spacing w:val="-3"/>
              </w:rPr>
              <w:t>u</w:t>
            </w:r>
            <w:r>
              <w:rPr>
                <w:spacing w:val="1"/>
              </w:rPr>
              <w:t>l</w:t>
            </w:r>
            <w:r>
              <w:rPr>
                <w:spacing w:val="-3"/>
              </w:rPr>
              <w:t>a</w:t>
            </w:r>
            <w:r>
              <w:t>ră</w:t>
            </w:r>
          </w:p>
          <w:p w14:paraId="14B05F38" w14:textId="77777777" w:rsidR="00C04CAD" w:rsidRDefault="00C04CAD">
            <w:pPr>
              <w:tabs>
                <w:tab w:val="clear" w:pos="567"/>
              </w:tabs>
              <w:kinsoku w:val="0"/>
              <w:overflowPunct w:val="0"/>
              <w:autoSpaceDE w:val="0"/>
              <w:autoSpaceDN w:val="0"/>
              <w:adjustRightInd w:val="0"/>
              <w:spacing w:line="240" w:lineRule="auto"/>
            </w:pPr>
          </w:p>
          <w:p w14:paraId="4D41B232" w14:textId="77777777" w:rsidR="00C04CAD" w:rsidRDefault="00C04CAD">
            <w:pPr>
              <w:tabs>
                <w:tab w:val="clear" w:pos="567"/>
              </w:tabs>
              <w:kinsoku w:val="0"/>
              <w:overflowPunct w:val="0"/>
              <w:autoSpaceDE w:val="0"/>
              <w:autoSpaceDN w:val="0"/>
              <w:adjustRightInd w:val="0"/>
              <w:spacing w:line="240" w:lineRule="auto"/>
            </w:pPr>
          </w:p>
          <w:p w14:paraId="6C5E139C" w14:textId="77777777" w:rsidR="00C04CAD" w:rsidRDefault="00060E34">
            <w:pPr>
              <w:tabs>
                <w:tab w:val="clear" w:pos="567"/>
              </w:tabs>
              <w:kinsoku w:val="0"/>
              <w:overflowPunct w:val="0"/>
              <w:autoSpaceDE w:val="0"/>
              <w:autoSpaceDN w:val="0"/>
              <w:adjustRightInd w:val="0"/>
              <w:spacing w:line="240" w:lineRule="auto"/>
            </w:pPr>
            <w:r>
              <w:t>acc</w:t>
            </w:r>
            <w:r>
              <w:rPr>
                <w:spacing w:val="-2"/>
              </w:rPr>
              <w:t>i</w:t>
            </w:r>
            <w:r>
              <w:t>de</w:t>
            </w:r>
            <w:r>
              <w:rPr>
                <w:spacing w:val="-3"/>
              </w:rPr>
              <w:t>n</w:t>
            </w:r>
            <w:r>
              <w:t>t</w:t>
            </w:r>
            <w:r>
              <w:rPr>
                <w:spacing w:val="-1"/>
              </w:rPr>
              <w:t xml:space="preserve"> </w:t>
            </w:r>
            <w:r>
              <w:t>cerebrovascular</w:t>
            </w:r>
            <w:r>
              <w:rPr>
                <w:vertAlign w:val="superscript"/>
              </w:rPr>
              <w:t>1)</w:t>
            </w:r>
            <w:r>
              <w:t>,</w:t>
            </w:r>
          </w:p>
          <w:p w14:paraId="702333A4" w14:textId="77777777" w:rsidR="00C04CAD" w:rsidRDefault="00060E34">
            <w:pPr>
              <w:tabs>
                <w:tab w:val="clear" w:pos="567"/>
              </w:tabs>
              <w:kinsoku w:val="0"/>
              <w:overflowPunct w:val="0"/>
              <w:autoSpaceDE w:val="0"/>
              <w:autoSpaceDN w:val="0"/>
              <w:adjustRightInd w:val="0"/>
              <w:spacing w:line="240" w:lineRule="auto"/>
            </w:pPr>
            <w:r>
              <w:rPr>
                <w:spacing w:val="1"/>
              </w:rPr>
              <w:t>t</w:t>
            </w:r>
            <w:r>
              <w:t>re</w:t>
            </w:r>
            <w:r>
              <w:rPr>
                <w:spacing w:val="-4"/>
              </w:rPr>
              <w:t>m</w:t>
            </w:r>
            <w:r>
              <w:t>or,</w:t>
            </w:r>
          </w:p>
          <w:p w14:paraId="1181110B" w14:textId="77777777" w:rsidR="00C04CAD" w:rsidRDefault="00060E34">
            <w:pPr>
              <w:tabs>
                <w:tab w:val="clear" w:pos="567"/>
              </w:tabs>
              <w:kinsoku w:val="0"/>
              <w:overflowPunct w:val="0"/>
              <w:autoSpaceDE w:val="0"/>
              <w:autoSpaceDN w:val="0"/>
              <w:adjustRightInd w:val="0"/>
              <w:spacing w:line="240" w:lineRule="auto"/>
            </w:pPr>
            <w:r>
              <w:t>neuro</w:t>
            </w:r>
            <w:r>
              <w:rPr>
                <w:spacing w:val="-3"/>
              </w:rPr>
              <w:t>p</w:t>
            </w:r>
            <w:r>
              <w:t>a</w:t>
            </w:r>
            <w:r>
              <w:rPr>
                <w:spacing w:val="-2"/>
              </w:rPr>
              <w:t>t</w:t>
            </w:r>
            <w:r>
              <w:rPr>
                <w:spacing w:val="1"/>
              </w:rPr>
              <w:t>i</w:t>
            </w:r>
            <w:r>
              <w:t>e</w:t>
            </w:r>
          </w:p>
          <w:p w14:paraId="1F778D38" w14:textId="77777777" w:rsidR="00C04CAD" w:rsidRDefault="00C04CAD">
            <w:pPr>
              <w:tabs>
                <w:tab w:val="clear" w:pos="567"/>
              </w:tabs>
              <w:kinsoku w:val="0"/>
              <w:overflowPunct w:val="0"/>
              <w:autoSpaceDE w:val="0"/>
              <w:autoSpaceDN w:val="0"/>
              <w:adjustRightInd w:val="0"/>
              <w:spacing w:line="240" w:lineRule="auto"/>
            </w:pPr>
          </w:p>
          <w:p w14:paraId="487155FD" w14:textId="77777777" w:rsidR="00C04CAD" w:rsidRDefault="00060E34">
            <w:pPr>
              <w:tabs>
                <w:tab w:val="clear" w:pos="567"/>
              </w:tabs>
              <w:kinsoku w:val="0"/>
              <w:overflowPunct w:val="0"/>
              <w:autoSpaceDE w:val="0"/>
              <w:autoSpaceDN w:val="0"/>
              <w:adjustRightInd w:val="0"/>
              <w:spacing w:line="240" w:lineRule="auto"/>
            </w:pPr>
            <w:r>
              <w:t>sc</w:t>
            </w:r>
            <w:r>
              <w:rPr>
                <w:spacing w:val="1"/>
              </w:rPr>
              <w:t>l</w:t>
            </w:r>
            <w:r>
              <w:rPr>
                <w:spacing w:val="-3"/>
              </w:rPr>
              <w:t>e</w:t>
            </w:r>
            <w:r>
              <w:t>ro</w:t>
            </w:r>
            <w:r>
              <w:rPr>
                <w:spacing w:val="-3"/>
              </w:rPr>
              <w:t>z</w:t>
            </w:r>
            <w:r>
              <w:t xml:space="preserve">ă </w:t>
            </w:r>
            <w:r>
              <w:rPr>
                <w:spacing w:val="-4"/>
              </w:rPr>
              <w:t>m</w:t>
            </w:r>
            <w:r>
              <w:t>u</w:t>
            </w:r>
            <w:r>
              <w:rPr>
                <w:spacing w:val="1"/>
              </w:rPr>
              <w:t>lti</w:t>
            </w:r>
            <w:r>
              <w:rPr>
                <w:spacing w:val="-3"/>
              </w:rPr>
              <w:t>p</w:t>
            </w:r>
            <w:r>
              <w:rPr>
                <w:spacing w:val="1"/>
              </w:rPr>
              <w:t>lă,</w:t>
            </w:r>
          </w:p>
          <w:p w14:paraId="3EFCB10A"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1"/>
              </w:rPr>
              <w:t>l</w:t>
            </w:r>
            <w:r>
              <w:rPr>
                <w:spacing w:val="-3"/>
              </w:rPr>
              <w:t>b</w:t>
            </w:r>
            <w:r>
              <w:t>ur</w:t>
            </w:r>
            <w:r>
              <w:rPr>
                <w:spacing w:val="-3"/>
              </w:rPr>
              <w:t>ă</w:t>
            </w:r>
            <w:r>
              <w:t>ri</w:t>
            </w:r>
            <w:r>
              <w:rPr>
                <w:spacing w:val="-2"/>
              </w:rPr>
              <w:t xml:space="preserve"> </w:t>
            </w:r>
            <w:r>
              <w:t>de de</w:t>
            </w:r>
            <w:r>
              <w:rPr>
                <w:spacing w:val="-4"/>
              </w:rPr>
              <w:t>m</w:t>
            </w:r>
            <w:r>
              <w:rPr>
                <w:spacing w:val="1"/>
              </w:rPr>
              <w:t>i</w:t>
            </w:r>
            <w:r>
              <w:rPr>
                <w:spacing w:val="-3"/>
              </w:rPr>
              <w:t>e</w:t>
            </w:r>
            <w:r>
              <w:rPr>
                <w:spacing w:val="1"/>
              </w:rPr>
              <w:t>li</w:t>
            </w:r>
            <w:r>
              <w:rPr>
                <w:spacing w:val="-3"/>
              </w:rPr>
              <w:t>n</w:t>
            </w:r>
            <w:r>
              <w:rPr>
                <w:spacing w:val="1"/>
              </w:rPr>
              <w:t>i</w:t>
            </w:r>
            <w:r>
              <w:rPr>
                <w:spacing w:val="-3"/>
              </w:rPr>
              <w:t>z</w:t>
            </w:r>
            <w:r>
              <w:t>are</w:t>
            </w:r>
            <w:r>
              <w:rPr>
                <w:spacing w:val="-2"/>
              </w:rPr>
              <w:t xml:space="preserve"> (</w:t>
            </w:r>
            <w:r>
              <w:t>de exe</w:t>
            </w:r>
            <w:r>
              <w:rPr>
                <w:spacing w:val="-4"/>
              </w:rPr>
              <w:t>m</w:t>
            </w:r>
            <w:r>
              <w:t>p</w:t>
            </w:r>
            <w:r>
              <w:rPr>
                <w:spacing w:val="1"/>
              </w:rPr>
              <w:t>l</w:t>
            </w:r>
            <w:r>
              <w:t>u ne</w:t>
            </w:r>
            <w:r>
              <w:rPr>
                <w:spacing w:val="-3"/>
              </w:rPr>
              <w:t>v</w:t>
            </w:r>
            <w:r>
              <w:rPr>
                <w:spacing w:val="-2"/>
              </w:rPr>
              <w:t>r</w:t>
            </w:r>
            <w:r>
              <w:rPr>
                <w:spacing w:val="1"/>
              </w:rPr>
              <w:t>it</w:t>
            </w:r>
            <w:r>
              <w:t>ă op</w:t>
            </w:r>
            <w:r>
              <w:rPr>
                <w:spacing w:val="1"/>
              </w:rPr>
              <w:t>t</w:t>
            </w:r>
            <w:r>
              <w:rPr>
                <w:spacing w:val="-2"/>
              </w:rPr>
              <w:t>i</w:t>
            </w:r>
            <w:r>
              <w:t>că,</w:t>
            </w:r>
            <w:r>
              <w:rPr>
                <w:spacing w:val="-2"/>
              </w:rPr>
              <w:t xml:space="preserve"> s</w:t>
            </w:r>
            <w:r>
              <w:rPr>
                <w:spacing w:val="1"/>
              </w:rPr>
              <w:t>i</w:t>
            </w:r>
            <w:r>
              <w:t>n</w:t>
            </w:r>
            <w:r>
              <w:rPr>
                <w:spacing w:val="-3"/>
              </w:rPr>
              <w:t>d</w:t>
            </w:r>
            <w:r>
              <w:t>rom</w:t>
            </w:r>
            <w:r>
              <w:rPr>
                <w:spacing w:val="-4"/>
              </w:rPr>
              <w:t xml:space="preserve"> </w:t>
            </w:r>
            <w:r>
              <w:rPr>
                <w:spacing w:val="-2"/>
              </w:rPr>
              <w:t>G</w:t>
            </w:r>
            <w:r>
              <w:t>u</w:t>
            </w:r>
            <w:r>
              <w:rPr>
                <w:spacing w:val="1"/>
              </w:rPr>
              <w:t>il</w:t>
            </w:r>
            <w:r>
              <w:rPr>
                <w:spacing w:val="-2"/>
              </w:rPr>
              <w:t>l</w:t>
            </w:r>
            <w:r>
              <w:t>a</w:t>
            </w:r>
            <w:r>
              <w:rPr>
                <w:spacing w:val="1"/>
              </w:rPr>
              <w:t>i</w:t>
            </w:r>
            <w:r>
              <w:t>n</w:t>
            </w:r>
            <w:r>
              <w:rPr>
                <w:spacing w:val="-5"/>
              </w:rPr>
              <w:t>-</w:t>
            </w:r>
            <w:r>
              <w:rPr>
                <w:spacing w:val="-1"/>
              </w:rPr>
              <w:t>B</w:t>
            </w:r>
            <w:r>
              <w:t>ar</w:t>
            </w:r>
            <w:r>
              <w:rPr>
                <w:spacing w:val="-2"/>
              </w:rPr>
              <w:t>r</w:t>
            </w:r>
            <w:r>
              <w:t>é)</w:t>
            </w:r>
            <w:r>
              <w:rPr>
                <w:vertAlign w:val="superscript"/>
              </w:rPr>
              <w:t>1)</w:t>
            </w:r>
          </w:p>
          <w:p w14:paraId="7F209635" w14:textId="77777777" w:rsidR="00C04CAD" w:rsidRDefault="00C04CAD">
            <w:pPr>
              <w:tabs>
                <w:tab w:val="clear" w:pos="567"/>
              </w:tabs>
              <w:kinsoku w:val="0"/>
              <w:overflowPunct w:val="0"/>
              <w:autoSpaceDE w:val="0"/>
              <w:autoSpaceDN w:val="0"/>
              <w:adjustRightInd w:val="0"/>
              <w:spacing w:line="240" w:lineRule="auto"/>
            </w:pPr>
          </w:p>
        </w:tc>
      </w:tr>
      <w:tr w:rsidR="00C04CAD" w14:paraId="02F59C01" w14:textId="77777777">
        <w:trPr>
          <w:cantSplit/>
        </w:trPr>
        <w:tc>
          <w:tcPr>
            <w:tcW w:w="2501" w:type="dxa"/>
          </w:tcPr>
          <w:p w14:paraId="58F5D4AD"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t>o</w:t>
            </w:r>
            <w:r>
              <w:rPr>
                <w:spacing w:val="-3"/>
              </w:rPr>
              <w:t>c</w:t>
            </w:r>
            <w:r>
              <w:t>u</w:t>
            </w:r>
            <w:r>
              <w:rPr>
                <w:spacing w:val="1"/>
              </w:rPr>
              <w:t>l</w:t>
            </w:r>
            <w:r>
              <w:rPr>
                <w:spacing w:val="-3"/>
              </w:rPr>
              <w:t>a</w:t>
            </w:r>
            <w:r>
              <w:t>re</w:t>
            </w:r>
          </w:p>
        </w:tc>
        <w:tc>
          <w:tcPr>
            <w:tcW w:w="1784" w:type="dxa"/>
          </w:tcPr>
          <w:p w14:paraId="69ECE7D5"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4086C14D" w14:textId="77777777" w:rsidR="00C04CAD" w:rsidRDefault="00C04CAD">
            <w:pPr>
              <w:tabs>
                <w:tab w:val="clear" w:pos="567"/>
              </w:tabs>
              <w:kinsoku w:val="0"/>
              <w:overflowPunct w:val="0"/>
              <w:autoSpaceDE w:val="0"/>
              <w:autoSpaceDN w:val="0"/>
              <w:adjustRightInd w:val="0"/>
              <w:spacing w:line="240" w:lineRule="auto"/>
            </w:pPr>
          </w:p>
          <w:p w14:paraId="0CB28888" w14:textId="77777777" w:rsidR="00C04CAD" w:rsidRDefault="00C04CAD">
            <w:pPr>
              <w:tabs>
                <w:tab w:val="clear" w:pos="567"/>
              </w:tabs>
              <w:kinsoku w:val="0"/>
              <w:overflowPunct w:val="0"/>
              <w:autoSpaceDE w:val="0"/>
              <w:autoSpaceDN w:val="0"/>
              <w:adjustRightInd w:val="0"/>
              <w:spacing w:line="240" w:lineRule="auto"/>
            </w:pPr>
          </w:p>
          <w:p w14:paraId="382C8FEA" w14:textId="77777777" w:rsidR="00C04CAD" w:rsidRDefault="00C04CAD">
            <w:pPr>
              <w:tabs>
                <w:tab w:val="clear" w:pos="567"/>
              </w:tabs>
              <w:kinsoku w:val="0"/>
              <w:overflowPunct w:val="0"/>
              <w:autoSpaceDE w:val="0"/>
              <w:autoSpaceDN w:val="0"/>
              <w:adjustRightInd w:val="0"/>
              <w:spacing w:line="240" w:lineRule="auto"/>
            </w:pPr>
          </w:p>
          <w:p w14:paraId="2099DAED" w14:textId="77777777" w:rsidR="00C04CAD" w:rsidRDefault="00C04CAD">
            <w:pPr>
              <w:tabs>
                <w:tab w:val="clear" w:pos="567"/>
              </w:tabs>
              <w:kinsoku w:val="0"/>
              <w:overflowPunct w:val="0"/>
              <w:autoSpaceDE w:val="0"/>
              <w:autoSpaceDN w:val="0"/>
              <w:adjustRightInd w:val="0"/>
              <w:spacing w:line="240" w:lineRule="auto"/>
            </w:pPr>
          </w:p>
          <w:p w14:paraId="4970848C"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p w14:paraId="7C99CF83"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33BAE0EE"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1"/>
              </w:rPr>
              <w:t>l</w:t>
            </w:r>
            <w:r>
              <w:rPr>
                <w:spacing w:val="-3"/>
              </w:rPr>
              <w:t>b</w:t>
            </w:r>
            <w:r>
              <w:t>ur</w:t>
            </w:r>
            <w:r>
              <w:rPr>
                <w:spacing w:val="-3"/>
              </w:rPr>
              <w:t>ă</w:t>
            </w:r>
            <w:r>
              <w:t>ri</w:t>
            </w:r>
            <w:r>
              <w:rPr>
                <w:spacing w:val="-2"/>
              </w:rPr>
              <w:t xml:space="preserve"> </w:t>
            </w:r>
            <w:r>
              <w:t xml:space="preserve">de </w:t>
            </w:r>
            <w:r>
              <w:rPr>
                <w:spacing w:val="-3"/>
              </w:rPr>
              <w:t>v</w:t>
            </w:r>
            <w:r>
              <w:t>ede</w:t>
            </w:r>
            <w:r>
              <w:rPr>
                <w:spacing w:val="-2"/>
              </w:rPr>
              <w:t>r</w:t>
            </w:r>
            <w:r>
              <w:t>e,</w:t>
            </w:r>
          </w:p>
          <w:p w14:paraId="2353EC8B" w14:textId="77777777" w:rsidR="00C04CAD" w:rsidRDefault="00060E34">
            <w:pPr>
              <w:tabs>
                <w:tab w:val="clear" w:pos="567"/>
              </w:tabs>
              <w:kinsoku w:val="0"/>
              <w:overflowPunct w:val="0"/>
              <w:autoSpaceDE w:val="0"/>
              <w:autoSpaceDN w:val="0"/>
              <w:adjustRightInd w:val="0"/>
              <w:spacing w:line="240" w:lineRule="auto"/>
            </w:pPr>
            <w:r>
              <w:t>co</w:t>
            </w:r>
            <w:r>
              <w:rPr>
                <w:spacing w:val="-3"/>
              </w:rPr>
              <w:t>n</w:t>
            </w:r>
            <w:r>
              <w:rPr>
                <w:spacing w:val="3"/>
              </w:rPr>
              <w:t>j</w:t>
            </w:r>
            <w:r>
              <w:t>u</w:t>
            </w:r>
            <w:r>
              <w:rPr>
                <w:spacing w:val="-3"/>
              </w:rPr>
              <w:t>n</w:t>
            </w:r>
            <w:r>
              <w:t>c</w:t>
            </w:r>
            <w:r>
              <w:rPr>
                <w:spacing w:val="-2"/>
              </w:rPr>
              <w:t>t</w:t>
            </w:r>
            <w:r>
              <w:rPr>
                <w:spacing w:val="1"/>
              </w:rPr>
              <w:t>i</w:t>
            </w:r>
            <w:r>
              <w:rPr>
                <w:spacing w:val="-3"/>
              </w:rPr>
              <w:t>v</w:t>
            </w:r>
            <w:r>
              <w:rPr>
                <w:spacing w:val="1"/>
              </w:rPr>
              <w:t>it</w:t>
            </w:r>
            <w:r>
              <w:t>ă,</w:t>
            </w:r>
          </w:p>
          <w:p w14:paraId="65A6616B" w14:textId="77777777" w:rsidR="00C04CAD" w:rsidRDefault="00060E34">
            <w:pPr>
              <w:tabs>
                <w:tab w:val="clear" w:pos="567"/>
              </w:tabs>
              <w:kinsoku w:val="0"/>
              <w:overflowPunct w:val="0"/>
              <w:autoSpaceDE w:val="0"/>
              <w:autoSpaceDN w:val="0"/>
              <w:adjustRightInd w:val="0"/>
              <w:spacing w:line="240" w:lineRule="auto"/>
            </w:pPr>
            <w:r>
              <w:t>b</w:t>
            </w:r>
            <w:r>
              <w:rPr>
                <w:spacing w:val="1"/>
              </w:rPr>
              <w:t>l</w:t>
            </w:r>
            <w:r>
              <w:t>e</w:t>
            </w:r>
            <w:r>
              <w:rPr>
                <w:spacing w:val="-2"/>
              </w:rPr>
              <w:t>f</w:t>
            </w:r>
            <w:r>
              <w:t>a</w:t>
            </w:r>
            <w:r>
              <w:rPr>
                <w:spacing w:val="-2"/>
              </w:rPr>
              <w:t>r</w:t>
            </w:r>
            <w:r>
              <w:rPr>
                <w:spacing w:val="1"/>
              </w:rPr>
              <w:t>i</w:t>
            </w:r>
            <w:r>
              <w:rPr>
                <w:spacing w:val="-2"/>
              </w:rPr>
              <w:t>t</w:t>
            </w:r>
            <w:r>
              <w:t>ă,</w:t>
            </w:r>
          </w:p>
          <w:p w14:paraId="3AF4264E" w14:textId="77777777" w:rsidR="00C04CAD" w:rsidRDefault="00060E34">
            <w:pPr>
              <w:tabs>
                <w:tab w:val="clear" w:pos="567"/>
              </w:tabs>
              <w:kinsoku w:val="0"/>
              <w:overflowPunct w:val="0"/>
              <w:autoSpaceDE w:val="0"/>
              <w:autoSpaceDN w:val="0"/>
              <w:adjustRightInd w:val="0"/>
              <w:spacing w:line="240" w:lineRule="auto"/>
            </w:pPr>
            <w:r>
              <w:rPr>
                <w:spacing w:val="1"/>
              </w:rPr>
              <w:t>i</w:t>
            </w:r>
            <w:r>
              <w:t>n</w:t>
            </w:r>
            <w:r>
              <w:rPr>
                <w:spacing w:val="-2"/>
              </w:rPr>
              <w:t>f</w:t>
            </w:r>
            <w:r>
              <w:rPr>
                <w:spacing w:val="1"/>
              </w:rPr>
              <w:t>l</w:t>
            </w:r>
            <w:r>
              <w:t>a</w:t>
            </w:r>
            <w:r>
              <w:rPr>
                <w:spacing w:val="-4"/>
              </w:rPr>
              <w:t>m</w:t>
            </w:r>
            <w:r>
              <w:t>a</w:t>
            </w:r>
            <w:r>
              <w:rPr>
                <w:spacing w:val="1"/>
              </w:rPr>
              <w:t>ţ</w:t>
            </w:r>
            <w:r>
              <w:rPr>
                <w:spacing w:val="-2"/>
              </w:rPr>
              <w:t>i</w:t>
            </w:r>
            <w:r>
              <w:t>i</w:t>
            </w:r>
            <w:r>
              <w:rPr>
                <w:spacing w:val="1"/>
              </w:rPr>
              <w:t xml:space="preserve"> </w:t>
            </w:r>
            <w:r>
              <w:rPr>
                <w:spacing w:val="-3"/>
              </w:rPr>
              <w:t>a</w:t>
            </w:r>
            <w:r>
              <w:rPr>
                <w:spacing w:val="1"/>
              </w:rPr>
              <w:t>l</w:t>
            </w:r>
            <w:r>
              <w:t>e o</w:t>
            </w:r>
            <w:r>
              <w:rPr>
                <w:spacing w:val="-3"/>
              </w:rPr>
              <w:t>c</w:t>
            </w:r>
            <w:r>
              <w:t>h</w:t>
            </w:r>
            <w:r>
              <w:rPr>
                <w:spacing w:val="1"/>
              </w:rPr>
              <w:t>i</w:t>
            </w:r>
            <w:r>
              <w:rPr>
                <w:spacing w:val="-3"/>
              </w:rPr>
              <w:t>u</w:t>
            </w:r>
            <w:r>
              <w:rPr>
                <w:spacing w:val="1"/>
              </w:rPr>
              <w:t>l</w:t>
            </w:r>
            <w:r>
              <w:t>ui</w:t>
            </w:r>
          </w:p>
          <w:p w14:paraId="436E4F69" w14:textId="77777777" w:rsidR="00C04CAD" w:rsidRDefault="00C04CAD">
            <w:pPr>
              <w:tabs>
                <w:tab w:val="clear" w:pos="567"/>
              </w:tabs>
              <w:kinsoku w:val="0"/>
              <w:overflowPunct w:val="0"/>
              <w:autoSpaceDE w:val="0"/>
              <w:autoSpaceDN w:val="0"/>
              <w:adjustRightInd w:val="0"/>
              <w:spacing w:line="240" w:lineRule="auto"/>
            </w:pPr>
          </w:p>
          <w:p w14:paraId="79E93726" w14:textId="77777777" w:rsidR="00C04CAD" w:rsidRDefault="00060E34">
            <w:pPr>
              <w:tabs>
                <w:tab w:val="clear" w:pos="567"/>
              </w:tabs>
              <w:kinsoku w:val="0"/>
              <w:overflowPunct w:val="0"/>
              <w:autoSpaceDE w:val="0"/>
              <w:autoSpaceDN w:val="0"/>
              <w:adjustRightInd w:val="0"/>
              <w:spacing w:line="240" w:lineRule="auto"/>
            </w:pPr>
            <w:r>
              <w:t>d</w:t>
            </w:r>
            <w:r>
              <w:rPr>
                <w:spacing w:val="1"/>
              </w:rPr>
              <w:t>i</w:t>
            </w:r>
            <w:r>
              <w:t>p</w:t>
            </w:r>
            <w:r>
              <w:rPr>
                <w:spacing w:val="-2"/>
              </w:rPr>
              <w:t>l</w:t>
            </w:r>
            <w:r>
              <w:t>op</w:t>
            </w:r>
            <w:r>
              <w:rPr>
                <w:spacing w:val="-2"/>
              </w:rPr>
              <w:t>i</w:t>
            </w:r>
            <w:r>
              <w:t xml:space="preserve">e </w:t>
            </w:r>
          </w:p>
        </w:tc>
      </w:tr>
      <w:tr w:rsidR="00C04CAD" w14:paraId="2F1499A8" w14:textId="77777777">
        <w:trPr>
          <w:cantSplit/>
        </w:trPr>
        <w:tc>
          <w:tcPr>
            <w:tcW w:w="2501" w:type="dxa"/>
          </w:tcPr>
          <w:p w14:paraId="236E74C2"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a</w:t>
            </w:r>
            <w:r>
              <w:t>cu</w:t>
            </w:r>
            <w:r>
              <w:rPr>
                <w:spacing w:val="-2"/>
              </w:rPr>
              <w:t>s</w:t>
            </w:r>
            <w:r>
              <w:rPr>
                <w:spacing w:val="1"/>
              </w:rPr>
              <w:t>ti</w:t>
            </w:r>
            <w:r>
              <w:rPr>
                <w:spacing w:val="-3"/>
              </w:rPr>
              <w:t>c</w:t>
            </w:r>
            <w:r>
              <w:t xml:space="preserve">e </w:t>
            </w:r>
            <w:r>
              <w:rPr>
                <w:spacing w:val="-2"/>
              </w:rPr>
              <w:t>ş</w:t>
            </w:r>
            <w:r>
              <w:t xml:space="preserve">i </w:t>
            </w:r>
            <w:r>
              <w:rPr>
                <w:spacing w:val="-3"/>
              </w:rPr>
              <w:t>v</w:t>
            </w:r>
            <w:r>
              <w:t>es</w:t>
            </w:r>
            <w:r>
              <w:rPr>
                <w:spacing w:val="1"/>
              </w:rPr>
              <w:t>ti</w:t>
            </w:r>
            <w:r>
              <w:t>b</w:t>
            </w:r>
            <w:r>
              <w:rPr>
                <w:spacing w:val="-3"/>
              </w:rPr>
              <w:t>u</w:t>
            </w:r>
            <w:r>
              <w:rPr>
                <w:spacing w:val="1"/>
              </w:rPr>
              <w:t>l</w:t>
            </w:r>
            <w:r>
              <w:t>a</w:t>
            </w:r>
            <w:r>
              <w:rPr>
                <w:spacing w:val="-2"/>
              </w:rPr>
              <w:t>r</w:t>
            </w:r>
            <w:r>
              <w:t>e</w:t>
            </w:r>
          </w:p>
        </w:tc>
        <w:tc>
          <w:tcPr>
            <w:tcW w:w="1784" w:type="dxa"/>
          </w:tcPr>
          <w:p w14:paraId="5F81F844"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181E259E" w14:textId="77777777" w:rsidR="00C04CAD" w:rsidRDefault="00C04CAD">
            <w:pPr>
              <w:tabs>
                <w:tab w:val="clear" w:pos="567"/>
              </w:tabs>
              <w:kinsoku w:val="0"/>
              <w:overflowPunct w:val="0"/>
              <w:autoSpaceDE w:val="0"/>
              <w:autoSpaceDN w:val="0"/>
              <w:adjustRightInd w:val="0"/>
              <w:spacing w:line="240" w:lineRule="auto"/>
            </w:pPr>
          </w:p>
          <w:p w14:paraId="5795DADD"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p w14:paraId="2AFA4088"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5D8A58A0" w14:textId="77777777" w:rsidR="00C04CAD" w:rsidRDefault="00060E34">
            <w:pPr>
              <w:tabs>
                <w:tab w:val="clear" w:pos="567"/>
              </w:tabs>
              <w:kinsoku w:val="0"/>
              <w:overflowPunct w:val="0"/>
              <w:autoSpaceDE w:val="0"/>
              <w:autoSpaceDN w:val="0"/>
              <w:adjustRightInd w:val="0"/>
              <w:spacing w:line="240" w:lineRule="auto"/>
            </w:pPr>
            <w:r>
              <w:rPr>
                <w:spacing w:val="-3"/>
              </w:rPr>
              <w:t>v</w:t>
            </w:r>
            <w:r>
              <w:t>er</w:t>
            </w:r>
            <w:r>
              <w:rPr>
                <w:spacing w:val="1"/>
              </w:rPr>
              <w:t>t</w:t>
            </w:r>
            <w:r>
              <w:rPr>
                <w:spacing w:val="-2"/>
              </w:rPr>
              <w:t>i</w:t>
            </w:r>
            <w:r>
              <w:t>j</w:t>
            </w:r>
          </w:p>
          <w:p w14:paraId="1F76ED4F" w14:textId="77777777" w:rsidR="00C04CAD" w:rsidRDefault="00C04CAD">
            <w:pPr>
              <w:tabs>
                <w:tab w:val="clear" w:pos="567"/>
              </w:tabs>
              <w:kinsoku w:val="0"/>
              <w:overflowPunct w:val="0"/>
              <w:autoSpaceDE w:val="0"/>
              <w:autoSpaceDN w:val="0"/>
              <w:adjustRightInd w:val="0"/>
              <w:spacing w:line="240" w:lineRule="auto"/>
            </w:pPr>
          </w:p>
          <w:p w14:paraId="307ABADB" w14:textId="77777777" w:rsidR="00C04CAD" w:rsidRDefault="00060E34">
            <w:pPr>
              <w:tabs>
                <w:tab w:val="clear" w:pos="567"/>
              </w:tabs>
              <w:kinsoku w:val="0"/>
              <w:overflowPunct w:val="0"/>
              <w:autoSpaceDE w:val="0"/>
              <w:autoSpaceDN w:val="0"/>
              <w:adjustRightInd w:val="0"/>
              <w:spacing w:line="240" w:lineRule="auto"/>
            </w:pPr>
            <w:r>
              <w:t>sur</w:t>
            </w:r>
            <w:r>
              <w:rPr>
                <w:spacing w:val="-3"/>
              </w:rPr>
              <w:t>d</w:t>
            </w:r>
            <w:r>
              <w:rPr>
                <w:spacing w:val="1"/>
              </w:rPr>
              <w:t>it</w:t>
            </w:r>
            <w:r>
              <w:rPr>
                <w:spacing w:val="-3"/>
              </w:rPr>
              <w:t>a</w:t>
            </w:r>
            <w:r>
              <w:rPr>
                <w:spacing w:val="1"/>
              </w:rPr>
              <w:t>t</w:t>
            </w:r>
            <w:r>
              <w:t>e,</w:t>
            </w:r>
          </w:p>
          <w:p w14:paraId="6F5F1E26" w14:textId="77777777" w:rsidR="00C04CAD" w:rsidRDefault="00060E34">
            <w:pPr>
              <w:tabs>
                <w:tab w:val="clear" w:pos="567"/>
              </w:tabs>
              <w:kinsoku w:val="0"/>
              <w:overflowPunct w:val="0"/>
              <w:autoSpaceDE w:val="0"/>
              <w:autoSpaceDN w:val="0"/>
              <w:adjustRightInd w:val="0"/>
              <w:spacing w:line="240" w:lineRule="auto"/>
            </w:pPr>
            <w:r>
              <w:rPr>
                <w:spacing w:val="1"/>
              </w:rPr>
              <w:t>ti</w:t>
            </w:r>
            <w:r>
              <w:rPr>
                <w:spacing w:val="-3"/>
              </w:rPr>
              <w:t>n</w:t>
            </w:r>
            <w:r>
              <w:rPr>
                <w:spacing w:val="1"/>
              </w:rPr>
              <w:t>it</w:t>
            </w:r>
            <w:r>
              <w:rPr>
                <w:spacing w:val="-3"/>
              </w:rPr>
              <w:t>u</w:t>
            </w:r>
            <w:r>
              <w:t xml:space="preserve">s </w:t>
            </w:r>
          </w:p>
        </w:tc>
      </w:tr>
      <w:tr w:rsidR="00C04CAD" w14:paraId="4049C327" w14:textId="77777777">
        <w:trPr>
          <w:cantSplit/>
        </w:trPr>
        <w:tc>
          <w:tcPr>
            <w:tcW w:w="2501" w:type="dxa"/>
          </w:tcPr>
          <w:p w14:paraId="445793A1" w14:textId="77777777" w:rsidR="00C04CAD" w:rsidRDefault="00060E34">
            <w:pPr>
              <w:keepNext/>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c</w:t>
            </w:r>
            <w:r>
              <w:t>ar</w:t>
            </w:r>
            <w:r>
              <w:rPr>
                <w:spacing w:val="-3"/>
              </w:rPr>
              <w:t>d</w:t>
            </w:r>
            <w:r>
              <w:rPr>
                <w:spacing w:val="1"/>
              </w:rPr>
              <w:t>i</w:t>
            </w:r>
            <w:r>
              <w:t>a</w:t>
            </w:r>
            <w:r>
              <w:rPr>
                <w:spacing w:val="-3"/>
              </w:rPr>
              <w:t>c</w:t>
            </w:r>
            <w:r>
              <w:t>e*</w:t>
            </w:r>
          </w:p>
        </w:tc>
        <w:tc>
          <w:tcPr>
            <w:tcW w:w="1784" w:type="dxa"/>
          </w:tcPr>
          <w:p w14:paraId="6EC759E8" w14:textId="77777777" w:rsidR="00C04CAD" w:rsidRDefault="00060E34">
            <w:pPr>
              <w:keepNext/>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70D111FD" w14:textId="77777777" w:rsidR="00C04CAD" w:rsidRDefault="00C04CAD">
            <w:pPr>
              <w:keepNext/>
              <w:tabs>
                <w:tab w:val="clear" w:pos="567"/>
              </w:tabs>
              <w:kinsoku w:val="0"/>
              <w:overflowPunct w:val="0"/>
              <w:autoSpaceDE w:val="0"/>
              <w:autoSpaceDN w:val="0"/>
              <w:adjustRightInd w:val="0"/>
              <w:spacing w:line="240" w:lineRule="auto"/>
            </w:pPr>
          </w:p>
          <w:p w14:paraId="1FAC08BB" w14:textId="77777777" w:rsidR="00C04CAD" w:rsidRDefault="00060E34">
            <w:pPr>
              <w:keepNext/>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p>
          <w:p w14:paraId="25D79E1D" w14:textId="77777777" w:rsidR="00C04CAD" w:rsidRDefault="00C04CAD">
            <w:pPr>
              <w:keepNext/>
              <w:tabs>
                <w:tab w:val="clear" w:pos="567"/>
              </w:tabs>
              <w:kinsoku w:val="0"/>
              <w:overflowPunct w:val="0"/>
              <w:autoSpaceDE w:val="0"/>
              <w:autoSpaceDN w:val="0"/>
              <w:adjustRightInd w:val="0"/>
              <w:spacing w:line="240" w:lineRule="auto"/>
            </w:pPr>
          </w:p>
          <w:p w14:paraId="5BD99081" w14:textId="77777777" w:rsidR="00C04CAD" w:rsidRDefault="00C04CAD">
            <w:pPr>
              <w:keepNext/>
              <w:tabs>
                <w:tab w:val="clear" w:pos="567"/>
              </w:tabs>
              <w:kinsoku w:val="0"/>
              <w:overflowPunct w:val="0"/>
              <w:autoSpaceDE w:val="0"/>
              <w:autoSpaceDN w:val="0"/>
              <w:adjustRightInd w:val="0"/>
              <w:spacing w:line="240" w:lineRule="auto"/>
            </w:pPr>
          </w:p>
          <w:p w14:paraId="44899A20" w14:textId="77777777" w:rsidR="00C04CAD" w:rsidRDefault="00060E34">
            <w:pPr>
              <w:keepNext/>
              <w:tabs>
                <w:tab w:val="clear" w:pos="567"/>
              </w:tabs>
              <w:kinsoku w:val="0"/>
              <w:overflowPunct w:val="0"/>
              <w:autoSpaceDE w:val="0"/>
              <w:autoSpaceDN w:val="0"/>
              <w:adjustRightInd w:val="0"/>
              <w:spacing w:line="240" w:lineRule="auto"/>
            </w:pPr>
            <w:r>
              <w:t>Rare</w:t>
            </w:r>
          </w:p>
          <w:p w14:paraId="6DEAA1BA" w14:textId="77777777" w:rsidR="00C04CAD" w:rsidRDefault="00C04CAD">
            <w:pPr>
              <w:keepNext/>
              <w:tabs>
                <w:tab w:val="clear" w:pos="567"/>
              </w:tabs>
              <w:kinsoku w:val="0"/>
              <w:overflowPunct w:val="0"/>
              <w:autoSpaceDE w:val="0"/>
              <w:autoSpaceDN w:val="0"/>
              <w:adjustRightInd w:val="0"/>
              <w:spacing w:line="240" w:lineRule="auto"/>
            </w:pPr>
          </w:p>
        </w:tc>
        <w:tc>
          <w:tcPr>
            <w:tcW w:w="4740" w:type="dxa"/>
          </w:tcPr>
          <w:p w14:paraId="5D4B502F" w14:textId="77777777" w:rsidR="00C04CAD" w:rsidRDefault="00060E34">
            <w:pPr>
              <w:keepNext/>
              <w:tabs>
                <w:tab w:val="clear" w:pos="567"/>
              </w:tabs>
              <w:kinsoku w:val="0"/>
              <w:overflowPunct w:val="0"/>
              <w:autoSpaceDE w:val="0"/>
              <w:autoSpaceDN w:val="0"/>
              <w:adjustRightInd w:val="0"/>
              <w:spacing w:line="240" w:lineRule="auto"/>
            </w:pPr>
            <w:r>
              <w:rPr>
                <w:spacing w:val="1"/>
              </w:rPr>
              <w:t>t</w:t>
            </w:r>
            <w:r>
              <w:t>a</w:t>
            </w:r>
            <w:r>
              <w:rPr>
                <w:spacing w:val="-3"/>
              </w:rPr>
              <w:t>h</w:t>
            </w:r>
            <w:r>
              <w:rPr>
                <w:spacing w:val="1"/>
              </w:rPr>
              <w:t>i</w:t>
            </w:r>
            <w:r>
              <w:t>c</w:t>
            </w:r>
            <w:r>
              <w:rPr>
                <w:spacing w:val="-3"/>
              </w:rPr>
              <w:t>a</w:t>
            </w:r>
            <w:r>
              <w:t>rd</w:t>
            </w:r>
            <w:r>
              <w:rPr>
                <w:spacing w:val="-2"/>
              </w:rPr>
              <w:t>i</w:t>
            </w:r>
            <w:r>
              <w:t>e</w:t>
            </w:r>
          </w:p>
          <w:p w14:paraId="2D4FFF68" w14:textId="77777777" w:rsidR="00C04CAD" w:rsidRDefault="00C04CAD">
            <w:pPr>
              <w:keepNext/>
              <w:tabs>
                <w:tab w:val="clear" w:pos="567"/>
              </w:tabs>
              <w:kinsoku w:val="0"/>
              <w:overflowPunct w:val="0"/>
              <w:autoSpaceDE w:val="0"/>
              <w:autoSpaceDN w:val="0"/>
              <w:adjustRightInd w:val="0"/>
              <w:spacing w:line="240" w:lineRule="auto"/>
            </w:pPr>
          </w:p>
          <w:p w14:paraId="7105F492" w14:textId="77777777" w:rsidR="00C04CAD" w:rsidRDefault="00060E34">
            <w:pPr>
              <w:keepNext/>
              <w:tabs>
                <w:tab w:val="clear" w:pos="567"/>
              </w:tabs>
              <w:kinsoku w:val="0"/>
              <w:overflowPunct w:val="0"/>
              <w:autoSpaceDE w:val="0"/>
              <w:autoSpaceDN w:val="0"/>
              <w:adjustRightInd w:val="0"/>
              <w:spacing w:line="240" w:lineRule="auto"/>
            </w:pPr>
            <w:r>
              <w:rPr>
                <w:spacing w:val="1"/>
              </w:rPr>
              <w:t>i</w:t>
            </w:r>
            <w:r>
              <w:t>nf</w:t>
            </w:r>
            <w:r>
              <w:rPr>
                <w:spacing w:val="-3"/>
              </w:rPr>
              <w:t>a</w:t>
            </w:r>
            <w:r>
              <w:t>r</w:t>
            </w:r>
            <w:r>
              <w:rPr>
                <w:spacing w:val="-3"/>
              </w:rPr>
              <w:t>c</w:t>
            </w:r>
            <w:r>
              <w:t>t</w:t>
            </w:r>
            <w:r>
              <w:rPr>
                <w:spacing w:val="-1"/>
              </w:rPr>
              <w:t xml:space="preserve"> </w:t>
            </w:r>
            <w:r>
              <w:rPr>
                <w:spacing w:val="-4"/>
              </w:rPr>
              <w:t>m</w:t>
            </w:r>
            <w:r>
              <w:rPr>
                <w:spacing w:val="1"/>
              </w:rPr>
              <w:t>i</w:t>
            </w:r>
            <w:r>
              <w:t>oca</w:t>
            </w:r>
            <w:r>
              <w:rPr>
                <w:spacing w:val="-2"/>
              </w:rPr>
              <w:t>r</w:t>
            </w:r>
            <w:r>
              <w:t>d</w:t>
            </w:r>
            <w:r>
              <w:rPr>
                <w:spacing w:val="1"/>
              </w:rPr>
              <w:t>i</w:t>
            </w:r>
            <w:r>
              <w:t>c</w:t>
            </w:r>
            <w:r>
              <w:rPr>
                <w:spacing w:val="-3"/>
                <w:vertAlign w:val="superscript"/>
              </w:rPr>
              <w:t>1)</w:t>
            </w:r>
            <w:r>
              <w:t>,</w:t>
            </w:r>
          </w:p>
          <w:p w14:paraId="0C84834C" w14:textId="77777777" w:rsidR="00C04CAD" w:rsidRDefault="00060E34">
            <w:pPr>
              <w:keepNext/>
              <w:tabs>
                <w:tab w:val="clear" w:pos="567"/>
              </w:tabs>
              <w:kinsoku w:val="0"/>
              <w:overflowPunct w:val="0"/>
              <w:autoSpaceDE w:val="0"/>
              <w:autoSpaceDN w:val="0"/>
              <w:adjustRightInd w:val="0"/>
              <w:spacing w:line="240" w:lineRule="auto"/>
            </w:pPr>
            <w:r>
              <w:t>ar</w:t>
            </w:r>
            <w:r>
              <w:rPr>
                <w:spacing w:val="-2"/>
              </w:rPr>
              <w:t>i</w:t>
            </w:r>
            <w:r>
              <w:rPr>
                <w:spacing w:val="1"/>
              </w:rPr>
              <w:t>t</w:t>
            </w:r>
            <w:r>
              <w:rPr>
                <w:spacing w:val="-4"/>
              </w:rPr>
              <w:t>m</w:t>
            </w:r>
            <w:r>
              <w:rPr>
                <w:spacing w:val="1"/>
              </w:rPr>
              <w:t>i</w:t>
            </w:r>
            <w:r>
              <w:t>e,</w:t>
            </w:r>
          </w:p>
          <w:p w14:paraId="52ADB0A2" w14:textId="77777777" w:rsidR="00C04CAD" w:rsidRDefault="00060E34">
            <w:pPr>
              <w:keepNext/>
              <w:tabs>
                <w:tab w:val="clear" w:pos="567"/>
              </w:tabs>
              <w:kinsoku w:val="0"/>
              <w:overflowPunct w:val="0"/>
              <w:autoSpaceDE w:val="0"/>
              <w:autoSpaceDN w:val="0"/>
              <w:adjustRightInd w:val="0"/>
              <w:spacing w:line="240" w:lineRule="auto"/>
            </w:pPr>
            <w:r>
              <w:rPr>
                <w:spacing w:val="1"/>
              </w:rPr>
              <w:t>i</w:t>
            </w:r>
            <w:r>
              <w:t>ns</w:t>
            </w:r>
            <w:r>
              <w:rPr>
                <w:spacing w:val="-3"/>
              </w:rPr>
              <w:t>u</w:t>
            </w:r>
            <w:r>
              <w:t>f</w:t>
            </w:r>
            <w:r>
              <w:rPr>
                <w:spacing w:val="1"/>
              </w:rPr>
              <w:t>i</w:t>
            </w:r>
            <w:r>
              <w:rPr>
                <w:spacing w:val="-3"/>
              </w:rPr>
              <w:t>c</w:t>
            </w:r>
            <w:r>
              <w:rPr>
                <w:spacing w:val="1"/>
              </w:rPr>
              <w:t>i</w:t>
            </w:r>
            <w:r>
              <w:t>e</w:t>
            </w:r>
            <w:r>
              <w:rPr>
                <w:spacing w:val="-3"/>
              </w:rPr>
              <w:t>n</w:t>
            </w:r>
            <w:r>
              <w:rPr>
                <w:spacing w:val="1"/>
              </w:rPr>
              <w:t>ţ</w:t>
            </w:r>
            <w:r>
              <w:t>ă</w:t>
            </w:r>
            <w:r>
              <w:rPr>
                <w:spacing w:val="-2"/>
              </w:rPr>
              <w:t xml:space="preserve"> </w:t>
            </w:r>
            <w:r>
              <w:t>c</w:t>
            </w:r>
            <w:r>
              <w:rPr>
                <w:spacing w:val="-3"/>
              </w:rPr>
              <w:t>a</w:t>
            </w:r>
            <w:r>
              <w:t>rd</w:t>
            </w:r>
            <w:r>
              <w:rPr>
                <w:spacing w:val="-2"/>
              </w:rPr>
              <w:t>i</w:t>
            </w:r>
            <w:r>
              <w:t>acă</w:t>
            </w:r>
            <w:r>
              <w:rPr>
                <w:spacing w:val="-2"/>
              </w:rPr>
              <w:t xml:space="preserve"> </w:t>
            </w:r>
            <w:r>
              <w:t>con</w:t>
            </w:r>
            <w:r>
              <w:rPr>
                <w:spacing w:val="-3"/>
              </w:rPr>
              <w:t>g</w:t>
            </w:r>
            <w:r>
              <w:t>es</w:t>
            </w:r>
            <w:r>
              <w:rPr>
                <w:spacing w:val="1"/>
              </w:rPr>
              <w:t>ti</w:t>
            </w:r>
            <w:r>
              <w:rPr>
                <w:spacing w:val="-3"/>
              </w:rPr>
              <w:t>v</w:t>
            </w:r>
            <w:r>
              <w:t>ă</w:t>
            </w:r>
          </w:p>
          <w:p w14:paraId="6C5E0F44" w14:textId="77777777" w:rsidR="00C04CAD" w:rsidRDefault="00C04CAD">
            <w:pPr>
              <w:keepNext/>
              <w:tabs>
                <w:tab w:val="clear" w:pos="567"/>
              </w:tabs>
              <w:kinsoku w:val="0"/>
              <w:overflowPunct w:val="0"/>
              <w:autoSpaceDE w:val="0"/>
              <w:autoSpaceDN w:val="0"/>
              <w:adjustRightInd w:val="0"/>
              <w:spacing w:line="240" w:lineRule="auto"/>
            </w:pPr>
          </w:p>
          <w:p w14:paraId="6F7C8A6D" w14:textId="77777777" w:rsidR="00C04CAD" w:rsidRDefault="00060E34">
            <w:pPr>
              <w:keepNext/>
              <w:tabs>
                <w:tab w:val="clear" w:pos="567"/>
              </w:tabs>
              <w:kinsoku w:val="0"/>
              <w:overflowPunct w:val="0"/>
              <w:autoSpaceDE w:val="0"/>
              <w:autoSpaceDN w:val="0"/>
              <w:adjustRightInd w:val="0"/>
              <w:spacing w:line="240" w:lineRule="auto"/>
            </w:pPr>
            <w:r>
              <w:t>s</w:t>
            </w:r>
            <w:r>
              <w:rPr>
                <w:spacing w:val="1"/>
              </w:rPr>
              <w:t>t</w:t>
            </w:r>
            <w:r>
              <w:t>op</w:t>
            </w:r>
            <w:r>
              <w:rPr>
                <w:spacing w:val="-3"/>
              </w:rPr>
              <w:t xml:space="preserve"> </w:t>
            </w:r>
            <w:r>
              <w:t>ca</w:t>
            </w:r>
            <w:r>
              <w:rPr>
                <w:spacing w:val="-2"/>
              </w:rPr>
              <w:t>r</w:t>
            </w:r>
            <w:r>
              <w:t>d</w:t>
            </w:r>
            <w:r>
              <w:rPr>
                <w:spacing w:val="1"/>
              </w:rPr>
              <w:t>i</w:t>
            </w:r>
            <w:r>
              <w:rPr>
                <w:spacing w:val="-3"/>
              </w:rPr>
              <w:t>a</w:t>
            </w:r>
            <w:r>
              <w:t xml:space="preserve">c </w:t>
            </w:r>
          </w:p>
          <w:p w14:paraId="17D77900" w14:textId="77777777" w:rsidR="00C04CAD" w:rsidRDefault="00C04CAD">
            <w:pPr>
              <w:keepNext/>
              <w:tabs>
                <w:tab w:val="clear" w:pos="567"/>
              </w:tabs>
              <w:kinsoku w:val="0"/>
              <w:overflowPunct w:val="0"/>
              <w:autoSpaceDE w:val="0"/>
              <w:autoSpaceDN w:val="0"/>
              <w:adjustRightInd w:val="0"/>
              <w:spacing w:line="240" w:lineRule="auto"/>
            </w:pPr>
          </w:p>
        </w:tc>
      </w:tr>
      <w:tr w:rsidR="00C04CAD" w14:paraId="7B7BD2F9" w14:textId="77777777">
        <w:trPr>
          <w:cantSplit/>
        </w:trPr>
        <w:tc>
          <w:tcPr>
            <w:tcW w:w="2501" w:type="dxa"/>
          </w:tcPr>
          <w:p w14:paraId="68D073F3"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v</w:t>
            </w:r>
            <w:r>
              <w:t>asc</w:t>
            </w:r>
            <w:r>
              <w:rPr>
                <w:spacing w:val="-3"/>
              </w:rPr>
              <w:t>u</w:t>
            </w:r>
            <w:r>
              <w:rPr>
                <w:spacing w:val="1"/>
              </w:rPr>
              <w:t>l</w:t>
            </w:r>
            <w:r>
              <w:t>a</w:t>
            </w:r>
            <w:r>
              <w:rPr>
                <w:spacing w:val="-2"/>
              </w:rPr>
              <w:t>r</w:t>
            </w:r>
            <w:r>
              <w:t>e</w:t>
            </w:r>
          </w:p>
        </w:tc>
        <w:tc>
          <w:tcPr>
            <w:tcW w:w="1784" w:type="dxa"/>
          </w:tcPr>
          <w:p w14:paraId="1FFD27BE"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4DEA5E2B" w14:textId="77777777" w:rsidR="00C04CAD" w:rsidRDefault="00C04CAD">
            <w:pPr>
              <w:tabs>
                <w:tab w:val="clear" w:pos="567"/>
              </w:tabs>
              <w:kinsoku w:val="0"/>
              <w:overflowPunct w:val="0"/>
              <w:autoSpaceDE w:val="0"/>
              <w:autoSpaceDN w:val="0"/>
              <w:adjustRightInd w:val="0"/>
              <w:spacing w:line="240" w:lineRule="auto"/>
            </w:pPr>
          </w:p>
          <w:p w14:paraId="332B6FAA" w14:textId="77777777" w:rsidR="00C04CAD" w:rsidRDefault="00C04CAD">
            <w:pPr>
              <w:tabs>
                <w:tab w:val="clear" w:pos="567"/>
              </w:tabs>
              <w:kinsoku w:val="0"/>
              <w:overflowPunct w:val="0"/>
              <w:autoSpaceDE w:val="0"/>
              <w:autoSpaceDN w:val="0"/>
              <w:adjustRightInd w:val="0"/>
              <w:spacing w:line="240" w:lineRule="auto"/>
            </w:pPr>
          </w:p>
          <w:p w14:paraId="246790A5" w14:textId="77777777" w:rsidR="00C04CAD" w:rsidRDefault="00C04CAD">
            <w:pPr>
              <w:tabs>
                <w:tab w:val="clear" w:pos="567"/>
              </w:tabs>
              <w:kinsoku w:val="0"/>
              <w:overflowPunct w:val="0"/>
              <w:autoSpaceDE w:val="0"/>
              <w:autoSpaceDN w:val="0"/>
              <w:adjustRightInd w:val="0"/>
              <w:spacing w:line="240" w:lineRule="auto"/>
            </w:pPr>
          </w:p>
          <w:p w14:paraId="3424D326"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p w14:paraId="03C51E0B" w14:textId="77777777" w:rsidR="00C04CAD" w:rsidRDefault="00C04CAD">
            <w:pPr>
              <w:tabs>
                <w:tab w:val="clear" w:pos="567"/>
              </w:tabs>
              <w:kinsoku w:val="0"/>
              <w:overflowPunct w:val="0"/>
              <w:autoSpaceDE w:val="0"/>
              <w:autoSpaceDN w:val="0"/>
              <w:adjustRightInd w:val="0"/>
              <w:spacing w:line="240" w:lineRule="auto"/>
            </w:pPr>
          </w:p>
          <w:p w14:paraId="3C1E392E"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6E84617D" w14:textId="77777777" w:rsidR="00C04CAD" w:rsidRDefault="00060E34">
            <w:pPr>
              <w:tabs>
                <w:tab w:val="clear" w:pos="567"/>
              </w:tabs>
              <w:kinsoku w:val="0"/>
              <w:overflowPunct w:val="0"/>
              <w:autoSpaceDE w:val="0"/>
              <w:autoSpaceDN w:val="0"/>
              <w:adjustRightInd w:val="0"/>
              <w:spacing w:line="240" w:lineRule="auto"/>
            </w:pPr>
            <w:r>
              <w:t>h</w:t>
            </w:r>
            <w:r>
              <w:rPr>
                <w:spacing w:val="1"/>
              </w:rPr>
              <w:t>i</w:t>
            </w:r>
            <w:r>
              <w:t>p</w:t>
            </w:r>
            <w:r>
              <w:rPr>
                <w:spacing w:val="-3"/>
              </w:rPr>
              <w:t>e</w:t>
            </w:r>
            <w:r>
              <w:t>r</w:t>
            </w:r>
            <w:r>
              <w:rPr>
                <w:spacing w:val="1"/>
              </w:rPr>
              <w:t>t</w:t>
            </w:r>
            <w:r>
              <w:rPr>
                <w:spacing w:val="-3"/>
              </w:rPr>
              <w:t>e</w:t>
            </w:r>
            <w:r>
              <w:t>ns</w:t>
            </w:r>
            <w:r>
              <w:rPr>
                <w:spacing w:val="-2"/>
              </w:rPr>
              <w:t>i</w:t>
            </w:r>
            <w:r>
              <w:t>une</w:t>
            </w:r>
            <w:r>
              <w:rPr>
                <w:spacing w:val="-2"/>
              </w:rPr>
              <w:t xml:space="preserve"> </w:t>
            </w:r>
            <w:r>
              <w:t>a</w:t>
            </w:r>
            <w:r>
              <w:rPr>
                <w:spacing w:val="-2"/>
              </w:rPr>
              <w:t>r</w:t>
            </w:r>
            <w:r>
              <w:rPr>
                <w:spacing w:val="1"/>
              </w:rPr>
              <w:t>t</w:t>
            </w:r>
            <w:r>
              <w:t>e</w:t>
            </w:r>
            <w:r>
              <w:rPr>
                <w:spacing w:val="-2"/>
              </w:rPr>
              <w:t>r</w:t>
            </w:r>
            <w:r>
              <w:rPr>
                <w:spacing w:val="1"/>
              </w:rPr>
              <w:t>i</w:t>
            </w:r>
            <w:r>
              <w:rPr>
                <w:spacing w:val="-3"/>
              </w:rPr>
              <w:t>a</w:t>
            </w:r>
            <w:r>
              <w:rPr>
                <w:spacing w:val="1"/>
              </w:rPr>
              <w:t>l</w:t>
            </w:r>
            <w:r>
              <w:t>ă,</w:t>
            </w:r>
          </w:p>
          <w:p w14:paraId="679CF90F" w14:textId="77777777" w:rsidR="00C04CAD" w:rsidRDefault="00060E34">
            <w:pPr>
              <w:tabs>
                <w:tab w:val="clear" w:pos="567"/>
              </w:tabs>
              <w:kinsoku w:val="0"/>
              <w:overflowPunct w:val="0"/>
              <w:autoSpaceDE w:val="0"/>
              <w:autoSpaceDN w:val="0"/>
              <w:adjustRightInd w:val="0"/>
              <w:spacing w:line="240" w:lineRule="auto"/>
            </w:pPr>
            <w:r>
              <w:t>h</w:t>
            </w:r>
            <w:r>
              <w:rPr>
                <w:spacing w:val="1"/>
              </w:rPr>
              <w:t>i</w:t>
            </w:r>
            <w:r>
              <w:t>p</w:t>
            </w:r>
            <w:r>
              <w:rPr>
                <w:spacing w:val="-3"/>
              </w:rPr>
              <w:t>e</w:t>
            </w:r>
            <w:r>
              <w:t>re</w:t>
            </w:r>
            <w:r>
              <w:rPr>
                <w:spacing w:val="-4"/>
              </w:rPr>
              <w:t>m</w:t>
            </w:r>
            <w:r>
              <w:rPr>
                <w:spacing w:val="1"/>
              </w:rPr>
              <w:t>i</w:t>
            </w:r>
            <w:r>
              <w:t>e f</w:t>
            </w:r>
            <w:r>
              <w:rPr>
                <w:spacing w:val="-3"/>
              </w:rPr>
              <w:t>a</w:t>
            </w:r>
            <w:r>
              <w:t>c</w:t>
            </w:r>
            <w:r>
              <w:rPr>
                <w:spacing w:val="1"/>
              </w:rPr>
              <w:t>i</w:t>
            </w:r>
            <w:r>
              <w:rPr>
                <w:spacing w:val="-3"/>
              </w:rPr>
              <w:t>a</w:t>
            </w:r>
            <w:r>
              <w:rPr>
                <w:spacing w:val="1"/>
              </w:rPr>
              <w:t>l</w:t>
            </w:r>
            <w:r>
              <w:t>ă,</w:t>
            </w:r>
          </w:p>
          <w:p w14:paraId="0C0BB002" w14:textId="77777777" w:rsidR="00C04CAD" w:rsidRDefault="00060E34">
            <w:pPr>
              <w:tabs>
                <w:tab w:val="clear" w:pos="567"/>
              </w:tabs>
              <w:kinsoku w:val="0"/>
              <w:overflowPunct w:val="0"/>
              <w:autoSpaceDE w:val="0"/>
              <w:autoSpaceDN w:val="0"/>
              <w:adjustRightInd w:val="0"/>
              <w:spacing w:line="240" w:lineRule="auto"/>
            </w:pPr>
            <w:r>
              <w:t>he</w:t>
            </w:r>
            <w:r>
              <w:rPr>
                <w:spacing w:val="-4"/>
              </w:rPr>
              <w:t>m</w:t>
            </w:r>
            <w:r>
              <w:t>a</w:t>
            </w:r>
            <w:r>
              <w:rPr>
                <w:spacing w:val="1"/>
              </w:rPr>
              <w:t>t</w:t>
            </w:r>
            <w:r>
              <w:t>om</w:t>
            </w:r>
          </w:p>
          <w:p w14:paraId="376C045C" w14:textId="77777777" w:rsidR="00C04CAD" w:rsidRDefault="00C04CAD">
            <w:pPr>
              <w:tabs>
                <w:tab w:val="clear" w:pos="567"/>
              </w:tabs>
              <w:kinsoku w:val="0"/>
              <w:overflowPunct w:val="0"/>
              <w:autoSpaceDE w:val="0"/>
              <w:autoSpaceDN w:val="0"/>
              <w:adjustRightInd w:val="0"/>
              <w:spacing w:line="240" w:lineRule="auto"/>
            </w:pPr>
          </w:p>
          <w:p w14:paraId="45F009C6" w14:textId="77777777" w:rsidR="00C04CAD" w:rsidRDefault="00060E34">
            <w:pPr>
              <w:tabs>
                <w:tab w:val="clear" w:pos="567"/>
              </w:tabs>
              <w:kinsoku w:val="0"/>
              <w:overflowPunct w:val="0"/>
              <w:autoSpaceDE w:val="0"/>
              <w:autoSpaceDN w:val="0"/>
              <w:adjustRightInd w:val="0"/>
              <w:spacing w:line="240" w:lineRule="auto"/>
            </w:pPr>
            <w:r>
              <w:t>ane</w:t>
            </w:r>
            <w:r>
              <w:rPr>
                <w:spacing w:val="-3"/>
              </w:rPr>
              <w:t>v</w:t>
            </w:r>
            <w:r>
              <w:t>r</w:t>
            </w:r>
            <w:r>
              <w:rPr>
                <w:spacing w:val="1"/>
              </w:rPr>
              <w:t>i</w:t>
            </w:r>
            <w:r>
              <w:t>sm</w:t>
            </w:r>
            <w:r>
              <w:rPr>
                <w:spacing w:val="-4"/>
              </w:rPr>
              <w:t xml:space="preserve"> </w:t>
            </w:r>
            <w:r>
              <w:t>ao</w:t>
            </w:r>
            <w:r>
              <w:rPr>
                <w:spacing w:val="-2"/>
              </w:rPr>
              <w:t>r</w:t>
            </w:r>
            <w:r>
              <w:rPr>
                <w:spacing w:val="1"/>
              </w:rPr>
              <w:t>ti</w:t>
            </w:r>
            <w:r>
              <w:t>c,</w:t>
            </w:r>
          </w:p>
          <w:p w14:paraId="24B3CE4B" w14:textId="77777777" w:rsidR="00C04CAD" w:rsidRDefault="00060E34">
            <w:pPr>
              <w:tabs>
                <w:tab w:val="clear" w:pos="567"/>
              </w:tabs>
              <w:kinsoku w:val="0"/>
              <w:overflowPunct w:val="0"/>
              <w:autoSpaceDE w:val="0"/>
              <w:autoSpaceDN w:val="0"/>
              <w:adjustRightInd w:val="0"/>
              <w:spacing w:line="240" w:lineRule="auto"/>
            </w:pPr>
            <w:r>
              <w:t>obs</w:t>
            </w:r>
            <w:r>
              <w:rPr>
                <w:spacing w:val="-2"/>
              </w:rPr>
              <w:t>t</w:t>
            </w:r>
            <w:r>
              <w:t>ru</w:t>
            </w:r>
            <w:r>
              <w:rPr>
                <w:spacing w:val="-3"/>
              </w:rPr>
              <w:t>c</w:t>
            </w:r>
            <w:r>
              <w:rPr>
                <w:spacing w:val="1"/>
              </w:rPr>
              <w:t>ţ</w:t>
            </w:r>
            <w:r>
              <w:rPr>
                <w:spacing w:val="-2"/>
              </w:rPr>
              <w:t>i</w:t>
            </w:r>
            <w:r>
              <w:t>i</w:t>
            </w:r>
            <w:r>
              <w:rPr>
                <w:spacing w:val="1"/>
              </w:rPr>
              <w:t xml:space="preserve"> </w:t>
            </w:r>
            <w:r>
              <w:rPr>
                <w:spacing w:val="-3"/>
              </w:rPr>
              <w:t>a</w:t>
            </w:r>
            <w:r>
              <w:t>r</w:t>
            </w:r>
            <w:r>
              <w:rPr>
                <w:spacing w:val="1"/>
              </w:rPr>
              <w:t>t</w:t>
            </w:r>
            <w:r>
              <w:rPr>
                <w:spacing w:val="-3"/>
              </w:rPr>
              <w:t>e</w:t>
            </w:r>
            <w:r>
              <w:t>r</w:t>
            </w:r>
            <w:r>
              <w:rPr>
                <w:spacing w:val="-2"/>
              </w:rPr>
              <w:t>i</w:t>
            </w:r>
            <w:r>
              <w:t>a</w:t>
            </w:r>
            <w:r>
              <w:rPr>
                <w:spacing w:val="-2"/>
              </w:rPr>
              <w:t>l</w:t>
            </w:r>
            <w:r>
              <w:t>e,</w:t>
            </w:r>
          </w:p>
          <w:p w14:paraId="20FDD32A" w14:textId="77777777" w:rsidR="00C04CAD" w:rsidRDefault="00060E34">
            <w:pPr>
              <w:tabs>
                <w:tab w:val="clear" w:pos="567"/>
              </w:tabs>
              <w:kinsoku w:val="0"/>
              <w:overflowPunct w:val="0"/>
              <w:autoSpaceDE w:val="0"/>
              <w:autoSpaceDN w:val="0"/>
              <w:adjustRightInd w:val="0"/>
              <w:spacing w:line="240" w:lineRule="auto"/>
            </w:pPr>
            <w:r>
              <w:rPr>
                <w:spacing w:val="1"/>
              </w:rPr>
              <w:t>t</w:t>
            </w:r>
            <w:r>
              <w:t>ro</w:t>
            </w:r>
            <w:r>
              <w:rPr>
                <w:spacing w:val="-4"/>
              </w:rPr>
              <w:t>m</w:t>
            </w:r>
            <w:r>
              <w:t>bof</w:t>
            </w:r>
            <w:r>
              <w:rPr>
                <w:spacing w:val="1"/>
              </w:rPr>
              <w:t>l</w:t>
            </w:r>
            <w:r>
              <w:rPr>
                <w:spacing w:val="-3"/>
              </w:rPr>
              <w:t>e</w:t>
            </w:r>
            <w:r>
              <w:t>b</w:t>
            </w:r>
            <w:r>
              <w:rPr>
                <w:spacing w:val="-2"/>
              </w:rPr>
              <w:t>i</w:t>
            </w:r>
            <w:r>
              <w:rPr>
                <w:spacing w:val="1"/>
              </w:rPr>
              <w:t>t</w:t>
            </w:r>
            <w:r>
              <w:t xml:space="preserve">ă </w:t>
            </w:r>
          </w:p>
          <w:p w14:paraId="449AA369" w14:textId="77777777" w:rsidR="00C04CAD" w:rsidRDefault="00C04CAD">
            <w:pPr>
              <w:tabs>
                <w:tab w:val="clear" w:pos="567"/>
              </w:tabs>
              <w:kinsoku w:val="0"/>
              <w:overflowPunct w:val="0"/>
              <w:autoSpaceDE w:val="0"/>
              <w:autoSpaceDN w:val="0"/>
              <w:adjustRightInd w:val="0"/>
              <w:spacing w:line="240" w:lineRule="auto"/>
            </w:pPr>
          </w:p>
        </w:tc>
      </w:tr>
      <w:tr w:rsidR="00C04CAD" w14:paraId="40DB2DAF" w14:textId="77777777">
        <w:trPr>
          <w:cantSplit/>
        </w:trPr>
        <w:tc>
          <w:tcPr>
            <w:tcW w:w="2501" w:type="dxa"/>
          </w:tcPr>
          <w:p w14:paraId="5859A6DF" w14:textId="77777777" w:rsidR="00C04CAD" w:rsidRDefault="00060E34">
            <w:pPr>
              <w:tabs>
                <w:tab w:val="clear" w:pos="567"/>
              </w:tabs>
              <w:autoSpaceDE w:val="0"/>
              <w:autoSpaceDN w:val="0"/>
              <w:adjustRightInd w:val="0"/>
              <w:spacing w:line="240" w:lineRule="auto"/>
              <w:rPr>
                <w:spacing w:val="1"/>
              </w:rPr>
            </w:pPr>
            <w:r>
              <w:rPr>
                <w:rFonts w:eastAsia="TimesNewRomanPSMT"/>
              </w:rPr>
              <w:lastRenderedPageBreak/>
              <w:t>Tulburări respiratorii, toracice şi mediastinale*</w:t>
            </w:r>
          </w:p>
        </w:tc>
        <w:tc>
          <w:tcPr>
            <w:tcW w:w="1784" w:type="dxa"/>
          </w:tcPr>
          <w:p w14:paraId="0263A224" w14:textId="77777777" w:rsidR="00C04CAD" w:rsidRDefault="00060E34">
            <w:pPr>
              <w:tabs>
                <w:tab w:val="clear" w:pos="567"/>
              </w:tabs>
              <w:kinsoku w:val="0"/>
              <w:overflowPunct w:val="0"/>
              <w:autoSpaceDE w:val="0"/>
              <w:autoSpaceDN w:val="0"/>
              <w:adjustRightInd w:val="0"/>
              <w:spacing w:line="240" w:lineRule="auto"/>
            </w:pPr>
            <w:r>
              <w:t>Frecvente</w:t>
            </w:r>
          </w:p>
          <w:p w14:paraId="434FEC7C" w14:textId="77777777" w:rsidR="00C04CAD" w:rsidRDefault="00C04CAD">
            <w:pPr>
              <w:tabs>
                <w:tab w:val="clear" w:pos="567"/>
              </w:tabs>
              <w:kinsoku w:val="0"/>
              <w:overflowPunct w:val="0"/>
              <w:autoSpaceDE w:val="0"/>
              <w:autoSpaceDN w:val="0"/>
              <w:adjustRightInd w:val="0"/>
              <w:spacing w:line="240" w:lineRule="auto"/>
            </w:pPr>
          </w:p>
          <w:p w14:paraId="6C302DBC" w14:textId="77777777" w:rsidR="00C04CAD" w:rsidRDefault="00C04CAD">
            <w:pPr>
              <w:tabs>
                <w:tab w:val="clear" w:pos="567"/>
              </w:tabs>
              <w:kinsoku w:val="0"/>
              <w:overflowPunct w:val="0"/>
              <w:autoSpaceDE w:val="0"/>
              <w:autoSpaceDN w:val="0"/>
              <w:adjustRightInd w:val="0"/>
              <w:spacing w:line="240" w:lineRule="auto"/>
            </w:pPr>
          </w:p>
          <w:p w14:paraId="0F576A3B" w14:textId="77777777" w:rsidR="00C04CAD" w:rsidRDefault="00C04CAD">
            <w:pPr>
              <w:tabs>
                <w:tab w:val="clear" w:pos="567"/>
              </w:tabs>
              <w:autoSpaceDE w:val="0"/>
              <w:autoSpaceDN w:val="0"/>
              <w:adjustRightInd w:val="0"/>
              <w:spacing w:line="240" w:lineRule="auto"/>
              <w:rPr>
                <w:rFonts w:eastAsia="TimesNewRomanPSMT"/>
              </w:rPr>
            </w:pPr>
          </w:p>
          <w:p w14:paraId="27930053"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Mai puţin</w:t>
            </w:r>
          </w:p>
          <w:p w14:paraId="4D802E0B"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frecvente</w:t>
            </w:r>
          </w:p>
          <w:p w14:paraId="4973372F"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6418E216"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29A641EE"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6A3C1C6D" w14:textId="77777777" w:rsidR="00C04CAD" w:rsidRDefault="00C04CAD">
            <w:pPr>
              <w:tabs>
                <w:tab w:val="clear" w:pos="567"/>
              </w:tabs>
              <w:kinsoku w:val="0"/>
              <w:overflowPunct w:val="0"/>
              <w:autoSpaceDE w:val="0"/>
              <w:autoSpaceDN w:val="0"/>
              <w:adjustRightInd w:val="0"/>
              <w:spacing w:line="240" w:lineRule="auto"/>
              <w:rPr>
                <w:spacing w:val="-1"/>
              </w:rPr>
            </w:pPr>
          </w:p>
          <w:p w14:paraId="1F1B810E" w14:textId="77777777" w:rsidR="00C04CAD" w:rsidRDefault="00060E34">
            <w:pPr>
              <w:tabs>
                <w:tab w:val="clear" w:pos="567"/>
              </w:tabs>
              <w:kinsoku w:val="0"/>
              <w:overflowPunct w:val="0"/>
              <w:autoSpaceDE w:val="0"/>
              <w:autoSpaceDN w:val="0"/>
              <w:adjustRightInd w:val="0"/>
              <w:spacing w:line="240" w:lineRule="auto"/>
            </w:pPr>
            <w:r>
              <w:t>Rare</w:t>
            </w:r>
          </w:p>
          <w:p w14:paraId="7D32A86F" w14:textId="77777777" w:rsidR="00C04CAD" w:rsidRDefault="00C04CAD">
            <w:pPr>
              <w:tabs>
                <w:tab w:val="clear" w:pos="567"/>
              </w:tabs>
              <w:kinsoku w:val="0"/>
              <w:overflowPunct w:val="0"/>
              <w:autoSpaceDE w:val="0"/>
              <w:autoSpaceDN w:val="0"/>
              <w:adjustRightInd w:val="0"/>
              <w:spacing w:line="240" w:lineRule="auto"/>
              <w:rPr>
                <w:spacing w:val="-1"/>
              </w:rPr>
            </w:pPr>
          </w:p>
        </w:tc>
        <w:tc>
          <w:tcPr>
            <w:tcW w:w="4740" w:type="dxa"/>
          </w:tcPr>
          <w:p w14:paraId="1B74ACED"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astm bronşic,</w:t>
            </w:r>
          </w:p>
          <w:p w14:paraId="661ACAA6"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dispnee,</w:t>
            </w:r>
          </w:p>
          <w:p w14:paraId="2CDD383E"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tuse</w:t>
            </w:r>
          </w:p>
          <w:p w14:paraId="3DC3789E" w14:textId="77777777" w:rsidR="00C04CAD" w:rsidRDefault="00C04CAD">
            <w:pPr>
              <w:tabs>
                <w:tab w:val="clear" w:pos="567"/>
              </w:tabs>
              <w:autoSpaceDE w:val="0"/>
              <w:autoSpaceDN w:val="0"/>
              <w:adjustRightInd w:val="0"/>
              <w:spacing w:line="240" w:lineRule="auto"/>
            </w:pPr>
          </w:p>
          <w:p w14:paraId="0EF713ED" w14:textId="77777777" w:rsidR="00C04CAD" w:rsidRDefault="00060E34">
            <w:pPr>
              <w:tabs>
                <w:tab w:val="clear" w:pos="567"/>
              </w:tabs>
              <w:autoSpaceDE w:val="0"/>
              <w:autoSpaceDN w:val="0"/>
              <w:adjustRightInd w:val="0"/>
              <w:spacing w:line="240" w:lineRule="auto"/>
            </w:pPr>
            <w:r>
              <w:t>embolism pulmonar</w:t>
            </w:r>
            <w:r>
              <w:rPr>
                <w:vertAlign w:val="superscript"/>
              </w:rPr>
              <w:t>1)</w:t>
            </w:r>
            <w:r>
              <w:t>,</w:t>
            </w:r>
          </w:p>
          <w:p w14:paraId="37C42C5C"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pneumonie interstiţială,</w:t>
            </w:r>
          </w:p>
          <w:p w14:paraId="7BE6A746"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bronhopneumonie cronică obstructivă,</w:t>
            </w:r>
          </w:p>
          <w:p w14:paraId="5AAC312C" w14:textId="77777777" w:rsidR="00C04CAD" w:rsidRDefault="00060E34">
            <w:pPr>
              <w:tabs>
                <w:tab w:val="clear" w:pos="567"/>
              </w:tabs>
              <w:autoSpaceDE w:val="0"/>
              <w:autoSpaceDN w:val="0"/>
              <w:adjustRightInd w:val="0"/>
              <w:spacing w:line="240" w:lineRule="auto"/>
            </w:pPr>
            <w:r>
              <w:t>pneumopatie,</w:t>
            </w:r>
          </w:p>
          <w:p w14:paraId="1AE751DC" w14:textId="77777777" w:rsidR="00C04CAD" w:rsidRDefault="00060E34">
            <w:pPr>
              <w:tabs>
                <w:tab w:val="clear" w:pos="567"/>
              </w:tabs>
              <w:kinsoku w:val="0"/>
              <w:overflowPunct w:val="0"/>
              <w:autoSpaceDE w:val="0"/>
              <w:autoSpaceDN w:val="0"/>
              <w:adjustRightInd w:val="0"/>
              <w:spacing w:line="240" w:lineRule="auto"/>
              <w:rPr>
                <w:vertAlign w:val="superscript"/>
              </w:rPr>
            </w:pPr>
            <w:r>
              <w:rPr>
                <w:rFonts w:eastAsia="TimesNewRomanPSMT"/>
              </w:rPr>
              <w:t>revărsat pleura</w:t>
            </w:r>
            <w:r>
              <w:t>l</w:t>
            </w:r>
            <w:r>
              <w:rPr>
                <w:vertAlign w:val="superscript"/>
              </w:rPr>
              <w:t>1)</w:t>
            </w:r>
          </w:p>
          <w:p w14:paraId="373C157A" w14:textId="77777777" w:rsidR="00C04CAD" w:rsidRDefault="00C04CAD">
            <w:pPr>
              <w:tabs>
                <w:tab w:val="clear" w:pos="567"/>
              </w:tabs>
              <w:kinsoku w:val="0"/>
              <w:overflowPunct w:val="0"/>
              <w:autoSpaceDE w:val="0"/>
              <w:autoSpaceDN w:val="0"/>
              <w:adjustRightInd w:val="0"/>
              <w:spacing w:line="240" w:lineRule="auto"/>
            </w:pPr>
          </w:p>
          <w:p w14:paraId="1710B7C6"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fibroză pulmonară</w:t>
            </w:r>
            <w:r>
              <w:rPr>
                <w:rFonts w:eastAsia="TimesNewRomanPSMT"/>
                <w:vertAlign w:val="superscript"/>
              </w:rPr>
              <w:t>1)</w:t>
            </w:r>
          </w:p>
          <w:p w14:paraId="7766E139" w14:textId="77777777" w:rsidR="00C04CAD" w:rsidRDefault="00C04CAD">
            <w:pPr>
              <w:tabs>
                <w:tab w:val="clear" w:pos="567"/>
              </w:tabs>
              <w:kinsoku w:val="0"/>
              <w:overflowPunct w:val="0"/>
              <w:autoSpaceDE w:val="0"/>
              <w:autoSpaceDN w:val="0"/>
              <w:adjustRightInd w:val="0"/>
              <w:spacing w:line="240" w:lineRule="auto"/>
            </w:pPr>
          </w:p>
        </w:tc>
      </w:tr>
      <w:tr w:rsidR="00C04CAD" w14:paraId="378BFDE5" w14:textId="77777777">
        <w:trPr>
          <w:cantSplit/>
        </w:trPr>
        <w:tc>
          <w:tcPr>
            <w:tcW w:w="2501" w:type="dxa"/>
          </w:tcPr>
          <w:p w14:paraId="337474A8"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g</w:t>
            </w:r>
            <w:r>
              <w:t>as</w:t>
            </w:r>
            <w:r>
              <w:rPr>
                <w:spacing w:val="-2"/>
              </w:rPr>
              <w:t>t</w:t>
            </w:r>
            <w:r>
              <w:t>ro</w:t>
            </w:r>
            <w:r>
              <w:rPr>
                <w:spacing w:val="-4"/>
              </w:rPr>
              <w:noBreakHyphen/>
            </w:r>
            <w:r>
              <w:rPr>
                <w:spacing w:val="1"/>
              </w:rPr>
              <w:t>i</w:t>
            </w:r>
            <w:r>
              <w:t>n</w:t>
            </w:r>
            <w:r>
              <w:rPr>
                <w:spacing w:val="1"/>
              </w:rPr>
              <w:t>t</w:t>
            </w:r>
            <w:r>
              <w:t>e</w:t>
            </w:r>
            <w:r>
              <w:rPr>
                <w:spacing w:val="-2"/>
              </w:rPr>
              <w:t>s</w:t>
            </w:r>
            <w:r>
              <w:rPr>
                <w:spacing w:val="1"/>
              </w:rPr>
              <w:t>ti</w:t>
            </w:r>
            <w:r>
              <w:rPr>
                <w:spacing w:val="-3"/>
              </w:rPr>
              <w:t>n</w:t>
            </w:r>
            <w:r>
              <w:t>a</w:t>
            </w:r>
            <w:r>
              <w:rPr>
                <w:spacing w:val="-2"/>
              </w:rPr>
              <w:t>l</w:t>
            </w:r>
            <w:r>
              <w:t>e</w:t>
            </w:r>
          </w:p>
        </w:tc>
        <w:tc>
          <w:tcPr>
            <w:tcW w:w="1784" w:type="dxa"/>
          </w:tcPr>
          <w:p w14:paraId="15AC21F5"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079F6E14" w14:textId="77777777" w:rsidR="00C04CAD" w:rsidRDefault="00C04CAD">
            <w:pPr>
              <w:tabs>
                <w:tab w:val="clear" w:pos="567"/>
              </w:tabs>
              <w:kinsoku w:val="0"/>
              <w:overflowPunct w:val="0"/>
              <w:autoSpaceDE w:val="0"/>
              <w:autoSpaceDN w:val="0"/>
              <w:adjustRightInd w:val="0"/>
              <w:spacing w:line="240" w:lineRule="auto"/>
            </w:pPr>
          </w:p>
          <w:p w14:paraId="0A4E9FFA" w14:textId="77777777" w:rsidR="00C04CAD" w:rsidRDefault="00C04CAD">
            <w:pPr>
              <w:tabs>
                <w:tab w:val="clear" w:pos="567"/>
              </w:tabs>
              <w:kinsoku w:val="0"/>
              <w:overflowPunct w:val="0"/>
              <w:autoSpaceDE w:val="0"/>
              <w:autoSpaceDN w:val="0"/>
              <w:adjustRightInd w:val="0"/>
              <w:spacing w:line="240" w:lineRule="auto"/>
            </w:pPr>
          </w:p>
          <w:p w14:paraId="055C01D5"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35BEEAD9" w14:textId="77777777" w:rsidR="00C04CAD" w:rsidRDefault="00C04CAD">
            <w:pPr>
              <w:tabs>
                <w:tab w:val="clear" w:pos="567"/>
              </w:tabs>
              <w:kinsoku w:val="0"/>
              <w:overflowPunct w:val="0"/>
              <w:autoSpaceDE w:val="0"/>
              <w:autoSpaceDN w:val="0"/>
              <w:adjustRightInd w:val="0"/>
              <w:spacing w:line="240" w:lineRule="auto"/>
            </w:pPr>
          </w:p>
          <w:p w14:paraId="78444F96" w14:textId="77777777" w:rsidR="00C04CAD" w:rsidRDefault="00C04CAD">
            <w:pPr>
              <w:tabs>
                <w:tab w:val="clear" w:pos="567"/>
              </w:tabs>
              <w:kinsoku w:val="0"/>
              <w:overflowPunct w:val="0"/>
              <w:autoSpaceDE w:val="0"/>
              <w:autoSpaceDN w:val="0"/>
              <w:adjustRightInd w:val="0"/>
              <w:spacing w:line="240" w:lineRule="auto"/>
            </w:pPr>
          </w:p>
          <w:p w14:paraId="6FAE15A4" w14:textId="77777777" w:rsidR="00C04CAD" w:rsidRDefault="00C04CAD">
            <w:pPr>
              <w:tabs>
                <w:tab w:val="clear" w:pos="567"/>
              </w:tabs>
              <w:kinsoku w:val="0"/>
              <w:overflowPunct w:val="0"/>
              <w:autoSpaceDE w:val="0"/>
              <w:autoSpaceDN w:val="0"/>
              <w:adjustRightInd w:val="0"/>
              <w:spacing w:line="240" w:lineRule="auto"/>
            </w:pPr>
          </w:p>
          <w:p w14:paraId="04812101" w14:textId="77777777" w:rsidR="00C04CAD" w:rsidRDefault="00C04CAD">
            <w:pPr>
              <w:tabs>
                <w:tab w:val="clear" w:pos="567"/>
              </w:tabs>
              <w:kinsoku w:val="0"/>
              <w:overflowPunct w:val="0"/>
              <w:autoSpaceDE w:val="0"/>
              <w:autoSpaceDN w:val="0"/>
              <w:adjustRightInd w:val="0"/>
              <w:spacing w:line="240" w:lineRule="auto"/>
            </w:pPr>
          </w:p>
          <w:p w14:paraId="68DBD08B"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p>
          <w:p w14:paraId="53DC52A4" w14:textId="77777777" w:rsidR="00C04CAD" w:rsidRDefault="00C04CAD">
            <w:pPr>
              <w:tabs>
                <w:tab w:val="clear" w:pos="567"/>
              </w:tabs>
              <w:kinsoku w:val="0"/>
              <w:overflowPunct w:val="0"/>
              <w:autoSpaceDE w:val="0"/>
              <w:autoSpaceDN w:val="0"/>
              <w:adjustRightInd w:val="0"/>
              <w:spacing w:line="240" w:lineRule="auto"/>
            </w:pPr>
          </w:p>
          <w:p w14:paraId="465B37DE" w14:textId="77777777" w:rsidR="00C04CAD" w:rsidRDefault="00C04CAD">
            <w:pPr>
              <w:tabs>
                <w:tab w:val="clear" w:pos="567"/>
              </w:tabs>
              <w:kinsoku w:val="0"/>
              <w:overflowPunct w:val="0"/>
              <w:autoSpaceDE w:val="0"/>
              <w:autoSpaceDN w:val="0"/>
              <w:adjustRightInd w:val="0"/>
              <w:spacing w:line="240" w:lineRule="auto"/>
              <w:rPr>
                <w:spacing w:val="-1"/>
              </w:rPr>
            </w:pPr>
          </w:p>
          <w:p w14:paraId="347B14C5" w14:textId="77777777" w:rsidR="00C04CAD" w:rsidRDefault="00060E34">
            <w:pPr>
              <w:tabs>
                <w:tab w:val="clear" w:pos="567"/>
              </w:tabs>
              <w:kinsoku w:val="0"/>
              <w:overflowPunct w:val="0"/>
              <w:autoSpaceDE w:val="0"/>
              <w:autoSpaceDN w:val="0"/>
              <w:adjustRightInd w:val="0"/>
              <w:spacing w:line="240" w:lineRule="auto"/>
            </w:pPr>
            <w:r>
              <w:rPr>
                <w:spacing w:val="-1"/>
              </w:rPr>
              <w:t>R</w:t>
            </w:r>
            <w:r>
              <w:t xml:space="preserve">are </w:t>
            </w:r>
          </w:p>
          <w:p w14:paraId="70D88A3A"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3E3BC9E8" w14:textId="77777777" w:rsidR="00C04CAD" w:rsidRDefault="00060E34">
            <w:pPr>
              <w:tabs>
                <w:tab w:val="clear" w:pos="567"/>
              </w:tabs>
              <w:kinsoku w:val="0"/>
              <w:overflowPunct w:val="0"/>
              <w:autoSpaceDE w:val="0"/>
              <w:autoSpaceDN w:val="0"/>
              <w:adjustRightInd w:val="0"/>
              <w:spacing w:line="240" w:lineRule="auto"/>
            </w:pPr>
            <w:r>
              <w:t>dur</w:t>
            </w:r>
            <w:r>
              <w:rPr>
                <w:spacing w:val="-3"/>
              </w:rPr>
              <w:t>e</w:t>
            </w:r>
            <w:r>
              <w:t>ri</w:t>
            </w:r>
            <w:r>
              <w:rPr>
                <w:spacing w:val="-2"/>
              </w:rPr>
              <w:t xml:space="preserve"> </w:t>
            </w:r>
            <w:r>
              <w:t>abdo</w:t>
            </w:r>
            <w:r>
              <w:rPr>
                <w:spacing w:val="-4"/>
              </w:rPr>
              <w:t>m</w:t>
            </w:r>
            <w:r>
              <w:rPr>
                <w:spacing w:val="1"/>
              </w:rPr>
              <w:t>i</w:t>
            </w:r>
            <w:r>
              <w:t>na</w:t>
            </w:r>
            <w:r>
              <w:rPr>
                <w:spacing w:val="-2"/>
              </w:rPr>
              <w:t>l</w:t>
            </w:r>
            <w:r>
              <w:t>e,</w:t>
            </w:r>
          </w:p>
          <w:p w14:paraId="16BDA66C" w14:textId="77777777" w:rsidR="00C04CAD" w:rsidRDefault="00060E34">
            <w:pPr>
              <w:tabs>
                <w:tab w:val="clear" w:pos="567"/>
              </w:tabs>
              <w:kinsoku w:val="0"/>
              <w:overflowPunct w:val="0"/>
              <w:autoSpaceDE w:val="0"/>
              <w:autoSpaceDN w:val="0"/>
              <w:adjustRightInd w:val="0"/>
              <w:spacing w:line="240" w:lineRule="auto"/>
            </w:pPr>
            <w:r>
              <w:rPr>
                <w:spacing w:val="-3"/>
              </w:rPr>
              <w:t>g</w:t>
            </w:r>
            <w:r>
              <w:t>rea</w:t>
            </w:r>
            <w:r>
              <w:rPr>
                <w:spacing w:val="1"/>
              </w:rPr>
              <w:t>ţ</w:t>
            </w:r>
            <w:r>
              <w:t>ă</w:t>
            </w:r>
            <w:r>
              <w:rPr>
                <w:spacing w:val="-2"/>
              </w:rPr>
              <w:t xml:space="preserve"> </w:t>
            </w:r>
            <w:r>
              <w:t>şi</w:t>
            </w:r>
            <w:r>
              <w:rPr>
                <w:spacing w:val="1"/>
              </w:rPr>
              <w:t xml:space="preserve"> </w:t>
            </w:r>
            <w:r>
              <w:rPr>
                <w:spacing w:val="-3"/>
              </w:rPr>
              <w:t>v</w:t>
            </w:r>
            <w:r>
              <w:t>ăr</w:t>
            </w:r>
            <w:r>
              <w:rPr>
                <w:spacing w:val="-2"/>
              </w:rPr>
              <w:t>s</w:t>
            </w:r>
            <w:r>
              <w:t>ă</w:t>
            </w:r>
            <w:r>
              <w:rPr>
                <w:spacing w:val="1"/>
              </w:rPr>
              <w:t>t</w:t>
            </w:r>
            <w:r>
              <w:rPr>
                <w:spacing w:val="-3"/>
              </w:rPr>
              <w:t>u</w:t>
            </w:r>
            <w:r>
              <w:t>r</w:t>
            </w:r>
            <w:r>
              <w:rPr>
                <w:spacing w:val="1"/>
              </w:rPr>
              <w:t>i</w:t>
            </w:r>
            <w:r>
              <w:t>,</w:t>
            </w:r>
          </w:p>
          <w:p w14:paraId="04A6283F" w14:textId="77777777" w:rsidR="00C04CAD" w:rsidRDefault="00C04CAD">
            <w:pPr>
              <w:tabs>
                <w:tab w:val="clear" w:pos="567"/>
              </w:tabs>
              <w:kinsoku w:val="0"/>
              <w:overflowPunct w:val="0"/>
              <w:autoSpaceDE w:val="0"/>
              <w:autoSpaceDN w:val="0"/>
              <w:adjustRightInd w:val="0"/>
              <w:spacing w:line="240" w:lineRule="auto"/>
            </w:pPr>
          </w:p>
          <w:p w14:paraId="7562B666" w14:textId="77777777" w:rsidR="00C04CAD" w:rsidRDefault="00060E34">
            <w:pPr>
              <w:tabs>
                <w:tab w:val="clear" w:pos="567"/>
              </w:tabs>
              <w:kinsoku w:val="0"/>
              <w:overflowPunct w:val="0"/>
              <w:autoSpaceDE w:val="0"/>
              <w:autoSpaceDN w:val="0"/>
              <w:adjustRightInd w:val="0"/>
              <w:spacing w:line="240" w:lineRule="auto"/>
            </w:pPr>
            <w:r>
              <w:t>he</w:t>
            </w:r>
            <w:r>
              <w:rPr>
                <w:spacing w:val="-4"/>
              </w:rPr>
              <w:t>m</w:t>
            </w:r>
            <w:r>
              <w:t>ora</w:t>
            </w:r>
            <w:r>
              <w:rPr>
                <w:spacing w:val="-3"/>
              </w:rPr>
              <w:t>g</w:t>
            </w:r>
            <w:r>
              <w:rPr>
                <w:spacing w:val="1"/>
              </w:rPr>
              <w:t>i</w:t>
            </w:r>
            <w:r>
              <w:t xml:space="preserve">e </w:t>
            </w:r>
            <w:r>
              <w:rPr>
                <w:spacing w:val="-3"/>
              </w:rPr>
              <w:t>g</w:t>
            </w:r>
            <w:r>
              <w:t>as</w:t>
            </w:r>
            <w:r>
              <w:rPr>
                <w:spacing w:val="1"/>
              </w:rPr>
              <w:t>t</w:t>
            </w:r>
            <w:r>
              <w:t>r</w:t>
            </w:r>
            <w:r>
              <w:rPr>
                <w:spacing w:val="-1"/>
              </w:rPr>
              <w:t>o</w:t>
            </w:r>
            <w:r>
              <w:rPr>
                <w:spacing w:val="-4"/>
              </w:rPr>
              <w:t>-</w:t>
            </w:r>
            <w:r>
              <w:rPr>
                <w:spacing w:val="1"/>
              </w:rPr>
              <w:t>i</w:t>
            </w:r>
            <w:r>
              <w:t>n</w:t>
            </w:r>
            <w:r>
              <w:rPr>
                <w:spacing w:val="1"/>
              </w:rPr>
              <w:t>t</w:t>
            </w:r>
            <w:r>
              <w:t>e</w:t>
            </w:r>
            <w:r>
              <w:rPr>
                <w:spacing w:val="-2"/>
              </w:rPr>
              <w:t>st</w:t>
            </w:r>
            <w:r>
              <w:rPr>
                <w:spacing w:val="1"/>
              </w:rPr>
              <w:t>i</w:t>
            </w:r>
            <w:r>
              <w:t>n</w:t>
            </w:r>
            <w:r>
              <w:rPr>
                <w:spacing w:val="-3"/>
              </w:rPr>
              <w:t>a</w:t>
            </w:r>
            <w:r>
              <w:rPr>
                <w:spacing w:val="-2"/>
              </w:rPr>
              <w:t>l</w:t>
            </w:r>
            <w:r>
              <w:t>ă,</w:t>
            </w:r>
          </w:p>
          <w:p w14:paraId="66FC6C20" w14:textId="77777777" w:rsidR="00C04CAD" w:rsidRDefault="00060E34">
            <w:pPr>
              <w:tabs>
                <w:tab w:val="clear" w:pos="567"/>
              </w:tabs>
              <w:kinsoku w:val="0"/>
              <w:overflowPunct w:val="0"/>
              <w:autoSpaceDE w:val="0"/>
              <w:autoSpaceDN w:val="0"/>
              <w:adjustRightInd w:val="0"/>
              <w:spacing w:line="240" w:lineRule="auto"/>
            </w:pPr>
            <w:r>
              <w:t>d</w:t>
            </w:r>
            <w:r>
              <w:rPr>
                <w:spacing w:val="1"/>
              </w:rPr>
              <w:t>i</w:t>
            </w:r>
            <w:r>
              <w:t>sp</w:t>
            </w:r>
            <w:r>
              <w:rPr>
                <w:spacing w:val="-3"/>
              </w:rPr>
              <w:t>e</w:t>
            </w:r>
            <w:r>
              <w:t>p</w:t>
            </w:r>
            <w:r>
              <w:rPr>
                <w:spacing w:val="-2"/>
              </w:rPr>
              <w:t>s</w:t>
            </w:r>
            <w:r>
              <w:rPr>
                <w:spacing w:val="1"/>
              </w:rPr>
              <w:t>i</w:t>
            </w:r>
            <w:r>
              <w:t>e,</w:t>
            </w:r>
          </w:p>
          <w:p w14:paraId="7CCCF83D" w14:textId="77777777" w:rsidR="00C04CAD" w:rsidRDefault="00060E34">
            <w:pPr>
              <w:tabs>
                <w:tab w:val="clear" w:pos="567"/>
              </w:tabs>
              <w:kinsoku w:val="0"/>
              <w:overflowPunct w:val="0"/>
              <w:autoSpaceDE w:val="0"/>
              <w:autoSpaceDN w:val="0"/>
              <w:adjustRightInd w:val="0"/>
              <w:spacing w:line="240" w:lineRule="auto"/>
            </w:pPr>
            <w:r>
              <w:t>boa</w:t>
            </w:r>
            <w:r>
              <w:rPr>
                <w:spacing w:val="1"/>
              </w:rPr>
              <w:t>l</w:t>
            </w:r>
            <w:r>
              <w:t>ă</w:t>
            </w:r>
            <w:r>
              <w:rPr>
                <w:spacing w:val="-2"/>
              </w:rPr>
              <w:t xml:space="preserve"> </w:t>
            </w:r>
            <w:r>
              <w:t>de</w:t>
            </w:r>
            <w:r>
              <w:rPr>
                <w:spacing w:val="-2"/>
              </w:rPr>
              <w:t xml:space="preserve"> </w:t>
            </w:r>
            <w:r>
              <w:t>re</w:t>
            </w:r>
            <w:r>
              <w:rPr>
                <w:spacing w:val="-2"/>
              </w:rPr>
              <w:t>f</w:t>
            </w:r>
            <w:r>
              <w:rPr>
                <w:spacing w:val="1"/>
              </w:rPr>
              <w:t>l</w:t>
            </w:r>
            <w:r>
              <w:t xml:space="preserve">ux </w:t>
            </w:r>
            <w:r>
              <w:rPr>
                <w:spacing w:val="-3"/>
              </w:rPr>
              <w:t>g</w:t>
            </w:r>
            <w:r>
              <w:t>a</w:t>
            </w:r>
            <w:r>
              <w:rPr>
                <w:spacing w:val="-2"/>
              </w:rPr>
              <w:t>s</w:t>
            </w:r>
            <w:r>
              <w:rPr>
                <w:spacing w:val="1"/>
              </w:rPr>
              <w:t>t</w:t>
            </w:r>
            <w:r>
              <w:t>r</w:t>
            </w:r>
            <w:r>
              <w:rPr>
                <w:spacing w:val="-3"/>
              </w:rPr>
              <w:t>o</w:t>
            </w:r>
            <w:r>
              <w:t>es</w:t>
            </w:r>
            <w:r>
              <w:rPr>
                <w:spacing w:val="-3"/>
              </w:rPr>
              <w:t>o</w:t>
            </w:r>
            <w:r>
              <w:t>f</w:t>
            </w:r>
            <w:r>
              <w:rPr>
                <w:spacing w:val="-3"/>
              </w:rPr>
              <w:t>ag</w:t>
            </w:r>
            <w:r>
              <w:rPr>
                <w:spacing w:val="1"/>
              </w:rPr>
              <w:t>i</w:t>
            </w:r>
            <w:r>
              <w:t>an,</w:t>
            </w:r>
          </w:p>
          <w:p w14:paraId="5E5C3C96" w14:textId="77777777" w:rsidR="00C04CAD" w:rsidRDefault="00060E34">
            <w:pPr>
              <w:tabs>
                <w:tab w:val="clear" w:pos="567"/>
              </w:tabs>
              <w:kinsoku w:val="0"/>
              <w:overflowPunct w:val="0"/>
              <w:autoSpaceDE w:val="0"/>
              <w:autoSpaceDN w:val="0"/>
              <w:adjustRightInd w:val="0"/>
              <w:spacing w:line="240" w:lineRule="auto"/>
            </w:pPr>
            <w:r>
              <w:t>s</w:t>
            </w:r>
            <w:r>
              <w:rPr>
                <w:spacing w:val="1"/>
              </w:rPr>
              <w:t>i</w:t>
            </w:r>
            <w:r>
              <w:t>n</w:t>
            </w:r>
            <w:r>
              <w:rPr>
                <w:spacing w:val="-3"/>
              </w:rPr>
              <w:t>d</w:t>
            </w:r>
            <w:r>
              <w:t>rom</w:t>
            </w:r>
            <w:r>
              <w:rPr>
                <w:spacing w:val="-4"/>
              </w:rPr>
              <w:t xml:space="preserve"> </w:t>
            </w:r>
            <w:r>
              <w:t>s</w:t>
            </w:r>
            <w:r>
              <w:rPr>
                <w:spacing w:val="1"/>
              </w:rPr>
              <w:t>i</w:t>
            </w:r>
            <w:r>
              <w:t>cca</w:t>
            </w:r>
          </w:p>
          <w:p w14:paraId="138D2D39" w14:textId="77777777" w:rsidR="00C04CAD" w:rsidRDefault="00C04CAD">
            <w:pPr>
              <w:tabs>
                <w:tab w:val="clear" w:pos="567"/>
              </w:tabs>
              <w:kinsoku w:val="0"/>
              <w:overflowPunct w:val="0"/>
              <w:autoSpaceDE w:val="0"/>
              <w:autoSpaceDN w:val="0"/>
              <w:adjustRightInd w:val="0"/>
              <w:spacing w:line="240" w:lineRule="auto"/>
            </w:pPr>
          </w:p>
          <w:p w14:paraId="2A0C984F" w14:textId="77777777" w:rsidR="00C04CAD" w:rsidRDefault="00060E34">
            <w:pPr>
              <w:tabs>
                <w:tab w:val="clear" w:pos="567"/>
              </w:tabs>
              <w:kinsoku w:val="0"/>
              <w:overflowPunct w:val="0"/>
              <w:autoSpaceDE w:val="0"/>
              <w:autoSpaceDN w:val="0"/>
              <w:adjustRightInd w:val="0"/>
              <w:spacing w:line="240" w:lineRule="auto"/>
            </w:pPr>
            <w:r>
              <w:t>panc</w:t>
            </w:r>
            <w:r>
              <w:rPr>
                <w:spacing w:val="-2"/>
              </w:rPr>
              <w:t>r</w:t>
            </w:r>
            <w:r>
              <w:t>e</w:t>
            </w:r>
            <w:r>
              <w:rPr>
                <w:spacing w:val="-3"/>
              </w:rPr>
              <w:t>a</w:t>
            </w:r>
            <w:r>
              <w:t>t</w:t>
            </w:r>
            <w:r>
              <w:rPr>
                <w:spacing w:val="-2"/>
              </w:rPr>
              <w:t>i</w:t>
            </w:r>
            <w:r>
              <w:rPr>
                <w:spacing w:val="1"/>
              </w:rPr>
              <w:t>t</w:t>
            </w:r>
            <w:r>
              <w:t>ă,</w:t>
            </w:r>
          </w:p>
          <w:p w14:paraId="403BD5CE" w14:textId="77777777" w:rsidR="00C04CAD" w:rsidRDefault="00060E34">
            <w:pPr>
              <w:tabs>
                <w:tab w:val="clear" w:pos="567"/>
              </w:tabs>
              <w:kinsoku w:val="0"/>
              <w:overflowPunct w:val="0"/>
              <w:autoSpaceDE w:val="0"/>
              <w:autoSpaceDN w:val="0"/>
              <w:adjustRightInd w:val="0"/>
              <w:spacing w:line="240" w:lineRule="auto"/>
            </w:pPr>
            <w:r>
              <w:t>d</w:t>
            </w:r>
            <w:r>
              <w:rPr>
                <w:spacing w:val="1"/>
              </w:rPr>
              <w:t>i</w:t>
            </w:r>
            <w:r>
              <w:t>s</w:t>
            </w:r>
            <w:r>
              <w:rPr>
                <w:spacing w:val="-2"/>
              </w:rPr>
              <w:t>f</w:t>
            </w:r>
            <w:r>
              <w:t>a</w:t>
            </w:r>
            <w:r>
              <w:rPr>
                <w:spacing w:val="-3"/>
              </w:rPr>
              <w:t>g</w:t>
            </w:r>
            <w:r>
              <w:rPr>
                <w:spacing w:val="1"/>
              </w:rPr>
              <w:t>i</w:t>
            </w:r>
            <w:r>
              <w:t>e,</w:t>
            </w:r>
          </w:p>
          <w:p w14:paraId="52862823" w14:textId="77777777" w:rsidR="00C04CAD" w:rsidRDefault="00060E34">
            <w:pPr>
              <w:tabs>
                <w:tab w:val="clear" w:pos="567"/>
              </w:tabs>
              <w:kinsoku w:val="0"/>
              <w:overflowPunct w:val="0"/>
              <w:autoSpaceDE w:val="0"/>
              <w:autoSpaceDN w:val="0"/>
              <w:adjustRightInd w:val="0"/>
              <w:spacing w:line="240" w:lineRule="auto"/>
            </w:pPr>
            <w:r>
              <w:t>edem</w:t>
            </w:r>
            <w:r>
              <w:rPr>
                <w:spacing w:val="-4"/>
              </w:rPr>
              <w:t xml:space="preserve"> </w:t>
            </w:r>
            <w:r>
              <w:t>fac</w:t>
            </w:r>
            <w:r>
              <w:rPr>
                <w:spacing w:val="1"/>
              </w:rPr>
              <w:t>i</w:t>
            </w:r>
            <w:r>
              <w:rPr>
                <w:spacing w:val="-3"/>
              </w:rPr>
              <w:t>a</w:t>
            </w:r>
            <w:r>
              <w:t>l</w:t>
            </w:r>
          </w:p>
          <w:p w14:paraId="7FBE9A8E" w14:textId="77777777" w:rsidR="00C04CAD" w:rsidRDefault="00C04CAD">
            <w:pPr>
              <w:tabs>
                <w:tab w:val="clear" w:pos="567"/>
              </w:tabs>
              <w:kinsoku w:val="0"/>
              <w:overflowPunct w:val="0"/>
              <w:autoSpaceDE w:val="0"/>
              <w:autoSpaceDN w:val="0"/>
              <w:adjustRightInd w:val="0"/>
              <w:spacing w:line="240" w:lineRule="auto"/>
            </w:pPr>
          </w:p>
          <w:p w14:paraId="4E3C439A" w14:textId="77777777" w:rsidR="00C04CAD" w:rsidRDefault="00060E34">
            <w:pPr>
              <w:tabs>
                <w:tab w:val="clear" w:pos="567"/>
              </w:tabs>
              <w:kinsoku w:val="0"/>
              <w:overflowPunct w:val="0"/>
              <w:autoSpaceDE w:val="0"/>
              <w:autoSpaceDN w:val="0"/>
              <w:adjustRightInd w:val="0"/>
              <w:spacing w:line="240" w:lineRule="auto"/>
            </w:pPr>
            <w:r>
              <w:t>per</w:t>
            </w:r>
            <w:r>
              <w:rPr>
                <w:spacing w:val="-2"/>
              </w:rPr>
              <w:t>f</w:t>
            </w:r>
            <w:r>
              <w:t>or</w:t>
            </w:r>
            <w:r>
              <w:rPr>
                <w:spacing w:val="-3"/>
              </w:rPr>
              <w:t>a</w:t>
            </w:r>
            <w:r>
              <w:rPr>
                <w:spacing w:val="1"/>
              </w:rPr>
              <w:t>ţ</w:t>
            </w:r>
            <w:r>
              <w:rPr>
                <w:spacing w:val="-2"/>
              </w:rPr>
              <w:t>i</w:t>
            </w:r>
            <w:r>
              <w:t>e</w:t>
            </w:r>
            <w:r>
              <w:rPr>
                <w:spacing w:val="-2"/>
              </w:rPr>
              <w:t xml:space="preserve"> </w:t>
            </w:r>
            <w:r>
              <w:t>intestinală</w:t>
            </w:r>
            <w:r>
              <w:rPr>
                <w:vertAlign w:val="superscript"/>
              </w:rPr>
              <w:t>1)</w:t>
            </w:r>
          </w:p>
          <w:p w14:paraId="78FA5B42" w14:textId="77777777" w:rsidR="00C04CAD" w:rsidRDefault="00C04CAD">
            <w:pPr>
              <w:tabs>
                <w:tab w:val="clear" w:pos="567"/>
              </w:tabs>
              <w:kinsoku w:val="0"/>
              <w:overflowPunct w:val="0"/>
              <w:autoSpaceDE w:val="0"/>
              <w:autoSpaceDN w:val="0"/>
              <w:adjustRightInd w:val="0"/>
              <w:spacing w:line="240" w:lineRule="auto"/>
            </w:pPr>
          </w:p>
        </w:tc>
      </w:tr>
      <w:tr w:rsidR="00C04CAD" w14:paraId="70DCD649" w14:textId="77777777">
        <w:trPr>
          <w:cantSplit/>
        </w:trPr>
        <w:tc>
          <w:tcPr>
            <w:tcW w:w="2501" w:type="dxa"/>
          </w:tcPr>
          <w:p w14:paraId="10980B0B"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t>h</w:t>
            </w:r>
            <w:r>
              <w:rPr>
                <w:spacing w:val="-3"/>
              </w:rPr>
              <w:t>e</w:t>
            </w:r>
            <w:r>
              <w:t>pa</w:t>
            </w:r>
            <w:r>
              <w:rPr>
                <w:spacing w:val="-2"/>
              </w:rPr>
              <w:t>t</w:t>
            </w:r>
            <w:r>
              <w:t>o-b</w:t>
            </w:r>
            <w:r>
              <w:rPr>
                <w:spacing w:val="-2"/>
              </w:rPr>
              <w:t>i</w:t>
            </w:r>
            <w:r>
              <w:rPr>
                <w:spacing w:val="1"/>
              </w:rPr>
              <w:t>l</w:t>
            </w:r>
            <w:r>
              <w:rPr>
                <w:spacing w:val="-2"/>
              </w:rPr>
              <w:t>i</w:t>
            </w:r>
            <w:r>
              <w:t>ar</w:t>
            </w:r>
            <w:r>
              <w:rPr>
                <w:spacing w:val="-3"/>
              </w:rPr>
              <w:t>e</w:t>
            </w:r>
            <w:r>
              <w:t>*</w:t>
            </w:r>
          </w:p>
        </w:tc>
        <w:tc>
          <w:tcPr>
            <w:tcW w:w="1784" w:type="dxa"/>
          </w:tcPr>
          <w:p w14:paraId="33EC5819"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0CFC8C47" w14:textId="77777777" w:rsidR="00C04CAD" w:rsidRDefault="00C04CAD">
            <w:pPr>
              <w:tabs>
                <w:tab w:val="clear" w:pos="567"/>
              </w:tabs>
              <w:kinsoku w:val="0"/>
              <w:overflowPunct w:val="0"/>
              <w:autoSpaceDE w:val="0"/>
              <w:autoSpaceDN w:val="0"/>
              <w:adjustRightInd w:val="0"/>
              <w:spacing w:line="240" w:lineRule="auto"/>
            </w:pPr>
          </w:p>
          <w:p w14:paraId="4F9E476C"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e</w:t>
            </w:r>
          </w:p>
          <w:p w14:paraId="0626ECF4" w14:textId="77777777" w:rsidR="00C04CAD" w:rsidRDefault="00C04CAD">
            <w:pPr>
              <w:tabs>
                <w:tab w:val="clear" w:pos="567"/>
              </w:tabs>
              <w:kinsoku w:val="0"/>
              <w:overflowPunct w:val="0"/>
              <w:autoSpaceDE w:val="0"/>
              <w:autoSpaceDN w:val="0"/>
              <w:adjustRightInd w:val="0"/>
              <w:spacing w:line="240" w:lineRule="auto"/>
            </w:pPr>
          </w:p>
          <w:p w14:paraId="1E5D03A4" w14:textId="77777777" w:rsidR="00C04CAD" w:rsidRDefault="00C04CAD">
            <w:pPr>
              <w:tabs>
                <w:tab w:val="clear" w:pos="567"/>
              </w:tabs>
              <w:kinsoku w:val="0"/>
              <w:overflowPunct w:val="0"/>
              <w:autoSpaceDE w:val="0"/>
              <w:autoSpaceDN w:val="0"/>
              <w:adjustRightInd w:val="0"/>
              <w:spacing w:line="240" w:lineRule="auto"/>
            </w:pPr>
          </w:p>
          <w:p w14:paraId="71616A7D" w14:textId="77777777" w:rsidR="00C04CAD" w:rsidRDefault="00060E34">
            <w:pPr>
              <w:tabs>
                <w:tab w:val="clear" w:pos="567"/>
              </w:tabs>
              <w:kinsoku w:val="0"/>
              <w:overflowPunct w:val="0"/>
              <w:autoSpaceDE w:val="0"/>
              <w:autoSpaceDN w:val="0"/>
              <w:adjustRightInd w:val="0"/>
              <w:spacing w:line="240" w:lineRule="auto"/>
            </w:pPr>
            <w:r>
              <w:t>Rare</w:t>
            </w:r>
          </w:p>
          <w:p w14:paraId="413F3B4A" w14:textId="77777777" w:rsidR="00C04CAD" w:rsidRDefault="00C04CAD">
            <w:pPr>
              <w:tabs>
                <w:tab w:val="clear" w:pos="567"/>
              </w:tabs>
              <w:kinsoku w:val="0"/>
              <w:overflowPunct w:val="0"/>
              <w:autoSpaceDE w:val="0"/>
              <w:autoSpaceDN w:val="0"/>
              <w:adjustRightInd w:val="0"/>
              <w:spacing w:line="240" w:lineRule="auto"/>
            </w:pPr>
          </w:p>
          <w:p w14:paraId="31D265B8" w14:textId="77777777" w:rsidR="00C04CAD" w:rsidRDefault="00C04CAD">
            <w:pPr>
              <w:tabs>
                <w:tab w:val="clear" w:pos="567"/>
              </w:tabs>
              <w:kinsoku w:val="0"/>
              <w:overflowPunct w:val="0"/>
              <w:autoSpaceDE w:val="0"/>
              <w:autoSpaceDN w:val="0"/>
              <w:adjustRightInd w:val="0"/>
              <w:spacing w:line="240" w:lineRule="auto"/>
            </w:pPr>
          </w:p>
          <w:p w14:paraId="6F950388" w14:textId="77777777" w:rsidR="00C04CAD" w:rsidRDefault="00C04CAD">
            <w:pPr>
              <w:tabs>
                <w:tab w:val="clear" w:pos="567"/>
              </w:tabs>
              <w:kinsoku w:val="0"/>
              <w:overflowPunct w:val="0"/>
              <w:autoSpaceDE w:val="0"/>
              <w:autoSpaceDN w:val="0"/>
              <w:adjustRightInd w:val="0"/>
              <w:spacing w:line="240" w:lineRule="auto"/>
            </w:pPr>
          </w:p>
          <w:p w14:paraId="42B56162" w14:textId="77777777" w:rsidR="00C04CAD" w:rsidRDefault="00060E34">
            <w:pPr>
              <w:tabs>
                <w:tab w:val="clear" w:pos="567"/>
              </w:tabs>
              <w:kinsoku w:val="0"/>
              <w:overflowPunct w:val="0"/>
              <w:autoSpaceDE w:val="0"/>
              <w:autoSpaceDN w:val="0"/>
              <w:adjustRightInd w:val="0"/>
              <w:spacing w:line="240" w:lineRule="auto"/>
            </w:pPr>
            <w:r>
              <w:rPr>
                <w:spacing w:val="-1"/>
              </w:rPr>
              <w:t>N</w:t>
            </w:r>
            <w:r>
              <w:t>ecuno</w:t>
            </w:r>
            <w:r>
              <w:rPr>
                <w:spacing w:val="-2"/>
              </w:rPr>
              <w:t>s</w:t>
            </w:r>
            <w:r>
              <w:t>cu</w:t>
            </w:r>
            <w:r>
              <w:rPr>
                <w:spacing w:val="-2"/>
              </w:rPr>
              <w:t>t</w:t>
            </w:r>
            <w:r>
              <w:t>ă</w:t>
            </w:r>
          </w:p>
        </w:tc>
        <w:tc>
          <w:tcPr>
            <w:tcW w:w="4740" w:type="dxa"/>
          </w:tcPr>
          <w:p w14:paraId="4365B283" w14:textId="77777777" w:rsidR="00C04CAD" w:rsidRDefault="00060E34">
            <w:pPr>
              <w:tabs>
                <w:tab w:val="clear" w:pos="567"/>
              </w:tabs>
              <w:kinsoku w:val="0"/>
              <w:overflowPunct w:val="0"/>
              <w:autoSpaceDE w:val="0"/>
              <w:autoSpaceDN w:val="0"/>
              <w:adjustRightInd w:val="0"/>
              <w:spacing w:line="240" w:lineRule="auto"/>
            </w:pPr>
            <w:r>
              <w:t>cre</w:t>
            </w:r>
            <w:r>
              <w:rPr>
                <w:spacing w:val="-2"/>
              </w:rPr>
              <w:t>ş</w:t>
            </w:r>
            <w:r>
              <w:rPr>
                <w:spacing w:val="1"/>
              </w:rPr>
              <w:t>t</w:t>
            </w:r>
            <w:r>
              <w:rPr>
                <w:spacing w:val="-3"/>
              </w:rPr>
              <w:t>e</w:t>
            </w:r>
            <w:r>
              <w:t>rea</w:t>
            </w:r>
            <w:r>
              <w:rPr>
                <w:spacing w:val="-2"/>
              </w:rPr>
              <w:t xml:space="preserve"> </w:t>
            </w:r>
            <w:r>
              <w:t>en</w:t>
            </w:r>
            <w:r>
              <w:rPr>
                <w:spacing w:val="-3"/>
              </w:rPr>
              <w:t>z</w:t>
            </w:r>
            <w:r>
              <w:rPr>
                <w:spacing w:val="1"/>
              </w:rPr>
              <w:t>i</w:t>
            </w:r>
            <w:r>
              <w:rPr>
                <w:spacing w:val="-4"/>
              </w:rPr>
              <w:t>m</w:t>
            </w:r>
            <w:r>
              <w:t>e</w:t>
            </w:r>
            <w:r>
              <w:rPr>
                <w:spacing w:val="1"/>
              </w:rPr>
              <w:t>l</w:t>
            </w:r>
            <w:r>
              <w:t>or</w:t>
            </w:r>
            <w:r>
              <w:rPr>
                <w:spacing w:val="1"/>
              </w:rPr>
              <w:t xml:space="preserve"> </w:t>
            </w:r>
            <w:r>
              <w:t>h</w:t>
            </w:r>
            <w:r>
              <w:rPr>
                <w:spacing w:val="-3"/>
              </w:rPr>
              <w:t>e</w:t>
            </w:r>
            <w:r>
              <w:t>pa</w:t>
            </w:r>
            <w:r>
              <w:rPr>
                <w:spacing w:val="-2"/>
              </w:rPr>
              <w:t>t</w:t>
            </w:r>
            <w:r>
              <w:rPr>
                <w:spacing w:val="1"/>
              </w:rPr>
              <w:t>i</w:t>
            </w:r>
            <w:r>
              <w:rPr>
                <w:spacing w:val="-3"/>
              </w:rPr>
              <w:t>c</w:t>
            </w:r>
            <w:r>
              <w:t>e se</w:t>
            </w:r>
            <w:r>
              <w:rPr>
                <w:spacing w:val="-2"/>
              </w:rPr>
              <w:t>r</w:t>
            </w:r>
            <w:r>
              <w:rPr>
                <w:spacing w:val="1"/>
              </w:rPr>
              <w:t>i</w:t>
            </w:r>
            <w:r>
              <w:rPr>
                <w:spacing w:val="-3"/>
              </w:rPr>
              <w:t>c</w:t>
            </w:r>
            <w:r>
              <w:t>e</w:t>
            </w:r>
          </w:p>
          <w:p w14:paraId="2F7E1120" w14:textId="77777777" w:rsidR="00C04CAD" w:rsidRDefault="00C04CAD">
            <w:pPr>
              <w:tabs>
                <w:tab w:val="clear" w:pos="567"/>
              </w:tabs>
              <w:kinsoku w:val="0"/>
              <w:overflowPunct w:val="0"/>
              <w:autoSpaceDE w:val="0"/>
              <w:autoSpaceDN w:val="0"/>
              <w:adjustRightInd w:val="0"/>
              <w:spacing w:line="240" w:lineRule="auto"/>
            </w:pPr>
          </w:p>
          <w:p w14:paraId="1263C1AF" w14:textId="77777777" w:rsidR="00C04CAD" w:rsidRDefault="00060E34">
            <w:pPr>
              <w:tabs>
                <w:tab w:val="clear" w:pos="567"/>
              </w:tabs>
              <w:kinsoku w:val="0"/>
              <w:overflowPunct w:val="0"/>
              <w:autoSpaceDE w:val="0"/>
              <w:autoSpaceDN w:val="0"/>
              <w:adjustRightInd w:val="0"/>
              <w:spacing w:line="240" w:lineRule="auto"/>
            </w:pPr>
            <w:r>
              <w:t>co</w:t>
            </w:r>
            <w:r>
              <w:rPr>
                <w:spacing w:val="1"/>
              </w:rPr>
              <w:t>l</w:t>
            </w:r>
            <w:r>
              <w:rPr>
                <w:spacing w:val="-3"/>
              </w:rPr>
              <w:t>e</w:t>
            </w:r>
            <w:r>
              <w:t>c</w:t>
            </w:r>
            <w:r>
              <w:rPr>
                <w:spacing w:val="1"/>
              </w:rPr>
              <w:t>i</w:t>
            </w:r>
            <w:r>
              <w:rPr>
                <w:spacing w:val="-2"/>
              </w:rPr>
              <w:t>st</w:t>
            </w:r>
            <w:r>
              <w:rPr>
                <w:spacing w:val="1"/>
              </w:rPr>
              <w:t>it</w:t>
            </w:r>
            <w:r>
              <w:t>ă</w:t>
            </w:r>
            <w:r>
              <w:rPr>
                <w:spacing w:val="-2"/>
              </w:rPr>
              <w:t xml:space="preserve"> </w:t>
            </w:r>
            <w:r>
              <w:t>şi</w:t>
            </w:r>
            <w:r>
              <w:rPr>
                <w:spacing w:val="-2"/>
              </w:rPr>
              <w:t xml:space="preserve"> </w:t>
            </w:r>
            <w:r>
              <w:t>co</w:t>
            </w:r>
            <w:r>
              <w:rPr>
                <w:spacing w:val="-2"/>
              </w:rPr>
              <w:t>l</w:t>
            </w:r>
            <w:r>
              <w:t>e</w:t>
            </w:r>
            <w:r>
              <w:rPr>
                <w:spacing w:val="-2"/>
              </w:rPr>
              <w:t>l</w:t>
            </w:r>
            <w:r>
              <w:rPr>
                <w:spacing w:val="1"/>
              </w:rPr>
              <w:t>i</w:t>
            </w:r>
            <w:r>
              <w:rPr>
                <w:spacing w:val="-2"/>
              </w:rPr>
              <w:t>t</w:t>
            </w:r>
            <w:r>
              <w:rPr>
                <w:spacing w:val="1"/>
              </w:rPr>
              <w:t>i</w:t>
            </w:r>
            <w:r>
              <w:t>a</w:t>
            </w:r>
            <w:r>
              <w:rPr>
                <w:spacing w:val="-3"/>
              </w:rPr>
              <w:t>z</w:t>
            </w:r>
            <w:r>
              <w:t>ă,</w:t>
            </w:r>
          </w:p>
          <w:p w14:paraId="180A0DE0" w14:textId="77777777" w:rsidR="00C04CAD" w:rsidRDefault="00060E34">
            <w:pPr>
              <w:tabs>
                <w:tab w:val="clear" w:pos="567"/>
              </w:tabs>
              <w:kinsoku w:val="0"/>
              <w:overflowPunct w:val="0"/>
              <w:autoSpaceDE w:val="0"/>
              <w:autoSpaceDN w:val="0"/>
              <w:adjustRightInd w:val="0"/>
              <w:spacing w:line="240" w:lineRule="auto"/>
            </w:pPr>
            <w:r>
              <w:t>s</w:t>
            </w:r>
            <w:r>
              <w:rPr>
                <w:spacing w:val="1"/>
              </w:rPr>
              <w:t>t</w:t>
            </w:r>
            <w:r>
              <w:t>e</w:t>
            </w:r>
            <w:r>
              <w:rPr>
                <w:spacing w:val="-3"/>
              </w:rPr>
              <w:t>a</w:t>
            </w:r>
            <w:r>
              <w:rPr>
                <w:spacing w:val="1"/>
              </w:rPr>
              <w:t>t</w:t>
            </w:r>
            <w:r>
              <w:t>o</w:t>
            </w:r>
            <w:r>
              <w:rPr>
                <w:spacing w:val="-3"/>
              </w:rPr>
              <w:t>z</w:t>
            </w:r>
            <w:r>
              <w:t>ă h</w:t>
            </w:r>
            <w:r>
              <w:rPr>
                <w:spacing w:val="-3"/>
              </w:rPr>
              <w:t>e</w:t>
            </w:r>
            <w:r>
              <w:t>pa</w:t>
            </w:r>
            <w:r>
              <w:rPr>
                <w:spacing w:val="-2"/>
              </w:rPr>
              <w:t>t</w:t>
            </w:r>
            <w:r>
              <w:rPr>
                <w:spacing w:val="1"/>
              </w:rPr>
              <w:t>i</w:t>
            </w:r>
            <w:r>
              <w:rPr>
                <w:spacing w:val="-3"/>
              </w:rPr>
              <w:t>c</w:t>
            </w:r>
            <w:r>
              <w:t>ă,</w:t>
            </w:r>
          </w:p>
          <w:p w14:paraId="54C2FFCC" w14:textId="77777777" w:rsidR="00C04CAD" w:rsidRDefault="00060E34">
            <w:pPr>
              <w:tabs>
                <w:tab w:val="clear" w:pos="567"/>
              </w:tabs>
              <w:kinsoku w:val="0"/>
              <w:overflowPunct w:val="0"/>
              <w:autoSpaceDE w:val="0"/>
              <w:autoSpaceDN w:val="0"/>
              <w:adjustRightInd w:val="0"/>
              <w:spacing w:line="240" w:lineRule="auto"/>
            </w:pPr>
            <w:r>
              <w:t>cre</w:t>
            </w:r>
            <w:r>
              <w:rPr>
                <w:spacing w:val="-2"/>
              </w:rPr>
              <w:t>ş</w:t>
            </w:r>
            <w:r>
              <w:rPr>
                <w:spacing w:val="1"/>
              </w:rPr>
              <w:t>t</w:t>
            </w:r>
            <w:r>
              <w:rPr>
                <w:spacing w:val="-3"/>
              </w:rPr>
              <w:t>e</w:t>
            </w:r>
            <w:r>
              <w:t>rea</w:t>
            </w:r>
            <w:r>
              <w:rPr>
                <w:spacing w:val="-2"/>
              </w:rPr>
              <w:t xml:space="preserve"> </w:t>
            </w:r>
            <w:r>
              <w:t>b</w:t>
            </w:r>
            <w:r>
              <w:rPr>
                <w:spacing w:val="-2"/>
              </w:rPr>
              <w:t>i</w:t>
            </w:r>
            <w:r>
              <w:rPr>
                <w:spacing w:val="1"/>
              </w:rPr>
              <w:t>l</w:t>
            </w:r>
            <w:r>
              <w:rPr>
                <w:spacing w:val="-2"/>
              </w:rPr>
              <w:t>i</w:t>
            </w:r>
            <w:r>
              <w:t>ru</w:t>
            </w:r>
            <w:r>
              <w:rPr>
                <w:spacing w:val="-3"/>
              </w:rPr>
              <w:t>b</w:t>
            </w:r>
            <w:r>
              <w:rPr>
                <w:spacing w:val="1"/>
              </w:rPr>
              <w:t>i</w:t>
            </w:r>
            <w:r>
              <w:t>n</w:t>
            </w:r>
            <w:r>
              <w:rPr>
                <w:spacing w:val="-3"/>
              </w:rPr>
              <w:t>e</w:t>
            </w:r>
            <w:r>
              <w:t>i</w:t>
            </w:r>
            <w:r>
              <w:rPr>
                <w:spacing w:val="1"/>
              </w:rPr>
              <w:t xml:space="preserve"> </w:t>
            </w:r>
            <w:r>
              <w:t>s</w:t>
            </w:r>
            <w:r>
              <w:rPr>
                <w:spacing w:val="-3"/>
              </w:rPr>
              <w:t>e</w:t>
            </w:r>
            <w:r>
              <w:t>r</w:t>
            </w:r>
            <w:r>
              <w:rPr>
                <w:spacing w:val="-2"/>
              </w:rPr>
              <w:t>i</w:t>
            </w:r>
            <w:r>
              <w:t>ce</w:t>
            </w:r>
          </w:p>
          <w:p w14:paraId="57DC2281" w14:textId="77777777" w:rsidR="00C04CAD" w:rsidRDefault="00C04CAD">
            <w:pPr>
              <w:tabs>
                <w:tab w:val="clear" w:pos="567"/>
              </w:tabs>
              <w:kinsoku w:val="0"/>
              <w:overflowPunct w:val="0"/>
              <w:autoSpaceDE w:val="0"/>
              <w:autoSpaceDN w:val="0"/>
              <w:adjustRightInd w:val="0"/>
              <w:spacing w:line="240" w:lineRule="auto"/>
            </w:pPr>
          </w:p>
          <w:p w14:paraId="33249032" w14:textId="77777777" w:rsidR="00C04CAD" w:rsidRDefault="00060E34">
            <w:pPr>
              <w:tabs>
                <w:tab w:val="clear" w:pos="567"/>
              </w:tabs>
              <w:kinsoku w:val="0"/>
              <w:overflowPunct w:val="0"/>
              <w:autoSpaceDE w:val="0"/>
              <w:autoSpaceDN w:val="0"/>
              <w:adjustRightInd w:val="0"/>
              <w:spacing w:line="240" w:lineRule="auto"/>
            </w:pPr>
            <w:r>
              <w:t>hepa</w:t>
            </w:r>
            <w:r>
              <w:rPr>
                <w:spacing w:val="-2"/>
              </w:rPr>
              <w:t>ti</w:t>
            </w:r>
            <w:r>
              <w:rPr>
                <w:spacing w:val="1"/>
              </w:rPr>
              <w:t>t</w:t>
            </w:r>
            <w:r>
              <w:t>ă,</w:t>
            </w:r>
          </w:p>
          <w:p w14:paraId="1CBCA622" w14:textId="77777777" w:rsidR="00C04CAD" w:rsidRDefault="00060E34">
            <w:pPr>
              <w:tabs>
                <w:tab w:val="clear" w:pos="567"/>
              </w:tabs>
              <w:kinsoku w:val="0"/>
              <w:overflowPunct w:val="0"/>
              <w:autoSpaceDE w:val="0"/>
              <w:autoSpaceDN w:val="0"/>
              <w:adjustRightInd w:val="0"/>
              <w:spacing w:line="240" w:lineRule="auto"/>
            </w:pPr>
            <w:r>
              <w:t>rea</w:t>
            </w:r>
            <w:r>
              <w:rPr>
                <w:spacing w:val="-3"/>
              </w:rPr>
              <w:t>c</w:t>
            </w:r>
            <w:r>
              <w:rPr>
                <w:spacing w:val="1"/>
              </w:rPr>
              <w:t>ti</w:t>
            </w:r>
            <w:r>
              <w:rPr>
                <w:spacing w:val="-3"/>
              </w:rPr>
              <w:t>v</w:t>
            </w:r>
            <w:r>
              <w:t>a</w:t>
            </w:r>
            <w:r>
              <w:rPr>
                <w:spacing w:val="-2"/>
              </w:rPr>
              <w:t>r</w:t>
            </w:r>
            <w:r>
              <w:t>e</w:t>
            </w:r>
            <w:r>
              <w:rPr>
                <w:spacing w:val="-1"/>
              </w:rPr>
              <w:t xml:space="preserve"> </w:t>
            </w:r>
            <w:r>
              <w:t xml:space="preserve">a </w:t>
            </w:r>
            <w:r>
              <w:rPr>
                <w:spacing w:val="-3"/>
              </w:rPr>
              <w:t>h</w:t>
            </w:r>
            <w:r>
              <w:t>ep</w:t>
            </w:r>
            <w:r>
              <w:rPr>
                <w:spacing w:val="-3"/>
              </w:rPr>
              <w:t>a</w:t>
            </w:r>
            <w:r>
              <w:rPr>
                <w:spacing w:val="1"/>
              </w:rPr>
              <w:t>t</w:t>
            </w:r>
            <w:r>
              <w:rPr>
                <w:spacing w:val="-2"/>
              </w:rPr>
              <w:t>i</w:t>
            </w:r>
            <w:r>
              <w:rPr>
                <w:spacing w:val="1"/>
              </w:rPr>
              <w:t>t</w:t>
            </w:r>
            <w:r>
              <w:rPr>
                <w:spacing w:val="-3"/>
              </w:rPr>
              <w:t>e</w:t>
            </w:r>
            <w:r>
              <w:t>i B</w:t>
            </w:r>
            <w:r>
              <w:rPr>
                <w:vertAlign w:val="superscript"/>
              </w:rPr>
              <w:t>1)</w:t>
            </w:r>
            <w:r>
              <w:t>,</w:t>
            </w:r>
          </w:p>
          <w:p w14:paraId="0C3E2346" w14:textId="77777777" w:rsidR="00C04CAD" w:rsidRDefault="00060E34">
            <w:pPr>
              <w:tabs>
                <w:tab w:val="clear" w:pos="567"/>
              </w:tabs>
              <w:kinsoku w:val="0"/>
              <w:overflowPunct w:val="0"/>
              <w:autoSpaceDE w:val="0"/>
              <w:autoSpaceDN w:val="0"/>
              <w:adjustRightInd w:val="0"/>
              <w:spacing w:line="240" w:lineRule="auto"/>
            </w:pPr>
            <w:r>
              <w:t>hepa</w:t>
            </w:r>
            <w:r>
              <w:rPr>
                <w:spacing w:val="-2"/>
              </w:rPr>
              <w:t>ti</w:t>
            </w:r>
            <w:r>
              <w:rPr>
                <w:spacing w:val="1"/>
              </w:rPr>
              <w:t>t</w:t>
            </w:r>
            <w:r>
              <w:t>ă</w:t>
            </w:r>
            <w:r>
              <w:rPr>
                <w:spacing w:val="-2"/>
              </w:rPr>
              <w:t xml:space="preserve"> </w:t>
            </w:r>
            <w:r>
              <w:t>a</w:t>
            </w:r>
            <w:r>
              <w:rPr>
                <w:spacing w:val="-3"/>
              </w:rPr>
              <w:t>u</w:t>
            </w:r>
            <w:r>
              <w:rPr>
                <w:spacing w:val="1"/>
              </w:rPr>
              <w:t>t</w:t>
            </w:r>
            <w:r>
              <w:rPr>
                <w:spacing w:val="-3"/>
              </w:rPr>
              <w:t>o</w:t>
            </w:r>
            <w:r>
              <w:rPr>
                <w:spacing w:val="1"/>
              </w:rPr>
              <w:t>i</w:t>
            </w:r>
            <w:r>
              <w:rPr>
                <w:spacing w:val="-4"/>
              </w:rPr>
              <w:t>m</w:t>
            </w:r>
            <w:r>
              <w:t>ună</w:t>
            </w:r>
            <w:r>
              <w:rPr>
                <w:vertAlign w:val="superscript"/>
              </w:rPr>
              <w:t>1</w:t>
            </w:r>
            <w:r>
              <w:rPr>
                <w:spacing w:val="-2"/>
                <w:vertAlign w:val="superscript"/>
              </w:rPr>
              <w:t>)</w:t>
            </w:r>
          </w:p>
          <w:p w14:paraId="46DBDB64" w14:textId="77777777" w:rsidR="00C04CAD" w:rsidRDefault="00C04CAD">
            <w:pPr>
              <w:tabs>
                <w:tab w:val="clear" w:pos="567"/>
              </w:tabs>
              <w:kinsoku w:val="0"/>
              <w:overflowPunct w:val="0"/>
              <w:autoSpaceDE w:val="0"/>
              <w:autoSpaceDN w:val="0"/>
              <w:adjustRightInd w:val="0"/>
              <w:spacing w:line="240" w:lineRule="auto"/>
            </w:pPr>
          </w:p>
          <w:p w14:paraId="7B7C768C" w14:textId="77777777" w:rsidR="00C04CAD" w:rsidRDefault="00060E34">
            <w:pPr>
              <w:tabs>
                <w:tab w:val="clear" w:pos="567"/>
              </w:tabs>
              <w:kinsoku w:val="0"/>
              <w:overflowPunct w:val="0"/>
              <w:autoSpaceDE w:val="0"/>
              <w:autoSpaceDN w:val="0"/>
              <w:adjustRightInd w:val="0"/>
              <w:spacing w:line="240" w:lineRule="auto"/>
            </w:pPr>
            <w:r>
              <w:rPr>
                <w:spacing w:val="1"/>
              </w:rPr>
              <w:t>i</w:t>
            </w:r>
            <w:r>
              <w:t>ns</w:t>
            </w:r>
            <w:r>
              <w:rPr>
                <w:spacing w:val="-3"/>
              </w:rPr>
              <w:t>u</w:t>
            </w:r>
            <w:r>
              <w:t>f</w:t>
            </w:r>
            <w:r>
              <w:rPr>
                <w:spacing w:val="1"/>
              </w:rPr>
              <w:t>i</w:t>
            </w:r>
            <w:r>
              <w:rPr>
                <w:spacing w:val="-3"/>
              </w:rPr>
              <w:t>c</w:t>
            </w:r>
            <w:r>
              <w:rPr>
                <w:spacing w:val="1"/>
              </w:rPr>
              <w:t>i</w:t>
            </w:r>
            <w:r>
              <w:t>e</w:t>
            </w:r>
            <w:r>
              <w:rPr>
                <w:spacing w:val="-3"/>
              </w:rPr>
              <w:t>n</w:t>
            </w:r>
            <w:r>
              <w:rPr>
                <w:spacing w:val="1"/>
              </w:rPr>
              <w:t>ţ</w:t>
            </w:r>
            <w:r>
              <w:t>ă</w:t>
            </w:r>
            <w:r>
              <w:rPr>
                <w:spacing w:val="-4"/>
              </w:rPr>
              <w:t xml:space="preserve"> </w:t>
            </w:r>
            <w:r>
              <w:t>hepatică</w:t>
            </w:r>
            <w:r>
              <w:rPr>
                <w:vertAlign w:val="superscript"/>
              </w:rPr>
              <w:t>1)</w:t>
            </w:r>
          </w:p>
        </w:tc>
      </w:tr>
      <w:tr w:rsidR="00C04CAD" w14:paraId="5E040D8D" w14:textId="77777777">
        <w:trPr>
          <w:cantSplit/>
        </w:trPr>
        <w:tc>
          <w:tcPr>
            <w:tcW w:w="2501" w:type="dxa"/>
          </w:tcPr>
          <w:p w14:paraId="6315B16B" w14:textId="77777777" w:rsidR="00C04CAD" w:rsidRDefault="00060E34">
            <w:pPr>
              <w:tabs>
                <w:tab w:val="clear" w:pos="567"/>
              </w:tabs>
              <w:kinsoku w:val="0"/>
              <w:overflowPunct w:val="0"/>
              <w:autoSpaceDE w:val="0"/>
              <w:autoSpaceDN w:val="0"/>
              <w:adjustRightInd w:val="0"/>
              <w:spacing w:line="240" w:lineRule="auto"/>
            </w:pPr>
            <w:r>
              <w:rPr>
                <w:spacing w:val="1"/>
              </w:rPr>
              <w:lastRenderedPageBreak/>
              <w:t>T</w:t>
            </w:r>
            <w:r>
              <w:rPr>
                <w:spacing w:val="-3"/>
              </w:rPr>
              <w:t>u</w:t>
            </w:r>
            <w:r>
              <w:rPr>
                <w:spacing w:val="1"/>
              </w:rPr>
              <w:t>l</w:t>
            </w:r>
            <w:r>
              <w:t>bu</w:t>
            </w:r>
            <w:r>
              <w:rPr>
                <w:spacing w:val="-2"/>
              </w:rPr>
              <w:t>r</w:t>
            </w:r>
            <w:r>
              <w:t>ă</w:t>
            </w:r>
            <w:r>
              <w:rPr>
                <w:spacing w:val="-2"/>
              </w:rPr>
              <w:t>r</w:t>
            </w:r>
            <w:r>
              <w:t>i</w:t>
            </w:r>
            <w:r>
              <w:rPr>
                <w:spacing w:val="1"/>
              </w:rPr>
              <w:t xml:space="preserve"> </w:t>
            </w:r>
            <w:r>
              <w:t>c</w:t>
            </w:r>
            <w:r>
              <w:rPr>
                <w:spacing w:val="-3"/>
              </w:rPr>
              <w:t>u</w:t>
            </w:r>
            <w:r>
              <w:rPr>
                <w:spacing w:val="1"/>
              </w:rPr>
              <w:t>t</w:t>
            </w:r>
            <w:r>
              <w:t>a</w:t>
            </w:r>
            <w:r>
              <w:rPr>
                <w:spacing w:val="-3"/>
              </w:rPr>
              <w:t>n</w:t>
            </w:r>
            <w:r>
              <w:t>a</w:t>
            </w:r>
            <w:r>
              <w:rPr>
                <w:spacing w:val="-2"/>
              </w:rPr>
              <w:t>t</w:t>
            </w:r>
            <w:r>
              <w:t>e şi</w:t>
            </w:r>
            <w:r>
              <w:rPr>
                <w:spacing w:val="-2"/>
              </w:rPr>
              <w:t xml:space="preserve"> </w:t>
            </w:r>
            <w:r>
              <w:t>a</w:t>
            </w:r>
            <w:r>
              <w:rPr>
                <w:spacing w:val="-2"/>
              </w:rPr>
              <w:t>l</w:t>
            </w:r>
            <w:r>
              <w:t xml:space="preserve">e </w:t>
            </w:r>
            <w:r>
              <w:rPr>
                <w:spacing w:val="1"/>
              </w:rPr>
              <w:t>ţ</w:t>
            </w:r>
            <w:r>
              <w:t>es</w:t>
            </w:r>
            <w:r>
              <w:rPr>
                <w:spacing w:val="-3"/>
              </w:rPr>
              <w:t>u</w:t>
            </w:r>
            <w:r>
              <w:rPr>
                <w:spacing w:val="1"/>
              </w:rPr>
              <w:t>t</w:t>
            </w:r>
            <w:r>
              <w:rPr>
                <w:spacing w:val="-3"/>
              </w:rPr>
              <w:t>u</w:t>
            </w:r>
            <w:r>
              <w:rPr>
                <w:spacing w:val="1"/>
              </w:rPr>
              <w:t>l</w:t>
            </w:r>
            <w:r>
              <w:rPr>
                <w:spacing w:val="-1"/>
              </w:rPr>
              <w:t>u</w:t>
            </w:r>
            <w:r>
              <w:t>i</w:t>
            </w:r>
            <w:r>
              <w:rPr>
                <w:spacing w:val="-2"/>
              </w:rPr>
              <w:t xml:space="preserve"> </w:t>
            </w:r>
            <w:r>
              <w:t>subc</w:t>
            </w:r>
            <w:r>
              <w:rPr>
                <w:spacing w:val="-3"/>
              </w:rPr>
              <w:t>u</w:t>
            </w:r>
            <w:r>
              <w:rPr>
                <w:spacing w:val="1"/>
              </w:rPr>
              <w:t>t</w:t>
            </w:r>
            <w:r>
              <w:t>a</w:t>
            </w:r>
            <w:r>
              <w:rPr>
                <w:spacing w:val="-3"/>
              </w:rPr>
              <w:t>n</w:t>
            </w:r>
            <w:r>
              <w:t>at</w:t>
            </w:r>
          </w:p>
        </w:tc>
        <w:tc>
          <w:tcPr>
            <w:tcW w:w="1784" w:type="dxa"/>
          </w:tcPr>
          <w:p w14:paraId="52443C4C"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1ECA1511" w14:textId="77777777" w:rsidR="00C04CAD" w:rsidRDefault="00C04CAD">
            <w:pPr>
              <w:tabs>
                <w:tab w:val="clear" w:pos="567"/>
              </w:tabs>
              <w:kinsoku w:val="0"/>
              <w:overflowPunct w:val="0"/>
              <w:autoSpaceDE w:val="0"/>
              <w:autoSpaceDN w:val="0"/>
              <w:adjustRightInd w:val="0"/>
              <w:spacing w:line="240" w:lineRule="auto"/>
            </w:pPr>
          </w:p>
          <w:p w14:paraId="4996DE67" w14:textId="77777777" w:rsidR="00C04CAD" w:rsidRDefault="00C04CAD">
            <w:pPr>
              <w:tabs>
                <w:tab w:val="clear" w:pos="567"/>
              </w:tabs>
              <w:kinsoku w:val="0"/>
              <w:overflowPunct w:val="0"/>
              <w:autoSpaceDE w:val="0"/>
              <w:autoSpaceDN w:val="0"/>
              <w:adjustRightInd w:val="0"/>
              <w:spacing w:line="240" w:lineRule="auto"/>
              <w:rPr>
                <w:spacing w:val="-1"/>
              </w:rPr>
            </w:pPr>
          </w:p>
          <w:p w14:paraId="3BDEFC38"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747ED246" w14:textId="77777777" w:rsidR="00C04CAD" w:rsidRDefault="00C04CAD">
            <w:pPr>
              <w:tabs>
                <w:tab w:val="clear" w:pos="567"/>
              </w:tabs>
              <w:kinsoku w:val="0"/>
              <w:overflowPunct w:val="0"/>
              <w:autoSpaceDE w:val="0"/>
              <w:autoSpaceDN w:val="0"/>
              <w:adjustRightInd w:val="0"/>
              <w:spacing w:line="240" w:lineRule="auto"/>
            </w:pPr>
          </w:p>
          <w:p w14:paraId="4055B0C7" w14:textId="77777777" w:rsidR="00C04CAD" w:rsidRDefault="00C04CAD">
            <w:pPr>
              <w:tabs>
                <w:tab w:val="clear" w:pos="567"/>
              </w:tabs>
              <w:kinsoku w:val="0"/>
              <w:overflowPunct w:val="0"/>
              <w:autoSpaceDE w:val="0"/>
              <w:autoSpaceDN w:val="0"/>
              <w:adjustRightInd w:val="0"/>
              <w:spacing w:line="240" w:lineRule="auto"/>
            </w:pPr>
          </w:p>
          <w:p w14:paraId="326BAB1E" w14:textId="77777777" w:rsidR="00C04CAD" w:rsidRDefault="00C04CAD">
            <w:pPr>
              <w:tabs>
                <w:tab w:val="clear" w:pos="567"/>
              </w:tabs>
              <w:kinsoku w:val="0"/>
              <w:overflowPunct w:val="0"/>
              <w:autoSpaceDE w:val="0"/>
              <w:autoSpaceDN w:val="0"/>
              <w:adjustRightInd w:val="0"/>
              <w:spacing w:line="240" w:lineRule="auto"/>
            </w:pPr>
          </w:p>
          <w:p w14:paraId="67907C28" w14:textId="77777777" w:rsidR="00C04CAD" w:rsidRDefault="00C04CAD">
            <w:pPr>
              <w:tabs>
                <w:tab w:val="clear" w:pos="567"/>
              </w:tabs>
              <w:kinsoku w:val="0"/>
              <w:overflowPunct w:val="0"/>
              <w:autoSpaceDE w:val="0"/>
              <w:autoSpaceDN w:val="0"/>
              <w:adjustRightInd w:val="0"/>
              <w:spacing w:line="240" w:lineRule="auto"/>
            </w:pPr>
          </w:p>
          <w:p w14:paraId="2CF7F7B4" w14:textId="77777777" w:rsidR="00C04CAD" w:rsidRDefault="00C04CAD">
            <w:pPr>
              <w:tabs>
                <w:tab w:val="clear" w:pos="567"/>
              </w:tabs>
              <w:kinsoku w:val="0"/>
              <w:overflowPunct w:val="0"/>
              <w:autoSpaceDE w:val="0"/>
              <w:autoSpaceDN w:val="0"/>
              <w:adjustRightInd w:val="0"/>
              <w:spacing w:line="240" w:lineRule="auto"/>
            </w:pPr>
          </w:p>
          <w:p w14:paraId="3FE680D1" w14:textId="77777777" w:rsidR="00C04CAD" w:rsidRDefault="00C04CAD">
            <w:pPr>
              <w:tabs>
                <w:tab w:val="clear" w:pos="567"/>
              </w:tabs>
              <w:kinsoku w:val="0"/>
              <w:overflowPunct w:val="0"/>
              <w:autoSpaceDE w:val="0"/>
              <w:autoSpaceDN w:val="0"/>
              <w:adjustRightInd w:val="0"/>
              <w:spacing w:line="240" w:lineRule="auto"/>
            </w:pPr>
          </w:p>
          <w:p w14:paraId="08E8B642" w14:textId="77777777" w:rsidR="00C04CAD" w:rsidRDefault="00C04CAD">
            <w:pPr>
              <w:tabs>
                <w:tab w:val="clear" w:pos="567"/>
              </w:tabs>
              <w:kinsoku w:val="0"/>
              <w:overflowPunct w:val="0"/>
              <w:autoSpaceDE w:val="0"/>
              <w:autoSpaceDN w:val="0"/>
              <w:adjustRightInd w:val="0"/>
              <w:spacing w:line="240" w:lineRule="auto"/>
            </w:pPr>
          </w:p>
          <w:p w14:paraId="62A4BDC4" w14:textId="77777777" w:rsidR="00C04CAD" w:rsidRDefault="00C04CAD">
            <w:pPr>
              <w:tabs>
                <w:tab w:val="clear" w:pos="567"/>
              </w:tabs>
              <w:kinsoku w:val="0"/>
              <w:overflowPunct w:val="0"/>
              <w:autoSpaceDE w:val="0"/>
              <w:autoSpaceDN w:val="0"/>
              <w:adjustRightInd w:val="0"/>
              <w:spacing w:line="240" w:lineRule="auto"/>
            </w:pPr>
          </w:p>
          <w:p w14:paraId="65110675" w14:textId="77777777" w:rsidR="00C04CAD" w:rsidRDefault="00C04CAD">
            <w:pPr>
              <w:tabs>
                <w:tab w:val="clear" w:pos="567"/>
              </w:tabs>
              <w:kinsoku w:val="0"/>
              <w:overflowPunct w:val="0"/>
              <w:autoSpaceDE w:val="0"/>
              <w:autoSpaceDN w:val="0"/>
              <w:adjustRightInd w:val="0"/>
              <w:spacing w:line="240" w:lineRule="auto"/>
            </w:pPr>
          </w:p>
          <w:p w14:paraId="593192D0"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p w14:paraId="5DDA2D5F" w14:textId="77777777" w:rsidR="00C04CAD" w:rsidRDefault="00C04CAD">
            <w:pPr>
              <w:tabs>
                <w:tab w:val="clear" w:pos="567"/>
              </w:tabs>
              <w:kinsoku w:val="0"/>
              <w:overflowPunct w:val="0"/>
              <w:autoSpaceDE w:val="0"/>
              <w:autoSpaceDN w:val="0"/>
              <w:adjustRightInd w:val="0"/>
              <w:spacing w:line="240" w:lineRule="auto"/>
            </w:pPr>
          </w:p>
          <w:p w14:paraId="160B805D" w14:textId="77777777" w:rsidR="00C04CAD" w:rsidRDefault="00C04CAD">
            <w:pPr>
              <w:tabs>
                <w:tab w:val="clear" w:pos="567"/>
              </w:tabs>
              <w:kinsoku w:val="0"/>
              <w:overflowPunct w:val="0"/>
              <w:autoSpaceDE w:val="0"/>
              <w:autoSpaceDN w:val="0"/>
              <w:adjustRightInd w:val="0"/>
              <w:spacing w:line="240" w:lineRule="auto"/>
            </w:pPr>
          </w:p>
          <w:p w14:paraId="52482402" w14:textId="77777777" w:rsidR="00C04CAD" w:rsidRDefault="00060E34">
            <w:pPr>
              <w:tabs>
                <w:tab w:val="clear" w:pos="567"/>
              </w:tabs>
              <w:kinsoku w:val="0"/>
              <w:overflowPunct w:val="0"/>
              <w:autoSpaceDE w:val="0"/>
              <w:autoSpaceDN w:val="0"/>
              <w:adjustRightInd w:val="0"/>
              <w:spacing w:line="240" w:lineRule="auto"/>
            </w:pPr>
            <w:r>
              <w:t>Rare</w:t>
            </w:r>
          </w:p>
          <w:p w14:paraId="349A51B8" w14:textId="77777777" w:rsidR="00C04CAD" w:rsidRDefault="00C04CAD">
            <w:pPr>
              <w:tabs>
                <w:tab w:val="clear" w:pos="567"/>
              </w:tabs>
              <w:kinsoku w:val="0"/>
              <w:overflowPunct w:val="0"/>
              <w:autoSpaceDE w:val="0"/>
              <w:autoSpaceDN w:val="0"/>
              <w:adjustRightInd w:val="0"/>
              <w:spacing w:line="240" w:lineRule="auto"/>
            </w:pPr>
          </w:p>
          <w:p w14:paraId="1F3DD663" w14:textId="77777777" w:rsidR="00C04CAD" w:rsidRDefault="00C04CAD">
            <w:pPr>
              <w:tabs>
                <w:tab w:val="clear" w:pos="567"/>
              </w:tabs>
              <w:kinsoku w:val="0"/>
              <w:overflowPunct w:val="0"/>
              <w:autoSpaceDE w:val="0"/>
              <w:autoSpaceDN w:val="0"/>
              <w:adjustRightInd w:val="0"/>
              <w:spacing w:line="240" w:lineRule="auto"/>
            </w:pPr>
          </w:p>
          <w:p w14:paraId="225665F0" w14:textId="77777777" w:rsidR="00C04CAD" w:rsidRDefault="00C04CAD">
            <w:pPr>
              <w:tabs>
                <w:tab w:val="clear" w:pos="567"/>
              </w:tabs>
              <w:kinsoku w:val="0"/>
              <w:overflowPunct w:val="0"/>
              <w:autoSpaceDE w:val="0"/>
              <w:autoSpaceDN w:val="0"/>
              <w:adjustRightInd w:val="0"/>
              <w:spacing w:line="240" w:lineRule="auto"/>
            </w:pPr>
          </w:p>
          <w:p w14:paraId="67917716" w14:textId="77777777" w:rsidR="00C04CAD" w:rsidRDefault="00C04CAD">
            <w:pPr>
              <w:tabs>
                <w:tab w:val="clear" w:pos="567"/>
              </w:tabs>
              <w:kinsoku w:val="0"/>
              <w:overflowPunct w:val="0"/>
              <w:autoSpaceDE w:val="0"/>
              <w:autoSpaceDN w:val="0"/>
              <w:adjustRightInd w:val="0"/>
              <w:spacing w:line="240" w:lineRule="auto"/>
            </w:pPr>
          </w:p>
          <w:p w14:paraId="52926B18" w14:textId="77777777" w:rsidR="00C04CAD" w:rsidRDefault="00C04CAD">
            <w:pPr>
              <w:tabs>
                <w:tab w:val="clear" w:pos="567"/>
              </w:tabs>
              <w:kinsoku w:val="0"/>
              <w:overflowPunct w:val="0"/>
              <w:autoSpaceDE w:val="0"/>
              <w:autoSpaceDN w:val="0"/>
              <w:adjustRightInd w:val="0"/>
              <w:spacing w:line="240" w:lineRule="auto"/>
              <w:rPr>
                <w:spacing w:val="-1"/>
              </w:rPr>
            </w:pPr>
          </w:p>
          <w:p w14:paraId="56236B55" w14:textId="77777777" w:rsidR="00C04CAD" w:rsidRDefault="00060E34">
            <w:pPr>
              <w:tabs>
                <w:tab w:val="clear" w:pos="567"/>
              </w:tabs>
              <w:kinsoku w:val="0"/>
              <w:overflowPunct w:val="0"/>
              <w:autoSpaceDE w:val="0"/>
              <w:autoSpaceDN w:val="0"/>
              <w:adjustRightInd w:val="0"/>
              <w:spacing w:line="240" w:lineRule="auto"/>
            </w:pPr>
            <w:r>
              <w:rPr>
                <w:spacing w:val="-1"/>
              </w:rPr>
              <w:t>C</w:t>
            </w:r>
            <w:r>
              <w:t>u fr</w:t>
            </w:r>
            <w:r>
              <w:rPr>
                <w:spacing w:val="-3"/>
              </w:rPr>
              <w:t>e</w:t>
            </w:r>
            <w:r>
              <w:t>c</w:t>
            </w:r>
            <w:r>
              <w:rPr>
                <w:spacing w:val="-3"/>
              </w:rPr>
              <w:t>v</w:t>
            </w:r>
            <w:r>
              <w:t>en</w:t>
            </w:r>
            <w:r>
              <w:rPr>
                <w:spacing w:val="1"/>
              </w:rPr>
              <w:t>ţ</w:t>
            </w:r>
            <w:r>
              <w:t>ă necun</w:t>
            </w:r>
            <w:r>
              <w:rPr>
                <w:spacing w:val="-3"/>
              </w:rPr>
              <w:t>o</w:t>
            </w:r>
            <w:r>
              <w:t>sc</w:t>
            </w:r>
            <w:r>
              <w:rPr>
                <w:spacing w:val="-3"/>
              </w:rPr>
              <w:t>u</w:t>
            </w:r>
            <w:r>
              <w:rPr>
                <w:spacing w:val="1"/>
              </w:rPr>
              <w:t>t</w:t>
            </w:r>
            <w:r>
              <w:t xml:space="preserve">ă </w:t>
            </w:r>
          </w:p>
          <w:p w14:paraId="27D98022"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5E15738A" w14:textId="77777777" w:rsidR="00C04CAD" w:rsidRDefault="00060E34">
            <w:pPr>
              <w:tabs>
                <w:tab w:val="clear" w:pos="567"/>
              </w:tabs>
              <w:kinsoku w:val="0"/>
              <w:overflowPunct w:val="0"/>
              <w:autoSpaceDE w:val="0"/>
              <w:autoSpaceDN w:val="0"/>
              <w:adjustRightInd w:val="0"/>
              <w:spacing w:line="240" w:lineRule="auto"/>
            </w:pPr>
            <w:r>
              <w:t>eru</w:t>
            </w:r>
            <w:r>
              <w:rPr>
                <w:spacing w:val="-3"/>
              </w:rPr>
              <w:t>p</w:t>
            </w:r>
            <w:r>
              <w:rPr>
                <w:spacing w:val="1"/>
              </w:rPr>
              <w:t>ţi</w:t>
            </w:r>
            <w:r>
              <w:t>e</w:t>
            </w:r>
            <w:r>
              <w:rPr>
                <w:spacing w:val="-2"/>
              </w:rPr>
              <w:t xml:space="preserve"> </w:t>
            </w:r>
            <w:r>
              <w:t>c</w:t>
            </w:r>
            <w:r>
              <w:rPr>
                <w:spacing w:val="-3"/>
              </w:rPr>
              <w:t>u</w:t>
            </w:r>
            <w:r>
              <w:rPr>
                <w:spacing w:val="1"/>
              </w:rPr>
              <w:t>t</w:t>
            </w:r>
            <w:r>
              <w:t>an</w:t>
            </w:r>
            <w:r>
              <w:rPr>
                <w:spacing w:val="-3"/>
              </w:rPr>
              <w:t>a</w:t>
            </w:r>
            <w:r>
              <w:rPr>
                <w:spacing w:val="1"/>
              </w:rPr>
              <w:t>t</w:t>
            </w:r>
            <w:r>
              <w:t>ă</w:t>
            </w:r>
            <w:r>
              <w:rPr>
                <w:spacing w:val="-2"/>
              </w:rPr>
              <w:t xml:space="preserve"> </w:t>
            </w:r>
            <w:r>
              <w:t>(</w:t>
            </w:r>
            <w:r>
              <w:rPr>
                <w:spacing w:val="1"/>
              </w:rPr>
              <w:t>i</w:t>
            </w:r>
            <w:r>
              <w:rPr>
                <w:spacing w:val="-3"/>
              </w:rPr>
              <w:t>n</w:t>
            </w:r>
            <w:r>
              <w:t>c</w:t>
            </w:r>
            <w:r>
              <w:rPr>
                <w:spacing w:val="1"/>
              </w:rPr>
              <w:t>l</w:t>
            </w:r>
            <w:r>
              <w:rPr>
                <w:spacing w:val="-3"/>
              </w:rPr>
              <w:t>u</w:t>
            </w:r>
            <w:r>
              <w:t>s</w:t>
            </w:r>
            <w:r>
              <w:rPr>
                <w:spacing w:val="1"/>
              </w:rPr>
              <w:t>i</w:t>
            </w:r>
            <w:r>
              <w:t>v</w:t>
            </w:r>
            <w:r>
              <w:rPr>
                <w:spacing w:val="-3"/>
              </w:rPr>
              <w:t xml:space="preserve"> </w:t>
            </w:r>
            <w:r>
              <w:rPr>
                <w:spacing w:val="-1"/>
              </w:rPr>
              <w:t>e</w:t>
            </w:r>
            <w:r>
              <w:rPr>
                <w:spacing w:val="-2"/>
              </w:rPr>
              <w:t>r</w:t>
            </w:r>
            <w:r>
              <w:t>up</w:t>
            </w:r>
            <w:r>
              <w:rPr>
                <w:spacing w:val="1"/>
              </w:rPr>
              <w:t>ţ</w:t>
            </w:r>
            <w:r>
              <w:rPr>
                <w:spacing w:val="-2"/>
              </w:rPr>
              <w:t>i</w:t>
            </w:r>
            <w:r>
              <w:t>e c</w:t>
            </w:r>
            <w:r>
              <w:rPr>
                <w:spacing w:val="-3"/>
              </w:rPr>
              <w:t>u</w:t>
            </w:r>
            <w:r>
              <w:rPr>
                <w:spacing w:val="1"/>
              </w:rPr>
              <w:t>t</w:t>
            </w:r>
            <w:r>
              <w:t>a</w:t>
            </w:r>
            <w:r>
              <w:rPr>
                <w:spacing w:val="-3"/>
              </w:rPr>
              <w:t>n</w:t>
            </w:r>
            <w:r>
              <w:t>a</w:t>
            </w:r>
            <w:r>
              <w:rPr>
                <w:spacing w:val="1"/>
              </w:rPr>
              <w:t>t</w:t>
            </w:r>
            <w:r>
              <w:t>ă exf</w:t>
            </w:r>
            <w:r>
              <w:rPr>
                <w:spacing w:val="-3"/>
              </w:rPr>
              <w:t>o</w:t>
            </w:r>
            <w:r>
              <w:rPr>
                <w:spacing w:val="1"/>
              </w:rPr>
              <w:t>li</w:t>
            </w:r>
            <w:r>
              <w:rPr>
                <w:spacing w:val="-3"/>
              </w:rPr>
              <w:t>a</w:t>
            </w:r>
            <w:r>
              <w:rPr>
                <w:spacing w:val="-2"/>
              </w:rPr>
              <w:t>t</w:t>
            </w:r>
            <w:r>
              <w:rPr>
                <w:spacing w:val="1"/>
              </w:rPr>
              <w:t>i</w:t>
            </w:r>
            <w:r>
              <w:rPr>
                <w:spacing w:val="-3"/>
              </w:rPr>
              <w:t>v</w:t>
            </w:r>
            <w:r>
              <w:t>ă),</w:t>
            </w:r>
          </w:p>
          <w:p w14:paraId="77FE5124" w14:textId="77777777" w:rsidR="00C04CAD" w:rsidRDefault="00C04CAD">
            <w:pPr>
              <w:tabs>
                <w:tab w:val="clear" w:pos="567"/>
              </w:tabs>
              <w:kinsoku w:val="0"/>
              <w:overflowPunct w:val="0"/>
              <w:autoSpaceDE w:val="0"/>
              <w:autoSpaceDN w:val="0"/>
              <w:adjustRightInd w:val="0"/>
              <w:spacing w:line="240" w:lineRule="auto"/>
            </w:pPr>
          </w:p>
          <w:p w14:paraId="727BD460" w14:textId="77777777" w:rsidR="00C04CAD" w:rsidRDefault="00060E34">
            <w:pPr>
              <w:tabs>
                <w:tab w:val="clear" w:pos="567"/>
              </w:tabs>
              <w:kinsoku w:val="0"/>
              <w:overflowPunct w:val="0"/>
              <w:autoSpaceDE w:val="0"/>
              <w:autoSpaceDN w:val="0"/>
              <w:adjustRightInd w:val="0"/>
              <w:spacing w:line="240" w:lineRule="auto"/>
            </w:pPr>
            <w:r>
              <w:t>apa</w:t>
            </w:r>
            <w:r>
              <w:rPr>
                <w:spacing w:val="-2"/>
              </w:rPr>
              <w:t>r</w:t>
            </w:r>
            <w:r>
              <w:rPr>
                <w:spacing w:val="1"/>
              </w:rPr>
              <w:t>i</w:t>
            </w:r>
            <w:r>
              <w:rPr>
                <w:spacing w:val="-2"/>
              </w:rPr>
              <w:t>ţ</w:t>
            </w:r>
            <w:r>
              <w:rPr>
                <w:spacing w:val="1"/>
              </w:rPr>
              <w:t>i</w:t>
            </w:r>
            <w:r>
              <w:t xml:space="preserve">a </w:t>
            </w:r>
            <w:r>
              <w:rPr>
                <w:spacing w:val="-3"/>
              </w:rPr>
              <w:t>d</w:t>
            </w:r>
            <w:r>
              <w:t xml:space="preserve">e </w:t>
            </w:r>
            <w:r>
              <w:rPr>
                <w:spacing w:val="-2"/>
              </w:rPr>
              <w:t>l</w:t>
            </w:r>
            <w:r>
              <w:t>e</w:t>
            </w:r>
            <w:r>
              <w:rPr>
                <w:spacing w:val="-3"/>
              </w:rPr>
              <w:t>z</w:t>
            </w:r>
            <w:r>
              <w:rPr>
                <w:spacing w:val="1"/>
              </w:rPr>
              <w:t>i</w:t>
            </w:r>
            <w:r>
              <w:t>uni</w:t>
            </w:r>
            <w:r>
              <w:rPr>
                <w:spacing w:val="-2"/>
              </w:rPr>
              <w:t xml:space="preserve"> </w:t>
            </w:r>
            <w:r>
              <w:t>noi</w:t>
            </w:r>
            <w:r>
              <w:rPr>
                <w:spacing w:val="-2"/>
              </w:rPr>
              <w:t xml:space="preserve"> </w:t>
            </w:r>
            <w:r>
              <w:t>sau</w:t>
            </w:r>
            <w:r>
              <w:rPr>
                <w:spacing w:val="-3"/>
              </w:rPr>
              <w:t xml:space="preserve"> ag</w:t>
            </w:r>
            <w:r>
              <w:t>ra</w:t>
            </w:r>
            <w:r>
              <w:rPr>
                <w:spacing w:val="-3"/>
              </w:rPr>
              <w:t>v</w:t>
            </w:r>
            <w:r>
              <w:t>area pso</w:t>
            </w:r>
            <w:r>
              <w:rPr>
                <w:spacing w:val="-2"/>
              </w:rPr>
              <w:t>r</w:t>
            </w:r>
            <w:r>
              <w:rPr>
                <w:spacing w:val="1"/>
              </w:rPr>
              <w:t>i</w:t>
            </w:r>
            <w:r>
              <w:t>a</w:t>
            </w:r>
            <w:r>
              <w:rPr>
                <w:spacing w:val="-3"/>
              </w:rPr>
              <w:t>z</w:t>
            </w:r>
            <w:r>
              <w:rPr>
                <w:spacing w:val="1"/>
              </w:rPr>
              <w:t>i</w:t>
            </w:r>
            <w:r>
              <w:t>s</w:t>
            </w:r>
            <w:r>
              <w:rPr>
                <w:spacing w:val="-3"/>
              </w:rPr>
              <w:t>u</w:t>
            </w:r>
            <w:r>
              <w:rPr>
                <w:spacing w:val="1"/>
              </w:rPr>
              <w:t>l</w:t>
            </w:r>
            <w:r>
              <w:rPr>
                <w:spacing w:val="-3"/>
              </w:rPr>
              <w:t>u</w:t>
            </w:r>
            <w:r>
              <w:t>i</w:t>
            </w:r>
            <w:r>
              <w:rPr>
                <w:spacing w:val="1"/>
              </w:rPr>
              <w:t xml:space="preserve">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pso</w:t>
            </w:r>
            <w:r>
              <w:rPr>
                <w:spacing w:val="-2"/>
              </w:rPr>
              <w:t>ri</w:t>
            </w:r>
            <w:r>
              <w:t>a</w:t>
            </w:r>
            <w:r>
              <w:rPr>
                <w:spacing w:val="-3"/>
              </w:rPr>
              <w:t>z</w:t>
            </w:r>
            <w:r>
              <w:rPr>
                <w:spacing w:val="1"/>
              </w:rPr>
              <w:t>i</w:t>
            </w:r>
            <w:r>
              <w:t>s pu</w:t>
            </w:r>
            <w:r>
              <w:rPr>
                <w:spacing w:val="-2"/>
              </w:rPr>
              <w:t>s</w:t>
            </w:r>
            <w:r>
              <w:rPr>
                <w:spacing w:val="1"/>
              </w:rPr>
              <w:t>t</w:t>
            </w:r>
            <w:r>
              <w:t>u</w:t>
            </w:r>
            <w:r>
              <w:rPr>
                <w:spacing w:val="-2"/>
              </w:rPr>
              <w:t>l</w:t>
            </w:r>
            <w:r>
              <w:t>os pa</w:t>
            </w:r>
            <w:r>
              <w:rPr>
                <w:spacing w:val="1"/>
              </w:rPr>
              <w:t>l</w:t>
            </w:r>
            <w:r>
              <w:rPr>
                <w:spacing w:val="-4"/>
              </w:rPr>
              <w:t>m</w:t>
            </w:r>
            <w:r>
              <w:t>op</w:t>
            </w:r>
            <w:r>
              <w:rPr>
                <w:spacing w:val="1"/>
              </w:rPr>
              <w:t>l</w:t>
            </w:r>
            <w:r>
              <w:t>a</w:t>
            </w:r>
            <w:r>
              <w:rPr>
                <w:spacing w:val="-3"/>
              </w:rPr>
              <w:t>n</w:t>
            </w:r>
            <w:r>
              <w:rPr>
                <w:spacing w:val="1"/>
              </w:rPr>
              <w:t>t</w:t>
            </w:r>
            <w:r>
              <w:t>a</w:t>
            </w:r>
            <w:r>
              <w:rPr>
                <w:spacing w:val="-2"/>
              </w:rPr>
              <w:t>r</w:t>
            </w:r>
            <w:r>
              <w:t>)</w:t>
            </w:r>
            <w:r>
              <w:rPr>
                <w:vertAlign w:val="superscript"/>
              </w:rPr>
              <w:t>1)</w:t>
            </w:r>
            <w:r>
              <w:t>,</w:t>
            </w:r>
          </w:p>
          <w:p w14:paraId="138F6249" w14:textId="77777777" w:rsidR="00C04CAD" w:rsidRDefault="00060E34">
            <w:pPr>
              <w:tabs>
                <w:tab w:val="clear" w:pos="567"/>
              </w:tabs>
              <w:kinsoku w:val="0"/>
              <w:overflowPunct w:val="0"/>
              <w:autoSpaceDE w:val="0"/>
              <w:autoSpaceDN w:val="0"/>
              <w:adjustRightInd w:val="0"/>
              <w:spacing w:line="240" w:lineRule="auto"/>
            </w:pPr>
            <w:r>
              <w:t>ur</w:t>
            </w:r>
            <w:r>
              <w:rPr>
                <w:spacing w:val="-2"/>
              </w:rPr>
              <w:t>t</w:t>
            </w:r>
            <w:r>
              <w:rPr>
                <w:spacing w:val="1"/>
              </w:rPr>
              <w:t>i</w:t>
            </w:r>
            <w:r>
              <w:t>c</w:t>
            </w:r>
            <w:r>
              <w:rPr>
                <w:spacing w:val="-3"/>
              </w:rPr>
              <w:t>a</w:t>
            </w:r>
            <w:r>
              <w:t>r</w:t>
            </w:r>
            <w:r>
              <w:rPr>
                <w:spacing w:val="-2"/>
              </w:rPr>
              <w:t>i</w:t>
            </w:r>
            <w:r>
              <w:t>e,</w:t>
            </w:r>
          </w:p>
          <w:p w14:paraId="7EBA4449" w14:textId="77777777" w:rsidR="00C04CAD" w:rsidRDefault="00060E34">
            <w:pPr>
              <w:tabs>
                <w:tab w:val="clear" w:pos="567"/>
              </w:tabs>
              <w:kinsoku w:val="0"/>
              <w:overflowPunct w:val="0"/>
              <w:autoSpaceDE w:val="0"/>
              <w:autoSpaceDN w:val="0"/>
              <w:adjustRightInd w:val="0"/>
              <w:spacing w:line="240" w:lineRule="auto"/>
            </w:pPr>
            <w:r>
              <w:rPr>
                <w:spacing w:val="-3"/>
              </w:rPr>
              <w:t>v</w:t>
            </w:r>
            <w:r>
              <w:t>ână</w:t>
            </w:r>
            <w:r>
              <w:rPr>
                <w:spacing w:val="1"/>
              </w:rPr>
              <w:t>t</w:t>
            </w:r>
            <w:r>
              <w:t>ăi</w:t>
            </w:r>
            <w:r>
              <w:rPr>
                <w:spacing w:val="-2"/>
              </w:rPr>
              <w:t xml:space="preserve"> </w:t>
            </w:r>
            <w:r>
              <w:t>(</w:t>
            </w:r>
            <w:r>
              <w:rPr>
                <w:spacing w:val="-2"/>
              </w:rPr>
              <w:t>i</w:t>
            </w:r>
            <w:r>
              <w:t>nc</w:t>
            </w:r>
            <w:r>
              <w:rPr>
                <w:spacing w:val="-2"/>
              </w:rPr>
              <w:t>l</w:t>
            </w:r>
            <w:r>
              <w:t>us</w:t>
            </w:r>
            <w:r>
              <w:rPr>
                <w:spacing w:val="1"/>
              </w:rPr>
              <w:t>i</w:t>
            </w:r>
            <w:r>
              <w:t>v</w:t>
            </w:r>
            <w:r>
              <w:rPr>
                <w:spacing w:val="-3"/>
              </w:rPr>
              <w:t xml:space="preserve"> </w:t>
            </w:r>
            <w:r>
              <w:t>pu</w:t>
            </w:r>
            <w:r>
              <w:rPr>
                <w:spacing w:val="-2"/>
              </w:rPr>
              <w:t>r</w:t>
            </w:r>
            <w:r>
              <w:t>pu</w:t>
            </w:r>
            <w:r>
              <w:rPr>
                <w:spacing w:val="-2"/>
              </w:rPr>
              <w:t>r</w:t>
            </w:r>
            <w:r>
              <w:t>ă),</w:t>
            </w:r>
          </w:p>
          <w:p w14:paraId="4ADAA672" w14:textId="77777777" w:rsidR="00C04CAD" w:rsidRDefault="00060E34">
            <w:pPr>
              <w:tabs>
                <w:tab w:val="clear" w:pos="567"/>
              </w:tabs>
              <w:kinsoku w:val="0"/>
              <w:overflowPunct w:val="0"/>
              <w:autoSpaceDE w:val="0"/>
              <w:autoSpaceDN w:val="0"/>
              <w:adjustRightInd w:val="0"/>
              <w:spacing w:line="240" w:lineRule="auto"/>
            </w:pPr>
            <w:r>
              <w:t>der</w:t>
            </w:r>
            <w:r>
              <w:rPr>
                <w:spacing w:val="-4"/>
              </w:rPr>
              <w:t>m</w:t>
            </w:r>
            <w:r>
              <w:t>a</w:t>
            </w:r>
            <w:r>
              <w:rPr>
                <w:spacing w:val="1"/>
              </w:rPr>
              <w:t>t</w:t>
            </w:r>
            <w:r>
              <w:rPr>
                <w:spacing w:val="-2"/>
              </w:rPr>
              <w:t>i</w:t>
            </w:r>
            <w:r>
              <w:rPr>
                <w:spacing w:val="1"/>
              </w:rPr>
              <w:t>t</w:t>
            </w:r>
            <w:r>
              <w:t xml:space="preserve">ă </w:t>
            </w:r>
            <w:r>
              <w:rPr>
                <w:spacing w:val="-2"/>
              </w:rPr>
              <w:t>(</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ec</w:t>
            </w:r>
            <w:r>
              <w:rPr>
                <w:spacing w:val="-3"/>
              </w:rPr>
              <w:t>z</w:t>
            </w:r>
            <w:r>
              <w:t>e</w:t>
            </w:r>
            <w:r>
              <w:rPr>
                <w:spacing w:val="-4"/>
              </w:rPr>
              <w:t>m</w:t>
            </w:r>
            <w:r>
              <w:t>ă),</w:t>
            </w:r>
          </w:p>
          <w:p w14:paraId="41303C0E" w14:textId="77777777" w:rsidR="00C04CAD" w:rsidRDefault="00060E34">
            <w:pPr>
              <w:tabs>
                <w:tab w:val="clear" w:pos="567"/>
              </w:tabs>
              <w:kinsoku w:val="0"/>
              <w:overflowPunct w:val="0"/>
              <w:autoSpaceDE w:val="0"/>
              <w:autoSpaceDN w:val="0"/>
              <w:adjustRightInd w:val="0"/>
              <w:spacing w:line="240" w:lineRule="auto"/>
            </w:pPr>
            <w:r>
              <w:t>on</w:t>
            </w:r>
            <w:r>
              <w:rPr>
                <w:spacing w:val="1"/>
              </w:rPr>
              <w:t>i</w:t>
            </w:r>
            <w:r>
              <w:t>c</w:t>
            </w:r>
            <w:r>
              <w:rPr>
                <w:spacing w:val="-3"/>
              </w:rPr>
              <w:t>o</w:t>
            </w:r>
            <w:r>
              <w:t>c</w:t>
            </w:r>
            <w:r>
              <w:rPr>
                <w:spacing w:val="1"/>
              </w:rPr>
              <w:t>l</w:t>
            </w:r>
            <w:r>
              <w:t>a</w:t>
            </w:r>
            <w:r>
              <w:rPr>
                <w:spacing w:val="-3"/>
              </w:rPr>
              <w:t>z</w:t>
            </w:r>
            <w:r>
              <w:rPr>
                <w:spacing w:val="-2"/>
              </w:rPr>
              <w:t>i</w:t>
            </w:r>
            <w:r>
              <w:t>e,</w:t>
            </w:r>
          </w:p>
          <w:p w14:paraId="727CBA5A" w14:textId="77777777" w:rsidR="00C04CAD" w:rsidRDefault="00060E34">
            <w:pPr>
              <w:tabs>
                <w:tab w:val="clear" w:pos="567"/>
              </w:tabs>
              <w:kinsoku w:val="0"/>
              <w:overflowPunct w:val="0"/>
              <w:autoSpaceDE w:val="0"/>
              <w:autoSpaceDN w:val="0"/>
              <w:adjustRightInd w:val="0"/>
              <w:spacing w:line="240" w:lineRule="auto"/>
            </w:pPr>
            <w:r>
              <w:t>h</w:t>
            </w:r>
            <w:r>
              <w:rPr>
                <w:spacing w:val="1"/>
              </w:rPr>
              <w:t>i</w:t>
            </w:r>
            <w:r>
              <w:t>p</w:t>
            </w:r>
            <w:r>
              <w:rPr>
                <w:spacing w:val="-3"/>
              </w:rPr>
              <w:t>e</w:t>
            </w:r>
            <w:r>
              <w:t>rh</w:t>
            </w:r>
            <w:r>
              <w:rPr>
                <w:spacing w:val="1"/>
              </w:rPr>
              <w:t>i</w:t>
            </w:r>
            <w:r>
              <w:rPr>
                <w:spacing w:val="-3"/>
              </w:rPr>
              <w:t>d</w:t>
            </w:r>
            <w:r>
              <w:t>ro</w:t>
            </w:r>
            <w:r>
              <w:rPr>
                <w:spacing w:val="-3"/>
              </w:rPr>
              <w:t>z</w:t>
            </w:r>
            <w:r>
              <w:t>ă,</w:t>
            </w:r>
          </w:p>
          <w:p w14:paraId="360603A9" w14:textId="77777777" w:rsidR="00C04CAD" w:rsidRDefault="00060E34">
            <w:pPr>
              <w:tabs>
                <w:tab w:val="clear" w:pos="567"/>
              </w:tabs>
              <w:kinsoku w:val="0"/>
              <w:overflowPunct w:val="0"/>
              <w:autoSpaceDE w:val="0"/>
              <w:autoSpaceDN w:val="0"/>
              <w:adjustRightInd w:val="0"/>
              <w:spacing w:line="240" w:lineRule="auto"/>
            </w:pPr>
            <w:r>
              <w:t>alopecie</w:t>
            </w:r>
            <w:r>
              <w:rPr>
                <w:vertAlign w:val="superscript"/>
              </w:rPr>
              <w:t>1)</w:t>
            </w:r>
            <w:r>
              <w:t>,</w:t>
            </w:r>
          </w:p>
          <w:p w14:paraId="1FC732B4" w14:textId="77777777" w:rsidR="00C04CAD" w:rsidRDefault="00060E34">
            <w:pPr>
              <w:tabs>
                <w:tab w:val="clear" w:pos="567"/>
              </w:tabs>
              <w:kinsoku w:val="0"/>
              <w:overflowPunct w:val="0"/>
              <w:autoSpaceDE w:val="0"/>
              <w:autoSpaceDN w:val="0"/>
              <w:adjustRightInd w:val="0"/>
              <w:spacing w:line="240" w:lineRule="auto"/>
            </w:pPr>
            <w:r>
              <w:t>pru</w:t>
            </w:r>
            <w:r>
              <w:rPr>
                <w:spacing w:val="-2"/>
              </w:rPr>
              <w:t>r</w:t>
            </w:r>
            <w:r>
              <w:rPr>
                <w:spacing w:val="1"/>
              </w:rPr>
              <w:t>i</w:t>
            </w:r>
            <w:r>
              <w:t>t</w:t>
            </w:r>
          </w:p>
          <w:p w14:paraId="37F0E1BB" w14:textId="77777777" w:rsidR="00C04CAD" w:rsidRDefault="00C04CAD">
            <w:pPr>
              <w:tabs>
                <w:tab w:val="clear" w:pos="567"/>
              </w:tabs>
              <w:kinsoku w:val="0"/>
              <w:overflowPunct w:val="0"/>
              <w:autoSpaceDE w:val="0"/>
              <w:autoSpaceDN w:val="0"/>
              <w:adjustRightInd w:val="0"/>
              <w:spacing w:line="240" w:lineRule="auto"/>
            </w:pPr>
          </w:p>
          <w:p w14:paraId="2F10A192" w14:textId="77777777" w:rsidR="00C04CAD" w:rsidRDefault="00060E34">
            <w:pPr>
              <w:tabs>
                <w:tab w:val="clear" w:pos="567"/>
              </w:tabs>
              <w:kinsoku w:val="0"/>
              <w:overflowPunct w:val="0"/>
              <w:autoSpaceDE w:val="0"/>
              <w:autoSpaceDN w:val="0"/>
              <w:adjustRightInd w:val="0"/>
              <w:spacing w:line="240" w:lineRule="auto"/>
            </w:pPr>
            <w:r>
              <w:rPr>
                <w:spacing w:val="1"/>
              </w:rPr>
              <w:t>t</w:t>
            </w:r>
            <w:r>
              <w:t>ra</w:t>
            </w:r>
            <w:r>
              <w:rPr>
                <w:spacing w:val="-3"/>
              </w:rPr>
              <w:t>n</w:t>
            </w:r>
            <w:r>
              <w:t>sp</w:t>
            </w:r>
            <w:r>
              <w:rPr>
                <w:spacing w:val="-2"/>
              </w:rPr>
              <w:t>i</w:t>
            </w:r>
            <w:r>
              <w:t>r</w:t>
            </w:r>
            <w:r>
              <w:rPr>
                <w:spacing w:val="-3"/>
              </w:rPr>
              <w:t>a</w:t>
            </w:r>
            <w:r>
              <w:rPr>
                <w:spacing w:val="1"/>
              </w:rPr>
              <w:t>ţ</w:t>
            </w:r>
            <w:r>
              <w:rPr>
                <w:spacing w:val="-2"/>
              </w:rPr>
              <w:t>i</w:t>
            </w:r>
            <w:r>
              <w:t>i</w:t>
            </w:r>
            <w:r>
              <w:rPr>
                <w:spacing w:val="1"/>
              </w:rPr>
              <w:t xml:space="preserve"> </w:t>
            </w:r>
            <w:r>
              <w:t>n</w:t>
            </w:r>
            <w:r>
              <w:rPr>
                <w:spacing w:val="-3"/>
              </w:rPr>
              <w:t>o</w:t>
            </w:r>
            <w:r>
              <w:t>c</w:t>
            </w:r>
            <w:r>
              <w:rPr>
                <w:spacing w:val="1"/>
              </w:rPr>
              <w:t>t</w:t>
            </w:r>
            <w:r>
              <w:rPr>
                <w:spacing w:val="-3"/>
              </w:rPr>
              <w:t>u</w:t>
            </w:r>
            <w:r>
              <w:t>rne,</w:t>
            </w:r>
          </w:p>
          <w:p w14:paraId="2C132154" w14:textId="77777777" w:rsidR="00C04CAD" w:rsidRDefault="00060E34">
            <w:pPr>
              <w:tabs>
                <w:tab w:val="clear" w:pos="567"/>
              </w:tabs>
              <w:kinsoku w:val="0"/>
              <w:overflowPunct w:val="0"/>
              <w:autoSpaceDE w:val="0"/>
              <w:autoSpaceDN w:val="0"/>
              <w:adjustRightInd w:val="0"/>
              <w:spacing w:line="240" w:lineRule="auto"/>
            </w:pPr>
            <w:r>
              <w:t xml:space="preserve">răni </w:t>
            </w:r>
          </w:p>
          <w:p w14:paraId="74F24B56" w14:textId="77777777" w:rsidR="00C04CAD" w:rsidRDefault="00C04CAD">
            <w:pPr>
              <w:tabs>
                <w:tab w:val="clear" w:pos="567"/>
              </w:tabs>
              <w:kinsoku w:val="0"/>
              <w:overflowPunct w:val="0"/>
              <w:autoSpaceDE w:val="0"/>
              <w:autoSpaceDN w:val="0"/>
              <w:adjustRightInd w:val="0"/>
              <w:spacing w:line="240" w:lineRule="auto"/>
            </w:pPr>
          </w:p>
          <w:p w14:paraId="0E410873" w14:textId="77777777" w:rsidR="00C04CAD" w:rsidRDefault="00C04CAD">
            <w:pPr>
              <w:tabs>
                <w:tab w:val="clear" w:pos="567"/>
              </w:tabs>
              <w:kinsoku w:val="0"/>
              <w:overflowPunct w:val="0"/>
              <w:autoSpaceDE w:val="0"/>
              <w:autoSpaceDN w:val="0"/>
              <w:adjustRightInd w:val="0"/>
              <w:spacing w:line="240" w:lineRule="auto"/>
            </w:pPr>
          </w:p>
          <w:p w14:paraId="6FEDCDF6" w14:textId="77777777" w:rsidR="00C04CAD" w:rsidRDefault="00060E34">
            <w:pPr>
              <w:tabs>
                <w:tab w:val="clear" w:pos="567"/>
              </w:tabs>
              <w:kinsoku w:val="0"/>
              <w:overflowPunct w:val="0"/>
              <w:autoSpaceDE w:val="0"/>
              <w:autoSpaceDN w:val="0"/>
              <w:adjustRightInd w:val="0"/>
              <w:spacing w:line="240" w:lineRule="auto"/>
            </w:pPr>
            <w:r>
              <w:t>er</w:t>
            </w:r>
            <w:r>
              <w:rPr>
                <w:spacing w:val="-2"/>
              </w:rPr>
              <w:t>i</w:t>
            </w:r>
            <w:r>
              <w:rPr>
                <w:spacing w:val="1"/>
              </w:rPr>
              <w:t>t</w:t>
            </w:r>
            <w:r>
              <w:t>em</w:t>
            </w:r>
            <w:r>
              <w:rPr>
                <w:spacing w:val="-6"/>
              </w:rPr>
              <w:t xml:space="preserve"> </w:t>
            </w:r>
            <w:r>
              <w:t>polimorf</w:t>
            </w:r>
            <w:r>
              <w:rPr>
                <w:vertAlign w:val="superscript"/>
              </w:rPr>
              <w:t>1)</w:t>
            </w:r>
            <w:r>
              <w:t>,</w:t>
            </w:r>
          </w:p>
          <w:p w14:paraId="11033A53" w14:textId="77777777" w:rsidR="00C04CAD" w:rsidRDefault="00060E34">
            <w:pPr>
              <w:tabs>
                <w:tab w:val="clear" w:pos="567"/>
              </w:tabs>
              <w:kinsoku w:val="0"/>
              <w:overflowPunct w:val="0"/>
              <w:autoSpaceDE w:val="0"/>
              <w:autoSpaceDN w:val="0"/>
              <w:adjustRightInd w:val="0"/>
              <w:spacing w:line="240" w:lineRule="auto"/>
            </w:pPr>
            <w:r>
              <w:t>s</w:t>
            </w:r>
            <w:r>
              <w:rPr>
                <w:spacing w:val="1"/>
              </w:rPr>
              <w:t>i</w:t>
            </w:r>
            <w:r>
              <w:t>n</w:t>
            </w:r>
            <w:r>
              <w:rPr>
                <w:spacing w:val="-3"/>
              </w:rPr>
              <w:t>d</w:t>
            </w:r>
            <w:r>
              <w:t>rom</w:t>
            </w:r>
            <w:r>
              <w:rPr>
                <w:spacing w:val="-5"/>
              </w:rPr>
              <w:t xml:space="preserve"> </w:t>
            </w:r>
            <w:r>
              <w:rPr>
                <w:spacing w:val="-1"/>
              </w:rPr>
              <w:t>S</w:t>
            </w:r>
            <w:r>
              <w:rPr>
                <w:spacing w:val="1"/>
              </w:rPr>
              <w:t>t</w:t>
            </w:r>
            <w:r>
              <w:t>e</w:t>
            </w:r>
            <w:r>
              <w:rPr>
                <w:spacing w:val="-3"/>
              </w:rPr>
              <w:t>v</w:t>
            </w:r>
            <w:r>
              <w:t>ens</w:t>
            </w:r>
            <w:r>
              <w:rPr>
                <w:spacing w:val="-3"/>
              </w:rPr>
              <w:t xml:space="preserve"> </w:t>
            </w:r>
            <w:r>
              <w:t>Johnson</w:t>
            </w:r>
            <w:r>
              <w:rPr>
                <w:vertAlign w:val="superscript"/>
              </w:rPr>
              <w:t>1)</w:t>
            </w:r>
            <w:r>
              <w:t>,</w:t>
            </w:r>
          </w:p>
          <w:p w14:paraId="43E1419E" w14:textId="77777777" w:rsidR="00C04CAD" w:rsidRDefault="00060E34">
            <w:pPr>
              <w:tabs>
                <w:tab w:val="clear" w:pos="567"/>
              </w:tabs>
              <w:kinsoku w:val="0"/>
              <w:overflowPunct w:val="0"/>
              <w:autoSpaceDE w:val="0"/>
              <w:autoSpaceDN w:val="0"/>
              <w:adjustRightInd w:val="0"/>
              <w:spacing w:line="240" w:lineRule="auto"/>
            </w:pPr>
            <w:r>
              <w:t>edem</w:t>
            </w:r>
            <w:r>
              <w:rPr>
                <w:spacing w:val="-6"/>
              </w:rPr>
              <w:t xml:space="preserve"> </w:t>
            </w:r>
            <w:r>
              <w:t>an</w:t>
            </w:r>
            <w:r>
              <w:rPr>
                <w:spacing w:val="-3"/>
              </w:rPr>
              <w:t>g</w:t>
            </w:r>
            <w:r>
              <w:rPr>
                <w:spacing w:val="1"/>
              </w:rPr>
              <w:t>i</w:t>
            </w:r>
            <w:r>
              <w:t>oneur</w:t>
            </w:r>
            <w:r>
              <w:rPr>
                <w:spacing w:val="-3"/>
              </w:rPr>
              <w:t>o</w:t>
            </w:r>
            <w:r>
              <w:rPr>
                <w:spacing w:val="1"/>
              </w:rPr>
              <w:t>t</w:t>
            </w:r>
            <w:r>
              <w:rPr>
                <w:spacing w:val="-2"/>
              </w:rPr>
              <w:t>i</w:t>
            </w:r>
            <w:r>
              <w:t>c</w:t>
            </w:r>
            <w:r>
              <w:rPr>
                <w:vertAlign w:val="superscript"/>
              </w:rPr>
              <w:t>1)</w:t>
            </w:r>
            <w:r>
              <w:t>,</w:t>
            </w:r>
          </w:p>
          <w:p w14:paraId="339F1E78" w14:textId="77777777" w:rsidR="00C04CAD" w:rsidRDefault="00060E34">
            <w:pPr>
              <w:tabs>
                <w:tab w:val="clear" w:pos="567"/>
              </w:tabs>
              <w:kinsoku w:val="0"/>
              <w:overflowPunct w:val="0"/>
              <w:autoSpaceDE w:val="0"/>
              <w:autoSpaceDN w:val="0"/>
              <w:adjustRightInd w:val="0"/>
              <w:spacing w:line="240" w:lineRule="auto"/>
              <w:rPr>
                <w:vertAlign w:val="superscript"/>
              </w:rPr>
            </w:pPr>
            <w:r>
              <w:rPr>
                <w:spacing w:val="-3"/>
              </w:rPr>
              <w:t>v</w:t>
            </w:r>
            <w:r>
              <w:t>ascu</w:t>
            </w:r>
            <w:r>
              <w:rPr>
                <w:spacing w:val="1"/>
              </w:rPr>
              <w:t>l</w:t>
            </w:r>
            <w:r>
              <w:rPr>
                <w:spacing w:val="-2"/>
              </w:rPr>
              <w:t>i</w:t>
            </w:r>
            <w:r>
              <w:rPr>
                <w:spacing w:val="1"/>
              </w:rPr>
              <w:t>t</w:t>
            </w:r>
            <w:r>
              <w:t>ă</w:t>
            </w:r>
            <w:r>
              <w:rPr>
                <w:spacing w:val="-4"/>
              </w:rPr>
              <w:t xml:space="preserve"> </w:t>
            </w:r>
            <w:r>
              <w:t>cu</w:t>
            </w:r>
            <w:r>
              <w:rPr>
                <w:spacing w:val="-2"/>
              </w:rPr>
              <w:t>t</w:t>
            </w:r>
            <w:r>
              <w:t>an</w:t>
            </w:r>
            <w:r>
              <w:rPr>
                <w:spacing w:val="-3"/>
              </w:rPr>
              <w:t>a</w:t>
            </w:r>
            <w:r>
              <w:rPr>
                <w:spacing w:val="1"/>
              </w:rPr>
              <w:t>t</w:t>
            </w:r>
            <w:r>
              <w:t>ă</w:t>
            </w:r>
            <w:r>
              <w:rPr>
                <w:vertAlign w:val="superscript"/>
              </w:rPr>
              <w:t>1)</w:t>
            </w:r>
          </w:p>
          <w:p w14:paraId="7A60B3C9" w14:textId="77777777" w:rsidR="00C04CAD" w:rsidRDefault="00060E34">
            <w:pPr>
              <w:tabs>
                <w:tab w:val="clear" w:pos="567"/>
              </w:tabs>
              <w:kinsoku w:val="0"/>
              <w:overflowPunct w:val="0"/>
              <w:autoSpaceDE w:val="0"/>
              <w:autoSpaceDN w:val="0"/>
              <w:adjustRightInd w:val="0"/>
              <w:spacing w:line="240" w:lineRule="auto"/>
              <w:rPr>
                <w:vertAlign w:val="superscript"/>
              </w:rPr>
            </w:pPr>
            <w:r>
              <w:rPr>
                <w:szCs w:val="22"/>
              </w:rPr>
              <w:t>reacția cutanată de tip lichenoid</w:t>
            </w:r>
            <w:r>
              <w:rPr>
                <w:szCs w:val="22"/>
                <w:vertAlign w:val="superscript"/>
              </w:rPr>
              <w:t>1)</w:t>
            </w:r>
          </w:p>
          <w:p w14:paraId="6ADE302F" w14:textId="77777777" w:rsidR="00C04CAD" w:rsidRDefault="00C04CAD">
            <w:pPr>
              <w:tabs>
                <w:tab w:val="clear" w:pos="567"/>
              </w:tabs>
              <w:kinsoku w:val="0"/>
              <w:overflowPunct w:val="0"/>
              <w:autoSpaceDE w:val="0"/>
              <w:autoSpaceDN w:val="0"/>
              <w:adjustRightInd w:val="0"/>
              <w:spacing w:line="240" w:lineRule="auto"/>
            </w:pPr>
          </w:p>
          <w:p w14:paraId="68EB792D" w14:textId="77777777" w:rsidR="00C04CAD" w:rsidRDefault="00060E34">
            <w:pPr>
              <w:tabs>
                <w:tab w:val="clear" w:pos="567"/>
              </w:tabs>
              <w:kinsoku w:val="0"/>
              <w:overflowPunct w:val="0"/>
              <w:autoSpaceDE w:val="0"/>
              <w:autoSpaceDN w:val="0"/>
              <w:adjustRightInd w:val="0"/>
              <w:spacing w:line="240" w:lineRule="auto"/>
            </w:pPr>
            <w:r>
              <w:t>a</w:t>
            </w:r>
            <w:r>
              <w:rPr>
                <w:spacing w:val="-3"/>
              </w:rPr>
              <w:t>g</w:t>
            </w:r>
            <w:r>
              <w:t>ra</w:t>
            </w:r>
            <w:r>
              <w:rPr>
                <w:spacing w:val="-3"/>
              </w:rPr>
              <w:t>v</w:t>
            </w:r>
            <w:r>
              <w:t>are</w:t>
            </w:r>
            <w:r>
              <w:rPr>
                <w:spacing w:val="-1"/>
              </w:rPr>
              <w:t xml:space="preserve"> </w:t>
            </w:r>
            <w:r>
              <w:t xml:space="preserve">a </w:t>
            </w:r>
            <w:r>
              <w:rPr>
                <w:spacing w:val="-2"/>
              </w:rPr>
              <w:t>s</w:t>
            </w:r>
            <w:r>
              <w:rPr>
                <w:spacing w:val="1"/>
              </w:rPr>
              <w:t>i</w:t>
            </w:r>
            <w:r>
              <w:rPr>
                <w:spacing w:val="-4"/>
              </w:rPr>
              <w:t>m</w:t>
            </w:r>
            <w:r>
              <w:t>p</w:t>
            </w:r>
            <w:r>
              <w:rPr>
                <w:spacing w:val="1"/>
              </w:rPr>
              <w:t>t</w:t>
            </w:r>
            <w:r>
              <w:t>o</w:t>
            </w:r>
            <w:r>
              <w:rPr>
                <w:spacing w:val="-4"/>
              </w:rPr>
              <w:t>m</w:t>
            </w:r>
            <w:r>
              <w:t>e</w:t>
            </w:r>
            <w:r>
              <w:rPr>
                <w:spacing w:val="1"/>
              </w:rPr>
              <w:t>l</w:t>
            </w:r>
            <w:r>
              <w:t>or d</w:t>
            </w:r>
            <w:r>
              <w:rPr>
                <w:spacing w:val="-3"/>
              </w:rPr>
              <w:t>e</w:t>
            </w:r>
            <w:r>
              <w:rPr>
                <w:spacing w:val="-2"/>
              </w:rPr>
              <w:t>r</w:t>
            </w:r>
            <w:r>
              <w:rPr>
                <w:spacing w:val="-4"/>
              </w:rPr>
              <w:t>m</w:t>
            </w:r>
            <w:r>
              <w:t>a</w:t>
            </w:r>
            <w:r>
              <w:rPr>
                <w:spacing w:val="1"/>
              </w:rPr>
              <w:t>t</w:t>
            </w:r>
            <w:r>
              <w:rPr>
                <w:spacing w:val="2"/>
              </w:rPr>
              <w:t>o</w:t>
            </w:r>
            <w:r>
              <w:rPr>
                <w:spacing w:val="-4"/>
              </w:rPr>
              <w:t>m</w:t>
            </w:r>
            <w:r>
              <w:rPr>
                <w:spacing w:val="1"/>
              </w:rPr>
              <w:t>i</w:t>
            </w:r>
            <w:r>
              <w:t>o</w:t>
            </w:r>
            <w:r>
              <w:rPr>
                <w:spacing w:val="-3"/>
              </w:rPr>
              <w:t>z</w:t>
            </w:r>
            <w:r>
              <w:rPr>
                <w:spacing w:val="1"/>
              </w:rPr>
              <w:t>it</w:t>
            </w:r>
            <w:r>
              <w:t>ei</w:t>
            </w:r>
            <w:r>
              <w:rPr>
                <w:vertAlign w:val="superscript"/>
              </w:rPr>
              <w:t>1)</w:t>
            </w:r>
          </w:p>
          <w:p w14:paraId="2C94A82A" w14:textId="77777777" w:rsidR="00C04CAD" w:rsidRDefault="00C04CAD">
            <w:pPr>
              <w:tabs>
                <w:tab w:val="clear" w:pos="567"/>
              </w:tabs>
              <w:kinsoku w:val="0"/>
              <w:overflowPunct w:val="0"/>
              <w:autoSpaceDE w:val="0"/>
              <w:autoSpaceDN w:val="0"/>
              <w:adjustRightInd w:val="0"/>
              <w:spacing w:line="240" w:lineRule="auto"/>
            </w:pPr>
          </w:p>
        </w:tc>
      </w:tr>
      <w:tr w:rsidR="00C04CAD" w14:paraId="0A776DDA" w14:textId="77777777">
        <w:trPr>
          <w:cantSplit/>
        </w:trPr>
        <w:tc>
          <w:tcPr>
            <w:tcW w:w="2501" w:type="dxa"/>
          </w:tcPr>
          <w:p w14:paraId="5C88C033"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4"/>
              </w:rPr>
              <w:t>m</w:t>
            </w:r>
            <w:r>
              <w:t>uscu</w:t>
            </w:r>
            <w:r>
              <w:rPr>
                <w:spacing w:val="1"/>
              </w:rPr>
              <w:t>l</w:t>
            </w:r>
            <w:r>
              <w:t>o</w:t>
            </w:r>
            <w:r>
              <w:rPr>
                <w:spacing w:val="-4"/>
              </w:rPr>
              <w:noBreakHyphen/>
            </w:r>
            <w:r>
              <w:t>sche</w:t>
            </w:r>
            <w:r>
              <w:rPr>
                <w:spacing w:val="-2"/>
              </w:rPr>
              <w:t>l</w:t>
            </w:r>
            <w:r>
              <w:t>e</w:t>
            </w:r>
            <w:r>
              <w:rPr>
                <w:spacing w:val="-2"/>
              </w:rPr>
              <w:t>ti</w:t>
            </w:r>
            <w:r>
              <w:t>ce şi</w:t>
            </w:r>
            <w:r>
              <w:rPr>
                <w:spacing w:val="1"/>
              </w:rPr>
              <w:t xml:space="preserve"> </w:t>
            </w:r>
            <w:r>
              <w:rPr>
                <w:spacing w:val="-3"/>
              </w:rPr>
              <w:t>a</w:t>
            </w:r>
            <w:r>
              <w:rPr>
                <w:spacing w:val="1"/>
              </w:rPr>
              <w:t>l</w:t>
            </w:r>
            <w:r>
              <w:t>e</w:t>
            </w:r>
            <w:r>
              <w:rPr>
                <w:spacing w:val="-2"/>
              </w:rPr>
              <w:t xml:space="preserve"> </w:t>
            </w:r>
            <w:r>
              <w:rPr>
                <w:spacing w:val="1"/>
              </w:rPr>
              <w:t>ţ</w:t>
            </w:r>
            <w:r>
              <w:t>es</w:t>
            </w:r>
            <w:r>
              <w:rPr>
                <w:spacing w:val="-3"/>
              </w:rPr>
              <w:t>u</w:t>
            </w:r>
            <w:r>
              <w:rPr>
                <w:spacing w:val="1"/>
              </w:rPr>
              <w:t>t</w:t>
            </w:r>
            <w:r>
              <w:rPr>
                <w:spacing w:val="-3"/>
              </w:rPr>
              <w:t>u</w:t>
            </w:r>
            <w:r>
              <w:rPr>
                <w:spacing w:val="1"/>
              </w:rPr>
              <w:t>l</w:t>
            </w:r>
            <w:r>
              <w:t>ui</w:t>
            </w:r>
            <w:r>
              <w:rPr>
                <w:spacing w:val="-2"/>
              </w:rPr>
              <w:t xml:space="preserve"> </w:t>
            </w:r>
            <w:r>
              <w:t>co</w:t>
            </w:r>
            <w:r>
              <w:rPr>
                <w:spacing w:val="-3"/>
              </w:rPr>
              <w:t>n</w:t>
            </w:r>
            <w:r>
              <w:rPr>
                <w:spacing w:val="1"/>
              </w:rPr>
              <w:t>j</w:t>
            </w:r>
            <w:r>
              <w:t>un</w:t>
            </w:r>
            <w:r>
              <w:rPr>
                <w:spacing w:val="-3"/>
              </w:rPr>
              <w:t>c</w:t>
            </w:r>
            <w:r>
              <w:rPr>
                <w:spacing w:val="1"/>
              </w:rPr>
              <w:t>tiv</w:t>
            </w:r>
          </w:p>
        </w:tc>
        <w:tc>
          <w:tcPr>
            <w:tcW w:w="1784" w:type="dxa"/>
          </w:tcPr>
          <w:p w14:paraId="0542468A"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5A98BFB9" w14:textId="77777777" w:rsidR="00C04CAD" w:rsidRDefault="00C04CAD">
            <w:pPr>
              <w:tabs>
                <w:tab w:val="clear" w:pos="567"/>
              </w:tabs>
              <w:kinsoku w:val="0"/>
              <w:overflowPunct w:val="0"/>
              <w:autoSpaceDE w:val="0"/>
              <w:autoSpaceDN w:val="0"/>
              <w:adjustRightInd w:val="0"/>
              <w:spacing w:line="240" w:lineRule="auto"/>
            </w:pPr>
          </w:p>
          <w:p w14:paraId="310000C3"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682A0989" w14:textId="77777777" w:rsidR="00C04CAD" w:rsidRDefault="00C04CAD">
            <w:pPr>
              <w:tabs>
                <w:tab w:val="clear" w:pos="567"/>
              </w:tabs>
              <w:kinsoku w:val="0"/>
              <w:overflowPunct w:val="0"/>
              <w:autoSpaceDE w:val="0"/>
              <w:autoSpaceDN w:val="0"/>
              <w:adjustRightInd w:val="0"/>
              <w:spacing w:line="240" w:lineRule="auto"/>
            </w:pPr>
          </w:p>
          <w:p w14:paraId="2FBCBEA9" w14:textId="77777777" w:rsidR="00C04CAD" w:rsidRDefault="00C04CAD">
            <w:pPr>
              <w:tabs>
                <w:tab w:val="clear" w:pos="567"/>
              </w:tabs>
              <w:kinsoku w:val="0"/>
              <w:overflowPunct w:val="0"/>
              <w:autoSpaceDE w:val="0"/>
              <w:autoSpaceDN w:val="0"/>
              <w:adjustRightInd w:val="0"/>
              <w:spacing w:line="240" w:lineRule="auto"/>
            </w:pPr>
          </w:p>
          <w:p w14:paraId="76EB36D4"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w:t>
            </w:r>
            <w:r>
              <w:rPr>
                <w:spacing w:val="-1"/>
              </w:rPr>
              <w:t>n</w:t>
            </w:r>
            <w:r>
              <w:rPr>
                <w:spacing w:val="1"/>
              </w:rPr>
              <w:t>te</w:t>
            </w:r>
          </w:p>
          <w:p w14:paraId="38A35043" w14:textId="77777777" w:rsidR="00C04CAD" w:rsidRDefault="00C04CAD">
            <w:pPr>
              <w:tabs>
                <w:tab w:val="clear" w:pos="567"/>
              </w:tabs>
              <w:kinsoku w:val="0"/>
              <w:overflowPunct w:val="0"/>
              <w:autoSpaceDE w:val="0"/>
              <w:autoSpaceDN w:val="0"/>
              <w:adjustRightInd w:val="0"/>
              <w:spacing w:line="240" w:lineRule="auto"/>
            </w:pPr>
          </w:p>
          <w:p w14:paraId="6C4AEDE2" w14:textId="77777777" w:rsidR="00C04CAD" w:rsidRDefault="00C04CAD">
            <w:pPr>
              <w:tabs>
                <w:tab w:val="clear" w:pos="567"/>
              </w:tabs>
              <w:kinsoku w:val="0"/>
              <w:overflowPunct w:val="0"/>
              <w:autoSpaceDE w:val="0"/>
              <w:autoSpaceDN w:val="0"/>
              <w:adjustRightInd w:val="0"/>
              <w:spacing w:line="240" w:lineRule="auto"/>
            </w:pPr>
          </w:p>
          <w:p w14:paraId="1194E540" w14:textId="77777777" w:rsidR="00C04CAD" w:rsidRDefault="00060E34">
            <w:pPr>
              <w:tabs>
                <w:tab w:val="clear" w:pos="567"/>
              </w:tabs>
              <w:kinsoku w:val="0"/>
              <w:overflowPunct w:val="0"/>
              <w:autoSpaceDE w:val="0"/>
              <w:autoSpaceDN w:val="0"/>
              <w:adjustRightInd w:val="0"/>
              <w:spacing w:line="240" w:lineRule="auto"/>
            </w:pPr>
            <w:r>
              <w:t>Rare</w:t>
            </w:r>
          </w:p>
          <w:p w14:paraId="182B7C54"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574D5F35" w14:textId="77777777" w:rsidR="00C04CAD" w:rsidRDefault="00060E34">
            <w:pPr>
              <w:tabs>
                <w:tab w:val="clear" w:pos="567"/>
              </w:tabs>
              <w:kinsoku w:val="0"/>
              <w:overflowPunct w:val="0"/>
              <w:autoSpaceDE w:val="0"/>
              <w:autoSpaceDN w:val="0"/>
              <w:adjustRightInd w:val="0"/>
              <w:spacing w:line="240" w:lineRule="auto"/>
            </w:pPr>
            <w:r>
              <w:t>dur</w:t>
            </w:r>
            <w:r>
              <w:rPr>
                <w:spacing w:val="-3"/>
              </w:rPr>
              <w:t>e</w:t>
            </w:r>
            <w:r>
              <w:t>ri</w:t>
            </w:r>
            <w:r>
              <w:rPr>
                <w:spacing w:val="1"/>
              </w:rPr>
              <w:t xml:space="preserve"> </w:t>
            </w:r>
            <w:r>
              <w:rPr>
                <w:spacing w:val="-4"/>
              </w:rPr>
              <w:t>m</w:t>
            </w:r>
            <w:r>
              <w:t>uscu</w:t>
            </w:r>
            <w:r>
              <w:rPr>
                <w:spacing w:val="-2"/>
              </w:rPr>
              <w:t>l</w:t>
            </w:r>
            <w:r>
              <w:t>o</w:t>
            </w:r>
            <w:r>
              <w:rPr>
                <w:spacing w:val="-4"/>
              </w:rPr>
              <w:t>-</w:t>
            </w:r>
            <w:r>
              <w:t>sche</w:t>
            </w:r>
            <w:r>
              <w:rPr>
                <w:spacing w:val="1"/>
              </w:rPr>
              <w:t>l</w:t>
            </w:r>
            <w:r>
              <w:t>e</w:t>
            </w:r>
            <w:r>
              <w:rPr>
                <w:spacing w:val="-2"/>
              </w:rPr>
              <w:t>t</w:t>
            </w:r>
            <w:r>
              <w:rPr>
                <w:spacing w:val="1"/>
              </w:rPr>
              <w:t>i</w:t>
            </w:r>
            <w:r>
              <w:rPr>
                <w:spacing w:val="-3"/>
              </w:rPr>
              <w:t>c</w:t>
            </w:r>
            <w:r>
              <w:t>e</w:t>
            </w:r>
          </w:p>
          <w:p w14:paraId="4E4A530A" w14:textId="77777777" w:rsidR="00C04CAD" w:rsidRDefault="00C04CAD">
            <w:pPr>
              <w:tabs>
                <w:tab w:val="clear" w:pos="567"/>
              </w:tabs>
              <w:kinsoku w:val="0"/>
              <w:overflowPunct w:val="0"/>
              <w:autoSpaceDE w:val="0"/>
              <w:autoSpaceDN w:val="0"/>
              <w:adjustRightInd w:val="0"/>
              <w:spacing w:line="240" w:lineRule="auto"/>
            </w:pPr>
          </w:p>
          <w:p w14:paraId="146077DC" w14:textId="77777777" w:rsidR="00C04CAD" w:rsidRDefault="00060E34">
            <w:pPr>
              <w:tabs>
                <w:tab w:val="clear" w:pos="567"/>
              </w:tabs>
              <w:kinsoku w:val="0"/>
              <w:overflowPunct w:val="0"/>
              <w:autoSpaceDE w:val="0"/>
              <w:autoSpaceDN w:val="0"/>
              <w:adjustRightInd w:val="0"/>
              <w:spacing w:line="240" w:lineRule="auto"/>
            </w:pPr>
            <w:r>
              <w:t>spas</w:t>
            </w:r>
            <w:r>
              <w:rPr>
                <w:spacing w:val="-4"/>
              </w:rPr>
              <w:t>m</w:t>
            </w:r>
            <w:r>
              <w:t xml:space="preserve">e </w:t>
            </w:r>
            <w:r>
              <w:rPr>
                <w:spacing w:val="-4"/>
              </w:rPr>
              <w:t>m</w:t>
            </w:r>
            <w:r>
              <w:t>uscu</w:t>
            </w:r>
            <w:r>
              <w:rPr>
                <w:spacing w:val="1"/>
              </w:rPr>
              <w:t>l</w:t>
            </w:r>
            <w:r>
              <w:t>are</w:t>
            </w:r>
            <w:r>
              <w:rPr>
                <w:spacing w:val="-2"/>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cre</w:t>
            </w:r>
            <w:r>
              <w:rPr>
                <w:spacing w:val="-2"/>
              </w:rPr>
              <w:t>ş</w:t>
            </w:r>
            <w:r>
              <w:rPr>
                <w:spacing w:val="1"/>
              </w:rPr>
              <w:t>t</w:t>
            </w:r>
            <w:r>
              <w:rPr>
                <w:spacing w:val="-3"/>
              </w:rPr>
              <w:t>e</w:t>
            </w:r>
            <w:r>
              <w:t>rea</w:t>
            </w:r>
            <w:r>
              <w:rPr>
                <w:spacing w:val="-2"/>
              </w:rPr>
              <w:t xml:space="preserve"> </w:t>
            </w:r>
            <w:r>
              <w:t>c</w:t>
            </w:r>
            <w:r>
              <w:rPr>
                <w:spacing w:val="-2"/>
              </w:rPr>
              <w:t>r</w:t>
            </w:r>
            <w:r>
              <w:t>ea</w:t>
            </w:r>
            <w:r>
              <w:rPr>
                <w:spacing w:val="-2"/>
              </w:rPr>
              <w:t>t</w:t>
            </w:r>
            <w:r>
              <w:rPr>
                <w:spacing w:val="1"/>
              </w:rPr>
              <w:t>i</w:t>
            </w:r>
            <w:r>
              <w:t>n fos</w:t>
            </w:r>
            <w:r>
              <w:rPr>
                <w:spacing w:val="-2"/>
              </w:rPr>
              <w:t>f</w:t>
            </w:r>
            <w:r>
              <w:t>oc</w:t>
            </w:r>
            <w:r>
              <w:rPr>
                <w:spacing w:val="-3"/>
              </w:rPr>
              <w:t>h</w:t>
            </w:r>
            <w:r>
              <w:rPr>
                <w:spacing w:val="1"/>
              </w:rPr>
              <w:t>i</w:t>
            </w:r>
            <w:r>
              <w:rPr>
                <w:spacing w:val="-1"/>
              </w:rPr>
              <w:t>n</w:t>
            </w:r>
            <w:r>
              <w:t>a</w:t>
            </w:r>
            <w:r>
              <w:rPr>
                <w:spacing w:val="-3"/>
              </w:rPr>
              <w:t>z</w:t>
            </w:r>
            <w:r>
              <w:t>ei</w:t>
            </w:r>
            <w:r>
              <w:rPr>
                <w:spacing w:val="-2"/>
              </w:rPr>
              <w:t xml:space="preserve"> </w:t>
            </w:r>
            <w:r>
              <w:t>se</w:t>
            </w:r>
            <w:r>
              <w:rPr>
                <w:spacing w:val="-2"/>
              </w:rPr>
              <w:t>r</w:t>
            </w:r>
            <w:r>
              <w:rPr>
                <w:spacing w:val="1"/>
              </w:rPr>
              <w:t>i</w:t>
            </w:r>
            <w:r>
              <w:rPr>
                <w:spacing w:val="-3"/>
              </w:rPr>
              <w:t>c</w:t>
            </w:r>
            <w:r>
              <w:t>e)</w:t>
            </w:r>
          </w:p>
          <w:p w14:paraId="53E2E280" w14:textId="77777777" w:rsidR="00C04CAD" w:rsidRDefault="00C04CAD">
            <w:pPr>
              <w:tabs>
                <w:tab w:val="clear" w:pos="567"/>
              </w:tabs>
              <w:kinsoku w:val="0"/>
              <w:overflowPunct w:val="0"/>
              <w:autoSpaceDE w:val="0"/>
              <w:autoSpaceDN w:val="0"/>
              <w:adjustRightInd w:val="0"/>
              <w:spacing w:line="240" w:lineRule="auto"/>
            </w:pPr>
          </w:p>
          <w:p w14:paraId="42182F74" w14:textId="77777777" w:rsidR="00C04CAD" w:rsidRDefault="00060E34">
            <w:pPr>
              <w:tabs>
                <w:tab w:val="clear" w:pos="567"/>
              </w:tabs>
              <w:kinsoku w:val="0"/>
              <w:overflowPunct w:val="0"/>
              <w:autoSpaceDE w:val="0"/>
              <w:autoSpaceDN w:val="0"/>
              <w:adjustRightInd w:val="0"/>
              <w:spacing w:line="240" w:lineRule="auto"/>
            </w:pPr>
            <w:r>
              <w:t>rabdo</w:t>
            </w:r>
            <w:r>
              <w:rPr>
                <w:spacing w:val="-4"/>
              </w:rPr>
              <w:t>m</w:t>
            </w:r>
            <w:r>
              <w:rPr>
                <w:spacing w:val="1"/>
              </w:rPr>
              <w:t>i</w:t>
            </w:r>
            <w:r>
              <w:t>o</w:t>
            </w:r>
            <w:r>
              <w:rPr>
                <w:spacing w:val="-2"/>
              </w:rPr>
              <w:t>l</w:t>
            </w:r>
            <w:r>
              <w:rPr>
                <w:spacing w:val="1"/>
              </w:rPr>
              <w:t>i</w:t>
            </w:r>
            <w:r>
              <w:rPr>
                <w:spacing w:val="-3"/>
              </w:rPr>
              <w:t>z</w:t>
            </w:r>
            <w:r>
              <w:t>ă,</w:t>
            </w:r>
          </w:p>
          <w:p w14:paraId="34E13EA5" w14:textId="77777777" w:rsidR="00C04CAD" w:rsidRDefault="00060E34">
            <w:pPr>
              <w:tabs>
                <w:tab w:val="clear" w:pos="567"/>
              </w:tabs>
              <w:kinsoku w:val="0"/>
              <w:overflowPunct w:val="0"/>
              <w:autoSpaceDE w:val="0"/>
              <w:autoSpaceDN w:val="0"/>
              <w:adjustRightInd w:val="0"/>
              <w:spacing w:line="240" w:lineRule="auto"/>
            </w:pPr>
            <w:r>
              <w:rPr>
                <w:spacing w:val="1"/>
              </w:rPr>
              <w:t>l</w:t>
            </w:r>
            <w:r>
              <w:t>upus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 </w:t>
            </w:r>
            <w:r>
              <w:rPr>
                <w:spacing w:val="-2"/>
              </w:rPr>
              <w:t>s</w:t>
            </w:r>
            <w:r>
              <w:rPr>
                <w:spacing w:val="1"/>
              </w:rPr>
              <w:t>i</w:t>
            </w:r>
            <w:r>
              <w:t>s</w:t>
            </w:r>
            <w:r>
              <w:rPr>
                <w:spacing w:val="-2"/>
              </w:rPr>
              <w:t>t</w:t>
            </w:r>
            <w:r>
              <w:t>e</w:t>
            </w:r>
            <w:r>
              <w:rPr>
                <w:spacing w:val="-4"/>
              </w:rPr>
              <w:t>m</w:t>
            </w:r>
            <w:r>
              <w:rPr>
                <w:spacing w:val="1"/>
              </w:rPr>
              <w:t>i</w:t>
            </w:r>
            <w:r>
              <w:t xml:space="preserve">c </w:t>
            </w:r>
          </w:p>
          <w:p w14:paraId="402D210C" w14:textId="77777777" w:rsidR="00C04CAD" w:rsidRDefault="00C04CAD">
            <w:pPr>
              <w:tabs>
                <w:tab w:val="clear" w:pos="567"/>
              </w:tabs>
              <w:kinsoku w:val="0"/>
              <w:overflowPunct w:val="0"/>
              <w:autoSpaceDE w:val="0"/>
              <w:autoSpaceDN w:val="0"/>
              <w:adjustRightInd w:val="0"/>
              <w:spacing w:line="240" w:lineRule="auto"/>
            </w:pPr>
          </w:p>
          <w:p w14:paraId="1E59B2C9" w14:textId="77777777" w:rsidR="00C04CAD" w:rsidRDefault="00C04CAD">
            <w:pPr>
              <w:tabs>
                <w:tab w:val="clear" w:pos="567"/>
              </w:tabs>
              <w:kinsoku w:val="0"/>
              <w:overflowPunct w:val="0"/>
              <w:autoSpaceDE w:val="0"/>
              <w:autoSpaceDN w:val="0"/>
              <w:adjustRightInd w:val="0"/>
              <w:spacing w:line="240" w:lineRule="auto"/>
            </w:pPr>
          </w:p>
          <w:p w14:paraId="722C924C" w14:textId="77777777" w:rsidR="00C04CAD" w:rsidRDefault="00060E34">
            <w:pPr>
              <w:tabs>
                <w:tab w:val="clear" w:pos="567"/>
              </w:tabs>
              <w:kinsoku w:val="0"/>
              <w:overflowPunct w:val="0"/>
              <w:autoSpaceDE w:val="0"/>
              <w:autoSpaceDN w:val="0"/>
              <w:adjustRightInd w:val="0"/>
              <w:spacing w:line="240" w:lineRule="auto"/>
              <w:rPr>
                <w:vertAlign w:val="superscript"/>
              </w:rPr>
            </w:pPr>
            <w:r>
              <w:t>s</w:t>
            </w:r>
            <w:r>
              <w:rPr>
                <w:spacing w:val="1"/>
              </w:rPr>
              <w:t>i</w:t>
            </w:r>
            <w:r>
              <w:t>n</w:t>
            </w:r>
            <w:r>
              <w:rPr>
                <w:spacing w:val="-3"/>
              </w:rPr>
              <w:t>d</w:t>
            </w:r>
            <w:r>
              <w:t>rom</w:t>
            </w:r>
            <w:r>
              <w:rPr>
                <w:spacing w:val="-5"/>
              </w:rPr>
              <w:t xml:space="preserve"> </w:t>
            </w:r>
            <w:r>
              <w:t>ase</w:t>
            </w:r>
            <w:r>
              <w:rPr>
                <w:spacing w:val="-4"/>
              </w:rPr>
              <w:t>m</w:t>
            </w:r>
            <w:r>
              <w:t>ănă</w:t>
            </w:r>
            <w:r>
              <w:rPr>
                <w:spacing w:val="1"/>
              </w:rPr>
              <w:t>t</w:t>
            </w:r>
            <w:r>
              <w:t>or</w:t>
            </w:r>
            <w:r>
              <w:rPr>
                <w:spacing w:val="-3"/>
              </w:rPr>
              <w:t xml:space="preserve"> </w:t>
            </w:r>
            <w:r>
              <w:t>lupusului</w:t>
            </w:r>
            <w:r>
              <w:rPr>
                <w:vertAlign w:val="superscript"/>
              </w:rPr>
              <w:t>1)</w:t>
            </w:r>
          </w:p>
          <w:p w14:paraId="32F5602D" w14:textId="77777777" w:rsidR="00C04CAD" w:rsidRDefault="00C04CAD">
            <w:pPr>
              <w:tabs>
                <w:tab w:val="clear" w:pos="567"/>
              </w:tabs>
              <w:kinsoku w:val="0"/>
              <w:overflowPunct w:val="0"/>
              <w:autoSpaceDE w:val="0"/>
              <w:autoSpaceDN w:val="0"/>
              <w:adjustRightInd w:val="0"/>
              <w:spacing w:line="240" w:lineRule="auto"/>
            </w:pPr>
          </w:p>
        </w:tc>
      </w:tr>
      <w:tr w:rsidR="00C04CAD" w14:paraId="50B65261" w14:textId="77777777">
        <w:trPr>
          <w:cantSplit/>
        </w:trPr>
        <w:tc>
          <w:tcPr>
            <w:tcW w:w="2501" w:type="dxa"/>
          </w:tcPr>
          <w:p w14:paraId="22BDECF5"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2"/>
              </w:rPr>
              <w:t>r</w:t>
            </w:r>
            <w:r>
              <w:t>en</w:t>
            </w:r>
            <w:r>
              <w:rPr>
                <w:spacing w:val="-3"/>
              </w:rPr>
              <w:t>a</w:t>
            </w:r>
            <w:r>
              <w:rPr>
                <w:spacing w:val="1"/>
              </w:rPr>
              <w:t>l</w:t>
            </w:r>
            <w:r>
              <w:t xml:space="preserve">e </w:t>
            </w:r>
            <w:r>
              <w:rPr>
                <w:spacing w:val="-2"/>
              </w:rPr>
              <w:t>ş</w:t>
            </w:r>
            <w:r>
              <w:t>i</w:t>
            </w:r>
            <w:r>
              <w:rPr>
                <w:spacing w:val="1"/>
              </w:rPr>
              <w:t xml:space="preserve"> </w:t>
            </w:r>
            <w:r>
              <w:rPr>
                <w:spacing w:val="-3"/>
              </w:rPr>
              <w:t>a</w:t>
            </w:r>
            <w:r>
              <w:rPr>
                <w:spacing w:val="1"/>
              </w:rPr>
              <w:t>l</w:t>
            </w:r>
            <w:r>
              <w:t>e</w:t>
            </w:r>
            <w:r>
              <w:rPr>
                <w:spacing w:val="-2"/>
              </w:rPr>
              <w:t xml:space="preserve"> </w:t>
            </w:r>
            <w:r>
              <w:t>că</w:t>
            </w:r>
            <w:r>
              <w:rPr>
                <w:spacing w:val="-2"/>
              </w:rPr>
              <w:t>i</w:t>
            </w:r>
            <w:r>
              <w:rPr>
                <w:spacing w:val="1"/>
              </w:rPr>
              <w:t>l</w:t>
            </w:r>
            <w:r>
              <w:rPr>
                <w:spacing w:val="-3"/>
              </w:rPr>
              <w:t>o</w:t>
            </w:r>
            <w:r>
              <w:t>r ur</w:t>
            </w:r>
            <w:r>
              <w:rPr>
                <w:spacing w:val="1"/>
              </w:rPr>
              <w:t>i</w:t>
            </w:r>
            <w:r>
              <w:rPr>
                <w:spacing w:val="-3"/>
              </w:rPr>
              <w:t>n</w:t>
            </w:r>
            <w:r>
              <w:t>are</w:t>
            </w:r>
          </w:p>
        </w:tc>
        <w:tc>
          <w:tcPr>
            <w:tcW w:w="1784" w:type="dxa"/>
          </w:tcPr>
          <w:p w14:paraId="6B3845A6"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68D4D88E" w14:textId="77777777" w:rsidR="00C04CAD" w:rsidRDefault="00C04CAD">
            <w:pPr>
              <w:tabs>
                <w:tab w:val="clear" w:pos="567"/>
              </w:tabs>
              <w:kinsoku w:val="0"/>
              <w:overflowPunct w:val="0"/>
              <w:autoSpaceDE w:val="0"/>
              <w:autoSpaceDN w:val="0"/>
              <w:adjustRightInd w:val="0"/>
              <w:spacing w:line="240" w:lineRule="auto"/>
            </w:pPr>
          </w:p>
          <w:p w14:paraId="4884A51D" w14:textId="77777777" w:rsidR="00C04CAD" w:rsidRDefault="00C04CAD">
            <w:pPr>
              <w:tabs>
                <w:tab w:val="clear" w:pos="567"/>
              </w:tabs>
              <w:kinsoku w:val="0"/>
              <w:overflowPunct w:val="0"/>
              <w:autoSpaceDE w:val="0"/>
              <w:autoSpaceDN w:val="0"/>
              <w:adjustRightInd w:val="0"/>
              <w:spacing w:line="240" w:lineRule="auto"/>
            </w:pPr>
          </w:p>
          <w:p w14:paraId="23BF2819" w14:textId="77777777" w:rsidR="00C04CAD" w:rsidRDefault="00C04CAD">
            <w:pPr>
              <w:tabs>
                <w:tab w:val="clear" w:pos="567"/>
              </w:tabs>
              <w:kinsoku w:val="0"/>
              <w:overflowPunct w:val="0"/>
              <w:autoSpaceDE w:val="0"/>
              <w:autoSpaceDN w:val="0"/>
              <w:adjustRightInd w:val="0"/>
              <w:spacing w:line="240" w:lineRule="auto"/>
            </w:pPr>
          </w:p>
          <w:p w14:paraId="77720365"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tc>
        <w:tc>
          <w:tcPr>
            <w:tcW w:w="4740" w:type="dxa"/>
          </w:tcPr>
          <w:p w14:paraId="6BF9425C" w14:textId="77777777" w:rsidR="00C04CAD" w:rsidRDefault="00060E34">
            <w:pPr>
              <w:tabs>
                <w:tab w:val="clear" w:pos="567"/>
              </w:tabs>
              <w:kinsoku w:val="0"/>
              <w:overflowPunct w:val="0"/>
              <w:autoSpaceDE w:val="0"/>
              <w:autoSpaceDN w:val="0"/>
              <w:adjustRightInd w:val="0"/>
              <w:spacing w:line="240" w:lineRule="auto"/>
            </w:pPr>
            <w:r>
              <w:rPr>
                <w:spacing w:val="1"/>
              </w:rPr>
              <w:t>i</w:t>
            </w:r>
            <w:r>
              <w:t>ns</w:t>
            </w:r>
            <w:r>
              <w:rPr>
                <w:spacing w:val="-3"/>
              </w:rPr>
              <w:t>u</w:t>
            </w:r>
            <w:r>
              <w:t>f</w:t>
            </w:r>
            <w:r>
              <w:rPr>
                <w:spacing w:val="1"/>
              </w:rPr>
              <w:t>i</w:t>
            </w:r>
            <w:r>
              <w:rPr>
                <w:spacing w:val="-3"/>
              </w:rPr>
              <w:t>c</w:t>
            </w:r>
            <w:r>
              <w:rPr>
                <w:spacing w:val="1"/>
              </w:rPr>
              <w:t>i</w:t>
            </w:r>
            <w:r>
              <w:t>e</w:t>
            </w:r>
            <w:r>
              <w:rPr>
                <w:spacing w:val="-3"/>
              </w:rPr>
              <w:t>n</w:t>
            </w:r>
            <w:r>
              <w:rPr>
                <w:spacing w:val="1"/>
              </w:rPr>
              <w:t>ţ</w:t>
            </w:r>
            <w:r>
              <w:t>ă</w:t>
            </w:r>
            <w:r>
              <w:rPr>
                <w:spacing w:val="-2"/>
              </w:rPr>
              <w:t xml:space="preserve"> </w:t>
            </w:r>
            <w:r>
              <w:t>re</w:t>
            </w:r>
            <w:r>
              <w:rPr>
                <w:spacing w:val="-3"/>
              </w:rPr>
              <w:t>n</w:t>
            </w:r>
            <w:r>
              <w:t>a</w:t>
            </w:r>
            <w:r>
              <w:rPr>
                <w:spacing w:val="-2"/>
              </w:rPr>
              <w:t>l</w:t>
            </w:r>
            <w:r>
              <w:t>ă,</w:t>
            </w:r>
          </w:p>
          <w:p w14:paraId="5473A940" w14:textId="77777777" w:rsidR="00C04CAD" w:rsidRDefault="00060E34">
            <w:pPr>
              <w:tabs>
                <w:tab w:val="clear" w:pos="567"/>
              </w:tabs>
              <w:kinsoku w:val="0"/>
              <w:overflowPunct w:val="0"/>
              <w:autoSpaceDE w:val="0"/>
              <w:autoSpaceDN w:val="0"/>
              <w:adjustRightInd w:val="0"/>
              <w:spacing w:line="240" w:lineRule="auto"/>
            </w:pPr>
            <w:r>
              <w:t>he</w:t>
            </w:r>
            <w:r>
              <w:rPr>
                <w:spacing w:val="-4"/>
              </w:rPr>
              <w:t>m</w:t>
            </w:r>
            <w:r>
              <w:t>a</w:t>
            </w:r>
            <w:r>
              <w:rPr>
                <w:spacing w:val="1"/>
              </w:rPr>
              <w:t>t</w:t>
            </w:r>
            <w:r>
              <w:t>ur</w:t>
            </w:r>
            <w:r>
              <w:rPr>
                <w:spacing w:val="1"/>
              </w:rPr>
              <w:t>i</w:t>
            </w:r>
            <w:r>
              <w:t xml:space="preserve">e </w:t>
            </w:r>
          </w:p>
          <w:p w14:paraId="7430D064" w14:textId="77777777" w:rsidR="00C04CAD" w:rsidRDefault="00C04CAD">
            <w:pPr>
              <w:tabs>
                <w:tab w:val="clear" w:pos="567"/>
              </w:tabs>
              <w:kinsoku w:val="0"/>
              <w:overflowPunct w:val="0"/>
              <w:autoSpaceDE w:val="0"/>
              <w:autoSpaceDN w:val="0"/>
              <w:adjustRightInd w:val="0"/>
              <w:spacing w:line="240" w:lineRule="auto"/>
            </w:pPr>
          </w:p>
          <w:p w14:paraId="0FB78BDC" w14:textId="77777777" w:rsidR="00C04CAD" w:rsidRDefault="00C04CAD">
            <w:pPr>
              <w:tabs>
                <w:tab w:val="clear" w:pos="567"/>
              </w:tabs>
              <w:kinsoku w:val="0"/>
              <w:overflowPunct w:val="0"/>
              <w:autoSpaceDE w:val="0"/>
              <w:autoSpaceDN w:val="0"/>
              <w:adjustRightInd w:val="0"/>
              <w:spacing w:line="240" w:lineRule="auto"/>
            </w:pPr>
          </w:p>
          <w:p w14:paraId="0F7D3065" w14:textId="77777777" w:rsidR="00C04CAD" w:rsidRDefault="00060E34">
            <w:pPr>
              <w:tabs>
                <w:tab w:val="clear" w:pos="567"/>
              </w:tabs>
              <w:kinsoku w:val="0"/>
              <w:overflowPunct w:val="0"/>
              <w:autoSpaceDE w:val="0"/>
              <w:autoSpaceDN w:val="0"/>
              <w:adjustRightInd w:val="0"/>
              <w:spacing w:line="240" w:lineRule="auto"/>
            </w:pPr>
            <w:r>
              <w:t>n</w:t>
            </w:r>
            <w:r>
              <w:rPr>
                <w:spacing w:val="1"/>
              </w:rPr>
              <w:t>i</w:t>
            </w:r>
            <w:r>
              <w:rPr>
                <w:spacing w:val="-3"/>
              </w:rPr>
              <w:t>c</w:t>
            </w:r>
            <w:r>
              <w:rPr>
                <w:spacing w:val="1"/>
              </w:rPr>
              <w:t>t</w:t>
            </w:r>
            <w:r>
              <w:t>u</w:t>
            </w:r>
            <w:r>
              <w:rPr>
                <w:spacing w:val="-2"/>
              </w:rPr>
              <w:t>r</w:t>
            </w:r>
            <w:r>
              <w:rPr>
                <w:spacing w:val="1"/>
              </w:rPr>
              <w:t>ie</w:t>
            </w:r>
            <w:r>
              <w:t xml:space="preserve"> </w:t>
            </w:r>
          </w:p>
        </w:tc>
      </w:tr>
      <w:tr w:rsidR="00C04CAD" w14:paraId="7C092E44" w14:textId="77777777">
        <w:trPr>
          <w:cantSplit/>
        </w:trPr>
        <w:tc>
          <w:tcPr>
            <w:tcW w:w="2501" w:type="dxa"/>
          </w:tcPr>
          <w:p w14:paraId="7D833C36"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a</w:t>
            </w:r>
            <w:r>
              <w:rPr>
                <w:spacing w:val="1"/>
              </w:rPr>
              <w:t>l</w:t>
            </w:r>
            <w:r>
              <w:t xml:space="preserve">e </w:t>
            </w:r>
            <w:r>
              <w:rPr>
                <w:spacing w:val="-3"/>
              </w:rPr>
              <w:t>a</w:t>
            </w:r>
            <w:r>
              <w:t>pa</w:t>
            </w:r>
            <w:r>
              <w:rPr>
                <w:spacing w:val="-2"/>
              </w:rPr>
              <w:t>r</w:t>
            </w:r>
            <w:r>
              <w:t>a</w:t>
            </w:r>
            <w:r>
              <w:rPr>
                <w:spacing w:val="1"/>
              </w:rPr>
              <w:t>t</w:t>
            </w:r>
            <w:r>
              <w:rPr>
                <w:spacing w:val="-3"/>
              </w:rPr>
              <w:t>u</w:t>
            </w:r>
            <w:r>
              <w:rPr>
                <w:spacing w:val="1"/>
              </w:rPr>
              <w:t>l</w:t>
            </w:r>
            <w:r>
              <w:rPr>
                <w:spacing w:val="-3"/>
              </w:rPr>
              <w:t>u</w:t>
            </w:r>
            <w:r>
              <w:t>i</w:t>
            </w:r>
            <w:r>
              <w:rPr>
                <w:spacing w:val="1"/>
              </w:rPr>
              <w:t xml:space="preserve"> </w:t>
            </w:r>
            <w:r>
              <w:rPr>
                <w:spacing w:val="-3"/>
              </w:rPr>
              <w:t>g</w:t>
            </w:r>
            <w:r>
              <w:t>en</w:t>
            </w:r>
            <w:r>
              <w:rPr>
                <w:spacing w:val="1"/>
              </w:rPr>
              <w:t>it</w:t>
            </w:r>
            <w:r>
              <w:rPr>
                <w:spacing w:val="-3"/>
              </w:rPr>
              <w:t>a</w:t>
            </w:r>
            <w:r>
              <w:t>l şi</w:t>
            </w:r>
            <w:r>
              <w:rPr>
                <w:spacing w:val="1"/>
              </w:rPr>
              <w:t xml:space="preserve"> </w:t>
            </w:r>
            <w:r>
              <w:rPr>
                <w:spacing w:val="-2"/>
              </w:rPr>
              <w:t>s</w:t>
            </w:r>
            <w:r>
              <w:t>ânu</w:t>
            </w:r>
            <w:r>
              <w:rPr>
                <w:spacing w:val="-2"/>
              </w:rPr>
              <w:t>l</w:t>
            </w:r>
            <w:r>
              <w:t>ui</w:t>
            </w:r>
          </w:p>
        </w:tc>
        <w:tc>
          <w:tcPr>
            <w:tcW w:w="1784" w:type="dxa"/>
          </w:tcPr>
          <w:p w14:paraId="2EA9CFD1"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w:t>
            </w:r>
          </w:p>
          <w:p w14:paraId="4396437E" w14:textId="77777777" w:rsidR="00C04CAD" w:rsidRDefault="00060E34">
            <w:pPr>
              <w:tabs>
                <w:tab w:val="clear" w:pos="567"/>
              </w:tabs>
              <w:kinsoku w:val="0"/>
              <w:overflowPunct w:val="0"/>
              <w:autoSpaceDE w:val="0"/>
              <w:autoSpaceDN w:val="0"/>
              <w:adjustRightInd w:val="0"/>
              <w:spacing w:line="240" w:lineRule="auto"/>
            </w:pPr>
            <w:r>
              <w:t>fr</w:t>
            </w:r>
            <w:r>
              <w:rPr>
                <w:spacing w:val="-3"/>
              </w:rPr>
              <w:t>e</w:t>
            </w:r>
            <w:r>
              <w:t>c</w:t>
            </w:r>
            <w:r>
              <w:rPr>
                <w:spacing w:val="-3"/>
              </w:rPr>
              <w:t>v</w:t>
            </w:r>
            <w:r>
              <w:t>en</w:t>
            </w:r>
            <w:r>
              <w:rPr>
                <w:spacing w:val="1"/>
              </w:rPr>
              <w:t>t</w:t>
            </w:r>
            <w:r>
              <w:t>e</w:t>
            </w:r>
          </w:p>
          <w:p w14:paraId="76A805F2" w14:textId="77777777" w:rsidR="00C04CAD" w:rsidRDefault="00C04CAD">
            <w:pPr>
              <w:tabs>
                <w:tab w:val="clear" w:pos="567"/>
              </w:tabs>
              <w:kinsoku w:val="0"/>
              <w:overflowPunct w:val="0"/>
              <w:autoSpaceDE w:val="0"/>
              <w:autoSpaceDN w:val="0"/>
              <w:adjustRightInd w:val="0"/>
              <w:spacing w:line="240" w:lineRule="auto"/>
            </w:pPr>
          </w:p>
        </w:tc>
        <w:tc>
          <w:tcPr>
            <w:tcW w:w="4740" w:type="dxa"/>
          </w:tcPr>
          <w:p w14:paraId="26F91891"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1"/>
              </w:rPr>
              <w:t>l</w:t>
            </w:r>
            <w:r>
              <w:rPr>
                <w:spacing w:val="-3"/>
              </w:rPr>
              <w:t>b</w:t>
            </w:r>
            <w:r>
              <w:t>ur</w:t>
            </w:r>
            <w:r>
              <w:rPr>
                <w:spacing w:val="-3"/>
              </w:rPr>
              <w:t>ă</w:t>
            </w:r>
            <w:r>
              <w:t>ri</w:t>
            </w:r>
            <w:r>
              <w:rPr>
                <w:spacing w:val="-2"/>
              </w:rPr>
              <w:t xml:space="preserve"> </w:t>
            </w:r>
            <w:r>
              <w:t xml:space="preserve">de </w:t>
            </w:r>
            <w:r>
              <w:rPr>
                <w:spacing w:val="-3"/>
              </w:rPr>
              <w:t>e</w:t>
            </w:r>
            <w:r>
              <w:t>re</w:t>
            </w:r>
            <w:r>
              <w:rPr>
                <w:spacing w:val="-3"/>
              </w:rPr>
              <w:t>c</w:t>
            </w:r>
            <w:r>
              <w:rPr>
                <w:spacing w:val="1"/>
              </w:rPr>
              <w:t>ţ</w:t>
            </w:r>
            <w:r>
              <w:rPr>
                <w:spacing w:val="-2"/>
              </w:rPr>
              <w:t>i</w:t>
            </w:r>
            <w:r>
              <w:t>e</w:t>
            </w:r>
          </w:p>
          <w:p w14:paraId="3D302BB2" w14:textId="77777777" w:rsidR="00C04CAD" w:rsidRDefault="00C04CAD">
            <w:pPr>
              <w:tabs>
                <w:tab w:val="clear" w:pos="567"/>
              </w:tabs>
              <w:kinsoku w:val="0"/>
              <w:overflowPunct w:val="0"/>
              <w:autoSpaceDE w:val="0"/>
              <w:autoSpaceDN w:val="0"/>
              <w:adjustRightInd w:val="0"/>
              <w:spacing w:line="240" w:lineRule="auto"/>
            </w:pPr>
          </w:p>
        </w:tc>
      </w:tr>
      <w:tr w:rsidR="00C04CAD" w14:paraId="4CFEE39E" w14:textId="77777777">
        <w:trPr>
          <w:cantSplit/>
        </w:trPr>
        <w:tc>
          <w:tcPr>
            <w:tcW w:w="2501" w:type="dxa"/>
          </w:tcPr>
          <w:p w14:paraId="0740E868"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3"/>
              </w:rPr>
              <w:t>u</w:t>
            </w:r>
            <w:r>
              <w:rPr>
                <w:spacing w:val="1"/>
              </w:rPr>
              <w:t>l</w:t>
            </w:r>
            <w:r>
              <w:t>bu</w:t>
            </w:r>
            <w:r>
              <w:rPr>
                <w:spacing w:val="-2"/>
              </w:rPr>
              <w:t>r</w:t>
            </w:r>
            <w:r>
              <w:t>ă</w:t>
            </w:r>
            <w:r>
              <w:rPr>
                <w:spacing w:val="-2"/>
              </w:rPr>
              <w:t>r</w:t>
            </w:r>
            <w:r>
              <w:t>i</w:t>
            </w:r>
            <w:r>
              <w:rPr>
                <w:spacing w:val="1"/>
              </w:rPr>
              <w:t xml:space="preserve"> </w:t>
            </w:r>
            <w:r>
              <w:rPr>
                <w:spacing w:val="-3"/>
              </w:rPr>
              <w:t>g</w:t>
            </w:r>
            <w:r>
              <w:t>ene</w:t>
            </w:r>
            <w:r>
              <w:rPr>
                <w:spacing w:val="-2"/>
              </w:rPr>
              <w:t>r</w:t>
            </w:r>
            <w:r>
              <w:t>a</w:t>
            </w:r>
            <w:r>
              <w:rPr>
                <w:spacing w:val="1"/>
              </w:rPr>
              <w:t>l</w:t>
            </w:r>
            <w:r>
              <w:t>e</w:t>
            </w:r>
            <w:r>
              <w:rPr>
                <w:spacing w:val="-2"/>
              </w:rPr>
              <w:t xml:space="preserve"> </w:t>
            </w:r>
            <w:r>
              <w:t>şi</w:t>
            </w:r>
            <w:r>
              <w:rPr>
                <w:spacing w:val="-2"/>
              </w:rPr>
              <w:t xml:space="preserve"> </w:t>
            </w:r>
            <w:r>
              <w:rPr>
                <w:spacing w:val="1"/>
              </w:rPr>
              <w:t>l</w:t>
            </w:r>
            <w:r>
              <w:t>a</w:t>
            </w:r>
            <w:r>
              <w:rPr>
                <w:spacing w:val="-2"/>
              </w:rPr>
              <w:t xml:space="preserve"> </w:t>
            </w:r>
            <w:r>
              <w:t>n</w:t>
            </w:r>
            <w:r>
              <w:rPr>
                <w:spacing w:val="1"/>
              </w:rPr>
              <w:t>i</w:t>
            </w:r>
            <w:r>
              <w:rPr>
                <w:spacing w:val="-3"/>
              </w:rPr>
              <w:t>v</w:t>
            </w:r>
            <w:r>
              <w:t>e</w:t>
            </w:r>
            <w:r>
              <w:rPr>
                <w:spacing w:val="1"/>
              </w:rPr>
              <w:t>l</w:t>
            </w:r>
            <w:r>
              <w:rPr>
                <w:spacing w:val="-3"/>
              </w:rPr>
              <w:t>u</w:t>
            </w:r>
            <w:r>
              <w:t xml:space="preserve">l </w:t>
            </w:r>
            <w:r>
              <w:rPr>
                <w:spacing w:val="1"/>
              </w:rPr>
              <w:t>l</w:t>
            </w:r>
            <w:r>
              <w:t>oc</w:t>
            </w:r>
            <w:r>
              <w:rPr>
                <w:spacing w:val="-3"/>
              </w:rPr>
              <w:t>u</w:t>
            </w:r>
            <w:r>
              <w:rPr>
                <w:spacing w:val="1"/>
              </w:rPr>
              <w:t>l</w:t>
            </w:r>
            <w:r>
              <w:t>ui</w:t>
            </w:r>
            <w:r>
              <w:rPr>
                <w:spacing w:val="-2"/>
              </w:rPr>
              <w:t xml:space="preserve"> </w:t>
            </w:r>
            <w:r>
              <w:t xml:space="preserve">de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re*</w:t>
            </w:r>
          </w:p>
        </w:tc>
        <w:tc>
          <w:tcPr>
            <w:tcW w:w="1784" w:type="dxa"/>
          </w:tcPr>
          <w:p w14:paraId="6020A171" w14:textId="77777777" w:rsidR="00C04CAD" w:rsidRDefault="00060E34">
            <w:pPr>
              <w:tabs>
                <w:tab w:val="clear" w:pos="567"/>
              </w:tabs>
              <w:kinsoku w:val="0"/>
              <w:overflowPunct w:val="0"/>
              <w:autoSpaceDE w:val="0"/>
              <w:autoSpaceDN w:val="0"/>
              <w:adjustRightInd w:val="0"/>
              <w:spacing w:line="240" w:lineRule="auto"/>
            </w:pPr>
            <w:r>
              <w:rPr>
                <w:spacing w:val="-1"/>
              </w:rPr>
              <w:t>F</w:t>
            </w:r>
            <w:r>
              <w:t>oar</w:t>
            </w:r>
            <w:r>
              <w:rPr>
                <w:spacing w:val="-2"/>
              </w:rPr>
              <w:t>t</w:t>
            </w:r>
            <w:r>
              <w:t xml:space="preserve">e </w:t>
            </w:r>
            <w:r>
              <w:rPr>
                <w:spacing w:val="-2"/>
              </w:rPr>
              <w:t>f</w:t>
            </w:r>
            <w:r>
              <w:t>rec</w:t>
            </w:r>
            <w:r>
              <w:rPr>
                <w:spacing w:val="-3"/>
              </w:rPr>
              <w:t>v</w:t>
            </w:r>
            <w:r>
              <w:t>e</w:t>
            </w:r>
            <w:r>
              <w:rPr>
                <w:spacing w:val="-3"/>
              </w:rPr>
              <w:t>n</w:t>
            </w:r>
            <w:r>
              <w:rPr>
                <w:spacing w:val="1"/>
              </w:rPr>
              <w:t>t</w:t>
            </w:r>
            <w:r>
              <w:t>e</w:t>
            </w:r>
          </w:p>
          <w:p w14:paraId="5EDE46B6" w14:textId="77777777" w:rsidR="00C04CAD" w:rsidRDefault="00C04CAD">
            <w:pPr>
              <w:tabs>
                <w:tab w:val="clear" w:pos="567"/>
              </w:tabs>
              <w:kinsoku w:val="0"/>
              <w:overflowPunct w:val="0"/>
              <w:autoSpaceDE w:val="0"/>
              <w:autoSpaceDN w:val="0"/>
              <w:adjustRightInd w:val="0"/>
              <w:spacing w:line="240" w:lineRule="auto"/>
            </w:pPr>
          </w:p>
          <w:p w14:paraId="104BAC15" w14:textId="77777777" w:rsidR="00C04CAD" w:rsidRDefault="00C04CAD">
            <w:pPr>
              <w:tabs>
                <w:tab w:val="clear" w:pos="567"/>
              </w:tabs>
              <w:kinsoku w:val="0"/>
              <w:overflowPunct w:val="0"/>
              <w:autoSpaceDE w:val="0"/>
              <w:autoSpaceDN w:val="0"/>
              <w:adjustRightInd w:val="0"/>
              <w:spacing w:line="240" w:lineRule="auto"/>
            </w:pPr>
          </w:p>
          <w:p w14:paraId="42154DB0"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p w14:paraId="46522B49" w14:textId="77777777" w:rsidR="00C04CAD" w:rsidRDefault="00C04CAD">
            <w:pPr>
              <w:tabs>
                <w:tab w:val="clear" w:pos="567"/>
              </w:tabs>
              <w:kinsoku w:val="0"/>
              <w:overflowPunct w:val="0"/>
              <w:autoSpaceDE w:val="0"/>
              <w:autoSpaceDN w:val="0"/>
              <w:adjustRightInd w:val="0"/>
              <w:spacing w:line="240" w:lineRule="auto"/>
            </w:pPr>
          </w:p>
          <w:p w14:paraId="59535AE5" w14:textId="77777777" w:rsidR="00C04CAD" w:rsidRDefault="00C04CAD">
            <w:pPr>
              <w:tabs>
                <w:tab w:val="clear" w:pos="567"/>
              </w:tabs>
              <w:kinsoku w:val="0"/>
              <w:overflowPunct w:val="0"/>
              <w:autoSpaceDE w:val="0"/>
              <w:autoSpaceDN w:val="0"/>
              <w:adjustRightInd w:val="0"/>
              <w:spacing w:line="240" w:lineRule="auto"/>
            </w:pPr>
          </w:p>
          <w:p w14:paraId="6DD2F90D" w14:textId="77777777" w:rsidR="00C04CAD" w:rsidRDefault="00C04CAD">
            <w:pPr>
              <w:tabs>
                <w:tab w:val="clear" w:pos="567"/>
              </w:tabs>
              <w:kinsoku w:val="0"/>
              <w:overflowPunct w:val="0"/>
              <w:autoSpaceDE w:val="0"/>
              <w:autoSpaceDN w:val="0"/>
              <w:adjustRightInd w:val="0"/>
              <w:spacing w:line="240" w:lineRule="auto"/>
            </w:pPr>
          </w:p>
          <w:p w14:paraId="51A95D36" w14:textId="77777777" w:rsidR="00C04CAD" w:rsidRDefault="00060E34">
            <w:pPr>
              <w:tabs>
                <w:tab w:val="clear" w:pos="567"/>
              </w:tabs>
              <w:kinsoku w:val="0"/>
              <w:overflowPunct w:val="0"/>
              <w:autoSpaceDE w:val="0"/>
              <w:autoSpaceDN w:val="0"/>
              <w:adjustRightInd w:val="0"/>
              <w:spacing w:line="240" w:lineRule="auto"/>
            </w:pPr>
            <w:r>
              <w:t>Mai</w:t>
            </w:r>
            <w:r>
              <w:rPr>
                <w:spacing w:val="-2"/>
              </w:rPr>
              <w:t xml:space="preserve"> </w:t>
            </w:r>
            <w:r>
              <w:t>pu</w:t>
            </w:r>
            <w:r>
              <w:rPr>
                <w:spacing w:val="-2"/>
              </w:rPr>
              <w:t>ţ</w:t>
            </w:r>
            <w:r>
              <w:rPr>
                <w:spacing w:val="1"/>
              </w:rPr>
              <w:t>i</w:t>
            </w:r>
            <w:r>
              <w:t>n fr</w:t>
            </w:r>
            <w:r>
              <w:rPr>
                <w:spacing w:val="-3"/>
              </w:rPr>
              <w:t>e</w:t>
            </w:r>
            <w:r>
              <w:t>c</w:t>
            </w:r>
            <w:r>
              <w:rPr>
                <w:spacing w:val="-3"/>
              </w:rPr>
              <w:t>v</w:t>
            </w:r>
            <w:r>
              <w:t>en</w:t>
            </w:r>
            <w:r>
              <w:rPr>
                <w:spacing w:val="1"/>
              </w:rPr>
              <w:t>t</w:t>
            </w:r>
            <w:r>
              <w:t xml:space="preserve">e </w:t>
            </w:r>
          </w:p>
        </w:tc>
        <w:tc>
          <w:tcPr>
            <w:tcW w:w="4740" w:type="dxa"/>
          </w:tcPr>
          <w:p w14:paraId="6969B343" w14:textId="77777777" w:rsidR="00C04CAD" w:rsidRDefault="00060E34">
            <w:pPr>
              <w:tabs>
                <w:tab w:val="clear" w:pos="567"/>
              </w:tabs>
              <w:kinsoku w:val="0"/>
              <w:overflowPunct w:val="0"/>
              <w:autoSpaceDE w:val="0"/>
              <w:autoSpaceDN w:val="0"/>
              <w:adjustRightInd w:val="0"/>
              <w:spacing w:line="240" w:lineRule="auto"/>
            </w:pPr>
            <w:r>
              <w:t>rea</w:t>
            </w:r>
            <w:r>
              <w:rPr>
                <w:spacing w:val="-3"/>
              </w:rPr>
              <w:t>c</w:t>
            </w:r>
            <w:r>
              <w:rPr>
                <w:spacing w:val="1"/>
              </w:rPr>
              <w:t>ţ</w:t>
            </w:r>
            <w:r>
              <w:rPr>
                <w:spacing w:val="-2"/>
              </w:rPr>
              <w:t>i</w:t>
            </w:r>
            <w:r>
              <w:t xml:space="preserve">e </w:t>
            </w:r>
            <w:r>
              <w:rPr>
                <w:spacing w:val="-2"/>
              </w:rPr>
              <w:t>l</w:t>
            </w:r>
            <w:r>
              <w:t xml:space="preserve">a </w:t>
            </w:r>
            <w:r>
              <w:rPr>
                <w:spacing w:val="1"/>
              </w:rPr>
              <w:t>l</w:t>
            </w:r>
            <w:r>
              <w:rPr>
                <w:spacing w:val="-3"/>
              </w:rPr>
              <w:t>o</w:t>
            </w:r>
            <w:r>
              <w:t>cul</w:t>
            </w:r>
            <w:r>
              <w:rPr>
                <w:spacing w:val="-2"/>
              </w:rPr>
              <w:t xml:space="preserve"> </w:t>
            </w:r>
            <w:r>
              <w:rPr>
                <w:spacing w:val="1"/>
              </w:rPr>
              <w:t>i</w:t>
            </w:r>
            <w:r>
              <w:rPr>
                <w:spacing w:val="-3"/>
              </w:rPr>
              <w:t>n</w:t>
            </w:r>
            <w:r>
              <w:rPr>
                <w:spacing w:val="1"/>
              </w:rPr>
              <w:t>j</w:t>
            </w:r>
            <w:r>
              <w:t>e</w:t>
            </w:r>
            <w:r>
              <w:rPr>
                <w:spacing w:val="-3"/>
              </w:rPr>
              <w:t>c</w:t>
            </w:r>
            <w:r>
              <w:rPr>
                <w:spacing w:val="1"/>
              </w:rPr>
              <w:t>t</w:t>
            </w:r>
            <w:r>
              <w:rPr>
                <w:spacing w:val="-3"/>
              </w:rPr>
              <w:t>ă</w:t>
            </w:r>
            <w:r>
              <w:t>r</w:t>
            </w:r>
            <w:r>
              <w:rPr>
                <w:spacing w:val="-2"/>
              </w:rPr>
              <w:t>i</w:t>
            </w:r>
            <w:r>
              <w:t>i</w:t>
            </w:r>
            <w:r>
              <w:rPr>
                <w:spacing w:val="1"/>
              </w:rPr>
              <w:t xml:space="preserve"> </w:t>
            </w:r>
            <w:r>
              <w:rPr>
                <w:spacing w:val="-2"/>
              </w:rPr>
              <w:t>(</w:t>
            </w:r>
            <w:r>
              <w:rPr>
                <w:spacing w:val="1"/>
              </w:rPr>
              <w:t>i</w:t>
            </w:r>
            <w:r>
              <w:rPr>
                <w:spacing w:val="-3"/>
              </w:rPr>
              <w:t>n</w:t>
            </w:r>
            <w:r>
              <w:t>c</w:t>
            </w:r>
            <w:r>
              <w:rPr>
                <w:spacing w:val="1"/>
              </w:rPr>
              <w:t>l</w:t>
            </w:r>
            <w:r>
              <w:t>u</w:t>
            </w:r>
            <w:r>
              <w:rPr>
                <w:spacing w:val="-2"/>
              </w:rPr>
              <w:t>s</w:t>
            </w:r>
            <w:r>
              <w:rPr>
                <w:spacing w:val="1"/>
              </w:rPr>
              <w:t>i</w:t>
            </w:r>
            <w:r>
              <w:t>v</w:t>
            </w:r>
            <w:r>
              <w:rPr>
                <w:spacing w:val="-3"/>
              </w:rPr>
              <w:t xml:space="preserve"> </w:t>
            </w:r>
            <w:r>
              <w:t>er</w:t>
            </w:r>
            <w:r>
              <w:rPr>
                <w:spacing w:val="-2"/>
              </w:rPr>
              <w:t>i</w:t>
            </w:r>
            <w:r>
              <w:rPr>
                <w:spacing w:val="1"/>
              </w:rPr>
              <w:t>t</w:t>
            </w:r>
            <w:r>
              <w:t>em</w:t>
            </w:r>
            <w:r>
              <w:rPr>
                <w:spacing w:val="-4"/>
              </w:rPr>
              <w:t xml:space="preserve"> </w:t>
            </w:r>
            <w:r>
              <w:rPr>
                <w:spacing w:val="1"/>
              </w:rPr>
              <w:t>l</w:t>
            </w:r>
            <w:r>
              <w:t xml:space="preserve">a </w:t>
            </w:r>
            <w:r>
              <w:rPr>
                <w:spacing w:val="-2"/>
              </w:rPr>
              <w:t>l</w:t>
            </w:r>
            <w:r>
              <w:t>oc</w:t>
            </w:r>
            <w:r>
              <w:rPr>
                <w:spacing w:val="-3"/>
              </w:rPr>
              <w:t>u</w:t>
            </w:r>
            <w:r>
              <w:t xml:space="preserve">l </w:t>
            </w:r>
            <w:r>
              <w:rPr>
                <w:spacing w:val="1"/>
              </w:rPr>
              <w:t>i</w:t>
            </w:r>
            <w:r>
              <w:rPr>
                <w:spacing w:val="-3"/>
              </w:rPr>
              <w:t>n</w:t>
            </w:r>
            <w:r>
              <w:rPr>
                <w:spacing w:val="1"/>
              </w:rPr>
              <w:t>j</w:t>
            </w:r>
            <w:r>
              <w:t>ec</w:t>
            </w:r>
            <w:r>
              <w:rPr>
                <w:spacing w:val="-2"/>
              </w:rPr>
              <w:t>t</w:t>
            </w:r>
            <w:r>
              <w:t>ă</w:t>
            </w:r>
            <w:r>
              <w:rPr>
                <w:spacing w:val="-2"/>
              </w:rPr>
              <w:t>r</w:t>
            </w:r>
            <w:r>
              <w:rPr>
                <w:spacing w:val="1"/>
              </w:rPr>
              <w:t>i</w:t>
            </w:r>
            <w:r>
              <w:rPr>
                <w:spacing w:val="-2"/>
              </w:rPr>
              <w:t>i</w:t>
            </w:r>
            <w:r>
              <w:t>)</w:t>
            </w:r>
          </w:p>
          <w:p w14:paraId="170EF898" w14:textId="77777777" w:rsidR="00C04CAD" w:rsidRDefault="00C04CAD">
            <w:pPr>
              <w:tabs>
                <w:tab w:val="clear" w:pos="567"/>
              </w:tabs>
              <w:kinsoku w:val="0"/>
              <w:overflowPunct w:val="0"/>
              <w:autoSpaceDE w:val="0"/>
              <w:autoSpaceDN w:val="0"/>
              <w:adjustRightInd w:val="0"/>
              <w:spacing w:line="240" w:lineRule="auto"/>
            </w:pPr>
          </w:p>
          <w:p w14:paraId="34639E3C" w14:textId="77777777" w:rsidR="00C04CAD" w:rsidRDefault="00060E34">
            <w:pPr>
              <w:tabs>
                <w:tab w:val="clear" w:pos="567"/>
              </w:tabs>
              <w:kinsoku w:val="0"/>
              <w:overflowPunct w:val="0"/>
              <w:autoSpaceDE w:val="0"/>
              <w:autoSpaceDN w:val="0"/>
              <w:adjustRightInd w:val="0"/>
              <w:spacing w:line="240" w:lineRule="auto"/>
              <w:rPr>
                <w:spacing w:val="1"/>
              </w:rPr>
            </w:pPr>
            <w:r>
              <w:t>dur</w:t>
            </w:r>
            <w:r>
              <w:rPr>
                <w:spacing w:val="-3"/>
              </w:rPr>
              <w:t>e</w:t>
            </w:r>
            <w:r>
              <w:t>ri</w:t>
            </w:r>
            <w:r>
              <w:rPr>
                <w:spacing w:val="-2"/>
              </w:rPr>
              <w:t xml:space="preserve"> </w:t>
            </w:r>
            <w:r>
              <w:rPr>
                <w:spacing w:val="1"/>
              </w:rPr>
              <w:t>l</w:t>
            </w:r>
            <w:r>
              <w:t xml:space="preserve">a </w:t>
            </w:r>
            <w:r>
              <w:rPr>
                <w:spacing w:val="-3"/>
              </w:rPr>
              <w:t>n</w:t>
            </w:r>
            <w:r>
              <w:rPr>
                <w:spacing w:val="1"/>
              </w:rPr>
              <w:t>i</w:t>
            </w:r>
            <w:r>
              <w:rPr>
                <w:spacing w:val="-3"/>
              </w:rPr>
              <w:t>v</w:t>
            </w:r>
            <w:r>
              <w:t>e</w:t>
            </w:r>
            <w:r>
              <w:rPr>
                <w:spacing w:val="1"/>
              </w:rPr>
              <w:t>l</w:t>
            </w:r>
            <w:r>
              <w:rPr>
                <w:spacing w:val="-3"/>
              </w:rPr>
              <w:t>u</w:t>
            </w:r>
            <w:r>
              <w:t>l</w:t>
            </w:r>
            <w:r>
              <w:rPr>
                <w:spacing w:val="1"/>
              </w:rPr>
              <w:t xml:space="preserve"> t</w:t>
            </w:r>
            <w:r>
              <w:rPr>
                <w:spacing w:val="-3"/>
              </w:rPr>
              <w:t>o</w:t>
            </w:r>
            <w:r>
              <w:t>ra</w:t>
            </w:r>
            <w:r>
              <w:rPr>
                <w:spacing w:val="-3"/>
              </w:rPr>
              <w:t>c</w:t>
            </w:r>
            <w:r>
              <w:t>e</w:t>
            </w:r>
            <w:r>
              <w:rPr>
                <w:spacing w:val="1"/>
              </w:rPr>
              <w:t>l</w:t>
            </w:r>
            <w:r>
              <w:rPr>
                <w:spacing w:val="-3"/>
              </w:rPr>
              <w:t>u</w:t>
            </w:r>
            <w:r>
              <w:rPr>
                <w:spacing w:val="1"/>
              </w:rPr>
              <w:t>i,</w:t>
            </w:r>
          </w:p>
          <w:p w14:paraId="6CBA346B" w14:textId="77777777" w:rsidR="00C04CAD" w:rsidRDefault="00060E34">
            <w:pPr>
              <w:tabs>
                <w:tab w:val="clear" w:pos="567"/>
              </w:tabs>
              <w:kinsoku w:val="0"/>
              <w:overflowPunct w:val="0"/>
              <w:autoSpaceDE w:val="0"/>
              <w:autoSpaceDN w:val="0"/>
              <w:adjustRightInd w:val="0"/>
              <w:spacing w:line="240" w:lineRule="auto"/>
            </w:pPr>
            <w:r>
              <w:t>ede</w:t>
            </w:r>
            <w:r>
              <w:rPr>
                <w:spacing w:val="-4"/>
              </w:rPr>
              <w:t>m</w:t>
            </w:r>
            <w:r>
              <w:t>,</w:t>
            </w:r>
          </w:p>
          <w:p w14:paraId="3E79D7CB" w14:textId="77777777" w:rsidR="00C04CAD" w:rsidRDefault="00060E34">
            <w:pPr>
              <w:tabs>
                <w:tab w:val="clear" w:pos="567"/>
              </w:tabs>
              <w:kinsoku w:val="0"/>
              <w:overflowPunct w:val="0"/>
              <w:autoSpaceDE w:val="0"/>
              <w:autoSpaceDN w:val="0"/>
              <w:adjustRightInd w:val="0"/>
              <w:spacing w:line="240" w:lineRule="auto"/>
            </w:pPr>
            <w:r>
              <w:t>febră</w:t>
            </w:r>
            <w:r>
              <w:rPr>
                <w:vertAlign w:val="superscript"/>
              </w:rPr>
              <w:t>1)</w:t>
            </w:r>
          </w:p>
          <w:p w14:paraId="63586860" w14:textId="77777777" w:rsidR="00C04CAD" w:rsidRDefault="00C04CAD">
            <w:pPr>
              <w:tabs>
                <w:tab w:val="clear" w:pos="567"/>
              </w:tabs>
              <w:kinsoku w:val="0"/>
              <w:overflowPunct w:val="0"/>
              <w:autoSpaceDE w:val="0"/>
              <w:autoSpaceDN w:val="0"/>
              <w:adjustRightInd w:val="0"/>
              <w:spacing w:line="240" w:lineRule="auto"/>
            </w:pPr>
          </w:p>
          <w:p w14:paraId="51A91EB7" w14:textId="77777777" w:rsidR="00C04CAD" w:rsidRDefault="00060E34">
            <w:pPr>
              <w:tabs>
                <w:tab w:val="clear" w:pos="567"/>
              </w:tabs>
              <w:kinsoku w:val="0"/>
              <w:overflowPunct w:val="0"/>
              <w:autoSpaceDE w:val="0"/>
              <w:autoSpaceDN w:val="0"/>
              <w:adjustRightInd w:val="0"/>
              <w:spacing w:line="240" w:lineRule="auto"/>
            </w:pPr>
            <w:r>
              <w:rPr>
                <w:spacing w:val="1"/>
              </w:rPr>
              <w:t>i</w:t>
            </w:r>
            <w:r>
              <w:t>n</w:t>
            </w:r>
            <w:r>
              <w:rPr>
                <w:spacing w:val="-2"/>
              </w:rPr>
              <w:t>f</w:t>
            </w:r>
            <w:r>
              <w:rPr>
                <w:spacing w:val="1"/>
              </w:rPr>
              <w:t>l</w:t>
            </w:r>
            <w:r>
              <w:t>a</w:t>
            </w:r>
            <w:r>
              <w:rPr>
                <w:spacing w:val="-4"/>
              </w:rPr>
              <w:t>m</w:t>
            </w:r>
            <w:r>
              <w:t>a</w:t>
            </w:r>
            <w:r>
              <w:rPr>
                <w:spacing w:val="1"/>
              </w:rPr>
              <w:t>ţie</w:t>
            </w:r>
            <w:r>
              <w:t xml:space="preserve"> </w:t>
            </w:r>
          </w:p>
          <w:p w14:paraId="600C2546" w14:textId="77777777" w:rsidR="00C04CAD" w:rsidRDefault="00C04CAD">
            <w:pPr>
              <w:tabs>
                <w:tab w:val="clear" w:pos="567"/>
              </w:tabs>
              <w:kinsoku w:val="0"/>
              <w:overflowPunct w:val="0"/>
              <w:autoSpaceDE w:val="0"/>
              <w:autoSpaceDN w:val="0"/>
              <w:adjustRightInd w:val="0"/>
              <w:spacing w:line="240" w:lineRule="auto"/>
            </w:pPr>
          </w:p>
        </w:tc>
      </w:tr>
      <w:tr w:rsidR="00C04CAD" w14:paraId="7F7D72FF" w14:textId="77777777">
        <w:trPr>
          <w:cantSplit/>
        </w:trPr>
        <w:tc>
          <w:tcPr>
            <w:tcW w:w="2501" w:type="dxa"/>
            <w:vMerge w:val="restart"/>
          </w:tcPr>
          <w:p w14:paraId="696F0188" w14:textId="77777777" w:rsidR="00C04CAD" w:rsidRDefault="00060E34">
            <w:pPr>
              <w:tabs>
                <w:tab w:val="clear" w:pos="567"/>
              </w:tabs>
              <w:kinsoku w:val="0"/>
              <w:overflowPunct w:val="0"/>
              <w:autoSpaceDE w:val="0"/>
              <w:autoSpaceDN w:val="0"/>
              <w:adjustRightInd w:val="0"/>
              <w:spacing w:line="240" w:lineRule="auto"/>
            </w:pPr>
            <w:r>
              <w:rPr>
                <w:spacing w:val="-4"/>
              </w:rPr>
              <w:lastRenderedPageBreak/>
              <w:t>I</w:t>
            </w:r>
            <w:r>
              <w:rPr>
                <w:spacing w:val="2"/>
              </w:rPr>
              <w:t>n</w:t>
            </w:r>
            <w:r>
              <w:rPr>
                <w:spacing w:val="-3"/>
              </w:rPr>
              <w:t>v</w:t>
            </w:r>
            <w:r>
              <w:t>es</w:t>
            </w:r>
            <w:r>
              <w:rPr>
                <w:spacing w:val="1"/>
              </w:rPr>
              <w:t>ti</w:t>
            </w:r>
            <w:r>
              <w:rPr>
                <w:spacing w:val="-3"/>
              </w:rPr>
              <w:t>g</w:t>
            </w:r>
            <w:r>
              <w:t>a</w:t>
            </w:r>
            <w:r>
              <w:rPr>
                <w:spacing w:val="1"/>
              </w:rPr>
              <w:t>ţ</w:t>
            </w:r>
            <w:r>
              <w:rPr>
                <w:spacing w:val="-2"/>
              </w:rPr>
              <w:t>i</w:t>
            </w:r>
            <w:r>
              <w:t>i</w:t>
            </w:r>
            <w:r>
              <w:rPr>
                <w:spacing w:val="1"/>
              </w:rPr>
              <w:t xml:space="preserve"> </w:t>
            </w:r>
            <w:r>
              <w:t>d</w:t>
            </w:r>
            <w:r>
              <w:rPr>
                <w:spacing w:val="-2"/>
              </w:rPr>
              <w:t>i</w:t>
            </w:r>
            <w:r>
              <w:t>a</w:t>
            </w:r>
            <w:r>
              <w:rPr>
                <w:spacing w:val="-3"/>
              </w:rPr>
              <w:t>g</w:t>
            </w:r>
            <w:r>
              <w:t>nos</w:t>
            </w:r>
            <w:r>
              <w:rPr>
                <w:spacing w:val="-2"/>
              </w:rPr>
              <w:t>t</w:t>
            </w:r>
            <w:r>
              <w:rPr>
                <w:spacing w:val="1"/>
              </w:rPr>
              <w:t>i</w:t>
            </w:r>
            <w:r>
              <w:t>ce*</w:t>
            </w:r>
          </w:p>
        </w:tc>
        <w:tc>
          <w:tcPr>
            <w:tcW w:w="1784" w:type="dxa"/>
          </w:tcPr>
          <w:p w14:paraId="629AB624"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tc>
        <w:tc>
          <w:tcPr>
            <w:tcW w:w="4740" w:type="dxa"/>
          </w:tcPr>
          <w:p w14:paraId="644A66F5"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1"/>
              </w:rPr>
              <w:t>l</w:t>
            </w:r>
            <w:r>
              <w:rPr>
                <w:spacing w:val="-3"/>
              </w:rPr>
              <w:t>b</w:t>
            </w:r>
            <w:r>
              <w:t>ur</w:t>
            </w:r>
            <w:r>
              <w:rPr>
                <w:spacing w:val="-3"/>
              </w:rPr>
              <w:t>ă</w:t>
            </w:r>
            <w:r>
              <w:t>ri</w:t>
            </w:r>
            <w:r>
              <w:rPr>
                <w:spacing w:val="-2"/>
              </w:rPr>
              <w:t xml:space="preserve"> </w:t>
            </w:r>
            <w:r>
              <w:t>a</w:t>
            </w:r>
            <w:r>
              <w:rPr>
                <w:spacing w:val="-2"/>
              </w:rPr>
              <w:t>l</w:t>
            </w:r>
            <w:r>
              <w:t>e coa</w:t>
            </w:r>
            <w:r>
              <w:rPr>
                <w:spacing w:val="-3"/>
              </w:rPr>
              <w:t>g</w:t>
            </w:r>
            <w:r>
              <w:t>u</w:t>
            </w:r>
            <w:r>
              <w:rPr>
                <w:spacing w:val="-2"/>
              </w:rPr>
              <w:t>l</w:t>
            </w:r>
            <w:r>
              <w:t>ă</w:t>
            </w:r>
            <w:r>
              <w:rPr>
                <w:spacing w:val="-2"/>
              </w:rPr>
              <w:t>r</w:t>
            </w:r>
            <w:r>
              <w:rPr>
                <w:spacing w:val="1"/>
              </w:rPr>
              <w:t>i</w:t>
            </w:r>
            <w:r>
              <w:t>i</w:t>
            </w:r>
            <w:r>
              <w:rPr>
                <w:spacing w:val="-2"/>
              </w:rPr>
              <w:t xml:space="preserve"> </w:t>
            </w:r>
            <w:r>
              <w:t>şi</w:t>
            </w:r>
            <w:r>
              <w:rPr>
                <w:spacing w:val="1"/>
              </w:rPr>
              <w:t xml:space="preserve"> </w:t>
            </w:r>
            <w:r>
              <w:rPr>
                <w:spacing w:val="-3"/>
              </w:rPr>
              <w:t>a</w:t>
            </w:r>
            <w:r>
              <w:rPr>
                <w:spacing w:val="-2"/>
              </w:rPr>
              <w:t>l</w:t>
            </w:r>
            <w:r>
              <w:t>e sân</w:t>
            </w:r>
            <w:r>
              <w:rPr>
                <w:spacing w:val="-3"/>
              </w:rPr>
              <w:t>g</w:t>
            </w:r>
            <w:r>
              <w:t>er</w:t>
            </w:r>
            <w:r>
              <w:rPr>
                <w:spacing w:val="-3"/>
              </w:rPr>
              <w:t>ă</w:t>
            </w:r>
            <w:r>
              <w:t>r</w:t>
            </w:r>
            <w:r>
              <w:rPr>
                <w:spacing w:val="-2"/>
              </w:rPr>
              <w:t>i</w:t>
            </w:r>
            <w:r>
              <w:t>i</w:t>
            </w:r>
            <w:r>
              <w:rPr>
                <w:spacing w:val="-2"/>
              </w:rPr>
              <w:t xml:space="preserve"> </w:t>
            </w:r>
            <w:r>
              <w:t>(</w:t>
            </w:r>
            <w:r>
              <w:rPr>
                <w:spacing w:val="1"/>
              </w:rPr>
              <w:t>inclusiv</w:t>
            </w:r>
            <w:r>
              <w:t xml:space="preserve"> pre</w:t>
            </w:r>
            <w:r>
              <w:rPr>
                <w:spacing w:val="-2"/>
              </w:rPr>
              <w:t>l</w:t>
            </w:r>
            <w:r>
              <w:t>un</w:t>
            </w:r>
            <w:r>
              <w:rPr>
                <w:spacing w:val="-3"/>
              </w:rPr>
              <w:t>g</w:t>
            </w:r>
            <w:r>
              <w:rPr>
                <w:spacing w:val="1"/>
              </w:rPr>
              <w:t>i</w:t>
            </w:r>
            <w:r>
              <w:t>r</w:t>
            </w:r>
            <w:r>
              <w:rPr>
                <w:spacing w:val="-3"/>
              </w:rPr>
              <w:t>e</w:t>
            </w:r>
            <w:r>
              <w:t xml:space="preserve">a </w:t>
            </w:r>
            <w:r>
              <w:rPr>
                <w:spacing w:val="-2"/>
              </w:rPr>
              <w:t>t</w:t>
            </w:r>
            <w:r>
              <w:rPr>
                <w:spacing w:val="1"/>
              </w:rPr>
              <w:t>i</w:t>
            </w:r>
            <w:r>
              <w:rPr>
                <w:spacing w:val="-4"/>
              </w:rPr>
              <w:t>m</w:t>
            </w:r>
            <w:r>
              <w:t>pu</w:t>
            </w:r>
            <w:r>
              <w:rPr>
                <w:spacing w:val="1"/>
              </w:rPr>
              <w:t>l</w:t>
            </w:r>
            <w:r>
              <w:t>ui</w:t>
            </w:r>
            <w:r>
              <w:rPr>
                <w:spacing w:val="1"/>
              </w:rPr>
              <w:t xml:space="preserve"> </w:t>
            </w:r>
            <w:r>
              <w:rPr>
                <w:spacing w:val="-3"/>
              </w:rPr>
              <w:t>d</w:t>
            </w:r>
            <w:r>
              <w:t xml:space="preserve">e </w:t>
            </w:r>
            <w:r>
              <w:rPr>
                <w:spacing w:val="-2"/>
              </w:rPr>
              <w:t>t</w:t>
            </w:r>
            <w:r>
              <w:t>r</w:t>
            </w:r>
            <w:r>
              <w:rPr>
                <w:spacing w:val="-3"/>
              </w:rPr>
              <w:t>o</w:t>
            </w:r>
            <w:r>
              <w:rPr>
                <w:spacing w:val="-4"/>
              </w:rPr>
              <w:t>m</w:t>
            </w:r>
            <w:r>
              <w:t>bop</w:t>
            </w:r>
            <w:r>
              <w:rPr>
                <w:spacing w:val="1"/>
              </w:rPr>
              <w:t>l</w:t>
            </w:r>
            <w:r>
              <w:t>as</w:t>
            </w:r>
            <w:r>
              <w:rPr>
                <w:spacing w:val="1"/>
              </w:rPr>
              <w:t>t</w:t>
            </w:r>
            <w:r>
              <w:rPr>
                <w:spacing w:val="-2"/>
              </w:rPr>
              <w:t>i</w:t>
            </w:r>
            <w:r>
              <w:t>nă p</w:t>
            </w:r>
            <w:r>
              <w:rPr>
                <w:spacing w:val="-3"/>
              </w:rPr>
              <w:t>a</w:t>
            </w:r>
            <w:r>
              <w:t>r</w:t>
            </w:r>
            <w:r>
              <w:rPr>
                <w:spacing w:val="-2"/>
              </w:rPr>
              <w:t>ţ</w:t>
            </w:r>
            <w:r>
              <w:rPr>
                <w:spacing w:val="1"/>
              </w:rPr>
              <w:t>i</w:t>
            </w:r>
            <w:r>
              <w:rPr>
                <w:spacing w:val="-3"/>
              </w:rPr>
              <w:t>a</w:t>
            </w:r>
            <w:r>
              <w:rPr>
                <w:spacing w:val="1"/>
              </w:rPr>
              <w:t>l</w:t>
            </w:r>
            <w:r>
              <w:t>ă ac</w:t>
            </w:r>
            <w:r>
              <w:rPr>
                <w:spacing w:val="-2"/>
              </w:rPr>
              <w:t>t</w:t>
            </w:r>
            <w:r>
              <w:rPr>
                <w:spacing w:val="1"/>
              </w:rPr>
              <w:t>i</w:t>
            </w:r>
            <w:r>
              <w:rPr>
                <w:spacing w:val="-3"/>
              </w:rPr>
              <w:t>v</w:t>
            </w:r>
            <w:r>
              <w:t>a</w:t>
            </w:r>
            <w:r>
              <w:rPr>
                <w:spacing w:val="1"/>
              </w:rPr>
              <w:t>t</w:t>
            </w:r>
            <w:r>
              <w:t>ă</w:t>
            </w:r>
            <w:r>
              <w:rPr>
                <w:spacing w:val="-2"/>
              </w:rPr>
              <w:t>)</w:t>
            </w:r>
            <w:r>
              <w:t>,</w:t>
            </w:r>
          </w:p>
          <w:p w14:paraId="155CA3B7" w14:textId="77777777" w:rsidR="00C04CAD" w:rsidRDefault="00060E34">
            <w:pPr>
              <w:tabs>
                <w:tab w:val="clear" w:pos="567"/>
              </w:tabs>
              <w:kinsoku w:val="0"/>
              <w:overflowPunct w:val="0"/>
              <w:autoSpaceDE w:val="0"/>
              <w:autoSpaceDN w:val="0"/>
              <w:adjustRightInd w:val="0"/>
              <w:spacing w:line="240" w:lineRule="auto"/>
            </w:pPr>
            <w:r>
              <w:rPr>
                <w:spacing w:val="1"/>
              </w:rPr>
              <w:t>t</w:t>
            </w:r>
            <w:r>
              <w:t>e</w:t>
            </w:r>
            <w:r>
              <w:rPr>
                <w:spacing w:val="-2"/>
              </w:rPr>
              <w:t>s</w:t>
            </w:r>
            <w:r>
              <w:t>t</w:t>
            </w:r>
            <w:r>
              <w:rPr>
                <w:spacing w:val="1"/>
              </w:rPr>
              <w:t xml:space="preserve"> </w:t>
            </w:r>
            <w:r>
              <w:t>po</w:t>
            </w:r>
            <w:r>
              <w:rPr>
                <w:spacing w:val="-3"/>
              </w:rPr>
              <w:t>z</w:t>
            </w:r>
            <w:r>
              <w:rPr>
                <w:spacing w:val="1"/>
              </w:rPr>
              <w:t>i</w:t>
            </w:r>
            <w:r>
              <w:rPr>
                <w:spacing w:val="-2"/>
              </w:rPr>
              <w:t>t</w:t>
            </w:r>
            <w:r>
              <w:rPr>
                <w:spacing w:val="1"/>
              </w:rPr>
              <w:t>i</w:t>
            </w:r>
            <w:r>
              <w:t>v</w:t>
            </w:r>
            <w:r>
              <w:rPr>
                <w:spacing w:val="-3"/>
              </w:rPr>
              <w:t xml:space="preserve"> </w:t>
            </w:r>
            <w:r>
              <w:t>pen</w:t>
            </w:r>
            <w:r>
              <w:rPr>
                <w:spacing w:val="-2"/>
              </w:rPr>
              <w:t>t</w:t>
            </w:r>
            <w:r>
              <w:t xml:space="preserve">ru </w:t>
            </w:r>
            <w:r>
              <w:rPr>
                <w:spacing w:val="-3"/>
              </w:rPr>
              <w:t>a</w:t>
            </w:r>
            <w:r>
              <w:t>u</w:t>
            </w:r>
            <w:r>
              <w:rPr>
                <w:spacing w:val="1"/>
              </w:rPr>
              <w:t>t</w:t>
            </w:r>
            <w:r>
              <w:rPr>
                <w:spacing w:val="-3"/>
              </w:rPr>
              <w:t>o</w:t>
            </w:r>
            <w:r>
              <w:t>an</w:t>
            </w:r>
            <w:r>
              <w:rPr>
                <w:spacing w:val="-2"/>
              </w:rPr>
              <w:t>t</w:t>
            </w:r>
            <w:r>
              <w:rPr>
                <w:spacing w:val="1"/>
              </w:rPr>
              <w:t>i</w:t>
            </w:r>
            <w:r>
              <w:rPr>
                <w:spacing w:val="-3"/>
              </w:rPr>
              <w:t>c</w:t>
            </w:r>
            <w:r>
              <w:t>orpi</w:t>
            </w:r>
            <w:r>
              <w:rPr>
                <w:spacing w:val="-2"/>
              </w:rPr>
              <w:t xml:space="preserve"> </w:t>
            </w:r>
            <w:r>
              <w:t>(</w:t>
            </w:r>
            <w:r>
              <w:rPr>
                <w:spacing w:val="-2"/>
              </w:rPr>
              <w:t>i</w:t>
            </w:r>
            <w:r>
              <w:t>nc</w:t>
            </w:r>
            <w:r>
              <w:rPr>
                <w:spacing w:val="-2"/>
              </w:rPr>
              <w:t>l</w:t>
            </w:r>
            <w:r>
              <w:t>us</w:t>
            </w:r>
            <w:r>
              <w:rPr>
                <w:spacing w:val="1"/>
              </w:rPr>
              <w:t>i</w:t>
            </w:r>
            <w:r>
              <w:t>v an</w:t>
            </w:r>
            <w:r>
              <w:rPr>
                <w:spacing w:val="-2"/>
              </w:rPr>
              <w:t>t</w:t>
            </w:r>
            <w:r>
              <w:rPr>
                <w:spacing w:val="1"/>
              </w:rPr>
              <w:t>i</w:t>
            </w:r>
            <w:r>
              <w:t>co</w:t>
            </w:r>
            <w:r>
              <w:rPr>
                <w:spacing w:val="-2"/>
              </w:rPr>
              <w:t>r</w:t>
            </w:r>
            <w:r>
              <w:t>pi</w:t>
            </w:r>
            <w:r>
              <w:rPr>
                <w:spacing w:val="-2"/>
              </w:rPr>
              <w:t xml:space="preserve"> </w:t>
            </w:r>
            <w:r>
              <w:t>an</w:t>
            </w:r>
            <w:r>
              <w:rPr>
                <w:spacing w:val="-2"/>
              </w:rPr>
              <w:t>t</w:t>
            </w:r>
            <w:r>
              <w:t>i</w:t>
            </w:r>
            <w:r>
              <w:rPr>
                <w:spacing w:val="1"/>
              </w:rPr>
              <w:t xml:space="preserve"> </w:t>
            </w:r>
            <w:r>
              <w:rPr>
                <w:spacing w:val="-1"/>
              </w:rPr>
              <w:t>AD</w:t>
            </w:r>
            <w:r>
              <w:t>N</w:t>
            </w:r>
            <w:r>
              <w:rPr>
                <w:spacing w:val="-1"/>
              </w:rPr>
              <w:t xml:space="preserve"> </w:t>
            </w:r>
            <w:r>
              <w:t>dub</w:t>
            </w:r>
            <w:r>
              <w:rPr>
                <w:spacing w:val="-2"/>
              </w:rPr>
              <w:t>l</w:t>
            </w:r>
            <w:r>
              <w:t xml:space="preserve">u </w:t>
            </w:r>
            <w:r>
              <w:rPr>
                <w:spacing w:val="-3"/>
              </w:rPr>
              <w:t>c</w:t>
            </w:r>
            <w:r>
              <w:t>a</w:t>
            </w:r>
            <w:r>
              <w:rPr>
                <w:spacing w:val="1"/>
              </w:rPr>
              <w:t>t</w:t>
            </w:r>
            <w:r>
              <w:t>e</w:t>
            </w:r>
            <w:r>
              <w:rPr>
                <w:spacing w:val="-3"/>
              </w:rPr>
              <w:t>n</w:t>
            </w:r>
            <w:r>
              <w:t>a</w:t>
            </w:r>
            <w:r>
              <w:rPr>
                <w:spacing w:val="-2"/>
              </w:rPr>
              <w:t>r</w:t>
            </w:r>
            <w:r>
              <w:t>),</w:t>
            </w:r>
          </w:p>
          <w:p w14:paraId="1E016DBD" w14:textId="77777777" w:rsidR="00C04CAD" w:rsidRDefault="00060E34">
            <w:pPr>
              <w:tabs>
                <w:tab w:val="clear" w:pos="567"/>
              </w:tabs>
              <w:kinsoku w:val="0"/>
              <w:overflowPunct w:val="0"/>
              <w:autoSpaceDE w:val="0"/>
              <w:autoSpaceDN w:val="0"/>
              <w:adjustRightInd w:val="0"/>
              <w:spacing w:line="240" w:lineRule="auto"/>
            </w:pPr>
            <w:r>
              <w:t>cre</w:t>
            </w:r>
            <w:r>
              <w:rPr>
                <w:spacing w:val="-2"/>
              </w:rPr>
              <w:t>ş</w:t>
            </w:r>
            <w:r>
              <w:rPr>
                <w:spacing w:val="1"/>
              </w:rPr>
              <w:t>t</w:t>
            </w:r>
            <w:r>
              <w:rPr>
                <w:spacing w:val="-3"/>
              </w:rPr>
              <w:t>e</w:t>
            </w:r>
            <w:r>
              <w:t>rea</w:t>
            </w:r>
            <w:r>
              <w:rPr>
                <w:spacing w:val="-2"/>
              </w:rPr>
              <w:t xml:space="preserve"> </w:t>
            </w:r>
            <w:r>
              <w:rPr>
                <w:spacing w:val="1"/>
              </w:rPr>
              <w:t>l</w:t>
            </w:r>
            <w:r>
              <w:rPr>
                <w:spacing w:val="-3"/>
              </w:rPr>
              <w:t>a</w:t>
            </w:r>
            <w:r>
              <w:t>c</w:t>
            </w:r>
            <w:r>
              <w:rPr>
                <w:spacing w:val="1"/>
              </w:rPr>
              <w:t>t</w:t>
            </w:r>
            <w:r>
              <w:rPr>
                <w:spacing w:val="-3"/>
              </w:rPr>
              <w:t>a</w:t>
            </w:r>
            <w:r>
              <w:t>t</w:t>
            </w:r>
            <w:r>
              <w:rPr>
                <w:spacing w:val="1"/>
              </w:rPr>
              <w:t xml:space="preserve"> </w:t>
            </w:r>
            <w:r>
              <w:rPr>
                <w:spacing w:val="-3"/>
              </w:rPr>
              <w:t>d</w:t>
            </w:r>
            <w:r>
              <w:t>eh</w:t>
            </w:r>
            <w:r>
              <w:rPr>
                <w:spacing w:val="1"/>
              </w:rPr>
              <w:t>i</w:t>
            </w:r>
            <w:r>
              <w:rPr>
                <w:spacing w:val="-3"/>
              </w:rPr>
              <w:t>d</w:t>
            </w:r>
            <w:r>
              <w:t>ro</w:t>
            </w:r>
            <w:r>
              <w:rPr>
                <w:spacing w:val="-3"/>
              </w:rPr>
              <w:t>g</w:t>
            </w:r>
            <w:r>
              <w:t>en</w:t>
            </w:r>
            <w:r>
              <w:rPr>
                <w:spacing w:val="-3"/>
              </w:rPr>
              <w:t>az</w:t>
            </w:r>
            <w:r>
              <w:t>ei</w:t>
            </w:r>
            <w:r>
              <w:rPr>
                <w:spacing w:val="1"/>
              </w:rPr>
              <w:t xml:space="preserve"> </w:t>
            </w:r>
            <w:r>
              <w:t>se</w:t>
            </w:r>
            <w:r>
              <w:rPr>
                <w:spacing w:val="-2"/>
              </w:rPr>
              <w:t>r</w:t>
            </w:r>
            <w:r>
              <w:rPr>
                <w:spacing w:val="1"/>
              </w:rPr>
              <w:t>i</w:t>
            </w:r>
            <w:r>
              <w:t>ce</w:t>
            </w:r>
          </w:p>
          <w:p w14:paraId="37DB9F5D" w14:textId="77777777" w:rsidR="00C04CAD" w:rsidRDefault="00C04CAD">
            <w:pPr>
              <w:tabs>
                <w:tab w:val="clear" w:pos="567"/>
              </w:tabs>
              <w:kinsoku w:val="0"/>
              <w:overflowPunct w:val="0"/>
              <w:autoSpaceDE w:val="0"/>
              <w:autoSpaceDN w:val="0"/>
              <w:adjustRightInd w:val="0"/>
              <w:spacing w:line="240" w:lineRule="auto"/>
            </w:pPr>
          </w:p>
        </w:tc>
      </w:tr>
      <w:tr w:rsidR="00C04CAD" w14:paraId="4288C520" w14:textId="77777777">
        <w:trPr>
          <w:cantSplit/>
        </w:trPr>
        <w:tc>
          <w:tcPr>
            <w:tcW w:w="2501" w:type="dxa"/>
            <w:vMerge/>
          </w:tcPr>
          <w:p w14:paraId="0AB19408" w14:textId="77777777" w:rsidR="00C04CAD" w:rsidRDefault="00C04CAD">
            <w:pPr>
              <w:tabs>
                <w:tab w:val="clear" w:pos="567"/>
              </w:tabs>
              <w:kinsoku w:val="0"/>
              <w:overflowPunct w:val="0"/>
              <w:autoSpaceDE w:val="0"/>
              <w:autoSpaceDN w:val="0"/>
              <w:adjustRightInd w:val="0"/>
              <w:spacing w:line="240" w:lineRule="auto"/>
              <w:rPr>
                <w:spacing w:val="-4"/>
              </w:rPr>
            </w:pPr>
          </w:p>
        </w:tc>
        <w:tc>
          <w:tcPr>
            <w:tcW w:w="1784" w:type="dxa"/>
          </w:tcPr>
          <w:p w14:paraId="59889FE4" w14:textId="77777777" w:rsidR="00C04CAD" w:rsidRDefault="00060E34">
            <w:pPr>
              <w:tabs>
                <w:tab w:val="clear" w:pos="567"/>
              </w:tabs>
              <w:kinsoku w:val="0"/>
              <w:overflowPunct w:val="0"/>
              <w:autoSpaceDE w:val="0"/>
              <w:autoSpaceDN w:val="0"/>
              <w:adjustRightInd w:val="0"/>
              <w:spacing w:line="240" w:lineRule="auto"/>
              <w:rPr>
                <w:spacing w:val="-1"/>
              </w:rPr>
            </w:pPr>
            <w:r>
              <w:rPr>
                <w:spacing w:val="-1"/>
              </w:rPr>
              <w:t>Cu frecvență necunoscută</w:t>
            </w:r>
          </w:p>
        </w:tc>
        <w:tc>
          <w:tcPr>
            <w:tcW w:w="4740" w:type="dxa"/>
          </w:tcPr>
          <w:p w14:paraId="696AD560" w14:textId="77777777" w:rsidR="00C04CAD" w:rsidRDefault="00060E34">
            <w:pPr>
              <w:tabs>
                <w:tab w:val="clear" w:pos="567"/>
              </w:tabs>
              <w:kinsoku w:val="0"/>
              <w:overflowPunct w:val="0"/>
              <w:autoSpaceDE w:val="0"/>
              <w:autoSpaceDN w:val="0"/>
              <w:adjustRightInd w:val="0"/>
              <w:spacing w:line="240" w:lineRule="auto"/>
              <w:rPr>
                <w:spacing w:val="1"/>
              </w:rPr>
            </w:pPr>
            <w:r>
              <w:rPr>
                <w:spacing w:val="1"/>
              </w:rPr>
              <w:t>Creștere în greutate</w:t>
            </w:r>
            <w:r>
              <w:rPr>
                <w:spacing w:val="1"/>
                <w:vertAlign w:val="superscript"/>
              </w:rPr>
              <w:t>2)</w:t>
            </w:r>
          </w:p>
        </w:tc>
      </w:tr>
      <w:tr w:rsidR="00C04CAD" w14:paraId="422C3631" w14:textId="77777777">
        <w:trPr>
          <w:cantSplit/>
        </w:trPr>
        <w:tc>
          <w:tcPr>
            <w:tcW w:w="2501" w:type="dxa"/>
          </w:tcPr>
          <w:p w14:paraId="13FF4321" w14:textId="77777777" w:rsidR="00C04CAD" w:rsidRDefault="00060E34">
            <w:pPr>
              <w:tabs>
                <w:tab w:val="clear" w:pos="567"/>
              </w:tabs>
              <w:kinsoku w:val="0"/>
              <w:overflowPunct w:val="0"/>
              <w:autoSpaceDE w:val="0"/>
              <w:autoSpaceDN w:val="0"/>
              <w:adjustRightInd w:val="0"/>
              <w:spacing w:line="240" w:lineRule="auto"/>
            </w:pPr>
            <w:r>
              <w:rPr>
                <w:spacing w:val="-1"/>
              </w:rPr>
              <w:t>L</w:t>
            </w:r>
            <w:r>
              <w:t>e</w:t>
            </w:r>
            <w:r>
              <w:rPr>
                <w:spacing w:val="-3"/>
              </w:rPr>
              <w:t>z</w:t>
            </w:r>
            <w:r>
              <w:rPr>
                <w:spacing w:val="1"/>
              </w:rPr>
              <w:t>i</w:t>
            </w:r>
            <w:r>
              <w:t>un</w:t>
            </w:r>
            <w:r>
              <w:rPr>
                <w:spacing w:val="1"/>
              </w:rPr>
              <w:t>i</w:t>
            </w:r>
            <w:r>
              <w:t>,</w:t>
            </w:r>
            <w:r>
              <w:rPr>
                <w:spacing w:val="-3"/>
              </w:rPr>
              <w:t xml:space="preserve"> </w:t>
            </w:r>
            <w:r>
              <w:rPr>
                <w:spacing w:val="1"/>
              </w:rPr>
              <w:t>i</w:t>
            </w:r>
            <w:r>
              <w:t>n</w:t>
            </w:r>
            <w:r>
              <w:rPr>
                <w:spacing w:val="-2"/>
              </w:rPr>
              <w:t>t</w:t>
            </w:r>
            <w:r>
              <w:t>ox</w:t>
            </w:r>
            <w:r>
              <w:rPr>
                <w:spacing w:val="-2"/>
              </w:rPr>
              <w:t>i</w:t>
            </w:r>
            <w:r>
              <w:t>ca</w:t>
            </w:r>
            <w:r>
              <w:rPr>
                <w:spacing w:val="-2"/>
              </w:rPr>
              <w:t>ţ</w:t>
            </w:r>
            <w:r>
              <w:rPr>
                <w:spacing w:val="1"/>
              </w:rPr>
              <w:t>i</w:t>
            </w:r>
            <w:r>
              <w:t>i</w:t>
            </w:r>
            <w:r>
              <w:rPr>
                <w:spacing w:val="-2"/>
              </w:rPr>
              <w:t xml:space="preserve"> </w:t>
            </w:r>
            <w:r>
              <w:t>şi co</w:t>
            </w:r>
            <w:r>
              <w:rPr>
                <w:spacing w:val="-4"/>
              </w:rPr>
              <w:t>m</w:t>
            </w:r>
            <w:r>
              <w:t>p</w:t>
            </w:r>
            <w:r>
              <w:rPr>
                <w:spacing w:val="1"/>
              </w:rPr>
              <w:t>li</w:t>
            </w:r>
            <w:r>
              <w:t>c</w:t>
            </w:r>
            <w:r>
              <w:rPr>
                <w:spacing w:val="-3"/>
              </w:rPr>
              <w:t>a</w:t>
            </w:r>
            <w:r>
              <w:rPr>
                <w:spacing w:val="1"/>
              </w:rPr>
              <w:t>ţ</w:t>
            </w:r>
            <w:r>
              <w:rPr>
                <w:spacing w:val="-2"/>
              </w:rPr>
              <w:t>i</w:t>
            </w:r>
            <w:r>
              <w:t>i</w:t>
            </w:r>
            <w:r>
              <w:rPr>
                <w:spacing w:val="1"/>
              </w:rPr>
              <w:t xml:space="preserve"> </w:t>
            </w:r>
            <w:r>
              <w:rPr>
                <w:spacing w:val="-2"/>
              </w:rPr>
              <w:t>l</w:t>
            </w:r>
            <w:r>
              <w:t>e</w:t>
            </w:r>
            <w:r>
              <w:rPr>
                <w:spacing w:val="-3"/>
              </w:rPr>
              <w:t>g</w:t>
            </w:r>
            <w:r>
              <w:t>a</w:t>
            </w:r>
            <w:r>
              <w:rPr>
                <w:spacing w:val="1"/>
              </w:rPr>
              <w:t>t</w:t>
            </w:r>
            <w:r>
              <w:t>e de</w:t>
            </w:r>
            <w:r>
              <w:rPr>
                <w:spacing w:val="-2"/>
              </w:rPr>
              <w:t xml:space="preserve"> </w:t>
            </w:r>
            <w:r>
              <w:t>pr</w:t>
            </w:r>
            <w:r>
              <w:rPr>
                <w:spacing w:val="-3"/>
              </w:rPr>
              <w:t>o</w:t>
            </w:r>
            <w:r>
              <w:t>c</w:t>
            </w:r>
            <w:r>
              <w:rPr>
                <w:spacing w:val="-3"/>
              </w:rPr>
              <w:t>e</w:t>
            </w:r>
            <w:r>
              <w:t>dură</w:t>
            </w:r>
          </w:p>
        </w:tc>
        <w:tc>
          <w:tcPr>
            <w:tcW w:w="1784" w:type="dxa"/>
          </w:tcPr>
          <w:p w14:paraId="42BF0F0C" w14:textId="77777777" w:rsidR="00C04CAD" w:rsidRDefault="00060E34">
            <w:pPr>
              <w:tabs>
                <w:tab w:val="clear" w:pos="567"/>
              </w:tabs>
              <w:kinsoku w:val="0"/>
              <w:overflowPunct w:val="0"/>
              <w:autoSpaceDE w:val="0"/>
              <w:autoSpaceDN w:val="0"/>
              <w:adjustRightInd w:val="0"/>
              <w:spacing w:line="240" w:lineRule="auto"/>
            </w:pPr>
            <w:r>
              <w:rPr>
                <w:spacing w:val="-1"/>
              </w:rPr>
              <w:t>F</w:t>
            </w:r>
            <w:r>
              <w:t>rec</w:t>
            </w:r>
            <w:r>
              <w:rPr>
                <w:spacing w:val="-3"/>
              </w:rPr>
              <w:t>v</w:t>
            </w:r>
            <w:r>
              <w:t>en</w:t>
            </w:r>
            <w:r>
              <w:rPr>
                <w:spacing w:val="-2"/>
              </w:rPr>
              <w:t>t</w:t>
            </w:r>
            <w:r>
              <w:t>e</w:t>
            </w:r>
          </w:p>
        </w:tc>
        <w:tc>
          <w:tcPr>
            <w:tcW w:w="4740" w:type="dxa"/>
          </w:tcPr>
          <w:p w14:paraId="36B112D5" w14:textId="77777777" w:rsidR="00C04CAD" w:rsidRDefault="00060E34">
            <w:pPr>
              <w:tabs>
                <w:tab w:val="clear" w:pos="567"/>
              </w:tabs>
              <w:kinsoku w:val="0"/>
              <w:overflowPunct w:val="0"/>
              <w:autoSpaceDE w:val="0"/>
              <w:autoSpaceDN w:val="0"/>
              <w:adjustRightInd w:val="0"/>
              <w:spacing w:line="240" w:lineRule="auto"/>
            </w:pPr>
            <w:r>
              <w:rPr>
                <w:spacing w:val="1"/>
              </w:rPr>
              <w:t>t</w:t>
            </w:r>
            <w:r>
              <w:t>u</w:t>
            </w:r>
            <w:r>
              <w:rPr>
                <w:spacing w:val="1"/>
              </w:rPr>
              <w:t>l</w:t>
            </w:r>
            <w:r>
              <w:rPr>
                <w:spacing w:val="-3"/>
              </w:rPr>
              <w:t>b</w:t>
            </w:r>
            <w:r>
              <w:t>ur</w:t>
            </w:r>
            <w:r>
              <w:rPr>
                <w:spacing w:val="-3"/>
              </w:rPr>
              <w:t>ă</w:t>
            </w:r>
            <w:r>
              <w:t>ri</w:t>
            </w:r>
            <w:r>
              <w:rPr>
                <w:spacing w:val="-2"/>
              </w:rPr>
              <w:t xml:space="preserve"> </w:t>
            </w:r>
            <w:r>
              <w:t>a</w:t>
            </w:r>
            <w:r>
              <w:rPr>
                <w:spacing w:val="-2"/>
              </w:rPr>
              <w:t>l</w:t>
            </w:r>
            <w:r>
              <w:t xml:space="preserve">e </w:t>
            </w:r>
            <w:r>
              <w:rPr>
                <w:spacing w:val="-3"/>
              </w:rPr>
              <w:t>v</w:t>
            </w:r>
            <w:r>
              <w:rPr>
                <w:spacing w:val="1"/>
              </w:rPr>
              <w:t>i</w:t>
            </w:r>
            <w:r>
              <w:t>nde</w:t>
            </w:r>
            <w:r>
              <w:rPr>
                <w:spacing w:val="-3"/>
              </w:rPr>
              <w:t>c</w:t>
            </w:r>
            <w:r>
              <w:t>ă</w:t>
            </w:r>
            <w:r>
              <w:rPr>
                <w:spacing w:val="-2"/>
              </w:rPr>
              <w:t>r</w:t>
            </w:r>
            <w:r>
              <w:rPr>
                <w:spacing w:val="1"/>
              </w:rPr>
              <w:t>ii</w:t>
            </w:r>
          </w:p>
        </w:tc>
      </w:tr>
    </w:tbl>
    <w:p w14:paraId="3527D436"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 </w:t>
      </w:r>
      <w:r>
        <w:rPr>
          <w:spacing w:val="1"/>
          <w:sz w:val="20"/>
        </w:rPr>
        <w:t>i</w:t>
      </w:r>
      <w:r>
        <w:rPr>
          <w:sz w:val="20"/>
        </w:rPr>
        <w:t>n</w:t>
      </w:r>
      <w:r>
        <w:rPr>
          <w:spacing w:val="-2"/>
          <w:sz w:val="20"/>
        </w:rPr>
        <w:t>f</w:t>
      </w:r>
      <w:r>
        <w:rPr>
          <w:sz w:val="20"/>
        </w:rPr>
        <w:t>or</w:t>
      </w:r>
      <w:r>
        <w:rPr>
          <w:spacing w:val="-4"/>
          <w:sz w:val="20"/>
        </w:rPr>
        <w:t>m</w:t>
      </w:r>
      <w:r>
        <w:rPr>
          <w:sz w:val="20"/>
        </w:rPr>
        <w:t>a</w:t>
      </w:r>
      <w:r>
        <w:rPr>
          <w:spacing w:val="1"/>
          <w:sz w:val="20"/>
        </w:rPr>
        <w:t>ţ</w:t>
      </w:r>
      <w:r>
        <w:rPr>
          <w:spacing w:val="-2"/>
          <w:sz w:val="20"/>
        </w:rPr>
        <w:t>i</w:t>
      </w:r>
      <w:r>
        <w:rPr>
          <w:sz w:val="20"/>
        </w:rPr>
        <w:t>i</w:t>
      </w:r>
      <w:r>
        <w:rPr>
          <w:spacing w:val="1"/>
          <w:sz w:val="20"/>
        </w:rPr>
        <w:t xml:space="preserve"> </w:t>
      </w:r>
      <w:r>
        <w:rPr>
          <w:sz w:val="20"/>
        </w:rPr>
        <w:t>su</w:t>
      </w:r>
      <w:r>
        <w:rPr>
          <w:spacing w:val="-3"/>
          <w:sz w:val="20"/>
        </w:rPr>
        <w:t>p</w:t>
      </w:r>
      <w:r>
        <w:rPr>
          <w:spacing w:val="1"/>
          <w:sz w:val="20"/>
        </w:rPr>
        <w:t>li</w:t>
      </w:r>
      <w:r>
        <w:rPr>
          <w:spacing w:val="-4"/>
          <w:sz w:val="20"/>
        </w:rPr>
        <w:t>m</w:t>
      </w:r>
      <w:r>
        <w:rPr>
          <w:sz w:val="20"/>
        </w:rPr>
        <w:t>en</w:t>
      </w:r>
      <w:r>
        <w:rPr>
          <w:spacing w:val="1"/>
          <w:sz w:val="20"/>
        </w:rPr>
        <w:t>t</w:t>
      </w:r>
      <w:r>
        <w:rPr>
          <w:spacing w:val="-3"/>
          <w:sz w:val="20"/>
        </w:rPr>
        <w:t>a</w:t>
      </w:r>
      <w:r>
        <w:rPr>
          <w:sz w:val="20"/>
        </w:rPr>
        <w:t>re</w:t>
      </w:r>
      <w:r>
        <w:rPr>
          <w:spacing w:val="-2"/>
          <w:sz w:val="20"/>
        </w:rPr>
        <w:t xml:space="preserve"> s</w:t>
      </w:r>
      <w:r>
        <w:rPr>
          <w:sz w:val="20"/>
        </w:rPr>
        <w:t xml:space="preserve">e </w:t>
      </w:r>
      <w:r>
        <w:rPr>
          <w:spacing w:val="-3"/>
          <w:sz w:val="20"/>
        </w:rPr>
        <w:t>g</w:t>
      </w:r>
      <w:r>
        <w:rPr>
          <w:sz w:val="20"/>
        </w:rPr>
        <w:t>ăsesc</w:t>
      </w:r>
      <w:r>
        <w:rPr>
          <w:spacing w:val="-2"/>
          <w:sz w:val="20"/>
        </w:rPr>
        <w:t xml:space="preserve"> </w:t>
      </w:r>
      <w:r>
        <w:rPr>
          <w:sz w:val="20"/>
        </w:rPr>
        <w:t>şi</w:t>
      </w:r>
      <w:r>
        <w:rPr>
          <w:spacing w:val="-2"/>
          <w:sz w:val="20"/>
        </w:rPr>
        <w:t xml:space="preserve"> </w:t>
      </w:r>
      <w:r>
        <w:rPr>
          <w:spacing w:val="1"/>
          <w:sz w:val="20"/>
        </w:rPr>
        <w:t>î</w:t>
      </w:r>
      <w:r>
        <w:rPr>
          <w:sz w:val="20"/>
        </w:rPr>
        <w:t xml:space="preserve">n </w:t>
      </w:r>
      <w:r>
        <w:rPr>
          <w:spacing w:val="-3"/>
          <w:sz w:val="20"/>
        </w:rPr>
        <w:t>c</w:t>
      </w:r>
      <w:r>
        <w:rPr>
          <w:sz w:val="20"/>
        </w:rPr>
        <w:t>ap</w:t>
      </w:r>
      <w:r>
        <w:rPr>
          <w:spacing w:val="-2"/>
          <w:sz w:val="20"/>
        </w:rPr>
        <w:t>i</w:t>
      </w:r>
      <w:r>
        <w:rPr>
          <w:spacing w:val="1"/>
          <w:sz w:val="20"/>
        </w:rPr>
        <w:t>t</w:t>
      </w:r>
      <w:r>
        <w:rPr>
          <w:sz w:val="20"/>
        </w:rPr>
        <w:t>o</w:t>
      </w:r>
      <w:r>
        <w:rPr>
          <w:spacing w:val="-2"/>
          <w:sz w:val="20"/>
        </w:rPr>
        <w:t>l</w:t>
      </w:r>
      <w:r>
        <w:rPr>
          <w:sz w:val="20"/>
        </w:rPr>
        <w:t>e</w:t>
      </w:r>
      <w:r>
        <w:rPr>
          <w:spacing w:val="-2"/>
          <w:sz w:val="20"/>
        </w:rPr>
        <w:t>l</w:t>
      </w:r>
      <w:r>
        <w:rPr>
          <w:sz w:val="20"/>
        </w:rPr>
        <w:t>e 4.3,</w:t>
      </w:r>
      <w:r>
        <w:rPr>
          <w:spacing w:val="-3"/>
          <w:sz w:val="20"/>
        </w:rPr>
        <w:t xml:space="preserve"> </w:t>
      </w:r>
      <w:r>
        <w:rPr>
          <w:sz w:val="20"/>
        </w:rPr>
        <w:t>4.4 şi</w:t>
      </w:r>
      <w:r>
        <w:rPr>
          <w:spacing w:val="-2"/>
          <w:sz w:val="20"/>
        </w:rPr>
        <w:t xml:space="preserve"> </w:t>
      </w:r>
      <w:r>
        <w:rPr>
          <w:sz w:val="20"/>
        </w:rPr>
        <w:t>4.8</w:t>
      </w:r>
    </w:p>
    <w:p w14:paraId="5404F05C"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 </w:t>
      </w:r>
      <w:r>
        <w:rPr>
          <w:spacing w:val="1"/>
          <w:sz w:val="20"/>
        </w:rPr>
        <w:t>i</w:t>
      </w:r>
      <w:r>
        <w:rPr>
          <w:sz w:val="20"/>
        </w:rPr>
        <w:t>n</w:t>
      </w:r>
      <w:r>
        <w:rPr>
          <w:spacing w:val="-3"/>
          <w:sz w:val="20"/>
        </w:rPr>
        <w:t>c</w:t>
      </w:r>
      <w:r>
        <w:rPr>
          <w:spacing w:val="1"/>
          <w:sz w:val="20"/>
        </w:rPr>
        <w:t>l</w:t>
      </w:r>
      <w:r>
        <w:rPr>
          <w:sz w:val="20"/>
        </w:rPr>
        <w:t>u</w:t>
      </w:r>
      <w:r>
        <w:rPr>
          <w:spacing w:val="-2"/>
          <w:sz w:val="20"/>
        </w:rPr>
        <w:t>s</w:t>
      </w:r>
      <w:r>
        <w:rPr>
          <w:spacing w:val="1"/>
          <w:sz w:val="20"/>
        </w:rPr>
        <w:t>i</w:t>
      </w:r>
      <w:r>
        <w:rPr>
          <w:sz w:val="20"/>
        </w:rPr>
        <w:t>v</w:t>
      </w:r>
      <w:r>
        <w:rPr>
          <w:spacing w:val="-3"/>
          <w:sz w:val="20"/>
        </w:rPr>
        <w:t xml:space="preserve"> </w:t>
      </w:r>
      <w:r>
        <w:rPr>
          <w:sz w:val="20"/>
        </w:rPr>
        <w:t>s</w:t>
      </w:r>
      <w:r>
        <w:rPr>
          <w:spacing w:val="1"/>
          <w:sz w:val="20"/>
        </w:rPr>
        <w:t>t</w:t>
      </w:r>
      <w:r>
        <w:rPr>
          <w:sz w:val="20"/>
        </w:rPr>
        <w:t>u</w:t>
      </w:r>
      <w:r>
        <w:rPr>
          <w:spacing w:val="-3"/>
          <w:sz w:val="20"/>
        </w:rPr>
        <w:t>d</w:t>
      </w:r>
      <w:r>
        <w:rPr>
          <w:spacing w:val="1"/>
          <w:sz w:val="20"/>
        </w:rPr>
        <w:t>i</w:t>
      </w:r>
      <w:r>
        <w:rPr>
          <w:sz w:val="20"/>
        </w:rPr>
        <w:t>i</w:t>
      </w:r>
      <w:r>
        <w:rPr>
          <w:spacing w:val="-2"/>
          <w:sz w:val="20"/>
        </w:rPr>
        <w:t xml:space="preserve"> </w:t>
      </w:r>
      <w:r>
        <w:rPr>
          <w:sz w:val="20"/>
        </w:rPr>
        <w:t>de</w:t>
      </w:r>
      <w:r>
        <w:rPr>
          <w:spacing w:val="-2"/>
          <w:sz w:val="20"/>
        </w:rPr>
        <w:t>s</w:t>
      </w:r>
      <w:r>
        <w:rPr>
          <w:sz w:val="20"/>
        </w:rPr>
        <w:t>ch</w:t>
      </w:r>
      <w:r>
        <w:rPr>
          <w:spacing w:val="-2"/>
          <w:sz w:val="20"/>
        </w:rPr>
        <w:t>i</w:t>
      </w:r>
      <w:r>
        <w:rPr>
          <w:sz w:val="20"/>
        </w:rPr>
        <w:t>se</w:t>
      </w:r>
      <w:r>
        <w:rPr>
          <w:spacing w:val="-2"/>
          <w:sz w:val="20"/>
        </w:rPr>
        <w:t xml:space="preserve"> </w:t>
      </w:r>
      <w:r>
        <w:rPr>
          <w:sz w:val="20"/>
        </w:rPr>
        <w:t>ex</w:t>
      </w:r>
      <w:r>
        <w:rPr>
          <w:spacing w:val="-2"/>
          <w:sz w:val="20"/>
        </w:rPr>
        <w:t>t</w:t>
      </w:r>
      <w:r>
        <w:rPr>
          <w:spacing w:val="1"/>
          <w:sz w:val="20"/>
        </w:rPr>
        <w:t>i</w:t>
      </w:r>
      <w:r>
        <w:rPr>
          <w:sz w:val="20"/>
        </w:rPr>
        <w:t>nse</w:t>
      </w:r>
    </w:p>
    <w:p w14:paraId="5C85E3F8"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vertAlign w:val="superscript"/>
        </w:rPr>
        <w:t>1)</w:t>
      </w:r>
      <w:r>
        <w:rPr>
          <w:sz w:val="20"/>
        </w:rPr>
        <w:t xml:space="preserve"> </w:t>
      </w:r>
      <w:r>
        <w:rPr>
          <w:spacing w:val="1"/>
          <w:sz w:val="20"/>
        </w:rPr>
        <w:t>i</w:t>
      </w:r>
      <w:r>
        <w:rPr>
          <w:sz w:val="20"/>
        </w:rPr>
        <w:t>nc</w:t>
      </w:r>
      <w:r>
        <w:rPr>
          <w:spacing w:val="1"/>
          <w:sz w:val="20"/>
        </w:rPr>
        <w:t>l</w:t>
      </w:r>
      <w:r>
        <w:rPr>
          <w:spacing w:val="-3"/>
          <w:sz w:val="20"/>
        </w:rPr>
        <w:t>u</w:t>
      </w:r>
      <w:r>
        <w:rPr>
          <w:sz w:val="20"/>
        </w:rPr>
        <w:t>s</w:t>
      </w:r>
      <w:r>
        <w:rPr>
          <w:spacing w:val="1"/>
          <w:sz w:val="20"/>
        </w:rPr>
        <w:t>i</w:t>
      </w:r>
      <w:r>
        <w:rPr>
          <w:sz w:val="20"/>
        </w:rPr>
        <w:t>v</w:t>
      </w:r>
      <w:r>
        <w:rPr>
          <w:spacing w:val="-3"/>
          <w:sz w:val="20"/>
        </w:rPr>
        <w:t xml:space="preserve"> </w:t>
      </w:r>
      <w:r>
        <w:rPr>
          <w:sz w:val="20"/>
        </w:rPr>
        <w:t>da</w:t>
      </w:r>
      <w:r>
        <w:rPr>
          <w:spacing w:val="-2"/>
          <w:sz w:val="20"/>
        </w:rPr>
        <w:t>t</w:t>
      </w:r>
      <w:r>
        <w:rPr>
          <w:sz w:val="20"/>
        </w:rPr>
        <w:t>e</w:t>
      </w:r>
      <w:r>
        <w:rPr>
          <w:spacing w:val="1"/>
          <w:sz w:val="20"/>
        </w:rPr>
        <w:t>l</w:t>
      </w:r>
      <w:r>
        <w:rPr>
          <w:sz w:val="20"/>
        </w:rPr>
        <w:t>e</w:t>
      </w:r>
      <w:r>
        <w:rPr>
          <w:spacing w:val="-2"/>
          <w:sz w:val="20"/>
        </w:rPr>
        <w:t xml:space="preserve"> </w:t>
      </w:r>
      <w:r>
        <w:rPr>
          <w:sz w:val="20"/>
        </w:rPr>
        <w:t>d</w:t>
      </w:r>
      <w:r>
        <w:rPr>
          <w:spacing w:val="1"/>
          <w:sz w:val="20"/>
        </w:rPr>
        <w:t>i</w:t>
      </w:r>
      <w:r>
        <w:rPr>
          <w:sz w:val="20"/>
        </w:rPr>
        <w:t>n</w:t>
      </w:r>
      <w:r>
        <w:rPr>
          <w:spacing w:val="-3"/>
          <w:sz w:val="20"/>
        </w:rPr>
        <w:t xml:space="preserve"> </w:t>
      </w:r>
      <w:r>
        <w:rPr>
          <w:sz w:val="20"/>
        </w:rPr>
        <w:t>ra</w:t>
      </w:r>
      <w:r>
        <w:rPr>
          <w:spacing w:val="-3"/>
          <w:sz w:val="20"/>
        </w:rPr>
        <w:t>p</w:t>
      </w:r>
      <w:r>
        <w:rPr>
          <w:sz w:val="20"/>
        </w:rPr>
        <w:t>o</w:t>
      </w:r>
      <w:r>
        <w:rPr>
          <w:spacing w:val="-2"/>
          <w:sz w:val="20"/>
        </w:rPr>
        <w:t>rt</w:t>
      </w:r>
      <w:r>
        <w:rPr>
          <w:sz w:val="20"/>
        </w:rPr>
        <w:t>ăr</w:t>
      </w:r>
      <w:r>
        <w:rPr>
          <w:spacing w:val="-2"/>
          <w:sz w:val="20"/>
        </w:rPr>
        <w:t>i</w:t>
      </w:r>
      <w:r>
        <w:rPr>
          <w:spacing w:val="1"/>
          <w:sz w:val="20"/>
        </w:rPr>
        <w:t>l</w:t>
      </w:r>
      <w:r>
        <w:rPr>
          <w:sz w:val="20"/>
        </w:rPr>
        <w:t>e</w:t>
      </w:r>
      <w:r>
        <w:rPr>
          <w:spacing w:val="-3"/>
          <w:sz w:val="20"/>
        </w:rPr>
        <w:t xml:space="preserve"> </w:t>
      </w:r>
      <w:r>
        <w:rPr>
          <w:sz w:val="20"/>
        </w:rPr>
        <w:t>spo</w:t>
      </w:r>
      <w:r>
        <w:rPr>
          <w:spacing w:val="-3"/>
          <w:sz w:val="20"/>
        </w:rPr>
        <w:t>n</w:t>
      </w:r>
      <w:r>
        <w:rPr>
          <w:spacing w:val="1"/>
          <w:sz w:val="20"/>
        </w:rPr>
        <w:t>t</w:t>
      </w:r>
      <w:r>
        <w:rPr>
          <w:sz w:val="20"/>
        </w:rPr>
        <w:t>ane</w:t>
      </w:r>
    </w:p>
    <w:p w14:paraId="1787862D" w14:textId="77777777" w:rsidR="00C04CAD" w:rsidRDefault="00060E34">
      <w:pPr>
        <w:tabs>
          <w:tab w:val="clear" w:pos="567"/>
        </w:tabs>
        <w:kinsoku w:val="0"/>
        <w:overflowPunct w:val="0"/>
        <w:autoSpaceDE w:val="0"/>
        <w:autoSpaceDN w:val="0"/>
        <w:adjustRightInd w:val="0"/>
        <w:spacing w:line="240" w:lineRule="auto"/>
        <w:rPr>
          <w:sz w:val="20"/>
        </w:rPr>
      </w:pPr>
      <w:r>
        <w:rPr>
          <w:rFonts w:eastAsia="MS Mincho"/>
          <w:color w:val="000000"/>
          <w:sz w:val="20"/>
          <w:vertAlign w:val="superscript"/>
          <w:lang w:eastAsia="ja-JP" w:bidi="ar-SA"/>
        </w:rPr>
        <w:t>2)</w:t>
      </w:r>
      <w:r>
        <w:rPr>
          <w:rFonts w:eastAsia="MS Mincho"/>
          <w:color w:val="000000"/>
          <w:sz w:val="20"/>
          <w:lang w:eastAsia="ja-JP" w:bidi="ar-SA"/>
        </w:rPr>
        <w:t xml:space="preserve"> În cazul administrării de adalimumab pentru indicațiile aprobate la adulți, modificarea greutății corporale medii în raport cu valorile inițiale a variat între 0,3 kg și 1,0 kg, comparativ cu (minus) -0,4 kg - 0,4 kg pentru placebo, pe o perioadă de tratament de 4-6 luni. De asemenea, a fost observată o creștere în greutate de 5-6 kg în studiile de extensie de lungă durată, cu expuneri medii de aproximativ 1-2 ani, fără grup de control, în special la pacienții cu boala Crohn și colită ulcerativă. Mecanismul acestui efect nu a fost elucidat, însă poate fi asociat cu efectul antiinflamator al adalimumabului.</w:t>
      </w:r>
    </w:p>
    <w:p w14:paraId="45332119" w14:textId="77777777" w:rsidR="00C04CAD" w:rsidRDefault="00C04CAD">
      <w:pPr>
        <w:autoSpaceDE w:val="0"/>
        <w:autoSpaceDN w:val="0"/>
        <w:adjustRightInd w:val="0"/>
        <w:spacing w:line="240" w:lineRule="auto"/>
        <w:jc w:val="both"/>
      </w:pPr>
    </w:p>
    <w:p w14:paraId="55899120" w14:textId="77777777" w:rsidR="00C04CAD" w:rsidRDefault="00060E34">
      <w:pPr>
        <w:tabs>
          <w:tab w:val="clear" w:pos="567"/>
        </w:tabs>
        <w:kinsoku w:val="0"/>
        <w:overflowPunct w:val="0"/>
        <w:autoSpaceDE w:val="0"/>
        <w:autoSpaceDN w:val="0"/>
        <w:adjustRightInd w:val="0"/>
        <w:spacing w:line="240" w:lineRule="auto"/>
      </w:pPr>
      <w:r>
        <w:rPr>
          <w:spacing w:val="-1"/>
          <w:u w:val="single"/>
        </w:rPr>
        <w:t>H</w:t>
      </w:r>
      <w:r>
        <w:rPr>
          <w:spacing w:val="1"/>
          <w:u w:val="single"/>
        </w:rPr>
        <w:t>i</w:t>
      </w:r>
      <w:r>
        <w:rPr>
          <w:u w:val="single"/>
        </w:rPr>
        <w:t>dro</w:t>
      </w:r>
      <w:r>
        <w:rPr>
          <w:spacing w:val="-2"/>
          <w:u w:val="single"/>
        </w:rPr>
        <w:t>s</w:t>
      </w:r>
      <w:r>
        <w:rPr>
          <w:u w:val="single"/>
        </w:rPr>
        <w:t>ade</w:t>
      </w:r>
      <w:r>
        <w:rPr>
          <w:spacing w:val="-3"/>
          <w:u w:val="single"/>
        </w:rPr>
        <w:t>n</w:t>
      </w:r>
      <w:r>
        <w:rPr>
          <w:spacing w:val="1"/>
          <w:u w:val="single"/>
        </w:rPr>
        <w:t>i</w:t>
      </w:r>
      <w:r>
        <w:rPr>
          <w:spacing w:val="-2"/>
          <w:u w:val="single"/>
        </w:rPr>
        <w:t>t</w:t>
      </w:r>
      <w:r>
        <w:rPr>
          <w:u w:val="single"/>
        </w:rPr>
        <w:t>ă su</w:t>
      </w:r>
      <w:r>
        <w:rPr>
          <w:spacing w:val="-3"/>
          <w:u w:val="single"/>
        </w:rPr>
        <w:t>p</w:t>
      </w:r>
      <w:r>
        <w:rPr>
          <w:u w:val="single"/>
        </w:rPr>
        <w:t>ur</w:t>
      </w:r>
      <w:r>
        <w:rPr>
          <w:spacing w:val="-3"/>
          <w:u w:val="single"/>
        </w:rPr>
        <w:t>a</w:t>
      </w:r>
      <w:r>
        <w:rPr>
          <w:spacing w:val="-2"/>
          <w:u w:val="single"/>
        </w:rPr>
        <w:t>t</w:t>
      </w:r>
      <w:r>
        <w:rPr>
          <w:spacing w:val="1"/>
          <w:u w:val="single"/>
        </w:rPr>
        <w:t>i</w:t>
      </w:r>
      <w:r>
        <w:rPr>
          <w:spacing w:val="-3"/>
          <w:u w:val="single"/>
        </w:rPr>
        <w:t>v</w:t>
      </w:r>
      <w:r>
        <w:rPr>
          <w:u w:val="single"/>
        </w:rPr>
        <w:t>ă</w:t>
      </w:r>
    </w:p>
    <w:p w14:paraId="199158B0" w14:textId="77777777" w:rsidR="00C04CAD" w:rsidRDefault="00C04CAD">
      <w:pPr>
        <w:tabs>
          <w:tab w:val="clear" w:pos="567"/>
        </w:tabs>
        <w:kinsoku w:val="0"/>
        <w:overflowPunct w:val="0"/>
        <w:autoSpaceDE w:val="0"/>
        <w:autoSpaceDN w:val="0"/>
        <w:adjustRightInd w:val="0"/>
        <w:spacing w:line="240" w:lineRule="auto"/>
      </w:pPr>
    </w:p>
    <w:p w14:paraId="7804062A" w14:textId="77777777" w:rsidR="00C04CAD" w:rsidRDefault="00060E34">
      <w:pPr>
        <w:tabs>
          <w:tab w:val="clear" w:pos="567"/>
        </w:tabs>
        <w:kinsoku w:val="0"/>
        <w:overflowPunct w:val="0"/>
        <w:autoSpaceDE w:val="0"/>
        <w:autoSpaceDN w:val="0"/>
        <w:adjustRightInd w:val="0"/>
        <w:spacing w:line="240" w:lineRule="auto"/>
      </w:pPr>
      <w:r>
        <w:rPr>
          <w:spacing w:val="-1"/>
        </w:rPr>
        <w:t>P</w:t>
      </w:r>
      <w:r>
        <w:t>ro</w:t>
      </w:r>
      <w:r>
        <w:rPr>
          <w:spacing w:val="-2"/>
        </w:rPr>
        <w:t>f</w:t>
      </w:r>
      <w:r>
        <w:rPr>
          <w:spacing w:val="1"/>
        </w:rPr>
        <w:t>il</w:t>
      </w:r>
      <w:r>
        <w:rPr>
          <w:spacing w:val="-3"/>
        </w:rPr>
        <w:t>u</w:t>
      </w:r>
      <w:r>
        <w:t>l</w:t>
      </w:r>
      <w:r>
        <w:rPr>
          <w:spacing w:val="1"/>
        </w:rPr>
        <w:t xml:space="preserve"> </w:t>
      </w:r>
      <w:r>
        <w:t>de</w:t>
      </w:r>
      <w:r>
        <w:rPr>
          <w:spacing w:val="-2"/>
        </w:rPr>
        <w:t xml:space="preserve"> </w:t>
      </w:r>
      <w:r>
        <w:t>s</w:t>
      </w:r>
      <w:r>
        <w:rPr>
          <w:spacing w:val="1"/>
        </w:rPr>
        <w:t>i</w:t>
      </w:r>
      <w:r>
        <w:rPr>
          <w:spacing w:val="-3"/>
        </w:rPr>
        <w:t>g</w:t>
      </w:r>
      <w:r>
        <w:t>ur</w:t>
      </w:r>
      <w:r>
        <w:rPr>
          <w:spacing w:val="-3"/>
        </w:rPr>
        <w:t>a</w:t>
      </w:r>
      <w:r>
        <w:t>n</w:t>
      </w:r>
      <w:r>
        <w:rPr>
          <w:spacing w:val="1"/>
        </w:rPr>
        <w:t>ţ</w:t>
      </w:r>
      <w:r>
        <w:t>ă</w:t>
      </w:r>
      <w:r>
        <w:rPr>
          <w:spacing w:val="-2"/>
        </w:rPr>
        <w:t xml:space="preserve"> </w:t>
      </w:r>
      <w:r>
        <w:t>pe</w:t>
      </w:r>
      <w:r>
        <w:rPr>
          <w:spacing w:val="-3"/>
        </w:rPr>
        <w:t>n</w:t>
      </w:r>
      <w:r>
        <w:rPr>
          <w:spacing w:val="1"/>
        </w:rPr>
        <w:t>t</w:t>
      </w:r>
      <w:r>
        <w:t>ru</w:t>
      </w:r>
      <w:r>
        <w:rPr>
          <w:spacing w:val="-3"/>
        </w:rPr>
        <w:t xml:space="preserve"> </w:t>
      </w:r>
      <w:r>
        <w:t>pac</w:t>
      </w:r>
      <w:r>
        <w:rPr>
          <w:spacing w:val="-2"/>
        </w:rPr>
        <w:t>i</w:t>
      </w:r>
      <w:r>
        <w:t>en</w:t>
      </w:r>
      <w:r>
        <w:rPr>
          <w:spacing w:val="-2"/>
        </w:rPr>
        <w:t>ţ</w:t>
      </w:r>
      <w:r>
        <w:rPr>
          <w:spacing w:val="1"/>
        </w:rPr>
        <w:t>i</w:t>
      </w:r>
      <w:r>
        <w:t>i</w:t>
      </w:r>
      <w:r>
        <w:rPr>
          <w:spacing w:val="-2"/>
        </w:rPr>
        <w:t xml:space="preserve"> </w:t>
      </w:r>
      <w:r>
        <w:t xml:space="preserve">cu </w:t>
      </w:r>
      <w:r>
        <w:rPr>
          <w:spacing w:val="-1"/>
        </w:rPr>
        <w:t>H</w:t>
      </w:r>
      <w:r>
        <w:t>S</w:t>
      </w:r>
      <w:r>
        <w:rPr>
          <w:spacing w:val="-1"/>
        </w:rPr>
        <w:t xml:space="preserve"> </w:t>
      </w:r>
      <w:r>
        <w:t>cu</w:t>
      </w:r>
      <w:r>
        <w:rPr>
          <w:spacing w:val="-3"/>
        </w:rPr>
        <w:t xml:space="preserve"> </w:t>
      </w:r>
      <w:r>
        <w:rPr>
          <w:spacing w:val="-2"/>
        </w:rPr>
        <w:t>t</w:t>
      </w:r>
      <w:r>
        <w:t>ra</w:t>
      </w:r>
      <w:r>
        <w:rPr>
          <w:spacing w:val="-2"/>
        </w:rPr>
        <w:t>t</w:t>
      </w:r>
      <w:r>
        <w:t>a</w:t>
      </w:r>
      <w:r>
        <w:rPr>
          <w:spacing w:val="-4"/>
        </w:rPr>
        <w:t>m</w:t>
      </w:r>
      <w:r>
        <w:t>ent</w:t>
      </w:r>
      <w:r>
        <w:rPr>
          <w:spacing w:val="1"/>
        </w:rPr>
        <w:t xml:space="preserve"> </w:t>
      </w:r>
      <w:r>
        <w:t>s</w:t>
      </w:r>
      <w:r>
        <w:rPr>
          <w:spacing w:val="-3"/>
        </w:rPr>
        <w:t>ă</w:t>
      </w:r>
      <w:r>
        <w:t>p</w:t>
      </w:r>
      <w:r>
        <w:rPr>
          <w:spacing w:val="1"/>
        </w:rPr>
        <w:t>t</w:t>
      </w:r>
      <w:r>
        <w:t>ă</w:t>
      </w:r>
      <w:r>
        <w:rPr>
          <w:spacing w:val="-4"/>
        </w:rPr>
        <w:t>m</w:t>
      </w:r>
      <w:r>
        <w:t>ânal</w:t>
      </w:r>
      <w:r>
        <w:rPr>
          <w:spacing w:val="-2"/>
        </w:rPr>
        <w:t xml:space="preserve"> </w:t>
      </w:r>
      <w:r>
        <w:t xml:space="preserve">cu </w:t>
      </w:r>
      <w:r>
        <w:rPr>
          <w:rFonts w:eastAsia="MS Mincho"/>
          <w:spacing w:val="-1"/>
          <w:szCs w:val="22"/>
          <w:lang w:eastAsia="en-US" w:bidi="ar-SA"/>
        </w:rPr>
        <w:t>adalimumab</w:t>
      </w:r>
      <w:r>
        <w:t xml:space="preserve"> a</w:t>
      </w:r>
      <w:r>
        <w:rPr>
          <w:spacing w:val="-2"/>
        </w:rPr>
        <w:t xml:space="preserve"> </w:t>
      </w:r>
      <w:r>
        <w:t>fost</w:t>
      </w:r>
      <w:r>
        <w:rPr>
          <w:spacing w:val="-2"/>
        </w:rPr>
        <w:t xml:space="preserve"> </w:t>
      </w:r>
      <w:r>
        <w:rPr>
          <w:spacing w:val="1"/>
        </w:rPr>
        <w:t>î</w:t>
      </w:r>
      <w:r>
        <w:t>n</w:t>
      </w:r>
      <w:r>
        <w:rPr>
          <w:spacing w:val="-3"/>
        </w:rPr>
        <w:t xml:space="preserve"> </w:t>
      </w:r>
      <w:r>
        <w:t>conc</w:t>
      </w:r>
      <w:r>
        <w:rPr>
          <w:spacing w:val="-3"/>
        </w:rPr>
        <w:t>o</w:t>
      </w:r>
      <w:r>
        <w:t>rd</w:t>
      </w:r>
      <w:r>
        <w:rPr>
          <w:spacing w:val="-3"/>
        </w:rPr>
        <w:t>a</w:t>
      </w:r>
      <w:r>
        <w:t>n</w:t>
      </w:r>
      <w:r>
        <w:rPr>
          <w:spacing w:val="1"/>
        </w:rPr>
        <w:t>ţ</w:t>
      </w:r>
      <w:r>
        <w:t>ă cu pr</w:t>
      </w:r>
      <w:r>
        <w:rPr>
          <w:spacing w:val="-3"/>
        </w:rPr>
        <w:t>o</w:t>
      </w:r>
      <w:r>
        <w:t>f</w:t>
      </w:r>
      <w:r>
        <w:rPr>
          <w:spacing w:val="-2"/>
        </w:rPr>
        <w:t>i</w:t>
      </w:r>
      <w:r>
        <w:rPr>
          <w:spacing w:val="1"/>
        </w:rPr>
        <w:t>l</w:t>
      </w:r>
      <w:r>
        <w:rPr>
          <w:spacing w:val="-3"/>
        </w:rPr>
        <w:t>u</w:t>
      </w:r>
      <w:r>
        <w:t>l</w:t>
      </w:r>
      <w:r>
        <w:rPr>
          <w:spacing w:val="1"/>
        </w:rPr>
        <w:t xml:space="preserve"> </w:t>
      </w:r>
      <w:r>
        <w:t>de</w:t>
      </w:r>
      <w:r>
        <w:rPr>
          <w:spacing w:val="-2"/>
        </w:rPr>
        <w:t xml:space="preserve"> </w:t>
      </w:r>
      <w:r>
        <w:t>s</w:t>
      </w:r>
      <w:r>
        <w:rPr>
          <w:spacing w:val="1"/>
        </w:rPr>
        <w:t>i</w:t>
      </w:r>
      <w:r>
        <w:rPr>
          <w:spacing w:val="-3"/>
        </w:rPr>
        <w:t>g</w:t>
      </w:r>
      <w:r>
        <w:t>ura</w:t>
      </w:r>
      <w:r>
        <w:rPr>
          <w:spacing w:val="-3"/>
        </w:rPr>
        <w:t>n</w:t>
      </w:r>
      <w:r>
        <w:rPr>
          <w:spacing w:val="1"/>
        </w:rPr>
        <w:t>ţ</w:t>
      </w:r>
      <w:r>
        <w:t>ă</w:t>
      </w:r>
      <w:r>
        <w:rPr>
          <w:spacing w:val="-2"/>
        </w:rPr>
        <w:t xml:space="preserve"> </w:t>
      </w:r>
      <w:r>
        <w:t>cu</w:t>
      </w:r>
      <w:r>
        <w:rPr>
          <w:spacing w:val="-3"/>
        </w:rPr>
        <w:t>n</w:t>
      </w:r>
      <w:r>
        <w:t>oscut</w:t>
      </w:r>
      <w:r>
        <w:rPr>
          <w:spacing w:val="-2"/>
        </w:rPr>
        <w:t xml:space="preserve"> </w:t>
      </w:r>
      <w:r>
        <w:t>al</w:t>
      </w:r>
      <w:r>
        <w:rPr>
          <w:spacing w:val="1"/>
        </w:rPr>
        <w:t xml:space="preserve"> </w:t>
      </w:r>
      <w:r>
        <w:rPr>
          <w:rFonts w:eastAsia="MS Mincho"/>
          <w:spacing w:val="-1"/>
          <w:szCs w:val="22"/>
          <w:lang w:eastAsia="en-US" w:bidi="ar-SA"/>
        </w:rPr>
        <w:t>adalimumabului</w:t>
      </w:r>
      <w:r>
        <w:t>.</w:t>
      </w:r>
    </w:p>
    <w:p w14:paraId="4D6D7C3B" w14:textId="77777777" w:rsidR="00C04CAD" w:rsidRDefault="00C04CAD">
      <w:pPr>
        <w:tabs>
          <w:tab w:val="clear" w:pos="567"/>
        </w:tabs>
        <w:kinsoku w:val="0"/>
        <w:overflowPunct w:val="0"/>
        <w:autoSpaceDE w:val="0"/>
        <w:autoSpaceDN w:val="0"/>
        <w:adjustRightInd w:val="0"/>
        <w:spacing w:line="240" w:lineRule="auto"/>
        <w:rPr>
          <w:spacing w:val="-1"/>
          <w:u w:val="single"/>
        </w:rPr>
      </w:pPr>
    </w:p>
    <w:p w14:paraId="7C43D0C0"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U</w:t>
      </w:r>
      <w:r>
        <w:rPr>
          <w:spacing w:val="-3"/>
          <w:u w:val="single"/>
        </w:rPr>
        <w:t>v</w:t>
      </w:r>
      <w:r>
        <w:rPr>
          <w:u w:val="single"/>
        </w:rPr>
        <w:t>e</w:t>
      </w:r>
      <w:r>
        <w:rPr>
          <w:spacing w:val="1"/>
          <w:u w:val="single"/>
        </w:rPr>
        <w:t>ită</w:t>
      </w:r>
    </w:p>
    <w:p w14:paraId="50AC567A" w14:textId="77777777" w:rsidR="00C04CAD" w:rsidRDefault="00C04CAD">
      <w:pPr>
        <w:keepNext/>
        <w:tabs>
          <w:tab w:val="clear" w:pos="567"/>
        </w:tabs>
        <w:kinsoku w:val="0"/>
        <w:overflowPunct w:val="0"/>
        <w:autoSpaceDE w:val="0"/>
        <w:autoSpaceDN w:val="0"/>
        <w:adjustRightInd w:val="0"/>
        <w:spacing w:line="240" w:lineRule="auto"/>
      </w:pPr>
    </w:p>
    <w:p w14:paraId="7E7E628E" w14:textId="77777777" w:rsidR="00C04CAD" w:rsidRDefault="00060E34">
      <w:pPr>
        <w:tabs>
          <w:tab w:val="clear" w:pos="567"/>
        </w:tabs>
        <w:kinsoku w:val="0"/>
        <w:overflowPunct w:val="0"/>
        <w:autoSpaceDE w:val="0"/>
        <w:autoSpaceDN w:val="0"/>
        <w:adjustRightInd w:val="0"/>
        <w:spacing w:line="240" w:lineRule="auto"/>
      </w:pPr>
      <w:r>
        <w:rPr>
          <w:spacing w:val="-1"/>
        </w:rPr>
        <w:t>P</w:t>
      </w:r>
      <w:r>
        <w:t>ro</w:t>
      </w:r>
      <w:r>
        <w:rPr>
          <w:spacing w:val="-2"/>
        </w:rPr>
        <w:t>f</w:t>
      </w:r>
      <w:r>
        <w:rPr>
          <w:spacing w:val="1"/>
        </w:rPr>
        <w:t>il</w:t>
      </w:r>
      <w:r>
        <w:rPr>
          <w:spacing w:val="-3"/>
        </w:rPr>
        <w:t>u</w:t>
      </w:r>
      <w:r>
        <w:t>l</w:t>
      </w:r>
      <w:r>
        <w:rPr>
          <w:spacing w:val="1"/>
        </w:rPr>
        <w:t xml:space="preserve"> </w:t>
      </w:r>
      <w:r>
        <w:t>de</w:t>
      </w:r>
      <w:r>
        <w:rPr>
          <w:spacing w:val="-2"/>
        </w:rPr>
        <w:t xml:space="preserve"> </w:t>
      </w:r>
      <w:r>
        <w:t>s</w:t>
      </w:r>
      <w:r>
        <w:rPr>
          <w:spacing w:val="1"/>
        </w:rPr>
        <w:t>i</w:t>
      </w:r>
      <w:r>
        <w:rPr>
          <w:spacing w:val="-3"/>
        </w:rPr>
        <w:t>g</w:t>
      </w:r>
      <w:r>
        <w:t>ur</w:t>
      </w:r>
      <w:r>
        <w:rPr>
          <w:spacing w:val="-3"/>
        </w:rPr>
        <w:t>a</w:t>
      </w:r>
      <w:r>
        <w:t>n</w:t>
      </w:r>
      <w:r>
        <w:rPr>
          <w:spacing w:val="1"/>
        </w:rPr>
        <w:t>ţ</w:t>
      </w:r>
      <w:r>
        <w:t>ă</w:t>
      </w:r>
      <w:r>
        <w:rPr>
          <w:spacing w:val="-2"/>
        </w:rPr>
        <w:t xml:space="preserve"> </w:t>
      </w:r>
      <w:r>
        <w:t>pe</w:t>
      </w:r>
      <w:r>
        <w:rPr>
          <w:spacing w:val="-3"/>
        </w:rPr>
        <w:t>n</w:t>
      </w:r>
      <w:r>
        <w:rPr>
          <w:spacing w:val="1"/>
        </w:rPr>
        <w:t>t</w:t>
      </w:r>
      <w:r>
        <w:t>ru</w:t>
      </w:r>
      <w:r>
        <w:rPr>
          <w:spacing w:val="-3"/>
        </w:rPr>
        <w:t xml:space="preserve"> </w:t>
      </w:r>
      <w:r>
        <w:t>pac</w:t>
      </w:r>
      <w:r>
        <w:rPr>
          <w:spacing w:val="-2"/>
        </w:rPr>
        <w:t>i</w:t>
      </w:r>
      <w:r>
        <w:t>en</w:t>
      </w:r>
      <w:r>
        <w:rPr>
          <w:spacing w:val="-2"/>
        </w:rPr>
        <w:t>ţ</w:t>
      </w:r>
      <w:r>
        <w:rPr>
          <w:spacing w:val="1"/>
        </w:rPr>
        <w:t>i</w:t>
      </w:r>
      <w:r>
        <w:t>i</w:t>
      </w:r>
      <w:r>
        <w:rPr>
          <w:spacing w:val="-2"/>
        </w:rPr>
        <w:t xml:space="preserve"> </w:t>
      </w:r>
      <w:r>
        <w:t>cu u</w:t>
      </w:r>
      <w:r>
        <w:rPr>
          <w:spacing w:val="-3"/>
        </w:rPr>
        <w:t>v</w:t>
      </w:r>
      <w:r>
        <w:t>e</w:t>
      </w:r>
      <w:r>
        <w:rPr>
          <w:spacing w:val="-2"/>
        </w:rPr>
        <w:t>i</w:t>
      </w:r>
      <w:r>
        <w:rPr>
          <w:spacing w:val="1"/>
        </w:rPr>
        <w:t>t</w:t>
      </w:r>
      <w:r>
        <w:t>ă</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rPr>
          <w:spacing w:val="-3"/>
        </w:rPr>
        <w:t>c</w:t>
      </w:r>
      <w:r>
        <w:t xml:space="preserve">u </w:t>
      </w:r>
      <w:r>
        <w:rPr>
          <w:rFonts w:eastAsia="MS Mincho"/>
          <w:spacing w:val="-1"/>
          <w:szCs w:val="22"/>
          <w:lang w:eastAsia="en-US" w:bidi="ar-SA"/>
        </w:rPr>
        <w:t>adalimumab</w:t>
      </w:r>
      <w:r>
        <w:t xml:space="preserve"> o d</w:t>
      </w:r>
      <w:r>
        <w:rPr>
          <w:spacing w:val="-3"/>
        </w:rPr>
        <w:t>a</w:t>
      </w:r>
      <w:r>
        <w:rPr>
          <w:spacing w:val="1"/>
        </w:rPr>
        <w:t>t</w:t>
      </w:r>
      <w:r>
        <w:t xml:space="preserve">ă </w:t>
      </w:r>
      <w:r>
        <w:rPr>
          <w:spacing w:val="-2"/>
        </w:rPr>
        <w:t>l</w:t>
      </w:r>
      <w:r>
        <w:t>a do</w:t>
      </w:r>
      <w:r>
        <w:rPr>
          <w:spacing w:val="-3"/>
        </w:rPr>
        <w:t>u</w:t>
      </w:r>
      <w:r>
        <w:t>ă s</w:t>
      </w:r>
      <w:r>
        <w:rPr>
          <w:spacing w:val="-3"/>
        </w:rPr>
        <w:t>ă</w:t>
      </w:r>
      <w:r>
        <w:t>p</w:t>
      </w:r>
      <w:r>
        <w:rPr>
          <w:spacing w:val="1"/>
        </w:rPr>
        <w:t>t</w:t>
      </w:r>
      <w:r>
        <w:t>ă</w:t>
      </w:r>
      <w:r>
        <w:rPr>
          <w:spacing w:val="-4"/>
        </w:rPr>
        <w:t>m</w:t>
      </w:r>
      <w:r>
        <w:t>âni</w:t>
      </w:r>
      <w:r>
        <w:rPr>
          <w:spacing w:val="1"/>
        </w:rPr>
        <w:t xml:space="preserve"> </w:t>
      </w:r>
      <w:r>
        <w:t>a</w:t>
      </w:r>
      <w:r>
        <w:rPr>
          <w:spacing w:val="-2"/>
        </w:rPr>
        <w:t xml:space="preserve"> </w:t>
      </w:r>
      <w:r>
        <w:t>fo</w:t>
      </w:r>
      <w:r>
        <w:rPr>
          <w:spacing w:val="-2"/>
        </w:rPr>
        <w:t>s</w:t>
      </w:r>
      <w:r>
        <w:t>t</w:t>
      </w:r>
      <w:r>
        <w:rPr>
          <w:spacing w:val="1"/>
        </w:rPr>
        <w:t xml:space="preserve"> î</w:t>
      </w:r>
      <w:r>
        <w:t>n conc</w:t>
      </w:r>
      <w:r>
        <w:rPr>
          <w:spacing w:val="-3"/>
        </w:rPr>
        <w:t>o</w:t>
      </w:r>
      <w:r>
        <w:t>rda</w:t>
      </w:r>
      <w:r>
        <w:rPr>
          <w:spacing w:val="-3"/>
        </w:rPr>
        <w:t>n</w:t>
      </w:r>
      <w:r>
        <w:rPr>
          <w:spacing w:val="1"/>
        </w:rPr>
        <w:t>ţ</w:t>
      </w:r>
      <w:r>
        <w:t xml:space="preserve">ă </w:t>
      </w:r>
      <w:r>
        <w:rPr>
          <w:spacing w:val="-3"/>
        </w:rPr>
        <w:t>c</w:t>
      </w:r>
      <w:r>
        <w:t>u pr</w:t>
      </w:r>
      <w:r>
        <w:rPr>
          <w:spacing w:val="-3"/>
        </w:rPr>
        <w:t>o</w:t>
      </w:r>
      <w:r>
        <w:t>f</w:t>
      </w:r>
      <w:r>
        <w:rPr>
          <w:spacing w:val="-2"/>
        </w:rPr>
        <w:t>i</w:t>
      </w:r>
      <w:r>
        <w:rPr>
          <w:spacing w:val="1"/>
        </w:rPr>
        <w:t>l</w:t>
      </w:r>
      <w:r>
        <w:rPr>
          <w:spacing w:val="-3"/>
        </w:rPr>
        <w:t>u</w:t>
      </w:r>
      <w:r>
        <w:t>l</w:t>
      </w:r>
      <w:r>
        <w:rPr>
          <w:spacing w:val="1"/>
        </w:rPr>
        <w:t xml:space="preserve"> </w:t>
      </w:r>
      <w:r>
        <w:t>de</w:t>
      </w:r>
      <w:r>
        <w:rPr>
          <w:spacing w:val="-2"/>
        </w:rPr>
        <w:t xml:space="preserve"> s</w:t>
      </w:r>
      <w:r>
        <w:rPr>
          <w:spacing w:val="1"/>
        </w:rPr>
        <w:t>i</w:t>
      </w:r>
      <w:r>
        <w:rPr>
          <w:spacing w:val="-3"/>
        </w:rPr>
        <w:t>g</w:t>
      </w:r>
      <w:r>
        <w:t>uran</w:t>
      </w:r>
      <w:r>
        <w:rPr>
          <w:spacing w:val="-2"/>
        </w:rPr>
        <w:t>ţ</w:t>
      </w:r>
      <w:r>
        <w:t>ă cu</w:t>
      </w:r>
      <w:r>
        <w:rPr>
          <w:spacing w:val="-3"/>
        </w:rPr>
        <w:t>n</w:t>
      </w:r>
      <w:r>
        <w:t>osc</w:t>
      </w:r>
      <w:r>
        <w:rPr>
          <w:spacing w:val="-3"/>
        </w:rPr>
        <w:t>u</w:t>
      </w:r>
      <w:r>
        <w:t>t</w:t>
      </w:r>
      <w:r>
        <w:rPr>
          <w:spacing w:val="1"/>
        </w:rPr>
        <w:t xml:space="preserve"> </w:t>
      </w:r>
      <w:r>
        <w:rPr>
          <w:spacing w:val="-3"/>
        </w:rPr>
        <w:t>a</w:t>
      </w:r>
      <w:r>
        <w:t>l</w:t>
      </w:r>
      <w:r>
        <w:rPr>
          <w:spacing w:val="1"/>
        </w:rPr>
        <w:t xml:space="preserve"> </w:t>
      </w:r>
      <w:r>
        <w:rPr>
          <w:rFonts w:eastAsia="MS Mincho"/>
          <w:spacing w:val="-1"/>
          <w:szCs w:val="22"/>
          <w:lang w:eastAsia="en-US" w:bidi="ar-SA"/>
        </w:rPr>
        <w:t>adalimumabului</w:t>
      </w:r>
      <w:r>
        <w:t>.</w:t>
      </w:r>
    </w:p>
    <w:p w14:paraId="5197D26D" w14:textId="77777777" w:rsidR="00C04CAD" w:rsidRDefault="00C04CAD">
      <w:pPr>
        <w:tabs>
          <w:tab w:val="clear" w:pos="567"/>
        </w:tabs>
        <w:kinsoku w:val="0"/>
        <w:overflowPunct w:val="0"/>
        <w:autoSpaceDE w:val="0"/>
        <w:autoSpaceDN w:val="0"/>
        <w:adjustRightInd w:val="0"/>
        <w:spacing w:line="240" w:lineRule="auto"/>
      </w:pPr>
    </w:p>
    <w:p w14:paraId="48708EB7"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D</w:t>
      </w:r>
      <w:r>
        <w:rPr>
          <w:u w:val="single"/>
        </w:rPr>
        <w:t>esc</w:t>
      </w:r>
      <w:r>
        <w:rPr>
          <w:spacing w:val="-2"/>
          <w:u w:val="single"/>
        </w:rPr>
        <w:t>r</w:t>
      </w:r>
      <w:r>
        <w:rPr>
          <w:spacing w:val="1"/>
          <w:u w:val="single"/>
        </w:rPr>
        <w:t>i</w:t>
      </w:r>
      <w:r>
        <w:rPr>
          <w:spacing w:val="-3"/>
          <w:u w:val="single"/>
        </w:rPr>
        <w:t>e</w:t>
      </w:r>
      <w:r>
        <w:rPr>
          <w:u w:val="single"/>
        </w:rPr>
        <w:t>rea re</w:t>
      </w:r>
      <w:r>
        <w:rPr>
          <w:spacing w:val="-3"/>
          <w:u w:val="single"/>
        </w:rPr>
        <w:t>a</w:t>
      </w:r>
      <w:r>
        <w:rPr>
          <w:u w:val="single"/>
        </w:rPr>
        <w:t>c</w:t>
      </w:r>
      <w:r>
        <w:rPr>
          <w:spacing w:val="-2"/>
          <w:u w:val="single"/>
        </w:rPr>
        <w:t>ţ</w:t>
      </w:r>
      <w:r>
        <w:rPr>
          <w:spacing w:val="1"/>
          <w:u w:val="single"/>
        </w:rPr>
        <w:t>i</w:t>
      </w:r>
      <w:r>
        <w:rPr>
          <w:spacing w:val="-2"/>
          <w:u w:val="single"/>
        </w:rPr>
        <w:t>i</w:t>
      </w:r>
      <w:r>
        <w:rPr>
          <w:spacing w:val="1"/>
          <w:u w:val="single"/>
        </w:rPr>
        <w:t>l</w:t>
      </w:r>
      <w:r>
        <w:rPr>
          <w:u w:val="single"/>
        </w:rPr>
        <w:t>or ad</w:t>
      </w:r>
      <w:r>
        <w:rPr>
          <w:spacing w:val="-3"/>
          <w:u w:val="single"/>
        </w:rPr>
        <w:t>v</w:t>
      </w:r>
      <w:r>
        <w:rPr>
          <w:u w:val="single"/>
        </w:rPr>
        <w:t>er</w:t>
      </w:r>
      <w:r>
        <w:rPr>
          <w:spacing w:val="-2"/>
          <w:u w:val="single"/>
        </w:rPr>
        <w:t>s</w:t>
      </w:r>
      <w:r>
        <w:rPr>
          <w:u w:val="single"/>
        </w:rPr>
        <w:t>e s</w:t>
      </w:r>
      <w:r>
        <w:rPr>
          <w:spacing w:val="-3"/>
          <w:u w:val="single"/>
        </w:rPr>
        <w:t>e</w:t>
      </w:r>
      <w:r>
        <w:rPr>
          <w:spacing w:val="1"/>
          <w:u w:val="single"/>
        </w:rPr>
        <w:t>l</w:t>
      </w:r>
      <w:r>
        <w:rPr>
          <w:u w:val="single"/>
        </w:rPr>
        <w:t>e</w:t>
      </w:r>
      <w:r>
        <w:rPr>
          <w:spacing w:val="-3"/>
          <w:u w:val="single"/>
        </w:rPr>
        <w:t>c</w:t>
      </w:r>
      <w:r>
        <w:rPr>
          <w:spacing w:val="1"/>
          <w:u w:val="single"/>
        </w:rPr>
        <w:t>t</w:t>
      </w:r>
      <w:r>
        <w:rPr>
          <w:spacing w:val="-3"/>
          <w:u w:val="single"/>
        </w:rPr>
        <w:t>a</w:t>
      </w:r>
      <w:r>
        <w:rPr>
          <w:spacing w:val="1"/>
          <w:u w:val="single"/>
        </w:rPr>
        <w:t>t</w:t>
      </w:r>
      <w:r>
        <w:rPr>
          <w:u w:val="single"/>
        </w:rPr>
        <w:t>e</w:t>
      </w:r>
    </w:p>
    <w:p w14:paraId="211FEAA2" w14:textId="77777777" w:rsidR="00C04CAD" w:rsidRDefault="00C04CAD">
      <w:pPr>
        <w:keepNext/>
        <w:autoSpaceDE w:val="0"/>
        <w:autoSpaceDN w:val="0"/>
        <w:adjustRightInd w:val="0"/>
        <w:spacing w:line="240" w:lineRule="auto"/>
        <w:jc w:val="both"/>
      </w:pPr>
    </w:p>
    <w:p w14:paraId="60790EC2" w14:textId="77777777" w:rsidR="00C04CAD" w:rsidRDefault="00060E34">
      <w:pPr>
        <w:keepNext/>
        <w:tabs>
          <w:tab w:val="clear" w:pos="567"/>
        </w:tabs>
        <w:kinsoku w:val="0"/>
        <w:overflowPunct w:val="0"/>
        <w:autoSpaceDE w:val="0"/>
        <w:autoSpaceDN w:val="0"/>
        <w:adjustRightInd w:val="0"/>
        <w:spacing w:line="240" w:lineRule="auto"/>
      </w:pPr>
      <w:r>
        <w:rPr>
          <w:i/>
          <w:spacing w:val="-1"/>
        </w:rPr>
        <w:t>R</w:t>
      </w:r>
      <w:r>
        <w:rPr>
          <w:i/>
        </w:rPr>
        <w:t>eac</w:t>
      </w:r>
      <w:r>
        <w:rPr>
          <w:i/>
          <w:spacing w:val="-2"/>
        </w:rPr>
        <w:t>ţ</w:t>
      </w:r>
      <w:r>
        <w:rPr>
          <w:i/>
          <w:spacing w:val="1"/>
        </w:rPr>
        <w:t>i</w:t>
      </w:r>
      <w:r>
        <w:rPr>
          <w:i/>
        </w:rPr>
        <w:t>i</w:t>
      </w:r>
      <w:r>
        <w:rPr>
          <w:i/>
          <w:spacing w:val="-2"/>
        </w:rPr>
        <w:t xml:space="preserve"> </w:t>
      </w:r>
      <w:r>
        <w:rPr>
          <w:i/>
          <w:spacing w:val="1"/>
        </w:rPr>
        <w:t>l</w:t>
      </w:r>
      <w:r>
        <w:rPr>
          <w:i/>
        </w:rPr>
        <w:t>a</w:t>
      </w:r>
      <w:r>
        <w:rPr>
          <w:i/>
          <w:spacing w:val="-3"/>
        </w:rPr>
        <w:t xml:space="preserve"> </w:t>
      </w:r>
      <w:r>
        <w:rPr>
          <w:i/>
          <w:spacing w:val="1"/>
        </w:rPr>
        <w:t>l</w:t>
      </w:r>
      <w:r>
        <w:rPr>
          <w:i/>
        </w:rPr>
        <w:t>oc</w:t>
      </w:r>
      <w:r>
        <w:rPr>
          <w:i/>
          <w:spacing w:val="-3"/>
        </w:rPr>
        <w:t>u</w:t>
      </w:r>
      <w:r>
        <w:rPr>
          <w:i/>
        </w:rPr>
        <w:t>l</w:t>
      </w:r>
      <w:r>
        <w:rPr>
          <w:i/>
          <w:spacing w:val="-2"/>
        </w:rPr>
        <w:t xml:space="preserve"> </w:t>
      </w:r>
      <w:r>
        <w:rPr>
          <w:i/>
          <w:spacing w:val="1"/>
        </w:rPr>
        <w:t>i</w:t>
      </w:r>
      <w:r>
        <w:rPr>
          <w:i/>
        </w:rPr>
        <w:t>n</w:t>
      </w:r>
      <w:r>
        <w:rPr>
          <w:i/>
          <w:spacing w:val="-2"/>
        </w:rPr>
        <w:t>j</w:t>
      </w:r>
      <w:r>
        <w:rPr>
          <w:i/>
        </w:rPr>
        <w:t>ec</w:t>
      </w:r>
      <w:r>
        <w:rPr>
          <w:i/>
          <w:spacing w:val="-2"/>
        </w:rPr>
        <w:t>t</w:t>
      </w:r>
      <w:r>
        <w:rPr>
          <w:i/>
        </w:rPr>
        <w:t>ăr</w:t>
      </w:r>
      <w:r>
        <w:rPr>
          <w:i/>
          <w:spacing w:val="-2"/>
        </w:rPr>
        <w:t>i</w:t>
      </w:r>
      <w:r>
        <w:rPr>
          <w:i/>
        </w:rPr>
        <w:t>i</w:t>
      </w:r>
    </w:p>
    <w:p w14:paraId="1F381460" w14:textId="77777777" w:rsidR="00C04CAD" w:rsidRDefault="00C04CAD">
      <w:pPr>
        <w:keepNext/>
        <w:tabs>
          <w:tab w:val="clear" w:pos="567"/>
        </w:tabs>
        <w:kinsoku w:val="0"/>
        <w:overflowPunct w:val="0"/>
        <w:autoSpaceDE w:val="0"/>
        <w:autoSpaceDN w:val="0"/>
        <w:adjustRightInd w:val="0"/>
        <w:spacing w:line="240" w:lineRule="auto"/>
      </w:pPr>
    </w:p>
    <w:p w14:paraId="45726FEE"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 xml:space="preserve">e </w:t>
      </w:r>
      <w:r>
        <w:rPr>
          <w:spacing w:val="-3"/>
        </w:rPr>
        <w:t>c</w:t>
      </w:r>
      <w:r>
        <w:rPr>
          <w:spacing w:val="1"/>
        </w:rPr>
        <w:t>li</w:t>
      </w:r>
      <w:r>
        <w:rPr>
          <w:spacing w:val="-3"/>
        </w:rPr>
        <w:t>n</w:t>
      </w:r>
      <w:r>
        <w:rPr>
          <w:spacing w:val="1"/>
        </w:rPr>
        <w:t>i</w:t>
      </w:r>
      <w:r>
        <w:rPr>
          <w:spacing w:val="-3"/>
        </w:rPr>
        <w:t>c</w:t>
      </w:r>
      <w:r>
        <w:t>e p</w:t>
      </w:r>
      <w:r>
        <w:rPr>
          <w:spacing w:val="1"/>
        </w:rPr>
        <w:t>i</w:t>
      </w:r>
      <w:r>
        <w:rPr>
          <w:spacing w:val="-3"/>
        </w:rPr>
        <w:t>v</w:t>
      </w:r>
      <w:r>
        <w:t>ot</w:t>
      </w:r>
      <w:r>
        <w:rPr>
          <w:spacing w:val="1"/>
        </w:rPr>
        <w:t xml:space="preserve"> </w:t>
      </w:r>
      <w:r>
        <w:rPr>
          <w:spacing w:val="-3"/>
        </w:rPr>
        <w:t>p</w:t>
      </w:r>
      <w:r>
        <w:rPr>
          <w:spacing w:val="1"/>
        </w:rPr>
        <w:t>l</w:t>
      </w:r>
      <w:r>
        <w:rPr>
          <w:spacing w:val="-3"/>
        </w:rPr>
        <w:t>ac</w:t>
      </w:r>
      <w:r>
        <w:t>ebo co</w:t>
      </w:r>
      <w:r>
        <w:rPr>
          <w:spacing w:val="-3"/>
        </w:rPr>
        <w:t>n</w:t>
      </w:r>
      <w:r>
        <w:rPr>
          <w:spacing w:val="1"/>
        </w:rPr>
        <w:t>t</w:t>
      </w:r>
      <w:r>
        <w:rPr>
          <w:spacing w:val="-2"/>
        </w:rPr>
        <w:t>r</w:t>
      </w:r>
      <w:r>
        <w:t>o</w:t>
      </w:r>
      <w:r>
        <w:rPr>
          <w:spacing w:val="1"/>
        </w:rPr>
        <w:t>l</w:t>
      </w:r>
      <w:r>
        <w:rPr>
          <w:spacing w:val="-3"/>
        </w:rPr>
        <w:t>a</w:t>
      </w:r>
      <w:r>
        <w:rPr>
          <w:spacing w:val="1"/>
        </w:rPr>
        <w:t>t</w:t>
      </w:r>
      <w:r>
        <w:t>e</w:t>
      </w:r>
      <w:r>
        <w:rPr>
          <w:spacing w:val="-2"/>
        </w:rPr>
        <w:t xml:space="preserve"> </w:t>
      </w:r>
      <w:r>
        <w:rPr>
          <w:spacing w:val="1"/>
        </w:rPr>
        <w:t>l</w:t>
      </w:r>
      <w:r>
        <w:t>a</w:t>
      </w:r>
      <w:r>
        <w:rPr>
          <w:spacing w:val="-2"/>
        </w:rPr>
        <w:t xml:space="preserve"> </w:t>
      </w:r>
      <w:r>
        <w:t>cop</w:t>
      </w:r>
      <w:r>
        <w:rPr>
          <w:spacing w:val="-2"/>
        </w:rPr>
        <w:t>i</w:t>
      </w:r>
      <w:r>
        <w:rPr>
          <w:spacing w:val="1"/>
        </w:rPr>
        <w:t>i</w:t>
      </w:r>
      <w:r>
        <w:t xml:space="preserve">, </w:t>
      </w:r>
      <w:r>
        <w:rPr>
          <w:spacing w:val="-3"/>
        </w:rPr>
        <w:t>a</w:t>
      </w:r>
      <w:r>
        <w:t>do</w:t>
      </w:r>
      <w:r>
        <w:rPr>
          <w:spacing w:val="-2"/>
        </w:rPr>
        <w:t>l</w:t>
      </w:r>
      <w:r>
        <w:t>esce</w:t>
      </w:r>
      <w:r>
        <w:rPr>
          <w:spacing w:val="-3"/>
        </w:rPr>
        <w:t>n</w:t>
      </w:r>
      <w:r>
        <w:rPr>
          <w:spacing w:val="1"/>
        </w:rPr>
        <w:t>ţ</w:t>
      </w:r>
      <w:r>
        <w:t>i</w:t>
      </w:r>
      <w:r>
        <w:rPr>
          <w:spacing w:val="-2"/>
        </w:rPr>
        <w:t xml:space="preserve"> </w:t>
      </w:r>
      <w:r>
        <w:t>şi</w:t>
      </w:r>
      <w:r>
        <w:rPr>
          <w:spacing w:val="-2"/>
        </w:rPr>
        <w:t xml:space="preserve"> </w:t>
      </w:r>
      <w:r>
        <w:t>ad</w:t>
      </w:r>
      <w:r>
        <w:rPr>
          <w:spacing w:val="-3"/>
        </w:rPr>
        <w:t>u</w:t>
      </w:r>
      <w:r>
        <w:rPr>
          <w:spacing w:val="1"/>
        </w:rPr>
        <w:t>l</w:t>
      </w:r>
      <w:r>
        <w:rPr>
          <w:spacing w:val="-2"/>
        </w:rPr>
        <w:t>ţ</w:t>
      </w:r>
      <w:r>
        <w:rPr>
          <w:spacing w:val="1"/>
        </w:rPr>
        <w:t>i</w:t>
      </w:r>
      <w:r>
        <w:t>, 12,</w:t>
      </w:r>
      <w:r>
        <w:rPr>
          <w:spacing w:val="-3"/>
        </w:rPr>
        <w:t>9</w:t>
      </w:r>
      <w:r>
        <w:t>%</w:t>
      </w:r>
      <w:r>
        <w:rPr>
          <w:spacing w:val="1"/>
        </w:rPr>
        <w:t xml:space="preserve"> </w:t>
      </w:r>
      <w:r>
        <w:rPr>
          <w:spacing w:val="-3"/>
        </w:rPr>
        <w:t>d</w:t>
      </w:r>
      <w:r>
        <w:rPr>
          <w:spacing w:val="1"/>
        </w:rPr>
        <w:t>i</w:t>
      </w:r>
      <w:r>
        <w:rPr>
          <w:spacing w:val="-3"/>
        </w:rPr>
        <w:t>n</w:t>
      </w:r>
      <w:r>
        <w:rPr>
          <w:spacing w:val="-2"/>
        </w:rPr>
        <w:t>t</w:t>
      </w:r>
      <w:r>
        <w:t>re p</w:t>
      </w:r>
      <w:r>
        <w:rPr>
          <w:spacing w:val="-3"/>
        </w:rPr>
        <w:t>a</w:t>
      </w:r>
      <w:r>
        <w:t>c</w:t>
      </w:r>
      <w:r>
        <w:rPr>
          <w:spacing w:val="1"/>
        </w:rPr>
        <w:t>i</w:t>
      </w:r>
      <w:r>
        <w:rPr>
          <w:spacing w:val="-3"/>
        </w:rPr>
        <w:t>e</w:t>
      </w:r>
      <w:r>
        <w:t>n</w:t>
      </w:r>
      <w:r>
        <w:rPr>
          <w:spacing w:val="-2"/>
        </w:rPr>
        <w:t>ţ</w:t>
      </w:r>
      <w:r>
        <w:rPr>
          <w:spacing w:val="1"/>
        </w:rPr>
        <w:t>i</w:t>
      </w:r>
      <w:r>
        <w:t>i</w:t>
      </w:r>
      <w:r>
        <w:rPr>
          <w:spacing w:val="-2"/>
        </w:rPr>
        <w:t xml:space="preserve"> </w:t>
      </w:r>
      <w:r>
        <w:rPr>
          <w:spacing w:val="1"/>
        </w:rPr>
        <w:t>t</w:t>
      </w:r>
      <w:r>
        <w:rPr>
          <w:spacing w:val="-2"/>
        </w:rPr>
        <w:t>r</w:t>
      </w:r>
      <w:r>
        <w:t>a</w:t>
      </w:r>
      <w:r>
        <w:rPr>
          <w:spacing w:val="1"/>
        </w:rPr>
        <w:t>t</w:t>
      </w:r>
      <w:r>
        <w:rPr>
          <w:spacing w:val="-3"/>
        </w:rPr>
        <w:t>a</w:t>
      </w:r>
      <w:r>
        <w:rPr>
          <w:spacing w:val="-2"/>
        </w:rPr>
        <w:t>ţ</w:t>
      </w:r>
      <w:r>
        <w:t xml:space="preserve">i cu </w:t>
      </w:r>
      <w:r>
        <w:rPr>
          <w:rFonts w:eastAsia="MS Mincho"/>
          <w:spacing w:val="-1"/>
          <w:szCs w:val="22"/>
          <w:lang w:eastAsia="en-US" w:bidi="ar-SA"/>
        </w:rPr>
        <w:t>adalimumab</w:t>
      </w:r>
      <w:r>
        <w:t xml:space="preserve"> au </w:t>
      </w:r>
      <w:r>
        <w:rPr>
          <w:spacing w:val="-3"/>
        </w:rPr>
        <w:t>p</w:t>
      </w:r>
      <w:r>
        <w:t>re</w:t>
      </w:r>
      <w:r>
        <w:rPr>
          <w:spacing w:val="-3"/>
        </w:rPr>
        <w:t>z</w:t>
      </w:r>
      <w:r>
        <w:t>en</w:t>
      </w:r>
      <w:r>
        <w:rPr>
          <w:spacing w:val="-2"/>
        </w:rPr>
        <w:t>t</w:t>
      </w:r>
      <w:r>
        <w:t>at</w:t>
      </w:r>
      <w:r>
        <w:rPr>
          <w:spacing w:val="-2"/>
        </w:rPr>
        <w:t xml:space="preserve"> </w:t>
      </w:r>
      <w:r>
        <w:t>re</w:t>
      </w:r>
      <w:r>
        <w:rPr>
          <w:spacing w:val="-3"/>
        </w:rPr>
        <w:t>a</w:t>
      </w:r>
      <w:r>
        <w:t>c</w:t>
      </w:r>
      <w:r>
        <w:rPr>
          <w:spacing w:val="1"/>
        </w:rPr>
        <w:t>ţ</w:t>
      </w:r>
      <w:r>
        <w:rPr>
          <w:spacing w:val="-2"/>
        </w:rPr>
        <w:t>i</w:t>
      </w:r>
      <w:r>
        <w:t>i</w:t>
      </w:r>
      <w:r>
        <w:rPr>
          <w:spacing w:val="-2"/>
        </w:rPr>
        <w:t xml:space="preserve"> </w:t>
      </w:r>
      <w:r>
        <w:rPr>
          <w:spacing w:val="1"/>
        </w:rPr>
        <w:t>l</w:t>
      </w:r>
      <w:r>
        <w:t xml:space="preserve">a </w:t>
      </w:r>
      <w:r>
        <w:rPr>
          <w:spacing w:val="-2"/>
        </w:rPr>
        <w:t>l</w:t>
      </w:r>
      <w:r>
        <w:t>oc</w:t>
      </w:r>
      <w:r>
        <w:rPr>
          <w:spacing w:val="-3"/>
        </w:rPr>
        <w:t>u</w:t>
      </w:r>
      <w:r>
        <w:t>l</w:t>
      </w:r>
      <w:r>
        <w:rPr>
          <w:spacing w:val="1"/>
        </w:rPr>
        <w:t xml:space="preserve"> i</w:t>
      </w:r>
      <w:r>
        <w:rPr>
          <w:spacing w:val="-3"/>
        </w:rPr>
        <w:t>n</w:t>
      </w:r>
      <w:r>
        <w:rPr>
          <w:spacing w:val="1"/>
        </w:rPr>
        <w:t>j</w:t>
      </w:r>
      <w:r>
        <w:rPr>
          <w:spacing w:val="-3"/>
        </w:rPr>
        <w:t>e</w:t>
      </w:r>
      <w:r>
        <w:t>c</w:t>
      </w:r>
      <w:r>
        <w:rPr>
          <w:spacing w:val="1"/>
        </w:rPr>
        <w:t>t</w:t>
      </w:r>
      <w:r>
        <w:rPr>
          <w:spacing w:val="-3"/>
        </w:rPr>
        <w:t>ă</w:t>
      </w:r>
      <w:r>
        <w:t>r</w:t>
      </w:r>
      <w:r>
        <w:rPr>
          <w:spacing w:val="-2"/>
        </w:rPr>
        <w:t>i</w:t>
      </w:r>
      <w:r>
        <w:t>i</w:t>
      </w:r>
      <w:r>
        <w:rPr>
          <w:spacing w:val="1"/>
        </w:rPr>
        <w:t xml:space="preserve"> </w:t>
      </w:r>
      <w:r>
        <w:rPr>
          <w:spacing w:val="-2"/>
        </w:rPr>
        <w:t>(</w:t>
      </w:r>
      <w:r>
        <w:t>e</w:t>
      </w:r>
      <w:r>
        <w:rPr>
          <w:spacing w:val="-2"/>
        </w:rPr>
        <w:t>r</w:t>
      </w:r>
      <w:r>
        <w:rPr>
          <w:spacing w:val="1"/>
        </w:rPr>
        <w:t>i</w:t>
      </w:r>
      <w:r>
        <w:rPr>
          <w:spacing w:val="-2"/>
        </w:rPr>
        <w:t>t</w:t>
      </w:r>
      <w:r>
        <w:rPr>
          <w:spacing w:val="-3"/>
        </w:rPr>
        <w:t>e</w:t>
      </w:r>
      <w:r>
        <w:t>m</w:t>
      </w:r>
      <w:r>
        <w:rPr>
          <w:spacing w:val="-4"/>
        </w:rPr>
        <w:t xml:space="preserve"> </w:t>
      </w:r>
      <w:r>
        <w:t>ş</w:t>
      </w:r>
      <w:r>
        <w:rPr>
          <w:spacing w:val="1"/>
        </w:rPr>
        <w:t>i/</w:t>
      </w:r>
      <w:r>
        <w:t xml:space="preserve">sau </w:t>
      </w:r>
      <w:r>
        <w:rPr>
          <w:spacing w:val="-3"/>
        </w:rPr>
        <w:t>p</w:t>
      </w:r>
      <w:r>
        <w:t>ru</w:t>
      </w:r>
      <w:r>
        <w:rPr>
          <w:spacing w:val="-2"/>
        </w:rPr>
        <w:t>r</w:t>
      </w:r>
      <w:r>
        <w:rPr>
          <w:spacing w:val="1"/>
        </w:rPr>
        <w:t>it</w:t>
      </w:r>
      <w:r>
        <w:t>,</w:t>
      </w:r>
      <w:r>
        <w:rPr>
          <w:spacing w:val="-3"/>
        </w:rPr>
        <w:t xml:space="preserve"> </w:t>
      </w:r>
      <w:r>
        <w:t>he</w:t>
      </w:r>
      <w:r>
        <w:rPr>
          <w:spacing w:val="-4"/>
        </w:rPr>
        <w:t>m</w:t>
      </w:r>
      <w:r>
        <w:t>ora</w:t>
      </w:r>
      <w:r>
        <w:rPr>
          <w:spacing w:val="-3"/>
        </w:rPr>
        <w:t>g</w:t>
      </w:r>
      <w:r>
        <w:rPr>
          <w:spacing w:val="1"/>
        </w:rPr>
        <w:t>i</w:t>
      </w:r>
      <w:r>
        <w:t>e,</w:t>
      </w:r>
      <w:r>
        <w:rPr>
          <w:spacing w:val="-3"/>
        </w:rPr>
        <w:t xml:space="preserve"> </w:t>
      </w:r>
      <w:r>
        <w:t>dur</w:t>
      </w:r>
      <w:r>
        <w:rPr>
          <w:spacing w:val="-3"/>
        </w:rPr>
        <w:t>e</w:t>
      </w:r>
      <w:r>
        <w:t xml:space="preserve">re </w:t>
      </w:r>
      <w:r>
        <w:rPr>
          <w:spacing w:val="-2"/>
        </w:rPr>
        <w:t>s</w:t>
      </w:r>
      <w:r>
        <w:t xml:space="preserve">au </w:t>
      </w:r>
      <w:r>
        <w:rPr>
          <w:spacing w:val="1"/>
        </w:rPr>
        <w:t>t</w:t>
      </w:r>
      <w:r>
        <w:t>u</w:t>
      </w:r>
      <w:r>
        <w:rPr>
          <w:spacing w:val="-4"/>
        </w:rPr>
        <w:t>m</w:t>
      </w:r>
      <w:r>
        <w:t>efac</w:t>
      </w:r>
      <w:r>
        <w:rPr>
          <w:spacing w:val="-2"/>
        </w:rPr>
        <w:t>ţ</w:t>
      </w:r>
      <w:r>
        <w:rPr>
          <w:spacing w:val="1"/>
        </w:rPr>
        <w:t>i</w:t>
      </w:r>
      <w:r>
        <w:rPr>
          <w:spacing w:val="-3"/>
        </w:rPr>
        <w:t>e</w:t>
      </w:r>
      <w:r>
        <w:t>), co</w:t>
      </w:r>
      <w:r>
        <w:rPr>
          <w:spacing w:val="-4"/>
        </w:rPr>
        <w:t>m</w:t>
      </w:r>
      <w:r>
        <w:t>par</w:t>
      </w:r>
      <w:r>
        <w:rPr>
          <w:spacing w:val="-3"/>
        </w:rPr>
        <w:t>a</w:t>
      </w:r>
      <w:r>
        <w:rPr>
          <w:spacing w:val="1"/>
        </w:rPr>
        <w:t>ti</w:t>
      </w:r>
      <w:r>
        <w:t>v</w:t>
      </w:r>
      <w:r>
        <w:rPr>
          <w:spacing w:val="-3"/>
        </w:rPr>
        <w:t xml:space="preserve"> </w:t>
      </w:r>
      <w:r>
        <w:t>cu</w:t>
      </w:r>
      <w:r>
        <w:rPr>
          <w:spacing w:val="-3"/>
        </w:rPr>
        <w:t xml:space="preserve"> </w:t>
      </w:r>
      <w:r>
        <w:t>7,2%</w:t>
      </w:r>
      <w:r>
        <w:rPr>
          <w:spacing w:val="1"/>
        </w:rPr>
        <w:t xml:space="preserve"> </w:t>
      </w:r>
      <w:r>
        <w:rPr>
          <w:spacing w:val="-3"/>
        </w:rPr>
        <w:t>d</w:t>
      </w:r>
      <w:r>
        <w:rPr>
          <w:spacing w:val="1"/>
        </w:rPr>
        <w:t>i</w:t>
      </w:r>
      <w:r>
        <w:t xml:space="preserve">n </w:t>
      </w:r>
      <w:r>
        <w:rPr>
          <w:spacing w:val="-3"/>
        </w:rPr>
        <w:t>p</w:t>
      </w:r>
      <w:r>
        <w:t>ac</w:t>
      </w:r>
      <w:r>
        <w:rPr>
          <w:spacing w:val="-2"/>
        </w:rPr>
        <w:t>i</w:t>
      </w:r>
      <w:r>
        <w:t>en</w:t>
      </w:r>
      <w:r>
        <w:rPr>
          <w:spacing w:val="-2"/>
        </w:rPr>
        <w:t>ţ</w:t>
      </w:r>
      <w:r>
        <w:t>i</w:t>
      </w:r>
      <w:r>
        <w:rPr>
          <w:spacing w:val="1"/>
        </w:rPr>
        <w:t xml:space="preserve"> </w:t>
      </w:r>
      <w:r>
        <w:rPr>
          <w:spacing w:val="-3"/>
        </w:rPr>
        <w:t>c</w:t>
      </w:r>
      <w:r>
        <w:t>ăr</w:t>
      </w:r>
      <w:r>
        <w:rPr>
          <w:spacing w:val="-3"/>
        </w:rPr>
        <w:t>o</w:t>
      </w:r>
      <w:r>
        <w:t>ra</w:t>
      </w:r>
      <w:r>
        <w:rPr>
          <w:spacing w:val="-2"/>
        </w:rPr>
        <w:t xml:space="preserve"> </w:t>
      </w:r>
      <w:r>
        <w:rPr>
          <w:spacing w:val="1"/>
        </w:rPr>
        <w:t>l</w:t>
      </w:r>
      <w:r>
        <w:t>i</w:t>
      </w:r>
      <w:r>
        <w:rPr>
          <w:spacing w:val="-2"/>
        </w:rPr>
        <w:t xml:space="preserve"> </w:t>
      </w:r>
      <w:r>
        <w:t>s</w:t>
      </w:r>
      <w:r>
        <w:rPr>
          <w:spacing w:val="-4"/>
        </w:rPr>
        <w:t>-</w:t>
      </w:r>
      <w:r>
        <w:t>a a</w:t>
      </w:r>
      <w:r>
        <w:rPr>
          <w:spacing w:val="2"/>
        </w:rP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rPr>
          <w:spacing w:val="-3"/>
        </w:rPr>
        <w:t>p</w:t>
      </w:r>
      <w:r>
        <w:rPr>
          <w:spacing w:val="1"/>
        </w:rPr>
        <w:t>l</w:t>
      </w:r>
      <w:r>
        <w:t>ac</w:t>
      </w:r>
      <w:r>
        <w:rPr>
          <w:spacing w:val="-3"/>
        </w:rPr>
        <w:t>e</w:t>
      </w:r>
      <w:r>
        <w:t>bo s</w:t>
      </w:r>
      <w:r>
        <w:rPr>
          <w:spacing w:val="-3"/>
        </w:rPr>
        <w:t>a</w:t>
      </w:r>
      <w:r>
        <w:t>u</w:t>
      </w:r>
      <w:r>
        <w:rPr>
          <w:spacing w:val="-3"/>
        </w:rPr>
        <w:t xml:space="preserve"> </w:t>
      </w:r>
      <w:r>
        <w:t>co</w:t>
      </w:r>
      <w:r>
        <w:rPr>
          <w:spacing w:val="-4"/>
        </w:rPr>
        <w:t>m</w:t>
      </w:r>
      <w:r>
        <w:rPr>
          <w:spacing w:val="-1"/>
        </w:rPr>
        <w:t>p</w:t>
      </w:r>
      <w:r>
        <w:t>ara</w:t>
      </w:r>
      <w:r>
        <w:rPr>
          <w:spacing w:val="1"/>
        </w:rPr>
        <w:t>t</w:t>
      </w:r>
      <w:r>
        <w:rPr>
          <w:spacing w:val="-3"/>
        </w:rPr>
        <w:t>o</w:t>
      </w:r>
      <w:r>
        <w:t>r</w:t>
      </w:r>
      <w:r>
        <w:rPr>
          <w:spacing w:val="1"/>
        </w:rPr>
        <w:t xml:space="preserve"> </w:t>
      </w:r>
      <w:r>
        <w:t>a</w:t>
      </w:r>
      <w:r>
        <w:rPr>
          <w:spacing w:val="-3"/>
        </w:rPr>
        <w:t>c</w:t>
      </w:r>
      <w:r>
        <w:rPr>
          <w:spacing w:val="1"/>
        </w:rPr>
        <w:t>ti</w:t>
      </w:r>
      <w:r>
        <w:rPr>
          <w:spacing w:val="-3"/>
        </w:rPr>
        <w:t>v</w:t>
      </w:r>
      <w:r>
        <w:t xml:space="preserve">. </w:t>
      </w:r>
      <w:r>
        <w:rPr>
          <w:spacing w:val="-4"/>
        </w:rPr>
        <w:t>Î</w:t>
      </w:r>
      <w:r>
        <w:t xml:space="preserve">n </w:t>
      </w:r>
      <w:r>
        <w:rPr>
          <w:spacing w:val="-3"/>
        </w:rPr>
        <w:t>g</w:t>
      </w:r>
      <w:r>
        <w:t>enera</w:t>
      </w:r>
      <w:r>
        <w:rPr>
          <w:spacing w:val="1"/>
        </w:rPr>
        <w:t>l</w:t>
      </w:r>
      <w:r>
        <w:t>,</w:t>
      </w:r>
      <w:r>
        <w:rPr>
          <w:spacing w:val="-3"/>
        </w:rPr>
        <w:t xml:space="preserve"> </w:t>
      </w:r>
      <w:r>
        <w:t>r</w:t>
      </w:r>
      <w:r>
        <w:rPr>
          <w:spacing w:val="-3"/>
        </w:rPr>
        <w:t>e</w:t>
      </w:r>
      <w:r>
        <w:t>ac</w:t>
      </w:r>
      <w:r>
        <w:rPr>
          <w:spacing w:val="-2"/>
        </w:rPr>
        <w:t>ţ</w:t>
      </w:r>
      <w:r>
        <w:rPr>
          <w:spacing w:val="1"/>
        </w:rPr>
        <w:t>i</w:t>
      </w:r>
      <w:r>
        <w:rPr>
          <w:spacing w:val="-2"/>
        </w:rPr>
        <w:t>i</w:t>
      </w:r>
      <w:r>
        <w:rPr>
          <w:spacing w:val="1"/>
        </w:rPr>
        <w:t>l</w:t>
      </w:r>
      <w:r>
        <w:t>e</w:t>
      </w:r>
      <w:r>
        <w:rPr>
          <w:spacing w:val="-2"/>
        </w:rPr>
        <w:t xml:space="preserve"> </w:t>
      </w:r>
      <w:r>
        <w:rPr>
          <w:spacing w:val="1"/>
        </w:rPr>
        <w:t>l</w:t>
      </w:r>
      <w:r>
        <w:t>a</w:t>
      </w:r>
      <w:r>
        <w:rPr>
          <w:spacing w:val="-2"/>
        </w:rPr>
        <w:t xml:space="preserve"> </w:t>
      </w:r>
      <w:r>
        <w:rPr>
          <w:spacing w:val="1"/>
        </w:rPr>
        <w:t>l</w:t>
      </w:r>
      <w:r>
        <w:t>oc</w:t>
      </w:r>
      <w:r>
        <w:rPr>
          <w:spacing w:val="-3"/>
        </w:rPr>
        <w:t>u</w:t>
      </w:r>
      <w:r>
        <w:t>l</w:t>
      </w:r>
      <w:r>
        <w:rPr>
          <w:spacing w:val="-2"/>
        </w:rPr>
        <w:t xml:space="preserve"> </w:t>
      </w:r>
      <w:r>
        <w:rPr>
          <w:spacing w:val="1"/>
        </w:rPr>
        <w:t>i</w:t>
      </w:r>
      <w:r>
        <w:rPr>
          <w:spacing w:val="-3"/>
        </w:rPr>
        <w:t>n</w:t>
      </w:r>
      <w:r>
        <w:rPr>
          <w:spacing w:val="1"/>
        </w:rPr>
        <w:t>j</w:t>
      </w:r>
      <w:r>
        <w:t>e</w:t>
      </w:r>
      <w:r>
        <w:rPr>
          <w:spacing w:val="-3"/>
        </w:rPr>
        <w:t>c</w:t>
      </w:r>
      <w:r>
        <w:rPr>
          <w:spacing w:val="1"/>
        </w:rPr>
        <w:t>ţ</w:t>
      </w:r>
      <w:r>
        <w:rPr>
          <w:spacing w:val="-2"/>
        </w:rPr>
        <w:t>i</w:t>
      </w:r>
      <w:r>
        <w:t>ei</w:t>
      </w:r>
      <w:r>
        <w:rPr>
          <w:spacing w:val="1"/>
        </w:rPr>
        <w:t xml:space="preserve"> </w:t>
      </w:r>
      <w:r>
        <w:t>nu</w:t>
      </w:r>
      <w:r>
        <w:rPr>
          <w:spacing w:val="-3"/>
        </w:rPr>
        <w:t xml:space="preserve"> </w:t>
      </w:r>
      <w:r>
        <w:t xml:space="preserve">au </w:t>
      </w:r>
      <w:r>
        <w:rPr>
          <w:spacing w:val="-3"/>
        </w:rPr>
        <w:t>n</w:t>
      </w:r>
      <w:r>
        <w:t>ec</w:t>
      </w:r>
      <w:r>
        <w:rPr>
          <w:spacing w:val="-3"/>
        </w:rPr>
        <w:t>e</w:t>
      </w:r>
      <w:r>
        <w:t>s</w:t>
      </w:r>
      <w:r>
        <w:rPr>
          <w:spacing w:val="-2"/>
        </w:rPr>
        <w:t>i</w:t>
      </w:r>
      <w:r>
        <w:rPr>
          <w:spacing w:val="1"/>
        </w:rPr>
        <w:t>t</w:t>
      </w:r>
      <w:r>
        <w:t>at</w:t>
      </w:r>
      <w:r>
        <w:rPr>
          <w:spacing w:val="-2"/>
        </w:rPr>
        <w:t xml:space="preserve"> </w:t>
      </w:r>
      <w:r>
        <w:rPr>
          <w:spacing w:val="1"/>
        </w:rPr>
        <w:t>î</w:t>
      </w:r>
      <w:r>
        <w:rPr>
          <w:spacing w:val="-3"/>
        </w:rPr>
        <w:t>n</w:t>
      </w:r>
      <w:r>
        <w:rPr>
          <w:spacing w:val="1"/>
        </w:rPr>
        <w:t>t</w:t>
      </w:r>
      <w:r>
        <w:rPr>
          <w:spacing w:val="-2"/>
        </w:rPr>
        <w:t>r</w:t>
      </w:r>
      <w:r>
        <w:t>e</w:t>
      </w:r>
      <w:r>
        <w:rPr>
          <w:spacing w:val="-2"/>
        </w:rPr>
        <w:t>r</w:t>
      </w:r>
      <w:r>
        <w:t>uper</w:t>
      </w:r>
      <w:r>
        <w:rPr>
          <w:spacing w:val="-3"/>
        </w:rPr>
        <w:t>e</w:t>
      </w:r>
      <w:r>
        <w:t>a ad</w:t>
      </w:r>
      <w:r>
        <w:rPr>
          <w:spacing w:val="-4"/>
        </w:rPr>
        <w:t>m</w:t>
      </w:r>
      <w:r>
        <w:rPr>
          <w:spacing w:val="1"/>
        </w:rPr>
        <w:t>i</w:t>
      </w:r>
      <w:r>
        <w:t>n</w:t>
      </w:r>
      <w:r>
        <w:rPr>
          <w:spacing w:val="-2"/>
        </w:rPr>
        <w:t>i</w:t>
      </w:r>
      <w:r>
        <w:t>s</w:t>
      </w:r>
      <w:r>
        <w:rPr>
          <w:spacing w:val="-2"/>
        </w:rPr>
        <w:t>t</w:t>
      </w:r>
      <w:r>
        <w:t>ră</w:t>
      </w:r>
      <w:r>
        <w:rPr>
          <w:spacing w:val="-2"/>
        </w:rPr>
        <w:t>r</w:t>
      </w:r>
      <w:r>
        <w:rPr>
          <w:spacing w:val="1"/>
        </w:rPr>
        <w:t>i</w:t>
      </w:r>
      <w:r>
        <w:t>i</w:t>
      </w:r>
      <w:r>
        <w:rPr>
          <w:spacing w:val="1"/>
        </w:rPr>
        <w:t xml:space="preserve"> </w:t>
      </w:r>
      <w:r>
        <w:rPr>
          <w:spacing w:val="-4"/>
        </w:rPr>
        <w:t>m</w:t>
      </w:r>
      <w:r>
        <w:t>ed</w:t>
      </w:r>
      <w:r>
        <w:rPr>
          <w:spacing w:val="1"/>
        </w:rPr>
        <w:t>i</w:t>
      </w:r>
      <w:r>
        <w:rPr>
          <w:spacing w:val="-3"/>
        </w:rPr>
        <w:t>ca</w:t>
      </w:r>
      <w:r>
        <w:rPr>
          <w:spacing w:val="-4"/>
        </w:rPr>
        <w:t>m</w:t>
      </w:r>
      <w:r>
        <w:t>en</w:t>
      </w:r>
      <w:r>
        <w:rPr>
          <w:spacing w:val="1"/>
        </w:rPr>
        <w:t>t</w:t>
      </w:r>
      <w:r>
        <w:t>u</w:t>
      </w:r>
      <w:r>
        <w:rPr>
          <w:spacing w:val="1"/>
        </w:rPr>
        <w:t>l</w:t>
      </w:r>
      <w:r>
        <w:t>u</w:t>
      </w:r>
      <w:r>
        <w:rPr>
          <w:spacing w:val="1"/>
        </w:rPr>
        <w:t>i</w:t>
      </w:r>
      <w:r>
        <w:t>.</w:t>
      </w:r>
    </w:p>
    <w:p w14:paraId="523CDB1F" w14:textId="77777777" w:rsidR="00C04CAD" w:rsidRDefault="00C04CAD">
      <w:pPr>
        <w:tabs>
          <w:tab w:val="clear" w:pos="567"/>
        </w:tabs>
        <w:kinsoku w:val="0"/>
        <w:overflowPunct w:val="0"/>
        <w:autoSpaceDE w:val="0"/>
        <w:autoSpaceDN w:val="0"/>
        <w:adjustRightInd w:val="0"/>
        <w:spacing w:line="240" w:lineRule="auto"/>
        <w:rPr>
          <w:szCs w:val="22"/>
        </w:rPr>
      </w:pPr>
    </w:p>
    <w:p w14:paraId="03AF100E" w14:textId="77777777" w:rsidR="00C04CAD" w:rsidRDefault="00060E34">
      <w:pPr>
        <w:keepNext/>
        <w:tabs>
          <w:tab w:val="clear" w:pos="567"/>
        </w:tabs>
        <w:kinsoku w:val="0"/>
        <w:overflowPunct w:val="0"/>
        <w:autoSpaceDE w:val="0"/>
        <w:autoSpaceDN w:val="0"/>
        <w:adjustRightInd w:val="0"/>
        <w:spacing w:line="240" w:lineRule="auto"/>
        <w:rPr>
          <w:rFonts w:eastAsia="MS Mincho"/>
          <w:szCs w:val="22"/>
          <w:lang w:eastAsia="en-US" w:bidi="ar-SA"/>
        </w:rPr>
      </w:pPr>
      <w:r>
        <w:rPr>
          <w:i/>
          <w:szCs w:val="22"/>
        </w:rPr>
        <w:t>Infecţii</w:t>
      </w:r>
    </w:p>
    <w:p w14:paraId="6E0789C1" w14:textId="77777777" w:rsidR="00C04CAD" w:rsidRDefault="00C04CAD">
      <w:pPr>
        <w:keepNext/>
        <w:tabs>
          <w:tab w:val="clear" w:pos="567"/>
        </w:tabs>
        <w:kinsoku w:val="0"/>
        <w:overflowPunct w:val="0"/>
        <w:autoSpaceDE w:val="0"/>
        <w:autoSpaceDN w:val="0"/>
        <w:adjustRightInd w:val="0"/>
        <w:spacing w:line="240" w:lineRule="auto"/>
        <w:rPr>
          <w:szCs w:val="22"/>
        </w:rPr>
      </w:pPr>
    </w:p>
    <w:p w14:paraId="323C9272"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 xml:space="preserve">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p</w:t>
      </w:r>
      <w:r>
        <w:rPr>
          <w:spacing w:val="1"/>
          <w:szCs w:val="22"/>
        </w:rPr>
        <w:t>i</w:t>
      </w:r>
      <w:r>
        <w:rPr>
          <w:spacing w:val="-3"/>
          <w:szCs w:val="22"/>
        </w:rPr>
        <w:t>v</w:t>
      </w:r>
      <w:r>
        <w:rPr>
          <w:szCs w:val="22"/>
        </w:rPr>
        <w:t>ot</w:t>
      </w:r>
      <w:r>
        <w:rPr>
          <w:spacing w:val="-2"/>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pacing w:val="-3"/>
          <w:szCs w:val="22"/>
        </w:rPr>
        <w:t>a</w:t>
      </w:r>
      <w:r>
        <w:rPr>
          <w:spacing w:val="1"/>
          <w:szCs w:val="22"/>
        </w:rPr>
        <w:t>t</w:t>
      </w:r>
      <w:r>
        <w:rPr>
          <w:szCs w:val="22"/>
        </w:rPr>
        <w:t xml:space="preserve">e </w:t>
      </w:r>
      <w:r>
        <w:rPr>
          <w:spacing w:val="-2"/>
          <w:szCs w:val="22"/>
        </w:rPr>
        <w:t>l</w:t>
      </w:r>
      <w:r>
        <w:rPr>
          <w:szCs w:val="22"/>
        </w:rPr>
        <w:t>a co</w:t>
      </w:r>
      <w:r>
        <w:rPr>
          <w:spacing w:val="-3"/>
          <w:szCs w:val="22"/>
        </w:rPr>
        <w:t>p</w:t>
      </w:r>
      <w:r>
        <w:rPr>
          <w:spacing w:val="-2"/>
          <w:szCs w:val="22"/>
        </w:rPr>
        <w:t>i</w:t>
      </w:r>
      <w:r>
        <w:rPr>
          <w:spacing w:val="1"/>
          <w:szCs w:val="22"/>
        </w:rPr>
        <w:t>i</w:t>
      </w:r>
      <w:r>
        <w:rPr>
          <w:szCs w:val="22"/>
        </w:rPr>
        <w:t>, ad</w:t>
      </w:r>
      <w:r>
        <w:rPr>
          <w:spacing w:val="-3"/>
          <w:szCs w:val="22"/>
        </w:rPr>
        <w:t>o</w:t>
      </w:r>
      <w:r>
        <w:rPr>
          <w:spacing w:val="1"/>
          <w:szCs w:val="22"/>
        </w:rPr>
        <w:t>l</w:t>
      </w:r>
      <w:r>
        <w:rPr>
          <w:spacing w:val="-3"/>
          <w:szCs w:val="22"/>
        </w:rPr>
        <w:t>e</w:t>
      </w:r>
      <w:r>
        <w:rPr>
          <w:szCs w:val="22"/>
        </w:rPr>
        <w:t>sce</w:t>
      </w:r>
      <w:r>
        <w:rPr>
          <w:spacing w:val="-3"/>
          <w:szCs w:val="22"/>
        </w:rPr>
        <w:t>n</w:t>
      </w:r>
      <w:r>
        <w:rPr>
          <w:spacing w:val="1"/>
          <w:szCs w:val="22"/>
        </w:rPr>
        <w:t>ţ</w:t>
      </w:r>
      <w:r>
        <w:rPr>
          <w:szCs w:val="22"/>
        </w:rPr>
        <w:t>i</w:t>
      </w:r>
      <w:r>
        <w:rPr>
          <w:spacing w:val="-2"/>
          <w:szCs w:val="22"/>
        </w:rPr>
        <w:t xml:space="preserve"> </w:t>
      </w:r>
      <w:r>
        <w:rPr>
          <w:szCs w:val="22"/>
        </w:rPr>
        <w:t>şi</w:t>
      </w:r>
      <w:r>
        <w:rPr>
          <w:spacing w:val="1"/>
          <w:szCs w:val="22"/>
        </w:rPr>
        <w:t xml:space="preserve"> </w:t>
      </w:r>
      <w:r>
        <w:rPr>
          <w:szCs w:val="22"/>
        </w:rPr>
        <w:t>a</w:t>
      </w:r>
      <w:r>
        <w:rPr>
          <w:spacing w:val="-3"/>
          <w:szCs w:val="22"/>
        </w:rPr>
        <w:t>d</w:t>
      </w:r>
      <w:r>
        <w:rPr>
          <w:szCs w:val="22"/>
        </w:rPr>
        <w:t>u</w:t>
      </w:r>
      <w:r>
        <w:rPr>
          <w:spacing w:val="-2"/>
          <w:szCs w:val="22"/>
        </w:rPr>
        <w:t>l</w:t>
      </w:r>
      <w:r>
        <w:rPr>
          <w:spacing w:val="1"/>
          <w:szCs w:val="22"/>
        </w:rPr>
        <w:t>ţi</w:t>
      </w:r>
      <w:r>
        <w:rPr>
          <w:szCs w:val="22"/>
        </w:rPr>
        <w:t>,</w:t>
      </w:r>
      <w:r>
        <w:rPr>
          <w:spacing w:val="-3"/>
          <w:szCs w:val="22"/>
        </w:rPr>
        <w:t xml:space="preserve"> </w:t>
      </w:r>
      <w:r>
        <w:rPr>
          <w:szCs w:val="22"/>
        </w:rPr>
        <w:t>r</w:t>
      </w:r>
      <w:r>
        <w:rPr>
          <w:spacing w:val="-3"/>
          <w:szCs w:val="22"/>
        </w:rPr>
        <w:t>a</w:t>
      </w:r>
      <w:r>
        <w:rPr>
          <w:szCs w:val="22"/>
        </w:rPr>
        <w:t>ta</w:t>
      </w:r>
      <w:r>
        <w:rPr>
          <w:spacing w:val="-2"/>
          <w:szCs w:val="22"/>
        </w:rPr>
        <w:t xml:space="preserve"> </w:t>
      </w:r>
      <w:r>
        <w:rPr>
          <w:spacing w:val="1"/>
          <w:szCs w:val="22"/>
        </w:rPr>
        <w:t>i</w:t>
      </w:r>
      <w:r>
        <w:rPr>
          <w:szCs w:val="22"/>
        </w:rPr>
        <w:t>n</w:t>
      </w:r>
      <w:r>
        <w:rPr>
          <w:spacing w:val="-2"/>
          <w:szCs w:val="22"/>
        </w:rPr>
        <w:t>f</w:t>
      </w:r>
      <w:r>
        <w:rPr>
          <w:szCs w:val="22"/>
        </w:rPr>
        <w:t>ec</w:t>
      </w:r>
      <w:r>
        <w:rPr>
          <w:spacing w:val="-2"/>
          <w:szCs w:val="22"/>
        </w:rPr>
        <w:t>ţ</w:t>
      </w:r>
      <w:r>
        <w:rPr>
          <w:spacing w:val="1"/>
          <w:szCs w:val="22"/>
        </w:rPr>
        <w:t>i</w:t>
      </w:r>
      <w:r>
        <w:rPr>
          <w:spacing w:val="-2"/>
          <w:szCs w:val="22"/>
        </w:rPr>
        <w:t>i</w:t>
      </w:r>
      <w:r>
        <w:rPr>
          <w:spacing w:val="1"/>
          <w:szCs w:val="22"/>
        </w:rPr>
        <w:t>l</w:t>
      </w:r>
      <w:r>
        <w:rPr>
          <w:spacing w:val="-3"/>
          <w:szCs w:val="22"/>
        </w:rPr>
        <w:t>o</w:t>
      </w:r>
      <w:r>
        <w:rPr>
          <w:szCs w:val="22"/>
        </w:rPr>
        <w:t>r</w:t>
      </w:r>
      <w:r>
        <w:rPr>
          <w:spacing w:val="1"/>
          <w:szCs w:val="22"/>
        </w:rPr>
        <w:t xml:space="preserve"> </w:t>
      </w:r>
      <w:r>
        <w:rPr>
          <w:szCs w:val="22"/>
        </w:rPr>
        <w:t>a</w:t>
      </w:r>
      <w:r>
        <w:rPr>
          <w:spacing w:val="-2"/>
          <w:szCs w:val="22"/>
        </w:rPr>
        <w:t xml:space="preserve"> </w:t>
      </w:r>
      <w:r>
        <w:rPr>
          <w:szCs w:val="22"/>
        </w:rPr>
        <w:t>f</w:t>
      </w:r>
      <w:r>
        <w:rPr>
          <w:spacing w:val="-3"/>
          <w:szCs w:val="22"/>
        </w:rPr>
        <w:t>o</w:t>
      </w:r>
      <w:r>
        <w:rPr>
          <w:szCs w:val="22"/>
        </w:rPr>
        <w:t>st</w:t>
      </w:r>
      <w:r>
        <w:rPr>
          <w:spacing w:val="1"/>
          <w:szCs w:val="22"/>
        </w:rPr>
        <w:t xml:space="preserve"> </w:t>
      </w:r>
      <w:r>
        <w:rPr>
          <w:szCs w:val="22"/>
        </w:rPr>
        <w:t>de</w:t>
      </w:r>
      <w:r>
        <w:rPr>
          <w:spacing w:val="-2"/>
          <w:szCs w:val="22"/>
        </w:rPr>
        <w:t xml:space="preserve"> </w:t>
      </w:r>
      <w:r>
        <w:rPr>
          <w:szCs w:val="22"/>
        </w:rPr>
        <w:t xml:space="preserve">1,51 </w:t>
      </w:r>
      <w:r>
        <w:rPr>
          <w:spacing w:val="-3"/>
          <w:szCs w:val="22"/>
        </w:rPr>
        <w:t>p</w:t>
      </w:r>
      <w:r>
        <w:rPr>
          <w:szCs w:val="22"/>
        </w:rPr>
        <w:t>er an</w:t>
      </w:r>
      <w:r>
        <w:rPr>
          <w:spacing w:val="-4"/>
          <w:szCs w:val="22"/>
        </w:rPr>
        <w:noBreakHyphen/>
      </w:r>
      <w:r>
        <w:rPr>
          <w:szCs w:val="22"/>
        </w:rPr>
        <w:t>pac</w:t>
      </w:r>
      <w:r>
        <w:rPr>
          <w:spacing w:val="1"/>
          <w:szCs w:val="22"/>
        </w:rPr>
        <w:t>i</w:t>
      </w:r>
      <w:r>
        <w:rPr>
          <w:szCs w:val="22"/>
        </w:rPr>
        <w:t>ent</w:t>
      </w:r>
      <w:r>
        <w:rPr>
          <w:spacing w:val="-2"/>
          <w:szCs w:val="22"/>
        </w:rPr>
        <w:t xml:space="preserve"> </w:t>
      </w:r>
      <w:r>
        <w:rPr>
          <w:szCs w:val="22"/>
        </w:rPr>
        <w:t xml:space="preserve">de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2"/>
          <w:szCs w:val="22"/>
        </w:rPr>
        <w:t>l</w:t>
      </w:r>
      <w:r>
        <w:rPr>
          <w:szCs w:val="22"/>
        </w:rPr>
        <w:t xml:space="preserve">a </w:t>
      </w:r>
      <w:r>
        <w:rPr>
          <w:spacing w:val="-3"/>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şi</w:t>
      </w:r>
      <w:r>
        <w:rPr>
          <w:spacing w:val="-2"/>
          <w:szCs w:val="22"/>
        </w:rPr>
        <w:t xml:space="preserve"> </w:t>
      </w:r>
      <w:r>
        <w:rPr>
          <w:szCs w:val="22"/>
        </w:rPr>
        <w:t xml:space="preserve">de 1,46 </w:t>
      </w:r>
      <w:r>
        <w:rPr>
          <w:spacing w:val="-3"/>
          <w:szCs w:val="22"/>
        </w:rPr>
        <w:t>p</w:t>
      </w:r>
      <w:r>
        <w:rPr>
          <w:szCs w:val="22"/>
        </w:rPr>
        <w:t>er</w:t>
      </w:r>
      <w:r>
        <w:rPr>
          <w:spacing w:val="-2"/>
          <w:szCs w:val="22"/>
        </w:rPr>
        <w:t xml:space="preserve"> </w:t>
      </w:r>
      <w:r>
        <w:rPr>
          <w:szCs w:val="22"/>
        </w:rPr>
        <w:t>a</w:t>
      </w:r>
      <w:r>
        <w:rPr>
          <w:spacing w:val="-1"/>
          <w:szCs w:val="22"/>
        </w:rPr>
        <w:t>n</w:t>
      </w:r>
      <w:r>
        <w:rPr>
          <w:spacing w:val="-4"/>
          <w:szCs w:val="22"/>
        </w:rPr>
        <w:t>-</w:t>
      </w:r>
      <w:r>
        <w:rPr>
          <w:szCs w:val="22"/>
        </w:rPr>
        <w:t>pac</w:t>
      </w:r>
      <w:r>
        <w:rPr>
          <w:spacing w:val="1"/>
          <w:szCs w:val="22"/>
        </w:rPr>
        <w:t>i</w:t>
      </w:r>
      <w:r>
        <w:rPr>
          <w:szCs w:val="22"/>
        </w:rPr>
        <w:t>e</w:t>
      </w:r>
      <w:r>
        <w:rPr>
          <w:spacing w:val="-3"/>
          <w:szCs w:val="22"/>
        </w:rPr>
        <w:t>n</w:t>
      </w:r>
      <w:r>
        <w:rPr>
          <w:szCs w:val="22"/>
        </w:rPr>
        <w:t>t</w:t>
      </w:r>
      <w:r>
        <w:rPr>
          <w:spacing w:val="1"/>
          <w:szCs w:val="22"/>
        </w:rPr>
        <w:t xml:space="preserve"> </w:t>
      </w:r>
      <w:r>
        <w:rPr>
          <w:szCs w:val="22"/>
        </w:rPr>
        <w:t>de</w:t>
      </w:r>
      <w:r>
        <w:rPr>
          <w:spacing w:val="-2"/>
          <w:szCs w:val="22"/>
        </w:rPr>
        <w:t xml:space="preserve"> t</w:t>
      </w:r>
      <w:r>
        <w:rPr>
          <w:szCs w:val="22"/>
        </w:rPr>
        <w:t>ra</w:t>
      </w:r>
      <w:r>
        <w:rPr>
          <w:spacing w:val="-2"/>
          <w:szCs w:val="22"/>
        </w:rPr>
        <w:t>t</w:t>
      </w:r>
      <w:r>
        <w:rPr>
          <w:szCs w:val="22"/>
        </w:rPr>
        <w:t>a</w:t>
      </w:r>
      <w:r>
        <w:rPr>
          <w:spacing w:val="-4"/>
          <w:szCs w:val="22"/>
        </w:rPr>
        <w:t>m</w:t>
      </w:r>
      <w:r>
        <w:rPr>
          <w:szCs w:val="22"/>
        </w:rPr>
        <w:t>ent</w:t>
      </w:r>
      <w:r>
        <w:rPr>
          <w:spacing w:val="1"/>
          <w:szCs w:val="22"/>
        </w:rPr>
        <w:t xml:space="preserve"> l</w:t>
      </w:r>
      <w:r>
        <w:rPr>
          <w:szCs w:val="22"/>
        </w:rPr>
        <w:t xml:space="preserve">a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spacing w:val="-3"/>
          <w:szCs w:val="22"/>
        </w:rPr>
        <w:t>p</w:t>
      </w:r>
      <w:r>
        <w:rPr>
          <w:spacing w:val="1"/>
          <w:szCs w:val="22"/>
        </w:rPr>
        <w:t>l</w:t>
      </w:r>
      <w:r>
        <w:rPr>
          <w:szCs w:val="22"/>
        </w:rPr>
        <w:t>ac</w:t>
      </w:r>
      <w:r>
        <w:rPr>
          <w:spacing w:val="-3"/>
          <w:szCs w:val="22"/>
        </w:rPr>
        <w:t>e</w:t>
      </w:r>
      <w:r>
        <w:rPr>
          <w:szCs w:val="22"/>
        </w:rPr>
        <w:t xml:space="preserve">bo </w:t>
      </w:r>
      <w:r>
        <w:rPr>
          <w:spacing w:val="-2"/>
          <w:szCs w:val="22"/>
        </w:rPr>
        <w:t>ş</w:t>
      </w:r>
      <w:r>
        <w:rPr>
          <w:szCs w:val="22"/>
        </w:rPr>
        <w:t>i</w:t>
      </w:r>
      <w:r>
        <w:rPr>
          <w:spacing w:val="1"/>
          <w:szCs w:val="22"/>
        </w:rPr>
        <w:t xml:space="preserve"> </w:t>
      </w:r>
      <w:r>
        <w:rPr>
          <w:szCs w:val="22"/>
        </w:rPr>
        <w:t>co</w:t>
      </w:r>
      <w:r>
        <w:rPr>
          <w:spacing w:val="-4"/>
          <w:szCs w:val="22"/>
        </w:rPr>
        <w:t>m</w:t>
      </w:r>
      <w:r>
        <w:rPr>
          <w:szCs w:val="22"/>
        </w:rPr>
        <w:t>pa</w:t>
      </w:r>
      <w:r>
        <w:rPr>
          <w:spacing w:val="-2"/>
          <w:szCs w:val="22"/>
        </w:rPr>
        <w:t>r</w:t>
      </w:r>
      <w:r>
        <w:rPr>
          <w:szCs w:val="22"/>
        </w:rPr>
        <w:t>a</w:t>
      </w:r>
      <w:r>
        <w:rPr>
          <w:spacing w:val="1"/>
          <w:szCs w:val="22"/>
        </w:rPr>
        <w:t>t</w:t>
      </w:r>
      <w:r>
        <w:rPr>
          <w:szCs w:val="22"/>
        </w:rPr>
        <w:t>or</w:t>
      </w:r>
      <w:r>
        <w:rPr>
          <w:spacing w:val="-2"/>
          <w:szCs w:val="22"/>
        </w:rPr>
        <w:t xml:space="preserve"> </w:t>
      </w:r>
      <w:r>
        <w:rPr>
          <w:szCs w:val="22"/>
        </w:rPr>
        <w:t>a</w:t>
      </w:r>
      <w:r>
        <w:rPr>
          <w:spacing w:val="-3"/>
          <w:szCs w:val="22"/>
        </w:rPr>
        <w:t>c</w:t>
      </w:r>
      <w:r>
        <w:rPr>
          <w:spacing w:val="1"/>
          <w:szCs w:val="22"/>
        </w:rPr>
        <w:t>ti</w:t>
      </w:r>
      <w:r>
        <w:rPr>
          <w:spacing w:val="-3"/>
          <w:szCs w:val="22"/>
        </w:rPr>
        <w:t>v</w:t>
      </w:r>
      <w:r>
        <w:rPr>
          <w:szCs w:val="22"/>
        </w:rPr>
        <w:t xml:space="preserve">. </w:t>
      </w:r>
      <w:r>
        <w:rPr>
          <w:spacing w:val="-4"/>
          <w:szCs w:val="22"/>
        </w:rPr>
        <w:t>I</w:t>
      </w:r>
      <w:r>
        <w:rPr>
          <w:szCs w:val="22"/>
        </w:rPr>
        <w:t>nfec</w:t>
      </w:r>
      <w:r>
        <w:rPr>
          <w:spacing w:val="1"/>
          <w:szCs w:val="22"/>
        </w:rPr>
        <w:t>ţ</w:t>
      </w:r>
      <w:r>
        <w:rPr>
          <w:spacing w:val="-2"/>
          <w:szCs w:val="22"/>
        </w:rPr>
        <w:t>i</w:t>
      </w:r>
      <w:r>
        <w:rPr>
          <w:spacing w:val="1"/>
          <w:szCs w:val="22"/>
        </w:rPr>
        <w:t>i</w:t>
      </w:r>
      <w:r>
        <w:rPr>
          <w:spacing w:val="-2"/>
          <w:szCs w:val="22"/>
        </w:rPr>
        <w:t>l</w:t>
      </w:r>
      <w:r>
        <w:rPr>
          <w:szCs w:val="22"/>
        </w:rPr>
        <w:t>e au</w:t>
      </w:r>
      <w:r>
        <w:rPr>
          <w:spacing w:val="-3"/>
          <w:szCs w:val="22"/>
        </w:rPr>
        <w:t xml:space="preserve"> </w:t>
      </w:r>
      <w:r>
        <w:rPr>
          <w:szCs w:val="22"/>
        </w:rPr>
        <w:t>fo</w:t>
      </w:r>
      <w:r>
        <w:rPr>
          <w:spacing w:val="-2"/>
          <w:szCs w:val="22"/>
        </w:rPr>
        <w:t>s</w:t>
      </w:r>
      <w:r>
        <w:rPr>
          <w:szCs w:val="22"/>
        </w:rPr>
        <w:t>t</w:t>
      </w:r>
      <w:r>
        <w:rPr>
          <w:spacing w:val="-2"/>
          <w:szCs w:val="22"/>
        </w:rPr>
        <w:t xml:space="preserve"> </w:t>
      </w:r>
      <w:r>
        <w:rPr>
          <w:szCs w:val="22"/>
        </w:rPr>
        <w:t>rep</w:t>
      </w:r>
      <w:r>
        <w:rPr>
          <w:spacing w:val="-2"/>
          <w:szCs w:val="22"/>
        </w:rPr>
        <w:t>r</w:t>
      </w:r>
      <w:r>
        <w:rPr>
          <w:szCs w:val="22"/>
        </w:rPr>
        <w:t>e</w:t>
      </w:r>
      <w:r>
        <w:rPr>
          <w:spacing w:val="-3"/>
          <w:szCs w:val="22"/>
        </w:rPr>
        <w:t>z</w:t>
      </w:r>
      <w:r>
        <w:rPr>
          <w:szCs w:val="22"/>
        </w:rPr>
        <w:t>en</w:t>
      </w:r>
      <w:r>
        <w:rPr>
          <w:spacing w:val="1"/>
          <w:szCs w:val="22"/>
        </w:rPr>
        <w:t>t</w:t>
      </w:r>
      <w:r>
        <w:rPr>
          <w:spacing w:val="-3"/>
          <w:szCs w:val="22"/>
        </w:rPr>
        <w:t>a</w:t>
      </w:r>
      <w:r>
        <w:rPr>
          <w:spacing w:val="1"/>
          <w:szCs w:val="22"/>
        </w:rPr>
        <w:t>t</w:t>
      </w:r>
      <w:r>
        <w:rPr>
          <w:szCs w:val="22"/>
        </w:rPr>
        <w:t>e</w:t>
      </w:r>
      <w:r>
        <w:rPr>
          <w:spacing w:val="-2"/>
          <w:szCs w:val="22"/>
        </w:rPr>
        <w:t xml:space="preserve"> </w:t>
      </w:r>
      <w:r>
        <w:rPr>
          <w:spacing w:val="1"/>
          <w:szCs w:val="22"/>
        </w:rPr>
        <w:t>î</w:t>
      </w:r>
      <w:r>
        <w:rPr>
          <w:szCs w:val="22"/>
        </w:rPr>
        <w:t xml:space="preserve">n </w:t>
      </w:r>
      <w:r>
        <w:rPr>
          <w:spacing w:val="-3"/>
          <w:szCs w:val="22"/>
        </w:rPr>
        <w:t>p</w:t>
      </w:r>
      <w:r>
        <w:rPr>
          <w:szCs w:val="22"/>
        </w:rPr>
        <w:t>r</w:t>
      </w:r>
      <w:r>
        <w:rPr>
          <w:spacing w:val="1"/>
          <w:szCs w:val="22"/>
        </w:rPr>
        <w:t>i</w:t>
      </w:r>
      <w:r>
        <w:rPr>
          <w:spacing w:val="-4"/>
          <w:szCs w:val="22"/>
        </w:rPr>
        <w:t>m</w:t>
      </w:r>
      <w:r>
        <w:rPr>
          <w:szCs w:val="22"/>
        </w:rPr>
        <w:t>ul</w:t>
      </w:r>
      <w:r>
        <w:rPr>
          <w:spacing w:val="1"/>
          <w:szCs w:val="22"/>
        </w:rPr>
        <w:t xml:space="preserve"> </w:t>
      </w:r>
      <w:r>
        <w:rPr>
          <w:szCs w:val="22"/>
        </w:rPr>
        <w:t>r</w:t>
      </w:r>
      <w:r>
        <w:rPr>
          <w:spacing w:val="-3"/>
          <w:szCs w:val="22"/>
        </w:rPr>
        <w:t>â</w:t>
      </w:r>
      <w:r>
        <w:rPr>
          <w:szCs w:val="22"/>
        </w:rPr>
        <w:t>nd</w:t>
      </w:r>
      <w:r>
        <w:rPr>
          <w:spacing w:val="-3"/>
          <w:szCs w:val="22"/>
        </w:rPr>
        <w:t xml:space="preserve"> </w:t>
      </w:r>
      <w:r>
        <w:rPr>
          <w:szCs w:val="22"/>
        </w:rPr>
        <w:t xml:space="preserve">de </w:t>
      </w:r>
      <w:r>
        <w:rPr>
          <w:spacing w:val="1"/>
          <w:szCs w:val="22"/>
        </w:rPr>
        <w:t>i</w:t>
      </w:r>
      <w:r>
        <w:rPr>
          <w:spacing w:val="-3"/>
          <w:szCs w:val="22"/>
        </w:rPr>
        <w:t>n</w:t>
      </w:r>
      <w:r>
        <w:rPr>
          <w:szCs w:val="22"/>
        </w:rPr>
        <w:t>fe</w:t>
      </w:r>
      <w:r>
        <w:rPr>
          <w:spacing w:val="-3"/>
          <w:szCs w:val="22"/>
        </w:rPr>
        <w:t>c</w:t>
      </w:r>
      <w:r>
        <w:rPr>
          <w:spacing w:val="1"/>
          <w:szCs w:val="22"/>
        </w:rPr>
        <w:t>ţ</w:t>
      </w:r>
      <w:r>
        <w:rPr>
          <w:spacing w:val="-2"/>
          <w:szCs w:val="22"/>
        </w:rPr>
        <w:t>i</w:t>
      </w:r>
      <w:r>
        <w:rPr>
          <w:szCs w:val="22"/>
        </w:rPr>
        <w:t>i</w:t>
      </w:r>
      <w:r>
        <w:rPr>
          <w:spacing w:val="1"/>
          <w:szCs w:val="22"/>
        </w:rPr>
        <w:t xml:space="preserve"> </w:t>
      </w:r>
      <w:r>
        <w:rPr>
          <w:spacing w:val="-3"/>
          <w:szCs w:val="22"/>
        </w:rPr>
        <w:t>a</w:t>
      </w:r>
      <w:r>
        <w:rPr>
          <w:spacing w:val="1"/>
          <w:szCs w:val="22"/>
        </w:rPr>
        <w:t>l</w:t>
      </w:r>
      <w:r>
        <w:rPr>
          <w:szCs w:val="22"/>
        </w:rPr>
        <w:t>e r</w:t>
      </w:r>
      <w:r>
        <w:rPr>
          <w:spacing w:val="1"/>
          <w:szCs w:val="22"/>
        </w:rPr>
        <w:t>i</w:t>
      </w:r>
      <w:r>
        <w:rPr>
          <w:szCs w:val="22"/>
        </w:rPr>
        <w:t>n</w:t>
      </w:r>
      <w:r>
        <w:rPr>
          <w:spacing w:val="-3"/>
          <w:szCs w:val="22"/>
        </w:rPr>
        <w:t>o</w:t>
      </w:r>
      <w:r>
        <w:rPr>
          <w:szCs w:val="22"/>
        </w:rPr>
        <w:t>f</w:t>
      </w:r>
      <w:r>
        <w:rPr>
          <w:spacing w:val="-3"/>
          <w:szCs w:val="22"/>
        </w:rPr>
        <w:t>a</w:t>
      </w:r>
      <w:r>
        <w:rPr>
          <w:szCs w:val="22"/>
        </w:rPr>
        <w:t>r</w:t>
      </w:r>
      <w:r>
        <w:rPr>
          <w:spacing w:val="1"/>
          <w:szCs w:val="22"/>
        </w:rPr>
        <w:t>i</w:t>
      </w:r>
      <w:r>
        <w:rPr>
          <w:szCs w:val="22"/>
        </w:rPr>
        <w:t>n</w:t>
      </w:r>
      <w:r>
        <w:rPr>
          <w:spacing w:val="-3"/>
          <w:szCs w:val="22"/>
        </w:rPr>
        <w:t>g</w:t>
      </w:r>
      <w:r>
        <w:rPr>
          <w:szCs w:val="22"/>
        </w:rPr>
        <w:t>el</w:t>
      </w:r>
      <w:r>
        <w:rPr>
          <w:spacing w:val="-3"/>
          <w:szCs w:val="22"/>
        </w:rPr>
        <w:t>u</w:t>
      </w:r>
      <w:r>
        <w:rPr>
          <w:spacing w:val="1"/>
          <w:szCs w:val="22"/>
        </w:rPr>
        <w:t>i</w:t>
      </w:r>
      <w:r>
        <w:rPr>
          <w:szCs w:val="22"/>
        </w:rPr>
        <w:t>,</w:t>
      </w:r>
      <w:r>
        <w:rPr>
          <w:spacing w:val="-3"/>
          <w:szCs w:val="22"/>
        </w:rPr>
        <w:t xml:space="preserve"> </w:t>
      </w:r>
      <w:r>
        <w:rPr>
          <w:spacing w:val="1"/>
          <w:szCs w:val="22"/>
        </w:rPr>
        <w:t>i</w:t>
      </w:r>
      <w:r>
        <w:rPr>
          <w:szCs w:val="22"/>
        </w:rPr>
        <w:t>n</w:t>
      </w:r>
      <w:r>
        <w:rPr>
          <w:spacing w:val="-2"/>
          <w:szCs w:val="22"/>
        </w:rPr>
        <w:t>f</w:t>
      </w:r>
      <w:r>
        <w:rPr>
          <w:szCs w:val="22"/>
        </w:rPr>
        <w:t>ec</w:t>
      </w:r>
      <w:r>
        <w:rPr>
          <w:spacing w:val="-2"/>
          <w:szCs w:val="22"/>
        </w:rPr>
        <w:t>ţi</w:t>
      </w:r>
      <w:r>
        <w:rPr>
          <w:szCs w:val="22"/>
        </w:rPr>
        <w:t>i</w:t>
      </w:r>
      <w:r>
        <w:rPr>
          <w:spacing w:val="1"/>
          <w:szCs w:val="22"/>
        </w:rPr>
        <w:t xml:space="preserve"> </w:t>
      </w:r>
      <w:r>
        <w:rPr>
          <w:szCs w:val="22"/>
        </w:rPr>
        <w:t>a</w:t>
      </w:r>
      <w:r>
        <w:rPr>
          <w:spacing w:val="-2"/>
          <w:szCs w:val="22"/>
        </w:rPr>
        <w:t>l</w:t>
      </w:r>
      <w:r>
        <w:rPr>
          <w:szCs w:val="22"/>
        </w:rPr>
        <w:t xml:space="preserve">e </w:t>
      </w:r>
      <w:r>
        <w:rPr>
          <w:spacing w:val="-2"/>
          <w:szCs w:val="22"/>
        </w:rPr>
        <w:t>tr</w:t>
      </w:r>
      <w:r>
        <w:rPr>
          <w:szCs w:val="22"/>
        </w:rPr>
        <w:t>ac</w:t>
      </w:r>
      <w:r>
        <w:rPr>
          <w:spacing w:val="1"/>
          <w:szCs w:val="22"/>
        </w:rPr>
        <w:t>t</w:t>
      </w:r>
      <w:r>
        <w:rPr>
          <w:spacing w:val="-3"/>
          <w:szCs w:val="22"/>
        </w:rPr>
        <w:t>u</w:t>
      </w:r>
      <w:r>
        <w:rPr>
          <w:spacing w:val="1"/>
          <w:szCs w:val="22"/>
        </w:rPr>
        <w:t>l</w:t>
      </w:r>
      <w:r>
        <w:rPr>
          <w:spacing w:val="-3"/>
          <w:szCs w:val="22"/>
        </w:rPr>
        <w:t>u</w:t>
      </w:r>
      <w:r>
        <w:rPr>
          <w:szCs w:val="22"/>
        </w:rPr>
        <w:t>i</w:t>
      </w:r>
      <w:r>
        <w:rPr>
          <w:spacing w:val="1"/>
          <w:szCs w:val="22"/>
        </w:rPr>
        <w:t xml:space="preserve"> </w:t>
      </w:r>
      <w:r>
        <w:rPr>
          <w:szCs w:val="22"/>
        </w:rPr>
        <w:t>r</w:t>
      </w:r>
      <w:r>
        <w:rPr>
          <w:spacing w:val="-3"/>
          <w:szCs w:val="22"/>
        </w:rPr>
        <w:t>e</w:t>
      </w:r>
      <w:r>
        <w:rPr>
          <w:szCs w:val="22"/>
        </w:rPr>
        <w:t>sp</w:t>
      </w:r>
      <w:r>
        <w:rPr>
          <w:spacing w:val="-2"/>
          <w:szCs w:val="22"/>
        </w:rPr>
        <w:t>i</w:t>
      </w:r>
      <w:r>
        <w:rPr>
          <w:szCs w:val="22"/>
        </w:rPr>
        <w:t>r</w:t>
      </w:r>
      <w:r>
        <w:rPr>
          <w:spacing w:val="-3"/>
          <w:szCs w:val="22"/>
        </w:rPr>
        <w:t>a</w:t>
      </w:r>
      <w:r>
        <w:rPr>
          <w:spacing w:val="1"/>
          <w:szCs w:val="22"/>
        </w:rPr>
        <w:t>t</w:t>
      </w:r>
      <w:r>
        <w:rPr>
          <w:szCs w:val="22"/>
        </w:rPr>
        <w:t>or</w:t>
      </w:r>
      <w:r>
        <w:rPr>
          <w:spacing w:val="-2"/>
          <w:szCs w:val="22"/>
        </w:rPr>
        <w:t xml:space="preserve"> </w:t>
      </w:r>
      <w:r>
        <w:rPr>
          <w:szCs w:val="22"/>
        </w:rPr>
        <w:t>sup</w:t>
      </w:r>
      <w:r>
        <w:rPr>
          <w:spacing w:val="-3"/>
          <w:szCs w:val="22"/>
        </w:rPr>
        <w:t>e</w:t>
      </w:r>
      <w:r>
        <w:rPr>
          <w:szCs w:val="22"/>
        </w:rPr>
        <w:t>r</w:t>
      </w:r>
      <w:r>
        <w:rPr>
          <w:spacing w:val="-2"/>
          <w:szCs w:val="22"/>
        </w:rPr>
        <w:t>i</w:t>
      </w:r>
      <w:r>
        <w:rPr>
          <w:szCs w:val="22"/>
        </w:rPr>
        <w:t>or</w:t>
      </w:r>
      <w:r>
        <w:rPr>
          <w:spacing w:val="1"/>
          <w:szCs w:val="22"/>
        </w:rPr>
        <w:t xml:space="preserve"> </w:t>
      </w:r>
      <w:r>
        <w:rPr>
          <w:spacing w:val="-2"/>
          <w:szCs w:val="22"/>
        </w:rPr>
        <w:t>ş</w:t>
      </w:r>
      <w:r>
        <w:rPr>
          <w:szCs w:val="22"/>
        </w:rPr>
        <w:t>i</w:t>
      </w:r>
      <w:r>
        <w:rPr>
          <w:spacing w:val="1"/>
          <w:szCs w:val="22"/>
        </w:rPr>
        <w:t xml:space="preserve"> </w:t>
      </w:r>
      <w:r>
        <w:rPr>
          <w:szCs w:val="22"/>
        </w:rPr>
        <w:t>s</w:t>
      </w:r>
      <w:r>
        <w:rPr>
          <w:spacing w:val="-2"/>
          <w:szCs w:val="22"/>
        </w:rPr>
        <w:t>i</w:t>
      </w:r>
      <w:r>
        <w:rPr>
          <w:szCs w:val="22"/>
        </w:rPr>
        <w:t>nu</w:t>
      </w:r>
      <w:r>
        <w:rPr>
          <w:spacing w:val="-3"/>
          <w:szCs w:val="22"/>
        </w:rPr>
        <w:t>z</w:t>
      </w:r>
      <w:r>
        <w:rPr>
          <w:spacing w:val="1"/>
          <w:szCs w:val="22"/>
        </w:rPr>
        <w:t>it</w:t>
      </w:r>
      <w:r>
        <w:rPr>
          <w:spacing w:val="-3"/>
          <w:szCs w:val="22"/>
        </w:rPr>
        <w:t>ă</w:t>
      </w:r>
      <w:r>
        <w:rPr>
          <w:szCs w:val="22"/>
        </w:rPr>
        <w:t>. M</w:t>
      </w:r>
      <w:r>
        <w:rPr>
          <w:spacing w:val="-3"/>
          <w:szCs w:val="22"/>
        </w:rPr>
        <w:t>a</w:t>
      </w:r>
      <w:r>
        <w:rPr>
          <w:spacing w:val="1"/>
          <w:szCs w:val="22"/>
        </w:rPr>
        <w:t>j</w:t>
      </w:r>
      <w:r>
        <w:rPr>
          <w:spacing w:val="-3"/>
          <w:szCs w:val="22"/>
        </w:rPr>
        <w:t>o</w:t>
      </w:r>
      <w:r>
        <w:rPr>
          <w:szCs w:val="22"/>
        </w:rPr>
        <w:t>r</w:t>
      </w:r>
      <w:r>
        <w:rPr>
          <w:spacing w:val="-2"/>
          <w:szCs w:val="22"/>
        </w:rPr>
        <w:t>i</w:t>
      </w:r>
      <w:r>
        <w:rPr>
          <w:spacing w:val="1"/>
          <w:szCs w:val="22"/>
        </w:rPr>
        <w:t>t</w:t>
      </w:r>
      <w:r>
        <w:rPr>
          <w:spacing w:val="-3"/>
          <w:szCs w:val="22"/>
        </w:rPr>
        <w:t>a</w:t>
      </w:r>
      <w:r>
        <w:rPr>
          <w:spacing w:val="1"/>
          <w:szCs w:val="22"/>
        </w:rPr>
        <w:t>t</w:t>
      </w:r>
      <w:r>
        <w:rPr>
          <w:szCs w:val="22"/>
        </w:rPr>
        <w:t xml:space="preserve">ea </w:t>
      </w:r>
      <w:r>
        <w:rPr>
          <w:spacing w:val="-3"/>
          <w:szCs w:val="22"/>
        </w:rPr>
        <w:t>p</w:t>
      </w:r>
      <w:r>
        <w:rPr>
          <w:szCs w:val="22"/>
        </w:rPr>
        <w:t>a</w:t>
      </w:r>
      <w:r>
        <w:rPr>
          <w:spacing w:val="-3"/>
          <w:szCs w:val="22"/>
        </w:rPr>
        <w:t>c</w:t>
      </w:r>
      <w:r>
        <w:rPr>
          <w:spacing w:val="1"/>
          <w:szCs w:val="22"/>
        </w:rPr>
        <w:t>i</w:t>
      </w:r>
      <w:r>
        <w:rPr>
          <w:spacing w:val="-3"/>
          <w:szCs w:val="22"/>
        </w:rPr>
        <w:t>e</w:t>
      </w:r>
      <w:r>
        <w:rPr>
          <w:szCs w:val="22"/>
        </w:rPr>
        <w:t>n</w:t>
      </w:r>
      <w:r>
        <w:rPr>
          <w:spacing w:val="1"/>
          <w:szCs w:val="22"/>
        </w:rPr>
        <w:t>ţ</w:t>
      </w:r>
      <w:r>
        <w:rPr>
          <w:spacing w:val="-2"/>
          <w:szCs w:val="22"/>
        </w:rPr>
        <w:t>i</w:t>
      </w:r>
      <w:r>
        <w:rPr>
          <w:spacing w:val="1"/>
          <w:szCs w:val="22"/>
        </w:rPr>
        <w:t>l</w:t>
      </w:r>
      <w:r>
        <w:rPr>
          <w:szCs w:val="22"/>
        </w:rPr>
        <w:t>or</w:t>
      </w:r>
      <w:r>
        <w:rPr>
          <w:spacing w:val="-2"/>
          <w:szCs w:val="22"/>
        </w:rPr>
        <w:t xml:space="preserve"> </w:t>
      </w:r>
      <w:r>
        <w:rPr>
          <w:szCs w:val="22"/>
        </w:rPr>
        <w:t>au c</w:t>
      </w:r>
      <w:r>
        <w:rPr>
          <w:spacing w:val="-3"/>
          <w:szCs w:val="22"/>
        </w:rPr>
        <w:t>o</w:t>
      </w:r>
      <w:r>
        <w:rPr>
          <w:szCs w:val="22"/>
        </w:rPr>
        <w:t>n</w:t>
      </w:r>
      <w:r>
        <w:rPr>
          <w:spacing w:val="-2"/>
          <w:szCs w:val="22"/>
        </w:rPr>
        <w:t>t</w:t>
      </w:r>
      <w:r>
        <w:rPr>
          <w:spacing w:val="1"/>
          <w:szCs w:val="22"/>
        </w:rPr>
        <w:t>i</w:t>
      </w:r>
      <w:r>
        <w:rPr>
          <w:szCs w:val="22"/>
        </w:rPr>
        <w:t>nu</w:t>
      </w:r>
      <w:r>
        <w:rPr>
          <w:spacing w:val="-3"/>
          <w:szCs w:val="22"/>
        </w:rPr>
        <w:t>a</w:t>
      </w:r>
      <w:r>
        <w:rPr>
          <w:szCs w:val="22"/>
        </w:rPr>
        <w:t xml:space="preserve">t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3"/>
          <w:szCs w:val="22"/>
        </w:rPr>
        <w:t>d</w:t>
      </w:r>
      <w:r>
        <w:rPr>
          <w:szCs w:val="22"/>
        </w:rPr>
        <w:t>u</w:t>
      </w:r>
      <w:r>
        <w:rPr>
          <w:spacing w:val="-3"/>
          <w:szCs w:val="22"/>
        </w:rPr>
        <w:t>p</w:t>
      </w:r>
      <w:r>
        <w:rPr>
          <w:szCs w:val="22"/>
        </w:rPr>
        <w:t xml:space="preserve">ă </w:t>
      </w:r>
      <w:r>
        <w:rPr>
          <w:spacing w:val="-3"/>
          <w:szCs w:val="22"/>
        </w:rPr>
        <w:t>v</w:t>
      </w:r>
      <w:r>
        <w:rPr>
          <w:spacing w:val="1"/>
          <w:szCs w:val="22"/>
        </w:rPr>
        <w:t>i</w:t>
      </w:r>
      <w:r>
        <w:rPr>
          <w:szCs w:val="22"/>
        </w:rPr>
        <w:t>ndec</w:t>
      </w:r>
      <w:r>
        <w:rPr>
          <w:spacing w:val="-3"/>
          <w:szCs w:val="22"/>
        </w:rPr>
        <w:t>a</w:t>
      </w:r>
      <w:r>
        <w:rPr>
          <w:szCs w:val="22"/>
        </w:rPr>
        <w:t>rea</w:t>
      </w:r>
      <w:r>
        <w:rPr>
          <w:spacing w:val="-2"/>
          <w:szCs w:val="22"/>
        </w:rPr>
        <w:t xml:space="preserve"> </w:t>
      </w:r>
      <w:r>
        <w:rPr>
          <w:spacing w:val="1"/>
          <w:szCs w:val="22"/>
        </w:rPr>
        <w:t>i</w:t>
      </w:r>
      <w:r>
        <w:rPr>
          <w:spacing w:val="-3"/>
          <w:szCs w:val="22"/>
        </w:rPr>
        <w:t>n</w:t>
      </w:r>
      <w:r>
        <w:rPr>
          <w:szCs w:val="22"/>
        </w:rPr>
        <w:t>fe</w:t>
      </w:r>
      <w:r>
        <w:rPr>
          <w:spacing w:val="-3"/>
          <w:szCs w:val="22"/>
        </w:rPr>
        <w:t>c</w:t>
      </w:r>
      <w:r>
        <w:rPr>
          <w:spacing w:val="1"/>
          <w:szCs w:val="22"/>
        </w:rPr>
        <w:t>ţ</w:t>
      </w:r>
      <w:r>
        <w:rPr>
          <w:spacing w:val="-2"/>
          <w:szCs w:val="22"/>
        </w:rPr>
        <w:t>i</w:t>
      </w:r>
      <w:r>
        <w:rPr>
          <w:spacing w:val="1"/>
          <w:szCs w:val="22"/>
        </w:rPr>
        <w:t>i</w:t>
      </w:r>
      <w:r>
        <w:rPr>
          <w:spacing w:val="-2"/>
          <w:szCs w:val="22"/>
        </w:rPr>
        <w:t>l</w:t>
      </w:r>
      <w:r>
        <w:rPr>
          <w:szCs w:val="22"/>
        </w:rPr>
        <w:t>or.</w:t>
      </w:r>
    </w:p>
    <w:p w14:paraId="58CAF774" w14:textId="77777777" w:rsidR="00C04CAD" w:rsidRDefault="00C04CAD">
      <w:pPr>
        <w:tabs>
          <w:tab w:val="clear" w:pos="567"/>
        </w:tabs>
        <w:kinsoku w:val="0"/>
        <w:overflowPunct w:val="0"/>
        <w:autoSpaceDE w:val="0"/>
        <w:autoSpaceDN w:val="0"/>
        <w:adjustRightInd w:val="0"/>
        <w:spacing w:line="240" w:lineRule="auto"/>
        <w:rPr>
          <w:szCs w:val="22"/>
        </w:rPr>
      </w:pPr>
    </w:p>
    <w:p w14:paraId="7D840763"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I</w:t>
      </w:r>
      <w:r>
        <w:rPr>
          <w:szCs w:val="22"/>
        </w:rPr>
        <w:t>nc</w:t>
      </w:r>
      <w:r>
        <w:rPr>
          <w:spacing w:val="1"/>
          <w:szCs w:val="22"/>
        </w:rPr>
        <w:t>i</w:t>
      </w:r>
      <w:r>
        <w:rPr>
          <w:szCs w:val="22"/>
        </w:rPr>
        <w:t>den</w:t>
      </w:r>
      <w:r>
        <w:rPr>
          <w:spacing w:val="1"/>
          <w:szCs w:val="22"/>
        </w:rPr>
        <w:t>ţ</w:t>
      </w:r>
      <w:r>
        <w:rPr>
          <w:szCs w:val="22"/>
        </w:rPr>
        <w:t>a</w:t>
      </w:r>
      <w:r>
        <w:rPr>
          <w:spacing w:val="-2"/>
          <w:szCs w:val="22"/>
        </w:rPr>
        <w:t xml:space="preserve"> </w:t>
      </w:r>
      <w:r>
        <w:rPr>
          <w:spacing w:val="1"/>
          <w:szCs w:val="22"/>
        </w:rPr>
        <w:t>i</w:t>
      </w:r>
      <w:r>
        <w:rPr>
          <w:szCs w:val="22"/>
        </w:rPr>
        <w:t>n</w:t>
      </w:r>
      <w:r>
        <w:rPr>
          <w:spacing w:val="-2"/>
          <w:szCs w:val="22"/>
        </w:rPr>
        <w:t>f</w:t>
      </w:r>
      <w:r>
        <w:rPr>
          <w:szCs w:val="22"/>
        </w:rPr>
        <w:t>ec</w:t>
      </w:r>
      <w:r>
        <w:rPr>
          <w:spacing w:val="-2"/>
          <w:szCs w:val="22"/>
        </w:rPr>
        <w:t>ţ</w:t>
      </w:r>
      <w:r>
        <w:rPr>
          <w:spacing w:val="1"/>
          <w:szCs w:val="22"/>
        </w:rPr>
        <w:t>i</w:t>
      </w:r>
      <w:r>
        <w:rPr>
          <w:spacing w:val="-2"/>
          <w:szCs w:val="22"/>
        </w:rPr>
        <w:t>i</w:t>
      </w:r>
      <w:r>
        <w:rPr>
          <w:spacing w:val="1"/>
          <w:szCs w:val="22"/>
        </w:rPr>
        <w:t>l</w:t>
      </w:r>
      <w:r>
        <w:rPr>
          <w:spacing w:val="-3"/>
          <w:szCs w:val="22"/>
        </w:rPr>
        <w:t>o</w:t>
      </w:r>
      <w:r>
        <w:rPr>
          <w:szCs w:val="22"/>
        </w:rPr>
        <w:t>r</w:t>
      </w:r>
      <w:r>
        <w:rPr>
          <w:spacing w:val="1"/>
          <w:szCs w:val="22"/>
        </w:rPr>
        <w:t xml:space="preserve"> </w:t>
      </w:r>
      <w:r>
        <w:rPr>
          <w:spacing w:val="-3"/>
          <w:szCs w:val="22"/>
        </w:rPr>
        <w:t>g</w:t>
      </w:r>
      <w:r>
        <w:rPr>
          <w:szCs w:val="22"/>
        </w:rPr>
        <w:t>ra</w:t>
      </w:r>
      <w:r>
        <w:rPr>
          <w:spacing w:val="-3"/>
          <w:szCs w:val="22"/>
        </w:rPr>
        <w:t>v</w:t>
      </w:r>
      <w:r>
        <w:rPr>
          <w:szCs w:val="22"/>
        </w:rPr>
        <w:t>e a fo</w:t>
      </w:r>
      <w:r>
        <w:rPr>
          <w:spacing w:val="-2"/>
          <w:szCs w:val="22"/>
        </w:rPr>
        <w:t>s</w:t>
      </w:r>
      <w:r>
        <w:rPr>
          <w:szCs w:val="22"/>
        </w:rPr>
        <w:t>t</w:t>
      </w:r>
      <w:r>
        <w:rPr>
          <w:spacing w:val="1"/>
          <w:szCs w:val="22"/>
        </w:rPr>
        <w:t xml:space="preserve"> </w:t>
      </w:r>
      <w:r>
        <w:rPr>
          <w:szCs w:val="22"/>
        </w:rPr>
        <w:t>de 0</w:t>
      </w:r>
      <w:r>
        <w:rPr>
          <w:spacing w:val="-3"/>
          <w:szCs w:val="22"/>
        </w:rPr>
        <w:t>,</w:t>
      </w:r>
      <w:r>
        <w:rPr>
          <w:szCs w:val="22"/>
        </w:rPr>
        <w:t>04 p</w:t>
      </w:r>
      <w:r>
        <w:rPr>
          <w:spacing w:val="-3"/>
          <w:szCs w:val="22"/>
        </w:rPr>
        <w:t>e</w:t>
      </w:r>
      <w:r>
        <w:rPr>
          <w:szCs w:val="22"/>
        </w:rPr>
        <w:t>r</w:t>
      </w:r>
      <w:r>
        <w:rPr>
          <w:spacing w:val="1"/>
          <w:szCs w:val="22"/>
        </w:rPr>
        <w:t xml:space="preserve"> </w:t>
      </w:r>
      <w:r>
        <w:rPr>
          <w:szCs w:val="22"/>
        </w:rPr>
        <w:t>an</w:t>
      </w:r>
      <w:r>
        <w:rPr>
          <w:spacing w:val="-4"/>
          <w:szCs w:val="22"/>
        </w:rPr>
        <w:t>-</w:t>
      </w:r>
      <w:r>
        <w:rPr>
          <w:szCs w:val="22"/>
        </w:rPr>
        <w:t>pac</w:t>
      </w:r>
      <w:r>
        <w:rPr>
          <w:spacing w:val="1"/>
          <w:szCs w:val="22"/>
        </w:rPr>
        <w:t>i</w:t>
      </w:r>
      <w:r>
        <w:rPr>
          <w:spacing w:val="-3"/>
          <w:szCs w:val="22"/>
        </w:rPr>
        <w:t>e</w:t>
      </w:r>
      <w:r>
        <w:rPr>
          <w:szCs w:val="22"/>
        </w:rPr>
        <w:t>nt</w:t>
      </w:r>
      <w:r>
        <w:rPr>
          <w:spacing w:val="-2"/>
          <w:szCs w:val="22"/>
        </w:rPr>
        <w:t xml:space="preserve"> </w:t>
      </w:r>
      <w:r>
        <w:rPr>
          <w:spacing w:val="1"/>
          <w:szCs w:val="22"/>
        </w:rPr>
        <w:t>î</w:t>
      </w:r>
      <w:r>
        <w:rPr>
          <w:szCs w:val="22"/>
        </w:rPr>
        <w:t>n ca</w:t>
      </w:r>
      <w:r>
        <w:rPr>
          <w:spacing w:val="-3"/>
          <w:szCs w:val="22"/>
        </w:rPr>
        <w:t>z</w:t>
      </w:r>
      <w:r>
        <w:rPr>
          <w:szCs w:val="22"/>
        </w:rPr>
        <w:t>ul</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pacing w:val="1"/>
          <w:szCs w:val="22"/>
        </w:rPr>
        <w:t>l</w:t>
      </w:r>
      <w:r>
        <w:rPr>
          <w:szCs w:val="22"/>
        </w:rPr>
        <w:t>or</w:t>
      </w:r>
      <w:r>
        <w:rPr>
          <w:spacing w:val="-2"/>
          <w:szCs w:val="22"/>
        </w:rPr>
        <w:t xml:space="preserve"> t</w:t>
      </w:r>
      <w:r>
        <w:rPr>
          <w:szCs w:val="22"/>
        </w:rPr>
        <w:t>ra</w:t>
      </w:r>
      <w:r>
        <w:rPr>
          <w:spacing w:val="-2"/>
          <w:szCs w:val="22"/>
        </w:rPr>
        <w:t>t</w:t>
      </w:r>
      <w:r>
        <w:rPr>
          <w:szCs w:val="22"/>
        </w:rPr>
        <w:t>a</w:t>
      </w:r>
      <w:r>
        <w:rPr>
          <w:spacing w:val="-2"/>
          <w:szCs w:val="22"/>
        </w:rPr>
        <w:t>ţ</w:t>
      </w:r>
      <w:r>
        <w:rPr>
          <w:szCs w:val="22"/>
        </w:rPr>
        <w:t>i</w:t>
      </w:r>
      <w:r>
        <w:rPr>
          <w:spacing w:val="1"/>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şi</w:t>
      </w:r>
      <w:r>
        <w:rPr>
          <w:spacing w:val="1"/>
          <w:szCs w:val="22"/>
        </w:rPr>
        <w:t xml:space="preserve"> </w:t>
      </w:r>
      <w:r>
        <w:rPr>
          <w:spacing w:val="-3"/>
          <w:szCs w:val="22"/>
        </w:rPr>
        <w:t>d</w:t>
      </w:r>
      <w:r>
        <w:rPr>
          <w:szCs w:val="22"/>
        </w:rPr>
        <w:t>e 0,03 p</w:t>
      </w:r>
      <w:r>
        <w:rPr>
          <w:spacing w:val="-3"/>
          <w:szCs w:val="22"/>
        </w:rPr>
        <w:t>e</w:t>
      </w:r>
      <w:r>
        <w:rPr>
          <w:szCs w:val="22"/>
        </w:rPr>
        <w:t>r</w:t>
      </w:r>
      <w:r>
        <w:rPr>
          <w:spacing w:val="1"/>
          <w:szCs w:val="22"/>
        </w:rPr>
        <w:t xml:space="preserve"> </w:t>
      </w:r>
      <w:r>
        <w:rPr>
          <w:szCs w:val="22"/>
        </w:rPr>
        <w:t>an</w:t>
      </w:r>
      <w:r>
        <w:rPr>
          <w:spacing w:val="-4"/>
          <w:szCs w:val="22"/>
        </w:rPr>
        <w:t>-</w:t>
      </w:r>
      <w:r>
        <w:rPr>
          <w:szCs w:val="22"/>
        </w:rPr>
        <w:t>pac</w:t>
      </w:r>
      <w:r>
        <w:rPr>
          <w:spacing w:val="1"/>
          <w:szCs w:val="22"/>
        </w:rPr>
        <w:t>i</w:t>
      </w:r>
      <w:r>
        <w:rPr>
          <w:szCs w:val="22"/>
        </w:rPr>
        <w:t>e</w:t>
      </w:r>
      <w:r>
        <w:rPr>
          <w:spacing w:val="-3"/>
          <w:szCs w:val="22"/>
        </w:rPr>
        <w:t>n</w:t>
      </w:r>
      <w:r>
        <w:rPr>
          <w:szCs w:val="22"/>
        </w:rPr>
        <w:t>t</w:t>
      </w:r>
      <w:r>
        <w:rPr>
          <w:spacing w:val="1"/>
          <w:szCs w:val="22"/>
        </w:rPr>
        <w:t xml:space="preserve"> </w:t>
      </w:r>
      <w:r>
        <w:rPr>
          <w:szCs w:val="22"/>
        </w:rPr>
        <w:t>de</w:t>
      </w:r>
      <w:r>
        <w:rPr>
          <w:spacing w:val="-2"/>
          <w:szCs w:val="22"/>
        </w:rPr>
        <w:t xml:space="preserve"> t</w:t>
      </w:r>
      <w:r>
        <w:rPr>
          <w:szCs w:val="22"/>
        </w:rPr>
        <w:t>ra</w:t>
      </w:r>
      <w:r>
        <w:rPr>
          <w:spacing w:val="-2"/>
          <w:szCs w:val="22"/>
        </w:rPr>
        <w:t>t</w:t>
      </w:r>
      <w:r>
        <w:rPr>
          <w:spacing w:val="-3"/>
          <w:szCs w:val="22"/>
        </w:rPr>
        <w:t>a</w:t>
      </w:r>
      <w:r>
        <w:rPr>
          <w:spacing w:val="-4"/>
          <w:szCs w:val="22"/>
        </w:rPr>
        <w:t>m</w:t>
      </w:r>
      <w:r>
        <w:rPr>
          <w:szCs w:val="22"/>
        </w:rPr>
        <w:t>ent</w:t>
      </w:r>
      <w:r>
        <w:rPr>
          <w:spacing w:val="1"/>
          <w:szCs w:val="22"/>
        </w:rPr>
        <w:t xml:space="preserve"> î</w:t>
      </w:r>
      <w:r>
        <w:rPr>
          <w:szCs w:val="22"/>
        </w:rPr>
        <w:t>n ca</w:t>
      </w:r>
      <w:r>
        <w:rPr>
          <w:spacing w:val="-3"/>
          <w:szCs w:val="22"/>
        </w:rPr>
        <w:t>z</w:t>
      </w:r>
      <w:r>
        <w:rPr>
          <w:szCs w:val="22"/>
        </w:rPr>
        <w:t>ul</w:t>
      </w:r>
      <w:r>
        <w:rPr>
          <w:spacing w:val="1"/>
          <w:szCs w:val="22"/>
        </w:rPr>
        <w:t xml:space="preserve">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pacing w:val="1"/>
          <w:szCs w:val="22"/>
        </w:rPr>
        <w:t>l</w:t>
      </w:r>
      <w:r>
        <w:rPr>
          <w:szCs w:val="22"/>
        </w:rPr>
        <w:t>or</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spacing w:val="-3"/>
          <w:szCs w:val="22"/>
        </w:rPr>
        <w:t>p</w:t>
      </w:r>
      <w:r>
        <w:rPr>
          <w:spacing w:val="1"/>
          <w:szCs w:val="22"/>
        </w:rPr>
        <w:t>l</w:t>
      </w:r>
      <w:r>
        <w:rPr>
          <w:szCs w:val="22"/>
        </w:rPr>
        <w:t>ac</w:t>
      </w:r>
      <w:r>
        <w:rPr>
          <w:spacing w:val="-3"/>
          <w:szCs w:val="22"/>
        </w:rPr>
        <w:t>e</w:t>
      </w:r>
      <w:r>
        <w:rPr>
          <w:szCs w:val="22"/>
        </w:rPr>
        <w:t xml:space="preserve">bo </w:t>
      </w:r>
      <w:r>
        <w:rPr>
          <w:spacing w:val="-2"/>
          <w:szCs w:val="22"/>
        </w:rPr>
        <w:t>ş</w:t>
      </w:r>
      <w:r>
        <w:rPr>
          <w:szCs w:val="22"/>
        </w:rPr>
        <w:t>i</w:t>
      </w:r>
      <w:r>
        <w:rPr>
          <w:spacing w:val="1"/>
          <w:szCs w:val="22"/>
        </w:rPr>
        <w:t xml:space="preserve"> </w:t>
      </w:r>
      <w:r>
        <w:rPr>
          <w:szCs w:val="22"/>
        </w:rPr>
        <w:t>co</w:t>
      </w:r>
      <w:r>
        <w:rPr>
          <w:spacing w:val="-4"/>
          <w:szCs w:val="22"/>
        </w:rPr>
        <w:t>m</w:t>
      </w:r>
      <w:r>
        <w:rPr>
          <w:szCs w:val="22"/>
        </w:rPr>
        <w:t>par</w:t>
      </w:r>
      <w:r>
        <w:rPr>
          <w:spacing w:val="-3"/>
          <w:szCs w:val="22"/>
        </w:rPr>
        <w:t>a</w:t>
      </w:r>
      <w:r>
        <w:rPr>
          <w:spacing w:val="-2"/>
          <w:szCs w:val="22"/>
        </w:rPr>
        <w:t>t</w:t>
      </w:r>
      <w:r>
        <w:rPr>
          <w:szCs w:val="22"/>
        </w:rPr>
        <w:t>or</w:t>
      </w:r>
      <w:r>
        <w:rPr>
          <w:spacing w:val="1"/>
          <w:szCs w:val="22"/>
        </w:rPr>
        <w:t xml:space="preserve"> </w:t>
      </w:r>
      <w:r>
        <w:rPr>
          <w:szCs w:val="22"/>
        </w:rPr>
        <w:t>a</w:t>
      </w:r>
      <w:r>
        <w:rPr>
          <w:spacing w:val="-3"/>
          <w:szCs w:val="22"/>
        </w:rPr>
        <w:t>c</w:t>
      </w:r>
      <w:r>
        <w:rPr>
          <w:spacing w:val="1"/>
          <w:szCs w:val="22"/>
        </w:rPr>
        <w:t>ti</w:t>
      </w:r>
      <w:r>
        <w:rPr>
          <w:spacing w:val="-3"/>
          <w:szCs w:val="22"/>
        </w:rPr>
        <w:t>v</w:t>
      </w:r>
      <w:r>
        <w:rPr>
          <w:szCs w:val="22"/>
        </w:rPr>
        <w:t>.</w:t>
      </w:r>
    </w:p>
    <w:p w14:paraId="4D1C5088" w14:textId="77777777" w:rsidR="00C04CAD" w:rsidRDefault="00C04CAD">
      <w:pPr>
        <w:tabs>
          <w:tab w:val="clear" w:pos="567"/>
        </w:tabs>
        <w:kinsoku w:val="0"/>
        <w:overflowPunct w:val="0"/>
        <w:autoSpaceDE w:val="0"/>
        <w:autoSpaceDN w:val="0"/>
        <w:adjustRightInd w:val="0"/>
        <w:spacing w:line="240" w:lineRule="auto"/>
        <w:rPr>
          <w:szCs w:val="22"/>
        </w:rPr>
      </w:pPr>
    </w:p>
    <w:p w14:paraId="524A5D14" w14:textId="77777777" w:rsidR="00C04CAD" w:rsidRDefault="00060E34">
      <w:pPr>
        <w:autoSpaceDE w:val="0"/>
        <w:autoSpaceDN w:val="0"/>
        <w:adjustRightInd w:val="0"/>
        <w:spacing w:line="240" w:lineRule="auto"/>
        <w:jc w:val="both"/>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 xml:space="preserve">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co</w:t>
      </w:r>
      <w:r>
        <w:rPr>
          <w:spacing w:val="-3"/>
          <w:szCs w:val="22"/>
        </w:rPr>
        <w:t>n</w:t>
      </w:r>
      <w:r>
        <w:rPr>
          <w:spacing w:val="1"/>
          <w:szCs w:val="22"/>
        </w:rPr>
        <w:t>t</w:t>
      </w:r>
      <w:r>
        <w:rPr>
          <w:szCs w:val="22"/>
        </w:rPr>
        <w:t>r</w:t>
      </w:r>
      <w:r>
        <w:rPr>
          <w:spacing w:val="-3"/>
          <w:szCs w:val="22"/>
        </w:rPr>
        <w:t>o</w:t>
      </w:r>
      <w:r>
        <w:rPr>
          <w:spacing w:val="1"/>
          <w:szCs w:val="22"/>
        </w:rPr>
        <w:t>l</w:t>
      </w:r>
      <w:r>
        <w:rPr>
          <w:spacing w:val="-3"/>
          <w:szCs w:val="22"/>
        </w:rPr>
        <w:t>a</w:t>
      </w:r>
      <w:r>
        <w:rPr>
          <w:spacing w:val="-2"/>
          <w:szCs w:val="22"/>
        </w:rPr>
        <w:t>t</w:t>
      </w:r>
      <w:r>
        <w:rPr>
          <w:szCs w:val="22"/>
        </w:rPr>
        <w:t>e şi</w:t>
      </w:r>
      <w:r>
        <w:rPr>
          <w:spacing w:val="1"/>
          <w:szCs w:val="22"/>
        </w:rPr>
        <w:t xml:space="preserve"> </w:t>
      </w:r>
      <w:r>
        <w:rPr>
          <w:spacing w:val="-3"/>
          <w:szCs w:val="22"/>
        </w:rPr>
        <w:t>d</w:t>
      </w:r>
      <w:r>
        <w:rPr>
          <w:szCs w:val="22"/>
        </w:rPr>
        <w:t>es</w:t>
      </w:r>
      <w:r>
        <w:rPr>
          <w:spacing w:val="-3"/>
          <w:szCs w:val="22"/>
        </w:rPr>
        <w:t>c</w:t>
      </w:r>
      <w:r>
        <w:rPr>
          <w:szCs w:val="22"/>
        </w:rPr>
        <w:t>h</w:t>
      </w:r>
      <w:r>
        <w:rPr>
          <w:spacing w:val="1"/>
          <w:szCs w:val="22"/>
        </w:rPr>
        <w:t>i</w:t>
      </w:r>
      <w:r>
        <w:rPr>
          <w:spacing w:val="-2"/>
          <w:szCs w:val="22"/>
        </w:rPr>
        <w:t>s</w:t>
      </w:r>
      <w:r>
        <w:rPr>
          <w:szCs w:val="22"/>
        </w:rPr>
        <w:t xml:space="preserve">e </w:t>
      </w:r>
      <w:r>
        <w:rPr>
          <w:spacing w:val="-2"/>
          <w:szCs w:val="22"/>
        </w:rPr>
        <w:t>l</w:t>
      </w:r>
      <w:r>
        <w:rPr>
          <w:szCs w:val="22"/>
        </w:rPr>
        <w:t>a co</w:t>
      </w:r>
      <w:r>
        <w:rPr>
          <w:spacing w:val="-3"/>
          <w:szCs w:val="22"/>
        </w:rPr>
        <w:t>p</w:t>
      </w:r>
      <w:r>
        <w:rPr>
          <w:spacing w:val="1"/>
          <w:szCs w:val="22"/>
        </w:rPr>
        <w:t>i</w:t>
      </w:r>
      <w:r>
        <w:rPr>
          <w:spacing w:val="-2"/>
          <w:szCs w:val="22"/>
        </w:rPr>
        <w:t>i</w:t>
      </w:r>
      <w:r>
        <w:rPr>
          <w:szCs w:val="22"/>
        </w:rPr>
        <w:t>, ad</w:t>
      </w:r>
      <w:r>
        <w:rPr>
          <w:spacing w:val="-3"/>
          <w:szCs w:val="22"/>
        </w:rPr>
        <w:t>o</w:t>
      </w:r>
      <w:r>
        <w:rPr>
          <w:spacing w:val="1"/>
          <w:szCs w:val="22"/>
        </w:rPr>
        <w:t>l</w:t>
      </w:r>
      <w:r>
        <w:rPr>
          <w:spacing w:val="-3"/>
          <w:szCs w:val="22"/>
        </w:rPr>
        <w:t>e</w:t>
      </w:r>
      <w:r>
        <w:rPr>
          <w:szCs w:val="22"/>
        </w:rPr>
        <w:t>sce</w:t>
      </w:r>
      <w:r>
        <w:rPr>
          <w:spacing w:val="-3"/>
          <w:szCs w:val="22"/>
        </w:rPr>
        <w:t>n</w:t>
      </w:r>
      <w:r>
        <w:rPr>
          <w:spacing w:val="1"/>
          <w:szCs w:val="22"/>
        </w:rPr>
        <w:t>ţ</w:t>
      </w:r>
      <w:r>
        <w:rPr>
          <w:szCs w:val="22"/>
        </w:rPr>
        <w:t>i</w:t>
      </w:r>
      <w:r>
        <w:rPr>
          <w:spacing w:val="-2"/>
          <w:szCs w:val="22"/>
        </w:rPr>
        <w:t xml:space="preserve"> </w:t>
      </w:r>
      <w:r>
        <w:rPr>
          <w:szCs w:val="22"/>
        </w:rPr>
        <w:t>şi</w:t>
      </w:r>
      <w:r>
        <w:rPr>
          <w:spacing w:val="1"/>
          <w:szCs w:val="22"/>
        </w:rPr>
        <w:t xml:space="preserve"> </w:t>
      </w:r>
      <w:r>
        <w:rPr>
          <w:spacing w:val="-3"/>
          <w:szCs w:val="22"/>
        </w:rPr>
        <w:t>a</w:t>
      </w:r>
      <w:r>
        <w:rPr>
          <w:szCs w:val="22"/>
        </w:rPr>
        <w:t>du</w:t>
      </w:r>
      <w:r>
        <w:rPr>
          <w:spacing w:val="-2"/>
          <w:szCs w:val="22"/>
        </w:rPr>
        <w:t>l</w:t>
      </w:r>
      <w:r>
        <w:rPr>
          <w:spacing w:val="1"/>
          <w:szCs w:val="22"/>
        </w:rPr>
        <w:t>ţ</w:t>
      </w:r>
      <w:r>
        <w:rPr>
          <w:szCs w:val="22"/>
        </w:rPr>
        <w:t>i</w:t>
      </w:r>
      <w:r>
        <w:rPr>
          <w:spacing w:val="-2"/>
          <w:szCs w:val="22"/>
        </w:rPr>
        <w:t xml:space="preserve"> </w:t>
      </w:r>
      <w:r>
        <w:rPr>
          <w:spacing w:val="1"/>
          <w:szCs w:val="22"/>
        </w:rPr>
        <w:t>î</w:t>
      </w:r>
      <w:r>
        <w:rPr>
          <w:szCs w:val="22"/>
        </w:rPr>
        <w:t>n</w:t>
      </w:r>
      <w:r>
        <w:rPr>
          <w:spacing w:val="-3"/>
          <w:szCs w:val="22"/>
        </w:rPr>
        <w:t xml:space="preserve"> </w:t>
      </w:r>
      <w:r>
        <w:rPr>
          <w:szCs w:val="22"/>
        </w:rPr>
        <w:t>ca</w:t>
      </w:r>
      <w:r>
        <w:rPr>
          <w:spacing w:val="-2"/>
          <w:szCs w:val="22"/>
        </w:rPr>
        <w:t>r</w:t>
      </w:r>
      <w:r>
        <w:rPr>
          <w:szCs w:val="22"/>
        </w:rPr>
        <w:t>e s</w:t>
      </w:r>
      <w:r>
        <w:rPr>
          <w:spacing w:val="-4"/>
          <w:szCs w:val="22"/>
        </w:rPr>
        <w:t>-</w:t>
      </w:r>
      <w:r>
        <w:rPr>
          <w:szCs w:val="22"/>
        </w:rPr>
        <w:t>a fo</w:t>
      </w:r>
      <w:r>
        <w:rPr>
          <w:spacing w:val="1"/>
          <w:szCs w:val="22"/>
        </w:rPr>
        <w:t>l</w:t>
      </w:r>
      <w:r>
        <w:rPr>
          <w:szCs w:val="22"/>
        </w:rPr>
        <w:t>o</w:t>
      </w:r>
      <w:r>
        <w:rPr>
          <w:spacing w:val="-2"/>
          <w:szCs w:val="22"/>
        </w:rPr>
        <w:t>s</w:t>
      </w:r>
      <w:r>
        <w:rPr>
          <w:spacing w:val="1"/>
          <w:szCs w:val="22"/>
        </w:rPr>
        <w:t>i</w:t>
      </w:r>
      <w:r>
        <w:rPr>
          <w:szCs w:val="22"/>
        </w:rPr>
        <w:t>t</w:t>
      </w:r>
      <w:r>
        <w:rPr>
          <w:spacing w:val="1"/>
          <w:szCs w:val="22"/>
        </w:rPr>
        <w:t xml:space="preserve"> </w:t>
      </w:r>
      <w:r>
        <w:rPr>
          <w:rFonts w:eastAsia="MS Mincho"/>
          <w:spacing w:val="-1"/>
          <w:szCs w:val="22"/>
          <w:lang w:eastAsia="en-US" w:bidi="ar-SA"/>
        </w:rPr>
        <w:t>adalimumab</w:t>
      </w:r>
      <w:r>
        <w:rPr>
          <w:szCs w:val="22"/>
        </w:rPr>
        <w:t>,</w:t>
      </w:r>
      <w:r>
        <w:rPr>
          <w:spacing w:val="-3"/>
          <w:szCs w:val="22"/>
        </w:rPr>
        <w:t xml:space="preserve"> </w:t>
      </w:r>
      <w:r>
        <w:rPr>
          <w:szCs w:val="22"/>
        </w:rPr>
        <w:t xml:space="preserve">au </w:t>
      </w:r>
      <w:r>
        <w:rPr>
          <w:spacing w:val="-2"/>
          <w:szCs w:val="22"/>
        </w:rPr>
        <w:t>f</w:t>
      </w:r>
      <w:r>
        <w:rPr>
          <w:szCs w:val="22"/>
        </w:rPr>
        <w:t>ost rap</w:t>
      </w:r>
      <w:r>
        <w:rPr>
          <w:spacing w:val="-3"/>
          <w:szCs w:val="22"/>
        </w:rPr>
        <w:t>o</w:t>
      </w:r>
      <w:r>
        <w:rPr>
          <w:szCs w:val="22"/>
        </w:rPr>
        <w:t>r</w:t>
      </w:r>
      <w:r>
        <w:rPr>
          <w:spacing w:val="1"/>
          <w:szCs w:val="22"/>
        </w:rPr>
        <w:t>t</w:t>
      </w:r>
      <w:r>
        <w:rPr>
          <w:spacing w:val="-3"/>
          <w:szCs w:val="22"/>
        </w:rPr>
        <w:t>a</w:t>
      </w:r>
      <w:r>
        <w:rPr>
          <w:spacing w:val="1"/>
          <w:szCs w:val="22"/>
        </w:rPr>
        <w:t>t</w:t>
      </w:r>
      <w:r>
        <w:rPr>
          <w:szCs w:val="22"/>
        </w:rPr>
        <w:t>e</w:t>
      </w:r>
      <w:r>
        <w:rPr>
          <w:spacing w:val="-2"/>
          <w:szCs w:val="22"/>
        </w:rPr>
        <w:t xml:space="preserve"> </w:t>
      </w:r>
      <w:r>
        <w:rPr>
          <w:spacing w:val="1"/>
          <w:szCs w:val="22"/>
        </w:rPr>
        <w:t>i</w:t>
      </w:r>
      <w:r>
        <w:rPr>
          <w:spacing w:val="-3"/>
          <w:szCs w:val="22"/>
        </w:rPr>
        <w:t>n</w:t>
      </w:r>
      <w:r>
        <w:rPr>
          <w:szCs w:val="22"/>
        </w:rPr>
        <w:t>fe</w:t>
      </w:r>
      <w:r>
        <w:rPr>
          <w:spacing w:val="-3"/>
          <w:szCs w:val="22"/>
        </w:rPr>
        <w:t>c</w:t>
      </w:r>
      <w:r>
        <w:rPr>
          <w:spacing w:val="1"/>
          <w:szCs w:val="22"/>
        </w:rPr>
        <w:t>ţ</w:t>
      </w:r>
      <w:r>
        <w:rPr>
          <w:spacing w:val="-2"/>
          <w:szCs w:val="22"/>
        </w:rPr>
        <w:t>i</w:t>
      </w:r>
      <w:r>
        <w:rPr>
          <w:szCs w:val="22"/>
        </w:rPr>
        <w:t>i</w:t>
      </w:r>
      <w:r>
        <w:rPr>
          <w:spacing w:val="1"/>
          <w:szCs w:val="22"/>
        </w:rPr>
        <w:t xml:space="preserve"> </w:t>
      </w:r>
      <w:r>
        <w:rPr>
          <w:spacing w:val="-3"/>
          <w:szCs w:val="22"/>
        </w:rPr>
        <w:t>g</w:t>
      </w:r>
      <w:r>
        <w:rPr>
          <w:szCs w:val="22"/>
        </w:rPr>
        <w:t>ra</w:t>
      </w:r>
      <w:r>
        <w:rPr>
          <w:spacing w:val="-3"/>
          <w:szCs w:val="22"/>
        </w:rPr>
        <w:t>v</w:t>
      </w:r>
      <w:r>
        <w:rPr>
          <w:szCs w:val="22"/>
        </w:rPr>
        <w:t>e (</w:t>
      </w:r>
      <w:r>
        <w:rPr>
          <w:spacing w:val="1"/>
          <w:szCs w:val="22"/>
        </w:rPr>
        <w:t>i</w:t>
      </w:r>
      <w:r>
        <w:rPr>
          <w:spacing w:val="-3"/>
          <w:szCs w:val="22"/>
        </w:rPr>
        <w:t>nc</w:t>
      </w:r>
      <w:r>
        <w:rPr>
          <w:spacing w:val="1"/>
          <w:szCs w:val="22"/>
        </w:rPr>
        <w:t>l</w:t>
      </w:r>
      <w:r>
        <w:rPr>
          <w:szCs w:val="22"/>
        </w:rPr>
        <w:t>u</w:t>
      </w:r>
      <w:r>
        <w:rPr>
          <w:spacing w:val="-2"/>
          <w:szCs w:val="22"/>
        </w:rPr>
        <w:t>s</w:t>
      </w:r>
      <w:r>
        <w:rPr>
          <w:spacing w:val="1"/>
          <w:szCs w:val="22"/>
        </w:rPr>
        <w:t>i</w:t>
      </w:r>
      <w:r>
        <w:rPr>
          <w:szCs w:val="22"/>
        </w:rPr>
        <w:t>v</w:t>
      </w:r>
      <w:r>
        <w:rPr>
          <w:spacing w:val="-3"/>
          <w:szCs w:val="22"/>
        </w:rPr>
        <w:t xml:space="preserve"> </w:t>
      </w:r>
      <w:r>
        <w:rPr>
          <w:spacing w:val="1"/>
          <w:szCs w:val="22"/>
        </w:rPr>
        <w:t>i</w:t>
      </w:r>
      <w:r>
        <w:rPr>
          <w:szCs w:val="22"/>
        </w:rPr>
        <w:t>nf</w:t>
      </w:r>
      <w:r>
        <w:rPr>
          <w:spacing w:val="-3"/>
          <w:szCs w:val="22"/>
        </w:rPr>
        <w:t>e</w:t>
      </w:r>
      <w:r>
        <w:rPr>
          <w:szCs w:val="22"/>
        </w:rPr>
        <w:t>c</w:t>
      </w:r>
      <w:r>
        <w:rPr>
          <w:spacing w:val="-2"/>
          <w:szCs w:val="22"/>
        </w:rPr>
        <w:t>ţ</w:t>
      </w:r>
      <w:r>
        <w:rPr>
          <w:spacing w:val="1"/>
          <w:szCs w:val="22"/>
        </w:rPr>
        <w:t>i</w:t>
      </w:r>
      <w:r>
        <w:rPr>
          <w:szCs w:val="22"/>
        </w:rPr>
        <w:t>i</w:t>
      </w:r>
      <w:r>
        <w:rPr>
          <w:spacing w:val="-2"/>
          <w:szCs w:val="22"/>
        </w:rPr>
        <w:t xml:space="preserve"> </w:t>
      </w:r>
      <w:r>
        <w:rPr>
          <w:spacing w:val="1"/>
          <w:szCs w:val="22"/>
        </w:rPr>
        <w:t>l</w:t>
      </w:r>
      <w:r>
        <w:rPr>
          <w:spacing w:val="-3"/>
          <w:szCs w:val="22"/>
        </w:rPr>
        <w:t>e</w:t>
      </w:r>
      <w:r>
        <w:rPr>
          <w:spacing w:val="1"/>
          <w:szCs w:val="22"/>
        </w:rPr>
        <w:t>t</w:t>
      </w:r>
      <w:r>
        <w:rPr>
          <w:szCs w:val="22"/>
        </w:rPr>
        <w:t>a</w:t>
      </w:r>
      <w:r>
        <w:rPr>
          <w:spacing w:val="-2"/>
          <w:szCs w:val="22"/>
        </w:rPr>
        <w:t>l</w:t>
      </w:r>
      <w:r>
        <w:rPr>
          <w:szCs w:val="22"/>
        </w:rPr>
        <w:t>e,</w:t>
      </w:r>
      <w:r>
        <w:rPr>
          <w:spacing w:val="-1"/>
          <w:szCs w:val="22"/>
        </w:rPr>
        <w:t xml:space="preserve"> </w:t>
      </w:r>
      <w:r>
        <w:rPr>
          <w:spacing w:val="-3"/>
          <w:szCs w:val="22"/>
        </w:rPr>
        <w:t>c</w:t>
      </w:r>
      <w:r>
        <w:rPr>
          <w:szCs w:val="22"/>
        </w:rPr>
        <w:t>are</w:t>
      </w:r>
      <w:r>
        <w:rPr>
          <w:spacing w:val="-2"/>
          <w:szCs w:val="22"/>
        </w:rPr>
        <w:t xml:space="preserve"> </w:t>
      </w:r>
      <w:r>
        <w:rPr>
          <w:szCs w:val="22"/>
        </w:rPr>
        <w:t>au</w:t>
      </w:r>
      <w:r>
        <w:rPr>
          <w:spacing w:val="-3"/>
          <w:szCs w:val="22"/>
        </w:rPr>
        <w:t xml:space="preserve"> </w:t>
      </w:r>
      <w:r>
        <w:rPr>
          <w:szCs w:val="22"/>
        </w:rPr>
        <w:t>apăr</w:t>
      </w:r>
      <w:r>
        <w:rPr>
          <w:spacing w:val="-3"/>
          <w:szCs w:val="22"/>
        </w:rPr>
        <w:t>u</w:t>
      </w:r>
      <w:r>
        <w:rPr>
          <w:szCs w:val="22"/>
        </w:rPr>
        <w:t>t</w:t>
      </w:r>
      <w:r>
        <w:rPr>
          <w:spacing w:val="-2"/>
          <w:szCs w:val="22"/>
        </w:rPr>
        <w:t xml:space="preserve"> </w:t>
      </w:r>
      <w:r>
        <w:rPr>
          <w:szCs w:val="22"/>
        </w:rPr>
        <w:t>ra</w:t>
      </w:r>
      <w:r>
        <w:rPr>
          <w:spacing w:val="-2"/>
          <w:szCs w:val="22"/>
        </w:rPr>
        <w:t>r</w:t>
      </w:r>
      <w:r>
        <w:rPr>
          <w:szCs w:val="22"/>
        </w:rPr>
        <w:t xml:space="preserve">), </w:t>
      </w:r>
      <w:r>
        <w:rPr>
          <w:spacing w:val="-2"/>
          <w:szCs w:val="22"/>
        </w:rPr>
        <w:t>i</w:t>
      </w:r>
      <w:r>
        <w:rPr>
          <w:szCs w:val="22"/>
        </w:rPr>
        <w:t>nc</w:t>
      </w:r>
      <w:r>
        <w:rPr>
          <w:spacing w:val="-2"/>
          <w:szCs w:val="22"/>
        </w:rPr>
        <w:t>l</w:t>
      </w:r>
      <w:r>
        <w:rPr>
          <w:szCs w:val="22"/>
        </w:rPr>
        <w:t>u</w:t>
      </w:r>
      <w:r>
        <w:rPr>
          <w:spacing w:val="-3"/>
          <w:szCs w:val="22"/>
        </w:rPr>
        <w:t>z</w:t>
      </w:r>
      <w:r>
        <w:rPr>
          <w:szCs w:val="22"/>
        </w:rPr>
        <w:t xml:space="preserve">ând </w:t>
      </w:r>
      <w:r>
        <w:rPr>
          <w:spacing w:val="1"/>
          <w:szCs w:val="22"/>
        </w:rPr>
        <w:t>t</w:t>
      </w:r>
      <w:r>
        <w:rPr>
          <w:spacing w:val="-3"/>
          <w:szCs w:val="22"/>
        </w:rPr>
        <w:t>u</w:t>
      </w:r>
      <w:r>
        <w:rPr>
          <w:szCs w:val="22"/>
        </w:rPr>
        <w:t>be</w:t>
      </w:r>
      <w:r>
        <w:rPr>
          <w:spacing w:val="-2"/>
          <w:szCs w:val="22"/>
        </w:rPr>
        <w:t>r</w:t>
      </w:r>
      <w:r>
        <w:rPr>
          <w:szCs w:val="22"/>
        </w:rPr>
        <w:t>cu</w:t>
      </w:r>
      <w:r>
        <w:rPr>
          <w:spacing w:val="1"/>
          <w:szCs w:val="22"/>
        </w:rPr>
        <w:t>l</w:t>
      </w:r>
      <w:r>
        <w:rPr>
          <w:szCs w:val="22"/>
        </w:rPr>
        <w:t>o</w:t>
      </w:r>
      <w:r>
        <w:rPr>
          <w:spacing w:val="-3"/>
          <w:szCs w:val="22"/>
        </w:rPr>
        <w:t>z</w:t>
      </w:r>
      <w:r>
        <w:rPr>
          <w:szCs w:val="22"/>
        </w:rPr>
        <w:t xml:space="preserve">a </w:t>
      </w:r>
      <w:r>
        <w:rPr>
          <w:spacing w:val="-2"/>
          <w:szCs w:val="22"/>
        </w:rPr>
        <w:t>(</w:t>
      </w:r>
      <w:r>
        <w:rPr>
          <w:spacing w:val="1"/>
          <w:szCs w:val="22"/>
        </w:rPr>
        <w:t>i</w:t>
      </w:r>
      <w:r>
        <w:rPr>
          <w:szCs w:val="22"/>
        </w:rPr>
        <w:t>n</w:t>
      </w:r>
      <w:r>
        <w:rPr>
          <w:spacing w:val="-3"/>
          <w:szCs w:val="22"/>
        </w:rPr>
        <w:t>c</w:t>
      </w:r>
      <w:r>
        <w:rPr>
          <w:spacing w:val="1"/>
          <w:szCs w:val="22"/>
        </w:rPr>
        <w:t>l</w:t>
      </w:r>
      <w:r>
        <w:rPr>
          <w:szCs w:val="22"/>
        </w:rPr>
        <w:t>u</w:t>
      </w:r>
      <w:r>
        <w:rPr>
          <w:spacing w:val="-2"/>
          <w:szCs w:val="22"/>
        </w:rPr>
        <w:t>s</w:t>
      </w:r>
      <w:r>
        <w:rPr>
          <w:spacing w:val="1"/>
          <w:szCs w:val="22"/>
        </w:rPr>
        <w:t>i</w:t>
      </w:r>
      <w:r>
        <w:rPr>
          <w:szCs w:val="22"/>
        </w:rPr>
        <w:t xml:space="preserve">v </w:t>
      </w:r>
      <w:r>
        <w:rPr>
          <w:spacing w:val="1"/>
          <w:szCs w:val="22"/>
        </w:rPr>
        <w:t>t</w:t>
      </w:r>
      <w:r>
        <w:rPr>
          <w:szCs w:val="22"/>
        </w:rPr>
        <w:t>ub</w:t>
      </w:r>
      <w:r>
        <w:rPr>
          <w:spacing w:val="-3"/>
          <w:szCs w:val="22"/>
        </w:rPr>
        <w:t>e</w:t>
      </w:r>
      <w:r>
        <w:rPr>
          <w:szCs w:val="22"/>
        </w:rPr>
        <w:t>rc</w:t>
      </w:r>
      <w:r>
        <w:rPr>
          <w:spacing w:val="-3"/>
          <w:szCs w:val="22"/>
        </w:rPr>
        <w:t>u</w:t>
      </w:r>
      <w:r>
        <w:rPr>
          <w:spacing w:val="1"/>
          <w:szCs w:val="22"/>
        </w:rPr>
        <w:t>l</w:t>
      </w:r>
      <w:r>
        <w:rPr>
          <w:szCs w:val="22"/>
        </w:rPr>
        <w:t>o</w:t>
      </w:r>
      <w:r>
        <w:rPr>
          <w:spacing w:val="-3"/>
          <w:szCs w:val="22"/>
        </w:rPr>
        <w:t>z</w:t>
      </w:r>
      <w:r>
        <w:rPr>
          <w:szCs w:val="22"/>
        </w:rPr>
        <w:t xml:space="preserve">ă </w:t>
      </w:r>
      <w:r>
        <w:rPr>
          <w:spacing w:val="-4"/>
          <w:szCs w:val="22"/>
        </w:rPr>
        <w:t>m</w:t>
      </w:r>
      <w:r>
        <w:rPr>
          <w:spacing w:val="1"/>
          <w:szCs w:val="22"/>
        </w:rPr>
        <w:t>ili</w:t>
      </w:r>
      <w:r>
        <w:rPr>
          <w:spacing w:val="-3"/>
          <w:szCs w:val="22"/>
        </w:rPr>
        <w:t>a</w:t>
      </w:r>
      <w:r>
        <w:rPr>
          <w:szCs w:val="22"/>
        </w:rPr>
        <w:t xml:space="preserve">ră </w:t>
      </w:r>
      <w:r>
        <w:rPr>
          <w:spacing w:val="-2"/>
          <w:szCs w:val="22"/>
        </w:rPr>
        <w:t>ş</w:t>
      </w:r>
      <w:r>
        <w:rPr>
          <w:szCs w:val="22"/>
        </w:rPr>
        <w:t>i</w:t>
      </w:r>
      <w:r>
        <w:rPr>
          <w:spacing w:val="1"/>
          <w:szCs w:val="22"/>
        </w:rPr>
        <w:t xml:space="preserve"> </w:t>
      </w:r>
      <w:r>
        <w:rPr>
          <w:spacing w:val="-2"/>
          <w:szCs w:val="22"/>
        </w:rPr>
        <w:t>l</w:t>
      </w:r>
      <w:r>
        <w:rPr>
          <w:szCs w:val="22"/>
        </w:rPr>
        <w:t>oc</w:t>
      </w:r>
      <w:r>
        <w:rPr>
          <w:spacing w:val="-3"/>
          <w:szCs w:val="22"/>
        </w:rPr>
        <w:t>a</w:t>
      </w:r>
      <w:r>
        <w:rPr>
          <w:spacing w:val="1"/>
          <w:szCs w:val="22"/>
        </w:rPr>
        <w:t>l</w:t>
      </w:r>
      <w:r>
        <w:rPr>
          <w:spacing w:val="-2"/>
          <w:szCs w:val="22"/>
        </w:rPr>
        <w:t>i</w:t>
      </w:r>
      <w:r>
        <w:rPr>
          <w:spacing w:val="-3"/>
          <w:szCs w:val="22"/>
        </w:rPr>
        <w:t>z</w:t>
      </w:r>
      <w:r>
        <w:rPr>
          <w:szCs w:val="22"/>
        </w:rPr>
        <w:t>ări</w:t>
      </w:r>
      <w:r>
        <w:rPr>
          <w:spacing w:val="1"/>
          <w:szCs w:val="22"/>
        </w:rPr>
        <w:t xml:space="preserve"> </w:t>
      </w:r>
      <w:r>
        <w:rPr>
          <w:szCs w:val="22"/>
        </w:rPr>
        <w:t>e</w:t>
      </w:r>
      <w:r>
        <w:rPr>
          <w:spacing w:val="-3"/>
          <w:szCs w:val="22"/>
        </w:rPr>
        <w:t>x</w:t>
      </w:r>
      <w:r>
        <w:rPr>
          <w:spacing w:val="1"/>
          <w:szCs w:val="22"/>
        </w:rPr>
        <w:t>t</w:t>
      </w:r>
      <w:r>
        <w:rPr>
          <w:szCs w:val="22"/>
        </w:rPr>
        <w:t>r</w:t>
      </w:r>
      <w:r>
        <w:rPr>
          <w:spacing w:val="-1"/>
          <w:szCs w:val="22"/>
        </w:rPr>
        <w:t>a</w:t>
      </w:r>
      <w:r>
        <w:rPr>
          <w:spacing w:val="-4"/>
          <w:szCs w:val="22"/>
        </w:rPr>
        <w:t>-</w:t>
      </w:r>
      <w:r>
        <w:rPr>
          <w:szCs w:val="22"/>
        </w:rPr>
        <w:t>pu</w:t>
      </w:r>
      <w:r>
        <w:rPr>
          <w:spacing w:val="1"/>
          <w:szCs w:val="22"/>
        </w:rPr>
        <w:t>l</w:t>
      </w:r>
      <w:r>
        <w:rPr>
          <w:spacing w:val="-4"/>
          <w:szCs w:val="22"/>
        </w:rPr>
        <w:t>m</w:t>
      </w:r>
      <w:r>
        <w:rPr>
          <w:szCs w:val="22"/>
        </w:rPr>
        <w:t>onare)</w:t>
      </w:r>
      <w:r>
        <w:rPr>
          <w:spacing w:val="-2"/>
          <w:szCs w:val="22"/>
        </w:rPr>
        <w:t xml:space="preserve"> </w:t>
      </w:r>
      <w:r>
        <w:rPr>
          <w:szCs w:val="22"/>
        </w:rPr>
        <w:t>şi</w:t>
      </w:r>
      <w:r>
        <w:rPr>
          <w:spacing w:val="-2"/>
          <w:szCs w:val="22"/>
        </w:rPr>
        <w:t xml:space="preserve"> </w:t>
      </w:r>
      <w:r>
        <w:rPr>
          <w:spacing w:val="1"/>
          <w:szCs w:val="22"/>
        </w:rPr>
        <w:t>i</w:t>
      </w:r>
      <w:r>
        <w:rPr>
          <w:spacing w:val="-3"/>
          <w:szCs w:val="22"/>
        </w:rPr>
        <w:t>n</w:t>
      </w:r>
      <w:r>
        <w:rPr>
          <w:spacing w:val="-2"/>
          <w:szCs w:val="22"/>
        </w:rPr>
        <w:t>f</w:t>
      </w:r>
      <w:r>
        <w:rPr>
          <w:szCs w:val="22"/>
        </w:rPr>
        <w:t>ec</w:t>
      </w:r>
      <w:r>
        <w:rPr>
          <w:spacing w:val="-2"/>
          <w:szCs w:val="22"/>
        </w:rPr>
        <w:t>ţ</w:t>
      </w:r>
      <w:r>
        <w:rPr>
          <w:spacing w:val="1"/>
          <w:szCs w:val="22"/>
        </w:rPr>
        <w:t>i</w:t>
      </w:r>
      <w:r>
        <w:rPr>
          <w:szCs w:val="22"/>
        </w:rPr>
        <w:t>i</w:t>
      </w:r>
      <w:r>
        <w:rPr>
          <w:spacing w:val="1"/>
          <w:szCs w:val="22"/>
        </w:rPr>
        <w:t xml:space="preserve"> </w:t>
      </w:r>
      <w:r>
        <w:rPr>
          <w:spacing w:val="-3"/>
          <w:szCs w:val="22"/>
        </w:rPr>
        <w:t>o</w:t>
      </w:r>
      <w:r>
        <w:rPr>
          <w:szCs w:val="22"/>
        </w:rPr>
        <w:t>po</w:t>
      </w:r>
      <w:r>
        <w:rPr>
          <w:spacing w:val="-2"/>
          <w:szCs w:val="22"/>
        </w:rPr>
        <w:t>r</w:t>
      </w:r>
      <w:r>
        <w:rPr>
          <w:spacing w:val="1"/>
          <w:szCs w:val="22"/>
        </w:rPr>
        <w:t>t</w:t>
      </w:r>
      <w:r>
        <w:rPr>
          <w:szCs w:val="22"/>
        </w:rPr>
        <w:t>u</w:t>
      </w:r>
      <w:r>
        <w:rPr>
          <w:spacing w:val="-3"/>
          <w:szCs w:val="22"/>
        </w:rPr>
        <w:t>n</w:t>
      </w:r>
      <w:r>
        <w:rPr>
          <w:spacing w:val="1"/>
          <w:szCs w:val="22"/>
        </w:rPr>
        <w:t>i</w:t>
      </w:r>
      <w:r>
        <w:rPr>
          <w:szCs w:val="22"/>
        </w:rPr>
        <w:t>s</w:t>
      </w:r>
      <w:r>
        <w:rPr>
          <w:spacing w:val="-2"/>
          <w:szCs w:val="22"/>
        </w:rPr>
        <w:t>t</w:t>
      </w:r>
      <w:r>
        <w:rPr>
          <w:szCs w:val="22"/>
        </w:rPr>
        <w:t xml:space="preserve">e </w:t>
      </w:r>
      <w:r>
        <w:rPr>
          <w:spacing w:val="-2"/>
          <w:szCs w:val="22"/>
        </w:rPr>
        <w:t>i</w:t>
      </w:r>
      <w:r>
        <w:rPr>
          <w:szCs w:val="22"/>
        </w:rPr>
        <w:t>n</w:t>
      </w:r>
      <w:r>
        <w:rPr>
          <w:spacing w:val="-3"/>
          <w:szCs w:val="22"/>
        </w:rPr>
        <w:t>v</w:t>
      </w:r>
      <w:r>
        <w:rPr>
          <w:szCs w:val="22"/>
        </w:rPr>
        <w:t>a</w:t>
      </w:r>
      <w:r>
        <w:rPr>
          <w:spacing w:val="-3"/>
          <w:szCs w:val="22"/>
        </w:rPr>
        <w:t>z</w:t>
      </w:r>
      <w:r>
        <w:rPr>
          <w:spacing w:val="1"/>
          <w:szCs w:val="22"/>
        </w:rPr>
        <w:t>i</w:t>
      </w:r>
      <w:r>
        <w:rPr>
          <w:spacing w:val="-3"/>
          <w:szCs w:val="22"/>
        </w:rPr>
        <w:t>v</w:t>
      </w:r>
      <w:r>
        <w:rPr>
          <w:szCs w:val="22"/>
        </w:rPr>
        <w:t>e (de exe</w:t>
      </w:r>
      <w:r>
        <w:rPr>
          <w:spacing w:val="-4"/>
          <w:szCs w:val="22"/>
        </w:rPr>
        <w:t>m</w:t>
      </w:r>
      <w:r>
        <w:rPr>
          <w:szCs w:val="22"/>
        </w:rPr>
        <w:t>p</w:t>
      </w:r>
      <w:r>
        <w:rPr>
          <w:spacing w:val="1"/>
          <w:szCs w:val="22"/>
        </w:rPr>
        <w:t>l</w:t>
      </w:r>
      <w:r>
        <w:rPr>
          <w:szCs w:val="22"/>
        </w:rPr>
        <w:t>u h</w:t>
      </w:r>
      <w:r>
        <w:rPr>
          <w:spacing w:val="1"/>
          <w:szCs w:val="22"/>
        </w:rPr>
        <w:t>i</w:t>
      </w:r>
      <w:r>
        <w:rPr>
          <w:spacing w:val="-2"/>
          <w:szCs w:val="22"/>
        </w:rPr>
        <w:t>s</w:t>
      </w:r>
      <w:r>
        <w:rPr>
          <w:spacing w:val="1"/>
          <w:szCs w:val="22"/>
        </w:rPr>
        <w:t>t</w:t>
      </w:r>
      <w:r>
        <w:rPr>
          <w:szCs w:val="22"/>
        </w:rPr>
        <w:t>op</w:t>
      </w:r>
      <w:r>
        <w:rPr>
          <w:spacing w:val="-2"/>
          <w:szCs w:val="22"/>
        </w:rPr>
        <w:t>l</w:t>
      </w:r>
      <w:r>
        <w:rPr>
          <w:szCs w:val="22"/>
        </w:rPr>
        <w:t>as</w:t>
      </w:r>
      <w:r>
        <w:rPr>
          <w:spacing w:val="-4"/>
          <w:szCs w:val="22"/>
        </w:rPr>
        <w:t>m</w:t>
      </w:r>
      <w:r>
        <w:rPr>
          <w:szCs w:val="22"/>
        </w:rPr>
        <w:t>o</w:t>
      </w:r>
      <w:r>
        <w:rPr>
          <w:spacing w:val="-3"/>
          <w:szCs w:val="22"/>
        </w:rPr>
        <w:t>z</w:t>
      </w:r>
      <w:r>
        <w:rPr>
          <w:szCs w:val="22"/>
        </w:rPr>
        <w:t>ă d</w:t>
      </w:r>
      <w:r>
        <w:rPr>
          <w:spacing w:val="1"/>
          <w:szCs w:val="22"/>
        </w:rPr>
        <w:t>i</w:t>
      </w:r>
      <w:r>
        <w:rPr>
          <w:szCs w:val="22"/>
        </w:rPr>
        <w:t>se</w:t>
      </w:r>
      <w:r>
        <w:rPr>
          <w:spacing w:val="-4"/>
          <w:szCs w:val="22"/>
        </w:rPr>
        <w:t>m</w:t>
      </w:r>
      <w:r>
        <w:rPr>
          <w:spacing w:val="1"/>
          <w:szCs w:val="22"/>
        </w:rPr>
        <w:t>i</w:t>
      </w:r>
      <w:r>
        <w:rPr>
          <w:szCs w:val="22"/>
        </w:rPr>
        <w:t>na</w:t>
      </w:r>
      <w:r>
        <w:rPr>
          <w:spacing w:val="1"/>
          <w:szCs w:val="22"/>
        </w:rPr>
        <w:t>t</w:t>
      </w:r>
      <w:r>
        <w:rPr>
          <w:szCs w:val="22"/>
        </w:rPr>
        <w:t>ă</w:t>
      </w:r>
      <w:r>
        <w:rPr>
          <w:spacing w:val="-2"/>
          <w:szCs w:val="22"/>
        </w:rPr>
        <w:t xml:space="preserve"> s</w:t>
      </w:r>
      <w:r>
        <w:rPr>
          <w:szCs w:val="22"/>
        </w:rPr>
        <w:t>au e</w:t>
      </w:r>
      <w:r>
        <w:rPr>
          <w:spacing w:val="-3"/>
          <w:szCs w:val="22"/>
        </w:rPr>
        <w:t>x</w:t>
      </w:r>
      <w:r>
        <w:rPr>
          <w:spacing w:val="1"/>
          <w:szCs w:val="22"/>
        </w:rPr>
        <w:t>t</w:t>
      </w:r>
      <w:r>
        <w:rPr>
          <w:szCs w:val="22"/>
        </w:rPr>
        <w:t>r</w:t>
      </w:r>
      <w:r>
        <w:rPr>
          <w:spacing w:val="-3"/>
          <w:szCs w:val="22"/>
        </w:rPr>
        <w:t>a</w:t>
      </w:r>
      <w:r>
        <w:rPr>
          <w:szCs w:val="22"/>
        </w:rPr>
        <w:t>pu</w:t>
      </w:r>
      <w:r>
        <w:rPr>
          <w:spacing w:val="1"/>
          <w:szCs w:val="22"/>
        </w:rPr>
        <w:t>l</w:t>
      </w:r>
      <w:r>
        <w:rPr>
          <w:spacing w:val="-4"/>
          <w:szCs w:val="22"/>
        </w:rPr>
        <w:t>m</w:t>
      </w:r>
      <w:r>
        <w:rPr>
          <w:szCs w:val="22"/>
        </w:rPr>
        <w:t>onară,</w:t>
      </w:r>
      <w:r>
        <w:rPr>
          <w:spacing w:val="-3"/>
          <w:szCs w:val="22"/>
        </w:rPr>
        <w:t xml:space="preserve"> </w:t>
      </w:r>
      <w:r>
        <w:rPr>
          <w:szCs w:val="22"/>
        </w:rPr>
        <w:t>b</w:t>
      </w:r>
      <w:r>
        <w:rPr>
          <w:spacing w:val="1"/>
          <w:szCs w:val="22"/>
        </w:rPr>
        <w:t>l</w:t>
      </w:r>
      <w:r>
        <w:rPr>
          <w:spacing w:val="-3"/>
          <w:szCs w:val="22"/>
        </w:rPr>
        <w:t>a</w:t>
      </w:r>
      <w:r>
        <w:rPr>
          <w:szCs w:val="22"/>
        </w:rPr>
        <w:t>s</w:t>
      </w:r>
      <w:r>
        <w:rPr>
          <w:spacing w:val="1"/>
          <w:szCs w:val="22"/>
        </w:rPr>
        <w:t>t</w:t>
      </w:r>
      <w:r>
        <w:rPr>
          <w:szCs w:val="22"/>
        </w:rPr>
        <w:t>o</w:t>
      </w:r>
      <w:r>
        <w:rPr>
          <w:spacing w:val="-4"/>
          <w:szCs w:val="22"/>
        </w:rPr>
        <w:t>m</w:t>
      </w:r>
      <w:r>
        <w:rPr>
          <w:spacing w:val="1"/>
          <w:szCs w:val="22"/>
        </w:rPr>
        <w:t>i</w:t>
      </w:r>
      <w:r>
        <w:rPr>
          <w:szCs w:val="22"/>
        </w:rPr>
        <w:t>co</w:t>
      </w:r>
      <w:r>
        <w:rPr>
          <w:spacing w:val="-3"/>
          <w:szCs w:val="22"/>
        </w:rPr>
        <w:t>z</w:t>
      </w:r>
      <w:r>
        <w:rPr>
          <w:szCs w:val="22"/>
        </w:rPr>
        <w:t>ă, c</w:t>
      </w:r>
      <w:r>
        <w:rPr>
          <w:spacing w:val="-3"/>
          <w:szCs w:val="22"/>
        </w:rPr>
        <w:t>o</w:t>
      </w:r>
      <w:r>
        <w:rPr>
          <w:szCs w:val="22"/>
        </w:rPr>
        <w:t>cc</w:t>
      </w:r>
      <w:r>
        <w:rPr>
          <w:spacing w:val="-2"/>
          <w:szCs w:val="22"/>
        </w:rPr>
        <w:t>i</w:t>
      </w:r>
      <w:r>
        <w:rPr>
          <w:szCs w:val="22"/>
        </w:rPr>
        <w:t>d</w:t>
      </w:r>
      <w:r>
        <w:rPr>
          <w:spacing w:val="1"/>
          <w:szCs w:val="22"/>
        </w:rPr>
        <w:t>i</w:t>
      </w:r>
      <w:r>
        <w:rPr>
          <w:spacing w:val="-3"/>
          <w:szCs w:val="22"/>
        </w:rPr>
        <w:t>o</w:t>
      </w:r>
      <w:r>
        <w:rPr>
          <w:spacing w:val="1"/>
          <w:szCs w:val="22"/>
        </w:rPr>
        <w:t>i</w:t>
      </w:r>
      <w:r>
        <w:rPr>
          <w:szCs w:val="22"/>
        </w:rPr>
        <w:t>do</w:t>
      </w:r>
      <w:r>
        <w:rPr>
          <w:spacing w:val="-4"/>
          <w:szCs w:val="22"/>
        </w:rPr>
        <w:t>m</w:t>
      </w:r>
      <w:r>
        <w:rPr>
          <w:spacing w:val="1"/>
          <w:szCs w:val="22"/>
        </w:rPr>
        <w:t>i</w:t>
      </w:r>
      <w:r>
        <w:rPr>
          <w:szCs w:val="22"/>
        </w:rPr>
        <w:t>co</w:t>
      </w:r>
      <w:r>
        <w:rPr>
          <w:spacing w:val="-3"/>
          <w:szCs w:val="22"/>
        </w:rPr>
        <w:t>z</w:t>
      </w:r>
      <w:r>
        <w:rPr>
          <w:szCs w:val="22"/>
        </w:rPr>
        <w:t xml:space="preserve">ă, </w:t>
      </w:r>
      <w:r>
        <w:rPr>
          <w:spacing w:val="-3"/>
          <w:szCs w:val="22"/>
        </w:rPr>
        <w:t>p</w:t>
      </w:r>
      <w:r>
        <w:rPr>
          <w:szCs w:val="22"/>
        </w:rPr>
        <w:t>neu</w:t>
      </w:r>
      <w:r>
        <w:rPr>
          <w:spacing w:val="-4"/>
          <w:szCs w:val="22"/>
        </w:rPr>
        <w:t>m</w:t>
      </w:r>
      <w:r>
        <w:rPr>
          <w:szCs w:val="22"/>
        </w:rPr>
        <w:t>oc</w:t>
      </w:r>
      <w:r>
        <w:rPr>
          <w:spacing w:val="1"/>
          <w:szCs w:val="22"/>
        </w:rPr>
        <w:t>i</w:t>
      </w:r>
      <w:r>
        <w:rPr>
          <w:szCs w:val="22"/>
        </w:rPr>
        <w:t>s</w:t>
      </w:r>
      <w:r>
        <w:rPr>
          <w:spacing w:val="1"/>
          <w:szCs w:val="22"/>
        </w:rPr>
        <w:t>t</w:t>
      </w:r>
      <w:r>
        <w:rPr>
          <w:szCs w:val="22"/>
        </w:rPr>
        <w:t>o</w:t>
      </w:r>
      <w:r>
        <w:rPr>
          <w:spacing w:val="-3"/>
          <w:szCs w:val="22"/>
        </w:rPr>
        <w:t>z</w:t>
      </w:r>
      <w:r>
        <w:rPr>
          <w:szCs w:val="22"/>
        </w:rPr>
        <w:t xml:space="preserve">ă, </w:t>
      </w:r>
      <w:r>
        <w:rPr>
          <w:szCs w:val="22"/>
        </w:rPr>
        <w:lastRenderedPageBreak/>
        <w:t>cand</w:t>
      </w:r>
      <w:r>
        <w:rPr>
          <w:spacing w:val="-2"/>
          <w:szCs w:val="22"/>
        </w:rPr>
        <w:t>i</w:t>
      </w:r>
      <w:r>
        <w:rPr>
          <w:szCs w:val="22"/>
        </w:rPr>
        <w:t>do</w:t>
      </w:r>
      <w:r>
        <w:rPr>
          <w:spacing w:val="-3"/>
          <w:szCs w:val="22"/>
        </w:rPr>
        <w:t>z</w:t>
      </w:r>
      <w:r>
        <w:rPr>
          <w:szCs w:val="22"/>
        </w:rPr>
        <w:t>ă, as</w:t>
      </w:r>
      <w:r>
        <w:rPr>
          <w:spacing w:val="-3"/>
          <w:szCs w:val="22"/>
        </w:rPr>
        <w:t>p</w:t>
      </w:r>
      <w:r>
        <w:rPr>
          <w:szCs w:val="22"/>
        </w:rPr>
        <w:t>er</w:t>
      </w:r>
      <w:r>
        <w:rPr>
          <w:spacing w:val="-3"/>
          <w:szCs w:val="22"/>
        </w:rPr>
        <w:t>g</w:t>
      </w:r>
      <w:r>
        <w:rPr>
          <w:spacing w:val="1"/>
          <w:szCs w:val="22"/>
        </w:rPr>
        <w:t>i</w:t>
      </w:r>
      <w:r>
        <w:rPr>
          <w:spacing w:val="-2"/>
          <w:szCs w:val="22"/>
        </w:rPr>
        <w:t>l</w:t>
      </w:r>
      <w:r>
        <w:rPr>
          <w:szCs w:val="22"/>
        </w:rPr>
        <w:t>o</w:t>
      </w:r>
      <w:r>
        <w:rPr>
          <w:spacing w:val="-3"/>
          <w:szCs w:val="22"/>
        </w:rPr>
        <w:t>z</w:t>
      </w:r>
      <w:r>
        <w:rPr>
          <w:szCs w:val="22"/>
        </w:rPr>
        <w:t>ă şi</w:t>
      </w:r>
      <w:r>
        <w:rPr>
          <w:spacing w:val="-2"/>
          <w:szCs w:val="22"/>
        </w:rPr>
        <w:t xml:space="preserve"> </w:t>
      </w:r>
      <w:r>
        <w:rPr>
          <w:spacing w:val="1"/>
          <w:szCs w:val="22"/>
        </w:rPr>
        <w:t>l</w:t>
      </w:r>
      <w:r>
        <w:rPr>
          <w:spacing w:val="-2"/>
          <w:szCs w:val="22"/>
        </w:rPr>
        <w:t>i</w:t>
      </w:r>
      <w:r>
        <w:rPr>
          <w:szCs w:val="22"/>
        </w:rPr>
        <w:t>s</w:t>
      </w:r>
      <w:r>
        <w:rPr>
          <w:spacing w:val="1"/>
          <w:szCs w:val="22"/>
        </w:rPr>
        <w:t>t</w:t>
      </w:r>
      <w:r>
        <w:rPr>
          <w:spacing w:val="-3"/>
          <w:szCs w:val="22"/>
        </w:rPr>
        <w:t>e</w:t>
      </w:r>
      <w:r>
        <w:rPr>
          <w:szCs w:val="22"/>
        </w:rPr>
        <w:t>r</w:t>
      </w:r>
      <w:r>
        <w:rPr>
          <w:spacing w:val="1"/>
          <w:szCs w:val="22"/>
        </w:rPr>
        <w:t>i</w:t>
      </w:r>
      <w:r>
        <w:rPr>
          <w:szCs w:val="22"/>
        </w:rPr>
        <w:t>o</w:t>
      </w:r>
      <w:r>
        <w:rPr>
          <w:spacing w:val="-3"/>
          <w:szCs w:val="22"/>
        </w:rPr>
        <w:t>z</w:t>
      </w:r>
      <w:r>
        <w:rPr>
          <w:szCs w:val="22"/>
        </w:rPr>
        <w:t>ă</w:t>
      </w:r>
      <w:r>
        <w:rPr>
          <w:spacing w:val="-2"/>
          <w:szCs w:val="22"/>
        </w:rPr>
        <w:t>)</w:t>
      </w:r>
      <w:r>
        <w:rPr>
          <w:szCs w:val="22"/>
        </w:rPr>
        <w:t xml:space="preserve">. </w:t>
      </w:r>
      <w:r>
        <w:rPr>
          <w:spacing w:val="-1"/>
          <w:szCs w:val="22"/>
        </w:rPr>
        <w:t>C</w:t>
      </w:r>
      <w:r>
        <w:rPr>
          <w:szCs w:val="22"/>
        </w:rPr>
        <w:t>e</w:t>
      </w:r>
      <w:r>
        <w:rPr>
          <w:spacing w:val="-2"/>
          <w:szCs w:val="22"/>
        </w:rPr>
        <w:t>l</w:t>
      </w:r>
      <w:r>
        <w:rPr>
          <w:szCs w:val="22"/>
        </w:rPr>
        <w:t xml:space="preserve">e </w:t>
      </w:r>
      <w:r>
        <w:rPr>
          <w:spacing w:val="-4"/>
          <w:szCs w:val="22"/>
        </w:rPr>
        <w:t>m</w:t>
      </w:r>
      <w:r>
        <w:rPr>
          <w:szCs w:val="22"/>
        </w:rPr>
        <w:t>ai</w:t>
      </w:r>
      <w:r>
        <w:rPr>
          <w:spacing w:val="1"/>
          <w:szCs w:val="22"/>
        </w:rPr>
        <w:t xml:space="preserve"> </w:t>
      </w:r>
      <w:r>
        <w:rPr>
          <w:spacing w:val="-4"/>
          <w:szCs w:val="22"/>
        </w:rPr>
        <w:t>m</w:t>
      </w:r>
      <w:r>
        <w:rPr>
          <w:szCs w:val="22"/>
        </w:rPr>
        <w:t>u</w:t>
      </w:r>
      <w:r>
        <w:rPr>
          <w:spacing w:val="1"/>
          <w:szCs w:val="22"/>
        </w:rPr>
        <w:t>lt</w:t>
      </w:r>
      <w:r>
        <w:rPr>
          <w:szCs w:val="22"/>
        </w:rPr>
        <w:t xml:space="preserve">e </w:t>
      </w:r>
      <w:r>
        <w:rPr>
          <w:spacing w:val="-3"/>
          <w:szCs w:val="22"/>
        </w:rPr>
        <w:t>c</w:t>
      </w:r>
      <w:r>
        <w:rPr>
          <w:szCs w:val="22"/>
        </w:rPr>
        <w:t>a</w:t>
      </w:r>
      <w:r>
        <w:rPr>
          <w:spacing w:val="-3"/>
          <w:szCs w:val="22"/>
        </w:rPr>
        <w:t>z</w:t>
      </w:r>
      <w:r>
        <w:rPr>
          <w:szCs w:val="22"/>
        </w:rPr>
        <w:t>uri</w:t>
      </w:r>
      <w:r>
        <w:rPr>
          <w:spacing w:val="1"/>
          <w:szCs w:val="22"/>
        </w:rPr>
        <w:t xml:space="preserve"> </w:t>
      </w:r>
      <w:r>
        <w:rPr>
          <w:szCs w:val="22"/>
        </w:rPr>
        <w:t>de</w:t>
      </w:r>
      <w:r>
        <w:rPr>
          <w:spacing w:val="-2"/>
          <w:szCs w:val="22"/>
        </w:rPr>
        <w:t xml:space="preserve"> </w:t>
      </w:r>
      <w:r>
        <w:rPr>
          <w:spacing w:val="1"/>
          <w:szCs w:val="22"/>
        </w:rPr>
        <w:t>t</w:t>
      </w:r>
      <w:r>
        <w:rPr>
          <w:szCs w:val="22"/>
        </w:rPr>
        <w:t>u</w:t>
      </w:r>
      <w:r>
        <w:rPr>
          <w:spacing w:val="-3"/>
          <w:szCs w:val="22"/>
        </w:rPr>
        <w:t>b</w:t>
      </w:r>
      <w:r>
        <w:rPr>
          <w:szCs w:val="22"/>
        </w:rPr>
        <w:t>er</w:t>
      </w:r>
      <w:r>
        <w:rPr>
          <w:spacing w:val="-3"/>
          <w:szCs w:val="22"/>
        </w:rPr>
        <w:t>c</w:t>
      </w:r>
      <w:r>
        <w:rPr>
          <w:szCs w:val="22"/>
        </w:rPr>
        <w:t>u</w:t>
      </w:r>
      <w:r>
        <w:rPr>
          <w:spacing w:val="1"/>
          <w:szCs w:val="22"/>
        </w:rPr>
        <w:t>l</w:t>
      </w:r>
      <w:r>
        <w:rPr>
          <w:szCs w:val="22"/>
        </w:rPr>
        <w:t>o</w:t>
      </w:r>
      <w:r>
        <w:rPr>
          <w:spacing w:val="-3"/>
          <w:szCs w:val="22"/>
        </w:rPr>
        <w:t>z</w:t>
      </w:r>
      <w:r>
        <w:rPr>
          <w:szCs w:val="22"/>
        </w:rPr>
        <w:t>ă au</w:t>
      </w:r>
      <w:r>
        <w:rPr>
          <w:spacing w:val="-3"/>
          <w:szCs w:val="22"/>
        </w:rPr>
        <w:t xml:space="preserve"> </w:t>
      </w:r>
      <w:r>
        <w:rPr>
          <w:szCs w:val="22"/>
        </w:rPr>
        <w:t>ap</w:t>
      </w:r>
      <w:r>
        <w:rPr>
          <w:spacing w:val="-3"/>
          <w:szCs w:val="22"/>
        </w:rPr>
        <w:t>ă</w:t>
      </w:r>
      <w:r>
        <w:rPr>
          <w:szCs w:val="22"/>
        </w:rPr>
        <w:t>rut</w:t>
      </w:r>
      <w:r>
        <w:rPr>
          <w:spacing w:val="-2"/>
          <w:szCs w:val="22"/>
        </w:rPr>
        <w:t xml:space="preserve"> </w:t>
      </w:r>
      <w:r>
        <w:rPr>
          <w:spacing w:val="1"/>
          <w:szCs w:val="22"/>
        </w:rPr>
        <w:t>î</w:t>
      </w:r>
      <w:r>
        <w:rPr>
          <w:szCs w:val="22"/>
        </w:rPr>
        <w:t xml:space="preserve">n </w:t>
      </w:r>
      <w:r>
        <w:rPr>
          <w:spacing w:val="-3"/>
          <w:szCs w:val="22"/>
        </w:rPr>
        <w:t>p</w:t>
      </w:r>
      <w:r>
        <w:rPr>
          <w:szCs w:val="22"/>
        </w:rPr>
        <w:t>r</w:t>
      </w:r>
      <w:r>
        <w:rPr>
          <w:spacing w:val="1"/>
          <w:szCs w:val="22"/>
        </w:rPr>
        <w:t>i</w:t>
      </w:r>
      <w:r>
        <w:rPr>
          <w:spacing w:val="-4"/>
          <w:szCs w:val="22"/>
        </w:rPr>
        <w:t>m</w:t>
      </w:r>
      <w:r>
        <w:rPr>
          <w:szCs w:val="22"/>
        </w:rPr>
        <w:t>e</w:t>
      </w:r>
      <w:r>
        <w:rPr>
          <w:spacing w:val="1"/>
          <w:szCs w:val="22"/>
        </w:rPr>
        <w:t>l</w:t>
      </w:r>
      <w:r>
        <w:rPr>
          <w:szCs w:val="22"/>
        </w:rPr>
        <w:t>e o</w:t>
      </w:r>
      <w:r>
        <w:rPr>
          <w:spacing w:val="-3"/>
          <w:szCs w:val="22"/>
        </w:rPr>
        <w:t>p</w:t>
      </w:r>
      <w:r>
        <w:rPr>
          <w:szCs w:val="22"/>
        </w:rPr>
        <w:t xml:space="preserve">t </w:t>
      </w:r>
      <w:r>
        <w:rPr>
          <w:spacing w:val="1"/>
          <w:szCs w:val="22"/>
        </w:rPr>
        <w:t>l</w:t>
      </w:r>
      <w:r>
        <w:rPr>
          <w:szCs w:val="22"/>
        </w:rPr>
        <w:t>uni</w:t>
      </w:r>
      <w:r>
        <w:rPr>
          <w:spacing w:val="-2"/>
          <w:szCs w:val="22"/>
        </w:rPr>
        <w:t xml:space="preserve"> </w:t>
      </w:r>
      <w:r>
        <w:rPr>
          <w:szCs w:val="22"/>
        </w:rPr>
        <w:t>după</w:t>
      </w:r>
      <w:r>
        <w:rPr>
          <w:spacing w:val="-2"/>
          <w:szCs w:val="22"/>
        </w:rPr>
        <w:t xml:space="preserve"> </w:t>
      </w:r>
      <w:r>
        <w:rPr>
          <w:spacing w:val="1"/>
          <w:szCs w:val="22"/>
        </w:rPr>
        <w:t>î</w:t>
      </w:r>
      <w:r>
        <w:rPr>
          <w:szCs w:val="22"/>
        </w:rPr>
        <w:t>n</w:t>
      </w:r>
      <w:r>
        <w:rPr>
          <w:spacing w:val="-3"/>
          <w:szCs w:val="22"/>
        </w:rPr>
        <w:t>c</w:t>
      </w:r>
      <w:r>
        <w:rPr>
          <w:szCs w:val="22"/>
        </w:rPr>
        <w:t>ep</w:t>
      </w:r>
      <w:r>
        <w:rPr>
          <w:spacing w:val="-3"/>
          <w:szCs w:val="22"/>
        </w:rPr>
        <w:t>e</w:t>
      </w:r>
      <w:r>
        <w:rPr>
          <w:szCs w:val="22"/>
        </w:rPr>
        <w:t>rea</w:t>
      </w:r>
      <w:r>
        <w:rPr>
          <w:spacing w:val="-2"/>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zCs w:val="22"/>
        </w:rPr>
        <w:t>u</w:t>
      </w:r>
      <w:r>
        <w:rPr>
          <w:spacing w:val="-2"/>
          <w:szCs w:val="22"/>
        </w:rPr>
        <w:t>l</w:t>
      </w:r>
      <w:r>
        <w:rPr>
          <w:szCs w:val="22"/>
        </w:rPr>
        <w:t>ui</w:t>
      </w:r>
      <w:r>
        <w:rPr>
          <w:spacing w:val="1"/>
          <w:szCs w:val="22"/>
        </w:rPr>
        <w:t xml:space="preserve"> </w:t>
      </w:r>
      <w:r>
        <w:rPr>
          <w:spacing w:val="-2"/>
          <w:szCs w:val="22"/>
        </w:rPr>
        <w:t>ş</w:t>
      </w:r>
      <w:r>
        <w:rPr>
          <w:szCs w:val="22"/>
        </w:rPr>
        <w:t>i</w:t>
      </w:r>
      <w:r>
        <w:rPr>
          <w:spacing w:val="1"/>
          <w:szCs w:val="22"/>
        </w:rPr>
        <w:t xml:space="preserve"> </w:t>
      </w:r>
      <w:r>
        <w:rPr>
          <w:szCs w:val="22"/>
        </w:rPr>
        <w:t>p</w:t>
      </w:r>
      <w:r>
        <w:rPr>
          <w:spacing w:val="-3"/>
          <w:szCs w:val="22"/>
        </w:rPr>
        <w:t>o</w:t>
      </w:r>
      <w:r>
        <w:rPr>
          <w:szCs w:val="22"/>
        </w:rPr>
        <w:t>a</w:t>
      </w:r>
      <w:r>
        <w:rPr>
          <w:spacing w:val="-2"/>
          <w:szCs w:val="22"/>
        </w:rPr>
        <w:t>t</w:t>
      </w:r>
      <w:r>
        <w:rPr>
          <w:szCs w:val="22"/>
        </w:rPr>
        <w:t>e r</w:t>
      </w:r>
      <w:r>
        <w:rPr>
          <w:spacing w:val="-3"/>
          <w:szCs w:val="22"/>
        </w:rPr>
        <w:t>e</w:t>
      </w:r>
      <w:r>
        <w:rPr>
          <w:szCs w:val="22"/>
        </w:rPr>
        <w:t>f</w:t>
      </w:r>
      <w:r>
        <w:rPr>
          <w:spacing w:val="-2"/>
          <w:szCs w:val="22"/>
        </w:rPr>
        <w:t>l</w:t>
      </w:r>
      <w:r>
        <w:rPr>
          <w:szCs w:val="22"/>
        </w:rPr>
        <w:t>e</w:t>
      </w:r>
      <w:r>
        <w:rPr>
          <w:spacing w:val="-3"/>
          <w:szCs w:val="22"/>
        </w:rPr>
        <w:t>c</w:t>
      </w:r>
      <w:r>
        <w:rPr>
          <w:spacing w:val="1"/>
          <w:szCs w:val="22"/>
        </w:rPr>
        <w:t>t</w:t>
      </w:r>
      <w:r>
        <w:rPr>
          <w:szCs w:val="22"/>
        </w:rPr>
        <w:t xml:space="preserve">a </w:t>
      </w:r>
      <w:r>
        <w:rPr>
          <w:spacing w:val="-2"/>
          <w:szCs w:val="22"/>
        </w:rPr>
        <w:t>r</w:t>
      </w:r>
      <w:r>
        <w:rPr>
          <w:szCs w:val="22"/>
        </w:rPr>
        <w:t>e</w:t>
      </w:r>
      <w:r>
        <w:rPr>
          <w:spacing w:val="-3"/>
          <w:szCs w:val="22"/>
        </w:rPr>
        <w:t>c</w:t>
      </w:r>
      <w:r>
        <w:rPr>
          <w:spacing w:val="-2"/>
          <w:szCs w:val="22"/>
        </w:rPr>
        <w:t>r</w:t>
      </w:r>
      <w:r>
        <w:rPr>
          <w:szCs w:val="22"/>
        </w:rPr>
        <w:t>udes</w:t>
      </w:r>
      <w:r>
        <w:rPr>
          <w:spacing w:val="-3"/>
          <w:szCs w:val="22"/>
        </w:rPr>
        <w:t>c</w:t>
      </w:r>
      <w:r>
        <w:rPr>
          <w:szCs w:val="22"/>
        </w:rPr>
        <w:t>en</w:t>
      </w:r>
      <w:r>
        <w:rPr>
          <w:spacing w:val="-2"/>
          <w:szCs w:val="22"/>
        </w:rPr>
        <w:t>ţ</w:t>
      </w:r>
      <w:r>
        <w:rPr>
          <w:szCs w:val="22"/>
        </w:rPr>
        <w:t>a un</w:t>
      </w:r>
      <w:r>
        <w:rPr>
          <w:spacing w:val="-3"/>
          <w:szCs w:val="22"/>
        </w:rPr>
        <w:t>e</w:t>
      </w:r>
      <w:r>
        <w:rPr>
          <w:szCs w:val="22"/>
        </w:rPr>
        <w:t>i</w:t>
      </w:r>
      <w:r>
        <w:rPr>
          <w:spacing w:val="1"/>
          <w:szCs w:val="22"/>
        </w:rPr>
        <w:t xml:space="preserve"> </w:t>
      </w:r>
      <w:r>
        <w:rPr>
          <w:szCs w:val="22"/>
        </w:rPr>
        <w:t>b</w:t>
      </w:r>
      <w:r>
        <w:rPr>
          <w:spacing w:val="-3"/>
          <w:szCs w:val="22"/>
        </w:rPr>
        <w:t>o</w:t>
      </w:r>
      <w:r>
        <w:rPr>
          <w:spacing w:val="1"/>
          <w:szCs w:val="22"/>
        </w:rPr>
        <w:t>l</w:t>
      </w:r>
      <w:r>
        <w:rPr>
          <w:szCs w:val="22"/>
        </w:rPr>
        <w:t>i</w:t>
      </w:r>
      <w:r>
        <w:rPr>
          <w:spacing w:val="-2"/>
          <w:szCs w:val="22"/>
        </w:rPr>
        <w:t xml:space="preserve"> </w:t>
      </w:r>
      <w:r>
        <w:rPr>
          <w:spacing w:val="1"/>
          <w:szCs w:val="22"/>
        </w:rPr>
        <w:t>l</w:t>
      </w:r>
      <w:r>
        <w:rPr>
          <w:spacing w:val="-3"/>
          <w:szCs w:val="22"/>
        </w:rPr>
        <w:t>a</w:t>
      </w:r>
      <w:r>
        <w:rPr>
          <w:spacing w:val="1"/>
          <w:szCs w:val="22"/>
        </w:rPr>
        <w:t>t</w:t>
      </w:r>
      <w:r>
        <w:rPr>
          <w:szCs w:val="22"/>
        </w:rPr>
        <w:t>e</w:t>
      </w:r>
      <w:r>
        <w:rPr>
          <w:spacing w:val="-3"/>
          <w:szCs w:val="22"/>
        </w:rPr>
        <w:t>n</w:t>
      </w:r>
      <w:r>
        <w:rPr>
          <w:spacing w:val="1"/>
          <w:szCs w:val="22"/>
        </w:rPr>
        <w:t>t</w:t>
      </w:r>
      <w:r>
        <w:rPr>
          <w:szCs w:val="22"/>
        </w:rPr>
        <w:t>e.</w:t>
      </w:r>
    </w:p>
    <w:p w14:paraId="09E1A2C8" w14:textId="77777777" w:rsidR="00C04CAD" w:rsidRDefault="00C04CAD">
      <w:pPr>
        <w:autoSpaceDE w:val="0"/>
        <w:autoSpaceDN w:val="0"/>
        <w:adjustRightInd w:val="0"/>
        <w:spacing w:line="240" w:lineRule="auto"/>
        <w:jc w:val="both"/>
        <w:rPr>
          <w:szCs w:val="22"/>
        </w:rPr>
      </w:pPr>
    </w:p>
    <w:p w14:paraId="302E9651" w14:textId="77777777" w:rsidR="00C04CAD" w:rsidRDefault="00060E34">
      <w:pPr>
        <w:tabs>
          <w:tab w:val="clear" w:pos="567"/>
        </w:tabs>
        <w:kinsoku w:val="0"/>
        <w:overflowPunct w:val="0"/>
        <w:autoSpaceDE w:val="0"/>
        <w:autoSpaceDN w:val="0"/>
        <w:adjustRightInd w:val="0"/>
        <w:spacing w:line="240" w:lineRule="auto"/>
        <w:rPr>
          <w:szCs w:val="22"/>
        </w:rPr>
      </w:pPr>
      <w:r>
        <w:rPr>
          <w:i/>
          <w:spacing w:val="-1"/>
          <w:szCs w:val="22"/>
        </w:rPr>
        <w:t>A</w:t>
      </w:r>
      <w:r>
        <w:rPr>
          <w:i/>
          <w:spacing w:val="1"/>
          <w:szCs w:val="22"/>
        </w:rPr>
        <w:t>f</w:t>
      </w:r>
      <w:r>
        <w:rPr>
          <w:i/>
          <w:szCs w:val="22"/>
        </w:rPr>
        <w:t>e</w:t>
      </w:r>
      <w:r>
        <w:rPr>
          <w:i/>
          <w:spacing w:val="-3"/>
          <w:szCs w:val="22"/>
        </w:rPr>
        <w:t>c</w:t>
      </w:r>
      <w:r>
        <w:rPr>
          <w:i/>
          <w:spacing w:val="1"/>
          <w:szCs w:val="22"/>
        </w:rPr>
        <w:t>ţi</w:t>
      </w:r>
      <w:r>
        <w:rPr>
          <w:i/>
          <w:spacing w:val="-3"/>
          <w:szCs w:val="22"/>
        </w:rPr>
        <w:t>u</w:t>
      </w:r>
      <w:r>
        <w:rPr>
          <w:i/>
          <w:spacing w:val="-1"/>
          <w:szCs w:val="22"/>
        </w:rPr>
        <w:t>n</w:t>
      </w:r>
      <w:r>
        <w:rPr>
          <w:i/>
          <w:szCs w:val="22"/>
        </w:rPr>
        <w:t>i</w:t>
      </w:r>
      <w:r>
        <w:rPr>
          <w:i/>
          <w:spacing w:val="1"/>
          <w:szCs w:val="22"/>
        </w:rPr>
        <w:t xml:space="preserve"> </w:t>
      </w:r>
      <w:r>
        <w:rPr>
          <w:i/>
          <w:spacing w:val="-1"/>
          <w:szCs w:val="22"/>
        </w:rPr>
        <w:t>m</w:t>
      </w:r>
      <w:r>
        <w:rPr>
          <w:i/>
          <w:spacing w:val="-3"/>
          <w:szCs w:val="22"/>
        </w:rPr>
        <w:t>a</w:t>
      </w:r>
      <w:r>
        <w:rPr>
          <w:i/>
          <w:spacing w:val="1"/>
          <w:szCs w:val="22"/>
        </w:rPr>
        <w:t>li</w:t>
      </w:r>
      <w:r>
        <w:rPr>
          <w:i/>
          <w:szCs w:val="22"/>
        </w:rPr>
        <w:t>g</w:t>
      </w:r>
      <w:r>
        <w:rPr>
          <w:i/>
          <w:spacing w:val="-3"/>
          <w:szCs w:val="22"/>
        </w:rPr>
        <w:t>n</w:t>
      </w:r>
      <w:r>
        <w:rPr>
          <w:i/>
          <w:szCs w:val="22"/>
        </w:rPr>
        <w:t xml:space="preserve">e </w:t>
      </w:r>
      <w:r>
        <w:rPr>
          <w:i/>
          <w:spacing w:val="-2"/>
          <w:szCs w:val="22"/>
        </w:rPr>
        <w:t>ş</w:t>
      </w:r>
      <w:r>
        <w:rPr>
          <w:i/>
          <w:szCs w:val="22"/>
        </w:rPr>
        <w:t>i</w:t>
      </w:r>
      <w:r>
        <w:rPr>
          <w:i/>
          <w:spacing w:val="1"/>
          <w:szCs w:val="22"/>
        </w:rPr>
        <w:t xml:space="preserve"> </w:t>
      </w:r>
      <w:r>
        <w:rPr>
          <w:i/>
          <w:spacing w:val="-2"/>
          <w:szCs w:val="22"/>
        </w:rPr>
        <w:t>l</w:t>
      </w:r>
      <w:r>
        <w:rPr>
          <w:i/>
          <w:spacing w:val="1"/>
          <w:szCs w:val="22"/>
        </w:rPr>
        <w:t>i</w:t>
      </w:r>
      <w:r>
        <w:rPr>
          <w:i/>
          <w:spacing w:val="-1"/>
          <w:szCs w:val="22"/>
        </w:rPr>
        <w:t>m</w:t>
      </w:r>
      <w:r>
        <w:rPr>
          <w:i/>
          <w:spacing w:val="1"/>
          <w:szCs w:val="22"/>
        </w:rPr>
        <w:t>f</w:t>
      </w:r>
      <w:r>
        <w:rPr>
          <w:i/>
          <w:spacing w:val="-3"/>
          <w:szCs w:val="22"/>
        </w:rPr>
        <w:t>op</w:t>
      </w:r>
      <w:r>
        <w:rPr>
          <w:i/>
          <w:szCs w:val="22"/>
        </w:rPr>
        <w:t>ro</w:t>
      </w:r>
      <w:r>
        <w:rPr>
          <w:i/>
          <w:spacing w:val="-2"/>
          <w:szCs w:val="22"/>
        </w:rPr>
        <w:t>l</w:t>
      </w:r>
      <w:r>
        <w:rPr>
          <w:i/>
          <w:spacing w:val="1"/>
          <w:szCs w:val="22"/>
        </w:rPr>
        <w:t>if</w:t>
      </w:r>
      <w:r>
        <w:rPr>
          <w:i/>
          <w:spacing w:val="-3"/>
          <w:szCs w:val="22"/>
        </w:rPr>
        <w:t>e</w:t>
      </w:r>
      <w:r>
        <w:rPr>
          <w:i/>
          <w:szCs w:val="22"/>
        </w:rPr>
        <w:t>ra</w:t>
      </w:r>
      <w:r>
        <w:rPr>
          <w:i/>
          <w:spacing w:val="-2"/>
          <w:szCs w:val="22"/>
        </w:rPr>
        <w:t>t</w:t>
      </w:r>
      <w:r>
        <w:rPr>
          <w:i/>
          <w:spacing w:val="1"/>
          <w:szCs w:val="22"/>
        </w:rPr>
        <w:t>i</w:t>
      </w:r>
      <w:r>
        <w:rPr>
          <w:i/>
          <w:spacing w:val="-3"/>
          <w:szCs w:val="22"/>
        </w:rPr>
        <w:t>v</w:t>
      </w:r>
      <w:r>
        <w:rPr>
          <w:i/>
          <w:szCs w:val="22"/>
        </w:rPr>
        <w:t>e</w:t>
      </w:r>
    </w:p>
    <w:p w14:paraId="06497C18" w14:textId="77777777" w:rsidR="00C04CAD" w:rsidRDefault="00C04CAD">
      <w:pPr>
        <w:tabs>
          <w:tab w:val="clear" w:pos="567"/>
        </w:tabs>
        <w:kinsoku w:val="0"/>
        <w:overflowPunct w:val="0"/>
        <w:autoSpaceDE w:val="0"/>
        <w:autoSpaceDN w:val="0"/>
        <w:adjustRightInd w:val="0"/>
        <w:spacing w:line="240" w:lineRule="auto"/>
        <w:rPr>
          <w:szCs w:val="22"/>
        </w:rPr>
      </w:pPr>
    </w:p>
    <w:p w14:paraId="4C2A4FF4" w14:textId="77777777" w:rsidR="00C04CAD" w:rsidRDefault="00060E34">
      <w:pPr>
        <w:tabs>
          <w:tab w:val="clear" w:pos="567"/>
        </w:tabs>
        <w:kinsoku w:val="0"/>
        <w:overflowPunct w:val="0"/>
        <w:autoSpaceDE w:val="0"/>
        <w:autoSpaceDN w:val="0"/>
        <w:adjustRightInd w:val="0"/>
        <w:spacing w:line="240" w:lineRule="auto"/>
        <w:rPr>
          <w:szCs w:val="22"/>
        </w:rPr>
      </w:pPr>
      <w:r>
        <w:rPr>
          <w:spacing w:val="-2"/>
          <w:szCs w:val="22"/>
        </w:rPr>
        <w:t>N</w:t>
      </w:r>
      <w:r>
        <w:rPr>
          <w:szCs w:val="22"/>
        </w:rPr>
        <w:t>u s</w:t>
      </w:r>
      <w:r>
        <w:rPr>
          <w:spacing w:val="-4"/>
          <w:szCs w:val="22"/>
        </w:rPr>
        <w:t>-</w:t>
      </w:r>
      <w:r>
        <w:rPr>
          <w:szCs w:val="22"/>
        </w:rPr>
        <w:t>a obser</w:t>
      </w:r>
      <w:r>
        <w:rPr>
          <w:spacing w:val="-3"/>
          <w:szCs w:val="22"/>
        </w:rPr>
        <w:t>v</w:t>
      </w:r>
      <w:r>
        <w:rPr>
          <w:szCs w:val="22"/>
        </w:rPr>
        <w:t>at</w:t>
      </w:r>
      <w:r>
        <w:rPr>
          <w:spacing w:val="1"/>
          <w:szCs w:val="22"/>
        </w:rPr>
        <w:t xml:space="preserve"> </w:t>
      </w:r>
      <w:r>
        <w:rPr>
          <w:szCs w:val="22"/>
        </w:rPr>
        <w:t>n</w:t>
      </w:r>
      <w:r>
        <w:rPr>
          <w:spacing w:val="-2"/>
          <w:szCs w:val="22"/>
        </w:rPr>
        <w:t>i</w:t>
      </w:r>
      <w:r>
        <w:rPr>
          <w:szCs w:val="22"/>
        </w:rPr>
        <w:t>c</w:t>
      </w:r>
      <w:r>
        <w:rPr>
          <w:spacing w:val="1"/>
          <w:szCs w:val="22"/>
        </w:rPr>
        <w:t>i</w:t>
      </w:r>
      <w:r>
        <w:rPr>
          <w:szCs w:val="22"/>
        </w:rPr>
        <w:t>o</w:t>
      </w:r>
      <w:r>
        <w:rPr>
          <w:spacing w:val="-3"/>
          <w:szCs w:val="22"/>
        </w:rPr>
        <w:t xml:space="preserve"> </w:t>
      </w:r>
      <w:r>
        <w:rPr>
          <w:szCs w:val="22"/>
        </w:rPr>
        <w:t>a</w:t>
      </w:r>
      <w:r>
        <w:rPr>
          <w:spacing w:val="-2"/>
          <w:szCs w:val="22"/>
        </w:rPr>
        <w:t>f</w:t>
      </w:r>
      <w:r>
        <w:rPr>
          <w:szCs w:val="22"/>
        </w:rPr>
        <w:t>ec</w:t>
      </w:r>
      <w:r>
        <w:rPr>
          <w:spacing w:val="-2"/>
          <w:szCs w:val="22"/>
        </w:rPr>
        <w:t>ţi</w:t>
      </w:r>
      <w:r>
        <w:rPr>
          <w:szCs w:val="22"/>
        </w:rPr>
        <w:t xml:space="preserve">une </w:t>
      </w:r>
      <w:r>
        <w:rPr>
          <w:spacing w:val="-4"/>
          <w:szCs w:val="22"/>
        </w:rPr>
        <w:t>m</w:t>
      </w:r>
      <w:r>
        <w:rPr>
          <w:szCs w:val="22"/>
        </w:rPr>
        <w:t>a</w:t>
      </w:r>
      <w:r>
        <w:rPr>
          <w:spacing w:val="1"/>
          <w:szCs w:val="22"/>
        </w:rPr>
        <w:t>li</w:t>
      </w:r>
      <w:r>
        <w:rPr>
          <w:spacing w:val="-3"/>
          <w:szCs w:val="22"/>
        </w:rPr>
        <w:t>g</w:t>
      </w:r>
      <w:r>
        <w:rPr>
          <w:szCs w:val="22"/>
        </w:rPr>
        <w:t xml:space="preserve">nă </w:t>
      </w:r>
      <w:r>
        <w:rPr>
          <w:spacing w:val="1"/>
          <w:szCs w:val="22"/>
        </w:rPr>
        <w:t>î</w:t>
      </w:r>
      <w:r>
        <w:rPr>
          <w:szCs w:val="22"/>
        </w:rPr>
        <w:t>n</w:t>
      </w:r>
      <w:r>
        <w:rPr>
          <w:spacing w:val="-3"/>
          <w:szCs w:val="22"/>
        </w:rPr>
        <w:t xml:space="preserve"> </w:t>
      </w:r>
      <w:r>
        <w:rPr>
          <w:spacing w:val="1"/>
          <w:szCs w:val="22"/>
        </w:rPr>
        <w:t>ti</w:t>
      </w:r>
      <w:r>
        <w:rPr>
          <w:spacing w:val="-4"/>
          <w:szCs w:val="22"/>
        </w:rPr>
        <w:t>m</w:t>
      </w:r>
      <w:r>
        <w:rPr>
          <w:szCs w:val="22"/>
        </w:rPr>
        <w:t>pul</w:t>
      </w:r>
      <w:r>
        <w:rPr>
          <w:spacing w:val="1"/>
          <w:szCs w:val="22"/>
        </w:rPr>
        <w:t xml:space="preserve"> </w:t>
      </w:r>
      <w:r>
        <w:rPr>
          <w:spacing w:val="-2"/>
          <w:szCs w:val="22"/>
        </w:rPr>
        <w:t>s</w:t>
      </w:r>
      <w:r>
        <w:rPr>
          <w:spacing w:val="1"/>
          <w:szCs w:val="22"/>
        </w:rPr>
        <w:t>t</w:t>
      </w:r>
      <w:r>
        <w:rPr>
          <w:szCs w:val="22"/>
        </w:rPr>
        <w:t>u</w:t>
      </w:r>
      <w:r>
        <w:rPr>
          <w:spacing w:val="-3"/>
          <w:szCs w:val="22"/>
        </w:rPr>
        <w:t>d</w:t>
      </w:r>
      <w:r>
        <w:rPr>
          <w:spacing w:val="-2"/>
          <w:szCs w:val="22"/>
        </w:rPr>
        <w:t>i</w:t>
      </w:r>
      <w:r>
        <w:rPr>
          <w:spacing w:val="1"/>
          <w:szCs w:val="22"/>
        </w:rPr>
        <w:t>il</w:t>
      </w:r>
      <w:r>
        <w:rPr>
          <w:spacing w:val="-3"/>
          <w:szCs w:val="22"/>
        </w:rPr>
        <w:t>o</w:t>
      </w:r>
      <w:r>
        <w:rPr>
          <w:szCs w:val="22"/>
        </w:rPr>
        <w:t>r</w:t>
      </w:r>
      <w:r>
        <w:rPr>
          <w:spacing w:val="1"/>
          <w:szCs w:val="22"/>
        </w:rPr>
        <w:t xml:space="preserve"> </w:t>
      </w:r>
      <w:r>
        <w:rPr>
          <w:spacing w:val="-3"/>
          <w:szCs w:val="22"/>
        </w:rPr>
        <w:t>c</w:t>
      </w:r>
      <w:r>
        <w:rPr>
          <w:spacing w:val="1"/>
          <w:szCs w:val="22"/>
        </w:rPr>
        <w:t>li</w:t>
      </w:r>
      <w:r>
        <w:rPr>
          <w:spacing w:val="-3"/>
          <w:szCs w:val="22"/>
        </w:rPr>
        <w:t>n</w:t>
      </w:r>
      <w:r>
        <w:rPr>
          <w:spacing w:val="1"/>
          <w:szCs w:val="22"/>
        </w:rPr>
        <w:t>i</w:t>
      </w:r>
      <w:r>
        <w:rPr>
          <w:szCs w:val="22"/>
        </w:rPr>
        <w:t>ce</w:t>
      </w:r>
      <w:r>
        <w:rPr>
          <w:spacing w:val="-2"/>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pacing w:val="1"/>
          <w:szCs w:val="22"/>
        </w:rPr>
        <w:t>l</w:t>
      </w:r>
      <w:r>
        <w:rPr>
          <w:szCs w:val="22"/>
        </w:rPr>
        <w:t>a 2</w:t>
      </w:r>
      <w:r>
        <w:rPr>
          <w:spacing w:val="-3"/>
          <w:szCs w:val="22"/>
        </w:rPr>
        <w:t>4</w:t>
      </w:r>
      <w:r>
        <w:rPr>
          <w:szCs w:val="22"/>
        </w:rPr>
        <w:t>9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1"/>
          <w:szCs w:val="22"/>
        </w:rPr>
        <w:t xml:space="preserve"> </w:t>
      </w:r>
      <w:r>
        <w:rPr>
          <w:spacing w:val="-3"/>
          <w:szCs w:val="22"/>
        </w:rPr>
        <w:t>c</w:t>
      </w:r>
      <w:r>
        <w:rPr>
          <w:szCs w:val="22"/>
        </w:rPr>
        <w:t>op</w:t>
      </w:r>
      <w:r>
        <w:rPr>
          <w:spacing w:val="-2"/>
          <w:szCs w:val="22"/>
        </w:rPr>
        <w:t>i</w:t>
      </w:r>
      <w:r>
        <w:rPr>
          <w:szCs w:val="22"/>
        </w:rPr>
        <w:t>i</w:t>
      </w:r>
      <w:r>
        <w:rPr>
          <w:spacing w:val="1"/>
          <w:szCs w:val="22"/>
        </w:rPr>
        <w:t xml:space="preserve"> </w:t>
      </w:r>
      <w:r>
        <w:rPr>
          <w:spacing w:val="-2"/>
          <w:szCs w:val="22"/>
        </w:rPr>
        <w:t>ș</w:t>
      </w:r>
      <w:r>
        <w:rPr>
          <w:szCs w:val="22"/>
        </w:rPr>
        <w:t>i ado</w:t>
      </w:r>
      <w:r>
        <w:rPr>
          <w:spacing w:val="1"/>
          <w:szCs w:val="22"/>
        </w:rPr>
        <w:t>l</w:t>
      </w:r>
      <w:r>
        <w:rPr>
          <w:spacing w:val="-3"/>
          <w:szCs w:val="22"/>
        </w:rPr>
        <w:t>e</w:t>
      </w:r>
      <w:r>
        <w:rPr>
          <w:szCs w:val="22"/>
        </w:rPr>
        <w:t>sc</w:t>
      </w:r>
      <w:r>
        <w:rPr>
          <w:spacing w:val="-3"/>
          <w:szCs w:val="22"/>
        </w:rPr>
        <w:t>e</w:t>
      </w:r>
      <w:r>
        <w:rPr>
          <w:szCs w:val="22"/>
        </w:rPr>
        <w:t>n</w:t>
      </w:r>
      <w:r>
        <w:rPr>
          <w:spacing w:val="-2"/>
          <w:szCs w:val="22"/>
        </w:rPr>
        <w:t>ț</w:t>
      </w:r>
      <w:r>
        <w:rPr>
          <w:szCs w:val="22"/>
        </w:rPr>
        <w:t>i</w:t>
      </w:r>
      <w:r>
        <w:rPr>
          <w:spacing w:val="1"/>
          <w:szCs w:val="22"/>
        </w:rPr>
        <w:t xml:space="preserve"> </w:t>
      </w:r>
      <w:r>
        <w:rPr>
          <w:szCs w:val="22"/>
        </w:rPr>
        <w:t>cu</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it</w:t>
      </w:r>
      <w:r>
        <w:rPr>
          <w:szCs w:val="22"/>
        </w:rPr>
        <w:t>ă</w:t>
      </w:r>
      <w:r>
        <w:rPr>
          <w:spacing w:val="-2"/>
          <w:szCs w:val="22"/>
        </w:rPr>
        <w:t xml:space="preserve"> </w:t>
      </w:r>
      <w:r>
        <w:rPr>
          <w:szCs w:val="22"/>
        </w:rPr>
        <w:t>reu</w:t>
      </w:r>
      <w:r>
        <w:rPr>
          <w:spacing w:val="-4"/>
          <w:szCs w:val="22"/>
        </w:rPr>
        <w:t>m</w:t>
      </w:r>
      <w:r>
        <w:rPr>
          <w:szCs w:val="22"/>
        </w:rPr>
        <w:t>a</w:t>
      </w:r>
      <w:r>
        <w:rPr>
          <w:spacing w:val="1"/>
          <w:szCs w:val="22"/>
        </w:rPr>
        <w:t>t</w:t>
      </w:r>
      <w:r>
        <w:rPr>
          <w:szCs w:val="22"/>
        </w:rPr>
        <w:t>o</w:t>
      </w:r>
      <w:r>
        <w:rPr>
          <w:spacing w:val="1"/>
          <w:szCs w:val="22"/>
        </w:rPr>
        <w:t>i</w:t>
      </w:r>
      <w:r>
        <w:rPr>
          <w:spacing w:val="-3"/>
          <w:szCs w:val="22"/>
        </w:rPr>
        <w:t>d</w:t>
      </w:r>
      <w:r>
        <w:rPr>
          <w:szCs w:val="22"/>
        </w:rPr>
        <w:t>ă</w:t>
      </w:r>
      <w:r>
        <w:rPr>
          <w:spacing w:val="-2"/>
          <w:szCs w:val="22"/>
        </w:rPr>
        <w:t xml:space="preserve"> </w:t>
      </w:r>
      <w:r>
        <w:rPr>
          <w:spacing w:val="3"/>
          <w:szCs w:val="22"/>
        </w:rPr>
        <w:t>j</w:t>
      </w:r>
      <w:r>
        <w:rPr>
          <w:szCs w:val="22"/>
        </w:rPr>
        <w:t>u</w:t>
      </w:r>
      <w:r>
        <w:rPr>
          <w:spacing w:val="-3"/>
          <w:szCs w:val="22"/>
        </w:rPr>
        <w:t>v</w:t>
      </w:r>
      <w:r>
        <w:rPr>
          <w:szCs w:val="22"/>
        </w:rPr>
        <w:t>e</w:t>
      </w:r>
      <w:r>
        <w:rPr>
          <w:spacing w:val="-3"/>
          <w:szCs w:val="22"/>
        </w:rPr>
        <w:t>n</w:t>
      </w:r>
      <w:r>
        <w:rPr>
          <w:spacing w:val="1"/>
          <w:szCs w:val="22"/>
        </w:rPr>
        <w:t>il</w:t>
      </w:r>
      <w:r>
        <w:rPr>
          <w:szCs w:val="22"/>
        </w:rPr>
        <w:t>ă</w:t>
      </w:r>
      <w:r>
        <w:rPr>
          <w:spacing w:val="-2"/>
          <w:szCs w:val="22"/>
        </w:rPr>
        <w:t xml:space="preserve"> </w:t>
      </w:r>
      <w:r>
        <w:rPr>
          <w:spacing w:val="1"/>
          <w:szCs w:val="22"/>
        </w:rPr>
        <w:t>i</w:t>
      </w:r>
      <w:r>
        <w:rPr>
          <w:spacing w:val="-3"/>
          <w:szCs w:val="22"/>
        </w:rPr>
        <w:t>d</w:t>
      </w:r>
      <w:r>
        <w:rPr>
          <w:spacing w:val="1"/>
          <w:szCs w:val="22"/>
        </w:rPr>
        <w:t>i</w:t>
      </w:r>
      <w:r>
        <w:rPr>
          <w:szCs w:val="22"/>
        </w:rPr>
        <w:t>op</w:t>
      </w:r>
      <w:r>
        <w:rPr>
          <w:spacing w:val="-3"/>
          <w:szCs w:val="22"/>
        </w:rPr>
        <w:t>a</w:t>
      </w:r>
      <w:r>
        <w:rPr>
          <w:spacing w:val="1"/>
          <w:szCs w:val="22"/>
        </w:rPr>
        <w:t>t</w:t>
      </w:r>
      <w:r>
        <w:rPr>
          <w:spacing w:val="-2"/>
          <w:szCs w:val="22"/>
        </w:rPr>
        <w:t>i</w:t>
      </w:r>
      <w:r>
        <w:rPr>
          <w:szCs w:val="22"/>
        </w:rPr>
        <w:t>că</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it</w:t>
      </w:r>
      <w:r>
        <w:rPr>
          <w:szCs w:val="22"/>
        </w:rPr>
        <w:t>ă</w:t>
      </w:r>
      <w:r>
        <w:rPr>
          <w:spacing w:val="-3"/>
          <w:szCs w:val="22"/>
        </w:rPr>
        <w:t xml:space="preserve"> </w:t>
      </w:r>
      <w:r>
        <w:rPr>
          <w:spacing w:val="1"/>
          <w:szCs w:val="22"/>
        </w:rPr>
        <w:t>j</w:t>
      </w:r>
      <w:r>
        <w:rPr>
          <w:szCs w:val="22"/>
        </w:rPr>
        <w:t>u</w:t>
      </w:r>
      <w:r>
        <w:rPr>
          <w:spacing w:val="-3"/>
          <w:szCs w:val="22"/>
        </w:rPr>
        <w:t>v</w:t>
      </w:r>
      <w:r>
        <w:rPr>
          <w:szCs w:val="22"/>
        </w:rPr>
        <w:t>en</w:t>
      </w:r>
      <w:r>
        <w:rPr>
          <w:spacing w:val="-2"/>
          <w:szCs w:val="22"/>
        </w:rPr>
        <w:t>i</w:t>
      </w:r>
      <w:r>
        <w:rPr>
          <w:spacing w:val="1"/>
          <w:szCs w:val="22"/>
        </w:rPr>
        <w:t>l</w:t>
      </w:r>
      <w:r>
        <w:rPr>
          <w:szCs w:val="22"/>
        </w:rPr>
        <w:t>ă</w:t>
      </w:r>
      <w:r>
        <w:rPr>
          <w:spacing w:val="-2"/>
          <w:szCs w:val="22"/>
        </w:rPr>
        <w:t xml:space="preserve"> </w:t>
      </w:r>
      <w:r>
        <w:rPr>
          <w:spacing w:val="1"/>
          <w:szCs w:val="22"/>
        </w:rPr>
        <w:t>i</w:t>
      </w:r>
      <w:r>
        <w:rPr>
          <w:szCs w:val="22"/>
        </w:rPr>
        <w:t>d</w:t>
      </w:r>
      <w:r>
        <w:rPr>
          <w:spacing w:val="-2"/>
          <w:szCs w:val="22"/>
        </w:rPr>
        <w:t>i</w:t>
      </w:r>
      <w:r>
        <w:rPr>
          <w:szCs w:val="22"/>
        </w:rPr>
        <w:t>op</w:t>
      </w:r>
      <w:r>
        <w:rPr>
          <w:spacing w:val="-3"/>
          <w:szCs w:val="22"/>
        </w:rPr>
        <w:t>a</w:t>
      </w:r>
      <w:r>
        <w:rPr>
          <w:spacing w:val="1"/>
          <w:szCs w:val="22"/>
        </w:rPr>
        <w:t>ti</w:t>
      </w:r>
      <w:r>
        <w:rPr>
          <w:spacing w:val="-3"/>
          <w:szCs w:val="22"/>
        </w:rPr>
        <w:t>c</w:t>
      </w:r>
      <w:r>
        <w:rPr>
          <w:szCs w:val="22"/>
        </w:rPr>
        <w:t>ă f</w:t>
      </w:r>
      <w:r>
        <w:rPr>
          <w:spacing w:val="-3"/>
          <w:szCs w:val="22"/>
        </w:rPr>
        <w:t>o</w:t>
      </w:r>
      <w:r>
        <w:rPr>
          <w:spacing w:val="-2"/>
          <w:szCs w:val="22"/>
        </w:rPr>
        <w:t>r</w:t>
      </w:r>
      <w:r>
        <w:rPr>
          <w:spacing w:val="-4"/>
          <w:szCs w:val="22"/>
        </w:rPr>
        <w:t>m</w:t>
      </w:r>
      <w:r>
        <w:rPr>
          <w:szCs w:val="22"/>
        </w:rPr>
        <w:t>a po</w:t>
      </w:r>
      <w:r>
        <w:rPr>
          <w:spacing w:val="1"/>
          <w:szCs w:val="22"/>
        </w:rPr>
        <w:t>li</w:t>
      </w:r>
      <w:r>
        <w:rPr>
          <w:szCs w:val="22"/>
        </w:rPr>
        <w:t>a</w:t>
      </w:r>
      <w:r>
        <w:rPr>
          <w:spacing w:val="-2"/>
          <w:szCs w:val="22"/>
        </w:rPr>
        <w:t>r</w:t>
      </w:r>
      <w:r>
        <w:rPr>
          <w:spacing w:val="1"/>
          <w:szCs w:val="22"/>
        </w:rPr>
        <w:t>t</w:t>
      </w:r>
      <w:r>
        <w:rPr>
          <w:spacing w:val="-2"/>
          <w:szCs w:val="22"/>
        </w:rPr>
        <w:t>i</w:t>
      </w:r>
      <w:r>
        <w:rPr>
          <w:szCs w:val="22"/>
        </w:rPr>
        <w:t>cu</w:t>
      </w:r>
      <w:r>
        <w:rPr>
          <w:spacing w:val="-2"/>
          <w:szCs w:val="22"/>
        </w:rPr>
        <w:t>l</w:t>
      </w:r>
      <w:r>
        <w:rPr>
          <w:szCs w:val="22"/>
        </w:rPr>
        <w:t>ară</w:t>
      </w:r>
      <w:r>
        <w:rPr>
          <w:spacing w:val="-2"/>
          <w:szCs w:val="22"/>
        </w:rPr>
        <w:t xml:space="preserve"> </w:t>
      </w:r>
      <w:r>
        <w:rPr>
          <w:szCs w:val="22"/>
        </w:rPr>
        <w:t>şi ar</w:t>
      </w:r>
      <w:r>
        <w:rPr>
          <w:spacing w:val="-2"/>
          <w:szCs w:val="22"/>
        </w:rPr>
        <w:t>t</w:t>
      </w:r>
      <w:r>
        <w:rPr>
          <w:szCs w:val="22"/>
        </w:rPr>
        <w:t>r</w:t>
      </w:r>
      <w:r>
        <w:rPr>
          <w:spacing w:val="-2"/>
          <w:szCs w:val="22"/>
        </w:rPr>
        <w:t>i</w:t>
      </w:r>
      <w:r>
        <w:rPr>
          <w:spacing w:val="1"/>
          <w:szCs w:val="22"/>
        </w:rPr>
        <w:t>t</w:t>
      </w:r>
      <w:r>
        <w:rPr>
          <w:szCs w:val="22"/>
        </w:rPr>
        <w:t>ă</w:t>
      </w:r>
      <w:r>
        <w:rPr>
          <w:spacing w:val="-2"/>
          <w:szCs w:val="22"/>
        </w:rPr>
        <w:t xml:space="preserve"> </w:t>
      </w:r>
      <w:r>
        <w:rPr>
          <w:szCs w:val="22"/>
        </w:rPr>
        <w:t>aso</w:t>
      </w:r>
      <w:r>
        <w:rPr>
          <w:spacing w:val="-3"/>
          <w:szCs w:val="22"/>
        </w:rPr>
        <w:t>c</w:t>
      </w:r>
      <w:r>
        <w:rPr>
          <w:spacing w:val="1"/>
          <w:szCs w:val="22"/>
        </w:rPr>
        <w:t>i</w:t>
      </w:r>
      <w:r>
        <w:rPr>
          <w:spacing w:val="-3"/>
          <w:szCs w:val="22"/>
        </w:rPr>
        <w:t>a</w:t>
      </w:r>
      <w:r>
        <w:rPr>
          <w:spacing w:val="1"/>
          <w:szCs w:val="22"/>
        </w:rPr>
        <w:t>t</w:t>
      </w:r>
      <w:r>
        <w:rPr>
          <w:szCs w:val="22"/>
        </w:rPr>
        <w:t xml:space="preserve">ă </w:t>
      </w:r>
      <w:r>
        <w:rPr>
          <w:spacing w:val="-3"/>
          <w:szCs w:val="22"/>
        </w:rPr>
        <w:t>e</w:t>
      </w:r>
      <w:r>
        <w:rPr>
          <w:szCs w:val="22"/>
        </w:rPr>
        <w:t>n</w:t>
      </w:r>
      <w:r>
        <w:rPr>
          <w:spacing w:val="1"/>
          <w:szCs w:val="22"/>
        </w:rPr>
        <w:t>t</w:t>
      </w:r>
      <w:r>
        <w:rPr>
          <w:szCs w:val="22"/>
        </w:rPr>
        <w:t>e</w:t>
      </w:r>
      <w:r>
        <w:rPr>
          <w:spacing w:val="-3"/>
          <w:szCs w:val="22"/>
        </w:rPr>
        <w:t>z</w:t>
      </w:r>
      <w:r>
        <w:rPr>
          <w:spacing w:val="-2"/>
          <w:szCs w:val="22"/>
        </w:rPr>
        <w:t>i</w:t>
      </w:r>
      <w:r>
        <w:rPr>
          <w:spacing w:val="1"/>
          <w:szCs w:val="22"/>
        </w:rPr>
        <w:t>t</w:t>
      </w:r>
      <w:r>
        <w:rPr>
          <w:spacing w:val="-3"/>
          <w:szCs w:val="22"/>
        </w:rPr>
        <w:t>e</w:t>
      </w:r>
      <w:r>
        <w:rPr>
          <w:spacing w:val="1"/>
          <w:szCs w:val="22"/>
        </w:rPr>
        <w:t>i</w:t>
      </w:r>
      <w:r>
        <w:rPr>
          <w:szCs w:val="22"/>
        </w:rPr>
        <w:t>)</w:t>
      </w:r>
      <w:r>
        <w:rPr>
          <w:spacing w:val="-2"/>
          <w:szCs w:val="22"/>
        </w:rPr>
        <w:t xml:space="preserve"> </w:t>
      </w:r>
      <w:r>
        <w:rPr>
          <w:szCs w:val="22"/>
        </w:rPr>
        <w:t>cu</w:t>
      </w:r>
      <w:r>
        <w:rPr>
          <w:spacing w:val="-3"/>
          <w:szCs w:val="22"/>
        </w:rPr>
        <w:t xml:space="preserve"> </w:t>
      </w:r>
      <w:r>
        <w:rPr>
          <w:szCs w:val="22"/>
        </w:rPr>
        <w:t>o expu</w:t>
      </w:r>
      <w:r>
        <w:rPr>
          <w:spacing w:val="-3"/>
          <w:szCs w:val="22"/>
        </w:rPr>
        <w:t>n</w:t>
      </w:r>
      <w:r>
        <w:rPr>
          <w:szCs w:val="22"/>
        </w:rPr>
        <w:t>ere</w:t>
      </w:r>
      <w:r>
        <w:rPr>
          <w:spacing w:val="-2"/>
          <w:szCs w:val="22"/>
        </w:rPr>
        <w:t xml:space="preserve"> </w:t>
      </w:r>
      <w:r>
        <w:rPr>
          <w:szCs w:val="22"/>
        </w:rPr>
        <w:t>de 6</w:t>
      </w:r>
      <w:r>
        <w:rPr>
          <w:spacing w:val="-3"/>
          <w:szCs w:val="22"/>
        </w:rPr>
        <w:t>5</w:t>
      </w:r>
      <w:r>
        <w:rPr>
          <w:szCs w:val="22"/>
        </w:rPr>
        <w:t>5,6 a</w:t>
      </w:r>
      <w:r>
        <w:rPr>
          <w:spacing w:val="-3"/>
          <w:szCs w:val="22"/>
        </w:rPr>
        <w:t>n</w:t>
      </w:r>
      <w:r>
        <w:rPr>
          <w:spacing w:val="1"/>
          <w:szCs w:val="22"/>
        </w:rPr>
        <w:t>i</w:t>
      </w:r>
      <w:r>
        <w:rPr>
          <w:spacing w:val="-4"/>
          <w:szCs w:val="22"/>
        </w:rPr>
        <w:t>-</w:t>
      </w:r>
      <w:r>
        <w:rPr>
          <w:szCs w:val="22"/>
        </w:rPr>
        <w:t>pac</w:t>
      </w:r>
      <w:r>
        <w:rPr>
          <w:spacing w:val="1"/>
          <w:szCs w:val="22"/>
        </w:rPr>
        <w:t>i</w:t>
      </w:r>
      <w:r>
        <w:rPr>
          <w:szCs w:val="22"/>
        </w:rPr>
        <w:t>e</w:t>
      </w:r>
      <w:r>
        <w:rPr>
          <w:spacing w:val="-3"/>
          <w:szCs w:val="22"/>
        </w:rPr>
        <w:t>n</w:t>
      </w:r>
      <w:r>
        <w:rPr>
          <w:spacing w:val="1"/>
          <w:szCs w:val="22"/>
        </w:rPr>
        <w:t>ţi</w:t>
      </w:r>
      <w:r>
        <w:rPr>
          <w:szCs w:val="22"/>
        </w:rPr>
        <w:t>.</w:t>
      </w:r>
      <w:r>
        <w:rPr>
          <w:spacing w:val="-3"/>
          <w:szCs w:val="22"/>
        </w:rPr>
        <w:t xml:space="preserve"> </w:t>
      </w:r>
      <w:r>
        <w:rPr>
          <w:spacing w:val="-4"/>
          <w:szCs w:val="22"/>
        </w:rPr>
        <w:t>Î</w:t>
      </w:r>
      <w:r>
        <w:rPr>
          <w:szCs w:val="22"/>
        </w:rPr>
        <w:t>n p</w:t>
      </w:r>
      <w:r>
        <w:rPr>
          <w:spacing w:val="1"/>
          <w:szCs w:val="22"/>
        </w:rPr>
        <w:t>l</w:t>
      </w:r>
      <w:r>
        <w:rPr>
          <w:szCs w:val="22"/>
        </w:rPr>
        <w:t xml:space="preserve">us, </w:t>
      </w:r>
      <w:r>
        <w:rPr>
          <w:spacing w:val="1"/>
          <w:szCs w:val="22"/>
        </w:rPr>
        <w:t>î</w:t>
      </w:r>
      <w:r>
        <w:rPr>
          <w:szCs w:val="22"/>
        </w:rPr>
        <w:t>n</w:t>
      </w:r>
      <w:r>
        <w:rPr>
          <w:spacing w:val="-3"/>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il</w:t>
      </w:r>
      <w:r>
        <w:rPr>
          <w:szCs w:val="22"/>
        </w:rPr>
        <w:t>e</w:t>
      </w:r>
      <w:r>
        <w:rPr>
          <w:spacing w:val="-2"/>
          <w:szCs w:val="22"/>
        </w:rPr>
        <w:t xml:space="preserve"> </w:t>
      </w:r>
      <w:r>
        <w:rPr>
          <w:szCs w:val="22"/>
        </w:rPr>
        <w:t>cu</w:t>
      </w:r>
      <w:r>
        <w:rPr>
          <w:spacing w:val="-3"/>
          <w:szCs w:val="22"/>
        </w:rPr>
        <w:t xml:space="preserve"> </w:t>
      </w:r>
      <w:r>
        <w:rPr>
          <w:rFonts w:eastAsia="MS Mincho"/>
          <w:spacing w:val="-1"/>
          <w:szCs w:val="22"/>
          <w:lang w:eastAsia="en-US" w:bidi="ar-SA"/>
        </w:rPr>
        <w:t>adalimumab</w:t>
      </w:r>
      <w:r>
        <w:rPr>
          <w:szCs w:val="22"/>
        </w:rPr>
        <w:t xml:space="preserve"> </w:t>
      </w:r>
      <w:r>
        <w:rPr>
          <w:spacing w:val="1"/>
          <w:szCs w:val="22"/>
        </w:rPr>
        <w:t>l</w:t>
      </w:r>
      <w:r>
        <w:rPr>
          <w:szCs w:val="22"/>
        </w:rPr>
        <w:t xml:space="preserve">a </w:t>
      </w:r>
      <w:r>
        <w:rPr>
          <w:spacing w:val="-3"/>
          <w:szCs w:val="22"/>
        </w:rPr>
        <w:t>p</w:t>
      </w:r>
      <w:r>
        <w:rPr>
          <w:szCs w:val="22"/>
        </w:rPr>
        <w:t>ac</w:t>
      </w:r>
      <w:r>
        <w:rPr>
          <w:spacing w:val="-2"/>
          <w:szCs w:val="22"/>
        </w:rPr>
        <w:t>i</w:t>
      </w:r>
      <w:r>
        <w:rPr>
          <w:szCs w:val="22"/>
        </w:rPr>
        <w:t>en</w:t>
      </w:r>
      <w:r>
        <w:rPr>
          <w:spacing w:val="-2"/>
          <w:szCs w:val="22"/>
        </w:rPr>
        <w:t>ţ</w:t>
      </w:r>
      <w:r>
        <w:rPr>
          <w:szCs w:val="22"/>
        </w:rPr>
        <w:t>i cop</w:t>
      </w:r>
      <w:r>
        <w:rPr>
          <w:spacing w:val="-2"/>
          <w:szCs w:val="22"/>
        </w:rPr>
        <w:t>i</w:t>
      </w:r>
      <w:r>
        <w:rPr>
          <w:szCs w:val="22"/>
        </w:rPr>
        <w:t>i</w:t>
      </w:r>
      <w:r>
        <w:rPr>
          <w:spacing w:val="1"/>
          <w:szCs w:val="22"/>
        </w:rPr>
        <w:t xml:space="preserve"> </w:t>
      </w:r>
      <w:r>
        <w:rPr>
          <w:spacing w:val="-2"/>
          <w:szCs w:val="22"/>
        </w:rPr>
        <w:t>ș</w:t>
      </w:r>
      <w:r>
        <w:rPr>
          <w:szCs w:val="22"/>
        </w:rPr>
        <w:t>i</w:t>
      </w:r>
      <w:r>
        <w:rPr>
          <w:spacing w:val="1"/>
          <w:szCs w:val="22"/>
        </w:rPr>
        <w:t xml:space="preserve"> </w:t>
      </w:r>
      <w:r>
        <w:rPr>
          <w:szCs w:val="22"/>
        </w:rPr>
        <w:t>ad</w:t>
      </w:r>
      <w:r>
        <w:rPr>
          <w:spacing w:val="-3"/>
          <w:szCs w:val="22"/>
        </w:rPr>
        <w:t>o</w:t>
      </w:r>
      <w:r>
        <w:rPr>
          <w:spacing w:val="1"/>
          <w:szCs w:val="22"/>
        </w:rPr>
        <w:t>l</w:t>
      </w:r>
      <w:r>
        <w:rPr>
          <w:spacing w:val="-3"/>
          <w:szCs w:val="22"/>
        </w:rPr>
        <w:t>e</w:t>
      </w:r>
      <w:r>
        <w:rPr>
          <w:szCs w:val="22"/>
        </w:rPr>
        <w:t>sce</w:t>
      </w:r>
      <w:r>
        <w:rPr>
          <w:spacing w:val="-3"/>
          <w:szCs w:val="22"/>
        </w:rPr>
        <w:t>n</w:t>
      </w:r>
      <w:r>
        <w:rPr>
          <w:spacing w:val="1"/>
          <w:szCs w:val="22"/>
        </w:rPr>
        <w:t>ț</w:t>
      </w:r>
      <w:r>
        <w:rPr>
          <w:szCs w:val="22"/>
        </w:rPr>
        <w:t>i</w:t>
      </w:r>
      <w:r>
        <w:rPr>
          <w:spacing w:val="-2"/>
          <w:szCs w:val="22"/>
        </w:rPr>
        <w:t xml:space="preserve"> </w:t>
      </w:r>
      <w:r>
        <w:rPr>
          <w:szCs w:val="22"/>
        </w:rPr>
        <w:t>cu b</w:t>
      </w:r>
      <w:r>
        <w:rPr>
          <w:spacing w:val="-3"/>
          <w:szCs w:val="22"/>
        </w:rPr>
        <w:t>o</w:t>
      </w:r>
      <w:r>
        <w:rPr>
          <w:szCs w:val="22"/>
        </w:rPr>
        <w:t>a</w:t>
      </w:r>
      <w:r>
        <w:rPr>
          <w:spacing w:val="-2"/>
          <w:szCs w:val="22"/>
        </w:rPr>
        <w:t>l</w:t>
      </w:r>
      <w:r>
        <w:rPr>
          <w:szCs w:val="22"/>
        </w:rPr>
        <w:t xml:space="preserve">ă </w:t>
      </w:r>
      <w:r>
        <w:rPr>
          <w:spacing w:val="-1"/>
          <w:szCs w:val="22"/>
        </w:rPr>
        <w:t>C</w:t>
      </w:r>
      <w:r>
        <w:rPr>
          <w:szCs w:val="22"/>
        </w:rPr>
        <w:t>rohn,</w:t>
      </w:r>
      <w:r>
        <w:rPr>
          <w:spacing w:val="-3"/>
          <w:szCs w:val="22"/>
        </w:rPr>
        <w:t xml:space="preserve"> </w:t>
      </w:r>
      <w:r>
        <w:rPr>
          <w:szCs w:val="22"/>
        </w:rPr>
        <w:t>nu s</w:t>
      </w:r>
      <w:r>
        <w:rPr>
          <w:spacing w:val="-4"/>
          <w:szCs w:val="22"/>
        </w:rPr>
        <w:t>-</w:t>
      </w:r>
      <w:r>
        <w:rPr>
          <w:szCs w:val="22"/>
        </w:rPr>
        <w:t>a obser</w:t>
      </w:r>
      <w:r>
        <w:rPr>
          <w:spacing w:val="-3"/>
          <w:szCs w:val="22"/>
        </w:rPr>
        <w:t>v</w:t>
      </w:r>
      <w:r>
        <w:rPr>
          <w:szCs w:val="22"/>
        </w:rPr>
        <w:t>at</w:t>
      </w:r>
      <w:r>
        <w:rPr>
          <w:spacing w:val="-2"/>
          <w:szCs w:val="22"/>
        </w:rPr>
        <w:t xml:space="preserve"> </w:t>
      </w:r>
      <w:r>
        <w:rPr>
          <w:szCs w:val="22"/>
        </w:rPr>
        <w:t>n</w:t>
      </w:r>
      <w:r>
        <w:rPr>
          <w:spacing w:val="-2"/>
          <w:szCs w:val="22"/>
        </w:rPr>
        <w:t>i</w:t>
      </w:r>
      <w:r>
        <w:rPr>
          <w:szCs w:val="22"/>
        </w:rPr>
        <w:t>c</w:t>
      </w:r>
      <w:r>
        <w:rPr>
          <w:spacing w:val="1"/>
          <w:szCs w:val="22"/>
        </w:rPr>
        <w:t>i</w:t>
      </w:r>
      <w:r>
        <w:rPr>
          <w:szCs w:val="22"/>
        </w:rPr>
        <w:t xml:space="preserve">o </w:t>
      </w:r>
      <w:r>
        <w:rPr>
          <w:spacing w:val="-3"/>
          <w:szCs w:val="22"/>
        </w:rPr>
        <w:t>a</w:t>
      </w:r>
      <w:r>
        <w:rPr>
          <w:szCs w:val="22"/>
        </w:rPr>
        <w:t>fe</w:t>
      </w:r>
      <w:r>
        <w:rPr>
          <w:spacing w:val="-3"/>
          <w:szCs w:val="22"/>
        </w:rPr>
        <w:t>c</w:t>
      </w:r>
      <w:r>
        <w:rPr>
          <w:spacing w:val="-2"/>
          <w:szCs w:val="22"/>
        </w:rPr>
        <w:t>ţ</w:t>
      </w:r>
      <w:r>
        <w:rPr>
          <w:spacing w:val="1"/>
          <w:szCs w:val="22"/>
        </w:rPr>
        <w:t>i</w:t>
      </w:r>
      <w:r>
        <w:rPr>
          <w:szCs w:val="22"/>
        </w:rPr>
        <w:t xml:space="preserve">une </w:t>
      </w:r>
      <w:r>
        <w:rPr>
          <w:spacing w:val="-4"/>
          <w:szCs w:val="22"/>
        </w:rPr>
        <w:t>m</w:t>
      </w:r>
      <w:r>
        <w:rPr>
          <w:szCs w:val="22"/>
        </w:rPr>
        <w:t>a</w:t>
      </w:r>
      <w:r>
        <w:rPr>
          <w:spacing w:val="1"/>
          <w:szCs w:val="22"/>
        </w:rPr>
        <w:t>li</w:t>
      </w:r>
      <w:r>
        <w:rPr>
          <w:spacing w:val="-3"/>
          <w:szCs w:val="22"/>
        </w:rPr>
        <w:t>g</w:t>
      </w:r>
      <w:r>
        <w:rPr>
          <w:szCs w:val="22"/>
        </w:rPr>
        <w:t>nă</w:t>
      </w:r>
      <w:r>
        <w:rPr>
          <w:spacing w:val="-2"/>
          <w:szCs w:val="22"/>
        </w:rPr>
        <w:t xml:space="preserve"> </w:t>
      </w:r>
      <w:r>
        <w:rPr>
          <w:spacing w:val="1"/>
          <w:szCs w:val="22"/>
        </w:rPr>
        <w:t>l</w:t>
      </w:r>
      <w:r>
        <w:rPr>
          <w:szCs w:val="22"/>
        </w:rPr>
        <w:t>a 1</w:t>
      </w:r>
      <w:r>
        <w:rPr>
          <w:spacing w:val="-3"/>
          <w:szCs w:val="22"/>
        </w:rPr>
        <w:t>9</w:t>
      </w:r>
      <w:r>
        <w:rPr>
          <w:szCs w:val="22"/>
        </w:rPr>
        <w:t>2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1"/>
          <w:szCs w:val="22"/>
        </w:rPr>
        <w:t xml:space="preserve"> </w:t>
      </w:r>
      <w:r>
        <w:rPr>
          <w:spacing w:val="-3"/>
          <w:szCs w:val="22"/>
        </w:rPr>
        <w:t>c</w:t>
      </w:r>
      <w:r>
        <w:rPr>
          <w:szCs w:val="22"/>
        </w:rPr>
        <w:t>op</w:t>
      </w:r>
      <w:r>
        <w:rPr>
          <w:spacing w:val="-2"/>
          <w:szCs w:val="22"/>
        </w:rPr>
        <w:t>i</w:t>
      </w:r>
      <w:r>
        <w:rPr>
          <w:szCs w:val="22"/>
        </w:rPr>
        <w:t>i</w:t>
      </w:r>
      <w:r>
        <w:rPr>
          <w:spacing w:val="1"/>
          <w:szCs w:val="22"/>
        </w:rPr>
        <w:t xml:space="preserve"> </w:t>
      </w:r>
      <w:r>
        <w:rPr>
          <w:spacing w:val="-2"/>
          <w:szCs w:val="22"/>
        </w:rPr>
        <w:t>ș</w:t>
      </w:r>
      <w:r>
        <w:rPr>
          <w:szCs w:val="22"/>
        </w:rPr>
        <w:t>i ado</w:t>
      </w:r>
      <w:r>
        <w:rPr>
          <w:spacing w:val="1"/>
          <w:szCs w:val="22"/>
        </w:rPr>
        <w:t>l</w:t>
      </w:r>
      <w:r>
        <w:rPr>
          <w:spacing w:val="-3"/>
          <w:szCs w:val="22"/>
        </w:rPr>
        <w:t>e</w:t>
      </w:r>
      <w:r>
        <w:rPr>
          <w:szCs w:val="22"/>
        </w:rPr>
        <w:t>sc</w:t>
      </w:r>
      <w:r>
        <w:rPr>
          <w:spacing w:val="-3"/>
          <w:szCs w:val="22"/>
        </w:rPr>
        <w:t>e</w:t>
      </w:r>
      <w:r>
        <w:rPr>
          <w:szCs w:val="22"/>
        </w:rPr>
        <w:t>n</w:t>
      </w:r>
      <w:r>
        <w:rPr>
          <w:spacing w:val="-2"/>
          <w:szCs w:val="22"/>
        </w:rPr>
        <w:t>ț</w:t>
      </w:r>
      <w:r>
        <w:rPr>
          <w:szCs w:val="22"/>
        </w:rPr>
        <w:t>i</w:t>
      </w:r>
      <w:r>
        <w:rPr>
          <w:spacing w:val="1"/>
          <w:szCs w:val="22"/>
        </w:rPr>
        <w:t xml:space="preserve"> </w:t>
      </w:r>
      <w:r>
        <w:rPr>
          <w:szCs w:val="22"/>
        </w:rPr>
        <w:t>cu o</w:t>
      </w:r>
      <w:r>
        <w:rPr>
          <w:spacing w:val="-3"/>
          <w:szCs w:val="22"/>
        </w:rPr>
        <w:t xml:space="preserve"> </w:t>
      </w:r>
      <w:r>
        <w:rPr>
          <w:szCs w:val="22"/>
        </w:rPr>
        <w:t>expu</w:t>
      </w:r>
      <w:r>
        <w:rPr>
          <w:spacing w:val="-3"/>
          <w:szCs w:val="22"/>
        </w:rPr>
        <w:t>n</w:t>
      </w:r>
      <w:r>
        <w:rPr>
          <w:szCs w:val="22"/>
        </w:rPr>
        <w:t>e</w:t>
      </w:r>
      <w:r>
        <w:rPr>
          <w:spacing w:val="-2"/>
          <w:szCs w:val="22"/>
        </w:rPr>
        <w:t>r</w:t>
      </w:r>
      <w:r>
        <w:rPr>
          <w:szCs w:val="22"/>
        </w:rPr>
        <w:t xml:space="preserve">e </w:t>
      </w:r>
      <w:r>
        <w:rPr>
          <w:spacing w:val="-3"/>
          <w:szCs w:val="22"/>
        </w:rPr>
        <w:t>d</w:t>
      </w:r>
      <w:r>
        <w:rPr>
          <w:szCs w:val="22"/>
        </w:rPr>
        <w:t xml:space="preserve">e </w:t>
      </w:r>
      <w:r>
        <w:rPr>
          <w:rFonts w:eastAsia="MS Mincho"/>
          <w:szCs w:val="22"/>
          <w:lang w:eastAsia="en-US" w:bidi="ar-SA"/>
        </w:rPr>
        <w:t>498,1</w:t>
      </w:r>
      <w:r>
        <w:rPr>
          <w:spacing w:val="-3"/>
          <w:szCs w:val="22"/>
        </w:rPr>
        <w:t xml:space="preserve"> </w:t>
      </w:r>
      <w:r>
        <w:rPr>
          <w:szCs w:val="22"/>
        </w:rPr>
        <w:t>ani</w:t>
      </w:r>
      <w:r>
        <w:rPr>
          <w:spacing w:val="-4"/>
          <w:szCs w:val="22"/>
        </w:rPr>
        <w:t>-</w:t>
      </w:r>
      <w:r>
        <w:rPr>
          <w:szCs w:val="22"/>
        </w:rPr>
        <w:t>pac</w:t>
      </w:r>
      <w:r>
        <w:rPr>
          <w:spacing w:val="1"/>
          <w:szCs w:val="22"/>
        </w:rPr>
        <w:t>i</w:t>
      </w:r>
      <w:r>
        <w:rPr>
          <w:szCs w:val="22"/>
        </w:rPr>
        <w:t>e</w:t>
      </w:r>
      <w:r>
        <w:rPr>
          <w:spacing w:val="-3"/>
          <w:szCs w:val="22"/>
        </w:rPr>
        <w:t>n</w:t>
      </w:r>
      <w:r>
        <w:rPr>
          <w:spacing w:val="-2"/>
          <w:szCs w:val="22"/>
        </w:rPr>
        <w:t>ţ</w:t>
      </w:r>
      <w:r>
        <w:rPr>
          <w:spacing w:val="1"/>
          <w:szCs w:val="22"/>
        </w:rPr>
        <w:t>i</w:t>
      </w:r>
      <w:r>
        <w:rPr>
          <w:szCs w:val="22"/>
        </w:rPr>
        <w:t xml:space="preserve">. </w:t>
      </w:r>
      <w:r>
        <w:rPr>
          <w:spacing w:val="-4"/>
          <w:szCs w:val="22"/>
        </w:rPr>
        <w:t>Î</w:t>
      </w:r>
      <w:r>
        <w:rPr>
          <w:szCs w:val="22"/>
        </w:rPr>
        <w:t>n</w:t>
      </w:r>
      <w:r>
        <w:rPr>
          <w:spacing w:val="1"/>
          <w:szCs w:val="22"/>
        </w:rPr>
        <w:t>t</w:t>
      </w:r>
      <w:r>
        <w:rPr>
          <w:szCs w:val="22"/>
        </w:rPr>
        <w:t>r</w:t>
      </w:r>
      <w:r>
        <w:rPr>
          <w:spacing w:val="-4"/>
          <w:szCs w:val="22"/>
        </w:rPr>
        <w:t>-</w:t>
      </w:r>
      <w:r>
        <w:rPr>
          <w:spacing w:val="2"/>
          <w:szCs w:val="22"/>
        </w:rPr>
        <w:t>u</w:t>
      </w:r>
      <w:r>
        <w:rPr>
          <w:szCs w:val="22"/>
        </w:rPr>
        <w:t>n s</w:t>
      </w:r>
      <w:r>
        <w:rPr>
          <w:spacing w:val="1"/>
          <w:szCs w:val="22"/>
        </w:rPr>
        <w:t>t</w:t>
      </w:r>
      <w:r>
        <w:rPr>
          <w:szCs w:val="22"/>
        </w:rPr>
        <w:t>u</w:t>
      </w:r>
      <w:r>
        <w:rPr>
          <w:spacing w:val="-3"/>
          <w:szCs w:val="22"/>
        </w:rPr>
        <w:t>d</w:t>
      </w:r>
      <w:r>
        <w:rPr>
          <w:spacing w:val="1"/>
          <w:szCs w:val="22"/>
        </w:rPr>
        <w:t>i</w:t>
      </w:r>
      <w:r>
        <w:rPr>
          <w:szCs w:val="22"/>
        </w:rPr>
        <w:t>u</w:t>
      </w:r>
      <w:r>
        <w:rPr>
          <w:spacing w:val="-3"/>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1"/>
          <w:szCs w:val="22"/>
        </w:rPr>
        <w:t>ţ</w:t>
      </w:r>
      <w:r>
        <w:rPr>
          <w:szCs w:val="22"/>
        </w:rPr>
        <w:t>i</w:t>
      </w:r>
      <w:r>
        <w:rPr>
          <w:spacing w:val="-2"/>
          <w:szCs w:val="22"/>
        </w:rPr>
        <w:t xml:space="preserve"> </w:t>
      </w:r>
      <w:r>
        <w:rPr>
          <w:szCs w:val="22"/>
        </w:rPr>
        <w:t>cop</w:t>
      </w:r>
      <w:r>
        <w:rPr>
          <w:spacing w:val="-2"/>
          <w:szCs w:val="22"/>
        </w:rPr>
        <w:t>i</w:t>
      </w:r>
      <w:r>
        <w:rPr>
          <w:szCs w:val="22"/>
        </w:rPr>
        <w:t>i</w:t>
      </w:r>
      <w:r>
        <w:rPr>
          <w:spacing w:val="1"/>
          <w:szCs w:val="22"/>
        </w:rPr>
        <w:t xml:space="preserve"> </w:t>
      </w:r>
      <w:r>
        <w:rPr>
          <w:spacing w:val="-2"/>
          <w:szCs w:val="22"/>
        </w:rPr>
        <w:t>ș</w:t>
      </w:r>
      <w:r>
        <w:rPr>
          <w:szCs w:val="22"/>
        </w:rPr>
        <w:t>i ado</w:t>
      </w:r>
      <w:r>
        <w:rPr>
          <w:spacing w:val="1"/>
          <w:szCs w:val="22"/>
        </w:rPr>
        <w:t>l</w:t>
      </w:r>
      <w:r>
        <w:rPr>
          <w:spacing w:val="-3"/>
          <w:szCs w:val="22"/>
        </w:rPr>
        <w:t>e</w:t>
      </w:r>
      <w:r>
        <w:rPr>
          <w:szCs w:val="22"/>
        </w:rPr>
        <w:t>sc</w:t>
      </w:r>
      <w:r>
        <w:rPr>
          <w:spacing w:val="-3"/>
          <w:szCs w:val="22"/>
        </w:rPr>
        <w:t>e</w:t>
      </w:r>
      <w:r>
        <w:rPr>
          <w:szCs w:val="22"/>
        </w:rPr>
        <w:t>n</w:t>
      </w:r>
      <w:r>
        <w:rPr>
          <w:spacing w:val="-2"/>
          <w:szCs w:val="22"/>
        </w:rPr>
        <w:t>ț</w:t>
      </w:r>
      <w:r>
        <w:rPr>
          <w:szCs w:val="22"/>
        </w:rPr>
        <w:t>i</w:t>
      </w:r>
      <w:r>
        <w:rPr>
          <w:spacing w:val="1"/>
          <w:szCs w:val="22"/>
        </w:rPr>
        <w:t xml:space="preserve"> </w:t>
      </w:r>
      <w:r>
        <w:rPr>
          <w:szCs w:val="22"/>
        </w:rPr>
        <w:t xml:space="preserve">cu </w:t>
      </w:r>
      <w:r>
        <w:rPr>
          <w:spacing w:val="-3"/>
          <w:szCs w:val="22"/>
        </w:rPr>
        <w:t>p</w:t>
      </w:r>
      <w:r>
        <w:rPr>
          <w:szCs w:val="22"/>
        </w:rPr>
        <w:t>so</w:t>
      </w:r>
      <w:r>
        <w:rPr>
          <w:spacing w:val="-2"/>
          <w:szCs w:val="22"/>
        </w:rPr>
        <w:t>r</w:t>
      </w:r>
      <w:r>
        <w:rPr>
          <w:spacing w:val="1"/>
          <w:szCs w:val="22"/>
        </w:rPr>
        <w:t>i</w:t>
      </w:r>
      <w:r>
        <w:rPr>
          <w:szCs w:val="22"/>
        </w:rPr>
        <w:t>a</w:t>
      </w:r>
      <w:r>
        <w:rPr>
          <w:spacing w:val="-3"/>
          <w:szCs w:val="22"/>
        </w:rPr>
        <w:t>z</w:t>
      </w:r>
      <w:r>
        <w:rPr>
          <w:spacing w:val="1"/>
          <w:szCs w:val="22"/>
        </w:rPr>
        <w:t>i</w:t>
      </w:r>
      <w:r>
        <w:rPr>
          <w:szCs w:val="22"/>
        </w:rPr>
        <w:t>s</w:t>
      </w:r>
      <w:r>
        <w:rPr>
          <w:spacing w:val="-2"/>
          <w:szCs w:val="22"/>
        </w:rPr>
        <w:t xml:space="preserve"> </w:t>
      </w:r>
      <w:r>
        <w:rPr>
          <w:szCs w:val="22"/>
        </w:rPr>
        <w:t>cr</w:t>
      </w:r>
      <w:r>
        <w:rPr>
          <w:spacing w:val="-3"/>
          <w:szCs w:val="22"/>
        </w:rPr>
        <w:t>o</w:t>
      </w:r>
      <w:r>
        <w:rPr>
          <w:szCs w:val="22"/>
        </w:rPr>
        <w:t>n</w:t>
      </w:r>
      <w:r>
        <w:rPr>
          <w:spacing w:val="1"/>
          <w:szCs w:val="22"/>
        </w:rPr>
        <w:t>i</w:t>
      </w:r>
      <w:r>
        <w:rPr>
          <w:szCs w:val="22"/>
        </w:rPr>
        <w:t>c</w:t>
      </w:r>
      <w:r>
        <w:rPr>
          <w:spacing w:val="-2"/>
          <w:szCs w:val="22"/>
        </w:rPr>
        <w:t xml:space="preserve"> </w:t>
      </w:r>
      <w:r>
        <w:rPr>
          <w:spacing w:val="1"/>
          <w:szCs w:val="22"/>
        </w:rPr>
        <w:t>î</w:t>
      </w:r>
      <w:r>
        <w:rPr>
          <w:szCs w:val="22"/>
        </w:rPr>
        <w:t xml:space="preserve">n </w:t>
      </w:r>
      <w:r>
        <w:rPr>
          <w:spacing w:val="-3"/>
          <w:szCs w:val="22"/>
        </w:rPr>
        <w:t>p</w:t>
      </w:r>
      <w:r>
        <w:rPr>
          <w:spacing w:val="1"/>
          <w:szCs w:val="22"/>
        </w:rPr>
        <w:t>l</w:t>
      </w:r>
      <w:r>
        <w:rPr>
          <w:szCs w:val="22"/>
        </w:rPr>
        <w:t>ă</w:t>
      </w:r>
      <w:r>
        <w:rPr>
          <w:spacing w:val="-3"/>
          <w:szCs w:val="22"/>
        </w:rPr>
        <w:t>c</w:t>
      </w:r>
      <w:r>
        <w:rPr>
          <w:szCs w:val="22"/>
        </w:rPr>
        <w:t>i</w:t>
      </w:r>
      <w:r>
        <w:rPr>
          <w:spacing w:val="1"/>
          <w:szCs w:val="22"/>
        </w:rPr>
        <w:t xml:space="preserve"> </w:t>
      </w:r>
      <w:r>
        <w:rPr>
          <w:szCs w:val="22"/>
        </w:rPr>
        <w:t>nu</w:t>
      </w:r>
      <w:r>
        <w:rPr>
          <w:spacing w:val="-3"/>
          <w:szCs w:val="22"/>
        </w:rPr>
        <w:t xml:space="preserve"> </w:t>
      </w:r>
      <w:r>
        <w:rPr>
          <w:szCs w:val="22"/>
        </w:rPr>
        <w:t>s</w:t>
      </w:r>
      <w:r>
        <w:rPr>
          <w:spacing w:val="-4"/>
          <w:szCs w:val="22"/>
        </w:rPr>
        <w:t>-</w:t>
      </w:r>
      <w:r>
        <w:rPr>
          <w:szCs w:val="22"/>
        </w:rPr>
        <w:t>a obser</w:t>
      </w:r>
      <w:r>
        <w:rPr>
          <w:spacing w:val="-3"/>
          <w:szCs w:val="22"/>
        </w:rPr>
        <w:t>v</w:t>
      </w:r>
      <w:r>
        <w:rPr>
          <w:szCs w:val="22"/>
        </w:rPr>
        <w:t>at</w:t>
      </w:r>
      <w:r>
        <w:rPr>
          <w:spacing w:val="-2"/>
          <w:szCs w:val="22"/>
        </w:rPr>
        <w:t xml:space="preserve"> </w:t>
      </w:r>
      <w:r>
        <w:rPr>
          <w:szCs w:val="22"/>
        </w:rPr>
        <w:t>n</w:t>
      </w:r>
      <w:r>
        <w:rPr>
          <w:spacing w:val="1"/>
          <w:szCs w:val="22"/>
        </w:rPr>
        <w:t>i</w:t>
      </w:r>
      <w:r>
        <w:rPr>
          <w:spacing w:val="-3"/>
          <w:szCs w:val="22"/>
        </w:rPr>
        <w:t>c</w:t>
      </w:r>
      <w:r>
        <w:rPr>
          <w:spacing w:val="1"/>
          <w:szCs w:val="22"/>
        </w:rPr>
        <w:t>i</w:t>
      </w:r>
      <w:r>
        <w:rPr>
          <w:szCs w:val="22"/>
        </w:rPr>
        <w:t xml:space="preserve">o </w:t>
      </w:r>
      <w:r>
        <w:rPr>
          <w:spacing w:val="-3"/>
          <w:szCs w:val="22"/>
        </w:rPr>
        <w:t>a</w:t>
      </w:r>
      <w:r>
        <w:rPr>
          <w:szCs w:val="22"/>
        </w:rPr>
        <w:t>fe</w:t>
      </w:r>
      <w:r>
        <w:rPr>
          <w:spacing w:val="-3"/>
          <w:szCs w:val="22"/>
        </w:rPr>
        <w:t>c</w:t>
      </w:r>
      <w:r>
        <w:rPr>
          <w:spacing w:val="1"/>
          <w:szCs w:val="22"/>
        </w:rPr>
        <w:t>ţi</w:t>
      </w:r>
      <w:r>
        <w:rPr>
          <w:spacing w:val="-3"/>
          <w:szCs w:val="22"/>
        </w:rPr>
        <w:t>u</w:t>
      </w:r>
      <w:r>
        <w:rPr>
          <w:szCs w:val="22"/>
        </w:rPr>
        <w:t xml:space="preserve">ne </w:t>
      </w:r>
      <w:r>
        <w:rPr>
          <w:spacing w:val="-4"/>
          <w:szCs w:val="22"/>
        </w:rPr>
        <w:t>m</w:t>
      </w:r>
      <w:r>
        <w:rPr>
          <w:szCs w:val="22"/>
        </w:rPr>
        <w:t>a</w:t>
      </w:r>
      <w:r>
        <w:rPr>
          <w:spacing w:val="1"/>
          <w:szCs w:val="22"/>
        </w:rPr>
        <w:t>li</w:t>
      </w:r>
      <w:r>
        <w:rPr>
          <w:spacing w:val="-3"/>
          <w:szCs w:val="22"/>
        </w:rPr>
        <w:t>g</w:t>
      </w:r>
      <w:r>
        <w:rPr>
          <w:szCs w:val="22"/>
        </w:rPr>
        <w:t xml:space="preserve">nă </w:t>
      </w:r>
      <w:r>
        <w:rPr>
          <w:spacing w:val="-2"/>
          <w:szCs w:val="22"/>
        </w:rPr>
        <w:t>l</w:t>
      </w:r>
      <w:r>
        <w:rPr>
          <w:szCs w:val="22"/>
        </w:rPr>
        <w:t xml:space="preserve">a </w:t>
      </w:r>
      <w:r>
        <w:rPr>
          <w:spacing w:val="-3"/>
          <w:szCs w:val="22"/>
        </w:rPr>
        <w:t>c</w:t>
      </w:r>
      <w:r>
        <w:rPr>
          <w:szCs w:val="22"/>
        </w:rPr>
        <w:t>ei</w:t>
      </w:r>
      <w:r>
        <w:rPr>
          <w:spacing w:val="1"/>
          <w:szCs w:val="22"/>
        </w:rPr>
        <w:t xml:space="preserve"> </w:t>
      </w:r>
      <w:r>
        <w:rPr>
          <w:szCs w:val="22"/>
        </w:rPr>
        <w:t xml:space="preserve">77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ț</w:t>
      </w:r>
      <w:r>
        <w:rPr>
          <w:szCs w:val="22"/>
        </w:rPr>
        <w:t>i</w:t>
      </w:r>
      <w:r>
        <w:rPr>
          <w:spacing w:val="-2"/>
          <w:szCs w:val="22"/>
        </w:rPr>
        <w:t xml:space="preserve"> </w:t>
      </w:r>
      <w:r>
        <w:rPr>
          <w:szCs w:val="22"/>
        </w:rPr>
        <w:t>cop</w:t>
      </w:r>
      <w:r>
        <w:rPr>
          <w:spacing w:val="-2"/>
          <w:szCs w:val="22"/>
        </w:rPr>
        <w:t>i</w:t>
      </w:r>
      <w:r>
        <w:rPr>
          <w:szCs w:val="22"/>
        </w:rPr>
        <w:t>i și</w:t>
      </w:r>
      <w:r>
        <w:rPr>
          <w:spacing w:val="1"/>
          <w:szCs w:val="22"/>
        </w:rPr>
        <w:t xml:space="preserve"> </w:t>
      </w:r>
      <w:r>
        <w:rPr>
          <w:szCs w:val="22"/>
        </w:rPr>
        <w:t>a</w:t>
      </w:r>
      <w:r>
        <w:rPr>
          <w:spacing w:val="-3"/>
          <w:szCs w:val="22"/>
        </w:rPr>
        <w:t>d</w:t>
      </w:r>
      <w:r>
        <w:rPr>
          <w:szCs w:val="22"/>
        </w:rPr>
        <w:t>o</w:t>
      </w:r>
      <w:r>
        <w:rPr>
          <w:spacing w:val="1"/>
          <w:szCs w:val="22"/>
        </w:rPr>
        <w:t>l</w:t>
      </w:r>
      <w:r>
        <w:rPr>
          <w:spacing w:val="-3"/>
          <w:szCs w:val="22"/>
        </w:rPr>
        <w:t>e</w:t>
      </w:r>
      <w:r>
        <w:rPr>
          <w:szCs w:val="22"/>
        </w:rPr>
        <w:t>sc</w:t>
      </w:r>
      <w:r>
        <w:rPr>
          <w:spacing w:val="-3"/>
          <w:szCs w:val="22"/>
        </w:rPr>
        <w:t>e</w:t>
      </w:r>
      <w:r>
        <w:rPr>
          <w:szCs w:val="22"/>
        </w:rPr>
        <w:t>n</w:t>
      </w:r>
      <w:r>
        <w:rPr>
          <w:spacing w:val="-2"/>
          <w:szCs w:val="22"/>
        </w:rPr>
        <w:t>ț</w:t>
      </w:r>
      <w:r>
        <w:rPr>
          <w:szCs w:val="22"/>
        </w:rPr>
        <w:t>i</w:t>
      </w:r>
      <w:r>
        <w:rPr>
          <w:spacing w:val="1"/>
          <w:szCs w:val="22"/>
        </w:rPr>
        <w:t xml:space="preserve"> </w:t>
      </w:r>
      <w:r>
        <w:rPr>
          <w:szCs w:val="22"/>
        </w:rPr>
        <w:t>cu o</w:t>
      </w:r>
      <w:r>
        <w:rPr>
          <w:spacing w:val="-3"/>
          <w:szCs w:val="22"/>
        </w:rPr>
        <w:t xml:space="preserve"> </w:t>
      </w:r>
      <w:r>
        <w:rPr>
          <w:szCs w:val="22"/>
        </w:rPr>
        <w:t>expu</w:t>
      </w:r>
      <w:r>
        <w:rPr>
          <w:spacing w:val="-3"/>
          <w:szCs w:val="22"/>
        </w:rPr>
        <w:t>n</w:t>
      </w:r>
      <w:r>
        <w:rPr>
          <w:szCs w:val="22"/>
        </w:rPr>
        <w:t>e</w:t>
      </w:r>
      <w:r>
        <w:rPr>
          <w:spacing w:val="-2"/>
          <w:szCs w:val="22"/>
        </w:rPr>
        <w:t>r</w:t>
      </w:r>
      <w:r>
        <w:rPr>
          <w:szCs w:val="22"/>
        </w:rPr>
        <w:t>e de 80</w:t>
      </w:r>
      <w:r>
        <w:rPr>
          <w:spacing w:val="-3"/>
          <w:szCs w:val="22"/>
        </w:rPr>
        <w:t>,</w:t>
      </w:r>
      <w:r>
        <w:rPr>
          <w:szCs w:val="22"/>
        </w:rPr>
        <w:t>0 a</w:t>
      </w:r>
      <w:r>
        <w:rPr>
          <w:spacing w:val="-3"/>
          <w:szCs w:val="22"/>
        </w:rPr>
        <w:t>n</w:t>
      </w:r>
      <w:r>
        <w:rPr>
          <w:szCs w:val="22"/>
        </w:rPr>
        <w:t>i</w:t>
      </w:r>
      <w:r>
        <w:rPr>
          <w:spacing w:val="-4"/>
          <w:szCs w:val="22"/>
        </w:rPr>
        <w:t>-</w:t>
      </w:r>
      <w:r>
        <w:rPr>
          <w:szCs w:val="22"/>
        </w:rPr>
        <w:t>pac</w:t>
      </w:r>
      <w:r>
        <w:rPr>
          <w:spacing w:val="1"/>
          <w:szCs w:val="22"/>
        </w:rPr>
        <w:t>i</w:t>
      </w:r>
      <w:r>
        <w:rPr>
          <w:szCs w:val="22"/>
        </w:rPr>
        <w:t>en</w:t>
      </w:r>
      <w:r>
        <w:rPr>
          <w:spacing w:val="-2"/>
          <w:szCs w:val="22"/>
        </w:rPr>
        <w:t>ț</w:t>
      </w:r>
      <w:r>
        <w:rPr>
          <w:spacing w:val="1"/>
          <w:szCs w:val="22"/>
        </w:rPr>
        <w:t>i</w:t>
      </w:r>
      <w:r>
        <w:rPr>
          <w:szCs w:val="22"/>
        </w:rPr>
        <w:t>.</w:t>
      </w:r>
      <w:r>
        <w:t xml:space="preserve"> </w:t>
      </w:r>
      <w:r>
        <w:rPr>
          <w:szCs w:val="22"/>
        </w:rPr>
        <w:t xml:space="preserve">Nu s-a observat nicio afecțiune malignă la 93 de pacienți copii și adolescenți cu o expunere de 65,3 ani-pacient în timpul unui studiu clinic cu adalimumab la pacienți copii și adolescenți cu colită ulcerativă. </w:t>
      </w:r>
      <w:r>
        <w:rPr>
          <w:spacing w:val="-4"/>
          <w:szCs w:val="22"/>
        </w:rPr>
        <w:t>Î</w:t>
      </w:r>
      <w:r>
        <w:rPr>
          <w:szCs w:val="22"/>
        </w:rPr>
        <w:t>n</w:t>
      </w:r>
      <w:r>
        <w:rPr>
          <w:spacing w:val="1"/>
          <w:szCs w:val="22"/>
        </w:rPr>
        <w:t xml:space="preserve"> </w:t>
      </w:r>
      <w:r>
        <w:rPr>
          <w:szCs w:val="22"/>
        </w:rPr>
        <w:t>timpul unui s</w:t>
      </w:r>
      <w:r>
        <w:rPr>
          <w:spacing w:val="1"/>
          <w:szCs w:val="22"/>
        </w:rPr>
        <w:t>t</w:t>
      </w:r>
      <w:r>
        <w:rPr>
          <w:szCs w:val="22"/>
        </w:rPr>
        <w:t>u</w:t>
      </w:r>
      <w:r>
        <w:rPr>
          <w:spacing w:val="-3"/>
          <w:szCs w:val="22"/>
        </w:rPr>
        <w:t>d</w:t>
      </w:r>
      <w:r>
        <w:rPr>
          <w:spacing w:val="1"/>
          <w:szCs w:val="22"/>
        </w:rPr>
        <w:t>i</w:t>
      </w:r>
      <w:r>
        <w:rPr>
          <w:szCs w:val="22"/>
        </w:rPr>
        <w:t>u</w:t>
      </w:r>
      <w:r>
        <w:rPr>
          <w:spacing w:val="-3"/>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1"/>
          <w:szCs w:val="22"/>
        </w:rPr>
        <w:t>ţ</w:t>
      </w:r>
      <w:r>
        <w:rPr>
          <w:szCs w:val="22"/>
        </w:rPr>
        <w:t>i</w:t>
      </w:r>
      <w:r>
        <w:rPr>
          <w:spacing w:val="-2"/>
          <w:szCs w:val="22"/>
        </w:rPr>
        <w:t xml:space="preserve"> </w:t>
      </w:r>
      <w:r>
        <w:rPr>
          <w:szCs w:val="22"/>
        </w:rPr>
        <w:t>pediatrici</w:t>
      </w:r>
      <w:r>
        <w:rPr>
          <w:spacing w:val="1"/>
          <w:szCs w:val="22"/>
        </w:rPr>
        <w:t xml:space="preserve"> </w:t>
      </w:r>
      <w:r>
        <w:rPr>
          <w:szCs w:val="22"/>
        </w:rPr>
        <w:t>cu uveită, la un număr de 60 pacienți pediatrici cu o expunere de 58,4 ani-pacienți nu s-a constatat nicio afecțiune malignă.</w:t>
      </w:r>
    </w:p>
    <w:p w14:paraId="0E4A1611" w14:textId="77777777" w:rsidR="00C04CAD" w:rsidRDefault="00C04CAD">
      <w:pPr>
        <w:tabs>
          <w:tab w:val="clear" w:pos="567"/>
        </w:tabs>
        <w:kinsoku w:val="0"/>
        <w:overflowPunct w:val="0"/>
        <w:autoSpaceDE w:val="0"/>
        <w:autoSpaceDN w:val="0"/>
        <w:adjustRightInd w:val="0"/>
        <w:spacing w:line="240" w:lineRule="auto"/>
        <w:rPr>
          <w:szCs w:val="22"/>
        </w:rPr>
      </w:pPr>
    </w:p>
    <w:p w14:paraId="4B3D3629"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P</w:t>
      </w:r>
      <w:r>
        <w:rPr>
          <w:szCs w:val="22"/>
        </w:rPr>
        <w:t>e pa</w:t>
      </w:r>
      <w:r>
        <w:rPr>
          <w:spacing w:val="-2"/>
          <w:szCs w:val="22"/>
        </w:rPr>
        <w:t>r</w:t>
      </w:r>
      <w:r>
        <w:rPr>
          <w:szCs w:val="22"/>
        </w:rPr>
        <w:t>cu</w:t>
      </w:r>
      <w:r>
        <w:rPr>
          <w:spacing w:val="-2"/>
          <w:szCs w:val="22"/>
        </w:rPr>
        <w:t>r</w:t>
      </w:r>
      <w:r>
        <w:rPr>
          <w:szCs w:val="22"/>
        </w:rPr>
        <w:t>sul</w:t>
      </w:r>
      <w:r>
        <w:rPr>
          <w:spacing w:val="-2"/>
          <w:szCs w:val="22"/>
        </w:rPr>
        <w:t xml:space="preserve"> </w:t>
      </w:r>
      <w:r>
        <w:rPr>
          <w:szCs w:val="22"/>
        </w:rPr>
        <w:t>e</w:t>
      </w:r>
      <w:r>
        <w:rPr>
          <w:spacing w:val="-2"/>
          <w:szCs w:val="22"/>
        </w:rPr>
        <w:t>t</w:t>
      </w:r>
      <w:r>
        <w:rPr>
          <w:szCs w:val="22"/>
        </w:rPr>
        <w:t>ap</w:t>
      </w:r>
      <w:r>
        <w:rPr>
          <w:spacing w:val="-3"/>
          <w:szCs w:val="22"/>
        </w:rPr>
        <w:t>e</w:t>
      </w:r>
      <w:r>
        <w:rPr>
          <w:spacing w:val="1"/>
          <w:szCs w:val="22"/>
        </w:rPr>
        <w:t>l</w:t>
      </w:r>
      <w:r>
        <w:rPr>
          <w:szCs w:val="22"/>
        </w:rPr>
        <w:t>or</w:t>
      </w:r>
      <w:r>
        <w:rPr>
          <w:spacing w:val="-2"/>
          <w:szCs w:val="22"/>
        </w:rPr>
        <w:t xml:space="preserve"> </w:t>
      </w:r>
      <w:r>
        <w:rPr>
          <w:szCs w:val="22"/>
        </w:rPr>
        <w:t>con</w:t>
      </w:r>
      <w:r>
        <w:rPr>
          <w:spacing w:val="-2"/>
          <w:szCs w:val="22"/>
        </w:rPr>
        <w:t>tr</w:t>
      </w:r>
      <w:r>
        <w:rPr>
          <w:szCs w:val="22"/>
        </w:rPr>
        <w:t>o</w:t>
      </w:r>
      <w:r>
        <w:rPr>
          <w:spacing w:val="1"/>
          <w:szCs w:val="22"/>
        </w:rPr>
        <w:t>l</w:t>
      </w:r>
      <w:r>
        <w:rPr>
          <w:spacing w:val="-3"/>
          <w:szCs w:val="22"/>
        </w:rPr>
        <w:t>a</w:t>
      </w:r>
      <w:r>
        <w:rPr>
          <w:spacing w:val="1"/>
          <w:szCs w:val="22"/>
        </w:rPr>
        <w:t>t</w:t>
      </w:r>
      <w:r>
        <w:rPr>
          <w:szCs w:val="22"/>
        </w:rPr>
        <w:t xml:space="preserve">e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 xml:space="preserve">e </w:t>
      </w:r>
      <w:r>
        <w:rPr>
          <w:spacing w:val="-3"/>
          <w:szCs w:val="22"/>
        </w:rPr>
        <w:t>p</w:t>
      </w:r>
      <w:r>
        <w:rPr>
          <w:spacing w:val="1"/>
          <w:szCs w:val="22"/>
        </w:rPr>
        <w:t>i</w:t>
      </w:r>
      <w:r>
        <w:rPr>
          <w:spacing w:val="-3"/>
          <w:szCs w:val="22"/>
        </w:rPr>
        <w:t>v</w:t>
      </w:r>
      <w:r>
        <w:rPr>
          <w:szCs w:val="22"/>
        </w:rPr>
        <w:t>ot</w:t>
      </w:r>
      <w:r>
        <w:rPr>
          <w:spacing w:val="1"/>
          <w:szCs w:val="22"/>
        </w:rPr>
        <w:t xml:space="preserve"> </w:t>
      </w:r>
      <w:r>
        <w:rPr>
          <w:szCs w:val="22"/>
        </w:rPr>
        <w:t xml:space="preserve">cu </w:t>
      </w:r>
      <w:r>
        <w:rPr>
          <w:rFonts w:eastAsia="MS Mincho"/>
          <w:spacing w:val="-1"/>
          <w:szCs w:val="22"/>
          <w:lang w:eastAsia="en-US" w:bidi="ar-SA"/>
        </w:rPr>
        <w:t>adalimumab</w:t>
      </w:r>
      <w:r>
        <w:rPr>
          <w:rFonts w:eastAsia="MS Mincho"/>
          <w:spacing w:val="-2"/>
          <w:szCs w:val="22"/>
          <w:lang w:eastAsia="en-US" w:bidi="ar-SA"/>
        </w:rPr>
        <w:t xml:space="preserve"> </w:t>
      </w:r>
      <w:r>
        <w:rPr>
          <w:rFonts w:eastAsia="MS Mincho"/>
          <w:szCs w:val="22"/>
          <w:lang w:eastAsia="en-US" w:bidi="ar-SA"/>
        </w:rPr>
        <w:t>cu</w:t>
      </w:r>
      <w:r>
        <w:rPr>
          <w:rFonts w:eastAsia="MS Mincho"/>
          <w:spacing w:val="-3"/>
          <w:szCs w:val="22"/>
          <w:lang w:eastAsia="en-US" w:bidi="ar-SA"/>
        </w:rPr>
        <w:t xml:space="preserve"> </w:t>
      </w:r>
      <w:r>
        <w:rPr>
          <w:rFonts w:eastAsia="MS Mincho"/>
          <w:szCs w:val="22"/>
          <w:lang w:eastAsia="en-US" w:bidi="ar-SA"/>
        </w:rPr>
        <w:t>o dur</w:t>
      </w:r>
      <w:r>
        <w:rPr>
          <w:rFonts w:eastAsia="MS Mincho"/>
          <w:spacing w:val="-3"/>
          <w:szCs w:val="22"/>
          <w:lang w:eastAsia="en-US" w:bidi="ar-SA"/>
        </w:rPr>
        <w:t>a</w:t>
      </w:r>
      <w:r>
        <w:rPr>
          <w:rFonts w:eastAsia="MS Mincho"/>
          <w:spacing w:val="1"/>
          <w:szCs w:val="22"/>
          <w:lang w:eastAsia="en-US" w:bidi="ar-SA"/>
        </w:rPr>
        <w:t>t</w:t>
      </w:r>
      <w:r>
        <w:rPr>
          <w:rFonts w:eastAsia="MS Mincho"/>
          <w:szCs w:val="22"/>
          <w:lang w:eastAsia="en-US" w:bidi="ar-SA"/>
        </w:rPr>
        <w:t xml:space="preserve">ă </w:t>
      </w:r>
      <w:r>
        <w:rPr>
          <w:rFonts w:eastAsia="MS Mincho"/>
          <w:spacing w:val="-3"/>
          <w:szCs w:val="22"/>
          <w:lang w:eastAsia="en-US" w:bidi="ar-SA"/>
        </w:rPr>
        <w:t>d</w:t>
      </w:r>
      <w:r>
        <w:rPr>
          <w:rFonts w:eastAsia="MS Mincho"/>
          <w:szCs w:val="22"/>
          <w:lang w:eastAsia="en-US" w:bidi="ar-SA"/>
        </w:rPr>
        <w:t>e c</w:t>
      </w:r>
      <w:r>
        <w:rPr>
          <w:rFonts w:eastAsia="MS Mincho"/>
          <w:spacing w:val="-3"/>
          <w:szCs w:val="22"/>
          <w:lang w:eastAsia="en-US" w:bidi="ar-SA"/>
        </w:rPr>
        <w:t>e</w:t>
      </w:r>
      <w:r>
        <w:rPr>
          <w:rFonts w:eastAsia="MS Mincho"/>
          <w:szCs w:val="22"/>
          <w:lang w:eastAsia="en-US" w:bidi="ar-SA"/>
        </w:rPr>
        <w:t>l</w:t>
      </w:r>
      <w:r>
        <w:rPr>
          <w:rFonts w:eastAsia="MS Mincho"/>
          <w:spacing w:val="1"/>
          <w:szCs w:val="22"/>
          <w:lang w:eastAsia="en-US" w:bidi="ar-SA"/>
        </w:rPr>
        <w:t xml:space="preserve"> </w:t>
      </w:r>
      <w:r>
        <w:rPr>
          <w:rFonts w:eastAsia="MS Mincho"/>
          <w:szCs w:val="22"/>
          <w:lang w:eastAsia="en-US" w:bidi="ar-SA"/>
        </w:rPr>
        <w:t>p</w:t>
      </w:r>
      <w:r>
        <w:rPr>
          <w:rFonts w:eastAsia="MS Mincho"/>
          <w:spacing w:val="-3"/>
          <w:szCs w:val="22"/>
          <w:lang w:eastAsia="en-US" w:bidi="ar-SA"/>
        </w:rPr>
        <w:t>u</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 xml:space="preserve">n 12 </w:t>
      </w:r>
      <w:r>
        <w:rPr>
          <w:rFonts w:eastAsia="MS Mincho"/>
          <w:spacing w:val="-2"/>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âni</w:t>
      </w:r>
      <w:r>
        <w:rPr>
          <w:spacing w:val="1"/>
          <w:szCs w:val="22"/>
        </w:rPr>
        <w:t xml:space="preserve"> 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rFonts w:eastAsia="MS Mincho"/>
          <w:spacing w:val="-2"/>
          <w:szCs w:val="22"/>
          <w:lang w:eastAsia="en-US" w:bidi="ar-SA"/>
        </w:rPr>
        <w:t xml:space="preserve"> </w:t>
      </w:r>
      <w:r>
        <w:rPr>
          <w:rFonts w:eastAsia="MS Mincho"/>
          <w:szCs w:val="22"/>
          <w:lang w:eastAsia="en-US" w:bidi="ar-SA"/>
        </w:rPr>
        <w:t>a</w:t>
      </w:r>
      <w:r>
        <w:rPr>
          <w:rFonts w:eastAsia="MS Mincho"/>
          <w:spacing w:val="-3"/>
          <w:szCs w:val="22"/>
          <w:lang w:eastAsia="en-US" w:bidi="ar-SA"/>
        </w:rPr>
        <w:t>d</w:t>
      </w:r>
      <w:r>
        <w:rPr>
          <w:rFonts w:eastAsia="MS Mincho"/>
          <w:szCs w:val="22"/>
          <w:lang w:eastAsia="en-US" w:bidi="ar-SA"/>
        </w:rPr>
        <w:t>u</w:t>
      </w:r>
      <w:r>
        <w:rPr>
          <w:rFonts w:eastAsia="MS Mincho"/>
          <w:spacing w:val="1"/>
          <w:szCs w:val="22"/>
          <w:lang w:eastAsia="en-US" w:bidi="ar-SA"/>
        </w:rPr>
        <w:t>l</w:t>
      </w:r>
      <w:r>
        <w:rPr>
          <w:rFonts w:eastAsia="MS Mincho"/>
          <w:spacing w:val="-2"/>
          <w:szCs w:val="22"/>
          <w:lang w:eastAsia="en-US" w:bidi="ar-SA"/>
        </w:rPr>
        <w:t>ţ</w:t>
      </w:r>
      <w:r>
        <w:rPr>
          <w:rFonts w:eastAsia="MS Mincho"/>
          <w:szCs w:val="22"/>
          <w:lang w:eastAsia="en-US" w:bidi="ar-SA"/>
        </w:rPr>
        <w:t>i</w:t>
      </w:r>
      <w:r>
        <w:rPr>
          <w:szCs w:val="22"/>
        </w:rPr>
        <w:t xml:space="preserve"> cu 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 xml:space="preserve">ă </w:t>
      </w:r>
      <w:r>
        <w:rPr>
          <w:spacing w:val="-2"/>
          <w:szCs w:val="22"/>
        </w:rPr>
        <w:t>r</w:t>
      </w:r>
      <w:r>
        <w:rPr>
          <w:szCs w:val="22"/>
        </w:rPr>
        <w:t>eu</w:t>
      </w:r>
      <w:r>
        <w:rPr>
          <w:spacing w:val="-4"/>
          <w:szCs w:val="22"/>
        </w:rPr>
        <w:t>m</w:t>
      </w:r>
      <w:r>
        <w:rPr>
          <w:szCs w:val="22"/>
        </w:rPr>
        <w:t>a</w:t>
      </w:r>
      <w:r>
        <w:rPr>
          <w:spacing w:val="1"/>
          <w:szCs w:val="22"/>
        </w:rPr>
        <w:t>t</w:t>
      </w:r>
      <w:r>
        <w:rPr>
          <w:szCs w:val="22"/>
        </w:rPr>
        <w:t>o</w:t>
      </w:r>
      <w:r>
        <w:rPr>
          <w:spacing w:val="1"/>
          <w:szCs w:val="22"/>
        </w:rPr>
        <w:t>i</w:t>
      </w:r>
      <w:r>
        <w:rPr>
          <w:szCs w:val="22"/>
        </w:rPr>
        <w:t>dă ac</w:t>
      </w:r>
      <w:r>
        <w:rPr>
          <w:spacing w:val="-2"/>
          <w:szCs w:val="22"/>
        </w:rPr>
        <w:t>t</w:t>
      </w:r>
      <w:r>
        <w:rPr>
          <w:spacing w:val="1"/>
          <w:szCs w:val="22"/>
        </w:rPr>
        <w:t>i</w:t>
      </w:r>
      <w:r>
        <w:rPr>
          <w:spacing w:val="-3"/>
          <w:szCs w:val="22"/>
        </w:rPr>
        <w:t>v</w:t>
      </w:r>
      <w:r>
        <w:rPr>
          <w:szCs w:val="22"/>
        </w:rPr>
        <w:t xml:space="preserve">ă </w:t>
      </w:r>
      <w:r>
        <w:rPr>
          <w:spacing w:val="-4"/>
          <w:szCs w:val="22"/>
        </w:rPr>
        <w:t>m</w:t>
      </w:r>
      <w:r>
        <w:rPr>
          <w:szCs w:val="22"/>
        </w:rPr>
        <w:t>odera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l</w:t>
      </w:r>
      <w:r>
        <w:rPr>
          <w:szCs w:val="22"/>
        </w:rPr>
        <w:t>a</w:t>
      </w:r>
      <w:r>
        <w:rPr>
          <w:spacing w:val="-2"/>
          <w:szCs w:val="22"/>
        </w:rPr>
        <w:t xml:space="preserve"> </w:t>
      </w:r>
      <w:r>
        <w:rPr>
          <w:szCs w:val="22"/>
        </w:rPr>
        <w:t>se</w:t>
      </w:r>
      <w:r>
        <w:rPr>
          <w:spacing w:val="-3"/>
          <w:szCs w:val="22"/>
        </w:rPr>
        <w:t>v</w:t>
      </w:r>
      <w:r>
        <w:rPr>
          <w:szCs w:val="22"/>
        </w:rPr>
        <w:t>eră,</w:t>
      </w:r>
      <w:r>
        <w:rPr>
          <w:spacing w:val="-3"/>
          <w:szCs w:val="22"/>
        </w:rPr>
        <w:t xml:space="preserve"> </w:t>
      </w:r>
      <w:r>
        <w:rPr>
          <w:szCs w:val="22"/>
        </w:rPr>
        <w:t>cu sp</w:t>
      </w:r>
      <w:r>
        <w:rPr>
          <w:spacing w:val="-3"/>
          <w:szCs w:val="22"/>
        </w:rPr>
        <w:t>o</w:t>
      </w:r>
      <w:r>
        <w:rPr>
          <w:szCs w:val="22"/>
        </w:rPr>
        <w:t>nd</w:t>
      </w:r>
      <w:r>
        <w:rPr>
          <w:spacing w:val="-2"/>
          <w:szCs w:val="22"/>
        </w:rPr>
        <w:t>i</w:t>
      </w:r>
      <w:r>
        <w:rPr>
          <w:spacing w:val="1"/>
          <w:szCs w:val="22"/>
        </w:rPr>
        <w:t>l</w:t>
      </w:r>
      <w:r>
        <w:rPr>
          <w:spacing w:val="-2"/>
          <w:szCs w:val="22"/>
        </w:rPr>
        <w:t>i</w:t>
      </w:r>
      <w:r>
        <w:rPr>
          <w:spacing w:val="1"/>
          <w:szCs w:val="22"/>
        </w:rPr>
        <w:t>t</w:t>
      </w:r>
      <w:r>
        <w:rPr>
          <w:szCs w:val="22"/>
        </w:rPr>
        <w:t>ă</w:t>
      </w:r>
      <w:r>
        <w:rPr>
          <w:spacing w:val="-2"/>
          <w:szCs w:val="22"/>
        </w:rPr>
        <w:t xml:space="preserve"> </w:t>
      </w:r>
      <w:r>
        <w:rPr>
          <w:szCs w:val="22"/>
        </w:rPr>
        <w:t>anc</w:t>
      </w:r>
      <w:r>
        <w:rPr>
          <w:spacing w:val="-3"/>
          <w:szCs w:val="22"/>
        </w:rPr>
        <w:t>h</w:t>
      </w:r>
      <w:r>
        <w:rPr>
          <w:spacing w:val="1"/>
          <w:szCs w:val="22"/>
        </w:rPr>
        <w:t>il</w:t>
      </w:r>
      <w:r>
        <w:rPr>
          <w:szCs w:val="22"/>
        </w:rPr>
        <w:t>o</w:t>
      </w:r>
      <w:r>
        <w:rPr>
          <w:spacing w:val="-3"/>
          <w:szCs w:val="22"/>
        </w:rPr>
        <w:t>za</w:t>
      </w:r>
      <w:r>
        <w:rPr>
          <w:szCs w:val="22"/>
        </w:rPr>
        <w:t>n</w:t>
      </w:r>
      <w:r>
        <w:rPr>
          <w:spacing w:val="1"/>
          <w:szCs w:val="22"/>
        </w:rPr>
        <w:t>t</w:t>
      </w:r>
      <w:r>
        <w:rPr>
          <w:szCs w:val="22"/>
        </w:rPr>
        <w:t xml:space="preserve">ă, </w:t>
      </w:r>
      <w:r>
        <w:rPr>
          <w:spacing w:val="-2"/>
          <w:szCs w:val="22"/>
        </w:rPr>
        <w:t>s</w:t>
      </w:r>
      <w:r>
        <w:rPr>
          <w:szCs w:val="22"/>
        </w:rPr>
        <w:t>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a</w:t>
      </w:r>
      <w:r>
        <w:rPr>
          <w:spacing w:val="-3"/>
          <w:szCs w:val="22"/>
        </w:rPr>
        <w:t>x</w:t>
      </w:r>
      <w:r>
        <w:rPr>
          <w:spacing w:val="1"/>
          <w:szCs w:val="22"/>
        </w:rPr>
        <w:t>i</w:t>
      </w:r>
      <w:r>
        <w:rPr>
          <w:szCs w:val="22"/>
        </w:rPr>
        <w:t>a</w:t>
      </w:r>
      <w:r>
        <w:rPr>
          <w:spacing w:val="-2"/>
          <w:szCs w:val="22"/>
        </w:rPr>
        <w:t>l</w:t>
      </w:r>
      <w:r>
        <w:rPr>
          <w:szCs w:val="22"/>
        </w:rPr>
        <w:t xml:space="preserve">ă </w:t>
      </w:r>
      <w:r>
        <w:rPr>
          <w:spacing w:val="-2"/>
          <w:szCs w:val="22"/>
        </w:rPr>
        <w:t>f</w:t>
      </w:r>
      <w:r>
        <w:rPr>
          <w:szCs w:val="22"/>
        </w:rPr>
        <w:t xml:space="preserve">ără </w:t>
      </w:r>
      <w:r>
        <w:rPr>
          <w:spacing w:val="-3"/>
          <w:szCs w:val="22"/>
        </w:rPr>
        <w:t>d</w:t>
      </w:r>
      <w:r>
        <w:rPr>
          <w:szCs w:val="22"/>
        </w:rPr>
        <w:t>o</w:t>
      </w:r>
      <w:r>
        <w:rPr>
          <w:spacing w:val="-3"/>
          <w:szCs w:val="22"/>
        </w:rPr>
        <w:t>v</w:t>
      </w:r>
      <w:r>
        <w:rPr>
          <w:szCs w:val="22"/>
        </w:rPr>
        <w:t>adă rad</w:t>
      </w:r>
      <w:r>
        <w:rPr>
          <w:spacing w:val="-2"/>
          <w:szCs w:val="22"/>
        </w:rPr>
        <w:t>i</w:t>
      </w:r>
      <w:r>
        <w:rPr>
          <w:szCs w:val="22"/>
        </w:rPr>
        <w:t>o</w:t>
      </w:r>
      <w:r>
        <w:rPr>
          <w:spacing w:val="1"/>
          <w:szCs w:val="22"/>
        </w:rPr>
        <w:t>l</w:t>
      </w:r>
      <w:r>
        <w:rPr>
          <w:szCs w:val="22"/>
        </w:rPr>
        <w:t>o</w:t>
      </w:r>
      <w:r>
        <w:rPr>
          <w:spacing w:val="-3"/>
          <w:szCs w:val="22"/>
        </w:rPr>
        <w:t>g</w:t>
      </w:r>
      <w:r>
        <w:rPr>
          <w:spacing w:val="1"/>
          <w:szCs w:val="22"/>
        </w:rPr>
        <w:t>i</w:t>
      </w:r>
      <w:r>
        <w:rPr>
          <w:spacing w:val="-3"/>
          <w:szCs w:val="22"/>
        </w:rPr>
        <w:t>c</w:t>
      </w:r>
      <w:r>
        <w:rPr>
          <w:szCs w:val="22"/>
        </w:rPr>
        <w:t xml:space="preserve">ă a </w:t>
      </w:r>
      <w:r>
        <w:rPr>
          <w:spacing w:val="-2"/>
          <w:szCs w:val="22"/>
        </w:rPr>
        <w:t>s</w:t>
      </w:r>
      <w:r>
        <w:rPr>
          <w:szCs w:val="22"/>
        </w:rPr>
        <w:t>pon</w:t>
      </w:r>
      <w:r>
        <w:rPr>
          <w:spacing w:val="-3"/>
          <w:szCs w:val="22"/>
        </w:rPr>
        <w:t>d</w:t>
      </w:r>
      <w:r>
        <w:rPr>
          <w:spacing w:val="1"/>
          <w:szCs w:val="22"/>
        </w:rPr>
        <w:t>i</w:t>
      </w:r>
      <w:r>
        <w:rPr>
          <w:spacing w:val="-2"/>
          <w:szCs w:val="22"/>
        </w:rPr>
        <w:t>l</w:t>
      </w:r>
      <w:r>
        <w:rPr>
          <w:spacing w:val="1"/>
          <w:szCs w:val="22"/>
        </w:rPr>
        <w:t>i</w:t>
      </w:r>
      <w:r>
        <w:rPr>
          <w:spacing w:val="-2"/>
          <w:szCs w:val="22"/>
        </w:rPr>
        <w:t>t</w:t>
      </w:r>
      <w:r>
        <w:rPr>
          <w:szCs w:val="22"/>
        </w:rPr>
        <w:t>ei</w:t>
      </w:r>
      <w:r>
        <w:rPr>
          <w:spacing w:val="1"/>
          <w:szCs w:val="22"/>
        </w:rPr>
        <w:t xml:space="preserve"> </w:t>
      </w:r>
      <w:r>
        <w:rPr>
          <w:spacing w:val="-3"/>
          <w:szCs w:val="22"/>
        </w:rPr>
        <w:t>an</w:t>
      </w:r>
      <w:r>
        <w:rPr>
          <w:szCs w:val="22"/>
        </w:rPr>
        <w:t>ch</w:t>
      </w:r>
      <w:r>
        <w:rPr>
          <w:spacing w:val="-2"/>
          <w:szCs w:val="22"/>
        </w:rPr>
        <w:t>i</w:t>
      </w:r>
      <w:r>
        <w:rPr>
          <w:spacing w:val="1"/>
          <w:szCs w:val="22"/>
        </w:rPr>
        <w:t>l</w:t>
      </w:r>
      <w:r>
        <w:rPr>
          <w:szCs w:val="22"/>
        </w:rPr>
        <w:t>o</w:t>
      </w:r>
      <w:r>
        <w:rPr>
          <w:spacing w:val="-3"/>
          <w:szCs w:val="22"/>
        </w:rPr>
        <w:t>z</w:t>
      </w:r>
      <w:r>
        <w:rPr>
          <w:szCs w:val="22"/>
        </w:rPr>
        <w:t>an</w:t>
      </w:r>
      <w:r>
        <w:rPr>
          <w:spacing w:val="1"/>
          <w:szCs w:val="22"/>
        </w:rPr>
        <w:t>t</w:t>
      </w:r>
      <w:r>
        <w:rPr>
          <w:szCs w:val="22"/>
        </w:rPr>
        <w:t>e,</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ps</w:t>
      </w:r>
      <w:r>
        <w:rPr>
          <w:spacing w:val="-3"/>
          <w:szCs w:val="22"/>
        </w:rPr>
        <w:t>o</w:t>
      </w:r>
      <w:r>
        <w:rPr>
          <w:szCs w:val="22"/>
        </w:rPr>
        <w:t>r</w:t>
      </w:r>
      <w:r>
        <w:rPr>
          <w:spacing w:val="-2"/>
          <w:szCs w:val="22"/>
        </w:rPr>
        <w:t>i</w:t>
      </w:r>
      <w:r>
        <w:rPr>
          <w:szCs w:val="22"/>
        </w:rPr>
        <w:t>a</w:t>
      </w:r>
      <w:r>
        <w:rPr>
          <w:spacing w:val="-3"/>
          <w:szCs w:val="22"/>
        </w:rPr>
        <w:t>z</w:t>
      </w:r>
      <w:r>
        <w:rPr>
          <w:spacing w:val="1"/>
          <w:szCs w:val="22"/>
        </w:rPr>
        <w:t>i</w:t>
      </w:r>
      <w:r>
        <w:rPr>
          <w:spacing w:val="-3"/>
          <w:szCs w:val="22"/>
        </w:rPr>
        <w:t>c</w:t>
      </w:r>
      <w:r>
        <w:rPr>
          <w:szCs w:val="22"/>
        </w:rPr>
        <w:t>ă, ps</w:t>
      </w:r>
      <w:r>
        <w:rPr>
          <w:spacing w:val="-3"/>
          <w:szCs w:val="22"/>
        </w:rPr>
        <w:t>o</w:t>
      </w:r>
      <w:r>
        <w:rPr>
          <w:szCs w:val="22"/>
        </w:rPr>
        <w:t>r</w:t>
      </w:r>
      <w:r>
        <w:rPr>
          <w:spacing w:val="1"/>
          <w:szCs w:val="22"/>
        </w:rPr>
        <w:t>i</w:t>
      </w:r>
      <w:r>
        <w:rPr>
          <w:szCs w:val="22"/>
        </w:rPr>
        <w:t>a</w:t>
      </w:r>
      <w:r>
        <w:rPr>
          <w:spacing w:val="-3"/>
          <w:szCs w:val="22"/>
        </w:rPr>
        <w:t>z</w:t>
      </w:r>
      <w:r>
        <w:rPr>
          <w:spacing w:val="-2"/>
          <w:szCs w:val="22"/>
        </w:rPr>
        <w:t>i</w:t>
      </w:r>
      <w:r>
        <w:rPr>
          <w:szCs w:val="22"/>
        </w:rPr>
        <w:t>s, h</w:t>
      </w:r>
      <w:r>
        <w:rPr>
          <w:spacing w:val="-2"/>
          <w:szCs w:val="22"/>
        </w:rPr>
        <w:t>i</w:t>
      </w:r>
      <w:r>
        <w:rPr>
          <w:szCs w:val="22"/>
        </w:rPr>
        <w:t>dr</w:t>
      </w:r>
      <w:r>
        <w:rPr>
          <w:spacing w:val="-3"/>
          <w:szCs w:val="22"/>
        </w:rPr>
        <w:t>o</w:t>
      </w:r>
      <w:r>
        <w:rPr>
          <w:szCs w:val="22"/>
        </w:rPr>
        <w:t>sad</w:t>
      </w:r>
      <w:r>
        <w:rPr>
          <w:spacing w:val="-3"/>
          <w:szCs w:val="22"/>
        </w:rPr>
        <w:t>e</w:t>
      </w:r>
      <w:r>
        <w:rPr>
          <w:szCs w:val="22"/>
        </w:rPr>
        <w:t>n</w:t>
      </w:r>
      <w:r>
        <w:rPr>
          <w:spacing w:val="-2"/>
          <w:szCs w:val="22"/>
        </w:rPr>
        <w:t>i</w:t>
      </w:r>
      <w:r>
        <w:rPr>
          <w:spacing w:val="1"/>
          <w:szCs w:val="22"/>
        </w:rPr>
        <w:t>t</w:t>
      </w:r>
      <w:r>
        <w:rPr>
          <w:szCs w:val="22"/>
        </w:rPr>
        <w:t xml:space="preserve">ă </w:t>
      </w:r>
      <w:r>
        <w:rPr>
          <w:spacing w:val="-2"/>
          <w:szCs w:val="22"/>
        </w:rPr>
        <w:t>s</w:t>
      </w:r>
      <w:r>
        <w:rPr>
          <w:szCs w:val="22"/>
        </w:rPr>
        <w:t>upur</w:t>
      </w:r>
      <w:r>
        <w:rPr>
          <w:spacing w:val="-3"/>
          <w:szCs w:val="22"/>
        </w:rPr>
        <w:t>a</w:t>
      </w:r>
      <w:r>
        <w:rPr>
          <w:spacing w:val="1"/>
          <w:szCs w:val="22"/>
        </w:rPr>
        <w:t>ti</w:t>
      </w:r>
      <w:r>
        <w:rPr>
          <w:spacing w:val="-3"/>
          <w:szCs w:val="22"/>
        </w:rPr>
        <w:t>v</w:t>
      </w:r>
      <w:r>
        <w:rPr>
          <w:szCs w:val="22"/>
        </w:rPr>
        <w:t>ă, b</w:t>
      </w:r>
      <w:r>
        <w:rPr>
          <w:spacing w:val="-3"/>
          <w:szCs w:val="22"/>
        </w:rPr>
        <w:t>o</w:t>
      </w:r>
      <w:r>
        <w:rPr>
          <w:szCs w:val="22"/>
        </w:rPr>
        <w:t>a</w:t>
      </w:r>
      <w:r>
        <w:rPr>
          <w:spacing w:val="1"/>
          <w:szCs w:val="22"/>
        </w:rPr>
        <w:t>l</w:t>
      </w:r>
      <w:r>
        <w:rPr>
          <w:szCs w:val="22"/>
        </w:rPr>
        <w:t xml:space="preserve">ă </w:t>
      </w:r>
      <w:r>
        <w:rPr>
          <w:spacing w:val="-1"/>
          <w:szCs w:val="22"/>
        </w:rPr>
        <w:t>C</w:t>
      </w:r>
      <w:r>
        <w:rPr>
          <w:szCs w:val="22"/>
        </w:rPr>
        <w:t>rohn, c</w:t>
      </w:r>
      <w:r>
        <w:rPr>
          <w:spacing w:val="-3"/>
          <w:szCs w:val="22"/>
        </w:rPr>
        <w:t>o</w:t>
      </w:r>
      <w:r>
        <w:rPr>
          <w:spacing w:val="-2"/>
          <w:szCs w:val="22"/>
        </w:rPr>
        <w:t>l</w:t>
      </w:r>
      <w:r>
        <w:rPr>
          <w:spacing w:val="1"/>
          <w:szCs w:val="22"/>
        </w:rPr>
        <w:t>it</w:t>
      </w:r>
      <w:r>
        <w:rPr>
          <w:szCs w:val="22"/>
        </w:rPr>
        <w:t>ă</w:t>
      </w:r>
      <w:r>
        <w:rPr>
          <w:spacing w:val="-2"/>
          <w:szCs w:val="22"/>
        </w:rPr>
        <w:t xml:space="preserve"> </w:t>
      </w:r>
      <w:r>
        <w:rPr>
          <w:szCs w:val="22"/>
        </w:rPr>
        <w:t>u</w:t>
      </w:r>
      <w:r>
        <w:rPr>
          <w:spacing w:val="1"/>
          <w:szCs w:val="22"/>
        </w:rPr>
        <w:t>l</w:t>
      </w:r>
      <w:r>
        <w:rPr>
          <w:spacing w:val="-3"/>
          <w:szCs w:val="22"/>
        </w:rPr>
        <w:t>c</w:t>
      </w:r>
      <w:r>
        <w:rPr>
          <w:szCs w:val="22"/>
        </w:rPr>
        <w:t>e</w:t>
      </w:r>
      <w:r>
        <w:rPr>
          <w:spacing w:val="-2"/>
          <w:szCs w:val="22"/>
        </w:rPr>
        <w:t>r</w:t>
      </w:r>
      <w:r>
        <w:rPr>
          <w:szCs w:val="22"/>
        </w:rPr>
        <w:t>a</w:t>
      </w:r>
      <w:r>
        <w:rPr>
          <w:spacing w:val="-2"/>
          <w:szCs w:val="22"/>
        </w:rPr>
        <w:t>t</w:t>
      </w:r>
      <w:r>
        <w:rPr>
          <w:spacing w:val="1"/>
          <w:szCs w:val="22"/>
        </w:rPr>
        <w:t>i</w:t>
      </w:r>
      <w:r>
        <w:rPr>
          <w:spacing w:val="-3"/>
          <w:szCs w:val="22"/>
        </w:rPr>
        <w:t>v</w:t>
      </w:r>
      <w:r>
        <w:rPr>
          <w:szCs w:val="22"/>
        </w:rPr>
        <w:t>ă şi</w:t>
      </w:r>
      <w:r>
        <w:rPr>
          <w:spacing w:val="-2"/>
          <w:szCs w:val="22"/>
        </w:rPr>
        <w:t xml:space="preserve"> </w:t>
      </w:r>
      <w:r>
        <w:rPr>
          <w:szCs w:val="22"/>
        </w:rPr>
        <w:t>u</w:t>
      </w:r>
      <w:r>
        <w:rPr>
          <w:spacing w:val="-3"/>
          <w:szCs w:val="22"/>
        </w:rPr>
        <w:t>v</w:t>
      </w:r>
      <w:r>
        <w:rPr>
          <w:szCs w:val="22"/>
        </w:rPr>
        <w:t>e</w:t>
      </w:r>
      <w:r>
        <w:rPr>
          <w:spacing w:val="1"/>
          <w:szCs w:val="22"/>
        </w:rPr>
        <w:t>i</w:t>
      </w:r>
      <w:r>
        <w:rPr>
          <w:spacing w:val="-2"/>
          <w:szCs w:val="22"/>
        </w:rPr>
        <w:t>t</w:t>
      </w:r>
      <w:r>
        <w:rPr>
          <w:szCs w:val="22"/>
        </w:rPr>
        <w:t>ă, s</w:t>
      </w:r>
      <w:r>
        <w:rPr>
          <w:spacing w:val="-4"/>
          <w:szCs w:val="22"/>
        </w:rPr>
        <w:t>-</w:t>
      </w:r>
      <w:r>
        <w:rPr>
          <w:szCs w:val="22"/>
        </w:rPr>
        <w:t>au obs</w:t>
      </w:r>
      <w:r>
        <w:rPr>
          <w:spacing w:val="-3"/>
          <w:szCs w:val="22"/>
        </w:rPr>
        <w:t>e</w:t>
      </w:r>
      <w:r>
        <w:rPr>
          <w:spacing w:val="-2"/>
          <w:szCs w:val="22"/>
        </w:rPr>
        <w:t>r</w:t>
      </w:r>
      <w:r>
        <w:rPr>
          <w:spacing w:val="-3"/>
          <w:szCs w:val="22"/>
        </w:rPr>
        <w:t>v</w:t>
      </w:r>
      <w:r>
        <w:rPr>
          <w:szCs w:val="22"/>
        </w:rPr>
        <w:t>at</w:t>
      </w:r>
      <w:r>
        <w:rPr>
          <w:spacing w:val="1"/>
          <w:szCs w:val="22"/>
        </w:rPr>
        <w:t xml:space="preserve"> </w:t>
      </w:r>
      <w:r>
        <w:rPr>
          <w:szCs w:val="22"/>
        </w:rPr>
        <w:t>afe</w:t>
      </w:r>
      <w:r>
        <w:rPr>
          <w:spacing w:val="-3"/>
          <w:szCs w:val="22"/>
        </w:rPr>
        <w:t>c</w:t>
      </w:r>
      <w:r>
        <w:rPr>
          <w:spacing w:val="-2"/>
          <w:szCs w:val="22"/>
        </w:rPr>
        <w:t>ţ</w:t>
      </w:r>
      <w:r>
        <w:rPr>
          <w:spacing w:val="1"/>
          <w:szCs w:val="22"/>
        </w:rPr>
        <w:t>i</w:t>
      </w:r>
      <w:r>
        <w:rPr>
          <w:szCs w:val="22"/>
        </w:rPr>
        <w:t>un</w:t>
      </w:r>
      <w:r>
        <w:rPr>
          <w:spacing w:val="-2"/>
          <w:szCs w:val="22"/>
        </w:rPr>
        <w:t>i</w:t>
      </w:r>
      <w:r>
        <w:rPr>
          <w:spacing w:val="1"/>
          <w:szCs w:val="22"/>
        </w:rPr>
        <w:t>l</w:t>
      </w:r>
      <w:r>
        <w:rPr>
          <w:szCs w:val="22"/>
        </w:rPr>
        <w:t xml:space="preserve">e </w:t>
      </w:r>
      <w:r>
        <w:rPr>
          <w:spacing w:val="-4"/>
          <w:szCs w:val="22"/>
        </w:rPr>
        <w:t>m</w:t>
      </w:r>
      <w:r>
        <w:rPr>
          <w:szCs w:val="22"/>
        </w:rPr>
        <w:t>a</w:t>
      </w:r>
      <w:r>
        <w:rPr>
          <w:spacing w:val="1"/>
          <w:szCs w:val="22"/>
        </w:rPr>
        <w:t>li</w:t>
      </w:r>
      <w:r>
        <w:rPr>
          <w:spacing w:val="-3"/>
          <w:szCs w:val="22"/>
        </w:rPr>
        <w:t>g</w:t>
      </w:r>
      <w:r>
        <w:rPr>
          <w:szCs w:val="22"/>
        </w:rPr>
        <w:t>ne a</w:t>
      </w:r>
      <w:r>
        <w:rPr>
          <w:spacing w:val="1"/>
          <w:szCs w:val="22"/>
        </w:rPr>
        <w:t>lt</w:t>
      </w:r>
      <w:r>
        <w:rPr>
          <w:spacing w:val="-3"/>
          <w:szCs w:val="22"/>
        </w:rPr>
        <w:t>e</w:t>
      </w:r>
      <w:r>
        <w:rPr>
          <w:spacing w:val="1"/>
          <w:szCs w:val="22"/>
        </w:rPr>
        <w:t>l</w:t>
      </w:r>
      <w:r>
        <w:rPr>
          <w:szCs w:val="22"/>
        </w:rPr>
        <w:t>e</w:t>
      </w:r>
      <w:r>
        <w:rPr>
          <w:spacing w:val="-2"/>
          <w:szCs w:val="22"/>
        </w:rPr>
        <w:t xml:space="preserve"> </w:t>
      </w:r>
      <w:r>
        <w:rPr>
          <w:szCs w:val="22"/>
        </w:rPr>
        <w:t>dec</w:t>
      </w:r>
      <w:r>
        <w:rPr>
          <w:spacing w:val="-3"/>
          <w:szCs w:val="22"/>
        </w:rPr>
        <w:t>â</w:t>
      </w:r>
      <w:r>
        <w:rPr>
          <w:szCs w:val="22"/>
        </w:rPr>
        <w:t>t</w:t>
      </w:r>
      <w:r>
        <w:rPr>
          <w:spacing w:val="-2"/>
          <w:szCs w:val="22"/>
        </w:rPr>
        <w:t xml:space="preserve"> </w:t>
      </w:r>
      <w:r>
        <w:rPr>
          <w:spacing w:val="1"/>
          <w:szCs w:val="22"/>
        </w:rPr>
        <w:t>li</w:t>
      </w:r>
      <w:r>
        <w:rPr>
          <w:spacing w:val="-4"/>
          <w:szCs w:val="22"/>
        </w:rPr>
        <w:t>m</w:t>
      </w:r>
      <w:r>
        <w:rPr>
          <w:szCs w:val="22"/>
        </w:rPr>
        <w:t>fo</w:t>
      </w:r>
      <w:r>
        <w:rPr>
          <w:spacing w:val="-4"/>
          <w:szCs w:val="22"/>
        </w:rPr>
        <w:t>m</w:t>
      </w:r>
      <w:r>
        <w:rPr>
          <w:szCs w:val="22"/>
        </w:rPr>
        <w:t>ul</w:t>
      </w:r>
      <w:r>
        <w:rPr>
          <w:spacing w:val="1"/>
          <w:szCs w:val="22"/>
        </w:rPr>
        <w:t xml:space="preserve"> </w:t>
      </w:r>
      <w:r>
        <w:rPr>
          <w:szCs w:val="22"/>
        </w:rPr>
        <w:t>şi</w:t>
      </w:r>
      <w:r>
        <w:rPr>
          <w:spacing w:val="1"/>
          <w:szCs w:val="22"/>
        </w:rPr>
        <w:t xml:space="preserve"> </w:t>
      </w:r>
      <w:r>
        <w:rPr>
          <w:szCs w:val="22"/>
        </w:rPr>
        <w:t>can</w:t>
      </w:r>
      <w:r>
        <w:rPr>
          <w:spacing w:val="-3"/>
          <w:szCs w:val="22"/>
        </w:rPr>
        <w:t>c</w:t>
      </w:r>
      <w:r>
        <w:rPr>
          <w:szCs w:val="22"/>
        </w:rPr>
        <w:t>er</w:t>
      </w:r>
      <w:r>
        <w:rPr>
          <w:spacing w:val="-3"/>
          <w:szCs w:val="22"/>
        </w:rPr>
        <w:t>u</w:t>
      </w:r>
      <w:r>
        <w:rPr>
          <w:szCs w:val="22"/>
        </w:rPr>
        <w:t>l</w:t>
      </w:r>
      <w:r>
        <w:rPr>
          <w:spacing w:val="1"/>
          <w:szCs w:val="22"/>
        </w:rPr>
        <w:t xml:space="preserve"> </w:t>
      </w:r>
      <w:r>
        <w:rPr>
          <w:spacing w:val="-3"/>
          <w:szCs w:val="22"/>
        </w:rPr>
        <w:t>c</w:t>
      </w:r>
      <w:r>
        <w:rPr>
          <w:szCs w:val="22"/>
        </w:rPr>
        <w:t>u</w:t>
      </w:r>
      <w:r>
        <w:rPr>
          <w:spacing w:val="1"/>
          <w:szCs w:val="22"/>
        </w:rPr>
        <w:t>t</w:t>
      </w:r>
      <w:r>
        <w:rPr>
          <w:spacing w:val="-3"/>
          <w:szCs w:val="22"/>
        </w:rPr>
        <w:t>a</w:t>
      </w:r>
      <w:r>
        <w:rPr>
          <w:szCs w:val="22"/>
        </w:rPr>
        <w:t>nat</w:t>
      </w:r>
      <w:r>
        <w:rPr>
          <w:spacing w:val="-2"/>
          <w:szCs w:val="22"/>
        </w:rPr>
        <w:t xml:space="preserve"> </w:t>
      </w:r>
      <w:r>
        <w:rPr>
          <w:szCs w:val="22"/>
        </w:rPr>
        <w:t>de</w:t>
      </w:r>
      <w:r>
        <w:rPr>
          <w:spacing w:val="-2"/>
          <w:szCs w:val="22"/>
        </w:rPr>
        <w:t xml:space="preserve"> t</w:t>
      </w:r>
      <w:r>
        <w:rPr>
          <w:spacing w:val="1"/>
          <w:szCs w:val="22"/>
        </w:rPr>
        <w:t>i</w:t>
      </w:r>
      <w:r>
        <w:rPr>
          <w:szCs w:val="22"/>
        </w:rPr>
        <w:t>p ne</w:t>
      </w:r>
      <w:r>
        <w:rPr>
          <w:spacing w:val="-2"/>
          <w:szCs w:val="22"/>
        </w:rPr>
        <w:t>-</w:t>
      </w:r>
      <w:r>
        <w:rPr>
          <w:spacing w:val="-4"/>
          <w:szCs w:val="22"/>
        </w:rPr>
        <w:t>m</w:t>
      </w:r>
      <w:r>
        <w:rPr>
          <w:szCs w:val="22"/>
        </w:rPr>
        <w:t>e</w:t>
      </w:r>
      <w:r>
        <w:rPr>
          <w:spacing w:val="1"/>
          <w:szCs w:val="22"/>
        </w:rPr>
        <w:t>l</w:t>
      </w:r>
      <w:r>
        <w:rPr>
          <w:szCs w:val="22"/>
        </w:rPr>
        <w:t>anom</w:t>
      </w:r>
      <w:r>
        <w:rPr>
          <w:spacing w:val="-4"/>
          <w:szCs w:val="22"/>
        </w:rPr>
        <w:t xml:space="preserve"> </w:t>
      </w:r>
      <w:r>
        <w:rPr>
          <w:spacing w:val="1"/>
          <w:szCs w:val="22"/>
        </w:rPr>
        <w:t>î</w:t>
      </w:r>
      <w:r>
        <w:rPr>
          <w:szCs w:val="22"/>
        </w:rPr>
        <w:t>n pro</w:t>
      </w:r>
      <w:r>
        <w:rPr>
          <w:spacing w:val="-3"/>
          <w:szCs w:val="22"/>
        </w:rPr>
        <w:t>p</w:t>
      </w:r>
      <w:r>
        <w:rPr>
          <w:szCs w:val="22"/>
        </w:rPr>
        <w:t>o</w:t>
      </w:r>
      <w:r>
        <w:rPr>
          <w:spacing w:val="-2"/>
          <w:szCs w:val="22"/>
        </w:rPr>
        <w:t>r</w:t>
      </w:r>
      <w:r>
        <w:rPr>
          <w:spacing w:val="1"/>
          <w:szCs w:val="22"/>
        </w:rPr>
        <w:t>ţi</w:t>
      </w:r>
      <w:r>
        <w:rPr>
          <w:szCs w:val="22"/>
        </w:rPr>
        <w:t>e</w:t>
      </w:r>
      <w:r>
        <w:rPr>
          <w:spacing w:val="-2"/>
          <w:szCs w:val="22"/>
        </w:rPr>
        <w:t xml:space="preserve"> </w:t>
      </w:r>
      <w:r>
        <w:rPr>
          <w:szCs w:val="22"/>
        </w:rPr>
        <w:t>de 6,8</w:t>
      </w:r>
      <w:r>
        <w:rPr>
          <w:spacing w:val="-3"/>
          <w:szCs w:val="22"/>
        </w:rPr>
        <w:t xml:space="preserve"> </w:t>
      </w:r>
      <w:r>
        <w:rPr>
          <w:szCs w:val="22"/>
        </w:rPr>
        <w:t>(4,4</w:t>
      </w:r>
      <w:r>
        <w:rPr>
          <w:spacing w:val="-4"/>
          <w:szCs w:val="22"/>
        </w:rPr>
        <w:noBreakHyphen/>
      </w:r>
      <w:r>
        <w:rPr>
          <w:szCs w:val="22"/>
        </w:rPr>
        <w:t>10,5)</w:t>
      </w:r>
      <w:r>
        <w:rPr>
          <w:spacing w:val="1"/>
          <w:szCs w:val="22"/>
        </w:rPr>
        <w:t xml:space="preserve"> </w:t>
      </w:r>
      <w:r>
        <w:rPr>
          <w:szCs w:val="22"/>
        </w:rPr>
        <w:t>p</w:t>
      </w:r>
      <w:r>
        <w:rPr>
          <w:spacing w:val="-2"/>
          <w:szCs w:val="22"/>
        </w:rPr>
        <w:t xml:space="preserve">er </w:t>
      </w:r>
      <w:r>
        <w:rPr>
          <w:szCs w:val="22"/>
        </w:rPr>
        <w:t>1000 a</w:t>
      </w:r>
      <w:r>
        <w:rPr>
          <w:spacing w:val="-3"/>
          <w:szCs w:val="22"/>
        </w:rPr>
        <w:t>n</w:t>
      </w:r>
      <w:r>
        <w:rPr>
          <w:szCs w:val="22"/>
        </w:rPr>
        <w:t>i–p</w:t>
      </w:r>
      <w:r>
        <w:rPr>
          <w:spacing w:val="-3"/>
          <w:szCs w:val="22"/>
        </w:rPr>
        <w:t>a</w:t>
      </w:r>
      <w:r>
        <w:rPr>
          <w:szCs w:val="22"/>
        </w:rPr>
        <w:t>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d</w:t>
      </w:r>
      <w:r>
        <w:rPr>
          <w:spacing w:val="1"/>
          <w:szCs w:val="22"/>
        </w:rPr>
        <w:t>i</w:t>
      </w:r>
      <w:r>
        <w:rPr>
          <w:szCs w:val="22"/>
        </w:rPr>
        <w:t>n</w:t>
      </w:r>
      <w:r>
        <w:rPr>
          <w:spacing w:val="-2"/>
          <w:szCs w:val="22"/>
        </w:rPr>
        <w:t>t</w:t>
      </w:r>
      <w:r>
        <w:rPr>
          <w:szCs w:val="22"/>
        </w:rPr>
        <w:t>re 5</w:t>
      </w:r>
      <w:r>
        <w:rPr>
          <w:spacing w:val="-3"/>
          <w:szCs w:val="22"/>
        </w:rPr>
        <w:t>2</w:t>
      </w:r>
      <w:r>
        <w:rPr>
          <w:szCs w:val="22"/>
        </w:rPr>
        <w:t>91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i</w:t>
      </w:r>
      <w:r>
        <w:rPr>
          <w:szCs w:val="22"/>
        </w:rPr>
        <w:t>n</w:t>
      </w:r>
      <w:r>
        <w:rPr>
          <w:spacing w:val="1"/>
          <w:szCs w:val="22"/>
        </w:rPr>
        <w:t>t</w:t>
      </w:r>
      <w:r>
        <w:rPr>
          <w:spacing w:val="-3"/>
          <w:szCs w:val="22"/>
        </w:rPr>
        <w:t>e</w:t>
      </w:r>
      <w:r>
        <w:rPr>
          <w:szCs w:val="22"/>
        </w:rPr>
        <w:t>r</w:t>
      </w:r>
      <w:r>
        <w:rPr>
          <w:spacing w:val="-3"/>
          <w:szCs w:val="22"/>
        </w:rPr>
        <w:t>v</w:t>
      </w:r>
      <w:r>
        <w:rPr>
          <w:szCs w:val="22"/>
        </w:rPr>
        <w:t>al</w:t>
      </w:r>
      <w:r>
        <w:rPr>
          <w:spacing w:val="1"/>
          <w:szCs w:val="22"/>
        </w:rPr>
        <w:t xml:space="preserve"> </w:t>
      </w:r>
      <w:r>
        <w:rPr>
          <w:szCs w:val="22"/>
        </w:rPr>
        <w:t>de</w:t>
      </w:r>
      <w:r>
        <w:rPr>
          <w:spacing w:val="-2"/>
          <w:szCs w:val="22"/>
        </w:rPr>
        <w:t xml:space="preserve"> </w:t>
      </w:r>
      <w:r>
        <w:rPr>
          <w:szCs w:val="22"/>
        </w:rPr>
        <w:t>s</w:t>
      </w:r>
      <w:r>
        <w:rPr>
          <w:spacing w:val="1"/>
          <w:szCs w:val="22"/>
        </w:rPr>
        <w:t>i</w:t>
      </w:r>
      <w:r>
        <w:rPr>
          <w:spacing w:val="-3"/>
          <w:szCs w:val="22"/>
        </w:rPr>
        <w:t>g</w:t>
      </w:r>
      <w:r>
        <w:rPr>
          <w:szCs w:val="22"/>
        </w:rPr>
        <w:t>ur</w:t>
      </w:r>
      <w:r>
        <w:rPr>
          <w:spacing w:val="-3"/>
          <w:szCs w:val="22"/>
        </w:rPr>
        <w:t>a</w:t>
      </w:r>
      <w:r>
        <w:rPr>
          <w:szCs w:val="22"/>
        </w:rPr>
        <w:t>n</w:t>
      </w:r>
      <w:r>
        <w:rPr>
          <w:spacing w:val="1"/>
          <w:szCs w:val="22"/>
        </w:rPr>
        <w:t>ţ</w:t>
      </w:r>
      <w:r>
        <w:rPr>
          <w:szCs w:val="22"/>
        </w:rPr>
        <w:t>ă</w:t>
      </w:r>
      <w:r>
        <w:rPr>
          <w:spacing w:val="-2"/>
          <w:szCs w:val="22"/>
        </w:rPr>
        <w:t xml:space="preserve"> </w:t>
      </w:r>
      <w:r>
        <w:rPr>
          <w:szCs w:val="22"/>
        </w:rPr>
        <w:t>9</w:t>
      </w:r>
      <w:r>
        <w:rPr>
          <w:spacing w:val="-3"/>
          <w:szCs w:val="22"/>
        </w:rPr>
        <w:t>5</w:t>
      </w:r>
      <w:r>
        <w:rPr>
          <w:szCs w:val="22"/>
        </w:rPr>
        <w:t>%),</w:t>
      </w:r>
      <w:r>
        <w:rPr>
          <w:spacing w:val="-3"/>
          <w:szCs w:val="22"/>
        </w:rPr>
        <w:t xml:space="preserve"> </w:t>
      </w:r>
      <w:r>
        <w:rPr>
          <w:i/>
          <w:iCs/>
          <w:szCs w:val="22"/>
        </w:rPr>
        <w:t>ve</w:t>
      </w:r>
      <w:r>
        <w:rPr>
          <w:i/>
          <w:iCs/>
          <w:spacing w:val="-2"/>
          <w:szCs w:val="22"/>
        </w:rPr>
        <w:t>r</w:t>
      </w:r>
      <w:r>
        <w:rPr>
          <w:i/>
          <w:iCs/>
          <w:szCs w:val="22"/>
        </w:rPr>
        <w:t xml:space="preserve">sus </w:t>
      </w:r>
      <w:r>
        <w:rPr>
          <w:szCs w:val="22"/>
        </w:rPr>
        <w:t>o prop</w:t>
      </w:r>
      <w:r>
        <w:rPr>
          <w:spacing w:val="-3"/>
          <w:szCs w:val="22"/>
        </w:rPr>
        <w:t>o</w:t>
      </w:r>
      <w:r>
        <w:rPr>
          <w:szCs w:val="22"/>
        </w:rPr>
        <w:t>r</w:t>
      </w:r>
      <w:r>
        <w:rPr>
          <w:spacing w:val="-2"/>
          <w:szCs w:val="22"/>
        </w:rPr>
        <w:t>ţ</w:t>
      </w:r>
      <w:r>
        <w:rPr>
          <w:spacing w:val="1"/>
          <w:szCs w:val="22"/>
        </w:rPr>
        <w:t>i</w:t>
      </w:r>
      <w:r>
        <w:rPr>
          <w:szCs w:val="22"/>
        </w:rPr>
        <w:t xml:space="preserve">e </w:t>
      </w:r>
      <w:r>
        <w:rPr>
          <w:spacing w:val="-3"/>
          <w:szCs w:val="22"/>
        </w:rPr>
        <w:t>d</w:t>
      </w:r>
      <w:r>
        <w:rPr>
          <w:szCs w:val="22"/>
        </w:rPr>
        <w:t>e 6,3</w:t>
      </w:r>
      <w:r>
        <w:rPr>
          <w:spacing w:val="-3"/>
          <w:szCs w:val="22"/>
        </w:rPr>
        <w:t xml:space="preserve"> </w:t>
      </w:r>
      <w:r>
        <w:rPr>
          <w:szCs w:val="22"/>
        </w:rPr>
        <w:t>(3,4</w:t>
      </w:r>
      <w:r>
        <w:rPr>
          <w:spacing w:val="-4"/>
          <w:szCs w:val="22"/>
        </w:rPr>
        <w:noBreakHyphen/>
      </w:r>
      <w:r>
        <w:rPr>
          <w:szCs w:val="22"/>
        </w:rPr>
        <w:t>11,8)</w:t>
      </w:r>
      <w:r>
        <w:rPr>
          <w:spacing w:val="-2"/>
          <w:szCs w:val="22"/>
        </w:rPr>
        <w:t xml:space="preserve"> </w:t>
      </w:r>
      <w:r>
        <w:rPr>
          <w:szCs w:val="22"/>
        </w:rPr>
        <w:t>per</w:t>
      </w:r>
      <w:r>
        <w:rPr>
          <w:spacing w:val="1"/>
          <w:szCs w:val="22"/>
        </w:rPr>
        <w:t xml:space="preserve"> </w:t>
      </w:r>
      <w:r>
        <w:rPr>
          <w:szCs w:val="22"/>
        </w:rPr>
        <w:t>1</w:t>
      </w:r>
      <w:r>
        <w:rPr>
          <w:spacing w:val="-3"/>
          <w:szCs w:val="22"/>
        </w:rPr>
        <w:t>0</w:t>
      </w:r>
      <w:r>
        <w:rPr>
          <w:szCs w:val="22"/>
        </w:rPr>
        <w:t>00 a</w:t>
      </w:r>
      <w:r>
        <w:rPr>
          <w:spacing w:val="-3"/>
          <w:szCs w:val="22"/>
        </w:rPr>
        <w:t>n</w:t>
      </w:r>
      <w:r>
        <w:rPr>
          <w:spacing w:val="1"/>
          <w:szCs w:val="22"/>
        </w:rPr>
        <w:t>i</w:t>
      </w:r>
      <w:r>
        <w:rPr>
          <w:spacing w:val="-4"/>
          <w:szCs w:val="22"/>
        </w:rPr>
        <w:t>-</w:t>
      </w:r>
      <w:r>
        <w:rPr>
          <w:szCs w:val="22"/>
        </w:rPr>
        <w:t>pacie</w:t>
      </w:r>
      <w:r>
        <w:rPr>
          <w:spacing w:val="-3"/>
          <w:szCs w:val="22"/>
        </w:rPr>
        <w:t>n</w:t>
      </w:r>
      <w:r>
        <w:rPr>
          <w:spacing w:val="1"/>
          <w:szCs w:val="22"/>
        </w:rPr>
        <w:t>ţ</w:t>
      </w:r>
      <w:r>
        <w:rPr>
          <w:szCs w:val="22"/>
        </w:rPr>
        <w:t>i</w:t>
      </w:r>
      <w:r>
        <w:rPr>
          <w:spacing w:val="1"/>
          <w:szCs w:val="22"/>
        </w:rPr>
        <w:t xml:space="preserve"> </w:t>
      </w:r>
      <w:r>
        <w:rPr>
          <w:spacing w:val="-3"/>
          <w:szCs w:val="22"/>
        </w:rPr>
        <w:t>d</w:t>
      </w:r>
      <w:r>
        <w:rPr>
          <w:spacing w:val="1"/>
          <w:szCs w:val="22"/>
        </w:rPr>
        <w:t>i</w:t>
      </w:r>
      <w:r>
        <w:rPr>
          <w:spacing w:val="-3"/>
          <w:szCs w:val="22"/>
        </w:rPr>
        <w:t>n</w:t>
      </w:r>
      <w:r>
        <w:rPr>
          <w:spacing w:val="1"/>
          <w:szCs w:val="22"/>
        </w:rPr>
        <w:t>t</w:t>
      </w:r>
      <w:r>
        <w:rPr>
          <w:szCs w:val="22"/>
        </w:rPr>
        <w:t>re</w:t>
      </w:r>
      <w:r>
        <w:rPr>
          <w:spacing w:val="-3"/>
          <w:szCs w:val="22"/>
        </w:rPr>
        <w:t xml:space="preserve"> </w:t>
      </w:r>
      <w:r>
        <w:rPr>
          <w:szCs w:val="22"/>
        </w:rPr>
        <w:t>3444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d</w:t>
      </w:r>
      <w:r>
        <w:rPr>
          <w:spacing w:val="-2"/>
          <w:szCs w:val="22"/>
        </w:rPr>
        <w:t>i</w:t>
      </w:r>
      <w:r>
        <w:rPr>
          <w:szCs w:val="22"/>
        </w:rPr>
        <w:t xml:space="preserve">n </w:t>
      </w:r>
      <w:r>
        <w:rPr>
          <w:spacing w:val="-3"/>
          <w:szCs w:val="22"/>
        </w:rPr>
        <w:t>g</w:t>
      </w:r>
      <w:r>
        <w:rPr>
          <w:szCs w:val="22"/>
        </w:rPr>
        <w:t>rupul</w:t>
      </w:r>
      <w:r>
        <w:rPr>
          <w:spacing w:val="-2"/>
          <w:szCs w:val="22"/>
        </w:rPr>
        <w:t xml:space="preserve"> </w:t>
      </w:r>
      <w:r>
        <w:rPr>
          <w:spacing w:val="-3"/>
          <w:szCs w:val="22"/>
        </w:rPr>
        <w:t>c</w:t>
      </w:r>
      <w:r>
        <w:rPr>
          <w:szCs w:val="22"/>
        </w:rPr>
        <w:t>on</w:t>
      </w:r>
      <w:r>
        <w:rPr>
          <w:spacing w:val="1"/>
          <w:szCs w:val="22"/>
        </w:rPr>
        <w:t>t</w:t>
      </w:r>
      <w:r>
        <w:rPr>
          <w:szCs w:val="22"/>
        </w:rPr>
        <w:t>r</w:t>
      </w:r>
      <w:r>
        <w:rPr>
          <w:spacing w:val="-3"/>
          <w:szCs w:val="22"/>
        </w:rPr>
        <w:t>o</w:t>
      </w:r>
      <w:r>
        <w:rPr>
          <w:szCs w:val="22"/>
        </w:rPr>
        <w:t>l</w:t>
      </w:r>
      <w:r>
        <w:rPr>
          <w:spacing w:val="-2"/>
          <w:szCs w:val="22"/>
        </w:rPr>
        <w:t xml:space="preserve"> </w:t>
      </w:r>
      <w:r>
        <w:rPr>
          <w:szCs w:val="22"/>
        </w:rPr>
        <w:t>(du</w:t>
      </w:r>
      <w:r>
        <w:rPr>
          <w:spacing w:val="-2"/>
          <w:szCs w:val="22"/>
        </w:rPr>
        <w:t>r</w:t>
      </w:r>
      <w:r>
        <w:rPr>
          <w:szCs w:val="22"/>
        </w:rPr>
        <w:t>a</w:t>
      </w:r>
      <w:r>
        <w:rPr>
          <w:spacing w:val="-2"/>
          <w:szCs w:val="22"/>
        </w:rPr>
        <w:t>t</w:t>
      </w:r>
      <w:r>
        <w:rPr>
          <w:szCs w:val="22"/>
        </w:rPr>
        <w:t xml:space="preserve">a </w:t>
      </w:r>
      <w:r>
        <w:rPr>
          <w:spacing w:val="-4"/>
          <w:szCs w:val="22"/>
        </w:rPr>
        <w:t>m</w:t>
      </w:r>
      <w:r>
        <w:rPr>
          <w:szCs w:val="22"/>
        </w:rPr>
        <w:t>ed</w:t>
      </w:r>
      <w:r>
        <w:rPr>
          <w:spacing w:val="1"/>
          <w:szCs w:val="22"/>
        </w:rPr>
        <w:t>i</w:t>
      </w:r>
      <w:r>
        <w:rPr>
          <w:szCs w:val="22"/>
        </w:rPr>
        <w:t xml:space="preserve">e de </w:t>
      </w:r>
      <w:r>
        <w:rPr>
          <w:spacing w:val="-2"/>
          <w:szCs w:val="22"/>
        </w:rPr>
        <w:t>t</w:t>
      </w:r>
      <w:r>
        <w:rPr>
          <w:szCs w:val="22"/>
        </w:rPr>
        <w:t>ra</w:t>
      </w:r>
      <w:r>
        <w:rPr>
          <w:spacing w:val="-2"/>
          <w:szCs w:val="22"/>
        </w:rPr>
        <w:t>t</w:t>
      </w:r>
      <w:r>
        <w:rPr>
          <w:szCs w:val="22"/>
        </w:rPr>
        <w:t>a</w:t>
      </w:r>
      <w:r>
        <w:rPr>
          <w:spacing w:val="-4"/>
          <w:szCs w:val="22"/>
        </w:rPr>
        <w:t>m</w:t>
      </w:r>
      <w:r>
        <w:rPr>
          <w:szCs w:val="22"/>
        </w:rPr>
        <w:t>ent</w:t>
      </w:r>
      <w:r>
        <w:rPr>
          <w:spacing w:val="1"/>
          <w:szCs w:val="22"/>
        </w:rPr>
        <w:t xml:space="preserve"> </w:t>
      </w:r>
      <w:r>
        <w:rPr>
          <w:szCs w:val="22"/>
        </w:rPr>
        <w:t xml:space="preserve">a </w:t>
      </w:r>
      <w:r>
        <w:rPr>
          <w:spacing w:val="-2"/>
          <w:szCs w:val="22"/>
        </w:rPr>
        <w:t>f</w:t>
      </w:r>
      <w:r>
        <w:rPr>
          <w:szCs w:val="22"/>
        </w:rPr>
        <w:t>ost</w:t>
      </w:r>
      <w:r>
        <w:rPr>
          <w:spacing w:val="-2"/>
          <w:szCs w:val="22"/>
        </w:rPr>
        <w:t xml:space="preserve"> </w:t>
      </w:r>
      <w:r>
        <w:rPr>
          <w:szCs w:val="22"/>
        </w:rPr>
        <w:t>de 4,0</w:t>
      </w:r>
      <w:r>
        <w:rPr>
          <w:spacing w:val="-3"/>
          <w:szCs w:val="22"/>
        </w:rPr>
        <w:t xml:space="preserve"> </w:t>
      </w:r>
      <w:r>
        <w:rPr>
          <w:spacing w:val="1"/>
          <w:szCs w:val="22"/>
        </w:rPr>
        <w:t>l</w:t>
      </w:r>
      <w:r>
        <w:rPr>
          <w:spacing w:val="-3"/>
          <w:szCs w:val="22"/>
        </w:rPr>
        <w:t>u</w:t>
      </w:r>
      <w:r>
        <w:rPr>
          <w:szCs w:val="22"/>
        </w:rPr>
        <w:t>ni</w:t>
      </w:r>
      <w:r>
        <w:rPr>
          <w:spacing w:val="1"/>
          <w:szCs w:val="22"/>
        </w:rPr>
        <w:t xml:space="preserve"> </w:t>
      </w:r>
      <w:r>
        <w:rPr>
          <w:szCs w:val="22"/>
        </w:rPr>
        <w:t>pe</w:t>
      </w:r>
      <w:r>
        <w:rPr>
          <w:spacing w:val="-3"/>
          <w:szCs w:val="22"/>
        </w:rPr>
        <w:t>n</w:t>
      </w:r>
      <w:r>
        <w:rPr>
          <w:spacing w:val="1"/>
          <w:szCs w:val="22"/>
        </w:rPr>
        <w:t>t</w:t>
      </w:r>
      <w:r>
        <w:rPr>
          <w:spacing w:val="-2"/>
          <w:szCs w:val="22"/>
        </w:rPr>
        <w:t>r</w:t>
      </w:r>
      <w:r>
        <w:rPr>
          <w:szCs w:val="22"/>
        </w:rPr>
        <w:t xml:space="preserve">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w:t>
      </w:r>
      <w:r>
        <w:rPr>
          <w:szCs w:val="22"/>
        </w:rPr>
        <w:t>3,8</w:t>
      </w:r>
      <w:r>
        <w:rPr>
          <w:spacing w:val="-3"/>
          <w:szCs w:val="22"/>
        </w:rPr>
        <w:t xml:space="preserve"> </w:t>
      </w:r>
      <w:r>
        <w:rPr>
          <w:spacing w:val="1"/>
          <w:szCs w:val="22"/>
        </w:rPr>
        <w:t>l</w:t>
      </w:r>
      <w:r>
        <w:rPr>
          <w:szCs w:val="22"/>
        </w:rPr>
        <w:t>u</w:t>
      </w:r>
      <w:r>
        <w:rPr>
          <w:spacing w:val="-3"/>
          <w:szCs w:val="22"/>
        </w:rPr>
        <w:t>n</w:t>
      </w:r>
      <w:r>
        <w:rPr>
          <w:szCs w:val="22"/>
        </w:rPr>
        <w:t>i</w:t>
      </w:r>
      <w:r>
        <w:rPr>
          <w:spacing w:val="-2"/>
          <w:szCs w:val="22"/>
        </w:rPr>
        <w:t xml:space="preserve"> </w:t>
      </w:r>
      <w:r>
        <w:rPr>
          <w:szCs w:val="22"/>
        </w:rPr>
        <w:t>pen</w:t>
      </w:r>
      <w:r>
        <w:rPr>
          <w:spacing w:val="-2"/>
          <w:szCs w:val="22"/>
        </w:rPr>
        <w:t>t</w:t>
      </w:r>
      <w:r>
        <w:rPr>
          <w:szCs w:val="22"/>
        </w:rPr>
        <w:t>ru 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1"/>
          <w:szCs w:val="22"/>
        </w:rPr>
        <w:t xml:space="preserve"> </w:t>
      </w:r>
      <w:r>
        <w:rPr>
          <w:spacing w:val="-3"/>
          <w:szCs w:val="22"/>
        </w:rPr>
        <w:t>g</w:t>
      </w:r>
      <w:r>
        <w:rPr>
          <w:szCs w:val="22"/>
        </w:rPr>
        <w:t>ru</w:t>
      </w:r>
      <w:r>
        <w:rPr>
          <w:spacing w:val="-3"/>
          <w:szCs w:val="22"/>
        </w:rPr>
        <w:t>p</w:t>
      </w:r>
      <w:r>
        <w:rPr>
          <w:szCs w:val="22"/>
        </w:rPr>
        <w:t>u</w:t>
      </w:r>
      <w:r>
        <w:rPr>
          <w:spacing w:val="1"/>
          <w:szCs w:val="22"/>
        </w:rPr>
        <w:t>l</w:t>
      </w:r>
      <w:r>
        <w:rPr>
          <w:spacing w:val="-3"/>
          <w:szCs w:val="22"/>
        </w:rPr>
        <w:t>u</w:t>
      </w:r>
      <w:r>
        <w:rPr>
          <w:szCs w:val="22"/>
        </w:rPr>
        <w:t>i</w:t>
      </w:r>
      <w:r>
        <w:rPr>
          <w:spacing w:val="1"/>
          <w:szCs w:val="22"/>
        </w:rPr>
        <w:t xml:space="preserve"> </w:t>
      </w:r>
      <w:r>
        <w:rPr>
          <w:spacing w:val="-3"/>
          <w:szCs w:val="22"/>
        </w:rPr>
        <w:t>c</w:t>
      </w:r>
      <w:r>
        <w:rPr>
          <w:szCs w:val="22"/>
        </w:rPr>
        <w:t>on</w:t>
      </w:r>
      <w:r>
        <w:rPr>
          <w:spacing w:val="1"/>
          <w:szCs w:val="22"/>
        </w:rPr>
        <w:t>t</w:t>
      </w:r>
      <w:r>
        <w:rPr>
          <w:szCs w:val="22"/>
        </w:rPr>
        <w:t>r</w:t>
      </w:r>
      <w:r>
        <w:rPr>
          <w:spacing w:val="-3"/>
          <w:szCs w:val="22"/>
        </w:rPr>
        <w:t>o</w:t>
      </w:r>
      <w:r>
        <w:rPr>
          <w:spacing w:val="1"/>
          <w:szCs w:val="22"/>
        </w:rPr>
        <w:t>l</w:t>
      </w:r>
      <w:r>
        <w:rPr>
          <w:spacing w:val="-2"/>
          <w:szCs w:val="22"/>
        </w:rPr>
        <w:t>)</w:t>
      </w:r>
      <w:r>
        <w:rPr>
          <w:szCs w:val="22"/>
        </w:rPr>
        <w:t xml:space="preserve">. </w:t>
      </w:r>
      <w:r>
        <w:rPr>
          <w:spacing w:val="-1"/>
          <w:szCs w:val="22"/>
        </w:rPr>
        <w:t>P</w:t>
      </w:r>
      <w:r>
        <w:rPr>
          <w:szCs w:val="22"/>
        </w:rPr>
        <w:t>ro</w:t>
      </w:r>
      <w:r>
        <w:rPr>
          <w:spacing w:val="-3"/>
          <w:szCs w:val="22"/>
        </w:rPr>
        <w:t>p</w:t>
      </w:r>
      <w:r>
        <w:rPr>
          <w:szCs w:val="22"/>
        </w:rPr>
        <w:t>o</w:t>
      </w:r>
      <w:r>
        <w:rPr>
          <w:spacing w:val="-2"/>
          <w:szCs w:val="22"/>
        </w:rPr>
        <w:t>r</w:t>
      </w:r>
      <w:r>
        <w:rPr>
          <w:spacing w:val="1"/>
          <w:szCs w:val="22"/>
        </w:rPr>
        <w:t>ţi</w:t>
      </w:r>
      <w:r>
        <w:rPr>
          <w:szCs w:val="22"/>
        </w:rPr>
        <w:t>a</w:t>
      </w:r>
      <w:r>
        <w:rPr>
          <w:spacing w:val="-2"/>
          <w:szCs w:val="22"/>
        </w:rPr>
        <w:t xml:space="preserve"> </w:t>
      </w:r>
      <w:r>
        <w:rPr>
          <w:szCs w:val="22"/>
        </w:rPr>
        <w:t>de canc</w:t>
      </w:r>
      <w:r>
        <w:rPr>
          <w:spacing w:val="-3"/>
          <w:szCs w:val="22"/>
        </w:rPr>
        <w:t>e</w:t>
      </w:r>
      <w:r>
        <w:rPr>
          <w:szCs w:val="22"/>
        </w:rPr>
        <w:t>r</w:t>
      </w:r>
      <w:r>
        <w:rPr>
          <w:spacing w:val="1"/>
          <w:szCs w:val="22"/>
        </w:rPr>
        <w:t xml:space="preserve"> </w:t>
      </w:r>
      <w:r>
        <w:rPr>
          <w:szCs w:val="22"/>
        </w:rPr>
        <w:t>c</w:t>
      </w:r>
      <w:r>
        <w:rPr>
          <w:spacing w:val="-3"/>
          <w:szCs w:val="22"/>
        </w:rPr>
        <w:t>u</w:t>
      </w:r>
      <w:r>
        <w:rPr>
          <w:spacing w:val="1"/>
          <w:szCs w:val="22"/>
        </w:rPr>
        <w:t>t</w:t>
      </w:r>
      <w:r>
        <w:rPr>
          <w:szCs w:val="22"/>
        </w:rPr>
        <w:t>a</w:t>
      </w:r>
      <w:r>
        <w:rPr>
          <w:spacing w:val="-3"/>
          <w:szCs w:val="22"/>
        </w:rPr>
        <w:t>n</w:t>
      </w:r>
      <w:r>
        <w:rPr>
          <w:szCs w:val="22"/>
        </w:rPr>
        <w:t>at</w:t>
      </w:r>
      <w:r>
        <w:rPr>
          <w:spacing w:val="-2"/>
          <w:szCs w:val="22"/>
        </w:rPr>
        <w:t xml:space="preserve"> </w:t>
      </w:r>
      <w:r>
        <w:rPr>
          <w:szCs w:val="22"/>
        </w:rPr>
        <w:t xml:space="preserve">de </w:t>
      </w:r>
      <w:r>
        <w:rPr>
          <w:spacing w:val="-2"/>
          <w:szCs w:val="22"/>
        </w:rPr>
        <w:t>t</w:t>
      </w:r>
      <w:r>
        <w:rPr>
          <w:spacing w:val="1"/>
          <w:szCs w:val="22"/>
        </w:rPr>
        <w:t>i</w:t>
      </w:r>
      <w:r>
        <w:rPr>
          <w:szCs w:val="22"/>
        </w:rPr>
        <w:t>p</w:t>
      </w:r>
      <w:r>
        <w:rPr>
          <w:spacing w:val="-1"/>
          <w:szCs w:val="22"/>
        </w:rPr>
        <w:t xml:space="preserve"> </w:t>
      </w:r>
      <w:r>
        <w:rPr>
          <w:spacing w:val="-3"/>
          <w:szCs w:val="22"/>
        </w:rPr>
        <w:t>n</w:t>
      </w:r>
      <w:r>
        <w:rPr>
          <w:szCs w:val="22"/>
        </w:rPr>
        <w:t>e</w:t>
      </w:r>
      <w:r>
        <w:rPr>
          <w:spacing w:val="-2"/>
          <w:szCs w:val="22"/>
        </w:rPr>
        <w:noBreakHyphen/>
      </w:r>
      <w:r>
        <w:rPr>
          <w:spacing w:val="-4"/>
          <w:szCs w:val="22"/>
        </w:rPr>
        <w:t>m</w:t>
      </w:r>
      <w:r>
        <w:rPr>
          <w:spacing w:val="2"/>
          <w:szCs w:val="22"/>
        </w:rPr>
        <w:t>e</w:t>
      </w:r>
      <w:r>
        <w:rPr>
          <w:spacing w:val="1"/>
          <w:szCs w:val="22"/>
        </w:rPr>
        <w:t>l</w:t>
      </w:r>
      <w:r>
        <w:rPr>
          <w:szCs w:val="22"/>
        </w:rPr>
        <w:t>anom</w:t>
      </w:r>
      <w:r>
        <w:rPr>
          <w:spacing w:val="-4"/>
          <w:szCs w:val="22"/>
        </w:rPr>
        <w:t xml:space="preserve"> </w:t>
      </w:r>
      <w:r>
        <w:rPr>
          <w:szCs w:val="22"/>
        </w:rPr>
        <w:t>a fo</w:t>
      </w:r>
      <w:r>
        <w:rPr>
          <w:spacing w:val="-2"/>
          <w:szCs w:val="22"/>
        </w:rPr>
        <w:t>s</w:t>
      </w:r>
      <w:r>
        <w:rPr>
          <w:szCs w:val="22"/>
        </w:rPr>
        <w:t>t</w:t>
      </w:r>
      <w:r>
        <w:rPr>
          <w:spacing w:val="1"/>
          <w:szCs w:val="22"/>
        </w:rPr>
        <w:t xml:space="preserve"> </w:t>
      </w:r>
      <w:r>
        <w:rPr>
          <w:szCs w:val="22"/>
        </w:rPr>
        <w:t>de</w:t>
      </w:r>
      <w:r>
        <w:rPr>
          <w:spacing w:val="-2"/>
          <w:szCs w:val="22"/>
        </w:rPr>
        <w:t xml:space="preserve"> </w:t>
      </w:r>
      <w:r>
        <w:rPr>
          <w:szCs w:val="22"/>
        </w:rPr>
        <w:t xml:space="preserve">8,8 </w:t>
      </w:r>
      <w:r>
        <w:rPr>
          <w:spacing w:val="-2"/>
          <w:szCs w:val="22"/>
        </w:rPr>
        <w:t>(</w:t>
      </w:r>
      <w:r>
        <w:rPr>
          <w:szCs w:val="22"/>
        </w:rPr>
        <w:t>6,0</w:t>
      </w:r>
      <w:r>
        <w:rPr>
          <w:spacing w:val="-4"/>
          <w:szCs w:val="22"/>
        </w:rPr>
        <w:noBreakHyphen/>
      </w:r>
      <w:r>
        <w:rPr>
          <w:szCs w:val="22"/>
        </w:rPr>
        <w:t>13,0)</w:t>
      </w:r>
      <w:r>
        <w:rPr>
          <w:spacing w:val="1"/>
          <w:szCs w:val="22"/>
        </w:rPr>
        <w:t xml:space="preserve"> </w:t>
      </w:r>
      <w:r>
        <w:rPr>
          <w:szCs w:val="22"/>
        </w:rPr>
        <w:t>p</w:t>
      </w:r>
      <w:r>
        <w:rPr>
          <w:spacing w:val="-3"/>
          <w:szCs w:val="22"/>
        </w:rPr>
        <w:t>e</w:t>
      </w:r>
      <w:r>
        <w:rPr>
          <w:szCs w:val="22"/>
        </w:rPr>
        <w:t>r</w:t>
      </w:r>
      <w:r>
        <w:rPr>
          <w:spacing w:val="1"/>
          <w:szCs w:val="22"/>
        </w:rPr>
        <w:t xml:space="preserve"> </w:t>
      </w:r>
      <w:r>
        <w:rPr>
          <w:szCs w:val="22"/>
        </w:rPr>
        <w:t>1000</w:t>
      </w:r>
      <w:r>
        <w:rPr>
          <w:spacing w:val="-3"/>
          <w:szCs w:val="22"/>
        </w:rPr>
        <w:t xml:space="preserve"> </w:t>
      </w:r>
      <w:r>
        <w:rPr>
          <w:szCs w:val="22"/>
        </w:rPr>
        <w:t xml:space="preserve">de </w:t>
      </w:r>
      <w:r>
        <w:rPr>
          <w:spacing w:val="-3"/>
          <w:szCs w:val="22"/>
        </w:rPr>
        <w:t>a</w:t>
      </w:r>
      <w:r>
        <w:rPr>
          <w:szCs w:val="22"/>
        </w:rPr>
        <w:t>n</w:t>
      </w:r>
      <w:r>
        <w:rPr>
          <w:spacing w:val="1"/>
          <w:szCs w:val="22"/>
        </w:rPr>
        <w:t>i</w:t>
      </w:r>
      <w:r>
        <w:rPr>
          <w:spacing w:val="-4"/>
          <w:szCs w:val="22"/>
        </w:rPr>
        <w:t>-</w:t>
      </w:r>
      <w:r>
        <w:rPr>
          <w:szCs w:val="22"/>
        </w:rPr>
        <w:t>pac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pacing w:val="-1"/>
          <w:szCs w:val="22"/>
        </w:rPr>
        <w:t>d</w:t>
      </w:r>
      <w:r>
        <w:rPr>
          <w:spacing w:val="1"/>
          <w:szCs w:val="22"/>
        </w:rPr>
        <w:t>i</w:t>
      </w:r>
      <w:r>
        <w:rPr>
          <w:szCs w:val="22"/>
        </w:rPr>
        <w:t>n</w:t>
      </w:r>
      <w:r>
        <w:rPr>
          <w:spacing w:val="-2"/>
          <w:szCs w:val="22"/>
        </w:rPr>
        <w:t>t</w:t>
      </w:r>
      <w:r>
        <w:rPr>
          <w:szCs w:val="22"/>
        </w:rPr>
        <w:t xml:space="preserve">re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w:t>
      </w:r>
      <w:r>
        <w:rPr>
          <w:spacing w:val="1"/>
          <w:szCs w:val="22"/>
        </w:rPr>
        <w:t>i</w:t>
      </w:r>
      <w:r>
        <w:rPr>
          <w:spacing w:val="-3"/>
          <w:szCs w:val="22"/>
        </w:rPr>
        <w:t>n</w:t>
      </w:r>
      <w:r>
        <w:rPr>
          <w:spacing w:val="1"/>
          <w:szCs w:val="22"/>
        </w:rPr>
        <w:t>t</w:t>
      </w:r>
      <w:r>
        <w:rPr>
          <w:szCs w:val="22"/>
        </w:rPr>
        <w:t>er</w:t>
      </w:r>
      <w:r>
        <w:rPr>
          <w:spacing w:val="-3"/>
          <w:szCs w:val="22"/>
        </w:rPr>
        <w:t>v</w:t>
      </w:r>
      <w:r>
        <w:rPr>
          <w:szCs w:val="22"/>
        </w:rPr>
        <w:t>al</w:t>
      </w:r>
      <w:r>
        <w:rPr>
          <w:spacing w:val="-2"/>
          <w:szCs w:val="22"/>
        </w:rPr>
        <w:t xml:space="preserve"> </w:t>
      </w:r>
      <w:r>
        <w:rPr>
          <w:szCs w:val="22"/>
        </w:rPr>
        <w:t>de s</w:t>
      </w:r>
      <w:r>
        <w:rPr>
          <w:spacing w:val="1"/>
          <w:szCs w:val="22"/>
        </w:rPr>
        <w:t>i</w:t>
      </w:r>
      <w:r>
        <w:rPr>
          <w:spacing w:val="-3"/>
          <w:szCs w:val="22"/>
        </w:rPr>
        <w:t>g</w:t>
      </w:r>
      <w:r>
        <w:rPr>
          <w:szCs w:val="22"/>
        </w:rPr>
        <w:t>u</w:t>
      </w:r>
      <w:r>
        <w:rPr>
          <w:spacing w:val="-2"/>
          <w:szCs w:val="22"/>
        </w:rPr>
        <w:t>r</w:t>
      </w:r>
      <w:r>
        <w:rPr>
          <w:szCs w:val="22"/>
        </w:rPr>
        <w:t>an</w:t>
      </w:r>
      <w:r>
        <w:rPr>
          <w:spacing w:val="-2"/>
          <w:szCs w:val="22"/>
        </w:rPr>
        <w:t>ţ</w:t>
      </w:r>
      <w:r>
        <w:rPr>
          <w:szCs w:val="22"/>
        </w:rPr>
        <w:t>ă 9</w:t>
      </w:r>
      <w:r>
        <w:rPr>
          <w:spacing w:val="-3"/>
          <w:szCs w:val="22"/>
        </w:rPr>
        <w:t>5</w:t>
      </w:r>
      <w:r>
        <w:rPr>
          <w:szCs w:val="22"/>
        </w:rPr>
        <w:t>%)</w:t>
      </w:r>
      <w:r>
        <w:rPr>
          <w:spacing w:val="1"/>
          <w:szCs w:val="22"/>
        </w:rPr>
        <w:t xml:space="preserve"> </w:t>
      </w:r>
      <w:r>
        <w:rPr>
          <w:spacing w:val="-2"/>
          <w:szCs w:val="22"/>
        </w:rPr>
        <w:t>ş</w:t>
      </w:r>
      <w:r>
        <w:rPr>
          <w:szCs w:val="22"/>
        </w:rPr>
        <w:t>i</w:t>
      </w:r>
      <w:r>
        <w:rPr>
          <w:spacing w:val="1"/>
          <w:szCs w:val="22"/>
        </w:rPr>
        <w:t xml:space="preserve"> </w:t>
      </w:r>
      <w:r>
        <w:rPr>
          <w:spacing w:val="-3"/>
          <w:szCs w:val="22"/>
        </w:rPr>
        <w:t>d</w:t>
      </w:r>
      <w:r>
        <w:rPr>
          <w:szCs w:val="22"/>
        </w:rPr>
        <w:t>e 3,2</w:t>
      </w:r>
      <w:r>
        <w:rPr>
          <w:spacing w:val="-3"/>
          <w:szCs w:val="22"/>
        </w:rPr>
        <w:t xml:space="preserve"> </w:t>
      </w:r>
      <w:r>
        <w:rPr>
          <w:szCs w:val="22"/>
        </w:rPr>
        <w:t>(1,3</w:t>
      </w:r>
      <w:r>
        <w:rPr>
          <w:spacing w:val="-4"/>
          <w:szCs w:val="22"/>
        </w:rPr>
        <w:noBreakHyphen/>
      </w:r>
      <w:r>
        <w:rPr>
          <w:szCs w:val="22"/>
        </w:rPr>
        <w:t>7,6)</w:t>
      </w:r>
      <w:r>
        <w:rPr>
          <w:spacing w:val="1"/>
          <w:szCs w:val="22"/>
        </w:rPr>
        <w:t xml:space="preserve"> </w:t>
      </w:r>
      <w:r>
        <w:rPr>
          <w:szCs w:val="22"/>
        </w:rPr>
        <w:t>per</w:t>
      </w:r>
      <w:r>
        <w:rPr>
          <w:spacing w:val="-2"/>
          <w:szCs w:val="22"/>
        </w:rPr>
        <w:t xml:space="preserve"> </w:t>
      </w:r>
      <w:r>
        <w:rPr>
          <w:szCs w:val="22"/>
        </w:rPr>
        <w:t xml:space="preserve">1000 </w:t>
      </w:r>
      <w:r>
        <w:rPr>
          <w:spacing w:val="-3"/>
          <w:szCs w:val="22"/>
        </w:rPr>
        <w:t>a</w:t>
      </w:r>
      <w:r>
        <w:rPr>
          <w:szCs w:val="22"/>
        </w:rPr>
        <w:t>n</w:t>
      </w:r>
      <w:r>
        <w:rPr>
          <w:spacing w:val="1"/>
          <w:szCs w:val="22"/>
        </w:rPr>
        <w:t>i</w:t>
      </w:r>
      <w:r>
        <w:rPr>
          <w:spacing w:val="-4"/>
          <w:szCs w:val="22"/>
        </w:rPr>
        <w:t>-</w:t>
      </w:r>
      <w:r>
        <w:rPr>
          <w:szCs w:val="22"/>
        </w:rPr>
        <w:t>pac</w:t>
      </w:r>
      <w:r>
        <w:rPr>
          <w:spacing w:val="-2"/>
          <w:szCs w:val="22"/>
        </w:rPr>
        <w:t>i</w:t>
      </w:r>
      <w:r>
        <w:rPr>
          <w:szCs w:val="22"/>
        </w:rPr>
        <w:t>en</w:t>
      </w:r>
      <w:r>
        <w:rPr>
          <w:spacing w:val="-2"/>
          <w:szCs w:val="22"/>
        </w:rPr>
        <w:t>ţ</w:t>
      </w:r>
      <w:r>
        <w:rPr>
          <w:szCs w:val="22"/>
        </w:rPr>
        <w:t>i</w:t>
      </w:r>
      <w:r>
        <w:rPr>
          <w:spacing w:val="1"/>
          <w:szCs w:val="22"/>
        </w:rPr>
        <w:t xml:space="preserve"> </w:t>
      </w:r>
      <w:r>
        <w:rPr>
          <w:szCs w:val="22"/>
        </w:rPr>
        <w:t>d</w:t>
      </w:r>
      <w:r>
        <w:rPr>
          <w:spacing w:val="1"/>
          <w:szCs w:val="22"/>
        </w:rPr>
        <w:t>i</w:t>
      </w:r>
      <w:r>
        <w:rPr>
          <w:spacing w:val="-3"/>
          <w:szCs w:val="22"/>
        </w:rPr>
        <w:t>n</w:t>
      </w:r>
      <w:r>
        <w:rPr>
          <w:spacing w:val="1"/>
          <w:szCs w:val="22"/>
        </w:rPr>
        <w:t>t</w:t>
      </w:r>
      <w:r>
        <w:rPr>
          <w:spacing w:val="-2"/>
          <w:szCs w:val="22"/>
        </w:rPr>
        <w:t>r</w:t>
      </w:r>
      <w:r>
        <w:rPr>
          <w:szCs w:val="22"/>
        </w:rPr>
        <w:t>e</w:t>
      </w:r>
      <w:r>
        <w:t xml:space="preserve"> </w:t>
      </w:r>
      <w:r>
        <w:rPr>
          <w:szCs w:val="22"/>
        </w:rPr>
        <w:t>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 xml:space="preserve">i </w:t>
      </w:r>
      <w:r>
        <w:rPr>
          <w:spacing w:val="-3"/>
          <w:szCs w:val="22"/>
        </w:rPr>
        <w:t>g</w:t>
      </w:r>
      <w:r>
        <w:rPr>
          <w:szCs w:val="22"/>
        </w:rPr>
        <w:t>rupu</w:t>
      </w:r>
      <w:r>
        <w:rPr>
          <w:spacing w:val="1"/>
          <w:szCs w:val="22"/>
        </w:rPr>
        <w:t>l</w:t>
      </w:r>
      <w:r>
        <w:rPr>
          <w:szCs w:val="22"/>
        </w:rPr>
        <w:t>ui</w:t>
      </w:r>
      <w:r>
        <w:rPr>
          <w:spacing w:val="-2"/>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zCs w:val="22"/>
        </w:rPr>
        <w:t xml:space="preserve">. </w:t>
      </w:r>
      <w:r>
        <w:rPr>
          <w:spacing w:val="-1"/>
          <w:szCs w:val="22"/>
        </w:rPr>
        <w:t>D</w:t>
      </w:r>
      <w:r>
        <w:rPr>
          <w:spacing w:val="1"/>
          <w:szCs w:val="22"/>
        </w:rPr>
        <w:t>i</w:t>
      </w:r>
      <w:r>
        <w:rPr>
          <w:spacing w:val="-3"/>
          <w:szCs w:val="22"/>
        </w:rPr>
        <w:t>n</w:t>
      </w:r>
      <w:r>
        <w:rPr>
          <w:spacing w:val="1"/>
          <w:szCs w:val="22"/>
        </w:rPr>
        <w:t>t</w:t>
      </w:r>
      <w:r>
        <w:rPr>
          <w:spacing w:val="-2"/>
          <w:szCs w:val="22"/>
        </w:rPr>
        <w:t>r</w:t>
      </w:r>
      <w:r>
        <w:rPr>
          <w:szCs w:val="22"/>
        </w:rPr>
        <w:t>e a</w:t>
      </w:r>
      <w:r>
        <w:rPr>
          <w:spacing w:val="-3"/>
          <w:szCs w:val="22"/>
        </w:rPr>
        <w:t>ce</w:t>
      </w:r>
      <w:r>
        <w:rPr>
          <w:szCs w:val="22"/>
        </w:rPr>
        <w:t>s</w:t>
      </w:r>
      <w:r>
        <w:rPr>
          <w:spacing w:val="1"/>
          <w:szCs w:val="22"/>
        </w:rPr>
        <w:t>t</w:t>
      </w:r>
      <w:r>
        <w:rPr>
          <w:szCs w:val="22"/>
        </w:rPr>
        <w:t>e</w:t>
      </w:r>
      <w:r>
        <w:rPr>
          <w:spacing w:val="-2"/>
          <w:szCs w:val="22"/>
        </w:rPr>
        <w:t xml:space="preserve"> </w:t>
      </w:r>
      <w:r>
        <w:rPr>
          <w:szCs w:val="22"/>
        </w:rPr>
        <w:t>can</w:t>
      </w:r>
      <w:r>
        <w:rPr>
          <w:spacing w:val="-3"/>
          <w:szCs w:val="22"/>
        </w:rPr>
        <w:t>c</w:t>
      </w:r>
      <w:r>
        <w:rPr>
          <w:szCs w:val="22"/>
        </w:rPr>
        <w:t>ere</w:t>
      </w:r>
      <w:r>
        <w:rPr>
          <w:spacing w:val="-2"/>
          <w:szCs w:val="22"/>
        </w:rPr>
        <w:t xml:space="preserve"> </w:t>
      </w:r>
      <w:r>
        <w:rPr>
          <w:szCs w:val="22"/>
        </w:rPr>
        <w:t>c</w:t>
      </w:r>
      <w:r>
        <w:rPr>
          <w:spacing w:val="-3"/>
          <w:szCs w:val="22"/>
        </w:rPr>
        <w:t>u</w:t>
      </w:r>
      <w:r>
        <w:rPr>
          <w:spacing w:val="1"/>
          <w:szCs w:val="22"/>
        </w:rPr>
        <w:t>t</w:t>
      </w:r>
      <w:r>
        <w:rPr>
          <w:szCs w:val="22"/>
        </w:rPr>
        <w:t>an</w:t>
      </w:r>
      <w:r>
        <w:rPr>
          <w:spacing w:val="-3"/>
          <w:szCs w:val="22"/>
        </w:rPr>
        <w:t>a</w:t>
      </w:r>
      <w:r>
        <w:rPr>
          <w:spacing w:val="1"/>
          <w:szCs w:val="22"/>
        </w:rPr>
        <w:t>t</w:t>
      </w:r>
      <w:r>
        <w:rPr>
          <w:szCs w:val="22"/>
        </w:rPr>
        <w:t>e,</w:t>
      </w:r>
      <w:r>
        <w:rPr>
          <w:spacing w:val="-3"/>
          <w:szCs w:val="22"/>
        </w:rPr>
        <w:t xml:space="preserve"> </w:t>
      </w:r>
      <w:r>
        <w:rPr>
          <w:szCs w:val="22"/>
        </w:rPr>
        <w:t>ca</w:t>
      </w:r>
      <w:r>
        <w:rPr>
          <w:spacing w:val="-2"/>
          <w:szCs w:val="22"/>
        </w:rPr>
        <w:t>r</w:t>
      </w:r>
      <w:r>
        <w:rPr>
          <w:szCs w:val="22"/>
        </w:rPr>
        <w:t>c</w:t>
      </w:r>
      <w:r>
        <w:rPr>
          <w:spacing w:val="1"/>
          <w:szCs w:val="22"/>
        </w:rPr>
        <w:t>i</w:t>
      </w:r>
      <w:r>
        <w:rPr>
          <w:spacing w:val="-3"/>
          <w:szCs w:val="22"/>
        </w:rPr>
        <w:t>n</w:t>
      </w:r>
      <w:r>
        <w:rPr>
          <w:szCs w:val="22"/>
        </w:rPr>
        <w:t>oa</w:t>
      </w:r>
      <w:r>
        <w:rPr>
          <w:spacing w:val="-4"/>
          <w:szCs w:val="22"/>
        </w:rPr>
        <w:t>m</w:t>
      </w:r>
      <w:r>
        <w:rPr>
          <w:szCs w:val="22"/>
        </w:rPr>
        <w:t>e</w:t>
      </w:r>
      <w:r>
        <w:rPr>
          <w:spacing w:val="1"/>
          <w:szCs w:val="22"/>
        </w:rPr>
        <w:t>l</w:t>
      </w:r>
      <w:r>
        <w:rPr>
          <w:szCs w:val="22"/>
        </w:rPr>
        <w:t xml:space="preserve">e cu </w:t>
      </w:r>
      <w:r>
        <w:rPr>
          <w:spacing w:val="-3"/>
          <w:szCs w:val="22"/>
        </w:rPr>
        <w:t>c</w:t>
      </w:r>
      <w:r>
        <w:rPr>
          <w:szCs w:val="22"/>
        </w:rPr>
        <w:t>e</w:t>
      </w:r>
      <w:r>
        <w:rPr>
          <w:spacing w:val="1"/>
          <w:szCs w:val="22"/>
        </w:rPr>
        <w:t>l</w:t>
      </w:r>
      <w:r>
        <w:rPr>
          <w:spacing w:val="-3"/>
          <w:szCs w:val="22"/>
        </w:rPr>
        <w:t>u</w:t>
      </w:r>
      <w:r>
        <w:rPr>
          <w:spacing w:val="1"/>
          <w:szCs w:val="22"/>
        </w:rPr>
        <w:t>l</w:t>
      </w:r>
      <w:r>
        <w:rPr>
          <w:szCs w:val="22"/>
        </w:rPr>
        <w:t>e</w:t>
      </w:r>
      <w:r>
        <w:rPr>
          <w:spacing w:val="-2"/>
          <w:szCs w:val="22"/>
        </w:rPr>
        <w:t xml:space="preserve"> </w:t>
      </w:r>
      <w:r>
        <w:rPr>
          <w:szCs w:val="22"/>
        </w:rPr>
        <w:t>scua</w:t>
      </w:r>
      <w:r>
        <w:rPr>
          <w:spacing w:val="-4"/>
          <w:szCs w:val="22"/>
        </w:rPr>
        <w:t>m</w:t>
      </w:r>
      <w:r>
        <w:rPr>
          <w:szCs w:val="22"/>
        </w:rPr>
        <w:t>oa</w:t>
      </w:r>
      <w:r>
        <w:rPr>
          <w:spacing w:val="-2"/>
          <w:szCs w:val="22"/>
        </w:rPr>
        <w:t>s</w:t>
      </w:r>
      <w:r>
        <w:rPr>
          <w:szCs w:val="22"/>
        </w:rPr>
        <w:t>e au a</w:t>
      </w:r>
      <w:r>
        <w:rPr>
          <w:spacing w:val="-3"/>
          <w:szCs w:val="22"/>
        </w:rPr>
        <w:t>v</w:t>
      </w:r>
      <w:r>
        <w:rPr>
          <w:szCs w:val="22"/>
        </w:rPr>
        <w:t>ut</w:t>
      </w:r>
      <w:r>
        <w:rPr>
          <w:spacing w:val="1"/>
          <w:szCs w:val="22"/>
        </w:rPr>
        <w:t xml:space="preserve"> </w:t>
      </w:r>
      <w:r>
        <w:rPr>
          <w:szCs w:val="22"/>
        </w:rPr>
        <w:t>o</w:t>
      </w:r>
      <w:r>
        <w:rPr>
          <w:spacing w:val="-3"/>
          <w:szCs w:val="22"/>
        </w:rPr>
        <w:t xml:space="preserve"> </w:t>
      </w:r>
      <w:r>
        <w:rPr>
          <w:szCs w:val="22"/>
        </w:rPr>
        <w:t>pro</w:t>
      </w:r>
      <w:r>
        <w:rPr>
          <w:spacing w:val="-3"/>
          <w:szCs w:val="22"/>
        </w:rPr>
        <w:t>p</w:t>
      </w:r>
      <w:r>
        <w:rPr>
          <w:szCs w:val="22"/>
        </w:rPr>
        <w:t>o</w:t>
      </w:r>
      <w:r>
        <w:rPr>
          <w:spacing w:val="-2"/>
          <w:szCs w:val="22"/>
        </w:rPr>
        <w:t>r</w:t>
      </w:r>
      <w:r>
        <w:rPr>
          <w:spacing w:val="1"/>
          <w:szCs w:val="22"/>
        </w:rPr>
        <w:t>ţi</w:t>
      </w:r>
      <w:r>
        <w:rPr>
          <w:szCs w:val="22"/>
        </w:rPr>
        <w:t>e de 2,7</w:t>
      </w:r>
      <w:r>
        <w:rPr>
          <w:spacing w:val="-3"/>
          <w:szCs w:val="22"/>
        </w:rPr>
        <w:t xml:space="preserve"> </w:t>
      </w:r>
      <w:r>
        <w:rPr>
          <w:szCs w:val="22"/>
        </w:rPr>
        <w:t>(1,4</w:t>
      </w:r>
      <w:r>
        <w:rPr>
          <w:spacing w:val="-4"/>
          <w:szCs w:val="22"/>
        </w:rPr>
        <w:noBreakHyphen/>
      </w:r>
      <w:r>
        <w:rPr>
          <w:szCs w:val="22"/>
        </w:rPr>
        <w:t>5,4)</w:t>
      </w:r>
      <w:r>
        <w:rPr>
          <w:spacing w:val="1"/>
          <w:szCs w:val="22"/>
        </w:rPr>
        <w:t xml:space="preserve"> </w:t>
      </w:r>
      <w:r>
        <w:rPr>
          <w:szCs w:val="22"/>
        </w:rPr>
        <w:t>per</w:t>
      </w:r>
      <w:r>
        <w:rPr>
          <w:spacing w:val="-2"/>
          <w:szCs w:val="22"/>
        </w:rPr>
        <w:t xml:space="preserve"> </w:t>
      </w:r>
      <w:r>
        <w:rPr>
          <w:szCs w:val="22"/>
        </w:rPr>
        <w:t xml:space="preserve">1000 </w:t>
      </w:r>
      <w:r>
        <w:rPr>
          <w:spacing w:val="-3"/>
          <w:szCs w:val="22"/>
        </w:rPr>
        <w:t>an</w:t>
      </w:r>
      <w:r>
        <w:rPr>
          <w:spacing w:val="1"/>
          <w:szCs w:val="22"/>
        </w:rPr>
        <w:t>i</w:t>
      </w:r>
      <w:r>
        <w:rPr>
          <w:spacing w:val="-4"/>
          <w:szCs w:val="22"/>
        </w:rPr>
        <w:t>-</w:t>
      </w:r>
      <w:r>
        <w:rPr>
          <w:szCs w:val="22"/>
        </w:rPr>
        <w:t>pac</w:t>
      </w:r>
      <w:r>
        <w:rPr>
          <w:spacing w:val="1"/>
          <w:szCs w:val="22"/>
        </w:rPr>
        <w:t>i</w:t>
      </w:r>
      <w:r>
        <w:rPr>
          <w:szCs w:val="22"/>
        </w:rPr>
        <w:t>en</w:t>
      </w:r>
      <w:r>
        <w:rPr>
          <w:spacing w:val="-2"/>
          <w:szCs w:val="22"/>
        </w:rPr>
        <w:t>ţ</w:t>
      </w:r>
      <w:r>
        <w:rPr>
          <w:szCs w:val="22"/>
        </w:rPr>
        <w:t>i</w:t>
      </w:r>
      <w:r>
        <w:rPr>
          <w:spacing w:val="1"/>
          <w:szCs w:val="22"/>
        </w:rPr>
        <w:t xml:space="preserve"> </w:t>
      </w:r>
      <w:r>
        <w:rPr>
          <w:spacing w:val="-3"/>
          <w:szCs w:val="22"/>
        </w:rPr>
        <w:t>d</w:t>
      </w:r>
      <w:r>
        <w:rPr>
          <w:spacing w:val="1"/>
          <w:szCs w:val="22"/>
        </w:rPr>
        <w:t>i</w:t>
      </w:r>
      <w:r>
        <w:rPr>
          <w:szCs w:val="22"/>
        </w:rPr>
        <w:t>n</w:t>
      </w:r>
      <w:r>
        <w:rPr>
          <w:spacing w:val="-2"/>
          <w:szCs w:val="22"/>
        </w:rPr>
        <w:t>t</w:t>
      </w:r>
      <w:r>
        <w:rPr>
          <w:szCs w:val="22"/>
        </w:rPr>
        <w:t xml:space="preserve">re </w:t>
      </w:r>
      <w:r>
        <w:rPr>
          <w:spacing w:val="-3"/>
          <w:szCs w:val="22"/>
        </w:rPr>
        <w:t>p</w:t>
      </w:r>
      <w:r>
        <w:rPr>
          <w:szCs w:val="22"/>
        </w:rPr>
        <w:t>ac</w:t>
      </w:r>
      <w:r>
        <w:rPr>
          <w:spacing w:val="-2"/>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2"/>
          <w:szCs w:val="22"/>
        </w:rPr>
        <w:t>tr</w:t>
      </w:r>
      <w:r>
        <w:rPr>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w:t>
      </w:r>
      <w:r>
        <w:rPr>
          <w:spacing w:val="1"/>
          <w:szCs w:val="22"/>
        </w:rPr>
        <w:t>i</w:t>
      </w:r>
      <w:r>
        <w:rPr>
          <w:spacing w:val="-3"/>
          <w:szCs w:val="22"/>
        </w:rPr>
        <w:t>n</w:t>
      </w:r>
      <w:r>
        <w:rPr>
          <w:spacing w:val="1"/>
          <w:szCs w:val="22"/>
        </w:rPr>
        <w:t>t</w:t>
      </w:r>
      <w:r>
        <w:rPr>
          <w:szCs w:val="22"/>
        </w:rPr>
        <w:t>er</w:t>
      </w:r>
      <w:r>
        <w:rPr>
          <w:spacing w:val="-3"/>
          <w:szCs w:val="22"/>
        </w:rPr>
        <w:t>v</w:t>
      </w:r>
      <w:r>
        <w:rPr>
          <w:szCs w:val="22"/>
        </w:rPr>
        <w:t>al</w:t>
      </w:r>
      <w:r>
        <w:rPr>
          <w:spacing w:val="-2"/>
          <w:szCs w:val="22"/>
        </w:rPr>
        <w:t xml:space="preserve"> </w:t>
      </w:r>
      <w:r>
        <w:rPr>
          <w:szCs w:val="22"/>
        </w:rPr>
        <w:t>de</w:t>
      </w:r>
      <w:r>
        <w:rPr>
          <w:spacing w:val="-2"/>
          <w:szCs w:val="22"/>
        </w:rPr>
        <w:t xml:space="preserve"> </w:t>
      </w:r>
      <w:r>
        <w:rPr>
          <w:szCs w:val="22"/>
        </w:rPr>
        <w:t>s</w:t>
      </w:r>
      <w:r>
        <w:rPr>
          <w:spacing w:val="1"/>
          <w:szCs w:val="22"/>
        </w:rPr>
        <w:t>i</w:t>
      </w:r>
      <w:r>
        <w:rPr>
          <w:spacing w:val="-3"/>
          <w:szCs w:val="22"/>
        </w:rPr>
        <w:t>g</w:t>
      </w:r>
      <w:r>
        <w:rPr>
          <w:szCs w:val="22"/>
        </w:rPr>
        <w:t>ura</w:t>
      </w:r>
      <w:r>
        <w:rPr>
          <w:spacing w:val="-3"/>
          <w:szCs w:val="22"/>
        </w:rPr>
        <w:t>n</w:t>
      </w:r>
      <w:r>
        <w:rPr>
          <w:spacing w:val="1"/>
          <w:szCs w:val="22"/>
        </w:rPr>
        <w:t>ţ</w:t>
      </w:r>
      <w:r>
        <w:rPr>
          <w:szCs w:val="22"/>
        </w:rPr>
        <w:t>ă 9</w:t>
      </w:r>
      <w:r>
        <w:rPr>
          <w:spacing w:val="-3"/>
          <w:szCs w:val="22"/>
        </w:rPr>
        <w:t>5</w:t>
      </w:r>
      <w:r>
        <w:rPr>
          <w:spacing w:val="-2"/>
          <w:szCs w:val="22"/>
        </w:rPr>
        <w:t>%</w:t>
      </w:r>
      <w:r>
        <w:rPr>
          <w:szCs w:val="22"/>
        </w:rPr>
        <w:t>)</w:t>
      </w:r>
      <w:r>
        <w:rPr>
          <w:spacing w:val="1"/>
          <w:szCs w:val="22"/>
        </w:rPr>
        <w:t xml:space="preserve"> </w:t>
      </w:r>
      <w:r>
        <w:rPr>
          <w:szCs w:val="22"/>
        </w:rPr>
        <w:t>şi 0,6 (0,1</w:t>
      </w:r>
      <w:r>
        <w:rPr>
          <w:spacing w:val="-4"/>
          <w:szCs w:val="22"/>
        </w:rPr>
        <w:noBreakHyphen/>
      </w:r>
      <w:r>
        <w:rPr>
          <w:szCs w:val="22"/>
        </w:rPr>
        <w:t>4,5)</w:t>
      </w:r>
      <w:r>
        <w:rPr>
          <w:spacing w:val="1"/>
          <w:szCs w:val="22"/>
        </w:rPr>
        <w:t xml:space="preserve"> </w:t>
      </w:r>
      <w:r>
        <w:rPr>
          <w:szCs w:val="22"/>
        </w:rPr>
        <w:t>p</w:t>
      </w:r>
      <w:r>
        <w:rPr>
          <w:spacing w:val="-3"/>
          <w:szCs w:val="22"/>
        </w:rPr>
        <w:t>e</w:t>
      </w:r>
      <w:r>
        <w:rPr>
          <w:szCs w:val="22"/>
        </w:rPr>
        <w:t>r</w:t>
      </w:r>
      <w:r>
        <w:rPr>
          <w:spacing w:val="1"/>
          <w:szCs w:val="22"/>
        </w:rPr>
        <w:t xml:space="preserve"> </w:t>
      </w:r>
      <w:r>
        <w:rPr>
          <w:szCs w:val="22"/>
        </w:rPr>
        <w:t>1000</w:t>
      </w:r>
      <w:r>
        <w:rPr>
          <w:spacing w:val="-3"/>
          <w:szCs w:val="22"/>
        </w:rPr>
        <w:t xml:space="preserve"> </w:t>
      </w:r>
      <w:r>
        <w:rPr>
          <w:szCs w:val="22"/>
        </w:rPr>
        <w:t>a</w:t>
      </w:r>
      <w:r>
        <w:rPr>
          <w:spacing w:val="-3"/>
          <w:szCs w:val="22"/>
        </w:rPr>
        <w:t>n</w:t>
      </w:r>
      <w:r>
        <w:rPr>
          <w:szCs w:val="22"/>
        </w:rPr>
        <w:t>i</w:t>
      </w:r>
      <w:r>
        <w:rPr>
          <w:spacing w:val="-3"/>
          <w:szCs w:val="22"/>
        </w:rPr>
        <w:noBreakHyphen/>
      </w:r>
      <w:r>
        <w:rPr>
          <w:szCs w:val="22"/>
        </w:rPr>
        <w:t>pac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d</w:t>
      </w:r>
      <w:r>
        <w:rPr>
          <w:spacing w:val="1"/>
          <w:szCs w:val="22"/>
        </w:rPr>
        <w:t>i</w:t>
      </w:r>
      <w:r>
        <w:rPr>
          <w:szCs w:val="22"/>
        </w:rPr>
        <w:t>n</w:t>
      </w:r>
      <w:r>
        <w:rPr>
          <w:spacing w:val="-2"/>
          <w:szCs w:val="22"/>
        </w:rPr>
        <w:t>t</w:t>
      </w:r>
      <w:r>
        <w:rPr>
          <w:szCs w:val="22"/>
        </w:rPr>
        <w:t xml:space="preserve">re </w:t>
      </w:r>
      <w:r>
        <w:rPr>
          <w:spacing w:val="-3"/>
          <w:szCs w:val="22"/>
        </w:rPr>
        <w:t>p</w:t>
      </w:r>
      <w:r>
        <w:rPr>
          <w:szCs w:val="22"/>
        </w:rPr>
        <w:t>ac</w:t>
      </w:r>
      <w:r>
        <w:rPr>
          <w:spacing w:val="-2"/>
          <w:szCs w:val="22"/>
        </w:rPr>
        <w:t>i</w:t>
      </w:r>
      <w:r>
        <w:rPr>
          <w:szCs w:val="22"/>
        </w:rPr>
        <w:t>en</w:t>
      </w:r>
      <w:r>
        <w:rPr>
          <w:spacing w:val="-2"/>
          <w:szCs w:val="22"/>
        </w:rPr>
        <w:t>ţi</w:t>
      </w:r>
      <w:r>
        <w:rPr>
          <w:szCs w:val="22"/>
        </w:rPr>
        <w:t>i</w:t>
      </w:r>
      <w:r>
        <w:rPr>
          <w:spacing w:val="1"/>
          <w:szCs w:val="22"/>
        </w:rPr>
        <w:t xml:space="preserve"> </w:t>
      </w:r>
      <w:r>
        <w:rPr>
          <w:spacing w:val="-3"/>
          <w:szCs w:val="22"/>
        </w:rPr>
        <w:t>g</w:t>
      </w:r>
      <w:r>
        <w:rPr>
          <w:szCs w:val="22"/>
        </w:rPr>
        <w:t>rupu</w:t>
      </w:r>
      <w:r>
        <w:rPr>
          <w:spacing w:val="1"/>
          <w:szCs w:val="22"/>
        </w:rPr>
        <w:t>l</w:t>
      </w:r>
      <w:r>
        <w:rPr>
          <w:spacing w:val="-3"/>
          <w:szCs w:val="22"/>
        </w:rPr>
        <w:t>u</w:t>
      </w:r>
      <w:r>
        <w:rPr>
          <w:szCs w:val="22"/>
        </w:rPr>
        <w:t>i</w:t>
      </w:r>
      <w:r>
        <w:rPr>
          <w:spacing w:val="1"/>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zCs w:val="22"/>
        </w:rPr>
        <w:t xml:space="preserve">. </w:t>
      </w:r>
      <w:r>
        <w:rPr>
          <w:spacing w:val="-3"/>
          <w:szCs w:val="22"/>
        </w:rPr>
        <w:t>P</w:t>
      </w:r>
      <w:r>
        <w:rPr>
          <w:szCs w:val="22"/>
        </w:rPr>
        <w:t>roc</w:t>
      </w:r>
      <w:r>
        <w:rPr>
          <w:spacing w:val="-3"/>
          <w:szCs w:val="22"/>
        </w:rPr>
        <w:t>e</w:t>
      </w:r>
      <w:r>
        <w:rPr>
          <w:szCs w:val="22"/>
        </w:rPr>
        <w:t>n</w:t>
      </w:r>
      <w:r>
        <w:rPr>
          <w:spacing w:val="1"/>
          <w:szCs w:val="22"/>
        </w:rPr>
        <w:t>t</w:t>
      </w:r>
      <w:r>
        <w:rPr>
          <w:spacing w:val="-3"/>
          <w:szCs w:val="22"/>
        </w:rPr>
        <w:t>u</w:t>
      </w:r>
      <w:r>
        <w:rPr>
          <w:szCs w:val="22"/>
        </w:rPr>
        <w:t>l</w:t>
      </w:r>
      <w:r>
        <w:rPr>
          <w:spacing w:val="1"/>
          <w:szCs w:val="22"/>
        </w:rPr>
        <w:t xml:space="preserve"> </w:t>
      </w:r>
      <w:r>
        <w:rPr>
          <w:spacing w:val="-2"/>
          <w:szCs w:val="22"/>
        </w:rPr>
        <w:t>l</w:t>
      </w:r>
      <w:r>
        <w:rPr>
          <w:spacing w:val="1"/>
          <w:szCs w:val="22"/>
        </w:rPr>
        <w:t>i</w:t>
      </w:r>
      <w:r>
        <w:rPr>
          <w:spacing w:val="-4"/>
          <w:szCs w:val="22"/>
        </w:rPr>
        <w:t>m</w:t>
      </w:r>
      <w:r>
        <w:rPr>
          <w:szCs w:val="22"/>
        </w:rPr>
        <w:t>foa</w:t>
      </w:r>
      <w:r>
        <w:rPr>
          <w:spacing w:val="-4"/>
          <w:szCs w:val="22"/>
        </w:rPr>
        <w:t>m</w:t>
      </w:r>
      <w:r>
        <w:rPr>
          <w:szCs w:val="22"/>
        </w:rPr>
        <w:t>e</w:t>
      </w:r>
      <w:r>
        <w:rPr>
          <w:spacing w:val="1"/>
          <w:szCs w:val="22"/>
        </w:rPr>
        <w:t>l</w:t>
      </w:r>
      <w:r>
        <w:rPr>
          <w:szCs w:val="22"/>
        </w:rPr>
        <w:t>or</w:t>
      </w:r>
      <w:r>
        <w:rPr>
          <w:spacing w:val="-2"/>
          <w:szCs w:val="22"/>
        </w:rPr>
        <w:t xml:space="preserve"> </w:t>
      </w:r>
      <w:r>
        <w:rPr>
          <w:szCs w:val="22"/>
        </w:rPr>
        <w:t>(</w:t>
      </w:r>
      <w:r>
        <w:rPr>
          <w:spacing w:val="1"/>
          <w:szCs w:val="22"/>
        </w:rPr>
        <w:t>i</w:t>
      </w:r>
      <w:r>
        <w:rPr>
          <w:spacing w:val="-3"/>
          <w:szCs w:val="22"/>
        </w:rPr>
        <w:t>n</w:t>
      </w:r>
      <w:r>
        <w:rPr>
          <w:spacing w:val="1"/>
          <w:szCs w:val="22"/>
        </w:rPr>
        <w:t>t</w:t>
      </w:r>
      <w:r>
        <w:rPr>
          <w:spacing w:val="-3"/>
          <w:szCs w:val="22"/>
        </w:rPr>
        <w:t>e</w:t>
      </w:r>
      <w:r>
        <w:rPr>
          <w:szCs w:val="22"/>
        </w:rPr>
        <w:t>r</w:t>
      </w:r>
      <w:r>
        <w:rPr>
          <w:spacing w:val="-3"/>
          <w:szCs w:val="22"/>
        </w:rPr>
        <w:t>v</w:t>
      </w:r>
      <w:r>
        <w:rPr>
          <w:szCs w:val="22"/>
        </w:rPr>
        <w:t>al de s</w:t>
      </w:r>
      <w:r>
        <w:rPr>
          <w:spacing w:val="1"/>
          <w:szCs w:val="22"/>
        </w:rPr>
        <w:t>i</w:t>
      </w:r>
      <w:r>
        <w:rPr>
          <w:spacing w:val="-3"/>
          <w:szCs w:val="22"/>
        </w:rPr>
        <w:t>g</w:t>
      </w:r>
      <w:r>
        <w:rPr>
          <w:szCs w:val="22"/>
        </w:rPr>
        <w:t>u</w:t>
      </w:r>
      <w:r>
        <w:rPr>
          <w:spacing w:val="-2"/>
          <w:szCs w:val="22"/>
        </w:rPr>
        <w:t>r</w:t>
      </w:r>
      <w:r>
        <w:rPr>
          <w:szCs w:val="22"/>
        </w:rPr>
        <w:t>an</w:t>
      </w:r>
      <w:r>
        <w:rPr>
          <w:spacing w:val="-2"/>
          <w:szCs w:val="22"/>
        </w:rPr>
        <w:t>ţ</w:t>
      </w:r>
      <w:r>
        <w:rPr>
          <w:szCs w:val="22"/>
        </w:rPr>
        <w:t>ă 9</w:t>
      </w:r>
      <w:r>
        <w:rPr>
          <w:spacing w:val="-3"/>
          <w:szCs w:val="22"/>
        </w:rPr>
        <w:t>5</w:t>
      </w:r>
      <w:r>
        <w:rPr>
          <w:szCs w:val="22"/>
        </w:rPr>
        <w:t>%)</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3"/>
          <w:szCs w:val="22"/>
        </w:rPr>
        <w:t>d</w:t>
      </w:r>
      <w:r>
        <w:rPr>
          <w:szCs w:val="22"/>
        </w:rPr>
        <w:t>e</w:t>
      </w:r>
      <w:r>
        <w:rPr>
          <w:spacing w:val="-2"/>
          <w:szCs w:val="22"/>
        </w:rPr>
        <w:t xml:space="preserve"> </w:t>
      </w:r>
      <w:r>
        <w:rPr>
          <w:szCs w:val="22"/>
        </w:rPr>
        <w:t>0,7 (0,2</w:t>
      </w:r>
      <w:r>
        <w:rPr>
          <w:spacing w:val="-4"/>
          <w:szCs w:val="22"/>
        </w:rPr>
        <w:noBreakHyphen/>
      </w:r>
      <w:r>
        <w:rPr>
          <w:szCs w:val="22"/>
        </w:rPr>
        <w:t>2,7)</w:t>
      </w:r>
      <w:r>
        <w:rPr>
          <w:spacing w:val="1"/>
          <w:szCs w:val="22"/>
        </w:rPr>
        <w:t xml:space="preserve"> </w:t>
      </w:r>
      <w:r>
        <w:rPr>
          <w:szCs w:val="22"/>
        </w:rPr>
        <w:t>p</w:t>
      </w:r>
      <w:r>
        <w:rPr>
          <w:spacing w:val="-3"/>
          <w:szCs w:val="22"/>
        </w:rPr>
        <w:t>e</w:t>
      </w:r>
      <w:r>
        <w:rPr>
          <w:szCs w:val="22"/>
        </w:rPr>
        <w:t>r</w:t>
      </w:r>
      <w:r>
        <w:rPr>
          <w:spacing w:val="1"/>
          <w:szCs w:val="22"/>
        </w:rPr>
        <w:t xml:space="preserve"> </w:t>
      </w:r>
      <w:r>
        <w:rPr>
          <w:szCs w:val="22"/>
        </w:rPr>
        <w:t>1000</w:t>
      </w:r>
      <w:r>
        <w:rPr>
          <w:spacing w:val="-3"/>
          <w:szCs w:val="22"/>
        </w:rPr>
        <w:t xml:space="preserve"> </w:t>
      </w:r>
      <w:r>
        <w:rPr>
          <w:szCs w:val="22"/>
        </w:rPr>
        <w:t>a</w:t>
      </w:r>
      <w:r>
        <w:rPr>
          <w:spacing w:val="-3"/>
          <w:szCs w:val="22"/>
        </w:rPr>
        <w:t>n</w:t>
      </w:r>
      <w:r>
        <w:rPr>
          <w:szCs w:val="22"/>
        </w:rPr>
        <w:t>i</w:t>
      </w:r>
      <w:r>
        <w:rPr>
          <w:spacing w:val="-4"/>
          <w:szCs w:val="22"/>
        </w:rPr>
        <w:t>-</w:t>
      </w:r>
      <w:r>
        <w:rPr>
          <w:spacing w:val="2"/>
          <w:szCs w:val="22"/>
        </w:rPr>
        <w:t>p</w:t>
      </w:r>
      <w:r>
        <w:rPr>
          <w:szCs w:val="22"/>
        </w:rPr>
        <w:t>ac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d</w:t>
      </w:r>
      <w:r>
        <w:rPr>
          <w:spacing w:val="-2"/>
          <w:szCs w:val="22"/>
        </w:rPr>
        <w:t>i</w:t>
      </w:r>
      <w:r>
        <w:rPr>
          <w:szCs w:val="22"/>
        </w:rPr>
        <w:t>n</w:t>
      </w:r>
      <w:r>
        <w:rPr>
          <w:spacing w:val="-2"/>
          <w:szCs w:val="22"/>
        </w:rPr>
        <w:t>t</w:t>
      </w:r>
      <w:r>
        <w:rPr>
          <w:szCs w:val="22"/>
        </w:rPr>
        <w:t>re 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2"/>
          <w:szCs w:val="22"/>
        </w:rPr>
        <w:t>ta</w:t>
      </w:r>
      <w:r>
        <w:rPr>
          <w:spacing w:val="1"/>
          <w:szCs w:val="22"/>
        </w:rPr>
        <w:t>ţ</w:t>
      </w:r>
      <w:r>
        <w:rPr>
          <w:szCs w:val="22"/>
        </w:rPr>
        <w:t>i</w:t>
      </w:r>
      <w:r>
        <w:rPr>
          <w:spacing w:val="1"/>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w:t>
      </w:r>
      <w:r>
        <w:rPr>
          <w:szCs w:val="22"/>
        </w:rPr>
        <w:t>de 0,6 (0,1</w:t>
      </w:r>
      <w:r>
        <w:rPr>
          <w:spacing w:val="-4"/>
          <w:szCs w:val="22"/>
        </w:rPr>
        <w:noBreakHyphen/>
      </w:r>
      <w:r>
        <w:rPr>
          <w:szCs w:val="22"/>
        </w:rPr>
        <w:t>4,5)</w:t>
      </w:r>
      <w:r>
        <w:rPr>
          <w:spacing w:val="1"/>
          <w:szCs w:val="22"/>
        </w:rPr>
        <w:t xml:space="preserve"> </w:t>
      </w:r>
      <w:r>
        <w:rPr>
          <w:szCs w:val="22"/>
        </w:rPr>
        <w:t>p</w:t>
      </w:r>
      <w:r>
        <w:rPr>
          <w:spacing w:val="-3"/>
          <w:szCs w:val="22"/>
        </w:rPr>
        <w:t>e</w:t>
      </w:r>
      <w:r>
        <w:rPr>
          <w:szCs w:val="22"/>
        </w:rPr>
        <w:t>r</w:t>
      </w:r>
      <w:r>
        <w:rPr>
          <w:spacing w:val="1"/>
          <w:szCs w:val="22"/>
        </w:rPr>
        <w:t xml:space="preserve"> </w:t>
      </w:r>
      <w:r>
        <w:rPr>
          <w:szCs w:val="22"/>
        </w:rPr>
        <w:t>1000</w:t>
      </w:r>
      <w:r>
        <w:rPr>
          <w:spacing w:val="-3"/>
          <w:szCs w:val="22"/>
        </w:rPr>
        <w:t xml:space="preserve"> </w:t>
      </w:r>
      <w:r>
        <w:rPr>
          <w:szCs w:val="22"/>
        </w:rPr>
        <w:t>a</w:t>
      </w:r>
      <w:r>
        <w:rPr>
          <w:spacing w:val="-3"/>
          <w:szCs w:val="22"/>
        </w:rPr>
        <w:t>n</w:t>
      </w:r>
      <w:r>
        <w:rPr>
          <w:szCs w:val="22"/>
        </w:rPr>
        <w:t>i</w:t>
      </w:r>
      <w:r>
        <w:rPr>
          <w:spacing w:val="-3"/>
          <w:szCs w:val="22"/>
        </w:rPr>
        <w:noBreakHyphen/>
      </w:r>
      <w:r>
        <w:rPr>
          <w:szCs w:val="22"/>
        </w:rPr>
        <w:t>pac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d</w:t>
      </w:r>
      <w:r>
        <w:rPr>
          <w:spacing w:val="1"/>
          <w:szCs w:val="22"/>
        </w:rPr>
        <w:t>i</w:t>
      </w:r>
      <w:r>
        <w:rPr>
          <w:szCs w:val="22"/>
        </w:rPr>
        <w:t>n</w:t>
      </w:r>
      <w:r>
        <w:rPr>
          <w:spacing w:val="-2"/>
          <w:szCs w:val="22"/>
        </w:rPr>
        <w:t>t</w:t>
      </w:r>
      <w:r>
        <w:rPr>
          <w:szCs w:val="22"/>
        </w:rPr>
        <w:t xml:space="preserve">re </w:t>
      </w:r>
      <w:r>
        <w:rPr>
          <w:spacing w:val="-3"/>
          <w:szCs w:val="22"/>
        </w:rPr>
        <w:t>p</w:t>
      </w:r>
      <w:r>
        <w:rPr>
          <w:szCs w:val="22"/>
        </w:rPr>
        <w:t>ac</w:t>
      </w:r>
      <w:r>
        <w:rPr>
          <w:spacing w:val="-2"/>
          <w:szCs w:val="22"/>
        </w:rPr>
        <w:t>i</w:t>
      </w:r>
      <w:r>
        <w:rPr>
          <w:szCs w:val="22"/>
        </w:rPr>
        <w:t>en</w:t>
      </w:r>
      <w:r>
        <w:rPr>
          <w:spacing w:val="-2"/>
          <w:szCs w:val="22"/>
        </w:rPr>
        <w:t>ţi</w:t>
      </w:r>
      <w:r>
        <w:rPr>
          <w:szCs w:val="22"/>
        </w:rPr>
        <w:t>i</w:t>
      </w:r>
      <w:r>
        <w:rPr>
          <w:spacing w:val="1"/>
          <w:szCs w:val="22"/>
        </w:rPr>
        <w:t xml:space="preserve"> </w:t>
      </w:r>
      <w:r>
        <w:rPr>
          <w:spacing w:val="-3"/>
          <w:szCs w:val="22"/>
        </w:rPr>
        <w:t>g</w:t>
      </w:r>
      <w:r>
        <w:rPr>
          <w:szCs w:val="22"/>
        </w:rPr>
        <w:t>rupu</w:t>
      </w:r>
      <w:r>
        <w:rPr>
          <w:spacing w:val="1"/>
          <w:szCs w:val="22"/>
        </w:rPr>
        <w:t>l</w:t>
      </w:r>
      <w:r>
        <w:rPr>
          <w:spacing w:val="-3"/>
          <w:szCs w:val="22"/>
        </w:rPr>
        <w:t>u</w:t>
      </w:r>
      <w:r>
        <w:rPr>
          <w:szCs w:val="22"/>
        </w:rPr>
        <w:t>i</w:t>
      </w:r>
      <w:r>
        <w:rPr>
          <w:spacing w:val="1"/>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zCs w:val="22"/>
        </w:rPr>
        <w:t>.</w:t>
      </w:r>
    </w:p>
    <w:p w14:paraId="06538E47" w14:textId="77777777" w:rsidR="00C04CAD" w:rsidRDefault="00C04CAD">
      <w:pPr>
        <w:tabs>
          <w:tab w:val="clear" w:pos="567"/>
        </w:tabs>
        <w:kinsoku w:val="0"/>
        <w:overflowPunct w:val="0"/>
        <w:autoSpaceDE w:val="0"/>
        <w:autoSpaceDN w:val="0"/>
        <w:adjustRightInd w:val="0"/>
        <w:spacing w:line="240" w:lineRule="auto"/>
        <w:rPr>
          <w:spacing w:val="-1"/>
          <w:szCs w:val="22"/>
        </w:rPr>
      </w:pPr>
    </w:p>
    <w:p w14:paraId="4E85E2EE"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C</w:t>
      </w:r>
      <w:r>
        <w:rPr>
          <w:szCs w:val="22"/>
        </w:rPr>
        <w:t>o</w:t>
      </w:r>
      <w:r>
        <w:rPr>
          <w:spacing w:val="-4"/>
          <w:szCs w:val="22"/>
        </w:rPr>
        <w:t>m</w:t>
      </w:r>
      <w:r>
        <w:rPr>
          <w:szCs w:val="22"/>
        </w:rPr>
        <w:t>b</w:t>
      </w:r>
      <w:r>
        <w:rPr>
          <w:spacing w:val="1"/>
          <w:szCs w:val="22"/>
        </w:rPr>
        <w:t>i</w:t>
      </w:r>
      <w:r>
        <w:rPr>
          <w:szCs w:val="22"/>
        </w:rPr>
        <w:t>nând e</w:t>
      </w:r>
      <w:r>
        <w:rPr>
          <w:spacing w:val="1"/>
          <w:szCs w:val="22"/>
        </w:rPr>
        <w:t>t</w:t>
      </w:r>
      <w:r>
        <w:rPr>
          <w:spacing w:val="-3"/>
          <w:szCs w:val="22"/>
        </w:rPr>
        <w:t>a</w:t>
      </w:r>
      <w:r>
        <w:rPr>
          <w:szCs w:val="22"/>
        </w:rPr>
        <w:t>pe</w:t>
      </w:r>
      <w:r>
        <w:rPr>
          <w:spacing w:val="-2"/>
          <w:szCs w:val="22"/>
        </w:rPr>
        <w:t>l</w:t>
      </w:r>
      <w:r>
        <w:rPr>
          <w:szCs w:val="22"/>
        </w:rPr>
        <w:t>e co</w:t>
      </w:r>
      <w:r>
        <w:rPr>
          <w:spacing w:val="-3"/>
          <w:szCs w:val="22"/>
        </w:rPr>
        <w:t>n</w:t>
      </w:r>
      <w:r>
        <w:rPr>
          <w:spacing w:val="1"/>
          <w:szCs w:val="22"/>
        </w:rPr>
        <w:t>t</w:t>
      </w:r>
      <w:r>
        <w:rPr>
          <w:spacing w:val="-2"/>
          <w:szCs w:val="22"/>
        </w:rPr>
        <w:t>r</w:t>
      </w:r>
      <w:r>
        <w:rPr>
          <w:szCs w:val="22"/>
        </w:rPr>
        <w:t>o</w:t>
      </w:r>
      <w:r>
        <w:rPr>
          <w:spacing w:val="-2"/>
          <w:szCs w:val="22"/>
        </w:rPr>
        <w:t>l</w:t>
      </w:r>
      <w:r>
        <w:rPr>
          <w:szCs w:val="22"/>
        </w:rPr>
        <w:t>a</w:t>
      </w:r>
      <w:r>
        <w:rPr>
          <w:spacing w:val="1"/>
          <w:szCs w:val="22"/>
        </w:rPr>
        <w:t>t</w:t>
      </w:r>
      <w:r>
        <w:rPr>
          <w:szCs w:val="22"/>
        </w:rPr>
        <w:t>e</w:t>
      </w:r>
      <w:r>
        <w:rPr>
          <w:spacing w:val="-2"/>
          <w:szCs w:val="22"/>
        </w:rPr>
        <w:t xml:space="preserve"> </w:t>
      </w:r>
      <w:r>
        <w:rPr>
          <w:szCs w:val="22"/>
        </w:rPr>
        <w:t>a</w:t>
      </w:r>
      <w:r>
        <w:rPr>
          <w:spacing w:val="1"/>
          <w:szCs w:val="22"/>
        </w:rPr>
        <w:t>l</w:t>
      </w:r>
      <w:r>
        <w:rPr>
          <w:szCs w:val="22"/>
        </w:rPr>
        <w:t>e</w:t>
      </w:r>
      <w:r>
        <w:rPr>
          <w:spacing w:val="-2"/>
          <w:szCs w:val="22"/>
        </w:rPr>
        <w:t xml:space="preserve"> </w:t>
      </w:r>
      <w:r>
        <w:rPr>
          <w:szCs w:val="22"/>
        </w:rPr>
        <w:t>ac</w:t>
      </w:r>
      <w:r>
        <w:rPr>
          <w:spacing w:val="-3"/>
          <w:szCs w:val="22"/>
        </w:rPr>
        <w:t>e</w:t>
      </w:r>
      <w:r>
        <w:rPr>
          <w:szCs w:val="22"/>
        </w:rPr>
        <w:t>s</w:t>
      </w:r>
      <w:r>
        <w:rPr>
          <w:spacing w:val="1"/>
          <w:szCs w:val="22"/>
        </w:rPr>
        <w:t>t</w:t>
      </w:r>
      <w:r>
        <w:rPr>
          <w:spacing w:val="-3"/>
          <w:szCs w:val="22"/>
        </w:rPr>
        <w:t>o</w:t>
      </w:r>
      <w:r>
        <w:rPr>
          <w:szCs w:val="22"/>
        </w:rPr>
        <w:t>r</w:t>
      </w:r>
      <w:r>
        <w:rPr>
          <w:spacing w:val="1"/>
          <w:szCs w:val="22"/>
        </w:rPr>
        <w:t xml:space="preserve"> </w:t>
      </w:r>
      <w:r>
        <w:rPr>
          <w:spacing w:val="-2"/>
          <w:szCs w:val="22"/>
        </w:rPr>
        <w:t>s</w:t>
      </w:r>
      <w:r>
        <w:rPr>
          <w:spacing w:val="1"/>
          <w:szCs w:val="22"/>
        </w:rPr>
        <w:t>t</w:t>
      </w:r>
      <w:r>
        <w:rPr>
          <w:szCs w:val="22"/>
        </w:rPr>
        <w:t>u</w:t>
      </w:r>
      <w:r>
        <w:rPr>
          <w:spacing w:val="-3"/>
          <w:szCs w:val="22"/>
        </w:rPr>
        <w:t>d</w:t>
      </w:r>
      <w:r>
        <w:rPr>
          <w:spacing w:val="1"/>
          <w:szCs w:val="22"/>
        </w:rPr>
        <w:t>i</w:t>
      </w:r>
      <w:r>
        <w:rPr>
          <w:szCs w:val="22"/>
        </w:rPr>
        <w:t>i</w:t>
      </w:r>
      <w:r>
        <w:rPr>
          <w:spacing w:val="-2"/>
          <w:szCs w:val="22"/>
        </w:rPr>
        <w:t xml:space="preserve"> </w:t>
      </w:r>
      <w:r>
        <w:rPr>
          <w:szCs w:val="22"/>
        </w:rPr>
        <w:t>şi</w:t>
      </w:r>
      <w:r>
        <w:rPr>
          <w:spacing w:val="-2"/>
          <w:szCs w:val="22"/>
        </w:rPr>
        <w:t xml:space="preserve"> </w:t>
      </w:r>
      <w:r>
        <w:rPr>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e de</w:t>
      </w:r>
      <w:r>
        <w:rPr>
          <w:spacing w:val="-2"/>
          <w:szCs w:val="22"/>
        </w:rPr>
        <w:t xml:space="preserve"> t</w:t>
      </w:r>
      <w:r>
        <w:rPr>
          <w:spacing w:val="1"/>
          <w:szCs w:val="22"/>
        </w:rPr>
        <w:t>i</w:t>
      </w:r>
      <w:r>
        <w:rPr>
          <w:szCs w:val="22"/>
        </w:rPr>
        <w:t>p e</w:t>
      </w:r>
      <w:r>
        <w:rPr>
          <w:spacing w:val="-3"/>
          <w:szCs w:val="22"/>
        </w:rPr>
        <w:t>x</w:t>
      </w:r>
      <w:r>
        <w:rPr>
          <w:spacing w:val="1"/>
          <w:szCs w:val="22"/>
        </w:rPr>
        <w:t>t</w:t>
      </w:r>
      <w:r>
        <w:rPr>
          <w:spacing w:val="-2"/>
          <w:szCs w:val="22"/>
        </w:rPr>
        <w:t>i</w:t>
      </w:r>
      <w:r>
        <w:rPr>
          <w:szCs w:val="22"/>
        </w:rPr>
        <w:t xml:space="preserve">ns, </w:t>
      </w:r>
      <w:r>
        <w:rPr>
          <w:spacing w:val="-3"/>
          <w:szCs w:val="22"/>
        </w:rPr>
        <w:t>d</w:t>
      </w:r>
      <w:r>
        <w:rPr>
          <w:szCs w:val="22"/>
        </w:rPr>
        <w:t>esc</w:t>
      </w:r>
      <w:r>
        <w:rPr>
          <w:spacing w:val="-3"/>
          <w:szCs w:val="22"/>
        </w:rPr>
        <w:t>h</w:t>
      </w:r>
      <w:r>
        <w:rPr>
          <w:spacing w:val="1"/>
          <w:szCs w:val="22"/>
        </w:rPr>
        <w:t>i</w:t>
      </w:r>
      <w:r>
        <w:rPr>
          <w:szCs w:val="22"/>
        </w:rPr>
        <w:t>s</w:t>
      </w:r>
      <w:r>
        <w:rPr>
          <w:spacing w:val="-3"/>
          <w:szCs w:val="22"/>
        </w:rPr>
        <w:t>e</w:t>
      </w:r>
      <w:r>
        <w:rPr>
          <w:szCs w:val="22"/>
        </w:rPr>
        <w:t xml:space="preserve">, </w:t>
      </w:r>
      <w:r>
        <w:rPr>
          <w:spacing w:val="-2"/>
          <w:szCs w:val="22"/>
        </w:rPr>
        <w:t>î</w:t>
      </w:r>
      <w:r>
        <w:rPr>
          <w:szCs w:val="22"/>
        </w:rPr>
        <w:t>n de</w:t>
      </w:r>
      <w:r>
        <w:rPr>
          <w:spacing w:val="-2"/>
          <w:szCs w:val="22"/>
        </w:rPr>
        <w:t>s</w:t>
      </w:r>
      <w:r>
        <w:rPr>
          <w:szCs w:val="22"/>
        </w:rPr>
        <w:t>făş</w:t>
      </w:r>
      <w:r>
        <w:rPr>
          <w:spacing w:val="-3"/>
          <w:szCs w:val="22"/>
        </w:rPr>
        <w:t>u</w:t>
      </w:r>
      <w:r>
        <w:rPr>
          <w:szCs w:val="22"/>
        </w:rPr>
        <w:t>r</w:t>
      </w:r>
      <w:r>
        <w:rPr>
          <w:spacing w:val="-3"/>
          <w:szCs w:val="22"/>
        </w:rPr>
        <w:t>a</w:t>
      </w:r>
      <w:r>
        <w:rPr>
          <w:szCs w:val="22"/>
        </w:rPr>
        <w:t xml:space="preserve">re </w:t>
      </w:r>
      <w:r>
        <w:rPr>
          <w:spacing w:val="-2"/>
          <w:szCs w:val="22"/>
        </w:rPr>
        <w:t>ş</w:t>
      </w:r>
      <w:r>
        <w:rPr>
          <w:szCs w:val="22"/>
        </w:rPr>
        <w:t>i f</w:t>
      </w:r>
      <w:r>
        <w:rPr>
          <w:spacing w:val="1"/>
          <w:szCs w:val="22"/>
        </w:rPr>
        <w:t>i</w:t>
      </w:r>
      <w:r>
        <w:rPr>
          <w:szCs w:val="22"/>
        </w:rPr>
        <w:t>n</w:t>
      </w:r>
      <w:r>
        <w:rPr>
          <w:spacing w:val="-3"/>
          <w:szCs w:val="22"/>
        </w:rPr>
        <w:t>a</w:t>
      </w:r>
      <w:r>
        <w:rPr>
          <w:spacing w:val="-2"/>
          <w:szCs w:val="22"/>
        </w:rPr>
        <w:t>l</w:t>
      </w:r>
      <w:r>
        <w:rPr>
          <w:spacing w:val="1"/>
          <w:szCs w:val="22"/>
        </w:rPr>
        <w:t>i</w:t>
      </w:r>
      <w:r>
        <w:rPr>
          <w:spacing w:val="-3"/>
          <w:szCs w:val="22"/>
        </w:rPr>
        <w:t>z</w:t>
      </w:r>
      <w:r>
        <w:rPr>
          <w:szCs w:val="22"/>
        </w:rPr>
        <w:t>a</w:t>
      </w:r>
      <w:r>
        <w:rPr>
          <w:spacing w:val="1"/>
          <w:szCs w:val="22"/>
        </w:rPr>
        <w:t>t</w:t>
      </w:r>
      <w:r>
        <w:rPr>
          <w:szCs w:val="22"/>
        </w:rPr>
        <w:t xml:space="preserve">e </w:t>
      </w:r>
      <w:r>
        <w:rPr>
          <w:spacing w:val="-3"/>
          <w:szCs w:val="22"/>
        </w:rPr>
        <w:t>c</w:t>
      </w:r>
      <w:r>
        <w:rPr>
          <w:szCs w:val="22"/>
        </w:rPr>
        <w:t>u o d</w:t>
      </w:r>
      <w:r>
        <w:rPr>
          <w:spacing w:val="-3"/>
          <w:szCs w:val="22"/>
        </w:rPr>
        <w:t>u</w:t>
      </w:r>
      <w:r>
        <w:rPr>
          <w:szCs w:val="22"/>
        </w:rPr>
        <w:t>r</w:t>
      </w:r>
      <w:r>
        <w:rPr>
          <w:spacing w:val="-3"/>
          <w:szCs w:val="22"/>
        </w:rPr>
        <w:t>a</w:t>
      </w:r>
      <w:r>
        <w:rPr>
          <w:spacing w:val="1"/>
          <w:szCs w:val="22"/>
        </w:rPr>
        <w:t>t</w:t>
      </w:r>
      <w:r>
        <w:rPr>
          <w:szCs w:val="22"/>
        </w:rPr>
        <w:t xml:space="preserve">ă </w:t>
      </w:r>
      <w:r>
        <w:rPr>
          <w:spacing w:val="-4"/>
          <w:szCs w:val="22"/>
        </w:rPr>
        <w:t>m</w:t>
      </w:r>
      <w:r>
        <w:rPr>
          <w:szCs w:val="22"/>
        </w:rPr>
        <w:t>ed</w:t>
      </w:r>
      <w:r>
        <w:rPr>
          <w:spacing w:val="1"/>
          <w:szCs w:val="22"/>
        </w:rPr>
        <w:t>i</w:t>
      </w:r>
      <w:r>
        <w:rPr>
          <w:szCs w:val="22"/>
        </w:rPr>
        <w:t>e</w:t>
      </w:r>
      <w:r>
        <w:rPr>
          <w:spacing w:val="-2"/>
          <w:szCs w:val="22"/>
        </w:rPr>
        <w:t xml:space="preserve"> </w:t>
      </w:r>
      <w:r>
        <w:rPr>
          <w:szCs w:val="22"/>
        </w:rPr>
        <w:t>de a</w:t>
      </w:r>
      <w:r>
        <w:rPr>
          <w:spacing w:val="-3"/>
          <w:szCs w:val="22"/>
        </w:rPr>
        <w:t>p</w:t>
      </w:r>
      <w:r>
        <w:rPr>
          <w:szCs w:val="22"/>
        </w:rPr>
        <w:t>rox</w:t>
      </w:r>
      <w:r>
        <w:rPr>
          <w:spacing w:val="1"/>
          <w:szCs w:val="22"/>
        </w:rPr>
        <w:t>i</w:t>
      </w:r>
      <w:r>
        <w:rPr>
          <w:spacing w:val="-4"/>
          <w:szCs w:val="22"/>
        </w:rPr>
        <w:t>m</w:t>
      </w:r>
      <w:r>
        <w:rPr>
          <w:szCs w:val="22"/>
        </w:rPr>
        <w:t>a</w:t>
      </w:r>
      <w:r>
        <w:rPr>
          <w:spacing w:val="-2"/>
          <w:szCs w:val="22"/>
        </w:rPr>
        <w:t>t</w:t>
      </w:r>
      <w:r>
        <w:rPr>
          <w:spacing w:val="1"/>
          <w:szCs w:val="22"/>
        </w:rPr>
        <w:t>i</w:t>
      </w:r>
      <w:r>
        <w:rPr>
          <w:szCs w:val="22"/>
        </w:rPr>
        <w:t>v</w:t>
      </w:r>
      <w:r>
        <w:rPr>
          <w:spacing w:val="-3"/>
          <w:szCs w:val="22"/>
        </w:rPr>
        <w:t xml:space="preserve"> </w:t>
      </w:r>
      <w:r>
        <w:rPr>
          <w:szCs w:val="22"/>
        </w:rPr>
        <w:t>3,3 an</w:t>
      </w:r>
      <w:r>
        <w:rPr>
          <w:spacing w:val="1"/>
          <w:szCs w:val="22"/>
        </w:rPr>
        <w:t>i</w:t>
      </w:r>
      <w:r>
        <w:rPr>
          <w:szCs w:val="22"/>
        </w:rPr>
        <w:t>,</w:t>
      </w:r>
      <w:r>
        <w:rPr>
          <w:spacing w:val="-3"/>
          <w:szCs w:val="22"/>
        </w:rPr>
        <w:t xml:space="preserve"> </w:t>
      </w:r>
      <w:r>
        <w:rPr>
          <w:spacing w:val="1"/>
          <w:szCs w:val="22"/>
        </w:rPr>
        <w:t>i</w:t>
      </w:r>
      <w:r>
        <w:rPr>
          <w:szCs w:val="22"/>
        </w:rPr>
        <w:t>n</w:t>
      </w:r>
      <w:r>
        <w:rPr>
          <w:spacing w:val="-3"/>
          <w:szCs w:val="22"/>
        </w:rPr>
        <w:t>c</w:t>
      </w:r>
      <w:r>
        <w:rPr>
          <w:spacing w:val="1"/>
          <w:szCs w:val="22"/>
        </w:rPr>
        <w:t>l</w:t>
      </w:r>
      <w:r>
        <w:rPr>
          <w:szCs w:val="22"/>
        </w:rPr>
        <w:t>u</w:t>
      </w:r>
      <w:r>
        <w:rPr>
          <w:spacing w:val="-3"/>
          <w:szCs w:val="22"/>
        </w:rPr>
        <w:t>z</w:t>
      </w:r>
      <w:r>
        <w:rPr>
          <w:szCs w:val="22"/>
        </w:rPr>
        <w:t>ând 6427</w:t>
      </w:r>
      <w:r>
        <w:rPr>
          <w:spacing w:val="-3"/>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şi</w:t>
      </w:r>
      <w:r>
        <w:rPr>
          <w:spacing w:val="1"/>
          <w:szCs w:val="22"/>
        </w:rPr>
        <w:t xml:space="preserve"> </w:t>
      </w:r>
      <w:r>
        <w:rPr>
          <w:spacing w:val="-3"/>
          <w:szCs w:val="22"/>
        </w:rPr>
        <w:t>p</w:t>
      </w:r>
      <w:r>
        <w:rPr>
          <w:szCs w:val="22"/>
        </w:rPr>
        <w:t>e</w:t>
      </w:r>
      <w:r>
        <w:rPr>
          <w:spacing w:val="-2"/>
          <w:szCs w:val="22"/>
        </w:rPr>
        <w:t>st</w:t>
      </w:r>
      <w:r>
        <w:rPr>
          <w:szCs w:val="22"/>
        </w:rPr>
        <w:t>e 26439</w:t>
      </w:r>
      <w:r>
        <w:rPr>
          <w:spacing w:val="-3"/>
          <w:szCs w:val="22"/>
        </w:rPr>
        <w:t xml:space="preserve"> </w:t>
      </w:r>
      <w:r>
        <w:rPr>
          <w:szCs w:val="22"/>
        </w:rPr>
        <w:t>ani-pac</w:t>
      </w:r>
      <w:r>
        <w:rPr>
          <w:spacing w:val="-2"/>
          <w:szCs w:val="22"/>
        </w:rPr>
        <w:t>i</w:t>
      </w:r>
      <w:r>
        <w:rPr>
          <w:szCs w:val="22"/>
        </w:rPr>
        <w:t>en</w:t>
      </w:r>
      <w:r>
        <w:rPr>
          <w:spacing w:val="-2"/>
          <w:szCs w:val="22"/>
        </w:rPr>
        <w:t>ţ</w:t>
      </w:r>
      <w:r>
        <w:rPr>
          <w:szCs w:val="22"/>
        </w:rPr>
        <w:t>i</w:t>
      </w:r>
      <w:r>
        <w:rPr>
          <w:spacing w:val="1"/>
          <w:szCs w:val="22"/>
        </w:rPr>
        <w:t xml:space="preserve"> </w:t>
      </w:r>
      <w:r>
        <w:rPr>
          <w:szCs w:val="22"/>
        </w:rPr>
        <w:t>de</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 s</w:t>
      </w:r>
      <w:r>
        <w:rPr>
          <w:spacing w:val="-4"/>
          <w:szCs w:val="22"/>
        </w:rPr>
        <w:t>-</w:t>
      </w:r>
      <w:r>
        <w:rPr>
          <w:szCs w:val="22"/>
        </w:rPr>
        <w:t>a obser</w:t>
      </w:r>
      <w:r>
        <w:rPr>
          <w:spacing w:val="-3"/>
          <w:szCs w:val="22"/>
        </w:rPr>
        <w:t>v</w:t>
      </w:r>
      <w:r>
        <w:rPr>
          <w:szCs w:val="22"/>
        </w:rPr>
        <w:t>at</w:t>
      </w:r>
      <w:r>
        <w:rPr>
          <w:spacing w:val="-2"/>
          <w:szCs w:val="22"/>
        </w:rPr>
        <w:t xml:space="preserve"> </w:t>
      </w:r>
      <w:r>
        <w:rPr>
          <w:szCs w:val="22"/>
        </w:rPr>
        <w:t>o r</w:t>
      </w:r>
      <w:r>
        <w:rPr>
          <w:spacing w:val="-3"/>
          <w:szCs w:val="22"/>
        </w:rPr>
        <w:t>a</w:t>
      </w:r>
      <w:r>
        <w:rPr>
          <w:spacing w:val="1"/>
          <w:szCs w:val="22"/>
        </w:rPr>
        <w:t>t</w:t>
      </w:r>
      <w:r>
        <w:rPr>
          <w:szCs w:val="22"/>
        </w:rPr>
        <w:t xml:space="preserve">ă </w:t>
      </w:r>
      <w:r>
        <w:rPr>
          <w:spacing w:val="-3"/>
          <w:szCs w:val="22"/>
        </w:rPr>
        <w:t>d</w:t>
      </w:r>
      <w:r>
        <w:rPr>
          <w:szCs w:val="22"/>
        </w:rPr>
        <w:t>e a</w:t>
      </w:r>
      <w:r>
        <w:rPr>
          <w:spacing w:val="-3"/>
          <w:szCs w:val="22"/>
        </w:rPr>
        <w:t>p</w:t>
      </w:r>
      <w:r>
        <w:rPr>
          <w:szCs w:val="22"/>
        </w:rPr>
        <w:t>a</w:t>
      </w:r>
      <w:r>
        <w:rPr>
          <w:spacing w:val="-2"/>
          <w:szCs w:val="22"/>
        </w:rPr>
        <w:t>r</w:t>
      </w:r>
      <w:r>
        <w:rPr>
          <w:spacing w:val="1"/>
          <w:szCs w:val="22"/>
        </w:rPr>
        <w:t>i</w:t>
      </w:r>
      <w:r>
        <w:rPr>
          <w:spacing w:val="-2"/>
          <w:szCs w:val="22"/>
        </w:rPr>
        <w:t>ţ</w:t>
      </w:r>
      <w:r>
        <w:rPr>
          <w:spacing w:val="1"/>
          <w:szCs w:val="22"/>
        </w:rPr>
        <w:t>i</w:t>
      </w:r>
      <w:r>
        <w:rPr>
          <w:szCs w:val="22"/>
        </w:rPr>
        <w:t>e a</w:t>
      </w:r>
      <w:r>
        <w:rPr>
          <w:spacing w:val="-2"/>
          <w:szCs w:val="22"/>
        </w:rPr>
        <w:t xml:space="preserve"> </w:t>
      </w:r>
      <w:r>
        <w:rPr>
          <w:szCs w:val="22"/>
        </w:rPr>
        <w:t>afe</w:t>
      </w:r>
      <w:r>
        <w:rPr>
          <w:spacing w:val="-3"/>
          <w:szCs w:val="22"/>
        </w:rPr>
        <w:t>c</w:t>
      </w:r>
      <w:r>
        <w:rPr>
          <w:spacing w:val="1"/>
          <w:szCs w:val="22"/>
        </w:rPr>
        <w:t>ţ</w:t>
      </w:r>
      <w:r>
        <w:rPr>
          <w:spacing w:val="-2"/>
          <w:szCs w:val="22"/>
        </w:rPr>
        <w:t>i</w:t>
      </w:r>
      <w:r>
        <w:rPr>
          <w:szCs w:val="22"/>
        </w:rPr>
        <w:t>un</w:t>
      </w:r>
      <w:r>
        <w:rPr>
          <w:spacing w:val="-2"/>
          <w:szCs w:val="22"/>
        </w:rPr>
        <w:t>i</w:t>
      </w:r>
      <w:r>
        <w:rPr>
          <w:spacing w:val="1"/>
          <w:szCs w:val="22"/>
        </w:rPr>
        <w:t>l</w:t>
      </w:r>
      <w:r>
        <w:rPr>
          <w:szCs w:val="22"/>
        </w:rPr>
        <w:t>or</w:t>
      </w:r>
      <w:r>
        <w:rPr>
          <w:spacing w:val="-2"/>
          <w:szCs w:val="22"/>
        </w:rPr>
        <w:t xml:space="preserve"> </w:t>
      </w:r>
      <w:r>
        <w:rPr>
          <w:spacing w:val="-4"/>
          <w:szCs w:val="22"/>
        </w:rPr>
        <w:t>m</w:t>
      </w:r>
      <w:r>
        <w:rPr>
          <w:szCs w:val="22"/>
        </w:rPr>
        <w:t>a</w:t>
      </w:r>
      <w:r>
        <w:rPr>
          <w:spacing w:val="1"/>
          <w:szCs w:val="22"/>
        </w:rPr>
        <w:t>li</w:t>
      </w:r>
      <w:r>
        <w:rPr>
          <w:spacing w:val="-3"/>
          <w:szCs w:val="22"/>
        </w:rPr>
        <w:t>g</w:t>
      </w:r>
      <w:r>
        <w:rPr>
          <w:szCs w:val="22"/>
        </w:rPr>
        <w:t>ne, a</w:t>
      </w:r>
      <w:r>
        <w:rPr>
          <w:spacing w:val="-2"/>
          <w:szCs w:val="22"/>
        </w:rPr>
        <w:t>l</w:t>
      </w:r>
      <w:r>
        <w:rPr>
          <w:spacing w:val="1"/>
          <w:szCs w:val="22"/>
        </w:rPr>
        <w:t>t</w:t>
      </w:r>
      <w:r>
        <w:rPr>
          <w:spacing w:val="-3"/>
          <w:szCs w:val="22"/>
        </w:rPr>
        <w:t>e</w:t>
      </w:r>
      <w:r>
        <w:rPr>
          <w:spacing w:val="1"/>
          <w:szCs w:val="22"/>
        </w:rPr>
        <w:t>l</w:t>
      </w:r>
      <w:r>
        <w:rPr>
          <w:szCs w:val="22"/>
        </w:rPr>
        <w:t>e</w:t>
      </w:r>
      <w:r>
        <w:rPr>
          <w:spacing w:val="-2"/>
          <w:szCs w:val="22"/>
        </w:rPr>
        <w:t xml:space="preserve"> </w:t>
      </w:r>
      <w:r>
        <w:rPr>
          <w:szCs w:val="22"/>
        </w:rPr>
        <w:t>dec</w:t>
      </w:r>
      <w:r>
        <w:rPr>
          <w:spacing w:val="-3"/>
          <w:szCs w:val="22"/>
        </w:rPr>
        <w:t>â</w:t>
      </w:r>
      <w:r>
        <w:rPr>
          <w:szCs w:val="22"/>
        </w:rPr>
        <w:t>t</w:t>
      </w:r>
      <w:r>
        <w:rPr>
          <w:spacing w:val="1"/>
          <w:szCs w:val="22"/>
        </w:rPr>
        <w:t xml:space="preserve"> </w:t>
      </w:r>
      <w:r>
        <w:rPr>
          <w:spacing w:val="-2"/>
          <w:szCs w:val="22"/>
        </w:rPr>
        <w:t>l</w:t>
      </w:r>
      <w:r>
        <w:rPr>
          <w:spacing w:val="1"/>
          <w:szCs w:val="22"/>
        </w:rPr>
        <w:t>i</w:t>
      </w:r>
      <w:r>
        <w:rPr>
          <w:spacing w:val="-4"/>
          <w:szCs w:val="22"/>
        </w:rPr>
        <w:t>m</w:t>
      </w:r>
      <w:r>
        <w:rPr>
          <w:szCs w:val="22"/>
        </w:rPr>
        <w:t>fom</w:t>
      </w:r>
      <w:r>
        <w:rPr>
          <w:spacing w:val="-4"/>
          <w:szCs w:val="22"/>
        </w:rPr>
        <w:t xml:space="preserve"> </w:t>
      </w:r>
      <w:r>
        <w:rPr>
          <w:szCs w:val="22"/>
        </w:rPr>
        <w:t>şi canc</w:t>
      </w:r>
      <w:r>
        <w:rPr>
          <w:spacing w:val="-3"/>
          <w:szCs w:val="22"/>
        </w:rPr>
        <w:t>e</w:t>
      </w:r>
      <w:r>
        <w:rPr>
          <w:szCs w:val="22"/>
        </w:rPr>
        <w:t>r</w:t>
      </w:r>
      <w:r>
        <w:rPr>
          <w:spacing w:val="-3"/>
          <w:szCs w:val="22"/>
        </w:rPr>
        <w:t>u</w:t>
      </w:r>
      <w:r>
        <w:rPr>
          <w:szCs w:val="22"/>
        </w:rPr>
        <w:t>l</w:t>
      </w:r>
      <w:r>
        <w:rPr>
          <w:spacing w:val="1"/>
          <w:szCs w:val="22"/>
        </w:rPr>
        <w:t xml:space="preserve"> </w:t>
      </w:r>
      <w:r>
        <w:rPr>
          <w:szCs w:val="22"/>
        </w:rPr>
        <w:t>c</w:t>
      </w:r>
      <w:r>
        <w:rPr>
          <w:spacing w:val="-3"/>
          <w:szCs w:val="22"/>
        </w:rPr>
        <w:t>u</w:t>
      </w:r>
      <w:r>
        <w:rPr>
          <w:spacing w:val="1"/>
          <w:szCs w:val="22"/>
        </w:rPr>
        <w:t>t</w:t>
      </w:r>
      <w:r>
        <w:rPr>
          <w:szCs w:val="22"/>
        </w:rPr>
        <w:t>an</w:t>
      </w:r>
      <w:r>
        <w:rPr>
          <w:spacing w:val="-3"/>
          <w:szCs w:val="22"/>
        </w:rPr>
        <w:t>a</w:t>
      </w:r>
      <w:r>
        <w:rPr>
          <w:szCs w:val="22"/>
        </w:rPr>
        <w:t>t</w:t>
      </w:r>
      <w:r>
        <w:rPr>
          <w:spacing w:val="1"/>
          <w:szCs w:val="22"/>
        </w:rPr>
        <w:t xml:space="preserve"> </w:t>
      </w:r>
      <w:r>
        <w:rPr>
          <w:spacing w:val="-3"/>
          <w:szCs w:val="22"/>
        </w:rPr>
        <w:t>d</w:t>
      </w:r>
      <w:r>
        <w:rPr>
          <w:szCs w:val="22"/>
        </w:rPr>
        <w:t xml:space="preserve">e </w:t>
      </w:r>
      <w:r>
        <w:rPr>
          <w:spacing w:val="-2"/>
          <w:szCs w:val="22"/>
        </w:rPr>
        <w:t>t</w:t>
      </w:r>
      <w:r>
        <w:rPr>
          <w:spacing w:val="1"/>
          <w:szCs w:val="22"/>
        </w:rPr>
        <w:t>i</w:t>
      </w:r>
      <w:r>
        <w:rPr>
          <w:szCs w:val="22"/>
        </w:rPr>
        <w:t>p ne</w:t>
      </w:r>
      <w:r>
        <w:rPr>
          <w:spacing w:val="-5"/>
          <w:szCs w:val="22"/>
        </w:rPr>
        <w:t>-</w:t>
      </w:r>
      <w:r>
        <w:rPr>
          <w:spacing w:val="-4"/>
          <w:szCs w:val="22"/>
        </w:rPr>
        <w:t>m</w:t>
      </w:r>
      <w:r>
        <w:rPr>
          <w:szCs w:val="22"/>
        </w:rPr>
        <w:t>e</w:t>
      </w:r>
      <w:r>
        <w:rPr>
          <w:spacing w:val="1"/>
          <w:szCs w:val="22"/>
        </w:rPr>
        <w:t>l</w:t>
      </w:r>
      <w:r>
        <w:rPr>
          <w:szCs w:val="22"/>
        </w:rPr>
        <w:t>ano</w:t>
      </w:r>
      <w:r>
        <w:rPr>
          <w:spacing w:val="-4"/>
          <w:szCs w:val="22"/>
        </w:rPr>
        <w:t>m</w:t>
      </w:r>
      <w:r>
        <w:rPr>
          <w:szCs w:val="22"/>
        </w:rPr>
        <w:t>, de aprox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8</w:t>
      </w:r>
      <w:r>
        <w:rPr>
          <w:szCs w:val="22"/>
        </w:rPr>
        <w:t>,5 per</w:t>
      </w:r>
      <w:r>
        <w:rPr>
          <w:spacing w:val="-2"/>
          <w:szCs w:val="22"/>
        </w:rPr>
        <w:t xml:space="preserve"> </w:t>
      </w:r>
      <w:r>
        <w:rPr>
          <w:szCs w:val="22"/>
        </w:rPr>
        <w:t xml:space="preserve">1000 </w:t>
      </w:r>
      <w:r>
        <w:rPr>
          <w:spacing w:val="-3"/>
          <w:szCs w:val="22"/>
        </w:rPr>
        <w:t>a</w:t>
      </w:r>
      <w:r>
        <w:rPr>
          <w:szCs w:val="22"/>
        </w:rPr>
        <w:t>n</w:t>
      </w:r>
      <w:r>
        <w:rPr>
          <w:spacing w:val="1"/>
          <w:szCs w:val="22"/>
        </w:rPr>
        <w:t>i</w:t>
      </w:r>
      <w:r>
        <w:rPr>
          <w:spacing w:val="-4"/>
          <w:szCs w:val="22"/>
        </w:rPr>
        <w:t>-</w:t>
      </w:r>
      <w:r>
        <w:rPr>
          <w:szCs w:val="22"/>
        </w:rPr>
        <w:t>pac</w:t>
      </w:r>
      <w:r>
        <w:rPr>
          <w:spacing w:val="1"/>
          <w:szCs w:val="22"/>
        </w:rPr>
        <w:t>i</w:t>
      </w:r>
      <w:r>
        <w:rPr>
          <w:szCs w:val="22"/>
        </w:rPr>
        <w:t>e</w:t>
      </w:r>
      <w:r>
        <w:rPr>
          <w:spacing w:val="-3"/>
          <w:szCs w:val="22"/>
        </w:rPr>
        <w:t>n</w:t>
      </w:r>
      <w:r>
        <w:rPr>
          <w:spacing w:val="1"/>
          <w:szCs w:val="22"/>
        </w:rPr>
        <w:t>ţi</w:t>
      </w:r>
      <w:r>
        <w:rPr>
          <w:szCs w:val="22"/>
        </w:rPr>
        <w:t>.</w:t>
      </w:r>
      <w:r>
        <w:rPr>
          <w:spacing w:val="-3"/>
          <w:szCs w:val="22"/>
        </w:rPr>
        <w:t xml:space="preserve"> </w:t>
      </w:r>
      <w:r>
        <w:rPr>
          <w:spacing w:val="-1"/>
          <w:szCs w:val="22"/>
        </w:rPr>
        <w:t>R</w:t>
      </w:r>
      <w:r>
        <w:rPr>
          <w:spacing w:val="-3"/>
          <w:szCs w:val="22"/>
        </w:rPr>
        <w:t>a</w:t>
      </w:r>
      <w:r>
        <w:rPr>
          <w:spacing w:val="1"/>
          <w:szCs w:val="22"/>
        </w:rPr>
        <w:t>t</w:t>
      </w:r>
      <w:r>
        <w:rPr>
          <w:szCs w:val="22"/>
        </w:rPr>
        <w:t>a de</w:t>
      </w:r>
      <w:r>
        <w:rPr>
          <w:spacing w:val="-2"/>
          <w:szCs w:val="22"/>
        </w:rPr>
        <w:t xml:space="preserve"> </w:t>
      </w:r>
      <w:r>
        <w:rPr>
          <w:szCs w:val="22"/>
        </w:rPr>
        <w:t>ap</w:t>
      </w:r>
      <w:r>
        <w:rPr>
          <w:spacing w:val="-3"/>
          <w:szCs w:val="22"/>
        </w:rPr>
        <w:t>a</w:t>
      </w:r>
      <w:r>
        <w:rPr>
          <w:szCs w:val="22"/>
        </w:rPr>
        <w:t>r</w:t>
      </w:r>
      <w:r>
        <w:rPr>
          <w:spacing w:val="-2"/>
          <w:szCs w:val="22"/>
        </w:rPr>
        <w:t>i</w:t>
      </w:r>
      <w:r>
        <w:rPr>
          <w:spacing w:val="1"/>
          <w:szCs w:val="22"/>
        </w:rPr>
        <w:t>ţ</w:t>
      </w:r>
      <w:r>
        <w:rPr>
          <w:spacing w:val="-2"/>
          <w:szCs w:val="22"/>
        </w:rPr>
        <w:t>i</w:t>
      </w:r>
      <w:r>
        <w:rPr>
          <w:szCs w:val="22"/>
        </w:rPr>
        <w:t>e a canc</w:t>
      </w:r>
      <w:r>
        <w:rPr>
          <w:spacing w:val="-3"/>
          <w:szCs w:val="22"/>
        </w:rPr>
        <w:t>e</w:t>
      </w:r>
      <w:r>
        <w:rPr>
          <w:szCs w:val="22"/>
        </w:rPr>
        <w:t>r</w:t>
      </w:r>
      <w:r>
        <w:rPr>
          <w:spacing w:val="-3"/>
          <w:szCs w:val="22"/>
        </w:rPr>
        <w:t>u</w:t>
      </w:r>
      <w:r>
        <w:rPr>
          <w:spacing w:val="1"/>
          <w:szCs w:val="22"/>
        </w:rPr>
        <w:t>l</w:t>
      </w:r>
      <w:r>
        <w:rPr>
          <w:spacing w:val="-1"/>
          <w:szCs w:val="22"/>
        </w:rPr>
        <w:t>u</w:t>
      </w:r>
      <w:r>
        <w:rPr>
          <w:szCs w:val="22"/>
        </w:rPr>
        <w:t>i</w:t>
      </w:r>
      <w:r>
        <w:rPr>
          <w:spacing w:val="-2"/>
          <w:szCs w:val="22"/>
        </w:rPr>
        <w:t xml:space="preserve"> </w:t>
      </w:r>
      <w:r>
        <w:rPr>
          <w:szCs w:val="22"/>
        </w:rPr>
        <w:t>cu</w:t>
      </w:r>
      <w:r>
        <w:rPr>
          <w:spacing w:val="-2"/>
          <w:szCs w:val="22"/>
        </w:rPr>
        <w:t>t</w:t>
      </w:r>
      <w:r>
        <w:rPr>
          <w:szCs w:val="22"/>
        </w:rPr>
        <w:t>an</w:t>
      </w:r>
      <w:r>
        <w:rPr>
          <w:spacing w:val="-3"/>
          <w:szCs w:val="22"/>
        </w:rPr>
        <w:t>a</w:t>
      </w:r>
      <w:r>
        <w:rPr>
          <w:szCs w:val="22"/>
        </w:rPr>
        <w:t>t</w:t>
      </w:r>
      <w:r>
        <w:rPr>
          <w:spacing w:val="1"/>
          <w:szCs w:val="22"/>
        </w:rPr>
        <w:t xml:space="preserve"> </w:t>
      </w:r>
      <w:r>
        <w:rPr>
          <w:szCs w:val="22"/>
        </w:rPr>
        <w:t>de</w:t>
      </w:r>
      <w:r>
        <w:rPr>
          <w:spacing w:val="-2"/>
          <w:szCs w:val="22"/>
        </w:rPr>
        <w:t xml:space="preserve"> </w:t>
      </w:r>
      <w:r>
        <w:rPr>
          <w:szCs w:val="22"/>
        </w:rPr>
        <w:t>t</w:t>
      </w:r>
      <w:r>
        <w:rPr>
          <w:spacing w:val="-2"/>
          <w:szCs w:val="22"/>
        </w:rPr>
        <w:t>i</w:t>
      </w:r>
      <w:r>
        <w:rPr>
          <w:szCs w:val="22"/>
        </w:rPr>
        <w:t>p n</w:t>
      </w:r>
      <w:r>
        <w:rPr>
          <w:spacing w:val="-2"/>
          <w:szCs w:val="22"/>
        </w:rPr>
        <w:t>e-m</w:t>
      </w:r>
      <w:r>
        <w:rPr>
          <w:szCs w:val="22"/>
        </w:rPr>
        <w:t>e</w:t>
      </w:r>
      <w:r>
        <w:rPr>
          <w:spacing w:val="1"/>
          <w:szCs w:val="22"/>
        </w:rPr>
        <w:t>l</w:t>
      </w:r>
      <w:r>
        <w:rPr>
          <w:szCs w:val="22"/>
        </w:rPr>
        <w:t>anom</w:t>
      </w:r>
      <w:r>
        <w:rPr>
          <w:spacing w:val="-4"/>
          <w:szCs w:val="22"/>
        </w:rPr>
        <w:t xml:space="preserve"> </w:t>
      </w:r>
      <w:r>
        <w:rPr>
          <w:szCs w:val="22"/>
        </w:rPr>
        <w:t>es</w:t>
      </w:r>
      <w:r>
        <w:rPr>
          <w:spacing w:val="1"/>
          <w:szCs w:val="22"/>
        </w:rPr>
        <w:t>t</w:t>
      </w:r>
      <w:r>
        <w:rPr>
          <w:szCs w:val="22"/>
        </w:rPr>
        <w:t>e de</w:t>
      </w:r>
      <w:r>
        <w:rPr>
          <w:spacing w:val="-2"/>
          <w:szCs w:val="22"/>
        </w:rPr>
        <w:t xml:space="preserve"> </w:t>
      </w:r>
      <w:r>
        <w:rPr>
          <w:szCs w:val="22"/>
        </w:rPr>
        <w:t>ap</w:t>
      </w:r>
      <w:r>
        <w:rPr>
          <w:spacing w:val="-2"/>
          <w:szCs w:val="22"/>
        </w:rPr>
        <w:t>r</w:t>
      </w:r>
      <w:r>
        <w:rPr>
          <w:szCs w:val="22"/>
        </w:rPr>
        <w:t>ox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9,6 p</w:t>
      </w:r>
      <w:r>
        <w:rPr>
          <w:spacing w:val="-3"/>
          <w:szCs w:val="22"/>
        </w:rPr>
        <w:t>e</w:t>
      </w:r>
      <w:r>
        <w:rPr>
          <w:szCs w:val="22"/>
        </w:rPr>
        <w:t>r</w:t>
      </w:r>
      <w:r>
        <w:rPr>
          <w:spacing w:val="1"/>
          <w:szCs w:val="22"/>
        </w:rPr>
        <w:t xml:space="preserve"> </w:t>
      </w:r>
      <w:r>
        <w:rPr>
          <w:szCs w:val="22"/>
        </w:rPr>
        <w:t>1000</w:t>
      </w:r>
      <w:r>
        <w:rPr>
          <w:spacing w:val="-3"/>
          <w:szCs w:val="22"/>
        </w:rPr>
        <w:t xml:space="preserve"> </w:t>
      </w:r>
      <w:r>
        <w:rPr>
          <w:szCs w:val="22"/>
        </w:rPr>
        <w:t>a</w:t>
      </w:r>
      <w:r>
        <w:rPr>
          <w:spacing w:val="-3"/>
          <w:szCs w:val="22"/>
        </w:rPr>
        <w:t>n</w:t>
      </w:r>
      <w:r>
        <w:rPr>
          <w:szCs w:val="22"/>
        </w:rPr>
        <w:t>i</w:t>
      </w:r>
      <w:r>
        <w:rPr>
          <w:spacing w:val="-4"/>
          <w:szCs w:val="22"/>
        </w:rPr>
        <w:t>-</w:t>
      </w:r>
      <w:r>
        <w:rPr>
          <w:szCs w:val="22"/>
        </w:rPr>
        <w:t>pac</w:t>
      </w:r>
      <w:r>
        <w:rPr>
          <w:spacing w:val="1"/>
          <w:szCs w:val="22"/>
        </w:rPr>
        <w:t>i</w:t>
      </w:r>
      <w:r>
        <w:rPr>
          <w:szCs w:val="22"/>
        </w:rPr>
        <w:t>en</w:t>
      </w:r>
      <w:r>
        <w:rPr>
          <w:spacing w:val="-2"/>
          <w:szCs w:val="22"/>
        </w:rPr>
        <w:t>ţ</w:t>
      </w:r>
      <w:r>
        <w:rPr>
          <w:szCs w:val="22"/>
        </w:rPr>
        <w:t>i</w:t>
      </w:r>
      <w:r>
        <w:rPr>
          <w:spacing w:val="1"/>
          <w:szCs w:val="22"/>
        </w:rPr>
        <w:t xml:space="preserve"> </w:t>
      </w:r>
      <w:r>
        <w:rPr>
          <w:szCs w:val="22"/>
        </w:rPr>
        <w:t>şi</w:t>
      </w:r>
      <w:r>
        <w:rPr>
          <w:spacing w:val="-2"/>
          <w:szCs w:val="22"/>
        </w:rPr>
        <w:t xml:space="preserve"> </w:t>
      </w:r>
      <w:r>
        <w:rPr>
          <w:szCs w:val="22"/>
        </w:rPr>
        <w:t>r</w:t>
      </w:r>
      <w:r>
        <w:rPr>
          <w:spacing w:val="-3"/>
          <w:szCs w:val="22"/>
        </w:rPr>
        <w:t>a</w:t>
      </w:r>
      <w:r>
        <w:rPr>
          <w:spacing w:val="1"/>
          <w:szCs w:val="22"/>
        </w:rPr>
        <w:t>t</w:t>
      </w:r>
      <w:r>
        <w:rPr>
          <w:szCs w:val="22"/>
        </w:rPr>
        <w:t xml:space="preserve">a </w:t>
      </w:r>
      <w:r>
        <w:rPr>
          <w:spacing w:val="-3"/>
          <w:szCs w:val="22"/>
        </w:rPr>
        <w:t>d</w:t>
      </w:r>
      <w:r>
        <w:rPr>
          <w:szCs w:val="22"/>
        </w:rPr>
        <w:t>e a</w:t>
      </w:r>
      <w:r>
        <w:rPr>
          <w:spacing w:val="-3"/>
          <w:szCs w:val="22"/>
        </w:rPr>
        <w:t>p</w:t>
      </w:r>
      <w:r>
        <w:rPr>
          <w:szCs w:val="22"/>
        </w:rPr>
        <w:t>a</w:t>
      </w:r>
      <w:r>
        <w:rPr>
          <w:spacing w:val="-2"/>
          <w:szCs w:val="22"/>
        </w:rPr>
        <w:t>r</w:t>
      </w:r>
      <w:r>
        <w:rPr>
          <w:spacing w:val="1"/>
          <w:szCs w:val="22"/>
        </w:rPr>
        <w:t>i</w:t>
      </w:r>
      <w:r>
        <w:rPr>
          <w:spacing w:val="-2"/>
          <w:szCs w:val="22"/>
        </w:rPr>
        <w:t>ţ</w:t>
      </w:r>
      <w:r>
        <w:rPr>
          <w:spacing w:val="1"/>
          <w:szCs w:val="22"/>
        </w:rPr>
        <w:t>i</w:t>
      </w:r>
      <w:r>
        <w:rPr>
          <w:szCs w:val="22"/>
        </w:rPr>
        <w:t xml:space="preserve">e a </w:t>
      </w:r>
      <w:r>
        <w:rPr>
          <w:spacing w:val="1"/>
          <w:szCs w:val="22"/>
        </w:rPr>
        <w:t>li</w:t>
      </w:r>
      <w:r>
        <w:rPr>
          <w:spacing w:val="-4"/>
          <w:szCs w:val="22"/>
        </w:rPr>
        <w:t>m</w:t>
      </w:r>
      <w:r>
        <w:rPr>
          <w:szCs w:val="22"/>
        </w:rPr>
        <w:t>fo</w:t>
      </w:r>
      <w:r>
        <w:rPr>
          <w:spacing w:val="-4"/>
          <w:szCs w:val="22"/>
        </w:rPr>
        <w:t>m</w:t>
      </w:r>
      <w:r>
        <w:rPr>
          <w:szCs w:val="22"/>
        </w:rPr>
        <w:t>u</w:t>
      </w:r>
      <w:r>
        <w:rPr>
          <w:spacing w:val="1"/>
          <w:szCs w:val="22"/>
        </w:rPr>
        <w:t>l</w:t>
      </w:r>
      <w:r>
        <w:rPr>
          <w:szCs w:val="22"/>
        </w:rPr>
        <w:t>ui</w:t>
      </w:r>
      <w:r>
        <w:rPr>
          <w:spacing w:val="1"/>
          <w:szCs w:val="22"/>
        </w:rPr>
        <w:t xml:space="preserve"> </w:t>
      </w:r>
      <w:r>
        <w:rPr>
          <w:szCs w:val="22"/>
        </w:rPr>
        <w:t xml:space="preserve">de </w:t>
      </w:r>
      <w:r>
        <w:rPr>
          <w:spacing w:val="-3"/>
          <w:szCs w:val="22"/>
        </w:rPr>
        <w:t>a</w:t>
      </w:r>
      <w:r>
        <w:rPr>
          <w:szCs w:val="22"/>
        </w:rPr>
        <w:t>pro</w:t>
      </w:r>
      <w:r>
        <w:rPr>
          <w:spacing w:val="-3"/>
          <w:szCs w:val="22"/>
        </w:rPr>
        <w:t>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1,3 per</w:t>
      </w:r>
      <w:r>
        <w:rPr>
          <w:spacing w:val="-2"/>
          <w:szCs w:val="22"/>
        </w:rPr>
        <w:t xml:space="preserve"> </w:t>
      </w:r>
      <w:r>
        <w:rPr>
          <w:szCs w:val="22"/>
        </w:rPr>
        <w:t>1000</w:t>
      </w:r>
      <w:r>
        <w:rPr>
          <w:spacing w:val="-3"/>
          <w:szCs w:val="22"/>
        </w:rPr>
        <w:t xml:space="preserve"> </w:t>
      </w:r>
      <w:r>
        <w:rPr>
          <w:szCs w:val="22"/>
        </w:rPr>
        <w:t>ani</w:t>
      </w:r>
      <w:r>
        <w:rPr>
          <w:spacing w:val="-4"/>
          <w:szCs w:val="22"/>
        </w:rPr>
        <w:t>-</w:t>
      </w:r>
      <w:r>
        <w:rPr>
          <w:szCs w:val="22"/>
        </w:rPr>
        <w:t>pac</w:t>
      </w:r>
      <w:r>
        <w:rPr>
          <w:spacing w:val="1"/>
          <w:szCs w:val="22"/>
        </w:rPr>
        <w:t>i</w:t>
      </w:r>
      <w:r>
        <w:rPr>
          <w:spacing w:val="-3"/>
          <w:szCs w:val="22"/>
        </w:rPr>
        <w:t>e</w:t>
      </w:r>
      <w:r>
        <w:rPr>
          <w:szCs w:val="22"/>
        </w:rPr>
        <w:t>n</w:t>
      </w:r>
      <w:r>
        <w:rPr>
          <w:spacing w:val="-2"/>
          <w:szCs w:val="22"/>
        </w:rPr>
        <w:t>ţ</w:t>
      </w:r>
      <w:r>
        <w:rPr>
          <w:spacing w:val="1"/>
          <w:szCs w:val="22"/>
        </w:rPr>
        <w:t>i</w:t>
      </w:r>
      <w:r>
        <w:rPr>
          <w:szCs w:val="22"/>
        </w:rPr>
        <w:t>.</w:t>
      </w:r>
    </w:p>
    <w:p w14:paraId="015F9397" w14:textId="77777777" w:rsidR="00C04CAD" w:rsidRDefault="00C04CAD">
      <w:pPr>
        <w:tabs>
          <w:tab w:val="clear" w:pos="567"/>
        </w:tabs>
        <w:kinsoku w:val="0"/>
        <w:overflowPunct w:val="0"/>
        <w:autoSpaceDE w:val="0"/>
        <w:autoSpaceDN w:val="0"/>
        <w:adjustRightInd w:val="0"/>
        <w:spacing w:line="240" w:lineRule="auto"/>
        <w:rPr>
          <w:szCs w:val="22"/>
        </w:rPr>
      </w:pPr>
    </w:p>
    <w:p w14:paraId="4AADB423"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exper</w:t>
      </w:r>
      <w:r>
        <w:rPr>
          <w:spacing w:val="1"/>
          <w:szCs w:val="22"/>
        </w:rPr>
        <w:t>i</w:t>
      </w:r>
      <w:r>
        <w:rPr>
          <w:szCs w:val="22"/>
        </w:rPr>
        <w:t>e</w:t>
      </w:r>
      <w:r>
        <w:rPr>
          <w:spacing w:val="-3"/>
          <w:szCs w:val="22"/>
        </w:rPr>
        <w:t>n</w:t>
      </w:r>
      <w:r>
        <w:rPr>
          <w:spacing w:val="1"/>
          <w:szCs w:val="22"/>
        </w:rPr>
        <w:t>ţ</w:t>
      </w:r>
      <w:r>
        <w:rPr>
          <w:szCs w:val="22"/>
        </w:rPr>
        <w:t xml:space="preserve">a </w:t>
      </w:r>
      <w:r>
        <w:rPr>
          <w:spacing w:val="-3"/>
          <w:szCs w:val="22"/>
        </w:rPr>
        <w:t>d</w:t>
      </w:r>
      <w:r>
        <w:rPr>
          <w:szCs w:val="22"/>
        </w:rPr>
        <w:t>e după</w:t>
      </w:r>
      <w:r>
        <w:rPr>
          <w:spacing w:val="-2"/>
          <w:szCs w:val="22"/>
        </w:rPr>
        <w:t xml:space="preserve"> </w:t>
      </w:r>
      <w:r>
        <w:rPr>
          <w:szCs w:val="22"/>
        </w:rPr>
        <w:t>pun</w:t>
      </w:r>
      <w:r>
        <w:rPr>
          <w:spacing w:val="-3"/>
          <w:szCs w:val="22"/>
        </w:rPr>
        <w:t>e</w:t>
      </w:r>
      <w:r>
        <w:rPr>
          <w:spacing w:val="-2"/>
          <w:szCs w:val="22"/>
        </w:rPr>
        <w:t>r</w:t>
      </w:r>
      <w:r>
        <w:rPr>
          <w:szCs w:val="22"/>
        </w:rPr>
        <w:t xml:space="preserve">ea pe </w:t>
      </w:r>
      <w:r>
        <w:rPr>
          <w:spacing w:val="-3"/>
          <w:szCs w:val="22"/>
        </w:rPr>
        <w:t>p</w:t>
      </w:r>
      <w:r>
        <w:rPr>
          <w:spacing w:val="1"/>
          <w:szCs w:val="22"/>
        </w:rPr>
        <w:t>i</w:t>
      </w:r>
      <w:r>
        <w:rPr>
          <w:spacing w:val="-3"/>
          <w:szCs w:val="22"/>
        </w:rPr>
        <w:t>a</w:t>
      </w:r>
      <w:r>
        <w:rPr>
          <w:spacing w:val="1"/>
          <w:szCs w:val="22"/>
        </w:rPr>
        <w:t>ţ</w:t>
      </w:r>
      <w:r>
        <w:rPr>
          <w:szCs w:val="22"/>
        </w:rPr>
        <w:t>ă,</w:t>
      </w:r>
      <w:r>
        <w:rPr>
          <w:spacing w:val="-3"/>
          <w:szCs w:val="22"/>
        </w:rPr>
        <w:t xml:space="preserve"> </w:t>
      </w:r>
      <w:r>
        <w:rPr>
          <w:spacing w:val="1"/>
          <w:szCs w:val="22"/>
        </w:rPr>
        <w:t>î</w:t>
      </w:r>
      <w:r>
        <w:rPr>
          <w:szCs w:val="22"/>
        </w:rPr>
        <w:t>n</w:t>
      </w:r>
      <w:r>
        <w:rPr>
          <w:spacing w:val="-3"/>
          <w:szCs w:val="22"/>
        </w:rPr>
        <w:t>c</w:t>
      </w:r>
      <w:r>
        <w:rPr>
          <w:szCs w:val="22"/>
        </w:rPr>
        <w:t>epând</w:t>
      </w:r>
      <w:r>
        <w:rPr>
          <w:spacing w:val="-3"/>
          <w:szCs w:val="22"/>
        </w:rPr>
        <w:t xml:space="preserve"> </w:t>
      </w:r>
      <w:r>
        <w:rPr>
          <w:szCs w:val="22"/>
        </w:rPr>
        <w:t>cu</w:t>
      </w:r>
      <w:r>
        <w:rPr>
          <w:spacing w:val="-3"/>
          <w:szCs w:val="22"/>
        </w:rPr>
        <w:t xml:space="preserve"> </w:t>
      </w:r>
      <w:r>
        <w:rPr>
          <w:spacing w:val="1"/>
          <w:szCs w:val="22"/>
        </w:rPr>
        <w:t>i</w:t>
      </w:r>
      <w:r>
        <w:rPr>
          <w:szCs w:val="22"/>
        </w:rPr>
        <w:t>a</w:t>
      </w:r>
      <w:r>
        <w:rPr>
          <w:spacing w:val="-3"/>
          <w:szCs w:val="22"/>
        </w:rPr>
        <w:t>n</w:t>
      </w:r>
      <w:r>
        <w:rPr>
          <w:szCs w:val="22"/>
        </w:rPr>
        <w:t>uar</w:t>
      </w:r>
      <w:r>
        <w:rPr>
          <w:spacing w:val="-2"/>
          <w:szCs w:val="22"/>
        </w:rPr>
        <w:t>i</w:t>
      </w:r>
      <w:r>
        <w:rPr>
          <w:szCs w:val="22"/>
        </w:rPr>
        <w:t>e 20</w:t>
      </w:r>
      <w:r>
        <w:rPr>
          <w:spacing w:val="-3"/>
          <w:szCs w:val="22"/>
        </w:rPr>
        <w:t>0</w:t>
      </w:r>
      <w:r>
        <w:rPr>
          <w:szCs w:val="22"/>
        </w:rPr>
        <w:t>3 pâ</w:t>
      </w:r>
      <w:r>
        <w:rPr>
          <w:spacing w:val="-3"/>
          <w:szCs w:val="22"/>
        </w:rPr>
        <w:t>n</w:t>
      </w:r>
      <w:r>
        <w:rPr>
          <w:szCs w:val="22"/>
        </w:rPr>
        <w:t xml:space="preserve">ă </w:t>
      </w:r>
      <w:r>
        <w:rPr>
          <w:spacing w:val="1"/>
          <w:szCs w:val="22"/>
        </w:rPr>
        <w:t>î</w:t>
      </w:r>
      <w:r>
        <w:rPr>
          <w:szCs w:val="22"/>
        </w:rPr>
        <w:t>n</w:t>
      </w:r>
      <w:r>
        <w:rPr>
          <w:spacing w:val="-3"/>
          <w:szCs w:val="22"/>
        </w:rPr>
        <w:t xml:space="preserve"> </w:t>
      </w:r>
      <w:r>
        <w:rPr>
          <w:szCs w:val="22"/>
        </w:rPr>
        <w:t>de</w:t>
      </w:r>
      <w:r>
        <w:rPr>
          <w:spacing w:val="-3"/>
          <w:szCs w:val="22"/>
        </w:rPr>
        <w:t>c</w:t>
      </w:r>
      <w:r>
        <w:rPr>
          <w:szCs w:val="22"/>
        </w:rPr>
        <w:t>e</w:t>
      </w:r>
      <w:r>
        <w:rPr>
          <w:spacing w:val="-4"/>
          <w:szCs w:val="22"/>
        </w:rPr>
        <w:t>m</w:t>
      </w:r>
      <w:r>
        <w:rPr>
          <w:szCs w:val="22"/>
        </w:rPr>
        <w:t>br</w:t>
      </w:r>
      <w:r>
        <w:rPr>
          <w:spacing w:val="1"/>
          <w:szCs w:val="22"/>
        </w:rPr>
        <w:t>i</w:t>
      </w:r>
      <w:r>
        <w:rPr>
          <w:szCs w:val="22"/>
        </w:rPr>
        <w:t>e 20</w:t>
      </w:r>
      <w:r>
        <w:rPr>
          <w:spacing w:val="-3"/>
          <w:szCs w:val="22"/>
        </w:rPr>
        <w:t>1</w:t>
      </w:r>
      <w:r>
        <w:rPr>
          <w:szCs w:val="22"/>
        </w:rPr>
        <w:t xml:space="preserve">0, </w:t>
      </w:r>
      <w:r>
        <w:rPr>
          <w:spacing w:val="-4"/>
          <w:szCs w:val="22"/>
        </w:rPr>
        <w:t>m</w:t>
      </w:r>
      <w:r>
        <w:rPr>
          <w:szCs w:val="22"/>
        </w:rPr>
        <w:t>ai</w:t>
      </w:r>
      <w:r>
        <w:rPr>
          <w:spacing w:val="1"/>
          <w:szCs w:val="22"/>
        </w:rPr>
        <w:t xml:space="preserve"> </w:t>
      </w:r>
      <w:r>
        <w:rPr>
          <w:szCs w:val="22"/>
        </w:rPr>
        <w:t>a</w:t>
      </w:r>
      <w:r>
        <w:rPr>
          <w:spacing w:val="-2"/>
          <w:szCs w:val="22"/>
        </w:rPr>
        <w:t>l</w:t>
      </w:r>
      <w:r>
        <w:rPr>
          <w:szCs w:val="22"/>
        </w:rPr>
        <w:t xml:space="preserve">es </w:t>
      </w:r>
      <w:r>
        <w:rPr>
          <w:spacing w:val="-2"/>
          <w:szCs w:val="22"/>
        </w:rPr>
        <w:t>l</w:t>
      </w:r>
      <w:r>
        <w:rPr>
          <w:szCs w:val="22"/>
        </w:rPr>
        <w:t>a 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 xml:space="preserve">cu </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w:t>
      </w:r>
      <w:r>
        <w:rPr>
          <w:spacing w:val="-2"/>
          <w:szCs w:val="22"/>
        </w:rPr>
        <w:t xml:space="preserve"> </w:t>
      </w:r>
      <w:r>
        <w:rPr>
          <w:szCs w:val="22"/>
        </w:rPr>
        <w:t>reu</w:t>
      </w:r>
      <w:r>
        <w:rPr>
          <w:spacing w:val="-4"/>
          <w:szCs w:val="22"/>
        </w:rPr>
        <w:t>m</w:t>
      </w:r>
      <w:r>
        <w:rPr>
          <w:szCs w:val="22"/>
        </w:rPr>
        <w:t>a</w:t>
      </w:r>
      <w:r>
        <w:rPr>
          <w:spacing w:val="1"/>
          <w:szCs w:val="22"/>
        </w:rPr>
        <w:t>t</w:t>
      </w:r>
      <w:r>
        <w:rPr>
          <w:szCs w:val="22"/>
        </w:rPr>
        <w:t>o</w:t>
      </w:r>
      <w:r>
        <w:rPr>
          <w:spacing w:val="-2"/>
          <w:szCs w:val="22"/>
        </w:rPr>
        <w:t>i</w:t>
      </w:r>
      <w:r>
        <w:rPr>
          <w:szCs w:val="22"/>
        </w:rPr>
        <w:t>dă,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r</w:t>
      </w:r>
      <w:r>
        <w:rPr>
          <w:spacing w:val="-3"/>
          <w:szCs w:val="22"/>
        </w:rPr>
        <w:t>a</w:t>
      </w:r>
      <w:r>
        <w:rPr>
          <w:szCs w:val="22"/>
        </w:rPr>
        <w:t>po</w:t>
      </w:r>
      <w:r>
        <w:rPr>
          <w:spacing w:val="-2"/>
          <w:szCs w:val="22"/>
        </w:rPr>
        <w:t>r</w:t>
      </w:r>
      <w:r>
        <w:rPr>
          <w:spacing w:val="1"/>
          <w:szCs w:val="22"/>
        </w:rPr>
        <w:t>t</w:t>
      </w:r>
      <w:r>
        <w:rPr>
          <w:spacing w:val="-3"/>
          <w:szCs w:val="22"/>
        </w:rPr>
        <w:t>a</w:t>
      </w:r>
      <w:r>
        <w:rPr>
          <w:spacing w:val="1"/>
          <w:szCs w:val="22"/>
        </w:rPr>
        <w:t>t</w:t>
      </w:r>
      <w:r>
        <w:rPr>
          <w:szCs w:val="22"/>
        </w:rPr>
        <w:t>ă spontan o</w:t>
      </w:r>
      <w:r>
        <w:rPr>
          <w:spacing w:val="-3"/>
          <w:szCs w:val="22"/>
        </w:rPr>
        <w:t xml:space="preserve"> </w:t>
      </w:r>
      <w:r>
        <w:rPr>
          <w:szCs w:val="22"/>
        </w:rPr>
        <w:t>r</w:t>
      </w:r>
      <w:r>
        <w:rPr>
          <w:spacing w:val="-3"/>
          <w:szCs w:val="22"/>
        </w:rPr>
        <w:t>a</w:t>
      </w:r>
      <w:r>
        <w:rPr>
          <w:spacing w:val="1"/>
          <w:szCs w:val="22"/>
        </w:rPr>
        <w:t>t</w:t>
      </w:r>
      <w:r>
        <w:rPr>
          <w:szCs w:val="22"/>
        </w:rPr>
        <w:t>ă a</w:t>
      </w:r>
      <w:r>
        <w:rPr>
          <w:spacing w:val="-2"/>
          <w:szCs w:val="22"/>
        </w:rPr>
        <w:t xml:space="preserve"> </w:t>
      </w:r>
      <w:r>
        <w:rPr>
          <w:szCs w:val="22"/>
        </w:rPr>
        <w:t>afe</w:t>
      </w:r>
      <w:r>
        <w:rPr>
          <w:spacing w:val="-3"/>
          <w:szCs w:val="22"/>
        </w:rPr>
        <w:t>c</w:t>
      </w:r>
      <w:r>
        <w:rPr>
          <w:spacing w:val="1"/>
          <w:szCs w:val="22"/>
        </w:rPr>
        <w:t>ţ</w:t>
      </w:r>
      <w:r>
        <w:rPr>
          <w:spacing w:val="-2"/>
          <w:szCs w:val="22"/>
        </w:rPr>
        <w:t>i</w:t>
      </w:r>
      <w:r>
        <w:rPr>
          <w:szCs w:val="22"/>
        </w:rPr>
        <w:t>un</w:t>
      </w:r>
      <w:r>
        <w:rPr>
          <w:spacing w:val="-2"/>
          <w:szCs w:val="22"/>
        </w:rPr>
        <w:t>i</w:t>
      </w:r>
      <w:r>
        <w:rPr>
          <w:spacing w:val="1"/>
          <w:szCs w:val="22"/>
        </w:rPr>
        <w:t>l</w:t>
      </w:r>
      <w:r>
        <w:rPr>
          <w:szCs w:val="22"/>
        </w:rPr>
        <w:t>or</w:t>
      </w:r>
      <w:r>
        <w:rPr>
          <w:spacing w:val="-2"/>
          <w:szCs w:val="22"/>
        </w:rPr>
        <w:t xml:space="preserve"> </w:t>
      </w:r>
      <w:r>
        <w:rPr>
          <w:spacing w:val="-4"/>
          <w:szCs w:val="22"/>
        </w:rPr>
        <w:t>m</w:t>
      </w:r>
      <w:r>
        <w:rPr>
          <w:szCs w:val="22"/>
        </w:rPr>
        <w:t>a</w:t>
      </w:r>
      <w:r>
        <w:rPr>
          <w:spacing w:val="1"/>
          <w:szCs w:val="22"/>
        </w:rPr>
        <w:t>li</w:t>
      </w:r>
      <w:r>
        <w:rPr>
          <w:spacing w:val="-3"/>
          <w:szCs w:val="22"/>
        </w:rPr>
        <w:t>g</w:t>
      </w:r>
      <w:r>
        <w:rPr>
          <w:szCs w:val="22"/>
        </w:rPr>
        <w:t>ne de a</w:t>
      </w:r>
      <w:r>
        <w:rPr>
          <w:spacing w:val="-3"/>
          <w:szCs w:val="22"/>
        </w:rPr>
        <w:t>p</w:t>
      </w:r>
      <w:r>
        <w:rPr>
          <w:spacing w:val="-2"/>
          <w:szCs w:val="22"/>
        </w:rPr>
        <w:t>r</w:t>
      </w:r>
      <w:r>
        <w:rPr>
          <w:szCs w:val="22"/>
        </w:rPr>
        <w:t>ox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2,7 p</w:t>
      </w:r>
      <w:r>
        <w:rPr>
          <w:spacing w:val="-3"/>
          <w:szCs w:val="22"/>
        </w:rPr>
        <w:t>e</w:t>
      </w:r>
      <w:r>
        <w:rPr>
          <w:szCs w:val="22"/>
        </w:rPr>
        <w:t>r 1000 a</w:t>
      </w:r>
      <w:r>
        <w:rPr>
          <w:spacing w:val="-3"/>
          <w:szCs w:val="22"/>
        </w:rPr>
        <w:t>n</w:t>
      </w:r>
      <w:r>
        <w:rPr>
          <w:szCs w:val="22"/>
        </w:rPr>
        <w:t>i</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4"/>
          <w:szCs w:val="22"/>
        </w:rPr>
        <w:t>-</w:t>
      </w:r>
      <w:r>
        <w:rPr>
          <w:szCs w:val="22"/>
        </w:rPr>
        <w:t>pac</w:t>
      </w:r>
      <w:r>
        <w:rPr>
          <w:spacing w:val="1"/>
          <w:szCs w:val="22"/>
        </w:rPr>
        <w:t>i</w:t>
      </w:r>
      <w:r>
        <w:rPr>
          <w:szCs w:val="22"/>
        </w:rPr>
        <w:t>en</w:t>
      </w:r>
      <w:r>
        <w:rPr>
          <w:spacing w:val="-2"/>
          <w:szCs w:val="22"/>
        </w:rPr>
        <w:t>ţi</w:t>
      </w:r>
      <w:r>
        <w:rPr>
          <w:szCs w:val="22"/>
        </w:rPr>
        <w:t xml:space="preserve">. </w:t>
      </w:r>
      <w:r>
        <w:rPr>
          <w:spacing w:val="-1"/>
          <w:szCs w:val="22"/>
        </w:rPr>
        <w:t>R</w:t>
      </w:r>
      <w:r>
        <w:rPr>
          <w:szCs w:val="22"/>
        </w:rPr>
        <w:t>a</w:t>
      </w:r>
      <w:r>
        <w:rPr>
          <w:spacing w:val="1"/>
          <w:szCs w:val="22"/>
        </w:rPr>
        <w:t>t</w:t>
      </w:r>
      <w:r>
        <w:rPr>
          <w:szCs w:val="22"/>
        </w:rPr>
        <w:t>a</w:t>
      </w:r>
      <w:r>
        <w:rPr>
          <w:spacing w:val="-2"/>
          <w:szCs w:val="22"/>
        </w:rPr>
        <w:t xml:space="preserve"> </w:t>
      </w:r>
      <w:r>
        <w:rPr>
          <w:szCs w:val="22"/>
        </w:rPr>
        <w:t>rap</w:t>
      </w:r>
      <w:r>
        <w:rPr>
          <w:spacing w:val="-3"/>
          <w:szCs w:val="22"/>
        </w:rPr>
        <w:t>o</w:t>
      </w:r>
      <w:r>
        <w:rPr>
          <w:szCs w:val="22"/>
        </w:rPr>
        <w:t>r</w:t>
      </w:r>
      <w:r>
        <w:rPr>
          <w:spacing w:val="-2"/>
          <w:szCs w:val="22"/>
        </w:rPr>
        <w:t>t</w:t>
      </w:r>
      <w:r>
        <w:rPr>
          <w:szCs w:val="22"/>
        </w:rPr>
        <w:t>a</w:t>
      </w:r>
      <w:r>
        <w:rPr>
          <w:spacing w:val="-2"/>
          <w:szCs w:val="22"/>
        </w:rPr>
        <w:t>t</w:t>
      </w:r>
      <w:r>
        <w:rPr>
          <w:szCs w:val="22"/>
        </w:rPr>
        <w:t>ă spontan pe</w:t>
      </w:r>
      <w:r>
        <w:rPr>
          <w:spacing w:val="-3"/>
          <w:szCs w:val="22"/>
        </w:rPr>
        <w:t>n</w:t>
      </w:r>
      <w:r>
        <w:rPr>
          <w:spacing w:val="1"/>
          <w:szCs w:val="22"/>
        </w:rPr>
        <w:t>t</w:t>
      </w:r>
      <w:r>
        <w:rPr>
          <w:szCs w:val="22"/>
        </w:rPr>
        <w:t>ru</w:t>
      </w:r>
      <w:r>
        <w:rPr>
          <w:spacing w:val="-3"/>
          <w:szCs w:val="22"/>
        </w:rPr>
        <w:t xml:space="preserve"> </w:t>
      </w:r>
      <w:r>
        <w:rPr>
          <w:szCs w:val="22"/>
        </w:rPr>
        <w:t>ca</w:t>
      </w:r>
      <w:r>
        <w:rPr>
          <w:spacing w:val="-3"/>
          <w:szCs w:val="22"/>
        </w:rPr>
        <w:t>nc</w:t>
      </w:r>
      <w:r>
        <w:rPr>
          <w:szCs w:val="22"/>
        </w:rPr>
        <w:t>erul</w:t>
      </w:r>
      <w:r>
        <w:rPr>
          <w:spacing w:val="-2"/>
          <w:szCs w:val="22"/>
        </w:rPr>
        <w:t xml:space="preserve"> </w:t>
      </w:r>
      <w:r>
        <w:rPr>
          <w:szCs w:val="22"/>
        </w:rPr>
        <w:t>c</w:t>
      </w:r>
      <w:r>
        <w:rPr>
          <w:spacing w:val="-3"/>
          <w:szCs w:val="22"/>
        </w:rPr>
        <w:t>u</w:t>
      </w:r>
      <w:r>
        <w:rPr>
          <w:spacing w:val="1"/>
          <w:szCs w:val="22"/>
        </w:rPr>
        <w:t>t</w:t>
      </w:r>
      <w:r>
        <w:rPr>
          <w:szCs w:val="22"/>
        </w:rPr>
        <w:t>an</w:t>
      </w:r>
      <w:r>
        <w:rPr>
          <w:spacing w:val="-3"/>
          <w:szCs w:val="22"/>
        </w:rPr>
        <w:t>a</w:t>
      </w:r>
      <w:r>
        <w:rPr>
          <w:szCs w:val="22"/>
        </w:rPr>
        <w:t>t</w:t>
      </w:r>
      <w:r>
        <w:rPr>
          <w:spacing w:val="1"/>
          <w:szCs w:val="22"/>
        </w:rPr>
        <w:t xml:space="preserve"> </w:t>
      </w:r>
      <w:r>
        <w:rPr>
          <w:szCs w:val="22"/>
        </w:rPr>
        <w:t>de</w:t>
      </w:r>
      <w:r>
        <w:rPr>
          <w:spacing w:val="-2"/>
          <w:szCs w:val="22"/>
        </w:rPr>
        <w:t xml:space="preserve"> t</w:t>
      </w:r>
      <w:r>
        <w:rPr>
          <w:spacing w:val="1"/>
          <w:szCs w:val="22"/>
        </w:rPr>
        <w:t>i</w:t>
      </w:r>
      <w:r>
        <w:rPr>
          <w:szCs w:val="22"/>
        </w:rPr>
        <w:t>p ne</w:t>
      </w:r>
      <w:r>
        <w:rPr>
          <w:spacing w:val="-2"/>
          <w:szCs w:val="22"/>
        </w:rPr>
        <w:t>-</w:t>
      </w:r>
      <w:r>
        <w:rPr>
          <w:spacing w:val="-4"/>
          <w:szCs w:val="22"/>
        </w:rPr>
        <w:t>m</w:t>
      </w:r>
      <w:r>
        <w:rPr>
          <w:szCs w:val="22"/>
        </w:rPr>
        <w:t>e</w:t>
      </w:r>
      <w:r>
        <w:rPr>
          <w:spacing w:val="1"/>
          <w:szCs w:val="22"/>
        </w:rPr>
        <w:t>l</w:t>
      </w:r>
      <w:r>
        <w:rPr>
          <w:szCs w:val="22"/>
        </w:rPr>
        <w:t>a</w:t>
      </w:r>
      <w:r>
        <w:rPr>
          <w:spacing w:val="-3"/>
          <w:szCs w:val="22"/>
        </w:rPr>
        <w:t>n</w:t>
      </w:r>
      <w:r>
        <w:rPr>
          <w:szCs w:val="22"/>
        </w:rPr>
        <w:t>om</w:t>
      </w:r>
      <w:r>
        <w:rPr>
          <w:spacing w:val="-4"/>
          <w:szCs w:val="22"/>
        </w:rPr>
        <w:t xml:space="preserve"> </w:t>
      </w:r>
      <w:r>
        <w:rPr>
          <w:szCs w:val="22"/>
        </w:rPr>
        <w:t>şi</w:t>
      </w:r>
      <w:r>
        <w:rPr>
          <w:spacing w:val="1"/>
          <w:szCs w:val="22"/>
        </w:rPr>
        <w:t xml:space="preserve"> </w:t>
      </w:r>
      <w:r>
        <w:rPr>
          <w:szCs w:val="22"/>
        </w:rPr>
        <w:t>cea p</w:t>
      </w:r>
      <w:r>
        <w:rPr>
          <w:spacing w:val="-3"/>
          <w:szCs w:val="22"/>
        </w:rPr>
        <w:t>e</w:t>
      </w:r>
      <w:r>
        <w:rPr>
          <w:szCs w:val="22"/>
        </w:rPr>
        <w:t>n</w:t>
      </w:r>
      <w:r>
        <w:rPr>
          <w:spacing w:val="-2"/>
          <w:szCs w:val="22"/>
        </w:rPr>
        <w:t>t</w:t>
      </w:r>
      <w:r>
        <w:rPr>
          <w:szCs w:val="22"/>
        </w:rPr>
        <w:t xml:space="preserve">ru </w:t>
      </w:r>
      <w:r>
        <w:rPr>
          <w:spacing w:val="1"/>
          <w:szCs w:val="22"/>
        </w:rPr>
        <w:t>li</w:t>
      </w:r>
      <w:r>
        <w:rPr>
          <w:spacing w:val="-4"/>
          <w:szCs w:val="22"/>
        </w:rPr>
        <w:t>m</w:t>
      </w:r>
      <w:r>
        <w:rPr>
          <w:szCs w:val="22"/>
        </w:rPr>
        <w:t>fom</w:t>
      </w:r>
      <w:r>
        <w:rPr>
          <w:spacing w:val="-4"/>
          <w:szCs w:val="22"/>
        </w:rPr>
        <w:t xml:space="preserve"> </w:t>
      </w:r>
      <w:r>
        <w:rPr>
          <w:szCs w:val="22"/>
        </w:rPr>
        <w:t>au fost</w:t>
      </w:r>
      <w:r>
        <w:rPr>
          <w:spacing w:val="1"/>
          <w:szCs w:val="22"/>
        </w:rPr>
        <w:t xml:space="preserve"> </w:t>
      </w:r>
      <w:r>
        <w:rPr>
          <w:spacing w:val="-3"/>
          <w:szCs w:val="22"/>
        </w:rPr>
        <w:t>d</w:t>
      </w:r>
      <w:r>
        <w:rPr>
          <w:szCs w:val="22"/>
        </w:rPr>
        <w:t>e a</w:t>
      </w:r>
      <w:r>
        <w:rPr>
          <w:spacing w:val="-3"/>
          <w:szCs w:val="22"/>
        </w:rPr>
        <w:t>p</w:t>
      </w:r>
      <w:r>
        <w:rPr>
          <w:szCs w:val="22"/>
        </w:rPr>
        <w:t>ro</w:t>
      </w:r>
      <w:r>
        <w:rPr>
          <w:spacing w:val="-3"/>
          <w:szCs w:val="22"/>
        </w:rPr>
        <w:t>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 xml:space="preserve">0,2 </w:t>
      </w:r>
      <w:r>
        <w:rPr>
          <w:spacing w:val="-2"/>
          <w:szCs w:val="22"/>
        </w:rPr>
        <w:t>ş</w:t>
      </w:r>
      <w:r>
        <w:rPr>
          <w:szCs w:val="22"/>
        </w:rPr>
        <w:t>i</w:t>
      </w:r>
      <w:r>
        <w:rPr>
          <w:spacing w:val="1"/>
          <w:szCs w:val="22"/>
        </w:rPr>
        <w:t xml:space="preserve"> </w:t>
      </w:r>
      <w:r>
        <w:rPr>
          <w:spacing w:val="-2"/>
          <w:szCs w:val="22"/>
        </w:rPr>
        <w:t>r</w:t>
      </w:r>
      <w:r>
        <w:rPr>
          <w:szCs w:val="22"/>
        </w:rPr>
        <w:t>esp</w:t>
      </w:r>
      <w:r>
        <w:rPr>
          <w:spacing w:val="-3"/>
          <w:szCs w:val="22"/>
        </w:rPr>
        <w:t>e</w:t>
      </w:r>
      <w:r>
        <w:rPr>
          <w:szCs w:val="22"/>
        </w:rPr>
        <w:t>c</w:t>
      </w:r>
      <w:r>
        <w:rPr>
          <w:spacing w:val="-2"/>
          <w:szCs w:val="22"/>
        </w:rPr>
        <w:t>t</w:t>
      </w:r>
      <w:r>
        <w:rPr>
          <w:spacing w:val="1"/>
          <w:szCs w:val="22"/>
        </w:rPr>
        <w:t>i</w:t>
      </w:r>
      <w:r>
        <w:rPr>
          <w:szCs w:val="22"/>
        </w:rPr>
        <w:t>v</w:t>
      </w:r>
      <w:r>
        <w:rPr>
          <w:spacing w:val="-3"/>
          <w:szCs w:val="22"/>
        </w:rPr>
        <w:t xml:space="preserve"> </w:t>
      </w:r>
      <w:r>
        <w:rPr>
          <w:szCs w:val="22"/>
        </w:rPr>
        <w:t>0,3 per</w:t>
      </w:r>
      <w:r>
        <w:rPr>
          <w:spacing w:val="-2"/>
          <w:szCs w:val="22"/>
        </w:rPr>
        <w:t xml:space="preserve"> </w:t>
      </w:r>
      <w:r>
        <w:rPr>
          <w:spacing w:val="-3"/>
          <w:szCs w:val="22"/>
        </w:rPr>
        <w:t>1</w:t>
      </w:r>
      <w:r>
        <w:rPr>
          <w:szCs w:val="22"/>
        </w:rPr>
        <w:t>000 a</w:t>
      </w:r>
      <w:r>
        <w:rPr>
          <w:spacing w:val="-3"/>
          <w:szCs w:val="22"/>
        </w:rPr>
        <w:t>n</w:t>
      </w:r>
      <w:r>
        <w:rPr>
          <w:szCs w:val="22"/>
        </w:rPr>
        <w:t>i</w:t>
      </w:r>
      <w:r>
        <w:rPr>
          <w:spacing w:val="1"/>
          <w:szCs w:val="22"/>
        </w:rPr>
        <w:t xml:space="preserve"> </w:t>
      </w:r>
      <w:r>
        <w:rPr>
          <w:spacing w:val="-2"/>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pacing w:val="-4"/>
          <w:szCs w:val="22"/>
        </w:rPr>
        <w:t>-</w:t>
      </w:r>
      <w:r>
        <w:rPr>
          <w:szCs w:val="22"/>
        </w:rPr>
        <w:t>pac</w:t>
      </w:r>
      <w:r>
        <w:rPr>
          <w:spacing w:val="1"/>
          <w:szCs w:val="22"/>
        </w:rPr>
        <w:t>i</w:t>
      </w:r>
      <w:r>
        <w:rPr>
          <w:szCs w:val="22"/>
        </w:rPr>
        <w:t>en</w:t>
      </w:r>
      <w:r>
        <w:rPr>
          <w:spacing w:val="-2"/>
          <w:szCs w:val="22"/>
        </w:rPr>
        <w:t>ţ</w:t>
      </w:r>
      <w:r>
        <w:rPr>
          <w:szCs w:val="22"/>
        </w:rPr>
        <w:t>i</w:t>
      </w:r>
      <w:r>
        <w:rPr>
          <w:spacing w:val="1"/>
          <w:szCs w:val="22"/>
        </w:rPr>
        <w:t xml:space="preserve"> </w:t>
      </w:r>
      <w:r>
        <w:rPr>
          <w:spacing w:val="-2"/>
          <w:szCs w:val="22"/>
        </w:rPr>
        <w:t>(</w:t>
      </w:r>
      <w:r>
        <w:rPr>
          <w:spacing w:val="-3"/>
          <w:szCs w:val="22"/>
        </w:rPr>
        <w:t>v</w:t>
      </w:r>
      <w:r>
        <w:rPr>
          <w:szCs w:val="22"/>
        </w:rPr>
        <w:t>e</w:t>
      </w:r>
      <w:r>
        <w:rPr>
          <w:spacing w:val="-3"/>
          <w:szCs w:val="22"/>
        </w:rPr>
        <w:t>z</w:t>
      </w:r>
      <w:r>
        <w:rPr>
          <w:szCs w:val="22"/>
        </w:rPr>
        <w:t>i</w:t>
      </w:r>
      <w:r>
        <w:rPr>
          <w:spacing w:val="1"/>
          <w:szCs w:val="22"/>
        </w:rPr>
        <w:t xml:space="preserve"> </w:t>
      </w:r>
      <w:r>
        <w:rPr>
          <w:szCs w:val="22"/>
        </w:rPr>
        <w:t>pc</w:t>
      </w:r>
      <w:r>
        <w:rPr>
          <w:spacing w:val="1"/>
          <w:szCs w:val="22"/>
        </w:rPr>
        <w:t>t</w:t>
      </w:r>
      <w:r>
        <w:rPr>
          <w:szCs w:val="22"/>
        </w:rPr>
        <w:t>. 4.4</w:t>
      </w:r>
      <w:r>
        <w:rPr>
          <w:spacing w:val="-2"/>
          <w:szCs w:val="22"/>
        </w:rPr>
        <w:t>)</w:t>
      </w:r>
      <w:r>
        <w:rPr>
          <w:szCs w:val="22"/>
        </w:rPr>
        <w:t>.</w:t>
      </w:r>
    </w:p>
    <w:p w14:paraId="04E489F9" w14:textId="77777777" w:rsidR="00C04CAD" w:rsidRDefault="00C04CAD">
      <w:pPr>
        <w:tabs>
          <w:tab w:val="clear" w:pos="567"/>
        </w:tabs>
        <w:kinsoku w:val="0"/>
        <w:overflowPunct w:val="0"/>
        <w:autoSpaceDE w:val="0"/>
        <w:autoSpaceDN w:val="0"/>
        <w:adjustRightInd w:val="0"/>
        <w:spacing w:line="240" w:lineRule="auto"/>
        <w:rPr>
          <w:szCs w:val="22"/>
        </w:rPr>
      </w:pPr>
    </w:p>
    <w:p w14:paraId="4E8DB992"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upă pun</w:t>
      </w:r>
      <w:r>
        <w:rPr>
          <w:spacing w:val="-3"/>
          <w:szCs w:val="22"/>
        </w:rPr>
        <w:t>e</w:t>
      </w:r>
      <w:r>
        <w:rPr>
          <w:szCs w:val="22"/>
        </w:rPr>
        <w:t>rea</w:t>
      </w:r>
      <w:r>
        <w:rPr>
          <w:spacing w:val="-2"/>
          <w:szCs w:val="22"/>
        </w:rPr>
        <w:t xml:space="preserve"> </w:t>
      </w:r>
      <w:r>
        <w:rPr>
          <w:szCs w:val="22"/>
        </w:rPr>
        <w:t xml:space="preserve">pe </w:t>
      </w:r>
      <w:r>
        <w:rPr>
          <w:spacing w:val="-3"/>
          <w:szCs w:val="22"/>
        </w:rPr>
        <w:t>p</w:t>
      </w:r>
      <w:r>
        <w:rPr>
          <w:spacing w:val="1"/>
          <w:szCs w:val="22"/>
        </w:rPr>
        <w:t>i</w:t>
      </w:r>
      <w:r>
        <w:rPr>
          <w:spacing w:val="-3"/>
          <w:szCs w:val="22"/>
        </w:rPr>
        <w:t>a</w:t>
      </w:r>
      <w:r>
        <w:rPr>
          <w:spacing w:val="1"/>
          <w:szCs w:val="22"/>
        </w:rPr>
        <w:t>ţ</w:t>
      </w:r>
      <w:r>
        <w:rPr>
          <w:szCs w:val="22"/>
        </w:rPr>
        <w:t>ă au</w:t>
      </w:r>
      <w:r>
        <w:rPr>
          <w:spacing w:val="-3"/>
          <w:szCs w:val="22"/>
        </w:rPr>
        <w:t xml:space="preserve"> </w:t>
      </w:r>
      <w:r>
        <w:rPr>
          <w:spacing w:val="-2"/>
          <w:szCs w:val="22"/>
        </w:rPr>
        <w:t>f</w:t>
      </w:r>
      <w:r>
        <w:rPr>
          <w:szCs w:val="22"/>
        </w:rPr>
        <w:t>ost</w:t>
      </w:r>
      <w:r>
        <w:rPr>
          <w:spacing w:val="-2"/>
          <w:szCs w:val="22"/>
        </w:rPr>
        <w:t xml:space="preserve"> </w:t>
      </w:r>
      <w:r>
        <w:rPr>
          <w:szCs w:val="22"/>
        </w:rPr>
        <w:t>rap</w:t>
      </w:r>
      <w:r>
        <w:rPr>
          <w:spacing w:val="-3"/>
          <w:szCs w:val="22"/>
        </w:rPr>
        <w:t>o</w:t>
      </w:r>
      <w:r>
        <w:rPr>
          <w:szCs w:val="22"/>
        </w:rPr>
        <w:t>r</w:t>
      </w:r>
      <w:r>
        <w:rPr>
          <w:spacing w:val="-2"/>
          <w:szCs w:val="22"/>
        </w:rPr>
        <w:t>t</w:t>
      </w:r>
      <w:r>
        <w:rPr>
          <w:szCs w:val="22"/>
        </w:rPr>
        <w:t>a</w:t>
      </w:r>
      <w:r>
        <w:rPr>
          <w:spacing w:val="1"/>
          <w:szCs w:val="22"/>
        </w:rPr>
        <w:t>t</w:t>
      </w:r>
      <w:r>
        <w:rPr>
          <w:szCs w:val="22"/>
        </w:rPr>
        <w:t>e</w:t>
      </w:r>
      <w:r>
        <w:rPr>
          <w:spacing w:val="-2"/>
          <w:szCs w:val="22"/>
        </w:rPr>
        <w:t xml:space="preserve"> </w:t>
      </w:r>
      <w:r>
        <w:rPr>
          <w:szCs w:val="22"/>
        </w:rPr>
        <w:t>ca</w:t>
      </w:r>
      <w:r>
        <w:rPr>
          <w:spacing w:val="-3"/>
          <w:szCs w:val="22"/>
        </w:rPr>
        <w:t>z</w:t>
      </w:r>
      <w:r>
        <w:rPr>
          <w:szCs w:val="22"/>
        </w:rPr>
        <w:t>u</w:t>
      </w:r>
      <w:r>
        <w:rPr>
          <w:spacing w:val="-2"/>
          <w:szCs w:val="22"/>
        </w:rPr>
        <w:t>r</w:t>
      </w:r>
      <w:r>
        <w:rPr>
          <w:szCs w:val="22"/>
        </w:rPr>
        <w:t>i</w:t>
      </w:r>
      <w:r>
        <w:rPr>
          <w:spacing w:val="1"/>
          <w:szCs w:val="22"/>
        </w:rPr>
        <w:t xml:space="preserve"> </w:t>
      </w:r>
      <w:r>
        <w:rPr>
          <w:szCs w:val="22"/>
        </w:rPr>
        <w:t>r</w:t>
      </w:r>
      <w:r>
        <w:rPr>
          <w:spacing w:val="-3"/>
          <w:szCs w:val="22"/>
        </w:rPr>
        <w:t>a</w:t>
      </w:r>
      <w:r>
        <w:rPr>
          <w:szCs w:val="22"/>
        </w:rPr>
        <w:t xml:space="preserve">re </w:t>
      </w:r>
      <w:r>
        <w:rPr>
          <w:spacing w:val="-3"/>
          <w:szCs w:val="22"/>
        </w:rPr>
        <w:t>d</w:t>
      </w:r>
      <w:r>
        <w:rPr>
          <w:szCs w:val="22"/>
        </w:rPr>
        <w:t>e</w:t>
      </w:r>
      <w:r>
        <w:rPr>
          <w:spacing w:val="-2"/>
          <w:szCs w:val="22"/>
        </w:rPr>
        <w:t xml:space="preserve"> </w:t>
      </w:r>
      <w:r>
        <w:rPr>
          <w:spacing w:val="1"/>
          <w:szCs w:val="22"/>
        </w:rPr>
        <w:t>li</w:t>
      </w:r>
      <w:r>
        <w:rPr>
          <w:spacing w:val="-4"/>
          <w:szCs w:val="22"/>
        </w:rPr>
        <w:t>m</w:t>
      </w:r>
      <w:r>
        <w:rPr>
          <w:szCs w:val="22"/>
        </w:rPr>
        <w:t>fom</w:t>
      </w:r>
      <w:r>
        <w:rPr>
          <w:spacing w:val="-4"/>
          <w:szCs w:val="22"/>
        </w:rPr>
        <w:t xml:space="preserve"> </w:t>
      </w:r>
      <w:r>
        <w:rPr>
          <w:szCs w:val="22"/>
        </w:rPr>
        <w:t>hepa</w:t>
      </w:r>
      <w:r>
        <w:rPr>
          <w:spacing w:val="1"/>
          <w:szCs w:val="22"/>
        </w:rPr>
        <w:t>t</w:t>
      </w:r>
      <w:r>
        <w:rPr>
          <w:szCs w:val="22"/>
        </w:rPr>
        <w:t>os</w:t>
      </w:r>
      <w:r>
        <w:rPr>
          <w:spacing w:val="-3"/>
          <w:szCs w:val="22"/>
        </w:rPr>
        <w:t>p</w:t>
      </w:r>
      <w:r>
        <w:rPr>
          <w:spacing w:val="1"/>
          <w:szCs w:val="22"/>
        </w:rPr>
        <w:t>l</w:t>
      </w:r>
      <w:r>
        <w:rPr>
          <w:szCs w:val="22"/>
        </w:rPr>
        <w:t>e</w:t>
      </w:r>
      <w:r>
        <w:rPr>
          <w:spacing w:val="-3"/>
          <w:szCs w:val="22"/>
        </w:rPr>
        <w:t>n</w:t>
      </w:r>
      <w:r>
        <w:rPr>
          <w:spacing w:val="1"/>
          <w:szCs w:val="22"/>
        </w:rPr>
        <w:t>i</w:t>
      </w:r>
      <w:r>
        <w:rPr>
          <w:szCs w:val="22"/>
        </w:rPr>
        <w:t>c</w:t>
      </w:r>
      <w:r>
        <w:rPr>
          <w:spacing w:val="-2"/>
          <w:szCs w:val="22"/>
        </w:rPr>
        <w:t xml:space="preserve"> </w:t>
      </w:r>
      <w:r>
        <w:rPr>
          <w:szCs w:val="22"/>
        </w:rPr>
        <w:t>cu c</w:t>
      </w:r>
      <w:r>
        <w:rPr>
          <w:spacing w:val="-3"/>
          <w:szCs w:val="22"/>
        </w:rPr>
        <w:t>e</w:t>
      </w:r>
      <w:r>
        <w:rPr>
          <w:spacing w:val="1"/>
          <w:szCs w:val="22"/>
        </w:rPr>
        <w:t>l</w:t>
      </w:r>
      <w:r>
        <w:rPr>
          <w:szCs w:val="22"/>
        </w:rPr>
        <w:t>u</w:t>
      </w:r>
      <w:r>
        <w:rPr>
          <w:spacing w:val="-2"/>
          <w:szCs w:val="22"/>
        </w:rPr>
        <w:t>l</w:t>
      </w:r>
      <w:r>
        <w:rPr>
          <w:szCs w:val="22"/>
        </w:rPr>
        <w:t>e</w:t>
      </w:r>
      <w:r>
        <w:rPr>
          <w:spacing w:val="-2"/>
          <w:szCs w:val="22"/>
        </w:rPr>
        <w:t xml:space="preserve"> </w:t>
      </w:r>
      <w:r>
        <w:rPr>
          <w:szCs w:val="22"/>
        </w:rPr>
        <w:t>T</w:t>
      </w:r>
      <w:r>
        <w:rPr>
          <w:spacing w:val="2"/>
          <w:szCs w:val="22"/>
        </w:rPr>
        <w:t xml:space="preserve">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cu a</w:t>
      </w:r>
      <w:r>
        <w:rPr>
          <w:spacing w:val="-3"/>
          <w:szCs w:val="22"/>
        </w:rPr>
        <w:t>d</w:t>
      </w:r>
      <w:r>
        <w:rPr>
          <w:szCs w:val="22"/>
        </w:rPr>
        <w:t>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w:t>
      </w:r>
      <w:r>
        <w:rPr>
          <w:spacing w:val="-3"/>
          <w:szCs w:val="22"/>
        </w:rPr>
        <w:t>v</w:t>
      </w:r>
      <w:r>
        <w:rPr>
          <w:szCs w:val="22"/>
        </w:rPr>
        <w:t>e</w:t>
      </w:r>
      <w:r>
        <w:rPr>
          <w:spacing w:val="-3"/>
          <w:szCs w:val="22"/>
        </w:rPr>
        <w:t>z</w:t>
      </w:r>
      <w:r>
        <w:rPr>
          <w:szCs w:val="22"/>
        </w:rPr>
        <w:t>i</w:t>
      </w:r>
      <w:r>
        <w:rPr>
          <w:spacing w:val="1"/>
          <w:szCs w:val="22"/>
        </w:rPr>
        <w:t xml:space="preserve"> </w:t>
      </w:r>
      <w:r>
        <w:rPr>
          <w:szCs w:val="22"/>
        </w:rPr>
        <w:t>pc</w:t>
      </w:r>
      <w:r>
        <w:rPr>
          <w:spacing w:val="1"/>
          <w:szCs w:val="22"/>
        </w:rPr>
        <w:t>t</w:t>
      </w:r>
      <w:r>
        <w:rPr>
          <w:szCs w:val="22"/>
        </w:rPr>
        <w:t>. 4</w:t>
      </w:r>
      <w:r>
        <w:rPr>
          <w:spacing w:val="-3"/>
          <w:szCs w:val="22"/>
        </w:rPr>
        <w:t>.</w:t>
      </w:r>
      <w:r>
        <w:rPr>
          <w:szCs w:val="22"/>
        </w:rPr>
        <w:t>4).</w:t>
      </w:r>
    </w:p>
    <w:p w14:paraId="2E150502" w14:textId="77777777" w:rsidR="00C04CAD" w:rsidRDefault="00C04CAD">
      <w:pPr>
        <w:tabs>
          <w:tab w:val="clear" w:pos="567"/>
        </w:tabs>
        <w:kinsoku w:val="0"/>
        <w:overflowPunct w:val="0"/>
        <w:autoSpaceDE w:val="0"/>
        <w:autoSpaceDN w:val="0"/>
        <w:adjustRightInd w:val="0"/>
        <w:spacing w:line="240" w:lineRule="auto"/>
        <w:rPr>
          <w:szCs w:val="22"/>
        </w:rPr>
      </w:pPr>
    </w:p>
    <w:p w14:paraId="776DF7F0" w14:textId="77777777" w:rsidR="00C04CAD" w:rsidRDefault="00060E34">
      <w:pPr>
        <w:keepNext/>
        <w:tabs>
          <w:tab w:val="clear" w:pos="567"/>
        </w:tabs>
        <w:kinsoku w:val="0"/>
        <w:overflowPunct w:val="0"/>
        <w:autoSpaceDE w:val="0"/>
        <w:autoSpaceDN w:val="0"/>
        <w:adjustRightInd w:val="0"/>
        <w:spacing w:line="240" w:lineRule="auto"/>
        <w:rPr>
          <w:szCs w:val="22"/>
        </w:rPr>
      </w:pPr>
      <w:r>
        <w:rPr>
          <w:i/>
          <w:spacing w:val="-1"/>
          <w:szCs w:val="22"/>
        </w:rPr>
        <w:t>A</w:t>
      </w:r>
      <w:r>
        <w:rPr>
          <w:i/>
          <w:szCs w:val="22"/>
        </w:rPr>
        <w:t>u</w:t>
      </w:r>
      <w:r>
        <w:rPr>
          <w:i/>
          <w:spacing w:val="1"/>
          <w:szCs w:val="22"/>
        </w:rPr>
        <w:t>t</w:t>
      </w:r>
      <w:r>
        <w:rPr>
          <w:i/>
          <w:szCs w:val="22"/>
        </w:rPr>
        <w:t>oa</w:t>
      </w:r>
      <w:r>
        <w:rPr>
          <w:i/>
          <w:spacing w:val="-3"/>
          <w:szCs w:val="22"/>
        </w:rPr>
        <w:t>n</w:t>
      </w:r>
      <w:r>
        <w:rPr>
          <w:i/>
          <w:spacing w:val="1"/>
          <w:szCs w:val="22"/>
        </w:rPr>
        <w:t>t</w:t>
      </w:r>
      <w:r>
        <w:rPr>
          <w:i/>
          <w:spacing w:val="-2"/>
          <w:szCs w:val="22"/>
        </w:rPr>
        <w:t>i</w:t>
      </w:r>
      <w:r>
        <w:rPr>
          <w:i/>
          <w:szCs w:val="22"/>
        </w:rPr>
        <w:t>cor</w:t>
      </w:r>
      <w:r>
        <w:rPr>
          <w:i/>
          <w:spacing w:val="-3"/>
          <w:szCs w:val="22"/>
        </w:rPr>
        <w:t>p</w:t>
      </w:r>
      <w:r>
        <w:rPr>
          <w:i/>
          <w:szCs w:val="22"/>
        </w:rPr>
        <w:t>i</w:t>
      </w:r>
    </w:p>
    <w:p w14:paraId="50CDA6B3" w14:textId="77777777" w:rsidR="00C04CAD" w:rsidRDefault="00C04CAD">
      <w:pPr>
        <w:tabs>
          <w:tab w:val="clear" w:pos="567"/>
        </w:tabs>
        <w:kinsoku w:val="0"/>
        <w:overflowPunct w:val="0"/>
        <w:autoSpaceDE w:val="0"/>
        <w:autoSpaceDN w:val="0"/>
        <w:adjustRightInd w:val="0"/>
        <w:spacing w:line="240" w:lineRule="auto"/>
        <w:rPr>
          <w:szCs w:val="22"/>
        </w:rPr>
      </w:pPr>
    </w:p>
    <w:p w14:paraId="7C810C3F" w14:textId="77777777" w:rsidR="00C04CAD" w:rsidRDefault="00060E34">
      <w:pPr>
        <w:autoSpaceDE w:val="0"/>
        <w:autoSpaceDN w:val="0"/>
        <w:adjustRightInd w:val="0"/>
        <w:spacing w:line="240" w:lineRule="auto"/>
        <w:jc w:val="both"/>
        <w:rPr>
          <w:szCs w:val="22"/>
        </w:rPr>
      </w:pPr>
      <w:r>
        <w:rPr>
          <w:spacing w:val="-4"/>
          <w:szCs w:val="22"/>
        </w:rPr>
        <w:t>Î</w:t>
      </w:r>
      <w:r>
        <w:rPr>
          <w:szCs w:val="22"/>
        </w:rPr>
        <w:t>n cadrul</w:t>
      </w:r>
      <w:r>
        <w:rPr>
          <w:spacing w:val="1"/>
          <w:szCs w:val="22"/>
        </w:rPr>
        <w:t xml:space="preserve"> </w:t>
      </w:r>
      <w:r>
        <w:rPr>
          <w:spacing w:val="-2"/>
          <w:szCs w:val="22"/>
        </w:rPr>
        <w:t>s</w:t>
      </w:r>
      <w:r>
        <w:rPr>
          <w:spacing w:val="1"/>
          <w:szCs w:val="22"/>
        </w:rPr>
        <w:t>t</w:t>
      </w:r>
      <w:r>
        <w:rPr>
          <w:szCs w:val="22"/>
        </w:rPr>
        <w:t>ud</w:t>
      </w:r>
      <w:r>
        <w:rPr>
          <w:spacing w:val="-2"/>
          <w:szCs w:val="22"/>
        </w:rPr>
        <w:t>ii</w:t>
      </w:r>
      <w:r>
        <w:rPr>
          <w:spacing w:val="1"/>
          <w:szCs w:val="22"/>
        </w:rPr>
        <w:t>l</w:t>
      </w:r>
      <w:r>
        <w:rPr>
          <w:szCs w:val="22"/>
        </w:rPr>
        <w:t>or</w:t>
      </w:r>
      <w:r>
        <w:rPr>
          <w:spacing w:val="1"/>
          <w:szCs w:val="22"/>
        </w:rPr>
        <w:t xml:space="preserve"> </w:t>
      </w:r>
      <w:r>
        <w:rPr>
          <w:spacing w:val="-2"/>
          <w:szCs w:val="22"/>
        </w:rPr>
        <w:t>I</w:t>
      </w:r>
      <w:r>
        <w:rPr>
          <w:spacing w:val="-4"/>
          <w:szCs w:val="22"/>
        </w:rPr>
        <w:t>-</w:t>
      </w:r>
      <w:r>
        <w:rPr>
          <w:spacing w:val="1"/>
          <w:szCs w:val="22"/>
        </w:rPr>
        <w:t>V</w:t>
      </w:r>
      <w:r>
        <w:rPr>
          <w:szCs w:val="22"/>
        </w:rPr>
        <w:t>, pac</w:t>
      </w:r>
      <w:r>
        <w:rPr>
          <w:spacing w:val="-2"/>
          <w:szCs w:val="22"/>
        </w:rPr>
        <w:t>i</w:t>
      </w:r>
      <w:r>
        <w:rPr>
          <w:szCs w:val="22"/>
        </w:rPr>
        <w:t>en</w:t>
      </w:r>
      <w:r>
        <w:rPr>
          <w:spacing w:val="-2"/>
          <w:szCs w:val="22"/>
        </w:rPr>
        <w:t>ţ</w:t>
      </w:r>
      <w:r>
        <w:rPr>
          <w:spacing w:val="1"/>
          <w:szCs w:val="22"/>
        </w:rPr>
        <w:t>il</w:t>
      </w:r>
      <w:r>
        <w:rPr>
          <w:spacing w:val="-3"/>
          <w:szCs w:val="22"/>
        </w:rPr>
        <w:t>o</w:t>
      </w:r>
      <w:r>
        <w:rPr>
          <w:szCs w:val="22"/>
        </w:rPr>
        <w:t>r</w:t>
      </w:r>
      <w:r>
        <w:rPr>
          <w:spacing w:val="1"/>
          <w:szCs w:val="22"/>
        </w:rPr>
        <w:t xml:space="preserve"> </w:t>
      </w:r>
      <w:r>
        <w:rPr>
          <w:spacing w:val="-2"/>
          <w:szCs w:val="22"/>
        </w:rPr>
        <w:t>l</w:t>
      </w:r>
      <w:r>
        <w:rPr>
          <w:szCs w:val="22"/>
        </w:rPr>
        <w:t>i</w:t>
      </w:r>
      <w:r>
        <w:rPr>
          <w:spacing w:val="1"/>
          <w:szCs w:val="22"/>
        </w:rPr>
        <w:t xml:space="preserve"> </w:t>
      </w:r>
      <w:r>
        <w:rPr>
          <w:szCs w:val="22"/>
        </w:rPr>
        <w:t>s</w:t>
      </w:r>
      <w:r>
        <w:rPr>
          <w:spacing w:val="-4"/>
          <w:szCs w:val="22"/>
        </w:rPr>
        <w:t>-</w:t>
      </w:r>
      <w:r>
        <w:rPr>
          <w:szCs w:val="22"/>
        </w:rPr>
        <w:t>au pr</w:t>
      </w:r>
      <w:r>
        <w:rPr>
          <w:spacing w:val="-3"/>
          <w:szCs w:val="22"/>
        </w:rPr>
        <w:t>e</w:t>
      </w:r>
      <w:r>
        <w:rPr>
          <w:spacing w:val="1"/>
          <w:szCs w:val="22"/>
        </w:rPr>
        <w:t>l</w:t>
      </w:r>
      <w:r>
        <w:rPr>
          <w:szCs w:val="22"/>
        </w:rPr>
        <w:t>e</w:t>
      </w:r>
      <w:r>
        <w:rPr>
          <w:spacing w:val="-3"/>
          <w:szCs w:val="22"/>
        </w:rPr>
        <w:t>v</w:t>
      </w:r>
      <w:r>
        <w:rPr>
          <w:szCs w:val="22"/>
        </w:rPr>
        <w:t>at</w:t>
      </w:r>
      <w:r>
        <w:rPr>
          <w:spacing w:val="1"/>
          <w:szCs w:val="22"/>
        </w:rPr>
        <w:t xml:space="preserve"> </w:t>
      </w:r>
      <w:r>
        <w:rPr>
          <w:spacing w:val="-3"/>
          <w:szCs w:val="22"/>
        </w:rPr>
        <w:t>p</w:t>
      </w:r>
      <w:r>
        <w:rPr>
          <w:szCs w:val="22"/>
        </w:rPr>
        <w:t>ro</w:t>
      </w:r>
      <w:r>
        <w:rPr>
          <w:spacing w:val="-3"/>
          <w:szCs w:val="22"/>
        </w:rPr>
        <w:t>b</w:t>
      </w:r>
      <w:r>
        <w:rPr>
          <w:szCs w:val="22"/>
        </w:rPr>
        <w:t xml:space="preserve">e de </w:t>
      </w:r>
      <w:r>
        <w:rPr>
          <w:spacing w:val="-2"/>
          <w:szCs w:val="22"/>
        </w:rPr>
        <w:t>s</w:t>
      </w:r>
      <w:r>
        <w:rPr>
          <w:szCs w:val="22"/>
        </w:rPr>
        <w:t xml:space="preserve">er </w:t>
      </w:r>
      <w:r>
        <w:rPr>
          <w:spacing w:val="-3"/>
          <w:szCs w:val="22"/>
        </w:rPr>
        <w:t>p</w:t>
      </w:r>
      <w:r>
        <w:rPr>
          <w:szCs w:val="22"/>
        </w:rPr>
        <w:t>en</w:t>
      </w:r>
      <w:r>
        <w:rPr>
          <w:spacing w:val="-2"/>
          <w:szCs w:val="22"/>
        </w:rPr>
        <w:t>t</w:t>
      </w:r>
      <w:r>
        <w:rPr>
          <w:szCs w:val="22"/>
        </w:rPr>
        <w:t>ru</w:t>
      </w:r>
      <w:r>
        <w:rPr>
          <w:spacing w:val="-3"/>
          <w:szCs w:val="22"/>
        </w:rPr>
        <w:t xml:space="preserve"> </w:t>
      </w:r>
      <w:r>
        <w:rPr>
          <w:spacing w:val="1"/>
          <w:szCs w:val="22"/>
        </w:rPr>
        <w:t>t</w:t>
      </w:r>
      <w:r>
        <w:rPr>
          <w:szCs w:val="22"/>
        </w:rPr>
        <w:t>e</w:t>
      </w:r>
      <w:r>
        <w:rPr>
          <w:spacing w:val="-2"/>
          <w:szCs w:val="22"/>
        </w:rPr>
        <w:t>s</w:t>
      </w:r>
      <w:r>
        <w:rPr>
          <w:spacing w:val="1"/>
          <w:szCs w:val="22"/>
        </w:rPr>
        <w:t>t</w:t>
      </w:r>
      <w:r>
        <w:rPr>
          <w:szCs w:val="22"/>
        </w:rPr>
        <w:t>a</w:t>
      </w:r>
      <w:r>
        <w:rPr>
          <w:spacing w:val="-2"/>
          <w:szCs w:val="22"/>
        </w:rPr>
        <w:t>r</w:t>
      </w:r>
      <w:r>
        <w:rPr>
          <w:szCs w:val="22"/>
        </w:rPr>
        <w:t xml:space="preserve">e </w:t>
      </w:r>
      <w:r>
        <w:rPr>
          <w:spacing w:val="-2"/>
          <w:szCs w:val="22"/>
        </w:rPr>
        <w:t>r</w:t>
      </w:r>
      <w:r>
        <w:rPr>
          <w:szCs w:val="22"/>
        </w:rPr>
        <w:t>ep</w:t>
      </w:r>
      <w:r>
        <w:rPr>
          <w:spacing w:val="-3"/>
          <w:szCs w:val="22"/>
        </w:rPr>
        <w:t>e</w:t>
      </w:r>
      <w:r>
        <w:rPr>
          <w:spacing w:val="-2"/>
          <w:szCs w:val="22"/>
        </w:rPr>
        <w:t>t</w:t>
      </w:r>
      <w:r>
        <w:rPr>
          <w:szCs w:val="22"/>
        </w:rPr>
        <w:t>a</w:t>
      </w:r>
      <w:r>
        <w:rPr>
          <w:spacing w:val="1"/>
          <w:szCs w:val="22"/>
        </w:rPr>
        <w:t>t</w:t>
      </w:r>
      <w:r>
        <w:rPr>
          <w:szCs w:val="22"/>
        </w:rPr>
        <w:t>ă</w:t>
      </w:r>
      <w:r>
        <w:rPr>
          <w:spacing w:val="-2"/>
          <w:szCs w:val="22"/>
        </w:rPr>
        <w:t xml:space="preserve"> </w:t>
      </w:r>
      <w:r>
        <w:rPr>
          <w:spacing w:val="1"/>
          <w:szCs w:val="22"/>
        </w:rPr>
        <w:t>î</w:t>
      </w:r>
      <w:r>
        <w:rPr>
          <w:szCs w:val="22"/>
        </w:rPr>
        <w:t xml:space="preserve">n </w:t>
      </w:r>
      <w:r>
        <w:rPr>
          <w:spacing w:val="-3"/>
          <w:szCs w:val="22"/>
        </w:rPr>
        <w:t>v</w:t>
      </w:r>
      <w:r>
        <w:rPr>
          <w:szCs w:val="22"/>
        </w:rPr>
        <w:t>ede</w:t>
      </w:r>
      <w:r>
        <w:rPr>
          <w:spacing w:val="-2"/>
          <w:szCs w:val="22"/>
        </w:rPr>
        <w:t>r</w:t>
      </w:r>
      <w:r>
        <w:rPr>
          <w:szCs w:val="22"/>
        </w:rPr>
        <w:t>ea dep</w:t>
      </w:r>
      <w:r>
        <w:rPr>
          <w:spacing w:val="1"/>
          <w:szCs w:val="22"/>
        </w:rPr>
        <w:t>i</w:t>
      </w:r>
      <w:r>
        <w:rPr>
          <w:spacing w:val="-2"/>
          <w:szCs w:val="22"/>
        </w:rPr>
        <w:t>s</w:t>
      </w:r>
      <w:r>
        <w:rPr>
          <w:spacing w:val="1"/>
          <w:szCs w:val="22"/>
        </w:rPr>
        <w:t>t</w:t>
      </w:r>
      <w:r>
        <w:rPr>
          <w:spacing w:val="-3"/>
          <w:szCs w:val="22"/>
        </w:rPr>
        <w:t>ă</w:t>
      </w:r>
      <w:r>
        <w:rPr>
          <w:szCs w:val="22"/>
        </w:rPr>
        <w:t>r</w:t>
      </w:r>
      <w:r>
        <w:rPr>
          <w:spacing w:val="-2"/>
          <w:szCs w:val="22"/>
        </w:rPr>
        <w:t>i</w:t>
      </w:r>
      <w:r>
        <w:rPr>
          <w:szCs w:val="22"/>
        </w:rPr>
        <w:t>i</w:t>
      </w:r>
      <w:r>
        <w:rPr>
          <w:spacing w:val="1"/>
          <w:szCs w:val="22"/>
        </w:rPr>
        <w:t xml:space="preserve"> </w:t>
      </w:r>
      <w:r>
        <w:rPr>
          <w:szCs w:val="22"/>
        </w:rPr>
        <w:t>a</w:t>
      </w:r>
      <w:r>
        <w:rPr>
          <w:spacing w:val="-3"/>
          <w:szCs w:val="22"/>
        </w:rPr>
        <w:t>u</w:t>
      </w:r>
      <w:r>
        <w:rPr>
          <w:spacing w:val="1"/>
          <w:szCs w:val="22"/>
        </w:rPr>
        <w:t>t</w:t>
      </w:r>
      <w:r>
        <w:rPr>
          <w:szCs w:val="22"/>
        </w:rPr>
        <w:t>o</w:t>
      </w:r>
      <w:r>
        <w:rPr>
          <w:spacing w:val="-3"/>
          <w:szCs w:val="22"/>
        </w:rPr>
        <w:t>a</w:t>
      </w:r>
      <w:r>
        <w:rPr>
          <w:szCs w:val="22"/>
        </w:rPr>
        <w:t>n</w:t>
      </w:r>
      <w:r>
        <w:rPr>
          <w:spacing w:val="-2"/>
          <w:szCs w:val="22"/>
        </w:rPr>
        <w:t>t</w:t>
      </w:r>
      <w:r>
        <w:rPr>
          <w:spacing w:val="1"/>
          <w:szCs w:val="22"/>
        </w:rPr>
        <w:t>i</w:t>
      </w:r>
      <w:r>
        <w:rPr>
          <w:szCs w:val="22"/>
        </w:rPr>
        <w:t>c</w:t>
      </w:r>
      <w:r>
        <w:rPr>
          <w:spacing w:val="-3"/>
          <w:szCs w:val="22"/>
        </w:rPr>
        <w:t>o</w:t>
      </w:r>
      <w:r>
        <w:rPr>
          <w:szCs w:val="22"/>
        </w:rPr>
        <w:t>rp</w:t>
      </w:r>
      <w:r>
        <w:rPr>
          <w:spacing w:val="-2"/>
          <w:szCs w:val="22"/>
        </w:rPr>
        <w:t>i</w:t>
      </w:r>
      <w:r>
        <w:rPr>
          <w:spacing w:val="1"/>
          <w:szCs w:val="22"/>
        </w:rPr>
        <w:t>l</w:t>
      </w:r>
      <w:r>
        <w:rPr>
          <w:szCs w:val="22"/>
        </w:rPr>
        <w:t>or</w:t>
      </w:r>
      <w:r>
        <w:rPr>
          <w:spacing w:val="-2"/>
          <w:szCs w:val="22"/>
        </w:rPr>
        <w:t xml:space="preserve"> </w:t>
      </w:r>
      <w:r>
        <w:rPr>
          <w:spacing w:val="-3"/>
          <w:szCs w:val="22"/>
        </w:rPr>
        <w:t>p</w:t>
      </w:r>
      <w:r>
        <w:rPr>
          <w:szCs w:val="22"/>
        </w:rPr>
        <w:t>en</w:t>
      </w:r>
      <w:r>
        <w:rPr>
          <w:spacing w:val="1"/>
          <w:szCs w:val="22"/>
        </w:rPr>
        <w:t>t</w:t>
      </w:r>
      <w:r>
        <w:rPr>
          <w:spacing w:val="-2"/>
          <w:szCs w:val="22"/>
        </w:rPr>
        <w:t>r</w:t>
      </w:r>
      <w:r>
        <w:rPr>
          <w:szCs w:val="22"/>
        </w:rPr>
        <w:t>u p</w:t>
      </w:r>
      <w:r>
        <w:rPr>
          <w:spacing w:val="-3"/>
          <w:szCs w:val="22"/>
        </w:rPr>
        <w:t>o</w:t>
      </w:r>
      <w:r>
        <w:rPr>
          <w:spacing w:val="1"/>
          <w:szCs w:val="22"/>
        </w:rPr>
        <w:t>li</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a</w:t>
      </w:r>
      <w:r>
        <w:rPr>
          <w:spacing w:val="-2"/>
          <w:szCs w:val="22"/>
        </w:rPr>
        <w:t xml:space="preserve"> </w:t>
      </w:r>
      <w:r>
        <w:rPr>
          <w:szCs w:val="22"/>
        </w:rPr>
        <w:t>reu</w:t>
      </w:r>
      <w:r>
        <w:rPr>
          <w:spacing w:val="-4"/>
          <w:szCs w:val="22"/>
        </w:rPr>
        <w:t>m</w:t>
      </w:r>
      <w:r>
        <w:rPr>
          <w:szCs w:val="22"/>
        </w:rPr>
        <w:t>a</w:t>
      </w:r>
      <w:r>
        <w:rPr>
          <w:spacing w:val="1"/>
          <w:szCs w:val="22"/>
        </w:rPr>
        <w:t>t</w:t>
      </w:r>
      <w:r>
        <w:rPr>
          <w:spacing w:val="-3"/>
          <w:szCs w:val="22"/>
        </w:rPr>
        <w:t>o</w:t>
      </w:r>
      <w:r>
        <w:rPr>
          <w:spacing w:val="1"/>
          <w:szCs w:val="22"/>
        </w:rPr>
        <w:t>i</w:t>
      </w:r>
      <w:r>
        <w:rPr>
          <w:szCs w:val="22"/>
        </w:rPr>
        <w:t>d</w:t>
      </w:r>
      <w:r>
        <w:rPr>
          <w:spacing w:val="-3"/>
          <w:szCs w:val="22"/>
        </w:rPr>
        <w:t>ă</w:t>
      </w:r>
      <w:r>
        <w:rPr>
          <w:szCs w:val="22"/>
        </w:rPr>
        <w:t xml:space="preserve">. </w:t>
      </w:r>
      <w:r>
        <w:rPr>
          <w:spacing w:val="-4"/>
          <w:szCs w:val="22"/>
        </w:rPr>
        <w:t>Î</w:t>
      </w:r>
      <w:r>
        <w:rPr>
          <w:szCs w:val="22"/>
        </w:rPr>
        <w:t>n cadrul</w:t>
      </w:r>
      <w:r>
        <w:rPr>
          <w:spacing w:val="1"/>
          <w:szCs w:val="22"/>
        </w:rPr>
        <w:t xml:space="preserve"> </w:t>
      </w:r>
      <w:r>
        <w:rPr>
          <w:spacing w:val="-3"/>
          <w:szCs w:val="22"/>
        </w:rPr>
        <w:t>a</w:t>
      </w:r>
      <w:r>
        <w:rPr>
          <w:szCs w:val="22"/>
        </w:rPr>
        <w:t>ce</w:t>
      </w:r>
      <w:r>
        <w:rPr>
          <w:spacing w:val="-2"/>
          <w:szCs w:val="22"/>
        </w:rPr>
        <w:t>s</w:t>
      </w:r>
      <w:r>
        <w:rPr>
          <w:spacing w:val="1"/>
          <w:szCs w:val="22"/>
        </w:rPr>
        <w:t>t</w:t>
      </w:r>
      <w:r>
        <w:rPr>
          <w:szCs w:val="22"/>
        </w:rPr>
        <w:t>or</w:t>
      </w:r>
      <w:r>
        <w:rPr>
          <w:spacing w:val="-2"/>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w:t>
      </w:r>
      <w:r>
        <w:rPr>
          <w:szCs w:val="22"/>
        </w:rPr>
        <w:t xml:space="preserve">, </w:t>
      </w:r>
      <w:r>
        <w:rPr>
          <w:spacing w:val="-2"/>
          <w:szCs w:val="22"/>
        </w:rPr>
        <w:t>l</w:t>
      </w:r>
      <w:r>
        <w:rPr>
          <w:szCs w:val="22"/>
        </w:rPr>
        <w:t>a</w:t>
      </w:r>
      <w:r>
        <w:rPr>
          <w:spacing w:val="-2"/>
          <w:szCs w:val="22"/>
        </w:rPr>
        <w:t xml:space="preserve"> </w:t>
      </w:r>
      <w:r>
        <w:rPr>
          <w:szCs w:val="22"/>
        </w:rPr>
        <w:t>11,9%</w:t>
      </w:r>
      <w:r>
        <w:rPr>
          <w:spacing w:val="1"/>
          <w:szCs w:val="22"/>
        </w:rPr>
        <w:t xml:space="preserve"> </w:t>
      </w:r>
      <w:r>
        <w:rPr>
          <w:spacing w:val="-3"/>
          <w:szCs w:val="22"/>
        </w:rPr>
        <w:t>d</w:t>
      </w:r>
      <w:r>
        <w:rPr>
          <w:spacing w:val="1"/>
          <w:szCs w:val="22"/>
        </w:rPr>
        <w:t>i</w:t>
      </w:r>
      <w:r>
        <w:rPr>
          <w:szCs w:val="22"/>
        </w:rPr>
        <w:t xml:space="preserve">n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w:t>
      </w:r>
      <w:r>
        <w:rPr>
          <w:spacing w:val="-2"/>
          <w:szCs w:val="22"/>
        </w:rPr>
        <w:t>l</w:t>
      </w:r>
      <w:r>
        <w:rPr>
          <w:szCs w:val="22"/>
        </w:rPr>
        <w:t>a 8,</w:t>
      </w:r>
      <w:r>
        <w:rPr>
          <w:spacing w:val="-3"/>
          <w:szCs w:val="22"/>
        </w:rPr>
        <w:t>1</w:t>
      </w:r>
      <w:r>
        <w:rPr>
          <w:szCs w:val="22"/>
        </w:rPr>
        <w:t>%</w:t>
      </w:r>
      <w:r>
        <w:rPr>
          <w:spacing w:val="-2"/>
          <w:szCs w:val="22"/>
        </w:rPr>
        <w:t xml:space="preserve"> </w:t>
      </w:r>
      <w:r>
        <w:rPr>
          <w:szCs w:val="22"/>
        </w:rPr>
        <w:t>d</w:t>
      </w:r>
      <w:r>
        <w:rPr>
          <w:spacing w:val="1"/>
          <w:szCs w:val="22"/>
        </w:rPr>
        <w:t>i</w:t>
      </w:r>
      <w:r>
        <w:rPr>
          <w:szCs w:val="22"/>
        </w:rPr>
        <w:t>n 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c</w:t>
      </w:r>
      <w:r>
        <w:rPr>
          <w:spacing w:val="-3"/>
          <w:szCs w:val="22"/>
        </w:rPr>
        <w:t>a</w:t>
      </w:r>
      <w:r>
        <w:rPr>
          <w:szCs w:val="22"/>
        </w:rPr>
        <w:t>re au</w:t>
      </w:r>
      <w:r>
        <w:rPr>
          <w:spacing w:val="-3"/>
          <w:szCs w:val="22"/>
        </w:rPr>
        <w:t xml:space="preserve"> </w:t>
      </w:r>
      <w:r>
        <w:rPr>
          <w:szCs w:val="22"/>
        </w:rPr>
        <w:t>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zCs w:val="22"/>
        </w:rPr>
        <w:t>p</w:t>
      </w:r>
      <w:r>
        <w:rPr>
          <w:spacing w:val="1"/>
          <w:szCs w:val="22"/>
        </w:rPr>
        <w:t>l</w:t>
      </w:r>
      <w:r>
        <w:rPr>
          <w:szCs w:val="22"/>
        </w:rPr>
        <w:t>a</w:t>
      </w:r>
      <w:r>
        <w:rPr>
          <w:spacing w:val="-3"/>
          <w:szCs w:val="22"/>
        </w:rPr>
        <w:t>c</w:t>
      </w:r>
      <w:r>
        <w:rPr>
          <w:szCs w:val="22"/>
        </w:rPr>
        <w:t xml:space="preserve">ebo </w:t>
      </w:r>
      <w:r>
        <w:rPr>
          <w:spacing w:val="-2"/>
          <w:szCs w:val="22"/>
        </w:rPr>
        <w:t>ş</w:t>
      </w:r>
      <w:r>
        <w:rPr>
          <w:szCs w:val="22"/>
        </w:rPr>
        <w:t>i</w:t>
      </w:r>
      <w:r>
        <w:rPr>
          <w:spacing w:val="1"/>
          <w:szCs w:val="22"/>
        </w:rPr>
        <w:t xml:space="preserve"> </w:t>
      </w:r>
      <w:r>
        <w:rPr>
          <w:spacing w:val="-3"/>
          <w:szCs w:val="22"/>
        </w:rPr>
        <w:t>c</w:t>
      </w:r>
      <w:r>
        <w:rPr>
          <w:szCs w:val="22"/>
        </w:rPr>
        <w:t>o</w:t>
      </w:r>
      <w:r>
        <w:rPr>
          <w:spacing w:val="-4"/>
          <w:szCs w:val="22"/>
        </w:rPr>
        <w:t>m</w:t>
      </w:r>
      <w:r>
        <w:rPr>
          <w:szCs w:val="22"/>
        </w:rPr>
        <w:t>para</w:t>
      </w:r>
      <w:r>
        <w:rPr>
          <w:spacing w:val="1"/>
          <w:szCs w:val="22"/>
        </w:rPr>
        <w:t>t</w:t>
      </w:r>
      <w:r>
        <w:rPr>
          <w:spacing w:val="-3"/>
          <w:szCs w:val="22"/>
        </w:rPr>
        <w:t>o</w:t>
      </w:r>
      <w:r>
        <w:rPr>
          <w:szCs w:val="22"/>
        </w:rPr>
        <w:t>r</w:t>
      </w:r>
      <w:r>
        <w:rPr>
          <w:spacing w:val="1"/>
          <w:szCs w:val="22"/>
        </w:rPr>
        <w:t xml:space="preserve"> </w:t>
      </w:r>
      <w:r>
        <w:rPr>
          <w:szCs w:val="22"/>
        </w:rPr>
        <w:t>a</w:t>
      </w:r>
      <w:r>
        <w:rPr>
          <w:spacing w:val="-3"/>
          <w:szCs w:val="22"/>
        </w:rPr>
        <w:t>c</w:t>
      </w:r>
      <w:r>
        <w:rPr>
          <w:spacing w:val="1"/>
          <w:szCs w:val="22"/>
        </w:rPr>
        <w:t>t</w:t>
      </w:r>
      <w:r>
        <w:rPr>
          <w:spacing w:val="-2"/>
          <w:szCs w:val="22"/>
        </w:rPr>
        <w:t>i</w:t>
      </w:r>
      <w:r>
        <w:rPr>
          <w:spacing w:val="-3"/>
          <w:szCs w:val="22"/>
        </w:rPr>
        <w:t>v</w:t>
      </w:r>
      <w:r>
        <w:rPr>
          <w:szCs w:val="22"/>
        </w:rPr>
        <w:t xml:space="preserve">, care </w:t>
      </w:r>
      <w:r>
        <w:rPr>
          <w:spacing w:val="-2"/>
          <w:szCs w:val="22"/>
        </w:rPr>
        <w:t>i</w:t>
      </w:r>
      <w:r>
        <w:rPr>
          <w:szCs w:val="22"/>
        </w:rPr>
        <w:t>n</w:t>
      </w:r>
      <w:r>
        <w:rPr>
          <w:spacing w:val="-2"/>
          <w:szCs w:val="22"/>
        </w:rPr>
        <w:t>i</w:t>
      </w:r>
      <w:r>
        <w:rPr>
          <w:spacing w:val="1"/>
          <w:szCs w:val="22"/>
        </w:rPr>
        <w:t>ţi</w:t>
      </w:r>
      <w:r>
        <w:rPr>
          <w:spacing w:val="-3"/>
          <w:szCs w:val="22"/>
        </w:rPr>
        <w:t>a</w:t>
      </w:r>
      <w:r>
        <w:rPr>
          <w:szCs w:val="22"/>
        </w:rPr>
        <w:t>l</w:t>
      </w:r>
      <w:r>
        <w:rPr>
          <w:spacing w:val="1"/>
          <w:szCs w:val="22"/>
        </w:rPr>
        <w:t xml:space="preserve"> </w:t>
      </w:r>
      <w:r>
        <w:rPr>
          <w:szCs w:val="22"/>
        </w:rPr>
        <w:t>au a</w:t>
      </w:r>
      <w:r>
        <w:rPr>
          <w:spacing w:val="-3"/>
          <w:szCs w:val="22"/>
        </w:rPr>
        <w:t>v</w:t>
      </w:r>
      <w:r>
        <w:rPr>
          <w:szCs w:val="22"/>
        </w:rPr>
        <w:t>ut</w:t>
      </w:r>
      <w:r>
        <w:rPr>
          <w:spacing w:val="1"/>
          <w:szCs w:val="22"/>
        </w:rPr>
        <w:t xml:space="preserve"> t</w:t>
      </w:r>
      <w:r>
        <w:rPr>
          <w:spacing w:val="-2"/>
          <w:szCs w:val="22"/>
        </w:rPr>
        <w:t>i</w:t>
      </w:r>
      <w:r>
        <w:rPr>
          <w:spacing w:val="1"/>
          <w:szCs w:val="22"/>
        </w:rPr>
        <w:t>t</w:t>
      </w:r>
      <w:r>
        <w:rPr>
          <w:szCs w:val="22"/>
        </w:rPr>
        <w:t>r</w:t>
      </w:r>
      <w:r>
        <w:rPr>
          <w:spacing w:val="-3"/>
          <w:szCs w:val="22"/>
        </w:rPr>
        <w:t>u</w:t>
      </w:r>
      <w:r>
        <w:rPr>
          <w:szCs w:val="22"/>
        </w:rPr>
        <w:t>l</w:t>
      </w:r>
      <w:r>
        <w:rPr>
          <w:spacing w:val="1"/>
          <w:szCs w:val="22"/>
        </w:rPr>
        <w:t xml:space="preserve"> </w:t>
      </w:r>
      <w:r>
        <w:rPr>
          <w:spacing w:val="-3"/>
          <w:szCs w:val="22"/>
        </w:rPr>
        <w:t>n</w:t>
      </w:r>
      <w:r>
        <w:rPr>
          <w:szCs w:val="22"/>
        </w:rPr>
        <w:t>e</w:t>
      </w:r>
      <w:r>
        <w:rPr>
          <w:spacing w:val="-3"/>
          <w:szCs w:val="22"/>
        </w:rPr>
        <w:t>g</w:t>
      </w:r>
      <w:r>
        <w:rPr>
          <w:szCs w:val="22"/>
        </w:rPr>
        <w:t>a</w:t>
      </w:r>
      <w:r>
        <w:rPr>
          <w:spacing w:val="1"/>
          <w:szCs w:val="22"/>
        </w:rPr>
        <w:t>ti</w:t>
      </w:r>
      <w:r>
        <w:rPr>
          <w:szCs w:val="22"/>
        </w:rPr>
        <w:t>v</w:t>
      </w:r>
      <w:r>
        <w:rPr>
          <w:spacing w:val="-3"/>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a</w:t>
      </w:r>
      <w:r>
        <w:rPr>
          <w:spacing w:val="-3"/>
          <w:szCs w:val="22"/>
        </w:rPr>
        <w:t>n</w:t>
      </w:r>
      <w:r>
        <w:rPr>
          <w:spacing w:val="1"/>
          <w:szCs w:val="22"/>
        </w:rPr>
        <w:t>ti</w:t>
      </w:r>
      <w:r>
        <w:rPr>
          <w:spacing w:val="-3"/>
          <w:szCs w:val="22"/>
        </w:rPr>
        <w:t>c</w:t>
      </w:r>
      <w:r>
        <w:rPr>
          <w:szCs w:val="22"/>
        </w:rPr>
        <w:t>or</w:t>
      </w:r>
      <w:r>
        <w:rPr>
          <w:spacing w:val="-3"/>
          <w:szCs w:val="22"/>
        </w:rPr>
        <w:t>p</w:t>
      </w:r>
      <w:r>
        <w:rPr>
          <w:spacing w:val="1"/>
          <w:szCs w:val="22"/>
        </w:rPr>
        <w:t>i</w:t>
      </w:r>
      <w:r>
        <w:rPr>
          <w:szCs w:val="22"/>
        </w:rPr>
        <w:t>i</w:t>
      </w:r>
      <w:r>
        <w:rPr>
          <w:spacing w:val="-2"/>
          <w:szCs w:val="22"/>
        </w:rPr>
        <w:t xml:space="preserve"> </w:t>
      </w:r>
      <w:r>
        <w:rPr>
          <w:szCs w:val="22"/>
        </w:rPr>
        <w:t>an</w:t>
      </w:r>
      <w:r>
        <w:rPr>
          <w:spacing w:val="-2"/>
          <w:szCs w:val="22"/>
        </w:rPr>
        <w:t>t</w:t>
      </w:r>
      <w:r>
        <w:rPr>
          <w:spacing w:val="1"/>
          <w:szCs w:val="22"/>
        </w:rPr>
        <w:t>i</w:t>
      </w:r>
      <w:r>
        <w:rPr>
          <w:spacing w:val="-5"/>
          <w:szCs w:val="22"/>
        </w:rPr>
        <w:t>-</w:t>
      </w:r>
      <w:r>
        <w:rPr>
          <w:szCs w:val="22"/>
        </w:rPr>
        <w:t>nuc</w:t>
      </w:r>
      <w:r>
        <w:rPr>
          <w:spacing w:val="1"/>
          <w:szCs w:val="22"/>
        </w:rPr>
        <w:t>l</w:t>
      </w:r>
      <w:r>
        <w:rPr>
          <w:szCs w:val="22"/>
        </w:rPr>
        <w:t>e</w:t>
      </w:r>
      <w:r>
        <w:rPr>
          <w:spacing w:val="-3"/>
          <w:szCs w:val="22"/>
        </w:rPr>
        <w:t>a</w:t>
      </w:r>
      <w:r>
        <w:rPr>
          <w:szCs w:val="22"/>
        </w:rPr>
        <w:t>r</w:t>
      </w:r>
      <w:r>
        <w:rPr>
          <w:spacing w:val="1"/>
          <w:szCs w:val="22"/>
        </w:rPr>
        <w:t>i</w:t>
      </w:r>
      <w:r>
        <w:rPr>
          <w:szCs w:val="22"/>
        </w:rPr>
        <w:t>,</w:t>
      </w:r>
      <w:r>
        <w:rPr>
          <w:spacing w:val="-3"/>
          <w:szCs w:val="22"/>
        </w:rPr>
        <w:t xml:space="preserve"> </w:t>
      </w:r>
      <w:r>
        <w:rPr>
          <w:szCs w:val="22"/>
        </w:rPr>
        <w:t>s</w:t>
      </w:r>
      <w:r>
        <w:rPr>
          <w:spacing w:val="-4"/>
          <w:szCs w:val="22"/>
        </w:rPr>
        <w:t>-</w:t>
      </w:r>
      <w:r>
        <w:rPr>
          <w:szCs w:val="22"/>
        </w:rPr>
        <w:t>au se</w:t>
      </w:r>
      <w:r>
        <w:rPr>
          <w:spacing w:val="-4"/>
          <w:szCs w:val="22"/>
        </w:rPr>
        <w:t>m</w:t>
      </w:r>
      <w:r>
        <w:rPr>
          <w:szCs w:val="22"/>
        </w:rPr>
        <w:t>na</w:t>
      </w:r>
      <w:r>
        <w:rPr>
          <w:spacing w:val="1"/>
          <w:szCs w:val="22"/>
        </w:rPr>
        <w:t>l</w:t>
      </w:r>
      <w:r>
        <w:rPr>
          <w:szCs w:val="22"/>
        </w:rPr>
        <w:t>at</w:t>
      </w:r>
      <w:r>
        <w:rPr>
          <w:spacing w:val="1"/>
          <w:szCs w:val="22"/>
        </w:rPr>
        <w:t xml:space="preserve"> </w:t>
      </w:r>
      <w:r>
        <w:rPr>
          <w:spacing w:val="-2"/>
          <w:szCs w:val="22"/>
        </w:rPr>
        <w:t>ti</w:t>
      </w:r>
      <w:r>
        <w:rPr>
          <w:spacing w:val="1"/>
          <w:szCs w:val="22"/>
        </w:rPr>
        <w:t>t</w:t>
      </w:r>
      <w:r>
        <w:rPr>
          <w:szCs w:val="22"/>
        </w:rPr>
        <w:t>r</w:t>
      </w:r>
      <w:r>
        <w:rPr>
          <w:spacing w:val="-3"/>
          <w:szCs w:val="22"/>
        </w:rPr>
        <w:t>u</w:t>
      </w:r>
      <w:r>
        <w:rPr>
          <w:szCs w:val="22"/>
        </w:rPr>
        <w:t>ri</w:t>
      </w:r>
      <w:r>
        <w:rPr>
          <w:spacing w:val="1"/>
          <w:szCs w:val="22"/>
        </w:rPr>
        <w:t xml:space="preserve"> </w:t>
      </w:r>
      <w:r>
        <w:rPr>
          <w:spacing w:val="-3"/>
          <w:szCs w:val="22"/>
        </w:rPr>
        <w:t>p</w:t>
      </w:r>
      <w:r>
        <w:rPr>
          <w:szCs w:val="22"/>
        </w:rPr>
        <w:t>o</w:t>
      </w:r>
      <w:r>
        <w:rPr>
          <w:spacing w:val="-3"/>
          <w:szCs w:val="22"/>
        </w:rPr>
        <w:t>z</w:t>
      </w:r>
      <w:r>
        <w:rPr>
          <w:spacing w:val="1"/>
          <w:szCs w:val="22"/>
        </w:rPr>
        <w:t>iti</w:t>
      </w:r>
      <w:r>
        <w:rPr>
          <w:spacing w:val="-3"/>
          <w:szCs w:val="22"/>
        </w:rPr>
        <w:t>v</w:t>
      </w:r>
      <w:r>
        <w:rPr>
          <w:szCs w:val="22"/>
        </w:rPr>
        <w:t>e</w:t>
      </w:r>
      <w:r>
        <w:rPr>
          <w:spacing w:val="-2"/>
          <w:szCs w:val="22"/>
        </w:rPr>
        <w:t xml:space="preserve"> </w:t>
      </w:r>
      <w:r>
        <w:rPr>
          <w:spacing w:val="1"/>
          <w:szCs w:val="22"/>
        </w:rPr>
        <w:t>î</w:t>
      </w:r>
      <w:r>
        <w:rPr>
          <w:szCs w:val="22"/>
        </w:rPr>
        <w:t xml:space="preserve">n </w:t>
      </w:r>
      <w:r>
        <w:rPr>
          <w:rFonts w:eastAsia="MS Mincho"/>
          <w:spacing w:val="-3"/>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24. </w:t>
      </w:r>
      <w:r>
        <w:rPr>
          <w:spacing w:val="-1"/>
          <w:szCs w:val="22"/>
        </w:rPr>
        <w:t>D</w:t>
      </w:r>
      <w:r>
        <w:rPr>
          <w:spacing w:val="-3"/>
          <w:szCs w:val="22"/>
        </w:rPr>
        <w:t>o</w:t>
      </w:r>
      <w:r>
        <w:rPr>
          <w:szCs w:val="22"/>
        </w:rPr>
        <w:t>i pac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d</w:t>
      </w:r>
      <w:r>
        <w:rPr>
          <w:spacing w:val="1"/>
          <w:szCs w:val="22"/>
        </w:rPr>
        <w:t>i</w:t>
      </w:r>
      <w:r>
        <w:rPr>
          <w:szCs w:val="22"/>
        </w:rPr>
        <w:t>n c</w:t>
      </w:r>
      <w:r>
        <w:rPr>
          <w:spacing w:val="-3"/>
          <w:szCs w:val="22"/>
        </w:rPr>
        <w:t>e</w:t>
      </w:r>
      <w:r>
        <w:rPr>
          <w:szCs w:val="22"/>
        </w:rPr>
        <w:t>i</w:t>
      </w:r>
      <w:r>
        <w:rPr>
          <w:spacing w:val="1"/>
          <w:szCs w:val="22"/>
        </w:rPr>
        <w:t xml:space="preserve"> </w:t>
      </w:r>
      <w:r>
        <w:rPr>
          <w:szCs w:val="22"/>
        </w:rPr>
        <w:t>3</w:t>
      </w:r>
      <w:r>
        <w:rPr>
          <w:spacing w:val="-3"/>
          <w:szCs w:val="22"/>
        </w:rPr>
        <w:t>4</w:t>
      </w:r>
      <w:r>
        <w:rPr>
          <w:szCs w:val="22"/>
        </w:rPr>
        <w:t xml:space="preserve">41 </w:t>
      </w:r>
      <w:r>
        <w:rPr>
          <w:spacing w:val="-2"/>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1"/>
          <w:szCs w:val="22"/>
        </w:rPr>
        <w:t>î</w:t>
      </w:r>
      <w:r>
        <w:rPr>
          <w:szCs w:val="22"/>
        </w:rPr>
        <w:t>n</w:t>
      </w:r>
      <w:r>
        <w:rPr>
          <w:spacing w:val="-3"/>
          <w:szCs w:val="22"/>
        </w:rPr>
        <w:t xml:space="preserve"> </w:t>
      </w:r>
      <w:r>
        <w:rPr>
          <w:spacing w:val="1"/>
          <w:szCs w:val="22"/>
        </w:rPr>
        <w:t>t</w:t>
      </w:r>
      <w:r>
        <w:rPr>
          <w:szCs w:val="22"/>
        </w:rPr>
        <w:t>o</w:t>
      </w:r>
      <w:r>
        <w:rPr>
          <w:spacing w:val="-3"/>
          <w:szCs w:val="22"/>
        </w:rPr>
        <w:t>a</w:t>
      </w:r>
      <w:r>
        <w:rPr>
          <w:spacing w:val="1"/>
          <w:szCs w:val="22"/>
        </w:rPr>
        <w:t>t</w:t>
      </w:r>
      <w:r>
        <w:rPr>
          <w:szCs w:val="22"/>
        </w:rPr>
        <w:t>e</w:t>
      </w:r>
      <w:r>
        <w:rPr>
          <w:spacing w:val="-2"/>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il</w:t>
      </w:r>
      <w:r>
        <w:rPr>
          <w:szCs w:val="22"/>
        </w:rPr>
        <w:t>e</w:t>
      </w:r>
      <w:r>
        <w:rPr>
          <w:spacing w:val="-5"/>
          <w:szCs w:val="22"/>
        </w:rPr>
        <w:t xml:space="preserve"> </w:t>
      </w:r>
      <w:r>
        <w:rPr>
          <w:szCs w:val="22"/>
        </w:rPr>
        <w:t>c</w:t>
      </w:r>
      <w:r>
        <w:rPr>
          <w:spacing w:val="1"/>
          <w:szCs w:val="22"/>
        </w:rPr>
        <w:t>l</w:t>
      </w:r>
      <w:r>
        <w:rPr>
          <w:spacing w:val="-2"/>
          <w:szCs w:val="22"/>
        </w:rPr>
        <w:t>i</w:t>
      </w:r>
      <w:r>
        <w:rPr>
          <w:szCs w:val="22"/>
        </w:rPr>
        <w:t>n</w:t>
      </w:r>
      <w:r>
        <w:rPr>
          <w:spacing w:val="1"/>
          <w:szCs w:val="22"/>
        </w:rPr>
        <w:t>i</w:t>
      </w:r>
      <w:r>
        <w:rPr>
          <w:spacing w:val="-3"/>
          <w:szCs w:val="22"/>
        </w:rPr>
        <w:t>c</w:t>
      </w:r>
      <w:r>
        <w:rPr>
          <w:szCs w:val="22"/>
        </w:rPr>
        <w:t>e p</w:t>
      </w:r>
      <w:r>
        <w:rPr>
          <w:spacing w:val="-2"/>
          <w:szCs w:val="22"/>
        </w:rPr>
        <w:t>r</w:t>
      </w:r>
      <w:r>
        <w:rPr>
          <w:spacing w:val="1"/>
          <w:szCs w:val="22"/>
        </w:rPr>
        <w:t>i</w:t>
      </w:r>
      <w:r>
        <w:rPr>
          <w:spacing w:val="-3"/>
          <w:szCs w:val="22"/>
        </w:rPr>
        <w:t>v</w:t>
      </w:r>
      <w:r>
        <w:rPr>
          <w:spacing w:val="1"/>
          <w:szCs w:val="22"/>
        </w:rPr>
        <w:t>i</w:t>
      </w:r>
      <w:r>
        <w:rPr>
          <w:szCs w:val="22"/>
        </w:rPr>
        <w:t>nd p</w:t>
      </w:r>
      <w:r>
        <w:rPr>
          <w:spacing w:val="-3"/>
          <w:szCs w:val="22"/>
        </w:rPr>
        <w:t>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a 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 xml:space="preserve">dă </w:t>
      </w:r>
      <w:r>
        <w:rPr>
          <w:spacing w:val="-2"/>
          <w:szCs w:val="22"/>
        </w:rPr>
        <w:t>ş</w:t>
      </w:r>
      <w:r>
        <w:rPr>
          <w:szCs w:val="22"/>
        </w:rPr>
        <w:t>i</w:t>
      </w:r>
      <w:r>
        <w:rPr>
          <w:spacing w:val="1"/>
          <w:szCs w:val="22"/>
        </w:rPr>
        <w:t xml:space="preserve"> </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a pso</w:t>
      </w:r>
      <w:r>
        <w:rPr>
          <w:spacing w:val="-2"/>
          <w:szCs w:val="22"/>
        </w:rPr>
        <w:t>r</w:t>
      </w:r>
      <w:r>
        <w:rPr>
          <w:spacing w:val="1"/>
          <w:szCs w:val="22"/>
        </w:rPr>
        <w:t>i</w:t>
      </w:r>
      <w:r>
        <w:rPr>
          <w:szCs w:val="22"/>
        </w:rPr>
        <w:t>a</w:t>
      </w:r>
      <w:r>
        <w:rPr>
          <w:spacing w:val="-3"/>
          <w:szCs w:val="22"/>
        </w:rPr>
        <w:t>z</w:t>
      </w:r>
      <w:r>
        <w:rPr>
          <w:spacing w:val="1"/>
          <w:szCs w:val="22"/>
        </w:rPr>
        <w:t>i</w:t>
      </w:r>
      <w:r>
        <w:rPr>
          <w:szCs w:val="22"/>
        </w:rPr>
        <w:t>că</w:t>
      </w:r>
      <w:r>
        <w:rPr>
          <w:spacing w:val="-2"/>
          <w:szCs w:val="22"/>
        </w:rPr>
        <w:t xml:space="preserve"> </w:t>
      </w:r>
      <w:r>
        <w:rPr>
          <w:szCs w:val="22"/>
        </w:rPr>
        <w:t xml:space="preserve">au </w:t>
      </w:r>
      <w:r>
        <w:rPr>
          <w:spacing w:val="-4"/>
          <w:szCs w:val="22"/>
        </w:rPr>
        <w:t>m</w:t>
      </w:r>
      <w:r>
        <w:rPr>
          <w:szCs w:val="22"/>
        </w:rPr>
        <w:t>an</w:t>
      </w:r>
      <w:r>
        <w:rPr>
          <w:spacing w:val="1"/>
          <w:szCs w:val="22"/>
        </w:rPr>
        <w:t>i</w:t>
      </w:r>
      <w:r>
        <w:rPr>
          <w:spacing w:val="-2"/>
          <w:szCs w:val="22"/>
        </w:rPr>
        <w:t>f</w:t>
      </w:r>
      <w:r>
        <w:rPr>
          <w:szCs w:val="22"/>
        </w:rPr>
        <w:t>es</w:t>
      </w:r>
      <w:r>
        <w:rPr>
          <w:spacing w:val="-2"/>
          <w:szCs w:val="22"/>
        </w:rPr>
        <w:t>t</w:t>
      </w:r>
      <w:r>
        <w:rPr>
          <w:szCs w:val="22"/>
        </w:rPr>
        <w:t>at</w:t>
      </w:r>
      <w:r>
        <w:rPr>
          <w:spacing w:val="-2"/>
          <w:szCs w:val="22"/>
        </w:rPr>
        <w:t xml:space="preserve"> </w:t>
      </w:r>
      <w:r>
        <w:rPr>
          <w:szCs w:val="22"/>
        </w:rPr>
        <w:t>s</w:t>
      </w:r>
      <w:r>
        <w:rPr>
          <w:spacing w:val="-3"/>
          <w:szCs w:val="22"/>
        </w:rPr>
        <w:t>e</w:t>
      </w:r>
      <w:r>
        <w:rPr>
          <w:spacing w:val="-4"/>
          <w:szCs w:val="22"/>
        </w:rPr>
        <w:t>m</w:t>
      </w:r>
      <w:r>
        <w:rPr>
          <w:szCs w:val="22"/>
        </w:rPr>
        <w:t>ne c</w:t>
      </w:r>
      <w:r>
        <w:rPr>
          <w:spacing w:val="1"/>
          <w:szCs w:val="22"/>
        </w:rPr>
        <w:t>li</w:t>
      </w:r>
      <w:r>
        <w:rPr>
          <w:szCs w:val="22"/>
        </w:rPr>
        <w:t>n</w:t>
      </w:r>
      <w:r>
        <w:rPr>
          <w:spacing w:val="-2"/>
          <w:szCs w:val="22"/>
        </w:rPr>
        <w:t>i</w:t>
      </w:r>
      <w:r>
        <w:rPr>
          <w:szCs w:val="22"/>
        </w:rPr>
        <w:t xml:space="preserve">ce </w:t>
      </w:r>
      <w:r>
        <w:rPr>
          <w:spacing w:val="-3"/>
          <w:szCs w:val="22"/>
        </w:rPr>
        <w:t>c</w:t>
      </w:r>
      <w:r>
        <w:rPr>
          <w:szCs w:val="22"/>
        </w:rPr>
        <w:t>are</w:t>
      </w:r>
      <w:r>
        <w:rPr>
          <w:spacing w:val="-2"/>
          <w:szCs w:val="22"/>
        </w:rPr>
        <w:t xml:space="preserve"> </w:t>
      </w:r>
      <w:r>
        <w:rPr>
          <w:szCs w:val="22"/>
        </w:rPr>
        <w:t>su</w:t>
      </w:r>
      <w:r>
        <w:rPr>
          <w:spacing w:val="-3"/>
          <w:szCs w:val="22"/>
        </w:rPr>
        <w:t>g</w:t>
      </w:r>
      <w:r>
        <w:rPr>
          <w:szCs w:val="22"/>
        </w:rPr>
        <w:t>erau</w:t>
      </w:r>
      <w:r>
        <w:rPr>
          <w:spacing w:val="-3"/>
          <w:szCs w:val="22"/>
        </w:rPr>
        <w:t xml:space="preserve"> </w:t>
      </w:r>
      <w:r>
        <w:rPr>
          <w:szCs w:val="22"/>
        </w:rPr>
        <w:t>un</w:t>
      </w:r>
      <w:r>
        <w:rPr>
          <w:spacing w:val="-3"/>
          <w:szCs w:val="22"/>
        </w:rPr>
        <w:t xml:space="preserve"> </w:t>
      </w:r>
      <w:r>
        <w:rPr>
          <w:szCs w:val="22"/>
        </w:rPr>
        <w:t>s</w:t>
      </w:r>
      <w:r>
        <w:rPr>
          <w:spacing w:val="1"/>
          <w:szCs w:val="22"/>
        </w:rPr>
        <w:t>i</w:t>
      </w:r>
      <w:r>
        <w:rPr>
          <w:szCs w:val="22"/>
        </w:rPr>
        <w:t>n</w:t>
      </w:r>
      <w:r>
        <w:rPr>
          <w:spacing w:val="-3"/>
          <w:szCs w:val="22"/>
        </w:rPr>
        <w:t>d</w:t>
      </w:r>
      <w:r>
        <w:rPr>
          <w:szCs w:val="22"/>
        </w:rPr>
        <w:t>rom</w:t>
      </w:r>
      <w:r>
        <w:rPr>
          <w:spacing w:val="-4"/>
          <w:szCs w:val="22"/>
        </w:rPr>
        <w:t xml:space="preserve"> </w:t>
      </w:r>
      <w:r>
        <w:rPr>
          <w:szCs w:val="22"/>
        </w:rPr>
        <w:t>rece</w:t>
      </w:r>
      <w:r>
        <w:rPr>
          <w:spacing w:val="-3"/>
          <w:szCs w:val="22"/>
        </w:rPr>
        <w:t>n</w:t>
      </w:r>
      <w:r>
        <w:rPr>
          <w:szCs w:val="22"/>
        </w:rPr>
        <w:t>t</w:t>
      </w:r>
      <w:r>
        <w:rPr>
          <w:spacing w:val="1"/>
          <w:szCs w:val="22"/>
        </w:rPr>
        <w:t xml:space="preserve"> </w:t>
      </w:r>
      <w:r>
        <w:rPr>
          <w:spacing w:val="-2"/>
          <w:szCs w:val="22"/>
        </w:rPr>
        <w:t>i</w:t>
      </w:r>
      <w:r>
        <w:rPr>
          <w:szCs w:val="22"/>
        </w:rPr>
        <w:t>ns</w:t>
      </w:r>
      <w:r>
        <w:rPr>
          <w:spacing w:val="-2"/>
          <w:szCs w:val="22"/>
        </w:rPr>
        <w:t>t</w:t>
      </w:r>
      <w:r>
        <w:rPr>
          <w:szCs w:val="22"/>
        </w:rPr>
        <w:t>a</w:t>
      </w:r>
      <w:r>
        <w:rPr>
          <w:spacing w:val="-2"/>
          <w:szCs w:val="22"/>
        </w:rPr>
        <w:t>l</w:t>
      </w:r>
      <w:r>
        <w:rPr>
          <w:szCs w:val="22"/>
        </w:rPr>
        <w:t>at</w:t>
      </w:r>
      <w:r>
        <w:rPr>
          <w:spacing w:val="1"/>
          <w:szCs w:val="22"/>
        </w:rPr>
        <w:t xml:space="preserve"> </w:t>
      </w:r>
      <w:r>
        <w:rPr>
          <w:spacing w:val="-2"/>
          <w:szCs w:val="22"/>
        </w:rPr>
        <w:t>s</w:t>
      </w:r>
      <w:r>
        <w:rPr>
          <w:spacing w:val="1"/>
          <w:szCs w:val="22"/>
        </w:rPr>
        <w:t>i</w:t>
      </w:r>
      <w:r>
        <w:rPr>
          <w:spacing w:val="-4"/>
          <w:szCs w:val="22"/>
        </w:rPr>
        <w:t>m</w:t>
      </w:r>
      <w:r>
        <w:rPr>
          <w:spacing w:val="1"/>
          <w:szCs w:val="22"/>
        </w:rPr>
        <w:t>il</w:t>
      </w:r>
      <w:r>
        <w:rPr>
          <w:spacing w:val="-3"/>
          <w:szCs w:val="22"/>
        </w:rPr>
        <w:t>a</w:t>
      </w:r>
      <w:r>
        <w:rPr>
          <w:szCs w:val="22"/>
        </w:rPr>
        <w:t>r</w:t>
      </w:r>
      <w:r>
        <w:rPr>
          <w:spacing w:val="1"/>
          <w:szCs w:val="22"/>
        </w:rPr>
        <w:t xml:space="preserve"> </w:t>
      </w:r>
      <w:r>
        <w:rPr>
          <w:spacing w:val="-2"/>
          <w:szCs w:val="22"/>
        </w:rPr>
        <w:t>l</w:t>
      </w:r>
      <w:r>
        <w:rPr>
          <w:szCs w:val="22"/>
        </w:rPr>
        <w:t>upus</w:t>
      </w:r>
      <w:r>
        <w:rPr>
          <w:spacing w:val="-3"/>
          <w:szCs w:val="22"/>
        </w:rPr>
        <w:t>u</w:t>
      </w:r>
      <w:r>
        <w:rPr>
          <w:spacing w:val="1"/>
          <w:szCs w:val="22"/>
        </w:rPr>
        <w:t>l</w:t>
      </w:r>
      <w:r>
        <w:rPr>
          <w:spacing w:val="-3"/>
          <w:szCs w:val="22"/>
        </w:rPr>
        <w:t>u</w:t>
      </w:r>
      <w:r>
        <w:rPr>
          <w:spacing w:val="1"/>
          <w:szCs w:val="22"/>
        </w:rPr>
        <w:t>i</w:t>
      </w:r>
      <w:r>
        <w:rPr>
          <w:szCs w:val="22"/>
        </w:rPr>
        <w:t xml:space="preserve">. </w:t>
      </w:r>
      <w:r>
        <w:rPr>
          <w:spacing w:val="-1"/>
          <w:szCs w:val="22"/>
        </w:rPr>
        <w:t>S</w:t>
      </w:r>
      <w:r>
        <w:rPr>
          <w:spacing w:val="1"/>
          <w:szCs w:val="22"/>
        </w:rPr>
        <w:t>t</w:t>
      </w:r>
      <w:r>
        <w:rPr>
          <w:szCs w:val="22"/>
        </w:rPr>
        <w:t>a</w:t>
      </w:r>
      <w:r>
        <w:rPr>
          <w:spacing w:val="-2"/>
          <w:szCs w:val="22"/>
        </w:rPr>
        <w:t>r</w:t>
      </w:r>
      <w:r>
        <w:rPr>
          <w:szCs w:val="22"/>
        </w:rPr>
        <w:t xml:space="preserve">ea </w:t>
      </w:r>
      <w:r>
        <w:rPr>
          <w:spacing w:val="-3"/>
          <w:szCs w:val="22"/>
        </w:rPr>
        <w:t>p</w:t>
      </w:r>
      <w:r>
        <w:rPr>
          <w:szCs w:val="22"/>
        </w:rPr>
        <w:t>ac</w:t>
      </w:r>
      <w:r>
        <w:rPr>
          <w:spacing w:val="-2"/>
          <w:szCs w:val="22"/>
        </w:rPr>
        <w:t>i</w:t>
      </w:r>
      <w:r>
        <w:rPr>
          <w:szCs w:val="22"/>
        </w:rPr>
        <w:t>en</w:t>
      </w:r>
      <w:r>
        <w:rPr>
          <w:spacing w:val="-2"/>
          <w:szCs w:val="22"/>
        </w:rPr>
        <w:t>ţ</w:t>
      </w:r>
      <w:r>
        <w:rPr>
          <w:spacing w:val="1"/>
          <w:szCs w:val="22"/>
        </w:rPr>
        <w:t>i</w:t>
      </w:r>
      <w:r>
        <w:rPr>
          <w:spacing w:val="-2"/>
          <w:szCs w:val="22"/>
        </w:rPr>
        <w:t>l</w:t>
      </w:r>
      <w:r>
        <w:rPr>
          <w:szCs w:val="22"/>
        </w:rPr>
        <w:t>or</w:t>
      </w:r>
      <w:r>
        <w:rPr>
          <w:spacing w:val="1"/>
          <w:szCs w:val="22"/>
        </w:rPr>
        <w:t xml:space="preserve"> </w:t>
      </w:r>
      <w:r>
        <w:rPr>
          <w:szCs w:val="22"/>
        </w:rPr>
        <w:lastRenderedPageBreak/>
        <w:t>s</w:t>
      </w:r>
      <w:r>
        <w:rPr>
          <w:spacing w:val="-5"/>
          <w:szCs w:val="22"/>
        </w:rPr>
        <w:t>-</w:t>
      </w:r>
      <w:r>
        <w:rPr>
          <w:szCs w:val="22"/>
        </w:rPr>
        <w:t>a a</w:t>
      </w:r>
      <w:r>
        <w:rPr>
          <w:spacing w:val="-4"/>
          <w:szCs w:val="22"/>
        </w:rPr>
        <w:t>m</w:t>
      </w:r>
      <w:r>
        <w:rPr>
          <w:szCs w:val="22"/>
        </w:rPr>
        <w:t>e</w:t>
      </w:r>
      <w:r>
        <w:rPr>
          <w:spacing w:val="1"/>
          <w:szCs w:val="22"/>
        </w:rPr>
        <w:t>l</w:t>
      </w:r>
      <w:r>
        <w:rPr>
          <w:spacing w:val="-2"/>
          <w:szCs w:val="22"/>
        </w:rPr>
        <w:t>i</w:t>
      </w:r>
      <w:r>
        <w:rPr>
          <w:szCs w:val="22"/>
        </w:rPr>
        <w:t>orat</w:t>
      </w:r>
      <w:r>
        <w:rPr>
          <w:spacing w:val="-2"/>
          <w:szCs w:val="22"/>
        </w:rPr>
        <w:t xml:space="preserve"> </w:t>
      </w:r>
      <w:r>
        <w:rPr>
          <w:spacing w:val="1"/>
          <w:szCs w:val="22"/>
        </w:rPr>
        <w:t>î</w:t>
      </w:r>
      <w:r>
        <w:rPr>
          <w:szCs w:val="22"/>
        </w:rPr>
        <w:t xml:space="preserve">n </w:t>
      </w:r>
      <w:r>
        <w:rPr>
          <w:spacing w:val="-3"/>
          <w:szCs w:val="22"/>
        </w:rPr>
        <w:t>u</w:t>
      </w:r>
      <w:r>
        <w:rPr>
          <w:szCs w:val="22"/>
        </w:rPr>
        <w:t>r</w:t>
      </w:r>
      <w:r>
        <w:rPr>
          <w:spacing w:val="-4"/>
          <w:szCs w:val="22"/>
        </w:rPr>
        <w:t>m</w:t>
      </w:r>
      <w:r>
        <w:rPr>
          <w:szCs w:val="22"/>
        </w:rPr>
        <w:t xml:space="preserve">a </w:t>
      </w:r>
      <w:r>
        <w:rPr>
          <w:spacing w:val="1"/>
          <w:szCs w:val="22"/>
        </w:rPr>
        <w:t>î</w:t>
      </w:r>
      <w:r>
        <w:rPr>
          <w:szCs w:val="22"/>
        </w:rPr>
        <w:t>n</w:t>
      </w:r>
      <w:r>
        <w:rPr>
          <w:spacing w:val="-2"/>
          <w:szCs w:val="22"/>
        </w:rPr>
        <w:t>t</w:t>
      </w:r>
      <w:r>
        <w:rPr>
          <w:szCs w:val="22"/>
        </w:rPr>
        <w:t>r</w:t>
      </w:r>
      <w:r>
        <w:rPr>
          <w:spacing w:val="-3"/>
          <w:szCs w:val="22"/>
        </w:rPr>
        <w:t>e</w:t>
      </w:r>
      <w:r>
        <w:rPr>
          <w:szCs w:val="22"/>
        </w:rPr>
        <w:t>rup</w:t>
      </w:r>
      <w:r>
        <w:rPr>
          <w:spacing w:val="-3"/>
          <w:szCs w:val="22"/>
        </w:rPr>
        <w:t>e</w:t>
      </w:r>
      <w:r>
        <w:rPr>
          <w:szCs w:val="22"/>
        </w:rPr>
        <w:t>r</w:t>
      </w:r>
      <w:r>
        <w:rPr>
          <w:spacing w:val="-2"/>
          <w:szCs w:val="22"/>
        </w:rPr>
        <w:t>i</w:t>
      </w:r>
      <w:r>
        <w:rPr>
          <w:szCs w:val="22"/>
        </w:rPr>
        <w:t>i</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w:t>
      </w:r>
      <w:r>
        <w:rPr>
          <w:spacing w:val="1"/>
          <w:szCs w:val="22"/>
        </w:rPr>
        <w:t>l</w:t>
      </w:r>
      <w:r>
        <w:rPr>
          <w:spacing w:val="-3"/>
          <w:szCs w:val="22"/>
        </w:rPr>
        <w:t>u</w:t>
      </w:r>
      <w:r>
        <w:rPr>
          <w:spacing w:val="1"/>
          <w:szCs w:val="22"/>
        </w:rPr>
        <w:t>i</w:t>
      </w:r>
      <w:r>
        <w:rPr>
          <w:szCs w:val="22"/>
        </w:rPr>
        <w:t xml:space="preserve">. </w:t>
      </w:r>
      <w:r>
        <w:rPr>
          <w:spacing w:val="-1"/>
          <w:szCs w:val="22"/>
        </w:rPr>
        <w:t>N</w:t>
      </w:r>
      <w:r>
        <w:rPr>
          <w:spacing w:val="-2"/>
          <w:szCs w:val="22"/>
        </w:rPr>
        <w:t>i</w:t>
      </w:r>
      <w:r>
        <w:rPr>
          <w:szCs w:val="22"/>
        </w:rPr>
        <w:t>ci</w:t>
      </w:r>
      <w:r>
        <w:rPr>
          <w:spacing w:val="1"/>
          <w:szCs w:val="22"/>
        </w:rPr>
        <w:t xml:space="preserve"> </w:t>
      </w:r>
      <w:r>
        <w:rPr>
          <w:spacing w:val="-3"/>
          <w:szCs w:val="22"/>
        </w:rPr>
        <w:t>u</w:t>
      </w:r>
      <w:r>
        <w:rPr>
          <w:szCs w:val="22"/>
        </w:rPr>
        <w:t>n p</w:t>
      </w:r>
      <w:r>
        <w:rPr>
          <w:spacing w:val="-3"/>
          <w:szCs w:val="22"/>
        </w:rPr>
        <w:t>a</w:t>
      </w:r>
      <w:r>
        <w:rPr>
          <w:szCs w:val="22"/>
        </w:rPr>
        <w:t>c</w:t>
      </w:r>
      <w:r>
        <w:rPr>
          <w:spacing w:val="1"/>
          <w:szCs w:val="22"/>
        </w:rPr>
        <w:t>i</w:t>
      </w:r>
      <w:r>
        <w:rPr>
          <w:spacing w:val="-3"/>
          <w:szCs w:val="22"/>
        </w:rPr>
        <w:t>e</w:t>
      </w:r>
      <w:r>
        <w:rPr>
          <w:szCs w:val="22"/>
        </w:rPr>
        <w:t>nt</w:t>
      </w:r>
      <w:r>
        <w:rPr>
          <w:spacing w:val="-2"/>
          <w:szCs w:val="22"/>
        </w:rPr>
        <w:t xml:space="preserve"> </w:t>
      </w:r>
      <w:r>
        <w:rPr>
          <w:szCs w:val="22"/>
        </w:rPr>
        <w:t>nu a p</w:t>
      </w:r>
      <w:r>
        <w:rPr>
          <w:spacing w:val="-2"/>
          <w:szCs w:val="22"/>
        </w:rPr>
        <w:t>r</w:t>
      </w:r>
      <w:r>
        <w:rPr>
          <w:szCs w:val="22"/>
        </w:rPr>
        <w:t>e</w:t>
      </w:r>
      <w:r>
        <w:rPr>
          <w:spacing w:val="-3"/>
          <w:szCs w:val="22"/>
        </w:rPr>
        <w:t>z</w:t>
      </w:r>
      <w:r>
        <w:rPr>
          <w:szCs w:val="22"/>
        </w:rPr>
        <w:t>en</w:t>
      </w:r>
      <w:r>
        <w:rPr>
          <w:spacing w:val="1"/>
          <w:szCs w:val="22"/>
        </w:rPr>
        <w:t>t</w:t>
      </w:r>
      <w:r>
        <w:rPr>
          <w:spacing w:val="-3"/>
          <w:szCs w:val="22"/>
        </w:rPr>
        <w:t>a</w:t>
      </w:r>
      <w:r>
        <w:rPr>
          <w:szCs w:val="22"/>
        </w:rPr>
        <w:t>t nef</w:t>
      </w:r>
      <w:r>
        <w:rPr>
          <w:spacing w:val="-2"/>
          <w:szCs w:val="22"/>
        </w:rPr>
        <w:t>r</w:t>
      </w:r>
      <w:r>
        <w:rPr>
          <w:spacing w:val="1"/>
          <w:szCs w:val="22"/>
        </w:rPr>
        <w:t>i</w:t>
      </w:r>
      <w:r>
        <w:rPr>
          <w:spacing w:val="-2"/>
          <w:szCs w:val="22"/>
        </w:rPr>
        <w:t>t</w:t>
      </w:r>
      <w:r>
        <w:rPr>
          <w:szCs w:val="22"/>
        </w:rPr>
        <w:t xml:space="preserve">ă </w:t>
      </w:r>
      <w:r>
        <w:rPr>
          <w:spacing w:val="-2"/>
          <w:szCs w:val="22"/>
        </w:rPr>
        <w:t>l</w:t>
      </w:r>
      <w:r>
        <w:rPr>
          <w:szCs w:val="22"/>
        </w:rPr>
        <w:t>up</w:t>
      </w:r>
      <w:r>
        <w:rPr>
          <w:spacing w:val="-2"/>
          <w:szCs w:val="22"/>
        </w:rPr>
        <w:t>i</w:t>
      </w:r>
      <w:r>
        <w:rPr>
          <w:szCs w:val="22"/>
        </w:rPr>
        <w:t xml:space="preserve">că </w:t>
      </w:r>
      <w:r>
        <w:rPr>
          <w:spacing w:val="-2"/>
          <w:szCs w:val="22"/>
        </w:rPr>
        <w:t>s</w:t>
      </w:r>
      <w:r>
        <w:rPr>
          <w:szCs w:val="22"/>
        </w:rPr>
        <w:t xml:space="preserve">au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2"/>
          <w:szCs w:val="22"/>
        </w:rPr>
        <w:t xml:space="preserve"> </w:t>
      </w:r>
      <w:r>
        <w:rPr>
          <w:szCs w:val="22"/>
        </w:rPr>
        <w:t>care</w:t>
      </w:r>
      <w:r>
        <w:rPr>
          <w:spacing w:val="-2"/>
          <w:szCs w:val="22"/>
        </w:rPr>
        <w:t xml:space="preserve"> </w:t>
      </w:r>
      <w:r>
        <w:rPr>
          <w:szCs w:val="22"/>
        </w:rPr>
        <w:t>să</w:t>
      </w:r>
      <w:r>
        <w:rPr>
          <w:spacing w:val="-2"/>
          <w:szCs w:val="22"/>
        </w:rPr>
        <w:t xml:space="preserve"> </w:t>
      </w:r>
      <w:r>
        <w:rPr>
          <w:szCs w:val="22"/>
        </w:rPr>
        <w:t>r</w:t>
      </w:r>
      <w:r>
        <w:rPr>
          <w:spacing w:val="-3"/>
          <w:szCs w:val="22"/>
        </w:rPr>
        <w:t>e</w:t>
      </w:r>
      <w:r>
        <w:rPr>
          <w:szCs w:val="22"/>
        </w:rPr>
        <w:t>f</w:t>
      </w:r>
      <w:r>
        <w:rPr>
          <w:spacing w:val="1"/>
          <w:szCs w:val="22"/>
        </w:rPr>
        <w:t>l</w:t>
      </w:r>
      <w:r>
        <w:rPr>
          <w:spacing w:val="-3"/>
          <w:szCs w:val="22"/>
        </w:rPr>
        <w:t>e</w:t>
      </w:r>
      <w:r>
        <w:rPr>
          <w:szCs w:val="22"/>
        </w:rPr>
        <w:t>c</w:t>
      </w:r>
      <w:r>
        <w:rPr>
          <w:spacing w:val="-2"/>
          <w:szCs w:val="22"/>
        </w:rPr>
        <w:t>t</w:t>
      </w:r>
      <w:r>
        <w:rPr>
          <w:szCs w:val="22"/>
        </w:rPr>
        <w:t>e a</w:t>
      </w:r>
      <w:r>
        <w:rPr>
          <w:spacing w:val="-2"/>
          <w:szCs w:val="22"/>
        </w:rPr>
        <w:t>f</w:t>
      </w:r>
      <w:r>
        <w:rPr>
          <w:szCs w:val="22"/>
        </w:rPr>
        <w:t>e</w:t>
      </w:r>
      <w:r>
        <w:rPr>
          <w:spacing w:val="-3"/>
          <w:szCs w:val="22"/>
        </w:rPr>
        <w:t>c</w:t>
      </w:r>
      <w:r>
        <w:rPr>
          <w:spacing w:val="1"/>
          <w:szCs w:val="22"/>
        </w:rPr>
        <w:t>t</w:t>
      </w:r>
      <w:r>
        <w:rPr>
          <w:szCs w:val="22"/>
        </w:rPr>
        <w:t>a</w:t>
      </w:r>
      <w:r>
        <w:rPr>
          <w:spacing w:val="-2"/>
          <w:szCs w:val="22"/>
        </w:rPr>
        <w:t>r</w:t>
      </w:r>
      <w:r>
        <w:rPr>
          <w:szCs w:val="22"/>
        </w:rPr>
        <w:t xml:space="preserve">ea </w:t>
      </w:r>
      <w:r>
        <w:rPr>
          <w:spacing w:val="-2"/>
          <w:szCs w:val="22"/>
        </w:rPr>
        <w:t>si</w:t>
      </w:r>
      <w:r>
        <w:rPr>
          <w:szCs w:val="22"/>
        </w:rPr>
        <w:t>s</w:t>
      </w:r>
      <w:r>
        <w:rPr>
          <w:spacing w:val="1"/>
          <w:szCs w:val="22"/>
        </w:rPr>
        <w:t>t</w:t>
      </w:r>
      <w:r>
        <w:rPr>
          <w:szCs w:val="22"/>
        </w:rPr>
        <w:t>e</w:t>
      </w:r>
      <w:r>
        <w:rPr>
          <w:spacing w:val="-4"/>
          <w:szCs w:val="22"/>
        </w:rPr>
        <w:t>m</w:t>
      </w:r>
      <w:r>
        <w:rPr>
          <w:szCs w:val="22"/>
        </w:rPr>
        <w:t>u</w:t>
      </w:r>
      <w:r>
        <w:rPr>
          <w:spacing w:val="1"/>
          <w:szCs w:val="22"/>
        </w:rPr>
        <w:t>l</w:t>
      </w:r>
      <w:r>
        <w:rPr>
          <w:szCs w:val="22"/>
        </w:rPr>
        <w:t>ui</w:t>
      </w:r>
      <w:r>
        <w:rPr>
          <w:spacing w:val="1"/>
          <w:szCs w:val="22"/>
        </w:rPr>
        <w:t xml:space="preserve"> </w:t>
      </w:r>
      <w:r>
        <w:rPr>
          <w:spacing w:val="-3"/>
          <w:szCs w:val="22"/>
        </w:rPr>
        <w:t>n</w:t>
      </w:r>
      <w:r>
        <w:rPr>
          <w:szCs w:val="22"/>
        </w:rPr>
        <w:t>er</w:t>
      </w:r>
      <w:r>
        <w:rPr>
          <w:spacing w:val="-3"/>
          <w:szCs w:val="22"/>
        </w:rPr>
        <w:t>v</w:t>
      </w:r>
      <w:r>
        <w:rPr>
          <w:szCs w:val="22"/>
        </w:rPr>
        <w:t xml:space="preserve">os </w:t>
      </w:r>
      <w:r>
        <w:rPr>
          <w:spacing w:val="-3"/>
          <w:szCs w:val="22"/>
        </w:rPr>
        <w:t>c</w:t>
      </w:r>
      <w:r>
        <w:rPr>
          <w:szCs w:val="22"/>
        </w:rPr>
        <w:t>en</w:t>
      </w:r>
      <w:r>
        <w:rPr>
          <w:spacing w:val="-2"/>
          <w:szCs w:val="22"/>
        </w:rPr>
        <w:t>t</w:t>
      </w:r>
      <w:r>
        <w:rPr>
          <w:szCs w:val="22"/>
        </w:rPr>
        <w:t>r</w:t>
      </w:r>
      <w:r>
        <w:rPr>
          <w:spacing w:val="-3"/>
          <w:szCs w:val="22"/>
        </w:rPr>
        <w:t>a</w:t>
      </w:r>
      <w:r>
        <w:rPr>
          <w:spacing w:val="1"/>
          <w:szCs w:val="22"/>
        </w:rPr>
        <w:t>l</w:t>
      </w:r>
      <w:r>
        <w:rPr>
          <w:szCs w:val="22"/>
        </w:rPr>
        <w:t>.</w:t>
      </w:r>
    </w:p>
    <w:p w14:paraId="7DBFCA50" w14:textId="77777777" w:rsidR="00C04CAD" w:rsidRDefault="00C04CAD">
      <w:pPr>
        <w:autoSpaceDE w:val="0"/>
        <w:autoSpaceDN w:val="0"/>
        <w:adjustRightInd w:val="0"/>
        <w:spacing w:line="240" w:lineRule="auto"/>
        <w:jc w:val="both"/>
        <w:rPr>
          <w:sz w:val="24"/>
        </w:rPr>
      </w:pPr>
    </w:p>
    <w:p w14:paraId="41C161F6" w14:textId="77777777" w:rsidR="00C04CAD" w:rsidRDefault="00060E34">
      <w:pPr>
        <w:tabs>
          <w:tab w:val="clear" w:pos="567"/>
        </w:tabs>
        <w:kinsoku w:val="0"/>
        <w:overflowPunct w:val="0"/>
        <w:autoSpaceDE w:val="0"/>
        <w:autoSpaceDN w:val="0"/>
        <w:adjustRightInd w:val="0"/>
        <w:spacing w:line="240" w:lineRule="auto"/>
      </w:pPr>
      <w:r>
        <w:rPr>
          <w:i/>
          <w:spacing w:val="-1"/>
        </w:rPr>
        <w:t>T</w:t>
      </w:r>
      <w:r>
        <w:rPr>
          <w:i/>
        </w:rPr>
        <w:t>u</w:t>
      </w:r>
      <w:r>
        <w:rPr>
          <w:i/>
          <w:spacing w:val="1"/>
        </w:rPr>
        <w:t>l</w:t>
      </w:r>
      <w:r>
        <w:rPr>
          <w:i/>
        </w:rPr>
        <w:t>bu</w:t>
      </w:r>
      <w:r>
        <w:rPr>
          <w:i/>
          <w:spacing w:val="-2"/>
        </w:rPr>
        <w:t>r</w:t>
      </w:r>
      <w:r>
        <w:rPr>
          <w:i/>
        </w:rPr>
        <w:t>ări</w:t>
      </w:r>
      <w:r>
        <w:rPr>
          <w:i/>
          <w:spacing w:val="-2"/>
        </w:rPr>
        <w:t xml:space="preserve"> </w:t>
      </w:r>
      <w:r>
        <w:rPr>
          <w:i/>
        </w:rPr>
        <w:t>hep</w:t>
      </w:r>
      <w:r>
        <w:rPr>
          <w:i/>
          <w:spacing w:val="-3"/>
        </w:rPr>
        <w:t>a</w:t>
      </w:r>
      <w:r>
        <w:rPr>
          <w:i/>
          <w:spacing w:val="1"/>
        </w:rPr>
        <w:t>t</w:t>
      </w:r>
      <w:r>
        <w:rPr>
          <w:i/>
        </w:rPr>
        <w:t>o</w:t>
      </w:r>
      <w:r>
        <w:rPr>
          <w:i/>
          <w:spacing w:val="-2"/>
        </w:rPr>
        <w:t>-</w:t>
      </w:r>
      <w:r>
        <w:rPr>
          <w:i/>
        </w:rPr>
        <w:t>b</w:t>
      </w:r>
      <w:r>
        <w:rPr>
          <w:i/>
          <w:spacing w:val="-2"/>
        </w:rPr>
        <w:t>i</w:t>
      </w:r>
      <w:r>
        <w:rPr>
          <w:i/>
          <w:spacing w:val="1"/>
        </w:rPr>
        <w:t>li</w:t>
      </w:r>
      <w:r>
        <w:rPr>
          <w:i/>
          <w:spacing w:val="-3"/>
        </w:rPr>
        <w:t>a</w:t>
      </w:r>
      <w:r>
        <w:rPr>
          <w:i/>
        </w:rPr>
        <w:t>re</w:t>
      </w:r>
    </w:p>
    <w:p w14:paraId="32D800CC" w14:textId="77777777" w:rsidR="00C04CAD" w:rsidRDefault="00C04CAD">
      <w:pPr>
        <w:tabs>
          <w:tab w:val="clear" w:pos="567"/>
        </w:tabs>
        <w:kinsoku w:val="0"/>
        <w:overflowPunct w:val="0"/>
        <w:autoSpaceDE w:val="0"/>
        <w:autoSpaceDN w:val="0"/>
        <w:adjustRightInd w:val="0"/>
        <w:spacing w:line="240" w:lineRule="auto"/>
      </w:pPr>
    </w:p>
    <w:p w14:paraId="23A35133"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w:t>
      </w:r>
      <w:r>
        <w:rPr>
          <w:spacing w:val="-3"/>
        </w:rPr>
        <w:t>o</w:t>
      </w:r>
      <w:r>
        <w:t>n</w:t>
      </w:r>
      <w:r>
        <w:rPr>
          <w:spacing w:val="-2"/>
        </w:rPr>
        <w:t>t</w:t>
      </w:r>
      <w:r>
        <w:t>ro</w:t>
      </w:r>
      <w:r>
        <w:rPr>
          <w:spacing w:val="-2"/>
        </w:rPr>
        <w:t>l</w:t>
      </w:r>
      <w:r>
        <w:t>a</w:t>
      </w:r>
      <w:r>
        <w:rPr>
          <w:spacing w:val="1"/>
        </w:rPr>
        <w:t>t</w:t>
      </w:r>
      <w:r>
        <w:t>e</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5"/>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t>,</w:t>
      </w:r>
      <w:r>
        <w:rPr>
          <w:spacing w:val="-3"/>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t>i</w:t>
      </w:r>
      <w:r>
        <w:rPr>
          <w:spacing w:val="1"/>
        </w:rPr>
        <w:t xml:space="preserve"> </w:t>
      </w:r>
      <w:r>
        <w:rPr>
          <w:spacing w:val="-3"/>
        </w:rPr>
        <w:t>c</w:t>
      </w:r>
      <w:r>
        <w:t>u po</w:t>
      </w:r>
      <w:r>
        <w:rPr>
          <w:spacing w:val="-2"/>
        </w:rPr>
        <w:t>l</w:t>
      </w:r>
      <w:r>
        <w:rPr>
          <w:spacing w:val="1"/>
        </w:rPr>
        <w:t>i</w:t>
      </w:r>
      <w:r>
        <w:t>a</w:t>
      </w:r>
      <w:r>
        <w:rPr>
          <w:spacing w:val="-2"/>
        </w:rPr>
        <w:t>r</w:t>
      </w:r>
      <w:r>
        <w:rPr>
          <w:spacing w:val="1"/>
        </w:rPr>
        <w:t>t</w:t>
      </w:r>
      <w:r>
        <w:rPr>
          <w:spacing w:val="-2"/>
        </w:rPr>
        <w:t>r</w:t>
      </w:r>
      <w:r>
        <w:rPr>
          <w:spacing w:val="1"/>
        </w:rPr>
        <w:t>i</w:t>
      </w:r>
      <w:r>
        <w:rPr>
          <w:spacing w:val="-2"/>
        </w:rPr>
        <w:t>t</w:t>
      </w:r>
      <w:r>
        <w:t xml:space="preserve">a </w:t>
      </w:r>
      <w:r>
        <w:rPr>
          <w:spacing w:val="-2"/>
        </w:rPr>
        <w:t>r</w:t>
      </w:r>
      <w:r>
        <w:t>eu</w:t>
      </w:r>
      <w:r>
        <w:rPr>
          <w:spacing w:val="-4"/>
        </w:rPr>
        <w:t>m</w:t>
      </w:r>
      <w:r>
        <w:t>a</w:t>
      </w:r>
      <w:r>
        <w:rPr>
          <w:spacing w:val="1"/>
        </w:rPr>
        <w:t>t</w:t>
      </w:r>
      <w:r>
        <w:t>o</w:t>
      </w:r>
      <w:r>
        <w:rPr>
          <w:spacing w:val="1"/>
        </w:rPr>
        <w:t>i</w:t>
      </w:r>
      <w:r>
        <w:rPr>
          <w:spacing w:val="-3"/>
        </w:rPr>
        <w:t>d</w:t>
      </w:r>
      <w:r>
        <w:t>ă şi</w:t>
      </w:r>
      <w:r>
        <w:rPr>
          <w:spacing w:val="-2"/>
        </w:rPr>
        <w:t xml:space="preserve"> </w:t>
      </w:r>
      <w:r>
        <w:rPr>
          <w:spacing w:val="-3"/>
        </w:rPr>
        <w:t>c</w:t>
      </w:r>
      <w:r>
        <w:t>u a</w:t>
      </w:r>
      <w:r>
        <w:rPr>
          <w:spacing w:val="-2"/>
        </w:rPr>
        <w:t>r</w:t>
      </w:r>
      <w:r>
        <w:rPr>
          <w:spacing w:val="1"/>
        </w:rPr>
        <w:t>t</w:t>
      </w:r>
      <w:r>
        <w:rPr>
          <w:spacing w:val="-2"/>
        </w:rPr>
        <w:t>r</w:t>
      </w:r>
      <w:r>
        <w:rPr>
          <w:spacing w:val="1"/>
        </w:rPr>
        <w:t>it</w:t>
      </w:r>
      <w:r>
        <w:t>ă</w:t>
      </w:r>
      <w:r>
        <w:rPr>
          <w:spacing w:val="-2"/>
        </w:rPr>
        <w:t xml:space="preserve"> </w:t>
      </w:r>
      <w:r>
        <w:t>ps</w:t>
      </w:r>
      <w:r>
        <w:rPr>
          <w:spacing w:val="-3"/>
        </w:rPr>
        <w:t>o</w:t>
      </w:r>
      <w:r>
        <w:t>r</w:t>
      </w:r>
      <w:r>
        <w:rPr>
          <w:spacing w:val="1"/>
        </w:rPr>
        <w:t>i</w:t>
      </w:r>
      <w:r>
        <w:t>a</w:t>
      </w:r>
      <w:r>
        <w:rPr>
          <w:spacing w:val="-3"/>
        </w:rPr>
        <w:t>z</w:t>
      </w:r>
      <w:r>
        <w:rPr>
          <w:spacing w:val="-2"/>
        </w:rPr>
        <w:t>i</w:t>
      </w:r>
      <w:r>
        <w:t>că, cu o d</w:t>
      </w:r>
      <w:r>
        <w:rPr>
          <w:spacing w:val="-3"/>
        </w:rPr>
        <w:t>u</w:t>
      </w:r>
      <w:r>
        <w:t>ra</w:t>
      </w:r>
      <w:r>
        <w:rPr>
          <w:spacing w:val="-2"/>
        </w:rPr>
        <w:t>t</w:t>
      </w:r>
      <w:r>
        <w:t xml:space="preserve">ă a </w:t>
      </w:r>
      <w:r>
        <w:rPr>
          <w:spacing w:val="-3"/>
        </w:rPr>
        <w:t>p</w:t>
      </w:r>
      <w:r>
        <w:t>e</w:t>
      </w:r>
      <w:r>
        <w:rPr>
          <w:spacing w:val="-2"/>
        </w:rPr>
        <w:t>r</w:t>
      </w:r>
      <w:r>
        <w:rPr>
          <w:spacing w:val="1"/>
        </w:rPr>
        <w:t>i</w:t>
      </w:r>
      <w:r>
        <w:t>oa</w:t>
      </w:r>
      <w:r>
        <w:rPr>
          <w:spacing w:val="-3"/>
        </w:rPr>
        <w:t>d</w:t>
      </w:r>
      <w:r>
        <w:t>ei</w:t>
      </w:r>
      <w:r>
        <w:rPr>
          <w:spacing w:val="1"/>
        </w:rPr>
        <w:t xml:space="preserve"> </w:t>
      </w:r>
      <w:r>
        <w:rPr>
          <w:spacing w:val="-3"/>
        </w:rPr>
        <w:t>d</w:t>
      </w:r>
      <w:r>
        <w:t xml:space="preserve">e </w:t>
      </w:r>
      <w:r>
        <w:rPr>
          <w:spacing w:val="-3"/>
        </w:rPr>
        <w:t>c</w:t>
      </w:r>
      <w:r>
        <w:t>on</w:t>
      </w:r>
      <w:r>
        <w:rPr>
          <w:spacing w:val="1"/>
        </w:rPr>
        <w:t>t</w:t>
      </w:r>
      <w:r>
        <w:t>r</w:t>
      </w:r>
      <w:r>
        <w:rPr>
          <w:spacing w:val="-3"/>
        </w:rPr>
        <w:t>o</w:t>
      </w:r>
      <w:r>
        <w:t>l</w:t>
      </w:r>
      <w:r>
        <w:rPr>
          <w:spacing w:val="1"/>
        </w:rPr>
        <w:t xml:space="preserve"> </w:t>
      </w:r>
      <w:r>
        <w:rPr>
          <w:spacing w:val="-3"/>
        </w:rPr>
        <w:t>v</w:t>
      </w:r>
      <w:r>
        <w:t>a</w:t>
      </w:r>
      <w:r>
        <w:rPr>
          <w:spacing w:val="-2"/>
        </w:rPr>
        <w:t>r</w:t>
      </w:r>
      <w:r>
        <w:rPr>
          <w:spacing w:val="1"/>
        </w:rPr>
        <w:t>ii</w:t>
      </w:r>
      <w:r>
        <w:t>nd</w:t>
      </w:r>
      <w:r>
        <w:rPr>
          <w:spacing w:val="-3"/>
        </w:rPr>
        <w:t xml:space="preserve"> </w:t>
      </w:r>
      <w:r>
        <w:rPr>
          <w:spacing w:val="1"/>
        </w:rPr>
        <w:t>î</w:t>
      </w:r>
      <w:r>
        <w:rPr>
          <w:spacing w:val="-3"/>
        </w:rPr>
        <w:t>n</w:t>
      </w:r>
      <w:r>
        <w:rPr>
          <w:spacing w:val="1"/>
        </w:rPr>
        <w:t>t</w:t>
      </w:r>
      <w:r>
        <w:rPr>
          <w:spacing w:val="-2"/>
        </w:rPr>
        <w:t>r</w:t>
      </w:r>
      <w:r>
        <w:t xml:space="preserve">e 4 </w:t>
      </w:r>
      <w:r>
        <w:rPr>
          <w:spacing w:val="-2"/>
        </w:rPr>
        <w:t>ş</w:t>
      </w:r>
      <w:r>
        <w:t>i</w:t>
      </w:r>
      <w:r>
        <w:rPr>
          <w:spacing w:val="1"/>
        </w:rPr>
        <w:t xml:space="preserve"> </w:t>
      </w:r>
      <w:r>
        <w:t>104</w:t>
      </w:r>
      <w:r>
        <w:rPr>
          <w:spacing w:val="-3"/>
        </w:rPr>
        <w:t xml:space="preserve"> </w:t>
      </w:r>
      <w:r>
        <w:t>săp</w:t>
      </w:r>
      <w:r>
        <w:rPr>
          <w:spacing w:val="-2"/>
        </w:rPr>
        <w:t>t</w:t>
      </w:r>
      <w:r>
        <w:t>ă</w:t>
      </w:r>
      <w:r>
        <w:rPr>
          <w:spacing w:val="-4"/>
        </w:rPr>
        <w:t>m</w:t>
      </w:r>
      <w:r>
        <w:t>ân</w:t>
      </w:r>
      <w:r>
        <w:rPr>
          <w:spacing w:val="1"/>
        </w:rPr>
        <w:t>i</w:t>
      </w:r>
      <w:r>
        <w:t>, c</w:t>
      </w:r>
      <w:r>
        <w:rPr>
          <w:spacing w:val="-2"/>
        </w:rPr>
        <w:t>r</w:t>
      </w:r>
      <w:r>
        <w:t>e</w:t>
      </w:r>
      <w:r>
        <w:rPr>
          <w:spacing w:val="-2"/>
        </w:rPr>
        <w:t>ş</w:t>
      </w:r>
      <w:r>
        <w:rPr>
          <w:spacing w:val="1"/>
        </w:rPr>
        <w:t>t</w:t>
      </w:r>
      <w:r>
        <w:t>e</w:t>
      </w:r>
      <w:r>
        <w:rPr>
          <w:spacing w:val="-2"/>
        </w:rPr>
        <w:t>r</w:t>
      </w:r>
      <w:r>
        <w:t xml:space="preserve">ea </w:t>
      </w:r>
      <w:r>
        <w:rPr>
          <w:spacing w:val="-1"/>
        </w:rPr>
        <w:t>A</w:t>
      </w:r>
      <w:r>
        <w:rPr>
          <w:spacing w:val="-3"/>
        </w:rPr>
        <w:t>L</w:t>
      </w:r>
      <w:r>
        <w:t>T</w:t>
      </w:r>
      <w:r>
        <w:rPr>
          <w:spacing w:val="-1"/>
        </w:rPr>
        <w:t xml:space="preserve"> </w:t>
      </w:r>
      <w:r>
        <w:t>≥</w:t>
      </w:r>
      <w:r>
        <w:rPr>
          <w:spacing w:val="1"/>
        </w:rPr>
        <w:t xml:space="preserve"> </w:t>
      </w:r>
      <w:r>
        <w:t xml:space="preserve">3 x </w:t>
      </w:r>
      <w:r>
        <w:rPr>
          <w:spacing w:val="-1"/>
        </w:rPr>
        <w:t>LS</w:t>
      </w:r>
      <w:r>
        <w:t>N</w:t>
      </w:r>
      <w:r>
        <w:rPr>
          <w:spacing w:val="-1"/>
        </w:rPr>
        <w:t xml:space="preserve"> </w:t>
      </w:r>
      <w:r>
        <w:t>s</w:t>
      </w:r>
      <w:r>
        <w:rPr>
          <w:spacing w:val="-4"/>
        </w:rPr>
        <w:t>-</w:t>
      </w:r>
      <w:r>
        <w:t xml:space="preserve">a </w:t>
      </w:r>
      <w:r>
        <w:rPr>
          <w:spacing w:val="1"/>
        </w:rPr>
        <w:t>î</w:t>
      </w:r>
      <w:r>
        <w:t>n</w:t>
      </w:r>
      <w:r>
        <w:rPr>
          <w:spacing w:val="-2"/>
        </w:rPr>
        <w:t>t</w:t>
      </w:r>
      <w:r>
        <w:t>â</w:t>
      </w:r>
      <w:r>
        <w:rPr>
          <w:spacing w:val="1"/>
        </w:rPr>
        <w:t>l</w:t>
      </w:r>
      <w:r>
        <w:rPr>
          <w:spacing w:val="-3"/>
        </w:rPr>
        <w:t>n</w:t>
      </w:r>
      <w:r>
        <w:rPr>
          <w:spacing w:val="1"/>
        </w:rPr>
        <w:t>i</w:t>
      </w:r>
      <w:r>
        <w:t>t</w:t>
      </w:r>
      <w:r>
        <w:rPr>
          <w:spacing w:val="-2"/>
        </w:rPr>
        <w:t xml:space="preserve"> </w:t>
      </w:r>
      <w:r>
        <w:rPr>
          <w:spacing w:val="1"/>
        </w:rPr>
        <w:t>l</w:t>
      </w:r>
      <w:r>
        <w:t xml:space="preserve">a </w:t>
      </w:r>
      <w:r>
        <w:rPr>
          <w:spacing w:val="-3"/>
        </w:rPr>
        <w:t>3</w:t>
      </w:r>
      <w:r>
        <w:t>,7%</w:t>
      </w:r>
      <w:r>
        <w:rPr>
          <w:spacing w:val="-2"/>
        </w:rPr>
        <w:t xml:space="preserve"> </w:t>
      </w:r>
      <w:r>
        <w:t>d</w:t>
      </w:r>
      <w:r>
        <w:rPr>
          <w:spacing w:val="1"/>
        </w:rPr>
        <w:t>i</w:t>
      </w:r>
      <w:r>
        <w:rPr>
          <w:spacing w:val="-3"/>
        </w:rPr>
        <w:t>n</w:t>
      </w:r>
      <w:r>
        <w:rPr>
          <w:spacing w:val="1"/>
        </w:rPr>
        <w:t>t</w:t>
      </w:r>
      <w:r>
        <w:rPr>
          <w:spacing w:val="-2"/>
        </w:rPr>
        <w:t>r</w:t>
      </w:r>
      <w:r>
        <w:t>e pa</w:t>
      </w:r>
      <w:r>
        <w:rPr>
          <w:spacing w:val="-3"/>
        </w:rPr>
        <w:t>c</w:t>
      </w:r>
      <w:r>
        <w:rPr>
          <w:spacing w:val="1"/>
        </w:rPr>
        <w:t>i</w:t>
      </w:r>
      <w:r>
        <w:rPr>
          <w:spacing w:val="-3"/>
        </w:rPr>
        <w:t>e</w:t>
      </w:r>
      <w:r>
        <w:t>n</w:t>
      </w:r>
      <w:r>
        <w:rPr>
          <w:spacing w:val="1"/>
        </w:rPr>
        <w:t>ţ</w:t>
      </w:r>
      <w:r>
        <w:rPr>
          <w:spacing w:val="-2"/>
        </w:rPr>
        <w:t>i</w:t>
      </w:r>
      <w:r>
        <w:t>i</w:t>
      </w:r>
      <w:r>
        <w:rPr>
          <w:spacing w:val="1"/>
        </w:rPr>
        <w:t xml:space="preserve"> </w:t>
      </w:r>
      <w:r>
        <w:rPr>
          <w:spacing w:val="-2"/>
        </w:rPr>
        <w:t>t</w:t>
      </w:r>
      <w:r>
        <w:t>r</w:t>
      </w:r>
      <w:r>
        <w:rPr>
          <w:spacing w:val="-3"/>
        </w:rPr>
        <w:t>a</w:t>
      </w:r>
      <w:r>
        <w:rPr>
          <w:spacing w:val="1"/>
        </w:rPr>
        <w:t>t</w:t>
      </w:r>
      <w:r>
        <w:rPr>
          <w:spacing w:val="-3"/>
        </w:rPr>
        <w:t>a</w:t>
      </w:r>
      <w:r>
        <w:rPr>
          <w:spacing w:val="1"/>
        </w:rPr>
        <w:t>ţ</w:t>
      </w:r>
      <w:r>
        <w:t>i</w:t>
      </w:r>
      <w:r>
        <w:rPr>
          <w:spacing w:val="1"/>
        </w:rPr>
        <w:t xml:space="preserve"> </w:t>
      </w:r>
      <w:r>
        <w:rPr>
          <w:spacing w:val="-3"/>
        </w:rPr>
        <w:t>c</w:t>
      </w:r>
      <w:r>
        <w:t xml:space="preserve">u </w:t>
      </w:r>
      <w:r>
        <w:rPr>
          <w:rFonts w:eastAsia="MS Mincho"/>
          <w:spacing w:val="-1"/>
          <w:szCs w:val="22"/>
          <w:lang w:eastAsia="en-US" w:bidi="ar-SA"/>
        </w:rPr>
        <w:t>adalimumab</w:t>
      </w:r>
      <w:r>
        <w:rPr>
          <w:spacing w:val="-1"/>
        </w:rPr>
        <w:t xml:space="preserve"> </w:t>
      </w:r>
      <w:r>
        <w:rPr>
          <w:spacing w:val="-2"/>
        </w:rPr>
        <w:t>ş</w:t>
      </w:r>
      <w:r>
        <w:t>i</w:t>
      </w:r>
      <w:r>
        <w:rPr>
          <w:spacing w:val="1"/>
        </w:rPr>
        <w:t xml:space="preserve"> </w:t>
      </w:r>
      <w:r>
        <w:t>1,</w:t>
      </w:r>
      <w:r>
        <w:rPr>
          <w:spacing w:val="-3"/>
        </w:rPr>
        <w:t>6</w:t>
      </w:r>
      <w:r>
        <w:t>%</w:t>
      </w:r>
      <w:r>
        <w:rPr>
          <w:spacing w:val="1"/>
        </w:rPr>
        <w:t xml:space="preserve"> </w:t>
      </w:r>
      <w:r>
        <w:rPr>
          <w:spacing w:val="-2"/>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d</w:t>
      </w:r>
      <w:r>
        <w:rPr>
          <w:spacing w:val="1"/>
        </w:rPr>
        <w:t>i</w:t>
      </w:r>
      <w:r>
        <w:t xml:space="preserve">n </w:t>
      </w:r>
      <w:r>
        <w:rPr>
          <w:spacing w:val="-3"/>
        </w:rPr>
        <w:t>g</w:t>
      </w:r>
      <w:r>
        <w:t>rup</w:t>
      </w:r>
      <w:r>
        <w:rPr>
          <w:spacing w:val="-3"/>
        </w:rPr>
        <w:t>u</w:t>
      </w:r>
      <w:r>
        <w:t>l</w:t>
      </w:r>
      <w:r>
        <w:rPr>
          <w:spacing w:val="1"/>
        </w:rPr>
        <w:t xml:space="preserve"> </w:t>
      </w:r>
      <w:r>
        <w:t>c</w:t>
      </w:r>
      <w:r>
        <w:rPr>
          <w:spacing w:val="-3"/>
        </w:rPr>
        <w:t>o</w:t>
      </w:r>
      <w:r>
        <w:t>n</w:t>
      </w:r>
      <w:r>
        <w:rPr>
          <w:spacing w:val="1"/>
        </w:rPr>
        <w:t>t</w:t>
      </w:r>
      <w:r>
        <w:t>r</w:t>
      </w:r>
      <w:r>
        <w:rPr>
          <w:spacing w:val="-3"/>
        </w:rPr>
        <w:t>o</w:t>
      </w:r>
      <w:r>
        <w:rPr>
          <w:spacing w:val="1"/>
        </w:rPr>
        <w:t>l</w:t>
      </w:r>
      <w:r>
        <w:t>.</w:t>
      </w:r>
    </w:p>
    <w:p w14:paraId="4B6EE91E" w14:textId="77777777" w:rsidR="00C04CAD" w:rsidRDefault="00C04CAD">
      <w:pPr>
        <w:tabs>
          <w:tab w:val="clear" w:pos="567"/>
        </w:tabs>
        <w:kinsoku w:val="0"/>
        <w:overflowPunct w:val="0"/>
        <w:autoSpaceDE w:val="0"/>
        <w:autoSpaceDN w:val="0"/>
        <w:adjustRightInd w:val="0"/>
        <w:spacing w:line="240" w:lineRule="auto"/>
      </w:pPr>
    </w:p>
    <w:p w14:paraId="78F20AB2"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w:t>
      </w:r>
      <w:r>
        <w:rPr>
          <w:spacing w:val="-3"/>
        </w:rPr>
        <w:t>o</w:t>
      </w:r>
      <w:r>
        <w:t>n</w:t>
      </w:r>
      <w:r>
        <w:rPr>
          <w:spacing w:val="-2"/>
        </w:rPr>
        <w:t>t</w:t>
      </w:r>
      <w:r>
        <w:t>ro</w:t>
      </w:r>
      <w:r>
        <w:rPr>
          <w:spacing w:val="-2"/>
        </w:rPr>
        <w:t>l</w:t>
      </w:r>
      <w:r>
        <w:t>a</w:t>
      </w:r>
      <w:r>
        <w:rPr>
          <w:spacing w:val="1"/>
        </w:rPr>
        <w:t>t</w:t>
      </w:r>
      <w:r>
        <w:t>e</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5"/>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rPr>
          <w:spacing w:val="-2"/>
        </w:rPr>
        <w:t xml:space="preserve"> </w:t>
      </w:r>
      <w:r>
        <w:t>ef</w:t>
      </w:r>
      <w:r>
        <w:rPr>
          <w:spacing w:val="-3"/>
        </w:rPr>
        <w:t>e</w:t>
      </w:r>
      <w:r>
        <w:t>c</w:t>
      </w:r>
      <w:r>
        <w:rPr>
          <w:spacing w:val="1"/>
        </w:rPr>
        <w:t>t</w:t>
      </w:r>
      <w:r>
        <w:rPr>
          <w:spacing w:val="-3"/>
        </w:rPr>
        <w:t>u</w:t>
      </w:r>
      <w:r>
        <w:t>a</w:t>
      </w:r>
      <w:r>
        <w:rPr>
          <w:spacing w:val="1"/>
        </w:rPr>
        <w:t>t</w:t>
      </w:r>
      <w:r>
        <w:t>e</w:t>
      </w:r>
      <w:r>
        <w:rPr>
          <w:spacing w:val="-2"/>
        </w:rPr>
        <w:t xml:space="preserve"> </w:t>
      </w:r>
      <w:r>
        <w:rPr>
          <w:spacing w:val="1"/>
        </w:rPr>
        <w:t>l</w:t>
      </w:r>
      <w:r>
        <w:t>a</w:t>
      </w:r>
      <w:r>
        <w:rPr>
          <w:spacing w:val="-2"/>
        </w:rPr>
        <w:t xml:space="preserve"> </w:t>
      </w:r>
      <w:r>
        <w:t>pac</w:t>
      </w:r>
      <w:r>
        <w:rPr>
          <w:spacing w:val="-2"/>
        </w:rPr>
        <w:t>i</w:t>
      </w:r>
      <w:r>
        <w:t>en</w:t>
      </w:r>
      <w:r>
        <w:rPr>
          <w:spacing w:val="-2"/>
        </w:rPr>
        <w:t>ţ</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w:t>
      </w:r>
      <w:r>
        <w:rPr>
          <w:spacing w:val="-2"/>
        </w:rPr>
        <w:t>t</w:t>
      </w:r>
      <w:r>
        <w:t>ă</w:t>
      </w:r>
      <w:r>
        <w:rPr>
          <w:spacing w:val="-2"/>
        </w:rPr>
        <w:t xml:space="preserve"> </w:t>
      </w:r>
      <w:r>
        <w:rPr>
          <w:spacing w:val="3"/>
        </w:rPr>
        <w:t>j</w:t>
      </w:r>
      <w:r>
        <w:t>u</w:t>
      </w:r>
      <w:r>
        <w:rPr>
          <w:spacing w:val="-3"/>
        </w:rPr>
        <w:t>v</w:t>
      </w:r>
      <w:r>
        <w:t>e</w:t>
      </w:r>
      <w:r>
        <w:rPr>
          <w:spacing w:val="-3"/>
        </w:rPr>
        <w:t>n</w:t>
      </w:r>
      <w:r>
        <w:rPr>
          <w:spacing w:val="1"/>
        </w:rPr>
        <w:t>il</w:t>
      </w:r>
      <w:r>
        <w:t>ă</w:t>
      </w:r>
      <w:r>
        <w:rPr>
          <w:spacing w:val="-2"/>
        </w:rPr>
        <w:t xml:space="preserve"> i</w:t>
      </w:r>
      <w:r>
        <w:t>d</w:t>
      </w:r>
      <w:r>
        <w:rPr>
          <w:spacing w:val="1"/>
        </w:rPr>
        <w:t>i</w:t>
      </w:r>
      <w:r>
        <w:t>op</w:t>
      </w:r>
      <w:r>
        <w:rPr>
          <w:spacing w:val="-3"/>
        </w:rPr>
        <w:t>a</w:t>
      </w:r>
      <w:r>
        <w:rPr>
          <w:spacing w:val="1"/>
        </w:rPr>
        <w:t>t</w:t>
      </w:r>
      <w:r>
        <w:rPr>
          <w:spacing w:val="-2"/>
        </w:rPr>
        <w:t>i</w:t>
      </w:r>
      <w:r>
        <w:t>că</w:t>
      </w:r>
      <w:r>
        <w:rPr>
          <w:spacing w:val="-2"/>
        </w:rPr>
        <w:t xml:space="preserve"> </w:t>
      </w:r>
      <w:r>
        <w:t>for</w:t>
      </w:r>
      <w:r>
        <w:rPr>
          <w:spacing w:val="-4"/>
        </w:rPr>
        <w:t>m</w:t>
      </w:r>
      <w:r>
        <w:t>a po</w:t>
      </w:r>
      <w:r>
        <w:rPr>
          <w:spacing w:val="1"/>
        </w:rPr>
        <w:t>l</w:t>
      </w:r>
      <w:r>
        <w:rPr>
          <w:spacing w:val="-2"/>
        </w:rPr>
        <w:t>i</w:t>
      </w:r>
      <w:r>
        <w:t>a</w:t>
      </w:r>
      <w:r>
        <w:rPr>
          <w:spacing w:val="-2"/>
        </w:rPr>
        <w:t>r</w:t>
      </w:r>
      <w:r>
        <w:rPr>
          <w:spacing w:val="1"/>
        </w:rPr>
        <w:t>t</w:t>
      </w:r>
      <w:r>
        <w:rPr>
          <w:spacing w:val="-2"/>
        </w:rPr>
        <w:t>i</w:t>
      </w:r>
      <w:r>
        <w:t>cu</w:t>
      </w:r>
      <w:r>
        <w:rPr>
          <w:spacing w:val="-2"/>
        </w:rPr>
        <w:t>l</w:t>
      </w:r>
      <w:r>
        <w:t>ară</w:t>
      </w:r>
      <w:r>
        <w:rPr>
          <w:spacing w:val="-3"/>
        </w:rPr>
        <w:t xml:space="preserve"> </w:t>
      </w:r>
      <w:r>
        <w:t xml:space="preserve">cu </w:t>
      </w:r>
      <w:r>
        <w:rPr>
          <w:spacing w:val="-3"/>
        </w:rPr>
        <w:t>v</w:t>
      </w:r>
      <w:r>
        <w:t>âr</w:t>
      </w:r>
      <w:r>
        <w:rPr>
          <w:spacing w:val="-2"/>
        </w:rPr>
        <w:t>s</w:t>
      </w:r>
      <w:r>
        <w:rPr>
          <w:spacing w:val="1"/>
        </w:rPr>
        <w:t>t</w:t>
      </w:r>
      <w:r>
        <w:t xml:space="preserve">a </w:t>
      </w:r>
      <w:r>
        <w:rPr>
          <w:spacing w:val="-3"/>
        </w:rPr>
        <w:t>d</w:t>
      </w:r>
      <w:r>
        <w:t xml:space="preserve">e </w:t>
      </w:r>
      <w:r>
        <w:rPr>
          <w:spacing w:val="-2"/>
        </w:rPr>
        <w:t>l</w:t>
      </w:r>
      <w:r>
        <w:t>a 4 a</w:t>
      </w:r>
      <w:r>
        <w:rPr>
          <w:spacing w:val="-3"/>
        </w:rPr>
        <w:t>n</w:t>
      </w:r>
      <w:r>
        <w:t>i</w:t>
      </w:r>
      <w:r>
        <w:rPr>
          <w:spacing w:val="1"/>
        </w:rPr>
        <w:t xml:space="preserve"> </w:t>
      </w:r>
      <w:r>
        <w:rPr>
          <w:spacing w:val="-2"/>
        </w:rPr>
        <w:t>l</w:t>
      </w:r>
      <w:r>
        <w:t xml:space="preserve">a 17 </w:t>
      </w:r>
      <w:r>
        <w:rPr>
          <w:spacing w:val="-3"/>
        </w:rPr>
        <w:t>a</w:t>
      </w:r>
      <w:r>
        <w:t>ni</w:t>
      </w:r>
      <w:r>
        <w:rPr>
          <w:spacing w:val="1"/>
        </w:rPr>
        <w:t xml:space="preserve"> </w:t>
      </w:r>
      <w:r>
        <w:rPr>
          <w:spacing w:val="-2"/>
        </w:rPr>
        <w:t>ş</w:t>
      </w:r>
      <w:r>
        <w:t>i</w:t>
      </w:r>
      <w:r>
        <w:rPr>
          <w:spacing w:val="-2"/>
        </w:rPr>
        <w:t xml:space="preserve"> </w:t>
      </w:r>
      <w:r>
        <w:rPr>
          <w:spacing w:val="1"/>
        </w:rPr>
        <w:t>l</w:t>
      </w:r>
      <w:r>
        <w:t>a p</w:t>
      </w:r>
      <w:r>
        <w:rPr>
          <w:spacing w:val="-3"/>
        </w:rPr>
        <w:t>a</w:t>
      </w:r>
      <w:r>
        <w:t>c</w:t>
      </w:r>
      <w:r>
        <w:rPr>
          <w:spacing w:val="-2"/>
        </w:rPr>
        <w:t>i</w:t>
      </w:r>
      <w:r>
        <w:t>e</w:t>
      </w:r>
      <w:r>
        <w:rPr>
          <w:spacing w:val="-3"/>
        </w:rPr>
        <w:t>n</w:t>
      </w:r>
      <w:r>
        <w:rPr>
          <w:spacing w:val="1"/>
        </w:rPr>
        <w:t>ţ</w:t>
      </w:r>
      <w:r>
        <w:t>i</w:t>
      </w:r>
      <w:r>
        <w:rPr>
          <w:spacing w:val="1"/>
        </w:rPr>
        <w:t xml:space="preserve"> </w:t>
      </w:r>
      <w:r>
        <w:rPr>
          <w:spacing w:val="-3"/>
        </w:rPr>
        <w:t>c</w:t>
      </w:r>
      <w:r>
        <w:t>u a</w:t>
      </w:r>
      <w:r>
        <w:rPr>
          <w:spacing w:val="-2"/>
        </w:rPr>
        <w:t>r</w:t>
      </w:r>
      <w:r>
        <w:rPr>
          <w:spacing w:val="1"/>
        </w:rPr>
        <w:t>t</w:t>
      </w:r>
      <w:r>
        <w:rPr>
          <w:spacing w:val="-2"/>
        </w:rPr>
        <w:t>ri</w:t>
      </w:r>
      <w:r>
        <w:rPr>
          <w:spacing w:val="1"/>
        </w:rPr>
        <w:t>t</w:t>
      </w:r>
      <w:r>
        <w:t xml:space="preserve">ă </w:t>
      </w:r>
      <w:r>
        <w:rPr>
          <w:spacing w:val="-3"/>
        </w:rPr>
        <w:t>a</w:t>
      </w:r>
      <w:r>
        <w:t>so</w:t>
      </w:r>
      <w:r>
        <w:rPr>
          <w:spacing w:val="-3"/>
        </w:rPr>
        <w:t>c</w:t>
      </w:r>
      <w:r>
        <w:rPr>
          <w:spacing w:val="1"/>
        </w:rPr>
        <w:t>i</w:t>
      </w:r>
      <w:r>
        <w:t>a</w:t>
      </w:r>
      <w:r>
        <w:rPr>
          <w:spacing w:val="-2"/>
        </w:rPr>
        <w:t>t</w:t>
      </w:r>
      <w:r>
        <w:t>ă e</w:t>
      </w:r>
      <w:r>
        <w:rPr>
          <w:spacing w:val="-3"/>
        </w:rPr>
        <w:t>n</w:t>
      </w:r>
      <w:r>
        <w:rPr>
          <w:spacing w:val="1"/>
        </w:rPr>
        <w:t>t</w:t>
      </w:r>
      <w:r>
        <w:t>e</w:t>
      </w:r>
      <w:r>
        <w:rPr>
          <w:spacing w:val="-3"/>
        </w:rPr>
        <w:t>z</w:t>
      </w:r>
      <w:r>
        <w:rPr>
          <w:spacing w:val="1"/>
        </w:rPr>
        <w:t>i</w:t>
      </w:r>
      <w:r>
        <w:rPr>
          <w:spacing w:val="-2"/>
        </w:rPr>
        <w:t>t</w:t>
      </w:r>
      <w:r>
        <w:t>ei</w:t>
      </w:r>
      <w:r>
        <w:rPr>
          <w:spacing w:val="1"/>
        </w:rPr>
        <w:t xml:space="preserve"> </w:t>
      </w:r>
      <w:r>
        <w:t xml:space="preserve">cu </w:t>
      </w:r>
      <w:r>
        <w:rPr>
          <w:spacing w:val="-3"/>
        </w:rPr>
        <w:t>v</w:t>
      </w:r>
      <w:r>
        <w:t>â</w:t>
      </w:r>
      <w:r>
        <w:rPr>
          <w:spacing w:val="-2"/>
        </w:rPr>
        <w:t>r</w:t>
      </w:r>
      <w:r>
        <w:t>s</w:t>
      </w:r>
      <w:r>
        <w:rPr>
          <w:spacing w:val="-2"/>
        </w:rPr>
        <w:t>t</w:t>
      </w:r>
      <w:r>
        <w:t>a de</w:t>
      </w:r>
      <w:r>
        <w:rPr>
          <w:spacing w:val="-2"/>
        </w:rPr>
        <w:t xml:space="preserve"> </w:t>
      </w:r>
      <w:r>
        <w:rPr>
          <w:spacing w:val="1"/>
        </w:rPr>
        <w:t>l</w:t>
      </w:r>
      <w:r>
        <w:t>a 6 ani</w:t>
      </w:r>
      <w:r>
        <w:rPr>
          <w:spacing w:val="-2"/>
        </w:rPr>
        <w:t xml:space="preserve"> </w:t>
      </w:r>
      <w:r>
        <w:rPr>
          <w:spacing w:val="1"/>
        </w:rPr>
        <w:t>l</w:t>
      </w:r>
      <w:r>
        <w:t>a 17</w:t>
      </w:r>
      <w:r>
        <w:rPr>
          <w:spacing w:val="-3"/>
        </w:rPr>
        <w:t xml:space="preserve"> </w:t>
      </w:r>
      <w:r>
        <w:t>an</w:t>
      </w:r>
      <w:r>
        <w:rPr>
          <w:spacing w:val="-2"/>
        </w:rPr>
        <w:t>i</w:t>
      </w:r>
      <w:r>
        <w:t>, c</w:t>
      </w:r>
      <w:r>
        <w:rPr>
          <w:spacing w:val="-2"/>
        </w:rPr>
        <w:t>r</w:t>
      </w:r>
      <w:r>
        <w:t>e</w:t>
      </w:r>
      <w:r>
        <w:rPr>
          <w:spacing w:val="-2"/>
        </w:rPr>
        <w:t>ş</w:t>
      </w:r>
      <w:r>
        <w:rPr>
          <w:spacing w:val="1"/>
        </w:rPr>
        <w:t>t</w:t>
      </w:r>
      <w:r>
        <w:t>e</w:t>
      </w:r>
      <w:r>
        <w:rPr>
          <w:spacing w:val="-2"/>
        </w:rPr>
        <w:t>r</w:t>
      </w:r>
      <w:r>
        <w:t xml:space="preserve">ea </w:t>
      </w:r>
      <w:r>
        <w:rPr>
          <w:spacing w:val="-1"/>
        </w:rPr>
        <w:t>A</w:t>
      </w:r>
      <w:r>
        <w:rPr>
          <w:spacing w:val="-3"/>
        </w:rPr>
        <w:t>L</w:t>
      </w:r>
      <w:r>
        <w:t>T</w:t>
      </w:r>
      <w:r>
        <w:rPr>
          <w:spacing w:val="-1"/>
        </w:rPr>
        <w:t xml:space="preserve"> </w:t>
      </w:r>
      <w:r>
        <w:t>≥</w:t>
      </w:r>
      <w:r>
        <w:rPr>
          <w:spacing w:val="1"/>
        </w:rPr>
        <w:t xml:space="preserve"> </w:t>
      </w:r>
      <w:r>
        <w:t xml:space="preserve">3 x </w:t>
      </w:r>
      <w:r>
        <w:rPr>
          <w:spacing w:val="-1"/>
        </w:rPr>
        <w:t>LS</w:t>
      </w:r>
      <w:r>
        <w:t>N</w:t>
      </w:r>
      <w:r>
        <w:rPr>
          <w:spacing w:val="-4"/>
        </w:rPr>
        <w:t xml:space="preserve"> </w:t>
      </w:r>
      <w:r>
        <w:t>s</w:t>
      </w:r>
      <w:r>
        <w:rPr>
          <w:spacing w:val="-4"/>
        </w:rPr>
        <w:t>-</w:t>
      </w:r>
      <w:r>
        <w:t xml:space="preserve">a </w:t>
      </w:r>
      <w:r>
        <w:rPr>
          <w:spacing w:val="1"/>
        </w:rPr>
        <w:t>î</w:t>
      </w:r>
      <w:r>
        <w:t>n</w:t>
      </w:r>
      <w:r>
        <w:rPr>
          <w:spacing w:val="1"/>
        </w:rPr>
        <w:t>t</w:t>
      </w:r>
      <w:r>
        <w:t>â</w:t>
      </w:r>
      <w:r>
        <w:rPr>
          <w:spacing w:val="-2"/>
        </w:rPr>
        <w:t>l</w:t>
      </w:r>
      <w:r>
        <w:t>n</w:t>
      </w:r>
      <w:r>
        <w:rPr>
          <w:spacing w:val="-2"/>
        </w:rPr>
        <w:t>i</w:t>
      </w:r>
      <w:r>
        <w:t>t</w:t>
      </w:r>
      <w:r>
        <w:rPr>
          <w:spacing w:val="1"/>
        </w:rPr>
        <w:t xml:space="preserve"> </w:t>
      </w:r>
      <w:r>
        <w:rPr>
          <w:spacing w:val="-2"/>
        </w:rPr>
        <w:t>l</w:t>
      </w:r>
      <w:r>
        <w:t>a 6</w:t>
      </w:r>
      <w:r>
        <w:rPr>
          <w:spacing w:val="-3"/>
        </w:rPr>
        <w:t>,</w:t>
      </w:r>
      <w:r>
        <w:t>1%</w:t>
      </w:r>
      <w:r>
        <w:rPr>
          <w:spacing w:val="1"/>
        </w:rPr>
        <w:t xml:space="preserve"> </w:t>
      </w:r>
      <w:r>
        <w:rPr>
          <w:spacing w:val="-3"/>
        </w:rPr>
        <w:t>d</w:t>
      </w:r>
      <w:r>
        <w:rPr>
          <w:spacing w:val="1"/>
        </w:rPr>
        <w:t>i</w:t>
      </w:r>
      <w:r>
        <w:t>n</w:t>
      </w:r>
      <w:r>
        <w:rPr>
          <w:spacing w:val="-2"/>
        </w:rPr>
        <w:t>t</w:t>
      </w:r>
      <w:r>
        <w:t xml:space="preserve">re </w:t>
      </w:r>
      <w:r>
        <w:rPr>
          <w:spacing w:val="-3"/>
        </w:rPr>
        <w:t>p</w:t>
      </w:r>
      <w:r>
        <w:t>ac</w:t>
      </w:r>
      <w:r>
        <w:rPr>
          <w:spacing w:val="-2"/>
        </w:rPr>
        <w:t>i</w:t>
      </w:r>
      <w:r>
        <w:t>en</w:t>
      </w:r>
      <w:r>
        <w:rPr>
          <w:spacing w:val="-2"/>
        </w:rPr>
        <w:t>ţi</w:t>
      </w:r>
      <w:r>
        <w:t>i</w:t>
      </w:r>
      <w:r>
        <w:rPr>
          <w:spacing w:val="1"/>
        </w:rPr>
        <w:t xml:space="preserve"> </w:t>
      </w:r>
      <w:r>
        <w:rPr>
          <w:spacing w:val="-2"/>
        </w:rPr>
        <w:t>t</w:t>
      </w:r>
      <w:r>
        <w:t>ra</w:t>
      </w:r>
      <w:r>
        <w:rPr>
          <w:spacing w:val="-2"/>
        </w:rPr>
        <w:t>t</w:t>
      </w:r>
      <w:r>
        <w:t>a</w:t>
      </w:r>
      <w:r>
        <w:rPr>
          <w:spacing w:val="-2"/>
        </w:rPr>
        <w:t>ţ</w:t>
      </w:r>
      <w:r>
        <w:t>i</w:t>
      </w:r>
      <w:r>
        <w:rPr>
          <w:spacing w:val="1"/>
        </w:rPr>
        <w:t xml:space="preserve"> </w:t>
      </w:r>
      <w:r>
        <w:rPr>
          <w:spacing w:val="-3"/>
        </w:rPr>
        <w:t>c</w:t>
      </w:r>
      <w:r>
        <w:t xml:space="preserve">u </w:t>
      </w:r>
      <w:r>
        <w:rPr>
          <w:rFonts w:eastAsia="MS Mincho"/>
          <w:spacing w:val="-1"/>
          <w:szCs w:val="22"/>
          <w:lang w:eastAsia="en-US" w:bidi="ar-SA"/>
        </w:rPr>
        <w:t>adalimumab</w:t>
      </w:r>
      <w:r>
        <w:t xml:space="preserve"> şi</w:t>
      </w:r>
      <w:r>
        <w:rPr>
          <w:spacing w:val="1"/>
        </w:rPr>
        <w:t xml:space="preserve"> </w:t>
      </w:r>
      <w:r>
        <w:t>1</w:t>
      </w:r>
      <w:r>
        <w:rPr>
          <w:spacing w:val="-3"/>
        </w:rPr>
        <w:t>,</w:t>
      </w:r>
      <w:r>
        <w:t>3%</w:t>
      </w:r>
      <w:r>
        <w:rPr>
          <w:spacing w:val="-2"/>
        </w:rPr>
        <w:t xml:space="preserve"> </w:t>
      </w:r>
      <w:r>
        <w:rPr>
          <w:spacing w:val="1"/>
        </w:rPr>
        <w:t>l</w:t>
      </w:r>
      <w:r>
        <w:t>a pac</w:t>
      </w:r>
      <w:r>
        <w:rPr>
          <w:spacing w:val="-2"/>
        </w:rPr>
        <w:t>i</w:t>
      </w:r>
      <w:r>
        <w:t>en</w:t>
      </w:r>
      <w:r>
        <w:rPr>
          <w:spacing w:val="-2"/>
        </w:rPr>
        <w:t>ţ</w:t>
      </w:r>
      <w:r>
        <w:rPr>
          <w:spacing w:val="1"/>
        </w:rPr>
        <w:t>i</w:t>
      </w:r>
      <w:r>
        <w:t>i</w:t>
      </w:r>
      <w:r>
        <w:rPr>
          <w:spacing w:val="-2"/>
        </w:rPr>
        <w:t xml:space="preserve"> </w:t>
      </w:r>
      <w:r>
        <w:t>d</w:t>
      </w:r>
      <w:r>
        <w:rPr>
          <w:spacing w:val="1"/>
        </w:rPr>
        <w:t>i</w:t>
      </w:r>
      <w:r>
        <w:t xml:space="preserve">n </w:t>
      </w:r>
      <w:r>
        <w:rPr>
          <w:spacing w:val="-3"/>
        </w:rPr>
        <w:t>g</w:t>
      </w:r>
      <w:r>
        <w:t>ru</w:t>
      </w:r>
      <w:r>
        <w:rPr>
          <w:spacing w:val="-3"/>
        </w:rPr>
        <w:t>p</w:t>
      </w:r>
      <w:r>
        <w:t>ul</w:t>
      </w:r>
      <w:r>
        <w:rPr>
          <w:spacing w:val="1"/>
        </w:rPr>
        <w:t xml:space="preserve"> </w:t>
      </w:r>
      <w:r>
        <w:rPr>
          <w:spacing w:val="-3"/>
        </w:rPr>
        <w:t>d</w:t>
      </w:r>
      <w:r>
        <w:t>e co</w:t>
      </w:r>
      <w:r>
        <w:rPr>
          <w:spacing w:val="-3"/>
        </w:rPr>
        <w:t>n</w:t>
      </w:r>
      <w:r>
        <w:rPr>
          <w:spacing w:val="-2"/>
        </w:rPr>
        <w:t>t</w:t>
      </w:r>
      <w:r>
        <w:t>ro</w:t>
      </w:r>
      <w:r>
        <w:rPr>
          <w:spacing w:val="1"/>
        </w:rPr>
        <w:t>l</w:t>
      </w:r>
      <w:r>
        <w:t xml:space="preserve">. </w:t>
      </w:r>
      <w:r>
        <w:rPr>
          <w:spacing w:val="-1"/>
        </w:rPr>
        <w:t>C</w:t>
      </w:r>
      <w:r>
        <w:rPr>
          <w:spacing w:val="-3"/>
        </w:rPr>
        <w:t>e</w:t>
      </w:r>
      <w:r>
        <w:rPr>
          <w:spacing w:val="1"/>
        </w:rPr>
        <w:t>l</w:t>
      </w:r>
      <w:r>
        <w:t xml:space="preserve">e </w:t>
      </w:r>
      <w:r>
        <w:rPr>
          <w:spacing w:val="-4"/>
        </w:rPr>
        <w:t>m</w:t>
      </w:r>
      <w:r>
        <w:t>ai</w:t>
      </w:r>
      <w:r>
        <w:rPr>
          <w:spacing w:val="1"/>
        </w:rPr>
        <w:t xml:space="preserve"> </w:t>
      </w:r>
      <w:r>
        <w:rPr>
          <w:spacing w:val="-4"/>
        </w:rPr>
        <w:t>m</w:t>
      </w:r>
      <w:r>
        <w:t>u</w:t>
      </w:r>
      <w:r>
        <w:rPr>
          <w:spacing w:val="1"/>
        </w:rPr>
        <w:t>lt</w:t>
      </w:r>
      <w:r>
        <w:t>e</w:t>
      </w:r>
      <w:r>
        <w:rPr>
          <w:spacing w:val="-2"/>
        </w:rPr>
        <w:t xml:space="preserve"> </w:t>
      </w:r>
      <w:r>
        <w:t>cr</w:t>
      </w:r>
      <w:r>
        <w:rPr>
          <w:spacing w:val="-3"/>
        </w:rPr>
        <w:t>e</w:t>
      </w:r>
      <w:r>
        <w:t>ș</w:t>
      </w:r>
      <w:r>
        <w:rPr>
          <w:spacing w:val="-2"/>
        </w:rPr>
        <w:t>t</w:t>
      </w:r>
      <w:r>
        <w:t>e</w:t>
      </w:r>
      <w:r>
        <w:rPr>
          <w:spacing w:val="-2"/>
        </w:rPr>
        <w:t>r</w:t>
      </w:r>
      <w:r>
        <w:t>i</w:t>
      </w:r>
      <w:r>
        <w:rPr>
          <w:spacing w:val="-2"/>
        </w:rPr>
        <w:t xml:space="preserve"> </w:t>
      </w:r>
      <w:r>
        <w:t>a</w:t>
      </w:r>
      <w:r>
        <w:rPr>
          <w:spacing w:val="1"/>
        </w:rPr>
        <w:t>l</w:t>
      </w:r>
      <w:r>
        <w:t xml:space="preserve">e </w:t>
      </w:r>
      <w:r>
        <w:rPr>
          <w:spacing w:val="-1"/>
        </w:rPr>
        <w:t>A</w:t>
      </w:r>
      <w:r>
        <w:rPr>
          <w:spacing w:val="-3"/>
        </w:rPr>
        <w:t>L</w:t>
      </w:r>
      <w:r>
        <w:t>T</w:t>
      </w:r>
      <w:r>
        <w:rPr>
          <w:spacing w:val="2"/>
        </w:rPr>
        <w:t xml:space="preserve"> </w:t>
      </w:r>
      <w:r>
        <w:rPr>
          <w:spacing w:val="-3"/>
        </w:rPr>
        <w:t>a</w:t>
      </w:r>
      <w:r>
        <w:t>u a</w:t>
      </w:r>
      <w:r>
        <w:rPr>
          <w:spacing w:val="-3"/>
        </w:rPr>
        <w:t>v</w:t>
      </w:r>
      <w:r>
        <w:t>ut</w:t>
      </w:r>
      <w:r>
        <w:rPr>
          <w:spacing w:val="1"/>
        </w:rPr>
        <w:t xml:space="preserve"> </w:t>
      </w:r>
      <w:r>
        <w:rPr>
          <w:spacing w:val="-2"/>
        </w:rPr>
        <w:t>l</w:t>
      </w:r>
      <w:r>
        <w:t xml:space="preserve">oc </w:t>
      </w:r>
      <w:r>
        <w:rPr>
          <w:spacing w:val="-3"/>
        </w:rPr>
        <w:t>a</w:t>
      </w:r>
      <w:r>
        <w:rPr>
          <w:spacing w:val="1"/>
        </w:rPr>
        <w:t>t</w:t>
      </w:r>
      <w:r>
        <w:t>un</w:t>
      </w:r>
      <w:r>
        <w:rPr>
          <w:spacing w:val="-3"/>
        </w:rPr>
        <w:t>c</w:t>
      </w:r>
      <w:r>
        <w:t>i</w:t>
      </w:r>
      <w:r>
        <w:rPr>
          <w:spacing w:val="-2"/>
        </w:rPr>
        <w:t xml:space="preserve"> </w:t>
      </w:r>
      <w:r>
        <w:t>când s</w:t>
      </w:r>
      <w:r>
        <w:rPr>
          <w:spacing w:val="-4"/>
        </w:rPr>
        <w:t>-</w:t>
      </w:r>
      <w:r>
        <w:t>a u</w:t>
      </w:r>
      <w:r>
        <w:rPr>
          <w:spacing w:val="1"/>
        </w:rPr>
        <w:t>t</w:t>
      </w:r>
      <w:r>
        <w:rPr>
          <w:spacing w:val="-2"/>
        </w:rPr>
        <w:t>il</w:t>
      </w:r>
      <w:r>
        <w:rPr>
          <w:spacing w:val="1"/>
        </w:rPr>
        <w:t>i</w:t>
      </w:r>
      <w:r>
        <w:rPr>
          <w:spacing w:val="-3"/>
        </w:rPr>
        <w:t>z</w:t>
      </w:r>
      <w:r>
        <w:t>at conco</w:t>
      </w:r>
      <w:r>
        <w:rPr>
          <w:spacing w:val="-4"/>
        </w:rPr>
        <w:t>m</w:t>
      </w:r>
      <w:r>
        <w:rPr>
          <w:spacing w:val="1"/>
        </w:rPr>
        <w:t>it</w:t>
      </w:r>
      <w:r>
        <w:t>e</w:t>
      </w:r>
      <w:r>
        <w:rPr>
          <w:spacing w:val="-3"/>
        </w:rPr>
        <w:t>n</w:t>
      </w:r>
      <w:r>
        <w:t>t</w:t>
      </w:r>
      <w:r>
        <w:rPr>
          <w:spacing w:val="1"/>
        </w:rPr>
        <w:t xml:space="preserve"> </w:t>
      </w:r>
      <w:r>
        <w:rPr>
          <w:spacing w:val="-4"/>
        </w:rPr>
        <w:t>m</w:t>
      </w:r>
      <w:r>
        <w:t>e</w:t>
      </w:r>
      <w:r>
        <w:rPr>
          <w:spacing w:val="1"/>
        </w:rPr>
        <w:t>t</w:t>
      </w:r>
      <w:r>
        <w:t>o</w:t>
      </w:r>
      <w:r>
        <w:rPr>
          <w:spacing w:val="-2"/>
        </w:rPr>
        <w:t>t</w:t>
      </w:r>
      <w:r>
        <w:t>rex</w:t>
      </w:r>
      <w:r>
        <w:rPr>
          <w:spacing w:val="-3"/>
        </w:rPr>
        <w:t>a</w:t>
      </w:r>
      <w:r>
        <w:rPr>
          <w:spacing w:val="1"/>
        </w:rPr>
        <w:t>t</w:t>
      </w:r>
      <w:r>
        <w:t xml:space="preserve">. </w:t>
      </w:r>
      <w:r>
        <w:rPr>
          <w:spacing w:val="-1"/>
        </w:rPr>
        <w:t>N</w:t>
      </w:r>
      <w:r>
        <w:rPr>
          <w:spacing w:val="-2"/>
        </w:rPr>
        <w:t>i</w:t>
      </w:r>
      <w:r>
        <w:t>c</w:t>
      </w:r>
      <w:r>
        <w:rPr>
          <w:spacing w:val="1"/>
        </w:rPr>
        <w:t>i</w:t>
      </w:r>
      <w:r>
        <w:t xml:space="preserve">o </w:t>
      </w:r>
      <w:r>
        <w:rPr>
          <w:spacing w:val="-3"/>
        </w:rPr>
        <w:t>c</w:t>
      </w:r>
      <w:r>
        <w:t>r</w:t>
      </w:r>
      <w:r>
        <w:rPr>
          <w:spacing w:val="-3"/>
        </w:rPr>
        <w:t>e</w:t>
      </w:r>
      <w:r>
        <w:t>ş</w:t>
      </w:r>
      <w:r>
        <w:rPr>
          <w:spacing w:val="1"/>
        </w:rPr>
        <w:t>t</w:t>
      </w:r>
      <w:r>
        <w:rPr>
          <w:spacing w:val="-3"/>
        </w:rPr>
        <w:t>e</w:t>
      </w:r>
      <w:r>
        <w:t>re</w:t>
      </w:r>
      <w:r>
        <w:rPr>
          <w:spacing w:val="-2"/>
        </w:rPr>
        <w:t xml:space="preserve"> </w:t>
      </w:r>
      <w:r>
        <w:t xml:space="preserve">a </w:t>
      </w:r>
      <w:r>
        <w:rPr>
          <w:spacing w:val="-2"/>
        </w:rPr>
        <w:t>A</w:t>
      </w:r>
      <w:r>
        <w:rPr>
          <w:spacing w:val="-1"/>
        </w:rPr>
        <w:t>L</w:t>
      </w:r>
      <w:r>
        <w:t>T</w:t>
      </w:r>
      <w:r>
        <w:rPr>
          <w:spacing w:val="-1"/>
        </w:rPr>
        <w:t xml:space="preserve"> </w:t>
      </w:r>
      <w:r>
        <w:t>≥</w:t>
      </w:r>
      <w:r>
        <w:rPr>
          <w:spacing w:val="1"/>
        </w:rPr>
        <w:t xml:space="preserve"> </w:t>
      </w:r>
      <w:r>
        <w:t>3</w:t>
      </w:r>
      <w:r>
        <w:rPr>
          <w:spacing w:val="-3"/>
        </w:rPr>
        <w:t xml:space="preserve"> </w:t>
      </w:r>
      <w:r>
        <w:t xml:space="preserve">x </w:t>
      </w:r>
      <w:r>
        <w:rPr>
          <w:spacing w:val="-3"/>
        </w:rPr>
        <w:t>L</w:t>
      </w:r>
      <w:r>
        <w:rPr>
          <w:spacing w:val="-1"/>
        </w:rPr>
        <w:t>S</w:t>
      </w:r>
      <w:r>
        <w:t>N</w:t>
      </w:r>
      <w:r>
        <w:rPr>
          <w:spacing w:val="-1"/>
        </w:rPr>
        <w:t xml:space="preserve"> </w:t>
      </w:r>
      <w:r>
        <w:t>nu a a</w:t>
      </w:r>
      <w:r>
        <w:rPr>
          <w:spacing w:val="-3"/>
        </w:rPr>
        <w:t>v</w:t>
      </w:r>
      <w:r>
        <w:t>ut</w:t>
      </w:r>
      <w:r>
        <w:rPr>
          <w:spacing w:val="1"/>
        </w:rPr>
        <w:t xml:space="preserve"> </w:t>
      </w:r>
      <w:r>
        <w:rPr>
          <w:spacing w:val="-2"/>
        </w:rPr>
        <w:t>l</w:t>
      </w:r>
      <w:r>
        <w:t>oc</w:t>
      </w:r>
      <w:r>
        <w:rPr>
          <w:spacing w:val="-2"/>
        </w:rPr>
        <w:t xml:space="preserve"> </w:t>
      </w:r>
      <w:r>
        <w:rPr>
          <w:spacing w:val="1"/>
        </w:rPr>
        <w:t>î</w:t>
      </w:r>
      <w:r>
        <w:t xml:space="preserve">n </w:t>
      </w:r>
      <w:r>
        <w:rPr>
          <w:spacing w:val="-2"/>
        </w:rPr>
        <w:t>s</w:t>
      </w:r>
      <w:r>
        <w:rPr>
          <w:spacing w:val="1"/>
        </w:rPr>
        <w:t>t</w:t>
      </w:r>
      <w:r>
        <w:t>u</w:t>
      </w:r>
      <w:r>
        <w:rPr>
          <w:spacing w:val="-3"/>
        </w:rPr>
        <w:t>d</w:t>
      </w:r>
      <w:r>
        <w:rPr>
          <w:spacing w:val="1"/>
        </w:rPr>
        <w:t>i</w:t>
      </w:r>
      <w:r>
        <w:t>ul</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3"/>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t xml:space="preserve"> </w:t>
      </w:r>
      <w:r>
        <w:rPr>
          <w:spacing w:val="1"/>
        </w:rPr>
        <w:t>l</w:t>
      </w:r>
      <w:r>
        <w:t>a p</w:t>
      </w:r>
      <w:r>
        <w:rPr>
          <w:spacing w:val="-3"/>
        </w:rPr>
        <w:t>a</w:t>
      </w:r>
      <w:r>
        <w:t>c</w:t>
      </w:r>
      <w:r>
        <w:rPr>
          <w:spacing w:val="-2"/>
        </w:rPr>
        <w:t>i</w:t>
      </w:r>
      <w:r>
        <w:t>en</w:t>
      </w:r>
      <w:r>
        <w:rPr>
          <w:spacing w:val="-2"/>
        </w:rPr>
        <w:t>ț</w:t>
      </w:r>
      <w:r>
        <w:rPr>
          <w:spacing w:val="1"/>
        </w:rPr>
        <w:t>i</w:t>
      </w:r>
      <w:r>
        <w:t>i</w:t>
      </w:r>
      <w:r>
        <w:rPr>
          <w:spacing w:val="-2"/>
        </w:rPr>
        <w:t xml:space="preserve"> </w:t>
      </w:r>
      <w:r>
        <w:t xml:space="preserve">cu </w:t>
      </w:r>
      <w:r>
        <w:rPr>
          <w:spacing w:val="-3"/>
        </w:rPr>
        <w:t>a</w:t>
      </w:r>
      <w:r>
        <w:t>r</w:t>
      </w:r>
      <w:r>
        <w:rPr>
          <w:spacing w:val="-2"/>
        </w:rPr>
        <w:t>t</w:t>
      </w:r>
      <w:r>
        <w:t>r</w:t>
      </w:r>
      <w:r>
        <w:rPr>
          <w:spacing w:val="-2"/>
        </w:rPr>
        <w:t>i</w:t>
      </w:r>
      <w:r>
        <w:rPr>
          <w:spacing w:val="1"/>
        </w:rPr>
        <w:t>t</w:t>
      </w:r>
      <w:r>
        <w:t>ă</w:t>
      </w:r>
      <w:r>
        <w:rPr>
          <w:spacing w:val="-2"/>
        </w:rPr>
        <w:t xml:space="preserve"> </w:t>
      </w:r>
      <w:r>
        <w:rPr>
          <w:spacing w:val="1"/>
        </w:rPr>
        <w:t>j</w:t>
      </w:r>
      <w:r>
        <w:t>u</w:t>
      </w:r>
      <w:r>
        <w:rPr>
          <w:spacing w:val="-3"/>
        </w:rPr>
        <w:t>v</w:t>
      </w:r>
      <w:r>
        <w:t>en</w:t>
      </w:r>
      <w:r>
        <w:rPr>
          <w:spacing w:val="-2"/>
        </w:rPr>
        <w:t>i</w:t>
      </w:r>
      <w:r>
        <w:rPr>
          <w:spacing w:val="1"/>
        </w:rPr>
        <w:t>l</w:t>
      </w:r>
      <w:r>
        <w:t xml:space="preserve">ă </w:t>
      </w:r>
      <w:r>
        <w:rPr>
          <w:spacing w:val="-2"/>
        </w:rPr>
        <w:t>i</w:t>
      </w:r>
      <w:r>
        <w:t>d</w:t>
      </w:r>
      <w:r>
        <w:rPr>
          <w:spacing w:val="1"/>
        </w:rPr>
        <w:t>i</w:t>
      </w:r>
      <w:r>
        <w:t>o</w:t>
      </w:r>
      <w:r>
        <w:rPr>
          <w:spacing w:val="-3"/>
        </w:rPr>
        <w:t>p</w:t>
      </w:r>
      <w:r>
        <w:t>a</w:t>
      </w:r>
      <w:r>
        <w:rPr>
          <w:spacing w:val="-2"/>
        </w:rPr>
        <w:t>t</w:t>
      </w:r>
      <w:r>
        <w:rPr>
          <w:spacing w:val="1"/>
        </w:rPr>
        <w:t>i</w:t>
      </w:r>
      <w:r>
        <w:t>că</w:t>
      </w:r>
      <w:r>
        <w:rPr>
          <w:spacing w:val="-2"/>
        </w:rPr>
        <w:t xml:space="preserve"> </w:t>
      </w:r>
      <w:r>
        <w:t>f</w:t>
      </w:r>
      <w:r>
        <w:rPr>
          <w:spacing w:val="-3"/>
        </w:rPr>
        <w:t>o</w:t>
      </w:r>
      <w:r>
        <w:t>r</w:t>
      </w:r>
      <w:r>
        <w:rPr>
          <w:spacing w:val="-4"/>
        </w:rPr>
        <w:t>m</w:t>
      </w:r>
      <w:r>
        <w:t>a po</w:t>
      </w:r>
      <w:r>
        <w:rPr>
          <w:spacing w:val="1"/>
        </w:rPr>
        <w:t>li</w:t>
      </w:r>
      <w:r>
        <w:rPr>
          <w:spacing w:val="-3"/>
        </w:rPr>
        <w:t>a</w:t>
      </w:r>
      <w:r>
        <w:t>r</w:t>
      </w:r>
      <w:r>
        <w:rPr>
          <w:spacing w:val="-2"/>
        </w:rPr>
        <w:t>t</w:t>
      </w:r>
      <w:r>
        <w:rPr>
          <w:spacing w:val="1"/>
        </w:rPr>
        <w:t>i</w:t>
      </w:r>
      <w:r>
        <w:rPr>
          <w:spacing w:val="-3"/>
        </w:rPr>
        <w:t>c</w:t>
      </w:r>
      <w:r>
        <w:t>u</w:t>
      </w:r>
      <w:r>
        <w:rPr>
          <w:spacing w:val="1"/>
        </w:rPr>
        <w:t>l</w:t>
      </w:r>
      <w:r>
        <w:t>a</w:t>
      </w:r>
      <w:r>
        <w:rPr>
          <w:spacing w:val="-2"/>
        </w:rPr>
        <w:t>r</w:t>
      </w:r>
      <w:r>
        <w:t>ă c</w:t>
      </w:r>
      <w:r>
        <w:rPr>
          <w:spacing w:val="-3"/>
        </w:rPr>
        <w:t>a</w:t>
      </w:r>
      <w:r>
        <w:t>re</w:t>
      </w:r>
      <w:r>
        <w:rPr>
          <w:spacing w:val="-2"/>
        </w:rPr>
        <w:t xml:space="preserve"> </w:t>
      </w:r>
      <w:r>
        <w:t>a</w:t>
      </w:r>
      <w:r>
        <w:rPr>
          <w:spacing w:val="-3"/>
        </w:rPr>
        <w:t>v</w:t>
      </w:r>
      <w:r>
        <w:t xml:space="preserve">eau </w:t>
      </w:r>
      <w:r>
        <w:rPr>
          <w:spacing w:val="-3"/>
        </w:rPr>
        <w:t>v</w:t>
      </w:r>
      <w:r>
        <w:t>ârs</w:t>
      </w:r>
      <w:r>
        <w:rPr>
          <w:spacing w:val="-2"/>
        </w:rPr>
        <w:t>t</w:t>
      </w:r>
      <w:r>
        <w:t>a de</w:t>
      </w:r>
      <w:r>
        <w:rPr>
          <w:spacing w:val="-2"/>
        </w:rPr>
        <w:t xml:space="preserve"> </w:t>
      </w:r>
      <w:r>
        <w:t>2</w:t>
      </w:r>
      <w:r>
        <w:rPr>
          <w:spacing w:val="-3"/>
        </w:rPr>
        <w:t xml:space="preserve"> </w:t>
      </w:r>
      <w:r>
        <w:t>ani</w:t>
      </w:r>
      <w:r>
        <w:rPr>
          <w:spacing w:val="1"/>
        </w:rPr>
        <w:t xml:space="preserve"> </w:t>
      </w:r>
      <w:r>
        <w:rPr>
          <w:spacing w:val="-3"/>
        </w:rPr>
        <w:t>p</w:t>
      </w:r>
      <w:r>
        <w:t>ână</w:t>
      </w:r>
      <w:r>
        <w:rPr>
          <w:spacing w:val="-2"/>
        </w:rPr>
        <w:t xml:space="preserve"> </w:t>
      </w:r>
      <w:r>
        <w:rPr>
          <w:spacing w:val="1"/>
        </w:rPr>
        <w:t>l</w:t>
      </w:r>
      <w:r>
        <w:t xml:space="preserve">a </w:t>
      </w:r>
      <w:r>
        <w:rPr>
          <w:spacing w:val="-3"/>
        </w:rPr>
        <w:t>&lt;</w:t>
      </w:r>
      <w:r>
        <w:t>4 a</w:t>
      </w:r>
      <w:r>
        <w:rPr>
          <w:spacing w:val="-3"/>
        </w:rPr>
        <w:t>n</w:t>
      </w:r>
      <w:r>
        <w:rPr>
          <w:spacing w:val="1"/>
        </w:rPr>
        <w:t>i</w:t>
      </w:r>
      <w:r>
        <w:t>.</w:t>
      </w:r>
    </w:p>
    <w:p w14:paraId="789156F5" w14:textId="77777777" w:rsidR="00C04CAD" w:rsidRDefault="00C04CAD">
      <w:pPr>
        <w:tabs>
          <w:tab w:val="clear" w:pos="567"/>
        </w:tabs>
        <w:kinsoku w:val="0"/>
        <w:overflowPunct w:val="0"/>
        <w:autoSpaceDE w:val="0"/>
        <w:autoSpaceDN w:val="0"/>
        <w:adjustRightInd w:val="0"/>
        <w:spacing w:line="240" w:lineRule="auto"/>
      </w:pPr>
    </w:p>
    <w:p w14:paraId="7AC1DE6D"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w:t>
      </w:r>
      <w:r>
        <w:rPr>
          <w:spacing w:val="-3"/>
        </w:rPr>
        <w:t>o</w:t>
      </w:r>
      <w:r>
        <w:t>n</w:t>
      </w:r>
      <w:r>
        <w:rPr>
          <w:spacing w:val="-2"/>
        </w:rPr>
        <w:t>t</w:t>
      </w:r>
      <w:r>
        <w:t>ro</w:t>
      </w:r>
      <w:r>
        <w:rPr>
          <w:spacing w:val="-2"/>
        </w:rPr>
        <w:t>l</w:t>
      </w:r>
      <w:r>
        <w:t>a</w:t>
      </w:r>
      <w:r>
        <w:rPr>
          <w:spacing w:val="1"/>
        </w:rPr>
        <w:t>t</w:t>
      </w:r>
      <w:r>
        <w:t>e</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5"/>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t>,</w:t>
      </w:r>
      <w:r>
        <w:rPr>
          <w:spacing w:val="-3"/>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t>i</w:t>
      </w:r>
      <w:r>
        <w:rPr>
          <w:spacing w:val="1"/>
        </w:rPr>
        <w:t xml:space="preserve"> </w:t>
      </w:r>
      <w:r>
        <w:rPr>
          <w:spacing w:val="-3"/>
        </w:rPr>
        <w:t>c</w:t>
      </w:r>
      <w:r>
        <w:t>u boa</w:t>
      </w:r>
      <w:r>
        <w:rPr>
          <w:spacing w:val="-2"/>
        </w:rPr>
        <w:t>l</w:t>
      </w:r>
      <w:r>
        <w:t xml:space="preserve">ă </w:t>
      </w:r>
      <w:r>
        <w:rPr>
          <w:spacing w:val="-1"/>
        </w:rPr>
        <w:t>C</w:t>
      </w:r>
      <w:r>
        <w:t>ro</w:t>
      </w:r>
      <w:r>
        <w:rPr>
          <w:spacing w:val="-3"/>
        </w:rPr>
        <w:t>h</w:t>
      </w:r>
      <w:r>
        <w:t xml:space="preserve">n </w:t>
      </w:r>
      <w:r>
        <w:rPr>
          <w:spacing w:val="-2"/>
        </w:rPr>
        <w:t>ş</w:t>
      </w:r>
      <w:r>
        <w:t>i</w:t>
      </w:r>
      <w:r>
        <w:rPr>
          <w:spacing w:val="1"/>
        </w:rPr>
        <w:t xml:space="preserve"> </w:t>
      </w:r>
      <w:r>
        <w:t>c</w:t>
      </w:r>
      <w:r>
        <w:rPr>
          <w:spacing w:val="-3"/>
        </w:rPr>
        <w:t>o</w:t>
      </w:r>
      <w:r>
        <w:rPr>
          <w:spacing w:val="1"/>
        </w:rPr>
        <w:t>l</w:t>
      </w:r>
      <w:r>
        <w:rPr>
          <w:spacing w:val="-2"/>
        </w:rPr>
        <w:t>i</w:t>
      </w:r>
      <w:r>
        <w:rPr>
          <w:spacing w:val="1"/>
        </w:rPr>
        <w:t>t</w:t>
      </w:r>
      <w:r>
        <w:t xml:space="preserve">ă </w:t>
      </w:r>
      <w:r>
        <w:rPr>
          <w:spacing w:val="-3"/>
        </w:rPr>
        <w:t>u</w:t>
      </w:r>
      <w:r>
        <w:rPr>
          <w:spacing w:val="1"/>
        </w:rPr>
        <w:t>l</w:t>
      </w:r>
      <w:r>
        <w:t>c</w:t>
      </w:r>
      <w:r>
        <w:rPr>
          <w:spacing w:val="-3"/>
        </w:rPr>
        <w:t>e</w:t>
      </w:r>
      <w:r>
        <w:t>ra</w:t>
      </w:r>
      <w:r>
        <w:rPr>
          <w:spacing w:val="-2"/>
        </w:rPr>
        <w:t>t</w:t>
      </w:r>
      <w:r>
        <w:rPr>
          <w:spacing w:val="1"/>
        </w:rPr>
        <w:t>i</w:t>
      </w:r>
      <w:r>
        <w:rPr>
          <w:spacing w:val="-3"/>
        </w:rPr>
        <w:t>v</w:t>
      </w:r>
      <w:r>
        <w:t xml:space="preserve">ă, cu o </w:t>
      </w:r>
      <w:r>
        <w:rPr>
          <w:spacing w:val="-3"/>
        </w:rPr>
        <w:t>d</w:t>
      </w:r>
      <w:r>
        <w:t>ur</w:t>
      </w:r>
      <w:r>
        <w:rPr>
          <w:spacing w:val="-3"/>
        </w:rPr>
        <w:t>a</w:t>
      </w:r>
      <w:r>
        <w:rPr>
          <w:spacing w:val="1"/>
        </w:rPr>
        <w:t>t</w:t>
      </w:r>
      <w:r>
        <w:t>ă</w:t>
      </w:r>
      <w:r>
        <w:rPr>
          <w:spacing w:val="-2"/>
        </w:rPr>
        <w:t xml:space="preserve"> </w:t>
      </w:r>
      <w:r>
        <w:t>a per</w:t>
      </w:r>
      <w:r>
        <w:rPr>
          <w:spacing w:val="-2"/>
        </w:rPr>
        <w:t>i</w:t>
      </w:r>
      <w:r>
        <w:t>oad</w:t>
      </w:r>
      <w:r>
        <w:rPr>
          <w:spacing w:val="-3"/>
        </w:rPr>
        <w:t>e</w:t>
      </w:r>
      <w:r>
        <w:t>i</w:t>
      </w:r>
      <w:r>
        <w:rPr>
          <w:spacing w:val="1"/>
        </w:rPr>
        <w:t xml:space="preserve"> </w:t>
      </w:r>
      <w:r>
        <w:rPr>
          <w:spacing w:val="-3"/>
        </w:rPr>
        <w:t>d</w:t>
      </w:r>
      <w:r>
        <w:t>e co</w:t>
      </w:r>
      <w:r>
        <w:rPr>
          <w:spacing w:val="-3"/>
        </w:rPr>
        <w:t>n</w:t>
      </w:r>
      <w:r>
        <w:rPr>
          <w:spacing w:val="1"/>
        </w:rPr>
        <w:t>t</w:t>
      </w:r>
      <w:r>
        <w:t>r</w:t>
      </w:r>
      <w:r>
        <w:rPr>
          <w:spacing w:val="-3"/>
        </w:rPr>
        <w:t>o</w:t>
      </w:r>
      <w:r>
        <w:t>l</w:t>
      </w:r>
      <w:r>
        <w:rPr>
          <w:spacing w:val="1"/>
        </w:rPr>
        <w:t xml:space="preserve"> </w:t>
      </w:r>
      <w:r>
        <w:rPr>
          <w:spacing w:val="-3"/>
        </w:rPr>
        <w:t>v</w:t>
      </w:r>
      <w:r>
        <w:t>ar</w:t>
      </w:r>
      <w:r>
        <w:rPr>
          <w:spacing w:val="-2"/>
        </w:rPr>
        <w:t>i</w:t>
      </w:r>
      <w:r>
        <w:rPr>
          <w:spacing w:val="1"/>
        </w:rPr>
        <w:t>i</w:t>
      </w:r>
      <w:r>
        <w:t>nd</w:t>
      </w:r>
      <w:r>
        <w:rPr>
          <w:spacing w:val="-3"/>
        </w:rPr>
        <w:t xml:space="preserve"> </w:t>
      </w:r>
      <w:r>
        <w:rPr>
          <w:spacing w:val="1"/>
        </w:rPr>
        <w:t>î</w:t>
      </w:r>
      <w:r>
        <w:t>n</w:t>
      </w:r>
      <w:r>
        <w:rPr>
          <w:spacing w:val="-2"/>
        </w:rPr>
        <w:t>t</w:t>
      </w:r>
      <w:r>
        <w:t>re 4</w:t>
      </w:r>
      <w:r>
        <w:rPr>
          <w:spacing w:val="-3"/>
        </w:rPr>
        <w:t xml:space="preserve"> </w:t>
      </w:r>
      <w:r>
        <w:rPr>
          <w:spacing w:val="1"/>
        </w:rPr>
        <w:t>l</w:t>
      </w:r>
      <w:r>
        <w:t xml:space="preserve">a </w:t>
      </w:r>
      <w:r>
        <w:rPr>
          <w:spacing w:val="-3"/>
        </w:rPr>
        <w:t>5</w:t>
      </w:r>
      <w:r>
        <w:t>2 s</w:t>
      </w:r>
      <w:r>
        <w:rPr>
          <w:spacing w:val="-3"/>
        </w:rPr>
        <w:t>ă</w:t>
      </w:r>
      <w:r>
        <w:t>p</w:t>
      </w:r>
      <w:r>
        <w:rPr>
          <w:spacing w:val="1"/>
        </w:rPr>
        <w:t>t</w:t>
      </w:r>
      <w:r>
        <w:t>ă</w:t>
      </w:r>
      <w:r>
        <w:rPr>
          <w:spacing w:val="-4"/>
        </w:rPr>
        <w:t>m</w:t>
      </w:r>
      <w:r>
        <w:t>ân</w:t>
      </w:r>
      <w:r>
        <w:rPr>
          <w:spacing w:val="1"/>
        </w:rPr>
        <w:t>i</w:t>
      </w:r>
      <w:r>
        <w:t>,</w:t>
      </w:r>
      <w:r>
        <w:rPr>
          <w:spacing w:val="-3"/>
        </w:rPr>
        <w:t xml:space="preserve"> </w:t>
      </w:r>
      <w:r>
        <w:t>cr</w:t>
      </w:r>
      <w:r>
        <w:rPr>
          <w:spacing w:val="-3"/>
        </w:rPr>
        <w:t>e</w:t>
      </w:r>
      <w:r>
        <w:t>ş</w:t>
      </w:r>
      <w:r>
        <w:rPr>
          <w:spacing w:val="1"/>
        </w:rPr>
        <w:t>t</w:t>
      </w:r>
      <w:r>
        <w:rPr>
          <w:spacing w:val="-3"/>
        </w:rPr>
        <w:t>e</w:t>
      </w:r>
      <w:r>
        <w:t xml:space="preserve">rea </w:t>
      </w:r>
      <w:r>
        <w:rPr>
          <w:spacing w:val="-1"/>
        </w:rPr>
        <w:t>A</w:t>
      </w:r>
      <w:r>
        <w:rPr>
          <w:spacing w:val="-3"/>
        </w:rPr>
        <w:t>L</w:t>
      </w:r>
      <w:r>
        <w:t>T</w:t>
      </w:r>
      <w:r>
        <w:rPr>
          <w:spacing w:val="-1"/>
        </w:rPr>
        <w:t xml:space="preserve"> </w:t>
      </w:r>
      <w:r>
        <w:t>≥</w:t>
      </w:r>
      <w:r>
        <w:rPr>
          <w:spacing w:val="1"/>
        </w:rPr>
        <w:t xml:space="preserve"> </w:t>
      </w:r>
      <w:r>
        <w:t xml:space="preserve">3 x </w:t>
      </w:r>
      <w:r>
        <w:rPr>
          <w:spacing w:val="-1"/>
        </w:rPr>
        <w:t>LS</w:t>
      </w:r>
      <w:r>
        <w:t>N</w:t>
      </w:r>
      <w:r>
        <w:rPr>
          <w:spacing w:val="-4"/>
        </w:rPr>
        <w:t xml:space="preserve"> </w:t>
      </w:r>
      <w:r>
        <w:t>s</w:t>
      </w:r>
      <w:r>
        <w:rPr>
          <w:spacing w:val="-4"/>
        </w:rPr>
        <w:t>-</w:t>
      </w:r>
      <w:r>
        <w:t xml:space="preserve">a </w:t>
      </w:r>
      <w:r>
        <w:rPr>
          <w:spacing w:val="1"/>
        </w:rPr>
        <w:t>î</w:t>
      </w:r>
      <w:r>
        <w:t>n</w:t>
      </w:r>
      <w:r>
        <w:rPr>
          <w:spacing w:val="1"/>
        </w:rPr>
        <w:t>t</w:t>
      </w:r>
      <w:r>
        <w:rPr>
          <w:spacing w:val="-3"/>
        </w:rPr>
        <w:t>â</w:t>
      </w:r>
      <w:r>
        <w:rPr>
          <w:spacing w:val="1"/>
        </w:rPr>
        <w:t>l</w:t>
      </w:r>
      <w:r>
        <w:t>n</w:t>
      </w:r>
      <w:r>
        <w:rPr>
          <w:spacing w:val="-2"/>
        </w:rPr>
        <w:t>i</w:t>
      </w:r>
      <w:r>
        <w:t>t</w:t>
      </w:r>
      <w:r>
        <w:rPr>
          <w:spacing w:val="1"/>
        </w:rPr>
        <w:t xml:space="preserve"> </w:t>
      </w:r>
      <w:r>
        <w:rPr>
          <w:spacing w:val="-2"/>
        </w:rPr>
        <w:t>l</w:t>
      </w:r>
      <w:r>
        <w:t>a 0,</w:t>
      </w:r>
      <w:r>
        <w:rPr>
          <w:spacing w:val="-3"/>
        </w:rPr>
        <w:t>9</w:t>
      </w:r>
      <w:r>
        <w:t>% d</w:t>
      </w:r>
      <w:r>
        <w:rPr>
          <w:spacing w:val="1"/>
        </w:rPr>
        <w:t>i</w:t>
      </w:r>
      <w:r>
        <w:t>n</w:t>
      </w:r>
      <w:r>
        <w:rPr>
          <w:spacing w:val="-2"/>
        </w:rPr>
        <w:t>t</w:t>
      </w:r>
      <w:r>
        <w:t xml:space="preserve">re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t>a</w:t>
      </w:r>
      <w:r>
        <w:rPr>
          <w:spacing w:val="-2"/>
        </w:rPr>
        <w:t>ţ</w:t>
      </w:r>
      <w:r>
        <w:t>i</w:t>
      </w:r>
      <w:r>
        <w:rPr>
          <w:spacing w:val="1"/>
        </w:rPr>
        <w:t xml:space="preserve"> </w:t>
      </w:r>
      <w:r>
        <w:t>cu</w:t>
      </w:r>
      <w:r>
        <w:rPr>
          <w:spacing w:val="-3"/>
        </w:rPr>
        <w:t xml:space="preserve"> </w:t>
      </w:r>
      <w:r>
        <w:rPr>
          <w:rFonts w:eastAsia="MS Mincho"/>
          <w:spacing w:val="-1"/>
          <w:szCs w:val="22"/>
          <w:lang w:eastAsia="en-US" w:bidi="ar-SA"/>
        </w:rPr>
        <w:t>adalimumab</w:t>
      </w:r>
      <w:r>
        <w:t xml:space="preserve"> şi</w:t>
      </w:r>
      <w:r>
        <w:rPr>
          <w:spacing w:val="1"/>
        </w:rPr>
        <w:t xml:space="preserve"> </w:t>
      </w:r>
      <w:r>
        <w:t>0</w:t>
      </w:r>
      <w:r>
        <w:rPr>
          <w:spacing w:val="-3"/>
        </w:rPr>
        <w:t>,</w:t>
      </w:r>
      <w:r>
        <w:t>9%</w:t>
      </w:r>
      <w:r>
        <w:rPr>
          <w:spacing w:val="-2"/>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d</w:t>
      </w:r>
      <w:r>
        <w:rPr>
          <w:spacing w:val="1"/>
        </w:rPr>
        <w:t>i</w:t>
      </w:r>
      <w:r>
        <w:t xml:space="preserve">n </w:t>
      </w:r>
      <w:r>
        <w:rPr>
          <w:spacing w:val="-3"/>
        </w:rPr>
        <w:t>g</w:t>
      </w:r>
      <w:r>
        <w:t>rupul</w:t>
      </w:r>
      <w:r>
        <w:rPr>
          <w:spacing w:val="-2"/>
        </w:rPr>
        <w:t xml:space="preserve"> </w:t>
      </w:r>
      <w:r>
        <w:t>co</w:t>
      </w:r>
      <w:r>
        <w:rPr>
          <w:spacing w:val="-3"/>
        </w:rPr>
        <w:t>n</w:t>
      </w:r>
      <w:r>
        <w:rPr>
          <w:spacing w:val="1"/>
        </w:rPr>
        <w:t>t</w:t>
      </w:r>
      <w:r>
        <w:t>r</w:t>
      </w:r>
      <w:r>
        <w:rPr>
          <w:spacing w:val="-3"/>
        </w:rPr>
        <w:t>o</w:t>
      </w:r>
      <w:r>
        <w:rPr>
          <w:spacing w:val="1"/>
        </w:rPr>
        <w:t>l</w:t>
      </w:r>
      <w:r>
        <w:t>.</w:t>
      </w:r>
    </w:p>
    <w:p w14:paraId="7A7EEB50" w14:textId="77777777" w:rsidR="00C04CAD" w:rsidRDefault="00C04CAD">
      <w:pPr>
        <w:tabs>
          <w:tab w:val="clear" w:pos="567"/>
        </w:tabs>
        <w:kinsoku w:val="0"/>
        <w:overflowPunct w:val="0"/>
        <w:autoSpaceDE w:val="0"/>
        <w:autoSpaceDN w:val="0"/>
        <w:adjustRightInd w:val="0"/>
        <w:spacing w:line="240" w:lineRule="auto"/>
      </w:pPr>
    </w:p>
    <w:p w14:paraId="721655AB"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w:t>
      </w:r>
      <w:r>
        <w:rPr>
          <w:spacing w:val="-3"/>
        </w:rPr>
        <w:t>o</w:t>
      </w:r>
      <w:r>
        <w:t>n</w:t>
      </w:r>
      <w:r>
        <w:rPr>
          <w:spacing w:val="-2"/>
        </w:rPr>
        <w:t>t</w:t>
      </w:r>
      <w:r>
        <w:t>ro</w:t>
      </w:r>
      <w:r>
        <w:rPr>
          <w:spacing w:val="-2"/>
        </w:rPr>
        <w:t>l</w:t>
      </w:r>
      <w:r>
        <w:t>a</w:t>
      </w:r>
      <w:r>
        <w:rPr>
          <w:spacing w:val="1"/>
        </w:rPr>
        <w:t>t</w:t>
      </w:r>
      <w:r>
        <w:t>e</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5"/>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t>,</w:t>
      </w:r>
      <w:r>
        <w:rPr>
          <w:spacing w:val="-3"/>
        </w:rPr>
        <w:t xml:space="preserve"> </w:t>
      </w:r>
      <w:r>
        <w:t>ef</w:t>
      </w:r>
      <w:r>
        <w:rPr>
          <w:spacing w:val="-3"/>
        </w:rPr>
        <w:t>e</w:t>
      </w:r>
      <w:r>
        <w:t>c</w:t>
      </w:r>
      <w:r>
        <w:rPr>
          <w:spacing w:val="1"/>
        </w:rPr>
        <w:t>t</w:t>
      </w:r>
      <w:r>
        <w:rPr>
          <w:spacing w:val="-3"/>
        </w:rPr>
        <w:t>u</w:t>
      </w:r>
      <w:r>
        <w:t>a</w:t>
      </w:r>
      <w:r>
        <w:rPr>
          <w:spacing w:val="-2"/>
        </w:rPr>
        <w:t>t</w:t>
      </w:r>
      <w:r>
        <w:t xml:space="preserve">e </w:t>
      </w:r>
      <w:r>
        <w:rPr>
          <w:spacing w:val="1"/>
        </w:rPr>
        <w:t>l</w:t>
      </w:r>
      <w:r>
        <w:t>a</w:t>
      </w:r>
      <w:r>
        <w:rPr>
          <w:spacing w:val="-5"/>
        </w:rPr>
        <w:t xml:space="preserve"> </w:t>
      </w:r>
      <w:r>
        <w:t>pac</w:t>
      </w:r>
      <w:r>
        <w:rPr>
          <w:spacing w:val="-2"/>
        </w:rPr>
        <w:t>i</w:t>
      </w:r>
      <w:r>
        <w:t>en</w:t>
      </w:r>
      <w:r>
        <w:rPr>
          <w:spacing w:val="-2"/>
        </w:rPr>
        <w:t>ţ</w:t>
      </w:r>
      <w:r>
        <w:t>i</w:t>
      </w:r>
      <w:r>
        <w:rPr>
          <w:spacing w:val="1"/>
        </w:rPr>
        <w:t xml:space="preserve"> </w:t>
      </w:r>
      <w:r>
        <w:t>c</w:t>
      </w:r>
      <w:r>
        <w:rPr>
          <w:spacing w:val="-3"/>
        </w:rPr>
        <w:t>o</w:t>
      </w:r>
      <w:r>
        <w:t>p</w:t>
      </w:r>
      <w:r>
        <w:rPr>
          <w:spacing w:val="-2"/>
        </w:rPr>
        <w:t>i</w:t>
      </w:r>
      <w:r>
        <w:t>i</w:t>
      </w:r>
      <w:r>
        <w:rPr>
          <w:rFonts w:eastAsia="MS Mincho"/>
          <w:spacing w:val="1"/>
          <w:szCs w:val="22"/>
          <w:lang w:eastAsia="en-US" w:bidi="ar-SA"/>
        </w:rPr>
        <w:t xml:space="preserve"> </w:t>
      </w:r>
      <w:r>
        <w:rPr>
          <w:rFonts w:eastAsia="MS Mincho"/>
          <w:szCs w:val="22"/>
          <w:lang w:eastAsia="en-US" w:bidi="ar-SA"/>
        </w:rPr>
        <w:t>şi adolescen</w:t>
      </w:r>
      <w:r>
        <w:rPr>
          <w:rFonts w:eastAsia="MS Mincho"/>
          <w:spacing w:val="1"/>
          <w:szCs w:val="22"/>
          <w:lang w:eastAsia="en-US" w:bidi="ar-SA"/>
        </w:rPr>
        <w:t>ţ</w:t>
      </w:r>
      <w:r>
        <w:rPr>
          <w:rFonts w:eastAsia="MS Mincho"/>
          <w:spacing w:val="-2"/>
          <w:szCs w:val="22"/>
          <w:lang w:eastAsia="en-US" w:bidi="ar-SA"/>
        </w:rPr>
        <w:t>i</w:t>
      </w:r>
      <w:r>
        <w:rPr>
          <w:spacing w:val="-2"/>
        </w:rPr>
        <w:t xml:space="preserve"> </w:t>
      </w:r>
      <w:r>
        <w:t xml:space="preserve">cu </w:t>
      </w:r>
      <w:r>
        <w:rPr>
          <w:spacing w:val="-3"/>
        </w:rPr>
        <w:t>b</w:t>
      </w:r>
      <w:r>
        <w:t>oa</w:t>
      </w:r>
      <w:r>
        <w:rPr>
          <w:spacing w:val="-2"/>
        </w:rPr>
        <w:t>l</w:t>
      </w:r>
      <w:r>
        <w:t xml:space="preserve">ă </w:t>
      </w:r>
      <w:r>
        <w:rPr>
          <w:spacing w:val="-1"/>
        </w:rPr>
        <w:t>C</w:t>
      </w:r>
      <w:r>
        <w:t>r</w:t>
      </w:r>
      <w:r>
        <w:rPr>
          <w:spacing w:val="-3"/>
        </w:rPr>
        <w:t>o</w:t>
      </w:r>
      <w:r>
        <w:t>hn, s</w:t>
      </w:r>
      <w:r>
        <w:rPr>
          <w:spacing w:val="-2"/>
        </w:rPr>
        <w:t>t</w:t>
      </w:r>
      <w:r>
        <w:t>ud</w:t>
      </w:r>
      <w:r>
        <w:rPr>
          <w:spacing w:val="-2"/>
        </w:rPr>
        <w:t>i</w:t>
      </w:r>
      <w:r>
        <w:t>i</w:t>
      </w:r>
      <w:r>
        <w:rPr>
          <w:spacing w:val="1"/>
        </w:rPr>
        <w:t xml:space="preserve"> </w:t>
      </w:r>
      <w:r>
        <w:t>c</w:t>
      </w:r>
      <w:r>
        <w:rPr>
          <w:spacing w:val="-3"/>
        </w:rPr>
        <w:t>a</w:t>
      </w:r>
      <w:r>
        <w:t>re</w:t>
      </w:r>
      <w:r>
        <w:rPr>
          <w:spacing w:val="-2"/>
        </w:rPr>
        <w:t xml:space="preserve"> </w:t>
      </w:r>
      <w:r>
        <w:t>au e</w:t>
      </w:r>
      <w:r>
        <w:rPr>
          <w:spacing w:val="-3"/>
        </w:rPr>
        <w:t>v</w:t>
      </w:r>
      <w:r>
        <w:t>a</w:t>
      </w:r>
      <w:r>
        <w:rPr>
          <w:spacing w:val="1"/>
        </w:rPr>
        <w:t>l</w:t>
      </w:r>
      <w:r>
        <w:t>uat</w:t>
      </w:r>
      <w:r>
        <w:rPr>
          <w:spacing w:val="-2"/>
        </w:rPr>
        <w:t xml:space="preserve"> </w:t>
      </w:r>
      <w:r>
        <w:t>e</w:t>
      </w:r>
      <w:r>
        <w:rPr>
          <w:spacing w:val="-2"/>
        </w:rPr>
        <w:t>f</w:t>
      </w:r>
      <w:r>
        <w:rPr>
          <w:spacing w:val="1"/>
        </w:rPr>
        <w:t>i</w:t>
      </w:r>
      <w:r>
        <w:t>c</w:t>
      </w:r>
      <w:r>
        <w:rPr>
          <w:spacing w:val="-3"/>
        </w:rPr>
        <w:t>a</w:t>
      </w:r>
      <w:r>
        <w:t>c</w:t>
      </w:r>
      <w:r>
        <w:rPr>
          <w:spacing w:val="-2"/>
        </w:rPr>
        <w:t>i</w:t>
      </w:r>
      <w:r>
        <w:rPr>
          <w:spacing w:val="1"/>
        </w:rPr>
        <w:t>t</w:t>
      </w:r>
      <w:r>
        <w:rPr>
          <w:spacing w:val="-3"/>
        </w:rPr>
        <w:t>a</w:t>
      </w:r>
      <w:r>
        <w:rPr>
          <w:spacing w:val="1"/>
        </w:rPr>
        <w:t>t</w:t>
      </w:r>
      <w:r>
        <w:t>ea</w:t>
      </w:r>
      <w:r>
        <w:rPr>
          <w:spacing w:val="-2"/>
        </w:rPr>
        <w:t xml:space="preserve"> </w:t>
      </w:r>
      <w:r>
        <w:t>şi</w:t>
      </w:r>
      <w:r>
        <w:rPr>
          <w:spacing w:val="-2"/>
        </w:rPr>
        <w:t xml:space="preserve"> </w:t>
      </w:r>
      <w:r>
        <w:t>s</w:t>
      </w:r>
      <w:r>
        <w:rPr>
          <w:spacing w:val="1"/>
        </w:rPr>
        <w:t>i</w:t>
      </w:r>
      <w:r>
        <w:rPr>
          <w:spacing w:val="-3"/>
        </w:rPr>
        <w:t>g</w:t>
      </w:r>
      <w:r>
        <w:t>u</w:t>
      </w:r>
      <w:r>
        <w:rPr>
          <w:spacing w:val="-2"/>
        </w:rPr>
        <w:t>r</w:t>
      </w:r>
      <w:r>
        <w:t>an</w:t>
      </w:r>
      <w:r>
        <w:rPr>
          <w:spacing w:val="1"/>
        </w:rPr>
        <w:t>ţ</w:t>
      </w:r>
      <w:r>
        <w:t>a</w:t>
      </w:r>
      <w:r>
        <w:rPr>
          <w:spacing w:val="-2"/>
        </w:rPr>
        <w:t xml:space="preserve"> </w:t>
      </w:r>
      <w:r>
        <w:t>a do</w:t>
      </w:r>
      <w:r>
        <w:rPr>
          <w:spacing w:val="-3"/>
        </w:rPr>
        <w:t>u</w:t>
      </w:r>
      <w:r>
        <w:t>ă sc</w:t>
      </w:r>
      <w:r>
        <w:rPr>
          <w:spacing w:val="-3"/>
        </w:rPr>
        <w:t>h</w:t>
      </w:r>
      <w:r>
        <w:t>e</w:t>
      </w:r>
      <w:r>
        <w:rPr>
          <w:spacing w:val="-4"/>
        </w:rPr>
        <w:t>m</w:t>
      </w:r>
      <w:r>
        <w:t xml:space="preserve">e de </w:t>
      </w:r>
      <w:r>
        <w:rPr>
          <w:spacing w:val="1"/>
        </w:rPr>
        <w:t>t</w:t>
      </w:r>
      <w:r>
        <w:rPr>
          <w:spacing w:val="-2"/>
        </w:rPr>
        <w:t>r</w:t>
      </w:r>
      <w:r>
        <w:t>a</w:t>
      </w:r>
      <w:r>
        <w:rPr>
          <w:spacing w:val="-2"/>
        </w:rPr>
        <w:t>t</w:t>
      </w:r>
      <w:r>
        <w:rPr>
          <w:spacing w:val="-3"/>
        </w:rPr>
        <w:t>a</w:t>
      </w:r>
      <w:r>
        <w:rPr>
          <w:spacing w:val="-4"/>
        </w:rPr>
        <w:t>m</w:t>
      </w:r>
      <w:r>
        <w:t>ent</w:t>
      </w:r>
      <w:r>
        <w:rPr>
          <w:spacing w:val="1"/>
        </w:rPr>
        <w:t xml:space="preserve"> </w:t>
      </w:r>
      <w:r>
        <w:t xml:space="preserve">de </w:t>
      </w:r>
      <w:r>
        <w:rPr>
          <w:spacing w:val="1"/>
        </w:rPr>
        <w:t>î</w:t>
      </w:r>
      <w:r>
        <w:rPr>
          <w:spacing w:val="-3"/>
        </w:rPr>
        <w:t>n</w:t>
      </w:r>
      <w:r>
        <w:rPr>
          <w:spacing w:val="1"/>
        </w:rPr>
        <w:t>t</w:t>
      </w:r>
      <w:r>
        <w:t>r</w:t>
      </w:r>
      <w:r>
        <w:rPr>
          <w:spacing w:val="-3"/>
        </w:rPr>
        <w:t>e</w:t>
      </w:r>
      <w:r>
        <w:rPr>
          <w:spacing w:val="1"/>
        </w:rPr>
        <w:t>ţ</w:t>
      </w:r>
      <w:r>
        <w:rPr>
          <w:spacing w:val="-2"/>
        </w:rPr>
        <w:t>i</w:t>
      </w:r>
      <w:r>
        <w:t>ne</w:t>
      </w:r>
      <w:r>
        <w:rPr>
          <w:spacing w:val="-2"/>
        </w:rPr>
        <w:t>r</w:t>
      </w:r>
      <w:r>
        <w:t xml:space="preserve">e </w:t>
      </w:r>
      <w:r>
        <w:rPr>
          <w:spacing w:val="-3"/>
        </w:rPr>
        <w:t>a</w:t>
      </w:r>
      <w:r>
        <w:rPr>
          <w:spacing w:val="1"/>
        </w:rPr>
        <w:t>j</w:t>
      </w:r>
      <w:r>
        <w:t>u</w:t>
      </w:r>
      <w:r>
        <w:rPr>
          <w:spacing w:val="-2"/>
        </w:rPr>
        <w:t>s</w:t>
      </w:r>
      <w:r>
        <w:rPr>
          <w:spacing w:val="1"/>
        </w:rPr>
        <w:t>t</w:t>
      </w:r>
      <w:r>
        <w:t>a</w:t>
      </w:r>
      <w:r>
        <w:rPr>
          <w:spacing w:val="-2"/>
        </w:rPr>
        <w:t>t</w:t>
      </w:r>
      <w:r>
        <w:t>e</w:t>
      </w:r>
      <w:r>
        <w:rPr>
          <w:spacing w:val="-2"/>
        </w:rPr>
        <w:t xml:space="preserve"> </w:t>
      </w:r>
      <w:r>
        <w:rPr>
          <w:spacing w:val="1"/>
        </w:rPr>
        <w:t>î</w:t>
      </w:r>
      <w:r>
        <w:t>n f</w:t>
      </w:r>
      <w:r>
        <w:rPr>
          <w:spacing w:val="-3"/>
        </w:rPr>
        <w:t>u</w:t>
      </w:r>
      <w:r>
        <w:t>nc</w:t>
      </w:r>
      <w:r>
        <w:rPr>
          <w:spacing w:val="-2"/>
        </w:rPr>
        <w:t>ţ</w:t>
      </w:r>
      <w:r>
        <w:rPr>
          <w:spacing w:val="1"/>
        </w:rPr>
        <w:t>i</w:t>
      </w:r>
      <w:r>
        <w:t xml:space="preserve">e </w:t>
      </w:r>
      <w:r>
        <w:rPr>
          <w:spacing w:val="-3"/>
        </w:rPr>
        <w:t>d</w:t>
      </w:r>
      <w:r>
        <w:t xml:space="preserve">e </w:t>
      </w:r>
      <w:r>
        <w:rPr>
          <w:spacing w:val="-3"/>
        </w:rPr>
        <w:t>g</w:t>
      </w:r>
      <w:r>
        <w:t>reu</w:t>
      </w:r>
      <w:r>
        <w:rPr>
          <w:spacing w:val="1"/>
        </w:rPr>
        <w:t>t</w:t>
      </w:r>
      <w:r>
        <w:t>a</w:t>
      </w:r>
      <w:r>
        <w:rPr>
          <w:spacing w:val="-2"/>
        </w:rPr>
        <w:t>t</w:t>
      </w:r>
      <w:r>
        <w:t>e c</w:t>
      </w:r>
      <w:r>
        <w:rPr>
          <w:spacing w:val="-3"/>
        </w:rPr>
        <w:t>a</w:t>
      </w:r>
      <w:r>
        <w:t>re</w:t>
      </w:r>
      <w:r>
        <w:rPr>
          <w:spacing w:val="-2"/>
        </w:rPr>
        <w:t xml:space="preserve"> </w:t>
      </w:r>
      <w:r>
        <w:t xml:space="preserve">au </w:t>
      </w:r>
      <w:r>
        <w:rPr>
          <w:spacing w:val="-3"/>
        </w:rPr>
        <w:t>u</w:t>
      </w:r>
      <w:r>
        <w:t>r</w:t>
      </w:r>
      <w:r>
        <w:rPr>
          <w:spacing w:val="-4"/>
        </w:rPr>
        <w:t>m</w:t>
      </w:r>
      <w:r>
        <w:t>at</w:t>
      </w:r>
      <w:r>
        <w:rPr>
          <w:spacing w:val="1"/>
        </w:rPr>
        <w:t xml:space="preserve"> t</w:t>
      </w:r>
      <w:r>
        <w:t>r</w:t>
      </w:r>
      <w:r>
        <w:rPr>
          <w:spacing w:val="-3"/>
        </w:rPr>
        <w:t>a</w:t>
      </w:r>
      <w:r>
        <w:rPr>
          <w:spacing w:val="1"/>
        </w:rPr>
        <w:t>t</w:t>
      </w:r>
      <w:r>
        <w:rPr>
          <w:spacing w:val="-3"/>
        </w:rPr>
        <w:t>a</w:t>
      </w:r>
      <w:r>
        <w:rPr>
          <w:spacing w:val="-4"/>
        </w:rPr>
        <w:t>m</w:t>
      </w:r>
      <w:r>
        <w:t>en</w:t>
      </w:r>
      <w:r>
        <w:rPr>
          <w:spacing w:val="1"/>
        </w:rPr>
        <w:t>t</w:t>
      </w:r>
      <w:r>
        <w:t>u</w:t>
      </w:r>
      <w:r>
        <w:rPr>
          <w:spacing w:val="1"/>
        </w:rPr>
        <w:t>l</w:t>
      </w:r>
      <w:r>
        <w:t>ui</w:t>
      </w:r>
      <w:r>
        <w:rPr>
          <w:spacing w:val="1"/>
        </w:rPr>
        <w:t xml:space="preserve"> </w:t>
      </w:r>
      <w:r>
        <w:rPr>
          <w:spacing w:val="-3"/>
        </w:rPr>
        <w:t>d</w:t>
      </w:r>
      <w:r>
        <w:t xml:space="preserve">e </w:t>
      </w:r>
      <w:r>
        <w:rPr>
          <w:spacing w:val="1"/>
        </w:rPr>
        <w:t>i</w:t>
      </w:r>
      <w:r>
        <w:rPr>
          <w:spacing w:val="-3"/>
        </w:rPr>
        <w:t>n</w:t>
      </w:r>
      <w:r>
        <w:t>du</w:t>
      </w:r>
      <w:r>
        <w:rPr>
          <w:spacing w:val="-3"/>
        </w:rPr>
        <w:t>c</w:t>
      </w:r>
      <w:r>
        <w:rPr>
          <w:spacing w:val="1"/>
        </w:rPr>
        <w:t>ţi</w:t>
      </w:r>
      <w:r>
        <w:t>e</w:t>
      </w:r>
      <w:r>
        <w:rPr>
          <w:spacing w:val="-2"/>
        </w:rPr>
        <w:t xml:space="preserve"> </w:t>
      </w:r>
      <w:r>
        <w:rPr>
          <w:spacing w:val="-3"/>
        </w:rPr>
        <w:t>a</w:t>
      </w:r>
      <w:r>
        <w:rPr>
          <w:spacing w:val="1"/>
        </w:rPr>
        <w:t>j</w:t>
      </w:r>
      <w:r>
        <w:t>us</w:t>
      </w:r>
      <w:r>
        <w:rPr>
          <w:spacing w:val="-2"/>
        </w:rPr>
        <w:t>t</w:t>
      </w:r>
      <w:r>
        <w:t>at</w:t>
      </w:r>
      <w:r>
        <w:rPr>
          <w:spacing w:val="-2"/>
        </w:rPr>
        <w:t xml:space="preserve"> </w:t>
      </w:r>
      <w:r>
        <w:rPr>
          <w:spacing w:val="1"/>
        </w:rPr>
        <w:t>î</w:t>
      </w:r>
      <w:r>
        <w:t>n f</w:t>
      </w:r>
      <w:r>
        <w:rPr>
          <w:spacing w:val="-3"/>
        </w:rPr>
        <w:t>u</w:t>
      </w:r>
      <w:r>
        <w:t>nc</w:t>
      </w:r>
      <w:r>
        <w:rPr>
          <w:spacing w:val="-2"/>
        </w:rPr>
        <w:t>ţ</w:t>
      </w:r>
      <w:r>
        <w:rPr>
          <w:spacing w:val="1"/>
        </w:rPr>
        <w:t>i</w:t>
      </w:r>
      <w:r>
        <w:t>e</w:t>
      </w:r>
      <w:r>
        <w:rPr>
          <w:spacing w:val="-2"/>
        </w:rPr>
        <w:t xml:space="preserve"> </w:t>
      </w:r>
      <w:r>
        <w:t xml:space="preserve">de </w:t>
      </w:r>
      <w:r>
        <w:rPr>
          <w:spacing w:val="-3"/>
        </w:rPr>
        <w:t>g</w:t>
      </w:r>
      <w:r>
        <w:t>re</w:t>
      </w:r>
      <w:r>
        <w:rPr>
          <w:spacing w:val="-3"/>
        </w:rPr>
        <w:t>u</w:t>
      </w:r>
      <w:r>
        <w:rPr>
          <w:spacing w:val="1"/>
        </w:rPr>
        <w:t>t</w:t>
      </w:r>
      <w:r>
        <w:t>a</w:t>
      </w:r>
      <w:r>
        <w:rPr>
          <w:spacing w:val="-2"/>
        </w:rPr>
        <w:t>t</w:t>
      </w:r>
      <w:r>
        <w:t>e, pe</w:t>
      </w:r>
      <w:r>
        <w:rPr>
          <w:spacing w:val="-2"/>
        </w:rPr>
        <w:t xml:space="preserve"> </w:t>
      </w:r>
      <w:r>
        <w:t>o</w:t>
      </w:r>
      <w:r>
        <w:rPr>
          <w:spacing w:val="-3"/>
        </w:rPr>
        <w:t xml:space="preserve"> </w:t>
      </w:r>
      <w:r>
        <w:t>per</w:t>
      </w:r>
      <w:r>
        <w:rPr>
          <w:spacing w:val="-2"/>
        </w:rPr>
        <w:t>i</w:t>
      </w:r>
      <w:r>
        <w:t>oadă</w:t>
      </w:r>
      <w:r>
        <w:rPr>
          <w:spacing w:val="-2"/>
        </w:rPr>
        <w:t xml:space="preserve"> </w:t>
      </w:r>
      <w:r>
        <w:t xml:space="preserve">de </w:t>
      </w:r>
      <w:r>
        <w:rPr>
          <w:spacing w:val="-3"/>
        </w:rPr>
        <w:t>p</w:t>
      </w:r>
      <w:r>
        <w:t>ână</w:t>
      </w:r>
      <w:r>
        <w:rPr>
          <w:spacing w:val="-2"/>
        </w:rPr>
        <w:t xml:space="preserve"> </w:t>
      </w:r>
      <w:r>
        <w:rPr>
          <w:spacing w:val="1"/>
        </w:rPr>
        <w:t>l</w:t>
      </w:r>
      <w:r>
        <w:t>a 52 să</w:t>
      </w:r>
      <w:r>
        <w:rPr>
          <w:spacing w:val="-3"/>
        </w:rPr>
        <w:t>p</w:t>
      </w:r>
      <w:r>
        <w:rPr>
          <w:spacing w:val="1"/>
        </w:rPr>
        <w:t>t</w:t>
      </w:r>
      <w:r>
        <w:t>ă</w:t>
      </w:r>
      <w:r>
        <w:rPr>
          <w:spacing w:val="-4"/>
        </w:rPr>
        <w:t>m</w:t>
      </w:r>
      <w:r>
        <w:t>ân</w:t>
      </w:r>
      <w:r>
        <w:rPr>
          <w:spacing w:val="1"/>
        </w:rPr>
        <w:t>i</w:t>
      </w:r>
      <w:r>
        <w:t>, s</w:t>
      </w:r>
      <w:r>
        <w:rPr>
          <w:spacing w:val="-4"/>
        </w:rPr>
        <w:t>-</w:t>
      </w:r>
      <w:r>
        <w:t>a obs</w:t>
      </w:r>
      <w:r>
        <w:rPr>
          <w:spacing w:val="-3"/>
        </w:rPr>
        <w:t>e</w:t>
      </w:r>
      <w:r>
        <w:t>r</w:t>
      </w:r>
      <w:r>
        <w:rPr>
          <w:spacing w:val="-3"/>
        </w:rPr>
        <w:t>v</w:t>
      </w:r>
      <w:r>
        <w:t>at</w:t>
      </w:r>
      <w:r>
        <w:rPr>
          <w:spacing w:val="-2"/>
        </w:rPr>
        <w:t xml:space="preserve"> </w:t>
      </w:r>
      <w:r>
        <w:t>cre</w:t>
      </w:r>
      <w:r>
        <w:rPr>
          <w:spacing w:val="-2"/>
        </w:rPr>
        <w:t>ş</w:t>
      </w:r>
      <w:r>
        <w:rPr>
          <w:spacing w:val="1"/>
        </w:rPr>
        <w:t>t</w:t>
      </w:r>
      <w:r>
        <w:rPr>
          <w:spacing w:val="-3"/>
        </w:rPr>
        <w:t>e</w:t>
      </w:r>
      <w:r>
        <w:t xml:space="preserve">rea </w:t>
      </w:r>
      <w:r>
        <w:rPr>
          <w:rFonts w:eastAsia="MS Mincho"/>
          <w:spacing w:val="-1"/>
          <w:szCs w:val="22"/>
          <w:lang w:eastAsia="en-US" w:bidi="ar-SA"/>
        </w:rPr>
        <w:t xml:space="preserve">ALT </w:t>
      </w:r>
      <w:r>
        <w:t>≥</w:t>
      </w:r>
      <w:r>
        <w:rPr>
          <w:spacing w:val="1"/>
        </w:rPr>
        <w:t xml:space="preserve"> </w:t>
      </w:r>
      <w:r>
        <w:t>3 x</w:t>
      </w:r>
      <w:r>
        <w:rPr>
          <w:spacing w:val="-3"/>
        </w:rPr>
        <w:t xml:space="preserve"> </w:t>
      </w:r>
      <w:r>
        <w:rPr>
          <w:spacing w:val="-1"/>
        </w:rPr>
        <w:t>L</w:t>
      </w:r>
      <w:r>
        <w:t>S</w:t>
      </w:r>
      <w:r>
        <w:rPr>
          <w:spacing w:val="-2"/>
        </w:rPr>
        <w:t>N</w:t>
      </w:r>
      <w:r>
        <w:rPr>
          <w:spacing w:val="-1"/>
        </w:rPr>
        <w:t xml:space="preserve"> </w:t>
      </w:r>
      <w:r>
        <w:rPr>
          <w:spacing w:val="1"/>
        </w:rPr>
        <w:t>l</w:t>
      </w:r>
      <w:r>
        <w:t>a</w:t>
      </w:r>
      <w:r>
        <w:rPr>
          <w:spacing w:val="-2"/>
        </w:rPr>
        <w:t xml:space="preserve"> </w:t>
      </w:r>
      <w:r>
        <w:t>2,6%</w:t>
      </w:r>
      <w:r>
        <w:rPr>
          <w:spacing w:val="-2"/>
        </w:rPr>
        <w:t xml:space="preserve"> </w:t>
      </w:r>
      <w:r>
        <w:t>(5</w:t>
      </w:r>
      <w:r>
        <w:rPr>
          <w:spacing w:val="1"/>
        </w:rPr>
        <w:t>/</w:t>
      </w:r>
      <w:r>
        <w:rPr>
          <w:spacing w:val="-3"/>
        </w:rPr>
        <w:t>1</w:t>
      </w:r>
      <w:r>
        <w:t>92)</w:t>
      </w:r>
      <w:r>
        <w:rPr>
          <w:spacing w:val="1"/>
        </w:rPr>
        <w:t xml:space="preserve"> </w:t>
      </w:r>
      <w:r>
        <w:rPr>
          <w:spacing w:val="-3"/>
        </w:rPr>
        <w:t>d</w:t>
      </w:r>
      <w:r>
        <w:rPr>
          <w:spacing w:val="1"/>
        </w:rPr>
        <w:t>i</w:t>
      </w:r>
      <w:r>
        <w:rPr>
          <w:spacing w:val="-3"/>
        </w:rPr>
        <w:t>n</w:t>
      </w:r>
      <w:r>
        <w:rPr>
          <w:spacing w:val="1"/>
        </w:rPr>
        <w:t>t</w:t>
      </w:r>
      <w:r>
        <w:rPr>
          <w:spacing w:val="-2"/>
        </w:rPr>
        <w:t>r</w:t>
      </w:r>
      <w:r>
        <w:t xml:space="preserve">e </w:t>
      </w:r>
      <w:r>
        <w:rPr>
          <w:spacing w:val="1"/>
        </w:rPr>
        <w:t>t</w:t>
      </w:r>
      <w:r>
        <w:rPr>
          <w:spacing w:val="-3"/>
        </w:rPr>
        <w:t>o</w:t>
      </w:r>
      <w:r>
        <w:rPr>
          <w:spacing w:val="1"/>
        </w:rPr>
        <w:t>ţ</w:t>
      </w:r>
      <w:r>
        <w:t>i</w:t>
      </w:r>
      <w:r>
        <w:rPr>
          <w:spacing w:val="-2"/>
        </w:rPr>
        <w:t xml:space="preserve"> </w:t>
      </w:r>
      <w:r>
        <w:t>pa</w:t>
      </w:r>
      <w:r>
        <w:rPr>
          <w:spacing w:val="-3"/>
        </w:rPr>
        <w:t>c</w:t>
      </w:r>
      <w:r>
        <w:rPr>
          <w:spacing w:val="1"/>
        </w:rPr>
        <w:t>i</w:t>
      </w:r>
      <w:r>
        <w:t>e</w:t>
      </w:r>
      <w:r>
        <w:rPr>
          <w:spacing w:val="-3"/>
        </w:rPr>
        <w:t>n</w:t>
      </w:r>
      <w:r>
        <w:rPr>
          <w:spacing w:val="1"/>
        </w:rPr>
        <w:t>ţ</w:t>
      </w:r>
      <w:r>
        <w:rPr>
          <w:spacing w:val="-2"/>
        </w:rPr>
        <w:t>i</w:t>
      </w:r>
      <w:r>
        <w:t>i d</w:t>
      </w:r>
      <w:r>
        <w:rPr>
          <w:spacing w:val="-2"/>
        </w:rPr>
        <w:t>i</w:t>
      </w:r>
      <w:r>
        <w:t>n c</w:t>
      </w:r>
      <w:r>
        <w:rPr>
          <w:spacing w:val="-3"/>
        </w:rPr>
        <w:t>a</w:t>
      </w:r>
      <w:r>
        <w:t>re 4</w:t>
      </w:r>
      <w:r>
        <w:rPr>
          <w:spacing w:val="-3"/>
        </w:rPr>
        <w:t xml:space="preserve"> </w:t>
      </w:r>
      <w:r>
        <w:t>au pr</w:t>
      </w:r>
      <w:r>
        <w:rPr>
          <w:spacing w:val="1"/>
        </w:rPr>
        <w:t>i</w:t>
      </w:r>
      <w:r>
        <w:rPr>
          <w:spacing w:val="-4"/>
        </w:rPr>
        <w:t>m</w:t>
      </w:r>
      <w:r>
        <w:rPr>
          <w:spacing w:val="1"/>
        </w:rPr>
        <w:t>i</w:t>
      </w:r>
      <w:r>
        <w:t xml:space="preserve">t </w:t>
      </w:r>
      <w:r>
        <w:rPr>
          <w:spacing w:val="-3"/>
        </w:rPr>
        <w:t>c</w:t>
      </w:r>
      <w:r>
        <w:t>onco</w:t>
      </w:r>
      <w:r>
        <w:rPr>
          <w:spacing w:val="-4"/>
        </w:rPr>
        <w:t>m</w:t>
      </w:r>
      <w:r>
        <w:rPr>
          <w:spacing w:val="1"/>
        </w:rPr>
        <w:t>it</w:t>
      </w:r>
      <w:r>
        <w:t>e</w:t>
      </w:r>
      <w:r>
        <w:rPr>
          <w:spacing w:val="-3"/>
        </w:rPr>
        <w:t>n</w:t>
      </w:r>
      <w:r>
        <w:t>t</w:t>
      </w:r>
      <w:r>
        <w:rPr>
          <w:spacing w:val="-2"/>
        </w:rPr>
        <w:t xml:space="preserve"> </w:t>
      </w:r>
      <w:r>
        <w:rPr>
          <w:spacing w:val="1"/>
        </w:rPr>
        <w:t>i</w:t>
      </w:r>
      <w:r>
        <w:rPr>
          <w:spacing w:val="-4"/>
        </w:rPr>
        <w:t>m</w:t>
      </w:r>
      <w:r>
        <w:t>unosupre</w:t>
      </w:r>
      <w:r>
        <w:rPr>
          <w:spacing w:val="-2"/>
        </w:rPr>
        <w:t>s</w:t>
      </w:r>
      <w:r>
        <w:t>oa</w:t>
      </w:r>
      <w:r>
        <w:rPr>
          <w:spacing w:val="-2"/>
        </w:rPr>
        <w:t>r</w:t>
      </w:r>
      <w:r>
        <w:t xml:space="preserve">e </w:t>
      </w:r>
      <w:r>
        <w:rPr>
          <w:spacing w:val="-2"/>
        </w:rPr>
        <w:t>l</w:t>
      </w:r>
      <w:r>
        <w:t xml:space="preserve">a </w:t>
      </w:r>
      <w:r>
        <w:rPr>
          <w:spacing w:val="1"/>
        </w:rPr>
        <w:t>i</w:t>
      </w:r>
      <w:r>
        <w:rPr>
          <w:spacing w:val="-3"/>
        </w:rPr>
        <w:t>n</w:t>
      </w:r>
      <w:r>
        <w:rPr>
          <w:spacing w:val="1"/>
        </w:rPr>
        <w:t>i</w:t>
      </w:r>
      <w:r>
        <w:rPr>
          <w:spacing w:val="-2"/>
        </w:rPr>
        <w:t>ţ</w:t>
      </w:r>
      <w:r>
        <w:rPr>
          <w:spacing w:val="1"/>
        </w:rPr>
        <w:t>i</w:t>
      </w:r>
      <w:r>
        <w:rPr>
          <w:spacing w:val="-3"/>
        </w:rPr>
        <w:t>e</w:t>
      </w:r>
      <w:r>
        <w:t>rea</w:t>
      </w:r>
      <w:r>
        <w:rPr>
          <w:spacing w:val="-2"/>
        </w:rPr>
        <w:t xml:space="preserve"> </w:t>
      </w:r>
      <w:r>
        <w:rPr>
          <w:spacing w:val="1"/>
        </w:rPr>
        <w:t>t</w:t>
      </w:r>
      <w:r>
        <w:rPr>
          <w:spacing w:val="-2"/>
        </w:rPr>
        <w:t>r</w:t>
      </w:r>
      <w:r>
        <w:t>a</w:t>
      </w:r>
      <w:r>
        <w:rPr>
          <w:spacing w:val="-2"/>
        </w:rPr>
        <w:t>t</w:t>
      </w:r>
      <w:r>
        <w:rPr>
          <w:spacing w:val="-3"/>
        </w:rPr>
        <w:t>a</w:t>
      </w:r>
      <w:r>
        <w:rPr>
          <w:spacing w:val="-4"/>
        </w:rPr>
        <w:t>m</w:t>
      </w:r>
      <w:r>
        <w:t>en</w:t>
      </w:r>
      <w:r>
        <w:rPr>
          <w:spacing w:val="1"/>
        </w:rPr>
        <w:t>t</w:t>
      </w:r>
      <w:r>
        <w:t>u</w:t>
      </w:r>
      <w:r>
        <w:rPr>
          <w:spacing w:val="1"/>
        </w:rPr>
        <w:t>l</w:t>
      </w:r>
      <w:r>
        <w:t>u</w:t>
      </w:r>
      <w:r>
        <w:rPr>
          <w:spacing w:val="1"/>
        </w:rPr>
        <w:t>i</w:t>
      </w:r>
      <w:r>
        <w:t>.</w:t>
      </w:r>
    </w:p>
    <w:p w14:paraId="5DE179D4" w14:textId="77777777" w:rsidR="00C04CAD" w:rsidRDefault="00C04CAD">
      <w:pPr>
        <w:tabs>
          <w:tab w:val="clear" w:pos="567"/>
        </w:tabs>
        <w:kinsoku w:val="0"/>
        <w:overflowPunct w:val="0"/>
        <w:autoSpaceDE w:val="0"/>
        <w:autoSpaceDN w:val="0"/>
        <w:adjustRightInd w:val="0"/>
        <w:spacing w:line="240" w:lineRule="auto"/>
      </w:pPr>
    </w:p>
    <w:p w14:paraId="2E0BABD5"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w:t>
      </w:r>
      <w:r>
        <w:rPr>
          <w:spacing w:val="-3"/>
        </w:rPr>
        <w:t>o</w:t>
      </w:r>
      <w:r>
        <w:t>n</w:t>
      </w:r>
      <w:r>
        <w:rPr>
          <w:spacing w:val="-2"/>
        </w:rPr>
        <w:t>t</w:t>
      </w:r>
      <w:r>
        <w:t>ro</w:t>
      </w:r>
      <w:r>
        <w:rPr>
          <w:spacing w:val="-2"/>
        </w:rPr>
        <w:t>l</w:t>
      </w:r>
      <w:r>
        <w:t>a</w:t>
      </w:r>
      <w:r>
        <w:rPr>
          <w:spacing w:val="1"/>
        </w:rPr>
        <w:t>t</w:t>
      </w:r>
      <w:r>
        <w:t>e</w:t>
      </w:r>
      <w:r>
        <w:rPr>
          <w:spacing w:val="-2"/>
        </w:rPr>
        <w:t xml:space="preserve"> </w:t>
      </w:r>
      <w:r>
        <w:t xml:space="preserve">de </w:t>
      </w:r>
      <w:r>
        <w:rPr>
          <w:rFonts w:eastAsia="MS Mincho"/>
          <w:spacing w:val="-1"/>
          <w:szCs w:val="22"/>
          <w:lang w:eastAsia="en-US" w:bidi="ar-SA"/>
        </w:rPr>
        <w:t>f</w:t>
      </w:r>
      <w:r>
        <w:rPr>
          <w:rFonts w:eastAsia="MS Mincho"/>
          <w:szCs w:val="22"/>
          <w:lang w:eastAsia="en-US" w:bidi="ar-SA"/>
        </w:rPr>
        <w:t>a</w:t>
      </w:r>
      <w:r>
        <w:rPr>
          <w:rFonts w:eastAsia="MS Mincho"/>
          <w:spacing w:val="-5"/>
          <w:szCs w:val="22"/>
          <w:lang w:eastAsia="en-US" w:bidi="ar-SA"/>
        </w:rPr>
        <w:t>z</w:t>
      </w:r>
      <w:r>
        <w:rPr>
          <w:rFonts w:eastAsia="MS Mincho"/>
          <w:szCs w:val="22"/>
          <w:lang w:eastAsia="en-US" w:bidi="ar-SA"/>
        </w:rPr>
        <w:t>ă</w:t>
      </w:r>
      <w:r>
        <w:t xml:space="preserve"> 3 cu </w:t>
      </w:r>
      <w:r>
        <w:rPr>
          <w:rFonts w:eastAsia="MS Mincho"/>
          <w:spacing w:val="-1"/>
          <w:szCs w:val="22"/>
          <w:lang w:eastAsia="en-US" w:bidi="ar-SA"/>
        </w:rPr>
        <w:t>adalimumab</w:t>
      </w:r>
      <w:r>
        <w:rPr>
          <w:spacing w:val="-2"/>
        </w:rPr>
        <w:t xml:space="preserve"> </w:t>
      </w:r>
      <w:r>
        <w:t>ef</w:t>
      </w:r>
      <w:r>
        <w:rPr>
          <w:spacing w:val="-3"/>
        </w:rPr>
        <w:t>e</w:t>
      </w:r>
      <w:r>
        <w:t>c</w:t>
      </w:r>
      <w:r>
        <w:rPr>
          <w:spacing w:val="1"/>
        </w:rPr>
        <w:t>t</w:t>
      </w:r>
      <w:r>
        <w:rPr>
          <w:spacing w:val="-3"/>
        </w:rPr>
        <w:t>u</w:t>
      </w:r>
      <w:r>
        <w:t>a</w:t>
      </w:r>
      <w:r>
        <w:rPr>
          <w:spacing w:val="1"/>
        </w:rPr>
        <w:t>t</w:t>
      </w:r>
      <w:r>
        <w:t>e</w:t>
      </w:r>
      <w:r>
        <w:rPr>
          <w:spacing w:val="-2"/>
        </w:rPr>
        <w:t xml:space="preserve"> </w:t>
      </w:r>
      <w:r>
        <w:rPr>
          <w:spacing w:val="1"/>
        </w:rPr>
        <w:t>l</w:t>
      </w:r>
      <w:r>
        <w:t>a</w:t>
      </w:r>
      <w:r>
        <w:rPr>
          <w:spacing w:val="-2"/>
        </w:rPr>
        <w:t xml:space="preserve"> </w:t>
      </w:r>
      <w:r>
        <w:t>pac</w:t>
      </w:r>
      <w:r>
        <w:rPr>
          <w:spacing w:val="-2"/>
        </w:rPr>
        <w:t>i</w:t>
      </w:r>
      <w:r>
        <w:t>en</w:t>
      </w:r>
      <w:r>
        <w:rPr>
          <w:spacing w:val="-2"/>
        </w:rPr>
        <w:t>ţ</w:t>
      </w:r>
      <w:r>
        <w:t>i</w:t>
      </w:r>
      <w:r>
        <w:rPr>
          <w:spacing w:val="1"/>
        </w:rPr>
        <w:t xml:space="preserve"> </w:t>
      </w:r>
      <w:r>
        <w:t>cu</w:t>
      </w:r>
      <w:r>
        <w:rPr>
          <w:spacing w:val="-3"/>
        </w:rPr>
        <w:t xml:space="preserve"> </w:t>
      </w:r>
      <w:r>
        <w:t>ps</w:t>
      </w:r>
      <w:r>
        <w:rPr>
          <w:spacing w:val="-3"/>
        </w:rPr>
        <w:t>o</w:t>
      </w:r>
      <w:r>
        <w:t>r</w:t>
      </w:r>
      <w:r>
        <w:rPr>
          <w:spacing w:val="1"/>
        </w:rPr>
        <w:t>i</w:t>
      </w:r>
      <w:r>
        <w:t>a</w:t>
      </w:r>
      <w:r>
        <w:rPr>
          <w:spacing w:val="-3"/>
        </w:rPr>
        <w:t>z</w:t>
      </w:r>
      <w:r>
        <w:rPr>
          <w:spacing w:val="-2"/>
        </w:rPr>
        <w:t>i</w:t>
      </w:r>
      <w:r>
        <w:t xml:space="preserve">s </w:t>
      </w:r>
      <w:r>
        <w:rPr>
          <w:spacing w:val="1"/>
        </w:rPr>
        <w:t>î</w:t>
      </w:r>
      <w:r>
        <w:t>n</w:t>
      </w:r>
      <w:r>
        <w:rPr>
          <w:spacing w:val="-3"/>
        </w:rPr>
        <w:t xml:space="preserve"> </w:t>
      </w:r>
      <w:r>
        <w:t>p</w:t>
      </w:r>
      <w:r>
        <w:rPr>
          <w:spacing w:val="1"/>
        </w:rPr>
        <w:t>l</w:t>
      </w:r>
      <w:r>
        <w:rPr>
          <w:spacing w:val="-3"/>
        </w:rPr>
        <w:t>ăc</w:t>
      </w:r>
      <w:r>
        <w:rPr>
          <w:spacing w:val="1"/>
        </w:rPr>
        <w:t>i</w:t>
      </w:r>
      <w:r>
        <w:t>, cu o</w:t>
      </w:r>
      <w:r>
        <w:rPr>
          <w:spacing w:val="-3"/>
        </w:rPr>
        <w:t xml:space="preserve"> </w:t>
      </w:r>
      <w:r>
        <w:t>du</w:t>
      </w:r>
      <w:r>
        <w:rPr>
          <w:spacing w:val="-2"/>
        </w:rPr>
        <w:t>r</w:t>
      </w:r>
      <w:r>
        <w:t>a</w:t>
      </w:r>
      <w:r>
        <w:rPr>
          <w:spacing w:val="1"/>
        </w:rPr>
        <w:t>t</w:t>
      </w:r>
      <w:r>
        <w:t>ă</w:t>
      </w:r>
      <w:r>
        <w:rPr>
          <w:spacing w:val="-2"/>
        </w:rPr>
        <w:t xml:space="preserve"> </w:t>
      </w:r>
      <w:r>
        <w:t>a per</w:t>
      </w:r>
      <w:r>
        <w:rPr>
          <w:spacing w:val="-2"/>
        </w:rPr>
        <w:t>i</w:t>
      </w:r>
      <w:r>
        <w:t>oad</w:t>
      </w:r>
      <w:r>
        <w:rPr>
          <w:spacing w:val="-3"/>
        </w:rPr>
        <w:t>e</w:t>
      </w:r>
      <w:r>
        <w:t>i</w:t>
      </w:r>
      <w:r>
        <w:rPr>
          <w:spacing w:val="1"/>
        </w:rPr>
        <w:t xml:space="preserve"> </w:t>
      </w:r>
      <w:r>
        <w:rPr>
          <w:spacing w:val="-3"/>
        </w:rPr>
        <w:t>d</w:t>
      </w:r>
      <w:r>
        <w:t>e co</w:t>
      </w:r>
      <w:r>
        <w:rPr>
          <w:spacing w:val="-3"/>
        </w:rPr>
        <w:t>n</w:t>
      </w:r>
      <w:r>
        <w:rPr>
          <w:spacing w:val="1"/>
        </w:rPr>
        <w:t>t</w:t>
      </w:r>
      <w:r>
        <w:t>r</w:t>
      </w:r>
      <w:r>
        <w:rPr>
          <w:spacing w:val="-3"/>
        </w:rPr>
        <w:t>o</w:t>
      </w:r>
      <w:r>
        <w:t>l</w:t>
      </w:r>
      <w:r>
        <w:rPr>
          <w:spacing w:val="1"/>
        </w:rPr>
        <w:t xml:space="preserve"> </w:t>
      </w:r>
      <w:r>
        <w:rPr>
          <w:spacing w:val="-3"/>
        </w:rPr>
        <w:t>v</w:t>
      </w:r>
      <w:r>
        <w:t>ar</w:t>
      </w:r>
      <w:r>
        <w:rPr>
          <w:spacing w:val="-2"/>
        </w:rPr>
        <w:t>i</w:t>
      </w:r>
      <w:r>
        <w:rPr>
          <w:spacing w:val="1"/>
        </w:rPr>
        <w:t>i</w:t>
      </w:r>
      <w:r>
        <w:t>nd</w:t>
      </w:r>
      <w:r>
        <w:rPr>
          <w:spacing w:val="-3"/>
        </w:rPr>
        <w:t xml:space="preserve"> </w:t>
      </w:r>
      <w:r>
        <w:rPr>
          <w:spacing w:val="1"/>
        </w:rPr>
        <w:t>î</w:t>
      </w:r>
      <w:r>
        <w:t>n</w:t>
      </w:r>
      <w:r>
        <w:rPr>
          <w:spacing w:val="-2"/>
        </w:rPr>
        <w:t>t</w:t>
      </w:r>
      <w:r>
        <w:t>re 12</w:t>
      </w:r>
      <w:r>
        <w:rPr>
          <w:spacing w:val="-3"/>
        </w:rPr>
        <w:t xml:space="preserve"> </w:t>
      </w:r>
      <w:r>
        <w:t>şi</w:t>
      </w:r>
      <w:r>
        <w:rPr>
          <w:spacing w:val="-2"/>
        </w:rPr>
        <w:t xml:space="preserve"> </w:t>
      </w:r>
      <w:r>
        <w:t xml:space="preserve">24 </w:t>
      </w:r>
      <w:r>
        <w:rPr>
          <w:spacing w:val="-2"/>
        </w:rPr>
        <w:t>s</w:t>
      </w:r>
      <w:r>
        <w:t>ăp</w:t>
      </w:r>
      <w:r>
        <w:rPr>
          <w:spacing w:val="-2"/>
        </w:rPr>
        <w:t>t</w:t>
      </w:r>
      <w:r>
        <w:t>ă</w:t>
      </w:r>
      <w:r>
        <w:rPr>
          <w:spacing w:val="-4"/>
        </w:rPr>
        <w:t>m</w:t>
      </w:r>
      <w:r>
        <w:t>ân</w:t>
      </w:r>
      <w:r>
        <w:rPr>
          <w:spacing w:val="1"/>
        </w:rPr>
        <w:t>i</w:t>
      </w:r>
      <w:r>
        <w:t>, c</w:t>
      </w:r>
      <w:r>
        <w:rPr>
          <w:spacing w:val="-2"/>
        </w:rPr>
        <w:t>r</w:t>
      </w:r>
      <w:r>
        <w:t>eş</w:t>
      </w:r>
      <w:r>
        <w:rPr>
          <w:spacing w:val="1"/>
        </w:rPr>
        <w:t>t</w:t>
      </w:r>
      <w:r>
        <w:rPr>
          <w:spacing w:val="-3"/>
        </w:rPr>
        <w:t>e</w:t>
      </w:r>
      <w:r>
        <w:t>r</w:t>
      </w:r>
      <w:r>
        <w:rPr>
          <w:spacing w:val="-3"/>
        </w:rPr>
        <w:t>e</w:t>
      </w:r>
      <w:r>
        <w:t xml:space="preserve">a </w:t>
      </w:r>
      <w:r>
        <w:rPr>
          <w:spacing w:val="-1"/>
        </w:rPr>
        <w:t>AL</w:t>
      </w:r>
      <w:r>
        <w:t>T</w:t>
      </w:r>
      <w:r>
        <w:rPr>
          <w:spacing w:val="-1"/>
        </w:rPr>
        <w:t xml:space="preserve"> </w:t>
      </w:r>
      <w:r>
        <w:t>≥</w:t>
      </w:r>
      <w:r>
        <w:rPr>
          <w:spacing w:val="1"/>
        </w:rPr>
        <w:t xml:space="preserve"> </w:t>
      </w:r>
      <w:r>
        <w:t>3</w:t>
      </w:r>
      <w:r>
        <w:rPr>
          <w:spacing w:val="-3"/>
        </w:rPr>
        <w:t xml:space="preserve"> </w:t>
      </w:r>
      <w:r>
        <w:t xml:space="preserve">x </w:t>
      </w:r>
      <w:r>
        <w:rPr>
          <w:spacing w:val="-1"/>
        </w:rPr>
        <w:t>LS</w:t>
      </w:r>
      <w:r>
        <w:t>N</w:t>
      </w:r>
      <w:r>
        <w:rPr>
          <w:spacing w:val="-1"/>
        </w:rPr>
        <w:t xml:space="preserve"> </w:t>
      </w:r>
      <w:r>
        <w:t>s</w:t>
      </w:r>
      <w:r>
        <w:rPr>
          <w:spacing w:val="-4"/>
        </w:rPr>
        <w:t>-</w:t>
      </w:r>
      <w:r>
        <w:t xml:space="preserve">a </w:t>
      </w:r>
      <w:r>
        <w:rPr>
          <w:spacing w:val="1"/>
        </w:rPr>
        <w:t>î</w:t>
      </w:r>
      <w:r>
        <w:t>n</w:t>
      </w:r>
      <w:r>
        <w:rPr>
          <w:spacing w:val="-2"/>
        </w:rPr>
        <w:t>t</w:t>
      </w:r>
      <w:r>
        <w:t>â</w:t>
      </w:r>
      <w:r>
        <w:rPr>
          <w:spacing w:val="1"/>
        </w:rPr>
        <w:t>l</w:t>
      </w:r>
      <w:r>
        <w:rPr>
          <w:spacing w:val="-3"/>
        </w:rPr>
        <w:t>n</w:t>
      </w:r>
      <w:r>
        <w:rPr>
          <w:spacing w:val="1"/>
        </w:rPr>
        <w:t>i</w:t>
      </w:r>
      <w:r>
        <w:t>t</w:t>
      </w:r>
      <w:r>
        <w:rPr>
          <w:spacing w:val="-2"/>
        </w:rPr>
        <w:t xml:space="preserve"> </w:t>
      </w:r>
      <w:r>
        <w:rPr>
          <w:spacing w:val="1"/>
        </w:rPr>
        <w:t>l</w:t>
      </w:r>
      <w:r>
        <w:t xml:space="preserve">a </w:t>
      </w:r>
      <w:r>
        <w:rPr>
          <w:spacing w:val="-3"/>
        </w:rPr>
        <w:t>1</w:t>
      </w:r>
      <w:r>
        <w:t>,8% d</w:t>
      </w:r>
      <w:r>
        <w:rPr>
          <w:spacing w:val="1"/>
        </w:rPr>
        <w:t>i</w:t>
      </w:r>
      <w:r>
        <w:t>n</w:t>
      </w:r>
      <w:r>
        <w:rPr>
          <w:spacing w:val="-2"/>
        </w:rPr>
        <w:t>t</w:t>
      </w:r>
      <w:r>
        <w:t xml:space="preserve">re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2"/>
        </w:rPr>
        <w:t>t</w:t>
      </w:r>
      <w:r>
        <w:t>r</w:t>
      </w:r>
      <w:r>
        <w:rPr>
          <w:spacing w:val="-3"/>
        </w:rPr>
        <w:t>a</w:t>
      </w:r>
      <w:r>
        <w:rPr>
          <w:spacing w:val="1"/>
        </w:rPr>
        <w:t>t</w:t>
      </w:r>
      <w:r>
        <w:t>a</w:t>
      </w:r>
      <w:r>
        <w:rPr>
          <w:spacing w:val="-2"/>
        </w:rPr>
        <w:t>ţ</w:t>
      </w:r>
      <w:r>
        <w:t>i</w:t>
      </w:r>
      <w:r>
        <w:rPr>
          <w:spacing w:val="1"/>
        </w:rPr>
        <w:t xml:space="preserve"> </w:t>
      </w:r>
      <w:r>
        <w:t>cu</w:t>
      </w:r>
      <w:r>
        <w:rPr>
          <w:spacing w:val="-3"/>
        </w:rPr>
        <w:t xml:space="preserve"> </w:t>
      </w:r>
      <w:r>
        <w:rPr>
          <w:rFonts w:eastAsia="MS Mincho"/>
          <w:spacing w:val="-1"/>
          <w:szCs w:val="22"/>
          <w:lang w:eastAsia="en-US" w:bidi="ar-SA"/>
        </w:rPr>
        <w:t>adalimumab</w:t>
      </w:r>
      <w:r>
        <w:t xml:space="preserve"> şi</w:t>
      </w:r>
      <w:r>
        <w:rPr>
          <w:spacing w:val="-2"/>
        </w:rPr>
        <w:t xml:space="preserve"> </w:t>
      </w:r>
      <w:r>
        <w:rPr>
          <w:spacing w:val="1"/>
        </w:rPr>
        <w:t>l</w:t>
      </w:r>
      <w:r>
        <w:t>a 1</w:t>
      </w:r>
      <w:r>
        <w:rPr>
          <w:spacing w:val="-3"/>
        </w:rPr>
        <w:t>,</w:t>
      </w:r>
      <w:r>
        <w:t>8%</w:t>
      </w:r>
      <w:r>
        <w:rPr>
          <w:spacing w:val="1"/>
        </w:rPr>
        <w:t xml:space="preserve"> </w:t>
      </w:r>
      <w:r>
        <w:rPr>
          <w:spacing w:val="-3"/>
        </w:rPr>
        <w:t>d</w:t>
      </w:r>
      <w:r>
        <w:rPr>
          <w:spacing w:val="1"/>
        </w:rPr>
        <w:t>i</w:t>
      </w:r>
      <w:r>
        <w:rPr>
          <w:spacing w:val="-3"/>
        </w:rPr>
        <w:t>n</w:t>
      </w:r>
      <w:r>
        <w:rPr>
          <w:spacing w:val="1"/>
        </w:rPr>
        <w:t>t</w:t>
      </w:r>
      <w:r>
        <w:t>re</w:t>
      </w:r>
      <w:r>
        <w:rPr>
          <w:spacing w:val="-2"/>
        </w:rPr>
        <w:t xml:space="preserve"> </w:t>
      </w:r>
      <w:r>
        <w:t>pa</w:t>
      </w:r>
      <w:r>
        <w:rPr>
          <w:spacing w:val="-3"/>
        </w:rPr>
        <w:t>c</w:t>
      </w:r>
      <w:r>
        <w:rPr>
          <w:spacing w:val="-2"/>
        </w:rPr>
        <w:t>i</w:t>
      </w:r>
      <w:r>
        <w:t>en</w:t>
      </w:r>
      <w:r>
        <w:rPr>
          <w:spacing w:val="-2"/>
        </w:rPr>
        <w:t>ţ</w:t>
      </w:r>
      <w:r>
        <w:rPr>
          <w:spacing w:val="1"/>
        </w:rPr>
        <w:t>i</w:t>
      </w:r>
      <w:r>
        <w:t>i</w:t>
      </w:r>
      <w:r>
        <w:rPr>
          <w:spacing w:val="1"/>
        </w:rPr>
        <w:t xml:space="preserve"> </w:t>
      </w:r>
      <w:r>
        <w:rPr>
          <w:spacing w:val="-3"/>
        </w:rPr>
        <w:t>d</w:t>
      </w:r>
      <w:r>
        <w:rPr>
          <w:spacing w:val="1"/>
        </w:rPr>
        <w:t>i</w:t>
      </w:r>
      <w:r>
        <w:t xml:space="preserve">n </w:t>
      </w:r>
      <w:r>
        <w:rPr>
          <w:spacing w:val="-3"/>
        </w:rPr>
        <w:t>g</w:t>
      </w:r>
      <w:r>
        <w:t>rup</w:t>
      </w:r>
      <w:r>
        <w:rPr>
          <w:spacing w:val="-3"/>
        </w:rPr>
        <w:t>u</w:t>
      </w:r>
      <w:r>
        <w:t>l</w:t>
      </w:r>
      <w:r>
        <w:rPr>
          <w:spacing w:val="1"/>
        </w:rPr>
        <w:t xml:space="preserve"> </w:t>
      </w:r>
      <w:r>
        <w:t>de</w:t>
      </w:r>
      <w:r>
        <w:rPr>
          <w:spacing w:val="-2"/>
        </w:rPr>
        <w:t xml:space="preserve"> </w:t>
      </w:r>
      <w:r>
        <w:t>co</w:t>
      </w:r>
      <w:r>
        <w:rPr>
          <w:spacing w:val="-3"/>
        </w:rPr>
        <w:t>n</w:t>
      </w:r>
      <w:r>
        <w:rPr>
          <w:spacing w:val="1"/>
        </w:rPr>
        <w:t>t</w:t>
      </w:r>
      <w:r>
        <w:t>r</w:t>
      </w:r>
      <w:r>
        <w:rPr>
          <w:spacing w:val="-3"/>
        </w:rPr>
        <w:t>o</w:t>
      </w:r>
      <w:r>
        <w:rPr>
          <w:spacing w:val="1"/>
        </w:rPr>
        <w:t>l</w:t>
      </w:r>
      <w:r>
        <w:t>.</w:t>
      </w:r>
    </w:p>
    <w:p w14:paraId="10CBE0D9" w14:textId="77777777" w:rsidR="00C04CAD" w:rsidRDefault="00C04CAD">
      <w:pPr>
        <w:tabs>
          <w:tab w:val="clear" w:pos="567"/>
        </w:tabs>
        <w:kinsoku w:val="0"/>
        <w:overflowPunct w:val="0"/>
        <w:autoSpaceDE w:val="0"/>
        <w:autoSpaceDN w:val="0"/>
        <w:adjustRightInd w:val="0"/>
        <w:spacing w:line="240" w:lineRule="auto"/>
        <w:rPr>
          <w:szCs w:val="22"/>
        </w:rPr>
      </w:pPr>
    </w:p>
    <w:p w14:paraId="787DAFD5"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N</w:t>
      </w:r>
      <w:r>
        <w:rPr>
          <w:spacing w:val="1"/>
          <w:szCs w:val="22"/>
        </w:rPr>
        <w:t>i</w:t>
      </w:r>
      <w:r>
        <w:rPr>
          <w:szCs w:val="22"/>
        </w:rPr>
        <w:t>c</w:t>
      </w:r>
      <w:r>
        <w:rPr>
          <w:spacing w:val="1"/>
          <w:szCs w:val="22"/>
        </w:rPr>
        <w:t>i</w:t>
      </w:r>
      <w:r>
        <w:rPr>
          <w:szCs w:val="22"/>
        </w:rPr>
        <w:t>o</w:t>
      </w:r>
      <w:r>
        <w:rPr>
          <w:spacing w:val="-3"/>
          <w:szCs w:val="22"/>
        </w:rPr>
        <w:t xml:space="preserve"> </w:t>
      </w:r>
      <w:r>
        <w:rPr>
          <w:szCs w:val="22"/>
        </w:rPr>
        <w:t>c</w:t>
      </w:r>
      <w:r>
        <w:rPr>
          <w:spacing w:val="-2"/>
          <w:szCs w:val="22"/>
        </w:rPr>
        <w:t>r</w:t>
      </w:r>
      <w:r>
        <w:rPr>
          <w:szCs w:val="22"/>
        </w:rPr>
        <w:t>eş</w:t>
      </w:r>
      <w:r>
        <w:rPr>
          <w:spacing w:val="-2"/>
          <w:szCs w:val="22"/>
        </w:rPr>
        <w:t>t</w:t>
      </w:r>
      <w:r>
        <w:rPr>
          <w:szCs w:val="22"/>
        </w:rPr>
        <w:t>ere</w:t>
      </w:r>
      <w:r>
        <w:rPr>
          <w:spacing w:val="-2"/>
          <w:szCs w:val="22"/>
        </w:rPr>
        <w:t xml:space="preserve"> </w:t>
      </w:r>
      <w:r>
        <w:rPr>
          <w:szCs w:val="22"/>
        </w:rPr>
        <w:t xml:space="preserve">a </w:t>
      </w:r>
      <w:r>
        <w:rPr>
          <w:spacing w:val="-1"/>
          <w:szCs w:val="22"/>
        </w:rPr>
        <w:t>A</w:t>
      </w:r>
      <w:r>
        <w:rPr>
          <w:spacing w:val="-3"/>
          <w:szCs w:val="22"/>
        </w:rPr>
        <w:t>L</w:t>
      </w:r>
      <w:r>
        <w:rPr>
          <w:szCs w:val="22"/>
        </w:rPr>
        <w:t>T</w:t>
      </w:r>
      <w:r>
        <w:rPr>
          <w:spacing w:val="2"/>
          <w:szCs w:val="22"/>
        </w:rPr>
        <w:t xml:space="preserve"> </w:t>
      </w:r>
      <w:r>
        <w:rPr>
          <w:szCs w:val="22"/>
        </w:rPr>
        <w:t>≥</w:t>
      </w:r>
      <w:r>
        <w:rPr>
          <w:spacing w:val="-2"/>
          <w:szCs w:val="22"/>
        </w:rPr>
        <w:t xml:space="preserve"> </w:t>
      </w:r>
      <w:r>
        <w:rPr>
          <w:szCs w:val="22"/>
        </w:rPr>
        <w:t>3 x</w:t>
      </w:r>
      <w:r>
        <w:rPr>
          <w:spacing w:val="-3"/>
          <w:szCs w:val="22"/>
        </w:rPr>
        <w:t xml:space="preserve"> </w:t>
      </w:r>
      <w:r>
        <w:rPr>
          <w:spacing w:val="-1"/>
          <w:szCs w:val="22"/>
        </w:rPr>
        <w:t>LS</w:t>
      </w:r>
      <w:r>
        <w:rPr>
          <w:szCs w:val="22"/>
        </w:rPr>
        <w:t>N</w:t>
      </w:r>
      <w:r>
        <w:rPr>
          <w:spacing w:val="-1"/>
          <w:szCs w:val="22"/>
        </w:rPr>
        <w:t xml:space="preserve"> </w:t>
      </w:r>
      <w:r>
        <w:rPr>
          <w:szCs w:val="22"/>
        </w:rPr>
        <w:t>nu a a</w:t>
      </w:r>
      <w:r>
        <w:rPr>
          <w:spacing w:val="-3"/>
          <w:szCs w:val="22"/>
        </w:rPr>
        <w:t>v</w:t>
      </w:r>
      <w:r>
        <w:rPr>
          <w:szCs w:val="22"/>
        </w:rPr>
        <w:t>ut</w:t>
      </w:r>
      <w:r>
        <w:rPr>
          <w:spacing w:val="1"/>
          <w:szCs w:val="22"/>
        </w:rPr>
        <w:t xml:space="preserve"> </w:t>
      </w:r>
      <w:r>
        <w:rPr>
          <w:spacing w:val="-2"/>
          <w:szCs w:val="22"/>
        </w:rPr>
        <w:t>l</w:t>
      </w:r>
      <w:r>
        <w:rPr>
          <w:szCs w:val="22"/>
        </w:rPr>
        <w:t>oc</w:t>
      </w:r>
      <w:r>
        <w:rPr>
          <w:spacing w:val="-2"/>
          <w:szCs w:val="22"/>
        </w:rPr>
        <w:t xml:space="preserve"> </w:t>
      </w:r>
      <w:r>
        <w:rPr>
          <w:spacing w:val="1"/>
          <w:szCs w:val="22"/>
        </w:rPr>
        <w:t>î</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pacing w:val="-3"/>
          <w:szCs w:val="22"/>
        </w:rPr>
        <w:t>u</w:t>
      </w:r>
      <w:r>
        <w:rPr>
          <w:szCs w:val="22"/>
        </w:rPr>
        <w:t>l</w:t>
      </w:r>
      <w:r>
        <w:rPr>
          <w:spacing w:val="1"/>
          <w:szCs w:val="22"/>
        </w:rPr>
        <w:t xml:space="preserve"> </w:t>
      </w:r>
      <w:r>
        <w:rPr>
          <w:szCs w:val="22"/>
        </w:rPr>
        <w:t xml:space="preserve">de </w:t>
      </w:r>
      <w:r>
        <w:rPr>
          <w:rFonts w:eastAsia="MS Mincho"/>
          <w:spacing w:val="-1"/>
          <w:szCs w:val="22"/>
          <w:lang w:eastAsia="en-US" w:bidi="ar-SA"/>
        </w:rPr>
        <w:t>f</w:t>
      </w:r>
      <w:r>
        <w:rPr>
          <w:rFonts w:eastAsia="MS Mincho"/>
          <w:szCs w:val="22"/>
          <w:lang w:eastAsia="en-US" w:bidi="ar-SA"/>
        </w:rPr>
        <w:t>a</w:t>
      </w:r>
      <w:r>
        <w:rPr>
          <w:rFonts w:eastAsia="MS Mincho"/>
          <w:spacing w:val="-3"/>
          <w:szCs w:val="22"/>
          <w:lang w:eastAsia="en-US" w:bidi="ar-SA"/>
        </w:rPr>
        <w:t>z</w:t>
      </w:r>
      <w:r>
        <w:rPr>
          <w:rFonts w:eastAsia="MS Mincho"/>
          <w:szCs w:val="22"/>
          <w:lang w:eastAsia="en-US" w:bidi="ar-SA"/>
        </w:rPr>
        <w:t>ă</w:t>
      </w:r>
      <w:r>
        <w:rPr>
          <w:szCs w:val="22"/>
        </w:rPr>
        <w:t xml:space="preserve"> 3</w:t>
      </w:r>
      <w:r>
        <w:rPr>
          <w:spacing w:val="-3"/>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pacing w:val="1"/>
          <w:szCs w:val="22"/>
        </w:rPr>
        <w:t>l</w:t>
      </w:r>
      <w:r>
        <w:rPr>
          <w:szCs w:val="22"/>
        </w:rPr>
        <w:t>a p</w:t>
      </w:r>
      <w:r>
        <w:rPr>
          <w:spacing w:val="-3"/>
          <w:szCs w:val="22"/>
        </w:rPr>
        <w:t>a</w:t>
      </w:r>
      <w:r>
        <w:rPr>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zCs w:val="22"/>
        </w:rPr>
        <w:t>c</w:t>
      </w:r>
      <w:r>
        <w:rPr>
          <w:spacing w:val="-3"/>
          <w:szCs w:val="22"/>
        </w:rPr>
        <w:t>o</w:t>
      </w:r>
      <w:r>
        <w:rPr>
          <w:szCs w:val="22"/>
        </w:rPr>
        <w:t>p</w:t>
      </w:r>
      <w:r>
        <w:rPr>
          <w:spacing w:val="-2"/>
          <w:szCs w:val="22"/>
        </w:rPr>
        <w:t>i</w:t>
      </w:r>
      <w:r>
        <w:rPr>
          <w:szCs w:val="22"/>
        </w:rPr>
        <w:t>i</w:t>
      </w:r>
      <w:r>
        <w:rPr>
          <w:spacing w:val="1"/>
          <w:szCs w:val="22"/>
        </w:rPr>
        <w:t xml:space="preserve"> </w:t>
      </w:r>
      <w:r>
        <w:rPr>
          <w:spacing w:val="-2"/>
          <w:szCs w:val="22"/>
        </w:rPr>
        <w:t>ș</w:t>
      </w:r>
      <w:r>
        <w:rPr>
          <w:szCs w:val="22"/>
        </w:rPr>
        <w:t>i ado</w:t>
      </w:r>
      <w:r>
        <w:rPr>
          <w:spacing w:val="1"/>
          <w:szCs w:val="22"/>
        </w:rPr>
        <w:t>l</w:t>
      </w:r>
      <w:r>
        <w:rPr>
          <w:spacing w:val="-3"/>
          <w:szCs w:val="22"/>
        </w:rPr>
        <w:t>e</w:t>
      </w:r>
      <w:r>
        <w:rPr>
          <w:szCs w:val="22"/>
        </w:rPr>
        <w:t>sc</w:t>
      </w:r>
      <w:r>
        <w:rPr>
          <w:spacing w:val="-3"/>
          <w:szCs w:val="22"/>
        </w:rPr>
        <w:t>e</w:t>
      </w:r>
      <w:r>
        <w:rPr>
          <w:szCs w:val="22"/>
        </w:rPr>
        <w:t>n</w:t>
      </w:r>
      <w:r>
        <w:rPr>
          <w:spacing w:val="-2"/>
          <w:szCs w:val="22"/>
        </w:rPr>
        <w:t>ț</w:t>
      </w:r>
      <w:r>
        <w:rPr>
          <w:szCs w:val="22"/>
        </w:rPr>
        <w:t>i</w:t>
      </w:r>
      <w:r>
        <w:rPr>
          <w:spacing w:val="1"/>
          <w:szCs w:val="22"/>
        </w:rPr>
        <w:t xml:space="preserve"> </w:t>
      </w:r>
      <w:r>
        <w:rPr>
          <w:szCs w:val="22"/>
        </w:rPr>
        <w:t xml:space="preserve">cu </w:t>
      </w:r>
      <w:r>
        <w:rPr>
          <w:spacing w:val="-3"/>
          <w:szCs w:val="22"/>
        </w:rPr>
        <w:t>p</w:t>
      </w:r>
      <w:r>
        <w:rPr>
          <w:szCs w:val="22"/>
        </w:rPr>
        <w:t>so</w:t>
      </w:r>
      <w:r>
        <w:rPr>
          <w:spacing w:val="-2"/>
          <w:szCs w:val="22"/>
        </w:rPr>
        <w:t>r</w:t>
      </w:r>
      <w:r>
        <w:rPr>
          <w:spacing w:val="1"/>
          <w:szCs w:val="22"/>
        </w:rPr>
        <w:t>i</w:t>
      </w:r>
      <w:r>
        <w:rPr>
          <w:szCs w:val="22"/>
        </w:rPr>
        <w:t>a</w:t>
      </w:r>
      <w:r>
        <w:rPr>
          <w:spacing w:val="-3"/>
          <w:szCs w:val="22"/>
        </w:rPr>
        <w:t>z</w:t>
      </w:r>
      <w:r>
        <w:rPr>
          <w:spacing w:val="1"/>
          <w:szCs w:val="22"/>
        </w:rPr>
        <w:t>i</w:t>
      </w:r>
      <w:r>
        <w:rPr>
          <w:szCs w:val="22"/>
        </w:rPr>
        <w:t>s</w:t>
      </w:r>
      <w:r>
        <w:rPr>
          <w:spacing w:val="-2"/>
          <w:szCs w:val="22"/>
        </w:rPr>
        <w:t xml:space="preserve"> </w:t>
      </w:r>
      <w:r>
        <w:rPr>
          <w:spacing w:val="1"/>
          <w:szCs w:val="22"/>
        </w:rPr>
        <w:t>î</w:t>
      </w:r>
      <w:r>
        <w:rPr>
          <w:szCs w:val="22"/>
        </w:rPr>
        <w:t>n</w:t>
      </w:r>
      <w:r>
        <w:rPr>
          <w:spacing w:val="-3"/>
          <w:szCs w:val="22"/>
        </w:rPr>
        <w:t xml:space="preserve"> </w:t>
      </w:r>
      <w:r>
        <w:rPr>
          <w:szCs w:val="22"/>
        </w:rPr>
        <w:t>p</w:t>
      </w:r>
      <w:r>
        <w:rPr>
          <w:spacing w:val="1"/>
          <w:szCs w:val="22"/>
        </w:rPr>
        <w:t>l</w:t>
      </w:r>
      <w:r>
        <w:rPr>
          <w:szCs w:val="22"/>
        </w:rPr>
        <w:t>ă</w:t>
      </w:r>
      <w:r>
        <w:rPr>
          <w:spacing w:val="-3"/>
          <w:szCs w:val="22"/>
        </w:rPr>
        <w:t>c</w:t>
      </w:r>
      <w:r>
        <w:rPr>
          <w:spacing w:val="1"/>
          <w:szCs w:val="22"/>
        </w:rPr>
        <w:t>i</w:t>
      </w:r>
      <w:r>
        <w:rPr>
          <w:szCs w:val="22"/>
        </w:rPr>
        <w:t>.</w:t>
      </w:r>
    </w:p>
    <w:p w14:paraId="08CF77C4"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1A325792"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e c</w:t>
      </w:r>
      <w:r>
        <w:rPr>
          <w:spacing w:val="-3"/>
          <w:szCs w:val="22"/>
        </w:rPr>
        <w:t>o</w:t>
      </w:r>
      <w:r>
        <w:rPr>
          <w:szCs w:val="22"/>
        </w:rPr>
        <w:t>n</w:t>
      </w:r>
      <w:r>
        <w:rPr>
          <w:spacing w:val="-2"/>
          <w:szCs w:val="22"/>
        </w:rPr>
        <w:t>t</w:t>
      </w:r>
      <w:r>
        <w:rPr>
          <w:szCs w:val="22"/>
        </w:rPr>
        <w:t>ro</w:t>
      </w:r>
      <w:r>
        <w:rPr>
          <w:spacing w:val="-2"/>
          <w:szCs w:val="22"/>
        </w:rPr>
        <w:t>l</w:t>
      </w:r>
      <w:r>
        <w:rPr>
          <w:szCs w:val="22"/>
        </w:rPr>
        <w:t>a</w:t>
      </w:r>
      <w:r>
        <w:rPr>
          <w:spacing w:val="1"/>
          <w:szCs w:val="22"/>
        </w:rPr>
        <w:t>t</w:t>
      </w:r>
      <w:r>
        <w:rPr>
          <w:szCs w:val="22"/>
        </w:rPr>
        <w:t>e</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(do</w:t>
      </w:r>
      <w:r>
        <w:rPr>
          <w:spacing w:val="-3"/>
          <w:szCs w:val="22"/>
        </w:rPr>
        <w:t>z</w:t>
      </w:r>
      <w:r>
        <w:rPr>
          <w:szCs w:val="22"/>
        </w:rPr>
        <w:t xml:space="preserve">e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pacing w:val="1"/>
          <w:szCs w:val="22"/>
        </w:rPr>
        <w:t>l</w:t>
      </w:r>
      <w:r>
        <w:rPr>
          <w:szCs w:val="22"/>
        </w:rPr>
        <w:t xml:space="preserve">e </w:t>
      </w:r>
      <w:r>
        <w:rPr>
          <w:spacing w:val="-3"/>
          <w:szCs w:val="22"/>
        </w:rPr>
        <w:t>d</w:t>
      </w:r>
      <w:r>
        <w:rPr>
          <w:szCs w:val="22"/>
        </w:rPr>
        <w:t>e 160</w:t>
      </w:r>
      <w:r>
        <w:rPr>
          <w:spacing w:val="-3"/>
          <w:szCs w:val="22"/>
        </w:rPr>
        <w:t>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w:t>
      </w:r>
      <w:r>
        <w:rPr>
          <w:spacing w:val="-2"/>
          <w:szCs w:val="22"/>
        </w:rPr>
        <w:t>ş</w:t>
      </w:r>
      <w:r>
        <w:rPr>
          <w:szCs w:val="22"/>
        </w:rPr>
        <w:t>i</w:t>
      </w:r>
      <w:r>
        <w:rPr>
          <w:spacing w:val="1"/>
          <w:szCs w:val="22"/>
        </w:rPr>
        <w:t xml:space="preserve"> </w:t>
      </w:r>
      <w:r>
        <w:rPr>
          <w:szCs w:val="22"/>
        </w:rPr>
        <w:t>80 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ur</w:t>
      </w:r>
      <w:r>
        <w:rPr>
          <w:spacing w:val="-4"/>
          <w:szCs w:val="22"/>
        </w:rPr>
        <w:t>m</w:t>
      </w:r>
      <w:r>
        <w:rPr>
          <w:szCs w:val="22"/>
        </w:rPr>
        <w:t>a</w:t>
      </w:r>
      <w:r>
        <w:rPr>
          <w:spacing w:val="1"/>
          <w:szCs w:val="22"/>
        </w:rPr>
        <w:t>t</w:t>
      </w:r>
      <w:r>
        <w:rPr>
          <w:szCs w:val="22"/>
        </w:rPr>
        <w:t>e de 40</w:t>
      </w:r>
      <w:r>
        <w:rPr>
          <w:spacing w:val="-3"/>
          <w:szCs w:val="22"/>
        </w:rPr>
        <w:t> </w:t>
      </w:r>
      <w:r>
        <w:rPr>
          <w:spacing w:val="-2"/>
          <w:szCs w:val="22"/>
        </w:rPr>
        <w:t>m</w:t>
      </w:r>
      <w:r>
        <w:rPr>
          <w:szCs w:val="22"/>
        </w:rPr>
        <w:t>g</w:t>
      </w:r>
      <w:r>
        <w:rPr>
          <w:spacing w:val="-3"/>
          <w:szCs w:val="22"/>
        </w:rPr>
        <w:t xml:space="preserve"> </w:t>
      </w:r>
      <w:r>
        <w:rPr>
          <w:szCs w:val="22"/>
        </w:rPr>
        <w:t>o 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 s</w:t>
      </w:r>
      <w:r>
        <w:rPr>
          <w:spacing w:val="-3"/>
          <w:szCs w:val="22"/>
        </w:rPr>
        <w:t>ă</w:t>
      </w:r>
      <w:r>
        <w:rPr>
          <w:szCs w:val="22"/>
        </w:rPr>
        <w:t>p</w:t>
      </w:r>
      <w:r>
        <w:rPr>
          <w:spacing w:val="1"/>
          <w:szCs w:val="22"/>
        </w:rPr>
        <w:t>t</w:t>
      </w:r>
      <w:r>
        <w:rPr>
          <w:szCs w:val="22"/>
        </w:rPr>
        <w:t>ă</w:t>
      </w:r>
      <w:r>
        <w:rPr>
          <w:spacing w:val="-4"/>
          <w:szCs w:val="22"/>
        </w:rPr>
        <w:t>m</w:t>
      </w:r>
      <w:r>
        <w:rPr>
          <w:szCs w:val="22"/>
        </w:rPr>
        <w:t>âni</w:t>
      </w:r>
      <w:r>
        <w:rPr>
          <w:spacing w:val="1"/>
          <w:szCs w:val="22"/>
        </w:rPr>
        <w:t xml:space="preserve"> </w:t>
      </w:r>
      <w:r>
        <w:rPr>
          <w:spacing w:val="-3"/>
          <w:szCs w:val="22"/>
        </w:rPr>
        <w:t>d</w:t>
      </w:r>
      <w:r>
        <w:rPr>
          <w:spacing w:val="1"/>
          <w:szCs w:val="22"/>
        </w:rPr>
        <w:t>i</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4),</w:t>
      </w:r>
      <w:r>
        <w:rPr>
          <w:spacing w:val="-3"/>
          <w:szCs w:val="22"/>
        </w:rPr>
        <w:t xml:space="preserve"> </w:t>
      </w:r>
      <w:r>
        <w:rPr>
          <w:spacing w:val="1"/>
          <w:szCs w:val="22"/>
        </w:rPr>
        <w:t>l</w:t>
      </w:r>
      <w:r>
        <w:rPr>
          <w:szCs w:val="22"/>
        </w:rPr>
        <w:t xml:space="preserve">a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cu h</w:t>
      </w:r>
      <w:r>
        <w:rPr>
          <w:spacing w:val="-2"/>
          <w:szCs w:val="22"/>
        </w:rPr>
        <w:t>i</w:t>
      </w:r>
      <w:r>
        <w:rPr>
          <w:szCs w:val="22"/>
        </w:rPr>
        <w:t>dr</w:t>
      </w:r>
      <w:r>
        <w:rPr>
          <w:spacing w:val="-3"/>
          <w:szCs w:val="22"/>
        </w:rPr>
        <w:t>o</w:t>
      </w:r>
      <w:r>
        <w:rPr>
          <w:szCs w:val="22"/>
        </w:rPr>
        <w:t>s</w:t>
      </w:r>
      <w:r>
        <w:rPr>
          <w:spacing w:val="-3"/>
          <w:szCs w:val="22"/>
        </w:rPr>
        <w:t>a</w:t>
      </w:r>
      <w:r>
        <w:rPr>
          <w:szCs w:val="22"/>
        </w:rPr>
        <w:t>den</w:t>
      </w:r>
      <w:r>
        <w:rPr>
          <w:spacing w:val="-2"/>
          <w:szCs w:val="22"/>
        </w:rPr>
        <w:t>i</w:t>
      </w:r>
      <w:r>
        <w:rPr>
          <w:spacing w:val="1"/>
          <w:szCs w:val="22"/>
        </w:rPr>
        <w:t>t</w:t>
      </w:r>
      <w:r>
        <w:rPr>
          <w:szCs w:val="22"/>
        </w:rPr>
        <w:t xml:space="preserve">ă </w:t>
      </w:r>
      <w:r>
        <w:rPr>
          <w:spacing w:val="-2"/>
          <w:szCs w:val="22"/>
        </w:rPr>
        <w:t>s</w:t>
      </w:r>
      <w:r>
        <w:rPr>
          <w:szCs w:val="22"/>
        </w:rPr>
        <w:t>upu</w:t>
      </w:r>
      <w:r>
        <w:rPr>
          <w:spacing w:val="-2"/>
          <w:szCs w:val="22"/>
        </w:rPr>
        <w:t>r</w:t>
      </w:r>
      <w:r>
        <w:rPr>
          <w:szCs w:val="22"/>
        </w:rPr>
        <w:t>a</w:t>
      </w:r>
      <w:r>
        <w:rPr>
          <w:spacing w:val="-2"/>
          <w:szCs w:val="22"/>
        </w:rPr>
        <w:t>t</w:t>
      </w:r>
      <w:r>
        <w:rPr>
          <w:spacing w:val="1"/>
          <w:szCs w:val="22"/>
        </w:rPr>
        <w:t>i</w:t>
      </w:r>
      <w:r>
        <w:rPr>
          <w:spacing w:val="-3"/>
          <w:szCs w:val="22"/>
        </w:rPr>
        <w:t>v</w:t>
      </w:r>
      <w:r>
        <w:rPr>
          <w:szCs w:val="22"/>
        </w:rPr>
        <w:t>ă cu o dur</w:t>
      </w:r>
      <w:r>
        <w:rPr>
          <w:spacing w:val="-3"/>
          <w:szCs w:val="22"/>
        </w:rPr>
        <w:t>a</w:t>
      </w:r>
      <w:r>
        <w:rPr>
          <w:spacing w:val="1"/>
          <w:szCs w:val="22"/>
        </w:rPr>
        <w:t>t</w:t>
      </w:r>
      <w:r>
        <w:rPr>
          <w:szCs w:val="22"/>
        </w:rPr>
        <w:t>ă</w:t>
      </w:r>
      <w:r>
        <w:rPr>
          <w:spacing w:val="-2"/>
          <w:szCs w:val="22"/>
        </w:rPr>
        <w:t xml:space="preserve"> </w:t>
      </w:r>
      <w:r>
        <w:rPr>
          <w:szCs w:val="22"/>
        </w:rPr>
        <w:t>a p</w:t>
      </w:r>
      <w:r>
        <w:rPr>
          <w:spacing w:val="-3"/>
          <w:szCs w:val="22"/>
        </w:rPr>
        <w:t>e</w:t>
      </w:r>
      <w:r>
        <w:rPr>
          <w:szCs w:val="22"/>
        </w:rPr>
        <w:t>r</w:t>
      </w:r>
      <w:r>
        <w:rPr>
          <w:spacing w:val="1"/>
          <w:szCs w:val="22"/>
        </w:rPr>
        <w:t>i</w:t>
      </w:r>
      <w:r>
        <w:rPr>
          <w:spacing w:val="-3"/>
          <w:szCs w:val="22"/>
        </w:rPr>
        <w:t>o</w:t>
      </w:r>
      <w:r>
        <w:rPr>
          <w:szCs w:val="22"/>
        </w:rPr>
        <w:t>ad</w:t>
      </w:r>
      <w:r>
        <w:rPr>
          <w:spacing w:val="-3"/>
          <w:szCs w:val="22"/>
        </w:rPr>
        <w:t>e</w:t>
      </w:r>
      <w:r>
        <w:rPr>
          <w:szCs w:val="22"/>
        </w:rPr>
        <w:t>i</w:t>
      </w:r>
      <w:r>
        <w:rPr>
          <w:spacing w:val="1"/>
          <w:szCs w:val="22"/>
        </w:rPr>
        <w:t xml:space="preserve"> </w:t>
      </w:r>
      <w:r>
        <w:rPr>
          <w:szCs w:val="22"/>
        </w:rPr>
        <w:t>de</w:t>
      </w:r>
      <w:r>
        <w:rPr>
          <w:spacing w:val="-2"/>
          <w:szCs w:val="22"/>
        </w:rPr>
        <w:t xml:space="preserve"> </w:t>
      </w:r>
      <w:r>
        <w:rPr>
          <w:szCs w:val="22"/>
        </w:rPr>
        <w:t>con</w:t>
      </w:r>
      <w:r>
        <w:rPr>
          <w:spacing w:val="-2"/>
          <w:szCs w:val="22"/>
        </w:rPr>
        <w:t>t</w:t>
      </w:r>
      <w:r>
        <w:rPr>
          <w:szCs w:val="22"/>
        </w:rPr>
        <w:t>rol</w:t>
      </w:r>
      <w:r>
        <w:rPr>
          <w:spacing w:val="1"/>
          <w:szCs w:val="22"/>
        </w:rPr>
        <w:t xml:space="preserve"> </w:t>
      </w:r>
      <w:r>
        <w:rPr>
          <w:spacing w:val="-3"/>
          <w:szCs w:val="22"/>
        </w:rPr>
        <w:t>v</w:t>
      </w:r>
      <w:r>
        <w:rPr>
          <w:szCs w:val="22"/>
        </w:rPr>
        <w:t>a</w:t>
      </w:r>
      <w:r>
        <w:rPr>
          <w:spacing w:val="-2"/>
          <w:szCs w:val="22"/>
        </w:rPr>
        <w:t>r</w:t>
      </w:r>
      <w:r>
        <w:rPr>
          <w:spacing w:val="1"/>
          <w:szCs w:val="22"/>
        </w:rPr>
        <w:t>ii</w:t>
      </w:r>
      <w:r>
        <w:rPr>
          <w:spacing w:val="-3"/>
          <w:szCs w:val="22"/>
        </w:rPr>
        <w:t>n</w:t>
      </w:r>
      <w:r>
        <w:rPr>
          <w:szCs w:val="22"/>
        </w:rPr>
        <w:t xml:space="preserve">d </w:t>
      </w:r>
      <w:r>
        <w:rPr>
          <w:spacing w:val="1"/>
          <w:szCs w:val="22"/>
        </w:rPr>
        <w:t>î</w:t>
      </w:r>
      <w:r>
        <w:rPr>
          <w:spacing w:val="-3"/>
          <w:szCs w:val="22"/>
        </w:rPr>
        <w:t>n</w:t>
      </w:r>
      <w:r>
        <w:rPr>
          <w:spacing w:val="1"/>
          <w:szCs w:val="22"/>
        </w:rPr>
        <w:t>t</w:t>
      </w:r>
      <w:r>
        <w:rPr>
          <w:spacing w:val="-2"/>
          <w:szCs w:val="22"/>
        </w:rPr>
        <w:t>r</w:t>
      </w:r>
      <w:r>
        <w:rPr>
          <w:szCs w:val="22"/>
        </w:rPr>
        <w:t xml:space="preserve">e 12 </w:t>
      </w:r>
      <w:r>
        <w:rPr>
          <w:spacing w:val="-2"/>
          <w:szCs w:val="22"/>
        </w:rPr>
        <w:t>ş</w:t>
      </w:r>
      <w:r>
        <w:rPr>
          <w:szCs w:val="22"/>
        </w:rPr>
        <w:t>i</w:t>
      </w:r>
      <w:r>
        <w:rPr>
          <w:spacing w:val="1"/>
          <w:szCs w:val="22"/>
        </w:rPr>
        <w:t xml:space="preserve"> </w:t>
      </w:r>
      <w:r>
        <w:rPr>
          <w:szCs w:val="22"/>
        </w:rPr>
        <w:t>16</w:t>
      </w:r>
      <w:r>
        <w:rPr>
          <w:spacing w:val="-3"/>
          <w:szCs w:val="22"/>
        </w:rPr>
        <w:t xml:space="preserve"> </w:t>
      </w:r>
      <w:r>
        <w:rPr>
          <w:szCs w:val="22"/>
        </w:rPr>
        <w:t>s</w:t>
      </w:r>
      <w:r>
        <w:rPr>
          <w:spacing w:val="-3"/>
          <w:szCs w:val="22"/>
        </w:rPr>
        <w:t>ă</w:t>
      </w:r>
      <w:r>
        <w:rPr>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3"/>
          <w:szCs w:val="22"/>
        </w:rPr>
        <w:t>c</w:t>
      </w:r>
      <w:r>
        <w:rPr>
          <w:szCs w:val="22"/>
        </w:rPr>
        <w:t>re</w:t>
      </w:r>
      <w:r>
        <w:rPr>
          <w:spacing w:val="-2"/>
          <w:szCs w:val="22"/>
        </w:rPr>
        <w:t>ş</w:t>
      </w:r>
      <w:r>
        <w:rPr>
          <w:spacing w:val="1"/>
          <w:szCs w:val="22"/>
        </w:rPr>
        <w:t>t</w:t>
      </w:r>
      <w:r>
        <w:rPr>
          <w:spacing w:val="-3"/>
          <w:szCs w:val="22"/>
        </w:rPr>
        <w:t>e</w:t>
      </w:r>
      <w:r>
        <w:rPr>
          <w:szCs w:val="22"/>
        </w:rPr>
        <w:t xml:space="preserve">rea </w:t>
      </w:r>
      <w:r>
        <w:rPr>
          <w:spacing w:val="-1"/>
          <w:szCs w:val="22"/>
        </w:rPr>
        <w:t>A</w:t>
      </w:r>
      <w:r>
        <w:rPr>
          <w:spacing w:val="-3"/>
          <w:szCs w:val="22"/>
        </w:rPr>
        <w:t>L</w:t>
      </w:r>
      <w:r>
        <w:rPr>
          <w:szCs w:val="22"/>
        </w:rPr>
        <w:t>T</w:t>
      </w:r>
      <w:r>
        <w:rPr>
          <w:spacing w:val="-1"/>
          <w:szCs w:val="22"/>
        </w:rPr>
        <w:t xml:space="preserve"> </w:t>
      </w:r>
      <w:r>
        <w:rPr>
          <w:szCs w:val="22"/>
        </w:rPr>
        <w:t>≥</w:t>
      </w:r>
      <w:r>
        <w:rPr>
          <w:spacing w:val="1"/>
          <w:szCs w:val="22"/>
        </w:rPr>
        <w:t xml:space="preserve"> </w:t>
      </w:r>
      <w:r>
        <w:rPr>
          <w:szCs w:val="22"/>
        </w:rPr>
        <w:t>3</w:t>
      </w:r>
      <w:r>
        <w:rPr>
          <w:spacing w:val="-3"/>
          <w:szCs w:val="22"/>
        </w:rPr>
        <w:t xml:space="preserve"> </w:t>
      </w:r>
      <w:r>
        <w:rPr>
          <w:szCs w:val="22"/>
        </w:rPr>
        <w:t xml:space="preserve">x </w:t>
      </w:r>
      <w:r>
        <w:rPr>
          <w:spacing w:val="-1"/>
          <w:szCs w:val="22"/>
        </w:rPr>
        <w:t>LS</w:t>
      </w:r>
      <w:r>
        <w:rPr>
          <w:szCs w:val="22"/>
        </w:rPr>
        <w:t>N</w:t>
      </w:r>
      <w:r>
        <w:rPr>
          <w:spacing w:val="-1"/>
          <w:szCs w:val="22"/>
        </w:rPr>
        <w:t xml:space="preserve"> </w:t>
      </w:r>
      <w:r>
        <w:rPr>
          <w:szCs w:val="22"/>
        </w:rPr>
        <w:t>s</w:t>
      </w:r>
      <w:r>
        <w:rPr>
          <w:spacing w:val="-4"/>
          <w:szCs w:val="22"/>
        </w:rPr>
        <w:t>-</w:t>
      </w:r>
      <w:r>
        <w:rPr>
          <w:szCs w:val="22"/>
        </w:rPr>
        <w:t xml:space="preserve">a </w:t>
      </w:r>
      <w:r>
        <w:rPr>
          <w:spacing w:val="1"/>
          <w:szCs w:val="22"/>
        </w:rPr>
        <w:t>î</w:t>
      </w:r>
      <w:r>
        <w:rPr>
          <w:spacing w:val="-1"/>
          <w:szCs w:val="22"/>
        </w:rPr>
        <w:t>n</w:t>
      </w:r>
      <w:r>
        <w:rPr>
          <w:spacing w:val="1"/>
          <w:szCs w:val="22"/>
        </w:rPr>
        <w:t>t</w:t>
      </w:r>
      <w:r>
        <w:rPr>
          <w:szCs w:val="22"/>
        </w:rPr>
        <w:t>â</w:t>
      </w:r>
      <w:r>
        <w:rPr>
          <w:spacing w:val="-2"/>
          <w:szCs w:val="22"/>
        </w:rPr>
        <w:t>l</w:t>
      </w:r>
      <w:r>
        <w:rPr>
          <w:szCs w:val="22"/>
        </w:rPr>
        <w:t>n</w:t>
      </w:r>
      <w:r>
        <w:rPr>
          <w:spacing w:val="-2"/>
          <w:szCs w:val="22"/>
        </w:rPr>
        <w:t>i</w:t>
      </w:r>
      <w:r>
        <w:rPr>
          <w:szCs w:val="22"/>
        </w:rPr>
        <w:t>t</w:t>
      </w:r>
      <w:r>
        <w:rPr>
          <w:spacing w:val="1"/>
          <w:szCs w:val="22"/>
        </w:rPr>
        <w:t xml:space="preserve"> </w:t>
      </w:r>
      <w:r>
        <w:rPr>
          <w:spacing w:val="-2"/>
          <w:szCs w:val="22"/>
        </w:rPr>
        <w:t xml:space="preserve">la </w:t>
      </w:r>
      <w:r>
        <w:rPr>
          <w:szCs w:val="22"/>
        </w:rPr>
        <w:t>0,3%</w:t>
      </w:r>
      <w:r>
        <w:rPr>
          <w:spacing w:val="1"/>
          <w:szCs w:val="22"/>
        </w:rPr>
        <w:t xml:space="preserve"> </w:t>
      </w:r>
      <w:r>
        <w:rPr>
          <w:spacing w:val="-3"/>
          <w:szCs w:val="22"/>
        </w:rPr>
        <w:t>d</w:t>
      </w:r>
      <w:r>
        <w:rPr>
          <w:spacing w:val="1"/>
          <w:szCs w:val="22"/>
        </w:rPr>
        <w:t>i</w:t>
      </w:r>
      <w:r>
        <w:rPr>
          <w:spacing w:val="-3"/>
          <w:szCs w:val="22"/>
        </w:rPr>
        <w:t>n</w:t>
      </w:r>
      <w:r>
        <w:rPr>
          <w:spacing w:val="1"/>
          <w:szCs w:val="22"/>
        </w:rPr>
        <w:t>t</w:t>
      </w:r>
      <w:r>
        <w:rPr>
          <w:szCs w:val="22"/>
        </w:rPr>
        <w:t>re</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2"/>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l</w:t>
      </w:r>
      <w:r>
        <w:rPr>
          <w:szCs w:val="22"/>
        </w:rPr>
        <w:t>a</w:t>
      </w:r>
      <w:r>
        <w:rPr>
          <w:spacing w:val="-2"/>
          <w:szCs w:val="22"/>
        </w:rPr>
        <w:t xml:space="preserve"> </w:t>
      </w:r>
      <w:r>
        <w:rPr>
          <w:szCs w:val="22"/>
        </w:rPr>
        <w:t>0,</w:t>
      </w:r>
      <w:r>
        <w:rPr>
          <w:spacing w:val="-3"/>
          <w:szCs w:val="22"/>
        </w:rPr>
        <w:t>6</w:t>
      </w:r>
      <w:r>
        <w:rPr>
          <w:szCs w:val="22"/>
        </w:rPr>
        <w:t>%</w:t>
      </w:r>
      <w:r>
        <w:rPr>
          <w:spacing w:val="1"/>
          <w:szCs w:val="22"/>
        </w:rPr>
        <w:t xml:space="preserve"> </w:t>
      </w:r>
      <w:r>
        <w:rPr>
          <w:szCs w:val="22"/>
        </w:rPr>
        <w:t>d</w:t>
      </w:r>
      <w:r>
        <w:rPr>
          <w:spacing w:val="-2"/>
          <w:szCs w:val="22"/>
        </w:rPr>
        <w:t>i</w:t>
      </w:r>
      <w:r>
        <w:rPr>
          <w:szCs w:val="22"/>
        </w:rPr>
        <w:t>n</w:t>
      </w:r>
      <w:r>
        <w:rPr>
          <w:spacing w:val="-2"/>
          <w:szCs w:val="22"/>
        </w:rPr>
        <w:t>tr</w:t>
      </w:r>
      <w:r>
        <w:rPr>
          <w:szCs w:val="22"/>
        </w:rPr>
        <w:t>e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3"/>
          <w:szCs w:val="22"/>
        </w:rPr>
        <w:t>g</w:t>
      </w:r>
      <w:r>
        <w:rPr>
          <w:szCs w:val="22"/>
        </w:rPr>
        <w:t>rupul</w:t>
      </w:r>
      <w:r>
        <w:rPr>
          <w:spacing w:val="-2"/>
          <w:szCs w:val="22"/>
        </w:rPr>
        <w:t xml:space="preserve"> </w:t>
      </w:r>
      <w:r>
        <w:rPr>
          <w:szCs w:val="22"/>
        </w:rPr>
        <w:t>co</w:t>
      </w:r>
      <w:r>
        <w:rPr>
          <w:spacing w:val="-3"/>
          <w:szCs w:val="22"/>
        </w:rPr>
        <w:t>n</w:t>
      </w:r>
      <w:r>
        <w:rPr>
          <w:spacing w:val="1"/>
          <w:szCs w:val="22"/>
        </w:rPr>
        <w:t>t</w:t>
      </w:r>
      <w:r>
        <w:rPr>
          <w:spacing w:val="-2"/>
          <w:szCs w:val="22"/>
        </w:rPr>
        <w:t>r</w:t>
      </w:r>
      <w:r>
        <w:rPr>
          <w:szCs w:val="22"/>
        </w:rPr>
        <w:t>o</w:t>
      </w:r>
      <w:r>
        <w:rPr>
          <w:spacing w:val="1"/>
          <w:szCs w:val="22"/>
        </w:rPr>
        <w:t>l</w:t>
      </w:r>
      <w:r>
        <w:rPr>
          <w:szCs w:val="22"/>
        </w:rPr>
        <w:t>.</w:t>
      </w:r>
    </w:p>
    <w:p w14:paraId="18564CD1" w14:textId="77777777" w:rsidR="00C04CAD" w:rsidRDefault="00C04CAD">
      <w:pPr>
        <w:tabs>
          <w:tab w:val="clear" w:pos="567"/>
        </w:tabs>
        <w:kinsoku w:val="0"/>
        <w:overflowPunct w:val="0"/>
        <w:autoSpaceDE w:val="0"/>
        <w:autoSpaceDN w:val="0"/>
        <w:adjustRightInd w:val="0"/>
        <w:spacing w:line="240" w:lineRule="auto"/>
        <w:rPr>
          <w:szCs w:val="22"/>
        </w:rPr>
      </w:pPr>
    </w:p>
    <w:p w14:paraId="41CD9A0F"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e c</w:t>
      </w:r>
      <w:r>
        <w:rPr>
          <w:spacing w:val="-3"/>
          <w:szCs w:val="22"/>
        </w:rPr>
        <w:t>o</w:t>
      </w:r>
      <w:r>
        <w:rPr>
          <w:szCs w:val="22"/>
        </w:rPr>
        <w:t>n</w:t>
      </w:r>
      <w:r>
        <w:rPr>
          <w:spacing w:val="-2"/>
          <w:szCs w:val="22"/>
        </w:rPr>
        <w:t>t</w:t>
      </w:r>
      <w:r>
        <w:rPr>
          <w:szCs w:val="22"/>
        </w:rPr>
        <w:t>ro</w:t>
      </w:r>
      <w:r>
        <w:rPr>
          <w:spacing w:val="-2"/>
          <w:szCs w:val="22"/>
        </w:rPr>
        <w:t>l</w:t>
      </w:r>
      <w:r>
        <w:rPr>
          <w:szCs w:val="22"/>
        </w:rPr>
        <w:t>a</w:t>
      </w:r>
      <w:r>
        <w:rPr>
          <w:spacing w:val="1"/>
          <w:szCs w:val="22"/>
        </w:rPr>
        <w:t>t</w:t>
      </w:r>
      <w:r>
        <w:rPr>
          <w:szCs w:val="22"/>
        </w:rPr>
        <w:t>e</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cu du</w:t>
      </w:r>
      <w:r>
        <w:rPr>
          <w:spacing w:val="-2"/>
          <w:szCs w:val="22"/>
        </w:rPr>
        <w:t>r</w:t>
      </w:r>
      <w:r>
        <w:rPr>
          <w:szCs w:val="22"/>
        </w:rPr>
        <w:t>a</w:t>
      </w:r>
      <w:r>
        <w:rPr>
          <w:spacing w:val="-2"/>
          <w:szCs w:val="22"/>
        </w:rPr>
        <w:t>t</w:t>
      </w:r>
      <w:r>
        <w:rPr>
          <w:szCs w:val="22"/>
        </w:rPr>
        <w:t xml:space="preserve">ă de </w:t>
      </w:r>
      <w:r>
        <w:rPr>
          <w:spacing w:val="-3"/>
          <w:szCs w:val="22"/>
        </w:rPr>
        <w:t>p</w:t>
      </w:r>
      <w:r>
        <w:rPr>
          <w:szCs w:val="22"/>
        </w:rPr>
        <w:t>ână</w:t>
      </w:r>
      <w:r>
        <w:rPr>
          <w:spacing w:val="-2"/>
          <w:szCs w:val="22"/>
        </w:rPr>
        <w:t xml:space="preserve"> </w:t>
      </w:r>
      <w:r>
        <w:rPr>
          <w:spacing w:val="1"/>
          <w:szCs w:val="22"/>
        </w:rPr>
        <w:t>l</w:t>
      </w:r>
      <w:r>
        <w:rPr>
          <w:szCs w:val="22"/>
        </w:rPr>
        <w:t xml:space="preserve">a </w:t>
      </w:r>
      <w:r>
        <w:rPr>
          <w:spacing w:val="-3"/>
          <w:szCs w:val="22"/>
        </w:rPr>
        <w:t>8</w:t>
      </w:r>
      <w:r>
        <w:rPr>
          <w:szCs w:val="22"/>
        </w:rPr>
        <w:t>0 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zCs w:val="22"/>
        </w:rPr>
        <w:t>(do</w:t>
      </w:r>
      <w:r>
        <w:rPr>
          <w:spacing w:val="-3"/>
          <w:szCs w:val="22"/>
        </w:rPr>
        <w:t>z</w:t>
      </w:r>
      <w:r>
        <w:rPr>
          <w:szCs w:val="22"/>
        </w:rPr>
        <w:t>e</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2"/>
          <w:szCs w:val="22"/>
        </w:rPr>
        <w:t>l</w:t>
      </w:r>
      <w:r>
        <w:rPr>
          <w:szCs w:val="22"/>
        </w:rPr>
        <w:t xml:space="preserve">e </w:t>
      </w:r>
      <w:r>
        <w:rPr>
          <w:spacing w:val="-3"/>
          <w:szCs w:val="22"/>
        </w:rPr>
        <w:t>d</w:t>
      </w:r>
      <w:r>
        <w:rPr>
          <w:szCs w:val="22"/>
        </w:rPr>
        <w:t>e 80 </w:t>
      </w:r>
      <w:r>
        <w:rPr>
          <w:spacing w:val="-4"/>
          <w:szCs w:val="22"/>
        </w:rPr>
        <w:t>m</w:t>
      </w:r>
      <w:r>
        <w:rPr>
          <w:szCs w:val="22"/>
        </w:rPr>
        <w:t>g</w:t>
      </w:r>
      <w:r>
        <w:rPr>
          <w:spacing w:val="-3"/>
          <w:szCs w:val="22"/>
        </w:rPr>
        <w:t xml:space="preserve"> </w:t>
      </w:r>
      <w:r>
        <w:rPr>
          <w:spacing w:val="1"/>
          <w:szCs w:val="22"/>
        </w:rPr>
        <w:t>î</w:t>
      </w:r>
      <w:r>
        <w:rPr>
          <w:szCs w:val="22"/>
        </w:rPr>
        <w:t>n săp</w:t>
      </w:r>
      <w:r>
        <w:rPr>
          <w:spacing w:val="-2"/>
          <w:szCs w:val="22"/>
        </w:rPr>
        <w:t>t</w:t>
      </w:r>
      <w:r>
        <w:rPr>
          <w:szCs w:val="22"/>
        </w:rPr>
        <w:t>ă</w:t>
      </w:r>
      <w:r>
        <w:rPr>
          <w:spacing w:val="-4"/>
          <w:szCs w:val="22"/>
        </w:rPr>
        <w:t>m</w:t>
      </w:r>
      <w:r>
        <w:rPr>
          <w:szCs w:val="22"/>
        </w:rPr>
        <w:t>âna 0, ur</w:t>
      </w:r>
      <w:r>
        <w:rPr>
          <w:spacing w:val="-4"/>
          <w:szCs w:val="22"/>
        </w:rPr>
        <w:t>m</w:t>
      </w:r>
      <w:r>
        <w:rPr>
          <w:szCs w:val="22"/>
        </w:rPr>
        <w:t>a</w:t>
      </w:r>
      <w:r>
        <w:rPr>
          <w:spacing w:val="1"/>
          <w:szCs w:val="22"/>
        </w:rPr>
        <w:t>t</w:t>
      </w:r>
      <w:r>
        <w:rPr>
          <w:szCs w:val="22"/>
        </w:rPr>
        <w:t xml:space="preserve">e </w:t>
      </w:r>
      <w:r>
        <w:rPr>
          <w:spacing w:val="-3"/>
          <w:szCs w:val="22"/>
        </w:rPr>
        <w:t>d</w:t>
      </w:r>
      <w:r>
        <w:rPr>
          <w:szCs w:val="22"/>
        </w:rPr>
        <w:t>e 40</w:t>
      </w:r>
      <w:r>
        <w:rPr>
          <w:spacing w:val="-3"/>
          <w:szCs w:val="22"/>
        </w:rPr>
        <w:t> </w:t>
      </w:r>
      <w:r>
        <w:rPr>
          <w:spacing w:val="-2"/>
          <w:szCs w:val="22"/>
        </w:rPr>
        <w:t>m</w:t>
      </w:r>
      <w:r>
        <w:rPr>
          <w:szCs w:val="22"/>
        </w:rPr>
        <w:t>g</w:t>
      </w:r>
      <w:r>
        <w:rPr>
          <w:spacing w:val="-3"/>
          <w:szCs w:val="22"/>
        </w:rPr>
        <w:t xml:space="preserve"> </w:t>
      </w:r>
      <w:r>
        <w:rPr>
          <w:spacing w:val="1"/>
          <w:szCs w:val="22"/>
        </w:rPr>
        <w:t>l</w:t>
      </w:r>
      <w:r>
        <w:rPr>
          <w:szCs w:val="22"/>
        </w:rPr>
        <w:t>a două s</w:t>
      </w:r>
      <w:r>
        <w:rPr>
          <w:spacing w:val="-3"/>
          <w:szCs w:val="22"/>
        </w:rPr>
        <w:t>ă</w:t>
      </w:r>
      <w:r>
        <w:rPr>
          <w:szCs w:val="22"/>
        </w:rPr>
        <w:t>p</w:t>
      </w:r>
      <w:r>
        <w:rPr>
          <w:spacing w:val="1"/>
          <w:szCs w:val="22"/>
        </w:rPr>
        <w:t>t</w:t>
      </w:r>
      <w:r>
        <w:rPr>
          <w:szCs w:val="22"/>
        </w:rPr>
        <w:t>ă</w:t>
      </w:r>
      <w:r>
        <w:rPr>
          <w:spacing w:val="-4"/>
          <w:szCs w:val="22"/>
        </w:rPr>
        <w:t>m</w:t>
      </w:r>
      <w:r>
        <w:rPr>
          <w:szCs w:val="22"/>
        </w:rPr>
        <w:t>âni</w:t>
      </w:r>
      <w:r>
        <w:rPr>
          <w:spacing w:val="-2"/>
          <w:szCs w:val="22"/>
        </w:rPr>
        <w:t xml:space="preserve"> </w:t>
      </w:r>
      <w:r>
        <w:rPr>
          <w:spacing w:val="1"/>
          <w:szCs w:val="22"/>
        </w:rPr>
        <w:t>î</w:t>
      </w:r>
      <w:r>
        <w:rPr>
          <w:szCs w:val="22"/>
        </w:rPr>
        <w:t>nc</w:t>
      </w:r>
      <w:r>
        <w:rPr>
          <w:spacing w:val="-3"/>
          <w:szCs w:val="22"/>
        </w:rPr>
        <w:t>ep</w:t>
      </w:r>
      <w:r>
        <w:rPr>
          <w:szCs w:val="22"/>
        </w:rPr>
        <w:t>ând cu</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âna 1)</w:t>
      </w:r>
      <w:r>
        <w:rPr>
          <w:spacing w:val="-2"/>
          <w:szCs w:val="22"/>
        </w:rPr>
        <w:t xml:space="preserve"> </w:t>
      </w:r>
      <w:r>
        <w:rPr>
          <w:spacing w:val="1"/>
          <w:szCs w:val="22"/>
        </w:rPr>
        <w:t>l</w:t>
      </w:r>
      <w:r>
        <w:rPr>
          <w:szCs w:val="22"/>
        </w:rPr>
        <w:t xml:space="preserve">a </w:t>
      </w:r>
      <w:r>
        <w:rPr>
          <w:spacing w:val="-3"/>
          <w:szCs w:val="22"/>
        </w:rPr>
        <w:t>p</w:t>
      </w:r>
      <w:r>
        <w:rPr>
          <w:szCs w:val="22"/>
        </w:rPr>
        <w:t>ac</w:t>
      </w:r>
      <w:r>
        <w:rPr>
          <w:spacing w:val="-2"/>
          <w:szCs w:val="22"/>
        </w:rPr>
        <w:t>i</w:t>
      </w:r>
      <w:r>
        <w:rPr>
          <w:szCs w:val="22"/>
        </w:rPr>
        <w:t>en</w:t>
      </w:r>
      <w:r>
        <w:rPr>
          <w:spacing w:val="-2"/>
          <w:szCs w:val="22"/>
        </w:rPr>
        <w:t>ţ</w:t>
      </w:r>
      <w:r>
        <w:rPr>
          <w:szCs w:val="22"/>
        </w:rPr>
        <w:t>ii</w:t>
      </w:r>
      <w:r>
        <w:rPr>
          <w:spacing w:val="1"/>
          <w:szCs w:val="22"/>
        </w:rPr>
        <w:t xml:space="preserve"> adulți </w:t>
      </w:r>
      <w:r>
        <w:rPr>
          <w:spacing w:val="-3"/>
          <w:szCs w:val="22"/>
        </w:rPr>
        <w:t>c</w:t>
      </w:r>
      <w:r>
        <w:rPr>
          <w:szCs w:val="22"/>
        </w:rPr>
        <w:t>u u</w:t>
      </w:r>
      <w:r>
        <w:rPr>
          <w:spacing w:val="-3"/>
          <w:szCs w:val="22"/>
        </w:rPr>
        <w:t>v</w:t>
      </w:r>
      <w:r>
        <w:rPr>
          <w:szCs w:val="22"/>
        </w:rPr>
        <w:t>e</w:t>
      </w:r>
      <w:r>
        <w:rPr>
          <w:spacing w:val="1"/>
          <w:szCs w:val="22"/>
        </w:rPr>
        <w:t>i</w:t>
      </w:r>
      <w:r>
        <w:rPr>
          <w:spacing w:val="-2"/>
          <w:szCs w:val="22"/>
        </w:rPr>
        <w:t>t</w:t>
      </w:r>
      <w:r>
        <w:rPr>
          <w:szCs w:val="22"/>
        </w:rPr>
        <w:t xml:space="preserve">ă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e</w:t>
      </w:r>
      <w:r>
        <w:rPr>
          <w:spacing w:val="-3"/>
          <w:szCs w:val="22"/>
        </w:rPr>
        <w:t>x</w:t>
      </w:r>
      <w:r>
        <w:rPr>
          <w:szCs w:val="22"/>
        </w:rPr>
        <w:t>pun</w:t>
      </w:r>
      <w:r>
        <w:rPr>
          <w:spacing w:val="-3"/>
          <w:szCs w:val="22"/>
        </w:rPr>
        <w:t>e</w:t>
      </w:r>
      <w:r>
        <w:rPr>
          <w:szCs w:val="22"/>
        </w:rPr>
        <w:t>r</w:t>
      </w:r>
      <w:r>
        <w:rPr>
          <w:spacing w:val="-3"/>
          <w:szCs w:val="22"/>
        </w:rPr>
        <w:t>e</w:t>
      </w:r>
      <w:r>
        <w:rPr>
          <w:szCs w:val="22"/>
        </w:rPr>
        <w:t xml:space="preserve">a </w:t>
      </w:r>
      <w:r>
        <w:rPr>
          <w:spacing w:val="-4"/>
          <w:szCs w:val="22"/>
        </w:rPr>
        <w:t>m</w:t>
      </w:r>
      <w:r>
        <w:rPr>
          <w:szCs w:val="22"/>
        </w:rPr>
        <w:t>ed</w:t>
      </w:r>
      <w:r>
        <w:rPr>
          <w:spacing w:val="1"/>
          <w:szCs w:val="22"/>
        </w:rPr>
        <w:t>i</w:t>
      </w:r>
      <w:r>
        <w:rPr>
          <w:szCs w:val="22"/>
        </w:rPr>
        <w:t>ană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de</w:t>
      </w:r>
      <w:r>
        <w:rPr>
          <w:spacing w:val="-2"/>
          <w:szCs w:val="22"/>
        </w:rPr>
        <w:t xml:space="preserve"> </w:t>
      </w:r>
      <w:r>
        <w:rPr>
          <w:szCs w:val="22"/>
        </w:rPr>
        <w:t xml:space="preserve">166,5 </w:t>
      </w:r>
      <w:r>
        <w:rPr>
          <w:spacing w:val="-5"/>
          <w:szCs w:val="22"/>
        </w:rPr>
        <w:t>z</w:t>
      </w:r>
      <w:r>
        <w:rPr>
          <w:spacing w:val="1"/>
          <w:szCs w:val="22"/>
        </w:rPr>
        <w:t>il</w:t>
      </w:r>
      <w:r>
        <w:rPr>
          <w:szCs w:val="22"/>
        </w:rPr>
        <w:t>e</w:t>
      </w:r>
      <w:r>
        <w:rPr>
          <w:spacing w:val="-2"/>
          <w:szCs w:val="22"/>
        </w:rPr>
        <w:t xml:space="preserve"> </w:t>
      </w:r>
      <w:r>
        <w:rPr>
          <w:szCs w:val="22"/>
        </w:rPr>
        <w:t>şi</w:t>
      </w:r>
      <w:r>
        <w:rPr>
          <w:spacing w:val="-2"/>
          <w:szCs w:val="22"/>
        </w:rPr>
        <w:t xml:space="preserve"> </w:t>
      </w:r>
      <w:r>
        <w:rPr>
          <w:szCs w:val="22"/>
        </w:rPr>
        <w:t>re</w:t>
      </w:r>
      <w:r>
        <w:rPr>
          <w:spacing w:val="-2"/>
          <w:szCs w:val="22"/>
        </w:rPr>
        <w:t>s</w:t>
      </w:r>
      <w:r>
        <w:rPr>
          <w:szCs w:val="22"/>
        </w:rPr>
        <w:t>pe</w:t>
      </w:r>
      <w:r>
        <w:rPr>
          <w:spacing w:val="-3"/>
          <w:szCs w:val="22"/>
        </w:rPr>
        <w:t>c</w:t>
      </w:r>
      <w:r>
        <w:rPr>
          <w:spacing w:val="1"/>
          <w:szCs w:val="22"/>
        </w:rPr>
        <w:t>ti</w:t>
      </w:r>
      <w:r>
        <w:rPr>
          <w:szCs w:val="22"/>
        </w:rPr>
        <w:t>v</w:t>
      </w:r>
      <w:r>
        <w:rPr>
          <w:spacing w:val="-3"/>
          <w:szCs w:val="22"/>
        </w:rPr>
        <w:t xml:space="preserve"> </w:t>
      </w:r>
      <w:r>
        <w:rPr>
          <w:szCs w:val="22"/>
        </w:rPr>
        <w:t>de 1</w:t>
      </w:r>
      <w:r>
        <w:rPr>
          <w:spacing w:val="-3"/>
          <w:szCs w:val="22"/>
        </w:rPr>
        <w:t>0</w:t>
      </w:r>
      <w:r>
        <w:rPr>
          <w:szCs w:val="22"/>
        </w:rPr>
        <w:t xml:space="preserve">5,0 </w:t>
      </w:r>
      <w:r>
        <w:rPr>
          <w:spacing w:val="-3"/>
          <w:szCs w:val="22"/>
        </w:rPr>
        <w:t>z</w:t>
      </w:r>
      <w:r>
        <w:rPr>
          <w:spacing w:val="1"/>
          <w:szCs w:val="22"/>
        </w:rPr>
        <w:t>i</w:t>
      </w:r>
      <w:r>
        <w:rPr>
          <w:spacing w:val="-2"/>
          <w:szCs w:val="22"/>
        </w:rPr>
        <w:t>l</w:t>
      </w:r>
      <w:r>
        <w:rPr>
          <w:szCs w:val="22"/>
        </w:rPr>
        <w:t>e</w:t>
      </w:r>
      <w:r>
        <w:rPr>
          <w:spacing w:val="-2"/>
          <w:szCs w:val="22"/>
        </w:rPr>
        <w:t xml:space="preserve"> </w:t>
      </w:r>
      <w:r>
        <w:rPr>
          <w:spacing w:val="1"/>
          <w:szCs w:val="22"/>
        </w:rPr>
        <w:t>l</w:t>
      </w:r>
      <w:r>
        <w:rPr>
          <w:szCs w:val="22"/>
        </w:rPr>
        <w:t>a 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d</w:t>
      </w:r>
      <w:r>
        <w:rPr>
          <w:spacing w:val="1"/>
          <w:szCs w:val="22"/>
        </w:rPr>
        <w:t>i</w:t>
      </w:r>
      <w:r>
        <w:rPr>
          <w:szCs w:val="22"/>
        </w:rPr>
        <w:t xml:space="preserve">n </w:t>
      </w:r>
      <w:r>
        <w:rPr>
          <w:spacing w:val="-3"/>
          <w:szCs w:val="22"/>
        </w:rPr>
        <w:t>g</w:t>
      </w:r>
      <w:r>
        <w:rPr>
          <w:szCs w:val="22"/>
        </w:rPr>
        <w:t>rupul</w:t>
      </w:r>
      <w:r>
        <w:rPr>
          <w:spacing w:val="1"/>
          <w:szCs w:val="22"/>
        </w:rPr>
        <w:t xml:space="preserve"> </w:t>
      </w:r>
      <w:r>
        <w:rPr>
          <w:szCs w:val="22"/>
        </w:rPr>
        <w:t>co</w:t>
      </w:r>
      <w:r>
        <w:rPr>
          <w:spacing w:val="-3"/>
          <w:szCs w:val="22"/>
        </w:rPr>
        <w:t>n</w:t>
      </w:r>
      <w:r>
        <w:rPr>
          <w:spacing w:val="1"/>
          <w:szCs w:val="22"/>
        </w:rPr>
        <w:t>t</w:t>
      </w:r>
      <w:r>
        <w:rPr>
          <w:spacing w:val="-2"/>
          <w:szCs w:val="22"/>
        </w:rPr>
        <w:t>r</w:t>
      </w:r>
      <w:r>
        <w:rPr>
          <w:szCs w:val="22"/>
        </w:rPr>
        <w:t>o</w:t>
      </w:r>
      <w:r>
        <w:rPr>
          <w:spacing w:val="1"/>
          <w:szCs w:val="22"/>
        </w:rPr>
        <w:t>l</w:t>
      </w:r>
      <w:r>
        <w:rPr>
          <w:szCs w:val="22"/>
        </w:rPr>
        <w:t>,</w:t>
      </w:r>
      <w:r>
        <w:rPr>
          <w:spacing w:val="-3"/>
          <w:szCs w:val="22"/>
        </w:rPr>
        <w:t xml:space="preserve"> </w:t>
      </w:r>
      <w:r>
        <w:rPr>
          <w:spacing w:val="1"/>
          <w:szCs w:val="22"/>
        </w:rPr>
        <w:t>i</w:t>
      </w:r>
      <w:r>
        <w:rPr>
          <w:spacing w:val="-3"/>
          <w:szCs w:val="22"/>
        </w:rPr>
        <w:t>a</w:t>
      </w:r>
      <w:r>
        <w:rPr>
          <w:szCs w:val="22"/>
        </w:rPr>
        <w:t>r</w:t>
      </w:r>
      <w:r>
        <w:rPr>
          <w:spacing w:val="1"/>
          <w:szCs w:val="22"/>
        </w:rPr>
        <w:t xml:space="preserve"> </w:t>
      </w:r>
      <w:r>
        <w:rPr>
          <w:szCs w:val="22"/>
        </w:rPr>
        <w:t>c</w:t>
      </w:r>
      <w:r>
        <w:rPr>
          <w:spacing w:val="-2"/>
          <w:szCs w:val="22"/>
        </w:rPr>
        <w:t>r</w:t>
      </w:r>
      <w:r>
        <w:rPr>
          <w:szCs w:val="22"/>
        </w:rPr>
        <w:t>e</w:t>
      </w:r>
      <w:r>
        <w:rPr>
          <w:spacing w:val="-2"/>
          <w:szCs w:val="22"/>
        </w:rPr>
        <w:t>ş</w:t>
      </w:r>
      <w:r>
        <w:rPr>
          <w:spacing w:val="1"/>
          <w:szCs w:val="22"/>
        </w:rPr>
        <w:t>t</w:t>
      </w:r>
      <w:r>
        <w:rPr>
          <w:szCs w:val="22"/>
        </w:rPr>
        <w:t>e</w:t>
      </w:r>
      <w:r>
        <w:rPr>
          <w:spacing w:val="-2"/>
          <w:szCs w:val="22"/>
        </w:rPr>
        <w:t>r</w:t>
      </w:r>
      <w:r>
        <w:rPr>
          <w:szCs w:val="22"/>
        </w:rPr>
        <w:t>ea</w:t>
      </w:r>
      <w:r>
        <w:rPr>
          <w:spacing w:val="-2"/>
          <w:szCs w:val="22"/>
        </w:rPr>
        <w:t xml:space="preserve"> </w:t>
      </w:r>
      <w:r>
        <w:rPr>
          <w:spacing w:val="-1"/>
          <w:szCs w:val="22"/>
        </w:rPr>
        <w:t>AL</w:t>
      </w:r>
      <w:r>
        <w:rPr>
          <w:szCs w:val="22"/>
        </w:rPr>
        <w:t>T</w:t>
      </w:r>
      <w:r>
        <w:rPr>
          <w:spacing w:val="-1"/>
          <w:szCs w:val="22"/>
        </w:rPr>
        <w:t xml:space="preserve"> </w:t>
      </w:r>
      <w:r>
        <w:rPr>
          <w:szCs w:val="22"/>
        </w:rPr>
        <w:t>≥</w:t>
      </w:r>
      <w:r>
        <w:rPr>
          <w:spacing w:val="1"/>
          <w:szCs w:val="22"/>
        </w:rPr>
        <w:t xml:space="preserve"> </w:t>
      </w:r>
      <w:r>
        <w:rPr>
          <w:szCs w:val="22"/>
        </w:rPr>
        <w:t xml:space="preserve">3 x </w:t>
      </w:r>
      <w:r>
        <w:rPr>
          <w:spacing w:val="-1"/>
          <w:szCs w:val="22"/>
        </w:rPr>
        <w:t>LS</w:t>
      </w:r>
      <w:r>
        <w:rPr>
          <w:szCs w:val="22"/>
        </w:rPr>
        <w:t>N</w:t>
      </w:r>
      <w:r>
        <w:rPr>
          <w:spacing w:val="-1"/>
          <w:szCs w:val="22"/>
        </w:rPr>
        <w:t xml:space="preserve"> </w:t>
      </w:r>
      <w:r>
        <w:rPr>
          <w:szCs w:val="22"/>
        </w:rPr>
        <w:t>s</w:t>
      </w:r>
      <w:r>
        <w:rPr>
          <w:spacing w:val="-4"/>
          <w:szCs w:val="22"/>
        </w:rPr>
        <w:t>-</w:t>
      </w:r>
      <w:r>
        <w:rPr>
          <w:szCs w:val="22"/>
        </w:rPr>
        <w:t xml:space="preserve">a </w:t>
      </w:r>
      <w:r>
        <w:rPr>
          <w:spacing w:val="1"/>
          <w:szCs w:val="22"/>
        </w:rPr>
        <w:t>î</w:t>
      </w:r>
      <w:r>
        <w:rPr>
          <w:spacing w:val="-3"/>
          <w:szCs w:val="22"/>
        </w:rPr>
        <w:t>n</w:t>
      </w:r>
      <w:r>
        <w:rPr>
          <w:spacing w:val="1"/>
          <w:szCs w:val="22"/>
        </w:rPr>
        <w:t>t</w:t>
      </w:r>
      <w:r>
        <w:rPr>
          <w:szCs w:val="22"/>
        </w:rPr>
        <w:t>â</w:t>
      </w:r>
      <w:r>
        <w:rPr>
          <w:spacing w:val="-2"/>
          <w:szCs w:val="22"/>
        </w:rPr>
        <w:t>l</w:t>
      </w:r>
      <w:r>
        <w:rPr>
          <w:szCs w:val="22"/>
        </w:rPr>
        <w:t>n</w:t>
      </w:r>
      <w:r>
        <w:rPr>
          <w:spacing w:val="-2"/>
          <w:szCs w:val="22"/>
        </w:rPr>
        <w:t>i</w:t>
      </w:r>
      <w:r>
        <w:rPr>
          <w:szCs w:val="22"/>
        </w:rPr>
        <w:t>t</w:t>
      </w:r>
      <w:r>
        <w:rPr>
          <w:spacing w:val="-2"/>
          <w:szCs w:val="22"/>
        </w:rPr>
        <w:t xml:space="preserve"> </w:t>
      </w:r>
      <w:r>
        <w:rPr>
          <w:spacing w:val="1"/>
          <w:szCs w:val="22"/>
        </w:rPr>
        <w:t>l</w:t>
      </w:r>
      <w:r>
        <w:rPr>
          <w:szCs w:val="22"/>
        </w:rPr>
        <w:t>a 2,</w:t>
      </w:r>
      <w:r>
        <w:rPr>
          <w:spacing w:val="-3"/>
          <w:szCs w:val="22"/>
        </w:rPr>
        <w:t>4</w:t>
      </w:r>
      <w:r>
        <w:rPr>
          <w:szCs w:val="22"/>
        </w:rPr>
        <w:t>%</w:t>
      </w:r>
      <w:r>
        <w:rPr>
          <w:spacing w:val="1"/>
          <w:szCs w:val="22"/>
        </w:rPr>
        <w:t xml:space="preserve"> </w:t>
      </w:r>
      <w:r>
        <w:rPr>
          <w:spacing w:val="-3"/>
          <w:szCs w:val="22"/>
        </w:rPr>
        <w:t>d</w:t>
      </w:r>
      <w:r>
        <w:rPr>
          <w:spacing w:val="1"/>
          <w:szCs w:val="22"/>
        </w:rPr>
        <w:t>i</w:t>
      </w:r>
      <w:r>
        <w:rPr>
          <w:spacing w:val="-3"/>
          <w:szCs w:val="22"/>
        </w:rPr>
        <w:t>n</w:t>
      </w:r>
      <w:r>
        <w:rPr>
          <w:spacing w:val="1"/>
          <w:szCs w:val="22"/>
        </w:rPr>
        <w:t>t</w:t>
      </w:r>
      <w:r>
        <w:rPr>
          <w:szCs w:val="22"/>
        </w:rPr>
        <w:t>re</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2"/>
          <w:szCs w:val="22"/>
        </w:rPr>
        <w:t>t</w:t>
      </w:r>
      <w:r>
        <w:rPr>
          <w:szCs w:val="22"/>
        </w:rPr>
        <w:t>r</w:t>
      </w:r>
      <w:r>
        <w:rPr>
          <w:spacing w:val="-3"/>
          <w:szCs w:val="22"/>
        </w:rPr>
        <w:t>a</w:t>
      </w:r>
      <w:r>
        <w:rPr>
          <w:spacing w:val="-2"/>
          <w:szCs w:val="22"/>
        </w:rPr>
        <w:t>t</w:t>
      </w:r>
      <w:r>
        <w:rPr>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2"/>
          <w:szCs w:val="22"/>
        </w:rPr>
        <w:t xml:space="preserve"> </w:t>
      </w:r>
      <w:r>
        <w:rPr>
          <w:spacing w:val="1"/>
          <w:szCs w:val="22"/>
        </w:rPr>
        <w:t>l</w:t>
      </w:r>
      <w:r>
        <w:rPr>
          <w:szCs w:val="22"/>
        </w:rPr>
        <w:t>a 2,4%</w:t>
      </w:r>
      <w:r>
        <w:rPr>
          <w:spacing w:val="1"/>
          <w:szCs w:val="22"/>
        </w:rPr>
        <w:t xml:space="preserve"> </w:t>
      </w:r>
      <w:r>
        <w:rPr>
          <w:spacing w:val="-3"/>
          <w:szCs w:val="22"/>
        </w:rPr>
        <w:t>d</w:t>
      </w:r>
      <w:r>
        <w:rPr>
          <w:spacing w:val="1"/>
          <w:szCs w:val="22"/>
        </w:rPr>
        <w:t>i</w:t>
      </w:r>
      <w:r>
        <w:rPr>
          <w:spacing w:val="-3"/>
          <w:szCs w:val="22"/>
        </w:rPr>
        <w:t>n</w:t>
      </w:r>
      <w:r>
        <w:rPr>
          <w:spacing w:val="1"/>
          <w:szCs w:val="22"/>
        </w:rPr>
        <w:t>t</w:t>
      </w:r>
      <w:r>
        <w:rPr>
          <w:szCs w:val="22"/>
        </w:rPr>
        <w:t>re</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3"/>
          <w:szCs w:val="22"/>
        </w:rPr>
        <w:t>g</w:t>
      </w:r>
      <w:r>
        <w:rPr>
          <w:szCs w:val="22"/>
        </w:rPr>
        <w:t>rupul</w:t>
      </w:r>
      <w:r>
        <w:rPr>
          <w:spacing w:val="1"/>
          <w:szCs w:val="22"/>
        </w:rPr>
        <w:t xml:space="preserve"> </w:t>
      </w:r>
      <w:r>
        <w:rPr>
          <w:spacing w:val="-3"/>
          <w:szCs w:val="22"/>
        </w:rPr>
        <w:t>c</w:t>
      </w:r>
      <w:r>
        <w:rPr>
          <w:szCs w:val="22"/>
        </w:rPr>
        <w:t>on</w:t>
      </w:r>
      <w:r>
        <w:rPr>
          <w:spacing w:val="-2"/>
          <w:szCs w:val="22"/>
        </w:rPr>
        <w:t>t</w:t>
      </w:r>
      <w:r>
        <w:rPr>
          <w:szCs w:val="22"/>
        </w:rPr>
        <w:t>ro</w:t>
      </w:r>
      <w:r>
        <w:rPr>
          <w:spacing w:val="-2"/>
          <w:szCs w:val="22"/>
        </w:rPr>
        <w:t>l</w:t>
      </w:r>
      <w:r>
        <w:rPr>
          <w:szCs w:val="22"/>
        </w:rPr>
        <w:t>.</w:t>
      </w:r>
    </w:p>
    <w:p w14:paraId="079C0AC4" w14:textId="77777777" w:rsidR="00C04CAD" w:rsidRDefault="00C04CAD">
      <w:pPr>
        <w:tabs>
          <w:tab w:val="clear" w:pos="567"/>
        </w:tabs>
        <w:kinsoku w:val="0"/>
        <w:overflowPunct w:val="0"/>
        <w:autoSpaceDE w:val="0"/>
        <w:autoSpaceDN w:val="0"/>
        <w:adjustRightInd w:val="0"/>
        <w:spacing w:line="240" w:lineRule="auto"/>
        <w:rPr>
          <w:szCs w:val="22"/>
        </w:rPr>
      </w:pPr>
    </w:p>
    <w:p w14:paraId="0855C87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studiul controlat de fază 3 cu adalimumab, la pacienți copii și adolescenți cu colită ulcerativă (N=93), care a evaluat eficacitatea și siguranța unei doze de întreținere de 0,6 mg/kg (maximum 40 mg) la două săptămâni (N=31) și ale unei doze de întreținere de 0,6 mg/kg (maximum 40 mg) în fiecare săptămână (N=32), după administrarea dozei de inducție, stabilite în funcție de greutatea corporală, de 2,4 mg/kg (maximum 160 mg) în Săptămâna 0 și Săptămâna 1 și de 1,2 mg/kg (maximum 80 mg) în Săptămâna 2 (N=63) sau a unei doze de inducție de 2,4 mg/kg (maximum 160 mg) în Săptămâna 0, placebo în Săptămâna 1, și de 1,2 mg/kg (maximum 80 mg) în Săptămâna 2 (N=30), s-a observat creșterea ALT ≥ 3 X LSN la 1,1% (1/93) dintre pacienți.</w:t>
      </w:r>
    </w:p>
    <w:p w14:paraId="5DF826BD" w14:textId="77777777" w:rsidR="00C04CAD" w:rsidRDefault="00C04CAD">
      <w:pPr>
        <w:tabs>
          <w:tab w:val="clear" w:pos="567"/>
        </w:tabs>
        <w:kinsoku w:val="0"/>
        <w:overflowPunct w:val="0"/>
        <w:autoSpaceDE w:val="0"/>
        <w:autoSpaceDN w:val="0"/>
        <w:adjustRightInd w:val="0"/>
        <w:spacing w:line="240" w:lineRule="auto"/>
        <w:rPr>
          <w:szCs w:val="22"/>
        </w:rPr>
      </w:pPr>
    </w:p>
    <w:p w14:paraId="13F312A1" w14:textId="77777777" w:rsidR="00C04CAD" w:rsidRDefault="00060E34">
      <w:pPr>
        <w:autoSpaceDE w:val="0"/>
        <w:autoSpaceDN w:val="0"/>
        <w:adjustRightInd w:val="0"/>
        <w:spacing w:line="240" w:lineRule="auto"/>
        <w:jc w:val="both"/>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 xml:space="preserve">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pe</w:t>
      </w:r>
      <w:r>
        <w:rPr>
          <w:spacing w:val="-3"/>
          <w:szCs w:val="22"/>
        </w:rPr>
        <w:t>n</w:t>
      </w:r>
      <w:r>
        <w:rPr>
          <w:spacing w:val="1"/>
          <w:szCs w:val="22"/>
        </w:rPr>
        <w:t>t</w:t>
      </w:r>
      <w:r>
        <w:rPr>
          <w:szCs w:val="22"/>
        </w:rPr>
        <w:t>ru</w:t>
      </w:r>
      <w:r>
        <w:rPr>
          <w:spacing w:val="-3"/>
          <w:szCs w:val="22"/>
        </w:rPr>
        <w:t xml:space="preserve"> </w:t>
      </w:r>
      <w:r>
        <w:rPr>
          <w:spacing w:val="1"/>
          <w:szCs w:val="22"/>
        </w:rPr>
        <w:t>t</w:t>
      </w:r>
      <w:r>
        <w:rPr>
          <w:spacing w:val="-3"/>
          <w:szCs w:val="22"/>
        </w:rPr>
        <w:t>o</w:t>
      </w:r>
      <w:r>
        <w:rPr>
          <w:szCs w:val="22"/>
        </w:rPr>
        <w:t>a</w:t>
      </w:r>
      <w:r>
        <w:rPr>
          <w:spacing w:val="1"/>
          <w:szCs w:val="22"/>
        </w:rPr>
        <w:t>t</w:t>
      </w:r>
      <w:r>
        <w:rPr>
          <w:szCs w:val="22"/>
        </w:rPr>
        <w:t>e</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a</w:t>
      </w:r>
      <w:r>
        <w:rPr>
          <w:spacing w:val="1"/>
          <w:szCs w:val="22"/>
        </w:rPr>
        <w:t>ţ</w:t>
      </w:r>
      <w:r>
        <w:rPr>
          <w:spacing w:val="-2"/>
          <w:szCs w:val="22"/>
        </w:rPr>
        <w:t>i</w:t>
      </w:r>
      <w:r>
        <w:rPr>
          <w:spacing w:val="1"/>
          <w:szCs w:val="22"/>
        </w:rPr>
        <w:t>i</w:t>
      </w:r>
      <w:r>
        <w:rPr>
          <w:spacing w:val="-2"/>
          <w:szCs w:val="22"/>
        </w:rPr>
        <w:t>l</w:t>
      </w:r>
      <w:r>
        <w:rPr>
          <w:szCs w:val="22"/>
        </w:rPr>
        <w:t>e,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cu</w:t>
      </w:r>
      <w:r>
        <w:rPr>
          <w:spacing w:val="-3"/>
          <w:szCs w:val="22"/>
        </w:rPr>
        <w:t xml:space="preserve"> v</w:t>
      </w:r>
      <w:r>
        <w:rPr>
          <w:szCs w:val="22"/>
        </w:rPr>
        <w:t>a</w:t>
      </w:r>
      <w:r>
        <w:rPr>
          <w:spacing w:val="1"/>
          <w:szCs w:val="22"/>
        </w:rPr>
        <w:t>l</w:t>
      </w:r>
      <w:r>
        <w:rPr>
          <w:szCs w:val="22"/>
        </w:rPr>
        <w:t>ori</w:t>
      </w:r>
      <w:r>
        <w:rPr>
          <w:spacing w:val="-2"/>
          <w:szCs w:val="22"/>
        </w:rPr>
        <w:t xml:space="preserve"> </w:t>
      </w:r>
      <w:r>
        <w:rPr>
          <w:szCs w:val="22"/>
        </w:rPr>
        <w:t>cr</w:t>
      </w:r>
      <w:r>
        <w:rPr>
          <w:spacing w:val="-3"/>
          <w:szCs w:val="22"/>
        </w:rPr>
        <w:t>e</w:t>
      </w:r>
      <w:r>
        <w:rPr>
          <w:szCs w:val="22"/>
        </w:rPr>
        <w:t>sc</w:t>
      </w:r>
      <w:r>
        <w:rPr>
          <w:spacing w:val="-3"/>
          <w:szCs w:val="22"/>
        </w:rPr>
        <w:t>u</w:t>
      </w:r>
      <w:r>
        <w:rPr>
          <w:spacing w:val="1"/>
          <w:szCs w:val="22"/>
        </w:rPr>
        <w:t>t</w:t>
      </w:r>
      <w:r>
        <w:rPr>
          <w:szCs w:val="22"/>
        </w:rPr>
        <w:t xml:space="preserve">e </w:t>
      </w:r>
      <w:r>
        <w:rPr>
          <w:spacing w:val="-3"/>
          <w:szCs w:val="22"/>
        </w:rPr>
        <w:t>a</w:t>
      </w:r>
      <w:r>
        <w:rPr>
          <w:spacing w:val="1"/>
          <w:szCs w:val="22"/>
        </w:rPr>
        <w:t>l</w:t>
      </w:r>
      <w:r>
        <w:rPr>
          <w:szCs w:val="22"/>
        </w:rPr>
        <w:t xml:space="preserve">e </w:t>
      </w:r>
      <w:r>
        <w:rPr>
          <w:spacing w:val="-1"/>
          <w:szCs w:val="22"/>
        </w:rPr>
        <w:t>A</w:t>
      </w:r>
      <w:r>
        <w:rPr>
          <w:spacing w:val="-3"/>
          <w:szCs w:val="22"/>
        </w:rPr>
        <w:t>L</w:t>
      </w:r>
      <w:r>
        <w:rPr>
          <w:szCs w:val="22"/>
        </w:rPr>
        <w:t>T</w:t>
      </w:r>
      <w:r>
        <w:rPr>
          <w:spacing w:val="2"/>
          <w:szCs w:val="22"/>
        </w:rPr>
        <w:t xml:space="preserve"> </w:t>
      </w:r>
      <w:r>
        <w:rPr>
          <w:spacing w:val="-3"/>
          <w:szCs w:val="22"/>
        </w:rPr>
        <w:t>a</w:t>
      </w:r>
      <w:r>
        <w:rPr>
          <w:szCs w:val="22"/>
        </w:rPr>
        <w:t>u</w:t>
      </w:r>
      <w:r>
        <w:rPr>
          <w:spacing w:val="-3"/>
          <w:szCs w:val="22"/>
        </w:rPr>
        <w:t xml:space="preserve"> </w:t>
      </w:r>
      <w:r>
        <w:rPr>
          <w:szCs w:val="22"/>
        </w:rPr>
        <w:t>fost</w:t>
      </w:r>
      <w:r>
        <w:rPr>
          <w:spacing w:val="-2"/>
          <w:szCs w:val="22"/>
        </w:rPr>
        <w:t xml:space="preserve"> </w:t>
      </w:r>
      <w:r>
        <w:rPr>
          <w:szCs w:val="22"/>
        </w:rPr>
        <w:t>a</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a</w:t>
      </w:r>
      <w:r>
        <w:rPr>
          <w:spacing w:val="1"/>
          <w:szCs w:val="22"/>
        </w:rPr>
        <w:t>ti</w:t>
      </w:r>
      <w:r>
        <w:rPr>
          <w:szCs w:val="22"/>
        </w:rPr>
        <w:t>ci</w:t>
      </w:r>
      <w:r>
        <w:rPr>
          <w:spacing w:val="-2"/>
          <w:szCs w:val="22"/>
        </w:rPr>
        <w:t xml:space="preserve"> </w:t>
      </w:r>
      <w:r>
        <w:rPr>
          <w:szCs w:val="22"/>
        </w:rPr>
        <w:t>ş</w:t>
      </w:r>
      <w:r>
        <w:rPr>
          <w:spacing w:val="1"/>
          <w:szCs w:val="22"/>
        </w:rPr>
        <w:t>i, î</w:t>
      </w:r>
      <w:r>
        <w:rPr>
          <w:szCs w:val="22"/>
        </w:rPr>
        <w:t>n c</w:t>
      </w:r>
      <w:r>
        <w:rPr>
          <w:spacing w:val="-3"/>
          <w:szCs w:val="22"/>
        </w:rPr>
        <w:t>e</w:t>
      </w:r>
      <w:r>
        <w:rPr>
          <w:spacing w:val="1"/>
          <w:szCs w:val="22"/>
        </w:rPr>
        <w:t>l</w:t>
      </w:r>
      <w:r>
        <w:rPr>
          <w:szCs w:val="22"/>
        </w:rPr>
        <w:t xml:space="preserve">e </w:t>
      </w:r>
      <w:r>
        <w:rPr>
          <w:spacing w:val="-4"/>
          <w:szCs w:val="22"/>
        </w:rPr>
        <w:t>m</w:t>
      </w:r>
      <w:r>
        <w:rPr>
          <w:szCs w:val="22"/>
        </w:rPr>
        <w:t>ai</w:t>
      </w:r>
      <w:r>
        <w:rPr>
          <w:spacing w:val="1"/>
          <w:szCs w:val="22"/>
        </w:rPr>
        <w:t xml:space="preserve"> </w:t>
      </w:r>
      <w:r>
        <w:rPr>
          <w:spacing w:val="-4"/>
          <w:szCs w:val="22"/>
        </w:rPr>
        <w:t>m</w:t>
      </w:r>
      <w:r>
        <w:rPr>
          <w:szCs w:val="22"/>
        </w:rPr>
        <w:t>u</w:t>
      </w:r>
      <w:r>
        <w:rPr>
          <w:spacing w:val="1"/>
          <w:szCs w:val="22"/>
        </w:rPr>
        <w:t>lt</w:t>
      </w:r>
      <w:r>
        <w:rPr>
          <w:szCs w:val="22"/>
        </w:rPr>
        <w:t>e</w:t>
      </w:r>
      <w:r>
        <w:rPr>
          <w:spacing w:val="-2"/>
          <w:szCs w:val="22"/>
        </w:rPr>
        <w:t xml:space="preserve"> </w:t>
      </w:r>
      <w:r>
        <w:rPr>
          <w:szCs w:val="22"/>
        </w:rPr>
        <w:t>ca</w:t>
      </w:r>
      <w:r>
        <w:rPr>
          <w:spacing w:val="-3"/>
          <w:szCs w:val="22"/>
        </w:rPr>
        <w:t>z</w:t>
      </w:r>
      <w:r>
        <w:rPr>
          <w:szCs w:val="22"/>
        </w:rPr>
        <w:t>ur</w:t>
      </w:r>
      <w:r>
        <w:rPr>
          <w:spacing w:val="1"/>
          <w:szCs w:val="22"/>
        </w:rPr>
        <w:t>i</w:t>
      </w:r>
      <w:r>
        <w:rPr>
          <w:szCs w:val="22"/>
        </w:rPr>
        <w:t>,</w:t>
      </w:r>
      <w:r>
        <w:rPr>
          <w:spacing w:val="-3"/>
          <w:szCs w:val="22"/>
        </w:rPr>
        <w:t xml:space="preserve"> </w:t>
      </w:r>
      <w:r>
        <w:rPr>
          <w:szCs w:val="22"/>
        </w:rPr>
        <w:t>a</w:t>
      </w:r>
      <w:r>
        <w:rPr>
          <w:spacing w:val="-3"/>
          <w:szCs w:val="22"/>
        </w:rPr>
        <w:t>c</w:t>
      </w:r>
      <w:r>
        <w:rPr>
          <w:szCs w:val="22"/>
        </w:rPr>
        <w:t>es</w:t>
      </w:r>
      <w:r>
        <w:rPr>
          <w:spacing w:val="1"/>
          <w:szCs w:val="22"/>
        </w:rPr>
        <w:t>t</w:t>
      </w:r>
      <w:r>
        <w:rPr>
          <w:spacing w:val="-3"/>
          <w:szCs w:val="22"/>
        </w:rPr>
        <w:t>e</w:t>
      </w:r>
      <w:r>
        <w:rPr>
          <w:szCs w:val="22"/>
        </w:rPr>
        <w:t>a au</w:t>
      </w:r>
      <w:r>
        <w:rPr>
          <w:spacing w:val="-3"/>
          <w:szCs w:val="22"/>
        </w:rPr>
        <w:t xml:space="preserve"> </w:t>
      </w:r>
      <w:r>
        <w:rPr>
          <w:szCs w:val="22"/>
        </w:rPr>
        <w:t>fo</w:t>
      </w:r>
      <w:r>
        <w:rPr>
          <w:spacing w:val="-2"/>
          <w:szCs w:val="22"/>
        </w:rPr>
        <w:t>s</w:t>
      </w:r>
      <w:r>
        <w:rPr>
          <w:szCs w:val="22"/>
        </w:rPr>
        <w:t>t</w:t>
      </w:r>
      <w:r>
        <w:rPr>
          <w:spacing w:val="-2"/>
          <w:szCs w:val="22"/>
        </w:rPr>
        <w:t xml:space="preserve"> </w:t>
      </w:r>
      <w:r>
        <w:rPr>
          <w:spacing w:val="1"/>
          <w:szCs w:val="22"/>
        </w:rPr>
        <w:t>t</w:t>
      </w:r>
      <w:r>
        <w:rPr>
          <w:szCs w:val="22"/>
        </w:rPr>
        <w:t>ran</w:t>
      </w:r>
      <w:r>
        <w:rPr>
          <w:spacing w:val="-3"/>
          <w:szCs w:val="22"/>
        </w:rPr>
        <w:t>z</w:t>
      </w:r>
      <w:r>
        <w:rPr>
          <w:spacing w:val="-2"/>
          <w:szCs w:val="22"/>
        </w:rPr>
        <w:t>i</w:t>
      </w:r>
      <w:r>
        <w:rPr>
          <w:spacing w:val="1"/>
          <w:szCs w:val="22"/>
        </w:rPr>
        <w:t>t</w:t>
      </w:r>
      <w:r>
        <w:rPr>
          <w:szCs w:val="22"/>
        </w:rPr>
        <w:t>o</w:t>
      </w:r>
      <w:r>
        <w:rPr>
          <w:spacing w:val="-2"/>
          <w:szCs w:val="22"/>
        </w:rPr>
        <w:t>ri</w:t>
      </w:r>
      <w:r>
        <w:rPr>
          <w:szCs w:val="22"/>
        </w:rPr>
        <w:t>i</w:t>
      </w:r>
      <w:r>
        <w:rPr>
          <w:spacing w:val="1"/>
          <w:szCs w:val="22"/>
        </w:rPr>
        <w:t xml:space="preserve"> </w:t>
      </w:r>
      <w:r>
        <w:rPr>
          <w:szCs w:val="22"/>
        </w:rPr>
        <w:t>şi</w:t>
      </w:r>
      <w:r>
        <w:rPr>
          <w:spacing w:val="-2"/>
          <w:szCs w:val="22"/>
        </w:rPr>
        <w:t xml:space="preserve"> </w:t>
      </w:r>
      <w:r>
        <w:rPr>
          <w:spacing w:val="-3"/>
          <w:szCs w:val="22"/>
        </w:rPr>
        <w:t>a</w:t>
      </w:r>
      <w:r>
        <w:rPr>
          <w:szCs w:val="22"/>
        </w:rPr>
        <w:t>u d</w:t>
      </w:r>
      <w:r>
        <w:rPr>
          <w:spacing w:val="1"/>
          <w:szCs w:val="22"/>
        </w:rPr>
        <w:t>i</w:t>
      </w:r>
      <w:r>
        <w:rPr>
          <w:szCs w:val="22"/>
        </w:rPr>
        <w:t>s</w:t>
      </w:r>
      <w:r>
        <w:rPr>
          <w:spacing w:val="-3"/>
          <w:szCs w:val="22"/>
        </w:rPr>
        <w:t>p</w:t>
      </w:r>
      <w:r>
        <w:rPr>
          <w:szCs w:val="22"/>
        </w:rPr>
        <w:t>ăr</w:t>
      </w:r>
      <w:r>
        <w:rPr>
          <w:spacing w:val="-3"/>
          <w:szCs w:val="22"/>
        </w:rPr>
        <w:t>u</w:t>
      </w:r>
      <w:r>
        <w:rPr>
          <w:szCs w:val="22"/>
        </w:rPr>
        <w:t>t</w:t>
      </w:r>
      <w:r>
        <w:rPr>
          <w:spacing w:val="1"/>
          <w:szCs w:val="22"/>
        </w:rPr>
        <w:t xml:space="preserve"> </w:t>
      </w:r>
      <w:r>
        <w:rPr>
          <w:szCs w:val="22"/>
        </w:rPr>
        <w:t>pe</w:t>
      </w:r>
      <w:r>
        <w:rPr>
          <w:spacing w:val="-2"/>
          <w:szCs w:val="22"/>
        </w:rPr>
        <w:t xml:space="preserve"> </w:t>
      </w:r>
      <w:r>
        <w:rPr>
          <w:szCs w:val="22"/>
        </w:rPr>
        <w:t>pa</w:t>
      </w:r>
      <w:r>
        <w:rPr>
          <w:spacing w:val="-2"/>
          <w:szCs w:val="22"/>
        </w:rPr>
        <w:t>r</w:t>
      </w:r>
      <w:r>
        <w:rPr>
          <w:szCs w:val="22"/>
        </w:rPr>
        <w:t>cu</w:t>
      </w:r>
      <w:r>
        <w:rPr>
          <w:spacing w:val="-2"/>
          <w:szCs w:val="22"/>
        </w:rPr>
        <w:t>r</w:t>
      </w:r>
      <w:r>
        <w:rPr>
          <w:szCs w:val="22"/>
        </w:rPr>
        <w:t>sul</w:t>
      </w:r>
      <w:r>
        <w:rPr>
          <w:spacing w:val="-2"/>
          <w:szCs w:val="22"/>
        </w:rPr>
        <w:t xml:space="preserve"> </w:t>
      </w:r>
      <w:r>
        <w:rPr>
          <w:szCs w:val="22"/>
        </w:rPr>
        <w:t>co</w:t>
      </w:r>
      <w:r>
        <w:rPr>
          <w:spacing w:val="-3"/>
          <w:szCs w:val="22"/>
        </w:rPr>
        <w:t>n</w:t>
      </w:r>
      <w:r>
        <w:rPr>
          <w:spacing w:val="-2"/>
          <w:szCs w:val="22"/>
        </w:rPr>
        <w:t>t</w:t>
      </w:r>
      <w:r>
        <w:rPr>
          <w:spacing w:val="1"/>
          <w:szCs w:val="22"/>
        </w:rPr>
        <w:t>i</w:t>
      </w:r>
      <w:r>
        <w:rPr>
          <w:szCs w:val="22"/>
        </w:rPr>
        <w:t>nu</w:t>
      </w:r>
      <w:r>
        <w:rPr>
          <w:spacing w:val="-3"/>
          <w:szCs w:val="22"/>
        </w:rPr>
        <w:t>ă</w:t>
      </w:r>
      <w:r>
        <w:rPr>
          <w:szCs w:val="22"/>
        </w:rPr>
        <w:t>r</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pacing w:val="1"/>
          <w:szCs w:val="22"/>
        </w:rPr>
        <w:t>l</w:t>
      </w:r>
      <w:r>
        <w:rPr>
          <w:szCs w:val="22"/>
        </w:rPr>
        <w:t>u</w:t>
      </w:r>
      <w:r>
        <w:rPr>
          <w:spacing w:val="1"/>
          <w:szCs w:val="22"/>
        </w:rPr>
        <w:t>i</w:t>
      </w:r>
      <w:r>
        <w:rPr>
          <w:szCs w:val="22"/>
        </w:rPr>
        <w:t xml:space="preserve">. </w:t>
      </w:r>
      <w:r>
        <w:rPr>
          <w:spacing w:val="-1"/>
          <w:szCs w:val="22"/>
        </w:rPr>
        <w:t>C</w:t>
      </w:r>
      <w:r>
        <w:rPr>
          <w:szCs w:val="22"/>
        </w:rPr>
        <w:t>u</w:t>
      </w:r>
      <w:r>
        <w:rPr>
          <w:spacing w:val="-3"/>
          <w:szCs w:val="22"/>
        </w:rPr>
        <w:t xml:space="preserve"> </w:t>
      </w:r>
      <w:r>
        <w:rPr>
          <w:spacing w:val="1"/>
          <w:szCs w:val="22"/>
        </w:rPr>
        <w:t>t</w:t>
      </w:r>
      <w:r>
        <w:rPr>
          <w:spacing w:val="-3"/>
          <w:szCs w:val="22"/>
        </w:rPr>
        <w:t>o</w:t>
      </w:r>
      <w:r>
        <w:rPr>
          <w:szCs w:val="22"/>
        </w:rPr>
        <w:t>a</w:t>
      </w:r>
      <w:r>
        <w:rPr>
          <w:spacing w:val="1"/>
          <w:szCs w:val="22"/>
        </w:rPr>
        <w:t>t</w:t>
      </w:r>
      <w:r>
        <w:rPr>
          <w:szCs w:val="22"/>
        </w:rPr>
        <w:t>e</w:t>
      </w:r>
      <w:r>
        <w:rPr>
          <w:spacing w:val="-2"/>
          <w:szCs w:val="22"/>
        </w:rPr>
        <w:t xml:space="preserve"> </w:t>
      </w:r>
      <w:r>
        <w:rPr>
          <w:szCs w:val="22"/>
        </w:rPr>
        <w:t>ac</w:t>
      </w:r>
      <w:r>
        <w:rPr>
          <w:spacing w:val="-3"/>
          <w:szCs w:val="22"/>
        </w:rPr>
        <w:t>e</w:t>
      </w:r>
      <w:r>
        <w:rPr>
          <w:spacing w:val="-2"/>
          <w:szCs w:val="22"/>
        </w:rPr>
        <w:t>s</w:t>
      </w:r>
      <w:r>
        <w:rPr>
          <w:spacing w:val="1"/>
          <w:szCs w:val="22"/>
        </w:rPr>
        <w:t>t</w:t>
      </w:r>
      <w:r>
        <w:rPr>
          <w:szCs w:val="22"/>
        </w:rPr>
        <w:t xml:space="preserve">ea, </w:t>
      </w:r>
      <w:r>
        <w:rPr>
          <w:spacing w:val="-3"/>
          <w:szCs w:val="22"/>
        </w:rPr>
        <w:t>d</w:t>
      </w:r>
      <w:r>
        <w:rPr>
          <w:szCs w:val="22"/>
        </w:rPr>
        <w:t xml:space="preserve">upă </w:t>
      </w:r>
      <w:r>
        <w:rPr>
          <w:spacing w:val="-3"/>
          <w:szCs w:val="22"/>
        </w:rPr>
        <w:t>p</w:t>
      </w:r>
      <w:r>
        <w:rPr>
          <w:szCs w:val="22"/>
        </w:rPr>
        <w:t>une</w:t>
      </w:r>
      <w:r>
        <w:rPr>
          <w:spacing w:val="-2"/>
          <w:szCs w:val="22"/>
        </w:rPr>
        <w:t>r</w:t>
      </w:r>
      <w:r>
        <w:rPr>
          <w:szCs w:val="22"/>
        </w:rPr>
        <w:t xml:space="preserve">ea </w:t>
      </w:r>
      <w:r>
        <w:rPr>
          <w:spacing w:val="-3"/>
          <w:szCs w:val="22"/>
        </w:rPr>
        <w:t>p</w:t>
      </w:r>
      <w:r>
        <w:rPr>
          <w:szCs w:val="22"/>
        </w:rPr>
        <w:t>e p</w:t>
      </w:r>
      <w:r>
        <w:rPr>
          <w:spacing w:val="-2"/>
          <w:szCs w:val="22"/>
        </w:rPr>
        <w:t>i</w:t>
      </w:r>
      <w:r>
        <w:rPr>
          <w:szCs w:val="22"/>
        </w:rPr>
        <w:t>a</w:t>
      </w:r>
      <w:r>
        <w:rPr>
          <w:spacing w:val="-2"/>
          <w:szCs w:val="22"/>
        </w:rPr>
        <w:t>ţ</w:t>
      </w:r>
      <w:r>
        <w:rPr>
          <w:szCs w:val="22"/>
        </w:rPr>
        <w:t>ă a</w:t>
      </w:r>
      <w:r>
        <w:rPr>
          <w:spacing w:val="-2"/>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u</w:t>
      </w:r>
      <w:r>
        <w:rPr>
          <w:spacing w:val="1"/>
          <w:szCs w:val="22"/>
        </w:rPr>
        <w:t>l</w:t>
      </w:r>
      <w:r>
        <w:rPr>
          <w:szCs w:val="22"/>
        </w:rPr>
        <w:t>u</w:t>
      </w:r>
      <w:r>
        <w:rPr>
          <w:spacing w:val="-2"/>
          <w:szCs w:val="22"/>
        </w:rPr>
        <w:t>i</w:t>
      </w:r>
      <w:r>
        <w:rPr>
          <w:szCs w:val="22"/>
        </w:rPr>
        <w:t xml:space="preserve">, </w:t>
      </w:r>
      <w:r>
        <w:rPr>
          <w:spacing w:val="1"/>
          <w:szCs w:val="22"/>
        </w:rPr>
        <w:t>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2"/>
          <w:szCs w:val="22"/>
        </w:rPr>
        <w:t>ţ</w:t>
      </w:r>
      <w:r>
        <w:rPr>
          <w:spacing w:val="1"/>
          <w:szCs w:val="22"/>
        </w:rPr>
        <w:t>i</w:t>
      </w:r>
      <w:r>
        <w:rPr>
          <w:szCs w:val="22"/>
        </w:rPr>
        <w:t>i</w:t>
      </w:r>
      <w:r>
        <w:rPr>
          <w:spacing w:val="1"/>
          <w:szCs w:val="22"/>
        </w:rPr>
        <w:t xml:space="preserve"> </w:t>
      </w:r>
      <w:r>
        <w:rPr>
          <w:spacing w:val="-3"/>
          <w:szCs w:val="22"/>
        </w:rPr>
        <w:t>c</w:t>
      </w:r>
      <w:r>
        <w:rPr>
          <w:szCs w:val="22"/>
        </w:rPr>
        <w:t>a</w:t>
      </w:r>
      <w:r>
        <w:rPr>
          <w:spacing w:val="-2"/>
          <w:szCs w:val="22"/>
        </w:rPr>
        <w:t>r</w:t>
      </w:r>
      <w:r>
        <w:rPr>
          <w:szCs w:val="22"/>
        </w:rPr>
        <w:t xml:space="preserve">e au </w:t>
      </w:r>
      <w:r>
        <w:rPr>
          <w:spacing w:val="-3"/>
          <w:szCs w:val="22"/>
        </w:rPr>
        <w:t>p</w:t>
      </w:r>
      <w:r>
        <w:rPr>
          <w:szCs w:val="22"/>
        </w:rPr>
        <w:t>r</w:t>
      </w:r>
      <w:r>
        <w:rPr>
          <w:spacing w:val="1"/>
          <w:szCs w:val="22"/>
        </w:rPr>
        <w:t>i</w:t>
      </w:r>
      <w:r>
        <w:rPr>
          <w:spacing w:val="-4"/>
          <w:szCs w:val="22"/>
        </w:rPr>
        <w:t>m</w:t>
      </w:r>
      <w:r>
        <w:rPr>
          <w:spacing w:val="1"/>
          <w:szCs w:val="22"/>
        </w:rPr>
        <w:t>i</w:t>
      </w:r>
      <w:r>
        <w:rPr>
          <w:szCs w:val="22"/>
        </w:rPr>
        <w:t>t 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s</w:t>
      </w:r>
      <w:r>
        <w:rPr>
          <w:spacing w:val="-5"/>
          <w:szCs w:val="22"/>
        </w:rPr>
        <w:t>-</w:t>
      </w:r>
      <w:r>
        <w:rPr>
          <w:szCs w:val="22"/>
        </w:rPr>
        <w:t xml:space="preserve">au </w:t>
      </w:r>
      <w:r>
        <w:rPr>
          <w:szCs w:val="22"/>
        </w:rPr>
        <w:lastRenderedPageBreak/>
        <w:t>rapor</w:t>
      </w:r>
      <w:r>
        <w:rPr>
          <w:spacing w:val="-2"/>
          <w:szCs w:val="22"/>
        </w:rPr>
        <w:t>t</w:t>
      </w:r>
      <w:r>
        <w:rPr>
          <w:szCs w:val="22"/>
        </w:rPr>
        <w:t>a</w:t>
      </w:r>
      <w:r>
        <w:rPr>
          <w:spacing w:val="1"/>
          <w:szCs w:val="22"/>
        </w:rPr>
        <w:t>t</w:t>
      </w:r>
      <w:r>
        <w:rPr>
          <w:szCs w:val="22"/>
        </w:rPr>
        <w:t>,</w:t>
      </w:r>
      <w:r>
        <w:rPr>
          <w:spacing w:val="-3"/>
          <w:szCs w:val="22"/>
        </w:rPr>
        <w:t xml:space="preserve"> </w:t>
      </w:r>
      <w:r>
        <w:rPr>
          <w:szCs w:val="22"/>
        </w:rPr>
        <w:t>de a</w:t>
      </w:r>
      <w:r>
        <w:rPr>
          <w:spacing w:val="-2"/>
          <w:szCs w:val="22"/>
        </w:rPr>
        <w:t>s</w:t>
      </w:r>
      <w:r>
        <w:rPr>
          <w:szCs w:val="22"/>
        </w:rPr>
        <w:t>e</w:t>
      </w:r>
      <w:r>
        <w:rPr>
          <w:spacing w:val="-4"/>
          <w:szCs w:val="22"/>
        </w:rPr>
        <w:t>m</w:t>
      </w:r>
      <w:r>
        <w:rPr>
          <w:szCs w:val="22"/>
        </w:rPr>
        <w:t>enea, ca</w:t>
      </w:r>
      <w:r>
        <w:rPr>
          <w:spacing w:val="-3"/>
          <w:szCs w:val="22"/>
        </w:rPr>
        <w:t>z</w:t>
      </w:r>
      <w:r>
        <w:rPr>
          <w:szCs w:val="22"/>
        </w:rPr>
        <w:t>u</w:t>
      </w:r>
      <w:r>
        <w:rPr>
          <w:spacing w:val="-2"/>
          <w:szCs w:val="22"/>
        </w:rPr>
        <w:t>r</w:t>
      </w:r>
      <w:r>
        <w:rPr>
          <w:szCs w:val="22"/>
        </w:rPr>
        <w:t>i</w:t>
      </w:r>
      <w:r>
        <w:rPr>
          <w:spacing w:val="1"/>
          <w:szCs w:val="22"/>
        </w:rPr>
        <w:t xml:space="preserve"> </w:t>
      </w:r>
      <w:r>
        <w:rPr>
          <w:szCs w:val="22"/>
        </w:rPr>
        <w:t>de</w:t>
      </w:r>
      <w:r>
        <w:rPr>
          <w:spacing w:val="-2"/>
          <w:szCs w:val="22"/>
        </w:rPr>
        <w:t xml:space="preserve"> </w:t>
      </w:r>
      <w:r>
        <w:rPr>
          <w:spacing w:val="1"/>
          <w:szCs w:val="22"/>
        </w:rPr>
        <w:t>i</w:t>
      </w:r>
      <w:r>
        <w:rPr>
          <w:szCs w:val="22"/>
        </w:rPr>
        <w:t>ns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pacing w:val="1"/>
          <w:szCs w:val="22"/>
        </w:rPr>
        <w:t>ţ</w:t>
      </w:r>
      <w:r>
        <w:rPr>
          <w:szCs w:val="22"/>
        </w:rPr>
        <w:t xml:space="preserve">ă </w:t>
      </w:r>
      <w:r>
        <w:rPr>
          <w:spacing w:val="-3"/>
          <w:szCs w:val="22"/>
        </w:rPr>
        <w:t>h</w:t>
      </w:r>
      <w:r>
        <w:rPr>
          <w:szCs w:val="22"/>
        </w:rPr>
        <w:t>ep</w:t>
      </w:r>
      <w:r>
        <w:rPr>
          <w:spacing w:val="-3"/>
          <w:szCs w:val="22"/>
        </w:rPr>
        <w:t>a</w:t>
      </w:r>
      <w:r>
        <w:rPr>
          <w:spacing w:val="1"/>
          <w:szCs w:val="22"/>
        </w:rPr>
        <w:t>t</w:t>
      </w:r>
      <w:r>
        <w:rPr>
          <w:spacing w:val="-2"/>
          <w:szCs w:val="22"/>
        </w:rPr>
        <w:t>i</w:t>
      </w:r>
      <w:r>
        <w:rPr>
          <w:szCs w:val="22"/>
        </w:rPr>
        <w:t xml:space="preserve">că, </w:t>
      </w:r>
      <w:r>
        <w:rPr>
          <w:spacing w:val="-3"/>
          <w:szCs w:val="22"/>
        </w:rPr>
        <w:t>p</w:t>
      </w:r>
      <w:r>
        <w:rPr>
          <w:szCs w:val="22"/>
        </w:rPr>
        <w:t>recum</w:t>
      </w:r>
      <w:r>
        <w:rPr>
          <w:spacing w:val="-4"/>
          <w:szCs w:val="22"/>
        </w:rPr>
        <w:t xml:space="preserve"> </w:t>
      </w:r>
      <w:r>
        <w:rPr>
          <w:szCs w:val="22"/>
        </w:rPr>
        <w:t>şi</w:t>
      </w:r>
      <w:r>
        <w:rPr>
          <w:spacing w:val="-3"/>
          <w:szCs w:val="22"/>
        </w:rPr>
        <w:t xml:space="preserve"> </w:t>
      </w:r>
      <w:r>
        <w:rPr>
          <w:szCs w:val="22"/>
        </w:rPr>
        <w:t>afe</w:t>
      </w:r>
      <w:r>
        <w:rPr>
          <w:spacing w:val="-3"/>
          <w:szCs w:val="22"/>
        </w:rPr>
        <w:t>c</w:t>
      </w:r>
      <w:r>
        <w:rPr>
          <w:spacing w:val="-2"/>
          <w:szCs w:val="22"/>
        </w:rPr>
        <w:t>ţ</w:t>
      </w:r>
      <w:r>
        <w:rPr>
          <w:spacing w:val="1"/>
          <w:szCs w:val="22"/>
        </w:rPr>
        <w:t>i</w:t>
      </w:r>
      <w:r>
        <w:rPr>
          <w:szCs w:val="22"/>
        </w:rPr>
        <w:t>uni</w:t>
      </w:r>
      <w:r>
        <w:rPr>
          <w:spacing w:val="-2"/>
          <w:szCs w:val="22"/>
        </w:rPr>
        <w:t xml:space="preserve"> </w:t>
      </w:r>
      <w:r>
        <w:rPr>
          <w:szCs w:val="22"/>
        </w:rPr>
        <w:t>hep</w:t>
      </w:r>
      <w:r>
        <w:rPr>
          <w:spacing w:val="-3"/>
          <w:szCs w:val="22"/>
        </w:rPr>
        <w:t>a</w:t>
      </w:r>
      <w:r>
        <w:rPr>
          <w:spacing w:val="1"/>
          <w:szCs w:val="22"/>
        </w:rPr>
        <w:t>t</w:t>
      </w:r>
      <w:r>
        <w:rPr>
          <w:spacing w:val="-2"/>
          <w:szCs w:val="22"/>
        </w:rPr>
        <w:t>i</w:t>
      </w:r>
      <w:r>
        <w:rPr>
          <w:szCs w:val="22"/>
        </w:rPr>
        <w:t xml:space="preserve">ce </w:t>
      </w:r>
      <w:r>
        <w:rPr>
          <w:spacing w:val="-4"/>
          <w:szCs w:val="22"/>
        </w:rPr>
        <w:t>m</w:t>
      </w:r>
      <w:r>
        <w:rPr>
          <w:szCs w:val="22"/>
        </w:rPr>
        <w:t>ai</w:t>
      </w:r>
      <w:r>
        <w:rPr>
          <w:spacing w:val="1"/>
          <w:szCs w:val="22"/>
        </w:rPr>
        <w:t xml:space="preserve"> </w:t>
      </w:r>
      <w:r>
        <w:rPr>
          <w:szCs w:val="22"/>
        </w:rPr>
        <w:t>pu</w:t>
      </w:r>
      <w:r>
        <w:rPr>
          <w:spacing w:val="1"/>
          <w:szCs w:val="22"/>
        </w:rPr>
        <w:t>ţi</w:t>
      </w:r>
      <w:r>
        <w:rPr>
          <w:szCs w:val="22"/>
        </w:rPr>
        <w:t>n</w:t>
      </w:r>
      <w:r>
        <w:rPr>
          <w:spacing w:val="-3"/>
          <w:szCs w:val="22"/>
        </w:rPr>
        <w:t xml:space="preserve"> </w:t>
      </w:r>
      <w:r>
        <w:rPr>
          <w:szCs w:val="22"/>
        </w:rPr>
        <w:t>se</w:t>
      </w:r>
      <w:r>
        <w:rPr>
          <w:spacing w:val="-3"/>
          <w:szCs w:val="22"/>
        </w:rPr>
        <w:t>v</w:t>
      </w:r>
      <w:r>
        <w:rPr>
          <w:szCs w:val="22"/>
        </w:rPr>
        <w:t>ere,</w:t>
      </w:r>
      <w:r>
        <w:rPr>
          <w:spacing w:val="-3"/>
          <w:szCs w:val="22"/>
        </w:rPr>
        <w:t xml:space="preserve"> </w:t>
      </w:r>
      <w:r>
        <w:rPr>
          <w:szCs w:val="22"/>
        </w:rPr>
        <w:t>ca</w:t>
      </w:r>
      <w:r>
        <w:rPr>
          <w:spacing w:val="-2"/>
          <w:szCs w:val="22"/>
        </w:rPr>
        <w:t>r</w:t>
      </w:r>
      <w:r>
        <w:rPr>
          <w:szCs w:val="22"/>
        </w:rPr>
        <w:t>e p</w:t>
      </w:r>
      <w:r>
        <w:rPr>
          <w:spacing w:val="-3"/>
          <w:szCs w:val="22"/>
        </w:rPr>
        <w:t>o</w:t>
      </w:r>
      <w:r>
        <w:rPr>
          <w:szCs w:val="22"/>
        </w:rPr>
        <w:t>t</w:t>
      </w:r>
      <w:r>
        <w:rPr>
          <w:spacing w:val="1"/>
          <w:szCs w:val="22"/>
        </w:rPr>
        <w:t xml:space="preserve"> </w:t>
      </w:r>
      <w:r>
        <w:rPr>
          <w:spacing w:val="-3"/>
          <w:szCs w:val="22"/>
        </w:rPr>
        <w:t>p</w:t>
      </w:r>
      <w:r>
        <w:rPr>
          <w:szCs w:val="22"/>
        </w:rPr>
        <w:t>rec</w:t>
      </w:r>
      <w:r>
        <w:rPr>
          <w:spacing w:val="-3"/>
          <w:szCs w:val="22"/>
        </w:rPr>
        <w:t>e</w:t>
      </w:r>
      <w:r>
        <w:rPr>
          <w:szCs w:val="22"/>
        </w:rPr>
        <w:t xml:space="preserve">da </w:t>
      </w:r>
      <w:r>
        <w:rPr>
          <w:spacing w:val="-2"/>
          <w:szCs w:val="22"/>
        </w:rPr>
        <w:t>i</w:t>
      </w:r>
      <w:r>
        <w:rPr>
          <w:szCs w:val="22"/>
        </w:rPr>
        <w:t>ns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pacing w:val="1"/>
          <w:szCs w:val="22"/>
        </w:rPr>
        <w:t>ţ</w:t>
      </w:r>
      <w:r>
        <w:rPr>
          <w:szCs w:val="22"/>
        </w:rPr>
        <w:t>a</w:t>
      </w:r>
      <w:r>
        <w:rPr>
          <w:spacing w:val="-2"/>
          <w:szCs w:val="22"/>
        </w:rPr>
        <w:t xml:space="preserve"> </w:t>
      </w:r>
      <w:r>
        <w:rPr>
          <w:szCs w:val="22"/>
        </w:rPr>
        <w:t>hep</w:t>
      </w:r>
      <w:r>
        <w:rPr>
          <w:spacing w:val="-3"/>
          <w:szCs w:val="22"/>
        </w:rPr>
        <w:t>a</w:t>
      </w:r>
      <w:r>
        <w:rPr>
          <w:spacing w:val="1"/>
          <w:szCs w:val="22"/>
        </w:rPr>
        <w:t>t</w:t>
      </w:r>
      <w:r>
        <w:rPr>
          <w:spacing w:val="-2"/>
          <w:szCs w:val="22"/>
        </w:rPr>
        <w:t>i</w:t>
      </w:r>
      <w:r>
        <w:rPr>
          <w:szCs w:val="22"/>
        </w:rPr>
        <w:t>c</w:t>
      </w:r>
      <w:r>
        <w:rPr>
          <w:spacing w:val="-3"/>
          <w:szCs w:val="22"/>
        </w:rPr>
        <w:t>ă</w:t>
      </w:r>
      <w:r>
        <w:rPr>
          <w:szCs w:val="22"/>
        </w:rPr>
        <w:t>, cum</w:t>
      </w:r>
      <w:r>
        <w:rPr>
          <w:spacing w:val="-4"/>
          <w:szCs w:val="22"/>
        </w:rPr>
        <w:t xml:space="preserve"> </w:t>
      </w:r>
      <w:r>
        <w:rPr>
          <w:szCs w:val="22"/>
        </w:rPr>
        <w:t>ar</w:t>
      </w:r>
      <w:r>
        <w:rPr>
          <w:spacing w:val="1"/>
          <w:szCs w:val="22"/>
        </w:rPr>
        <w:t xml:space="preserve"> </w:t>
      </w:r>
      <w:r>
        <w:rPr>
          <w:szCs w:val="22"/>
        </w:rPr>
        <w:t>fi</w:t>
      </w:r>
      <w:r>
        <w:rPr>
          <w:spacing w:val="-2"/>
          <w:szCs w:val="22"/>
        </w:rPr>
        <w:t xml:space="preserve"> </w:t>
      </w:r>
      <w:r>
        <w:rPr>
          <w:szCs w:val="22"/>
        </w:rPr>
        <w:t>hep</w:t>
      </w:r>
      <w:r>
        <w:rPr>
          <w:spacing w:val="-3"/>
          <w:szCs w:val="22"/>
        </w:rPr>
        <w:t>a</w:t>
      </w:r>
      <w:r>
        <w:rPr>
          <w:spacing w:val="1"/>
          <w:szCs w:val="22"/>
        </w:rPr>
        <w:t>t</w:t>
      </w:r>
      <w:r>
        <w:rPr>
          <w:spacing w:val="-2"/>
          <w:szCs w:val="22"/>
        </w:rPr>
        <w:t>i</w:t>
      </w:r>
      <w:r>
        <w:rPr>
          <w:spacing w:val="1"/>
          <w:szCs w:val="22"/>
        </w:rPr>
        <w:t>t</w:t>
      </w:r>
      <w:r>
        <w:rPr>
          <w:szCs w:val="22"/>
        </w:rPr>
        <w:t>a,</w:t>
      </w:r>
      <w:r>
        <w:rPr>
          <w:spacing w:val="-3"/>
          <w:szCs w:val="22"/>
        </w:rPr>
        <w:t xml:space="preserve"> </w:t>
      </w:r>
      <w:r>
        <w:rPr>
          <w:spacing w:val="1"/>
          <w:szCs w:val="22"/>
        </w:rPr>
        <w:t>i</w:t>
      </w:r>
      <w:r>
        <w:rPr>
          <w:szCs w:val="22"/>
        </w:rPr>
        <w:t>n</w:t>
      </w:r>
      <w:r>
        <w:rPr>
          <w:spacing w:val="-3"/>
          <w:szCs w:val="22"/>
        </w:rPr>
        <w:t>c</w:t>
      </w:r>
      <w:r>
        <w:rPr>
          <w:spacing w:val="1"/>
          <w:szCs w:val="22"/>
        </w:rPr>
        <w:t>l</w:t>
      </w:r>
      <w:r>
        <w:rPr>
          <w:szCs w:val="22"/>
        </w:rPr>
        <w:t>u</w:t>
      </w:r>
      <w:r>
        <w:rPr>
          <w:spacing w:val="-2"/>
          <w:szCs w:val="22"/>
        </w:rPr>
        <w:t>si</w:t>
      </w:r>
      <w:r>
        <w:rPr>
          <w:szCs w:val="22"/>
        </w:rPr>
        <w:t>v</w:t>
      </w:r>
      <w:r>
        <w:rPr>
          <w:spacing w:val="-3"/>
          <w:szCs w:val="22"/>
        </w:rPr>
        <w:t xml:space="preserve"> </w:t>
      </w:r>
      <w:r>
        <w:rPr>
          <w:szCs w:val="22"/>
        </w:rPr>
        <w:t>hepa</w:t>
      </w:r>
      <w:r>
        <w:rPr>
          <w:spacing w:val="1"/>
          <w:szCs w:val="22"/>
        </w:rPr>
        <w:t>t</w:t>
      </w:r>
      <w:r>
        <w:rPr>
          <w:spacing w:val="-2"/>
          <w:szCs w:val="22"/>
        </w:rPr>
        <w:t>i</w:t>
      </w:r>
      <w:r>
        <w:rPr>
          <w:spacing w:val="1"/>
          <w:szCs w:val="22"/>
        </w:rPr>
        <w:t>t</w:t>
      </w:r>
      <w:r>
        <w:rPr>
          <w:szCs w:val="22"/>
        </w:rPr>
        <w:t>a au</w:t>
      </w:r>
      <w:r>
        <w:rPr>
          <w:spacing w:val="1"/>
          <w:szCs w:val="22"/>
        </w:rPr>
        <w:t>t</w:t>
      </w:r>
      <w:r>
        <w:rPr>
          <w:spacing w:val="-3"/>
          <w:szCs w:val="22"/>
        </w:rPr>
        <w:t>o</w:t>
      </w:r>
      <w:r>
        <w:rPr>
          <w:spacing w:val="1"/>
          <w:szCs w:val="22"/>
        </w:rPr>
        <w:t>i</w:t>
      </w:r>
      <w:r>
        <w:rPr>
          <w:spacing w:val="-4"/>
          <w:szCs w:val="22"/>
        </w:rPr>
        <w:t>m</w:t>
      </w:r>
      <w:r>
        <w:rPr>
          <w:szCs w:val="22"/>
        </w:rPr>
        <w:t>ună.</w:t>
      </w:r>
    </w:p>
    <w:p w14:paraId="6F1E6887" w14:textId="77777777" w:rsidR="00C04CAD" w:rsidRDefault="00C04CAD">
      <w:pPr>
        <w:autoSpaceDE w:val="0"/>
        <w:autoSpaceDN w:val="0"/>
        <w:adjustRightInd w:val="0"/>
        <w:spacing w:line="240" w:lineRule="auto"/>
        <w:jc w:val="both"/>
        <w:rPr>
          <w:szCs w:val="22"/>
        </w:rPr>
      </w:pPr>
    </w:p>
    <w:p w14:paraId="7C9CEC2A" w14:textId="77777777" w:rsidR="00C04CAD" w:rsidRDefault="00060E34">
      <w:pPr>
        <w:keepNext/>
        <w:tabs>
          <w:tab w:val="clear" w:pos="567"/>
        </w:tabs>
        <w:kinsoku w:val="0"/>
        <w:overflowPunct w:val="0"/>
        <w:autoSpaceDE w:val="0"/>
        <w:autoSpaceDN w:val="0"/>
        <w:adjustRightInd w:val="0"/>
        <w:spacing w:line="240" w:lineRule="auto"/>
        <w:rPr>
          <w:szCs w:val="22"/>
        </w:rPr>
      </w:pPr>
      <w:r>
        <w:rPr>
          <w:spacing w:val="1"/>
          <w:szCs w:val="22"/>
          <w:u w:val="single"/>
        </w:rPr>
        <w:t>T</w:t>
      </w:r>
      <w:r>
        <w:rPr>
          <w:spacing w:val="-2"/>
          <w:szCs w:val="22"/>
          <w:u w:val="single"/>
        </w:rPr>
        <w:t>r</w:t>
      </w:r>
      <w:r>
        <w:rPr>
          <w:szCs w:val="22"/>
          <w:u w:val="single"/>
        </w:rPr>
        <w:t>a</w:t>
      </w:r>
      <w:r>
        <w:rPr>
          <w:spacing w:val="-2"/>
          <w:szCs w:val="22"/>
          <w:u w:val="single"/>
        </w:rPr>
        <w:t>t</w:t>
      </w:r>
      <w:r>
        <w:rPr>
          <w:szCs w:val="22"/>
          <w:u w:val="single"/>
        </w:rPr>
        <w:t>a</w:t>
      </w:r>
      <w:r>
        <w:rPr>
          <w:spacing w:val="-4"/>
          <w:szCs w:val="22"/>
          <w:u w:val="single"/>
        </w:rPr>
        <w:t>m</w:t>
      </w:r>
      <w:r>
        <w:rPr>
          <w:szCs w:val="22"/>
          <w:u w:val="single"/>
        </w:rPr>
        <w:t>ent concomitent cu a</w:t>
      </w:r>
      <w:r>
        <w:rPr>
          <w:spacing w:val="-3"/>
          <w:szCs w:val="22"/>
          <w:u w:val="single"/>
        </w:rPr>
        <w:t>z</w:t>
      </w:r>
      <w:r>
        <w:rPr>
          <w:szCs w:val="22"/>
          <w:u w:val="single"/>
        </w:rPr>
        <w:t>a</w:t>
      </w:r>
      <w:r>
        <w:rPr>
          <w:spacing w:val="1"/>
          <w:szCs w:val="22"/>
          <w:u w:val="single"/>
        </w:rPr>
        <w:t>ti</w:t>
      </w:r>
      <w:r>
        <w:rPr>
          <w:szCs w:val="22"/>
          <w:u w:val="single"/>
        </w:rPr>
        <w:t>o</w:t>
      </w:r>
      <w:r>
        <w:rPr>
          <w:spacing w:val="-3"/>
          <w:szCs w:val="22"/>
          <w:u w:val="single"/>
        </w:rPr>
        <w:t>p</w:t>
      </w:r>
      <w:r>
        <w:rPr>
          <w:szCs w:val="22"/>
          <w:u w:val="single"/>
        </w:rPr>
        <w:t>r</w:t>
      </w:r>
      <w:r>
        <w:rPr>
          <w:spacing w:val="1"/>
          <w:szCs w:val="22"/>
          <w:u w:val="single"/>
        </w:rPr>
        <w:t>i</w:t>
      </w:r>
      <w:r>
        <w:rPr>
          <w:spacing w:val="-3"/>
          <w:szCs w:val="22"/>
          <w:u w:val="single"/>
        </w:rPr>
        <w:t>n</w:t>
      </w:r>
      <w:r>
        <w:rPr>
          <w:szCs w:val="22"/>
          <w:u w:val="single"/>
        </w:rPr>
        <w:t>ă</w:t>
      </w:r>
      <w:r>
        <w:rPr>
          <w:spacing w:val="1"/>
          <w:szCs w:val="22"/>
          <w:u w:val="single"/>
        </w:rPr>
        <w:t>/</w:t>
      </w:r>
      <w:r>
        <w:rPr>
          <w:spacing w:val="-1"/>
          <w:szCs w:val="22"/>
          <w:u w:val="single"/>
        </w:rPr>
        <w:t>6</w:t>
      </w:r>
      <w:r>
        <w:rPr>
          <w:spacing w:val="-4"/>
          <w:szCs w:val="22"/>
          <w:u w:val="single"/>
        </w:rPr>
        <w:t>-m</w:t>
      </w:r>
      <w:r>
        <w:rPr>
          <w:szCs w:val="22"/>
          <w:u w:val="single"/>
        </w:rPr>
        <w:t>ercap</w:t>
      </w:r>
      <w:r>
        <w:rPr>
          <w:spacing w:val="1"/>
          <w:szCs w:val="22"/>
          <w:u w:val="single"/>
        </w:rPr>
        <w:t>t</w:t>
      </w:r>
      <w:r>
        <w:rPr>
          <w:szCs w:val="22"/>
          <w:u w:val="single"/>
        </w:rPr>
        <w:t>op</w:t>
      </w:r>
      <w:r>
        <w:rPr>
          <w:spacing w:val="-3"/>
          <w:szCs w:val="22"/>
          <w:u w:val="single"/>
        </w:rPr>
        <w:t>u</w:t>
      </w:r>
      <w:r>
        <w:rPr>
          <w:szCs w:val="22"/>
          <w:u w:val="single"/>
        </w:rPr>
        <w:t>r</w:t>
      </w:r>
      <w:r>
        <w:rPr>
          <w:spacing w:val="-2"/>
          <w:szCs w:val="22"/>
          <w:u w:val="single"/>
        </w:rPr>
        <w:t>i</w:t>
      </w:r>
      <w:r>
        <w:rPr>
          <w:szCs w:val="22"/>
          <w:u w:val="single"/>
        </w:rPr>
        <w:t>nă</w:t>
      </w:r>
    </w:p>
    <w:p w14:paraId="2B1D0178" w14:textId="77777777" w:rsidR="00C04CAD" w:rsidRDefault="00C04CAD">
      <w:pPr>
        <w:keepNext/>
        <w:tabs>
          <w:tab w:val="clear" w:pos="567"/>
        </w:tabs>
        <w:kinsoku w:val="0"/>
        <w:overflowPunct w:val="0"/>
        <w:autoSpaceDE w:val="0"/>
        <w:autoSpaceDN w:val="0"/>
        <w:adjustRightInd w:val="0"/>
        <w:spacing w:line="240" w:lineRule="auto"/>
        <w:rPr>
          <w:szCs w:val="22"/>
        </w:rPr>
      </w:pPr>
    </w:p>
    <w:p w14:paraId="12CE15F7" w14:textId="77777777" w:rsidR="00C04CAD" w:rsidRDefault="00060E34">
      <w:pPr>
        <w:autoSpaceDE w:val="0"/>
        <w:autoSpaceDN w:val="0"/>
        <w:adjustRightInd w:val="0"/>
        <w:spacing w:line="240" w:lineRule="auto"/>
        <w:jc w:val="both"/>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 xml:space="preserve">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p</w:t>
      </w:r>
      <w:r>
        <w:rPr>
          <w:spacing w:val="-2"/>
          <w:szCs w:val="22"/>
        </w:rPr>
        <w:t>r</w:t>
      </w:r>
      <w:r>
        <w:rPr>
          <w:spacing w:val="1"/>
          <w:szCs w:val="22"/>
        </w:rPr>
        <w:t>i</w:t>
      </w:r>
      <w:r>
        <w:rPr>
          <w:spacing w:val="-3"/>
          <w:szCs w:val="22"/>
        </w:rPr>
        <w:t>v</w:t>
      </w:r>
      <w:r>
        <w:rPr>
          <w:spacing w:val="1"/>
          <w:szCs w:val="22"/>
        </w:rPr>
        <w:t>i</w:t>
      </w:r>
      <w:r>
        <w:rPr>
          <w:szCs w:val="22"/>
        </w:rPr>
        <w:t xml:space="preserve">nd </w:t>
      </w:r>
      <w:r>
        <w:rPr>
          <w:spacing w:val="-3"/>
          <w:szCs w:val="22"/>
        </w:rPr>
        <w:t>b</w:t>
      </w:r>
      <w:r>
        <w:rPr>
          <w:szCs w:val="22"/>
        </w:rPr>
        <w:t>oa</w:t>
      </w:r>
      <w:r>
        <w:rPr>
          <w:spacing w:val="1"/>
          <w:szCs w:val="22"/>
        </w:rPr>
        <w:t>l</w:t>
      </w:r>
      <w:r>
        <w:rPr>
          <w:szCs w:val="22"/>
        </w:rPr>
        <w:t xml:space="preserve">a </w:t>
      </w:r>
      <w:r>
        <w:rPr>
          <w:spacing w:val="-4"/>
          <w:szCs w:val="22"/>
        </w:rPr>
        <w:t>C</w:t>
      </w:r>
      <w:r>
        <w:rPr>
          <w:szCs w:val="22"/>
        </w:rPr>
        <w:t>rohn</w:t>
      </w:r>
      <w:r>
        <w:rPr>
          <w:spacing w:val="-3"/>
          <w:szCs w:val="22"/>
        </w:rPr>
        <w:t xml:space="preserve"> </w:t>
      </w:r>
      <w:r>
        <w:rPr>
          <w:spacing w:val="1"/>
          <w:szCs w:val="22"/>
        </w:rPr>
        <w:t>l</w:t>
      </w:r>
      <w:r>
        <w:rPr>
          <w:szCs w:val="22"/>
        </w:rPr>
        <w:t>a</w:t>
      </w:r>
      <w:r>
        <w:rPr>
          <w:spacing w:val="-2"/>
          <w:szCs w:val="22"/>
        </w:rPr>
        <w:t xml:space="preserve"> </w:t>
      </w:r>
      <w:r>
        <w:rPr>
          <w:szCs w:val="22"/>
        </w:rPr>
        <w:t>adu</w:t>
      </w:r>
      <w:r>
        <w:rPr>
          <w:spacing w:val="-2"/>
          <w:szCs w:val="22"/>
        </w:rPr>
        <w:t>l</w:t>
      </w:r>
      <w:r>
        <w:rPr>
          <w:spacing w:val="1"/>
          <w:szCs w:val="22"/>
        </w:rPr>
        <w:t>ţ</w:t>
      </w:r>
      <w:r>
        <w:rPr>
          <w:spacing w:val="-2"/>
          <w:szCs w:val="22"/>
        </w:rPr>
        <w:t>i</w:t>
      </w:r>
      <w:r>
        <w:rPr>
          <w:szCs w:val="22"/>
        </w:rPr>
        <w:t>, s</w:t>
      </w:r>
      <w:r>
        <w:rPr>
          <w:spacing w:val="-4"/>
          <w:szCs w:val="22"/>
        </w:rPr>
        <w:t>-</w:t>
      </w:r>
      <w:r>
        <w:rPr>
          <w:szCs w:val="22"/>
        </w:rPr>
        <w:t>a obser</w:t>
      </w:r>
      <w:r>
        <w:rPr>
          <w:spacing w:val="-3"/>
          <w:szCs w:val="22"/>
        </w:rPr>
        <w:t>v</w:t>
      </w:r>
      <w:r>
        <w:rPr>
          <w:szCs w:val="22"/>
        </w:rPr>
        <w:t>at</w:t>
      </w:r>
      <w:r>
        <w:rPr>
          <w:spacing w:val="1"/>
          <w:szCs w:val="22"/>
        </w:rPr>
        <w:t xml:space="preserve"> </w:t>
      </w:r>
      <w:r>
        <w:rPr>
          <w:szCs w:val="22"/>
        </w:rPr>
        <w:t>o</w:t>
      </w:r>
      <w:r>
        <w:rPr>
          <w:spacing w:val="-3"/>
          <w:szCs w:val="22"/>
        </w:rPr>
        <w:t xml:space="preserve"> </w:t>
      </w:r>
      <w:r>
        <w:rPr>
          <w:spacing w:val="1"/>
          <w:szCs w:val="22"/>
        </w:rPr>
        <w:t>i</w:t>
      </w:r>
      <w:r>
        <w:rPr>
          <w:szCs w:val="22"/>
        </w:rPr>
        <w:t>n</w:t>
      </w:r>
      <w:r>
        <w:rPr>
          <w:spacing w:val="-3"/>
          <w:szCs w:val="22"/>
        </w:rPr>
        <w:t>c</w:t>
      </w:r>
      <w:r>
        <w:rPr>
          <w:spacing w:val="1"/>
          <w:szCs w:val="22"/>
        </w:rPr>
        <w:t>i</w:t>
      </w:r>
      <w:r>
        <w:rPr>
          <w:szCs w:val="22"/>
        </w:rPr>
        <w:t>d</w:t>
      </w:r>
      <w:r>
        <w:rPr>
          <w:spacing w:val="-3"/>
          <w:szCs w:val="22"/>
        </w:rPr>
        <w:t>e</w:t>
      </w:r>
      <w:r>
        <w:rPr>
          <w:szCs w:val="22"/>
        </w:rPr>
        <w:t>n</w:t>
      </w:r>
      <w:r>
        <w:rPr>
          <w:spacing w:val="1"/>
          <w:szCs w:val="22"/>
        </w:rPr>
        <w:t>ţ</w:t>
      </w:r>
      <w:r>
        <w:rPr>
          <w:szCs w:val="22"/>
        </w:rPr>
        <w:t>ă</w:t>
      </w:r>
      <w:r>
        <w:rPr>
          <w:spacing w:val="-2"/>
          <w:szCs w:val="22"/>
        </w:rPr>
        <w:t xml:space="preserve"> </w:t>
      </w:r>
      <w:r>
        <w:rPr>
          <w:spacing w:val="-4"/>
          <w:szCs w:val="22"/>
        </w:rPr>
        <w:t>m</w:t>
      </w:r>
      <w:r>
        <w:rPr>
          <w:szCs w:val="22"/>
        </w:rPr>
        <w:t>ai</w:t>
      </w:r>
      <w:r>
        <w:rPr>
          <w:spacing w:val="1"/>
          <w:szCs w:val="22"/>
        </w:rPr>
        <w:t xml:space="preserve"> </w:t>
      </w:r>
      <w:r>
        <w:rPr>
          <w:spacing w:val="-4"/>
          <w:szCs w:val="22"/>
        </w:rPr>
        <w:t>m</w:t>
      </w:r>
      <w:r>
        <w:rPr>
          <w:szCs w:val="22"/>
        </w:rPr>
        <w:t>are a r</w:t>
      </w:r>
      <w:r>
        <w:rPr>
          <w:spacing w:val="-3"/>
          <w:szCs w:val="22"/>
        </w:rPr>
        <w:t>e</w:t>
      </w:r>
      <w:r>
        <w:rPr>
          <w:szCs w:val="22"/>
        </w:rPr>
        <w:t>ac</w:t>
      </w:r>
      <w:r>
        <w:rPr>
          <w:spacing w:val="-2"/>
          <w:szCs w:val="22"/>
        </w:rPr>
        <w:t>ţ</w:t>
      </w:r>
      <w:r>
        <w:rPr>
          <w:spacing w:val="1"/>
          <w:szCs w:val="22"/>
        </w:rPr>
        <w:t>i</w:t>
      </w:r>
      <w:r>
        <w:rPr>
          <w:spacing w:val="-2"/>
          <w:szCs w:val="22"/>
        </w:rPr>
        <w:t>i</w:t>
      </w:r>
      <w:r>
        <w:rPr>
          <w:spacing w:val="1"/>
          <w:szCs w:val="22"/>
        </w:rPr>
        <w:t>l</w:t>
      </w:r>
      <w:r>
        <w:rPr>
          <w:spacing w:val="-3"/>
          <w:szCs w:val="22"/>
        </w:rPr>
        <w:t>o</w:t>
      </w:r>
      <w:r>
        <w:rPr>
          <w:szCs w:val="22"/>
        </w:rPr>
        <w:t>r</w:t>
      </w:r>
      <w:r>
        <w:rPr>
          <w:spacing w:val="1"/>
          <w:szCs w:val="22"/>
        </w:rPr>
        <w:t xml:space="preserve"> </w:t>
      </w:r>
      <w:r>
        <w:rPr>
          <w:szCs w:val="22"/>
        </w:rPr>
        <w:t>ad</w:t>
      </w:r>
      <w:r>
        <w:rPr>
          <w:spacing w:val="-3"/>
          <w:szCs w:val="22"/>
        </w:rPr>
        <w:t>v</w:t>
      </w:r>
      <w:r>
        <w:rPr>
          <w:szCs w:val="22"/>
        </w:rPr>
        <w:t>er</w:t>
      </w:r>
      <w:r>
        <w:rPr>
          <w:spacing w:val="-2"/>
          <w:szCs w:val="22"/>
        </w:rPr>
        <w:t>s</w:t>
      </w:r>
      <w:r>
        <w:rPr>
          <w:szCs w:val="22"/>
        </w:rPr>
        <w:t xml:space="preserve">e </w:t>
      </w:r>
      <w:r>
        <w:rPr>
          <w:spacing w:val="1"/>
          <w:szCs w:val="22"/>
        </w:rPr>
        <w:t>l</w:t>
      </w:r>
      <w:r>
        <w:rPr>
          <w:szCs w:val="22"/>
        </w:rPr>
        <w:t>e</w:t>
      </w:r>
      <w:r>
        <w:rPr>
          <w:spacing w:val="-3"/>
          <w:szCs w:val="22"/>
        </w:rPr>
        <w:t>g</w:t>
      </w:r>
      <w:r>
        <w:rPr>
          <w:szCs w:val="22"/>
        </w:rPr>
        <w:t>a</w:t>
      </w:r>
      <w:r>
        <w:rPr>
          <w:spacing w:val="1"/>
          <w:szCs w:val="22"/>
        </w:rPr>
        <w:t>t</w:t>
      </w:r>
      <w:r>
        <w:rPr>
          <w:szCs w:val="22"/>
        </w:rPr>
        <w:t xml:space="preserve">e </w:t>
      </w:r>
      <w:r>
        <w:rPr>
          <w:spacing w:val="-3"/>
          <w:szCs w:val="22"/>
        </w:rPr>
        <w:t>d</w:t>
      </w:r>
      <w:r>
        <w:rPr>
          <w:szCs w:val="22"/>
        </w:rPr>
        <w:t xml:space="preserve">e </w:t>
      </w:r>
      <w:r>
        <w:rPr>
          <w:spacing w:val="-4"/>
          <w:szCs w:val="22"/>
        </w:rPr>
        <w:t>m</w:t>
      </w:r>
      <w:r>
        <w:rPr>
          <w:szCs w:val="22"/>
        </w:rPr>
        <w:t>a</w:t>
      </w:r>
      <w:r>
        <w:rPr>
          <w:spacing w:val="1"/>
          <w:szCs w:val="22"/>
        </w:rPr>
        <w:t>li</w:t>
      </w:r>
      <w:r>
        <w:rPr>
          <w:spacing w:val="-3"/>
          <w:szCs w:val="22"/>
        </w:rPr>
        <w:t>g</w:t>
      </w:r>
      <w:r>
        <w:rPr>
          <w:szCs w:val="22"/>
        </w:rPr>
        <w:t>n</w:t>
      </w:r>
      <w:r>
        <w:rPr>
          <w:spacing w:val="1"/>
          <w:szCs w:val="22"/>
        </w:rPr>
        <w:t>i</w:t>
      </w:r>
      <w:r>
        <w:rPr>
          <w:spacing w:val="-2"/>
          <w:szCs w:val="22"/>
        </w:rPr>
        <w:t>t</w:t>
      </w:r>
      <w:r>
        <w:rPr>
          <w:szCs w:val="22"/>
        </w:rPr>
        <w:t>a</w:t>
      </w:r>
      <w:r>
        <w:rPr>
          <w:spacing w:val="1"/>
          <w:szCs w:val="22"/>
        </w:rPr>
        <w:t>t</w:t>
      </w:r>
      <w:r>
        <w:rPr>
          <w:szCs w:val="22"/>
        </w:rPr>
        <w:t>e</w:t>
      </w:r>
      <w:r>
        <w:rPr>
          <w:spacing w:val="-2"/>
          <w:szCs w:val="22"/>
        </w:rPr>
        <w:t xml:space="preserve"> </w:t>
      </w:r>
      <w:r>
        <w:rPr>
          <w:szCs w:val="22"/>
        </w:rPr>
        <w:t>şi</w:t>
      </w:r>
      <w:r>
        <w:rPr>
          <w:spacing w:val="-2"/>
          <w:szCs w:val="22"/>
        </w:rPr>
        <w:t xml:space="preserve"> </w:t>
      </w:r>
      <w:r>
        <w:rPr>
          <w:szCs w:val="22"/>
        </w:rPr>
        <w:t xml:space="preserve">de </w:t>
      </w:r>
      <w:r>
        <w:rPr>
          <w:spacing w:val="-2"/>
          <w:szCs w:val="22"/>
        </w:rPr>
        <w:t>i</w:t>
      </w:r>
      <w:r>
        <w:rPr>
          <w:szCs w:val="22"/>
        </w:rPr>
        <w:t>nfe</w:t>
      </w:r>
      <w:r>
        <w:rPr>
          <w:spacing w:val="-3"/>
          <w:szCs w:val="22"/>
        </w:rPr>
        <w:t>c</w:t>
      </w:r>
      <w:r>
        <w:rPr>
          <w:spacing w:val="1"/>
          <w:szCs w:val="22"/>
        </w:rPr>
        <w:t>ţ</w:t>
      </w:r>
      <w:r>
        <w:rPr>
          <w:spacing w:val="-2"/>
          <w:szCs w:val="22"/>
        </w:rPr>
        <w:t>i</w:t>
      </w:r>
      <w:r>
        <w:rPr>
          <w:szCs w:val="22"/>
        </w:rPr>
        <w:t>i</w:t>
      </w:r>
      <w:r>
        <w:rPr>
          <w:spacing w:val="1"/>
          <w:szCs w:val="22"/>
        </w:rPr>
        <w:t xml:space="preserve"> </w:t>
      </w:r>
      <w:r>
        <w:rPr>
          <w:rFonts w:eastAsia="MS Mincho"/>
          <w:spacing w:val="-2"/>
          <w:szCs w:val="22"/>
          <w:lang w:eastAsia="en-US" w:bidi="ar-SA"/>
        </w:rPr>
        <w:t>grave</w:t>
      </w:r>
      <w:r>
        <w:rPr>
          <w:szCs w:val="22"/>
        </w:rPr>
        <w:t xml:space="preserve"> </w:t>
      </w:r>
      <w:r>
        <w:rPr>
          <w:spacing w:val="-3"/>
          <w:szCs w:val="22"/>
        </w:rPr>
        <w:t>a</w:t>
      </w:r>
      <w:r>
        <w:rPr>
          <w:spacing w:val="1"/>
          <w:szCs w:val="22"/>
        </w:rPr>
        <w:t>t</w:t>
      </w:r>
      <w:r>
        <w:rPr>
          <w:szCs w:val="22"/>
        </w:rPr>
        <w:t>un</w:t>
      </w:r>
      <w:r>
        <w:rPr>
          <w:spacing w:val="-3"/>
          <w:szCs w:val="22"/>
        </w:rPr>
        <w:t>c</w:t>
      </w:r>
      <w:r>
        <w:rPr>
          <w:szCs w:val="22"/>
        </w:rPr>
        <w:t>i</w:t>
      </w:r>
      <w:r>
        <w:rPr>
          <w:spacing w:val="1"/>
          <w:szCs w:val="22"/>
        </w:rPr>
        <w:t xml:space="preserve"> </w:t>
      </w:r>
      <w:r>
        <w:rPr>
          <w:spacing w:val="-3"/>
          <w:szCs w:val="22"/>
        </w:rPr>
        <w:t>c</w:t>
      </w:r>
      <w:r>
        <w:rPr>
          <w:szCs w:val="22"/>
        </w:rPr>
        <w:t xml:space="preserve">ând </w:t>
      </w:r>
      <w:r>
        <w:rPr>
          <w:spacing w:val="-2"/>
          <w:szCs w:val="22"/>
        </w:rPr>
        <w:t>s</w:t>
      </w:r>
      <w:r>
        <w:rPr>
          <w:szCs w:val="22"/>
        </w:rPr>
        <w:t>e 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ea</w:t>
      </w:r>
      <w:r>
        <w:rPr>
          <w:spacing w:val="-3"/>
          <w:szCs w:val="22"/>
        </w:rPr>
        <w:t>z</w:t>
      </w:r>
      <w:r>
        <w:rPr>
          <w:szCs w:val="22"/>
        </w:rPr>
        <w:t>ă conco</w:t>
      </w:r>
      <w:r>
        <w:rPr>
          <w:spacing w:val="-4"/>
          <w:szCs w:val="22"/>
        </w:rPr>
        <w:t>m</w:t>
      </w:r>
      <w:r>
        <w:rPr>
          <w:spacing w:val="1"/>
          <w:szCs w:val="22"/>
        </w:rPr>
        <w:t>it</w:t>
      </w:r>
      <w:r>
        <w:rPr>
          <w:spacing w:val="-3"/>
          <w:szCs w:val="22"/>
        </w:rPr>
        <w:t>e</w:t>
      </w:r>
      <w:r>
        <w:rPr>
          <w:szCs w:val="22"/>
        </w:rPr>
        <w:t>nt</w:t>
      </w:r>
      <w:r>
        <w:rPr>
          <w:spacing w:val="1"/>
          <w:szCs w:val="22"/>
        </w:rPr>
        <w:t xml:space="preserve"> </w:t>
      </w:r>
      <w:r>
        <w:rPr>
          <w:rFonts w:eastAsia="MS Mincho"/>
          <w:spacing w:val="-1"/>
          <w:szCs w:val="22"/>
          <w:lang w:eastAsia="en-US" w:bidi="ar-SA"/>
        </w:rPr>
        <w:t>adalimumab</w:t>
      </w:r>
      <w:r>
        <w:rPr>
          <w:szCs w:val="22"/>
        </w:rPr>
        <w:t xml:space="preserve"> şi a</w:t>
      </w:r>
      <w:r>
        <w:rPr>
          <w:spacing w:val="-3"/>
          <w:szCs w:val="22"/>
        </w:rPr>
        <w:t>z</w:t>
      </w:r>
      <w:r>
        <w:rPr>
          <w:szCs w:val="22"/>
        </w:rPr>
        <w:t>a</w:t>
      </w:r>
      <w:r>
        <w:rPr>
          <w:spacing w:val="1"/>
          <w:szCs w:val="22"/>
        </w:rPr>
        <w:t>ti</w:t>
      </w:r>
      <w:r>
        <w:rPr>
          <w:szCs w:val="22"/>
        </w:rPr>
        <w:t>o</w:t>
      </w:r>
      <w:r>
        <w:rPr>
          <w:spacing w:val="-3"/>
          <w:szCs w:val="22"/>
        </w:rPr>
        <w:t>p</w:t>
      </w:r>
      <w:r>
        <w:rPr>
          <w:szCs w:val="22"/>
        </w:rPr>
        <w:t>r</w:t>
      </w:r>
      <w:r>
        <w:rPr>
          <w:spacing w:val="1"/>
          <w:szCs w:val="22"/>
        </w:rPr>
        <w:t>i</w:t>
      </w:r>
      <w:r>
        <w:rPr>
          <w:spacing w:val="-3"/>
          <w:szCs w:val="22"/>
        </w:rPr>
        <w:t>n</w:t>
      </w:r>
      <w:r>
        <w:rPr>
          <w:szCs w:val="22"/>
        </w:rPr>
        <w:t>ă</w:t>
      </w:r>
      <w:r>
        <w:rPr>
          <w:spacing w:val="1"/>
          <w:szCs w:val="22"/>
        </w:rPr>
        <w:t>/</w:t>
      </w:r>
      <w:r>
        <w:rPr>
          <w:spacing w:val="-1"/>
          <w:szCs w:val="22"/>
        </w:rPr>
        <w:t>6</w:t>
      </w:r>
      <w:r>
        <w:rPr>
          <w:spacing w:val="-4"/>
          <w:szCs w:val="22"/>
        </w:rPr>
        <w:noBreakHyphen/>
        <w:t>m</w:t>
      </w:r>
      <w:r>
        <w:rPr>
          <w:szCs w:val="22"/>
        </w:rPr>
        <w:t>ercap</w:t>
      </w:r>
      <w:r>
        <w:rPr>
          <w:spacing w:val="1"/>
          <w:szCs w:val="22"/>
        </w:rPr>
        <w:t>t</w:t>
      </w:r>
      <w:r>
        <w:rPr>
          <w:szCs w:val="22"/>
        </w:rPr>
        <w:t>op</w:t>
      </w:r>
      <w:r>
        <w:rPr>
          <w:spacing w:val="-3"/>
          <w:szCs w:val="22"/>
        </w:rPr>
        <w:t>u</w:t>
      </w:r>
      <w:r>
        <w:rPr>
          <w:szCs w:val="22"/>
        </w:rPr>
        <w:t>r</w:t>
      </w:r>
      <w:r>
        <w:rPr>
          <w:spacing w:val="-2"/>
          <w:szCs w:val="22"/>
        </w:rPr>
        <w:t>i</w:t>
      </w:r>
      <w:r>
        <w:rPr>
          <w:szCs w:val="22"/>
        </w:rPr>
        <w:t xml:space="preserve">nă </w:t>
      </w:r>
      <w:r>
        <w:rPr>
          <w:spacing w:val="1"/>
          <w:szCs w:val="22"/>
        </w:rPr>
        <w:t>î</w:t>
      </w:r>
      <w:r>
        <w:rPr>
          <w:szCs w:val="22"/>
        </w:rPr>
        <w:t>n</w:t>
      </w:r>
      <w:r>
        <w:rPr>
          <w:spacing w:val="-3"/>
          <w:szCs w:val="22"/>
        </w:rPr>
        <w:t xml:space="preserve"> </w:t>
      </w:r>
      <w:r>
        <w:rPr>
          <w:szCs w:val="22"/>
        </w:rPr>
        <w:t>co</w:t>
      </w:r>
      <w:r>
        <w:rPr>
          <w:spacing w:val="-4"/>
          <w:szCs w:val="22"/>
        </w:rPr>
        <w:t>m</w:t>
      </w:r>
      <w:r>
        <w:rPr>
          <w:szCs w:val="22"/>
        </w:rPr>
        <w:t>para</w:t>
      </w:r>
      <w:r>
        <w:rPr>
          <w:spacing w:val="-2"/>
          <w:szCs w:val="22"/>
        </w:rPr>
        <w:t>ţ</w:t>
      </w:r>
      <w:r>
        <w:rPr>
          <w:spacing w:val="1"/>
          <w:szCs w:val="22"/>
        </w:rPr>
        <w:t>i</w:t>
      </w:r>
      <w:r>
        <w:rPr>
          <w:szCs w:val="22"/>
        </w:rPr>
        <w:t>e</w:t>
      </w:r>
      <w:r>
        <w:rPr>
          <w:spacing w:val="-2"/>
          <w:szCs w:val="22"/>
        </w:rPr>
        <w:t xml:space="preserve"> </w:t>
      </w:r>
      <w:r>
        <w:rPr>
          <w:szCs w:val="22"/>
        </w:rPr>
        <w:t>cu u</w:t>
      </w:r>
      <w:r>
        <w:rPr>
          <w:spacing w:val="-2"/>
          <w:szCs w:val="22"/>
        </w:rPr>
        <w:t>ti</w:t>
      </w:r>
      <w:r>
        <w:rPr>
          <w:spacing w:val="1"/>
          <w:szCs w:val="22"/>
        </w:rPr>
        <w:t>li</w:t>
      </w:r>
      <w:r>
        <w:rPr>
          <w:spacing w:val="-3"/>
          <w:szCs w:val="22"/>
        </w:rPr>
        <w:t>z</w:t>
      </w:r>
      <w:r>
        <w:rPr>
          <w:szCs w:val="22"/>
        </w:rPr>
        <w:t>a</w:t>
      </w:r>
      <w:r>
        <w:rPr>
          <w:spacing w:val="-2"/>
          <w:szCs w:val="22"/>
        </w:rPr>
        <w:t>r</w:t>
      </w:r>
      <w:r>
        <w:rPr>
          <w:szCs w:val="22"/>
        </w:rPr>
        <w:t xml:space="preserve">ea </w:t>
      </w:r>
      <w:r>
        <w:rPr>
          <w:rFonts w:eastAsia="MS Mincho"/>
          <w:spacing w:val="-1"/>
          <w:szCs w:val="22"/>
          <w:lang w:eastAsia="en-US" w:bidi="ar-SA"/>
        </w:rPr>
        <w:t>adalimumab</w:t>
      </w:r>
      <w:r>
        <w:rPr>
          <w:szCs w:val="22"/>
        </w:rPr>
        <w:t xml:space="preserve"> </w:t>
      </w:r>
      <w:r>
        <w:rPr>
          <w:spacing w:val="1"/>
          <w:szCs w:val="22"/>
        </w:rPr>
        <w:t>î</w:t>
      </w:r>
      <w:r>
        <w:rPr>
          <w:szCs w:val="22"/>
        </w:rPr>
        <w:t>n</w:t>
      </w:r>
      <w:r>
        <w:rPr>
          <w:spacing w:val="-3"/>
          <w:szCs w:val="22"/>
        </w:rPr>
        <w:t xml:space="preserve"> </w:t>
      </w:r>
      <w:r>
        <w:rPr>
          <w:spacing w:val="-4"/>
          <w:szCs w:val="22"/>
        </w:rPr>
        <w:t>m</w:t>
      </w:r>
      <w:r>
        <w:rPr>
          <w:szCs w:val="22"/>
        </w:rPr>
        <w:t>ono</w:t>
      </w:r>
      <w:r>
        <w:rPr>
          <w:spacing w:val="1"/>
          <w:szCs w:val="22"/>
        </w:rPr>
        <w:t>t</w:t>
      </w:r>
      <w:r>
        <w:rPr>
          <w:szCs w:val="22"/>
        </w:rPr>
        <w:t>era</w:t>
      </w:r>
      <w:r>
        <w:rPr>
          <w:spacing w:val="-3"/>
          <w:szCs w:val="22"/>
        </w:rPr>
        <w:t>p</w:t>
      </w:r>
      <w:r>
        <w:rPr>
          <w:spacing w:val="1"/>
          <w:szCs w:val="22"/>
        </w:rPr>
        <w:t>i</w:t>
      </w:r>
      <w:r>
        <w:rPr>
          <w:szCs w:val="22"/>
        </w:rPr>
        <w:t>e.</w:t>
      </w:r>
    </w:p>
    <w:p w14:paraId="072D4F25" w14:textId="77777777" w:rsidR="00C04CAD" w:rsidRDefault="00C04CAD">
      <w:pPr>
        <w:autoSpaceDE w:val="0"/>
        <w:autoSpaceDN w:val="0"/>
        <w:adjustRightInd w:val="0"/>
        <w:spacing w:line="240" w:lineRule="auto"/>
        <w:jc w:val="both"/>
        <w:rPr>
          <w:szCs w:val="22"/>
        </w:rPr>
      </w:pPr>
    </w:p>
    <w:p w14:paraId="7041EA92" w14:textId="77777777" w:rsidR="00C04CAD" w:rsidRDefault="00060E34">
      <w:pPr>
        <w:autoSpaceDE w:val="0"/>
        <w:autoSpaceDN w:val="0"/>
        <w:adjustRightInd w:val="0"/>
        <w:spacing w:line="240" w:lineRule="auto"/>
        <w:rPr>
          <w:szCs w:val="22"/>
          <w:u w:val="single"/>
        </w:rPr>
      </w:pPr>
      <w:r>
        <w:rPr>
          <w:szCs w:val="22"/>
          <w:u w:val="single"/>
        </w:rPr>
        <w:t>Raportarea reacțiilor adverse suspectate</w:t>
      </w:r>
    </w:p>
    <w:p w14:paraId="2BD0E2B8" w14:textId="77777777" w:rsidR="00C04CAD" w:rsidRDefault="00C04CAD">
      <w:pPr>
        <w:autoSpaceDE w:val="0"/>
        <w:autoSpaceDN w:val="0"/>
        <w:adjustRightInd w:val="0"/>
        <w:spacing w:line="240" w:lineRule="auto"/>
        <w:rPr>
          <w:rFonts w:eastAsia="MS Mincho"/>
          <w:szCs w:val="22"/>
          <w:u w:val="single"/>
          <w:lang w:eastAsia="en-US" w:bidi="ar-SA"/>
        </w:rPr>
      </w:pPr>
    </w:p>
    <w:p w14:paraId="0796741B" w14:textId="77777777" w:rsidR="00C04CAD" w:rsidRDefault="00060E34">
      <w:pPr>
        <w:autoSpaceDE w:val="0"/>
        <w:autoSpaceDN w:val="0"/>
        <w:adjustRightInd w:val="0"/>
        <w:spacing w:line="240" w:lineRule="auto"/>
      </w:pPr>
      <w:r>
        <w:t xml:space="preserve">Este importantă raportarea reacțiilor adverse suspectate după autorizarea medicamentului. Acest lucru permite monitorizarea continuă a raportului beneficiu/risc al medicamentului. Profesioniștii din domeniul sănătății sunt rugați să raporteze orice reacție adversă suspectată prin intermediul </w:t>
      </w:r>
      <w:r>
        <w:rPr>
          <w:highlight w:val="lightGray"/>
        </w:rPr>
        <w:t xml:space="preserve">sistemului național de raportare, astfel cum este menționat în </w:t>
      </w:r>
      <w:hyperlink r:id="rId11">
        <w:r>
          <w:rPr>
            <w:rStyle w:val="Hyperlink"/>
            <w:highlight w:val="lightGray"/>
            <w:shd w:val="clear" w:color="auto" w:fill="D0CECE"/>
          </w:rPr>
          <w:t>Anexa V</w:t>
        </w:r>
      </w:hyperlink>
      <w:r>
        <w:t>.</w:t>
      </w:r>
    </w:p>
    <w:p w14:paraId="31F0D952" w14:textId="77777777" w:rsidR="00C04CAD" w:rsidRDefault="00C04CAD">
      <w:pPr>
        <w:spacing w:line="240" w:lineRule="auto"/>
      </w:pPr>
    </w:p>
    <w:p w14:paraId="7FCDEA63" w14:textId="77777777" w:rsidR="00C04CAD" w:rsidRDefault="00060E34">
      <w:pPr>
        <w:keepNext/>
        <w:numPr>
          <w:ilvl w:val="1"/>
          <w:numId w:val="7"/>
        </w:numPr>
        <w:spacing w:line="240" w:lineRule="auto"/>
        <w:outlineLvl w:val="0"/>
      </w:pPr>
      <w:r>
        <w:rPr>
          <w:b/>
        </w:rPr>
        <w:t>Supradozaj</w:t>
      </w:r>
    </w:p>
    <w:p w14:paraId="19A5E2BC" w14:textId="77777777" w:rsidR="00C04CAD" w:rsidRDefault="00C04CAD">
      <w:pPr>
        <w:spacing w:line="240" w:lineRule="auto"/>
      </w:pPr>
    </w:p>
    <w:p w14:paraId="0BF80910"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 xml:space="preserve">e </w:t>
      </w:r>
      <w:r>
        <w:rPr>
          <w:spacing w:val="-3"/>
        </w:rPr>
        <w:t>c</w:t>
      </w:r>
      <w:r>
        <w:rPr>
          <w:spacing w:val="1"/>
        </w:rPr>
        <w:t>li</w:t>
      </w:r>
      <w:r>
        <w:rPr>
          <w:spacing w:val="-3"/>
        </w:rPr>
        <w:t>n</w:t>
      </w:r>
      <w:r>
        <w:rPr>
          <w:spacing w:val="1"/>
        </w:rPr>
        <w:t>i</w:t>
      </w:r>
      <w:r>
        <w:rPr>
          <w:spacing w:val="-3"/>
        </w:rPr>
        <w:t>c</w:t>
      </w:r>
      <w:r>
        <w:t>e nu a</w:t>
      </w:r>
      <w:r>
        <w:rPr>
          <w:spacing w:val="-2"/>
        </w:rPr>
        <w:t xml:space="preserve"> </w:t>
      </w:r>
      <w:r>
        <w:t>fo</w:t>
      </w:r>
      <w:r>
        <w:rPr>
          <w:spacing w:val="-2"/>
        </w:rPr>
        <w:t>s</w:t>
      </w:r>
      <w:r>
        <w:t>t</w:t>
      </w:r>
      <w:r>
        <w:rPr>
          <w:spacing w:val="-2"/>
        </w:rPr>
        <w:t xml:space="preserve"> </w:t>
      </w:r>
      <w:r>
        <w:t>obser</w:t>
      </w:r>
      <w:r>
        <w:rPr>
          <w:spacing w:val="-3"/>
        </w:rPr>
        <w:t>v</w:t>
      </w:r>
      <w:r>
        <w:t>a</w:t>
      </w:r>
      <w:r>
        <w:rPr>
          <w:spacing w:val="-2"/>
        </w:rPr>
        <w:t>t</w:t>
      </w:r>
      <w:r>
        <w:t>ă o</w:t>
      </w:r>
      <w:r>
        <w:rPr>
          <w:spacing w:val="-3"/>
        </w:rPr>
        <w:t xml:space="preserve"> </w:t>
      </w:r>
      <w:r>
        <w:rPr>
          <w:spacing w:val="1"/>
        </w:rPr>
        <w:t>t</w:t>
      </w:r>
      <w:r>
        <w:t>ox</w:t>
      </w:r>
      <w:r>
        <w:rPr>
          <w:spacing w:val="-2"/>
        </w:rPr>
        <w:t>i</w:t>
      </w:r>
      <w:r>
        <w:t>c</w:t>
      </w:r>
      <w:r>
        <w:rPr>
          <w:spacing w:val="-2"/>
        </w:rPr>
        <w:t>i</w:t>
      </w:r>
      <w:r>
        <w:rPr>
          <w:spacing w:val="1"/>
        </w:rPr>
        <w:t>t</w:t>
      </w:r>
      <w:r>
        <w:rPr>
          <w:spacing w:val="-3"/>
        </w:rPr>
        <w:t>a</w:t>
      </w:r>
      <w:r>
        <w:rPr>
          <w:spacing w:val="1"/>
        </w:rPr>
        <w:t>t</w:t>
      </w:r>
      <w:r>
        <w:t xml:space="preserve">e </w:t>
      </w:r>
      <w:r>
        <w:rPr>
          <w:spacing w:val="-3"/>
        </w:rPr>
        <w:t>c</w:t>
      </w:r>
      <w:r>
        <w:t>are</w:t>
      </w:r>
      <w:r>
        <w:rPr>
          <w:spacing w:val="-2"/>
        </w:rPr>
        <w:t xml:space="preserve"> s</w:t>
      </w:r>
      <w:r>
        <w:t>ă de</w:t>
      </w:r>
      <w:r>
        <w:rPr>
          <w:spacing w:val="-2"/>
        </w:rPr>
        <w:t>t</w:t>
      </w:r>
      <w:r>
        <w:t>er</w:t>
      </w:r>
      <w:r>
        <w:rPr>
          <w:spacing w:val="-4"/>
        </w:rPr>
        <w:t>m</w:t>
      </w:r>
      <w:r>
        <w:rPr>
          <w:spacing w:val="1"/>
        </w:rPr>
        <w:t>i</w:t>
      </w:r>
      <w:r>
        <w:t xml:space="preserve">ne </w:t>
      </w:r>
      <w:r>
        <w:rPr>
          <w:spacing w:val="-2"/>
        </w:rPr>
        <w:t>l</w:t>
      </w:r>
      <w:r>
        <w:rPr>
          <w:spacing w:val="1"/>
        </w:rPr>
        <w:t>i</w:t>
      </w:r>
      <w:r>
        <w:rPr>
          <w:spacing w:val="-4"/>
        </w:rPr>
        <w:t>m</w:t>
      </w:r>
      <w:r>
        <w:rPr>
          <w:spacing w:val="1"/>
        </w:rPr>
        <w:t>it</w:t>
      </w:r>
      <w:r>
        <w:rPr>
          <w:spacing w:val="-3"/>
        </w:rPr>
        <w:t>a</w:t>
      </w:r>
      <w:r>
        <w:t xml:space="preserve">rea </w:t>
      </w:r>
      <w:r>
        <w:rPr>
          <w:spacing w:val="-3"/>
        </w:rPr>
        <w:t>d</w:t>
      </w:r>
      <w:r>
        <w:t>o</w:t>
      </w:r>
      <w:r>
        <w:rPr>
          <w:spacing w:val="-3"/>
        </w:rPr>
        <w:t>z</w:t>
      </w:r>
      <w:r>
        <w:t>e</w:t>
      </w:r>
      <w:r>
        <w:rPr>
          <w:spacing w:val="1"/>
        </w:rPr>
        <w:t>i</w:t>
      </w:r>
      <w:r>
        <w:t>.</w:t>
      </w:r>
      <w:r>
        <w:rPr>
          <w:spacing w:val="-3"/>
        </w:rPr>
        <w:t xml:space="preserve"> </w:t>
      </w:r>
      <w:r>
        <w:rPr>
          <w:spacing w:val="-1"/>
        </w:rPr>
        <w:t>C</w:t>
      </w:r>
      <w:r>
        <w:t xml:space="preserve">ea </w:t>
      </w:r>
      <w:r>
        <w:rPr>
          <w:spacing w:val="-4"/>
        </w:rPr>
        <w:t>m</w:t>
      </w:r>
      <w:r>
        <w:t>ai</w:t>
      </w:r>
      <w:r>
        <w:rPr>
          <w:spacing w:val="1"/>
        </w:rPr>
        <w:t xml:space="preserve"> </w:t>
      </w:r>
      <w:r>
        <w:rPr>
          <w:spacing w:val="-4"/>
        </w:rPr>
        <w:t>m</w:t>
      </w:r>
      <w:r>
        <w:t>are do</w:t>
      </w:r>
      <w:r>
        <w:rPr>
          <w:spacing w:val="-3"/>
        </w:rPr>
        <w:t>z</w:t>
      </w:r>
      <w:r>
        <w:t>ă e</w:t>
      </w:r>
      <w:r>
        <w:rPr>
          <w:spacing w:val="-3"/>
        </w:rPr>
        <w:t>v</w:t>
      </w:r>
      <w:r>
        <w:t>a</w:t>
      </w:r>
      <w:r>
        <w:rPr>
          <w:spacing w:val="1"/>
        </w:rPr>
        <w:t>l</w:t>
      </w:r>
      <w:r>
        <w:t>ua</w:t>
      </w:r>
      <w:r>
        <w:rPr>
          <w:spacing w:val="-2"/>
        </w:rPr>
        <w:t>t</w:t>
      </w:r>
      <w:r>
        <w:t>ă a</w:t>
      </w:r>
      <w:r>
        <w:rPr>
          <w:spacing w:val="-2"/>
        </w:rPr>
        <w:t xml:space="preserve"> </w:t>
      </w:r>
      <w:r>
        <w:t>fo</w:t>
      </w:r>
      <w:r>
        <w:rPr>
          <w:spacing w:val="-2"/>
        </w:rPr>
        <w:t>s</w:t>
      </w:r>
      <w:r>
        <w:t>t</w:t>
      </w:r>
      <w:r>
        <w:rPr>
          <w:spacing w:val="1"/>
        </w:rPr>
        <w:t xml:space="preserve"> </w:t>
      </w:r>
      <w:r>
        <w:rPr>
          <w:spacing w:val="-4"/>
        </w:rPr>
        <w:t>m</w:t>
      </w:r>
      <w:r>
        <w:t>u</w:t>
      </w:r>
      <w:r>
        <w:rPr>
          <w:spacing w:val="1"/>
        </w:rPr>
        <w:t>lti</w:t>
      </w:r>
      <w:r>
        <w:rPr>
          <w:spacing w:val="-3"/>
        </w:rPr>
        <w:t>p</w:t>
      </w:r>
      <w:r>
        <w:rPr>
          <w:spacing w:val="1"/>
        </w:rPr>
        <w:t>l</w:t>
      </w:r>
      <w:r>
        <w:rPr>
          <w:spacing w:val="-3"/>
        </w:rPr>
        <w:t>u</w:t>
      </w:r>
      <w:r>
        <w:t>l</w:t>
      </w:r>
      <w:r>
        <w:rPr>
          <w:spacing w:val="1"/>
        </w:rPr>
        <w:t xml:space="preserve"> </w:t>
      </w:r>
      <w:r>
        <w:t>de</w:t>
      </w:r>
      <w:r>
        <w:rPr>
          <w:spacing w:val="-2"/>
        </w:rPr>
        <w:t xml:space="preserve"> </w:t>
      </w:r>
      <w:r>
        <w:t>10 </w:t>
      </w:r>
      <w:r>
        <w:rPr>
          <w:spacing w:val="-2"/>
        </w:rPr>
        <w:t>m</w:t>
      </w:r>
      <w:r>
        <w:rPr>
          <w:spacing w:val="-3"/>
        </w:rPr>
        <w:t>g</w:t>
      </w:r>
      <w:r>
        <w:rPr>
          <w:spacing w:val="1"/>
        </w:rPr>
        <w:t>/</w:t>
      </w:r>
      <w:r>
        <w:t>kg</w:t>
      </w:r>
      <w:r>
        <w:rPr>
          <w:spacing w:val="-3"/>
        </w:rPr>
        <w:t xml:space="preserve"> </w:t>
      </w:r>
      <w:r>
        <w:t>a do</w:t>
      </w:r>
      <w:r>
        <w:rPr>
          <w:spacing w:val="-3"/>
        </w:rPr>
        <w:t>z</w:t>
      </w:r>
      <w:r>
        <w:t>ei</w:t>
      </w:r>
      <w:r>
        <w:rPr>
          <w:spacing w:val="1"/>
        </w:rPr>
        <w:t xml:space="preserve"> </w:t>
      </w:r>
      <w:r>
        <w:t>de ad</w:t>
      </w:r>
      <w:r>
        <w:rPr>
          <w:spacing w:val="-3"/>
        </w:rPr>
        <w:t>a</w:t>
      </w:r>
      <w:r>
        <w:rPr>
          <w:spacing w:val="-2"/>
        </w:rPr>
        <w:t>l</w:t>
      </w:r>
      <w:r>
        <w:rPr>
          <w:spacing w:val="1"/>
        </w:rPr>
        <w:t>i</w:t>
      </w:r>
      <w:r>
        <w:rPr>
          <w:spacing w:val="-2"/>
        </w:rPr>
        <w:t>m</w:t>
      </w:r>
      <w:r>
        <w:t>u</w:t>
      </w:r>
      <w:r>
        <w:rPr>
          <w:spacing w:val="-4"/>
        </w:rPr>
        <w:t>m</w:t>
      </w:r>
      <w:r>
        <w:t>ab ad</w:t>
      </w:r>
      <w:r>
        <w:rPr>
          <w:spacing w:val="-4"/>
        </w:rPr>
        <w:t>m</w:t>
      </w:r>
      <w:r>
        <w:rPr>
          <w:spacing w:val="1"/>
        </w:rPr>
        <w:t>i</w:t>
      </w:r>
      <w:r>
        <w:t>n</w:t>
      </w:r>
      <w:r>
        <w:rPr>
          <w:spacing w:val="1"/>
        </w:rPr>
        <w:t>i</w:t>
      </w:r>
      <w:r>
        <w:t>s</w:t>
      </w:r>
      <w:r>
        <w:rPr>
          <w:spacing w:val="1"/>
        </w:rPr>
        <w:t>t</w:t>
      </w:r>
      <w:r>
        <w:t>r</w:t>
      </w:r>
      <w:r>
        <w:rPr>
          <w:spacing w:val="-3"/>
        </w:rPr>
        <w:t>a</w:t>
      </w:r>
      <w:r>
        <w:t>t</w:t>
      </w:r>
      <w:r>
        <w:rPr>
          <w:spacing w:val="-2"/>
        </w:rPr>
        <w:t xml:space="preserve"> </w:t>
      </w:r>
      <w:r>
        <w:rPr>
          <w:spacing w:val="1"/>
        </w:rPr>
        <w:t>i</w:t>
      </w:r>
      <w:r>
        <w:t>n</w:t>
      </w:r>
      <w:r>
        <w:rPr>
          <w:spacing w:val="-2"/>
        </w:rPr>
        <w:t>t</w:t>
      </w:r>
      <w:r>
        <w:t>ra</w:t>
      </w:r>
      <w:r>
        <w:rPr>
          <w:spacing w:val="-3"/>
        </w:rPr>
        <w:t>v</w:t>
      </w:r>
      <w:r>
        <w:t>en</w:t>
      </w:r>
      <w:r>
        <w:rPr>
          <w:spacing w:val="-3"/>
        </w:rPr>
        <w:t>o</w:t>
      </w:r>
      <w:r>
        <w:t>s, do</w:t>
      </w:r>
      <w:r>
        <w:rPr>
          <w:spacing w:val="-3"/>
        </w:rPr>
        <w:t>z</w:t>
      </w:r>
      <w:r>
        <w:t xml:space="preserve">ă </w:t>
      </w:r>
      <w:r>
        <w:rPr>
          <w:spacing w:val="-4"/>
        </w:rPr>
        <w:t>m</w:t>
      </w:r>
      <w:r>
        <w:t>ai</w:t>
      </w:r>
      <w:r>
        <w:rPr>
          <w:spacing w:val="1"/>
        </w:rPr>
        <w:t xml:space="preserve"> </w:t>
      </w:r>
      <w:r>
        <w:rPr>
          <w:spacing w:val="-4"/>
        </w:rPr>
        <w:t>m</w:t>
      </w:r>
      <w:r>
        <w:t>are de apro</w:t>
      </w:r>
      <w:r>
        <w:rPr>
          <w:spacing w:val="-3"/>
        </w:rPr>
        <w:t>x</w:t>
      </w:r>
      <w:r>
        <w:rPr>
          <w:spacing w:val="1"/>
        </w:rPr>
        <w:t>i</w:t>
      </w:r>
      <w:r>
        <w:rPr>
          <w:spacing w:val="-4"/>
        </w:rPr>
        <w:t>m</w:t>
      </w:r>
      <w:r>
        <w:t>a</w:t>
      </w:r>
      <w:r>
        <w:rPr>
          <w:spacing w:val="1"/>
        </w:rPr>
        <w:t>ti</w:t>
      </w:r>
      <w:r>
        <w:t>v</w:t>
      </w:r>
      <w:r>
        <w:rPr>
          <w:spacing w:val="-3"/>
        </w:rPr>
        <w:t xml:space="preserve"> </w:t>
      </w:r>
      <w:r>
        <w:t>15 o</w:t>
      </w:r>
      <w:r>
        <w:rPr>
          <w:spacing w:val="-2"/>
        </w:rPr>
        <w:t>r</w:t>
      </w:r>
      <w:r>
        <w:t>i</w:t>
      </w:r>
      <w:r>
        <w:rPr>
          <w:spacing w:val="1"/>
        </w:rPr>
        <w:t xml:space="preserve"> </w:t>
      </w:r>
      <w:r>
        <w:rPr>
          <w:spacing w:val="-2"/>
        </w:rPr>
        <w:t>f</w:t>
      </w:r>
      <w:r>
        <w:t>a</w:t>
      </w:r>
      <w:r>
        <w:rPr>
          <w:spacing w:val="1"/>
        </w:rPr>
        <w:t>ţ</w:t>
      </w:r>
      <w:r>
        <w:t>ă</w:t>
      </w:r>
      <w:r>
        <w:rPr>
          <w:spacing w:val="-2"/>
        </w:rPr>
        <w:t xml:space="preserve"> </w:t>
      </w:r>
      <w:r>
        <w:t xml:space="preserve">de </w:t>
      </w:r>
      <w:r>
        <w:rPr>
          <w:spacing w:val="-3"/>
        </w:rPr>
        <w:t>d</w:t>
      </w:r>
      <w:r>
        <w:t>o</w:t>
      </w:r>
      <w:r>
        <w:rPr>
          <w:spacing w:val="-3"/>
        </w:rPr>
        <w:t>z</w:t>
      </w:r>
      <w:r>
        <w:t>a reco</w:t>
      </w:r>
      <w:r>
        <w:rPr>
          <w:spacing w:val="-4"/>
        </w:rPr>
        <w:t>m</w:t>
      </w:r>
      <w:r>
        <w:t>anda</w:t>
      </w:r>
      <w:r>
        <w:rPr>
          <w:spacing w:val="-2"/>
        </w:rPr>
        <w:t>t</w:t>
      </w:r>
      <w:r>
        <w:t>ă.</w:t>
      </w:r>
    </w:p>
    <w:p w14:paraId="45805838" w14:textId="77777777" w:rsidR="00C04CAD" w:rsidRDefault="00C04CAD">
      <w:pPr>
        <w:spacing w:line="240" w:lineRule="auto"/>
      </w:pPr>
    </w:p>
    <w:p w14:paraId="67C53907" w14:textId="77777777" w:rsidR="00C04CAD" w:rsidRDefault="00C04CAD">
      <w:pPr>
        <w:spacing w:line="240" w:lineRule="auto"/>
      </w:pPr>
    </w:p>
    <w:p w14:paraId="1429B5D6" w14:textId="77777777" w:rsidR="00C04CAD" w:rsidRDefault="00060E34">
      <w:pPr>
        <w:keepNext/>
        <w:numPr>
          <w:ilvl w:val="0"/>
          <w:numId w:val="7"/>
        </w:numPr>
        <w:suppressAutoHyphens/>
        <w:spacing w:line="240" w:lineRule="auto"/>
        <w:rPr>
          <w:szCs w:val="22"/>
        </w:rPr>
      </w:pPr>
      <w:r>
        <w:rPr>
          <w:b/>
          <w:szCs w:val="22"/>
        </w:rPr>
        <w:t>PROPRIETĂȚI FARMACOLOGICE</w:t>
      </w:r>
    </w:p>
    <w:p w14:paraId="1F3182A0" w14:textId="77777777" w:rsidR="00C04CAD" w:rsidRDefault="00C04CAD">
      <w:pPr>
        <w:keepNext/>
        <w:spacing w:line="240" w:lineRule="auto"/>
        <w:rPr>
          <w:szCs w:val="22"/>
        </w:rPr>
      </w:pPr>
    </w:p>
    <w:p w14:paraId="496CEA39" w14:textId="77777777" w:rsidR="00C04CAD" w:rsidRDefault="00060E34">
      <w:pPr>
        <w:keepNext/>
        <w:numPr>
          <w:ilvl w:val="1"/>
          <w:numId w:val="7"/>
        </w:numPr>
        <w:spacing w:line="240" w:lineRule="auto"/>
        <w:outlineLvl w:val="0"/>
        <w:rPr>
          <w:szCs w:val="22"/>
        </w:rPr>
      </w:pPr>
      <w:r>
        <w:rPr>
          <w:b/>
          <w:szCs w:val="22"/>
        </w:rPr>
        <w:t>Proprietăți farmacodinamice</w:t>
      </w:r>
    </w:p>
    <w:p w14:paraId="72626C17" w14:textId="77777777" w:rsidR="00C04CAD" w:rsidRDefault="00C04CAD">
      <w:pPr>
        <w:keepNext/>
        <w:spacing w:line="240" w:lineRule="auto"/>
        <w:rPr>
          <w:szCs w:val="22"/>
        </w:rPr>
      </w:pPr>
    </w:p>
    <w:p w14:paraId="44D990F6" w14:textId="77777777" w:rsidR="00C04CAD" w:rsidRDefault="00060E34">
      <w:pPr>
        <w:spacing w:line="240" w:lineRule="auto"/>
        <w:outlineLvl w:val="0"/>
        <w:rPr>
          <w:szCs w:val="22"/>
        </w:rPr>
      </w:pPr>
      <w:r>
        <w:rPr>
          <w:szCs w:val="22"/>
        </w:rPr>
        <w:t xml:space="preserve">Grupa farmacoterapeutică: </w:t>
      </w:r>
      <w:r>
        <w:rPr>
          <w:spacing w:val="-2"/>
          <w:szCs w:val="22"/>
        </w:rPr>
        <w:t>Im</w:t>
      </w:r>
      <w:r>
        <w:rPr>
          <w:szCs w:val="22"/>
        </w:rPr>
        <w:t>unosupre</w:t>
      </w:r>
      <w:r>
        <w:rPr>
          <w:spacing w:val="-2"/>
          <w:szCs w:val="22"/>
        </w:rPr>
        <w:t>s</w:t>
      </w:r>
      <w:r>
        <w:rPr>
          <w:szCs w:val="22"/>
        </w:rPr>
        <w:t>oa</w:t>
      </w:r>
      <w:r>
        <w:rPr>
          <w:spacing w:val="-2"/>
          <w:szCs w:val="22"/>
        </w:rPr>
        <w:t>r</w:t>
      </w:r>
      <w:r>
        <w:rPr>
          <w:szCs w:val="22"/>
        </w:rPr>
        <w:t xml:space="preserve">e, </w:t>
      </w:r>
      <w:r>
        <w:rPr>
          <w:spacing w:val="-2"/>
          <w:szCs w:val="22"/>
        </w:rPr>
        <w:t>i</w:t>
      </w:r>
      <w:r>
        <w:rPr>
          <w:szCs w:val="22"/>
        </w:rPr>
        <w:t>nh</w:t>
      </w:r>
      <w:r>
        <w:rPr>
          <w:spacing w:val="1"/>
          <w:szCs w:val="22"/>
        </w:rPr>
        <w:t>i</w:t>
      </w:r>
      <w:r>
        <w:rPr>
          <w:spacing w:val="-3"/>
          <w:szCs w:val="22"/>
        </w:rPr>
        <w:t>b</w:t>
      </w:r>
      <w:r>
        <w:rPr>
          <w:spacing w:val="1"/>
          <w:szCs w:val="22"/>
        </w:rPr>
        <w:t>i</w:t>
      </w:r>
      <w:r>
        <w:rPr>
          <w:spacing w:val="-2"/>
          <w:szCs w:val="22"/>
        </w:rPr>
        <w:t>t</w:t>
      </w:r>
      <w:r>
        <w:rPr>
          <w:szCs w:val="22"/>
        </w:rPr>
        <w:t>o</w:t>
      </w:r>
      <w:r>
        <w:rPr>
          <w:spacing w:val="-2"/>
          <w:szCs w:val="22"/>
        </w:rPr>
        <w:t>r</w:t>
      </w:r>
      <w:r>
        <w:rPr>
          <w:szCs w:val="22"/>
        </w:rPr>
        <w:t>i</w:t>
      </w:r>
      <w:r>
        <w:rPr>
          <w:spacing w:val="-2"/>
          <w:szCs w:val="22"/>
        </w:rPr>
        <w:t xml:space="preserve"> </w:t>
      </w:r>
      <w:r>
        <w:rPr>
          <w:szCs w:val="22"/>
        </w:rPr>
        <w:t>ai</w:t>
      </w:r>
      <w:r>
        <w:rPr>
          <w:spacing w:val="1"/>
          <w:szCs w:val="22"/>
        </w:rPr>
        <w:t xml:space="preserve"> </w:t>
      </w:r>
      <w:r>
        <w:rPr>
          <w:spacing w:val="-2"/>
          <w:szCs w:val="22"/>
        </w:rPr>
        <w:t>f</w:t>
      </w:r>
      <w:r>
        <w:rPr>
          <w:szCs w:val="22"/>
        </w:rPr>
        <w:t>a</w:t>
      </w:r>
      <w:r>
        <w:rPr>
          <w:spacing w:val="-3"/>
          <w:szCs w:val="22"/>
        </w:rPr>
        <w:t>c</w:t>
      </w:r>
      <w:r>
        <w:rPr>
          <w:spacing w:val="1"/>
          <w:szCs w:val="22"/>
        </w:rPr>
        <w:t>t</w:t>
      </w:r>
      <w:r>
        <w:rPr>
          <w:szCs w:val="22"/>
        </w:rPr>
        <w:t>or</w:t>
      </w:r>
      <w:r>
        <w:rPr>
          <w:spacing w:val="-3"/>
          <w:szCs w:val="22"/>
        </w:rPr>
        <w:t>u</w:t>
      </w:r>
      <w:r>
        <w:rPr>
          <w:spacing w:val="1"/>
          <w:szCs w:val="22"/>
        </w:rPr>
        <w:t>l</w:t>
      </w:r>
      <w:r>
        <w:rPr>
          <w:spacing w:val="-3"/>
          <w:szCs w:val="22"/>
        </w:rPr>
        <w:t>u</w:t>
      </w:r>
      <w:r>
        <w:rPr>
          <w:szCs w:val="22"/>
        </w:rPr>
        <w:t>i</w:t>
      </w:r>
      <w:r>
        <w:rPr>
          <w:spacing w:val="1"/>
          <w:szCs w:val="22"/>
        </w:rPr>
        <w:t xml:space="preserve"> </w:t>
      </w:r>
      <w:r>
        <w:rPr>
          <w:szCs w:val="22"/>
        </w:rPr>
        <w:t xml:space="preserve">de </w:t>
      </w:r>
      <w:r>
        <w:rPr>
          <w:spacing w:val="-3"/>
          <w:szCs w:val="22"/>
        </w:rPr>
        <w:t>n</w:t>
      </w:r>
      <w:r>
        <w:rPr>
          <w:szCs w:val="22"/>
        </w:rPr>
        <w:t>e</w:t>
      </w:r>
      <w:r>
        <w:rPr>
          <w:spacing w:val="-3"/>
          <w:szCs w:val="22"/>
        </w:rPr>
        <w:t>c</w:t>
      </w:r>
      <w:r>
        <w:rPr>
          <w:szCs w:val="22"/>
        </w:rPr>
        <w:t>ro</w:t>
      </w:r>
      <w:r>
        <w:rPr>
          <w:spacing w:val="-3"/>
          <w:szCs w:val="22"/>
        </w:rPr>
        <w:t>z</w:t>
      </w:r>
      <w:r>
        <w:rPr>
          <w:szCs w:val="22"/>
        </w:rPr>
        <w:t xml:space="preserve">ă </w:t>
      </w:r>
      <w:r>
        <w:rPr>
          <w:spacing w:val="1"/>
          <w:szCs w:val="22"/>
        </w:rPr>
        <w:t>t</w:t>
      </w:r>
      <w:r>
        <w:rPr>
          <w:spacing w:val="-3"/>
          <w:szCs w:val="22"/>
        </w:rPr>
        <w:t>u</w:t>
      </w:r>
      <w:r>
        <w:rPr>
          <w:spacing w:val="-4"/>
          <w:szCs w:val="22"/>
        </w:rPr>
        <w:t>m</w:t>
      </w:r>
      <w:r>
        <w:rPr>
          <w:szCs w:val="22"/>
        </w:rPr>
        <w:t>ora</w:t>
      </w:r>
      <w:r>
        <w:rPr>
          <w:spacing w:val="1"/>
          <w:szCs w:val="22"/>
        </w:rPr>
        <w:t>l</w:t>
      </w:r>
      <w:r>
        <w:rPr>
          <w:szCs w:val="22"/>
        </w:rPr>
        <w:t>ă a</w:t>
      </w:r>
      <w:r>
        <w:rPr>
          <w:spacing w:val="-2"/>
          <w:szCs w:val="22"/>
        </w:rPr>
        <w:t>l</w:t>
      </w:r>
      <w:r>
        <w:rPr>
          <w:szCs w:val="22"/>
        </w:rPr>
        <w:t>fa</w:t>
      </w:r>
      <w:r>
        <w:rPr>
          <w:spacing w:val="-2"/>
          <w:szCs w:val="22"/>
        </w:rPr>
        <w:t xml:space="preserve"> (</w:t>
      </w:r>
      <w:r>
        <w:rPr>
          <w:spacing w:val="1"/>
          <w:szCs w:val="22"/>
        </w:rPr>
        <w:t>T</w:t>
      </w:r>
      <w:r>
        <w:rPr>
          <w:spacing w:val="-1"/>
          <w:szCs w:val="22"/>
        </w:rPr>
        <w:t>NF</w:t>
      </w:r>
      <w:r>
        <w:rPr>
          <w:spacing w:val="-4"/>
          <w:szCs w:val="22"/>
        </w:rPr>
        <w:t>-</w:t>
      </w:r>
      <w:r>
        <w:rPr>
          <w:spacing w:val="-1"/>
          <w:szCs w:val="22"/>
        </w:rPr>
        <w:t>α)</w:t>
      </w:r>
      <w:r>
        <w:rPr>
          <w:szCs w:val="22"/>
        </w:rPr>
        <w:t xml:space="preserve">, codul ATC: </w:t>
      </w:r>
      <w:r>
        <w:rPr>
          <w:spacing w:val="-1"/>
          <w:szCs w:val="22"/>
        </w:rPr>
        <w:t>L</w:t>
      </w:r>
      <w:r>
        <w:rPr>
          <w:szCs w:val="22"/>
        </w:rPr>
        <w:t>04</w:t>
      </w:r>
      <w:r>
        <w:rPr>
          <w:spacing w:val="-1"/>
          <w:szCs w:val="22"/>
        </w:rPr>
        <w:t>AB</w:t>
      </w:r>
      <w:r>
        <w:rPr>
          <w:szCs w:val="22"/>
        </w:rPr>
        <w:t>04</w:t>
      </w:r>
    </w:p>
    <w:p w14:paraId="699B08B4" w14:textId="77777777" w:rsidR="00C04CAD" w:rsidRDefault="00C04CAD">
      <w:pPr>
        <w:spacing w:line="240" w:lineRule="auto"/>
        <w:rPr>
          <w:szCs w:val="22"/>
        </w:rPr>
      </w:pPr>
    </w:p>
    <w:p w14:paraId="7BA9CB56" w14:textId="77777777" w:rsidR="00C04CAD" w:rsidRDefault="00060E34">
      <w:pPr>
        <w:autoSpaceDE w:val="0"/>
        <w:autoSpaceDN w:val="0"/>
        <w:adjustRightInd w:val="0"/>
        <w:spacing w:line="240" w:lineRule="auto"/>
        <w:rPr>
          <w:szCs w:val="22"/>
        </w:rPr>
      </w:pPr>
      <w:r>
        <w:rPr>
          <w:szCs w:val="22"/>
        </w:rPr>
        <w:t xml:space="preserve">AMGEVITA este un medicament biosimilar. Informații detaliate sunt disponibile pe site-ul Agenției Europene pentru Medicamente </w:t>
      </w:r>
      <w:hyperlink r:id="rId12" w:history="1">
        <w:r>
          <w:rPr>
            <w:rStyle w:val="Hyperlink"/>
          </w:rPr>
          <w:t>http://www.ema.europa.eu</w:t>
        </w:r>
      </w:hyperlink>
      <w:r>
        <w:t>.</w:t>
      </w:r>
    </w:p>
    <w:p w14:paraId="3BEA9C4D" w14:textId="77777777" w:rsidR="00C04CAD" w:rsidRDefault="00C04CAD">
      <w:pPr>
        <w:autoSpaceDE w:val="0"/>
        <w:autoSpaceDN w:val="0"/>
        <w:adjustRightInd w:val="0"/>
        <w:spacing w:line="240" w:lineRule="auto"/>
        <w:rPr>
          <w:b/>
          <w:szCs w:val="22"/>
        </w:rPr>
      </w:pPr>
    </w:p>
    <w:p w14:paraId="327B0BC4" w14:textId="77777777" w:rsidR="00C04CAD" w:rsidRDefault="00060E34">
      <w:pPr>
        <w:keepNext/>
        <w:autoSpaceDE w:val="0"/>
        <w:autoSpaceDN w:val="0"/>
        <w:adjustRightInd w:val="0"/>
        <w:spacing w:line="240" w:lineRule="auto"/>
      </w:pPr>
      <w:r>
        <w:rPr>
          <w:u w:val="single"/>
        </w:rPr>
        <w:t>Mecanism de acțiune</w:t>
      </w:r>
    </w:p>
    <w:p w14:paraId="357F3738" w14:textId="77777777" w:rsidR="00C04CAD" w:rsidRDefault="00C04CAD">
      <w:pPr>
        <w:keepNext/>
        <w:autoSpaceDE w:val="0"/>
        <w:autoSpaceDN w:val="0"/>
        <w:adjustRightInd w:val="0"/>
        <w:spacing w:line="240" w:lineRule="auto"/>
      </w:pPr>
    </w:p>
    <w:p w14:paraId="6C763117" w14:textId="77777777" w:rsidR="00C04CAD" w:rsidRDefault="00060E34">
      <w:pPr>
        <w:tabs>
          <w:tab w:val="clear" w:pos="567"/>
        </w:tabs>
        <w:kinsoku w:val="0"/>
        <w:overflowPunct w:val="0"/>
        <w:autoSpaceDE w:val="0"/>
        <w:autoSpaceDN w:val="0"/>
        <w:adjustRightInd w:val="0"/>
        <w:spacing w:line="240" w:lineRule="auto"/>
      </w:pPr>
      <w:r>
        <w:rPr>
          <w:spacing w:val="-1"/>
        </w:rPr>
        <w:t>A</w:t>
      </w:r>
      <w:r>
        <w:t>da</w:t>
      </w:r>
      <w:r>
        <w:rPr>
          <w:spacing w:val="1"/>
        </w:rPr>
        <w:t>li</w:t>
      </w:r>
      <w:r>
        <w:rPr>
          <w:spacing w:val="-4"/>
        </w:rPr>
        <w:t>m</w:t>
      </w:r>
      <w:r>
        <w:t>u</w:t>
      </w:r>
      <w:r>
        <w:rPr>
          <w:spacing w:val="-4"/>
        </w:rPr>
        <w:t>m</w:t>
      </w:r>
      <w:r>
        <w:t xml:space="preserve">ab se </w:t>
      </w:r>
      <w:r>
        <w:rPr>
          <w:spacing w:val="1"/>
        </w:rPr>
        <w:t>l</w:t>
      </w:r>
      <w:r>
        <w:t>ea</w:t>
      </w:r>
      <w:r>
        <w:rPr>
          <w:spacing w:val="-3"/>
        </w:rPr>
        <w:t>g</w:t>
      </w:r>
      <w:r>
        <w:t>ă s</w:t>
      </w:r>
      <w:r>
        <w:rPr>
          <w:spacing w:val="-3"/>
        </w:rPr>
        <w:t>p</w:t>
      </w:r>
      <w:r>
        <w:t>ec</w:t>
      </w:r>
      <w:r>
        <w:rPr>
          <w:spacing w:val="-2"/>
        </w:rPr>
        <w:t>i</w:t>
      </w:r>
      <w:r>
        <w:t>f</w:t>
      </w:r>
      <w:r>
        <w:rPr>
          <w:spacing w:val="1"/>
        </w:rPr>
        <w:t>i</w:t>
      </w:r>
      <w:r>
        <w:t>c</w:t>
      </w:r>
      <w:r>
        <w:rPr>
          <w:spacing w:val="-2"/>
        </w:rPr>
        <w:t xml:space="preserve"> </w:t>
      </w:r>
      <w:r>
        <w:t>de</w:t>
      </w:r>
      <w:r>
        <w:rPr>
          <w:spacing w:val="-2"/>
        </w:rPr>
        <w:t xml:space="preserve"> </w:t>
      </w:r>
      <w:r>
        <w:rPr>
          <w:spacing w:val="1"/>
        </w:rPr>
        <w:t>T</w:t>
      </w:r>
      <w:r>
        <w:rPr>
          <w:spacing w:val="-1"/>
        </w:rPr>
        <w:t>N</w:t>
      </w:r>
      <w:r>
        <w:t>F</w:t>
      </w:r>
      <w:r>
        <w:rPr>
          <w:spacing w:val="-1"/>
        </w:rPr>
        <w:t xml:space="preserve"> </w:t>
      </w:r>
      <w:r>
        <w:rPr>
          <w:spacing w:val="-2"/>
        </w:rPr>
        <w:t>ş</w:t>
      </w:r>
      <w:r>
        <w:t>i</w:t>
      </w:r>
      <w:r>
        <w:rPr>
          <w:spacing w:val="1"/>
        </w:rPr>
        <w:t xml:space="preserve"> </w:t>
      </w:r>
      <w:r>
        <w:t>ne</w:t>
      </w:r>
      <w:r>
        <w:rPr>
          <w:spacing w:val="-3"/>
        </w:rPr>
        <w:t>u</w:t>
      </w:r>
      <w:r>
        <w:rPr>
          <w:spacing w:val="1"/>
        </w:rPr>
        <w:t>t</w:t>
      </w:r>
      <w:r>
        <w:rPr>
          <w:spacing w:val="-2"/>
        </w:rPr>
        <w:t>r</w:t>
      </w:r>
      <w:r>
        <w:t>a</w:t>
      </w:r>
      <w:r>
        <w:rPr>
          <w:spacing w:val="-2"/>
        </w:rPr>
        <w:t>l</w:t>
      </w:r>
      <w:r>
        <w:rPr>
          <w:spacing w:val="1"/>
        </w:rPr>
        <w:t>i</w:t>
      </w:r>
      <w:r>
        <w:rPr>
          <w:spacing w:val="-3"/>
        </w:rPr>
        <w:t>z</w:t>
      </w:r>
      <w:r>
        <w:t>ea</w:t>
      </w:r>
      <w:r>
        <w:rPr>
          <w:spacing w:val="-3"/>
        </w:rPr>
        <w:t>z</w:t>
      </w:r>
      <w:r>
        <w:t>ă fun</w:t>
      </w:r>
      <w:r>
        <w:rPr>
          <w:spacing w:val="-3"/>
        </w:rPr>
        <w:t>c</w:t>
      </w:r>
      <w:r>
        <w:rPr>
          <w:spacing w:val="1"/>
        </w:rPr>
        <w:t>ţi</w:t>
      </w:r>
      <w:r>
        <w:t>a</w:t>
      </w:r>
      <w:r>
        <w:rPr>
          <w:spacing w:val="-2"/>
        </w:rPr>
        <w:t xml:space="preserve"> </w:t>
      </w:r>
      <w:r>
        <w:t>b</w:t>
      </w:r>
      <w:r>
        <w:rPr>
          <w:spacing w:val="1"/>
        </w:rPr>
        <w:t>i</w:t>
      </w:r>
      <w:r>
        <w:rPr>
          <w:spacing w:val="-3"/>
        </w:rPr>
        <w:t>o</w:t>
      </w:r>
      <w:r>
        <w:rPr>
          <w:spacing w:val="1"/>
        </w:rPr>
        <w:t>l</w:t>
      </w:r>
      <w:r>
        <w:t>o</w:t>
      </w:r>
      <w:r>
        <w:rPr>
          <w:spacing w:val="-3"/>
        </w:rPr>
        <w:t>g</w:t>
      </w:r>
      <w:r>
        <w:rPr>
          <w:spacing w:val="1"/>
        </w:rPr>
        <w:t>i</w:t>
      </w:r>
      <w:r>
        <w:t>că</w:t>
      </w:r>
      <w:r>
        <w:rPr>
          <w:spacing w:val="-2"/>
        </w:rPr>
        <w:t xml:space="preserve"> </w:t>
      </w:r>
      <w:r>
        <w:t>a</w:t>
      </w:r>
      <w:r>
        <w:rPr>
          <w:spacing w:val="-2"/>
        </w:rPr>
        <w:t xml:space="preserve"> </w:t>
      </w:r>
      <w:r>
        <w:rPr>
          <w:spacing w:val="1"/>
        </w:rPr>
        <w:t>T</w:t>
      </w:r>
      <w:r>
        <w:rPr>
          <w:spacing w:val="-1"/>
        </w:rPr>
        <w:t>N</w:t>
      </w:r>
      <w:r>
        <w:t>F</w:t>
      </w:r>
      <w:r>
        <w:rPr>
          <w:spacing w:val="-1"/>
        </w:rPr>
        <w:t xml:space="preserve"> </w:t>
      </w:r>
      <w:r>
        <w:t>b</w:t>
      </w:r>
      <w:r>
        <w:rPr>
          <w:spacing w:val="-2"/>
        </w:rPr>
        <w:t>l</w:t>
      </w:r>
      <w:r>
        <w:rPr>
          <w:spacing w:val="-3"/>
        </w:rPr>
        <w:t>o</w:t>
      </w:r>
      <w:r>
        <w:t>când</w:t>
      </w:r>
      <w:r>
        <w:rPr>
          <w:spacing w:val="-3"/>
        </w:rPr>
        <w:t xml:space="preserve"> </w:t>
      </w:r>
      <w:r>
        <w:rPr>
          <w:spacing w:val="1"/>
        </w:rPr>
        <w:t>i</w:t>
      </w:r>
      <w:r>
        <w:t>n</w:t>
      </w:r>
      <w:r>
        <w:rPr>
          <w:spacing w:val="-2"/>
        </w:rPr>
        <w:t>t</w:t>
      </w:r>
      <w:r>
        <w:t>er</w:t>
      </w:r>
      <w:r>
        <w:rPr>
          <w:spacing w:val="-3"/>
        </w:rPr>
        <w:t>a</w:t>
      </w:r>
      <w:r>
        <w:t>c</w:t>
      </w:r>
      <w:r>
        <w:rPr>
          <w:spacing w:val="-2"/>
        </w:rPr>
        <w:t>ţ</w:t>
      </w:r>
      <w:r>
        <w:rPr>
          <w:spacing w:val="1"/>
        </w:rPr>
        <w:t>i</w:t>
      </w:r>
      <w:r>
        <w:t>un</w:t>
      </w:r>
      <w:r>
        <w:rPr>
          <w:spacing w:val="-3"/>
        </w:rPr>
        <w:t>e</w:t>
      </w:r>
      <w:r>
        <w:t>a ace</w:t>
      </w:r>
      <w:r>
        <w:rPr>
          <w:spacing w:val="-2"/>
        </w:rPr>
        <w:t>s</w:t>
      </w:r>
      <w:r>
        <w:rPr>
          <w:spacing w:val="1"/>
        </w:rPr>
        <w:t>t</w:t>
      </w:r>
      <w:r>
        <w:t>u</w:t>
      </w:r>
      <w:r>
        <w:rPr>
          <w:spacing w:val="-2"/>
        </w:rPr>
        <w:t>i</w:t>
      </w:r>
      <w:r>
        <w:t>a cu</w:t>
      </w:r>
      <w:r>
        <w:rPr>
          <w:spacing w:val="-3"/>
        </w:rPr>
        <w:t xml:space="preserve"> </w:t>
      </w:r>
      <w:r>
        <w:t>r</w:t>
      </w:r>
      <w:r>
        <w:rPr>
          <w:spacing w:val="-3"/>
        </w:rPr>
        <w:t>e</w:t>
      </w:r>
      <w:r>
        <w:t>ce</w:t>
      </w:r>
      <w:r>
        <w:rPr>
          <w:spacing w:val="-3"/>
        </w:rPr>
        <w:t>p</w:t>
      </w:r>
      <w:r>
        <w:rPr>
          <w:spacing w:val="1"/>
        </w:rPr>
        <w:t>t</w:t>
      </w:r>
      <w:r>
        <w:t>o</w:t>
      </w:r>
      <w:r>
        <w:rPr>
          <w:spacing w:val="-2"/>
        </w:rPr>
        <w:t>r</w:t>
      </w:r>
      <w:r>
        <w:rPr>
          <w:spacing w:val="1"/>
        </w:rPr>
        <w:t>i</w:t>
      </w:r>
      <w:r>
        <w:t>i</w:t>
      </w:r>
      <w:r>
        <w:rPr>
          <w:spacing w:val="-2"/>
        </w:rPr>
        <w:t xml:space="preserve"> </w:t>
      </w:r>
      <w:r>
        <w:rPr>
          <w:spacing w:val="1"/>
        </w:rPr>
        <w:t>T</w:t>
      </w:r>
      <w:r>
        <w:rPr>
          <w:spacing w:val="-1"/>
        </w:rPr>
        <w:t>N</w:t>
      </w:r>
      <w:r>
        <w:t>F</w:t>
      </w:r>
      <w:r>
        <w:rPr>
          <w:spacing w:val="-3"/>
        </w:rPr>
        <w:t xml:space="preserve"> </w:t>
      </w:r>
      <w:r>
        <w:t>p55 şi</w:t>
      </w:r>
      <w:r>
        <w:rPr>
          <w:spacing w:val="-2"/>
        </w:rPr>
        <w:t xml:space="preserve"> </w:t>
      </w:r>
      <w:r>
        <w:t xml:space="preserve">p75 </w:t>
      </w:r>
      <w:r>
        <w:rPr>
          <w:spacing w:val="-3"/>
        </w:rPr>
        <w:t>d</w:t>
      </w:r>
      <w:r>
        <w:t>e pe</w:t>
      </w:r>
      <w:r>
        <w:rPr>
          <w:spacing w:val="-2"/>
        </w:rPr>
        <w:t xml:space="preserve"> </w:t>
      </w:r>
      <w:r>
        <w:t>sup</w:t>
      </w:r>
      <w:r>
        <w:rPr>
          <w:spacing w:val="-2"/>
        </w:rPr>
        <w:t>r</w:t>
      </w:r>
      <w:r>
        <w:t>af</w:t>
      </w:r>
      <w:r>
        <w:rPr>
          <w:spacing w:val="-3"/>
        </w:rPr>
        <w:t>a</w:t>
      </w:r>
      <w:r>
        <w:rPr>
          <w:spacing w:val="1"/>
        </w:rPr>
        <w:t>ţ</w:t>
      </w:r>
      <w:r>
        <w:t>a</w:t>
      </w:r>
      <w:r>
        <w:rPr>
          <w:spacing w:val="-2"/>
        </w:rPr>
        <w:t xml:space="preserve"> </w:t>
      </w:r>
      <w:r>
        <w:rPr>
          <w:spacing w:val="-3"/>
        </w:rPr>
        <w:t>c</w:t>
      </w:r>
      <w:r>
        <w:t>e</w:t>
      </w:r>
      <w:r>
        <w:rPr>
          <w:spacing w:val="1"/>
        </w:rPr>
        <w:t>l</w:t>
      </w:r>
      <w:r>
        <w:rPr>
          <w:spacing w:val="-3"/>
        </w:rPr>
        <w:t>u</w:t>
      </w:r>
      <w:r>
        <w:rPr>
          <w:spacing w:val="1"/>
        </w:rPr>
        <w:t>l</w:t>
      </w:r>
      <w:r>
        <w:t>e</w:t>
      </w:r>
      <w:r>
        <w:rPr>
          <w:spacing w:val="1"/>
        </w:rPr>
        <w:t>i</w:t>
      </w:r>
      <w:r>
        <w:t>.</w:t>
      </w:r>
    </w:p>
    <w:p w14:paraId="0D461FB7" w14:textId="77777777" w:rsidR="00C04CAD" w:rsidRDefault="00C04CAD">
      <w:pPr>
        <w:tabs>
          <w:tab w:val="clear" w:pos="567"/>
        </w:tabs>
        <w:kinsoku w:val="0"/>
        <w:overflowPunct w:val="0"/>
        <w:autoSpaceDE w:val="0"/>
        <w:autoSpaceDN w:val="0"/>
        <w:adjustRightInd w:val="0"/>
        <w:spacing w:line="240" w:lineRule="auto"/>
      </w:pPr>
    </w:p>
    <w:p w14:paraId="563B79BC" w14:textId="77777777" w:rsidR="00C04CAD" w:rsidRDefault="00060E34">
      <w:pPr>
        <w:tabs>
          <w:tab w:val="clear" w:pos="567"/>
        </w:tabs>
        <w:kinsoku w:val="0"/>
        <w:overflowPunct w:val="0"/>
        <w:autoSpaceDE w:val="0"/>
        <w:autoSpaceDN w:val="0"/>
        <w:adjustRightInd w:val="0"/>
        <w:spacing w:line="240" w:lineRule="auto"/>
      </w:pPr>
      <w:r>
        <w:rPr>
          <w:spacing w:val="-1"/>
        </w:rPr>
        <w:t>D</w:t>
      </w:r>
      <w:r>
        <w:t>e ase</w:t>
      </w:r>
      <w:r>
        <w:rPr>
          <w:spacing w:val="-4"/>
        </w:rPr>
        <w:t>m</w:t>
      </w:r>
      <w:r>
        <w:t xml:space="preserve">enea, </w:t>
      </w:r>
      <w:r>
        <w:rPr>
          <w:spacing w:val="-3"/>
        </w:rPr>
        <w:t>a</w:t>
      </w:r>
      <w:r>
        <w:t>da</w:t>
      </w:r>
      <w:r>
        <w:rPr>
          <w:spacing w:val="-2"/>
        </w:rPr>
        <w:t>l</w:t>
      </w:r>
      <w:r>
        <w:rPr>
          <w:spacing w:val="1"/>
        </w:rPr>
        <w:t>i</w:t>
      </w:r>
      <w:r>
        <w:rPr>
          <w:spacing w:val="-4"/>
        </w:rPr>
        <w:t>m</w:t>
      </w:r>
      <w:r>
        <w:rPr>
          <w:spacing w:val="2"/>
        </w:rPr>
        <w:t>u</w:t>
      </w:r>
      <w:r>
        <w:rPr>
          <w:spacing w:val="-4"/>
        </w:rPr>
        <w:t>m</w:t>
      </w:r>
      <w:r>
        <w:t xml:space="preserve">ab </w:t>
      </w:r>
      <w:r>
        <w:rPr>
          <w:spacing w:val="-4"/>
        </w:rPr>
        <w:t>m</w:t>
      </w:r>
      <w:r>
        <w:t>odu</w:t>
      </w:r>
      <w:r>
        <w:rPr>
          <w:spacing w:val="1"/>
        </w:rPr>
        <w:t>l</w:t>
      </w:r>
      <w:r>
        <w:t>ea</w:t>
      </w:r>
      <w:r>
        <w:rPr>
          <w:spacing w:val="-3"/>
        </w:rPr>
        <w:t>z</w:t>
      </w:r>
      <w:r>
        <w:t>ă rea</w:t>
      </w:r>
      <w:r>
        <w:rPr>
          <w:spacing w:val="-3"/>
        </w:rPr>
        <w:t>c</w:t>
      </w:r>
      <w:r>
        <w:rPr>
          <w:spacing w:val="-2"/>
        </w:rPr>
        <w:t>ţ</w:t>
      </w:r>
      <w:r>
        <w:rPr>
          <w:spacing w:val="1"/>
        </w:rPr>
        <w:t>i</w:t>
      </w:r>
      <w:r>
        <w:rPr>
          <w:spacing w:val="-2"/>
        </w:rPr>
        <w:t>i</w:t>
      </w:r>
      <w:r>
        <w:rPr>
          <w:spacing w:val="1"/>
        </w:rPr>
        <w:t>l</w:t>
      </w:r>
      <w:r>
        <w:t xml:space="preserve">e </w:t>
      </w:r>
      <w:r>
        <w:rPr>
          <w:spacing w:val="-3"/>
        </w:rPr>
        <w:t>b</w:t>
      </w:r>
      <w:r>
        <w:rPr>
          <w:spacing w:val="1"/>
        </w:rPr>
        <w:t>i</w:t>
      </w:r>
      <w:r>
        <w:t>o</w:t>
      </w:r>
      <w:r>
        <w:rPr>
          <w:spacing w:val="-2"/>
        </w:rPr>
        <w:t>l</w:t>
      </w:r>
      <w:r>
        <w:t>o</w:t>
      </w:r>
      <w:r>
        <w:rPr>
          <w:spacing w:val="-3"/>
        </w:rPr>
        <w:t>g</w:t>
      </w:r>
      <w:r>
        <w:rPr>
          <w:spacing w:val="1"/>
        </w:rPr>
        <w:t>i</w:t>
      </w:r>
      <w:r>
        <w:t xml:space="preserve">ce </w:t>
      </w:r>
      <w:r>
        <w:rPr>
          <w:spacing w:val="1"/>
        </w:rPr>
        <w:t>i</w:t>
      </w:r>
      <w:r>
        <w:rPr>
          <w:spacing w:val="-3"/>
        </w:rPr>
        <w:t>n</w:t>
      </w:r>
      <w:r>
        <w:t>duse</w:t>
      </w:r>
      <w:r>
        <w:rPr>
          <w:spacing w:val="-2"/>
        </w:rPr>
        <w:t xml:space="preserve"> </w:t>
      </w:r>
      <w:r>
        <w:t>sau</w:t>
      </w:r>
      <w:r>
        <w:rPr>
          <w:spacing w:val="-3"/>
        </w:rPr>
        <w:t xml:space="preserve"> </w:t>
      </w:r>
      <w:r>
        <w:t>re</w:t>
      </w:r>
      <w:r>
        <w:rPr>
          <w:spacing w:val="-3"/>
        </w:rPr>
        <w:t>g</w:t>
      </w:r>
      <w:r>
        <w:rPr>
          <w:spacing w:val="1"/>
        </w:rPr>
        <w:t>l</w:t>
      </w:r>
      <w:r>
        <w:rPr>
          <w:spacing w:val="-3"/>
        </w:rPr>
        <w:t>a</w:t>
      </w:r>
      <w:r>
        <w:rPr>
          <w:spacing w:val="1"/>
        </w:rPr>
        <w:t>t</w:t>
      </w:r>
      <w:r>
        <w:t xml:space="preserve">e </w:t>
      </w:r>
      <w:r>
        <w:rPr>
          <w:spacing w:val="-3"/>
        </w:rPr>
        <w:t>d</w:t>
      </w:r>
      <w:r>
        <w:t>e</w:t>
      </w:r>
      <w:r>
        <w:rPr>
          <w:spacing w:val="-2"/>
        </w:rPr>
        <w:t xml:space="preserve"> </w:t>
      </w:r>
      <w:r>
        <w:rPr>
          <w:spacing w:val="1"/>
        </w:rPr>
        <w:t>T</w:t>
      </w:r>
      <w:r>
        <w:rPr>
          <w:spacing w:val="-1"/>
        </w:rPr>
        <w:t>NF</w:t>
      </w:r>
      <w:r>
        <w:t xml:space="preserve">, </w:t>
      </w:r>
      <w:r>
        <w:rPr>
          <w:spacing w:val="1"/>
        </w:rPr>
        <w:t>i</w:t>
      </w:r>
      <w:r>
        <w:t>n</w:t>
      </w:r>
      <w:r>
        <w:rPr>
          <w:spacing w:val="-3"/>
        </w:rPr>
        <w:t>c</w:t>
      </w:r>
      <w:r>
        <w:rPr>
          <w:spacing w:val="1"/>
        </w:rPr>
        <w:t>l</w:t>
      </w:r>
      <w:r>
        <w:t>u</w:t>
      </w:r>
      <w:r>
        <w:rPr>
          <w:spacing w:val="-2"/>
        </w:rPr>
        <w:t>s</w:t>
      </w:r>
      <w:r>
        <w:rPr>
          <w:spacing w:val="1"/>
        </w:rPr>
        <w:t>i</w:t>
      </w:r>
      <w:r>
        <w:t xml:space="preserve">v </w:t>
      </w:r>
      <w:r>
        <w:rPr>
          <w:spacing w:val="-4"/>
        </w:rPr>
        <w:t>m</w:t>
      </w:r>
      <w:r>
        <w:t>od</w:t>
      </w:r>
      <w:r>
        <w:rPr>
          <w:spacing w:val="1"/>
        </w:rPr>
        <w:t>i</w:t>
      </w:r>
      <w:r>
        <w:t>f</w:t>
      </w:r>
      <w:r>
        <w:rPr>
          <w:spacing w:val="1"/>
        </w:rPr>
        <w:t>i</w:t>
      </w:r>
      <w:r>
        <w:t>c</w:t>
      </w:r>
      <w:r>
        <w:rPr>
          <w:spacing w:val="-3"/>
        </w:rPr>
        <w:t>ă</w:t>
      </w:r>
      <w:r>
        <w:t>r</w:t>
      </w:r>
      <w:r>
        <w:rPr>
          <w:spacing w:val="-2"/>
        </w:rPr>
        <w:t>i</w:t>
      </w:r>
      <w:r>
        <w:rPr>
          <w:spacing w:val="1"/>
        </w:rPr>
        <w:t>l</w:t>
      </w:r>
      <w:r>
        <w:t xml:space="preserve">e </w:t>
      </w:r>
      <w:r>
        <w:rPr>
          <w:spacing w:val="-3"/>
        </w:rPr>
        <w:t>n</w:t>
      </w:r>
      <w:r>
        <w:rPr>
          <w:spacing w:val="1"/>
        </w:rPr>
        <w:t>i</w:t>
      </w:r>
      <w:r>
        <w:rPr>
          <w:spacing w:val="-3"/>
        </w:rPr>
        <w:t>v</w:t>
      </w:r>
      <w:r>
        <w:t>e</w:t>
      </w:r>
      <w:r>
        <w:rPr>
          <w:spacing w:val="1"/>
        </w:rPr>
        <w:t>l</w:t>
      </w:r>
      <w:r>
        <w:t>u</w:t>
      </w:r>
      <w:r>
        <w:rPr>
          <w:spacing w:val="-2"/>
        </w:rPr>
        <w:t>r</w:t>
      </w:r>
      <w:r>
        <w:rPr>
          <w:spacing w:val="1"/>
        </w:rPr>
        <w:t>i</w:t>
      </w:r>
      <w:r>
        <w:rPr>
          <w:spacing w:val="-2"/>
        </w:rPr>
        <w:t>l</w:t>
      </w:r>
      <w:r>
        <w:t>or</w:t>
      </w:r>
      <w:r>
        <w:rPr>
          <w:spacing w:val="1"/>
        </w:rPr>
        <w:t xml:space="preserve"> </w:t>
      </w:r>
      <w:r>
        <w:rPr>
          <w:spacing w:val="-4"/>
        </w:rPr>
        <w:t>m</w:t>
      </w:r>
      <w:r>
        <w:t>o</w:t>
      </w:r>
      <w:r>
        <w:rPr>
          <w:spacing w:val="-2"/>
        </w:rPr>
        <w:t>l</w:t>
      </w:r>
      <w:r>
        <w:t>ecu</w:t>
      </w:r>
      <w:r>
        <w:rPr>
          <w:spacing w:val="-2"/>
        </w:rPr>
        <w:t>l</w:t>
      </w:r>
      <w:r>
        <w:t>e</w:t>
      </w:r>
      <w:r>
        <w:rPr>
          <w:spacing w:val="1"/>
        </w:rPr>
        <w:t>l</w:t>
      </w:r>
      <w:r>
        <w:rPr>
          <w:spacing w:val="-3"/>
        </w:rPr>
        <w:t>o</w:t>
      </w:r>
      <w:r>
        <w:t>r</w:t>
      </w:r>
      <w:r>
        <w:rPr>
          <w:spacing w:val="1"/>
        </w:rPr>
        <w:t xml:space="preserve"> </w:t>
      </w:r>
      <w:r>
        <w:t>de</w:t>
      </w:r>
      <w:r>
        <w:rPr>
          <w:spacing w:val="-2"/>
        </w:rPr>
        <w:t xml:space="preserve"> </w:t>
      </w:r>
      <w:r>
        <w:t>ad</w:t>
      </w:r>
      <w:r>
        <w:rPr>
          <w:spacing w:val="-3"/>
        </w:rPr>
        <w:t>e</w:t>
      </w:r>
      <w:r>
        <w:t>re</w:t>
      </w:r>
      <w:r>
        <w:rPr>
          <w:spacing w:val="-3"/>
        </w:rPr>
        <w:t>n</w:t>
      </w:r>
      <w:r>
        <w:rPr>
          <w:spacing w:val="1"/>
        </w:rPr>
        <w:t>ţ</w:t>
      </w:r>
      <w:r>
        <w:t>ă</w:t>
      </w:r>
      <w:r>
        <w:rPr>
          <w:spacing w:val="-2"/>
        </w:rPr>
        <w:t xml:space="preserve"> </w:t>
      </w:r>
      <w:r>
        <w:t>răs</w:t>
      </w:r>
      <w:r>
        <w:rPr>
          <w:spacing w:val="-3"/>
        </w:rPr>
        <w:t>p</w:t>
      </w:r>
      <w:r>
        <w:t>u</w:t>
      </w:r>
      <w:r>
        <w:rPr>
          <w:spacing w:val="-3"/>
        </w:rPr>
        <w:t>nz</w:t>
      </w:r>
      <w:r>
        <w:t>ă</w:t>
      </w:r>
      <w:r>
        <w:rPr>
          <w:spacing w:val="1"/>
        </w:rPr>
        <w:t>t</w:t>
      </w:r>
      <w:r>
        <w:t>oare</w:t>
      </w:r>
      <w:r>
        <w:rPr>
          <w:spacing w:val="-2"/>
        </w:rPr>
        <w:t xml:space="preserve"> </w:t>
      </w:r>
      <w:r>
        <w:t xml:space="preserve">de </w:t>
      </w:r>
      <w:r>
        <w:rPr>
          <w:spacing w:val="-4"/>
        </w:rPr>
        <w:t>m</w:t>
      </w:r>
      <w:r>
        <w:rPr>
          <w:spacing w:val="1"/>
        </w:rPr>
        <w:t>i</w:t>
      </w:r>
      <w:r>
        <w:rPr>
          <w:spacing w:val="-3"/>
        </w:rPr>
        <w:t>g</w:t>
      </w:r>
      <w:r>
        <w:t>rarea</w:t>
      </w:r>
      <w:r>
        <w:rPr>
          <w:spacing w:val="-2"/>
        </w:rPr>
        <w:t xml:space="preserve"> </w:t>
      </w:r>
      <w:r>
        <w:rPr>
          <w:spacing w:val="1"/>
        </w:rPr>
        <w:t>l</w:t>
      </w:r>
      <w:r>
        <w:t>e</w:t>
      </w:r>
      <w:r>
        <w:rPr>
          <w:spacing w:val="-3"/>
        </w:rPr>
        <w:t>u</w:t>
      </w:r>
      <w:r>
        <w:t>co</w:t>
      </w:r>
      <w:r>
        <w:rPr>
          <w:spacing w:val="-3"/>
        </w:rPr>
        <w:t>c</w:t>
      </w:r>
      <w:r>
        <w:rPr>
          <w:spacing w:val="-2"/>
        </w:rPr>
        <w:t>i</w:t>
      </w:r>
      <w:r>
        <w:rPr>
          <w:spacing w:val="1"/>
        </w:rPr>
        <w:t>t</w:t>
      </w:r>
      <w:r>
        <w:t>e</w:t>
      </w:r>
      <w:r>
        <w:rPr>
          <w:spacing w:val="-2"/>
        </w:rPr>
        <w:t>l</w:t>
      </w:r>
      <w:r>
        <w:t>or</w:t>
      </w:r>
      <w:r>
        <w:rPr>
          <w:spacing w:val="-2"/>
        </w:rPr>
        <w:t xml:space="preserve"> </w:t>
      </w:r>
      <w:r>
        <w:t>(</w:t>
      </w:r>
      <w:r>
        <w:rPr>
          <w:spacing w:val="-1"/>
        </w:rPr>
        <w:t>ELA</w:t>
      </w:r>
      <w:r>
        <w:t>M</w:t>
      </w:r>
      <w:r>
        <w:rPr>
          <w:spacing w:val="-6"/>
        </w:rPr>
        <w:t>-</w:t>
      </w:r>
      <w:r>
        <w:t xml:space="preserve">1, </w:t>
      </w:r>
      <w:r>
        <w:rPr>
          <w:spacing w:val="1"/>
        </w:rPr>
        <w:t>V</w:t>
      </w:r>
      <w:r>
        <w:rPr>
          <w:spacing w:val="-1"/>
        </w:rPr>
        <w:t>C</w:t>
      </w:r>
      <w:r>
        <w:rPr>
          <w:spacing w:val="-2"/>
        </w:rPr>
        <w:t>A</w:t>
      </w:r>
      <w:r>
        <w:t>M</w:t>
      </w:r>
      <w:r>
        <w:rPr>
          <w:spacing w:val="-4"/>
        </w:rPr>
        <w:t>-</w:t>
      </w:r>
      <w:r>
        <w:t>1</w:t>
      </w:r>
      <w:r>
        <w:rPr>
          <w:spacing w:val="-1"/>
        </w:rPr>
        <w:t xml:space="preserve"> </w:t>
      </w:r>
      <w:r>
        <w:t>şi</w:t>
      </w:r>
      <w:r>
        <w:rPr>
          <w:spacing w:val="1"/>
        </w:rPr>
        <w:t xml:space="preserve"> </w:t>
      </w:r>
      <w:r>
        <w:rPr>
          <w:spacing w:val="-4"/>
        </w:rPr>
        <w:t>I</w:t>
      </w:r>
      <w:r>
        <w:rPr>
          <w:spacing w:val="-1"/>
        </w:rPr>
        <w:t>CA</w:t>
      </w:r>
      <w:r>
        <w:rPr>
          <w:spacing w:val="2"/>
        </w:rPr>
        <w:t>M</w:t>
      </w:r>
      <w:r>
        <w:rPr>
          <w:spacing w:val="-4"/>
        </w:rPr>
        <w:t>-</w:t>
      </w:r>
      <w:r>
        <w:t xml:space="preserve">1 cu un </w:t>
      </w:r>
      <w:r>
        <w:rPr>
          <w:spacing w:val="1"/>
        </w:rPr>
        <w:t>C</w:t>
      </w:r>
      <w:r>
        <w:rPr>
          <w:spacing w:val="-4"/>
        </w:rPr>
        <w:t>I</w:t>
      </w:r>
      <w:r>
        <w:t>50</w:t>
      </w:r>
      <w:r>
        <w:rPr>
          <w:spacing w:val="19"/>
          <w:position w:val="-3"/>
        </w:rPr>
        <w:t xml:space="preserve"> </w:t>
      </w:r>
      <w:r>
        <w:t>de 0,1</w:t>
      </w:r>
      <w:r>
        <w:noBreakHyphen/>
        <w:t>0,2 n</w:t>
      </w:r>
      <w:r>
        <w:rPr>
          <w:spacing w:val="-2"/>
        </w:rPr>
        <w:t>M</w:t>
      </w:r>
      <w:r>
        <w:t>).</w:t>
      </w:r>
    </w:p>
    <w:p w14:paraId="42B9FB5C" w14:textId="77777777" w:rsidR="00C04CAD" w:rsidRDefault="00C04CAD">
      <w:pPr>
        <w:autoSpaceDE w:val="0"/>
        <w:autoSpaceDN w:val="0"/>
        <w:adjustRightInd w:val="0"/>
        <w:spacing w:line="240" w:lineRule="auto"/>
        <w:rPr>
          <w:szCs w:val="22"/>
        </w:rPr>
      </w:pPr>
    </w:p>
    <w:p w14:paraId="73ECDEFF" w14:textId="77777777" w:rsidR="00C04CAD" w:rsidRDefault="00060E34">
      <w:pPr>
        <w:keepNext/>
        <w:keepLines/>
        <w:autoSpaceDE w:val="0"/>
        <w:autoSpaceDN w:val="0"/>
        <w:adjustRightInd w:val="0"/>
        <w:spacing w:line="240" w:lineRule="auto"/>
        <w:rPr>
          <w:szCs w:val="22"/>
        </w:rPr>
      </w:pPr>
      <w:r>
        <w:rPr>
          <w:szCs w:val="22"/>
          <w:u w:val="single"/>
        </w:rPr>
        <w:t>Efecte farmacodinamice</w:t>
      </w:r>
    </w:p>
    <w:p w14:paraId="6133D006" w14:textId="77777777" w:rsidR="00C04CAD" w:rsidRDefault="00C04CAD">
      <w:pPr>
        <w:keepNext/>
        <w:keepLines/>
        <w:autoSpaceDE w:val="0"/>
        <w:autoSpaceDN w:val="0"/>
        <w:adjustRightInd w:val="0"/>
        <w:spacing w:line="240" w:lineRule="auto"/>
        <w:rPr>
          <w:szCs w:val="22"/>
        </w:rPr>
      </w:pPr>
    </w:p>
    <w:p w14:paraId="1BC06BE5" w14:textId="77777777" w:rsidR="00C04CAD" w:rsidRDefault="00060E34">
      <w:pPr>
        <w:keepNext/>
        <w:keepLines/>
        <w:tabs>
          <w:tab w:val="clear" w:pos="567"/>
        </w:tabs>
        <w:kinsoku w:val="0"/>
        <w:overflowPunct w:val="0"/>
        <w:autoSpaceDE w:val="0"/>
        <w:autoSpaceDN w:val="0"/>
        <w:adjustRightInd w:val="0"/>
        <w:spacing w:line="240" w:lineRule="auto"/>
        <w:rPr>
          <w:szCs w:val="22"/>
        </w:rPr>
      </w:pP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po</w:t>
      </w:r>
      <w:r>
        <w:rPr>
          <w:spacing w:val="-2"/>
          <w:szCs w:val="22"/>
        </w:rPr>
        <w:t>l</w:t>
      </w:r>
      <w:r>
        <w:rPr>
          <w:spacing w:val="1"/>
          <w:szCs w:val="22"/>
        </w:rPr>
        <w:t>i</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w:t>
      </w:r>
      <w:r>
        <w:rPr>
          <w:spacing w:val="-2"/>
          <w:szCs w:val="22"/>
        </w:rPr>
        <w:t xml:space="preserve"> </w:t>
      </w:r>
      <w:r>
        <w:rPr>
          <w:szCs w:val="22"/>
        </w:rPr>
        <w:t>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dă, d</w:t>
      </w:r>
      <w:r>
        <w:rPr>
          <w:spacing w:val="-3"/>
          <w:szCs w:val="22"/>
        </w:rPr>
        <w:t>u</w:t>
      </w:r>
      <w:r>
        <w:rPr>
          <w:szCs w:val="22"/>
        </w:rPr>
        <w:t xml:space="preserve">pă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2"/>
          <w:szCs w:val="22"/>
        </w:rPr>
        <w:t xml:space="preserve"> </w:t>
      </w:r>
      <w:r>
        <w:rPr>
          <w:szCs w:val="22"/>
        </w:rPr>
        <w:t xml:space="preserve">cu </w:t>
      </w:r>
      <w:r>
        <w:rPr>
          <w:rFonts w:eastAsia="MS Mincho"/>
          <w:spacing w:val="-1"/>
          <w:szCs w:val="22"/>
          <w:lang w:eastAsia="en-US" w:bidi="ar-SA"/>
        </w:rPr>
        <w:t>adalimumab</w:t>
      </w:r>
      <w:r>
        <w:rPr>
          <w:szCs w:val="22"/>
        </w:rPr>
        <w:t>,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co</w:t>
      </w:r>
      <w:r>
        <w:rPr>
          <w:spacing w:val="-3"/>
          <w:szCs w:val="22"/>
        </w:rPr>
        <w:t>n</w:t>
      </w:r>
      <w:r>
        <w:rPr>
          <w:szCs w:val="22"/>
        </w:rPr>
        <w:t>s</w:t>
      </w:r>
      <w:r>
        <w:rPr>
          <w:spacing w:val="-2"/>
          <w:szCs w:val="22"/>
        </w:rPr>
        <w:t>t</w:t>
      </w:r>
      <w:r>
        <w:rPr>
          <w:szCs w:val="22"/>
        </w:rPr>
        <w:t>a</w:t>
      </w:r>
      <w:r>
        <w:rPr>
          <w:spacing w:val="1"/>
          <w:szCs w:val="22"/>
        </w:rPr>
        <w:t>t</w:t>
      </w:r>
      <w:r>
        <w:rPr>
          <w:spacing w:val="-3"/>
          <w:szCs w:val="22"/>
        </w:rPr>
        <w:t>a</w:t>
      </w:r>
      <w:r>
        <w:rPr>
          <w:spacing w:val="-2"/>
          <w:szCs w:val="22"/>
        </w:rPr>
        <w:t>t</w:t>
      </w:r>
      <w:r>
        <w:rPr>
          <w:szCs w:val="22"/>
        </w:rPr>
        <w:t>ă o s</w:t>
      </w:r>
      <w:r>
        <w:rPr>
          <w:spacing w:val="-3"/>
          <w:szCs w:val="22"/>
        </w:rPr>
        <w:t>c</w:t>
      </w:r>
      <w:r>
        <w:rPr>
          <w:szCs w:val="22"/>
        </w:rPr>
        <w:t>ăd</w:t>
      </w:r>
      <w:r>
        <w:rPr>
          <w:spacing w:val="-3"/>
          <w:szCs w:val="22"/>
        </w:rPr>
        <w:t>e</w:t>
      </w:r>
      <w:r>
        <w:rPr>
          <w:szCs w:val="22"/>
        </w:rPr>
        <w:t xml:space="preserve">re </w:t>
      </w:r>
      <w:r>
        <w:rPr>
          <w:spacing w:val="-2"/>
          <w:szCs w:val="22"/>
        </w:rPr>
        <w:t>r</w:t>
      </w:r>
      <w:r>
        <w:rPr>
          <w:szCs w:val="22"/>
        </w:rPr>
        <w:t>ap</w:t>
      </w:r>
      <w:r>
        <w:rPr>
          <w:spacing w:val="-2"/>
          <w:szCs w:val="22"/>
        </w:rPr>
        <w:t>i</w:t>
      </w:r>
      <w:r>
        <w:rPr>
          <w:szCs w:val="22"/>
        </w:rPr>
        <w:t>dă a n</w:t>
      </w:r>
      <w:r>
        <w:rPr>
          <w:spacing w:val="1"/>
          <w:szCs w:val="22"/>
        </w:rPr>
        <w:t>i</w:t>
      </w:r>
      <w:r>
        <w:rPr>
          <w:spacing w:val="-3"/>
          <w:szCs w:val="22"/>
        </w:rPr>
        <w:t>v</w:t>
      </w:r>
      <w:r>
        <w:rPr>
          <w:szCs w:val="22"/>
        </w:rPr>
        <w:t>e</w:t>
      </w:r>
      <w:r>
        <w:rPr>
          <w:spacing w:val="1"/>
          <w:szCs w:val="22"/>
        </w:rPr>
        <w:t>l</w:t>
      </w:r>
      <w:r>
        <w:rPr>
          <w:szCs w:val="22"/>
        </w:rPr>
        <w:t>u</w:t>
      </w:r>
      <w:r>
        <w:rPr>
          <w:spacing w:val="-2"/>
          <w:szCs w:val="22"/>
        </w:rPr>
        <w:t>r</w:t>
      </w:r>
      <w:r>
        <w:rPr>
          <w:spacing w:val="1"/>
          <w:szCs w:val="22"/>
        </w:rPr>
        <w:t>i</w:t>
      </w:r>
      <w:r>
        <w:rPr>
          <w:spacing w:val="-2"/>
          <w:szCs w:val="22"/>
        </w:rPr>
        <w:t>l</w:t>
      </w:r>
      <w:r>
        <w:rPr>
          <w:spacing w:val="-1"/>
          <w:szCs w:val="22"/>
        </w:rPr>
        <w:t>o</w:t>
      </w:r>
      <w:r>
        <w:rPr>
          <w:szCs w:val="22"/>
        </w:rPr>
        <w:t>r</w:t>
      </w:r>
      <w:r>
        <w:rPr>
          <w:spacing w:val="-2"/>
          <w:szCs w:val="22"/>
        </w:rPr>
        <w:t xml:space="preserve"> </w:t>
      </w:r>
      <w:r>
        <w:rPr>
          <w:szCs w:val="22"/>
        </w:rPr>
        <w:t>re</w:t>
      </w:r>
      <w:r>
        <w:rPr>
          <w:spacing w:val="-3"/>
          <w:szCs w:val="22"/>
        </w:rPr>
        <w:t>a</w:t>
      </w:r>
      <w:r>
        <w:rPr>
          <w:szCs w:val="22"/>
        </w:rPr>
        <w:t>c</w:t>
      </w:r>
      <w:r>
        <w:rPr>
          <w:spacing w:val="1"/>
          <w:szCs w:val="22"/>
        </w:rPr>
        <w:t>t</w:t>
      </w:r>
      <w:r>
        <w:rPr>
          <w:spacing w:val="-3"/>
          <w:szCs w:val="22"/>
        </w:rPr>
        <w:t>a</w:t>
      </w:r>
      <w:r>
        <w:rPr>
          <w:szCs w:val="22"/>
        </w:rPr>
        <w:t>n</w:t>
      </w:r>
      <w:r>
        <w:rPr>
          <w:spacing w:val="-2"/>
          <w:szCs w:val="22"/>
        </w:rPr>
        <w:t>ţ</w:t>
      </w:r>
      <w:r>
        <w:rPr>
          <w:spacing w:val="1"/>
          <w:szCs w:val="22"/>
        </w:rPr>
        <w:t>il</w:t>
      </w:r>
      <w:r>
        <w:rPr>
          <w:spacing w:val="-3"/>
          <w:szCs w:val="22"/>
        </w:rPr>
        <w:t>o</w:t>
      </w:r>
      <w:r>
        <w:rPr>
          <w:szCs w:val="22"/>
        </w:rPr>
        <w:t>r</w:t>
      </w:r>
      <w:r>
        <w:rPr>
          <w:spacing w:val="1"/>
          <w:szCs w:val="22"/>
        </w:rPr>
        <w:t xml:space="preserve"> </w:t>
      </w:r>
      <w:r>
        <w:rPr>
          <w:szCs w:val="22"/>
        </w:rPr>
        <w:t>de</w:t>
      </w:r>
      <w:r>
        <w:rPr>
          <w:spacing w:val="-2"/>
          <w:szCs w:val="22"/>
        </w:rPr>
        <w:t xml:space="preserve"> f</w:t>
      </w:r>
      <w:r>
        <w:rPr>
          <w:szCs w:val="22"/>
        </w:rPr>
        <w:t>a</w:t>
      </w:r>
      <w:r>
        <w:rPr>
          <w:spacing w:val="-3"/>
          <w:szCs w:val="22"/>
        </w:rPr>
        <w:t>z</w:t>
      </w:r>
      <w:r>
        <w:rPr>
          <w:szCs w:val="22"/>
        </w:rPr>
        <w:t>ă acu</w:t>
      </w:r>
      <w:r>
        <w:rPr>
          <w:spacing w:val="-2"/>
          <w:szCs w:val="22"/>
        </w:rPr>
        <w:t>t</w:t>
      </w:r>
      <w:r>
        <w:rPr>
          <w:szCs w:val="22"/>
        </w:rPr>
        <w:t>ă a</w:t>
      </w:r>
      <w:r>
        <w:rPr>
          <w:spacing w:val="-2"/>
          <w:szCs w:val="22"/>
        </w:rPr>
        <w:t xml:space="preserve"> </w:t>
      </w:r>
      <w:r>
        <w:rPr>
          <w:spacing w:val="1"/>
          <w:szCs w:val="22"/>
        </w:rPr>
        <w:t>i</w:t>
      </w:r>
      <w:r>
        <w:rPr>
          <w:szCs w:val="22"/>
        </w:rPr>
        <w:t>n</w:t>
      </w:r>
      <w:r>
        <w:rPr>
          <w:spacing w:val="-2"/>
          <w:szCs w:val="22"/>
        </w:rPr>
        <w:t>f</w:t>
      </w:r>
      <w:r>
        <w:rPr>
          <w:spacing w:val="1"/>
          <w:szCs w:val="22"/>
        </w:rPr>
        <w:t>l</w:t>
      </w:r>
      <w:r>
        <w:rPr>
          <w:szCs w:val="22"/>
        </w:rPr>
        <w:t>a</w:t>
      </w:r>
      <w:r>
        <w:rPr>
          <w:spacing w:val="-4"/>
          <w:szCs w:val="22"/>
        </w:rPr>
        <w:t>m</w:t>
      </w:r>
      <w:r>
        <w:rPr>
          <w:szCs w:val="22"/>
        </w:rPr>
        <w:t>a</w:t>
      </w:r>
      <w:r>
        <w:rPr>
          <w:spacing w:val="1"/>
          <w:szCs w:val="22"/>
        </w:rPr>
        <w:t>ţi</w:t>
      </w:r>
      <w:r>
        <w:rPr>
          <w:spacing w:val="-3"/>
          <w:szCs w:val="22"/>
        </w:rPr>
        <w:t>e</w:t>
      </w:r>
      <w:r>
        <w:rPr>
          <w:szCs w:val="22"/>
        </w:rPr>
        <w:t>i</w:t>
      </w:r>
      <w:r>
        <w:rPr>
          <w:spacing w:val="-2"/>
          <w:szCs w:val="22"/>
        </w:rPr>
        <w:t xml:space="preserve"> </w:t>
      </w:r>
      <w:r>
        <w:rPr>
          <w:szCs w:val="22"/>
        </w:rPr>
        <w:t>(pr</w:t>
      </w:r>
      <w:r>
        <w:rPr>
          <w:spacing w:val="-3"/>
          <w:szCs w:val="22"/>
        </w:rPr>
        <w:t>o</w:t>
      </w:r>
      <w:r>
        <w:rPr>
          <w:spacing w:val="-2"/>
          <w:szCs w:val="22"/>
        </w:rPr>
        <w:t>t</w:t>
      </w:r>
      <w:r>
        <w:rPr>
          <w:szCs w:val="22"/>
        </w:rPr>
        <w:t>e</w:t>
      </w:r>
      <w:r>
        <w:rPr>
          <w:spacing w:val="1"/>
          <w:szCs w:val="22"/>
        </w:rPr>
        <w:t>i</w:t>
      </w:r>
      <w:r>
        <w:rPr>
          <w:szCs w:val="22"/>
        </w:rPr>
        <w:t>na C</w:t>
      </w:r>
      <w:r>
        <w:rPr>
          <w:spacing w:val="-4"/>
          <w:szCs w:val="22"/>
        </w:rPr>
        <w:t xml:space="preserve"> </w:t>
      </w:r>
      <w:r>
        <w:rPr>
          <w:szCs w:val="22"/>
        </w:rPr>
        <w:t>re</w:t>
      </w:r>
      <w:r>
        <w:rPr>
          <w:spacing w:val="-3"/>
          <w:szCs w:val="22"/>
        </w:rPr>
        <w:t>a</w:t>
      </w:r>
      <w:r>
        <w:rPr>
          <w:szCs w:val="22"/>
        </w:rPr>
        <w:t>c</w:t>
      </w:r>
      <w:r>
        <w:rPr>
          <w:spacing w:val="-2"/>
          <w:szCs w:val="22"/>
        </w:rPr>
        <w:t>t</w:t>
      </w:r>
      <w:r>
        <w:rPr>
          <w:spacing w:val="1"/>
          <w:szCs w:val="22"/>
        </w:rPr>
        <w:t>i</w:t>
      </w:r>
      <w:r>
        <w:rPr>
          <w:spacing w:val="-3"/>
          <w:szCs w:val="22"/>
        </w:rPr>
        <w:t>v</w:t>
      </w:r>
      <w:r>
        <w:rPr>
          <w:szCs w:val="22"/>
        </w:rPr>
        <w:t>ă (</w:t>
      </w:r>
      <w:r>
        <w:rPr>
          <w:spacing w:val="-1"/>
          <w:szCs w:val="22"/>
        </w:rPr>
        <w:t>PCR</w:t>
      </w:r>
      <w:r>
        <w:rPr>
          <w:szCs w:val="22"/>
        </w:rPr>
        <w:t>)</w:t>
      </w:r>
      <w:r>
        <w:rPr>
          <w:spacing w:val="1"/>
          <w:szCs w:val="22"/>
        </w:rPr>
        <w:t xml:space="preserve"> </w:t>
      </w:r>
      <w:r>
        <w:rPr>
          <w:spacing w:val="-2"/>
          <w:szCs w:val="22"/>
        </w:rPr>
        <w:t>ş</w:t>
      </w:r>
      <w:r>
        <w:rPr>
          <w:szCs w:val="22"/>
        </w:rPr>
        <w:t>i</w:t>
      </w:r>
      <w:r>
        <w:rPr>
          <w:spacing w:val="1"/>
          <w:szCs w:val="22"/>
        </w:rPr>
        <w:t xml:space="preserve"> </w:t>
      </w:r>
      <w:r>
        <w:rPr>
          <w:spacing w:val="-3"/>
          <w:szCs w:val="22"/>
        </w:rPr>
        <w:t>v</w:t>
      </w:r>
      <w:r>
        <w:rPr>
          <w:spacing w:val="1"/>
          <w:szCs w:val="22"/>
        </w:rPr>
        <w:t>i</w:t>
      </w:r>
      <w:r>
        <w:rPr>
          <w:spacing w:val="-2"/>
          <w:szCs w:val="22"/>
        </w:rPr>
        <w:t>t</w:t>
      </w:r>
      <w:r>
        <w:rPr>
          <w:szCs w:val="22"/>
        </w:rPr>
        <w:t>e</w:t>
      </w:r>
      <w:r>
        <w:rPr>
          <w:spacing w:val="-3"/>
          <w:szCs w:val="22"/>
        </w:rPr>
        <w:t>z</w:t>
      </w:r>
      <w:r>
        <w:rPr>
          <w:szCs w:val="22"/>
        </w:rPr>
        <w:t>a de se</w:t>
      </w:r>
      <w:r>
        <w:rPr>
          <w:spacing w:val="-3"/>
          <w:szCs w:val="22"/>
        </w:rPr>
        <w:t>d</w:t>
      </w:r>
      <w:r>
        <w:rPr>
          <w:spacing w:val="1"/>
          <w:szCs w:val="22"/>
        </w:rPr>
        <w:t>i</w:t>
      </w:r>
      <w:r>
        <w:rPr>
          <w:spacing w:val="-6"/>
          <w:szCs w:val="22"/>
        </w:rPr>
        <w:t>m</w:t>
      </w:r>
      <w:r>
        <w:rPr>
          <w:szCs w:val="22"/>
        </w:rPr>
        <w:t>en</w:t>
      </w:r>
      <w:r>
        <w:rPr>
          <w:spacing w:val="1"/>
          <w:szCs w:val="22"/>
        </w:rPr>
        <w:t>t</w:t>
      </w:r>
      <w:r>
        <w:rPr>
          <w:szCs w:val="22"/>
        </w:rPr>
        <w:t>a</w:t>
      </w:r>
      <w:r>
        <w:rPr>
          <w:spacing w:val="-2"/>
          <w:szCs w:val="22"/>
        </w:rPr>
        <w:t>r</w:t>
      </w:r>
      <w:r>
        <w:rPr>
          <w:szCs w:val="22"/>
        </w:rPr>
        <w:t>e a he</w:t>
      </w:r>
      <w:r>
        <w:rPr>
          <w:spacing w:val="-4"/>
          <w:szCs w:val="22"/>
        </w:rPr>
        <w:t>m</w:t>
      </w:r>
      <w:r>
        <w:rPr>
          <w:szCs w:val="22"/>
        </w:rPr>
        <w:t>a</w:t>
      </w:r>
      <w:r>
        <w:rPr>
          <w:spacing w:val="1"/>
          <w:szCs w:val="22"/>
        </w:rPr>
        <w:t>ti</w:t>
      </w:r>
      <w:r>
        <w:rPr>
          <w:spacing w:val="-2"/>
          <w:szCs w:val="22"/>
        </w:rPr>
        <w:t>i</w:t>
      </w:r>
      <w:r>
        <w:rPr>
          <w:spacing w:val="1"/>
          <w:szCs w:val="22"/>
        </w:rPr>
        <w:t>l</w:t>
      </w:r>
      <w:r>
        <w:rPr>
          <w:spacing w:val="-3"/>
          <w:szCs w:val="22"/>
        </w:rPr>
        <w:t>o</w:t>
      </w:r>
      <w:r>
        <w:rPr>
          <w:szCs w:val="22"/>
        </w:rPr>
        <w:t>r</w:t>
      </w:r>
      <w:r>
        <w:rPr>
          <w:spacing w:val="1"/>
          <w:szCs w:val="22"/>
        </w:rPr>
        <w:t xml:space="preserve"> </w:t>
      </w:r>
      <w:r>
        <w:rPr>
          <w:spacing w:val="-2"/>
          <w:szCs w:val="22"/>
        </w:rPr>
        <w:t>(</w:t>
      </w:r>
      <w:r>
        <w:rPr>
          <w:spacing w:val="1"/>
          <w:szCs w:val="22"/>
        </w:rPr>
        <w:t>V</w:t>
      </w:r>
      <w:r>
        <w:rPr>
          <w:spacing w:val="-1"/>
          <w:szCs w:val="22"/>
        </w:rPr>
        <w:t>SH</w:t>
      </w:r>
      <w:r>
        <w:rPr>
          <w:spacing w:val="-2"/>
          <w:szCs w:val="22"/>
        </w:rPr>
        <w:t>)</w:t>
      </w:r>
      <w:r>
        <w:rPr>
          <w:szCs w:val="22"/>
        </w:rPr>
        <w:t>)</w:t>
      </w:r>
      <w:r>
        <w:rPr>
          <w:spacing w:val="1"/>
          <w:szCs w:val="22"/>
        </w:rPr>
        <w:t xml:space="preserve"> </w:t>
      </w:r>
      <w:r>
        <w:rPr>
          <w:spacing w:val="-2"/>
          <w:szCs w:val="22"/>
        </w:rPr>
        <w:t>ş</w:t>
      </w:r>
      <w:r>
        <w:rPr>
          <w:szCs w:val="22"/>
        </w:rPr>
        <w:t>i</w:t>
      </w:r>
      <w:r>
        <w:rPr>
          <w:spacing w:val="1"/>
          <w:szCs w:val="22"/>
        </w:rPr>
        <w:t xml:space="preserve"> </w:t>
      </w:r>
      <w:r>
        <w:rPr>
          <w:szCs w:val="22"/>
        </w:rPr>
        <w:t xml:space="preserve">a </w:t>
      </w:r>
      <w:r>
        <w:rPr>
          <w:spacing w:val="-3"/>
          <w:szCs w:val="22"/>
        </w:rPr>
        <w:t>c</w:t>
      </w:r>
      <w:r>
        <w:rPr>
          <w:spacing w:val="-2"/>
          <w:szCs w:val="22"/>
        </w:rPr>
        <w:t>it</w:t>
      </w:r>
      <w:r>
        <w:rPr>
          <w:szCs w:val="22"/>
        </w:rPr>
        <w:t>o</w:t>
      </w:r>
      <w:r>
        <w:rPr>
          <w:spacing w:val="-3"/>
          <w:szCs w:val="22"/>
        </w:rPr>
        <w:t>k</w:t>
      </w:r>
      <w:r>
        <w:rPr>
          <w:spacing w:val="1"/>
          <w:szCs w:val="22"/>
        </w:rPr>
        <w:t>i</w:t>
      </w:r>
      <w:r>
        <w:rPr>
          <w:szCs w:val="22"/>
        </w:rPr>
        <w:t>ne</w:t>
      </w:r>
      <w:r>
        <w:rPr>
          <w:spacing w:val="1"/>
          <w:szCs w:val="22"/>
        </w:rPr>
        <w:t>l</w:t>
      </w:r>
      <w:r>
        <w:rPr>
          <w:szCs w:val="22"/>
        </w:rPr>
        <w:t>or</w:t>
      </w:r>
      <w:r>
        <w:rPr>
          <w:spacing w:val="-2"/>
          <w:szCs w:val="22"/>
        </w:rPr>
        <w:t xml:space="preserve"> </w:t>
      </w:r>
      <w:r>
        <w:rPr>
          <w:szCs w:val="22"/>
        </w:rPr>
        <w:t>p</w:t>
      </w:r>
      <w:r>
        <w:rPr>
          <w:spacing w:val="-2"/>
          <w:szCs w:val="22"/>
        </w:rPr>
        <w:t>l</w:t>
      </w:r>
      <w:r>
        <w:rPr>
          <w:szCs w:val="22"/>
        </w:rPr>
        <w:t>as</w:t>
      </w:r>
      <w:r>
        <w:rPr>
          <w:spacing w:val="-4"/>
          <w:szCs w:val="22"/>
        </w:rPr>
        <w:t>m</w:t>
      </w:r>
      <w:r>
        <w:rPr>
          <w:szCs w:val="22"/>
        </w:rPr>
        <w:t>a</w:t>
      </w:r>
      <w:r>
        <w:rPr>
          <w:spacing w:val="1"/>
          <w:szCs w:val="22"/>
        </w:rPr>
        <w:t>ti</w:t>
      </w:r>
      <w:r>
        <w:rPr>
          <w:spacing w:val="-3"/>
          <w:szCs w:val="22"/>
        </w:rPr>
        <w:t>c</w:t>
      </w:r>
      <w:r>
        <w:rPr>
          <w:szCs w:val="22"/>
        </w:rPr>
        <w:t>e (</w:t>
      </w:r>
      <w:r>
        <w:rPr>
          <w:spacing w:val="-4"/>
          <w:szCs w:val="22"/>
        </w:rPr>
        <w:t>I</w:t>
      </w:r>
      <w:r>
        <w:rPr>
          <w:spacing w:val="1"/>
          <w:szCs w:val="22"/>
        </w:rPr>
        <w:t>L</w:t>
      </w:r>
      <w:r>
        <w:rPr>
          <w:spacing w:val="-4"/>
          <w:szCs w:val="22"/>
        </w:rPr>
        <w:t>-</w:t>
      </w:r>
      <w:r>
        <w:rPr>
          <w:szCs w:val="22"/>
        </w:rPr>
        <w:t>6), co</w:t>
      </w:r>
      <w:r>
        <w:rPr>
          <w:spacing w:val="-4"/>
          <w:szCs w:val="22"/>
        </w:rPr>
        <w:t>m</w:t>
      </w:r>
      <w:r>
        <w:rPr>
          <w:szCs w:val="22"/>
        </w:rPr>
        <w:t>para</w:t>
      </w:r>
      <w:r>
        <w:rPr>
          <w:spacing w:val="1"/>
          <w:szCs w:val="22"/>
        </w:rPr>
        <w:t>ti</w:t>
      </w:r>
      <w:r>
        <w:rPr>
          <w:szCs w:val="22"/>
        </w:rPr>
        <w:t>v</w:t>
      </w:r>
      <w:r>
        <w:rPr>
          <w:spacing w:val="-3"/>
          <w:szCs w:val="22"/>
        </w:rPr>
        <w:t xml:space="preserve"> </w:t>
      </w:r>
      <w:r>
        <w:rPr>
          <w:szCs w:val="22"/>
        </w:rPr>
        <w:t xml:space="preserve">cu </w:t>
      </w:r>
      <w:r>
        <w:rPr>
          <w:spacing w:val="-3"/>
          <w:szCs w:val="22"/>
        </w:rPr>
        <w:t>n</w:t>
      </w:r>
      <w:r>
        <w:rPr>
          <w:spacing w:val="1"/>
          <w:szCs w:val="22"/>
        </w:rPr>
        <w:t>i</w:t>
      </w:r>
      <w:r>
        <w:rPr>
          <w:spacing w:val="-3"/>
          <w:szCs w:val="22"/>
        </w:rPr>
        <w:t>v</w:t>
      </w:r>
      <w:r>
        <w:rPr>
          <w:szCs w:val="22"/>
        </w:rPr>
        <w:t>e</w:t>
      </w:r>
      <w:r>
        <w:rPr>
          <w:spacing w:val="1"/>
          <w:szCs w:val="22"/>
        </w:rPr>
        <w:t>l</w:t>
      </w:r>
      <w:r>
        <w:rPr>
          <w:spacing w:val="-3"/>
          <w:szCs w:val="22"/>
        </w:rPr>
        <w:t>u</w:t>
      </w:r>
      <w:r>
        <w:rPr>
          <w:szCs w:val="22"/>
        </w:rPr>
        <w:t>r</w:t>
      </w:r>
      <w:r>
        <w:rPr>
          <w:spacing w:val="-2"/>
          <w:szCs w:val="22"/>
        </w:rPr>
        <w:t>i</w:t>
      </w:r>
      <w:r>
        <w:rPr>
          <w:spacing w:val="1"/>
          <w:szCs w:val="22"/>
        </w:rPr>
        <w:t>l</w:t>
      </w:r>
      <w:r>
        <w:rPr>
          <w:szCs w:val="22"/>
        </w:rPr>
        <w:t>e</w:t>
      </w:r>
      <w:r>
        <w:rPr>
          <w:spacing w:val="-2"/>
          <w:szCs w:val="22"/>
        </w:rPr>
        <w:t xml:space="preserve"> </w:t>
      </w:r>
      <w:r>
        <w:rPr>
          <w:spacing w:val="1"/>
          <w:szCs w:val="22"/>
        </w:rPr>
        <w:t>i</w:t>
      </w:r>
      <w:r>
        <w:rPr>
          <w:szCs w:val="22"/>
        </w:rPr>
        <w:t>n</w:t>
      </w:r>
      <w:r>
        <w:rPr>
          <w:spacing w:val="-2"/>
          <w:szCs w:val="22"/>
        </w:rPr>
        <w:t>i</w:t>
      </w:r>
      <w:r>
        <w:rPr>
          <w:spacing w:val="1"/>
          <w:szCs w:val="22"/>
        </w:rPr>
        <w:t>ţi</w:t>
      </w:r>
      <w:r>
        <w:rPr>
          <w:spacing w:val="-3"/>
          <w:szCs w:val="22"/>
        </w:rPr>
        <w:t>a</w:t>
      </w:r>
      <w:r>
        <w:rPr>
          <w:spacing w:val="1"/>
          <w:szCs w:val="22"/>
        </w:rPr>
        <w:t>l</w:t>
      </w:r>
      <w:r>
        <w:rPr>
          <w:szCs w:val="22"/>
        </w:rPr>
        <w:t xml:space="preserve">e. </w:t>
      </w:r>
      <w:r>
        <w:rPr>
          <w:spacing w:val="-1"/>
          <w:szCs w:val="22"/>
        </w:rPr>
        <w:t>C</w:t>
      </w:r>
      <w:r>
        <w:rPr>
          <w:spacing w:val="-3"/>
          <w:szCs w:val="22"/>
        </w:rPr>
        <w:t>o</w:t>
      </w:r>
      <w:r>
        <w:rPr>
          <w:szCs w:val="22"/>
        </w:rPr>
        <w:t>nce</w:t>
      </w:r>
      <w:r>
        <w:rPr>
          <w:spacing w:val="-3"/>
          <w:szCs w:val="22"/>
        </w:rPr>
        <w:t>n</w:t>
      </w:r>
      <w:r>
        <w:rPr>
          <w:spacing w:val="1"/>
          <w:szCs w:val="22"/>
        </w:rPr>
        <w:t>t</w:t>
      </w:r>
      <w:r>
        <w:rPr>
          <w:spacing w:val="-2"/>
          <w:szCs w:val="22"/>
        </w:rPr>
        <w:t>r</w:t>
      </w:r>
      <w:r>
        <w:rPr>
          <w:szCs w:val="22"/>
        </w:rPr>
        <w:t>a</w:t>
      </w:r>
      <w:r>
        <w:rPr>
          <w:spacing w:val="-2"/>
          <w:szCs w:val="22"/>
        </w:rPr>
        <w:t>ţ</w:t>
      </w:r>
      <w:r>
        <w:rPr>
          <w:spacing w:val="1"/>
          <w:szCs w:val="22"/>
        </w:rPr>
        <w:t>i</w:t>
      </w:r>
      <w:r>
        <w:rPr>
          <w:spacing w:val="-2"/>
          <w:szCs w:val="22"/>
        </w:rPr>
        <w:t>i</w:t>
      </w:r>
      <w:r>
        <w:rPr>
          <w:spacing w:val="1"/>
          <w:szCs w:val="22"/>
        </w:rPr>
        <w:t>l</w:t>
      </w:r>
      <w:r>
        <w:rPr>
          <w:szCs w:val="22"/>
        </w:rPr>
        <w:t>e se</w:t>
      </w:r>
      <w:r>
        <w:rPr>
          <w:spacing w:val="-2"/>
          <w:szCs w:val="22"/>
        </w:rPr>
        <w:t>r</w:t>
      </w:r>
      <w:r>
        <w:rPr>
          <w:spacing w:val="1"/>
          <w:szCs w:val="22"/>
        </w:rPr>
        <w:t>i</w:t>
      </w:r>
      <w:r>
        <w:rPr>
          <w:szCs w:val="22"/>
        </w:rPr>
        <w:t>ce</w:t>
      </w:r>
      <w:r>
        <w:rPr>
          <w:spacing w:val="-2"/>
          <w:szCs w:val="22"/>
        </w:rPr>
        <w:t xml:space="preserve"> </w:t>
      </w:r>
      <w:r>
        <w:rPr>
          <w:szCs w:val="22"/>
        </w:rPr>
        <w:t>a</w:t>
      </w:r>
      <w:r>
        <w:rPr>
          <w:spacing w:val="1"/>
          <w:szCs w:val="22"/>
        </w:rPr>
        <w:t>l</w:t>
      </w:r>
      <w:r>
        <w:rPr>
          <w:szCs w:val="22"/>
        </w:rPr>
        <w:t>e</w:t>
      </w:r>
      <w:r>
        <w:rPr>
          <w:spacing w:val="-2"/>
          <w:szCs w:val="22"/>
        </w:rPr>
        <w:t xml:space="preserve"> </w:t>
      </w:r>
      <w:r>
        <w:rPr>
          <w:spacing w:val="-4"/>
          <w:szCs w:val="22"/>
        </w:rPr>
        <w:t>m</w:t>
      </w:r>
      <w:r>
        <w:rPr>
          <w:szCs w:val="22"/>
        </w:rPr>
        <w:t>e</w:t>
      </w:r>
      <w:r>
        <w:rPr>
          <w:spacing w:val="1"/>
          <w:szCs w:val="22"/>
        </w:rPr>
        <w:t>t</w:t>
      </w:r>
      <w:r>
        <w:rPr>
          <w:szCs w:val="22"/>
        </w:rPr>
        <w:t>a</w:t>
      </w:r>
      <w:r>
        <w:rPr>
          <w:spacing w:val="1"/>
          <w:szCs w:val="22"/>
        </w:rPr>
        <w:t>l</w:t>
      </w:r>
      <w:r>
        <w:rPr>
          <w:szCs w:val="22"/>
        </w:rPr>
        <w:t>o</w:t>
      </w:r>
      <w:r>
        <w:rPr>
          <w:spacing w:val="-3"/>
          <w:szCs w:val="22"/>
        </w:rPr>
        <w:t>p</w:t>
      </w:r>
      <w:r>
        <w:rPr>
          <w:szCs w:val="22"/>
        </w:rPr>
        <w:t>ro</w:t>
      </w:r>
      <w:r>
        <w:rPr>
          <w:spacing w:val="-2"/>
          <w:szCs w:val="22"/>
        </w:rPr>
        <w:t>t</w:t>
      </w:r>
      <w:r>
        <w:rPr>
          <w:szCs w:val="22"/>
        </w:rPr>
        <w:t>e</w:t>
      </w:r>
      <w:r>
        <w:rPr>
          <w:spacing w:val="1"/>
          <w:szCs w:val="22"/>
        </w:rPr>
        <w:t>i</w:t>
      </w:r>
      <w:r>
        <w:rPr>
          <w:spacing w:val="-3"/>
          <w:szCs w:val="22"/>
        </w:rPr>
        <w:t>n</w:t>
      </w:r>
      <w:r>
        <w:rPr>
          <w:szCs w:val="22"/>
        </w:rPr>
        <w:t>a</w:t>
      </w:r>
      <w:r>
        <w:rPr>
          <w:spacing w:val="-3"/>
          <w:szCs w:val="22"/>
        </w:rPr>
        <w:t>z</w:t>
      </w:r>
      <w:r>
        <w:rPr>
          <w:szCs w:val="22"/>
        </w:rPr>
        <w:t>e</w:t>
      </w:r>
      <w:r>
        <w:rPr>
          <w:spacing w:val="-2"/>
          <w:szCs w:val="22"/>
        </w:rPr>
        <w:t>l</w:t>
      </w:r>
      <w:r>
        <w:rPr>
          <w:szCs w:val="22"/>
        </w:rPr>
        <w:t>or</w:t>
      </w:r>
      <w:r>
        <w:rPr>
          <w:spacing w:val="1"/>
          <w:szCs w:val="22"/>
        </w:rPr>
        <w:t xml:space="preserve"> </w:t>
      </w:r>
      <w:r>
        <w:rPr>
          <w:spacing w:val="-4"/>
          <w:szCs w:val="22"/>
        </w:rPr>
        <w:t>m</w:t>
      </w:r>
      <w:r>
        <w:rPr>
          <w:szCs w:val="22"/>
        </w:rPr>
        <w:t>a</w:t>
      </w:r>
      <w:r>
        <w:rPr>
          <w:spacing w:val="1"/>
          <w:szCs w:val="22"/>
        </w:rPr>
        <w:t>t</w:t>
      </w:r>
      <w:r>
        <w:rPr>
          <w:szCs w:val="22"/>
        </w:rPr>
        <w:t>r</w:t>
      </w:r>
      <w:r>
        <w:rPr>
          <w:spacing w:val="-2"/>
          <w:szCs w:val="22"/>
        </w:rPr>
        <w:t>i</w:t>
      </w:r>
      <w:r>
        <w:rPr>
          <w:szCs w:val="22"/>
        </w:rPr>
        <w:t>ce</w:t>
      </w:r>
      <w:r>
        <w:rPr>
          <w:spacing w:val="-3"/>
          <w:szCs w:val="22"/>
        </w:rPr>
        <w:t>a</w:t>
      </w:r>
      <w:r>
        <w:rPr>
          <w:spacing w:val="1"/>
          <w:szCs w:val="22"/>
        </w:rPr>
        <w:t>l</w:t>
      </w:r>
      <w:r>
        <w:rPr>
          <w:szCs w:val="22"/>
        </w:rPr>
        <w:t>e</w:t>
      </w:r>
      <w:r>
        <w:rPr>
          <w:spacing w:val="-2"/>
          <w:szCs w:val="22"/>
        </w:rPr>
        <w:t xml:space="preserve"> </w:t>
      </w:r>
      <w:r>
        <w:rPr>
          <w:szCs w:val="22"/>
        </w:rPr>
        <w:t>(</w:t>
      </w:r>
      <w:r>
        <w:rPr>
          <w:spacing w:val="-2"/>
          <w:szCs w:val="22"/>
        </w:rPr>
        <w:t>M</w:t>
      </w:r>
      <w:r>
        <w:rPr>
          <w:szCs w:val="22"/>
        </w:rPr>
        <w:t>M</w:t>
      </w:r>
      <w:r>
        <w:rPr>
          <w:spacing w:val="-2"/>
          <w:szCs w:val="22"/>
        </w:rPr>
        <w:t>P</w:t>
      </w:r>
      <w:r>
        <w:rPr>
          <w:spacing w:val="-4"/>
          <w:szCs w:val="22"/>
        </w:rPr>
        <w:t>-</w:t>
      </w:r>
      <w:r>
        <w:rPr>
          <w:szCs w:val="22"/>
        </w:rPr>
        <w:t>1 şi</w:t>
      </w:r>
      <w:r>
        <w:rPr>
          <w:spacing w:val="1"/>
          <w:szCs w:val="22"/>
        </w:rPr>
        <w:t xml:space="preserve"> </w:t>
      </w:r>
      <w:r>
        <w:rPr>
          <w:spacing w:val="-2"/>
          <w:szCs w:val="22"/>
        </w:rPr>
        <w:t>M</w:t>
      </w:r>
      <w:r>
        <w:rPr>
          <w:szCs w:val="22"/>
        </w:rPr>
        <w:t>M</w:t>
      </w:r>
      <w:r>
        <w:rPr>
          <w:spacing w:val="-1"/>
          <w:szCs w:val="22"/>
        </w:rPr>
        <w:t>P</w:t>
      </w:r>
      <w:r>
        <w:rPr>
          <w:spacing w:val="-4"/>
          <w:szCs w:val="22"/>
        </w:rPr>
        <w:t>-</w:t>
      </w:r>
      <w:r>
        <w:rPr>
          <w:szCs w:val="22"/>
        </w:rPr>
        <w:t>3)</w:t>
      </w:r>
      <w:r>
        <w:rPr>
          <w:spacing w:val="1"/>
          <w:szCs w:val="22"/>
        </w:rPr>
        <w:t xml:space="preserve"> </w:t>
      </w:r>
      <w:r>
        <w:rPr>
          <w:szCs w:val="22"/>
        </w:rPr>
        <w:t xml:space="preserve">care </w:t>
      </w:r>
      <w:r>
        <w:rPr>
          <w:spacing w:val="-3"/>
          <w:szCs w:val="22"/>
        </w:rPr>
        <w:t>d</w:t>
      </w:r>
      <w:r>
        <w:rPr>
          <w:szCs w:val="22"/>
        </w:rPr>
        <w:t>e</w:t>
      </w:r>
      <w:r>
        <w:rPr>
          <w:spacing w:val="1"/>
          <w:szCs w:val="22"/>
        </w:rPr>
        <w:t>t</w:t>
      </w:r>
      <w:r>
        <w:rPr>
          <w:spacing w:val="-3"/>
          <w:szCs w:val="22"/>
        </w:rPr>
        <w:t>e</w:t>
      </w:r>
      <w:r>
        <w:rPr>
          <w:szCs w:val="22"/>
        </w:rPr>
        <w:t>r</w:t>
      </w:r>
      <w:r>
        <w:rPr>
          <w:spacing w:val="-4"/>
          <w:szCs w:val="22"/>
        </w:rPr>
        <w:t>m</w:t>
      </w:r>
      <w:r>
        <w:rPr>
          <w:spacing w:val="1"/>
          <w:szCs w:val="22"/>
        </w:rPr>
        <w:t>i</w:t>
      </w:r>
      <w:r>
        <w:rPr>
          <w:szCs w:val="22"/>
        </w:rPr>
        <w:t xml:space="preserve">nă </w:t>
      </w:r>
      <w:r>
        <w:rPr>
          <w:spacing w:val="-2"/>
          <w:szCs w:val="22"/>
        </w:rPr>
        <w:t>r</w:t>
      </w:r>
      <w:r>
        <w:rPr>
          <w:szCs w:val="22"/>
        </w:rPr>
        <w:t>e</w:t>
      </w:r>
      <w:r>
        <w:rPr>
          <w:spacing w:val="-4"/>
          <w:szCs w:val="22"/>
        </w:rPr>
        <w:t>m</w:t>
      </w:r>
      <w:r>
        <w:rPr>
          <w:spacing w:val="2"/>
          <w:szCs w:val="22"/>
        </w:rPr>
        <w:t>o</w:t>
      </w:r>
      <w:r>
        <w:rPr>
          <w:szCs w:val="22"/>
        </w:rPr>
        <w:t>de</w:t>
      </w:r>
      <w:r>
        <w:rPr>
          <w:spacing w:val="1"/>
          <w:szCs w:val="22"/>
        </w:rPr>
        <w:t>l</w:t>
      </w:r>
      <w:r>
        <w:rPr>
          <w:spacing w:val="-3"/>
          <w:szCs w:val="22"/>
        </w:rPr>
        <w:t>a</w:t>
      </w:r>
      <w:r>
        <w:rPr>
          <w:szCs w:val="22"/>
        </w:rPr>
        <w:t>rea</w:t>
      </w:r>
      <w:r>
        <w:rPr>
          <w:spacing w:val="-2"/>
          <w:szCs w:val="22"/>
        </w:rPr>
        <w:t xml:space="preserve"> </w:t>
      </w:r>
      <w:r>
        <w:rPr>
          <w:spacing w:val="1"/>
          <w:szCs w:val="22"/>
        </w:rPr>
        <w:t>ţ</w:t>
      </w:r>
      <w:r>
        <w:rPr>
          <w:spacing w:val="-3"/>
          <w:szCs w:val="22"/>
        </w:rPr>
        <w:t>e</w:t>
      </w:r>
      <w:r>
        <w:rPr>
          <w:szCs w:val="22"/>
        </w:rPr>
        <w:t>su</w:t>
      </w:r>
      <w:r>
        <w:rPr>
          <w:spacing w:val="-2"/>
          <w:szCs w:val="22"/>
        </w:rPr>
        <w:t>t</w:t>
      </w:r>
      <w:r>
        <w:rPr>
          <w:szCs w:val="22"/>
        </w:rPr>
        <w:t>u</w:t>
      </w:r>
      <w:r>
        <w:rPr>
          <w:spacing w:val="-2"/>
          <w:szCs w:val="22"/>
        </w:rPr>
        <w:t>r</w:t>
      </w:r>
      <w:r>
        <w:rPr>
          <w:spacing w:val="1"/>
          <w:szCs w:val="22"/>
        </w:rPr>
        <w:t>il</w:t>
      </w:r>
      <w:r>
        <w:rPr>
          <w:spacing w:val="-3"/>
          <w:szCs w:val="22"/>
        </w:rPr>
        <w:t>o</w:t>
      </w:r>
      <w:r>
        <w:rPr>
          <w:szCs w:val="22"/>
        </w:rPr>
        <w:t>r răsp</w:t>
      </w:r>
      <w:r>
        <w:rPr>
          <w:spacing w:val="-3"/>
          <w:szCs w:val="22"/>
        </w:rPr>
        <w:t>u</w:t>
      </w:r>
      <w:r>
        <w:rPr>
          <w:spacing w:val="-1"/>
          <w:szCs w:val="22"/>
        </w:rPr>
        <w:t>n</w:t>
      </w:r>
      <w:r>
        <w:rPr>
          <w:spacing w:val="-3"/>
          <w:szCs w:val="22"/>
        </w:rPr>
        <w:t>z</w:t>
      </w:r>
      <w:r>
        <w:rPr>
          <w:szCs w:val="22"/>
        </w:rPr>
        <w:t>ă</w:t>
      </w:r>
      <w:r>
        <w:rPr>
          <w:spacing w:val="1"/>
          <w:szCs w:val="22"/>
        </w:rPr>
        <w:t>t</w:t>
      </w:r>
      <w:r>
        <w:rPr>
          <w:szCs w:val="22"/>
        </w:rPr>
        <w:t>o</w:t>
      </w:r>
      <w:r>
        <w:rPr>
          <w:spacing w:val="-3"/>
          <w:szCs w:val="22"/>
        </w:rPr>
        <w:t>a</w:t>
      </w:r>
      <w:r>
        <w:rPr>
          <w:szCs w:val="22"/>
        </w:rPr>
        <w:t xml:space="preserve">re </w:t>
      </w:r>
      <w:r>
        <w:rPr>
          <w:spacing w:val="-3"/>
          <w:szCs w:val="22"/>
        </w:rPr>
        <w:t>d</w:t>
      </w:r>
      <w:r>
        <w:rPr>
          <w:szCs w:val="22"/>
        </w:rPr>
        <w:t>e d</w:t>
      </w:r>
      <w:r>
        <w:rPr>
          <w:spacing w:val="-2"/>
          <w:szCs w:val="22"/>
        </w:rPr>
        <w:t>i</w:t>
      </w:r>
      <w:r>
        <w:rPr>
          <w:szCs w:val="22"/>
        </w:rPr>
        <w:t>s</w:t>
      </w:r>
      <w:r>
        <w:rPr>
          <w:spacing w:val="-2"/>
          <w:szCs w:val="22"/>
        </w:rPr>
        <w:t>t</w:t>
      </w:r>
      <w:r>
        <w:rPr>
          <w:szCs w:val="22"/>
        </w:rPr>
        <w:t>ru</w:t>
      </w:r>
      <w:r>
        <w:rPr>
          <w:spacing w:val="-3"/>
          <w:szCs w:val="22"/>
        </w:rPr>
        <w:t>g</w:t>
      </w:r>
      <w:r>
        <w:rPr>
          <w:szCs w:val="22"/>
        </w:rPr>
        <w:t>er</w:t>
      </w:r>
      <w:r>
        <w:rPr>
          <w:spacing w:val="-3"/>
          <w:szCs w:val="22"/>
        </w:rPr>
        <w:t>e</w:t>
      </w:r>
      <w:r>
        <w:rPr>
          <w:szCs w:val="22"/>
        </w:rPr>
        <w:t>a ca</w:t>
      </w:r>
      <w:r>
        <w:rPr>
          <w:spacing w:val="-2"/>
          <w:szCs w:val="22"/>
        </w:rPr>
        <w:t>rt</w:t>
      </w:r>
      <w:r>
        <w:rPr>
          <w:spacing w:val="1"/>
          <w:szCs w:val="22"/>
        </w:rPr>
        <w:t>il</w:t>
      </w:r>
      <w:r>
        <w:rPr>
          <w:spacing w:val="-3"/>
          <w:szCs w:val="22"/>
        </w:rPr>
        <w:t>a</w:t>
      </w:r>
      <w:r>
        <w:rPr>
          <w:spacing w:val="1"/>
          <w:szCs w:val="22"/>
        </w:rPr>
        <w:t>j</w:t>
      </w:r>
      <w:r>
        <w:rPr>
          <w:spacing w:val="-3"/>
          <w:szCs w:val="22"/>
        </w:rPr>
        <w:t>u</w:t>
      </w:r>
      <w:r>
        <w:rPr>
          <w:spacing w:val="1"/>
          <w:szCs w:val="22"/>
        </w:rPr>
        <w:t>l</w:t>
      </w:r>
      <w:r>
        <w:rPr>
          <w:szCs w:val="22"/>
        </w:rPr>
        <w:t>ui</w:t>
      </w:r>
      <w:r>
        <w:rPr>
          <w:spacing w:val="-2"/>
          <w:szCs w:val="22"/>
        </w:rPr>
        <w:t xml:space="preserve"> </w:t>
      </w:r>
      <w:r>
        <w:rPr>
          <w:szCs w:val="22"/>
        </w:rPr>
        <w:t>au</w:t>
      </w:r>
      <w:r>
        <w:rPr>
          <w:spacing w:val="-1"/>
          <w:szCs w:val="22"/>
        </w:rPr>
        <w:t xml:space="preserve"> </w:t>
      </w:r>
      <w:r>
        <w:rPr>
          <w:spacing w:val="-2"/>
          <w:szCs w:val="22"/>
        </w:rPr>
        <w:t>f</w:t>
      </w:r>
      <w:r>
        <w:rPr>
          <w:szCs w:val="22"/>
        </w:rPr>
        <w:t>os</w:t>
      </w:r>
      <w:r>
        <w:rPr>
          <w:spacing w:val="-2"/>
          <w:szCs w:val="22"/>
        </w:rPr>
        <w:t>t</w:t>
      </w:r>
      <w:r>
        <w:rPr>
          <w:szCs w:val="22"/>
        </w:rPr>
        <w:t xml:space="preserve">, de </w:t>
      </w:r>
      <w:r>
        <w:rPr>
          <w:spacing w:val="-3"/>
          <w:szCs w:val="22"/>
        </w:rPr>
        <w:t>a</w:t>
      </w:r>
      <w:r>
        <w:rPr>
          <w:szCs w:val="22"/>
        </w:rPr>
        <w:t>s</w:t>
      </w:r>
      <w:r>
        <w:rPr>
          <w:spacing w:val="-3"/>
          <w:szCs w:val="22"/>
        </w:rPr>
        <w:t>e</w:t>
      </w:r>
      <w:r>
        <w:rPr>
          <w:spacing w:val="-4"/>
          <w:szCs w:val="22"/>
        </w:rPr>
        <w:t>m</w:t>
      </w:r>
      <w:r>
        <w:rPr>
          <w:szCs w:val="22"/>
        </w:rPr>
        <w:t>enea, scă</w:t>
      </w:r>
      <w:r>
        <w:rPr>
          <w:spacing w:val="-3"/>
          <w:szCs w:val="22"/>
        </w:rPr>
        <w:t>z</w:t>
      </w:r>
      <w:r>
        <w:rPr>
          <w:szCs w:val="22"/>
        </w:rPr>
        <w:t>u</w:t>
      </w:r>
      <w:r>
        <w:rPr>
          <w:spacing w:val="1"/>
          <w:szCs w:val="22"/>
        </w:rPr>
        <w:t>t</w:t>
      </w:r>
      <w:r>
        <w:rPr>
          <w:szCs w:val="22"/>
        </w:rPr>
        <w:t xml:space="preserve">e </w:t>
      </w:r>
      <w:r>
        <w:rPr>
          <w:spacing w:val="-3"/>
          <w:szCs w:val="22"/>
        </w:rPr>
        <w:t>d</w:t>
      </w:r>
      <w:r>
        <w:rPr>
          <w:szCs w:val="22"/>
        </w:rPr>
        <w:t xml:space="preserve">upă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rea</w:t>
      </w:r>
      <w:r>
        <w:rPr>
          <w:spacing w:val="-2"/>
          <w:szCs w:val="22"/>
        </w:rPr>
        <w:t xml:space="preserve"> </w:t>
      </w:r>
      <w:r>
        <w:rPr>
          <w:szCs w:val="22"/>
        </w:rPr>
        <w:t xml:space="preserve">de </w:t>
      </w:r>
      <w:r>
        <w:rPr>
          <w:rFonts w:eastAsia="MS Mincho"/>
          <w:spacing w:val="-1"/>
          <w:szCs w:val="22"/>
          <w:lang w:eastAsia="en-US" w:bidi="ar-SA"/>
        </w:rPr>
        <w:t>adalimumab</w:t>
      </w:r>
      <w:r>
        <w:rPr>
          <w:szCs w:val="22"/>
        </w:rPr>
        <w:t xml:space="preserve">. </w:t>
      </w:r>
      <w:r>
        <w:rPr>
          <w:spacing w:val="-1"/>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 xml:space="preserve">au </w:t>
      </w:r>
      <w:r>
        <w:rPr>
          <w:spacing w:val="-4"/>
          <w:szCs w:val="22"/>
        </w:rPr>
        <w:t>m</w:t>
      </w:r>
      <w:r>
        <w:rPr>
          <w:szCs w:val="22"/>
        </w:rPr>
        <w:t>an</w:t>
      </w:r>
      <w:r>
        <w:rPr>
          <w:spacing w:val="1"/>
          <w:szCs w:val="22"/>
        </w:rPr>
        <w:t>i</w:t>
      </w:r>
      <w:r>
        <w:rPr>
          <w:szCs w:val="22"/>
        </w:rPr>
        <w:t>fe</w:t>
      </w:r>
      <w:r>
        <w:rPr>
          <w:spacing w:val="-2"/>
          <w:szCs w:val="22"/>
        </w:rPr>
        <w:t>s</w:t>
      </w:r>
      <w:r>
        <w:rPr>
          <w:spacing w:val="1"/>
          <w:szCs w:val="22"/>
        </w:rPr>
        <w:t>t</w:t>
      </w:r>
      <w:r>
        <w:rPr>
          <w:spacing w:val="-3"/>
          <w:szCs w:val="22"/>
        </w:rPr>
        <w:t>a</w:t>
      </w:r>
      <w:r>
        <w:rPr>
          <w:spacing w:val="1"/>
          <w:szCs w:val="22"/>
        </w:rPr>
        <w:t>t</w:t>
      </w:r>
      <w:r>
        <w:rPr>
          <w:szCs w:val="22"/>
        </w:rPr>
        <w:t>, de</w:t>
      </w:r>
      <w:r>
        <w:rPr>
          <w:spacing w:val="-2"/>
          <w:szCs w:val="22"/>
        </w:rPr>
        <w:t xml:space="preserve"> </w:t>
      </w:r>
      <w:r>
        <w:rPr>
          <w:szCs w:val="22"/>
        </w:rPr>
        <w:t>ob</w:t>
      </w:r>
      <w:r>
        <w:rPr>
          <w:spacing w:val="-2"/>
          <w:szCs w:val="22"/>
        </w:rPr>
        <w:t>i</w:t>
      </w:r>
      <w:r>
        <w:rPr>
          <w:szCs w:val="22"/>
        </w:rPr>
        <w:t>ce</w:t>
      </w:r>
      <w:r>
        <w:rPr>
          <w:spacing w:val="-2"/>
          <w:szCs w:val="22"/>
        </w:rPr>
        <w:t>i</w:t>
      </w:r>
      <w:r>
        <w:rPr>
          <w:szCs w:val="22"/>
        </w:rPr>
        <w:t>, o</w:t>
      </w:r>
      <w:r>
        <w:rPr>
          <w:spacing w:val="-3"/>
          <w:szCs w:val="22"/>
        </w:rPr>
        <w:t xml:space="preserve"> </w:t>
      </w:r>
      <w:r>
        <w:rPr>
          <w:szCs w:val="22"/>
        </w:rPr>
        <w:t>a</w:t>
      </w:r>
      <w:r>
        <w:rPr>
          <w:spacing w:val="-4"/>
          <w:szCs w:val="22"/>
        </w:rPr>
        <w:t>m</w:t>
      </w:r>
      <w:r>
        <w:rPr>
          <w:szCs w:val="22"/>
        </w:rPr>
        <w:t>e</w:t>
      </w:r>
      <w:r>
        <w:rPr>
          <w:spacing w:val="1"/>
          <w:szCs w:val="22"/>
        </w:rPr>
        <w:t>li</w:t>
      </w:r>
      <w:r>
        <w:rPr>
          <w:szCs w:val="22"/>
        </w:rPr>
        <w:t>or</w:t>
      </w:r>
      <w:r>
        <w:rPr>
          <w:spacing w:val="-3"/>
          <w:szCs w:val="22"/>
        </w:rPr>
        <w:t>a</w:t>
      </w:r>
      <w:r>
        <w:rPr>
          <w:szCs w:val="22"/>
        </w:rPr>
        <w:t>re a</w:t>
      </w:r>
      <w:r>
        <w:rPr>
          <w:spacing w:val="-2"/>
          <w:szCs w:val="22"/>
        </w:rPr>
        <w:t xml:space="preserve"> </w:t>
      </w:r>
      <w:r>
        <w:rPr>
          <w:szCs w:val="22"/>
        </w:rPr>
        <w:t>se</w:t>
      </w:r>
      <w:r>
        <w:rPr>
          <w:spacing w:val="-4"/>
          <w:szCs w:val="22"/>
        </w:rPr>
        <w:t>m</w:t>
      </w:r>
      <w:r>
        <w:rPr>
          <w:szCs w:val="22"/>
        </w:rPr>
        <w:t>ne</w:t>
      </w:r>
      <w:r>
        <w:rPr>
          <w:spacing w:val="1"/>
          <w:szCs w:val="22"/>
        </w:rPr>
        <w:t>l</w:t>
      </w:r>
      <w:r>
        <w:rPr>
          <w:spacing w:val="-3"/>
          <w:szCs w:val="22"/>
        </w:rPr>
        <w:t>o</w:t>
      </w:r>
      <w:r>
        <w:rPr>
          <w:szCs w:val="22"/>
        </w:rPr>
        <w:t>r</w:t>
      </w:r>
      <w:r>
        <w:rPr>
          <w:spacing w:val="1"/>
          <w:szCs w:val="22"/>
        </w:rPr>
        <w:t xml:space="preserve"> </w:t>
      </w:r>
      <w:r>
        <w:rPr>
          <w:szCs w:val="22"/>
        </w:rPr>
        <w:t>he</w:t>
      </w:r>
      <w:r>
        <w:rPr>
          <w:spacing w:val="-4"/>
          <w:szCs w:val="22"/>
        </w:rPr>
        <w:t>m</w:t>
      </w:r>
      <w:r>
        <w:rPr>
          <w:szCs w:val="22"/>
        </w:rPr>
        <w:t>a</w:t>
      </w:r>
      <w:r>
        <w:rPr>
          <w:spacing w:val="1"/>
          <w:szCs w:val="22"/>
        </w:rPr>
        <w:t>t</w:t>
      </w:r>
      <w:r>
        <w:rPr>
          <w:spacing w:val="-3"/>
          <w:szCs w:val="22"/>
        </w:rPr>
        <w:t>o</w:t>
      </w:r>
      <w:r>
        <w:rPr>
          <w:spacing w:val="1"/>
          <w:szCs w:val="22"/>
        </w:rPr>
        <w:t>l</w:t>
      </w:r>
      <w:r>
        <w:rPr>
          <w:szCs w:val="22"/>
        </w:rPr>
        <w:t>o</w:t>
      </w:r>
      <w:r>
        <w:rPr>
          <w:spacing w:val="-3"/>
          <w:szCs w:val="22"/>
        </w:rPr>
        <w:t>g</w:t>
      </w:r>
      <w:r>
        <w:rPr>
          <w:spacing w:val="1"/>
          <w:szCs w:val="22"/>
        </w:rPr>
        <w:t>i</w:t>
      </w:r>
      <w:r>
        <w:rPr>
          <w:szCs w:val="22"/>
        </w:rPr>
        <w:t xml:space="preserve">ce </w:t>
      </w:r>
      <w:r>
        <w:rPr>
          <w:spacing w:val="-3"/>
          <w:szCs w:val="22"/>
        </w:rPr>
        <w:t>a</w:t>
      </w:r>
      <w:r>
        <w:rPr>
          <w:spacing w:val="1"/>
          <w:szCs w:val="22"/>
        </w:rPr>
        <w:t>l</w:t>
      </w:r>
      <w:r>
        <w:rPr>
          <w:szCs w:val="22"/>
        </w:rPr>
        <w:t xml:space="preserve">e </w:t>
      </w:r>
      <w:r>
        <w:rPr>
          <w:spacing w:val="1"/>
          <w:szCs w:val="22"/>
        </w:rPr>
        <w:t>i</w:t>
      </w:r>
      <w:r>
        <w:rPr>
          <w:szCs w:val="22"/>
        </w:rPr>
        <w:t>n</w:t>
      </w:r>
      <w:r>
        <w:rPr>
          <w:spacing w:val="-2"/>
          <w:szCs w:val="22"/>
        </w:rPr>
        <w:t>f</w:t>
      </w:r>
      <w:r>
        <w:rPr>
          <w:spacing w:val="1"/>
          <w:szCs w:val="22"/>
        </w:rPr>
        <w:t>l</w:t>
      </w:r>
      <w:r>
        <w:rPr>
          <w:szCs w:val="22"/>
        </w:rPr>
        <w:t>a</w:t>
      </w:r>
      <w:r>
        <w:rPr>
          <w:spacing w:val="-4"/>
          <w:szCs w:val="22"/>
        </w:rPr>
        <w:t>m</w:t>
      </w:r>
      <w:r>
        <w:rPr>
          <w:szCs w:val="22"/>
        </w:rPr>
        <w:t>a</w:t>
      </w:r>
      <w:r>
        <w:rPr>
          <w:spacing w:val="1"/>
          <w:szCs w:val="22"/>
        </w:rPr>
        <w:t>ţi</w:t>
      </w:r>
      <w:r>
        <w:rPr>
          <w:spacing w:val="-3"/>
          <w:szCs w:val="22"/>
        </w:rPr>
        <w:t>e</w:t>
      </w:r>
      <w:r>
        <w:rPr>
          <w:szCs w:val="22"/>
        </w:rPr>
        <w:t>i</w:t>
      </w:r>
      <w:r>
        <w:rPr>
          <w:spacing w:val="1"/>
          <w:szCs w:val="22"/>
        </w:rPr>
        <w:t xml:space="preserve"> </w:t>
      </w:r>
      <w:r>
        <w:rPr>
          <w:spacing w:val="-3"/>
          <w:szCs w:val="22"/>
        </w:rPr>
        <w:t>c</w:t>
      </w:r>
      <w:r>
        <w:rPr>
          <w:szCs w:val="22"/>
        </w:rPr>
        <w:t>ro</w:t>
      </w:r>
      <w:r>
        <w:rPr>
          <w:spacing w:val="-3"/>
          <w:szCs w:val="22"/>
        </w:rPr>
        <w:t>n</w:t>
      </w:r>
      <w:r>
        <w:rPr>
          <w:spacing w:val="1"/>
          <w:szCs w:val="22"/>
        </w:rPr>
        <w:t>i</w:t>
      </w:r>
      <w:r>
        <w:rPr>
          <w:szCs w:val="22"/>
        </w:rPr>
        <w:t>ce.</w:t>
      </w:r>
    </w:p>
    <w:p w14:paraId="3FF7F161" w14:textId="77777777" w:rsidR="00C04CAD" w:rsidRDefault="00C04CAD">
      <w:pPr>
        <w:tabs>
          <w:tab w:val="clear" w:pos="567"/>
        </w:tabs>
        <w:kinsoku w:val="0"/>
        <w:overflowPunct w:val="0"/>
        <w:autoSpaceDE w:val="0"/>
        <w:autoSpaceDN w:val="0"/>
        <w:adjustRightInd w:val="0"/>
        <w:spacing w:line="240" w:lineRule="auto"/>
        <w:rPr>
          <w:szCs w:val="22"/>
        </w:rPr>
      </w:pPr>
    </w:p>
    <w:p w14:paraId="25F3F121" w14:textId="77777777" w:rsidR="00C04CAD" w:rsidRDefault="00060E34">
      <w:pPr>
        <w:autoSpaceDE w:val="0"/>
        <w:autoSpaceDN w:val="0"/>
        <w:adjustRightInd w:val="0"/>
        <w:spacing w:line="240" w:lineRule="auto"/>
        <w:rPr>
          <w:szCs w:val="22"/>
        </w:rPr>
      </w:pP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pacing w:val="3"/>
          <w:szCs w:val="22"/>
        </w:rPr>
        <w:t>j</w:t>
      </w:r>
      <w:r>
        <w:rPr>
          <w:szCs w:val="22"/>
        </w:rPr>
        <w:t>u</w:t>
      </w:r>
      <w:r>
        <w:rPr>
          <w:spacing w:val="-3"/>
          <w:szCs w:val="22"/>
        </w:rPr>
        <w:t>v</w:t>
      </w:r>
      <w:r>
        <w:rPr>
          <w:szCs w:val="22"/>
        </w:rPr>
        <w:t>e</w:t>
      </w:r>
      <w:r>
        <w:rPr>
          <w:spacing w:val="-3"/>
          <w:szCs w:val="22"/>
        </w:rPr>
        <w:t>n</w:t>
      </w:r>
      <w:r>
        <w:rPr>
          <w:spacing w:val="1"/>
          <w:szCs w:val="22"/>
        </w:rPr>
        <w:t>il</w:t>
      </w:r>
      <w:r>
        <w:rPr>
          <w:szCs w:val="22"/>
        </w:rPr>
        <w:t>ă</w:t>
      </w:r>
      <w:r>
        <w:rPr>
          <w:spacing w:val="-2"/>
          <w:szCs w:val="22"/>
        </w:rPr>
        <w:t xml:space="preserve"> </w:t>
      </w:r>
      <w:r>
        <w:rPr>
          <w:spacing w:val="1"/>
          <w:szCs w:val="22"/>
        </w:rPr>
        <w:t>i</w:t>
      </w:r>
      <w:r>
        <w:rPr>
          <w:spacing w:val="-3"/>
          <w:szCs w:val="22"/>
        </w:rPr>
        <w:t>d</w:t>
      </w:r>
      <w:r>
        <w:rPr>
          <w:spacing w:val="1"/>
          <w:szCs w:val="22"/>
        </w:rPr>
        <w:t>i</w:t>
      </w:r>
      <w:r>
        <w:rPr>
          <w:szCs w:val="22"/>
        </w:rPr>
        <w:t>op</w:t>
      </w:r>
      <w:r>
        <w:rPr>
          <w:spacing w:val="-3"/>
          <w:szCs w:val="22"/>
        </w:rPr>
        <w:t>a</w:t>
      </w:r>
      <w:r>
        <w:rPr>
          <w:spacing w:val="1"/>
          <w:szCs w:val="22"/>
        </w:rPr>
        <w:t>t</w:t>
      </w:r>
      <w:r>
        <w:rPr>
          <w:spacing w:val="-2"/>
          <w:szCs w:val="22"/>
        </w:rPr>
        <w:t>i</w:t>
      </w:r>
      <w:r>
        <w:rPr>
          <w:szCs w:val="22"/>
        </w:rPr>
        <w:t>că</w:t>
      </w:r>
      <w:r>
        <w:rPr>
          <w:spacing w:val="-2"/>
          <w:szCs w:val="22"/>
        </w:rPr>
        <w:t xml:space="preserve"> </w:t>
      </w:r>
      <w:r>
        <w:rPr>
          <w:szCs w:val="22"/>
        </w:rPr>
        <w:t>for</w:t>
      </w:r>
      <w:r>
        <w:rPr>
          <w:spacing w:val="-4"/>
          <w:szCs w:val="22"/>
        </w:rPr>
        <w:t>m</w:t>
      </w:r>
      <w:r>
        <w:rPr>
          <w:szCs w:val="22"/>
        </w:rPr>
        <w:t>a po</w:t>
      </w:r>
      <w:r>
        <w:rPr>
          <w:spacing w:val="-2"/>
          <w:szCs w:val="22"/>
        </w:rPr>
        <w:t>l</w:t>
      </w:r>
      <w:r>
        <w:rPr>
          <w:spacing w:val="1"/>
          <w:szCs w:val="22"/>
        </w:rPr>
        <w:t>i</w:t>
      </w:r>
      <w:r>
        <w:rPr>
          <w:szCs w:val="22"/>
        </w:rPr>
        <w:t>a</w:t>
      </w:r>
      <w:r>
        <w:rPr>
          <w:spacing w:val="-2"/>
          <w:szCs w:val="22"/>
        </w:rPr>
        <w:t>r</w:t>
      </w:r>
      <w:r>
        <w:rPr>
          <w:spacing w:val="1"/>
          <w:szCs w:val="22"/>
        </w:rPr>
        <w:t>t</w:t>
      </w:r>
      <w:r>
        <w:rPr>
          <w:spacing w:val="-2"/>
          <w:szCs w:val="22"/>
        </w:rPr>
        <w:t>i</w:t>
      </w:r>
      <w:r>
        <w:rPr>
          <w:szCs w:val="22"/>
        </w:rPr>
        <w:t>cu</w:t>
      </w:r>
      <w:r>
        <w:rPr>
          <w:spacing w:val="1"/>
          <w:szCs w:val="22"/>
        </w:rPr>
        <w:t>l</w:t>
      </w:r>
      <w:r>
        <w:rPr>
          <w:spacing w:val="-3"/>
          <w:szCs w:val="22"/>
        </w:rPr>
        <w:t>a</w:t>
      </w:r>
      <w:r>
        <w:rPr>
          <w:szCs w:val="22"/>
        </w:rPr>
        <w:t xml:space="preserve">ră, </w:t>
      </w:r>
      <w:r>
        <w:rPr>
          <w:spacing w:val="-3"/>
          <w:szCs w:val="22"/>
        </w:rPr>
        <w:t>b</w:t>
      </w:r>
      <w:r>
        <w:rPr>
          <w:szCs w:val="22"/>
        </w:rPr>
        <w:t>oa</w:t>
      </w:r>
      <w:r>
        <w:rPr>
          <w:spacing w:val="-2"/>
          <w:szCs w:val="22"/>
        </w:rPr>
        <w:t>l</w:t>
      </w:r>
      <w:r>
        <w:rPr>
          <w:szCs w:val="22"/>
        </w:rPr>
        <w:t xml:space="preserve">ă </w:t>
      </w:r>
      <w:r>
        <w:rPr>
          <w:spacing w:val="-1"/>
          <w:szCs w:val="22"/>
        </w:rPr>
        <w:t>C</w:t>
      </w:r>
      <w:r>
        <w:rPr>
          <w:szCs w:val="22"/>
        </w:rPr>
        <w:t>ro</w:t>
      </w:r>
      <w:r>
        <w:rPr>
          <w:spacing w:val="-3"/>
          <w:szCs w:val="22"/>
        </w:rPr>
        <w:t>h</w:t>
      </w:r>
      <w:r>
        <w:rPr>
          <w:szCs w:val="22"/>
        </w:rPr>
        <w:t>n, c</w:t>
      </w:r>
      <w:r>
        <w:rPr>
          <w:spacing w:val="-3"/>
          <w:szCs w:val="22"/>
        </w:rPr>
        <w:t>o</w:t>
      </w:r>
      <w:r>
        <w:rPr>
          <w:spacing w:val="1"/>
          <w:szCs w:val="22"/>
        </w:rPr>
        <w:t>l</w:t>
      </w:r>
      <w:r>
        <w:rPr>
          <w:spacing w:val="-2"/>
          <w:szCs w:val="22"/>
        </w:rPr>
        <w:t>i</w:t>
      </w:r>
      <w:r>
        <w:rPr>
          <w:spacing w:val="1"/>
          <w:szCs w:val="22"/>
        </w:rPr>
        <w:t>t</w:t>
      </w:r>
      <w:r>
        <w:rPr>
          <w:szCs w:val="22"/>
        </w:rPr>
        <w:t>ă</w:t>
      </w:r>
      <w:r>
        <w:rPr>
          <w:spacing w:val="-2"/>
          <w:szCs w:val="22"/>
        </w:rPr>
        <w:t xml:space="preserve"> </w:t>
      </w:r>
      <w:r>
        <w:rPr>
          <w:szCs w:val="22"/>
        </w:rPr>
        <w:t>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 xml:space="preserve">ă </w:t>
      </w:r>
      <w:r>
        <w:rPr>
          <w:spacing w:val="-2"/>
          <w:szCs w:val="22"/>
        </w:rPr>
        <w:t xml:space="preserve">şi </w:t>
      </w:r>
      <w:r>
        <w:rPr>
          <w:szCs w:val="22"/>
        </w:rPr>
        <w:t>h</w:t>
      </w:r>
      <w:r>
        <w:rPr>
          <w:spacing w:val="1"/>
          <w:szCs w:val="22"/>
        </w:rPr>
        <w:t>i</w:t>
      </w:r>
      <w:r>
        <w:rPr>
          <w:szCs w:val="22"/>
        </w:rPr>
        <w:t>dr</w:t>
      </w:r>
      <w:r>
        <w:rPr>
          <w:spacing w:val="-3"/>
          <w:szCs w:val="22"/>
        </w:rPr>
        <w:t>o</w:t>
      </w:r>
      <w:r>
        <w:rPr>
          <w:szCs w:val="22"/>
        </w:rPr>
        <w:t>sa</w:t>
      </w:r>
      <w:r>
        <w:rPr>
          <w:spacing w:val="-3"/>
          <w:szCs w:val="22"/>
        </w:rPr>
        <w:t>d</w:t>
      </w:r>
      <w:r>
        <w:rPr>
          <w:szCs w:val="22"/>
        </w:rPr>
        <w:t>en</w:t>
      </w:r>
      <w:r>
        <w:rPr>
          <w:spacing w:val="-2"/>
          <w:szCs w:val="22"/>
        </w:rPr>
        <w:t>i</w:t>
      </w:r>
      <w:r>
        <w:rPr>
          <w:spacing w:val="1"/>
          <w:szCs w:val="22"/>
        </w:rPr>
        <w:t>t</w:t>
      </w:r>
      <w:r>
        <w:rPr>
          <w:szCs w:val="22"/>
        </w:rPr>
        <w:t>ă</w:t>
      </w:r>
      <w:r>
        <w:rPr>
          <w:spacing w:val="-2"/>
          <w:szCs w:val="22"/>
        </w:rPr>
        <w:t xml:space="preserve"> </w:t>
      </w:r>
      <w:r>
        <w:rPr>
          <w:szCs w:val="22"/>
        </w:rPr>
        <w:t>sup</w:t>
      </w:r>
      <w:r>
        <w:rPr>
          <w:spacing w:val="-3"/>
          <w:szCs w:val="22"/>
        </w:rPr>
        <w:t>u</w:t>
      </w:r>
      <w:r>
        <w:rPr>
          <w:szCs w:val="22"/>
        </w:rPr>
        <w:t>ra</w:t>
      </w:r>
      <w:r>
        <w:rPr>
          <w:spacing w:val="-2"/>
          <w:szCs w:val="22"/>
        </w:rPr>
        <w:t>t</w:t>
      </w:r>
      <w:r>
        <w:rPr>
          <w:spacing w:val="1"/>
          <w:szCs w:val="22"/>
        </w:rPr>
        <w:t>i</w:t>
      </w:r>
      <w:r>
        <w:rPr>
          <w:spacing w:val="-3"/>
          <w:szCs w:val="22"/>
        </w:rPr>
        <w:t>v</w:t>
      </w:r>
      <w:r>
        <w:rPr>
          <w:szCs w:val="22"/>
        </w:rPr>
        <w:t>ă s</w:t>
      </w:r>
      <w:r>
        <w:rPr>
          <w:spacing w:val="-2"/>
          <w:szCs w:val="22"/>
        </w:rPr>
        <w:t>-</w:t>
      </w:r>
      <w:r>
        <w:rPr>
          <w:szCs w:val="22"/>
        </w:rPr>
        <w:t>a obs</w:t>
      </w:r>
      <w:r>
        <w:rPr>
          <w:spacing w:val="-3"/>
          <w:szCs w:val="22"/>
        </w:rPr>
        <w:t>e</w:t>
      </w:r>
      <w:r>
        <w:rPr>
          <w:szCs w:val="22"/>
        </w:rPr>
        <w:t>r</w:t>
      </w:r>
      <w:r>
        <w:rPr>
          <w:spacing w:val="-3"/>
          <w:szCs w:val="22"/>
        </w:rPr>
        <w:t>v</w:t>
      </w:r>
      <w:r>
        <w:rPr>
          <w:szCs w:val="22"/>
        </w:rPr>
        <w:t>at</w:t>
      </w:r>
      <w:r>
        <w:rPr>
          <w:spacing w:val="1"/>
          <w:szCs w:val="22"/>
        </w:rPr>
        <w:t xml:space="preserve"> </w:t>
      </w:r>
      <w:r>
        <w:rPr>
          <w:szCs w:val="22"/>
        </w:rPr>
        <w:t xml:space="preserve">o </w:t>
      </w:r>
      <w:r>
        <w:rPr>
          <w:spacing w:val="-2"/>
          <w:szCs w:val="22"/>
        </w:rPr>
        <w:t>s</w:t>
      </w:r>
      <w:r>
        <w:rPr>
          <w:szCs w:val="22"/>
        </w:rPr>
        <w:t>că</w:t>
      </w:r>
      <w:r>
        <w:rPr>
          <w:spacing w:val="-3"/>
          <w:szCs w:val="22"/>
        </w:rPr>
        <w:t>d</w:t>
      </w:r>
      <w:r>
        <w:rPr>
          <w:szCs w:val="22"/>
        </w:rPr>
        <w:t>ere</w:t>
      </w:r>
      <w:r>
        <w:rPr>
          <w:spacing w:val="-2"/>
          <w:szCs w:val="22"/>
        </w:rPr>
        <w:t xml:space="preserve"> </w:t>
      </w:r>
      <w:r>
        <w:rPr>
          <w:szCs w:val="22"/>
        </w:rPr>
        <w:t>ra</w:t>
      </w:r>
      <w:r>
        <w:rPr>
          <w:spacing w:val="-3"/>
          <w:szCs w:val="22"/>
        </w:rPr>
        <w:t>p</w:t>
      </w:r>
      <w:r>
        <w:rPr>
          <w:spacing w:val="1"/>
          <w:szCs w:val="22"/>
        </w:rPr>
        <w:t>i</w:t>
      </w:r>
      <w:r>
        <w:rPr>
          <w:szCs w:val="22"/>
        </w:rPr>
        <w:t>dă</w:t>
      </w:r>
      <w:r>
        <w:rPr>
          <w:spacing w:val="-2"/>
          <w:szCs w:val="22"/>
        </w:rPr>
        <w:t xml:space="preserve"> </w:t>
      </w:r>
      <w:r>
        <w:rPr>
          <w:szCs w:val="22"/>
        </w:rPr>
        <w:t xml:space="preserve">a </w:t>
      </w:r>
      <w:r>
        <w:rPr>
          <w:spacing w:val="-3"/>
          <w:szCs w:val="22"/>
        </w:rPr>
        <w:t>v</w:t>
      </w:r>
      <w:r>
        <w:rPr>
          <w:szCs w:val="22"/>
        </w:rPr>
        <w:t>a</w:t>
      </w:r>
      <w:r>
        <w:rPr>
          <w:spacing w:val="1"/>
          <w:szCs w:val="22"/>
        </w:rPr>
        <w:t>l</w:t>
      </w:r>
      <w:r>
        <w:rPr>
          <w:szCs w:val="22"/>
        </w:rPr>
        <w:t>o</w:t>
      </w:r>
      <w:r>
        <w:rPr>
          <w:spacing w:val="-2"/>
          <w:szCs w:val="22"/>
        </w:rPr>
        <w:t>r</w:t>
      </w:r>
      <w:r>
        <w:rPr>
          <w:spacing w:val="1"/>
          <w:szCs w:val="22"/>
        </w:rPr>
        <w:t>il</w:t>
      </w:r>
      <w:r>
        <w:rPr>
          <w:spacing w:val="-3"/>
          <w:szCs w:val="22"/>
        </w:rPr>
        <w:t>o</w:t>
      </w:r>
      <w:r>
        <w:rPr>
          <w:szCs w:val="22"/>
        </w:rPr>
        <w:t>r</w:t>
      </w:r>
      <w:r>
        <w:rPr>
          <w:spacing w:val="1"/>
          <w:szCs w:val="22"/>
        </w:rPr>
        <w:t xml:space="preserve"> </w:t>
      </w:r>
      <w:r>
        <w:rPr>
          <w:spacing w:val="-1"/>
          <w:szCs w:val="22"/>
        </w:rPr>
        <w:t>PC</w:t>
      </w:r>
      <w:r>
        <w:rPr>
          <w:szCs w:val="22"/>
        </w:rPr>
        <w:t>R</w:t>
      </w:r>
      <w:r>
        <w:rPr>
          <w:spacing w:val="-1"/>
          <w:szCs w:val="22"/>
        </w:rPr>
        <w:t xml:space="preserve"> </w:t>
      </w:r>
      <w:r>
        <w:rPr>
          <w:szCs w:val="22"/>
        </w:rPr>
        <w:t>după</w:t>
      </w:r>
      <w:r>
        <w:rPr>
          <w:spacing w:val="-2"/>
          <w:szCs w:val="22"/>
        </w:rPr>
        <w:t xml:space="preserve"> </w:t>
      </w:r>
      <w:r>
        <w:rPr>
          <w:spacing w:val="1"/>
          <w:szCs w:val="22"/>
        </w:rPr>
        <w:t>t</w:t>
      </w:r>
      <w:r>
        <w:rPr>
          <w:spacing w:val="-2"/>
          <w:szCs w:val="22"/>
        </w:rPr>
        <w:t>r</w:t>
      </w:r>
      <w:r>
        <w:rPr>
          <w:szCs w:val="22"/>
        </w:rPr>
        <w:t>a</w:t>
      </w:r>
      <w:r>
        <w:rPr>
          <w:spacing w:val="-2"/>
          <w:szCs w:val="22"/>
        </w:rPr>
        <w:t>t</w:t>
      </w:r>
      <w:r>
        <w:rPr>
          <w:spacing w:val="-3"/>
          <w:szCs w:val="22"/>
        </w:rPr>
        <w:t>a</w:t>
      </w:r>
      <w:r>
        <w:rPr>
          <w:spacing w:val="-4"/>
          <w:szCs w:val="22"/>
        </w:rPr>
        <w:t>m</w:t>
      </w:r>
      <w:r>
        <w:rPr>
          <w:szCs w:val="22"/>
        </w:rPr>
        <w:t>en</w:t>
      </w:r>
      <w:r>
        <w:rPr>
          <w:spacing w:val="1"/>
          <w:szCs w:val="22"/>
        </w:rPr>
        <w:t>t</w:t>
      </w:r>
      <w:r>
        <w:rPr>
          <w:szCs w:val="22"/>
        </w:rPr>
        <w:t>ul</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1"/>
          <w:szCs w:val="22"/>
        </w:rPr>
        <w:t>L</w:t>
      </w:r>
      <w:r>
        <w:rPr>
          <w:szCs w:val="22"/>
        </w:rPr>
        <w:t>a 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cu b</w:t>
      </w:r>
      <w:r>
        <w:rPr>
          <w:spacing w:val="-3"/>
          <w:szCs w:val="22"/>
        </w:rPr>
        <w:t>o</w:t>
      </w:r>
      <w:r>
        <w:rPr>
          <w:szCs w:val="22"/>
        </w:rPr>
        <w:t>a</w:t>
      </w:r>
      <w:r>
        <w:rPr>
          <w:spacing w:val="1"/>
          <w:szCs w:val="22"/>
        </w:rPr>
        <w:t>l</w:t>
      </w:r>
      <w:r>
        <w:rPr>
          <w:szCs w:val="22"/>
        </w:rPr>
        <w:t>ă</w:t>
      </w:r>
      <w:r>
        <w:rPr>
          <w:spacing w:val="-2"/>
          <w:szCs w:val="22"/>
        </w:rPr>
        <w:t xml:space="preserve"> </w:t>
      </w:r>
      <w:r>
        <w:rPr>
          <w:spacing w:val="-1"/>
          <w:szCs w:val="22"/>
        </w:rPr>
        <w:t>C</w:t>
      </w:r>
      <w:r>
        <w:rPr>
          <w:szCs w:val="22"/>
        </w:rPr>
        <w:t>rohn,</w:t>
      </w:r>
      <w:r>
        <w:rPr>
          <w:spacing w:val="-3"/>
          <w:szCs w:val="22"/>
        </w:rPr>
        <w:t xml:space="preserve"> </w:t>
      </w:r>
      <w:r>
        <w:rPr>
          <w:szCs w:val="22"/>
        </w:rPr>
        <w:t>a</w:t>
      </w:r>
      <w:r>
        <w:rPr>
          <w:spacing w:val="-2"/>
          <w:szCs w:val="22"/>
        </w:rPr>
        <w:t xml:space="preserve"> </w:t>
      </w:r>
      <w:r>
        <w:rPr>
          <w:szCs w:val="22"/>
        </w:rPr>
        <w:t>fost</w:t>
      </w:r>
      <w:r>
        <w:rPr>
          <w:spacing w:val="-2"/>
          <w:szCs w:val="22"/>
        </w:rPr>
        <w:t xml:space="preserve"> </w:t>
      </w:r>
      <w:r>
        <w:rPr>
          <w:szCs w:val="22"/>
        </w:rPr>
        <w:t>ob</w:t>
      </w:r>
      <w:r>
        <w:rPr>
          <w:spacing w:val="-2"/>
          <w:szCs w:val="22"/>
        </w:rPr>
        <w:t>s</w:t>
      </w:r>
      <w:r>
        <w:rPr>
          <w:szCs w:val="22"/>
        </w:rPr>
        <w:t>er</w:t>
      </w:r>
      <w:r>
        <w:rPr>
          <w:spacing w:val="-3"/>
          <w:szCs w:val="22"/>
        </w:rPr>
        <w:t>v</w:t>
      </w:r>
      <w:r>
        <w:rPr>
          <w:szCs w:val="22"/>
        </w:rPr>
        <w:t>a</w:t>
      </w:r>
      <w:r>
        <w:rPr>
          <w:spacing w:val="1"/>
          <w:szCs w:val="22"/>
        </w:rPr>
        <w:t>t</w:t>
      </w:r>
      <w:r>
        <w:rPr>
          <w:szCs w:val="22"/>
        </w:rPr>
        <w:t>ă</w:t>
      </w:r>
      <w:r>
        <w:rPr>
          <w:spacing w:val="-2"/>
          <w:szCs w:val="22"/>
        </w:rPr>
        <w:t xml:space="preserve"> </w:t>
      </w:r>
      <w:r>
        <w:rPr>
          <w:szCs w:val="22"/>
        </w:rPr>
        <w:t>o s</w:t>
      </w:r>
      <w:r>
        <w:rPr>
          <w:spacing w:val="-3"/>
          <w:szCs w:val="22"/>
        </w:rPr>
        <w:t>c</w:t>
      </w:r>
      <w:r>
        <w:rPr>
          <w:szCs w:val="22"/>
        </w:rPr>
        <w:t>ăd</w:t>
      </w:r>
      <w:r>
        <w:rPr>
          <w:spacing w:val="-3"/>
          <w:szCs w:val="22"/>
        </w:rPr>
        <w:t>e</w:t>
      </w:r>
      <w:r>
        <w:rPr>
          <w:szCs w:val="22"/>
        </w:rPr>
        <w:t xml:space="preserve">re a </w:t>
      </w:r>
      <w:r>
        <w:rPr>
          <w:spacing w:val="-3"/>
          <w:szCs w:val="22"/>
        </w:rPr>
        <w:t>n</w:t>
      </w:r>
      <w:r>
        <w:rPr>
          <w:szCs w:val="22"/>
        </w:rPr>
        <w:t>u</w:t>
      </w:r>
      <w:r>
        <w:rPr>
          <w:spacing w:val="-4"/>
          <w:szCs w:val="22"/>
        </w:rPr>
        <w:t>m</w:t>
      </w:r>
      <w:r>
        <w:rPr>
          <w:szCs w:val="22"/>
        </w:rPr>
        <w:t>ăru</w:t>
      </w:r>
      <w:r>
        <w:rPr>
          <w:spacing w:val="1"/>
          <w:szCs w:val="22"/>
        </w:rPr>
        <w:t>l</w:t>
      </w:r>
      <w:r>
        <w:rPr>
          <w:szCs w:val="22"/>
        </w:rPr>
        <w:t>ui</w:t>
      </w:r>
      <w:r>
        <w:rPr>
          <w:spacing w:val="1"/>
          <w:szCs w:val="22"/>
        </w:rPr>
        <w:t xml:space="preserve"> </w:t>
      </w:r>
      <w:r>
        <w:rPr>
          <w:spacing w:val="-3"/>
          <w:szCs w:val="22"/>
        </w:rPr>
        <w:t>d</w:t>
      </w:r>
      <w:r>
        <w:rPr>
          <w:szCs w:val="22"/>
        </w:rPr>
        <w:t>e c</w:t>
      </w:r>
      <w:r>
        <w:rPr>
          <w:spacing w:val="-3"/>
          <w:szCs w:val="22"/>
        </w:rPr>
        <w:t>e</w:t>
      </w:r>
      <w:r>
        <w:rPr>
          <w:spacing w:val="1"/>
          <w:szCs w:val="22"/>
        </w:rPr>
        <w:t>l</w:t>
      </w:r>
      <w:r>
        <w:rPr>
          <w:spacing w:val="-3"/>
          <w:szCs w:val="22"/>
        </w:rPr>
        <w:t>u</w:t>
      </w:r>
      <w:r>
        <w:rPr>
          <w:spacing w:val="1"/>
          <w:szCs w:val="22"/>
        </w:rPr>
        <w:t>l</w:t>
      </w:r>
      <w:r>
        <w:rPr>
          <w:szCs w:val="22"/>
        </w:rPr>
        <w:t xml:space="preserve">e </w:t>
      </w:r>
      <w:r>
        <w:rPr>
          <w:spacing w:val="-3"/>
          <w:szCs w:val="22"/>
        </w:rPr>
        <w:t>c</w:t>
      </w:r>
      <w:r>
        <w:rPr>
          <w:szCs w:val="22"/>
        </w:rPr>
        <w:t>are</w:t>
      </w:r>
      <w:r>
        <w:rPr>
          <w:spacing w:val="-2"/>
          <w:szCs w:val="22"/>
        </w:rPr>
        <w:t xml:space="preserve"> </w:t>
      </w:r>
      <w:r>
        <w:rPr>
          <w:szCs w:val="22"/>
        </w:rPr>
        <w:t>ex</w:t>
      </w:r>
      <w:r>
        <w:rPr>
          <w:spacing w:val="-3"/>
          <w:szCs w:val="22"/>
        </w:rPr>
        <w:t>p</w:t>
      </w:r>
      <w:r>
        <w:rPr>
          <w:szCs w:val="22"/>
        </w:rPr>
        <w:t>r</w:t>
      </w:r>
      <w:r>
        <w:rPr>
          <w:spacing w:val="1"/>
          <w:szCs w:val="22"/>
        </w:rPr>
        <w:t>i</w:t>
      </w:r>
      <w:r>
        <w:rPr>
          <w:spacing w:val="-4"/>
          <w:szCs w:val="22"/>
        </w:rPr>
        <w:t>m</w:t>
      </w:r>
      <w:r>
        <w:rPr>
          <w:szCs w:val="22"/>
        </w:rPr>
        <w:t xml:space="preserve">ă </w:t>
      </w:r>
      <w:r>
        <w:rPr>
          <w:spacing w:val="-4"/>
          <w:szCs w:val="22"/>
        </w:rPr>
        <w:t>m</w:t>
      </w:r>
      <w:r>
        <w:rPr>
          <w:szCs w:val="22"/>
        </w:rPr>
        <w:t>ar</w:t>
      </w:r>
      <w:r>
        <w:rPr>
          <w:spacing w:val="-3"/>
          <w:szCs w:val="22"/>
        </w:rPr>
        <w:t>k</w:t>
      </w:r>
      <w:r>
        <w:rPr>
          <w:szCs w:val="22"/>
        </w:rPr>
        <w:t>er</w:t>
      </w:r>
      <w:r>
        <w:rPr>
          <w:spacing w:val="1"/>
          <w:szCs w:val="22"/>
        </w:rPr>
        <w:t>i</w:t>
      </w:r>
      <w:r>
        <w:rPr>
          <w:szCs w:val="22"/>
        </w:rPr>
        <w:t xml:space="preserve">i </w:t>
      </w:r>
      <w:r>
        <w:rPr>
          <w:spacing w:val="1"/>
          <w:szCs w:val="22"/>
        </w:rPr>
        <w:t>i</w:t>
      </w:r>
      <w:r>
        <w:rPr>
          <w:szCs w:val="22"/>
        </w:rPr>
        <w:t>n</w:t>
      </w:r>
      <w:r>
        <w:rPr>
          <w:spacing w:val="-2"/>
          <w:szCs w:val="22"/>
        </w:rPr>
        <w:t>f</w:t>
      </w:r>
      <w:r>
        <w:rPr>
          <w:spacing w:val="1"/>
          <w:szCs w:val="22"/>
        </w:rPr>
        <w:t>l</w:t>
      </w:r>
      <w:r>
        <w:rPr>
          <w:szCs w:val="22"/>
        </w:rPr>
        <w:t>a</w:t>
      </w:r>
      <w:r>
        <w:rPr>
          <w:spacing w:val="-4"/>
          <w:szCs w:val="22"/>
        </w:rPr>
        <w:t>m</w:t>
      </w:r>
      <w:r>
        <w:rPr>
          <w:szCs w:val="22"/>
        </w:rPr>
        <w:t>a</w:t>
      </w:r>
      <w:r>
        <w:rPr>
          <w:spacing w:val="1"/>
          <w:szCs w:val="22"/>
        </w:rPr>
        <w:t>ţi</w:t>
      </w:r>
      <w:r>
        <w:rPr>
          <w:spacing w:val="-3"/>
          <w:szCs w:val="22"/>
        </w:rPr>
        <w:t>e</w:t>
      </w:r>
      <w:r>
        <w:rPr>
          <w:szCs w:val="22"/>
        </w:rPr>
        <w:t>i</w:t>
      </w:r>
      <w:r>
        <w:rPr>
          <w:spacing w:val="-2"/>
          <w:szCs w:val="22"/>
        </w:rPr>
        <w:t xml:space="preserve"> </w:t>
      </w:r>
      <w:r>
        <w:rPr>
          <w:spacing w:val="1"/>
          <w:szCs w:val="22"/>
        </w:rPr>
        <w:t>l</w:t>
      </w:r>
      <w:r>
        <w:rPr>
          <w:szCs w:val="22"/>
        </w:rPr>
        <w:t xml:space="preserve">a </w:t>
      </w:r>
      <w:r>
        <w:rPr>
          <w:spacing w:val="-3"/>
          <w:szCs w:val="22"/>
        </w:rPr>
        <w:t>n</w:t>
      </w:r>
      <w:r>
        <w:rPr>
          <w:spacing w:val="1"/>
          <w:szCs w:val="22"/>
        </w:rPr>
        <w:t>i</w:t>
      </w:r>
      <w:r>
        <w:rPr>
          <w:spacing w:val="-3"/>
          <w:szCs w:val="22"/>
        </w:rPr>
        <w:t>v</w:t>
      </w:r>
      <w:r>
        <w:rPr>
          <w:szCs w:val="22"/>
        </w:rPr>
        <w:t>e</w:t>
      </w:r>
      <w:r>
        <w:rPr>
          <w:spacing w:val="1"/>
          <w:szCs w:val="22"/>
        </w:rPr>
        <w:t>l</w:t>
      </w:r>
      <w:r>
        <w:rPr>
          <w:szCs w:val="22"/>
        </w:rPr>
        <w:t>ul</w:t>
      </w:r>
      <w:r>
        <w:rPr>
          <w:spacing w:val="-2"/>
          <w:szCs w:val="22"/>
        </w:rPr>
        <w:t xml:space="preserve"> </w:t>
      </w:r>
      <w:r>
        <w:rPr>
          <w:szCs w:val="22"/>
        </w:rPr>
        <w:t>co</w:t>
      </w:r>
      <w:r>
        <w:rPr>
          <w:spacing w:val="-2"/>
          <w:szCs w:val="22"/>
        </w:rPr>
        <w:t>l</w:t>
      </w:r>
      <w:r>
        <w:rPr>
          <w:szCs w:val="22"/>
        </w:rPr>
        <w:t>o</w:t>
      </w:r>
      <w:r>
        <w:rPr>
          <w:spacing w:val="-3"/>
          <w:szCs w:val="22"/>
        </w:rPr>
        <w:t>n</w:t>
      </w:r>
      <w:r>
        <w:rPr>
          <w:szCs w:val="22"/>
        </w:rPr>
        <w:t>u</w:t>
      </w:r>
      <w:r>
        <w:rPr>
          <w:spacing w:val="1"/>
          <w:szCs w:val="22"/>
        </w:rPr>
        <w:t>l</w:t>
      </w:r>
      <w:r>
        <w:rPr>
          <w:szCs w:val="22"/>
        </w:rPr>
        <w:t>u</w:t>
      </w:r>
      <w:r>
        <w:rPr>
          <w:spacing w:val="1"/>
          <w:szCs w:val="22"/>
        </w:rPr>
        <w:t>i</w:t>
      </w:r>
      <w:r>
        <w:rPr>
          <w:szCs w:val="22"/>
        </w:rPr>
        <w:t>,</w:t>
      </w:r>
      <w:r>
        <w:rPr>
          <w:spacing w:val="-3"/>
          <w:szCs w:val="22"/>
        </w:rPr>
        <w:t xml:space="preserve"> </w:t>
      </w:r>
      <w:r>
        <w:rPr>
          <w:spacing w:val="1"/>
          <w:szCs w:val="22"/>
        </w:rPr>
        <w:t>i</w:t>
      </w:r>
      <w:r>
        <w:rPr>
          <w:spacing w:val="-3"/>
          <w:szCs w:val="22"/>
        </w:rPr>
        <w:t>n</w:t>
      </w:r>
      <w:r>
        <w:rPr>
          <w:szCs w:val="22"/>
        </w:rPr>
        <w:t>c</w:t>
      </w:r>
      <w:r>
        <w:rPr>
          <w:spacing w:val="1"/>
          <w:szCs w:val="22"/>
        </w:rPr>
        <w:t>l</w:t>
      </w:r>
      <w:r>
        <w:rPr>
          <w:spacing w:val="-4"/>
          <w:szCs w:val="22"/>
        </w:rPr>
        <w:t>u</w:t>
      </w:r>
      <w:r>
        <w:rPr>
          <w:szCs w:val="22"/>
        </w:rPr>
        <w:t>s</w:t>
      </w:r>
      <w:r>
        <w:rPr>
          <w:spacing w:val="1"/>
          <w:szCs w:val="22"/>
        </w:rPr>
        <w:t>i</w:t>
      </w:r>
      <w:r>
        <w:rPr>
          <w:szCs w:val="22"/>
        </w:rPr>
        <w:t>v</w:t>
      </w:r>
      <w:r>
        <w:rPr>
          <w:spacing w:val="-3"/>
          <w:szCs w:val="22"/>
        </w:rPr>
        <w:t xml:space="preserve"> </w:t>
      </w:r>
      <w:r>
        <w:rPr>
          <w:szCs w:val="22"/>
        </w:rPr>
        <w:t>o s</w:t>
      </w:r>
      <w:r>
        <w:rPr>
          <w:spacing w:val="-3"/>
          <w:szCs w:val="22"/>
        </w:rPr>
        <w:t>c</w:t>
      </w:r>
      <w:r>
        <w:rPr>
          <w:szCs w:val="22"/>
        </w:rPr>
        <w:t>ăde</w:t>
      </w:r>
      <w:r>
        <w:rPr>
          <w:spacing w:val="-2"/>
          <w:szCs w:val="22"/>
        </w:rPr>
        <w:t>r</w:t>
      </w:r>
      <w:r>
        <w:rPr>
          <w:szCs w:val="22"/>
        </w:rPr>
        <w:t xml:space="preserve">e </w:t>
      </w:r>
      <w:r>
        <w:rPr>
          <w:spacing w:val="-2"/>
          <w:szCs w:val="22"/>
        </w:rPr>
        <w:t>s</w:t>
      </w:r>
      <w:r>
        <w:rPr>
          <w:szCs w:val="22"/>
        </w:rPr>
        <w:t>e</w:t>
      </w:r>
      <w:r>
        <w:rPr>
          <w:spacing w:val="-2"/>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pacing w:val="-3"/>
          <w:szCs w:val="22"/>
        </w:rPr>
        <w:t>v</w:t>
      </w:r>
      <w:r>
        <w:rPr>
          <w:szCs w:val="22"/>
        </w:rPr>
        <w:t>ă a</w:t>
      </w:r>
      <w:r>
        <w:rPr>
          <w:spacing w:val="-2"/>
          <w:szCs w:val="22"/>
        </w:rPr>
        <w:t xml:space="preserve"> </w:t>
      </w:r>
      <w:r>
        <w:rPr>
          <w:szCs w:val="22"/>
        </w:rPr>
        <w:t>exp</w:t>
      </w:r>
      <w:r>
        <w:rPr>
          <w:spacing w:val="-2"/>
          <w:szCs w:val="22"/>
        </w:rPr>
        <w:t>r</w:t>
      </w:r>
      <w:r>
        <w:rPr>
          <w:spacing w:val="1"/>
          <w:szCs w:val="22"/>
        </w:rPr>
        <w:t>i</w:t>
      </w:r>
      <w:r>
        <w:rPr>
          <w:spacing w:val="-4"/>
          <w:szCs w:val="22"/>
        </w:rPr>
        <w:t>m</w:t>
      </w:r>
      <w:r>
        <w:rPr>
          <w:szCs w:val="22"/>
        </w:rPr>
        <w:t>ăr</w:t>
      </w:r>
      <w:r>
        <w:rPr>
          <w:spacing w:val="1"/>
          <w:szCs w:val="22"/>
        </w:rPr>
        <w:t>i</w:t>
      </w:r>
      <w:r>
        <w:rPr>
          <w:szCs w:val="22"/>
        </w:rPr>
        <w:t>i</w:t>
      </w:r>
      <w:r>
        <w:rPr>
          <w:spacing w:val="-4"/>
          <w:szCs w:val="22"/>
        </w:rPr>
        <w:t xml:space="preserve"> </w:t>
      </w:r>
      <w:r>
        <w:rPr>
          <w:spacing w:val="1"/>
          <w:szCs w:val="22"/>
        </w:rPr>
        <w:t>T</w:t>
      </w:r>
      <w:r>
        <w:rPr>
          <w:spacing w:val="-1"/>
          <w:szCs w:val="22"/>
        </w:rPr>
        <w:t>NFα</w:t>
      </w:r>
      <w:r>
        <w:rPr>
          <w:szCs w:val="22"/>
        </w:rPr>
        <w:t xml:space="preserve">. </w:t>
      </w:r>
      <w:r>
        <w:rPr>
          <w:spacing w:val="-1"/>
          <w:szCs w:val="22"/>
        </w:rPr>
        <w:lastRenderedPageBreak/>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xml:space="preserve">i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cu a</w:t>
      </w:r>
      <w:r>
        <w:rPr>
          <w:spacing w:val="-3"/>
          <w:szCs w:val="22"/>
        </w:rPr>
        <w:t>d</w:t>
      </w:r>
      <w:r>
        <w:rPr>
          <w:szCs w:val="22"/>
        </w:rPr>
        <w:t>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s</w:t>
      </w:r>
      <w:r>
        <w:rPr>
          <w:spacing w:val="1"/>
          <w:szCs w:val="22"/>
        </w:rPr>
        <w:t>t</w:t>
      </w:r>
      <w:r>
        <w:rPr>
          <w:szCs w:val="22"/>
        </w:rPr>
        <w:t>u</w:t>
      </w:r>
      <w:r>
        <w:rPr>
          <w:spacing w:val="-3"/>
          <w:szCs w:val="22"/>
        </w:rPr>
        <w:t>d</w:t>
      </w:r>
      <w:r>
        <w:rPr>
          <w:spacing w:val="-2"/>
          <w:szCs w:val="22"/>
        </w:rPr>
        <w:t>i</w:t>
      </w:r>
      <w:r>
        <w:rPr>
          <w:spacing w:val="1"/>
          <w:szCs w:val="22"/>
        </w:rPr>
        <w:t>il</w:t>
      </w:r>
      <w:r>
        <w:rPr>
          <w:szCs w:val="22"/>
        </w:rPr>
        <w:t>e</w:t>
      </w:r>
      <w:r>
        <w:rPr>
          <w:spacing w:val="-2"/>
          <w:szCs w:val="22"/>
        </w:rPr>
        <w:t xml:space="preserve"> </w:t>
      </w:r>
      <w:r>
        <w:rPr>
          <w:szCs w:val="22"/>
        </w:rPr>
        <w:t>end</w:t>
      </w:r>
      <w:r>
        <w:rPr>
          <w:spacing w:val="-3"/>
          <w:szCs w:val="22"/>
        </w:rPr>
        <w:t>o</w:t>
      </w:r>
      <w:r>
        <w:rPr>
          <w:szCs w:val="22"/>
        </w:rPr>
        <w:t>sco</w:t>
      </w:r>
      <w:r>
        <w:rPr>
          <w:spacing w:val="-3"/>
          <w:szCs w:val="22"/>
        </w:rPr>
        <w:t>p</w:t>
      </w:r>
      <w:r>
        <w:rPr>
          <w:spacing w:val="1"/>
          <w:szCs w:val="22"/>
        </w:rPr>
        <w:t>i</w:t>
      </w:r>
      <w:r>
        <w:rPr>
          <w:szCs w:val="22"/>
        </w:rPr>
        <w:t>ce</w:t>
      </w:r>
      <w:r>
        <w:rPr>
          <w:spacing w:val="-2"/>
          <w:szCs w:val="22"/>
        </w:rPr>
        <w:t xml:space="preserve"> </w:t>
      </w:r>
      <w:r>
        <w:rPr>
          <w:szCs w:val="22"/>
        </w:rPr>
        <w:t xml:space="preserve">pe </w:t>
      </w:r>
      <w:r>
        <w:rPr>
          <w:spacing w:val="-4"/>
          <w:szCs w:val="22"/>
        </w:rPr>
        <w:t>m</w:t>
      </w:r>
      <w:r>
        <w:rPr>
          <w:szCs w:val="22"/>
        </w:rPr>
        <w:t>ucoasa</w:t>
      </w:r>
      <w:r>
        <w:rPr>
          <w:spacing w:val="-2"/>
          <w:szCs w:val="22"/>
        </w:rPr>
        <w:t xml:space="preserve"> </w:t>
      </w:r>
      <w:r>
        <w:rPr>
          <w:spacing w:val="1"/>
          <w:szCs w:val="22"/>
        </w:rPr>
        <w:t>i</w:t>
      </w:r>
      <w:r>
        <w:rPr>
          <w:szCs w:val="22"/>
        </w:rPr>
        <w:t>n</w:t>
      </w:r>
      <w:r>
        <w:rPr>
          <w:spacing w:val="-2"/>
          <w:szCs w:val="22"/>
        </w:rPr>
        <w:t>t</w:t>
      </w:r>
      <w:r>
        <w:rPr>
          <w:szCs w:val="22"/>
        </w:rPr>
        <w:t>es</w:t>
      </w:r>
      <w:r>
        <w:rPr>
          <w:spacing w:val="-2"/>
          <w:szCs w:val="22"/>
        </w:rPr>
        <w:t>t</w:t>
      </w:r>
      <w:r>
        <w:rPr>
          <w:spacing w:val="1"/>
          <w:szCs w:val="22"/>
        </w:rPr>
        <w:t>i</w:t>
      </w:r>
      <w:r>
        <w:rPr>
          <w:szCs w:val="22"/>
        </w:rPr>
        <w:t>n</w:t>
      </w:r>
      <w:r>
        <w:rPr>
          <w:spacing w:val="-3"/>
          <w:szCs w:val="22"/>
        </w:rPr>
        <w:t>a</w:t>
      </w:r>
      <w:r>
        <w:rPr>
          <w:spacing w:val="1"/>
          <w:szCs w:val="22"/>
        </w:rPr>
        <w:t>l</w:t>
      </w:r>
      <w:r>
        <w:rPr>
          <w:szCs w:val="22"/>
        </w:rPr>
        <w:t>ă</w:t>
      </w:r>
      <w:r>
        <w:rPr>
          <w:spacing w:val="-2"/>
          <w:szCs w:val="22"/>
        </w:rPr>
        <w:t xml:space="preserve"> </w:t>
      </w:r>
      <w:r>
        <w:rPr>
          <w:szCs w:val="22"/>
        </w:rPr>
        <w:t>au p</w:t>
      </w:r>
      <w:r>
        <w:rPr>
          <w:spacing w:val="-3"/>
          <w:szCs w:val="22"/>
        </w:rPr>
        <w:t>u</w:t>
      </w:r>
      <w:r>
        <w:rPr>
          <w:szCs w:val="22"/>
        </w:rPr>
        <w:t xml:space="preserve">s </w:t>
      </w:r>
      <w:r>
        <w:rPr>
          <w:spacing w:val="1"/>
          <w:szCs w:val="22"/>
        </w:rPr>
        <w:t>î</w:t>
      </w:r>
      <w:r>
        <w:rPr>
          <w:szCs w:val="22"/>
        </w:rPr>
        <w:t>n</w:t>
      </w:r>
      <w:r>
        <w:rPr>
          <w:spacing w:val="-3"/>
          <w:szCs w:val="22"/>
        </w:rPr>
        <w:t xml:space="preserve"> </w:t>
      </w:r>
      <w:r>
        <w:rPr>
          <w:szCs w:val="22"/>
        </w:rPr>
        <w:t>e</w:t>
      </w:r>
      <w:r>
        <w:rPr>
          <w:spacing w:val="-3"/>
          <w:szCs w:val="22"/>
        </w:rPr>
        <w:t>v</w:t>
      </w:r>
      <w:r>
        <w:rPr>
          <w:spacing w:val="1"/>
          <w:szCs w:val="22"/>
        </w:rPr>
        <w:t>i</w:t>
      </w:r>
      <w:r>
        <w:rPr>
          <w:szCs w:val="22"/>
        </w:rPr>
        <w:t>de</w:t>
      </w:r>
      <w:r>
        <w:rPr>
          <w:spacing w:val="-3"/>
          <w:szCs w:val="22"/>
        </w:rPr>
        <w:t>n</w:t>
      </w:r>
      <w:r>
        <w:rPr>
          <w:spacing w:val="1"/>
          <w:szCs w:val="22"/>
        </w:rPr>
        <w:t>ţ</w:t>
      </w:r>
      <w:r>
        <w:rPr>
          <w:szCs w:val="22"/>
        </w:rPr>
        <w:t>ă do</w:t>
      </w:r>
      <w:r>
        <w:rPr>
          <w:spacing w:val="-3"/>
          <w:szCs w:val="22"/>
        </w:rPr>
        <w:t>v</w:t>
      </w:r>
      <w:r>
        <w:rPr>
          <w:szCs w:val="22"/>
        </w:rPr>
        <w:t>e</w:t>
      </w:r>
      <w:r>
        <w:rPr>
          <w:spacing w:val="-3"/>
          <w:szCs w:val="22"/>
        </w:rPr>
        <w:t>z</w:t>
      </w:r>
      <w:r>
        <w:rPr>
          <w:szCs w:val="22"/>
        </w:rPr>
        <w:t>i</w:t>
      </w:r>
      <w:r>
        <w:rPr>
          <w:spacing w:val="1"/>
          <w:szCs w:val="22"/>
        </w:rPr>
        <w:t xml:space="preserve"> </w:t>
      </w:r>
      <w:r>
        <w:rPr>
          <w:szCs w:val="22"/>
        </w:rPr>
        <w:t>a</w:t>
      </w:r>
      <w:r>
        <w:rPr>
          <w:spacing w:val="-2"/>
          <w:szCs w:val="22"/>
        </w:rPr>
        <w:t>l</w:t>
      </w:r>
      <w:r>
        <w:rPr>
          <w:szCs w:val="22"/>
        </w:rPr>
        <w:t xml:space="preserve">e </w:t>
      </w:r>
      <w:r>
        <w:rPr>
          <w:spacing w:val="-3"/>
          <w:szCs w:val="22"/>
        </w:rPr>
        <w:t>v</w:t>
      </w:r>
      <w:r>
        <w:rPr>
          <w:spacing w:val="1"/>
          <w:szCs w:val="22"/>
        </w:rPr>
        <w:t>i</w:t>
      </w:r>
      <w:r>
        <w:rPr>
          <w:szCs w:val="22"/>
        </w:rPr>
        <w:t>ndecă</w:t>
      </w:r>
      <w:r>
        <w:rPr>
          <w:spacing w:val="-2"/>
          <w:szCs w:val="22"/>
        </w:rPr>
        <w:t>r</w:t>
      </w:r>
      <w:r>
        <w:rPr>
          <w:spacing w:val="1"/>
          <w:szCs w:val="22"/>
        </w:rPr>
        <w:t>i</w:t>
      </w:r>
      <w:r>
        <w:rPr>
          <w:szCs w:val="22"/>
        </w:rPr>
        <w:t>i</w:t>
      </w:r>
      <w:r>
        <w:rPr>
          <w:spacing w:val="-2"/>
          <w:szCs w:val="22"/>
        </w:rPr>
        <w:t xml:space="preserve"> </w:t>
      </w:r>
      <w:r>
        <w:rPr>
          <w:spacing w:val="-4"/>
          <w:szCs w:val="22"/>
        </w:rPr>
        <w:t>m</w:t>
      </w:r>
      <w:r>
        <w:rPr>
          <w:szCs w:val="22"/>
        </w:rPr>
        <w:t>ucoase</w:t>
      </w:r>
      <w:r>
        <w:rPr>
          <w:spacing w:val="1"/>
          <w:szCs w:val="22"/>
        </w:rPr>
        <w:t>i</w:t>
      </w:r>
      <w:r>
        <w:rPr>
          <w:szCs w:val="22"/>
        </w:rPr>
        <w:t>.</w:t>
      </w:r>
    </w:p>
    <w:p w14:paraId="1A763F21" w14:textId="77777777" w:rsidR="00C04CAD" w:rsidRDefault="00C04CAD">
      <w:pPr>
        <w:autoSpaceDE w:val="0"/>
        <w:autoSpaceDN w:val="0"/>
        <w:adjustRightInd w:val="0"/>
        <w:spacing w:line="240" w:lineRule="auto"/>
        <w:rPr>
          <w:szCs w:val="22"/>
        </w:rPr>
      </w:pPr>
    </w:p>
    <w:p w14:paraId="45609B0C" w14:textId="77777777" w:rsidR="00C04CAD" w:rsidRDefault="00060E34">
      <w:pPr>
        <w:keepNext/>
        <w:autoSpaceDE w:val="0"/>
        <w:autoSpaceDN w:val="0"/>
        <w:adjustRightInd w:val="0"/>
        <w:spacing w:line="240" w:lineRule="auto"/>
        <w:rPr>
          <w:szCs w:val="22"/>
        </w:rPr>
      </w:pPr>
      <w:r>
        <w:rPr>
          <w:szCs w:val="22"/>
          <w:u w:val="single"/>
        </w:rPr>
        <w:t>Eficacitate și siguranță clinică</w:t>
      </w:r>
    </w:p>
    <w:p w14:paraId="2628EED5" w14:textId="77777777" w:rsidR="00C04CAD" w:rsidRDefault="00C04CAD">
      <w:pPr>
        <w:keepNext/>
        <w:autoSpaceDE w:val="0"/>
        <w:autoSpaceDN w:val="0"/>
        <w:adjustRightInd w:val="0"/>
        <w:spacing w:line="240" w:lineRule="auto"/>
        <w:rPr>
          <w:szCs w:val="22"/>
        </w:rPr>
      </w:pPr>
    </w:p>
    <w:p w14:paraId="0B5F2232" w14:textId="77777777" w:rsidR="00C04CAD" w:rsidRDefault="00060E34">
      <w:pPr>
        <w:keepNext/>
        <w:tabs>
          <w:tab w:val="clear" w:pos="567"/>
        </w:tabs>
        <w:kinsoku w:val="0"/>
        <w:overflowPunct w:val="0"/>
        <w:autoSpaceDE w:val="0"/>
        <w:autoSpaceDN w:val="0"/>
        <w:adjustRightInd w:val="0"/>
        <w:spacing w:line="240" w:lineRule="auto"/>
        <w:rPr>
          <w:szCs w:val="22"/>
        </w:rPr>
      </w:pPr>
      <w:r>
        <w:rPr>
          <w:i/>
          <w:spacing w:val="-1"/>
          <w:szCs w:val="22"/>
        </w:rPr>
        <w:t>P</w:t>
      </w:r>
      <w:r>
        <w:rPr>
          <w:i/>
          <w:szCs w:val="22"/>
        </w:rPr>
        <w:t>o</w:t>
      </w:r>
      <w:r>
        <w:rPr>
          <w:i/>
          <w:spacing w:val="1"/>
          <w:szCs w:val="22"/>
        </w:rPr>
        <w:t>li</w:t>
      </w:r>
      <w:r>
        <w:rPr>
          <w:i/>
          <w:spacing w:val="-3"/>
          <w:szCs w:val="22"/>
        </w:rPr>
        <w:t>a</w:t>
      </w:r>
      <w:r>
        <w:rPr>
          <w:i/>
          <w:szCs w:val="22"/>
        </w:rPr>
        <w:t>r</w:t>
      </w:r>
      <w:r>
        <w:rPr>
          <w:i/>
          <w:spacing w:val="-2"/>
          <w:szCs w:val="22"/>
        </w:rPr>
        <w:t>t</w:t>
      </w:r>
      <w:r>
        <w:rPr>
          <w:i/>
          <w:szCs w:val="22"/>
        </w:rPr>
        <w:t>r</w:t>
      </w:r>
      <w:r>
        <w:rPr>
          <w:i/>
          <w:spacing w:val="-2"/>
          <w:szCs w:val="22"/>
        </w:rPr>
        <w:t>i</w:t>
      </w:r>
      <w:r>
        <w:rPr>
          <w:i/>
          <w:spacing w:val="1"/>
          <w:szCs w:val="22"/>
        </w:rPr>
        <w:t>t</w:t>
      </w:r>
      <w:r>
        <w:rPr>
          <w:i/>
          <w:szCs w:val="22"/>
        </w:rPr>
        <w:t>ă</w:t>
      </w:r>
      <w:r>
        <w:rPr>
          <w:i/>
          <w:spacing w:val="-1"/>
          <w:szCs w:val="22"/>
        </w:rPr>
        <w:t xml:space="preserve"> </w:t>
      </w:r>
      <w:r>
        <w:rPr>
          <w:i/>
          <w:spacing w:val="-2"/>
          <w:szCs w:val="22"/>
        </w:rPr>
        <w:t>r</w:t>
      </w:r>
      <w:r>
        <w:rPr>
          <w:i/>
          <w:szCs w:val="22"/>
        </w:rPr>
        <w:t>eu</w:t>
      </w:r>
      <w:r>
        <w:rPr>
          <w:i/>
          <w:spacing w:val="-1"/>
          <w:szCs w:val="22"/>
        </w:rPr>
        <w:t>m</w:t>
      </w:r>
      <w:r>
        <w:rPr>
          <w:i/>
          <w:szCs w:val="22"/>
        </w:rPr>
        <w:t>a</w:t>
      </w:r>
      <w:r>
        <w:rPr>
          <w:i/>
          <w:spacing w:val="1"/>
          <w:szCs w:val="22"/>
        </w:rPr>
        <w:t>t</w:t>
      </w:r>
      <w:r>
        <w:rPr>
          <w:i/>
          <w:spacing w:val="-3"/>
          <w:szCs w:val="22"/>
        </w:rPr>
        <w:t>o</w:t>
      </w:r>
      <w:r>
        <w:rPr>
          <w:i/>
          <w:spacing w:val="1"/>
          <w:szCs w:val="22"/>
        </w:rPr>
        <w:t>i</w:t>
      </w:r>
      <w:r>
        <w:rPr>
          <w:i/>
          <w:szCs w:val="22"/>
        </w:rPr>
        <w:t>dă</w:t>
      </w:r>
    </w:p>
    <w:p w14:paraId="5BAF9036" w14:textId="77777777" w:rsidR="00C04CAD" w:rsidRDefault="00C04CAD">
      <w:pPr>
        <w:tabs>
          <w:tab w:val="clear" w:pos="567"/>
        </w:tabs>
        <w:kinsoku w:val="0"/>
        <w:overflowPunct w:val="0"/>
        <w:autoSpaceDE w:val="0"/>
        <w:autoSpaceDN w:val="0"/>
        <w:adjustRightInd w:val="0"/>
        <w:spacing w:line="240" w:lineRule="auto"/>
        <w:rPr>
          <w:szCs w:val="22"/>
        </w:rPr>
      </w:pPr>
    </w:p>
    <w:p w14:paraId="793C3C5C"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ar</w:t>
      </w:r>
      <w:r>
        <w:rPr>
          <w:spacing w:val="-3"/>
          <w:szCs w:val="22"/>
        </w:rPr>
        <w:t>e</w:t>
      </w:r>
      <w:r>
        <w:rPr>
          <w:szCs w:val="22"/>
        </w:rPr>
        <w:t xml:space="preserve">a </w:t>
      </w:r>
      <w:r>
        <w:rPr>
          <w:rFonts w:eastAsia="MS Mincho"/>
          <w:spacing w:val="-1"/>
          <w:szCs w:val="22"/>
          <w:lang w:eastAsia="en-US" w:bidi="ar-SA"/>
        </w:rPr>
        <w:t>adalimumab</w:t>
      </w:r>
      <w:r>
        <w:rPr>
          <w:szCs w:val="22"/>
        </w:rPr>
        <w:t xml:space="preserve"> a</w:t>
      </w:r>
      <w:r>
        <w:rPr>
          <w:spacing w:val="-2"/>
          <w:szCs w:val="22"/>
        </w:rPr>
        <w:t xml:space="preserve"> </w:t>
      </w:r>
      <w:r>
        <w:rPr>
          <w:szCs w:val="22"/>
        </w:rPr>
        <w:t>f</w:t>
      </w:r>
      <w:r>
        <w:rPr>
          <w:spacing w:val="-3"/>
          <w:szCs w:val="22"/>
        </w:rPr>
        <w:t>o</w:t>
      </w:r>
      <w:r>
        <w:rPr>
          <w:szCs w:val="22"/>
        </w:rPr>
        <w:t>st</w:t>
      </w:r>
      <w:r>
        <w:rPr>
          <w:spacing w:val="1"/>
          <w:szCs w:val="22"/>
        </w:rPr>
        <w:t xml:space="preserve"> </w:t>
      </w:r>
      <w:r>
        <w:rPr>
          <w:szCs w:val="22"/>
        </w:rPr>
        <w:t>e</w:t>
      </w:r>
      <w:r>
        <w:rPr>
          <w:spacing w:val="-3"/>
          <w:szCs w:val="22"/>
        </w:rPr>
        <w:t>v</w:t>
      </w:r>
      <w:r>
        <w:rPr>
          <w:szCs w:val="22"/>
        </w:rPr>
        <w:t>a</w:t>
      </w:r>
      <w:r>
        <w:rPr>
          <w:spacing w:val="1"/>
          <w:szCs w:val="22"/>
        </w:rPr>
        <w:t>l</w:t>
      </w:r>
      <w:r>
        <w:rPr>
          <w:spacing w:val="-3"/>
          <w:szCs w:val="22"/>
        </w:rPr>
        <w:t>u</w:t>
      </w:r>
      <w:r>
        <w:rPr>
          <w:szCs w:val="22"/>
        </w:rPr>
        <w:t>a</w:t>
      </w:r>
      <w:r>
        <w:rPr>
          <w:spacing w:val="-2"/>
          <w:szCs w:val="22"/>
        </w:rPr>
        <w:t>t</w:t>
      </w:r>
      <w:r>
        <w:rPr>
          <w:szCs w:val="22"/>
        </w:rPr>
        <w:t xml:space="preserve">ă </w:t>
      </w:r>
      <w:r>
        <w:rPr>
          <w:spacing w:val="1"/>
          <w:szCs w:val="22"/>
        </w:rPr>
        <w:t>l</w:t>
      </w:r>
      <w:r>
        <w:rPr>
          <w:szCs w:val="22"/>
        </w:rPr>
        <w:t>a</w:t>
      </w:r>
      <w:r>
        <w:rPr>
          <w:spacing w:val="-2"/>
          <w:szCs w:val="22"/>
        </w:rPr>
        <w:t xml:space="preserve"> </w:t>
      </w:r>
      <w:r>
        <w:rPr>
          <w:szCs w:val="22"/>
        </w:rPr>
        <w:t>pe</w:t>
      </w:r>
      <w:r>
        <w:rPr>
          <w:spacing w:val="-2"/>
          <w:szCs w:val="22"/>
        </w:rPr>
        <w:t>s</w:t>
      </w:r>
      <w:r>
        <w:rPr>
          <w:spacing w:val="1"/>
          <w:szCs w:val="22"/>
        </w:rPr>
        <w:t>t</w:t>
      </w:r>
      <w:r>
        <w:rPr>
          <w:szCs w:val="22"/>
        </w:rPr>
        <w:t xml:space="preserve">e </w:t>
      </w:r>
      <w:r>
        <w:rPr>
          <w:spacing w:val="-3"/>
          <w:szCs w:val="22"/>
        </w:rPr>
        <w:t>3</w:t>
      </w:r>
      <w:r>
        <w:rPr>
          <w:szCs w:val="22"/>
        </w:rPr>
        <w:t>000 p</w:t>
      </w:r>
      <w:r>
        <w:rPr>
          <w:spacing w:val="-3"/>
          <w:szCs w:val="22"/>
        </w:rPr>
        <w:t>a</w:t>
      </w:r>
      <w:r>
        <w:rPr>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pacing w:val="1"/>
          <w:szCs w:val="22"/>
        </w:rPr>
        <w:t>î</w:t>
      </w:r>
      <w:r>
        <w:rPr>
          <w:szCs w:val="22"/>
        </w:rPr>
        <w:t>n</w:t>
      </w:r>
      <w:r>
        <w:rPr>
          <w:spacing w:val="-3"/>
          <w:szCs w:val="22"/>
        </w:rPr>
        <w:t xml:space="preserve"> </w:t>
      </w:r>
      <w:r>
        <w:rPr>
          <w:spacing w:val="1"/>
          <w:szCs w:val="22"/>
        </w:rPr>
        <w:t>t</w:t>
      </w:r>
      <w:r>
        <w:rPr>
          <w:szCs w:val="22"/>
        </w:rPr>
        <w:t>o</w:t>
      </w:r>
      <w:r>
        <w:rPr>
          <w:spacing w:val="-3"/>
          <w:szCs w:val="22"/>
        </w:rPr>
        <w:t>a</w:t>
      </w:r>
      <w:r>
        <w:rPr>
          <w:spacing w:val="1"/>
          <w:szCs w:val="22"/>
        </w:rPr>
        <w:t>t</w:t>
      </w:r>
      <w:r>
        <w:rPr>
          <w:szCs w:val="22"/>
        </w:rPr>
        <w:t xml:space="preserve">e </w:t>
      </w:r>
      <w:r>
        <w:rPr>
          <w:spacing w:val="-2"/>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e</w:t>
      </w:r>
      <w:r>
        <w:rPr>
          <w:spacing w:val="-2"/>
          <w:szCs w:val="22"/>
        </w:rPr>
        <w:t xml:space="preserve"> </w:t>
      </w:r>
      <w:r>
        <w:rPr>
          <w:szCs w:val="22"/>
        </w:rPr>
        <w:t>c</w:t>
      </w:r>
      <w:r>
        <w:rPr>
          <w:spacing w:val="-2"/>
          <w:szCs w:val="22"/>
        </w:rPr>
        <w:t>l</w:t>
      </w:r>
      <w:r>
        <w:rPr>
          <w:spacing w:val="1"/>
          <w:szCs w:val="22"/>
        </w:rPr>
        <w:t>i</w:t>
      </w:r>
      <w:r>
        <w:rPr>
          <w:szCs w:val="22"/>
        </w:rPr>
        <w:t>n</w:t>
      </w:r>
      <w:r>
        <w:rPr>
          <w:spacing w:val="-2"/>
          <w:szCs w:val="22"/>
        </w:rPr>
        <w:t>i</w:t>
      </w:r>
      <w:r>
        <w:rPr>
          <w:spacing w:val="-3"/>
          <w:szCs w:val="22"/>
        </w:rPr>
        <w:t>c</w:t>
      </w:r>
      <w:r>
        <w:rPr>
          <w:szCs w:val="22"/>
        </w:rPr>
        <w:t>e ef</w:t>
      </w:r>
      <w:r>
        <w:rPr>
          <w:spacing w:val="-3"/>
          <w:szCs w:val="22"/>
        </w:rPr>
        <w:t>e</w:t>
      </w:r>
      <w:r>
        <w:rPr>
          <w:szCs w:val="22"/>
        </w:rPr>
        <w:t>c</w:t>
      </w:r>
      <w:r>
        <w:rPr>
          <w:spacing w:val="1"/>
          <w:szCs w:val="22"/>
        </w:rPr>
        <w:t>t</w:t>
      </w:r>
      <w:r>
        <w:rPr>
          <w:spacing w:val="-3"/>
          <w:szCs w:val="22"/>
        </w:rPr>
        <w:t>u</w:t>
      </w:r>
      <w:r>
        <w:rPr>
          <w:szCs w:val="22"/>
        </w:rPr>
        <w:t>a</w:t>
      </w:r>
      <w:r>
        <w:rPr>
          <w:spacing w:val="-2"/>
          <w:szCs w:val="22"/>
        </w:rPr>
        <w:t>t</w:t>
      </w:r>
      <w:r>
        <w:rPr>
          <w:szCs w:val="22"/>
        </w:rPr>
        <w:t>e pe</w:t>
      </w:r>
      <w:r>
        <w:rPr>
          <w:spacing w:val="-3"/>
          <w:szCs w:val="22"/>
        </w:rPr>
        <w:t>n</w:t>
      </w:r>
      <w:r>
        <w:rPr>
          <w:spacing w:val="1"/>
          <w:szCs w:val="22"/>
        </w:rPr>
        <w:t>t</w:t>
      </w:r>
      <w:r>
        <w:rPr>
          <w:spacing w:val="-2"/>
          <w:szCs w:val="22"/>
        </w:rPr>
        <w:t>r</w:t>
      </w:r>
      <w:r>
        <w:rPr>
          <w:szCs w:val="22"/>
        </w:rPr>
        <w:t>u 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a 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 xml:space="preserve">dă. </w:t>
      </w:r>
      <w:r>
        <w:rPr>
          <w:spacing w:val="-3"/>
          <w:szCs w:val="22"/>
        </w:rPr>
        <w:t>E</w:t>
      </w:r>
      <w:r>
        <w:rPr>
          <w:szCs w:val="22"/>
        </w:rPr>
        <w:t>f</w:t>
      </w:r>
      <w:r>
        <w:rPr>
          <w:spacing w:val="-2"/>
          <w:szCs w:val="22"/>
        </w:rPr>
        <w:t>i</w:t>
      </w:r>
      <w:r>
        <w:rPr>
          <w:spacing w:val="-3"/>
          <w:szCs w:val="22"/>
        </w:rPr>
        <w:t>c</w:t>
      </w:r>
      <w:r>
        <w:rPr>
          <w:szCs w:val="22"/>
        </w:rPr>
        <w:t>ac</w:t>
      </w:r>
      <w:r>
        <w:rPr>
          <w:spacing w:val="-2"/>
          <w:szCs w:val="22"/>
        </w:rPr>
        <w:t>i</w:t>
      </w:r>
      <w:r>
        <w:rPr>
          <w:spacing w:val="1"/>
          <w:szCs w:val="22"/>
        </w:rPr>
        <w:t>t</w:t>
      </w:r>
      <w:r>
        <w:rPr>
          <w:spacing w:val="-3"/>
          <w:szCs w:val="22"/>
        </w:rPr>
        <w:t>a</w:t>
      </w:r>
      <w:r>
        <w:rPr>
          <w:spacing w:val="1"/>
          <w:szCs w:val="22"/>
        </w:rPr>
        <w:t>t</w:t>
      </w:r>
      <w:r>
        <w:rPr>
          <w:szCs w:val="22"/>
        </w:rPr>
        <w:t>ea</w:t>
      </w:r>
      <w:r>
        <w:rPr>
          <w:spacing w:val="-2"/>
          <w:szCs w:val="22"/>
        </w:rPr>
        <w:t xml:space="preserve"> </w:t>
      </w:r>
      <w:r>
        <w:rPr>
          <w:szCs w:val="22"/>
        </w:rPr>
        <w:t>şi</w:t>
      </w:r>
      <w:r>
        <w:rPr>
          <w:spacing w:val="1"/>
          <w:szCs w:val="22"/>
        </w:rPr>
        <w:t xml:space="preserve"> </w:t>
      </w:r>
      <w:r>
        <w:rPr>
          <w:spacing w:val="-2"/>
          <w:szCs w:val="22"/>
        </w:rPr>
        <w:t>s</w:t>
      </w:r>
      <w:r>
        <w:rPr>
          <w:spacing w:val="1"/>
          <w:szCs w:val="22"/>
        </w:rPr>
        <w:t>i</w:t>
      </w:r>
      <w:r>
        <w:rPr>
          <w:spacing w:val="-3"/>
          <w:szCs w:val="22"/>
        </w:rPr>
        <w:t>g</w:t>
      </w:r>
      <w:r>
        <w:rPr>
          <w:szCs w:val="22"/>
        </w:rPr>
        <w:t>ura</w:t>
      </w:r>
      <w:r>
        <w:rPr>
          <w:spacing w:val="-3"/>
          <w:szCs w:val="22"/>
        </w:rPr>
        <w:t>n</w:t>
      </w:r>
      <w:r>
        <w:rPr>
          <w:spacing w:val="1"/>
          <w:szCs w:val="22"/>
        </w:rPr>
        <w:t>ţ</w:t>
      </w:r>
      <w:r>
        <w:rPr>
          <w:szCs w:val="22"/>
        </w:rPr>
        <w:t xml:space="preserve">a </w:t>
      </w:r>
      <w:r>
        <w:rPr>
          <w:rFonts w:eastAsia="MS Mincho"/>
          <w:spacing w:val="-1"/>
          <w:szCs w:val="22"/>
          <w:lang w:eastAsia="en-US" w:bidi="ar-SA"/>
        </w:rPr>
        <w:t>adalimumab</w:t>
      </w:r>
      <w:r>
        <w:rPr>
          <w:szCs w:val="22"/>
        </w:rPr>
        <w:t xml:space="preserve"> au</w:t>
      </w:r>
      <w:r>
        <w:rPr>
          <w:spacing w:val="-3"/>
          <w:szCs w:val="22"/>
        </w:rPr>
        <w:t xml:space="preserve"> </w:t>
      </w:r>
      <w:r>
        <w:rPr>
          <w:szCs w:val="22"/>
        </w:rPr>
        <w:t>fo</w:t>
      </w:r>
      <w:r>
        <w:rPr>
          <w:spacing w:val="-2"/>
          <w:szCs w:val="22"/>
        </w:rPr>
        <w:t>s</w:t>
      </w:r>
      <w:r>
        <w:rPr>
          <w:szCs w:val="22"/>
        </w:rPr>
        <w:t>t e</w:t>
      </w:r>
      <w:r>
        <w:rPr>
          <w:spacing w:val="-3"/>
          <w:szCs w:val="22"/>
        </w:rPr>
        <w:t>v</w:t>
      </w:r>
      <w:r>
        <w:rPr>
          <w:szCs w:val="22"/>
        </w:rPr>
        <w:t>a</w:t>
      </w:r>
      <w:r>
        <w:rPr>
          <w:spacing w:val="1"/>
          <w:szCs w:val="22"/>
        </w:rPr>
        <w:t>l</w:t>
      </w:r>
      <w:r>
        <w:rPr>
          <w:szCs w:val="22"/>
        </w:rPr>
        <w:t>ua</w:t>
      </w:r>
      <w:r>
        <w:rPr>
          <w:spacing w:val="-2"/>
          <w:szCs w:val="22"/>
        </w:rPr>
        <w:t>t</w:t>
      </w:r>
      <w:r>
        <w:rPr>
          <w:szCs w:val="22"/>
        </w:rPr>
        <w:t xml:space="preserve">e </w:t>
      </w:r>
      <w:r>
        <w:rPr>
          <w:spacing w:val="1"/>
          <w:szCs w:val="22"/>
        </w:rPr>
        <w:t>î</w:t>
      </w:r>
      <w:r>
        <w:rPr>
          <w:szCs w:val="22"/>
        </w:rPr>
        <w:t>n</w:t>
      </w:r>
      <w:r>
        <w:rPr>
          <w:spacing w:val="-3"/>
          <w:szCs w:val="22"/>
        </w:rPr>
        <w:t xml:space="preserve"> </w:t>
      </w:r>
      <w:r>
        <w:rPr>
          <w:szCs w:val="22"/>
        </w:rPr>
        <w:t>ca</w:t>
      </w:r>
      <w:r>
        <w:rPr>
          <w:spacing w:val="-3"/>
          <w:szCs w:val="22"/>
        </w:rPr>
        <w:t>d</w:t>
      </w:r>
      <w:r>
        <w:rPr>
          <w:szCs w:val="22"/>
        </w:rPr>
        <w:t>rul</w:t>
      </w:r>
      <w:r>
        <w:rPr>
          <w:spacing w:val="-2"/>
          <w:szCs w:val="22"/>
        </w:rPr>
        <w:t xml:space="preserve"> </w:t>
      </w:r>
      <w:r>
        <w:rPr>
          <w:szCs w:val="22"/>
        </w:rPr>
        <w:t xml:space="preserve">a </w:t>
      </w:r>
      <w:r>
        <w:rPr>
          <w:spacing w:val="-3"/>
          <w:szCs w:val="22"/>
        </w:rPr>
        <w:t>c</w:t>
      </w:r>
      <w:r>
        <w:rPr>
          <w:spacing w:val="1"/>
          <w:szCs w:val="22"/>
        </w:rPr>
        <w:t>i</w:t>
      </w:r>
      <w:r>
        <w:rPr>
          <w:szCs w:val="22"/>
        </w:rPr>
        <w:t>n</w:t>
      </w:r>
      <w:r>
        <w:rPr>
          <w:spacing w:val="-3"/>
          <w:szCs w:val="22"/>
        </w:rPr>
        <w:t>c</w:t>
      </w:r>
      <w:r>
        <w:rPr>
          <w:szCs w:val="22"/>
        </w:rPr>
        <w:t>i</w:t>
      </w:r>
      <w:r>
        <w:rPr>
          <w:spacing w:val="1"/>
          <w:szCs w:val="22"/>
        </w:rPr>
        <w:t xml:space="preserve"> </w:t>
      </w:r>
      <w:r>
        <w:rPr>
          <w:spacing w:val="-2"/>
          <w:szCs w:val="22"/>
        </w:rPr>
        <w:t>st</w:t>
      </w:r>
      <w:r>
        <w:rPr>
          <w:szCs w:val="22"/>
        </w:rPr>
        <w:t>ud</w:t>
      </w:r>
      <w:r>
        <w:rPr>
          <w:spacing w:val="1"/>
          <w:szCs w:val="22"/>
        </w:rPr>
        <w:t>i</w:t>
      </w:r>
      <w:r>
        <w:rPr>
          <w:szCs w:val="22"/>
        </w:rPr>
        <w:t>i</w:t>
      </w:r>
      <w:r>
        <w:rPr>
          <w:spacing w:val="-2"/>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ce</w:t>
      </w:r>
      <w:r>
        <w:rPr>
          <w:spacing w:val="-2"/>
          <w:szCs w:val="22"/>
        </w:rPr>
        <w:t xml:space="preserve"> </w:t>
      </w:r>
      <w:r>
        <w:rPr>
          <w:szCs w:val="22"/>
        </w:rPr>
        <w:t>ran</w:t>
      </w:r>
      <w:r>
        <w:rPr>
          <w:spacing w:val="-3"/>
          <w:szCs w:val="22"/>
        </w:rPr>
        <w:t>d</w:t>
      </w:r>
      <w:r>
        <w:rPr>
          <w:szCs w:val="22"/>
        </w:rPr>
        <w:t>o</w:t>
      </w:r>
      <w:r>
        <w:rPr>
          <w:spacing w:val="-4"/>
          <w:szCs w:val="22"/>
        </w:rPr>
        <w:t>m</w:t>
      </w:r>
      <w:r>
        <w:rPr>
          <w:spacing w:val="1"/>
          <w:szCs w:val="22"/>
        </w:rPr>
        <w:t>i</w:t>
      </w:r>
      <w:r>
        <w:rPr>
          <w:spacing w:val="-3"/>
          <w:szCs w:val="22"/>
        </w:rPr>
        <w:t>z</w:t>
      </w:r>
      <w:r>
        <w:rPr>
          <w:szCs w:val="22"/>
        </w:rPr>
        <w:t>a</w:t>
      </w:r>
      <w:r>
        <w:rPr>
          <w:spacing w:val="1"/>
          <w:szCs w:val="22"/>
        </w:rPr>
        <w:t>t</w:t>
      </w:r>
      <w:r>
        <w:rPr>
          <w:szCs w:val="22"/>
        </w:rPr>
        <w:t xml:space="preserve">e, </w:t>
      </w:r>
      <w:r>
        <w:rPr>
          <w:spacing w:val="-1"/>
          <w:szCs w:val="22"/>
        </w:rPr>
        <w:t>d</w:t>
      </w:r>
      <w:r>
        <w:rPr>
          <w:spacing w:val="-3"/>
          <w:szCs w:val="22"/>
        </w:rPr>
        <w:t>u</w:t>
      </w:r>
      <w:r>
        <w:rPr>
          <w:szCs w:val="22"/>
        </w:rPr>
        <w:t>b</w:t>
      </w:r>
      <w:r>
        <w:rPr>
          <w:spacing w:val="1"/>
          <w:szCs w:val="22"/>
        </w:rPr>
        <w:t>l</w:t>
      </w:r>
      <w:r>
        <w:rPr>
          <w:spacing w:val="-1"/>
          <w:szCs w:val="22"/>
        </w:rPr>
        <w:t>u</w:t>
      </w:r>
      <w:r>
        <w:rPr>
          <w:spacing w:val="-4"/>
          <w:szCs w:val="22"/>
        </w:rPr>
        <w:t>-</w:t>
      </w:r>
      <w:r>
        <w:rPr>
          <w:szCs w:val="22"/>
        </w:rPr>
        <w:t>orb, b</w:t>
      </w:r>
      <w:r>
        <w:rPr>
          <w:spacing w:val="1"/>
          <w:szCs w:val="22"/>
        </w:rPr>
        <w:t>i</w:t>
      </w:r>
      <w:r>
        <w:rPr>
          <w:szCs w:val="22"/>
        </w:rPr>
        <w:t>ne</w:t>
      </w:r>
      <w:r>
        <w:rPr>
          <w:spacing w:val="-2"/>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pacing w:val="-3"/>
          <w:szCs w:val="22"/>
        </w:rPr>
        <w:t>a</w:t>
      </w:r>
      <w:r>
        <w:rPr>
          <w:spacing w:val="1"/>
          <w:szCs w:val="22"/>
        </w:rPr>
        <w:t>t</w:t>
      </w:r>
      <w:r>
        <w:rPr>
          <w:szCs w:val="22"/>
        </w:rPr>
        <w:t xml:space="preserve">e. </w:t>
      </w:r>
      <w:r>
        <w:rPr>
          <w:spacing w:val="-1"/>
          <w:szCs w:val="22"/>
        </w:rPr>
        <w:t>U</w:t>
      </w:r>
      <w:r>
        <w:rPr>
          <w:spacing w:val="-3"/>
          <w:szCs w:val="22"/>
        </w:rPr>
        <w:t>n</w:t>
      </w:r>
      <w:r>
        <w:rPr>
          <w:spacing w:val="1"/>
          <w:szCs w:val="22"/>
        </w:rPr>
        <w:t>i</w:t>
      </w:r>
      <w:r>
        <w:rPr>
          <w:szCs w:val="22"/>
        </w:rPr>
        <w:t>i</w:t>
      </w:r>
      <w:r>
        <w:rPr>
          <w:spacing w:val="1"/>
          <w:szCs w:val="22"/>
        </w:rPr>
        <w:t xml:space="preserve"> </w:t>
      </w:r>
      <w:r>
        <w:rPr>
          <w:spacing w:val="-3"/>
          <w:szCs w:val="22"/>
        </w:rPr>
        <w:t>p</w:t>
      </w:r>
      <w:r>
        <w:rPr>
          <w:szCs w:val="22"/>
        </w:rPr>
        <w:t>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a</w:t>
      </w:r>
      <w:r>
        <w:rPr>
          <w:szCs w:val="22"/>
        </w:rPr>
        <w:t>u f</w:t>
      </w:r>
      <w:r>
        <w:rPr>
          <w:spacing w:val="-3"/>
          <w:szCs w:val="22"/>
        </w:rPr>
        <w:t>o</w:t>
      </w:r>
      <w:r>
        <w:rPr>
          <w:szCs w:val="22"/>
        </w:rPr>
        <w:t xml:space="preserve">st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1"/>
          <w:szCs w:val="22"/>
        </w:rPr>
        <w:t xml:space="preserve"> </w:t>
      </w:r>
      <w:r>
        <w:rPr>
          <w:szCs w:val="22"/>
        </w:rPr>
        <w:t>o</w:t>
      </w:r>
      <w:r>
        <w:rPr>
          <w:spacing w:val="-3"/>
          <w:szCs w:val="22"/>
        </w:rPr>
        <w:t xml:space="preserve"> </w:t>
      </w:r>
      <w:r>
        <w:rPr>
          <w:szCs w:val="22"/>
        </w:rPr>
        <w:t>pe</w:t>
      </w:r>
      <w:r>
        <w:rPr>
          <w:spacing w:val="-2"/>
          <w:szCs w:val="22"/>
        </w:rPr>
        <w:t>r</w:t>
      </w:r>
      <w:r>
        <w:rPr>
          <w:spacing w:val="1"/>
          <w:szCs w:val="22"/>
        </w:rPr>
        <w:t>i</w:t>
      </w:r>
      <w:r>
        <w:rPr>
          <w:szCs w:val="22"/>
        </w:rPr>
        <w:t>o</w:t>
      </w:r>
      <w:r>
        <w:rPr>
          <w:spacing w:val="-3"/>
          <w:szCs w:val="22"/>
        </w:rPr>
        <w:t>a</w:t>
      </w:r>
      <w:r>
        <w:rPr>
          <w:szCs w:val="22"/>
        </w:rPr>
        <w:t xml:space="preserve">dă </w:t>
      </w:r>
      <w:r>
        <w:rPr>
          <w:spacing w:val="-3"/>
          <w:szCs w:val="22"/>
        </w:rPr>
        <w:t>d</w:t>
      </w:r>
      <w:r>
        <w:rPr>
          <w:szCs w:val="22"/>
        </w:rPr>
        <w:t>e pâ</w:t>
      </w:r>
      <w:r>
        <w:rPr>
          <w:spacing w:val="-3"/>
          <w:szCs w:val="22"/>
        </w:rPr>
        <w:t>n</w:t>
      </w:r>
      <w:r>
        <w:rPr>
          <w:szCs w:val="22"/>
        </w:rPr>
        <w:t xml:space="preserve">ă </w:t>
      </w:r>
      <w:r>
        <w:rPr>
          <w:spacing w:val="1"/>
          <w:szCs w:val="22"/>
        </w:rPr>
        <w:t>l</w:t>
      </w:r>
      <w:r>
        <w:rPr>
          <w:szCs w:val="22"/>
        </w:rPr>
        <w:t>a</w:t>
      </w:r>
      <w:r>
        <w:rPr>
          <w:spacing w:val="-2"/>
          <w:szCs w:val="22"/>
        </w:rPr>
        <w:t xml:space="preserve"> </w:t>
      </w:r>
      <w:r>
        <w:rPr>
          <w:szCs w:val="22"/>
        </w:rPr>
        <w:t xml:space="preserve">120 </w:t>
      </w:r>
      <w:r>
        <w:rPr>
          <w:spacing w:val="1"/>
          <w:szCs w:val="22"/>
        </w:rPr>
        <w:t>l</w:t>
      </w:r>
      <w:r>
        <w:rPr>
          <w:spacing w:val="-3"/>
          <w:szCs w:val="22"/>
        </w:rPr>
        <w:t>u</w:t>
      </w:r>
      <w:r>
        <w:rPr>
          <w:szCs w:val="22"/>
        </w:rPr>
        <w:t>n</w:t>
      </w:r>
      <w:r>
        <w:rPr>
          <w:spacing w:val="1"/>
          <w:szCs w:val="22"/>
        </w:rPr>
        <w:t>i</w:t>
      </w:r>
      <w:r>
        <w:rPr>
          <w:szCs w:val="22"/>
        </w:rPr>
        <w:t>.</w:t>
      </w:r>
    </w:p>
    <w:p w14:paraId="16E47FF9" w14:textId="77777777" w:rsidR="00C04CAD" w:rsidRDefault="00C04CAD">
      <w:pPr>
        <w:tabs>
          <w:tab w:val="clear" w:pos="567"/>
        </w:tabs>
        <w:kinsoku w:val="0"/>
        <w:overflowPunct w:val="0"/>
        <w:autoSpaceDE w:val="0"/>
        <w:autoSpaceDN w:val="0"/>
        <w:adjustRightInd w:val="0"/>
        <w:spacing w:line="240" w:lineRule="auto"/>
        <w:rPr>
          <w:szCs w:val="22"/>
        </w:rPr>
      </w:pPr>
    </w:p>
    <w:p w14:paraId="570E3252"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zCs w:val="22"/>
        </w:rPr>
        <w:t>I</w:t>
      </w:r>
      <w:r>
        <w:rPr>
          <w:spacing w:val="-4"/>
          <w:szCs w:val="22"/>
        </w:rPr>
        <w:t xml:space="preserve"> </w:t>
      </w:r>
      <w:r>
        <w:rPr>
          <w:szCs w:val="22"/>
        </w:rPr>
        <w:t>au fost</w:t>
      </w:r>
      <w:r>
        <w:rPr>
          <w:spacing w:val="-2"/>
          <w:szCs w:val="22"/>
        </w:rPr>
        <w:t xml:space="preserve"> </w:t>
      </w:r>
      <w:r>
        <w:rPr>
          <w:szCs w:val="22"/>
        </w:rPr>
        <w:t>e</w:t>
      </w:r>
      <w:r>
        <w:rPr>
          <w:spacing w:val="-3"/>
          <w:szCs w:val="22"/>
        </w:rPr>
        <w:t>v</w:t>
      </w:r>
      <w:r>
        <w:rPr>
          <w:szCs w:val="22"/>
        </w:rPr>
        <w:t>a</w:t>
      </w:r>
      <w:r>
        <w:rPr>
          <w:spacing w:val="-2"/>
          <w:szCs w:val="22"/>
        </w:rPr>
        <w:t>l</w:t>
      </w:r>
      <w:r>
        <w:rPr>
          <w:szCs w:val="22"/>
        </w:rPr>
        <w:t>ua</w:t>
      </w:r>
      <w:r>
        <w:rPr>
          <w:spacing w:val="-2"/>
          <w:szCs w:val="22"/>
        </w:rPr>
        <w:t>ţ</w:t>
      </w:r>
      <w:r>
        <w:rPr>
          <w:szCs w:val="22"/>
        </w:rPr>
        <w:t>i</w:t>
      </w:r>
      <w:r>
        <w:rPr>
          <w:spacing w:val="1"/>
          <w:szCs w:val="22"/>
        </w:rPr>
        <w:t xml:space="preserve"> </w:t>
      </w:r>
      <w:r>
        <w:rPr>
          <w:szCs w:val="22"/>
        </w:rPr>
        <w:t xml:space="preserve">271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ţi</w:t>
      </w:r>
      <w:r>
        <w:rPr>
          <w:szCs w:val="22"/>
        </w:rPr>
        <w:t>,</w:t>
      </w:r>
      <w:r>
        <w:rPr>
          <w:spacing w:val="-3"/>
          <w:szCs w:val="22"/>
        </w:rPr>
        <w:t xml:space="preserve"> </w:t>
      </w:r>
      <w:r>
        <w:rPr>
          <w:szCs w:val="22"/>
        </w:rPr>
        <w:t xml:space="preserve">cu </w:t>
      </w:r>
      <w:r>
        <w:rPr>
          <w:spacing w:val="-3"/>
          <w:szCs w:val="22"/>
        </w:rPr>
        <w:t>v</w:t>
      </w:r>
      <w:r>
        <w:rPr>
          <w:szCs w:val="22"/>
        </w:rPr>
        <w:t>âr</w:t>
      </w:r>
      <w:r>
        <w:rPr>
          <w:spacing w:val="-2"/>
          <w:szCs w:val="22"/>
        </w:rPr>
        <w:t>s</w:t>
      </w:r>
      <w:r>
        <w:rPr>
          <w:spacing w:val="1"/>
          <w:szCs w:val="22"/>
        </w:rPr>
        <w:t>t</w:t>
      </w:r>
      <w:r>
        <w:rPr>
          <w:szCs w:val="22"/>
        </w:rPr>
        <w:t>a</w:t>
      </w:r>
      <w:r>
        <w:rPr>
          <w:spacing w:val="-2"/>
          <w:szCs w:val="22"/>
        </w:rPr>
        <w:t xml:space="preserve"> </w:t>
      </w:r>
      <w:r>
        <w:rPr>
          <w:spacing w:val="1"/>
          <w:szCs w:val="22"/>
        </w:rPr>
        <w:t>≥</w:t>
      </w:r>
      <w:r>
        <w:rPr>
          <w:szCs w:val="22"/>
        </w:rPr>
        <w:t xml:space="preserve">18 </w:t>
      </w:r>
      <w:r>
        <w:rPr>
          <w:spacing w:val="-3"/>
          <w:szCs w:val="22"/>
        </w:rPr>
        <w:t>a</w:t>
      </w:r>
      <w:r>
        <w:rPr>
          <w:szCs w:val="22"/>
        </w:rPr>
        <w:t>n</w:t>
      </w:r>
      <w:r>
        <w:rPr>
          <w:spacing w:val="1"/>
          <w:szCs w:val="22"/>
        </w:rPr>
        <w:t>i</w:t>
      </w:r>
      <w:r>
        <w:rPr>
          <w:szCs w:val="22"/>
        </w:rPr>
        <w:t>,</w:t>
      </w:r>
      <w:r>
        <w:rPr>
          <w:spacing w:val="-3"/>
          <w:szCs w:val="22"/>
        </w:rPr>
        <w:t xml:space="preserve"> </w:t>
      </w:r>
      <w:r>
        <w:rPr>
          <w:szCs w:val="22"/>
        </w:rPr>
        <w:t>cu p</w:t>
      </w:r>
      <w:r>
        <w:rPr>
          <w:spacing w:val="-3"/>
          <w:szCs w:val="22"/>
        </w:rPr>
        <w:t>o</w:t>
      </w:r>
      <w:r>
        <w:rPr>
          <w:spacing w:val="1"/>
          <w:szCs w:val="22"/>
        </w:rPr>
        <w:t>li</w:t>
      </w:r>
      <w:r>
        <w:rPr>
          <w:spacing w:val="-3"/>
          <w:szCs w:val="22"/>
        </w:rPr>
        <w:t>a</w:t>
      </w:r>
      <w:r>
        <w:rPr>
          <w:spacing w:val="-2"/>
          <w:szCs w:val="22"/>
        </w:rPr>
        <w:t>r</w:t>
      </w:r>
      <w:r>
        <w:rPr>
          <w:spacing w:val="1"/>
          <w:szCs w:val="22"/>
        </w:rPr>
        <w:t>t</w:t>
      </w:r>
      <w:r>
        <w:rPr>
          <w:spacing w:val="-2"/>
          <w:szCs w:val="22"/>
        </w:rPr>
        <w:t>r</w:t>
      </w:r>
      <w:r>
        <w:rPr>
          <w:spacing w:val="1"/>
          <w:szCs w:val="22"/>
        </w:rPr>
        <w:t>it</w:t>
      </w:r>
      <w:r>
        <w:rPr>
          <w:szCs w:val="22"/>
        </w:rPr>
        <w:t>ă</w:t>
      </w:r>
      <w:r>
        <w:rPr>
          <w:spacing w:val="-2"/>
          <w:szCs w:val="22"/>
        </w:rPr>
        <w:t xml:space="preserve"> </w:t>
      </w:r>
      <w:r>
        <w:rPr>
          <w:szCs w:val="22"/>
        </w:rPr>
        <w:t>reu</w:t>
      </w:r>
      <w:r>
        <w:rPr>
          <w:spacing w:val="-4"/>
          <w:szCs w:val="22"/>
        </w:rPr>
        <w:t>m</w:t>
      </w:r>
      <w:r>
        <w:rPr>
          <w:szCs w:val="22"/>
        </w:rPr>
        <w:t>a</w:t>
      </w:r>
      <w:r>
        <w:rPr>
          <w:spacing w:val="1"/>
          <w:szCs w:val="22"/>
        </w:rPr>
        <w:t>t</w:t>
      </w:r>
      <w:r>
        <w:rPr>
          <w:spacing w:val="-3"/>
          <w:szCs w:val="22"/>
        </w:rPr>
        <w:t>o</w:t>
      </w:r>
      <w:r>
        <w:rPr>
          <w:spacing w:val="1"/>
          <w:szCs w:val="22"/>
        </w:rPr>
        <w:t>i</w:t>
      </w:r>
      <w:r>
        <w:rPr>
          <w:szCs w:val="22"/>
        </w:rPr>
        <w:t xml:space="preserve">dă </w:t>
      </w:r>
      <w:r>
        <w:rPr>
          <w:spacing w:val="-3"/>
          <w:szCs w:val="22"/>
        </w:rPr>
        <w:t>a</w:t>
      </w:r>
      <w:r>
        <w:rPr>
          <w:szCs w:val="22"/>
        </w:rPr>
        <w:t>c</w:t>
      </w:r>
      <w:r>
        <w:rPr>
          <w:spacing w:val="-2"/>
          <w:szCs w:val="22"/>
        </w:rPr>
        <w:t>t</w:t>
      </w:r>
      <w:r>
        <w:rPr>
          <w:spacing w:val="1"/>
          <w:szCs w:val="22"/>
        </w:rPr>
        <w:t>i</w:t>
      </w:r>
      <w:r>
        <w:rPr>
          <w:spacing w:val="-3"/>
          <w:szCs w:val="22"/>
        </w:rPr>
        <w:t>v</w:t>
      </w:r>
      <w:r>
        <w:rPr>
          <w:szCs w:val="22"/>
        </w:rPr>
        <w:t xml:space="preserve">ă </w:t>
      </w:r>
      <w:r>
        <w:rPr>
          <w:spacing w:val="-4"/>
          <w:szCs w:val="22"/>
        </w:rPr>
        <w:t>m</w:t>
      </w:r>
      <w:r>
        <w:rPr>
          <w:szCs w:val="22"/>
        </w:rPr>
        <w:t>odera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3"/>
          <w:szCs w:val="22"/>
        </w:rPr>
        <w:t>v</w:t>
      </w:r>
      <w:r>
        <w:rPr>
          <w:szCs w:val="22"/>
        </w:rPr>
        <w:t>eră,</w:t>
      </w:r>
      <w:r>
        <w:rPr>
          <w:spacing w:val="-3"/>
          <w:szCs w:val="22"/>
        </w:rPr>
        <w:t xml:space="preserve"> </w:t>
      </w:r>
      <w:r>
        <w:rPr>
          <w:spacing w:val="1"/>
          <w:szCs w:val="22"/>
        </w:rPr>
        <w:t>l</w:t>
      </w:r>
      <w:r>
        <w:rPr>
          <w:szCs w:val="22"/>
        </w:rPr>
        <w:t>a</w:t>
      </w:r>
      <w:r>
        <w:rPr>
          <w:spacing w:val="-2"/>
          <w:szCs w:val="22"/>
        </w:rPr>
        <w:t xml:space="preserve"> </w:t>
      </w:r>
      <w:r>
        <w:rPr>
          <w:szCs w:val="22"/>
        </w:rPr>
        <w:t>care</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u c</w:t>
      </w:r>
      <w:r>
        <w:rPr>
          <w:spacing w:val="-3"/>
          <w:szCs w:val="22"/>
        </w:rPr>
        <w:t>e</w:t>
      </w:r>
      <w:r>
        <w:rPr>
          <w:szCs w:val="22"/>
        </w:rPr>
        <w:t>l</w:t>
      </w:r>
      <w:r>
        <w:rPr>
          <w:spacing w:val="1"/>
          <w:szCs w:val="22"/>
        </w:rPr>
        <w:t xml:space="preserve"> </w:t>
      </w:r>
      <w:r>
        <w:rPr>
          <w:szCs w:val="22"/>
        </w:rPr>
        <w:t>p</w:t>
      </w:r>
      <w:r>
        <w:rPr>
          <w:spacing w:val="-3"/>
          <w:szCs w:val="22"/>
        </w:rPr>
        <w:t>u</w:t>
      </w:r>
      <w:r>
        <w:rPr>
          <w:spacing w:val="1"/>
          <w:szCs w:val="22"/>
        </w:rPr>
        <w:t>ţ</w:t>
      </w:r>
      <w:r>
        <w:rPr>
          <w:spacing w:val="-2"/>
          <w:szCs w:val="22"/>
        </w:rPr>
        <w:t>i</w:t>
      </w:r>
      <w:r>
        <w:rPr>
          <w:szCs w:val="22"/>
        </w:rPr>
        <w:t xml:space="preserve">n un </w:t>
      </w:r>
      <w:r>
        <w:rPr>
          <w:spacing w:val="-4"/>
          <w:szCs w:val="22"/>
        </w:rPr>
        <w:t>m</w:t>
      </w:r>
      <w:r>
        <w:rPr>
          <w:szCs w:val="22"/>
        </w:rPr>
        <w:t>ed</w:t>
      </w:r>
      <w:r>
        <w:rPr>
          <w:spacing w:val="1"/>
          <w:szCs w:val="22"/>
        </w:rPr>
        <w:t>i</w:t>
      </w:r>
      <w:r>
        <w:rPr>
          <w:szCs w:val="22"/>
        </w:rPr>
        <w:t>ca</w:t>
      </w:r>
      <w:r>
        <w:rPr>
          <w:spacing w:val="-4"/>
          <w:szCs w:val="22"/>
        </w:rPr>
        <w:t>m</w:t>
      </w:r>
      <w:r>
        <w:rPr>
          <w:szCs w:val="22"/>
        </w:rPr>
        <w:t>ent</w:t>
      </w:r>
      <w:r>
        <w:rPr>
          <w:spacing w:val="1"/>
          <w:szCs w:val="22"/>
        </w:rPr>
        <w:t xml:space="preserve"> </w:t>
      </w:r>
      <w:r>
        <w:rPr>
          <w:szCs w:val="22"/>
        </w:rPr>
        <w:t>a</w:t>
      </w:r>
      <w:r>
        <w:rPr>
          <w:spacing w:val="-3"/>
          <w:szCs w:val="22"/>
        </w:rPr>
        <w:t>n</w:t>
      </w:r>
      <w:r>
        <w:rPr>
          <w:spacing w:val="1"/>
          <w:szCs w:val="22"/>
        </w:rPr>
        <w:t>t</w:t>
      </w:r>
      <w:r>
        <w:rPr>
          <w:spacing w:val="-2"/>
          <w:szCs w:val="22"/>
        </w:rPr>
        <w:t>i</w:t>
      </w:r>
      <w:r>
        <w:rPr>
          <w:szCs w:val="22"/>
        </w:rPr>
        <w:t>reu</w:t>
      </w:r>
      <w:r>
        <w:rPr>
          <w:spacing w:val="-4"/>
          <w:szCs w:val="22"/>
        </w:rPr>
        <w:t>m</w:t>
      </w:r>
      <w:r>
        <w:rPr>
          <w:szCs w:val="22"/>
        </w:rPr>
        <w:t>a</w:t>
      </w:r>
      <w:r>
        <w:rPr>
          <w:spacing w:val="1"/>
          <w:szCs w:val="22"/>
        </w:rPr>
        <w:t>ti</w:t>
      </w:r>
      <w:r>
        <w:rPr>
          <w:szCs w:val="22"/>
        </w:rPr>
        <w:t xml:space="preserve">c </w:t>
      </w:r>
      <w:r>
        <w:rPr>
          <w:spacing w:val="-4"/>
          <w:szCs w:val="22"/>
        </w:rPr>
        <w:t>m</w:t>
      </w:r>
      <w:r>
        <w:rPr>
          <w:szCs w:val="22"/>
        </w:rPr>
        <w:t>o</w:t>
      </w:r>
      <w:r>
        <w:rPr>
          <w:spacing w:val="-1"/>
          <w:szCs w:val="22"/>
        </w:rPr>
        <w:t>d</w:t>
      </w:r>
      <w:r>
        <w:rPr>
          <w:spacing w:val="1"/>
          <w:szCs w:val="22"/>
        </w:rPr>
        <w:t>i</w:t>
      </w:r>
      <w:r>
        <w:rPr>
          <w:spacing w:val="-2"/>
          <w:szCs w:val="22"/>
        </w:rPr>
        <w:t>f</w:t>
      </w:r>
      <w:r>
        <w:rPr>
          <w:spacing w:val="1"/>
          <w:szCs w:val="22"/>
        </w:rPr>
        <w:t>i</w:t>
      </w:r>
      <w:r>
        <w:rPr>
          <w:spacing w:val="-3"/>
          <w:szCs w:val="22"/>
        </w:rPr>
        <w:t>c</w:t>
      </w:r>
      <w:r>
        <w:rPr>
          <w:szCs w:val="22"/>
        </w:rPr>
        <w:t>a</w:t>
      </w:r>
      <w:r>
        <w:rPr>
          <w:spacing w:val="1"/>
          <w:szCs w:val="22"/>
        </w:rPr>
        <w:t>t</w:t>
      </w:r>
      <w:r>
        <w:rPr>
          <w:spacing w:val="-3"/>
          <w:szCs w:val="22"/>
        </w:rPr>
        <w:t>o</w:t>
      </w:r>
      <w:r>
        <w:rPr>
          <w:szCs w:val="22"/>
        </w:rPr>
        <w:t>r</w:t>
      </w:r>
      <w:r>
        <w:rPr>
          <w:spacing w:val="1"/>
          <w:szCs w:val="22"/>
        </w:rPr>
        <w:t xml:space="preserve"> </w:t>
      </w:r>
      <w:r>
        <w:rPr>
          <w:spacing w:val="-1"/>
          <w:szCs w:val="22"/>
        </w:rPr>
        <w:t>d</w:t>
      </w:r>
      <w:r>
        <w:rPr>
          <w:szCs w:val="22"/>
        </w:rPr>
        <w:t>e boa</w:t>
      </w:r>
      <w:r>
        <w:rPr>
          <w:spacing w:val="1"/>
          <w:szCs w:val="22"/>
        </w:rPr>
        <w:t>l</w:t>
      </w:r>
      <w:r>
        <w:rPr>
          <w:szCs w:val="22"/>
        </w:rPr>
        <w:t>ă</w:t>
      </w:r>
      <w:r>
        <w:rPr>
          <w:spacing w:val="-2"/>
          <w:szCs w:val="22"/>
        </w:rPr>
        <w:t xml:space="preserve"> </w:t>
      </w:r>
      <w:r>
        <w:rPr>
          <w:szCs w:val="22"/>
        </w:rPr>
        <w:t>nu a</w:t>
      </w:r>
      <w:r>
        <w:rPr>
          <w:spacing w:val="-2"/>
          <w:szCs w:val="22"/>
        </w:rPr>
        <w:t xml:space="preserve"> </w:t>
      </w:r>
      <w:r>
        <w:rPr>
          <w:szCs w:val="22"/>
        </w:rPr>
        <w:t>dat</w:t>
      </w:r>
      <w:r>
        <w:rPr>
          <w:spacing w:val="-2"/>
          <w:szCs w:val="22"/>
        </w:rPr>
        <w:t xml:space="preserve"> </w:t>
      </w:r>
      <w:r>
        <w:rPr>
          <w:szCs w:val="22"/>
        </w:rPr>
        <w:t>re</w:t>
      </w:r>
      <w:r>
        <w:rPr>
          <w:spacing w:val="-3"/>
          <w:szCs w:val="22"/>
        </w:rPr>
        <w:t>z</w:t>
      </w:r>
      <w:r>
        <w:rPr>
          <w:szCs w:val="22"/>
        </w:rPr>
        <w:t>u</w:t>
      </w:r>
      <w:r>
        <w:rPr>
          <w:spacing w:val="-2"/>
          <w:szCs w:val="22"/>
        </w:rPr>
        <w:t>l</w:t>
      </w:r>
      <w:r>
        <w:rPr>
          <w:spacing w:val="1"/>
          <w:szCs w:val="22"/>
        </w:rPr>
        <w:t>t</w:t>
      </w:r>
      <w:r>
        <w:rPr>
          <w:spacing w:val="-3"/>
          <w:szCs w:val="22"/>
        </w:rPr>
        <w:t>a</w:t>
      </w:r>
      <w:r>
        <w:rPr>
          <w:spacing w:val="1"/>
          <w:szCs w:val="22"/>
        </w:rPr>
        <w:t>t</w:t>
      </w:r>
      <w:r>
        <w:rPr>
          <w:szCs w:val="22"/>
        </w:rPr>
        <w:t xml:space="preserve">e, </w:t>
      </w:r>
      <w:r>
        <w:rPr>
          <w:spacing w:val="-2"/>
          <w:szCs w:val="22"/>
        </w:rPr>
        <w:t>ş</w:t>
      </w:r>
      <w:r>
        <w:rPr>
          <w:szCs w:val="22"/>
        </w:rPr>
        <w:t>i</w:t>
      </w:r>
      <w:r>
        <w:rPr>
          <w:spacing w:val="-2"/>
          <w:szCs w:val="22"/>
        </w:rPr>
        <w:t xml:space="preserve"> l</w:t>
      </w:r>
      <w:r>
        <w:rPr>
          <w:szCs w:val="22"/>
        </w:rPr>
        <w:t>a ca</w:t>
      </w:r>
      <w:r>
        <w:rPr>
          <w:spacing w:val="-2"/>
          <w:szCs w:val="22"/>
        </w:rPr>
        <w:t>r</w:t>
      </w:r>
      <w:r>
        <w:rPr>
          <w:szCs w:val="22"/>
        </w:rPr>
        <w:t>e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w:t>
      </w:r>
      <w:r>
        <w:rPr>
          <w:spacing w:val="-2"/>
          <w:szCs w:val="22"/>
        </w:rPr>
        <w:t>r</w:t>
      </w:r>
      <w:r>
        <w:rPr>
          <w:szCs w:val="22"/>
        </w:rPr>
        <w:t xml:space="preserve">ea </w:t>
      </w:r>
      <w:r>
        <w:rPr>
          <w:spacing w:val="-3"/>
          <w:szCs w:val="22"/>
        </w:rPr>
        <w:t>d</w:t>
      </w:r>
      <w:r>
        <w:rPr>
          <w:szCs w:val="22"/>
        </w:rPr>
        <w:t xml:space="preserve">e </w:t>
      </w:r>
      <w:r>
        <w:rPr>
          <w:spacing w:val="-4"/>
          <w:szCs w:val="22"/>
        </w:rPr>
        <w:t>m</w:t>
      </w:r>
      <w:r>
        <w:rPr>
          <w:szCs w:val="22"/>
        </w:rPr>
        <w:t>e</w:t>
      </w:r>
      <w:r>
        <w:rPr>
          <w:spacing w:val="1"/>
          <w:szCs w:val="22"/>
        </w:rPr>
        <w:t>t</w:t>
      </w:r>
      <w:r>
        <w:rPr>
          <w:szCs w:val="22"/>
        </w:rPr>
        <w:t>o</w:t>
      </w:r>
      <w:r>
        <w:rPr>
          <w:spacing w:val="1"/>
          <w:szCs w:val="22"/>
        </w:rPr>
        <w:t>t</w:t>
      </w:r>
      <w:r>
        <w:rPr>
          <w:szCs w:val="22"/>
        </w:rPr>
        <w:t>r</w:t>
      </w:r>
      <w:r>
        <w:rPr>
          <w:spacing w:val="-3"/>
          <w:szCs w:val="22"/>
        </w:rPr>
        <w:t>e</w:t>
      </w:r>
      <w:r>
        <w:rPr>
          <w:szCs w:val="22"/>
        </w:rPr>
        <w:t>xat</w:t>
      </w:r>
      <w:r>
        <w:rPr>
          <w:spacing w:val="-2"/>
          <w:szCs w:val="22"/>
        </w:rPr>
        <w:t xml:space="preserve"> </w:t>
      </w:r>
      <w:r>
        <w:rPr>
          <w:spacing w:val="1"/>
          <w:szCs w:val="22"/>
        </w:rPr>
        <w:t>î</w:t>
      </w:r>
      <w:r>
        <w:rPr>
          <w:szCs w:val="22"/>
        </w:rPr>
        <w:t xml:space="preserve">n </w:t>
      </w:r>
      <w:r>
        <w:rPr>
          <w:spacing w:val="-3"/>
          <w:szCs w:val="22"/>
        </w:rPr>
        <w:t>d</w:t>
      </w:r>
      <w:r>
        <w:rPr>
          <w:szCs w:val="22"/>
        </w:rPr>
        <w:t>o</w:t>
      </w:r>
      <w:r>
        <w:rPr>
          <w:spacing w:val="-3"/>
          <w:szCs w:val="22"/>
        </w:rPr>
        <w:t>z</w:t>
      </w:r>
      <w:r>
        <w:rPr>
          <w:szCs w:val="22"/>
        </w:rPr>
        <w:t>e să</w:t>
      </w:r>
      <w:r>
        <w:rPr>
          <w:spacing w:val="-3"/>
          <w:szCs w:val="22"/>
        </w:rPr>
        <w:t>p</w:t>
      </w:r>
      <w:r>
        <w:rPr>
          <w:spacing w:val="1"/>
          <w:szCs w:val="22"/>
        </w:rPr>
        <w:t>t</w:t>
      </w:r>
      <w:r>
        <w:rPr>
          <w:szCs w:val="22"/>
        </w:rPr>
        <w:t>ă</w:t>
      </w:r>
      <w:r>
        <w:rPr>
          <w:spacing w:val="-4"/>
          <w:szCs w:val="22"/>
        </w:rPr>
        <w:t>m</w:t>
      </w:r>
      <w:r>
        <w:rPr>
          <w:szCs w:val="22"/>
        </w:rPr>
        <w:t>âna</w:t>
      </w:r>
      <w:r>
        <w:rPr>
          <w:spacing w:val="1"/>
          <w:szCs w:val="22"/>
        </w:rPr>
        <w:t>l</w:t>
      </w:r>
      <w:r>
        <w:rPr>
          <w:szCs w:val="22"/>
        </w:rPr>
        <w:t>e</w:t>
      </w:r>
      <w:r>
        <w:rPr>
          <w:spacing w:val="-2"/>
          <w:szCs w:val="22"/>
        </w:rPr>
        <w:t xml:space="preserve"> </w:t>
      </w:r>
      <w:r>
        <w:rPr>
          <w:szCs w:val="22"/>
        </w:rPr>
        <w:t>de 12,5</w:t>
      </w:r>
      <w:r>
        <w:rPr>
          <w:spacing w:val="-4"/>
          <w:szCs w:val="22"/>
        </w:rPr>
        <w:noBreakHyphen/>
      </w:r>
      <w:r>
        <w:rPr>
          <w:szCs w:val="22"/>
        </w:rPr>
        <w:t>25 </w:t>
      </w:r>
      <w:r>
        <w:rPr>
          <w:spacing w:val="-2"/>
          <w:szCs w:val="22"/>
        </w:rPr>
        <w:t>m</w:t>
      </w:r>
      <w:r>
        <w:rPr>
          <w:szCs w:val="22"/>
        </w:rPr>
        <w:t>g</w:t>
      </w:r>
      <w:r>
        <w:rPr>
          <w:spacing w:val="-3"/>
          <w:szCs w:val="22"/>
        </w:rPr>
        <w:t xml:space="preserve"> </w:t>
      </w:r>
      <w:r>
        <w:rPr>
          <w:szCs w:val="22"/>
        </w:rPr>
        <w:t>(10 </w:t>
      </w:r>
      <w:r>
        <w:rPr>
          <w:spacing w:val="-2"/>
          <w:szCs w:val="22"/>
        </w:rPr>
        <w:t>m</w:t>
      </w:r>
      <w:r>
        <w:rPr>
          <w:szCs w:val="22"/>
        </w:rPr>
        <w:t>g</w:t>
      </w:r>
      <w:r>
        <w:rPr>
          <w:spacing w:val="-3"/>
          <w:szCs w:val="22"/>
        </w:rPr>
        <w:t xml:space="preserve"> </w:t>
      </w:r>
      <w:r>
        <w:rPr>
          <w:szCs w:val="22"/>
        </w:rPr>
        <w:t xml:space="preserve">dacă </w:t>
      </w:r>
      <w:r>
        <w:rPr>
          <w:spacing w:val="-4"/>
          <w:szCs w:val="22"/>
        </w:rPr>
        <w:t>m</w:t>
      </w:r>
      <w:r>
        <w:rPr>
          <w:szCs w:val="22"/>
        </w:rPr>
        <w:t>an</w:t>
      </w:r>
      <w:r>
        <w:rPr>
          <w:spacing w:val="1"/>
          <w:szCs w:val="22"/>
        </w:rPr>
        <w:t>i</w:t>
      </w:r>
      <w:r>
        <w:rPr>
          <w:szCs w:val="22"/>
        </w:rPr>
        <w:t>fes</w:t>
      </w:r>
      <w:r>
        <w:rPr>
          <w:spacing w:val="-2"/>
          <w:szCs w:val="22"/>
        </w:rPr>
        <w:t>t</w:t>
      </w:r>
      <w:r>
        <w:rPr>
          <w:szCs w:val="22"/>
        </w:rPr>
        <w:t>au</w:t>
      </w:r>
      <w:r>
        <w:rPr>
          <w:spacing w:val="-3"/>
          <w:szCs w:val="22"/>
        </w:rPr>
        <w:t xml:space="preserve"> </w:t>
      </w:r>
      <w:r>
        <w:rPr>
          <w:spacing w:val="1"/>
          <w:szCs w:val="22"/>
        </w:rPr>
        <w:t>i</w:t>
      </w:r>
      <w:r>
        <w:rPr>
          <w:szCs w:val="22"/>
        </w:rPr>
        <w:t>n</w:t>
      </w:r>
      <w:r>
        <w:rPr>
          <w:spacing w:val="1"/>
          <w:szCs w:val="22"/>
        </w:rPr>
        <w:t>t</w:t>
      </w:r>
      <w:r>
        <w:rPr>
          <w:spacing w:val="-3"/>
          <w:szCs w:val="22"/>
        </w:rPr>
        <w:t>o</w:t>
      </w:r>
      <w:r>
        <w:rPr>
          <w:spacing w:val="1"/>
          <w:szCs w:val="22"/>
        </w:rPr>
        <w:t>l</w:t>
      </w:r>
      <w:r>
        <w:rPr>
          <w:spacing w:val="-3"/>
          <w:szCs w:val="22"/>
        </w:rPr>
        <w:t>e</w:t>
      </w:r>
      <w:r>
        <w:rPr>
          <w:spacing w:val="-2"/>
          <w:szCs w:val="22"/>
        </w:rPr>
        <w:t>r</w:t>
      </w:r>
      <w:r>
        <w:rPr>
          <w:szCs w:val="22"/>
        </w:rPr>
        <w:t>an</w:t>
      </w:r>
      <w:r>
        <w:rPr>
          <w:spacing w:val="1"/>
          <w:szCs w:val="22"/>
        </w:rPr>
        <w:t>ţ</w:t>
      </w:r>
      <w:r>
        <w:rPr>
          <w:szCs w:val="22"/>
        </w:rPr>
        <w:t>ă</w:t>
      </w:r>
      <w:r>
        <w:rPr>
          <w:spacing w:val="-2"/>
          <w:szCs w:val="22"/>
        </w:rPr>
        <w:t xml:space="preserve"> </w:t>
      </w:r>
      <w:r>
        <w:rPr>
          <w:spacing w:val="1"/>
          <w:szCs w:val="22"/>
        </w:rPr>
        <w:t>l</w:t>
      </w:r>
      <w:r>
        <w:rPr>
          <w:szCs w:val="22"/>
        </w:rPr>
        <w:t xml:space="preserve">a </w:t>
      </w:r>
      <w:r>
        <w:rPr>
          <w:spacing w:val="-4"/>
          <w:szCs w:val="22"/>
        </w:rPr>
        <w:t>m</w:t>
      </w:r>
      <w:r>
        <w:rPr>
          <w:szCs w:val="22"/>
        </w:rPr>
        <w:t>e</w:t>
      </w:r>
      <w:r>
        <w:rPr>
          <w:spacing w:val="1"/>
          <w:szCs w:val="22"/>
        </w:rPr>
        <w:t>t</w:t>
      </w:r>
      <w:r>
        <w:rPr>
          <w:spacing w:val="-3"/>
          <w:szCs w:val="22"/>
        </w:rPr>
        <w:t>o</w:t>
      </w:r>
      <w:r>
        <w:rPr>
          <w:spacing w:val="1"/>
          <w:szCs w:val="22"/>
        </w:rPr>
        <w:t>t</w:t>
      </w:r>
      <w:r>
        <w:rPr>
          <w:szCs w:val="22"/>
        </w:rPr>
        <w:t>re</w:t>
      </w:r>
      <w:r>
        <w:rPr>
          <w:spacing w:val="-3"/>
          <w:szCs w:val="22"/>
        </w:rPr>
        <w:t>x</w:t>
      </w:r>
      <w:r>
        <w:rPr>
          <w:szCs w:val="22"/>
        </w:rPr>
        <w:t>a</w:t>
      </w:r>
      <w:r>
        <w:rPr>
          <w:spacing w:val="-2"/>
          <w:szCs w:val="22"/>
        </w:rPr>
        <w:t>t</w:t>
      </w:r>
      <w:r>
        <w:rPr>
          <w:szCs w:val="22"/>
        </w:rPr>
        <w:t>)</w:t>
      </w:r>
      <w:r>
        <w:rPr>
          <w:spacing w:val="1"/>
          <w:szCs w:val="22"/>
        </w:rPr>
        <w:t xml:space="preserve"> </w:t>
      </w:r>
      <w:r>
        <w:rPr>
          <w:szCs w:val="22"/>
        </w:rPr>
        <w:t>nu</w:t>
      </w:r>
      <w:r>
        <w:rPr>
          <w:spacing w:val="-3"/>
          <w:szCs w:val="22"/>
        </w:rPr>
        <w:t xml:space="preserve"> </w:t>
      </w:r>
      <w:r>
        <w:rPr>
          <w:szCs w:val="22"/>
        </w:rPr>
        <w:t>a f</w:t>
      </w:r>
      <w:r>
        <w:rPr>
          <w:spacing w:val="-3"/>
          <w:szCs w:val="22"/>
        </w:rPr>
        <w:t>o</w:t>
      </w:r>
      <w:r>
        <w:rPr>
          <w:spacing w:val="-2"/>
          <w:szCs w:val="22"/>
        </w:rPr>
        <w:t>s</w:t>
      </w:r>
      <w:r>
        <w:rPr>
          <w:szCs w:val="22"/>
        </w:rPr>
        <w:t>t</w:t>
      </w:r>
      <w:r>
        <w:rPr>
          <w:spacing w:val="1"/>
          <w:szCs w:val="22"/>
        </w:rPr>
        <w:t xml:space="preserve"> </w:t>
      </w:r>
      <w:r>
        <w:rPr>
          <w:szCs w:val="22"/>
        </w:rPr>
        <w:t>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zCs w:val="22"/>
        </w:rPr>
        <w:t>t</w:t>
      </w:r>
      <w:r>
        <w:rPr>
          <w:spacing w:val="1"/>
          <w:szCs w:val="22"/>
        </w:rPr>
        <w:t xml:space="preserve"> </w:t>
      </w:r>
      <w:r>
        <w:rPr>
          <w:spacing w:val="-3"/>
          <w:szCs w:val="22"/>
        </w:rPr>
        <w:t>d</w:t>
      </w:r>
      <w:r>
        <w:rPr>
          <w:szCs w:val="22"/>
        </w:rPr>
        <w:t>e e</w:t>
      </w:r>
      <w:r>
        <w:rPr>
          <w:spacing w:val="-2"/>
          <w:szCs w:val="22"/>
        </w:rPr>
        <w:t>f</w:t>
      </w:r>
      <w:r>
        <w:rPr>
          <w:spacing w:val="1"/>
          <w:szCs w:val="22"/>
        </w:rPr>
        <w:t>i</w:t>
      </w:r>
      <w:r>
        <w:rPr>
          <w:spacing w:val="-3"/>
          <w:szCs w:val="22"/>
        </w:rPr>
        <w:t>c</w:t>
      </w:r>
      <w:r>
        <w:rPr>
          <w:szCs w:val="22"/>
        </w:rPr>
        <w:t>ace</w:t>
      </w:r>
      <w:r>
        <w:rPr>
          <w:spacing w:val="-2"/>
          <w:szCs w:val="22"/>
        </w:rPr>
        <w:t xml:space="preserve"> </w:t>
      </w:r>
      <w:r>
        <w:rPr>
          <w:szCs w:val="22"/>
        </w:rPr>
        <w:t>şi</w:t>
      </w:r>
      <w:r>
        <w:rPr>
          <w:spacing w:val="-2"/>
          <w:szCs w:val="22"/>
        </w:rPr>
        <w:t xml:space="preserve"> </w:t>
      </w:r>
      <w:r>
        <w:rPr>
          <w:spacing w:val="1"/>
          <w:szCs w:val="22"/>
        </w:rPr>
        <w:t>l</w:t>
      </w:r>
      <w:r>
        <w:rPr>
          <w:szCs w:val="22"/>
        </w:rPr>
        <w:t xml:space="preserve">a </w:t>
      </w:r>
      <w:r>
        <w:rPr>
          <w:spacing w:val="-3"/>
          <w:szCs w:val="22"/>
        </w:rPr>
        <w:t>c</w:t>
      </w:r>
      <w:r>
        <w:rPr>
          <w:szCs w:val="22"/>
        </w:rPr>
        <w:t xml:space="preserve">are </w:t>
      </w:r>
      <w:r>
        <w:rPr>
          <w:spacing w:val="-3"/>
          <w:szCs w:val="22"/>
        </w:rPr>
        <w:t>d</w:t>
      </w:r>
      <w:r>
        <w:rPr>
          <w:szCs w:val="22"/>
        </w:rPr>
        <w:t>o</w:t>
      </w:r>
      <w:r>
        <w:rPr>
          <w:spacing w:val="-3"/>
          <w:szCs w:val="22"/>
        </w:rPr>
        <w:t>z</w:t>
      </w:r>
      <w:r>
        <w:rPr>
          <w:szCs w:val="22"/>
        </w:rPr>
        <w:t xml:space="preserve">a de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zCs w:val="22"/>
        </w:rPr>
        <w:t>t</w:t>
      </w:r>
      <w:r>
        <w:rPr>
          <w:spacing w:val="1"/>
          <w:szCs w:val="22"/>
        </w:rPr>
        <w:t xml:space="preserve"> </w:t>
      </w:r>
      <w:r>
        <w:rPr>
          <w:szCs w:val="22"/>
        </w:rPr>
        <w:t>a</w:t>
      </w:r>
      <w:r>
        <w:rPr>
          <w:spacing w:val="-2"/>
          <w:szCs w:val="22"/>
        </w:rPr>
        <w:t xml:space="preserve"> </w:t>
      </w:r>
      <w:r>
        <w:rPr>
          <w:szCs w:val="22"/>
        </w:rPr>
        <w:t>ră</w:t>
      </w:r>
      <w:r>
        <w:rPr>
          <w:spacing w:val="-4"/>
          <w:szCs w:val="22"/>
        </w:rPr>
        <w:t>m</w:t>
      </w:r>
      <w:r>
        <w:rPr>
          <w:szCs w:val="22"/>
        </w:rPr>
        <w:t>as co</w:t>
      </w:r>
      <w:r>
        <w:rPr>
          <w:spacing w:val="-3"/>
          <w:szCs w:val="22"/>
        </w:rPr>
        <w:t>n</w:t>
      </w:r>
      <w:r>
        <w:rPr>
          <w:szCs w:val="22"/>
        </w:rPr>
        <w:t>s</w:t>
      </w:r>
      <w:r>
        <w:rPr>
          <w:spacing w:val="1"/>
          <w:szCs w:val="22"/>
        </w:rPr>
        <w:t>t</w:t>
      </w:r>
      <w:r>
        <w:rPr>
          <w:spacing w:val="-3"/>
          <w:szCs w:val="22"/>
        </w:rPr>
        <w:t>an</w:t>
      </w:r>
      <w:r>
        <w:rPr>
          <w:spacing w:val="1"/>
          <w:szCs w:val="22"/>
        </w:rPr>
        <w:t>t</w:t>
      </w:r>
      <w:r>
        <w:rPr>
          <w:szCs w:val="22"/>
        </w:rPr>
        <w:t xml:space="preserve">ă </w:t>
      </w:r>
      <w:r>
        <w:rPr>
          <w:spacing w:val="-2"/>
          <w:szCs w:val="22"/>
        </w:rPr>
        <w:t>l</w:t>
      </w:r>
      <w:r>
        <w:rPr>
          <w:szCs w:val="22"/>
        </w:rPr>
        <w:t>a 1</w:t>
      </w:r>
      <w:r>
        <w:rPr>
          <w:spacing w:val="-1"/>
          <w:szCs w:val="22"/>
        </w:rPr>
        <w:t>0</w:t>
      </w:r>
      <w:r>
        <w:rPr>
          <w:spacing w:val="-4"/>
          <w:szCs w:val="22"/>
        </w:rPr>
        <w:noBreakHyphen/>
      </w:r>
      <w:r>
        <w:rPr>
          <w:szCs w:val="22"/>
        </w:rPr>
        <w:t>25 </w:t>
      </w:r>
      <w:r>
        <w:rPr>
          <w:spacing w:val="-2"/>
          <w:szCs w:val="22"/>
        </w:rPr>
        <w:t>m</w:t>
      </w:r>
      <w:r>
        <w:rPr>
          <w:szCs w:val="22"/>
        </w:rPr>
        <w:t>g</w:t>
      </w:r>
      <w:r>
        <w:rPr>
          <w:spacing w:val="-3"/>
          <w:szCs w:val="22"/>
        </w:rPr>
        <w:t xml:space="preserve"> </w:t>
      </w:r>
      <w:r>
        <w:rPr>
          <w:szCs w:val="22"/>
        </w:rPr>
        <w:t>săp</w:t>
      </w:r>
      <w:r>
        <w:rPr>
          <w:spacing w:val="1"/>
          <w:szCs w:val="22"/>
        </w:rPr>
        <w:t>t</w:t>
      </w:r>
      <w:r>
        <w:rPr>
          <w:szCs w:val="22"/>
        </w:rPr>
        <w:t>ă</w:t>
      </w:r>
      <w:r>
        <w:rPr>
          <w:spacing w:val="-4"/>
          <w:szCs w:val="22"/>
        </w:rPr>
        <w:t>m</w:t>
      </w:r>
      <w:r>
        <w:rPr>
          <w:szCs w:val="22"/>
        </w:rPr>
        <w:t>âna</w:t>
      </w:r>
      <w:r>
        <w:rPr>
          <w:spacing w:val="1"/>
          <w:szCs w:val="22"/>
        </w:rPr>
        <w:t>l</w:t>
      </w:r>
      <w:r>
        <w:rPr>
          <w:szCs w:val="22"/>
        </w:rPr>
        <w:t>.</w:t>
      </w:r>
      <w:r>
        <w:rPr>
          <w:spacing w:val="-3"/>
          <w:szCs w:val="22"/>
        </w:rPr>
        <w:t xml:space="preserve"> </w:t>
      </w:r>
      <w:r>
        <w:rPr>
          <w:spacing w:val="-1"/>
          <w:szCs w:val="22"/>
        </w:rPr>
        <w:t>A</w:t>
      </w:r>
      <w:r>
        <w:rPr>
          <w:szCs w:val="22"/>
        </w:rPr>
        <w:t>u fo</w:t>
      </w:r>
      <w:r>
        <w:rPr>
          <w:spacing w:val="-2"/>
          <w:szCs w:val="22"/>
        </w:rPr>
        <w:t>s</w:t>
      </w:r>
      <w:r>
        <w:rPr>
          <w:szCs w:val="22"/>
        </w:rPr>
        <w:t>t</w:t>
      </w:r>
      <w:r>
        <w:rPr>
          <w:spacing w:val="1"/>
          <w:szCs w:val="22"/>
        </w:rPr>
        <w:t xml:space="preserve"> </w:t>
      </w:r>
      <w:r>
        <w:rPr>
          <w:szCs w:val="22"/>
        </w:rPr>
        <w:t>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pacing w:val="-2"/>
          <w:szCs w:val="22"/>
        </w:rPr>
        <w:t>r</w:t>
      </w:r>
      <w:r>
        <w:rPr>
          <w:szCs w:val="22"/>
        </w:rPr>
        <w:t>a</w:t>
      </w:r>
      <w:r>
        <w:rPr>
          <w:spacing w:val="1"/>
          <w:szCs w:val="22"/>
        </w:rPr>
        <w:t>t</w:t>
      </w:r>
      <w:r>
        <w:rPr>
          <w:szCs w:val="22"/>
        </w:rPr>
        <w:t>e</w:t>
      </w:r>
      <w:r>
        <w:rPr>
          <w:spacing w:val="-2"/>
          <w:szCs w:val="22"/>
        </w:rPr>
        <w:t xml:space="preserve"> </w:t>
      </w:r>
      <w:r>
        <w:rPr>
          <w:szCs w:val="22"/>
        </w:rPr>
        <w:t>do</w:t>
      </w:r>
      <w:r>
        <w:rPr>
          <w:spacing w:val="-3"/>
          <w:szCs w:val="22"/>
        </w:rPr>
        <w:t>z</w:t>
      </w:r>
      <w:r>
        <w:rPr>
          <w:szCs w:val="22"/>
        </w:rPr>
        <w:t xml:space="preserve">e </w:t>
      </w:r>
      <w:r>
        <w:rPr>
          <w:spacing w:val="-3"/>
          <w:szCs w:val="22"/>
        </w:rPr>
        <w:t>d</w:t>
      </w:r>
      <w:r>
        <w:rPr>
          <w:szCs w:val="22"/>
        </w:rPr>
        <w:t>e 20, 40</w:t>
      </w:r>
      <w:r>
        <w:rPr>
          <w:spacing w:val="-3"/>
          <w:szCs w:val="22"/>
        </w:rPr>
        <w:t xml:space="preserve"> </w:t>
      </w:r>
      <w:r>
        <w:rPr>
          <w:szCs w:val="22"/>
        </w:rPr>
        <w:t>sau 80</w:t>
      </w:r>
      <w:r>
        <w:rPr>
          <w:spacing w:val="-3"/>
          <w:szCs w:val="22"/>
        </w:rPr>
        <w:t> </w:t>
      </w:r>
      <w:r>
        <w:rPr>
          <w:spacing w:val="-2"/>
          <w:szCs w:val="22"/>
        </w:rPr>
        <w:t>m</w:t>
      </w:r>
      <w:r>
        <w:rPr>
          <w:szCs w:val="22"/>
        </w:rPr>
        <w:t xml:space="preserve">g </w:t>
      </w:r>
      <w:r>
        <w:rPr>
          <w:rFonts w:eastAsia="MS Mincho"/>
          <w:spacing w:val="-1"/>
          <w:szCs w:val="22"/>
          <w:lang w:eastAsia="en-US" w:bidi="ar-SA"/>
        </w:rPr>
        <w:t>adalimumab</w:t>
      </w:r>
      <w:r>
        <w:rPr>
          <w:szCs w:val="22"/>
        </w:rPr>
        <w:t xml:space="preserve"> sau </w:t>
      </w:r>
      <w:r>
        <w:rPr>
          <w:spacing w:val="-3"/>
          <w:szCs w:val="22"/>
        </w:rPr>
        <w:t>p</w:t>
      </w:r>
      <w:r>
        <w:rPr>
          <w:spacing w:val="1"/>
          <w:szCs w:val="22"/>
        </w:rPr>
        <w:t>l</w:t>
      </w:r>
      <w:r>
        <w:rPr>
          <w:szCs w:val="22"/>
        </w:rPr>
        <w:t>a</w:t>
      </w:r>
      <w:r>
        <w:rPr>
          <w:spacing w:val="-3"/>
          <w:szCs w:val="22"/>
        </w:rPr>
        <w:t>c</w:t>
      </w:r>
      <w:r>
        <w:rPr>
          <w:szCs w:val="22"/>
        </w:rPr>
        <w:t xml:space="preserve">ebo, </w:t>
      </w:r>
      <w:r>
        <w:rPr>
          <w:spacing w:val="-3"/>
          <w:szCs w:val="22"/>
        </w:rPr>
        <w:t>d</w:t>
      </w:r>
      <w:r>
        <w:rPr>
          <w:spacing w:val="1"/>
          <w:szCs w:val="22"/>
        </w:rPr>
        <w:t>i</w:t>
      </w:r>
      <w:r>
        <w:rPr>
          <w:szCs w:val="22"/>
        </w:rPr>
        <w:t>n d</w:t>
      </w:r>
      <w:r>
        <w:rPr>
          <w:spacing w:val="-3"/>
          <w:szCs w:val="22"/>
        </w:rPr>
        <w:t>o</w:t>
      </w:r>
      <w:r>
        <w:rPr>
          <w:szCs w:val="22"/>
        </w:rPr>
        <w:t xml:space="preserve">uă </w:t>
      </w:r>
      <w:r>
        <w:rPr>
          <w:spacing w:val="1"/>
          <w:szCs w:val="22"/>
        </w:rPr>
        <w:t>î</w:t>
      </w:r>
      <w:r>
        <w:rPr>
          <w:szCs w:val="22"/>
        </w:rPr>
        <w:t xml:space="preserve">n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2"/>
          <w:szCs w:val="22"/>
        </w:rPr>
        <w:t>t</w:t>
      </w:r>
      <w:r>
        <w:rPr>
          <w:spacing w:val="1"/>
          <w:szCs w:val="22"/>
        </w:rPr>
        <w:t>i</w:t>
      </w:r>
      <w:r>
        <w:rPr>
          <w:spacing w:val="-4"/>
          <w:szCs w:val="22"/>
        </w:rPr>
        <w:t>m</w:t>
      </w:r>
      <w:r>
        <w:rPr>
          <w:szCs w:val="22"/>
        </w:rPr>
        <w:t xml:space="preserve">p de 24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w:t>
      </w:r>
    </w:p>
    <w:p w14:paraId="56AD5CD6" w14:textId="77777777" w:rsidR="00C04CAD" w:rsidRDefault="00C04CAD">
      <w:pPr>
        <w:tabs>
          <w:tab w:val="clear" w:pos="567"/>
        </w:tabs>
        <w:kinsoku w:val="0"/>
        <w:overflowPunct w:val="0"/>
        <w:autoSpaceDE w:val="0"/>
        <w:autoSpaceDN w:val="0"/>
        <w:adjustRightInd w:val="0"/>
        <w:spacing w:line="240" w:lineRule="auto"/>
        <w:rPr>
          <w:szCs w:val="22"/>
        </w:rPr>
      </w:pPr>
    </w:p>
    <w:p w14:paraId="53CF70E8"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2"/>
          <w:szCs w:val="22"/>
        </w:rPr>
        <w:t>I</w:t>
      </w:r>
      <w:r>
        <w:rPr>
          <w:szCs w:val="22"/>
        </w:rPr>
        <w:t>I</w:t>
      </w:r>
      <w:r>
        <w:rPr>
          <w:spacing w:val="-4"/>
          <w:szCs w:val="22"/>
        </w:rPr>
        <w:t xml:space="preserve"> </w:t>
      </w:r>
      <w:r>
        <w:rPr>
          <w:szCs w:val="22"/>
        </w:rPr>
        <w:t>au fost</w:t>
      </w:r>
      <w:r>
        <w:rPr>
          <w:spacing w:val="1"/>
          <w:szCs w:val="22"/>
        </w:rPr>
        <w:t xml:space="preserve"> </w:t>
      </w:r>
      <w:r>
        <w:rPr>
          <w:szCs w:val="22"/>
        </w:rPr>
        <w:t>e</w:t>
      </w:r>
      <w:r>
        <w:rPr>
          <w:spacing w:val="-3"/>
          <w:szCs w:val="22"/>
        </w:rPr>
        <w:t>va</w:t>
      </w:r>
      <w:r>
        <w:rPr>
          <w:spacing w:val="1"/>
          <w:szCs w:val="22"/>
        </w:rPr>
        <w:t>l</w:t>
      </w:r>
      <w:r>
        <w:rPr>
          <w:szCs w:val="22"/>
        </w:rPr>
        <w:t>u</w:t>
      </w:r>
      <w:r>
        <w:rPr>
          <w:spacing w:val="-3"/>
          <w:szCs w:val="22"/>
        </w:rPr>
        <w:t>a</w:t>
      </w:r>
      <w:r>
        <w:rPr>
          <w:spacing w:val="1"/>
          <w:szCs w:val="22"/>
        </w:rPr>
        <w:t>ţ</w:t>
      </w:r>
      <w:r>
        <w:rPr>
          <w:szCs w:val="22"/>
        </w:rPr>
        <w:t>i</w:t>
      </w:r>
      <w:r>
        <w:rPr>
          <w:spacing w:val="1"/>
          <w:szCs w:val="22"/>
        </w:rPr>
        <w:t xml:space="preserve"> </w:t>
      </w:r>
      <w:r>
        <w:rPr>
          <w:szCs w:val="22"/>
        </w:rPr>
        <w:t>5</w:t>
      </w:r>
      <w:r>
        <w:rPr>
          <w:spacing w:val="-3"/>
          <w:szCs w:val="22"/>
        </w:rPr>
        <w:t>4</w:t>
      </w:r>
      <w:r>
        <w:rPr>
          <w:szCs w:val="22"/>
        </w:rPr>
        <w:t>4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 xml:space="preserve">, cu </w:t>
      </w:r>
      <w:r>
        <w:rPr>
          <w:spacing w:val="-3"/>
          <w:szCs w:val="22"/>
        </w:rPr>
        <w:t>v</w:t>
      </w:r>
      <w:r>
        <w:rPr>
          <w:szCs w:val="22"/>
        </w:rPr>
        <w:t>â</w:t>
      </w:r>
      <w:r>
        <w:rPr>
          <w:spacing w:val="-2"/>
          <w:szCs w:val="22"/>
        </w:rPr>
        <w:t>r</w:t>
      </w:r>
      <w:r>
        <w:rPr>
          <w:szCs w:val="22"/>
        </w:rPr>
        <w:t>s</w:t>
      </w:r>
      <w:r>
        <w:rPr>
          <w:spacing w:val="1"/>
          <w:szCs w:val="22"/>
        </w:rPr>
        <w:t>t</w:t>
      </w:r>
      <w:r>
        <w:rPr>
          <w:szCs w:val="22"/>
        </w:rPr>
        <w:t>a</w:t>
      </w:r>
      <w:r>
        <w:rPr>
          <w:spacing w:val="-2"/>
          <w:szCs w:val="22"/>
        </w:rPr>
        <w:t xml:space="preserve"> </w:t>
      </w:r>
      <w:r>
        <w:rPr>
          <w:spacing w:val="1"/>
          <w:szCs w:val="22"/>
        </w:rPr>
        <w:t>≥</w:t>
      </w:r>
      <w:r>
        <w:rPr>
          <w:szCs w:val="22"/>
        </w:rPr>
        <w:t xml:space="preserve">18 </w:t>
      </w:r>
      <w:r>
        <w:rPr>
          <w:spacing w:val="-3"/>
          <w:szCs w:val="22"/>
        </w:rPr>
        <w:t>a</w:t>
      </w:r>
      <w:r>
        <w:rPr>
          <w:szCs w:val="22"/>
        </w:rPr>
        <w:t>n</w:t>
      </w:r>
      <w:r>
        <w:rPr>
          <w:spacing w:val="1"/>
          <w:szCs w:val="22"/>
        </w:rPr>
        <w:t>i</w:t>
      </w:r>
      <w:r>
        <w:rPr>
          <w:szCs w:val="22"/>
        </w:rPr>
        <w:t>,</w:t>
      </w:r>
      <w:r>
        <w:rPr>
          <w:spacing w:val="-3"/>
          <w:szCs w:val="22"/>
        </w:rPr>
        <w:t xml:space="preserve"> </w:t>
      </w:r>
      <w:r>
        <w:rPr>
          <w:szCs w:val="22"/>
        </w:rPr>
        <w:t>cu p</w:t>
      </w:r>
      <w:r>
        <w:rPr>
          <w:spacing w:val="-3"/>
          <w:szCs w:val="22"/>
        </w:rPr>
        <w:t>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it</w:t>
      </w:r>
      <w:r>
        <w:rPr>
          <w:szCs w:val="22"/>
        </w:rPr>
        <w:t>ă</w:t>
      </w:r>
      <w:r>
        <w:rPr>
          <w:spacing w:val="-2"/>
          <w:szCs w:val="22"/>
        </w:rPr>
        <w:t xml:space="preserve"> </w:t>
      </w:r>
      <w:r>
        <w:rPr>
          <w:szCs w:val="22"/>
        </w:rPr>
        <w:t>re</w:t>
      </w:r>
      <w:r>
        <w:rPr>
          <w:spacing w:val="-3"/>
          <w:szCs w:val="22"/>
        </w:rPr>
        <w:t>u</w:t>
      </w:r>
      <w:r>
        <w:rPr>
          <w:spacing w:val="-4"/>
          <w:szCs w:val="22"/>
        </w:rPr>
        <w:t>m</w:t>
      </w:r>
      <w:r>
        <w:rPr>
          <w:szCs w:val="22"/>
        </w:rPr>
        <w:t>a</w:t>
      </w:r>
      <w:r>
        <w:rPr>
          <w:spacing w:val="1"/>
          <w:szCs w:val="22"/>
        </w:rPr>
        <w:t>t</w:t>
      </w:r>
      <w:r>
        <w:rPr>
          <w:szCs w:val="22"/>
        </w:rPr>
        <w:t>o</w:t>
      </w:r>
      <w:r>
        <w:rPr>
          <w:spacing w:val="1"/>
          <w:szCs w:val="22"/>
        </w:rPr>
        <w:t>i</w:t>
      </w:r>
      <w:r>
        <w:rPr>
          <w:szCs w:val="22"/>
        </w:rPr>
        <w:t>dă a</w:t>
      </w:r>
      <w:r>
        <w:rPr>
          <w:spacing w:val="-3"/>
          <w:szCs w:val="22"/>
        </w:rPr>
        <w:t>c</w:t>
      </w:r>
      <w:r>
        <w:rPr>
          <w:spacing w:val="1"/>
          <w:szCs w:val="22"/>
        </w:rPr>
        <w:t>ti</w:t>
      </w:r>
      <w:r>
        <w:rPr>
          <w:spacing w:val="-3"/>
          <w:szCs w:val="22"/>
        </w:rPr>
        <w:t>v</w:t>
      </w:r>
      <w:r>
        <w:rPr>
          <w:szCs w:val="22"/>
        </w:rPr>
        <w:t xml:space="preserve">ă </w:t>
      </w:r>
      <w:r>
        <w:rPr>
          <w:spacing w:val="-4"/>
          <w:szCs w:val="22"/>
        </w:rPr>
        <w:t>m</w:t>
      </w:r>
      <w:r>
        <w:rPr>
          <w:szCs w:val="22"/>
        </w:rPr>
        <w:t>odera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4"/>
          <w:szCs w:val="22"/>
        </w:rPr>
        <w:t>v</w:t>
      </w:r>
      <w:r>
        <w:rPr>
          <w:szCs w:val="22"/>
        </w:rPr>
        <w:t>eră,</w:t>
      </w:r>
      <w:r>
        <w:rPr>
          <w:spacing w:val="-3"/>
          <w:szCs w:val="22"/>
        </w:rPr>
        <w:t xml:space="preserve"> </w:t>
      </w:r>
      <w:r>
        <w:rPr>
          <w:spacing w:val="1"/>
          <w:szCs w:val="22"/>
        </w:rPr>
        <w:t>l</w:t>
      </w:r>
      <w:r>
        <w:rPr>
          <w:szCs w:val="22"/>
        </w:rPr>
        <w:t>a</w:t>
      </w:r>
      <w:r>
        <w:rPr>
          <w:spacing w:val="-2"/>
          <w:szCs w:val="22"/>
        </w:rPr>
        <w:t xml:space="preserve"> </w:t>
      </w:r>
      <w:r>
        <w:rPr>
          <w:szCs w:val="22"/>
        </w:rPr>
        <w:t>care</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u c</w:t>
      </w:r>
      <w:r>
        <w:rPr>
          <w:spacing w:val="-3"/>
          <w:szCs w:val="22"/>
        </w:rPr>
        <w:t>e</w:t>
      </w:r>
      <w:r>
        <w:rPr>
          <w:szCs w:val="22"/>
        </w:rPr>
        <w:t>l</w:t>
      </w:r>
      <w:r>
        <w:rPr>
          <w:spacing w:val="1"/>
          <w:szCs w:val="22"/>
        </w:rPr>
        <w:t xml:space="preserve"> </w:t>
      </w:r>
      <w:r>
        <w:rPr>
          <w:szCs w:val="22"/>
        </w:rPr>
        <w:t>p</w:t>
      </w:r>
      <w:r>
        <w:rPr>
          <w:spacing w:val="-3"/>
          <w:szCs w:val="22"/>
        </w:rPr>
        <w:t>u</w:t>
      </w:r>
      <w:r>
        <w:rPr>
          <w:spacing w:val="1"/>
          <w:szCs w:val="22"/>
        </w:rPr>
        <w:t>ţ</w:t>
      </w:r>
      <w:r>
        <w:rPr>
          <w:spacing w:val="-2"/>
          <w:szCs w:val="22"/>
        </w:rPr>
        <w:t>i</w:t>
      </w:r>
      <w:r>
        <w:rPr>
          <w:szCs w:val="22"/>
        </w:rPr>
        <w:t xml:space="preserve">n un </w:t>
      </w:r>
      <w:r>
        <w:rPr>
          <w:spacing w:val="-4"/>
          <w:szCs w:val="22"/>
        </w:rPr>
        <w:t>m</w:t>
      </w:r>
      <w:r>
        <w:rPr>
          <w:szCs w:val="22"/>
        </w:rPr>
        <w:t>ed</w:t>
      </w:r>
      <w:r>
        <w:rPr>
          <w:spacing w:val="1"/>
          <w:szCs w:val="22"/>
        </w:rPr>
        <w:t>i</w:t>
      </w:r>
      <w:r>
        <w:rPr>
          <w:szCs w:val="22"/>
        </w:rPr>
        <w:t>ca</w:t>
      </w:r>
      <w:r>
        <w:rPr>
          <w:spacing w:val="-4"/>
          <w:szCs w:val="22"/>
        </w:rPr>
        <w:t>m</w:t>
      </w:r>
      <w:r>
        <w:rPr>
          <w:szCs w:val="22"/>
        </w:rPr>
        <w:t>ent</w:t>
      </w:r>
      <w:r>
        <w:rPr>
          <w:spacing w:val="1"/>
          <w:szCs w:val="22"/>
        </w:rPr>
        <w:t xml:space="preserve"> </w:t>
      </w:r>
      <w:r>
        <w:rPr>
          <w:szCs w:val="22"/>
        </w:rPr>
        <w:t>a</w:t>
      </w:r>
      <w:r>
        <w:rPr>
          <w:spacing w:val="-3"/>
          <w:szCs w:val="22"/>
        </w:rPr>
        <w:t>n</w:t>
      </w:r>
      <w:r>
        <w:rPr>
          <w:spacing w:val="1"/>
          <w:szCs w:val="22"/>
        </w:rPr>
        <w:t>t</w:t>
      </w:r>
      <w:r>
        <w:rPr>
          <w:spacing w:val="-2"/>
          <w:szCs w:val="22"/>
        </w:rPr>
        <w:t>i</w:t>
      </w:r>
      <w:r>
        <w:rPr>
          <w:szCs w:val="22"/>
        </w:rPr>
        <w:t>reu</w:t>
      </w:r>
      <w:r>
        <w:rPr>
          <w:spacing w:val="-4"/>
          <w:szCs w:val="22"/>
        </w:rPr>
        <w:t>m</w:t>
      </w:r>
      <w:r>
        <w:rPr>
          <w:szCs w:val="22"/>
        </w:rPr>
        <w:t>a</w:t>
      </w:r>
      <w:r>
        <w:rPr>
          <w:spacing w:val="1"/>
          <w:szCs w:val="22"/>
        </w:rPr>
        <w:t>ti</w:t>
      </w:r>
      <w:r>
        <w:rPr>
          <w:szCs w:val="22"/>
        </w:rPr>
        <w:t xml:space="preserve">c </w:t>
      </w:r>
      <w:r>
        <w:rPr>
          <w:spacing w:val="-4"/>
          <w:szCs w:val="22"/>
        </w:rPr>
        <w:t>m</w:t>
      </w:r>
      <w:r>
        <w:rPr>
          <w:szCs w:val="22"/>
        </w:rPr>
        <w:t>od</w:t>
      </w:r>
      <w:r>
        <w:rPr>
          <w:spacing w:val="1"/>
          <w:szCs w:val="22"/>
        </w:rPr>
        <w:t>i</w:t>
      </w:r>
      <w:r>
        <w:rPr>
          <w:spacing w:val="-2"/>
          <w:szCs w:val="22"/>
        </w:rPr>
        <w:t>f</w:t>
      </w:r>
      <w:r>
        <w:rPr>
          <w:spacing w:val="1"/>
          <w:szCs w:val="22"/>
        </w:rPr>
        <w:t>i</w:t>
      </w:r>
      <w:r>
        <w:rPr>
          <w:spacing w:val="-3"/>
          <w:szCs w:val="22"/>
        </w:rPr>
        <w:t>c</w:t>
      </w:r>
      <w:r>
        <w:rPr>
          <w:szCs w:val="22"/>
        </w:rPr>
        <w:t>a</w:t>
      </w:r>
      <w:r>
        <w:rPr>
          <w:spacing w:val="1"/>
          <w:szCs w:val="22"/>
        </w:rPr>
        <w:t>t</w:t>
      </w:r>
      <w:r>
        <w:rPr>
          <w:spacing w:val="-3"/>
          <w:szCs w:val="22"/>
        </w:rPr>
        <w:t>o</w:t>
      </w:r>
      <w:r>
        <w:rPr>
          <w:szCs w:val="22"/>
        </w:rPr>
        <w:t>r</w:t>
      </w:r>
      <w:r>
        <w:rPr>
          <w:spacing w:val="1"/>
          <w:szCs w:val="22"/>
        </w:rPr>
        <w:t xml:space="preserve"> </w:t>
      </w:r>
      <w:r>
        <w:rPr>
          <w:szCs w:val="22"/>
        </w:rPr>
        <w:t>de boa</w:t>
      </w:r>
      <w:r>
        <w:rPr>
          <w:spacing w:val="1"/>
          <w:szCs w:val="22"/>
        </w:rPr>
        <w:t>l</w:t>
      </w:r>
      <w:r>
        <w:rPr>
          <w:szCs w:val="22"/>
        </w:rPr>
        <w:t>ă</w:t>
      </w:r>
      <w:r>
        <w:rPr>
          <w:spacing w:val="-2"/>
          <w:szCs w:val="22"/>
        </w:rPr>
        <w:t xml:space="preserve"> </w:t>
      </w:r>
      <w:r>
        <w:rPr>
          <w:szCs w:val="22"/>
        </w:rPr>
        <w:t>nu a</w:t>
      </w:r>
      <w:r>
        <w:rPr>
          <w:spacing w:val="-2"/>
          <w:szCs w:val="22"/>
        </w:rPr>
        <w:t xml:space="preserve"> </w:t>
      </w:r>
      <w:r>
        <w:rPr>
          <w:szCs w:val="22"/>
        </w:rPr>
        <w:t>dat</w:t>
      </w:r>
      <w:r>
        <w:rPr>
          <w:spacing w:val="-2"/>
          <w:szCs w:val="22"/>
        </w:rPr>
        <w:t xml:space="preserve"> </w:t>
      </w:r>
      <w:r>
        <w:rPr>
          <w:szCs w:val="22"/>
        </w:rPr>
        <w:t>re</w:t>
      </w:r>
      <w:r>
        <w:rPr>
          <w:spacing w:val="-3"/>
          <w:szCs w:val="22"/>
        </w:rPr>
        <w:t>z</w:t>
      </w:r>
      <w:r>
        <w:rPr>
          <w:szCs w:val="22"/>
        </w:rPr>
        <w:t>u</w:t>
      </w:r>
      <w:r>
        <w:rPr>
          <w:spacing w:val="-2"/>
          <w:szCs w:val="22"/>
        </w:rPr>
        <w:t>l</w:t>
      </w:r>
      <w:r>
        <w:rPr>
          <w:spacing w:val="1"/>
          <w:szCs w:val="22"/>
        </w:rPr>
        <w:t>t</w:t>
      </w:r>
      <w:r>
        <w:rPr>
          <w:spacing w:val="-3"/>
          <w:szCs w:val="22"/>
        </w:rPr>
        <w:t>a</w:t>
      </w:r>
      <w:r>
        <w:rPr>
          <w:spacing w:val="1"/>
          <w:szCs w:val="22"/>
        </w:rPr>
        <w:t>t</w:t>
      </w:r>
      <w:r>
        <w:rPr>
          <w:szCs w:val="22"/>
        </w:rPr>
        <w:t xml:space="preserve">e. </w:t>
      </w:r>
      <w:r>
        <w:rPr>
          <w:spacing w:val="-1"/>
          <w:szCs w:val="22"/>
        </w:rPr>
        <w:t>D</w:t>
      </w:r>
      <w:r>
        <w:rPr>
          <w:spacing w:val="-3"/>
          <w:szCs w:val="22"/>
        </w:rPr>
        <w:t>oz</w:t>
      </w:r>
      <w:r>
        <w:rPr>
          <w:szCs w:val="22"/>
        </w:rPr>
        <w:t>e de 20 sau</w:t>
      </w:r>
      <w:r>
        <w:rPr>
          <w:spacing w:val="-3"/>
          <w:szCs w:val="22"/>
        </w:rPr>
        <w:t xml:space="preserve"> </w:t>
      </w:r>
      <w:r>
        <w:rPr>
          <w:szCs w:val="22"/>
        </w:rPr>
        <w:t>40 </w:t>
      </w:r>
      <w:r>
        <w:rPr>
          <w:spacing w:val="-4"/>
          <w:szCs w:val="22"/>
        </w:rPr>
        <w:t>m</w:t>
      </w:r>
      <w:r>
        <w:rPr>
          <w:szCs w:val="22"/>
        </w:rPr>
        <w:t>g</w:t>
      </w:r>
      <w:r>
        <w:rPr>
          <w:spacing w:val="-3"/>
          <w:szCs w:val="22"/>
        </w:rPr>
        <w:t xml:space="preserve"> </w:t>
      </w:r>
      <w:r>
        <w:rPr>
          <w:rFonts w:eastAsia="MS Mincho"/>
          <w:spacing w:val="-1"/>
          <w:szCs w:val="22"/>
          <w:lang w:eastAsia="en-US" w:bidi="ar-SA"/>
        </w:rPr>
        <w:t>adalimumab</w:t>
      </w:r>
      <w:r>
        <w:rPr>
          <w:spacing w:val="-1"/>
          <w:szCs w:val="22"/>
        </w:rPr>
        <w:t xml:space="preserve"> administrate</w:t>
      </w:r>
      <w:r>
        <w:rPr>
          <w:rFonts w:eastAsia="MS Mincho"/>
          <w:szCs w:val="22"/>
          <w:lang w:eastAsia="en-US" w:bidi="ar-SA"/>
        </w:rPr>
        <w:t xml:space="preserve"> subc</w:t>
      </w:r>
      <w:r>
        <w:rPr>
          <w:rFonts w:eastAsia="MS Mincho"/>
          <w:spacing w:val="-3"/>
          <w:szCs w:val="22"/>
          <w:lang w:eastAsia="en-US" w:bidi="ar-SA"/>
        </w:rPr>
        <w:t>u</w:t>
      </w:r>
      <w:r>
        <w:rPr>
          <w:rFonts w:eastAsia="MS Mincho"/>
          <w:spacing w:val="1"/>
          <w:szCs w:val="22"/>
          <w:lang w:eastAsia="en-US" w:bidi="ar-SA"/>
        </w:rPr>
        <w:t>t</w:t>
      </w:r>
      <w:r>
        <w:rPr>
          <w:rFonts w:eastAsia="MS Mincho"/>
          <w:szCs w:val="22"/>
          <w:lang w:eastAsia="en-US" w:bidi="ar-SA"/>
        </w:rPr>
        <w:t>a</w:t>
      </w:r>
      <w:r>
        <w:rPr>
          <w:rFonts w:eastAsia="MS Mincho"/>
          <w:spacing w:val="-3"/>
          <w:szCs w:val="22"/>
          <w:lang w:eastAsia="en-US" w:bidi="ar-SA"/>
        </w:rPr>
        <w:t>n</w:t>
      </w:r>
      <w:r>
        <w:rPr>
          <w:rFonts w:eastAsia="MS Mincho"/>
          <w:szCs w:val="22"/>
          <w:lang w:eastAsia="en-US" w:bidi="ar-SA"/>
        </w:rPr>
        <w:t>at</w:t>
      </w:r>
      <w:r>
        <w:rPr>
          <w:spacing w:val="1"/>
          <w:szCs w:val="22"/>
        </w:rPr>
        <w:t xml:space="preserve"> </w:t>
      </w:r>
      <w:r>
        <w:rPr>
          <w:spacing w:val="-2"/>
          <w:szCs w:val="22"/>
        </w:rPr>
        <w:t>f</w:t>
      </w:r>
      <w:r>
        <w:rPr>
          <w:spacing w:val="1"/>
          <w:szCs w:val="22"/>
        </w:rPr>
        <w:t>i</w:t>
      </w:r>
      <w:r>
        <w:rPr>
          <w:szCs w:val="22"/>
        </w:rPr>
        <w:t xml:space="preserve">e </w:t>
      </w:r>
      <w:r>
        <w:rPr>
          <w:spacing w:val="-3"/>
          <w:szCs w:val="22"/>
        </w:rPr>
        <w:t>d</w:t>
      </w:r>
      <w:r>
        <w:rPr>
          <w:spacing w:val="1"/>
          <w:szCs w:val="22"/>
        </w:rPr>
        <w:t>i</w:t>
      </w:r>
      <w:r>
        <w:rPr>
          <w:szCs w:val="22"/>
        </w:rPr>
        <w:t>n d</w:t>
      </w:r>
      <w:r>
        <w:rPr>
          <w:spacing w:val="-3"/>
          <w:szCs w:val="22"/>
        </w:rPr>
        <w:t>o</w:t>
      </w:r>
      <w:r>
        <w:rPr>
          <w:szCs w:val="22"/>
        </w:rPr>
        <w:t xml:space="preserve">uă </w:t>
      </w:r>
      <w:r>
        <w:rPr>
          <w:spacing w:val="-2"/>
          <w:szCs w:val="22"/>
        </w:rPr>
        <w:t>î</w:t>
      </w:r>
      <w:r>
        <w:rPr>
          <w:szCs w:val="22"/>
        </w:rPr>
        <w:t xml:space="preserve">n două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cu ad</w:t>
      </w:r>
      <w:r>
        <w:rPr>
          <w:spacing w:val="-4"/>
          <w:szCs w:val="22"/>
        </w:rPr>
        <w:t>m</w:t>
      </w:r>
      <w:r>
        <w:rPr>
          <w:spacing w:val="1"/>
          <w:szCs w:val="22"/>
        </w:rPr>
        <w:t>i</w:t>
      </w:r>
      <w:r>
        <w:rPr>
          <w:szCs w:val="22"/>
        </w:rPr>
        <w:t>n</w:t>
      </w:r>
      <w:r>
        <w:rPr>
          <w:spacing w:val="-2"/>
          <w:szCs w:val="22"/>
        </w:rPr>
        <w:t>is</w:t>
      </w:r>
      <w:r>
        <w:rPr>
          <w:spacing w:val="1"/>
          <w:szCs w:val="22"/>
        </w:rPr>
        <w:t>t</w:t>
      </w:r>
      <w:r>
        <w:rPr>
          <w:szCs w:val="22"/>
        </w:rPr>
        <w:t>r</w:t>
      </w:r>
      <w:r>
        <w:rPr>
          <w:spacing w:val="-3"/>
          <w:szCs w:val="22"/>
        </w:rPr>
        <w:t>a</w:t>
      </w:r>
      <w:r>
        <w:rPr>
          <w:szCs w:val="22"/>
        </w:rPr>
        <w:t xml:space="preserve">re </w:t>
      </w:r>
      <w:r>
        <w:rPr>
          <w:spacing w:val="-3"/>
          <w:szCs w:val="22"/>
        </w:rPr>
        <w:t>d</w:t>
      </w:r>
      <w:r>
        <w:rPr>
          <w:szCs w:val="22"/>
        </w:rPr>
        <w:t>e p</w:t>
      </w:r>
      <w:r>
        <w:rPr>
          <w:spacing w:val="-2"/>
          <w:szCs w:val="22"/>
        </w:rPr>
        <w:t>l</w:t>
      </w:r>
      <w:r>
        <w:rPr>
          <w:szCs w:val="22"/>
        </w:rPr>
        <w:t>ac</w:t>
      </w:r>
      <w:r>
        <w:rPr>
          <w:spacing w:val="-3"/>
          <w:szCs w:val="22"/>
        </w:rPr>
        <w:t>e</w:t>
      </w:r>
      <w:r>
        <w:rPr>
          <w:szCs w:val="22"/>
        </w:rPr>
        <w:t xml:space="preserve">bo </w:t>
      </w:r>
      <w:r>
        <w:rPr>
          <w:spacing w:val="1"/>
          <w:szCs w:val="22"/>
        </w:rPr>
        <w:t>î</w:t>
      </w:r>
      <w:r>
        <w:rPr>
          <w:szCs w:val="22"/>
        </w:rPr>
        <w:t>n</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pacing w:val="-2"/>
          <w:szCs w:val="22"/>
        </w:rPr>
        <w:t>l</w:t>
      </w:r>
      <w:r>
        <w:rPr>
          <w:szCs w:val="22"/>
        </w:rPr>
        <w:t>e a</w:t>
      </w:r>
      <w:r>
        <w:rPr>
          <w:spacing w:val="-2"/>
          <w:szCs w:val="22"/>
        </w:rPr>
        <w:t>l</w:t>
      </w:r>
      <w:r>
        <w:rPr>
          <w:spacing w:val="1"/>
          <w:szCs w:val="22"/>
        </w:rPr>
        <w:t>t</w:t>
      </w:r>
      <w:r>
        <w:rPr>
          <w:spacing w:val="-3"/>
          <w:szCs w:val="22"/>
        </w:rPr>
        <w:t>e</w:t>
      </w:r>
      <w:r>
        <w:rPr>
          <w:szCs w:val="22"/>
        </w:rPr>
        <w:t>rn</w:t>
      </w:r>
      <w:r>
        <w:rPr>
          <w:spacing w:val="-3"/>
          <w:szCs w:val="22"/>
        </w:rPr>
        <w:t>a</w:t>
      </w:r>
      <w:r>
        <w:rPr>
          <w:spacing w:val="1"/>
          <w:szCs w:val="22"/>
        </w:rPr>
        <w:t>ti</w:t>
      </w:r>
      <w:r>
        <w:rPr>
          <w:spacing w:val="-3"/>
          <w:szCs w:val="22"/>
        </w:rPr>
        <w:t>v</w:t>
      </w:r>
      <w:r>
        <w:rPr>
          <w:szCs w:val="22"/>
        </w:rPr>
        <w:t xml:space="preserve">e, </w:t>
      </w:r>
      <w:r>
        <w:rPr>
          <w:spacing w:val="-2"/>
          <w:szCs w:val="22"/>
        </w:rPr>
        <w:t>f</w:t>
      </w:r>
      <w:r>
        <w:rPr>
          <w:spacing w:val="1"/>
          <w:szCs w:val="22"/>
        </w:rPr>
        <w:t>i</w:t>
      </w:r>
      <w:r>
        <w:rPr>
          <w:szCs w:val="22"/>
        </w:rPr>
        <w:t>e</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âna</w:t>
      </w:r>
      <w:r>
        <w:rPr>
          <w:spacing w:val="1"/>
          <w:szCs w:val="22"/>
        </w:rPr>
        <w:t>l</w:t>
      </w:r>
      <w:r>
        <w:rPr>
          <w:szCs w:val="22"/>
        </w:rPr>
        <w:t>,</w:t>
      </w:r>
      <w:r>
        <w:rPr>
          <w:spacing w:val="-3"/>
          <w:szCs w:val="22"/>
        </w:rPr>
        <w:t xml:space="preserve"> </w:t>
      </w:r>
      <w:r>
        <w:rPr>
          <w:spacing w:val="1"/>
          <w:szCs w:val="22"/>
        </w:rPr>
        <w:t>ti</w:t>
      </w:r>
      <w:r>
        <w:rPr>
          <w:spacing w:val="-4"/>
          <w:szCs w:val="22"/>
        </w:rPr>
        <w:t>m</w:t>
      </w:r>
      <w:r>
        <w:rPr>
          <w:szCs w:val="22"/>
        </w:rPr>
        <w:t>p de 26 săp</w:t>
      </w:r>
      <w:r>
        <w:rPr>
          <w:spacing w:val="-2"/>
          <w:szCs w:val="22"/>
        </w:rPr>
        <w:t>t</w:t>
      </w:r>
      <w:r>
        <w:rPr>
          <w:szCs w:val="22"/>
        </w:rPr>
        <w:t>ă</w:t>
      </w:r>
      <w:r>
        <w:rPr>
          <w:spacing w:val="-4"/>
          <w:szCs w:val="22"/>
        </w:rPr>
        <w:t>m</w:t>
      </w:r>
      <w:r>
        <w:rPr>
          <w:szCs w:val="22"/>
        </w:rPr>
        <w:t>ân</w:t>
      </w:r>
      <w:r>
        <w:rPr>
          <w:spacing w:val="1"/>
          <w:szCs w:val="22"/>
        </w:rPr>
        <w:t>i</w:t>
      </w:r>
      <w:r>
        <w:rPr>
          <w:szCs w:val="22"/>
        </w:rPr>
        <w:t>;</w:t>
      </w:r>
      <w:r>
        <w:rPr>
          <w:spacing w:val="1"/>
          <w:szCs w:val="22"/>
        </w:rPr>
        <w:t xml:space="preserve"> </w:t>
      </w:r>
      <w:r>
        <w:rPr>
          <w:spacing w:val="-3"/>
          <w:szCs w:val="22"/>
        </w:rPr>
        <w:t>p</w:t>
      </w:r>
      <w:r>
        <w:rPr>
          <w:spacing w:val="1"/>
          <w:szCs w:val="22"/>
        </w:rPr>
        <w:t>l</w:t>
      </w:r>
      <w:r>
        <w:rPr>
          <w:szCs w:val="22"/>
        </w:rPr>
        <w:t>a</w:t>
      </w:r>
      <w:r>
        <w:rPr>
          <w:spacing w:val="-3"/>
          <w:szCs w:val="22"/>
        </w:rPr>
        <w:t>c</w:t>
      </w:r>
      <w:r>
        <w:rPr>
          <w:szCs w:val="22"/>
        </w:rPr>
        <w:t>ebo 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ânal</w:t>
      </w:r>
      <w:r>
        <w:rPr>
          <w:spacing w:val="1"/>
          <w:szCs w:val="22"/>
        </w:rPr>
        <w:t xml:space="preserve"> </w:t>
      </w:r>
      <w:r>
        <w:rPr>
          <w:spacing w:val="-3"/>
          <w:szCs w:val="22"/>
        </w:rPr>
        <w:t>p</w:t>
      </w:r>
      <w:r>
        <w:rPr>
          <w:szCs w:val="22"/>
        </w:rPr>
        <w:t>e a</w:t>
      </w:r>
      <w:r>
        <w:rPr>
          <w:spacing w:val="-3"/>
          <w:szCs w:val="22"/>
        </w:rPr>
        <w:t>c</w:t>
      </w:r>
      <w:r>
        <w:rPr>
          <w:szCs w:val="22"/>
        </w:rPr>
        <w:t>eea</w:t>
      </w:r>
      <w:r>
        <w:rPr>
          <w:spacing w:val="-2"/>
          <w:szCs w:val="22"/>
        </w:rPr>
        <w:t>ş</w:t>
      </w:r>
      <w:r>
        <w:rPr>
          <w:szCs w:val="22"/>
        </w:rPr>
        <w:t>i</w:t>
      </w:r>
      <w:r>
        <w:rPr>
          <w:spacing w:val="1"/>
          <w:szCs w:val="22"/>
        </w:rPr>
        <w:t xml:space="preserve"> </w:t>
      </w:r>
      <w:r>
        <w:rPr>
          <w:szCs w:val="22"/>
        </w:rPr>
        <w:t>p</w:t>
      </w:r>
      <w:r>
        <w:rPr>
          <w:spacing w:val="-3"/>
          <w:szCs w:val="22"/>
        </w:rPr>
        <w:t>e</w:t>
      </w:r>
      <w:r>
        <w:rPr>
          <w:szCs w:val="22"/>
        </w:rPr>
        <w:t>r</w:t>
      </w:r>
      <w:r>
        <w:rPr>
          <w:spacing w:val="-2"/>
          <w:szCs w:val="22"/>
        </w:rPr>
        <w:t>i</w:t>
      </w:r>
      <w:r>
        <w:rPr>
          <w:szCs w:val="22"/>
        </w:rPr>
        <w:t xml:space="preserve">oadă. </w:t>
      </w:r>
      <w:r>
        <w:rPr>
          <w:spacing w:val="-1"/>
          <w:szCs w:val="22"/>
        </w:rPr>
        <w:t>N</w:t>
      </w:r>
      <w:r>
        <w:rPr>
          <w:szCs w:val="22"/>
        </w:rPr>
        <w:t>u</w:t>
      </w:r>
      <w:r>
        <w:rPr>
          <w:spacing w:val="-3"/>
          <w:szCs w:val="22"/>
        </w:rPr>
        <w:t xml:space="preserve"> </w:t>
      </w:r>
      <w:r>
        <w:rPr>
          <w:szCs w:val="22"/>
        </w:rPr>
        <w:t xml:space="preserve">a </w:t>
      </w:r>
      <w:r>
        <w:rPr>
          <w:spacing w:val="-2"/>
          <w:szCs w:val="22"/>
        </w:rPr>
        <w:t>f</w:t>
      </w:r>
      <w:r>
        <w:rPr>
          <w:szCs w:val="22"/>
        </w:rPr>
        <w:t>ost</w:t>
      </w:r>
      <w:r>
        <w:rPr>
          <w:spacing w:val="-2"/>
          <w:szCs w:val="22"/>
        </w:rPr>
        <w:t xml:space="preserve"> </w:t>
      </w:r>
      <w:r>
        <w:rPr>
          <w:szCs w:val="22"/>
        </w:rPr>
        <w:t>p</w:t>
      </w:r>
      <w:r>
        <w:rPr>
          <w:spacing w:val="-3"/>
          <w:szCs w:val="22"/>
        </w:rPr>
        <w:t>e</w:t>
      </w:r>
      <w:r>
        <w:rPr>
          <w:szCs w:val="22"/>
        </w:rPr>
        <w:t>r</w:t>
      </w:r>
      <w:r>
        <w:rPr>
          <w:spacing w:val="-4"/>
          <w:szCs w:val="22"/>
        </w:rPr>
        <w:t>m</w:t>
      </w:r>
      <w:r>
        <w:rPr>
          <w:spacing w:val="1"/>
          <w:szCs w:val="22"/>
        </w:rPr>
        <w:t>i</w:t>
      </w:r>
      <w:r>
        <w:rPr>
          <w:szCs w:val="22"/>
        </w:rPr>
        <w:t>s n</w:t>
      </w:r>
      <w:r>
        <w:rPr>
          <w:spacing w:val="1"/>
          <w:szCs w:val="22"/>
        </w:rPr>
        <w:t>i</w:t>
      </w:r>
      <w:r>
        <w:rPr>
          <w:spacing w:val="-3"/>
          <w:szCs w:val="22"/>
        </w:rPr>
        <w:t>c</w:t>
      </w:r>
      <w:r>
        <w:rPr>
          <w:szCs w:val="22"/>
        </w:rPr>
        <w:t>i</w:t>
      </w:r>
      <w:r>
        <w:rPr>
          <w:spacing w:val="1"/>
          <w:szCs w:val="22"/>
        </w:rPr>
        <w:t xml:space="preserve"> </w:t>
      </w:r>
      <w:r>
        <w:rPr>
          <w:szCs w:val="22"/>
        </w:rPr>
        <w:t xml:space="preserve">un </w:t>
      </w:r>
      <w:r>
        <w:rPr>
          <w:spacing w:val="-3"/>
          <w:szCs w:val="22"/>
        </w:rPr>
        <w:t>a</w:t>
      </w:r>
      <w:r>
        <w:rPr>
          <w:spacing w:val="1"/>
          <w:szCs w:val="22"/>
        </w:rPr>
        <w:t>l</w:t>
      </w:r>
      <w:r>
        <w:rPr>
          <w:szCs w:val="22"/>
        </w:rPr>
        <w:t xml:space="preserve">t </w:t>
      </w:r>
      <w:r>
        <w:rPr>
          <w:spacing w:val="-4"/>
          <w:szCs w:val="22"/>
        </w:rPr>
        <w:t>m</w:t>
      </w:r>
      <w:r>
        <w:rPr>
          <w:szCs w:val="22"/>
        </w:rPr>
        <w:t>ed</w:t>
      </w:r>
      <w:r>
        <w:rPr>
          <w:spacing w:val="1"/>
          <w:szCs w:val="22"/>
        </w:rPr>
        <w:t>i</w:t>
      </w:r>
      <w:r>
        <w:rPr>
          <w:szCs w:val="22"/>
        </w:rPr>
        <w:t>ca</w:t>
      </w:r>
      <w:r>
        <w:rPr>
          <w:spacing w:val="-4"/>
          <w:szCs w:val="22"/>
        </w:rPr>
        <w:t>m</w:t>
      </w:r>
      <w:r>
        <w:rPr>
          <w:szCs w:val="22"/>
        </w:rPr>
        <w:t>ent</w:t>
      </w:r>
      <w:r>
        <w:rPr>
          <w:spacing w:val="1"/>
          <w:szCs w:val="22"/>
        </w:rPr>
        <w:t xml:space="preserve"> </w:t>
      </w:r>
      <w:r>
        <w:rPr>
          <w:szCs w:val="22"/>
        </w:rPr>
        <w:t>an</w:t>
      </w:r>
      <w:r>
        <w:rPr>
          <w:spacing w:val="-2"/>
          <w:szCs w:val="22"/>
        </w:rPr>
        <w:t>t</w:t>
      </w:r>
      <w:r>
        <w:rPr>
          <w:spacing w:val="1"/>
          <w:szCs w:val="22"/>
        </w:rPr>
        <w:t>i</w:t>
      </w:r>
      <w:r>
        <w:rPr>
          <w:szCs w:val="22"/>
        </w:rPr>
        <w:t>r</w:t>
      </w:r>
      <w:r>
        <w:rPr>
          <w:spacing w:val="-3"/>
          <w:szCs w:val="22"/>
        </w:rPr>
        <w:t>e</w:t>
      </w:r>
      <w:r>
        <w:rPr>
          <w:szCs w:val="22"/>
        </w:rPr>
        <w:t>u</w:t>
      </w:r>
      <w:r>
        <w:rPr>
          <w:spacing w:val="-4"/>
          <w:szCs w:val="22"/>
        </w:rPr>
        <w:t>m</w:t>
      </w:r>
      <w:r>
        <w:rPr>
          <w:szCs w:val="22"/>
        </w:rPr>
        <w:t>a</w:t>
      </w:r>
      <w:r>
        <w:rPr>
          <w:spacing w:val="1"/>
          <w:szCs w:val="22"/>
        </w:rPr>
        <w:t>ti</w:t>
      </w:r>
      <w:r>
        <w:rPr>
          <w:szCs w:val="22"/>
        </w:rPr>
        <w:t xml:space="preserve">c </w:t>
      </w:r>
      <w:r>
        <w:rPr>
          <w:spacing w:val="-4"/>
          <w:szCs w:val="22"/>
        </w:rPr>
        <w:t>m</w:t>
      </w:r>
      <w:r>
        <w:rPr>
          <w:szCs w:val="22"/>
        </w:rPr>
        <w:t>od</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w:t>
      </w:r>
      <w:r>
        <w:rPr>
          <w:spacing w:val="-3"/>
          <w:szCs w:val="22"/>
        </w:rPr>
        <w:t>o</w:t>
      </w:r>
      <w:r>
        <w:rPr>
          <w:szCs w:val="22"/>
        </w:rPr>
        <w:t>r</w:t>
      </w:r>
      <w:r>
        <w:rPr>
          <w:spacing w:val="1"/>
          <w:szCs w:val="22"/>
        </w:rPr>
        <w:t xml:space="preserve"> </w:t>
      </w:r>
      <w:r>
        <w:rPr>
          <w:szCs w:val="22"/>
        </w:rPr>
        <w:t xml:space="preserve">de </w:t>
      </w:r>
      <w:r>
        <w:rPr>
          <w:spacing w:val="-3"/>
          <w:szCs w:val="22"/>
        </w:rPr>
        <w:t>b</w:t>
      </w:r>
      <w:r>
        <w:rPr>
          <w:szCs w:val="22"/>
        </w:rPr>
        <w:t>oa</w:t>
      </w:r>
      <w:r>
        <w:rPr>
          <w:spacing w:val="-2"/>
          <w:szCs w:val="22"/>
        </w:rPr>
        <w:t>l</w:t>
      </w:r>
      <w:r>
        <w:rPr>
          <w:szCs w:val="22"/>
        </w:rPr>
        <w:t>ă.</w:t>
      </w:r>
    </w:p>
    <w:p w14:paraId="582B5516" w14:textId="77777777" w:rsidR="00C04CAD" w:rsidRDefault="00C04CAD">
      <w:pPr>
        <w:tabs>
          <w:tab w:val="clear" w:pos="567"/>
        </w:tabs>
        <w:kinsoku w:val="0"/>
        <w:overflowPunct w:val="0"/>
        <w:autoSpaceDE w:val="0"/>
        <w:autoSpaceDN w:val="0"/>
        <w:adjustRightInd w:val="0"/>
        <w:spacing w:line="240" w:lineRule="auto"/>
        <w:rPr>
          <w:szCs w:val="22"/>
        </w:rPr>
      </w:pPr>
    </w:p>
    <w:p w14:paraId="116C20E9"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2"/>
          <w:szCs w:val="22"/>
        </w:rPr>
        <w:t>II</w:t>
      </w:r>
      <w:r>
        <w:rPr>
          <w:szCs w:val="22"/>
        </w:rPr>
        <w:t>I</w:t>
      </w:r>
      <w:r>
        <w:rPr>
          <w:spacing w:val="-2"/>
          <w:szCs w:val="22"/>
        </w:rPr>
        <w:t xml:space="preserve"> </w:t>
      </w:r>
      <w:r>
        <w:rPr>
          <w:szCs w:val="22"/>
        </w:rPr>
        <w:t>au fost</w:t>
      </w:r>
      <w:r>
        <w:rPr>
          <w:spacing w:val="-2"/>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ţ</w:t>
      </w:r>
      <w:r>
        <w:rPr>
          <w:szCs w:val="22"/>
        </w:rPr>
        <w:t>i</w:t>
      </w:r>
      <w:r>
        <w:rPr>
          <w:spacing w:val="-2"/>
          <w:szCs w:val="22"/>
        </w:rPr>
        <w:t xml:space="preserve"> </w:t>
      </w:r>
      <w:r>
        <w:rPr>
          <w:szCs w:val="22"/>
        </w:rPr>
        <w:t xml:space="preserve">619 </w:t>
      </w:r>
      <w:r>
        <w:rPr>
          <w:spacing w:val="-3"/>
          <w:szCs w:val="22"/>
        </w:rPr>
        <w:t>p</w:t>
      </w:r>
      <w:r>
        <w:rPr>
          <w:szCs w:val="22"/>
        </w:rPr>
        <w:t>ac</w:t>
      </w:r>
      <w:r>
        <w:rPr>
          <w:spacing w:val="-2"/>
          <w:szCs w:val="22"/>
        </w:rPr>
        <w:t>i</w:t>
      </w:r>
      <w:r>
        <w:rPr>
          <w:szCs w:val="22"/>
        </w:rPr>
        <w:t>en</w:t>
      </w:r>
      <w:r>
        <w:rPr>
          <w:spacing w:val="-2"/>
          <w:szCs w:val="22"/>
        </w:rPr>
        <w:t>ţ</w:t>
      </w:r>
      <w:r>
        <w:rPr>
          <w:szCs w:val="22"/>
        </w:rPr>
        <w:t>i</w:t>
      </w:r>
      <w:r>
        <w:rPr>
          <w:spacing w:val="1"/>
          <w:szCs w:val="22"/>
        </w:rPr>
        <w:t xml:space="preserve"> </w:t>
      </w:r>
      <w:r>
        <w:rPr>
          <w:szCs w:val="22"/>
        </w:rPr>
        <w:t>cu</w:t>
      </w:r>
      <w:r>
        <w:rPr>
          <w:spacing w:val="-3"/>
          <w:szCs w:val="22"/>
        </w:rPr>
        <w:t xml:space="preserve"> v</w:t>
      </w:r>
      <w:r>
        <w:rPr>
          <w:szCs w:val="22"/>
        </w:rPr>
        <w:t>ârs</w:t>
      </w:r>
      <w:r>
        <w:rPr>
          <w:spacing w:val="-2"/>
          <w:szCs w:val="22"/>
        </w:rPr>
        <w:t>t</w:t>
      </w:r>
      <w:r>
        <w:rPr>
          <w:szCs w:val="22"/>
        </w:rPr>
        <w:t xml:space="preserve">a </w:t>
      </w:r>
      <w:r>
        <w:rPr>
          <w:spacing w:val="1"/>
          <w:szCs w:val="22"/>
        </w:rPr>
        <w:t>≥</w:t>
      </w:r>
      <w:r>
        <w:rPr>
          <w:szCs w:val="22"/>
        </w:rPr>
        <w:t>18</w:t>
      </w:r>
      <w:r>
        <w:rPr>
          <w:spacing w:val="-3"/>
          <w:szCs w:val="22"/>
        </w:rPr>
        <w:t xml:space="preserve"> </w:t>
      </w:r>
      <w:r>
        <w:rPr>
          <w:szCs w:val="22"/>
        </w:rPr>
        <w:t>an</w:t>
      </w:r>
      <w:r>
        <w:rPr>
          <w:spacing w:val="-2"/>
          <w:szCs w:val="22"/>
        </w:rPr>
        <w:t>i</w:t>
      </w:r>
      <w:r>
        <w:rPr>
          <w:szCs w:val="22"/>
        </w:rPr>
        <w:t xml:space="preserve">, cu </w:t>
      </w:r>
      <w:r>
        <w:rPr>
          <w:spacing w:val="-3"/>
          <w:szCs w:val="22"/>
        </w:rPr>
        <w:t>p</w:t>
      </w:r>
      <w:r>
        <w:rPr>
          <w:szCs w:val="22"/>
        </w:rPr>
        <w:t>o</w:t>
      </w:r>
      <w:r>
        <w:rPr>
          <w:spacing w:val="-2"/>
          <w:szCs w:val="22"/>
        </w:rPr>
        <w:t>l</w:t>
      </w:r>
      <w:r>
        <w:rPr>
          <w:spacing w:val="1"/>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 xml:space="preserve">ă </w:t>
      </w:r>
      <w:r>
        <w:rPr>
          <w:spacing w:val="-2"/>
          <w:szCs w:val="22"/>
        </w:rPr>
        <w:t>r</w:t>
      </w:r>
      <w:r>
        <w:rPr>
          <w:szCs w:val="22"/>
        </w:rPr>
        <w:t>e</w:t>
      </w:r>
      <w:r>
        <w:rPr>
          <w:spacing w:val="-3"/>
          <w:szCs w:val="22"/>
        </w:rPr>
        <w:t>u</w:t>
      </w:r>
      <w:r>
        <w:rPr>
          <w:spacing w:val="-4"/>
          <w:szCs w:val="22"/>
        </w:rPr>
        <w:t>m</w:t>
      </w:r>
      <w:r>
        <w:rPr>
          <w:szCs w:val="22"/>
        </w:rPr>
        <w:t>a</w:t>
      </w:r>
      <w:r>
        <w:rPr>
          <w:spacing w:val="1"/>
          <w:szCs w:val="22"/>
        </w:rPr>
        <w:t>t</w:t>
      </w:r>
      <w:r>
        <w:rPr>
          <w:szCs w:val="22"/>
        </w:rPr>
        <w:t>o</w:t>
      </w:r>
      <w:r>
        <w:rPr>
          <w:spacing w:val="1"/>
          <w:szCs w:val="22"/>
        </w:rPr>
        <w:t>i</w:t>
      </w:r>
      <w:r>
        <w:rPr>
          <w:szCs w:val="22"/>
        </w:rPr>
        <w:t>dă a</w:t>
      </w:r>
      <w:r>
        <w:rPr>
          <w:spacing w:val="-3"/>
          <w:szCs w:val="22"/>
        </w:rPr>
        <w:t>c</w:t>
      </w:r>
      <w:r>
        <w:rPr>
          <w:spacing w:val="1"/>
          <w:szCs w:val="22"/>
        </w:rPr>
        <w:t>ti</w:t>
      </w:r>
      <w:r>
        <w:rPr>
          <w:spacing w:val="-3"/>
          <w:szCs w:val="22"/>
        </w:rPr>
        <w:t>v</w:t>
      </w:r>
      <w:r>
        <w:rPr>
          <w:szCs w:val="22"/>
        </w:rPr>
        <w:t xml:space="preserve">ă </w:t>
      </w:r>
      <w:r>
        <w:rPr>
          <w:spacing w:val="-4"/>
          <w:szCs w:val="22"/>
        </w:rPr>
        <w:t>m</w:t>
      </w:r>
      <w:r>
        <w:rPr>
          <w:szCs w:val="22"/>
        </w:rPr>
        <w:t>odera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3"/>
          <w:szCs w:val="22"/>
        </w:rPr>
        <w:t>v</w:t>
      </w:r>
      <w:r>
        <w:rPr>
          <w:szCs w:val="22"/>
        </w:rPr>
        <w:t xml:space="preserve">eră, </w:t>
      </w:r>
      <w:r>
        <w:rPr>
          <w:spacing w:val="-3"/>
          <w:szCs w:val="22"/>
        </w:rPr>
        <w:t>ca</w:t>
      </w:r>
      <w:r>
        <w:rPr>
          <w:szCs w:val="22"/>
        </w:rPr>
        <w:t>re nu</w:t>
      </w:r>
      <w:r>
        <w:rPr>
          <w:spacing w:val="-3"/>
          <w:szCs w:val="22"/>
        </w:rPr>
        <w:t xml:space="preserve"> </w:t>
      </w:r>
      <w:r>
        <w:rPr>
          <w:szCs w:val="22"/>
        </w:rPr>
        <w:t xml:space="preserve">au </w:t>
      </w:r>
      <w:r>
        <w:rPr>
          <w:spacing w:val="-2"/>
          <w:szCs w:val="22"/>
        </w:rPr>
        <w:t>r</w:t>
      </w:r>
      <w:r>
        <w:rPr>
          <w:szCs w:val="22"/>
        </w:rPr>
        <w:t>ăspu</w:t>
      </w:r>
      <w:r>
        <w:rPr>
          <w:spacing w:val="-3"/>
          <w:szCs w:val="22"/>
        </w:rPr>
        <w:t>n</w:t>
      </w:r>
      <w:r>
        <w:rPr>
          <w:szCs w:val="22"/>
        </w:rPr>
        <w:t>s s</w:t>
      </w:r>
      <w:r>
        <w:rPr>
          <w:spacing w:val="-3"/>
          <w:szCs w:val="22"/>
        </w:rPr>
        <w:t>u</w:t>
      </w:r>
      <w:r>
        <w:rPr>
          <w:szCs w:val="22"/>
        </w:rPr>
        <w:t>f</w:t>
      </w:r>
      <w:r>
        <w:rPr>
          <w:spacing w:val="-2"/>
          <w:szCs w:val="22"/>
        </w:rPr>
        <w:t>i</w:t>
      </w:r>
      <w:r>
        <w:rPr>
          <w:szCs w:val="22"/>
        </w:rPr>
        <w:t>c</w:t>
      </w:r>
      <w:r>
        <w:rPr>
          <w:spacing w:val="1"/>
          <w:szCs w:val="22"/>
        </w:rPr>
        <w:t>i</w:t>
      </w:r>
      <w:r>
        <w:rPr>
          <w:spacing w:val="-3"/>
          <w:szCs w:val="22"/>
        </w:rPr>
        <w:t>e</w:t>
      </w:r>
      <w:r>
        <w:rPr>
          <w:szCs w:val="22"/>
        </w:rPr>
        <w:t>nt</w:t>
      </w:r>
      <w:r>
        <w:rPr>
          <w:spacing w:val="-2"/>
          <w:szCs w:val="22"/>
        </w:rPr>
        <w:t xml:space="preserve"> l</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zCs w:val="22"/>
        </w:rPr>
        <w:t>r</w:t>
      </w:r>
      <w:r>
        <w:rPr>
          <w:spacing w:val="-3"/>
          <w:szCs w:val="22"/>
        </w:rPr>
        <w:t>e</w:t>
      </w:r>
      <w:r>
        <w:rPr>
          <w:szCs w:val="22"/>
        </w:rPr>
        <w:t>xat</w:t>
      </w:r>
      <w:r>
        <w:rPr>
          <w:spacing w:val="-2"/>
          <w:szCs w:val="22"/>
        </w:rPr>
        <w:t xml:space="preserve"> </w:t>
      </w:r>
      <w:r>
        <w:rPr>
          <w:spacing w:val="1"/>
          <w:szCs w:val="22"/>
        </w:rPr>
        <w:t>î</w:t>
      </w:r>
      <w:r>
        <w:rPr>
          <w:szCs w:val="22"/>
        </w:rPr>
        <w:t xml:space="preserve">n </w:t>
      </w:r>
      <w:r>
        <w:rPr>
          <w:spacing w:val="-3"/>
          <w:szCs w:val="22"/>
        </w:rPr>
        <w:t>d</w:t>
      </w:r>
      <w:r>
        <w:rPr>
          <w:szCs w:val="22"/>
        </w:rPr>
        <w:t>o</w:t>
      </w:r>
      <w:r>
        <w:rPr>
          <w:spacing w:val="-3"/>
          <w:szCs w:val="22"/>
        </w:rPr>
        <w:t>z</w:t>
      </w:r>
      <w:r>
        <w:rPr>
          <w:szCs w:val="22"/>
        </w:rPr>
        <w:t>ă de 12</w:t>
      </w:r>
      <w:r>
        <w:rPr>
          <w:spacing w:val="-3"/>
          <w:szCs w:val="22"/>
        </w:rPr>
        <w:t>,</w:t>
      </w:r>
      <w:r>
        <w:rPr>
          <w:szCs w:val="22"/>
        </w:rPr>
        <w:t>5</w:t>
      </w:r>
      <w:r>
        <w:rPr>
          <w:spacing w:val="-5"/>
          <w:szCs w:val="22"/>
        </w:rPr>
        <w:noBreakHyphen/>
      </w:r>
      <w:r>
        <w:rPr>
          <w:szCs w:val="22"/>
        </w:rPr>
        <w:t>25</w:t>
      </w:r>
      <w:r>
        <w:rPr>
          <w:spacing w:val="2"/>
          <w:szCs w:val="22"/>
        </w:rPr>
        <w:t> </w:t>
      </w:r>
      <w:r>
        <w:rPr>
          <w:spacing w:val="-2"/>
          <w:szCs w:val="22"/>
        </w:rPr>
        <w:t>m</w:t>
      </w:r>
      <w:r>
        <w:rPr>
          <w:szCs w:val="22"/>
        </w:rPr>
        <w:t>g</w:t>
      </w:r>
      <w:r>
        <w:rPr>
          <w:spacing w:val="-3"/>
          <w:szCs w:val="22"/>
        </w:rPr>
        <w:t xml:space="preserve"> </w:t>
      </w:r>
      <w:r>
        <w:rPr>
          <w:szCs w:val="22"/>
        </w:rPr>
        <w:t xml:space="preserve">sau care </w:t>
      </w:r>
      <w:r>
        <w:rPr>
          <w:spacing w:val="-4"/>
          <w:szCs w:val="22"/>
        </w:rPr>
        <w:t>m</w:t>
      </w:r>
      <w:r>
        <w:rPr>
          <w:szCs w:val="22"/>
        </w:rPr>
        <w:t>an</w:t>
      </w:r>
      <w:r>
        <w:rPr>
          <w:spacing w:val="1"/>
          <w:szCs w:val="22"/>
        </w:rPr>
        <w:t>i</w:t>
      </w:r>
      <w:r>
        <w:rPr>
          <w:szCs w:val="22"/>
        </w:rPr>
        <w:t>fes</w:t>
      </w:r>
      <w:r>
        <w:rPr>
          <w:spacing w:val="-2"/>
          <w:szCs w:val="22"/>
        </w:rPr>
        <w:t>t</w:t>
      </w:r>
      <w:r>
        <w:rPr>
          <w:szCs w:val="22"/>
        </w:rPr>
        <w:t xml:space="preserve">au </w:t>
      </w:r>
      <w:r>
        <w:rPr>
          <w:spacing w:val="-2"/>
          <w:szCs w:val="22"/>
        </w:rPr>
        <w:t>i</w:t>
      </w:r>
      <w:r>
        <w:rPr>
          <w:szCs w:val="22"/>
        </w:rPr>
        <w:t>n</w:t>
      </w:r>
      <w:r>
        <w:rPr>
          <w:spacing w:val="1"/>
          <w:szCs w:val="22"/>
        </w:rPr>
        <w:t>t</w:t>
      </w:r>
      <w:r>
        <w:rPr>
          <w:spacing w:val="-3"/>
          <w:szCs w:val="22"/>
        </w:rPr>
        <w:t>o</w:t>
      </w:r>
      <w:r>
        <w:rPr>
          <w:spacing w:val="1"/>
          <w:szCs w:val="22"/>
        </w:rPr>
        <w:t>l</w:t>
      </w:r>
      <w:r>
        <w:rPr>
          <w:spacing w:val="-3"/>
          <w:szCs w:val="22"/>
        </w:rPr>
        <w:t>e</w:t>
      </w:r>
      <w:r>
        <w:rPr>
          <w:szCs w:val="22"/>
        </w:rPr>
        <w:t>ra</w:t>
      </w:r>
      <w:r>
        <w:rPr>
          <w:spacing w:val="-3"/>
          <w:szCs w:val="22"/>
        </w:rPr>
        <w:t>n</w:t>
      </w:r>
      <w:r>
        <w:rPr>
          <w:spacing w:val="1"/>
          <w:szCs w:val="22"/>
        </w:rPr>
        <w:t>ţ</w:t>
      </w:r>
      <w:r>
        <w:rPr>
          <w:szCs w:val="22"/>
        </w:rPr>
        <w:t>ă</w:t>
      </w:r>
      <w:r>
        <w:rPr>
          <w:spacing w:val="-2"/>
          <w:szCs w:val="22"/>
        </w:rPr>
        <w:t xml:space="preserve"> </w:t>
      </w:r>
      <w:r>
        <w:rPr>
          <w:spacing w:val="1"/>
          <w:szCs w:val="22"/>
        </w:rPr>
        <w:t>l</w:t>
      </w:r>
      <w:r>
        <w:rPr>
          <w:szCs w:val="22"/>
        </w:rPr>
        <w:t xml:space="preserve">a </w:t>
      </w:r>
      <w:r>
        <w:rPr>
          <w:spacing w:val="-4"/>
          <w:szCs w:val="22"/>
        </w:rPr>
        <w:t>m</w:t>
      </w:r>
      <w:r>
        <w:rPr>
          <w:szCs w:val="22"/>
        </w:rPr>
        <w:t>e</w:t>
      </w:r>
      <w:r>
        <w:rPr>
          <w:spacing w:val="1"/>
          <w:szCs w:val="22"/>
        </w:rPr>
        <w:t>t</w:t>
      </w:r>
      <w:r>
        <w:rPr>
          <w:spacing w:val="-3"/>
          <w:szCs w:val="22"/>
        </w:rPr>
        <w:t>o</w:t>
      </w:r>
      <w:r>
        <w:rPr>
          <w:spacing w:val="1"/>
          <w:szCs w:val="22"/>
        </w:rPr>
        <w:t>t</w:t>
      </w:r>
      <w:r>
        <w:rPr>
          <w:szCs w:val="22"/>
        </w:rPr>
        <w:t>re</w:t>
      </w:r>
      <w:r>
        <w:rPr>
          <w:spacing w:val="-3"/>
          <w:szCs w:val="22"/>
        </w:rPr>
        <w:t>x</w:t>
      </w:r>
      <w:r>
        <w:rPr>
          <w:szCs w:val="22"/>
        </w:rPr>
        <w:t>at</w:t>
      </w:r>
      <w:r>
        <w:rPr>
          <w:spacing w:val="-2"/>
          <w:szCs w:val="22"/>
        </w:rPr>
        <w:t xml:space="preserve"> </w:t>
      </w:r>
      <w:r>
        <w:rPr>
          <w:spacing w:val="1"/>
          <w:szCs w:val="22"/>
        </w:rPr>
        <w:t>î</w:t>
      </w:r>
      <w:r>
        <w:rPr>
          <w:szCs w:val="22"/>
        </w:rPr>
        <w:t xml:space="preserve">n </w:t>
      </w:r>
      <w:r>
        <w:rPr>
          <w:spacing w:val="-3"/>
          <w:szCs w:val="22"/>
        </w:rPr>
        <w:t>d</w:t>
      </w:r>
      <w:r>
        <w:rPr>
          <w:szCs w:val="22"/>
        </w:rPr>
        <w:t>o</w:t>
      </w:r>
      <w:r>
        <w:rPr>
          <w:spacing w:val="-3"/>
          <w:szCs w:val="22"/>
        </w:rPr>
        <w:t>z</w:t>
      </w:r>
      <w:r>
        <w:rPr>
          <w:szCs w:val="22"/>
        </w:rPr>
        <w:t>ă de 10 </w:t>
      </w:r>
      <w:r>
        <w:rPr>
          <w:spacing w:val="-4"/>
          <w:szCs w:val="22"/>
        </w:rPr>
        <w:t>m</w:t>
      </w:r>
      <w:r>
        <w:rPr>
          <w:szCs w:val="22"/>
        </w:rPr>
        <w:t>g săp</w:t>
      </w:r>
      <w:r>
        <w:rPr>
          <w:spacing w:val="-2"/>
          <w:szCs w:val="22"/>
        </w:rPr>
        <w:t>t</w:t>
      </w:r>
      <w:r>
        <w:rPr>
          <w:szCs w:val="22"/>
        </w:rPr>
        <w:t>ă</w:t>
      </w:r>
      <w:r>
        <w:rPr>
          <w:spacing w:val="-4"/>
          <w:szCs w:val="22"/>
        </w:rPr>
        <w:t>m</w:t>
      </w:r>
      <w:r>
        <w:rPr>
          <w:szCs w:val="22"/>
        </w:rPr>
        <w:t>âna</w:t>
      </w:r>
      <w:r>
        <w:rPr>
          <w:spacing w:val="1"/>
          <w:szCs w:val="22"/>
        </w:rPr>
        <w:t>l</w:t>
      </w:r>
      <w:r>
        <w:rPr>
          <w:szCs w:val="22"/>
        </w:rPr>
        <w:t xml:space="preserve">. </w:t>
      </w:r>
      <w:r>
        <w:rPr>
          <w:spacing w:val="-4"/>
          <w:szCs w:val="22"/>
        </w:rPr>
        <w:t>Î</w:t>
      </w:r>
      <w:r>
        <w:rPr>
          <w:szCs w:val="22"/>
        </w:rPr>
        <w:t>n cadrul</w:t>
      </w:r>
      <w:r>
        <w:rPr>
          <w:spacing w:val="-2"/>
          <w:szCs w:val="22"/>
        </w:rPr>
        <w:t xml:space="preserve"> </w:t>
      </w:r>
      <w:r>
        <w:rPr>
          <w:szCs w:val="22"/>
        </w:rPr>
        <w:t>ac</w:t>
      </w:r>
      <w:r>
        <w:rPr>
          <w:spacing w:val="-3"/>
          <w:szCs w:val="22"/>
        </w:rPr>
        <w:t>e</w:t>
      </w:r>
      <w:r>
        <w:rPr>
          <w:szCs w:val="22"/>
        </w:rPr>
        <w:t>s</w:t>
      </w:r>
      <w:r>
        <w:rPr>
          <w:spacing w:val="-2"/>
          <w:szCs w:val="22"/>
        </w:rPr>
        <w:t>t</w:t>
      </w:r>
      <w:r>
        <w:rPr>
          <w:szCs w:val="22"/>
        </w:rPr>
        <w:t>ui</w:t>
      </w:r>
      <w:r>
        <w:rPr>
          <w:spacing w:val="1"/>
          <w:szCs w:val="22"/>
        </w:rPr>
        <w:t xml:space="preserve"> </w:t>
      </w:r>
      <w:r>
        <w:rPr>
          <w:spacing w:val="-2"/>
          <w:szCs w:val="22"/>
        </w:rPr>
        <w:t>s</w:t>
      </w:r>
      <w:r>
        <w:rPr>
          <w:spacing w:val="1"/>
          <w:szCs w:val="22"/>
        </w:rPr>
        <w:t>t</w:t>
      </w:r>
      <w:r>
        <w:rPr>
          <w:szCs w:val="22"/>
        </w:rPr>
        <w:t>ud</w:t>
      </w:r>
      <w:r>
        <w:rPr>
          <w:spacing w:val="-2"/>
          <w:szCs w:val="22"/>
        </w:rPr>
        <w:t>i</w:t>
      </w:r>
      <w:r>
        <w:rPr>
          <w:szCs w:val="22"/>
        </w:rPr>
        <w:t>u au</w:t>
      </w:r>
      <w:r>
        <w:rPr>
          <w:spacing w:val="-3"/>
          <w:szCs w:val="22"/>
        </w:rPr>
        <w:t xml:space="preserve"> </w:t>
      </w:r>
      <w:r>
        <w:rPr>
          <w:szCs w:val="22"/>
        </w:rPr>
        <w:t>ex</w:t>
      </w:r>
      <w:r>
        <w:rPr>
          <w:spacing w:val="-2"/>
          <w:szCs w:val="22"/>
        </w:rPr>
        <w:t>i</w:t>
      </w:r>
      <w:r>
        <w:rPr>
          <w:szCs w:val="22"/>
        </w:rPr>
        <w:t>s</w:t>
      </w:r>
      <w:r>
        <w:rPr>
          <w:spacing w:val="1"/>
          <w:szCs w:val="22"/>
        </w:rPr>
        <w:t>t</w:t>
      </w:r>
      <w:r>
        <w:rPr>
          <w:spacing w:val="-3"/>
          <w:szCs w:val="22"/>
        </w:rPr>
        <w:t>a</w:t>
      </w:r>
      <w:r>
        <w:rPr>
          <w:szCs w:val="22"/>
        </w:rPr>
        <w:t xml:space="preserve">t </w:t>
      </w:r>
      <w:r>
        <w:rPr>
          <w:spacing w:val="1"/>
          <w:szCs w:val="22"/>
        </w:rPr>
        <w:t>t</w:t>
      </w:r>
      <w:r>
        <w:rPr>
          <w:szCs w:val="22"/>
        </w:rPr>
        <w:t>r</w:t>
      </w:r>
      <w:r>
        <w:rPr>
          <w:spacing w:val="-3"/>
          <w:szCs w:val="22"/>
        </w:rPr>
        <w:t>e</w:t>
      </w:r>
      <w:r>
        <w:rPr>
          <w:szCs w:val="22"/>
        </w:rPr>
        <w:t>i</w:t>
      </w:r>
      <w:r>
        <w:rPr>
          <w:spacing w:val="1"/>
          <w:szCs w:val="22"/>
        </w:rPr>
        <w:t xml:space="preserve"> </w:t>
      </w:r>
      <w:r>
        <w:rPr>
          <w:spacing w:val="-3"/>
          <w:szCs w:val="22"/>
        </w:rPr>
        <w:t>g</w:t>
      </w:r>
      <w:r>
        <w:rPr>
          <w:szCs w:val="22"/>
        </w:rPr>
        <w:t>rup</w:t>
      </w:r>
      <w:r>
        <w:rPr>
          <w:spacing w:val="-3"/>
          <w:szCs w:val="22"/>
        </w:rPr>
        <w:t>u</w:t>
      </w:r>
      <w:r>
        <w:rPr>
          <w:szCs w:val="22"/>
        </w:rPr>
        <w:t>r</w:t>
      </w:r>
      <w:r>
        <w:rPr>
          <w:spacing w:val="1"/>
          <w:szCs w:val="22"/>
        </w:rPr>
        <w:t>i</w:t>
      </w:r>
      <w:r>
        <w:rPr>
          <w:szCs w:val="22"/>
        </w:rPr>
        <w:t xml:space="preserve">. </w:t>
      </w:r>
      <w:r>
        <w:rPr>
          <w:spacing w:val="-4"/>
          <w:szCs w:val="22"/>
        </w:rPr>
        <w:t>Î</w:t>
      </w:r>
      <w:r>
        <w:rPr>
          <w:szCs w:val="22"/>
        </w:rPr>
        <w:t>n pr</w:t>
      </w:r>
      <w:r>
        <w:rPr>
          <w:spacing w:val="1"/>
          <w:szCs w:val="22"/>
        </w:rPr>
        <w:t>i</w:t>
      </w:r>
      <w:r>
        <w:rPr>
          <w:spacing w:val="-4"/>
          <w:szCs w:val="22"/>
        </w:rPr>
        <w:t>m</w:t>
      </w:r>
      <w:r>
        <w:rPr>
          <w:szCs w:val="22"/>
        </w:rPr>
        <w:t>ul</w:t>
      </w:r>
      <w:r>
        <w:rPr>
          <w:spacing w:val="1"/>
          <w:szCs w:val="22"/>
        </w:rPr>
        <w:t xml:space="preserve"> </w:t>
      </w:r>
      <w:r>
        <w:rPr>
          <w:spacing w:val="-3"/>
          <w:szCs w:val="22"/>
        </w:rPr>
        <w:t>g</w:t>
      </w:r>
      <w:r>
        <w:rPr>
          <w:szCs w:val="22"/>
        </w:rPr>
        <w:t>rup</w:t>
      </w:r>
      <w:r>
        <w:rPr>
          <w:spacing w:val="-3"/>
          <w:szCs w:val="22"/>
        </w:rPr>
        <w:t xml:space="preserve"> </w:t>
      </w:r>
      <w:r>
        <w:rPr>
          <w:szCs w:val="22"/>
        </w:rPr>
        <w:t>s</w:t>
      </w:r>
      <w:r>
        <w:rPr>
          <w:spacing w:val="-4"/>
          <w:szCs w:val="22"/>
        </w:rPr>
        <w:t>-</w:t>
      </w:r>
      <w:r>
        <w:rPr>
          <w:szCs w:val="22"/>
        </w:rPr>
        <w:t>au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zCs w:val="22"/>
        </w:rPr>
        <w:t>r</w:t>
      </w:r>
      <w:r>
        <w:rPr>
          <w:spacing w:val="-3"/>
          <w:szCs w:val="22"/>
        </w:rPr>
        <w:t>a</w:t>
      </w:r>
      <w:r>
        <w:rPr>
          <w:szCs w:val="22"/>
        </w:rPr>
        <w:t>t</w:t>
      </w:r>
      <w:r>
        <w:rPr>
          <w:spacing w:val="-2"/>
          <w:szCs w:val="22"/>
        </w:rPr>
        <w:t xml:space="preserve"> </w:t>
      </w:r>
      <w:r>
        <w:rPr>
          <w:spacing w:val="1"/>
          <w:szCs w:val="22"/>
        </w:rPr>
        <w:t>i</w:t>
      </w:r>
      <w:r>
        <w:rPr>
          <w:spacing w:val="-3"/>
          <w:szCs w:val="22"/>
        </w:rPr>
        <w:t>n</w:t>
      </w:r>
      <w:r>
        <w:rPr>
          <w:spacing w:val="1"/>
          <w:szCs w:val="22"/>
        </w:rPr>
        <w:t>j</w:t>
      </w:r>
      <w:r>
        <w:rPr>
          <w:szCs w:val="22"/>
        </w:rPr>
        <w:t>ec</w:t>
      </w:r>
      <w:r>
        <w:rPr>
          <w:spacing w:val="-2"/>
          <w:szCs w:val="22"/>
        </w:rPr>
        <w:t>ţ</w:t>
      </w:r>
      <w:r>
        <w:rPr>
          <w:spacing w:val="1"/>
          <w:szCs w:val="22"/>
        </w:rPr>
        <w:t>i</w:t>
      </w:r>
      <w:r>
        <w:rPr>
          <w:szCs w:val="22"/>
        </w:rPr>
        <w:t>i</w:t>
      </w:r>
      <w:r>
        <w:rPr>
          <w:spacing w:val="-2"/>
          <w:szCs w:val="22"/>
        </w:rPr>
        <w:t xml:space="preserve"> </w:t>
      </w:r>
      <w:r>
        <w:rPr>
          <w:szCs w:val="22"/>
        </w:rPr>
        <w:t>cu</w:t>
      </w:r>
      <w:r>
        <w:rPr>
          <w:spacing w:val="-3"/>
          <w:szCs w:val="22"/>
        </w:rPr>
        <w:t xml:space="preserve"> </w:t>
      </w:r>
      <w:r>
        <w:rPr>
          <w:szCs w:val="22"/>
        </w:rPr>
        <w:t>p</w:t>
      </w:r>
      <w:r>
        <w:rPr>
          <w:spacing w:val="1"/>
          <w:szCs w:val="22"/>
        </w:rPr>
        <w:t>l</w:t>
      </w:r>
      <w:r>
        <w:rPr>
          <w:szCs w:val="22"/>
        </w:rPr>
        <w:t>a</w:t>
      </w:r>
      <w:r>
        <w:rPr>
          <w:spacing w:val="-3"/>
          <w:szCs w:val="22"/>
        </w:rPr>
        <w:t>c</w:t>
      </w:r>
      <w:r>
        <w:rPr>
          <w:szCs w:val="22"/>
        </w:rPr>
        <w:t xml:space="preserve">ebo, </w:t>
      </w:r>
      <w:r>
        <w:rPr>
          <w:spacing w:val="-2"/>
          <w:szCs w:val="22"/>
        </w:rPr>
        <w:t>s</w:t>
      </w:r>
      <w:r>
        <w:rPr>
          <w:szCs w:val="22"/>
        </w:rPr>
        <w:t>ăp</w:t>
      </w:r>
      <w:r>
        <w:rPr>
          <w:spacing w:val="-2"/>
          <w:szCs w:val="22"/>
        </w:rPr>
        <w:t>t</w:t>
      </w:r>
      <w:r>
        <w:rPr>
          <w:szCs w:val="22"/>
        </w:rPr>
        <w:t>ă</w:t>
      </w:r>
      <w:r>
        <w:rPr>
          <w:spacing w:val="-4"/>
          <w:szCs w:val="22"/>
        </w:rPr>
        <w:t>m</w:t>
      </w:r>
      <w:r>
        <w:rPr>
          <w:szCs w:val="22"/>
        </w:rPr>
        <w:t>âna</w:t>
      </w:r>
      <w:r>
        <w:rPr>
          <w:spacing w:val="1"/>
          <w:szCs w:val="22"/>
        </w:rPr>
        <w:t>l</w:t>
      </w:r>
      <w:r>
        <w:rPr>
          <w:szCs w:val="22"/>
        </w:rPr>
        <w:t xml:space="preserve">, </w:t>
      </w:r>
      <w:r>
        <w:rPr>
          <w:spacing w:val="-2"/>
          <w:szCs w:val="22"/>
        </w:rPr>
        <w:t>t</w:t>
      </w:r>
      <w:r>
        <w:rPr>
          <w:spacing w:val="1"/>
          <w:szCs w:val="22"/>
        </w:rPr>
        <w:t>i</w:t>
      </w:r>
      <w:r>
        <w:rPr>
          <w:spacing w:val="-4"/>
          <w:szCs w:val="22"/>
        </w:rPr>
        <w:t>m</w:t>
      </w:r>
      <w:r>
        <w:rPr>
          <w:szCs w:val="22"/>
        </w:rPr>
        <w:t xml:space="preserve">p de 52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4"/>
          <w:szCs w:val="22"/>
        </w:rPr>
        <w:t>Î</w:t>
      </w:r>
      <w:r>
        <w:rPr>
          <w:szCs w:val="22"/>
        </w:rPr>
        <w:t>n cel</w:t>
      </w:r>
      <w:r>
        <w:rPr>
          <w:spacing w:val="1"/>
          <w:szCs w:val="22"/>
        </w:rPr>
        <w:t xml:space="preserve"> </w:t>
      </w:r>
      <w:r>
        <w:rPr>
          <w:spacing w:val="-3"/>
          <w:szCs w:val="22"/>
        </w:rPr>
        <w:t>d</w:t>
      </w:r>
      <w:r>
        <w:rPr>
          <w:szCs w:val="22"/>
        </w:rPr>
        <w:t>e</w:t>
      </w:r>
      <w:r>
        <w:rPr>
          <w:spacing w:val="-5"/>
          <w:szCs w:val="22"/>
        </w:rPr>
        <w:noBreakHyphen/>
      </w:r>
      <w:r>
        <w:rPr>
          <w:szCs w:val="22"/>
        </w:rPr>
        <w:t>al</w:t>
      </w:r>
      <w:r>
        <w:rPr>
          <w:spacing w:val="1"/>
          <w:szCs w:val="22"/>
        </w:rPr>
        <w:t xml:space="preserve"> </w:t>
      </w:r>
      <w:r>
        <w:rPr>
          <w:szCs w:val="22"/>
        </w:rPr>
        <w:t>do</w:t>
      </w:r>
      <w:r>
        <w:rPr>
          <w:spacing w:val="1"/>
          <w:szCs w:val="22"/>
        </w:rPr>
        <w:t>i</w:t>
      </w:r>
      <w:r>
        <w:rPr>
          <w:spacing w:val="-2"/>
          <w:szCs w:val="22"/>
        </w:rPr>
        <w:t>l</w:t>
      </w:r>
      <w:r>
        <w:rPr>
          <w:szCs w:val="22"/>
        </w:rPr>
        <w:t xml:space="preserve">ea </w:t>
      </w:r>
      <w:r>
        <w:rPr>
          <w:spacing w:val="-3"/>
          <w:szCs w:val="22"/>
        </w:rPr>
        <w:t>g</w:t>
      </w:r>
      <w:r>
        <w:rPr>
          <w:szCs w:val="22"/>
        </w:rPr>
        <w:t>rup</w:t>
      </w:r>
      <w:r>
        <w:rPr>
          <w:spacing w:val="-3"/>
          <w:szCs w:val="22"/>
        </w:rPr>
        <w:t xml:space="preserve"> </w:t>
      </w:r>
      <w:r>
        <w:rPr>
          <w:szCs w:val="22"/>
        </w:rPr>
        <w:t>s</w:t>
      </w:r>
      <w:r>
        <w:rPr>
          <w:spacing w:val="-4"/>
          <w:szCs w:val="22"/>
        </w:rPr>
        <w:t>-</w:t>
      </w:r>
      <w:r>
        <w:rPr>
          <w:szCs w:val="22"/>
        </w:rPr>
        <w:t>a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1"/>
          <w:szCs w:val="22"/>
        </w:rPr>
        <w:t xml:space="preserve"> </w:t>
      </w:r>
      <w:r>
        <w:rPr>
          <w:rFonts w:eastAsia="MS Mincho"/>
          <w:spacing w:val="-1"/>
          <w:szCs w:val="22"/>
          <w:lang w:eastAsia="en-US" w:bidi="ar-SA"/>
        </w:rPr>
        <w:t>adalimumab</w:t>
      </w:r>
      <w:r>
        <w:rPr>
          <w:spacing w:val="-2"/>
          <w:szCs w:val="22"/>
        </w:rPr>
        <w:t xml:space="preserve"> </w:t>
      </w:r>
      <w:r>
        <w:rPr>
          <w:spacing w:val="1"/>
          <w:szCs w:val="22"/>
        </w:rPr>
        <w:t>î</w:t>
      </w:r>
      <w:r>
        <w:rPr>
          <w:szCs w:val="22"/>
        </w:rPr>
        <w:t>n do</w:t>
      </w:r>
      <w:r>
        <w:rPr>
          <w:spacing w:val="-3"/>
          <w:szCs w:val="22"/>
        </w:rPr>
        <w:t>z</w:t>
      </w:r>
      <w:r>
        <w:rPr>
          <w:szCs w:val="22"/>
        </w:rPr>
        <w:t xml:space="preserve">ă </w:t>
      </w:r>
      <w:r>
        <w:rPr>
          <w:spacing w:val="-3"/>
          <w:szCs w:val="22"/>
        </w:rPr>
        <w:t>d</w:t>
      </w:r>
      <w:r>
        <w:rPr>
          <w:szCs w:val="22"/>
        </w:rPr>
        <w:t>e 20 </w:t>
      </w:r>
      <w:r>
        <w:rPr>
          <w:spacing w:val="-4"/>
          <w:szCs w:val="22"/>
        </w:rPr>
        <w:t>m</w:t>
      </w:r>
      <w:r>
        <w:rPr>
          <w:spacing w:val="-3"/>
          <w:szCs w:val="22"/>
        </w:rPr>
        <w:t>g</w:t>
      </w:r>
      <w:r>
        <w:rPr>
          <w:szCs w:val="22"/>
        </w:rPr>
        <w:t>, săp</w:t>
      </w:r>
      <w:r>
        <w:rPr>
          <w:spacing w:val="1"/>
          <w:szCs w:val="22"/>
        </w:rPr>
        <w:t>t</w:t>
      </w:r>
      <w:r>
        <w:rPr>
          <w:szCs w:val="22"/>
        </w:rPr>
        <w:t>ă</w:t>
      </w:r>
      <w:r>
        <w:rPr>
          <w:spacing w:val="-4"/>
          <w:szCs w:val="22"/>
        </w:rPr>
        <w:t>m</w:t>
      </w:r>
      <w:r>
        <w:rPr>
          <w:szCs w:val="22"/>
        </w:rPr>
        <w:t>âna</w:t>
      </w:r>
      <w:r>
        <w:rPr>
          <w:spacing w:val="1"/>
          <w:szCs w:val="22"/>
        </w:rPr>
        <w:t>l</w:t>
      </w:r>
      <w:r>
        <w:rPr>
          <w:szCs w:val="22"/>
        </w:rPr>
        <w:t xml:space="preserve">, </w:t>
      </w:r>
      <w:r>
        <w:rPr>
          <w:spacing w:val="-2"/>
          <w:szCs w:val="22"/>
        </w:rPr>
        <w:t>t</w:t>
      </w:r>
      <w:r>
        <w:rPr>
          <w:spacing w:val="1"/>
          <w:szCs w:val="22"/>
        </w:rPr>
        <w:t>i</w:t>
      </w:r>
      <w:r>
        <w:rPr>
          <w:spacing w:val="-4"/>
          <w:szCs w:val="22"/>
        </w:rPr>
        <w:t>m</w:t>
      </w:r>
      <w:r>
        <w:rPr>
          <w:szCs w:val="22"/>
        </w:rPr>
        <w:t xml:space="preserve">p de 52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4"/>
          <w:szCs w:val="22"/>
        </w:rPr>
        <w:t>Î</w:t>
      </w:r>
      <w:r>
        <w:rPr>
          <w:szCs w:val="22"/>
        </w:rPr>
        <w:t>n cel</w:t>
      </w:r>
      <w:r>
        <w:rPr>
          <w:spacing w:val="1"/>
          <w:szCs w:val="22"/>
        </w:rPr>
        <w:t xml:space="preserve"> </w:t>
      </w:r>
      <w:r>
        <w:rPr>
          <w:spacing w:val="-3"/>
          <w:szCs w:val="22"/>
        </w:rPr>
        <w:t>d</w:t>
      </w:r>
      <w:r>
        <w:rPr>
          <w:szCs w:val="22"/>
        </w:rPr>
        <w:t>e</w:t>
      </w:r>
      <w:r>
        <w:rPr>
          <w:spacing w:val="-5"/>
          <w:szCs w:val="22"/>
        </w:rPr>
        <w:noBreakHyphen/>
      </w:r>
      <w:r>
        <w:rPr>
          <w:szCs w:val="22"/>
        </w:rPr>
        <w:t>al</w:t>
      </w:r>
      <w:r>
        <w:rPr>
          <w:spacing w:val="1"/>
          <w:szCs w:val="22"/>
        </w:rPr>
        <w:t xml:space="preserve"> t</w:t>
      </w:r>
      <w:r>
        <w:rPr>
          <w:szCs w:val="22"/>
        </w:rPr>
        <w:t>r</w:t>
      </w:r>
      <w:r>
        <w:rPr>
          <w:spacing w:val="-3"/>
          <w:szCs w:val="22"/>
        </w:rPr>
        <w:t>e</w:t>
      </w:r>
      <w:r>
        <w:rPr>
          <w:spacing w:val="1"/>
          <w:szCs w:val="22"/>
        </w:rPr>
        <w:t>i</w:t>
      </w:r>
      <w:r>
        <w:rPr>
          <w:spacing w:val="-2"/>
          <w:szCs w:val="22"/>
        </w:rPr>
        <w:t>l</w:t>
      </w:r>
      <w:r>
        <w:rPr>
          <w:szCs w:val="22"/>
        </w:rPr>
        <w:t xml:space="preserve">ea </w:t>
      </w:r>
      <w:r>
        <w:rPr>
          <w:spacing w:val="-3"/>
          <w:szCs w:val="22"/>
        </w:rPr>
        <w:t>g</w:t>
      </w:r>
      <w:r>
        <w:rPr>
          <w:szCs w:val="22"/>
        </w:rPr>
        <w:t>rup</w:t>
      </w:r>
      <w:r>
        <w:rPr>
          <w:spacing w:val="-3"/>
          <w:szCs w:val="22"/>
        </w:rPr>
        <w:t xml:space="preserve"> </w:t>
      </w:r>
      <w:r>
        <w:rPr>
          <w:szCs w:val="22"/>
        </w:rPr>
        <w:t>s</w:t>
      </w:r>
      <w:r>
        <w:rPr>
          <w:spacing w:val="-5"/>
          <w:szCs w:val="22"/>
        </w:rPr>
        <w:t>-</w:t>
      </w:r>
      <w:r>
        <w:rPr>
          <w:szCs w:val="22"/>
        </w:rPr>
        <w:t>a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1"/>
          <w:szCs w:val="22"/>
        </w:rPr>
        <w:t xml:space="preserve"> </w:t>
      </w:r>
      <w:r>
        <w:rPr>
          <w:rFonts w:eastAsia="MS Mincho"/>
          <w:spacing w:val="-1"/>
          <w:szCs w:val="22"/>
          <w:lang w:eastAsia="en-US" w:bidi="ar-SA"/>
        </w:rPr>
        <w:t>adalimumab</w:t>
      </w:r>
      <w:r>
        <w:rPr>
          <w:spacing w:val="-2"/>
          <w:szCs w:val="22"/>
        </w:rPr>
        <w:t xml:space="preserve"> </w:t>
      </w:r>
      <w:r>
        <w:rPr>
          <w:spacing w:val="1"/>
          <w:szCs w:val="22"/>
        </w:rPr>
        <w:t>î</w:t>
      </w:r>
      <w:r>
        <w:rPr>
          <w:szCs w:val="22"/>
        </w:rPr>
        <w:t>n do</w:t>
      </w:r>
      <w:r>
        <w:rPr>
          <w:spacing w:val="-3"/>
          <w:szCs w:val="22"/>
        </w:rPr>
        <w:t>z</w:t>
      </w:r>
      <w:r>
        <w:rPr>
          <w:szCs w:val="22"/>
        </w:rPr>
        <w:t xml:space="preserve">ă </w:t>
      </w:r>
      <w:r>
        <w:rPr>
          <w:spacing w:val="-3"/>
          <w:szCs w:val="22"/>
        </w:rPr>
        <w:t>d</w:t>
      </w:r>
      <w:r>
        <w:rPr>
          <w:szCs w:val="22"/>
        </w:rPr>
        <w:t>e 40 </w:t>
      </w:r>
      <w:r>
        <w:rPr>
          <w:spacing w:val="-4"/>
          <w:szCs w:val="22"/>
        </w:rPr>
        <w:t>m</w:t>
      </w:r>
      <w:r>
        <w:rPr>
          <w:spacing w:val="-3"/>
          <w:szCs w:val="22"/>
        </w:rPr>
        <w:t>g</w:t>
      </w:r>
      <w:r>
        <w:rPr>
          <w:szCs w:val="22"/>
        </w:rPr>
        <w:t>, d</w:t>
      </w:r>
      <w:r>
        <w:rPr>
          <w:spacing w:val="1"/>
          <w:szCs w:val="22"/>
        </w:rPr>
        <w:t>i</w:t>
      </w:r>
      <w:r>
        <w:rPr>
          <w:szCs w:val="22"/>
        </w:rPr>
        <w:t xml:space="preserve">n două </w:t>
      </w:r>
      <w:r>
        <w:rPr>
          <w:spacing w:val="1"/>
          <w:szCs w:val="22"/>
        </w:rPr>
        <w:t>î</w:t>
      </w:r>
      <w:r>
        <w:rPr>
          <w:szCs w:val="22"/>
        </w:rPr>
        <w:t>n</w:t>
      </w:r>
      <w:r>
        <w:rPr>
          <w:spacing w:val="-3"/>
          <w:szCs w:val="22"/>
        </w:rPr>
        <w:t xml:space="preserve"> </w:t>
      </w:r>
      <w:r>
        <w:rPr>
          <w:szCs w:val="22"/>
        </w:rPr>
        <w:t>două</w:t>
      </w:r>
      <w:r>
        <w:rPr>
          <w:spacing w:val="-2"/>
          <w:szCs w:val="22"/>
        </w:rPr>
        <w:t xml:space="preserve"> s</w:t>
      </w:r>
      <w:r>
        <w:rPr>
          <w:szCs w:val="22"/>
        </w:rPr>
        <w:t>ăp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3"/>
          <w:szCs w:val="22"/>
        </w:rPr>
        <w:t>c</w:t>
      </w:r>
      <w:r>
        <w:rPr>
          <w:szCs w:val="22"/>
        </w:rPr>
        <w:t>u 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ra</w:t>
      </w:r>
      <w:r>
        <w:rPr>
          <w:spacing w:val="-2"/>
          <w:szCs w:val="22"/>
        </w:rPr>
        <w:t>r</w:t>
      </w:r>
      <w:r>
        <w:rPr>
          <w:szCs w:val="22"/>
        </w:rPr>
        <w:t>e de</w:t>
      </w:r>
      <w:r>
        <w:rPr>
          <w:spacing w:val="-2"/>
          <w:szCs w:val="22"/>
        </w:rPr>
        <w:t xml:space="preserve"> </w:t>
      </w:r>
      <w:r>
        <w:rPr>
          <w:szCs w:val="22"/>
        </w:rPr>
        <w:t>p</w:t>
      </w:r>
      <w:r>
        <w:rPr>
          <w:spacing w:val="1"/>
          <w:szCs w:val="22"/>
        </w:rPr>
        <w:t>l</w:t>
      </w:r>
      <w:r>
        <w:rPr>
          <w:spacing w:val="-3"/>
          <w:szCs w:val="22"/>
        </w:rPr>
        <w:t>a</w:t>
      </w:r>
      <w:r>
        <w:rPr>
          <w:szCs w:val="22"/>
        </w:rPr>
        <w:t>cebo</w:t>
      </w:r>
      <w:r>
        <w:rPr>
          <w:spacing w:val="-3"/>
          <w:szCs w:val="22"/>
        </w:rPr>
        <w:t xml:space="preserve"> </w:t>
      </w:r>
      <w:r>
        <w:rPr>
          <w:spacing w:val="1"/>
          <w:szCs w:val="22"/>
        </w:rPr>
        <w:t>î</w:t>
      </w:r>
      <w:r>
        <w:rPr>
          <w:szCs w:val="22"/>
        </w:rPr>
        <w:t>n</w:t>
      </w:r>
      <w:r>
        <w:rPr>
          <w:spacing w:val="-3"/>
          <w:szCs w:val="22"/>
        </w:rPr>
        <w:t xml:space="preserve"> </w:t>
      </w:r>
      <w:r>
        <w:rPr>
          <w:szCs w:val="22"/>
        </w:rPr>
        <w:t>săp</w:t>
      </w:r>
      <w:r>
        <w:rPr>
          <w:spacing w:val="-2"/>
          <w:szCs w:val="22"/>
        </w:rPr>
        <w:t>t</w:t>
      </w:r>
      <w:r>
        <w:rPr>
          <w:szCs w:val="22"/>
        </w:rPr>
        <w:t>ă</w:t>
      </w:r>
      <w:r>
        <w:rPr>
          <w:spacing w:val="-4"/>
          <w:szCs w:val="22"/>
        </w:rPr>
        <w:t>m</w:t>
      </w:r>
      <w:r>
        <w:rPr>
          <w:szCs w:val="22"/>
        </w:rPr>
        <w:t>ân</w:t>
      </w:r>
      <w:r>
        <w:rPr>
          <w:spacing w:val="1"/>
          <w:szCs w:val="22"/>
        </w:rPr>
        <w:t>il</w:t>
      </w:r>
      <w:r>
        <w:rPr>
          <w:szCs w:val="22"/>
        </w:rPr>
        <w:t>e</w:t>
      </w:r>
      <w:r>
        <w:rPr>
          <w:spacing w:val="-2"/>
          <w:szCs w:val="22"/>
        </w:rPr>
        <w:t xml:space="preserve"> </w:t>
      </w:r>
      <w:r>
        <w:rPr>
          <w:szCs w:val="22"/>
        </w:rPr>
        <w:t>a</w:t>
      </w:r>
      <w:r>
        <w:rPr>
          <w:spacing w:val="-2"/>
          <w:szCs w:val="22"/>
        </w:rPr>
        <w:t>l</w:t>
      </w:r>
      <w:r>
        <w:rPr>
          <w:spacing w:val="1"/>
          <w:szCs w:val="22"/>
        </w:rPr>
        <w:t>t</w:t>
      </w:r>
      <w:r>
        <w:rPr>
          <w:szCs w:val="22"/>
        </w:rPr>
        <w:t>e</w:t>
      </w:r>
      <w:r>
        <w:rPr>
          <w:spacing w:val="-2"/>
          <w:szCs w:val="22"/>
        </w:rPr>
        <w:t>r</w:t>
      </w:r>
      <w:r>
        <w:rPr>
          <w:szCs w:val="22"/>
        </w:rPr>
        <w:t>na</w:t>
      </w:r>
      <w:r>
        <w:rPr>
          <w:spacing w:val="-2"/>
          <w:szCs w:val="22"/>
        </w:rPr>
        <w:t>t</w:t>
      </w:r>
      <w:r>
        <w:rPr>
          <w:spacing w:val="1"/>
          <w:szCs w:val="22"/>
        </w:rPr>
        <w:t>i</w:t>
      </w:r>
      <w:r>
        <w:rPr>
          <w:spacing w:val="-3"/>
          <w:szCs w:val="22"/>
        </w:rPr>
        <w:t>v</w:t>
      </w:r>
      <w:r>
        <w:rPr>
          <w:szCs w:val="22"/>
        </w:rPr>
        <w:t xml:space="preserve">e. </w:t>
      </w:r>
      <w:r>
        <w:rPr>
          <w:spacing w:val="-2"/>
          <w:szCs w:val="22"/>
        </w:rPr>
        <w:t>D</w:t>
      </w:r>
      <w:r>
        <w:rPr>
          <w:szCs w:val="22"/>
        </w:rPr>
        <w:t xml:space="preserve">upă </w:t>
      </w:r>
      <w:r>
        <w:rPr>
          <w:spacing w:val="-2"/>
          <w:szCs w:val="22"/>
        </w:rPr>
        <w:t>t</w:t>
      </w:r>
      <w:r>
        <w:rPr>
          <w:szCs w:val="22"/>
        </w:rPr>
        <w:t>er</w:t>
      </w:r>
      <w:r>
        <w:rPr>
          <w:spacing w:val="-4"/>
          <w:szCs w:val="22"/>
        </w:rPr>
        <w:t>m</w:t>
      </w:r>
      <w:r>
        <w:rPr>
          <w:spacing w:val="1"/>
          <w:szCs w:val="22"/>
        </w:rPr>
        <w:t>i</w:t>
      </w:r>
      <w:r>
        <w:rPr>
          <w:szCs w:val="22"/>
        </w:rPr>
        <w:t>na</w:t>
      </w:r>
      <w:r>
        <w:rPr>
          <w:spacing w:val="-2"/>
          <w:szCs w:val="22"/>
        </w:rPr>
        <w:t>r</w:t>
      </w:r>
      <w:r>
        <w:rPr>
          <w:szCs w:val="22"/>
        </w:rPr>
        <w:t xml:space="preserve">ea </w:t>
      </w:r>
      <w:r>
        <w:rPr>
          <w:spacing w:val="-3"/>
          <w:szCs w:val="22"/>
        </w:rPr>
        <w:t>p</w:t>
      </w:r>
      <w:r>
        <w:rPr>
          <w:szCs w:val="22"/>
        </w:rPr>
        <w:t>r</w:t>
      </w:r>
      <w:r>
        <w:rPr>
          <w:spacing w:val="1"/>
          <w:szCs w:val="22"/>
        </w:rPr>
        <w:t>i</w:t>
      </w:r>
      <w:r>
        <w:rPr>
          <w:spacing w:val="-4"/>
          <w:szCs w:val="22"/>
        </w:rPr>
        <w:t>m</w:t>
      </w:r>
      <w:r>
        <w:rPr>
          <w:szCs w:val="22"/>
        </w:rPr>
        <w:t>e</w:t>
      </w:r>
      <w:r>
        <w:rPr>
          <w:spacing w:val="1"/>
          <w:szCs w:val="22"/>
        </w:rPr>
        <w:t>l</w:t>
      </w:r>
      <w:r>
        <w:rPr>
          <w:szCs w:val="22"/>
        </w:rPr>
        <w:t>or</w:t>
      </w:r>
      <w:r>
        <w:rPr>
          <w:spacing w:val="1"/>
          <w:szCs w:val="22"/>
        </w:rPr>
        <w:t xml:space="preserve"> </w:t>
      </w:r>
      <w:r>
        <w:rPr>
          <w:spacing w:val="-3"/>
          <w:szCs w:val="22"/>
        </w:rPr>
        <w:t>5</w:t>
      </w:r>
      <w:r>
        <w:rPr>
          <w:szCs w:val="22"/>
        </w:rPr>
        <w:t>2</w:t>
      </w:r>
      <w:r>
        <w:rPr>
          <w:spacing w:val="-3"/>
          <w:szCs w:val="22"/>
        </w:rPr>
        <w:t xml:space="preserve"> </w:t>
      </w:r>
      <w:r>
        <w:rPr>
          <w:szCs w:val="22"/>
        </w:rPr>
        <w:t>săp</w:t>
      </w:r>
      <w:r>
        <w:rPr>
          <w:spacing w:val="-2"/>
          <w:szCs w:val="22"/>
        </w:rPr>
        <w:t>t</w:t>
      </w:r>
      <w:r>
        <w:rPr>
          <w:szCs w:val="22"/>
        </w:rPr>
        <w:t>ă</w:t>
      </w:r>
      <w:r>
        <w:rPr>
          <w:spacing w:val="-4"/>
          <w:szCs w:val="22"/>
        </w:rPr>
        <w:t>m</w:t>
      </w:r>
      <w:r>
        <w:rPr>
          <w:szCs w:val="22"/>
        </w:rPr>
        <w:t>ân</w:t>
      </w:r>
      <w:r>
        <w:rPr>
          <w:spacing w:val="1"/>
          <w:szCs w:val="22"/>
        </w:rPr>
        <w:t>i</w:t>
      </w:r>
      <w:r>
        <w:rPr>
          <w:szCs w:val="22"/>
        </w:rPr>
        <w:t>, 457 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 xml:space="preserve">au </w:t>
      </w:r>
      <w:r>
        <w:rPr>
          <w:spacing w:val="-2"/>
          <w:szCs w:val="22"/>
        </w:rPr>
        <w:t>f</w:t>
      </w:r>
      <w:r>
        <w:rPr>
          <w:szCs w:val="22"/>
        </w:rPr>
        <w:t>o</w:t>
      </w:r>
      <w:r>
        <w:rPr>
          <w:spacing w:val="-2"/>
          <w:szCs w:val="22"/>
        </w:rPr>
        <w:t>s</w:t>
      </w:r>
      <w:r>
        <w:rPr>
          <w:szCs w:val="22"/>
        </w:rPr>
        <w:t>t</w:t>
      </w:r>
      <w:r>
        <w:rPr>
          <w:spacing w:val="1"/>
          <w:szCs w:val="22"/>
        </w:rPr>
        <w:t xml:space="preserve"> î</w:t>
      </w:r>
      <w:r>
        <w:rPr>
          <w:spacing w:val="-3"/>
          <w:szCs w:val="22"/>
        </w:rPr>
        <w:t>n</w:t>
      </w:r>
      <w:r>
        <w:rPr>
          <w:szCs w:val="22"/>
        </w:rPr>
        <w:t>ro</w:t>
      </w:r>
      <w:r>
        <w:rPr>
          <w:spacing w:val="-2"/>
          <w:szCs w:val="22"/>
        </w:rPr>
        <w:t>l</w:t>
      </w:r>
      <w:r>
        <w:rPr>
          <w:szCs w:val="22"/>
        </w:rPr>
        <w:t>a</w:t>
      </w:r>
      <w:r>
        <w:rPr>
          <w:spacing w:val="-2"/>
          <w:szCs w:val="22"/>
        </w:rPr>
        <w:t>ţ</w:t>
      </w:r>
      <w:r>
        <w:rPr>
          <w:szCs w:val="22"/>
        </w:rPr>
        <w:t>i</w:t>
      </w:r>
      <w:r>
        <w:rPr>
          <w:spacing w:val="1"/>
          <w:szCs w:val="22"/>
        </w:rPr>
        <w:t xml:space="preserve"> </w:t>
      </w:r>
      <w:r>
        <w:rPr>
          <w:spacing w:val="-2"/>
          <w:szCs w:val="22"/>
        </w:rPr>
        <w:t>î</w:t>
      </w:r>
      <w:r>
        <w:rPr>
          <w:szCs w:val="22"/>
        </w:rPr>
        <w:t>n</w:t>
      </w:r>
      <w:r>
        <w:rPr>
          <w:spacing w:val="-2"/>
          <w:szCs w:val="22"/>
        </w:rPr>
        <w:t>tr</w:t>
      </w:r>
      <w:r>
        <w:rPr>
          <w:spacing w:val="-4"/>
          <w:szCs w:val="22"/>
        </w:rPr>
        <w:t>-</w:t>
      </w:r>
      <w:r>
        <w:rPr>
          <w:szCs w:val="22"/>
        </w:rPr>
        <w:t>o fa</w:t>
      </w:r>
      <w:r>
        <w:rPr>
          <w:spacing w:val="-3"/>
          <w:szCs w:val="22"/>
        </w:rPr>
        <w:t>z</w:t>
      </w:r>
      <w:r>
        <w:rPr>
          <w:szCs w:val="22"/>
        </w:rPr>
        <w:t>ă de ex</w:t>
      </w:r>
      <w:r>
        <w:rPr>
          <w:spacing w:val="1"/>
          <w:szCs w:val="22"/>
        </w:rPr>
        <w:t>t</w:t>
      </w:r>
      <w:r>
        <w:rPr>
          <w:szCs w:val="22"/>
        </w:rPr>
        <w:t>e</w:t>
      </w:r>
      <w:r>
        <w:rPr>
          <w:spacing w:val="-3"/>
          <w:szCs w:val="22"/>
        </w:rPr>
        <w:t>n</w:t>
      </w:r>
      <w:r>
        <w:rPr>
          <w:szCs w:val="22"/>
        </w:rPr>
        <w:t>s</w:t>
      </w:r>
      <w:r>
        <w:rPr>
          <w:spacing w:val="1"/>
          <w:szCs w:val="22"/>
        </w:rPr>
        <w:t>i</w:t>
      </w:r>
      <w:r>
        <w:rPr>
          <w:szCs w:val="22"/>
        </w:rPr>
        <w:t>e</w:t>
      </w:r>
      <w:r>
        <w:rPr>
          <w:spacing w:val="-2"/>
          <w:szCs w:val="22"/>
        </w:rPr>
        <w:t xml:space="preserve"> </w:t>
      </w:r>
      <w:r>
        <w:rPr>
          <w:szCs w:val="22"/>
        </w:rPr>
        <w:t>de</w:t>
      </w:r>
      <w:r>
        <w:rPr>
          <w:spacing w:val="-2"/>
          <w:szCs w:val="22"/>
        </w:rPr>
        <w:t>s</w:t>
      </w:r>
      <w:r>
        <w:rPr>
          <w:szCs w:val="22"/>
        </w:rPr>
        <w:t>ch</w:t>
      </w:r>
      <w:r>
        <w:rPr>
          <w:spacing w:val="-2"/>
          <w:szCs w:val="22"/>
        </w:rPr>
        <w:t>i</w:t>
      </w:r>
      <w:r>
        <w:rPr>
          <w:szCs w:val="22"/>
        </w:rPr>
        <w:t>s</w:t>
      </w:r>
      <w:r>
        <w:rPr>
          <w:spacing w:val="-3"/>
          <w:szCs w:val="22"/>
        </w:rPr>
        <w:t>ă</w:t>
      </w:r>
      <w:r>
        <w:rPr>
          <w:szCs w:val="22"/>
        </w:rPr>
        <w:t xml:space="preserve">, </w:t>
      </w:r>
      <w:r>
        <w:rPr>
          <w:spacing w:val="1"/>
          <w:szCs w:val="22"/>
        </w:rPr>
        <w:t>î</w:t>
      </w:r>
      <w:r>
        <w:rPr>
          <w:szCs w:val="22"/>
        </w:rPr>
        <w:t xml:space="preserve">n </w:t>
      </w:r>
      <w:r>
        <w:rPr>
          <w:spacing w:val="-3"/>
          <w:szCs w:val="22"/>
        </w:rPr>
        <w:t>c</w:t>
      </w:r>
      <w:r>
        <w:rPr>
          <w:szCs w:val="22"/>
        </w:rPr>
        <w:t>are</w:t>
      </w:r>
      <w:r>
        <w:rPr>
          <w:spacing w:val="-2"/>
          <w:szCs w:val="22"/>
        </w:rPr>
        <w:t xml:space="preserve"> </w:t>
      </w:r>
      <w:r>
        <w:rPr>
          <w:szCs w:val="22"/>
        </w:rPr>
        <w:t>s</w:t>
      </w:r>
      <w:r>
        <w:rPr>
          <w:spacing w:val="-4"/>
          <w:szCs w:val="22"/>
        </w:rPr>
        <w:t>-</w:t>
      </w:r>
      <w:r>
        <w:rPr>
          <w:szCs w:val="22"/>
        </w:rPr>
        <w:t>a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1"/>
          <w:szCs w:val="22"/>
        </w:rPr>
        <w:t xml:space="preserve"> </w:t>
      </w:r>
      <w:r>
        <w:rPr>
          <w:rFonts w:eastAsia="MS Mincho"/>
          <w:spacing w:val="-1"/>
          <w:szCs w:val="22"/>
          <w:lang w:eastAsia="en-US" w:bidi="ar-SA"/>
        </w:rPr>
        <w:t>adalimumab</w:t>
      </w:r>
      <w:r>
        <w:rPr>
          <w:rFonts w:eastAsia="MS Mincho"/>
          <w:spacing w:val="1"/>
          <w:szCs w:val="22"/>
          <w:lang w:eastAsia="en-US" w:bidi="ar-SA"/>
        </w:rPr>
        <w:t>/</w:t>
      </w:r>
      <w:r>
        <w:rPr>
          <w:rFonts w:eastAsia="MS Mincho"/>
          <w:szCs w:val="22"/>
          <w:lang w:eastAsia="en-US" w:bidi="ar-SA"/>
        </w:rPr>
        <w:t>M</w:t>
      </w:r>
      <w:r>
        <w:rPr>
          <w:rFonts w:eastAsia="MS Mincho"/>
          <w:spacing w:val="-1"/>
          <w:szCs w:val="22"/>
          <w:lang w:eastAsia="en-US" w:bidi="ar-SA"/>
        </w:rPr>
        <w:t>T</w:t>
      </w:r>
      <w:r>
        <w:rPr>
          <w:rFonts w:eastAsia="MS Mincho"/>
          <w:szCs w:val="22"/>
          <w:lang w:eastAsia="en-US" w:bidi="ar-SA"/>
        </w:rPr>
        <w:t>X</w:t>
      </w:r>
      <w:r>
        <w:rPr>
          <w:szCs w:val="22"/>
        </w:rPr>
        <w:t xml:space="preserve"> </w:t>
      </w:r>
      <w:r>
        <w:rPr>
          <w:spacing w:val="1"/>
          <w:szCs w:val="22"/>
        </w:rPr>
        <w:t>î</w:t>
      </w:r>
      <w:r>
        <w:rPr>
          <w:szCs w:val="22"/>
        </w:rPr>
        <w:t>n do</w:t>
      </w:r>
      <w:r>
        <w:rPr>
          <w:spacing w:val="-3"/>
          <w:szCs w:val="22"/>
        </w:rPr>
        <w:t>z</w:t>
      </w:r>
      <w:r>
        <w:rPr>
          <w:szCs w:val="22"/>
        </w:rPr>
        <w:t>ă de</w:t>
      </w:r>
      <w:r>
        <w:rPr>
          <w:spacing w:val="-2"/>
          <w:szCs w:val="22"/>
        </w:rPr>
        <w:t xml:space="preserve"> </w:t>
      </w:r>
      <w:r>
        <w:rPr>
          <w:szCs w:val="22"/>
        </w:rPr>
        <w:t>40 </w:t>
      </w:r>
      <w:r>
        <w:rPr>
          <w:spacing w:val="-2"/>
          <w:szCs w:val="22"/>
        </w:rPr>
        <w:t>m</w:t>
      </w:r>
      <w:r>
        <w:rPr>
          <w:spacing w:val="-3"/>
          <w:szCs w:val="22"/>
        </w:rPr>
        <w:t>g</w:t>
      </w:r>
      <w:r>
        <w:rPr>
          <w:spacing w:val="1"/>
          <w:szCs w:val="22"/>
        </w:rPr>
        <w:t xml:space="preserve"> </w:t>
      </w:r>
      <w:r>
        <w:rPr>
          <w:szCs w:val="22"/>
        </w:rPr>
        <w:t>d</w:t>
      </w:r>
      <w:r>
        <w:rPr>
          <w:spacing w:val="-2"/>
          <w:szCs w:val="22"/>
        </w:rPr>
        <w:t>i</w:t>
      </w:r>
      <w:r>
        <w:rPr>
          <w:szCs w:val="22"/>
        </w:rPr>
        <w:t>n două</w:t>
      </w:r>
      <w:r>
        <w:rPr>
          <w:spacing w:val="-2"/>
          <w:szCs w:val="22"/>
        </w:rPr>
        <w:t xml:space="preserve"> </w:t>
      </w:r>
      <w:r>
        <w:rPr>
          <w:spacing w:val="1"/>
          <w:szCs w:val="22"/>
        </w:rPr>
        <w:t>î</w:t>
      </w:r>
      <w:r>
        <w:rPr>
          <w:szCs w:val="22"/>
        </w:rPr>
        <w:t>n</w:t>
      </w:r>
      <w:r>
        <w:rPr>
          <w:spacing w:val="-3"/>
          <w:szCs w:val="22"/>
        </w:rPr>
        <w:t xml:space="preserve"> </w:t>
      </w:r>
      <w:r>
        <w:rPr>
          <w:szCs w:val="22"/>
        </w:rPr>
        <w:t>două</w:t>
      </w:r>
      <w:r>
        <w:rPr>
          <w:spacing w:val="-2"/>
          <w:szCs w:val="22"/>
        </w:rPr>
        <w:t xml:space="preserve"> </w:t>
      </w:r>
      <w:r>
        <w:rPr>
          <w:szCs w:val="22"/>
        </w:rPr>
        <w:t>săp</w:t>
      </w:r>
      <w:r>
        <w:rPr>
          <w:spacing w:val="-2"/>
          <w:szCs w:val="22"/>
        </w:rPr>
        <w:t>t</w:t>
      </w:r>
      <w:r>
        <w:rPr>
          <w:szCs w:val="22"/>
        </w:rPr>
        <w:t>ă</w:t>
      </w:r>
      <w:r>
        <w:rPr>
          <w:spacing w:val="-4"/>
          <w:szCs w:val="22"/>
        </w:rPr>
        <w:t>m</w:t>
      </w:r>
      <w:r>
        <w:rPr>
          <w:szCs w:val="22"/>
        </w:rPr>
        <w:t>âni</w:t>
      </w:r>
      <w:r>
        <w:rPr>
          <w:spacing w:val="1"/>
          <w:szCs w:val="22"/>
        </w:rPr>
        <w:t xml:space="preserve"> </w:t>
      </w:r>
      <w:r>
        <w:rPr>
          <w:szCs w:val="22"/>
        </w:rPr>
        <w:t xml:space="preserve">pe o </w:t>
      </w:r>
      <w:r>
        <w:rPr>
          <w:spacing w:val="-3"/>
          <w:szCs w:val="22"/>
        </w:rPr>
        <w:t>p</w:t>
      </w:r>
      <w:r>
        <w:rPr>
          <w:szCs w:val="22"/>
        </w:rPr>
        <w:t>e</w:t>
      </w:r>
      <w:r>
        <w:rPr>
          <w:spacing w:val="-2"/>
          <w:szCs w:val="22"/>
        </w:rPr>
        <w:t>r</w:t>
      </w:r>
      <w:r>
        <w:rPr>
          <w:spacing w:val="1"/>
          <w:szCs w:val="22"/>
        </w:rPr>
        <w:t>i</w:t>
      </w:r>
      <w:r>
        <w:rPr>
          <w:szCs w:val="22"/>
        </w:rPr>
        <w:t>oa</w:t>
      </w:r>
      <w:r>
        <w:rPr>
          <w:spacing w:val="-3"/>
          <w:szCs w:val="22"/>
        </w:rPr>
        <w:t>d</w:t>
      </w:r>
      <w:r>
        <w:rPr>
          <w:szCs w:val="22"/>
        </w:rPr>
        <w:t>ă de</w:t>
      </w:r>
      <w:r>
        <w:rPr>
          <w:spacing w:val="-2"/>
          <w:szCs w:val="22"/>
        </w:rPr>
        <w:t xml:space="preserve"> </w:t>
      </w:r>
      <w:r>
        <w:rPr>
          <w:szCs w:val="22"/>
        </w:rPr>
        <w:t>până</w:t>
      </w:r>
      <w:r>
        <w:rPr>
          <w:spacing w:val="-2"/>
          <w:szCs w:val="22"/>
        </w:rPr>
        <w:t xml:space="preserve"> </w:t>
      </w:r>
      <w:r>
        <w:rPr>
          <w:spacing w:val="1"/>
          <w:szCs w:val="22"/>
        </w:rPr>
        <w:t>l</w:t>
      </w:r>
      <w:r>
        <w:rPr>
          <w:szCs w:val="22"/>
        </w:rPr>
        <w:t>a 10</w:t>
      </w:r>
      <w:r>
        <w:rPr>
          <w:spacing w:val="-3"/>
          <w:szCs w:val="22"/>
        </w:rPr>
        <w:t xml:space="preserve"> </w:t>
      </w:r>
      <w:r>
        <w:rPr>
          <w:szCs w:val="22"/>
        </w:rPr>
        <w:t>an</w:t>
      </w:r>
      <w:r>
        <w:rPr>
          <w:spacing w:val="1"/>
          <w:szCs w:val="22"/>
        </w:rPr>
        <w:t>i</w:t>
      </w:r>
      <w:r>
        <w:rPr>
          <w:szCs w:val="22"/>
        </w:rPr>
        <w:t>.</w:t>
      </w:r>
    </w:p>
    <w:p w14:paraId="7C373E0B" w14:textId="77777777" w:rsidR="00C04CAD" w:rsidRDefault="00C04CAD">
      <w:pPr>
        <w:tabs>
          <w:tab w:val="clear" w:pos="567"/>
        </w:tabs>
        <w:kinsoku w:val="0"/>
        <w:overflowPunct w:val="0"/>
        <w:autoSpaceDE w:val="0"/>
        <w:autoSpaceDN w:val="0"/>
        <w:adjustRightInd w:val="0"/>
        <w:spacing w:line="240" w:lineRule="auto"/>
        <w:rPr>
          <w:szCs w:val="22"/>
        </w:rPr>
      </w:pPr>
    </w:p>
    <w:p w14:paraId="6E541D0F"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4"/>
          <w:szCs w:val="22"/>
        </w:rPr>
        <w:t>I</w:t>
      </w:r>
      <w:r>
        <w:rPr>
          <w:szCs w:val="22"/>
        </w:rPr>
        <w:t>V</w:t>
      </w:r>
      <w:r>
        <w:rPr>
          <w:spacing w:val="1"/>
          <w:szCs w:val="22"/>
        </w:rPr>
        <w:t xml:space="preserve"> </w:t>
      </w:r>
      <w:r>
        <w:rPr>
          <w:szCs w:val="22"/>
        </w:rPr>
        <w:t>a e</w:t>
      </w:r>
      <w:r>
        <w:rPr>
          <w:spacing w:val="-3"/>
          <w:szCs w:val="22"/>
        </w:rPr>
        <w:t>v</w:t>
      </w:r>
      <w:r>
        <w:rPr>
          <w:szCs w:val="22"/>
        </w:rPr>
        <w:t>a</w:t>
      </w:r>
      <w:r>
        <w:rPr>
          <w:spacing w:val="1"/>
          <w:szCs w:val="22"/>
        </w:rPr>
        <w:t>l</w:t>
      </w:r>
      <w:r>
        <w:rPr>
          <w:spacing w:val="-3"/>
          <w:szCs w:val="22"/>
        </w:rPr>
        <w:t>u</w:t>
      </w:r>
      <w:r>
        <w:rPr>
          <w:szCs w:val="22"/>
        </w:rPr>
        <w:t>at</w:t>
      </w:r>
      <w:r>
        <w:rPr>
          <w:spacing w:val="-2"/>
          <w:szCs w:val="22"/>
        </w:rPr>
        <w:t xml:space="preserve"> </w:t>
      </w:r>
      <w:r>
        <w:rPr>
          <w:spacing w:val="1"/>
          <w:szCs w:val="22"/>
        </w:rPr>
        <w:t>î</w:t>
      </w:r>
      <w:r>
        <w:rPr>
          <w:szCs w:val="22"/>
        </w:rPr>
        <w:t>n</w:t>
      </w:r>
      <w:r>
        <w:rPr>
          <w:spacing w:val="-3"/>
          <w:szCs w:val="22"/>
        </w:rPr>
        <w:t xml:space="preserve"> </w:t>
      </w:r>
      <w:r>
        <w:rPr>
          <w:szCs w:val="22"/>
        </w:rPr>
        <w:t>pr</w:t>
      </w:r>
      <w:r>
        <w:rPr>
          <w:spacing w:val="1"/>
          <w:szCs w:val="22"/>
        </w:rPr>
        <w:t>i</w:t>
      </w:r>
      <w:r>
        <w:rPr>
          <w:spacing w:val="-4"/>
          <w:szCs w:val="22"/>
        </w:rPr>
        <w:t>m</w:t>
      </w:r>
      <w:r>
        <w:rPr>
          <w:szCs w:val="22"/>
        </w:rPr>
        <w:t>ul</w:t>
      </w:r>
      <w:r>
        <w:rPr>
          <w:spacing w:val="1"/>
          <w:szCs w:val="22"/>
        </w:rPr>
        <w:t xml:space="preserve"> </w:t>
      </w:r>
      <w:r>
        <w:rPr>
          <w:szCs w:val="22"/>
        </w:rPr>
        <w:t>r</w:t>
      </w:r>
      <w:r>
        <w:rPr>
          <w:spacing w:val="-3"/>
          <w:szCs w:val="22"/>
        </w:rPr>
        <w:t>â</w:t>
      </w:r>
      <w:r>
        <w:rPr>
          <w:szCs w:val="22"/>
        </w:rPr>
        <w:t xml:space="preserve">nd </w:t>
      </w:r>
      <w:r>
        <w:rPr>
          <w:spacing w:val="-2"/>
          <w:szCs w:val="22"/>
        </w:rPr>
        <w:t>s</w:t>
      </w:r>
      <w:r>
        <w:rPr>
          <w:spacing w:val="1"/>
          <w:szCs w:val="22"/>
        </w:rPr>
        <w:t>i</w:t>
      </w:r>
      <w:r>
        <w:rPr>
          <w:spacing w:val="-3"/>
          <w:szCs w:val="22"/>
        </w:rPr>
        <w:t>g</w:t>
      </w:r>
      <w:r>
        <w:rPr>
          <w:szCs w:val="22"/>
        </w:rPr>
        <w:t>uran</w:t>
      </w:r>
      <w:r>
        <w:rPr>
          <w:spacing w:val="-2"/>
          <w:szCs w:val="22"/>
        </w:rPr>
        <w:t>ţ</w:t>
      </w:r>
      <w:r>
        <w:rPr>
          <w:szCs w:val="22"/>
        </w:rPr>
        <w:t xml:space="preserve">a </w:t>
      </w:r>
      <w:r>
        <w:rPr>
          <w:spacing w:val="-4"/>
          <w:szCs w:val="22"/>
        </w:rPr>
        <w:t>m</w:t>
      </w:r>
      <w:r>
        <w:rPr>
          <w:szCs w:val="22"/>
        </w:rPr>
        <w:t>ed</w:t>
      </w:r>
      <w:r>
        <w:rPr>
          <w:spacing w:val="-2"/>
          <w:szCs w:val="22"/>
        </w:rPr>
        <w:t>i</w:t>
      </w:r>
      <w:r>
        <w:rPr>
          <w:szCs w:val="22"/>
        </w:rPr>
        <w:t>ca</w:t>
      </w:r>
      <w:r>
        <w:rPr>
          <w:spacing w:val="-4"/>
          <w:szCs w:val="22"/>
        </w:rPr>
        <w:t>m</w:t>
      </w:r>
      <w:r>
        <w:rPr>
          <w:szCs w:val="22"/>
        </w:rPr>
        <w:t>en</w:t>
      </w:r>
      <w:r>
        <w:rPr>
          <w:spacing w:val="1"/>
          <w:szCs w:val="22"/>
        </w:rPr>
        <w:t>t</w:t>
      </w:r>
      <w:r>
        <w:rPr>
          <w:szCs w:val="22"/>
        </w:rPr>
        <w:t>u</w:t>
      </w:r>
      <w:r>
        <w:rPr>
          <w:spacing w:val="1"/>
          <w:szCs w:val="22"/>
        </w:rPr>
        <w:t>l</w:t>
      </w:r>
      <w:r>
        <w:rPr>
          <w:spacing w:val="-3"/>
          <w:szCs w:val="22"/>
        </w:rPr>
        <w:t>u</w:t>
      </w:r>
      <w:r>
        <w:rPr>
          <w:szCs w:val="22"/>
        </w:rPr>
        <w:t>i</w:t>
      </w:r>
      <w:r>
        <w:rPr>
          <w:spacing w:val="1"/>
          <w:szCs w:val="22"/>
        </w:rPr>
        <w:t xml:space="preserve"> </w:t>
      </w:r>
      <w:r>
        <w:rPr>
          <w:spacing w:val="-2"/>
          <w:szCs w:val="22"/>
        </w:rPr>
        <w:t>l</w:t>
      </w:r>
      <w:r>
        <w:rPr>
          <w:szCs w:val="22"/>
        </w:rPr>
        <w:t xml:space="preserve">a 636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 xml:space="preserve">cu </w:t>
      </w:r>
      <w:r>
        <w:rPr>
          <w:spacing w:val="-3"/>
          <w:szCs w:val="22"/>
        </w:rPr>
        <w:t>v</w:t>
      </w:r>
      <w:r>
        <w:rPr>
          <w:szCs w:val="22"/>
        </w:rPr>
        <w:t>ârs</w:t>
      </w:r>
      <w:r>
        <w:rPr>
          <w:spacing w:val="-2"/>
          <w:szCs w:val="22"/>
        </w:rPr>
        <w:t>t</w:t>
      </w:r>
      <w:r>
        <w:rPr>
          <w:szCs w:val="22"/>
        </w:rPr>
        <w:t xml:space="preserve">a </w:t>
      </w:r>
      <w:r>
        <w:rPr>
          <w:spacing w:val="-2"/>
          <w:szCs w:val="22"/>
        </w:rPr>
        <w:t>≥</w:t>
      </w:r>
      <w:r>
        <w:rPr>
          <w:szCs w:val="22"/>
        </w:rPr>
        <w:t>18 a</w:t>
      </w:r>
      <w:r>
        <w:rPr>
          <w:spacing w:val="-3"/>
          <w:szCs w:val="22"/>
        </w:rPr>
        <w:t>n</w:t>
      </w:r>
      <w:r>
        <w:rPr>
          <w:spacing w:val="1"/>
          <w:szCs w:val="22"/>
        </w:rPr>
        <w:t>i</w:t>
      </w:r>
      <w:r>
        <w:rPr>
          <w:szCs w:val="22"/>
        </w:rPr>
        <w:t>, cu 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dă</w:t>
      </w:r>
      <w:r>
        <w:rPr>
          <w:spacing w:val="-2"/>
          <w:szCs w:val="22"/>
        </w:rPr>
        <w:t xml:space="preserve"> </w:t>
      </w:r>
      <w:r>
        <w:rPr>
          <w:szCs w:val="22"/>
        </w:rPr>
        <w:t>a</w:t>
      </w:r>
      <w:r>
        <w:rPr>
          <w:spacing w:val="-3"/>
          <w:szCs w:val="22"/>
        </w:rPr>
        <w:t>c</w:t>
      </w:r>
      <w:r>
        <w:rPr>
          <w:spacing w:val="1"/>
          <w:szCs w:val="22"/>
        </w:rPr>
        <w:t>ti</w:t>
      </w:r>
      <w:r>
        <w:rPr>
          <w:spacing w:val="-3"/>
          <w:szCs w:val="22"/>
        </w:rPr>
        <w:t>v</w:t>
      </w:r>
      <w:r>
        <w:rPr>
          <w:szCs w:val="22"/>
        </w:rPr>
        <w:t xml:space="preserve">ă, </w:t>
      </w:r>
      <w:r>
        <w:rPr>
          <w:spacing w:val="-4"/>
          <w:szCs w:val="22"/>
        </w:rPr>
        <w:t>m</w:t>
      </w:r>
      <w:r>
        <w:rPr>
          <w:szCs w:val="22"/>
        </w:rPr>
        <w:t>odera</w:t>
      </w:r>
      <w:r>
        <w:rPr>
          <w:spacing w:val="1"/>
          <w:szCs w:val="22"/>
        </w:rPr>
        <w:t>t</w:t>
      </w:r>
      <w:r>
        <w:rPr>
          <w:szCs w:val="22"/>
        </w:rPr>
        <w:t>ă</w:t>
      </w:r>
      <w:r>
        <w:rPr>
          <w:spacing w:val="-2"/>
          <w:szCs w:val="22"/>
        </w:rPr>
        <w:t xml:space="preserve"> </w:t>
      </w:r>
      <w:r>
        <w:rPr>
          <w:szCs w:val="22"/>
        </w:rPr>
        <w:t>până</w:t>
      </w:r>
      <w:r>
        <w:rPr>
          <w:spacing w:val="-2"/>
          <w:szCs w:val="22"/>
        </w:rPr>
        <w:t xml:space="preserve"> </w:t>
      </w:r>
      <w:r>
        <w:rPr>
          <w:spacing w:val="1"/>
          <w:szCs w:val="22"/>
        </w:rPr>
        <w:t>l</w:t>
      </w:r>
      <w:r>
        <w:rPr>
          <w:szCs w:val="22"/>
        </w:rPr>
        <w:t>a</w:t>
      </w:r>
      <w:r>
        <w:rPr>
          <w:spacing w:val="-2"/>
          <w:szCs w:val="22"/>
        </w:rPr>
        <w:t xml:space="preserve"> </w:t>
      </w:r>
      <w:r>
        <w:rPr>
          <w:szCs w:val="22"/>
        </w:rPr>
        <w:t>se</w:t>
      </w:r>
      <w:r>
        <w:rPr>
          <w:spacing w:val="-3"/>
          <w:szCs w:val="22"/>
        </w:rPr>
        <w:t>v</w:t>
      </w:r>
      <w:r>
        <w:rPr>
          <w:szCs w:val="22"/>
        </w:rPr>
        <w:t>eră.</w:t>
      </w:r>
      <w:r>
        <w:rPr>
          <w:spacing w:val="-5"/>
          <w:szCs w:val="22"/>
        </w:rPr>
        <w:t xml:space="preserve"> </w:t>
      </w:r>
      <w:r>
        <w:rPr>
          <w:spacing w:val="-1"/>
          <w:szCs w:val="22"/>
        </w:rPr>
        <w:t>A</w:t>
      </w:r>
      <w:r>
        <w:rPr>
          <w:szCs w:val="22"/>
        </w:rPr>
        <w:t>u fo</w:t>
      </w:r>
      <w:r>
        <w:rPr>
          <w:spacing w:val="-2"/>
          <w:szCs w:val="22"/>
        </w:rPr>
        <w:t>s</w:t>
      </w:r>
      <w:r>
        <w:rPr>
          <w:szCs w:val="22"/>
        </w:rPr>
        <w:t>t</w:t>
      </w:r>
      <w:r>
        <w:rPr>
          <w:spacing w:val="1"/>
          <w:szCs w:val="22"/>
        </w:rPr>
        <w:t xml:space="preserve"> </w:t>
      </w:r>
      <w:r>
        <w:rPr>
          <w:szCs w:val="22"/>
        </w:rPr>
        <w:t>ad</w:t>
      </w:r>
      <w:r>
        <w:rPr>
          <w:spacing w:val="-4"/>
          <w:szCs w:val="22"/>
        </w:rPr>
        <w:t>m</w:t>
      </w:r>
      <w:r>
        <w:rPr>
          <w:spacing w:val="1"/>
          <w:szCs w:val="22"/>
        </w:rPr>
        <w:t>i</w:t>
      </w:r>
      <w:r>
        <w:rPr>
          <w:szCs w:val="22"/>
        </w:rPr>
        <w:t>şi</w:t>
      </w:r>
      <w:r>
        <w:rPr>
          <w:spacing w:val="-2"/>
          <w:szCs w:val="22"/>
        </w:rPr>
        <w:t xml:space="preserve"> </w:t>
      </w:r>
      <w:r>
        <w:rPr>
          <w:spacing w:val="1"/>
          <w:szCs w:val="22"/>
        </w:rPr>
        <w:t>î</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zCs w:val="22"/>
        </w:rPr>
        <w:t xml:space="preserve">u </w:t>
      </w:r>
      <w:r>
        <w:rPr>
          <w:spacing w:val="-2"/>
          <w:szCs w:val="22"/>
        </w:rPr>
        <w:t>f</w:t>
      </w:r>
      <w:r>
        <w:rPr>
          <w:spacing w:val="1"/>
          <w:szCs w:val="22"/>
        </w:rPr>
        <w:t>i</w:t>
      </w:r>
      <w:r>
        <w:rPr>
          <w:szCs w:val="22"/>
        </w:rPr>
        <w:t>e</w:t>
      </w:r>
      <w:r>
        <w:rPr>
          <w:spacing w:val="-2"/>
          <w:szCs w:val="22"/>
        </w:rPr>
        <w:t xml:space="preserve"> </w:t>
      </w:r>
      <w:r>
        <w:rPr>
          <w:szCs w:val="22"/>
        </w:rPr>
        <w:t>pac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c</w:t>
      </w:r>
      <w:r>
        <w:rPr>
          <w:szCs w:val="22"/>
        </w:rPr>
        <w:t>are</w:t>
      </w:r>
      <w:r>
        <w:rPr>
          <w:spacing w:val="-2"/>
          <w:szCs w:val="22"/>
        </w:rPr>
        <w:t xml:space="preserve"> </w:t>
      </w:r>
      <w:r>
        <w:rPr>
          <w:szCs w:val="22"/>
        </w:rPr>
        <w:t xml:space="preserve">nu </w:t>
      </w:r>
      <w:r>
        <w:rPr>
          <w:spacing w:val="-4"/>
          <w:szCs w:val="22"/>
        </w:rPr>
        <w:t>m</w:t>
      </w:r>
      <w:r>
        <w:rPr>
          <w:szCs w:val="22"/>
        </w:rPr>
        <w:t>ai fus</w:t>
      </w:r>
      <w:r>
        <w:rPr>
          <w:spacing w:val="-3"/>
          <w:szCs w:val="22"/>
        </w:rPr>
        <w:t>e</w:t>
      </w:r>
      <w:r>
        <w:rPr>
          <w:szCs w:val="22"/>
        </w:rPr>
        <w:t>se</w:t>
      </w:r>
      <w:r>
        <w:rPr>
          <w:spacing w:val="-2"/>
          <w:szCs w:val="22"/>
        </w:rPr>
        <w:t>r</w:t>
      </w:r>
      <w:r>
        <w:rPr>
          <w:szCs w:val="22"/>
        </w:rPr>
        <w:t>ă n</w:t>
      </w:r>
      <w:r>
        <w:rPr>
          <w:spacing w:val="-2"/>
          <w:szCs w:val="22"/>
        </w:rPr>
        <w:t>i</w:t>
      </w:r>
      <w:r>
        <w:rPr>
          <w:szCs w:val="22"/>
        </w:rPr>
        <w:t>c</w:t>
      </w:r>
      <w:r>
        <w:rPr>
          <w:spacing w:val="1"/>
          <w:szCs w:val="22"/>
        </w:rPr>
        <w:t>i</w:t>
      </w:r>
      <w:r>
        <w:rPr>
          <w:spacing w:val="-3"/>
          <w:szCs w:val="22"/>
        </w:rPr>
        <w:t>o</w:t>
      </w:r>
      <w:r>
        <w:rPr>
          <w:szCs w:val="22"/>
        </w:rPr>
        <w:t>da</w:t>
      </w:r>
      <w:r>
        <w:rPr>
          <w:spacing w:val="-2"/>
          <w:szCs w:val="22"/>
        </w:rPr>
        <w:t>t</w:t>
      </w:r>
      <w:r>
        <w:rPr>
          <w:szCs w:val="22"/>
        </w:rPr>
        <w:t xml:space="preserve">ă </w:t>
      </w:r>
      <w:r>
        <w:rPr>
          <w:spacing w:val="-2"/>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1"/>
          <w:szCs w:val="22"/>
        </w:rPr>
        <w:t xml:space="preserve"> </w:t>
      </w:r>
      <w:r>
        <w:rPr>
          <w:spacing w:val="-3"/>
          <w:szCs w:val="22"/>
        </w:rPr>
        <w:t>c</w:t>
      </w:r>
      <w:r>
        <w:rPr>
          <w:szCs w:val="22"/>
        </w:rPr>
        <w:t>u</w:t>
      </w:r>
      <w:r>
        <w:rPr>
          <w:spacing w:val="-3"/>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 an</w:t>
      </w:r>
      <w:r>
        <w:rPr>
          <w:spacing w:val="-2"/>
          <w:szCs w:val="22"/>
        </w:rPr>
        <w:t>t</w:t>
      </w:r>
      <w:r>
        <w:rPr>
          <w:spacing w:val="1"/>
          <w:szCs w:val="22"/>
        </w:rPr>
        <w:t>i</w:t>
      </w:r>
      <w:r>
        <w:rPr>
          <w:spacing w:val="-2"/>
          <w:szCs w:val="22"/>
        </w:rPr>
        <w:t>r</w:t>
      </w:r>
      <w:r>
        <w:rPr>
          <w:szCs w:val="22"/>
        </w:rPr>
        <w:t>eu</w:t>
      </w:r>
      <w:r>
        <w:rPr>
          <w:spacing w:val="-4"/>
          <w:szCs w:val="22"/>
        </w:rPr>
        <w:t>m</w:t>
      </w:r>
      <w:r>
        <w:rPr>
          <w:szCs w:val="22"/>
        </w:rPr>
        <w:t>a</w:t>
      </w:r>
      <w:r>
        <w:rPr>
          <w:spacing w:val="1"/>
          <w:szCs w:val="22"/>
        </w:rPr>
        <w:t>ti</w:t>
      </w:r>
      <w:r>
        <w:rPr>
          <w:spacing w:val="-3"/>
          <w:szCs w:val="22"/>
        </w:rPr>
        <w:t>c</w:t>
      </w:r>
      <w:r>
        <w:rPr>
          <w:szCs w:val="22"/>
        </w:rPr>
        <w:t xml:space="preserve">e </w:t>
      </w:r>
      <w:r>
        <w:rPr>
          <w:spacing w:val="-4"/>
          <w:szCs w:val="22"/>
        </w:rPr>
        <w:t>m</w:t>
      </w:r>
      <w:r>
        <w:rPr>
          <w:szCs w:val="22"/>
        </w:rPr>
        <w:t>od</w:t>
      </w:r>
      <w:r>
        <w:rPr>
          <w:spacing w:val="1"/>
          <w:szCs w:val="22"/>
        </w:rPr>
        <w:t>i</w:t>
      </w:r>
      <w:r>
        <w:rPr>
          <w:szCs w:val="22"/>
        </w:rPr>
        <w:t>f</w:t>
      </w:r>
      <w:r>
        <w:rPr>
          <w:spacing w:val="1"/>
          <w:szCs w:val="22"/>
        </w:rPr>
        <w:t>i</w:t>
      </w:r>
      <w:r>
        <w:rPr>
          <w:spacing w:val="-3"/>
          <w:szCs w:val="22"/>
        </w:rPr>
        <w:t>c</w:t>
      </w:r>
      <w:r>
        <w:rPr>
          <w:szCs w:val="22"/>
        </w:rPr>
        <w:t>a</w:t>
      </w:r>
      <w:r>
        <w:rPr>
          <w:spacing w:val="1"/>
          <w:szCs w:val="22"/>
        </w:rPr>
        <w:t>t</w:t>
      </w:r>
      <w:r>
        <w:rPr>
          <w:spacing w:val="-3"/>
          <w:szCs w:val="22"/>
        </w:rPr>
        <w:t>o</w:t>
      </w:r>
      <w:r>
        <w:rPr>
          <w:szCs w:val="22"/>
        </w:rPr>
        <w:t>are</w:t>
      </w:r>
      <w:r>
        <w:rPr>
          <w:spacing w:val="-2"/>
          <w:szCs w:val="22"/>
        </w:rPr>
        <w:t xml:space="preserve"> </w:t>
      </w:r>
      <w:r>
        <w:rPr>
          <w:szCs w:val="22"/>
        </w:rPr>
        <w:t>de b</w:t>
      </w:r>
      <w:r>
        <w:rPr>
          <w:spacing w:val="-3"/>
          <w:szCs w:val="22"/>
        </w:rPr>
        <w:t>o</w:t>
      </w:r>
      <w:r>
        <w:rPr>
          <w:szCs w:val="22"/>
        </w:rPr>
        <w:t>a</w:t>
      </w:r>
      <w:r>
        <w:rPr>
          <w:spacing w:val="1"/>
          <w:szCs w:val="22"/>
        </w:rPr>
        <w:t>l</w:t>
      </w:r>
      <w:r>
        <w:rPr>
          <w:spacing w:val="-3"/>
          <w:szCs w:val="22"/>
        </w:rPr>
        <w:t>ă</w:t>
      </w:r>
      <w:r>
        <w:rPr>
          <w:szCs w:val="22"/>
        </w:rPr>
        <w:t xml:space="preserve">, </w:t>
      </w:r>
      <w:r>
        <w:rPr>
          <w:spacing w:val="-2"/>
          <w:szCs w:val="22"/>
        </w:rPr>
        <w:t>fi</w:t>
      </w:r>
      <w:r>
        <w:rPr>
          <w:szCs w:val="22"/>
        </w:rPr>
        <w:t>e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ca</w:t>
      </w:r>
      <w:r>
        <w:rPr>
          <w:spacing w:val="-2"/>
          <w:szCs w:val="22"/>
        </w:rPr>
        <w:t>r</w:t>
      </w:r>
      <w:r>
        <w:rPr>
          <w:szCs w:val="22"/>
        </w:rPr>
        <w:t xml:space="preserve">e </w:t>
      </w:r>
      <w:r>
        <w:rPr>
          <w:spacing w:val="-2"/>
          <w:szCs w:val="22"/>
        </w:rPr>
        <w:t>ş</w:t>
      </w:r>
      <w:r>
        <w:rPr>
          <w:spacing w:val="-1"/>
          <w:szCs w:val="22"/>
        </w:rPr>
        <w:t>i</w:t>
      </w:r>
      <w:r>
        <w:rPr>
          <w:spacing w:val="-4"/>
          <w:szCs w:val="22"/>
        </w:rPr>
        <w:t>-</w:t>
      </w:r>
      <w:r>
        <w:rPr>
          <w:szCs w:val="22"/>
        </w:rPr>
        <w:t>au con</w:t>
      </w:r>
      <w:r>
        <w:rPr>
          <w:spacing w:val="-2"/>
          <w:szCs w:val="22"/>
        </w:rPr>
        <w:t>t</w:t>
      </w:r>
      <w:r>
        <w:rPr>
          <w:spacing w:val="1"/>
          <w:szCs w:val="22"/>
        </w:rPr>
        <w:t>i</w:t>
      </w:r>
      <w:r>
        <w:rPr>
          <w:szCs w:val="22"/>
        </w:rPr>
        <w:t>nu</w:t>
      </w:r>
      <w:r>
        <w:rPr>
          <w:spacing w:val="-3"/>
          <w:szCs w:val="22"/>
        </w:rPr>
        <w:t>a</w:t>
      </w:r>
      <w:r>
        <w:rPr>
          <w:szCs w:val="22"/>
        </w:rPr>
        <w:t>t</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2"/>
          <w:szCs w:val="22"/>
        </w:rPr>
        <w:t xml:space="preserve"> </w:t>
      </w:r>
      <w:r>
        <w:rPr>
          <w:szCs w:val="22"/>
        </w:rPr>
        <w:t>a</w:t>
      </w:r>
      <w:r>
        <w:rPr>
          <w:spacing w:val="-3"/>
          <w:szCs w:val="22"/>
        </w:rPr>
        <w:t>n</w:t>
      </w:r>
      <w:r>
        <w:rPr>
          <w:spacing w:val="1"/>
          <w:szCs w:val="22"/>
        </w:rPr>
        <w:t>t</w:t>
      </w:r>
      <w:r>
        <w:rPr>
          <w:spacing w:val="-2"/>
          <w:szCs w:val="22"/>
        </w:rPr>
        <w:t>i</w:t>
      </w:r>
      <w:r>
        <w:rPr>
          <w:szCs w:val="22"/>
        </w:rPr>
        <w:t>r</w:t>
      </w:r>
      <w:r>
        <w:rPr>
          <w:spacing w:val="-3"/>
          <w:szCs w:val="22"/>
        </w:rPr>
        <w:t>e</w:t>
      </w:r>
      <w:r>
        <w:rPr>
          <w:szCs w:val="22"/>
        </w:rPr>
        <w:t>u</w:t>
      </w:r>
      <w:r>
        <w:rPr>
          <w:spacing w:val="-4"/>
          <w:szCs w:val="22"/>
        </w:rPr>
        <w:t>m</w:t>
      </w:r>
      <w:r>
        <w:rPr>
          <w:szCs w:val="22"/>
        </w:rPr>
        <w:t>a</w:t>
      </w:r>
      <w:r>
        <w:rPr>
          <w:spacing w:val="1"/>
          <w:szCs w:val="22"/>
        </w:rPr>
        <w:t>ti</w:t>
      </w:r>
      <w:r>
        <w:rPr>
          <w:szCs w:val="22"/>
        </w:rPr>
        <w:t>c p</w:t>
      </w:r>
      <w:r>
        <w:rPr>
          <w:spacing w:val="-2"/>
          <w:szCs w:val="22"/>
        </w:rPr>
        <w:t>r</w:t>
      </w:r>
      <w:r>
        <w:rPr>
          <w:szCs w:val="22"/>
        </w:rPr>
        <w:t>e</w:t>
      </w:r>
      <w:r>
        <w:rPr>
          <w:spacing w:val="-4"/>
          <w:szCs w:val="22"/>
        </w:rPr>
        <w:t>-</w:t>
      </w:r>
      <w:r>
        <w:rPr>
          <w:szCs w:val="22"/>
        </w:rPr>
        <w:t>ex</w:t>
      </w:r>
      <w:r>
        <w:rPr>
          <w:spacing w:val="1"/>
          <w:szCs w:val="22"/>
        </w:rPr>
        <w:t>i</w:t>
      </w:r>
      <w:r>
        <w:rPr>
          <w:szCs w:val="22"/>
        </w:rPr>
        <w:t>s</w:t>
      </w:r>
      <w:r>
        <w:rPr>
          <w:spacing w:val="1"/>
          <w:szCs w:val="22"/>
        </w:rPr>
        <w:t>t</w:t>
      </w:r>
      <w:r>
        <w:rPr>
          <w:szCs w:val="22"/>
        </w:rPr>
        <w:t>e</w:t>
      </w:r>
      <w:r>
        <w:rPr>
          <w:spacing w:val="-3"/>
          <w:szCs w:val="22"/>
        </w:rPr>
        <w:t>n</w:t>
      </w:r>
      <w:r>
        <w:rPr>
          <w:spacing w:val="1"/>
          <w:szCs w:val="22"/>
        </w:rPr>
        <w:t>t</w:t>
      </w:r>
      <w:r>
        <w:rPr>
          <w:szCs w:val="22"/>
        </w:rPr>
        <w:t xml:space="preserve">, </w:t>
      </w:r>
      <w:r>
        <w:rPr>
          <w:spacing w:val="-3"/>
          <w:szCs w:val="22"/>
        </w:rPr>
        <w:t>c</w:t>
      </w:r>
      <w:r>
        <w:rPr>
          <w:szCs w:val="22"/>
        </w:rPr>
        <w:t>u co</w:t>
      </w:r>
      <w:r>
        <w:rPr>
          <w:spacing w:val="-3"/>
          <w:szCs w:val="22"/>
        </w:rPr>
        <w:t>n</w:t>
      </w:r>
      <w:r>
        <w:rPr>
          <w:szCs w:val="22"/>
        </w:rPr>
        <w:t>d</w:t>
      </w:r>
      <w:r>
        <w:rPr>
          <w:spacing w:val="1"/>
          <w:szCs w:val="22"/>
        </w:rPr>
        <w:t>i</w:t>
      </w:r>
      <w:r>
        <w:rPr>
          <w:spacing w:val="-2"/>
          <w:szCs w:val="22"/>
        </w:rPr>
        <w:t>ţ</w:t>
      </w:r>
      <w:r>
        <w:rPr>
          <w:spacing w:val="1"/>
          <w:szCs w:val="22"/>
        </w:rPr>
        <w:t>i</w:t>
      </w:r>
      <w:r>
        <w:rPr>
          <w:szCs w:val="22"/>
        </w:rPr>
        <w:t xml:space="preserve">a </w:t>
      </w:r>
      <w:r>
        <w:rPr>
          <w:spacing w:val="-3"/>
          <w:szCs w:val="22"/>
        </w:rPr>
        <w:t>c</w:t>
      </w:r>
      <w:r>
        <w:rPr>
          <w:szCs w:val="22"/>
        </w:rPr>
        <w:t>a a</w:t>
      </w:r>
      <w:r>
        <w:rPr>
          <w:spacing w:val="-3"/>
          <w:szCs w:val="22"/>
        </w:rPr>
        <w:t>c</w:t>
      </w:r>
      <w:r>
        <w:rPr>
          <w:szCs w:val="22"/>
        </w:rPr>
        <w:t>e</w:t>
      </w:r>
      <w:r>
        <w:rPr>
          <w:spacing w:val="-2"/>
          <w:szCs w:val="22"/>
        </w:rPr>
        <w:t>s</w:t>
      </w:r>
      <w:r>
        <w:rPr>
          <w:spacing w:val="1"/>
          <w:szCs w:val="22"/>
        </w:rPr>
        <w:t>t</w:t>
      </w:r>
      <w:r>
        <w:rPr>
          <w:szCs w:val="22"/>
        </w:rPr>
        <w:t xml:space="preserve">a </w:t>
      </w:r>
      <w:r>
        <w:rPr>
          <w:spacing w:val="-2"/>
          <w:szCs w:val="22"/>
        </w:rPr>
        <w:t>s</w:t>
      </w:r>
      <w:r>
        <w:rPr>
          <w:szCs w:val="22"/>
        </w:rPr>
        <w:t xml:space="preserve">ă </w:t>
      </w:r>
      <w:r>
        <w:rPr>
          <w:spacing w:val="-2"/>
          <w:szCs w:val="22"/>
        </w:rPr>
        <w:t>f</w:t>
      </w:r>
      <w:r>
        <w:rPr>
          <w:spacing w:val="1"/>
          <w:szCs w:val="22"/>
        </w:rPr>
        <w:t>i</w:t>
      </w:r>
      <w:r>
        <w:rPr>
          <w:szCs w:val="22"/>
        </w:rPr>
        <w:t xml:space="preserve">e </w:t>
      </w:r>
      <w:r>
        <w:rPr>
          <w:spacing w:val="-4"/>
          <w:szCs w:val="22"/>
        </w:rPr>
        <w:t>m</w:t>
      </w:r>
      <w:r>
        <w:rPr>
          <w:szCs w:val="22"/>
        </w:rPr>
        <w:t>en</w:t>
      </w:r>
      <w:r>
        <w:rPr>
          <w:spacing w:val="1"/>
          <w:szCs w:val="22"/>
        </w:rPr>
        <w:t>ţ</w:t>
      </w:r>
      <w:r>
        <w:rPr>
          <w:spacing w:val="-2"/>
          <w:szCs w:val="22"/>
        </w:rPr>
        <w:t>i</w:t>
      </w:r>
      <w:r>
        <w:rPr>
          <w:spacing w:val="-3"/>
          <w:szCs w:val="22"/>
        </w:rPr>
        <w:t>n</w:t>
      </w:r>
      <w:r>
        <w:rPr>
          <w:szCs w:val="22"/>
        </w:rPr>
        <w:t>ut</w:t>
      </w:r>
      <w:r>
        <w:rPr>
          <w:spacing w:val="1"/>
          <w:szCs w:val="22"/>
        </w:rPr>
        <w:t xml:space="preserve"> </w:t>
      </w:r>
      <w:r>
        <w:rPr>
          <w:szCs w:val="22"/>
        </w:rPr>
        <w:t>pe o</w:t>
      </w:r>
      <w:r>
        <w:rPr>
          <w:spacing w:val="-3"/>
          <w:szCs w:val="22"/>
        </w:rPr>
        <w:t xml:space="preserve"> </w:t>
      </w:r>
      <w:r>
        <w:rPr>
          <w:szCs w:val="22"/>
        </w:rPr>
        <w:t>p</w:t>
      </w:r>
      <w:r>
        <w:rPr>
          <w:spacing w:val="-3"/>
          <w:szCs w:val="22"/>
        </w:rPr>
        <w:t>e</w:t>
      </w:r>
      <w:r>
        <w:rPr>
          <w:szCs w:val="22"/>
        </w:rPr>
        <w:t>r</w:t>
      </w:r>
      <w:r>
        <w:rPr>
          <w:spacing w:val="1"/>
          <w:szCs w:val="22"/>
        </w:rPr>
        <w:t>i</w:t>
      </w:r>
      <w:r>
        <w:rPr>
          <w:spacing w:val="-3"/>
          <w:szCs w:val="22"/>
        </w:rPr>
        <w:t>o</w:t>
      </w:r>
      <w:r>
        <w:rPr>
          <w:szCs w:val="22"/>
        </w:rPr>
        <w:t xml:space="preserve">adă </w:t>
      </w:r>
      <w:r>
        <w:rPr>
          <w:spacing w:val="-3"/>
          <w:szCs w:val="22"/>
        </w:rPr>
        <w:t>d</w:t>
      </w:r>
      <w:r>
        <w:rPr>
          <w:szCs w:val="22"/>
        </w:rPr>
        <w:t xml:space="preserve">e </w:t>
      </w:r>
      <w:r>
        <w:rPr>
          <w:spacing w:val="-4"/>
          <w:szCs w:val="22"/>
        </w:rPr>
        <w:t>m</w:t>
      </w:r>
      <w:r>
        <w:rPr>
          <w:spacing w:val="1"/>
          <w:szCs w:val="22"/>
        </w:rPr>
        <w:t>i</w:t>
      </w:r>
      <w:r>
        <w:rPr>
          <w:szCs w:val="22"/>
        </w:rPr>
        <w:t>n</w:t>
      </w:r>
      <w:r>
        <w:rPr>
          <w:spacing w:val="1"/>
          <w:szCs w:val="22"/>
        </w:rPr>
        <w:t>i</w:t>
      </w:r>
      <w:r>
        <w:rPr>
          <w:szCs w:val="22"/>
        </w:rPr>
        <w:t>m</w:t>
      </w:r>
      <w:r>
        <w:rPr>
          <w:spacing w:val="-4"/>
          <w:szCs w:val="22"/>
        </w:rPr>
        <w:t xml:space="preserve"> </w:t>
      </w:r>
      <w:r>
        <w:rPr>
          <w:szCs w:val="22"/>
        </w:rPr>
        <w:t>28</w:t>
      </w:r>
      <w:r>
        <w:rPr>
          <w:spacing w:val="2"/>
          <w:szCs w:val="22"/>
        </w:rPr>
        <w:t xml:space="preserve"> </w:t>
      </w:r>
      <w:r>
        <w:rPr>
          <w:spacing w:val="-3"/>
          <w:szCs w:val="22"/>
        </w:rPr>
        <w:t>z</w:t>
      </w:r>
      <w:r>
        <w:rPr>
          <w:spacing w:val="1"/>
          <w:szCs w:val="22"/>
        </w:rPr>
        <w:t>il</w:t>
      </w:r>
      <w:r>
        <w:rPr>
          <w:szCs w:val="22"/>
        </w:rPr>
        <w:t xml:space="preserve">e. </w:t>
      </w:r>
      <w:r>
        <w:rPr>
          <w:spacing w:val="-1"/>
          <w:szCs w:val="22"/>
        </w:rPr>
        <w:t>A</w:t>
      </w:r>
      <w:r>
        <w:rPr>
          <w:szCs w:val="22"/>
        </w:rPr>
        <w:t>c</w:t>
      </w:r>
      <w:r>
        <w:rPr>
          <w:spacing w:val="-3"/>
          <w:szCs w:val="22"/>
        </w:rPr>
        <w:t>e</w:t>
      </w:r>
      <w:r>
        <w:rPr>
          <w:szCs w:val="22"/>
        </w:rPr>
        <w:t>s</w:t>
      </w:r>
      <w:r>
        <w:rPr>
          <w:spacing w:val="-2"/>
          <w:szCs w:val="22"/>
        </w:rPr>
        <w:t>t</w:t>
      </w:r>
      <w:r>
        <w:rPr>
          <w:szCs w:val="22"/>
        </w:rPr>
        <w:t xml:space="preserve">e </w:t>
      </w:r>
      <w:r>
        <w:rPr>
          <w:spacing w:val="-2"/>
          <w:szCs w:val="22"/>
        </w:rPr>
        <w:t>t</w:t>
      </w:r>
      <w:r>
        <w:rPr>
          <w:szCs w:val="22"/>
        </w:rPr>
        <w:t>ra</w:t>
      </w:r>
      <w:r>
        <w:rPr>
          <w:spacing w:val="-2"/>
          <w:szCs w:val="22"/>
        </w:rPr>
        <w:t>t</w:t>
      </w:r>
      <w:r>
        <w:rPr>
          <w:spacing w:val="-3"/>
          <w:szCs w:val="22"/>
        </w:rPr>
        <w:t>a</w:t>
      </w:r>
      <w:r>
        <w:rPr>
          <w:spacing w:val="-4"/>
          <w:szCs w:val="22"/>
        </w:rPr>
        <w:t>m</w:t>
      </w:r>
      <w:r>
        <w:rPr>
          <w:szCs w:val="22"/>
        </w:rPr>
        <w:t>en</w:t>
      </w:r>
      <w:r>
        <w:rPr>
          <w:spacing w:val="1"/>
          <w:szCs w:val="22"/>
        </w:rPr>
        <w:t>t</w:t>
      </w:r>
      <w:r>
        <w:rPr>
          <w:szCs w:val="22"/>
        </w:rPr>
        <w:t>e au co</w:t>
      </w:r>
      <w:r>
        <w:rPr>
          <w:spacing w:val="-3"/>
          <w:szCs w:val="22"/>
        </w:rPr>
        <w:t>n</w:t>
      </w:r>
      <w:r>
        <w:rPr>
          <w:szCs w:val="22"/>
        </w:rPr>
        <w:t>s</w:t>
      </w:r>
      <w:r>
        <w:rPr>
          <w:spacing w:val="1"/>
          <w:szCs w:val="22"/>
        </w:rPr>
        <w:t>t</w:t>
      </w:r>
      <w:r>
        <w:rPr>
          <w:spacing w:val="-3"/>
          <w:szCs w:val="22"/>
        </w:rPr>
        <w:t>a</w:t>
      </w:r>
      <w:r>
        <w:rPr>
          <w:szCs w:val="22"/>
        </w:rPr>
        <w:t>t</w:t>
      </w:r>
      <w:r>
        <w:rPr>
          <w:spacing w:val="-2"/>
          <w:szCs w:val="22"/>
        </w:rPr>
        <w:t xml:space="preserve"> </w:t>
      </w:r>
      <w:r>
        <w:rPr>
          <w:spacing w:val="1"/>
          <w:szCs w:val="22"/>
        </w:rPr>
        <w:t>î</w:t>
      </w:r>
      <w:r>
        <w:rPr>
          <w:szCs w:val="22"/>
        </w:rPr>
        <w:t>n ad</w:t>
      </w:r>
      <w:r>
        <w:rPr>
          <w:spacing w:val="-4"/>
          <w:szCs w:val="22"/>
        </w:rPr>
        <w:t>m</w:t>
      </w:r>
      <w:r>
        <w:rPr>
          <w:spacing w:val="1"/>
          <w:szCs w:val="22"/>
        </w:rPr>
        <w:t>i</w:t>
      </w:r>
      <w:r>
        <w:rPr>
          <w:szCs w:val="22"/>
        </w:rPr>
        <w:t>n</w:t>
      </w:r>
      <w:r>
        <w:rPr>
          <w:spacing w:val="-2"/>
          <w:szCs w:val="22"/>
        </w:rPr>
        <w:t>is</w:t>
      </w:r>
      <w:r>
        <w:rPr>
          <w:spacing w:val="1"/>
          <w:szCs w:val="22"/>
        </w:rPr>
        <w:t>t</w:t>
      </w:r>
      <w:r>
        <w:rPr>
          <w:szCs w:val="22"/>
        </w:rPr>
        <w:t>r</w:t>
      </w:r>
      <w:r>
        <w:rPr>
          <w:spacing w:val="-3"/>
          <w:szCs w:val="22"/>
        </w:rPr>
        <w:t>a</w:t>
      </w:r>
      <w:r>
        <w:rPr>
          <w:szCs w:val="22"/>
        </w:rPr>
        <w:t>rea</w:t>
      </w:r>
      <w:r>
        <w:rPr>
          <w:spacing w:val="-2"/>
          <w:szCs w:val="22"/>
        </w:rPr>
        <w:t xml:space="preserve"> </w:t>
      </w:r>
      <w:r>
        <w:rPr>
          <w:szCs w:val="22"/>
        </w:rPr>
        <w:t xml:space="preserve">de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w:t>
      </w:r>
      <w:r>
        <w:rPr>
          <w:szCs w:val="22"/>
        </w:rPr>
        <w:t>a</w:t>
      </w:r>
      <w:r>
        <w:rPr>
          <w:spacing w:val="1"/>
          <w:szCs w:val="22"/>
        </w:rPr>
        <w:t>t</w:t>
      </w:r>
      <w:r>
        <w:rPr>
          <w:szCs w:val="22"/>
        </w:rPr>
        <w:t>,</w:t>
      </w:r>
      <w:r>
        <w:rPr>
          <w:spacing w:val="-3"/>
          <w:szCs w:val="22"/>
        </w:rPr>
        <w:t xml:space="preserve"> </w:t>
      </w:r>
      <w:r>
        <w:rPr>
          <w:spacing w:val="1"/>
          <w:szCs w:val="22"/>
        </w:rPr>
        <w:t>l</w:t>
      </w:r>
      <w:r>
        <w:rPr>
          <w:spacing w:val="-3"/>
          <w:szCs w:val="22"/>
        </w:rPr>
        <w:t>e</w:t>
      </w:r>
      <w:r>
        <w:rPr>
          <w:spacing w:val="-1"/>
          <w:szCs w:val="22"/>
        </w:rPr>
        <w:t>f</w:t>
      </w:r>
      <w:r>
        <w:rPr>
          <w:spacing w:val="1"/>
          <w:szCs w:val="22"/>
        </w:rPr>
        <w:t>l</w:t>
      </w:r>
      <w:r>
        <w:rPr>
          <w:szCs w:val="22"/>
        </w:rPr>
        <w:t>u</w:t>
      </w:r>
      <w:r>
        <w:rPr>
          <w:spacing w:val="-3"/>
          <w:szCs w:val="22"/>
        </w:rPr>
        <w:t>n</w:t>
      </w:r>
      <w:r>
        <w:rPr>
          <w:szCs w:val="22"/>
        </w:rPr>
        <w:t>o</w:t>
      </w:r>
      <w:r>
        <w:rPr>
          <w:spacing w:val="-4"/>
          <w:szCs w:val="22"/>
        </w:rPr>
        <w:t>m</w:t>
      </w:r>
      <w:r>
        <w:rPr>
          <w:spacing w:val="1"/>
          <w:szCs w:val="22"/>
        </w:rPr>
        <w:t>i</w:t>
      </w:r>
      <w:r>
        <w:rPr>
          <w:szCs w:val="22"/>
        </w:rPr>
        <w:t>dă,</w:t>
      </w:r>
      <w:r>
        <w:t xml:space="preserve"> </w:t>
      </w:r>
      <w:r>
        <w:rPr>
          <w:szCs w:val="22"/>
        </w:rPr>
        <w:t>h</w:t>
      </w:r>
      <w:r>
        <w:rPr>
          <w:spacing w:val="1"/>
          <w:szCs w:val="22"/>
        </w:rPr>
        <w:t>i</w:t>
      </w:r>
      <w:r>
        <w:rPr>
          <w:szCs w:val="22"/>
        </w:rPr>
        <w:t>dr</w:t>
      </w:r>
      <w:r>
        <w:rPr>
          <w:spacing w:val="-3"/>
          <w:szCs w:val="22"/>
        </w:rPr>
        <w:t>o</w:t>
      </w:r>
      <w:r>
        <w:rPr>
          <w:szCs w:val="22"/>
        </w:rPr>
        <w:t>x</w:t>
      </w:r>
      <w:r>
        <w:rPr>
          <w:spacing w:val="1"/>
          <w:szCs w:val="22"/>
        </w:rPr>
        <w:t>i</w:t>
      </w:r>
      <w:r>
        <w:rPr>
          <w:spacing w:val="-3"/>
          <w:szCs w:val="22"/>
        </w:rPr>
        <w:t>c</w:t>
      </w:r>
      <w:r>
        <w:rPr>
          <w:spacing w:val="1"/>
          <w:szCs w:val="22"/>
        </w:rPr>
        <w:t>l</w:t>
      </w:r>
      <w:r>
        <w:rPr>
          <w:spacing w:val="-3"/>
          <w:szCs w:val="22"/>
        </w:rPr>
        <w:t>o</w:t>
      </w:r>
      <w:r>
        <w:rPr>
          <w:szCs w:val="22"/>
        </w:rPr>
        <w:t>roc</w:t>
      </w:r>
      <w:r>
        <w:rPr>
          <w:spacing w:val="-3"/>
          <w:szCs w:val="22"/>
        </w:rPr>
        <w:t>h</w:t>
      </w:r>
      <w:r>
        <w:rPr>
          <w:spacing w:val="1"/>
          <w:szCs w:val="22"/>
        </w:rPr>
        <w:t>i</w:t>
      </w:r>
      <w:r>
        <w:rPr>
          <w:szCs w:val="22"/>
        </w:rPr>
        <w:t>nă,</w:t>
      </w:r>
      <w:r>
        <w:rPr>
          <w:spacing w:val="-3"/>
          <w:szCs w:val="22"/>
        </w:rPr>
        <w:t xml:space="preserve"> </w:t>
      </w:r>
      <w:r>
        <w:rPr>
          <w:szCs w:val="22"/>
        </w:rPr>
        <w:t>su</w:t>
      </w:r>
      <w:r>
        <w:rPr>
          <w:spacing w:val="-2"/>
          <w:szCs w:val="22"/>
        </w:rPr>
        <w:t>l</w:t>
      </w:r>
      <w:r>
        <w:rPr>
          <w:szCs w:val="22"/>
        </w:rPr>
        <w:t>f</w:t>
      </w:r>
      <w:r>
        <w:rPr>
          <w:spacing w:val="-3"/>
          <w:szCs w:val="22"/>
        </w:rPr>
        <w:t>a</w:t>
      </w:r>
      <w:r>
        <w:rPr>
          <w:szCs w:val="22"/>
        </w:rPr>
        <w:t>sa</w:t>
      </w:r>
      <w:r>
        <w:rPr>
          <w:spacing w:val="-2"/>
          <w:szCs w:val="22"/>
        </w:rPr>
        <w:t>l</w:t>
      </w:r>
      <w:r>
        <w:rPr>
          <w:spacing w:val="-3"/>
          <w:szCs w:val="22"/>
        </w:rPr>
        <w:t>az</w:t>
      </w:r>
      <w:r>
        <w:rPr>
          <w:spacing w:val="1"/>
          <w:szCs w:val="22"/>
        </w:rPr>
        <w:t>i</w:t>
      </w:r>
      <w:r>
        <w:rPr>
          <w:szCs w:val="22"/>
        </w:rPr>
        <w:t>nă ş</w:t>
      </w:r>
      <w:r>
        <w:rPr>
          <w:spacing w:val="-2"/>
          <w:szCs w:val="22"/>
        </w:rPr>
        <w:t>i</w:t>
      </w:r>
      <w:r>
        <w:rPr>
          <w:spacing w:val="1"/>
          <w:szCs w:val="22"/>
        </w:rPr>
        <w:t>/</w:t>
      </w:r>
      <w:r>
        <w:rPr>
          <w:szCs w:val="22"/>
        </w:rPr>
        <w:t>s</w:t>
      </w:r>
      <w:r>
        <w:rPr>
          <w:spacing w:val="-3"/>
          <w:szCs w:val="22"/>
        </w:rPr>
        <w:t>a</w:t>
      </w:r>
      <w:r>
        <w:rPr>
          <w:szCs w:val="22"/>
        </w:rPr>
        <w:t>u s</w:t>
      </w:r>
      <w:r>
        <w:rPr>
          <w:spacing w:val="-3"/>
          <w:szCs w:val="22"/>
        </w:rPr>
        <w:t>ă</w:t>
      </w:r>
      <w:r>
        <w:rPr>
          <w:szCs w:val="22"/>
        </w:rPr>
        <w:t>ru</w:t>
      </w:r>
      <w:r>
        <w:rPr>
          <w:spacing w:val="-2"/>
          <w:szCs w:val="22"/>
        </w:rPr>
        <w:t>r</w:t>
      </w:r>
      <w:r>
        <w:rPr>
          <w:szCs w:val="22"/>
        </w:rPr>
        <w:t>i</w:t>
      </w:r>
      <w:r>
        <w:rPr>
          <w:spacing w:val="1"/>
          <w:szCs w:val="22"/>
        </w:rPr>
        <w:t xml:space="preserve"> </w:t>
      </w:r>
      <w:r>
        <w:rPr>
          <w:szCs w:val="22"/>
        </w:rPr>
        <w:t>de</w:t>
      </w:r>
      <w:r>
        <w:rPr>
          <w:spacing w:val="-2"/>
          <w:szCs w:val="22"/>
        </w:rPr>
        <w:t xml:space="preserve"> </w:t>
      </w:r>
      <w:r>
        <w:rPr>
          <w:szCs w:val="22"/>
        </w:rPr>
        <w:t>a</w:t>
      </w:r>
      <w:r>
        <w:rPr>
          <w:spacing w:val="-3"/>
          <w:szCs w:val="22"/>
        </w:rPr>
        <w:t>u</w:t>
      </w:r>
      <w:r>
        <w:rPr>
          <w:szCs w:val="22"/>
        </w:rPr>
        <w:t xml:space="preserve">r. </w:t>
      </w:r>
      <w:r>
        <w:rPr>
          <w:spacing w:val="-1"/>
          <w:szCs w:val="22"/>
        </w:rPr>
        <w:t>P</w:t>
      </w:r>
      <w:r>
        <w:rPr>
          <w:spacing w:val="-3"/>
          <w:szCs w:val="22"/>
        </w:rPr>
        <w:t>a</w:t>
      </w:r>
      <w:r>
        <w:rPr>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au</w:t>
      </w:r>
      <w:r>
        <w:rPr>
          <w:spacing w:val="-3"/>
          <w:szCs w:val="22"/>
        </w:rPr>
        <w:t xml:space="preserve"> </w:t>
      </w:r>
      <w:r>
        <w:rPr>
          <w:szCs w:val="22"/>
        </w:rPr>
        <w:t>f</w:t>
      </w:r>
      <w:r>
        <w:rPr>
          <w:spacing w:val="-3"/>
          <w:szCs w:val="22"/>
        </w:rPr>
        <w:t>o</w:t>
      </w:r>
      <w:r>
        <w:rPr>
          <w:szCs w:val="22"/>
        </w:rPr>
        <w:t>st</w:t>
      </w:r>
      <w:r>
        <w:rPr>
          <w:spacing w:val="-2"/>
          <w:szCs w:val="22"/>
        </w:rPr>
        <w:t xml:space="preserve"> </w:t>
      </w:r>
      <w:r>
        <w:rPr>
          <w:szCs w:val="22"/>
        </w:rPr>
        <w:t>rando</w:t>
      </w:r>
      <w:r>
        <w:rPr>
          <w:spacing w:val="-4"/>
          <w:szCs w:val="22"/>
        </w:rPr>
        <w:t>m</w:t>
      </w:r>
      <w:r>
        <w:rPr>
          <w:spacing w:val="1"/>
          <w:szCs w:val="22"/>
        </w:rPr>
        <w:t>i</w:t>
      </w:r>
      <w:r>
        <w:rPr>
          <w:spacing w:val="-3"/>
          <w:szCs w:val="22"/>
        </w:rPr>
        <w:t>z</w:t>
      </w:r>
      <w:r>
        <w:rPr>
          <w:szCs w:val="22"/>
        </w:rPr>
        <w:t>a</w:t>
      </w:r>
      <w:r>
        <w:rPr>
          <w:spacing w:val="1"/>
          <w:szCs w:val="22"/>
        </w:rPr>
        <w:t>ţ</w:t>
      </w:r>
      <w:r>
        <w:rPr>
          <w:szCs w:val="22"/>
        </w:rPr>
        <w:t>i</w:t>
      </w:r>
      <w:r>
        <w:rPr>
          <w:spacing w:val="-2"/>
          <w:szCs w:val="22"/>
        </w:rPr>
        <w:t xml:space="preserve"> </w:t>
      </w:r>
      <w:r>
        <w:rPr>
          <w:spacing w:val="-3"/>
          <w:szCs w:val="22"/>
        </w:rPr>
        <w:t>c</w:t>
      </w:r>
      <w:r>
        <w:rPr>
          <w:szCs w:val="22"/>
        </w:rPr>
        <w:t xml:space="preserve">u </w:t>
      </w:r>
      <w:r>
        <w:rPr>
          <w:rFonts w:eastAsia="MS Mincho"/>
          <w:spacing w:val="-1"/>
          <w:szCs w:val="22"/>
          <w:lang w:eastAsia="en-US" w:bidi="ar-SA"/>
        </w:rPr>
        <w:t>adalimumab</w:t>
      </w:r>
      <w:r>
        <w:rPr>
          <w:rFonts w:eastAsia="MS Mincho"/>
          <w:szCs w:val="22"/>
          <w:lang w:eastAsia="en-US" w:bidi="ar-SA"/>
        </w:rPr>
        <w:t xml:space="preserve"> sau p</w:t>
      </w:r>
      <w:r>
        <w:rPr>
          <w:rFonts w:eastAsia="MS Mincho"/>
          <w:spacing w:val="1"/>
          <w:szCs w:val="22"/>
          <w:lang w:eastAsia="en-US" w:bidi="ar-SA"/>
        </w:rPr>
        <w:t>l</w:t>
      </w:r>
      <w:r>
        <w:rPr>
          <w:rFonts w:eastAsia="MS Mincho"/>
          <w:szCs w:val="22"/>
          <w:lang w:eastAsia="en-US" w:bidi="ar-SA"/>
        </w:rPr>
        <w:t>ac</w:t>
      </w:r>
      <w:r>
        <w:rPr>
          <w:rFonts w:eastAsia="MS Mincho"/>
          <w:spacing w:val="-3"/>
          <w:szCs w:val="22"/>
          <w:lang w:eastAsia="en-US" w:bidi="ar-SA"/>
        </w:rPr>
        <w:t>e</w:t>
      </w:r>
      <w:r>
        <w:rPr>
          <w:rFonts w:eastAsia="MS Mincho"/>
          <w:szCs w:val="22"/>
          <w:lang w:eastAsia="en-US" w:bidi="ar-SA"/>
        </w:rPr>
        <w:t>bo</w:t>
      </w:r>
      <w:r>
        <w:rPr>
          <w:spacing w:val="1"/>
          <w:szCs w:val="22"/>
        </w:rPr>
        <w:t xml:space="preserve"> î</w:t>
      </w:r>
      <w:r>
        <w:rPr>
          <w:szCs w:val="22"/>
        </w:rPr>
        <w:t>n do</w:t>
      </w:r>
      <w:r>
        <w:rPr>
          <w:spacing w:val="-3"/>
          <w:szCs w:val="22"/>
        </w:rPr>
        <w:t>z</w:t>
      </w:r>
      <w:r>
        <w:rPr>
          <w:szCs w:val="22"/>
        </w:rPr>
        <w:t>ă de 40 </w:t>
      </w:r>
      <w:r>
        <w:rPr>
          <w:spacing w:val="-4"/>
          <w:szCs w:val="22"/>
        </w:rPr>
        <w:t>m</w:t>
      </w:r>
      <w:r>
        <w:rPr>
          <w:szCs w:val="22"/>
        </w:rPr>
        <w:t>g</w:t>
      </w:r>
      <w:r>
        <w:rPr>
          <w:spacing w:val="-3"/>
          <w:szCs w:val="22"/>
        </w:rPr>
        <w:t xml:space="preserve"> d</w:t>
      </w:r>
      <w:r>
        <w:rPr>
          <w:spacing w:val="1"/>
          <w:szCs w:val="22"/>
        </w:rPr>
        <w:t>i</w:t>
      </w:r>
      <w:r>
        <w:rPr>
          <w:szCs w:val="22"/>
        </w:rPr>
        <w:t xml:space="preserve">n </w:t>
      </w:r>
      <w:r>
        <w:rPr>
          <w:spacing w:val="-3"/>
          <w:szCs w:val="22"/>
        </w:rPr>
        <w:t>d</w:t>
      </w:r>
      <w:r>
        <w:rPr>
          <w:szCs w:val="22"/>
        </w:rPr>
        <w:t xml:space="preserve">ouă </w:t>
      </w:r>
      <w:r>
        <w:rPr>
          <w:spacing w:val="1"/>
          <w:szCs w:val="22"/>
        </w:rPr>
        <w:t>î</w:t>
      </w:r>
      <w:r>
        <w:rPr>
          <w:szCs w:val="22"/>
        </w:rPr>
        <w:t>n</w:t>
      </w:r>
      <w:r>
        <w:rPr>
          <w:spacing w:val="-3"/>
          <w:szCs w:val="22"/>
        </w:rPr>
        <w:t xml:space="preserve"> </w:t>
      </w:r>
      <w:r>
        <w:rPr>
          <w:szCs w:val="22"/>
        </w:rPr>
        <w:t>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2"/>
          <w:szCs w:val="22"/>
        </w:rPr>
        <w:t>t</w:t>
      </w:r>
      <w:r>
        <w:rPr>
          <w:spacing w:val="1"/>
          <w:szCs w:val="22"/>
        </w:rPr>
        <w:t>i</w:t>
      </w:r>
      <w:r>
        <w:rPr>
          <w:spacing w:val="-4"/>
          <w:szCs w:val="22"/>
        </w:rPr>
        <w:t>m</w:t>
      </w:r>
      <w:r>
        <w:rPr>
          <w:szCs w:val="22"/>
        </w:rPr>
        <w:t>p de 24</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w:t>
      </w:r>
    </w:p>
    <w:p w14:paraId="2BEBCC66" w14:textId="77777777" w:rsidR="00C04CAD" w:rsidRDefault="00C04CAD">
      <w:pPr>
        <w:tabs>
          <w:tab w:val="clear" w:pos="567"/>
        </w:tabs>
        <w:kinsoku w:val="0"/>
        <w:overflowPunct w:val="0"/>
        <w:autoSpaceDE w:val="0"/>
        <w:autoSpaceDN w:val="0"/>
        <w:adjustRightInd w:val="0"/>
        <w:spacing w:line="240" w:lineRule="auto"/>
        <w:rPr>
          <w:szCs w:val="22"/>
        </w:rPr>
      </w:pPr>
    </w:p>
    <w:p w14:paraId="100D39F4"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4"/>
          <w:szCs w:val="22"/>
        </w:rPr>
        <w:t xml:space="preserve"> </w:t>
      </w:r>
      <w:r>
        <w:rPr>
          <w:szCs w:val="22"/>
        </w:rPr>
        <w:t>V</w:t>
      </w:r>
      <w:r>
        <w:rPr>
          <w:spacing w:val="1"/>
          <w:szCs w:val="22"/>
        </w:rPr>
        <w:t xml:space="preserve"> </w:t>
      </w:r>
      <w:r>
        <w:rPr>
          <w:szCs w:val="22"/>
        </w:rPr>
        <w:t>au</w:t>
      </w:r>
      <w:r>
        <w:rPr>
          <w:spacing w:val="-3"/>
          <w:szCs w:val="22"/>
        </w:rPr>
        <w:t xml:space="preserve"> </w:t>
      </w:r>
      <w:r>
        <w:rPr>
          <w:szCs w:val="22"/>
        </w:rPr>
        <w:t>fo</w:t>
      </w:r>
      <w:r>
        <w:rPr>
          <w:spacing w:val="-2"/>
          <w:szCs w:val="22"/>
        </w:rPr>
        <w:t>s</w:t>
      </w:r>
      <w:r>
        <w:rPr>
          <w:szCs w:val="22"/>
        </w:rPr>
        <w:t>t</w:t>
      </w:r>
      <w:r>
        <w:rPr>
          <w:spacing w:val="1"/>
          <w:szCs w:val="22"/>
        </w:rPr>
        <w:t xml:space="preserve"> </w:t>
      </w:r>
      <w:r>
        <w:rPr>
          <w:szCs w:val="22"/>
        </w:rPr>
        <w:t>e</w:t>
      </w:r>
      <w:r>
        <w:rPr>
          <w:spacing w:val="-3"/>
          <w:szCs w:val="22"/>
        </w:rPr>
        <w:t>va</w:t>
      </w:r>
      <w:r>
        <w:rPr>
          <w:spacing w:val="1"/>
          <w:szCs w:val="22"/>
        </w:rPr>
        <w:t>l</w:t>
      </w:r>
      <w:r>
        <w:rPr>
          <w:szCs w:val="22"/>
        </w:rPr>
        <w:t>u</w:t>
      </w:r>
      <w:r>
        <w:rPr>
          <w:spacing w:val="-3"/>
          <w:szCs w:val="22"/>
        </w:rPr>
        <w:t>a</w:t>
      </w:r>
      <w:r>
        <w:rPr>
          <w:spacing w:val="1"/>
          <w:szCs w:val="22"/>
        </w:rPr>
        <w:t>ţ</w:t>
      </w:r>
      <w:r>
        <w:rPr>
          <w:szCs w:val="22"/>
        </w:rPr>
        <w:t>i</w:t>
      </w:r>
      <w:r>
        <w:rPr>
          <w:spacing w:val="1"/>
          <w:szCs w:val="22"/>
        </w:rPr>
        <w:t xml:space="preserve"> </w:t>
      </w:r>
      <w:r>
        <w:rPr>
          <w:szCs w:val="22"/>
        </w:rPr>
        <w:t>7</w:t>
      </w:r>
      <w:r>
        <w:rPr>
          <w:spacing w:val="-3"/>
          <w:szCs w:val="22"/>
        </w:rPr>
        <w:t>9</w:t>
      </w:r>
      <w:r>
        <w:rPr>
          <w:szCs w:val="22"/>
        </w:rPr>
        <w:t>9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ad</w:t>
      </w:r>
      <w:r>
        <w:rPr>
          <w:spacing w:val="-3"/>
          <w:szCs w:val="22"/>
        </w:rPr>
        <w:t>u</w:t>
      </w:r>
      <w:r>
        <w:rPr>
          <w:spacing w:val="1"/>
          <w:szCs w:val="22"/>
        </w:rPr>
        <w:t>l</w:t>
      </w:r>
      <w:r>
        <w:rPr>
          <w:spacing w:val="-2"/>
          <w:szCs w:val="22"/>
        </w:rPr>
        <w:t>ţ</w:t>
      </w:r>
      <w:r>
        <w:rPr>
          <w:spacing w:val="1"/>
          <w:szCs w:val="22"/>
        </w:rPr>
        <w:t>i</w:t>
      </w:r>
      <w:r>
        <w:rPr>
          <w:szCs w:val="22"/>
        </w:rPr>
        <w:t xml:space="preserve">, </w:t>
      </w:r>
      <w:r>
        <w:rPr>
          <w:spacing w:val="-3"/>
          <w:szCs w:val="22"/>
        </w:rPr>
        <w:t>c</w:t>
      </w:r>
      <w:r>
        <w:rPr>
          <w:szCs w:val="22"/>
        </w:rPr>
        <w:t>u</w:t>
      </w:r>
      <w:r>
        <w:rPr>
          <w:spacing w:val="-3"/>
          <w:szCs w:val="22"/>
        </w:rPr>
        <w:t xml:space="preserve"> </w:t>
      </w:r>
      <w:r>
        <w:rPr>
          <w:szCs w:val="22"/>
        </w:rPr>
        <w:t>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dă</w:t>
      </w:r>
      <w:r>
        <w:rPr>
          <w:spacing w:val="-2"/>
          <w:szCs w:val="22"/>
        </w:rPr>
        <w:t xml:space="preserve"> </w:t>
      </w:r>
      <w:r>
        <w:rPr>
          <w:szCs w:val="22"/>
        </w:rPr>
        <w:t>a</w:t>
      </w:r>
      <w:r>
        <w:rPr>
          <w:spacing w:val="-3"/>
          <w:szCs w:val="22"/>
        </w:rPr>
        <w:t>c</w:t>
      </w:r>
      <w:r>
        <w:rPr>
          <w:spacing w:val="1"/>
          <w:szCs w:val="22"/>
        </w:rPr>
        <w:t>ti</w:t>
      </w:r>
      <w:r>
        <w:rPr>
          <w:spacing w:val="-3"/>
          <w:szCs w:val="22"/>
        </w:rPr>
        <w:t>v</w:t>
      </w:r>
      <w:r>
        <w:rPr>
          <w:szCs w:val="22"/>
        </w:rPr>
        <w:t>ă pr</w:t>
      </w:r>
      <w:r>
        <w:rPr>
          <w:spacing w:val="-3"/>
          <w:szCs w:val="22"/>
        </w:rPr>
        <w:t>e</w:t>
      </w:r>
      <w:r>
        <w:rPr>
          <w:szCs w:val="22"/>
        </w:rPr>
        <w:t>coce</w:t>
      </w:r>
      <w:r>
        <w:rPr>
          <w:spacing w:val="-2"/>
          <w:szCs w:val="22"/>
        </w:rPr>
        <w:t xml:space="preserve"> </w:t>
      </w:r>
      <w:r>
        <w:rPr>
          <w:spacing w:val="-4"/>
          <w:szCs w:val="22"/>
        </w:rPr>
        <w:t>m</w:t>
      </w:r>
      <w:r>
        <w:rPr>
          <w:szCs w:val="22"/>
        </w:rPr>
        <w:t>odera</w:t>
      </w:r>
      <w:r>
        <w:rPr>
          <w:spacing w:val="1"/>
          <w:szCs w:val="22"/>
        </w:rPr>
        <w:t>t</w:t>
      </w:r>
      <w:r>
        <w:rPr>
          <w:szCs w:val="22"/>
        </w:rPr>
        <w:t>ă până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3"/>
          <w:szCs w:val="22"/>
        </w:rPr>
        <w:t>v</w:t>
      </w:r>
      <w:r>
        <w:rPr>
          <w:szCs w:val="22"/>
        </w:rPr>
        <w:t xml:space="preserve">eră </w:t>
      </w:r>
      <w:r>
        <w:rPr>
          <w:spacing w:val="-2"/>
          <w:szCs w:val="22"/>
        </w:rPr>
        <w:t>(</w:t>
      </w:r>
      <w:r>
        <w:rPr>
          <w:szCs w:val="22"/>
        </w:rPr>
        <w:t>du</w:t>
      </w:r>
      <w:r>
        <w:rPr>
          <w:spacing w:val="-2"/>
          <w:szCs w:val="22"/>
        </w:rPr>
        <w:t>r</w:t>
      </w:r>
      <w:r>
        <w:rPr>
          <w:szCs w:val="22"/>
        </w:rPr>
        <w:t>a</w:t>
      </w:r>
      <w:r>
        <w:rPr>
          <w:spacing w:val="1"/>
          <w:szCs w:val="22"/>
        </w:rPr>
        <w:t>t</w:t>
      </w:r>
      <w:r>
        <w:rPr>
          <w:szCs w:val="22"/>
        </w:rPr>
        <w:t xml:space="preserve">a </w:t>
      </w:r>
      <w:r>
        <w:rPr>
          <w:spacing w:val="-4"/>
          <w:szCs w:val="22"/>
        </w:rPr>
        <w:t>m</w:t>
      </w:r>
      <w:r>
        <w:rPr>
          <w:szCs w:val="22"/>
        </w:rPr>
        <w:t>ed</w:t>
      </w:r>
      <w:r>
        <w:rPr>
          <w:spacing w:val="-2"/>
          <w:szCs w:val="22"/>
        </w:rPr>
        <w:t>i</w:t>
      </w:r>
      <w:r>
        <w:rPr>
          <w:szCs w:val="22"/>
        </w:rPr>
        <w:t>e a b</w:t>
      </w:r>
      <w:r>
        <w:rPr>
          <w:spacing w:val="-3"/>
          <w:szCs w:val="22"/>
        </w:rPr>
        <w:t>o</w:t>
      </w:r>
      <w:r>
        <w:rPr>
          <w:spacing w:val="1"/>
          <w:szCs w:val="22"/>
        </w:rPr>
        <w:t>l</w:t>
      </w:r>
      <w:r>
        <w:rPr>
          <w:spacing w:val="-2"/>
          <w:szCs w:val="22"/>
        </w:rPr>
        <w:t>i</w:t>
      </w:r>
      <w:r>
        <w:rPr>
          <w:szCs w:val="22"/>
        </w:rPr>
        <w:t>i</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pacing w:val="1"/>
          <w:szCs w:val="22"/>
        </w:rPr>
        <w:t>i</w:t>
      </w:r>
      <w:r>
        <w:rPr>
          <w:szCs w:val="22"/>
        </w:rPr>
        <w:t>că de 9</w:t>
      </w:r>
      <w:r>
        <w:rPr>
          <w:spacing w:val="-3"/>
          <w:szCs w:val="22"/>
        </w:rPr>
        <w:t xml:space="preserve"> </w:t>
      </w:r>
      <w:r>
        <w:rPr>
          <w:spacing w:val="1"/>
          <w:szCs w:val="22"/>
        </w:rPr>
        <w:t>l</w:t>
      </w:r>
      <w:r>
        <w:rPr>
          <w:szCs w:val="22"/>
        </w:rPr>
        <w:t>u</w:t>
      </w:r>
      <w:r>
        <w:rPr>
          <w:spacing w:val="-3"/>
          <w:szCs w:val="22"/>
        </w:rPr>
        <w:t>n</w:t>
      </w:r>
      <w:r>
        <w:rPr>
          <w:spacing w:val="-2"/>
          <w:szCs w:val="22"/>
        </w:rPr>
        <w:t>i</w:t>
      </w:r>
      <w:r>
        <w:rPr>
          <w:szCs w:val="22"/>
        </w:rPr>
        <w:t>),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n</w:t>
      </w:r>
      <w:r>
        <w:rPr>
          <w:spacing w:val="-3"/>
          <w:szCs w:val="22"/>
        </w:rPr>
        <w:t>e</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an</w:t>
      </w:r>
      <w:r>
        <w:rPr>
          <w:spacing w:val="-2"/>
          <w:szCs w:val="22"/>
        </w:rPr>
        <w:t>t</w:t>
      </w:r>
      <w:r>
        <w:rPr>
          <w:szCs w:val="22"/>
        </w:rPr>
        <w:t>e</w:t>
      </w:r>
      <w:r>
        <w:rPr>
          <w:spacing w:val="-2"/>
          <w:szCs w:val="22"/>
        </w:rPr>
        <w:t>r</w:t>
      </w:r>
      <w:r>
        <w:rPr>
          <w:spacing w:val="1"/>
          <w:szCs w:val="22"/>
        </w:rPr>
        <w:t>i</w:t>
      </w:r>
      <w:r>
        <w:rPr>
          <w:szCs w:val="22"/>
        </w:rPr>
        <w:t>or</w:t>
      </w:r>
      <w:r>
        <w:rPr>
          <w:spacing w:val="-2"/>
          <w:szCs w:val="22"/>
        </w:rPr>
        <w:t xml:space="preserve"> </w:t>
      </w:r>
      <w:r>
        <w:rPr>
          <w:szCs w:val="22"/>
        </w:rPr>
        <w:t xml:space="preserve">cu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ex</w:t>
      </w:r>
      <w:r>
        <w:rPr>
          <w:spacing w:val="-3"/>
          <w:szCs w:val="22"/>
        </w:rPr>
        <w:t>a</w:t>
      </w:r>
      <w:r>
        <w:rPr>
          <w:spacing w:val="1"/>
          <w:szCs w:val="22"/>
        </w:rPr>
        <w:t>t</w:t>
      </w:r>
      <w:r>
        <w:rPr>
          <w:szCs w:val="22"/>
        </w:rPr>
        <w:t xml:space="preserve">. </w:t>
      </w:r>
      <w:r>
        <w:rPr>
          <w:spacing w:val="-1"/>
          <w:szCs w:val="22"/>
        </w:rPr>
        <w:t>A</w:t>
      </w:r>
      <w:r>
        <w:rPr>
          <w:szCs w:val="22"/>
        </w:rPr>
        <w:t>cest</w:t>
      </w:r>
      <w:r>
        <w:rPr>
          <w:spacing w:val="-2"/>
          <w:szCs w:val="22"/>
        </w:rPr>
        <w:t xml:space="preserve"> </w:t>
      </w:r>
      <w:r>
        <w:rPr>
          <w:szCs w:val="22"/>
        </w:rPr>
        <w:t>s</w:t>
      </w:r>
      <w:r>
        <w:rPr>
          <w:spacing w:val="1"/>
          <w:szCs w:val="22"/>
        </w:rPr>
        <w:t>t</w:t>
      </w:r>
      <w:r>
        <w:rPr>
          <w:spacing w:val="-3"/>
          <w:szCs w:val="22"/>
        </w:rPr>
        <w:t>u</w:t>
      </w:r>
      <w:r>
        <w:rPr>
          <w:szCs w:val="22"/>
        </w:rPr>
        <w:t>d</w:t>
      </w:r>
      <w:r>
        <w:rPr>
          <w:spacing w:val="1"/>
          <w:szCs w:val="22"/>
        </w:rPr>
        <w:t>i</w:t>
      </w:r>
      <w:r>
        <w:rPr>
          <w:szCs w:val="22"/>
        </w:rPr>
        <w:t>u</w:t>
      </w:r>
      <w:r>
        <w:rPr>
          <w:spacing w:val="-3"/>
          <w:szCs w:val="22"/>
        </w:rPr>
        <w:t xml:space="preserve"> </w:t>
      </w:r>
      <w:r>
        <w:rPr>
          <w:szCs w:val="22"/>
        </w:rPr>
        <w:t>a e</w:t>
      </w:r>
      <w:r>
        <w:rPr>
          <w:spacing w:val="-3"/>
          <w:szCs w:val="22"/>
        </w:rPr>
        <w:t>v</w:t>
      </w:r>
      <w:r>
        <w:rPr>
          <w:szCs w:val="22"/>
        </w:rPr>
        <w:t>a</w:t>
      </w:r>
      <w:r>
        <w:rPr>
          <w:spacing w:val="1"/>
          <w:szCs w:val="22"/>
        </w:rPr>
        <w:t>l</w:t>
      </w:r>
      <w:r>
        <w:rPr>
          <w:szCs w:val="22"/>
        </w:rPr>
        <w:t>u</w:t>
      </w:r>
      <w:r>
        <w:rPr>
          <w:spacing w:val="-3"/>
          <w:szCs w:val="22"/>
        </w:rPr>
        <w:t>a</w:t>
      </w:r>
      <w:r>
        <w:rPr>
          <w:szCs w:val="22"/>
        </w:rPr>
        <w:t>t</w:t>
      </w:r>
      <w:r>
        <w:rPr>
          <w:spacing w:val="1"/>
          <w:szCs w:val="22"/>
        </w:rPr>
        <w:t xml:space="preserve"> </w:t>
      </w:r>
      <w:r>
        <w:rPr>
          <w:spacing w:val="-3"/>
          <w:szCs w:val="22"/>
        </w:rPr>
        <w:t>e</w:t>
      </w:r>
      <w:r>
        <w:rPr>
          <w:szCs w:val="22"/>
        </w:rPr>
        <w:t>f</w:t>
      </w:r>
      <w:r>
        <w:rPr>
          <w:spacing w:val="-2"/>
          <w:szCs w:val="22"/>
        </w:rPr>
        <w:t>i</w:t>
      </w:r>
      <w:r>
        <w:rPr>
          <w:szCs w:val="22"/>
        </w:rPr>
        <w:t>c</w:t>
      </w:r>
      <w:r>
        <w:rPr>
          <w:spacing w:val="-3"/>
          <w:szCs w:val="22"/>
        </w:rPr>
        <w:t>a</w:t>
      </w:r>
      <w:r>
        <w:rPr>
          <w:szCs w:val="22"/>
        </w:rPr>
        <w:t>c</w:t>
      </w:r>
      <w:r>
        <w:rPr>
          <w:spacing w:val="1"/>
          <w:szCs w:val="22"/>
        </w:rPr>
        <w:t>i</w:t>
      </w:r>
      <w:r>
        <w:rPr>
          <w:spacing w:val="-2"/>
          <w:szCs w:val="22"/>
        </w:rPr>
        <w:t>t</w:t>
      </w:r>
      <w:r>
        <w:rPr>
          <w:szCs w:val="22"/>
        </w:rPr>
        <w:t>a</w:t>
      </w:r>
      <w:r>
        <w:rPr>
          <w:spacing w:val="-2"/>
          <w:szCs w:val="22"/>
        </w:rPr>
        <w:t>t</w:t>
      </w:r>
      <w:r>
        <w:rPr>
          <w:szCs w:val="22"/>
        </w:rPr>
        <w:t xml:space="preserve">ea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w:t>
      </w:r>
      <w:r>
        <w:rPr>
          <w:spacing w:val="-2"/>
          <w:szCs w:val="22"/>
        </w:rPr>
        <w:t>l</w:t>
      </w:r>
      <w:r>
        <w:rPr>
          <w:szCs w:val="22"/>
        </w:rPr>
        <w:t>ui</w:t>
      </w:r>
      <w:r>
        <w:rPr>
          <w:spacing w:val="-2"/>
          <w:szCs w:val="22"/>
        </w:rPr>
        <w:t xml:space="preserve"> </w:t>
      </w:r>
      <w:r>
        <w:rPr>
          <w:spacing w:val="1"/>
          <w:szCs w:val="22"/>
        </w:rPr>
        <w:t>î</w:t>
      </w:r>
      <w:r>
        <w:rPr>
          <w:szCs w:val="22"/>
        </w:rPr>
        <w:t xml:space="preserve">n </w:t>
      </w:r>
      <w:r>
        <w:rPr>
          <w:spacing w:val="-3"/>
          <w:szCs w:val="22"/>
        </w:rPr>
        <w:t>c</w:t>
      </w:r>
      <w:r>
        <w:rPr>
          <w:szCs w:val="22"/>
        </w:rPr>
        <w:t>e</w:t>
      </w:r>
      <w:r>
        <w:rPr>
          <w:spacing w:val="-3"/>
          <w:szCs w:val="22"/>
        </w:rPr>
        <w:t>e</w:t>
      </w:r>
      <w:r>
        <w:rPr>
          <w:szCs w:val="22"/>
        </w:rPr>
        <w:t xml:space="preserve">a ce </w:t>
      </w:r>
      <w:r>
        <w:rPr>
          <w:spacing w:val="-3"/>
          <w:szCs w:val="22"/>
        </w:rPr>
        <w:t>p</w:t>
      </w:r>
      <w:r>
        <w:rPr>
          <w:szCs w:val="22"/>
        </w:rPr>
        <w:t>r</w:t>
      </w:r>
      <w:r>
        <w:rPr>
          <w:spacing w:val="1"/>
          <w:szCs w:val="22"/>
        </w:rPr>
        <w:t>i</w:t>
      </w:r>
      <w:r>
        <w:rPr>
          <w:spacing w:val="-3"/>
          <w:szCs w:val="22"/>
        </w:rPr>
        <w:t>v</w:t>
      </w:r>
      <w:r>
        <w:rPr>
          <w:szCs w:val="22"/>
        </w:rPr>
        <w:t>e</w:t>
      </w:r>
      <w:r>
        <w:rPr>
          <w:spacing w:val="-2"/>
          <w:szCs w:val="22"/>
        </w:rPr>
        <w:t>ş</w:t>
      </w:r>
      <w:r>
        <w:rPr>
          <w:spacing w:val="1"/>
          <w:szCs w:val="22"/>
        </w:rPr>
        <w:t>t</w:t>
      </w:r>
      <w:r>
        <w:rPr>
          <w:szCs w:val="22"/>
        </w:rPr>
        <w:t xml:space="preserve">e </w:t>
      </w:r>
      <w:r>
        <w:rPr>
          <w:spacing w:val="-2"/>
          <w:szCs w:val="22"/>
        </w:rPr>
        <w:t>r</w:t>
      </w:r>
      <w:r>
        <w:rPr>
          <w:szCs w:val="22"/>
        </w:rPr>
        <w:t>edu</w:t>
      </w:r>
      <w:r>
        <w:rPr>
          <w:spacing w:val="-3"/>
          <w:szCs w:val="22"/>
        </w:rPr>
        <w:t>c</w:t>
      </w:r>
      <w:r>
        <w:rPr>
          <w:szCs w:val="22"/>
        </w:rPr>
        <w:t>er</w:t>
      </w:r>
      <w:r>
        <w:rPr>
          <w:spacing w:val="-3"/>
          <w:szCs w:val="22"/>
        </w:rPr>
        <w:t>e</w:t>
      </w:r>
      <w:r>
        <w:rPr>
          <w:szCs w:val="22"/>
        </w:rPr>
        <w:t xml:space="preserve">a </w:t>
      </w:r>
      <w:r>
        <w:rPr>
          <w:spacing w:val="-2"/>
          <w:szCs w:val="22"/>
        </w:rPr>
        <w:t>s</w:t>
      </w:r>
      <w:r>
        <w:rPr>
          <w:szCs w:val="22"/>
        </w:rPr>
        <w:t>e</w:t>
      </w:r>
      <w:r>
        <w:rPr>
          <w:spacing w:val="-2"/>
          <w:szCs w:val="22"/>
        </w:rPr>
        <w:t>m</w:t>
      </w:r>
      <w:r>
        <w:rPr>
          <w:szCs w:val="22"/>
        </w:rPr>
        <w:t>ne</w:t>
      </w:r>
      <w:r>
        <w:rPr>
          <w:spacing w:val="1"/>
          <w:szCs w:val="22"/>
        </w:rPr>
        <w:t>l</w:t>
      </w:r>
      <w:r>
        <w:rPr>
          <w:spacing w:val="-3"/>
          <w:szCs w:val="22"/>
        </w:rPr>
        <w:t>o</w:t>
      </w:r>
      <w:r>
        <w:rPr>
          <w:szCs w:val="22"/>
        </w:rPr>
        <w:t>r</w:t>
      </w:r>
      <w:r>
        <w:rPr>
          <w:spacing w:val="1"/>
          <w:szCs w:val="22"/>
        </w:rPr>
        <w:t xml:space="preserve"> </w:t>
      </w:r>
      <w:r>
        <w:rPr>
          <w:spacing w:val="-2"/>
          <w:szCs w:val="22"/>
        </w:rPr>
        <w:t>ş</w:t>
      </w:r>
      <w:r>
        <w:rPr>
          <w:szCs w:val="22"/>
        </w:rPr>
        <w:t>i</w:t>
      </w:r>
      <w:r>
        <w:rPr>
          <w:spacing w:val="1"/>
          <w:szCs w:val="22"/>
        </w:rPr>
        <w:t xml:space="preserve">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or precum</w:t>
      </w:r>
      <w:r>
        <w:rPr>
          <w:spacing w:val="-4"/>
          <w:szCs w:val="22"/>
        </w:rPr>
        <w:t xml:space="preserve"> </w:t>
      </w:r>
      <w:r>
        <w:rPr>
          <w:szCs w:val="22"/>
        </w:rPr>
        <w:t>şi</w:t>
      </w:r>
      <w:r>
        <w:rPr>
          <w:spacing w:val="-2"/>
          <w:szCs w:val="22"/>
        </w:rPr>
        <w:t xml:space="preserve"> </w:t>
      </w:r>
      <w:r>
        <w:rPr>
          <w:szCs w:val="22"/>
        </w:rPr>
        <w:t>ra</w:t>
      </w:r>
      <w:r>
        <w:rPr>
          <w:spacing w:val="-2"/>
          <w:szCs w:val="22"/>
        </w:rPr>
        <w:t>t</w:t>
      </w:r>
      <w:r>
        <w:rPr>
          <w:szCs w:val="22"/>
        </w:rPr>
        <w:t>a p</w:t>
      </w:r>
      <w:r>
        <w:rPr>
          <w:spacing w:val="-2"/>
          <w:szCs w:val="22"/>
        </w:rPr>
        <w:t>r</w:t>
      </w:r>
      <w:r>
        <w:rPr>
          <w:szCs w:val="22"/>
        </w:rPr>
        <w:t>o</w:t>
      </w:r>
      <w:r>
        <w:rPr>
          <w:spacing w:val="-3"/>
          <w:szCs w:val="22"/>
        </w:rPr>
        <w:t>g</w:t>
      </w:r>
      <w:r>
        <w:rPr>
          <w:szCs w:val="22"/>
        </w:rPr>
        <w:t>res</w:t>
      </w:r>
      <w:r>
        <w:rPr>
          <w:spacing w:val="-2"/>
          <w:szCs w:val="22"/>
        </w:rPr>
        <w:t>i</w:t>
      </w:r>
      <w:r>
        <w:rPr>
          <w:szCs w:val="22"/>
        </w:rPr>
        <w:t>ei</w:t>
      </w:r>
      <w:r>
        <w:rPr>
          <w:spacing w:val="-2"/>
          <w:szCs w:val="22"/>
        </w:rPr>
        <w:t xml:space="preserve"> </w:t>
      </w:r>
      <w:r>
        <w:rPr>
          <w:szCs w:val="22"/>
        </w:rPr>
        <w:t>d</w:t>
      </w:r>
      <w:r>
        <w:rPr>
          <w:spacing w:val="-3"/>
          <w:szCs w:val="22"/>
        </w:rPr>
        <w:t>e</w:t>
      </w:r>
      <w:r>
        <w:rPr>
          <w:spacing w:val="1"/>
          <w:szCs w:val="22"/>
        </w:rPr>
        <w:t>t</w:t>
      </w:r>
      <w:r>
        <w:rPr>
          <w:szCs w:val="22"/>
        </w:rPr>
        <w:t>e</w:t>
      </w:r>
      <w:r>
        <w:rPr>
          <w:spacing w:val="-2"/>
          <w:szCs w:val="22"/>
        </w:rPr>
        <w:t>r</w:t>
      </w:r>
      <w:r>
        <w:rPr>
          <w:spacing w:val="1"/>
          <w:szCs w:val="22"/>
        </w:rPr>
        <w:t>i</w:t>
      </w:r>
      <w:r>
        <w:rPr>
          <w:szCs w:val="22"/>
        </w:rPr>
        <w:t>o</w:t>
      </w:r>
      <w:r>
        <w:rPr>
          <w:spacing w:val="-2"/>
          <w:szCs w:val="22"/>
        </w:rPr>
        <w:t>r</w:t>
      </w:r>
      <w:r>
        <w:rPr>
          <w:szCs w:val="22"/>
        </w:rPr>
        <w:t>ă</w:t>
      </w:r>
      <w:r>
        <w:rPr>
          <w:spacing w:val="-2"/>
          <w:szCs w:val="22"/>
        </w:rPr>
        <w:t>r</w:t>
      </w:r>
      <w:r>
        <w:rPr>
          <w:spacing w:val="1"/>
          <w:szCs w:val="22"/>
        </w:rPr>
        <w:t>il</w:t>
      </w:r>
      <w:r>
        <w:rPr>
          <w:spacing w:val="-3"/>
          <w:szCs w:val="22"/>
        </w:rPr>
        <w:t>o</w:t>
      </w:r>
      <w:r>
        <w:rPr>
          <w:szCs w:val="22"/>
        </w:rPr>
        <w:t>r</w:t>
      </w:r>
      <w:r>
        <w:rPr>
          <w:spacing w:val="1"/>
          <w:szCs w:val="22"/>
        </w:rPr>
        <w:t xml:space="preserve"> </w:t>
      </w:r>
      <w:r>
        <w:rPr>
          <w:spacing w:val="-3"/>
          <w:szCs w:val="22"/>
        </w:rPr>
        <w:t>a</w:t>
      </w:r>
      <w:r>
        <w:rPr>
          <w:szCs w:val="22"/>
        </w:rPr>
        <w:t>r</w:t>
      </w:r>
      <w:r>
        <w:rPr>
          <w:spacing w:val="-2"/>
          <w:szCs w:val="22"/>
        </w:rPr>
        <w:t>t</w:t>
      </w:r>
      <w:r>
        <w:rPr>
          <w:spacing w:val="1"/>
          <w:szCs w:val="22"/>
        </w:rPr>
        <w:t>i</w:t>
      </w:r>
      <w:r>
        <w:rPr>
          <w:szCs w:val="22"/>
        </w:rPr>
        <w:t>c</w:t>
      </w:r>
      <w:r>
        <w:rPr>
          <w:spacing w:val="-3"/>
          <w:szCs w:val="22"/>
        </w:rPr>
        <w:t>u</w:t>
      </w:r>
      <w:r>
        <w:rPr>
          <w:spacing w:val="1"/>
          <w:szCs w:val="22"/>
        </w:rPr>
        <w:t>l</w:t>
      </w:r>
      <w:r>
        <w:rPr>
          <w:spacing w:val="-3"/>
          <w:szCs w:val="22"/>
        </w:rPr>
        <w:t>a</w:t>
      </w:r>
      <w:r>
        <w:rPr>
          <w:szCs w:val="22"/>
        </w:rPr>
        <w:t>re</w:t>
      </w:r>
      <w:r>
        <w:rPr>
          <w:spacing w:val="-2"/>
          <w:szCs w:val="22"/>
        </w:rPr>
        <w:t xml:space="preserve"> </w:t>
      </w:r>
      <w:r>
        <w:rPr>
          <w:spacing w:val="1"/>
          <w:szCs w:val="22"/>
        </w:rPr>
        <w:t>î</w:t>
      </w:r>
      <w:r>
        <w:rPr>
          <w:szCs w:val="22"/>
        </w:rPr>
        <w:t>n ca</w:t>
      </w:r>
      <w:r>
        <w:rPr>
          <w:spacing w:val="-5"/>
          <w:szCs w:val="22"/>
        </w:rPr>
        <w:t>z</w:t>
      </w:r>
      <w:r>
        <w:rPr>
          <w:szCs w:val="22"/>
        </w:rPr>
        <w:t>ul</w:t>
      </w:r>
      <w:r>
        <w:rPr>
          <w:spacing w:val="1"/>
          <w:szCs w:val="22"/>
        </w:rPr>
        <w:t xml:space="preserve"> </w:t>
      </w:r>
      <w:r>
        <w:rPr>
          <w:szCs w:val="22"/>
        </w:rPr>
        <w:t>u</w:t>
      </w:r>
      <w:r>
        <w:rPr>
          <w:spacing w:val="-2"/>
          <w:szCs w:val="22"/>
        </w:rPr>
        <w:t>ti</w:t>
      </w:r>
      <w:r>
        <w:rPr>
          <w:spacing w:val="1"/>
          <w:szCs w:val="22"/>
        </w:rPr>
        <w:t>li</w:t>
      </w:r>
      <w:r>
        <w:rPr>
          <w:spacing w:val="-3"/>
          <w:szCs w:val="22"/>
        </w:rPr>
        <w:t>z</w:t>
      </w:r>
      <w:r>
        <w:rPr>
          <w:szCs w:val="22"/>
        </w:rPr>
        <w:t>ă</w:t>
      </w:r>
      <w:r>
        <w:rPr>
          <w:spacing w:val="-2"/>
          <w:szCs w:val="22"/>
        </w:rPr>
        <w:t>r</w:t>
      </w:r>
      <w:r>
        <w:rPr>
          <w:spacing w:val="1"/>
          <w:szCs w:val="22"/>
        </w:rPr>
        <w:t>i</w:t>
      </w:r>
      <w:r>
        <w:rPr>
          <w:szCs w:val="22"/>
        </w:rPr>
        <w:t>i</w:t>
      </w:r>
      <w:r>
        <w:rPr>
          <w:spacing w:val="1"/>
          <w:szCs w:val="22"/>
        </w:rPr>
        <w:t xml:space="preserve"> </w:t>
      </w:r>
      <w:r>
        <w:rPr>
          <w:rFonts w:eastAsia="MS Mincho"/>
          <w:spacing w:val="-1"/>
          <w:szCs w:val="22"/>
          <w:lang w:eastAsia="en-US" w:bidi="ar-SA"/>
        </w:rPr>
        <w:t>adalimumab</w:t>
      </w:r>
      <w:r>
        <w:rPr>
          <w:spacing w:val="-2"/>
          <w:szCs w:val="22"/>
        </w:rPr>
        <w:t xml:space="preserve"> </w:t>
      </w:r>
      <w:r>
        <w:rPr>
          <w:szCs w:val="22"/>
        </w:rPr>
        <w:t>40 </w:t>
      </w:r>
      <w:r>
        <w:rPr>
          <w:spacing w:val="-4"/>
          <w:szCs w:val="22"/>
        </w:rPr>
        <w:t>m</w:t>
      </w:r>
      <w:r>
        <w:rPr>
          <w:szCs w:val="22"/>
        </w:rPr>
        <w:t>g 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t</w:t>
      </w:r>
      <w:r>
        <w:rPr>
          <w:spacing w:val="1"/>
          <w:szCs w:val="22"/>
        </w:rPr>
        <w:t xml:space="preserve"> l</w:t>
      </w:r>
      <w:r>
        <w:rPr>
          <w:szCs w:val="22"/>
        </w:rPr>
        <w:t>a</w:t>
      </w:r>
      <w:r>
        <w:rPr>
          <w:spacing w:val="-2"/>
          <w:szCs w:val="22"/>
        </w:rPr>
        <w:t xml:space="preserve"> </w:t>
      </w:r>
      <w:r>
        <w:rPr>
          <w:szCs w:val="22"/>
        </w:rPr>
        <w:t>două săp</w:t>
      </w:r>
      <w:r>
        <w:rPr>
          <w:spacing w:val="-2"/>
          <w:szCs w:val="22"/>
        </w:rPr>
        <w:t>t</w:t>
      </w:r>
      <w:r>
        <w:rPr>
          <w:szCs w:val="22"/>
        </w:rPr>
        <w:t>ă</w:t>
      </w:r>
      <w:r>
        <w:rPr>
          <w:spacing w:val="-4"/>
          <w:szCs w:val="22"/>
        </w:rPr>
        <w:t>m</w:t>
      </w:r>
      <w:r>
        <w:rPr>
          <w:szCs w:val="22"/>
        </w:rPr>
        <w:t>ân</w:t>
      </w:r>
      <w:r>
        <w:rPr>
          <w:spacing w:val="1"/>
          <w:szCs w:val="22"/>
        </w:rPr>
        <w:t>i/</w:t>
      </w:r>
      <w:r>
        <w:rPr>
          <w:spacing w:val="-2"/>
          <w:szCs w:val="22"/>
        </w:rPr>
        <w:t>t</w:t>
      </w:r>
      <w:r>
        <w:rPr>
          <w:szCs w:val="22"/>
        </w:rPr>
        <w:t>er</w:t>
      </w:r>
      <w:r>
        <w:rPr>
          <w:spacing w:val="-3"/>
          <w:szCs w:val="22"/>
        </w:rPr>
        <w:t>a</w:t>
      </w:r>
      <w:r>
        <w:rPr>
          <w:szCs w:val="22"/>
        </w:rPr>
        <w:t>p</w:t>
      </w:r>
      <w:r>
        <w:rPr>
          <w:spacing w:val="1"/>
          <w:szCs w:val="22"/>
        </w:rPr>
        <w:t>i</w:t>
      </w:r>
      <w:r>
        <w:rPr>
          <w:szCs w:val="22"/>
        </w:rPr>
        <w:t>e</w:t>
      </w:r>
      <w:r>
        <w:rPr>
          <w:spacing w:val="-2"/>
          <w:szCs w:val="22"/>
        </w:rPr>
        <w:t xml:space="preserve"> </w:t>
      </w:r>
      <w:r>
        <w:rPr>
          <w:szCs w:val="22"/>
        </w:rPr>
        <w:t>co</w:t>
      </w:r>
      <w:r>
        <w:rPr>
          <w:spacing w:val="-3"/>
          <w:szCs w:val="22"/>
        </w:rPr>
        <w:t>n</w:t>
      </w:r>
      <w:r>
        <w:rPr>
          <w:szCs w:val="22"/>
        </w:rPr>
        <w:t>co</w:t>
      </w:r>
      <w:r>
        <w:rPr>
          <w:spacing w:val="-4"/>
          <w:szCs w:val="22"/>
        </w:rPr>
        <w:t>m</w:t>
      </w:r>
      <w:r>
        <w:rPr>
          <w:spacing w:val="1"/>
          <w:szCs w:val="22"/>
        </w:rPr>
        <w:t>it</w:t>
      </w:r>
      <w:r>
        <w:rPr>
          <w:szCs w:val="22"/>
        </w:rPr>
        <w:t>entă</w:t>
      </w:r>
      <w:r>
        <w:rPr>
          <w:spacing w:val="-2"/>
          <w:szCs w:val="22"/>
        </w:rPr>
        <w:t xml:space="preserve"> </w:t>
      </w:r>
      <w:r>
        <w:rPr>
          <w:szCs w:val="22"/>
        </w:rPr>
        <w:t xml:space="preserve">cu </w:t>
      </w:r>
      <w:r>
        <w:rPr>
          <w:spacing w:val="-4"/>
          <w:szCs w:val="22"/>
        </w:rPr>
        <w:t>m</w:t>
      </w:r>
      <w:r>
        <w:rPr>
          <w:szCs w:val="22"/>
        </w:rPr>
        <w:t>e</w:t>
      </w:r>
      <w:r>
        <w:rPr>
          <w:spacing w:val="1"/>
          <w:szCs w:val="22"/>
        </w:rPr>
        <w:t>t</w:t>
      </w:r>
      <w:r>
        <w:rPr>
          <w:szCs w:val="22"/>
        </w:rPr>
        <w:t>o</w:t>
      </w:r>
      <w:r>
        <w:rPr>
          <w:spacing w:val="-2"/>
          <w:szCs w:val="22"/>
        </w:rPr>
        <w:t>t</w:t>
      </w:r>
      <w:r>
        <w:rPr>
          <w:szCs w:val="22"/>
        </w:rPr>
        <w:t>rex</w:t>
      </w:r>
      <w:r>
        <w:rPr>
          <w:spacing w:val="-3"/>
          <w:szCs w:val="22"/>
        </w:rPr>
        <w:t>a</w:t>
      </w:r>
      <w:r>
        <w:rPr>
          <w:spacing w:val="1"/>
          <w:szCs w:val="22"/>
        </w:rPr>
        <w:t>t</w:t>
      </w:r>
      <w:r>
        <w:rPr>
          <w:szCs w:val="22"/>
        </w:rPr>
        <w:t>,</w:t>
      </w:r>
      <w:r>
        <w:rPr>
          <w:rFonts w:eastAsia="MS Mincho"/>
          <w:spacing w:val="-1"/>
          <w:szCs w:val="22"/>
          <w:lang w:eastAsia="en-US" w:bidi="ar-SA"/>
        </w:rPr>
        <w:t xml:space="preserve"> adalimumab</w:t>
      </w:r>
      <w:r>
        <w:rPr>
          <w:spacing w:val="-2"/>
          <w:szCs w:val="22"/>
        </w:rPr>
        <w:t xml:space="preserve"> </w:t>
      </w:r>
      <w:r>
        <w:rPr>
          <w:szCs w:val="22"/>
        </w:rPr>
        <w:t>40 </w:t>
      </w:r>
      <w:r>
        <w:rPr>
          <w:spacing w:val="-2"/>
          <w:szCs w:val="22"/>
        </w:rPr>
        <w:t>m</w:t>
      </w:r>
      <w:r>
        <w:rPr>
          <w:szCs w:val="22"/>
        </w:rPr>
        <w:t>g</w:t>
      </w:r>
      <w:r>
        <w:rPr>
          <w:spacing w:val="-3"/>
          <w:szCs w:val="22"/>
        </w:rPr>
        <w:t xml:space="preserve"> </w:t>
      </w:r>
      <w:r>
        <w:rPr>
          <w:spacing w:val="1"/>
          <w:szCs w:val="22"/>
        </w:rPr>
        <w:t>l</w:t>
      </w:r>
      <w:r>
        <w:rPr>
          <w:szCs w:val="22"/>
        </w:rPr>
        <w:t>a 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erap</w:t>
      </w:r>
      <w:r>
        <w:rPr>
          <w:spacing w:val="-2"/>
          <w:szCs w:val="22"/>
        </w:rPr>
        <w:t>i</w:t>
      </w:r>
      <w:r>
        <w:rPr>
          <w:szCs w:val="22"/>
        </w:rPr>
        <w:t xml:space="preserve">e </w:t>
      </w:r>
      <w:r>
        <w:rPr>
          <w:spacing w:val="-2"/>
          <w:szCs w:val="22"/>
        </w:rPr>
        <w:t>ş</w:t>
      </w:r>
      <w:r>
        <w:rPr>
          <w:szCs w:val="22"/>
        </w:rPr>
        <w:t>i</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rex</w:t>
      </w:r>
      <w:r>
        <w:rPr>
          <w:spacing w:val="-3"/>
          <w:szCs w:val="22"/>
        </w:rPr>
        <w:t>a</w:t>
      </w:r>
      <w:r>
        <w:rPr>
          <w:szCs w:val="22"/>
        </w:rPr>
        <w:t>t</w:t>
      </w:r>
      <w:r>
        <w:rPr>
          <w:spacing w:val="1"/>
          <w:szCs w:val="22"/>
        </w:rPr>
        <w:t xml:space="preserve"> </w:t>
      </w:r>
      <w:r>
        <w:rPr>
          <w:spacing w:val="-2"/>
          <w:szCs w:val="22"/>
        </w:rPr>
        <w:t>î</w:t>
      </w:r>
      <w:r>
        <w:rPr>
          <w:szCs w:val="22"/>
        </w:rPr>
        <w:t xml:space="preserve">n </w:t>
      </w:r>
      <w:r>
        <w:rPr>
          <w:spacing w:val="-4"/>
          <w:szCs w:val="22"/>
        </w:rPr>
        <w:t>m</w:t>
      </w:r>
      <w:r>
        <w:rPr>
          <w:szCs w:val="22"/>
        </w:rPr>
        <w:t>ono</w:t>
      </w:r>
      <w:r>
        <w:rPr>
          <w:spacing w:val="1"/>
          <w:szCs w:val="22"/>
        </w:rPr>
        <w:t>t</w:t>
      </w:r>
      <w:r>
        <w:rPr>
          <w:szCs w:val="22"/>
        </w:rPr>
        <w:t>era</w:t>
      </w:r>
      <w:r>
        <w:rPr>
          <w:spacing w:val="-3"/>
          <w:szCs w:val="22"/>
        </w:rPr>
        <w:t>p</w:t>
      </w:r>
      <w:r>
        <w:rPr>
          <w:spacing w:val="1"/>
          <w:szCs w:val="22"/>
        </w:rPr>
        <w:t>i</w:t>
      </w:r>
      <w:r>
        <w:rPr>
          <w:szCs w:val="22"/>
        </w:rPr>
        <w:t>e,</w:t>
      </w:r>
      <w:r>
        <w:rPr>
          <w:spacing w:val="-3"/>
          <w:szCs w:val="22"/>
        </w:rPr>
        <w:t xml:space="preserve"> </w:t>
      </w:r>
      <w:r>
        <w:rPr>
          <w:spacing w:val="1"/>
          <w:szCs w:val="22"/>
        </w:rPr>
        <w:t>ti</w:t>
      </w:r>
      <w:r>
        <w:rPr>
          <w:spacing w:val="-4"/>
          <w:szCs w:val="22"/>
        </w:rPr>
        <w:t>m</w:t>
      </w:r>
      <w:r>
        <w:rPr>
          <w:szCs w:val="22"/>
        </w:rPr>
        <w:t>p de 104</w:t>
      </w:r>
      <w:r>
        <w:rPr>
          <w:spacing w:val="-3"/>
          <w:szCs w:val="22"/>
        </w:rPr>
        <w:t xml:space="preserve"> </w:t>
      </w:r>
      <w:r>
        <w:rPr>
          <w:szCs w:val="22"/>
        </w:rPr>
        <w:t>săp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L</w:t>
      </w:r>
      <w:r>
        <w:rPr>
          <w:szCs w:val="22"/>
        </w:rPr>
        <w:t xml:space="preserve">a </w:t>
      </w:r>
      <w:r>
        <w:rPr>
          <w:spacing w:val="-2"/>
          <w:szCs w:val="22"/>
        </w:rPr>
        <w:t>f</w:t>
      </w:r>
      <w:r>
        <w:rPr>
          <w:spacing w:val="1"/>
          <w:szCs w:val="22"/>
        </w:rPr>
        <w:t>i</w:t>
      </w:r>
      <w:r>
        <w:rPr>
          <w:szCs w:val="22"/>
        </w:rPr>
        <w:t>n</w:t>
      </w:r>
      <w:r>
        <w:rPr>
          <w:spacing w:val="-2"/>
          <w:szCs w:val="22"/>
        </w:rPr>
        <w:t>al</w:t>
      </w:r>
      <w:r>
        <w:rPr>
          <w:spacing w:val="1"/>
          <w:szCs w:val="22"/>
        </w:rPr>
        <w:t>i</w:t>
      </w:r>
      <w:r>
        <w:rPr>
          <w:spacing w:val="-2"/>
          <w:szCs w:val="22"/>
        </w:rPr>
        <w:t>z</w:t>
      </w:r>
      <w:r>
        <w:rPr>
          <w:szCs w:val="22"/>
        </w:rPr>
        <w:t xml:space="preserve">area </w:t>
      </w:r>
      <w:r>
        <w:rPr>
          <w:spacing w:val="-3"/>
          <w:szCs w:val="22"/>
        </w:rPr>
        <w:t>p</w:t>
      </w:r>
      <w:r>
        <w:rPr>
          <w:szCs w:val="22"/>
        </w:rPr>
        <w:t>r</w:t>
      </w:r>
      <w:r>
        <w:rPr>
          <w:spacing w:val="1"/>
          <w:szCs w:val="22"/>
        </w:rPr>
        <w:t>i</w:t>
      </w:r>
      <w:r>
        <w:rPr>
          <w:spacing w:val="-4"/>
          <w:szCs w:val="22"/>
        </w:rPr>
        <w:t>m</w:t>
      </w:r>
      <w:r>
        <w:rPr>
          <w:szCs w:val="22"/>
        </w:rPr>
        <w:t>e</w:t>
      </w:r>
      <w:r>
        <w:rPr>
          <w:spacing w:val="1"/>
          <w:szCs w:val="22"/>
        </w:rPr>
        <w:t>l</w:t>
      </w:r>
      <w:r>
        <w:rPr>
          <w:szCs w:val="22"/>
        </w:rPr>
        <w:t>or</w:t>
      </w:r>
      <w:r>
        <w:rPr>
          <w:spacing w:val="1"/>
          <w:szCs w:val="22"/>
        </w:rPr>
        <w:t xml:space="preserve"> </w:t>
      </w:r>
      <w:r>
        <w:rPr>
          <w:spacing w:val="-3"/>
          <w:szCs w:val="22"/>
        </w:rPr>
        <w:t>1</w:t>
      </w:r>
      <w:r>
        <w:rPr>
          <w:szCs w:val="22"/>
        </w:rPr>
        <w:t>04 săp</w:t>
      </w:r>
      <w:r>
        <w:rPr>
          <w:spacing w:val="-2"/>
          <w:szCs w:val="22"/>
        </w:rPr>
        <w:t>t</w:t>
      </w:r>
      <w:r>
        <w:rPr>
          <w:szCs w:val="22"/>
        </w:rPr>
        <w:t>ă</w:t>
      </w:r>
      <w:r>
        <w:rPr>
          <w:spacing w:val="-4"/>
          <w:szCs w:val="22"/>
        </w:rPr>
        <w:t>m</w:t>
      </w:r>
      <w:r>
        <w:rPr>
          <w:szCs w:val="22"/>
        </w:rPr>
        <w:t>ân</w:t>
      </w:r>
      <w:r>
        <w:rPr>
          <w:spacing w:val="1"/>
          <w:szCs w:val="22"/>
        </w:rPr>
        <w:t>i</w:t>
      </w:r>
      <w:r>
        <w:rPr>
          <w:szCs w:val="22"/>
        </w:rPr>
        <w:t xml:space="preserve">, 497 </w:t>
      </w:r>
      <w:r>
        <w:rPr>
          <w:spacing w:val="-3"/>
          <w:szCs w:val="22"/>
        </w:rPr>
        <w:t>p</w:t>
      </w:r>
      <w:r>
        <w:rPr>
          <w:szCs w:val="22"/>
        </w:rPr>
        <w:t>ac</w:t>
      </w:r>
      <w:r>
        <w:rPr>
          <w:spacing w:val="-2"/>
          <w:szCs w:val="22"/>
        </w:rPr>
        <w:t>i</w:t>
      </w:r>
      <w:r>
        <w:rPr>
          <w:szCs w:val="22"/>
        </w:rPr>
        <w:t>en</w:t>
      </w:r>
      <w:r>
        <w:rPr>
          <w:spacing w:val="-2"/>
          <w:szCs w:val="22"/>
        </w:rPr>
        <w:t>ț</w:t>
      </w:r>
      <w:r>
        <w:rPr>
          <w:szCs w:val="22"/>
        </w:rPr>
        <w:t>i</w:t>
      </w:r>
      <w:r>
        <w:rPr>
          <w:spacing w:val="1"/>
          <w:szCs w:val="22"/>
        </w:rPr>
        <w:t xml:space="preserve"> </w:t>
      </w:r>
      <w:r>
        <w:rPr>
          <w:szCs w:val="22"/>
        </w:rPr>
        <w:t>au</w:t>
      </w:r>
      <w:r>
        <w:rPr>
          <w:spacing w:val="-5"/>
          <w:szCs w:val="22"/>
        </w:rPr>
        <w:t xml:space="preserve"> </w:t>
      </w:r>
      <w:r>
        <w:rPr>
          <w:szCs w:val="22"/>
        </w:rPr>
        <w:t>fost</w:t>
      </w:r>
      <w:r>
        <w:rPr>
          <w:spacing w:val="-2"/>
          <w:szCs w:val="22"/>
        </w:rPr>
        <w:t xml:space="preserve"> </w:t>
      </w:r>
      <w:r>
        <w:rPr>
          <w:spacing w:val="1"/>
          <w:szCs w:val="22"/>
        </w:rPr>
        <w:t>î</w:t>
      </w:r>
      <w:r>
        <w:rPr>
          <w:spacing w:val="-3"/>
          <w:szCs w:val="22"/>
        </w:rPr>
        <w:t>n</w:t>
      </w:r>
      <w:r>
        <w:rPr>
          <w:szCs w:val="22"/>
        </w:rPr>
        <w:t>ro</w:t>
      </w:r>
      <w:r>
        <w:rPr>
          <w:spacing w:val="-2"/>
          <w:szCs w:val="22"/>
        </w:rPr>
        <w:t>l</w:t>
      </w:r>
      <w:r>
        <w:rPr>
          <w:szCs w:val="22"/>
        </w:rPr>
        <w:t>a</w:t>
      </w:r>
      <w:r>
        <w:rPr>
          <w:spacing w:val="-2"/>
          <w:szCs w:val="22"/>
        </w:rPr>
        <w:t>ț</w:t>
      </w:r>
      <w:r>
        <w:rPr>
          <w:szCs w:val="22"/>
        </w:rPr>
        <w:t>i</w:t>
      </w:r>
      <w:r>
        <w:rPr>
          <w:spacing w:val="1"/>
          <w:szCs w:val="22"/>
        </w:rPr>
        <w:t xml:space="preserve"> </w:t>
      </w:r>
      <w:r>
        <w:rPr>
          <w:spacing w:val="-2"/>
          <w:szCs w:val="22"/>
        </w:rPr>
        <w:t>î</w:t>
      </w:r>
      <w:r>
        <w:rPr>
          <w:szCs w:val="22"/>
        </w:rPr>
        <w:t>n</w:t>
      </w:r>
      <w:r>
        <w:rPr>
          <w:spacing w:val="-2"/>
          <w:szCs w:val="22"/>
        </w:rPr>
        <w:t>t</w:t>
      </w:r>
      <w:r>
        <w:rPr>
          <w:szCs w:val="22"/>
        </w:rPr>
        <w:t>r</w:t>
      </w:r>
      <w:r>
        <w:rPr>
          <w:spacing w:val="-4"/>
          <w:szCs w:val="22"/>
        </w:rPr>
        <w:t>-</w:t>
      </w:r>
      <w:r>
        <w:rPr>
          <w:szCs w:val="22"/>
        </w:rPr>
        <w:t>o fa</w:t>
      </w:r>
      <w:r>
        <w:rPr>
          <w:spacing w:val="-3"/>
          <w:szCs w:val="22"/>
        </w:rPr>
        <w:t>z</w:t>
      </w:r>
      <w:r>
        <w:rPr>
          <w:szCs w:val="22"/>
        </w:rPr>
        <w:t xml:space="preserve">ă de </w:t>
      </w:r>
      <w:r>
        <w:rPr>
          <w:spacing w:val="-3"/>
          <w:szCs w:val="22"/>
        </w:rPr>
        <w:t>e</w:t>
      </w:r>
      <w:r>
        <w:rPr>
          <w:szCs w:val="22"/>
        </w:rPr>
        <w:t>x</w:t>
      </w:r>
      <w:r>
        <w:rPr>
          <w:spacing w:val="1"/>
          <w:szCs w:val="22"/>
        </w:rPr>
        <w:t>t</w:t>
      </w:r>
      <w:r>
        <w:rPr>
          <w:szCs w:val="22"/>
        </w:rPr>
        <w:t>en</w:t>
      </w:r>
      <w:r>
        <w:rPr>
          <w:spacing w:val="-2"/>
          <w:szCs w:val="22"/>
        </w:rPr>
        <w:t>s</w:t>
      </w:r>
      <w:r>
        <w:rPr>
          <w:spacing w:val="1"/>
          <w:szCs w:val="22"/>
        </w:rPr>
        <w:t>i</w:t>
      </w:r>
      <w:r>
        <w:rPr>
          <w:szCs w:val="22"/>
        </w:rPr>
        <w:t>e</w:t>
      </w:r>
      <w:r>
        <w:rPr>
          <w:spacing w:val="-2"/>
          <w:szCs w:val="22"/>
        </w:rPr>
        <w:t xml:space="preserve"> </w:t>
      </w:r>
      <w:r>
        <w:rPr>
          <w:szCs w:val="22"/>
        </w:rPr>
        <w:t>de</w:t>
      </w:r>
      <w:r>
        <w:rPr>
          <w:spacing w:val="-2"/>
          <w:szCs w:val="22"/>
        </w:rPr>
        <w:t>s</w:t>
      </w:r>
      <w:r>
        <w:rPr>
          <w:szCs w:val="22"/>
        </w:rPr>
        <w:t>ch</w:t>
      </w:r>
      <w:r>
        <w:rPr>
          <w:spacing w:val="-2"/>
          <w:szCs w:val="22"/>
        </w:rPr>
        <w:t>i</w:t>
      </w:r>
      <w:r>
        <w:rPr>
          <w:szCs w:val="22"/>
        </w:rPr>
        <w:t xml:space="preserve">să </w:t>
      </w:r>
      <w:r>
        <w:rPr>
          <w:spacing w:val="-2"/>
          <w:szCs w:val="22"/>
        </w:rPr>
        <w:t>î</w:t>
      </w:r>
      <w:r>
        <w:rPr>
          <w:szCs w:val="22"/>
        </w:rPr>
        <w:t>n c</w:t>
      </w:r>
      <w:r>
        <w:rPr>
          <w:spacing w:val="-3"/>
          <w:szCs w:val="22"/>
        </w:rPr>
        <w:t>a</w:t>
      </w:r>
      <w:r>
        <w:rPr>
          <w:szCs w:val="22"/>
        </w:rPr>
        <w:t>re</w:t>
      </w:r>
      <w:r>
        <w:rPr>
          <w:spacing w:val="-2"/>
          <w:szCs w:val="22"/>
        </w:rPr>
        <w:t xml:space="preserve"> </w:t>
      </w:r>
      <w:r>
        <w:rPr>
          <w:szCs w:val="22"/>
        </w:rPr>
        <w:t>s</w:t>
      </w:r>
      <w:r>
        <w:rPr>
          <w:spacing w:val="-4"/>
          <w:szCs w:val="22"/>
        </w:rPr>
        <w:t>-</w:t>
      </w:r>
      <w:r>
        <w:rPr>
          <w:szCs w:val="22"/>
        </w:rPr>
        <w:t>a</w:t>
      </w:r>
      <w:r>
        <w:rPr>
          <w:spacing w:val="3"/>
          <w:szCs w:val="22"/>
        </w:rPr>
        <w:t xml:space="preserve"> </w:t>
      </w:r>
      <w:r>
        <w:rPr>
          <w:szCs w:val="22"/>
        </w:rPr>
        <w:t>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t</w:t>
      </w:r>
      <w:r>
        <w:rPr>
          <w:spacing w:val="1"/>
          <w:szCs w:val="22"/>
        </w:rPr>
        <w:t xml:space="preserve"> </w:t>
      </w:r>
      <w:r>
        <w:rPr>
          <w:rFonts w:eastAsia="MS Mincho"/>
          <w:spacing w:val="-1"/>
          <w:szCs w:val="22"/>
          <w:lang w:eastAsia="en-US" w:bidi="ar-SA"/>
        </w:rPr>
        <w:t>adalimumab</w:t>
      </w:r>
      <w:r>
        <w:rPr>
          <w:szCs w:val="22"/>
        </w:rPr>
        <w:t xml:space="preserve"> 40 </w:t>
      </w:r>
      <w:r>
        <w:rPr>
          <w:spacing w:val="-2"/>
          <w:szCs w:val="22"/>
        </w:rPr>
        <w:t>m</w:t>
      </w:r>
      <w:r>
        <w:rPr>
          <w:szCs w:val="22"/>
        </w:rPr>
        <w:t>g</w:t>
      </w:r>
      <w:r>
        <w:rPr>
          <w:spacing w:val="-3"/>
          <w:szCs w:val="22"/>
        </w:rPr>
        <w:t xml:space="preserve"> </w:t>
      </w:r>
      <w:r>
        <w:rPr>
          <w:spacing w:val="1"/>
          <w:szCs w:val="22"/>
        </w:rPr>
        <w:t>l</w:t>
      </w:r>
      <w:r>
        <w:rPr>
          <w:szCs w:val="22"/>
        </w:rPr>
        <w:t xml:space="preserve">a două </w:t>
      </w:r>
      <w:r>
        <w:rPr>
          <w:spacing w:val="-2"/>
          <w:szCs w:val="22"/>
        </w:rPr>
        <w:t>s</w:t>
      </w:r>
      <w:r>
        <w:rPr>
          <w:szCs w:val="22"/>
        </w:rPr>
        <w:t>ăp</w:t>
      </w:r>
      <w:r>
        <w:rPr>
          <w:spacing w:val="-2"/>
          <w:szCs w:val="22"/>
        </w:rPr>
        <w:t>t</w:t>
      </w:r>
      <w:r>
        <w:rPr>
          <w:szCs w:val="22"/>
        </w:rPr>
        <w:t>ă</w:t>
      </w:r>
      <w:r>
        <w:rPr>
          <w:spacing w:val="-4"/>
          <w:szCs w:val="22"/>
        </w:rPr>
        <w:t>m</w:t>
      </w:r>
      <w:r>
        <w:rPr>
          <w:szCs w:val="22"/>
        </w:rPr>
        <w:t>âni</w:t>
      </w:r>
      <w:r>
        <w:rPr>
          <w:spacing w:val="1"/>
          <w:szCs w:val="22"/>
        </w:rPr>
        <w:t xml:space="preserve"> </w:t>
      </w:r>
      <w:r>
        <w:rPr>
          <w:spacing w:val="-3"/>
          <w:szCs w:val="22"/>
        </w:rPr>
        <w:t>p</w:t>
      </w:r>
      <w:r>
        <w:rPr>
          <w:szCs w:val="22"/>
        </w:rPr>
        <w:t>en</w:t>
      </w:r>
      <w:r>
        <w:rPr>
          <w:spacing w:val="1"/>
          <w:szCs w:val="22"/>
        </w:rPr>
        <w:t>t</w:t>
      </w:r>
      <w:r>
        <w:rPr>
          <w:spacing w:val="-2"/>
          <w:szCs w:val="22"/>
        </w:rPr>
        <w:t>r</w:t>
      </w:r>
      <w:r>
        <w:rPr>
          <w:szCs w:val="22"/>
        </w:rPr>
        <w:t>u o p</w:t>
      </w:r>
      <w:r>
        <w:rPr>
          <w:spacing w:val="-3"/>
          <w:szCs w:val="22"/>
        </w:rPr>
        <w:t>e</w:t>
      </w:r>
      <w:r>
        <w:rPr>
          <w:szCs w:val="22"/>
        </w:rPr>
        <w:t>r</w:t>
      </w:r>
      <w:r>
        <w:rPr>
          <w:spacing w:val="-2"/>
          <w:szCs w:val="22"/>
        </w:rPr>
        <w:t>i</w:t>
      </w:r>
      <w:r>
        <w:rPr>
          <w:szCs w:val="22"/>
        </w:rPr>
        <w:t xml:space="preserve">odă </w:t>
      </w:r>
      <w:r>
        <w:rPr>
          <w:spacing w:val="-3"/>
          <w:szCs w:val="22"/>
        </w:rPr>
        <w:t>d</w:t>
      </w:r>
      <w:r>
        <w:rPr>
          <w:szCs w:val="22"/>
        </w:rPr>
        <w:t>e pâ</w:t>
      </w:r>
      <w:r>
        <w:rPr>
          <w:spacing w:val="-3"/>
          <w:szCs w:val="22"/>
        </w:rPr>
        <w:t>n</w:t>
      </w:r>
      <w:r>
        <w:rPr>
          <w:szCs w:val="22"/>
        </w:rPr>
        <w:t xml:space="preserve">ă </w:t>
      </w:r>
      <w:r>
        <w:rPr>
          <w:spacing w:val="-2"/>
          <w:szCs w:val="22"/>
        </w:rPr>
        <w:t>l</w:t>
      </w:r>
      <w:r>
        <w:rPr>
          <w:szCs w:val="22"/>
        </w:rPr>
        <w:t xml:space="preserve">a </w:t>
      </w:r>
      <w:r>
        <w:rPr>
          <w:spacing w:val="-3"/>
          <w:szCs w:val="22"/>
        </w:rPr>
        <w:t>1</w:t>
      </w:r>
      <w:r>
        <w:rPr>
          <w:szCs w:val="22"/>
        </w:rPr>
        <w:t>0 an</w:t>
      </w:r>
      <w:r>
        <w:rPr>
          <w:spacing w:val="1"/>
          <w:szCs w:val="22"/>
        </w:rPr>
        <w:t>i</w:t>
      </w:r>
      <w:r>
        <w:rPr>
          <w:szCs w:val="22"/>
        </w:rPr>
        <w:t>.</w:t>
      </w:r>
    </w:p>
    <w:p w14:paraId="6674F166" w14:textId="77777777" w:rsidR="00C04CAD" w:rsidRDefault="00C04CAD">
      <w:pPr>
        <w:tabs>
          <w:tab w:val="clear" w:pos="567"/>
        </w:tabs>
        <w:kinsoku w:val="0"/>
        <w:overflowPunct w:val="0"/>
        <w:autoSpaceDE w:val="0"/>
        <w:autoSpaceDN w:val="0"/>
        <w:adjustRightInd w:val="0"/>
        <w:spacing w:line="240" w:lineRule="auto"/>
        <w:rPr>
          <w:spacing w:val="-4"/>
          <w:szCs w:val="22"/>
        </w:rPr>
      </w:pPr>
    </w:p>
    <w:p w14:paraId="2F5DB2E4"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O</w:t>
      </w:r>
      <w:r>
        <w:rPr>
          <w:szCs w:val="22"/>
        </w:rPr>
        <w:t>b</w:t>
      </w:r>
      <w:r>
        <w:rPr>
          <w:spacing w:val="1"/>
          <w:szCs w:val="22"/>
        </w:rPr>
        <w:t>i</w:t>
      </w:r>
      <w:r>
        <w:rPr>
          <w:szCs w:val="22"/>
        </w:rPr>
        <w:t>e</w:t>
      </w:r>
      <w:r>
        <w:rPr>
          <w:spacing w:val="-3"/>
          <w:szCs w:val="22"/>
        </w:rPr>
        <w:t>c</w:t>
      </w:r>
      <w:r>
        <w:rPr>
          <w:spacing w:val="1"/>
          <w:szCs w:val="22"/>
        </w:rPr>
        <w:t>ti</w:t>
      </w:r>
      <w:r>
        <w:rPr>
          <w:spacing w:val="-3"/>
          <w:szCs w:val="22"/>
        </w:rPr>
        <w:t>v</w:t>
      </w:r>
      <w:r>
        <w:rPr>
          <w:szCs w:val="22"/>
        </w:rPr>
        <w:t>ul</w:t>
      </w:r>
      <w:r>
        <w:rPr>
          <w:spacing w:val="1"/>
          <w:szCs w:val="22"/>
        </w:rPr>
        <w:t xml:space="preserve"> </w:t>
      </w:r>
      <w:r>
        <w:rPr>
          <w:spacing w:val="-3"/>
          <w:szCs w:val="22"/>
        </w:rPr>
        <w:t>p</w:t>
      </w:r>
      <w:r>
        <w:rPr>
          <w:szCs w:val="22"/>
        </w:rPr>
        <w:t>r</w:t>
      </w:r>
      <w:r>
        <w:rPr>
          <w:spacing w:val="1"/>
          <w:szCs w:val="22"/>
        </w:rPr>
        <w:t>i</w:t>
      </w:r>
      <w:r>
        <w:rPr>
          <w:spacing w:val="-3"/>
          <w:szCs w:val="22"/>
        </w:rPr>
        <w:t>n</w:t>
      </w:r>
      <w:r>
        <w:rPr>
          <w:szCs w:val="22"/>
        </w:rPr>
        <w:t>c</w:t>
      </w:r>
      <w:r>
        <w:rPr>
          <w:spacing w:val="1"/>
          <w:szCs w:val="22"/>
        </w:rPr>
        <w:t>i</w:t>
      </w:r>
      <w:r>
        <w:rPr>
          <w:spacing w:val="-3"/>
          <w:szCs w:val="22"/>
        </w:rPr>
        <w:t>p</w:t>
      </w:r>
      <w:r>
        <w:rPr>
          <w:szCs w:val="22"/>
        </w:rPr>
        <w:t>al</w:t>
      </w:r>
      <w:r>
        <w:rPr>
          <w:spacing w:val="-2"/>
          <w:szCs w:val="22"/>
        </w:rPr>
        <w:t xml:space="preserve"> </w:t>
      </w:r>
      <w:r>
        <w:rPr>
          <w:szCs w:val="22"/>
        </w:rPr>
        <w:t>f</w:t>
      </w:r>
      <w:r>
        <w:rPr>
          <w:spacing w:val="-2"/>
          <w:szCs w:val="22"/>
        </w:rPr>
        <w:t>i</w:t>
      </w:r>
      <w:r>
        <w:rPr>
          <w:szCs w:val="22"/>
        </w:rPr>
        <w:t>nal</w:t>
      </w:r>
      <w:r>
        <w:rPr>
          <w:spacing w:val="-2"/>
          <w:szCs w:val="22"/>
        </w:rPr>
        <w:t xml:space="preserve"> </w:t>
      </w:r>
      <w:r>
        <w:rPr>
          <w:szCs w:val="22"/>
        </w:rPr>
        <w:t>al</w:t>
      </w:r>
      <w:r>
        <w:rPr>
          <w:spacing w:val="-2"/>
          <w:szCs w:val="22"/>
        </w:rPr>
        <w:t xml:space="preserve"> </w:t>
      </w:r>
      <w:r>
        <w:rPr>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or</w:t>
      </w:r>
      <w:r>
        <w:rPr>
          <w:spacing w:val="-2"/>
          <w:szCs w:val="22"/>
        </w:rPr>
        <w:t xml:space="preserve"> </w:t>
      </w:r>
      <w:r>
        <w:rPr>
          <w:spacing w:val="-1"/>
          <w:szCs w:val="22"/>
        </w:rPr>
        <w:t>P</w:t>
      </w:r>
      <w:r>
        <w:rPr>
          <w:szCs w:val="22"/>
        </w:rPr>
        <w:t>R</w:t>
      </w:r>
      <w:r>
        <w:rPr>
          <w:spacing w:val="-1"/>
          <w:szCs w:val="22"/>
        </w:rPr>
        <w:t xml:space="preserve"> </w:t>
      </w:r>
      <w:r>
        <w:rPr>
          <w:spacing w:val="-4"/>
          <w:szCs w:val="22"/>
        </w:rPr>
        <w:t>I</w:t>
      </w:r>
      <w:r>
        <w:rPr>
          <w:szCs w:val="22"/>
        </w:rPr>
        <w:t>,</w:t>
      </w:r>
      <w:r>
        <w:rPr>
          <w:spacing w:val="2"/>
          <w:szCs w:val="22"/>
        </w:rPr>
        <w:t xml:space="preserve"> </w:t>
      </w:r>
      <w:r>
        <w:rPr>
          <w:spacing w:val="-2"/>
          <w:szCs w:val="22"/>
        </w:rPr>
        <w:t>I</w:t>
      </w:r>
      <w:r>
        <w:rPr>
          <w:szCs w:val="22"/>
        </w:rPr>
        <w:t>I</w:t>
      </w:r>
      <w:r>
        <w:rPr>
          <w:spacing w:val="-2"/>
          <w:szCs w:val="22"/>
        </w:rPr>
        <w:t xml:space="preserve"> </w:t>
      </w:r>
      <w:r>
        <w:rPr>
          <w:szCs w:val="22"/>
        </w:rPr>
        <w:t>şi</w:t>
      </w:r>
      <w:r>
        <w:rPr>
          <w:spacing w:val="1"/>
          <w:szCs w:val="22"/>
        </w:rPr>
        <w:t xml:space="preserve"> </w:t>
      </w:r>
      <w:r>
        <w:rPr>
          <w:spacing w:val="-2"/>
          <w:szCs w:val="22"/>
        </w:rPr>
        <w:t>II</w:t>
      </w:r>
      <w:r>
        <w:rPr>
          <w:szCs w:val="22"/>
        </w:rPr>
        <w:t>I</w:t>
      </w:r>
      <w:r>
        <w:rPr>
          <w:spacing w:val="-2"/>
          <w:szCs w:val="22"/>
        </w:rPr>
        <w:t xml:space="preserve"> </w:t>
      </w:r>
      <w:r>
        <w:rPr>
          <w:szCs w:val="22"/>
        </w:rPr>
        <w:t>şi</w:t>
      </w:r>
      <w:r>
        <w:rPr>
          <w:spacing w:val="1"/>
          <w:szCs w:val="22"/>
        </w:rPr>
        <w:t xml:space="preserve"> </w:t>
      </w:r>
      <w:r>
        <w:rPr>
          <w:szCs w:val="22"/>
        </w:rPr>
        <w:t>ob</w:t>
      </w:r>
      <w:r>
        <w:rPr>
          <w:spacing w:val="1"/>
          <w:szCs w:val="22"/>
        </w:rPr>
        <w:t>i</w:t>
      </w:r>
      <w:r>
        <w:rPr>
          <w:szCs w:val="22"/>
        </w:rPr>
        <w:t>e</w:t>
      </w:r>
      <w:r>
        <w:rPr>
          <w:spacing w:val="-3"/>
          <w:szCs w:val="22"/>
        </w:rPr>
        <w:t>c</w:t>
      </w:r>
      <w:r>
        <w:rPr>
          <w:spacing w:val="1"/>
          <w:szCs w:val="22"/>
        </w:rPr>
        <w:t>ti</w:t>
      </w:r>
      <w:r>
        <w:rPr>
          <w:spacing w:val="-3"/>
          <w:szCs w:val="22"/>
        </w:rPr>
        <w:t>v</w:t>
      </w:r>
      <w:r>
        <w:rPr>
          <w:szCs w:val="22"/>
        </w:rPr>
        <w:t>ul</w:t>
      </w:r>
      <w:r>
        <w:rPr>
          <w:spacing w:val="1"/>
          <w:szCs w:val="22"/>
        </w:rPr>
        <w:t xml:space="preserve"> </w:t>
      </w:r>
      <w:r>
        <w:rPr>
          <w:spacing w:val="-2"/>
          <w:szCs w:val="22"/>
        </w:rPr>
        <w:t>s</w:t>
      </w:r>
      <w:r>
        <w:rPr>
          <w:szCs w:val="22"/>
        </w:rPr>
        <w:t>ecu</w:t>
      </w:r>
      <w:r>
        <w:rPr>
          <w:spacing w:val="-3"/>
          <w:szCs w:val="22"/>
        </w:rPr>
        <w:t>n</w:t>
      </w:r>
      <w:r>
        <w:rPr>
          <w:szCs w:val="22"/>
        </w:rPr>
        <w:t>dar</w:t>
      </w:r>
      <w:r>
        <w:rPr>
          <w:spacing w:val="-2"/>
          <w:szCs w:val="22"/>
        </w:rPr>
        <w:t xml:space="preserve"> </w:t>
      </w:r>
      <w:r>
        <w:rPr>
          <w:szCs w:val="22"/>
        </w:rPr>
        <w:t>f</w:t>
      </w:r>
      <w:r>
        <w:rPr>
          <w:spacing w:val="-2"/>
          <w:szCs w:val="22"/>
        </w:rPr>
        <w:t>i</w:t>
      </w:r>
      <w:r>
        <w:rPr>
          <w:szCs w:val="22"/>
        </w:rPr>
        <w:t>nal</w:t>
      </w:r>
      <w:r>
        <w:rPr>
          <w:spacing w:val="-2"/>
          <w:szCs w:val="22"/>
        </w:rPr>
        <w:t xml:space="preserve"> </w:t>
      </w:r>
      <w:r>
        <w:rPr>
          <w:szCs w:val="22"/>
        </w:rPr>
        <w:t>al</w:t>
      </w:r>
      <w:r>
        <w:rPr>
          <w:spacing w:val="-2"/>
          <w:szCs w:val="22"/>
        </w:rPr>
        <w:t xml:space="preserve"> </w:t>
      </w:r>
      <w:r>
        <w:rPr>
          <w:szCs w:val="22"/>
        </w:rPr>
        <w:t>s</w:t>
      </w:r>
      <w:r>
        <w:rPr>
          <w:spacing w:val="-2"/>
          <w:szCs w:val="22"/>
        </w:rPr>
        <w:t>t</w:t>
      </w:r>
      <w:r>
        <w:rPr>
          <w:szCs w:val="22"/>
        </w:rPr>
        <w:t>ud</w:t>
      </w:r>
      <w:r>
        <w:rPr>
          <w:spacing w:val="1"/>
          <w:szCs w:val="22"/>
        </w:rPr>
        <w:t>i</w:t>
      </w:r>
      <w:r>
        <w:rPr>
          <w:spacing w:val="-3"/>
          <w:szCs w:val="22"/>
        </w:rPr>
        <w:t>u</w:t>
      </w:r>
      <w:r>
        <w:rPr>
          <w:spacing w:val="1"/>
          <w:szCs w:val="22"/>
        </w:rPr>
        <w:t>l</w:t>
      </w:r>
      <w:r>
        <w:rPr>
          <w:szCs w:val="22"/>
        </w:rPr>
        <w:t>ui</w:t>
      </w:r>
      <w:r>
        <w:rPr>
          <w:spacing w:val="1"/>
          <w:szCs w:val="22"/>
        </w:rPr>
        <w:t xml:space="preserve"> </w:t>
      </w:r>
      <w:r>
        <w:rPr>
          <w:spacing w:val="-1"/>
          <w:szCs w:val="22"/>
        </w:rPr>
        <w:t>P</w:t>
      </w:r>
      <w:r>
        <w:rPr>
          <w:szCs w:val="22"/>
        </w:rPr>
        <w:t>R</w:t>
      </w:r>
      <w:r>
        <w:rPr>
          <w:spacing w:val="-1"/>
          <w:szCs w:val="22"/>
        </w:rPr>
        <w:t xml:space="preserve"> </w:t>
      </w:r>
      <w:r>
        <w:rPr>
          <w:spacing w:val="-4"/>
          <w:szCs w:val="22"/>
        </w:rPr>
        <w:t>I</w:t>
      </w:r>
      <w:r>
        <w:rPr>
          <w:spacing w:val="1"/>
          <w:szCs w:val="22"/>
        </w:rPr>
        <w:t>V</w:t>
      </w:r>
      <w:r>
        <w:rPr>
          <w:szCs w:val="22"/>
        </w:rPr>
        <w:t>, a fost</w:t>
      </w:r>
      <w:r>
        <w:rPr>
          <w:spacing w:val="-2"/>
          <w:szCs w:val="22"/>
        </w:rPr>
        <w:t xml:space="preserve"> </w:t>
      </w:r>
      <w:r>
        <w:rPr>
          <w:szCs w:val="22"/>
        </w:rPr>
        <w:t>pr</w:t>
      </w:r>
      <w:r>
        <w:rPr>
          <w:spacing w:val="-3"/>
          <w:szCs w:val="22"/>
        </w:rPr>
        <w:t>o</w:t>
      </w:r>
      <w:r>
        <w:rPr>
          <w:szCs w:val="22"/>
        </w:rPr>
        <w:t>ce</w:t>
      </w:r>
      <w:r>
        <w:rPr>
          <w:spacing w:val="-3"/>
          <w:szCs w:val="22"/>
        </w:rPr>
        <w:t>n</w:t>
      </w:r>
      <w:r>
        <w:rPr>
          <w:spacing w:val="1"/>
          <w:szCs w:val="22"/>
        </w:rPr>
        <w:t>t</w:t>
      </w:r>
      <w:r>
        <w:rPr>
          <w:szCs w:val="22"/>
        </w:rPr>
        <w:t>ul</w:t>
      </w:r>
      <w:r>
        <w:rPr>
          <w:spacing w:val="-2"/>
          <w:szCs w:val="22"/>
        </w:rPr>
        <w:t xml:space="preserve"> </w:t>
      </w:r>
      <w:r>
        <w:rPr>
          <w:szCs w:val="22"/>
        </w:rPr>
        <w:t>de p</w:t>
      </w:r>
      <w:r>
        <w:rPr>
          <w:spacing w:val="-3"/>
          <w:szCs w:val="22"/>
        </w:rPr>
        <w:t>a</w:t>
      </w:r>
      <w:r>
        <w:rPr>
          <w:szCs w:val="22"/>
        </w:rPr>
        <w:t>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c</w:t>
      </w:r>
      <w:r>
        <w:rPr>
          <w:szCs w:val="22"/>
        </w:rPr>
        <w:t xml:space="preserve">are </w:t>
      </w:r>
      <w:r>
        <w:rPr>
          <w:spacing w:val="-3"/>
          <w:szCs w:val="22"/>
        </w:rPr>
        <w:t>a</w:t>
      </w:r>
      <w:r>
        <w:rPr>
          <w:szCs w:val="22"/>
        </w:rPr>
        <w:t>u p</w:t>
      </w:r>
      <w:r>
        <w:rPr>
          <w:spacing w:val="-2"/>
          <w:szCs w:val="22"/>
        </w:rPr>
        <w:t>r</w:t>
      </w:r>
      <w:r>
        <w:rPr>
          <w:szCs w:val="22"/>
        </w:rPr>
        <w:t>e</w:t>
      </w:r>
      <w:r>
        <w:rPr>
          <w:spacing w:val="-3"/>
          <w:szCs w:val="22"/>
        </w:rPr>
        <w:t>z</w:t>
      </w:r>
      <w:r>
        <w:rPr>
          <w:szCs w:val="22"/>
        </w:rPr>
        <w:t>en</w:t>
      </w:r>
      <w:r>
        <w:rPr>
          <w:spacing w:val="1"/>
          <w:szCs w:val="22"/>
        </w:rPr>
        <w:t>t</w:t>
      </w:r>
      <w:r>
        <w:rPr>
          <w:spacing w:val="-3"/>
          <w:szCs w:val="22"/>
        </w:rPr>
        <w:t>a</w:t>
      </w:r>
      <w:r>
        <w:rPr>
          <w:szCs w:val="22"/>
        </w:rPr>
        <w:t>t</w:t>
      </w:r>
      <w:r>
        <w:rPr>
          <w:spacing w:val="1"/>
          <w:szCs w:val="22"/>
        </w:rPr>
        <w:t xml:space="preserve"> </w:t>
      </w:r>
      <w:r>
        <w:rPr>
          <w:szCs w:val="22"/>
        </w:rPr>
        <w:t>un</w:t>
      </w:r>
      <w:r>
        <w:rPr>
          <w:spacing w:val="-3"/>
          <w:szCs w:val="22"/>
        </w:rPr>
        <w:t xml:space="preserve"> </w:t>
      </w:r>
      <w:r>
        <w:rPr>
          <w:szCs w:val="22"/>
        </w:rPr>
        <w:t>ră</w:t>
      </w:r>
      <w:r>
        <w:rPr>
          <w:spacing w:val="-2"/>
          <w:szCs w:val="22"/>
        </w:rPr>
        <w:t>s</w:t>
      </w:r>
      <w:r>
        <w:rPr>
          <w:szCs w:val="22"/>
        </w:rPr>
        <w:t>puns</w:t>
      </w:r>
      <w:r>
        <w:rPr>
          <w:spacing w:val="-2"/>
          <w:szCs w:val="22"/>
        </w:rPr>
        <w:t xml:space="preserve"> </w:t>
      </w:r>
      <w:r>
        <w:rPr>
          <w:spacing w:val="-1"/>
          <w:szCs w:val="22"/>
        </w:rPr>
        <w:t>AC</w:t>
      </w:r>
      <w:r>
        <w:rPr>
          <w:szCs w:val="22"/>
        </w:rPr>
        <w:t>R</w:t>
      </w:r>
      <w:r>
        <w:rPr>
          <w:spacing w:val="-1"/>
          <w:szCs w:val="22"/>
        </w:rPr>
        <w:t xml:space="preserve"> </w:t>
      </w:r>
      <w:r>
        <w:rPr>
          <w:szCs w:val="22"/>
        </w:rPr>
        <w:t>20</w:t>
      </w:r>
      <w:r>
        <w:rPr>
          <w:spacing w:val="-2"/>
          <w:szCs w:val="22"/>
        </w:rPr>
        <w:t xml:space="preserve"> </w:t>
      </w:r>
      <w:r>
        <w:rPr>
          <w:spacing w:val="1"/>
          <w:szCs w:val="22"/>
        </w:rPr>
        <w:t>î</w:t>
      </w:r>
      <w:r>
        <w:rPr>
          <w:szCs w:val="22"/>
        </w:rPr>
        <w:t>n</w:t>
      </w:r>
      <w:r>
        <w:rPr>
          <w:spacing w:val="-3"/>
          <w:szCs w:val="22"/>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24</w:t>
      </w:r>
      <w:r>
        <w:rPr>
          <w:spacing w:val="-3"/>
          <w:szCs w:val="22"/>
        </w:rPr>
        <w:t xml:space="preserve"> </w:t>
      </w:r>
      <w:r>
        <w:rPr>
          <w:szCs w:val="22"/>
        </w:rPr>
        <w:t xml:space="preserve">sau </w:t>
      </w:r>
      <w:r>
        <w:rPr>
          <w:spacing w:val="-3"/>
          <w:szCs w:val="22"/>
        </w:rPr>
        <w:t>2</w:t>
      </w:r>
      <w:r>
        <w:rPr>
          <w:szCs w:val="22"/>
        </w:rPr>
        <w:t xml:space="preserve">6. </w:t>
      </w:r>
      <w:r>
        <w:rPr>
          <w:spacing w:val="-1"/>
          <w:szCs w:val="22"/>
        </w:rPr>
        <w:t>O</w:t>
      </w:r>
      <w:r>
        <w:rPr>
          <w:szCs w:val="22"/>
        </w:rPr>
        <w:t>b</w:t>
      </w:r>
      <w:r>
        <w:rPr>
          <w:spacing w:val="1"/>
          <w:szCs w:val="22"/>
        </w:rPr>
        <w:t>i</w:t>
      </w:r>
      <w:r>
        <w:rPr>
          <w:spacing w:val="-3"/>
          <w:szCs w:val="22"/>
        </w:rPr>
        <w:t>e</w:t>
      </w:r>
      <w:r>
        <w:rPr>
          <w:szCs w:val="22"/>
        </w:rPr>
        <w:t>c</w:t>
      </w:r>
      <w:r>
        <w:rPr>
          <w:spacing w:val="1"/>
          <w:szCs w:val="22"/>
        </w:rPr>
        <w:t>ti</w:t>
      </w:r>
      <w:r>
        <w:rPr>
          <w:spacing w:val="-3"/>
          <w:szCs w:val="22"/>
        </w:rPr>
        <w:t>v</w:t>
      </w:r>
      <w:r>
        <w:rPr>
          <w:szCs w:val="22"/>
        </w:rPr>
        <w:t>ul</w:t>
      </w:r>
      <w:r>
        <w:rPr>
          <w:spacing w:val="1"/>
          <w:szCs w:val="22"/>
        </w:rPr>
        <w:t xml:space="preserve"> </w:t>
      </w:r>
      <w:r>
        <w:rPr>
          <w:spacing w:val="-3"/>
          <w:szCs w:val="22"/>
        </w:rPr>
        <w:t>p</w:t>
      </w:r>
      <w:r>
        <w:rPr>
          <w:szCs w:val="22"/>
        </w:rPr>
        <w:t>r</w:t>
      </w:r>
      <w:r>
        <w:rPr>
          <w:spacing w:val="-2"/>
          <w:szCs w:val="22"/>
        </w:rPr>
        <w:t>i</w:t>
      </w:r>
      <w:r>
        <w:rPr>
          <w:szCs w:val="22"/>
        </w:rPr>
        <w:t>nc</w:t>
      </w:r>
      <w:r>
        <w:rPr>
          <w:spacing w:val="-2"/>
          <w:szCs w:val="22"/>
        </w:rPr>
        <w:t>i</w:t>
      </w:r>
      <w:r>
        <w:rPr>
          <w:szCs w:val="22"/>
        </w:rPr>
        <w:t>pal</w:t>
      </w:r>
      <w:r>
        <w:rPr>
          <w:spacing w:val="-2"/>
          <w:szCs w:val="22"/>
        </w:rPr>
        <w:t xml:space="preserve"> f</w:t>
      </w:r>
      <w:r>
        <w:rPr>
          <w:spacing w:val="1"/>
          <w:szCs w:val="22"/>
        </w:rPr>
        <w:t>i</w:t>
      </w:r>
      <w:r>
        <w:rPr>
          <w:szCs w:val="22"/>
        </w:rPr>
        <w:t>n</w:t>
      </w:r>
      <w:r>
        <w:rPr>
          <w:spacing w:val="-3"/>
          <w:szCs w:val="22"/>
        </w:rPr>
        <w:t>a</w:t>
      </w:r>
      <w:r>
        <w:rPr>
          <w:szCs w:val="22"/>
        </w:rPr>
        <w:t>l al</w:t>
      </w:r>
      <w:r>
        <w:rPr>
          <w:spacing w:val="1"/>
          <w:szCs w:val="22"/>
        </w:rPr>
        <w:t xml:space="preserve"> </w:t>
      </w:r>
      <w:r>
        <w:rPr>
          <w:spacing w:val="-2"/>
          <w:szCs w:val="22"/>
        </w:rPr>
        <w:t>s</w:t>
      </w:r>
      <w:r>
        <w:rPr>
          <w:spacing w:val="1"/>
          <w:szCs w:val="22"/>
        </w:rPr>
        <w:t>t</w:t>
      </w:r>
      <w:r>
        <w:rPr>
          <w:szCs w:val="22"/>
        </w:rPr>
        <w:t>u</w:t>
      </w:r>
      <w:r>
        <w:rPr>
          <w:spacing w:val="-3"/>
          <w:szCs w:val="22"/>
        </w:rPr>
        <w:t>d</w:t>
      </w:r>
      <w:r>
        <w:rPr>
          <w:spacing w:val="1"/>
          <w:szCs w:val="22"/>
        </w:rPr>
        <w:t>i</w:t>
      </w:r>
      <w:r>
        <w:rPr>
          <w:szCs w:val="22"/>
        </w:rPr>
        <w:t>u</w:t>
      </w:r>
      <w:r>
        <w:rPr>
          <w:spacing w:val="1"/>
          <w:szCs w:val="22"/>
        </w:rPr>
        <w:t>l</w:t>
      </w:r>
      <w:r>
        <w:rPr>
          <w:spacing w:val="-3"/>
          <w:szCs w:val="22"/>
        </w:rPr>
        <w:t>u</w:t>
      </w:r>
      <w:r>
        <w:rPr>
          <w:szCs w:val="22"/>
        </w:rPr>
        <w:t>i</w:t>
      </w:r>
      <w:r>
        <w:rPr>
          <w:spacing w:val="1"/>
          <w:szCs w:val="22"/>
        </w:rPr>
        <w:t xml:space="preserve"> </w:t>
      </w:r>
      <w:r>
        <w:rPr>
          <w:spacing w:val="-1"/>
          <w:szCs w:val="22"/>
        </w:rPr>
        <w:t>P</w:t>
      </w:r>
      <w:r>
        <w:rPr>
          <w:szCs w:val="22"/>
        </w:rPr>
        <w:t>R</w:t>
      </w:r>
      <w:r>
        <w:rPr>
          <w:spacing w:val="-4"/>
          <w:szCs w:val="22"/>
        </w:rPr>
        <w:t xml:space="preserve"> </w:t>
      </w:r>
      <w:r>
        <w:rPr>
          <w:szCs w:val="22"/>
        </w:rPr>
        <w:t>V</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3"/>
          <w:szCs w:val="22"/>
        </w:rPr>
        <w:t>p</w:t>
      </w:r>
      <w:r>
        <w:rPr>
          <w:szCs w:val="22"/>
        </w:rPr>
        <w:t>r</w:t>
      </w:r>
      <w:r>
        <w:rPr>
          <w:spacing w:val="-3"/>
          <w:szCs w:val="22"/>
        </w:rPr>
        <w:t>o</w:t>
      </w:r>
      <w:r>
        <w:rPr>
          <w:szCs w:val="22"/>
        </w:rPr>
        <w:t>cen</w:t>
      </w:r>
      <w:r>
        <w:rPr>
          <w:spacing w:val="1"/>
          <w:szCs w:val="22"/>
        </w:rPr>
        <w:t>t</w:t>
      </w:r>
      <w:r>
        <w:rPr>
          <w:spacing w:val="-3"/>
          <w:szCs w:val="22"/>
        </w:rPr>
        <w:t>u</w:t>
      </w:r>
      <w:r>
        <w:rPr>
          <w:szCs w:val="22"/>
        </w:rPr>
        <w:t>l</w:t>
      </w:r>
      <w:r>
        <w:rPr>
          <w:spacing w:val="1"/>
          <w:szCs w:val="22"/>
        </w:rPr>
        <w:t xml:space="preserve"> </w:t>
      </w:r>
      <w:r>
        <w:rPr>
          <w:spacing w:val="-3"/>
          <w:szCs w:val="22"/>
        </w:rPr>
        <w:t>d</w:t>
      </w:r>
      <w:r>
        <w:rPr>
          <w:szCs w:val="22"/>
        </w:rPr>
        <w:t>e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c</w:t>
      </w:r>
      <w:r>
        <w:rPr>
          <w:spacing w:val="-3"/>
          <w:szCs w:val="22"/>
        </w:rPr>
        <w:t>a</w:t>
      </w:r>
      <w:r>
        <w:rPr>
          <w:szCs w:val="22"/>
        </w:rPr>
        <w:t xml:space="preserve">re </w:t>
      </w:r>
      <w:r>
        <w:rPr>
          <w:spacing w:val="-3"/>
          <w:szCs w:val="22"/>
        </w:rPr>
        <w:t>a</w:t>
      </w:r>
      <w:r>
        <w:rPr>
          <w:szCs w:val="22"/>
        </w:rPr>
        <w:t xml:space="preserve">u </w:t>
      </w:r>
      <w:r>
        <w:rPr>
          <w:spacing w:val="-3"/>
          <w:szCs w:val="22"/>
        </w:rPr>
        <w:t>o</w:t>
      </w:r>
      <w:r>
        <w:rPr>
          <w:szCs w:val="22"/>
        </w:rPr>
        <w:t>b</w:t>
      </w:r>
      <w:r>
        <w:rPr>
          <w:spacing w:val="1"/>
          <w:szCs w:val="22"/>
        </w:rPr>
        <w:t>ţi</w:t>
      </w:r>
      <w:r>
        <w:rPr>
          <w:spacing w:val="-3"/>
          <w:szCs w:val="22"/>
        </w:rPr>
        <w:t>n</w:t>
      </w:r>
      <w:r>
        <w:rPr>
          <w:szCs w:val="22"/>
        </w:rPr>
        <w:t>ut</w:t>
      </w:r>
      <w:r>
        <w:rPr>
          <w:spacing w:val="1"/>
          <w:szCs w:val="22"/>
        </w:rPr>
        <w:t xml:space="preserve"> </w:t>
      </w:r>
      <w:r>
        <w:rPr>
          <w:szCs w:val="22"/>
        </w:rPr>
        <w:t>un</w:t>
      </w:r>
      <w:r>
        <w:rPr>
          <w:spacing w:val="-3"/>
          <w:szCs w:val="22"/>
        </w:rPr>
        <w:t xml:space="preserve"> </w:t>
      </w:r>
      <w:r>
        <w:rPr>
          <w:szCs w:val="22"/>
        </w:rPr>
        <w:t>r</w:t>
      </w:r>
      <w:r>
        <w:rPr>
          <w:spacing w:val="-3"/>
          <w:szCs w:val="22"/>
        </w:rPr>
        <w:t>ă</w:t>
      </w:r>
      <w:r>
        <w:rPr>
          <w:szCs w:val="22"/>
        </w:rPr>
        <w:t>spuns</w:t>
      </w:r>
      <w:r>
        <w:rPr>
          <w:spacing w:val="-2"/>
          <w:szCs w:val="22"/>
        </w:rPr>
        <w:t xml:space="preserve"> </w:t>
      </w:r>
      <w:r>
        <w:rPr>
          <w:spacing w:val="-1"/>
          <w:szCs w:val="22"/>
        </w:rPr>
        <w:t>AC</w:t>
      </w:r>
      <w:r>
        <w:rPr>
          <w:szCs w:val="22"/>
        </w:rPr>
        <w:t>R</w:t>
      </w:r>
      <w:r>
        <w:rPr>
          <w:spacing w:val="-1"/>
          <w:szCs w:val="22"/>
        </w:rPr>
        <w:t xml:space="preserve"> </w:t>
      </w:r>
      <w:r>
        <w:rPr>
          <w:szCs w:val="22"/>
        </w:rPr>
        <w:t xml:space="preserve">50 </w:t>
      </w:r>
      <w:r>
        <w:rPr>
          <w:spacing w:val="-2"/>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52. </w:t>
      </w:r>
      <w:r>
        <w:rPr>
          <w:spacing w:val="-1"/>
          <w:szCs w:val="22"/>
        </w:rPr>
        <w:t>S</w:t>
      </w:r>
      <w:r>
        <w:rPr>
          <w:spacing w:val="1"/>
          <w:szCs w:val="22"/>
        </w:rPr>
        <w:t>t</w:t>
      </w:r>
      <w:r>
        <w:rPr>
          <w:szCs w:val="22"/>
        </w:rPr>
        <w:t>ud</w:t>
      </w:r>
      <w:r>
        <w:rPr>
          <w:spacing w:val="-2"/>
          <w:szCs w:val="22"/>
        </w:rPr>
        <w:t>i</w:t>
      </w:r>
      <w:r>
        <w:rPr>
          <w:spacing w:val="1"/>
          <w:szCs w:val="22"/>
        </w:rPr>
        <w:t>i</w:t>
      </w:r>
      <w:r>
        <w:rPr>
          <w:spacing w:val="-2"/>
          <w:szCs w:val="22"/>
        </w:rPr>
        <w:t>l</w:t>
      </w:r>
      <w:r>
        <w:rPr>
          <w:szCs w:val="22"/>
        </w:rPr>
        <w:t xml:space="preserve">e </w:t>
      </w:r>
      <w:r>
        <w:rPr>
          <w:spacing w:val="-1"/>
          <w:szCs w:val="22"/>
        </w:rPr>
        <w:t>P</w:t>
      </w:r>
      <w:r>
        <w:rPr>
          <w:szCs w:val="22"/>
        </w:rPr>
        <w:t>R</w:t>
      </w:r>
      <w:r>
        <w:rPr>
          <w:spacing w:val="-1"/>
          <w:szCs w:val="22"/>
        </w:rPr>
        <w:t xml:space="preserve"> </w:t>
      </w:r>
      <w:r>
        <w:rPr>
          <w:spacing w:val="-2"/>
          <w:szCs w:val="22"/>
        </w:rPr>
        <w:t>II</w:t>
      </w:r>
      <w:r>
        <w:rPr>
          <w:szCs w:val="22"/>
        </w:rPr>
        <w:t>I</w:t>
      </w:r>
      <w:r>
        <w:rPr>
          <w:spacing w:val="-2"/>
          <w:szCs w:val="22"/>
        </w:rPr>
        <w:t xml:space="preserve"> </w:t>
      </w:r>
      <w:r>
        <w:rPr>
          <w:szCs w:val="22"/>
        </w:rPr>
        <w:t>şi</w:t>
      </w:r>
      <w:r>
        <w:rPr>
          <w:spacing w:val="1"/>
          <w:szCs w:val="22"/>
        </w:rPr>
        <w:t xml:space="preserve"> </w:t>
      </w:r>
      <w:r>
        <w:rPr>
          <w:szCs w:val="22"/>
        </w:rPr>
        <w:t>V</w:t>
      </w:r>
      <w:r>
        <w:rPr>
          <w:spacing w:val="1"/>
          <w:szCs w:val="22"/>
        </w:rPr>
        <w:t xml:space="preserve"> </w:t>
      </w:r>
      <w:r>
        <w:rPr>
          <w:spacing w:val="-3"/>
          <w:szCs w:val="22"/>
        </w:rPr>
        <w:t>a</w:t>
      </w:r>
      <w:r>
        <w:rPr>
          <w:szCs w:val="22"/>
        </w:rPr>
        <w:t>u a</w:t>
      </w:r>
      <w:r>
        <w:rPr>
          <w:spacing w:val="-3"/>
          <w:szCs w:val="22"/>
        </w:rPr>
        <w:t>v</w:t>
      </w:r>
      <w:r>
        <w:rPr>
          <w:szCs w:val="22"/>
        </w:rPr>
        <w:t>ut</w:t>
      </w:r>
      <w:r>
        <w:rPr>
          <w:spacing w:val="-2"/>
          <w:szCs w:val="22"/>
        </w:rPr>
        <w:t xml:space="preserve"> </w:t>
      </w:r>
      <w:r>
        <w:rPr>
          <w:szCs w:val="22"/>
        </w:rPr>
        <w:t>un ob</w:t>
      </w:r>
      <w:r>
        <w:rPr>
          <w:spacing w:val="-2"/>
          <w:szCs w:val="22"/>
        </w:rPr>
        <w:t>i</w:t>
      </w:r>
      <w:r>
        <w:rPr>
          <w:szCs w:val="22"/>
        </w:rPr>
        <w:t>ec</w:t>
      </w:r>
      <w:r>
        <w:rPr>
          <w:spacing w:val="-2"/>
          <w:szCs w:val="22"/>
        </w:rPr>
        <w:t>t</w:t>
      </w:r>
      <w:r>
        <w:rPr>
          <w:spacing w:val="1"/>
          <w:szCs w:val="22"/>
        </w:rPr>
        <w:t>i</w:t>
      </w:r>
      <w:r>
        <w:rPr>
          <w:szCs w:val="22"/>
        </w:rPr>
        <w:t>v</w:t>
      </w:r>
      <w:r>
        <w:rPr>
          <w:spacing w:val="-3"/>
          <w:szCs w:val="22"/>
        </w:rPr>
        <w:t xml:space="preserve"> </w:t>
      </w:r>
      <w:r>
        <w:rPr>
          <w:szCs w:val="22"/>
        </w:rPr>
        <w:t>f</w:t>
      </w:r>
      <w:r>
        <w:rPr>
          <w:spacing w:val="1"/>
          <w:szCs w:val="22"/>
        </w:rPr>
        <w:t>i</w:t>
      </w:r>
      <w:r>
        <w:rPr>
          <w:spacing w:val="-3"/>
          <w:szCs w:val="22"/>
        </w:rPr>
        <w:t>n</w:t>
      </w:r>
      <w:r>
        <w:rPr>
          <w:szCs w:val="22"/>
        </w:rPr>
        <w:t>al</w:t>
      </w:r>
      <w:r>
        <w:rPr>
          <w:spacing w:val="-2"/>
          <w:szCs w:val="22"/>
        </w:rPr>
        <w:t xml:space="preserve"> </w:t>
      </w:r>
      <w:r>
        <w:rPr>
          <w:szCs w:val="22"/>
        </w:rPr>
        <w:t>sup</w:t>
      </w:r>
      <w:r>
        <w:rPr>
          <w:spacing w:val="-2"/>
          <w:szCs w:val="22"/>
        </w:rPr>
        <w:t>l</w:t>
      </w:r>
      <w:r>
        <w:rPr>
          <w:spacing w:val="1"/>
          <w:szCs w:val="22"/>
        </w:rPr>
        <w:t>i</w:t>
      </w:r>
      <w:r>
        <w:rPr>
          <w:spacing w:val="-4"/>
          <w:szCs w:val="22"/>
        </w:rPr>
        <w:t>m</w:t>
      </w:r>
      <w:r>
        <w:rPr>
          <w:szCs w:val="22"/>
        </w:rPr>
        <w:t>en</w:t>
      </w:r>
      <w:r>
        <w:rPr>
          <w:spacing w:val="-2"/>
          <w:szCs w:val="22"/>
        </w:rPr>
        <w:t>t</w:t>
      </w:r>
      <w:r>
        <w:rPr>
          <w:szCs w:val="22"/>
        </w:rPr>
        <w:t>ar</w:t>
      </w:r>
      <w:r>
        <w:rPr>
          <w:spacing w:val="1"/>
          <w:szCs w:val="22"/>
        </w:rPr>
        <w:t xml:space="preserve"> </w:t>
      </w:r>
      <w:r>
        <w:rPr>
          <w:spacing w:val="-2"/>
          <w:szCs w:val="22"/>
        </w:rPr>
        <w:t>l</w:t>
      </w:r>
      <w:r>
        <w:rPr>
          <w:szCs w:val="22"/>
        </w:rPr>
        <w:t>a 52</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zCs w:val="22"/>
        </w:rPr>
        <w:t>şi</w:t>
      </w:r>
      <w:r>
        <w:rPr>
          <w:spacing w:val="-2"/>
          <w:szCs w:val="22"/>
        </w:rPr>
        <w:t xml:space="preserve"> </w:t>
      </w:r>
      <w:r>
        <w:rPr>
          <w:szCs w:val="22"/>
        </w:rPr>
        <w:t>anu</w:t>
      </w:r>
      <w:r>
        <w:rPr>
          <w:spacing w:val="-4"/>
          <w:szCs w:val="22"/>
        </w:rPr>
        <w:t>m</w:t>
      </w:r>
      <w:r>
        <w:rPr>
          <w:szCs w:val="22"/>
        </w:rPr>
        <w:t xml:space="preserve">e </w:t>
      </w:r>
      <w:r>
        <w:rPr>
          <w:spacing w:val="1"/>
          <w:szCs w:val="22"/>
        </w:rPr>
        <w:lastRenderedPageBreak/>
        <w:t>î</w:t>
      </w:r>
      <w:r>
        <w:rPr>
          <w:szCs w:val="22"/>
        </w:rPr>
        <w:t>n</w:t>
      </w:r>
      <w:r>
        <w:rPr>
          <w:spacing w:val="-2"/>
          <w:szCs w:val="22"/>
        </w:rPr>
        <w:t>t</w:t>
      </w:r>
      <w:r>
        <w:rPr>
          <w:szCs w:val="22"/>
        </w:rPr>
        <w:t>âr</w:t>
      </w:r>
      <w:r>
        <w:rPr>
          <w:spacing w:val="-3"/>
          <w:szCs w:val="22"/>
        </w:rPr>
        <w:t>z</w:t>
      </w:r>
      <w:r>
        <w:rPr>
          <w:spacing w:val="1"/>
          <w:szCs w:val="22"/>
        </w:rPr>
        <w:t>i</w:t>
      </w:r>
      <w:r>
        <w:rPr>
          <w:spacing w:val="-3"/>
          <w:szCs w:val="22"/>
        </w:rPr>
        <w:t>e</w:t>
      </w:r>
      <w:r>
        <w:rPr>
          <w:szCs w:val="22"/>
        </w:rPr>
        <w:t>rea pro</w:t>
      </w:r>
      <w:r>
        <w:rPr>
          <w:spacing w:val="-3"/>
          <w:szCs w:val="22"/>
        </w:rPr>
        <w:t>g</w:t>
      </w:r>
      <w:r>
        <w:rPr>
          <w:szCs w:val="22"/>
        </w:rPr>
        <w:t>re</w:t>
      </w:r>
      <w:r>
        <w:rPr>
          <w:spacing w:val="-2"/>
          <w:szCs w:val="22"/>
        </w:rPr>
        <w:t>s</w:t>
      </w:r>
      <w:r>
        <w:rPr>
          <w:spacing w:val="1"/>
          <w:szCs w:val="22"/>
        </w:rPr>
        <w:t>i</w:t>
      </w:r>
      <w:r>
        <w:rPr>
          <w:szCs w:val="22"/>
        </w:rPr>
        <w:t>ei</w:t>
      </w:r>
      <w:r>
        <w:rPr>
          <w:spacing w:val="-2"/>
          <w:szCs w:val="22"/>
        </w:rPr>
        <w:t xml:space="preserve"> </w:t>
      </w:r>
      <w:r>
        <w:rPr>
          <w:szCs w:val="22"/>
        </w:rPr>
        <w:t>bo</w:t>
      </w:r>
      <w:r>
        <w:rPr>
          <w:spacing w:val="-2"/>
          <w:szCs w:val="22"/>
        </w:rPr>
        <w:t>l</w:t>
      </w:r>
      <w:r>
        <w:rPr>
          <w:spacing w:val="1"/>
          <w:szCs w:val="22"/>
        </w:rPr>
        <w:t>i</w:t>
      </w:r>
      <w:r>
        <w:rPr>
          <w:szCs w:val="22"/>
        </w:rPr>
        <w:t>i</w:t>
      </w:r>
      <w:r>
        <w:rPr>
          <w:spacing w:val="-2"/>
          <w:szCs w:val="22"/>
        </w:rPr>
        <w:t xml:space="preserve"> </w:t>
      </w:r>
      <w:r>
        <w:rPr>
          <w:szCs w:val="22"/>
        </w:rPr>
        <w:t>(e</w:t>
      </w:r>
      <w:r>
        <w:rPr>
          <w:spacing w:val="-3"/>
          <w:szCs w:val="22"/>
        </w:rPr>
        <w:t>v</w:t>
      </w:r>
      <w:r>
        <w:rPr>
          <w:spacing w:val="1"/>
          <w:szCs w:val="22"/>
        </w:rPr>
        <w:t>i</w:t>
      </w:r>
      <w:r>
        <w:rPr>
          <w:szCs w:val="22"/>
        </w:rPr>
        <w:t>d</w:t>
      </w:r>
      <w:r>
        <w:rPr>
          <w:spacing w:val="-3"/>
          <w:szCs w:val="22"/>
        </w:rPr>
        <w:t>e</w:t>
      </w:r>
      <w:r>
        <w:rPr>
          <w:szCs w:val="22"/>
        </w:rPr>
        <w:t>n</w:t>
      </w:r>
      <w:r>
        <w:rPr>
          <w:spacing w:val="-2"/>
          <w:szCs w:val="22"/>
        </w:rPr>
        <w:t>ţ</w:t>
      </w:r>
      <w:r>
        <w:rPr>
          <w:spacing w:val="1"/>
          <w:szCs w:val="22"/>
        </w:rPr>
        <w:t>i</w:t>
      </w:r>
      <w:r>
        <w:rPr>
          <w:spacing w:val="-3"/>
          <w:szCs w:val="22"/>
        </w:rPr>
        <w:t>a</w:t>
      </w:r>
      <w:r>
        <w:rPr>
          <w:spacing w:val="1"/>
          <w:szCs w:val="22"/>
        </w:rPr>
        <w:t>t</w:t>
      </w:r>
      <w:r>
        <w:rPr>
          <w:szCs w:val="22"/>
        </w:rPr>
        <w:t>ă</w:t>
      </w:r>
      <w:r>
        <w:rPr>
          <w:spacing w:val="-2"/>
          <w:szCs w:val="22"/>
        </w:rPr>
        <w:t xml:space="preserve"> </w:t>
      </w:r>
      <w:r>
        <w:rPr>
          <w:szCs w:val="22"/>
        </w:rPr>
        <w:t xml:space="preserve">cu </w:t>
      </w:r>
      <w:r>
        <w:rPr>
          <w:spacing w:val="-3"/>
          <w:szCs w:val="22"/>
        </w:rPr>
        <w:t>a</w:t>
      </w:r>
      <w:r>
        <w:rPr>
          <w:spacing w:val="1"/>
          <w:szCs w:val="22"/>
        </w:rPr>
        <w:t>j</w:t>
      </w:r>
      <w:r>
        <w:rPr>
          <w:szCs w:val="22"/>
        </w:rPr>
        <w:t>u</w:t>
      </w:r>
      <w:r>
        <w:rPr>
          <w:spacing w:val="1"/>
          <w:szCs w:val="22"/>
        </w:rPr>
        <w:t>t</w:t>
      </w:r>
      <w:r>
        <w:rPr>
          <w:spacing w:val="-3"/>
          <w:szCs w:val="22"/>
        </w:rPr>
        <w:t>o</w:t>
      </w:r>
      <w:r>
        <w:rPr>
          <w:szCs w:val="22"/>
        </w:rPr>
        <w:t>rul</w:t>
      </w:r>
      <w:r>
        <w:rPr>
          <w:spacing w:val="-2"/>
          <w:szCs w:val="22"/>
        </w:rPr>
        <w:t xml:space="preserve"> </w:t>
      </w:r>
      <w:r>
        <w:rPr>
          <w:szCs w:val="22"/>
        </w:rPr>
        <w:t>p</w:t>
      </w:r>
      <w:r>
        <w:rPr>
          <w:spacing w:val="-3"/>
          <w:szCs w:val="22"/>
        </w:rPr>
        <w:t>a</w:t>
      </w:r>
      <w:r>
        <w:rPr>
          <w:szCs w:val="22"/>
        </w:rPr>
        <w:t>ra</w:t>
      </w:r>
      <w:r>
        <w:rPr>
          <w:spacing w:val="-4"/>
          <w:szCs w:val="22"/>
        </w:rPr>
        <w:t>m</w:t>
      </w:r>
      <w:r>
        <w:rPr>
          <w:szCs w:val="22"/>
        </w:rPr>
        <w:t>e</w:t>
      </w:r>
      <w:r>
        <w:rPr>
          <w:spacing w:val="1"/>
          <w:szCs w:val="22"/>
        </w:rPr>
        <w:t>t</w:t>
      </w:r>
      <w:r>
        <w:rPr>
          <w:szCs w:val="22"/>
        </w:rPr>
        <w:t>r</w:t>
      </w:r>
      <w:r>
        <w:rPr>
          <w:spacing w:val="-2"/>
          <w:szCs w:val="22"/>
        </w:rPr>
        <w:t>i</w:t>
      </w:r>
      <w:r>
        <w:rPr>
          <w:spacing w:val="1"/>
          <w:szCs w:val="22"/>
        </w:rPr>
        <w:t>l</w:t>
      </w:r>
      <w:r>
        <w:rPr>
          <w:spacing w:val="-3"/>
          <w:szCs w:val="22"/>
        </w:rPr>
        <w:t>o</w:t>
      </w:r>
      <w:r>
        <w:rPr>
          <w:szCs w:val="22"/>
        </w:rPr>
        <w:t>r</w:t>
      </w:r>
      <w:r>
        <w:rPr>
          <w:spacing w:val="1"/>
          <w:szCs w:val="22"/>
        </w:rPr>
        <w:t xml:space="preserve"> </w:t>
      </w:r>
      <w:r>
        <w:rPr>
          <w:szCs w:val="22"/>
        </w:rPr>
        <w:t>e</w:t>
      </w:r>
      <w:r>
        <w:rPr>
          <w:spacing w:val="-3"/>
          <w:szCs w:val="22"/>
        </w:rPr>
        <w:t>x</w:t>
      </w:r>
      <w:r>
        <w:rPr>
          <w:szCs w:val="22"/>
        </w:rPr>
        <w:t>a</w:t>
      </w:r>
      <w:r>
        <w:rPr>
          <w:spacing w:val="-4"/>
          <w:szCs w:val="22"/>
        </w:rPr>
        <w:t>m</w:t>
      </w:r>
      <w:r>
        <w:rPr>
          <w:spacing w:val="1"/>
          <w:szCs w:val="22"/>
        </w:rPr>
        <w:t>i</w:t>
      </w:r>
      <w:r>
        <w:rPr>
          <w:szCs w:val="22"/>
        </w:rPr>
        <w:t>năr</w:t>
      </w:r>
      <w:r>
        <w:rPr>
          <w:spacing w:val="-2"/>
          <w:szCs w:val="22"/>
        </w:rPr>
        <w:t>i</w:t>
      </w:r>
      <w:r>
        <w:rPr>
          <w:szCs w:val="22"/>
        </w:rPr>
        <w:t>i</w:t>
      </w:r>
      <w:r>
        <w:rPr>
          <w:spacing w:val="1"/>
          <w:szCs w:val="22"/>
        </w:rPr>
        <w:t xml:space="preserve"> </w:t>
      </w:r>
      <w:r>
        <w:rPr>
          <w:szCs w:val="22"/>
        </w:rPr>
        <w:t>r</w:t>
      </w:r>
      <w:r>
        <w:rPr>
          <w:spacing w:val="-3"/>
          <w:szCs w:val="22"/>
        </w:rPr>
        <w:t>a</w:t>
      </w:r>
      <w:r>
        <w:rPr>
          <w:szCs w:val="22"/>
        </w:rPr>
        <w:t>d</w:t>
      </w:r>
      <w:r>
        <w:rPr>
          <w:spacing w:val="1"/>
          <w:szCs w:val="22"/>
        </w:rPr>
        <w:t>i</w:t>
      </w:r>
      <w:r>
        <w:rPr>
          <w:spacing w:val="-3"/>
          <w:szCs w:val="22"/>
        </w:rPr>
        <w:t>o</w:t>
      </w:r>
      <w:r>
        <w:rPr>
          <w:spacing w:val="1"/>
          <w:szCs w:val="22"/>
        </w:rPr>
        <w:t>l</w:t>
      </w:r>
      <w:r>
        <w:rPr>
          <w:szCs w:val="22"/>
        </w:rPr>
        <w:t>o</w:t>
      </w:r>
      <w:r>
        <w:rPr>
          <w:spacing w:val="-3"/>
          <w:szCs w:val="22"/>
        </w:rPr>
        <w:t>g</w:t>
      </w:r>
      <w:r>
        <w:rPr>
          <w:spacing w:val="1"/>
          <w:szCs w:val="22"/>
        </w:rPr>
        <w:t>i</w:t>
      </w:r>
      <w:r>
        <w:rPr>
          <w:szCs w:val="22"/>
        </w:rPr>
        <w:t>c</w:t>
      </w:r>
      <w:r>
        <w:rPr>
          <w:spacing w:val="-3"/>
          <w:szCs w:val="22"/>
        </w:rPr>
        <w:t>e</w:t>
      </w:r>
      <w:r>
        <w:rPr>
          <w:szCs w:val="22"/>
        </w:rPr>
        <w:t xml:space="preserve">). </w:t>
      </w:r>
      <w:r>
        <w:rPr>
          <w:spacing w:val="-1"/>
          <w:szCs w:val="22"/>
        </w:rPr>
        <w:t>S</w:t>
      </w:r>
      <w:r>
        <w:rPr>
          <w:spacing w:val="-2"/>
          <w:szCs w:val="22"/>
        </w:rPr>
        <w:t>t</w:t>
      </w:r>
      <w:r>
        <w:rPr>
          <w:szCs w:val="22"/>
        </w:rPr>
        <w:t>ud</w:t>
      </w:r>
      <w:r>
        <w:rPr>
          <w:spacing w:val="-2"/>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2"/>
          <w:szCs w:val="22"/>
        </w:rPr>
        <w:t>II</w:t>
      </w:r>
      <w:r>
        <w:rPr>
          <w:szCs w:val="22"/>
        </w:rPr>
        <w:t>I</w:t>
      </w:r>
      <w:r>
        <w:rPr>
          <w:spacing w:val="-2"/>
          <w:szCs w:val="22"/>
        </w:rPr>
        <w:t xml:space="preserve"> </w:t>
      </w:r>
      <w:r>
        <w:rPr>
          <w:szCs w:val="22"/>
        </w:rPr>
        <w:t>a</w:t>
      </w:r>
      <w:r>
        <w:rPr>
          <w:spacing w:val="3"/>
          <w:szCs w:val="22"/>
        </w:rPr>
        <w:t xml:space="preserve"> </w:t>
      </w:r>
      <w:r>
        <w:rPr>
          <w:spacing w:val="-4"/>
          <w:szCs w:val="22"/>
        </w:rPr>
        <w:t>m</w:t>
      </w:r>
      <w:r>
        <w:rPr>
          <w:szCs w:val="22"/>
        </w:rPr>
        <w:t>ai</w:t>
      </w:r>
      <w:r>
        <w:rPr>
          <w:spacing w:val="1"/>
          <w:szCs w:val="22"/>
        </w:rPr>
        <w:t xml:space="preserve"> </w:t>
      </w:r>
      <w:r>
        <w:rPr>
          <w:szCs w:val="22"/>
        </w:rPr>
        <w:t>a</w:t>
      </w:r>
      <w:r>
        <w:rPr>
          <w:spacing w:val="-3"/>
          <w:szCs w:val="22"/>
        </w:rPr>
        <w:t>v</w:t>
      </w:r>
      <w:r>
        <w:rPr>
          <w:szCs w:val="22"/>
        </w:rPr>
        <w:t>ut ca o</w:t>
      </w:r>
      <w:r>
        <w:rPr>
          <w:spacing w:val="-3"/>
          <w:szCs w:val="22"/>
        </w:rPr>
        <w:t>b</w:t>
      </w:r>
      <w:r>
        <w:rPr>
          <w:spacing w:val="1"/>
          <w:szCs w:val="22"/>
        </w:rPr>
        <w:t>i</w:t>
      </w:r>
      <w:r>
        <w:rPr>
          <w:szCs w:val="22"/>
        </w:rPr>
        <w:t>e</w:t>
      </w:r>
      <w:r>
        <w:rPr>
          <w:spacing w:val="-3"/>
          <w:szCs w:val="22"/>
        </w:rPr>
        <w:t>c</w:t>
      </w:r>
      <w:r>
        <w:rPr>
          <w:spacing w:val="1"/>
          <w:szCs w:val="22"/>
        </w:rPr>
        <w:t>ti</w:t>
      </w:r>
      <w:r>
        <w:rPr>
          <w:szCs w:val="22"/>
        </w:rPr>
        <w:t>v</w:t>
      </w:r>
      <w:r>
        <w:rPr>
          <w:spacing w:val="-3"/>
          <w:szCs w:val="22"/>
        </w:rPr>
        <w:t xml:space="preserve"> </w:t>
      </w:r>
      <w:r>
        <w:rPr>
          <w:szCs w:val="22"/>
        </w:rPr>
        <w:t>p</w:t>
      </w:r>
      <w:r>
        <w:rPr>
          <w:spacing w:val="-2"/>
          <w:szCs w:val="22"/>
        </w:rPr>
        <w:t>r</w:t>
      </w:r>
      <w:r>
        <w:rPr>
          <w:spacing w:val="1"/>
          <w:szCs w:val="22"/>
        </w:rPr>
        <w:t>i</w:t>
      </w:r>
      <w:r>
        <w:rPr>
          <w:spacing w:val="-4"/>
          <w:szCs w:val="22"/>
        </w:rPr>
        <w:t>m</w:t>
      </w:r>
      <w:r>
        <w:rPr>
          <w:szCs w:val="22"/>
        </w:rPr>
        <w:t>ar</w:t>
      </w:r>
      <w:r>
        <w:rPr>
          <w:spacing w:val="1"/>
          <w:szCs w:val="22"/>
        </w:rPr>
        <w:t xml:space="preserve"> </w:t>
      </w:r>
      <w:r>
        <w:rPr>
          <w:szCs w:val="22"/>
        </w:rPr>
        <w:t>f</w:t>
      </w:r>
      <w:r>
        <w:rPr>
          <w:spacing w:val="1"/>
          <w:szCs w:val="22"/>
        </w:rPr>
        <w:t>i</w:t>
      </w:r>
      <w:r>
        <w:rPr>
          <w:spacing w:val="-3"/>
          <w:szCs w:val="22"/>
        </w:rPr>
        <w:t>n</w:t>
      </w:r>
      <w:r>
        <w:rPr>
          <w:szCs w:val="22"/>
        </w:rPr>
        <w:t>al</w:t>
      </w:r>
      <w:r>
        <w:rPr>
          <w:spacing w:val="-2"/>
          <w:szCs w:val="22"/>
        </w:rPr>
        <w:t xml:space="preserve"> </w:t>
      </w:r>
      <w:r>
        <w:rPr>
          <w:szCs w:val="22"/>
        </w:rPr>
        <w:t>şi</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zCs w:val="22"/>
        </w:rPr>
        <w:t>c</w:t>
      </w:r>
      <w:r>
        <w:rPr>
          <w:spacing w:val="-3"/>
          <w:szCs w:val="22"/>
        </w:rPr>
        <w:t>a</w:t>
      </w:r>
      <w:r>
        <w:rPr>
          <w:szCs w:val="22"/>
        </w:rPr>
        <w:t>rea</w:t>
      </w:r>
      <w:r>
        <w:rPr>
          <w:spacing w:val="-2"/>
          <w:szCs w:val="22"/>
        </w:rPr>
        <w:t xml:space="preserve"> </w:t>
      </w:r>
      <w:r>
        <w:rPr>
          <w:szCs w:val="22"/>
        </w:rPr>
        <w:t>ca</w:t>
      </w:r>
      <w:r>
        <w:rPr>
          <w:spacing w:val="-2"/>
          <w:szCs w:val="22"/>
        </w:rPr>
        <w:t>li</w:t>
      </w:r>
      <w:r>
        <w:rPr>
          <w:spacing w:val="1"/>
          <w:szCs w:val="22"/>
        </w:rPr>
        <w:t>t</w:t>
      </w:r>
      <w:r>
        <w:rPr>
          <w:szCs w:val="22"/>
        </w:rPr>
        <w:t>ă</w:t>
      </w:r>
      <w:r>
        <w:rPr>
          <w:spacing w:val="-2"/>
          <w:szCs w:val="22"/>
        </w:rPr>
        <w:t>ţ</w:t>
      </w:r>
      <w:r>
        <w:rPr>
          <w:spacing w:val="1"/>
          <w:szCs w:val="22"/>
        </w:rPr>
        <w:t>i</w:t>
      </w:r>
      <w:r>
        <w:rPr>
          <w:szCs w:val="22"/>
        </w:rPr>
        <w:t>i</w:t>
      </w:r>
      <w:r>
        <w:rPr>
          <w:spacing w:val="-2"/>
          <w:szCs w:val="22"/>
        </w:rPr>
        <w:t xml:space="preserve"> </w:t>
      </w:r>
      <w:r>
        <w:rPr>
          <w:spacing w:val="-3"/>
          <w:szCs w:val="22"/>
        </w:rPr>
        <w:t>v</w:t>
      </w:r>
      <w:r>
        <w:rPr>
          <w:spacing w:val="1"/>
          <w:szCs w:val="22"/>
        </w:rPr>
        <w:t>i</w:t>
      </w:r>
      <w:r>
        <w:rPr>
          <w:szCs w:val="22"/>
        </w:rPr>
        <w:t>e</w:t>
      </w:r>
      <w:r>
        <w:rPr>
          <w:spacing w:val="-2"/>
          <w:szCs w:val="22"/>
        </w:rPr>
        <w:t>ţ</w:t>
      </w:r>
      <w:r>
        <w:rPr>
          <w:spacing w:val="1"/>
          <w:szCs w:val="22"/>
        </w:rPr>
        <w:t>ii</w:t>
      </w:r>
      <w:r>
        <w:t>.</w:t>
      </w:r>
    </w:p>
    <w:p w14:paraId="38A4B0B1" w14:textId="77777777" w:rsidR="00C04CAD" w:rsidRDefault="00C04CAD">
      <w:pPr>
        <w:tabs>
          <w:tab w:val="clear" w:pos="567"/>
        </w:tabs>
        <w:kinsoku w:val="0"/>
        <w:overflowPunct w:val="0"/>
        <w:autoSpaceDE w:val="0"/>
        <w:autoSpaceDN w:val="0"/>
        <w:adjustRightInd w:val="0"/>
        <w:spacing w:line="240" w:lineRule="auto"/>
      </w:pPr>
    </w:p>
    <w:p w14:paraId="211B444E" w14:textId="77777777" w:rsidR="00C04CAD" w:rsidRDefault="00060E34">
      <w:pPr>
        <w:tabs>
          <w:tab w:val="clear" w:pos="567"/>
        </w:tabs>
        <w:kinsoku w:val="0"/>
        <w:overflowPunct w:val="0"/>
        <w:autoSpaceDE w:val="0"/>
        <w:autoSpaceDN w:val="0"/>
        <w:adjustRightInd w:val="0"/>
        <w:spacing w:line="240" w:lineRule="auto"/>
        <w:rPr>
          <w:u w:val="single"/>
        </w:rPr>
      </w:pPr>
      <w:r>
        <w:rPr>
          <w:i/>
          <w:spacing w:val="-1"/>
          <w:u w:val="single"/>
        </w:rPr>
        <w:t>R</w:t>
      </w:r>
      <w:r>
        <w:rPr>
          <w:i/>
          <w:u w:val="single"/>
        </w:rPr>
        <w:t>ăspuns</w:t>
      </w:r>
      <w:r>
        <w:rPr>
          <w:i/>
          <w:spacing w:val="-1"/>
          <w:u w:val="single"/>
        </w:rPr>
        <w:t xml:space="preserve"> AC</w:t>
      </w:r>
      <w:r>
        <w:rPr>
          <w:i/>
          <w:u w:val="single"/>
        </w:rPr>
        <w:t>R</w:t>
      </w:r>
    </w:p>
    <w:p w14:paraId="2E181B2F" w14:textId="77777777" w:rsidR="00C04CAD" w:rsidRDefault="00C04CAD">
      <w:pPr>
        <w:tabs>
          <w:tab w:val="clear" w:pos="567"/>
        </w:tabs>
        <w:kinsoku w:val="0"/>
        <w:overflowPunct w:val="0"/>
        <w:autoSpaceDE w:val="0"/>
        <w:autoSpaceDN w:val="0"/>
        <w:adjustRightInd w:val="0"/>
        <w:spacing w:line="240" w:lineRule="auto"/>
      </w:pPr>
    </w:p>
    <w:p w14:paraId="6DD7B26A" w14:textId="77777777" w:rsidR="00C04CAD" w:rsidRDefault="00060E34">
      <w:pPr>
        <w:autoSpaceDE w:val="0"/>
        <w:autoSpaceDN w:val="0"/>
        <w:adjustRightInd w:val="0"/>
        <w:spacing w:line="240" w:lineRule="auto"/>
      </w:pPr>
      <w:r>
        <w:rPr>
          <w:spacing w:val="-1"/>
        </w:rPr>
        <w:t>P</w:t>
      </w:r>
      <w:r>
        <w:t>roce</w:t>
      </w:r>
      <w:r>
        <w:rPr>
          <w:spacing w:val="-3"/>
        </w:rPr>
        <w:t>n</w:t>
      </w:r>
      <w:r>
        <w:rPr>
          <w:spacing w:val="1"/>
        </w:rPr>
        <w:t>t</w:t>
      </w:r>
      <w:r>
        <w:rPr>
          <w:spacing w:val="-3"/>
        </w:rPr>
        <w:t>u</w:t>
      </w:r>
      <w:r>
        <w:t>l</w:t>
      </w:r>
      <w:r>
        <w:rPr>
          <w:spacing w:val="1"/>
        </w:rPr>
        <w:t xml:space="preserve"> </w:t>
      </w:r>
      <w:r>
        <w:t xml:space="preserve">de </w:t>
      </w:r>
      <w:r>
        <w:rPr>
          <w:spacing w:val="-3"/>
        </w:rPr>
        <w:t>p</w:t>
      </w:r>
      <w:r>
        <w:t>a</w:t>
      </w:r>
      <w:r>
        <w:rPr>
          <w:spacing w:val="-3"/>
        </w:rPr>
        <w:t>c</w:t>
      </w:r>
      <w:r>
        <w:rPr>
          <w:spacing w:val="1"/>
        </w:rPr>
        <w:t>i</w:t>
      </w:r>
      <w:r>
        <w:t>e</w:t>
      </w:r>
      <w:r>
        <w:rPr>
          <w:spacing w:val="-3"/>
        </w:rPr>
        <w:t>n</w:t>
      </w:r>
      <w:r>
        <w:rPr>
          <w:spacing w:val="1"/>
        </w:rPr>
        <w:t>ţ</w:t>
      </w:r>
      <w:r>
        <w:t>i</w:t>
      </w:r>
      <w:r>
        <w:rPr>
          <w:spacing w:val="-2"/>
        </w:rPr>
        <w:t xml:space="preserve"> </w:t>
      </w:r>
      <w:r>
        <w:rPr>
          <w:spacing w:val="1"/>
        </w:rPr>
        <w:t>t</w:t>
      </w:r>
      <w:r>
        <w:rPr>
          <w:spacing w:val="-2"/>
        </w:rPr>
        <w:t>r</w:t>
      </w:r>
      <w:r>
        <w:t>a</w:t>
      </w:r>
      <w:r>
        <w:rPr>
          <w:spacing w:val="1"/>
        </w:rPr>
        <w:t>t</w:t>
      </w:r>
      <w:r>
        <w:rPr>
          <w:spacing w:val="-3"/>
        </w:rPr>
        <w:t>a</w:t>
      </w:r>
      <w:r>
        <w:rPr>
          <w:spacing w:val="1"/>
        </w:rPr>
        <w:t>ţ</w:t>
      </w:r>
      <w:r>
        <w:t>i</w:t>
      </w:r>
      <w:r>
        <w:rPr>
          <w:spacing w:val="-2"/>
        </w:rPr>
        <w:t xml:space="preserve"> </w:t>
      </w:r>
      <w:r>
        <w:t xml:space="preserve">cu </w:t>
      </w:r>
      <w:r>
        <w:rPr>
          <w:rFonts w:eastAsia="MS Mincho"/>
          <w:spacing w:val="-1"/>
          <w:szCs w:val="22"/>
          <w:lang w:eastAsia="en-US" w:bidi="ar-SA"/>
        </w:rPr>
        <w:t>adalimumab</w:t>
      </w:r>
      <w:r>
        <w:t xml:space="preserve"> c</w:t>
      </w:r>
      <w:r>
        <w:rPr>
          <w:spacing w:val="-3"/>
        </w:rPr>
        <w:t>a</w:t>
      </w:r>
      <w:r>
        <w:t xml:space="preserve">re </w:t>
      </w:r>
      <w:r>
        <w:rPr>
          <w:spacing w:val="-3"/>
        </w:rPr>
        <w:t>a</w:t>
      </w:r>
      <w:r>
        <w:t>u o</w:t>
      </w:r>
      <w:r>
        <w:rPr>
          <w:spacing w:val="-3"/>
        </w:rPr>
        <w:t>b</w:t>
      </w:r>
      <w:r>
        <w:rPr>
          <w:spacing w:val="1"/>
        </w:rPr>
        <w:t>ţi</w:t>
      </w:r>
      <w:r>
        <w:t>n</w:t>
      </w:r>
      <w:r>
        <w:rPr>
          <w:spacing w:val="-3"/>
        </w:rPr>
        <w:t>u</w:t>
      </w:r>
      <w:r>
        <w:t>t</w:t>
      </w:r>
      <w:r>
        <w:rPr>
          <w:spacing w:val="-2"/>
        </w:rPr>
        <w:t xml:space="preserve"> </w:t>
      </w:r>
      <w:r>
        <w:t>un r</w:t>
      </w:r>
      <w:r>
        <w:rPr>
          <w:spacing w:val="-3"/>
        </w:rPr>
        <w:t>ă</w:t>
      </w:r>
      <w:r>
        <w:t xml:space="preserve">spuns </w:t>
      </w:r>
      <w:r>
        <w:rPr>
          <w:spacing w:val="-1"/>
        </w:rPr>
        <w:t>AC</w:t>
      </w:r>
      <w:r>
        <w:t>R</w:t>
      </w:r>
      <w:r>
        <w:rPr>
          <w:spacing w:val="-1"/>
        </w:rPr>
        <w:t xml:space="preserve"> </w:t>
      </w:r>
      <w:r>
        <w:t>20,</w:t>
      </w:r>
      <w:r>
        <w:rPr>
          <w:spacing w:val="-3"/>
        </w:rPr>
        <w:t xml:space="preserve"> </w:t>
      </w:r>
      <w:r>
        <w:t xml:space="preserve">50 </w:t>
      </w:r>
      <w:r>
        <w:rPr>
          <w:spacing w:val="-2"/>
        </w:rPr>
        <w:t>ş</w:t>
      </w:r>
      <w:r>
        <w:t>i</w:t>
      </w:r>
      <w:r>
        <w:rPr>
          <w:spacing w:val="1"/>
        </w:rPr>
        <w:t xml:space="preserve"> </w:t>
      </w:r>
      <w:r>
        <w:rPr>
          <w:spacing w:val="-3"/>
        </w:rPr>
        <w:t>7</w:t>
      </w:r>
      <w:r>
        <w:t>0 a f</w:t>
      </w:r>
      <w:r>
        <w:rPr>
          <w:spacing w:val="-3"/>
        </w:rPr>
        <w:t>o</w:t>
      </w:r>
      <w:r>
        <w:t>st</w:t>
      </w:r>
      <w:r>
        <w:rPr>
          <w:spacing w:val="-2"/>
        </w:rPr>
        <w:t xml:space="preserve"> </w:t>
      </w:r>
      <w:r>
        <w:t>cons</w:t>
      </w:r>
      <w:r>
        <w:rPr>
          <w:spacing w:val="-3"/>
        </w:rPr>
        <w:t>e</w:t>
      </w:r>
      <w:r>
        <w:t>c</w:t>
      </w:r>
      <w:r>
        <w:rPr>
          <w:spacing w:val="-3"/>
        </w:rPr>
        <w:t>v</w:t>
      </w:r>
      <w:r>
        <w:t xml:space="preserve">ent </w:t>
      </w:r>
      <w:r>
        <w:rPr>
          <w:spacing w:val="1"/>
        </w:rPr>
        <w:t>î</w:t>
      </w:r>
      <w:r>
        <w:t xml:space="preserve">n </w:t>
      </w:r>
      <w:r>
        <w:rPr>
          <w:spacing w:val="-2"/>
        </w:rPr>
        <w:t>s</w:t>
      </w:r>
      <w:r>
        <w:rPr>
          <w:spacing w:val="1"/>
        </w:rPr>
        <w:t>t</w:t>
      </w:r>
      <w:r>
        <w:t>ud</w:t>
      </w:r>
      <w:r>
        <w:rPr>
          <w:spacing w:val="-2"/>
        </w:rPr>
        <w:t>ii</w:t>
      </w:r>
      <w:r>
        <w:rPr>
          <w:spacing w:val="1"/>
        </w:rPr>
        <w:t>l</w:t>
      </w:r>
      <w:r>
        <w:t xml:space="preserve">e </w:t>
      </w:r>
      <w:r>
        <w:rPr>
          <w:spacing w:val="-1"/>
        </w:rPr>
        <w:t>P</w:t>
      </w:r>
      <w:r>
        <w:t>R</w:t>
      </w:r>
      <w:r>
        <w:rPr>
          <w:spacing w:val="-1"/>
        </w:rPr>
        <w:t xml:space="preserve"> </w:t>
      </w:r>
      <w:r>
        <w:rPr>
          <w:spacing w:val="-4"/>
        </w:rPr>
        <w:t>I</w:t>
      </w:r>
      <w:r>
        <w:t>,</w:t>
      </w:r>
      <w:r>
        <w:rPr>
          <w:spacing w:val="2"/>
        </w:rPr>
        <w:t xml:space="preserve"> </w:t>
      </w:r>
      <w:r>
        <w:rPr>
          <w:spacing w:val="-2"/>
        </w:rPr>
        <w:t>I</w:t>
      </w:r>
      <w:r>
        <w:t>I</w:t>
      </w:r>
      <w:r>
        <w:rPr>
          <w:spacing w:val="-4"/>
        </w:rPr>
        <w:t xml:space="preserve"> </w:t>
      </w:r>
      <w:r>
        <w:t>şi</w:t>
      </w:r>
      <w:r>
        <w:rPr>
          <w:spacing w:val="3"/>
        </w:rPr>
        <w:t xml:space="preserve"> </w:t>
      </w:r>
      <w:r>
        <w:rPr>
          <w:spacing w:val="-2"/>
        </w:rPr>
        <w:t>III</w:t>
      </w:r>
      <w:r>
        <w:t xml:space="preserve">. </w:t>
      </w:r>
      <w:r>
        <w:rPr>
          <w:spacing w:val="-1"/>
        </w:rPr>
        <w:t>R</w:t>
      </w:r>
      <w:r>
        <w:rPr>
          <w:spacing w:val="2"/>
        </w:rPr>
        <w:t>ă</w:t>
      </w:r>
      <w:r>
        <w:t>spuns</w:t>
      </w:r>
      <w:r>
        <w:rPr>
          <w:spacing w:val="-3"/>
        </w:rPr>
        <w:t>u</w:t>
      </w:r>
      <w:r>
        <w:t>l</w:t>
      </w:r>
      <w:r>
        <w:rPr>
          <w:spacing w:val="1"/>
        </w:rPr>
        <w:t xml:space="preserve"> </w:t>
      </w:r>
      <w:r>
        <w:rPr>
          <w:spacing w:val="-2"/>
        </w:rPr>
        <w:t>t</w:t>
      </w:r>
      <w:r>
        <w:t>e</w:t>
      </w:r>
      <w:r>
        <w:rPr>
          <w:spacing w:val="-2"/>
        </w:rPr>
        <w:t>r</w:t>
      </w:r>
      <w:r>
        <w:t>ape</w:t>
      </w:r>
      <w:r>
        <w:rPr>
          <w:spacing w:val="-3"/>
        </w:rPr>
        <w:t>u</w:t>
      </w:r>
      <w:r>
        <w:rPr>
          <w:spacing w:val="1"/>
        </w:rPr>
        <w:t>t</w:t>
      </w:r>
      <w:r>
        <w:rPr>
          <w:spacing w:val="-2"/>
        </w:rPr>
        <w:t>i</w:t>
      </w:r>
      <w:r>
        <w:t xml:space="preserve">c </w:t>
      </w:r>
      <w:r>
        <w:rPr>
          <w:spacing w:val="1"/>
        </w:rPr>
        <w:t>l</w:t>
      </w:r>
      <w:r>
        <w:t>a</w:t>
      </w:r>
      <w:r>
        <w:rPr>
          <w:spacing w:val="-2"/>
        </w:rPr>
        <w:t xml:space="preserve"> </w:t>
      </w:r>
      <w:r>
        <w:t>do</w:t>
      </w:r>
      <w:r>
        <w:rPr>
          <w:spacing w:val="-3"/>
        </w:rPr>
        <w:t>z</w:t>
      </w:r>
      <w:r>
        <w:t xml:space="preserve">a </w:t>
      </w:r>
      <w:r>
        <w:rPr>
          <w:spacing w:val="-3"/>
        </w:rPr>
        <w:t>d</w:t>
      </w:r>
      <w:r>
        <w:t>e 40 </w:t>
      </w:r>
      <w:r>
        <w:rPr>
          <w:spacing w:val="-4"/>
        </w:rPr>
        <w:t>m</w:t>
      </w:r>
      <w:r>
        <w:t>g</w:t>
      </w:r>
      <w:r>
        <w:rPr>
          <w:spacing w:val="-3"/>
        </w:rPr>
        <w:t xml:space="preserve"> </w:t>
      </w:r>
      <w:r>
        <w:t>a</w:t>
      </w:r>
      <w:r>
        <w:rPr>
          <w:spacing w:val="2"/>
        </w:rPr>
        <w:t>d</w:t>
      </w:r>
      <w:r>
        <w:rPr>
          <w:spacing w:val="-4"/>
        </w:rPr>
        <w:t>m</w:t>
      </w:r>
      <w:r>
        <w:rPr>
          <w:spacing w:val="1"/>
        </w:rPr>
        <w:t>i</w:t>
      </w:r>
      <w:r>
        <w:t>n</w:t>
      </w:r>
      <w:r>
        <w:rPr>
          <w:spacing w:val="1"/>
        </w:rPr>
        <w:t>i</w:t>
      </w:r>
      <w:r>
        <w:t>s</w:t>
      </w:r>
      <w:r>
        <w:rPr>
          <w:spacing w:val="1"/>
        </w:rPr>
        <w:t>t</w:t>
      </w:r>
      <w:r>
        <w:rPr>
          <w:spacing w:val="-2"/>
        </w:rPr>
        <w:t>r</w:t>
      </w:r>
      <w:r>
        <w:t>a</w:t>
      </w:r>
      <w:r>
        <w:rPr>
          <w:spacing w:val="-2"/>
        </w:rPr>
        <w:t>t</w:t>
      </w:r>
      <w:r>
        <w:t>ă d</w:t>
      </w:r>
      <w:r>
        <w:rPr>
          <w:spacing w:val="-2"/>
        </w:rPr>
        <w:t>i</w:t>
      </w:r>
      <w:r>
        <w:t xml:space="preserve">n </w:t>
      </w:r>
      <w:r>
        <w:rPr>
          <w:spacing w:val="-3"/>
        </w:rPr>
        <w:t>d</w:t>
      </w:r>
      <w:r>
        <w:t xml:space="preserve">ouă </w:t>
      </w:r>
      <w:r>
        <w:rPr>
          <w:spacing w:val="1"/>
        </w:rPr>
        <w:t>î</w:t>
      </w:r>
      <w:r>
        <w:t>n</w:t>
      </w:r>
      <w:r>
        <w:rPr>
          <w:spacing w:val="-3"/>
        </w:rPr>
        <w:t xml:space="preserve"> </w:t>
      </w:r>
      <w:r>
        <w:t>două săp</w:t>
      </w:r>
      <w:r>
        <w:rPr>
          <w:spacing w:val="-2"/>
        </w:rPr>
        <w:t>t</w:t>
      </w:r>
      <w:r>
        <w:t>ă</w:t>
      </w:r>
      <w:r>
        <w:rPr>
          <w:spacing w:val="-4"/>
        </w:rPr>
        <w:t>m</w:t>
      </w:r>
      <w:r>
        <w:t>âni</w:t>
      </w:r>
      <w:r>
        <w:rPr>
          <w:spacing w:val="1"/>
        </w:rPr>
        <w:t xml:space="preserve"> </w:t>
      </w:r>
      <w:r>
        <w:t>e</w:t>
      </w:r>
      <w:r>
        <w:rPr>
          <w:spacing w:val="-2"/>
        </w:rPr>
        <w:t>s</w:t>
      </w:r>
      <w:r>
        <w:rPr>
          <w:spacing w:val="1"/>
        </w:rPr>
        <w:t>t</w:t>
      </w:r>
      <w:r>
        <w:t xml:space="preserve">e </w:t>
      </w:r>
      <w:r>
        <w:rPr>
          <w:spacing w:val="-3"/>
        </w:rPr>
        <w:t>p</w:t>
      </w:r>
      <w:r>
        <w:t>re</w:t>
      </w:r>
      <w:r>
        <w:rPr>
          <w:spacing w:val="-3"/>
        </w:rPr>
        <w:t>z</w:t>
      </w:r>
      <w:r>
        <w:t>en</w:t>
      </w:r>
      <w:r>
        <w:rPr>
          <w:spacing w:val="-2"/>
        </w:rPr>
        <w:t>t</w:t>
      </w:r>
      <w:r>
        <w:t>at</w:t>
      </w:r>
      <w:r>
        <w:rPr>
          <w:spacing w:val="-2"/>
        </w:rPr>
        <w:t xml:space="preserve"> </w:t>
      </w:r>
      <w:r>
        <w:rPr>
          <w:spacing w:val="1"/>
        </w:rPr>
        <w:t>î</w:t>
      </w:r>
      <w:r>
        <w:t>n</w:t>
      </w:r>
      <w:r>
        <w:rPr>
          <w:spacing w:val="-3"/>
        </w:rPr>
        <w:t xml:space="preserve"> </w:t>
      </w:r>
      <w:r>
        <w:rPr>
          <w:spacing w:val="1"/>
        </w:rPr>
        <w:t>t</w:t>
      </w:r>
      <w:r>
        <w:t>ab</w:t>
      </w:r>
      <w:r>
        <w:rPr>
          <w:spacing w:val="-3"/>
        </w:rPr>
        <w:t>e</w:t>
      </w:r>
      <w:r>
        <w:rPr>
          <w:spacing w:val="1"/>
        </w:rPr>
        <w:t>l</w:t>
      </w:r>
      <w:r>
        <w:rPr>
          <w:spacing w:val="-3"/>
        </w:rPr>
        <w:t>u</w:t>
      </w:r>
      <w:r>
        <w:t>l</w:t>
      </w:r>
      <w:r>
        <w:rPr>
          <w:rFonts w:eastAsia="MS Mincho"/>
          <w:spacing w:val="-1"/>
          <w:szCs w:val="22"/>
          <w:lang w:eastAsia="en-US" w:bidi="ar-SA"/>
        </w:rPr>
        <w:t> 8</w:t>
      </w:r>
      <w:r>
        <w:t>.</w:t>
      </w:r>
    </w:p>
    <w:p w14:paraId="06E46C45" w14:textId="77777777" w:rsidR="00C04CAD" w:rsidRDefault="00C04CAD">
      <w:pPr>
        <w:autoSpaceDE w:val="0"/>
        <w:autoSpaceDN w:val="0"/>
        <w:adjustRightInd w:val="0"/>
        <w:spacing w:line="240" w:lineRule="auto"/>
      </w:pPr>
    </w:p>
    <w:p w14:paraId="041A4BF1" w14:textId="77777777" w:rsidR="00C04CAD" w:rsidRDefault="00060E34">
      <w:pPr>
        <w:autoSpaceDE w:val="0"/>
        <w:autoSpaceDN w:val="0"/>
        <w:adjustRightInd w:val="0"/>
        <w:spacing w:line="240" w:lineRule="auto"/>
        <w:rPr>
          <w:b/>
        </w:rPr>
      </w:pPr>
      <w:r>
        <w:rPr>
          <w:b/>
          <w:spacing w:val="-1"/>
        </w:rPr>
        <w:t>Tabelul</w:t>
      </w:r>
      <w:r>
        <w:rPr>
          <w:rFonts w:eastAsia="MS Mincho"/>
          <w:b/>
          <w:spacing w:val="-1"/>
          <w:szCs w:val="22"/>
          <w:lang w:eastAsia="en-US" w:bidi="ar-SA"/>
        </w:rPr>
        <w:t> 8.</w:t>
      </w:r>
      <w:r>
        <w:rPr>
          <w:b/>
          <w:spacing w:val="-1"/>
        </w:rPr>
        <w:t xml:space="preserve"> R</w:t>
      </w:r>
      <w:r>
        <w:rPr>
          <w:b/>
        </w:rPr>
        <w:t>ăs</w:t>
      </w:r>
      <w:r>
        <w:rPr>
          <w:b/>
          <w:spacing w:val="-1"/>
        </w:rPr>
        <w:t>pun</w:t>
      </w:r>
      <w:r>
        <w:rPr>
          <w:b/>
        </w:rPr>
        <w:t>s</w:t>
      </w:r>
      <w:r>
        <w:rPr>
          <w:b/>
          <w:spacing w:val="-1"/>
        </w:rPr>
        <w:t>u</w:t>
      </w:r>
      <w:r>
        <w:rPr>
          <w:b/>
        </w:rPr>
        <w:t>l</w:t>
      </w:r>
      <w:r>
        <w:rPr>
          <w:b/>
          <w:spacing w:val="1"/>
        </w:rPr>
        <w:t xml:space="preserve"> </w:t>
      </w:r>
      <w:r>
        <w:rPr>
          <w:b/>
          <w:spacing w:val="-1"/>
        </w:rPr>
        <w:t>AC</w:t>
      </w:r>
      <w:r>
        <w:rPr>
          <w:b/>
        </w:rPr>
        <w:t>R</w:t>
      </w:r>
      <w:r>
        <w:rPr>
          <w:b/>
          <w:spacing w:val="-1"/>
        </w:rPr>
        <w:t xml:space="preserve"> </w:t>
      </w:r>
      <w:r>
        <w:rPr>
          <w:b/>
          <w:spacing w:val="1"/>
        </w:rPr>
        <w:t>î</w:t>
      </w:r>
      <w:r>
        <w:rPr>
          <w:b/>
        </w:rPr>
        <w:t>n</w:t>
      </w:r>
      <w:r>
        <w:rPr>
          <w:b/>
          <w:spacing w:val="-3"/>
        </w:rPr>
        <w:t xml:space="preserve"> </w:t>
      </w:r>
      <w:r>
        <w:rPr>
          <w:b/>
        </w:rPr>
        <w:t>ca</w:t>
      </w:r>
      <w:r>
        <w:rPr>
          <w:b/>
          <w:spacing w:val="-1"/>
        </w:rPr>
        <w:t>d</w:t>
      </w:r>
      <w:r>
        <w:rPr>
          <w:b/>
        </w:rPr>
        <w:t>r</w:t>
      </w:r>
      <w:r>
        <w:rPr>
          <w:b/>
          <w:spacing w:val="-3"/>
        </w:rPr>
        <w:t>u</w:t>
      </w:r>
      <w:r>
        <w:rPr>
          <w:b/>
        </w:rPr>
        <w:t>l</w:t>
      </w:r>
      <w:r>
        <w:rPr>
          <w:b/>
          <w:spacing w:val="-2"/>
        </w:rPr>
        <w:t xml:space="preserve"> </w:t>
      </w:r>
      <w:r>
        <w:rPr>
          <w:b/>
        </w:rPr>
        <w:t>st</w:t>
      </w:r>
      <w:r>
        <w:rPr>
          <w:b/>
          <w:spacing w:val="-1"/>
        </w:rPr>
        <w:t>ud</w:t>
      </w:r>
      <w:r>
        <w:rPr>
          <w:b/>
          <w:spacing w:val="-2"/>
        </w:rPr>
        <w:t>i</w:t>
      </w:r>
      <w:r>
        <w:rPr>
          <w:b/>
          <w:spacing w:val="1"/>
        </w:rPr>
        <w:t>i</w:t>
      </w:r>
      <w:r>
        <w:rPr>
          <w:b/>
          <w:spacing w:val="-2"/>
        </w:rPr>
        <w:t>l</w:t>
      </w:r>
      <w:r>
        <w:rPr>
          <w:b/>
        </w:rPr>
        <w:t xml:space="preserve">or </w:t>
      </w:r>
      <w:r>
        <w:rPr>
          <w:b/>
          <w:spacing w:val="-3"/>
        </w:rPr>
        <w:t>p</w:t>
      </w:r>
      <w:r>
        <w:rPr>
          <w:b/>
          <w:spacing w:val="1"/>
        </w:rPr>
        <w:t>l</w:t>
      </w:r>
      <w:r>
        <w:rPr>
          <w:b/>
        </w:rPr>
        <w:t>ace</w:t>
      </w:r>
      <w:r>
        <w:rPr>
          <w:b/>
          <w:spacing w:val="-3"/>
        </w:rPr>
        <w:t>b</w:t>
      </w:r>
      <w:r>
        <w:rPr>
          <w:b/>
        </w:rPr>
        <w:t>o co</w:t>
      </w:r>
      <w:r>
        <w:rPr>
          <w:b/>
          <w:spacing w:val="-3"/>
        </w:rPr>
        <w:t>n</w:t>
      </w:r>
      <w:r>
        <w:rPr>
          <w:b/>
        </w:rPr>
        <w:t>tr</w:t>
      </w:r>
      <w:r>
        <w:rPr>
          <w:b/>
          <w:spacing w:val="-3"/>
        </w:rPr>
        <w:t>o</w:t>
      </w:r>
      <w:r>
        <w:rPr>
          <w:b/>
          <w:spacing w:val="-2"/>
        </w:rPr>
        <w:t>l</w:t>
      </w:r>
      <w:r>
        <w:rPr>
          <w:b/>
        </w:rPr>
        <w:t>ate (pro</w:t>
      </w:r>
      <w:r>
        <w:rPr>
          <w:b/>
          <w:spacing w:val="-3"/>
        </w:rPr>
        <w:t>c</w:t>
      </w:r>
      <w:r>
        <w:rPr>
          <w:b/>
        </w:rPr>
        <w:t>e</w:t>
      </w:r>
      <w:r>
        <w:rPr>
          <w:b/>
          <w:spacing w:val="-1"/>
        </w:rPr>
        <w:t>n</w:t>
      </w:r>
      <w:r>
        <w:rPr>
          <w:b/>
        </w:rPr>
        <w:t>t</w:t>
      </w:r>
      <w:r>
        <w:rPr>
          <w:b/>
          <w:spacing w:val="-3"/>
        </w:rPr>
        <w:t>u</w:t>
      </w:r>
      <w:r>
        <w:rPr>
          <w:b/>
        </w:rPr>
        <w:t>l</w:t>
      </w:r>
      <w:r>
        <w:rPr>
          <w:b/>
          <w:spacing w:val="1"/>
        </w:rPr>
        <w:t xml:space="preserve"> </w:t>
      </w:r>
      <w:r>
        <w:rPr>
          <w:b/>
          <w:spacing w:val="-1"/>
        </w:rPr>
        <w:t>d</w:t>
      </w:r>
      <w:r>
        <w:rPr>
          <w:b/>
        </w:rPr>
        <w:t xml:space="preserve">e </w:t>
      </w:r>
      <w:r>
        <w:rPr>
          <w:b/>
          <w:spacing w:val="-1"/>
        </w:rPr>
        <w:t>p</w:t>
      </w:r>
      <w:r>
        <w:rPr>
          <w:b/>
          <w:spacing w:val="-3"/>
        </w:rPr>
        <w:t>a</w:t>
      </w:r>
      <w:r>
        <w:rPr>
          <w:b/>
        </w:rPr>
        <w:t>c</w:t>
      </w:r>
      <w:r>
        <w:rPr>
          <w:b/>
          <w:spacing w:val="1"/>
        </w:rPr>
        <w:t>i</w:t>
      </w:r>
      <w:r>
        <w:rPr>
          <w:b/>
        </w:rPr>
        <w:t>e</w:t>
      </w:r>
      <w:r>
        <w:rPr>
          <w:b/>
          <w:spacing w:val="-3"/>
        </w:rPr>
        <w:t>n</w:t>
      </w:r>
      <w:r>
        <w:rPr>
          <w:b/>
        </w:rPr>
        <w:t>ţ</w:t>
      </w:r>
      <w:r>
        <w:rPr>
          <w:b/>
          <w:spacing w:val="-2"/>
        </w:rPr>
        <w:t>i</w:t>
      </w:r>
      <w:r>
        <w:rPr>
          <w:b/>
        </w:rPr>
        <w:t>)</w:t>
      </w:r>
    </w:p>
    <w:p w14:paraId="7FE00ADA" w14:textId="77777777" w:rsidR="00C04CAD" w:rsidRDefault="00C04CAD">
      <w:pPr>
        <w:autoSpaceDE w:val="0"/>
        <w:autoSpaceDN w:val="0"/>
        <w:adjustRightInd w:val="0"/>
        <w:spacing w:line="240" w:lineRule="auto"/>
        <w:rPr>
          <w:b/>
        </w:rPr>
      </w:pPr>
    </w:p>
    <w:tbl>
      <w:tblPr>
        <w:tblW w:w="9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2"/>
        <w:gridCol w:w="952"/>
        <w:gridCol w:w="1738"/>
        <w:gridCol w:w="1026"/>
        <w:gridCol w:w="1696"/>
        <w:gridCol w:w="1003"/>
        <w:gridCol w:w="1561"/>
      </w:tblGrid>
      <w:tr w:rsidR="00C04CAD" w14:paraId="770E3724" w14:textId="77777777">
        <w:trPr>
          <w:trHeight w:hRule="exact" w:val="345"/>
          <w:tblHeader/>
        </w:trPr>
        <w:tc>
          <w:tcPr>
            <w:tcW w:w="1382" w:type="dxa"/>
            <w:vMerge w:val="restart"/>
          </w:tcPr>
          <w:p w14:paraId="510D5723" w14:textId="77777777" w:rsidR="00C04CAD" w:rsidRDefault="00060E34">
            <w:pPr>
              <w:keepNext/>
              <w:tabs>
                <w:tab w:val="clear" w:pos="567"/>
              </w:tabs>
              <w:kinsoku w:val="0"/>
              <w:overflowPunct w:val="0"/>
              <w:autoSpaceDE w:val="0"/>
              <w:autoSpaceDN w:val="0"/>
              <w:adjustRightInd w:val="0"/>
              <w:spacing w:line="240" w:lineRule="auto"/>
              <w:ind w:left="139"/>
            </w:pPr>
            <w:r>
              <w:rPr>
                <w:rFonts w:eastAsia="MS Mincho"/>
                <w:b/>
                <w:bCs/>
                <w:spacing w:val="-1"/>
                <w:szCs w:val="22"/>
                <w:lang w:eastAsia="en-US" w:bidi="ar-SA"/>
              </w:rPr>
              <w:t>R</w:t>
            </w:r>
            <w:r>
              <w:rPr>
                <w:rFonts w:eastAsia="MS Mincho"/>
                <w:b/>
                <w:bCs/>
                <w:szCs w:val="22"/>
                <w:lang w:eastAsia="en-US" w:bidi="ar-SA"/>
              </w:rPr>
              <w:t>ăs</w:t>
            </w:r>
            <w:r>
              <w:rPr>
                <w:rFonts w:eastAsia="MS Mincho"/>
                <w:b/>
                <w:bCs/>
                <w:spacing w:val="-1"/>
                <w:szCs w:val="22"/>
                <w:lang w:eastAsia="en-US" w:bidi="ar-SA"/>
              </w:rPr>
              <w:t>pun</w:t>
            </w:r>
            <w:r>
              <w:rPr>
                <w:rFonts w:eastAsia="MS Mincho"/>
                <w:b/>
                <w:bCs/>
                <w:szCs w:val="22"/>
                <w:lang w:eastAsia="en-US" w:bidi="ar-SA"/>
              </w:rPr>
              <w:t>s</w:t>
            </w:r>
          </w:p>
        </w:tc>
        <w:tc>
          <w:tcPr>
            <w:tcW w:w="2690" w:type="dxa"/>
            <w:gridSpan w:val="2"/>
          </w:tcPr>
          <w:p w14:paraId="07D4C2FE"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S</w:t>
            </w:r>
            <w:r>
              <w:rPr>
                <w:b/>
              </w:rPr>
              <w:t>t</w:t>
            </w:r>
            <w:r>
              <w:rPr>
                <w:b/>
                <w:spacing w:val="-1"/>
              </w:rPr>
              <w:t>ud</w:t>
            </w:r>
            <w:r>
              <w:rPr>
                <w:b/>
                <w:spacing w:val="1"/>
              </w:rPr>
              <w:t>i</w:t>
            </w:r>
            <w:r>
              <w:rPr>
                <w:b/>
                <w:spacing w:val="-3"/>
              </w:rPr>
              <w:t>u</w:t>
            </w:r>
            <w:r>
              <w:rPr>
                <w:b/>
              </w:rPr>
              <w:t>l</w:t>
            </w:r>
            <w:r>
              <w:rPr>
                <w:b/>
                <w:spacing w:val="-3"/>
              </w:rPr>
              <w:t xml:space="preserve"> </w:t>
            </w:r>
            <w:r>
              <w:rPr>
                <w:b/>
                <w:spacing w:val="1"/>
              </w:rPr>
              <w:t>P</w:t>
            </w:r>
            <w:r>
              <w:rPr>
                <w:b/>
              </w:rPr>
              <w:t>R</w:t>
            </w:r>
            <w:r>
              <w:rPr>
                <w:b/>
                <w:spacing w:val="-1"/>
              </w:rPr>
              <w:t xml:space="preserve"> </w:t>
            </w:r>
            <w:r>
              <w:rPr>
                <w:b/>
              </w:rPr>
              <w:t>I</w:t>
            </w:r>
            <w:r>
              <w:rPr>
                <w:b/>
                <w:vertAlign w:val="superscript"/>
              </w:rPr>
              <w:t>a</w:t>
            </w:r>
            <w:r>
              <w:rPr>
                <w:b/>
                <w:spacing w:val="1"/>
              </w:rPr>
              <w:t>**</w:t>
            </w:r>
          </w:p>
        </w:tc>
        <w:tc>
          <w:tcPr>
            <w:tcW w:w="2722" w:type="dxa"/>
            <w:gridSpan w:val="2"/>
          </w:tcPr>
          <w:p w14:paraId="0849459F"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S</w:t>
            </w:r>
            <w:r>
              <w:rPr>
                <w:b/>
              </w:rPr>
              <w:t>t</w:t>
            </w:r>
            <w:r>
              <w:rPr>
                <w:b/>
                <w:spacing w:val="-1"/>
              </w:rPr>
              <w:t>ud</w:t>
            </w:r>
            <w:r>
              <w:rPr>
                <w:b/>
                <w:spacing w:val="1"/>
              </w:rPr>
              <w:t>i</w:t>
            </w:r>
            <w:r>
              <w:rPr>
                <w:b/>
                <w:spacing w:val="-3"/>
              </w:rPr>
              <w:t>u</w:t>
            </w:r>
            <w:r>
              <w:rPr>
                <w:b/>
              </w:rPr>
              <w:t>l</w:t>
            </w:r>
            <w:r>
              <w:rPr>
                <w:b/>
                <w:spacing w:val="-3"/>
              </w:rPr>
              <w:t xml:space="preserve"> </w:t>
            </w:r>
            <w:r>
              <w:rPr>
                <w:b/>
                <w:spacing w:val="1"/>
              </w:rPr>
              <w:t>P</w:t>
            </w:r>
            <w:r>
              <w:rPr>
                <w:b/>
              </w:rPr>
              <w:t>R</w:t>
            </w:r>
            <w:r>
              <w:rPr>
                <w:b/>
                <w:spacing w:val="-1"/>
              </w:rPr>
              <w:t xml:space="preserve"> </w:t>
            </w:r>
            <w:r>
              <w:rPr>
                <w:b/>
              </w:rPr>
              <w:t>II</w:t>
            </w:r>
            <w:r>
              <w:rPr>
                <w:b/>
                <w:spacing w:val="1"/>
                <w:vertAlign w:val="superscript"/>
              </w:rPr>
              <w:t>a</w:t>
            </w:r>
            <w:r>
              <w:rPr>
                <w:b/>
              </w:rPr>
              <w:t>**</w:t>
            </w:r>
          </w:p>
        </w:tc>
        <w:tc>
          <w:tcPr>
            <w:tcW w:w="2564" w:type="dxa"/>
            <w:gridSpan w:val="2"/>
          </w:tcPr>
          <w:p w14:paraId="7E0092D7"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S</w:t>
            </w:r>
            <w:r>
              <w:rPr>
                <w:b/>
              </w:rPr>
              <w:t>t</w:t>
            </w:r>
            <w:r>
              <w:rPr>
                <w:b/>
                <w:spacing w:val="-1"/>
              </w:rPr>
              <w:t>ud</w:t>
            </w:r>
            <w:r>
              <w:rPr>
                <w:b/>
                <w:spacing w:val="1"/>
              </w:rPr>
              <w:t>i</w:t>
            </w:r>
            <w:r>
              <w:rPr>
                <w:b/>
                <w:spacing w:val="-3"/>
              </w:rPr>
              <w:t>u</w:t>
            </w:r>
            <w:r>
              <w:rPr>
                <w:b/>
              </w:rPr>
              <w:t>l</w:t>
            </w:r>
            <w:r>
              <w:rPr>
                <w:b/>
                <w:spacing w:val="-3"/>
              </w:rPr>
              <w:t xml:space="preserve"> </w:t>
            </w:r>
            <w:r>
              <w:rPr>
                <w:b/>
                <w:spacing w:val="1"/>
              </w:rPr>
              <w:t>P</w:t>
            </w:r>
            <w:r>
              <w:rPr>
                <w:b/>
              </w:rPr>
              <w:t>R</w:t>
            </w:r>
            <w:r>
              <w:rPr>
                <w:b/>
                <w:spacing w:val="-1"/>
              </w:rPr>
              <w:t xml:space="preserve"> </w:t>
            </w:r>
            <w:r>
              <w:rPr>
                <w:b/>
              </w:rPr>
              <w:t>I</w:t>
            </w:r>
            <w:r>
              <w:rPr>
                <w:b/>
                <w:spacing w:val="-2"/>
              </w:rPr>
              <w:t>I</w:t>
            </w:r>
            <w:r>
              <w:rPr>
                <w:b/>
              </w:rPr>
              <w:t>I</w:t>
            </w:r>
            <w:r>
              <w:rPr>
                <w:b/>
                <w:vertAlign w:val="superscript"/>
              </w:rPr>
              <w:t>a</w:t>
            </w:r>
            <w:r>
              <w:rPr>
                <w:b/>
              </w:rPr>
              <w:t>**</w:t>
            </w:r>
          </w:p>
        </w:tc>
      </w:tr>
      <w:tr w:rsidR="00C04CAD" w14:paraId="12BAB312" w14:textId="77777777">
        <w:trPr>
          <w:trHeight w:hRule="exact" w:val="775"/>
          <w:tblHeader/>
        </w:trPr>
        <w:tc>
          <w:tcPr>
            <w:tcW w:w="1382" w:type="dxa"/>
            <w:vMerge/>
            <w:tcBorders>
              <w:bottom w:val="single" w:sz="4" w:space="0" w:color="auto"/>
            </w:tcBorders>
          </w:tcPr>
          <w:p w14:paraId="776655CA" w14:textId="77777777" w:rsidR="00C04CAD" w:rsidRDefault="00C04CAD">
            <w:pPr>
              <w:keepNext/>
              <w:tabs>
                <w:tab w:val="clear" w:pos="567"/>
              </w:tabs>
              <w:kinsoku w:val="0"/>
              <w:overflowPunct w:val="0"/>
              <w:autoSpaceDE w:val="0"/>
              <w:autoSpaceDN w:val="0"/>
              <w:adjustRightInd w:val="0"/>
              <w:spacing w:line="240" w:lineRule="auto"/>
              <w:ind w:left="524"/>
            </w:pPr>
          </w:p>
        </w:tc>
        <w:tc>
          <w:tcPr>
            <w:tcW w:w="952" w:type="dxa"/>
            <w:tcBorders>
              <w:bottom w:val="single" w:sz="4" w:space="0" w:color="auto"/>
            </w:tcBorders>
          </w:tcPr>
          <w:p w14:paraId="2BF60E03"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1"/>
              </w:rPr>
              <w:t>Placebo/ MTX</w:t>
            </w:r>
            <w:r>
              <w:rPr>
                <w:b/>
                <w:spacing w:val="1"/>
                <w:vertAlign w:val="superscript"/>
              </w:rPr>
              <w:t>c</w:t>
            </w:r>
            <w:r>
              <w:rPr>
                <w:b/>
                <w:spacing w:val="1"/>
              </w:rPr>
              <w:t xml:space="preserve"> n=60</w:t>
            </w:r>
          </w:p>
        </w:tc>
        <w:tc>
          <w:tcPr>
            <w:tcW w:w="1738" w:type="dxa"/>
            <w:tcBorders>
              <w:bottom w:val="single" w:sz="4" w:space="0" w:color="auto"/>
            </w:tcBorders>
          </w:tcPr>
          <w:p w14:paraId="198444A9" w14:textId="77777777" w:rsidR="00C04CAD" w:rsidRDefault="00060E34">
            <w:pPr>
              <w:keepNext/>
              <w:tabs>
                <w:tab w:val="clear" w:pos="567"/>
              </w:tabs>
              <w:kinsoku w:val="0"/>
              <w:overflowPunct w:val="0"/>
              <w:autoSpaceDE w:val="0"/>
              <w:autoSpaceDN w:val="0"/>
              <w:adjustRightInd w:val="0"/>
              <w:spacing w:line="240" w:lineRule="auto"/>
              <w:jc w:val="center"/>
              <w:rPr>
                <w:b/>
                <w:spacing w:val="2"/>
              </w:rPr>
            </w:pPr>
            <w:r>
              <w:rPr>
                <w:rFonts w:eastAsia="MS Mincho"/>
                <w:b/>
                <w:spacing w:val="2"/>
                <w:szCs w:val="22"/>
                <w:lang w:eastAsia="en-US" w:bidi="ar-SA"/>
              </w:rPr>
              <w:t>Adalimumab</w:t>
            </w:r>
            <w:r>
              <w:rPr>
                <w:rFonts w:eastAsia="MS Mincho"/>
                <w:b/>
                <w:spacing w:val="2"/>
                <w:szCs w:val="22"/>
                <w:vertAlign w:val="superscript"/>
                <w:lang w:eastAsia="en-US" w:bidi="ar-SA"/>
              </w:rPr>
              <w:t>b</w:t>
            </w:r>
            <w:r>
              <w:rPr>
                <w:b/>
                <w:spacing w:val="2"/>
              </w:rPr>
              <w:t>/ MTX</w:t>
            </w:r>
            <w:r>
              <w:rPr>
                <w:b/>
                <w:spacing w:val="2"/>
                <w:vertAlign w:val="superscript"/>
              </w:rPr>
              <w:t>c</w:t>
            </w:r>
          </w:p>
          <w:p w14:paraId="024ACA62"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2"/>
              </w:rPr>
              <w:t>n=63</w:t>
            </w:r>
          </w:p>
        </w:tc>
        <w:tc>
          <w:tcPr>
            <w:tcW w:w="1026" w:type="dxa"/>
            <w:tcBorders>
              <w:bottom w:val="single" w:sz="4" w:space="0" w:color="auto"/>
            </w:tcBorders>
          </w:tcPr>
          <w:p w14:paraId="0A42D3EB"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3"/>
              </w:rPr>
              <w:t>Placebo n=110</w:t>
            </w:r>
          </w:p>
        </w:tc>
        <w:tc>
          <w:tcPr>
            <w:tcW w:w="1696" w:type="dxa"/>
            <w:tcBorders>
              <w:bottom w:val="single" w:sz="4" w:space="0" w:color="auto"/>
            </w:tcBorders>
          </w:tcPr>
          <w:p w14:paraId="40C88855" w14:textId="77777777" w:rsidR="00C04CAD" w:rsidRDefault="00060E34">
            <w:pPr>
              <w:keepNext/>
              <w:tabs>
                <w:tab w:val="clear" w:pos="567"/>
              </w:tabs>
              <w:kinsoku w:val="0"/>
              <w:overflowPunct w:val="0"/>
              <w:autoSpaceDE w:val="0"/>
              <w:autoSpaceDN w:val="0"/>
              <w:adjustRightInd w:val="0"/>
              <w:spacing w:line="240" w:lineRule="auto"/>
              <w:jc w:val="center"/>
              <w:rPr>
                <w:rFonts w:eastAsia="MS Mincho"/>
                <w:b/>
                <w:spacing w:val="-3"/>
                <w:szCs w:val="22"/>
                <w:lang w:eastAsia="en-US" w:bidi="ar-SA"/>
              </w:rPr>
            </w:pPr>
            <w:r>
              <w:rPr>
                <w:rFonts w:eastAsia="MS Mincho"/>
                <w:b/>
                <w:spacing w:val="-3"/>
                <w:szCs w:val="22"/>
                <w:lang w:eastAsia="en-US" w:bidi="ar-SA"/>
              </w:rPr>
              <w:t>Adalimumab</w:t>
            </w:r>
            <w:r>
              <w:rPr>
                <w:rFonts w:eastAsia="MS Mincho"/>
                <w:b/>
                <w:spacing w:val="-3"/>
                <w:szCs w:val="22"/>
                <w:vertAlign w:val="superscript"/>
                <w:lang w:eastAsia="en-US" w:bidi="ar-SA"/>
              </w:rPr>
              <w:t>b</w:t>
            </w:r>
          </w:p>
          <w:p w14:paraId="68230AEB"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3"/>
              </w:rPr>
              <w:t>n=113</w:t>
            </w:r>
          </w:p>
        </w:tc>
        <w:tc>
          <w:tcPr>
            <w:tcW w:w="1003" w:type="dxa"/>
            <w:tcBorders>
              <w:bottom w:val="single" w:sz="4" w:space="0" w:color="auto"/>
            </w:tcBorders>
          </w:tcPr>
          <w:p w14:paraId="2366D96D"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3"/>
              </w:rPr>
              <w:t>Placebo/ MTX</w:t>
            </w:r>
            <w:r>
              <w:rPr>
                <w:b/>
                <w:spacing w:val="-3"/>
                <w:vertAlign w:val="superscript"/>
              </w:rPr>
              <w:t>c</w:t>
            </w:r>
            <w:r>
              <w:rPr>
                <w:b/>
                <w:spacing w:val="-3"/>
              </w:rPr>
              <w:t xml:space="preserve"> n=200</w:t>
            </w:r>
          </w:p>
        </w:tc>
        <w:tc>
          <w:tcPr>
            <w:tcW w:w="1561" w:type="dxa"/>
            <w:tcBorders>
              <w:bottom w:val="single" w:sz="4" w:space="0" w:color="auto"/>
            </w:tcBorders>
          </w:tcPr>
          <w:p w14:paraId="3BAFEE55" w14:textId="77777777" w:rsidR="00C04CAD" w:rsidRDefault="00060E34">
            <w:pPr>
              <w:keepNext/>
              <w:tabs>
                <w:tab w:val="clear" w:pos="567"/>
              </w:tabs>
              <w:kinsoku w:val="0"/>
              <w:overflowPunct w:val="0"/>
              <w:autoSpaceDE w:val="0"/>
              <w:autoSpaceDN w:val="0"/>
              <w:adjustRightInd w:val="0"/>
              <w:spacing w:line="240" w:lineRule="auto"/>
              <w:jc w:val="center"/>
              <w:rPr>
                <w:b/>
                <w:spacing w:val="-3"/>
              </w:rPr>
            </w:pPr>
            <w:r>
              <w:rPr>
                <w:rFonts w:eastAsia="MS Mincho"/>
                <w:b/>
                <w:spacing w:val="-3"/>
                <w:szCs w:val="22"/>
                <w:lang w:eastAsia="en-US" w:bidi="ar-SA"/>
              </w:rPr>
              <w:t>Adalimumab</w:t>
            </w:r>
            <w:r>
              <w:rPr>
                <w:rFonts w:eastAsia="MS Mincho"/>
                <w:b/>
                <w:spacing w:val="-3"/>
                <w:szCs w:val="22"/>
                <w:vertAlign w:val="superscript"/>
                <w:lang w:eastAsia="en-US" w:bidi="ar-SA"/>
              </w:rPr>
              <w:t>b</w:t>
            </w:r>
            <w:r>
              <w:rPr>
                <w:b/>
                <w:spacing w:val="-3"/>
              </w:rPr>
              <w:t>/ MTX</w:t>
            </w:r>
            <w:r>
              <w:rPr>
                <w:b/>
                <w:spacing w:val="-3"/>
                <w:vertAlign w:val="superscript"/>
              </w:rPr>
              <w:t>c</w:t>
            </w:r>
          </w:p>
          <w:p w14:paraId="67571482"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3"/>
              </w:rPr>
              <w:t>n=207</w:t>
            </w:r>
          </w:p>
        </w:tc>
      </w:tr>
      <w:tr w:rsidR="00C04CAD" w14:paraId="725FDBF6" w14:textId="77777777">
        <w:trPr>
          <w:trHeight w:hRule="exact" w:val="265"/>
        </w:trPr>
        <w:tc>
          <w:tcPr>
            <w:tcW w:w="1382" w:type="dxa"/>
            <w:tcBorders>
              <w:right w:val="nil"/>
            </w:tcBorders>
          </w:tcPr>
          <w:p w14:paraId="1F7465F9" w14:textId="77777777" w:rsidR="00C04CAD" w:rsidRDefault="00060E34">
            <w:pPr>
              <w:tabs>
                <w:tab w:val="clear" w:pos="567"/>
              </w:tabs>
              <w:kinsoku w:val="0"/>
              <w:overflowPunct w:val="0"/>
              <w:autoSpaceDE w:val="0"/>
              <w:autoSpaceDN w:val="0"/>
              <w:adjustRightInd w:val="0"/>
              <w:spacing w:line="240" w:lineRule="auto"/>
            </w:pPr>
            <w:r>
              <w:t>ACR 20</w:t>
            </w:r>
          </w:p>
        </w:tc>
        <w:tc>
          <w:tcPr>
            <w:tcW w:w="952" w:type="dxa"/>
            <w:tcBorders>
              <w:left w:val="nil"/>
              <w:right w:val="nil"/>
            </w:tcBorders>
          </w:tcPr>
          <w:p w14:paraId="4F78D048" w14:textId="77777777" w:rsidR="00C04CAD" w:rsidRDefault="00C04CAD">
            <w:pPr>
              <w:tabs>
                <w:tab w:val="clear" w:pos="567"/>
              </w:tabs>
              <w:kinsoku w:val="0"/>
              <w:overflowPunct w:val="0"/>
              <w:autoSpaceDE w:val="0"/>
              <w:autoSpaceDN w:val="0"/>
              <w:adjustRightInd w:val="0"/>
              <w:spacing w:line="240" w:lineRule="auto"/>
              <w:jc w:val="center"/>
            </w:pPr>
          </w:p>
        </w:tc>
        <w:tc>
          <w:tcPr>
            <w:tcW w:w="1738" w:type="dxa"/>
            <w:tcBorders>
              <w:left w:val="nil"/>
              <w:right w:val="nil"/>
            </w:tcBorders>
          </w:tcPr>
          <w:p w14:paraId="68DB374A" w14:textId="77777777" w:rsidR="00C04CAD" w:rsidRDefault="00C04CAD">
            <w:pPr>
              <w:tabs>
                <w:tab w:val="clear" w:pos="567"/>
              </w:tabs>
              <w:kinsoku w:val="0"/>
              <w:overflowPunct w:val="0"/>
              <w:autoSpaceDE w:val="0"/>
              <w:autoSpaceDN w:val="0"/>
              <w:adjustRightInd w:val="0"/>
              <w:spacing w:line="240" w:lineRule="auto"/>
              <w:jc w:val="center"/>
            </w:pPr>
          </w:p>
        </w:tc>
        <w:tc>
          <w:tcPr>
            <w:tcW w:w="1026" w:type="dxa"/>
            <w:tcBorders>
              <w:left w:val="nil"/>
              <w:right w:val="nil"/>
            </w:tcBorders>
          </w:tcPr>
          <w:p w14:paraId="3CE5099E" w14:textId="77777777" w:rsidR="00C04CAD" w:rsidRDefault="00C04CAD">
            <w:pPr>
              <w:tabs>
                <w:tab w:val="clear" w:pos="567"/>
              </w:tabs>
              <w:kinsoku w:val="0"/>
              <w:overflowPunct w:val="0"/>
              <w:autoSpaceDE w:val="0"/>
              <w:autoSpaceDN w:val="0"/>
              <w:adjustRightInd w:val="0"/>
              <w:spacing w:line="240" w:lineRule="auto"/>
              <w:jc w:val="center"/>
            </w:pPr>
          </w:p>
        </w:tc>
        <w:tc>
          <w:tcPr>
            <w:tcW w:w="1696" w:type="dxa"/>
            <w:tcBorders>
              <w:left w:val="nil"/>
              <w:right w:val="nil"/>
            </w:tcBorders>
          </w:tcPr>
          <w:p w14:paraId="39AED647" w14:textId="77777777" w:rsidR="00C04CAD" w:rsidRDefault="00C04CAD">
            <w:pPr>
              <w:tabs>
                <w:tab w:val="clear" w:pos="567"/>
              </w:tabs>
              <w:kinsoku w:val="0"/>
              <w:overflowPunct w:val="0"/>
              <w:autoSpaceDE w:val="0"/>
              <w:autoSpaceDN w:val="0"/>
              <w:adjustRightInd w:val="0"/>
              <w:spacing w:line="240" w:lineRule="auto"/>
              <w:jc w:val="center"/>
            </w:pPr>
          </w:p>
        </w:tc>
        <w:tc>
          <w:tcPr>
            <w:tcW w:w="1003" w:type="dxa"/>
            <w:tcBorders>
              <w:left w:val="nil"/>
              <w:right w:val="nil"/>
            </w:tcBorders>
          </w:tcPr>
          <w:p w14:paraId="035F4082" w14:textId="77777777" w:rsidR="00C04CAD" w:rsidRDefault="00C04CAD">
            <w:pPr>
              <w:tabs>
                <w:tab w:val="clear" w:pos="567"/>
              </w:tabs>
              <w:kinsoku w:val="0"/>
              <w:overflowPunct w:val="0"/>
              <w:autoSpaceDE w:val="0"/>
              <w:autoSpaceDN w:val="0"/>
              <w:adjustRightInd w:val="0"/>
              <w:spacing w:line="240" w:lineRule="auto"/>
              <w:jc w:val="center"/>
            </w:pPr>
          </w:p>
        </w:tc>
        <w:tc>
          <w:tcPr>
            <w:tcW w:w="1561" w:type="dxa"/>
            <w:tcBorders>
              <w:left w:val="nil"/>
            </w:tcBorders>
          </w:tcPr>
          <w:p w14:paraId="783A5F1D" w14:textId="77777777" w:rsidR="00C04CAD" w:rsidRDefault="00C04CAD">
            <w:pPr>
              <w:tabs>
                <w:tab w:val="clear" w:pos="567"/>
              </w:tabs>
              <w:kinsoku w:val="0"/>
              <w:overflowPunct w:val="0"/>
              <w:autoSpaceDE w:val="0"/>
              <w:autoSpaceDN w:val="0"/>
              <w:adjustRightInd w:val="0"/>
              <w:spacing w:line="240" w:lineRule="auto"/>
              <w:jc w:val="center"/>
            </w:pPr>
          </w:p>
        </w:tc>
      </w:tr>
      <w:tr w:rsidR="00C04CAD" w14:paraId="5FBB39AE" w14:textId="77777777">
        <w:trPr>
          <w:trHeight w:val="243"/>
        </w:trPr>
        <w:tc>
          <w:tcPr>
            <w:tcW w:w="1382" w:type="dxa"/>
          </w:tcPr>
          <w:p w14:paraId="62865318" w14:textId="77777777" w:rsidR="00C04CAD" w:rsidRDefault="00060E34">
            <w:pPr>
              <w:kinsoku w:val="0"/>
              <w:overflowPunct w:val="0"/>
              <w:autoSpaceDE w:val="0"/>
              <w:autoSpaceDN w:val="0"/>
              <w:adjustRightInd w:val="0"/>
              <w:spacing w:line="240" w:lineRule="auto"/>
              <w:ind w:left="561"/>
              <w:jc w:val="center"/>
            </w:pPr>
            <w:r>
              <w:t xml:space="preserve">6 </w:t>
            </w:r>
            <w:r>
              <w:rPr>
                <w:spacing w:val="1"/>
              </w:rPr>
              <w:t>l</w:t>
            </w:r>
            <w:r>
              <w:t>u</w:t>
            </w:r>
            <w:r>
              <w:rPr>
                <w:spacing w:val="-3"/>
              </w:rPr>
              <w:t>n</w:t>
            </w:r>
            <w:r>
              <w:t>i</w:t>
            </w:r>
          </w:p>
        </w:tc>
        <w:tc>
          <w:tcPr>
            <w:tcW w:w="952" w:type="dxa"/>
          </w:tcPr>
          <w:p w14:paraId="562E9AC1" w14:textId="77777777" w:rsidR="00C04CAD" w:rsidRDefault="00060E34">
            <w:pPr>
              <w:tabs>
                <w:tab w:val="clear" w:pos="567"/>
              </w:tabs>
              <w:kinsoku w:val="0"/>
              <w:overflowPunct w:val="0"/>
              <w:autoSpaceDE w:val="0"/>
              <w:autoSpaceDN w:val="0"/>
              <w:adjustRightInd w:val="0"/>
              <w:spacing w:line="240" w:lineRule="auto"/>
              <w:jc w:val="center"/>
            </w:pPr>
            <w:r>
              <w:t>13,3%</w:t>
            </w:r>
          </w:p>
        </w:tc>
        <w:tc>
          <w:tcPr>
            <w:tcW w:w="1738" w:type="dxa"/>
          </w:tcPr>
          <w:p w14:paraId="54F3D28D" w14:textId="77777777" w:rsidR="00C04CAD" w:rsidRDefault="00060E34">
            <w:pPr>
              <w:tabs>
                <w:tab w:val="clear" w:pos="567"/>
              </w:tabs>
              <w:kinsoku w:val="0"/>
              <w:overflowPunct w:val="0"/>
              <w:autoSpaceDE w:val="0"/>
              <w:autoSpaceDN w:val="0"/>
              <w:adjustRightInd w:val="0"/>
              <w:spacing w:line="240" w:lineRule="auto"/>
              <w:jc w:val="center"/>
            </w:pPr>
            <w:r>
              <w:t>65,1%</w:t>
            </w:r>
          </w:p>
        </w:tc>
        <w:tc>
          <w:tcPr>
            <w:tcW w:w="1026" w:type="dxa"/>
          </w:tcPr>
          <w:p w14:paraId="28E14F67" w14:textId="77777777" w:rsidR="00C04CAD" w:rsidRDefault="00060E34">
            <w:pPr>
              <w:tabs>
                <w:tab w:val="clear" w:pos="567"/>
              </w:tabs>
              <w:kinsoku w:val="0"/>
              <w:overflowPunct w:val="0"/>
              <w:autoSpaceDE w:val="0"/>
              <w:autoSpaceDN w:val="0"/>
              <w:adjustRightInd w:val="0"/>
              <w:spacing w:line="240" w:lineRule="auto"/>
              <w:jc w:val="center"/>
            </w:pPr>
            <w:r>
              <w:t>19,1%</w:t>
            </w:r>
          </w:p>
        </w:tc>
        <w:tc>
          <w:tcPr>
            <w:tcW w:w="1696" w:type="dxa"/>
          </w:tcPr>
          <w:p w14:paraId="66AFF6A3" w14:textId="77777777" w:rsidR="00C04CAD" w:rsidRDefault="00060E34">
            <w:pPr>
              <w:tabs>
                <w:tab w:val="clear" w:pos="567"/>
              </w:tabs>
              <w:kinsoku w:val="0"/>
              <w:overflowPunct w:val="0"/>
              <w:autoSpaceDE w:val="0"/>
              <w:autoSpaceDN w:val="0"/>
              <w:adjustRightInd w:val="0"/>
              <w:spacing w:line="240" w:lineRule="auto"/>
              <w:jc w:val="center"/>
            </w:pPr>
            <w:r>
              <w:rPr>
                <w:spacing w:val="-3"/>
              </w:rPr>
              <w:t>46</w:t>
            </w:r>
            <w:r>
              <w:t>,0%</w:t>
            </w:r>
          </w:p>
        </w:tc>
        <w:tc>
          <w:tcPr>
            <w:tcW w:w="1003" w:type="dxa"/>
          </w:tcPr>
          <w:p w14:paraId="0795AB5A" w14:textId="77777777" w:rsidR="00C04CAD" w:rsidRDefault="00060E34">
            <w:pPr>
              <w:tabs>
                <w:tab w:val="clear" w:pos="567"/>
              </w:tabs>
              <w:kinsoku w:val="0"/>
              <w:overflowPunct w:val="0"/>
              <w:autoSpaceDE w:val="0"/>
              <w:autoSpaceDN w:val="0"/>
              <w:adjustRightInd w:val="0"/>
              <w:spacing w:line="240" w:lineRule="auto"/>
              <w:jc w:val="center"/>
            </w:pPr>
            <w:r>
              <w:t>29,5%</w:t>
            </w:r>
          </w:p>
        </w:tc>
        <w:tc>
          <w:tcPr>
            <w:tcW w:w="1561" w:type="dxa"/>
          </w:tcPr>
          <w:p w14:paraId="13DB50E6" w14:textId="77777777" w:rsidR="00C04CAD" w:rsidRDefault="00060E34">
            <w:pPr>
              <w:tabs>
                <w:tab w:val="clear" w:pos="567"/>
              </w:tabs>
              <w:kinsoku w:val="0"/>
              <w:overflowPunct w:val="0"/>
              <w:autoSpaceDE w:val="0"/>
              <w:autoSpaceDN w:val="0"/>
              <w:adjustRightInd w:val="0"/>
              <w:spacing w:line="240" w:lineRule="auto"/>
              <w:jc w:val="center"/>
            </w:pPr>
            <w:r>
              <w:t>63,3%</w:t>
            </w:r>
          </w:p>
        </w:tc>
      </w:tr>
      <w:tr w:rsidR="00C04CAD" w14:paraId="63D97C18" w14:textId="77777777">
        <w:trPr>
          <w:trHeight w:hRule="exact" w:val="253"/>
        </w:trPr>
        <w:tc>
          <w:tcPr>
            <w:tcW w:w="1382" w:type="dxa"/>
            <w:tcBorders>
              <w:bottom w:val="single" w:sz="4" w:space="0" w:color="auto"/>
            </w:tcBorders>
          </w:tcPr>
          <w:p w14:paraId="2CA0B5E8" w14:textId="77777777" w:rsidR="00C04CAD" w:rsidRDefault="00060E34">
            <w:pPr>
              <w:tabs>
                <w:tab w:val="clear" w:pos="567"/>
              </w:tabs>
              <w:kinsoku w:val="0"/>
              <w:overflowPunct w:val="0"/>
              <w:autoSpaceDE w:val="0"/>
              <w:autoSpaceDN w:val="0"/>
              <w:adjustRightInd w:val="0"/>
              <w:spacing w:line="240" w:lineRule="auto"/>
              <w:ind w:left="561"/>
              <w:jc w:val="center"/>
            </w:pPr>
            <w:r>
              <w:t xml:space="preserve">12 </w:t>
            </w:r>
            <w:r>
              <w:rPr>
                <w:spacing w:val="1"/>
              </w:rPr>
              <w:t>l</w:t>
            </w:r>
            <w:r>
              <w:t>u</w:t>
            </w:r>
            <w:r>
              <w:rPr>
                <w:spacing w:val="-3"/>
              </w:rPr>
              <w:t>n</w:t>
            </w:r>
            <w:r>
              <w:t>i</w:t>
            </w:r>
          </w:p>
        </w:tc>
        <w:tc>
          <w:tcPr>
            <w:tcW w:w="952" w:type="dxa"/>
            <w:tcBorders>
              <w:bottom w:val="single" w:sz="4" w:space="0" w:color="auto"/>
            </w:tcBorders>
          </w:tcPr>
          <w:p w14:paraId="2C6F5C20"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738" w:type="dxa"/>
            <w:tcBorders>
              <w:bottom w:val="single" w:sz="4" w:space="0" w:color="auto"/>
            </w:tcBorders>
          </w:tcPr>
          <w:p w14:paraId="472DFF1B"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026" w:type="dxa"/>
            <w:tcBorders>
              <w:bottom w:val="single" w:sz="4" w:space="0" w:color="auto"/>
            </w:tcBorders>
          </w:tcPr>
          <w:p w14:paraId="4AA09396"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696" w:type="dxa"/>
            <w:tcBorders>
              <w:bottom w:val="single" w:sz="4" w:space="0" w:color="auto"/>
            </w:tcBorders>
          </w:tcPr>
          <w:p w14:paraId="0D4AC719"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003" w:type="dxa"/>
            <w:tcBorders>
              <w:bottom w:val="single" w:sz="4" w:space="0" w:color="auto"/>
            </w:tcBorders>
          </w:tcPr>
          <w:p w14:paraId="08C4C940" w14:textId="77777777" w:rsidR="00C04CAD" w:rsidRDefault="00060E34">
            <w:pPr>
              <w:tabs>
                <w:tab w:val="clear" w:pos="567"/>
              </w:tabs>
              <w:kinsoku w:val="0"/>
              <w:overflowPunct w:val="0"/>
              <w:autoSpaceDE w:val="0"/>
              <w:autoSpaceDN w:val="0"/>
              <w:adjustRightInd w:val="0"/>
              <w:spacing w:line="240" w:lineRule="auto"/>
              <w:jc w:val="center"/>
            </w:pPr>
            <w:r>
              <w:t>24,0%</w:t>
            </w:r>
          </w:p>
        </w:tc>
        <w:tc>
          <w:tcPr>
            <w:tcW w:w="1561" w:type="dxa"/>
            <w:tcBorders>
              <w:bottom w:val="single" w:sz="4" w:space="0" w:color="auto"/>
            </w:tcBorders>
          </w:tcPr>
          <w:p w14:paraId="00695473" w14:textId="77777777" w:rsidR="00C04CAD" w:rsidRDefault="00060E34">
            <w:pPr>
              <w:tabs>
                <w:tab w:val="clear" w:pos="567"/>
              </w:tabs>
              <w:kinsoku w:val="0"/>
              <w:overflowPunct w:val="0"/>
              <w:autoSpaceDE w:val="0"/>
              <w:autoSpaceDN w:val="0"/>
              <w:adjustRightInd w:val="0"/>
              <w:spacing w:line="240" w:lineRule="auto"/>
              <w:jc w:val="center"/>
            </w:pPr>
            <w:r>
              <w:t>58,9%</w:t>
            </w:r>
          </w:p>
        </w:tc>
      </w:tr>
      <w:tr w:rsidR="00C04CAD" w14:paraId="2E062241" w14:textId="77777777">
        <w:trPr>
          <w:trHeight w:hRule="exact" w:val="252"/>
        </w:trPr>
        <w:tc>
          <w:tcPr>
            <w:tcW w:w="1382" w:type="dxa"/>
            <w:tcBorders>
              <w:right w:val="nil"/>
            </w:tcBorders>
          </w:tcPr>
          <w:p w14:paraId="297A8707" w14:textId="77777777" w:rsidR="00C04CAD" w:rsidRDefault="00060E34">
            <w:pPr>
              <w:keepNext/>
              <w:tabs>
                <w:tab w:val="clear" w:pos="567"/>
              </w:tabs>
              <w:kinsoku w:val="0"/>
              <w:overflowPunct w:val="0"/>
              <w:autoSpaceDE w:val="0"/>
              <w:autoSpaceDN w:val="0"/>
              <w:adjustRightInd w:val="0"/>
              <w:spacing w:line="240" w:lineRule="auto"/>
            </w:pPr>
            <w:r>
              <w:rPr>
                <w:spacing w:val="-1"/>
              </w:rPr>
              <w:t>AC</w:t>
            </w:r>
            <w:r>
              <w:t>R</w:t>
            </w:r>
            <w:r>
              <w:rPr>
                <w:spacing w:val="-1"/>
              </w:rPr>
              <w:t xml:space="preserve"> </w:t>
            </w:r>
            <w:r>
              <w:t>50</w:t>
            </w:r>
          </w:p>
        </w:tc>
        <w:tc>
          <w:tcPr>
            <w:tcW w:w="952" w:type="dxa"/>
            <w:tcBorders>
              <w:left w:val="nil"/>
              <w:right w:val="nil"/>
            </w:tcBorders>
          </w:tcPr>
          <w:p w14:paraId="5C9AE564" w14:textId="77777777" w:rsidR="00C04CAD" w:rsidRDefault="00C04CAD">
            <w:pPr>
              <w:keepNext/>
              <w:tabs>
                <w:tab w:val="clear" w:pos="567"/>
              </w:tabs>
              <w:autoSpaceDE w:val="0"/>
              <w:autoSpaceDN w:val="0"/>
              <w:adjustRightInd w:val="0"/>
              <w:spacing w:line="240" w:lineRule="auto"/>
              <w:jc w:val="center"/>
            </w:pPr>
          </w:p>
        </w:tc>
        <w:tc>
          <w:tcPr>
            <w:tcW w:w="1738" w:type="dxa"/>
            <w:tcBorders>
              <w:left w:val="nil"/>
              <w:right w:val="nil"/>
            </w:tcBorders>
          </w:tcPr>
          <w:p w14:paraId="3D5F22F7" w14:textId="77777777" w:rsidR="00C04CAD" w:rsidRDefault="00C04CAD">
            <w:pPr>
              <w:keepNext/>
              <w:tabs>
                <w:tab w:val="clear" w:pos="567"/>
              </w:tabs>
              <w:autoSpaceDE w:val="0"/>
              <w:autoSpaceDN w:val="0"/>
              <w:adjustRightInd w:val="0"/>
              <w:spacing w:line="240" w:lineRule="auto"/>
              <w:jc w:val="center"/>
            </w:pPr>
          </w:p>
        </w:tc>
        <w:tc>
          <w:tcPr>
            <w:tcW w:w="1026" w:type="dxa"/>
            <w:tcBorders>
              <w:left w:val="nil"/>
              <w:right w:val="nil"/>
            </w:tcBorders>
          </w:tcPr>
          <w:p w14:paraId="05CD3E51" w14:textId="77777777" w:rsidR="00C04CAD" w:rsidRDefault="00C04CAD">
            <w:pPr>
              <w:keepNext/>
              <w:tabs>
                <w:tab w:val="clear" w:pos="567"/>
              </w:tabs>
              <w:autoSpaceDE w:val="0"/>
              <w:autoSpaceDN w:val="0"/>
              <w:adjustRightInd w:val="0"/>
              <w:spacing w:line="240" w:lineRule="auto"/>
              <w:jc w:val="center"/>
            </w:pPr>
          </w:p>
        </w:tc>
        <w:tc>
          <w:tcPr>
            <w:tcW w:w="1696" w:type="dxa"/>
            <w:tcBorders>
              <w:left w:val="nil"/>
              <w:right w:val="nil"/>
            </w:tcBorders>
          </w:tcPr>
          <w:p w14:paraId="2DDC6213" w14:textId="77777777" w:rsidR="00C04CAD" w:rsidRDefault="00C04CAD">
            <w:pPr>
              <w:keepNext/>
              <w:tabs>
                <w:tab w:val="clear" w:pos="567"/>
              </w:tabs>
              <w:autoSpaceDE w:val="0"/>
              <w:autoSpaceDN w:val="0"/>
              <w:adjustRightInd w:val="0"/>
              <w:spacing w:line="240" w:lineRule="auto"/>
              <w:jc w:val="center"/>
            </w:pPr>
          </w:p>
        </w:tc>
        <w:tc>
          <w:tcPr>
            <w:tcW w:w="1003" w:type="dxa"/>
            <w:tcBorders>
              <w:left w:val="nil"/>
              <w:right w:val="nil"/>
            </w:tcBorders>
          </w:tcPr>
          <w:p w14:paraId="7AAB32AA" w14:textId="77777777" w:rsidR="00C04CAD" w:rsidRDefault="00C04CAD">
            <w:pPr>
              <w:keepNext/>
              <w:tabs>
                <w:tab w:val="clear" w:pos="567"/>
              </w:tabs>
              <w:autoSpaceDE w:val="0"/>
              <w:autoSpaceDN w:val="0"/>
              <w:adjustRightInd w:val="0"/>
              <w:spacing w:line="240" w:lineRule="auto"/>
              <w:jc w:val="center"/>
            </w:pPr>
          </w:p>
        </w:tc>
        <w:tc>
          <w:tcPr>
            <w:tcW w:w="1561" w:type="dxa"/>
            <w:tcBorders>
              <w:left w:val="nil"/>
            </w:tcBorders>
          </w:tcPr>
          <w:p w14:paraId="14C393B4" w14:textId="77777777" w:rsidR="00C04CAD" w:rsidRDefault="00C04CAD">
            <w:pPr>
              <w:keepNext/>
              <w:tabs>
                <w:tab w:val="clear" w:pos="567"/>
              </w:tabs>
              <w:autoSpaceDE w:val="0"/>
              <w:autoSpaceDN w:val="0"/>
              <w:adjustRightInd w:val="0"/>
              <w:spacing w:line="240" w:lineRule="auto"/>
              <w:jc w:val="center"/>
            </w:pPr>
          </w:p>
        </w:tc>
      </w:tr>
      <w:tr w:rsidR="00C04CAD" w14:paraId="107AEC3A" w14:textId="77777777">
        <w:trPr>
          <w:trHeight w:hRule="exact" w:val="253"/>
        </w:trPr>
        <w:tc>
          <w:tcPr>
            <w:tcW w:w="1382" w:type="dxa"/>
          </w:tcPr>
          <w:p w14:paraId="3C5CE47E" w14:textId="77777777" w:rsidR="00C04CAD" w:rsidRDefault="00060E34">
            <w:pPr>
              <w:keepNext/>
              <w:tabs>
                <w:tab w:val="clear" w:pos="567"/>
              </w:tabs>
              <w:kinsoku w:val="0"/>
              <w:overflowPunct w:val="0"/>
              <w:autoSpaceDE w:val="0"/>
              <w:autoSpaceDN w:val="0"/>
              <w:adjustRightInd w:val="0"/>
              <w:spacing w:line="240" w:lineRule="auto"/>
              <w:ind w:left="561"/>
              <w:jc w:val="center"/>
            </w:pPr>
            <w:r>
              <w:t xml:space="preserve">6 </w:t>
            </w:r>
            <w:r>
              <w:rPr>
                <w:spacing w:val="1"/>
              </w:rPr>
              <w:t>l</w:t>
            </w:r>
            <w:r>
              <w:t>u</w:t>
            </w:r>
            <w:r>
              <w:rPr>
                <w:spacing w:val="-3"/>
              </w:rPr>
              <w:t>n</w:t>
            </w:r>
            <w:r>
              <w:t>i</w:t>
            </w:r>
          </w:p>
        </w:tc>
        <w:tc>
          <w:tcPr>
            <w:tcW w:w="952" w:type="dxa"/>
          </w:tcPr>
          <w:p w14:paraId="52B6772F" w14:textId="77777777" w:rsidR="00C04CAD" w:rsidRDefault="00060E34">
            <w:pPr>
              <w:keepNext/>
              <w:tabs>
                <w:tab w:val="clear" w:pos="567"/>
              </w:tabs>
              <w:kinsoku w:val="0"/>
              <w:overflowPunct w:val="0"/>
              <w:autoSpaceDE w:val="0"/>
              <w:autoSpaceDN w:val="0"/>
              <w:adjustRightInd w:val="0"/>
              <w:spacing w:line="240" w:lineRule="auto"/>
              <w:jc w:val="center"/>
            </w:pPr>
            <w:r>
              <w:t>6,7%</w:t>
            </w:r>
          </w:p>
        </w:tc>
        <w:tc>
          <w:tcPr>
            <w:tcW w:w="1738" w:type="dxa"/>
          </w:tcPr>
          <w:p w14:paraId="3D0735DE" w14:textId="77777777" w:rsidR="00C04CAD" w:rsidRDefault="00060E34">
            <w:pPr>
              <w:keepNext/>
              <w:tabs>
                <w:tab w:val="clear" w:pos="567"/>
              </w:tabs>
              <w:kinsoku w:val="0"/>
              <w:overflowPunct w:val="0"/>
              <w:autoSpaceDE w:val="0"/>
              <w:autoSpaceDN w:val="0"/>
              <w:adjustRightInd w:val="0"/>
              <w:spacing w:line="240" w:lineRule="auto"/>
              <w:jc w:val="center"/>
              <w:rPr>
                <w:spacing w:val="2"/>
              </w:rPr>
            </w:pPr>
            <w:r>
              <w:rPr>
                <w:spacing w:val="2"/>
              </w:rPr>
              <w:t>52,4%</w:t>
            </w:r>
          </w:p>
        </w:tc>
        <w:tc>
          <w:tcPr>
            <w:tcW w:w="1026" w:type="dxa"/>
          </w:tcPr>
          <w:p w14:paraId="58AA5FC9" w14:textId="77777777" w:rsidR="00C04CAD" w:rsidRDefault="00060E34">
            <w:pPr>
              <w:keepNext/>
              <w:tabs>
                <w:tab w:val="clear" w:pos="567"/>
              </w:tabs>
              <w:kinsoku w:val="0"/>
              <w:overflowPunct w:val="0"/>
              <w:autoSpaceDE w:val="0"/>
              <w:autoSpaceDN w:val="0"/>
              <w:adjustRightInd w:val="0"/>
              <w:spacing w:line="240" w:lineRule="auto"/>
              <w:jc w:val="center"/>
            </w:pPr>
            <w:r>
              <w:t>8,2%</w:t>
            </w:r>
          </w:p>
        </w:tc>
        <w:tc>
          <w:tcPr>
            <w:tcW w:w="1696" w:type="dxa"/>
          </w:tcPr>
          <w:p w14:paraId="1B298F91" w14:textId="77777777" w:rsidR="00C04CAD" w:rsidRDefault="00060E34">
            <w:pPr>
              <w:keepNext/>
              <w:tabs>
                <w:tab w:val="clear" w:pos="567"/>
              </w:tabs>
              <w:kinsoku w:val="0"/>
              <w:overflowPunct w:val="0"/>
              <w:autoSpaceDE w:val="0"/>
              <w:autoSpaceDN w:val="0"/>
              <w:adjustRightInd w:val="0"/>
              <w:spacing w:line="240" w:lineRule="auto"/>
              <w:jc w:val="center"/>
            </w:pPr>
            <w:r>
              <w:t>22,1%</w:t>
            </w:r>
          </w:p>
        </w:tc>
        <w:tc>
          <w:tcPr>
            <w:tcW w:w="1003" w:type="dxa"/>
          </w:tcPr>
          <w:p w14:paraId="24757695" w14:textId="77777777" w:rsidR="00C04CAD" w:rsidRDefault="00060E34">
            <w:pPr>
              <w:keepNext/>
              <w:tabs>
                <w:tab w:val="clear" w:pos="567"/>
              </w:tabs>
              <w:kinsoku w:val="0"/>
              <w:overflowPunct w:val="0"/>
              <w:autoSpaceDE w:val="0"/>
              <w:autoSpaceDN w:val="0"/>
              <w:adjustRightInd w:val="0"/>
              <w:spacing w:line="240" w:lineRule="auto"/>
              <w:jc w:val="center"/>
            </w:pPr>
            <w:r>
              <w:t>9,5%</w:t>
            </w:r>
          </w:p>
        </w:tc>
        <w:tc>
          <w:tcPr>
            <w:tcW w:w="1561" w:type="dxa"/>
          </w:tcPr>
          <w:p w14:paraId="495301DA" w14:textId="77777777" w:rsidR="00C04CAD" w:rsidRDefault="00060E34">
            <w:pPr>
              <w:keepNext/>
              <w:tabs>
                <w:tab w:val="clear" w:pos="567"/>
              </w:tabs>
              <w:kinsoku w:val="0"/>
              <w:overflowPunct w:val="0"/>
              <w:autoSpaceDE w:val="0"/>
              <w:autoSpaceDN w:val="0"/>
              <w:adjustRightInd w:val="0"/>
              <w:spacing w:line="240" w:lineRule="auto"/>
              <w:jc w:val="center"/>
            </w:pPr>
            <w:r>
              <w:t>39,1%</w:t>
            </w:r>
          </w:p>
        </w:tc>
      </w:tr>
      <w:tr w:rsidR="00C04CAD" w14:paraId="17859898" w14:textId="77777777">
        <w:trPr>
          <w:trHeight w:hRule="exact" w:val="253"/>
        </w:trPr>
        <w:tc>
          <w:tcPr>
            <w:tcW w:w="1382" w:type="dxa"/>
            <w:tcBorders>
              <w:bottom w:val="single" w:sz="4" w:space="0" w:color="auto"/>
            </w:tcBorders>
          </w:tcPr>
          <w:p w14:paraId="56C5335A" w14:textId="77777777" w:rsidR="00C04CAD" w:rsidRDefault="00060E34">
            <w:pPr>
              <w:keepNext/>
              <w:tabs>
                <w:tab w:val="clear" w:pos="567"/>
              </w:tabs>
              <w:kinsoku w:val="0"/>
              <w:overflowPunct w:val="0"/>
              <w:autoSpaceDE w:val="0"/>
              <w:autoSpaceDN w:val="0"/>
              <w:adjustRightInd w:val="0"/>
              <w:spacing w:line="240" w:lineRule="auto"/>
              <w:ind w:left="561"/>
              <w:jc w:val="center"/>
            </w:pPr>
            <w:r>
              <w:t xml:space="preserve">12 </w:t>
            </w:r>
            <w:r>
              <w:rPr>
                <w:spacing w:val="1"/>
              </w:rPr>
              <w:t>l</w:t>
            </w:r>
            <w:r>
              <w:t>u</w:t>
            </w:r>
            <w:r>
              <w:rPr>
                <w:spacing w:val="-3"/>
              </w:rPr>
              <w:t>n</w:t>
            </w:r>
            <w:r>
              <w:t>i</w:t>
            </w:r>
          </w:p>
        </w:tc>
        <w:tc>
          <w:tcPr>
            <w:tcW w:w="952" w:type="dxa"/>
            <w:tcBorders>
              <w:bottom w:val="single" w:sz="4" w:space="0" w:color="auto"/>
            </w:tcBorders>
          </w:tcPr>
          <w:p w14:paraId="664FEC12" w14:textId="77777777" w:rsidR="00C04CAD" w:rsidRDefault="00060E34">
            <w:pPr>
              <w:keepNext/>
              <w:tabs>
                <w:tab w:val="clear" w:pos="567"/>
              </w:tabs>
              <w:kinsoku w:val="0"/>
              <w:overflowPunct w:val="0"/>
              <w:autoSpaceDE w:val="0"/>
              <w:autoSpaceDN w:val="0"/>
              <w:adjustRightInd w:val="0"/>
              <w:spacing w:line="240" w:lineRule="auto"/>
              <w:jc w:val="center"/>
            </w:pPr>
            <w:r>
              <w:rPr>
                <w:spacing w:val="-2"/>
              </w:rPr>
              <w:t>NA</w:t>
            </w:r>
          </w:p>
        </w:tc>
        <w:tc>
          <w:tcPr>
            <w:tcW w:w="1738" w:type="dxa"/>
            <w:tcBorders>
              <w:bottom w:val="single" w:sz="4" w:space="0" w:color="auto"/>
            </w:tcBorders>
          </w:tcPr>
          <w:p w14:paraId="2320495B" w14:textId="77777777" w:rsidR="00C04CAD" w:rsidRDefault="00060E34">
            <w:pPr>
              <w:keepNext/>
              <w:tabs>
                <w:tab w:val="clear" w:pos="567"/>
              </w:tabs>
              <w:kinsoku w:val="0"/>
              <w:overflowPunct w:val="0"/>
              <w:autoSpaceDE w:val="0"/>
              <w:autoSpaceDN w:val="0"/>
              <w:adjustRightInd w:val="0"/>
              <w:spacing w:line="240" w:lineRule="auto"/>
              <w:jc w:val="center"/>
            </w:pPr>
            <w:r>
              <w:rPr>
                <w:spacing w:val="-2"/>
              </w:rPr>
              <w:t>NA</w:t>
            </w:r>
          </w:p>
        </w:tc>
        <w:tc>
          <w:tcPr>
            <w:tcW w:w="1026" w:type="dxa"/>
            <w:tcBorders>
              <w:bottom w:val="single" w:sz="4" w:space="0" w:color="auto"/>
            </w:tcBorders>
          </w:tcPr>
          <w:p w14:paraId="28AAE13B" w14:textId="77777777" w:rsidR="00C04CAD" w:rsidRDefault="00060E34">
            <w:pPr>
              <w:keepNext/>
              <w:tabs>
                <w:tab w:val="clear" w:pos="567"/>
              </w:tabs>
              <w:kinsoku w:val="0"/>
              <w:overflowPunct w:val="0"/>
              <w:autoSpaceDE w:val="0"/>
              <w:autoSpaceDN w:val="0"/>
              <w:adjustRightInd w:val="0"/>
              <w:spacing w:line="240" w:lineRule="auto"/>
              <w:jc w:val="center"/>
            </w:pPr>
            <w:r>
              <w:rPr>
                <w:spacing w:val="-2"/>
              </w:rPr>
              <w:t>NA</w:t>
            </w:r>
          </w:p>
        </w:tc>
        <w:tc>
          <w:tcPr>
            <w:tcW w:w="1696" w:type="dxa"/>
            <w:tcBorders>
              <w:bottom w:val="single" w:sz="4" w:space="0" w:color="auto"/>
            </w:tcBorders>
          </w:tcPr>
          <w:p w14:paraId="3E8F5E9D" w14:textId="77777777" w:rsidR="00C04CAD" w:rsidRDefault="00060E34">
            <w:pPr>
              <w:keepNext/>
              <w:tabs>
                <w:tab w:val="clear" w:pos="567"/>
              </w:tabs>
              <w:kinsoku w:val="0"/>
              <w:overflowPunct w:val="0"/>
              <w:autoSpaceDE w:val="0"/>
              <w:autoSpaceDN w:val="0"/>
              <w:adjustRightInd w:val="0"/>
              <w:spacing w:line="240" w:lineRule="auto"/>
              <w:jc w:val="center"/>
            </w:pPr>
            <w:r>
              <w:rPr>
                <w:spacing w:val="-2"/>
              </w:rPr>
              <w:t>NA</w:t>
            </w:r>
          </w:p>
        </w:tc>
        <w:tc>
          <w:tcPr>
            <w:tcW w:w="1003" w:type="dxa"/>
            <w:tcBorders>
              <w:bottom w:val="single" w:sz="4" w:space="0" w:color="auto"/>
            </w:tcBorders>
          </w:tcPr>
          <w:p w14:paraId="1D2D8022" w14:textId="77777777" w:rsidR="00C04CAD" w:rsidRDefault="00060E34">
            <w:pPr>
              <w:keepNext/>
              <w:tabs>
                <w:tab w:val="clear" w:pos="567"/>
              </w:tabs>
              <w:kinsoku w:val="0"/>
              <w:overflowPunct w:val="0"/>
              <w:autoSpaceDE w:val="0"/>
              <w:autoSpaceDN w:val="0"/>
              <w:adjustRightInd w:val="0"/>
              <w:spacing w:line="240" w:lineRule="auto"/>
              <w:jc w:val="center"/>
            </w:pPr>
            <w:r>
              <w:t>9,5%</w:t>
            </w:r>
          </w:p>
        </w:tc>
        <w:tc>
          <w:tcPr>
            <w:tcW w:w="1561" w:type="dxa"/>
            <w:tcBorders>
              <w:bottom w:val="single" w:sz="4" w:space="0" w:color="auto"/>
            </w:tcBorders>
          </w:tcPr>
          <w:p w14:paraId="75995CAF" w14:textId="77777777" w:rsidR="00C04CAD" w:rsidRDefault="00060E34">
            <w:pPr>
              <w:keepNext/>
              <w:tabs>
                <w:tab w:val="clear" w:pos="567"/>
              </w:tabs>
              <w:kinsoku w:val="0"/>
              <w:overflowPunct w:val="0"/>
              <w:autoSpaceDE w:val="0"/>
              <w:autoSpaceDN w:val="0"/>
              <w:adjustRightInd w:val="0"/>
              <w:spacing w:line="240" w:lineRule="auto"/>
              <w:jc w:val="center"/>
            </w:pPr>
            <w:r>
              <w:t>41,5%</w:t>
            </w:r>
          </w:p>
        </w:tc>
      </w:tr>
      <w:tr w:rsidR="00C04CAD" w14:paraId="542524F8" w14:textId="77777777">
        <w:trPr>
          <w:trHeight w:hRule="exact" w:val="253"/>
        </w:trPr>
        <w:tc>
          <w:tcPr>
            <w:tcW w:w="1382" w:type="dxa"/>
            <w:tcBorders>
              <w:right w:val="nil"/>
            </w:tcBorders>
          </w:tcPr>
          <w:p w14:paraId="7B3BABCC" w14:textId="77777777" w:rsidR="00C04CAD" w:rsidRDefault="00060E34">
            <w:pPr>
              <w:tabs>
                <w:tab w:val="clear" w:pos="567"/>
              </w:tabs>
              <w:kinsoku w:val="0"/>
              <w:overflowPunct w:val="0"/>
              <w:autoSpaceDE w:val="0"/>
              <w:autoSpaceDN w:val="0"/>
              <w:adjustRightInd w:val="0"/>
              <w:spacing w:line="240" w:lineRule="auto"/>
            </w:pPr>
            <w:r>
              <w:rPr>
                <w:spacing w:val="-1"/>
              </w:rPr>
              <w:t>AC</w:t>
            </w:r>
            <w:r>
              <w:t>R</w:t>
            </w:r>
            <w:r>
              <w:rPr>
                <w:spacing w:val="-1"/>
              </w:rPr>
              <w:t xml:space="preserve"> </w:t>
            </w:r>
            <w:r>
              <w:t>70</w:t>
            </w:r>
          </w:p>
        </w:tc>
        <w:tc>
          <w:tcPr>
            <w:tcW w:w="952" w:type="dxa"/>
            <w:tcBorders>
              <w:left w:val="nil"/>
              <w:right w:val="nil"/>
            </w:tcBorders>
          </w:tcPr>
          <w:p w14:paraId="3B3AB43C" w14:textId="77777777" w:rsidR="00C04CAD" w:rsidRDefault="00C04CAD">
            <w:pPr>
              <w:tabs>
                <w:tab w:val="clear" w:pos="567"/>
              </w:tabs>
              <w:autoSpaceDE w:val="0"/>
              <w:autoSpaceDN w:val="0"/>
              <w:adjustRightInd w:val="0"/>
              <w:spacing w:line="240" w:lineRule="auto"/>
              <w:jc w:val="center"/>
            </w:pPr>
          </w:p>
        </w:tc>
        <w:tc>
          <w:tcPr>
            <w:tcW w:w="1738" w:type="dxa"/>
            <w:tcBorders>
              <w:left w:val="nil"/>
              <w:right w:val="nil"/>
            </w:tcBorders>
          </w:tcPr>
          <w:p w14:paraId="562136D7" w14:textId="77777777" w:rsidR="00C04CAD" w:rsidRDefault="00C04CAD">
            <w:pPr>
              <w:tabs>
                <w:tab w:val="clear" w:pos="567"/>
              </w:tabs>
              <w:autoSpaceDE w:val="0"/>
              <w:autoSpaceDN w:val="0"/>
              <w:adjustRightInd w:val="0"/>
              <w:spacing w:line="240" w:lineRule="auto"/>
              <w:jc w:val="center"/>
            </w:pPr>
          </w:p>
        </w:tc>
        <w:tc>
          <w:tcPr>
            <w:tcW w:w="1026" w:type="dxa"/>
            <w:tcBorders>
              <w:left w:val="nil"/>
              <w:right w:val="nil"/>
            </w:tcBorders>
          </w:tcPr>
          <w:p w14:paraId="5341B62A" w14:textId="77777777" w:rsidR="00C04CAD" w:rsidRDefault="00C04CAD">
            <w:pPr>
              <w:tabs>
                <w:tab w:val="clear" w:pos="567"/>
              </w:tabs>
              <w:autoSpaceDE w:val="0"/>
              <w:autoSpaceDN w:val="0"/>
              <w:adjustRightInd w:val="0"/>
              <w:spacing w:line="240" w:lineRule="auto"/>
              <w:jc w:val="center"/>
            </w:pPr>
          </w:p>
        </w:tc>
        <w:tc>
          <w:tcPr>
            <w:tcW w:w="1696" w:type="dxa"/>
            <w:tcBorders>
              <w:left w:val="nil"/>
              <w:right w:val="nil"/>
            </w:tcBorders>
          </w:tcPr>
          <w:p w14:paraId="1AF63DDB" w14:textId="77777777" w:rsidR="00C04CAD" w:rsidRDefault="00C04CAD">
            <w:pPr>
              <w:tabs>
                <w:tab w:val="clear" w:pos="567"/>
              </w:tabs>
              <w:autoSpaceDE w:val="0"/>
              <w:autoSpaceDN w:val="0"/>
              <w:adjustRightInd w:val="0"/>
              <w:spacing w:line="240" w:lineRule="auto"/>
              <w:jc w:val="center"/>
            </w:pPr>
          </w:p>
        </w:tc>
        <w:tc>
          <w:tcPr>
            <w:tcW w:w="1003" w:type="dxa"/>
            <w:tcBorders>
              <w:left w:val="nil"/>
              <w:right w:val="nil"/>
            </w:tcBorders>
          </w:tcPr>
          <w:p w14:paraId="73AFB0CE" w14:textId="77777777" w:rsidR="00C04CAD" w:rsidRDefault="00C04CAD">
            <w:pPr>
              <w:tabs>
                <w:tab w:val="clear" w:pos="567"/>
              </w:tabs>
              <w:autoSpaceDE w:val="0"/>
              <w:autoSpaceDN w:val="0"/>
              <w:adjustRightInd w:val="0"/>
              <w:spacing w:line="240" w:lineRule="auto"/>
              <w:jc w:val="center"/>
            </w:pPr>
          </w:p>
        </w:tc>
        <w:tc>
          <w:tcPr>
            <w:tcW w:w="1561" w:type="dxa"/>
            <w:tcBorders>
              <w:left w:val="nil"/>
            </w:tcBorders>
          </w:tcPr>
          <w:p w14:paraId="361EBC28" w14:textId="77777777" w:rsidR="00C04CAD" w:rsidRDefault="00C04CAD">
            <w:pPr>
              <w:tabs>
                <w:tab w:val="clear" w:pos="567"/>
              </w:tabs>
              <w:autoSpaceDE w:val="0"/>
              <w:autoSpaceDN w:val="0"/>
              <w:adjustRightInd w:val="0"/>
              <w:spacing w:line="240" w:lineRule="auto"/>
              <w:jc w:val="center"/>
            </w:pPr>
          </w:p>
        </w:tc>
      </w:tr>
      <w:tr w:rsidR="00C04CAD" w14:paraId="1904FA8F" w14:textId="77777777">
        <w:trPr>
          <w:trHeight w:hRule="exact" w:val="253"/>
        </w:trPr>
        <w:tc>
          <w:tcPr>
            <w:tcW w:w="1382" w:type="dxa"/>
          </w:tcPr>
          <w:p w14:paraId="30082126" w14:textId="77777777" w:rsidR="00C04CAD" w:rsidRDefault="00060E34">
            <w:pPr>
              <w:tabs>
                <w:tab w:val="clear" w:pos="567"/>
              </w:tabs>
              <w:kinsoku w:val="0"/>
              <w:overflowPunct w:val="0"/>
              <w:autoSpaceDE w:val="0"/>
              <w:autoSpaceDN w:val="0"/>
              <w:adjustRightInd w:val="0"/>
              <w:spacing w:line="240" w:lineRule="auto"/>
              <w:ind w:left="561"/>
              <w:jc w:val="center"/>
            </w:pPr>
            <w:r>
              <w:t xml:space="preserve">6 </w:t>
            </w:r>
            <w:r>
              <w:rPr>
                <w:spacing w:val="1"/>
              </w:rPr>
              <w:t>l</w:t>
            </w:r>
            <w:r>
              <w:t>u</w:t>
            </w:r>
            <w:r>
              <w:rPr>
                <w:spacing w:val="-3"/>
              </w:rPr>
              <w:t>n</w:t>
            </w:r>
            <w:r>
              <w:t>i</w:t>
            </w:r>
          </w:p>
        </w:tc>
        <w:tc>
          <w:tcPr>
            <w:tcW w:w="952" w:type="dxa"/>
          </w:tcPr>
          <w:p w14:paraId="42EC8D97" w14:textId="77777777" w:rsidR="00C04CAD" w:rsidRDefault="00060E34">
            <w:pPr>
              <w:tabs>
                <w:tab w:val="clear" w:pos="567"/>
              </w:tabs>
              <w:kinsoku w:val="0"/>
              <w:overflowPunct w:val="0"/>
              <w:autoSpaceDE w:val="0"/>
              <w:autoSpaceDN w:val="0"/>
              <w:adjustRightInd w:val="0"/>
              <w:spacing w:line="240" w:lineRule="auto"/>
              <w:jc w:val="center"/>
            </w:pPr>
            <w:r>
              <w:t>3,3%</w:t>
            </w:r>
          </w:p>
        </w:tc>
        <w:tc>
          <w:tcPr>
            <w:tcW w:w="1738" w:type="dxa"/>
          </w:tcPr>
          <w:p w14:paraId="0800AB15" w14:textId="77777777" w:rsidR="00C04CAD" w:rsidRDefault="00060E34">
            <w:pPr>
              <w:tabs>
                <w:tab w:val="clear" w:pos="567"/>
              </w:tabs>
              <w:kinsoku w:val="0"/>
              <w:overflowPunct w:val="0"/>
              <w:autoSpaceDE w:val="0"/>
              <w:autoSpaceDN w:val="0"/>
              <w:adjustRightInd w:val="0"/>
              <w:spacing w:line="240" w:lineRule="auto"/>
              <w:jc w:val="center"/>
            </w:pPr>
            <w:r>
              <w:t>23,8%</w:t>
            </w:r>
          </w:p>
        </w:tc>
        <w:tc>
          <w:tcPr>
            <w:tcW w:w="1026" w:type="dxa"/>
          </w:tcPr>
          <w:p w14:paraId="1CAFF436" w14:textId="77777777" w:rsidR="00C04CAD" w:rsidRDefault="00060E34">
            <w:pPr>
              <w:tabs>
                <w:tab w:val="clear" w:pos="567"/>
              </w:tabs>
              <w:kinsoku w:val="0"/>
              <w:overflowPunct w:val="0"/>
              <w:autoSpaceDE w:val="0"/>
              <w:autoSpaceDN w:val="0"/>
              <w:adjustRightInd w:val="0"/>
              <w:spacing w:line="240" w:lineRule="auto"/>
              <w:jc w:val="center"/>
            </w:pPr>
            <w:r>
              <w:t>1,8%</w:t>
            </w:r>
          </w:p>
        </w:tc>
        <w:tc>
          <w:tcPr>
            <w:tcW w:w="1696" w:type="dxa"/>
          </w:tcPr>
          <w:p w14:paraId="25387C35" w14:textId="77777777" w:rsidR="00C04CAD" w:rsidRDefault="00060E34">
            <w:pPr>
              <w:tabs>
                <w:tab w:val="clear" w:pos="567"/>
              </w:tabs>
              <w:kinsoku w:val="0"/>
              <w:overflowPunct w:val="0"/>
              <w:autoSpaceDE w:val="0"/>
              <w:autoSpaceDN w:val="0"/>
              <w:adjustRightInd w:val="0"/>
              <w:spacing w:line="240" w:lineRule="auto"/>
              <w:jc w:val="center"/>
            </w:pPr>
            <w:r>
              <w:t>12,4%</w:t>
            </w:r>
          </w:p>
        </w:tc>
        <w:tc>
          <w:tcPr>
            <w:tcW w:w="1003" w:type="dxa"/>
          </w:tcPr>
          <w:p w14:paraId="0301C6C3" w14:textId="77777777" w:rsidR="00C04CAD" w:rsidRDefault="00060E34">
            <w:pPr>
              <w:tabs>
                <w:tab w:val="clear" w:pos="567"/>
              </w:tabs>
              <w:kinsoku w:val="0"/>
              <w:overflowPunct w:val="0"/>
              <w:autoSpaceDE w:val="0"/>
              <w:autoSpaceDN w:val="0"/>
              <w:adjustRightInd w:val="0"/>
              <w:spacing w:line="240" w:lineRule="auto"/>
              <w:jc w:val="center"/>
            </w:pPr>
            <w:r>
              <w:t>2,5%</w:t>
            </w:r>
          </w:p>
        </w:tc>
        <w:tc>
          <w:tcPr>
            <w:tcW w:w="1561" w:type="dxa"/>
          </w:tcPr>
          <w:p w14:paraId="7632E195" w14:textId="77777777" w:rsidR="00C04CAD" w:rsidRDefault="00060E34">
            <w:pPr>
              <w:tabs>
                <w:tab w:val="clear" w:pos="567"/>
              </w:tabs>
              <w:kinsoku w:val="0"/>
              <w:overflowPunct w:val="0"/>
              <w:autoSpaceDE w:val="0"/>
              <w:autoSpaceDN w:val="0"/>
              <w:adjustRightInd w:val="0"/>
              <w:spacing w:line="240" w:lineRule="auto"/>
              <w:jc w:val="center"/>
            </w:pPr>
            <w:r>
              <w:t>20,8%</w:t>
            </w:r>
          </w:p>
        </w:tc>
      </w:tr>
      <w:tr w:rsidR="00C04CAD" w14:paraId="462949A0" w14:textId="77777777">
        <w:trPr>
          <w:trHeight w:hRule="exact" w:val="253"/>
        </w:trPr>
        <w:tc>
          <w:tcPr>
            <w:tcW w:w="1382" w:type="dxa"/>
          </w:tcPr>
          <w:p w14:paraId="6F0CF9DE" w14:textId="77777777" w:rsidR="00C04CAD" w:rsidRDefault="00060E34">
            <w:pPr>
              <w:tabs>
                <w:tab w:val="clear" w:pos="567"/>
              </w:tabs>
              <w:kinsoku w:val="0"/>
              <w:overflowPunct w:val="0"/>
              <w:autoSpaceDE w:val="0"/>
              <w:autoSpaceDN w:val="0"/>
              <w:adjustRightInd w:val="0"/>
              <w:spacing w:line="240" w:lineRule="auto"/>
              <w:ind w:left="561"/>
              <w:jc w:val="center"/>
            </w:pPr>
            <w:r>
              <w:t xml:space="preserve">12 </w:t>
            </w:r>
            <w:r>
              <w:rPr>
                <w:spacing w:val="1"/>
              </w:rPr>
              <w:t>l</w:t>
            </w:r>
            <w:r>
              <w:t>u</w:t>
            </w:r>
            <w:r>
              <w:rPr>
                <w:spacing w:val="-3"/>
              </w:rPr>
              <w:t>n</w:t>
            </w:r>
            <w:r>
              <w:t>i</w:t>
            </w:r>
          </w:p>
        </w:tc>
        <w:tc>
          <w:tcPr>
            <w:tcW w:w="952" w:type="dxa"/>
          </w:tcPr>
          <w:p w14:paraId="5FDAA325"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738" w:type="dxa"/>
          </w:tcPr>
          <w:p w14:paraId="61B1B90D"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026" w:type="dxa"/>
          </w:tcPr>
          <w:p w14:paraId="7A15162A"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696" w:type="dxa"/>
          </w:tcPr>
          <w:p w14:paraId="16003F6C" w14:textId="77777777" w:rsidR="00C04CAD" w:rsidRDefault="00060E34">
            <w:pPr>
              <w:tabs>
                <w:tab w:val="clear" w:pos="567"/>
              </w:tabs>
              <w:kinsoku w:val="0"/>
              <w:overflowPunct w:val="0"/>
              <w:autoSpaceDE w:val="0"/>
              <w:autoSpaceDN w:val="0"/>
              <w:adjustRightInd w:val="0"/>
              <w:spacing w:line="240" w:lineRule="auto"/>
              <w:jc w:val="center"/>
            </w:pPr>
            <w:r>
              <w:rPr>
                <w:spacing w:val="-2"/>
              </w:rPr>
              <w:t>NA</w:t>
            </w:r>
          </w:p>
        </w:tc>
        <w:tc>
          <w:tcPr>
            <w:tcW w:w="1003" w:type="dxa"/>
          </w:tcPr>
          <w:p w14:paraId="228DD6F2" w14:textId="77777777" w:rsidR="00C04CAD" w:rsidRDefault="00060E34">
            <w:pPr>
              <w:tabs>
                <w:tab w:val="clear" w:pos="567"/>
              </w:tabs>
              <w:kinsoku w:val="0"/>
              <w:overflowPunct w:val="0"/>
              <w:autoSpaceDE w:val="0"/>
              <w:autoSpaceDN w:val="0"/>
              <w:adjustRightInd w:val="0"/>
              <w:spacing w:line="240" w:lineRule="auto"/>
              <w:jc w:val="center"/>
            </w:pPr>
            <w:r>
              <w:t>4,5%</w:t>
            </w:r>
          </w:p>
        </w:tc>
        <w:tc>
          <w:tcPr>
            <w:tcW w:w="1561" w:type="dxa"/>
          </w:tcPr>
          <w:p w14:paraId="367BCB0C" w14:textId="77777777" w:rsidR="00C04CAD" w:rsidRDefault="00060E34">
            <w:pPr>
              <w:tabs>
                <w:tab w:val="clear" w:pos="567"/>
              </w:tabs>
              <w:kinsoku w:val="0"/>
              <w:overflowPunct w:val="0"/>
              <w:autoSpaceDE w:val="0"/>
              <w:autoSpaceDN w:val="0"/>
              <w:adjustRightInd w:val="0"/>
              <w:spacing w:line="240" w:lineRule="auto"/>
              <w:jc w:val="center"/>
            </w:pPr>
            <w:r>
              <w:t>23,2%</w:t>
            </w:r>
          </w:p>
        </w:tc>
      </w:tr>
    </w:tbl>
    <w:p w14:paraId="38FA56CB" w14:textId="77777777" w:rsidR="00C04CAD" w:rsidRDefault="00060E34">
      <w:pPr>
        <w:kinsoku w:val="0"/>
        <w:overflowPunct w:val="0"/>
        <w:autoSpaceDE w:val="0"/>
        <w:autoSpaceDN w:val="0"/>
        <w:adjustRightInd w:val="0"/>
        <w:spacing w:line="240" w:lineRule="auto"/>
        <w:ind w:left="284" w:hanging="284"/>
        <w:rPr>
          <w:sz w:val="20"/>
        </w:rPr>
      </w:pPr>
      <w:r>
        <w:rPr>
          <w:spacing w:val="-1"/>
          <w:sz w:val="20"/>
          <w:vertAlign w:val="superscript"/>
        </w:rPr>
        <w:t>a</w:t>
      </w:r>
      <w:r>
        <w:rPr>
          <w:spacing w:val="-1"/>
          <w:sz w:val="20"/>
        </w:rPr>
        <w:tab/>
        <w:t>S</w:t>
      </w:r>
      <w:r>
        <w:rPr>
          <w:spacing w:val="1"/>
          <w:sz w:val="20"/>
        </w:rPr>
        <w:t>t</w:t>
      </w:r>
      <w:r>
        <w:rPr>
          <w:sz w:val="20"/>
        </w:rPr>
        <w:t>ud</w:t>
      </w:r>
      <w:r>
        <w:rPr>
          <w:spacing w:val="-2"/>
          <w:sz w:val="20"/>
        </w:rPr>
        <w:t>i</w:t>
      </w:r>
      <w:r>
        <w:rPr>
          <w:sz w:val="20"/>
        </w:rPr>
        <w:t>ul</w:t>
      </w:r>
      <w:r>
        <w:rPr>
          <w:spacing w:val="1"/>
          <w:sz w:val="20"/>
        </w:rPr>
        <w:t xml:space="preserve"> </w:t>
      </w:r>
      <w:r>
        <w:rPr>
          <w:spacing w:val="-1"/>
          <w:sz w:val="20"/>
        </w:rPr>
        <w:t>P</w:t>
      </w:r>
      <w:r>
        <w:rPr>
          <w:sz w:val="20"/>
        </w:rPr>
        <w:t>R</w:t>
      </w:r>
      <w:r>
        <w:rPr>
          <w:spacing w:val="-1"/>
          <w:sz w:val="20"/>
        </w:rPr>
        <w:t xml:space="preserve"> </w:t>
      </w:r>
      <w:r>
        <w:rPr>
          <w:sz w:val="20"/>
        </w:rPr>
        <w:t>I</w:t>
      </w:r>
      <w:r>
        <w:rPr>
          <w:spacing w:val="-4"/>
          <w:sz w:val="20"/>
        </w:rPr>
        <w:t xml:space="preserve"> </w:t>
      </w:r>
      <w:r>
        <w:rPr>
          <w:spacing w:val="1"/>
          <w:sz w:val="20"/>
        </w:rPr>
        <w:t>l</w:t>
      </w:r>
      <w:r>
        <w:rPr>
          <w:sz w:val="20"/>
        </w:rPr>
        <w:t xml:space="preserve">a 24 </w:t>
      </w:r>
      <w:r>
        <w:rPr>
          <w:spacing w:val="-2"/>
          <w:sz w:val="20"/>
        </w:rPr>
        <w:t>s</w:t>
      </w:r>
      <w:r>
        <w:rPr>
          <w:sz w:val="20"/>
        </w:rPr>
        <w:t>ăp</w:t>
      </w:r>
      <w:r>
        <w:rPr>
          <w:spacing w:val="-2"/>
          <w:sz w:val="20"/>
        </w:rPr>
        <w:t>t</w:t>
      </w:r>
      <w:r>
        <w:rPr>
          <w:sz w:val="20"/>
        </w:rPr>
        <w:t>ă</w:t>
      </w:r>
      <w:r>
        <w:rPr>
          <w:spacing w:val="-4"/>
          <w:sz w:val="20"/>
        </w:rPr>
        <w:t>m</w:t>
      </w:r>
      <w:r>
        <w:rPr>
          <w:sz w:val="20"/>
        </w:rPr>
        <w:t>ân</w:t>
      </w:r>
      <w:r>
        <w:rPr>
          <w:spacing w:val="1"/>
          <w:sz w:val="20"/>
        </w:rPr>
        <w:t>i</w:t>
      </w:r>
      <w:r>
        <w:rPr>
          <w:sz w:val="20"/>
        </w:rPr>
        <w:t xml:space="preserve">, </w:t>
      </w:r>
      <w:r>
        <w:rPr>
          <w:spacing w:val="-2"/>
          <w:sz w:val="20"/>
        </w:rPr>
        <w:t>s</w:t>
      </w:r>
      <w:r>
        <w:rPr>
          <w:spacing w:val="1"/>
          <w:sz w:val="20"/>
        </w:rPr>
        <w:t>t</w:t>
      </w:r>
      <w:r>
        <w:rPr>
          <w:sz w:val="20"/>
        </w:rPr>
        <w:t>u</w:t>
      </w:r>
      <w:r>
        <w:rPr>
          <w:spacing w:val="-3"/>
          <w:sz w:val="20"/>
        </w:rPr>
        <w:t>d</w:t>
      </w:r>
      <w:r>
        <w:rPr>
          <w:spacing w:val="1"/>
          <w:sz w:val="20"/>
        </w:rPr>
        <w:t>i</w:t>
      </w:r>
      <w:r>
        <w:rPr>
          <w:sz w:val="20"/>
        </w:rPr>
        <w:t>ul</w:t>
      </w:r>
      <w:r>
        <w:rPr>
          <w:spacing w:val="1"/>
          <w:sz w:val="20"/>
        </w:rPr>
        <w:t xml:space="preserve"> </w:t>
      </w:r>
      <w:r>
        <w:rPr>
          <w:spacing w:val="-1"/>
          <w:sz w:val="20"/>
        </w:rPr>
        <w:t>P</w:t>
      </w:r>
      <w:r>
        <w:rPr>
          <w:sz w:val="20"/>
        </w:rPr>
        <w:t>R</w:t>
      </w:r>
      <w:r>
        <w:rPr>
          <w:spacing w:val="-1"/>
          <w:sz w:val="20"/>
        </w:rPr>
        <w:t xml:space="preserve"> </w:t>
      </w:r>
      <w:r>
        <w:rPr>
          <w:spacing w:val="-2"/>
          <w:sz w:val="20"/>
        </w:rPr>
        <w:t>I</w:t>
      </w:r>
      <w:r>
        <w:rPr>
          <w:sz w:val="20"/>
        </w:rPr>
        <w:t>I</w:t>
      </w:r>
      <w:r>
        <w:rPr>
          <w:spacing w:val="-4"/>
          <w:sz w:val="20"/>
        </w:rPr>
        <w:t xml:space="preserve"> </w:t>
      </w:r>
      <w:r>
        <w:rPr>
          <w:spacing w:val="1"/>
          <w:sz w:val="20"/>
        </w:rPr>
        <w:t>l</w:t>
      </w:r>
      <w:r>
        <w:rPr>
          <w:sz w:val="20"/>
        </w:rPr>
        <w:t>a 26 să</w:t>
      </w:r>
      <w:r>
        <w:rPr>
          <w:spacing w:val="-3"/>
          <w:sz w:val="20"/>
        </w:rPr>
        <w:t>p</w:t>
      </w:r>
      <w:r>
        <w:rPr>
          <w:spacing w:val="1"/>
          <w:sz w:val="20"/>
        </w:rPr>
        <w:t>t</w:t>
      </w:r>
      <w:r>
        <w:rPr>
          <w:spacing w:val="-3"/>
          <w:sz w:val="20"/>
        </w:rPr>
        <w:t>ă</w:t>
      </w:r>
      <w:r>
        <w:rPr>
          <w:spacing w:val="-4"/>
          <w:sz w:val="20"/>
        </w:rPr>
        <w:t>m</w:t>
      </w:r>
      <w:r>
        <w:rPr>
          <w:sz w:val="20"/>
        </w:rPr>
        <w:t>ân</w:t>
      </w:r>
      <w:r>
        <w:rPr>
          <w:spacing w:val="1"/>
          <w:sz w:val="20"/>
        </w:rPr>
        <w:t>i</w:t>
      </w:r>
      <w:r>
        <w:rPr>
          <w:sz w:val="20"/>
        </w:rPr>
        <w:t>, şi</w:t>
      </w:r>
      <w:r>
        <w:rPr>
          <w:spacing w:val="1"/>
          <w:sz w:val="20"/>
        </w:rPr>
        <w:t xml:space="preserve"> </w:t>
      </w:r>
      <w:r>
        <w:rPr>
          <w:spacing w:val="-2"/>
          <w:sz w:val="20"/>
        </w:rPr>
        <w:t>s</w:t>
      </w:r>
      <w:r>
        <w:rPr>
          <w:spacing w:val="1"/>
          <w:sz w:val="20"/>
        </w:rPr>
        <w:t>t</w:t>
      </w:r>
      <w:r>
        <w:rPr>
          <w:sz w:val="20"/>
        </w:rPr>
        <w:t>u</w:t>
      </w:r>
      <w:r>
        <w:rPr>
          <w:spacing w:val="-3"/>
          <w:sz w:val="20"/>
        </w:rPr>
        <w:t>d</w:t>
      </w:r>
      <w:r>
        <w:rPr>
          <w:spacing w:val="1"/>
          <w:sz w:val="20"/>
        </w:rPr>
        <w:t>i</w:t>
      </w:r>
      <w:r>
        <w:rPr>
          <w:sz w:val="20"/>
        </w:rPr>
        <w:t>ul</w:t>
      </w:r>
      <w:r>
        <w:rPr>
          <w:spacing w:val="1"/>
          <w:sz w:val="20"/>
        </w:rPr>
        <w:t xml:space="preserve"> </w:t>
      </w:r>
      <w:r>
        <w:rPr>
          <w:spacing w:val="-1"/>
          <w:sz w:val="20"/>
        </w:rPr>
        <w:t>P</w:t>
      </w:r>
      <w:r>
        <w:rPr>
          <w:sz w:val="20"/>
        </w:rPr>
        <w:t>R</w:t>
      </w:r>
      <w:r>
        <w:rPr>
          <w:spacing w:val="-1"/>
          <w:sz w:val="20"/>
        </w:rPr>
        <w:t xml:space="preserve"> </w:t>
      </w:r>
      <w:r>
        <w:rPr>
          <w:spacing w:val="-2"/>
          <w:sz w:val="20"/>
        </w:rPr>
        <w:t>II</w:t>
      </w:r>
      <w:r>
        <w:rPr>
          <w:sz w:val="20"/>
        </w:rPr>
        <w:t>I</w:t>
      </w:r>
      <w:r>
        <w:rPr>
          <w:spacing w:val="-4"/>
          <w:sz w:val="20"/>
        </w:rPr>
        <w:t xml:space="preserve"> </w:t>
      </w:r>
      <w:r>
        <w:rPr>
          <w:spacing w:val="1"/>
          <w:sz w:val="20"/>
        </w:rPr>
        <w:t>l</w:t>
      </w:r>
      <w:r>
        <w:rPr>
          <w:sz w:val="20"/>
        </w:rPr>
        <w:t>a 24 şi</w:t>
      </w:r>
      <w:r>
        <w:rPr>
          <w:spacing w:val="1"/>
          <w:sz w:val="20"/>
        </w:rPr>
        <w:t xml:space="preserve"> </w:t>
      </w:r>
      <w:r>
        <w:rPr>
          <w:sz w:val="20"/>
        </w:rPr>
        <w:t>52</w:t>
      </w:r>
      <w:r>
        <w:rPr>
          <w:spacing w:val="-3"/>
          <w:sz w:val="20"/>
        </w:rPr>
        <w:t xml:space="preserve"> </w:t>
      </w:r>
      <w:r>
        <w:rPr>
          <w:sz w:val="20"/>
        </w:rPr>
        <w:t>să</w:t>
      </w:r>
      <w:r>
        <w:rPr>
          <w:spacing w:val="-3"/>
          <w:sz w:val="20"/>
        </w:rPr>
        <w:t>p</w:t>
      </w:r>
      <w:r>
        <w:rPr>
          <w:spacing w:val="1"/>
          <w:sz w:val="20"/>
        </w:rPr>
        <w:t>t</w:t>
      </w:r>
      <w:r>
        <w:rPr>
          <w:sz w:val="20"/>
        </w:rPr>
        <w:t>ă</w:t>
      </w:r>
      <w:r>
        <w:rPr>
          <w:spacing w:val="-4"/>
          <w:sz w:val="20"/>
        </w:rPr>
        <w:t>m</w:t>
      </w:r>
      <w:r>
        <w:rPr>
          <w:sz w:val="20"/>
        </w:rPr>
        <w:t>âni</w:t>
      </w:r>
    </w:p>
    <w:p w14:paraId="76E07126" w14:textId="77777777" w:rsidR="00C04CAD" w:rsidRDefault="00060E34">
      <w:pPr>
        <w:tabs>
          <w:tab w:val="clear" w:pos="567"/>
          <w:tab w:val="left" w:pos="679"/>
        </w:tabs>
        <w:kinsoku w:val="0"/>
        <w:overflowPunct w:val="0"/>
        <w:autoSpaceDE w:val="0"/>
        <w:autoSpaceDN w:val="0"/>
        <w:adjustRightInd w:val="0"/>
        <w:spacing w:line="240" w:lineRule="auto"/>
        <w:ind w:left="284" w:hanging="284"/>
        <w:rPr>
          <w:sz w:val="20"/>
        </w:rPr>
      </w:pPr>
      <w:r>
        <w:rPr>
          <w:sz w:val="20"/>
          <w:vertAlign w:val="superscript"/>
        </w:rPr>
        <w:t>b</w:t>
      </w:r>
      <w:r>
        <w:rPr>
          <w:sz w:val="20"/>
        </w:rPr>
        <w:tab/>
        <w:t>40 </w:t>
      </w:r>
      <w:r>
        <w:rPr>
          <w:spacing w:val="-2"/>
          <w:sz w:val="20"/>
        </w:rPr>
        <w:t>m</w:t>
      </w:r>
      <w:r>
        <w:rPr>
          <w:sz w:val="20"/>
        </w:rPr>
        <w:t>g</w:t>
      </w:r>
      <w:r>
        <w:rPr>
          <w:spacing w:val="-3"/>
          <w:sz w:val="20"/>
        </w:rPr>
        <w:t xml:space="preserve"> </w:t>
      </w:r>
      <w:r>
        <w:rPr>
          <w:rFonts w:eastAsia="MS Mincho"/>
          <w:spacing w:val="-1"/>
          <w:sz w:val="20"/>
          <w:lang w:eastAsia="en-US" w:bidi="ar-SA"/>
        </w:rPr>
        <w:t>adalimumab</w:t>
      </w:r>
      <w:r>
        <w:rPr>
          <w:sz w:val="20"/>
        </w:rPr>
        <w:t xml:space="preserve"> ad</w:t>
      </w:r>
      <w:r>
        <w:rPr>
          <w:spacing w:val="-4"/>
          <w:sz w:val="20"/>
        </w:rPr>
        <w:t>m</w:t>
      </w:r>
      <w:r>
        <w:rPr>
          <w:spacing w:val="1"/>
          <w:sz w:val="20"/>
        </w:rPr>
        <w:t>i</w:t>
      </w:r>
      <w:r>
        <w:rPr>
          <w:sz w:val="20"/>
        </w:rPr>
        <w:t>n</w:t>
      </w:r>
      <w:r>
        <w:rPr>
          <w:spacing w:val="1"/>
          <w:sz w:val="20"/>
        </w:rPr>
        <w:t>i</w:t>
      </w:r>
      <w:r>
        <w:rPr>
          <w:spacing w:val="-2"/>
          <w:sz w:val="20"/>
        </w:rPr>
        <w:t>s</w:t>
      </w:r>
      <w:r>
        <w:rPr>
          <w:spacing w:val="1"/>
          <w:sz w:val="20"/>
        </w:rPr>
        <w:t>t</w:t>
      </w:r>
      <w:r>
        <w:rPr>
          <w:sz w:val="20"/>
        </w:rPr>
        <w:t>r</w:t>
      </w:r>
      <w:r>
        <w:rPr>
          <w:spacing w:val="-3"/>
          <w:sz w:val="20"/>
        </w:rPr>
        <w:t>a</w:t>
      </w:r>
      <w:r>
        <w:rPr>
          <w:spacing w:val="1"/>
          <w:sz w:val="20"/>
        </w:rPr>
        <w:t>t</w:t>
      </w:r>
      <w:r>
        <w:rPr>
          <w:sz w:val="20"/>
        </w:rPr>
        <w:t>e</w:t>
      </w:r>
      <w:r>
        <w:rPr>
          <w:spacing w:val="-2"/>
          <w:sz w:val="20"/>
        </w:rPr>
        <w:t xml:space="preserve"> </w:t>
      </w:r>
      <w:r>
        <w:rPr>
          <w:sz w:val="20"/>
        </w:rPr>
        <w:t>d</w:t>
      </w:r>
      <w:r>
        <w:rPr>
          <w:spacing w:val="1"/>
          <w:sz w:val="20"/>
        </w:rPr>
        <w:t>i</w:t>
      </w:r>
      <w:r>
        <w:rPr>
          <w:sz w:val="20"/>
        </w:rPr>
        <w:t>n d</w:t>
      </w:r>
      <w:r>
        <w:rPr>
          <w:spacing w:val="-3"/>
          <w:sz w:val="20"/>
        </w:rPr>
        <w:t>o</w:t>
      </w:r>
      <w:r>
        <w:rPr>
          <w:sz w:val="20"/>
        </w:rPr>
        <w:t xml:space="preserve">uă </w:t>
      </w:r>
      <w:r>
        <w:rPr>
          <w:spacing w:val="-2"/>
          <w:sz w:val="20"/>
        </w:rPr>
        <w:t>î</w:t>
      </w:r>
      <w:r>
        <w:rPr>
          <w:sz w:val="20"/>
        </w:rPr>
        <w:t>n două</w:t>
      </w:r>
      <w:r>
        <w:rPr>
          <w:spacing w:val="-2"/>
          <w:sz w:val="20"/>
        </w:rPr>
        <w:t xml:space="preserve"> </w:t>
      </w:r>
      <w:r>
        <w:rPr>
          <w:sz w:val="20"/>
        </w:rPr>
        <w:t>să</w:t>
      </w:r>
      <w:r>
        <w:rPr>
          <w:spacing w:val="-3"/>
          <w:sz w:val="20"/>
        </w:rPr>
        <w:t>p</w:t>
      </w:r>
      <w:r>
        <w:rPr>
          <w:spacing w:val="1"/>
          <w:sz w:val="20"/>
        </w:rPr>
        <w:t>t</w:t>
      </w:r>
      <w:r>
        <w:rPr>
          <w:sz w:val="20"/>
        </w:rPr>
        <w:t>ă</w:t>
      </w:r>
      <w:r>
        <w:rPr>
          <w:spacing w:val="-4"/>
          <w:sz w:val="20"/>
        </w:rPr>
        <w:t>m</w:t>
      </w:r>
      <w:r>
        <w:rPr>
          <w:sz w:val="20"/>
        </w:rPr>
        <w:t>âni</w:t>
      </w:r>
    </w:p>
    <w:p w14:paraId="1B61C2FB" w14:textId="77777777" w:rsidR="00C04CAD" w:rsidRDefault="00060E34">
      <w:pPr>
        <w:tabs>
          <w:tab w:val="clear" w:pos="567"/>
          <w:tab w:val="left" w:pos="679"/>
        </w:tabs>
        <w:kinsoku w:val="0"/>
        <w:overflowPunct w:val="0"/>
        <w:autoSpaceDE w:val="0"/>
        <w:autoSpaceDN w:val="0"/>
        <w:adjustRightInd w:val="0"/>
        <w:spacing w:line="240" w:lineRule="auto"/>
        <w:ind w:left="284" w:hanging="284"/>
        <w:rPr>
          <w:sz w:val="20"/>
        </w:rPr>
      </w:pPr>
      <w:r>
        <w:rPr>
          <w:position w:val="10"/>
          <w:sz w:val="20"/>
          <w:vertAlign w:val="superscript"/>
        </w:rPr>
        <w:t>c</w:t>
      </w:r>
      <w:r>
        <w:rPr>
          <w:position w:val="10"/>
          <w:sz w:val="20"/>
        </w:rPr>
        <w:tab/>
      </w:r>
      <w:r>
        <w:rPr>
          <w:spacing w:val="-2"/>
          <w:sz w:val="20"/>
        </w:rPr>
        <w:t>M</w:t>
      </w:r>
      <w:r>
        <w:rPr>
          <w:spacing w:val="1"/>
          <w:sz w:val="20"/>
        </w:rPr>
        <w:t>T</w:t>
      </w:r>
      <w:r>
        <w:rPr>
          <w:spacing w:val="-1"/>
          <w:sz w:val="20"/>
        </w:rPr>
        <w:t>X</w:t>
      </w:r>
      <w:r>
        <w:rPr>
          <w:sz w:val="20"/>
        </w:rPr>
        <w:t>=</w:t>
      </w:r>
      <w:r>
        <w:rPr>
          <w:spacing w:val="-4"/>
          <w:sz w:val="20"/>
        </w:rPr>
        <w:t>m</w:t>
      </w:r>
      <w:r>
        <w:rPr>
          <w:sz w:val="20"/>
        </w:rPr>
        <w:t>e</w:t>
      </w:r>
      <w:r>
        <w:rPr>
          <w:spacing w:val="1"/>
          <w:sz w:val="20"/>
        </w:rPr>
        <w:t>t</w:t>
      </w:r>
      <w:r>
        <w:rPr>
          <w:sz w:val="20"/>
        </w:rPr>
        <w:t>o</w:t>
      </w:r>
      <w:r>
        <w:rPr>
          <w:spacing w:val="1"/>
          <w:sz w:val="20"/>
        </w:rPr>
        <w:t>t</w:t>
      </w:r>
      <w:r>
        <w:rPr>
          <w:spacing w:val="-2"/>
          <w:sz w:val="20"/>
        </w:rPr>
        <w:t>r</w:t>
      </w:r>
      <w:r>
        <w:rPr>
          <w:sz w:val="20"/>
        </w:rPr>
        <w:t>ex</w:t>
      </w:r>
      <w:r>
        <w:rPr>
          <w:spacing w:val="-2"/>
          <w:sz w:val="20"/>
        </w:rPr>
        <w:t>at</w:t>
      </w:r>
    </w:p>
    <w:p w14:paraId="1081DA8C" w14:textId="77777777" w:rsidR="00C04CAD" w:rsidRDefault="00060E34">
      <w:pPr>
        <w:tabs>
          <w:tab w:val="clear" w:pos="567"/>
        </w:tabs>
        <w:kinsoku w:val="0"/>
        <w:overflowPunct w:val="0"/>
        <w:autoSpaceDE w:val="0"/>
        <w:autoSpaceDN w:val="0"/>
        <w:adjustRightInd w:val="0"/>
        <w:spacing w:line="240" w:lineRule="auto"/>
        <w:rPr>
          <w:sz w:val="20"/>
        </w:rPr>
      </w:pPr>
      <w:r>
        <w:rPr>
          <w:sz w:val="20"/>
        </w:rPr>
        <w:t>**p &lt;0,0</w:t>
      </w:r>
      <w:r>
        <w:rPr>
          <w:spacing w:val="-3"/>
          <w:sz w:val="20"/>
        </w:rPr>
        <w:t>1</w:t>
      </w:r>
      <w:r>
        <w:rPr>
          <w:sz w:val="20"/>
        </w:rPr>
        <w:t xml:space="preserve">, </w:t>
      </w:r>
      <w:r>
        <w:rPr>
          <w:rFonts w:eastAsia="MS Mincho"/>
          <w:spacing w:val="-2"/>
          <w:sz w:val="20"/>
          <w:lang w:eastAsia="en-US" w:bidi="ar-SA"/>
        </w:rPr>
        <w:t>adalimumab</w:t>
      </w:r>
      <w:r>
        <w:rPr>
          <w:sz w:val="20"/>
        </w:rPr>
        <w:t xml:space="preserve"> f</w:t>
      </w:r>
      <w:r>
        <w:rPr>
          <w:spacing w:val="-3"/>
          <w:sz w:val="20"/>
        </w:rPr>
        <w:t>a</w:t>
      </w:r>
      <w:r>
        <w:rPr>
          <w:spacing w:val="1"/>
          <w:sz w:val="20"/>
        </w:rPr>
        <w:t>ţ</w:t>
      </w:r>
      <w:r>
        <w:rPr>
          <w:sz w:val="20"/>
        </w:rPr>
        <w:t>ă</w:t>
      </w:r>
      <w:r>
        <w:rPr>
          <w:spacing w:val="-2"/>
          <w:sz w:val="20"/>
        </w:rPr>
        <w:t xml:space="preserve"> </w:t>
      </w:r>
      <w:r>
        <w:rPr>
          <w:sz w:val="20"/>
        </w:rPr>
        <w:t>de</w:t>
      </w:r>
      <w:r>
        <w:rPr>
          <w:spacing w:val="-2"/>
          <w:sz w:val="20"/>
        </w:rPr>
        <w:t xml:space="preserve"> </w:t>
      </w:r>
      <w:r>
        <w:rPr>
          <w:sz w:val="20"/>
        </w:rPr>
        <w:t>p</w:t>
      </w:r>
      <w:r>
        <w:rPr>
          <w:spacing w:val="1"/>
          <w:sz w:val="20"/>
        </w:rPr>
        <w:t>l</w:t>
      </w:r>
      <w:r>
        <w:rPr>
          <w:sz w:val="20"/>
        </w:rPr>
        <w:t>a</w:t>
      </w:r>
      <w:r>
        <w:rPr>
          <w:spacing w:val="-3"/>
          <w:sz w:val="20"/>
        </w:rPr>
        <w:t>c</w:t>
      </w:r>
      <w:r>
        <w:rPr>
          <w:sz w:val="20"/>
        </w:rPr>
        <w:t>ebo</w:t>
      </w:r>
    </w:p>
    <w:p w14:paraId="60A9EBA6" w14:textId="77777777" w:rsidR="00C04CAD" w:rsidRDefault="00C04CAD">
      <w:pPr>
        <w:autoSpaceDE w:val="0"/>
        <w:autoSpaceDN w:val="0"/>
        <w:adjustRightInd w:val="0"/>
        <w:spacing w:line="240" w:lineRule="auto"/>
        <w:rPr>
          <w:b/>
        </w:rPr>
      </w:pPr>
    </w:p>
    <w:p w14:paraId="71C22162"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 xml:space="preserve">e </w:t>
      </w:r>
      <w:r>
        <w:rPr>
          <w:spacing w:val="-1"/>
        </w:rPr>
        <w:t>P</w:t>
      </w:r>
      <w:r>
        <w:t>R</w:t>
      </w:r>
      <w:r>
        <w:rPr>
          <w:spacing w:val="-1"/>
        </w:rPr>
        <w:t xml:space="preserve"> </w:t>
      </w:r>
      <w:r>
        <w:rPr>
          <w:spacing w:val="-2"/>
        </w:rPr>
        <w:t>I</w:t>
      </w:r>
      <w:r>
        <w:rPr>
          <w:spacing w:val="-2"/>
        </w:rPr>
        <w:noBreakHyphen/>
      </w:r>
      <w:r>
        <w:rPr>
          <w:spacing w:val="-4"/>
        </w:rPr>
        <w:t>I</w:t>
      </w:r>
      <w:r>
        <w:rPr>
          <w:spacing w:val="1"/>
        </w:rPr>
        <w:t>V</w:t>
      </w:r>
      <w:r>
        <w:t xml:space="preserve">, </w:t>
      </w:r>
      <w:r>
        <w:rPr>
          <w:spacing w:val="1"/>
        </w:rPr>
        <w:t>t</w:t>
      </w:r>
      <w:r>
        <w:t>oa</w:t>
      </w:r>
      <w:r>
        <w:rPr>
          <w:spacing w:val="1"/>
        </w:rPr>
        <w:t>t</w:t>
      </w:r>
      <w:r>
        <w:t xml:space="preserve">e </w:t>
      </w:r>
      <w:r>
        <w:rPr>
          <w:spacing w:val="-3"/>
        </w:rPr>
        <w:t>co</w:t>
      </w:r>
      <w:r>
        <w:rPr>
          <w:spacing w:val="-4"/>
        </w:rPr>
        <w:t>m</w:t>
      </w:r>
      <w:r>
        <w:t>ponen</w:t>
      </w:r>
      <w:r>
        <w:rPr>
          <w:spacing w:val="1"/>
        </w:rPr>
        <w:t>t</w:t>
      </w:r>
      <w:r>
        <w:t>e</w:t>
      </w:r>
      <w:r>
        <w:rPr>
          <w:spacing w:val="1"/>
        </w:rPr>
        <w:t>l</w:t>
      </w:r>
      <w:r>
        <w:t>e</w:t>
      </w:r>
      <w:r>
        <w:rPr>
          <w:spacing w:val="-2"/>
        </w:rPr>
        <w:t xml:space="preserve"> </w:t>
      </w:r>
      <w:r>
        <w:rPr>
          <w:spacing w:val="1"/>
        </w:rPr>
        <w:t>i</w:t>
      </w:r>
      <w:r>
        <w:t>n</w:t>
      </w:r>
      <w:r>
        <w:rPr>
          <w:spacing w:val="-3"/>
        </w:rPr>
        <w:t>d</w:t>
      </w:r>
      <w:r>
        <w:rPr>
          <w:spacing w:val="1"/>
        </w:rPr>
        <w:t>i</w:t>
      </w:r>
      <w:r>
        <w:rPr>
          <w:spacing w:val="-3"/>
        </w:rPr>
        <w:t>v</w:t>
      </w:r>
      <w:r>
        <w:rPr>
          <w:spacing w:val="1"/>
        </w:rPr>
        <w:t>i</w:t>
      </w:r>
      <w:r>
        <w:t>du</w:t>
      </w:r>
      <w:r>
        <w:rPr>
          <w:spacing w:val="-3"/>
        </w:rPr>
        <w:t>a</w:t>
      </w:r>
      <w:r>
        <w:rPr>
          <w:spacing w:val="1"/>
        </w:rPr>
        <w:t>l</w:t>
      </w:r>
      <w:r>
        <w:t xml:space="preserve">e </w:t>
      </w:r>
      <w:r>
        <w:rPr>
          <w:spacing w:val="-3"/>
        </w:rPr>
        <w:t>a</w:t>
      </w:r>
      <w:r>
        <w:rPr>
          <w:spacing w:val="1"/>
        </w:rPr>
        <w:t>l</w:t>
      </w:r>
      <w:r>
        <w:t>e</w:t>
      </w:r>
      <w:r>
        <w:rPr>
          <w:spacing w:val="-2"/>
        </w:rPr>
        <w:t xml:space="preserve"> </w:t>
      </w:r>
      <w:r>
        <w:t>cr</w:t>
      </w:r>
      <w:r>
        <w:rPr>
          <w:spacing w:val="-2"/>
        </w:rPr>
        <w:t>i</w:t>
      </w:r>
      <w:r>
        <w:rPr>
          <w:spacing w:val="1"/>
        </w:rPr>
        <w:t>t</w:t>
      </w:r>
      <w:r>
        <w:rPr>
          <w:spacing w:val="-3"/>
        </w:rPr>
        <w:t>e</w:t>
      </w:r>
      <w:r>
        <w:t>r</w:t>
      </w:r>
      <w:r>
        <w:rPr>
          <w:spacing w:val="-2"/>
        </w:rPr>
        <w:t>i</w:t>
      </w:r>
      <w:r>
        <w:rPr>
          <w:spacing w:val="1"/>
        </w:rPr>
        <w:t>il</w:t>
      </w:r>
      <w:r>
        <w:rPr>
          <w:spacing w:val="-3"/>
        </w:rPr>
        <w:t>o</w:t>
      </w:r>
      <w:r>
        <w:t>r</w:t>
      </w:r>
      <w:r>
        <w:rPr>
          <w:spacing w:val="1"/>
        </w:rPr>
        <w:t xml:space="preserve"> </w:t>
      </w:r>
      <w:r>
        <w:rPr>
          <w:spacing w:val="-2"/>
        </w:rPr>
        <w:t>r</w:t>
      </w:r>
      <w:r>
        <w:t>ăsp</w:t>
      </w:r>
      <w:r>
        <w:rPr>
          <w:spacing w:val="-3"/>
        </w:rPr>
        <w:t>u</w:t>
      </w:r>
      <w:r>
        <w:t>ns</w:t>
      </w:r>
      <w:r>
        <w:rPr>
          <w:spacing w:val="-3"/>
        </w:rPr>
        <w:t>u</w:t>
      </w:r>
      <w:r>
        <w:rPr>
          <w:spacing w:val="1"/>
        </w:rPr>
        <w:t>l</w:t>
      </w:r>
      <w:r>
        <w:t>ui</w:t>
      </w:r>
      <w:r>
        <w:rPr>
          <w:spacing w:val="1"/>
        </w:rPr>
        <w:t xml:space="preserve"> </w:t>
      </w:r>
      <w:r>
        <w:rPr>
          <w:spacing w:val="-2"/>
        </w:rPr>
        <w:t>A</w:t>
      </w:r>
      <w:r>
        <w:rPr>
          <w:spacing w:val="-1"/>
        </w:rPr>
        <w:t>C</w:t>
      </w:r>
      <w:r>
        <w:t>R</w:t>
      </w:r>
      <w:r>
        <w:rPr>
          <w:spacing w:val="-4"/>
        </w:rPr>
        <w:t xml:space="preserve"> </w:t>
      </w:r>
      <w:r>
        <w:t>(nu</w:t>
      </w:r>
      <w:r>
        <w:rPr>
          <w:spacing w:val="-4"/>
        </w:rPr>
        <w:t>m</w:t>
      </w:r>
      <w:r>
        <w:t>ăr</w:t>
      </w:r>
      <w:r>
        <w:rPr>
          <w:spacing w:val="1"/>
        </w:rPr>
        <w:t xml:space="preserve"> </w:t>
      </w:r>
      <w:r>
        <w:t>de ar</w:t>
      </w:r>
      <w:r>
        <w:rPr>
          <w:spacing w:val="-2"/>
        </w:rPr>
        <w:t>t</w:t>
      </w:r>
      <w:r>
        <w:rPr>
          <w:spacing w:val="1"/>
        </w:rPr>
        <w:t>i</w:t>
      </w:r>
      <w:r>
        <w:t>c</w:t>
      </w:r>
      <w:r>
        <w:rPr>
          <w:spacing w:val="-3"/>
        </w:rPr>
        <w:t>u</w:t>
      </w:r>
      <w:r>
        <w:rPr>
          <w:spacing w:val="1"/>
        </w:rPr>
        <w:t>l</w:t>
      </w:r>
      <w:r>
        <w:rPr>
          <w:spacing w:val="-3"/>
        </w:rPr>
        <w:t>a</w:t>
      </w:r>
      <w:r>
        <w:rPr>
          <w:spacing w:val="1"/>
        </w:rPr>
        <w:t>ţ</w:t>
      </w:r>
      <w:r>
        <w:rPr>
          <w:spacing w:val="-2"/>
        </w:rPr>
        <w:t>i</w:t>
      </w:r>
      <w:r>
        <w:t>i</w:t>
      </w:r>
      <w:r>
        <w:rPr>
          <w:spacing w:val="1"/>
        </w:rPr>
        <w:t xml:space="preserve"> </w:t>
      </w:r>
      <w:r>
        <w:t>d</w:t>
      </w:r>
      <w:r>
        <w:rPr>
          <w:spacing w:val="-3"/>
        </w:rPr>
        <w:t>u</w:t>
      </w:r>
      <w:r>
        <w:t>re</w:t>
      </w:r>
      <w:r>
        <w:rPr>
          <w:spacing w:val="-2"/>
        </w:rPr>
        <w:t>r</w:t>
      </w:r>
      <w:r>
        <w:t>oa</w:t>
      </w:r>
      <w:r>
        <w:rPr>
          <w:spacing w:val="-2"/>
        </w:rPr>
        <w:t>s</w:t>
      </w:r>
      <w:r>
        <w:t>e şi</w:t>
      </w:r>
      <w:r>
        <w:rPr>
          <w:spacing w:val="-2"/>
        </w:rPr>
        <w:t xml:space="preserve"> </w:t>
      </w:r>
      <w:r>
        <w:rPr>
          <w:spacing w:val="1"/>
        </w:rPr>
        <w:t>t</w:t>
      </w:r>
      <w:r>
        <w:t>u</w:t>
      </w:r>
      <w:r>
        <w:rPr>
          <w:spacing w:val="-4"/>
        </w:rPr>
        <w:t>m</w:t>
      </w:r>
      <w:r>
        <w:t>ef</w:t>
      </w:r>
      <w:r>
        <w:rPr>
          <w:spacing w:val="1"/>
        </w:rPr>
        <w:t>i</w:t>
      </w:r>
      <w:r>
        <w:rPr>
          <w:spacing w:val="-3"/>
        </w:rPr>
        <w:t>a</w:t>
      </w:r>
      <w:r>
        <w:rPr>
          <w:spacing w:val="1"/>
        </w:rPr>
        <w:t>t</w:t>
      </w:r>
      <w:r>
        <w:t>e,</w:t>
      </w:r>
      <w:r>
        <w:rPr>
          <w:spacing w:val="-3"/>
        </w:rPr>
        <w:t xml:space="preserve"> </w:t>
      </w:r>
      <w:r>
        <w:t>e</w:t>
      </w:r>
      <w:r>
        <w:rPr>
          <w:spacing w:val="-3"/>
        </w:rPr>
        <w:t>v</w:t>
      </w:r>
      <w:r>
        <w:t>a</w:t>
      </w:r>
      <w:r>
        <w:rPr>
          <w:spacing w:val="1"/>
        </w:rPr>
        <w:t>l</w:t>
      </w:r>
      <w:r>
        <w:t>u</w:t>
      </w:r>
      <w:r>
        <w:rPr>
          <w:spacing w:val="-3"/>
        </w:rPr>
        <w:t>a</w:t>
      </w:r>
      <w:r>
        <w:t xml:space="preserve">rea </w:t>
      </w:r>
      <w:r>
        <w:rPr>
          <w:spacing w:val="-4"/>
        </w:rPr>
        <w:t>m</w:t>
      </w:r>
      <w:r>
        <w:t>ed</w:t>
      </w:r>
      <w:r>
        <w:rPr>
          <w:spacing w:val="1"/>
        </w:rPr>
        <w:t>i</w:t>
      </w:r>
      <w:r>
        <w:rPr>
          <w:spacing w:val="-3"/>
        </w:rPr>
        <w:t>c</w:t>
      </w:r>
      <w:r>
        <w:rPr>
          <w:spacing w:val="1"/>
        </w:rPr>
        <w:t>i</w:t>
      </w:r>
      <w:r>
        <w:rPr>
          <w:spacing w:val="-2"/>
        </w:rPr>
        <w:t>l</w:t>
      </w:r>
      <w:r>
        <w:t>or</w:t>
      </w:r>
      <w:r>
        <w:rPr>
          <w:spacing w:val="1"/>
        </w:rPr>
        <w:t xml:space="preserve"> </w:t>
      </w:r>
      <w:r>
        <w:rPr>
          <w:spacing w:val="-2"/>
        </w:rPr>
        <w:t>ş</w:t>
      </w:r>
      <w:r>
        <w:t>i</w:t>
      </w:r>
      <w:r>
        <w:rPr>
          <w:spacing w:val="-2"/>
        </w:rPr>
        <w:t xml:space="preserve"> </w:t>
      </w:r>
      <w:r>
        <w:t>pac</w:t>
      </w:r>
      <w:r>
        <w:rPr>
          <w:spacing w:val="-2"/>
        </w:rPr>
        <w:t>i</w:t>
      </w:r>
      <w:r>
        <w:t>en</w:t>
      </w:r>
      <w:r>
        <w:rPr>
          <w:spacing w:val="-2"/>
        </w:rPr>
        <w:t>ţ</w:t>
      </w:r>
      <w:r>
        <w:rPr>
          <w:spacing w:val="1"/>
        </w:rPr>
        <w:t>i</w:t>
      </w:r>
      <w:r>
        <w:rPr>
          <w:spacing w:val="-2"/>
        </w:rPr>
        <w:t>l</w:t>
      </w:r>
      <w:r>
        <w:t>or</w:t>
      </w:r>
      <w:r>
        <w:rPr>
          <w:spacing w:val="-2"/>
        </w:rPr>
        <w:t xml:space="preserve"> </w:t>
      </w:r>
      <w:r>
        <w:t>re</w:t>
      </w:r>
      <w:r>
        <w:rPr>
          <w:spacing w:val="-2"/>
        </w:rPr>
        <w:t>f</w:t>
      </w:r>
      <w:r>
        <w:t>e</w:t>
      </w:r>
      <w:r>
        <w:rPr>
          <w:spacing w:val="-2"/>
        </w:rPr>
        <w:t>r</w:t>
      </w:r>
      <w:r>
        <w:rPr>
          <w:spacing w:val="1"/>
        </w:rPr>
        <w:t>it</w:t>
      </w:r>
      <w:r>
        <w:rPr>
          <w:spacing w:val="-3"/>
        </w:rPr>
        <w:t>o</w:t>
      </w:r>
      <w:r>
        <w:t>a</w:t>
      </w:r>
      <w:r>
        <w:rPr>
          <w:spacing w:val="-2"/>
        </w:rPr>
        <w:t>r</w:t>
      </w:r>
      <w:r>
        <w:t xml:space="preserve">e </w:t>
      </w:r>
      <w:r>
        <w:rPr>
          <w:spacing w:val="1"/>
        </w:rPr>
        <w:t>l</w:t>
      </w:r>
      <w:r>
        <w:t>a</w:t>
      </w:r>
      <w:r>
        <w:rPr>
          <w:spacing w:val="-2"/>
        </w:rPr>
        <w:t xml:space="preserve"> </w:t>
      </w:r>
      <w:r>
        <w:t>a</w:t>
      </w:r>
      <w:r>
        <w:rPr>
          <w:spacing w:val="-3"/>
        </w:rPr>
        <w:t>c</w:t>
      </w:r>
      <w:r>
        <w:rPr>
          <w:spacing w:val="1"/>
        </w:rPr>
        <w:t>ti</w:t>
      </w:r>
      <w:r>
        <w:rPr>
          <w:spacing w:val="-3"/>
        </w:rPr>
        <w:t>v</w:t>
      </w:r>
      <w:r>
        <w:rPr>
          <w:spacing w:val="1"/>
        </w:rPr>
        <w:t>i</w:t>
      </w:r>
      <w:r>
        <w:rPr>
          <w:spacing w:val="-2"/>
        </w:rPr>
        <w:t>t</w:t>
      </w:r>
      <w:r>
        <w:t>a</w:t>
      </w:r>
      <w:r>
        <w:rPr>
          <w:spacing w:val="1"/>
        </w:rPr>
        <w:t>t</w:t>
      </w:r>
      <w:r>
        <w:rPr>
          <w:spacing w:val="-3"/>
        </w:rPr>
        <w:t>e</w:t>
      </w:r>
      <w:r>
        <w:t>a b</w:t>
      </w:r>
      <w:r>
        <w:rPr>
          <w:spacing w:val="-3"/>
        </w:rPr>
        <w:t>o</w:t>
      </w:r>
      <w:r>
        <w:rPr>
          <w:spacing w:val="1"/>
        </w:rPr>
        <w:t>l</w:t>
      </w:r>
      <w:r>
        <w:rPr>
          <w:spacing w:val="-2"/>
        </w:rPr>
        <w:t>i</w:t>
      </w:r>
      <w:r>
        <w:t>i</w:t>
      </w:r>
      <w:r>
        <w:rPr>
          <w:spacing w:val="1"/>
        </w:rPr>
        <w:t xml:space="preserve"> </w:t>
      </w:r>
      <w:r>
        <w:rPr>
          <w:spacing w:val="-2"/>
        </w:rPr>
        <w:t>ş</w:t>
      </w:r>
      <w:r>
        <w:t>i</w:t>
      </w:r>
      <w:r>
        <w:rPr>
          <w:spacing w:val="1"/>
        </w:rPr>
        <w:t xml:space="preserve"> </w:t>
      </w:r>
      <w:r>
        <w:rPr>
          <w:spacing w:val="-2"/>
        </w:rPr>
        <w:t>l</w:t>
      </w:r>
      <w:r>
        <w:t>a dur</w:t>
      </w:r>
      <w:r>
        <w:rPr>
          <w:spacing w:val="-3"/>
        </w:rPr>
        <w:t>e</w:t>
      </w:r>
      <w:r>
        <w:t xml:space="preserve">re, </w:t>
      </w:r>
      <w:r>
        <w:rPr>
          <w:spacing w:val="-3"/>
        </w:rPr>
        <w:t>v</w:t>
      </w:r>
      <w:r>
        <w:t>a</w:t>
      </w:r>
      <w:r>
        <w:rPr>
          <w:spacing w:val="1"/>
        </w:rPr>
        <w:t>l</w:t>
      </w:r>
      <w:r>
        <w:rPr>
          <w:spacing w:val="-3"/>
        </w:rPr>
        <w:t>o</w:t>
      </w:r>
      <w:r>
        <w:t>r</w:t>
      </w:r>
      <w:r>
        <w:rPr>
          <w:spacing w:val="-2"/>
        </w:rPr>
        <w:t>i</w:t>
      </w:r>
      <w:r>
        <w:rPr>
          <w:spacing w:val="1"/>
        </w:rPr>
        <w:t>l</w:t>
      </w:r>
      <w:r>
        <w:t>e</w:t>
      </w:r>
      <w:r>
        <w:rPr>
          <w:spacing w:val="-2"/>
        </w:rPr>
        <w:t xml:space="preserve"> </w:t>
      </w:r>
      <w:r>
        <w:rPr>
          <w:spacing w:val="1"/>
        </w:rPr>
        <w:t>i</w:t>
      </w:r>
      <w:r>
        <w:t>n</w:t>
      </w:r>
      <w:r>
        <w:rPr>
          <w:spacing w:val="-3"/>
        </w:rPr>
        <w:t>d</w:t>
      </w:r>
      <w:r>
        <w:rPr>
          <w:spacing w:val="1"/>
        </w:rPr>
        <w:t>i</w:t>
      </w:r>
      <w:r>
        <w:t>c</w:t>
      </w:r>
      <w:r>
        <w:rPr>
          <w:spacing w:val="-3"/>
        </w:rPr>
        <w:t>e</w:t>
      </w:r>
      <w:r>
        <w:rPr>
          <w:spacing w:val="1"/>
        </w:rPr>
        <w:t>l</w:t>
      </w:r>
      <w:r>
        <w:t>ui</w:t>
      </w:r>
      <w:r>
        <w:rPr>
          <w:spacing w:val="-2"/>
        </w:rPr>
        <w:t xml:space="preserve"> </w:t>
      </w:r>
      <w:r>
        <w:t>de</w:t>
      </w:r>
      <w:r>
        <w:rPr>
          <w:spacing w:val="-2"/>
        </w:rPr>
        <w:t xml:space="preserve"> </w:t>
      </w:r>
      <w:r>
        <w:rPr>
          <w:spacing w:val="1"/>
        </w:rPr>
        <w:t>i</w:t>
      </w:r>
      <w:r>
        <w:t>nc</w:t>
      </w:r>
      <w:r>
        <w:rPr>
          <w:spacing w:val="-3"/>
        </w:rPr>
        <w:t>a</w:t>
      </w:r>
      <w:r>
        <w:t>pa</w:t>
      </w:r>
      <w:r>
        <w:rPr>
          <w:spacing w:val="-3"/>
        </w:rPr>
        <w:t>c</w:t>
      </w:r>
      <w:r>
        <w:rPr>
          <w:spacing w:val="1"/>
        </w:rPr>
        <w:t>i</w:t>
      </w:r>
      <w:r>
        <w:rPr>
          <w:spacing w:val="-2"/>
        </w:rPr>
        <w:t>t</w:t>
      </w:r>
      <w:r>
        <w:t>a</w:t>
      </w:r>
      <w:r>
        <w:rPr>
          <w:spacing w:val="1"/>
        </w:rPr>
        <w:t>t</w:t>
      </w:r>
      <w:r>
        <w:t>e</w:t>
      </w:r>
      <w:r>
        <w:rPr>
          <w:spacing w:val="-2"/>
        </w:rPr>
        <w:t xml:space="preserve"> </w:t>
      </w:r>
      <w:r>
        <w:t>(</w:t>
      </w:r>
      <w:r>
        <w:rPr>
          <w:spacing w:val="-1"/>
        </w:rPr>
        <w:t>HAQ</w:t>
      </w:r>
      <w:r>
        <w:t>)</w:t>
      </w:r>
      <w:r>
        <w:rPr>
          <w:spacing w:val="1"/>
        </w:rPr>
        <w:t xml:space="preserve"> </w:t>
      </w:r>
      <w:r>
        <w:rPr>
          <w:spacing w:val="-2"/>
        </w:rPr>
        <w:t>ş</w:t>
      </w:r>
      <w:r>
        <w:t>i</w:t>
      </w:r>
      <w:r>
        <w:rPr>
          <w:spacing w:val="1"/>
        </w:rPr>
        <w:t xml:space="preserve"> </w:t>
      </w:r>
      <w:r>
        <w:rPr>
          <w:spacing w:val="-3"/>
        </w:rPr>
        <w:t>v</w:t>
      </w:r>
      <w:r>
        <w:t>a</w:t>
      </w:r>
      <w:r>
        <w:rPr>
          <w:spacing w:val="1"/>
        </w:rPr>
        <w:t>l</w:t>
      </w:r>
      <w:r>
        <w:rPr>
          <w:spacing w:val="-3"/>
        </w:rPr>
        <w:t>o</w:t>
      </w:r>
      <w:r>
        <w:t>r</w:t>
      </w:r>
      <w:r>
        <w:rPr>
          <w:spacing w:val="-2"/>
        </w:rPr>
        <w:t>i</w:t>
      </w:r>
      <w:r>
        <w:rPr>
          <w:spacing w:val="1"/>
        </w:rPr>
        <w:t>l</w:t>
      </w:r>
      <w:r>
        <w:t xml:space="preserve">e </w:t>
      </w:r>
      <w:r>
        <w:rPr>
          <w:rFonts w:eastAsia="MS Mincho"/>
          <w:szCs w:val="22"/>
          <w:lang w:eastAsia="en-US" w:bidi="ar-SA"/>
        </w:rPr>
        <w:t>P</w:t>
      </w:r>
      <w:r>
        <w:rPr>
          <w:rFonts w:eastAsia="MS Mincho"/>
          <w:spacing w:val="-1"/>
          <w:szCs w:val="22"/>
          <w:lang w:eastAsia="en-US" w:bidi="ar-SA"/>
        </w:rPr>
        <w:t>CR</w:t>
      </w:r>
      <w:r>
        <w:rPr>
          <w:spacing w:val="-1"/>
        </w:rPr>
        <w:t xml:space="preserve"> </w:t>
      </w:r>
      <w:r>
        <w:t>(</w:t>
      </w:r>
      <w:r>
        <w:rPr>
          <w:spacing w:val="-4"/>
        </w:rPr>
        <w:t>m</w:t>
      </w:r>
      <w:r>
        <w:rPr>
          <w:spacing w:val="-3"/>
        </w:rPr>
        <w:t>g</w:t>
      </w:r>
      <w:r>
        <w:rPr>
          <w:spacing w:val="1"/>
        </w:rPr>
        <w:t>/</w:t>
      </w:r>
      <w:r>
        <w:t>d</w:t>
      </w:r>
      <w:r>
        <w:rPr>
          <w:spacing w:val="1"/>
        </w:rPr>
        <w:t>l</w:t>
      </w:r>
      <w:r>
        <w:t>))</w:t>
      </w:r>
      <w:r>
        <w:rPr>
          <w:spacing w:val="-2"/>
        </w:rPr>
        <w:t xml:space="preserve"> </w:t>
      </w:r>
      <w:r>
        <w:t>au f</w:t>
      </w:r>
      <w:r>
        <w:rPr>
          <w:spacing w:val="-3"/>
        </w:rPr>
        <w:t>o</w:t>
      </w:r>
      <w:r>
        <w:t>st</w:t>
      </w:r>
      <w:r>
        <w:rPr>
          <w:spacing w:val="-2"/>
        </w:rPr>
        <w:t xml:space="preserve"> </w:t>
      </w:r>
      <w:r>
        <w:rPr>
          <w:spacing w:val="-3"/>
        </w:rPr>
        <w:t>a</w:t>
      </w:r>
      <w:r>
        <w:rPr>
          <w:spacing w:val="-4"/>
        </w:rPr>
        <w:t>m</w:t>
      </w:r>
      <w:r>
        <w:t>e</w:t>
      </w:r>
      <w:r>
        <w:rPr>
          <w:spacing w:val="1"/>
        </w:rPr>
        <w:t>li</w:t>
      </w:r>
      <w:r>
        <w:t>or</w:t>
      </w:r>
      <w:r>
        <w:rPr>
          <w:spacing w:val="-3"/>
        </w:rPr>
        <w:t>a</w:t>
      </w:r>
      <w:r>
        <w:rPr>
          <w:spacing w:val="1"/>
        </w:rPr>
        <w:t>t</w:t>
      </w:r>
      <w:r>
        <w:t>e du</w:t>
      </w:r>
      <w:r>
        <w:rPr>
          <w:spacing w:val="-3"/>
        </w:rPr>
        <w:t>p</w:t>
      </w:r>
      <w:r>
        <w:t>ă 24 sau 26</w:t>
      </w:r>
      <w:r>
        <w:rPr>
          <w:spacing w:val="-3"/>
        </w:rPr>
        <w:t xml:space="preserve"> </w:t>
      </w:r>
      <w:r>
        <w:t>să</w:t>
      </w:r>
      <w:r>
        <w:rPr>
          <w:spacing w:val="-3"/>
        </w:rPr>
        <w:t>p</w:t>
      </w:r>
      <w:r>
        <w:rPr>
          <w:spacing w:val="1"/>
        </w:rPr>
        <w:t>t</w:t>
      </w:r>
      <w:r>
        <w:t>ă</w:t>
      </w:r>
      <w:r>
        <w:rPr>
          <w:spacing w:val="-4"/>
        </w:rPr>
        <w:t>m</w:t>
      </w:r>
      <w:r>
        <w:t>âni</w:t>
      </w:r>
      <w:r>
        <w:rPr>
          <w:spacing w:val="1"/>
        </w:rPr>
        <w:t xml:space="preserve"> </w:t>
      </w:r>
      <w:r>
        <w:t>co</w:t>
      </w:r>
      <w:r>
        <w:rPr>
          <w:spacing w:val="-4"/>
        </w:rPr>
        <w:t>m</w:t>
      </w:r>
      <w:r>
        <w:t>par</w:t>
      </w:r>
      <w:r>
        <w:rPr>
          <w:spacing w:val="-3"/>
        </w:rPr>
        <w:t>a</w:t>
      </w:r>
      <w:r>
        <w:rPr>
          <w:spacing w:val="1"/>
        </w:rPr>
        <w:t>t</w:t>
      </w:r>
      <w:r>
        <w:rPr>
          <w:spacing w:val="-2"/>
        </w:rPr>
        <w:t>i</w:t>
      </w:r>
      <w:r>
        <w:t>v</w:t>
      </w:r>
      <w:r>
        <w:rPr>
          <w:spacing w:val="-3"/>
        </w:rPr>
        <w:t xml:space="preserve"> </w:t>
      </w:r>
      <w:r>
        <w:t>cu p</w:t>
      </w:r>
      <w:r>
        <w:rPr>
          <w:spacing w:val="1"/>
        </w:rPr>
        <w:t>l</w:t>
      </w:r>
      <w:r>
        <w:t>ac</w:t>
      </w:r>
      <w:r>
        <w:rPr>
          <w:spacing w:val="-3"/>
        </w:rPr>
        <w:t>e</w:t>
      </w:r>
      <w:r>
        <w:t xml:space="preserve">bo. </w:t>
      </w:r>
      <w:r>
        <w:rPr>
          <w:spacing w:val="-4"/>
        </w:rPr>
        <w:t>Î</w:t>
      </w:r>
      <w:r>
        <w:t>n s</w:t>
      </w:r>
      <w:r>
        <w:rPr>
          <w:spacing w:val="1"/>
        </w:rPr>
        <w:t>t</w:t>
      </w:r>
      <w:r>
        <w:t>ud</w:t>
      </w:r>
      <w:r>
        <w:rPr>
          <w:spacing w:val="-2"/>
        </w:rPr>
        <w:t>i</w:t>
      </w:r>
      <w:r>
        <w:t>ul</w:t>
      </w:r>
      <w:r>
        <w:rPr>
          <w:spacing w:val="1"/>
        </w:rPr>
        <w:t xml:space="preserve"> </w:t>
      </w:r>
      <w:r>
        <w:rPr>
          <w:spacing w:val="-1"/>
        </w:rPr>
        <w:t>P</w:t>
      </w:r>
      <w:r>
        <w:t>R</w:t>
      </w:r>
      <w:r>
        <w:rPr>
          <w:spacing w:val="-4"/>
        </w:rPr>
        <w:t xml:space="preserve"> </w:t>
      </w:r>
      <w:r>
        <w:rPr>
          <w:spacing w:val="-2"/>
        </w:rPr>
        <w:t>I</w:t>
      </w:r>
      <w:r>
        <w:t>I</w:t>
      </w:r>
      <w:r>
        <w:rPr>
          <w:spacing w:val="-2"/>
        </w:rPr>
        <w:t>I</w:t>
      </w:r>
      <w:r>
        <w:t>, aces</w:t>
      </w:r>
      <w:r>
        <w:rPr>
          <w:spacing w:val="-2"/>
        </w:rPr>
        <w:t>t</w:t>
      </w:r>
      <w:r>
        <w:t>e a</w:t>
      </w:r>
      <w:r>
        <w:rPr>
          <w:spacing w:val="-4"/>
        </w:rPr>
        <w:t>m</w:t>
      </w:r>
      <w:r>
        <w:t>e</w:t>
      </w:r>
      <w:r>
        <w:rPr>
          <w:spacing w:val="1"/>
        </w:rPr>
        <w:t>li</w:t>
      </w:r>
      <w:r>
        <w:rPr>
          <w:spacing w:val="-3"/>
        </w:rPr>
        <w:t>o</w:t>
      </w:r>
      <w:r>
        <w:t>r</w:t>
      </w:r>
      <w:r>
        <w:rPr>
          <w:spacing w:val="-3"/>
        </w:rPr>
        <w:t>ă</w:t>
      </w:r>
      <w:r>
        <w:t>ri</w:t>
      </w:r>
      <w:r>
        <w:rPr>
          <w:spacing w:val="1"/>
        </w:rPr>
        <w:t xml:space="preserve"> </w:t>
      </w:r>
      <w:r>
        <w:t>s</w:t>
      </w:r>
      <w:r>
        <w:rPr>
          <w:spacing w:val="-4"/>
        </w:rPr>
        <w:t>-</w:t>
      </w:r>
      <w:r>
        <w:t>au</w:t>
      </w:r>
      <w:r>
        <w:rPr>
          <w:spacing w:val="-3"/>
        </w:rPr>
        <w:t xml:space="preserve"> </w:t>
      </w:r>
      <w:r>
        <w:rPr>
          <w:spacing w:val="-4"/>
        </w:rPr>
        <w:t>m</w:t>
      </w:r>
      <w:r>
        <w:t>en</w:t>
      </w:r>
      <w:r>
        <w:rPr>
          <w:spacing w:val="1"/>
        </w:rPr>
        <w:t>ţi</w:t>
      </w:r>
      <w:r>
        <w:t>nut</w:t>
      </w:r>
      <w:r>
        <w:rPr>
          <w:spacing w:val="1"/>
        </w:rPr>
        <w:t xml:space="preserve"> </w:t>
      </w:r>
      <w:r>
        <w:rPr>
          <w:spacing w:val="-3"/>
        </w:rPr>
        <w:t>p</w:t>
      </w:r>
      <w:r>
        <w:t>e o d</w:t>
      </w:r>
      <w:r>
        <w:rPr>
          <w:spacing w:val="-3"/>
        </w:rPr>
        <w:t>u</w:t>
      </w:r>
      <w:r>
        <w:t>r</w:t>
      </w:r>
      <w:r>
        <w:rPr>
          <w:spacing w:val="-3"/>
        </w:rPr>
        <w:t>a</w:t>
      </w:r>
      <w:r>
        <w:rPr>
          <w:spacing w:val="1"/>
        </w:rPr>
        <w:t>t</w:t>
      </w:r>
      <w:r>
        <w:t xml:space="preserve">ă de 52 </w:t>
      </w:r>
      <w:r>
        <w:rPr>
          <w:spacing w:val="-2"/>
        </w:rPr>
        <w:t>s</w:t>
      </w:r>
      <w:r>
        <w:t>ăp</w:t>
      </w:r>
      <w:r>
        <w:rPr>
          <w:spacing w:val="-2"/>
        </w:rPr>
        <w:t>t</w:t>
      </w:r>
      <w:r>
        <w:t>ă</w:t>
      </w:r>
      <w:r>
        <w:rPr>
          <w:spacing w:val="-4"/>
        </w:rPr>
        <w:t>m</w:t>
      </w:r>
      <w:r>
        <w:t>ân</w:t>
      </w:r>
      <w:r>
        <w:rPr>
          <w:spacing w:val="1"/>
        </w:rPr>
        <w:t>i</w:t>
      </w:r>
      <w:r>
        <w:t>.</w:t>
      </w:r>
    </w:p>
    <w:p w14:paraId="3F87A3E3" w14:textId="77777777" w:rsidR="00C04CAD" w:rsidRDefault="00C04CAD">
      <w:pPr>
        <w:tabs>
          <w:tab w:val="clear" w:pos="567"/>
        </w:tabs>
        <w:kinsoku w:val="0"/>
        <w:overflowPunct w:val="0"/>
        <w:autoSpaceDE w:val="0"/>
        <w:autoSpaceDN w:val="0"/>
        <w:adjustRightInd w:val="0"/>
        <w:spacing w:line="240" w:lineRule="auto"/>
      </w:pPr>
    </w:p>
    <w:p w14:paraId="51A71BE6" w14:textId="77777777" w:rsidR="00C04CAD" w:rsidRDefault="00060E34">
      <w:pPr>
        <w:tabs>
          <w:tab w:val="clear" w:pos="567"/>
        </w:tabs>
        <w:kinsoku w:val="0"/>
        <w:overflowPunct w:val="0"/>
        <w:autoSpaceDE w:val="0"/>
        <w:autoSpaceDN w:val="0"/>
        <w:adjustRightInd w:val="0"/>
        <w:spacing w:line="240" w:lineRule="auto"/>
      </w:pPr>
      <w:r>
        <w:rPr>
          <w:spacing w:val="-4"/>
        </w:rPr>
        <w:t>Î</w:t>
      </w:r>
      <w:r>
        <w:t>n fa</w:t>
      </w:r>
      <w:r>
        <w:rPr>
          <w:spacing w:val="-3"/>
        </w:rPr>
        <w:t>z</w:t>
      </w:r>
      <w:r>
        <w:t>a de ex</w:t>
      </w:r>
      <w:r>
        <w:rPr>
          <w:spacing w:val="1"/>
        </w:rPr>
        <w:t>t</w:t>
      </w:r>
      <w:r>
        <w:t>e</w:t>
      </w:r>
      <w:r>
        <w:rPr>
          <w:spacing w:val="-3"/>
        </w:rPr>
        <w:t>n</w:t>
      </w:r>
      <w:r>
        <w:t>s</w:t>
      </w:r>
      <w:r>
        <w:rPr>
          <w:spacing w:val="1"/>
        </w:rPr>
        <w:t>i</w:t>
      </w:r>
      <w:r>
        <w:t>e</w:t>
      </w:r>
      <w:r>
        <w:rPr>
          <w:spacing w:val="-2"/>
        </w:rPr>
        <w:t xml:space="preserve"> </w:t>
      </w:r>
      <w:r>
        <w:t>de</w:t>
      </w:r>
      <w:r>
        <w:rPr>
          <w:spacing w:val="-2"/>
        </w:rPr>
        <w:t>s</w:t>
      </w:r>
      <w:r>
        <w:t>ch</w:t>
      </w:r>
      <w:r>
        <w:rPr>
          <w:spacing w:val="-2"/>
        </w:rPr>
        <w:t>i</w:t>
      </w:r>
      <w:r>
        <w:t>să</w:t>
      </w:r>
      <w:r>
        <w:rPr>
          <w:spacing w:val="-2"/>
        </w:rPr>
        <w:t xml:space="preserve"> </w:t>
      </w:r>
      <w:r>
        <w:t>a unui</w:t>
      </w:r>
      <w:r>
        <w:rPr>
          <w:spacing w:val="-2"/>
        </w:rPr>
        <w:t xml:space="preserve"> </w:t>
      </w:r>
      <w:r>
        <w:t>s</w:t>
      </w:r>
      <w:r>
        <w:rPr>
          <w:spacing w:val="-2"/>
        </w:rPr>
        <w:t>t</w:t>
      </w:r>
      <w:r>
        <w:t>ud</w:t>
      </w:r>
      <w:r>
        <w:rPr>
          <w:spacing w:val="1"/>
        </w:rPr>
        <w:t>i</w:t>
      </w:r>
      <w:r>
        <w:t>u</w:t>
      </w:r>
      <w:r>
        <w:rPr>
          <w:spacing w:val="-3"/>
        </w:rPr>
        <w:t xml:space="preserve"> </w:t>
      </w:r>
      <w:r>
        <w:rPr>
          <w:spacing w:val="-2"/>
        </w:rPr>
        <w:t>II</w:t>
      </w:r>
      <w:r>
        <w:t>I</w:t>
      </w:r>
      <w:r>
        <w:rPr>
          <w:spacing w:val="-2"/>
        </w:rPr>
        <w:t xml:space="preserve"> </w:t>
      </w:r>
      <w:r>
        <w:t>pen</w:t>
      </w:r>
      <w:r>
        <w:rPr>
          <w:spacing w:val="1"/>
        </w:rPr>
        <w:t>t</w:t>
      </w:r>
      <w:r>
        <w:t xml:space="preserve">ru </w:t>
      </w:r>
      <w:r>
        <w:rPr>
          <w:spacing w:val="-1"/>
        </w:rPr>
        <w:t>P</w:t>
      </w:r>
      <w:r>
        <w:rPr>
          <w:spacing w:val="-4"/>
        </w:rPr>
        <w:t>R</w:t>
      </w:r>
      <w:r>
        <w:t xml:space="preserve">, </w:t>
      </w:r>
      <w:r>
        <w:rPr>
          <w:spacing w:val="-4"/>
        </w:rPr>
        <w:t>m</w:t>
      </w:r>
      <w:r>
        <w:t>a</w:t>
      </w:r>
      <w:r>
        <w:rPr>
          <w:spacing w:val="3"/>
        </w:rPr>
        <w:t>j</w:t>
      </w:r>
      <w:r>
        <w:t>o</w:t>
      </w:r>
      <w:r>
        <w:rPr>
          <w:spacing w:val="-2"/>
        </w:rPr>
        <w:t>r</w:t>
      </w:r>
      <w:r>
        <w:rPr>
          <w:spacing w:val="1"/>
        </w:rPr>
        <w:t>i</w:t>
      </w:r>
      <w:r>
        <w:rPr>
          <w:spacing w:val="-2"/>
        </w:rPr>
        <w:t>t</w:t>
      </w:r>
      <w:r>
        <w:t>a</w:t>
      </w:r>
      <w:r>
        <w:rPr>
          <w:spacing w:val="-2"/>
        </w:rPr>
        <w:t>t</w:t>
      </w:r>
      <w:r>
        <w:t>ea p</w:t>
      </w:r>
      <w:r>
        <w:rPr>
          <w:spacing w:val="-3"/>
        </w:rPr>
        <w:t>a</w:t>
      </w:r>
      <w:r>
        <w:t>c</w:t>
      </w:r>
      <w:r>
        <w:rPr>
          <w:spacing w:val="-2"/>
        </w:rPr>
        <w:t>i</w:t>
      </w:r>
      <w:r>
        <w:t>en</w:t>
      </w:r>
      <w:r>
        <w:rPr>
          <w:spacing w:val="-2"/>
        </w:rPr>
        <w:t>ţ</w:t>
      </w:r>
      <w:r>
        <w:rPr>
          <w:spacing w:val="1"/>
        </w:rPr>
        <w:t>il</w:t>
      </w:r>
      <w:r>
        <w:rPr>
          <w:spacing w:val="-3"/>
        </w:rPr>
        <w:t>o</w:t>
      </w:r>
      <w:r>
        <w:t>r</w:t>
      </w:r>
      <w:r>
        <w:rPr>
          <w:spacing w:val="1"/>
        </w:rPr>
        <w:t xml:space="preserve"> </w:t>
      </w:r>
      <w:r>
        <w:rPr>
          <w:spacing w:val="-3"/>
        </w:rPr>
        <w:t>c</w:t>
      </w:r>
      <w:r>
        <w:t>a</w:t>
      </w:r>
      <w:r>
        <w:rPr>
          <w:spacing w:val="-2"/>
        </w:rPr>
        <w:t>r</w:t>
      </w:r>
      <w:r>
        <w:t>e au a</w:t>
      </w:r>
      <w:r>
        <w:rPr>
          <w:spacing w:val="-3"/>
        </w:rPr>
        <w:t>v</w:t>
      </w:r>
      <w:r>
        <w:t>ut</w:t>
      </w:r>
      <w:r>
        <w:rPr>
          <w:spacing w:val="-2"/>
        </w:rPr>
        <w:t xml:space="preserve"> </w:t>
      </w:r>
      <w:r>
        <w:t>răs</w:t>
      </w:r>
      <w:r>
        <w:rPr>
          <w:spacing w:val="-3"/>
        </w:rPr>
        <w:t>p</w:t>
      </w:r>
      <w:r>
        <w:t>uns conf</w:t>
      </w:r>
      <w:r>
        <w:rPr>
          <w:spacing w:val="-3"/>
        </w:rPr>
        <w:t>o</w:t>
      </w:r>
      <w:r>
        <w:t>rm</w:t>
      </w:r>
      <w:r>
        <w:rPr>
          <w:spacing w:val="-4"/>
        </w:rPr>
        <w:t xml:space="preserve"> </w:t>
      </w:r>
      <w:r>
        <w:t>cr</w:t>
      </w:r>
      <w:r>
        <w:rPr>
          <w:spacing w:val="1"/>
        </w:rPr>
        <w:t>i</w:t>
      </w:r>
      <w:r>
        <w:rPr>
          <w:spacing w:val="-2"/>
        </w:rPr>
        <w:t>t</w:t>
      </w:r>
      <w:r>
        <w:t>e</w:t>
      </w:r>
      <w:r>
        <w:rPr>
          <w:spacing w:val="-2"/>
        </w:rPr>
        <w:t>r</w:t>
      </w:r>
      <w:r>
        <w:rPr>
          <w:spacing w:val="1"/>
        </w:rPr>
        <w:t>i</w:t>
      </w:r>
      <w:r>
        <w:rPr>
          <w:spacing w:val="-2"/>
        </w:rPr>
        <w:t>i</w:t>
      </w:r>
      <w:r>
        <w:rPr>
          <w:spacing w:val="1"/>
        </w:rPr>
        <w:t>l</w:t>
      </w:r>
      <w:r>
        <w:t>or</w:t>
      </w:r>
      <w:r>
        <w:rPr>
          <w:spacing w:val="1"/>
        </w:rPr>
        <w:t xml:space="preserve"> </w:t>
      </w:r>
      <w:r>
        <w:rPr>
          <w:spacing w:val="-1"/>
        </w:rPr>
        <w:t>ACR</w:t>
      </w:r>
      <w:r>
        <w:t xml:space="preserve">, </w:t>
      </w:r>
      <w:r>
        <w:rPr>
          <w:spacing w:val="-3"/>
        </w:rPr>
        <w:t>a</w:t>
      </w:r>
      <w:r>
        <w:rPr>
          <w:spacing w:val="-2"/>
        </w:rPr>
        <w:t>t</w:t>
      </w:r>
      <w:r>
        <w:t>unci</w:t>
      </w:r>
      <w:r>
        <w:rPr>
          <w:spacing w:val="-2"/>
        </w:rPr>
        <w:t xml:space="preserve"> </w:t>
      </w:r>
      <w:r>
        <w:t>când</w:t>
      </w:r>
      <w:r>
        <w:rPr>
          <w:spacing w:val="-3"/>
        </w:rPr>
        <w:t xml:space="preserve"> </w:t>
      </w:r>
      <w:r>
        <w:t>au f</w:t>
      </w:r>
      <w:r>
        <w:rPr>
          <w:spacing w:val="-3"/>
        </w:rPr>
        <w:t>o</w:t>
      </w:r>
      <w:r>
        <w:t>st</w:t>
      </w:r>
      <w:r>
        <w:rPr>
          <w:spacing w:val="-2"/>
        </w:rPr>
        <w:t xml:space="preserve"> </w:t>
      </w:r>
      <w:r>
        <w:t>e</w:t>
      </w:r>
      <w:r>
        <w:rPr>
          <w:spacing w:val="-3"/>
        </w:rPr>
        <w:t>v</w:t>
      </w:r>
      <w:r>
        <w:t>a</w:t>
      </w:r>
      <w:r>
        <w:rPr>
          <w:spacing w:val="1"/>
        </w:rPr>
        <w:t>l</w:t>
      </w:r>
      <w:r>
        <w:t>u</w:t>
      </w:r>
      <w:r>
        <w:rPr>
          <w:spacing w:val="-3"/>
        </w:rPr>
        <w:t>a</w:t>
      </w:r>
      <w:r>
        <w:rPr>
          <w:spacing w:val="1"/>
        </w:rPr>
        <w:t>ţi</w:t>
      </w:r>
      <w:r>
        <w:t>,</w:t>
      </w:r>
      <w:r>
        <w:rPr>
          <w:spacing w:val="-3"/>
        </w:rPr>
        <w:t xml:space="preserve"> a</w:t>
      </w:r>
      <w:r>
        <w:t xml:space="preserve">u </w:t>
      </w:r>
      <w:r>
        <w:rPr>
          <w:spacing w:val="-4"/>
        </w:rPr>
        <w:t>m</w:t>
      </w:r>
      <w:r>
        <w:t>en</w:t>
      </w:r>
      <w:r>
        <w:rPr>
          <w:spacing w:val="1"/>
        </w:rPr>
        <w:t>ţi</w:t>
      </w:r>
      <w:r>
        <w:t>nut</w:t>
      </w:r>
      <w:r>
        <w:rPr>
          <w:spacing w:val="-2"/>
        </w:rPr>
        <w:t xml:space="preserve"> </w:t>
      </w:r>
      <w:r>
        <w:t>r</w:t>
      </w:r>
      <w:r>
        <w:rPr>
          <w:spacing w:val="-3"/>
        </w:rPr>
        <w:t>ă</w:t>
      </w:r>
      <w:r>
        <w:t>spuns</w:t>
      </w:r>
      <w:r>
        <w:rPr>
          <w:spacing w:val="-3"/>
        </w:rPr>
        <w:t>u</w:t>
      </w:r>
      <w:r>
        <w:t>l</w:t>
      </w:r>
      <w:r>
        <w:rPr>
          <w:spacing w:val="-2"/>
        </w:rPr>
        <w:t xml:space="preserve"> </w:t>
      </w:r>
      <w:r>
        <w:rPr>
          <w:spacing w:val="1"/>
        </w:rPr>
        <w:t>ti</w:t>
      </w:r>
      <w:r>
        <w:rPr>
          <w:spacing w:val="-4"/>
        </w:rPr>
        <w:t>m</w:t>
      </w:r>
      <w:r>
        <w:t>p de pâ</w:t>
      </w:r>
      <w:r>
        <w:rPr>
          <w:spacing w:val="-3"/>
        </w:rPr>
        <w:t>n</w:t>
      </w:r>
      <w:r>
        <w:t xml:space="preserve">ă </w:t>
      </w:r>
      <w:r>
        <w:rPr>
          <w:spacing w:val="1"/>
        </w:rPr>
        <w:t>l</w:t>
      </w:r>
      <w:r>
        <w:t>a</w:t>
      </w:r>
      <w:r>
        <w:rPr>
          <w:spacing w:val="-2"/>
        </w:rPr>
        <w:t xml:space="preserve"> </w:t>
      </w:r>
      <w:r>
        <w:t>10 a</w:t>
      </w:r>
      <w:r>
        <w:rPr>
          <w:spacing w:val="-3"/>
        </w:rPr>
        <w:t>n</w:t>
      </w:r>
      <w:r>
        <w:rPr>
          <w:spacing w:val="1"/>
        </w:rPr>
        <w:t>i</w:t>
      </w:r>
      <w:r>
        <w:t xml:space="preserve">. </w:t>
      </w:r>
      <w:r>
        <w:rPr>
          <w:spacing w:val="-1"/>
        </w:rPr>
        <w:t>D</w:t>
      </w:r>
      <w:r>
        <w:rPr>
          <w:spacing w:val="1"/>
        </w:rPr>
        <w:t>i</w:t>
      </w:r>
      <w:r>
        <w:t xml:space="preserve">n 207 </w:t>
      </w:r>
      <w:r>
        <w:rPr>
          <w:spacing w:val="-3"/>
        </w:rPr>
        <w:t>p</w:t>
      </w:r>
      <w:r>
        <w:t>ac</w:t>
      </w:r>
      <w:r>
        <w:rPr>
          <w:spacing w:val="-2"/>
        </w:rPr>
        <w:t>i</w:t>
      </w:r>
      <w:r>
        <w:t>en</w:t>
      </w:r>
      <w:r>
        <w:rPr>
          <w:spacing w:val="-2"/>
        </w:rPr>
        <w:t>ţ</w:t>
      </w:r>
      <w:r>
        <w:t>i</w:t>
      </w:r>
      <w:r>
        <w:rPr>
          <w:spacing w:val="1"/>
        </w:rPr>
        <w:t xml:space="preserve"> </w:t>
      </w:r>
      <w:r>
        <w:rPr>
          <w:spacing w:val="-3"/>
        </w:rPr>
        <w:t>c</w:t>
      </w:r>
      <w:r>
        <w:t>are</w:t>
      </w:r>
      <w:r>
        <w:rPr>
          <w:spacing w:val="-2"/>
        </w:rPr>
        <w:t xml:space="preserve"> </w:t>
      </w:r>
      <w:r>
        <w:t>au</w:t>
      </w:r>
      <w:r>
        <w:rPr>
          <w:spacing w:val="-3"/>
        </w:rPr>
        <w:t xml:space="preserve"> </w:t>
      </w:r>
      <w:r>
        <w:t>f</w:t>
      </w:r>
      <w:r>
        <w:rPr>
          <w:spacing w:val="-3"/>
        </w:rPr>
        <w:t>o</w:t>
      </w:r>
      <w:r>
        <w:t>st</w:t>
      </w:r>
      <w:r>
        <w:rPr>
          <w:spacing w:val="1"/>
        </w:rPr>
        <w:t xml:space="preserve"> </w:t>
      </w:r>
      <w:r>
        <w:rPr>
          <w:spacing w:val="-2"/>
        </w:rPr>
        <w:t>r</w:t>
      </w:r>
      <w:r>
        <w:t>ando</w:t>
      </w:r>
      <w:r>
        <w:rPr>
          <w:spacing w:val="-4"/>
        </w:rPr>
        <w:t>m</w:t>
      </w:r>
      <w:r>
        <w:t>i</w:t>
      </w:r>
      <w:r>
        <w:rPr>
          <w:spacing w:val="-3"/>
        </w:rPr>
        <w:t>z</w:t>
      </w:r>
      <w:r>
        <w:t>a</w:t>
      </w:r>
      <w:r>
        <w:rPr>
          <w:spacing w:val="1"/>
        </w:rPr>
        <w:t>ţ</w:t>
      </w:r>
      <w:r>
        <w:t>i</w:t>
      </w:r>
      <w:r>
        <w:rPr>
          <w:spacing w:val="-2"/>
        </w:rPr>
        <w:t xml:space="preserve"> </w:t>
      </w:r>
      <w:r>
        <w:t xml:space="preserve">cu </w:t>
      </w:r>
      <w:r>
        <w:rPr>
          <w:rFonts w:eastAsia="MS Mincho"/>
          <w:spacing w:val="-1"/>
          <w:szCs w:val="22"/>
          <w:lang w:eastAsia="en-US" w:bidi="ar-SA"/>
        </w:rPr>
        <w:t>adalimumab</w:t>
      </w:r>
      <w:r>
        <w:t xml:space="preserve"> </w:t>
      </w:r>
      <w:r>
        <w:rPr>
          <w:spacing w:val="-3"/>
        </w:rPr>
        <w:t>4</w:t>
      </w:r>
      <w:r>
        <w:t>0 </w:t>
      </w:r>
      <w:r>
        <w:rPr>
          <w:spacing w:val="-2"/>
        </w:rPr>
        <w:t>m</w:t>
      </w:r>
      <w:r>
        <w:t>g</w:t>
      </w:r>
      <w:r>
        <w:rPr>
          <w:spacing w:val="-3"/>
        </w:rPr>
        <w:t xml:space="preserve"> </w:t>
      </w:r>
      <w:r>
        <w:rPr>
          <w:spacing w:val="1"/>
        </w:rPr>
        <w:t>l</w:t>
      </w:r>
      <w:r>
        <w:t xml:space="preserve">a două </w:t>
      </w:r>
      <w:r>
        <w:rPr>
          <w:spacing w:val="-2"/>
        </w:rPr>
        <w:t>s</w:t>
      </w:r>
      <w:r>
        <w:t>ăp</w:t>
      </w:r>
      <w:r>
        <w:rPr>
          <w:spacing w:val="-2"/>
        </w:rPr>
        <w:t>t</w:t>
      </w:r>
      <w:r>
        <w:t>ă</w:t>
      </w:r>
      <w:r>
        <w:rPr>
          <w:spacing w:val="-4"/>
        </w:rPr>
        <w:t>m</w:t>
      </w:r>
      <w:r>
        <w:t>ân</w:t>
      </w:r>
      <w:r>
        <w:rPr>
          <w:spacing w:val="1"/>
        </w:rPr>
        <w:t>i</w:t>
      </w:r>
      <w:r>
        <w:t>, 1</w:t>
      </w:r>
      <w:r>
        <w:rPr>
          <w:spacing w:val="-3"/>
        </w:rPr>
        <w:t>1</w:t>
      </w:r>
      <w:r>
        <w:t>4 pa</w:t>
      </w:r>
      <w:r>
        <w:rPr>
          <w:spacing w:val="-3"/>
        </w:rPr>
        <w:t>c</w:t>
      </w:r>
      <w:r>
        <w:rPr>
          <w:spacing w:val="1"/>
        </w:rPr>
        <w:t>i</w:t>
      </w:r>
      <w:r>
        <w:t>e</w:t>
      </w:r>
      <w:r>
        <w:rPr>
          <w:spacing w:val="-3"/>
        </w:rPr>
        <w:t>n</w:t>
      </w:r>
      <w:r>
        <w:rPr>
          <w:spacing w:val="1"/>
        </w:rPr>
        <w:t>ţ</w:t>
      </w:r>
      <w:r>
        <w:t>i</w:t>
      </w:r>
      <w:r>
        <w:rPr>
          <w:spacing w:val="1"/>
        </w:rPr>
        <w:t xml:space="preserve"> </w:t>
      </w:r>
      <w:r>
        <w:rPr>
          <w:spacing w:val="-3"/>
        </w:rPr>
        <w:t>a</w:t>
      </w:r>
      <w:r>
        <w:t>u con</w:t>
      </w:r>
      <w:r>
        <w:rPr>
          <w:spacing w:val="-2"/>
        </w:rPr>
        <w:t>t</w:t>
      </w:r>
      <w:r>
        <w:rPr>
          <w:spacing w:val="1"/>
        </w:rPr>
        <w:t>i</w:t>
      </w:r>
      <w:r>
        <w:t>nu</w:t>
      </w:r>
      <w:r>
        <w:rPr>
          <w:spacing w:val="-3"/>
        </w:rPr>
        <w:t>a</w:t>
      </w:r>
      <w:r>
        <w:t>t</w:t>
      </w:r>
      <w:r>
        <w:rPr>
          <w:spacing w:val="1"/>
        </w:rPr>
        <w:t xml:space="preserve"> </w:t>
      </w:r>
      <w:r>
        <w:rPr>
          <w:rFonts w:eastAsia="MS Mincho"/>
          <w:spacing w:val="-1"/>
          <w:szCs w:val="22"/>
          <w:lang w:eastAsia="en-US" w:bidi="ar-SA"/>
        </w:rPr>
        <w:t>adalimumab</w:t>
      </w:r>
      <w:r>
        <w:t xml:space="preserve"> 40 </w:t>
      </w:r>
      <w:r>
        <w:rPr>
          <w:spacing w:val="-4"/>
        </w:rPr>
        <w:t>m</w:t>
      </w:r>
      <w:r>
        <w:t>g</w:t>
      </w:r>
      <w:r>
        <w:rPr>
          <w:spacing w:val="-3"/>
        </w:rPr>
        <w:t xml:space="preserve"> </w:t>
      </w:r>
      <w:r>
        <w:rPr>
          <w:spacing w:val="1"/>
        </w:rPr>
        <w:t>l</w:t>
      </w:r>
      <w:r>
        <w:t xml:space="preserve">a două </w:t>
      </w:r>
      <w:r>
        <w:rPr>
          <w:spacing w:val="-2"/>
        </w:rPr>
        <w:t>s</w:t>
      </w:r>
      <w:r>
        <w:t>ăp</w:t>
      </w:r>
      <w:r>
        <w:rPr>
          <w:spacing w:val="-2"/>
        </w:rPr>
        <w:t>t</w:t>
      </w:r>
      <w:r>
        <w:t>ă</w:t>
      </w:r>
      <w:r>
        <w:rPr>
          <w:spacing w:val="-4"/>
        </w:rPr>
        <w:t>m</w:t>
      </w:r>
      <w:r>
        <w:t>ân</w:t>
      </w:r>
      <w:r>
        <w:rPr>
          <w:spacing w:val="1"/>
        </w:rPr>
        <w:t>i</w:t>
      </w:r>
      <w:r>
        <w:t xml:space="preserve">, </w:t>
      </w:r>
      <w:r>
        <w:rPr>
          <w:spacing w:val="1"/>
        </w:rPr>
        <w:t>ti</w:t>
      </w:r>
      <w:r>
        <w:rPr>
          <w:spacing w:val="-4"/>
        </w:rPr>
        <w:t>m</w:t>
      </w:r>
      <w:r>
        <w:t>p de 5</w:t>
      </w:r>
      <w:r>
        <w:rPr>
          <w:spacing w:val="-3"/>
        </w:rPr>
        <w:t xml:space="preserve"> </w:t>
      </w:r>
      <w:r>
        <w:t>an</w:t>
      </w:r>
      <w:r>
        <w:rPr>
          <w:spacing w:val="1"/>
        </w:rPr>
        <w:t>i</w:t>
      </w:r>
      <w:r>
        <w:t xml:space="preserve">. </w:t>
      </w:r>
      <w:r>
        <w:rPr>
          <w:spacing w:val="-1"/>
        </w:rPr>
        <w:t>D</w:t>
      </w:r>
      <w:r>
        <w:rPr>
          <w:spacing w:val="-2"/>
        </w:rPr>
        <w:t>i</w:t>
      </w:r>
      <w:r>
        <w:t>n</w:t>
      </w:r>
      <w:r>
        <w:rPr>
          <w:spacing w:val="-2"/>
        </w:rPr>
        <w:t>t</w:t>
      </w:r>
      <w:r>
        <w:t xml:space="preserve">re </w:t>
      </w:r>
      <w:r>
        <w:rPr>
          <w:spacing w:val="-3"/>
        </w:rPr>
        <w:t>a</w:t>
      </w:r>
      <w:r>
        <w:t>ce</w:t>
      </w:r>
      <w:r>
        <w:rPr>
          <w:spacing w:val="-2"/>
        </w:rPr>
        <w:t>ş</w:t>
      </w:r>
      <w:r>
        <w:rPr>
          <w:spacing w:val="1"/>
        </w:rPr>
        <w:t>t</w:t>
      </w:r>
      <w:r>
        <w:rPr>
          <w:spacing w:val="-2"/>
        </w:rPr>
        <w:t>i</w:t>
      </w:r>
      <w:r>
        <w:t xml:space="preserve">a, 86 </w:t>
      </w:r>
      <w:r>
        <w:rPr>
          <w:spacing w:val="-3"/>
        </w:rPr>
        <w:t>p</w:t>
      </w:r>
      <w:r>
        <w:t>a</w:t>
      </w:r>
      <w:r>
        <w:rPr>
          <w:spacing w:val="-3"/>
        </w:rPr>
        <w:t>c</w:t>
      </w:r>
      <w:r>
        <w:rPr>
          <w:spacing w:val="1"/>
        </w:rPr>
        <w:t>i</w:t>
      </w:r>
      <w:r>
        <w:rPr>
          <w:spacing w:val="-3"/>
        </w:rPr>
        <w:t>e</w:t>
      </w:r>
      <w:r>
        <w:t>n</w:t>
      </w:r>
      <w:r>
        <w:rPr>
          <w:spacing w:val="1"/>
        </w:rPr>
        <w:t>ţ</w:t>
      </w:r>
      <w:r>
        <w:t>i</w:t>
      </w:r>
      <w:r>
        <w:rPr>
          <w:spacing w:val="-2"/>
        </w:rPr>
        <w:t xml:space="preserve"> </w:t>
      </w:r>
      <w:r>
        <w:t>(75,</w:t>
      </w:r>
      <w:r>
        <w:rPr>
          <w:spacing w:val="-3"/>
        </w:rPr>
        <w:t>4</w:t>
      </w:r>
      <w:r>
        <w:t>%)</w:t>
      </w:r>
      <w:r>
        <w:rPr>
          <w:spacing w:val="-2"/>
        </w:rPr>
        <w:t xml:space="preserve"> </w:t>
      </w:r>
      <w:r>
        <w:t>au a</w:t>
      </w:r>
      <w:r>
        <w:rPr>
          <w:spacing w:val="-3"/>
        </w:rPr>
        <w:t>v</w:t>
      </w:r>
      <w:r>
        <w:t>ut răsp</w:t>
      </w:r>
      <w:r>
        <w:rPr>
          <w:spacing w:val="-3"/>
        </w:rPr>
        <w:t>u</w:t>
      </w:r>
      <w:r>
        <w:t>ns c</w:t>
      </w:r>
      <w:r>
        <w:rPr>
          <w:spacing w:val="-3"/>
        </w:rPr>
        <w:t>o</w:t>
      </w:r>
      <w:r>
        <w:t>nf</w:t>
      </w:r>
      <w:r>
        <w:rPr>
          <w:spacing w:val="-3"/>
        </w:rPr>
        <w:t>o</w:t>
      </w:r>
      <w:r>
        <w:t>rm</w:t>
      </w:r>
      <w:r>
        <w:rPr>
          <w:spacing w:val="-4"/>
        </w:rPr>
        <w:t xml:space="preserve"> </w:t>
      </w:r>
      <w:r>
        <w:t>cr</w:t>
      </w:r>
      <w:r>
        <w:rPr>
          <w:spacing w:val="1"/>
        </w:rPr>
        <w:t>i</w:t>
      </w:r>
      <w:r>
        <w:rPr>
          <w:spacing w:val="-2"/>
        </w:rPr>
        <w:t>t</w:t>
      </w:r>
      <w:r>
        <w:t>e</w:t>
      </w:r>
      <w:r>
        <w:rPr>
          <w:spacing w:val="-2"/>
        </w:rPr>
        <w:t>r</w:t>
      </w:r>
      <w:r>
        <w:rPr>
          <w:spacing w:val="1"/>
        </w:rPr>
        <w:t>i</w:t>
      </w:r>
      <w:r>
        <w:rPr>
          <w:spacing w:val="-2"/>
        </w:rPr>
        <w:t>i</w:t>
      </w:r>
      <w:r>
        <w:rPr>
          <w:spacing w:val="1"/>
        </w:rPr>
        <w:t>l</w:t>
      </w:r>
      <w:r>
        <w:t>or</w:t>
      </w:r>
      <w:r>
        <w:rPr>
          <w:spacing w:val="-2"/>
        </w:rPr>
        <w:t xml:space="preserve"> </w:t>
      </w:r>
      <w:r>
        <w:rPr>
          <w:spacing w:val="-1"/>
        </w:rPr>
        <w:t>AC</w:t>
      </w:r>
      <w:r>
        <w:t>R</w:t>
      </w:r>
      <w:r>
        <w:rPr>
          <w:spacing w:val="-1"/>
        </w:rPr>
        <w:t xml:space="preserve"> </w:t>
      </w:r>
      <w:r>
        <w:t>20;</w:t>
      </w:r>
      <w:r>
        <w:rPr>
          <w:spacing w:val="1"/>
        </w:rPr>
        <w:t xml:space="preserve"> </w:t>
      </w:r>
      <w:r>
        <w:t>72 p</w:t>
      </w:r>
      <w:r>
        <w:rPr>
          <w:spacing w:val="-3"/>
        </w:rPr>
        <w:t>a</w:t>
      </w:r>
      <w:r>
        <w:t>c</w:t>
      </w:r>
      <w:r>
        <w:rPr>
          <w:spacing w:val="-2"/>
        </w:rPr>
        <w:t>i</w:t>
      </w:r>
      <w:r>
        <w:t>en</w:t>
      </w:r>
      <w:r>
        <w:rPr>
          <w:spacing w:val="-2"/>
        </w:rPr>
        <w:t>ţ</w:t>
      </w:r>
      <w:r>
        <w:t>i</w:t>
      </w:r>
      <w:r>
        <w:rPr>
          <w:spacing w:val="1"/>
        </w:rPr>
        <w:t xml:space="preserve"> </w:t>
      </w:r>
      <w:r>
        <w:t>(</w:t>
      </w:r>
      <w:r>
        <w:rPr>
          <w:spacing w:val="-3"/>
        </w:rPr>
        <w:t>6</w:t>
      </w:r>
      <w:r>
        <w:t>3,</w:t>
      </w:r>
      <w:r>
        <w:rPr>
          <w:spacing w:val="-3"/>
        </w:rPr>
        <w:t>2</w:t>
      </w:r>
      <w:r>
        <w:t>%)</w:t>
      </w:r>
      <w:r>
        <w:rPr>
          <w:spacing w:val="1"/>
        </w:rPr>
        <w:t xml:space="preserve"> </w:t>
      </w:r>
      <w:r>
        <w:rPr>
          <w:spacing w:val="-3"/>
        </w:rPr>
        <w:t>a</w:t>
      </w:r>
      <w:r>
        <w:t>u a</w:t>
      </w:r>
      <w:r>
        <w:rPr>
          <w:spacing w:val="-3"/>
        </w:rPr>
        <w:t>v</w:t>
      </w:r>
      <w:r>
        <w:t>ut</w:t>
      </w:r>
      <w:r>
        <w:rPr>
          <w:spacing w:val="1"/>
        </w:rPr>
        <w:t xml:space="preserve"> </w:t>
      </w:r>
      <w:r>
        <w:rPr>
          <w:spacing w:val="-2"/>
        </w:rPr>
        <w:t>r</w:t>
      </w:r>
      <w:r>
        <w:t>ăsp</w:t>
      </w:r>
      <w:r>
        <w:rPr>
          <w:spacing w:val="-3"/>
        </w:rPr>
        <w:t>u</w:t>
      </w:r>
      <w:r>
        <w:t>ns c</w:t>
      </w:r>
      <w:r>
        <w:rPr>
          <w:spacing w:val="-3"/>
        </w:rPr>
        <w:t>o</w:t>
      </w:r>
      <w:r>
        <w:t>nf</w:t>
      </w:r>
      <w:r>
        <w:rPr>
          <w:spacing w:val="-3"/>
        </w:rPr>
        <w:t>o</w:t>
      </w:r>
      <w:r>
        <w:rPr>
          <w:spacing w:val="-2"/>
        </w:rPr>
        <w:t>r</w:t>
      </w:r>
      <w:r>
        <w:t>m</w:t>
      </w:r>
      <w:r>
        <w:rPr>
          <w:spacing w:val="-4"/>
        </w:rPr>
        <w:t xml:space="preserve"> </w:t>
      </w:r>
      <w:r>
        <w:t>cr</w:t>
      </w:r>
      <w:r>
        <w:rPr>
          <w:spacing w:val="1"/>
        </w:rPr>
        <w:t>it</w:t>
      </w:r>
      <w:r>
        <w:t>e</w:t>
      </w:r>
      <w:r>
        <w:rPr>
          <w:spacing w:val="-2"/>
        </w:rPr>
        <w:t>r</w:t>
      </w:r>
      <w:r>
        <w:rPr>
          <w:spacing w:val="1"/>
        </w:rPr>
        <w:t>i</w:t>
      </w:r>
      <w:r>
        <w:rPr>
          <w:spacing w:val="-2"/>
        </w:rPr>
        <w:t>i</w:t>
      </w:r>
      <w:r>
        <w:rPr>
          <w:spacing w:val="1"/>
        </w:rPr>
        <w:t>l</w:t>
      </w:r>
      <w:r>
        <w:rPr>
          <w:spacing w:val="-3"/>
        </w:rPr>
        <w:t>o</w:t>
      </w:r>
      <w:r>
        <w:t>r</w:t>
      </w:r>
      <w:r>
        <w:rPr>
          <w:spacing w:val="1"/>
        </w:rPr>
        <w:t xml:space="preserve"> </w:t>
      </w:r>
      <w:r>
        <w:rPr>
          <w:spacing w:val="-1"/>
        </w:rPr>
        <w:t>AC</w:t>
      </w:r>
      <w:r>
        <w:t>R</w:t>
      </w:r>
      <w:r>
        <w:rPr>
          <w:spacing w:val="-1"/>
        </w:rPr>
        <w:t xml:space="preserve"> </w:t>
      </w:r>
      <w:r>
        <w:t>50 şi</w:t>
      </w:r>
      <w:r>
        <w:rPr>
          <w:spacing w:val="1"/>
        </w:rPr>
        <w:t xml:space="preserve"> </w:t>
      </w:r>
      <w:r>
        <w:t>41</w:t>
      </w:r>
      <w:r>
        <w:rPr>
          <w:spacing w:val="-3"/>
        </w:rPr>
        <w:t xml:space="preserve"> </w:t>
      </w:r>
      <w:r>
        <w:t>pa</w:t>
      </w:r>
      <w:r>
        <w:rPr>
          <w:spacing w:val="-3"/>
        </w:rPr>
        <w:t>c</w:t>
      </w:r>
      <w:r>
        <w:rPr>
          <w:spacing w:val="1"/>
        </w:rPr>
        <w:t>i</w:t>
      </w:r>
      <w:r>
        <w:t>e</w:t>
      </w:r>
      <w:r>
        <w:rPr>
          <w:spacing w:val="-3"/>
        </w:rPr>
        <w:t>n</w:t>
      </w:r>
      <w:r>
        <w:rPr>
          <w:spacing w:val="1"/>
        </w:rPr>
        <w:t>ţ</w:t>
      </w:r>
      <w:r>
        <w:t>i</w:t>
      </w:r>
      <w:r>
        <w:rPr>
          <w:spacing w:val="-2"/>
        </w:rPr>
        <w:t xml:space="preserve"> </w:t>
      </w:r>
      <w:r>
        <w:t>(3</w:t>
      </w:r>
      <w:r>
        <w:rPr>
          <w:spacing w:val="-3"/>
        </w:rPr>
        <w:t>6</w:t>
      </w:r>
      <w:r>
        <w:t>%)</w:t>
      </w:r>
      <w:r>
        <w:rPr>
          <w:spacing w:val="-2"/>
        </w:rPr>
        <w:t xml:space="preserve"> </w:t>
      </w:r>
      <w:r>
        <w:t>au a</w:t>
      </w:r>
      <w:r>
        <w:rPr>
          <w:spacing w:val="-3"/>
        </w:rPr>
        <w:t>v</w:t>
      </w:r>
      <w:r>
        <w:t>ut</w:t>
      </w:r>
      <w:r>
        <w:rPr>
          <w:spacing w:val="1"/>
        </w:rPr>
        <w:t xml:space="preserve"> </w:t>
      </w:r>
      <w:r>
        <w:t>r</w:t>
      </w:r>
      <w:r>
        <w:rPr>
          <w:spacing w:val="-3"/>
        </w:rPr>
        <w:t>ă</w:t>
      </w:r>
      <w:r>
        <w:t>spu</w:t>
      </w:r>
      <w:r>
        <w:rPr>
          <w:spacing w:val="-3"/>
        </w:rPr>
        <w:t>n</w:t>
      </w:r>
      <w:r>
        <w:t>s co</w:t>
      </w:r>
      <w:r>
        <w:rPr>
          <w:spacing w:val="-3"/>
        </w:rPr>
        <w:t>n</w:t>
      </w:r>
      <w:r>
        <w:t>form</w:t>
      </w:r>
      <w:r>
        <w:rPr>
          <w:spacing w:val="-4"/>
        </w:rPr>
        <w:t xml:space="preserve"> </w:t>
      </w:r>
      <w:r>
        <w:t>cr</w:t>
      </w:r>
      <w:r>
        <w:rPr>
          <w:spacing w:val="-2"/>
        </w:rPr>
        <w:t>i</w:t>
      </w:r>
      <w:r>
        <w:rPr>
          <w:spacing w:val="1"/>
        </w:rPr>
        <w:t>t</w:t>
      </w:r>
      <w:r>
        <w:rPr>
          <w:spacing w:val="-3"/>
        </w:rPr>
        <w:t>e</w:t>
      </w:r>
      <w:r>
        <w:t>r</w:t>
      </w:r>
      <w:r>
        <w:rPr>
          <w:spacing w:val="-2"/>
        </w:rPr>
        <w:t>i</w:t>
      </w:r>
      <w:r>
        <w:rPr>
          <w:spacing w:val="1"/>
        </w:rPr>
        <w:t>i</w:t>
      </w:r>
      <w:r>
        <w:rPr>
          <w:spacing w:val="-2"/>
        </w:rPr>
        <w:t>l</w:t>
      </w:r>
      <w:r>
        <w:rPr>
          <w:spacing w:val="-3"/>
        </w:rPr>
        <w:t>o</w:t>
      </w:r>
      <w:r>
        <w:t>r</w:t>
      </w:r>
      <w:r>
        <w:rPr>
          <w:spacing w:val="1"/>
        </w:rPr>
        <w:t xml:space="preserve"> </w:t>
      </w:r>
      <w:r>
        <w:rPr>
          <w:spacing w:val="-1"/>
        </w:rPr>
        <w:t>AC</w:t>
      </w:r>
      <w:r>
        <w:t>R</w:t>
      </w:r>
      <w:r>
        <w:rPr>
          <w:spacing w:val="-1"/>
        </w:rPr>
        <w:t xml:space="preserve"> </w:t>
      </w:r>
      <w:r>
        <w:t xml:space="preserve">70. </w:t>
      </w:r>
      <w:r>
        <w:rPr>
          <w:spacing w:val="-1"/>
        </w:rPr>
        <w:t>D</w:t>
      </w:r>
      <w:r>
        <w:rPr>
          <w:spacing w:val="1"/>
        </w:rPr>
        <w:t>i</w:t>
      </w:r>
      <w:r>
        <w:t xml:space="preserve">n </w:t>
      </w:r>
      <w:r>
        <w:rPr>
          <w:spacing w:val="-3"/>
        </w:rPr>
        <w:t>2</w:t>
      </w:r>
      <w:r>
        <w:t>07 p</w:t>
      </w:r>
      <w:r>
        <w:rPr>
          <w:spacing w:val="-3"/>
        </w:rPr>
        <w:t>a</w:t>
      </w:r>
      <w:r>
        <w:t>c</w:t>
      </w:r>
      <w:r>
        <w:rPr>
          <w:spacing w:val="1"/>
        </w:rPr>
        <w:t>i</w:t>
      </w:r>
      <w:r>
        <w:rPr>
          <w:spacing w:val="-3"/>
        </w:rPr>
        <w:t>e</w:t>
      </w:r>
      <w:r>
        <w:t>n</w:t>
      </w:r>
      <w:r>
        <w:rPr>
          <w:spacing w:val="-2"/>
        </w:rPr>
        <w:t>ţi</w:t>
      </w:r>
      <w:r>
        <w:t>, 81 pa</w:t>
      </w:r>
      <w:r>
        <w:rPr>
          <w:spacing w:val="-3"/>
        </w:rPr>
        <w:t>c</w:t>
      </w:r>
      <w:r>
        <w:rPr>
          <w:spacing w:val="1"/>
        </w:rPr>
        <w:t>i</w:t>
      </w:r>
      <w:r>
        <w:t>e</w:t>
      </w:r>
      <w:r>
        <w:rPr>
          <w:spacing w:val="-3"/>
        </w:rPr>
        <w:t>n</w:t>
      </w:r>
      <w:r>
        <w:rPr>
          <w:spacing w:val="1"/>
        </w:rPr>
        <w:t>ţ</w:t>
      </w:r>
      <w:r>
        <w:t>i</w:t>
      </w:r>
      <w:r>
        <w:rPr>
          <w:spacing w:val="-2"/>
        </w:rPr>
        <w:t xml:space="preserve"> </w:t>
      </w:r>
      <w:r>
        <w:t>au con</w:t>
      </w:r>
      <w:r>
        <w:rPr>
          <w:spacing w:val="-2"/>
        </w:rPr>
        <w:t>t</w:t>
      </w:r>
      <w:r>
        <w:rPr>
          <w:spacing w:val="1"/>
        </w:rPr>
        <w:t>i</w:t>
      </w:r>
      <w:r>
        <w:t>nu</w:t>
      </w:r>
      <w:r>
        <w:rPr>
          <w:spacing w:val="-3"/>
        </w:rPr>
        <w:t>a</w:t>
      </w:r>
      <w:r>
        <w:t>t</w:t>
      </w:r>
      <w:r>
        <w:rPr>
          <w:spacing w:val="1"/>
        </w:rPr>
        <w:t xml:space="preserve"> </w:t>
      </w:r>
      <w:r>
        <w:rPr>
          <w:rFonts w:eastAsia="MS Mincho"/>
          <w:spacing w:val="-1"/>
          <w:szCs w:val="22"/>
          <w:lang w:eastAsia="en-US" w:bidi="ar-SA"/>
        </w:rPr>
        <w:t>adalimumab</w:t>
      </w:r>
      <w:r>
        <w:t xml:space="preserve"> 40 </w:t>
      </w:r>
      <w:r>
        <w:rPr>
          <w:spacing w:val="-4"/>
        </w:rPr>
        <w:t>m</w:t>
      </w:r>
      <w:r>
        <w:t>g</w:t>
      </w:r>
      <w:r>
        <w:rPr>
          <w:spacing w:val="-3"/>
        </w:rPr>
        <w:t xml:space="preserve"> </w:t>
      </w:r>
      <w:r>
        <w:rPr>
          <w:spacing w:val="1"/>
        </w:rPr>
        <w:t>l</w:t>
      </w:r>
      <w:r>
        <w:t xml:space="preserve">a două </w:t>
      </w:r>
      <w:r>
        <w:rPr>
          <w:spacing w:val="-2"/>
        </w:rPr>
        <w:t>s</w:t>
      </w:r>
      <w:r>
        <w:t>ăp</w:t>
      </w:r>
      <w:r>
        <w:rPr>
          <w:spacing w:val="-2"/>
        </w:rPr>
        <w:t>t</w:t>
      </w:r>
      <w:r>
        <w:t>ă</w:t>
      </w:r>
      <w:r>
        <w:rPr>
          <w:spacing w:val="-4"/>
        </w:rPr>
        <w:t>m</w:t>
      </w:r>
      <w:r>
        <w:t>ân</w:t>
      </w:r>
      <w:r>
        <w:rPr>
          <w:spacing w:val="1"/>
        </w:rPr>
        <w:t>i</w:t>
      </w:r>
      <w:r>
        <w:t xml:space="preserve">, </w:t>
      </w:r>
      <w:r>
        <w:rPr>
          <w:spacing w:val="1"/>
        </w:rPr>
        <w:t>ti</w:t>
      </w:r>
      <w:r>
        <w:rPr>
          <w:spacing w:val="-4"/>
        </w:rPr>
        <w:t>m</w:t>
      </w:r>
      <w:r>
        <w:t>p de 10</w:t>
      </w:r>
      <w:r>
        <w:rPr>
          <w:spacing w:val="-3"/>
        </w:rPr>
        <w:t xml:space="preserve"> </w:t>
      </w:r>
      <w:r>
        <w:t>an</w:t>
      </w:r>
      <w:r>
        <w:rPr>
          <w:spacing w:val="1"/>
        </w:rPr>
        <w:t>i</w:t>
      </w:r>
      <w:r>
        <w:t xml:space="preserve">. </w:t>
      </w:r>
      <w:r>
        <w:rPr>
          <w:spacing w:val="-4"/>
        </w:rPr>
        <w:t>D</w:t>
      </w:r>
      <w:r>
        <w:rPr>
          <w:spacing w:val="1"/>
        </w:rPr>
        <w:t>i</w:t>
      </w:r>
      <w:r>
        <w:t>n</w:t>
      </w:r>
      <w:r>
        <w:rPr>
          <w:spacing w:val="-2"/>
        </w:rPr>
        <w:t>t</w:t>
      </w:r>
      <w:r>
        <w:t xml:space="preserve">re </w:t>
      </w:r>
      <w:r>
        <w:rPr>
          <w:spacing w:val="-3"/>
        </w:rPr>
        <w:t>a</w:t>
      </w:r>
      <w:r>
        <w:t>ce</w:t>
      </w:r>
      <w:r>
        <w:rPr>
          <w:spacing w:val="-2"/>
        </w:rPr>
        <w:t>ş</w:t>
      </w:r>
      <w:r>
        <w:rPr>
          <w:spacing w:val="1"/>
        </w:rPr>
        <w:t>t</w:t>
      </w:r>
      <w:r>
        <w:rPr>
          <w:spacing w:val="-2"/>
        </w:rPr>
        <w:t>i</w:t>
      </w:r>
      <w:r>
        <w:t xml:space="preserve">a, 64 </w:t>
      </w:r>
      <w:r>
        <w:rPr>
          <w:spacing w:val="-3"/>
        </w:rPr>
        <w:t>p</w:t>
      </w:r>
      <w:r>
        <w:t>a</w:t>
      </w:r>
      <w:r>
        <w:rPr>
          <w:spacing w:val="-3"/>
        </w:rPr>
        <w:t>c</w:t>
      </w:r>
      <w:r>
        <w:rPr>
          <w:spacing w:val="-2"/>
        </w:rPr>
        <w:t>i</w:t>
      </w:r>
      <w:r>
        <w:t>en</w:t>
      </w:r>
      <w:r>
        <w:rPr>
          <w:spacing w:val="-2"/>
        </w:rPr>
        <w:t>ţ</w:t>
      </w:r>
      <w:r>
        <w:t>i</w:t>
      </w:r>
      <w:r>
        <w:rPr>
          <w:spacing w:val="1"/>
        </w:rPr>
        <w:t xml:space="preserve"> </w:t>
      </w:r>
      <w:r>
        <w:t>(7</w:t>
      </w:r>
      <w:r>
        <w:rPr>
          <w:spacing w:val="-3"/>
        </w:rPr>
        <w:t>9,0</w:t>
      </w:r>
      <w:r>
        <w:rPr>
          <w:spacing w:val="-2"/>
        </w:rPr>
        <w:t>%</w:t>
      </w:r>
      <w:r>
        <w:t>)</w:t>
      </w:r>
      <w:r>
        <w:rPr>
          <w:spacing w:val="1"/>
        </w:rPr>
        <w:t xml:space="preserve"> </w:t>
      </w:r>
      <w:r>
        <w:t>au a</w:t>
      </w:r>
      <w:r>
        <w:rPr>
          <w:spacing w:val="-3"/>
        </w:rPr>
        <w:t>v</w:t>
      </w:r>
      <w:r>
        <w:t>ut răsp</w:t>
      </w:r>
      <w:r>
        <w:rPr>
          <w:spacing w:val="-3"/>
        </w:rPr>
        <w:t>u</w:t>
      </w:r>
      <w:r>
        <w:t>ns c</w:t>
      </w:r>
      <w:r>
        <w:rPr>
          <w:spacing w:val="-3"/>
        </w:rPr>
        <w:t>o</w:t>
      </w:r>
      <w:r>
        <w:t>nf</w:t>
      </w:r>
      <w:r>
        <w:rPr>
          <w:spacing w:val="-3"/>
        </w:rPr>
        <w:t>o</w:t>
      </w:r>
      <w:r>
        <w:t>rm</w:t>
      </w:r>
      <w:r>
        <w:rPr>
          <w:spacing w:val="-4"/>
        </w:rPr>
        <w:t xml:space="preserve"> </w:t>
      </w:r>
      <w:r>
        <w:t>cr</w:t>
      </w:r>
      <w:r>
        <w:rPr>
          <w:spacing w:val="1"/>
        </w:rPr>
        <w:t>i</w:t>
      </w:r>
      <w:r>
        <w:rPr>
          <w:spacing w:val="-2"/>
        </w:rPr>
        <w:t>t</w:t>
      </w:r>
      <w:r>
        <w:t>e</w:t>
      </w:r>
      <w:r>
        <w:rPr>
          <w:spacing w:val="-2"/>
        </w:rPr>
        <w:t>r</w:t>
      </w:r>
      <w:r>
        <w:rPr>
          <w:spacing w:val="1"/>
        </w:rPr>
        <w:t>i</w:t>
      </w:r>
      <w:r>
        <w:rPr>
          <w:spacing w:val="-2"/>
        </w:rPr>
        <w:t>i</w:t>
      </w:r>
      <w:r>
        <w:rPr>
          <w:spacing w:val="1"/>
        </w:rPr>
        <w:t>l</w:t>
      </w:r>
      <w:r>
        <w:t>or</w:t>
      </w:r>
      <w:r>
        <w:rPr>
          <w:spacing w:val="-2"/>
        </w:rPr>
        <w:t xml:space="preserve"> </w:t>
      </w:r>
      <w:r>
        <w:rPr>
          <w:spacing w:val="-1"/>
        </w:rPr>
        <w:t>AC</w:t>
      </w:r>
      <w:r>
        <w:t>R</w:t>
      </w:r>
      <w:r>
        <w:rPr>
          <w:spacing w:val="-1"/>
        </w:rPr>
        <w:t xml:space="preserve"> </w:t>
      </w:r>
      <w:r>
        <w:t>20;</w:t>
      </w:r>
      <w:r>
        <w:rPr>
          <w:spacing w:val="1"/>
        </w:rPr>
        <w:t xml:space="preserve"> </w:t>
      </w:r>
      <w:r>
        <w:t>56 p</w:t>
      </w:r>
      <w:r>
        <w:rPr>
          <w:spacing w:val="-3"/>
        </w:rPr>
        <w:t>a</w:t>
      </w:r>
      <w:r>
        <w:t>c</w:t>
      </w:r>
      <w:r>
        <w:rPr>
          <w:spacing w:val="-2"/>
        </w:rPr>
        <w:t>i</w:t>
      </w:r>
      <w:r>
        <w:t>en</w:t>
      </w:r>
      <w:r>
        <w:rPr>
          <w:spacing w:val="-2"/>
        </w:rPr>
        <w:t>ţ</w:t>
      </w:r>
      <w:r>
        <w:t>i</w:t>
      </w:r>
      <w:r>
        <w:rPr>
          <w:spacing w:val="1"/>
        </w:rPr>
        <w:t xml:space="preserve"> </w:t>
      </w:r>
      <w:r>
        <w:t>(</w:t>
      </w:r>
      <w:r>
        <w:rPr>
          <w:spacing w:val="-3"/>
        </w:rPr>
        <w:t>6</w:t>
      </w:r>
      <w:r>
        <w:t>9,</w:t>
      </w:r>
      <w:r>
        <w:rPr>
          <w:spacing w:val="-3"/>
        </w:rPr>
        <w:t>1</w:t>
      </w:r>
      <w:r>
        <w:t>%)</w:t>
      </w:r>
      <w:r>
        <w:rPr>
          <w:spacing w:val="1"/>
        </w:rPr>
        <w:t xml:space="preserve"> </w:t>
      </w:r>
      <w:r>
        <w:rPr>
          <w:spacing w:val="-3"/>
        </w:rPr>
        <w:t>a</w:t>
      </w:r>
      <w:r>
        <w:t>u a</w:t>
      </w:r>
      <w:r>
        <w:rPr>
          <w:spacing w:val="-3"/>
        </w:rPr>
        <w:t>v</w:t>
      </w:r>
      <w:r>
        <w:t>ut</w:t>
      </w:r>
      <w:r>
        <w:rPr>
          <w:spacing w:val="1"/>
        </w:rPr>
        <w:t xml:space="preserve"> </w:t>
      </w:r>
      <w:r>
        <w:rPr>
          <w:spacing w:val="-2"/>
        </w:rPr>
        <w:t>r</w:t>
      </w:r>
      <w:r>
        <w:t>ăsp</w:t>
      </w:r>
      <w:r>
        <w:rPr>
          <w:spacing w:val="-3"/>
        </w:rPr>
        <w:t>u</w:t>
      </w:r>
      <w:r>
        <w:t>ns c</w:t>
      </w:r>
      <w:r>
        <w:rPr>
          <w:spacing w:val="-3"/>
        </w:rPr>
        <w:t>o</w:t>
      </w:r>
      <w:r>
        <w:t>nf</w:t>
      </w:r>
      <w:r>
        <w:rPr>
          <w:spacing w:val="-3"/>
        </w:rPr>
        <w:t>o</w:t>
      </w:r>
      <w:r>
        <w:rPr>
          <w:spacing w:val="-2"/>
        </w:rPr>
        <w:t>r</w:t>
      </w:r>
      <w:r>
        <w:t>m</w:t>
      </w:r>
      <w:r>
        <w:rPr>
          <w:spacing w:val="-4"/>
        </w:rPr>
        <w:t xml:space="preserve"> </w:t>
      </w:r>
      <w:r>
        <w:t>cr</w:t>
      </w:r>
      <w:r>
        <w:rPr>
          <w:spacing w:val="1"/>
        </w:rPr>
        <w:t>it</w:t>
      </w:r>
      <w:r>
        <w:t>e</w:t>
      </w:r>
      <w:r>
        <w:rPr>
          <w:spacing w:val="-2"/>
        </w:rPr>
        <w:t>r</w:t>
      </w:r>
      <w:r>
        <w:rPr>
          <w:spacing w:val="1"/>
        </w:rPr>
        <w:t>i</w:t>
      </w:r>
      <w:r>
        <w:rPr>
          <w:spacing w:val="-2"/>
        </w:rPr>
        <w:t>i</w:t>
      </w:r>
      <w:r>
        <w:rPr>
          <w:spacing w:val="1"/>
        </w:rPr>
        <w:t>l</w:t>
      </w:r>
      <w:r>
        <w:rPr>
          <w:spacing w:val="-3"/>
        </w:rPr>
        <w:t>o</w:t>
      </w:r>
      <w:r>
        <w:t>r</w:t>
      </w:r>
      <w:r>
        <w:rPr>
          <w:spacing w:val="1"/>
        </w:rPr>
        <w:t xml:space="preserve"> </w:t>
      </w:r>
      <w:r>
        <w:rPr>
          <w:spacing w:val="-1"/>
        </w:rPr>
        <w:t>AC</w:t>
      </w:r>
      <w:r>
        <w:t>R</w:t>
      </w:r>
      <w:r>
        <w:rPr>
          <w:spacing w:val="-1"/>
        </w:rPr>
        <w:t xml:space="preserve"> </w:t>
      </w:r>
      <w:r>
        <w:t>50 şi</w:t>
      </w:r>
      <w:r>
        <w:rPr>
          <w:spacing w:val="1"/>
        </w:rPr>
        <w:t xml:space="preserve"> </w:t>
      </w:r>
      <w:r>
        <w:t>43</w:t>
      </w:r>
      <w:r>
        <w:rPr>
          <w:spacing w:val="-3"/>
        </w:rPr>
        <w:t xml:space="preserve"> </w:t>
      </w:r>
      <w:r>
        <w:t>pa</w:t>
      </w:r>
      <w:r>
        <w:rPr>
          <w:spacing w:val="-3"/>
        </w:rPr>
        <w:t>c</w:t>
      </w:r>
      <w:r>
        <w:rPr>
          <w:spacing w:val="1"/>
        </w:rPr>
        <w:t>i</w:t>
      </w:r>
      <w:r>
        <w:t>e</w:t>
      </w:r>
      <w:r>
        <w:rPr>
          <w:spacing w:val="-3"/>
        </w:rPr>
        <w:t>n</w:t>
      </w:r>
      <w:r>
        <w:rPr>
          <w:spacing w:val="1"/>
        </w:rPr>
        <w:t>ţ</w:t>
      </w:r>
      <w:r>
        <w:t>i</w:t>
      </w:r>
      <w:r>
        <w:rPr>
          <w:spacing w:val="-2"/>
        </w:rPr>
        <w:t xml:space="preserve"> </w:t>
      </w:r>
      <w:r>
        <w:t>(53,</w:t>
      </w:r>
      <w:r>
        <w:rPr>
          <w:spacing w:val="-3"/>
        </w:rPr>
        <w:t>1</w:t>
      </w:r>
      <w:r>
        <w:t>%)</w:t>
      </w:r>
      <w:r>
        <w:rPr>
          <w:spacing w:val="-2"/>
        </w:rPr>
        <w:t xml:space="preserve"> </w:t>
      </w:r>
      <w:r>
        <w:t xml:space="preserve">au </w:t>
      </w:r>
      <w:r>
        <w:rPr>
          <w:spacing w:val="-3"/>
        </w:rPr>
        <w:t>av</w:t>
      </w:r>
      <w:r>
        <w:t>ut</w:t>
      </w:r>
      <w:r>
        <w:rPr>
          <w:spacing w:val="1"/>
        </w:rPr>
        <w:t xml:space="preserve"> </w:t>
      </w:r>
      <w:r>
        <w:t>răsp</w:t>
      </w:r>
      <w:r>
        <w:rPr>
          <w:spacing w:val="-3"/>
        </w:rPr>
        <w:t>u</w:t>
      </w:r>
      <w:r>
        <w:t>ns c</w:t>
      </w:r>
      <w:r>
        <w:rPr>
          <w:spacing w:val="-3"/>
        </w:rPr>
        <w:t>o</w:t>
      </w:r>
      <w:r>
        <w:t>nf</w:t>
      </w:r>
      <w:r>
        <w:rPr>
          <w:spacing w:val="-3"/>
        </w:rPr>
        <w:t>o</w:t>
      </w:r>
      <w:r>
        <w:t>rm</w:t>
      </w:r>
      <w:r>
        <w:rPr>
          <w:spacing w:val="-4"/>
        </w:rPr>
        <w:t xml:space="preserve"> </w:t>
      </w:r>
      <w:r>
        <w:t>cr</w:t>
      </w:r>
      <w:r>
        <w:rPr>
          <w:spacing w:val="1"/>
        </w:rPr>
        <w:t>i</w:t>
      </w:r>
      <w:r>
        <w:rPr>
          <w:spacing w:val="-2"/>
        </w:rPr>
        <w:t>t</w:t>
      </w:r>
      <w:r>
        <w:t>e</w:t>
      </w:r>
      <w:r>
        <w:rPr>
          <w:spacing w:val="-2"/>
        </w:rPr>
        <w:t>r</w:t>
      </w:r>
      <w:r>
        <w:rPr>
          <w:spacing w:val="1"/>
        </w:rPr>
        <w:t>i</w:t>
      </w:r>
      <w:r>
        <w:rPr>
          <w:spacing w:val="-2"/>
        </w:rPr>
        <w:t>i</w:t>
      </w:r>
      <w:r>
        <w:rPr>
          <w:spacing w:val="1"/>
        </w:rPr>
        <w:t>l</w:t>
      </w:r>
      <w:r>
        <w:t>or</w:t>
      </w:r>
      <w:r>
        <w:rPr>
          <w:spacing w:val="1"/>
        </w:rPr>
        <w:t xml:space="preserve"> </w:t>
      </w:r>
      <w:r>
        <w:rPr>
          <w:spacing w:val="-1"/>
        </w:rPr>
        <w:t>AC</w:t>
      </w:r>
      <w:r>
        <w:t>R</w:t>
      </w:r>
      <w:r>
        <w:rPr>
          <w:spacing w:val="-1"/>
        </w:rPr>
        <w:t xml:space="preserve"> </w:t>
      </w:r>
      <w:r>
        <w:t>70.</w:t>
      </w:r>
    </w:p>
    <w:p w14:paraId="12E617A1" w14:textId="77777777" w:rsidR="00C04CAD" w:rsidRDefault="00C04CAD">
      <w:pPr>
        <w:tabs>
          <w:tab w:val="clear" w:pos="567"/>
        </w:tabs>
        <w:kinsoku w:val="0"/>
        <w:overflowPunct w:val="0"/>
        <w:autoSpaceDE w:val="0"/>
        <w:autoSpaceDN w:val="0"/>
        <w:adjustRightInd w:val="0"/>
        <w:spacing w:line="240" w:lineRule="auto"/>
      </w:pPr>
    </w:p>
    <w:p w14:paraId="2025437F"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P</w:t>
      </w:r>
      <w:r>
        <w:t>R</w:t>
      </w:r>
      <w:r>
        <w:rPr>
          <w:spacing w:val="-1"/>
        </w:rPr>
        <w:t xml:space="preserve"> </w:t>
      </w:r>
      <w:r>
        <w:rPr>
          <w:spacing w:val="-4"/>
        </w:rPr>
        <w:t>I</w:t>
      </w:r>
      <w:r>
        <w:rPr>
          <w:spacing w:val="1"/>
        </w:rPr>
        <w:t>V</w:t>
      </w:r>
      <w:r>
        <w:t>, r</w:t>
      </w:r>
      <w:r>
        <w:rPr>
          <w:spacing w:val="-3"/>
        </w:rPr>
        <w:t>ă</w:t>
      </w:r>
      <w:r>
        <w:t>spu</w:t>
      </w:r>
      <w:r>
        <w:rPr>
          <w:spacing w:val="-3"/>
        </w:rPr>
        <w:t>n</w:t>
      </w:r>
      <w:r>
        <w:t>sul</w:t>
      </w:r>
      <w:r>
        <w:rPr>
          <w:spacing w:val="-2"/>
        </w:rPr>
        <w:t xml:space="preserve"> </w:t>
      </w:r>
      <w:r>
        <w:rPr>
          <w:spacing w:val="-1"/>
        </w:rPr>
        <w:t>AC</w:t>
      </w:r>
      <w:r>
        <w:t>R</w:t>
      </w:r>
      <w:r>
        <w:rPr>
          <w:spacing w:val="-1"/>
        </w:rPr>
        <w:t xml:space="preserve"> </w:t>
      </w:r>
      <w:r>
        <w:t xml:space="preserve">20 </w:t>
      </w:r>
      <w:r>
        <w:rPr>
          <w:spacing w:val="1"/>
        </w:rPr>
        <w:t>l</w:t>
      </w:r>
      <w:r>
        <w:t>a p</w:t>
      </w:r>
      <w:r>
        <w:rPr>
          <w:spacing w:val="-3"/>
        </w:rPr>
        <w:t>a</w:t>
      </w:r>
      <w:r>
        <w:t>c</w:t>
      </w:r>
      <w:r>
        <w:rPr>
          <w:spacing w:val="-2"/>
        </w:rPr>
        <w:t>i</w:t>
      </w:r>
      <w:r>
        <w:t>en</w:t>
      </w:r>
      <w:r>
        <w:rPr>
          <w:spacing w:val="-2"/>
        </w:rPr>
        <w:t>ţ</w:t>
      </w:r>
      <w:r>
        <w:rPr>
          <w:spacing w:val="1"/>
        </w:rPr>
        <w:t>i</w:t>
      </w:r>
      <w:r>
        <w:t>i</w:t>
      </w:r>
      <w:r>
        <w:rPr>
          <w:spacing w:val="-2"/>
        </w:rPr>
        <w:t xml:space="preserve"> </w:t>
      </w:r>
      <w:r>
        <w:rPr>
          <w:spacing w:val="1"/>
        </w:rPr>
        <w:t>t</w:t>
      </w:r>
      <w:r>
        <w:rPr>
          <w:spacing w:val="-2"/>
        </w:rPr>
        <w:t>r</w:t>
      </w:r>
      <w:r>
        <w:t>a</w:t>
      </w:r>
      <w:r>
        <w:rPr>
          <w:spacing w:val="-2"/>
        </w:rPr>
        <w:t>t</w:t>
      </w:r>
      <w:r>
        <w:t>a</w:t>
      </w:r>
      <w:r>
        <w:rPr>
          <w:spacing w:val="-2"/>
        </w:rPr>
        <w:t>ţ</w:t>
      </w:r>
      <w:r>
        <w:t>i</w:t>
      </w:r>
      <w:r>
        <w:rPr>
          <w:spacing w:val="-2"/>
        </w:rPr>
        <w:t xml:space="preserve"> </w:t>
      </w:r>
      <w:r>
        <w:t xml:space="preserve">cu </w:t>
      </w:r>
      <w:r>
        <w:rPr>
          <w:rFonts w:eastAsia="MS Mincho"/>
          <w:spacing w:val="-1"/>
          <w:szCs w:val="22"/>
          <w:lang w:eastAsia="en-US" w:bidi="ar-SA"/>
        </w:rPr>
        <w:t>adalimumab</w:t>
      </w:r>
      <w:r>
        <w:t xml:space="preserve"> şi</w:t>
      </w:r>
      <w:r>
        <w:rPr>
          <w:spacing w:val="-2"/>
        </w:rPr>
        <w:t xml:space="preserve"> t</w:t>
      </w:r>
      <w:r>
        <w:t>ra</w:t>
      </w:r>
      <w:r>
        <w:rPr>
          <w:spacing w:val="-2"/>
        </w:rPr>
        <w:t>t</w:t>
      </w:r>
      <w:r>
        <w:t>a</w:t>
      </w:r>
      <w:r>
        <w:rPr>
          <w:spacing w:val="-4"/>
        </w:rPr>
        <w:t>m</w:t>
      </w:r>
      <w:r>
        <w:t>en</w:t>
      </w:r>
      <w:r>
        <w:rPr>
          <w:spacing w:val="1"/>
        </w:rPr>
        <w:t>t</w:t>
      </w:r>
      <w:r>
        <w:t>ul</w:t>
      </w:r>
      <w:r>
        <w:rPr>
          <w:spacing w:val="1"/>
        </w:rPr>
        <w:t xml:space="preserve"> </w:t>
      </w:r>
      <w:r>
        <w:rPr>
          <w:spacing w:val="-2"/>
        </w:rPr>
        <w:t>st</w:t>
      </w:r>
      <w:r>
        <w:t>anda</w:t>
      </w:r>
      <w:r>
        <w:rPr>
          <w:spacing w:val="-2"/>
        </w:rPr>
        <w:t>r</w:t>
      </w:r>
      <w:r>
        <w:t>d a</w:t>
      </w:r>
      <w:r>
        <w:rPr>
          <w:spacing w:val="-2"/>
        </w:rPr>
        <w:t xml:space="preserve"> </w:t>
      </w:r>
      <w:r>
        <w:t>fo</w:t>
      </w:r>
      <w:r>
        <w:rPr>
          <w:spacing w:val="-2"/>
        </w:rPr>
        <w:t>s</w:t>
      </w:r>
      <w:r>
        <w:rPr>
          <w:spacing w:val="1"/>
        </w:rPr>
        <w:t>t</w:t>
      </w:r>
      <w:r>
        <w:t>, d</w:t>
      </w:r>
      <w:r>
        <w:rPr>
          <w:spacing w:val="-2"/>
        </w:rPr>
        <w:t>i</w:t>
      </w:r>
      <w:r>
        <w:t>n punct</w:t>
      </w:r>
      <w:r>
        <w:rPr>
          <w:spacing w:val="-2"/>
        </w:rPr>
        <w:t xml:space="preserve"> </w:t>
      </w:r>
      <w:r>
        <w:t xml:space="preserve">de </w:t>
      </w:r>
      <w:r>
        <w:rPr>
          <w:spacing w:val="-3"/>
        </w:rPr>
        <w:t>v</w:t>
      </w:r>
      <w:r>
        <w:t>ede</w:t>
      </w:r>
      <w:r>
        <w:rPr>
          <w:spacing w:val="-2"/>
        </w:rPr>
        <w:t>r</w:t>
      </w:r>
      <w:r>
        <w:t xml:space="preserve">e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c, s</w:t>
      </w:r>
      <w:r>
        <w:rPr>
          <w:spacing w:val="-3"/>
        </w:rPr>
        <w:t>e</w:t>
      </w:r>
      <w:r>
        <w:rPr>
          <w:spacing w:val="-4"/>
        </w:rPr>
        <w:t>m</w:t>
      </w:r>
      <w:r>
        <w:t>n</w:t>
      </w:r>
      <w:r>
        <w:rPr>
          <w:spacing w:val="1"/>
        </w:rPr>
        <w:t>i</w:t>
      </w:r>
      <w:r>
        <w:t>f</w:t>
      </w:r>
      <w:r>
        <w:rPr>
          <w:spacing w:val="1"/>
        </w:rPr>
        <w:t>i</w:t>
      </w:r>
      <w:r>
        <w:t>c</w:t>
      </w:r>
      <w:r>
        <w:rPr>
          <w:spacing w:val="-3"/>
        </w:rPr>
        <w:t>a</w:t>
      </w:r>
      <w:r>
        <w:rPr>
          <w:spacing w:val="1"/>
        </w:rPr>
        <w:t>ti</w:t>
      </w:r>
      <w:r>
        <w:t>v</w:t>
      </w:r>
      <w:r>
        <w:rPr>
          <w:spacing w:val="-3"/>
        </w:rPr>
        <w:t xml:space="preserve"> </w:t>
      </w:r>
      <w:r>
        <w:rPr>
          <w:spacing w:val="-4"/>
        </w:rPr>
        <w:t>m</w:t>
      </w:r>
      <w:r>
        <w:t>ai</w:t>
      </w:r>
      <w:r>
        <w:rPr>
          <w:spacing w:val="1"/>
        </w:rPr>
        <w:t xml:space="preserve"> </w:t>
      </w:r>
      <w:r>
        <w:rPr>
          <w:spacing w:val="-1"/>
        </w:rPr>
        <w:t>b</w:t>
      </w:r>
      <w:r>
        <w:t>un de</w:t>
      </w:r>
      <w:r>
        <w:rPr>
          <w:spacing w:val="-3"/>
        </w:rPr>
        <w:t>c</w:t>
      </w:r>
      <w:r>
        <w:t>ât</w:t>
      </w:r>
      <w:r>
        <w:rPr>
          <w:spacing w:val="-2"/>
        </w:rPr>
        <w:t xml:space="preserve"> </w:t>
      </w:r>
      <w:r>
        <w:rPr>
          <w:spacing w:val="1"/>
        </w:rPr>
        <w:t>î</w:t>
      </w:r>
      <w:r>
        <w:t>n</w:t>
      </w:r>
      <w:r>
        <w:rPr>
          <w:spacing w:val="-3"/>
        </w:rPr>
        <w:t xml:space="preserve"> </w:t>
      </w:r>
      <w:r>
        <w:t>ca</w:t>
      </w:r>
      <w:r>
        <w:rPr>
          <w:spacing w:val="-3"/>
        </w:rPr>
        <w:t>z</w:t>
      </w:r>
      <w:r>
        <w:t>ul</w:t>
      </w:r>
      <w:r>
        <w:rPr>
          <w:spacing w:val="1"/>
        </w:rPr>
        <w:t xml:space="preserve"> </w:t>
      </w:r>
      <w:r>
        <w:t>p</w:t>
      </w:r>
      <w:r>
        <w:rPr>
          <w:spacing w:val="-3"/>
        </w:rPr>
        <w:t>a</w:t>
      </w:r>
      <w:r>
        <w:t>c</w:t>
      </w:r>
      <w:r>
        <w:rPr>
          <w:spacing w:val="1"/>
        </w:rPr>
        <w:t>i</w:t>
      </w:r>
      <w:r>
        <w:rPr>
          <w:spacing w:val="-3"/>
        </w:rPr>
        <w:t>e</w:t>
      </w:r>
      <w:r>
        <w:t>n</w:t>
      </w:r>
      <w:r>
        <w:rPr>
          <w:spacing w:val="-2"/>
        </w:rPr>
        <w:t>ţ</w:t>
      </w:r>
      <w:r>
        <w:rPr>
          <w:spacing w:val="1"/>
        </w:rPr>
        <w:t>il</w:t>
      </w:r>
      <w:r>
        <w:rPr>
          <w:spacing w:val="-3"/>
        </w:rPr>
        <w:t>o</w:t>
      </w:r>
      <w:r>
        <w:t>r</w:t>
      </w:r>
      <w:r>
        <w:rPr>
          <w:spacing w:val="1"/>
        </w:rPr>
        <w:t xml:space="preserve"> </w:t>
      </w:r>
      <w:r>
        <w:rPr>
          <w:spacing w:val="-2"/>
        </w:rPr>
        <w:t>t</w:t>
      </w:r>
      <w:r>
        <w:t>r</w:t>
      </w:r>
      <w:r>
        <w:rPr>
          <w:spacing w:val="-3"/>
        </w:rPr>
        <w:t>a</w:t>
      </w:r>
      <w:r>
        <w:rPr>
          <w:spacing w:val="1"/>
        </w:rPr>
        <w:t>t</w:t>
      </w:r>
      <w:r>
        <w:rPr>
          <w:spacing w:val="-3"/>
        </w:rPr>
        <w:t>a</w:t>
      </w:r>
      <w:r>
        <w:rPr>
          <w:spacing w:val="1"/>
        </w:rPr>
        <w:t>ţ</w:t>
      </w:r>
      <w:r>
        <w:t>i</w:t>
      </w:r>
      <w:r>
        <w:rPr>
          <w:spacing w:val="1"/>
        </w:rPr>
        <w:t xml:space="preserve"> </w:t>
      </w:r>
      <w:r>
        <w:rPr>
          <w:spacing w:val="-3"/>
        </w:rPr>
        <w:t>c</w:t>
      </w:r>
      <w:r>
        <w:t>u</w:t>
      </w:r>
      <w:r>
        <w:rPr>
          <w:spacing w:val="-3"/>
        </w:rPr>
        <w:t xml:space="preserve"> </w:t>
      </w:r>
      <w:r>
        <w:t>p</w:t>
      </w:r>
      <w:r>
        <w:rPr>
          <w:spacing w:val="1"/>
        </w:rPr>
        <w:t>l</w:t>
      </w:r>
      <w:r>
        <w:t>a</w:t>
      </w:r>
      <w:r>
        <w:rPr>
          <w:spacing w:val="-3"/>
        </w:rPr>
        <w:t>c</w:t>
      </w:r>
      <w:r>
        <w:t xml:space="preserve">ebo </w:t>
      </w:r>
      <w:r>
        <w:rPr>
          <w:spacing w:val="-2"/>
        </w:rPr>
        <w:t>ş</w:t>
      </w:r>
      <w:r>
        <w:t xml:space="preserve">i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s</w:t>
      </w:r>
      <w:r>
        <w:rPr>
          <w:spacing w:val="-2"/>
        </w:rPr>
        <w:t>t</w:t>
      </w:r>
      <w:r>
        <w:t>and</w:t>
      </w:r>
      <w:r>
        <w:rPr>
          <w:spacing w:val="-3"/>
        </w:rPr>
        <w:t>a</w:t>
      </w:r>
      <w:r>
        <w:t>rd</w:t>
      </w:r>
      <w:r>
        <w:rPr>
          <w:spacing w:val="-3"/>
        </w:rPr>
        <w:t xml:space="preserve"> </w:t>
      </w:r>
      <w:r>
        <w:t>(p &lt;0</w:t>
      </w:r>
      <w:r>
        <w:rPr>
          <w:spacing w:val="-3"/>
        </w:rPr>
        <w:t>,</w:t>
      </w:r>
      <w:r>
        <w:t>001).</w:t>
      </w:r>
    </w:p>
    <w:p w14:paraId="509B27F7" w14:textId="77777777" w:rsidR="00C04CAD" w:rsidRDefault="00C04CAD">
      <w:pPr>
        <w:tabs>
          <w:tab w:val="clear" w:pos="567"/>
        </w:tabs>
        <w:kinsoku w:val="0"/>
        <w:overflowPunct w:val="0"/>
        <w:autoSpaceDE w:val="0"/>
        <w:autoSpaceDN w:val="0"/>
        <w:adjustRightInd w:val="0"/>
        <w:spacing w:line="240" w:lineRule="auto"/>
        <w:rPr>
          <w:szCs w:val="22"/>
        </w:rPr>
      </w:pPr>
    </w:p>
    <w:p w14:paraId="6B591DD9"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ii</w:t>
      </w:r>
      <w:r>
        <w:rPr>
          <w:spacing w:val="-2"/>
          <w:szCs w:val="22"/>
        </w:rPr>
        <w:t>l</w:t>
      </w:r>
      <w:r>
        <w:rPr>
          <w:szCs w:val="22"/>
        </w:rPr>
        <w:t xml:space="preserve">e </w:t>
      </w:r>
      <w:r>
        <w:rPr>
          <w:spacing w:val="-1"/>
          <w:szCs w:val="22"/>
        </w:rPr>
        <w:t>P</w:t>
      </w:r>
      <w:r>
        <w:rPr>
          <w:szCs w:val="22"/>
        </w:rPr>
        <w:t>R</w:t>
      </w:r>
      <w:r>
        <w:rPr>
          <w:spacing w:val="-1"/>
          <w:szCs w:val="22"/>
        </w:rPr>
        <w:t xml:space="preserve"> </w:t>
      </w:r>
      <w:r>
        <w:rPr>
          <w:spacing w:val="-2"/>
          <w:szCs w:val="22"/>
        </w:rPr>
        <w:t>I</w:t>
      </w:r>
      <w:r>
        <w:rPr>
          <w:spacing w:val="-2"/>
          <w:szCs w:val="22"/>
        </w:rPr>
        <w:noBreakHyphen/>
      </w:r>
      <w:r>
        <w:rPr>
          <w:spacing w:val="-4"/>
          <w:szCs w:val="22"/>
        </w:rPr>
        <w:t>I</w:t>
      </w:r>
      <w:r>
        <w:rPr>
          <w:spacing w:val="1"/>
          <w:szCs w:val="22"/>
        </w:rPr>
        <w:t>V</w:t>
      </w:r>
      <w:r>
        <w:rPr>
          <w:szCs w:val="22"/>
        </w:rPr>
        <w:t>, pac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2"/>
          <w:szCs w:val="22"/>
        </w:rPr>
        <w:t>t</w:t>
      </w:r>
      <w:r>
        <w:rPr>
          <w:szCs w:val="22"/>
        </w:rPr>
        <w:t>ra</w:t>
      </w:r>
      <w:r>
        <w:rPr>
          <w:spacing w:val="-2"/>
          <w:szCs w:val="22"/>
        </w:rPr>
        <w:t>t</w:t>
      </w:r>
      <w:r>
        <w:rPr>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a</w:t>
      </w:r>
      <w:r>
        <w:rPr>
          <w:spacing w:val="-2"/>
          <w:szCs w:val="22"/>
        </w:rPr>
        <w:t>t</w:t>
      </w:r>
      <w:r>
        <w:rPr>
          <w:spacing w:val="1"/>
          <w:szCs w:val="22"/>
        </w:rPr>
        <w:t>i</w:t>
      </w:r>
      <w:r>
        <w:rPr>
          <w:szCs w:val="22"/>
        </w:rPr>
        <w:t>n</w:t>
      </w:r>
      <w:r>
        <w:rPr>
          <w:spacing w:val="-2"/>
          <w:szCs w:val="22"/>
        </w:rPr>
        <w:t>s</w:t>
      </w:r>
      <w:r>
        <w:rPr>
          <w:szCs w:val="22"/>
        </w:rPr>
        <w:t>es</w:t>
      </w:r>
      <w:r>
        <w:rPr>
          <w:spacing w:val="-3"/>
          <w:szCs w:val="22"/>
        </w:rPr>
        <w:t>e</w:t>
      </w:r>
      <w:r>
        <w:rPr>
          <w:spacing w:val="-2"/>
          <w:szCs w:val="22"/>
        </w:rPr>
        <w:t>r</w:t>
      </w:r>
      <w:r>
        <w:rPr>
          <w:szCs w:val="22"/>
        </w:rPr>
        <w:t>ă d</w:t>
      </w:r>
      <w:r>
        <w:rPr>
          <w:spacing w:val="-3"/>
          <w:szCs w:val="22"/>
        </w:rPr>
        <w:t>e</w:t>
      </w:r>
      <w:r>
        <w:rPr>
          <w:spacing w:val="1"/>
          <w:szCs w:val="22"/>
        </w:rPr>
        <w:t>j</w:t>
      </w:r>
      <w:r>
        <w:rPr>
          <w:szCs w:val="22"/>
        </w:rPr>
        <w:t xml:space="preserve">a </w:t>
      </w:r>
      <w:r>
        <w:rPr>
          <w:spacing w:val="-3"/>
          <w:szCs w:val="22"/>
        </w:rPr>
        <w:t>a</w:t>
      </w:r>
      <w:r>
        <w:rPr>
          <w:spacing w:val="1"/>
          <w:szCs w:val="22"/>
        </w:rPr>
        <w:t>t</w:t>
      </w:r>
      <w:r>
        <w:rPr>
          <w:szCs w:val="22"/>
        </w:rPr>
        <w:t>ât</w:t>
      </w:r>
      <w:r>
        <w:rPr>
          <w:spacing w:val="-2"/>
          <w:szCs w:val="22"/>
        </w:rPr>
        <w:t xml:space="preserve"> </w:t>
      </w:r>
      <w:r>
        <w:rPr>
          <w:szCs w:val="22"/>
        </w:rPr>
        <w:t>r</w:t>
      </w:r>
      <w:r>
        <w:rPr>
          <w:spacing w:val="-3"/>
          <w:szCs w:val="22"/>
        </w:rPr>
        <w:t>ă</w:t>
      </w:r>
      <w:r>
        <w:rPr>
          <w:szCs w:val="22"/>
        </w:rPr>
        <w:t>spuns</w:t>
      </w:r>
      <w:r>
        <w:rPr>
          <w:spacing w:val="-2"/>
          <w:szCs w:val="22"/>
        </w:rPr>
        <w:t xml:space="preserve"> </w:t>
      </w:r>
      <w:r>
        <w:rPr>
          <w:spacing w:val="-1"/>
          <w:szCs w:val="22"/>
        </w:rPr>
        <w:t>AC</w:t>
      </w:r>
      <w:r>
        <w:rPr>
          <w:szCs w:val="22"/>
        </w:rPr>
        <w:t>R</w:t>
      </w:r>
      <w:r>
        <w:rPr>
          <w:spacing w:val="-1"/>
          <w:szCs w:val="22"/>
        </w:rPr>
        <w:t xml:space="preserve"> </w:t>
      </w:r>
      <w:r>
        <w:rPr>
          <w:szCs w:val="22"/>
        </w:rPr>
        <w:t>20,</w:t>
      </w:r>
      <w:r>
        <w:rPr>
          <w:spacing w:val="-3"/>
          <w:szCs w:val="22"/>
        </w:rPr>
        <w:t xml:space="preserve"> </w:t>
      </w:r>
      <w:r>
        <w:rPr>
          <w:szCs w:val="22"/>
        </w:rPr>
        <w:t>cât</w:t>
      </w:r>
      <w:r>
        <w:rPr>
          <w:spacing w:val="-2"/>
          <w:szCs w:val="22"/>
        </w:rPr>
        <w:t xml:space="preserve"> </w:t>
      </w:r>
      <w:r>
        <w:rPr>
          <w:szCs w:val="22"/>
        </w:rPr>
        <w:t>şi</w:t>
      </w:r>
      <w:r>
        <w:rPr>
          <w:spacing w:val="1"/>
          <w:szCs w:val="22"/>
        </w:rPr>
        <w:t xml:space="preserve"> </w:t>
      </w:r>
      <w:r>
        <w:rPr>
          <w:spacing w:val="-1"/>
          <w:szCs w:val="22"/>
        </w:rPr>
        <w:t>AC</w:t>
      </w:r>
      <w:r>
        <w:rPr>
          <w:szCs w:val="22"/>
        </w:rPr>
        <w:t>R</w:t>
      </w:r>
      <w:r>
        <w:rPr>
          <w:spacing w:val="-1"/>
          <w:szCs w:val="22"/>
        </w:rPr>
        <w:t xml:space="preserve"> </w:t>
      </w:r>
      <w:r>
        <w:rPr>
          <w:szCs w:val="22"/>
        </w:rPr>
        <w:t>50, 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e d</w:t>
      </w:r>
      <w:r>
        <w:rPr>
          <w:spacing w:val="1"/>
          <w:szCs w:val="22"/>
        </w:rPr>
        <w:t>i</w:t>
      </w:r>
      <w:r>
        <w:rPr>
          <w:szCs w:val="22"/>
        </w:rPr>
        <w:t xml:space="preserve">n </w:t>
      </w:r>
      <w:r>
        <w:rPr>
          <w:spacing w:val="-3"/>
          <w:szCs w:val="22"/>
        </w:rPr>
        <w:t>p</w:t>
      </w:r>
      <w:r>
        <w:rPr>
          <w:szCs w:val="22"/>
        </w:rPr>
        <w:t>un</w:t>
      </w:r>
      <w:r>
        <w:rPr>
          <w:spacing w:val="-3"/>
          <w:szCs w:val="22"/>
        </w:rPr>
        <w:t>c</w:t>
      </w:r>
      <w:r>
        <w:rPr>
          <w:szCs w:val="22"/>
        </w:rPr>
        <w:t>t</w:t>
      </w:r>
      <w:r>
        <w:rPr>
          <w:spacing w:val="1"/>
          <w:szCs w:val="22"/>
        </w:rPr>
        <w:t xml:space="preserve"> </w:t>
      </w:r>
      <w:r>
        <w:rPr>
          <w:szCs w:val="22"/>
        </w:rPr>
        <w:t>de</w:t>
      </w:r>
      <w:r>
        <w:rPr>
          <w:spacing w:val="-2"/>
          <w:szCs w:val="22"/>
        </w:rPr>
        <w:t xml:space="preserve"> </w:t>
      </w:r>
      <w:r>
        <w:rPr>
          <w:spacing w:val="-3"/>
          <w:szCs w:val="22"/>
        </w:rPr>
        <w:t>v</w:t>
      </w:r>
      <w:r>
        <w:rPr>
          <w:szCs w:val="22"/>
        </w:rPr>
        <w:t xml:space="preserve">edere </w:t>
      </w:r>
      <w:r>
        <w:rPr>
          <w:spacing w:val="-2"/>
          <w:szCs w:val="22"/>
        </w:rPr>
        <w:t>s</w:t>
      </w:r>
      <w:r>
        <w:rPr>
          <w:spacing w:val="1"/>
          <w:szCs w:val="22"/>
        </w:rPr>
        <w:t>t</w:t>
      </w:r>
      <w:r>
        <w:rPr>
          <w:spacing w:val="-3"/>
          <w:szCs w:val="22"/>
        </w:rPr>
        <w:t>a</w:t>
      </w:r>
      <w:r>
        <w:rPr>
          <w:spacing w:val="1"/>
          <w:szCs w:val="22"/>
        </w:rPr>
        <w:t>ti</w:t>
      </w:r>
      <w:r>
        <w:rPr>
          <w:spacing w:val="-2"/>
          <w:szCs w:val="22"/>
        </w:rPr>
        <w:t>s</w:t>
      </w:r>
      <w:r>
        <w:rPr>
          <w:spacing w:val="1"/>
          <w:szCs w:val="22"/>
        </w:rPr>
        <w:t>t</w:t>
      </w:r>
      <w:r>
        <w:rPr>
          <w:spacing w:val="-2"/>
          <w:szCs w:val="22"/>
        </w:rPr>
        <w:t>i</w:t>
      </w:r>
      <w:r>
        <w:rPr>
          <w:szCs w:val="22"/>
        </w:rPr>
        <w:t>c co</w:t>
      </w:r>
      <w:r>
        <w:rPr>
          <w:spacing w:val="-4"/>
          <w:szCs w:val="22"/>
        </w:rPr>
        <w:t>m</w:t>
      </w:r>
      <w:r>
        <w:rPr>
          <w:szCs w:val="22"/>
        </w:rPr>
        <w:t>par</w:t>
      </w:r>
      <w:r>
        <w:rPr>
          <w:spacing w:val="-3"/>
          <w:szCs w:val="22"/>
        </w:rPr>
        <w:t>a</w:t>
      </w:r>
      <w:r>
        <w:rPr>
          <w:spacing w:val="1"/>
          <w:szCs w:val="22"/>
        </w:rPr>
        <w:t>ti</w:t>
      </w:r>
      <w:r>
        <w:rPr>
          <w:szCs w:val="22"/>
        </w:rPr>
        <w:t>v</w:t>
      </w:r>
      <w:r>
        <w:rPr>
          <w:spacing w:val="-5"/>
          <w:szCs w:val="22"/>
        </w:rPr>
        <w:t xml:space="preserve"> </w:t>
      </w:r>
      <w:r>
        <w:rPr>
          <w:szCs w:val="22"/>
        </w:rPr>
        <w:t>cu p</w:t>
      </w:r>
      <w:r>
        <w:rPr>
          <w:spacing w:val="-2"/>
          <w:szCs w:val="22"/>
        </w:rPr>
        <w:t>l</w:t>
      </w:r>
      <w:r>
        <w:rPr>
          <w:szCs w:val="22"/>
        </w:rPr>
        <w:t>ace</w:t>
      </w:r>
      <w:r>
        <w:rPr>
          <w:spacing w:val="-3"/>
          <w:szCs w:val="22"/>
        </w:rPr>
        <w:t>b</w:t>
      </w:r>
      <w:r>
        <w:rPr>
          <w:szCs w:val="22"/>
        </w:rPr>
        <w:t xml:space="preserve">o, </w:t>
      </w:r>
      <w:r>
        <w:rPr>
          <w:spacing w:val="-1"/>
          <w:szCs w:val="22"/>
        </w:rPr>
        <w:t>d</w:t>
      </w:r>
      <w:r>
        <w:rPr>
          <w:szCs w:val="22"/>
        </w:rPr>
        <w:t>upă</w:t>
      </w:r>
      <w:r>
        <w:rPr>
          <w:spacing w:val="-2"/>
          <w:szCs w:val="22"/>
        </w:rPr>
        <w:t xml:space="preserve"> </w:t>
      </w:r>
      <w:r>
        <w:rPr>
          <w:szCs w:val="22"/>
        </w:rPr>
        <w:t>nu</w:t>
      </w:r>
      <w:r>
        <w:rPr>
          <w:spacing w:val="-4"/>
          <w:szCs w:val="22"/>
        </w:rPr>
        <w:t>m</w:t>
      </w:r>
      <w:r>
        <w:rPr>
          <w:szCs w:val="22"/>
        </w:rPr>
        <w:t>ai</w:t>
      </w:r>
      <w:r>
        <w:rPr>
          <w:spacing w:val="1"/>
          <w:szCs w:val="22"/>
        </w:rPr>
        <w:t xml:space="preserve"> </w:t>
      </w:r>
      <w:r>
        <w:rPr>
          <w:szCs w:val="22"/>
        </w:rPr>
        <w:t>u</w:t>
      </w:r>
      <w:r>
        <w:rPr>
          <w:spacing w:val="-3"/>
          <w:szCs w:val="22"/>
        </w:rPr>
        <w:t>n</w:t>
      </w:r>
      <w:r>
        <w:rPr>
          <w:szCs w:val="22"/>
        </w:rPr>
        <w:t xml:space="preserve">a sau </w:t>
      </w:r>
      <w:r>
        <w:rPr>
          <w:spacing w:val="-3"/>
          <w:szCs w:val="22"/>
        </w:rPr>
        <w:t>d</w:t>
      </w:r>
      <w:r>
        <w:rPr>
          <w:szCs w:val="22"/>
        </w:rPr>
        <w:t xml:space="preserve">ouă </w:t>
      </w:r>
      <w:r>
        <w:rPr>
          <w:spacing w:val="-2"/>
          <w:szCs w:val="22"/>
        </w:rPr>
        <w:t>s</w:t>
      </w:r>
      <w:r>
        <w:rPr>
          <w:szCs w:val="22"/>
        </w:rPr>
        <w:t>ăp</w:t>
      </w:r>
      <w:r>
        <w:rPr>
          <w:spacing w:val="-2"/>
          <w:szCs w:val="22"/>
        </w:rPr>
        <w:t>t</w:t>
      </w:r>
      <w:r>
        <w:rPr>
          <w:szCs w:val="22"/>
        </w:rPr>
        <w:t>ă</w:t>
      </w:r>
      <w:r>
        <w:rPr>
          <w:spacing w:val="-4"/>
          <w:szCs w:val="22"/>
        </w:rPr>
        <w:t>m</w:t>
      </w:r>
      <w:r>
        <w:rPr>
          <w:szCs w:val="22"/>
        </w:rPr>
        <w:t xml:space="preserve">âni de </w:t>
      </w:r>
      <w:r>
        <w:rPr>
          <w:spacing w:val="1"/>
          <w:szCs w:val="22"/>
        </w:rPr>
        <w:t>l</w:t>
      </w:r>
      <w:r>
        <w:rPr>
          <w:szCs w:val="22"/>
        </w:rPr>
        <w:t>a</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e</w:t>
      </w:r>
      <w:r>
        <w:rPr>
          <w:szCs w:val="22"/>
        </w:rPr>
        <w:t>rea</w:t>
      </w:r>
      <w:r>
        <w:rPr>
          <w:spacing w:val="-2"/>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pacing w:val="1"/>
          <w:szCs w:val="22"/>
        </w:rPr>
        <w:t>l</w:t>
      </w:r>
      <w:r>
        <w:rPr>
          <w:szCs w:val="22"/>
        </w:rPr>
        <w:t>u</w:t>
      </w:r>
      <w:r>
        <w:rPr>
          <w:spacing w:val="-2"/>
          <w:szCs w:val="22"/>
        </w:rPr>
        <w:t>i</w:t>
      </w:r>
      <w:r>
        <w:rPr>
          <w:szCs w:val="22"/>
        </w:rPr>
        <w:t>.</w:t>
      </w:r>
    </w:p>
    <w:p w14:paraId="54DAF5FB" w14:textId="77777777" w:rsidR="00C04CAD" w:rsidRDefault="00C04CAD">
      <w:pPr>
        <w:tabs>
          <w:tab w:val="clear" w:pos="567"/>
        </w:tabs>
        <w:kinsoku w:val="0"/>
        <w:overflowPunct w:val="0"/>
        <w:autoSpaceDE w:val="0"/>
        <w:autoSpaceDN w:val="0"/>
        <w:adjustRightInd w:val="0"/>
        <w:spacing w:line="240" w:lineRule="auto"/>
        <w:rPr>
          <w:szCs w:val="22"/>
        </w:rPr>
      </w:pPr>
    </w:p>
    <w:p w14:paraId="6F1B8A9A" w14:textId="77777777" w:rsidR="00C04CAD" w:rsidRDefault="00060E34">
      <w:pPr>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4"/>
          <w:szCs w:val="22"/>
        </w:rPr>
        <w:t xml:space="preserve"> </w:t>
      </w:r>
      <w:r>
        <w:rPr>
          <w:spacing w:val="1"/>
          <w:szCs w:val="22"/>
        </w:rPr>
        <w:t>V</w:t>
      </w:r>
      <w:r>
        <w:rPr>
          <w:szCs w:val="22"/>
        </w:rPr>
        <w:t>,</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52,</w:t>
      </w:r>
      <w:r>
        <w:rPr>
          <w:spacing w:val="-3"/>
          <w:szCs w:val="22"/>
        </w:rPr>
        <w:t xml:space="preserve"> </w:t>
      </w:r>
      <w:r>
        <w:rPr>
          <w:spacing w:val="1"/>
          <w:szCs w:val="22"/>
        </w:rPr>
        <w:t>l</w:t>
      </w:r>
      <w:r>
        <w:rPr>
          <w:szCs w:val="22"/>
        </w:rPr>
        <w:t xml:space="preserve">a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 xml:space="preserve">cu </w:t>
      </w:r>
      <w:r>
        <w:rPr>
          <w:spacing w:val="-3"/>
          <w:szCs w:val="22"/>
        </w:rPr>
        <w:t>p</w:t>
      </w:r>
      <w:r>
        <w:rPr>
          <w:szCs w:val="22"/>
        </w:rPr>
        <w:t>o</w:t>
      </w:r>
      <w:r>
        <w:rPr>
          <w:spacing w:val="-2"/>
          <w:szCs w:val="22"/>
        </w:rPr>
        <w:t>l</w:t>
      </w:r>
      <w:r>
        <w:rPr>
          <w:spacing w:val="1"/>
          <w:szCs w:val="22"/>
        </w:rPr>
        <w:t>i</w:t>
      </w:r>
      <w:r>
        <w:rPr>
          <w:spacing w:val="-3"/>
          <w:szCs w:val="22"/>
        </w:rPr>
        <w:t>a</w:t>
      </w:r>
      <w:r>
        <w:rPr>
          <w:szCs w:val="22"/>
        </w:rPr>
        <w:t>r</w:t>
      </w:r>
      <w:r>
        <w:rPr>
          <w:spacing w:val="1"/>
          <w:szCs w:val="22"/>
        </w:rPr>
        <w:t>t</w:t>
      </w:r>
      <w:r>
        <w:rPr>
          <w:spacing w:val="-2"/>
          <w:szCs w:val="22"/>
        </w:rPr>
        <w:t>ri</w:t>
      </w:r>
      <w:r>
        <w:rPr>
          <w:spacing w:val="1"/>
          <w:szCs w:val="22"/>
        </w:rPr>
        <w:t>t</w:t>
      </w:r>
      <w:r>
        <w:rPr>
          <w:szCs w:val="22"/>
        </w:rPr>
        <w:t xml:space="preserve">ă </w:t>
      </w:r>
      <w:r>
        <w:rPr>
          <w:spacing w:val="-2"/>
          <w:szCs w:val="22"/>
        </w:rPr>
        <w:t>r</w:t>
      </w:r>
      <w:r>
        <w:rPr>
          <w:szCs w:val="22"/>
        </w:rPr>
        <w:t>eu</w:t>
      </w:r>
      <w:r>
        <w:rPr>
          <w:spacing w:val="-4"/>
          <w:szCs w:val="22"/>
        </w:rPr>
        <w:t>m</w:t>
      </w:r>
      <w:r>
        <w:rPr>
          <w:szCs w:val="22"/>
        </w:rPr>
        <w:t>a</w:t>
      </w:r>
      <w:r>
        <w:rPr>
          <w:spacing w:val="1"/>
          <w:szCs w:val="22"/>
        </w:rPr>
        <w:t>t</w:t>
      </w:r>
      <w:r>
        <w:rPr>
          <w:szCs w:val="22"/>
        </w:rPr>
        <w:t>o</w:t>
      </w:r>
      <w:r>
        <w:rPr>
          <w:spacing w:val="1"/>
          <w:szCs w:val="22"/>
        </w:rPr>
        <w:t>i</w:t>
      </w:r>
      <w:r>
        <w:rPr>
          <w:spacing w:val="-3"/>
          <w:szCs w:val="22"/>
        </w:rPr>
        <w:t>d</w:t>
      </w:r>
      <w:r>
        <w:rPr>
          <w:szCs w:val="22"/>
        </w:rPr>
        <w:t>ă p</w:t>
      </w:r>
      <w:r>
        <w:rPr>
          <w:spacing w:val="-2"/>
          <w:szCs w:val="22"/>
        </w:rPr>
        <w:t>r</w:t>
      </w:r>
      <w:r>
        <w:rPr>
          <w:szCs w:val="22"/>
        </w:rPr>
        <w:t>eco</w:t>
      </w:r>
      <w:r>
        <w:rPr>
          <w:spacing w:val="-3"/>
          <w:szCs w:val="22"/>
        </w:rPr>
        <w:t>c</w:t>
      </w:r>
      <w:r>
        <w:rPr>
          <w:szCs w:val="22"/>
        </w:rPr>
        <w:t xml:space="preserve">e, </w:t>
      </w:r>
      <w:r>
        <w:rPr>
          <w:spacing w:val="-3"/>
          <w:szCs w:val="22"/>
        </w:rPr>
        <w:t>n</w:t>
      </w:r>
      <w:r>
        <w:rPr>
          <w:szCs w:val="22"/>
        </w:rPr>
        <w:t>e</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a</w:t>
      </w:r>
      <w:r>
        <w:rPr>
          <w:spacing w:val="-3"/>
          <w:szCs w:val="22"/>
        </w:rPr>
        <w:t>n</w:t>
      </w:r>
      <w:r>
        <w:rPr>
          <w:spacing w:val="1"/>
          <w:szCs w:val="22"/>
        </w:rPr>
        <w:t>t</w:t>
      </w:r>
      <w:r>
        <w:rPr>
          <w:szCs w:val="22"/>
        </w:rPr>
        <w:t>e</w:t>
      </w:r>
      <w:r>
        <w:rPr>
          <w:spacing w:val="-2"/>
          <w:szCs w:val="22"/>
        </w:rPr>
        <w:t>r</w:t>
      </w:r>
      <w:r>
        <w:rPr>
          <w:spacing w:val="1"/>
          <w:szCs w:val="22"/>
        </w:rPr>
        <w:t>i</w:t>
      </w:r>
      <w:r>
        <w:rPr>
          <w:spacing w:val="-3"/>
          <w:szCs w:val="22"/>
        </w:rPr>
        <w:t>o</w:t>
      </w:r>
      <w:r>
        <w:rPr>
          <w:szCs w:val="22"/>
        </w:rPr>
        <w:t>r</w:t>
      </w:r>
      <w:r>
        <w:rPr>
          <w:spacing w:val="1"/>
          <w:szCs w:val="22"/>
        </w:rPr>
        <w:t xml:space="preserve"> </w:t>
      </w:r>
      <w:r>
        <w:rPr>
          <w:szCs w:val="22"/>
        </w:rPr>
        <w:t xml:space="preserve">cu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pacing w:val="1"/>
          <w:szCs w:val="22"/>
        </w:rPr>
        <w:t>t</w:t>
      </w:r>
      <w:r>
        <w:rPr>
          <w:szCs w:val="22"/>
        </w:rPr>
        <w:t>,</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co</w:t>
      </w:r>
      <w:r>
        <w:rPr>
          <w:spacing w:val="-3"/>
          <w:szCs w:val="22"/>
        </w:rPr>
        <w:t>n</w:t>
      </w:r>
      <w:r>
        <w:rPr>
          <w:szCs w:val="22"/>
        </w:rPr>
        <w:t>co</w:t>
      </w:r>
      <w:r>
        <w:rPr>
          <w:spacing w:val="-4"/>
          <w:szCs w:val="22"/>
        </w:rPr>
        <w:t>m</w:t>
      </w:r>
      <w:r>
        <w:rPr>
          <w:spacing w:val="1"/>
          <w:szCs w:val="22"/>
        </w:rPr>
        <w:t>it</w:t>
      </w:r>
      <w:r>
        <w:rPr>
          <w:szCs w:val="22"/>
        </w:rPr>
        <w:t>ent</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w:t>
      </w:r>
      <w:r>
        <w:rPr>
          <w:spacing w:val="-4"/>
          <w:szCs w:val="22"/>
        </w:rPr>
        <w:t>m</w:t>
      </w:r>
      <w:r>
        <w:rPr>
          <w:szCs w:val="22"/>
        </w:rPr>
        <w:t>e</w:t>
      </w:r>
      <w:r>
        <w:rPr>
          <w:spacing w:val="1"/>
          <w:szCs w:val="22"/>
        </w:rPr>
        <w:t>t</w:t>
      </w:r>
      <w:r>
        <w:rPr>
          <w:spacing w:val="-3"/>
          <w:szCs w:val="22"/>
        </w:rPr>
        <w:t>o</w:t>
      </w:r>
      <w:r>
        <w:rPr>
          <w:spacing w:val="1"/>
          <w:szCs w:val="22"/>
        </w:rPr>
        <w:t>t</w:t>
      </w:r>
      <w:r>
        <w:rPr>
          <w:szCs w:val="22"/>
        </w:rPr>
        <w:t>re</w:t>
      </w:r>
      <w:r>
        <w:rPr>
          <w:spacing w:val="-3"/>
          <w:szCs w:val="22"/>
        </w:rPr>
        <w:t>x</w:t>
      </w:r>
      <w:r>
        <w:rPr>
          <w:szCs w:val="22"/>
        </w:rPr>
        <w:t>at</w:t>
      </w:r>
      <w:r>
        <w:rPr>
          <w:spacing w:val="-2"/>
          <w:szCs w:val="22"/>
        </w:rPr>
        <w:t xml:space="preserve"> </w:t>
      </w:r>
      <w:r>
        <w:rPr>
          <w:szCs w:val="22"/>
        </w:rPr>
        <w:t>a dus</w:t>
      </w:r>
      <w:r>
        <w:rPr>
          <w:spacing w:val="-2"/>
          <w:szCs w:val="22"/>
        </w:rPr>
        <w:t xml:space="preserve"> </w:t>
      </w:r>
      <w:r>
        <w:rPr>
          <w:spacing w:val="1"/>
          <w:szCs w:val="22"/>
        </w:rPr>
        <w:t>l</w:t>
      </w:r>
      <w:r>
        <w:rPr>
          <w:szCs w:val="22"/>
        </w:rPr>
        <w:t>a</w:t>
      </w:r>
      <w:r>
        <w:rPr>
          <w:spacing w:val="-2"/>
          <w:szCs w:val="22"/>
        </w:rPr>
        <w:t xml:space="preserve"> </w:t>
      </w:r>
      <w:r>
        <w:rPr>
          <w:szCs w:val="22"/>
        </w:rPr>
        <w:t>a</w:t>
      </w:r>
      <w:r>
        <w:rPr>
          <w:spacing w:val="-2"/>
          <w:szCs w:val="22"/>
        </w:rPr>
        <w:t>t</w:t>
      </w:r>
      <w:r>
        <w:rPr>
          <w:spacing w:val="1"/>
          <w:szCs w:val="22"/>
        </w:rPr>
        <w:t>i</w:t>
      </w:r>
      <w:r>
        <w:rPr>
          <w:szCs w:val="22"/>
        </w:rPr>
        <w:t>n</w:t>
      </w:r>
      <w:r>
        <w:rPr>
          <w:spacing w:val="-3"/>
          <w:szCs w:val="22"/>
        </w:rPr>
        <w:t>g</w:t>
      </w:r>
      <w:r>
        <w:rPr>
          <w:szCs w:val="22"/>
        </w:rPr>
        <w:t>er</w:t>
      </w:r>
      <w:r>
        <w:rPr>
          <w:spacing w:val="-3"/>
          <w:szCs w:val="22"/>
        </w:rPr>
        <w:t>e</w:t>
      </w:r>
      <w:r>
        <w:rPr>
          <w:szCs w:val="22"/>
        </w:rPr>
        <w:t>a u</w:t>
      </w:r>
      <w:r>
        <w:rPr>
          <w:spacing w:val="-3"/>
          <w:szCs w:val="22"/>
        </w:rPr>
        <w:t>n</w:t>
      </w:r>
      <w:r>
        <w:rPr>
          <w:szCs w:val="22"/>
        </w:rPr>
        <w:t>ui</w:t>
      </w:r>
      <w:r>
        <w:rPr>
          <w:spacing w:val="1"/>
          <w:szCs w:val="22"/>
        </w:rPr>
        <w:t xml:space="preserve"> </w:t>
      </w:r>
      <w:r>
        <w:rPr>
          <w:spacing w:val="-2"/>
          <w:szCs w:val="22"/>
        </w:rPr>
        <w:t>r</w:t>
      </w:r>
      <w:r>
        <w:rPr>
          <w:szCs w:val="22"/>
        </w:rPr>
        <w:t>ăspu</w:t>
      </w:r>
      <w:r>
        <w:rPr>
          <w:spacing w:val="-3"/>
          <w:szCs w:val="22"/>
        </w:rPr>
        <w:t>n</w:t>
      </w:r>
      <w:r>
        <w:rPr>
          <w:szCs w:val="22"/>
        </w:rPr>
        <w:t xml:space="preserve">s </w:t>
      </w:r>
      <w:r>
        <w:rPr>
          <w:spacing w:val="-1"/>
          <w:szCs w:val="22"/>
        </w:rPr>
        <w:t>AC</w:t>
      </w:r>
      <w:r>
        <w:rPr>
          <w:szCs w:val="22"/>
        </w:rPr>
        <w:t>R</w:t>
      </w:r>
      <w:r>
        <w:rPr>
          <w:spacing w:val="-1"/>
          <w:szCs w:val="22"/>
        </w:rPr>
        <w:t xml:space="preserve"> </w:t>
      </w:r>
      <w:r>
        <w:rPr>
          <w:spacing w:val="-4"/>
          <w:szCs w:val="22"/>
        </w:rPr>
        <w:t>m</w:t>
      </w:r>
      <w:r>
        <w:rPr>
          <w:szCs w:val="22"/>
        </w:rPr>
        <w:t>ai rap</w:t>
      </w:r>
      <w:r>
        <w:rPr>
          <w:spacing w:val="-2"/>
          <w:szCs w:val="22"/>
        </w:rPr>
        <w:t>i</w:t>
      </w:r>
      <w:r>
        <w:rPr>
          <w:szCs w:val="22"/>
        </w:rPr>
        <w:t xml:space="preserve">d </w:t>
      </w:r>
      <w:r>
        <w:rPr>
          <w:spacing w:val="-2"/>
          <w:szCs w:val="22"/>
        </w:rPr>
        <w:t>ş</w:t>
      </w:r>
      <w:r>
        <w:rPr>
          <w:szCs w:val="22"/>
        </w:rPr>
        <w:t>i</w:t>
      </w:r>
      <w:r>
        <w:rPr>
          <w:spacing w:val="1"/>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zCs w:val="22"/>
        </w:rPr>
        <w:t>v</w:t>
      </w:r>
      <w:r>
        <w:rPr>
          <w:spacing w:val="-3"/>
          <w:szCs w:val="22"/>
        </w:rPr>
        <w:t xml:space="preserve"> </w:t>
      </w:r>
      <w:r>
        <w:rPr>
          <w:spacing w:val="-4"/>
          <w:szCs w:val="22"/>
        </w:rPr>
        <w:t>m</w:t>
      </w:r>
      <w:r>
        <w:rPr>
          <w:szCs w:val="22"/>
        </w:rPr>
        <w:t>ai</w:t>
      </w:r>
      <w:r>
        <w:rPr>
          <w:spacing w:val="1"/>
          <w:szCs w:val="22"/>
        </w:rPr>
        <w:t xml:space="preserve"> </w:t>
      </w:r>
      <w:r>
        <w:rPr>
          <w:spacing w:val="-2"/>
          <w:szCs w:val="22"/>
        </w:rPr>
        <w:t>m</w:t>
      </w:r>
      <w:r>
        <w:rPr>
          <w:szCs w:val="22"/>
        </w:rPr>
        <w:t xml:space="preserve">are </w:t>
      </w:r>
      <w:r>
        <w:rPr>
          <w:spacing w:val="-3"/>
          <w:szCs w:val="22"/>
        </w:rPr>
        <w:t>d</w:t>
      </w:r>
      <w:r>
        <w:rPr>
          <w:szCs w:val="22"/>
        </w:rPr>
        <w:t>ec</w:t>
      </w:r>
      <w:r>
        <w:rPr>
          <w:spacing w:val="-3"/>
          <w:szCs w:val="22"/>
        </w:rPr>
        <w:t>â</w:t>
      </w:r>
      <w:r>
        <w:rPr>
          <w:szCs w:val="22"/>
        </w:rPr>
        <w:t>t</w:t>
      </w:r>
      <w:r>
        <w:rPr>
          <w:spacing w:val="1"/>
          <w:szCs w:val="22"/>
        </w:rPr>
        <w:t xml:space="preserve"> </w:t>
      </w:r>
      <w:r>
        <w:rPr>
          <w:spacing w:val="-2"/>
          <w:szCs w:val="22"/>
        </w:rPr>
        <w:t>î</w:t>
      </w:r>
      <w:r>
        <w:rPr>
          <w:szCs w:val="22"/>
        </w:rPr>
        <w:t>n ca</w:t>
      </w:r>
      <w:r>
        <w:rPr>
          <w:spacing w:val="-3"/>
          <w:szCs w:val="22"/>
        </w:rPr>
        <w:t>z</w:t>
      </w:r>
      <w:r>
        <w:rPr>
          <w:szCs w:val="22"/>
        </w:rPr>
        <w:t>ul</w:t>
      </w:r>
      <w:r>
        <w:rPr>
          <w:spacing w:val="-2"/>
          <w:szCs w:val="22"/>
        </w:rPr>
        <w:t xml:space="preserve"> </w:t>
      </w:r>
      <w:r>
        <w:rPr>
          <w:szCs w:val="22"/>
        </w:rPr>
        <w:t>f</w:t>
      </w:r>
      <w:r>
        <w:rPr>
          <w:spacing w:val="-3"/>
          <w:szCs w:val="22"/>
        </w:rPr>
        <w:t>o</w:t>
      </w:r>
      <w:r>
        <w:rPr>
          <w:spacing w:val="1"/>
          <w:szCs w:val="22"/>
        </w:rPr>
        <w:t>l</w:t>
      </w:r>
      <w:r>
        <w:rPr>
          <w:szCs w:val="22"/>
        </w:rPr>
        <w:t>o</w:t>
      </w:r>
      <w:r>
        <w:rPr>
          <w:spacing w:val="-2"/>
          <w:szCs w:val="22"/>
        </w:rPr>
        <w:t>s</w:t>
      </w:r>
      <w:r>
        <w:rPr>
          <w:spacing w:val="1"/>
          <w:szCs w:val="22"/>
        </w:rPr>
        <w:t>i</w:t>
      </w:r>
      <w:r>
        <w:rPr>
          <w:spacing w:val="-2"/>
          <w:szCs w:val="22"/>
        </w:rPr>
        <w:t>r</w:t>
      </w:r>
      <w:r>
        <w:rPr>
          <w:spacing w:val="1"/>
          <w:szCs w:val="22"/>
        </w:rPr>
        <w:t>i</w:t>
      </w:r>
      <w:r>
        <w:rPr>
          <w:szCs w:val="22"/>
        </w:rPr>
        <w:t>i</w:t>
      </w:r>
      <w:r>
        <w:rPr>
          <w:spacing w:val="-2"/>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zCs w:val="22"/>
        </w:rPr>
        <w:t>t</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w:t>
      </w:r>
      <w:r>
        <w:rPr>
          <w:spacing w:val="-2"/>
          <w:szCs w:val="22"/>
        </w:rPr>
        <w:t>r</w:t>
      </w:r>
      <w:r>
        <w:rPr>
          <w:szCs w:val="22"/>
        </w:rPr>
        <w:t>ap</w:t>
      </w:r>
      <w:r>
        <w:rPr>
          <w:spacing w:val="-2"/>
          <w:szCs w:val="22"/>
        </w:rPr>
        <w:t>i</w:t>
      </w:r>
      <w:r>
        <w:rPr>
          <w:szCs w:val="22"/>
        </w:rPr>
        <w:t>e</w:t>
      </w:r>
      <w:r>
        <w:rPr>
          <w:spacing w:val="-2"/>
          <w:szCs w:val="22"/>
        </w:rPr>
        <w:t xml:space="preserve"> </w:t>
      </w:r>
      <w:r>
        <w:rPr>
          <w:szCs w:val="22"/>
        </w:rPr>
        <w:t>şi</w:t>
      </w:r>
      <w:r>
        <w:rPr>
          <w:spacing w:val="1"/>
          <w:szCs w:val="22"/>
        </w:rPr>
        <w:t xml:space="preserve"> </w:t>
      </w:r>
      <w:r>
        <w:rPr>
          <w:rFonts w:eastAsia="MS Mincho"/>
          <w:spacing w:val="-1"/>
          <w:szCs w:val="22"/>
          <w:lang w:eastAsia="en-US" w:bidi="ar-SA"/>
        </w:rPr>
        <w:t>adalimumab</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erap</w:t>
      </w:r>
      <w:r>
        <w:rPr>
          <w:spacing w:val="-2"/>
          <w:szCs w:val="22"/>
        </w:rPr>
        <w:t>i</w:t>
      </w:r>
      <w:r>
        <w:rPr>
          <w:szCs w:val="22"/>
        </w:rPr>
        <w:t xml:space="preserve">e. </w:t>
      </w:r>
      <w:r>
        <w:rPr>
          <w:spacing w:val="-1"/>
          <w:szCs w:val="22"/>
        </w:rPr>
        <w:t>R</w:t>
      </w:r>
      <w:r>
        <w:rPr>
          <w:szCs w:val="22"/>
        </w:rPr>
        <w:t>ă</w:t>
      </w:r>
      <w:r>
        <w:rPr>
          <w:spacing w:val="-2"/>
          <w:szCs w:val="22"/>
        </w:rPr>
        <w:t>s</w:t>
      </w:r>
      <w:r>
        <w:rPr>
          <w:szCs w:val="22"/>
        </w:rPr>
        <w:t>puns</w:t>
      </w:r>
      <w:r>
        <w:rPr>
          <w:spacing w:val="-3"/>
          <w:szCs w:val="22"/>
        </w:rPr>
        <w:t>u</w:t>
      </w:r>
      <w:r>
        <w:rPr>
          <w:szCs w:val="22"/>
        </w:rPr>
        <w:t>r</w:t>
      </w:r>
      <w:r>
        <w:rPr>
          <w:spacing w:val="-2"/>
          <w:szCs w:val="22"/>
        </w:rPr>
        <w:t>i</w:t>
      </w:r>
      <w:r>
        <w:rPr>
          <w:spacing w:val="1"/>
          <w:szCs w:val="22"/>
        </w:rPr>
        <w:t>l</w:t>
      </w:r>
      <w:r>
        <w:rPr>
          <w:szCs w:val="22"/>
        </w:rPr>
        <w:t>e</w:t>
      </w:r>
      <w:r>
        <w:rPr>
          <w:spacing w:val="-2"/>
          <w:szCs w:val="22"/>
        </w:rPr>
        <w:t xml:space="preserve"> </w:t>
      </w:r>
      <w:r>
        <w:rPr>
          <w:szCs w:val="22"/>
        </w:rPr>
        <w:t>au f</w:t>
      </w:r>
      <w:r>
        <w:rPr>
          <w:spacing w:val="-3"/>
          <w:szCs w:val="22"/>
        </w:rPr>
        <w:t>o</w:t>
      </w:r>
      <w:r>
        <w:rPr>
          <w:szCs w:val="22"/>
        </w:rPr>
        <w:t>st</w:t>
      </w:r>
      <w:r>
        <w:rPr>
          <w:spacing w:val="1"/>
          <w:szCs w:val="22"/>
        </w:rPr>
        <w:t xml:space="preserve"> </w:t>
      </w:r>
      <w:r>
        <w:rPr>
          <w:spacing w:val="-4"/>
          <w:szCs w:val="22"/>
        </w:rPr>
        <w:t>m</w:t>
      </w:r>
      <w:r>
        <w:rPr>
          <w:szCs w:val="22"/>
        </w:rPr>
        <w:t>en</w:t>
      </w:r>
      <w:r>
        <w:rPr>
          <w:spacing w:val="1"/>
          <w:szCs w:val="22"/>
        </w:rPr>
        <w:t>ţ</w:t>
      </w:r>
      <w:r>
        <w:rPr>
          <w:spacing w:val="-2"/>
          <w:szCs w:val="22"/>
        </w:rPr>
        <w:t>i</w:t>
      </w:r>
      <w:r>
        <w:rPr>
          <w:szCs w:val="22"/>
        </w:rPr>
        <w:t>nu</w:t>
      </w:r>
      <w:r>
        <w:rPr>
          <w:spacing w:val="-2"/>
          <w:szCs w:val="22"/>
        </w:rPr>
        <w:t>t</w:t>
      </w:r>
      <w:r>
        <w:rPr>
          <w:szCs w:val="22"/>
        </w:rPr>
        <w:t>e pâ</w:t>
      </w:r>
      <w:r>
        <w:rPr>
          <w:spacing w:val="-3"/>
          <w:szCs w:val="22"/>
        </w:rPr>
        <w:t>n</w:t>
      </w:r>
      <w:r>
        <w:rPr>
          <w:szCs w:val="22"/>
        </w:rPr>
        <w:t xml:space="preserve">ă </w:t>
      </w:r>
      <w:r>
        <w:rPr>
          <w:spacing w:val="1"/>
          <w:szCs w:val="22"/>
        </w:rPr>
        <w:t>î</w:t>
      </w:r>
      <w:r>
        <w:rPr>
          <w:szCs w:val="22"/>
        </w:rPr>
        <w:t xml:space="preserve">n </w:t>
      </w:r>
      <w:r>
        <w:rPr>
          <w:rFonts w:eastAsia="MS Mincho"/>
          <w:spacing w:val="-3"/>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104</w:t>
      </w:r>
      <w:r>
        <w:rPr>
          <w:spacing w:val="-3"/>
          <w:szCs w:val="22"/>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t</w:t>
      </w:r>
      <w:r>
        <w:rPr>
          <w:szCs w:val="22"/>
        </w:rPr>
        <w:t>a</w:t>
      </w:r>
      <w:r>
        <w:rPr>
          <w:spacing w:val="-3"/>
          <w:szCs w:val="22"/>
        </w:rPr>
        <w:t>b</w:t>
      </w:r>
      <w:r>
        <w:rPr>
          <w:szCs w:val="22"/>
        </w:rPr>
        <w:t>e</w:t>
      </w:r>
      <w:r>
        <w:rPr>
          <w:spacing w:val="1"/>
          <w:szCs w:val="22"/>
        </w:rPr>
        <w:t>l</w:t>
      </w:r>
      <w:r>
        <w:rPr>
          <w:spacing w:val="-3"/>
          <w:szCs w:val="22"/>
        </w:rPr>
        <w:t>u</w:t>
      </w:r>
      <w:r>
        <w:rPr>
          <w:szCs w:val="22"/>
        </w:rPr>
        <w:t>l </w:t>
      </w:r>
      <w:r>
        <w:rPr>
          <w:spacing w:val="-2"/>
          <w:szCs w:val="22"/>
        </w:rPr>
        <w:t>9</w:t>
      </w:r>
      <w:r>
        <w:rPr>
          <w:szCs w:val="22"/>
        </w:rPr>
        <w:t>).</w:t>
      </w:r>
    </w:p>
    <w:p w14:paraId="0EA12FC8" w14:textId="77777777" w:rsidR="00C04CAD" w:rsidRDefault="00C04CAD">
      <w:pPr>
        <w:autoSpaceDE w:val="0"/>
        <w:autoSpaceDN w:val="0"/>
        <w:adjustRightInd w:val="0"/>
        <w:spacing w:line="240" w:lineRule="auto"/>
        <w:rPr>
          <w:szCs w:val="22"/>
        </w:rPr>
      </w:pPr>
    </w:p>
    <w:p w14:paraId="58B2CC9E" w14:textId="77777777" w:rsidR="00C04CAD" w:rsidRDefault="00060E34">
      <w:pPr>
        <w:keepNext/>
        <w:tabs>
          <w:tab w:val="clear" w:pos="567"/>
        </w:tabs>
        <w:kinsoku w:val="0"/>
        <w:overflowPunct w:val="0"/>
        <w:autoSpaceDE w:val="0"/>
        <w:autoSpaceDN w:val="0"/>
        <w:adjustRightInd w:val="0"/>
        <w:spacing w:line="240" w:lineRule="auto"/>
        <w:outlineLvl w:val="0"/>
      </w:pPr>
      <w:r>
        <w:rPr>
          <w:b/>
          <w:spacing w:val="-1"/>
        </w:rPr>
        <w:t>T</w:t>
      </w:r>
      <w:r>
        <w:rPr>
          <w:b/>
        </w:rPr>
        <w:t>a</w:t>
      </w:r>
      <w:r>
        <w:rPr>
          <w:b/>
          <w:spacing w:val="-1"/>
        </w:rPr>
        <w:t>b</w:t>
      </w:r>
      <w:r>
        <w:rPr>
          <w:b/>
        </w:rPr>
        <w:t>e</w:t>
      </w:r>
      <w:r>
        <w:rPr>
          <w:b/>
          <w:spacing w:val="1"/>
        </w:rPr>
        <w:t>l</w:t>
      </w:r>
      <w:r>
        <w:rPr>
          <w:b/>
          <w:spacing w:val="-1"/>
        </w:rPr>
        <w:t>u</w:t>
      </w:r>
      <w:r>
        <w:rPr>
          <w:b/>
          <w:bCs/>
        </w:rPr>
        <w:t>l 9.</w:t>
      </w:r>
      <w:r>
        <w:rPr>
          <w:b/>
          <w:bCs/>
          <w:spacing w:val="-1"/>
        </w:rPr>
        <w:t xml:space="preserve"> </w:t>
      </w:r>
      <w:r>
        <w:rPr>
          <w:b/>
          <w:spacing w:val="-1"/>
        </w:rPr>
        <w:t>R</w:t>
      </w:r>
      <w:r>
        <w:rPr>
          <w:b/>
        </w:rPr>
        <w:t>ăs</w:t>
      </w:r>
      <w:r>
        <w:rPr>
          <w:b/>
          <w:spacing w:val="-1"/>
        </w:rPr>
        <w:t>pun</w:t>
      </w:r>
      <w:r>
        <w:rPr>
          <w:b/>
        </w:rPr>
        <w:t>s</w:t>
      </w:r>
      <w:r>
        <w:rPr>
          <w:b/>
          <w:spacing w:val="-1"/>
        </w:rPr>
        <w:t>u</w:t>
      </w:r>
      <w:r>
        <w:rPr>
          <w:b/>
        </w:rPr>
        <w:t>l</w:t>
      </w:r>
      <w:r>
        <w:rPr>
          <w:b/>
          <w:spacing w:val="1"/>
        </w:rPr>
        <w:t xml:space="preserve"> </w:t>
      </w:r>
      <w:r>
        <w:rPr>
          <w:b/>
          <w:spacing w:val="-1"/>
        </w:rPr>
        <w:t>AC</w:t>
      </w:r>
      <w:r>
        <w:rPr>
          <w:b/>
        </w:rPr>
        <w:t>R</w:t>
      </w:r>
      <w:r>
        <w:rPr>
          <w:b/>
          <w:spacing w:val="-1"/>
        </w:rPr>
        <w:t xml:space="preserve"> </w:t>
      </w:r>
      <w:r>
        <w:rPr>
          <w:b/>
          <w:spacing w:val="1"/>
        </w:rPr>
        <w:t>î</w:t>
      </w:r>
      <w:r>
        <w:rPr>
          <w:b/>
        </w:rPr>
        <w:t>n</w:t>
      </w:r>
      <w:r>
        <w:rPr>
          <w:b/>
          <w:spacing w:val="-3"/>
        </w:rPr>
        <w:t xml:space="preserve"> </w:t>
      </w:r>
      <w:r>
        <w:rPr>
          <w:b/>
        </w:rPr>
        <w:t>ca</w:t>
      </w:r>
      <w:r>
        <w:rPr>
          <w:b/>
          <w:spacing w:val="-1"/>
        </w:rPr>
        <w:t>d</w:t>
      </w:r>
      <w:r>
        <w:rPr>
          <w:b/>
        </w:rPr>
        <w:t>r</w:t>
      </w:r>
      <w:r>
        <w:rPr>
          <w:b/>
          <w:spacing w:val="-3"/>
        </w:rPr>
        <w:t>u</w:t>
      </w:r>
      <w:r>
        <w:rPr>
          <w:b/>
        </w:rPr>
        <w:t>l</w:t>
      </w:r>
      <w:r>
        <w:rPr>
          <w:b/>
          <w:spacing w:val="-2"/>
        </w:rPr>
        <w:t xml:space="preserve"> </w:t>
      </w:r>
      <w:r>
        <w:rPr>
          <w:b/>
        </w:rPr>
        <w:t>st</w:t>
      </w:r>
      <w:r>
        <w:rPr>
          <w:b/>
          <w:spacing w:val="-1"/>
        </w:rPr>
        <w:t>ud</w:t>
      </w:r>
      <w:r>
        <w:rPr>
          <w:b/>
          <w:spacing w:val="1"/>
        </w:rPr>
        <w:t>i</w:t>
      </w:r>
      <w:r>
        <w:rPr>
          <w:b/>
          <w:spacing w:val="-3"/>
        </w:rPr>
        <w:t>u</w:t>
      </w:r>
      <w:r>
        <w:rPr>
          <w:b/>
          <w:spacing w:val="1"/>
        </w:rPr>
        <w:t>l</w:t>
      </w:r>
      <w:r>
        <w:rPr>
          <w:b/>
          <w:spacing w:val="-3"/>
        </w:rPr>
        <w:t>u</w:t>
      </w:r>
      <w:r>
        <w:rPr>
          <w:b/>
        </w:rPr>
        <w:t>i</w:t>
      </w:r>
      <w:r>
        <w:rPr>
          <w:b/>
          <w:spacing w:val="-2"/>
        </w:rPr>
        <w:t xml:space="preserve"> </w:t>
      </w:r>
      <w:r>
        <w:rPr>
          <w:b/>
          <w:spacing w:val="1"/>
        </w:rPr>
        <w:t>P</w:t>
      </w:r>
      <w:r>
        <w:rPr>
          <w:b/>
        </w:rPr>
        <w:t>R</w:t>
      </w:r>
      <w:r>
        <w:rPr>
          <w:b/>
          <w:spacing w:val="-1"/>
        </w:rPr>
        <w:t xml:space="preserve"> </w:t>
      </w:r>
      <w:r>
        <w:rPr>
          <w:b/>
        </w:rPr>
        <w:t xml:space="preserve">V </w:t>
      </w:r>
      <w:r>
        <w:rPr>
          <w:rFonts w:eastAsia="MS Mincho"/>
          <w:b/>
          <w:bCs/>
          <w:szCs w:val="22"/>
          <w:lang w:eastAsia="en-US" w:bidi="ar-SA"/>
        </w:rPr>
        <w:t>(pro</w:t>
      </w:r>
      <w:r>
        <w:rPr>
          <w:rFonts w:eastAsia="MS Mincho"/>
          <w:b/>
          <w:bCs/>
          <w:spacing w:val="-3"/>
          <w:szCs w:val="22"/>
          <w:lang w:eastAsia="en-US" w:bidi="ar-SA"/>
        </w:rPr>
        <w:t>c</w:t>
      </w:r>
      <w:r>
        <w:rPr>
          <w:rFonts w:eastAsia="MS Mincho"/>
          <w:b/>
          <w:bCs/>
          <w:szCs w:val="22"/>
          <w:lang w:eastAsia="en-US" w:bidi="ar-SA"/>
        </w:rPr>
        <w:t>e</w:t>
      </w:r>
      <w:r>
        <w:rPr>
          <w:rFonts w:eastAsia="MS Mincho"/>
          <w:b/>
          <w:bCs/>
          <w:spacing w:val="-1"/>
          <w:szCs w:val="22"/>
          <w:lang w:eastAsia="en-US" w:bidi="ar-SA"/>
        </w:rPr>
        <w:t>n</w:t>
      </w:r>
      <w:r>
        <w:rPr>
          <w:rFonts w:eastAsia="MS Mincho"/>
          <w:b/>
          <w:bCs/>
          <w:szCs w:val="22"/>
          <w:lang w:eastAsia="en-US" w:bidi="ar-SA"/>
        </w:rPr>
        <w:t>t</w:t>
      </w:r>
      <w:r>
        <w:rPr>
          <w:rFonts w:eastAsia="MS Mincho"/>
          <w:b/>
          <w:bCs/>
          <w:spacing w:val="-3"/>
          <w:szCs w:val="22"/>
          <w:lang w:eastAsia="en-US" w:bidi="ar-SA"/>
        </w:rPr>
        <w:t>u</w:t>
      </w:r>
      <w:r>
        <w:rPr>
          <w:rFonts w:eastAsia="MS Mincho"/>
          <w:b/>
          <w:bCs/>
          <w:szCs w:val="22"/>
          <w:lang w:eastAsia="en-US" w:bidi="ar-SA"/>
        </w:rPr>
        <w:t>l</w:t>
      </w:r>
      <w:r>
        <w:rPr>
          <w:b/>
          <w:spacing w:val="1"/>
        </w:rPr>
        <w:t xml:space="preserve"> </w:t>
      </w:r>
      <w:r>
        <w:rPr>
          <w:b/>
          <w:spacing w:val="-1"/>
        </w:rPr>
        <w:t>d</w:t>
      </w:r>
      <w:r>
        <w:rPr>
          <w:b/>
        </w:rPr>
        <w:t xml:space="preserve">e </w:t>
      </w:r>
      <w:r>
        <w:rPr>
          <w:b/>
          <w:spacing w:val="-1"/>
        </w:rPr>
        <w:t>p</w:t>
      </w:r>
      <w:r>
        <w:rPr>
          <w:b/>
          <w:spacing w:val="-3"/>
        </w:rPr>
        <w:t>a</w:t>
      </w:r>
      <w:r>
        <w:rPr>
          <w:b/>
        </w:rPr>
        <w:t>c</w:t>
      </w:r>
      <w:r>
        <w:rPr>
          <w:b/>
          <w:spacing w:val="1"/>
        </w:rPr>
        <w:t>i</w:t>
      </w:r>
      <w:r>
        <w:rPr>
          <w:b/>
        </w:rPr>
        <w:t>e</w:t>
      </w:r>
      <w:r>
        <w:rPr>
          <w:b/>
          <w:spacing w:val="-3"/>
        </w:rPr>
        <w:t>n</w:t>
      </w:r>
      <w:r>
        <w:rPr>
          <w:b/>
        </w:rPr>
        <w:t>ţ</w:t>
      </w:r>
      <w:r>
        <w:rPr>
          <w:b/>
          <w:spacing w:val="-2"/>
        </w:rPr>
        <w:t>i</w:t>
      </w:r>
      <w:r>
        <w:rPr>
          <w:b/>
        </w:rPr>
        <w:t>)</w:t>
      </w:r>
    </w:p>
    <w:p w14:paraId="5E60B5BE" w14:textId="77777777" w:rsidR="00C04CAD" w:rsidRDefault="00C04CAD">
      <w:pPr>
        <w:keepNext/>
        <w:autoSpaceDE w:val="0"/>
        <w:autoSpaceDN w:val="0"/>
        <w:adjustRightInd w:val="0"/>
        <w:spacing w:line="240" w:lineRule="auto"/>
      </w:pPr>
    </w:p>
    <w:tbl>
      <w:tblPr>
        <w:tblW w:w="9285" w:type="dxa"/>
        <w:tblInd w:w="5" w:type="dxa"/>
        <w:tblLayout w:type="fixed"/>
        <w:tblCellMar>
          <w:left w:w="0" w:type="dxa"/>
          <w:right w:w="0" w:type="dxa"/>
        </w:tblCellMar>
        <w:tblLook w:val="04A0" w:firstRow="1" w:lastRow="0" w:firstColumn="1" w:lastColumn="0" w:noHBand="0" w:noVBand="1"/>
      </w:tblPr>
      <w:tblGrid>
        <w:gridCol w:w="1833"/>
        <w:gridCol w:w="1005"/>
        <w:gridCol w:w="1547"/>
        <w:gridCol w:w="1679"/>
        <w:gridCol w:w="1080"/>
        <w:gridCol w:w="1164"/>
        <w:gridCol w:w="977"/>
      </w:tblGrid>
      <w:tr w:rsidR="00C04CAD" w14:paraId="7011DDBF" w14:textId="77777777">
        <w:trPr>
          <w:trHeight w:hRule="exact" w:val="888"/>
          <w:tblHeader/>
        </w:trPr>
        <w:tc>
          <w:tcPr>
            <w:tcW w:w="1833" w:type="dxa"/>
            <w:tcBorders>
              <w:top w:val="single" w:sz="4" w:space="0" w:color="000000"/>
              <w:left w:val="single" w:sz="4" w:space="0" w:color="000000"/>
              <w:bottom w:val="single" w:sz="4" w:space="0" w:color="000000"/>
              <w:right w:val="single" w:sz="4" w:space="0" w:color="000000"/>
            </w:tcBorders>
          </w:tcPr>
          <w:p w14:paraId="3F292CE4" w14:textId="77777777" w:rsidR="00C04CAD" w:rsidRDefault="00060E34">
            <w:pPr>
              <w:keepNext/>
              <w:tabs>
                <w:tab w:val="clear" w:pos="567"/>
              </w:tabs>
              <w:kinsoku w:val="0"/>
              <w:overflowPunct w:val="0"/>
              <w:autoSpaceDE w:val="0"/>
              <w:autoSpaceDN w:val="0"/>
              <w:adjustRightInd w:val="0"/>
              <w:spacing w:line="240" w:lineRule="auto"/>
              <w:ind w:left="102"/>
            </w:pPr>
            <w:r>
              <w:rPr>
                <w:b/>
                <w:spacing w:val="-1"/>
              </w:rPr>
              <w:t>R</w:t>
            </w:r>
            <w:r>
              <w:rPr>
                <w:b/>
              </w:rPr>
              <w:t>ăs</w:t>
            </w:r>
            <w:r>
              <w:rPr>
                <w:b/>
                <w:spacing w:val="-1"/>
              </w:rPr>
              <w:t>puns</w:t>
            </w:r>
          </w:p>
        </w:tc>
        <w:tc>
          <w:tcPr>
            <w:tcW w:w="1005" w:type="dxa"/>
            <w:tcBorders>
              <w:top w:val="single" w:sz="4" w:space="0" w:color="000000"/>
              <w:left w:val="single" w:sz="4" w:space="0" w:color="000000"/>
              <w:bottom w:val="single" w:sz="4" w:space="0" w:color="000000"/>
              <w:right w:val="single" w:sz="4" w:space="0" w:color="000000"/>
            </w:tcBorders>
          </w:tcPr>
          <w:p w14:paraId="29ABEBC4"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M</w:t>
            </w:r>
            <w:r>
              <w:rPr>
                <w:b/>
                <w:spacing w:val="-1"/>
              </w:rPr>
              <w:t>TX</w:t>
            </w:r>
          </w:p>
          <w:p w14:paraId="438075E0"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pacing w:val="-1"/>
              </w:rPr>
              <w:t>n</w:t>
            </w:r>
            <w:r>
              <w:rPr>
                <w:b/>
                <w:spacing w:val="-2"/>
              </w:rPr>
              <w:t>=</w:t>
            </w:r>
            <w:r>
              <w:rPr>
                <w:b/>
              </w:rPr>
              <w:t>257</w:t>
            </w:r>
          </w:p>
        </w:tc>
        <w:tc>
          <w:tcPr>
            <w:tcW w:w="1547" w:type="dxa"/>
            <w:tcBorders>
              <w:top w:val="single" w:sz="4" w:space="0" w:color="000000"/>
              <w:left w:val="single" w:sz="4" w:space="0" w:color="000000"/>
              <w:bottom w:val="single" w:sz="4" w:space="0" w:color="000000"/>
              <w:right w:val="single" w:sz="4" w:space="0" w:color="000000"/>
            </w:tcBorders>
          </w:tcPr>
          <w:p w14:paraId="3236EAA4" w14:textId="77777777" w:rsidR="00C04CAD" w:rsidRDefault="00060E34">
            <w:pPr>
              <w:keepNext/>
              <w:tabs>
                <w:tab w:val="clear" w:pos="567"/>
              </w:tabs>
              <w:kinsoku w:val="0"/>
              <w:overflowPunct w:val="0"/>
              <w:autoSpaceDE w:val="0"/>
              <w:autoSpaceDN w:val="0"/>
              <w:adjustRightInd w:val="0"/>
              <w:spacing w:line="240" w:lineRule="auto"/>
              <w:ind w:left="102"/>
              <w:jc w:val="center"/>
              <w:rPr>
                <w:b/>
                <w:spacing w:val="-1"/>
              </w:rPr>
            </w:pPr>
            <w:r>
              <w:rPr>
                <w:b/>
                <w:spacing w:val="-1"/>
              </w:rPr>
              <w:t>Adalimumab</w:t>
            </w:r>
          </w:p>
          <w:p w14:paraId="7FD46E5D" w14:textId="77777777" w:rsidR="00C04CAD" w:rsidRDefault="00060E34">
            <w:pPr>
              <w:keepNext/>
              <w:tabs>
                <w:tab w:val="clear" w:pos="567"/>
              </w:tabs>
              <w:kinsoku w:val="0"/>
              <w:overflowPunct w:val="0"/>
              <w:autoSpaceDE w:val="0"/>
              <w:autoSpaceDN w:val="0"/>
              <w:adjustRightInd w:val="0"/>
              <w:spacing w:line="240" w:lineRule="auto"/>
              <w:ind w:left="102"/>
              <w:jc w:val="center"/>
              <w:rPr>
                <w:b/>
              </w:rPr>
            </w:pPr>
            <w:r>
              <w:rPr>
                <w:b/>
                <w:bCs/>
                <w:spacing w:val="-1"/>
                <w:szCs w:val="22"/>
              </w:rPr>
              <w:t>n</w:t>
            </w:r>
            <w:r>
              <w:rPr>
                <w:b/>
                <w:spacing w:val="-2"/>
              </w:rPr>
              <w:t>=</w:t>
            </w:r>
            <w:r>
              <w:rPr>
                <w:b/>
              </w:rPr>
              <w:t>274</w:t>
            </w:r>
          </w:p>
        </w:tc>
        <w:tc>
          <w:tcPr>
            <w:tcW w:w="1679" w:type="dxa"/>
            <w:tcBorders>
              <w:top w:val="single" w:sz="4" w:space="0" w:color="000000"/>
              <w:left w:val="single" w:sz="4" w:space="0" w:color="000000"/>
              <w:bottom w:val="single" w:sz="4" w:space="0" w:color="000000"/>
              <w:right w:val="single" w:sz="4" w:space="0" w:color="000000"/>
            </w:tcBorders>
          </w:tcPr>
          <w:p w14:paraId="139AEF5B" w14:textId="77777777" w:rsidR="00C04CAD" w:rsidRDefault="00060E34">
            <w:pPr>
              <w:keepNext/>
              <w:tabs>
                <w:tab w:val="clear" w:pos="567"/>
              </w:tabs>
              <w:kinsoku w:val="0"/>
              <w:overflowPunct w:val="0"/>
              <w:autoSpaceDE w:val="0"/>
              <w:autoSpaceDN w:val="0"/>
              <w:adjustRightInd w:val="0"/>
              <w:spacing w:line="240" w:lineRule="auto"/>
              <w:ind w:left="102"/>
              <w:jc w:val="center"/>
              <w:rPr>
                <w:b/>
                <w:szCs w:val="22"/>
              </w:rPr>
            </w:pPr>
            <w:r>
              <w:rPr>
                <w:rFonts w:eastAsia="MS Mincho"/>
                <w:b/>
                <w:spacing w:val="-1"/>
                <w:szCs w:val="22"/>
                <w:lang w:eastAsia="en-US" w:bidi="ar-SA"/>
              </w:rPr>
              <w:t>Adalimumab</w:t>
            </w:r>
            <w:r>
              <w:rPr>
                <w:b/>
                <w:szCs w:val="22"/>
              </w:rPr>
              <w:t>/</w:t>
            </w:r>
            <w:r>
              <w:rPr>
                <w:b/>
                <w:spacing w:val="1"/>
                <w:szCs w:val="22"/>
              </w:rPr>
              <w:t xml:space="preserve"> </w:t>
            </w:r>
            <w:r>
              <w:rPr>
                <w:b/>
                <w:szCs w:val="22"/>
              </w:rPr>
              <w:t>M</w:t>
            </w:r>
            <w:r>
              <w:rPr>
                <w:b/>
                <w:spacing w:val="-1"/>
                <w:szCs w:val="22"/>
              </w:rPr>
              <w:t>T</w:t>
            </w:r>
            <w:r>
              <w:rPr>
                <w:b/>
                <w:szCs w:val="22"/>
              </w:rPr>
              <w:t>X</w:t>
            </w:r>
          </w:p>
          <w:p w14:paraId="39DD3C6B" w14:textId="77777777" w:rsidR="00C04CAD" w:rsidRDefault="00060E34">
            <w:pPr>
              <w:keepNext/>
              <w:tabs>
                <w:tab w:val="clear" w:pos="567"/>
              </w:tabs>
              <w:kinsoku w:val="0"/>
              <w:overflowPunct w:val="0"/>
              <w:autoSpaceDE w:val="0"/>
              <w:autoSpaceDN w:val="0"/>
              <w:adjustRightInd w:val="0"/>
              <w:spacing w:line="240" w:lineRule="auto"/>
              <w:ind w:left="102"/>
              <w:jc w:val="center"/>
              <w:rPr>
                <w:b/>
                <w:szCs w:val="22"/>
              </w:rPr>
            </w:pPr>
            <w:r>
              <w:rPr>
                <w:b/>
                <w:spacing w:val="-1"/>
                <w:szCs w:val="22"/>
              </w:rPr>
              <w:t>n</w:t>
            </w:r>
            <w:r>
              <w:rPr>
                <w:b/>
                <w:spacing w:val="-2"/>
                <w:szCs w:val="22"/>
              </w:rPr>
              <w:t>=</w:t>
            </w:r>
            <w:r>
              <w:rPr>
                <w:b/>
                <w:szCs w:val="22"/>
              </w:rPr>
              <w:t>268</w:t>
            </w:r>
          </w:p>
        </w:tc>
        <w:tc>
          <w:tcPr>
            <w:tcW w:w="1080" w:type="dxa"/>
            <w:tcBorders>
              <w:top w:val="single" w:sz="4" w:space="0" w:color="000000"/>
              <w:left w:val="single" w:sz="4" w:space="0" w:color="000000"/>
              <w:bottom w:val="single" w:sz="4" w:space="0" w:color="000000"/>
              <w:right w:val="single" w:sz="4" w:space="0" w:color="000000"/>
            </w:tcBorders>
          </w:tcPr>
          <w:p w14:paraId="77639DD9" w14:textId="77777777" w:rsidR="00C04CAD" w:rsidRDefault="00060E34">
            <w:pPr>
              <w:keepNext/>
              <w:tabs>
                <w:tab w:val="clear" w:pos="567"/>
              </w:tabs>
              <w:kinsoku w:val="0"/>
              <w:overflowPunct w:val="0"/>
              <w:autoSpaceDE w:val="0"/>
              <w:autoSpaceDN w:val="0"/>
              <w:adjustRightInd w:val="0"/>
              <w:spacing w:line="240" w:lineRule="auto"/>
              <w:ind w:left="102"/>
              <w:jc w:val="center"/>
              <w:rPr>
                <w:b/>
                <w:spacing w:val="-1"/>
              </w:rPr>
            </w:pPr>
            <w:r>
              <w:rPr>
                <w:b/>
                <w:spacing w:val="-1"/>
              </w:rPr>
              <w:t>valoare</w:t>
            </w:r>
          </w:p>
          <w:p w14:paraId="43AB8AE3"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pacing w:val="-1"/>
              </w:rPr>
              <w:t>p-</w:t>
            </w:r>
            <w:r>
              <w:rPr>
                <w:b/>
                <w:spacing w:val="-1"/>
                <w:vertAlign w:val="superscript"/>
              </w:rPr>
              <w:t>a</w:t>
            </w:r>
          </w:p>
        </w:tc>
        <w:tc>
          <w:tcPr>
            <w:tcW w:w="1164" w:type="dxa"/>
            <w:tcBorders>
              <w:top w:val="single" w:sz="4" w:space="0" w:color="000000"/>
              <w:left w:val="single" w:sz="4" w:space="0" w:color="000000"/>
              <w:bottom w:val="single" w:sz="4" w:space="0" w:color="000000"/>
              <w:right w:val="single" w:sz="4" w:space="0" w:color="000000"/>
            </w:tcBorders>
          </w:tcPr>
          <w:p w14:paraId="26FC0673" w14:textId="77777777" w:rsidR="00C04CAD" w:rsidRDefault="00060E34">
            <w:pPr>
              <w:keepNext/>
              <w:tabs>
                <w:tab w:val="clear" w:pos="567"/>
              </w:tabs>
              <w:kinsoku w:val="0"/>
              <w:overflowPunct w:val="0"/>
              <w:autoSpaceDE w:val="0"/>
              <w:autoSpaceDN w:val="0"/>
              <w:adjustRightInd w:val="0"/>
              <w:spacing w:line="240" w:lineRule="auto"/>
              <w:ind w:left="102"/>
              <w:jc w:val="center"/>
              <w:rPr>
                <w:b/>
                <w:spacing w:val="-1"/>
              </w:rPr>
            </w:pPr>
            <w:r>
              <w:rPr>
                <w:b/>
                <w:spacing w:val="-1"/>
              </w:rPr>
              <w:t>valoare</w:t>
            </w:r>
          </w:p>
          <w:p w14:paraId="2D903768" w14:textId="77777777" w:rsidR="00C04CAD" w:rsidRDefault="00060E34">
            <w:pPr>
              <w:keepNext/>
              <w:tabs>
                <w:tab w:val="clear" w:pos="567"/>
              </w:tabs>
              <w:kinsoku w:val="0"/>
              <w:overflowPunct w:val="0"/>
              <w:autoSpaceDE w:val="0"/>
              <w:autoSpaceDN w:val="0"/>
              <w:adjustRightInd w:val="0"/>
              <w:spacing w:line="240" w:lineRule="auto"/>
              <w:ind w:left="102"/>
              <w:jc w:val="center"/>
              <w:rPr>
                <w:vertAlign w:val="superscript"/>
              </w:rPr>
            </w:pPr>
            <w:r>
              <w:rPr>
                <w:b/>
                <w:spacing w:val="-1"/>
              </w:rPr>
              <w:t>p-</w:t>
            </w:r>
            <w:r>
              <w:rPr>
                <w:b/>
                <w:spacing w:val="-1"/>
                <w:vertAlign w:val="superscript"/>
              </w:rPr>
              <w:t>b</w:t>
            </w:r>
          </w:p>
        </w:tc>
        <w:tc>
          <w:tcPr>
            <w:tcW w:w="977" w:type="dxa"/>
            <w:tcBorders>
              <w:top w:val="single" w:sz="4" w:space="0" w:color="000000"/>
              <w:left w:val="single" w:sz="4" w:space="0" w:color="000000"/>
              <w:bottom w:val="single" w:sz="4" w:space="0" w:color="000000"/>
              <w:right w:val="single" w:sz="4" w:space="0" w:color="000000"/>
            </w:tcBorders>
          </w:tcPr>
          <w:p w14:paraId="10AA4B27"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pacing w:val="-1"/>
              </w:rPr>
              <w:t>valoare p-</w:t>
            </w:r>
            <w:r>
              <w:rPr>
                <w:b/>
                <w:spacing w:val="-1"/>
                <w:vertAlign w:val="superscript"/>
              </w:rPr>
              <w:t>c</w:t>
            </w:r>
          </w:p>
        </w:tc>
      </w:tr>
      <w:tr w:rsidR="00C04CAD" w14:paraId="50DDC1BE" w14:textId="77777777">
        <w:trPr>
          <w:trHeight w:hRule="exact" w:val="264"/>
        </w:trPr>
        <w:tc>
          <w:tcPr>
            <w:tcW w:w="1833" w:type="dxa"/>
            <w:tcBorders>
              <w:top w:val="single" w:sz="4" w:space="0" w:color="000000"/>
              <w:left w:val="single" w:sz="4" w:space="0" w:color="000000"/>
              <w:bottom w:val="single" w:sz="4" w:space="0" w:color="000000"/>
            </w:tcBorders>
          </w:tcPr>
          <w:p w14:paraId="7874ECA2" w14:textId="77777777" w:rsidR="00C04CAD" w:rsidRDefault="00060E34">
            <w:pPr>
              <w:tabs>
                <w:tab w:val="clear" w:pos="567"/>
              </w:tabs>
              <w:kinsoku w:val="0"/>
              <w:overflowPunct w:val="0"/>
              <w:autoSpaceDE w:val="0"/>
              <w:autoSpaceDN w:val="0"/>
              <w:adjustRightInd w:val="0"/>
              <w:spacing w:line="240" w:lineRule="auto"/>
              <w:ind w:left="102"/>
            </w:pPr>
            <w:r>
              <w:rPr>
                <w:spacing w:val="-1"/>
              </w:rPr>
              <w:t>AC</w:t>
            </w:r>
            <w:r>
              <w:t>R</w:t>
            </w:r>
            <w:r>
              <w:rPr>
                <w:spacing w:val="-1"/>
              </w:rPr>
              <w:t xml:space="preserve"> </w:t>
            </w:r>
            <w:r>
              <w:t>20</w:t>
            </w:r>
          </w:p>
        </w:tc>
        <w:tc>
          <w:tcPr>
            <w:tcW w:w="1005" w:type="dxa"/>
            <w:tcBorders>
              <w:top w:val="single" w:sz="4" w:space="0" w:color="000000"/>
              <w:bottom w:val="single" w:sz="4" w:space="0" w:color="000000"/>
            </w:tcBorders>
          </w:tcPr>
          <w:p w14:paraId="38A6F39F" w14:textId="77777777" w:rsidR="00C04CAD" w:rsidRDefault="00C04CAD">
            <w:pPr>
              <w:tabs>
                <w:tab w:val="clear" w:pos="567"/>
              </w:tabs>
              <w:autoSpaceDE w:val="0"/>
              <w:autoSpaceDN w:val="0"/>
              <w:adjustRightInd w:val="0"/>
              <w:spacing w:line="240" w:lineRule="auto"/>
            </w:pPr>
          </w:p>
        </w:tc>
        <w:tc>
          <w:tcPr>
            <w:tcW w:w="1547" w:type="dxa"/>
            <w:tcBorders>
              <w:top w:val="single" w:sz="4" w:space="0" w:color="000000"/>
              <w:bottom w:val="single" w:sz="4" w:space="0" w:color="000000"/>
            </w:tcBorders>
          </w:tcPr>
          <w:p w14:paraId="77DCDC79" w14:textId="77777777" w:rsidR="00C04CAD" w:rsidRDefault="00C04CAD">
            <w:pPr>
              <w:tabs>
                <w:tab w:val="clear" w:pos="567"/>
              </w:tabs>
              <w:autoSpaceDE w:val="0"/>
              <w:autoSpaceDN w:val="0"/>
              <w:adjustRightInd w:val="0"/>
              <w:spacing w:line="240" w:lineRule="auto"/>
            </w:pPr>
          </w:p>
        </w:tc>
        <w:tc>
          <w:tcPr>
            <w:tcW w:w="1679" w:type="dxa"/>
            <w:tcBorders>
              <w:top w:val="single" w:sz="4" w:space="0" w:color="000000"/>
              <w:bottom w:val="single" w:sz="4" w:space="0" w:color="000000"/>
            </w:tcBorders>
          </w:tcPr>
          <w:p w14:paraId="6F02F342" w14:textId="77777777" w:rsidR="00C04CAD" w:rsidRDefault="00C04CAD">
            <w:pPr>
              <w:tabs>
                <w:tab w:val="clear" w:pos="567"/>
              </w:tabs>
              <w:autoSpaceDE w:val="0"/>
              <w:autoSpaceDN w:val="0"/>
              <w:adjustRightInd w:val="0"/>
              <w:spacing w:line="240" w:lineRule="auto"/>
              <w:rPr>
                <w:szCs w:val="22"/>
              </w:rPr>
            </w:pPr>
          </w:p>
        </w:tc>
        <w:tc>
          <w:tcPr>
            <w:tcW w:w="1080" w:type="dxa"/>
            <w:tcBorders>
              <w:top w:val="single" w:sz="4" w:space="0" w:color="000000"/>
              <w:bottom w:val="single" w:sz="4" w:space="0" w:color="000000"/>
            </w:tcBorders>
          </w:tcPr>
          <w:p w14:paraId="5F3B1AFE" w14:textId="77777777" w:rsidR="00C04CAD" w:rsidRDefault="00C04CAD">
            <w:pPr>
              <w:tabs>
                <w:tab w:val="clear" w:pos="567"/>
              </w:tabs>
              <w:autoSpaceDE w:val="0"/>
              <w:autoSpaceDN w:val="0"/>
              <w:adjustRightInd w:val="0"/>
              <w:spacing w:line="240" w:lineRule="auto"/>
            </w:pPr>
          </w:p>
        </w:tc>
        <w:tc>
          <w:tcPr>
            <w:tcW w:w="1164" w:type="dxa"/>
            <w:tcBorders>
              <w:top w:val="single" w:sz="4" w:space="0" w:color="000000"/>
              <w:bottom w:val="single" w:sz="4" w:space="0" w:color="000000"/>
            </w:tcBorders>
          </w:tcPr>
          <w:p w14:paraId="79877164" w14:textId="77777777" w:rsidR="00C04CAD" w:rsidRDefault="00C04CAD">
            <w:pPr>
              <w:tabs>
                <w:tab w:val="clear" w:pos="567"/>
              </w:tabs>
              <w:autoSpaceDE w:val="0"/>
              <w:autoSpaceDN w:val="0"/>
              <w:adjustRightInd w:val="0"/>
              <w:spacing w:line="240" w:lineRule="auto"/>
            </w:pPr>
          </w:p>
        </w:tc>
        <w:tc>
          <w:tcPr>
            <w:tcW w:w="977" w:type="dxa"/>
            <w:tcBorders>
              <w:top w:val="single" w:sz="4" w:space="0" w:color="000000"/>
              <w:bottom w:val="single" w:sz="4" w:space="0" w:color="000000"/>
              <w:right w:val="single" w:sz="4" w:space="0" w:color="000000"/>
            </w:tcBorders>
          </w:tcPr>
          <w:p w14:paraId="5C15F17A" w14:textId="77777777" w:rsidR="00C04CAD" w:rsidRDefault="00C04CAD">
            <w:pPr>
              <w:tabs>
                <w:tab w:val="clear" w:pos="567"/>
              </w:tabs>
              <w:autoSpaceDE w:val="0"/>
              <w:autoSpaceDN w:val="0"/>
              <w:adjustRightInd w:val="0"/>
              <w:spacing w:line="240" w:lineRule="auto"/>
            </w:pPr>
          </w:p>
        </w:tc>
      </w:tr>
      <w:tr w:rsidR="00C04CAD" w14:paraId="4B802312" w14:textId="77777777">
        <w:trPr>
          <w:trHeight w:hRule="exact" w:val="262"/>
        </w:trPr>
        <w:tc>
          <w:tcPr>
            <w:tcW w:w="1833" w:type="dxa"/>
            <w:tcBorders>
              <w:top w:val="single" w:sz="4" w:space="0" w:color="000000"/>
              <w:left w:val="single" w:sz="4" w:space="0" w:color="000000"/>
              <w:bottom w:val="single" w:sz="4" w:space="0" w:color="000000"/>
              <w:right w:val="single" w:sz="4" w:space="0" w:color="000000"/>
            </w:tcBorders>
          </w:tcPr>
          <w:p w14:paraId="665E697E"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52</w:t>
            </w:r>
          </w:p>
        </w:tc>
        <w:tc>
          <w:tcPr>
            <w:tcW w:w="1005" w:type="dxa"/>
            <w:tcBorders>
              <w:top w:val="single" w:sz="4" w:space="0" w:color="000000"/>
              <w:left w:val="single" w:sz="4" w:space="0" w:color="000000"/>
              <w:bottom w:val="single" w:sz="4" w:space="0" w:color="000000"/>
              <w:right w:val="single" w:sz="4" w:space="0" w:color="000000"/>
            </w:tcBorders>
          </w:tcPr>
          <w:p w14:paraId="4F01EDF3" w14:textId="77777777" w:rsidR="00C04CAD" w:rsidRDefault="00060E34">
            <w:pPr>
              <w:tabs>
                <w:tab w:val="clear" w:pos="567"/>
              </w:tabs>
              <w:kinsoku w:val="0"/>
              <w:overflowPunct w:val="0"/>
              <w:autoSpaceDE w:val="0"/>
              <w:autoSpaceDN w:val="0"/>
              <w:adjustRightInd w:val="0"/>
              <w:spacing w:line="240" w:lineRule="auto"/>
              <w:ind w:left="102"/>
              <w:jc w:val="center"/>
            </w:pPr>
            <w:r>
              <w:t>62,6%</w:t>
            </w:r>
          </w:p>
        </w:tc>
        <w:tc>
          <w:tcPr>
            <w:tcW w:w="1547" w:type="dxa"/>
            <w:tcBorders>
              <w:top w:val="single" w:sz="4" w:space="0" w:color="000000"/>
              <w:left w:val="single" w:sz="4" w:space="0" w:color="000000"/>
              <w:bottom w:val="single" w:sz="4" w:space="0" w:color="000000"/>
              <w:right w:val="single" w:sz="4" w:space="0" w:color="000000"/>
            </w:tcBorders>
          </w:tcPr>
          <w:p w14:paraId="181261B1" w14:textId="77777777" w:rsidR="00C04CAD" w:rsidRDefault="00060E34">
            <w:pPr>
              <w:tabs>
                <w:tab w:val="clear" w:pos="567"/>
              </w:tabs>
              <w:kinsoku w:val="0"/>
              <w:overflowPunct w:val="0"/>
              <w:autoSpaceDE w:val="0"/>
              <w:autoSpaceDN w:val="0"/>
              <w:adjustRightInd w:val="0"/>
              <w:spacing w:line="240" w:lineRule="auto"/>
              <w:ind w:left="102"/>
              <w:jc w:val="center"/>
            </w:pPr>
            <w:r>
              <w:t>54,4%</w:t>
            </w:r>
          </w:p>
        </w:tc>
        <w:tc>
          <w:tcPr>
            <w:tcW w:w="1679" w:type="dxa"/>
            <w:tcBorders>
              <w:top w:val="single" w:sz="4" w:space="0" w:color="000000"/>
              <w:left w:val="single" w:sz="4" w:space="0" w:color="000000"/>
              <w:bottom w:val="single" w:sz="4" w:space="0" w:color="000000"/>
              <w:right w:val="single" w:sz="4" w:space="0" w:color="000000"/>
            </w:tcBorders>
          </w:tcPr>
          <w:p w14:paraId="143A71AF"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72,8%</w:t>
            </w:r>
          </w:p>
        </w:tc>
        <w:tc>
          <w:tcPr>
            <w:tcW w:w="1080" w:type="dxa"/>
            <w:tcBorders>
              <w:top w:val="single" w:sz="4" w:space="0" w:color="000000"/>
              <w:left w:val="single" w:sz="4" w:space="0" w:color="000000"/>
              <w:bottom w:val="single" w:sz="4" w:space="0" w:color="000000"/>
              <w:right w:val="single" w:sz="4" w:space="0" w:color="000000"/>
            </w:tcBorders>
          </w:tcPr>
          <w:p w14:paraId="21280AC3" w14:textId="77777777" w:rsidR="00C04CAD" w:rsidRDefault="00060E34">
            <w:pPr>
              <w:tabs>
                <w:tab w:val="clear" w:pos="567"/>
              </w:tabs>
              <w:kinsoku w:val="0"/>
              <w:overflowPunct w:val="0"/>
              <w:autoSpaceDE w:val="0"/>
              <w:autoSpaceDN w:val="0"/>
              <w:adjustRightInd w:val="0"/>
              <w:spacing w:line="240" w:lineRule="auto"/>
              <w:ind w:left="99"/>
              <w:jc w:val="center"/>
            </w:pPr>
            <w:r>
              <w:t>0,013</w:t>
            </w:r>
          </w:p>
        </w:tc>
        <w:tc>
          <w:tcPr>
            <w:tcW w:w="1164" w:type="dxa"/>
            <w:tcBorders>
              <w:top w:val="single" w:sz="4" w:space="0" w:color="000000"/>
              <w:left w:val="single" w:sz="4" w:space="0" w:color="000000"/>
              <w:bottom w:val="single" w:sz="4" w:space="0" w:color="000000"/>
              <w:right w:val="single" w:sz="4" w:space="0" w:color="000000"/>
            </w:tcBorders>
          </w:tcPr>
          <w:p w14:paraId="1831998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41DCB7B3" w14:textId="77777777" w:rsidR="00C04CAD" w:rsidRDefault="00060E34">
            <w:pPr>
              <w:tabs>
                <w:tab w:val="clear" w:pos="567"/>
              </w:tabs>
              <w:kinsoku w:val="0"/>
              <w:overflowPunct w:val="0"/>
              <w:autoSpaceDE w:val="0"/>
              <w:autoSpaceDN w:val="0"/>
              <w:adjustRightInd w:val="0"/>
              <w:spacing w:line="240" w:lineRule="auto"/>
              <w:ind w:left="99"/>
              <w:jc w:val="center"/>
            </w:pPr>
            <w:r>
              <w:t>0,043</w:t>
            </w:r>
          </w:p>
        </w:tc>
      </w:tr>
      <w:tr w:rsidR="00C04CAD" w14:paraId="323BB3FB" w14:textId="77777777">
        <w:trPr>
          <w:trHeight w:hRule="exact" w:val="264"/>
        </w:trPr>
        <w:tc>
          <w:tcPr>
            <w:tcW w:w="1833" w:type="dxa"/>
            <w:tcBorders>
              <w:top w:val="single" w:sz="4" w:space="0" w:color="000000"/>
              <w:left w:val="single" w:sz="4" w:space="0" w:color="000000"/>
              <w:bottom w:val="single" w:sz="4" w:space="0" w:color="000000"/>
              <w:right w:val="single" w:sz="4" w:space="0" w:color="000000"/>
            </w:tcBorders>
          </w:tcPr>
          <w:p w14:paraId="0DCE499A"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104</w:t>
            </w:r>
          </w:p>
        </w:tc>
        <w:tc>
          <w:tcPr>
            <w:tcW w:w="1005" w:type="dxa"/>
            <w:tcBorders>
              <w:top w:val="single" w:sz="4" w:space="0" w:color="000000"/>
              <w:left w:val="single" w:sz="4" w:space="0" w:color="000000"/>
              <w:bottom w:val="single" w:sz="4" w:space="0" w:color="000000"/>
              <w:right w:val="single" w:sz="4" w:space="0" w:color="000000"/>
            </w:tcBorders>
          </w:tcPr>
          <w:p w14:paraId="3DEA472D" w14:textId="77777777" w:rsidR="00C04CAD" w:rsidRDefault="00060E34">
            <w:pPr>
              <w:tabs>
                <w:tab w:val="clear" w:pos="567"/>
              </w:tabs>
              <w:kinsoku w:val="0"/>
              <w:overflowPunct w:val="0"/>
              <w:autoSpaceDE w:val="0"/>
              <w:autoSpaceDN w:val="0"/>
              <w:adjustRightInd w:val="0"/>
              <w:spacing w:line="240" w:lineRule="auto"/>
              <w:ind w:left="102"/>
              <w:jc w:val="center"/>
            </w:pPr>
            <w:r>
              <w:t>56,0%</w:t>
            </w:r>
          </w:p>
        </w:tc>
        <w:tc>
          <w:tcPr>
            <w:tcW w:w="1547" w:type="dxa"/>
            <w:tcBorders>
              <w:top w:val="single" w:sz="4" w:space="0" w:color="000000"/>
              <w:left w:val="single" w:sz="4" w:space="0" w:color="000000"/>
              <w:bottom w:val="single" w:sz="4" w:space="0" w:color="000000"/>
              <w:right w:val="single" w:sz="4" w:space="0" w:color="000000"/>
            </w:tcBorders>
          </w:tcPr>
          <w:p w14:paraId="5FB965F5" w14:textId="77777777" w:rsidR="00C04CAD" w:rsidRDefault="00060E34">
            <w:pPr>
              <w:tabs>
                <w:tab w:val="clear" w:pos="567"/>
              </w:tabs>
              <w:kinsoku w:val="0"/>
              <w:overflowPunct w:val="0"/>
              <w:autoSpaceDE w:val="0"/>
              <w:autoSpaceDN w:val="0"/>
              <w:adjustRightInd w:val="0"/>
              <w:spacing w:line="240" w:lineRule="auto"/>
              <w:ind w:left="102"/>
              <w:jc w:val="center"/>
            </w:pPr>
            <w:r>
              <w:t>49,3%</w:t>
            </w:r>
          </w:p>
        </w:tc>
        <w:tc>
          <w:tcPr>
            <w:tcW w:w="1679" w:type="dxa"/>
            <w:tcBorders>
              <w:top w:val="single" w:sz="4" w:space="0" w:color="000000"/>
              <w:left w:val="single" w:sz="4" w:space="0" w:color="000000"/>
              <w:bottom w:val="single" w:sz="4" w:space="0" w:color="000000"/>
              <w:right w:val="single" w:sz="4" w:space="0" w:color="000000"/>
            </w:tcBorders>
          </w:tcPr>
          <w:p w14:paraId="66895552"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69,4%</w:t>
            </w:r>
          </w:p>
        </w:tc>
        <w:tc>
          <w:tcPr>
            <w:tcW w:w="1080" w:type="dxa"/>
            <w:tcBorders>
              <w:top w:val="single" w:sz="4" w:space="0" w:color="000000"/>
              <w:left w:val="single" w:sz="4" w:space="0" w:color="000000"/>
              <w:bottom w:val="single" w:sz="4" w:space="0" w:color="000000"/>
              <w:right w:val="single" w:sz="4" w:space="0" w:color="000000"/>
            </w:tcBorders>
          </w:tcPr>
          <w:p w14:paraId="3D9B2B84" w14:textId="77777777" w:rsidR="00C04CAD" w:rsidRDefault="00060E34">
            <w:pPr>
              <w:tabs>
                <w:tab w:val="clear" w:pos="567"/>
              </w:tabs>
              <w:kinsoku w:val="0"/>
              <w:overflowPunct w:val="0"/>
              <w:autoSpaceDE w:val="0"/>
              <w:autoSpaceDN w:val="0"/>
              <w:adjustRightInd w:val="0"/>
              <w:spacing w:line="240" w:lineRule="auto"/>
              <w:ind w:left="99"/>
              <w:jc w:val="center"/>
            </w:pPr>
            <w:r>
              <w:t>0,002</w:t>
            </w:r>
          </w:p>
        </w:tc>
        <w:tc>
          <w:tcPr>
            <w:tcW w:w="1164" w:type="dxa"/>
            <w:tcBorders>
              <w:top w:val="single" w:sz="4" w:space="0" w:color="000000"/>
              <w:left w:val="single" w:sz="4" w:space="0" w:color="000000"/>
              <w:bottom w:val="single" w:sz="4" w:space="0" w:color="000000"/>
              <w:right w:val="single" w:sz="4" w:space="0" w:color="000000"/>
            </w:tcBorders>
          </w:tcPr>
          <w:p w14:paraId="04E1430B"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50D5B98A" w14:textId="77777777" w:rsidR="00C04CAD" w:rsidRDefault="00060E34">
            <w:pPr>
              <w:tabs>
                <w:tab w:val="clear" w:pos="567"/>
              </w:tabs>
              <w:kinsoku w:val="0"/>
              <w:overflowPunct w:val="0"/>
              <w:autoSpaceDE w:val="0"/>
              <w:autoSpaceDN w:val="0"/>
              <w:adjustRightInd w:val="0"/>
              <w:spacing w:line="240" w:lineRule="auto"/>
              <w:ind w:left="99"/>
              <w:jc w:val="center"/>
            </w:pPr>
            <w:r>
              <w:t>0,140</w:t>
            </w:r>
          </w:p>
        </w:tc>
      </w:tr>
      <w:tr w:rsidR="00C04CAD" w14:paraId="5B16DD27" w14:textId="77777777">
        <w:trPr>
          <w:trHeight w:hRule="exact" w:val="262"/>
        </w:trPr>
        <w:tc>
          <w:tcPr>
            <w:tcW w:w="1833" w:type="dxa"/>
            <w:tcBorders>
              <w:top w:val="single" w:sz="4" w:space="0" w:color="000000"/>
              <w:left w:val="single" w:sz="4" w:space="0" w:color="000000"/>
              <w:bottom w:val="single" w:sz="4" w:space="0" w:color="000000"/>
            </w:tcBorders>
          </w:tcPr>
          <w:p w14:paraId="37747DA6" w14:textId="77777777" w:rsidR="00C04CAD" w:rsidRDefault="00060E34">
            <w:pPr>
              <w:tabs>
                <w:tab w:val="clear" w:pos="567"/>
              </w:tabs>
              <w:kinsoku w:val="0"/>
              <w:overflowPunct w:val="0"/>
              <w:autoSpaceDE w:val="0"/>
              <w:autoSpaceDN w:val="0"/>
              <w:adjustRightInd w:val="0"/>
              <w:spacing w:line="240" w:lineRule="auto"/>
              <w:ind w:left="102"/>
            </w:pPr>
            <w:r>
              <w:rPr>
                <w:spacing w:val="-1"/>
              </w:rPr>
              <w:t>AC</w:t>
            </w:r>
            <w:r>
              <w:t>R</w:t>
            </w:r>
            <w:r>
              <w:rPr>
                <w:spacing w:val="-1"/>
              </w:rPr>
              <w:t xml:space="preserve"> </w:t>
            </w:r>
            <w:r>
              <w:t>50</w:t>
            </w:r>
          </w:p>
        </w:tc>
        <w:tc>
          <w:tcPr>
            <w:tcW w:w="1005" w:type="dxa"/>
            <w:tcBorders>
              <w:top w:val="single" w:sz="4" w:space="0" w:color="000000"/>
              <w:bottom w:val="single" w:sz="4" w:space="0" w:color="000000"/>
            </w:tcBorders>
          </w:tcPr>
          <w:p w14:paraId="0B051E80" w14:textId="77777777" w:rsidR="00C04CAD" w:rsidRDefault="00C04CAD">
            <w:pPr>
              <w:tabs>
                <w:tab w:val="clear" w:pos="567"/>
              </w:tabs>
              <w:autoSpaceDE w:val="0"/>
              <w:autoSpaceDN w:val="0"/>
              <w:adjustRightInd w:val="0"/>
              <w:spacing w:line="240" w:lineRule="auto"/>
              <w:jc w:val="center"/>
            </w:pPr>
          </w:p>
        </w:tc>
        <w:tc>
          <w:tcPr>
            <w:tcW w:w="1547" w:type="dxa"/>
            <w:tcBorders>
              <w:top w:val="single" w:sz="4" w:space="0" w:color="000000"/>
              <w:bottom w:val="single" w:sz="4" w:space="0" w:color="000000"/>
            </w:tcBorders>
          </w:tcPr>
          <w:p w14:paraId="5E6FDC21" w14:textId="77777777" w:rsidR="00C04CAD" w:rsidRDefault="00C04CAD">
            <w:pPr>
              <w:tabs>
                <w:tab w:val="clear" w:pos="567"/>
              </w:tabs>
              <w:autoSpaceDE w:val="0"/>
              <w:autoSpaceDN w:val="0"/>
              <w:adjustRightInd w:val="0"/>
              <w:spacing w:line="240" w:lineRule="auto"/>
              <w:jc w:val="center"/>
            </w:pPr>
          </w:p>
        </w:tc>
        <w:tc>
          <w:tcPr>
            <w:tcW w:w="1679" w:type="dxa"/>
            <w:tcBorders>
              <w:top w:val="single" w:sz="4" w:space="0" w:color="000000"/>
              <w:bottom w:val="single" w:sz="4" w:space="0" w:color="000000"/>
            </w:tcBorders>
          </w:tcPr>
          <w:p w14:paraId="045CD0B5" w14:textId="77777777" w:rsidR="00C04CAD" w:rsidRDefault="00C04CAD">
            <w:pPr>
              <w:tabs>
                <w:tab w:val="clear" w:pos="567"/>
              </w:tabs>
              <w:autoSpaceDE w:val="0"/>
              <w:autoSpaceDN w:val="0"/>
              <w:adjustRightInd w:val="0"/>
              <w:spacing w:line="240" w:lineRule="auto"/>
              <w:jc w:val="center"/>
              <w:rPr>
                <w:szCs w:val="22"/>
              </w:rPr>
            </w:pPr>
          </w:p>
        </w:tc>
        <w:tc>
          <w:tcPr>
            <w:tcW w:w="1080" w:type="dxa"/>
            <w:tcBorders>
              <w:top w:val="single" w:sz="4" w:space="0" w:color="000000"/>
              <w:bottom w:val="single" w:sz="4" w:space="0" w:color="000000"/>
            </w:tcBorders>
          </w:tcPr>
          <w:p w14:paraId="77BF66C0" w14:textId="77777777" w:rsidR="00C04CAD" w:rsidRDefault="00C04CAD">
            <w:pPr>
              <w:tabs>
                <w:tab w:val="clear" w:pos="567"/>
              </w:tabs>
              <w:autoSpaceDE w:val="0"/>
              <w:autoSpaceDN w:val="0"/>
              <w:adjustRightInd w:val="0"/>
              <w:spacing w:line="240" w:lineRule="auto"/>
              <w:jc w:val="center"/>
            </w:pPr>
          </w:p>
        </w:tc>
        <w:tc>
          <w:tcPr>
            <w:tcW w:w="1164" w:type="dxa"/>
            <w:tcBorders>
              <w:top w:val="single" w:sz="4" w:space="0" w:color="000000"/>
              <w:bottom w:val="single" w:sz="4" w:space="0" w:color="000000"/>
            </w:tcBorders>
          </w:tcPr>
          <w:p w14:paraId="04D5BA08" w14:textId="77777777" w:rsidR="00C04CAD" w:rsidRDefault="00C04CAD">
            <w:pPr>
              <w:tabs>
                <w:tab w:val="clear" w:pos="567"/>
              </w:tabs>
              <w:autoSpaceDE w:val="0"/>
              <w:autoSpaceDN w:val="0"/>
              <w:adjustRightInd w:val="0"/>
              <w:spacing w:line="240" w:lineRule="auto"/>
              <w:jc w:val="center"/>
            </w:pPr>
          </w:p>
        </w:tc>
        <w:tc>
          <w:tcPr>
            <w:tcW w:w="977" w:type="dxa"/>
            <w:tcBorders>
              <w:top w:val="single" w:sz="4" w:space="0" w:color="000000"/>
              <w:bottom w:val="single" w:sz="4" w:space="0" w:color="000000"/>
              <w:right w:val="single" w:sz="4" w:space="0" w:color="000000"/>
            </w:tcBorders>
          </w:tcPr>
          <w:p w14:paraId="164E7623" w14:textId="77777777" w:rsidR="00C04CAD" w:rsidRDefault="00C04CAD">
            <w:pPr>
              <w:tabs>
                <w:tab w:val="clear" w:pos="567"/>
              </w:tabs>
              <w:autoSpaceDE w:val="0"/>
              <w:autoSpaceDN w:val="0"/>
              <w:adjustRightInd w:val="0"/>
              <w:spacing w:line="240" w:lineRule="auto"/>
              <w:jc w:val="center"/>
            </w:pPr>
          </w:p>
        </w:tc>
      </w:tr>
      <w:tr w:rsidR="00C04CAD" w14:paraId="2F42A269" w14:textId="77777777">
        <w:trPr>
          <w:trHeight w:hRule="exact" w:val="264"/>
        </w:trPr>
        <w:tc>
          <w:tcPr>
            <w:tcW w:w="1833" w:type="dxa"/>
            <w:tcBorders>
              <w:top w:val="single" w:sz="4" w:space="0" w:color="000000"/>
              <w:left w:val="single" w:sz="4" w:space="0" w:color="000000"/>
              <w:bottom w:val="single" w:sz="4" w:space="0" w:color="000000"/>
              <w:right w:val="single" w:sz="4" w:space="0" w:color="000000"/>
            </w:tcBorders>
          </w:tcPr>
          <w:p w14:paraId="172F031A"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52</w:t>
            </w:r>
          </w:p>
        </w:tc>
        <w:tc>
          <w:tcPr>
            <w:tcW w:w="1005" w:type="dxa"/>
            <w:tcBorders>
              <w:top w:val="single" w:sz="4" w:space="0" w:color="000000"/>
              <w:left w:val="single" w:sz="4" w:space="0" w:color="000000"/>
              <w:bottom w:val="single" w:sz="4" w:space="0" w:color="000000"/>
              <w:right w:val="single" w:sz="4" w:space="0" w:color="000000"/>
            </w:tcBorders>
          </w:tcPr>
          <w:p w14:paraId="0196BF6F" w14:textId="77777777" w:rsidR="00C04CAD" w:rsidRDefault="00060E34">
            <w:pPr>
              <w:tabs>
                <w:tab w:val="clear" w:pos="567"/>
              </w:tabs>
              <w:kinsoku w:val="0"/>
              <w:overflowPunct w:val="0"/>
              <w:autoSpaceDE w:val="0"/>
              <w:autoSpaceDN w:val="0"/>
              <w:adjustRightInd w:val="0"/>
              <w:spacing w:line="240" w:lineRule="auto"/>
              <w:ind w:left="102"/>
              <w:jc w:val="center"/>
            </w:pPr>
            <w:r>
              <w:t>45,9%</w:t>
            </w:r>
          </w:p>
        </w:tc>
        <w:tc>
          <w:tcPr>
            <w:tcW w:w="1547" w:type="dxa"/>
            <w:tcBorders>
              <w:top w:val="single" w:sz="4" w:space="0" w:color="000000"/>
              <w:left w:val="single" w:sz="4" w:space="0" w:color="000000"/>
              <w:bottom w:val="single" w:sz="4" w:space="0" w:color="000000"/>
              <w:right w:val="single" w:sz="4" w:space="0" w:color="000000"/>
            </w:tcBorders>
          </w:tcPr>
          <w:p w14:paraId="0F3AC7A4" w14:textId="77777777" w:rsidR="00C04CAD" w:rsidRDefault="00060E34">
            <w:pPr>
              <w:tabs>
                <w:tab w:val="clear" w:pos="567"/>
              </w:tabs>
              <w:kinsoku w:val="0"/>
              <w:overflowPunct w:val="0"/>
              <w:autoSpaceDE w:val="0"/>
              <w:autoSpaceDN w:val="0"/>
              <w:adjustRightInd w:val="0"/>
              <w:spacing w:line="240" w:lineRule="auto"/>
              <w:ind w:left="102"/>
              <w:jc w:val="center"/>
            </w:pPr>
            <w:r>
              <w:t>41,2%</w:t>
            </w:r>
          </w:p>
        </w:tc>
        <w:tc>
          <w:tcPr>
            <w:tcW w:w="1679" w:type="dxa"/>
            <w:tcBorders>
              <w:top w:val="single" w:sz="4" w:space="0" w:color="000000"/>
              <w:left w:val="single" w:sz="4" w:space="0" w:color="000000"/>
              <w:bottom w:val="single" w:sz="4" w:space="0" w:color="000000"/>
              <w:right w:val="single" w:sz="4" w:space="0" w:color="000000"/>
            </w:tcBorders>
          </w:tcPr>
          <w:p w14:paraId="5D09888A"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61,6%</w:t>
            </w:r>
          </w:p>
        </w:tc>
        <w:tc>
          <w:tcPr>
            <w:tcW w:w="1080" w:type="dxa"/>
            <w:tcBorders>
              <w:top w:val="single" w:sz="4" w:space="0" w:color="000000"/>
              <w:left w:val="single" w:sz="4" w:space="0" w:color="000000"/>
              <w:bottom w:val="single" w:sz="4" w:space="0" w:color="000000"/>
              <w:right w:val="single" w:sz="4" w:space="0" w:color="000000"/>
            </w:tcBorders>
          </w:tcPr>
          <w:p w14:paraId="51C7F0A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000000"/>
              <w:right w:val="single" w:sz="4" w:space="0" w:color="000000"/>
            </w:tcBorders>
          </w:tcPr>
          <w:p w14:paraId="7E6943E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27602A47" w14:textId="77777777" w:rsidR="00C04CAD" w:rsidRDefault="00060E34">
            <w:pPr>
              <w:tabs>
                <w:tab w:val="clear" w:pos="567"/>
              </w:tabs>
              <w:kinsoku w:val="0"/>
              <w:overflowPunct w:val="0"/>
              <w:autoSpaceDE w:val="0"/>
              <w:autoSpaceDN w:val="0"/>
              <w:adjustRightInd w:val="0"/>
              <w:spacing w:line="240" w:lineRule="auto"/>
              <w:ind w:left="99"/>
              <w:jc w:val="center"/>
            </w:pPr>
            <w:r>
              <w:t>0,317</w:t>
            </w:r>
          </w:p>
        </w:tc>
      </w:tr>
      <w:tr w:rsidR="00C04CAD" w14:paraId="0A149E40" w14:textId="77777777">
        <w:trPr>
          <w:trHeight w:hRule="exact" w:val="262"/>
        </w:trPr>
        <w:tc>
          <w:tcPr>
            <w:tcW w:w="1833" w:type="dxa"/>
            <w:tcBorders>
              <w:top w:val="single" w:sz="4" w:space="0" w:color="000000"/>
              <w:left w:val="single" w:sz="4" w:space="0" w:color="000000"/>
              <w:bottom w:val="single" w:sz="4" w:space="0" w:color="000000"/>
              <w:right w:val="single" w:sz="4" w:space="0" w:color="000000"/>
            </w:tcBorders>
          </w:tcPr>
          <w:p w14:paraId="2A5D6DF6"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104</w:t>
            </w:r>
          </w:p>
        </w:tc>
        <w:tc>
          <w:tcPr>
            <w:tcW w:w="1005" w:type="dxa"/>
            <w:tcBorders>
              <w:top w:val="single" w:sz="4" w:space="0" w:color="000000"/>
              <w:left w:val="single" w:sz="4" w:space="0" w:color="000000"/>
              <w:bottom w:val="single" w:sz="4" w:space="0" w:color="000000"/>
              <w:right w:val="single" w:sz="4" w:space="0" w:color="000000"/>
            </w:tcBorders>
          </w:tcPr>
          <w:p w14:paraId="5D504BB6" w14:textId="77777777" w:rsidR="00C04CAD" w:rsidRDefault="00060E34">
            <w:pPr>
              <w:tabs>
                <w:tab w:val="clear" w:pos="567"/>
              </w:tabs>
              <w:kinsoku w:val="0"/>
              <w:overflowPunct w:val="0"/>
              <w:autoSpaceDE w:val="0"/>
              <w:autoSpaceDN w:val="0"/>
              <w:adjustRightInd w:val="0"/>
              <w:spacing w:line="240" w:lineRule="auto"/>
              <w:ind w:left="102"/>
              <w:jc w:val="center"/>
            </w:pPr>
            <w:r>
              <w:t>42,8%</w:t>
            </w:r>
          </w:p>
        </w:tc>
        <w:tc>
          <w:tcPr>
            <w:tcW w:w="1547" w:type="dxa"/>
            <w:tcBorders>
              <w:top w:val="single" w:sz="4" w:space="0" w:color="000000"/>
              <w:left w:val="single" w:sz="4" w:space="0" w:color="000000"/>
              <w:bottom w:val="single" w:sz="4" w:space="0" w:color="000000"/>
              <w:right w:val="single" w:sz="4" w:space="0" w:color="000000"/>
            </w:tcBorders>
          </w:tcPr>
          <w:p w14:paraId="6C755AAF" w14:textId="77777777" w:rsidR="00C04CAD" w:rsidRDefault="00060E34">
            <w:pPr>
              <w:tabs>
                <w:tab w:val="clear" w:pos="567"/>
              </w:tabs>
              <w:kinsoku w:val="0"/>
              <w:overflowPunct w:val="0"/>
              <w:autoSpaceDE w:val="0"/>
              <w:autoSpaceDN w:val="0"/>
              <w:adjustRightInd w:val="0"/>
              <w:spacing w:line="240" w:lineRule="auto"/>
              <w:ind w:left="102"/>
              <w:jc w:val="center"/>
            </w:pPr>
            <w:r>
              <w:t>36,9%</w:t>
            </w:r>
          </w:p>
        </w:tc>
        <w:tc>
          <w:tcPr>
            <w:tcW w:w="1679" w:type="dxa"/>
            <w:tcBorders>
              <w:top w:val="single" w:sz="4" w:space="0" w:color="000000"/>
              <w:left w:val="single" w:sz="4" w:space="0" w:color="000000"/>
              <w:bottom w:val="single" w:sz="4" w:space="0" w:color="000000"/>
              <w:right w:val="single" w:sz="4" w:space="0" w:color="000000"/>
            </w:tcBorders>
          </w:tcPr>
          <w:p w14:paraId="6D24D60B"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59,0%</w:t>
            </w:r>
          </w:p>
        </w:tc>
        <w:tc>
          <w:tcPr>
            <w:tcW w:w="1080" w:type="dxa"/>
            <w:tcBorders>
              <w:top w:val="single" w:sz="4" w:space="0" w:color="000000"/>
              <w:left w:val="single" w:sz="4" w:space="0" w:color="000000"/>
              <w:bottom w:val="single" w:sz="4" w:space="0" w:color="000000"/>
              <w:right w:val="single" w:sz="4" w:space="0" w:color="000000"/>
            </w:tcBorders>
          </w:tcPr>
          <w:p w14:paraId="3934688C"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000000"/>
              <w:right w:val="single" w:sz="4" w:space="0" w:color="000000"/>
            </w:tcBorders>
          </w:tcPr>
          <w:p w14:paraId="2A9B82C6"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2AF4BD73" w14:textId="77777777" w:rsidR="00C04CAD" w:rsidRDefault="00060E34">
            <w:pPr>
              <w:tabs>
                <w:tab w:val="clear" w:pos="567"/>
              </w:tabs>
              <w:kinsoku w:val="0"/>
              <w:overflowPunct w:val="0"/>
              <w:autoSpaceDE w:val="0"/>
              <w:autoSpaceDN w:val="0"/>
              <w:adjustRightInd w:val="0"/>
              <w:spacing w:line="240" w:lineRule="auto"/>
              <w:ind w:left="99"/>
              <w:jc w:val="center"/>
            </w:pPr>
            <w:r>
              <w:t>0,162</w:t>
            </w:r>
          </w:p>
        </w:tc>
      </w:tr>
      <w:tr w:rsidR="00C04CAD" w14:paraId="6CA5E0C7" w14:textId="77777777">
        <w:trPr>
          <w:trHeight w:hRule="exact" w:val="264"/>
        </w:trPr>
        <w:tc>
          <w:tcPr>
            <w:tcW w:w="1833" w:type="dxa"/>
            <w:tcBorders>
              <w:top w:val="single" w:sz="4" w:space="0" w:color="000000"/>
              <w:left w:val="single" w:sz="4" w:space="0" w:color="000000"/>
              <w:bottom w:val="single" w:sz="4" w:space="0" w:color="auto"/>
            </w:tcBorders>
          </w:tcPr>
          <w:p w14:paraId="5407BCF0" w14:textId="77777777" w:rsidR="00C04CAD" w:rsidRDefault="00060E34">
            <w:pPr>
              <w:tabs>
                <w:tab w:val="clear" w:pos="567"/>
              </w:tabs>
              <w:kinsoku w:val="0"/>
              <w:overflowPunct w:val="0"/>
              <w:autoSpaceDE w:val="0"/>
              <w:autoSpaceDN w:val="0"/>
              <w:adjustRightInd w:val="0"/>
              <w:spacing w:line="240" w:lineRule="auto"/>
              <w:ind w:left="102"/>
            </w:pPr>
            <w:r>
              <w:rPr>
                <w:spacing w:val="-1"/>
              </w:rPr>
              <w:t>AC</w:t>
            </w:r>
            <w:r>
              <w:t>R</w:t>
            </w:r>
            <w:r>
              <w:rPr>
                <w:spacing w:val="-1"/>
              </w:rPr>
              <w:t xml:space="preserve"> </w:t>
            </w:r>
            <w:r>
              <w:t>70</w:t>
            </w:r>
          </w:p>
        </w:tc>
        <w:tc>
          <w:tcPr>
            <w:tcW w:w="1005" w:type="dxa"/>
            <w:tcBorders>
              <w:top w:val="single" w:sz="4" w:space="0" w:color="000000"/>
              <w:bottom w:val="single" w:sz="4" w:space="0" w:color="auto"/>
            </w:tcBorders>
          </w:tcPr>
          <w:p w14:paraId="47E82C29" w14:textId="77777777" w:rsidR="00C04CAD" w:rsidRDefault="00C04CAD">
            <w:pPr>
              <w:tabs>
                <w:tab w:val="clear" w:pos="567"/>
              </w:tabs>
              <w:autoSpaceDE w:val="0"/>
              <w:autoSpaceDN w:val="0"/>
              <w:adjustRightInd w:val="0"/>
              <w:spacing w:line="240" w:lineRule="auto"/>
              <w:jc w:val="center"/>
            </w:pPr>
          </w:p>
        </w:tc>
        <w:tc>
          <w:tcPr>
            <w:tcW w:w="1547" w:type="dxa"/>
            <w:tcBorders>
              <w:top w:val="single" w:sz="4" w:space="0" w:color="000000"/>
              <w:bottom w:val="single" w:sz="4" w:space="0" w:color="auto"/>
            </w:tcBorders>
          </w:tcPr>
          <w:p w14:paraId="30F30D18" w14:textId="77777777" w:rsidR="00C04CAD" w:rsidRDefault="00C04CAD">
            <w:pPr>
              <w:tabs>
                <w:tab w:val="clear" w:pos="567"/>
              </w:tabs>
              <w:autoSpaceDE w:val="0"/>
              <w:autoSpaceDN w:val="0"/>
              <w:adjustRightInd w:val="0"/>
              <w:spacing w:line="240" w:lineRule="auto"/>
              <w:jc w:val="center"/>
            </w:pPr>
          </w:p>
        </w:tc>
        <w:tc>
          <w:tcPr>
            <w:tcW w:w="1679" w:type="dxa"/>
            <w:tcBorders>
              <w:top w:val="single" w:sz="4" w:space="0" w:color="000000"/>
              <w:bottom w:val="single" w:sz="4" w:space="0" w:color="auto"/>
            </w:tcBorders>
          </w:tcPr>
          <w:p w14:paraId="774A1048" w14:textId="77777777" w:rsidR="00C04CAD" w:rsidRDefault="00C04CAD">
            <w:pPr>
              <w:tabs>
                <w:tab w:val="clear" w:pos="567"/>
              </w:tabs>
              <w:autoSpaceDE w:val="0"/>
              <w:autoSpaceDN w:val="0"/>
              <w:adjustRightInd w:val="0"/>
              <w:spacing w:line="240" w:lineRule="auto"/>
              <w:jc w:val="center"/>
              <w:rPr>
                <w:szCs w:val="22"/>
              </w:rPr>
            </w:pPr>
          </w:p>
        </w:tc>
        <w:tc>
          <w:tcPr>
            <w:tcW w:w="1080" w:type="dxa"/>
            <w:tcBorders>
              <w:top w:val="single" w:sz="4" w:space="0" w:color="000000"/>
              <w:bottom w:val="single" w:sz="4" w:space="0" w:color="auto"/>
            </w:tcBorders>
          </w:tcPr>
          <w:p w14:paraId="6F5F8DB1" w14:textId="77777777" w:rsidR="00C04CAD" w:rsidRDefault="00C04CAD">
            <w:pPr>
              <w:tabs>
                <w:tab w:val="clear" w:pos="567"/>
              </w:tabs>
              <w:autoSpaceDE w:val="0"/>
              <w:autoSpaceDN w:val="0"/>
              <w:adjustRightInd w:val="0"/>
              <w:spacing w:line="240" w:lineRule="auto"/>
              <w:jc w:val="center"/>
            </w:pPr>
          </w:p>
        </w:tc>
        <w:tc>
          <w:tcPr>
            <w:tcW w:w="1164" w:type="dxa"/>
            <w:tcBorders>
              <w:top w:val="single" w:sz="4" w:space="0" w:color="000000"/>
              <w:bottom w:val="single" w:sz="4" w:space="0" w:color="auto"/>
            </w:tcBorders>
          </w:tcPr>
          <w:p w14:paraId="3FCBC31A" w14:textId="77777777" w:rsidR="00C04CAD" w:rsidRDefault="00C04CAD">
            <w:pPr>
              <w:tabs>
                <w:tab w:val="clear" w:pos="567"/>
              </w:tabs>
              <w:autoSpaceDE w:val="0"/>
              <w:autoSpaceDN w:val="0"/>
              <w:adjustRightInd w:val="0"/>
              <w:spacing w:line="240" w:lineRule="auto"/>
              <w:jc w:val="center"/>
            </w:pPr>
          </w:p>
        </w:tc>
        <w:tc>
          <w:tcPr>
            <w:tcW w:w="977" w:type="dxa"/>
            <w:tcBorders>
              <w:top w:val="single" w:sz="4" w:space="0" w:color="000000"/>
              <w:bottom w:val="single" w:sz="4" w:space="0" w:color="auto"/>
              <w:right w:val="single" w:sz="4" w:space="0" w:color="000000"/>
            </w:tcBorders>
          </w:tcPr>
          <w:p w14:paraId="07088368" w14:textId="77777777" w:rsidR="00C04CAD" w:rsidRDefault="00C04CAD">
            <w:pPr>
              <w:tabs>
                <w:tab w:val="clear" w:pos="567"/>
              </w:tabs>
              <w:autoSpaceDE w:val="0"/>
              <w:autoSpaceDN w:val="0"/>
              <w:adjustRightInd w:val="0"/>
              <w:spacing w:line="240" w:lineRule="auto"/>
              <w:jc w:val="center"/>
            </w:pPr>
          </w:p>
        </w:tc>
      </w:tr>
      <w:tr w:rsidR="00C04CAD" w14:paraId="5228668B" w14:textId="77777777">
        <w:trPr>
          <w:trHeight w:hRule="exact" w:val="264"/>
        </w:trPr>
        <w:tc>
          <w:tcPr>
            <w:tcW w:w="1833" w:type="dxa"/>
            <w:tcBorders>
              <w:top w:val="single" w:sz="4" w:space="0" w:color="auto"/>
              <w:left w:val="single" w:sz="4" w:space="0" w:color="auto"/>
              <w:bottom w:val="single" w:sz="4" w:space="0" w:color="000000"/>
              <w:right w:val="single" w:sz="4" w:space="0" w:color="000000"/>
            </w:tcBorders>
          </w:tcPr>
          <w:p w14:paraId="32AD34BF"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52</w:t>
            </w:r>
          </w:p>
        </w:tc>
        <w:tc>
          <w:tcPr>
            <w:tcW w:w="1005" w:type="dxa"/>
            <w:tcBorders>
              <w:top w:val="single" w:sz="4" w:space="0" w:color="auto"/>
              <w:left w:val="single" w:sz="4" w:space="0" w:color="000000"/>
              <w:bottom w:val="single" w:sz="4" w:space="0" w:color="000000"/>
              <w:right w:val="single" w:sz="4" w:space="0" w:color="000000"/>
            </w:tcBorders>
          </w:tcPr>
          <w:p w14:paraId="39CD4001" w14:textId="77777777" w:rsidR="00C04CAD" w:rsidRDefault="00060E34">
            <w:pPr>
              <w:tabs>
                <w:tab w:val="clear" w:pos="567"/>
              </w:tabs>
              <w:kinsoku w:val="0"/>
              <w:overflowPunct w:val="0"/>
              <w:autoSpaceDE w:val="0"/>
              <w:autoSpaceDN w:val="0"/>
              <w:adjustRightInd w:val="0"/>
              <w:spacing w:line="240" w:lineRule="auto"/>
              <w:ind w:left="102"/>
              <w:jc w:val="center"/>
            </w:pPr>
            <w:r>
              <w:t>27,2%</w:t>
            </w:r>
          </w:p>
        </w:tc>
        <w:tc>
          <w:tcPr>
            <w:tcW w:w="1547" w:type="dxa"/>
            <w:tcBorders>
              <w:top w:val="single" w:sz="4" w:space="0" w:color="auto"/>
              <w:left w:val="single" w:sz="4" w:space="0" w:color="000000"/>
              <w:bottom w:val="single" w:sz="4" w:space="0" w:color="000000"/>
              <w:right w:val="single" w:sz="4" w:space="0" w:color="000000"/>
            </w:tcBorders>
          </w:tcPr>
          <w:p w14:paraId="121D3E2F" w14:textId="77777777" w:rsidR="00C04CAD" w:rsidRDefault="00060E34">
            <w:pPr>
              <w:tabs>
                <w:tab w:val="clear" w:pos="567"/>
              </w:tabs>
              <w:kinsoku w:val="0"/>
              <w:overflowPunct w:val="0"/>
              <w:autoSpaceDE w:val="0"/>
              <w:autoSpaceDN w:val="0"/>
              <w:adjustRightInd w:val="0"/>
              <w:spacing w:line="240" w:lineRule="auto"/>
              <w:ind w:left="102"/>
              <w:jc w:val="center"/>
            </w:pPr>
            <w:r>
              <w:t>25,9%</w:t>
            </w:r>
          </w:p>
        </w:tc>
        <w:tc>
          <w:tcPr>
            <w:tcW w:w="1679" w:type="dxa"/>
            <w:tcBorders>
              <w:top w:val="single" w:sz="4" w:space="0" w:color="auto"/>
              <w:left w:val="single" w:sz="4" w:space="0" w:color="000000"/>
              <w:bottom w:val="single" w:sz="4" w:space="0" w:color="000000"/>
              <w:right w:val="single" w:sz="4" w:space="0" w:color="000000"/>
            </w:tcBorders>
          </w:tcPr>
          <w:p w14:paraId="06E7400F"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45,5%</w:t>
            </w:r>
          </w:p>
        </w:tc>
        <w:tc>
          <w:tcPr>
            <w:tcW w:w="1080" w:type="dxa"/>
            <w:tcBorders>
              <w:top w:val="single" w:sz="4" w:space="0" w:color="auto"/>
              <w:left w:val="single" w:sz="4" w:space="0" w:color="000000"/>
              <w:bottom w:val="single" w:sz="4" w:space="0" w:color="000000"/>
              <w:right w:val="single" w:sz="4" w:space="0" w:color="000000"/>
            </w:tcBorders>
          </w:tcPr>
          <w:p w14:paraId="70912EA7"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auto"/>
              <w:left w:val="single" w:sz="4" w:space="0" w:color="000000"/>
              <w:bottom w:val="single" w:sz="4" w:space="0" w:color="000000"/>
              <w:right w:val="single" w:sz="4" w:space="0" w:color="000000"/>
            </w:tcBorders>
          </w:tcPr>
          <w:p w14:paraId="0CB7A725"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auto"/>
              <w:left w:val="single" w:sz="4" w:space="0" w:color="000000"/>
              <w:bottom w:val="single" w:sz="4" w:space="0" w:color="000000"/>
              <w:right w:val="single" w:sz="4" w:space="0" w:color="auto"/>
            </w:tcBorders>
          </w:tcPr>
          <w:p w14:paraId="7C93EE42" w14:textId="77777777" w:rsidR="00C04CAD" w:rsidRDefault="00060E34">
            <w:pPr>
              <w:tabs>
                <w:tab w:val="clear" w:pos="567"/>
              </w:tabs>
              <w:kinsoku w:val="0"/>
              <w:overflowPunct w:val="0"/>
              <w:autoSpaceDE w:val="0"/>
              <w:autoSpaceDN w:val="0"/>
              <w:adjustRightInd w:val="0"/>
              <w:spacing w:line="240" w:lineRule="auto"/>
              <w:ind w:left="99"/>
              <w:jc w:val="center"/>
            </w:pPr>
            <w:r>
              <w:t>0,656</w:t>
            </w:r>
          </w:p>
        </w:tc>
      </w:tr>
      <w:tr w:rsidR="00C04CAD" w14:paraId="562CEDCF" w14:textId="77777777">
        <w:trPr>
          <w:trHeight w:hRule="exact" w:val="262"/>
        </w:trPr>
        <w:tc>
          <w:tcPr>
            <w:tcW w:w="1833" w:type="dxa"/>
            <w:tcBorders>
              <w:top w:val="single" w:sz="4" w:space="0" w:color="000000"/>
              <w:left w:val="single" w:sz="4" w:space="0" w:color="auto"/>
              <w:bottom w:val="single" w:sz="4" w:space="0" w:color="auto"/>
              <w:right w:val="single" w:sz="4" w:space="0" w:color="000000"/>
            </w:tcBorders>
          </w:tcPr>
          <w:p w14:paraId="72F2B30B" w14:textId="77777777" w:rsidR="00C04CAD" w:rsidRDefault="00060E34">
            <w:pPr>
              <w:tabs>
                <w:tab w:val="clear" w:pos="567"/>
              </w:tabs>
              <w:kinsoku w:val="0"/>
              <w:overflowPunct w:val="0"/>
              <w:autoSpaceDE w:val="0"/>
              <w:autoSpaceDN w:val="0"/>
              <w:adjustRightInd w:val="0"/>
              <w:spacing w:line="240" w:lineRule="auto"/>
              <w:ind w:left="102"/>
              <w:jc w:val="center"/>
            </w:pPr>
            <w:r>
              <w:rPr>
                <w:spacing w:val="-1"/>
              </w:rPr>
              <w:t>S</w:t>
            </w:r>
            <w:r>
              <w:t>ăp</w:t>
            </w:r>
            <w:r>
              <w:rPr>
                <w:spacing w:val="1"/>
              </w:rPr>
              <w:t>t</w:t>
            </w:r>
            <w:r>
              <w:t>ă</w:t>
            </w:r>
            <w:r>
              <w:rPr>
                <w:spacing w:val="-4"/>
              </w:rPr>
              <w:t>m</w:t>
            </w:r>
            <w:r>
              <w:t>âna 104</w:t>
            </w:r>
          </w:p>
        </w:tc>
        <w:tc>
          <w:tcPr>
            <w:tcW w:w="1005" w:type="dxa"/>
            <w:tcBorders>
              <w:top w:val="single" w:sz="4" w:space="0" w:color="000000"/>
              <w:left w:val="single" w:sz="4" w:space="0" w:color="000000"/>
              <w:bottom w:val="single" w:sz="4" w:space="0" w:color="auto"/>
              <w:right w:val="single" w:sz="4" w:space="0" w:color="000000"/>
            </w:tcBorders>
          </w:tcPr>
          <w:p w14:paraId="63CB90F3" w14:textId="77777777" w:rsidR="00C04CAD" w:rsidRDefault="00060E34">
            <w:pPr>
              <w:tabs>
                <w:tab w:val="clear" w:pos="567"/>
              </w:tabs>
              <w:kinsoku w:val="0"/>
              <w:overflowPunct w:val="0"/>
              <w:autoSpaceDE w:val="0"/>
              <w:autoSpaceDN w:val="0"/>
              <w:adjustRightInd w:val="0"/>
              <w:spacing w:line="240" w:lineRule="auto"/>
              <w:ind w:left="102"/>
              <w:jc w:val="center"/>
            </w:pPr>
            <w:r>
              <w:t>28,4%</w:t>
            </w:r>
          </w:p>
        </w:tc>
        <w:tc>
          <w:tcPr>
            <w:tcW w:w="1547" w:type="dxa"/>
            <w:tcBorders>
              <w:top w:val="single" w:sz="4" w:space="0" w:color="000000"/>
              <w:left w:val="single" w:sz="4" w:space="0" w:color="000000"/>
              <w:bottom w:val="single" w:sz="4" w:space="0" w:color="auto"/>
              <w:right w:val="single" w:sz="4" w:space="0" w:color="000000"/>
            </w:tcBorders>
          </w:tcPr>
          <w:p w14:paraId="1384A01C" w14:textId="77777777" w:rsidR="00C04CAD" w:rsidRDefault="00060E34">
            <w:pPr>
              <w:tabs>
                <w:tab w:val="clear" w:pos="567"/>
              </w:tabs>
              <w:kinsoku w:val="0"/>
              <w:overflowPunct w:val="0"/>
              <w:autoSpaceDE w:val="0"/>
              <w:autoSpaceDN w:val="0"/>
              <w:adjustRightInd w:val="0"/>
              <w:spacing w:line="240" w:lineRule="auto"/>
              <w:ind w:left="102"/>
              <w:jc w:val="center"/>
            </w:pPr>
            <w:r>
              <w:t>28,1%</w:t>
            </w:r>
          </w:p>
        </w:tc>
        <w:tc>
          <w:tcPr>
            <w:tcW w:w="1679" w:type="dxa"/>
            <w:tcBorders>
              <w:top w:val="single" w:sz="4" w:space="0" w:color="000000"/>
              <w:left w:val="single" w:sz="4" w:space="0" w:color="000000"/>
              <w:bottom w:val="single" w:sz="4" w:space="0" w:color="auto"/>
              <w:right w:val="single" w:sz="4" w:space="0" w:color="000000"/>
            </w:tcBorders>
          </w:tcPr>
          <w:p w14:paraId="61FEFFE0"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46,6%</w:t>
            </w:r>
          </w:p>
        </w:tc>
        <w:tc>
          <w:tcPr>
            <w:tcW w:w="1080" w:type="dxa"/>
            <w:tcBorders>
              <w:top w:val="single" w:sz="4" w:space="0" w:color="000000"/>
              <w:left w:val="single" w:sz="4" w:space="0" w:color="000000"/>
              <w:bottom w:val="single" w:sz="4" w:space="0" w:color="auto"/>
              <w:right w:val="single" w:sz="4" w:space="0" w:color="000000"/>
            </w:tcBorders>
          </w:tcPr>
          <w:p w14:paraId="0EAB2CF0"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auto"/>
              <w:right w:val="single" w:sz="4" w:space="0" w:color="000000"/>
            </w:tcBorders>
          </w:tcPr>
          <w:p w14:paraId="57E7B0A1"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auto"/>
              <w:right w:val="single" w:sz="4" w:space="0" w:color="auto"/>
            </w:tcBorders>
          </w:tcPr>
          <w:p w14:paraId="6E6FE83A" w14:textId="77777777" w:rsidR="00C04CAD" w:rsidRDefault="00060E34">
            <w:pPr>
              <w:tabs>
                <w:tab w:val="clear" w:pos="567"/>
              </w:tabs>
              <w:kinsoku w:val="0"/>
              <w:overflowPunct w:val="0"/>
              <w:autoSpaceDE w:val="0"/>
              <w:autoSpaceDN w:val="0"/>
              <w:adjustRightInd w:val="0"/>
              <w:spacing w:line="240" w:lineRule="auto"/>
              <w:ind w:left="99"/>
              <w:jc w:val="center"/>
            </w:pPr>
            <w:r>
              <w:t>0,864</w:t>
            </w:r>
          </w:p>
        </w:tc>
      </w:tr>
      <w:tr w:rsidR="00C04CAD" w14:paraId="7F8EE3CB" w14:textId="77777777">
        <w:trPr>
          <w:trHeight w:hRule="exact" w:val="1423"/>
        </w:trPr>
        <w:tc>
          <w:tcPr>
            <w:tcW w:w="9285" w:type="dxa"/>
            <w:gridSpan w:val="7"/>
            <w:tcBorders>
              <w:top w:val="single" w:sz="4" w:space="0" w:color="auto"/>
            </w:tcBorders>
          </w:tcPr>
          <w:p w14:paraId="14ABF80B" w14:textId="77777777" w:rsidR="00C04CAD" w:rsidRDefault="00060E34">
            <w:pPr>
              <w:numPr>
                <w:ilvl w:val="0"/>
                <w:numId w:val="13"/>
              </w:numPr>
              <w:tabs>
                <w:tab w:val="clear" w:pos="567"/>
                <w:tab w:val="left" w:pos="236"/>
              </w:tabs>
              <w:kinsoku w:val="0"/>
              <w:overflowPunct w:val="0"/>
              <w:autoSpaceDE w:val="0"/>
              <w:autoSpaceDN w:val="0"/>
              <w:adjustRightInd w:val="0"/>
              <w:spacing w:line="240" w:lineRule="auto"/>
              <w:ind w:left="227" w:hanging="227"/>
              <w:rPr>
                <w:sz w:val="20"/>
              </w:rPr>
            </w:pPr>
            <w:r>
              <w:rPr>
                <w:spacing w:val="-3"/>
                <w:sz w:val="20"/>
              </w:rPr>
              <w:t>v</w:t>
            </w:r>
            <w:r>
              <w:rPr>
                <w:sz w:val="20"/>
              </w:rPr>
              <w:t>a</w:t>
            </w:r>
            <w:r>
              <w:rPr>
                <w:spacing w:val="1"/>
                <w:sz w:val="20"/>
              </w:rPr>
              <w:t>l</w:t>
            </w:r>
            <w:r>
              <w:rPr>
                <w:sz w:val="20"/>
              </w:rPr>
              <w:t>o</w:t>
            </w:r>
            <w:r>
              <w:rPr>
                <w:spacing w:val="-3"/>
                <w:sz w:val="20"/>
              </w:rPr>
              <w:t>a</w:t>
            </w:r>
            <w:r>
              <w:rPr>
                <w:sz w:val="20"/>
              </w:rPr>
              <w:t>r</w:t>
            </w:r>
            <w:r>
              <w:rPr>
                <w:spacing w:val="-3"/>
                <w:sz w:val="20"/>
              </w:rPr>
              <w:t>e</w:t>
            </w:r>
            <w:r>
              <w:rPr>
                <w:sz w:val="20"/>
              </w:rPr>
              <w:t>a p e</w:t>
            </w:r>
            <w:r>
              <w:rPr>
                <w:spacing w:val="-2"/>
                <w:sz w:val="20"/>
              </w:rPr>
              <w:t>s</w:t>
            </w:r>
            <w:r>
              <w:rPr>
                <w:spacing w:val="1"/>
                <w:sz w:val="20"/>
              </w:rPr>
              <w:t>t</w:t>
            </w:r>
            <w:r>
              <w:rPr>
                <w:sz w:val="20"/>
              </w:rPr>
              <w:t>e</w:t>
            </w:r>
            <w:r>
              <w:rPr>
                <w:spacing w:val="-2"/>
                <w:sz w:val="20"/>
              </w:rPr>
              <w:t xml:space="preserve"> </w:t>
            </w:r>
            <w:r>
              <w:rPr>
                <w:sz w:val="20"/>
              </w:rPr>
              <w:t>ob</w:t>
            </w:r>
            <w:r>
              <w:rPr>
                <w:spacing w:val="-2"/>
                <w:sz w:val="20"/>
              </w:rPr>
              <w:t>ţ</w:t>
            </w:r>
            <w:r>
              <w:rPr>
                <w:spacing w:val="1"/>
                <w:sz w:val="20"/>
              </w:rPr>
              <w:t>i</w:t>
            </w:r>
            <w:r>
              <w:rPr>
                <w:sz w:val="20"/>
              </w:rPr>
              <w:t>n</w:t>
            </w:r>
            <w:r>
              <w:rPr>
                <w:spacing w:val="-3"/>
                <w:sz w:val="20"/>
              </w:rPr>
              <w:t>u</w:t>
            </w:r>
            <w:r>
              <w:rPr>
                <w:spacing w:val="1"/>
                <w:sz w:val="20"/>
              </w:rPr>
              <w:t>t</w:t>
            </w:r>
            <w:r>
              <w:rPr>
                <w:sz w:val="20"/>
              </w:rPr>
              <w:t xml:space="preserve">ă </w:t>
            </w:r>
            <w:r>
              <w:rPr>
                <w:spacing w:val="-3"/>
                <w:sz w:val="20"/>
              </w:rPr>
              <w:t>p</w:t>
            </w:r>
            <w:r>
              <w:rPr>
                <w:spacing w:val="-2"/>
                <w:sz w:val="20"/>
              </w:rPr>
              <w:t>r</w:t>
            </w:r>
            <w:r>
              <w:rPr>
                <w:spacing w:val="1"/>
                <w:sz w:val="20"/>
              </w:rPr>
              <w:t>i</w:t>
            </w:r>
            <w:r>
              <w:rPr>
                <w:sz w:val="20"/>
              </w:rPr>
              <w:t>n co</w:t>
            </w:r>
            <w:r>
              <w:rPr>
                <w:spacing w:val="-4"/>
                <w:sz w:val="20"/>
              </w:rPr>
              <w:t>m</w:t>
            </w:r>
            <w:r>
              <w:rPr>
                <w:sz w:val="20"/>
              </w:rPr>
              <w:t>par</w:t>
            </w:r>
            <w:r>
              <w:rPr>
                <w:spacing w:val="-3"/>
                <w:sz w:val="20"/>
              </w:rPr>
              <w:t>a</w:t>
            </w:r>
            <w:r>
              <w:rPr>
                <w:sz w:val="20"/>
              </w:rPr>
              <w:t>rea</w:t>
            </w:r>
            <w:r>
              <w:rPr>
                <w:spacing w:val="-2"/>
                <w:sz w:val="20"/>
              </w:rPr>
              <w:t xml:space="preserve"> </w:t>
            </w:r>
            <w:r>
              <w:rPr>
                <w:sz w:val="20"/>
              </w:rPr>
              <w:t>pe</w:t>
            </w:r>
            <w:r>
              <w:rPr>
                <w:spacing w:val="-2"/>
                <w:sz w:val="20"/>
              </w:rPr>
              <w:t>r</w:t>
            </w:r>
            <w:r>
              <w:rPr>
                <w:sz w:val="20"/>
              </w:rPr>
              <w:t>ec</w:t>
            </w:r>
            <w:r>
              <w:rPr>
                <w:spacing w:val="-3"/>
                <w:sz w:val="20"/>
              </w:rPr>
              <w:t>h</w:t>
            </w:r>
            <w:r>
              <w:rPr>
                <w:spacing w:val="1"/>
                <w:sz w:val="20"/>
              </w:rPr>
              <w:t>il</w:t>
            </w:r>
            <w:r>
              <w:rPr>
                <w:spacing w:val="-3"/>
                <w:sz w:val="20"/>
              </w:rPr>
              <w:t>o</w:t>
            </w:r>
            <w:r>
              <w:rPr>
                <w:sz w:val="20"/>
              </w:rPr>
              <w:t>r</w:t>
            </w:r>
            <w:r>
              <w:rPr>
                <w:spacing w:val="1"/>
                <w:sz w:val="20"/>
              </w:rPr>
              <w:t xml:space="preserve"> </w:t>
            </w:r>
            <w:r>
              <w:rPr>
                <w:spacing w:val="-4"/>
                <w:sz w:val="20"/>
              </w:rPr>
              <w:t>m</w:t>
            </w:r>
            <w:r>
              <w:rPr>
                <w:sz w:val="20"/>
              </w:rPr>
              <w:t>e</w:t>
            </w:r>
            <w:r>
              <w:rPr>
                <w:spacing w:val="1"/>
                <w:sz w:val="20"/>
              </w:rPr>
              <w:t>t</w:t>
            </w:r>
            <w:r>
              <w:rPr>
                <w:spacing w:val="-3"/>
                <w:sz w:val="20"/>
              </w:rPr>
              <w:t>o</w:t>
            </w:r>
            <w:r>
              <w:rPr>
                <w:spacing w:val="1"/>
                <w:sz w:val="20"/>
              </w:rPr>
              <w:t>t</w:t>
            </w:r>
            <w:r>
              <w:rPr>
                <w:sz w:val="20"/>
              </w:rPr>
              <w:t>re</w:t>
            </w:r>
            <w:r>
              <w:rPr>
                <w:spacing w:val="-3"/>
                <w:sz w:val="20"/>
              </w:rPr>
              <w:t>x</w:t>
            </w:r>
            <w:r>
              <w:rPr>
                <w:sz w:val="20"/>
              </w:rPr>
              <w:t>at</w:t>
            </w:r>
            <w:r>
              <w:rPr>
                <w:spacing w:val="1"/>
                <w:sz w:val="20"/>
              </w:rPr>
              <w:t xml:space="preserve"> </w:t>
            </w:r>
            <w:r>
              <w:rPr>
                <w:spacing w:val="-4"/>
                <w:sz w:val="20"/>
              </w:rPr>
              <w:t>m</w:t>
            </w:r>
            <w:r>
              <w:rPr>
                <w:sz w:val="20"/>
              </w:rPr>
              <w:t>ono</w:t>
            </w:r>
            <w:r>
              <w:rPr>
                <w:spacing w:val="1"/>
                <w:sz w:val="20"/>
              </w:rPr>
              <w:t>t</w:t>
            </w:r>
            <w:r>
              <w:rPr>
                <w:spacing w:val="-3"/>
                <w:sz w:val="20"/>
              </w:rPr>
              <w:t>e</w:t>
            </w:r>
            <w:r>
              <w:rPr>
                <w:sz w:val="20"/>
              </w:rPr>
              <w:t>ra</w:t>
            </w:r>
            <w:r>
              <w:rPr>
                <w:spacing w:val="-3"/>
                <w:sz w:val="20"/>
              </w:rPr>
              <w:t>p</w:t>
            </w:r>
            <w:r>
              <w:rPr>
                <w:spacing w:val="1"/>
                <w:sz w:val="20"/>
              </w:rPr>
              <w:t>i</w:t>
            </w:r>
            <w:r>
              <w:rPr>
                <w:sz w:val="20"/>
              </w:rPr>
              <w:t>e</w:t>
            </w:r>
            <w:r>
              <w:rPr>
                <w:spacing w:val="-2"/>
                <w:sz w:val="20"/>
              </w:rPr>
              <w:t xml:space="preserve"> </w:t>
            </w:r>
            <w:r>
              <w:rPr>
                <w:sz w:val="20"/>
              </w:rPr>
              <w:t>şi</w:t>
            </w:r>
            <w:r>
              <w:rPr>
                <w:spacing w:val="-2"/>
                <w:sz w:val="20"/>
              </w:rPr>
              <w:t xml:space="preserve"> </w:t>
            </w:r>
            <w:r>
              <w:rPr>
                <w:sz w:val="20"/>
              </w:rPr>
              <w:t>c</w:t>
            </w:r>
            <w:r>
              <w:rPr>
                <w:spacing w:val="-3"/>
                <w:sz w:val="20"/>
              </w:rPr>
              <w:t>o</w:t>
            </w:r>
            <w:r>
              <w:rPr>
                <w:spacing w:val="-4"/>
                <w:sz w:val="20"/>
              </w:rPr>
              <w:t>m</w:t>
            </w:r>
            <w:r>
              <w:rPr>
                <w:sz w:val="20"/>
              </w:rPr>
              <w:t>b</w:t>
            </w:r>
            <w:r>
              <w:rPr>
                <w:spacing w:val="1"/>
                <w:sz w:val="20"/>
              </w:rPr>
              <w:t>i</w:t>
            </w:r>
            <w:r>
              <w:rPr>
                <w:sz w:val="20"/>
              </w:rPr>
              <w:t>na</w:t>
            </w:r>
            <w:r>
              <w:rPr>
                <w:spacing w:val="1"/>
                <w:sz w:val="20"/>
              </w:rPr>
              <w:t>ţi</w:t>
            </w:r>
            <w:r>
              <w:rPr>
                <w:sz w:val="20"/>
              </w:rPr>
              <w:t xml:space="preserve">a </w:t>
            </w:r>
            <w:r>
              <w:rPr>
                <w:rFonts w:eastAsia="MS Mincho"/>
                <w:spacing w:val="-1"/>
                <w:sz w:val="20"/>
                <w:lang w:eastAsia="en-US" w:bidi="ar-SA"/>
              </w:rPr>
              <w:t>adalimumab</w:t>
            </w:r>
            <w:r>
              <w:rPr>
                <w:spacing w:val="1"/>
                <w:sz w:val="20"/>
              </w:rPr>
              <w:t>/</w:t>
            </w:r>
            <w:r>
              <w:rPr>
                <w:spacing w:val="-4"/>
                <w:sz w:val="20"/>
              </w:rPr>
              <w:t>m</w:t>
            </w:r>
            <w:r>
              <w:rPr>
                <w:sz w:val="20"/>
              </w:rPr>
              <w:t>e</w:t>
            </w:r>
            <w:r>
              <w:rPr>
                <w:spacing w:val="1"/>
                <w:sz w:val="20"/>
              </w:rPr>
              <w:t>t</w:t>
            </w:r>
            <w:r>
              <w:rPr>
                <w:sz w:val="20"/>
              </w:rPr>
              <w:t>o</w:t>
            </w:r>
            <w:r>
              <w:rPr>
                <w:spacing w:val="1"/>
                <w:sz w:val="20"/>
              </w:rPr>
              <w:t>t</w:t>
            </w:r>
            <w:r>
              <w:rPr>
                <w:spacing w:val="-2"/>
                <w:sz w:val="20"/>
              </w:rPr>
              <w:t>r</w:t>
            </w:r>
            <w:r>
              <w:rPr>
                <w:sz w:val="20"/>
              </w:rPr>
              <w:t>ex</w:t>
            </w:r>
            <w:r>
              <w:rPr>
                <w:spacing w:val="-3"/>
                <w:sz w:val="20"/>
              </w:rPr>
              <w:t>a</w:t>
            </w:r>
            <w:r>
              <w:rPr>
                <w:spacing w:val="1"/>
                <w:sz w:val="20"/>
              </w:rPr>
              <w:t>t</w:t>
            </w:r>
            <w:r>
              <w:rPr>
                <w:sz w:val="20"/>
              </w:rPr>
              <w:t>, f</w:t>
            </w:r>
            <w:r>
              <w:rPr>
                <w:spacing w:val="-3"/>
                <w:sz w:val="20"/>
              </w:rPr>
              <w:t>o</w:t>
            </w:r>
            <w:r>
              <w:rPr>
                <w:spacing w:val="1"/>
                <w:sz w:val="20"/>
              </w:rPr>
              <w:t>l</w:t>
            </w:r>
            <w:r>
              <w:rPr>
                <w:spacing w:val="-1"/>
                <w:sz w:val="20"/>
              </w:rPr>
              <w:t>o</w:t>
            </w:r>
            <w:r>
              <w:rPr>
                <w:spacing w:val="-2"/>
                <w:sz w:val="20"/>
              </w:rPr>
              <w:t>s</w:t>
            </w:r>
            <w:r>
              <w:rPr>
                <w:spacing w:val="1"/>
                <w:sz w:val="20"/>
              </w:rPr>
              <w:t>i</w:t>
            </w:r>
            <w:r>
              <w:rPr>
                <w:spacing w:val="-3"/>
                <w:sz w:val="20"/>
              </w:rPr>
              <w:t>n</w:t>
            </w:r>
            <w:r>
              <w:rPr>
                <w:sz w:val="20"/>
              </w:rPr>
              <w:t>d</w:t>
            </w:r>
            <w:r>
              <w:rPr>
                <w:spacing w:val="-1"/>
                <w:sz w:val="20"/>
              </w:rPr>
              <w:t>u</w:t>
            </w:r>
            <w:r>
              <w:rPr>
                <w:spacing w:val="-4"/>
                <w:sz w:val="20"/>
              </w:rPr>
              <w:t>-</w:t>
            </w:r>
            <w:r>
              <w:rPr>
                <w:sz w:val="20"/>
              </w:rPr>
              <w:t xml:space="preserve">se </w:t>
            </w:r>
            <w:r>
              <w:rPr>
                <w:spacing w:val="1"/>
                <w:sz w:val="20"/>
              </w:rPr>
              <w:t>t</w:t>
            </w:r>
            <w:r>
              <w:rPr>
                <w:sz w:val="20"/>
              </w:rPr>
              <w:t>es</w:t>
            </w:r>
            <w:r>
              <w:rPr>
                <w:spacing w:val="1"/>
                <w:sz w:val="20"/>
              </w:rPr>
              <w:t>t</w:t>
            </w:r>
            <w:r>
              <w:rPr>
                <w:spacing w:val="-3"/>
                <w:sz w:val="20"/>
              </w:rPr>
              <w:t>u</w:t>
            </w:r>
            <w:r>
              <w:rPr>
                <w:sz w:val="20"/>
              </w:rPr>
              <w:t>l</w:t>
            </w:r>
            <w:r>
              <w:rPr>
                <w:spacing w:val="1"/>
                <w:sz w:val="20"/>
              </w:rPr>
              <w:t xml:space="preserve"> </w:t>
            </w:r>
            <w:r>
              <w:rPr>
                <w:spacing w:val="-1"/>
                <w:sz w:val="20"/>
              </w:rPr>
              <w:t>U</w:t>
            </w:r>
            <w:r>
              <w:rPr>
                <w:sz w:val="20"/>
              </w:rPr>
              <w:t xml:space="preserve">, </w:t>
            </w:r>
            <w:r>
              <w:rPr>
                <w:spacing w:val="-2"/>
                <w:sz w:val="20"/>
              </w:rPr>
              <w:t>M</w:t>
            </w:r>
            <w:r>
              <w:rPr>
                <w:sz w:val="20"/>
              </w:rPr>
              <w:t>an</w:t>
            </w:r>
            <w:r>
              <w:rPr>
                <w:spacing w:val="-1"/>
                <w:sz w:val="20"/>
              </w:rPr>
              <w:t>n</w:t>
            </w:r>
            <w:r>
              <w:rPr>
                <w:spacing w:val="-4"/>
                <w:sz w:val="20"/>
              </w:rPr>
              <w:t>-</w:t>
            </w:r>
            <w:r>
              <w:rPr>
                <w:sz w:val="20"/>
              </w:rPr>
              <w:t>Wh</w:t>
            </w:r>
            <w:r>
              <w:rPr>
                <w:spacing w:val="1"/>
                <w:sz w:val="20"/>
              </w:rPr>
              <w:t>i</w:t>
            </w:r>
            <w:r>
              <w:rPr>
                <w:spacing w:val="-2"/>
                <w:sz w:val="20"/>
              </w:rPr>
              <w:t>t</w:t>
            </w:r>
            <w:r>
              <w:rPr>
                <w:sz w:val="20"/>
              </w:rPr>
              <w:t>ney</w:t>
            </w:r>
          </w:p>
          <w:p w14:paraId="2457694F" w14:textId="77777777" w:rsidR="00C04CAD" w:rsidRDefault="00060E34">
            <w:pPr>
              <w:numPr>
                <w:ilvl w:val="0"/>
                <w:numId w:val="13"/>
              </w:numPr>
              <w:tabs>
                <w:tab w:val="clear" w:pos="567"/>
                <w:tab w:val="left" w:pos="243"/>
              </w:tabs>
              <w:kinsoku w:val="0"/>
              <w:overflowPunct w:val="0"/>
              <w:autoSpaceDE w:val="0"/>
              <w:autoSpaceDN w:val="0"/>
              <w:adjustRightInd w:val="0"/>
              <w:spacing w:line="240" w:lineRule="auto"/>
              <w:ind w:left="227" w:hanging="227"/>
              <w:rPr>
                <w:sz w:val="20"/>
              </w:rPr>
            </w:pPr>
            <w:r>
              <w:rPr>
                <w:spacing w:val="-3"/>
                <w:sz w:val="20"/>
              </w:rPr>
              <w:t>v</w:t>
            </w:r>
            <w:r>
              <w:rPr>
                <w:sz w:val="20"/>
              </w:rPr>
              <w:t>a</w:t>
            </w:r>
            <w:r>
              <w:rPr>
                <w:spacing w:val="1"/>
                <w:sz w:val="20"/>
              </w:rPr>
              <w:t>l</w:t>
            </w:r>
            <w:r>
              <w:rPr>
                <w:sz w:val="20"/>
              </w:rPr>
              <w:t>o</w:t>
            </w:r>
            <w:r>
              <w:rPr>
                <w:spacing w:val="-3"/>
                <w:sz w:val="20"/>
              </w:rPr>
              <w:t>a</w:t>
            </w:r>
            <w:r>
              <w:rPr>
                <w:sz w:val="20"/>
              </w:rPr>
              <w:t>rea p</w:t>
            </w:r>
            <w:r>
              <w:rPr>
                <w:spacing w:val="-3"/>
                <w:sz w:val="20"/>
              </w:rPr>
              <w:t xml:space="preserve"> </w:t>
            </w:r>
            <w:r>
              <w:rPr>
                <w:sz w:val="20"/>
              </w:rPr>
              <w:t>e</w:t>
            </w:r>
            <w:r>
              <w:rPr>
                <w:spacing w:val="-2"/>
                <w:sz w:val="20"/>
              </w:rPr>
              <w:t>s</w:t>
            </w:r>
            <w:r>
              <w:rPr>
                <w:spacing w:val="1"/>
                <w:sz w:val="20"/>
              </w:rPr>
              <w:t>t</w:t>
            </w:r>
            <w:r>
              <w:rPr>
                <w:sz w:val="20"/>
              </w:rPr>
              <w:t>e o</w:t>
            </w:r>
            <w:r>
              <w:rPr>
                <w:spacing w:val="-3"/>
                <w:sz w:val="20"/>
              </w:rPr>
              <w:t>b</w:t>
            </w:r>
            <w:r>
              <w:rPr>
                <w:spacing w:val="-2"/>
                <w:sz w:val="20"/>
              </w:rPr>
              <w:t>ţ</w:t>
            </w:r>
            <w:r>
              <w:rPr>
                <w:spacing w:val="1"/>
                <w:sz w:val="20"/>
              </w:rPr>
              <w:t>i</w:t>
            </w:r>
            <w:r>
              <w:rPr>
                <w:sz w:val="20"/>
              </w:rPr>
              <w:t>nu</w:t>
            </w:r>
            <w:r>
              <w:rPr>
                <w:spacing w:val="-2"/>
                <w:sz w:val="20"/>
              </w:rPr>
              <w:t>t</w:t>
            </w:r>
            <w:r>
              <w:rPr>
                <w:sz w:val="20"/>
              </w:rPr>
              <w:t xml:space="preserve">ă </w:t>
            </w:r>
            <w:r>
              <w:rPr>
                <w:spacing w:val="-3"/>
                <w:sz w:val="20"/>
              </w:rPr>
              <w:t>p</w:t>
            </w:r>
            <w:r>
              <w:rPr>
                <w:sz w:val="20"/>
              </w:rPr>
              <w:t>r</w:t>
            </w:r>
            <w:r>
              <w:rPr>
                <w:spacing w:val="1"/>
                <w:sz w:val="20"/>
              </w:rPr>
              <w:t>i</w:t>
            </w:r>
            <w:r>
              <w:rPr>
                <w:sz w:val="20"/>
              </w:rPr>
              <w:t>n</w:t>
            </w:r>
            <w:r>
              <w:rPr>
                <w:spacing w:val="-3"/>
                <w:sz w:val="20"/>
              </w:rPr>
              <w:t xml:space="preserve"> </w:t>
            </w:r>
            <w:r>
              <w:rPr>
                <w:sz w:val="20"/>
              </w:rPr>
              <w:t>co</w:t>
            </w:r>
            <w:r>
              <w:rPr>
                <w:spacing w:val="-4"/>
                <w:sz w:val="20"/>
              </w:rPr>
              <w:t>m</w:t>
            </w:r>
            <w:r>
              <w:rPr>
                <w:sz w:val="20"/>
              </w:rPr>
              <w:t>parar</w:t>
            </w:r>
            <w:r>
              <w:rPr>
                <w:spacing w:val="-3"/>
                <w:sz w:val="20"/>
              </w:rPr>
              <w:t>e</w:t>
            </w:r>
            <w:r>
              <w:rPr>
                <w:sz w:val="20"/>
              </w:rPr>
              <w:t>a p</w:t>
            </w:r>
            <w:r>
              <w:rPr>
                <w:spacing w:val="-3"/>
                <w:sz w:val="20"/>
              </w:rPr>
              <w:t>e</w:t>
            </w:r>
            <w:r>
              <w:rPr>
                <w:sz w:val="20"/>
              </w:rPr>
              <w:t>re</w:t>
            </w:r>
            <w:r>
              <w:rPr>
                <w:spacing w:val="-3"/>
                <w:sz w:val="20"/>
              </w:rPr>
              <w:t>c</w:t>
            </w:r>
            <w:r>
              <w:rPr>
                <w:sz w:val="20"/>
              </w:rPr>
              <w:t>h</w:t>
            </w:r>
            <w:r>
              <w:rPr>
                <w:spacing w:val="-2"/>
                <w:sz w:val="20"/>
              </w:rPr>
              <w:t>i</w:t>
            </w:r>
            <w:r>
              <w:rPr>
                <w:spacing w:val="1"/>
                <w:sz w:val="20"/>
              </w:rPr>
              <w:t>l</w:t>
            </w:r>
            <w:r>
              <w:rPr>
                <w:sz w:val="20"/>
              </w:rPr>
              <w:t>or</w:t>
            </w:r>
            <w:r>
              <w:rPr>
                <w:spacing w:val="-2"/>
                <w:sz w:val="20"/>
              </w:rPr>
              <w:t xml:space="preserve"> </w:t>
            </w:r>
            <w:r>
              <w:rPr>
                <w:rFonts w:eastAsia="MS Mincho"/>
                <w:spacing w:val="-1"/>
                <w:sz w:val="20"/>
                <w:lang w:eastAsia="en-US" w:bidi="ar-SA"/>
              </w:rPr>
              <w:t>adalimumab</w:t>
            </w:r>
            <w:r>
              <w:rPr>
                <w:sz w:val="20"/>
              </w:rPr>
              <w:t xml:space="preserve"> </w:t>
            </w:r>
            <w:r>
              <w:rPr>
                <w:spacing w:val="-4"/>
                <w:sz w:val="20"/>
              </w:rPr>
              <w:t>m</w:t>
            </w:r>
            <w:r>
              <w:rPr>
                <w:sz w:val="20"/>
              </w:rPr>
              <w:t>ono</w:t>
            </w:r>
            <w:r>
              <w:rPr>
                <w:spacing w:val="1"/>
                <w:sz w:val="20"/>
              </w:rPr>
              <w:t>t</w:t>
            </w:r>
            <w:r>
              <w:rPr>
                <w:sz w:val="20"/>
              </w:rPr>
              <w:t>era</w:t>
            </w:r>
            <w:r>
              <w:rPr>
                <w:spacing w:val="-3"/>
                <w:sz w:val="20"/>
              </w:rPr>
              <w:t>p</w:t>
            </w:r>
            <w:r>
              <w:rPr>
                <w:spacing w:val="1"/>
                <w:sz w:val="20"/>
              </w:rPr>
              <w:t>i</w:t>
            </w:r>
            <w:r>
              <w:rPr>
                <w:sz w:val="20"/>
              </w:rPr>
              <w:t xml:space="preserve">e </w:t>
            </w:r>
            <w:r>
              <w:rPr>
                <w:spacing w:val="-2"/>
                <w:sz w:val="20"/>
              </w:rPr>
              <w:t>ş</w:t>
            </w:r>
            <w:r>
              <w:rPr>
                <w:sz w:val="20"/>
              </w:rPr>
              <w:t>i</w:t>
            </w:r>
            <w:r>
              <w:rPr>
                <w:spacing w:val="1"/>
                <w:sz w:val="20"/>
              </w:rPr>
              <w:t xml:space="preserve"> </w:t>
            </w:r>
            <w:r>
              <w:rPr>
                <w:sz w:val="20"/>
              </w:rPr>
              <w:t>c</w:t>
            </w:r>
            <w:r>
              <w:rPr>
                <w:spacing w:val="-3"/>
                <w:sz w:val="20"/>
              </w:rPr>
              <w:t>o</w:t>
            </w:r>
            <w:r>
              <w:rPr>
                <w:spacing w:val="-4"/>
                <w:sz w:val="20"/>
              </w:rPr>
              <w:t>m</w:t>
            </w:r>
            <w:r>
              <w:rPr>
                <w:sz w:val="20"/>
              </w:rPr>
              <w:t>b</w:t>
            </w:r>
            <w:r>
              <w:rPr>
                <w:spacing w:val="1"/>
                <w:sz w:val="20"/>
              </w:rPr>
              <w:t>i</w:t>
            </w:r>
            <w:r>
              <w:rPr>
                <w:sz w:val="20"/>
              </w:rPr>
              <w:t>na</w:t>
            </w:r>
            <w:r>
              <w:rPr>
                <w:spacing w:val="1"/>
                <w:sz w:val="20"/>
              </w:rPr>
              <w:t>ţi</w:t>
            </w:r>
            <w:r>
              <w:rPr>
                <w:sz w:val="20"/>
              </w:rPr>
              <w:t xml:space="preserve">a </w:t>
            </w:r>
            <w:r>
              <w:rPr>
                <w:rFonts w:eastAsia="MS Mincho"/>
                <w:spacing w:val="-1"/>
                <w:sz w:val="20"/>
                <w:lang w:eastAsia="en-US" w:bidi="ar-SA"/>
              </w:rPr>
              <w:t>adalimumab</w:t>
            </w:r>
            <w:r>
              <w:rPr>
                <w:spacing w:val="1"/>
                <w:sz w:val="20"/>
              </w:rPr>
              <w:t>/</w:t>
            </w:r>
            <w:r>
              <w:rPr>
                <w:spacing w:val="-4"/>
                <w:sz w:val="20"/>
              </w:rPr>
              <w:t>m</w:t>
            </w:r>
            <w:r>
              <w:rPr>
                <w:sz w:val="20"/>
              </w:rPr>
              <w:t>e</w:t>
            </w:r>
            <w:r>
              <w:rPr>
                <w:spacing w:val="1"/>
                <w:sz w:val="20"/>
              </w:rPr>
              <w:t>t</w:t>
            </w:r>
            <w:r>
              <w:rPr>
                <w:sz w:val="20"/>
              </w:rPr>
              <w:t>o</w:t>
            </w:r>
            <w:r>
              <w:rPr>
                <w:spacing w:val="1"/>
                <w:sz w:val="20"/>
              </w:rPr>
              <w:t>t</w:t>
            </w:r>
            <w:r>
              <w:rPr>
                <w:spacing w:val="-2"/>
                <w:sz w:val="20"/>
              </w:rPr>
              <w:t>r</w:t>
            </w:r>
            <w:r>
              <w:rPr>
                <w:sz w:val="20"/>
              </w:rPr>
              <w:t>ex</w:t>
            </w:r>
            <w:r>
              <w:rPr>
                <w:spacing w:val="-3"/>
                <w:sz w:val="20"/>
              </w:rPr>
              <w:t>a</w:t>
            </w:r>
            <w:r>
              <w:rPr>
                <w:spacing w:val="1"/>
                <w:sz w:val="20"/>
              </w:rPr>
              <w:t>t</w:t>
            </w:r>
            <w:r>
              <w:rPr>
                <w:sz w:val="20"/>
              </w:rPr>
              <w:t>, f</w:t>
            </w:r>
            <w:r>
              <w:rPr>
                <w:spacing w:val="-3"/>
                <w:sz w:val="20"/>
              </w:rPr>
              <w:t>o</w:t>
            </w:r>
            <w:r>
              <w:rPr>
                <w:spacing w:val="1"/>
                <w:sz w:val="20"/>
              </w:rPr>
              <w:t>l</w:t>
            </w:r>
            <w:r>
              <w:rPr>
                <w:spacing w:val="-1"/>
                <w:sz w:val="20"/>
              </w:rPr>
              <w:t>o</w:t>
            </w:r>
            <w:r>
              <w:rPr>
                <w:spacing w:val="-2"/>
                <w:sz w:val="20"/>
              </w:rPr>
              <w:t>s</w:t>
            </w:r>
            <w:r>
              <w:rPr>
                <w:spacing w:val="1"/>
                <w:sz w:val="20"/>
              </w:rPr>
              <w:t>i</w:t>
            </w:r>
            <w:r>
              <w:rPr>
                <w:spacing w:val="-3"/>
                <w:sz w:val="20"/>
              </w:rPr>
              <w:t>n</w:t>
            </w:r>
            <w:r>
              <w:rPr>
                <w:sz w:val="20"/>
              </w:rPr>
              <w:t>d</w:t>
            </w:r>
            <w:r>
              <w:rPr>
                <w:spacing w:val="-1"/>
                <w:sz w:val="20"/>
              </w:rPr>
              <w:t>u</w:t>
            </w:r>
            <w:r>
              <w:rPr>
                <w:spacing w:val="-4"/>
                <w:sz w:val="20"/>
              </w:rPr>
              <w:t>-</w:t>
            </w:r>
            <w:r>
              <w:rPr>
                <w:sz w:val="20"/>
              </w:rPr>
              <w:t xml:space="preserve">se </w:t>
            </w:r>
            <w:r>
              <w:rPr>
                <w:spacing w:val="1"/>
                <w:sz w:val="20"/>
              </w:rPr>
              <w:t>t</w:t>
            </w:r>
            <w:r>
              <w:rPr>
                <w:sz w:val="20"/>
              </w:rPr>
              <w:t>es</w:t>
            </w:r>
            <w:r>
              <w:rPr>
                <w:spacing w:val="1"/>
                <w:sz w:val="20"/>
              </w:rPr>
              <w:t>t</w:t>
            </w:r>
            <w:r>
              <w:rPr>
                <w:spacing w:val="-3"/>
                <w:sz w:val="20"/>
              </w:rPr>
              <w:t>u</w:t>
            </w:r>
            <w:r>
              <w:rPr>
                <w:sz w:val="20"/>
              </w:rPr>
              <w:t>l</w:t>
            </w:r>
            <w:r>
              <w:rPr>
                <w:spacing w:val="1"/>
                <w:sz w:val="20"/>
              </w:rPr>
              <w:t xml:space="preserve"> </w:t>
            </w:r>
            <w:r>
              <w:rPr>
                <w:spacing w:val="-1"/>
                <w:sz w:val="20"/>
              </w:rPr>
              <w:t>U</w:t>
            </w:r>
            <w:r>
              <w:rPr>
                <w:sz w:val="20"/>
              </w:rPr>
              <w:t xml:space="preserve">, </w:t>
            </w:r>
            <w:r>
              <w:rPr>
                <w:spacing w:val="-2"/>
                <w:sz w:val="20"/>
              </w:rPr>
              <w:t>M</w:t>
            </w:r>
            <w:r>
              <w:rPr>
                <w:sz w:val="20"/>
              </w:rPr>
              <w:t>an</w:t>
            </w:r>
            <w:r>
              <w:rPr>
                <w:spacing w:val="-1"/>
                <w:sz w:val="20"/>
              </w:rPr>
              <w:t>n</w:t>
            </w:r>
            <w:r>
              <w:rPr>
                <w:spacing w:val="-4"/>
                <w:sz w:val="20"/>
              </w:rPr>
              <w:t>-</w:t>
            </w:r>
            <w:r>
              <w:rPr>
                <w:sz w:val="20"/>
              </w:rPr>
              <w:t>Wh</w:t>
            </w:r>
            <w:r>
              <w:rPr>
                <w:spacing w:val="1"/>
                <w:sz w:val="20"/>
              </w:rPr>
              <w:t>i</w:t>
            </w:r>
            <w:r>
              <w:rPr>
                <w:spacing w:val="-2"/>
                <w:sz w:val="20"/>
              </w:rPr>
              <w:t>t</w:t>
            </w:r>
            <w:r>
              <w:rPr>
                <w:sz w:val="20"/>
              </w:rPr>
              <w:t>ney</w:t>
            </w:r>
          </w:p>
          <w:p w14:paraId="486FAEBA" w14:textId="77777777" w:rsidR="00C04CAD" w:rsidRDefault="00060E34">
            <w:pPr>
              <w:numPr>
                <w:ilvl w:val="0"/>
                <w:numId w:val="13"/>
              </w:numPr>
              <w:tabs>
                <w:tab w:val="clear" w:pos="567"/>
                <w:tab w:val="left" w:pos="236"/>
              </w:tabs>
              <w:kinsoku w:val="0"/>
              <w:overflowPunct w:val="0"/>
              <w:autoSpaceDE w:val="0"/>
              <w:autoSpaceDN w:val="0"/>
              <w:adjustRightInd w:val="0"/>
              <w:spacing w:line="240" w:lineRule="auto"/>
              <w:ind w:left="227" w:hanging="227"/>
              <w:rPr>
                <w:sz w:val="20"/>
              </w:rPr>
            </w:pPr>
            <w:r>
              <w:rPr>
                <w:spacing w:val="-3"/>
                <w:sz w:val="20"/>
              </w:rPr>
              <w:t>v</w:t>
            </w:r>
            <w:r>
              <w:rPr>
                <w:sz w:val="20"/>
              </w:rPr>
              <w:t>a</w:t>
            </w:r>
            <w:r>
              <w:rPr>
                <w:spacing w:val="1"/>
                <w:sz w:val="20"/>
              </w:rPr>
              <w:t>l</w:t>
            </w:r>
            <w:r>
              <w:rPr>
                <w:sz w:val="20"/>
              </w:rPr>
              <w:t>o</w:t>
            </w:r>
            <w:r>
              <w:rPr>
                <w:spacing w:val="-3"/>
                <w:sz w:val="20"/>
              </w:rPr>
              <w:t>a</w:t>
            </w:r>
            <w:r>
              <w:rPr>
                <w:sz w:val="20"/>
              </w:rPr>
              <w:t>r</w:t>
            </w:r>
            <w:r>
              <w:rPr>
                <w:spacing w:val="-3"/>
                <w:sz w:val="20"/>
              </w:rPr>
              <w:t>e</w:t>
            </w:r>
            <w:r>
              <w:rPr>
                <w:sz w:val="20"/>
              </w:rPr>
              <w:t>a p e</w:t>
            </w:r>
            <w:r>
              <w:rPr>
                <w:spacing w:val="-2"/>
                <w:sz w:val="20"/>
              </w:rPr>
              <w:t>s</w:t>
            </w:r>
            <w:r>
              <w:rPr>
                <w:spacing w:val="1"/>
                <w:sz w:val="20"/>
              </w:rPr>
              <w:t>t</w:t>
            </w:r>
            <w:r>
              <w:rPr>
                <w:sz w:val="20"/>
              </w:rPr>
              <w:t>e</w:t>
            </w:r>
            <w:r>
              <w:rPr>
                <w:spacing w:val="-2"/>
                <w:sz w:val="20"/>
              </w:rPr>
              <w:t xml:space="preserve"> </w:t>
            </w:r>
            <w:r>
              <w:rPr>
                <w:sz w:val="20"/>
              </w:rPr>
              <w:t>ob</w:t>
            </w:r>
            <w:r>
              <w:rPr>
                <w:spacing w:val="-2"/>
                <w:sz w:val="20"/>
              </w:rPr>
              <w:t>ţ</w:t>
            </w:r>
            <w:r>
              <w:rPr>
                <w:sz w:val="20"/>
              </w:rPr>
              <w:t>in</w:t>
            </w:r>
            <w:r>
              <w:rPr>
                <w:spacing w:val="-3"/>
                <w:sz w:val="20"/>
              </w:rPr>
              <w:t>u</w:t>
            </w:r>
            <w:r>
              <w:rPr>
                <w:spacing w:val="1"/>
                <w:sz w:val="20"/>
              </w:rPr>
              <w:t>t</w:t>
            </w:r>
            <w:r>
              <w:rPr>
                <w:sz w:val="20"/>
              </w:rPr>
              <w:t xml:space="preserve">ă </w:t>
            </w:r>
            <w:r>
              <w:rPr>
                <w:spacing w:val="-3"/>
                <w:sz w:val="20"/>
              </w:rPr>
              <w:t>p</w:t>
            </w:r>
            <w:r>
              <w:rPr>
                <w:spacing w:val="-2"/>
                <w:sz w:val="20"/>
              </w:rPr>
              <w:t>r</w:t>
            </w:r>
            <w:r>
              <w:rPr>
                <w:spacing w:val="1"/>
                <w:sz w:val="20"/>
              </w:rPr>
              <w:t>i</w:t>
            </w:r>
            <w:r>
              <w:rPr>
                <w:sz w:val="20"/>
              </w:rPr>
              <w:t>n co</w:t>
            </w:r>
            <w:r>
              <w:rPr>
                <w:spacing w:val="-4"/>
                <w:sz w:val="20"/>
              </w:rPr>
              <w:t>m</w:t>
            </w:r>
            <w:r>
              <w:rPr>
                <w:sz w:val="20"/>
              </w:rPr>
              <w:t>par</w:t>
            </w:r>
            <w:r>
              <w:rPr>
                <w:spacing w:val="-3"/>
                <w:sz w:val="20"/>
              </w:rPr>
              <w:t>a</w:t>
            </w:r>
            <w:r>
              <w:rPr>
                <w:sz w:val="20"/>
              </w:rPr>
              <w:t>rea</w:t>
            </w:r>
            <w:r>
              <w:rPr>
                <w:spacing w:val="-2"/>
                <w:sz w:val="20"/>
              </w:rPr>
              <w:t xml:space="preserve"> </w:t>
            </w:r>
            <w:r>
              <w:rPr>
                <w:sz w:val="20"/>
              </w:rPr>
              <w:t>pe</w:t>
            </w:r>
            <w:r>
              <w:rPr>
                <w:spacing w:val="-2"/>
                <w:sz w:val="20"/>
              </w:rPr>
              <w:t>r</w:t>
            </w:r>
            <w:r>
              <w:rPr>
                <w:sz w:val="20"/>
              </w:rPr>
              <w:t>ec</w:t>
            </w:r>
            <w:r>
              <w:rPr>
                <w:spacing w:val="-3"/>
                <w:sz w:val="20"/>
              </w:rPr>
              <w:t>h</w:t>
            </w:r>
            <w:r>
              <w:rPr>
                <w:spacing w:val="1"/>
                <w:sz w:val="20"/>
              </w:rPr>
              <w:t>il</w:t>
            </w:r>
            <w:r>
              <w:rPr>
                <w:spacing w:val="-3"/>
                <w:sz w:val="20"/>
              </w:rPr>
              <w:t>o</w:t>
            </w:r>
            <w:r>
              <w:rPr>
                <w:sz w:val="20"/>
              </w:rPr>
              <w:t>r</w:t>
            </w:r>
            <w:r>
              <w:rPr>
                <w:spacing w:val="1"/>
                <w:sz w:val="20"/>
              </w:rPr>
              <w:t xml:space="preserve"> </w:t>
            </w:r>
            <w:r>
              <w:rPr>
                <w:rFonts w:eastAsia="MS Mincho"/>
                <w:spacing w:val="-1"/>
                <w:sz w:val="20"/>
                <w:lang w:eastAsia="en-US" w:bidi="ar-SA"/>
              </w:rPr>
              <w:t>adalimumab</w:t>
            </w:r>
            <w:r>
              <w:rPr>
                <w:sz w:val="20"/>
              </w:rPr>
              <w:t xml:space="preserve"> </w:t>
            </w:r>
            <w:r>
              <w:rPr>
                <w:spacing w:val="-4"/>
                <w:sz w:val="20"/>
              </w:rPr>
              <w:t>m</w:t>
            </w:r>
            <w:r>
              <w:rPr>
                <w:sz w:val="20"/>
              </w:rPr>
              <w:t>ono</w:t>
            </w:r>
            <w:r>
              <w:rPr>
                <w:spacing w:val="1"/>
                <w:sz w:val="20"/>
              </w:rPr>
              <w:t>t</w:t>
            </w:r>
            <w:r>
              <w:rPr>
                <w:sz w:val="20"/>
              </w:rPr>
              <w:t>era</w:t>
            </w:r>
            <w:r>
              <w:rPr>
                <w:spacing w:val="-3"/>
                <w:sz w:val="20"/>
              </w:rPr>
              <w:t>p</w:t>
            </w:r>
            <w:r>
              <w:rPr>
                <w:spacing w:val="1"/>
                <w:sz w:val="20"/>
              </w:rPr>
              <w:t>i</w:t>
            </w:r>
            <w:r>
              <w:rPr>
                <w:sz w:val="20"/>
              </w:rPr>
              <w:t xml:space="preserve">e </w:t>
            </w:r>
            <w:r>
              <w:rPr>
                <w:spacing w:val="-2"/>
                <w:sz w:val="20"/>
              </w:rPr>
              <w:t>ş</w:t>
            </w:r>
            <w:r>
              <w:rPr>
                <w:sz w:val="20"/>
              </w:rPr>
              <w:t>i</w:t>
            </w:r>
            <w:r>
              <w:rPr>
                <w:spacing w:val="1"/>
                <w:sz w:val="20"/>
              </w:rPr>
              <w:t xml:space="preserve"> </w:t>
            </w:r>
            <w:r>
              <w:rPr>
                <w:spacing w:val="-4"/>
                <w:sz w:val="20"/>
              </w:rPr>
              <w:t>m</w:t>
            </w:r>
            <w:r>
              <w:rPr>
                <w:sz w:val="20"/>
              </w:rPr>
              <w:t>e</w:t>
            </w:r>
            <w:r>
              <w:rPr>
                <w:spacing w:val="1"/>
                <w:sz w:val="20"/>
              </w:rPr>
              <w:t>t</w:t>
            </w:r>
            <w:r>
              <w:rPr>
                <w:sz w:val="20"/>
              </w:rPr>
              <w:t>o</w:t>
            </w:r>
            <w:r>
              <w:rPr>
                <w:spacing w:val="-2"/>
                <w:sz w:val="20"/>
              </w:rPr>
              <w:t>t</w:t>
            </w:r>
            <w:r>
              <w:rPr>
                <w:sz w:val="20"/>
              </w:rPr>
              <w:t>rex</w:t>
            </w:r>
            <w:r>
              <w:rPr>
                <w:spacing w:val="-3"/>
                <w:sz w:val="20"/>
              </w:rPr>
              <w:t>a</w:t>
            </w:r>
            <w:r>
              <w:rPr>
                <w:sz w:val="20"/>
              </w:rPr>
              <w:t>t</w:t>
            </w:r>
            <w:r>
              <w:rPr>
                <w:spacing w:val="1"/>
                <w:sz w:val="20"/>
              </w:rPr>
              <w:t xml:space="preserve"> </w:t>
            </w:r>
            <w:r>
              <w:rPr>
                <w:spacing w:val="-4"/>
                <w:sz w:val="20"/>
              </w:rPr>
              <w:t>m</w:t>
            </w:r>
            <w:r>
              <w:rPr>
                <w:sz w:val="20"/>
              </w:rPr>
              <w:t>ono</w:t>
            </w:r>
            <w:r>
              <w:rPr>
                <w:spacing w:val="1"/>
                <w:sz w:val="20"/>
              </w:rPr>
              <w:t>t</w:t>
            </w:r>
            <w:r>
              <w:rPr>
                <w:sz w:val="20"/>
              </w:rPr>
              <w:t>e</w:t>
            </w:r>
            <w:r>
              <w:rPr>
                <w:spacing w:val="-2"/>
                <w:sz w:val="20"/>
              </w:rPr>
              <w:t>r</w:t>
            </w:r>
            <w:r>
              <w:rPr>
                <w:sz w:val="20"/>
              </w:rPr>
              <w:t>ap</w:t>
            </w:r>
            <w:r>
              <w:rPr>
                <w:spacing w:val="-2"/>
                <w:sz w:val="20"/>
              </w:rPr>
              <w:t>i</w:t>
            </w:r>
            <w:r>
              <w:rPr>
                <w:sz w:val="20"/>
              </w:rPr>
              <w:t>e fo</w:t>
            </w:r>
            <w:r>
              <w:rPr>
                <w:spacing w:val="1"/>
                <w:sz w:val="20"/>
              </w:rPr>
              <w:t>l</w:t>
            </w:r>
            <w:r>
              <w:rPr>
                <w:spacing w:val="-3"/>
                <w:sz w:val="20"/>
              </w:rPr>
              <w:t>o</w:t>
            </w:r>
            <w:r>
              <w:rPr>
                <w:sz w:val="20"/>
              </w:rPr>
              <w:t>s</w:t>
            </w:r>
            <w:r>
              <w:rPr>
                <w:spacing w:val="1"/>
                <w:sz w:val="20"/>
              </w:rPr>
              <w:t>i</w:t>
            </w:r>
            <w:r>
              <w:rPr>
                <w:spacing w:val="-3"/>
                <w:sz w:val="20"/>
              </w:rPr>
              <w:t>n</w:t>
            </w:r>
            <w:r>
              <w:rPr>
                <w:sz w:val="20"/>
              </w:rPr>
              <w:t>du</w:t>
            </w:r>
            <w:r>
              <w:rPr>
                <w:spacing w:val="-4"/>
                <w:sz w:val="20"/>
              </w:rPr>
              <w:t>-</w:t>
            </w:r>
            <w:r>
              <w:rPr>
                <w:sz w:val="20"/>
              </w:rPr>
              <w:t xml:space="preserve">se </w:t>
            </w:r>
            <w:r>
              <w:rPr>
                <w:spacing w:val="1"/>
                <w:sz w:val="20"/>
              </w:rPr>
              <w:t>t</w:t>
            </w:r>
            <w:r>
              <w:rPr>
                <w:sz w:val="20"/>
              </w:rPr>
              <w:t>e</w:t>
            </w:r>
            <w:r>
              <w:rPr>
                <w:spacing w:val="-2"/>
                <w:sz w:val="20"/>
              </w:rPr>
              <w:t>s</w:t>
            </w:r>
            <w:r>
              <w:rPr>
                <w:spacing w:val="1"/>
                <w:sz w:val="20"/>
              </w:rPr>
              <w:t>t</w:t>
            </w:r>
            <w:r>
              <w:rPr>
                <w:sz w:val="20"/>
              </w:rPr>
              <w:t>ul</w:t>
            </w:r>
            <w:r>
              <w:rPr>
                <w:spacing w:val="1"/>
                <w:sz w:val="20"/>
              </w:rPr>
              <w:t xml:space="preserve"> </w:t>
            </w:r>
            <w:r>
              <w:rPr>
                <w:spacing w:val="-1"/>
                <w:sz w:val="20"/>
              </w:rPr>
              <w:t>U</w:t>
            </w:r>
            <w:r>
              <w:rPr>
                <w:sz w:val="20"/>
              </w:rPr>
              <w:t>,</w:t>
            </w:r>
            <w:r>
              <w:rPr>
                <w:spacing w:val="-3"/>
                <w:sz w:val="20"/>
              </w:rPr>
              <w:t xml:space="preserve"> </w:t>
            </w:r>
            <w:r>
              <w:rPr>
                <w:sz w:val="20"/>
              </w:rPr>
              <w:t>Ma</w:t>
            </w:r>
            <w:r>
              <w:rPr>
                <w:spacing w:val="-3"/>
                <w:sz w:val="20"/>
              </w:rPr>
              <w:t>n</w:t>
            </w:r>
            <w:r>
              <w:rPr>
                <w:spacing w:val="-1"/>
                <w:sz w:val="20"/>
              </w:rPr>
              <w:t>n</w:t>
            </w:r>
            <w:r>
              <w:rPr>
                <w:spacing w:val="-4"/>
                <w:sz w:val="20"/>
              </w:rPr>
              <w:t>-</w:t>
            </w:r>
            <w:r>
              <w:rPr>
                <w:sz w:val="20"/>
              </w:rPr>
              <w:t>Wh</w:t>
            </w:r>
            <w:r>
              <w:rPr>
                <w:spacing w:val="1"/>
                <w:sz w:val="20"/>
              </w:rPr>
              <w:t>it</w:t>
            </w:r>
            <w:r>
              <w:rPr>
                <w:sz w:val="20"/>
              </w:rPr>
              <w:t>ney</w:t>
            </w:r>
          </w:p>
        </w:tc>
      </w:tr>
    </w:tbl>
    <w:p w14:paraId="27C5D4DD" w14:textId="77777777" w:rsidR="00C04CAD" w:rsidRDefault="00C04CAD">
      <w:pPr>
        <w:autoSpaceDE w:val="0"/>
        <w:autoSpaceDN w:val="0"/>
        <w:adjustRightInd w:val="0"/>
        <w:spacing w:line="240" w:lineRule="auto"/>
      </w:pPr>
    </w:p>
    <w:p w14:paraId="6B83EE56" w14:textId="77777777" w:rsidR="00C04CAD" w:rsidRDefault="00060E34">
      <w:pPr>
        <w:tabs>
          <w:tab w:val="clear" w:pos="567"/>
        </w:tabs>
        <w:kinsoku w:val="0"/>
        <w:overflowPunct w:val="0"/>
        <w:autoSpaceDE w:val="0"/>
        <w:autoSpaceDN w:val="0"/>
        <w:adjustRightInd w:val="0"/>
        <w:spacing w:line="240" w:lineRule="auto"/>
      </w:pPr>
      <w:r>
        <w:rPr>
          <w:spacing w:val="-4"/>
        </w:rPr>
        <w:t>Î</w:t>
      </w:r>
      <w:r>
        <w:t>n ex</w:t>
      </w:r>
      <w:r>
        <w:rPr>
          <w:spacing w:val="1"/>
        </w:rPr>
        <w:t>t</w:t>
      </w:r>
      <w:r>
        <w:t>ens</w:t>
      </w:r>
      <w:r>
        <w:rPr>
          <w:spacing w:val="1"/>
        </w:rPr>
        <w:t>i</w:t>
      </w:r>
      <w:r>
        <w:t>a</w:t>
      </w:r>
      <w:r>
        <w:rPr>
          <w:spacing w:val="-2"/>
        </w:rPr>
        <w:t xml:space="preserve"> </w:t>
      </w:r>
      <w:r>
        <w:t>de</w:t>
      </w:r>
      <w:r>
        <w:rPr>
          <w:spacing w:val="-2"/>
        </w:rPr>
        <w:t>s</w:t>
      </w:r>
      <w:r>
        <w:t>ch</w:t>
      </w:r>
      <w:r>
        <w:rPr>
          <w:spacing w:val="-2"/>
        </w:rPr>
        <w:t>i</w:t>
      </w:r>
      <w:r>
        <w:t>să a</w:t>
      </w:r>
      <w:r>
        <w:rPr>
          <w:spacing w:val="-2"/>
        </w:rPr>
        <w:t xml:space="preserve"> </w:t>
      </w:r>
      <w:r>
        <w:t>s</w:t>
      </w:r>
      <w:r>
        <w:rPr>
          <w:spacing w:val="1"/>
        </w:rPr>
        <w:t>t</w:t>
      </w:r>
      <w:r>
        <w:rPr>
          <w:spacing w:val="-3"/>
        </w:rPr>
        <w:t>u</w:t>
      </w:r>
      <w:r>
        <w:t>d</w:t>
      </w:r>
      <w:r>
        <w:rPr>
          <w:spacing w:val="-2"/>
        </w:rPr>
        <w:t>i</w:t>
      </w:r>
      <w:r>
        <w:t>u</w:t>
      </w:r>
      <w:r>
        <w:rPr>
          <w:spacing w:val="1"/>
        </w:rPr>
        <w:t>l</w:t>
      </w:r>
      <w:r>
        <w:t>ui</w:t>
      </w:r>
      <w:r>
        <w:rPr>
          <w:spacing w:val="1"/>
        </w:rPr>
        <w:t xml:space="preserve"> </w:t>
      </w:r>
      <w:r>
        <w:rPr>
          <w:spacing w:val="-1"/>
        </w:rPr>
        <w:t>P</w:t>
      </w:r>
      <w:r>
        <w:t>R</w:t>
      </w:r>
      <w:r>
        <w:rPr>
          <w:spacing w:val="-4"/>
        </w:rPr>
        <w:t xml:space="preserve"> </w:t>
      </w:r>
      <w:r>
        <w:rPr>
          <w:spacing w:val="1"/>
        </w:rPr>
        <w:t>V</w:t>
      </w:r>
      <w:r>
        <w:t>,</w:t>
      </w:r>
      <w:r>
        <w:rPr>
          <w:spacing w:val="-3"/>
        </w:rPr>
        <w:t xml:space="preserve"> </w:t>
      </w:r>
      <w:r>
        <w:t>r</w:t>
      </w:r>
      <w:r>
        <w:rPr>
          <w:spacing w:val="-3"/>
        </w:rPr>
        <w:t>a</w:t>
      </w:r>
      <w:r>
        <w:rPr>
          <w:spacing w:val="1"/>
        </w:rPr>
        <w:t>t</w:t>
      </w:r>
      <w:r>
        <w:rPr>
          <w:spacing w:val="-3"/>
        </w:rPr>
        <w:t>e</w:t>
      </w:r>
      <w:r>
        <w:rPr>
          <w:spacing w:val="1"/>
        </w:rPr>
        <w:t>l</w:t>
      </w:r>
      <w:r>
        <w:t>e de</w:t>
      </w:r>
      <w:r>
        <w:rPr>
          <w:spacing w:val="-2"/>
        </w:rPr>
        <w:t xml:space="preserve"> </w:t>
      </w:r>
      <w:r>
        <w:t>r</w:t>
      </w:r>
      <w:r>
        <w:rPr>
          <w:spacing w:val="-3"/>
        </w:rPr>
        <w:t>ă</w:t>
      </w:r>
      <w:r>
        <w:t>spu</w:t>
      </w:r>
      <w:r>
        <w:rPr>
          <w:spacing w:val="-3"/>
        </w:rPr>
        <w:t>n</w:t>
      </w:r>
      <w:r>
        <w:t xml:space="preserve">s </w:t>
      </w:r>
      <w:r>
        <w:rPr>
          <w:spacing w:val="-1"/>
        </w:rPr>
        <w:t>AC</w:t>
      </w:r>
      <w:r>
        <w:t>R</w:t>
      </w:r>
      <w:r>
        <w:rPr>
          <w:spacing w:val="-1"/>
        </w:rPr>
        <w:t xml:space="preserve"> </w:t>
      </w:r>
      <w:r>
        <w:t>ur</w:t>
      </w:r>
      <w:r>
        <w:rPr>
          <w:spacing w:val="-4"/>
        </w:rPr>
        <w:t>m</w:t>
      </w:r>
      <w:r>
        <w:t>ăr</w:t>
      </w:r>
      <w:r>
        <w:rPr>
          <w:spacing w:val="1"/>
        </w:rPr>
        <w:t>it</w:t>
      </w:r>
      <w:r>
        <w:t>e</w:t>
      </w:r>
      <w:r>
        <w:rPr>
          <w:spacing w:val="-2"/>
        </w:rPr>
        <w:t xml:space="preserve"> </w:t>
      </w:r>
      <w:r>
        <w:t>o p</w:t>
      </w:r>
      <w:r>
        <w:rPr>
          <w:spacing w:val="-3"/>
        </w:rPr>
        <w:t>e</w:t>
      </w:r>
      <w:r>
        <w:t>r</w:t>
      </w:r>
      <w:r>
        <w:rPr>
          <w:spacing w:val="1"/>
        </w:rPr>
        <w:t>i</w:t>
      </w:r>
      <w:r>
        <w:rPr>
          <w:spacing w:val="-3"/>
        </w:rPr>
        <w:t>o</w:t>
      </w:r>
      <w:r>
        <w:t>adă</w:t>
      </w:r>
      <w:r>
        <w:rPr>
          <w:spacing w:val="-2"/>
        </w:rPr>
        <w:t xml:space="preserve"> </w:t>
      </w:r>
      <w:r>
        <w:t>de pâ</w:t>
      </w:r>
      <w:r>
        <w:rPr>
          <w:spacing w:val="-3"/>
        </w:rPr>
        <w:t>n</w:t>
      </w:r>
      <w:r>
        <w:t xml:space="preserve">ă </w:t>
      </w:r>
      <w:r>
        <w:rPr>
          <w:spacing w:val="1"/>
        </w:rPr>
        <w:t>l</w:t>
      </w:r>
      <w:r>
        <w:t>a</w:t>
      </w:r>
      <w:r>
        <w:rPr>
          <w:spacing w:val="-2"/>
        </w:rPr>
        <w:t xml:space="preserve"> </w:t>
      </w:r>
      <w:r>
        <w:t>10 a</w:t>
      </w:r>
      <w:r>
        <w:rPr>
          <w:spacing w:val="-3"/>
        </w:rPr>
        <w:t>n</w:t>
      </w:r>
      <w:r>
        <w:t>i s</w:t>
      </w:r>
      <w:r>
        <w:rPr>
          <w:spacing w:val="-4"/>
        </w:rPr>
        <w:t>-</w:t>
      </w:r>
      <w:r>
        <w:t>au</w:t>
      </w:r>
      <w:r>
        <w:rPr>
          <w:spacing w:val="2"/>
        </w:rPr>
        <w:t xml:space="preserve"> </w:t>
      </w:r>
      <w:r>
        <w:rPr>
          <w:spacing w:val="-4"/>
        </w:rPr>
        <w:t>m</w:t>
      </w:r>
      <w:r>
        <w:t>en</w:t>
      </w:r>
      <w:r>
        <w:rPr>
          <w:spacing w:val="1"/>
        </w:rPr>
        <w:t>ți</w:t>
      </w:r>
      <w:r>
        <w:t>nu</w:t>
      </w:r>
      <w:r>
        <w:rPr>
          <w:spacing w:val="-2"/>
        </w:rPr>
        <w:t>t</w:t>
      </w:r>
      <w:r>
        <w:t xml:space="preserve">. </w:t>
      </w:r>
      <w:r>
        <w:rPr>
          <w:spacing w:val="-1"/>
        </w:rPr>
        <w:t>D</w:t>
      </w:r>
      <w:r>
        <w:rPr>
          <w:spacing w:val="1"/>
        </w:rPr>
        <w:t>i</w:t>
      </w:r>
      <w:r>
        <w:rPr>
          <w:spacing w:val="-3"/>
        </w:rPr>
        <w:t>n</w:t>
      </w:r>
      <w:r>
        <w:rPr>
          <w:spacing w:val="1"/>
        </w:rPr>
        <w:t>t</w:t>
      </w:r>
      <w:r>
        <w:t>re</w:t>
      </w:r>
      <w:r>
        <w:rPr>
          <w:spacing w:val="-2"/>
        </w:rPr>
        <w:t xml:space="preserve"> </w:t>
      </w:r>
      <w:r>
        <w:t>c</w:t>
      </w:r>
      <w:r>
        <w:rPr>
          <w:spacing w:val="-3"/>
        </w:rPr>
        <w:t>e</w:t>
      </w:r>
      <w:r>
        <w:t>i</w:t>
      </w:r>
      <w:r>
        <w:rPr>
          <w:spacing w:val="1"/>
        </w:rPr>
        <w:t xml:space="preserve"> </w:t>
      </w:r>
      <w:r>
        <w:rPr>
          <w:spacing w:val="-3"/>
        </w:rPr>
        <w:t>5</w:t>
      </w:r>
      <w:r>
        <w:t>42 pa</w:t>
      </w:r>
      <w:r>
        <w:rPr>
          <w:spacing w:val="-3"/>
        </w:rPr>
        <w:t>c</w:t>
      </w:r>
      <w:r>
        <w:rPr>
          <w:spacing w:val="1"/>
        </w:rPr>
        <w:t>i</w:t>
      </w:r>
      <w:r>
        <w:t>e</w:t>
      </w:r>
      <w:r>
        <w:rPr>
          <w:spacing w:val="-3"/>
        </w:rPr>
        <w:t>n</w:t>
      </w:r>
      <w:r>
        <w:rPr>
          <w:spacing w:val="1"/>
        </w:rPr>
        <w:t>ț</w:t>
      </w:r>
      <w:r>
        <w:t>i</w:t>
      </w:r>
      <w:r>
        <w:rPr>
          <w:spacing w:val="-2"/>
        </w:rPr>
        <w:t xml:space="preserve"> </w:t>
      </w:r>
      <w:r>
        <w:t>ca</w:t>
      </w:r>
      <w:r>
        <w:rPr>
          <w:spacing w:val="-2"/>
        </w:rPr>
        <w:t>r</w:t>
      </w:r>
      <w:r>
        <w:t>e au</w:t>
      </w:r>
      <w:r>
        <w:rPr>
          <w:spacing w:val="-3"/>
        </w:rPr>
        <w:t xml:space="preserve"> </w:t>
      </w:r>
      <w:r>
        <w:t>fo</w:t>
      </w:r>
      <w:r>
        <w:rPr>
          <w:spacing w:val="-2"/>
        </w:rPr>
        <w:t>s</w:t>
      </w:r>
      <w:r>
        <w:t>t</w:t>
      </w:r>
      <w:r>
        <w:rPr>
          <w:spacing w:val="1"/>
        </w:rPr>
        <w:t xml:space="preserve"> </w:t>
      </w:r>
      <w:r>
        <w:rPr>
          <w:spacing w:val="-2"/>
        </w:rPr>
        <w:t>r</w:t>
      </w:r>
      <w:r>
        <w:t>a</w:t>
      </w:r>
      <w:r>
        <w:rPr>
          <w:spacing w:val="-3"/>
        </w:rPr>
        <w:t>n</w:t>
      </w:r>
      <w:r>
        <w:t>do</w:t>
      </w:r>
      <w:r>
        <w:rPr>
          <w:spacing w:val="-4"/>
        </w:rPr>
        <w:t>m</w:t>
      </w:r>
      <w:r>
        <w:rPr>
          <w:spacing w:val="1"/>
        </w:rPr>
        <w:t>i</w:t>
      </w:r>
      <w:r>
        <w:rPr>
          <w:spacing w:val="-3"/>
        </w:rPr>
        <w:t>z</w:t>
      </w:r>
      <w:r>
        <w:t>a</w:t>
      </w:r>
      <w:r>
        <w:rPr>
          <w:spacing w:val="1"/>
        </w:rPr>
        <w:t>ț</w:t>
      </w:r>
      <w:r>
        <w:t>i</w:t>
      </w:r>
      <w:r>
        <w:rPr>
          <w:spacing w:val="1"/>
        </w:rPr>
        <w:t xml:space="preserve"> </w:t>
      </w:r>
      <w:r>
        <w:t>pen</w:t>
      </w:r>
      <w:r>
        <w:rPr>
          <w:spacing w:val="-2"/>
        </w:rPr>
        <w:t>t</w:t>
      </w:r>
      <w:r>
        <w:t xml:space="preserve">ru </w:t>
      </w:r>
      <w:r>
        <w:rPr>
          <w:rFonts w:eastAsia="MS Mincho"/>
          <w:spacing w:val="-1"/>
          <w:szCs w:val="22"/>
          <w:lang w:eastAsia="en-US" w:bidi="ar-SA"/>
        </w:rPr>
        <w:t>adalimumab</w:t>
      </w:r>
      <w:r>
        <w:t xml:space="preserve"> </w:t>
      </w:r>
      <w:r>
        <w:rPr>
          <w:spacing w:val="-3"/>
        </w:rPr>
        <w:t>4</w:t>
      </w:r>
      <w:r>
        <w:t>0</w:t>
      </w:r>
      <w:r>
        <w:rPr>
          <w:spacing w:val="-3"/>
        </w:rPr>
        <w:t> </w:t>
      </w:r>
      <w:r>
        <w:rPr>
          <w:spacing w:val="-2"/>
        </w:rPr>
        <w:t>m</w:t>
      </w:r>
      <w:r>
        <w:t>g</w:t>
      </w:r>
      <w:r>
        <w:rPr>
          <w:spacing w:val="-3"/>
        </w:rPr>
        <w:t xml:space="preserve"> </w:t>
      </w:r>
      <w:r>
        <w:rPr>
          <w:spacing w:val="1"/>
        </w:rPr>
        <w:t>l</w:t>
      </w:r>
      <w:r>
        <w:t>a două săp</w:t>
      </w:r>
      <w:r>
        <w:rPr>
          <w:spacing w:val="-2"/>
        </w:rPr>
        <w:t>t</w:t>
      </w:r>
      <w:r>
        <w:t>ă</w:t>
      </w:r>
      <w:r>
        <w:rPr>
          <w:spacing w:val="-4"/>
        </w:rPr>
        <w:t>m</w:t>
      </w:r>
      <w:r>
        <w:t>ân</w:t>
      </w:r>
      <w:r>
        <w:rPr>
          <w:spacing w:val="1"/>
        </w:rPr>
        <w:t>i</w:t>
      </w:r>
      <w:r>
        <w:t xml:space="preserve">, 170 </w:t>
      </w:r>
      <w:r>
        <w:rPr>
          <w:spacing w:val="-3"/>
        </w:rPr>
        <w:t>p</w:t>
      </w:r>
      <w:r>
        <w:t>ac</w:t>
      </w:r>
      <w:r>
        <w:rPr>
          <w:spacing w:val="-2"/>
        </w:rPr>
        <w:t>i</w:t>
      </w:r>
      <w:r>
        <w:t>en</w:t>
      </w:r>
      <w:r>
        <w:rPr>
          <w:spacing w:val="-2"/>
        </w:rPr>
        <w:t>ț</w:t>
      </w:r>
      <w:r>
        <w:t>i</w:t>
      </w:r>
      <w:r>
        <w:rPr>
          <w:spacing w:val="1"/>
        </w:rPr>
        <w:t xml:space="preserve"> </w:t>
      </w:r>
      <w:r>
        <w:t>au</w:t>
      </w:r>
      <w:r>
        <w:rPr>
          <w:spacing w:val="-5"/>
        </w:rPr>
        <w:t xml:space="preserve"> </w:t>
      </w:r>
      <w:r>
        <w:t>con</w:t>
      </w:r>
      <w:r>
        <w:rPr>
          <w:spacing w:val="-2"/>
        </w:rPr>
        <w:t>t</w:t>
      </w:r>
      <w:r>
        <w:rPr>
          <w:spacing w:val="1"/>
        </w:rPr>
        <w:t>i</w:t>
      </w:r>
      <w:r>
        <w:t>nu</w:t>
      </w:r>
      <w:r>
        <w:rPr>
          <w:spacing w:val="-3"/>
        </w:rPr>
        <w:t>a</w:t>
      </w:r>
      <w:r>
        <w:t>t</w:t>
      </w:r>
      <w:r>
        <w:rPr>
          <w:spacing w:val="1"/>
        </w:rPr>
        <w:t xml:space="preserve"> </w:t>
      </w:r>
      <w:r>
        <w:rPr>
          <w:spacing w:val="-2"/>
        </w:rPr>
        <w:t>t</w:t>
      </w:r>
      <w:r>
        <w:t>r</w:t>
      </w:r>
      <w:r>
        <w:rPr>
          <w:spacing w:val="-3"/>
        </w:rPr>
        <w:t>a</w:t>
      </w:r>
      <w:r>
        <w:rPr>
          <w:spacing w:val="1"/>
        </w:rPr>
        <w:t>t</w:t>
      </w:r>
      <w:r>
        <w:t>a</w:t>
      </w:r>
      <w:r>
        <w:rPr>
          <w:spacing w:val="-4"/>
        </w:rPr>
        <w:t>m</w:t>
      </w:r>
      <w:r>
        <w:t>en</w:t>
      </w:r>
      <w:r>
        <w:rPr>
          <w:spacing w:val="1"/>
        </w:rPr>
        <w:t>t</w:t>
      </w:r>
      <w:r>
        <w:t>ul</w:t>
      </w:r>
      <w:r>
        <w:rPr>
          <w:spacing w:val="-2"/>
        </w:rPr>
        <w:t xml:space="preserve"> </w:t>
      </w:r>
      <w:r>
        <w:t xml:space="preserve">cu </w:t>
      </w:r>
      <w:r>
        <w:rPr>
          <w:rFonts w:eastAsia="MS Mincho"/>
          <w:spacing w:val="-1"/>
          <w:szCs w:val="22"/>
          <w:lang w:eastAsia="en-US" w:bidi="ar-SA"/>
        </w:rPr>
        <w:t>adalimumab</w:t>
      </w:r>
      <w:r>
        <w:t xml:space="preserve"> 40 </w:t>
      </w:r>
      <w:r>
        <w:rPr>
          <w:spacing w:val="-4"/>
        </w:rPr>
        <w:t>m</w:t>
      </w:r>
      <w:r>
        <w:t>g</w:t>
      </w:r>
      <w:r>
        <w:rPr>
          <w:spacing w:val="-3"/>
        </w:rPr>
        <w:t xml:space="preserve"> </w:t>
      </w:r>
      <w:r>
        <w:rPr>
          <w:spacing w:val="1"/>
        </w:rPr>
        <w:t>l</w:t>
      </w:r>
      <w:r>
        <w:t>a două să</w:t>
      </w:r>
      <w:r>
        <w:rPr>
          <w:spacing w:val="-3"/>
        </w:rPr>
        <w:t>p</w:t>
      </w:r>
      <w:r>
        <w:rPr>
          <w:spacing w:val="1"/>
        </w:rPr>
        <w:t>t</w:t>
      </w:r>
      <w:r>
        <w:rPr>
          <w:spacing w:val="-3"/>
        </w:rPr>
        <w:t>ă</w:t>
      </w:r>
      <w:r>
        <w:rPr>
          <w:spacing w:val="-4"/>
        </w:rPr>
        <w:t>m</w:t>
      </w:r>
      <w:r>
        <w:t>âni</w:t>
      </w:r>
      <w:r>
        <w:rPr>
          <w:spacing w:val="1"/>
        </w:rPr>
        <w:t xml:space="preserve"> ti</w:t>
      </w:r>
      <w:r>
        <w:rPr>
          <w:spacing w:val="-4"/>
        </w:rPr>
        <w:t>m</w:t>
      </w:r>
      <w:r>
        <w:t>p de 10 a</w:t>
      </w:r>
      <w:r>
        <w:rPr>
          <w:spacing w:val="-3"/>
        </w:rPr>
        <w:t>n</w:t>
      </w:r>
      <w:r>
        <w:rPr>
          <w:spacing w:val="1"/>
        </w:rPr>
        <w:t>i</w:t>
      </w:r>
      <w:r>
        <w:t>.</w:t>
      </w:r>
      <w:r>
        <w:rPr>
          <w:spacing w:val="-1"/>
        </w:rPr>
        <w:t xml:space="preserve"> D</w:t>
      </w:r>
      <w:r>
        <w:rPr>
          <w:spacing w:val="1"/>
        </w:rPr>
        <w:t>i</w:t>
      </w:r>
      <w:r>
        <w:t>n</w:t>
      </w:r>
      <w:r>
        <w:rPr>
          <w:spacing w:val="1"/>
        </w:rPr>
        <w:t>t</w:t>
      </w:r>
      <w:r>
        <w:rPr>
          <w:spacing w:val="-2"/>
        </w:rPr>
        <w:t>r</w:t>
      </w:r>
      <w:r>
        <w:t xml:space="preserve">e </w:t>
      </w:r>
      <w:r>
        <w:rPr>
          <w:spacing w:val="-3"/>
        </w:rPr>
        <w:t>a</w:t>
      </w:r>
      <w:r>
        <w:t>ce</w:t>
      </w:r>
      <w:r>
        <w:rPr>
          <w:spacing w:val="-2"/>
        </w:rPr>
        <w:t>ș</w:t>
      </w:r>
      <w:r>
        <w:rPr>
          <w:spacing w:val="1"/>
        </w:rPr>
        <w:t>t</w:t>
      </w:r>
      <w:r>
        <w:rPr>
          <w:spacing w:val="-2"/>
        </w:rPr>
        <w:t>i</w:t>
      </w:r>
      <w:r>
        <w:t xml:space="preserve">a, 154 </w:t>
      </w:r>
      <w:r>
        <w:rPr>
          <w:spacing w:val="-3"/>
        </w:rPr>
        <w:t>p</w:t>
      </w:r>
      <w:r>
        <w:t>a</w:t>
      </w:r>
      <w:r>
        <w:rPr>
          <w:spacing w:val="-3"/>
        </w:rPr>
        <w:t>c</w:t>
      </w:r>
      <w:r>
        <w:rPr>
          <w:spacing w:val="1"/>
        </w:rPr>
        <w:t>i</w:t>
      </w:r>
      <w:r>
        <w:t>e</w:t>
      </w:r>
      <w:r>
        <w:rPr>
          <w:spacing w:val="-3"/>
        </w:rPr>
        <w:t>n</w:t>
      </w:r>
      <w:r>
        <w:rPr>
          <w:spacing w:val="1"/>
        </w:rPr>
        <w:t>ț</w:t>
      </w:r>
      <w:r>
        <w:t>i</w:t>
      </w:r>
      <w:r>
        <w:rPr>
          <w:spacing w:val="-2"/>
        </w:rPr>
        <w:t xml:space="preserve"> </w:t>
      </w:r>
      <w:r>
        <w:t>(90,</w:t>
      </w:r>
      <w:r>
        <w:rPr>
          <w:spacing w:val="-3"/>
        </w:rPr>
        <w:t>6</w:t>
      </w:r>
      <w:r>
        <w:t>%)</w:t>
      </w:r>
      <w:r>
        <w:rPr>
          <w:spacing w:val="-2"/>
        </w:rPr>
        <w:t xml:space="preserve"> </w:t>
      </w:r>
      <w:r>
        <w:t>au a</w:t>
      </w:r>
      <w:r>
        <w:rPr>
          <w:spacing w:val="-3"/>
        </w:rPr>
        <w:t>v</w:t>
      </w:r>
      <w:r>
        <w:t>ut</w:t>
      </w:r>
      <w:r>
        <w:rPr>
          <w:spacing w:val="-2"/>
        </w:rPr>
        <w:t xml:space="preserve"> </w:t>
      </w:r>
      <w:r>
        <w:t>răs</w:t>
      </w:r>
      <w:r>
        <w:rPr>
          <w:spacing w:val="-3"/>
        </w:rPr>
        <w:t>p</w:t>
      </w:r>
      <w:r>
        <w:t xml:space="preserve">uns </w:t>
      </w:r>
      <w:r>
        <w:rPr>
          <w:spacing w:val="-4"/>
        </w:rPr>
        <w:t>A</w:t>
      </w:r>
      <w:r>
        <w:rPr>
          <w:spacing w:val="-1"/>
        </w:rPr>
        <w:t>C</w:t>
      </w:r>
      <w:r>
        <w:t>R</w:t>
      </w:r>
      <w:r>
        <w:rPr>
          <w:spacing w:val="-1"/>
        </w:rPr>
        <w:t xml:space="preserve"> </w:t>
      </w:r>
      <w:r>
        <w:t>20;</w:t>
      </w:r>
      <w:r>
        <w:rPr>
          <w:spacing w:val="1"/>
        </w:rPr>
        <w:t xml:space="preserve"> </w:t>
      </w:r>
      <w:r>
        <w:t xml:space="preserve">127 </w:t>
      </w:r>
      <w:r>
        <w:rPr>
          <w:spacing w:val="-3"/>
        </w:rPr>
        <w:t>p</w:t>
      </w:r>
      <w:r>
        <w:t>a</w:t>
      </w:r>
      <w:r>
        <w:rPr>
          <w:spacing w:val="-3"/>
        </w:rPr>
        <w:t>c</w:t>
      </w:r>
      <w:r>
        <w:rPr>
          <w:spacing w:val="1"/>
        </w:rPr>
        <w:t>i</w:t>
      </w:r>
      <w:r>
        <w:t>e</w:t>
      </w:r>
      <w:r>
        <w:rPr>
          <w:spacing w:val="-3"/>
        </w:rPr>
        <w:t>n</w:t>
      </w:r>
      <w:r>
        <w:rPr>
          <w:spacing w:val="1"/>
        </w:rPr>
        <w:t>ț</w:t>
      </w:r>
      <w:r>
        <w:t>i</w:t>
      </w:r>
      <w:r>
        <w:rPr>
          <w:spacing w:val="-2"/>
        </w:rPr>
        <w:t xml:space="preserve"> </w:t>
      </w:r>
      <w:r>
        <w:t>(74,</w:t>
      </w:r>
      <w:r>
        <w:rPr>
          <w:spacing w:val="-3"/>
        </w:rPr>
        <w:t>7</w:t>
      </w:r>
      <w:r>
        <w:t>%)</w:t>
      </w:r>
      <w:r>
        <w:rPr>
          <w:spacing w:val="1"/>
        </w:rPr>
        <w:t xml:space="preserve"> </w:t>
      </w:r>
      <w:r>
        <w:rPr>
          <w:spacing w:val="-3"/>
        </w:rPr>
        <w:t>a</w:t>
      </w:r>
      <w:r>
        <w:t>u a</w:t>
      </w:r>
      <w:r>
        <w:rPr>
          <w:spacing w:val="-3"/>
        </w:rPr>
        <w:t>v</w:t>
      </w:r>
      <w:r>
        <w:t>ut</w:t>
      </w:r>
      <w:r>
        <w:rPr>
          <w:spacing w:val="1"/>
        </w:rPr>
        <w:t xml:space="preserve"> </w:t>
      </w:r>
      <w:r>
        <w:rPr>
          <w:spacing w:val="-2"/>
        </w:rPr>
        <w:t>r</w:t>
      </w:r>
      <w:r>
        <w:t>ăsp</w:t>
      </w:r>
      <w:r>
        <w:rPr>
          <w:spacing w:val="-3"/>
        </w:rPr>
        <w:t>u</w:t>
      </w:r>
      <w:r>
        <w:t xml:space="preserve">ns </w:t>
      </w:r>
      <w:r>
        <w:rPr>
          <w:spacing w:val="-1"/>
        </w:rPr>
        <w:t>AC</w:t>
      </w:r>
      <w:r>
        <w:t>R</w:t>
      </w:r>
      <w:r>
        <w:rPr>
          <w:spacing w:val="-1"/>
        </w:rPr>
        <w:t xml:space="preserve"> </w:t>
      </w:r>
      <w:r>
        <w:t>50 și</w:t>
      </w:r>
      <w:r>
        <w:rPr>
          <w:spacing w:val="1"/>
        </w:rPr>
        <w:t xml:space="preserve"> </w:t>
      </w:r>
      <w:r>
        <w:t>102</w:t>
      </w:r>
      <w:r>
        <w:rPr>
          <w:spacing w:val="-3"/>
        </w:rPr>
        <w:t xml:space="preserve"> </w:t>
      </w:r>
      <w:r>
        <w:t>pa</w:t>
      </w:r>
      <w:r>
        <w:rPr>
          <w:spacing w:val="-3"/>
        </w:rPr>
        <w:t>c</w:t>
      </w:r>
      <w:r>
        <w:rPr>
          <w:spacing w:val="1"/>
        </w:rPr>
        <w:t>i</w:t>
      </w:r>
      <w:r>
        <w:t>e</w:t>
      </w:r>
      <w:r>
        <w:rPr>
          <w:spacing w:val="-3"/>
        </w:rPr>
        <w:t>n</w:t>
      </w:r>
      <w:r>
        <w:rPr>
          <w:spacing w:val="1"/>
        </w:rPr>
        <w:t>ț</w:t>
      </w:r>
      <w:r>
        <w:t>i</w:t>
      </w:r>
      <w:r>
        <w:rPr>
          <w:spacing w:val="-2"/>
        </w:rPr>
        <w:t xml:space="preserve"> </w:t>
      </w:r>
      <w:r>
        <w:t>(6</w:t>
      </w:r>
      <w:r>
        <w:rPr>
          <w:spacing w:val="-3"/>
        </w:rPr>
        <w:t>0</w:t>
      </w:r>
      <w:r>
        <w:t>,0%)</w:t>
      </w:r>
      <w:r>
        <w:rPr>
          <w:spacing w:val="-2"/>
        </w:rPr>
        <w:t xml:space="preserve"> </w:t>
      </w:r>
      <w:r>
        <w:t>au a</w:t>
      </w:r>
      <w:r>
        <w:rPr>
          <w:spacing w:val="-3"/>
        </w:rPr>
        <w:t>v</w:t>
      </w:r>
      <w:r>
        <w:t>ut</w:t>
      </w:r>
      <w:r>
        <w:rPr>
          <w:spacing w:val="-2"/>
        </w:rPr>
        <w:t xml:space="preserve"> </w:t>
      </w:r>
      <w:r>
        <w:t>ră</w:t>
      </w:r>
      <w:r>
        <w:rPr>
          <w:spacing w:val="-2"/>
        </w:rPr>
        <w:t>s</w:t>
      </w:r>
      <w:r>
        <w:t xml:space="preserve">puns </w:t>
      </w:r>
      <w:r>
        <w:rPr>
          <w:spacing w:val="-1"/>
        </w:rPr>
        <w:t>AC</w:t>
      </w:r>
      <w:r>
        <w:t>R</w:t>
      </w:r>
      <w:r>
        <w:rPr>
          <w:spacing w:val="-4"/>
        </w:rPr>
        <w:t xml:space="preserve"> </w:t>
      </w:r>
      <w:r>
        <w:t>70.</w:t>
      </w:r>
    </w:p>
    <w:p w14:paraId="3F5B4118" w14:textId="77777777" w:rsidR="00C04CAD" w:rsidRDefault="00C04CAD">
      <w:pPr>
        <w:tabs>
          <w:tab w:val="clear" w:pos="567"/>
        </w:tabs>
        <w:kinsoku w:val="0"/>
        <w:overflowPunct w:val="0"/>
        <w:autoSpaceDE w:val="0"/>
        <w:autoSpaceDN w:val="0"/>
        <w:adjustRightInd w:val="0"/>
        <w:spacing w:line="240" w:lineRule="auto"/>
        <w:rPr>
          <w:spacing w:val="-4"/>
        </w:rPr>
      </w:pPr>
    </w:p>
    <w:p w14:paraId="2ADD0645"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săp</w:t>
      </w:r>
      <w:r>
        <w:rPr>
          <w:spacing w:val="1"/>
          <w:szCs w:val="22"/>
        </w:rPr>
        <w:t>t</w:t>
      </w:r>
      <w:r>
        <w:rPr>
          <w:szCs w:val="22"/>
        </w:rPr>
        <w:t>ă</w:t>
      </w:r>
      <w:r>
        <w:rPr>
          <w:spacing w:val="-4"/>
          <w:szCs w:val="22"/>
        </w:rPr>
        <w:t>m</w:t>
      </w:r>
      <w:r>
        <w:rPr>
          <w:szCs w:val="22"/>
        </w:rPr>
        <w:t>âna 52, 42,</w:t>
      </w:r>
      <w:r>
        <w:rPr>
          <w:spacing w:val="-3"/>
          <w:szCs w:val="22"/>
        </w:rPr>
        <w:t>9</w:t>
      </w:r>
      <w:r>
        <w:rPr>
          <w:szCs w:val="22"/>
        </w:rPr>
        <w:t>%</w:t>
      </w:r>
      <w:r>
        <w:rPr>
          <w:spacing w:val="1"/>
          <w:szCs w:val="22"/>
        </w:rPr>
        <w:t xml:space="preserve"> </w:t>
      </w:r>
      <w:r>
        <w:rPr>
          <w:szCs w:val="22"/>
        </w:rPr>
        <w:t>d</w:t>
      </w:r>
      <w:r>
        <w:rPr>
          <w:spacing w:val="-2"/>
          <w:szCs w:val="22"/>
        </w:rPr>
        <w:t>i</w:t>
      </w:r>
      <w:r>
        <w:rPr>
          <w:szCs w:val="22"/>
        </w:rPr>
        <w:t>n</w:t>
      </w:r>
      <w:r>
        <w:rPr>
          <w:spacing w:val="-3"/>
          <w:szCs w:val="22"/>
        </w:rPr>
        <w:t xml:space="preserve"> </w:t>
      </w:r>
      <w:r>
        <w:rPr>
          <w:szCs w:val="22"/>
        </w:rPr>
        <w:t>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c</w:t>
      </w:r>
      <w:r>
        <w:rPr>
          <w:spacing w:val="-3"/>
          <w:szCs w:val="22"/>
        </w:rPr>
        <w:t>a</w:t>
      </w:r>
      <w:r>
        <w:rPr>
          <w:szCs w:val="22"/>
        </w:rPr>
        <w:t xml:space="preserve">re </w:t>
      </w:r>
      <w:r>
        <w:rPr>
          <w:spacing w:val="-3"/>
          <w:szCs w:val="22"/>
        </w:rPr>
        <w:t>a</w:t>
      </w:r>
      <w:r>
        <w:rPr>
          <w:szCs w:val="22"/>
        </w:rPr>
        <w:t>u 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zCs w:val="22"/>
        </w:rPr>
        <w:t>un</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zCs w:val="22"/>
        </w:rPr>
        <w:t>c</w:t>
      </w:r>
      <w:r>
        <w:rPr>
          <w:spacing w:val="-3"/>
          <w:szCs w:val="22"/>
        </w:rPr>
        <w:t>o</w:t>
      </w:r>
      <w:r>
        <w:rPr>
          <w:szCs w:val="22"/>
        </w:rPr>
        <w:t>nco</w:t>
      </w:r>
      <w:r>
        <w:rPr>
          <w:spacing w:val="-4"/>
          <w:szCs w:val="22"/>
        </w:rPr>
        <w:t>m</w:t>
      </w:r>
      <w:r>
        <w:rPr>
          <w:spacing w:val="1"/>
          <w:szCs w:val="22"/>
        </w:rPr>
        <w:t>it</w:t>
      </w:r>
      <w:r>
        <w:rPr>
          <w:szCs w:val="22"/>
        </w:rPr>
        <w:t>e</w:t>
      </w:r>
      <w:r>
        <w:rPr>
          <w:spacing w:val="-3"/>
          <w:szCs w:val="22"/>
        </w:rPr>
        <w:t>n</w:t>
      </w:r>
      <w:r>
        <w:rPr>
          <w:szCs w:val="22"/>
        </w:rPr>
        <w:t>t</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şi</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w:t>
      </w:r>
      <w:r>
        <w:rPr>
          <w:szCs w:val="22"/>
        </w:rPr>
        <w:t>at au ob</w:t>
      </w:r>
      <w:r>
        <w:rPr>
          <w:spacing w:val="-2"/>
          <w:szCs w:val="22"/>
        </w:rPr>
        <w:t>ţ</w:t>
      </w:r>
      <w:r>
        <w:rPr>
          <w:spacing w:val="1"/>
          <w:szCs w:val="22"/>
        </w:rPr>
        <w:t>i</w:t>
      </w:r>
      <w:r>
        <w:rPr>
          <w:szCs w:val="22"/>
        </w:rPr>
        <w:t>n</w:t>
      </w:r>
      <w:r>
        <w:rPr>
          <w:spacing w:val="-3"/>
          <w:szCs w:val="22"/>
        </w:rPr>
        <w:t>u</w:t>
      </w:r>
      <w:r>
        <w:rPr>
          <w:szCs w:val="22"/>
        </w:rPr>
        <w:t>t</w:t>
      </w:r>
      <w:r>
        <w:rPr>
          <w:spacing w:val="1"/>
          <w:szCs w:val="22"/>
        </w:rPr>
        <w:t xml:space="preserve"> </w:t>
      </w:r>
      <w:r>
        <w:rPr>
          <w:spacing w:val="-2"/>
          <w:szCs w:val="22"/>
        </w:rPr>
        <w:t>r</w:t>
      </w:r>
      <w:r>
        <w:rPr>
          <w:szCs w:val="22"/>
        </w:rPr>
        <w:t>e</w:t>
      </w:r>
      <w:r>
        <w:rPr>
          <w:spacing w:val="-4"/>
          <w:szCs w:val="22"/>
        </w:rPr>
        <w:t>m</w:t>
      </w:r>
      <w:r>
        <w:rPr>
          <w:spacing w:val="1"/>
          <w:szCs w:val="22"/>
        </w:rPr>
        <w:t>i</w:t>
      </w:r>
      <w:r>
        <w:rPr>
          <w:szCs w:val="22"/>
        </w:rPr>
        <w:t>s</w:t>
      </w:r>
      <w:r>
        <w:rPr>
          <w:spacing w:val="1"/>
          <w:szCs w:val="22"/>
        </w:rPr>
        <w:t>i</w:t>
      </w:r>
      <w:r>
        <w:rPr>
          <w:szCs w:val="22"/>
        </w:rPr>
        <w:t>une</w:t>
      </w:r>
      <w:r>
        <w:rPr>
          <w:spacing w:val="-2"/>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că</w:t>
      </w:r>
      <w:r>
        <w:rPr>
          <w:spacing w:val="-2"/>
          <w:szCs w:val="22"/>
        </w:rPr>
        <w:t xml:space="preserve"> </w:t>
      </w:r>
      <w:r>
        <w:rPr>
          <w:szCs w:val="22"/>
        </w:rPr>
        <w:t>(</w:t>
      </w:r>
      <w:r>
        <w:rPr>
          <w:spacing w:val="-1"/>
          <w:szCs w:val="22"/>
        </w:rPr>
        <w:t>DAS</w:t>
      </w:r>
      <w:r>
        <w:rPr>
          <w:szCs w:val="22"/>
        </w:rPr>
        <w:t>28 (PCR) &lt;2,6)</w:t>
      </w:r>
      <w:r>
        <w:rPr>
          <w:spacing w:val="-2"/>
          <w:szCs w:val="22"/>
        </w:rPr>
        <w:t xml:space="preserve"> </w:t>
      </w:r>
      <w:r>
        <w:rPr>
          <w:szCs w:val="22"/>
        </w:rPr>
        <w:t>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cu 2</w:t>
      </w:r>
      <w:r>
        <w:rPr>
          <w:spacing w:val="-3"/>
          <w:szCs w:val="22"/>
        </w:rPr>
        <w:t>0</w:t>
      </w:r>
      <w:r>
        <w:rPr>
          <w:szCs w:val="22"/>
        </w:rPr>
        <w:t>,6%</w:t>
      </w:r>
      <w:r>
        <w:rPr>
          <w:spacing w:val="-2"/>
          <w:szCs w:val="22"/>
        </w:rPr>
        <w:t xml:space="preserve"> </w:t>
      </w:r>
      <w:r>
        <w:rPr>
          <w:szCs w:val="22"/>
        </w:rPr>
        <w:t>d</w:t>
      </w:r>
      <w:r>
        <w:rPr>
          <w:spacing w:val="1"/>
          <w:szCs w:val="22"/>
        </w:rPr>
        <w:t>i</w:t>
      </w:r>
      <w:r>
        <w:rPr>
          <w:szCs w:val="22"/>
        </w:rPr>
        <w:t>n</w:t>
      </w:r>
      <w:r>
        <w:rPr>
          <w:spacing w:val="-3"/>
          <w:szCs w:val="22"/>
        </w:rPr>
        <w:t xml:space="preserve"> </w:t>
      </w:r>
      <w:r>
        <w:rPr>
          <w:szCs w:val="22"/>
        </w:rPr>
        <w:t>pa</w:t>
      </w:r>
      <w:r>
        <w:rPr>
          <w:spacing w:val="-3"/>
          <w:szCs w:val="22"/>
        </w:rPr>
        <w:t>c</w:t>
      </w:r>
      <w:r>
        <w:rPr>
          <w:spacing w:val="1"/>
          <w:szCs w:val="22"/>
        </w:rPr>
        <w:t>i</w:t>
      </w:r>
      <w:r>
        <w:rPr>
          <w:spacing w:val="-3"/>
          <w:szCs w:val="22"/>
        </w:rPr>
        <w:t>e</w:t>
      </w:r>
      <w:r>
        <w:rPr>
          <w:szCs w:val="22"/>
        </w:rPr>
        <w:t>n</w:t>
      </w:r>
      <w:r>
        <w:rPr>
          <w:spacing w:val="1"/>
          <w:szCs w:val="22"/>
        </w:rPr>
        <w:t>ţ</w:t>
      </w:r>
      <w:r>
        <w:rPr>
          <w:szCs w:val="22"/>
        </w:rPr>
        <w:t>i</w:t>
      </w:r>
      <w:r>
        <w:rPr>
          <w:spacing w:val="-2"/>
          <w:szCs w:val="22"/>
        </w:rPr>
        <w:t xml:space="preserve"> </w:t>
      </w:r>
      <w:r>
        <w:rPr>
          <w:szCs w:val="22"/>
        </w:rPr>
        <w:t>ca</w:t>
      </w:r>
      <w:r>
        <w:rPr>
          <w:spacing w:val="-2"/>
          <w:szCs w:val="22"/>
        </w:rPr>
        <w:t>r</w:t>
      </w:r>
      <w:r>
        <w:rPr>
          <w:szCs w:val="22"/>
        </w:rPr>
        <w:t>e au</w:t>
      </w:r>
      <w:r>
        <w:rPr>
          <w:spacing w:val="-3"/>
          <w:szCs w:val="22"/>
        </w:rPr>
        <w:t xml:space="preserve"> </w:t>
      </w:r>
      <w:r>
        <w:rPr>
          <w:szCs w:val="22"/>
        </w:rPr>
        <w:t>p</w:t>
      </w:r>
      <w:r>
        <w:rPr>
          <w:spacing w:val="-2"/>
          <w:szCs w:val="22"/>
        </w:rPr>
        <w:t>r</w:t>
      </w:r>
      <w:r>
        <w:rPr>
          <w:spacing w:val="1"/>
          <w:szCs w:val="22"/>
        </w:rPr>
        <w:t>i</w:t>
      </w:r>
      <w:r>
        <w:rPr>
          <w:spacing w:val="-4"/>
          <w:szCs w:val="22"/>
        </w:rPr>
        <w:t>m</w:t>
      </w:r>
      <w:r>
        <w:rPr>
          <w:spacing w:val="1"/>
          <w:szCs w:val="22"/>
        </w:rPr>
        <w:t>i</w:t>
      </w:r>
      <w:r>
        <w:rPr>
          <w:szCs w:val="22"/>
        </w:rPr>
        <w:t xml:space="preserve">t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zCs w:val="22"/>
        </w:rPr>
        <w:t>t</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w:t>
      </w:r>
      <w:r>
        <w:rPr>
          <w:spacing w:val="-2"/>
          <w:szCs w:val="22"/>
        </w:rPr>
        <w:t>r</w:t>
      </w:r>
      <w:r>
        <w:rPr>
          <w:szCs w:val="22"/>
        </w:rPr>
        <w:t>ap</w:t>
      </w:r>
      <w:r>
        <w:rPr>
          <w:spacing w:val="-2"/>
          <w:szCs w:val="22"/>
        </w:rPr>
        <w:t>i</w:t>
      </w:r>
      <w:r>
        <w:rPr>
          <w:szCs w:val="22"/>
        </w:rPr>
        <w:t>e</w:t>
      </w:r>
      <w:r>
        <w:rPr>
          <w:spacing w:val="-2"/>
          <w:szCs w:val="22"/>
        </w:rPr>
        <w:t xml:space="preserve"> </w:t>
      </w:r>
      <w:r>
        <w:rPr>
          <w:szCs w:val="22"/>
        </w:rPr>
        <w:t>şi</w:t>
      </w:r>
      <w:r>
        <w:rPr>
          <w:spacing w:val="1"/>
          <w:szCs w:val="22"/>
        </w:rPr>
        <w:t xml:space="preserve"> </w:t>
      </w:r>
      <w:r>
        <w:rPr>
          <w:szCs w:val="22"/>
        </w:rPr>
        <w:t>23</w:t>
      </w:r>
      <w:r>
        <w:rPr>
          <w:spacing w:val="-3"/>
          <w:szCs w:val="22"/>
        </w:rPr>
        <w:t>,</w:t>
      </w:r>
      <w:r>
        <w:rPr>
          <w:szCs w:val="22"/>
        </w:rPr>
        <w:t>4%</w:t>
      </w:r>
      <w:r>
        <w:rPr>
          <w:spacing w:val="1"/>
          <w:szCs w:val="22"/>
        </w:rPr>
        <w:t xml:space="preserve"> </w:t>
      </w:r>
      <w:r>
        <w:rPr>
          <w:spacing w:val="-3"/>
          <w:szCs w:val="22"/>
        </w:rPr>
        <w:t>d</w:t>
      </w:r>
      <w:r>
        <w:rPr>
          <w:spacing w:val="1"/>
          <w:szCs w:val="22"/>
        </w:rPr>
        <w:t>i</w:t>
      </w:r>
      <w:r>
        <w:rPr>
          <w:szCs w:val="22"/>
        </w:rPr>
        <w:t xml:space="preserve">n </w:t>
      </w:r>
      <w:r>
        <w:rPr>
          <w:spacing w:val="-3"/>
          <w:szCs w:val="22"/>
        </w:rPr>
        <w:t>p</w:t>
      </w:r>
      <w:r>
        <w:rPr>
          <w:szCs w:val="22"/>
        </w:rPr>
        <w:t>ac</w:t>
      </w:r>
      <w:r>
        <w:rPr>
          <w:spacing w:val="-2"/>
          <w:szCs w:val="22"/>
        </w:rPr>
        <w:t>i</w:t>
      </w:r>
      <w:r>
        <w:rPr>
          <w:szCs w:val="22"/>
        </w:rPr>
        <w:t>en</w:t>
      </w:r>
      <w:r>
        <w:rPr>
          <w:spacing w:val="-2"/>
          <w:szCs w:val="22"/>
        </w:rPr>
        <w:t>ţi</w:t>
      </w:r>
      <w:r>
        <w:rPr>
          <w:szCs w:val="22"/>
        </w:rPr>
        <w:t>i</w:t>
      </w:r>
      <w:r>
        <w:rPr>
          <w:spacing w:val="1"/>
          <w:szCs w:val="22"/>
        </w:rPr>
        <w:t xml:space="preserve"> </w:t>
      </w:r>
      <w:r>
        <w:rPr>
          <w:szCs w:val="22"/>
        </w:rPr>
        <w:t>c</w:t>
      </w:r>
      <w:r>
        <w:rPr>
          <w:spacing w:val="-3"/>
          <w:szCs w:val="22"/>
        </w:rPr>
        <w:t>a</w:t>
      </w:r>
      <w:r>
        <w:rPr>
          <w:szCs w:val="22"/>
        </w:rPr>
        <w:t>re</w:t>
      </w:r>
      <w:r>
        <w:rPr>
          <w:spacing w:val="-2"/>
          <w:szCs w:val="22"/>
        </w:rPr>
        <w:t xml:space="preserve"> </w:t>
      </w:r>
      <w:r>
        <w:rPr>
          <w:szCs w:val="22"/>
        </w:rPr>
        <w:t>au 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spacing w:val="-4"/>
          <w:szCs w:val="22"/>
        </w:rPr>
        <w:t>m</w:t>
      </w:r>
      <w:r>
        <w:rPr>
          <w:szCs w:val="22"/>
        </w:rPr>
        <w:t>ono</w:t>
      </w:r>
      <w:r>
        <w:rPr>
          <w:spacing w:val="-2"/>
          <w:szCs w:val="22"/>
        </w:rPr>
        <w:t>t</w:t>
      </w:r>
      <w:r>
        <w:rPr>
          <w:szCs w:val="22"/>
        </w:rPr>
        <w:t>era</w:t>
      </w:r>
      <w:r>
        <w:rPr>
          <w:spacing w:val="-3"/>
          <w:szCs w:val="22"/>
        </w:rPr>
        <w:t>p</w:t>
      </w:r>
      <w:r>
        <w:rPr>
          <w:spacing w:val="1"/>
          <w:szCs w:val="22"/>
        </w:rPr>
        <w:t>i</w:t>
      </w:r>
      <w:r>
        <w:rPr>
          <w:szCs w:val="22"/>
        </w:rPr>
        <w:t>e.</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 conco</w:t>
      </w:r>
      <w:r>
        <w:rPr>
          <w:spacing w:val="-4"/>
          <w:szCs w:val="22"/>
        </w:rPr>
        <w:t>m</w:t>
      </w:r>
      <w:r>
        <w:rPr>
          <w:spacing w:val="1"/>
          <w:szCs w:val="22"/>
        </w:rPr>
        <w:t>it</w:t>
      </w:r>
      <w:r>
        <w:rPr>
          <w:szCs w:val="22"/>
        </w:rPr>
        <w:t>e</w:t>
      </w:r>
      <w:r>
        <w:rPr>
          <w:spacing w:val="-3"/>
          <w:szCs w:val="22"/>
        </w:rPr>
        <w:t>n</w:t>
      </w:r>
      <w:r>
        <w:rPr>
          <w:szCs w:val="22"/>
        </w:rPr>
        <w:t>t</w:t>
      </w:r>
      <w:r>
        <w:rPr>
          <w:spacing w:val="1"/>
          <w:szCs w:val="22"/>
        </w:rPr>
        <w:t xml:space="preserve"> </w:t>
      </w:r>
      <w:r>
        <w:rPr>
          <w:szCs w:val="22"/>
        </w:rPr>
        <w:t>cu</w:t>
      </w:r>
      <w:r>
        <w:rPr>
          <w:spacing w:val="-3"/>
          <w:szCs w:val="22"/>
        </w:rPr>
        <w:t xml:space="preserve"> </w:t>
      </w:r>
      <w:r>
        <w:rPr>
          <w:rFonts w:eastAsia="MS Mincho"/>
          <w:spacing w:val="-1"/>
          <w:szCs w:val="22"/>
          <w:lang w:eastAsia="en-US" w:bidi="ar-SA"/>
        </w:rPr>
        <w:t>adalimumab</w:t>
      </w:r>
      <w:r>
        <w:rPr>
          <w:szCs w:val="22"/>
        </w:rPr>
        <w:t xml:space="preserve"> şi</w:t>
      </w:r>
      <w:r>
        <w:rPr>
          <w:spacing w:val="-2"/>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zCs w:val="22"/>
        </w:rPr>
        <w:t>t</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2"/>
          <w:szCs w:val="22"/>
        </w:rPr>
        <w:t>s</w:t>
      </w:r>
      <w:r>
        <w:rPr>
          <w:szCs w:val="22"/>
        </w:rPr>
        <w:t>upe</w:t>
      </w:r>
      <w:r>
        <w:rPr>
          <w:spacing w:val="-2"/>
          <w:szCs w:val="22"/>
        </w:rPr>
        <w:t>r</w:t>
      </w:r>
      <w:r>
        <w:rPr>
          <w:spacing w:val="1"/>
          <w:szCs w:val="22"/>
        </w:rPr>
        <w:t>i</w:t>
      </w:r>
      <w:r>
        <w:rPr>
          <w:spacing w:val="-3"/>
          <w:szCs w:val="22"/>
        </w:rPr>
        <w:t>o</w:t>
      </w:r>
      <w:r>
        <w:rPr>
          <w:szCs w:val="22"/>
        </w:rPr>
        <w:t>r</w:t>
      </w:r>
      <w:r>
        <w:rPr>
          <w:spacing w:val="1"/>
          <w:szCs w:val="22"/>
        </w:rPr>
        <w:t xml:space="preserve"> </w:t>
      </w:r>
      <w:r>
        <w:rPr>
          <w:spacing w:val="-3"/>
          <w:szCs w:val="22"/>
        </w:rPr>
        <w:t>d</w:t>
      </w:r>
      <w:r>
        <w:rPr>
          <w:spacing w:val="1"/>
          <w:szCs w:val="22"/>
        </w:rPr>
        <w:t>i</w:t>
      </w:r>
      <w:r>
        <w:rPr>
          <w:szCs w:val="22"/>
        </w:rPr>
        <w:t>n pu</w:t>
      </w:r>
      <w:r>
        <w:rPr>
          <w:spacing w:val="-3"/>
          <w:szCs w:val="22"/>
        </w:rPr>
        <w:t>n</w:t>
      </w:r>
      <w:r>
        <w:rPr>
          <w:szCs w:val="22"/>
        </w:rPr>
        <w:t>ct</w:t>
      </w:r>
      <w:r>
        <w:rPr>
          <w:spacing w:val="1"/>
          <w:szCs w:val="22"/>
        </w:rPr>
        <w:t xml:space="preserve"> </w:t>
      </w:r>
      <w:r>
        <w:rPr>
          <w:spacing w:val="-3"/>
          <w:szCs w:val="22"/>
        </w:rPr>
        <w:t>d</w:t>
      </w:r>
      <w:r>
        <w:rPr>
          <w:szCs w:val="22"/>
        </w:rPr>
        <w:t xml:space="preserve">e </w:t>
      </w:r>
      <w:r>
        <w:rPr>
          <w:spacing w:val="-3"/>
          <w:szCs w:val="22"/>
        </w:rPr>
        <w:t>v</w:t>
      </w:r>
      <w:r>
        <w:rPr>
          <w:szCs w:val="22"/>
        </w:rPr>
        <w:t>edere</w:t>
      </w:r>
      <w:r>
        <w:rPr>
          <w:spacing w:val="-2"/>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 xml:space="preserve">c </w:t>
      </w:r>
      <w:r>
        <w:rPr>
          <w:spacing w:val="-2"/>
          <w:szCs w:val="22"/>
        </w:rPr>
        <w:t>ş</w:t>
      </w:r>
      <w:r>
        <w:rPr>
          <w:szCs w:val="22"/>
        </w:rPr>
        <w:t>i</w:t>
      </w:r>
      <w:r>
        <w:rPr>
          <w:spacing w:val="-2"/>
          <w:szCs w:val="22"/>
        </w:rPr>
        <w:t xml:space="preserve"> </w:t>
      </w:r>
      <w:r>
        <w:rPr>
          <w:szCs w:val="22"/>
        </w:rPr>
        <w:t>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zCs w:val="22"/>
        </w:rPr>
        <w:t>c</w:t>
      </w:r>
      <w:r>
        <w:rPr>
          <w:spacing w:val="-2"/>
          <w:szCs w:val="22"/>
        </w:rPr>
        <w:t xml:space="preserve"> </w:t>
      </w:r>
      <w:r>
        <w:rPr>
          <w:spacing w:val="1"/>
          <w:szCs w:val="22"/>
        </w:rPr>
        <w:t>î</w:t>
      </w:r>
      <w:r>
        <w:rPr>
          <w:szCs w:val="22"/>
        </w:rPr>
        <w:t>n c</w:t>
      </w:r>
      <w:r>
        <w:rPr>
          <w:spacing w:val="-3"/>
          <w:szCs w:val="22"/>
        </w:rPr>
        <w:t>e</w:t>
      </w:r>
      <w:r>
        <w:rPr>
          <w:szCs w:val="22"/>
        </w:rPr>
        <w:t xml:space="preserve">ea </w:t>
      </w:r>
      <w:r>
        <w:rPr>
          <w:spacing w:val="-3"/>
          <w:szCs w:val="22"/>
        </w:rPr>
        <w:t>c</w:t>
      </w:r>
      <w:r>
        <w:rPr>
          <w:szCs w:val="22"/>
        </w:rPr>
        <w:t>e pr</w:t>
      </w:r>
      <w:r>
        <w:rPr>
          <w:spacing w:val="1"/>
          <w:szCs w:val="22"/>
        </w:rPr>
        <w:t>i</w:t>
      </w:r>
      <w:r>
        <w:rPr>
          <w:spacing w:val="-3"/>
          <w:szCs w:val="22"/>
        </w:rPr>
        <w:t>v</w:t>
      </w:r>
      <w:r>
        <w:rPr>
          <w:szCs w:val="22"/>
        </w:rPr>
        <w:t>eş</w:t>
      </w:r>
      <w:r>
        <w:rPr>
          <w:spacing w:val="-2"/>
          <w:szCs w:val="22"/>
        </w:rPr>
        <w:t>t</w:t>
      </w:r>
      <w:r>
        <w:rPr>
          <w:szCs w:val="22"/>
        </w:rPr>
        <w:t>e o</w:t>
      </w:r>
      <w:r>
        <w:rPr>
          <w:spacing w:val="-3"/>
          <w:szCs w:val="22"/>
        </w:rPr>
        <w:t>b</w:t>
      </w:r>
      <w:r>
        <w:rPr>
          <w:spacing w:val="1"/>
          <w:szCs w:val="22"/>
        </w:rPr>
        <w:t>ţi</w:t>
      </w:r>
      <w:r>
        <w:rPr>
          <w:spacing w:val="-3"/>
          <w:szCs w:val="22"/>
        </w:rPr>
        <w:t>n</w:t>
      </w:r>
      <w:r>
        <w:rPr>
          <w:szCs w:val="22"/>
        </w:rPr>
        <w:t>e</w:t>
      </w:r>
      <w:r>
        <w:rPr>
          <w:spacing w:val="-2"/>
          <w:szCs w:val="22"/>
        </w:rPr>
        <w:t>r</w:t>
      </w:r>
      <w:r>
        <w:rPr>
          <w:szCs w:val="22"/>
        </w:rPr>
        <w:t>ea u</w:t>
      </w:r>
      <w:r>
        <w:rPr>
          <w:spacing w:val="-3"/>
          <w:szCs w:val="22"/>
        </w:rPr>
        <w:t>n</w:t>
      </w:r>
      <w:r>
        <w:rPr>
          <w:szCs w:val="22"/>
        </w:rPr>
        <w:t>ei</w:t>
      </w:r>
      <w:r>
        <w:rPr>
          <w:spacing w:val="-2"/>
          <w:szCs w:val="22"/>
        </w:rPr>
        <w:t xml:space="preserve"> </w:t>
      </w:r>
      <w:r>
        <w:rPr>
          <w:szCs w:val="22"/>
        </w:rPr>
        <w:t>re</w:t>
      </w:r>
      <w:r>
        <w:rPr>
          <w:spacing w:val="-4"/>
          <w:szCs w:val="22"/>
        </w:rPr>
        <w:t>m</w:t>
      </w:r>
      <w:r>
        <w:rPr>
          <w:spacing w:val="1"/>
          <w:szCs w:val="22"/>
        </w:rPr>
        <w:t>i</w:t>
      </w:r>
      <w:r>
        <w:rPr>
          <w:szCs w:val="22"/>
        </w:rPr>
        <w:t>s</w:t>
      </w:r>
      <w:r>
        <w:rPr>
          <w:spacing w:val="-2"/>
          <w:szCs w:val="22"/>
        </w:rPr>
        <w:t>i</w:t>
      </w:r>
      <w:r>
        <w:rPr>
          <w:szCs w:val="22"/>
        </w:rPr>
        <w:t>uni</w:t>
      </w:r>
      <w:r>
        <w:rPr>
          <w:spacing w:val="-2"/>
          <w:szCs w:val="22"/>
        </w:rPr>
        <w:t xml:space="preserve"> </w:t>
      </w:r>
      <w:r>
        <w:rPr>
          <w:szCs w:val="22"/>
        </w:rPr>
        <w:t>a b</w:t>
      </w:r>
      <w:r>
        <w:rPr>
          <w:spacing w:val="-3"/>
          <w:szCs w:val="22"/>
        </w:rPr>
        <w:t>o</w:t>
      </w:r>
      <w:r>
        <w:rPr>
          <w:spacing w:val="1"/>
          <w:szCs w:val="22"/>
        </w:rPr>
        <w:t>l</w:t>
      </w:r>
      <w:r>
        <w:rPr>
          <w:spacing w:val="-2"/>
          <w:szCs w:val="22"/>
        </w:rPr>
        <w:t>i</w:t>
      </w:r>
      <w:r>
        <w:rPr>
          <w:szCs w:val="22"/>
        </w:rPr>
        <w:t>i</w:t>
      </w:r>
      <w:r>
        <w:rPr>
          <w:spacing w:val="1"/>
          <w:szCs w:val="22"/>
        </w:rPr>
        <w:t xml:space="preserve">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3"/>
          <w:szCs w:val="22"/>
        </w:rPr>
        <w:t>c</w:t>
      </w:r>
      <w:r>
        <w:rPr>
          <w:szCs w:val="22"/>
        </w:rPr>
        <w:t>u</w:t>
      </w:r>
      <w:r>
        <w:rPr>
          <w:spacing w:val="-3"/>
          <w:szCs w:val="22"/>
        </w:rPr>
        <w:t xml:space="preserve"> </w:t>
      </w:r>
      <w:r>
        <w:rPr>
          <w:szCs w:val="22"/>
        </w:rPr>
        <w:t>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1"/>
          <w:szCs w:val="22"/>
        </w:rPr>
        <w:t>i</w:t>
      </w:r>
      <w:r>
        <w:rPr>
          <w:szCs w:val="22"/>
        </w:rPr>
        <w:t>dă</w:t>
      </w:r>
      <w:r>
        <w:rPr>
          <w:spacing w:val="-2"/>
          <w:szCs w:val="22"/>
        </w:rPr>
        <w:t xml:space="preserve"> </w:t>
      </w:r>
      <w:r>
        <w:rPr>
          <w:szCs w:val="22"/>
        </w:rPr>
        <w:t>pr</w:t>
      </w:r>
      <w:r>
        <w:rPr>
          <w:spacing w:val="-3"/>
          <w:szCs w:val="22"/>
        </w:rPr>
        <w:t>e</w:t>
      </w:r>
      <w:r>
        <w:rPr>
          <w:szCs w:val="22"/>
        </w:rPr>
        <w:t>c</w:t>
      </w:r>
      <w:r>
        <w:rPr>
          <w:spacing w:val="-3"/>
          <w:szCs w:val="22"/>
        </w:rPr>
        <w:t>o</w:t>
      </w:r>
      <w:r>
        <w:rPr>
          <w:szCs w:val="22"/>
        </w:rPr>
        <w:t xml:space="preserve">ce </w:t>
      </w:r>
      <w:r>
        <w:rPr>
          <w:spacing w:val="-4"/>
          <w:szCs w:val="22"/>
        </w:rPr>
        <w:t>m</w:t>
      </w:r>
      <w:r>
        <w:rPr>
          <w:szCs w:val="22"/>
        </w:rPr>
        <w:t>odera</w:t>
      </w:r>
      <w:r>
        <w:rPr>
          <w:spacing w:val="-2"/>
          <w:szCs w:val="22"/>
        </w:rPr>
        <w:t>t</w:t>
      </w:r>
      <w:r>
        <w:rPr>
          <w:szCs w:val="22"/>
        </w:rPr>
        <w:t>ă pâ</w:t>
      </w:r>
      <w:r>
        <w:rPr>
          <w:spacing w:val="-3"/>
          <w:szCs w:val="22"/>
        </w:rPr>
        <w:t>n</w:t>
      </w:r>
      <w:r>
        <w:rPr>
          <w:szCs w:val="22"/>
        </w:rPr>
        <w:t xml:space="preserve">ă </w:t>
      </w:r>
      <w:r>
        <w:rPr>
          <w:spacing w:val="-2"/>
          <w:szCs w:val="22"/>
        </w:rPr>
        <w:t>l</w:t>
      </w:r>
      <w:r>
        <w:rPr>
          <w:szCs w:val="22"/>
        </w:rPr>
        <w:t>a se</w:t>
      </w:r>
      <w:r>
        <w:rPr>
          <w:spacing w:val="-3"/>
          <w:szCs w:val="22"/>
        </w:rPr>
        <w:t>v</w:t>
      </w:r>
      <w:r>
        <w:rPr>
          <w:szCs w:val="22"/>
        </w:rPr>
        <w:t xml:space="preserve">eră, </w:t>
      </w:r>
      <w:r>
        <w:rPr>
          <w:spacing w:val="-3"/>
          <w:szCs w:val="22"/>
        </w:rPr>
        <w:t>c</w:t>
      </w:r>
      <w:r>
        <w:rPr>
          <w:szCs w:val="22"/>
        </w:rPr>
        <w:t>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 xml:space="preserve">cu </w:t>
      </w:r>
      <w:r>
        <w:rPr>
          <w:spacing w:val="1"/>
          <w:szCs w:val="22"/>
        </w:rPr>
        <w:t>t</w:t>
      </w:r>
      <w:r>
        <w:rPr>
          <w:spacing w:val="-2"/>
          <w:szCs w:val="22"/>
        </w:rPr>
        <w:t>r</w:t>
      </w:r>
      <w:r>
        <w:rPr>
          <w:szCs w:val="22"/>
        </w:rPr>
        <w:t>a</w:t>
      </w:r>
      <w:r>
        <w:rPr>
          <w:spacing w:val="1"/>
          <w:szCs w:val="22"/>
        </w:rPr>
        <w:t>t</w:t>
      </w:r>
      <w:r>
        <w:rPr>
          <w:spacing w:val="-3"/>
          <w:szCs w:val="22"/>
        </w:rPr>
        <w:t>a</w:t>
      </w:r>
      <w:r>
        <w:rPr>
          <w:spacing w:val="-4"/>
          <w:szCs w:val="22"/>
        </w:rPr>
        <w:t>m</w:t>
      </w:r>
      <w:r>
        <w:rPr>
          <w:szCs w:val="22"/>
        </w:rPr>
        <w:t>en</w:t>
      </w:r>
      <w:r>
        <w:rPr>
          <w:spacing w:val="1"/>
          <w:szCs w:val="22"/>
        </w:rPr>
        <w:t>t</w:t>
      </w:r>
      <w:r>
        <w:rPr>
          <w:szCs w:val="22"/>
        </w:rPr>
        <w:t>ul</w:t>
      </w:r>
      <w:r>
        <w:rPr>
          <w:spacing w:val="1"/>
          <w:szCs w:val="22"/>
        </w:rPr>
        <w:t xml:space="preserve"> </w:t>
      </w:r>
      <w:r>
        <w:rPr>
          <w:szCs w:val="22"/>
        </w:rPr>
        <w:t xml:space="preserve">cu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w:t>
      </w:r>
      <w:r>
        <w:rPr>
          <w:szCs w:val="22"/>
        </w:rPr>
        <w:t>at</w:t>
      </w:r>
      <w:r>
        <w:rPr>
          <w:spacing w:val="-2"/>
          <w:szCs w:val="22"/>
        </w:rPr>
        <w:t xml:space="preserve"> </w:t>
      </w:r>
      <w:r>
        <w:rPr>
          <w:szCs w:val="22"/>
        </w:rPr>
        <w:t>(p &lt;0</w:t>
      </w:r>
      <w:r>
        <w:rPr>
          <w:spacing w:val="-3"/>
          <w:szCs w:val="22"/>
        </w:rPr>
        <w:t>,</w:t>
      </w:r>
      <w:r>
        <w:rPr>
          <w:szCs w:val="22"/>
        </w:rPr>
        <w:t>001)</w:t>
      </w:r>
      <w:r>
        <w:rPr>
          <w:spacing w:val="1"/>
          <w:szCs w:val="22"/>
        </w:rPr>
        <w:t xml:space="preserve"> </w:t>
      </w:r>
      <w:r>
        <w:rPr>
          <w:spacing w:val="-2"/>
          <w:szCs w:val="22"/>
        </w:rPr>
        <w:t>s</w:t>
      </w:r>
      <w:r>
        <w:rPr>
          <w:szCs w:val="22"/>
        </w:rPr>
        <w:t xml:space="preserve">au </w:t>
      </w:r>
      <w:r>
        <w:rPr>
          <w:rFonts w:eastAsia="MS Mincho"/>
          <w:spacing w:val="-1"/>
          <w:szCs w:val="22"/>
          <w:lang w:eastAsia="en-US" w:bidi="ar-SA"/>
        </w:rPr>
        <w:t>adalimumab</w:t>
      </w:r>
      <w:r>
        <w:rPr>
          <w:szCs w:val="22"/>
        </w:rPr>
        <w:t xml:space="preserve"> </w:t>
      </w:r>
      <w:r>
        <w:rPr>
          <w:spacing w:val="-2"/>
          <w:szCs w:val="22"/>
        </w:rPr>
        <w:t>î</w:t>
      </w:r>
      <w:r>
        <w:rPr>
          <w:szCs w:val="22"/>
        </w:rPr>
        <w:t xml:space="preserve">n </w:t>
      </w:r>
      <w:r>
        <w:rPr>
          <w:spacing w:val="-4"/>
          <w:szCs w:val="22"/>
        </w:rPr>
        <w:t>m</w:t>
      </w:r>
      <w:r>
        <w:rPr>
          <w:szCs w:val="22"/>
        </w:rPr>
        <w:t>ono</w:t>
      </w:r>
      <w:r>
        <w:rPr>
          <w:spacing w:val="1"/>
          <w:szCs w:val="22"/>
        </w:rPr>
        <w:t>t</w:t>
      </w:r>
      <w:r>
        <w:rPr>
          <w:spacing w:val="-3"/>
          <w:szCs w:val="22"/>
        </w:rPr>
        <w:t>e</w:t>
      </w:r>
      <w:r>
        <w:rPr>
          <w:szCs w:val="22"/>
        </w:rPr>
        <w:t>rap</w:t>
      </w:r>
      <w:r>
        <w:rPr>
          <w:spacing w:val="-2"/>
          <w:szCs w:val="22"/>
        </w:rPr>
        <w:t>i</w:t>
      </w:r>
      <w:r>
        <w:rPr>
          <w:szCs w:val="22"/>
        </w:rPr>
        <w:t xml:space="preserve">e </w:t>
      </w:r>
      <w:r>
        <w:rPr>
          <w:spacing w:val="-2"/>
          <w:szCs w:val="22"/>
        </w:rPr>
        <w:t>(</w:t>
      </w:r>
      <w:r>
        <w:rPr>
          <w:szCs w:val="22"/>
        </w:rPr>
        <w:t>p &lt;0,0</w:t>
      </w:r>
      <w:r>
        <w:rPr>
          <w:spacing w:val="-3"/>
          <w:szCs w:val="22"/>
        </w:rPr>
        <w:t>0</w:t>
      </w:r>
      <w:r>
        <w:rPr>
          <w:szCs w:val="22"/>
        </w:rPr>
        <w:t xml:space="preserve">1). </w:t>
      </w:r>
      <w:r>
        <w:rPr>
          <w:spacing w:val="-1"/>
          <w:szCs w:val="22"/>
        </w:rPr>
        <w:t>R</w:t>
      </w:r>
      <w:r>
        <w:rPr>
          <w:szCs w:val="22"/>
        </w:rPr>
        <w:t>ăspuns</w:t>
      </w:r>
      <w:r>
        <w:rPr>
          <w:spacing w:val="-3"/>
          <w:szCs w:val="22"/>
        </w:rPr>
        <w:t>u</w:t>
      </w:r>
      <w:r>
        <w:rPr>
          <w:szCs w:val="22"/>
        </w:rPr>
        <w:t>l</w:t>
      </w:r>
      <w:r>
        <w:rPr>
          <w:spacing w:val="1"/>
          <w:szCs w:val="22"/>
        </w:rPr>
        <w:t xml:space="preserve"> </w:t>
      </w:r>
      <w:r>
        <w:rPr>
          <w:spacing w:val="-3"/>
          <w:szCs w:val="22"/>
        </w:rPr>
        <w:t>p</w:t>
      </w:r>
      <w:r>
        <w:rPr>
          <w:szCs w:val="22"/>
        </w:rPr>
        <w:t>en</w:t>
      </w:r>
      <w:r>
        <w:rPr>
          <w:spacing w:val="-2"/>
          <w:szCs w:val="22"/>
        </w:rPr>
        <w:t>t</w:t>
      </w:r>
      <w:r>
        <w:rPr>
          <w:szCs w:val="22"/>
        </w:rPr>
        <w:t xml:space="preserve">ru </w:t>
      </w:r>
      <w:r>
        <w:rPr>
          <w:spacing w:val="-3"/>
          <w:szCs w:val="22"/>
        </w:rPr>
        <w:t>c</w:t>
      </w:r>
      <w:r>
        <w:rPr>
          <w:szCs w:val="22"/>
        </w:rPr>
        <w:t>e</w:t>
      </w:r>
      <w:r>
        <w:rPr>
          <w:spacing w:val="1"/>
          <w:szCs w:val="22"/>
        </w:rPr>
        <w:t>l</w:t>
      </w:r>
      <w:r>
        <w:rPr>
          <w:szCs w:val="22"/>
        </w:rPr>
        <w:t>e</w:t>
      </w:r>
      <w:r>
        <w:rPr>
          <w:spacing w:val="-2"/>
          <w:szCs w:val="22"/>
        </w:rPr>
        <w:t xml:space="preserve"> </w:t>
      </w:r>
      <w:r>
        <w:rPr>
          <w:szCs w:val="22"/>
        </w:rPr>
        <w:t>două</w:t>
      </w:r>
      <w:r>
        <w:rPr>
          <w:spacing w:val="-2"/>
          <w:szCs w:val="22"/>
        </w:rPr>
        <w:t xml:space="preserve"> </w:t>
      </w:r>
      <w:r>
        <w:rPr>
          <w:spacing w:val="-3"/>
          <w:szCs w:val="22"/>
        </w:rPr>
        <w:t>g</w:t>
      </w:r>
      <w:r>
        <w:rPr>
          <w:szCs w:val="22"/>
        </w:rPr>
        <w:t>rupuri</w:t>
      </w:r>
      <w:r>
        <w:rPr>
          <w:spacing w:val="1"/>
          <w:szCs w:val="22"/>
        </w:rPr>
        <w:t xml:space="preserve"> </w:t>
      </w:r>
      <w:r>
        <w:rPr>
          <w:spacing w:val="-3"/>
          <w:szCs w:val="22"/>
        </w:rPr>
        <w:t>d</w:t>
      </w:r>
      <w:r>
        <w:rPr>
          <w:szCs w:val="22"/>
        </w:rPr>
        <w:t xml:space="preserve">e </w:t>
      </w:r>
      <w:r>
        <w:rPr>
          <w:spacing w:val="-4"/>
          <w:szCs w:val="22"/>
        </w:rPr>
        <w:t>m</w:t>
      </w:r>
      <w:r>
        <w:rPr>
          <w:szCs w:val="22"/>
        </w:rPr>
        <w:t>ono</w:t>
      </w:r>
      <w:r>
        <w:rPr>
          <w:spacing w:val="1"/>
          <w:szCs w:val="22"/>
        </w:rPr>
        <w:t>t</w:t>
      </w:r>
      <w:r>
        <w:rPr>
          <w:szCs w:val="22"/>
        </w:rPr>
        <w:t>e</w:t>
      </w:r>
      <w:r>
        <w:rPr>
          <w:spacing w:val="-2"/>
          <w:szCs w:val="22"/>
        </w:rPr>
        <w:t>r</w:t>
      </w:r>
      <w:r>
        <w:rPr>
          <w:szCs w:val="22"/>
        </w:rPr>
        <w:t>ap</w:t>
      </w:r>
      <w:r>
        <w:rPr>
          <w:spacing w:val="-2"/>
          <w:szCs w:val="22"/>
        </w:rPr>
        <w:t>i</w:t>
      </w:r>
      <w:r>
        <w:rPr>
          <w:szCs w:val="22"/>
        </w:rPr>
        <w:t>e a</w:t>
      </w:r>
      <w:r>
        <w:rPr>
          <w:spacing w:val="-2"/>
          <w:szCs w:val="22"/>
        </w:rPr>
        <w:t xml:space="preserve"> f</w:t>
      </w:r>
      <w:r>
        <w:rPr>
          <w:szCs w:val="22"/>
        </w:rPr>
        <w:t>ost</w:t>
      </w:r>
      <w:r>
        <w:rPr>
          <w:spacing w:val="1"/>
          <w:szCs w:val="22"/>
        </w:rPr>
        <w:t xml:space="preserve"> </w:t>
      </w:r>
      <w:r>
        <w:rPr>
          <w:spacing w:val="-2"/>
          <w:szCs w:val="22"/>
        </w:rPr>
        <w:t>s</w:t>
      </w:r>
      <w:r>
        <w:rPr>
          <w:spacing w:val="1"/>
          <w:szCs w:val="22"/>
        </w:rPr>
        <w:t>i</w:t>
      </w:r>
      <w:r>
        <w:rPr>
          <w:spacing w:val="-4"/>
          <w:szCs w:val="22"/>
        </w:rPr>
        <w:t>m</w:t>
      </w:r>
      <w:r>
        <w:rPr>
          <w:spacing w:val="1"/>
          <w:szCs w:val="22"/>
        </w:rPr>
        <w:t>il</w:t>
      </w:r>
      <w:r>
        <w:rPr>
          <w:szCs w:val="22"/>
        </w:rPr>
        <w:t>ar</w:t>
      </w:r>
      <w:r>
        <w:rPr>
          <w:spacing w:val="-2"/>
          <w:szCs w:val="22"/>
        </w:rPr>
        <w:t xml:space="preserve"> </w:t>
      </w:r>
      <w:r>
        <w:rPr>
          <w:szCs w:val="22"/>
        </w:rPr>
        <w:t>(</w:t>
      </w:r>
      <w:r>
        <w:rPr>
          <w:spacing w:val="-3"/>
          <w:szCs w:val="22"/>
        </w:rPr>
        <w:t>p</w:t>
      </w:r>
      <w:r>
        <w:rPr>
          <w:szCs w:val="22"/>
        </w:rPr>
        <w:t>=0,44</w:t>
      </w:r>
      <w:r>
        <w:rPr>
          <w:spacing w:val="-3"/>
          <w:szCs w:val="22"/>
        </w:rPr>
        <w:t>7</w:t>
      </w:r>
      <w:r>
        <w:rPr>
          <w:szCs w:val="22"/>
        </w:rPr>
        <w:t xml:space="preserve">). </w:t>
      </w:r>
    </w:p>
    <w:p w14:paraId="7C4642A7" w14:textId="77777777" w:rsidR="00C04CAD" w:rsidRDefault="00C04CAD">
      <w:pPr>
        <w:tabs>
          <w:tab w:val="clear" w:pos="567"/>
        </w:tabs>
        <w:kinsoku w:val="0"/>
        <w:overflowPunct w:val="0"/>
        <w:autoSpaceDE w:val="0"/>
        <w:autoSpaceDN w:val="0"/>
        <w:adjustRightInd w:val="0"/>
        <w:spacing w:line="240" w:lineRule="auto"/>
        <w:rPr>
          <w:szCs w:val="22"/>
        </w:rPr>
      </w:pPr>
    </w:p>
    <w:p w14:paraId="2E780CB6" w14:textId="77777777" w:rsidR="00C04CAD" w:rsidRDefault="00060E34">
      <w:pPr>
        <w:autoSpaceDE w:val="0"/>
        <w:autoSpaceDN w:val="0"/>
        <w:adjustRightInd w:val="0"/>
        <w:spacing w:line="240" w:lineRule="auto"/>
        <w:rPr>
          <w:spacing w:val="1"/>
          <w:szCs w:val="22"/>
        </w:rPr>
      </w:pPr>
      <w:r>
        <w:rPr>
          <w:spacing w:val="1"/>
          <w:szCs w:val="22"/>
        </w:rPr>
        <w:t xml:space="preserve">Dintre cei 342 de subiecți randomizați inițial pentru adalimumab </w:t>
      </w:r>
      <w:r>
        <w:rPr>
          <w:spacing w:val="-2"/>
          <w:szCs w:val="22"/>
        </w:rPr>
        <w:t>î</w:t>
      </w:r>
      <w:r>
        <w:rPr>
          <w:szCs w:val="22"/>
        </w:rPr>
        <w:t>n</w:t>
      </w:r>
      <w:r>
        <w:rPr>
          <w:spacing w:val="1"/>
          <w:szCs w:val="22"/>
        </w:rPr>
        <w:t xml:space="preserve"> monoterapie sau la tratament asociat adalimumab/metotrexat </w:t>
      </w:r>
      <w:r>
        <w:rPr>
          <w:spacing w:val="-2"/>
        </w:rPr>
        <w:t>ş</w:t>
      </w:r>
      <w:r>
        <w:t>i</w:t>
      </w:r>
      <w:r>
        <w:rPr>
          <w:spacing w:val="1"/>
          <w:szCs w:val="22"/>
        </w:rPr>
        <w:t xml:space="preserve"> care au intrat în extensia deschis</w:t>
      </w:r>
      <w:r>
        <w:rPr>
          <w:szCs w:val="22"/>
        </w:rPr>
        <w:t>ă a studiului</w:t>
      </w:r>
      <w:r>
        <w:rPr>
          <w:spacing w:val="1"/>
          <w:szCs w:val="22"/>
        </w:rPr>
        <w:t xml:space="preserve">, 171 au finalizat 10 ani de tratament cu adalimumab. Dintre aceștia, 109 subiecți (63,7%) </w:t>
      </w:r>
      <w:r>
        <w:rPr>
          <w:szCs w:val="22"/>
        </w:rPr>
        <w:t>au fost raportați ca</w:t>
      </w:r>
      <w:r>
        <w:rPr>
          <w:spacing w:val="1"/>
          <w:szCs w:val="22"/>
        </w:rPr>
        <w:t xml:space="preserve"> fiind în remisie la 10 ani.</w:t>
      </w:r>
    </w:p>
    <w:p w14:paraId="4E8C6853" w14:textId="77777777" w:rsidR="00C04CAD" w:rsidRDefault="00C04CAD">
      <w:pPr>
        <w:autoSpaceDE w:val="0"/>
        <w:autoSpaceDN w:val="0"/>
        <w:adjustRightInd w:val="0"/>
        <w:spacing w:line="240" w:lineRule="auto"/>
      </w:pPr>
    </w:p>
    <w:p w14:paraId="7B8B198E" w14:textId="77777777" w:rsidR="00C04CAD" w:rsidRDefault="00060E34">
      <w:pPr>
        <w:keepNext/>
        <w:tabs>
          <w:tab w:val="clear" w:pos="567"/>
        </w:tabs>
        <w:kinsoku w:val="0"/>
        <w:overflowPunct w:val="0"/>
        <w:autoSpaceDE w:val="0"/>
        <w:autoSpaceDN w:val="0"/>
        <w:adjustRightInd w:val="0"/>
        <w:spacing w:line="240" w:lineRule="auto"/>
      </w:pPr>
      <w:r>
        <w:rPr>
          <w:i/>
          <w:spacing w:val="-1"/>
          <w:u w:val="single"/>
        </w:rPr>
        <w:t>R</w:t>
      </w:r>
      <w:r>
        <w:rPr>
          <w:i/>
          <w:u w:val="single"/>
        </w:rPr>
        <w:t>ăspuns</w:t>
      </w:r>
      <w:r>
        <w:rPr>
          <w:i/>
          <w:spacing w:val="-3"/>
          <w:u w:val="single"/>
        </w:rPr>
        <w:t xml:space="preserve"> </w:t>
      </w:r>
      <w:r>
        <w:rPr>
          <w:i/>
          <w:u w:val="single"/>
        </w:rPr>
        <w:t>ra</w:t>
      </w:r>
      <w:r>
        <w:rPr>
          <w:i/>
          <w:spacing w:val="-3"/>
          <w:u w:val="single"/>
        </w:rPr>
        <w:t>d</w:t>
      </w:r>
      <w:r>
        <w:rPr>
          <w:i/>
          <w:spacing w:val="1"/>
          <w:u w:val="single"/>
        </w:rPr>
        <w:t>i</w:t>
      </w:r>
      <w:r>
        <w:rPr>
          <w:i/>
          <w:u w:val="single"/>
        </w:rPr>
        <w:t>ogr</w:t>
      </w:r>
      <w:r>
        <w:rPr>
          <w:i/>
          <w:spacing w:val="-3"/>
          <w:u w:val="single"/>
        </w:rPr>
        <w:t>a</w:t>
      </w:r>
      <w:r>
        <w:rPr>
          <w:i/>
          <w:spacing w:val="1"/>
          <w:u w:val="single"/>
        </w:rPr>
        <w:t>f</w:t>
      </w:r>
      <w:r>
        <w:rPr>
          <w:i/>
          <w:spacing w:val="-2"/>
          <w:u w:val="single"/>
        </w:rPr>
        <w:t>i</w:t>
      </w:r>
      <w:r>
        <w:rPr>
          <w:i/>
          <w:u w:val="single"/>
        </w:rPr>
        <w:t>c</w:t>
      </w:r>
    </w:p>
    <w:p w14:paraId="226061E3" w14:textId="77777777" w:rsidR="00C04CAD" w:rsidRDefault="00C04CAD">
      <w:pPr>
        <w:keepNext/>
        <w:tabs>
          <w:tab w:val="clear" w:pos="567"/>
        </w:tabs>
        <w:kinsoku w:val="0"/>
        <w:overflowPunct w:val="0"/>
        <w:autoSpaceDE w:val="0"/>
        <w:autoSpaceDN w:val="0"/>
        <w:adjustRightInd w:val="0"/>
        <w:spacing w:line="240" w:lineRule="auto"/>
      </w:pPr>
    </w:p>
    <w:p w14:paraId="6697FA55"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P</w:t>
      </w:r>
      <w:r>
        <w:t>R</w:t>
      </w:r>
      <w:r>
        <w:rPr>
          <w:spacing w:val="-1"/>
        </w:rPr>
        <w:t xml:space="preserve"> </w:t>
      </w:r>
      <w:r>
        <w:rPr>
          <w:spacing w:val="-2"/>
        </w:rPr>
        <w:t>II</w:t>
      </w:r>
      <w:r>
        <w:rPr>
          <w:spacing w:val="-4"/>
        </w:rPr>
        <w:t>I</w:t>
      </w:r>
      <w:r>
        <w:t xml:space="preserve">, </w:t>
      </w:r>
      <w:r>
        <w:rPr>
          <w:spacing w:val="1"/>
        </w:rPr>
        <w:t>î</w:t>
      </w:r>
      <w:r>
        <w:t>n care p</w:t>
      </w:r>
      <w:r>
        <w:rPr>
          <w:spacing w:val="-3"/>
        </w:rPr>
        <w:t>a</w:t>
      </w:r>
      <w:r>
        <w:t>c</w:t>
      </w:r>
      <w:r>
        <w:rPr>
          <w:spacing w:val="1"/>
        </w:rPr>
        <w:t>i</w:t>
      </w:r>
      <w:r>
        <w:t>e</w:t>
      </w:r>
      <w:r>
        <w:rPr>
          <w:spacing w:val="-3"/>
        </w:rPr>
        <w:t>n</w:t>
      </w:r>
      <w:r>
        <w:rPr>
          <w:spacing w:val="1"/>
        </w:rPr>
        <w:t>ţ</w:t>
      </w:r>
      <w:r>
        <w:rPr>
          <w:spacing w:val="-2"/>
        </w:rPr>
        <w:t>i</w:t>
      </w:r>
      <w:r>
        <w:t>i</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t xml:space="preserve">cu </w:t>
      </w:r>
      <w:r>
        <w:rPr>
          <w:rFonts w:eastAsia="MS Mincho"/>
          <w:spacing w:val="-1"/>
          <w:szCs w:val="22"/>
          <w:lang w:eastAsia="en-US" w:bidi="ar-SA"/>
        </w:rPr>
        <w:t>adalimumab</w:t>
      </w:r>
      <w:r>
        <w:t xml:space="preserve"> au</w:t>
      </w:r>
      <w:r>
        <w:rPr>
          <w:spacing w:val="-3"/>
        </w:rPr>
        <w:t xml:space="preserve"> </w:t>
      </w:r>
      <w:r>
        <w:t>a</w:t>
      </w:r>
      <w:r>
        <w:rPr>
          <w:spacing w:val="-3"/>
        </w:rPr>
        <w:t>v</w:t>
      </w:r>
      <w:r>
        <w:t>ut</w:t>
      </w:r>
      <w:r>
        <w:rPr>
          <w:spacing w:val="1"/>
        </w:rPr>
        <w:t xml:space="preserve"> </w:t>
      </w:r>
      <w:r>
        <w:t>o du</w:t>
      </w:r>
      <w:r>
        <w:rPr>
          <w:spacing w:val="-2"/>
        </w:rPr>
        <w:t>r</w:t>
      </w:r>
      <w:r>
        <w:t>a</w:t>
      </w:r>
      <w:r>
        <w:rPr>
          <w:spacing w:val="1"/>
        </w:rPr>
        <w:t>t</w:t>
      </w:r>
      <w:r>
        <w:t>ă</w:t>
      </w:r>
      <w:r>
        <w:rPr>
          <w:spacing w:val="-2"/>
        </w:rPr>
        <w:t xml:space="preserve"> </w:t>
      </w:r>
      <w:r>
        <w:rPr>
          <w:spacing w:val="-4"/>
        </w:rPr>
        <w:t>m</w:t>
      </w:r>
      <w:r>
        <w:t>ed</w:t>
      </w:r>
      <w:r>
        <w:rPr>
          <w:spacing w:val="1"/>
        </w:rPr>
        <w:t>i</w:t>
      </w:r>
      <w:r>
        <w:t>e a p</w:t>
      </w:r>
      <w:r>
        <w:rPr>
          <w:spacing w:val="-3"/>
        </w:rPr>
        <w:t>o</w:t>
      </w:r>
      <w:r>
        <w:rPr>
          <w:spacing w:val="1"/>
        </w:rPr>
        <w:t>l</w:t>
      </w:r>
      <w:r>
        <w:rPr>
          <w:spacing w:val="-2"/>
        </w:rPr>
        <w:t>i</w:t>
      </w:r>
      <w:r>
        <w:rPr>
          <w:spacing w:val="-3"/>
        </w:rPr>
        <w:t>a</w:t>
      </w:r>
      <w:r>
        <w:t>r</w:t>
      </w:r>
      <w:r>
        <w:rPr>
          <w:spacing w:val="1"/>
        </w:rPr>
        <w:t>t</w:t>
      </w:r>
      <w:r>
        <w:rPr>
          <w:spacing w:val="-2"/>
        </w:rPr>
        <w:t>ri</w:t>
      </w:r>
      <w:r>
        <w:rPr>
          <w:spacing w:val="1"/>
        </w:rPr>
        <w:t>t</w:t>
      </w:r>
      <w:r>
        <w:t>ei</w:t>
      </w:r>
      <w:r>
        <w:rPr>
          <w:spacing w:val="-2"/>
        </w:rPr>
        <w:t xml:space="preserve"> </w:t>
      </w:r>
      <w:r>
        <w:t>reu</w:t>
      </w:r>
      <w:r>
        <w:rPr>
          <w:spacing w:val="-4"/>
        </w:rPr>
        <w:t>m</w:t>
      </w:r>
      <w:r>
        <w:t>a</w:t>
      </w:r>
      <w:r>
        <w:rPr>
          <w:spacing w:val="1"/>
        </w:rPr>
        <w:t>t</w:t>
      </w:r>
      <w:r>
        <w:rPr>
          <w:spacing w:val="-3"/>
        </w:rPr>
        <w:t>o</w:t>
      </w:r>
      <w:r>
        <w:rPr>
          <w:spacing w:val="1"/>
        </w:rPr>
        <w:t>i</w:t>
      </w:r>
      <w:r>
        <w:t xml:space="preserve">de </w:t>
      </w:r>
      <w:r>
        <w:rPr>
          <w:spacing w:val="-3"/>
        </w:rPr>
        <w:t>d</w:t>
      </w:r>
      <w:r>
        <w:t>e apro</w:t>
      </w:r>
      <w:r>
        <w:rPr>
          <w:spacing w:val="-3"/>
        </w:rPr>
        <w:t>x</w:t>
      </w:r>
      <w:r>
        <w:rPr>
          <w:spacing w:val="1"/>
        </w:rPr>
        <w:t>i</w:t>
      </w:r>
      <w:r>
        <w:rPr>
          <w:spacing w:val="-4"/>
        </w:rPr>
        <w:t>m</w:t>
      </w:r>
      <w:r>
        <w:t>a</w:t>
      </w:r>
      <w:r>
        <w:rPr>
          <w:spacing w:val="1"/>
        </w:rPr>
        <w:t>ti</w:t>
      </w:r>
      <w:r>
        <w:t>v</w:t>
      </w:r>
      <w:r>
        <w:rPr>
          <w:spacing w:val="-3"/>
        </w:rPr>
        <w:t xml:space="preserve"> </w:t>
      </w:r>
      <w:r>
        <w:t>11 a</w:t>
      </w:r>
      <w:r>
        <w:rPr>
          <w:spacing w:val="-3"/>
        </w:rPr>
        <w:t>n</w:t>
      </w:r>
      <w:r>
        <w:rPr>
          <w:spacing w:val="1"/>
        </w:rPr>
        <w:t>i</w:t>
      </w:r>
      <w:r>
        <w:t>, d</w:t>
      </w:r>
      <w:r>
        <w:rPr>
          <w:spacing w:val="-2"/>
        </w:rPr>
        <w:t>i</w:t>
      </w:r>
      <w:r>
        <w:t>s</w:t>
      </w:r>
      <w:r>
        <w:rPr>
          <w:spacing w:val="-2"/>
        </w:rPr>
        <w:t>t</w:t>
      </w:r>
      <w:r>
        <w:t>ru</w:t>
      </w:r>
      <w:r>
        <w:rPr>
          <w:spacing w:val="-3"/>
        </w:rPr>
        <w:t>g</w:t>
      </w:r>
      <w:r>
        <w:t>erea</w:t>
      </w:r>
      <w:r>
        <w:rPr>
          <w:spacing w:val="-2"/>
        </w:rPr>
        <w:t xml:space="preserve"> </w:t>
      </w:r>
      <w:r>
        <w:t>a</w:t>
      </w:r>
      <w:r>
        <w:rPr>
          <w:spacing w:val="-2"/>
        </w:rPr>
        <w:t>r</w:t>
      </w:r>
      <w:r>
        <w:rPr>
          <w:spacing w:val="1"/>
        </w:rPr>
        <w:t>t</w:t>
      </w:r>
      <w:r>
        <w:rPr>
          <w:spacing w:val="-2"/>
        </w:rPr>
        <w:t>i</w:t>
      </w:r>
      <w:r>
        <w:t>cu</w:t>
      </w:r>
      <w:r>
        <w:rPr>
          <w:spacing w:val="-2"/>
        </w:rPr>
        <w:t>l</w:t>
      </w:r>
      <w:r>
        <w:t>ară</w:t>
      </w:r>
      <w:r>
        <w:rPr>
          <w:spacing w:val="-2"/>
        </w:rPr>
        <w:t xml:space="preserve"> </w:t>
      </w:r>
      <w:r>
        <w:t>s</w:t>
      </w:r>
      <w:r>
        <w:rPr>
          <w:spacing w:val="-2"/>
        </w:rPr>
        <w:t>t</w:t>
      </w:r>
      <w:r>
        <w:t>ru</w:t>
      </w:r>
      <w:r>
        <w:rPr>
          <w:spacing w:val="-3"/>
        </w:rPr>
        <w:t>c</w:t>
      </w:r>
      <w:r>
        <w:rPr>
          <w:spacing w:val="1"/>
        </w:rPr>
        <w:t>t</w:t>
      </w:r>
      <w:r>
        <w:t>u</w:t>
      </w:r>
      <w:r>
        <w:rPr>
          <w:spacing w:val="-2"/>
        </w:rPr>
        <w:t>r</w:t>
      </w:r>
      <w:r>
        <w:t>a</w:t>
      </w:r>
      <w:r>
        <w:rPr>
          <w:spacing w:val="-2"/>
        </w:rPr>
        <w:t>l</w:t>
      </w:r>
      <w:r>
        <w:t>ă a</w:t>
      </w:r>
      <w:r>
        <w:rPr>
          <w:spacing w:val="-2"/>
        </w:rPr>
        <w:t xml:space="preserve"> </w:t>
      </w:r>
      <w:r>
        <w:t>fost</w:t>
      </w:r>
      <w:r>
        <w:rPr>
          <w:spacing w:val="-2"/>
        </w:rPr>
        <w:t xml:space="preserve"> </w:t>
      </w:r>
      <w:r>
        <w:t>e</w:t>
      </w:r>
      <w:r>
        <w:rPr>
          <w:spacing w:val="-3"/>
        </w:rPr>
        <w:t>v</w:t>
      </w:r>
      <w:r>
        <w:t>a</w:t>
      </w:r>
      <w:r>
        <w:rPr>
          <w:spacing w:val="1"/>
        </w:rPr>
        <w:t>l</w:t>
      </w:r>
      <w:r>
        <w:t>u</w:t>
      </w:r>
      <w:r>
        <w:rPr>
          <w:spacing w:val="-3"/>
        </w:rPr>
        <w:t>a</w:t>
      </w:r>
      <w:r>
        <w:rPr>
          <w:spacing w:val="1"/>
        </w:rPr>
        <w:t>t</w:t>
      </w:r>
      <w:r>
        <w:t>ă</w:t>
      </w:r>
      <w:r>
        <w:rPr>
          <w:spacing w:val="-2"/>
        </w:rPr>
        <w:t xml:space="preserve"> </w:t>
      </w:r>
      <w:r>
        <w:t>ra</w:t>
      </w:r>
      <w:r>
        <w:rPr>
          <w:spacing w:val="-3"/>
        </w:rPr>
        <w:t>d</w:t>
      </w:r>
      <w:r>
        <w:rPr>
          <w:spacing w:val="1"/>
        </w:rPr>
        <w:t>i</w:t>
      </w:r>
      <w:r>
        <w:t>o</w:t>
      </w:r>
      <w:r>
        <w:rPr>
          <w:spacing w:val="-3"/>
        </w:rPr>
        <w:t>g</w:t>
      </w:r>
      <w:r>
        <w:t>ra</w:t>
      </w:r>
      <w:r>
        <w:rPr>
          <w:spacing w:val="-2"/>
        </w:rPr>
        <w:t>f</w:t>
      </w:r>
      <w:r>
        <w:rPr>
          <w:spacing w:val="1"/>
        </w:rPr>
        <w:t>i</w:t>
      </w:r>
      <w:r>
        <w:t>c</w:t>
      </w:r>
      <w:r>
        <w:rPr>
          <w:spacing w:val="-2"/>
        </w:rPr>
        <w:t xml:space="preserve"> </w:t>
      </w:r>
      <w:r>
        <w:t>şi</w:t>
      </w:r>
      <w:r>
        <w:rPr>
          <w:spacing w:val="-2"/>
        </w:rPr>
        <w:t xml:space="preserve"> </w:t>
      </w:r>
      <w:r>
        <w:t>exp</w:t>
      </w:r>
      <w:r>
        <w:rPr>
          <w:spacing w:val="-2"/>
        </w:rPr>
        <w:t>r</w:t>
      </w:r>
      <w:r>
        <w:rPr>
          <w:spacing w:val="1"/>
        </w:rPr>
        <w:t>i</w:t>
      </w:r>
      <w:r>
        <w:rPr>
          <w:spacing w:val="-4"/>
        </w:rPr>
        <w:t>m</w:t>
      </w:r>
      <w:r>
        <w:t>a</w:t>
      </w:r>
      <w:r>
        <w:rPr>
          <w:spacing w:val="1"/>
        </w:rPr>
        <w:t>t</w:t>
      </w:r>
      <w:r>
        <w:t xml:space="preserve">ă ca </w:t>
      </w:r>
      <w:r>
        <w:rPr>
          <w:spacing w:val="-4"/>
        </w:rPr>
        <w:t>m</w:t>
      </w:r>
      <w:r>
        <w:t>od</w:t>
      </w:r>
      <w:r>
        <w:rPr>
          <w:spacing w:val="1"/>
        </w:rPr>
        <w:t>i</w:t>
      </w:r>
      <w:r>
        <w:t>f</w:t>
      </w:r>
      <w:r>
        <w:rPr>
          <w:spacing w:val="1"/>
        </w:rPr>
        <w:t>i</w:t>
      </w:r>
      <w:r>
        <w:t>c</w:t>
      </w:r>
      <w:r>
        <w:rPr>
          <w:spacing w:val="-3"/>
        </w:rPr>
        <w:t>a</w:t>
      </w:r>
      <w:r>
        <w:t xml:space="preserve">re a </w:t>
      </w:r>
      <w:r>
        <w:rPr>
          <w:spacing w:val="-3"/>
        </w:rPr>
        <w:t>S</w:t>
      </w:r>
      <w:r>
        <w:t>co</w:t>
      </w:r>
      <w:r>
        <w:rPr>
          <w:spacing w:val="-2"/>
        </w:rPr>
        <w:t>r</w:t>
      </w:r>
      <w:r>
        <w:t>u</w:t>
      </w:r>
      <w:r>
        <w:rPr>
          <w:spacing w:val="1"/>
        </w:rPr>
        <w:t>l</w:t>
      </w:r>
      <w:r>
        <w:rPr>
          <w:spacing w:val="-3"/>
        </w:rPr>
        <w:t>u</w:t>
      </w:r>
      <w:r>
        <w:t>i</w:t>
      </w:r>
      <w:r>
        <w:rPr>
          <w:spacing w:val="1"/>
        </w:rPr>
        <w:t xml:space="preserve"> </w:t>
      </w:r>
      <w:r>
        <w:rPr>
          <w:spacing w:val="-1"/>
        </w:rPr>
        <w:t>S</w:t>
      </w:r>
      <w:r>
        <w:t>h</w:t>
      </w:r>
      <w:r>
        <w:rPr>
          <w:spacing w:val="-3"/>
        </w:rPr>
        <w:t>a</w:t>
      </w:r>
      <w:r>
        <w:rPr>
          <w:spacing w:val="-2"/>
        </w:rPr>
        <w:t>r</w:t>
      </w:r>
      <w:r>
        <w:t xml:space="preserve">p </w:t>
      </w:r>
      <w:r>
        <w:rPr>
          <w:spacing w:val="1"/>
        </w:rPr>
        <w:t>T</w:t>
      </w:r>
      <w:r>
        <w:rPr>
          <w:spacing w:val="-3"/>
        </w:rPr>
        <w:t>o</w:t>
      </w:r>
      <w:r>
        <w:rPr>
          <w:spacing w:val="1"/>
        </w:rPr>
        <w:t>t</w:t>
      </w:r>
      <w:r>
        <w:rPr>
          <w:spacing w:val="-3"/>
        </w:rPr>
        <w:t>a</w:t>
      </w:r>
      <w:r>
        <w:t>l</w:t>
      </w:r>
      <w:r>
        <w:rPr>
          <w:spacing w:val="1"/>
        </w:rPr>
        <w:t xml:space="preserve"> </w:t>
      </w:r>
      <w:r>
        <w:t>(</w:t>
      </w:r>
      <w:r>
        <w:rPr>
          <w:spacing w:val="-1"/>
        </w:rPr>
        <w:t>S</w:t>
      </w:r>
      <w:r>
        <w:rPr>
          <w:spacing w:val="-3"/>
        </w:rPr>
        <w:t>S</w:t>
      </w:r>
      <w:r>
        <w:rPr>
          <w:spacing w:val="-1"/>
        </w:rPr>
        <w:t>T</w:t>
      </w:r>
      <w:r>
        <w:t>)</w:t>
      </w:r>
      <w:r>
        <w:rPr>
          <w:spacing w:val="1"/>
        </w:rPr>
        <w:t xml:space="preserve"> </w:t>
      </w:r>
      <w:r>
        <w:rPr>
          <w:spacing w:val="-4"/>
        </w:rPr>
        <w:t>m</w:t>
      </w:r>
      <w:r>
        <w:t>od</w:t>
      </w:r>
      <w:r>
        <w:rPr>
          <w:spacing w:val="1"/>
        </w:rPr>
        <w:t>i</w:t>
      </w:r>
      <w:r>
        <w:t>f</w:t>
      </w:r>
      <w:r>
        <w:rPr>
          <w:spacing w:val="-2"/>
        </w:rPr>
        <w:t>i</w:t>
      </w:r>
      <w:r>
        <w:t>c</w:t>
      </w:r>
      <w:r>
        <w:rPr>
          <w:spacing w:val="-3"/>
        </w:rPr>
        <w:t>a</w:t>
      </w:r>
      <w:r>
        <w:t>t</w:t>
      </w:r>
      <w:r>
        <w:rPr>
          <w:spacing w:val="1"/>
        </w:rPr>
        <w:t xml:space="preserve"> </w:t>
      </w:r>
      <w:r>
        <w:rPr>
          <w:spacing w:val="-2"/>
        </w:rPr>
        <w:t>ş</w:t>
      </w:r>
      <w:r>
        <w:t>i</w:t>
      </w:r>
      <w:r>
        <w:rPr>
          <w:spacing w:val="-2"/>
        </w:rPr>
        <w:t xml:space="preserve"> </w:t>
      </w:r>
      <w:r>
        <w:t>a co</w:t>
      </w:r>
      <w:r>
        <w:rPr>
          <w:spacing w:val="-4"/>
        </w:rPr>
        <w:t>m</w:t>
      </w:r>
      <w:r>
        <w:t>ponen</w:t>
      </w:r>
      <w:r>
        <w:rPr>
          <w:spacing w:val="1"/>
        </w:rPr>
        <w:t>t</w:t>
      </w:r>
      <w:r>
        <w:rPr>
          <w:spacing w:val="-3"/>
        </w:rPr>
        <w:t>e</w:t>
      </w:r>
      <w:r>
        <w:rPr>
          <w:spacing w:val="1"/>
        </w:rPr>
        <w:t>l</w:t>
      </w:r>
      <w:r>
        <w:rPr>
          <w:spacing w:val="-3"/>
        </w:rPr>
        <w:t>o</w:t>
      </w:r>
      <w:r>
        <w:t>r</w:t>
      </w:r>
      <w:r>
        <w:rPr>
          <w:spacing w:val="1"/>
        </w:rPr>
        <w:t xml:space="preserve"> </w:t>
      </w:r>
      <w:r>
        <w:t>s</w:t>
      </w:r>
      <w:r>
        <w:rPr>
          <w:spacing w:val="-3"/>
        </w:rPr>
        <w:t>a</w:t>
      </w:r>
      <w:r>
        <w:rPr>
          <w:spacing w:val="1"/>
        </w:rPr>
        <w:t>l</w:t>
      </w:r>
      <w:r>
        <w:t>e,</w:t>
      </w:r>
      <w:r>
        <w:rPr>
          <w:spacing w:val="-3"/>
        </w:rPr>
        <w:t xml:space="preserve"> </w:t>
      </w:r>
      <w:r>
        <w:t>a sc</w:t>
      </w:r>
      <w:r>
        <w:rPr>
          <w:spacing w:val="-3"/>
        </w:rPr>
        <w:t>o</w:t>
      </w:r>
      <w:r>
        <w:t>ru</w:t>
      </w:r>
      <w:r>
        <w:rPr>
          <w:spacing w:val="1"/>
        </w:rPr>
        <w:t>l</w:t>
      </w:r>
      <w:r>
        <w:rPr>
          <w:spacing w:val="-3"/>
        </w:rPr>
        <w:t>u</w:t>
      </w:r>
      <w:r>
        <w:t>i</w:t>
      </w:r>
      <w:r>
        <w:rPr>
          <w:spacing w:val="1"/>
        </w:rPr>
        <w:t xml:space="preserve"> </w:t>
      </w:r>
      <w:r>
        <w:t>de</w:t>
      </w:r>
      <w:r>
        <w:rPr>
          <w:spacing w:val="-2"/>
        </w:rPr>
        <w:t xml:space="preserve"> </w:t>
      </w:r>
      <w:r>
        <w:t>ero</w:t>
      </w:r>
      <w:r>
        <w:rPr>
          <w:spacing w:val="-3"/>
        </w:rPr>
        <w:t>z</w:t>
      </w:r>
      <w:r>
        <w:rPr>
          <w:spacing w:val="1"/>
        </w:rPr>
        <w:t>i</w:t>
      </w:r>
      <w:r>
        <w:rPr>
          <w:spacing w:val="-3"/>
        </w:rPr>
        <w:t>u</w:t>
      </w:r>
      <w:r>
        <w:t xml:space="preserve">ne </w:t>
      </w:r>
      <w:r>
        <w:rPr>
          <w:spacing w:val="-2"/>
        </w:rPr>
        <w:t>ş</w:t>
      </w:r>
      <w:r>
        <w:t>i</w:t>
      </w:r>
      <w:r>
        <w:rPr>
          <w:spacing w:val="1"/>
        </w:rPr>
        <w:t xml:space="preserve"> </w:t>
      </w:r>
      <w:r>
        <w:t>a scor</w:t>
      </w:r>
      <w:r>
        <w:rPr>
          <w:spacing w:val="-3"/>
        </w:rPr>
        <w:t>u</w:t>
      </w:r>
      <w:r>
        <w:rPr>
          <w:spacing w:val="1"/>
        </w:rPr>
        <w:t>l</w:t>
      </w:r>
      <w:r>
        <w:rPr>
          <w:spacing w:val="-3"/>
        </w:rPr>
        <w:t>u</w:t>
      </w:r>
      <w:r>
        <w:t>i</w:t>
      </w:r>
      <w:r>
        <w:rPr>
          <w:spacing w:val="1"/>
        </w:rPr>
        <w:t xml:space="preserve"> </w:t>
      </w:r>
      <w:r>
        <w:t>de</w:t>
      </w:r>
      <w:r>
        <w:rPr>
          <w:spacing w:val="-2"/>
        </w:rPr>
        <w:t xml:space="preserve"> </w:t>
      </w:r>
      <w:r>
        <w:rPr>
          <w:spacing w:val="1"/>
        </w:rPr>
        <w:t>î</w:t>
      </w:r>
      <w:r>
        <w:t>n</w:t>
      </w:r>
      <w:r>
        <w:rPr>
          <w:spacing w:val="-3"/>
        </w:rPr>
        <w:t>g</w:t>
      </w:r>
      <w:r>
        <w:t>us</w:t>
      </w:r>
      <w:r>
        <w:rPr>
          <w:spacing w:val="1"/>
        </w:rPr>
        <w:t>t</w:t>
      </w:r>
      <w:r>
        <w:rPr>
          <w:spacing w:val="-3"/>
        </w:rPr>
        <w:t>a</w:t>
      </w:r>
      <w:r>
        <w:t>re</w:t>
      </w:r>
      <w:r>
        <w:rPr>
          <w:spacing w:val="-2"/>
        </w:rPr>
        <w:t xml:space="preserve"> </w:t>
      </w:r>
      <w:r>
        <w:t>a s</w:t>
      </w:r>
      <w:r>
        <w:rPr>
          <w:spacing w:val="-3"/>
        </w:rPr>
        <w:t>p</w:t>
      </w:r>
      <w:r>
        <w:t>a</w:t>
      </w:r>
      <w:r>
        <w:rPr>
          <w:spacing w:val="-2"/>
        </w:rPr>
        <w:t>ţi</w:t>
      </w:r>
      <w:r>
        <w:t>u</w:t>
      </w:r>
      <w:r>
        <w:rPr>
          <w:spacing w:val="1"/>
        </w:rPr>
        <w:t>l</w:t>
      </w:r>
      <w:r>
        <w:t>ui</w:t>
      </w:r>
      <w:r>
        <w:rPr>
          <w:spacing w:val="-2"/>
        </w:rPr>
        <w:t xml:space="preserve"> </w:t>
      </w:r>
      <w:r>
        <w:t>a</w:t>
      </w:r>
      <w:r>
        <w:rPr>
          <w:spacing w:val="-2"/>
        </w:rPr>
        <w:t>r</w:t>
      </w:r>
      <w:r>
        <w:rPr>
          <w:spacing w:val="1"/>
        </w:rPr>
        <w:t>t</w:t>
      </w:r>
      <w:r>
        <w:rPr>
          <w:spacing w:val="-2"/>
        </w:rPr>
        <w:t>i</w:t>
      </w:r>
      <w:r>
        <w:t>cu</w:t>
      </w:r>
      <w:r>
        <w:rPr>
          <w:spacing w:val="-2"/>
        </w:rPr>
        <w:t>l</w:t>
      </w:r>
      <w:r>
        <w:t xml:space="preserve">ar. </w:t>
      </w:r>
      <w:r>
        <w:rPr>
          <w:spacing w:val="-3"/>
        </w:rPr>
        <w:t>L</w:t>
      </w:r>
      <w:r>
        <w:t xml:space="preserve">a 6 </w:t>
      </w:r>
      <w:r>
        <w:rPr>
          <w:spacing w:val="-2"/>
        </w:rPr>
        <w:t>ş</w:t>
      </w:r>
      <w:r>
        <w:t>i</w:t>
      </w:r>
      <w:r>
        <w:rPr>
          <w:spacing w:val="1"/>
        </w:rPr>
        <w:t xml:space="preserve"> </w:t>
      </w:r>
      <w:r>
        <w:t>12</w:t>
      </w:r>
      <w:r>
        <w:rPr>
          <w:spacing w:val="-3"/>
        </w:rPr>
        <w:t xml:space="preserve"> </w:t>
      </w:r>
      <w:r>
        <w:rPr>
          <w:spacing w:val="1"/>
        </w:rPr>
        <w:t>l</w:t>
      </w:r>
      <w:r>
        <w:t>u</w:t>
      </w:r>
      <w:r>
        <w:rPr>
          <w:spacing w:val="-3"/>
        </w:rPr>
        <w:t>n</w:t>
      </w:r>
      <w:r>
        <w:t>i</w:t>
      </w:r>
      <w:r>
        <w:rPr>
          <w:spacing w:val="1"/>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c</w:t>
      </w:r>
      <w:r>
        <w:t>are</w:t>
      </w:r>
      <w:r>
        <w:rPr>
          <w:spacing w:val="-2"/>
        </w:rPr>
        <w:t xml:space="preserve"> </w:t>
      </w:r>
      <w:r>
        <w:t xml:space="preserve">au </w:t>
      </w:r>
      <w:r>
        <w:rPr>
          <w:spacing w:val="-3"/>
        </w:rPr>
        <w:t>p</w:t>
      </w:r>
      <w:r>
        <w:t>r</w:t>
      </w:r>
      <w:r>
        <w:rPr>
          <w:spacing w:val="1"/>
        </w:rPr>
        <w:t>i</w:t>
      </w:r>
      <w:r>
        <w:rPr>
          <w:spacing w:val="-4"/>
        </w:rPr>
        <w:t>m</w:t>
      </w:r>
      <w:r>
        <w:rPr>
          <w:spacing w:val="1"/>
        </w:rPr>
        <w:t>i</w:t>
      </w:r>
      <w:r>
        <w:t>t</w:t>
      </w:r>
      <w:r>
        <w:rPr>
          <w:spacing w:val="1"/>
        </w:rPr>
        <w:t xml:space="preserve"> </w:t>
      </w:r>
      <w:r>
        <w:rPr>
          <w:rFonts w:eastAsia="MS Mincho"/>
          <w:spacing w:val="-1"/>
          <w:szCs w:val="22"/>
          <w:lang w:eastAsia="en-US" w:bidi="ar-SA"/>
        </w:rPr>
        <w:t>adalimumab</w:t>
      </w:r>
      <w:r>
        <w:t xml:space="preserve"> conco</w:t>
      </w:r>
      <w:r>
        <w:rPr>
          <w:spacing w:val="-4"/>
        </w:rPr>
        <w:t>m</w:t>
      </w:r>
      <w:r>
        <w:rPr>
          <w:spacing w:val="1"/>
        </w:rPr>
        <w:t>it</w:t>
      </w:r>
      <w:r>
        <w:rPr>
          <w:spacing w:val="-3"/>
        </w:rPr>
        <w:t>e</w:t>
      </w:r>
      <w:r>
        <w:t xml:space="preserve">nt cu </w:t>
      </w:r>
      <w:r>
        <w:rPr>
          <w:spacing w:val="-4"/>
        </w:rPr>
        <w:t>m</w:t>
      </w:r>
      <w:r>
        <w:t>e</w:t>
      </w:r>
      <w:r>
        <w:rPr>
          <w:spacing w:val="1"/>
        </w:rPr>
        <w:t>t</w:t>
      </w:r>
      <w:r>
        <w:t>o</w:t>
      </w:r>
      <w:r>
        <w:rPr>
          <w:spacing w:val="1"/>
        </w:rPr>
        <w:t>t</w:t>
      </w:r>
      <w:r>
        <w:rPr>
          <w:spacing w:val="-2"/>
        </w:rPr>
        <w:t>r</w:t>
      </w:r>
      <w:r>
        <w:t>ex</w:t>
      </w:r>
      <w:r>
        <w:rPr>
          <w:spacing w:val="-3"/>
        </w:rPr>
        <w:t>a</w:t>
      </w:r>
      <w:r>
        <w:t>t</w:t>
      </w:r>
      <w:r>
        <w:rPr>
          <w:spacing w:val="1"/>
        </w:rPr>
        <w:t xml:space="preserve"> </w:t>
      </w:r>
      <w:r>
        <w:t xml:space="preserve">au </w:t>
      </w:r>
      <w:r>
        <w:rPr>
          <w:spacing w:val="-3"/>
        </w:rPr>
        <w:t>d</w:t>
      </w:r>
      <w:r>
        <w:t>e</w:t>
      </w:r>
      <w:r>
        <w:rPr>
          <w:spacing w:val="-4"/>
        </w:rPr>
        <w:t>m</w:t>
      </w:r>
      <w:r>
        <w:t>ons</w:t>
      </w:r>
      <w:r>
        <w:rPr>
          <w:spacing w:val="1"/>
        </w:rPr>
        <w:t>t</w:t>
      </w:r>
      <w:r>
        <w:t>r</w:t>
      </w:r>
      <w:r>
        <w:rPr>
          <w:spacing w:val="-3"/>
        </w:rPr>
        <w:t>a</w:t>
      </w:r>
      <w:r>
        <w:t>t</w:t>
      </w:r>
      <w:r>
        <w:rPr>
          <w:spacing w:val="1"/>
        </w:rPr>
        <w:t xml:space="preserve"> </w:t>
      </w:r>
      <w:r>
        <w:t>o e</w:t>
      </w:r>
      <w:r>
        <w:rPr>
          <w:spacing w:val="-3"/>
        </w:rPr>
        <w:t>v</w:t>
      </w:r>
      <w:r>
        <w:t>o</w:t>
      </w:r>
      <w:r>
        <w:rPr>
          <w:spacing w:val="1"/>
        </w:rPr>
        <w:t>l</w:t>
      </w:r>
      <w:r>
        <w:rPr>
          <w:spacing w:val="-3"/>
        </w:rPr>
        <w:t>u</w:t>
      </w:r>
      <w:r>
        <w:rPr>
          <w:spacing w:val="1"/>
        </w:rPr>
        <w:t>ţ</w:t>
      </w:r>
      <w:r>
        <w:rPr>
          <w:spacing w:val="-2"/>
        </w:rPr>
        <w:t>i</w:t>
      </w:r>
      <w:r>
        <w:t>e r</w:t>
      </w:r>
      <w:r>
        <w:rPr>
          <w:spacing w:val="-3"/>
        </w:rPr>
        <w:t>a</w:t>
      </w:r>
      <w:r>
        <w:t>d</w:t>
      </w:r>
      <w:r>
        <w:rPr>
          <w:spacing w:val="1"/>
        </w:rPr>
        <w:t>i</w:t>
      </w:r>
      <w:r>
        <w:t>o</w:t>
      </w:r>
      <w:r>
        <w:rPr>
          <w:spacing w:val="-3"/>
        </w:rPr>
        <w:t>g</w:t>
      </w:r>
      <w:r>
        <w:t>r</w:t>
      </w:r>
      <w:r>
        <w:rPr>
          <w:spacing w:val="-3"/>
        </w:rPr>
        <w:t>a</w:t>
      </w:r>
      <w:r>
        <w:t>f</w:t>
      </w:r>
      <w:r>
        <w:rPr>
          <w:spacing w:val="-2"/>
        </w:rPr>
        <w:t>i</w:t>
      </w:r>
      <w:r>
        <w:t xml:space="preserve">că </w:t>
      </w:r>
      <w:r>
        <w:rPr>
          <w:spacing w:val="-2"/>
        </w:rPr>
        <w:t>s</w:t>
      </w:r>
      <w:r>
        <w:rPr>
          <w:spacing w:val="-3"/>
        </w:rPr>
        <w:t>e</w:t>
      </w:r>
      <w:r>
        <w:rPr>
          <w:spacing w:val="-4"/>
        </w:rPr>
        <w:t>m</w:t>
      </w:r>
      <w:r>
        <w:t>n</w:t>
      </w:r>
      <w:r>
        <w:rPr>
          <w:spacing w:val="1"/>
        </w:rPr>
        <w:t>i</w:t>
      </w:r>
      <w:r>
        <w:t>f</w:t>
      </w:r>
      <w:r>
        <w:rPr>
          <w:spacing w:val="1"/>
        </w:rPr>
        <w:t>i</w:t>
      </w:r>
      <w:r>
        <w:t>c</w:t>
      </w:r>
      <w:r>
        <w:rPr>
          <w:spacing w:val="-3"/>
        </w:rPr>
        <w:t>a</w:t>
      </w:r>
      <w:r>
        <w:rPr>
          <w:spacing w:val="1"/>
        </w:rPr>
        <w:t>ti</w:t>
      </w:r>
      <w:r>
        <w:t>v</w:t>
      </w:r>
      <w:r>
        <w:rPr>
          <w:spacing w:val="-3"/>
        </w:rPr>
        <w:t xml:space="preserve"> </w:t>
      </w:r>
      <w:r>
        <w:rPr>
          <w:spacing w:val="-4"/>
        </w:rPr>
        <w:t>m</w:t>
      </w:r>
      <w:r>
        <w:t>ai</w:t>
      </w:r>
      <w:r>
        <w:rPr>
          <w:spacing w:val="1"/>
        </w:rPr>
        <w:t xml:space="preserve"> </w:t>
      </w:r>
      <w:r>
        <w:t>redu</w:t>
      </w:r>
      <w:r>
        <w:rPr>
          <w:spacing w:val="-2"/>
        </w:rPr>
        <w:t>s</w:t>
      </w:r>
      <w:r>
        <w:t>ă d</w:t>
      </w:r>
      <w:r>
        <w:rPr>
          <w:spacing w:val="-3"/>
        </w:rPr>
        <w:t>e</w:t>
      </w:r>
      <w:r>
        <w:t>cât</w:t>
      </w:r>
      <w:r>
        <w:rPr>
          <w:spacing w:val="-2"/>
        </w:rPr>
        <w:t xml:space="preserve"> </w:t>
      </w:r>
      <w:r>
        <w:t>pac</w:t>
      </w:r>
      <w:r>
        <w:rPr>
          <w:spacing w:val="-2"/>
        </w:rPr>
        <w:t>i</w:t>
      </w:r>
      <w:r>
        <w:t>en</w:t>
      </w:r>
      <w:r>
        <w:rPr>
          <w:spacing w:val="-2"/>
        </w:rPr>
        <w:t>ţ</w:t>
      </w:r>
      <w:r>
        <w:rPr>
          <w:spacing w:val="1"/>
        </w:rPr>
        <w:t>i</w:t>
      </w:r>
      <w:r>
        <w:t>i</w:t>
      </w:r>
      <w:r>
        <w:rPr>
          <w:spacing w:val="-2"/>
        </w:rPr>
        <w:t xml:space="preserve"> </w:t>
      </w:r>
      <w:r>
        <w:t>c</w:t>
      </w:r>
      <w:r>
        <w:rPr>
          <w:spacing w:val="-3"/>
        </w:rPr>
        <w:t>a</w:t>
      </w:r>
      <w:r>
        <w:t xml:space="preserve">re </w:t>
      </w:r>
      <w:r>
        <w:rPr>
          <w:spacing w:val="-3"/>
        </w:rPr>
        <w:t>a</w:t>
      </w:r>
      <w:r>
        <w:t>u pr</w:t>
      </w:r>
      <w:r>
        <w:rPr>
          <w:spacing w:val="1"/>
        </w:rPr>
        <w:t>i</w:t>
      </w:r>
      <w:r>
        <w:rPr>
          <w:spacing w:val="-4"/>
        </w:rPr>
        <w:t>m</w:t>
      </w:r>
      <w:r>
        <w:rPr>
          <w:spacing w:val="1"/>
        </w:rPr>
        <w:t>i</w:t>
      </w:r>
      <w:r>
        <w:t>t</w:t>
      </w:r>
      <w:r>
        <w:rPr>
          <w:spacing w:val="1"/>
        </w:rPr>
        <w:t xml:space="preserve"> </w:t>
      </w:r>
      <w:r>
        <w:t>d</w:t>
      </w:r>
      <w:r>
        <w:rPr>
          <w:spacing w:val="-3"/>
        </w:rPr>
        <w:t>o</w:t>
      </w:r>
      <w:r>
        <w:t>ar</w:t>
      </w:r>
      <w:r>
        <w:rPr>
          <w:spacing w:val="1"/>
        </w:rPr>
        <w:t xml:space="preserve"> </w:t>
      </w:r>
      <w:r>
        <w:rPr>
          <w:spacing w:val="-4"/>
        </w:rPr>
        <w:t>m</w:t>
      </w:r>
      <w:r>
        <w:t>e</w:t>
      </w:r>
      <w:r>
        <w:rPr>
          <w:spacing w:val="1"/>
        </w:rPr>
        <w:t>t</w:t>
      </w:r>
      <w:r>
        <w:t>o</w:t>
      </w:r>
      <w:r>
        <w:rPr>
          <w:spacing w:val="-2"/>
        </w:rPr>
        <w:t>t</w:t>
      </w:r>
      <w:r>
        <w:t>re</w:t>
      </w:r>
      <w:r>
        <w:rPr>
          <w:spacing w:val="-3"/>
        </w:rPr>
        <w:t>x</w:t>
      </w:r>
      <w:r>
        <w:t>at</w:t>
      </w:r>
      <w:r>
        <w:rPr>
          <w:spacing w:val="-2"/>
        </w:rPr>
        <w:t xml:space="preserve"> </w:t>
      </w:r>
      <w:r>
        <w:t>(</w:t>
      </w:r>
      <w:r>
        <w:rPr>
          <w:spacing w:val="-3"/>
        </w:rPr>
        <w:t>v</w:t>
      </w:r>
      <w:r>
        <w:t>e</w:t>
      </w:r>
      <w:r>
        <w:rPr>
          <w:spacing w:val="-3"/>
        </w:rPr>
        <w:t>z</w:t>
      </w:r>
      <w:r>
        <w:t>i</w:t>
      </w:r>
      <w:r>
        <w:rPr>
          <w:spacing w:val="1"/>
        </w:rPr>
        <w:t xml:space="preserve"> t</w:t>
      </w:r>
      <w:r>
        <w:rPr>
          <w:spacing w:val="-3"/>
        </w:rPr>
        <w:t>a</w:t>
      </w:r>
      <w:r>
        <w:t>be</w:t>
      </w:r>
      <w:r>
        <w:rPr>
          <w:spacing w:val="-2"/>
        </w:rPr>
        <w:t>l</w:t>
      </w:r>
      <w:r>
        <w:t>ul</w:t>
      </w:r>
      <w:r>
        <w:rPr>
          <w:spacing w:val="1"/>
        </w:rPr>
        <w:t xml:space="preserve"> </w:t>
      </w:r>
      <w:r>
        <w:rPr>
          <w:rFonts w:eastAsia="MS Mincho"/>
          <w:spacing w:val="-4"/>
          <w:szCs w:val="22"/>
          <w:lang w:eastAsia="en-US" w:bidi="ar-SA"/>
        </w:rPr>
        <w:t>10</w:t>
      </w:r>
      <w:r>
        <w:t>).</w:t>
      </w:r>
    </w:p>
    <w:p w14:paraId="6F6B89E9" w14:textId="77777777" w:rsidR="00C04CAD" w:rsidRDefault="00C04CAD">
      <w:pPr>
        <w:tabs>
          <w:tab w:val="clear" w:pos="567"/>
        </w:tabs>
        <w:kinsoku w:val="0"/>
        <w:overflowPunct w:val="0"/>
        <w:autoSpaceDE w:val="0"/>
        <w:autoSpaceDN w:val="0"/>
        <w:adjustRightInd w:val="0"/>
        <w:spacing w:line="240" w:lineRule="auto"/>
        <w:rPr>
          <w:szCs w:val="22"/>
        </w:rPr>
      </w:pPr>
    </w:p>
    <w:p w14:paraId="0B96933A" w14:textId="77777777" w:rsidR="00C04CAD" w:rsidRDefault="00060E34">
      <w:pPr>
        <w:autoSpaceDE w:val="0"/>
        <w:autoSpaceDN w:val="0"/>
        <w:adjustRightInd w:val="0"/>
        <w:spacing w:line="240" w:lineRule="auto"/>
        <w:rPr>
          <w:szCs w:val="22"/>
        </w:rPr>
      </w:pPr>
      <w:r>
        <w:rPr>
          <w:spacing w:val="-4"/>
          <w:szCs w:val="22"/>
        </w:rPr>
        <w:t>Î</w:t>
      </w:r>
      <w:r>
        <w:rPr>
          <w:szCs w:val="22"/>
        </w:rPr>
        <w:t>n fa</w:t>
      </w:r>
      <w:r>
        <w:rPr>
          <w:spacing w:val="-3"/>
          <w:szCs w:val="22"/>
        </w:rPr>
        <w:t>z</w:t>
      </w:r>
      <w:r>
        <w:rPr>
          <w:szCs w:val="22"/>
        </w:rPr>
        <w:t>a de ex</w:t>
      </w:r>
      <w:r>
        <w:rPr>
          <w:spacing w:val="1"/>
          <w:szCs w:val="22"/>
        </w:rPr>
        <w:t>t</w:t>
      </w:r>
      <w:r>
        <w:rPr>
          <w:szCs w:val="22"/>
        </w:rPr>
        <w:t>e</w:t>
      </w:r>
      <w:r>
        <w:rPr>
          <w:spacing w:val="-3"/>
          <w:szCs w:val="22"/>
        </w:rPr>
        <w:t>n</w:t>
      </w:r>
      <w:r>
        <w:rPr>
          <w:szCs w:val="22"/>
        </w:rPr>
        <w:t>s</w:t>
      </w:r>
      <w:r>
        <w:rPr>
          <w:spacing w:val="1"/>
          <w:szCs w:val="22"/>
        </w:rPr>
        <w:t>i</w:t>
      </w:r>
      <w:r>
        <w:rPr>
          <w:szCs w:val="22"/>
        </w:rPr>
        <w:t>e</w:t>
      </w:r>
      <w:r>
        <w:rPr>
          <w:spacing w:val="-2"/>
          <w:szCs w:val="22"/>
        </w:rPr>
        <w:t xml:space="preserve"> </w:t>
      </w:r>
      <w:r>
        <w:rPr>
          <w:szCs w:val="22"/>
        </w:rPr>
        <w:t>de</w:t>
      </w:r>
      <w:r>
        <w:rPr>
          <w:spacing w:val="-2"/>
          <w:szCs w:val="22"/>
        </w:rPr>
        <w:t>s</w:t>
      </w:r>
      <w:r>
        <w:rPr>
          <w:szCs w:val="22"/>
        </w:rPr>
        <w:t>ch</w:t>
      </w:r>
      <w:r>
        <w:rPr>
          <w:spacing w:val="-2"/>
          <w:szCs w:val="22"/>
        </w:rPr>
        <w:t>i</w:t>
      </w:r>
      <w:r>
        <w:rPr>
          <w:szCs w:val="22"/>
        </w:rPr>
        <w:t>să</w:t>
      </w:r>
      <w:r>
        <w:rPr>
          <w:spacing w:val="-2"/>
          <w:szCs w:val="22"/>
        </w:rPr>
        <w:t xml:space="preserve"> </w:t>
      </w:r>
      <w:r>
        <w:rPr>
          <w:szCs w:val="22"/>
        </w:rPr>
        <w:t>a s</w:t>
      </w:r>
      <w:r>
        <w:rPr>
          <w:spacing w:val="1"/>
          <w:szCs w:val="22"/>
        </w:rPr>
        <w:t>t</w:t>
      </w:r>
      <w:r>
        <w:rPr>
          <w:spacing w:val="-3"/>
          <w:szCs w:val="22"/>
        </w:rPr>
        <w:t>u</w:t>
      </w:r>
      <w:r>
        <w:rPr>
          <w:szCs w:val="22"/>
        </w:rPr>
        <w:t>d</w:t>
      </w:r>
      <w:r>
        <w:rPr>
          <w:spacing w:val="1"/>
          <w:szCs w:val="22"/>
        </w:rPr>
        <w:t>i</w:t>
      </w:r>
      <w:r>
        <w:rPr>
          <w:spacing w:val="-3"/>
          <w:szCs w:val="22"/>
        </w:rPr>
        <w:t>u</w:t>
      </w:r>
      <w:r>
        <w:rPr>
          <w:spacing w:val="1"/>
          <w:szCs w:val="22"/>
        </w:rPr>
        <w:t>l</w:t>
      </w:r>
      <w:r>
        <w:rPr>
          <w:spacing w:val="-3"/>
          <w:szCs w:val="22"/>
        </w:rPr>
        <w:t>u</w:t>
      </w:r>
      <w:r>
        <w:rPr>
          <w:szCs w:val="22"/>
        </w:rPr>
        <w:t>i</w:t>
      </w:r>
      <w:r>
        <w:rPr>
          <w:spacing w:val="1"/>
          <w:szCs w:val="22"/>
        </w:rPr>
        <w:t xml:space="preserve"> </w:t>
      </w:r>
      <w:r>
        <w:rPr>
          <w:spacing w:val="-1"/>
          <w:szCs w:val="22"/>
        </w:rPr>
        <w:t>P</w:t>
      </w:r>
      <w:r>
        <w:rPr>
          <w:szCs w:val="22"/>
        </w:rPr>
        <w:t>R</w:t>
      </w:r>
      <w:r>
        <w:rPr>
          <w:spacing w:val="-1"/>
          <w:szCs w:val="22"/>
        </w:rPr>
        <w:t xml:space="preserve"> </w:t>
      </w:r>
      <w:r>
        <w:rPr>
          <w:spacing w:val="-2"/>
          <w:szCs w:val="22"/>
        </w:rPr>
        <w:t>III</w:t>
      </w:r>
      <w:r>
        <w:rPr>
          <w:szCs w:val="22"/>
        </w:rPr>
        <w:t xml:space="preserve">, </w:t>
      </w:r>
      <w:r>
        <w:rPr>
          <w:spacing w:val="1"/>
          <w:szCs w:val="22"/>
        </w:rPr>
        <w:t>l</w:t>
      </w:r>
      <w:r>
        <w:rPr>
          <w:szCs w:val="22"/>
        </w:rPr>
        <w:t>a o pa</w:t>
      </w:r>
      <w:r>
        <w:rPr>
          <w:spacing w:val="-2"/>
          <w:szCs w:val="22"/>
        </w:rPr>
        <w:t>rt</w:t>
      </w:r>
      <w:r>
        <w:rPr>
          <w:szCs w:val="22"/>
        </w:rPr>
        <w:t>e d</w:t>
      </w:r>
      <w:r>
        <w:rPr>
          <w:spacing w:val="1"/>
          <w:szCs w:val="22"/>
        </w:rPr>
        <w:t>i</w:t>
      </w:r>
      <w:r>
        <w:rPr>
          <w:spacing w:val="-3"/>
          <w:szCs w:val="22"/>
        </w:rPr>
        <w:t>n</w:t>
      </w:r>
      <w:r>
        <w:rPr>
          <w:spacing w:val="1"/>
          <w:szCs w:val="22"/>
        </w:rPr>
        <w:t>t</w:t>
      </w:r>
      <w:r>
        <w:rPr>
          <w:spacing w:val="-2"/>
          <w:szCs w:val="22"/>
        </w:rPr>
        <w:t>r</w:t>
      </w:r>
      <w:r>
        <w:rPr>
          <w:szCs w:val="22"/>
        </w:rPr>
        <w:t>e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 r</w:t>
      </w:r>
      <w:r>
        <w:rPr>
          <w:spacing w:val="-3"/>
          <w:szCs w:val="22"/>
        </w:rPr>
        <w:t>e</w:t>
      </w:r>
      <w:r>
        <w:rPr>
          <w:szCs w:val="22"/>
        </w:rPr>
        <w:t>duc</w:t>
      </w:r>
      <w:r>
        <w:rPr>
          <w:spacing w:val="-3"/>
          <w:szCs w:val="22"/>
        </w:rPr>
        <w:t>e</w:t>
      </w:r>
      <w:r>
        <w:rPr>
          <w:szCs w:val="22"/>
        </w:rPr>
        <w:t>rea</w:t>
      </w:r>
      <w:r>
        <w:rPr>
          <w:spacing w:val="-5"/>
          <w:szCs w:val="22"/>
        </w:rPr>
        <w:t xml:space="preserve"> </w:t>
      </w:r>
      <w:r>
        <w:rPr>
          <w:szCs w:val="22"/>
        </w:rPr>
        <w:t>ra</w:t>
      </w:r>
      <w:r>
        <w:rPr>
          <w:spacing w:val="-2"/>
          <w:szCs w:val="22"/>
        </w:rPr>
        <w:t>t</w:t>
      </w:r>
      <w:r>
        <w:rPr>
          <w:szCs w:val="22"/>
        </w:rPr>
        <w:t>ei</w:t>
      </w:r>
      <w:r>
        <w:rPr>
          <w:spacing w:val="1"/>
          <w:szCs w:val="22"/>
        </w:rPr>
        <w:t xml:space="preserve"> </w:t>
      </w:r>
      <w:r>
        <w:rPr>
          <w:spacing w:val="-3"/>
          <w:szCs w:val="22"/>
        </w:rPr>
        <w:t>d</w:t>
      </w:r>
      <w:r>
        <w:rPr>
          <w:szCs w:val="22"/>
        </w:rPr>
        <w:t>e p</w:t>
      </w:r>
      <w:r>
        <w:rPr>
          <w:spacing w:val="-2"/>
          <w:szCs w:val="22"/>
        </w:rPr>
        <w:t>r</w:t>
      </w:r>
      <w:r>
        <w:rPr>
          <w:szCs w:val="22"/>
        </w:rPr>
        <w:t>o</w:t>
      </w:r>
      <w:r>
        <w:rPr>
          <w:spacing w:val="-3"/>
          <w:szCs w:val="22"/>
        </w:rPr>
        <w:t>g</w:t>
      </w:r>
      <w:r>
        <w:rPr>
          <w:szCs w:val="22"/>
        </w:rPr>
        <w:t>res</w:t>
      </w:r>
      <w:r>
        <w:rPr>
          <w:spacing w:val="-2"/>
          <w:szCs w:val="22"/>
        </w:rPr>
        <w:t>i</w:t>
      </w:r>
      <w:r>
        <w:rPr>
          <w:szCs w:val="22"/>
        </w:rPr>
        <w:t>e a d</w:t>
      </w:r>
      <w:r>
        <w:rPr>
          <w:spacing w:val="1"/>
          <w:szCs w:val="22"/>
        </w:rPr>
        <w:t>i</w:t>
      </w:r>
      <w:r>
        <w:rPr>
          <w:spacing w:val="-2"/>
          <w:szCs w:val="22"/>
        </w:rPr>
        <w:t>s</w:t>
      </w:r>
      <w:r>
        <w:rPr>
          <w:spacing w:val="1"/>
          <w:szCs w:val="22"/>
        </w:rPr>
        <w:t>t</w:t>
      </w:r>
      <w:r>
        <w:rPr>
          <w:szCs w:val="22"/>
        </w:rPr>
        <w:t>ru</w:t>
      </w:r>
      <w:r>
        <w:rPr>
          <w:spacing w:val="-3"/>
          <w:szCs w:val="22"/>
        </w:rPr>
        <w:t>g</w:t>
      </w:r>
      <w:r>
        <w:rPr>
          <w:szCs w:val="22"/>
        </w:rPr>
        <w:t>e</w:t>
      </w:r>
      <w:r>
        <w:rPr>
          <w:spacing w:val="-2"/>
          <w:szCs w:val="22"/>
        </w:rPr>
        <w:t>r</w:t>
      </w:r>
      <w:r>
        <w:rPr>
          <w:spacing w:val="1"/>
          <w:szCs w:val="22"/>
        </w:rPr>
        <w:t>i</w:t>
      </w:r>
      <w:r>
        <w:rPr>
          <w:szCs w:val="22"/>
        </w:rPr>
        <w:t>i</w:t>
      </w:r>
      <w:r>
        <w:rPr>
          <w:spacing w:val="-2"/>
          <w:szCs w:val="22"/>
        </w:rPr>
        <w:t xml:space="preserve"> </w:t>
      </w:r>
      <w:r>
        <w:rPr>
          <w:szCs w:val="22"/>
        </w:rPr>
        <w:t>s</w:t>
      </w:r>
      <w:r>
        <w:rPr>
          <w:spacing w:val="-2"/>
          <w:szCs w:val="22"/>
        </w:rPr>
        <w:t>t</w:t>
      </w:r>
      <w:r>
        <w:rPr>
          <w:szCs w:val="22"/>
        </w:rPr>
        <w:t>ru</w:t>
      </w:r>
      <w:r>
        <w:rPr>
          <w:spacing w:val="-3"/>
          <w:szCs w:val="22"/>
        </w:rPr>
        <w:t>c</w:t>
      </w:r>
      <w:r>
        <w:rPr>
          <w:spacing w:val="1"/>
          <w:szCs w:val="22"/>
        </w:rPr>
        <w:t>t</w:t>
      </w:r>
      <w:r>
        <w:rPr>
          <w:szCs w:val="22"/>
        </w:rPr>
        <w:t>u</w:t>
      </w:r>
      <w:r>
        <w:rPr>
          <w:spacing w:val="-2"/>
          <w:szCs w:val="22"/>
        </w:rPr>
        <w:t>r</w:t>
      </w:r>
      <w:r>
        <w:rPr>
          <w:szCs w:val="22"/>
        </w:rPr>
        <w:t>a</w:t>
      </w:r>
      <w:r>
        <w:rPr>
          <w:spacing w:val="1"/>
          <w:szCs w:val="22"/>
        </w:rPr>
        <w:t>l</w:t>
      </w:r>
      <w:r>
        <w:rPr>
          <w:szCs w:val="22"/>
        </w:rPr>
        <w:t>e</w:t>
      </w:r>
      <w:r>
        <w:rPr>
          <w:spacing w:val="-2"/>
          <w:szCs w:val="22"/>
        </w:rPr>
        <w:t xml:space="preserve"> </w:t>
      </w:r>
      <w:r>
        <w:rPr>
          <w:szCs w:val="22"/>
        </w:rPr>
        <w:t>e</w:t>
      </w:r>
      <w:r>
        <w:rPr>
          <w:spacing w:val="-2"/>
          <w:szCs w:val="22"/>
        </w:rPr>
        <w:t>s</w:t>
      </w:r>
      <w:r>
        <w:rPr>
          <w:spacing w:val="1"/>
          <w:szCs w:val="22"/>
        </w:rPr>
        <w:t>t</w:t>
      </w:r>
      <w:r>
        <w:rPr>
          <w:szCs w:val="22"/>
        </w:rPr>
        <w:t>e</w:t>
      </w:r>
      <w:r>
        <w:rPr>
          <w:spacing w:val="-2"/>
          <w:szCs w:val="22"/>
        </w:rPr>
        <w:t xml:space="preserve"> </w:t>
      </w:r>
      <w:r>
        <w:rPr>
          <w:spacing w:val="-4"/>
          <w:szCs w:val="22"/>
        </w:rPr>
        <w:t>m</w:t>
      </w:r>
      <w:r>
        <w:rPr>
          <w:szCs w:val="22"/>
        </w:rPr>
        <w:t>en</w:t>
      </w:r>
      <w:r>
        <w:rPr>
          <w:spacing w:val="1"/>
          <w:szCs w:val="22"/>
        </w:rPr>
        <w:t>ţi</w:t>
      </w:r>
      <w:r>
        <w:rPr>
          <w:szCs w:val="22"/>
        </w:rPr>
        <w:t>nu</w:t>
      </w:r>
      <w:r>
        <w:rPr>
          <w:spacing w:val="1"/>
          <w:szCs w:val="22"/>
        </w:rPr>
        <w:t>t</w:t>
      </w:r>
      <w:r>
        <w:rPr>
          <w:szCs w:val="22"/>
        </w:rPr>
        <w:t>ă</w:t>
      </w:r>
      <w:r>
        <w:rPr>
          <w:spacing w:val="-2"/>
          <w:szCs w:val="22"/>
        </w:rPr>
        <w:t xml:space="preserve"> </w:t>
      </w:r>
      <w:r>
        <w:rPr>
          <w:szCs w:val="22"/>
        </w:rPr>
        <w:t>pe d</w:t>
      </w:r>
      <w:r>
        <w:rPr>
          <w:spacing w:val="-3"/>
          <w:szCs w:val="22"/>
        </w:rPr>
        <w:t>u</w:t>
      </w:r>
      <w:r>
        <w:rPr>
          <w:szCs w:val="22"/>
        </w:rPr>
        <w:t>r</w:t>
      </w:r>
      <w:r>
        <w:rPr>
          <w:spacing w:val="-3"/>
          <w:szCs w:val="22"/>
        </w:rPr>
        <w:t>a</w:t>
      </w:r>
      <w:r>
        <w:rPr>
          <w:spacing w:val="1"/>
          <w:szCs w:val="22"/>
        </w:rPr>
        <w:t>t</w:t>
      </w:r>
      <w:r>
        <w:rPr>
          <w:szCs w:val="22"/>
        </w:rPr>
        <w:t>a a</w:t>
      </w:r>
      <w:r>
        <w:rPr>
          <w:spacing w:val="-2"/>
          <w:szCs w:val="22"/>
        </w:rPr>
        <w:t xml:space="preserve"> </w:t>
      </w:r>
      <w:r>
        <w:rPr>
          <w:szCs w:val="22"/>
        </w:rPr>
        <w:t xml:space="preserve">8 </w:t>
      </w:r>
      <w:r>
        <w:rPr>
          <w:spacing w:val="-2"/>
          <w:szCs w:val="22"/>
        </w:rPr>
        <w:t>ş</w:t>
      </w:r>
      <w:r>
        <w:rPr>
          <w:szCs w:val="22"/>
        </w:rPr>
        <w:t>i</w:t>
      </w:r>
      <w:r>
        <w:rPr>
          <w:spacing w:val="1"/>
          <w:szCs w:val="22"/>
        </w:rPr>
        <w:t xml:space="preserve"> </w:t>
      </w:r>
      <w:r>
        <w:rPr>
          <w:spacing w:val="-3"/>
          <w:szCs w:val="22"/>
        </w:rPr>
        <w:t>1</w:t>
      </w:r>
      <w:r>
        <w:rPr>
          <w:szCs w:val="22"/>
        </w:rPr>
        <w:t>0 an</w:t>
      </w:r>
      <w:r>
        <w:rPr>
          <w:spacing w:val="1"/>
          <w:szCs w:val="22"/>
        </w:rPr>
        <w:t>i</w:t>
      </w:r>
      <w:r>
        <w:rPr>
          <w:szCs w:val="22"/>
        </w:rPr>
        <w:t xml:space="preserve">. </w:t>
      </w:r>
      <w:r>
        <w:rPr>
          <w:spacing w:val="-2"/>
          <w:szCs w:val="22"/>
        </w:rPr>
        <w:t>A</w:t>
      </w:r>
      <w:r>
        <w:rPr>
          <w:szCs w:val="22"/>
        </w:rPr>
        <w:t>u</w:t>
      </w:r>
      <w:r>
        <w:rPr>
          <w:spacing w:val="-3"/>
          <w:szCs w:val="22"/>
        </w:rPr>
        <w:t xml:space="preserve"> </w:t>
      </w:r>
      <w:r>
        <w:rPr>
          <w:szCs w:val="22"/>
        </w:rPr>
        <w:t>fo</w:t>
      </w:r>
      <w:r>
        <w:rPr>
          <w:spacing w:val="-2"/>
          <w:szCs w:val="22"/>
        </w:rPr>
        <w:t>s</w:t>
      </w:r>
      <w:r>
        <w:rPr>
          <w:szCs w:val="22"/>
        </w:rPr>
        <w:t>t</w:t>
      </w:r>
      <w:r>
        <w:rPr>
          <w:spacing w:val="1"/>
          <w:szCs w:val="22"/>
        </w:rPr>
        <w:t xml:space="preserve"> </w:t>
      </w:r>
      <w:r>
        <w:rPr>
          <w:szCs w:val="22"/>
        </w:rPr>
        <w:t>e</w:t>
      </w:r>
      <w:r>
        <w:rPr>
          <w:spacing w:val="-3"/>
          <w:szCs w:val="22"/>
        </w:rPr>
        <w:t>v</w:t>
      </w:r>
      <w:r>
        <w:rPr>
          <w:szCs w:val="22"/>
        </w:rPr>
        <w:t>a</w:t>
      </w:r>
      <w:r>
        <w:rPr>
          <w:spacing w:val="-2"/>
          <w:szCs w:val="22"/>
        </w:rPr>
        <w:t>l</w:t>
      </w:r>
      <w:r>
        <w:rPr>
          <w:szCs w:val="22"/>
        </w:rPr>
        <w:t>ua</w:t>
      </w:r>
      <w:r>
        <w:rPr>
          <w:spacing w:val="-2"/>
          <w:szCs w:val="22"/>
        </w:rPr>
        <w:t>ţ</w:t>
      </w:r>
      <w:r>
        <w:rPr>
          <w:szCs w:val="22"/>
        </w:rPr>
        <w:t>i</w:t>
      </w:r>
      <w:r>
        <w:rPr>
          <w:spacing w:val="1"/>
          <w:szCs w:val="22"/>
        </w:rPr>
        <w:t xml:space="preserve"> </w:t>
      </w:r>
      <w:r>
        <w:rPr>
          <w:spacing w:val="-2"/>
          <w:szCs w:val="22"/>
        </w:rPr>
        <w:t>r</w:t>
      </w:r>
      <w:r>
        <w:rPr>
          <w:szCs w:val="22"/>
        </w:rPr>
        <w:t>ad</w:t>
      </w:r>
      <w:r>
        <w:rPr>
          <w:spacing w:val="-2"/>
          <w:szCs w:val="22"/>
        </w:rPr>
        <w:t>i</w:t>
      </w:r>
      <w:r>
        <w:rPr>
          <w:spacing w:val="-3"/>
          <w:szCs w:val="22"/>
        </w:rPr>
        <w:t>og</w:t>
      </w:r>
      <w:r>
        <w:rPr>
          <w:szCs w:val="22"/>
        </w:rPr>
        <w:t>raf</w:t>
      </w:r>
      <w:r>
        <w:rPr>
          <w:spacing w:val="1"/>
          <w:szCs w:val="22"/>
        </w:rPr>
        <w:t>i</w:t>
      </w:r>
      <w:r>
        <w:rPr>
          <w:szCs w:val="22"/>
        </w:rPr>
        <w:t>c,</w:t>
      </w:r>
      <w:r>
        <w:rPr>
          <w:spacing w:val="-3"/>
          <w:szCs w:val="22"/>
        </w:rPr>
        <w:t xml:space="preserve"> </w:t>
      </w:r>
      <w:r>
        <w:rPr>
          <w:spacing w:val="1"/>
          <w:szCs w:val="22"/>
        </w:rPr>
        <w:t>l</w:t>
      </w:r>
      <w:r>
        <w:rPr>
          <w:szCs w:val="22"/>
        </w:rPr>
        <w:t>a</w:t>
      </w:r>
      <w:r>
        <w:rPr>
          <w:spacing w:val="-2"/>
          <w:szCs w:val="22"/>
        </w:rPr>
        <w:t xml:space="preserve"> </w:t>
      </w:r>
      <w:r>
        <w:rPr>
          <w:szCs w:val="22"/>
        </w:rPr>
        <w:t>8 a</w:t>
      </w:r>
      <w:r>
        <w:rPr>
          <w:spacing w:val="-3"/>
          <w:szCs w:val="22"/>
        </w:rPr>
        <w:t>n</w:t>
      </w:r>
      <w:r>
        <w:rPr>
          <w:spacing w:val="1"/>
          <w:szCs w:val="22"/>
        </w:rPr>
        <w:t>i</w:t>
      </w:r>
      <w:r>
        <w:rPr>
          <w:szCs w:val="22"/>
        </w:rPr>
        <w:t>, 81 d</w:t>
      </w:r>
      <w:r>
        <w:rPr>
          <w:spacing w:val="1"/>
          <w:szCs w:val="22"/>
        </w:rPr>
        <w:t>i</w:t>
      </w:r>
      <w:r>
        <w:rPr>
          <w:szCs w:val="22"/>
        </w:rPr>
        <w:t>n 207</w:t>
      </w:r>
      <w:r>
        <w:rPr>
          <w:spacing w:val="-3"/>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2"/>
          <w:szCs w:val="22"/>
        </w:rPr>
        <w:t>ţ</w:t>
      </w:r>
      <w:r>
        <w:rPr>
          <w:szCs w:val="22"/>
        </w:rPr>
        <w:t>i</w:t>
      </w:r>
      <w:r>
        <w:rPr>
          <w:spacing w:val="1"/>
          <w:szCs w:val="22"/>
        </w:rPr>
        <w:t xml:space="preserve"> i</w:t>
      </w:r>
      <w:r>
        <w:rPr>
          <w:spacing w:val="-3"/>
          <w:szCs w:val="22"/>
        </w:rPr>
        <w:t>n</w:t>
      </w:r>
      <w:r>
        <w:rPr>
          <w:spacing w:val="1"/>
          <w:szCs w:val="22"/>
        </w:rPr>
        <w:t>i</w:t>
      </w:r>
      <w:r>
        <w:rPr>
          <w:spacing w:val="-2"/>
          <w:szCs w:val="22"/>
        </w:rPr>
        <w:t>ţi</w:t>
      </w:r>
      <w:r>
        <w:rPr>
          <w:szCs w:val="22"/>
        </w:rPr>
        <w:t>al</w:t>
      </w:r>
      <w:r>
        <w:rPr>
          <w:spacing w:val="1"/>
          <w:szCs w:val="22"/>
        </w:rPr>
        <w:t xml:space="preserve"> </w:t>
      </w:r>
      <w:r>
        <w:rPr>
          <w:szCs w:val="22"/>
        </w:rPr>
        <w:t>cu</w:t>
      </w:r>
      <w:r>
        <w:rPr>
          <w:spacing w:val="-3"/>
          <w:szCs w:val="22"/>
        </w:rPr>
        <w:t xml:space="preserve"> </w:t>
      </w:r>
      <w:r>
        <w:rPr>
          <w:szCs w:val="22"/>
        </w:rPr>
        <w:t>40 </w:t>
      </w:r>
      <w:r>
        <w:rPr>
          <w:spacing w:val="-4"/>
          <w:szCs w:val="22"/>
        </w:rPr>
        <w:t>m</w:t>
      </w:r>
      <w:r>
        <w:rPr>
          <w:szCs w:val="22"/>
        </w:rPr>
        <w:t>g</w:t>
      </w:r>
      <w:r>
        <w:rPr>
          <w:spacing w:val="-3"/>
          <w:szCs w:val="22"/>
        </w:rPr>
        <w:t xml:space="preserve"> </w:t>
      </w:r>
      <w:r>
        <w:rPr>
          <w:rFonts w:eastAsia="MS Mincho"/>
          <w:spacing w:val="-1"/>
          <w:szCs w:val="22"/>
          <w:lang w:eastAsia="en-US" w:bidi="ar-SA"/>
        </w:rPr>
        <w:t>adalimumab</w:t>
      </w:r>
      <w:r>
        <w:rPr>
          <w:szCs w:val="22"/>
        </w:rPr>
        <w:t xml:space="preserve"> </w:t>
      </w:r>
      <w:r>
        <w:rPr>
          <w:spacing w:val="1"/>
          <w:szCs w:val="22"/>
        </w:rPr>
        <w:t>l</w:t>
      </w:r>
      <w:r>
        <w:rPr>
          <w:szCs w:val="22"/>
        </w:rPr>
        <w:t>a do</w:t>
      </w:r>
      <w:r>
        <w:rPr>
          <w:spacing w:val="-3"/>
          <w:szCs w:val="22"/>
        </w:rPr>
        <w:t>u</w:t>
      </w:r>
      <w:r>
        <w:rPr>
          <w:szCs w:val="22"/>
        </w:rPr>
        <w:t>ă</w:t>
      </w:r>
      <w:r>
        <w:rPr>
          <w:spacing w:val="-2"/>
          <w:szCs w:val="22"/>
        </w:rPr>
        <w:t xml:space="preserve"> </w:t>
      </w:r>
      <w:r>
        <w:rPr>
          <w:szCs w:val="22"/>
        </w:rPr>
        <w:t>săp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P</w:t>
      </w:r>
      <w:r>
        <w:rPr>
          <w:spacing w:val="-2"/>
          <w:szCs w:val="22"/>
        </w:rPr>
        <w:t>r</w:t>
      </w:r>
      <w:r>
        <w:rPr>
          <w:spacing w:val="1"/>
          <w:szCs w:val="22"/>
        </w:rPr>
        <w:t>i</w:t>
      </w:r>
      <w:r>
        <w:rPr>
          <w:szCs w:val="22"/>
        </w:rPr>
        <w:t>n</w:t>
      </w:r>
      <w:r>
        <w:rPr>
          <w:spacing w:val="-2"/>
          <w:szCs w:val="22"/>
        </w:rPr>
        <w:t>t</w:t>
      </w:r>
      <w:r>
        <w:rPr>
          <w:szCs w:val="22"/>
        </w:rPr>
        <w:t xml:space="preserve">re </w:t>
      </w:r>
      <w:r>
        <w:rPr>
          <w:spacing w:val="-3"/>
          <w:szCs w:val="22"/>
        </w:rPr>
        <w:t>a</w:t>
      </w:r>
      <w:r>
        <w:rPr>
          <w:szCs w:val="22"/>
        </w:rPr>
        <w:t>ce</w:t>
      </w:r>
      <w:r>
        <w:rPr>
          <w:spacing w:val="-2"/>
          <w:szCs w:val="22"/>
        </w:rPr>
        <w:t>ş</w:t>
      </w:r>
      <w:r>
        <w:rPr>
          <w:spacing w:val="1"/>
          <w:szCs w:val="22"/>
        </w:rPr>
        <w:t>t</w:t>
      </w:r>
      <w:r>
        <w:rPr>
          <w:spacing w:val="-2"/>
          <w:szCs w:val="22"/>
        </w:rPr>
        <w:t>i</w:t>
      </w:r>
      <w:r>
        <w:rPr>
          <w:szCs w:val="22"/>
        </w:rPr>
        <w:t>a,</w:t>
      </w:r>
      <w:r>
        <w:rPr>
          <w:spacing w:val="-3"/>
          <w:szCs w:val="22"/>
        </w:rPr>
        <w:t xml:space="preserve"> </w:t>
      </w:r>
      <w:r>
        <w:rPr>
          <w:szCs w:val="22"/>
        </w:rPr>
        <w:t>48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nu au de</w:t>
      </w:r>
      <w:r>
        <w:rPr>
          <w:spacing w:val="-4"/>
          <w:szCs w:val="22"/>
        </w:rPr>
        <w:t>m</w:t>
      </w:r>
      <w:r>
        <w:rPr>
          <w:szCs w:val="22"/>
        </w:rPr>
        <w:t>ons</w:t>
      </w:r>
      <w:r>
        <w:rPr>
          <w:spacing w:val="1"/>
          <w:szCs w:val="22"/>
        </w:rPr>
        <w:t>t</w:t>
      </w:r>
      <w:r>
        <w:rPr>
          <w:szCs w:val="22"/>
        </w:rPr>
        <w:t>r</w:t>
      </w:r>
      <w:r>
        <w:rPr>
          <w:spacing w:val="-3"/>
          <w:szCs w:val="22"/>
        </w:rPr>
        <w:t>a</w:t>
      </w:r>
      <w:r>
        <w:rPr>
          <w:szCs w:val="22"/>
        </w:rPr>
        <w:t>t</w:t>
      </w:r>
      <w:r>
        <w:rPr>
          <w:spacing w:val="1"/>
          <w:szCs w:val="22"/>
        </w:rPr>
        <w:t xml:space="preserve"> </w:t>
      </w:r>
      <w:r>
        <w:rPr>
          <w:szCs w:val="22"/>
        </w:rPr>
        <w:t>o e</w:t>
      </w:r>
      <w:r>
        <w:rPr>
          <w:spacing w:val="-3"/>
          <w:szCs w:val="22"/>
        </w:rPr>
        <w:t>v</w:t>
      </w:r>
      <w:r>
        <w:rPr>
          <w:szCs w:val="22"/>
        </w:rPr>
        <w:t>o</w:t>
      </w:r>
      <w:r>
        <w:rPr>
          <w:spacing w:val="1"/>
          <w:szCs w:val="22"/>
        </w:rPr>
        <w:t>l</w:t>
      </w:r>
      <w:r>
        <w:rPr>
          <w:spacing w:val="-3"/>
          <w:szCs w:val="22"/>
        </w:rPr>
        <w:t>u</w:t>
      </w:r>
      <w:r>
        <w:rPr>
          <w:spacing w:val="1"/>
          <w:szCs w:val="22"/>
        </w:rPr>
        <w:t>ţ</w:t>
      </w:r>
      <w:r>
        <w:rPr>
          <w:spacing w:val="-2"/>
          <w:szCs w:val="22"/>
        </w:rPr>
        <w:t>i</w:t>
      </w:r>
      <w:r>
        <w:rPr>
          <w:szCs w:val="22"/>
        </w:rPr>
        <w:t xml:space="preserve">e a </w:t>
      </w:r>
      <w:r>
        <w:rPr>
          <w:spacing w:val="-3"/>
          <w:szCs w:val="22"/>
        </w:rPr>
        <w:t>d</w:t>
      </w:r>
      <w:r>
        <w:rPr>
          <w:spacing w:val="1"/>
          <w:szCs w:val="22"/>
        </w:rPr>
        <w:t>i</w:t>
      </w:r>
      <w:r>
        <w:rPr>
          <w:spacing w:val="-2"/>
          <w:szCs w:val="22"/>
        </w:rPr>
        <w:t>st</w:t>
      </w:r>
      <w:r>
        <w:rPr>
          <w:szCs w:val="22"/>
        </w:rPr>
        <w:t>ru</w:t>
      </w:r>
      <w:r>
        <w:rPr>
          <w:spacing w:val="-3"/>
          <w:szCs w:val="22"/>
        </w:rPr>
        <w:t>g</w:t>
      </w:r>
      <w:r>
        <w:rPr>
          <w:szCs w:val="22"/>
        </w:rPr>
        <w:t>er</w:t>
      </w:r>
      <w:r>
        <w:rPr>
          <w:spacing w:val="-2"/>
          <w:szCs w:val="22"/>
        </w:rPr>
        <w:t>i</w:t>
      </w:r>
      <w:r>
        <w:rPr>
          <w:szCs w:val="22"/>
        </w:rPr>
        <w:t>i</w:t>
      </w:r>
      <w:r>
        <w:rPr>
          <w:spacing w:val="1"/>
          <w:szCs w:val="22"/>
        </w:rPr>
        <w:t xml:space="preserve"> </w:t>
      </w:r>
      <w:r>
        <w:rPr>
          <w:spacing w:val="-2"/>
          <w:szCs w:val="22"/>
        </w:rPr>
        <w:t>s</w:t>
      </w:r>
      <w:r>
        <w:rPr>
          <w:spacing w:val="1"/>
          <w:szCs w:val="22"/>
        </w:rPr>
        <w:t>t</w:t>
      </w:r>
      <w:r>
        <w:rPr>
          <w:szCs w:val="22"/>
        </w:rPr>
        <w:t>r</w:t>
      </w:r>
      <w:r>
        <w:rPr>
          <w:spacing w:val="-3"/>
          <w:szCs w:val="22"/>
        </w:rPr>
        <w:t>u</w:t>
      </w:r>
      <w:r>
        <w:rPr>
          <w:szCs w:val="22"/>
        </w:rPr>
        <w:t>c</w:t>
      </w:r>
      <w:r>
        <w:rPr>
          <w:spacing w:val="1"/>
          <w:szCs w:val="22"/>
        </w:rPr>
        <w:t>t</w:t>
      </w:r>
      <w:r>
        <w:rPr>
          <w:spacing w:val="-3"/>
          <w:szCs w:val="22"/>
        </w:rPr>
        <w:t>u</w:t>
      </w:r>
      <w:r>
        <w:rPr>
          <w:szCs w:val="22"/>
        </w:rPr>
        <w:t>r</w:t>
      </w:r>
      <w:r>
        <w:rPr>
          <w:spacing w:val="-3"/>
          <w:szCs w:val="22"/>
        </w:rPr>
        <w:t>a</w:t>
      </w:r>
      <w:r>
        <w:rPr>
          <w:spacing w:val="1"/>
          <w:szCs w:val="22"/>
        </w:rPr>
        <w:t>l</w:t>
      </w:r>
      <w:r>
        <w:rPr>
          <w:szCs w:val="22"/>
        </w:rPr>
        <w:t xml:space="preserve">e </w:t>
      </w:r>
      <w:r>
        <w:rPr>
          <w:spacing w:val="-2"/>
          <w:szCs w:val="22"/>
        </w:rPr>
        <w:t>f</w:t>
      </w:r>
      <w:r>
        <w:rPr>
          <w:szCs w:val="22"/>
        </w:rPr>
        <w:t>a</w:t>
      </w:r>
      <w:r>
        <w:rPr>
          <w:spacing w:val="-2"/>
          <w:szCs w:val="22"/>
        </w:rPr>
        <w:t>ţ</w:t>
      </w:r>
      <w:r>
        <w:rPr>
          <w:szCs w:val="22"/>
        </w:rPr>
        <w:t>ă de</w:t>
      </w:r>
      <w:r>
        <w:rPr>
          <w:spacing w:val="-2"/>
          <w:szCs w:val="22"/>
        </w:rPr>
        <w:t xml:space="preserve"> </w:t>
      </w:r>
      <w:r>
        <w:rPr>
          <w:szCs w:val="22"/>
        </w:rPr>
        <w:t>s</w:t>
      </w:r>
      <w:r>
        <w:rPr>
          <w:spacing w:val="-2"/>
          <w:szCs w:val="22"/>
        </w:rPr>
        <w:t>t</w:t>
      </w:r>
      <w:r>
        <w:rPr>
          <w:szCs w:val="22"/>
        </w:rPr>
        <w:t>area</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pacing w:val="1"/>
          <w:szCs w:val="22"/>
        </w:rPr>
        <w:t>l</w:t>
      </w:r>
      <w:r>
        <w:rPr>
          <w:szCs w:val="22"/>
        </w:rPr>
        <w:t xml:space="preserve">ă, </w:t>
      </w:r>
      <w:r>
        <w:rPr>
          <w:spacing w:val="-3"/>
          <w:szCs w:val="22"/>
        </w:rPr>
        <w:t>e</w:t>
      </w:r>
      <w:r>
        <w:rPr>
          <w:szCs w:val="22"/>
        </w:rPr>
        <w:t>xp</w:t>
      </w:r>
      <w:r>
        <w:rPr>
          <w:spacing w:val="-2"/>
          <w:szCs w:val="22"/>
        </w:rPr>
        <w:t>r</w:t>
      </w:r>
      <w:r>
        <w:rPr>
          <w:spacing w:val="1"/>
          <w:szCs w:val="22"/>
        </w:rPr>
        <w:t>i</w:t>
      </w:r>
      <w:r>
        <w:rPr>
          <w:spacing w:val="-4"/>
          <w:szCs w:val="22"/>
        </w:rPr>
        <w:t>m</w:t>
      </w:r>
      <w:r>
        <w:rPr>
          <w:szCs w:val="22"/>
        </w:rPr>
        <w:t>a</w:t>
      </w:r>
      <w:r>
        <w:rPr>
          <w:spacing w:val="1"/>
          <w:szCs w:val="22"/>
        </w:rPr>
        <w:t>t</w:t>
      </w:r>
      <w:r>
        <w:rPr>
          <w:szCs w:val="22"/>
        </w:rPr>
        <w:t>ă ca</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zCs w:val="22"/>
        </w:rPr>
        <w:t>c</w:t>
      </w:r>
      <w:r>
        <w:rPr>
          <w:spacing w:val="-3"/>
          <w:szCs w:val="22"/>
        </w:rPr>
        <w:t>a</w:t>
      </w:r>
      <w:r>
        <w:rPr>
          <w:szCs w:val="22"/>
        </w:rPr>
        <w:t>re</w:t>
      </w:r>
      <w:r>
        <w:rPr>
          <w:spacing w:val="-2"/>
          <w:szCs w:val="22"/>
        </w:rPr>
        <w:t xml:space="preserve"> </w:t>
      </w:r>
      <w:r>
        <w:rPr>
          <w:spacing w:val="1"/>
          <w:szCs w:val="22"/>
        </w:rPr>
        <w:t>î</w:t>
      </w:r>
      <w:r>
        <w:rPr>
          <w:szCs w:val="22"/>
        </w:rPr>
        <w:t>n 0,5</w:t>
      </w:r>
      <w:r>
        <w:rPr>
          <w:spacing w:val="-3"/>
          <w:szCs w:val="22"/>
        </w:rPr>
        <w:t xml:space="preserve"> </w:t>
      </w:r>
      <w:r>
        <w:rPr>
          <w:szCs w:val="22"/>
        </w:rPr>
        <w:t xml:space="preserve">sau </w:t>
      </w:r>
      <w:r>
        <w:rPr>
          <w:spacing w:val="-4"/>
          <w:szCs w:val="22"/>
        </w:rPr>
        <w:t>m</w:t>
      </w:r>
      <w:r>
        <w:rPr>
          <w:szCs w:val="22"/>
        </w:rPr>
        <w:t>ai</w:t>
      </w:r>
      <w:r>
        <w:rPr>
          <w:spacing w:val="1"/>
          <w:szCs w:val="22"/>
        </w:rPr>
        <w:t xml:space="preserve"> </w:t>
      </w:r>
      <w:r>
        <w:rPr>
          <w:szCs w:val="22"/>
        </w:rPr>
        <w:t>pu</w:t>
      </w:r>
      <w:r>
        <w:rPr>
          <w:spacing w:val="1"/>
          <w:szCs w:val="22"/>
        </w:rPr>
        <w:t>ţi</w:t>
      </w:r>
      <w:r>
        <w:rPr>
          <w:szCs w:val="22"/>
        </w:rPr>
        <w:t>n</w:t>
      </w:r>
      <w:r>
        <w:rPr>
          <w:spacing w:val="-3"/>
          <w:szCs w:val="22"/>
        </w:rPr>
        <w:t xml:space="preserve"> </w:t>
      </w:r>
      <w:r>
        <w:rPr>
          <w:szCs w:val="22"/>
        </w:rPr>
        <w:t>a sc</w:t>
      </w:r>
      <w:r>
        <w:rPr>
          <w:spacing w:val="-3"/>
          <w:szCs w:val="22"/>
        </w:rPr>
        <w:t>o</w:t>
      </w:r>
      <w:r>
        <w:rPr>
          <w:szCs w:val="22"/>
        </w:rPr>
        <w:t>r</w:t>
      </w:r>
      <w:r>
        <w:rPr>
          <w:spacing w:val="-3"/>
          <w:szCs w:val="22"/>
        </w:rPr>
        <w:t>u</w:t>
      </w:r>
      <w:r>
        <w:rPr>
          <w:spacing w:val="1"/>
          <w:szCs w:val="22"/>
        </w:rPr>
        <w:t>l</w:t>
      </w:r>
      <w:r>
        <w:rPr>
          <w:szCs w:val="22"/>
        </w:rPr>
        <w:t>ui</w:t>
      </w:r>
      <w:r>
        <w:rPr>
          <w:spacing w:val="1"/>
          <w:szCs w:val="22"/>
        </w:rPr>
        <w:t xml:space="preserve"> </w:t>
      </w:r>
      <w:r>
        <w:rPr>
          <w:spacing w:val="-1"/>
          <w:szCs w:val="22"/>
        </w:rPr>
        <w:t>S</w:t>
      </w:r>
      <w:r>
        <w:rPr>
          <w:spacing w:val="-3"/>
          <w:szCs w:val="22"/>
        </w:rPr>
        <w:t>S</w:t>
      </w:r>
      <w:r>
        <w:rPr>
          <w:spacing w:val="1"/>
          <w:szCs w:val="22"/>
        </w:rPr>
        <w:t>T</w:t>
      </w:r>
      <w:r>
        <w:rPr>
          <w:spacing w:val="-4"/>
          <w:szCs w:val="22"/>
        </w:rPr>
        <w:t>m</w:t>
      </w:r>
      <w:r>
        <w:rPr>
          <w:szCs w:val="22"/>
        </w:rPr>
        <w:t xml:space="preserve">. </w:t>
      </w:r>
      <w:r>
        <w:rPr>
          <w:spacing w:val="-1"/>
          <w:szCs w:val="22"/>
        </w:rPr>
        <w:t>L</w:t>
      </w:r>
      <w:r>
        <w:rPr>
          <w:szCs w:val="22"/>
        </w:rPr>
        <w:t>a 10 a</w:t>
      </w:r>
      <w:r>
        <w:rPr>
          <w:spacing w:val="-3"/>
          <w:szCs w:val="22"/>
        </w:rPr>
        <w:t>n</w:t>
      </w:r>
      <w:r>
        <w:rPr>
          <w:spacing w:val="1"/>
          <w:szCs w:val="22"/>
        </w:rPr>
        <w:t>i</w:t>
      </w:r>
      <w:r>
        <w:rPr>
          <w:szCs w:val="22"/>
        </w:rPr>
        <w:t xml:space="preserve">, </w:t>
      </w:r>
      <w:r>
        <w:rPr>
          <w:spacing w:val="-3"/>
          <w:szCs w:val="22"/>
        </w:rPr>
        <w:t>a</w:t>
      </w:r>
      <w:r>
        <w:rPr>
          <w:szCs w:val="22"/>
        </w:rPr>
        <w:t>u f</w:t>
      </w:r>
      <w:r>
        <w:rPr>
          <w:spacing w:val="-3"/>
          <w:szCs w:val="22"/>
        </w:rPr>
        <w:t>o</w:t>
      </w:r>
      <w:r>
        <w:rPr>
          <w:szCs w:val="22"/>
        </w:rPr>
        <w:t>st</w:t>
      </w:r>
      <w:r>
        <w:rPr>
          <w:spacing w:val="1"/>
          <w:szCs w:val="22"/>
        </w:rPr>
        <w:t xml:space="preserve"> </w:t>
      </w:r>
      <w:r>
        <w:rPr>
          <w:szCs w:val="22"/>
        </w:rPr>
        <w:t>e</w:t>
      </w:r>
      <w:r>
        <w:rPr>
          <w:spacing w:val="-3"/>
          <w:szCs w:val="22"/>
        </w:rPr>
        <w:t>v</w:t>
      </w:r>
      <w:r>
        <w:rPr>
          <w:szCs w:val="22"/>
        </w:rPr>
        <w:t>a</w:t>
      </w:r>
      <w:r>
        <w:rPr>
          <w:spacing w:val="-2"/>
          <w:szCs w:val="22"/>
        </w:rPr>
        <w:t>l</w:t>
      </w:r>
      <w:r>
        <w:rPr>
          <w:szCs w:val="22"/>
        </w:rPr>
        <w:t>ua</w:t>
      </w:r>
      <w:r>
        <w:rPr>
          <w:spacing w:val="-2"/>
          <w:szCs w:val="22"/>
        </w:rPr>
        <w:t>ţ</w:t>
      </w:r>
      <w:r>
        <w:rPr>
          <w:szCs w:val="22"/>
        </w:rPr>
        <w:t>i</w:t>
      </w:r>
      <w:r>
        <w:rPr>
          <w:spacing w:val="-2"/>
          <w:szCs w:val="22"/>
        </w:rPr>
        <w:t xml:space="preserve"> </w:t>
      </w:r>
      <w:r>
        <w:rPr>
          <w:szCs w:val="22"/>
        </w:rPr>
        <w:t>rad</w:t>
      </w:r>
      <w:r>
        <w:rPr>
          <w:spacing w:val="-2"/>
          <w:szCs w:val="22"/>
        </w:rPr>
        <w:t>i</w:t>
      </w:r>
      <w:r>
        <w:rPr>
          <w:szCs w:val="22"/>
        </w:rPr>
        <w:t>o</w:t>
      </w:r>
      <w:r>
        <w:rPr>
          <w:spacing w:val="1"/>
          <w:szCs w:val="22"/>
        </w:rPr>
        <w:t>l</w:t>
      </w:r>
      <w:r>
        <w:rPr>
          <w:szCs w:val="22"/>
        </w:rPr>
        <w:t>o</w:t>
      </w:r>
      <w:r>
        <w:rPr>
          <w:spacing w:val="-3"/>
          <w:szCs w:val="22"/>
        </w:rPr>
        <w:t>g</w:t>
      </w:r>
      <w:r>
        <w:rPr>
          <w:spacing w:val="1"/>
          <w:szCs w:val="22"/>
        </w:rPr>
        <w:t>i</w:t>
      </w:r>
      <w:r>
        <w:rPr>
          <w:szCs w:val="22"/>
        </w:rPr>
        <w:t>c</w:t>
      </w:r>
      <w:r>
        <w:rPr>
          <w:spacing w:val="-2"/>
          <w:szCs w:val="22"/>
        </w:rPr>
        <w:t xml:space="preserve"> </w:t>
      </w:r>
      <w:r>
        <w:rPr>
          <w:szCs w:val="22"/>
        </w:rPr>
        <w:t xml:space="preserve">79 </w:t>
      </w:r>
      <w:r>
        <w:rPr>
          <w:spacing w:val="-3"/>
          <w:szCs w:val="22"/>
        </w:rPr>
        <w:t>d</w:t>
      </w:r>
      <w:r>
        <w:rPr>
          <w:spacing w:val="1"/>
          <w:szCs w:val="22"/>
        </w:rPr>
        <w:t>i</w:t>
      </w:r>
      <w:r>
        <w:rPr>
          <w:szCs w:val="22"/>
        </w:rPr>
        <w:t xml:space="preserve">n 207 </w:t>
      </w:r>
      <w:r>
        <w:rPr>
          <w:spacing w:val="-3"/>
          <w:szCs w:val="22"/>
        </w:rPr>
        <w:t>p</w:t>
      </w:r>
      <w:r>
        <w:rPr>
          <w:szCs w:val="22"/>
        </w:rPr>
        <w:t>a</w:t>
      </w:r>
      <w:r>
        <w:rPr>
          <w:spacing w:val="-3"/>
          <w:szCs w:val="22"/>
        </w:rPr>
        <w:t>c</w:t>
      </w:r>
      <w:r>
        <w:rPr>
          <w:spacing w:val="1"/>
          <w:szCs w:val="22"/>
        </w:rPr>
        <w:t>i</w:t>
      </w:r>
      <w:r>
        <w:rPr>
          <w:spacing w:val="-3"/>
          <w:szCs w:val="22"/>
        </w:rPr>
        <w:t>e</w:t>
      </w:r>
      <w:r>
        <w:rPr>
          <w:szCs w:val="22"/>
        </w:rPr>
        <w:t>n</w:t>
      </w:r>
      <w:r>
        <w:rPr>
          <w:spacing w:val="1"/>
          <w:szCs w:val="22"/>
        </w:rPr>
        <w:t>ţ</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i</w:t>
      </w:r>
      <w:r>
        <w:rPr>
          <w:spacing w:val="-3"/>
          <w:szCs w:val="22"/>
        </w:rPr>
        <w:t>n</w:t>
      </w:r>
      <w:r>
        <w:rPr>
          <w:spacing w:val="1"/>
          <w:szCs w:val="22"/>
        </w:rPr>
        <w:t>i</w:t>
      </w:r>
      <w:r>
        <w:rPr>
          <w:spacing w:val="-2"/>
          <w:szCs w:val="22"/>
        </w:rPr>
        <w:t>ţ</w:t>
      </w:r>
      <w:r>
        <w:rPr>
          <w:spacing w:val="1"/>
          <w:szCs w:val="22"/>
        </w:rPr>
        <w:t>i</w:t>
      </w:r>
      <w:r>
        <w:rPr>
          <w:spacing w:val="-3"/>
          <w:szCs w:val="22"/>
        </w:rPr>
        <w:t>a</w:t>
      </w:r>
      <w:r>
        <w:rPr>
          <w:szCs w:val="22"/>
        </w:rPr>
        <w:t>l</w:t>
      </w:r>
      <w:r>
        <w:rPr>
          <w:spacing w:val="1"/>
          <w:szCs w:val="22"/>
        </w:rPr>
        <w:t xml:space="preserve"> </w:t>
      </w:r>
      <w:r>
        <w:rPr>
          <w:szCs w:val="22"/>
        </w:rPr>
        <w:lastRenderedPageBreak/>
        <w:t xml:space="preserve">cu </w:t>
      </w:r>
      <w:r>
        <w:rPr>
          <w:rFonts w:eastAsia="MS Mincho"/>
          <w:spacing w:val="-1"/>
          <w:szCs w:val="22"/>
          <w:lang w:eastAsia="en-US" w:bidi="ar-SA"/>
        </w:rPr>
        <w:t>adalimumab</w:t>
      </w:r>
      <w:r>
        <w:rPr>
          <w:szCs w:val="22"/>
        </w:rPr>
        <w:t xml:space="preserve"> 40 </w:t>
      </w:r>
      <w:r>
        <w:rPr>
          <w:spacing w:val="-2"/>
          <w:szCs w:val="22"/>
        </w:rPr>
        <w:t>m</w:t>
      </w:r>
      <w:r>
        <w:rPr>
          <w:szCs w:val="22"/>
        </w:rPr>
        <w:t>g</w:t>
      </w:r>
      <w:r>
        <w:rPr>
          <w:spacing w:val="-3"/>
          <w:szCs w:val="22"/>
        </w:rPr>
        <w:t xml:space="preserve"> </w:t>
      </w:r>
      <w:r>
        <w:rPr>
          <w:spacing w:val="1"/>
          <w:szCs w:val="22"/>
        </w:rPr>
        <w:t>l</w:t>
      </w:r>
      <w:r>
        <w:rPr>
          <w:szCs w:val="22"/>
        </w:rPr>
        <w:t>a două</w:t>
      </w:r>
      <w:r>
        <w:rPr>
          <w:spacing w:val="-2"/>
          <w:szCs w:val="22"/>
        </w:rPr>
        <w:t xml:space="preserve"> </w:t>
      </w:r>
      <w:r>
        <w:rPr>
          <w:szCs w:val="22"/>
        </w:rPr>
        <w:t>să</w:t>
      </w:r>
      <w:r>
        <w:rPr>
          <w:spacing w:val="-3"/>
          <w:szCs w:val="22"/>
        </w:rPr>
        <w:t>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D</w:t>
      </w:r>
      <w:r>
        <w:rPr>
          <w:spacing w:val="1"/>
          <w:szCs w:val="22"/>
        </w:rPr>
        <w:t>i</w:t>
      </w:r>
      <w:r>
        <w:rPr>
          <w:szCs w:val="22"/>
        </w:rPr>
        <w:t>n</w:t>
      </w:r>
      <w:r>
        <w:rPr>
          <w:spacing w:val="-2"/>
          <w:szCs w:val="22"/>
        </w:rPr>
        <w:t>t</w:t>
      </w:r>
      <w:r>
        <w:rPr>
          <w:szCs w:val="22"/>
        </w:rPr>
        <w:t xml:space="preserve">re </w:t>
      </w:r>
      <w:r>
        <w:rPr>
          <w:spacing w:val="-3"/>
          <w:szCs w:val="22"/>
        </w:rPr>
        <w:t>a</w:t>
      </w:r>
      <w:r>
        <w:rPr>
          <w:szCs w:val="22"/>
        </w:rPr>
        <w:t>ce</w:t>
      </w:r>
      <w:r>
        <w:rPr>
          <w:spacing w:val="-2"/>
          <w:szCs w:val="22"/>
        </w:rPr>
        <w:t>ş</w:t>
      </w:r>
      <w:r>
        <w:rPr>
          <w:spacing w:val="1"/>
          <w:szCs w:val="22"/>
        </w:rPr>
        <w:t>t</w:t>
      </w:r>
      <w:r>
        <w:rPr>
          <w:spacing w:val="-2"/>
          <w:szCs w:val="22"/>
        </w:rPr>
        <w:t>i</w:t>
      </w:r>
      <w:r>
        <w:rPr>
          <w:szCs w:val="22"/>
        </w:rPr>
        <w:t xml:space="preserve">a, 40 </w:t>
      </w:r>
      <w:r>
        <w:rPr>
          <w:spacing w:val="-3"/>
          <w:szCs w:val="22"/>
        </w:rPr>
        <w:t>d</w:t>
      </w:r>
      <w:r>
        <w:rPr>
          <w:szCs w:val="22"/>
        </w:rPr>
        <w:t>e</w:t>
      </w:r>
      <w:r>
        <w:rPr>
          <w:spacing w:val="-2"/>
          <w:szCs w:val="22"/>
        </w:rPr>
        <w:t xml:space="preserve"> </w:t>
      </w:r>
      <w:r>
        <w:rPr>
          <w:szCs w:val="22"/>
        </w:rPr>
        <w:t>pac</w:t>
      </w:r>
      <w:r>
        <w:rPr>
          <w:spacing w:val="-2"/>
          <w:szCs w:val="22"/>
        </w:rPr>
        <w:t>i</w:t>
      </w:r>
      <w:r>
        <w:rPr>
          <w:szCs w:val="22"/>
        </w:rPr>
        <w:t>en</w:t>
      </w:r>
      <w:r>
        <w:rPr>
          <w:spacing w:val="-2"/>
          <w:szCs w:val="22"/>
        </w:rPr>
        <w:t>ţ</w:t>
      </w:r>
      <w:r>
        <w:rPr>
          <w:szCs w:val="22"/>
        </w:rPr>
        <w:t>i</w:t>
      </w:r>
      <w:r>
        <w:rPr>
          <w:spacing w:val="1"/>
          <w:szCs w:val="22"/>
        </w:rPr>
        <w:t xml:space="preserve"> </w:t>
      </w:r>
      <w:r>
        <w:rPr>
          <w:szCs w:val="22"/>
        </w:rPr>
        <w:t>nu</w:t>
      </w:r>
      <w:r>
        <w:rPr>
          <w:spacing w:val="-3"/>
          <w:szCs w:val="22"/>
        </w:rPr>
        <w:t xml:space="preserve"> </w:t>
      </w:r>
      <w:r>
        <w:rPr>
          <w:szCs w:val="22"/>
        </w:rPr>
        <w:t xml:space="preserve">au </w:t>
      </w:r>
      <w:r>
        <w:rPr>
          <w:spacing w:val="-3"/>
          <w:szCs w:val="22"/>
        </w:rPr>
        <w:t>a</w:t>
      </w:r>
      <w:r>
        <w:rPr>
          <w:szCs w:val="22"/>
        </w:rPr>
        <w:t>r</w:t>
      </w:r>
      <w:r>
        <w:rPr>
          <w:spacing w:val="-3"/>
          <w:szCs w:val="22"/>
        </w:rPr>
        <w:t>ă</w:t>
      </w:r>
      <w:r>
        <w:rPr>
          <w:spacing w:val="1"/>
          <w:szCs w:val="22"/>
        </w:rPr>
        <w:t>t</w:t>
      </w:r>
      <w:r>
        <w:rPr>
          <w:szCs w:val="22"/>
        </w:rPr>
        <w:t>at</w:t>
      </w:r>
      <w:r>
        <w:rPr>
          <w:spacing w:val="-2"/>
          <w:szCs w:val="22"/>
        </w:rPr>
        <w:t xml:space="preserve"> </w:t>
      </w:r>
      <w:r>
        <w:rPr>
          <w:szCs w:val="22"/>
        </w:rPr>
        <w:t>n</w:t>
      </w:r>
      <w:r>
        <w:rPr>
          <w:spacing w:val="-2"/>
          <w:szCs w:val="22"/>
        </w:rPr>
        <w:t>i</w:t>
      </w:r>
      <w:r>
        <w:rPr>
          <w:szCs w:val="22"/>
        </w:rPr>
        <w:t>c</w:t>
      </w:r>
      <w:r>
        <w:rPr>
          <w:spacing w:val="1"/>
          <w:szCs w:val="22"/>
        </w:rPr>
        <w:t>i</w:t>
      </w:r>
      <w:r>
        <w:rPr>
          <w:szCs w:val="22"/>
        </w:rPr>
        <w:t>o</w:t>
      </w:r>
      <w:r>
        <w:rPr>
          <w:spacing w:val="-3"/>
          <w:szCs w:val="22"/>
        </w:rPr>
        <w:t xml:space="preserve"> </w:t>
      </w:r>
      <w:r>
        <w:rPr>
          <w:szCs w:val="22"/>
        </w:rPr>
        <w:t>e</w:t>
      </w:r>
      <w:r>
        <w:rPr>
          <w:spacing w:val="-3"/>
          <w:szCs w:val="22"/>
        </w:rPr>
        <w:t>v</w:t>
      </w:r>
      <w:r>
        <w:rPr>
          <w:szCs w:val="22"/>
        </w:rPr>
        <w:t>o</w:t>
      </w:r>
      <w:r>
        <w:rPr>
          <w:spacing w:val="1"/>
          <w:szCs w:val="22"/>
        </w:rPr>
        <w:t>l</w:t>
      </w:r>
      <w:r>
        <w:rPr>
          <w:szCs w:val="22"/>
        </w:rPr>
        <w:t>u</w:t>
      </w:r>
      <w:r>
        <w:rPr>
          <w:spacing w:val="1"/>
          <w:szCs w:val="22"/>
        </w:rPr>
        <w:t>ţ</w:t>
      </w:r>
      <w:r>
        <w:rPr>
          <w:spacing w:val="-2"/>
          <w:szCs w:val="22"/>
        </w:rPr>
        <w:t>i</w:t>
      </w:r>
      <w:r>
        <w:rPr>
          <w:szCs w:val="22"/>
        </w:rPr>
        <w:t xml:space="preserve">e a </w:t>
      </w:r>
      <w:r>
        <w:rPr>
          <w:spacing w:val="-3"/>
          <w:szCs w:val="22"/>
        </w:rPr>
        <w:t>d</w:t>
      </w:r>
      <w:r>
        <w:rPr>
          <w:spacing w:val="1"/>
          <w:szCs w:val="22"/>
        </w:rPr>
        <w:t>i</w:t>
      </w:r>
      <w:r>
        <w:rPr>
          <w:spacing w:val="-2"/>
          <w:szCs w:val="22"/>
        </w:rPr>
        <w:t>s</w:t>
      </w:r>
      <w:r>
        <w:rPr>
          <w:spacing w:val="1"/>
          <w:szCs w:val="22"/>
        </w:rPr>
        <w:t>t</w:t>
      </w:r>
      <w:r>
        <w:rPr>
          <w:szCs w:val="22"/>
        </w:rPr>
        <w:t>ru</w:t>
      </w:r>
      <w:r>
        <w:rPr>
          <w:spacing w:val="-3"/>
          <w:szCs w:val="22"/>
        </w:rPr>
        <w:t>g</w:t>
      </w:r>
      <w:r>
        <w:rPr>
          <w:szCs w:val="22"/>
        </w:rPr>
        <w:t>e</w:t>
      </w:r>
      <w:r>
        <w:rPr>
          <w:spacing w:val="-2"/>
          <w:szCs w:val="22"/>
        </w:rPr>
        <w:t>r</w:t>
      </w:r>
      <w:r>
        <w:rPr>
          <w:spacing w:val="1"/>
          <w:szCs w:val="22"/>
        </w:rPr>
        <w:t>i</w:t>
      </w:r>
      <w:r>
        <w:rPr>
          <w:szCs w:val="22"/>
        </w:rPr>
        <w:t>i s</w:t>
      </w:r>
      <w:r>
        <w:rPr>
          <w:spacing w:val="1"/>
          <w:szCs w:val="22"/>
        </w:rPr>
        <w:t>t</w:t>
      </w:r>
      <w:r>
        <w:rPr>
          <w:szCs w:val="22"/>
        </w:rPr>
        <w:t>r</w:t>
      </w:r>
      <w:r>
        <w:rPr>
          <w:spacing w:val="-3"/>
          <w:szCs w:val="22"/>
        </w:rPr>
        <w:t>u</w:t>
      </w:r>
      <w:r>
        <w:rPr>
          <w:szCs w:val="22"/>
        </w:rPr>
        <w:t>c</w:t>
      </w:r>
      <w:r>
        <w:rPr>
          <w:spacing w:val="1"/>
          <w:szCs w:val="22"/>
        </w:rPr>
        <w:t>t</w:t>
      </w:r>
      <w:r>
        <w:rPr>
          <w:spacing w:val="-3"/>
          <w:szCs w:val="22"/>
        </w:rPr>
        <w:t>u</w:t>
      </w:r>
      <w:r>
        <w:rPr>
          <w:szCs w:val="22"/>
        </w:rPr>
        <w:t>r</w:t>
      </w:r>
      <w:r>
        <w:rPr>
          <w:spacing w:val="-3"/>
          <w:szCs w:val="22"/>
        </w:rPr>
        <w:t>a</w:t>
      </w:r>
      <w:r>
        <w:rPr>
          <w:spacing w:val="1"/>
          <w:szCs w:val="22"/>
        </w:rPr>
        <w:t>l</w:t>
      </w:r>
      <w:r>
        <w:rPr>
          <w:szCs w:val="22"/>
        </w:rPr>
        <w:t xml:space="preserve">e </w:t>
      </w:r>
      <w:r>
        <w:rPr>
          <w:spacing w:val="-3"/>
          <w:szCs w:val="22"/>
        </w:rPr>
        <w:t>d</w:t>
      </w:r>
      <w:r>
        <w:rPr>
          <w:szCs w:val="22"/>
        </w:rPr>
        <w:t>e</w:t>
      </w:r>
      <w:r>
        <w:rPr>
          <w:spacing w:val="-2"/>
          <w:szCs w:val="22"/>
        </w:rPr>
        <w:t>f</w:t>
      </w:r>
      <w:r>
        <w:rPr>
          <w:spacing w:val="1"/>
          <w:szCs w:val="22"/>
        </w:rPr>
        <w:t>i</w:t>
      </w:r>
      <w:r>
        <w:rPr>
          <w:szCs w:val="22"/>
        </w:rPr>
        <w:t>n</w:t>
      </w:r>
      <w:r>
        <w:rPr>
          <w:spacing w:val="-2"/>
          <w:szCs w:val="22"/>
        </w:rPr>
        <w:t>i</w:t>
      </w:r>
      <w:r>
        <w:rPr>
          <w:spacing w:val="1"/>
          <w:szCs w:val="22"/>
        </w:rPr>
        <w:t>t</w:t>
      </w:r>
      <w:r>
        <w:rPr>
          <w:szCs w:val="22"/>
        </w:rPr>
        <w:t xml:space="preserve">ă </w:t>
      </w:r>
      <w:r>
        <w:rPr>
          <w:spacing w:val="-3"/>
          <w:szCs w:val="22"/>
        </w:rPr>
        <w:t>d</w:t>
      </w:r>
      <w:r>
        <w:rPr>
          <w:szCs w:val="22"/>
        </w:rPr>
        <w:t xml:space="preserve">e o </w:t>
      </w:r>
      <w:r>
        <w:rPr>
          <w:spacing w:val="-2"/>
          <w:szCs w:val="22"/>
        </w:rPr>
        <w:t>s</w:t>
      </w:r>
      <w:r>
        <w:rPr>
          <w:szCs w:val="22"/>
        </w:rPr>
        <w:t>c</w:t>
      </w:r>
      <w:r>
        <w:rPr>
          <w:spacing w:val="-3"/>
          <w:szCs w:val="22"/>
        </w:rPr>
        <w:t>h</w:t>
      </w:r>
      <w:r>
        <w:rPr>
          <w:spacing w:val="1"/>
          <w:szCs w:val="22"/>
        </w:rPr>
        <w:t>i</w:t>
      </w:r>
      <w:r>
        <w:rPr>
          <w:spacing w:val="-4"/>
          <w:szCs w:val="22"/>
        </w:rPr>
        <w:t>m</w:t>
      </w:r>
      <w:r>
        <w:rPr>
          <w:szCs w:val="22"/>
        </w:rPr>
        <w:t>bare f</w:t>
      </w:r>
      <w:r>
        <w:rPr>
          <w:spacing w:val="-3"/>
          <w:szCs w:val="22"/>
        </w:rPr>
        <w:t>a</w:t>
      </w:r>
      <w:r>
        <w:rPr>
          <w:spacing w:val="1"/>
          <w:szCs w:val="22"/>
        </w:rPr>
        <w:t>ţ</w:t>
      </w:r>
      <w:r>
        <w:rPr>
          <w:szCs w:val="22"/>
        </w:rPr>
        <w:t xml:space="preserve">ă </w:t>
      </w:r>
      <w:r>
        <w:rPr>
          <w:spacing w:val="-3"/>
          <w:szCs w:val="22"/>
        </w:rPr>
        <w:t>d</w:t>
      </w:r>
      <w:r>
        <w:rPr>
          <w:szCs w:val="22"/>
        </w:rPr>
        <w:t xml:space="preserve">e </w:t>
      </w:r>
      <w:r>
        <w:rPr>
          <w:spacing w:val="-3"/>
          <w:szCs w:val="22"/>
        </w:rPr>
        <w:t>v</w:t>
      </w:r>
      <w:r>
        <w:rPr>
          <w:szCs w:val="22"/>
        </w:rPr>
        <w:t>alo</w:t>
      </w:r>
      <w:r>
        <w:rPr>
          <w:spacing w:val="-3"/>
          <w:szCs w:val="22"/>
        </w:rPr>
        <w:t>a</w:t>
      </w:r>
      <w:r>
        <w:rPr>
          <w:szCs w:val="22"/>
        </w:rPr>
        <w:t>rea</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zCs w:val="22"/>
        </w:rPr>
        <w:t>a</w:t>
      </w:r>
      <w:r>
        <w:rPr>
          <w:spacing w:val="-2"/>
          <w:szCs w:val="22"/>
        </w:rPr>
        <w:t>l</w:t>
      </w:r>
      <w:r>
        <w:rPr>
          <w:szCs w:val="22"/>
        </w:rPr>
        <w:t xml:space="preserve">ă, </w:t>
      </w:r>
      <w:r>
        <w:rPr>
          <w:spacing w:val="-2"/>
          <w:szCs w:val="22"/>
        </w:rPr>
        <w:t>î</w:t>
      </w:r>
      <w:r>
        <w:rPr>
          <w:szCs w:val="22"/>
        </w:rPr>
        <w:t xml:space="preserve">n </w:t>
      </w:r>
      <w:r>
        <w:rPr>
          <w:spacing w:val="-1"/>
          <w:szCs w:val="22"/>
        </w:rPr>
        <w:t>S</w:t>
      </w:r>
      <w:r>
        <w:rPr>
          <w:spacing w:val="-3"/>
          <w:szCs w:val="22"/>
        </w:rPr>
        <w:t>S</w:t>
      </w:r>
      <w:r>
        <w:rPr>
          <w:spacing w:val="1"/>
          <w:szCs w:val="22"/>
        </w:rPr>
        <w:t>T</w:t>
      </w:r>
      <w:r>
        <w:rPr>
          <w:szCs w:val="22"/>
        </w:rPr>
        <w:t>m</w:t>
      </w:r>
      <w:r>
        <w:rPr>
          <w:spacing w:val="-4"/>
          <w:szCs w:val="22"/>
        </w:rPr>
        <w:t xml:space="preserve"> </w:t>
      </w:r>
      <w:r>
        <w:rPr>
          <w:szCs w:val="22"/>
        </w:rPr>
        <w:t xml:space="preserve">de 0,5 sau </w:t>
      </w:r>
      <w:r>
        <w:rPr>
          <w:spacing w:val="-4"/>
          <w:szCs w:val="22"/>
        </w:rPr>
        <w:t>m</w:t>
      </w:r>
      <w:r>
        <w:rPr>
          <w:szCs w:val="22"/>
        </w:rPr>
        <w:t>ai</w:t>
      </w:r>
      <w:r>
        <w:rPr>
          <w:spacing w:val="1"/>
          <w:szCs w:val="22"/>
        </w:rPr>
        <w:t xml:space="preserve"> </w:t>
      </w:r>
      <w:r>
        <w:rPr>
          <w:szCs w:val="22"/>
        </w:rPr>
        <w:t>p</w:t>
      </w:r>
      <w:r>
        <w:rPr>
          <w:spacing w:val="-3"/>
          <w:szCs w:val="22"/>
        </w:rPr>
        <w:t>u</w:t>
      </w:r>
      <w:r>
        <w:rPr>
          <w:spacing w:val="1"/>
          <w:szCs w:val="22"/>
        </w:rPr>
        <w:t>ţi</w:t>
      </w:r>
      <w:r>
        <w:rPr>
          <w:spacing w:val="-3"/>
          <w:szCs w:val="22"/>
        </w:rPr>
        <w:t>n</w:t>
      </w:r>
      <w:r>
        <w:rPr>
          <w:szCs w:val="22"/>
        </w:rPr>
        <w:t>.</w:t>
      </w:r>
    </w:p>
    <w:p w14:paraId="2A9ADAFC" w14:textId="77777777" w:rsidR="00C04CAD" w:rsidRDefault="00C04CAD">
      <w:pPr>
        <w:autoSpaceDE w:val="0"/>
        <w:autoSpaceDN w:val="0"/>
        <w:adjustRightInd w:val="0"/>
        <w:spacing w:line="240" w:lineRule="auto"/>
      </w:pPr>
    </w:p>
    <w:p w14:paraId="11CFB0E5" w14:textId="77777777" w:rsidR="00C04CAD" w:rsidRDefault="00060E34">
      <w:pPr>
        <w:keepNext/>
        <w:autoSpaceDE w:val="0"/>
        <w:autoSpaceDN w:val="0"/>
        <w:adjustRightInd w:val="0"/>
        <w:spacing w:line="240" w:lineRule="auto"/>
        <w:rPr>
          <w:b/>
        </w:rPr>
      </w:pPr>
      <w:r>
        <w:rPr>
          <w:b/>
          <w:spacing w:val="-1"/>
        </w:rPr>
        <w:t>T</w:t>
      </w:r>
      <w:r>
        <w:rPr>
          <w:b/>
        </w:rPr>
        <w:t>a</w:t>
      </w:r>
      <w:r>
        <w:rPr>
          <w:b/>
          <w:spacing w:val="-1"/>
        </w:rPr>
        <w:t>b</w:t>
      </w:r>
      <w:r>
        <w:rPr>
          <w:b/>
        </w:rPr>
        <w:t>e</w:t>
      </w:r>
      <w:r>
        <w:rPr>
          <w:b/>
          <w:spacing w:val="1"/>
        </w:rPr>
        <w:t>l</w:t>
      </w:r>
      <w:r>
        <w:rPr>
          <w:b/>
          <w:spacing w:val="-1"/>
        </w:rPr>
        <w:t>u</w:t>
      </w:r>
      <w:r>
        <w:rPr>
          <w:b/>
          <w:bCs/>
        </w:rPr>
        <w:t xml:space="preserve">l 10. </w:t>
      </w:r>
      <w:r>
        <w:rPr>
          <w:b/>
        </w:rPr>
        <w:t>Mo</w:t>
      </w:r>
      <w:r>
        <w:rPr>
          <w:b/>
          <w:spacing w:val="-1"/>
        </w:rPr>
        <w:t>d</w:t>
      </w:r>
      <w:r>
        <w:rPr>
          <w:b/>
          <w:spacing w:val="-2"/>
        </w:rPr>
        <w:t>i</w:t>
      </w:r>
      <w:r>
        <w:rPr>
          <w:b/>
        </w:rPr>
        <w:t>f</w:t>
      </w:r>
      <w:r>
        <w:rPr>
          <w:b/>
          <w:spacing w:val="1"/>
        </w:rPr>
        <w:t>i</w:t>
      </w:r>
      <w:r>
        <w:rPr>
          <w:b/>
          <w:spacing w:val="-3"/>
        </w:rPr>
        <w:t>c</w:t>
      </w:r>
      <w:r>
        <w:rPr>
          <w:b/>
        </w:rPr>
        <w:t>ări</w:t>
      </w:r>
      <w:r>
        <w:rPr>
          <w:b/>
          <w:spacing w:val="-2"/>
        </w:rPr>
        <w:t xml:space="preserve"> </w:t>
      </w:r>
      <w:r>
        <w:rPr>
          <w:b/>
        </w:rPr>
        <w:t>ra</w:t>
      </w:r>
      <w:r>
        <w:rPr>
          <w:b/>
          <w:spacing w:val="-3"/>
        </w:rPr>
        <w:t>d</w:t>
      </w:r>
      <w:r>
        <w:rPr>
          <w:b/>
          <w:spacing w:val="1"/>
        </w:rPr>
        <w:t>i</w:t>
      </w:r>
      <w:r>
        <w:rPr>
          <w:b/>
        </w:rPr>
        <w:t>ogr</w:t>
      </w:r>
      <w:r>
        <w:rPr>
          <w:b/>
          <w:spacing w:val="-3"/>
        </w:rPr>
        <w:t>a</w:t>
      </w:r>
      <w:r>
        <w:rPr>
          <w:b/>
        </w:rPr>
        <w:t>f</w:t>
      </w:r>
      <w:r>
        <w:rPr>
          <w:b/>
          <w:spacing w:val="-2"/>
        </w:rPr>
        <w:t>i</w:t>
      </w:r>
      <w:r>
        <w:rPr>
          <w:b/>
        </w:rPr>
        <w:t>ce</w:t>
      </w:r>
      <w:r>
        <w:rPr>
          <w:b/>
          <w:spacing w:val="-2"/>
        </w:rPr>
        <w:t xml:space="preserve"> m</w:t>
      </w:r>
      <w:r>
        <w:rPr>
          <w:b/>
        </w:rPr>
        <w:t>e</w:t>
      </w:r>
      <w:r>
        <w:rPr>
          <w:b/>
          <w:spacing w:val="-1"/>
        </w:rPr>
        <w:t>d</w:t>
      </w:r>
      <w:r>
        <w:rPr>
          <w:b/>
          <w:spacing w:val="1"/>
        </w:rPr>
        <w:t>i</w:t>
      </w:r>
      <w:r>
        <w:rPr>
          <w:b/>
        </w:rPr>
        <w:t>i</w:t>
      </w:r>
      <w:r>
        <w:rPr>
          <w:b/>
          <w:spacing w:val="1"/>
        </w:rPr>
        <w:t xml:space="preserve"> </w:t>
      </w:r>
      <w:r>
        <w:rPr>
          <w:b/>
          <w:spacing w:val="-3"/>
        </w:rPr>
        <w:t>p</w:t>
      </w:r>
      <w:r>
        <w:rPr>
          <w:b/>
        </w:rPr>
        <w:t>e</w:t>
      </w:r>
      <w:r>
        <w:rPr>
          <w:b/>
          <w:spacing w:val="-2"/>
        </w:rPr>
        <w:t>s</w:t>
      </w:r>
      <w:r>
        <w:rPr>
          <w:b/>
        </w:rPr>
        <w:t>te 12</w:t>
      </w:r>
      <w:r>
        <w:rPr>
          <w:b/>
          <w:spacing w:val="-3"/>
        </w:rPr>
        <w:t xml:space="preserve"> </w:t>
      </w:r>
      <w:r>
        <w:rPr>
          <w:b/>
          <w:spacing w:val="1"/>
        </w:rPr>
        <w:t>l</w:t>
      </w:r>
      <w:r>
        <w:rPr>
          <w:b/>
          <w:spacing w:val="-1"/>
        </w:rPr>
        <w:t>un</w:t>
      </w:r>
      <w:r>
        <w:rPr>
          <w:b/>
        </w:rPr>
        <w:t>i</w:t>
      </w:r>
      <w:r>
        <w:rPr>
          <w:b/>
          <w:spacing w:val="-2"/>
        </w:rPr>
        <w:t xml:space="preserve"> </w:t>
      </w:r>
      <w:r>
        <w:rPr>
          <w:b/>
          <w:spacing w:val="1"/>
        </w:rPr>
        <w:t>î</w:t>
      </w:r>
      <w:r>
        <w:rPr>
          <w:b/>
        </w:rPr>
        <w:t>n</w:t>
      </w:r>
      <w:r>
        <w:rPr>
          <w:b/>
          <w:spacing w:val="-3"/>
        </w:rPr>
        <w:t xml:space="preserve"> </w:t>
      </w:r>
      <w:r>
        <w:rPr>
          <w:b/>
        </w:rPr>
        <w:t>ca</w:t>
      </w:r>
      <w:r>
        <w:rPr>
          <w:b/>
          <w:spacing w:val="-1"/>
        </w:rPr>
        <w:t>d</w:t>
      </w:r>
      <w:r>
        <w:rPr>
          <w:b/>
        </w:rPr>
        <w:t>r</w:t>
      </w:r>
      <w:r>
        <w:rPr>
          <w:b/>
          <w:spacing w:val="-3"/>
        </w:rPr>
        <w:t>u</w:t>
      </w:r>
      <w:r>
        <w:rPr>
          <w:b/>
        </w:rPr>
        <w:t>l</w:t>
      </w:r>
      <w:r>
        <w:rPr>
          <w:b/>
          <w:spacing w:val="1"/>
        </w:rPr>
        <w:t xml:space="preserve"> </w:t>
      </w:r>
      <w:r>
        <w:rPr>
          <w:b/>
          <w:spacing w:val="-1"/>
        </w:rPr>
        <w:t>S</w:t>
      </w:r>
      <w:r>
        <w:rPr>
          <w:b/>
        </w:rPr>
        <w:t>t</w:t>
      </w:r>
      <w:r>
        <w:rPr>
          <w:b/>
          <w:spacing w:val="-1"/>
        </w:rPr>
        <w:t>u</w:t>
      </w:r>
      <w:r>
        <w:rPr>
          <w:b/>
          <w:spacing w:val="-3"/>
        </w:rPr>
        <w:t>d</w:t>
      </w:r>
      <w:r>
        <w:rPr>
          <w:b/>
          <w:spacing w:val="1"/>
        </w:rPr>
        <w:t>i</w:t>
      </w:r>
      <w:r>
        <w:rPr>
          <w:b/>
          <w:spacing w:val="-1"/>
        </w:rPr>
        <w:t>u</w:t>
      </w:r>
      <w:r>
        <w:rPr>
          <w:b/>
          <w:spacing w:val="1"/>
        </w:rPr>
        <w:t>l</w:t>
      </w:r>
      <w:r>
        <w:rPr>
          <w:b/>
          <w:spacing w:val="-3"/>
        </w:rPr>
        <w:t>u</w:t>
      </w:r>
      <w:r>
        <w:rPr>
          <w:b/>
        </w:rPr>
        <w:t>i</w:t>
      </w:r>
      <w:r>
        <w:rPr>
          <w:b/>
          <w:spacing w:val="-2"/>
        </w:rPr>
        <w:t xml:space="preserve"> </w:t>
      </w:r>
      <w:r>
        <w:rPr>
          <w:b/>
          <w:spacing w:val="1"/>
        </w:rPr>
        <w:t>P</w:t>
      </w:r>
      <w:r>
        <w:rPr>
          <w:b/>
        </w:rPr>
        <w:t>R</w:t>
      </w:r>
      <w:r>
        <w:rPr>
          <w:b/>
          <w:spacing w:val="-1"/>
        </w:rPr>
        <w:t xml:space="preserve"> </w:t>
      </w:r>
      <w:r>
        <w:rPr>
          <w:b/>
        </w:rPr>
        <w:t>I</w:t>
      </w:r>
      <w:r>
        <w:rPr>
          <w:b/>
          <w:spacing w:val="-2"/>
        </w:rPr>
        <w:t>I</w:t>
      </w:r>
      <w:r>
        <w:rPr>
          <w:b/>
        </w:rPr>
        <w:t>I</w:t>
      </w:r>
    </w:p>
    <w:p w14:paraId="67C1EF45" w14:textId="77777777" w:rsidR="00C04CAD" w:rsidRDefault="00C04CAD">
      <w:pPr>
        <w:keepNext/>
        <w:autoSpaceDE w:val="0"/>
        <w:autoSpaceDN w:val="0"/>
        <w:adjustRightInd w:val="0"/>
        <w:spacing w:line="240" w:lineRule="auto"/>
      </w:pPr>
    </w:p>
    <w:tbl>
      <w:tblPr>
        <w:tblW w:w="5000" w:type="pct"/>
        <w:tblLayout w:type="fixed"/>
        <w:tblCellMar>
          <w:left w:w="0" w:type="dxa"/>
          <w:right w:w="0" w:type="dxa"/>
        </w:tblCellMar>
        <w:tblLook w:val="04A0" w:firstRow="1" w:lastRow="0" w:firstColumn="1" w:lastColumn="0" w:noHBand="0" w:noVBand="1"/>
      </w:tblPr>
      <w:tblGrid>
        <w:gridCol w:w="2060"/>
        <w:gridCol w:w="1357"/>
        <w:gridCol w:w="1964"/>
        <w:gridCol w:w="2120"/>
        <w:gridCol w:w="1560"/>
      </w:tblGrid>
      <w:tr w:rsidR="00C04CAD" w14:paraId="278FD1FA" w14:textId="77777777">
        <w:trPr>
          <w:trHeight w:hRule="exact" w:val="1178"/>
        </w:trPr>
        <w:tc>
          <w:tcPr>
            <w:tcW w:w="1136" w:type="pct"/>
            <w:tcBorders>
              <w:top w:val="single" w:sz="4" w:space="0" w:color="000000"/>
              <w:left w:val="single" w:sz="4" w:space="0" w:color="000000"/>
              <w:bottom w:val="single" w:sz="4" w:space="0" w:color="000000"/>
              <w:right w:val="single" w:sz="4" w:space="0" w:color="000000"/>
            </w:tcBorders>
          </w:tcPr>
          <w:p w14:paraId="16051F1B" w14:textId="77777777" w:rsidR="00C04CAD" w:rsidRDefault="00C04CAD">
            <w:pPr>
              <w:keepNext/>
              <w:tabs>
                <w:tab w:val="clear" w:pos="567"/>
              </w:tabs>
              <w:autoSpaceDE w:val="0"/>
              <w:autoSpaceDN w:val="0"/>
              <w:adjustRightInd w:val="0"/>
              <w:spacing w:line="240" w:lineRule="auto"/>
            </w:pPr>
          </w:p>
        </w:tc>
        <w:tc>
          <w:tcPr>
            <w:tcW w:w="749" w:type="pct"/>
            <w:tcBorders>
              <w:top w:val="single" w:sz="4" w:space="0" w:color="000000"/>
              <w:left w:val="single" w:sz="4" w:space="0" w:color="000000"/>
              <w:bottom w:val="single" w:sz="4" w:space="0" w:color="000000"/>
              <w:right w:val="single" w:sz="4" w:space="0" w:color="000000"/>
            </w:tcBorders>
          </w:tcPr>
          <w:p w14:paraId="5D871E02"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P</w:t>
            </w:r>
            <w:r>
              <w:rPr>
                <w:b/>
                <w:spacing w:val="1"/>
              </w:rPr>
              <w:t>l</w:t>
            </w:r>
            <w:r>
              <w:rPr>
                <w:b/>
              </w:rPr>
              <w:t>ace</w:t>
            </w:r>
            <w:r>
              <w:rPr>
                <w:b/>
                <w:spacing w:val="-1"/>
              </w:rPr>
              <w:t>b</w:t>
            </w:r>
            <w:r>
              <w:rPr>
                <w:b/>
                <w:spacing w:val="-3"/>
              </w:rPr>
              <w:t>o</w:t>
            </w:r>
            <w:r>
              <w:rPr>
                <w:b/>
              </w:rPr>
              <w:t>/ M</w:t>
            </w:r>
            <w:r>
              <w:rPr>
                <w:b/>
                <w:spacing w:val="-1"/>
              </w:rPr>
              <w:t>TX</w:t>
            </w:r>
            <w:r>
              <w:rPr>
                <w:b/>
                <w:vertAlign w:val="superscript"/>
              </w:rPr>
              <w:t>a</w:t>
            </w:r>
          </w:p>
        </w:tc>
        <w:tc>
          <w:tcPr>
            <w:tcW w:w="1084" w:type="pct"/>
            <w:tcBorders>
              <w:top w:val="single" w:sz="4" w:space="0" w:color="000000"/>
              <w:left w:val="single" w:sz="4" w:space="0" w:color="000000"/>
              <w:bottom w:val="single" w:sz="4" w:space="0" w:color="000000"/>
              <w:right w:val="single" w:sz="4" w:space="0" w:color="000000"/>
            </w:tcBorders>
          </w:tcPr>
          <w:p w14:paraId="23970C58" w14:textId="77777777" w:rsidR="00C04CAD" w:rsidRDefault="00060E34">
            <w:pPr>
              <w:keepNext/>
              <w:tabs>
                <w:tab w:val="clear" w:pos="567"/>
              </w:tabs>
              <w:kinsoku w:val="0"/>
              <w:overflowPunct w:val="0"/>
              <w:autoSpaceDE w:val="0"/>
              <w:autoSpaceDN w:val="0"/>
              <w:adjustRightInd w:val="0"/>
              <w:spacing w:line="240" w:lineRule="auto"/>
              <w:jc w:val="center"/>
              <w:rPr>
                <w:b/>
              </w:rPr>
            </w:pPr>
            <w:r>
              <w:rPr>
                <w:rFonts w:eastAsia="MS Mincho"/>
                <w:b/>
                <w:spacing w:val="-1"/>
                <w:szCs w:val="22"/>
                <w:lang w:eastAsia="en-US" w:bidi="ar-SA"/>
              </w:rPr>
              <w:t>Adalimumab</w:t>
            </w:r>
            <w:r>
              <w:rPr>
                <w:b/>
                <w:spacing w:val="1"/>
              </w:rPr>
              <w:t>/</w:t>
            </w:r>
            <w:r>
              <w:rPr>
                <w:b/>
              </w:rPr>
              <w:t>M</w:t>
            </w:r>
            <w:r>
              <w:rPr>
                <w:b/>
                <w:spacing w:val="-1"/>
              </w:rPr>
              <w:t>T</w:t>
            </w:r>
            <w:r>
              <w:rPr>
                <w:b/>
              </w:rPr>
              <w:t xml:space="preserve">X 40 mg </w:t>
            </w:r>
            <w:r>
              <w:rPr>
                <w:b/>
                <w:spacing w:val="-3"/>
              </w:rPr>
              <w:t>d</w:t>
            </w:r>
            <w:r>
              <w:rPr>
                <w:b/>
                <w:spacing w:val="1"/>
              </w:rPr>
              <w:t>i</w:t>
            </w:r>
            <w:r>
              <w:rPr>
                <w:b/>
              </w:rPr>
              <w:t>n</w:t>
            </w:r>
            <w:r>
              <w:rPr>
                <w:b/>
                <w:spacing w:val="-1"/>
              </w:rPr>
              <w:t xml:space="preserve"> d</w:t>
            </w:r>
            <w:r>
              <w:rPr>
                <w:b/>
              </w:rPr>
              <w:t>o</w:t>
            </w:r>
            <w:r>
              <w:rPr>
                <w:b/>
                <w:spacing w:val="-1"/>
              </w:rPr>
              <w:t>u</w:t>
            </w:r>
            <w:r>
              <w:rPr>
                <w:b/>
              </w:rPr>
              <w:t xml:space="preserve">ă </w:t>
            </w:r>
            <w:r>
              <w:rPr>
                <w:b/>
                <w:spacing w:val="1"/>
              </w:rPr>
              <w:t>î</w:t>
            </w:r>
            <w:r>
              <w:rPr>
                <w:b/>
              </w:rPr>
              <w:t>n</w:t>
            </w:r>
            <w:r>
              <w:rPr>
                <w:b/>
                <w:spacing w:val="-1"/>
              </w:rPr>
              <w:t xml:space="preserve"> d</w:t>
            </w:r>
            <w:r>
              <w:rPr>
                <w:b/>
              </w:rPr>
              <w:t>o</w:t>
            </w:r>
            <w:r>
              <w:rPr>
                <w:b/>
                <w:spacing w:val="-1"/>
              </w:rPr>
              <w:t xml:space="preserve">uă </w:t>
            </w:r>
            <w:r>
              <w:rPr>
                <w:b/>
              </w:rPr>
              <w:t>să</w:t>
            </w:r>
            <w:r>
              <w:rPr>
                <w:b/>
                <w:spacing w:val="-1"/>
              </w:rPr>
              <w:t>p</w:t>
            </w:r>
            <w:r>
              <w:rPr>
                <w:b/>
              </w:rPr>
              <w:t>t</w:t>
            </w:r>
            <w:r>
              <w:rPr>
                <w:b/>
                <w:spacing w:val="-3"/>
              </w:rPr>
              <w:t>ă</w:t>
            </w:r>
            <w:r>
              <w:rPr>
                <w:b/>
              </w:rPr>
              <w:t>mâ</w:t>
            </w:r>
            <w:r>
              <w:rPr>
                <w:b/>
                <w:spacing w:val="-1"/>
              </w:rPr>
              <w:t>ni</w:t>
            </w:r>
          </w:p>
        </w:tc>
        <w:tc>
          <w:tcPr>
            <w:tcW w:w="1170" w:type="pct"/>
            <w:tcBorders>
              <w:top w:val="single" w:sz="4" w:space="0" w:color="000000"/>
              <w:left w:val="single" w:sz="4" w:space="0" w:color="000000"/>
              <w:bottom w:val="single" w:sz="4" w:space="0" w:color="000000"/>
              <w:right w:val="single" w:sz="4" w:space="0" w:color="000000"/>
            </w:tcBorders>
          </w:tcPr>
          <w:p w14:paraId="74C148BC"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1"/>
              </w:rPr>
              <w:t>P</w:t>
            </w:r>
            <w:r>
              <w:rPr>
                <w:b/>
                <w:spacing w:val="1"/>
              </w:rPr>
              <w:t>l</w:t>
            </w:r>
            <w:r>
              <w:rPr>
                <w:b/>
              </w:rPr>
              <w:t>ace</w:t>
            </w:r>
            <w:r>
              <w:rPr>
                <w:b/>
                <w:spacing w:val="-1"/>
              </w:rPr>
              <w:t>b</w:t>
            </w:r>
            <w:r>
              <w:rPr>
                <w:b/>
                <w:spacing w:val="-3"/>
              </w:rPr>
              <w:t>o</w:t>
            </w:r>
            <w:r>
              <w:rPr>
                <w:b/>
                <w:spacing w:val="1"/>
              </w:rPr>
              <w:t>/</w:t>
            </w:r>
            <w:r>
              <w:rPr>
                <w:b/>
              </w:rPr>
              <w:t>M</w:t>
            </w:r>
            <w:r>
              <w:rPr>
                <w:b/>
                <w:spacing w:val="-1"/>
              </w:rPr>
              <w:t>T</w:t>
            </w:r>
            <w:r>
              <w:rPr>
                <w:b/>
                <w:spacing w:val="-4"/>
              </w:rPr>
              <w:t>X</w:t>
            </w:r>
            <w:r>
              <w:rPr>
                <w:b/>
              </w:rPr>
              <w:t xml:space="preserve">- </w:t>
            </w:r>
            <w:r>
              <w:rPr>
                <w:rFonts w:eastAsia="MS Mincho"/>
                <w:b/>
                <w:spacing w:val="-1"/>
                <w:szCs w:val="22"/>
                <w:lang w:eastAsia="en-US" w:bidi="ar-SA"/>
              </w:rPr>
              <w:t>Adalimumab</w:t>
            </w:r>
            <w:r>
              <w:rPr>
                <w:b/>
                <w:spacing w:val="1"/>
              </w:rPr>
              <w:t>/</w:t>
            </w:r>
            <w:r>
              <w:rPr>
                <w:b/>
              </w:rPr>
              <w:t>M</w:t>
            </w:r>
            <w:r>
              <w:rPr>
                <w:b/>
                <w:spacing w:val="-1"/>
              </w:rPr>
              <w:t>T</w:t>
            </w:r>
            <w:r>
              <w:rPr>
                <w:b/>
              </w:rPr>
              <w:t>X (I</w:t>
            </w:r>
            <w:r>
              <w:rPr>
                <w:b/>
                <w:spacing w:val="-1"/>
              </w:rPr>
              <w:t>n</w:t>
            </w:r>
            <w:r>
              <w:rPr>
                <w:b/>
                <w:spacing w:val="-2"/>
              </w:rPr>
              <w:t>t</w:t>
            </w:r>
            <w:r>
              <w:rPr>
                <w:b/>
              </w:rPr>
              <w:t>erv</w:t>
            </w:r>
            <w:r>
              <w:rPr>
                <w:b/>
                <w:spacing w:val="-3"/>
              </w:rPr>
              <w:t>a</w:t>
            </w:r>
            <w:r>
              <w:rPr>
                <w:b/>
              </w:rPr>
              <w:t>l</w:t>
            </w:r>
            <w:r>
              <w:rPr>
                <w:b/>
                <w:spacing w:val="-1"/>
                <w:vertAlign w:val="superscript"/>
              </w:rPr>
              <w:t>b</w:t>
            </w:r>
            <w:r>
              <w:rPr>
                <w:b/>
              </w:rPr>
              <w:t xml:space="preserve"> </w:t>
            </w:r>
            <w:r>
              <w:rPr>
                <w:b/>
                <w:spacing w:val="-1"/>
              </w:rPr>
              <w:t xml:space="preserve">de </w:t>
            </w:r>
            <w:r>
              <w:rPr>
                <w:rFonts w:eastAsia="MS Mincho"/>
                <w:b/>
                <w:spacing w:val="1"/>
                <w:szCs w:val="22"/>
                <w:lang w:eastAsia="en-US" w:bidi="ar-SA"/>
              </w:rPr>
              <w:t>î</w:t>
            </w:r>
            <w:r>
              <w:rPr>
                <w:rFonts w:eastAsia="MS Mincho"/>
                <w:b/>
                <w:bCs/>
                <w:szCs w:val="22"/>
                <w:lang w:eastAsia="en-US" w:bidi="ar-SA"/>
              </w:rPr>
              <w:t>ncredere</w:t>
            </w:r>
            <w:r>
              <w:rPr>
                <w:b/>
              </w:rPr>
              <w:t xml:space="preserve"> </w:t>
            </w:r>
            <w:r>
              <w:rPr>
                <w:b/>
                <w:spacing w:val="-3"/>
              </w:rPr>
              <w:t>9</w:t>
            </w:r>
            <w:r>
              <w:rPr>
                <w:b/>
              </w:rPr>
              <w:t>5</w:t>
            </w:r>
            <w:r>
              <w:rPr>
                <w:b/>
                <w:spacing w:val="-3"/>
              </w:rPr>
              <w:t>%</w:t>
            </w:r>
            <w:r>
              <w:rPr>
                <w:b/>
              </w:rPr>
              <w:t>)</w:t>
            </w:r>
          </w:p>
        </w:tc>
        <w:tc>
          <w:tcPr>
            <w:tcW w:w="861" w:type="pct"/>
            <w:tcBorders>
              <w:top w:val="single" w:sz="4" w:space="0" w:color="000000"/>
              <w:left w:val="single" w:sz="4" w:space="0" w:color="000000"/>
              <w:bottom w:val="single" w:sz="4" w:space="0" w:color="000000"/>
              <w:right w:val="single" w:sz="4" w:space="0" w:color="000000"/>
            </w:tcBorders>
          </w:tcPr>
          <w:p w14:paraId="36103A0D"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V</w:t>
            </w:r>
            <w:r>
              <w:rPr>
                <w:b/>
              </w:rPr>
              <w:t>a</w:t>
            </w:r>
            <w:r>
              <w:rPr>
                <w:b/>
                <w:spacing w:val="1"/>
              </w:rPr>
              <w:t>l</w:t>
            </w:r>
            <w:r>
              <w:rPr>
                <w:b/>
              </w:rPr>
              <w:t>oar</w:t>
            </w:r>
            <w:r>
              <w:rPr>
                <w:b/>
                <w:spacing w:val="-3"/>
              </w:rPr>
              <w:t>e</w:t>
            </w:r>
            <w:r>
              <w:rPr>
                <w:b/>
              </w:rPr>
              <w:t>a p</w:t>
            </w:r>
          </w:p>
        </w:tc>
      </w:tr>
      <w:tr w:rsidR="00C04CAD" w14:paraId="08E6AA5D" w14:textId="77777777">
        <w:trPr>
          <w:trHeight w:hRule="exact" w:val="264"/>
        </w:trPr>
        <w:tc>
          <w:tcPr>
            <w:tcW w:w="1136" w:type="pct"/>
            <w:tcBorders>
              <w:top w:val="single" w:sz="4" w:space="0" w:color="000000"/>
              <w:left w:val="single" w:sz="4" w:space="0" w:color="000000"/>
              <w:bottom w:val="single" w:sz="4" w:space="0" w:color="000000"/>
              <w:right w:val="single" w:sz="4" w:space="0" w:color="000000"/>
            </w:tcBorders>
          </w:tcPr>
          <w:p w14:paraId="537721B6" w14:textId="77777777" w:rsidR="00C04CAD" w:rsidRDefault="00060E34">
            <w:pPr>
              <w:tabs>
                <w:tab w:val="clear" w:pos="567"/>
              </w:tabs>
              <w:kinsoku w:val="0"/>
              <w:overflowPunct w:val="0"/>
              <w:autoSpaceDE w:val="0"/>
              <w:autoSpaceDN w:val="0"/>
              <w:adjustRightInd w:val="0"/>
              <w:spacing w:line="240" w:lineRule="auto"/>
              <w:ind w:left="102"/>
            </w:pPr>
            <w:r>
              <w:rPr>
                <w:spacing w:val="-1"/>
              </w:rPr>
              <w:t>S</w:t>
            </w:r>
            <w:r>
              <w:t>cor</w:t>
            </w:r>
            <w:r>
              <w:rPr>
                <w:spacing w:val="1"/>
              </w:rPr>
              <w:t xml:space="preserve"> </w:t>
            </w:r>
            <w:r>
              <w:rPr>
                <w:spacing w:val="-1"/>
              </w:rPr>
              <w:t>S</w:t>
            </w:r>
            <w:r>
              <w:rPr>
                <w:spacing w:val="-3"/>
              </w:rPr>
              <w:t>h</w:t>
            </w:r>
            <w:r>
              <w:t>arp</w:t>
            </w:r>
            <w:r>
              <w:rPr>
                <w:spacing w:val="-3"/>
              </w:rPr>
              <w:t xml:space="preserve"> </w:t>
            </w:r>
            <w:r>
              <w:rPr>
                <w:spacing w:val="1"/>
              </w:rPr>
              <w:t>T</w:t>
            </w:r>
            <w:r>
              <w:rPr>
                <w:spacing w:val="-3"/>
              </w:rPr>
              <w:t>o</w:t>
            </w:r>
            <w:r>
              <w:rPr>
                <w:spacing w:val="1"/>
              </w:rPr>
              <w:t>t</w:t>
            </w:r>
            <w:r>
              <w:rPr>
                <w:spacing w:val="-3"/>
              </w:rPr>
              <w:t>a</w:t>
            </w:r>
            <w:r>
              <w:t>l</w:t>
            </w:r>
          </w:p>
        </w:tc>
        <w:tc>
          <w:tcPr>
            <w:tcW w:w="749" w:type="pct"/>
            <w:tcBorders>
              <w:top w:val="single" w:sz="4" w:space="0" w:color="000000"/>
              <w:left w:val="single" w:sz="4" w:space="0" w:color="000000"/>
              <w:bottom w:val="single" w:sz="4" w:space="0" w:color="000000"/>
              <w:right w:val="single" w:sz="4" w:space="0" w:color="000000"/>
            </w:tcBorders>
          </w:tcPr>
          <w:p w14:paraId="1C551E4F" w14:textId="77777777" w:rsidR="00C04CAD" w:rsidRDefault="00060E34">
            <w:pPr>
              <w:tabs>
                <w:tab w:val="clear" w:pos="567"/>
              </w:tabs>
              <w:kinsoku w:val="0"/>
              <w:overflowPunct w:val="0"/>
              <w:autoSpaceDE w:val="0"/>
              <w:autoSpaceDN w:val="0"/>
              <w:adjustRightInd w:val="0"/>
              <w:spacing w:line="240" w:lineRule="auto"/>
              <w:jc w:val="center"/>
            </w:pPr>
            <w:r>
              <w:t>2,7</w:t>
            </w:r>
          </w:p>
        </w:tc>
        <w:tc>
          <w:tcPr>
            <w:tcW w:w="1084" w:type="pct"/>
            <w:tcBorders>
              <w:top w:val="single" w:sz="4" w:space="0" w:color="000000"/>
              <w:left w:val="single" w:sz="4" w:space="0" w:color="000000"/>
              <w:bottom w:val="single" w:sz="4" w:space="0" w:color="000000"/>
              <w:right w:val="single" w:sz="4" w:space="0" w:color="000000"/>
            </w:tcBorders>
          </w:tcPr>
          <w:p w14:paraId="0878725A" w14:textId="77777777" w:rsidR="00C04CAD" w:rsidRDefault="00060E34">
            <w:pPr>
              <w:tabs>
                <w:tab w:val="clear" w:pos="567"/>
              </w:tabs>
              <w:kinsoku w:val="0"/>
              <w:overflowPunct w:val="0"/>
              <w:autoSpaceDE w:val="0"/>
              <w:autoSpaceDN w:val="0"/>
              <w:adjustRightInd w:val="0"/>
              <w:spacing w:line="240" w:lineRule="auto"/>
              <w:jc w:val="center"/>
            </w:pPr>
            <w:r>
              <w:t>0,1</w:t>
            </w:r>
          </w:p>
        </w:tc>
        <w:tc>
          <w:tcPr>
            <w:tcW w:w="1170" w:type="pct"/>
            <w:tcBorders>
              <w:top w:val="single" w:sz="4" w:space="0" w:color="000000"/>
              <w:left w:val="single" w:sz="4" w:space="0" w:color="000000"/>
              <w:bottom w:val="single" w:sz="4" w:space="0" w:color="000000"/>
              <w:right w:val="single" w:sz="4" w:space="0" w:color="000000"/>
            </w:tcBorders>
          </w:tcPr>
          <w:p w14:paraId="0FC79C46" w14:textId="77777777" w:rsidR="00C04CAD" w:rsidRDefault="00060E34">
            <w:pPr>
              <w:tabs>
                <w:tab w:val="clear" w:pos="567"/>
              </w:tabs>
              <w:kinsoku w:val="0"/>
              <w:overflowPunct w:val="0"/>
              <w:autoSpaceDE w:val="0"/>
              <w:autoSpaceDN w:val="0"/>
              <w:adjustRightInd w:val="0"/>
              <w:spacing w:line="240" w:lineRule="auto"/>
              <w:jc w:val="center"/>
            </w:pPr>
            <w:r>
              <w:t>2,6 (1,</w:t>
            </w:r>
            <w:r>
              <w:rPr>
                <w:spacing w:val="-3"/>
              </w:rPr>
              <w:t>4</w:t>
            </w:r>
            <w:r>
              <w:t>;</w:t>
            </w:r>
            <w:r>
              <w:rPr>
                <w:spacing w:val="1"/>
              </w:rPr>
              <w:t xml:space="preserve"> </w:t>
            </w:r>
            <w:r>
              <w:t>3,</w:t>
            </w:r>
            <w:r>
              <w:rPr>
                <w:spacing w:val="-3"/>
              </w:rPr>
              <w:t>8</w:t>
            </w:r>
            <w:r>
              <w:t>)</w:t>
            </w:r>
          </w:p>
        </w:tc>
        <w:tc>
          <w:tcPr>
            <w:tcW w:w="861" w:type="pct"/>
            <w:tcBorders>
              <w:top w:val="single" w:sz="4" w:space="0" w:color="000000"/>
              <w:left w:val="single" w:sz="4" w:space="0" w:color="000000"/>
              <w:bottom w:val="single" w:sz="4" w:space="0" w:color="000000"/>
              <w:right w:val="single" w:sz="4" w:space="0" w:color="000000"/>
            </w:tcBorders>
          </w:tcPr>
          <w:p w14:paraId="77C2D808" w14:textId="77777777" w:rsidR="00C04CAD" w:rsidRDefault="00060E34">
            <w:pPr>
              <w:tabs>
                <w:tab w:val="clear" w:pos="567"/>
              </w:tabs>
              <w:kinsoku w:val="0"/>
              <w:overflowPunct w:val="0"/>
              <w:autoSpaceDE w:val="0"/>
              <w:autoSpaceDN w:val="0"/>
              <w:adjustRightInd w:val="0"/>
              <w:spacing w:line="240" w:lineRule="auto"/>
              <w:jc w:val="center"/>
            </w:pPr>
            <w:r>
              <w:t>&lt;0,001</w:t>
            </w:r>
            <w:r>
              <w:rPr>
                <w:spacing w:val="-1"/>
                <w:vertAlign w:val="superscript"/>
              </w:rPr>
              <w:t>c</w:t>
            </w:r>
          </w:p>
        </w:tc>
      </w:tr>
      <w:tr w:rsidR="00C04CAD" w14:paraId="24833F58" w14:textId="77777777">
        <w:trPr>
          <w:trHeight w:hRule="exact" w:val="262"/>
        </w:trPr>
        <w:tc>
          <w:tcPr>
            <w:tcW w:w="1136" w:type="pct"/>
            <w:tcBorders>
              <w:top w:val="single" w:sz="4" w:space="0" w:color="000000"/>
              <w:left w:val="single" w:sz="4" w:space="0" w:color="000000"/>
              <w:bottom w:val="single" w:sz="4" w:space="0" w:color="000000"/>
              <w:right w:val="single" w:sz="4" w:space="0" w:color="000000"/>
            </w:tcBorders>
          </w:tcPr>
          <w:p w14:paraId="14226437" w14:textId="77777777" w:rsidR="00C04CAD" w:rsidRDefault="00060E34">
            <w:pPr>
              <w:tabs>
                <w:tab w:val="clear" w:pos="567"/>
              </w:tabs>
              <w:kinsoku w:val="0"/>
              <w:overflowPunct w:val="0"/>
              <w:autoSpaceDE w:val="0"/>
              <w:autoSpaceDN w:val="0"/>
              <w:adjustRightInd w:val="0"/>
              <w:spacing w:line="240" w:lineRule="auto"/>
              <w:ind w:left="102"/>
            </w:pPr>
            <w:r>
              <w:rPr>
                <w:spacing w:val="-1"/>
              </w:rPr>
              <w:t>S</w:t>
            </w:r>
            <w:r>
              <w:t>cor</w:t>
            </w:r>
            <w:r>
              <w:rPr>
                <w:spacing w:val="1"/>
              </w:rPr>
              <w:t xml:space="preserve"> </w:t>
            </w:r>
            <w:r>
              <w:rPr>
                <w:spacing w:val="-3"/>
              </w:rPr>
              <w:t>d</w:t>
            </w:r>
            <w:r>
              <w:t>e u</w:t>
            </w:r>
            <w:r>
              <w:rPr>
                <w:spacing w:val="-3"/>
              </w:rPr>
              <w:t>z</w:t>
            </w:r>
            <w:r>
              <w:t>ură</w:t>
            </w:r>
          </w:p>
        </w:tc>
        <w:tc>
          <w:tcPr>
            <w:tcW w:w="749" w:type="pct"/>
            <w:tcBorders>
              <w:top w:val="single" w:sz="4" w:space="0" w:color="000000"/>
              <w:left w:val="single" w:sz="4" w:space="0" w:color="000000"/>
              <w:bottom w:val="single" w:sz="4" w:space="0" w:color="000000"/>
              <w:right w:val="single" w:sz="4" w:space="0" w:color="000000"/>
            </w:tcBorders>
          </w:tcPr>
          <w:p w14:paraId="066B4ED3" w14:textId="77777777" w:rsidR="00C04CAD" w:rsidRDefault="00060E34">
            <w:pPr>
              <w:tabs>
                <w:tab w:val="clear" w:pos="567"/>
              </w:tabs>
              <w:kinsoku w:val="0"/>
              <w:overflowPunct w:val="0"/>
              <w:autoSpaceDE w:val="0"/>
              <w:autoSpaceDN w:val="0"/>
              <w:adjustRightInd w:val="0"/>
              <w:spacing w:line="240" w:lineRule="auto"/>
              <w:jc w:val="center"/>
            </w:pPr>
            <w:r>
              <w:t>1,6</w:t>
            </w:r>
          </w:p>
        </w:tc>
        <w:tc>
          <w:tcPr>
            <w:tcW w:w="1084" w:type="pct"/>
            <w:tcBorders>
              <w:top w:val="single" w:sz="4" w:space="0" w:color="000000"/>
              <w:left w:val="single" w:sz="4" w:space="0" w:color="000000"/>
              <w:bottom w:val="single" w:sz="4" w:space="0" w:color="000000"/>
              <w:right w:val="single" w:sz="4" w:space="0" w:color="000000"/>
            </w:tcBorders>
          </w:tcPr>
          <w:p w14:paraId="5DBBBB02" w14:textId="77777777" w:rsidR="00C04CAD" w:rsidRDefault="00060E34">
            <w:pPr>
              <w:tabs>
                <w:tab w:val="clear" w:pos="567"/>
              </w:tabs>
              <w:kinsoku w:val="0"/>
              <w:overflowPunct w:val="0"/>
              <w:autoSpaceDE w:val="0"/>
              <w:autoSpaceDN w:val="0"/>
              <w:adjustRightInd w:val="0"/>
              <w:spacing w:line="240" w:lineRule="auto"/>
              <w:jc w:val="center"/>
            </w:pPr>
            <w:r>
              <w:t>0,0</w:t>
            </w:r>
          </w:p>
        </w:tc>
        <w:tc>
          <w:tcPr>
            <w:tcW w:w="1170" w:type="pct"/>
            <w:tcBorders>
              <w:top w:val="single" w:sz="4" w:space="0" w:color="000000"/>
              <w:left w:val="single" w:sz="4" w:space="0" w:color="000000"/>
              <w:bottom w:val="single" w:sz="4" w:space="0" w:color="000000"/>
              <w:right w:val="single" w:sz="4" w:space="0" w:color="000000"/>
            </w:tcBorders>
          </w:tcPr>
          <w:p w14:paraId="06022B13" w14:textId="77777777" w:rsidR="00C04CAD" w:rsidRDefault="00060E34">
            <w:pPr>
              <w:tabs>
                <w:tab w:val="clear" w:pos="567"/>
              </w:tabs>
              <w:kinsoku w:val="0"/>
              <w:overflowPunct w:val="0"/>
              <w:autoSpaceDE w:val="0"/>
              <w:autoSpaceDN w:val="0"/>
              <w:adjustRightInd w:val="0"/>
              <w:spacing w:line="240" w:lineRule="auto"/>
              <w:jc w:val="center"/>
            </w:pPr>
            <w:r>
              <w:t>1,6 (0,</w:t>
            </w:r>
            <w:r>
              <w:rPr>
                <w:spacing w:val="-3"/>
              </w:rPr>
              <w:t>9</w:t>
            </w:r>
            <w:r>
              <w:t>;</w:t>
            </w:r>
            <w:r>
              <w:rPr>
                <w:spacing w:val="1"/>
              </w:rPr>
              <w:t xml:space="preserve"> </w:t>
            </w:r>
            <w:r>
              <w:t>2,</w:t>
            </w:r>
            <w:r>
              <w:rPr>
                <w:spacing w:val="-3"/>
              </w:rPr>
              <w:t>2</w:t>
            </w:r>
            <w:r>
              <w:t>)</w:t>
            </w:r>
          </w:p>
        </w:tc>
        <w:tc>
          <w:tcPr>
            <w:tcW w:w="861" w:type="pct"/>
            <w:tcBorders>
              <w:top w:val="single" w:sz="4" w:space="0" w:color="000000"/>
              <w:left w:val="single" w:sz="4" w:space="0" w:color="000000"/>
              <w:bottom w:val="single" w:sz="4" w:space="0" w:color="000000"/>
              <w:right w:val="single" w:sz="4" w:space="0" w:color="000000"/>
            </w:tcBorders>
          </w:tcPr>
          <w:p w14:paraId="1C3B283C" w14:textId="77777777" w:rsidR="00C04CAD" w:rsidRDefault="00060E34">
            <w:pPr>
              <w:tabs>
                <w:tab w:val="clear" w:pos="567"/>
              </w:tabs>
              <w:kinsoku w:val="0"/>
              <w:overflowPunct w:val="0"/>
              <w:autoSpaceDE w:val="0"/>
              <w:autoSpaceDN w:val="0"/>
              <w:adjustRightInd w:val="0"/>
              <w:spacing w:line="240" w:lineRule="auto"/>
              <w:jc w:val="center"/>
            </w:pPr>
            <w:r>
              <w:t>&lt;0,001</w:t>
            </w:r>
          </w:p>
        </w:tc>
      </w:tr>
      <w:tr w:rsidR="00C04CAD" w14:paraId="561B4C97" w14:textId="77777777">
        <w:trPr>
          <w:trHeight w:hRule="exact" w:val="264"/>
        </w:trPr>
        <w:tc>
          <w:tcPr>
            <w:tcW w:w="1136" w:type="pct"/>
            <w:tcBorders>
              <w:top w:val="single" w:sz="4" w:space="0" w:color="000000"/>
              <w:left w:val="single" w:sz="4" w:space="0" w:color="000000"/>
              <w:bottom w:val="single" w:sz="4" w:space="0" w:color="000000"/>
              <w:right w:val="single" w:sz="4" w:space="0" w:color="000000"/>
            </w:tcBorders>
          </w:tcPr>
          <w:p w14:paraId="5A21D9A0" w14:textId="77777777" w:rsidR="00C04CAD" w:rsidRDefault="00060E34">
            <w:pPr>
              <w:tabs>
                <w:tab w:val="clear" w:pos="567"/>
              </w:tabs>
              <w:kinsoku w:val="0"/>
              <w:overflowPunct w:val="0"/>
              <w:autoSpaceDE w:val="0"/>
              <w:autoSpaceDN w:val="0"/>
              <w:adjustRightInd w:val="0"/>
              <w:spacing w:line="240" w:lineRule="auto"/>
              <w:ind w:left="102"/>
            </w:pPr>
            <w:r>
              <w:rPr>
                <w:spacing w:val="-1"/>
              </w:rPr>
              <w:t>S</w:t>
            </w:r>
            <w:r>
              <w:t>cor</w:t>
            </w:r>
            <w:r>
              <w:rPr>
                <w:spacing w:val="-3"/>
              </w:rPr>
              <w:t xml:space="preserve"> </w:t>
            </w:r>
            <w:r>
              <w:rPr>
                <w:spacing w:val="2"/>
              </w:rPr>
              <w:t>J</w:t>
            </w:r>
            <w:r>
              <w:rPr>
                <w:spacing w:val="-1"/>
              </w:rPr>
              <w:t>SN</w:t>
            </w:r>
            <w:r>
              <w:rPr>
                <w:vertAlign w:val="superscript"/>
              </w:rPr>
              <w:t>d</w:t>
            </w:r>
          </w:p>
        </w:tc>
        <w:tc>
          <w:tcPr>
            <w:tcW w:w="749" w:type="pct"/>
            <w:tcBorders>
              <w:top w:val="single" w:sz="4" w:space="0" w:color="000000"/>
              <w:left w:val="single" w:sz="4" w:space="0" w:color="000000"/>
              <w:bottom w:val="single" w:sz="4" w:space="0" w:color="000000"/>
              <w:right w:val="single" w:sz="4" w:space="0" w:color="000000"/>
            </w:tcBorders>
          </w:tcPr>
          <w:p w14:paraId="5FA6B3FA" w14:textId="77777777" w:rsidR="00C04CAD" w:rsidRDefault="00060E34">
            <w:pPr>
              <w:tabs>
                <w:tab w:val="clear" w:pos="567"/>
              </w:tabs>
              <w:kinsoku w:val="0"/>
              <w:overflowPunct w:val="0"/>
              <w:autoSpaceDE w:val="0"/>
              <w:autoSpaceDN w:val="0"/>
              <w:adjustRightInd w:val="0"/>
              <w:spacing w:line="240" w:lineRule="auto"/>
              <w:jc w:val="center"/>
            </w:pPr>
            <w:r>
              <w:t>1,0</w:t>
            </w:r>
          </w:p>
        </w:tc>
        <w:tc>
          <w:tcPr>
            <w:tcW w:w="1084" w:type="pct"/>
            <w:tcBorders>
              <w:top w:val="single" w:sz="4" w:space="0" w:color="000000"/>
              <w:left w:val="single" w:sz="4" w:space="0" w:color="000000"/>
              <w:bottom w:val="single" w:sz="4" w:space="0" w:color="000000"/>
              <w:right w:val="single" w:sz="4" w:space="0" w:color="000000"/>
            </w:tcBorders>
          </w:tcPr>
          <w:p w14:paraId="19536A65" w14:textId="77777777" w:rsidR="00C04CAD" w:rsidRDefault="00060E34">
            <w:pPr>
              <w:tabs>
                <w:tab w:val="clear" w:pos="567"/>
              </w:tabs>
              <w:kinsoku w:val="0"/>
              <w:overflowPunct w:val="0"/>
              <w:autoSpaceDE w:val="0"/>
              <w:autoSpaceDN w:val="0"/>
              <w:adjustRightInd w:val="0"/>
              <w:spacing w:line="240" w:lineRule="auto"/>
              <w:jc w:val="center"/>
            </w:pPr>
            <w:r>
              <w:t>0,1</w:t>
            </w:r>
          </w:p>
        </w:tc>
        <w:tc>
          <w:tcPr>
            <w:tcW w:w="1170" w:type="pct"/>
            <w:tcBorders>
              <w:top w:val="single" w:sz="4" w:space="0" w:color="000000"/>
              <w:left w:val="single" w:sz="4" w:space="0" w:color="000000"/>
              <w:bottom w:val="single" w:sz="4" w:space="0" w:color="000000"/>
              <w:right w:val="single" w:sz="4" w:space="0" w:color="000000"/>
            </w:tcBorders>
          </w:tcPr>
          <w:p w14:paraId="30255FBC" w14:textId="77777777" w:rsidR="00C04CAD" w:rsidRDefault="00060E34">
            <w:pPr>
              <w:tabs>
                <w:tab w:val="clear" w:pos="567"/>
              </w:tabs>
              <w:kinsoku w:val="0"/>
              <w:overflowPunct w:val="0"/>
              <w:autoSpaceDE w:val="0"/>
              <w:autoSpaceDN w:val="0"/>
              <w:adjustRightInd w:val="0"/>
              <w:spacing w:line="240" w:lineRule="auto"/>
              <w:jc w:val="center"/>
            </w:pPr>
            <w:r>
              <w:t>0,9 (0,</w:t>
            </w:r>
            <w:r>
              <w:rPr>
                <w:spacing w:val="-3"/>
              </w:rPr>
              <w:t>3</w:t>
            </w:r>
            <w:r>
              <w:t>;</w:t>
            </w:r>
            <w:r>
              <w:rPr>
                <w:spacing w:val="1"/>
              </w:rPr>
              <w:t xml:space="preserve"> </w:t>
            </w:r>
            <w:r>
              <w:t>1,</w:t>
            </w:r>
            <w:r>
              <w:rPr>
                <w:spacing w:val="-3"/>
              </w:rPr>
              <w:t>4</w:t>
            </w:r>
            <w:r>
              <w:t>)</w:t>
            </w:r>
          </w:p>
        </w:tc>
        <w:tc>
          <w:tcPr>
            <w:tcW w:w="861" w:type="pct"/>
            <w:tcBorders>
              <w:top w:val="single" w:sz="4" w:space="0" w:color="000000"/>
              <w:left w:val="single" w:sz="4" w:space="0" w:color="000000"/>
              <w:bottom w:val="single" w:sz="4" w:space="0" w:color="000000"/>
              <w:right w:val="single" w:sz="4" w:space="0" w:color="000000"/>
            </w:tcBorders>
          </w:tcPr>
          <w:p w14:paraId="24D68E3C" w14:textId="77777777" w:rsidR="00C04CAD" w:rsidRDefault="00060E34">
            <w:pPr>
              <w:tabs>
                <w:tab w:val="clear" w:pos="567"/>
              </w:tabs>
              <w:kinsoku w:val="0"/>
              <w:overflowPunct w:val="0"/>
              <w:autoSpaceDE w:val="0"/>
              <w:autoSpaceDN w:val="0"/>
              <w:adjustRightInd w:val="0"/>
              <w:spacing w:line="240" w:lineRule="auto"/>
              <w:jc w:val="center"/>
            </w:pPr>
            <w:r>
              <w:t>0,002</w:t>
            </w:r>
          </w:p>
        </w:tc>
      </w:tr>
    </w:tbl>
    <w:p w14:paraId="705630EB"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vertAlign w:val="superscript"/>
        </w:rPr>
        <w:t>a</w:t>
      </w:r>
      <w:r>
        <w:rPr>
          <w:spacing w:val="-2"/>
          <w:sz w:val="20"/>
        </w:rPr>
        <w:t xml:space="preserve"> </w:t>
      </w:r>
      <w:r>
        <w:rPr>
          <w:spacing w:val="-4"/>
          <w:sz w:val="20"/>
        </w:rPr>
        <w:t>m</w:t>
      </w:r>
      <w:r>
        <w:rPr>
          <w:sz w:val="20"/>
        </w:rPr>
        <w:t>e</w:t>
      </w:r>
      <w:r>
        <w:rPr>
          <w:spacing w:val="1"/>
          <w:sz w:val="20"/>
        </w:rPr>
        <w:t>t</w:t>
      </w:r>
      <w:r>
        <w:rPr>
          <w:sz w:val="20"/>
        </w:rPr>
        <w:t>o</w:t>
      </w:r>
      <w:r>
        <w:rPr>
          <w:spacing w:val="1"/>
          <w:sz w:val="20"/>
        </w:rPr>
        <w:t>t</w:t>
      </w:r>
      <w:r>
        <w:rPr>
          <w:spacing w:val="-2"/>
          <w:sz w:val="20"/>
        </w:rPr>
        <w:t>r</w:t>
      </w:r>
      <w:r>
        <w:rPr>
          <w:sz w:val="20"/>
        </w:rPr>
        <w:t>ex</w:t>
      </w:r>
      <w:r>
        <w:rPr>
          <w:spacing w:val="-3"/>
          <w:sz w:val="20"/>
        </w:rPr>
        <w:t>a</w:t>
      </w:r>
      <w:r>
        <w:rPr>
          <w:sz w:val="20"/>
        </w:rPr>
        <w:t>t</w:t>
      </w:r>
    </w:p>
    <w:p w14:paraId="359F8F13"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vertAlign w:val="superscript"/>
        </w:rPr>
        <w:t>b</w:t>
      </w:r>
      <w:r>
        <w:rPr>
          <w:spacing w:val="-2"/>
          <w:sz w:val="20"/>
        </w:rPr>
        <w:t xml:space="preserve"> </w:t>
      </w:r>
      <w:r>
        <w:rPr>
          <w:spacing w:val="1"/>
          <w:sz w:val="20"/>
        </w:rPr>
        <w:t>i</w:t>
      </w:r>
      <w:r>
        <w:rPr>
          <w:sz w:val="20"/>
        </w:rPr>
        <w:t>n</w:t>
      </w:r>
      <w:r>
        <w:rPr>
          <w:spacing w:val="-2"/>
          <w:sz w:val="20"/>
        </w:rPr>
        <w:t>t</w:t>
      </w:r>
      <w:r>
        <w:rPr>
          <w:sz w:val="20"/>
        </w:rPr>
        <w:t>er</w:t>
      </w:r>
      <w:r>
        <w:rPr>
          <w:spacing w:val="-3"/>
          <w:sz w:val="20"/>
        </w:rPr>
        <w:t>v</w:t>
      </w:r>
      <w:r>
        <w:rPr>
          <w:sz w:val="20"/>
        </w:rPr>
        <w:t>a</w:t>
      </w:r>
      <w:r>
        <w:rPr>
          <w:spacing w:val="-2"/>
          <w:sz w:val="20"/>
        </w:rPr>
        <w:t>l</w:t>
      </w:r>
      <w:r>
        <w:rPr>
          <w:sz w:val="20"/>
        </w:rPr>
        <w:t>e de</w:t>
      </w:r>
      <w:r>
        <w:rPr>
          <w:spacing w:val="-2"/>
          <w:sz w:val="20"/>
        </w:rPr>
        <w:t xml:space="preserve"> </w:t>
      </w:r>
      <w:r>
        <w:rPr>
          <w:rFonts w:eastAsia="MS Mincho"/>
          <w:spacing w:val="1"/>
          <w:sz w:val="20"/>
          <w:lang w:eastAsia="en-US" w:bidi="ar-SA"/>
        </w:rPr>
        <w:t>î</w:t>
      </w:r>
      <w:r>
        <w:rPr>
          <w:rFonts w:eastAsia="MS Mincho"/>
          <w:sz w:val="20"/>
          <w:lang w:eastAsia="en-US" w:bidi="ar-SA"/>
        </w:rPr>
        <w:t>ncredere</w:t>
      </w:r>
      <w:r>
        <w:rPr>
          <w:sz w:val="20"/>
        </w:rPr>
        <w:t xml:space="preserve"> </w:t>
      </w:r>
      <w:r>
        <w:rPr>
          <w:spacing w:val="-3"/>
          <w:sz w:val="20"/>
        </w:rPr>
        <w:t>d</w:t>
      </w:r>
      <w:r>
        <w:rPr>
          <w:sz w:val="20"/>
        </w:rPr>
        <w:t xml:space="preserve">e </w:t>
      </w:r>
      <w:r>
        <w:rPr>
          <w:spacing w:val="-3"/>
          <w:sz w:val="20"/>
        </w:rPr>
        <w:t>9</w:t>
      </w:r>
      <w:r>
        <w:rPr>
          <w:sz w:val="20"/>
        </w:rPr>
        <w:t>5%</w:t>
      </w:r>
      <w:r>
        <w:rPr>
          <w:spacing w:val="1"/>
          <w:sz w:val="20"/>
        </w:rPr>
        <w:t xml:space="preserve"> </w:t>
      </w:r>
      <w:r>
        <w:rPr>
          <w:sz w:val="20"/>
        </w:rPr>
        <w:t>p</w:t>
      </w:r>
      <w:r>
        <w:rPr>
          <w:spacing w:val="-3"/>
          <w:sz w:val="20"/>
        </w:rPr>
        <w:t>e</w:t>
      </w:r>
      <w:r>
        <w:rPr>
          <w:sz w:val="20"/>
        </w:rPr>
        <w:t>n</w:t>
      </w:r>
      <w:r>
        <w:rPr>
          <w:spacing w:val="-2"/>
          <w:sz w:val="20"/>
        </w:rPr>
        <w:t>t</w:t>
      </w:r>
      <w:r>
        <w:rPr>
          <w:sz w:val="20"/>
        </w:rPr>
        <w:t>ru d</w:t>
      </w:r>
      <w:r>
        <w:rPr>
          <w:spacing w:val="-2"/>
          <w:sz w:val="20"/>
        </w:rPr>
        <w:t>i</w:t>
      </w:r>
      <w:r>
        <w:rPr>
          <w:sz w:val="20"/>
        </w:rPr>
        <w:t>f</w:t>
      </w:r>
      <w:r>
        <w:rPr>
          <w:spacing w:val="-3"/>
          <w:sz w:val="20"/>
        </w:rPr>
        <w:t>e</w:t>
      </w:r>
      <w:r>
        <w:rPr>
          <w:sz w:val="20"/>
        </w:rPr>
        <w:t>re</w:t>
      </w:r>
      <w:r>
        <w:rPr>
          <w:spacing w:val="-3"/>
          <w:sz w:val="20"/>
        </w:rPr>
        <w:t>n</w:t>
      </w:r>
      <w:r>
        <w:rPr>
          <w:spacing w:val="1"/>
          <w:sz w:val="20"/>
        </w:rPr>
        <w:t>ţ</w:t>
      </w:r>
      <w:r>
        <w:rPr>
          <w:spacing w:val="-3"/>
          <w:sz w:val="20"/>
        </w:rPr>
        <w:t>e</w:t>
      </w:r>
      <w:r>
        <w:rPr>
          <w:spacing w:val="1"/>
          <w:sz w:val="20"/>
        </w:rPr>
        <w:t>l</w:t>
      </w:r>
      <w:r>
        <w:rPr>
          <w:sz w:val="20"/>
        </w:rPr>
        <w:t>e de</w:t>
      </w:r>
      <w:r>
        <w:rPr>
          <w:spacing w:val="-2"/>
          <w:sz w:val="20"/>
        </w:rPr>
        <w:t xml:space="preserve"> m</w:t>
      </w:r>
      <w:r>
        <w:rPr>
          <w:sz w:val="20"/>
        </w:rPr>
        <w:t>od</w:t>
      </w:r>
      <w:r>
        <w:rPr>
          <w:spacing w:val="1"/>
          <w:sz w:val="20"/>
        </w:rPr>
        <w:t>i</w:t>
      </w:r>
      <w:r>
        <w:rPr>
          <w:spacing w:val="-2"/>
          <w:sz w:val="20"/>
        </w:rPr>
        <w:t>f</w:t>
      </w:r>
      <w:r>
        <w:rPr>
          <w:spacing w:val="1"/>
          <w:sz w:val="20"/>
        </w:rPr>
        <w:t>i</w:t>
      </w:r>
      <w:r>
        <w:rPr>
          <w:sz w:val="20"/>
        </w:rPr>
        <w:t>c</w:t>
      </w:r>
      <w:r>
        <w:rPr>
          <w:spacing w:val="-3"/>
          <w:sz w:val="20"/>
        </w:rPr>
        <w:t>a</w:t>
      </w:r>
      <w:r>
        <w:rPr>
          <w:sz w:val="20"/>
        </w:rPr>
        <w:t>re</w:t>
      </w:r>
      <w:r>
        <w:rPr>
          <w:spacing w:val="-2"/>
          <w:sz w:val="20"/>
        </w:rPr>
        <w:t xml:space="preserve"> </w:t>
      </w:r>
      <w:r>
        <w:rPr>
          <w:sz w:val="20"/>
        </w:rPr>
        <w:t>a s</w:t>
      </w:r>
      <w:r>
        <w:rPr>
          <w:spacing w:val="-3"/>
          <w:sz w:val="20"/>
        </w:rPr>
        <w:t>c</w:t>
      </w:r>
      <w:r>
        <w:rPr>
          <w:sz w:val="20"/>
        </w:rPr>
        <w:t>or</w:t>
      </w:r>
      <w:r>
        <w:rPr>
          <w:spacing w:val="-3"/>
          <w:sz w:val="20"/>
        </w:rPr>
        <w:t>u</w:t>
      </w:r>
      <w:r>
        <w:rPr>
          <w:sz w:val="20"/>
        </w:rPr>
        <w:t>r</w:t>
      </w:r>
      <w:r>
        <w:rPr>
          <w:spacing w:val="-2"/>
          <w:sz w:val="20"/>
        </w:rPr>
        <w:t>i</w:t>
      </w:r>
      <w:r>
        <w:rPr>
          <w:spacing w:val="1"/>
          <w:sz w:val="20"/>
        </w:rPr>
        <w:t>l</w:t>
      </w:r>
      <w:r>
        <w:rPr>
          <w:sz w:val="20"/>
        </w:rPr>
        <w:t>or</w:t>
      </w:r>
      <w:r>
        <w:rPr>
          <w:spacing w:val="-2"/>
          <w:sz w:val="20"/>
        </w:rPr>
        <w:t xml:space="preserve"> </w:t>
      </w:r>
      <w:r>
        <w:rPr>
          <w:spacing w:val="1"/>
          <w:sz w:val="20"/>
        </w:rPr>
        <w:t>î</w:t>
      </w:r>
      <w:r>
        <w:rPr>
          <w:spacing w:val="-3"/>
          <w:sz w:val="20"/>
        </w:rPr>
        <w:t>n</w:t>
      </w:r>
      <w:r>
        <w:rPr>
          <w:spacing w:val="1"/>
          <w:sz w:val="20"/>
        </w:rPr>
        <w:t>t</w:t>
      </w:r>
      <w:r>
        <w:rPr>
          <w:sz w:val="20"/>
        </w:rPr>
        <w:t>re</w:t>
      </w:r>
      <w:r>
        <w:rPr>
          <w:spacing w:val="-5"/>
          <w:sz w:val="20"/>
        </w:rPr>
        <w:t xml:space="preserve"> </w:t>
      </w:r>
      <w:r>
        <w:rPr>
          <w:spacing w:val="-4"/>
          <w:sz w:val="20"/>
        </w:rPr>
        <w:t>m</w:t>
      </w:r>
      <w:r>
        <w:rPr>
          <w:sz w:val="20"/>
        </w:rPr>
        <w:t>e</w:t>
      </w:r>
      <w:r>
        <w:rPr>
          <w:spacing w:val="1"/>
          <w:sz w:val="20"/>
        </w:rPr>
        <w:t>t</w:t>
      </w:r>
      <w:r>
        <w:rPr>
          <w:sz w:val="20"/>
        </w:rPr>
        <w:t>o</w:t>
      </w:r>
      <w:r>
        <w:rPr>
          <w:spacing w:val="1"/>
          <w:sz w:val="20"/>
        </w:rPr>
        <w:t>t</w:t>
      </w:r>
      <w:r>
        <w:rPr>
          <w:sz w:val="20"/>
        </w:rPr>
        <w:t>rex</w:t>
      </w:r>
      <w:r>
        <w:rPr>
          <w:spacing w:val="-3"/>
          <w:sz w:val="20"/>
        </w:rPr>
        <w:t>a</w:t>
      </w:r>
      <w:r>
        <w:rPr>
          <w:sz w:val="20"/>
        </w:rPr>
        <w:t>t</w:t>
      </w:r>
      <w:r>
        <w:rPr>
          <w:spacing w:val="1"/>
          <w:sz w:val="20"/>
        </w:rPr>
        <w:t xml:space="preserve"> </w:t>
      </w:r>
      <w:r>
        <w:rPr>
          <w:spacing w:val="-2"/>
          <w:sz w:val="20"/>
        </w:rPr>
        <w:t>ş</w:t>
      </w:r>
      <w:r>
        <w:rPr>
          <w:sz w:val="20"/>
        </w:rPr>
        <w:t xml:space="preserve">i </w:t>
      </w:r>
      <w:r>
        <w:rPr>
          <w:rFonts w:eastAsia="MS Mincho"/>
          <w:spacing w:val="-1"/>
          <w:sz w:val="20"/>
          <w:lang w:eastAsia="en-US" w:bidi="ar-SA"/>
        </w:rPr>
        <w:t>adalimumab</w:t>
      </w:r>
      <w:r>
        <w:rPr>
          <w:sz w:val="20"/>
        </w:rPr>
        <w:t>.</w:t>
      </w:r>
    </w:p>
    <w:p w14:paraId="45408E5D"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vertAlign w:val="superscript"/>
        </w:rPr>
        <w:t>c</w:t>
      </w:r>
      <w:r>
        <w:rPr>
          <w:spacing w:val="-2"/>
          <w:sz w:val="20"/>
        </w:rPr>
        <w:t xml:space="preserve"> </w:t>
      </w:r>
      <w:r>
        <w:rPr>
          <w:spacing w:val="-1"/>
          <w:sz w:val="20"/>
        </w:rPr>
        <w:t>P</w:t>
      </w:r>
      <w:r>
        <w:rPr>
          <w:sz w:val="20"/>
        </w:rPr>
        <w:t>e ba</w:t>
      </w:r>
      <w:r>
        <w:rPr>
          <w:spacing w:val="-3"/>
          <w:sz w:val="20"/>
        </w:rPr>
        <w:t>z</w:t>
      </w:r>
      <w:r>
        <w:rPr>
          <w:sz w:val="20"/>
        </w:rPr>
        <w:t xml:space="preserve">a </w:t>
      </w:r>
      <w:r>
        <w:rPr>
          <w:spacing w:val="-3"/>
          <w:sz w:val="20"/>
        </w:rPr>
        <w:t>a</w:t>
      </w:r>
      <w:r>
        <w:rPr>
          <w:sz w:val="20"/>
        </w:rPr>
        <w:t>na</w:t>
      </w:r>
      <w:r>
        <w:rPr>
          <w:spacing w:val="-2"/>
          <w:sz w:val="20"/>
        </w:rPr>
        <w:t>l</w:t>
      </w:r>
      <w:r>
        <w:rPr>
          <w:spacing w:val="1"/>
          <w:sz w:val="20"/>
        </w:rPr>
        <w:t>i</w:t>
      </w:r>
      <w:r>
        <w:rPr>
          <w:spacing w:val="-3"/>
          <w:sz w:val="20"/>
        </w:rPr>
        <w:t>z</w:t>
      </w:r>
      <w:r>
        <w:rPr>
          <w:sz w:val="20"/>
        </w:rPr>
        <w:t>ei</w:t>
      </w:r>
      <w:r>
        <w:rPr>
          <w:spacing w:val="-2"/>
          <w:sz w:val="20"/>
        </w:rPr>
        <w:t xml:space="preserve"> </w:t>
      </w:r>
      <w:r>
        <w:rPr>
          <w:sz w:val="20"/>
        </w:rPr>
        <w:t>sco</w:t>
      </w:r>
      <w:r>
        <w:rPr>
          <w:spacing w:val="-2"/>
          <w:sz w:val="20"/>
        </w:rPr>
        <w:t>r</w:t>
      </w:r>
      <w:r>
        <w:rPr>
          <w:sz w:val="20"/>
        </w:rPr>
        <w:t>u</w:t>
      </w:r>
      <w:r>
        <w:rPr>
          <w:spacing w:val="-2"/>
          <w:sz w:val="20"/>
        </w:rPr>
        <w:t>r</w:t>
      </w:r>
      <w:r>
        <w:rPr>
          <w:spacing w:val="1"/>
          <w:sz w:val="20"/>
        </w:rPr>
        <w:t>il</w:t>
      </w:r>
      <w:r>
        <w:rPr>
          <w:spacing w:val="-3"/>
          <w:sz w:val="20"/>
        </w:rPr>
        <w:t>o</w:t>
      </w:r>
      <w:r>
        <w:rPr>
          <w:sz w:val="20"/>
        </w:rPr>
        <w:t>r</w:t>
      </w:r>
    </w:p>
    <w:p w14:paraId="58A2640B"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vertAlign w:val="superscript"/>
        </w:rPr>
        <w:t>d</w:t>
      </w:r>
      <w:r>
        <w:rPr>
          <w:spacing w:val="-2"/>
          <w:sz w:val="20"/>
        </w:rPr>
        <w:t xml:space="preserve"> </w:t>
      </w:r>
      <w:r>
        <w:rPr>
          <w:spacing w:val="-4"/>
          <w:sz w:val="20"/>
        </w:rPr>
        <w:t>Î</w:t>
      </w:r>
      <w:r>
        <w:rPr>
          <w:sz w:val="20"/>
        </w:rPr>
        <w:t>n</w:t>
      </w:r>
      <w:r>
        <w:rPr>
          <w:spacing w:val="-3"/>
          <w:sz w:val="20"/>
        </w:rPr>
        <w:t>g</w:t>
      </w:r>
      <w:r>
        <w:rPr>
          <w:sz w:val="20"/>
        </w:rPr>
        <w:t>us</w:t>
      </w:r>
      <w:r>
        <w:rPr>
          <w:spacing w:val="1"/>
          <w:sz w:val="20"/>
        </w:rPr>
        <w:t>t</w:t>
      </w:r>
      <w:r>
        <w:rPr>
          <w:sz w:val="20"/>
        </w:rPr>
        <w:t>area</w:t>
      </w:r>
      <w:r>
        <w:rPr>
          <w:spacing w:val="-2"/>
          <w:sz w:val="20"/>
        </w:rPr>
        <w:t xml:space="preserve"> </w:t>
      </w:r>
      <w:r>
        <w:rPr>
          <w:sz w:val="20"/>
        </w:rPr>
        <w:t>sp</w:t>
      </w:r>
      <w:r>
        <w:rPr>
          <w:spacing w:val="-3"/>
          <w:sz w:val="20"/>
        </w:rPr>
        <w:t>a</w:t>
      </w:r>
      <w:r>
        <w:rPr>
          <w:spacing w:val="1"/>
          <w:sz w:val="20"/>
        </w:rPr>
        <w:t>ţi</w:t>
      </w:r>
      <w:r>
        <w:rPr>
          <w:spacing w:val="-3"/>
          <w:sz w:val="20"/>
        </w:rPr>
        <w:t>u</w:t>
      </w:r>
      <w:r>
        <w:rPr>
          <w:spacing w:val="1"/>
          <w:sz w:val="20"/>
        </w:rPr>
        <w:t>l</w:t>
      </w:r>
      <w:r>
        <w:rPr>
          <w:sz w:val="20"/>
        </w:rPr>
        <w:t>ui</w:t>
      </w:r>
      <w:r>
        <w:rPr>
          <w:spacing w:val="-2"/>
          <w:sz w:val="20"/>
        </w:rPr>
        <w:t xml:space="preserve"> </w:t>
      </w:r>
      <w:r>
        <w:rPr>
          <w:sz w:val="20"/>
        </w:rPr>
        <w:t>a</w:t>
      </w:r>
      <w:r>
        <w:rPr>
          <w:spacing w:val="-2"/>
          <w:sz w:val="20"/>
        </w:rPr>
        <w:t>r</w:t>
      </w:r>
      <w:r>
        <w:rPr>
          <w:spacing w:val="1"/>
          <w:sz w:val="20"/>
        </w:rPr>
        <w:t>t</w:t>
      </w:r>
      <w:r>
        <w:rPr>
          <w:spacing w:val="-2"/>
          <w:sz w:val="20"/>
        </w:rPr>
        <w:t>i</w:t>
      </w:r>
      <w:r>
        <w:rPr>
          <w:sz w:val="20"/>
        </w:rPr>
        <w:t>c</w:t>
      </w:r>
      <w:r>
        <w:rPr>
          <w:spacing w:val="-3"/>
          <w:sz w:val="20"/>
        </w:rPr>
        <w:t>u</w:t>
      </w:r>
      <w:r>
        <w:rPr>
          <w:spacing w:val="1"/>
          <w:sz w:val="20"/>
        </w:rPr>
        <w:t>l</w:t>
      </w:r>
      <w:r>
        <w:rPr>
          <w:sz w:val="20"/>
        </w:rPr>
        <w:t>ar</w:t>
      </w:r>
    </w:p>
    <w:p w14:paraId="68E4E72A" w14:textId="77777777" w:rsidR="00C04CAD" w:rsidRDefault="00C04CAD">
      <w:pPr>
        <w:autoSpaceDE w:val="0"/>
        <w:autoSpaceDN w:val="0"/>
        <w:adjustRightInd w:val="0"/>
        <w:spacing w:line="240" w:lineRule="auto"/>
      </w:pPr>
    </w:p>
    <w:p w14:paraId="3085290D" w14:textId="77777777" w:rsidR="00C04CAD" w:rsidRDefault="00060E34">
      <w:pPr>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P</w:t>
      </w:r>
      <w:r>
        <w:t>R</w:t>
      </w:r>
      <w:r>
        <w:rPr>
          <w:spacing w:val="-4"/>
        </w:rPr>
        <w:t xml:space="preserve"> </w:t>
      </w:r>
      <w:r>
        <w:rPr>
          <w:spacing w:val="1"/>
        </w:rPr>
        <w:t>V</w:t>
      </w:r>
      <w:r>
        <w:t xml:space="preserve">, </w:t>
      </w:r>
      <w:r>
        <w:rPr>
          <w:spacing w:val="-3"/>
        </w:rPr>
        <w:t>d</w:t>
      </w:r>
      <w:r>
        <w:rPr>
          <w:spacing w:val="1"/>
        </w:rPr>
        <w:t>i</w:t>
      </w:r>
      <w:r>
        <w:rPr>
          <w:spacing w:val="-2"/>
        </w:rPr>
        <w:t>s</w:t>
      </w:r>
      <w:r>
        <w:rPr>
          <w:spacing w:val="1"/>
        </w:rPr>
        <w:t>t</w:t>
      </w:r>
      <w:r>
        <w:t>r</w:t>
      </w:r>
      <w:r>
        <w:rPr>
          <w:spacing w:val="-3"/>
        </w:rPr>
        <w:t>u</w:t>
      </w:r>
      <w:r>
        <w:t>c</w:t>
      </w:r>
      <w:r>
        <w:rPr>
          <w:spacing w:val="-2"/>
        </w:rPr>
        <w:t>ţ</w:t>
      </w:r>
      <w:r>
        <w:rPr>
          <w:spacing w:val="1"/>
        </w:rPr>
        <w:t>i</w:t>
      </w:r>
      <w:r>
        <w:t xml:space="preserve">a </w:t>
      </w:r>
      <w:r>
        <w:rPr>
          <w:spacing w:val="-2"/>
        </w:rPr>
        <w:t>s</w:t>
      </w:r>
      <w:r>
        <w:rPr>
          <w:spacing w:val="1"/>
        </w:rPr>
        <w:t>t</w:t>
      </w:r>
      <w:r>
        <w:t>ru</w:t>
      </w:r>
      <w:r>
        <w:rPr>
          <w:spacing w:val="-3"/>
        </w:rPr>
        <w:t>c</w:t>
      </w:r>
      <w:r>
        <w:rPr>
          <w:spacing w:val="1"/>
        </w:rPr>
        <w:t>t</w:t>
      </w:r>
      <w:r>
        <w:rPr>
          <w:spacing w:val="-3"/>
        </w:rPr>
        <w:t>u</w:t>
      </w:r>
      <w:r>
        <w:t>ra</w:t>
      </w:r>
      <w:r>
        <w:rPr>
          <w:spacing w:val="-2"/>
        </w:rPr>
        <w:t>l</w:t>
      </w:r>
      <w:r>
        <w:t>ă a</w:t>
      </w:r>
      <w:r>
        <w:rPr>
          <w:spacing w:val="-2"/>
        </w:rPr>
        <w:t xml:space="preserve"> </w:t>
      </w:r>
      <w:r>
        <w:t>a</w:t>
      </w:r>
      <w:r>
        <w:rPr>
          <w:spacing w:val="-2"/>
        </w:rPr>
        <w:t>r</w:t>
      </w:r>
      <w:r>
        <w:rPr>
          <w:spacing w:val="1"/>
        </w:rPr>
        <w:t>ti</w:t>
      </w:r>
      <w:r>
        <w:rPr>
          <w:spacing w:val="-3"/>
        </w:rPr>
        <w:t>c</w:t>
      </w:r>
      <w:r>
        <w:t>u</w:t>
      </w:r>
      <w:r>
        <w:rPr>
          <w:spacing w:val="1"/>
        </w:rPr>
        <w:t>l</w:t>
      </w:r>
      <w:r>
        <w:rPr>
          <w:spacing w:val="-3"/>
        </w:rPr>
        <w:t>a</w:t>
      </w:r>
      <w:r>
        <w:rPr>
          <w:spacing w:val="1"/>
        </w:rPr>
        <w:t>ţ</w:t>
      </w:r>
      <w:r>
        <w:rPr>
          <w:spacing w:val="-2"/>
        </w:rPr>
        <w:t>ii</w:t>
      </w:r>
      <w:r>
        <w:rPr>
          <w:spacing w:val="1"/>
        </w:rPr>
        <w:t>l</w:t>
      </w:r>
      <w:r>
        <w:t>or</w:t>
      </w:r>
      <w:r>
        <w:rPr>
          <w:spacing w:val="-2"/>
        </w:rPr>
        <w:t xml:space="preserve"> </w:t>
      </w:r>
      <w:r>
        <w:t xml:space="preserve">a </w:t>
      </w:r>
      <w:r>
        <w:rPr>
          <w:spacing w:val="-2"/>
        </w:rPr>
        <w:t>f</w:t>
      </w:r>
      <w:r>
        <w:t>ost</w:t>
      </w:r>
      <w:r>
        <w:rPr>
          <w:spacing w:val="1"/>
        </w:rPr>
        <w:t xml:space="preserve"> </w:t>
      </w:r>
      <w:r>
        <w:t>e</w:t>
      </w:r>
      <w:r>
        <w:rPr>
          <w:spacing w:val="-3"/>
        </w:rPr>
        <w:t>v</w:t>
      </w:r>
      <w:r>
        <w:t>a</w:t>
      </w:r>
      <w:r>
        <w:rPr>
          <w:spacing w:val="-2"/>
        </w:rPr>
        <w:t>l</w:t>
      </w:r>
      <w:r>
        <w:t>ua</w:t>
      </w:r>
      <w:r>
        <w:rPr>
          <w:spacing w:val="-2"/>
        </w:rPr>
        <w:t>t</w:t>
      </w:r>
      <w:r>
        <w:t xml:space="preserve">ă </w:t>
      </w:r>
      <w:r>
        <w:rPr>
          <w:spacing w:val="-2"/>
        </w:rPr>
        <w:t>r</w:t>
      </w:r>
      <w:r>
        <w:t>ad</w:t>
      </w:r>
      <w:r>
        <w:rPr>
          <w:spacing w:val="1"/>
        </w:rPr>
        <w:t>i</w:t>
      </w:r>
      <w:r>
        <w:rPr>
          <w:spacing w:val="-3"/>
        </w:rPr>
        <w:t>o</w:t>
      </w:r>
      <w:r>
        <w:rPr>
          <w:spacing w:val="1"/>
        </w:rPr>
        <w:t>l</w:t>
      </w:r>
      <w:r>
        <w:t>o</w:t>
      </w:r>
      <w:r>
        <w:rPr>
          <w:spacing w:val="-3"/>
        </w:rPr>
        <w:t>g</w:t>
      </w:r>
      <w:r>
        <w:rPr>
          <w:spacing w:val="1"/>
        </w:rPr>
        <w:t>i</w:t>
      </w:r>
      <w:r>
        <w:t>c</w:t>
      </w:r>
      <w:r>
        <w:rPr>
          <w:spacing w:val="-2"/>
        </w:rPr>
        <w:t xml:space="preserve"> </w:t>
      </w:r>
      <w:r>
        <w:t>şi</w:t>
      </w:r>
      <w:r>
        <w:rPr>
          <w:spacing w:val="1"/>
        </w:rPr>
        <w:t xml:space="preserve"> </w:t>
      </w:r>
      <w:r>
        <w:t>a</w:t>
      </w:r>
      <w:r>
        <w:rPr>
          <w:spacing w:val="-5"/>
        </w:rPr>
        <w:t xml:space="preserve"> </w:t>
      </w:r>
      <w:r>
        <w:t>fost</w:t>
      </w:r>
      <w:r>
        <w:rPr>
          <w:spacing w:val="-2"/>
        </w:rPr>
        <w:t xml:space="preserve"> </w:t>
      </w:r>
      <w:r>
        <w:t>f</w:t>
      </w:r>
      <w:r>
        <w:rPr>
          <w:spacing w:val="-3"/>
        </w:rPr>
        <w:t>o</w:t>
      </w:r>
      <w:r>
        <w:t>r</w:t>
      </w:r>
      <w:r>
        <w:rPr>
          <w:spacing w:val="-4"/>
        </w:rPr>
        <w:t>m</w:t>
      </w:r>
      <w:r>
        <w:t>u</w:t>
      </w:r>
      <w:r>
        <w:rPr>
          <w:spacing w:val="1"/>
        </w:rPr>
        <w:t>l</w:t>
      </w:r>
      <w:r>
        <w:t>a</w:t>
      </w:r>
      <w:r>
        <w:rPr>
          <w:spacing w:val="1"/>
        </w:rPr>
        <w:t>t</w:t>
      </w:r>
      <w:r>
        <w:t>ă</w:t>
      </w:r>
      <w:r>
        <w:rPr>
          <w:spacing w:val="-2"/>
        </w:rPr>
        <w:t xml:space="preserve"> </w:t>
      </w:r>
      <w:r>
        <w:t>ca sch</w:t>
      </w:r>
      <w:r>
        <w:rPr>
          <w:spacing w:val="1"/>
        </w:rPr>
        <w:t>i</w:t>
      </w:r>
      <w:r>
        <w:rPr>
          <w:spacing w:val="-4"/>
        </w:rPr>
        <w:t>m</w:t>
      </w:r>
      <w:r>
        <w:rPr>
          <w:spacing w:val="-1"/>
        </w:rPr>
        <w:t>b</w:t>
      </w:r>
      <w:r>
        <w:t>are</w:t>
      </w:r>
      <w:r>
        <w:rPr>
          <w:spacing w:val="-2"/>
        </w:rPr>
        <w:t xml:space="preserve"> </w:t>
      </w:r>
      <w:r>
        <w:rPr>
          <w:spacing w:val="1"/>
        </w:rPr>
        <w:t>î</w:t>
      </w:r>
      <w:r>
        <w:t xml:space="preserve">n </w:t>
      </w:r>
      <w:r>
        <w:rPr>
          <w:spacing w:val="-1"/>
        </w:rPr>
        <w:t>S</w:t>
      </w:r>
      <w:r>
        <w:rPr>
          <w:spacing w:val="-3"/>
        </w:rPr>
        <w:t>c</w:t>
      </w:r>
      <w:r>
        <w:t>or</w:t>
      </w:r>
      <w:r>
        <w:rPr>
          <w:spacing w:val="-3"/>
        </w:rPr>
        <w:t>u</w:t>
      </w:r>
      <w:r>
        <w:t>l</w:t>
      </w:r>
      <w:r>
        <w:rPr>
          <w:spacing w:val="1"/>
        </w:rPr>
        <w:t xml:space="preserve"> </w:t>
      </w:r>
      <w:r>
        <w:rPr>
          <w:spacing w:val="-1"/>
        </w:rPr>
        <w:t>S</w:t>
      </w:r>
      <w:r>
        <w:t>h</w:t>
      </w:r>
      <w:r>
        <w:rPr>
          <w:spacing w:val="-3"/>
        </w:rPr>
        <w:t>a</w:t>
      </w:r>
      <w:r>
        <w:t>rp</w:t>
      </w:r>
      <w:r>
        <w:rPr>
          <w:spacing w:val="-3"/>
        </w:rPr>
        <w:t xml:space="preserve"> </w:t>
      </w:r>
      <w:r>
        <w:rPr>
          <w:spacing w:val="1"/>
        </w:rPr>
        <w:t>T</w:t>
      </w:r>
      <w:r>
        <w:rPr>
          <w:spacing w:val="-3"/>
        </w:rPr>
        <w:t>o</w:t>
      </w:r>
      <w:r>
        <w:rPr>
          <w:spacing w:val="1"/>
        </w:rPr>
        <w:t>t</w:t>
      </w:r>
      <w:r>
        <w:rPr>
          <w:spacing w:val="-3"/>
        </w:rPr>
        <w:t>a</w:t>
      </w:r>
      <w:r>
        <w:t>l</w:t>
      </w:r>
      <w:r>
        <w:rPr>
          <w:spacing w:val="1"/>
        </w:rPr>
        <w:t xml:space="preserve"> </w:t>
      </w:r>
      <w:r>
        <w:t>(</w:t>
      </w:r>
      <w:r>
        <w:rPr>
          <w:spacing w:val="-3"/>
        </w:rPr>
        <w:t>v</w:t>
      </w:r>
      <w:r>
        <w:t>e</w:t>
      </w:r>
      <w:r>
        <w:rPr>
          <w:spacing w:val="-3"/>
        </w:rPr>
        <w:t>z</w:t>
      </w:r>
      <w:r>
        <w:t>i</w:t>
      </w:r>
      <w:r>
        <w:rPr>
          <w:spacing w:val="1"/>
        </w:rPr>
        <w:t xml:space="preserve"> t</w:t>
      </w:r>
      <w:r>
        <w:t>a</w:t>
      </w:r>
      <w:r>
        <w:rPr>
          <w:spacing w:val="-3"/>
        </w:rPr>
        <w:t>b</w:t>
      </w:r>
      <w:r>
        <w:t>e</w:t>
      </w:r>
      <w:r>
        <w:rPr>
          <w:spacing w:val="1"/>
        </w:rPr>
        <w:t>l</w:t>
      </w:r>
      <w:r>
        <w:rPr>
          <w:spacing w:val="-3"/>
        </w:rPr>
        <w:t>u</w:t>
      </w:r>
      <w:r>
        <w:t>l</w:t>
      </w:r>
      <w:r>
        <w:rPr>
          <w:spacing w:val="1"/>
        </w:rPr>
        <w:t xml:space="preserve"> </w:t>
      </w:r>
      <w:r>
        <w:rPr>
          <w:spacing w:val="-4"/>
        </w:rPr>
        <w:t>11</w:t>
      </w:r>
      <w:r>
        <w:t>).</w:t>
      </w:r>
    </w:p>
    <w:p w14:paraId="7F8495AF" w14:textId="77777777" w:rsidR="00C04CAD" w:rsidRDefault="00C04CAD">
      <w:pPr>
        <w:autoSpaceDE w:val="0"/>
        <w:autoSpaceDN w:val="0"/>
        <w:adjustRightInd w:val="0"/>
        <w:spacing w:line="240" w:lineRule="auto"/>
      </w:pPr>
    </w:p>
    <w:p w14:paraId="1C6F6319" w14:textId="77777777" w:rsidR="00C04CAD" w:rsidRDefault="00060E34">
      <w:pPr>
        <w:keepNext/>
        <w:autoSpaceDE w:val="0"/>
        <w:autoSpaceDN w:val="0"/>
        <w:adjustRightInd w:val="0"/>
        <w:spacing w:line="240" w:lineRule="auto"/>
        <w:rPr>
          <w:b/>
        </w:rPr>
      </w:pPr>
      <w:r>
        <w:rPr>
          <w:b/>
          <w:spacing w:val="-1"/>
        </w:rPr>
        <w:t>T</w:t>
      </w:r>
      <w:r>
        <w:rPr>
          <w:b/>
        </w:rPr>
        <w:t>a</w:t>
      </w:r>
      <w:r>
        <w:rPr>
          <w:b/>
          <w:spacing w:val="-1"/>
        </w:rPr>
        <w:t>b</w:t>
      </w:r>
      <w:r>
        <w:rPr>
          <w:b/>
        </w:rPr>
        <w:t>e</w:t>
      </w:r>
      <w:r>
        <w:rPr>
          <w:b/>
          <w:spacing w:val="1"/>
        </w:rPr>
        <w:t>l</w:t>
      </w:r>
      <w:r>
        <w:rPr>
          <w:b/>
          <w:spacing w:val="-1"/>
        </w:rPr>
        <w:t>u</w:t>
      </w:r>
      <w:r>
        <w:rPr>
          <w:b/>
          <w:bCs/>
        </w:rPr>
        <w:t xml:space="preserve">l 11. </w:t>
      </w:r>
      <w:r>
        <w:rPr>
          <w:b/>
        </w:rPr>
        <w:t>Mo</w:t>
      </w:r>
      <w:r>
        <w:rPr>
          <w:b/>
          <w:spacing w:val="-1"/>
        </w:rPr>
        <w:t>d</w:t>
      </w:r>
      <w:r>
        <w:rPr>
          <w:b/>
          <w:spacing w:val="-2"/>
        </w:rPr>
        <w:t>i</w:t>
      </w:r>
      <w:r>
        <w:rPr>
          <w:b/>
        </w:rPr>
        <w:t>f</w:t>
      </w:r>
      <w:r>
        <w:rPr>
          <w:b/>
          <w:spacing w:val="1"/>
        </w:rPr>
        <w:t>i</w:t>
      </w:r>
      <w:r>
        <w:rPr>
          <w:b/>
          <w:spacing w:val="-3"/>
        </w:rPr>
        <w:t>c</w:t>
      </w:r>
      <w:r>
        <w:rPr>
          <w:b/>
        </w:rPr>
        <w:t>ări</w:t>
      </w:r>
      <w:r>
        <w:rPr>
          <w:b/>
          <w:spacing w:val="-2"/>
        </w:rPr>
        <w:t xml:space="preserve"> m</w:t>
      </w:r>
      <w:r>
        <w:rPr>
          <w:b/>
        </w:rPr>
        <w:t>e</w:t>
      </w:r>
      <w:r>
        <w:rPr>
          <w:b/>
          <w:spacing w:val="-1"/>
        </w:rPr>
        <w:t>d</w:t>
      </w:r>
      <w:r>
        <w:rPr>
          <w:b/>
          <w:spacing w:val="-2"/>
        </w:rPr>
        <w:t>i</w:t>
      </w:r>
      <w:r>
        <w:rPr>
          <w:b/>
        </w:rPr>
        <w:t>i</w:t>
      </w:r>
      <w:r>
        <w:rPr>
          <w:b/>
          <w:spacing w:val="1"/>
        </w:rPr>
        <w:t xml:space="preserve"> </w:t>
      </w:r>
      <w:r>
        <w:rPr>
          <w:b/>
        </w:rPr>
        <w:t>ra</w:t>
      </w:r>
      <w:r>
        <w:rPr>
          <w:b/>
          <w:spacing w:val="-3"/>
        </w:rPr>
        <w:t>d</w:t>
      </w:r>
      <w:r>
        <w:rPr>
          <w:b/>
          <w:spacing w:val="1"/>
        </w:rPr>
        <w:t>i</w:t>
      </w:r>
      <w:r>
        <w:rPr>
          <w:b/>
        </w:rPr>
        <w:t>og</w:t>
      </w:r>
      <w:r>
        <w:rPr>
          <w:b/>
          <w:spacing w:val="-3"/>
        </w:rPr>
        <w:t>ra</w:t>
      </w:r>
      <w:r>
        <w:rPr>
          <w:b/>
        </w:rPr>
        <w:t>f</w:t>
      </w:r>
      <w:r>
        <w:rPr>
          <w:b/>
          <w:spacing w:val="1"/>
        </w:rPr>
        <w:t>i</w:t>
      </w:r>
      <w:r>
        <w:rPr>
          <w:b/>
          <w:spacing w:val="-3"/>
        </w:rPr>
        <w:t>c</w:t>
      </w:r>
      <w:r>
        <w:rPr>
          <w:b/>
        </w:rPr>
        <w:t xml:space="preserve">e </w:t>
      </w:r>
      <w:r>
        <w:rPr>
          <w:b/>
          <w:spacing w:val="1"/>
        </w:rPr>
        <w:t>î</w:t>
      </w:r>
      <w:r>
        <w:rPr>
          <w:b/>
        </w:rPr>
        <w:t>n</w:t>
      </w:r>
      <w:r>
        <w:rPr>
          <w:b/>
          <w:spacing w:val="-1"/>
        </w:rPr>
        <w:t xml:space="preserve"> </w:t>
      </w:r>
      <w:r>
        <w:rPr>
          <w:b/>
          <w:spacing w:val="-3"/>
        </w:rPr>
        <w:t>s</w:t>
      </w:r>
      <w:r>
        <w:rPr>
          <w:b/>
        </w:rPr>
        <w:t>ă</w:t>
      </w:r>
      <w:r>
        <w:rPr>
          <w:b/>
          <w:spacing w:val="-1"/>
        </w:rPr>
        <w:t>p</w:t>
      </w:r>
      <w:r>
        <w:rPr>
          <w:b/>
        </w:rPr>
        <w:t>t</w:t>
      </w:r>
      <w:r>
        <w:rPr>
          <w:b/>
          <w:spacing w:val="-3"/>
        </w:rPr>
        <w:t>ă</w:t>
      </w:r>
      <w:r>
        <w:rPr>
          <w:b/>
        </w:rPr>
        <w:t>mâ</w:t>
      </w:r>
      <w:r>
        <w:rPr>
          <w:b/>
          <w:spacing w:val="-1"/>
        </w:rPr>
        <w:t>n</w:t>
      </w:r>
      <w:r>
        <w:rPr>
          <w:b/>
        </w:rPr>
        <w:t xml:space="preserve">a </w:t>
      </w:r>
      <w:r>
        <w:rPr>
          <w:b/>
          <w:spacing w:val="-3"/>
        </w:rPr>
        <w:t>5</w:t>
      </w:r>
      <w:r>
        <w:rPr>
          <w:b/>
        </w:rPr>
        <w:t xml:space="preserve">2, </w:t>
      </w:r>
      <w:r>
        <w:rPr>
          <w:b/>
          <w:spacing w:val="1"/>
        </w:rPr>
        <w:t>î</w:t>
      </w:r>
      <w:r>
        <w:rPr>
          <w:b/>
        </w:rPr>
        <w:t>n</w:t>
      </w:r>
      <w:r>
        <w:rPr>
          <w:b/>
          <w:spacing w:val="-3"/>
        </w:rPr>
        <w:t xml:space="preserve"> c</w:t>
      </w:r>
      <w:r>
        <w:rPr>
          <w:b/>
        </w:rPr>
        <w:t>a</w:t>
      </w:r>
      <w:r>
        <w:rPr>
          <w:b/>
          <w:spacing w:val="-1"/>
        </w:rPr>
        <w:t>d</w:t>
      </w:r>
      <w:r>
        <w:rPr>
          <w:b/>
        </w:rPr>
        <w:t>r</w:t>
      </w:r>
      <w:r>
        <w:rPr>
          <w:b/>
          <w:spacing w:val="-1"/>
        </w:rPr>
        <w:t>u</w:t>
      </w:r>
      <w:r>
        <w:rPr>
          <w:b/>
        </w:rPr>
        <w:t>l</w:t>
      </w:r>
      <w:r>
        <w:rPr>
          <w:b/>
          <w:spacing w:val="1"/>
        </w:rPr>
        <w:t xml:space="preserve"> </w:t>
      </w:r>
      <w:r>
        <w:rPr>
          <w:b/>
          <w:spacing w:val="-3"/>
        </w:rPr>
        <w:t>S</w:t>
      </w:r>
      <w:r>
        <w:rPr>
          <w:b/>
        </w:rPr>
        <w:t>t</w:t>
      </w:r>
      <w:r>
        <w:rPr>
          <w:b/>
          <w:spacing w:val="-1"/>
        </w:rPr>
        <w:t>ud</w:t>
      </w:r>
      <w:r>
        <w:rPr>
          <w:b/>
          <w:spacing w:val="1"/>
        </w:rPr>
        <w:t>i</w:t>
      </w:r>
      <w:r>
        <w:rPr>
          <w:b/>
          <w:spacing w:val="-3"/>
        </w:rPr>
        <w:t>u</w:t>
      </w:r>
      <w:r>
        <w:rPr>
          <w:b/>
          <w:spacing w:val="1"/>
        </w:rPr>
        <w:t>l</w:t>
      </w:r>
      <w:r>
        <w:rPr>
          <w:b/>
          <w:spacing w:val="-1"/>
        </w:rPr>
        <w:t>u</w:t>
      </w:r>
      <w:r>
        <w:rPr>
          <w:b/>
        </w:rPr>
        <w:t>i</w:t>
      </w:r>
      <w:r>
        <w:rPr>
          <w:b/>
          <w:spacing w:val="-2"/>
        </w:rPr>
        <w:t xml:space="preserve"> </w:t>
      </w:r>
      <w:r>
        <w:rPr>
          <w:b/>
          <w:spacing w:val="1"/>
        </w:rPr>
        <w:t>P</w:t>
      </w:r>
      <w:r>
        <w:rPr>
          <w:b/>
        </w:rPr>
        <w:t>R</w:t>
      </w:r>
      <w:r>
        <w:rPr>
          <w:b/>
          <w:spacing w:val="-1"/>
        </w:rPr>
        <w:t xml:space="preserve"> </w:t>
      </w:r>
      <w:r>
        <w:rPr>
          <w:b/>
        </w:rPr>
        <w:t>V</w:t>
      </w:r>
    </w:p>
    <w:p w14:paraId="783967C2" w14:textId="77777777" w:rsidR="00C04CAD" w:rsidRDefault="00C04CAD">
      <w:pPr>
        <w:keepNext/>
        <w:autoSpaceDE w:val="0"/>
        <w:autoSpaceDN w:val="0"/>
        <w:adjustRightInd w:val="0"/>
        <w:spacing w:line="240" w:lineRule="auto"/>
      </w:pPr>
    </w:p>
    <w:tbl>
      <w:tblPr>
        <w:tblW w:w="5076" w:type="pct"/>
        <w:tblLayout w:type="fixed"/>
        <w:tblCellMar>
          <w:left w:w="0" w:type="dxa"/>
          <w:right w:w="0" w:type="dxa"/>
        </w:tblCellMar>
        <w:tblLook w:val="04A0" w:firstRow="1" w:lastRow="0" w:firstColumn="1" w:lastColumn="0" w:noHBand="0" w:noVBand="1"/>
      </w:tblPr>
      <w:tblGrid>
        <w:gridCol w:w="1456"/>
        <w:gridCol w:w="1503"/>
        <w:gridCol w:w="1490"/>
        <w:gridCol w:w="1641"/>
        <w:gridCol w:w="955"/>
        <w:gridCol w:w="903"/>
        <w:gridCol w:w="1251"/>
      </w:tblGrid>
      <w:tr w:rsidR="00C04CAD" w14:paraId="044500D1" w14:textId="77777777">
        <w:trPr>
          <w:trHeight w:hRule="exact" w:val="1134"/>
        </w:trPr>
        <w:tc>
          <w:tcPr>
            <w:tcW w:w="791" w:type="pct"/>
            <w:tcBorders>
              <w:top w:val="single" w:sz="4" w:space="0" w:color="000000"/>
              <w:left w:val="single" w:sz="4" w:space="0" w:color="000000"/>
              <w:bottom w:val="single" w:sz="4" w:space="0" w:color="000000"/>
              <w:right w:val="single" w:sz="4" w:space="0" w:color="000000"/>
            </w:tcBorders>
          </w:tcPr>
          <w:p w14:paraId="4D4E67B9" w14:textId="77777777" w:rsidR="00C04CAD" w:rsidRDefault="00C04CAD">
            <w:pPr>
              <w:keepNext/>
              <w:tabs>
                <w:tab w:val="clear" w:pos="567"/>
              </w:tabs>
              <w:autoSpaceDE w:val="0"/>
              <w:autoSpaceDN w:val="0"/>
              <w:adjustRightInd w:val="0"/>
              <w:spacing w:line="240" w:lineRule="auto"/>
              <w:rPr>
                <w:sz w:val="24"/>
              </w:rPr>
            </w:pPr>
          </w:p>
        </w:tc>
        <w:tc>
          <w:tcPr>
            <w:tcW w:w="817" w:type="pct"/>
            <w:tcBorders>
              <w:top w:val="single" w:sz="4" w:space="0" w:color="000000"/>
              <w:left w:val="single" w:sz="4" w:space="0" w:color="000000"/>
              <w:bottom w:val="single" w:sz="4" w:space="0" w:color="000000"/>
              <w:right w:val="single" w:sz="4" w:space="0" w:color="000000"/>
            </w:tcBorders>
          </w:tcPr>
          <w:p w14:paraId="53EE13ED"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zCs w:val="22"/>
              </w:rPr>
              <w:t>M</w:t>
            </w:r>
            <w:r>
              <w:rPr>
                <w:b/>
                <w:spacing w:val="-1"/>
                <w:szCs w:val="22"/>
              </w:rPr>
              <w:t>TX</w:t>
            </w:r>
          </w:p>
          <w:p w14:paraId="6F7F3E44"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pacing w:val="-1"/>
                <w:szCs w:val="22"/>
              </w:rPr>
              <w:t>n</w:t>
            </w:r>
            <w:r>
              <w:rPr>
                <w:b/>
                <w:spacing w:val="-2"/>
                <w:szCs w:val="22"/>
              </w:rPr>
              <w:t>=</w:t>
            </w:r>
            <w:r>
              <w:rPr>
                <w:b/>
                <w:szCs w:val="22"/>
              </w:rPr>
              <w:t>257</w:t>
            </w:r>
          </w:p>
          <w:p w14:paraId="7F84A85E"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zCs w:val="22"/>
              </w:rPr>
              <w:t>(95%</w:t>
            </w:r>
            <w:r>
              <w:rPr>
                <w:b/>
                <w:spacing w:val="-3"/>
                <w:szCs w:val="22"/>
              </w:rPr>
              <w:t xml:space="preserve"> </w:t>
            </w:r>
            <w:r>
              <w:rPr>
                <w:b/>
                <w:spacing w:val="1"/>
                <w:szCs w:val="22"/>
              </w:rPr>
              <w:t>i</w:t>
            </w:r>
            <w:r>
              <w:rPr>
                <w:b/>
                <w:spacing w:val="-1"/>
                <w:szCs w:val="22"/>
              </w:rPr>
              <w:t>n</w:t>
            </w:r>
            <w:r>
              <w:rPr>
                <w:b/>
                <w:spacing w:val="-2"/>
                <w:szCs w:val="22"/>
              </w:rPr>
              <w:t>t</w:t>
            </w:r>
            <w:r>
              <w:rPr>
                <w:b/>
                <w:szCs w:val="22"/>
              </w:rPr>
              <w:t>erv</w:t>
            </w:r>
            <w:r>
              <w:rPr>
                <w:b/>
                <w:spacing w:val="-3"/>
                <w:szCs w:val="22"/>
              </w:rPr>
              <w:t>a</w:t>
            </w:r>
            <w:r>
              <w:rPr>
                <w:b/>
                <w:szCs w:val="22"/>
              </w:rPr>
              <w:t xml:space="preserve">l </w:t>
            </w:r>
            <w:r>
              <w:rPr>
                <w:b/>
                <w:spacing w:val="-1"/>
                <w:szCs w:val="22"/>
              </w:rPr>
              <w:t>d</w:t>
            </w:r>
            <w:r>
              <w:rPr>
                <w:b/>
                <w:szCs w:val="22"/>
              </w:rPr>
              <w:t xml:space="preserve">e </w:t>
            </w:r>
            <w:r>
              <w:rPr>
                <w:rFonts w:eastAsia="MS Mincho"/>
                <w:b/>
                <w:spacing w:val="1"/>
                <w:szCs w:val="22"/>
                <w:lang w:eastAsia="en-US" w:bidi="ar-SA"/>
              </w:rPr>
              <w:t>î</w:t>
            </w:r>
            <w:r>
              <w:rPr>
                <w:rFonts w:eastAsia="MS Mincho"/>
                <w:b/>
                <w:bCs/>
                <w:szCs w:val="22"/>
                <w:lang w:eastAsia="en-US" w:bidi="ar-SA"/>
              </w:rPr>
              <w:t>ncredere</w:t>
            </w:r>
            <w:r>
              <w:rPr>
                <w:b/>
                <w:szCs w:val="22"/>
              </w:rPr>
              <w:t>)</w:t>
            </w:r>
          </w:p>
        </w:tc>
        <w:tc>
          <w:tcPr>
            <w:tcW w:w="810" w:type="pct"/>
            <w:tcBorders>
              <w:top w:val="single" w:sz="4" w:space="0" w:color="000000"/>
              <w:left w:val="single" w:sz="4" w:space="0" w:color="000000"/>
              <w:bottom w:val="single" w:sz="4" w:space="0" w:color="000000"/>
              <w:right w:val="single" w:sz="4" w:space="0" w:color="000000"/>
            </w:tcBorders>
          </w:tcPr>
          <w:p w14:paraId="1F3C0D1F" w14:textId="77777777" w:rsidR="00C04CAD" w:rsidRDefault="00060E34">
            <w:pPr>
              <w:keepNext/>
              <w:tabs>
                <w:tab w:val="clear" w:pos="567"/>
              </w:tabs>
              <w:kinsoku w:val="0"/>
              <w:overflowPunct w:val="0"/>
              <w:autoSpaceDE w:val="0"/>
              <w:autoSpaceDN w:val="0"/>
              <w:adjustRightInd w:val="0"/>
              <w:spacing w:line="240" w:lineRule="auto"/>
              <w:ind w:left="99"/>
              <w:jc w:val="center"/>
              <w:rPr>
                <w:rFonts w:eastAsia="MS Mincho"/>
                <w:szCs w:val="22"/>
                <w:lang w:eastAsia="en-US" w:bidi="ar-SA"/>
              </w:rPr>
            </w:pPr>
            <w:r>
              <w:rPr>
                <w:rFonts w:eastAsia="MS Mincho"/>
                <w:b/>
                <w:spacing w:val="-1"/>
                <w:szCs w:val="22"/>
                <w:lang w:eastAsia="en-US" w:bidi="ar-SA"/>
              </w:rPr>
              <w:t>Adalimumab</w:t>
            </w:r>
          </w:p>
          <w:p w14:paraId="5DD0122F" w14:textId="77777777" w:rsidR="00C04CAD" w:rsidRDefault="00060E34">
            <w:pPr>
              <w:keepNext/>
              <w:tabs>
                <w:tab w:val="clear" w:pos="567"/>
              </w:tabs>
              <w:kinsoku w:val="0"/>
              <w:overflowPunct w:val="0"/>
              <w:autoSpaceDE w:val="0"/>
              <w:autoSpaceDN w:val="0"/>
              <w:adjustRightInd w:val="0"/>
              <w:spacing w:line="240" w:lineRule="auto"/>
              <w:ind w:left="99"/>
              <w:jc w:val="center"/>
              <w:rPr>
                <w:szCs w:val="22"/>
              </w:rPr>
            </w:pPr>
            <w:r>
              <w:rPr>
                <w:b/>
                <w:spacing w:val="-1"/>
                <w:szCs w:val="22"/>
              </w:rPr>
              <w:t>n</w:t>
            </w:r>
            <w:r>
              <w:rPr>
                <w:b/>
                <w:spacing w:val="-2"/>
                <w:szCs w:val="22"/>
              </w:rPr>
              <w:t>=</w:t>
            </w:r>
            <w:r>
              <w:rPr>
                <w:b/>
                <w:szCs w:val="22"/>
              </w:rPr>
              <w:t>274</w:t>
            </w:r>
          </w:p>
          <w:p w14:paraId="1256908F" w14:textId="77777777" w:rsidR="00C04CAD" w:rsidRDefault="00060E34">
            <w:pPr>
              <w:keepNext/>
              <w:tabs>
                <w:tab w:val="clear" w:pos="567"/>
              </w:tabs>
              <w:kinsoku w:val="0"/>
              <w:overflowPunct w:val="0"/>
              <w:autoSpaceDE w:val="0"/>
              <w:autoSpaceDN w:val="0"/>
              <w:adjustRightInd w:val="0"/>
              <w:spacing w:line="240" w:lineRule="auto"/>
              <w:ind w:left="99"/>
              <w:jc w:val="center"/>
            </w:pPr>
            <w:r>
              <w:rPr>
                <w:b/>
                <w:szCs w:val="22"/>
              </w:rPr>
              <w:t>(95%</w:t>
            </w:r>
            <w:r>
              <w:rPr>
                <w:b/>
                <w:spacing w:val="-3"/>
                <w:szCs w:val="22"/>
              </w:rPr>
              <w:t xml:space="preserve"> </w:t>
            </w:r>
            <w:r>
              <w:rPr>
                <w:b/>
                <w:spacing w:val="1"/>
                <w:szCs w:val="22"/>
              </w:rPr>
              <w:t>i</w:t>
            </w:r>
            <w:r>
              <w:rPr>
                <w:b/>
                <w:spacing w:val="-1"/>
                <w:szCs w:val="22"/>
              </w:rPr>
              <w:t>n</w:t>
            </w:r>
            <w:r>
              <w:rPr>
                <w:b/>
                <w:spacing w:val="-2"/>
                <w:szCs w:val="22"/>
              </w:rPr>
              <w:t>t</w:t>
            </w:r>
            <w:r>
              <w:rPr>
                <w:b/>
                <w:szCs w:val="22"/>
              </w:rPr>
              <w:t>erv</w:t>
            </w:r>
            <w:r>
              <w:rPr>
                <w:b/>
                <w:spacing w:val="-3"/>
                <w:szCs w:val="22"/>
              </w:rPr>
              <w:t>a</w:t>
            </w:r>
            <w:r>
              <w:rPr>
                <w:b/>
                <w:szCs w:val="22"/>
              </w:rPr>
              <w:t xml:space="preserve">l </w:t>
            </w:r>
            <w:r>
              <w:rPr>
                <w:b/>
                <w:spacing w:val="-1"/>
                <w:szCs w:val="22"/>
              </w:rPr>
              <w:t>d</w:t>
            </w:r>
            <w:r>
              <w:rPr>
                <w:b/>
                <w:szCs w:val="22"/>
              </w:rPr>
              <w:t xml:space="preserve">e </w:t>
            </w:r>
            <w:r>
              <w:rPr>
                <w:rFonts w:eastAsia="MS Mincho"/>
                <w:b/>
                <w:spacing w:val="1"/>
                <w:szCs w:val="22"/>
                <w:lang w:eastAsia="en-US" w:bidi="ar-SA"/>
              </w:rPr>
              <w:t>î</w:t>
            </w:r>
            <w:r>
              <w:rPr>
                <w:rFonts w:eastAsia="MS Mincho"/>
                <w:b/>
                <w:bCs/>
                <w:szCs w:val="22"/>
                <w:lang w:eastAsia="en-US" w:bidi="ar-SA"/>
              </w:rPr>
              <w:t>ncredere</w:t>
            </w:r>
            <w:r>
              <w:rPr>
                <w:b/>
                <w:szCs w:val="22"/>
              </w:rPr>
              <w:t>)</w:t>
            </w:r>
          </w:p>
        </w:tc>
        <w:tc>
          <w:tcPr>
            <w:tcW w:w="892" w:type="pct"/>
            <w:tcBorders>
              <w:top w:val="single" w:sz="4" w:space="0" w:color="000000"/>
              <w:left w:val="single" w:sz="4" w:space="0" w:color="000000"/>
              <w:bottom w:val="single" w:sz="4" w:space="0" w:color="000000"/>
              <w:right w:val="single" w:sz="4" w:space="0" w:color="000000"/>
            </w:tcBorders>
          </w:tcPr>
          <w:p w14:paraId="1DF47E9D"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rFonts w:eastAsia="MS Mincho"/>
                <w:b/>
                <w:spacing w:val="-1"/>
                <w:szCs w:val="22"/>
                <w:lang w:eastAsia="en-US" w:bidi="ar-SA"/>
              </w:rPr>
              <w:t>Adalimumab</w:t>
            </w:r>
            <w:r>
              <w:rPr>
                <w:b/>
                <w:szCs w:val="22"/>
              </w:rPr>
              <w:t>/</w:t>
            </w:r>
          </w:p>
          <w:p w14:paraId="47AA1D82"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zCs w:val="22"/>
              </w:rPr>
              <w:t>M</w:t>
            </w:r>
            <w:r>
              <w:rPr>
                <w:b/>
                <w:spacing w:val="-1"/>
                <w:szCs w:val="22"/>
              </w:rPr>
              <w:t>TX n</w:t>
            </w:r>
            <w:r>
              <w:rPr>
                <w:b/>
                <w:spacing w:val="-2"/>
                <w:szCs w:val="22"/>
              </w:rPr>
              <w:t>=</w:t>
            </w:r>
            <w:r>
              <w:rPr>
                <w:b/>
                <w:szCs w:val="22"/>
              </w:rPr>
              <w:t>268</w:t>
            </w:r>
          </w:p>
          <w:p w14:paraId="643AE136"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zCs w:val="22"/>
              </w:rPr>
              <w:t>(</w:t>
            </w:r>
            <w:r>
              <w:rPr>
                <w:rFonts w:eastAsia="MS Mincho"/>
                <w:b/>
                <w:bCs/>
                <w:spacing w:val="1"/>
                <w:szCs w:val="22"/>
                <w:lang w:eastAsia="en-US" w:bidi="ar-SA"/>
              </w:rPr>
              <w:t>I</w:t>
            </w:r>
            <w:r>
              <w:rPr>
                <w:rFonts w:eastAsia="MS Mincho"/>
                <w:b/>
                <w:bCs/>
                <w:spacing w:val="-1"/>
                <w:szCs w:val="22"/>
                <w:lang w:eastAsia="en-US" w:bidi="ar-SA"/>
              </w:rPr>
              <w:t>n</w:t>
            </w:r>
            <w:r>
              <w:rPr>
                <w:rFonts w:eastAsia="MS Mincho"/>
                <w:b/>
                <w:bCs/>
                <w:spacing w:val="-2"/>
                <w:szCs w:val="22"/>
                <w:lang w:eastAsia="en-US" w:bidi="ar-SA"/>
              </w:rPr>
              <w:t>t</w:t>
            </w:r>
            <w:r>
              <w:rPr>
                <w:rFonts w:eastAsia="MS Mincho"/>
                <w:b/>
                <w:bCs/>
                <w:szCs w:val="22"/>
                <w:lang w:eastAsia="en-US" w:bidi="ar-SA"/>
              </w:rPr>
              <w:t>erv</w:t>
            </w:r>
            <w:r>
              <w:rPr>
                <w:rFonts w:eastAsia="MS Mincho"/>
                <w:b/>
                <w:bCs/>
                <w:spacing w:val="-3"/>
                <w:szCs w:val="22"/>
                <w:lang w:eastAsia="en-US" w:bidi="ar-SA"/>
              </w:rPr>
              <w:t>a</w:t>
            </w:r>
            <w:r>
              <w:rPr>
                <w:rFonts w:eastAsia="MS Mincho"/>
                <w:b/>
                <w:bCs/>
                <w:szCs w:val="22"/>
                <w:lang w:eastAsia="en-US" w:bidi="ar-SA"/>
              </w:rPr>
              <w:t>l</w:t>
            </w:r>
            <w:r>
              <w:rPr>
                <w:b/>
                <w:szCs w:val="22"/>
              </w:rPr>
              <w:t xml:space="preserve"> </w:t>
            </w:r>
            <w:r>
              <w:rPr>
                <w:b/>
                <w:spacing w:val="-1"/>
                <w:szCs w:val="22"/>
              </w:rPr>
              <w:t>d</w:t>
            </w:r>
            <w:r>
              <w:rPr>
                <w:b/>
                <w:szCs w:val="22"/>
              </w:rPr>
              <w:t xml:space="preserve">e </w:t>
            </w:r>
            <w:r>
              <w:rPr>
                <w:rFonts w:eastAsia="MS Mincho"/>
                <w:b/>
                <w:spacing w:val="1"/>
                <w:szCs w:val="22"/>
                <w:lang w:eastAsia="en-US" w:bidi="ar-SA"/>
              </w:rPr>
              <w:t>î</w:t>
            </w:r>
            <w:r>
              <w:rPr>
                <w:rFonts w:eastAsia="MS Mincho"/>
                <w:b/>
                <w:bCs/>
                <w:szCs w:val="22"/>
                <w:lang w:eastAsia="en-US" w:bidi="ar-SA"/>
              </w:rPr>
              <w:t>ncredere 95%</w:t>
            </w:r>
            <w:r>
              <w:rPr>
                <w:b/>
              </w:rPr>
              <w:t>)</w:t>
            </w:r>
          </w:p>
        </w:tc>
        <w:tc>
          <w:tcPr>
            <w:tcW w:w="519" w:type="pct"/>
            <w:tcBorders>
              <w:top w:val="single" w:sz="4" w:space="0" w:color="000000"/>
              <w:left w:val="single" w:sz="4" w:space="0" w:color="000000"/>
              <w:bottom w:val="single" w:sz="4" w:space="0" w:color="000000"/>
              <w:right w:val="single" w:sz="4" w:space="0" w:color="000000"/>
            </w:tcBorders>
          </w:tcPr>
          <w:p w14:paraId="41DEBE6B" w14:textId="77777777" w:rsidR="00C04CAD" w:rsidRDefault="00060E34">
            <w:pPr>
              <w:keepNext/>
              <w:tabs>
                <w:tab w:val="clear" w:pos="567"/>
              </w:tabs>
              <w:kinsoku w:val="0"/>
              <w:overflowPunct w:val="0"/>
              <w:autoSpaceDE w:val="0"/>
              <w:autoSpaceDN w:val="0"/>
              <w:adjustRightInd w:val="0"/>
              <w:spacing w:line="240" w:lineRule="auto"/>
              <w:ind w:left="102" w:right="98"/>
              <w:jc w:val="center"/>
            </w:pPr>
            <w:r>
              <w:rPr>
                <w:b/>
              </w:rPr>
              <w:t>va</w:t>
            </w:r>
            <w:r>
              <w:rPr>
                <w:b/>
                <w:spacing w:val="1"/>
              </w:rPr>
              <w:t>lo</w:t>
            </w:r>
            <w:r>
              <w:rPr>
                <w:b/>
              </w:rPr>
              <w:t>a</w:t>
            </w:r>
            <w:r>
              <w:rPr>
                <w:b/>
                <w:spacing w:val="-3"/>
              </w:rPr>
              <w:t>r</w:t>
            </w:r>
            <w:r>
              <w:rPr>
                <w:b/>
              </w:rPr>
              <w:t xml:space="preserve">e </w:t>
            </w:r>
            <w:r>
              <w:rPr>
                <w:b/>
                <w:spacing w:val="-1"/>
              </w:rPr>
              <w:t>p</w:t>
            </w:r>
            <w:r>
              <w:rPr>
                <w:b/>
              </w:rPr>
              <w:t>-</w:t>
            </w:r>
            <w:r>
              <w:rPr>
                <w:b/>
                <w:vertAlign w:val="superscript"/>
              </w:rPr>
              <w:t>a</w:t>
            </w:r>
          </w:p>
        </w:tc>
        <w:tc>
          <w:tcPr>
            <w:tcW w:w="491" w:type="pct"/>
            <w:tcBorders>
              <w:top w:val="single" w:sz="4" w:space="0" w:color="000000"/>
              <w:left w:val="single" w:sz="4" w:space="0" w:color="000000"/>
              <w:bottom w:val="single" w:sz="4" w:space="0" w:color="000000"/>
              <w:right w:val="single" w:sz="4" w:space="0" w:color="000000"/>
            </w:tcBorders>
          </w:tcPr>
          <w:p w14:paraId="193BD4A2" w14:textId="77777777" w:rsidR="00C04CAD" w:rsidRDefault="00060E34">
            <w:pPr>
              <w:keepNext/>
              <w:tabs>
                <w:tab w:val="clear" w:pos="567"/>
              </w:tabs>
              <w:kinsoku w:val="0"/>
              <w:overflowPunct w:val="0"/>
              <w:autoSpaceDE w:val="0"/>
              <w:autoSpaceDN w:val="0"/>
              <w:adjustRightInd w:val="0"/>
              <w:spacing w:line="240" w:lineRule="auto"/>
              <w:ind w:left="102" w:right="6"/>
              <w:jc w:val="center"/>
            </w:pPr>
            <w:r>
              <w:rPr>
                <w:b/>
              </w:rPr>
              <w:t>va</w:t>
            </w:r>
            <w:r>
              <w:rPr>
                <w:b/>
                <w:spacing w:val="1"/>
              </w:rPr>
              <w:t>lo</w:t>
            </w:r>
            <w:r>
              <w:rPr>
                <w:b/>
              </w:rPr>
              <w:t>a</w:t>
            </w:r>
            <w:r>
              <w:rPr>
                <w:b/>
                <w:spacing w:val="-3"/>
              </w:rPr>
              <w:t>r</w:t>
            </w:r>
            <w:r>
              <w:rPr>
                <w:b/>
              </w:rPr>
              <w:t xml:space="preserve">e </w:t>
            </w:r>
            <w:r>
              <w:rPr>
                <w:b/>
                <w:spacing w:val="-1"/>
              </w:rPr>
              <w:t>p</w:t>
            </w:r>
            <w:r>
              <w:rPr>
                <w:b/>
              </w:rPr>
              <w:t>-</w:t>
            </w:r>
            <w:r>
              <w:rPr>
                <w:b/>
                <w:vertAlign w:val="superscript"/>
              </w:rPr>
              <w:t>b</w:t>
            </w:r>
          </w:p>
        </w:tc>
        <w:tc>
          <w:tcPr>
            <w:tcW w:w="679" w:type="pct"/>
            <w:tcBorders>
              <w:top w:val="single" w:sz="4" w:space="0" w:color="000000"/>
              <w:left w:val="single" w:sz="4" w:space="0" w:color="000000"/>
              <w:bottom w:val="single" w:sz="4" w:space="0" w:color="000000"/>
              <w:right w:val="single" w:sz="4" w:space="0" w:color="000000"/>
            </w:tcBorders>
          </w:tcPr>
          <w:p w14:paraId="27590273" w14:textId="77777777" w:rsidR="00C04CAD" w:rsidRDefault="00060E34">
            <w:pPr>
              <w:keepNext/>
              <w:tabs>
                <w:tab w:val="clear" w:pos="567"/>
              </w:tabs>
              <w:kinsoku w:val="0"/>
              <w:overflowPunct w:val="0"/>
              <w:autoSpaceDE w:val="0"/>
              <w:autoSpaceDN w:val="0"/>
              <w:adjustRightInd w:val="0"/>
              <w:spacing w:line="240" w:lineRule="auto"/>
              <w:ind w:left="99"/>
              <w:jc w:val="center"/>
              <w:rPr>
                <w:b/>
                <w:spacing w:val="-1"/>
              </w:rPr>
            </w:pPr>
            <w:r>
              <w:rPr>
                <w:b/>
              </w:rPr>
              <w:t>va</w:t>
            </w:r>
            <w:r>
              <w:rPr>
                <w:b/>
                <w:spacing w:val="1"/>
              </w:rPr>
              <w:t>lo</w:t>
            </w:r>
            <w:r>
              <w:rPr>
                <w:b/>
              </w:rPr>
              <w:t>a</w:t>
            </w:r>
            <w:r>
              <w:rPr>
                <w:b/>
                <w:spacing w:val="-3"/>
              </w:rPr>
              <w:t>r</w:t>
            </w:r>
            <w:r>
              <w:rPr>
                <w:b/>
              </w:rPr>
              <w:t>e</w:t>
            </w:r>
          </w:p>
          <w:p w14:paraId="1CBFC714" w14:textId="77777777" w:rsidR="00C04CAD" w:rsidRDefault="00060E34">
            <w:pPr>
              <w:keepNext/>
              <w:tabs>
                <w:tab w:val="clear" w:pos="567"/>
              </w:tabs>
              <w:kinsoku w:val="0"/>
              <w:overflowPunct w:val="0"/>
              <w:autoSpaceDE w:val="0"/>
              <w:autoSpaceDN w:val="0"/>
              <w:adjustRightInd w:val="0"/>
              <w:spacing w:line="240" w:lineRule="auto"/>
              <w:ind w:left="99"/>
              <w:jc w:val="center"/>
            </w:pPr>
            <w:r>
              <w:rPr>
                <w:b/>
                <w:spacing w:val="-1"/>
              </w:rPr>
              <w:t>p</w:t>
            </w:r>
            <w:r>
              <w:rPr>
                <w:b/>
              </w:rPr>
              <w:t>-</w:t>
            </w:r>
            <w:r>
              <w:rPr>
                <w:b/>
                <w:vertAlign w:val="superscript"/>
              </w:rPr>
              <w:t>c</w:t>
            </w:r>
          </w:p>
        </w:tc>
      </w:tr>
      <w:tr w:rsidR="00C04CAD" w14:paraId="737576A0" w14:textId="77777777">
        <w:trPr>
          <w:trHeight w:hRule="exact" w:val="495"/>
        </w:trPr>
        <w:tc>
          <w:tcPr>
            <w:tcW w:w="791" w:type="pct"/>
            <w:tcBorders>
              <w:top w:val="single" w:sz="4" w:space="0" w:color="000000"/>
              <w:left w:val="single" w:sz="4" w:space="0" w:color="000000"/>
              <w:bottom w:val="single" w:sz="4" w:space="0" w:color="000000"/>
              <w:right w:val="single" w:sz="4" w:space="0" w:color="000000"/>
            </w:tcBorders>
          </w:tcPr>
          <w:p w14:paraId="663D0E64" w14:textId="77777777" w:rsidR="00C04CAD" w:rsidRDefault="00060E34">
            <w:pPr>
              <w:keepNext/>
              <w:tabs>
                <w:tab w:val="clear" w:pos="567"/>
              </w:tabs>
              <w:kinsoku w:val="0"/>
              <w:overflowPunct w:val="0"/>
              <w:autoSpaceDE w:val="0"/>
              <w:autoSpaceDN w:val="0"/>
              <w:adjustRightInd w:val="0"/>
              <w:spacing w:line="240" w:lineRule="auto"/>
              <w:ind w:left="102"/>
            </w:pPr>
            <w:r>
              <w:rPr>
                <w:spacing w:val="-1"/>
              </w:rPr>
              <w:t>S</w:t>
            </w:r>
            <w:r>
              <w:t>cor</w:t>
            </w:r>
            <w:r>
              <w:rPr>
                <w:spacing w:val="1"/>
              </w:rPr>
              <w:t xml:space="preserve"> </w:t>
            </w:r>
            <w:r>
              <w:rPr>
                <w:spacing w:val="-1"/>
              </w:rPr>
              <w:t>S</w:t>
            </w:r>
            <w:r>
              <w:rPr>
                <w:spacing w:val="-3"/>
              </w:rPr>
              <w:t>h</w:t>
            </w:r>
            <w:r>
              <w:t xml:space="preserve">arp </w:t>
            </w:r>
            <w:r>
              <w:rPr>
                <w:spacing w:val="1"/>
              </w:rPr>
              <w:t>T</w:t>
            </w:r>
            <w:r>
              <w:rPr>
                <w:spacing w:val="-3"/>
              </w:rPr>
              <w:t>o</w:t>
            </w:r>
            <w:r>
              <w:rPr>
                <w:spacing w:val="1"/>
              </w:rPr>
              <w:t>t</w:t>
            </w:r>
            <w:r>
              <w:rPr>
                <w:spacing w:val="-3"/>
              </w:rPr>
              <w:t>a</w:t>
            </w:r>
            <w:r>
              <w:t>l</w:t>
            </w:r>
          </w:p>
        </w:tc>
        <w:tc>
          <w:tcPr>
            <w:tcW w:w="817" w:type="pct"/>
            <w:tcBorders>
              <w:top w:val="single" w:sz="4" w:space="0" w:color="000000"/>
              <w:left w:val="single" w:sz="4" w:space="0" w:color="000000"/>
              <w:bottom w:val="single" w:sz="4" w:space="0" w:color="000000"/>
              <w:right w:val="single" w:sz="4" w:space="0" w:color="000000"/>
            </w:tcBorders>
          </w:tcPr>
          <w:p w14:paraId="4F5E0292" w14:textId="77777777" w:rsidR="00C04CAD" w:rsidRDefault="00060E34">
            <w:pPr>
              <w:keepNext/>
              <w:tabs>
                <w:tab w:val="clear" w:pos="567"/>
              </w:tabs>
              <w:kinsoku w:val="0"/>
              <w:overflowPunct w:val="0"/>
              <w:autoSpaceDE w:val="0"/>
              <w:autoSpaceDN w:val="0"/>
              <w:adjustRightInd w:val="0"/>
              <w:spacing w:line="240" w:lineRule="auto"/>
              <w:ind w:left="102"/>
              <w:jc w:val="center"/>
            </w:pPr>
            <w:r>
              <w:t>5,7 (4,2</w:t>
            </w:r>
            <w:r>
              <w:rPr>
                <w:spacing w:val="-4"/>
              </w:rPr>
              <w:t>-</w:t>
            </w:r>
            <w:r>
              <w:t>7,3)</w:t>
            </w:r>
          </w:p>
        </w:tc>
        <w:tc>
          <w:tcPr>
            <w:tcW w:w="810" w:type="pct"/>
            <w:tcBorders>
              <w:top w:val="single" w:sz="4" w:space="0" w:color="000000"/>
              <w:left w:val="single" w:sz="4" w:space="0" w:color="000000"/>
              <w:bottom w:val="single" w:sz="4" w:space="0" w:color="000000"/>
              <w:right w:val="single" w:sz="4" w:space="0" w:color="000000"/>
            </w:tcBorders>
          </w:tcPr>
          <w:p w14:paraId="6495789F" w14:textId="77777777" w:rsidR="00C04CAD" w:rsidRDefault="00060E34">
            <w:pPr>
              <w:keepNext/>
              <w:tabs>
                <w:tab w:val="clear" w:pos="567"/>
              </w:tabs>
              <w:kinsoku w:val="0"/>
              <w:overflowPunct w:val="0"/>
              <w:autoSpaceDE w:val="0"/>
              <w:autoSpaceDN w:val="0"/>
              <w:adjustRightInd w:val="0"/>
              <w:spacing w:line="240" w:lineRule="auto"/>
              <w:ind w:left="99"/>
              <w:jc w:val="center"/>
            </w:pPr>
            <w:r>
              <w:t>3,0 (1,7</w:t>
            </w:r>
            <w:r>
              <w:rPr>
                <w:spacing w:val="-4"/>
              </w:rPr>
              <w:t>-</w:t>
            </w:r>
            <w:r>
              <w:t>4,3)</w:t>
            </w:r>
          </w:p>
        </w:tc>
        <w:tc>
          <w:tcPr>
            <w:tcW w:w="892" w:type="pct"/>
            <w:tcBorders>
              <w:top w:val="single" w:sz="4" w:space="0" w:color="000000"/>
              <w:left w:val="single" w:sz="4" w:space="0" w:color="000000"/>
              <w:bottom w:val="single" w:sz="4" w:space="0" w:color="000000"/>
              <w:right w:val="single" w:sz="4" w:space="0" w:color="000000"/>
            </w:tcBorders>
          </w:tcPr>
          <w:p w14:paraId="554166F1" w14:textId="77777777" w:rsidR="00C04CAD" w:rsidRDefault="00060E34">
            <w:pPr>
              <w:keepNext/>
              <w:tabs>
                <w:tab w:val="clear" w:pos="567"/>
              </w:tabs>
              <w:kinsoku w:val="0"/>
              <w:overflowPunct w:val="0"/>
              <w:autoSpaceDE w:val="0"/>
              <w:autoSpaceDN w:val="0"/>
              <w:adjustRightInd w:val="0"/>
              <w:spacing w:line="240" w:lineRule="auto"/>
              <w:ind w:left="102"/>
              <w:jc w:val="center"/>
            </w:pPr>
            <w:r>
              <w:t>1,3 (0,5</w:t>
            </w:r>
            <w:r>
              <w:rPr>
                <w:spacing w:val="-4"/>
              </w:rPr>
              <w:t>-</w:t>
            </w:r>
            <w:r>
              <w:t>2,1)</w:t>
            </w:r>
          </w:p>
        </w:tc>
        <w:tc>
          <w:tcPr>
            <w:tcW w:w="519" w:type="pct"/>
            <w:tcBorders>
              <w:top w:val="single" w:sz="4" w:space="0" w:color="000000"/>
              <w:left w:val="single" w:sz="4" w:space="0" w:color="000000"/>
              <w:bottom w:val="single" w:sz="4" w:space="0" w:color="000000"/>
              <w:right w:val="single" w:sz="4" w:space="0" w:color="000000"/>
            </w:tcBorders>
          </w:tcPr>
          <w:p w14:paraId="49171D11"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000000"/>
              <w:left w:val="single" w:sz="4" w:space="0" w:color="000000"/>
              <w:bottom w:val="single" w:sz="4" w:space="0" w:color="000000"/>
              <w:right w:val="single" w:sz="4" w:space="0" w:color="000000"/>
            </w:tcBorders>
          </w:tcPr>
          <w:p w14:paraId="16C2F623" w14:textId="77777777" w:rsidR="00C04CAD" w:rsidRDefault="00060E34">
            <w:pPr>
              <w:keepNext/>
              <w:tabs>
                <w:tab w:val="clear" w:pos="567"/>
              </w:tabs>
              <w:kinsoku w:val="0"/>
              <w:overflowPunct w:val="0"/>
              <w:autoSpaceDE w:val="0"/>
              <w:autoSpaceDN w:val="0"/>
              <w:adjustRightInd w:val="0"/>
              <w:spacing w:line="240" w:lineRule="auto"/>
              <w:ind w:left="102"/>
              <w:jc w:val="center"/>
            </w:pPr>
            <w:r>
              <w:t>0,0020</w:t>
            </w:r>
          </w:p>
        </w:tc>
        <w:tc>
          <w:tcPr>
            <w:tcW w:w="679" w:type="pct"/>
            <w:tcBorders>
              <w:top w:val="single" w:sz="4" w:space="0" w:color="000000"/>
              <w:left w:val="single" w:sz="4" w:space="0" w:color="000000"/>
              <w:bottom w:val="single" w:sz="4" w:space="0" w:color="000000"/>
              <w:right w:val="single" w:sz="4" w:space="0" w:color="000000"/>
            </w:tcBorders>
          </w:tcPr>
          <w:p w14:paraId="506951D7" w14:textId="77777777" w:rsidR="00C04CAD" w:rsidRDefault="00060E34">
            <w:pPr>
              <w:keepNext/>
              <w:tabs>
                <w:tab w:val="clear" w:pos="567"/>
              </w:tabs>
              <w:kinsoku w:val="0"/>
              <w:overflowPunct w:val="0"/>
              <w:autoSpaceDE w:val="0"/>
              <w:autoSpaceDN w:val="0"/>
              <w:adjustRightInd w:val="0"/>
              <w:spacing w:line="240" w:lineRule="auto"/>
              <w:ind w:left="99"/>
              <w:jc w:val="center"/>
            </w:pPr>
            <w:r>
              <w:t>&lt;0,001</w:t>
            </w:r>
          </w:p>
        </w:tc>
      </w:tr>
      <w:tr w:rsidR="00C04CAD" w14:paraId="24DB73E3" w14:textId="77777777">
        <w:trPr>
          <w:trHeight w:hRule="exact" w:val="516"/>
        </w:trPr>
        <w:tc>
          <w:tcPr>
            <w:tcW w:w="791" w:type="pct"/>
            <w:tcBorders>
              <w:top w:val="single" w:sz="4" w:space="0" w:color="000000"/>
              <w:left w:val="single" w:sz="4" w:space="0" w:color="000000"/>
              <w:bottom w:val="single" w:sz="4" w:space="0" w:color="auto"/>
              <w:right w:val="single" w:sz="4" w:space="0" w:color="000000"/>
            </w:tcBorders>
          </w:tcPr>
          <w:p w14:paraId="7C54C9F0" w14:textId="77777777" w:rsidR="00C04CAD" w:rsidRDefault="00060E34">
            <w:pPr>
              <w:keepNext/>
              <w:tabs>
                <w:tab w:val="clear" w:pos="567"/>
              </w:tabs>
              <w:kinsoku w:val="0"/>
              <w:overflowPunct w:val="0"/>
              <w:autoSpaceDE w:val="0"/>
              <w:autoSpaceDN w:val="0"/>
              <w:adjustRightInd w:val="0"/>
              <w:spacing w:line="240" w:lineRule="auto"/>
              <w:ind w:left="102"/>
            </w:pPr>
            <w:r>
              <w:rPr>
                <w:spacing w:val="-1"/>
              </w:rPr>
              <w:t>S</w:t>
            </w:r>
            <w:r>
              <w:t>cor</w:t>
            </w:r>
            <w:r>
              <w:rPr>
                <w:spacing w:val="1"/>
              </w:rPr>
              <w:t xml:space="preserve"> </w:t>
            </w:r>
            <w:r>
              <w:rPr>
                <w:spacing w:val="-3"/>
              </w:rPr>
              <w:t>d</w:t>
            </w:r>
            <w:r>
              <w:t>e</w:t>
            </w:r>
          </w:p>
          <w:p w14:paraId="5BD3F917" w14:textId="77777777" w:rsidR="00C04CAD" w:rsidRDefault="00060E34">
            <w:pPr>
              <w:keepNext/>
              <w:tabs>
                <w:tab w:val="clear" w:pos="567"/>
              </w:tabs>
              <w:kinsoku w:val="0"/>
              <w:overflowPunct w:val="0"/>
              <w:autoSpaceDE w:val="0"/>
              <w:autoSpaceDN w:val="0"/>
              <w:adjustRightInd w:val="0"/>
              <w:spacing w:line="240" w:lineRule="auto"/>
              <w:ind w:left="102"/>
            </w:pPr>
            <w:r>
              <w:t>ero</w:t>
            </w:r>
            <w:r>
              <w:rPr>
                <w:spacing w:val="-3"/>
              </w:rPr>
              <w:t>z</w:t>
            </w:r>
            <w:r>
              <w:rPr>
                <w:spacing w:val="1"/>
              </w:rPr>
              <w:t>i</w:t>
            </w:r>
            <w:r>
              <w:t>une</w:t>
            </w:r>
          </w:p>
        </w:tc>
        <w:tc>
          <w:tcPr>
            <w:tcW w:w="817" w:type="pct"/>
            <w:tcBorders>
              <w:top w:val="single" w:sz="4" w:space="0" w:color="000000"/>
              <w:left w:val="single" w:sz="4" w:space="0" w:color="000000"/>
              <w:bottom w:val="single" w:sz="4" w:space="0" w:color="auto"/>
              <w:right w:val="single" w:sz="4" w:space="0" w:color="000000"/>
            </w:tcBorders>
          </w:tcPr>
          <w:p w14:paraId="6E07DFC3" w14:textId="77777777" w:rsidR="00C04CAD" w:rsidRDefault="00060E34">
            <w:pPr>
              <w:keepNext/>
              <w:tabs>
                <w:tab w:val="clear" w:pos="567"/>
              </w:tabs>
              <w:kinsoku w:val="0"/>
              <w:overflowPunct w:val="0"/>
              <w:autoSpaceDE w:val="0"/>
              <w:autoSpaceDN w:val="0"/>
              <w:adjustRightInd w:val="0"/>
              <w:spacing w:line="240" w:lineRule="auto"/>
              <w:ind w:left="102"/>
              <w:jc w:val="center"/>
            </w:pPr>
            <w:r>
              <w:t>3,7 (2,7</w:t>
            </w:r>
            <w:r>
              <w:rPr>
                <w:spacing w:val="-4"/>
              </w:rPr>
              <w:t>-</w:t>
            </w:r>
            <w:r>
              <w:t>4,7)</w:t>
            </w:r>
          </w:p>
        </w:tc>
        <w:tc>
          <w:tcPr>
            <w:tcW w:w="810" w:type="pct"/>
            <w:tcBorders>
              <w:top w:val="single" w:sz="4" w:space="0" w:color="000000"/>
              <w:left w:val="single" w:sz="4" w:space="0" w:color="000000"/>
              <w:bottom w:val="single" w:sz="4" w:space="0" w:color="auto"/>
              <w:right w:val="single" w:sz="4" w:space="0" w:color="000000"/>
            </w:tcBorders>
          </w:tcPr>
          <w:p w14:paraId="3F203812" w14:textId="77777777" w:rsidR="00C04CAD" w:rsidRDefault="00060E34">
            <w:pPr>
              <w:keepNext/>
              <w:tabs>
                <w:tab w:val="clear" w:pos="567"/>
              </w:tabs>
              <w:kinsoku w:val="0"/>
              <w:overflowPunct w:val="0"/>
              <w:autoSpaceDE w:val="0"/>
              <w:autoSpaceDN w:val="0"/>
              <w:adjustRightInd w:val="0"/>
              <w:spacing w:line="240" w:lineRule="auto"/>
              <w:ind w:left="99"/>
              <w:jc w:val="center"/>
            </w:pPr>
            <w:r>
              <w:t>1,7 (1,0</w:t>
            </w:r>
            <w:r>
              <w:rPr>
                <w:spacing w:val="-4"/>
              </w:rPr>
              <w:t>-</w:t>
            </w:r>
            <w:r>
              <w:t>2,4)</w:t>
            </w:r>
          </w:p>
        </w:tc>
        <w:tc>
          <w:tcPr>
            <w:tcW w:w="892" w:type="pct"/>
            <w:tcBorders>
              <w:top w:val="single" w:sz="4" w:space="0" w:color="000000"/>
              <w:left w:val="single" w:sz="4" w:space="0" w:color="000000"/>
              <w:bottom w:val="single" w:sz="4" w:space="0" w:color="auto"/>
              <w:right w:val="single" w:sz="4" w:space="0" w:color="000000"/>
            </w:tcBorders>
          </w:tcPr>
          <w:p w14:paraId="5213EAAC" w14:textId="77777777" w:rsidR="00C04CAD" w:rsidRDefault="00060E34">
            <w:pPr>
              <w:keepNext/>
              <w:tabs>
                <w:tab w:val="clear" w:pos="567"/>
              </w:tabs>
              <w:kinsoku w:val="0"/>
              <w:overflowPunct w:val="0"/>
              <w:autoSpaceDE w:val="0"/>
              <w:autoSpaceDN w:val="0"/>
              <w:adjustRightInd w:val="0"/>
              <w:spacing w:line="240" w:lineRule="auto"/>
              <w:ind w:left="102"/>
              <w:jc w:val="center"/>
            </w:pPr>
            <w:r>
              <w:t>0,8 (0,4</w:t>
            </w:r>
            <w:r>
              <w:rPr>
                <w:spacing w:val="-4"/>
              </w:rPr>
              <w:t>-</w:t>
            </w:r>
            <w:r>
              <w:t>1,2)</w:t>
            </w:r>
          </w:p>
        </w:tc>
        <w:tc>
          <w:tcPr>
            <w:tcW w:w="519" w:type="pct"/>
            <w:tcBorders>
              <w:top w:val="single" w:sz="4" w:space="0" w:color="000000"/>
              <w:left w:val="single" w:sz="4" w:space="0" w:color="000000"/>
              <w:bottom w:val="single" w:sz="4" w:space="0" w:color="auto"/>
              <w:right w:val="single" w:sz="4" w:space="0" w:color="000000"/>
            </w:tcBorders>
          </w:tcPr>
          <w:p w14:paraId="611EA40C"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000000"/>
              <w:left w:val="single" w:sz="4" w:space="0" w:color="000000"/>
              <w:bottom w:val="single" w:sz="4" w:space="0" w:color="auto"/>
              <w:right w:val="single" w:sz="4" w:space="0" w:color="000000"/>
            </w:tcBorders>
          </w:tcPr>
          <w:p w14:paraId="6F8838D9" w14:textId="77777777" w:rsidR="00C04CAD" w:rsidRDefault="00060E34">
            <w:pPr>
              <w:keepNext/>
              <w:tabs>
                <w:tab w:val="clear" w:pos="567"/>
              </w:tabs>
              <w:kinsoku w:val="0"/>
              <w:overflowPunct w:val="0"/>
              <w:autoSpaceDE w:val="0"/>
              <w:autoSpaceDN w:val="0"/>
              <w:adjustRightInd w:val="0"/>
              <w:spacing w:line="240" w:lineRule="auto"/>
              <w:ind w:left="102"/>
              <w:jc w:val="center"/>
            </w:pPr>
            <w:r>
              <w:t>0,0082</w:t>
            </w:r>
          </w:p>
        </w:tc>
        <w:tc>
          <w:tcPr>
            <w:tcW w:w="679" w:type="pct"/>
            <w:tcBorders>
              <w:top w:val="single" w:sz="4" w:space="0" w:color="000000"/>
              <w:left w:val="single" w:sz="4" w:space="0" w:color="000000"/>
              <w:bottom w:val="single" w:sz="4" w:space="0" w:color="auto"/>
              <w:right w:val="single" w:sz="4" w:space="0" w:color="000000"/>
            </w:tcBorders>
          </w:tcPr>
          <w:p w14:paraId="57F9CA87" w14:textId="77777777" w:rsidR="00C04CAD" w:rsidRDefault="00060E34">
            <w:pPr>
              <w:keepNext/>
              <w:tabs>
                <w:tab w:val="clear" w:pos="567"/>
              </w:tabs>
              <w:kinsoku w:val="0"/>
              <w:overflowPunct w:val="0"/>
              <w:autoSpaceDE w:val="0"/>
              <w:autoSpaceDN w:val="0"/>
              <w:adjustRightInd w:val="0"/>
              <w:spacing w:line="240" w:lineRule="auto"/>
              <w:ind w:left="99"/>
              <w:jc w:val="center"/>
            </w:pPr>
            <w:r>
              <w:t>&lt;0,001</w:t>
            </w:r>
          </w:p>
        </w:tc>
      </w:tr>
      <w:tr w:rsidR="00C04CAD" w14:paraId="08FA246E" w14:textId="77777777">
        <w:trPr>
          <w:trHeight w:hRule="exact" w:val="264"/>
        </w:trPr>
        <w:tc>
          <w:tcPr>
            <w:tcW w:w="791" w:type="pct"/>
            <w:tcBorders>
              <w:top w:val="single" w:sz="4" w:space="0" w:color="auto"/>
              <w:left w:val="single" w:sz="4" w:space="0" w:color="auto"/>
              <w:bottom w:val="single" w:sz="4" w:space="0" w:color="auto"/>
              <w:right w:val="single" w:sz="4" w:space="0" w:color="000000"/>
            </w:tcBorders>
          </w:tcPr>
          <w:p w14:paraId="11F992F3" w14:textId="77777777" w:rsidR="00C04CAD" w:rsidRDefault="00060E34">
            <w:pPr>
              <w:keepNext/>
              <w:tabs>
                <w:tab w:val="clear" w:pos="567"/>
              </w:tabs>
              <w:kinsoku w:val="0"/>
              <w:overflowPunct w:val="0"/>
              <w:autoSpaceDE w:val="0"/>
              <w:autoSpaceDN w:val="0"/>
              <w:adjustRightInd w:val="0"/>
              <w:spacing w:line="240" w:lineRule="auto"/>
              <w:ind w:left="102"/>
            </w:pPr>
            <w:r>
              <w:rPr>
                <w:spacing w:val="-1"/>
              </w:rPr>
              <w:t>S</w:t>
            </w:r>
            <w:r>
              <w:t>cor</w:t>
            </w:r>
            <w:r>
              <w:rPr>
                <w:spacing w:val="-2"/>
              </w:rPr>
              <w:t xml:space="preserve"> </w:t>
            </w:r>
            <w:r>
              <w:rPr>
                <w:spacing w:val="2"/>
              </w:rPr>
              <w:t>J</w:t>
            </w:r>
            <w:r>
              <w:rPr>
                <w:spacing w:val="-1"/>
              </w:rPr>
              <w:t>SN</w:t>
            </w:r>
          </w:p>
        </w:tc>
        <w:tc>
          <w:tcPr>
            <w:tcW w:w="817" w:type="pct"/>
            <w:tcBorders>
              <w:top w:val="single" w:sz="4" w:space="0" w:color="auto"/>
              <w:left w:val="single" w:sz="4" w:space="0" w:color="000000"/>
              <w:bottom w:val="single" w:sz="4" w:space="0" w:color="auto"/>
              <w:right w:val="single" w:sz="4" w:space="0" w:color="000000"/>
            </w:tcBorders>
          </w:tcPr>
          <w:p w14:paraId="2E8732B2" w14:textId="77777777" w:rsidR="00C04CAD" w:rsidRDefault="00060E34">
            <w:pPr>
              <w:keepNext/>
              <w:tabs>
                <w:tab w:val="clear" w:pos="567"/>
              </w:tabs>
              <w:kinsoku w:val="0"/>
              <w:overflowPunct w:val="0"/>
              <w:autoSpaceDE w:val="0"/>
              <w:autoSpaceDN w:val="0"/>
              <w:adjustRightInd w:val="0"/>
              <w:spacing w:line="240" w:lineRule="auto"/>
              <w:ind w:left="102"/>
              <w:jc w:val="center"/>
            </w:pPr>
            <w:r>
              <w:t>2,0 (1,2</w:t>
            </w:r>
            <w:r>
              <w:rPr>
                <w:spacing w:val="-4"/>
              </w:rPr>
              <w:t>-</w:t>
            </w:r>
            <w:r>
              <w:t>2,8)</w:t>
            </w:r>
          </w:p>
        </w:tc>
        <w:tc>
          <w:tcPr>
            <w:tcW w:w="810" w:type="pct"/>
            <w:tcBorders>
              <w:top w:val="single" w:sz="4" w:space="0" w:color="auto"/>
              <w:left w:val="single" w:sz="4" w:space="0" w:color="000000"/>
              <w:bottom w:val="single" w:sz="4" w:space="0" w:color="auto"/>
              <w:right w:val="single" w:sz="4" w:space="0" w:color="000000"/>
            </w:tcBorders>
          </w:tcPr>
          <w:p w14:paraId="13B095E8" w14:textId="77777777" w:rsidR="00C04CAD" w:rsidRDefault="00060E34">
            <w:pPr>
              <w:keepNext/>
              <w:tabs>
                <w:tab w:val="clear" w:pos="567"/>
              </w:tabs>
              <w:kinsoku w:val="0"/>
              <w:overflowPunct w:val="0"/>
              <w:autoSpaceDE w:val="0"/>
              <w:autoSpaceDN w:val="0"/>
              <w:adjustRightInd w:val="0"/>
              <w:spacing w:line="240" w:lineRule="auto"/>
              <w:ind w:left="99"/>
              <w:jc w:val="center"/>
            </w:pPr>
            <w:r>
              <w:t>1,3 (0,5</w:t>
            </w:r>
            <w:r>
              <w:rPr>
                <w:spacing w:val="-4"/>
              </w:rPr>
              <w:t>-</w:t>
            </w:r>
            <w:r>
              <w:t>2,1)</w:t>
            </w:r>
          </w:p>
        </w:tc>
        <w:tc>
          <w:tcPr>
            <w:tcW w:w="892" w:type="pct"/>
            <w:tcBorders>
              <w:top w:val="single" w:sz="4" w:space="0" w:color="auto"/>
              <w:left w:val="single" w:sz="4" w:space="0" w:color="000000"/>
              <w:bottom w:val="single" w:sz="4" w:space="0" w:color="auto"/>
              <w:right w:val="single" w:sz="4" w:space="0" w:color="000000"/>
            </w:tcBorders>
          </w:tcPr>
          <w:p w14:paraId="7873A471" w14:textId="77777777" w:rsidR="00C04CAD" w:rsidRDefault="00060E34">
            <w:pPr>
              <w:keepNext/>
              <w:tabs>
                <w:tab w:val="clear" w:pos="567"/>
              </w:tabs>
              <w:kinsoku w:val="0"/>
              <w:overflowPunct w:val="0"/>
              <w:autoSpaceDE w:val="0"/>
              <w:autoSpaceDN w:val="0"/>
              <w:adjustRightInd w:val="0"/>
              <w:spacing w:line="240" w:lineRule="auto"/>
              <w:ind w:left="102"/>
              <w:jc w:val="center"/>
            </w:pPr>
            <w:r>
              <w:t>0,5 (0</w:t>
            </w:r>
            <w:r>
              <w:rPr>
                <w:spacing w:val="-4"/>
              </w:rPr>
              <w:t>-</w:t>
            </w:r>
            <w:r>
              <w:t>1,0)</w:t>
            </w:r>
          </w:p>
        </w:tc>
        <w:tc>
          <w:tcPr>
            <w:tcW w:w="519" w:type="pct"/>
            <w:tcBorders>
              <w:top w:val="single" w:sz="4" w:space="0" w:color="auto"/>
              <w:left w:val="single" w:sz="4" w:space="0" w:color="000000"/>
              <w:bottom w:val="single" w:sz="4" w:space="0" w:color="auto"/>
              <w:right w:val="single" w:sz="4" w:space="0" w:color="000000"/>
            </w:tcBorders>
          </w:tcPr>
          <w:p w14:paraId="077887FA"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auto"/>
              <w:left w:val="single" w:sz="4" w:space="0" w:color="000000"/>
              <w:bottom w:val="single" w:sz="4" w:space="0" w:color="auto"/>
              <w:right w:val="single" w:sz="4" w:space="0" w:color="000000"/>
            </w:tcBorders>
          </w:tcPr>
          <w:p w14:paraId="36053E4A" w14:textId="77777777" w:rsidR="00C04CAD" w:rsidRDefault="00060E34">
            <w:pPr>
              <w:keepNext/>
              <w:tabs>
                <w:tab w:val="clear" w:pos="567"/>
              </w:tabs>
              <w:kinsoku w:val="0"/>
              <w:overflowPunct w:val="0"/>
              <w:autoSpaceDE w:val="0"/>
              <w:autoSpaceDN w:val="0"/>
              <w:adjustRightInd w:val="0"/>
              <w:spacing w:line="240" w:lineRule="auto"/>
              <w:ind w:left="102"/>
              <w:jc w:val="center"/>
            </w:pPr>
            <w:r>
              <w:t>0,0037</w:t>
            </w:r>
          </w:p>
        </w:tc>
        <w:tc>
          <w:tcPr>
            <w:tcW w:w="679" w:type="pct"/>
            <w:tcBorders>
              <w:top w:val="single" w:sz="4" w:space="0" w:color="auto"/>
              <w:left w:val="single" w:sz="4" w:space="0" w:color="000000"/>
              <w:bottom w:val="single" w:sz="4" w:space="0" w:color="auto"/>
              <w:right w:val="single" w:sz="4" w:space="0" w:color="auto"/>
            </w:tcBorders>
          </w:tcPr>
          <w:p w14:paraId="023366C4" w14:textId="77777777" w:rsidR="00C04CAD" w:rsidRDefault="00060E34">
            <w:pPr>
              <w:keepNext/>
              <w:tabs>
                <w:tab w:val="clear" w:pos="567"/>
              </w:tabs>
              <w:kinsoku w:val="0"/>
              <w:overflowPunct w:val="0"/>
              <w:autoSpaceDE w:val="0"/>
              <w:autoSpaceDN w:val="0"/>
              <w:adjustRightInd w:val="0"/>
              <w:spacing w:line="240" w:lineRule="auto"/>
              <w:ind w:left="99"/>
              <w:jc w:val="center"/>
            </w:pPr>
            <w:r>
              <w:t>0,151</w:t>
            </w:r>
          </w:p>
        </w:tc>
      </w:tr>
      <w:tr w:rsidR="00C04CAD" w14:paraId="5085EA30" w14:textId="77777777">
        <w:trPr>
          <w:trHeight w:hRule="exact" w:val="1417"/>
        </w:trPr>
        <w:tc>
          <w:tcPr>
            <w:tcW w:w="5000" w:type="pct"/>
            <w:gridSpan w:val="7"/>
            <w:tcBorders>
              <w:top w:val="single" w:sz="4" w:space="0" w:color="auto"/>
            </w:tcBorders>
          </w:tcPr>
          <w:p w14:paraId="7F543E6A" w14:textId="77777777" w:rsidR="00C04CAD" w:rsidRDefault="00060E34">
            <w:pPr>
              <w:tabs>
                <w:tab w:val="clear" w:pos="567"/>
              </w:tabs>
              <w:kinsoku w:val="0"/>
              <w:overflowPunct w:val="0"/>
              <w:autoSpaceDE w:val="0"/>
              <w:autoSpaceDN w:val="0"/>
              <w:adjustRightInd w:val="0"/>
              <w:spacing w:line="240" w:lineRule="auto"/>
              <w:rPr>
                <w:spacing w:val="1"/>
                <w:sz w:val="20"/>
              </w:rPr>
            </w:pPr>
            <w:r>
              <w:rPr>
                <w:spacing w:val="1"/>
                <w:sz w:val="20"/>
                <w:vertAlign w:val="superscript"/>
              </w:rPr>
              <w:t>a</w:t>
            </w:r>
            <w:r>
              <w:rPr>
                <w:spacing w:val="1"/>
                <w:sz w:val="20"/>
              </w:rPr>
              <w:t xml:space="preserve"> valoarea p este obţinută prin compararea perechilor metotrexat monoterapie şi combinaţia </w:t>
            </w:r>
            <w:r>
              <w:rPr>
                <w:rFonts w:eastAsia="MS Mincho"/>
                <w:spacing w:val="1"/>
                <w:sz w:val="20"/>
                <w:lang w:eastAsia="en-US" w:bidi="ar-SA"/>
              </w:rPr>
              <w:t>adalimumab</w:t>
            </w:r>
            <w:r>
              <w:rPr>
                <w:spacing w:val="1"/>
                <w:sz w:val="20"/>
              </w:rPr>
              <w:t>/metotrexat, folosindu-se testul U, Mann-Whitney</w:t>
            </w:r>
          </w:p>
          <w:p w14:paraId="5DEB7104" w14:textId="77777777" w:rsidR="00C04CAD" w:rsidRDefault="00060E34">
            <w:pPr>
              <w:tabs>
                <w:tab w:val="clear" w:pos="567"/>
              </w:tabs>
              <w:kinsoku w:val="0"/>
              <w:overflowPunct w:val="0"/>
              <w:autoSpaceDE w:val="0"/>
              <w:autoSpaceDN w:val="0"/>
              <w:adjustRightInd w:val="0"/>
              <w:spacing w:line="240" w:lineRule="auto"/>
              <w:rPr>
                <w:spacing w:val="1"/>
                <w:sz w:val="20"/>
              </w:rPr>
            </w:pPr>
            <w:r>
              <w:rPr>
                <w:spacing w:val="1"/>
                <w:sz w:val="20"/>
                <w:vertAlign w:val="superscript"/>
              </w:rPr>
              <w:t>b</w:t>
            </w:r>
            <w:r>
              <w:rPr>
                <w:spacing w:val="1"/>
                <w:sz w:val="20"/>
              </w:rPr>
              <w:t xml:space="preserve"> valoarea p este obţinută prin compararea perechilor </w:t>
            </w:r>
            <w:r>
              <w:rPr>
                <w:rFonts w:eastAsia="MS Mincho"/>
                <w:spacing w:val="1"/>
                <w:sz w:val="20"/>
                <w:lang w:eastAsia="en-US" w:bidi="ar-SA"/>
              </w:rPr>
              <w:t>adalimumab</w:t>
            </w:r>
            <w:r>
              <w:rPr>
                <w:spacing w:val="1"/>
                <w:sz w:val="20"/>
              </w:rPr>
              <w:t xml:space="preserve"> monoterapie şi combinaţia </w:t>
            </w:r>
            <w:r>
              <w:rPr>
                <w:rFonts w:eastAsia="MS Mincho"/>
                <w:spacing w:val="1"/>
                <w:sz w:val="20"/>
                <w:lang w:eastAsia="en-US" w:bidi="ar-SA"/>
              </w:rPr>
              <w:t>adalimumab</w:t>
            </w:r>
            <w:r>
              <w:rPr>
                <w:spacing w:val="1"/>
                <w:sz w:val="20"/>
              </w:rPr>
              <w:t>/metotrexat, folosindu-se testul U, Mann-Whitney</w:t>
            </w:r>
          </w:p>
          <w:p w14:paraId="2C5B9593" w14:textId="77777777" w:rsidR="00C04CAD" w:rsidRDefault="00060E34">
            <w:pPr>
              <w:tabs>
                <w:tab w:val="clear" w:pos="567"/>
              </w:tabs>
              <w:kinsoku w:val="0"/>
              <w:overflowPunct w:val="0"/>
              <w:autoSpaceDE w:val="0"/>
              <w:autoSpaceDN w:val="0"/>
              <w:adjustRightInd w:val="0"/>
              <w:spacing w:line="240" w:lineRule="auto"/>
              <w:rPr>
                <w:spacing w:val="1"/>
              </w:rPr>
            </w:pPr>
            <w:r>
              <w:rPr>
                <w:spacing w:val="1"/>
                <w:sz w:val="20"/>
                <w:vertAlign w:val="superscript"/>
              </w:rPr>
              <w:t>c</w:t>
            </w:r>
            <w:r>
              <w:rPr>
                <w:spacing w:val="1"/>
                <w:sz w:val="20"/>
              </w:rPr>
              <w:t xml:space="preserve"> valoarea p este obţinută prin compararea perechilor </w:t>
            </w:r>
            <w:r>
              <w:rPr>
                <w:rFonts w:eastAsia="MS Mincho"/>
                <w:spacing w:val="1"/>
                <w:sz w:val="20"/>
                <w:lang w:eastAsia="en-US" w:bidi="ar-SA"/>
              </w:rPr>
              <w:t>adalimumab</w:t>
            </w:r>
            <w:r>
              <w:rPr>
                <w:spacing w:val="1"/>
                <w:sz w:val="20"/>
              </w:rPr>
              <w:t xml:space="preserve"> monoterapie şi metotrexat monoterapie folosindu-se testul U, Mann-Whitney</w:t>
            </w:r>
          </w:p>
        </w:tc>
      </w:tr>
    </w:tbl>
    <w:p w14:paraId="3C761FB6" w14:textId="77777777" w:rsidR="00C04CAD" w:rsidRDefault="00C04CAD">
      <w:pPr>
        <w:autoSpaceDE w:val="0"/>
        <w:autoSpaceDN w:val="0"/>
        <w:adjustRightInd w:val="0"/>
        <w:spacing w:line="240" w:lineRule="auto"/>
      </w:pPr>
    </w:p>
    <w:p w14:paraId="1AAB4EA7" w14:textId="77777777" w:rsidR="00C04CAD" w:rsidRDefault="00060E34">
      <w:pPr>
        <w:tabs>
          <w:tab w:val="clear" w:pos="567"/>
        </w:tabs>
        <w:kinsoku w:val="0"/>
        <w:overflowPunct w:val="0"/>
        <w:autoSpaceDE w:val="0"/>
        <w:autoSpaceDN w:val="0"/>
        <w:adjustRightInd w:val="0"/>
        <w:spacing w:line="240" w:lineRule="auto"/>
        <w:rPr>
          <w:szCs w:val="22"/>
        </w:rPr>
      </w:pPr>
      <w:r>
        <w:rPr>
          <w:spacing w:val="-1"/>
        </w:rPr>
        <w:t>D</w:t>
      </w:r>
      <w:r>
        <w:t xml:space="preserve">upă 52 </w:t>
      </w:r>
      <w:r>
        <w:rPr>
          <w:spacing w:val="-2"/>
        </w:rPr>
        <w:t>ş</w:t>
      </w:r>
      <w:r>
        <w:t>i</w:t>
      </w:r>
      <w:r>
        <w:rPr>
          <w:spacing w:val="1"/>
        </w:rPr>
        <w:t xml:space="preserve"> </w:t>
      </w:r>
      <w:r>
        <w:rPr>
          <w:spacing w:val="-2"/>
        </w:rPr>
        <w:t>r</w:t>
      </w:r>
      <w:r>
        <w:t>esp</w:t>
      </w:r>
      <w:r>
        <w:rPr>
          <w:spacing w:val="-3"/>
        </w:rPr>
        <w:t>e</w:t>
      </w:r>
      <w:r>
        <w:t>c</w:t>
      </w:r>
      <w:r>
        <w:rPr>
          <w:spacing w:val="-2"/>
        </w:rPr>
        <w:t>t</w:t>
      </w:r>
      <w:r>
        <w:rPr>
          <w:spacing w:val="1"/>
        </w:rPr>
        <w:t>i</w:t>
      </w:r>
      <w:r>
        <w:t>v</w:t>
      </w:r>
      <w:r>
        <w:rPr>
          <w:spacing w:val="-3"/>
        </w:rPr>
        <w:t xml:space="preserve"> </w:t>
      </w:r>
      <w:r>
        <w:t>104 s</w:t>
      </w:r>
      <w:r>
        <w:rPr>
          <w:spacing w:val="-3"/>
        </w:rPr>
        <w:t>ă</w:t>
      </w:r>
      <w:r>
        <w:t>p</w:t>
      </w:r>
      <w:r>
        <w:rPr>
          <w:spacing w:val="1"/>
        </w:rPr>
        <w:t>t</w:t>
      </w:r>
      <w:r>
        <w:t>ă</w:t>
      </w:r>
      <w:r>
        <w:rPr>
          <w:spacing w:val="-4"/>
        </w:rPr>
        <w:t>m</w:t>
      </w:r>
      <w:r>
        <w:t>âni</w:t>
      </w:r>
      <w:r>
        <w:rPr>
          <w:spacing w:val="1"/>
        </w:rPr>
        <w:t xml:space="preserve"> </w:t>
      </w:r>
      <w:r>
        <w:t>de</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w:t>
      </w:r>
      <w:r>
        <w:rPr>
          <w:spacing w:val="-3"/>
        </w:rPr>
        <w:t xml:space="preserve"> </w:t>
      </w:r>
      <w:r>
        <w:t>pro</w:t>
      </w:r>
      <w:r>
        <w:rPr>
          <w:spacing w:val="-3"/>
        </w:rPr>
        <w:t>ce</w:t>
      </w:r>
      <w:r>
        <w:t>n</w:t>
      </w:r>
      <w:r>
        <w:rPr>
          <w:spacing w:val="1"/>
        </w:rPr>
        <w:t>t</w:t>
      </w:r>
      <w:r>
        <w:t>ul</w:t>
      </w:r>
      <w:r>
        <w:rPr>
          <w:spacing w:val="-2"/>
        </w:rPr>
        <w:t xml:space="preserve"> </w:t>
      </w:r>
      <w:r>
        <w:t>pa</w:t>
      </w:r>
      <w:r>
        <w:rPr>
          <w:spacing w:val="-3"/>
        </w:rPr>
        <w:t>c</w:t>
      </w:r>
      <w:r>
        <w:rPr>
          <w:spacing w:val="1"/>
        </w:rPr>
        <w:t>i</w:t>
      </w:r>
      <w:r>
        <w:t>e</w:t>
      </w:r>
      <w:r>
        <w:rPr>
          <w:spacing w:val="-3"/>
        </w:rPr>
        <w:t>n</w:t>
      </w:r>
      <w:r>
        <w:rPr>
          <w:spacing w:val="1"/>
        </w:rPr>
        <w:t>ţ</w:t>
      </w:r>
      <w:r>
        <w:rPr>
          <w:spacing w:val="-2"/>
        </w:rPr>
        <w:t>i</w:t>
      </w:r>
      <w:r>
        <w:rPr>
          <w:spacing w:val="1"/>
        </w:rPr>
        <w:t>l</w:t>
      </w:r>
      <w:r>
        <w:t>or</w:t>
      </w:r>
      <w:r>
        <w:rPr>
          <w:spacing w:val="-2"/>
        </w:rPr>
        <w:t xml:space="preserve"> </w:t>
      </w:r>
      <w:r>
        <w:rPr>
          <w:spacing w:val="1"/>
        </w:rPr>
        <w:t>l</w:t>
      </w:r>
      <w:r>
        <w:t>a</w:t>
      </w:r>
      <w:r>
        <w:rPr>
          <w:spacing w:val="-2"/>
        </w:rPr>
        <w:t xml:space="preserve"> </w:t>
      </w:r>
      <w:r>
        <w:t>c</w:t>
      </w:r>
      <w:r>
        <w:rPr>
          <w:spacing w:val="-3"/>
        </w:rPr>
        <w:t>a</w:t>
      </w:r>
      <w:r>
        <w:t>re nu</w:t>
      </w:r>
      <w:r>
        <w:rPr>
          <w:spacing w:val="-3"/>
        </w:rPr>
        <w:t xml:space="preserve"> </w:t>
      </w:r>
      <w:r>
        <w:rPr>
          <w:spacing w:val="-2"/>
        </w:rPr>
        <w:t>s</w:t>
      </w:r>
      <w:r>
        <w:rPr>
          <w:spacing w:val="-4"/>
        </w:rPr>
        <w:t>-</w:t>
      </w:r>
      <w:r>
        <w:t>a obser</w:t>
      </w:r>
      <w:r>
        <w:rPr>
          <w:spacing w:val="-3"/>
        </w:rPr>
        <w:t>v</w:t>
      </w:r>
      <w:r>
        <w:t>at pro</w:t>
      </w:r>
      <w:r>
        <w:rPr>
          <w:spacing w:val="-3"/>
        </w:rPr>
        <w:t>g</w:t>
      </w:r>
      <w:r>
        <w:t>re</w:t>
      </w:r>
      <w:r>
        <w:rPr>
          <w:spacing w:val="-2"/>
        </w:rPr>
        <w:t>s</w:t>
      </w:r>
      <w:r>
        <w:rPr>
          <w:spacing w:val="1"/>
        </w:rPr>
        <w:t>i</w:t>
      </w:r>
      <w:r>
        <w:t xml:space="preserve">e </w:t>
      </w:r>
      <w:r>
        <w:rPr>
          <w:szCs w:val="22"/>
        </w:rPr>
        <w:t>(</w:t>
      </w:r>
      <w:r>
        <w:rPr>
          <w:spacing w:val="-4"/>
          <w:szCs w:val="22"/>
        </w:rPr>
        <w:t>m</w:t>
      </w:r>
      <w:r>
        <w:rPr>
          <w:szCs w:val="22"/>
        </w:rPr>
        <w:t>od</w:t>
      </w:r>
      <w:r>
        <w:rPr>
          <w:spacing w:val="1"/>
          <w:szCs w:val="22"/>
        </w:rPr>
        <w:t>i</w:t>
      </w:r>
      <w:r>
        <w:rPr>
          <w:spacing w:val="-2"/>
          <w:szCs w:val="22"/>
        </w:rPr>
        <w:t>f</w:t>
      </w:r>
      <w:r>
        <w:rPr>
          <w:spacing w:val="1"/>
          <w:szCs w:val="22"/>
        </w:rPr>
        <w:t>i</w:t>
      </w:r>
      <w:r>
        <w:rPr>
          <w:spacing w:val="-3"/>
          <w:szCs w:val="22"/>
        </w:rPr>
        <w:t>c</w:t>
      </w:r>
      <w:r>
        <w:rPr>
          <w:szCs w:val="22"/>
        </w:rPr>
        <w:t>are</w:t>
      </w:r>
      <w:r>
        <w:rPr>
          <w:spacing w:val="-2"/>
          <w:szCs w:val="22"/>
        </w:rPr>
        <w:t xml:space="preserve"> </w:t>
      </w:r>
      <w:r>
        <w:rPr>
          <w:szCs w:val="22"/>
        </w:rPr>
        <w:t>f</w:t>
      </w:r>
      <w:r>
        <w:rPr>
          <w:spacing w:val="-3"/>
          <w:szCs w:val="22"/>
        </w:rPr>
        <w:t>a</w:t>
      </w:r>
      <w:r>
        <w:rPr>
          <w:spacing w:val="1"/>
          <w:szCs w:val="22"/>
        </w:rPr>
        <w:t>ţ</w:t>
      </w:r>
      <w:r>
        <w:rPr>
          <w:szCs w:val="22"/>
        </w:rPr>
        <w:t xml:space="preserve">ă </w:t>
      </w:r>
      <w:r>
        <w:rPr>
          <w:spacing w:val="-3"/>
          <w:szCs w:val="22"/>
        </w:rPr>
        <w:t>d</w:t>
      </w:r>
      <w:r>
        <w:rPr>
          <w:szCs w:val="22"/>
        </w:rPr>
        <w:t xml:space="preserve">e </w:t>
      </w:r>
      <w:r>
        <w:rPr>
          <w:spacing w:val="-3"/>
          <w:szCs w:val="22"/>
        </w:rPr>
        <w:t>v</w:t>
      </w:r>
      <w:r>
        <w:rPr>
          <w:szCs w:val="22"/>
        </w:rPr>
        <w:t>a</w:t>
      </w:r>
      <w:r>
        <w:rPr>
          <w:spacing w:val="1"/>
          <w:szCs w:val="22"/>
        </w:rPr>
        <w:t>l</w:t>
      </w:r>
      <w:r>
        <w:rPr>
          <w:szCs w:val="22"/>
        </w:rPr>
        <w:t>oa</w:t>
      </w:r>
      <w:r>
        <w:rPr>
          <w:spacing w:val="-2"/>
          <w:szCs w:val="22"/>
        </w:rPr>
        <w:t>r</w:t>
      </w:r>
      <w:r>
        <w:rPr>
          <w:szCs w:val="22"/>
        </w:rPr>
        <w:t>ea</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1"/>
          <w:szCs w:val="22"/>
        </w:rPr>
        <w:t>l</w:t>
      </w:r>
      <w:r>
        <w:rPr>
          <w:szCs w:val="22"/>
        </w:rPr>
        <w:t>ă</w:t>
      </w:r>
      <w:r>
        <w:rPr>
          <w:spacing w:val="-2"/>
          <w:szCs w:val="22"/>
        </w:rPr>
        <w:t xml:space="preserve"> </w:t>
      </w:r>
      <w:r>
        <w:rPr>
          <w:szCs w:val="22"/>
        </w:rPr>
        <w:t xml:space="preserve">a </w:t>
      </w:r>
      <w:r>
        <w:rPr>
          <w:spacing w:val="-1"/>
          <w:szCs w:val="22"/>
        </w:rPr>
        <w:t>S</w:t>
      </w:r>
      <w:r>
        <w:rPr>
          <w:szCs w:val="22"/>
        </w:rPr>
        <w:t>c</w:t>
      </w:r>
      <w:r>
        <w:rPr>
          <w:spacing w:val="-3"/>
          <w:szCs w:val="22"/>
        </w:rPr>
        <w:t>o</w:t>
      </w:r>
      <w:r>
        <w:rPr>
          <w:szCs w:val="22"/>
        </w:rPr>
        <w:t>r</w:t>
      </w:r>
      <w:r>
        <w:rPr>
          <w:spacing w:val="-3"/>
          <w:szCs w:val="22"/>
        </w:rPr>
        <w:t>u</w:t>
      </w:r>
      <w:r>
        <w:rPr>
          <w:spacing w:val="1"/>
          <w:szCs w:val="22"/>
        </w:rPr>
        <w:t>l</w:t>
      </w:r>
      <w:r>
        <w:rPr>
          <w:spacing w:val="-3"/>
          <w:szCs w:val="22"/>
        </w:rPr>
        <w:t>u</w:t>
      </w:r>
      <w:r>
        <w:rPr>
          <w:szCs w:val="22"/>
        </w:rPr>
        <w:t>i</w:t>
      </w:r>
      <w:r>
        <w:rPr>
          <w:spacing w:val="1"/>
          <w:szCs w:val="22"/>
        </w:rPr>
        <w:t xml:space="preserve"> </w:t>
      </w:r>
      <w:r>
        <w:rPr>
          <w:spacing w:val="-1"/>
          <w:szCs w:val="22"/>
        </w:rPr>
        <w:t>S</w:t>
      </w:r>
      <w:r>
        <w:rPr>
          <w:szCs w:val="22"/>
        </w:rPr>
        <w:t>h</w:t>
      </w:r>
      <w:r>
        <w:rPr>
          <w:spacing w:val="-3"/>
          <w:szCs w:val="22"/>
        </w:rPr>
        <w:t>a</w:t>
      </w:r>
      <w:r>
        <w:rPr>
          <w:szCs w:val="22"/>
        </w:rPr>
        <w:t>rp</w:t>
      </w:r>
      <w:r>
        <w:rPr>
          <w:spacing w:val="-3"/>
          <w:szCs w:val="22"/>
        </w:rPr>
        <w:t xml:space="preserve"> </w:t>
      </w:r>
      <w:r>
        <w:rPr>
          <w:spacing w:val="1"/>
          <w:szCs w:val="22"/>
        </w:rPr>
        <w:t>T</w:t>
      </w:r>
      <w:r>
        <w:rPr>
          <w:spacing w:val="-3"/>
          <w:szCs w:val="22"/>
        </w:rPr>
        <w:t>o</w:t>
      </w:r>
      <w:r>
        <w:rPr>
          <w:spacing w:val="1"/>
          <w:szCs w:val="22"/>
        </w:rPr>
        <w:t>t</w:t>
      </w:r>
      <w:r>
        <w:rPr>
          <w:szCs w:val="22"/>
        </w:rPr>
        <w:t>al</w:t>
      </w:r>
      <w:r>
        <w:rPr>
          <w:spacing w:val="-2"/>
          <w:szCs w:val="22"/>
        </w:rPr>
        <w:t xml:space="preserve"> </w:t>
      </w:r>
      <w:r>
        <w:rPr>
          <w:spacing w:val="1"/>
          <w:szCs w:val="22"/>
        </w:rPr>
        <w:t>≤</w:t>
      </w:r>
      <w:r>
        <w:rPr>
          <w:szCs w:val="22"/>
        </w:rPr>
        <w:t>0</w:t>
      </w:r>
      <w:r>
        <w:rPr>
          <w:spacing w:val="-3"/>
          <w:szCs w:val="22"/>
        </w:rPr>
        <w:t>,</w:t>
      </w:r>
      <w:r>
        <w:rPr>
          <w:szCs w:val="22"/>
        </w:rPr>
        <w:t>5)</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2"/>
          <w:szCs w:val="22"/>
        </w:rPr>
        <w:t>s</w:t>
      </w:r>
      <w:r>
        <w:rPr>
          <w:spacing w:val="-3"/>
          <w:szCs w:val="22"/>
        </w:rPr>
        <w:t>e</w:t>
      </w:r>
      <w:r>
        <w:rPr>
          <w:spacing w:val="-4"/>
          <w:szCs w:val="22"/>
        </w:rPr>
        <w:t>m</w:t>
      </w:r>
      <w:r>
        <w:rPr>
          <w:szCs w:val="22"/>
        </w:rPr>
        <w:t>n</w:t>
      </w:r>
      <w:r>
        <w:rPr>
          <w:spacing w:val="1"/>
          <w:szCs w:val="22"/>
        </w:rPr>
        <w:t>i</w:t>
      </w:r>
      <w:r>
        <w:rPr>
          <w:szCs w:val="22"/>
        </w:rPr>
        <w:t>f</w:t>
      </w:r>
      <w:r>
        <w:rPr>
          <w:spacing w:val="1"/>
          <w:szCs w:val="22"/>
        </w:rPr>
        <w:t>i</w:t>
      </w:r>
      <w:r>
        <w:rPr>
          <w:szCs w:val="22"/>
        </w:rPr>
        <w:t>c</w:t>
      </w:r>
      <w:r>
        <w:rPr>
          <w:spacing w:val="-3"/>
          <w:szCs w:val="22"/>
        </w:rPr>
        <w:t>a</w:t>
      </w:r>
      <w:r>
        <w:rPr>
          <w:spacing w:val="1"/>
          <w:szCs w:val="22"/>
        </w:rPr>
        <w:t>ti</w:t>
      </w:r>
      <w:r>
        <w:rPr>
          <w:szCs w:val="22"/>
        </w:rPr>
        <w:t>v</w:t>
      </w:r>
      <w:r>
        <w:rPr>
          <w:spacing w:val="-3"/>
          <w:szCs w:val="22"/>
        </w:rPr>
        <w:t xml:space="preserve"> </w:t>
      </w:r>
      <w:r>
        <w:rPr>
          <w:spacing w:val="-4"/>
          <w:szCs w:val="22"/>
        </w:rPr>
        <w:t>m</w:t>
      </w:r>
      <w:r>
        <w:rPr>
          <w:szCs w:val="22"/>
        </w:rPr>
        <w:t xml:space="preserve">ai </w:t>
      </w:r>
      <w:r>
        <w:rPr>
          <w:spacing w:val="-4"/>
          <w:szCs w:val="22"/>
        </w:rPr>
        <w:t>m</w:t>
      </w:r>
      <w:r>
        <w:rPr>
          <w:szCs w:val="22"/>
        </w:rPr>
        <w:t xml:space="preserve">are </w:t>
      </w:r>
      <w:r>
        <w:rPr>
          <w:spacing w:val="1"/>
          <w:szCs w:val="22"/>
        </w:rPr>
        <w:t>î</w:t>
      </w:r>
      <w:r>
        <w:rPr>
          <w:szCs w:val="22"/>
        </w:rPr>
        <w:t xml:space="preserve">n </w:t>
      </w:r>
      <w:r>
        <w:rPr>
          <w:spacing w:val="-3"/>
          <w:szCs w:val="22"/>
        </w:rPr>
        <w:t>g</w:t>
      </w:r>
      <w:r>
        <w:rPr>
          <w:szCs w:val="22"/>
        </w:rPr>
        <w:t>rupul</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at</w:t>
      </w:r>
      <w:r>
        <w:rPr>
          <w:spacing w:val="1"/>
          <w:szCs w:val="22"/>
        </w:rPr>
        <w:t xml:space="preserve"> </w:t>
      </w:r>
      <w:r>
        <w:rPr>
          <w:spacing w:val="-3"/>
          <w:szCs w:val="22"/>
        </w:rPr>
        <w:t>c</w:t>
      </w:r>
      <w:r>
        <w:rPr>
          <w:szCs w:val="22"/>
        </w:rPr>
        <w:t>onc</w:t>
      </w:r>
      <w:r>
        <w:rPr>
          <w:spacing w:val="-3"/>
          <w:szCs w:val="22"/>
        </w:rPr>
        <w:t>o</w:t>
      </w:r>
      <w:r>
        <w:rPr>
          <w:spacing w:val="-4"/>
          <w:szCs w:val="22"/>
        </w:rPr>
        <w:t>m</w:t>
      </w:r>
      <w:r>
        <w:rPr>
          <w:spacing w:val="1"/>
          <w:szCs w:val="22"/>
        </w:rPr>
        <w:t>it</w:t>
      </w:r>
      <w:r>
        <w:rPr>
          <w:szCs w:val="22"/>
        </w:rPr>
        <w:t>ent</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şi</w:t>
      </w:r>
      <w:r>
        <w:rPr>
          <w:spacing w:val="1"/>
          <w:szCs w:val="22"/>
        </w:rPr>
        <w:t xml:space="preserve"> </w:t>
      </w:r>
      <w:r>
        <w:rPr>
          <w:spacing w:val="-4"/>
          <w:szCs w:val="22"/>
        </w:rPr>
        <w:t>m</w:t>
      </w:r>
      <w:r>
        <w:rPr>
          <w:szCs w:val="22"/>
        </w:rPr>
        <w:t>e</w:t>
      </w:r>
      <w:r>
        <w:rPr>
          <w:spacing w:val="1"/>
          <w:szCs w:val="22"/>
        </w:rPr>
        <w:t>t</w:t>
      </w:r>
      <w:r>
        <w:rPr>
          <w:spacing w:val="-3"/>
          <w:szCs w:val="22"/>
        </w:rPr>
        <w:t>o</w:t>
      </w:r>
      <w:r>
        <w:rPr>
          <w:spacing w:val="1"/>
          <w:szCs w:val="22"/>
        </w:rPr>
        <w:t>t</w:t>
      </w:r>
      <w:r>
        <w:rPr>
          <w:spacing w:val="-2"/>
          <w:szCs w:val="22"/>
        </w:rPr>
        <w:t>r</w:t>
      </w:r>
      <w:r>
        <w:rPr>
          <w:szCs w:val="22"/>
        </w:rPr>
        <w:t>exat</w:t>
      </w:r>
      <w:r>
        <w:rPr>
          <w:spacing w:val="-2"/>
          <w:szCs w:val="22"/>
        </w:rPr>
        <w:t xml:space="preserve"> </w:t>
      </w:r>
      <w:r>
        <w:rPr>
          <w:szCs w:val="22"/>
        </w:rPr>
        <w:t>(63,</w:t>
      </w:r>
      <w:r>
        <w:rPr>
          <w:spacing w:val="-3"/>
          <w:szCs w:val="22"/>
        </w:rPr>
        <w:t>8</w:t>
      </w:r>
      <w:r>
        <w:rPr>
          <w:szCs w:val="22"/>
        </w:rPr>
        <w:t>%</w:t>
      </w:r>
      <w:r>
        <w:rPr>
          <w:spacing w:val="1"/>
          <w:szCs w:val="22"/>
        </w:rPr>
        <w:t xml:space="preserve"> </w:t>
      </w:r>
      <w:r>
        <w:rPr>
          <w:spacing w:val="-2"/>
          <w:szCs w:val="22"/>
        </w:rPr>
        <w:t>ş</w:t>
      </w:r>
      <w:r>
        <w:rPr>
          <w:szCs w:val="22"/>
        </w:rPr>
        <w:t>i</w:t>
      </w:r>
      <w:r>
        <w:rPr>
          <w:spacing w:val="-2"/>
          <w:szCs w:val="22"/>
        </w:rPr>
        <w:t xml:space="preserve"> </w:t>
      </w:r>
      <w:r>
        <w:rPr>
          <w:szCs w:val="22"/>
        </w:rPr>
        <w:t>res</w:t>
      </w:r>
      <w:r>
        <w:rPr>
          <w:spacing w:val="-3"/>
          <w:szCs w:val="22"/>
        </w:rPr>
        <w:t>p</w:t>
      </w:r>
      <w:r>
        <w:rPr>
          <w:szCs w:val="22"/>
        </w:rPr>
        <w:t>e</w:t>
      </w:r>
      <w:r>
        <w:rPr>
          <w:spacing w:val="-3"/>
          <w:szCs w:val="22"/>
        </w:rPr>
        <w:t>c</w:t>
      </w:r>
      <w:r>
        <w:rPr>
          <w:spacing w:val="1"/>
          <w:szCs w:val="22"/>
        </w:rPr>
        <w:t>ti</w:t>
      </w:r>
      <w:r>
        <w:rPr>
          <w:szCs w:val="22"/>
        </w:rPr>
        <w:t>v</w:t>
      </w:r>
      <w:r>
        <w:rPr>
          <w:spacing w:val="-3"/>
          <w:szCs w:val="22"/>
        </w:rPr>
        <w:t xml:space="preserve"> </w:t>
      </w:r>
      <w:r>
        <w:rPr>
          <w:szCs w:val="22"/>
        </w:rPr>
        <w:t>61</w:t>
      </w:r>
      <w:r>
        <w:rPr>
          <w:spacing w:val="-3"/>
          <w:szCs w:val="22"/>
        </w:rPr>
        <w:t>,</w:t>
      </w:r>
      <w:r>
        <w:rPr>
          <w:szCs w:val="22"/>
        </w:rPr>
        <w:t>2%)</w:t>
      </w:r>
      <w:r>
        <w:rPr>
          <w:spacing w:val="-2"/>
          <w:szCs w:val="22"/>
        </w:rPr>
        <w:t xml:space="preserve"> </w:t>
      </w:r>
      <w:r>
        <w:rPr>
          <w:szCs w:val="22"/>
        </w:rPr>
        <w:t>co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 xml:space="preserve">cu </w:t>
      </w:r>
      <w:r>
        <w:rPr>
          <w:spacing w:val="-3"/>
          <w:szCs w:val="22"/>
        </w:rPr>
        <w:t>g</w:t>
      </w:r>
      <w:r>
        <w:rPr>
          <w:szCs w:val="22"/>
        </w:rPr>
        <w:t>rupul</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at</w:t>
      </w:r>
      <w:r>
        <w:rPr>
          <w:spacing w:val="-2"/>
          <w:szCs w:val="22"/>
        </w:rPr>
        <w:t xml:space="preserve"> </w:t>
      </w:r>
      <w:r>
        <w:rPr>
          <w:szCs w:val="22"/>
        </w:rPr>
        <w:t xml:space="preserve">cu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w:t>
      </w:r>
      <w:r>
        <w:rPr>
          <w:szCs w:val="22"/>
        </w:rPr>
        <w:t>at</w:t>
      </w:r>
      <w:r>
        <w:rPr>
          <w:spacing w:val="-2"/>
          <w:szCs w:val="22"/>
        </w:rPr>
        <w:t xml:space="preserve"> î</w:t>
      </w:r>
      <w:r>
        <w:rPr>
          <w:szCs w:val="22"/>
        </w:rPr>
        <w:t xml:space="preserve">n </w:t>
      </w:r>
      <w:r>
        <w:rPr>
          <w:spacing w:val="-4"/>
          <w:szCs w:val="22"/>
        </w:rPr>
        <w:t>m</w:t>
      </w:r>
      <w:r>
        <w:rPr>
          <w:szCs w:val="22"/>
        </w:rPr>
        <w:t>ono</w:t>
      </w:r>
      <w:r>
        <w:rPr>
          <w:spacing w:val="1"/>
          <w:szCs w:val="22"/>
        </w:rPr>
        <w:t>t</w:t>
      </w:r>
      <w:r>
        <w:rPr>
          <w:szCs w:val="22"/>
        </w:rPr>
        <w:t>era</w:t>
      </w:r>
      <w:r>
        <w:rPr>
          <w:spacing w:val="-3"/>
          <w:szCs w:val="22"/>
        </w:rPr>
        <w:t>p</w:t>
      </w:r>
      <w:r>
        <w:rPr>
          <w:spacing w:val="1"/>
          <w:szCs w:val="22"/>
        </w:rPr>
        <w:t>i</w:t>
      </w:r>
      <w:r>
        <w:rPr>
          <w:szCs w:val="22"/>
        </w:rPr>
        <w:t>e</w:t>
      </w:r>
      <w:r>
        <w:rPr>
          <w:spacing w:val="-2"/>
          <w:szCs w:val="22"/>
        </w:rPr>
        <w:t xml:space="preserve"> </w:t>
      </w:r>
      <w:r>
        <w:rPr>
          <w:szCs w:val="22"/>
        </w:rPr>
        <w:t>(37,</w:t>
      </w:r>
      <w:r>
        <w:rPr>
          <w:spacing w:val="-3"/>
          <w:szCs w:val="22"/>
        </w:rPr>
        <w:t>4</w:t>
      </w:r>
      <w:r>
        <w:rPr>
          <w:szCs w:val="22"/>
        </w:rPr>
        <w:t>%</w:t>
      </w:r>
      <w:r>
        <w:rPr>
          <w:spacing w:val="1"/>
          <w:szCs w:val="22"/>
        </w:rPr>
        <w:t xml:space="preserve"> </w:t>
      </w:r>
      <w:r>
        <w:rPr>
          <w:spacing w:val="-2"/>
          <w:szCs w:val="22"/>
        </w:rPr>
        <w:t>ş</w:t>
      </w:r>
      <w:r>
        <w:rPr>
          <w:szCs w:val="22"/>
        </w:rPr>
        <w:t>i</w:t>
      </w:r>
      <w:r>
        <w:rPr>
          <w:spacing w:val="1"/>
          <w:szCs w:val="22"/>
        </w:rPr>
        <w:t xml:space="preserve"> </w:t>
      </w:r>
      <w:r>
        <w:rPr>
          <w:spacing w:val="-2"/>
          <w:szCs w:val="22"/>
        </w:rPr>
        <w:t>r</w:t>
      </w:r>
      <w:r>
        <w:rPr>
          <w:spacing w:val="-3"/>
          <w:szCs w:val="22"/>
        </w:rPr>
        <w:t>e</w:t>
      </w:r>
      <w:r>
        <w:rPr>
          <w:szCs w:val="22"/>
        </w:rPr>
        <w:t>spe</w:t>
      </w:r>
      <w:r>
        <w:rPr>
          <w:spacing w:val="-3"/>
          <w:szCs w:val="22"/>
        </w:rPr>
        <w:t>c</w:t>
      </w:r>
      <w:r>
        <w:rPr>
          <w:spacing w:val="1"/>
          <w:szCs w:val="22"/>
        </w:rPr>
        <w:t>ti</w:t>
      </w:r>
      <w:r>
        <w:rPr>
          <w:szCs w:val="22"/>
        </w:rPr>
        <w:t>v</w:t>
      </w:r>
      <w:r>
        <w:rPr>
          <w:spacing w:val="-3"/>
          <w:szCs w:val="22"/>
        </w:rPr>
        <w:t xml:space="preserve"> </w:t>
      </w:r>
      <w:r>
        <w:rPr>
          <w:szCs w:val="22"/>
        </w:rPr>
        <w:t>33,</w:t>
      </w:r>
      <w:r>
        <w:rPr>
          <w:spacing w:val="-3"/>
          <w:szCs w:val="22"/>
        </w:rPr>
        <w:t>5</w:t>
      </w:r>
      <w:r>
        <w:rPr>
          <w:szCs w:val="22"/>
        </w:rPr>
        <w:t>%, p &lt;</w:t>
      </w:r>
      <w:r>
        <w:rPr>
          <w:spacing w:val="-3"/>
          <w:szCs w:val="22"/>
        </w:rPr>
        <w:t>0</w:t>
      </w:r>
      <w:r>
        <w:rPr>
          <w:szCs w:val="22"/>
        </w:rPr>
        <w:t>,00</w:t>
      </w:r>
      <w:r>
        <w:rPr>
          <w:spacing w:val="-3"/>
          <w:szCs w:val="22"/>
        </w:rPr>
        <w:t>1</w:t>
      </w:r>
      <w:r>
        <w:rPr>
          <w:szCs w:val="22"/>
        </w:rPr>
        <w:t>)</w:t>
      </w:r>
      <w:r>
        <w:rPr>
          <w:spacing w:val="1"/>
          <w:szCs w:val="22"/>
        </w:rPr>
        <w:t xml:space="preserve"> </w:t>
      </w:r>
      <w:r>
        <w:rPr>
          <w:szCs w:val="22"/>
        </w:rPr>
        <w:t>şi</w:t>
      </w:r>
      <w:r>
        <w:rPr>
          <w:spacing w:val="-2"/>
          <w:szCs w:val="22"/>
        </w:rPr>
        <w:t xml:space="preserve"> </w:t>
      </w:r>
      <w:r>
        <w:rPr>
          <w:spacing w:val="-3"/>
          <w:szCs w:val="22"/>
        </w:rPr>
        <w:t>g</w:t>
      </w:r>
      <w:r>
        <w:rPr>
          <w:szCs w:val="22"/>
        </w:rPr>
        <w:t>rupul</w:t>
      </w:r>
      <w:r>
        <w:rPr>
          <w:spacing w:val="1"/>
          <w:szCs w:val="22"/>
        </w:rPr>
        <w:t xml:space="preserve"> </w:t>
      </w:r>
      <w:r>
        <w:rPr>
          <w:spacing w:val="-2"/>
          <w:szCs w:val="22"/>
        </w:rPr>
        <w:t>t</w:t>
      </w:r>
      <w:r>
        <w:rPr>
          <w:szCs w:val="22"/>
        </w:rPr>
        <w:t>r</w:t>
      </w:r>
      <w:r>
        <w:rPr>
          <w:spacing w:val="-3"/>
          <w:szCs w:val="22"/>
        </w:rPr>
        <w:t>a</w:t>
      </w:r>
      <w:r>
        <w:rPr>
          <w:spacing w:val="1"/>
          <w:szCs w:val="22"/>
        </w:rPr>
        <w:t>t</w:t>
      </w:r>
      <w:r>
        <w:rPr>
          <w:spacing w:val="-3"/>
          <w:szCs w:val="22"/>
        </w:rPr>
        <w:t>a</w:t>
      </w:r>
      <w:r>
        <w:rPr>
          <w:szCs w:val="22"/>
        </w:rPr>
        <w:t>t</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zCs w:val="22"/>
        </w:rPr>
        <w:t>e</w:t>
      </w:r>
      <w:r>
        <w:rPr>
          <w:spacing w:val="-2"/>
          <w:szCs w:val="22"/>
        </w:rPr>
        <w:t>r</w:t>
      </w:r>
      <w:r>
        <w:rPr>
          <w:szCs w:val="22"/>
        </w:rPr>
        <w:t>ap</w:t>
      </w:r>
      <w:r>
        <w:rPr>
          <w:spacing w:val="-2"/>
          <w:szCs w:val="22"/>
        </w:rPr>
        <w:t>i</w:t>
      </w:r>
      <w:r>
        <w:rPr>
          <w:szCs w:val="22"/>
        </w:rPr>
        <w:t>e (</w:t>
      </w:r>
      <w:r>
        <w:rPr>
          <w:spacing w:val="-3"/>
          <w:szCs w:val="22"/>
        </w:rPr>
        <w:t>5</w:t>
      </w:r>
      <w:r>
        <w:rPr>
          <w:szCs w:val="22"/>
        </w:rPr>
        <w:t>0</w:t>
      </w:r>
      <w:r>
        <w:rPr>
          <w:spacing w:val="-3"/>
          <w:szCs w:val="22"/>
        </w:rPr>
        <w:t>,</w:t>
      </w:r>
      <w:r>
        <w:rPr>
          <w:szCs w:val="22"/>
        </w:rPr>
        <w:t>7%, p</w:t>
      </w:r>
      <w:r>
        <w:rPr>
          <w:spacing w:val="-3"/>
          <w:szCs w:val="22"/>
        </w:rPr>
        <w:t xml:space="preserve"> </w:t>
      </w:r>
      <w:r>
        <w:rPr>
          <w:szCs w:val="22"/>
        </w:rPr>
        <w:t>&lt;0,002</w:t>
      </w:r>
      <w:r>
        <w:rPr>
          <w:spacing w:val="-3"/>
          <w:szCs w:val="22"/>
        </w:rPr>
        <w:t xml:space="preserve"> </w:t>
      </w:r>
      <w:r>
        <w:rPr>
          <w:szCs w:val="22"/>
        </w:rPr>
        <w:t>şi</w:t>
      </w:r>
      <w:r>
        <w:rPr>
          <w:spacing w:val="-2"/>
          <w:szCs w:val="22"/>
        </w:rPr>
        <w:t xml:space="preserve"> </w:t>
      </w:r>
      <w:r>
        <w:rPr>
          <w:szCs w:val="22"/>
        </w:rPr>
        <w:t>re</w:t>
      </w:r>
      <w:r>
        <w:rPr>
          <w:spacing w:val="-2"/>
          <w:szCs w:val="22"/>
        </w:rPr>
        <w:t>s</w:t>
      </w:r>
      <w:r>
        <w:rPr>
          <w:szCs w:val="22"/>
        </w:rPr>
        <w:t>pe</w:t>
      </w:r>
      <w:r>
        <w:rPr>
          <w:spacing w:val="-3"/>
          <w:szCs w:val="22"/>
        </w:rPr>
        <w:t>c</w:t>
      </w:r>
      <w:r>
        <w:rPr>
          <w:spacing w:val="1"/>
          <w:szCs w:val="22"/>
        </w:rPr>
        <w:t>ti</w:t>
      </w:r>
      <w:r>
        <w:rPr>
          <w:szCs w:val="22"/>
        </w:rPr>
        <w:t>v</w:t>
      </w:r>
      <w:r>
        <w:rPr>
          <w:spacing w:val="-3"/>
          <w:szCs w:val="22"/>
        </w:rPr>
        <w:t xml:space="preserve"> 4</w:t>
      </w:r>
      <w:r>
        <w:rPr>
          <w:szCs w:val="22"/>
        </w:rPr>
        <w:t>4,5%, p</w:t>
      </w:r>
      <w:r>
        <w:rPr>
          <w:spacing w:val="-3"/>
          <w:szCs w:val="22"/>
        </w:rPr>
        <w:t xml:space="preserve"> </w:t>
      </w:r>
      <w:r>
        <w:rPr>
          <w:szCs w:val="22"/>
        </w:rPr>
        <w:t>&lt;0,00</w:t>
      </w:r>
      <w:r>
        <w:rPr>
          <w:spacing w:val="-3"/>
          <w:szCs w:val="22"/>
        </w:rPr>
        <w:t>1</w:t>
      </w:r>
      <w:r>
        <w:rPr>
          <w:szCs w:val="22"/>
        </w:rPr>
        <w:t>).</w:t>
      </w:r>
    </w:p>
    <w:p w14:paraId="38F525B9" w14:textId="77777777" w:rsidR="00C04CAD" w:rsidRDefault="00C04CAD">
      <w:pPr>
        <w:tabs>
          <w:tab w:val="clear" w:pos="567"/>
        </w:tabs>
        <w:kinsoku w:val="0"/>
        <w:overflowPunct w:val="0"/>
        <w:autoSpaceDE w:val="0"/>
        <w:autoSpaceDN w:val="0"/>
        <w:adjustRightInd w:val="0"/>
        <w:spacing w:line="240" w:lineRule="auto"/>
        <w:rPr>
          <w:szCs w:val="22"/>
        </w:rPr>
      </w:pPr>
    </w:p>
    <w:p w14:paraId="2FB507DE" w14:textId="77777777" w:rsidR="00C04CAD" w:rsidRDefault="00060E34">
      <w:pPr>
        <w:autoSpaceDE w:val="0"/>
        <w:autoSpaceDN w:val="0"/>
        <w:adjustRightInd w:val="0"/>
        <w:spacing w:line="240" w:lineRule="auto"/>
        <w:rPr>
          <w:szCs w:val="22"/>
        </w:rPr>
      </w:pPr>
      <w:r>
        <w:rPr>
          <w:spacing w:val="-4"/>
          <w:szCs w:val="22"/>
        </w:rPr>
        <w:t>Î</w:t>
      </w:r>
      <w:r>
        <w:rPr>
          <w:szCs w:val="22"/>
        </w:rPr>
        <w:t>n ex</w:t>
      </w:r>
      <w:r>
        <w:rPr>
          <w:spacing w:val="1"/>
          <w:szCs w:val="22"/>
        </w:rPr>
        <w:t>t</w:t>
      </w:r>
      <w:r>
        <w:rPr>
          <w:szCs w:val="22"/>
        </w:rPr>
        <w:t>ens</w:t>
      </w:r>
      <w:r>
        <w:rPr>
          <w:spacing w:val="1"/>
          <w:szCs w:val="22"/>
        </w:rPr>
        <w:t>i</w:t>
      </w:r>
      <w:r>
        <w:rPr>
          <w:szCs w:val="22"/>
        </w:rPr>
        <w:t>a</w:t>
      </w:r>
      <w:r>
        <w:rPr>
          <w:spacing w:val="-2"/>
          <w:szCs w:val="22"/>
        </w:rPr>
        <w:t xml:space="preserve"> </w:t>
      </w:r>
      <w:r>
        <w:rPr>
          <w:szCs w:val="22"/>
        </w:rPr>
        <w:t>de</w:t>
      </w:r>
      <w:r>
        <w:rPr>
          <w:spacing w:val="-2"/>
          <w:szCs w:val="22"/>
        </w:rPr>
        <w:t>s</w:t>
      </w:r>
      <w:r>
        <w:rPr>
          <w:szCs w:val="22"/>
        </w:rPr>
        <w:t>ch</w:t>
      </w:r>
      <w:r>
        <w:rPr>
          <w:spacing w:val="-2"/>
          <w:szCs w:val="22"/>
        </w:rPr>
        <w:t>i</w:t>
      </w:r>
      <w:r>
        <w:rPr>
          <w:szCs w:val="22"/>
        </w:rPr>
        <w:t>să a</w:t>
      </w:r>
      <w:r>
        <w:rPr>
          <w:spacing w:val="-2"/>
          <w:szCs w:val="22"/>
        </w:rPr>
        <w:t xml:space="preserve"> </w:t>
      </w:r>
      <w:r>
        <w:rPr>
          <w:szCs w:val="22"/>
        </w:rPr>
        <w:t>s</w:t>
      </w:r>
      <w:r>
        <w:rPr>
          <w:spacing w:val="1"/>
          <w:szCs w:val="22"/>
        </w:rPr>
        <w:t>t</w:t>
      </w:r>
      <w:r>
        <w:rPr>
          <w:spacing w:val="-3"/>
          <w:szCs w:val="22"/>
        </w:rPr>
        <w:t>u</w:t>
      </w:r>
      <w:r>
        <w:rPr>
          <w:szCs w:val="22"/>
        </w:rPr>
        <w:t>d</w:t>
      </w:r>
      <w:r>
        <w:rPr>
          <w:spacing w:val="-2"/>
          <w:szCs w:val="22"/>
        </w:rPr>
        <w:t>i</w:t>
      </w:r>
      <w:r>
        <w:rPr>
          <w:szCs w:val="22"/>
        </w:rPr>
        <w:t>u</w:t>
      </w:r>
      <w:r>
        <w:rPr>
          <w:spacing w:val="1"/>
          <w:szCs w:val="22"/>
        </w:rPr>
        <w:t>l</w:t>
      </w:r>
      <w:r>
        <w:rPr>
          <w:szCs w:val="22"/>
        </w:rPr>
        <w:t>ui</w:t>
      </w:r>
      <w:r>
        <w:rPr>
          <w:spacing w:val="1"/>
          <w:szCs w:val="22"/>
        </w:rPr>
        <w:t xml:space="preserve"> </w:t>
      </w:r>
      <w:r>
        <w:rPr>
          <w:spacing w:val="-1"/>
          <w:szCs w:val="22"/>
        </w:rPr>
        <w:t>P</w:t>
      </w:r>
      <w:r>
        <w:rPr>
          <w:szCs w:val="22"/>
        </w:rPr>
        <w:t>R</w:t>
      </w:r>
      <w:r>
        <w:rPr>
          <w:spacing w:val="-4"/>
          <w:szCs w:val="22"/>
        </w:rPr>
        <w:t xml:space="preserve"> </w:t>
      </w:r>
      <w:r>
        <w:rPr>
          <w:spacing w:val="1"/>
          <w:szCs w:val="22"/>
        </w:rPr>
        <w:t>V</w:t>
      </w:r>
      <w:r>
        <w:rPr>
          <w:szCs w:val="22"/>
        </w:rPr>
        <w:t>,</w:t>
      </w:r>
      <w:r>
        <w:rPr>
          <w:spacing w:val="-3"/>
          <w:szCs w:val="22"/>
        </w:rPr>
        <w:t xml:space="preserve"> </w:t>
      </w:r>
      <w:r>
        <w:rPr>
          <w:spacing w:val="1"/>
          <w:szCs w:val="22"/>
        </w:rPr>
        <w:t>l</w:t>
      </w:r>
      <w:r>
        <w:rPr>
          <w:szCs w:val="22"/>
        </w:rPr>
        <w:t xml:space="preserve">a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pacing w:val="-2"/>
          <w:szCs w:val="22"/>
        </w:rPr>
        <w:t>r</w:t>
      </w:r>
      <w:r>
        <w:rPr>
          <w:szCs w:val="22"/>
        </w:rPr>
        <w:t>an</w:t>
      </w:r>
      <w:r>
        <w:rPr>
          <w:spacing w:val="-3"/>
          <w:szCs w:val="22"/>
        </w:rPr>
        <w:t>d</w:t>
      </w:r>
      <w:r>
        <w:rPr>
          <w:szCs w:val="22"/>
        </w:rPr>
        <w:t>o</w:t>
      </w:r>
      <w:r>
        <w:rPr>
          <w:spacing w:val="-4"/>
          <w:szCs w:val="22"/>
        </w:rPr>
        <w:t>m</w:t>
      </w:r>
      <w:r>
        <w:rPr>
          <w:spacing w:val="1"/>
          <w:szCs w:val="22"/>
        </w:rPr>
        <w:t>i</w:t>
      </w:r>
      <w:r>
        <w:rPr>
          <w:spacing w:val="-3"/>
          <w:szCs w:val="22"/>
        </w:rPr>
        <w:t>z</w:t>
      </w:r>
      <w:r>
        <w:rPr>
          <w:szCs w:val="22"/>
        </w:rPr>
        <w:t>a</w:t>
      </w:r>
      <w:r>
        <w:rPr>
          <w:spacing w:val="1"/>
          <w:szCs w:val="22"/>
        </w:rPr>
        <w:t>ț</w:t>
      </w:r>
      <w:r>
        <w:rPr>
          <w:szCs w:val="22"/>
        </w:rPr>
        <w:t>i</w:t>
      </w:r>
      <w:r>
        <w:rPr>
          <w:spacing w:val="1"/>
          <w:szCs w:val="22"/>
        </w:rPr>
        <w:t xml:space="preserve"> i</w:t>
      </w:r>
      <w:r>
        <w:rPr>
          <w:szCs w:val="22"/>
        </w:rPr>
        <w:t>n</w:t>
      </w:r>
      <w:r>
        <w:rPr>
          <w:spacing w:val="-2"/>
          <w:szCs w:val="22"/>
        </w:rPr>
        <w:t>i</w:t>
      </w:r>
      <w:r>
        <w:rPr>
          <w:spacing w:val="1"/>
          <w:szCs w:val="22"/>
        </w:rPr>
        <w:t>ț</w:t>
      </w:r>
      <w:r>
        <w:rPr>
          <w:spacing w:val="-2"/>
          <w:szCs w:val="22"/>
        </w:rPr>
        <w:t>i</w:t>
      </w:r>
      <w:r>
        <w:rPr>
          <w:szCs w:val="22"/>
        </w:rPr>
        <w:t>al</w:t>
      </w:r>
      <w:r>
        <w:rPr>
          <w:spacing w:val="-2"/>
          <w:szCs w:val="22"/>
        </w:rPr>
        <w:t xml:space="preserve"> </w:t>
      </w:r>
      <w:r>
        <w:rPr>
          <w:szCs w:val="22"/>
        </w:rPr>
        <w:t>pe</w:t>
      </w:r>
      <w:r>
        <w:rPr>
          <w:spacing w:val="-3"/>
          <w:szCs w:val="22"/>
        </w:rPr>
        <w:t>n</w:t>
      </w:r>
      <w:r>
        <w:rPr>
          <w:spacing w:val="1"/>
          <w:szCs w:val="22"/>
        </w:rPr>
        <w:t>t</w:t>
      </w:r>
      <w:r>
        <w:rPr>
          <w:szCs w:val="22"/>
        </w:rPr>
        <w:t xml:space="preserve">ru </w:t>
      </w:r>
      <w:r>
        <w:rPr>
          <w:spacing w:val="-4"/>
          <w:szCs w:val="22"/>
        </w:rPr>
        <w:t>m</w:t>
      </w:r>
      <w:r>
        <w:rPr>
          <w:szCs w:val="22"/>
        </w:rPr>
        <w:t>e</w:t>
      </w:r>
      <w:r>
        <w:rPr>
          <w:spacing w:val="1"/>
          <w:szCs w:val="22"/>
        </w:rPr>
        <w:t>t</w:t>
      </w:r>
      <w:r>
        <w:rPr>
          <w:szCs w:val="22"/>
        </w:rPr>
        <w:t>o</w:t>
      </w:r>
      <w:r>
        <w:rPr>
          <w:spacing w:val="-2"/>
          <w:szCs w:val="22"/>
        </w:rPr>
        <w:t>t</w:t>
      </w:r>
      <w:r>
        <w:rPr>
          <w:szCs w:val="22"/>
        </w:rPr>
        <w:t>rex</w:t>
      </w:r>
      <w:r>
        <w:rPr>
          <w:spacing w:val="-3"/>
          <w:szCs w:val="22"/>
        </w:rPr>
        <w:t>a</w:t>
      </w:r>
      <w:r>
        <w:rPr>
          <w:szCs w:val="22"/>
        </w:rPr>
        <w:t>t</w:t>
      </w:r>
      <w:r>
        <w:rPr>
          <w:spacing w:val="1"/>
          <w:szCs w:val="22"/>
        </w:rPr>
        <w:t xml:space="preserve"> </w:t>
      </w:r>
      <w:r>
        <w:rPr>
          <w:spacing w:val="-2"/>
          <w:szCs w:val="22"/>
        </w:rPr>
        <w:t>î</w:t>
      </w:r>
      <w:r>
        <w:rPr>
          <w:szCs w:val="22"/>
        </w:rPr>
        <w:t xml:space="preserve">n </w:t>
      </w:r>
      <w:r>
        <w:rPr>
          <w:spacing w:val="-4"/>
          <w:szCs w:val="22"/>
        </w:rPr>
        <w:t>m</w:t>
      </w:r>
      <w:r>
        <w:rPr>
          <w:szCs w:val="22"/>
        </w:rPr>
        <w:t>ono</w:t>
      </w:r>
      <w:r>
        <w:rPr>
          <w:spacing w:val="1"/>
          <w:szCs w:val="22"/>
        </w:rPr>
        <w:t>t</w:t>
      </w:r>
      <w:r>
        <w:rPr>
          <w:szCs w:val="22"/>
        </w:rPr>
        <w:t>erap</w:t>
      </w:r>
      <w:r>
        <w:rPr>
          <w:spacing w:val="-2"/>
          <w:szCs w:val="22"/>
        </w:rPr>
        <w:t>i</w:t>
      </w:r>
      <w:r>
        <w:rPr>
          <w:szCs w:val="22"/>
        </w:rPr>
        <w:t>e, p</w:t>
      </w:r>
      <w:r>
        <w:rPr>
          <w:spacing w:val="-3"/>
          <w:szCs w:val="22"/>
        </w:rPr>
        <w:t>e</w:t>
      </w:r>
      <w:r>
        <w:rPr>
          <w:szCs w:val="22"/>
        </w:rPr>
        <w:t>n</w:t>
      </w:r>
      <w:r>
        <w:rPr>
          <w:spacing w:val="-2"/>
          <w:szCs w:val="22"/>
        </w:rPr>
        <w:t>t</w:t>
      </w:r>
      <w:r>
        <w:rPr>
          <w:szCs w:val="22"/>
        </w:rPr>
        <w:t xml:space="preserve">ru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pacing w:val="-3"/>
          <w:szCs w:val="22"/>
        </w:rPr>
        <w:t>e</w:t>
      </w:r>
      <w:r>
        <w:rPr>
          <w:szCs w:val="22"/>
        </w:rPr>
        <w:t>ra</w:t>
      </w:r>
      <w:r>
        <w:rPr>
          <w:spacing w:val="-3"/>
          <w:szCs w:val="22"/>
        </w:rPr>
        <w:t>p</w:t>
      </w:r>
      <w:r>
        <w:rPr>
          <w:spacing w:val="1"/>
          <w:szCs w:val="22"/>
        </w:rPr>
        <w:t>i</w:t>
      </w:r>
      <w:r>
        <w:rPr>
          <w:szCs w:val="22"/>
        </w:rPr>
        <w:t xml:space="preserve">e </w:t>
      </w:r>
      <w:r>
        <w:rPr>
          <w:spacing w:val="-2"/>
          <w:szCs w:val="22"/>
        </w:rPr>
        <w:t>ș</w:t>
      </w:r>
      <w:r>
        <w:rPr>
          <w:szCs w:val="22"/>
        </w:rPr>
        <w:t>i</w:t>
      </w:r>
      <w:r>
        <w:rPr>
          <w:spacing w:val="1"/>
          <w:szCs w:val="22"/>
        </w:rPr>
        <w:t xml:space="preserve"> </w:t>
      </w:r>
      <w:r>
        <w:rPr>
          <w:spacing w:val="-2"/>
          <w:szCs w:val="22"/>
        </w:rPr>
        <w:t>r</w:t>
      </w:r>
      <w:r>
        <w:rPr>
          <w:szCs w:val="22"/>
        </w:rPr>
        <w:t>es</w:t>
      </w:r>
      <w:r>
        <w:rPr>
          <w:spacing w:val="-3"/>
          <w:szCs w:val="22"/>
        </w:rPr>
        <w:t>p</w:t>
      </w:r>
      <w:r>
        <w:rPr>
          <w:szCs w:val="22"/>
        </w:rPr>
        <w:t>ec</w:t>
      </w:r>
      <w:r>
        <w:rPr>
          <w:spacing w:val="-2"/>
          <w:szCs w:val="22"/>
        </w:rPr>
        <w:t>ti</w:t>
      </w:r>
      <w:r>
        <w:rPr>
          <w:szCs w:val="22"/>
        </w:rPr>
        <w:t>v</w:t>
      </w:r>
      <w:r>
        <w:rPr>
          <w:spacing w:val="-3"/>
          <w:szCs w:val="22"/>
        </w:rPr>
        <w:t xml:space="preserve"> </w:t>
      </w:r>
      <w:r>
        <w:rPr>
          <w:szCs w:val="22"/>
        </w:rPr>
        <w:t>pen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3"/>
          <w:szCs w:val="22"/>
        </w:rPr>
        <w:t>c</w:t>
      </w:r>
      <w:r>
        <w:rPr>
          <w:szCs w:val="22"/>
        </w:rPr>
        <w:t>onco</w:t>
      </w:r>
      <w:r>
        <w:rPr>
          <w:spacing w:val="-4"/>
          <w:szCs w:val="22"/>
        </w:rPr>
        <w:t>m</w:t>
      </w:r>
      <w:r>
        <w:rPr>
          <w:spacing w:val="1"/>
          <w:szCs w:val="22"/>
        </w:rPr>
        <w:t>it</w:t>
      </w:r>
      <w:r>
        <w:rPr>
          <w:szCs w:val="22"/>
        </w:rPr>
        <w:t>e</w:t>
      </w:r>
      <w:r>
        <w:rPr>
          <w:spacing w:val="-3"/>
          <w:szCs w:val="22"/>
        </w:rPr>
        <w:t>n</w:t>
      </w:r>
      <w:r>
        <w:rPr>
          <w:szCs w:val="22"/>
        </w:rPr>
        <w:t>t</w:t>
      </w:r>
      <w:r>
        <w:rPr>
          <w:spacing w:val="1"/>
          <w:szCs w:val="22"/>
        </w:rPr>
        <w:t xml:space="preserve"> </w:t>
      </w:r>
      <w:r>
        <w:rPr>
          <w:szCs w:val="22"/>
        </w:rPr>
        <w:t xml:space="preserve">cu </w:t>
      </w:r>
      <w:r>
        <w:rPr>
          <w:rFonts w:eastAsia="MS Mincho"/>
          <w:spacing w:val="-1"/>
          <w:szCs w:val="22"/>
          <w:lang w:eastAsia="en-US" w:bidi="ar-SA"/>
        </w:rPr>
        <w:t>adalimumab</w:t>
      </w:r>
      <w:r>
        <w:rPr>
          <w:spacing w:val="1"/>
          <w:szCs w:val="22"/>
        </w:rPr>
        <w:t>/</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ex</w:t>
      </w:r>
      <w:r>
        <w:rPr>
          <w:spacing w:val="-3"/>
          <w:szCs w:val="22"/>
        </w:rPr>
        <w:t>a</w:t>
      </w:r>
      <w:r>
        <w:rPr>
          <w:spacing w:val="1"/>
          <w:szCs w:val="22"/>
        </w:rPr>
        <w:t>t</w:t>
      </w:r>
      <w:r>
        <w:rPr>
          <w:szCs w:val="22"/>
        </w:rPr>
        <w:t xml:space="preserve">, </w:t>
      </w:r>
      <w:r>
        <w:rPr>
          <w:spacing w:val="-4"/>
          <w:szCs w:val="22"/>
        </w:rPr>
        <w:t>m</w:t>
      </w:r>
      <w:r>
        <w:rPr>
          <w:szCs w:val="22"/>
        </w:rPr>
        <w:t>odif</w:t>
      </w:r>
      <w:r>
        <w:rPr>
          <w:spacing w:val="-2"/>
          <w:szCs w:val="22"/>
        </w:rPr>
        <w:t>i</w:t>
      </w:r>
      <w:r>
        <w:rPr>
          <w:szCs w:val="22"/>
        </w:rPr>
        <w:t>car</w:t>
      </w:r>
      <w:r>
        <w:rPr>
          <w:spacing w:val="-3"/>
          <w:szCs w:val="22"/>
        </w:rPr>
        <w:t>e</w:t>
      </w:r>
      <w:r>
        <w:rPr>
          <w:szCs w:val="22"/>
        </w:rPr>
        <w:t xml:space="preserve">a </w:t>
      </w:r>
      <w:r>
        <w:rPr>
          <w:spacing w:val="-4"/>
          <w:szCs w:val="22"/>
        </w:rPr>
        <w:t>m</w:t>
      </w:r>
      <w:r>
        <w:rPr>
          <w:szCs w:val="22"/>
        </w:rPr>
        <w:t>ed</w:t>
      </w:r>
      <w:r>
        <w:rPr>
          <w:spacing w:val="1"/>
          <w:szCs w:val="22"/>
        </w:rPr>
        <w:t>i</w:t>
      </w:r>
      <w:r>
        <w:rPr>
          <w:szCs w:val="22"/>
        </w:rPr>
        <w:t>e a</w:t>
      </w:r>
      <w:r>
        <w:rPr>
          <w:spacing w:val="-2"/>
          <w:szCs w:val="22"/>
        </w:rPr>
        <w:t xml:space="preserve"> </w:t>
      </w:r>
      <w:r>
        <w:rPr>
          <w:szCs w:val="22"/>
        </w:rPr>
        <w:t>sc</w:t>
      </w:r>
      <w:r>
        <w:rPr>
          <w:spacing w:val="-3"/>
          <w:szCs w:val="22"/>
        </w:rPr>
        <w:t>o</w:t>
      </w:r>
      <w:r>
        <w:rPr>
          <w:szCs w:val="22"/>
        </w:rPr>
        <w:t>ru</w:t>
      </w:r>
      <w:r>
        <w:rPr>
          <w:spacing w:val="1"/>
          <w:szCs w:val="22"/>
        </w:rPr>
        <w:t>l</w:t>
      </w:r>
      <w:r>
        <w:rPr>
          <w:spacing w:val="-3"/>
          <w:szCs w:val="22"/>
        </w:rPr>
        <w:t>u</w:t>
      </w:r>
      <w:r>
        <w:rPr>
          <w:szCs w:val="22"/>
        </w:rPr>
        <w:t>i</w:t>
      </w:r>
      <w:r>
        <w:rPr>
          <w:spacing w:val="1"/>
          <w:szCs w:val="22"/>
        </w:rPr>
        <w:t xml:space="preserve"> </w:t>
      </w:r>
      <w:r>
        <w:rPr>
          <w:spacing w:val="-1"/>
          <w:szCs w:val="22"/>
        </w:rPr>
        <w:t>S</w:t>
      </w:r>
      <w:r>
        <w:rPr>
          <w:spacing w:val="-3"/>
          <w:szCs w:val="22"/>
        </w:rPr>
        <w:t>h</w:t>
      </w:r>
      <w:r>
        <w:rPr>
          <w:szCs w:val="22"/>
        </w:rPr>
        <w:t>a</w:t>
      </w:r>
      <w:r>
        <w:rPr>
          <w:spacing w:val="-2"/>
          <w:szCs w:val="22"/>
        </w:rPr>
        <w:t>r</w:t>
      </w:r>
      <w:r>
        <w:rPr>
          <w:szCs w:val="22"/>
        </w:rPr>
        <w:t xml:space="preserve">p </w:t>
      </w:r>
      <w:r>
        <w:rPr>
          <w:spacing w:val="1"/>
          <w:szCs w:val="22"/>
        </w:rPr>
        <w:t>t</w:t>
      </w:r>
      <w:r>
        <w:rPr>
          <w:szCs w:val="22"/>
        </w:rPr>
        <w:t>o</w:t>
      </w:r>
      <w:r>
        <w:rPr>
          <w:spacing w:val="-2"/>
          <w:szCs w:val="22"/>
        </w:rPr>
        <w:t>t</w:t>
      </w:r>
      <w:r>
        <w:rPr>
          <w:szCs w:val="22"/>
        </w:rPr>
        <w:t>al</w:t>
      </w:r>
      <w:r>
        <w:rPr>
          <w:spacing w:val="1"/>
          <w:szCs w:val="22"/>
        </w:rPr>
        <w:t xml:space="preserve"> </w:t>
      </w:r>
      <w:r>
        <w:rPr>
          <w:spacing w:val="-4"/>
          <w:szCs w:val="22"/>
        </w:rPr>
        <w:t>m</w:t>
      </w:r>
      <w:r>
        <w:rPr>
          <w:szCs w:val="22"/>
        </w:rPr>
        <w:t>od</w:t>
      </w:r>
      <w:r>
        <w:rPr>
          <w:spacing w:val="1"/>
          <w:szCs w:val="22"/>
        </w:rPr>
        <w:t>i</w:t>
      </w:r>
      <w:r>
        <w:rPr>
          <w:spacing w:val="-2"/>
          <w:szCs w:val="22"/>
        </w:rPr>
        <w:t>f</w:t>
      </w:r>
      <w:r>
        <w:rPr>
          <w:spacing w:val="1"/>
          <w:szCs w:val="22"/>
        </w:rPr>
        <w:t>i</w:t>
      </w:r>
      <w:r>
        <w:rPr>
          <w:spacing w:val="-3"/>
          <w:szCs w:val="22"/>
        </w:rPr>
        <w:t>c</w:t>
      </w:r>
      <w:r>
        <w:rPr>
          <w:szCs w:val="22"/>
        </w:rPr>
        <w:t>at</w:t>
      </w:r>
      <w:r>
        <w:rPr>
          <w:spacing w:val="-2"/>
          <w:szCs w:val="22"/>
        </w:rPr>
        <w:t xml:space="preserve"> </w:t>
      </w:r>
      <w:r>
        <w:rPr>
          <w:spacing w:val="1"/>
          <w:szCs w:val="22"/>
        </w:rPr>
        <w:t>l</w:t>
      </w:r>
      <w:r>
        <w:rPr>
          <w:szCs w:val="22"/>
        </w:rPr>
        <w:t xml:space="preserve">a </w:t>
      </w:r>
      <w:r>
        <w:rPr>
          <w:spacing w:val="-3"/>
          <w:szCs w:val="22"/>
        </w:rPr>
        <w:t>n</w:t>
      </w:r>
      <w:r>
        <w:rPr>
          <w:spacing w:val="1"/>
          <w:szCs w:val="22"/>
        </w:rPr>
        <w:t>i</w:t>
      </w:r>
      <w:r>
        <w:rPr>
          <w:spacing w:val="-3"/>
          <w:szCs w:val="22"/>
        </w:rPr>
        <w:t>v</w:t>
      </w:r>
      <w:r>
        <w:rPr>
          <w:szCs w:val="22"/>
        </w:rPr>
        <w:t>e</w:t>
      </w:r>
      <w:r>
        <w:rPr>
          <w:spacing w:val="1"/>
          <w:szCs w:val="22"/>
        </w:rPr>
        <w:t>l</w:t>
      </w:r>
      <w:r>
        <w:rPr>
          <w:szCs w:val="22"/>
        </w:rPr>
        <w:t>ul</w:t>
      </w:r>
      <w:r>
        <w:rPr>
          <w:spacing w:val="-4"/>
          <w:szCs w:val="22"/>
        </w:rPr>
        <w:t xml:space="preserve"> </w:t>
      </w:r>
      <w:r>
        <w:rPr>
          <w:szCs w:val="22"/>
        </w:rPr>
        <w:t>anu</w:t>
      </w:r>
      <w:r>
        <w:rPr>
          <w:spacing w:val="1"/>
          <w:szCs w:val="22"/>
        </w:rPr>
        <w:t>l</w:t>
      </w:r>
      <w:r>
        <w:rPr>
          <w:spacing w:val="-3"/>
          <w:szCs w:val="22"/>
        </w:rPr>
        <w:t>u</w:t>
      </w:r>
      <w:r>
        <w:rPr>
          <w:szCs w:val="22"/>
        </w:rPr>
        <w:t>i</w:t>
      </w:r>
      <w:r>
        <w:rPr>
          <w:spacing w:val="1"/>
          <w:szCs w:val="22"/>
        </w:rPr>
        <w:t xml:space="preserve"> </w:t>
      </w:r>
      <w:r>
        <w:rPr>
          <w:spacing w:val="-3"/>
          <w:szCs w:val="22"/>
        </w:rPr>
        <w:t>a</w:t>
      </w:r>
      <w:r>
        <w:rPr>
          <w:szCs w:val="22"/>
        </w:rPr>
        <w:t>l</w:t>
      </w:r>
      <w:r>
        <w:rPr>
          <w:spacing w:val="1"/>
          <w:szCs w:val="22"/>
        </w:rPr>
        <w:t xml:space="preserve"> </w:t>
      </w:r>
      <w:r>
        <w:rPr>
          <w:szCs w:val="22"/>
        </w:rPr>
        <w:t>1</w:t>
      </w:r>
      <w:r>
        <w:rPr>
          <w:spacing w:val="-1"/>
          <w:szCs w:val="22"/>
        </w:rPr>
        <w:t>0</w:t>
      </w:r>
      <w:r>
        <w:rPr>
          <w:spacing w:val="-4"/>
          <w:szCs w:val="22"/>
        </w:rPr>
        <w:t>-</w:t>
      </w:r>
      <w:r>
        <w:rPr>
          <w:spacing w:val="1"/>
          <w:szCs w:val="22"/>
        </w:rPr>
        <w:t>l</w:t>
      </w:r>
      <w:r>
        <w:rPr>
          <w:szCs w:val="22"/>
        </w:rPr>
        <w:t xml:space="preserve">ea </w:t>
      </w:r>
      <w:r>
        <w:rPr>
          <w:spacing w:val="-2"/>
          <w:szCs w:val="22"/>
        </w:rPr>
        <w:t>f</w:t>
      </w:r>
      <w:r>
        <w:rPr>
          <w:szCs w:val="22"/>
        </w:rPr>
        <w:t>a</w:t>
      </w:r>
      <w:r>
        <w:rPr>
          <w:spacing w:val="-2"/>
          <w:szCs w:val="22"/>
        </w:rPr>
        <w:t>ț</w:t>
      </w:r>
      <w:r>
        <w:rPr>
          <w:szCs w:val="22"/>
        </w:rPr>
        <w:t xml:space="preserve">ă de </w:t>
      </w:r>
      <w:r>
        <w:rPr>
          <w:spacing w:val="-3"/>
          <w:szCs w:val="22"/>
        </w:rPr>
        <w:t>v</w:t>
      </w:r>
      <w:r>
        <w:rPr>
          <w:szCs w:val="22"/>
        </w:rPr>
        <w:t>a</w:t>
      </w:r>
      <w:r>
        <w:rPr>
          <w:spacing w:val="1"/>
          <w:szCs w:val="22"/>
        </w:rPr>
        <w:t>l</w:t>
      </w:r>
      <w:r>
        <w:rPr>
          <w:szCs w:val="22"/>
        </w:rPr>
        <w:t>o</w:t>
      </w:r>
      <w:r>
        <w:rPr>
          <w:spacing w:val="-3"/>
          <w:szCs w:val="22"/>
        </w:rPr>
        <w:t>a</w:t>
      </w:r>
      <w:r>
        <w:rPr>
          <w:szCs w:val="22"/>
        </w:rPr>
        <w:t>rea</w:t>
      </w:r>
      <w:r>
        <w:rPr>
          <w:spacing w:val="-2"/>
          <w:szCs w:val="22"/>
        </w:rPr>
        <w:t xml:space="preserve"> </w:t>
      </w:r>
      <w:r>
        <w:rPr>
          <w:spacing w:val="1"/>
          <w:szCs w:val="22"/>
        </w:rPr>
        <w:t>i</w:t>
      </w:r>
      <w:r>
        <w:rPr>
          <w:szCs w:val="22"/>
        </w:rPr>
        <w:t>n</w:t>
      </w:r>
      <w:r>
        <w:rPr>
          <w:spacing w:val="-2"/>
          <w:szCs w:val="22"/>
        </w:rPr>
        <w:t>i</w:t>
      </w:r>
      <w:r>
        <w:rPr>
          <w:spacing w:val="1"/>
          <w:szCs w:val="22"/>
        </w:rPr>
        <w:t>ț</w:t>
      </w:r>
      <w:r>
        <w:rPr>
          <w:spacing w:val="-2"/>
          <w:szCs w:val="22"/>
        </w:rPr>
        <w:t>i</w:t>
      </w:r>
      <w:r>
        <w:rPr>
          <w:szCs w:val="22"/>
        </w:rPr>
        <w:t>a</w:t>
      </w:r>
      <w:r>
        <w:rPr>
          <w:spacing w:val="-2"/>
          <w:szCs w:val="22"/>
        </w:rPr>
        <w:t>l</w:t>
      </w:r>
      <w:r>
        <w:rPr>
          <w:szCs w:val="22"/>
        </w:rPr>
        <w:t>ă 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3"/>
          <w:szCs w:val="22"/>
        </w:rPr>
        <w:t>d</w:t>
      </w:r>
      <w:r>
        <w:rPr>
          <w:szCs w:val="22"/>
        </w:rPr>
        <w:t>e 10,8, 9</w:t>
      </w:r>
      <w:r>
        <w:rPr>
          <w:spacing w:val="-3"/>
          <w:szCs w:val="22"/>
        </w:rPr>
        <w:t>,</w:t>
      </w:r>
      <w:r>
        <w:rPr>
          <w:szCs w:val="22"/>
        </w:rPr>
        <w:t>2 și</w:t>
      </w:r>
      <w:r>
        <w:rPr>
          <w:spacing w:val="-2"/>
          <w:szCs w:val="22"/>
        </w:rPr>
        <w:t xml:space="preserve"> </w:t>
      </w:r>
      <w:r>
        <w:rPr>
          <w:szCs w:val="22"/>
        </w:rPr>
        <w:t>r</w:t>
      </w:r>
      <w:r>
        <w:rPr>
          <w:spacing w:val="-3"/>
          <w:szCs w:val="22"/>
        </w:rPr>
        <w:t>e</w:t>
      </w:r>
      <w:r>
        <w:rPr>
          <w:szCs w:val="22"/>
        </w:rPr>
        <w:t>spe</w:t>
      </w:r>
      <w:r>
        <w:rPr>
          <w:spacing w:val="-3"/>
          <w:szCs w:val="22"/>
        </w:rPr>
        <w:t>c</w:t>
      </w:r>
      <w:r>
        <w:rPr>
          <w:spacing w:val="-2"/>
          <w:szCs w:val="22"/>
        </w:rPr>
        <w:t>t</w:t>
      </w:r>
      <w:r>
        <w:rPr>
          <w:spacing w:val="1"/>
          <w:szCs w:val="22"/>
        </w:rPr>
        <w:t>i</w:t>
      </w:r>
      <w:r>
        <w:rPr>
          <w:szCs w:val="22"/>
        </w:rPr>
        <w:t>v</w:t>
      </w:r>
      <w:r>
        <w:rPr>
          <w:spacing w:val="-3"/>
          <w:szCs w:val="22"/>
        </w:rPr>
        <w:t xml:space="preserve"> </w:t>
      </w:r>
      <w:r>
        <w:rPr>
          <w:szCs w:val="22"/>
        </w:rPr>
        <w:t xml:space="preserve">3,9. </w:t>
      </w:r>
      <w:r>
        <w:rPr>
          <w:spacing w:val="-1"/>
          <w:szCs w:val="22"/>
        </w:rPr>
        <w:t>P</w:t>
      </w:r>
      <w:r>
        <w:rPr>
          <w:szCs w:val="22"/>
        </w:rPr>
        <w:t>ropo</w:t>
      </w:r>
      <w:r>
        <w:rPr>
          <w:spacing w:val="-2"/>
          <w:szCs w:val="22"/>
        </w:rPr>
        <w:t>rț</w:t>
      </w:r>
      <w:r>
        <w:rPr>
          <w:spacing w:val="1"/>
          <w:szCs w:val="22"/>
        </w:rPr>
        <w:t>i</w:t>
      </w:r>
      <w:r>
        <w:rPr>
          <w:spacing w:val="-2"/>
          <w:szCs w:val="22"/>
        </w:rPr>
        <w:t>i</w:t>
      </w:r>
      <w:r>
        <w:rPr>
          <w:spacing w:val="1"/>
          <w:szCs w:val="22"/>
        </w:rPr>
        <w:t>l</w:t>
      </w:r>
      <w:r>
        <w:rPr>
          <w:szCs w:val="22"/>
        </w:rPr>
        <w:t>e c</w:t>
      </w:r>
      <w:r>
        <w:rPr>
          <w:spacing w:val="-3"/>
          <w:szCs w:val="22"/>
        </w:rPr>
        <w:t>o</w:t>
      </w:r>
      <w:r>
        <w:rPr>
          <w:szCs w:val="22"/>
        </w:rPr>
        <w:t>r</w:t>
      </w:r>
      <w:r>
        <w:rPr>
          <w:spacing w:val="-3"/>
          <w:szCs w:val="22"/>
        </w:rPr>
        <w:t>e</w:t>
      </w:r>
      <w:r>
        <w:rPr>
          <w:szCs w:val="22"/>
        </w:rPr>
        <w:t>spun</w:t>
      </w:r>
      <w:r>
        <w:rPr>
          <w:spacing w:val="-3"/>
          <w:szCs w:val="22"/>
        </w:rPr>
        <w:t>z</w:t>
      </w:r>
      <w:r>
        <w:rPr>
          <w:szCs w:val="22"/>
        </w:rPr>
        <w:t>ă</w:t>
      </w:r>
      <w:r>
        <w:rPr>
          <w:spacing w:val="1"/>
          <w:szCs w:val="22"/>
        </w:rPr>
        <w:t>t</w:t>
      </w:r>
      <w:r>
        <w:rPr>
          <w:spacing w:val="-3"/>
          <w:szCs w:val="22"/>
        </w:rPr>
        <w:t>o</w:t>
      </w:r>
      <w:r>
        <w:rPr>
          <w:szCs w:val="22"/>
        </w:rPr>
        <w:t>are</w:t>
      </w:r>
      <w:r>
        <w:rPr>
          <w:spacing w:val="-2"/>
          <w:szCs w:val="22"/>
        </w:rPr>
        <w:t xml:space="preserve"> </w:t>
      </w:r>
      <w:r>
        <w:rPr>
          <w:szCs w:val="22"/>
        </w:rPr>
        <w:t>de pa</w:t>
      </w:r>
      <w:r>
        <w:rPr>
          <w:spacing w:val="-3"/>
          <w:szCs w:val="22"/>
        </w:rPr>
        <w:t>c</w:t>
      </w:r>
      <w:r>
        <w:rPr>
          <w:spacing w:val="1"/>
          <w:szCs w:val="22"/>
        </w:rPr>
        <w:t>i</w:t>
      </w:r>
      <w:r>
        <w:rPr>
          <w:szCs w:val="22"/>
        </w:rPr>
        <w:t>e</w:t>
      </w:r>
      <w:r>
        <w:rPr>
          <w:spacing w:val="-3"/>
          <w:szCs w:val="22"/>
        </w:rPr>
        <w:t>n</w:t>
      </w:r>
      <w:r>
        <w:rPr>
          <w:spacing w:val="1"/>
          <w:szCs w:val="22"/>
        </w:rPr>
        <w:t>ț</w:t>
      </w:r>
      <w:r>
        <w:rPr>
          <w:szCs w:val="22"/>
        </w:rPr>
        <w:t>i</w:t>
      </w:r>
      <w:r>
        <w:rPr>
          <w:spacing w:val="-2"/>
          <w:szCs w:val="22"/>
        </w:rPr>
        <w:t xml:space="preserve"> </w:t>
      </w:r>
      <w:r>
        <w:rPr>
          <w:szCs w:val="22"/>
        </w:rPr>
        <w:t>f</w:t>
      </w:r>
      <w:r>
        <w:rPr>
          <w:spacing w:val="-3"/>
          <w:szCs w:val="22"/>
        </w:rPr>
        <w:t>ă</w:t>
      </w:r>
      <w:r>
        <w:rPr>
          <w:szCs w:val="22"/>
        </w:rPr>
        <w:t>ră pro</w:t>
      </w:r>
      <w:r>
        <w:rPr>
          <w:spacing w:val="-3"/>
          <w:szCs w:val="22"/>
        </w:rPr>
        <w:t>g</w:t>
      </w:r>
      <w:r>
        <w:rPr>
          <w:szCs w:val="22"/>
        </w:rPr>
        <w:t>re</w:t>
      </w:r>
      <w:r>
        <w:rPr>
          <w:spacing w:val="-2"/>
          <w:szCs w:val="22"/>
        </w:rPr>
        <w:t>s</w:t>
      </w:r>
      <w:r>
        <w:rPr>
          <w:spacing w:val="1"/>
          <w:szCs w:val="22"/>
        </w:rPr>
        <w:t>i</w:t>
      </w:r>
      <w:r>
        <w:rPr>
          <w:szCs w:val="22"/>
        </w:rPr>
        <w:t xml:space="preserve">e </w:t>
      </w:r>
      <w:r>
        <w:rPr>
          <w:spacing w:val="-2"/>
          <w:szCs w:val="22"/>
        </w:rPr>
        <w:t>r</w:t>
      </w:r>
      <w:r>
        <w:rPr>
          <w:szCs w:val="22"/>
        </w:rPr>
        <w:t>ad</w:t>
      </w:r>
      <w:r>
        <w:rPr>
          <w:spacing w:val="-2"/>
          <w:szCs w:val="22"/>
        </w:rPr>
        <w:t>i</w:t>
      </w:r>
      <w:r>
        <w:rPr>
          <w:szCs w:val="22"/>
        </w:rPr>
        <w:t>o</w:t>
      </w:r>
      <w:r>
        <w:rPr>
          <w:spacing w:val="-3"/>
          <w:szCs w:val="22"/>
        </w:rPr>
        <w:t>g</w:t>
      </w:r>
      <w:r>
        <w:rPr>
          <w:szCs w:val="22"/>
        </w:rPr>
        <w:t>ra</w:t>
      </w:r>
      <w:r>
        <w:rPr>
          <w:spacing w:val="-2"/>
          <w:szCs w:val="22"/>
        </w:rPr>
        <w:t>f</w:t>
      </w:r>
      <w:r>
        <w:rPr>
          <w:spacing w:val="1"/>
          <w:szCs w:val="22"/>
        </w:rPr>
        <w:t>i</w:t>
      </w:r>
      <w:r>
        <w:rPr>
          <w:szCs w:val="22"/>
        </w:rPr>
        <w:t>că</w:t>
      </w:r>
      <w:r>
        <w:rPr>
          <w:spacing w:val="-2"/>
          <w:szCs w:val="22"/>
        </w:rPr>
        <w:t xml:space="preserve"> </w:t>
      </w:r>
      <w:r>
        <w:rPr>
          <w:szCs w:val="22"/>
        </w:rPr>
        <w:t>au f</w:t>
      </w:r>
      <w:r>
        <w:rPr>
          <w:spacing w:val="-3"/>
          <w:szCs w:val="22"/>
        </w:rPr>
        <w:t>o</w:t>
      </w:r>
      <w:r>
        <w:rPr>
          <w:szCs w:val="22"/>
        </w:rPr>
        <w:t>st</w:t>
      </w:r>
      <w:r>
        <w:rPr>
          <w:spacing w:val="1"/>
          <w:szCs w:val="22"/>
        </w:rPr>
        <w:t xml:space="preserve"> </w:t>
      </w:r>
      <w:r>
        <w:rPr>
          <w:szCs w:val="22"/>
        </w:rPr>
        <w:t>31</w:t>
      </w:r>
      <w:r>
        <w:rPr>
          <w:spacing w:val="-3"/>
          <w:szCs w:val="22"/>
        </w:rPr>
        <w:t>,</w:t>
      </w:r>
      <w:r>
        <w:rPr>
          <w:szCs w:val="22"/>
        </w:rPr>
        <w:t xml:space="preserve">3%, </w:t>
      </w:r>
      <w:r>
        <w:rPr>
          <w:spacing w:val="-3"/>
          <w:szCs w:val="22"/>
        </w:rPr>
        <w:t>2</w:t>
      </w:r>
      <w:r>
        <w:rPr>
          <w:szCs w:val="22"/>
        </w:rPr>
        <w:t>3,</w:t>
      </w:r>
      <w:r>
        <w:rPr>
          <w:spacing w:val="-3"/>
          <w:szCs w:val="22"/>
        </w:rPr>
        <w:t>7</w:t>
      </w:r>
      <w:r>
        <w:rPr>
          <w:szCs w:val="22"/>
        </w:rPr>
        <w:t>%</w:t>
      </w:r>
      <w:r>
        <w:rPr>
          <w:spacing w:val="1"/>
          <w:szCs w:val="22"/>
        </w:rPr>
        <w:t xml:space="preserve"> </w:t>
      </w:r>
      <w:r>
        <w:rPr>
          <w:szCs w:val="22"/>
        </w:rPr>
        <w:t>și</w:t>
      </w:r>
      <w:r>
        <w:rPr>
          <w:spacing w:val="-2"/>
          <w:szCs w:val="22"/>
        </w:rPr>
        <w:t xml:space="preserve"> </w:t>
      </w:r>
      <w:r>
        <w:rPr>
          <w:szCs w:val="22"/>
        </w:rPr>
        <w:t>r</w:t>
      </w:r>
      <w:r>
        <w:rPr>
          <w:spacing w:val="-3"/>
          <w:szCs w:val="22"/>
        </w:rPr>
        <w:t>e</w:t>
      </w:r>
      <w:r>
        <w:rPr>
          <w:szCs w:val="22"/>
        </w:rPr>
        <w:t>spe</w:t>
      </w:r>
      <w:r>
        <w:rPr>
          <w:spacing w:val="-3"/>
          <w:szCs w:val="22"/>
        </w:rPr>
        <w:t>c</w:t>
      </w:r>
      <w:r>
        <w:rPr>
          <w:spacing w:val="1"/>
          <w:szCs w:val="22"/>
        </w:rPr>
        <w:t>t</w:t>
      </w:r>
      <w:r>
        <w:rPr>
          <w:spacing w:val="-2"/>
          <w:szCs w:val="22"/>
        </w:rPr>
        <w:t>i</w:t>
      </w:r>
      <w:r>
        <w:rPr>
          <w:szCs w:val="22"/>
        </w:rPr>
        <w:t>v</w:t>
      </w:r>
      <w:r>
        <w:rPr>
          <w:spacing w:val="-3"/>
          <w:szCs w:val="22"/>
        </w:rPr>
        <w:t xml:space="preserve"> </w:t>
      </w:r>
      <w:r>
        <w:rPr>
          <w:szCs w:val="22"/>
        </w:rPr>
        <w:t>36,7%.</w:t>
      </w:r>
    </w:p>
    <w:p w14:paraId="4EFBAB6F" w14:textId="77777777" w:rsidR="00C04CAD" w:rsidRDefault="00C04CAD">
      <w:pPr>
        <w:autoSpaceDE w:val="0"/>
        <w:autoSpaceDN w:val="0"/>
        <w:adjustRightInd w:val="0"/>
        <w:spacing w:line="240" w:lineRule="auto"/>
        <w:rPr>
          <w:szCs w:val="22"/>
        </w:rPr>
      </w:pPr>
    </w:p>
    <w:p w14:paraId="27ECAEB9" w14:textId="77777777" w:rsidR="00C04CAD" w:rsidRDefault="00060E34">
      <w:pPr>
        <w:keepNext/>
        <w:tabs>
          <w:tab w:val="clear" w:pos="567"/>
        </w:tabs>
        <w:kinsoku w:val="0"/>
        <w:overflowPunct w:val="0"/>
        <w:autoSpaceDE w:val="0"/>
        <w:autoSpaceDN w:val="0"/>
        <w:adjustRightInd w:val="0"/>
        <w:spacing w:line="240" w:lineRule="auto"/>
        <w:rPr>
          <w:szCs w:val="22"/>
        </w:rPr>
      </w:pPr>
      <w:r>
        <w:rPr>
          <w:i/>
          <w:spacing w:val="-1"/>
          <w:szCs w:val="22"/>
          <w:u w:val="single"/>
        </w:rPr>
        <w:t>C</w:t>
      </w:r>
      <w:r>
        <w:rPr>
          <w:i/>
          <w:szCs w:val="22"/>
          <w:u w:val="single"/>
        </w:rPr>
        <w:t>a</w:t>
      </w:r>
      <w:r>
        <w:rPr>
          <w:i/>
          <w:spacing w:val="1"/>
          <w:szCs w:val="22"/>
          <w:u w:val="single"/>
        </w:rPr>
        <w:t>l</w:t>
      </w:r>
      <w:r>
        <w:rPr>
          <w:i/>
          <w:spacing w:val="-2"/>
          <w:szCs w:val="22"/>
          <w:u w:val="single"/>
        </w:rPr>
        <w:t>i</w:t>
      </w:r>
      <w:r>
        <w:rPr>
          <w:i/>
          <w:spacing w:val="1"/>
          <w:szCs w:val="22"/>
          <w:u w:val="single"/>
        </w:rPr>
        <w:t>t</w:t>
      </w:r>
      <w:r>
        <w:rPr>
          <w:i/>
          <w:szCs w:val="22"/>
          <w:u w:val="single"/>
        </w:rPr>
        <w:t>a</w:t>
      </w:r>
      <w:r>
        <w:rPr>
          <w:i/>
          <w:spacing w:val="-2"/>
          <w:szCs w:val="22"/>
          <w:u w:val="single"/>
        </w:rPr>
        <w:t>t</w:t>
      </w:r>
      <w:r>
        <w:rPr>
          <w:i/>
          <w:szCs w:val="22"/>
          <w:u w:val="single"/>
        </w:rPr>
        <w:t>ea</w:t>
      </w:r>
      <w:r>
        <w:rPr>
          <w:i/>
          <w:spacing w:val="-1"/>
          <w:szCs w:val="22"/>
          <w:u w:val="single"/>
        </w:rPr>
        <w:t xml:space="preserve"> </w:t>
      </w:r>
      <w:r>
        <w:rPr>
          <w:i/>
          <w:spacing w:val="-3"/>
          <w:szCs w:val="22"/>
          <w:u w:val="single"/>
        </w:rPr>
        <w:t>v</w:t>
      </w:r>
      <w:r>
        <w:rPr>
          <w:i/>
          <w:spacing w:val="1"/>
          <w:szCs w:val="22"/>
          <w:u w:val="single"/>
        </w:rPr>
        <w:t>i</w:t>
      </w:r>
      <w:r>
        <w:rPr>
          <w:i/>
          <w:spacing w:val="-3"/>
          <w:szCs w:val="22"/>
          <w:u w:val="single"/>
        </w:rPr>
        <w:t>e</w:t>
      </w:r>
      <w:r>
        <w:rPr>
          <w:i/>
          <w:spacing w:val="1"/>
          <w:szCs w:val="22"/>
          <w:u w:val="single"/>
        </w:rPr>
        <w:t>ţ</w:t>
      </w:r>
      <w:r>
        <w:rPr>
          <w:i/>
          <w:spacing w:val="-2"/>
          <w:szCs w:val="22"/>
          <w:u w:val="single"/>
        </w:rPr>
        <w:t>i</w:t>
      </w:r>
      <w:r>
        <w:rPr>
          <w:i/>
          <w:szCs w:val="22"/>
          <w:u w:val="single"/>
        </w:rPr>
        <w:t>i</w:t>
      </w:r>
      <w:r>
        <w:rPr>
          <w:i/>
          <w:spacing w:val="1"/>
          <w:szCs w:val="22"/>
          <w:u w:val="single"/>
        </w:rPr>
        <w:t xml:space="preserve"> </w:t>
      </w:r>
      <w:r>
        <w:rPr>
          <w:i/>
          <w:spacing w:val="-2"/>
          <w:szCs w:val="22"/>
          <w:u w:val="single"/>
        </w:rPr>
        <w:t>ş</w:t>
      </w:r>
      <w:r>
        <w:rPr>
          <w:i/>
          <w:szCs w:val="22"/>
          <w:u w:val="single"/>
        </w:rPr>
        <w:t xml:space="preserve">i </w:t>
      </w:r>
      <w:r>
        <w:rPr>
          <w:i/>
          <w:spacing w:val="1"/>
          <w:szCs w:val="22"/>
          <w:u w:val="single"/>
        </w:rPr>
        <w:t>f</w:t>
      </w:r>
      <w:r>
        <w:rPr>
          <w:i/>
          <w:szCs w:val="22"/>
          <w:u w:val="single"/>
        </w:rPr>
        <w:t>u</w:t>
      </w:r>
      <w:r>
        <w:rPr>
          <w:i/>
          <w:spacing w:val="-3"/>
          <w:szCs w:val="22"/>
          <w:u w:val="single"/>
        </w:rPr>
        <w:t>n</w:t>
      </w:r>
      <w:r>
        <w:rPr>
          <w:i/>
          <w:szCs w:val="22"/>
          <w:u w:val="single"/>
        </w:rPr>
        <w:t>c</w:t>
      </w:r>
      <w:r>
        <w:rPr>
          <w:i/>
          <w:spacing w:val="-2"/>
          <w:szCs w:val="22"/>
          <w:u w:val="single"/>
        </w:rPr>
        <w:t>ţ</w:t>
      </w:r>
      <w:r>
        <w:rPr>
          <w:i/>
          <w:spacing w:val="1"/>
          <w:szCs w:val="22"/>
          <w:u w:val="single"/>
        </w:rPr>
        <w:t>i</w:t>
      </w:r>
      <w:r>
        <w:rPr>
          <w:i/>
          <w:szCs w:val="22"/>
          <w:u w:val="single"/>
        </w:rPr>
        <w:t>on</w:t>
      </w:r>
      <w:r>
        <w:rPr>
          <w:i/>
          <w:spacing w:val="-3"/>
          <w:szCs w:val="22"/>
          <w:u w:val="single"/>
        </w:rPr>
        <w:t>a</w:t>
      </w:r>
      <w:r>
        <w:rPr>
          <w:i/>
          <w:spacing w:val="1"/>
          <w:szCs w:val="22"/>
          <w:u w:val="single"/>
        </w:rPr>
        <w:t>l</w:t>
      </w:r>
      <w:r>
        <w:rPr>
          <w:i/>
          <w:spacing w:val="-2"/>
          <w:szCs w:val="22"/>
          <w:u w:val="single"/>
        </w:rPr>
        <w:t>i</w:t>
      </w:r>
      <w:r>
        <w:rPr>
          <w:i/>
          <w:spacing w:val="1"/>
          <w:szCs w:val="22"/>
          <w:u w:val="single"/>
        </w:rPr>
        <w:t>t</w:t>
      </w:r>
      <w:r>
        <w:rPr>
          <w:i/>
          <w:szCs w:val="22"/>
          <w:u w:val="single"/>
        </w:rPr>
        <w:t>a</w:t>
      </w:r>
      <w:r>
        <w:rPr>
          <w:i/>
          <w:spacing w:val="-2"/>
          <w:szCs w:val="22"/>
          <w:u w:val="single"/>
        </w:rPr>
        <w:t>t</w:t>
      </w:r>
      <w:r>
        <w:rPr>
          <w:i/>
          <w:szCs w:val="22"/>
          <w:u w:val="single"/>
        </w:rPr>
        <w:t>ea a</w:t>
      </w:r>
      <w:r>
        <w:rPr>
          <w:i/>
          <w:spacing w:val="-2"/>
          <w:szCs w:val="22"/>
          <w:u w:val="single"/>
        </w:rPr>
        <w:t>r</w:t>
      </w:r>
      <w:r>
        <w:rPr>
          <w:i/>
          <w:spacing w:val="1"/>
          <w:szCs w:val="22"/>
          <w:u w:val="single"/>
        </w:rPr>
        <w:t>t</w:t>
      </w:r>
      <w:r>
        <w:rPr>
          <w:i/>
          <w:spacing w:val="-2"/>
          <w:szCs w:val="22"/>
          <w:u w:val="single"/>
        </w:rPr>
        <w:t>i</w:t>
      </w:r>
      <w:r>
        <w:rPr>
          <w:i/>
          <w:szCs w:val="22"/>
          <w:u w:val="single"/>
        </w:rPr>
        <w:t>cu</w:t>
      </w:r>
      <w:r>
        <w:rPr>
          <w:i/>
          <w:spacing w:val="-2"/>
          <w:szCs w:val="22"/>
          <w:u w:val="single"/>
        </w:rPr>
        <w:t>l</w:t>
      </w:r>
      <w:r>
        <w:rPr>
          <w:i/>
          <w:szCs w:val="22"/>
          <w:u w:val="single"/>
        </w:rPr>
        <w:t>ară</w:t>
      </w:r>
    </w:p>
    <w:p w14:paraId="3DF7AA2D" w14:textId="77777777" w:rsidR="00C04CAD" w:rsidRDefault="00C04CAD">
      <w:pPr>
        <w:keepNext/>
        <w:tabs>
          <w:tab w:val="clear" w:pos="567"/>
        </w:tabs>
        <w:kinsoku w:val="0"/>
        <w:overflowPunct w:val="0"/>
        <w:autoSpaceDE w:val="0"/>
        <w:autoSpaceDN w:val="0"/>
        <w:adjustRightInd w:val="0"/>
        <w:spacing w:line="240" w:lineRule="auto"/>
        <w:rPr>
          <w:szCs w:val="22"/>
        </w:rPr>
      </w:pPr>
    </w:p>
    <w:p w14:paraId="61485850" w14:textId="77777777" w:rsidR="00C04CAD" w:rsidRDefault="00060E34">
      <w:pPr>
        <w:keepNext/>
        <w:tabs>
          <w:tab w:val="clear" w:pos="567"/>
        </w:tabs>
        <w:kinsoku w:val="0"/>
        <w:overflowPunct w:val="0"/>
        <w:autoSpaceDE w:val="0"/>
        <w:autoSpaceDN w:val="0"/>
        <w:adjustRightInd w:val="0"/>
        <w:spacing w:line="240" w:lineRule="auto"/>
        <w:rPr>
          <w:szCs w:val="22"/>
        </w:rPr>
      </w:pPr>
      <w:r>
        <w:rPr>
          <w:spacing w:val="-1"/>
          <w:szCs w:val="22"/>
        </w:rPr>
        <w:t>C</w:t>
      </w:r>
      <w:r>
        <w:rPr>
          <w:szCs w:val="22"/>
        </w:rPr>
        <w:t>a</w:t>
      </w:r>
      <w:r>
        <w:rPr>
          <w:spacing w:val="1"/>
          <w:szCs w:val="22"/>
        </w:rPr>
        <w:t>l</w:t>
      </w:r>
      <w:r>
        <w:rPr>
          <w:spacing w:val="-2"/>
          <w:szCs w:val="22"/>
        </w:rPr>
        <w:t>i</w:t>
      </w:r>
      <w:r>
        <w:rPr>
          <w:spacing w:val="1"/>
          <w:szCs w:val="22"/>
        </w:rPr>
        <w:t>t</w:t>
      </w:r>
      <w:r>
        <w:rPr>
          <w:spacing w:val="-3"/>
          <w:szCs w:val="22"/>
        </w:rPr>
        <w:t>a</w:t>
      </w:r>
      <w:r>
        <w:rPr>
          <w:spacing w:val="1"/>
          <w:szCs w:val="22"/>
        </w:rPr>
        <w:t>t</w:t>
      </w:r>
      <w:r>
        <w:rPr>
          <w:szCs w:val="22"/>
        </w:rPr>
        <w:t xml:space="preserve">ea </w:t>
      </w:r>
      <w:r>
        <w:rPr>
          <w:spacing w:val="-3"/>
          <w:szCs w:val="22"/>
        </w:rPr>
        <w:t>v</w:t>
      </w:r>
      <w:r>
        <w:rPr>
          <w:spacing w:val="1"/>
          <w:szCs w:val="22"/>
        </w:rPr>
        <w:t>i</w:t>
      </w:r>
      <w:r>
        <w:rPr>
          <w:spacing w:val="-3"/>
          <w:szCs w:val="22"/>
        </w:rPr>
        <w:t>e</w:t>
      </w:r>
      <w:r>
        <w:rPr>
          <w:spacing w:val="1"/>
          <w:szCs w:val="22"/>
        </w:rPr>
        <w:t>ţ</w:t>
      </w:r>
      <w:r>
        <w:rPr>
          <w:spacing w:val="-2"/>
          <w:szCs w:val="22"/>
        </w:rPr>
        <w:t>i</w:t>
      </w:r>
      <w:r>
        <w:rPr>
          <w:szCs w:val="22"/>
        </w:rPr>
        <w:t>i</w:t>
      </w:r>
      <w:r>
        <w:rPr>
          <w:spacing w:val="-2"/>
          <w:szCs w:val="22"/>
        </w:rPr>
        <w:t xml:space="preserve"> </w:t>
      </w:r>
      <w:r>
        <w:rPr>
          <w:spacing w:val="1"/>
          <w:szCs w:val="22"/>
        </w:rPr>
        <w:t>î</w:t>
      </w:r>
      <w:r>
        <w:rPr>
          <w:szCs w:val="22"/>
        </w:rPr>
        <w:t>n f</w:t>
      </w:r>
      <w:r>
        <w:rPr>
          <w:spacing w:val="-3"/>
          <w:szCs w:val="22"/>
        </w:rPr>
        <w:t>u</w:t>
      </w:r>
      <w:r>
        <w:rPr>
          <w:szCs w:val="22"/>
        </w:rPr>
        <w:t>nc</w:t>
      </w:r>
      <w:r>
        <w:rPr>
          <w:spacing w:val="-2"/>
          <w:szCs w:val="22"/>
        </w:rPr>
        <w:t>ţ</w:t>
      </w:r>
      <w:r>
        <w:rPr>
          <w:spacing w:val="1"/>
          <w:szCs w:val="22"/>
        </w:rPr>
        <w:t>i</w:t>
      </w:r>
      <w:r>
        <w:rPr>
          <w:szCs w:val="22"/>
        </w:rPr>
        <w:t xml:space="preserve">e </w:t>
      </w:r>
      <w:r>
        <w:rPr>
          <w:spacing w:val="-3"/>
          <w:szCs w:val="22"/>
        </w:rPr>
        <w:t>d</w:t>
      </w:r>
      <w:r>
        <w:rPr>
          <w:szCs w:val="22"/>
        </w:rPr>
        <w:t>e</w:t>
      </w:r>
      <w:r>
        <w:rPr>
          <w:spacing w:val="-2"/>
          <w:szCs w:val="22"/>
        </w:rPr>
        <w:t xml:space="preserve"> </w:t>
      </w:r>
      <w:r>
        <w:rPr>
          <w:szCs w:val="22"/>
        </w:rPr>
        <w:t>s</w:t>
      </w:r>
      <w:r>
        <w:rPr>
          <w:spacing w:val="1"/>
          <w:szCs w:val="22"/>
        </w:rPr>
        <w:t>t</w:t>
      </w:r>
      <w:r>
        <w:rPr>
          <w:spacing w:val="-3"/>
          <w:szCs w:val="22"/>
        </w:rPr>
        <w:t>a</w:t>
      </w:r>
      <w:r>
        <w:rPr>
          <w:szCs w:val="22"/>
        </w:rPr>
        <w:t>rea</w:t>
      </w:r>
      <w:r>
        <w:rPr>
          <w:spacing w:val="-2"/>
          <w:szCs w:val="22"/>
        </w:rPr>
        <w:t xml:space="preserve"> </w:t>
      </w:r>
      <w:r>
        <w:rPr>
          <w:szCs w:val="22"/>
        </w:rPr>
        <w:t xml:space="preserve">de </w:t>
      </w:r>
      <w:r>
        <w:rPr>
          <w:spacing w:val="-2"/>
          <w:szCs w:val="22"/>
        </w:rPr>
        <w:t>s</w:t>
      </w:r>
      <w:r>
        <w:rPr>
          <w:szCs w:val="22"/>
        </w:rPr>
        <w:t>ăn</w:t>
      </w:r>
      <w:r>
        <w:rPr>
          <w:spacing w:val="-3"/>
          <w:szCs w:val="22"/>
        </w:rPr>
        <w:t>ă</w:t>
      </w:r>
      <w:r>
        <w:rPr>
          <w:spacing w:val="1"/>
          <w:szCs w:val="22"/>
        </w:rPr>
        <w:t>t</w:t>
      </w:r>
      <w:r>
        <w:rPr>
          <w:szCs w:val="22"/>
        </w:rPr>
        <w:t>a</w:t>
      </w:r>
      <w:r>
        <w:rPr>
          <w:spacing w:val="-2"/>
          <w:szCs w:val="22"/>
        </w:rPr>
        <w:t>t</w:t>
      </w:r>
      <w:r>
        <w:rPr>
          <w:szCs w:val="22"/>
        </w:rPr>
        <w:t xml:space="preserve">e </w:t>
      </w:r>
      <w:r>
        <w:rPr>
          <w:spacing w:val="-2"/>
          <w:szCs w:val="22"/>
        </w:rPr>
        <w:t>ş</w:t>
      </w:r>
      <w:r>
        <w:rPr>
          <w:szCs w:val="22"/>
        </w:rPr>
        <w:t>i</w:t>
      </w:r>
      <w:r>
        <w:rPr>
          <w:spacing w:val="1"/>
          <w:szCs w:val="22"/>
        </w:rPr>
        <w:t xml:space="preserve"> </w:t>
      </w:r>
      <w:r>
        <w:rPr>
          <w:szCs w:val="22"/>
        </w:rPr>
        <w:t>f</w:t>
      </w:r>
      <w:r>
        <w:rPr>
          <w:spacing w:val="-3"/>
          <w:szCs w:val="22"/>
        </w:rPr>
        <w:t>u</w:t>
      </w:r>
      <w:r>
        <w:rPr>
          <w:szCs w:val="22"/>
        </w:rPr>
        <w:t>nc</w:t>
      </w:r>
      <w:r>
        <w:rPr>
          <w:spacing w:val="-2"/>
          <w:szCs w:val="22"/>
        </w:rPr>
        <w:t>ţi</w:t>
      </w:r>
      <w:r>
        <w:rPr>
          <w:szCs w:val="22"/>
        </w:rPr>
        <w:t xml:space="preserve">a </w:t>
      </w:r>
      <w:r>
        <w:rPr>
          <w:spacing w:val="-4"/>
          <w:szCs w:val="22"/>
        </w:rPr>
        <w:t>m</w:t>
      </w:r>
      <w:r>
        <w:rPr>
          <w:szCs w:val="22"/>
        </w:rPr>
        <w:t>o</w:t>
      </w:r>
      <w:r>
        <w:rPr>
          <w:spacing w:val="1"/>
          <w:szCs w:val="22"/>
        </w:rPr>
        <w:t>t</w:t>
      </w:r>
      <w:r>
        <w:rPr>
          <w:szCs w:val="22"/>
        </w:rPr>
        <w:t>or</w:t>
      </w:r>
      <w:r>
        <w:rPr>
          <w:spacing w:val="1"/>
          <w:szCs w:val="22"/>
        </w:rPr>
        <w:t>i</w:t>
      </w:r>
      <w:r>
        <w:rPr>
          <w:szCs w:val="22"/>
        </w:rPr>
        <w:t>e</w:t>
      </w:r>
      <w:r>
        <w:rPr>
          <w:spacing w:val="-2"/>
          <w:szCs w:val="22"/>
        </w:rPr>
        <w:t xml:space="preserve"> </w:t>
      </w:r>
      <w:r>
        <w:rPr>
          <w:szCs w:val="22"/>
        </w:rPr>
        <w:t xml:space="preserve">au </w:t>
      </w:r>
      <w:r>
        <w:rPr>
          <w:spacing w:val="-2"/>
          <w:szCs w:val="22"/>
        </w:rPr>
        <w:t>f</w:t>
      </w:r>
      <w:r>
        <w:rPr>
          <w:szCs w:val="22"/>
        </w:rPr>
        <w:t>ost</w:t>
      </w:r>
      <w:r>
        <w:rPr>
          <w:spacing w:val="-2"/>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t</w:t>
      </w:r>
      <w:r>
        <w:rPr>
          <w:szCs w:val="22"/>
        </w:rPr>
        <w:t xml:space="preserve">e </w:t>
      </w:r>
      <w:r>
        <w:rPr>
          <w:spacing w:val="-3"/>
          <w:szCs w:val="22"/>
        </w:rPr>
        <w:t>c</w:t>
      </w:r>
      <w:r>
        <w:rPr>
          <w:szCs w:val="22"/>
        </w:rPr>
        <w:t xml:space="preserve">u </w:t>
      </w:r>
      <w:r>
        <w:rPr>
          <w:spacing w:val="-3"/>
          <w:szCs w:val="22"/>
        </w:rPr>
        <w:t>a</w:t>
      </w:r>
      <w:r>
        <w:rPr>
          <w:spacing w:val="3"/>
          <w:szCs w:val="22"/>
        </w:rPr>
        <w:t>j</w:t>
      </w:r>
      <w:r>
        <w:rPr>
          <w:spacing w:val="-3"/>
          <w:szCs w:val="22"/>
        </w:rPr>
        <w:t>u</w:t>
      </w:r>
      <w:r>
        <w:rPr>
          <w:spacing w:val="1"/>
          <w:szCs w:val="22"/>
        </w:rPr>
        <w:t>t</w:t>
      </w:r>
      <w:r>
        <w:rPr>
          <w:szCs w:val="22"/>
        </w:rPr>
        <w:t>o</w:t>
      </w:r>
      <w:r>
        <w:rPr>
          <w:spacing w:val="-2"/>
          <w:szCs w:val="22"/>
        </w:rPr>
        <w:t>r</w:t>
      </w:r>
      <w:r>
        <w:rPr>
          <w:szCs w:val="22"/>
        </w:rPr>
        <w:t>ul</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e</w:t>
      </w:r>
      <w:r>
        <w:rPr>
          <w:spacing w:val="1"/>
          <w:szCs w:val="22"/>
        </w:rPr>
        <w:t>l</w:t>
      </w:r>
      <w:r>
        <w:rPr>
          <w:szCs w:val="22"/>
        </w:rPr>
        <w:t>ui de d</w:t>
      </w:r>
      <w:r>
        <w:rPr>
          <w:spacing w:val="1"/>
          <w:szCs w:val="22"/>
        </w:rPr>
        <w:t>i</w:t>
      </w:r>
      <w:r>
        <w:rPr>
          <w:spacing w:val="-3"/>
          <w:szCs w:val="22"/>
        </w:rPr>
        <w:t>z</w:t>
      </w:r>
      <w:r>
        <w:rPr>
          <w:szCs w:val="22"/>
        </w:rPr>
        <w:t>a</w:t>
      </w:r>
      <w:r>
        <w:rPr>
          <w:spacing w:val="-3"/>
          <w:szCs w:val="22"/>
        </w:rPr>
        <w:t>b</w:t>
      </w:r>
      <w:r>
        <w:rPr>
          <w:spacing w:val="1"/>
          <w:szCs w:val="22"/>
        </w:rPr>
        <w:t>i</w:t>
      </w:r>
      <w:r>
        <w:rPr>
          <w:spacing w:val="-2"/>
          <w:szCs w:val="22"/>
        </w:rPr>
        <w:t>l</w:t>
      </w:r>
      <w:r>
        <w:rPr>
          <w:spacing w:val="1"/>
          <w:szCs w:val="22"/>
        </w:rPr>
        <w:t>it</w:t>
      </w:r>
      <w:r>
        <w:rPr>
          <w:spacing w:val="-3"/>
          <w:szCs w:val="22"/>
        </w:rPr>
        <w:t>a</w:t>
      </w:r>
      <w:r>
        <w:rPr>
          <w:spacing w:val="1"/>
          <w:szCs w:val="22"/>
        </w:rPr>
        <w:t>t</w:t>
      </w:r>
      <w:r>
        <w:rPr>
          <w:szCs w:val="22"/>
        </w:rPr>
        <w:t>e</w:t>
      </w:r>
      <w:r>
        <w:rPr>
          <w:spacing w:val="-2"/>
          <w:szCs w:val="22"/>
        </w:rPr>
        <w:t xml:space="preserve"> </w:t>
      </w:r>
      <w:r>
        <w:rPr>
          <w:szCs w:val="22"/>
        </w:rPr>
        <w:t>d</w:t>
      </w:r>
      <w:r>
        <w:rPr>
          <w:spacing w:val="1"/>
          <w:szCs w:val="22"/>
        </w:rPr>
        <w:t>i</w:t>
      </w:r>
      <w:r>
        <w:rPr>
          <w:szCs w:val="22"/>
        </w:rPr>
        <w:t>n</w:t>
      </w:r>
      <w:r>
        <w:rPr>
          <w:spacing w:val="-3"/>
          <w:szCs w:val="22"/>
        </w:rPr>
        <w:t xml:space="preserve"> </w:t>
      </w:r>
      <w:r>
        <w:rPr>
          <w:szCs w:val="22"/>
        </w:rPr>
        <w:t>che</w:t>
      </w:r>
      <w:r>
        <w:rPr>
          <w:spacing w:val="-2"/>
          <w:szCs w:val="22"/>
        </w:rPr>
        <w:t>s</w:t>
      </w:r>
      <w:r>
        <w:rPr>
          <w:spacing w:val="1"/>
          <w:szCs w:val="22"/>
        </w:rPr>
        <w:t>t</w:t>
      </w:r>
      <w:r>
        <w:rPr>
          <w:spacing w:val="-2"/>
          <w:szCs w:val="22"/>
        </w:rPr>
        <w:t>i</w:t>
      </w:r>
      <w:r>
        <w:rPr>
          <w:szCs w:val="22"/>
        </w:rPr>
        <w:t>o</w:t>
      </w:r>
      <w:r>
        <w:rPr>
          <w:spacing w:val="-3"/>
          <w:szCs w:val="22"/>
        </w:rPr>
        <w:t>n</w:t>
      </w:r>
      <w:r>
        <w:rPr>
          <w:szCs w:val="22"/>
        </w:rPr>
        <w:t>arul</w:t>
      </w:r>
      <w:r>
        <w:rPr>
          <w:spacing w:val="-2"/>
          <w:szCs w:val="22"/>
        </w:rPr>
        <w:t xml:space="preserve"> </w:t>
      </w:r>
      <w:r>
        <w:rPr>
          <w:szCs w:val="22"/>
        </w:rPr>
        <w:t>de e</w:t>
      </w:r>
      <w:r>
        <w:rPr>
          <w:spacing w:val="-3"/>
          <w:szCs w:val="22"/>
        </w:rPr>
        <w:t>v</w:t>
      </w:r>
      <w:r>
        <w:rPr>
          <w:szCs w:val="22"/>
        </w:rPr>
        <w:t>a</w:t>
      </w:r>
      <w:r>
        <w:rPr>
          <w:spacing w:val="-2"/>
          <w:szCs w:val="22"/>
        </w:rPr>
        <w:t>l</w:t>
      </w:r>
      <w:r>
        <w:rPr>
          <w:szCs w:val="22"/>
        </w:rPr>
        <w:t>ua</w:t>
      </w:r>
      <w:r>
        <w:rPr>
          <w:spacing w:val="-2"/>
          <w:szCs w:val="22"/>
        </w:rPr>
        <w:t>r</w:t>
      </w:r>
      <w:r>
        <w:rPr>
          <w:szCs w:val="22"/>
        </w:rPr>
        <w:t xml:space="preserve">e a </w:t>
      </w:r>
      <w:r>
        <w:rPr>
          <w:spacing w:val="-2"/>
          <w:szCs w:val="22"/>
        </w:rPr>
        <w:t>s</w:t>
      </w:r>
      <w:r>
        <w:rPr>
          <w:szCs w:val="22"/>
        </w:rPr>
        <w:t>ăn</w:t>
      </w:r>
      <w:r>
        <w:rPr>
          <w:spacing w:val="-3"/>
          <w:szCs w:val="22"/>
        </w:rPr>
        <w:t>ă</w:t>
      </w:r>
      <w:r>
        <w:rPr>
          <w:spacing w:val="1"/>
          <w:szCs w:val="22"/>
        </w:rPr>
        <w:t>t</w:t>
      </w:r>
      <w:r>
        <w:rPr>
          <w:spacing w:val="-3"/>
          <w:szCs w:val="22"/>
        </w:rPr>
        <w:t>ă</w:t>
      </w:r>
      <w:r>
        <w:rPr>
          <w:spacing w:val="1"/>
          <w:szCs w:val="22"/>
        </w:rPr>
        <w:t>ţ</w:t>
      </w:r>
      <w:r>
        <w:rPr>
          <w:spacing w:val="-2"/>
          <w:szCs w:val="22"/>
        </w:rPr>
        <w:t>i</w:t>
      </w:r>
      <w:r>
        <w:rPr>
          <w:szCs w:val="22"/>
        </w:rPr>
        <w:t>i</w:t>
      </w:r>
      <w:r>
        <w:rPr>
          <w:spacing w:val="-2"/>
          <w:szCs w:val="22"/>
        </w:rPr>
        <w:t xml:space="preserve"> </w:t>
      </w:r>
      <w:r>
        <w:rPr>
          <w:szCs w:val="22"/>
        </w:rPr>
        <w:t>(</w:t>
      </w:r>
      <w:r>
        <w:rPr>
          <w:spacing w:val="-1"/>
          <w:szCs w:val="22"/>
        </w:rPr>
        <w:t>H</w:t>
      </w:r>
      <w:r>
        <w:rPr>
          <w:szCs w:val="22"/>
        </w:rPr>
        <w:t>ea</w:t>
      </w:r>
      <w:r>
        <w:rPr>
          <w:spacing w:val="-2"/>
          <w:szCs w:val="22"/>
        </w:rPr>
        <w:t>l</w:t>
      </w:r>
      <w:r>
        <w:rPr>
          <w:spacing w:val="1"/>
          <w:szCs w:val="22"/>
        </w:rPr>
        <w:t>t</w:t>
      </w:r>
      <w:r>
        <w:rPr>
          <w:szCs w:val="22"/>
        </w:rPr>
        <w:t xml:space="preserve">h </w:t>
      </w:r>
      <w:r>
        <w:rPr>
          <w:spacing w:val="-1"/>
          <w:szCs w:val="22"/>
        </w:rPr>
        <w:t>A</w:t>
      </w:r>
      <w:r>
        <w:rPr>
          <w:spacing w:val="-2"/>
          <w:szCs w:val="22"/>
        </w:rPr>
        <w:t>s</w:t>
      </w:r>
      <w:r>
        <w:rPr>
          <w:szCs w:val="22"/>
        </w:rPr>
        <w:t>se</w:t>
      </w:r>
      <w:r>
        <w:rPr>
          <w:spacing w:val="-2"/>
          <w:szCs w:val="22"/>
        </w:rPr>
        <w:t>s</w:t>
      </w:r>
      <w:r>
        <w:rPr>
          <w:szCs w:val="22"/>
        </w:rPr>
        <w:t>s</w:t>
      </w:r>
      <w:r>
        <w:rPr>
          <w:spacing w:val="-4"/>
          <w:szCs w:val="22"/>
        </w:rPr>
        <w:t>m</w:t>
      </w:r>
      <w:r>
        <w:rPr>
          <w:szCs w:val="22"/>
        </w:rPr>
        <w:t>ent</w:t>
      </w:r>
      <w:r>
        <w:rPr>
          <w:spacing w:val="1"/>
          <w:szCs w:val="22"/>
        </w:rPr>
        <w:t xml:space="preserve"> </w:t>
      </w:r>
      <w:r>
        <w:rPr>
          <w:spacing w:val="-1"/>
          <w:szCs w:val="22"/>
        </w:rPr>
        <w:t>Q</w:t>
      </w:r>
      <w:r>
        <w:rPr>
          <w:szCs w:val="22"/>
        </w:rPr>
        <w:t>ue</w:t>
      </w:r>
      <w:r>
        <w:rPr>
          <w:spacing w:val="-2"/>
          <w:szCs w:val="22"/>
        </w:rPr>
        <w:t>s</w:t>
      </w:r>
      <w:r>
        <w:rPr>
          <w:spacing w:val="1"/>
          <w:szCs w:val="22"/>
        </w:rPr>
        <w:t>t</w:t>
      </w:r>
      <w:r>
        <w:rPr>
          <w:spacing w:val="-2"/>
          <w:szCs w:val="22"/>
        </w:rPr>
        <w:t>i</w:t>
      </w:r>
      <w:r>
        <w:rPr>
          <w:szCs w:val="22"/>
        </w:rPr>
        <w:t>ona</w:t>
      </w:r>
      <w:r>
        <w:rPr>
          <w:spacing w:val="-2"/>
          <w:szCs w:val="22"/>
        </w:rPr>
        <w:t>i</w:t>
      </w:r>
      <w:r>
        <w:rPr>
          <w:szCs w:val="22"/>
        </w:rPr>
        <w:t>re–</w:t>
      </w:r>
      <w:r>
        <w:rPr>
          <w:spacing w:val="-2"/>
          <w:szCs w:val="22"/>
        </w:rPr>
        <w:t>HAQ</w:t>
      </w:r>
      <w:r>
        <w:rPr>
          <w:szCs w:val="22"/>
        </w:rPr>
        <w:t>)</w:t>
      </w:r>
      <w:r>
        <w:rPr>
          <w:spacing w:val="-2"/>
          <w:szCs w:val="22"/>
        </w:rPr>
        <w:t xml:space="preserve"> </w:t>
      </w:r>
      <w:r>
        <w:rPr>
          <w:spacing w:val="1"/>
          <w:szCs w:val="22"/>
        </w:rPr>
        <w:t>î</w:t>
      </w:r>
      <w:r>
        <w:rPr>
          <w:szCs w:val="22"/>
        </w:rPr>
        <w:t xml:space="preserve">n </w:t>
      </w:r>
      <w:r>
        <w:rPr>
          <w:spacing w:val="-2"/>
          <w:szCs w:val="22"/>
        </w:rPr>
        <w:t>t</w:t>
      </w:r>
      <w:r>
        <w:rPr>
          <w:szCs w:val="22"/>
        </w:rPr>
        <w:t>oa</w:t>
      </w:r>
      <w:r>
        <w:rPr>
          <w:spacing w:val="-2"/>
          <w:szCs w:val="22"/>
        </w:rPr>
        <w:t>t</w:t>
      </w:r>
      <w:r>
        <w:rPr>
          <w:szCs w:val="22"/>
        </w:rPr>
        <w:t>e cele</w:t>
      </w:r>
      <w:r>
        <w:rPr>
          <w:spacing w:val="-2"/>
          <w:szCs w:val="22"/>
        </w:rPr>
        <w:t xml:space="preserve"> </w:t>
      </w:r>
      <w:r>
        <w:rPr>
          <w:szCs w:val="22"/>
        </w:rPr>
        <w:t>p</w:t>
      </w:r>
      <w:r>
        <w:rPr>
          <w:spacing w:val="-3"/>
          <w:szCs w:val="22"/>
        </w:rPr>
        <w:t>a</w:t>
      </w:r>
      <w:r>
        <w:rPr>
          <w:spacing w:val="1"/>
          <w:szCs w:val="22"/>
        </w:rPr>
        <w:t>t</w:t>
      </w:r>
      <w:r>
        <w:rPr>
          <w:szCs w:val="22"/>
        </w:rPr>
        <w:t>ru</w:t>
      </w:r>
      <w:r>
        <w:rPr>
          <w:spacing w:val="-3"/>
          <w:szCs w:val="22"/>
        </w:rPr>
        <w:t xml:space="preserve"> </w:t>
      </w:r>
      <w:r>
        <w:rPr>
          <w:szCs w:val="22"/>
        </w:rPr>
        <w:t>s</w:t>
      </w:r>
      <w:r>
        <w:rPr>
          <w:spacing w:val="1"/>
          <w:szCs w:val="22"/>
        </w:rPr>
        <w:t>t</w:t>
      </w:r>
      <w:r>
        <w:rPr>
          <w:szCs w:val="22"/>
        </w:rPr>
        <w:t>u</w:t>
      </w:r>
      <w:r>
        <w:rPr>
          <w:spacing w:val="-3"/>
          <w:szCs w:val="22"/>
        </w:rPr>
        <w:t>d</w:t>
      </w:r>
      <w:r>
        <w:rPr>
          <w:spacing w:val="-2"/>
          <w:szCs w:val="22"/>
        </w:rPr>
        <w:t>i</w:t>
      </w:r>
      <w:r>
        <w:rPr>
          <w:szCs w:val="22"/>
        </w:rPr>
        <w:t>i</w:t>
      </w:r>
      <w:r>
        <w:rPr>
          <w:spacing w:val="1"/>
          <w:szCs w:val="22"/>
        </w:rPr>
        <w:t xml:space="preserve"> </w:t>
      </w:r>
      <w:r>
        <w:rPr>
          <w:szCs w:val="22"/>
        </w:rPr>
        <w:t>ad</w:t>
      </w:r>
      <w:r>
        <w:rPr>
          <w:spacing w:val="-3"/>
          <w:szCs w:val="22"/>
        </w:rPr>
        <w:t>e</w:t>
      </w:r>
      <w:r>
        <w:rPr>
          <w:szCs w:val="22"/>
        </w:rPr>
        <w:t>c</w:t>
      </w:r>
      <w:r>
        <w:rPr>
          <w:spacing w:val="-3"/>
          <w:szCs w:val="22"/>
        </w:rPr>
        <w:t>v</w:t>
      </w:r>
      <w:r>
        <w:rPr>
          <w:szCs w:val="22"/>
        </w:rPr>
        <w:t>a</w:t>
      </w:r>
      <w:r>
        <w:rPr>
          <w:spacing w:val="1"/>
          <w:szCs w:val="22"/>
        </w:rPr>
        <w:t>t</w:t>
      </w:r>
      <w:r>
        <w:rPr>
          <w:szCs w:val="22"/>
        </w:rPr>
        <w:t xml:space="preserve">e </w:t>
      </w:r>
      <w:r>
        <w:rPr>
          <w:spacing w:val="-2"/>
          <w:szCs w:val="22"/>
        </w:rPr>
        <w:t>ş</w:t>
      </w:r>
      <w:r>
        <w:rPr>
          <w:szCs w:val="22"/>
        </w:rPr>
        <w:t>i</w:t>
      </w:r>
      <w:r>
        <w:rPr>
          <w:spacing w:val="-2"/>
          <w:szCs w:val="22"/>
        </w:rPr>
        <w:t xml:space="preserve"> </w:t>
      </w:r>
      <w:r>
        <w:rPr>
          <w:szCs w:val="22"/>
        </w:rPr>
        <w:t>b</w:t>
      </w:r>
      <w:r>
        <w:rPr>
          <w:spacing w:val="1"/>
          <w:szCs w:val="22"/>
        </w:rPr>
        <w:t>i</w:t>
      </w:r>
      <w:r>
        <w:rPr>
          <w:szCs w:val="22"/>
        </w:rPr>
        <w:t>ne</w:t>
      </w:r>
      <w:r>
        <w:rPr>
          <w:spacing w:val="-2"/>
          <w:szCs w:val="22"/>
        </w:rPr>
        <w:t xml:space="preserve"> </w:t>
      </w:r>
      <w:r>
        <w:rPr>
          <w:szCs w:val="22"/>
        </w:rPr>
        <w:t>con</w:t>
      </w:r>
      <w:r>
        <w:rPr>
          <w:spacing w:val="-2"/>
          <w:szCs w:val="22"/>
        </w:rPr>
        <w:t>t</w:t>
      </w:r>
      <w:r>
        <w:rPr>
          <w:szCs w:val="22"/>
        </w:rPr>
        <w:t>r</w:t>
      </w:r>
      <w:r>
        <w:rPr>
          <w:spacing w:val="-3"/>
          <w:szCs w:val="22"/>
        </w:rPr>
        <w:t>o</w:t>
      </w:r>
      <w:r>
        <w:rPr>
          <w:spacing w:val="1"/>
          <w:szCs w:val="22"/>
        </w:rPr>
        <w:t>l</w:t>
      </w:r>
      <w:r>
        <w:rPr>
          <w:spacing w:val="-3"/>
          <w:szCs w:val="22"/>
        </w:rPr>
        <w:t>a</w:t>
      </w:r>
      <w:r>
        <w:rPr>
          <w:spacing w:val="1"/>
          <w:szCs w:val="22"/>
        </w:rPr>
        <w:t>t</w:t>
      </w:r>
      <w:r>
        <w:rPr>
          <w:szCs w:val="22"/>
        </w:rPr>
        <w:t xml:space="preserve">e </w:t>
      </w:r>
      <w:r>
        <w:rPr>
          <w:spacing w:val="-2"/>
          <w:szCs w:val="22"/>
        </w:rPr>
        <w:t>ş</w:t>
      </w:r>
      <w:r>
        <w:rPr>
          <w:szCs w:val="22"/>
        </w:rPr>
        <w:t>i</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un</w:t>
      </w:r>
      <w:r>
        <w:rPr>
          <w:spacing w:val="-3"/>
          <w:szCs w:val="22"/>
        </w:rPr>
        <w:t xml:space="preserve"> </w:t>
      </w:r>
      <w:r>
        <w:rPr>
          <w:szCs w:val="22"/>
        </w:rPr>
        <w:t>ob</w:t>
      </w:r>
      <w:r>
        <w:rPr>
          <w:spacing w:val="1"/>
          <w:szCs w:val="22"/>
        </w:rPr>
        <w:t>i</w:t>
      </w:r>
      <w:r>
        <w:rPr>
          <w:szCs w:val="22"/>
        </w:rPr>
        <w:t>e</w:t>
      </w:r>
      <w:r>
        <w:rPr>
          <w:spacing w:val="-3"/>
          <w:szCs w:val="22"/>
        </w:rPr>
        <w:t>c</w:t>
      </w:r>
      <w:r>
        <w:rPr>
          <w:spacing w:val="-2"/>
          <w:szCs w:val="22"/>
        </w:rPr>
        <w:t>t</w:t>
      </w:r>
      <w:r>
        <w:rPr>
          <w:spacing w:val="1"/>
          <w:szCs w:val="22"/>
        </w:rPr>
        <w:t>i</w:t>
      </w:r>
      <w:r>
        <w:rPr>
          <w:szCs w:val="22"/>
        </w:rPr>
        <w:t>v</w:t>
      </w:r>
      <w:r>
        <w:rPr>
          <w:spacing w:val="-3"/>
          <w:szCs w:val="22"/>
        </w:rPr>
        <w:t xml:space="preserve"> </w:t>
      </w:r>
      <w:r>
        <w:rPr>
          <w:szCs w:val="22"/>
        </w:rPr>
        <w:t>pr</w:t>
      </w:r>
      <w:r>
        <w:rPr>
          <w:spacing w:val="1"/>
          <w:szCs w:val="22"/>
        </w:rPr>
        <w:t>i</w:t>
      </w:r>
      <w:r>
        <w:rPr>
          <w:spacing w:val="-4"/>
          <w:szCs w:val="22"/>
        </w:rPr>
        <w:t>m</w:t>
      </w:r>
      <w:r>
        <w:rPr>
          <w:szCs w:val="22"/>
        </w:rPr>
        <w:t>ar</w:t>
      </w:r>
      <w:r>
        <w:rPr>
          <w:spacing w:val="1"/>
          <w:szCs w:val="22"/>
        </w:rPr>
        <w:t xml:space="preserve"> </w:t>
      </w:r>
      <w:r>
        <w:rPr>
          <w:szCs w:val="22"/>
        </w:rPr>
        <w:t>pr</w:t>
      </w:r>
      <w:r>
        <w:rPr>
          <w:spacing w:val="-3"/>
          <w:szCs w:val="22"/>
        </w:rPr>
        <w:t>e</w:t>
      </w:r>
      <w:r>
        <w:rPr>
          <w:szCs w:val="22"/>
        </w:rPr>
        <w:t>sp</w:t>
      </w:r>
      <w:r>
        <w:rPr>
          <w:spacing w:val="-3"/>
          <w:szCs w:val="22"/>
        </w:rPr>
        <w:t>e</w:t>
      </w:r>
      <w:r>
        <w:rPr>
          <w:szCs w:val="22"/>
        </w:rPr>
        <w:t>c</w:t>
      </w:r>
      <w:r>
        <w:rPr>
          <w:spacing w:val="-2"/>
          <w:szCs w:val="22"/>
        </w:rPr>
        <w:t>i</w:t>
      </w:r>
      <w:r>
        <w:rPr>
          <w:szCs w:val="22"/>
        </w:rPr>
        <w:t>f</w:t>
      </w:r>
      <w:r>
        <w:rPr>
          <w:spacing w:val="1"/>
          <w:szCs w:val="22"/>
        </w:rPr>
        <w:t>i</w:t>
      </w:r>
      <w:r>
        <w:rPr>
          <w:spacing w:val="-3"/>
          <w:szCs w:val="22"/>
        </w:rPr>
        <w:t>c</w:t>
      </w:r>
      <w:r>
        <w:rPr>
          <w:szCs w:val="22"/>
        </w:rPr>
        <w:t>at</w:t>
      </w:r>
      <w:r>
        <w:rPr>
          <w:spacing w:val="1"/>
          <w:szCs w:val="22"/>
        </w:rPr>
        <w:t xml:space="preserve"> </w:t>
      </w:r>
      <w:r>
        <w:rPr>
          <w:spacing w:val="-2"/>
          <w:szCs w:val="22"/>
        </w:rPr>
        <w:t>l</w:t>
      </w:r>
      <w:r>
        <w:rPr>
          <w:szCs w:val="22"/>
        </w:rPr>
        <w:t xml:space="preserve">a </w:t>
      </w:r>
      <w:r>
        <w:rPr>
          <w:spacing w:val="-1"/>
          <w:szCs w:val="22"/>
        </w:rPr>
        <w:t>S</w:t>
      </w:r>
      <w:r>
        <w:rPr>
          <w:szCs w:val="22"/>
        </w:rPr>
        <w:t>ă</w:t>
      </w:r>
      <w:r>
        <w:rPr>
          <w:spacing w:val="-3"/>
          <w:szCs w:val="22"/>
        </w:rPr>
        <w:t>p</w:t>
      </w:r>
      <w:r>
        <w:rPr>
          <w:spacing w:val="1"/>
          <w:szCs w:val="22"/>
        </w:rPr>
        <w:t>t</w:t>
      </w:r>
      <w:r>
        <w:rPr>
          <w:szCs w:val="22"/>
        </w:rPr>
        <w:t>ă</w:t>
      </w:r>
      <w:r>
        <w:rPr>
          <w:spacing w:val="-4"/>
          <w:szCs w:val="22"/>
        </w:rPr>
        <w:t>m</w:t>
      </w:r>
      <w:r>
        <w:rPr>
          <w:szCs w:val="22"/>
        </w:rPr>
        <w:t xml:space="preserve">âna 52 </w:t>
      </w:r>
      <w:r>
        <w:rPr>
          <w:spacing w:val="1"/>
          <w:szCs w:val="22"/>
        </w:rPr>
        <w:t>î</w:t>
      </w:r>
      <w:r>
        <w:rPr>
          <w:szCs w:val="22"/>
        </w:rPr>
        <w:t xml:space="preserve">n </w:t>
      </w:r>
      <w:r>
        <w:rPr>
          <w:spacing w:val="-2"/>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2"/>
          <w:szCs w:val="22"/>
        </w:rPr>
        <w:t>II</w:t>
      </w:r>
      <w:r>
        <w:rPr>
          <w:spacing w:val="-4"/>
          <w:szCs w:val="22"/>
        </w:rPr>
        <w:t>I</w:t>
      </w:r>
      <w:r>
        <w:rPr>
          <w:szCs w:val="22"/>
        </w:rPr>
        <w:t xml:space="preserve">. </w:t>
      </w:r>
      <w:r>
        <w:rPr>
          <w:spacing w:val="1"/>
          <w:szCs w:val="22"/>
        </w:rPr>
        <w:t>T</w:t>
      </w:r>
      <w:r>
        <w:rPr>
          <w:szCs w:val="22"/>
        </w:rPr>
        <w:t>oa</w:t>
      </w:r>
      <w:r>
        <w:rPr>
          <w:spacing w:val="1"/>
          <w:szCs w:val="22"/>
        </w:rPr>
        <w:t>t</w:t>
      </w:r>
      <w:r>
        <w:rPr>
          <w:szCs w:val="22"/>
        </w:rPr>
        <w:t xml:space="preserve">e </w:t>
      </w:r>
      <w:r>
        <w:rPr>
          <w:spacing w:val="-3"/>
          <w:szCs w:val="22"/>
        </w:rPr>
        <w:t>d</w:t>
      </w:r>
      <w:r>
        <w:rPr>
          <w:szCs w:val="22"/>
        </w:rPr>
        <w:t>o</w:t>
      </w:r>
      <w:r>
        <w:rPr>
          <w:spacing w:val="-3"/>
          <w:szCs w:val="22"/>
        </w:rPr>
        <w:t>z</w:t>
      </w:r>
      <w:r>
        <w:rPr>
          <w:szCs w:val="22"/>
        </w:rPr>
        <w:t>e</w:t>
      </w:r>
      <w:r>
        <w:rPr>
          <w:spacing w:val="1"/>
          <w:szCs w:val="22"/>
        </w:rPr>
        <w:t>l</w:t>
      </w:r>
      <w:r>
        <w:rPr>
          <w:spacing w:val="-3"/>
          <w:szCs w:val="22"/>
        </w:rPr>
        <w:t>e</w:t>
      </w:r>
      <w:r>
        <w:rPr>
          <w:spacing w:val="1"/>
          <w:szCs w:val="22"/>
        </w:rPr>
        <w:t>/</w:t>
      </w:r>
      <w:r>
        <w:rPr>
          <w:szCs w:val="22"/>
        </w:rPr>
        <w:t>sc</w:t>
      </w:r>
      <w:r>
        <w:rPr>
          <w:spacing w:val="-3"/>
          <w:szCs w:val="22"/>
        </w:rPr>
        <w:t>h</w:t>
      </w:r>
      <w:r>
        <w:rPr>
          <w:szCs w:val="22"/>
        </w:rPr>
        <w:t>e</w:t>
      </w:r>
      <w:r>
        <w:rPr>
          <w:spacing w:val="-4"/>
          <w:szCs w:val="22"/>
        </w:rPr>
        <w:t>m</w:t>
      </w:r>
      <w:r>
        <w:rPr>
          <w:szCs w:val="22"/>
        </w:rPr>
        <w:t>e</w:t>
      </w:r>
      <w:r>
        <w:rPr>
          <w:spacing w:val="1"/>
          <w:szCs w:val="22"/>
        </w:rPr>
        <w:t>l</w:t>
      </w:r>
      <w:r>
        <w:rPr>
          <w:szCs w:val="22"/>
        </w:rPr>
        <w:t>e de</w:t>
      </w:r>
      <w:r>
        <w:rPr>
          <w:spacing w:val="-2"/>
          <w:szCs w:val="22"/>
        </w:rPr>
        <w:t xml:space="preserve"> </w:t>
      </w:r>
      <w:r>
        <w:rPr>
          <w:szCs w:val="22"/>
        </w:rPr>
        <w:t>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pacing w:val="-2"/>
          <w:szCs w:val="22"/>
        </w:rPr>
        <w:t>r</w:t>
      </w:r>
      <w:r>
        <w:rPr>
          <w:szCs w:val="22"/>
        </w:rPr>
        <w:t xml:space="preserve">e a </w:t>
      </w:r>
      <w:r>
        <w:rPr>
          <w:rFonts w:eastAsia="MS Mincho"/>
          <w:spacing w:val="-1"/>
          <w:szCs w:val="22"/>
          <w:lang w:eastAsia="en-US" w:bidi="ar-SA"/>
        </w:rPr>
        <w:t>adalimumab</w:t>
      </w:r>
      <w:r>
        <w:rPr>
          <w:szCs w:val="22"/>
        </w:rPr>
        <w:t xml:space="preserve"> </w:t>
      </w:r>
      <w:r>
        <w:rPr>
          <w:spacing w:val="-2"/>
          <w:szCs w:val="22"/>
        </w:rPr>
        <w:t>î</w:t>
      </w:r>
      <w:r>
        <w:rPr>
          <w:szCs w:val="22"/>
        </w:rPr>
        <w:t xml:space="preserve">n </w:t>
      </w:r>
      <w:r>
        <w:rPr>
          <w:spacing w:val="1"/>
          <w:szCs w:val="22"/>
        </w:rPr>
        <w:t>t</w:t>
      </w:r>
      <w:r>
        <w:rPr>
          <w:spacing w:val="-3"/>
          <w:szCs w:val="22"/>
        </w:rPr>
        <w:t>o</w:t>
      </w:r>
      <w:r>
        <w:rPr>
          <w:szCs w:val="22"/>
        </w:rPr>
        <w:t>a</w:t>
      </w:r>
      <w:r>
        <w:rPr>
          <w:spacing w:val="1"/>
          <w:szCs w:val="22"/>
        </w:rPr>
        <w:t>t</w:t>
      </w:r>
      <w:r>
        <w:rPr>
          <w:szCs w:val="22"/>
        </w:rPr>
        <w:t>e</w:t>
      </w:r>
      <w:r>
        <w:rPr>
          <w:spacing w:val="-2"/>
          <w:szCs w:val="22"/>
        </w:rPr>
        <w:t xml:space="preserve"> </w:t>
      </w:r>
      <w:r>
        <w:rPr>
          <w:szCs w:val="22"/>
        </w:rPr>
        <w:t>c</w:t>
      </w:r>
      <w:r>
        <w:rPr>
          <w:spacing w:val="-3"/>
          <w:szCs w:val="22"/>
        </w:rPr>
        <w:t>e</w:t>
      </w:r>
      <w:r>
        <w:rPr>
          <w:spacing w:val="1"/>
          <w:szCs w:val="22"/>
        </w:rPr>
        <w:t>l</w:t>
      </w:r>
      <w:r>
        <w:rPr>
          <w:szCs w:val="22"/>
        </w:rPr>
        <w:t xml:space="preserve">e </w:t>
      </w:r>
      <w:r>
        <w:rPr>
          <w:spacing w:val="-3"/>
          <w:szCs w:val="22"/>
        </w:rPr>
        <w:t>p</w:t>
      </w:r>
      <w:r>
        <w:rPr>
          <w:szCs w:val="22"/>
        </w:rPr>
        <w:t>a</w:t>
      </w:r>
      <w:r>
        <w:rPr>
          <w:spacing w:val="-2"/>
          <w:szCs w:val="22"/>
        </w:rPr>
        <w:t>t</w:t>
      </w:r>
      <w:r>
        <w:rPr>
          <w:szCs w:val="22"/>
        </w:rPr>
        <w:t xml:space="preserve">ru </w:t>
      </w:r>
      <w:r>
        <w:rPr>
          <w:spacing w:val="-2"/>
          <w:szCs w:val="22"/>
        </w:rPr>
        <w:t>s</w:t>
      </w:r>
      <w:r>
        <w:rPr>
          <w:spacing w:val="1"/>
          <w:szCs w:val="22"/>
        </w:rPr>
        <w:t>t</w:t>
      </w:r>
      <w:r>
        <w:rPr>
          <w:szCs w:val="22"/>
        </w:rPr>
        <w:t>ud</w:t>
      </w:r>
      <w:r>
        <w:rPr>
          <w:spacing w:val="-2"/>
          <w:szCs w:val="22"/>
        </w:rPr>
        <w:t>i</w:t>
      </w:r>
      <w:r>
        <w:rPr>
          <w:szCs w:val="22"/>
        </w:rPr>
        <w:t>i</w:t>
      </w:r>
      <w:r>
        <w:rPr>
          <w:spacing w:val="1"/>
          <w:szCs w:val="22"/>
        </w:rPr>
        <w:t xml:space="preserve"> </w:t>
      </w:r>
      <w:r>
        <w:rPr>
          <w:spacing w:val="-3"/>
          <w:szCs w:val="22"/>
        </w:rPr>
        <w:t>a</w:t>
      </w:r>
      <w:r>
        <w:rPr>
          <w:szCs w:val="22"/>
        </w:rPr>
        <w:t>u de</w:t>
      </w:r>
      <w:r>
        <w:rPr>
          <w:spacing w:val="-4"/>
          <w:szCs w:val="22"/>
        </w:rPr>
        <w:t>m</w:t>
      </w:r>
      <w:r>
        <w:rPr>
          <w:szCs w:val="22"/>
        </w:rPr>
        <w:t>ons</w:t>
      </w:r>
      <w:r>
        <w:rPr>
          <w:spacing w:val="1"/>
          <w:szCs w:val="22"/>
        </w:rPr>
        <w:t>t</w:t>
      </w:r>
      <w:r>
        <w:rPr>
          <w:szCs w:val="22"/>
        </w:rPr>
        <w:t>r</w:t>
      </w:r>
      <w:r>
        <w:rPr>
          <w:spacing w:val="-3"/>
          <w:szCs w:val="22"/>
        </w:rPr>
        <w:t>a</w:t>
      </w:r>
      <w:r>
        <w:rPr>
          <w:szCs w:val="22"/>
        </w:rPr>
        <w:t>t</w:t>
      </w:r>
      <w:r>
        <w:rPr>
          <w:spacing w:val="1"/>
          <w:szCs w:val="22"/>
        </w:rPr>
        <w:t xml:space="preserve"> </w:t>
      </w:r>
      <w:r>
        <w:rPr>
          <w:szCs w:val="22"/>
        </w:rPr>
        <w:t>a</w:t>
      </w:r>
      <w:r>
        <w:rPr>
          <w:spacing w:val="-4"/>
          <w:szCs w:val="22"/>
        </w:rPr>
        <w:t>m</w:t>
      </w:r>
      <w:r>
        <w:rPr>
          <w:szCs w:val="22"/>
        </w:rPr>
        <w:t>e</w:t>
      </w:r>
      <w:r>
        <w:rPr>
          <w:spacing w:val="1"/>
          <w:szCs w:val="22"/>
        </w:rPr>
        <w:t>li</w:t>
      </w:r>
      <w:r>
        <w:rPr>
          <w:spacing w:val="-3"/>
          <w:szCs w:val="22"/>
        </w:rPr>
        <w:t>o</w:t>
      </w:r>
      <w:r>
        <w:rPr>
          <w:szCs w:val="22"/>
        </w:rPr>
        <w:t>r</w:t>
      </w:r>
      <w:r>
        <w:rPr>
          <w:spacing w:val="-3"/>
          <w:szCs w:val="22"/>
        </w:rPr>
        <w:t>a</w:t>
      </w:r>
      <w:r>
        <w:rPr>
          <w:szCs w:val="22"/>
        </w:rPr>
        <w:t xml:space="preserve">rea </w:t>
      </w:r>
      <w:r>
        <w:rPr>
          <w:spacing w:val="-4"/>
          <w:szCs w:val="22"/>
        </w:rPr>
        <w:t>m</w:t>
      </w:r>
      <w:r>
        <w:rPr>
          <w:szCs w:val="22"/>
        </w:rPr>
        <w:t>ai</w:t>
      </w:r>
      <w:r>
        <w:rPr>
          <w:spacing w:val="-2"/>
          <w:szCs w:val="22"/>
        </w:rPr>
        <w:t xml:space="preserve"> </w:t>
      </w:r>
      <w:r>
        <w:rPr>
          <w:spacing w:val="-4"/>
          <w:szCs w:val="22"/>
        </w:rPr>
        <w:t>m</w:t>
      </w:r>
      <w:r>
        <w:rPr>
          <w:szCs w:val="22"/>
        </w:rPr>
        <w:t>are, 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zCs w:val="22"/>
        </w:rPr>
        <w:t>v</w:t>
      </w:r>
      <w:r>
        <w:rPr>
          <w:spacing w:val="-3"/>
          <w:szCs w:val="22"/>
        </w:rPr>
        <w:t xml:space="preserve"> </w:t>
      </w:r>
      <w:r>
        <w:rPr>
          <w:szCs w:val="22"/>
        </w:rPr>
        <w:t>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pacing w:val="-3"/>
          <w:szCs w:val="22"/>
        </w:rPr>
        <w:t>c</w:t>
      </w:r>
      <w:r>
        <w:rPr>
          <w:szCs w:val="22"/>
        </w:rPr>
        <w:t xml:space="preserve">, a </w:t>
      </w:r>
      <w:r>
        <w:rPr>
          <w:spacing w:val="1"/>
          <w:szCs w:val="22"/>
        </w:rPr>
        <w:t>i</w:t>
      </w:r>
      <w:r>
        <w:rPr>
          <w:szCs w:val="22"/>
        </w:rPr>
        <w:t>n</w:t>
      </w:r>
      <w:r>
        <w:rPr>
          <w:spacing w:val="-3"/>
          <w:szCs w:val="22"/>
        </w:rPr>
        <w:t>d</w:t>
      </w:r>
      <w:r>
        <w:rPr>
          <w:szCs w:val="22"/>
        </w:rPr>
        <w:t>ex</w:t>
      </w:r>
      <w:r>
        <w:rPr>
          <w:spacing w:val="-3"/>
          <w:szCs w:val="22"/>
        </w:rPr>
        <w:t>u</w:t>
      </w:r>
      <w:r>
        <w:rPr>
          <w:spacing w:val="1"/>
          <w:szCs w:val="22"/>
        </w:rPr>
        <w:t>l</w:t>
      </w:r>
      <w:r>
        <w:rPr>
          <w:szCs w:val="22"/>
        </w:rPr>
        <w:t>ui</w:t>
      </w:r>
      <w:r>
        <w:rPr>
          <w:spacing w:val="1"/>
          <w:szCs w:val="22"/>
        </w:rPr>
        <w:t xml:space="preserve"> </w:t>
      </w:r>
      <w:r>
        <w:rPr>
          <w:spacing w:val="-1"/>
          <w:szCs w:val="22"/>
        </w:rPr>
        <w:t>HA</w:t>
      </w:r>
      <w:r>
        <w:rPr>
          <w:szCs w:val="22"/>
        </w:rPr>
        <w:t>Q</w:t>
      </w:r>
      <w:r>
        <w:rPr>
          <w:spacing w:val="-1"/>
          <w:szCs w:val="22"/>
        </w:rPr>
        <w:t xml:space="preserve"> </w:t>
      </w:r>
      <w:r>
        <w:rPr>
          <w:spacing w:val="-2"/>
          <w:szCs w:val="22"/>
        </w:rPr>
        <w:t>f</w:t>
      </w:r>
      <w:r>
        <w:rPr>
          <w:szCs w:val="22"/>
        </w:rPr>
        <w:t>a</w:t>
      </w:r>
      <w:r>
        <w:rPr>
          <w:spacing w:val="1"/>
          <w:szCs w:val="22"/>
        </w:rPr>
        <w:t>ţ</w:t>
      </w:r>
      <w:r>
        <w:rPr>
          <w:szCs w:val="22"/>
        </w:rPr>
        <w:t>ă</w:t>
      </w:r>
      <w:r>
        <w:rPr>
          <w:spacing w:val="-2"/>
          <w:szCs w:val="22"/>
        </w:rPr>
        <w:t xml:space="preserve"> </w:t>
      </w:r>
      <w:r>
        <w:rPr>
          <w:szCs w:val="22"/>
        </w:rPr>
        <w:t xml:space="preserve">de </w:t>
      </w:r>
      <w:r>
        <w:rPr>
          <w:spacing w:val="-2"/>
          <w:szCs w:val="22"/>
        </w:rPr>
        <w:t>s</w:t>
      </w:r>
      <w:r>
        <w:rPr>
          <w:spacing w:val="1"/>
          <w:szCs w:val="22"/>
        </w:rPr>
        <w:t>it</w:t>
      </w:r>
      <w:r>
        <w:rPr>
          <w:spacing w:val="-3"/>
          <w:szCs w:val="22"/>
        </w:rPr>
        <w:t>u</w:t>
      </w:r>
      <w:r>
        <w:rPr>
          <w:szCs w:val="22"/>
        </w:rPr>
        <w:t>a</w:t>
      </w:r>
      <w:r>
        <w:rPr>
          <w:spacing w:val="-2"/>
          <w:szCs w:val="22"/>
        </w:rPr>
        <w:t>ţ</w:t>
      </w:r>
      <w:r>
        <w:rPr>
          <w:spacing w:val="1"/>
          <w:szCs w:val="22"/>
        </w:rPr>
        <w:t>i</w:t>
      </w:r>
      <w:r>
        <w:rPr>
          <w:szCs w:val="22"/>
        </w:rPr>
        <w:t>a</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1"/>
          <w:szCs w:val="22"/>
        </w:rPr>
        <w:t>l</w:t>
      </w:r>
      <w:r>
        <w:rPr>
          <w:spacing w:val="-3"/>
          <w:szCs w:val="22"/>
        </w:rPr>
        <w:t>ă</w:t>
      </w:r>
      <w:r>
        <w:rPr>
          <w:szCs w:val="22"/>
        </w:rPr>
        <w:t xml:space="preserve">, </w:t>
      </w:r>
      <w:r>
        <w:rPr>
          <w:spacing w:val="1"/>
          <w:szCs w:val="22"/>
        </w:rPr>
        <w:t>î</w:t>
      </w:r>
      <w:r>
        <w:rPr>
          <w:szCs w:val="22"/>
        </w:rPr>
        <w:t xml:space="preserve">n </w:t>
      </w:r>
      <w:r>
        <w:rPr>
          <w:spacing w:val="-1"/>
          <w:szCs w:val="22"/>
        </w:rPr>
        <w:lastRenderedPageBreak/>
        <w:t>L</w:t>
      </w:r>
      <w:r>
        <w:rPr>
          <w:szCs w:val="22"/>
        </w:rPr>
        <w:t xml:space="preserve">una 6, </w:t>
      </w:r>
      <w:r>
        <w:rPr>
          <w:spacing w:val="-3"/>
          <w:szCs w:val="22"/>
        </w:rPr>
        <w:t>c</w:t>
      </w:r>
      <w:r>
        <w:rPr>
          <w:szCs w:val="22"/>
        </w:rPr>
        <w:t>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cu p</w:t>
      </w:r>
      <w:r>
        <w:rPr>
          <w:spacing w:val="1"/>
          <w:szCs w:val="22"/>
        </w:rPr>
        <w:t>l</w:t>
      </w:r>
      <w:r>
        <w:rPr>
          <w:spacing w:val="-3"/>
          <w:szCs w:val="22"/>
        </w:rPr>
        <w:t>ac</w:t>
      </w:r>
      <w:r>
        <w:rPr>
          <w:szCs w:val="22"/>
        </w:rPr>
        <w:t xml:space="preserve">ebo. </w:t>
      </w:r>
      <w:r>
        <w:rPr>
          <w:spacing w:val="-1"/>
          <w:szCs w:val="22"/>
        </w:rPr>
        <w:t>A</w:t>
      </w:r>
      <w:r>
        <w:rPr>
          <w:szCs w:val="22"/>
        </w:rPr>
        <w:t>c</w:t>
      </w:r>
      <w:r>
        <w:rPr>
          <w:spacing w:val="-3"/>
          <w:szCs w:val="22"/>
        </w:rPr>
        <w:t>e</w:t>
      </w:r>
      <w:r>
        <w:rPr>
          <w:szCs w:val="22"/>
        </w:rPr>
        <w:t>ea</w:t>
      </w:r>
      <w:r>
        <w:rPr>
          <w:spacing w:val="-2"/>
          <w:szCs w:val="22"/>
        </w:rPr>
        <w:t>ş</w:t>
      </w:r>
      <w:r>
        <w:rPr>
          <w:szCs w:val="22"/>
        </w:rPr>
        <w:t>i</w:t>
      </w:r>
      <w:r>
        <w:rPr>
          <w:spacing w:val="1"/>
          <w:szCs w:val="22"/>
        </w:rPr>
        <w:t xml:space="preserve"> </w:t>
      </w:r>
      <w:r>
        <w:rPr>
          <w:spacing w:val="-2"/>
          <w:szCs w:val="22"/>
        </w:rPr>
        <w:t>s</w:t>
      </w:r>
      <w:r>
        <w:rPr>
          <w:spacing w:val="1"/>
          <w:szCs w:val="22"/>
        </w:rPr>
        <w:t>it</w:t>
      </w:r>
      <w:r>
        <w:rPr>
          <w:spacing w:val="-3"/>
          <w:szCs w:val="22"/>
        </w:rPr>
        <w:t>u</w:t>
      </w:r>
      <w:r>
        <w:rPr>
          <w:szCs w:val="22"/>
        </w:rPr>
        <w:t>a</w:t>
      </w:r>
      <w:r>
        <w:rPr>
          <w:spacing w:val="-2"/>
          <w:szCs w:val="22"/>
        </w:rPr>
        <w:t>ţ</w:t>
      </w:r>
      <w:r>
        <w:rPr>
          <w:spacing w:val="1"/>
          <w:szCs w:val="22"/>
        </w:rPr>
        <w:t>i</w:t>
      </w:r>
      <w:r>
        <w:rPr>
          <w:szCs w:val="22"/>
        </w:rPr>
        <w:t>e a</w:t>
      </w:r>
      <w:r>
        <w:rPr>
          <w:spacing w:val="-2"/>
          <w:szCs w:val="22"/>
        </w:rPr>
        <w:t xml:space="preserve"> </w:t>
      </w:r>
      <w:r>
        <w:rPr>
          <w:szCs w:val="22"/>
        </w:rPr>
        <w:t>fo</w:t>
      </w:r>
      <w:r>
        <w:rPr>
          <w:spacing w:val="-2"/>
          <w:szCs w:val="22"/>
        </w:rPr>
        <w:t>s</w:t>
      </w:r>
      <w:r>
        <w:rPr>
          <w:szCs w:val="22"/>
        </w:rPr>
        <w:t>t</w:t>
      </w:r>
      <w:r>
        <w:rPr>
          <w:spacing w:val="-2"/>
          <w:szCs w:val="22"/>
        </w:rPr>
        <w:t xml:space="preserve"> </w:t>
      </w:r>
      <w:r>
        <w:rPr>
          <w:szCs w:val="22"/>
        </w:rPr>
        <w:t>obser</w:t>
      </w:r>
      <w:r>
        <w:rPr>
          <w:spacing w:val="-3"/>
          <w:szCs w:val="22"/>
        </w:rPr>
        <w:t>v</w:t>
      </w:r>
      <w:r>
        <w:rPr>
          <w:szCs w:val="22"/>
        </w:rPr>
        <w:t>a</w:t>
      </w:r>
      <w:r>
        <w:rPr>
          <w:spacing w:val="-2"/>
          <w:szCs w:val="22"/>
        </w:rPr>
        <w:t>t</w:t>
      </w:r>
      <w:r>
        <w:rPr>
          <w:szCs w:val="22"/>
        </w:rPr>
        <w:t xml:space="preserve">ă </w:t>
      </w:r>
      <w:r>
        <w:rPr>
          <w:spacing w:val="-2"/>
          <w:szCs w:val="22"/>
        </w:rPr>
        <w:t>î</w:t>
      </w:r>
      <w:r>
        <w:rPr>
          <w:szCs w:val="22"/>
        </w:rPr>
        <w:t>n s</w:t>
      </w:r>
      <w:r>
        <w:rPr>
          <w:spacing w:val="-2"/>
          <w:szCs w:val="22"/>
        </w:rPr>
        <w:t>t</w:t>
      </w:r>
      <w:r>
        <w:rPr>
          <w:szCs w:val="22"/>
        </w:rPr>
        <w:t>ud</w:t>
      </w:r>
      <w:r>
        <w:rPr>
          <w:spacing w:val="1"/>
          <w:szCs w:val="22"/>
        </w:rPr>
        <w:t>i</w:t>
      </w:r>
      <w:r>
        <w:rPr>
          <w:spacing w:val="-3"/>
          <w:szCs w:val="22"/>
        </w:rPr>
        <w:t>u</w:t>
      </w:r>
      <w:r>
        <w:rPr>
          <w:szCs w:val="22"/>
        </w:rPr>
        <w:t>l</w:t>
      </w:r>
      <w:r>
        <w:rPr>
          <w:spacing w:val="1"/>
          <w:szCs w:val="22"/>
        </w:rPr>
        <w:t xml:space="preserve"> </w:t>
      </w:r>
      <w:r>
        <w:rPr>
          <w:spacing w:val="-1"/>
          <w:szCs w:val="22"/>
        </w:rPr>
        <w:t>P</w:t>
      </w:r>
      <w:r>
        <w:rPr>
          <w:szCs w:val="22"/>
        </w:rPr>
        <w:t>R</w:t>
      </w:r>
      <w:r>
        <w:rPr>
          <w:spacing w:val="-1"/>
          <w:szCs w:val="22"/>
        </w:rPr>
        <w:t xml:space="preserve"> </w:t>
      </w:r>
      <w:r>
        <w:rPr>
          <w:spacing w:val="-2"/>
          <w:szCs w:val="22"/>
        </w:rPr>
        <w:t>II</w:t>
      </w:r>
      <w:r>
        <w:rPr>
          <w:szCs w:val="22"/>
        </w:rPr>
        <w:t>I</w:t>
      </w:r>
      <w:r>
        <w:rPr>
          <w:spacing w:val="-4"/>
          <w:szCs w:val="22"/>
        </w:rPr>
        <w:t xml:space="preserve"> </w:t>
      </w:r>
      <w:r>
        <w:rPr>
          <w:spacing w:val="3"/>
          <w:szCs w:val="22"/>
        </w:rPr>
        <w:t>l</w:t>
      </w:r>
      <w:r>
        <w:rPr>
          <w:szCs w:val="22"/>
        </w:rPr>
        <w:t xml:space="preserve">a </w:t>
      </w:r>
      <w:r>
        <w:rPr>
          <w:spacing w:val="-1"/>
          <w:szCs w:val="22"/>
        </w:rPr>
        <w:t>S</w:t>
      </w:r>
      <w:r>
        <w:rPr>
          <w:szCs w:val="22"/>
        </w:rPr>
        <w:t>ăp</w:t>
      </w:r>
      <w:r>
        <w:rPr>
          <w:spacing w:val="-2"/>
          <w:szCs w:val="22"/>
        </w:rPr>
        <w:t>t</w:t>
      </w:r>
      <w:r>
        <w:rPr>
          <w:szCs w:val="22"/>
        </w:rPr>
        <w:t>ă</w:t>
      </w:r>
      <w:r>
        <w:rPr>
          <w:spacing w:val="-4"/>
          <w:szCs w:val="22"/>
        </w:rPr>
        <w:t>m</w:t>
      </w:r>
      <w:r>
        <w:rPr>
          <w:szCs w:val="22"/>
        </w:rPr>
        <w:t xml:space="preserve">âna 52. </w:t>
      </w:r>
      <w:r>
        <w:rPr>
          <w:spacing w:val="-1"/>
          <w:szCs w:val="22"/>
        </w:rPr>
        <w:t>R</w:t>
      </w:r>
      <w:r>
        <w:rPr>
          <w:szCs w:val="22"/>
        </w:rPr>
        <w:t>e</w:t>
      </w:r>
      <w:r>
        <w:rPr>
          <w:spacing w:val="-3"/>
          <w:szCs w:val="22"/>
        </w:rPr>
        <w:t>z</w:t>
      </w:r>
      <w:r>
        <w:rPr>
          <w:szCs w:val="22"/>
        </w:rPr>
        <w:t>u</w:t>
      </w:r>
      <w:r>
        <w:rPr>
          <w:spacing w:val="1"/>
          <w:szCs w:val="22"/>
        </w:rPr>
        <w:t>lt</w:t>
      </w:r>
      <w:r>
        <w:rPr>
          <w:spacing w:val="-3"/>
          <w:szCs w:val="22"/>
        </w:rPr>
        <w:t>a</w:t>
      </w:r>
      <w:r>
        <w:rPr>
          <w:spacing w:val="1"/>
          <w:szCs w:val="22"/>
        </w:rPr>
        <w:t>t</w:t>
      </w:r>
      <w:r>
        <w:rPr>
          <w:szCs w:val="22"/>
        </w:rPr>
        <w:t>e</w:t>
      </w:r>
      <w:r>
        <w:rPr>
          <w:spacing w:val="-2"/>
          <w:szCs w:val="22"/>
        </w:rPr>
        <w:t>l</w:t>
      </w:r>
      <w:r>
        <w:rPr>
          <w:szCs w:val="22"/>
        </w:rPr>
        <w:t xml:space="preserve">e </w:t>
      </w:r>
      <w:r>
        <w:rPr>
          <w:spacing w:val="-1"/>
          <w:szCs w:val="22"/>
        </w:rPr>
        <w:t>SF</w:t>
      </w:r>
      <w:r>
        <w:rPr>
          <w:szCs w:val="22"/>
        </w:rPr>
        <w:t>36</w:t>
      </w:r>
      <w:r>
        <w:rPr>
          <w:spacing w:val="-3"/>
          <w:szCs w:val="22"/>
        </w:rPr>
        <w:t xml:space="preserve"> </w:t>
      </w:r>
      <w:r>
        <w:rPr>
          <w:szCs w:val="22"/>
        </w:rPr>
        <w:t>(</w:t>
      </w:r>
      <w:r>
        <w:rPr>
          <w:spacing w:val="-1"/>
          <w:szCs w:val="22"/>
        </w:rPr>
        <w:t>S</w:t>
      </w:r>
      <w:r>
        <w:rPr>
          <w:szCs w:val="22"/>
        </w:rPr>
        <w:t>ho</w:t>
      </w:r>
      <w:r>
        <w:rPr>
          <w:spacing w:val="-2"/>
          <w:szCs w:val="22"/>
        </w:rPr>
        <w:t>r</w:t>
      </w:r>
      <w:r>
        <w:rPr>
          <w:szCs w:val="22"/>
        </w:rPr>
        <w:t>t</w:t>
      </w:r>
      <w:r>
        <w:rPr>
          <w:spacing w:val="1"/>
          <w:szCs w:val="22"/>
        </w:rPr>
        <w:t xml:space="preserve"> </w:t>
      </w:r>
      <w:r>
        <w:rPr>
          <w:spacing w:val="-1"/>
          <w:szCs w:val="22"/>
        </w:rPr>
        <w:t>F</w:t>
      </w:r>
      <w:r>
        <w:rPr>
          <w:spacing w:val="-3"/>
          <w:szCs w:val="22"/>
        </w:rPr>
        <w:t>o</w:t>
      </w:r>
      <w:r>
        <w:rPr>
          <w:szCs w:val="22"/>
        </w:rPr>
        <w:t>rm</w:t>
      </w:r>
      <w:r>
        <w:rPr>
          <w:spacing w:val="-4"/>
          <w:szCs w:val="22"/>
        </w:rPr>
        <w:t xml:space="preserve"> </w:t>
      </w:r>
      <w:r>
        <w:rPr>
          <w:spacing w:val="-1"/>
          <w:szCs w:val="22"/>
        </w:rPr>
        <w:t>H</w:t>
      </w:r>
      <w:r>
        <w:rPr>
          <w:szCs w:val="22"/>
        </w:rPr>
        <w:t>ea</w:t>
      </w:r>
      <w:r>
        <w:rPr>
          <w:spacing w:val="1"/>
          <w:szCs w:val="22"/>
        </w:rPr>
        <w:t>lt</w:t>
      </w:r>
      <w:r>
        <w:rPr>
          <w:szCs w:val="22"/>
        </w:rPr>
        <w:t xml:space="preserve">h </w:t>
      </w:r>
      <w:r>
        <w:rPr>
          <w:spacing w:val="-1"/>
          <w:szCs w:val="22"/>
        </w:rPr>
        <w:t>S</w:t>
      </w:r>
      <w:r>
        <w:rPr>
          <w:spacing w:val="-3"/>
          <w:szCs w:val="22"/>
        </w:rPr>
        <w:t>u</w:t>
      </w:r>
      <w:r>
        <w:rPr>
          <w:szCs w:val="22"/>
        </w:rPr>
        <w:t>r</w:t>
      </w:r>
      <w:r>
        <w:rPr>
          <w:spacing w:val="-3"/>
          <w:szCs w:val="22"/>
        </w:rPr>
        <w:t>v</w:t>
      </w:r>
      <w:r>
        <w:rPr>
          <w:szCs w:val="22"/>
        </w:rPr>
        <w:t>ay-</w:t>
      </w:r>
      <w:r>
        <w:rPr>
          <w:spacing w:val="-4"/>
          <w:szCs w:val="22"/>
        </w:rPr>
        <w:t xml:space="preserve"> </w:t>
      </w:r>
      <w:r>
        <w:rPr>
          <w:spacing w:val="-1"/>
          <w:szCs w:val="22"/>
        </w:rPr>
        <w:t>S</w:t>
      </w:r>
      <w:r>
        <w:rPr>
          <w:szCs w:val="22"/>
        </w:rPr>
        <w:t>ondaj</w:t>
      </w:r>
      <w:r>
        <w:rPr>
          <w:spacing w:val="1"/>
          <w:szCs w:val="22"/>
        </w:rPr>
        <w:t xml:space="preserve"> </w:t>
      </w:r>
      <w:r>
        <w:rPr>
          <w:spacing w:val="-3"/>
          <w:szCs w:val="22"/>
        </w:rPr>
        <w:t>a</w:t>
      </w:r>
      <w:r>
        <w:rPr>
          <w:szCs w:val="22"/>
        </w:rPr>
        <w:t>supra</w:t>
      </w:r>
      <w:r>
        <w:rPr>
          <w:spacing w:val="-2"/>
          <w:szCs w:val="22"/>
        </w:rPr>
        <w:t xml:space="preserve"> </w:t>
      </w:r>
      <w:r>
        <w:rPr>
          <w:szCs w:val="22"/>
        </w:rPr>
        <w:t>s</w:t>
      </w:r>
      <w:r>
        <w:rPr>
          <w:spacing w:val="-2"/>
          <w:szCs w:val="22"/>
        </w:rPr>
        <w:t>t</w:t>
      </w:r>
      <w:r>
        <w:rPr>
          <w:szCs w:val="22"/>
        </w:rPr>
        <w:t>ă</w:t>
      </w:r>
      <w:r>
        <w:rPr>
          <w:spacing w:val="-2"/>
          <w:szCs w:val="22"/>
        </w:rPr>
        <w:t>r</w:t>
      </w:r>
      <w:r>
        <w:rPr>
          <w:spacing w:val="1"/>
          <w:szCs w:val="22"/>
        </w:rPr>
        <w:t>i</w:t>
      </w:r>
      <w:r>
        <w:rPr>
          <w:szCs w:val="22"/>
        </w:rPr>
        <w:t>i</w:t>
      </w:r>
      <w:r>
        <w:rPr>
          <w:spacing w:val="1"/>
          <w:szCs w:val="22"/>
        </w:rPr>
        <w:t xml:space="preserve"> </w:t>
      </w:r>
      <w:r>
        <w:rPr>
          <w:spacing w:val="-3"/>
          <w:szCs w:val="22"/>
        </w:rPr>
        <w:t>d</w:t>
      </w:r>
      <w:r>
        <w:rPr>
          <w:szCs w:val="22"/>
        </w:rPr>
        <w:t>e s</w:t>
      </w:r>
      <w:r>
        <w:rPr>
          <w:spacing w:val="-3"/>
          <w:szCs w:val="22"/>
        </w:rPr>
        <w:t>ă</w:t>
      </w:r>
      <w:r>
        <w:rPr>
          <w:szCs w:val="22"/>
        </w:rPr>
        <w:t>nă</w:t>
      </w:r>
      <w:r>
        <w:rPr>
          <w:spacing w:val="-2"/>
          <w:szCs w:val="22"/>
        </w:rPr>
        <w:t>t</w:t>
      </w:r>
      <w:r>
        <w:rPr>
          <w:szCs w:val="22"/>
        </w:rPr>
        <w:t>a</w:t>
      </w:r>
      <w:r>
        <w:rPr>
          <w:spacing w:val="-2"/>
          <w:szCs w:val="22"/>
        </w:rPr>
        <w:t>t</w:t>
      </w:r>
      <w:r>
        <w:rPr>
          <w:szCs w:val="22"/>
        </w:rPr>
        <w:t>e, f</w:t>
      </w:r>
      <w:r>
        <w:rPr>
          <w:spacing w:val="-3"/>
          <w:szCs w:val="22"/>
        </w:rPr>
        <w:t>o</w:t>
      </w:r>
      <w:r>
        <w:rPr>
          <w:spacing w:val="-2"/>
          <w:szCs w:val="22"/>
        </w:rPr>
        <w:t>r</w:t>
      </w:r>
      <w:r>
        <w:rPr>
          <w:spacing w:val="-4"/>
          <w:szCs w:val="22"/>
        </w:rPr>
        <w:t>m</w:t>
      </w:r>
      <w:r>
        <w:rPr>
          <w:szCs w:val="22"/>
        </w:rPr>
        <w:t>a prescu</w:t>
      </w:r>
      <w:r>
        <w:rPr>
          <w:spacing w:val="-2"/>
          <w:szCs w:val="22"/>
        </w:rPr>
        <w:t>r</w:t>
      </w:r>
      <w:r>
        <w:rPr>
          <w:spacing w:val="1"/>
          <w:szCs w:val="22"/>
        </w:rPr>
        <w:t>t</w:t>
      </w:r>
      <w:r>
        <w:rPr>
          <w:spacing w:val="-3"/>
          <w:szCs w:val="22"/>
        </w:rPr>
        <w:t>a</w:t>
      </w:r>
      <w:r>
        <w:rPr>
          <w:spacing w:val="1"/>
          <w:szCs w:val="22"/>
        </w:rPr>
        <w:t>t</w:t>
      </w:r>
      <w:r>
        <w:rPr>
          <w:szCs w:val="22"/>
        </w:rPr>
        <w:t>ă) pen</w:t>
      </w:r>
      <w:r>
        <w:rPr>
          <w:spacing w:val="-2"/>
          <w:szCs w:val="22"/>
        </w:rPr>
        <w:t>t</w:t>
      </w:r>
      <w:r>
        <w:rPr>
          <w:szCs w:val="22"/>
        </w:rPr>
        <w:t xml:space="preserve">ru </w:t>
      </w:r>
      <w:r>
        <w:rPr>
          <w:spacing w:val="-2"/>
          <w:szCs w:val="22"/>
        </w:rPr>
        <w:t>t</w:t>
      </w:r>
      <w:r>
        <w:rPr>
          <w:szCs w:val="22"/>
        </w:rPr>
        <w:t>oa</w:t>
      </w:r>
      <w:r>
        <w:rPr>
          <w:spacing w:val="-2"/>
          <w:szCs w:val="22"/>
        </w:rPr>
        <w:t>t</w:t>
      </w:r>
      <w:r>
        <w:rPr>
          <w:szCs w:val="22"/>
        </w:rPr>
        <w:t>e do</w:t>
      </w:r>
      <w:r>
        <w:rPr>
          <w:spacing w:val="-3"/>
          <w:szCs w:val="22"/>
        </w:rPr>
        <w:t>z</w:t>
      </w:r>
      <w:r>
        <w:rPr>
          <w:szCs w:val="22"/>
        </w:rPr>
        <w:t>e</w:t>
      </w:r>
      <w:r>
        <w:rPr>
          <w:spacing w:val="-2"/>
          <w:szCs w:val="22"/>
        </w:rPr>
        <w:t>l</w:t>
      </w:r>
      <w:r>
        <w:rPr>
          <w:szCs w:val="22"/>
        </w:rPr>
        <w:t>e</w:t>
      </w:r>
      <w:r>
        <w:rPr>
          <w:spacing w:val="1"/>
          <w:szCs w:val="22"/>
        </w:rPr>
        <w:t>/</w:t>
      </w:r>
      <w:r>
        <w:rPr>
          <w:spacing w:val="-2"/>
          <w:szCs w:val="22"/>
        </w:rPr>
        <w:t>s</w:t>
      </w:r>
      <w:r>
        <w:rPr>
          <w:szCs w:val="22"/>
        </w:rPr>
        <w:t>che</w:t>
      </w:r>
      <w:r>
        <w:rPr>
          <w:spacing w:val="-4"/>
          <w:szCs w:val="22"/>
        </w:rPr>
        <w:t>m</w:t>
      </w:r>
      <w:r>
        <w:rPr>
          <w:szCs w:val="22"/>
        </w:rPr>
        <w:t>e</w:t>
      </w:r>
      <w:r>
        <w:rPr>
          <w:spacing w:val="-2"/>
          <w:szCs w:val="22"/>
        </w:rPr>
        <w:t>l</w:t>
      </w:r>
      <w:r>
        <w:rPr>
          <w:szCs w:val="22"/>
        </w:rPr>
        <w:t>e de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w:t>
      </w:r>
      <w:r>
        <w:rPr>
          <w:spacing w:val="-2"/>
          <w:szCs w:val="22"/>
        </w:rPr>
        <w:t>r</w:t>
      </w:r>
      <w:r>
        <w:rPr>
          <w:szCs w:val="22"/>
        </w:rPr>
        <w:t xml:space="preserve">e a </w:t>
      </w:r>
      <w:r>
        <w:rPr>
          <w:rFonts w:eastAsia="MS Mincho"/>
          <w:spacing w:val="-1"/>
          <w:szCs w:val="22"/>
          <w:lang w:eastAsia="en-US" w:bidi="ar-SA"/>
        </w:rPr>
        <w:t>adalimumab</w:t>
      </w:r>
      <w:r>
        <w:rPr>
          <w:spacing w:val="-2"/>
          <w:szCs w:val="22"/>
        </w:rPr>
        <w:t xml:space="preserve"> </w:t>
      </w:r>
      <w:r>
        <w:rPr>
          <w:szCs w:val="22"/>
        </w:rPr>
        <w:t>d</w:t>
      </w:r>
      <w:r>
        <w:rPr>
          <w:spacing w:val="1"/>
          <w:szCs w:val="22"/>
        </w:rPr>
        <w:t>i</w:t>
      </w:r>
      <w:r>
        <w:rPr>
          <w:szCs w:val="22"/>
        </w:rPr>
        <w:t xml:space="preserve">n </w:t>
      </w:r>
      <w:r>
        <w:rPr>
          <w:spacing w:val="-3"/>
          <w:szCs w:val="22"/>
        </w:rPr>
        <w:t>c</w:t>
      </w:r>
      <w:r>
        <w:rPr>
          <w:szCs w:val="22"/>
        </w:rPr>
        <w:t>e</w:t>
      </w:r>
      <w:r>
        <w:rPr>
          <w:spacing w:val="1"/>
          <w:szCs w:val="22"/>
        </w:rPr>
        <w:t>l</w:t>
      </w:r>
      <w:r>
        <w:rPr>
          <w:szCs w:val="22"/>
        </w:rPr>
        <w:t>e</w:t>
      </w:r>
      <w:r>
        <w:rPr>
          <w:spacing w:val="-2"/>
          <w:szCs w:val="22"/>
        </w:rPr>
        <w:t xml:space="preserve"> </w:t>
      </w:r>
      <w:r>
        <w:rPr>
          <w:szCs w:val="22"/>
        </w:rPr>
        <w:t>pa</w:t>
      </w:r>
      <w:r>
        <w:rPr>
          <w:spacing w:val="-2"/>
          <w:szCs w:val="22"/>
        </w:rPr>
        <w:t>t</w:t>
      </w:r>
      <w:r>
        <w:rPr>
          <w:szCs w:val="22"/>
        </w:rPr>
        <w:t>ru</w:t>
      </w:r>
      <w:r>
        <w:rPr>
          <w:spacing w:val="-3"/>
          <w:szCs w:val="22"/>
        </w:rPr>
        <w:t xml:space="preserve"> </w:t>
      </w:r>
      <w:r>
        <w:rPr>
          <w:szCs w:val="22"/>
        </w:rPr>
        <w:t>s</w:t>
      </w:r>
      <w:r>
        <w:rPr>
          <w:spacing w:val="1"/>
          <w:szCs w:val="22"/>
        </w:rPr>
        <w:t>t</w:t>
      </w:r>
      <w:r>
        <w:rPr>
          <w:szCs w:val="22"/>
        </w:rPr>
        <w:t>u</w:t>
      </w:r>
      <w:r>
        <w:rPr>
          <w:spacing w:val="-3"/>
          <w:szCs w:val="22"/>
        </w:rPr>
        <w:t>d</w:t>
      </w:r>
      <w:r>
        <w:rPr>
          <w:spacing w:val="1"/>
          <w:szCs w:val="22"/>
        </w:rPr>
        <w:t>i</w:t>
      </w:r>
      <w:r>
        <w:rPr>
          <w:szCs w:val="22"/>
        </w:rPr>
        <w:t>i</w:t>
      </w:r>
      <w:r>
        <w:rPr>
          <w:spacing w:val="-2"/>
          <w:szCs w:val="22"/>
        </w:rPr>
        <w:t xml:space="preserve"> </w:t>
      </w:r>
      <w:r>
        <w:rPr>
          <w:szCs w:val="22"/>
        </w:rPr>
        <w:t>su</w:t>
      </w:r>
      <w:r>
        <w:rPr>
          <w:spacing w:val="-2"/>
          <w:szCs w:val="22"/>
        </w:rPr>
        <w:t>s</w:t>
      </w:r>
      <w:r>
        <w:rPr>
          <w:spacing w:val="1"/>
          <w:szCs w:val="22"/>
        </w:rPr>
        <w:t>ţ</w:t>
      </w:r>
      <w:r>
        <w:rPr>
          <w:spacing w:val="-2"/>
          <w:szCs w:val="22"/>
        </w:rPr>
        <w:t>i</w:t>
      </w:r>
      <w:r>
        <w:rPr>
          <w:szCs w:val="22"/>
        </w:rPr>
        <w:t>n obser</w:t>
      </w:r>
      <w:r>
        <w:rPr>
          <w:spacing w:val="-3"/>
          <w:szCs w:val="22"/>
        </w:rPr>
        <w:t>v</w:t>
      </w:r>
      <w:r>
        <w:rPr>
          <w:szCs w:val="22"/>
        </w:rPr>
        <w:t>a</w:t>
      </w:r>
      <w:r>
        <w:rPr>
          <w:spacing w:val="-2"/>
          <w:szCs w:val="22"/>
        </w:rPr>
        <w:t>ţ</w:t>
      </w:r>
      <w:r>
        <w:rPr>
          <w:spacing w:val="1"/>
          <w:szCs w:val="22"/>
        </w:rPr>
        <w:t>i</w:t>
      </w:r>
      <w:r>
        <w:rPr>
          <w:spacing w:val="-2"/>
          <w:szCs w:val="22"/>
        </w:rPr>
        <w:t>i</w:t>
      </w:r>
      <w:r>
        <w:rPr>
          <w:spacing w:val="1"/>
          <w:szCs w:val="22"/>
        </w:rPr>
        <w:t>l</w:t>
      </w:r>
      <w:r>
        <w:rPr>
          <w:spacing w:val="-3"/>
          <w:szCs w:val="22"/>
        </w:rPr>
        <w:t>e</w:t>
      </w:r>
      <w:r>
        <w:rPr>
          <w:spacing w:val="1"/>
          <w:szCs w:val="22"/>
        </w:rPr>
        <w:t>/</w:t>
      </w:r>
      <w:r>
        <w:rPr>
          <w:spacing w:val="-2"/>
          <w:szCs w:val="22"/>
        </w:rPr>
        <w:t>r</w:t>
      </w:r>
      <w:r>
        <w:rPr>
          <w:szCs w:val="22"/>
        </w:rPr>
        <w:t>e</w:t>
      </w:r>
      <w:r>
        <w:rPr>
          <w:spacing w:val="-3"/>
          <w:szCs w:val="22"/>
        </w:rPr>
        <w:t>z</w:t>
      </w:r>
      <w:r>
        <w:rPr>
          <w:szCs w:val="22"/>
        </w:rPr>
        <w:t>u</w:t>
      </w:r>
      <w:r>
        <w:rPr>
          <w:spacing w:val="1"/>
          <w:szCs w:val="22"/>
        </w:rPr>
        <w:t>lt</w:t>
      </w:r>
      <w:r>
        <w:rPr>
          <w:spacing w:val="-3"/>
          <w:szCs w:val="22"/>
        </w:rPr>
        <w:t>a</w:t>
      </w:r>
      <w:r>
        <w:rPr>
          <w:spacing w:val="1"/>
          <w:szCs w:val="22"/>
        </w:rPr>
        <w:t>t</w:t>
      </w:r>
      <w:r>
        <w:rPr>
          <w:spacing w:val="-3"/>
          <w:szCs w:val="22"/>
        </w:rPr>
        <w:t>e</w:t>
      </w:r>
      <w:r>
        <w:rPr>
          <w:spacing w:val="1"/>
          <w:szCs w:val="22"/>
        </w:rPr>
        <w:t>l</w:t>
      </w:r>
      <w:r>
        <w:rPr>
          <w:szCs w:val="22"/>
        </w:rPr>
        <w:t>e</w:t>
      </w:r>
      <w:r>
        <w:rPr>
          <w:spacing w:val="-2"/>
          <w:szCs w:val="22"/>
        </w:rPr>
        <w:t xml:space="preserve"> </w:t>
      </w:r>
      <w:r>
        <w:rPr>
          <w:szCs w:val="22"/>
        </w:rPr>
        <w:t>an</w:t>
      </w:r>
      <w:r>
        <w:rPr>
          <w:spacing w:val="-2"/>
          <w:szCs w:val="22"/>
        </w:rPr>
        <w:t>t</w:t>
      </w:r>
      <w:r>
        <w:rPr>
          <w:spacing w:val="-3"/>
          <w:szCs w:val="22"/>
        </w:rPr>
        <w:t>e</w:t>
      </w:r>
      <w:r>
        <w:rPr>
          <w:szCs w:val="22"/>
        </w:rPr>
        <w:t>r</w:t>
      </w:r>
      <w:r>
        <w:rPr>
          <w:spacing w:val="1"/>
          <w:szCs w:val="22"/>
        </w:rPr>
        <w:t>i</w:t>
      </w:r>
      <w:r>
        <w:rPr>
          <w:spacing w:val="-3"/>
          <w:szCs w:val="22"/>
        </w:rPr>
        <w:t>o</w:t>
      </w:r>
      <w:r>
        <w:rPr>
          <w:szCs w:val="22"/>
        </w:rPr>
        <w:t>r</w:t>
      </w:r>
      <w:r>
        <w:rPr>
          <w:spacing w:val="1"/>
          <w:szCs w:val="22"/>
        </w:rPr>
        <w:t xml:space="preserve"> </w:t>
      </w:r>
      <w:r>
        <w:rPr>
          <w:szCs w:val="22"/>
        </w:rPr>
        <w:t>an</w:t>
      </w:r>
      <w:r>
        <w:rPr>
          <w:spacing w:val="-3"/>
          <w:szCs w:val="22"/>
        </w:rPr>
        <w:t>u</w:t>
      </w:r>
      <w:r>
        <w:rPr>
          <w:szCs w:val="22"/>
        </w:rPr>
        <w:t>n</w:t>
      </w:r>
      <w:r>
        <w:rPr>
          <w:spacing w:val="1"/>
          <w:szCs w:val="22"/>
        </w:rPr>
        <w:t>ţ</w:t>
      </w:r>
      <w:r>
        <w:rPr>
          <w:spacing w:val="-3"/>
          <w:szCs w:val="22"/>
        </w:rPr>
        <w:t>a</w:t>
      </w:r>
      <w:r>
        <w:rPr>
          <w:spacing w:val="1"/>
          <w:szCs w:val="22"/>
        </w:rPr>
        <w:t>t</w:t>
      </w:r>
      <w:r>
        <w:rPr>
          <w:szCs w:val="22"/>
        </w:rPr>
        <w:t>e</w:t>
      </w:r>
      <w:r>
        <w:rPr>
          <w:spacing w:val="-2"/>
          <w:szCs w:val="22"/>
        </w:rPr>
        <w:t xml:space="preserve"> </w:t>
      </w:r>
      <w:r>
        <w:rPr>
          <w:szCs w:val="22"/>
        </w:rPr>
        <w:t>cu s</w:t>
      </w:r>
      <w:r>
        <w:rPr>
          <w:spacing w:val="-3"/>
          <w:szCs w:val="22"/>
        </w:rPr>
        <w:t>c</w:t>
      </w:r>
      <w:r>
        <w:rPr>
          <w:szCs w:val="22"/>
        </w:rPr>
        <w:t>or</w:t>
      </w:r>
      <w:r>
        <w:rPr>
          <w:spacing w:val="-3"/>
          <w:szCs w:val="22"/>
        </w:rPr>
        <w:t>u</w:t>
      </w:r>
      <w:r>
        <w:rPr>
          <w:szCs w:val="22"/>
        </w:rPr>
        <w:t>ri</w:t>
      </w:r>
      <w:r>
        <w:rPr>
          <w:spacing w:val="-2"/>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pacing w:val="-3"/>
          <w:szCs w:val="22"/>
        </w:rPr>
        <w:t>v</w:t>
      </w:r>
      <w:r>
        <w:rPr>
          <w:szCs w:val="22"/>
        </w:rPr>
        <w:t xml:space="preserve">e </w:t>
      </w:r>
      <w:r>
        <w:rPr>
          <w:spacing w:val="-2"/>
          <w:szCs w:val="22"/>
        </w:rPr>
        <w:t>s</w:t>
      </w:r>
      <w:r>
        <w:rPr>
          <w:spacing w:val="1"/>
          <w:szCs w:val="22"/>
        </w:rPr>
        <w:t>t</w:t>
      </w:r>
      <w:r>
        <w:rPr>
          <w:spacing w:val="-3"/>
          <w:szCs w:val="22"/>
        </w:rPr>
        <w:t>a</w:t>
      </w:r>
      <w:r>
        <w:rPr>
          <w:spacing w:val="1"/>
          <w:szCs w:val="22"/>
        </w:rPr>
        <w:t>ti</w:t>
      </w:r>
      <w:r>
        <w:rPr>
          <w:spacing w:val="-2"/>
          <w:szCs w:val="22"/>
        </w:rPr>
        <w:t>st</w:t>
      </w:r>
      <w:r>
        <w:rPr>
          <w:spacing w:val="1"/>
          <w:szCs w:val="22"/>
        </w:rPr>
        <w:t>i</w:t>
      </w:r>
      <w:r>
        <w:rPr>
          <w:szCs w:val="22"/>
        </w:rPr>
        <w:t xml:space="preserve">c </w:t>
      </w:r>
      <w:r>
        <w:rPr>
          <w:spacing w:val="-3"/>
          <w:szCs w:val="22"/>
        </w:rPr>
        <w:t>a</w:t>
      </w:r>
      <w:r>
        <w:rPr>
          <w:spacing w:val="1"/>
          <w:szCs w:val="22"/>
        </w:rPr>
        <w:t>l</w:t>
      </w:r>
      <w:r>
        <w:rPr>
          <w:szCs w:val="22"/>
        </w:rPr>
        <w:t>e e</w:t>
      </w:r>
      <w:r>
        <w:rPr>
          <w:spacing w:val="-3"/>
          <w:szCs w:val="22"/>
        </w:rPr>
        <w:t>v</w:t>
      </w:r>
      <w:r>
        <w:rPr>
          <w:szCs w:val="22"/>
        </w:rPr>
        <w:t>a</w:t>
      </w:r>
      <w:r>
        <w:rPr>
          <w:spacing w:val="-2"/>
          <w:szCs w:val="22"/>
        </w:rPr>
        <w:t>l</w:t>
      </w:r>
      <w:r>
        <w:rPr>
          <w:spacing w:val="-3"/>
          <w:szCs w:val="22"/>
        </w:rPr>
        <w:t>u</w:t>
      </w:r>
      <w:r>
        <w:rPr>
          <w:szCs w:val="22"/>
        </w:rPr>
        <w:t>ăr</w:t>
      </w:r>
      <w:r>
        <w:rPr>
          <w:spacing w:val="-2"/>
          <w:szCs w:val="22"/>
        </w:rPr>
        <w:t>i</w:t>
      </w:r>
      <w:r>
        <w:rPr>
          <w:szCs w:val="22"/>
        </w:rPr>
        <w:t>i</w:t>
      </w:r>
      <w:r>
        <w:rPr>
          <w:spacing w:val="1"/>
          <w:szCs w:val="22"/>
        </w:rPr>
        <w:t xml:space="preserve"> </w:t>
      </w:r>
      <w:r>
        <w:rPr>
          <w:szCs w:val="22"/>
        </w:rPr>
        <w:t>co</w:t>
      </w:r>
      <w:r>
        <w:rPr>
          <w:spacing w:val="-4"/>
          <w:szCs w:val="22"/>
        </w:rPr>
        <w:t>m</w:t>
      </w:r>
      <w:r>
        <w:rPr>
          <w:szCs w:val="22"/>
        </w:rPr>
        <w:t>pone</w:t>
      </w:r>
      <w:r>
        <w:rPr>
          <w:spacing w:val="-3"/>
          <w:szCs w:val="22"/>
        </w:rPr>
        <w:t>n</w:t>
      </w:r>
      <w:r>
        <w:rPr>
          <w:spacing w:val="1"/>
          <w:szCs w:val="22"/>
        </w:rPr>
        <w:t>ţ</w:t>
      </w:r>
      <w:r>
        <w:rPr>
          <w:szCs w:val="22"/>
        </w:rPr>
        <w:t>ei f</w:t>
      </w:r>
      <w:r>
        <w:rPr>
          <w:spacing w:val="1"/>
          <w:szCs w:val="22"/>
        </w:rPr>
        <w:t>i</w:t>
      </w:r>
      <w:r>
        <w:rPr>
          <w:spacing w:val="-3"/>
          <w:szCs w:val="22"/>
        </w:rPr>
        <w:t>z</w:t>
      </w:r>
      <w:r>
        <w:rPr>
          <w:spacing w:val="1"/>
          <w:szCs w:val="22"/>
        </w:rPr>
        <w:t>i</w:t>
      </w:r>
      <w:r>
        <w:rPr>
          <w:szCs w:val="22"/>
        </w:rPr>
        <w:t>ce</w:t>
      </w:r>
      <w:r>
        <w:rPr>
          <w:spacing w:val="-2"/>
          <w:szCs w:val="22"/>
        </w:rPr>
        <w:t xml:space="preserve"> </w:t>
      </w:r>
      <w:r>
        <w:rPr>
          <w:szCs w:val="22"/>
        </w:rPr>
        <w:t>pr</w:t>
      </w:r>
      <w:r>
        <w:rPr>
          <w:spacing w:val="-3"/>
          <w:szCs w:val="22"/>
        </w:rPr>
        <w:t>e</w:t>
      </w:r>
      <w:r>
        <w:rPr>
          <w:szCs w:val="22"/>
        </w:rPr>
        <w:t>cum</w:t>
      </w:r>
      <w:r>
        <w:rPr>
          <w:spacing w:val="-4"/>
          <w:szCs w:val="22"/>
        </w:rPr>
        <w:t xml:space="preserve"> </w:t>
      </w:r>
      <w:r>
        <w:rPr>
          <w:szCs w:val="22"/>
        </w:rPr>
        <w:t>şi</w:t>
      </w:r>
      <w:r>
        <w:rPr>
          <w:spacing w:val="1"/>
          <w:szCs w:val="22"/>
        </w:rPr>
        <w:t xml:space="preserve"> </w:t>
      </w:r>
      <w:r>
        <w:rPr>
          <w:szCs w:val="22"/>
        </w:rPr>
        <w:t>cu</w:t>
      </w:r>
      <w:r>
        <w:rPr>
          <w:spacing w:val="-3"/>
          <w:szCs w:val="22"/>
        </w:rPr>
        <w:t xml:space="preserve"> </w:t>
      </w:r>
      <w:r>
        <w:rPr>
          <w:szCs w:val="22"/>
        </w:rPr>
        <w:t>sc</w:t>
      </w:r>
      <w:r>
        <w:rPr>
          <w:spacing w:val="-3"/>
          <w:szCs w:val="22"/>
        </w:rPr>
        <w:t>o</w:t>
      </w:r>
      <w:r>
        <w:rPr>
          <w:szCs w:val="22"/>
        </w:rPr>
        <w:t>ru</w:t>
      </w:r>
      <w:r>
        <w:rPr>
          <w:spacing w:val="-2"/>
          <w:szCs w:val="22"/>
        </w:rPr>
        <w:t>r</w:t>
      </w:r>
      <w:r>
        <w:rPr>
          <w:szCs w:val="22"/>
        </w:rPr>
        <w:t>i</w:t>
      </w:r>
      <w:r>
        <w:rPr>
          <w:spacing w:val="-2"/>
          <w:szCs w:val="22"/>
        </w:rPr>
        <w:t xml:space="preserve"> </w:t>
      </w:r>
      <w:r>
        <w:rPr>
          <w:szCs w:val="22"/>
        </w:rPr>
        <w:t>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e 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zCs w:val="22"/>
        </w:rPr>
        <w:t>c</w:t>
      </w:r>
      <w:r>
        <w:rPr>
          <w:spacing w:val="-2"/>
          <w:szCs w:val="22"/>
        </w:rPr>
        <w:t xml:space="preserve"> </w:t>
      </w:r>
      <w:r>
        <w:rPr>
          <w:szCs w:val="22"/>
        </w:rPr>
        <w:t>r</w:t>
      </w:r>
      <w:r>
        <w:rPr>
          <w:spacing w:val="-3"/>
          <w:szCs w:val="22"/>
        </w:rPr>
        <w:t>e</w:t>
      </w:r>
      <w:r>
        <w:rPr>
          <w:szCs w:val="22"/>
        </w:rPr>
        <w:t>fe</w:t>
      </w:r>
      <w:r>
        <w:rPr>
          <w:spacing w:val="-2"/>
          <w:szCs w:val="22"/>
        </w:rPr>
        <w:t>ri</w:t>
      </w:r>
      <w:r>
        <w:rPr>
          <w:spacing w:val="1"/>
          <w:szCs w:val="22"/>
        </w:rPr>
        <w:t>t</w:t>
      </w:r>
      <w:r>
        <w:rPr>
          <w:szCs w:val="22"/>
        </w:rPr>
        <w:t>oa</w:t>
      </w:r>
      <w:r>
        <w:rPr>
          <w:spacing w:val="-2"/>
          <w:szCs w:val="22"/>
        </w:rPr>
        <w:t>r</w:t>
      </w:r>
      <w:r>
        <w:rPr>
          <w:szCs w:val="22"/>
        </w:rPr>
        <w:t xml:space="preserve">e </w:t>
      </w:r>
      <w:r>
        <w:rPr>
          <w:spacing w:val="-2"/>
          <w:szCs w:val="22"/>
        </w:rPr>
        <w:t>l</w:t>
      </w:r>
      <w:r>
        <w:rPr>
          <w:szCs w:val="22"/>
        </w:rPr>
        <w:t>a d</w:t>
      </w:r>
      <w:r>
        <w:rPr>
          <w:spacing w:val="-3"/>
          <w:szCs w:val="22"/>
        </w:rPr>
        <w:t>u</w:t>
      </w:r>
      <w:r>
        <w:rPr>
          <w:szCs w:val="22"/>
        </w:rPr>
        <w:t>re</w:t>
      </w:r>
      <w:r>
        <w:rPr>
          <w:spacing w:val="-2"/>
          <w:szCs w:val="22"/>
        </w:rPr>
        <w:t>r</w:t>
      </w:r>
      <w:r>
        <w:rPr>
          <w:szCs w:val="22"/>
        </w:rPr>
        <w:t xml:space="preserve">e </w:t>
      </w:r>
      <w:r>
        <w:rPr>
          <w:spacing w:val="-2"/>
          <w:szCs w:val="22"/>
        </w:rPr>
        <w:t>ş</w:t>
      </w:r>
      <w:r>
        <w:rPr>
          <w:szCs w:val="22"/>
        </w:rPr>
        <w:t>i</w:t>
      </w:r>
      <w:r>
        <w:rPr>
          <w:spacing w:val="1"/>
          <w:szCs w:val="22"/>
        </w:rPr>
        <w:t xml:space="preserve"> </w:t>
      </w:r>
      <w:r>
        <w:rPr>
          <w:spacing w:val="-2"/>
          <w:szCs w:val="22"/>
        </w:rPr>
        <w:t>l</w:t>
      </w:r>
      <w:r>
        <w:rPr>
          <w:szCs w:val="22"/>
        </w:rPr>
        <w:t>a do</w:t>
      </w:r>
      <w:r>
        <w:rPr>
          <w:spacing w:val="-5"/>
          <w:szCs w:val="22"/>
        </w:rPr>
        <w:t>m</w:t>
      </w:r>
      <w:r>
        <w:rPr>
          <w:szCs w:val="22"/>
        </w:rPr>
        <w:t>en</w:t>
      </w:r>
      <w:r>
        <w:rPr>
          <w:spacing w:val="-2"/>
          <w:szCs w:val="22"/>
        </w:rPr>
        <w:t>i</w:t>
      </w:r>
      <w:r>
        <w:rPr>
          <w:szCs w:val="22"/>
        </w:rPr>
        <w:t>ul</w:t>
      </w:r>
      <w:r>
        <w:rPr>
          <w:spacing w:val="1"/>
          <w:szCs w:val="22"/>
        </w:rPr>
        <w:t xml:space="preserve"> </w:t>
      </w:r>
      <w:r>
        <w:rPr>
          <w:spacing w:val="-3"/>
          <w:szCs w:val="22"/>
        </w:rPr>
        <w:t>v</w:t>
      </w:r>
      <w:r>
        <w:rPr>
          <w:spacing w:val="1"/>
          <w:szCs w:val="22"/>
        </w:rPr>
        <w:t>it</w:t>
      </w:r>
      <w:r>
        <w:rPr>
          <w:spacing w:val="-3"/>
          <w:szCs w:val="22"/>
        </w:rPr>
        <w:t>a</w:t>
      </w:r>
      <w:r>
        <w:rPr>
          <w:spacing w:val="1"/>
          <w:szCs w:val="22"/>
        </w:rPr>
        <w:t>l</w:t>
      </w:r>
      <w:r>
        <w:rPr>
          <w:spacing w:val="-2"/>
          <w:szCs w:val="22"/>
        </w:rPr>
        <w:t>i</w:t>
      </w:r>
      <w:r>
        <w:rPr>
          <w:spacing w:val="1"/>
          <w:szCs w:val="22"/>
        </w:rPr>
        <w:t>t</w:t>
      </w:r>
      <w:r>
        <w:rPr>
          <w:spacing w:val="-3"/>
          <w:szCs w:val="22"/>
        </w:rPr>
        <w:t>ă</w:t>
      </w:r>
      <w:r>
        <w:rPr>
          <w:spacing w:val="1"/>
          <w:szCs w:val="22"/>
        </w:rPr>
        <w:t>ţ</w:t>
      </w:r>
      <w:r>
        <w:rPr>
          <w:spacing w:val="-2"/>
          <w:szCs w:val="22"/>
        </w:rPr>
        <w:t>i</w:t>
      </w:r>
      <w:r>
        <w:rPr>
          <w:szCs w:val="22"/>
        </w:rPr>
        <w:t>i</w:t>
      </w:r>
      <w:r>
        <w:rPr>
          <w:spacing w:val="1"/>
          <w:szCs w:val="22"/>
        </w:rPr>
        <w:t xml:space="preserve"> </w:t>
      </w:r>
      <w:r>
        <w:rPr>
          <w:szCs w:val="22"/>
        </w:rPr>
        <w:t>p</w:t>
      </w:r>
      <w:r>
        <w:rPr>
          <w:spacing w:val="-3"/>
          <w:szCs w:val="22"/>
        </w:rPr>
        <w:t>e</w:t>
      </w:r>
      <w:r>
        <w:rPr>
          <w:szCs w:val="22"/>
        </w:rPr>
        <w:t>n</w:t>
      </w:r>
      <w:r>
        <w:rPr>
          <w:spacing w:val="-2"/>
          <w:szCs w:val="22"/>
        </w:rPr>
        <w:t>t</w:t>
      </w:r>
      <w:r>
        <w:rPr>
          <w:szCs w:val="22"/>
        </w:rPr>
        <w:t>ru do</w:t>
      </w:r>
      <w:r>
        <w:rPr>
          <w:spacing w:val="-3"/>
          <w:szCs w:val="22"/>
        </w:rPr>
        <w:t>z</w:t>
      </w:r>
      <w:r>
        <w:rPr>
          <w:szCs w:val="22"/>
        </w:rPr>
        <w:t>a de 40 </w:t>
      </w:r>
      <w:r>
        <w:rPr>
          <w:spacing w:val="-4"/>
          <w:szCs w:val="22"/>
        </w:rPr>
        <w:t>m</w:t>
      </w:r>
      <w:r>
        <w:rPr>
          <w:szCs w:val="22"/>
        </w:rPr>
        <w:t>g</w:t>
      </w:r>
      <w:r>
        <w:rPr>
          <w:spacing w:val="-3"/>
          <w:szCs w:val="22"/>
        </w:rPr>
        <w:t xml:space="preserve"> </w:t>
      </w:r>
      <w:r>
        <w:rPr>
          <w:szCs w:val="22"/>
        </w:rPr>
        <w:t>o da</w:t>
      </w:r>
      <w:r>
        <w:rPr>
          <w:spacing w:val="1"/>
          <w:szCs w:val="22"/>
        </w:rPr>
        <w:t>t</w:t>
      </w:r>
      <w:r>
        <w:rPr>
          <w:szCs w:val="22"/>
        </w:rPr>
        <w:t xml:space="preserve">ă </w:t>
      </w:r>
      <w:r>
        <w:rPr>
          <w:spacing w:val="1"/>
          <w:szCs w:val="22"/>
        </w:rPr>
        <w:t>l</w:t>
      </w:r>
      <w:r>
        <w:rPr>
          <w:szCs w:val="22"/>
        </w:rPr>
        <w:t>a</w:t>
      </w:r>
      <w:r>
        <w:rPr>
          <w:spacing w:val="-2"/>
          <w:szCs w:val="22"/>
        </w:rPr>
        <w:t xml:space="preserve"> </w:t>
      </w:r>
      <w:r>
        <w:rPr>
          <w:szCs w:val="22"/>
        </w:rPr>
        <w:t xml:space="preserve">2 </w:t>
      </w:r>
      <w:r>
        <w:rPr>
          <w:spacing w:val="-2"/>
          <w:szCs w:val="22"/>
        </w:rPr>
        <w:t>s</w:t>
      </w:r>
      <w:r>
        <w:rPr>
          <w:szCs w:val="22"/>
        </w:rPr>
        <w:t>ăp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4"/>
          <w:szCs w:val="22"/>
        </w:rPr>
        <w:t>Î</w:t>
      </w:r>
      <w:r>
        <w:rPr>
          <w:szCs w:val="22"/>
        </w:rPr>
        <w:t xml:space="preserve">n </w:t>
      </w:r>
      <w:r>
        <w:rPr>
          <w:spacing w:val="1"/>
          <w:szCs w:val="22"/>
        </w:rPr>
        <w:t>t</w:t>
      </w:r>
      <w:r>
        <w:rPr>
          <w:szCs w:val="22"/>
        </w:rPr>
        <w:t>oa</w:t>
      </w:r>
      <w:r>
        <w:rPr>
          <w:spacing w:val="-2"/>
          <w:szCs w:val="22"/>
        </w:rPr>
        <w:t>t</w:t>
      </w:r>
      <w:r>
        <w:rPr>
          <w:szCs w:val="22"/>
        </w:rPr>
        <w:t>e c</w:t>
      </w:r>
      <w:r>
        <w:rPr>
          <w:spacing w:val="-3"/>
          <w:szCs w:val="22"/>
        </w:rPr>
        <w:t>e</w:t>
      </w:r>
      <w:r>
        <w:rPr>
          <w:spacing w:val="1"/>
          <w:szCs w:val="22"/>
        </w:rPr>
        <w:t>l</w:t>
      </w:r>
      <w:r>
        <w:rPr>
          <w:szCs w:val="22"/>
        </w:rPr>
        <w:t>e</w:t>
      </w:r>
      <w:r>
        <w:rPr>
          <w:spacing w:val="-2"/>
          <w:szCs w:val="22"/>
        </w:rPr>
        <w:t xml:space="preserve"> </w:t>
      </w:r>
      <w:r>
        <w:rPr>
          <w:spacing w:val="1"/>
          <w:szCs w:val="22"/>
        </w:rPr>
        <w:t>t</w:t>
      </w:r>
      <w:r>
        <w:rPr>
          <w:spacing w:val="-2"/>
          <w:szCs w:val="22"/>
        </w:rPr>
        <w:t>r</w:t>
      </w:r>
      <w:r>
        <w:rPr>
          <w:szCs w:val="22"/>
        </w:rPr>
        <w:t>ei</w:t>
      </w:r>
      <w:r>
        <w:rPr>
          <w:spacing w:val="-2"/>
          <w:szCs w:val="22"/>
        </w:rPr>
        <w:t xml:space="preserve"> </w:t>
      </w:r>
      <w:r>
        <w:rPr>
          <w:szCs w:val="22"/>
        </w:rPr>
        <w:t>s</w:t>
      </w:r>
      <w:r>
        <w:rPr>
          <w:spacing w:val="1"/>
          <w:szCs w:val="22"/>
        </w:rPr>
        <w:t>t</w:t>
      </w:r>
      <w:r>
        <w:rPr>
          <w:szCs w:val="22"/>
        </w:rPr>
        <w:t>u</w:t>
      </w:r>
      <w:r>
        <w:rPr>
          <w:spacing w:val="-3"/>
          <w:szCs w:val="22"/>
        </w:rPr>
        <w:t>d</w:t>
      </w:r>
      <w:r>
        <w:rPr>
          <w:spacing w:val="1"/>
          <w:szCs w:val="22"/>
        </w:rPr>
        <w:t>i</w:t>
      </w:r>
      <w:r>
        <w:rPr>
          <w:szCs w:val="22"/>
        </w:rPr>
        <w:t>i</w:t>
      </w:r>
      <w:r>
        <w:rPr>
          <w:spacing w:val="-2"/>
          <w:szCs w:val="22"/>
        </w:rPr>
        <w:t xml:space="preserve"> </w:t>
      </w:r>
      <w:r>
        <w:rPr>
          <w:spacing w:val="1"/>
          <w:szCs w:val="22"/>
        </w:rPr>
        <w:t>î</w:t>
      </w:r>
      <w:r>
        <w:rPr>
          <w:szCs w:val="22"/>
        </w:rPr>
        <w:t xml:space="preserve">n </w:t>
      </w:r>
      <w:r>
        <w:rPr>
          <w:spacing w:val="-3"/>
          <w:szCs w:val="22"/>
        </w:rPr>
        <w:t>c</w:t>
      </w:r>
      <w:r>
        <w:rPr>
          <w:szCs w:val="22"/>
        </w:rPr>
        <w:t>a</w:t>
      </w:r>
      <w:r>
        <w:rPr>
          <w:spacing w:val="-2"/>
          <w:szCs w:val="22"/>
        </w:rPr>
        <w:t>r</w:t>
      </w:r>
      <w:r>
        <w:rPr>
          <w:szCs w:val="22"/>
        </w:rPr>
        <w:t>e s</w:t>
      </w:r>
      <w:r>
        <w:rPr>
          <w:spacing w:val="-4"/>
          <w:szCs w:val="22"/>
        </w:rPr>
        <w:t>-</w:t>
      </w:r>
      <w:r>
        <w:rPr>
          <w:szCs w:val="22"/>
        </w:rPr>
        <w:t>a</w:t>
      </w:r>
      <w:r>
        <w:rPr>
          <w:spacing w:val="2"/>
          <w:szCs w:val="22"/>
        </w:rPr>
        <w:t xml:space="preserve"> </w:t>
      </w:r>
      <w:r>
        <w:rPr>
          <w:spacing w:val="-4"/>
          <w:szCs w:val="22"/>
        </w:rPr>
        <w:t>m</w:t>
      </w:r>
      <w:r>
        <w:rPr>
          <w:szCs w:val="22"/>
        </w:rPr>
        <w:t>on</w:t>
      </w:r>
      <w:r>
        <w:rPr>
          <w:spacing w:val="1"/>
          <w:szCs w:val="22"/>
        </w:rPr>
        <w:t>it</w:t>
      </w:r>
      <w:r>
        <w:rPr>
          <w:szCs w:val="22"/>
        </w:rPr>
        <w:t>o</w:t>
      </w:r>
      <w:r>
        <w:rPr>
          <w:spacing w:val="-2"/>
          <w:szCs w:val="22"/>
        </w:rPr>
        <w:t>r</w:t>
      </w:r>
      <w:r>
        <w:rPr>
          <w:spacing w:val="1"/>
          <w:szCs w:val="22"/>
        </w:rPr>
        <w:t>i</w:t>
      </w:r>
      <w:r>
        <w:rPr>
          <w:spacing w:val="-3"/>
          <w:szCs w:val="22"/>
        </w:rPr>
        <w:t>za</w:t>
      </w:r>
      <w:r>
        <w:rPr>
          <w:szCs w:val="22"/>
        </w:rPr>
        <w:t>t</w:t>
      </w:r>
      <w:r>
        <w:rPr>
          <w:spacing w:val="1"/>
          <w:szCs w:val="22"/>
        </w:rPr>
        <w:t xml:space="preserve"> </w:t>
      </w:r>
      <w:r>
        <w:rPr>
          <w:szCs w:val="22"/>
        </w:rPr>
        <w:t>f</w:t>
      </w:r>
      <w:r>
        <w:rPr>
          <w:spacing w:val="-3"/>
          <w:szCs w:val="22"/>
        </w:rPr>
        <w:t>a</w:t>
      </w:r>
      <w:r>
        <w:rPr>
          <w:spacing w:val="1"/>
          <w:szCs w:val="22"/>
        </w:rPr>
        <w:t>ti</w:t>
      </w:r>
      <w:r>
        <w:rPr>
          <w:spacing w:val="-3"/>
          <w:szCs w:val="22"/>
        </w:rPr>
        <w:t>g</w:t>
      </w:r>
      <w:r>
        <w:rPr>
          <w:szCs w:val="22"/>
        </w:rPr>
        <w:t>a</w:t>
      </w:r>
      <w:r>
        <w:rPr>
          <w:spacing w:val="-3"/>
          <w:szCs w:val="22"/>
        </w:rPr>
        <w:t>b</w:t>
      </w:r>
      <w:r>
        <w:rPr>
          <w:spacing w:val="1"/>
          <w:szCs w:val="22"/>
        </w:rPr>
        <w:t>i</w:t>
      </w:r>
      <w:r>
        <w:rPr>
          <w:spacing w:val="-2"/>
          <w:szCs w:val="22"/>
        </w:rPr>
        <w:t>l</w:t>
      </w:r>
      <w:r>
        <w:rPr>
          <w:spacing w:val="1"/>
          <w:szCs w:val="22"/>
        </w:rPr>
        <w:t>i</w:t>
      </w:r>
      <w:r>
        <w:rPr>
          <w:spacing w:val="-2"/>
          <w:szCs w:val="22"/>
        </w:rPr>
        <w:t>t</w:t>
      </w:r>
      <w:r>
        <w:rPr>
          <w:szCs w:val="22"/>
        </w:rPr>
        <w:t>a</w:t>
      </w:r>
      <w:r>
        <w:rPr>
          <w:spacing w:val="1"/>
          <w:szCs w:val="22"/>
        </w:rPr>
        <w:t>t</w:t>
      </w:r>
      <w:r>
        <w:rPr>
          <w:spacing w:val="-3"/>
          <w:szCs w:val="22"/>
        </w:rPr>
        <w:t>e</w:t>
      </w:r>
      <w:r>
        <w:rPr>
          <w:szCs w:val="22"/>
        </w:rPr>
        <w:t>a (s</w:t>
      </w:r>
      <w:r>
        <w:rPr>
          <w:spacing w:val="1"/>
          <w:szCs w:val="22"/>
        </w:rPr>
        <w:t>t</w:t>
      </w:r>
      <w:r>
        <w:rPr>
          <w:spacing w:val="-3"/>
          <w:szCs w:val="22"/>
        </w:rPr>
        <w:t>u</w:t>
      </w:r>
      <w:r>
        <w:rPr>
          <w:szCs w:val="22"/>
        </w:rPr>
        <w:t>d</w:t>
      </w:r>
      <w:r>
        <w:rPr>
          <w:spacing w:val="-2"/>
          <w:szCs w:val="22"/>
        </w:rPr>
        <w:t>i</w:t>
      </w:r>
      <w:r>
        <w:rPr>
          <w:spacing w:val="1"/>
          <w:szCs w:val="22"/>
        </w:rPr>
        <w:t>i</w:t>
      </w:r>
      <w:r>
        <w:rPr>
          <w:spacing w:val="-2"/>
          <w:szCs w:val="22"/>
        </w:rPr>
        <w:t>l</w:t>
      </w:r>
      <w:r>
        <w:rPr>
          <w:szCs w:val="22"/>
        </w:rPr>
        <w:t xml:space="preserve">e </w:t>
      </w:r>
      <w:r>
        <w:rPr>
          <w:spacing w:val="-1"/>
          <w:szCs w:val="22"/>
        </w:rPr>
        <w:t>P</w:t>
      </w:r>
      <w:r>
        <w:rPr>
          <w:szCs w:val="22"/>
        </w:rPr>
        <w:t>R</w:t>
      </w:r>
      <w:r>
        <w:rPr>
          <w:spacing w:val="-1"/>
          <w:szCs w:val="22"/>
        </w:rPr>
        <w:t xml:space="preserve"> </w:t>
      </w:r>
      <w:r>
        <w:rPr>
          <w:spacing w:val="-4"/>
          <w:szCs w:val="22"/>
        </w:rPr>
        <w:t>I</w:t>
      </w:r>
      <w:r>
        <w:rPr>
          <w:szCs w:val="22"/>
        </w:rPr>
        <w:t>,</w:t>
      </w:r>
      <w:r>
        <w:rPr>
          <w:spacing w:val="2"/>
          <w:szCs w:val="22"/>
        </w:rPr>
        <w:t xml:space="preserve"> </w:t>
      </w:r>
      <w:r>
        <w:rPr>
          <w:spacing w:val="-2"/>
          <w:szCs w:val="22"/>
        </w:rPr>
        <w:t>III</w:t>
      </w:r>
      <w:r>
        <w:rPr>
          <w:szCs w:val="22"/>
        </w:rPr>
        <w:t>,</w:t>
      </w:r>
      <w:r>
        <w:rPr>
          <w:spacing w:val="2"/>
          <w:szCs w:val="22"/>
        </w:rPr>
        <w:t xml:space="preserve"> </w:t>
      </w:r>
      <w:r>
        <w:rPr>
          <w:spacing w:val="-4"/>
          <w:szCs w:val="22"/>
        </w:rPr>
        <w:t>I</w:t>
      </w:r>
      <w:r>
        <w:rPr>
          <w:spacing w:val="1"/>
          <w:szCs w:val="22"/>
        </w:rPr>
        <w:t>V</w:t>
      </w:r>
      <w:r>
        <w:rPr>
          <w:szCs w:val="22"/>
        </w:rPr>
        <w:t>), a fo</w:t>
      </w:r>
      <w:r>
        <w:rPr>
          <w:spacing w:val="-2"/>
          <w:szCs w:val="22"/>
        </w:rPr>
        <w:t>s</w:t>
      </w:r>
      <w:r>
        <w:rPr>
          <w:szCs w:val="22"/>
        </w:rPr>
        <w:t>t</w:t>
      </w:r>
      <w:r>
        <w:rPr>
          <w:spacing w:val="1"/>
          <w:szCs w:val="22"/>
        </w:rPr>
        <w:t xml:space="preserve"> </w:t>
      </w:r>
      <w:r>
        <w:rPr>
          <w:szCs w:val="22"/>
        </w:rPr>
        <w:t>ob</w:t>
      </w:r>
      <w:r>
        <w:rPr>
          <w:spacing w:val="-2"/>
          <w:szCs w:val="22"/>
        </w:rPr>
        <w:t>s</w:t>
      </w:r>
      <w:r>
        <w:rPr>
          <w:szCs w:val="22"/>
        </w:rPr>
        <w:t>er</w:t>
      </w:r>
      <w:r>
        <w:rPr>
          <w:spacing w:val="-3"/>
          <w:szCs w:val="22"/>
        </w:rPr>
        <w:t>v</w:t>
      </w:r>
      <w:r>
        <w:rPr>
          <w:szCs w:val="22"/>
        </w:rPr>
        <w:t>a</w:t>
      </w:r>
      <w:r>
        <w:rPr>
          <w:spacing w:val="1"/>
          <w:szCs w:val="22"/>
        </w:rPr>
        <w:t>t</w:t>
      </w:r>
      <w:r>
        <w:rPr>
          <w:szCs w:val="22"/>
        </w:rPr>
        <w:t>ă</w:t>
      </w:r>
      <w:r>
        <w:rPr>
          <w:spacing w:val="-2"/>
          <w:szCs w:val="22"/>
        </w:rPr>
        <w:t xml:space="preserve"> </w:t>
      </w:r>
      <w:r>
        <w:rPr>
          <w:szCs w:val="22"/>
        </w:rPr>
        <w:t>o r</w:t>
      </w:r>
      <w:r>
        <w:rPr>
          <w:spacing w:val="-3"/>
          <w:szCs w:val="22"/>
        </w:rPr>
        <w:t>e</w:t>
      </w:r>
      <w:r>
        <w:rPr>
          <w:szCs w:val="22"/>
        </w:rPr>
        <w:t>duc</w:t>
      </w:r>
      <w:r>
        <w:rPr>
          <w:spacing w:val="-3"/>
          <w:szCs w:val="22"/>
        </w:rPr>
        <w:t>e</w:t>
      </w:r>
      <w:r>
        <w:rPr>
          <w:szCs w:val="22"/>
        </w:rPr>
        <w:t>re</w:t>
      </w:r>
      <w:r>
        <w:rPr>
          <w:spacing w:val="-2"/>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pacing w:val="-3"/>
          <w:szCs w:val="22"/>
        </w:rPr>
        <w:t>v</w:t>
      </w:r>
      <w:r>
        <w:rPr>
          <w:szCs w:val="22"/>
        </w:rPr>
        <w:t xml:space="preserve">ă </w:t>
      </w:r>
      <w:r>
        <w:rPr>
          <w:spacing w:val="-2"/>
          <w:szCs w:val="22"/>
        </w:rPr>
        <w:t>s</w:t>
      </w:r>
      <w:r>
        <w:rPr>
          <w:spacing w:val="1"/>
          <w:szCs w:val="22"/>
        </w:rPr>
        <w:t>t</w:t>
      </w:r>
      <w:r>
        <w:rPr>
          <w:szCs w:val="22"/>
        </w:rPr>
        <w:t>a</w:t>
      </w:r>
      <w:r>
        <w:rPr>
          <w:spacing w:val="-2"/>
          <w:szCs w:val="22"/>
        </w:rPr>
        <w:t>t</w:t>
      </w:r>
      <w:r>
        <w:rPr>
          <w:spacing w:val="1"/>
          <w:szCs w:val="22"/>
        </w:rPr>
        <w:t>i</w:t>
      </w:r>
      <w:r>
        <w:rPr>
          <w:spacing w:val="-2"/>
          <w:szCs w:val="22"/>
        </w:rPr>
        <w:t>s</w:t>
      </w:r>
      <w:r>
        <w:rPr>
          <w:spacing w:val="1"/>
          <w:szCs w:val="22"/>
        </w:rPr>
        <w:t>t</w:t>
      </w:r>
      <w:r>
        <w:rPr>
          <w:spacing w:val="-2"/>
          <w:szCs w:val="22"/>
        </w:rPr>
        <w:t>i</w:t>
      </w:r>
      <w:r>
        <w:rPr>
          <w:szCs w:val="22"/>
        </w:rPr>
        <w:t xml:space="preserve">c a </w:t>
      </w:r>
      <w:r>
        <w:rPr>
          <w:spacing w:val="-3"/>
          <w:szCs w:val="22"/>
        </w:rPr>
        <w:t>a</w:t>
      </w:r>
      <w:r>
        <w:rPr>
          <w:szCs w:val="22"/>
        </w:rPr>
        <w:t>ce</w:t>
      </w:r>
      <w:r>
        <w:rPr>
          <w:spacing w:val="-2"/>
          <w:szCs w:val="22"/>
        </w:rPr>
        <w:t>s</w:t>
      </w:r>
      <w:r>
        <w:rPr>
          <w:spacing w:val="1"/>
          <w:szCs w:val="22"/>
        </w:rPr>
        <w:t>t</w:t>
      </w:r>
      <w:r>
        <w:rPr>
          <w:spacing w:val="-3"/>
          <w:szCs w:val="22"/>
        </w:rPr>
        <w:t>e</w:t>
      </w:r>
      <w:r>
        <w:rPr>
          <w:spacing w:val="1"/>
          <w:szCs w:val="22"/>
        </w:rPr>
        <w:t>i</w:t>
      </w:r>
      <w:r>
        <w:rPr>
          <w:szCs w:val="22"/>
        </w:rPr>
        <w:t>a,</w:t>
      </w:r>
      <w:r>
        <w:rPr>
          <w:spacing w:val="-3"/>
          <w:szCs w:val="22"/>
        </w:rPr>
        <w:t xml:space="preserve"> </w:t>
      </w:r>
      <w:r>
        <w:rPr>
          <w:szCs w:val="22"/>
        </w:rPr>
        <w:t xml:space="preserve">aşa </w:t>
      </w:r>
      <w:r>
        <w:rPr>
          <w:spacing w:val="-3"/>
          <w:szCs w:val="22"/>
        </w:rPr>
        <w:t>c</w:t>
      </w:r>
      <w:r>
        <w:rPr>
          <w:szCs w:val="22"/>
        </w:rPr>
        <w:t>um</w:t>
      </w:r>
      <w:r>
        <w:rPr>
          <w:spacing w:val="-4"/>
          <w:szCs w:val="22"/>
        </w:rPr>
        <w:t xml:space="preserve"> </w:t>
      </w:r>
      <w:r>
        <w:rPr>
          <w:szCs w:val="22"/>
        </w:rPr>
        <w:t>a fost e</w:t>
      </w:r>
      <w:r>
        <w:rPr>
          <w:spacing w:val="-3"/>
          <w:szCs w:val="22"/>
        </w:rPr>
        <w:t>v</w:t>
      </w:r>
      <w:r>
        <w:rPr>
          <w:szCs w:val="22"/>
        </w:rPr>
        <w:t>a</w:t>
      </w:r>
      <w:r>
        <w:rPr>
          <w:spacing w:val="1"/>
          <w:szCs w:val="22"/>
        </w:rPr>
        <w:t>l</w:t>
      </w:r>
      <w:r>
        <w:rPr>
          <w:szCs w:val="22"/>
        </w:rPr>
        <w:t>ua</w:t>
      </w:r>
      <w:r>
        <w:rPr>
          <w:spacing w:val="-2"/>
          <w:szCs w:val="22"/>
        </w:rPr>
        <w:t>t</w:t>
      </w:r>
      <w:r>
        <w:rPr>
          <w:szCs w:val="22"/>
        </w:rPr>
        <w:t>ă p</w:t>
      </w:r>
      <w:r>
        <w:rPr>
          <w:spacing w:val="-2"/>
          <w:szCs w:val="22"/>
        </w:rPr>
        <w:t>r</w:t>
      </w:r>
      <w:r>
        <w:rPr>
          <w:spacing w:val="1"/>
          <w:szCs w:val="22"/>
        </w:rPr>
        <w:t>i</w:t>
      </w:r>
      <w:r>
        <w:rPr>
          <w:szCs w:val="22"/>
        </w:rPr>
        <w:t xml:space="preserve">n </w:t>
      </w:r>
      <w:r>
        <w:rPr>
          <w:spacing w:val="-2"/>
          <w:szCs w:val="22"/>
        </w:rPr>
        <w:t>s</w:t>
      </w:r>
      <w:r>
        <w:rPr>
          <w:szCs w:val="22"/>
        </w:rPr>
        <w:t>co</w:t>
      </w:r>
      <w:r>
        <w:rPr>
          <w:spacing w:val="-2"/>
          <w:szCs w:val="22"/>
        </w:rPr>
        <w:t>r</w:t>
      </w:r>
      <w:r>
        <w:rPr>
          <w:szCs w:val="22"/>
        </w:rPr>
        <w:t>u</w:t>
      </w:r>
      <w:r>
        <w:rPr>
          <w:spacing w:val="-2"/>
          <w:szCs w:val="22"/>
        </w:rPr>
        <w:t>r</w:t>
      </w:r>
      <w:r>
        <w:rPr>
          <w:spacing w:val="1"/>
          <w:szCs w:val="22"/>
        </w:rPr>
        <w:t>il</w:t>
      </w:r>
      <w:r>
        <w:rPr>
          <w:szCs w:val="22"/>
        </w:rPr>
        <w:t>e</w:t>
      </w:r>
      <w:r>
        <w:rPr>
          <w:spacing w:val="-2"/>
          <w:szCs w:val="22"/>
        </w:rPr>
        <w:t xml:space="preserve"> </w:t>
      </w:r>
      <w:r>
        <w:rPr>
          <w:szCs w:val="22"/>
        </w:rPr>
        <w:t xml:space="preserve">de </w:t>
      </w:r>
      <w:r>
        <w:rPr>
          <w:spacing w:val="-3"/>
          <w:szCs w:val="22"/>
        </w:rPr>
        <w:t>ev</w:t>
      </w:r>
      <w:r>
        <w:rPr>
          <w:szCs w:val="22"/>
        </w:rPr>
        <w:t>a</w:t>
      </w:r>
      <w:r>
        <w:rPr>
          <w:spacing w:val="1"/>
          <w:szCs w:val="22"/>
        </w:rPr>
        <w:t>l</w:t>
      </w:r>
      <w:r>
        <w:rPr>
          <w:szCs w:val="22"/>
        </w:rPr>
        <w:t>uare</w:t>
      </w:r>
      <w:r>
        <w:rPr>
          <w:spacing w:val="-2"/>
          <w:szCs w:val="22"/>
        </w:rPr>
        <w:t xml:space="preserve"> </w:t>
      </w:r>
      <w:r>
        <w:rPr>
          <w:szCs w:val="22"/>
        </w:rPr>
        <w:t>fun</w:t>
      </w:r>
      <w:r>
        <w:rPr>
          <w:spacing w:val="-3"/>
          <w:szCs w:val="22"/>
        </w:rPr>
        <w:t>c</w:t>
      </w:r>
      <w:r>
        <w:rPr>
          <w:spacing w:val="-2"/>
          <w:szCs w:val="22"/>
        </w:rPr>
        <w:t>ţ</w:t>
      </w:r>
      <w:r>
        <w:rPr>
          <w:spacing w:val="1"/>
          <w:szCs w:val="22"/>
        </w:rPr>
        <w:t>i</w:t>
      </w:r>
      <w:r>
        <w:rPr>
          <w:szCs w:val="22"/>
        </w:rPr>
        <w:t>on</w:t>
      </w:r>
      <w:r>
        <w:rPr>
          <w:spacing w:val="-3"/>
          <w:szCs w:val="22"/>
        </w:rPr>
        <w:t>a</w:t>
      </w:r>
      <w:r>
        <w:rPr>
          <w:spacing w:val="1"/>
          <w:szCs w:val="22"/>
        </w:rPr>
        <w:t>l</w:t>
      </w:r>
      <w:r>
        <w:rPr>
          <w:szCs w:val="22"/>
        </w:rPr>
        <w:t>ă a</w:t>
      </w:r>
      <w:r>
        <w:rPr>
          <w:spacing w:val="-2"/>
          <w:szCs w:val="22"/>
        </w:rPr>
        <w:t xml:space="preserve"> </w:t>
      </w:r>
      <w:r>
        <w:rPr>
          <w:spacing w:val="1"/>
          <w:szCs w:val="22"/>
        </w:rPr>
        <w:t>t</w:t>
      </w:r>
      <w:r>
        <w:rPr>
          <w:spacing w:val="-3"/>
          <w:szCs w:val="22"/>
        </w:rPr>
        <w:t>e</w:t>
      </w:r>
      <w:r>
        <w:rPr>
          <w:szCs w:val="22"/>
        </w:rPr>
        <w:t>ra</w:t>
      </w:r>
      <w:r>
        <w:rPr>
          <w:spacing w:val="-3"/>
          <w:szCs w:val="22"/>
        </w:rPr>
        <w:t>p</w:t>
      </w:r>
      <w:r>
        <w:rPr>
          <w:spacing w:val="-2"/>
          <w:szCs w:val="22"/>
        </w:rPr>
        <w:t>i</w:t>
      </w:r>
      <w:r>
        <w:rPr>
          <w:szCs w:val="22"/>
        </w:rPr>
        <w:t>ei</w:t>
      </w:r>
      <w:r>
        <w:rPr>
          <w:spacing w:val="1"/>
          <w:szCs w:val="22"/>
        </w:rPr>
        <w:t xml:space="preserve"> </w:t>
      </w:r>
      <w:r>
        <w:rPr>
          <w:szCs w:val="22"/>
        </w:rPr>
        <w:t>p</w:t>
      </w:r>
      <w:r>
        <w:rPr>
          <w:spacing w:val="-3"/>
          <w:szCs w:val="22"/>
        </w:rPr>
        <w:t>e</w:t>
      </w:r>
      <w:r>
        <w:rPr>
          <w:szCs w:val="22"/>
        </w:rPr>
        <w:t>n</w:t>
      </w:r>
      <w:r>
        <w:rPr>
          <w:spacing w:val="-2"/>
          <w:szCs w:val="22"/>
        </w:rPr>
        <w:t>t</w:t>
      </w:r>
      <w:r>
        <w:rPr>
          <w:szCs w:val="22"/>
        </w:rPr>
        <w:t>ru o b</w:t>
      </w:r>
      <w:r>
        <w:rPr>
          <w:spacing w:val="-3"/>
          <w:szCs w:val="22"/>
        </w:rPr>
        <w:t>o</w:t>
      </w:r>
      <w:r>
        <w:rPr>
          <w:szCs w:val="22"/>
        </w:rPr>
        <w:t>a</w:t>
      </w:r>
      <w:r>
        <w:rPr>
          <w:spacing w:val="-2"/>
          <w:szCs w:val="22"/>
        </w:rPr>
        <w:t>l</w:t>
      </w:r>
      <w:r>
        <w:rPr>
          <w:szCs w:val="22"/>
        </w:rPr>
        <w:t>ă c</w:t>
      </w:r>
      <w:r>
        <w:rPr>
          <w:spacing w:val="-2"/>
          <w:szCs w:val="22"/>
        </w:rPr>
        <w:t>r</w:t>
      </w:r>
      <w:r>
        <w:rPr>
          <w:szCs w:val="22"/>
        </w:rPr>
        <w:t>on</w:t>
      </w:r>
      <w:r>
        <w:rPr>
          <w:spacing w:val="-2"/>
          <w:szCs w:val="22"/>
        </w:rPr>
        <w:t>i</w:t>
      </w:r>
      <w:r>
        <w:rPr>
          <w:szCs w:val="22"/>
        </w:rPr>
        <w:t>că (</w:t>
      </w:r>
      <w:r>
        <w:rPr>
          <w:spacing w:val="-3"/>
          <w:szCs w:val="22"/>
        </w:rPr>
        <w:t>F</w:t>
      </w:r>
      <w:r>
        <w:rPr>
          <w:spacing w:val="-1"/>
          <w:szCs w:val="22"/>
        </w:rPr>
        <w:t>A</w:t>
      </w:r>
      <w:r>
        <w:rPr>
          <w:spacing w:val="1"/>
          <w:szCs w:val="22"/>
        </w:rPr>
        <w:t>C</w:t>
      </w:r>
      <w:r>
        <w:rPr>
          <w:spacing w:val="-4"/>
          <w:szCs w:val="22"/>
        </w:rPr>
        <w:t>I</w:t>
      </w:r>
      <w:r>
        <w:rPr>
          <w:spacing w:val="1"/>
          <w:szCs w:val="22"/>
        </w:rPr>
        <w:t>T</w:t>
      </w:r>
      <w:r>
        <w:rPr>
          <w:szCs w:val="22"/>
        </w:rPr>
        <w:t>).</w:t>
      </w:r>
    </w:p>
    <w:p w14:paraId="2F70D858" w14:textId="77777777" w:rsidR="00C04CAD" w:rsidRDefault="00C04CAD">
      <w:pPr>
        <w:tabs>
          <w:tab w:val="clear" w:pos="567"/>
        </w:tabs>
        <w:kinsoku w:val="0"/>
        <w:overflowPunct w:val="0"/>
        <w:autoSpaceDE w:val="0"/>
        <w:autoSpaceDN w:val="0"/>
        <w:adjustRightInd w:val="0"/>
        <w:spacing w:line="240" w:lineRule="auto"/>
        <w:rPr>
          <w:szCs w:val="22"/>
        </w:rPr>
      </w:pPr>
    </w:p>
    <w:p w14:paraId="1728754C"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1"/>
          <w:szCs w:val="22"/>
        </w:rPr>
        <w:t xml:space="preserve"> </w:t>
      </w:r>
      <w:r>
        <w:rPr>
          <w:spacing w:val="-2"/>
          <w:szCs w:val="22"/>
        </w:rPr>
        <w:t>II</w:t>
      </w:r>
      <w:r>
        <w:rPr>
          <w:spacing w:val="-4"/>
          <w:szCs w:val="22"/>
        </w:rPr>
        <w:t>I</w:t>
      </w:r>
      <w:r>
        <w:rPr>
          <w:szCs w:val="22"/>
        </w:rPr>
        <w:t>,</w:t>
      </w:r>
      <w:r>
        <w:rPr>
          <w:spacing w:val="2"/>
          <w:szCs w:val="22"/>
        </w:rPr>
        <w:t xml:space="preserve"> </w:t>
      </w:r>
      <w:r>
        <w:rPr>
          <w:spacing w:val="-4"/>
          <w:szCs w:val="22"/>
        </w:rPr>
        <w:t>m</w:t>
      </w:r>
      <w:r>
        <w:rPr>
          <w:szCs w:val="22"/>
        </w:rPr>
        <w:t>a</w:t>
      </w:r>
      <w:r>
        <w:rPr>
          <w:spacing w:val="3"/>
          <w:szCs w:val="22"/>
        </w:rPr>
        <w:t>j</w:t>
      </w:r>
      <w:r>
        <w:rPr>
          <w:szCs w:val="22"/>
        </w:rPr>
        <w:t>or</w:t>
      </w:r>
      <w:r>
        <w:rPr>
          <w:spacing w:val="-2"/>
          <w:szCs w:val="22"/>
        </w:rPr>
        <w:t>i</w:t>
      </w:r>
      <w:r>
        <w:rPr>
          <w:spacing w:val="1"/>
          <w:szCs w:val="22"/>
        </w:rPr>
        <w:t>t</w:t>
      </w:r>
      <w:r>
        <w:rPr>
          <w:spacing w:val="-3"/>
          <w:szCs w:val="22"/>
        </w:rPr>
        <w:t>a</w:t>
      </w:r>
      <w:r>
        <w:rPr>
          <w:spacing w:val="1"/>
          <w:szCs w:val="22"/>
        </w:rPr>
        <w:t>t</w:t>
      </w:r>
      <w:r>
        <w:rPr>
          <w:spacing w:val="-3"/>
          <w:szCs w:val="22"/>
        </w:rPr>
        <w:t>e</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pacing w:val="1"/>
          <w:szCs w:val="22"/>
        </w:rPr>
        <w:t>l</w:t>
      </w:r>
      <w:r>
        <w:rPr>
          <w:szCs w:val="22"/>
        </w:rPr>
        <w:t>or</w:t>
      </w:r>
      <w:r>
        <w:rPr>
          <w:spacing w:val="-2"/>
          <w:szCs w:val="22"/>
        </w:rPr>
        <w:t xml:space="preserve"> </w:t>
      </w:r>
      <w:r>
        <w:rPr>
          <w:szCs w:val="22"/>
        </w:rPr>
        <w:t>c</w:t>
      </w:r>
      <w:r>
        <w:rPr>
          <w:spacing w:val="-3"/>
          <w:szCs w:val="22"/>
        </w:rPr>
        <w:t>a</w:t>
      </w:r>
      <w:r>
        <w:rPr>
          <w:szCs w:val="22"/>
        </w:rPr>
        <w:t>re au</w:t>
      </w:r>
      <w:r>
        <w:rPr>
          <w:spacing w:val="-3"/>
          <w:szCs w:val="22"/>
        </w:rPr>
        <w:t xml:space="preserve"> </w:t>
      </w:r>
      <w:r>
        <w:rPr>
          <w:szCs w:val="22"/>
        </w:rPr>
        <w:t>a</w:t>
      </w:r>
      <w:r>
        <w:rPr>
          <w:spacing w:val="-2"/>
          <w:szCs w:val="22"/>
        </w:rPr>
        <w:t>t</w:t>
      </w:r>
      <w:r>
        <w:rPr>
          <w:spacing w:val="1"/>
          <w:szCs w:val="22"/>
        </w:rPr>
        <w:t>i</w:t>
      </w:r>
      <w:r>
        <w:rPr>
          <w:szCs w:val="22"/>
        </w:rPr>
        <w:t>ns</w:t>
      </w:r>
      <w:r>
        <w:rPr>
          <w:spacing w:val="-2"/>
          <w:szCs w:val="22"/>
        </w:rPr>
        <w:t xml:space="preserve"> </w:t>
      </w:r>
      <w:r>
        <w:rPr>
          <w:spacing w:val="-3"/>
          <w:szCs w:val="22"/>
        </w:rPr>
        <w:t>a</w:t>
      </w:r>
      <w:r>
        <w:rPr>
          <w:spacing w:val="-4"/>
          <w:szCs w:val="22"/>
        </w:rPr>
        <w:t>m</w:t>
      </w:r>
      <w:r>
        <w:rPr>
          <w:szCs w:val="22"/>
        </w:rPr>
        <w:t>e</w:t>
      </w:r>
      <w:r>
        <w:rPr>
          <w:spacing w:val="1"/>
          <w:szCs w:val="22"/>
        </w:rPr>
        <w:t>li</w:t>
      </w:r>
      <w:r>
        <w:rPr>
          <w:szCs w:val="22"/>
        </w:rPr>
        <w:t>ora</w:t>
      </w:r>
      <w:r>
        <w:rPr>
          <w:spacing w:val="-2"/>
          <w:szCs w:val="22"/>
        </w:rPr>
        <w:t>r</w:t>
      </w:r>
      <w:r>
        <w:rPr>
          <w:szCs w:val="22"/>
        </w:rPr>
        <w:t>ea</w:t>
      </w:r>
      <w:r>
        <w:rPr>
          <w:spacing w:val="-2"/>
          <w:szCs w:val="22"/>
        </w:rPr>
        <w:t xml:space="preserve"> </w:t>
      </w:r>
      <w:r>
        <w:rPr>
          <w:szCs w:val="22"/>
        </w:rPr>
        <w:t>fun</w:t>
      </w:r>
      <w:r>
        <w:rPr>
          <w:spacing w:val="-3"/>
          <w:szCs w:val="22"/>
        </w:rPr>
        <w:t>c</w:t>
      </w:r>
      <w:r>
        <w:rPr>
          <w:spacing w:val="1"/>
          <w:szCs w:val="22"/>
        </w:rPr>
        <w:t>ţ</w:t>
      </w:r>
      <w:r>
        <w:rPr>
          <w:spacing w:val="-2"/>
          <w:szCs w:val="22"/>
        </w:rPr>
        <w:t>i</w:t>
      </w:r>
      <w:r>
        <w:rPr>
          <w:szCs w:val="22"/>
        </w:rPr>
        <w:t>ei</w:t>
      </w:r>
      <w:r>
        <w:rPr>
          <w:spacing w:val="1"/>
          <w:szCs w:val="22"/>
        </w:rPr>
        <w:t xml:space="preserve"> </w:t>
      </w:r>
      <w:r>
        <w:rPr>
          <w:spacing w:val="-4"/>
          <w:szCs w:val="22"/>
        </w:rPr>
        <w:t>m</w:t>
      </w:r>
      <w:r>
        <w:rPr>
          <w:szCs w:val="22"/>
        </w:rPr>
        <w:t>o</w:t>
      </w:r>
      <w:r>
        <w:rPr>
          <w:spacing w:val="1"/>
          <w:szCs w:val="22"/>
        </w:rPr>
        <w:t>t</w:t>
      </w:r>
      <w:r>
        <w:rPr>
          <w:szCs w:val="22"/>
        </w:rPr>
        <w:t>o</w:t>
      </w:r>
      <w:r>
        <w:rPr>
          <w:spacing w:val="-2"/>
          <w:szCs w:val="22"/>
        </w:rPr>
        <w:t>r</w:t>
      </w:r>
      <w:r>
        <w:rPr>
          <w:spacing w:val="1"/>
          <w:szCs w:val="22"/>
        </w:rPr>
        <w:t>i</w:t>
      </w:r>
      <w:r>
        <w:rPr>
          <w:szCs w:val="22"/>
        </w:rPr>
        <w:t>i</w:t>
      </w:r>
      <w:r>
        <w:rPr>
          <w:spacing w:val="-2"/>
          <w:szCs w:val="22"/>
        </w:rPr>
        <w:t xml:space="preserve"> </w:t>
      </w:r>
      <w:r>
        <w:rPr>
          <w:szCs w:val="22"/>
        </w:rPr>
        <w:t>şi</w:t>
      </w:r>
      <w:r>
        <w:rPr>
          <w:spacing w:val="1"/>
          <w:szCs w:val="22"/>
        </w:rPr>
        <w:t xml:space="preserve"> </w:t>
      </w:r>
      <w:r>
        <w:rPr>
          <w:szCs w:val="22"/>
        </w:rPr>
        <w:t>au</w:t>
      </w:r>
      <w:r>
        <w:rPr>
          <w:spacing w:val="-3"/>
          <w:szCs w:val="22"/>
        </w:rPr>
        <w:t xml:space="preserve"> </w:t>
      </w:r>
      <w:r>
        <w:rPr>
          <w:szCs w:val="22"/>
        </w:rPr>
        <w:t>co</w:t>
      </w:r>
      <w:r>
        <w:rPr>
          <w:spacing w:val="-3"/>
          <w:szCs w:val="22"/>
        </w:rPr>
        <w:t>n</w:t>
      </w:r>
      <w:r>
        <w:rPr>
          <w:spacing w:val="1"/>
          <w:szCs w:val="22"/>
        </w:rPr>
        <w:t>ti</w:t>
      </w:r>
      <w:r>
        <w:rPr>
          <w:spacing w:val="-3"/>
          <w:szCs w:val="22"/>
        </w:rPr>
        <w:t>n</w:t>
      </w:r>
      <w:r>
        <w:rPr>
          <w:szCs w:val="22"/>
        </w:rPr>
        <w:t xml:space="preserve">uat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pacing w:val="1"/>
          <w:szCs w:val="22"/>
        </w:rPr>
        <w:t>l</w:t>
      </w:r>
      <w:r>
        <w:rPr>
          <w:szCs w:val="22"/>
        </w:rPr>
        <w:t xml:space="preserve">, au </w:t>
      </w:r>
      <w:r>
        <w:rPr>
          <w:spacing w:val="-4"/>
          <w:szCs w:val="22"/>
        </w:rPr>
        <w:t>m</w:t>
      </w:r>
      <w:r>
        <w:rPr>
          <w:szCs w:val="22"/>
        </w:rPr>
        <w:t>en</w:t>
      </w:r>
      <w:r>
        <w:rPr>
          <w:spacing w:val="1"/>
          <w:szCs w:val="22"/>
        </w:rPr>
        <w:t>ţ</w:t>
      </w:r>
      <w:r>
        <w:rPr>
          <w:spacing w:val="-2"/>
          <w:szCs w:val="22"/>
        </w:rPr>
        <w:t>i</w:t>
      </w:r>
      <w:r>
        <w:rPr>
          <w:szCs w:val="22"/>
        </w:rPr>
        <w:t>nut</w:t>
      </w:r>
      <w:r>
        <w:rPr>
          <w:spacing w:val="-2"/>
          <w:szCs w:val="22"/>
        </w:rPr>
        <w:t xml:space="preserve"> </w:t>
      </w:r>
      <w:r>
        <w:rPr>
          <w:spacing w:val="-3"/>
          <w:szCs w:val="22"/>
        </w:rPr>
        <w:t>a</w:t>
      </w:r>
      <w:r>
        <w:rPr>
          <w:spacing w:val="-4"/>
          <w:szCs w:val="22"/>
        </w:rPr>
        <w:t>m</w:t>
      </w:r>
      <w:r>
        <w:rPr>
          <w:szCs w:val="22"/>
        </w:rPr>
        <w:t>e</w:t>
      </w:r>
      <w:r>
        <w:rPr>
          <w:spacing w:val="1"/>
          <w:szCs w:val="22"/>
        </w:rPr>
        <w:t>li</w:t>
      </w:r>
      <w:r>
        <w:rPr>
          <w:szCs w:val="22"/>
        </w:rPr>
        <w:t>ora</w:t>
      </w:r>
      <w:r>
        <w:rPr>
          <w:spacing w:val="-2"/>
          <w:szCs w:val="22"/>
        </w:rPr>
        <w:t>r</w:t>
      </w:r>
      <w:r>
        <w:rPr>
          <w:szCs w:val="22"/>
        </w:rPr>
        <w:t xml:space="preserve">ea </w:t>
      </w:r>
      <w:r>
        <w:rPr>
          <w:spacing w:val="-3"/>
          <w:szCs w:val="22"/>
        </w:rPr>
        <w:t>p</w:t>
      </w:r>
      <w:r>
        <w:rPr>
          <w:szCs w:val="22"/>
        </w:rPr>
        <w:t>ână</w:t>
      </w:r>
      <w:r>
        <w:rPr>
          <w:spacing w:val="-2"/>
          <w:szCs w:val="22"/>
        </w:rPr>
        <w:t xml:space="preserve"> </w:t>
      </w:r>
      <w:r>
        <w:rPr>
          <w:spacing w:val="1"/>
          <w:szCs w:val="22"/>
        </w:rPr>
        <w:t>î</w:t>
      </w:r>
      <w:r>
        <w:rPr>
          <w:szCs w:val="22"/>
        </w:rPr>
        <w:t xml:space="preserve">n </w:t>
      </w:r>
      <w:r>
        <w:rPr>
          <w:spacing w:val="-2"/>
          <w:szCs w:val="22"/>
        </w:rPr>
        <w:t>s</w:t>
      </w:r>
      <w:r>
        <w:rPr>
          <w:szCs w:val="22"/>
        </w:rPr>
        <w:t>ăp</w:t>
      </w:r>
      <w:r>
        <w:rPr>
          <w:spacing w:val="-2"/>
          <w:szCs w:val="22"/>
        </w:rPr>
        <w:t>t</w:t>
      </w:r>
      <w:r>
        <w:rPr>
          <w:szCs w:val="22"/>
        </w:rPr>
        <w:t>ă</w:t>
      </w:r>
      <w:r>
        <w:rPr>
          <w:spacing w:val="-4"/>
          <w:szCs w:val="22"/>
        </w:rPr>
        <w:t>m</w:t>
      </w:r>
      <w:r>
        <w:rPr>
          <w:szCs w:val="22"/>
        </w:rPr>
        <w:t>âna 520</w:t>
      </w:r>
      <w:r>
        <w:rPr>
          <w:spacing w:val="-3"/>
          <w:szCs w:val="22"/>
        </w:rPr>
        <w:t xml:space="preserve"> </w:t>
      </w:r>
      <w:r>
        <w:rPr>
          <w:szCs w:val="22"/>
        </w:rPr>
        <w:t>(120</w:t>
      </w:r>
      <w:r>
        <w:rPr>
          <w:spacing w:val="-3"/>
          <w:szCs w:val="22"/>
        </w:rPr>
        <w:t xml:space="preserve"> </w:t>
      </w:r>
      <w:r>
        <w:rPr>
          <w:spacing w:val="1"/>
          <w:szCs w:val="22"/>
        </w:rPr>
        <w:t>l</w:t>
      </w:r>
      <w:r>
        <w:rPr>
          <w:szCs w:val="22"/>
        </w:rPr>
        <w:t>u</w:t>
      </w:r>
      <w:r>
        <w:rPr>
          <w:spacing w:val="-3"/>
          <w:szCs w:val="22"/>
        </w:rPr>
        <w:t>n</w:t>
      </w:r>
      <w:r>
        <w:rPr>
          <w:spacing w:val="1"/>
          <w:szCs w:val="22"/>
        </w:rPr>
        <w:t>i</w:t>
      </w:r>
      <w:r>
        <w:rPr>
          <w:szCs w:val="22"/>
        </w:rPr>
        <w:t>)</w:t>
      </w:r>
      <w:r>
        <w:rPr>
          <w:spacing w:val="1"/>
          <w:szCs w:val="22"/>
        </w:rPr>
        <w:t xml:space="preserve"> </w:t>
      </w:r>
      <w:r>
        <w:rPr>
          <w:spacing w:val="-3"/>
          <w:szCs w:val="22"/>
        </w:rPr>
        <w:t>d</w:t>
      </w:r>
      <w:r>
        <w:rPr>
          <w:szCs w:val="22"/>
        </w:rPr>
        <w:t xml:space="preserve">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3"/>
          <w:szCs w:val="22"/>
        </w:rPr>
        <w:t>d</w:t>
      </w:r>
      <w:r>
        <w:rPr>
          <w:szCs w:val="22"/>
        </w:rPr>
        <w:t xml:space="preserve">e </w:t>
      </w:r>
      <w:r>
        <w:rPr>
          <w:spacing w:val="-2"/>
          <w:szCs w:val="22"/>
        </w:rPr>
        <w:t>t</w:t>
      </w:r>
      <w:r>
        <w:rPr>
          <w:spacing w:val="1"/>
          <w:szCs w:val="22"/>
        </w:rPr>
        <w:t>i</w:t>
      </w:r>
      <w:r>
        <w:rPr>
          <w:szCs w:val="22"/>
        </w:rPr>
        <w:t>p</w:t>
      </w:r>
      <w:r>
        <w:rPr>
          <w:spacing w:val="-3"/>
          <w:szCs w:val="22"/>
        </w:rPr>
        <w:t xml:space="preserve"> </w:t>
      </w:r>
      <w:r>
        <w:rPr>
          <w:spacing w:val="1"/>
          <w:szCs w:val="22"/>
        </w:rPr>
        <w:t>"</w:t>
      </w:r>
      <w:r>
        <w:rPr>
          <w:szCs w:val="22"/>
        </w:rPr>
        <w:t>de</w:t>
      </w:r>
      <w:r>
        <w:rPr>
          <w:spacing w:val="-2"/>
          <w:szCs w:val="22"/>
        </w:rPr>
        <w:t>s</w:t>
      </w:r>
      <w:r>
        <w:rPr>
          <w:szCs w:val="22"/>
        </w:rPr>
        <w:t>ch</w:t>
      </w:r>
      <w:r>
        <w:rPr>
          <w:spacing w:val="-2"/>
          <w:szCs w:val="22"/>
        </w:rPr>
        <w:t>i</w:t>
      </w:r>
      <w:r>
        <w:rPr>
          <w:szCs w:val="22"/>
        </w:rPr>
        <w:t>s</w:t>
      </w:r>
      <w:r>
        <w:rPr>
          <w:spacing w:val="1"/>
          <w:szCs w:val="22"/>
        </w:rPr>
        <w:t>"</w:t>
      </w:r>
      <w:r>
        <w:rPr>
          <w:szCs w:val="22"/>
        </w:rPr>
        <w:t xml:space="preserve">. </w:t>
      </w:r>
      <w:r>
        <w:rPr>
          <w:spacing w:val="1"/>
          <w:szCs w:val="22"/>
        </w:rPr>
        <w:t>A</w:t>
      </w:r>
      <w:r>
        <w:rPr>
          <w:spacing w:val="-4"/>
          <w:szCs w:val="22"/>
        </w:rPr>
        <w:t>m</w:t>
      </w:r>
      <w:r>
        <w:rPr>
          <w:szCs w:val="22"/>
        </w:rPr>
        <w:t>e</w:t>
      </w:r>
      <w:r>
        <w:rPr>
          <w:spacing w:val="1"/>
          <w:szCs w:val="22"/>
        </w:rPr>
        <w:t>li</w:t>
      </w:r>
      <w:r>
        <w:rPr>
          <w:szCs w:val="22"/>
        </w:rPr>
        <w:t>o</w:t>
      </w:r>
      <w:r>
        <w:rPr>
          <w:spacing w:val="-2"/>
          <w:szCs w:val="22"/>
        </w:rPr>
        <w:t>r</w:t>
      </w:r>
      <w:r>
        <w:rPr>
          <w:szCs w:val="22"/>
        </w:rPr>
        <w:t>a</w:t>
      </w:r>
      <w:r>
        <w:rPr>
          <w:spacing w:val="-2"/>
          <w:szCs w:val="22"/>
        </w:rPr>
        <w:t>r</w:t>
      </w:r>
      <w:r>
        <w:rPr>
          <w:szCs w:val="22"/>
        </w:rPr>
        <w:t xml:space="preserve">ea </w:t>
      </w:r>
      <w:r>
        <w:rPr>
          <w:spacing w:val="-3"/>
          <w:szCs w:val="22"/>
        </w:rPr>
        <w:t>c</w:t>
      </w:r>
      <w:r>
        <w:rPr>
          <w:szCs w:val="22"/>
        </w:rPr>
        <w:t>a</w:t>
      </w:r>
      <w:r>
        <w:rPr>
          <w:spacing w:val="-2"/>
          <w:szCs w:val="22"/>
        </w:rPr>
        <w:t>l</w:t>
      </w:r>
      <w:r>
        <w:rPr>
          <w:spacing w:val="1"/>
          <w:szCs w:val="22"/>
        </w:rPr>
        <w:t>i</w:t>
      </w:r>
      <w:r>
        <w:rPr>
          <w:spacing w:val="-2"/>
          <w:szCs w:val="22"/>
        </w:rPr>
        <w:t>t</w:t>
      </w:r>
      <w:r>
        <w:rPr>
          <w:szCs w:val="22"/>
        </w:rPr>
        <w:t>ă</w:t>
      </w:r>
      <w:r>
        <w:rPr>
          <w:spacing w:val="-2"/>
          <w:szCs w:val="22"/>
        </w:rPr>
        <w:t>ţ</w:t>
      </w:r>
      <w:r>
        <w:rPr>
          <w:spacing w:val="1"/>
          <w:szCs w:val="22"/>
        </w:rPr>
        <w:t>i</w:t>
      </w:r>
      <w:r>
        <w:rPr>
          <w:szCs w:val="22"/>
        </w:rPr>
        <w:t>i</w:t>
      </w:r>
      <w:r>
        <w:rPr>
          <w:spacing w:val="1"/>
          <w:szCs w:val="22"/>
        </w:rPr>
        <w:t xml:space="preserve"> </w:t>
      </w:r>
      <w:r>
        <w:rPr>
          <w:spacing w:val="-3"/>
          <w:szCs w:val="22"/>
        </w:rPr>
        <w:t>v</w:t>
      </w:r>
      <w:r>
        <w:rPr>
          <w:spacing w:val="1"/>
          <w:szCs w:val="22"/>
        </w:rPr>
        <w:t>i</w:t>
      </w:r>
      <w:r>
        <w:rPr>
          <w:spacing w:val="-3"/>
          <w:szCs w:val="22"/>
        </w:rPr>
        <w:t>e</w:t>
      </w:r>
      <w:r>
        <w:rPr>
          <w:spacing w:val="1"/>
          <w:szCs w:val="22"/>
        </w:rPr>
        <w:t>ţ</w:t>
      </w:r>
      <w:r>
        <w:rPr>
          <w:spacing w:val="-2"/>
          <w:szCs w:val="22"/>
        </w:rPr>
        <w:t>i</w:t>
      </w:r>
      <w:r>
        <w:rPr>
          <w:szCs w:val="22"/>
        </w:rPr>
        <w:t>i</w:t>
      </w:r>
      <w:r>
        <w:rPr>
          <w:spacing w:val="-2"/>
          <w:szCs w:val="22"/>
        </w:rPr>
        <w:t xml:space="preserve"> </w:t>
      </w:r>
      <w:r>
        <w:rPr>
          <w:szCs w:val="22"/>
        </w:rPr>
        <w:t>a fo</w:t>
      </w:r>
      <w:r>
        <w:rPr>
          <w:spacing w:val="-2"/>
          <w:szCs w:val="22"/>
        </w:rPr>
        <w:t>s</w:t>
      </w:r>
      <w:r>
        <w:rPr>
          <w:szCs w:val="22"/>
        </w:rPr>
        <w:t>t</w:t>
      </w:r>
      <w:r>
        <w:rPr>
          <w:spacing w:val="1"/>
          <w:szCs w:val="22"/>
        </w:rPr>
        <w:t xml:space="preserve"> </w:t>
      </w:r>
      <w:r>
        <w:rPr>
          <w:spacing w:val="-4"/>
          <w:szCs w:val="22"/>
        </w:rPr>
        <w:t>m</w:t>
      </w:r>
      <w:r>
        <w:rPr>
          <w:szCs w:val="22"/>
        </w:rPr>
        <w:t>ăsur</w:t>
      </w:r>
      <w:r>
        <w:rPr>
          <w:spacing w:val="-3"/>
          <w:szCs w:val="22"/>
        </w:rPr>
        <w:t>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î</w:t>
      </w:r>
      <w:r>
        <w:rPr>
          <w:szCs w:val="22"/>
        </w:rPr>
        <w:t xml:space="preserve">n </w:t>
      </w:r>
      <w:r>
        <w:rPr>
          <w:spacing w:val="-2"/>
          <w:szCs w:val="22"/>
        </w:rPr>
        <w:t>s</w:t>
      </w:r>
      <w:r>
        <w:rPr>
          <w:szCs w:val="22"/>
        </w:rPr>
        <w:t>ăp</w:t>
      </w:r>
      <w:r>
        <w:rPr>
          <w:spacing w:val="-2"/>
          <w:szCs w:val="22"/>
        </w:rPr>
        <w:t>t</w:t>
      </w:r>
      <w:r>
        <w:rPr>
          <w:szCs w:val="22"/>
        </w:rPr>
        <w:t>ă</w:t>
      </w:r>
      <w:r>
        <w:rPr>
          <w:spacing w:val="-4"/>
          <w:szCs w:val="22"/>
        </w:rPr>
        <w:t>m</w:t>
      </w:r>
      <w:r>
        <w:rPr>
          <w:szCs w:val="22"/>
        </w:rPr>
        <w:t>âna 156 (36</w:t>
      </w:r>
      <w:r>
        <w:rPr>
          <w:spacing w:val="-3"/>
          <w:szCs w:val="22"/>
        </w:rPr>
        <w:t xml:space="preserve"> </w:t>
      </w:r>
      <w:r>
        <w:rPr>
          <w:spacing w:val="1"/>
          <w:szCs w:val="22"/>
        </w:rPr>
        <w:t>l</w:t>
      </w:r>
      <w:r>
        <w:rPr>
          <w:szCs w:val="22"/>
        </w:rPr>
        <w:t>u</w:t>
      </w:r>
      <w:r>
        <w:rPr>
          <w:spacing w:val="-3"/>
          <w:szCs w:val="22"/>
        </w:rPr>
        <w:t>n</w:t>
      </w:r>
      <w:r>
        <w:rPr>
          <w:spacing w:val="1"/>
          <w:szCs w:val="22"/>
        </w:rPr>
        <w:t>i</w:t>
      </w:r>
      <w:r>
        <w:rPr>
          <w:szCs w:val="22"/>
        </w:rPr>
        <w:t>)</w:t>
      </w:r>
      <w:r>
        <w:rPr>
          <w:spacing w:val="-2"/>
          <w:szCs w:val="22"/>
        </w:rPr>
        <w:t xml:space="preserve"> </w:t>
      </w:r>
      <w:r>
        <w:rPr>
          <w:szCs w:val="22"/>
        </w:rPr>
        <w:t>şi</w:t>
      </w:r>
      <w:r>
        <w:rPr>
          <w:spacing w:val="-2"/>
          <w:szCs w:val="22"/>
        </w:rPr>
        <w:t xml:space="preserve"> </w:t>
      </w:r>
      <w:r>
        <w:rPr>
          <w:szCs w:val="22"/>
        </w:rPr>
        <w:t>a</w:t>
      </w:r>
      <w:r>
        <w:rPr>
          <w:spacing w:val="-4"/>
          <w:szCs w:val="22"/>
        </w:rPr>
        <w:t>m</w:t>
      </w:r>
      <w:r>
        <w:rPr>
          <w:szCs w:val="22"/>
        </w:rPr>
        <w:t>e</w:t>
      </w:r>
      <w:r>
        <w:rPr>
          <w:spacing w:val="1"/>
          <w:szCs w:val="22"/>
        </w:rPr>
        <w:t>li</w:t>
      </w:r>
      <w:r>
        <w:rPr>
          <w:spacing w:val="-3"/>
          <w:szCs w:val="22"/>
        </w:rPr>
        <w:t>o</w:t>
      </w:r>
      <w:r>
        <w:rPr>
          <w:szCs w:val="22"/>
        </w:rPr>
        <w:t>ra</w:t>
      </w:r>
      <w:r>
        <w:rPr>
          <w:spacing w:val="-2"/>
          <w:szCs w:val="22"/>
        </w:rPr>
        <w:t>r</w:t>
      </w:r>
      <w:r>
        <w:rPr>
          <w:szCs w:val="22"/>
        </w:rPr>
        <w:t>ea</w:t>
      </w:r>
      <w:r>
        <w:rPr>
          <w:spacing w:val="-2"/>
          <w:szCs w:val="22"/>
        </w:rPr>
        <w:t xml:space="preserve"> </w:t>
      </w:r>
      <w:r>
        <w:rPr>
          <w:szCs w:val="22"/>
        </w:rPr>
        <w:t>s</w:t>
      </w:r>
      <w:r>
        <w:rPr>
          <w:spacing w:val="-6"/>
          <w:szCs w:val="22"/>
        </w:rPr>
        <w:t>-</w:t>
      </w:r>
      <w:r>
        <w:rPr>
          <w:szCs w:val="22"/>
        </w:rPr>
        <w:t>a</w:t>
      </w:r>
      <w:r>
        <w:rPr>
          <w:spacing w:val="2"/>
          <w:szCs w:val="22"/>
        </w:rPr>
        <w:t xml:space="preserve"> </w:t>
      </w:r>
      <w:r>
        <w:rPr>
          <w:spacing w:val="-4"/>
          <w:szCs w:val="22"/>
        </w:rPr>
        <w:t>m</w:t>
      </w:r>
      <w:r>
        <w:rPr>
          <w:szCs w:val="22"/>
        </w:rPr>
        <w:t>en</w:t>
      </w:r>
      <w:r>
        <w:rPr>
          <w:spacing w:val="1"/>
          <w:szCs w:val="22"/>
        </w:rPr>
        <w:t>ţi</w:t>
      </w:r>
      <w:r>
        <w:rPr>
          <w:szCs w:val="22"/>
        </w:rPr>
        <w:t>nut pe p</w:t>
      </w:r>
      <w:r>
        <w:rPr>
          <w:spacing w:val="-3"/>
          <w:szCs w:val="22"/>
        </w:rPr>
        <w:t>a</w:t>
      </w:r>
      <w:r>
        <w:rPr>
          <w:szCs w:val="22"/>
        </w:rPr>
        <w:t>rcu</w:t>
      </w:r>
      <w:r>
        <w:rPr>
          <w:spacing w:val="-2"/>
          <w:szCs w:val="22"/>
        </w:rPr>
        <w:t>r</w:t>
      </w:r>
      <w:r>
        <w:rPr>
          <w:szCs w:val="22"/>
        </w:rPr>
        <w:t>sul</w:t>
      </w:r>
      <w:r>
        <w:rPr>
          <w:spacing w:val="-2"/>
          <w:szCs w:val="22"/>
        </w:rPr>
        <w:t xml:space="preserve"> </w:t>
      </w:r>
      <w:r>
        <w:rPr>
          <w:szCs w:val="22"/>
        </w:rPr>
        <w:t>ac</w:t>
      </w:r>
      <w:r>
        <w:rPr>
          <w:spacing w:val="-3"/>
          <w:szCs w:val="22"/>
        </w:rPr>
        <w:t>e</w:t>
      </w:r>
      <w:r>
        <w:rPr>
          <w:szCs w:val="22"/>
        </w:rPr>
        <w:t>s</w:t>
      </w:r>
      <w:r>
        <w:rPr>
          <w:spacing w:val="-2"/>
          <w:szCs w:val="22"/>
        </w:rPr>
        <w:t>t</w:t>
      </w:r>
      <w:r>
        <w:rPr>
          <w:szCs w:val="22"/>
        </w:rPr>
        <w:t>ei</w:t>
      </w:r>
      <w:r>
        <w:rPr>
          <w:spacing w:val="1"/>
          <w:szCs w:val="22"/>
        </w:rPr>
        <w:t xml:space="preserve"> </w:t>
      </w:r>
      <w:r>
        <w:rPr>
          <w:spacing w:val="-3"/>
          <w:szCs w:val="22"/>
        </w:rPr>
        <w:t>p</w:t>
      </w:r>
      <w:r>
        <w:rPr>
          <w:szCs w:val="22"/>
        </w:rPr>
        <w:t>e</w:t>
      </w:r>
      <w:r>
        <w:rPr>
          <w:spacing w:val="-2"/>
          <w:szCs w:val="22"/>
        </w:rPr>
        <w:t>r</w:t>
      </w:r>
      <w:r>
        <w:rPr>
          <w:spacing w:val="1"/>
          <w:szCs w:val="22"/>
        </w:rPr>
        <w:t>i</w:t>
      </w:r>
      <w:r>
        <w:rPr>
          <w:szCs w:val="22"/>
        </w:rPr>
        <w:t>oa</w:t>
      </w:r>
      <w:r>
        <w:rPr>
          <w:spacing w:val="-3"/>
          <w:szCs w:val="22"/>
        </w:rPr>
        <w:t>d</w:t>
      </w:r>
      <w:r>
        <w:rPr>
          <w:szCs w:val="22"/>
        </w:rPr>
        <w:t>e.</w:t>
      </w:r>
    </w:p>
    <w:p w14:paraId="0628A979" w14:textId="77777777" w:rsidR="00C04CAD" w:rsidRDefault="00C04CAD">
      <w:pPr>
        <w:tabs>
          <w:tab w:val="clear" w:pos="567"/>
        </w:tabs>
        <w:kinsoku w:val="0"/>
        <w:overflowPunct w:val="0"/>
        <w:autoSpaceDE w:val="0"/>
        <w:autoSpaceDN w:val="0"/>
        <w:adjustRightInd w:val="0"/>
        <w:spacing w:line="240" w:lineRule="auto"/>
        <w:rPr>
          <w:szCs w:val="22"/>
        </w:rPr>
      </w:pPr>
    </w:p>
    <w:p w14:paraId="60FA37A9" w14:textId="77777777" w:rsidR="00C04CAD" w:rsidRDefault="00060E34">
      <w:pPr>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P</w:t>
      </w:r>
      <w:r>
        <w:rPr>
          <w:szCs w:val="22"/>
        </w:rPr>
        <w:t>R</w:t>
      </w:r>
      <w:r>
        <w:rPr>
          <w:spacing w:val="-4"/>
          <w:szCs w:val="22"/>
        </w:rPr>
        <w:t xml:space="preserve"> </w:t>
      </w:r>
      <w:r>
        <w:rPr>
          <w:spacing w:val="1"/>
          <w:szCs w:val="22"/>
        </w:rPr>
        <w:t>V</w:t>
      </w:r>
      <w:r>
        <w:rPr>
          <w:szCs w:val="22"/>
        </w:rPr>
        <w:t>,</w:t>
      </w:r>
      <w:r>
        <w:rPr>
          <w:spacing w:val="-3"/>
          <w:szCs w:val="22"/>
        </w:rPr>
        <w:t xml:space="preserve"> </w:t>
      </w:r>
      <w:r>
        <w:rPr>
          <w:spacing w:val="1"/>
          <w:szCs w:val="22"/>
        </w:rPr>
        <w:t>î</w:t>
      </w:r>
      <w:r>
        <w:rPr>
          <w:spacing w:val="-4"/>
          <w:szCs w:val="22"/>
        </w:rPr>
        <w:t>m</w:t>
      </w:r>
      <w:r>
        <w:rPr>
          <w:szCs w:val="22"/>
        </w:rPr>
        <w:t>bună</w:t>
      </w:r>
      <w:r>
        <w:rPr>
          <w:spacing w:val="1"/>
          <w:szCs w:val="22"/>
        </w:rPr>
        <w:t>t</w:t>
      </w:r>
      <w:r>
        <w:rPr>
          <w:spacing w:val="-3"/>
          <w:szCs w:val="22"/>
        </w:rPr>
        <w:t>ă</w:t>
      </w:r>
      <w:r>
        <w:rPr>
          <w:spacing w:val="1"/>
          <w:szCs w:val="22"/>
        </w:rPr>
        <w:t>ţ</w:t>
      </w:r>
      <w:r>
        <w:rPr>
          <w:spacing w:val="-2"/>
          <w:szCs w:val="22"/>
        </w:rPr>
        <w:t>i</w:t>
      </w:r>
      <w:r>
        <w:rPr>
          <w:szCs w:val="22"/>
        </w:rPr>
        <w:t>rea</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e</w:t>
      </w:r>
      <w:r>
        <w:rPr>
          <w:spacing w:val="1"/>
          <w:szCs w:val="22"/>
        </w:rPr>
        <w:t>l</w:t>
      </w:r>
      <w:r>
        <w:rPr>
          <w:szCs w:val="22"/>
        </w:rPr>
        <w:t>ui</w:t>
      </w:r>
      <w:r>
        <w:rPr>
          <w:spacing w:val="-2"/>
          <w:szCs w:val="22"/>
        </w:rPr>
        <w:t xml:space="preserve"> </w:t>
      </w:r>
      <w:r>
        <w:rPr>
          <w:szCs w:val="22"/>
        </w:rPr>
        <w:t xml:space="preserve">de </w:t>
      </w:r>
      <w:r>
        <w:rPr>
          <w:spacing w:val="-3"/>
          <w:szCs w:val="22"/>
        </w:rPr>
        <w:t>d</w:t>
      </w:r>
      <w:r>
        <w:rPr>
          <w:spacing w:val="1"/>
          <w:szCs w:val="22"/>
        </w:rPr>
        <w:t>i</w:t>
      </w:r>
      <w:r>
        <w:rPr>
          <w:spacing w:val="-3"/>
          <w:szCs w:val="22"/>
        </w:rPr>
        <w:t>z</w:t>
      </w:r>
      <w:r>
        <w:rPr>
          <w:szCs w:val="22"/>
        </w:rPr>
        <w:t>ab</w:t>
      </w:r>
      <w:r>
        <w:rPr>
          <w:spacing w:val="-2"/>
          <w:szCs w:val="22"/>
        </w:rPr>
        <w:t>i</w:t>
      </w:r>
      <w:r>
        <w:rPr>
          <w:spacing w:val="1"/>
          <w:szCs w:val="22"/>
        </w:rPr>
        <w:t>l</w:t>
      </w:r>
      <w:r>
        <w:rPr>
          <w:spacing w:val="-2"/>
          <w:szCs w:val="22"/>
        </w:rPr>
        <w:t>i</w:t>
      </w:r>
      <w:r>
        <w:rPr>
          <w:spacing w:val="1"/>
          <w:szCs w:val="22"/>
        </w:rPr>
        <w:t>t</w:t>
      </w:r>
      <w:r>
        <w:rPr>
          <w:szCs w:val="22"/>
        </w:rPr>
        <w:t>a</w:t>
      </w:r>
      <w:r>
        <w:rPr>
          <w:spacing w:val="-2"/>
          <w:szCs w:val="22"/>
        </w:rPr>
        <w:t>t</w:t>
      </w:r>
      <w:r>
        <w:rPr>
          <w:szCs w:val="22"/>
        </w:rPr>
        <w:t>e</w:t>
      </w:r>
      <w:r>
        <w:rPr>
          <w:spacing w:val="-2"/>
          <w:szCs w:val="22"/>
        </w:rPr>
        <w:t xml:space="preserve"> </w:t>
      </w:r>
      <w:r>
        <w:rPr>
          <w:spacing w:val="-1"/>
          <w:szCs w:val="22"/>
        </w:rPr>
        <w:t>HA</w:t>
      </w:r>
      <w:r>
        <w:rPr>
          <w:szCs w:val="22"/>
        </w:rPr>
        <w:t>Q</w:t>
      </w:r>
      <w:r>
        <w:rPr>
          <w:spacing w:val="-1"/>
          <w:szCs w:val="22"/>
        </w:rPr>
        <w:t xml:space="preserve"> </w:t>
      </w:r>
      <w:r>
        <w:rPr>
          <w:szCs w:val="22"/>
        </w:rPr>
        <w:t>şi</w:t>
      </w:r>
      <w:r>
        <w:rPr>
          <w:spacing w:val="1"/>
          <w:szCs w:val="22"/>
        </w:rPr>
        <w:t xml:space="preserve"> </w:t>
      </w:r>
      <w:r>
        <w:rPr>
          <w:szCs w:val="22"/>
        </w:rPr>
        <w:t>co</w:t>
      </w:r>
      <w:r>
        <w:rPr>
          <w:spacing w:val="-4"/>
          <w:szCs w:val="22"/>
        </w:rPr>
        <w:t>m</w:t>
      </w:r>
      <w:r>
        <w:rPr>
          <w:szCs w:val="22"/>
        </w:rPr>
        <w:t>ponen</w:t>
      </w:r>
      <w:r>
        <w:rPr>
          <w:spacing w:val="1"/>
          <w:szCs w:val="22"/>
        </w:rPr>
        <w:t>t</w:t>
      </w:r>
      <w:r>
        <w:rPr>
          <w:szCs w:val="22"/>
        </w:rPr>
        <w:t>a</w:t>
      </w:r>
      <w:r>
        <w:rPr>
          <w:spacing w:val="-2"/>
          <w:szCs w:val="22"/>
        </w:rPr>
        <w:t xml:space="preserve"> </w:t>
      </w:r>
      <w:r>
        <w:rPr>
          <w:szCs w:val="22"/>
        </w:rPr>
        <w:t>f</w:t>
      </w:r>
      <w:r>
        <w:rPr>
          <w:spacing w:val="1"/>
          <w:szCs w:val="22"/>
        </w:rPr>
        <w:t>i</w:t>
      </w:r>
      <w:r>
        <w:rPr>
          <w:spacing w:val="-3"/>
          <w:szCs w:val="22"/>
        </w:rPr>
        <w:t>z</w:t>
      </w:r>
      <w:r>
        <w:rPr>
          <w:spacing w:val="-2"/>
          <w:szCs w:val="22"/>
        </w:rPr>
        <w:t>i</w:t>
      </w:r>
      <w:r>
        <w:rPr>
          <w:szCs w:val="22"/>
        </w:rPr>
        <w:t>că</w:t>
      </w:r>
      <w:r>
        <w:rPr>
          <w:spacing w:val="-2"/>
          <w:szCs w:val="22"/>
        </w:rPr>
        <w:t xml:space="preserve"> </w:t>
      </w:r>
      <w:r>
        <w:rPr>
          <w:szCs w:val="22"/>
        </w:rPr>
        <w:t xml:space="preserve">a </w:t>
      </w:r>
      <w:r>
        <w:rPr>
          <w:spacing w:val="-1"/>
          <w:szCs w:val="22"/>
        </w:rPr>
        <w:t>SF</w:t>
      </w:r>
      <w:r>
        <w:rPr>
          <w:szCs w:val="22"/>
        </w:rPr>
        <w:t>36 au</w:t>
      </w:r>
      <w:r>
        <w:rPr>
          <w:spacing w:val="-3"/>
          <w:szCs w:val="22"/>
        </w:rPr>
        <w:t xml:space="preserve"> </w:t>
      </w:r>
      <w:r>
        <w:rPr>
          <w:szCs w:val="22"/>
        </w:rPr>
        <w:t>pre</w:t>
      </w:r>
      <w:r>
        <w:rPr>
          <w:spacing w:val="-3"/>
          <w:szCs w:val="22"/>
        </w:rPr>
        <w:t>z</w:t>
      </w:r>
      <w:r>
        <w:rPr>
          <w:szCs w:val="22"/>
        </w:rPr>
        <w:t>e</w:t>
      </w:r>
      <w:r>
        <w:rPr>
          <w:spacing w:val="-3"/>
          <w:szCs w:val="22"/>
        </w:rPr>
        <w:t>n</w:t>
      </w:r>
      <w:r>
        <w:rPr>
          <w:spacing w:val="1"/>
          <w:szCs w:val="22"/>
        </w:rPr>
        <w:t>t</w:t>
      </w:r>
      <w:r>
        <w:rPr>
          <w:szCs w:val="22"/>
        </w:rPr>
        <w:t>at o a</w:t>
      </w:r>
      <w:r>
        <w:rPr>
          <w:spacing w:val="-4"/>
          <w:szCs w:val="22"/>
        </w:rPr>
        <w:t>m</w:t>
      </w:r>
      <w:r>
        <w:rPr>
          <w:szCs w:val="22"/>
        </w:rPr>
        <w:t>e</w:t>
      </w:r>
      <w:r>
        <w:rPr>
          <w:spacing w:val="1"/>
          <w:szCs w:val="22"/>
        </w:rPr>
        <w:t>li</w:t>
      </w:r>
      <w:r>
        <w:rPr>
          <w:szCs w:val="22"/>
        </w:rPr>
        <w:t>o</w:t>
      </w:r>
      <w:r>
        <w:rPr>
          <w:spacing w:val="-2"/>
          <w:szCs w:val="22"/>
        </w:rPr>
        <w:t>r</w:t>
      </w:r>
      <w:r>
        <w:rPr>
          <w:szCs w:val="22"/>
        </w:rPr>
        <w:t xml:space="preserve">are </w:t>
      </w:r>
      <w:r>
        <w:rPr>
          <w:spacing w:val="-4"/>
          <w:szCs w:val="22"/>
        </w:rPr>
        <w:t>m</w:t>
      </w:r>
      <w:r>
        <w:rPr>
          <w:szCs w:val="22"/>
        </w:rPr>
        <w:t>ai</w:t>
      </w:r>
      <w:r>
        <w:rPr>
          <w:spacing w:val="1"/>
          <w:szCs w:val="22"/>
        </w:rPr>
        <w:t xml:space="preserve"> </w:t>
      </w:r>
      <w:r>
        <w:rPr>
          <w:spacing w:val="-4"/>
          <w:szCs w:val="22"/>
        </w:rPr>
        <w:t>m</w:t>
      </w:r>
      <w:r>
        <w:rPr>
          <w:szCs w:val="22"/>
        </w:rPr>
        <w:t xml:space="preserve">are </w:t>
      </w:r>
      <w:r>
        <w:rPr>
          <w:spacing w:val="-2"/>
          <w:szCs w:val="22"/>
        </w:rPr>
        <w:t>î</w:t>
      </w:r>
      <w:r>
        <w:rPr>
          <w:szCs w:val="22"/>
        </w:rPr>
        <w:t xml:space="preserve">n </w:t>
      </w:r>
      <w:r>
        <w:rPr>
          <w:spacing w:val="-2"/>
          <w:szCs w:val="22"/>
        </w:rPr>
        <w:t>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co</w:t>
      </w:r>
      <w:r>
        <w:rPr>
          <w:spacing w:val="-3"/>
          <w:szCs w:val="22"/>
        </w:rPr>
        <w:t>n</w:t>
      </w:r>
      <w:r>
        <w:rPr>
          <w:szCs w:val="22"/>
        </w:rPr>
        <w:t>co</w:t>
      </w:r>
      <w:r>
        <w:rPr>
          <w:spacing w:val="-4"/>
          <w:szCs w:val="22"/>
        </w:rPr>
        <w:t>m</w:t>
      </w:r>
      <w:r>
        <w:rPr>
          <w:spacing w:val="1"/>
          <w:szCs w:val="22"/>
        </w:rPr>
        <w:t>it</w:t>
      </w:r>
      <w:r>
        <w:rPr>
          <w:szCs w:val="22"/>
        </w:rPr>
        <w:t>ent</w:t>
      </w:r>
      <w:r>
        <w:rPr>
          <w:spacing w:val="-2"/>
          <w:szCs w:val="22"/>
        </w:rPr>
        <w:t xml:space="preserve"> </w:t>
      </w:r>
      <w:r>
        <w:rPr>
          <w:szCs w:val="22"/>
        </w:rPr>
        <w:t>cu</w:t>
      </w:r>
      <w:r>
        <w:rPr>
          <w:spacing w:val="-3"/>
          <w:szCs w:val="22"/>
        </w:rPr>
        <w:t xml:space="preserve"> </w:t>
      </w:r>
      <w:r>
        <w:rPr>
          <w:rFonts w:eastAsia="MS Mincho"/>
          <w:spacing w:val="-1"/>
          <w:szCs w:val="22"/>
          <w:lang w:eastAsia="en-US" w:bidi="ar-SA"/>
        </w:rPr>
        <w:t>adalimumab</w:t>
      </w:r>
      <w:r>
        <w:rPr>
          <w:szCs w:val="22"/>
        </w:rPr>
        <w:t xml:space="preserve"> şi</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rex</w:t>
      </w:r>
      <w:r>
        <w:rPr>
          <w:spacing w:val="-3"/>
          <w:szCs w:val="22"/>
        </w:rPr>
        <w:t>a</w:t>
      </w:r>
      <w:r>
        <w:rPr>
          <w:szCs w:val="22"/>
        </w:rPr>
        <w:t>t</w:t>
      </w:r>
      <w:r>
        <w:rPr>
          <w:spacing w:val="1"/>
          <w:szCs w:val="22"/>
        </w:rPr>
        <w:t xml:space="preserve"> </w:t>
      </w:r>
      <w:r>
        <w:rPr>
          <w:spacing w:val="-3"/>
          <w:szCs w:val="22"/>
        </w:rPr>
        <w:t>c</w:t>
      </w:r>
      <w:r>
        <w:rPr>
          <w:szCs w:val="22"/>
        </w:rPr>
        <w:t>o</w:t>
      </w:r>
      <w:r>
        <w:rPr>
          <w:spacing w:val="-4"/>
          <w:szCs w:val="22"/>
        </w:rPr>
        <w:t>m</w:t>
      </w:r>
      <w:r>
        <w:rPr>
          <w:spacing w:val="2"/>
          <w:szCs w:val="22"/>
        </w:rPr>
        <w:t>p</w:t>
      </w:r>
      <w:r>
        <w:rPr>
          <w:szCs w:val="22"/>
        </w:rPr>
        <w:t>ar</w:t>
      </w:r>
      <w:r>
        <w:rPr>
          <w:spacing w:val="-3"/>
          <w:szCs w:val="22"/>
        </w:rPr>
        <w:t>a</w:t>
      </w:r>
      <w:r>
        <w:rPr>
          <w:spacing w:val="1"/>
          <w:szCs w:val="22"/>
        </w:rPr>
        <w:t>ti</w:t>
      </w:r>
      <w:r>
        <w:rPr>
          <w:szCs w:val="22"/>
        </w:rPr>
        <w:t>v</w:t>
      </w:r>
      <w:r>
        <w:rPr>
          <w:spacing w:val="-3"/>
          <w:szCs w:val="22"/>
        </w:rPr>
        <w:t xml:space="preserve"> </w:t>
      </w:r>
      <w:r>
        <w:rPr>
          <w:szCs w:val="22"/>
        </w:rPr>
        <w:t xml:space="preserve">cu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xml:space="preserve">ul cu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ex</w:t>
      </w:r>
      <w:r>
        <w:rPr>
          <w:spacing w:val="-3"/>
          <w:szCs w:val="22"/>
        </w:rPr>
        <w:t>a</w:t>
      </w:r>
      <w:r>
        <w:rPr>
          <w:szCs w:val="22"/>
        </w:rPr>
        <w:t>t</w:t>
      </w:r>
      <w:r>
        <w:rPr>
          <w:spacing w:val="1"/>
          <w:szCs w:val="22"/>
        </w:rPr>
        <w:t xml:space="preserve"> </w:t>
      </w:r>
      <w:r>
        <w:rPr>
          <w:spacing w:val="-2"/>
          <w:szCs w:val="22"/>
        </w:rPr>
        <w:t>ş</w:t>
      </w:r>
      <w:r>
        <w:rPr>
          <w:szCs w:val="22"/>
        </w:rPr>
        <w:t>i</w:t>
      </w:r>
      <w:r>
        <w:rPr>
          <w:spacing w:val="1"/>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n</w:t>
      </w:r>
      <w:r>
        <w:rPr>
          <w:spacing w:val="-3"/>
          <w:szCs w:val="22"/>
        </w:rPr>
        <w:t xml:space="preserve"> </w:t>
      </w:r>
      <w:r>
        <w:rPr>
          <w:spacing w:val="-4"/>
          <w:szCs w:val="22"/>
        </w:rPr>
        <w:t>m</w:t>
      </w:r>
      <w:r>
        <w:rPr>
          <w:szCs w:val="22"/>
        </w:rPr>
        <w:t>ono</w:t>
      </w:r>
      <w:r>
        <w:rPr>
          <w:spacing w:val="1"/>
          <w:szCs w:val="22"/>
        </w:rPr>
        <w:t>t</w:t>
      </w:r>
      <w:r>
        <w:rPr>
          <w:szCs w:val="22"/>
        </w:rPr>
        <w:t>erap</w:t>
      </w:r>
      <w:r>
        <w:rPr>
          <w:spacing w:val="-2"/>
          <w:szCs w:val="22"/>
        </w:rPr>
        <w:t>i</w:t>
      </w:r>
      <w:r>
        <w:rPr>
          <w:szCs w:val="22"/>
        </w:rPr>
        <w:t xml:space="preserve">e </w:t>
      </w:r>
      <w:r>
        <w:rPr>
          <w:spacing w:val="-2"/>
          <w:szCs w:val="22"/>
        </w:rPr>
        <w:t>î</w:t>
      </w:r>
      <w:r>
        <w:rPr>
          <w:szCs w:val="22"/>
        </w:rPr>
        <w:t xml:space="preserve">n </w:t>
      </w:r>
      <w:r>
        <w:rPr>
          <w:spacing w:val="-1"/>
          <w:szCs w:val="22"/>
        </w:rPr>
        <w:t>S</w:t>
      </w:r>
      <w:r>
        <w:rPr>
          <w:szCs w:val="22"/>
        </w:rPr>
        <w:t>ă</w:t>
      </w:r>
      <w:r>
        <w:rPr>
          <w:spacing w:val="-3"/>
          <w:szCs w:val="22"/>
        </w:rPr>
        <w:t>p</w:t>
      </w:r>
      <w:r>
        <w:rPr>
          <w:spacing w:val="1"/>
          <w:szCs w:val="22"/>
        </w:rPr>
        <w:t>t</w:t>
      </w:r>
      <w:r>
        <w:rPr>
          <w:szCs w:val="22"/>
        </w:rPr>
        <w:t>ă</w:t>
      </w:r>
      <w:r>
        <w:rPr>
          <w:spacing w:val="-4"/>
          <w:szCs w:val="22"/>
        </w:rPr>
        <w:t>m</w:t>
      </w:r>
      <w:r>
        <w:rPr>
          <w:szCs w:val="22"/>
        </w:rPr>
        <w:t>âna</w:t>
      </w:r>
      <w:r>
        <w:rPr>
          <w:spacing w:val="-2"/>
          <w:szCs w:val="22"/>
        </w:rPr>
        <w:t xml:space="preserve"> </w:t>
      </w:r>
      <w:r>
        <w:rPr>
          <w:szCs w:val="22"/>
        </w:rPr>
        <w:t xml:space="preserve">52, </w:t>
      </w:r>
      <w:r>
        <w:rPr>
          <w:spacing w:val="1"/>
          <w:szCs w:val="22"/>
        </w:rPr>
        <w:t>î</w:t>
      </w:r>
      <w:r>
        <w:rPr>
          <w:spacing w:val="-4"/>
          <w:szCs w:val="22"/>
        </w:rPr>
        <w:t>m</w:t>
      </w:r>
      <w:r>
        <w:rPr>
          <w:szCs w:val="22"/>
        </w:rPr>
        <w:t>bună</w:t>
      </w:r>
      <w:r>
        <w:rPr>
          <w:spacing w:val="1"/>
          <w:szCs w:val="22"/>
        </w:rPr>
        <w:t>t</w:t>
      </w:r>
      <w:r>
        <w:rPr>
          <w:spacing w:val="-3"/>
          <w:szCs w:val="22"/>
        </w:rPr>
        <w:t>ă</w:t>
      </w:r>
      <w:r>
        <w:rPr>
          <w:spacing w:val="1"/>
          <w:szCs w:val="22"/>
        </w:rPr>
        <w:t>ţ</w:t>
      </w:r>
      <w:r>
        <w:rPr>
          <w:spacing w:val="-2"/>
          <w:szCs w:val="22"/>
        </w:rPr>
        <w:t>i</w:t>
      </w:r>
      <w:r>
        <w:rPr>
          <w:szCs w:val="22"/>
        </w:rPr>
        <w:t>re</w:t>
      </w:r>
      <w:r>
        <w:rPr>
          <w:spacing w:val="-2"/>
          <w:szCs w:val="22"/>
        </w:rPr>
        <w:t xml:space="preserve"> </w:t>
      </w:r>
      <w:r>
        <w:rPr>
          <w:szCs w:val="22"/>
        </w:rPr>
        <w:t>ca</w:t>
      </w:r>
      <w:r>
        <w:rPr>
          <w:spacing w:val="-2"/>
          <w:szCs w:val="22"/>
        </w:rPr>
        <w:t>r</w:t>
      </w:r>
      <w:r>
        <w:rPr>
          <w:szCs w:val="22"/>
        </w:rPr>
        <w:t>e s</w:t>
      </w:r>
      <w:r>
        <w:rPr>
          <w:spacing w:val="-4"/>
          <w:szCs w:val="22"/>
        </w:rPr>
        <w:t>-</w:t>
      </w:r>
      <w:r>
        <w:rPr>
          <w:szCs w:val="22"/>
        </w:rPr>
        <w:t xml:space="preserve">a </w:t>
      </w:r>
      <w:r>
        <w:rPr>
          <w:spacing w:val="-2"/>
          <w:szCs w:val="22"/>
        </w:rPr>
        <w:t>m</w:t>
      </w:r>
      <w:r>
        <w:rPr>
          <w:szCs w:val="22"/>
        </w:rPr>
        <w:t>en</w:t>
      </w:r>
      <w:r>
        <w:rPr>
          <w:spacing w:val="-2"/>
          <w:szCs w:val="22"/>
        </w:rPr>
        <w:t>ţ</w:t>
      </w:r>
      <w:r>
        <w:rPr>
          <w:spacing w:val="1"/>
          <w:szCs w:val="22"/>
        </w:rPr>
        <w:t>i</w:t>
      </w:r>
      <w:r>
        <w:rPr>
          <w:szCs w:val="22"/>
        </w:rPr>
        <w:t>nut</w:t>
      </w:r>
      <w:r>
        <w:rPr>
          <w:spacing w:val="-2"/>
          <w:szCs w:val="22"/>
        </w:rPr>
        <w:t xml:space="preserve"> </w:t>
      </w:r>
      <w:r>
        <w:rPr>
          <w:szCs w:val="22"/>
        </w:rPr>
        <w:t>până</w:t>
      </w:r>
      <w:r>
        <w:rPr>
          <w:spacing w:val="-2"/>
          <w:szCs w:val="22"/>
        </w:rPr>
        <w:t xml:space="preserve"> </w:t>
      </w:r>
      <w:r>
        <w:rPr>
          <w:spacing w:val="1"/>
          <w:szCs w:val="22"/>
        </w:rPr>
        <w:t>î</w:t>
      </w:r>
      <w:r>
        <w:rPr>
          <w:szCs w:val="22"/>
        </w:rPr>
        <w:t xml:space="preserve">n </w:t>
      </w:r>
      <w:r>
        <w:rPr>
          <w:spacing w:val="-1"/>
          <w:szCs w:val="22"/>
        </w:rPr>
        <w:t>S</w:t>
      </w:r>
      <w:r>
        <w:rPr>
          <w:szCs w:val="22"/>
        </w:rPr>
        <w:t>ăp</w:t>
      </w:r>
      <w:r>
        <w:rPr>
          <w:spacing w:val="1"/>
          <w:szCs w:val="22"/>
        </w:rPr>
        <w:t>t</w:t>
      </w:r>
      <w:r>
        <w:rPr>
          <w:szCs w:val="22"/>
        </w:rPr>
        <w:t>ă</w:t>
      </w:r>
      <w:r>
        <w:rPr>
          <w:spacing w:val="-4"/>
          <w:szCs w:val="22"/>
        </w:rPr>
        <w:t>m</w:t>
      </w:r>
      <w:r>
        <w:rPr>
          <w:szCs w:val="22"/>
        </w:rPr>
        <w:t>âna 104</w:t>
      </w:r>
      <w:r>
        <w:rPr>
          <w:spacing w:val="-3"/>
          <w:szCs w:val="22"/>
        </w:rPr>
        <w:t xml:space="preserve"> </w:t>
      </w:r>
      <w:r>
        <w:rPr>
          <w:szCs w:val="22"/>
        </w:rPr>
        <w:t xml:space="preserve">(p </w:t>
      </w:r>
      <w:r>
        <w:rPr>
          <w:spacing w:val="-3"/>
          <w:szCs w:val="22"/>
        </w:rPr>
        <w:t>&lt;</w:t>
      </w:r>
      <w:r>
        <w:rPr>
          <w:szCs w:val="22"/>
        </w:rPr>
        <w:t>0,00</w:t>
      </w:r>
      <w:r>
        <w:rPr>
          <w:spacing w:val="-3"/>
          <w:szCs w:val="22"/>
        </w:rPr>
        <w:t>1</w:t>
      </w:r>
      <w:r>
        <w:rPr>
          <w:szCs w:val="22"/>
        </w:rPr>
        <w:t>).</w:t>
      </w:r>
      <w:r>
        <w:rPr>
          <w:spacing w:val="-3"/>
          <w:szCs w:val="22"/>
        </w:rPr>
        <w:t xml:space="preserve"> </w:t>
      </w:r>
      <w:r>
        <w:rPr>
          <w:spacing w:val="-1"/>
          <w:szCs w:val="22"/>
        </w:rPr>
        <w:t>L</w:t>
      </w:r>
      <w:r>
        <w:rPr>
          <w:szCs w:val="22"/>
        </w:rPr>
        <w:t>a c</w:t>
      </w:r>
      <w:r>
        <w:rPr>
          <w:spacing w:val="-3"/>
          <w:szCs w:val="22"/>
        </w:rPr>
        <w:t>e</w:t>
      </w:r>
      <w:r>
        <w:rPr>
          <w:szCs w:val="22"/>
        </w:rPr>
        <w:t>i</w:t>
      </w:r>
      <w:r>
        <w:rPr>
          <w:spacing w:val="1"/>
          <w:szCs w:val="22"/>
        </w:rPr>
        <w:t xml:space="preserve"> </w:t>
      </w:r>
      <w:r>
        <w:rPr>
          <w:szCs w:val="22"/>
        </w:rPr>
        <w:t xml:space="preserve">250 </w:t>
      </w:r>
      <w:r>
        <w:rPr>
          <w:spacing w:val="-3"/>
          <w:szCs w:val="22"/>
        </w:rPr>
        <w:t>d</w:t>
      </w:r>
      <w:r>
        <w:rPr>
          <w:szCs w:val="22"/>
        </w:rPr>
        <w:t>e su</w:t>
      </w:r>
      <w:r>
        <w:rPr>
          <w:spacing w:val="-3"/>
          <w:szCs w:val="22"/>
        </w:rPr>
        <w:t>b</w:t>
      </w:r>
      <w:r>
        <w:rPr>
          <w:spacing w:val="1"/>
          <w:szCs w:val="22"/>
        </w:rPr>
        <w:t>i</w:t>
      </w:r>
      <w:r>
        <w:rPr>
          <w:spacing w:val="-3"/>
          <w:szCs w:val="22"/>
        </w:rPr>
        <w:t>e</w:t>
      </w:r>
      <w:r>
        <w:rPr>
          <w:szCs w:val="22"/>
        </w:rPr>
        <w:t>c</w:t>
      </w:r>
      <w:r>
        <w:rPr>
          <w:spacing w:val="-2"/>
          <w:szCs w:val="22"/>
        </w:rPr>
        <w:t>ț</w:t>
      </w:r>
      <w:r>
        <w:rPr>
          <w:szCs w:val="22"/>
        </w:rPr>
        <w:t>i</w:t>
      </w:r>
      <w:r>
        <w:rPr>
          <w:spacing w:val="1"/>
          <w:szCs w:val="22"/>
        </w:rPr>
        <w:t xml:space="preserve"> </w:t>
      </w:r>
      <w:r>
        <w:rPr>
          <w:szCs w:val="22"/>
        </w:rPr>
        <w:t>c</w:t>
      </w:r>
      <w:r>
        <w:rPr>
          <w:spacing w:val="-3"/>
          <w:szCs w:val="22"/>
        </w:rPr>
        <w:t>a</w:t>
      </w:r>
      <w:r>
        <w:rPr>
          <w:szCs w:val="22"/>
        </w:rPr>
        <w:t>re</w:t>
      </w:r>
      <w:r>
        <w:rPr>
          <w:spacing w:val="-2"/>
          <w:szCs w:val="22"/>
        </w:rPr>
        <w:t xml:space="preserve"> </w:t>
      </w:r>
      <w:r>
        <w:rPr>
          <w:szCs w:val="22"/>
        </w:rPr>
        <w:t xml:space="preserve">au </w:t>
      </w:r>
      <w:r>
        <w:rPr>
          <w:spacing w:val="-2"/>
          <w:szCs w:val="22"/>
        </w:rPr>
        <w:t>f</w:t>
      </w:r>
      <w:r>
        <w:rPr>
          <w:spacing w:val="1"/>
          <w:szCs w:val="22"/>
        </w:rPr>
        <w:t>i</w:t>
      </w:r>
      <w:r>
        <w:rPr>
          <w:szCs w:val="22"/>
        </w:rPr>
        <w:t>n</w:t>
      </w:r>
      <w:r>
        <w:rPr>
          <w:spacing w:val="-3"/>
          <w:szCs w:val="22"/>
        </w:rPr>
        <w:t>a</w:t>
      </w:r>
      <w:r>
        <w:rPr>
          <w:spacing w:val="1"/>
          <w:szCs w:val="22"/>
        </w:rPr>
        <w:t>li</w:t>
      </w:r>
      <w:r>
        <w:rPr>
          <w:spacing w:val="-3"/>
          <w:szCs w:val="22"/>
        </w:rPr>
        <w:t>z</w:t>
      </w:r>
      <w:r>
        <w:rPr>
          <w:szCs w:val="22"/>
        </w:rPr>
        <w:t>at</w:t>
      </w:r>
      <w:r>
        <w:rPr>
          <w:spacing w:val="-2"/>
          <w:szCs w:val="22"/>
        </w:rPr>
        <w:t xml:space="preserve"> </w:t>
      </w:r>
      <w:r>
        <w:rPr>
          <w:szCs w:val="22"/>
        </w:rPr>
        <w:t>fa</w:t>
      </w:r>
      <w:r>
        <w:rPr>
          <w:spacing w:val="-3"/>
          <w:szCs w:val="22"/>
        </w:rPr>
        <w:t>z</w:t>
      </w:r>
      <w:r>
        <w:rPr>
          <w:szCs w:val="22"/>
        </w:rPr>
        <w:t>a de</w:t>
      </w:r>
      <w:r>
        <w:rPr>
          <w:spacing w:val="-2"/>
          <w:szCs w:val="22"/>
        </w:rPr>
        <w:t xml:space="preserve"> </w:t>
      </w:r>
      <w:r>
        <w:rPr>
          <w:szCs w:val="22"/>
        </w:rPr>
        <w:t>ex</w:t>
      </w:r>
      <w:r>
        <w:rPr>
          <w:spacing w:val="-2"/>
          <w:szCs w:val="22"/>
        </w:rPr>
        <w:t>t</w:t>
      </w:r>
      <w:r>
        <w:rPr>
          <w:szCs w:val="22"/>
        </w:rPr>
        <w:t>en</w:t>
      </w:r>
      <w:r>
        <w:rPr>
          <w:spacing w:val="-2"/>
          <w:szCs w:val="22"/>
        </w:rPr>
        <w:t>s</w:t>
      </w:r>
      <w:r>
        <w:rPr>
          <w:spacing w:val="1"/>
          <w:szCs w:val="22"/>
        </w:rPr>
        <w:t>i</w:t>
      </w:r>
      <w:r>
        <w:rPr>
          <w:szCs w:val="22"/>
        </w:rPr>
        <w:t>e</w:t>
      </w:r>
      <w:r>
        <w:rPr>
          <w:spacing w:val="-2"/>
          <w:szCs w:val="22"/>
        </w:rPr>
        <w:t xml:space="preserve"> </w:t>
      </w:r>
      <w:r>
        <w:rPr>
          <w:szCs w:val="22"/>
        </w:rPr>
        <w:t>desc</w:t>
      </w:r>
      <w:r>
        <w:rPr>
          <w:spacing w:val="-3"/>
          <w:szCs w:val="22"/>
        </w:rPr>
        <w:t>h</w:t>
      </w:r>
      <w:r>
        <w:rPr>
          <w:spacing w:val="1"/>
          <w:szCs w:val="22"/>
        </w:rPr>
        <w:t>i</w:t>
      </w:r>
      <w:r>
        <w:rPr>
          <w:spacing w:val="-2"/>
          <w:szCs w:val="22"/>
        </w:rPr>
        <w:t>s</w:t>
      </w:r>
      <w:r>
        <w:rPr>
          <w:szCs w:val="22"/>
        </w:rPr>
        <w:t>ă a s</w:t>
      </w:r>
      <w:r>
        <w:rPr>
          <w:spacing w:val="1"/>
          <w:szCs w:val="22"/>
        </w:rPr>
        <w:t>t</w:t>
      </w:r>
      <w:r>
        <w:rPr>
          <w:szCs w:val="22"/>
        </w:rPr>
        <w:t>u</w:t>
      </w:r>
      <w:r>
        <w:rPr>
          <w:spacing w:val="-3"/>
          <w:szCs w:val="22"/>
        </w:rPr>
        <w:t>d</w:t>
      </w:r>
      <w:r>
        <w:rPr>
          <w:spacing w:val="1"/>
          <w:szCs w:val="22"/>
        </w:rPr>
        <w:t>i</w:t>
      </w:r>
      <w:r>
        <w:rPr>
          <w:szCs w:val="22"/>
        </w:rPr>
        <w:t>u</w:t>
      </w:r>
      <w:r>
        <w:rPr>
          <w:spacing w:val="-2"/>
          <w:szCs w:val="22"/>
        </w:rPr>
        <w:t>l</w:t>
      </w:r>
      <w:r>
        <w:rPr>
          <w:szCs w:val="22"/>
        </w:rPr>
        <w:t>u</w:t>
      </w:r>
      <w:r>
        <w:rPr>
          <w:spacing w:val="1"/>
          <w:szCs w:val="22"/>
        </w:rPr>
        <w:t>i</w:t>
      </w:r>
      <w:r>
        <w:rPr>
          <w:szCs w:val="22"/>
        </w:rPr>
        <w:t>,</w:t>
      </w:r>
      <w:r>
        <w:rPr>
          <w:spacing w:val="-3"/>
          <w:szCs w:val="22"/>
        </w:rPr>
        <w:t xml:space="preserve"> </w:t>
      </w:r>
      <w:r>
        <w:rPr>
          <w:spacing w:val="1"/>
          <w:szCs w:val="22"/>
        </w:rPr>
        <w:t>î</w:t>
      </w:r>
      <w:r>
        <w:rPr>
          <w:spacing w:val="-4"/>
          <w:szCs w:val="22"/>
        </w:rPr>
        <w:t>m</w:t>
      </w:r>
      <w:r>
        <w:rPr>
          <w:szCs w:val="22"/>
        </w:rPr>
        <w:t>bună</w:t>
      </w:r>
      <w:r>
        <w:rPr>
          <w:spacing w:val="1"/>
          <w:szCs w:val="22"/>
        </w:rPr>
        <w:t>t</w:t>
      </w:r>
      <w:r>
        <w:rPr>
          <w:spacing w:val="-3"/>
          <w:szCs w:val="22"/>
        </w:rPr>
        <w:t>ă</w:t>
      </w:r>
      <w:r>
        <w:rPr>
          <w:spacing w:val="1"/>
          <w:szCs w:val="22"/>
        </w:rPr>
        <w:t>ț</w:t>
      </w:r>
      <w:r>
        <w:rPr>
          <w:spacing w:val="-2"/>
          <w:szCs w:val="22"/>
        </w:rPr>
        <w:t>i</w:t>
      </w:r>
      <w:r>
        <w:rPr>
          <w:szCs w:val="22"/>
        </w:rPr>
        <w:t>rea</w:t>
      </w:r>
      <w:r>
        <w:rPr>
          <w:spacing w:val="-2"/>
          <w:szCs w:val="22"/>
        </w:rPr>
        <w:t xml:space="preserve"> </w:t>
      </w:r>
      <w:r>
        <w:rPr>
          <w:szCs w:val="22"/>
        </w:rPr>
        <w:t>fu</w:t>
      </w:r>
      <w:r>
        <w:rPr>
          <w:spacing w:val="-3"/>
          <w:szCs w:val="22"/>
        </w:rPr>
        <w:t>n</w:t>
      </w:r>
      <w:r>
        <w:rPr>
          <w:szCs w:val="22"/>
        </w:rPr>
        <w:t>c</w:t>
      </w:r>
      <w:r>
        <w:rPr>
          <w:spacing w:val="1"/>
          <w:szCs w:val="22"/>
        </w:rPr>
        <w:t>ț</w:t>
      </w:r>
      <w:r>
        <w:rPr>
          <w:spacing w:val="-2"/>
          <w:szCs w:val="22"/>
        </w:rPr>
        <w:t>i</w:t>
      </w:r>
      <w:r>
        <w:rPr>
          <w:szCs w:val="22"/>
        </w:rPr>
        <w:t>ei</w:t>
      </w:r>
      <w:r>
        <w:rPr>
          <w:spacing w:val="-2"/>
          <w:szCs w:val="22"/>
        </w:rPr>
        <w:t xml:space="preserve"> </w:t>
      </w:r>
      <w:r>
        <w:rPr>
          <w:szCs w:val="22"/>
        </w:rPr>
        <w:t>f</w:t>
      </w:r>
      <w:r>
        <w:rPr>
          <w:spacing w:val="1"/>
          <w:szCs w:val="22"/>
        </w:rPr>
        <w:t>i</w:t>
      </w:r>
      <w:r>
        <w:rPr>
          <w:spacing w:val="-3"/>
          <w:szCs w:val="22"/>
        </w:rPr>
        <w:t>z</w:t>
      </w:r>
      <w:r>
        <w:rPr>
          <w:spacing w:val="1"/>
          <w:szCs w:val="22"/>
        </w:rPr>
        <w:t>i</w:t>
      </w:r>
      <w:r>
        <w:rPr>
          <w:spacing w:val="-3"/>
          <w:szCs w:val="22"/>
        </w:rPr>
        <w:t>c</w:t>
      </w:r>
      <w:r>
        <w:rPr>
          <w:szCs w:val="22"/>
        </w:rPr>
        <w:t>e 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4"/>
          <w:szCs w:val="22"/>
        </w:rPr>
        <w:t>m</w:t>
      </w:r>
      <w:r>
        <w:rPr>
          <w:szCs w:val="22"/>
        </w:rPr>
        <w:t>en</w:t>
      </w:r>
      <w:r>
        <w:rPr>
          <w:spacing w:val="1"/>
          <w:szCs w:val="22"/>
        </w:rPr>
        <w:t>ți</w:t>
      </w:r>
      <w:r>
        <w:rPr>
          <w:szCs w:val="22"/>
        </w:rPr>
        <w:t>n</w:t>
      </w:r>
      <w:r>
        <w:rPr>
          <w:spacing w:val="-3"/>
          <w:szCs w:val="22"/>
        </w:rPr>
        <w:t>u</w:t>
      </w:r>
      <w:r>
        <w:rPr>
          <w:spacing w:val="1"/>
          <w:szCs w:val="22"/>
        </w:rPr>
        <w:t>t</w:t>
      </w:r>
      <w:r>
        <w:rPr>
          <w:szCs w:val="22"/>
        </w:rPr>
        <w:t>ă</w:t>
      </w:r>
      <w:r>
        <w:rPr>
          <w:spacing w:val="-2"/>
          <w:szCs w:val="22"/>
        </w:rPr>
        <w:t xml:space="preserve"> </w:t>
      </w:r>
      <w:r>
        <w:rPr>
          <w:szCs w:val="22"/>
        </w:rPr>
        <w:t>pe p</w:t>
      </w:r>
      <w:r>
        <w:rPr>
          <w:spacing w:val="-3"/>
          <w:szCs w:val="22"/>
        </w:rPr>
        <w:t>a</w:t>
      </w:r>
      <w:r>
        <w:rPr>
          <w:szCs w:val="22"/>
        </w:rPr>
        <w:t>rcu</w:t>
      </w:r>
      <w:r>
        <w:rPr>
          <w:spacing w:val="-2"/>
          <w:szCs w:val="22"/>
        </w:rPr>
        <w:t>r</w:t>
      </w:r>
      <w:r>
        <w:rPr>
          <w:szCs w:val="22"/>
        </w:rPr>
        <w:t>sul</w:t>
      </w:r>
      <w:r>
        <w:rPr>
          <w:spacing w:val="-2"/>
          <w:szCs w:val="22"/>
        </w:rPr>
        <w:t xml:space="preserve"> </w:t>
      </w:r>
      <w:r>
        <w:rPr>
          <w:szCs w:val="22"/>
        </w:rPr>
        <w:t>pe</w:t>
      </w:r>
      <w:r>
        <w:rPr>
          <w:spacing w:val="-2"/>
          <w:szCs w:val="22"/>
        </w:rPr>
        <w:t>r</w:t>
      </w:r>
      <w:r>
        <w:rPr>
          <w:spacing w:val="1"/>
          <w:szCs w:val="22"/>
        </w:rPr>
        <w:t>i</w:t>
      </w:r>
      <w:r>
        <w:rPr>
          <w:szCs w:val="22"/>
        </w:rPr>
        <w:t>o</w:t>
      </w:r>
      <w:r>
        <w:rPr>
          <w:spacing w:val="-3"/>
          <w:szCs w:val="22"/>
        </w:rPr>
        <w:t>a</w:t>
      </w:r>
      <w:r>
        <w:rPr>
          <w:szCs w:val="22"/>
        </w:rPr>
        <w:t>dei</w:t>
      </w:r>
      <w:r>
        <w:rPr>
          <w:spacing w:val="-2"/>
          <w:szCs w:val="22"/>
        </w:rPr>
        <w:t xml:space="preserve"> </w:t>
      </w:r>
      <w:r>
        <w:rPr>
          <w:szCs w:val="22"/>
        </w:rPr>
        <w:t xml:space="preserve">de </w:t>
      </w:r>
      <w:r>
        <w:rPr>
          <w:spacing w:val="-3"/>
          <w:szCs w:val="22"/>
        </w:rPr>
        <w:t>1</w:t>
      </w:r>
      <w:r>
        <w:rPr>
          <w:szCs w:val="22"/>
        </w:rPr>
        <w:t>0 ani</w:t>
      </w:r>
      <w:r>
        <w:rPr>
          <w:spacing w:val="1"/>
          <w:szCs w:val="22"/>
        </w:rPr>
        <w:t xml:space="preserve"> </w:t>
      </w:r>
      <w:r>
        <w:rPr>
          <w:spacing w:val="-3"/>
          <w:szCs w:val="22"/>
        </w:rPr>
        <w:t>d</w:t>
      </w:r>
      <w:r>
        <w:rPr>
          <w:szCs w:val="22"/>
        </w:rPr>
        <w:t xml:space="preserve">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w:t>
      </w:r>
    </w:p>
    <w:p w14:paraId="7A362AC7" w14:textId="77777777" w:rsidR="00C04CAD" w:rsidRDefault="00C04CAD">
      <w:pPr>
        <w:tabs>
          <w:tab w:val="clear" w:pos="567"/>
        </w:tabs>
        <w:kinsoku w:val="0"/>
        <w:overflowPunct w:val="0"/>
        <w:autoSpaceDE w:val="0"/>
        <w:autoSpaceDN w:val="0"/>
        <w:adjustRightInd w:val="0"/>
        <w:spacing w:line="240" w:lineRule="auto"/>
        <w:rPr>
          <w:szCs w:val="22"/>
        </w:rPr>
      </w:pPr>
    </w:p>
    <w:p w14:paraId="0B141313" w14:textId="77777777" w:rsidR="00C04CAD" w:rsidRDefault="00060E34">
      <w:pPr>
        <w:tabs>
          <w:tab w:val="clear" w:pos="567"/>
        </w:tabs>
        <w:kinsoku w:val="0"/>
        <w:overflowPunct w:val="0"/>
        <w:autoSpaceDE w:val="0"/>
        <w:autoSpaceDN w:val="0"/>
        <w:adjustRightInd w:val="0"/>
        <w:spacing w:line="240" w:lineRule="auto"/>
        <w:rPr>
          <w:i/>
          <w:szCs w:val="22"/>
        </w:rPr>
      </w:pPr>
      <w:r>
        <w:rPr>
          <w:i/>
          <w:szCs w:val="22"/>
        </w:rPr>
        <w:t>Spond</w:t>
      </w:r>
      <w:r>
        <w:rPr>
          <w:i/>
          <w:spacing w:val="-2"/>
          <w:szCs w:val="22"/>
        </w:rPr>
        <w:t>i</w:t>
      </w:r>
      <w:r>
        <w:rPr>
          <w:i/>
          <w:spacing w:val="1"/>
          <w:szCs w:val="22"/>
        </w:rPr>
        <w:t>l</w:t>
      </w:r>
      <w:r>
        <w:rPr>
          <w:i/>
          <w:szCs w:val="22"/>
        </w:rPr>
        <w:t>o</w:t>
      </w:r>
      <w:r>
        <w:rPr>
          <w:i/>
          <w:spacing w:val="-3"/>
          <w:szCs w:val="22"/>
        </w:rPr>
        <w:t>a</w:t>
      </w:r>
      <w:r>
        <w:rPr>
          <w:i/>
          <w:szCs w:val="22"/>
        </w:rPr>
        <w:t>r</w:t>
      </w:r>
      <w:r>
        <w:rPr>
          <w:i/>
          <w:spacing w:val="1"/>
          <w:szCs w:val="22"/>
        </w:rPr>
        <w:t>t</w:t>
      </w:r>
      <w:r>
        <w:rPr>
          <w:i/>
          <w:spacing w:val="-2"/>
          <w:szCs w:val="22"/>
        </w:rPr>
        <w:t>r</w:t>
      </w:r>
      <w:r>
        <w:rPr>
          <w:i/>
          <w:spacing w:val="1"/>
          <w:szCs w:val="22"/>
        </w:rPr>
        <w:t>i</w:t>
      </w:r>
      <w:r>
        <w:rPr>
          <w:i/>
          <w:spacing w:val="-2"/>
          <w:szCs w:val="22"/>
        </w:rPr>
        <w:t>t</w:t>
      </w:r>
      <w:r>
        <w:rPr>
          <w:i/>
          <w:szCs w:val="22"/>
        </w:rPr>
        <w:t>ă a</w:t>
      </w:r>
      <w:r>
        <w:rPr>
          <w:i/>
          <w:spacing w:val="-3"/>
          <w:szCs w:val="22"/>
        </w:rPr>
        <w:t>x</w:t>
      </w:r>
      <w:r>
        <w:rPr>
          <w:i/>
          <w:spacing w:val="1"/>
          <w:szCs w:val="22"/>
        </w:rPr>
        <w:t>i</w:t>
      </w:r>
      <w:r>
        <w:rPr>
          <w:i/>
          <w:szCs w:val="22"/>
        </w:rPr>
        <w:t>a</w:t>
      </w:r>
      <w:r>
        <w:rPr>
          <w:i/>
          <w:spacing w:val="-2"/>
          <w:szCs w:val="22"/>
        </w:rPr>
        <w:t>l</w:t>
      </w:r>
      <w:r>
        <w:rPr>
          <w:i/>
          <w:szCs w:val="22"/>
        </w:rPr>
        <w:t xml:space="preserve">ă </w:t>
      </w:r>
    </w:p>
    <w:p w14:paraId="1C2C8045" w14:textId="77777777" w:rsidR="00C04CAD" w:rsidRDefault="00C04CAD">
      <w:pPr>
        <w:tabs>
          <w:tab w:val="clear" w:pos="567"/>
        </w:tabs>
        <w:kinsoku w:val="0"/>
        <w:overflowPunct w:val="0"/>
        <w:autoSpaceDE w:val="0"/>
        <w:autoSpaceDN w:val="0"/>
        <w:adjustRightInd w:val="0"/>
        <w:spacing w:line="240" w:lineRule="auto"/>
        <w:rPr>
          <w:i/>
          <w:szCs w:val="22"/>
        </w:rPr>
      </w:pPr>
    </w:p>
    <w:p w14:paraId="72418BAA" w14:textId="77777777" w:rsidR="00C04CAD" w:rsidRDefault="00060E34">
      <w:pPr>
        <w:tabs>
          <w:tab w:val="clear" w:pos="567"/>
        </w:tabs>
        <w:kinsoku w:val="0"/>
        <w:overflowPunct w:val="0"/>
        <w:autoSpaceDE w:val="0"/>
        <w:autoSpaceDN w:val="0"/>
        <w:adjustRightInd w:val="0"/>
        <w:spacing w:line="240" w:lineRule="auto"/>
        <w:rPr>
          <w:i/>
          <w:szCs w:val="22"/>
          <w:u w:val="single"/>
        </w:rPr>
      </w:pPr>
      <w:r>
        <w:rPr>
          <w:i/>
          <w:szCs w:val="22"/>
          <w:u w:val="single"/>
        </w:rPr>
        <w:t>Spond</w:t>
      </w:r>
      <w:r>
        <w:rPr>
          <w:i/>
          <w:spacing w:val="-2"/>
          <w:szCs w:val="22"/>
          <w:u w:val="single"/>
        </w:rPr>
        <w:t>i</w:t>
      </w:r>
      <w:r>
        <w:rPr>
          <w:i/>
          <w:spacing w:val="1"/>
          <w:szCs w:val="22"/>
          <w:u w:val="single"/>
        </w:rPr>
        <w:t>l</w:t>
      </w:r>
      <w:r>
        <w:rPr>
          <w:i/>
          <w:spacing w:val="-2"/>
          <w:szCs w:val="22"/>
          <w:u w:val="single"/>
        </w:rPr>
        <w:t>i</w:t>
      </w:r>
      <w:r>
        <w:rPr>
          <w:i/>
          <w:spacing w:val="1"/>
          <w:szCs w:val="22"/>
          <w:u w:val="single"/>
        </w:rPr>
        <w:t>t</w:t>
      </w:r>
      <w:r>
        <w:rPr>
          <w:i/>
          <w:szCs w:val="22"/>
          <w:u w:val="single"/>
        </w:rPr>
        <w:t>ă</w:t>
      </w:r>
      <w:r>
        <w:rPr>
          <w:i/>
          <w:spacing w:val="-1"/>
          <w:szCs w:val="22"/>
          <w:u w:val="single"/>
        </w:rPr>
        <w:t xml:space="preserve"> </w:t>
      </w:r>
      <w:r>
        <w:rPr>
          <w:i/>
          <w:spacing w:val="-3"/>
          <w:szCs w:val="22"/>
          <w:u w:val="single"/>
        </w:rPr>
        <w:t>a</w:t>
      </w:r>
      <w:r>
        <w:rPr>
          <w:i/>
          <w:szCs w:val="22"/>
          <w:u w:val="single"/>
        </w:rPr>
        <w:t>nc</w:t>
      </w:r>
      <w:r>
        <w:rPr>
          <w:i/>
          <w:spacing w:val="-3"/>
          <w:szCs w:val="22"/>
          <w:u w:val="single"/>
        </w:rPr>
        <w:t>h</w:t>
      </w:r>
      <w:r>
        <w:rPr>
          <w:i/>
          <w:spacing w:val="1"/>
          <w:szCs w:val="22"/>
          <w:u w:val="single"/>
        </w:rPr>
        <w:t>il</w:t>
      </w:r>
      <w:r>
        <w:rPr>
          <w:i/>
          <w:spacing w:val="-3"/>
          <w:szCs w:val="22"/>
          <w:u w:val="single"/>
        </w:rPr>
        <w:t>o</w:t>
      </w:r>
      <w:r>
        <w:rPr>
          <w:i/>
          <w:szCs w:val="22"/>
          <w:u w:val="single"/>
        </w:rPr>
        <w:t>zan</w:t>
      </w:r>
      <w:r>
        <w:rPr>
          <w:i/>
          <w:spacing w:val="-2"/>
          <w:szCs w:val="22"/>
          <w:u w:val="single"/>
        </w:rPr>
        <w:t>t</w:t>
      </w:r>
      <w:r>
        <w:rPr>
          <w:i/>
          <w:szCs w:val="22"/>
          <w:u w:val="single"/>
        </w:rPr>
        <w:t xml:space="preserve">ă </w:t>
      </w:r>
      <w:r>
        <w:rPr>
          <w:i/>
          <w:spacing w:val="-2"/>
          <w:szCs w:val="22"/>
          <w:u w:val="single"/>
        </w:rPr>
        <w:t>(</w:t>
      </w:r>
      <w:r>
        <w:rPr>
          <w:i/>
          <w:szCs w:val="22"/>
          <w:u w:val="single"/>
        </w:rPr>
        <w:t>S</w:t>
      </w:r>
      <w:r>
        <w:rPr>
          <w:i/>
          <w:spacing w:val="-1"/>
          <w:szCs w:val="22"/>
          <w:u w:val="single"/>
        </w:rPr>
        <w:t>A</w:t>
      </w:r>
      <w:r>
        <w:rPr>
          <w:i/>
          <w:szCs w:val="22"/>
          <w:u w:val="single"/>
        </w:rPr>
        <w:t>)</w:t>
      </w:r>
    </w:p>
    <w:p w14:paraId="5797E63A" w14:textId="77777777" w:rsidR="00C04CAD" w:rsidRDefault="00C04CAD">
      <w:pPr>
        <w:tabs>
          <w:tab w:val="clear" w:pos="567"/>
        </w:tabs>
        <w:kinsoku w:val="0"/>
        <w:overflowPunct w:val="0"/>
        <w:autoSpaceDE w:val="0"/>
        <w:autoSpaceDN w:val="0"/>
        <w:adjustRightInd w:val="0"/>
        <w:spacing w:line="240" w:lineRule="auto"/>
        <w:rPr>
          <w:szCs w:val="22"/>
        </w:rPr>
      </w:pPr>
    </w:p>
    <w:p w14:paraId="79682771"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două s</w:t>
      </w:r>
      <w:r>
        <w:rPr>
          <w:spacing w:val="1"/>
          <w:szCs w:val="22"/>
        </w:rPr>
        <w:t>t</w:t>
      </w:r>
      <w:r>
        <w:rPr>
          <w:szCs w:val="22"/>
        </w:rPr>
        <w:t>ud</w:t>
      </w:r>
      <w:r>
        <w:rPr>
          <w:spacing w:val="-2"/>
          <w:szCs w:val="22"/>
        </w:rPr>
        <w:t>i</w:t>
      </w:r>
      <w:r>
        <w:rPr>
          <w:szCs w:val="22"/>
        </w:rPr>
        <w:t>i</w:t>
      </w:r>
      <w:r>
        <w:rPr>
          <w:spacing w:val="1"/>
          <w:szCs w:val="22"/>
        </w:rPr>
        <w:t xml:space="preserv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du</w:t>
      </w:r>
      <w:r>
        <w:rPr>
          <w:spacing w:val="-3"/>
          <w:szCs w:val="22"/>
        </w:rPr>
        <w:t>b</w:t>
      </w:r>
      <w:r>
        <w:rPr>
          <w:spacing w:val="1"/>
          <w:szCs w:val="22"/>
        </w:rPr>
        <w:t>l</w:t>
      </w:r>
      <w:r>
        <w:rPr>
          <w:spacing w:val="-3"/>
          <w:szCs w:val="22"/>
        </w:rPr>
        <w:t>u</w:t>
      </w:r>
      <w:r>
        <w:rPr>
          <w:spacing w:val="-4"/>
          <w:szCs w:val="22"/>
        </w:rPr>
        <w:t>-</w:t>
      </w:r>
      <w:r>
        <w:rPr>
          <w:szCs w:val="22"/>
        </w:rPr>
        <w:t>orb, p</w:t>
      </w:r>
      <w:r>
        <w:rPr>
          <w:spacing w:val="1"/>
          <w:szCs w:val="22"/>
        </w:rPr>
        <w:t>l</w:t>
      </w:r>
      <w:r>
        <w:rPr>
          <w:szCs w:val="22"/>
        </w:rPr>
        <w:t>acebo</w:t>
      </w:r>
      <w:r>
        <w:rPr>
          <w:spacing w:val="-3"/>
          <w:szCs w:val="22"/>
        </w:rPr>
        <w:t xml:space="preserve"> </w:t>
      </w:r>
      <w:r>
        <w:rPr>
          <w:szCs w:val="22"/>
        </w:rPr>
        <w:t>co</w:t>
      </w:r>
      <w:r>
        <w:rPr>
          <w:spacing w:val="-3"/>
          <w:szCs w:val="22"/>
        </w:rPr>
        <w:t>n</w:t>
      </w:r>
      <w:r>
        <w:rPr>
          <w:spacing w:val="1"/>
          <w:szCs w:val="22"/>
        </w:rPr>
        <w:t>t</w:t>
      </w:r>
      <w:r>
        <w:rPr>
          <w:szCs w:val="22"/>
        </w:rPr>
        <w:t>r</w:t>
      </w:r>
      <w:r>
        <w:rPr>
          <w:spacing w:val="-3"/>
          <w:szCs w:val="22"/>
        </w:rPr>
        <w:t>o</w:t>
      </w:r>
      <w:r>
        <w:rPr>
          <w:spacing w:val="1"/>
          <w:szCs w:val="22"/>
        </w:rPr>
        <w:t>l</w:t>
      </w:r>
      <w:r>
        <w:rPr>
          <w:spacing w:val="-3"/>
          <w:szCs w:val="22"/>
        </w:rPr>
        <w:t>a</w:t>
      </w:r>
      <w:r>
        <w:rPr>
          <w:spacing w:val="1"/>
          <w:szCs w:val="22"/>
        </w:rPr>
        <w:t>t</w:t>
      </w:r>
      <w:r>
        <w:rPr>
          <w:szCs w:val="22"/>
        </w:rPr>
        <w:t xml:space="preserve">e, </w:t>
      </w:r>
      <w:r>
        <w:rPr>
          <w:spacing w:val="-3"/>
          <w:szCs w:val="22"/>
        </w:rPr>
        <w:t>c</w:t>
      </w:r>
      <w:r>
        <w:rPr>
          <w:szCs w:val="22"/>
        </w:rPr>
        <w:t>u</w:t>
      </w:r>
      <w:r>
        <w:rPr>
          <w:spacing w:val="-3"/>
          <w:szCs w:val="22"/>
        </w:rPr>
        <w:t xml:space="preserve"> </w:t>
      </w:r>
      <w:r>
        <w:rPr>
          <w:szCs w:val="22"/>
        </w:rPr>
        <w:t>o dur</w:t>
      </w:r>
      <w:r>
        <w:rPr>
          <w:spacing w:val="-3"/>
          <w:szCs w:val="22"/>
        </w:rPr>
        <w:t>a</w:t>
      </w:r>
      <w:r>
        <w:rPr>
          <w:spacing w:val="1"/>
          <w:szCs w:val="22"/>
        </w:rPr>
        <w:t>t</w:t>
      </w:r>
      <w:r>
        <w:rPr>
          <w:szCs w:val="22"/>
        </w:rPr>
        <w:t>ă</w:t>
      </w:r>
      <w:r>
        <w:rPr>
          <w:spacing w:val="-2"/>
          <w:szCs w:val="22"/>
        </w:rPr>
        <w:t xml:space="preserve"> </w:t>
      </w:r>
      <w:r>
        <w:rPr>
          <w:szCs w:val="22"/>
        </w:rPr>
        <w:t>de 24</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w:t>
      </w:r>
      <w:r>
        <w:rPr>
          <w:spacing w:val="-3"/>
          <w:szCs w:val="22"/>
        </w:rPr>
        <w:t xml:space="preserve"> </w:t>
      </w:r>
      <w:r>
        <w:rPr>
          <w:szCs w:val="22"/>
        </w:rPr>
        <w:t>au f</w:t>
      </w:r>
      <w:r>
        <w:rPr>
          <w:spacing w:val="-3"/>
          <w:szCs w:val="22"/>
        </w:rPr>
        <w:t>o</w:t>
      </w:r>
      <w:r>
        <w:rPr>
          <w:szCs w:val="22"/>
        </w:rPr>
        <w:t>st</w:t>
      </w:r>
      <w:r>
        <w:rPr>
          <w:spacing w:val="-2"/>
          <w:szCs w:val="22"/>
        </w:rPr>
        <w:t xml:space="preserve">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40 </w:t>
      </w:r>
      <w:r>
        <w:rPr>
          <w:spacing w:val="-2"/>
          <w:szCs w:val="22"/>
        </w:rPr>
        <w:t>m</w:t>
      </w:r>
      <w:r>
        <w:rPr>
          <w:szCs w:val="22"/>
        </w:rPr>
        <w:t>g</w:t>
      </w:r>
      <w:r>
        <w:rPr>
          <w:spacing w:val="-3"/>
          <w:szCs w:val="22"/>
        </w:rPr>
        <w:t xml:space="preserve"> </w:t>
      </w:r>
      <w:r>
        <w:rPr>
          <w:szCs w:val="22"/>
        </w:rPr>
        <w:t>d</w:t>
      </w:r>
      <w:r>
        <w:rPr>
          <w:spacing w:val="1"/>
          <w:szCs w:val="22"/>
        </w:rPr>
        <w:t>i</w:t>
      </w:r>
      <w:r>
        <w:rPr>
          <w:szCs w:val="22"/>
        </w:rPr>
        <w:t>n două</w:t>
      </w:r>
      <w:r>
        <w:rPr>
          <w:spacing w:val="-2"/>
          <w:szCs w:val="22"/>
        </w:rPr>
        <w:t xml:space="preserve"> </w:t>
      </w:r>
      <w:r>
        <w:rPr>
          <w:spacing w:val="1"/>
          <w:szCs w:val="22"/>
        </w:rPr>
        <w:t>î</w:t>
      </w:r>
      <w:r>
        <w:rPr>
          <w:szCs w:val="22"/>
        </w:rPr>
        <w:t>n</w:t>
      </w:r>
      <w:r>
        <w:rPr>
          <w:spacing w:val="-3"/>
          <w:szCs w:val="22"/>
        </w:rPr>
        <w:t xml:space="preserve"> </w:t>
      </w:r>
      <w:r>
        <w:rPr>
          <w:szCs w:val="22"/>
        </w:rPr>
        <w:t xml:space="preserve">două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393 p</w:t>
      </w:r>
      <w:r>
        <w:rPr>
          <w:spacing w:val="-3"/>
          <w:szCs w:val="22"/>
        </w:rPr>
        <w:t>a</w:t>
      </w:r>
      <w:r>
        <w:rPr>
          <w:szCs w:val="22"/>
        </w:rPr>
        <w:t>c</w:t>
      </w:r>
      <w:r>
        <w:rPr>
          <w:spacing w:val="-2"/>
          <w:szCs w:val="22"/>
        </w:rPr>
        <w:t>i</w:t>
      </w:r>
      <w:r>
        <w:rPr>
          <w:szCs w:val="22"/>
        </w:rPr>
        <w:t>e</w:t>
      </w:r>
      <w:r>
        <w:rPr>
          <w:spacing w:val="-3"/>
          <w:szCs w:val="22"/>
        </w:rPr>
        <w:t>n</w:t>
      </w:r>
      <w:r>
        <w:rPr>
          <w:spacing w:val="1"/>
          <w:szCs w:val="22"/>
        </w:rPr>
        <w:t>ţ</w:t>
      </w:r>
      <w:r>
        <w:rPr>
          <w:szCs w:val="22"/>
        </w:rPr>
        <w:t>i</w:t>
      </w:r>
      <w:r>
        <w:rPr>
          <w:spacing w:val="1"/>
          <w:szCs w:val="22"/>
        </w:rPr>
        <w:t xml:space="preserve"> </w:t>
      </w:r>
      <w:r>
        <w:rPr>
          <w:spacing w:val="-3"/>
          <w:szCs w:val="22"/>
        </w:rPr>
        <w:t>c</w:t>
      </w:r>
      <w:r>
        <w:rPr>
          <w:szCs w:val="22"/>
        </w:rPr>
        <w:t>u sp</w:t>
      </w:r>
      <w:r>
        <w:rPr>
          <w:spacing w:val="-3"/>
          <w:szCs w:val="22"/>
        </w:rPr>
        <w:t>o</w:t>
      </w:r>
      <w:r>
        <w:rPr>
          <w:szCs w:val="22"/>
        </w:rPr>
        <w:t>nd</w:t>
      </w:r>
      <w:r>
        <w:rPr>
          <w:spacing w:val="-2"/>
          <w:szCs w:val="22"/>
        </w:rPr>
        <w:t>i</w:t>
      </w:r>
      <w:r>
        <w:rPr>
          <w:spacing w:val="1"/>
          <w:szCs w:val="22"/>
        </w:rPr>
        <w:t>l</w:t>
      </w:r>
      <w:r>
        <w:rPr>
          <w:spacing w:val="-2"/>
          <w:szCs w:val="22"/>
        </w:rPr>
        <w:t>i</w:t>
      </w:r>
      <w:r>
        <w:rPr>
          <w:spacing w:val="1"/>
          <w:szCs w:val="22"/>
        </w:rPr>
        <w:t>t</w:t>
      </w:r>
      <w:r>
        <w:rPr>
          <w:szCs w:val="22"/>
        </w:rPr>
        <w:t xml:space="preserve">ă </w:t>
      </w:r>
      <w:r>
        <w:rPr>
          <w:spacing w:val="-3"/>
          <w:szCs w:val="22"/>
        </w:rPr>
        <w:t>a</w:t>
      </w:r>
      <w:r>
        <w:rPr>
          <w:szCs w:val="22"/>
        </w:rPr>
        <w:t>nc</w:t>
      </w:r>
      <w:r>
        <w:rPr>
          <w:spacing w:val="-3"/>
          <w:szCs w:val="22"/>
        </w:rPr>
        <w:t>h</w:t>
      </w:r>
      <w:r>
        <w:rPr>
          <w:spacing w:val="1"/>
          <w:szCs w:val="22"/>
        </w:rPr>
        <w:t>il</w:t>
      </w:r>
      <w:r>
        <w:rPr>
          <w:szCs w:val="22"/>
        </w:rPr>
        <w:t>o</w:t>
      </w:r>
      <w:r>
        <w:rPr>
          <w:spacing w:val="-3"/>
          <w:szCs w:val="22"/>
        </w:rPr>
        <w:t>z</w:t>
      </w:r>
      <w:r>
        <w:rPr>
          <w:szCs w:val="22"/>
        </w:rPr>
        <w:t>a</w:t>
      </w:r>
      <w:r>
        <w:rPr>
          <w:spacing w:val="-3"/>
          <w:szCs w:val="22"/>
        </w:rPr>
        <w:t>n</w:t>
      </w:r>
      <w:r>
        <w:rPr>
          <w:spacing w:val="-2"/>
          <w:szCs w:val="22"/>
        </w:rPr>
        <w:t>t</w:t>
      </w:r>
      <w:r>
        <w:rPr>
          <w:szCs w:val="22"/>
        </w:rPr>
        <w:t>ă a</w:t>
      </w:r>
      <w:r>
        <w:rPr>
          <w:spacing w:val="-3"/>
          <w:szCs w:val="22"/>
        </w:rPr>
        <w:t>c</w:t>
      </w:r>
      <w:r>
        <w:rPr>
          <w:spacing w:val="1"/>
          <w:szCs w:val="22"/>
        </w:rPr>
        <w:t>ti</w:t>
      </w:r>
      <w:r>
        <w:rPr>
          <w:spacing w:val="-3"/>
          <w:szCs w:val="22"/>
        </w:rPr>
        <w:t>v</w:t>
      </w:r>
      <w:r>
        <w:rPr>
          <w:szCs w:val="22"/>
        </w:rPr>
        <w:t>ă (</w:t>
      </w:r>
      <w:r>
        <w:rPr>
          <w:spacing w:val="-2"/>
          <w:szCs w:val="22"/>
        </w:rPr>
        <w:t>s</w:t>
      </w:r>
      <w:r>
        <w:rPr>
          <w:szCs w:val="22"/>
        </w:rPr>
        <w:t>co</w:t>
      </w:r>
      <w:r>
        <w:rPr>
          <w:spacing w:val="-2"/>
          <w:szCs w:val="22"/>
        </w:rPr>
        <w:t>r</w:t>
      </w:r>
      <w:r>
        <w:rPr>
          <w:szCs w:val="22"/>
        </w:rPr>
        <w:t xml:space="preserve">ul </w:t>
      </w:r>
      <w:r>
        <w:rPr>
          <w:spacing w:val="-4"/>
          <w:szCs w:val="22"/>
        </w:rPr>
        <w:t>m</w:t>
      </w:r>
      <w:r>
        <w:rPr>
          <w:szCs w:val="22"/>
        </w:rPr>
        <w:t>ed</w:t>
      </w:r>
      <w:r>
        <w:rPr>
          <w:spacing w:val="1"/>
          <w:szCs w:val="22"/>
        </w:rPr>
        <w:t>i</w:t>
      </w:r>
      <w:r>
        <w:rPr>
          <w:szCs w:val="22"/>
        </w:rPr>
        <w:t xml:space="preserve">u </w:t>
      </w:r>
      <w:r>
        <w:rPr>
          <w:spacing w:val="1"/>
          <w:szCs w:val="22"/>
        </w:rPr>
        <w:t>i</w:t>
      </w:r>
      <w:r>
        <w:rPr>
          <w:szCs w:val="22"/>
        </w:rPr>
        <w:t>n</w:t>
      </w:r>
      <w:r>
        <w:rPr>
          <w:spacing w:val="-2"/>
          <w:szCs w:val="22"/>
        </w:rPr>
        <w:t>i</w:t>
      </w:r>
      <w:r>
        <w:rPr>
          <w:spacing w:val="1"/>
          <w:szCs w:val="22"/>
        </w:rPr>
        <w:t>ţ</w:t>
      </w:r>
      <w:r>
        <w:rPr>
          <w:spacing w:val="-2"/>
          <w:szCs w:val="22"/>
        </w:rPr>
        <w:t>i</w:t>
      </w:r>
      <w:r>
        <w:rPr>
          <w:szCs w:val="22"/>
        </w:rPr>
        <w:t>al</w:t>
      </w:r>
      <w:r>
        <w:rPr>
          <w:spacing w:val="1"/>
          <w:szCs w:val="22"/>
        </w:rPr>
        <w:t xml:space="preserve"> </w:t>
      </w:r>
      <w:r>
        <w:rPr>
          <w:spacing w:val="-3"/>
          <w:szCs w:val="22"/>
        </w:rPr>
        <w:t>a</w:t>
      </w:r>
      <w:r>
        <w:rPr>
          <w:szCs w:val="22"/>
        </w:rPr>
        <w:t>l</w:t>
      </w:r>
      <w:r>
        <w:rPr>
          <w:spacing w:val="1"/>
          <w:szCs w:val="22"/>
        </w:rPr>
        <w:t xml:space="preserve"> </w:t>
      </w:r>
      <w:r>
        <w:rPr>
          <w:spacing w:val="-3"/>
          <w:szCs w:val="22"/>
        </w:rPr>
        <w:t>a</w:t>
      </w:r>
      <w:r>
        <w:rPr>
          <w:szCs w:val="22"/>
        </w:rPr>
        <w:t>c</w:t>
      </w:r>
      <w:r>
        <w:rPr>
          <w:spacing w:val="-2"/>
          <w:szCs w:val="22"/>
        </w:rPr>
        <w:t>t</w:t>
      </w:r>
      <w:r>
        <w:rPr>
          <w:spacing w:val="1"/>
          <w:szCs w:val="22"/>
        </w:rPr>
        <w:t>i</w:t>
      </w:r>
      <w:r>
        <w:rPr>
          <w:spacing w:val="-3"/>
          <w:szCs w:val="22"/>
        </w:rPr>
        <w:t>v</w:t>
      </w:r>
      <w:r>
        <w:rPr>
          <w:spacing w:val="1"/>
          <w:szCs w:val="22"/>
        </w:rPr>
        <w:t>it</w:t>
      </w:r>
      <w:r>
        <w:rPr>
          <w:spacing w:val="-3"/>
          <w:szCs w:val="22"/>
        </w:rPr>
        <w:t>ă</w:t>
      </w:r>
      <w:r>
        <w:rPr>
          <w:spacing w:val="1"/>
          <w:szCs w:val="22"/>
        </w:rPr>
        <w:t>ţ</w:t>
      </w:r>
      <w:r>
        <w:rPr>
          <w:spacing w:val="-2"/>
          <w:szCs w:val="22"/>
        </w:rPr>
        <w:t>i</w:t>
      </w:r>
      <w:r>
        <w:rPr>
          <w:szCs w:val="22"/>
        </w:rPr>
        <w:t>i</w:t>
      </w:r>
      <w:r>
        <w:rPr>
          <w:spacing w:val="1"/>
          <w:szCs w:val="22"/>
        </w:rPr>
        <w:t xml:space="preserve"> </w:t>
      </w:r>
      <w:r>
        <w:rPr>
          <w:spacing w:val="-3"/>
          <w:szCs w:val="22"/>
        </w:rPr>
        <w:t>b</w:t>
      </w:r>
      <w:r>
        <w:rPr>
          <w:szCs w:val="22"/>
        </w:rPr>
        <w:t>o</w:t>
      </w:r>
      <w:r>
        <w:rPr>
          <w:spacing w:val="1"/>
          <w:szCs w:val="22"/>
        </w:rPr>
        <w:t>l</w:t>
      </w:r>
      <w:r>
        <w:rPr>
          <w:spacing w:val="-2"/>
          <w:szCs w:val="22"/>
        </w:rPr>
        <w:t>i</w:t>
      </w:r>
      <w:r>
        <w:rPr>
          <w:szCs w:val="22"/>
        </w:rPr>
        <w:t>i</w:t>
      </w:r>
      <w:r>
        <w:rPr>
          <w:spacing w:val="1"/>
          <w:szCs w:val="22"/>
        </w:rPr>
        <w:t xml:space="preserve"> </w:t>
      </w:r>
      <w:r>
        <w:rPr>
          <w:szCs w:val="22"/>
        </w:rPr>
        <w:t>[</w:t>
      </w:r>
      <w:r>
        <w:rPr>
          <w:spacing w:val="-4"/>
          <w:szCs w:val="22"/>
        </w:rPr>
        <w:t>I</w:t>
      </w:r>
      <w:r>
        <w:rPr>
          <w:szCs w:val="22"/>
        </w:rPr>
        <w:t xml:space="preserve">ndex </w:t>
      </w:r>
      <w:r>
        <w:rPr>
          <w:spacing w:val="-1"/>
          <w:szCs w:val="22"/>
        </w:rPr>
        <w:t>B</w:t>
      </w:r>
      <w:r>
        <w:rPr>
          <w:szCs w:val="22"/>
        </w:rPr>
        <w:t>a</w:t>
      </w:r>
      <w:r>
        <w:rPr>
          <w:spacing w:val="-2"/>
          <w:szCs w:val="22"/>
        </w:rPr>
        <w:t>t</w:t>
      </w:r>
      <w:r>
        <w:rPr>
          <w:szCs w:val="22"/>
        </w:rPr>
        <w:t xml:space="preserve">h de </w:t>
      </w:r>
      <w:r>
        <w:rPr>
          <w:spacing w:val="-3"/>
          <w:szCs w:val="22"/>
        </w:rPr>
        <w:t>a</w:t>
      </w:r>
      <w:r>
        <w:rPr>
          <w:szCs w:val="22"/>
        </w:rPr>
        <w:t>c</w:t>
      </w:r>
      <w:r>
        <w:rPr>
          <w:spacing w:val="-2"/>
          <w:szCs w:val="22"/>
        </w:rPr>
        <w:t>t</w:t>
      </w:r>
      <w:r>
        <w:rPr>
          <w:spacing w:val="1"/>
          <w:szCs w:val="22"/>
        </w:rPr>
        <w:t>i</w:t>
      </w:r>
      <w:r>
        <w:rPr>
          <w:spacing w:val="-3"/>
          <w:szCs w:val="22"/>
        </w:rPr>
        <w:t>v</w:t>
      </w:r>
      <w:r>
        <w:rPr>
          <w:spacing w:val="1"/>
          <w:szCs w:val="22"/>
        </w:rPr>
        <w:t>it</w:t>
      </w:r>
      <w:r>
        <w:rPr>
          <w:spacing w:val="-3"/>
          <w:szCs w:val="22"/>
        </w:rPr>
        <w:t>a</w:t>
      </w:r>
      <w:r>
        <w:rPr>
          <w:spacing w:val="-2"/>
          <w:szCs w:val="22"/>
        </w:rPr>
        <w:t>t</w:t>
      </w:r>
      <w:r>
        <w:rPr>
          <w:szCs w:val="22"/>
        </w:rPr>
        <w:t>e a sp</w:t>
      </w:r>
      <w:r>
        <w:rPr>
          <w:spacing w:val="-3"/>
          <w:szCs w:val="22"/>
        </w:rPr>
        <w:t>o</w:t>
      </w:r>
      <w:r>
        <w:rPr>
          <w:szCs w:val="22"/>
        </w:rPr>
        <w:t>nd</w:t>
      </w:r>
      <w:r>
        <w:rPr>
          <w:spacing w:val="-2"/>
          <w:szCs w:val="22"/>
        </w:rPr>
        <w:t>i</w:t>
      </w:r>
      <w:r>
        <w:rPr>
          <w:spacing w:val="1"/>
          <w:szCs w:val="22"/>
        </w:rPr>
        <w:t>l</w:t>
      </w:r>
      <w:r>
        <w:rPr>
          <w:spacing w:val="-2"/>
          <w:szCs w:val="22"/>
        </w:rPr>
        <w:t>i</w:t>
      </w:r>
      <w:r>
        <w:rPr>
          <w:spacing w:val="1"/>
          <w:szCs w:val="22"/>
        </w:rPr>
        <w:t>t</w:t>
      </w:r>
      <w:r>
        <w:rPr>
          <w:spacing w:val="-3"/>
          <w:szCs w:val="22"/>
        </w:rPr>
        <w:t>e</w:t>
      </w:r>
      <w:r>
        <w:rPr>
          <w:szCs w:val="22"/>
        </w:rPr>
        <w:t>i</w:t>
      </w:r>
      <w:r>
        <w:rPr>
          <w:spacing w:val="1"/>
          <w:szCs w:val="22"/>
        </w:rPr>
        <w:t xml:space="preserve"> </w:t>
      </w:r>
      <w:r>
        <w:rPr>
          <w:szCs w:val="22"/>
        </w:rPr>
        <w:t>a</w:t>
      </w:r>
      <w:r>
        <w:rPr>
          <w:spacing w:val="-3"/>
          <w:szCs w:val="22"/>
        </w:rPr>
        <w:t>n</w:t>
      </w:r>
      <w:r>
        <w:rPr>
          <w:szCs w:val="22"/>
        </w:rPr>
        <w:t>ch</w:t>
      </w:r>
      <w:r>
        <w:rPr>
          <w:spacing w:val="-2"/>
          <w:szCs w:val="22"/>
        </w:rPr>
        <w:t>i</w:t>
      </w:r>
      <w:r>
        <w:rPr>
          <w:spacing w:val="1"/>
          <w:szCs w:val="22"/>
        </w:rPr>
        <w:t>l</w:t>
      </w:r>
      <w:r>
        <w:rPr>
          <w:szCs w:val="22"/>
        </w:rPr>
        <w:t>o</w:t>
      </w:r>
      <w:r>
        <w:rPr>
          <w:spacing w:val="-3"/>
          <w:szCs w:val="22"/>
        </w:rPr>
        <w:t>z</w:t>
      </w:r>
      <w:r>
        <w:rPr>
          <w:szCs w:val="22"/>
        </w:rPr>
        <w:t>an</w:t>
      </w:r>
      <w:r>
        <w:rPr>
          <w:spacing w:val="-2"/>
          <w:szCs w:val="22"/>
        </w:rPr>
        <w:t>t</w:t>
      </w:r>
      <w:r>
        <w:rPr>
          <w:szCs w:val="22"/>
        </w:rPr>
        <w:t>e</w:t>
      </w:r>
      <w:r>
        <w:rPr>
          <w:spacing w:val="-2"/>
          <w:szCs w:val="22"/>
        </w:rPr>
        <w:t xml:space="preserve"> </w:t>
      </w:r>
      <w:r>
        <w:rPr>
          <w:szCs w:val="22"/>
        </w:rPr>
        <w:t>(</w:t>
      </w:r>
      <w:r>
        <w:rPr>
          <w:spacing w:val="-1"/>
          <w:szCs w:val="22"/>
        </w:rPr>
        <w:t>BASD</w:t>
      </w:r>
      <w:r>
        <w:rPr>
          <w:spacing w:val="1"/>
          <w:szCs w:val="22"/>
        </w:rPr>
        <w:t>A</w:t>
      </w:r>
      <w:r>
        <w:rPr>
          <w:spacing w:val="-4"/>
          <w:szCs w:val="22"/>
        </w:rPr>
        <w:t>I</w:t>
      </w:r>
      <w:r>
        <w:rPr>
          <w:szCs w:val="22"/>
        </w:rPr>
        <w:t>)]</w:t>
      </w:r>
      <w:r>
        <w:rPr>
          <w:spacing w:val="1"/>
          <w:szCs w:val="22"/>
        </w:rPr>
        <w:t xml:space="preserve"> </w:t>
      </w:r>
      <w:r>
        <w:rPr>
          <w:szCs w:val="22"/>
        </w:rPr>
        <w:t>a f</w:t>
      </w:r>
      <w:r>
        <w:rPr>
          <w:spacing w:val="-3"/>
          <w:szCs w:val="22"/>
        </w:rPr>
        <w:t>o</w:t>
      </w:r>
      <w:r>
        <w:rPr>
          <w:szCs w:val="22"/>
        </w:rPr>
        <w:t xml:space="preserve">st de 6,3 </w:t>
      </w:r>
      <w:r>
        <w:rPr>
          <w:spacing w:val="-3"/>
          <w:szCs w:val="22"/>
        </w:rPr>
        <w:t>p</w:t>
      </w:r>
      <w:r>
        <w:rPr>
          <w:szCs w:val="22"/>
        </w:rPr>
        <w:t>en</w:t>
      </w:r>
      <w:r>
        <w:rPr>
          <w:spacing w:val="-2"/>
          <w:szCs w:val="22"/>
        </w:rPr>
        <w:t>t</w:t>
      </w:r>
      <w:r>
        <w:rPr>
          <w:szCs w:val="22"/>
        </w:rPr>
        <w:t xml:space="preserve">ru </w:t>
      </w:r>
      <w:r>
        <w:rPr>
          <w:spacing w:val="-2"/>
          <w:szCs w:val="22"/>
        </w:rPr>
        <w:t>t</w:t>
      </w:r>
      <w:r>
        <w:rPr>
          <w:szCs w:val="22"/>
        </w:rPr>
        <w:t>oa</w:t>
      </w:r>
      <w:r>
        <w:rPr>
          <w:spacing w:val="-2"/>
          <w:szCs w:val="22"/>
        </w:rPr>
        <w:t>t</w:t>
      </w:r>
      <w:r>
        <w:rPr>
          <w:szCs w:val="22"/>
        </w:rPr>
        <w:t xml:space="preserve">e </w:t>
      </w:r>
      <w:r>
        <w:rPr>
          <w:spacing w:val="-3"/>
          <w:szCs w:val="22"/>
        </w:rPr>
        <w:t>g</w:t>
      </w:r>
      <w:r>
        <w:rPr>
          <w:szCs w:val="22"/>
        </w:rPr>
        <w:t>rupu</w:t>
      </w:r>
      <w:r>
        <w:rPr>
          <w:spacing w:val="-2"/>
          <w:szCs w:val="22"/>
        </w:rPr>
        <w:t>ril</w:t>
      </w:r>
      <w:r>
        <w:rPr>
          <w:szCs w:val="22"/>
        </w:rPr>
        <w:t>e)</w:t>
      </w:r>
      <w:r>
        <w:rPr>
          <w:spacing w:val="1"/>
          <w:szCs w:val="22"/>
        </w:rPr>
        <w:t xml:space="preserve"> </w:t>
      </w:r>
      <w:r>
        <w:rPr>
          <w:szCs w:val="22"/>
        </w:rPr>
        <w:t>c</w:t>
      </w:r>
      <w:r>
        <w:rPr>
          <w:spacing w:val="-3"/>
          <w:szCs w:val="22"/>
        </w:rPr>
        <w:t>a</w:t>
      </w:r>
      <w:r>
        <w:rPr>
          <w:szCs w:val="22"/>
        </w:rPr>
        <w:t>re</w:t>
      </w:r>
      <w:r>
        <w:rPr>
          <w:spacing w:val="-2"/>
          <w:szCs w:val="22"/>
        </w:rPr>
        <w:t xml:space="preserve"> </w:t>
      </w:r>
      <w:r>
        <w:rPr>
          <w:szCs w:val="22"/>
        </w:rPr>
        <w:t>au a</w:t>
      </w:r>
      <w:r>
        <w:rPr>
          <w:spacing w:val="-3"/>
          <w:szCs w:val="22"/>
        </w:rPr>
        <w:t>v</w:t>
      </w:r>
      <w:r>
        <w:rPr>
          <w:szCs w:val="22"/>
        </w:rPr>
        <w:t>ut</w:t>
      </w:r>
      <w:r>
        <w:rPr>
          <w:spacing w:val="1"/>
          <w:szCs w:val="22"/>
        </w:rPr>
        <w:t xml:space="preserve"> </w:t>
      </w:r>
      <w:r>
        <w:rPr>
          <w:szCs w:val="22"/>
        </w:rPr>
        <w:t>un</w:t>
      </w:r>
      <w:r>
        <w:rPr>
          <w:spacing w:val="-3"/>
          <w:szCs w:val="22"/>
        </w:rPr>
        <w:t xml:space="preserve"> </w:t>
      </w:r>
      <w:r>
        <w:rPr>
          <w:szCs w:val="22"/>
        </w:rPr>
        <w:t>r</w:t>
      </w:r>
      <w:r>
        <w:rPr>
          <w:spacing w:val="-3"/>
          <w:szCs w:val="22"/>
        </w:rPr>
        <w:t>ă</w:t>
      </w:r>
      <w:r>
        <w:rPr>
          <w:szCs w:val="22"/>
        </w:rPr>
        <w:t>spuns</w:t>
      </w:r>
      <w:r>
        <w:rPr>
          <w:spacing w:val="-2"/>
          <w:szCs w:val="22"/>
        </w:rPr>
        <w:t xml:space="preserve"> </w:t>
      </w:r>
      <w:r>
        <w:rPr>
          <w:spacing w:val="-3"/>
          <w:szCs w:val="22"/>
        </w:rPr>
        <w:t>n</w:t>
      </w:r>
      <w:r>
        <w:rPr>
          <w:szCs w:val="22"/>
        </w:rPr>
        <w:t>eco</w:t>
      </w:r>
      <w:r>
        <w:rPr>
          <w:spacing w:val="-2"/>
          <w:szCs w:val="22"/>
        </w:rPr>
        <w:t>r</w:t>
      </w:r>
      <w:r>
        <w:rPr>
          <w:szCs w:val="22"/>
        </w:rPr>
        <w:t>espun</w:t>
      </w:r>
      <w:r>
        <w:rPr>
          <w:spacing w:val="-3"/>
          <w:szCs w:val="22"/>
        </w:rPr>
        <w:t>ză</w:t>
      </w:r>
      <w:r>
        <w:rPr>
          <w:spacing w:val="1"/>
          <w:szCs w:val="22"/>
        </w:rPr>
        <w:t>t</w:t>
      </w:r>
      <w:r>
        <w:rPr>
          <w:szCs w:val="22"/>
        </w:rPr>
        <w:t>or</w:t>
      </w:r>
      <w:r>
        <w:rPr>
          <w:spacing w:val="-2"/>
          <w:szCs w:val="22"/>
        </w:rPr>
        <w:t xml:space="preserve"> </w:t>
      </w:r>
      <w:r>
        <w:rPr>
          <w:spacing w:val="1"/>
          <w:szCs w:val="22"/>
        </w:rPr>
        <w:t>l</w:t>
      </w:r>
      <w:r>
        <w:rPr>
          <w:szCs w:val="22"/>
        </w:rPr>
        <w:t>a</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2"/>
          <w:szCs w:val="22"/>
        </w:rPr>
        <w:t>t</w:t>
      </w:r>
      <w:r>
        <w:rPr>
          <w:szCs w:val="22"/>
        </w:rPr>
        <w:t>ul</w:t>
      </w:r>
      <w:r>
        <w:rPr>
          <w:spacing w:val="1"/>
          <w:szCs w:val="22"/>
        </w:rPr>
        <w:t xml:space="preserve"> </w:t>
      </w:r>
      <w:r>
        <w:rPr>
          <w:szCs w:val="22"/>
        </w:rPr>
        <w:t>o</w:t>
      </w:r>
      <w:r>
        <w:rPr>
          <w:spacing w:val="-3"/>
          <w:szCs w:val="22"/>
        </w:rPr>
        <w:t>b</w:t>
      </w:r>
      <w:r>
        <w:rPr>
          <w:spacing w:val="1"/>
          <w:szCs w:val="22"/>
        </w:rPr>
        <w:t>i</w:t>
      </w:r>
      <w:r>
        <w:rPr>
          <w:szCs w:val="22"/>
        </w:rPr>
        <w:t>şn</w:t>
      </w:r>
      <w:r>
        <w:rPr>
          <w:spacing w:val="-3"/>
          <w:szCs w:val="22"/>
        </w:rPr>
        <w:t>u</w:t>
      </w:r>
      <w:r>
        <w:rPr>
          <w:spacing w:val="1"/>
          <w:szCs w:val="22"/>
        </w:rPr>
        <w:t>it</w:t>
      </w:r>
      <w:r>
        <w:rPr>
          <w:szCs w:val="22"/>
        </w:rPr>
        <w:t>.</w:t>
      </w:r>
      <w:r>
        <w:rPr>
          <w:spacing w:val="-3"/>
          <w:szCs w:val="22"/>
        </w:rPr>
        <w:t xml:space="preserve"> </w:t>
      </w:r>
      <w:r>
        <w:rPr>
          <w:szCs w:val="22"/>
        </w:rPr>
        <w:t>79 pac</w:t>
      </w:r>
      <w:r>
        <w:rPr>
          <w:spacing w:val="-2"/>
          <w:szCs w:val="22"/>
        </w:rPr>
        <w:t>i</w:t>
      </w:r>
      <w:r>
        <w:rPr>
          <w:szCs w:val="22"/>
        </w:rPr>
        <w:t>en</w:t>
      </w:r>
      <w:r>
        <w:rPr>
          <w:spacing w:val="-2"/>
          <w:szCs w:val="22"/>
        </w:rPr>
        <w:t>ţ</w:t>
      </w:r>
      <w:r>
        <w:rPr>
          <w:szCs w:val="22"/>
        </w:rPr>
        <w:t>i</w:t>
      </w:r>
      <w:r>
        <w:rPr>
          <w:spacing w:val="1"/>
          <w:szCs w:val="22"/>
        </w:rPr>
        <w:t xml:space="preserve"> </w:t>
      </w:r>
      <w:r>
        <w:rPr>
          <w:spacing w:val="-2"/>
          <w:szCs w:val="22"/>
        </w:rPr>
        <w:t>(</w:t>
      </w:r>
      <w:r>
        <w:rPr>
          <w:szCs w:val="22"/>
        </w:rPr>
        <w:t>20,</w:t>
      </w:r>
      <w:r>
        <w:rPr>
          <w:spacing w:val="-3"/>
          <w:szCs w:val="22"/>
        </w:rPr>
        <w:t>1</w:t>
      </w:r>
      <w:r>
        <w:rPr>
          <w:szCs w:val="22"/>
        </w:rPr>
        <w:t>%)</w:t>
      </w:r>
      <w:r>
        <w:rPr>
          <w:spacing w:val="1"/>
          <w:szCs w:val="22"/>
        </w:rPr>
        <w:t xml:space="preserve"> </w:t>
      </w:r>
      <w:r>
        <w:rPr>
          <w:spacing w:val="-3"/>
          <w:szCs w:val="22"/>
        </w:rPr>
        <w:t>a</w:t>
      </w:r>
      <w:r>
        <w:rPr>
          <w:szCs w:val="22"/>
        </w:rPr>
        <w:t>u f</w:t>
      </w:r>
      <w:r>
        <w:rPr>
          <w:spacing w:val="-3"/>
          <w:szCs w:val="22"/>
        </w:rPr>
        <w:t>o</w:t>
      </w:r>
      <w:r>
        <w:rPr>
          <w:szCs w:val="22"/>
        </w:rPr>
        <w:t>st</w:t>
      </w:r>
      <w:r>
        <w:rPr>
          <w:spacing w:val="-2"/>
          <w:szCs w:val="22"/>
        </w:rPr>
        <w:t xml:space="preserve"> </w:t>
      </w:r>
      <w:r>
        <w:rPr>
          <w:spacing w:val="1"/>
          <w:szCs w:val="22"/>
        </w:rPr>
        <w:t>t</w:t>
      </w:r>
      <w:r>
        <w:rPr>
          <w:spacing w:val="-2"/>
          <w:szCs w:val="22"/>
        </w:rPr>
        <w:t>r</w:t>
      </w:r>
      <w:r>
        <w:rPr>
          <w:spacing w:val="-3"/>
          <w:szCs w:val="22"/>
        </w:rPr>
        <w:t>a</w:t>
      </w:r>
      <w:r>
        <w:rPr>
          <w:spacing w:val="1"/>
          <w:szCs w:val="22"/>
        </w:rPr>
        <w:t>t</w:t>
      </w:r>
      <w:r>
        <w:rPr>
          <w:szCs w:val="22"/>
        </w:rPr>
        <w:t>a</w:t>
      </w:r>
      <w:r>
        <w:rPr>
          <w:spacing w:val="-2"/>
          <w:szCs w:val="22"/>
        </w:rPr>
        <w:t>ţ</w:t>
      </w:r>
      <w:r>
        <w:rPr>
          <w:szCs w:val="22"/>
        </w:rPr>
        <w:t>i</w:t>
      </w:r>
      <w:r>
        <w:rPr>
          <w:spacing w:val="1"/>
          <w:szCs w:val="22"/>
        </w:rPr>
        <w:t xml:space="preserve"> </w:t>
      </w:r>
      <w:r>
        <w:rPr>
          <w:szCs w:val="22"/>
        </w:rPr>
        <w:t>c</w:t>
      </w:r>
      <w:r>
        <w:rPr>
          <w:spacing w:val="-3"/>
          <w:szCs w:val="22"/>
        </w:rPr>
        <w:t>o</w:t>
      </w:r>
      <w:r>
        <w:rPr>
          <w:szCs w:val="22"/>
        </w:rPr>
        <w:t>nco</w:t>
      </w:r>
      <w:r>
        <w:rPr>
          <w:spacing w:val="-4"/>
          <w:szCs w:val="22"/>
        </w:rPr>
        <w:t>m</w:t>
      </w:r>
      <w:r>
        <w:rPr>
          <w:spacing w:val="1"/>
          <w:szCs w:val="22"/>
        </w:rPr>
        <w:t>it</w:t>
      </w:r>
      <w:r>
        <w:rPr>
          <w:szCs w:val="22"/>
        </w:rPr>
        <w:t>e</w:t>
      </w:r>
      <w:r>
        <w:rPr>
          <w:spacing w:val="-3"/>
          <w:szCs w:val="22"/>
        </w:rPr>
        <w:t>n</w:t>
      </w:r>
      <w:r>
        <w:rPr>
          <w:szCs w:val="22"/>
        </w:rPr>
        <w:t>t</w:t>
      </w:r>
      <w:r>
        <w:rPr>
          <w:spacing w:val="1"/>
          <w:szCs w:val="22"/>
        </w:rPr>
        <w:t xml:space="preserve"> </w:t>
      </w:r>
      <w:r>
        <w:rPr>
          <w:szCs w:val="22"/>
        </w:rPr>
        <w:t xml:space="preserve">cu </w:t>
      </w:r>
      <w:r>
        <w:rPr>
          <w:spacing w:val="-4"/>
          <w:szCs w:val="22"/>
        </w:rPr>
        <w:t>m</w:t>
      </w:r>
      <w:r>
        <w:rPr>
          <w:szCs w:val="22"/>
        </w:rPr>
        <w:t>ed</w:t>
      </w:r>
      <w:r>
        <w:rPr>
          <w:spacing w:val="1"/>
          <w:szCs w:val="22"/>
        </w:rPr>
        <w:t>i</w:t>
      </w:r>
      <w:r>
        <w:rPr>
          <w:spacing w:val="-3"/>
          <w:szCs w:val="22"/>
        </w:rPr>
        <w:t>ca</w:t>
      </w:r>
      <w:r>
        <w:rPr>
          <w:spacing w:val="-4"/>
          <w:szCs w:val="22"/>
        </w:rPr>
        <w:t>m</w:t>
      </w:r>
      <w:r>
        <w:rPr>
          <w:szCs w:val="22"/>
        </w:rPr>
        <w:t>en</w:t>
      </w:r>
      <w:r>
        <w:rPr>
          <w:spacing w:val="1"/>
          <w:szCs w:val="22"/>
        </w:rPr>
        <w:t>t</w:t>
      </w:r>
      <w:r>
        <w:rPr>
          <w:szCs w:val="22"/>
        </w:rPr>
        <w:t>e an</w:t>
      </w:r>
      <w:r>
        <w:rPr>
          <w:spacing w:val="-2"/>
          <w:szCs w:val="22"/>
        </w:rPr>
        <w:t>t</w:t>
      </w:r>
      <w:r>
        <w:rPr>
          <w:spacing w:val="1"/>
          <w:szCs w:val="22"/>
        </w:rPr>
        <w:t>i</w:t>
      </w:r>
      <w:r>
        <w:rPr>
          <w:szCs w:val="22"/>
        </w:rPr>
        <w:t>r</w:t>
      </w:r>
      <w:r>
        <w:rPr>
          <w:spacing w:val="-3"/>
          <w:szCs w:val="22"/>
        </w:rPr>
        <w:t>e</w:t>
      </w:r>
      <w:r>
        <w:rPr>
          <w:szCs w:val="22"/>
        </w:rPr>
        <w:t>u</w:t>
      </w:r>
      <w:r>
        <w:rPr>
          <w:spacing w:val="-4"/>
          <w:szCs w:val="22"/>
        </w:rPr>
        <w:t>m</w:t>
      </w:r>
      <w:r>
        <w:rPr>
          <w:szCs w:val="22"/>
        </w:rPr>
        <w:t>a</w:t>
      </w:r>
      <w:r>
        <w:rPr>
          <w:spacing w:val="1"/>
          <w:szCs w:val="22"/>
        </w:rPr>
        <w:t>ti</w:t>
      </w:r>
      <w:r>
        <w:rPr>
          <w:szCs w:val="22"/>
        </w:rPr>
        <w:t xml:space="preserve">ce </w:t>
      </w:r>
      <w:r>
        <w:rPr>
          <w:spacing w:val="-4"/>
          <w:szCs w:val="22"/>
        </w:rPr>
        <w:t>m</w:t>
      </w:r>
      <w:r>
        <w:rPr>
          <w:szCs w:val="22"/>
        </w:rPr>
        <w:t>od</w:t>
      </w:r>
      <w:r>
        <w:rPr>
          <w:spacing w:val="1"/>
          <w:szCs w:val="22"/>
        </w:rPr>
        <w:t>i</w:t>
      </w:r>
      <w:r>
        <w:rPr>
          <w:spacing w:val="-2"/>
          <w:szCs w:val="22"/>
        </w:rPr>
        <w:t>fi</w:t>
      </w:r>
      <w:r>
        <w:rPr>
          <w:szCs w:val="22"/>
        </w:rPr>
        <w:t>ca</w:t>
      </w:r>
      <w:r>
        <w:rPr>
          <w:spacing w:val="1"/>
          <w:szCs w:val="22"/>
        </w:rPr>
        <w:t>t</w:t>
      </w:r>
      <w:r>
        <w:rPr>
          <w:spacing w:val="-3"/>
          <w:szCs w:val="22"/>
        </w:rPr>
        <w:t>o</w:t>
      </w:r>
      <w:r>
        <w:rPr>
          <w:szCs w:val="22"/>
        </w:rPr>
        <w:t>are</w:t>
      </w:r>
      <w:r>
        <w:rPr>
          <w:spacing w:val="-2"/>
          <w:szCs w:val="22"/>
        </w:rPr>
        <w:t xml:space="preserve"> </w:t>
      </w:r>
      <w:r>
        <w:rPr>
          <w:szCs w:val="22"/>
        </w:rPr>
        <w:t>de b</w:t>
      </w:r>
      <w:r>
        <w:rPr>
          <w:spacing w:val="-3"/>
          <w:szCs w:val="22"/>
        </w:rPr>
        <w:t>o</w:t>
      </w:r>
      <w:r>
        <w:rPr>
          <w:szCs w:val="22"/>
        </w:rPr>
        <w:t>a</w:t>
      </w:r>
      <w:r>
        <w:rPr>
          <w:spacing w:val="-2"/>
          <w:szCs w:val="22"/>
        </w:rPr>
        <w:t>l</w:t>
      </w:r>
      <w:r>
        <w:rPr>
          <w:szCs w:val="22"/>
        </w:rPr>
        <w:t>ă şi 37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(9,</w:t>
      </w:r>
      <w:r>
        <w:rPr>
          <w:spacing w:val="-3"/>
          <w:szCs w:val="22"/>
        </w:rPr>
        <w:t>4</w:t>
      </w:r>
      <w:r>
        <w:rPr>
          <w:szCs w:val="22"/>
        </w:rPr>
        <w:t>%)</w:t>
      </w:r>
      <w:r>
        <w:rPr>
          <w:spacing w:val="-2"/>
          <w:szCs w:val="22"/>
        </w:rPr>
        <w:t xml:space="preserve"> </w:t>
      </w:r>
      <w:r>
        <w:rPr>
          <w:szCs w:val="22"/>
        </w:rPr>
        <w:t xml:space="preserve">au </w:t>
      </w:r>
      <w:r>
        <w:rPr>
          <w:spacing w:val="-2"/>
          <w:szCs w:val="22"/>
        </w:rPr>
        <w:t>f</w:t>
      </w:r>
      <w:r>
        <w:rPr>
          <w:szCs w:val="22"/>
        </w:rPr>
        <w:t>ost</w:t>
      </w:r>
      <w:r>
        <w:rPr>
          <w:spacing w:val="-2"/>
          <w:szCs w:val="22"/>
        </w:rPr>
        <w:t xml:space="preserve"> t</w:t>
      </w:r>
      <w:r>
        <w:rPr>
          <w:szCs w:val="22"/>
        </w:rPr>
        <w:t>ra</w:t>
      </w:r>
      <w:r>
        <w:rPr>
          <w:spacing w:val="-2"/>
          <w:szCs w:val="22"/>
        </w:rPr>
        <w:t>t</w:t>
      </w:r>
      <w:r>
        <w:rPr>
          <w:szCs w:val="22"/>
        </w:rPr>
        <w:t>a</w:t>
      </w:r>
      <w:r>
        <w:rPr>
          <w:spacing w:val="-2"/>
          <w:szCs w:val="22"/>
        </w:rPr>
        <w:t>ţ</w:t>
      </w:r>
      <w:r>
        <w:rPr>
          <w:szCs w:val="22"/>
        </w:rPr>
        <w:t>i</w:t>
      </w:r>
      <w:r>
        <w:rPr>
          <w:spacing w:val="1"/>
          <w:szCs w:val="22"/>
        </w:rPr>
        <w:t xml:space="preserve"> </w:t>
      </w:r>
      <w:r>
        <w:rPr>
          <w:szCs w:val="22"/>
        </w:rPr>
        <w:t xml:space="preserve">cu </w:t>
      </w:r>
      <w:r>
        <w:rPr>
          <w:spacing w:val="-3"/>
          <w:szCs w:val="22"/>
        </w:rPr>
        <w:t>g</w:t>
      </w:r>
      <w:r>
        <w:rPr>
          <w:spacing w:val="1"/>
          <w:szCs w:val="22"/>
        </w:rPr>
        <w:t>l</w:t>
      </w:r>
      <w:r>
        <w:rPr>
          <w:szCs w:val="22"/>
        </w:rPr>
        <w:t>u</w:t>
      </w:r>
      <w:r>
        <w:rPr>
          <w:spacing w:val="-3"/>
          <w:szCs w:val="22"/>
        </w:rPr>
        <w:t>c</w:t>
      </w:r>
      <w:r>
        <w:rPr>
          <w:szCs w:val="22"/>
        </w:rPr>
        <w:t>oc</w:t>
      </w:r>
      <w:r>
        <w:rPr>
          <w:spacing w:val="-3"/>
          <w:szCs w:val="22"/>
        </w:rPr>
        <w:t>o</w:t>
      </w:r>
      <w:r>
        <w:rPr>
          <w:szCs w:val="22"/>
        </w:rPr>
        <w:t>r</w:t>
      </w:r>
      <w:r>
        <w:rPr>
          <w:spacing w:val="-2"/>
          <w:szCs w:val="22"/>
        </w:rPr>
        <w:t>t</w:t>
      </w:r>
      <w:r>
        <w:rPr>
          <w:spacing w:val="1"/>
          <w:szCs w:val="22"/>
        </w:rPr>
        <w:t>i</w:t>
      </w:r>
      <w:r>
        <w:rPr>
          <w:szCs w:val="22"/>
        </w:rPr>
        <w:t>c</w:t>
      </w:r>
      <w:r>
        <w:rPr>
          <w:spacing w:val="-3"/>
          <w:szCs w:val="22"/>
        </w:rPr>
        <w:t>o</w:t>
      </w:r>
      <w:r>
        <w:rPr>
          <w:spacing w:val="1"/>
          <w:szCs w:val="22"/>
        </w:rPr>
        <w:t>i</w:t>
      </w:r>
      <w:r>
        <w:rPr>
          <w:spacing w:val="-3"/>
          <w:szCs w:val="22"/>
        </w:rPr>
        <w:t>z</w:t>
      </w:r>
      <w:r>
        <w:rPr>
          <w:spacing w:val="1"/>
          <w:szCs w:val="22"/>
        </w:rPr>
        <w:t>i</w:t>
      </w:r>
      <w:r>
        <w:rPr>
          <w:szCs w:val="22"/>
        </w:rPr>
        <w:t xml:space="preserve">. </w:t>
      </w:r>
      <w:r>
        <w:rPr>
          <w:spacing w:val="-1"/>
          <w:szCs w:val="22"/>
        </w:rPr>
        <w:t>P</w:t>
      </w:r>
      <w:r>
        <w:rPr>
          <w:spacing w:val="-3"/>
          <w:szCs w:val="22"/>
        </w:rPr>
        <w:t>e</w:t>
      </w:r>
      <w:r>
        <w:rPr>
          <w:szCs w:val="22"/>
        </w:rPr>
        <w:t>r</w:t>
      </w:r>
      <w:r>
        <w:rPr>
          <w:spacing w:val="1"/>
          <w:szCs w:val="22"/>
        </w:rPr>
        <w:t>i</w:t>
      </w:r>
      <w:r>
        <w:rPr>
          <w:szCs w:val="22"/>
        </w:rPr>
        <w:t>o</w:t>
      </w:r>
      <w:r>
        <w:rPr>
          <w:spacing w:val="-3"/>
          <w:szCs w:val="22"/>
        </w:rPr>
        <w:t>a</w:t>
      </w:r>
      <w:r>
        <w:rPr>
          <w:szCs w:val="22"/>
        </w:rPr>
        <w:t xml:space="preserve">da </w:t>
      </w:r>
      <w:r>
        <w:rPr>
          <w:spacing w:val="-3"/>
          <w:szCs w:val="22"/>
        </w:rPr>
        <w:t>d</w:t>
      </w:r>
      <w:r>
        <w:rPr>
          <w:szCs w:val="22"/>
        </w:rPr>
        <w:t>e s</w:t>
      </w:r>
      <w:r>
        <w:rPr>
          <w:spacing w:val="-2"/>
          <w:szCs w:val="22"/>
        </w:rPr>
        <w:t>t</w:t>
      </w:r>
      <w:r>
        <w:rPr>
          <w:szCs w:val="22"/>
        </w:rPr>
        <w:t>ud</w:t>
      </w:r>
      <w:r>
        <w:rPr>
          <w:spacing w:val="1"/>
          <w:szCs w:val="22"/>
        </w:rPr>
        <w:t>i</w:t>
      </w:r>
      <w:r>
        <w:rPr>
          <w:szCs w:val="22"/>
        </w:rPr>
        <w:t>u</w:t>
      </w:r>
      <w:r>
        <w:rPr>
          <w:spacing w:val="-3"/>
          <w:szCs w:val="22"/>
        </w:rPr>
        <w:t xml:space="preserve"> </w:t>
      </w:r>
      <w:r>
        <w:rPr>
          <w:szCs w:val="22"/>
        </w:rPr>
        <w:t>orb</w:t>
      </w:r>
      <w:r>
        <w:rPr>
          <w:spacing w:val="-3"/>
          <w:szCs w:val="22"/>
        </w:rPr>
        <w:t xml:space="preserve"> </w:t>
      </w:r>
      <w:r>
        <w:rPr>
          <w:szCs w:val="22"/>
        </w:rPr>
        <w:t>a f</w:t>
      </w:r>
      <w:r>
        <w:rPr>
          <w:spacing w:val="-3"/>
          <w:szCs w:val="22"/>
        </w:rPr>
        <w:t>o</w:t>
      </w:r>
      <w:r>
        <w:rPr>
          <w:szCs w:val="22"/>
        </w:rPr>
        <w:t>st</w:t>
      </w:r>
      <w:r>
        <w:rPr>
          <w:spacing w:val="-2"/>
          <w:szCs w:val="22"/>
        </w:rPr>
        <w:t xml:space="preserve"> </w:t>
      </w:r>
      <w:r>
        <w:rPr>
          <w:spacing w:val="-3"/>
          <w:szCs w:val="22"/>
        </w:rPr>
        <w:t>u</w:t>
      </w:r>
      <w:r>
        <w:rPr>
          <w:szCs w:val="22"/>
        </w:rPr>
        <w:t>r</w:t>
      </w:r>
      <w:r>
        <w:rPr>
          <w:spacing w:val="-4"/>
          <w:szCs w:val="22"/>
        </w:rPr>
        <w:t>m</w:t>
      </w:r>
      <w:r>
        <w:rPr>
          <w:szCs w:val="22"/>
        </w:rPr>
        <w:t>a</w:t>
      </w:r>
      <w:r>
        <w:rPr>
          <w:spacing w:val="1"/>
          <w:szCs w:val="22"/>
        </w:rPr>
        <w:t>t</w:t>
      </w:r>
      <w:r>
        <w:rPr>
          <w:szCs w:val="22"/>
        </w:rPr>
        <w:t>ă de p</w:t>
      </w:r>
      <w:r>
        <w:rPr>
          <w:spacing w:val="-3"/>
          <w:szCs w:val="22"/>
        </w:rPr>
        <w:t>e</w:t>
      </w:r>
      <w:r>
        <w:rPr>
          <w:szCs w:val="22"/>
        </w:rPr>
        <w:t>r</w:t>
      </w:r>
      <w:r>
        <w:rPr>
          <w:spacing w:val="-2"/>
          <w:szCs w:val="22"/>
        </w:rPr>
        <w:t>i</w:t>
      </w:r>
      <w:r>
        <w:rPr>
          <w:szCs w:val="22"/>
        </w:rPr>
        <w:t>oada de s</w:t>
      </w:r>
      <w:r>
        <w:rPr>
          <w:spacing w:val="-2"/>
          <w:szCs w:val="22"/>
        </w:rPr>
        <w:t>t</w:t>
      </w:r>
      <w:r>
        <w:rPr>
          <w:szCs w:val="22"/>
        </w:rPr>
        <w:t>ud</w:t>
      </w:r>
      <w:r>
        <w:rPr>
          <w:spacing w:val="1"/>
          <w:szCs w:val="22"/>
        </w:rPr>
        <w:t>i</w:t>
      </w:r>
      <w:r>
        <w:rPr>
          <w:szCs w:val="22"/>
        </w:rPr>
        <w:t>u</w:t>
      </w:r>
      <w:r>
        <w:rPr>
          <w:spacing w:val="-3"/>
          <w:szCs w:val="22"/>
        </w:rPr>
        <w:t xml:space="preserve"> </w:t>
      </w:r>
      <w:r>
        <w:rPr>
          <w:szCs w:val="22"/>
        </w:rPr>
        <w:t>de</w:t>
      </w:r>
      <w:r>
        <w:rPr>
          <w:spacing w:val="-2"/>
          <w:szCs w:val="22"/>
        </w:rPr>
        <w:t>s</w:t>
      </w:r>
      <w:r>
        <w:rPr>
          <w:szCs w:val="22"/>
        </w:rPr>
        <w:t>ch</w:t>
      </w:r>
      <w:r>
        <w:rPr>
          <w:spacing w:val="-2"/>
          <w:szCs w:val="22"/>
        </w:rPr>
        <w:t>i</w:t>
      </w:r>
      <w:r>
        <w:rPr>
          <w:szCs w:val="22"/>
        </w:rPr>
        <w:t xml:space="preserve">s, </w:t>
      </w:r>
      <w:r>
        <w:rPr>
          <w:spacing w:val="-2"/>
          <w:szCs w:val="22"/>
        </w:rPr>
        <w:t>t</w:t>
      </w:r>
      <w:r>
        <w:rPr>
          <w:spacing w:val="1"/>
          <w:szCs w:val="22"/>
        </w:rPr>
        <w:t>i</w:t>
      </w:r>
      <w:r>
        <w:rPr>
          <w:spacing w:val="-4"/>
          <w:szCs w:val="22"/>
        </w:rPr>
        <w:t>m</w:t>
      </w:r>
      <w:r>
        <w:rPr>
          <w:szCs w:val="22"/>
        </w:rPr>
        <w:t xml:space="preserve">p </w:t>
      </w:r>
      <w:r>
        <w:rPr>
          <w:spacing w:val="1"/>
          <w:szCs w:val="22"/>
        </w:rPr>
        <w:t>î</w:t>
      </w:r>
      <w:r>
        <w:rPr>
          <w:szCs w:val="22"/>
        </w:rPr>
        <w:t xml:space="preserve">n </w:t>
      </w:r>
      <w:r>
        <w:rPr>
          <w:spacing w:val="-2"/>
          <w:szCs w:val="22"/>
        </w:rPr>
        <w:t>c</w:t>
      </w:r>
      <w:r>
        <w:rPr>
          <w:szCs w:val="22"/>
        </w:rPr>
        <w:t xml:space="preserve">are </w:t>
      </w:r>
      <w:r>
        <w:rPr>
          <w:spacing w:val="-3"/>
          <w:szCs w:val="22"/>
        </w:rPr>
        <w:t>p</w:t>
      </w:r>
      <w:r>
        <w:rPr>
          <w:szCs w:val="22"/>
        </w:rPr>
        <w:t>ac</w:t>
      </w:r>
      <w:r>
        <w:rPr>
          <w:spacing w:val="-2"/>
          <w:szCs w:val="22"/>
        </w:rPr>
        <w:t>i</w:t>
      </w:r>
      <w:r>
        <w:rPr>
          <w:szCs w:val="22"/>
        </w:rPr>
        <w:t>en</w:t>
      </w:r>
      <w:r>
        <w:rPr>
          <w:spacing w:val="-2"/>
          <w:szCs w:val="22"/>
        </w:rPr>
        <w:t>ţi</w:t>
      </w:r>
      <w:r>
        <w:rPr>
          <w:szCs w:val="22"/>
        </w:rPr>
        <w:t>i</w:t>
      </w:r>
      <w:r>
        <w:rPr>
          <w:spacing w:val="1"/>
          <w:szCs w:val="22"/>
        </w:rPr>
        <w:t xml:space="preserve"> </w:t>
      </w:r>
      <w:r>
        <w:rPr>
          <w:szCs w:val="22"/>
        </w:rPr>
        <w:t xml:space="preserve">au </w:t>
      </w:r>
      <w:r>
        <w:rPr>
          <w:spacing w:val="-3"/>
          <w:szCs w:val="22"/>
        </w:rPr>
        <w:t>p</w:t>
      </w:r>
      <w:r>
        <w:rPr>
          <w:szCs w:val="22"/>
        </w:rPr>
        <w:t>r</w:t>
      </w:r>
      <w:r>
        <w:rPr>
          <w:spacing w:val="1"/>
          <w:szCs w:val="22"/>
        </w:rPr>
        <w:t>i</w:t>
      </w:r>
      <w:r>
        <w:rPr>
          <w:spacing w:val="-4"/>
          <w:szCs w:val="22"/>
        </w:rPr>
        <w:t>m</w:t>
      </w:r>
      <w:r>
        <w:rPr>
          <w:spacing w:val="1"/>
          <w:szCs w:val="22"/>
        </w:rPr>
        <w:t>i</w:t>
      </w:r>
      <w:r>
        <w:rPr>
          <w:szCs w:val="22"/>
        </w:rPr>
        <w:t>t</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4"/>
          <w:szCs w:val="22"/>
        </w:rPr>
        <w:t>m</w:t>
      </w:r>
      <w:r>
        <w:rPr>
          <w:szCs w:val="22"/>
        </w:rPr>
        <w:t>ent</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40 </w:t>
      </w:r>
      <w:r>
        <w:rPr>
          <w:spacing w:val="-4"/>
          <w:szCs w:val="22"/>
        </w:rPr>
        <w:t>m</w:t>
      </w:r>
      <w:r>
        <w:rPr>
          <w:szCs w:val="22"/>
        </w:rPr>
        <w:t>g</w:t>
      </w:r>
      <w:r>
        <w:rPr>
          <w:spacing w:val="-3"/>
          <w:szCs w:val="22"/>
        </w:rPr>
        <w:t xml:space="preserve"> </w:t>
      </w:r>
      <w:r>
        <w:rPr>
          <w:szCs w:val="22"/>
        </w:rPr>
        <w:t>a</w:t>
      </w:r>
      <w:r>
        <w:rPr>
          <w:spacing w:val="2"/>
          <w:szCs w:val="22"/>
        </w:rPr>
        <w:t>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1"/>
          <w:szCs w:val="22"/>
        </w:rPr>
        <w:t xml:space="preserve"> </w:t>
      </w:r>
      <w:r>
        <w:rPr>
          <w:spacing w:val="-2"/>
          <w:szCs w:val="22"/>
        </w:rPr>
        <w:t>s</w:t>
      </w:r>
      <w:r>
        <w:rPr>
          <w:szCs w:val="22"/>
        </w:rPr>
        <w:t>ubc</w:t>
      </w:r>
      <w:r>
        <w:rPr>
          <w:spacing w:val="-3"/>
          <w:szCs w:val="22"/>
        </w:rPr>
        <w:t>u</w:t>
      </w:r>
      <w:r>
        <w:rPr>
          <w:spacing w:val="1"/>
          <w:szCs w:val="22"/>
        </w:rPr>
        <w:t>t</w:t>
      </w:r>
      <w:r>
        <w:rPr>
          <w:szCs w:val="22"/>
        </w:rPr>
        <w:t>a</w:t>
      </w:r>
      <w:r>
        <w:rPr>
          <w:spacing w:val="-3"/>
          <w:szCs w:val="22"/>
        </w:rPr>
        <w:t>n</w:t>
      </w:r>
      <w:r>
        <w:rPr>
          <w:szCs w:val="22"/>
        </w:rPr>
        <w:t>at d</w:t>
      </w:r>
      <w:r>
        <w:rPr>
          <w:spacing w:val="1"/>
          <w:szCs w:val="22"/>
        </w:rPr>
        <w:t>i</w:t>
      </w:r>
      <w:r>
        <w:rPr>
          <w:szCs w:val="22"/>
        </w:rPr>
        <w:t>n do</w:t>
      </w:r>
      <w:r>
        <w:rPr>
          <w:spacing w:val="-3"/>
          <w:szCs w:val="22"/>
        </w:rPr>
        <w:t>u</w:t>
      </w:r>
      <w:r>
        <w:rPr>
          <w:szCs w:val="22"/>
        </w:rPr>
        <w:t xml:space="preserve">ă </w:t>
      </w:r>
      <w:r>
        <w:rPr>
          <w:spacing w:val="-2"/>
          <w:szCs w:val="22"/>
        </w:rPr>
        <w:t>î</w:t>
      </w:r>
      <w:r>
        <w:rPr>
          <w:szCs w:val="22"/>
        </w:rPr>
        <w:t>n 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w:t>
      </w:r>
      <w:r>
        <w:rPr>
          <w:spacing w:val="-2"/>
          <w:szCs w:val="22"/>
        </w:rPr>
        <w:t xml:space="preserve"> </w:t>
      </w:r>
      <w:r>
        <w:rPr>
          <w:szCs w:val="22"/>
        </w:rPr>
        <w:t>pen</w:t>
      </w:r>
      <w:r>
        <w:rPr>
          <w:spacing w:val="-2"/>
          <w:szCs w:val="22"/>
        </w:rPr>
        <w:t>t</w:t>
      </w:r>
      <w:r>
        <w:rPr>
          <w:szCs w:val="22"/>
        </w:rPr>
        <w:t xml:space="preserve">ru </w:t>
      </w:r>
      <w:r>
        <w:rPr>
          <w:spacing w:val="-2"/>
          <w:szCs w:val="22"/>
        </w:rPr>
        <w:t>î</w:t>
      </w:r>
      <w:r>
        <w:rPr>
          <w:szCs w:val="22"/>
        </w:rPr>
        <w:t>ncă</w:t>
      </w:r>
      <w:r>
        <w:rPr>
          <w:spacing w:val="-2"/>
          <w:szCs w:val="22"/>
        </w:rPr>
        <w:t xml:space="preserve"> </w:t>
      </w:r>
      <w:r>
        <w:rPr>
          <w:szCs w:val="22"/>
        </w:rPr>
        <w:t>28 s</w:t>
      </w:r>
      <w:r>
        <w:rPr>
          <w:spacing w:val="-3"/>
          <w:szCs w:val="22"/>
        </w:rPr>
        <w:t>ă</w:t>
      </w:r>
      <w:r>
        <w:rPr>
          <w:szCs w:val="22"/>
        </w:rPr>
        <w:t>p</w:t>
      </w:r>
      <w:r>
        <w:rPr>
          <w:spacing w:val="1"/>
          <w:szCs w:val="22"/>
        </w:rPr>
        <w:t>t</w:t>
      </w:r>
      <w:r>
        <w:rPr>
          <w:szCs w:val="22"/>
        </w:rPr>
        <w:t>ă</w:t>
      </w:r>
      <w:r>
        <w:rPr>
          <w:spacing w:val="-4"/>
          <w:szCs w:val="22"/>
        </w:rPr>
        <w:t>m</w:t>
      </w:r>
      <w:r>
        <w:rPr>
          <w:szCs w:val="22"/>
        </w:rPr>
        <w:t>ân</w:t>
      </w:r>
      <w:r>
        <w:rPr>
          <w:spacing w:val="1"/>
          <w:szCs w:val="22"/>
        </w:rPr>
        <w:t>i</w:t>
      </w:r>
      <w:r>
        <w:rPr>
          <w:szCs w:val="22"/>
        </w:rPr>
        <w:t>.</w:t>
      </w:r>
      <w:r>
        <w:rPr>
          <w:spacing w:val="-3"/>
          <w:szCs w:val="22"/>
        </w:rPr>
        <w:t xml:space="preserve"> </w:t>
      </w:r>
      <w:r>
        <w:rPr>
          <w:spacing w:val="-1"/>
          <w:szCs w:val="22"/>
        </w:rPr>
        <w:t>S</w:t>
      </w:r>
      <w:r>
        <w:rPr>
          <w:szCs w:val="22"/>
        </w:rPr>
        <w:t>ub</w:t>
      </w:r>
      <w:r>
        <w:rPr>
          <w:spacing w:val="1"/>
          <w:szCs w:val="22"/>
        </w:rPr>
        <w:t>i</w:t>
      </w:r>
      <w:r>
        <w:rPr>
          <w:szCs w:val="22"/>
        </w:rPr>
        <w:t>e</w:t>
      </w:r>
      <w:r>
        <w:rPr>
          <w:spacing w:val="-3"/>
          <w:szCs w:val="22"/>
        </w:rPr>
        <w:t>c</w:t>
      </w:r>
      <w:r>
        <w:rPr>
          <w:spacing w:val="-2"/>
          <w:szCs w:val="22"/>
        </w:rPr>
        <w:t>ţ</w:t>
      </w:r>
      <w:r>
        <w:rPr>
          <w:spacing w:val="1"/>
          <w:szCs w:val="22"/>
        </w:rPr>
        <w:t>i</w:t>
      </w:r>
      <w:r>
        <w:rPr>
          <w:szCs w:val="22"/>
        </w:rPr>
        <w:t>i</w:t>
      </w:r>
      <w:r>
        <w:rPr>
          <w:spacing w:val="-2"/>
          <w:szCs w:val="22"/>
        </w:rPr>
        <w:t xml:space="preserve"> </w:t>
      </w:r>
      <w:r>
        <w:rPr>
          <w:szCs w:val="22"/>
        </w:rPr>
        <w:t>(n=2</w:t>
      </w:r>
      <w:r>
        <w:rPr>
          <w:spacing w:val="-3"/>
          <w:szCs w:val="22"/>
        </w:rPr>
        <w:t>1</w:t>
      </w:r>
      <w:r>
        <w:rPr>
          <w:szCs w:val="22"/>
        </w:rPr>
        <w:t>5, 54,</w:t>
      </w:r>
      <w:r>
        <w:rPr>
          <w:spacing w:val="-3"/>
          <w:szCs w:val="22"/>
        </w:rPr>
        <w:t>7</w:t>
      </w:r>
      <w:r>
        <w:rPr>
          <w:szCs w:val="22"/>
        </w:rPr>
        <w:t>%)</w:t>
      </w:r>
      <w:r>
        <w:rPr>
          <w:spacing w:val="-2"/>
          <w:szCs w:val="22"/>
        </w:rPr>
        <w:t xml:space="preserve"> </w:t>
      </w:r>
      <w:r>
        <w:rPr>
          <w:spacing w:val="-3"/>
          <w:szCs w:val="22"/>
        </w:rPr>
        <w:t>c</w:t>
      </w:r>
      <w:r>
        <w:rPr>
          <w:szCs w:val="22"/>
        </w:rPr>
        <w:t xml:space="preserve">are </w:t>
      </w:r>
      <w:r>
        <w:rPr>
          <w:spacing w:val="-3"/>
          <w:szCs w:val="22"/>
        </w:rPr>
        <w:t>n</w:t>
      </w:r>
      <w:r>
        <w:rPr>
          <w:szCs w:val="22"/>
        </w:rPr>
        <w:t xml:space="preserve">u au </w:t>
      </w:r>
      <w:r>
        <w:rPr>
          <w:spacing w:val="-3"/>
          <w:szCs w:val="22"/>
        </w:rPr>
        <w:t>a</w:t>
      </w:r>
      <w:r>
        <w:rPr>
          <w:spacing w:val="-2"/>
          <w:szCs w:val="22"/>
        </w:rPr>
        <w:t>t</w:t>
      </w:r>
      <w:r>
        <w:rPr>
          <w:spacing w:val="1"/>
          <w:szCs w:val="22"/>
        </w:rPr>
        <w:t>i</w:t>
      </w:r>
      <w:r>
        <w:rPr>
          <w:szCs w:val="22"/>
        </w:rPr>
        <w:t xml:space="preserve">ns </w:t>
      </w:r>
      <w:r>
        <w:rPr>
          <w:spacing w:val="-1"/>
          <w:szCs w:val="22"/>
        </w:rPr>
        <w:t>ASA</w:t>
      </w:r>
      <w:r>
        <w:rPr>
          <w:szCs w:val="22"/>
        </w:rPr>
        <w:t xml:space="preserve">S 20 </w:t>
      </w:r>
      <w:r>
        <w:rPr>
          <w:spacing w:val="1"/>
          <w:szCs w:val="22"/>
        </w:rPr>
        <w:t>î</w:t>
      </w:r>
      <w:r>
        <w:rPr>
          <w:szCs w:val="22"/>
        </w:rPr>
        <w:t>n</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âna 12, 16</w:t>
      </w:r>
      <w:r>
        <w:rPr>
          <w:spacing w:val="-3"/>
          <w:szCs w:val="22"/>
        </w:rPr>
        <w:t xml:space="preserve"> </w:t>
      </w:r>
      <w:r>
        <w:rPr>
          <w:szCs w:val="22"/>
        </w:rPr>
        <w:t>sau</w:t>
      </w:r>
      <w:r>
        <w:rPr>
          <w:spacing w:val="-3"/>
          <w:szCs w:val="22"/>
        </w:rPr>
        <w:t xml:space="preserve"> </w:t>
      </w:r>
      <w:r>
        <w:rPr>
          <w:szCs w:val="22"/>
        </w:rPr>
        <w:t xml:space="preserve">20, au </w:t>
      </w:r>
      <w:r>
        <w:rPr>
          <w:spacing w:val="-3"/>
          <w:szCs w:val="22"/>
        </w:rPr>
        <w:t>p</w:t>
      </w:r>
      <w:r>
        <w:rPr>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40 </w:t>
      </w:r>
      <w:r>
        <w:rPr>
          <w:spacing w:val="-2"/>
          <w:szCs w:val="22"/>
        </w:rPr>
        <w:t>m</w:t>
      </w:r>
      <w:r>
        <w:rPr>
          <w:szCs w:val="22"/>
        </w:rPr>
        <w:t>g</w:t>
      </w:r>
      <w:r>
        <w:rPr>
          <w:spacing w:val="-3"/>
          <w:szCs w:val="22"/>
        </w:rPr>
        <w:t xml:space="preserve"> </w:t>
      </w:r>
      <w:r>
        <w:rPr>
          <w:szCs w:val="22"/>
        </w:rPr>
        <w:t>săp</w:t>
      </w:r>
      <w:r>
        <w:rPr>
          <w:spacing w:val="1"/>
          <w:szCs w:val="22"/>
        </w:rPr>
        <w:t>t</w:t>
      </w:r>
      <w:r>
        <w:rPr>
          <w:szCs w:val="22"/>
        </w:rPr>
        <w:t>ă</w:t>
      </w:r>
      <w:r>
        <w:rPr>
          <w:spacing w:val="-4"/>
          <w:szCs w:val="22"/>
        </w:rPr>
        <w:t>m</w:t>
      </w:r>
      <w:r>
        <w:rPr>
          <w:szCs w:val="22"/>
        </w:rPr>
        <w:t>ânal</w:t>
      </w:r>
      <w:r>
        <w:rPr>
          <w:spacing w:val="1"/>
          <w:szCs w:val="22"/>
        </w:rPr>
        <w:t xml:space="preserve"> </w:t>
      </w:r>
      <w:r>
        <w:rPr>
          <w:szCs w:val="22"/>
        </w:rPr>
        <w:t>de</w:t>
      </w:r>
      <w:r>
        <w:rPr>
          <w:spacing w:val="-2"/>
          <w:szCs w:val="22"/>
        </w:rPr>
        <w:t xml:space="preserve"> </w:t>
      </w:r>
      <w:r>
        <w:rPr>
          <w:spacing w:val="1"/>
          <w:szCs w:val="22"/>
        </w:rPr>
        <w:t>l</w:t>
      </w:r>
      <w:r>
        <w:rPr>
          <w:szCs w:val="22"/>
        </w:rPr>
        <w:t>a</w:t>
      </w:r>
      <w:r>
        <w:rPr>
          <w:spacing w:val="-2"/>
          <w:szCs w:val="22"/>
        </w:rPr>
        <w:t xml:space="preserve"> </w:t>
      </w:r>
      <w:r>
        <w:rPr>
          <w:spacing w:val="1"/>
          <w:szCs w:val="22"/>
        </w:rPr>
        <w:t>î</w:t>
      </w:r>
      <w:r>
        <w:rPr>
          <w:szCs w:val="22"/>
        </w:rPr>
        <w:t>n</w:t>
      </w:r>
      <w:r>
        <w:rPr>
          <w:spacing w:val="-3"/>
          <w:szCs w:val="22"/>
        </w:rPr>
        <w:t>ce</w:t>
      </w:r>
      <w:r>
        <w:rPr>
          <w:szCs w:val="22"/>
        </w:rPr>
        <w:t>pu</w:t>
      </w:r>
      <w:r>
        <w:rPr>
          <w:spacing w:val="1"/>
          <w:szCs w:val="22"/>
        </w:rPr>
        <w:t>t</w:t>
      </w:r>
      <w:r>
        <w:rPr>
          <w:spacing w:val="-3"/>
          <w:szCs w:val="22"/>
        </w:rPr>
        <w:t>u</w:t>
      </w:r>
      <w:r>
        <w:rPr>
          <w:szCs w:val="22"/>
        </w:rPr>
        <w:t>l</w:t>
      </w:r>
      <w:r>
        <w:rPr>
          <w:spacing w:val="1"/>
          <w:szCs w:val="22"/>
        </w:rPr>
        <w:t xml:space="preserve"> </w:t>
      </w:r>
      <w:r>
        <w:rPr>
          <w:szCs w:val="22"/>
        </w:rPr>
        <w:t>p</w:t>
      </w:r>
      <w:r>
        <w:rPr>
          <w:spacing w:val="-3"/>
          <w:szCs w:val="22"/>
        </w:rPr>
        <w:t>e</w:t>
      </w:r>
      <w:r>
        <w:rPr>
          <w:szCs w:val="22"/>
        </w:rPr>
        <w:t>r</w:t>
      </w:r>
      <w:r>
        <w:rPr>
          <w:spacing w:val="1"/>
          <w:szCs w:val="22"/>
        </w:rPr>
        <w:t>i</w:t>
      </w:r>
      <w:r>
        <w:rPr>
          <w:spacing w:val="-3"/>
          <w:szCs w:val="22"/>
        </w:rPr>
        <w:t>o</w:t>
      </w:r>
      <w:r>
        <w:rPr>
          <w:szCs w:val="22"/>
        </w:rPr>
        <w:t>ad</w:t>
      </w:r>
      <w:r>
        <w:rPr>
          <w:spacing w:val="-3"/>
          <w:szCs w:val="22"/>
        </w:rPr>
        <w:t>e</w:t>
      </w:r>
      <w:r>
        <w:rPr>
          <w:szCs w:val="22"/>
        </w:rPr>
        <w:t>i</w:t>
      </w:r>
      <w:r>
        <w:rPr>
          <w:spacing w:val="1"/>
          <w:szCs w:val="22"/>
        </w:rPr>
        <w:t xml:space="preserve"> </w:t>
      </w:r>
      <w:r>
        <w:rPr>
          <w:szCs w:val="22"/>
        </w:rPr>
        <w:t>de s</w:t>
      </w:r>
      <w:r>
        <w:rPr>
          <w:spacing w:val="1"/>
          <w:szCs w:val="22"/>
        </w:rPr>
        <w:t>t</w:t>
      </w:r>
      <w:r>
        <w:rPr>
          <w:szCs w:val="22"/>
        </w:rPr>
        <w:t>u</w:t>
      </w:r>
      <w:r>
        <w:rPr>
          <w:spacing w:val="-3"/>
          <w:szCs w:val="22"/>
        </w:rPr>
        <w:t>d</w:t>
      </w:r>
      <w:r>
        <w:rPr>
          <w:spacing w:val="1"/>
          <w:szCs w:val="22"/>
        </w:rPr>
        <w:t>i</w:t>
      </w:r>
      <w:r>
        <w:rPr>
          <w:szCs w:val="22"/>
        </w:rPr>
        <w:t>u d</w:t>
      </w:r>
      <w:r>
        <w:rPr>
          <w:spacing w:val="-3"/>
          <w:szCs w:val="22"/>
        </w:rPr>
        <w:t>e</w:t>
      </w:r>
      <w:r>
        <w:rPr>
          <w:szCs w:val="22"/>
        </w:rPr>
        <w:t>sc</w:t>
      </w:r>
      <w:r>
        <w:rPr>
          <w:spacing w:val="-3"/>
          <w:szCs w:val="22"/>
        </w:rPr>
        <w:t>h</w:t>
      </w:r>
      <w:r>
        <w:rPr>
          <w:spacing w:val="1"/>
          <w:szCs w:val="22"/>
        </w:rPr>
        <w:t>i</w:t>
      </w:r>
      <w:r>
        <w:rPr>
          <w:szCs w:val="22"/>
        </w:rPr>
        <w:t xml:space="preserve">s </w:t>
      </w:r>
      <w:r>
        <w:rPr>
          <w:spacing w:val="-2"/>
          <w:szCs w:val="22"/>
        </w:rPr>
        <w:t>ş</w:t>
      </w:r>
      <w:r>
        <w:rPr>
          <w:szCs w:val="22"/>
        </w:rPr>
        <w:t>i</w:t>
      </w:r>
      <w:r>
        <w:rPr>
          <w:spacing w:val="1"/>
          <w:szCs w:val="22"/>
        </w:rPr>
        <w:t xml:space="preserve"> </w:t>
      </w:r>
      <w:r>
        <w:rPr>
          <w:szCs w:val="22"/>
        </w:rPr>
        <w:t>s</w:t>
      </w:r>
      <w:r>
        <w:rPr>
          <w:spacing w:val="-4"/>
          <w:szCs w:val="22"/>
        </w:rPr>
        <w:t>-</w:t>
      </w:r>
      <w:r>
        <w:rPr>
          <w:szCs w:val="22"/>
        </w:rPr>
        <w:t>a con</w:t>
      </w:r>
      <w:r>
        <w:rPr>
          <w:spacing w:val="-2"/>
          <w:szCs w:val="22"/>
        </w:rPr>
        <w:t>s</w:t>
      </w:r>
      <w:r>
        <w:rPr>
          <w:spacing w:val="1"/>
          <w:szCs w:val="22"/>
        </w:rPr>
        <w:t>i</w:t>
      </w:r>
      <w:r>
        <w:rPr>
          <w:spacing w:val="-3"/>
          <w:szCs w:val="22"/>
        </w:rPr>
        <w:t>d</w:t>
      </w:r>
      <w:r>
        <w:rPr>
          <w:szCs w:val="22"/>
        </w:rPr>
        <w:t>er</w:t>
      </w:r>
      <w:r>
        <w:rPr>
          <w:spacing w:val="-3"/>
          <w:szCs w:val="22"/>
        </w:rPr>
        <w:t>a</w:t>
      </w:r>
      <w:r>
        <w:rPr>
          <w:szCs w:val="22"/>
        </w:rPr>
        <w:t>t</w:t>
      </w:r>
      <w:r>
        <w:rPr>
          <w:spacing w:val="1"/>
          <w:szCs w:val="22"/>
        </w:rPr>
        <w:t xml:space="preserve"> </w:t>
      </w:r>
      <w:r>
        <w:rPr>
          <w:szCs w:val="22"/>
        </w:rPr>
        <w:t>u</w:t>
      </w:r>
      <w:r>
        <w:rPr>
          <w:spacing w:val="-2"/>
          <w:szCs w:val="22"/>
        </w:rPr>
        <w:t>l</w:t>
      </w:r>
      <w:r>
        <w:rPr>
          <w:spacing w:val="1"/>
          <w:szCs w:val="22"/>
        </w:rPr>
        <w:t>t</w:t>
      </w:r>
      <w:r>
        <w:rPr>
          <w:spacing w:val="-3"/>
          <w:szCs w:val="22"/>
        </w:rPr>
        <w:t>e</w:t>
      </w:r>
      <w:r>
        <w:rPr>
          <w:szCs w:val="22"/>
        </w:rPr>
        <w:t>r</w:t>
      </w:r>
      <w:r>
        <w:rPr>
          <w:spacing w:val="1"/>
          <w:szCs w:val="22"/>
        </w:rPr>
        <w:t>i</w:t>
      </w:r>
      <w:r>
        <w:rPr>
          <w:spacing w:val="-3"/>
          <w:szCs w:val="22"/>
        </w:rPr>
        <w:t>o</w:t>
      </w:r>
      <w:r>
        <w:rPr>
          <w:szCs w:val="22"/>
        </w:rPr>
        <w:t>r</w:t>
      </w:r>
      <w:r>
        <w:rPr>
          <w:spacing w:val="1"/>
          <w:szCs w:val="22"/>
        </w:rPr>
        <w:t xml:space="preserve"> </w:t>
      </w:r>
      <w:r>
        <w:rPr>
          <w:spacing w:val="-2"/>
          <w:szCs w:val="22"/>
        </w:rPr>
        <w:t>î</w:t>
      </w:r>
      <w:r>
        <w:rPr>
          <w:szCs w:val="22"/>
        </w:rPr>
        <w:t>n a</w:t>
      </w:r>
      <w:r>
        <w:rPr>
          <w:spacing w:val="-3"/>
          <w:szCs w:val="22"/>
        </w:rPr>
        <w:t>n</w:t>
      </w:r>
      <w:r>
        <w:rPr>
          <w:szCs w:val="22"/>
        </w:rPr>
        <w:t>a</w:t>
      </w:r>
      <w:r>
        <w:rPr>
          <w:spacing w:val="-2"/>
          <w:szCs w:val="22"/>
        </w:rPr>
        <w:t>l</w:t>
      </w:r>
      <w:r>
        <w:rPr>
          <w:spacing w:val="1"/>
          <w:szCs w:val="22"/>
        </w:rPr>
        <w:t>i</w:t>
      </w:r>
      <w:r>
        <w:rPr>
          <w:spacing w:val="-3"/>
          <w:szCs w:val="22"/>
        </w:rPr>
        <w:t>z</w:t>
      </w:r>
      <w:r>
        <w:rPr>
          <w:szCs w:val="22"/>
        </w:rPr>
        <w:t>a s</w:t>
      </w:r>
      <w:r>
        <w:rPr>
          <w:spacing w:val="1"/>
          <w:szCs w:val="22"/>
        </w:rPr>
        <w:t>t</w:t>
      </w:r>
      <w:r>
        <w:rPr>
          <w:spacing w:val="-3"/>
          <w:szCs w:val="22"/>
        </w:rPr>
        <w:t>a</w:t>
      </w:r>
      <w:r>
        <w:rPr>
          <w:spacing w:val="-2"/>
          <w:szCs w:val="22"/>
        </w:rPr>
        <w:t>t</w:t>
      </w:r>
      <w:r>
        <w:rPr>
          <w:spacing w:val="1"/>
          <w:szCs w:val="22"/>
        </w:rPr>
        <w:t>i</w:t>
      </w:r>
      <w:r>
        <w:rPr>
          <w:spacing w:val="-2"/>
          <w:szCs w:val="22"/>
        </w:rPr>
        <w:t>s</w:t>
      </w:r>
      <w:r>
        <w:rPr>
          <w:spacing w:val="1"/>
          <w:szCs w:val="22"/>
        </w:rPr>
        <w:t>ti</w:t>
      </w:r>
      <w:r>
        <w:rPr>
          <w:spacing w:val="-3"/>
          <w:szCs w:val="22"/>
        </w:rPr>
        <w:t>c</w:t>
      </w:r>
      <w:r>
        <w:rPr>
          <w:szCs w:val="22"/>
        </w:rPr>
        <w:t xml:space="preserve">ă a </w:t>
      </w:r>
      <w:r>
        <w:rPr>
          <w:spacing w:val="-2"/>
          <w:szCs w:val="22"/>
        </w:rPr>
        <w:t>s</w:t>
      </w:r>
      <w:r>
        <w:rPr>
          <w:spacing w:val="1"/>
          <w:szCs w:val="22"/>
        </w:rPr>
        <w:t>t</w:t>
      </w:r>
      <w:r>
        <w:rPr>
          <w:szCs w:val="22"/>
        </w:rPr>
        <w:t>u</w:t>
      </w:r>
      <w:r>
        <w:rPr>
          <w:spacing w:val="-3"/>
          <w:szCs w:val="22"/>
        </w:rPr>
        <w:t>d</w:t>
      </w:r>
      <w:r>
        <w:rPr>
          <w:spacing w:val="1"/>
          <w:szCs w:val="22"/>
        </w:rPr>
        <w:t>i</w:t>
      </w:r>
      <w:r>
        <w:rPr>
          <w:spacing w:val="-3"/>
          <w:szCs w:val="22"/>
        </w:rPr>
        <w:t>u</w:t>
      </w:r>
      <w:r>
        <w:rPr>
          <w:spacing w:val="1"/>
          <w:szCs w:val="22"/>
        </w:rPr>
        <w:t>l</w:t>
      </w:r>
      <w:r>
        <w:rPr>
          <w:szCs w:val="22"/>
        </w:rPr>
        <w:t>ui</w:t>
      </w:r>
      <w:r>
        <w:rPr>
          <w:spacing w:val="1"/>
          <w:szCs w:val="22"/>
        </w:rPr>
        <w:t xml:space="preserve"> </w:t>
      </w:r>
      <w:r>
        <w:rPr>
          <w:spacing w:val="-3"/>
          <w:szCs w:val="22"/>
        </w:rPr>
        <w:t>d</w:t>
      </w:r>
      <w:r>
        <w:rPr>
          <w:szCs w:val="22"/>
        </w:rPr>
        <w:t>ub</w:t>
      </w:r>
      <w:r>
        <w:rPr>
          <w:spacing w:val="-2"/>
          <w:szCs w:val="22"/>
        </w:rPr>
        <w:t>l</w:t>
      </w:r>
      <w:r>
        <w:rPr>
          <w:szCs w:val="22"/>
        </w:rPr>
        <w:t>u orb</w:t>
      </w:r>
      <w:r>
        <w:rPr>
          <w:spacing w:val="-3"/>
          <w:szCs w:val="22"/>
        </w:rPr>
        <w:t xml:space="preserve"> </w:t>
      </w:r>
      <w:r>
        <w:rPr>
          <w:szCs w:val="22"/>
        </w:rPr>
        <w:t>ca</w:t>
      </w:r>
      <w:r>
        <w:rPr>
          <w:spacing w:val="-2"/>
          <w:szCs w:val="22"/>
        </w:rPr>
        <w:t xml:space="preserve"> </w:t>
      </w:r>
      <w:r>
        <w:rPr>
          <w:szCs w:val="22"/>
        </w:rPr>
        <w:t>f</w:t>
      </w:r>
      <w:r>
        <w:rPr>
          <w:spacing w:val="-2"/>
          <w:szCs w:val="22"/>
        </w:rPr>
        <w:t>i</w:t>
      </w:r>
      <w:r>
        <w:rPr>
          <w:spacing w:val="1"/>
          <w:szCs w:val="22"/>
        </w:rPr>
        <w:t>i</w:t>
      </w:r>
      <w:r>
        <w:rPr>
          <w:szCs w:val="22"/>
        </w:rPr>
        <w:t xml:space="preserve">nd </w:t>
      </w:r>
      <w:r>
        <w:rPr>
          <w:spacing w:val="-2"/>
          <w:szCs w:val="22"/>
        </w:rPr>
        <w:t>f</w:t>
      </w:r>
      <w:r>
        <w:rPr>
          <w:szCs w:val="22"/>
        </w:rPr>
        <w:t>ă</w:t>
      </w:r>
      <w:r>
        <w:rPr>
          <w:spacing w:val="-2"/>
          <w:szCs w:val="22"/>
        </w:rPr>
        <w:t>r</w:t>
      </w:r>
      <w:r>
        <w:rPr>
          <w:szCs w:val="22"/>
        </w:rPr>
        <w:t>ă r</w:t>
      </w:r>
      <w:r>
        <w:rPr>
          <w:spacing w:val="-3"/>
          <w:szCs w:val="22"/>
        </w:rPr>
        <w:t>ă</w:t>
      </w:r>
      <w:r>
        <w:rPr>
          <w:szCs w:val="22"/>
        </w:rPr>
        <w:t>spu</w:t>
      </w:r>
      <w:r>
        <w:rPr>
          <w:spacing w:val="-3"/>
          <w:szCs w:val="22"/>
        </w:rPr>
        <w:t>n</w:t>
      </w:r>
      <w:r>
        <w:rPr>
          <w:szCs w:val="22"/>
        </w:rPr>
        <w:t xml:space="preserve">s </w:t>
      </w:r>
      <w:r>
        <w:rPr>
          <w:spacing w:val="1"/>
          <w:szCs w:val="22"/>
        </w:rPr>
        <w:t>l</w:t>
      </w:r>
      <w:r>
        <w:rPr>
          <w:szCs w:val="22"/>
        </w:rPr>
        <w:t xml:space="preserve">a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w:t>
      </w:r>
    </w:p>
    <w:p w14:paraId="2BBE1B3B" w14:textId="77777777" w:rsidR="00C04CAD" w:rsidRDefault="00C04CAD">
      <w:pPr>
        <w:tabs>
          <w:tab w:val="clear" w:pos="567"/>
        </w:tabs>
        <w:kinsoku w:val="0"/>
        <w:overflowPunct w:val="0"/>
        <w:autoSpaceDE w:val="0"/>
        <w:autoSpaceDN w:val="0"/>
        <w:adjustRightInd w:val="0"/>
        <w:spacing w:line="240" w:lineRule="auto"/>
        <w:rPr>
          <w:szCs w:val="22"/>
        </w:rPr>
      </w:pPr>
    </w:p>
    <w:p w14:paraId="37275F9B" w14:textId="77777777" w:rsidR="00C04CAD" w:rsidRDefault="00060E34">
      <w:pPr>
        <w:autoSpaceDE w:val="0"/>
        <w:autoSpaceDN w:val="0"/>
        <w:adjustRightInd w:val="0"/>
        <w:spacing w:line="240" w:lineRule="auto"/>
        <w:rPr>
          <w:szCs w:val="22"/>
        </w:rPr>
      </w:pPr>
      <w:r>
        <w:rPr>
          <w:spacing w:val="-4"/>
          <w:szCs w:val="22"/>
        </w:rPr>
        <w:t>Î</w:t>
      </w:r>
      <w:r>
        <w:rPr>
          <w:szCs w:val="22"/>
        </w:rPr>
        <w:t>n</w:t>
      </w:r>
      <w:r>
        <w:rPr>
          <w:spacing w:val="1"/>
          <w:szCs w:val="22"/>
        </w:rPr>
        <w:t>t</w:t>
      </w:r>
      <w:r>
        <w:rPr>
          <w:spacing w:val="3"/>
          <w:szCs w:val="22"/>
        </w:rPr>
        <w:t>r</w:t>
      </w:r>
      <w:r>
        <w:rPr>
          <w:spacing w:val="-4"/>
          <w:szCs w:val="22"/>
        </w:rPr>
        <w:t>-</w:t>
      </w:r>
      <w:r>
        <w:rPr>
          <w:szCs w:val="22"/>
        </w:rPr>
        <w:t>un s</w:t>
      </w:r>
      <w:r>
        <w:rPr>
          <w:spacing w:val="1"/>
          <w:szCs w:val="22"/>
        </w:rPr>
        <w:t>t</w:t>
      </w:r>
      <w:r>
        <w:rPr>
          <w:szCs w:val="22"/>
        </w:rPr>
        <w:t>ud</w:t>
      </w:r>
      <w:r>
        <w:rPr>
          <w:spacing w:val="1"/>
          <w:szCs w:val="22"/>
        </w:rPr>
        <w:t>i</w:t>
      </w:r>
      <w:r>
        <w:rPr>
          <w:szCs w:val="22"/>
        </w:rPr>
        <w:t xml:space="preserve">u </w:t>
      </w:r>
      <w:r>
        <w:rPr>
          <w:spacing w:val="-1"/>
          <w:szCs w:val="22"/>
        </w:rPr>
        <w:t>S</w:t>
      </w:r>
      <w:r>
        <w:rPr>
          <w:szCs w:val="22"/>
        </w:rPr>
        <w:t>A</w:t>
      </w:r>
      <w:r>
        <w:rPr>
          <w:spacing w:val="-1"/>
          <w:szCs w:val="22"/>
        </w:rPr>
        <w:t xml:space="preserve"> </w:t>
      </w:r>
      <w:r>
        <w:rPr>
          <w:szCs w:val="22"/>
        </w:rPr>
        <w:t>I</w:t>
      </w:r>
      <w:r>
        <w:rPr>
          <w:spacing w:val="-4"/>
          <w:szCs w:val="22"/>
        </w:rPr>
        <w:t xml:space="preserve"> m</w:t>
      </w:r>
      <w:r>
        <w:rPr>
          <w:szCs w:val="22"/>
        </w:rPr>
        <w:t>ai</w:t>
      </w:r>
      <w:r>
        <w:rPr>
          <w:spacing w:val="3"/>
          <w:szCs w:val="22"/>
        </w:rPr>
        <w:t xml:space="preserve"> </w:t>
      </w:r>
      <w:r>
        <w:rPr>
          <w:spacing w:val="-4"/>
          <w:szCs w:val="22"/>
        </w:rPr>
        <w:t>m</w:t>
      </w:r>
      <w:r>
        <w:rPr>
          <w:szCs w:val="22"/>
        </w:rPr>
        <w:t xml:space="preserve">are </w:t>
      </w:r>
      <w:r>
        <w:rPr>
          <w:spacing w:val="1"/>
          <w:szCs w:val="22"/>
        </w:rPr>
        <w:t>î</w:t>
      </w:r>
      <w:r>
        <w:rPr>
          <w:szCs w:val="22"/>
        </w:rPr>
        <w:t xml:space="preserve">n </w:t>
      </w:r>
      <w:r>
        <w:rPr>
          <w:spacing w:val="-3"/>
          <w:szCs w:val="22"/>
        </w:rPr>
        <w:t>c</w:t>
      </w:r>
      <w:r>
        <w:rPr>
          <w:szCs w:val="22"/>
        </w:rPr>
        <w:t>a</w:t>
      </w:r>
      <w:r>
        <w:rPr>
          <w:spacing w:val="-2"/>
          <w:szCs w:val="22"/>
        </w:rPr>
        <w:t>r</w:t>
      </w:r>
      <w:r>
        <w:rPr>
          <w:szCs w:val="22"/>
        </w:rPr>
        <w:t>e au</w:t>
      </w:r>
      <w:r>
        <w:rPr>
          <w:spacing w:val="-3"/>
          <w:szCs w:val="22"/>
        </w:rPr>
        <w:t xml:space="preserve"> </w:t>
      </w:r>
      <w:r>
        <w:rPr>
          <w:szCs w:val="22"/>
        </w:rPr>
        <w:t>fo</w:t>
      </w:r>
      <w:r>
        <w:rPr>
          <w:spacing w:val="-2"/>
          <w:szCs w:val="22"/>
        </w:rPr>
        <w:t>s</w:t>
      </w:r>
      <w:r>
        <w:rPr>
          <w:szCs w:val="22"/>
        </w:rPr>
        <w:t>t</w:t>
      </w:r>
      <w:r>
        <w:rPr>
          <w:spacing w:val="1"/>
          <w:szCs w:val="22"/>
        </w:rPr>
        <w:t xml:space="preserve"> î</w:t>
      </w:r>
      <w:r>
        <w:rPr>
          <w:spacing w:val="-3"/>
          <w:szCs w:val="22"/>
        </w:rPr>
        <w:t>n</w:t>
      </w:r>
      <w:r>
        <w:rPr>
          <w:szCs w:val="22"/>
        </w:rPr>
        <w:t>r</w:t>
      </w:r>
      <w:r>
        <w:rPr>
          <w:spacing w:val="-3"/>
          <w:szCs w:val="22"/>
        </w:rPr>
        <w:t>o</w:t>
      </w:r>
      <w:r>
        <w:rPr>
          <w:spacing w:val="1"/>
          <w:szCs w:val="22"/>
        </w:rPr>
        <w:t>l</w:t>
      </w:r>
      <w:r>
        <w:rPr>
          <w:szCs w:val="22"/>
        </w:rPr>
        <w:t>a</w:t>
      </w:r>
      <w:r>
        <w:rPr>
          <w:spacing w:val="-2"/>
          <w:szCs w:val="22"/>
        </w:rPr>
        <w:t>ţ</w:t>
      </w:r>
      <w:r>
        <w:rPr>
          <w:szCs w:val="22"/>
        </w:rPr>
        <w:t>i</w:t>
      </w:r>
      <w:r>
        <w:rPr>
          <w:spacing w:val="1"/>
          <w:szCs w:val="22"/>
        </w:rPr>
        <w:t xml:space="preserve"> </w:t>
      </w:r>
      <w:r>
        <w:rPr>
          <w:szCs w:val="22"/>
        </w:rPr>
        <w:t>3</w:t>
      </w:r>
      <w:r>
        <w:rPr>
          <w:spacing w:val="-3"/>
          <w:szCs w:val="22"/>
        </w:rPr>
        <w:t>1</w:t>
      </w:r>
      <w:r>
        <w:rPr>
          <w:szCs w:val="22"/>
        </w:rPr>
        <w:t>5 pa</w:t>
      </w:r>
      <w:r>
        <w:rPr>
          <w:spacing w:val="-3"/>
          <w:szCs w:val="22"/>
        </w:rPr>
        <w:t>c</w:t>
      </w:r>
      <w:r>
        <w:rPr>
          <w:spacing w:val="1"/>
          <w:szCs w:val="22"/>
        </w:rPr>
        <w:t>i</w:t>
      </w:r>
      <w:r>
        <w:rPr>
          <w:szCs w:val="22"/>
        </w:rPr>
        <w:t>e</w:t>
      </w:r>
      <w:r>
        <w:rPr>
          <w:spacing w:val="-3"/>
          <w:szCs w:val="22"/>
        </w:rPr>
        <w:t>n</w:t>
      </w:r>
      <w:r>
        <w:rPr>
          <w:spacing w:val="1"/>
          <w:szCs w:val="22"/>
        </w:rPr>
        <w:t>ţi</w:t>
      </w:r>
      <w:r>
        <w:rPr>
          <w:szCs w:val="22"/>
        </w:rPr>
        <w:t>,</w:t>
      </w:r>
      <w:r>
        <w:rPr>
          <w:spacing w:val="-3"/>
          <w:szCs w:val="22"/>
        </w:rPr>
        <w:t xml:space="preserve"> </w:t>
      </w:r>
      <w:r>
        <w:rPr>
          <w:szCs w:val="22"/>
        </w:rPr>
        <w:t>re</w:t>
      </w:r>
      <w:r>
        <w:rPr>
          <w:spacing w:val="-3"/>
          <w:szCs w:val="22"/>
        </w:rPr>
        <w:t>z</w:t>
      </w:r>
      <w:r>
        <w:rPr>
          <w:szCs w:val="22"/>
        </w:rPr>
        <w:t>u</w:t>
      </w:r>
      <w:r>
        <w:rPr>
          <w:spacing w:val="-2"/>
          <w:szCs w:val="22"/>
        </w:rPr>
        <w:t>l</w:t>
      </w:r>
      <w:r>
        <w:rPr>
          <w:spacing w:val="1"/>
          <w:szCs w:val="22"/>
        </w:rPr>
        <w:t>t</w:t>
      </w:r>
      <w:r>
        <w:rPr>
          <w:szCs w:val="22"/>
        </w:rPr>
        <w:t>a</w:t>
      </w:r>
      <w:r>
        <w:rPr>
          <w:spacing w:val="-2"/>
          <w:szCs w:val="22"/>
        </w:rPr>
        <w:t>t</w:t>
      </w:r>
      <w:r>
        <w:rPr>
          <w:szCs w:val="22"/>
        </w:rPr>
        <w:t>e</w:t>
      </w:r>
      <w:r>
        <w:rPr>
          <w:spacing w:val="-2"/>
          <w:szCs w:val="22"/>
        </w:rPr>
        <w:t>l</w:t>
      </w:r>
      <w:r>
        <w:rPr>
          <w:szCs w:val="22"/>
        </w:rPr>
        <w:t>e au</w:t>
      </w:r>
      <w:r>
        <w:rPr>
          <w:spacing w:val="-3"/>
          <w:szCs w:val="22"/>
        </w:rPr>
        <w:t xml:space="preserve"> </w:t>
      </w:r>
      <w:r>
        <w:rPr>
          <w:szCs w:val="22"/>
        </w:rPr>
        <w:t>a</w:t>
      </w:r>
      <w:r>
        <w:rPr>
          <w:spacing w:val="-2"/>
          <w:szCs w:val="22"/>
        </w:rPr>
        <w:t>r</w:t>
      </w:r>
      <w:r>
        <w:rPr>
          <w:szCs w:val="22"/>
        </w:rPr>
        <w:t>ă</w:t>
      </w:r>
      <w:r>
        <w:rPr>
          <w:spacing w:val="1"/>
          <w:szCs w:val="22"/>
        </w:rPr>
        <w:t>t</w:t>
      </w:r>
      <w:r>
        <w:rPr>
          <w:spacing w:val="-3"/>
          <w:szCs w:val="22"/>
        </w:rPr>
        <w:t>a</w:t>
      </w:r>
      <w:r>
        <w:rPr>
          <w:szCs w:val="22"/>
        </w:rPr>
        <w:t>t</w:t>
      </w:r>
      <w:r>
        <w:rPr>
          <w:spacing w:val="1"/>
          <w:szCs w:val="22"/>
        </w:rPr>
        <w:t xml:space="preserve"> </w:t>
      </w:r>
      <w:r>
        <w:rPr>
          <w:szCs w:val="22"/>
        </w:rPr>
        <w:t>o</w:t>
      </w:r>
      <w:r>
        <w:rPr>
          <w:spacing w:val="-3"/>
          <w:szCs w:val="22"/>
        </w:rPr>
        <w:t xml:space="preserve"> </w:t>
      </w:r>
      <w:r>
        <w:rPr>
          <w:spacing w:val="1"/>
          <w:szCs w:val="22"/>
        </w:rPr>
        <w:t>î</w:t>
      </w:r>
      <w:r>
        <w:rPr>
          <w:spacing w:val="-4"/>
          <w:szCs w:val="22"/>
        </w:rPr>
        <w:t>m</w:t>
      </w:r>
      <w:r>
        <w:rPr>
          <w:szCs w:val="22"/>
        </w:rPr>
        <w:t>bună</w:t>
      </w:r>
      <w:r>
        <w:rPr>
          <w:spacing w:val="1"/>
          <w:szCs w:val="22"/>
        </w:rPr>
        <w:t>t</w:t>
      </w:r>
      <w:r>
        <w:rPr>
          <w:szCs w:val="22"/>
        </w:rPr>
        <w:t>ă</w:t>
      </w:r>
      <w:r>
        <w:rPr>
          <w:spacing w:val="-2"/>
          <w:szCs w:val="22"/>
        </w:rPr>
        <w:t>ţ</w:t>
      </w:r>
      <w:r>
        <w:rPr>
          <w:spacing w:val="1"/>
          <w:szCs w:val="22"/>
        </w:rPr>
        <w:t>i</w:t>
      </w:r>
      <w:r>
        <w:rPr>
          <w:spacing w:val="-2"/>
          <w:szCs w:val="22"/>
        </w:rPr>
        <w:t>r</w:t>
      </w:r>
      <w:r>
        <w:rPr>
          <w:szCs w:val="22"/>
        </w:rPr>
        <w:t>e 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ă 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zCs w:val="22"/>
        </w:rPr>
        <w:t>c</w:t>
      </w:r>
      <w:r>
        <w:rPr>
          <w:spacing w:val="-2"/>
          <w:szCs w:val="22"/>
        </w:rPr>
        <w:t xml:space="preserve"> </w:t>
      </w:r>
      <w:r>
        <w:rPr>
          <w:szCs w:val="22"/>
        </w:rPr>
        <w:t>a s</w:t>
      </w:r>
      <w:r>
        <w:rPr>
          <w:spacing w:val="-3"/>
          <w:szCs w:val="22"/>
        </w:rPr>
        <w:t>e</w:t>
      </w:r>
      <w:r>
        <w:rPr>
          <w:spacing w:val="-4"/>
          <w:szCs w:val="22"/>
        </w:rPr>
        <w:t>m</w:t>
      </w:r>
      <w:r>
        <w:rPr>
          <w:szCs w:val="22"/>
        </w:rPr>
        <w:t>ne</w:t>
      </w:r>
      <w:r>
        <w:rPr>
          <w:spacing w:val="1"/>
          <w:szCs w:val="22"/>
        </w:rPr>
        <w:t>l</w:t>
      </w:r>
      <w:r>
        <w:rPr>
          <w:szCs w:val="22"/>
        </w:rPr>
        <w:t>or</w:t>
      </w:r>
      <w:r>
        <w:rPr>
          <w:spacing w:val="1"/>
          <w:szCs w:val="22"/>
        </w:rPr>
        <w:t xml:space="preserve"> </w:t>
      </w:r>
      <w:r>
        <w:rPr>
          <w:szCs w:val="22"/>
        </w:rPr>
        <w:t>şi</w:t>
      </w:r>
      <w:r>
        <w:rPr>
          <w:spacing w:val="-2"/>
          <w:szCs w:val="22"/>
        </w:rPr>
        <w:t xml:space="preserve"> </w:t>
      </w:r>
      <w:r>
        <w:rPr>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or</w:t>
      </w:r>
      <w:r>
        <w:rPr>
          <w:spacing w:val="-2"/>
          <w:szCs w:val="22"/>
        </w:rPr>
        <w:t xml:space="preserve"> </w:t>
      </w:r>
      <w:r>
        <w:rPr>
          <w:spacing w:val="1"/>
          <w:szCs w:val="22"/>
        </w:rPr>
        <w:t>l</w:t>
      </w:r>
      <w:r>
        <w:rPr>
          <w:szCs w:val="22"/>
        </w:rPr>
        <w:t xml:space="preserve">a </w:t>
      </w:r>
      <w:r>
        <w:rPr>
          <w:spacing w:val="-3"/>
          <w:szCs w:val="22"/>
        </w:rPr>
        <w:t>p</w:t>
      </w:r>
      <w:r>
        <w:rPr>
          <w:szCs w:val="22"/>
        </w:rPr>
        <w:t>ac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cu</w:t>
      </w:r>
      <w:r>
        <w:rPr>
          <w:spacing w:val="-3"/>
          <w:szCs w:val="22"/>
        </w:rPr>
        <w:t xml:space="preserve"> </w:t>
      </w:r>
      <w:r>
        <w:rPr>
          <w:szCs w:val="22"/>
        </w:rPr>
        <w:t>spon</w:t>
      </w:r>
      <w:r>
        <w:rPr>
          <w:spacing w:val="-3"/>
          <w:szCs w:val="22"/>
        </w:rPr>
        <w:t>d</w:t>
      </w:r>
      <w:r>
        <w:rPr>
          <w:spacing w:val="1"/>
          <w:szCs w:val="22"/>
        </w:rPr>
        <w:t>i</w:t>
      </w:r>
      <w:r>
        <w:rPr>
          <w:spacing w:val="-2"/>
          <w:szCs w:val="22"/>
        </w:rPr>
        <w:t>l</w:t>
      </w:r>
      <w:r>
        <w:rPr>
          <w:spacing w:val="1"/>
          <w:szCs w:val="22"/>
        </w:rPr>
        <w:t>i</w:t>
      </w:r>
      <w:r>
        <w:rPr>
          <w:spacing w:val="-2"/>
          <w:szCs w:val="22"/>
        </w:rPr>
        <w:t>t</w:t>
      </w:r>
      <w:r>
        <w:rPr>
          <w:szCs w:val="22"/>
        </w:rPr>
        <w:t>ă a</w:t>
      </w:r>
      <w:r>
        <w:rPr>
          <w:spacing w:val="-3"/>
          <w:szCs w:val="22"/>
        </w:rPr>
        <w:t>n</w:t>
      </w:r>
      <w:r>
        <w:rPr>
          <w:szCs w:val="22"/>
        </w:rPr>
        <w:t>ch</w:t>
      </w:r>
      <w:r>
        <w:rPr>
          <w:spacing w:val="-2"/>
          <w:szCs w:val="22"/>
        </w:rPr>
        <w:t>il</w:t>
      </w:r>
      <w:r>
        <w:rPr>
          <w:szCs w:val="22"/>
        </w:rPr>
        <w:t>o</w:t>
      </w:r>
      <w:r>
        <w:rPr>
          <w:spacing w:val="-3"/>
          <w:szCs w:val="22"/>
        </w:rPr>
        <w:t>z</w:t>
      </w:r>
      <w:r>
        <w:rPr>
          <w:szCs w:val="22"/>
        </w:rPr>
        <w:t>an</w:t>
      </w:r>
      <w:r>
        <w:rPr>
          <w:spacing w:val="1"/>
          <w:szCs w:val="22"/>
        </w:rPr>
        <w:t>t</w:t>
      </w:r>
      <w:r>
        <w:rPr>
          <w:szCs w:val="22"/>
        </w:rPr>
        <w:t xml:space="preserve">ă </w:t>
      </w:r>
      <w:r>
        <w:rPr>
          <w:spacing w:val="-2"/>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1"/>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co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cu p</w:t>
      </w:r>
      <w:r>
        <w:rPr>
          <w:spacing w:val="1"/>
          <w:szCs w:val="22"/>
        </w:rPr>
        <w:t>l</w:t>
      </w:r>
      <w:r>
        <w:rPr>
          <w:spacing w:val="-3"/>
          <w:szCs w:val="22"/>
        </w:rPr>
        <w:t>ac</w:t>
      </w:r>
      <w:r>
        <w:rPr>
          <w:szCs w:val="22"/>
        </w:rPr>
        <w:t xml:space="preserve">ebo. </w:t>
      </w:r>
      <w:r>
        <w:rPr>
          <w:spacing w:val="-1"/>
          <w:szCs w:val="22"/>
        </w:rPr>
        <w:t>U</w:t>
      </w:r>
      <w:r>
        <w:rPr>
          <w:szCs w:val="22"/>
        </w:rPr>
        <w:t xml:space="preserve">n </w:t>
      </w:r>
      <w:r>
        <w:rPr>
          <w:spacing w:val="-2"/>
          <w:szCs w:val="22"/>
        </w:rPr>
        <w:t>r</w:t>
      </w:r>
      <w:r>
        <w:rPr>
          <w:szCs w:val="22"/>
        </w:rPr>
        <w:t>ăspu</w:t>
      </w:r>
      <w:r>
        <w:rPr>
          <w:spacing w:val="-3"/>
          <w:szCs w:val="22"/>
        </w:rPr>
        <w:t>n</w:t>
      </w:r>
      <w:r>
        <w:rPr>
          <w:szCs w:val="22"/>
        </w:rPr>
        <w:t xml:space="preserve">s </w:t>
      </w:r>
      <w:r>
        <w:rPr>
          <w:spacing w:val="1"/>
          <w:szCs w:val="22"/>
        </w:rPr>
        <w:t>i</w:t>
      </w:r>
      <w:r>
        <w:rPr>
          <w:spacing w:val="-4"/>
          <w:szCs w:val="22"/>
        </w:rPr>
        <w:t>m</w:t>
      </w:r>
      <w:r>
        <w:rPr>
          <w:szCs w:val="22"/>
        </w:rPr>
        <w:t>por</w:t>
      </w:r>
      <w:r>
        <w:rPr>
          <w:spacing w:val="-2"/>
          <w:szCs w:val="22"/>
        </w:rPr>
        <w:t>t</w:t>
      </w:r>
      <w:r>
        <w:rPr>
          <w:szCs w:val="22"/>
        </w:rPr>
        <w:t>ant</w:t>
      </w:r>
      <w:r>
        <w:rPr>
          <w:spacing w:val="-2"/>
          <w:szCs w:val="22"/>
        </w:rPr>
        <w:t xml:space="preserve"> </w:t>
      </w:r>
      <w:r>
        <w:rPr>
          <w:szCs w:val="22"/>
        </w:rPr>
        <w:t>a fo</w:t>
      </w:r>
      <w:r>
        <w:rPr>
          <w:spacing w:val="-2"/>
          <w:szCs w:val="22"/>
        </w:rPr>
        <w:t>s</w:t>
      </w:r>
      <w:r>
        <w:rPr>
          <w:szCs w:val="22"/>
        </w:rPr>
        <w:t>t</w:t>
      </w:r>
      <w:r>
        <w:rPr>
          <w:spacing w:val="1"/>
          <w:szCs w:val="22"/>
        </w:rPr>
        <w:t xml:space="preserve"> </w:t>
      </w:r>
      <w:r>
        <w:rPr>
          <w:szCs w:val="22"/>
        </w:rPr>
        <w:t>o</w:t>
      </w:r>
      <w:r>
        <w:rPr>
          <w:spacing w:val="-3"/>
          <w:szCs w:val="22"/>
        </w:rPr>
        <w:t>b</w:t>
      </w:r>
      <w:r>
        <w:rPr>
          <w:szCs w:val="22"/>
        </w:rPr>
        <w:t>ser</w:t>
      </w:r>
      <w:r>
        <w:rPr>
          <w:spacing w:val="-3"/>
          <w:szCs w:val="22"/>
        </w:rPr>
        <w:t>v</w:t>
      </w:r>
      <w:r>
        <w:rPr>
          <w:szCs w:val="22"/>
        </w:rPr>
        <w:t>at</w:t>
      </w:r>
      <w:r>
        <w:rPr>
          <w:spacing w:val="-2"/>
          <w:szCs w:val="22"/>
        </w:rPr>
        <w:t xml:space="preserve"> </w:t>
      </w:r>
      <w:r>
        <w:rPr>
          <w:szCs w:val="22"/>
        </w:rPr>
        <w:t>p</w:t>
      </w:r>
      <w:r>
        <w:rPr>
          <w:spacing w:val="-2"/>
          <w:szCs w:val="22"/>
        </w:rPr>
        <w:t>r</w:t>
      </w:r>
      <w:r>
        <w:rPr>
          <w:spacing w:val="1"/>
          <w:szCs w:val="22"/>
        </w:rPr>
        <w:t>i</w:t>
      </w:r>
      <w:r>
        <w:rPr>
          <w:spacing w:val="-4"/>
          <w:szCs w:val="22"/>
        </w:rPr>
        <w:t>m</w:t>
      </w:r>
      <w:r>
        <w:rPr>
          <w:szCs w:val="22"/>
        </w:rPr>
        <w:t>a da</w:t>
      </w:r>
      <w:r>
        <w:rPr>
          <w:spacing w:val="1"/>
          <w:szCs w:val="22"/>
        </w:rPr>
        <w:t>t</w:t>
      </w:r>
      <w:r>
        <w:rPr>
          <w:szCs w:val="22"/>
        </w:rPr>
        <w:t>ă</w:t>
      </w:r>
      <w:r>
        <w:rPr>
          <w:spacing w:val="-2"/>
          <w:szCs w:val="22"/>
        </w:rPr>
        <w:t xml:space="preserve"> 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şi</w:t>
      </w:r>
      <w:r>
        <w:rPr>
          <w:spacing w:val="-2"/>
          <w:szCs w:val="22"/>
        </w:rPr>
        <w:t xml:space="preserve"> </w:t>
      </w:r>
      <w:r>
        <w:rPr>
          <w:szCs w:val="22"/>
        </w:rPr>
        <w:t>s</w:t>
      </w:r>
      <w:r>
        <w:rPr>
          <w:spacing w:val="-4"/>
          <w:szCs w:val="22"/>
        </w:rPr>
        <w:t>-</w:t>
      </w:r>
      <w:r>
        <w:rPr>
          <w:szCs w:val="22"/>
        </w:rPr>
        <w:t xml:space="preserve">a </w:t>
      </w:r>
      <w:r>
        <w:rPr>
          <w:spacing w:val="-4"/>
          <w:szCs w:val="22"/>
        </w:rPr>
        <w:t>m</w:t>
      </w:r>
      <w:r>
        <w:rPr>
          <w:szCs w:val="22"/>
        </w:rPr>
        <w:t>en</w:t>
      </w:r>
      <w:r>
        <w:rPr>
          <w:spacing w:val="1"/>
          <w:szCs w:val="22"/>
        </w:rPr>
        <w:t>ţi</w:t>
      </w:r>
      <w:r>
        <w:rPr>
          <w:szCs w:val="22"/>
        </w:rPr>
        <w:t>nut</w:t>
      </w:r>
      <w:r>
        <w:rPr>
          <w:spacing w:val="-2"/>
          <w:szCs w:val="22"/>
        </w:rPr>
        <w:t xml:space="preserve"> </w:t>
      </w:r>
      <w:r>
        <w:rPr>
          <w:spacing w:val="1"/>
          <w:szCs w:val="22"/>
        </w:rPr>
        <w:t>ti</w:t>
      </w:r>
      <w:r>
        <w:rPr>
          <w:spacing w:val="-4"/>
          <w:szCs w:val="22"/>
        </w:rPr>
        <w:t>m</w:t>
      </w:r>
      <w:r>
        <w:rPr>
          <w:szCs w:val="22"/>
        </w:rPr>
        <w:t xml:space="preserve">p de 24 </w:t>
      </w:r>
      <w:r>
        <w:rPr>
          <w:spacing w:val="-2"/>
          <w:szCs w:val="22"/>
        </w:rPr>
        <w:t>s</w:t>
      </w:r>
      <w:r>
        <w:rPr>
          <w:szCs w:val="22"/>
        </w:rPr>
        <w:t>ăp</w:t>
      </w:r>
      <w:r>
        <w:rPr>
          <w:spacing w:val="-2"/>
          <w:szCs w:val="22"/>
        </w:rPr>
        <w:t>t</w:t>
      </w:r>
      <w:r>
        <w:rPr>
          <w:spacing w:val="-3"/>
          <w:szCs w:val="22"/>
        </w:rPr>
        <w:t>ă</w:t>
      </w:r>
      <w:r>
        <w:rPr>
          <w:spacing w:val="-4"/>
          <w:szCs w:val="22"/>
        </w:rPr>
        <w:t>m</w:t>
      </w:r>
      <w:r>
        <w:rPr>
          <w:szCs w:val="22"/>
        </w:rPr>
        <w:t>âni</w:t>
      </w:r>
      <w:r>
        <w:rPr>
          <w:spacing w:val="1"/>
          <w:szCs w:val="22"/>
        </w:rPr>
        <w:t xml:space="preserve"> </w:t>
      </w:r>
      <w:r>
        <w:rPr>
          <w:szCs w:val="22"/>
        </w:rPr>
        <w:t>(</w:t>
      </w:r>
      <w:r>
        <w:rPr>
          <w:spacing w:val="-1"/>
          <w:szCs w:val="22"/>
        </w:rPr>
        <w:t>t</w:t>
      </w:r>
      <w:r>
        <w:rPr>
          <w:szCs w:val="22"/>
        </w:rPr>
        <w:t>ab</w:t>
      </w:r>
      <w:r>
        <w:rPr>
          <w:spacing w:val="-3"/>
          <w:szCs w:val="22"/>
        </w:rPr>
        <w:t>e</w:t>
      </w:r>
      <w:r>
        <w:rPr>
          <w:szCs w:val="22"/>
        </w:rPr>
        <w:t>lul</w:t>
      </w:r>
      <w:r>
        <w:rPr>
          <w:spacing w:val="1"/>
          <w:szCs w:val="22"/>
        </w:rPr>
        <w:t xml:space="preserve"> </w:t>
      </w:r>
      <w:r>
        <w:rPr>
          <w:rFonts w:eastAsia="MS Mincho"/>
          <w:szCs w:val="22"/>
          <w:lang w:eastAsia="en-US" w:bidi="ar-SA"/>
        </w:rPr>
        <w:t>12</w:t>
      </w:r>
      <w:r>
        <w:rPr>
          <w:szCs w:val="22"/>
        </w:rPr>
        <w:t>).</w:t>
      </w:r>
    </w:p>
    <w:p w14:paraId="7C8B877C" w14:textId="77777777" w:rsidR="00C04CAD" w:rsidRDefault="00C04CAD">
      <w:pPr>
        <w:autoSpaceDE w:val="0"/>
        <w:autoSpaceDN w:val="0"/>
        <w:adjustRightInd w:val="0"/>
        <w:spacing w:line="240" w:lineRule="auto"/>
        <w:rPr>
          <w:szCs w:val="22"/>
        </w:rPr>
      </w:pPr>
    </w:p>
    <w:p w14:paraId="0FD99982" w14:textId="77777777" w:rsidR="00C04CAD" w:rsidRDefault="00060E34">
      <w:pPr>
        <w:keepNext/>
        <w:autoSpaceDE w:val="0"/>
        <w:autoSpaceDN w:val="0"/>
        <w:adjustRightInd w:val="0"/>
        <w:spacing w:line="240" w:lineRule="auto"/>
        <w:rPr>
          <w:b/>
          <w:szCs w:val="22"/>
        </w:rPr>
      </w:pPr>
      <w:r>
        <w:rPr>
          <w:b/>
          <w:spacing w:val="-1"/>
        </w:rPr>
        <w:t>T</w:t>
      </w:r>
      <w:r>
        <w:rPr>
          <w:b/>
        </w:rPr>
        <w:t>a</w:t>
      </w:r>
      <w:r>
        <w:rPr>
          <w:b/>
          <w:spacing w:val="-1"/>
        </w:rPr>
        <w:t>b</w:t>
      </w:r>
      <w:r>
        <w:rPr>
          <w:b/>
        </w:rPr>
        <w:t>e</w:t>
      </w:r>
      <w:r>
        <w:rPr>
          <w:b/>
          <w:spacing w:val="1"/>
        </w:rPr>
        <w:t>l</w:t>
      </w:r>
      <w:r>
        <w:rPr>
          <w:b/>
          <w:spacing w:val="-1"/>
        </w:rPr>
        <w:t>u</w:t>
      </w:r>
      <w:r>
        <w:rPr>
          <w:b/>
        </w:rPr>
        <w:t>l</w:t>
      </w:r>
      <w:r>
        <w:rPr>
          <w:b/>
          <w:bCs/>
          <w:spacing w:val="-2"/>
        </w:rPr>
        <w:t xml:space="preserve"> </w:t>
      </w:r>
      <w:r>
        <w:rPr>
          <w:b/>
        </w:rPr>
        <w:t>12.</w:t>
      </w:r>
      <w:r>
        <w:rPr>
          <w:b/>
          <w:spacing w:val="-1"/>
        </w:rPr>
        <w:t xml:space="preserve"> </w:t>
      </w:r>
      <w:r>
        <w:rPr>
          <w:b/>
          <w:spacing w:val="-1"/>
          <w:szCs w:val="22"/>
        </w:rPr>
        <w:t>R</w:t>
      </w:r>
      <w:r>
        <w:rPr>
          <w:b/>
          <w:szCs w:val="22"/>
        </w:rPr>
        <w:t>e</w:t>
      </w:r>
      <w:r>
        <w:rPr>
          <w:b/>
          <w:spacing w:val="-3"/>
          <w:szCs w:val="22"/>
        </w:rPr>
        <w:t>z</w:t>
      </w:r>
      <w:r>
        <w:rPr>
          <w:b/>
          <w:spacing w:val="-1"/>
          <w:szCs w:val="22"/>
        </w:rPr>
        <w:t>u</w:t>
      </w:r>
      <w:r>
        <w:rPr>
          <w:b/>
          <w:spacing w:val="1"/>
          <w:szCs w:val="22"/>
        </w:rPr>
        <w:t>l</w:t>
      </w:r>
      <w:r>
        <w:rPr>
          <w:b/>
          <w:szCs w:val="22"/>
        </w:rPr>
        <w:t xml:space="preserve">tate </w:t>
      </w:r>
      <w:r>
        <w:rPr>
          <w:b/>
          <w:spacing w:val="-3"/>
          <w:szCs w:val="22"/>
        </w:rPr>
        <w:t>p</w:t>
      </w:r>
      <w:r>
        <w:rPr>
          <w:b/>
          <w:szCs w:val="22"/>
        </w:rPr>
        <w:t>r</w:t>
      </w:r>
      <w:r>
        <w:rPr>
          <w:b/>
          <w:spacing w:val="1"/>
          <w:szCs w:val="22"/>
        </w:rPr>
        <w:t>i</w:t>
      </w:r>
      <w:r>
        <w:rPr>
          <w:b/>
          <w:spacing w:val="-3"/>
          <w:szCs w:val="22"/>
        </w:rPr>
        <w:t>v</w:t>
      </w:r>
      <w:r>
        <w:rPr>
          <w:b/>
          <w:spacing w:val="1"/>
          <w:szCs w:val="22"/>
        </w:rPr>
        <w:t>i</w:t>
      </w:r>
      <w:r>
        <w:rPr>
          <w:b/>
          <w:spacing w:val="-1"/>
          <w:szCs w:val="22"/>
        </w:rPr>
        <w:t>n</w:t>
      </w:r>
      <w:r>
        <w:rPr>
          <w:b/>
          <w:szCs w:val="22"/>
        </w:rPr>
        <w:t>d</w:t>
      </w:r>
      <w:r>
        <w:rPr>
          <w:b/>
          <w:spacing w:val="-1"/>
          <w:szCs w:val="22"/>
        </w:rPr>
        <w:t xml:space="preserve"> </w:t>
      </w:r>
      <w:r>
        <w:rPr>
          <w:b/>
          <w:spacing w:val="-3"/>
          <w:szCs w:val="22"/>
        </w:rPr>
        <w:t>e</w:t>
      </w:r>
      <w:r>
        <w:rPr>
          <w:b/>
          <w:szCs w:val="22"/>
        </w:rPr>
        <w:t>f</w:t>
      </w:r>
      <w:r>
        <w:rPr>
          <w:b/>
          <w:spacing w:val="-2"/>
          <w:szCs w:val="22"/>
        </w:rPr>
        <w:t>i</w:t>
      </w:r>
      <w:r>
        <w:rPr>
          <w:b/>
          <w:szCs w:val="22"/>
        </w:rPr>
        <w:t>ca</w:t>
      </w:r>
      <w:r>
        <w:rPr>
          <w:b/>
          <w:spacing w:val="-3"/>
          <w:szCs w:val="22"/>
        </w:rPr>
        <w:t>c</w:t>
      </w:r>
      <w:r>
        <w:rPr>
          <w:b/>
          <w:spacing w:val="1"/>
          <w:szCs w:val="22"/>
        </w:rPr>
        <w:t>i</w:t>
      </w:r>
      <w:r>
        <w:rPr>
          <w:b/>
          <w:spacing w:val="-2"/>
          <w:szCs w:val="22"/>
        </w:rPr>
        <w:t>t</w:t>
      </w:r>
      <w:r>
        <w:rPr>
          <w:b/>
          <w:szCs w:val="22"/>
        </w:rPr>
        <w:t>atea</w:t>
      </w:r>
      <w:r>
        <w:rPr>
          <w:b/>
          <w:spacing w:val="-3"/>
          <w:szCs w:val="22"/>
        </w:rPr>
        <w:t xml:space="preserve"> </w:t>
      </w:r>
      <w:r>
        <w:rPr>
          <w:b/>
          <w:spacing w:val="1"/>
          <w:szCs w:val="22"/>
        </w:rPr>
        <w:t>î</w:t>
      </w:r>
      <w:r>
        <w:rPr>
          <w:b/>
          <w:szCs w:val="22"/>
        </w:rPr>
        <w:t>n</w:t>
      </w:r>
      <w:r>
        <w:rPr>
          <w:b/>
          <w:spacing w:val="-1"/>
          <w:szCs w:val="22"/>
        </w:rPr>
        <w:t xml:space="preserve"> </w:t>
      </w:r>
      <w:r>
        <w:rPr>
          <w:b/>
          <w:spacing w:val="-2"/>
          <w:szCs w:val="22"/>
        </w:rPr>
        <w:t>s</w:t>
      </w:r>
      <w:r>
        <w:rPr>
          <w:b/>
          <w:szCs w:val="22"/>
        </w:rPr>
        <w:t>t</w:t>
      </w:r>
      <w:r>
        <w:rPr>
          <w:b/>
          <w:spacing w:val="-1"/>
          <w:szCs w:val="22"/>
        </w:rPr>
        <w:t>ud</w:t>
      </w:r>
      <w:r>
        <w:rPr>
          <w:b/>
          <w:spacing w:val="1"/>
          <w:szCs w:val="22"/>
        </w:rPr>
        <w:t>i</w:t>
      </w:r>
      <w:r>
        <w:rPr>
          <w:b/>
          <w:spacing w:val="-3"/>
          <w:szCs w:val="22"/>
        </w:rPr>
        <w:t>u</w:t>
      </w:r>
      <w:r>
        <w:rPr>
          <w:b/>
          <w:szCs w:val="22"/>
        </w:rPr>
        <w:t>l</w:t>
      </w:r>
      <w:r>
        <w:rPr>
          <w:b/>
          <w:spacing w:val="1"/>
          <w:szCs w:val="22"/>
        </w:rPr>
        <w:t xml:space="preserve"> </w:t>
      </w:r>
      <w:r>
        <w:rPr>
          <w:b/>
          <w:spacing w:val="-1"/>
          <w:szCs w:val="22"/>
        </w:rPr>
        <w:t>S</w:t>
      </w:r>
      <w:r>
        <w:rPr>
          <w:b/>
          <w:szCs w:val="22"/>
        </w:rPr>
        <w:t>A</w:t>
      </w:r>
      <w:r>
        <w:rPr>
          <w:b/>
          <w:spacing w:val="-1"/>
          <w:szCs w:val="22"/>
        </w:rPr>
        <w:t xml:space="preserve"> p</w:t>
      </w:r>
      <w:r>
        <w:rPr>
          <w:b/>
          <w:spacing w:val="1"/>
          <w:szCs w:val="22"/>
        </w:rPr>
        <w:t>l</w:t>
      </w:r>
      <w:r>
        <w:rPr>
          <w:b/>
          <w:spacing w:val="-3"/>
          <w:szCs w:val="22"/>
        </w:rPr>
        <w:t>a</w:t>
      </w:r>
      <w:r>
        <w:rPr>
          <w:b/>
          <w:szCs w:val="22"/>
        </w:rPr>
        <w:t>ce</w:t>
      </w:r>
      <w:r>
        <w:rPr>
          <w:b/>
          <w:spacing w:val="-1"/>
          <w:szCs w:val="22"/>
        </w:rPr>
        <w:t>b</w:t>
      </w:r>
      <w:r>
        <w:rPr>
          <w:b/>
          <w:spacing w:val="-2"/>
          <w:szCs w:val="22"/>
        </w:rPr>
        <w:t>o</w:t>
      </w:r>
      <w:r>
        <w:rPr>
          <w:b/>
          <w:szCs w:val="22"/>
        </w:rPr>
        <w:t>-co</w:t>
      </w:r>
      <w:r>
        <w:rPr>
          <w:b/>
          <w:spacing w:val="-1"/>
          <w:szCs w:val="22"/>
        </w:rPr>
        <w:t>n</w:t>
      </w:r>
      <w:r>
        <w:rPr>
          <w:b/>
          <w:spacing w:val="-2"/>
          <w:szCs w:val="22"/>
        </w:rPr>
        <w:t>t</w:t>
      </w:r>
      <w:r>
        <w:rPr>
          <w:b/>
          <w:szCs w:val="22"/>
        </w:rPr>
        <w:t>ro</w:t>
      </w:r>
      <w:r>
        <w:rPr>
          <w:b/>
          <w:spacing w:val="-2"/>
          <w:szCs w:val="22"/>
        </w:rPr>
        <w:t>l</w:t>
      </w:r>
      <w:r>
        <w:rPr>
          <w:b/>
          <w:szCs w:val="22"/>
        </w:rPr>
        <w:t>a</w:t>
      </w:r>
      <w:r>
        <w:rPr>
          <w:b/>
          <w:spacing w:val="-2"/>
          <w:szCs w:val="22"/>
        </w:rPr>
        <w:t>t</w:t>
      </w:r>
      <w:r>
        <w:rPr>
          <w:b/>
          <w:szCs w:val="22"/>
        </w:rPr>
        <w:t>-</w:t>
      </w:r>
      <w:r>
        <w:rPr>
          <w:b/>
          <w:spacing w:val="-1"/>
          <w:szCs w:val="22"/>
        </w:rPr>
        <w:t>S</w:t>
      </w:r>
      <w:r>
        <w:rPr>
          <w:b/>
          <w:szCs w:val="22"/>
        </w:rPr>
        <w:t>t</w:t>
      </w:r>
      <w:r>
        <w:rPr>
          <w:b/>
          <w:spacing w:val="-1"/>
          <w:szCs w:val="22"/>
        </w:rPr>
        <w:t>u</w:t>
      </w:r>
      <w:r>
        <w:rPr>
          <w:b/>
          <w:spacing w:val="-3"/>
          <w:szCs w:val="22"/>
        </w:rPr>
        <w:t>d</w:t>
      </w:r>
      <w:r>
        <w:rPr>
          <w:b/>
          <w:spacing w:val="1"/>
          <w:szCs w:val="22"/>
        </w:rPr>
        <w:t>i</w:t>
      </w:r>
      <w:r>
        <w:rPr>
          <w:b/>
          <w:spacing w:val="-1"/>
          <w:szCs w:val="22"/>
        </w:rPr>
        <w:t>u</w:t>
      </w:r>
      <w:r>
        <w:rPr>
          <w:b/>
          <w:szCs w:val="22"/>
        </w:rPr>
        <w:t>l</w:t>
      </w:r>
      <w:r>
        <w:rPr>
          <w:b/>
          <w:spacing w:val="-2"/>
          <w:szCs w:val="22"/>
        </w:rPr>
        <w:t xml:space="preserve"> </w:t>
      </w:r>
      <w:r>
        <w:rPr>
          <w:b/>
          <w:szCs w:val="22"/>
        </w:rPr>
        <w:t xml:space="preserve">I - </w:t>
      </w:r>
      <w:r>
        <w:rPr>
          <w:b/>
          <w:bCs/>
          <w:spacing w:val="-1"/>
          <w:szCs w:val="22"/>
        </w:rPr>
        <w:t>r</w:t>
      </w:r>
      <w:r>
        <w:rPr>
          <w:b/>
          <w:szCs w:val="22"/>
        </w:rPr>
        <w:t>e</w:t>
      </w:r>
      <w:r>
        <w:rPr>
          <w:b/>
          <w:spacing w:val="-1"/>
          <w:szCs w:val="22"/>
        </w:rPr>
        <w:t>du</w:t>
      </w:r>
      <w:r>
        <w:rPr>
          <w:b/>
          <w:szCs w:val="22"/>
        </w:rPr>
        <w:t>cer</w:t>
      </w:r>
      <w:r>
        <w:rPr>
          <w:b/>
          <w:spacing w:val="-3"/>
          <w:szCs w:val="22"/>
        </w:rPr>
        <w:t>e</w:t>
      </w:r>
      <w:r>
        <w:rPr>
          <w:b/>
          <w:szCs w:val="22"/>
        </w:rPr>
        <w:t>a s</w:t>
      </w:r>
      <w:r>
        <w:rPr>
          <w:b/>
          <w:spacing w:val="-3"/>
          <w:szCs w:val="22"/>
        </w:rPr>
        <w:t>e</w:t>
      </w:r>
      <w:r>
        <w:rPr>
          <w:b/>
          <w:szCs w:val="22"/>
        </w:rPr>
        <w:t>m</w:t>
      </w:r>
      <w:r>
        <w:rPr>
          <w:b/>
          <w:spacing w:val="-1"/>
          <w:szCs w:val="22"/>
        </w:rPr>
        <w:t>n</w:t>
      </w:r>
      <w:r>
        <w:rPr>
          <w:b/>
          <w:spacing w:val="-3"/>
          <w:szCs w:val="22"/>
        </w:rPr>
        <w:t>e</w:t>
      </w:r>
      <w:r>
        <w:rPr>
          <w:b/>
          <w:spacing w:val="1"/>
          <w:szCs w:val="22"/>
        </w:rPr>
        <w:t>l</w:t>
      </w:r>
      <w:r>
        <w:rPr>
          <w:b/>
          <w:szCs w:val="22"/>
        </w:rPr>
        <w:t>or</w:t>
      </w:r>
      <w:r>
        <w:rPr>
          <w:b/>
          <w:spacing w:val="-2"/>
          <w:szCs w:val="22"/>
        </w:rPr>
        <w:t xml:space="preserve"> </w:t>
      </w:r>
      <w:r>
        <w:rPr>
          <w:b/>
          <w:szCs w:val="22"/>
        </w:rPr>
        <w:t>şi</w:t>
      </w:r>
      <w:r>
        <w:rPr>
          <w:b/>
          <w:spacing w:val="-2"/>
          <w:szCs w:val="22"/>
        </w:rPr>
        <w:t xml:space="preserve"> </w:t>
      </w:r>
      <w:r>
        <w:rPr>
          <w:b/>
          <w:szCs w:val="22"/>
        </w:rPr>
        <w:t>s</w:t>
      </w:r>
      <w:r>
        <w:rPr>
          <w:b/>
          <w:spacing w:val="-2"/>
          <w:szCs w:val="22"/>
        </w:rPr>
        <w:t>i</w:t>
      </w:r>
      <w:r>
        <w:rPr>
          <w:b/>
          <w:szCs w:val="22"/>
        </w:rPr>
        <w:t>m</w:t>
      </w:r>
      <w:r>
        <w:rPr>
          <w:b/>
          <w:spacing w:val="-1"/>
          <w:szCs w:val="22"/>
        </w:rPr>
        <w:t>p</w:t>
      </w:r>
      <w:r>
        <w:rPr>
          <w:b/>
          <w:szCs w:val="22"/>
        </w:rPr>
        <w:t>t</w:t>
      </w:r>
      <w:r>
        <w:rPr>
          <w:b/>
          <w:spacing w:val="-3"/>
          <w:szCs w:val="22"/>
        </w:rPr>
        <w:t>o</w:t>
      </w:r>
      <w:r>
        <w:rPr>
          <w:b/>
          <w:szCs w:val="22"/>
        </w:rPr>
        <w:t>m</w:t>
      </w:r>
      <w:r>
        <w:rPr>
          <w:b/>
          <w:spacing w:val="-3"/>
          <w:szCs w:val="22"/>
        </w:rPr>
        <w:t>e</w:t>
      </w:r>
      <w:r>
        <w:rPr>
          <w:b/>
          <w:spacing w:val="1"/>
          <w:szCs w:val="22"/>
        </w:rPr>
        <w:t>l</w:t>
      </w:r>
      <w:r>
        <w:rPr>
          <w:b/>
          <w:szCs w:val="22"/>
        </w:rPr>
        <w:t>or</w:t>
      </w:r>
    </w:p>
    <w:p w14:paraId="29E2D4A3" w14:textId="77777777" w:rsidR="00C04CAD" w:rsidRDefault="00C04CAD">
      <w:pPr>
        <w:keepNext/>
        <w:autoSpaceDE w:val="0"/>
        <w:autoSpaceDN w:val="0"/>
        <w:adjustRightInd w:val="0"/>
        <w:spacing w:line="240" w:lineRule="auto"/>
        <w:rPr>
          <w:szCs w:val="22"/>
        </w:rPr>
      </w:pPr>
    </w:p>
    <w:tbl>
      <w:tblPr>
        <w:tblW w:w="5000" w:type="pct"/>
        <w:tblLayout w:type="fixed"/>
        <w:tblCellMar>
          <w:left w:w="0" w:type="dxa"/>
          <w:right w:w="0" w:type="dxa"/>
        </w:tblCellMar>
        <w:tblLook w:val="04A0" w:firstRow="1" w:lastRow="0" w:firstColumn="1" w:lastColumn="0" w:noHBand="0" w:noVBand="1"/>
      </w:tblPr>
      <w:tblGrid>
        <w:gridCol w:w="2202"/>
        <w:gridCol w:w="3429"/>
        <w:gridCol w:w="3430"/>
      </w:tblGrid>
      <w:tr w:rsidR="00C04CAD" w14:paraId="4A2217AD" w14:textId="77777777">
        <w:trPr>
          <w:trHeight w:hRule="exact" w:val="624"/>
          <w:tblHeader/>
        </w:trPr>
        <w:tc>
          <w:tcPr>
            <w:tcW w:w="1215" w:type="pct"/>
            <w:tcBorders>
              <w:top w:val="single" w:sz="4" w:space="0" w:color="000000"/>
              <w:left w:val="single" w:sz="4" w:space="0" w:color="000000"/>
              <w:bottom w:val="single" w:sz="4" w:space="0" w:color="000000"/>
              <w:right w:val="single" w:sz="4" w:space="0" w:color="000000"/>
            </w:tcBorders>
          </w:tcPr>
          <w:p w14:paraId="7E0444D5" w14:textId="77777777" w:rsidR="00C04CAD" w:rsidRDefault="00060E34">
            <w:pPr>
              <w:keepNext/>
              <w:tabs>
                <w:tab w:val="clear" w:pos="567"/>
              </w:tabs>
              <w:kinsoku w:val="0"/>
              <w:overflowPunct w:val="0"/>
              <w:autoSpaceDE w:val="0"/>
              <w:autoSpaceDN w:val="0"/>
              <w:adjustRightInd w:val="0"/>
              <w:spacing w:line="240" w:lineRule="auto"/>
              <w:ind w:left="102"/>
            </w:pPr>
            <w:r>
              <w:rPr>
                <w:b/>
              </w:rPr>
              <w:t>Răspuns</w:t>
            </w:r>
          </w:p>
        </w:tc>
        <w:tc>
          <w:tcPr>
            <w:tcW w:w="1892" w:type="pct"/>
            <w:tcBorders>
              <w:top w:val="single" w:sz="4" w:space="0" w:color="000000"/>
              <w:left w:val="single" w:sz="4" w:space="0" w:color="000000"/>
              <w:bottom w:val="single" w:sz="4" w:space="0" w:color="000000"/>
              <w:right w:val="single" w:sz="4" w:space="0" w:color="000000"/>
            </w:tcBorders>
          </w:tcPr>
          <w:p w14:paraId="04D1947F" w14:textId="77777777" w:rsidR="00C04CAD" w:rsidRDefault="00060E34">
            <w:pPr>
              <w:keepNext/>
              <w:tabs>
                <w:tab w:val="clear" w:pos="567"/>
              </w:tabs>
              <w:autoSpaceDE w:val="0"/>
              <w:autoSpaceDN w:val="0"/>
              <w:adjustRightInd w:val="0"/>
              <w:spacing w:line="240" w:lineRule="auto"/>
              <w:jc w:val="center"/>
              <w:rPr>
                <w:b/>
              </w:rPr>
            </w:pPr>
            <w:r>
              <w:rPr>
                <w:b/>
              </w:rPr>
              <w:t xml:space="preserve">Placebo </w:t>
            </w:r>
          </w:p>
          <w:p w14:paraId="773A7C03" w14:textId="77777777" w:rsidR="00C04CAD" w:rsidRDefault="00060E34">
            <w:pPr>
              <w:keepNext/>
              <w:tabs>
                <w:tab w:val="clear" w:pos="567"/>
              </w:tabs>
              <w:autoSpaceDE w:val="0"/>
              <w:autoSpaceDN w:val="0"/>
              <w:adjustRightInd w:val="0"/>
              <w:spacing w:line="240" w:lineRule="auto"/>
              <w:jc w:val="center"/>
            </w:pPr>
            <w:r>
              <w:rPr>
                <w:b/>
              </w:rPr>
              <w:t>N=107</w:t>
            </w:r>
          </w:p>
        </w:tc>
        <w:tc>
          <w:tcPr>
            <w:tcW w:w="1893" w:type="pct"/>
            <w:tcBorders>
              <w:top w:val="single" w:sz="4" w:space="0" w:color="000000"/>
              <w:left w:val="single" w:sz="4" w:space="0" w:color="000000"/>
              <w:bottom w:val="single" w:sz="4" w:space="0" w:color="000000"/>
              <w:right w:val="single" w:sz="4" w:space="0" w:color="000000"/>
            </w:tcBorders>
          </w:tcPr>
          <w:p w14:paraId="19B481EB" w14:textId="77777777" w:rsidR="00C04CAD" w:rsidRDefault="00060E34">
            <w:pPr>
              <w:keepNext/>
              <w:tabs>
                <w:tab w:val="clear" w:pos="567"/>
              </w:tabs>
              <w:autoSpaceDE w:val="0"/>
              <w:autoSpaceDN w:val="0"/>
              <w:adjustRightInd w:val="0"/>
              <w:spacing w:line="240" w:lineRule="auto"/>
              <w:jc w:val="center"/>
              <w:rPr>
                <w:rFonts w:eastAsia="MS Mincho"/>
                <w:b/>
                <w:bCs/>
                <w:szCs w:val="22"/>
                <w:lang w:eastAsia="en-US" w:bidi="ar-SA"/>
              </w:rPr>
            </w:pPr>
            <w:r>
              <w:rPr>
                <w:rFonts w:eastAsia="MS Mincho"/>
                <w:b/>
                <w:bCs/>
                <w:szCs w:val="22"/>
                <w:lang w:eastAsia="en-US" w:bidi="ar-SA"/>
              </w:rPr>
              <w:t xml:space="preserve">Adalimumab </w:t>
            </w:r>
          </w:p>
          <w:p w14:paraId="3CE8CD8B" w14:textId="77777777" w:rsidR="00C04CAD" w:rsidRDefault="00060E34">
            <w:pPr>
              <w:keepNext/>
              <w:tabs>
                <w:tab w:val="clear" w:pos="567"/>
              </w:tabs>
              <w:autoSpaceDE w:val="0"/>
              <w:autoSpaceDN w:val="0"/>
              <w:adjustRightInd w:val="0"/>
              <w:spacing w:line="240" w:lineRule="auto"/>
              <w:jc w:val="center"/>
            </w:pPr>
            <w:r>
              <w:rPr>
                <w:b/>
              </w:rPr>
              <w:t>N=208</w:t>
            </w:r>
          </w:p>
        </w:tc>
      </w:tr>
      <w:tr w:rsidR="00C04CAD" w14:paraId="207A31CA"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18F31AF2" w14:textId="77777777" w:rsidR="00C04CAD" w:rsidRDefault="00060E34">
            <w:pPr>
              <w:keepNext/>
              <w:tabs>
                <w:tab w:val="clear" w:pos="567"/>
              </w:tabs>
              <w:kinsoku w:val="0"/>
              <w:overflowPunct w:val="0"/>
              <w:autoSpaceDE w:val="0"/>
              <w:autoSpaceDN w:val="0"/>
              <w:adjustRightInd w:val="0"/>
              <w:spacing w:line="240" w:lineRule="auto"/>
              <w:ind w:left="102"/>
            </w:pPr>
            <w:r>
              <w:t>ASAS</w:t>
            </w:r>
            <w:r>
              <w:rPr>
                <w:vertAlign w:val="superscript"/>
              </w:rPr>
              <w:t>a</w:t>
            </w:r>
            <w:r>
              <w:t xml:space="preserve"> 20</w:t>
            </w:r>
          </w:p>
        </w:tc>
        <w:tc>
          <w:tcPr>
            <w:tcW w:w="1892" w:type="pct"/>
            <w:tcBorders>
              <w:top w:val="single" w:sz="4" w:space="0" w:color="000000"/>
              <w:left w:val="single" w:sz="4" w:space="0" w:color="000000"/>
              <w:bottom w:val="single" w:sz="4" w:space="0" w:color="000000"/>
              <w:right w:val="single" w:sz="4" w:space="0" w:color="000000"/>
            </w:tcBorders>
          </w:tcPr>
          <w:p w14:paraId="415D7A40" w14:textId="77777777" w:rsidR="00C04CAD" w:rsidRDefault="00C04CAD">
            <w:pPr>
              <w:keepNext/>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3A27B5E7" w14:textId="77777777" w:rsidR="00C04CAD" w:rsidRDefault="00C04CAD">
            <w:pPr>
              <w:keepNext/>
              <w:tabs>
                <w:tab w:val="clear" w:pos="567"/>
              </w:tabs>
              <w:autoSpaceDE w:val="0"/>
              <w:autoSpaceDN w:val="0"/>
              <w:adjustRightInd w:val="0"/>
              <w:spacing w:line="240" w:lineRule="auto"/>
              <w:jc w:val="center"/>
            </w:pPr>
          </w:p>
        </w:tc>
      </w:tr>
      <w:tr w:rsidR="00C04CAD" w14:paraId="11C475C4" w14:textId="77777777">
        <w:trPr>
          <w:trHeight w:hRule="exact" w:val="266"/>
        </w:trPr>
        <w:tc>
          <w:tcPr>
            <w:tcW w:w="1215" w:type="pct"/>
            <w:tcBorders>
              <w:top w:val="single" w:sz="4" w:space="0" w:color="000000"/>
              <w:left w:val="single" w:sz="4" w:space="0" w:color="000000"/>
              <w:bottom w:val="single" w:sz="4" w:space="0" w:color="000000"/>
              <w:right w:val="single" w:sz="4" w:space="0" w:color="000000"/>
            </w:tcBorders>
          </w:tcPr>
          <w:p w14:paraId="0AD4E82E"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24DBDF5D" w14:textId="77777777" w:rsidR="00C04CAD" w:rsidRDefault="00060E34">
            <w:pPr>
              <w:keepNext/>
              <w:tabs>
                <w:tab w:val="clear" w:pos="567"/>
              </w:tabs>
              <w:kinsoku w:val="0"/>
              <w:overflowPunct w:val="0"/>
              <w:autoSpaceDE w:val="0"/>
              <w:autoSpaceDN w:val="0"/>
              <w:adjustRightInd w:val="0"/>
              <w:spacing w:line="240" w:lineRule="auto"/>
              <w:ind w:left="99"/>
              <w:jc w:val="center"/>
            </w:pPr>
            <w:r>
              <w:t>16%</w:t>
            </w:r>
          </w:p>
        </w:tc>
        <w:tc>
          <w:tcPr>
            <w:tcW w:w="1893" w:type="pct"/>
            <w:tcBorders>
              <w:top w:val="single" w:sz="4" w:space="0" w:color="000000"/>
              <w:left w:val="single" w:sz="4" w:space="0" w:color="000000"/>
              <w:bottom w:val="single" w:sz="4" w:space="0" w:color="000000"/>
              <w:right w:val="single" w:sz="4" w:space="0" w:color="000000"/>
            </w:tcBorders>
          </w:tcPr>
          <w:p w14:paraId="2214C489" w14:textId="77777777" w:rsidR="00C04CAD" w:rsidRDefault="00060E34">
            <w:pPr>
              <w:keepNext/>
              <w:tabs>
                <w:tab w:val="clear" w:pos="567"/>
              </w:tabs>
              <w:kinsoku w:val="0"/>
              <w:overflowPunct w:val="0"/>
              <w:autoSpaceDE w:val="0"/>
              <w:autoSpaceDN w:val="0"/>
              <w:adjustRightInd w:val="0"/>
              <w:spacing w:line="240" w:lineRule="auto"/>
              <w:ind w:left="99"/>
              <w:jc w:val="center"/>
            </w:pPr>
            <w:r>
              <w:t>42%***</w:t>
            </w:r>
          </w:p>
        </w:tc>
      </w:tr>
      <w:tr w:rsidR="00C04CAD" w14:paraId="5A7EAB3C"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38E6AA4F"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042064D5" w14:textId="77777777" w:rsidR="00C04CAD" w:rsidRDefault="00060E34">
            <w:pPr>
              <w:keepNext/>
              <w:tabs>
                <w:tab w:val="clear" w:pos="567"/>
              </w:tabs>
              <w:kinsoku w:val="0"/>
              <w:overflowPunct w:val="0"/>
              <w:autoSpaceDE w:val="0"/>
              <w:autoSpaceDN w:val="0"/>
              <w:adjustRightInd w:val="0"/>
              <w:spacing w:line="240" w:lineRule="auto"/>
              <w:ind w:left="99"/>
              <w:jc w:val="center"/>
            </w:pPr>
            <w:r>
              <w:t>21%</w:t>
            </w:r>
          </w:p>
        </w:tc>
        <w:tc>
          <w:tcPr>
            <w:tcW w:w="1893" w:type="pct"/>
            <w:tcBorders>
              <w:top w:val="single" w:sz="4" w:space="0" w:color="000000"/>
              <w:left w:val="single" w:sz="4" w:space="0" w:color="000000"/>
              <w:bottom w:val="single" w:sz="4" w:space="0" w:color="000000"/>
              <w:right w:val="single" w:sz="4" w:space="0" w:color="000000"/>
            </w:tcBorders>
          </w:tcPr>
          <w:p w14:paraId="69C8E178" w14:textId="77777777" w:rsidR="00C04CAD" w:rsidRDefault="00060E34">
            <w:pPr>
              <w:keepNext/>
              <w:tabs>
                <w:tab w:val="clear" w:pos="567"/>
              </w:tabs>
              <w:kinsoku w:val="0"/>
              <w:overflowPunct w:val="0"/>
              <w:autoSpaceDE w:val="0"/>
              <w:autoSpaceDN w:val="0"/>
              <w:adjustRightInd w:val="0"/>
              <w:spacing w:line="240" w:lineRule="auto"/>
              <w:ind w:left="99"/>
              <w:jc w:val="center"/>
            </w:pPr>
            <w:r>
              <w:t>58%***</w:t>
            </w:r>
          </w:p>
        </w:tc>
      </w:tr>
      <w:tr w:rsidR="00C04CAD" w14:paraId="6DEAFB74" w14:textId="77777777">
        <w:trPr>
          <w:trHeight w:hRule="exact" w:val="266"/>
        </w:trPr>
        <w:tc>
          <w:tcPr>
            <w:tcW w:w="1215" w:type="pct"/>
            <w:tcBorders>
              <w:top w:val="single" w:sz="4" w:space="0" w:color="000000"/>
              <w:left w:val="single" w:sz="4" w:space="0" w:color="000000"/>
              <w:bottom w:val="single" w:sz="4" w:space="0" w:color="000000"/>
              <w:right w:val="single" w:sz="4" w:space="0" w:color="000000"/>
            </w:tcBorders>
          </w:tcPr>
          <w:p w14:paraId="487BF330"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562D62D6" w14:textId="77777777" w:rsidR="00C04CAD" w:rsidRDefault="00060E34">
            <w:pPr>
              <w:keepNext/>
              <w:tabs>
                <w:tab w:val="clear" w:pos="567"/>
              </w:tabs>
              <w:kinsoku w:val="0"/>
              <w:overflowPunct w:val="0"/>
              <w:autoSpaceDE w:val="0"/>
              <w:autoSpaceDN w:val="0"/>
              <w:adjustRightInd w:val="0"/>
              <w:spacing w:line="240" w:lineRule="auto"/>
              <w:ind w:left="99"/>
              <w:jc w:val="center"/>
            </w:pPr>
            <w:r>
              <w:t>19%</w:t>
            </w:r>
          </w:p>
        </w:tc>
        <w:tc>
          <w:tcPr>
            <w:tcW w:w="1893" w:type="pct"/>
            <w:tcBorders>
              <w:top w:val="single" w:sz="4" w:space="0" w:color="000000"/>
              <w:left w:val="single" w:sz="4" w:space="0" w:color="000000"/>
              <w:bottom w:val="single" w:sz="4" w:space="0" w:color="000000"/>
              <w:right w:val="single" w:sz="4" w:space="0" w:color="000000"/>
            </w:tcBorders>
          </w:tcPr>
          <w:p w14:paraId="263582E3" w14:textId="77777777" w:rsidR="00C04CAD" w:rsidRDefault="00060E34">
            <w:pPr>
              <w:keepNext/>
              <w:tabs>
                <w:tab w:val="clear" w:pos="567"/>
              </w:tabs>
              <w:kinsoku w:val="0"/>
              <w:overflowPunct w:val="0"/>
              <w:autoSpaceDE w:val="0"/>
              <w:autoSpaceDN w:val="0"/>
              <w:adjustRightInd w:val="0"/>
              <w:spacing w:line="240" w:lineRule="auto"/>
              <w:ind w:left="99"/>
              <w:jc w:val="center"/>
            </w:pPr>
            <w:r>
              <w:t>51%***</w:t>
            </w:r>
          </w:p>
        </w:tc>
      </w:tr>
      <w:tr w:rsidR="00C04CAD" w14:paraId="6B2D0D34" w14:textId="77777777">
        <w:trPr>
          <w:trHeight w:hRule="exact" w:val="269"/>
        </w:trPr>
        <w:tc>
          <w:tcPr>
            <w:tcW w:w="1215" w:type="pct"/>
            <w:tcBorders>
              <w:top w:val="single" w:sz="4" w:space="0" w:color="000000"/>
              <w:left w:val="single" w:sz="4" w:space="0" w:color="000000"/>
              <w:bottom w:val="single" w:sz="4" w:space="0" w:color="000000"/>
              <w:right w:val="single" w:sz="4" w:space="0" w:color="000000"/>
            </w:tcBorders>
          </w:tcPr>
          <w:p w14:paraId="6ABD8BCC" w14:textId="77777777" w:rsidR="00C04CAD" w:rsidRDefault="00060E34">
            <w:pPr>
              <w:tabs>
                <w:tab w:val="clear" w:pos="567"/>
              </w:tabs>
              <w:kinsoku w:val="0"/>
              <w:overflowPunct w:val="0"/>
              <w:autoSpaceDE w:val="0"/>
              <w:autoSpaceDN w:val="0"/>
              <w:adjustRightInd w:val="0"/>
              <w:spacing w:line="240" w:lineRule="auto"/>
              <w:ind w:left="102"/>
            </w:pPr>
            <w:r>
              <w:t>ASAS50</w:t>
            </w:r>
          </w:p>
        </w:tc>
        <w:tc>
          <w:tcPr>
            <w:tcW w:w="1892" w:type="pct"/>
            <w:tcBorders>
              <w:top w:val="single" w:sz="4" w:space="0" w:color="000000"/>
              <w:left w:val="single" w:sz="4" w:space="0" w:color="000000"/>
              <w:bottom w:val="single" w:sz="4" w:space="0" w:color="000000"/>
              <w:right w:val="single" w:sz="4" w:space="0" w:color="000000"/>
            </w:tcBorders>
          </w:tcPr>
          <w:p w14:paraId="04A8F84A" w14:textId="77777777" w:rsidR="00C04CAD" w:rsidRDefault="00C04CAD">
            <w:pPr>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6149E6ED" w14:textId="77777777" w:rsidR="00C04CAD" w:rsidRDefault="00C04CAD">
            <w:pPr>
              <w:tabs>
                <w:tab w:val="clear" w:pos="567"/>
              </w:tabs>
              <w:autoSpaceDE w:val="0"/>
              <w:autoSpaceDN w:val="0"/>
              <w:adjustRightInd w:val="0"/>
              <w:spacing w:line="240" w:lineRule="auto"/>
              <w:jc w:val="center"/>
            </w:pPr>
          </w:p>
        </w:tc>
      </w:tr>
      <w:tr w:rsidR="00C04CAD" w14:paraId="0470D941" w14:textId="77777777">
        <w:trPr>
          <w:trHeight w:hRule="exact" w:val="274"/>
        </w:trPr>
        <w:tc>
          <w:tcPr>
            <w:tcW w:w="1215" w:type="pct"/>
            <w:tcBorders>
              <w:top w:val="single" w:sz="4" w:space="0" w:color="000000"/>
              <w:left w:val="single" w:sz="4" w:space="0" w:color="000000"/>
              <w:bottom w:val="single" w:sz="4" w:space="0" w:color="000000"/>
              <w:right w:val="single" w:sz="4" w:space="0" w:color="000000"/>
            </w:tcBorders>
          </w:tcPr>
          <w:p w14:paraId="3A606E70" w14:textId="77777777" w:rsidR="00C04CAD" w:rsidRDefault="00060E34">
            <w:pPr>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2079A3EB" w14:textId="77777777" w:rsidR="00C04CAD" w:rsidRDefault="00060E34">
            <w:pPr>
              <w:tabs>
                <w:tab w:val="clear" w:pos="567"/>
              </w:tabs>
              <w:kinsoku w:val="0"/>
              <w:overflowPunct w:val="0"/>
              <w:autoSpaceDE w:val="0"/>
              <w:autoSpaceDN w:val="0"/>
              <w:adjustRightInd w:val="0"/>
              <w:spacing w:line="240" w:lineRule="auto"/>
              <w:ind w:left="99"/>
              <w:jc w:val="center"/>
            </w:pPr>
            <w:r>
              <w:t>3%</w:t>
            </w:r>
          </w:p>
        </w:tc>
        <w:tc>
          <w:tcPr>
            <w:tcW w:w="1893" w:type="pct"/>
            <w:tcBorders>
              <w:top w:val="single" w:sz="4" w:space="0" w:color="000000"/>
              <w:left w:val="single" w:sz="4" w:space="0" w:color="000000"/>
              <w:bottom w:val="single" w:sz="4" w:space="0" w:color="000000"/>
              <w:right w:val="single" w:sz="4" w:space="0" w:color="000000"/>
            </w:tcBorders>
          </w:tcPr>
          <w:p w14:paraId="7592310E" w14:textId="77777777" w:rsidR="00C04CAD" w:rsidRDefault="00060E34">
            <w:pPr>
              <w:tabs>
                <w:tab w:val="clear" w:pos="567"/>
              </w:tabs>
              <w:kinsoku w:val="0"/>
              <w:overflowPunct w:val="0"/>
              <w:autoSpaceDE w:val="0"/>
              <w:autoSpaceDN w:val="0"/>
              <w:adjustRightInd w:val="0"/>
              <w:spacing w:line="240" w:lineRule="auto"/>
              <w:ind w:left="99"/>
              <w:jc w:val="center"/>
            </w:pPr>
            <w:r>
              <w:t>16%***</w:t>
            </w:r>
          </w:p>
        </w:tc>
      </w:tr>
      <w:tr w:rsidR="00C04CAD" w14:paraId="0D620530" w14:textId="77777777">
        <w:trPr>
          <w:trHeight w:hRule="exact" w:val="290"/>
        </w:trPr>
        <w:tc>
          <w:tcPr>
            <w:tcW w:w="1215" w:type="pct"/>
            <w:tcBorders>
              <w:top w:val="single" w:sz="4" w:space="0" w:color="000000"/>
              <w:left w:val="single" w:sz="4" w:space="0" w:color="000000"/>
              <w:bottom w:val="single" w:sz="4" w:space="0" w:color="000000"/>
              <w:right w:val="single" w:sz="4" w:space="0" w:color="000000"/>
            </w:tcBorders>
          </w:tcPr>
          <w:p w14:paraId="784B4D21" w14:textId="77777777" w:rsidR="00C04CAD" w:rsidRDefault="00060E34">
            <w:pPr>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7BDAE5DE" w14:textId="77777777" w:rsidR="00C04CAD" w:rsidRDefault="00060E34">
            <w:pPr>
              <w:tabs>
                <w:tab w:val="clear" w:pos="567"/>
              </w:tabs>
              <w:kinsoku w:val="0"/>
              <w:overflowPunct w:val="0"/>
              <w:autoSpaceDE w:val="0"/>
              <w:autoSpaceDN w:val="0"/>
              <w:adjustRightInd w:val="0"/>
              <w:spacing w:line="240" w:lineRule="auto"/>
              <w:ind w:left="99"/>
              <w:jc w:val="center"/>
            </w:pPr>
            <w:r>
              <w:t>10%</w:t>
            </w:r>
          </w:p>
        </w:tc>
        <w:tc>
          <w:tcPr>
            <w:tcW w:w="1893" w:type="pct"/>
            <w:tcBorders>
              <w:top w:val="single" w:sz="4" w:space="0" w:color="000000"/>
              <w:left w:val="single" w:sz="4" w:space="0" w:color="000000"/>
              <w:bottom w:val="single" w:sz="4" w:space="0" w:color="000000"/>
              <w:right w:val="single" w:sz="4" w:space="0" w:color="000000"/>
            </w:tcBorders>
          </w:tcPr>
          <w:p w14:paraId="17B171A8" w14:textId="77777777" w:rsidR="00C04CAD" w:rsidRDefault="00060E34">
            <w:pPr>
              <w:tabs>
                <w:tab w:val="clear" w:pos="567"/>
              </w:tabs>
              <w:kinsoku w:val="0"/>
              <w:overflowPunct w:val="0"/>
              <w:autoSpaceDE w:val="0"/>
              <w:autoSpaceDN w:val="0"/>
              <w:adjustRightInd w:val="0"/>
              <w:spacing w:line="240" w:lineRule="auto"/>
              <w:ind w:left="99"/>
              <w:jc w:val="center"/>
            </w:pPr>
            <w:r>
              <w:t>38%***</w:t>
            </w:r>
          </w:p>
        </w:tc>
      </w:tr>
      <w:tr w:rsidR="00C04CAD" w14:paraId="43A05C6F"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046DBD09"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00F9B766" w14:textId="77777777" w:rsidR="00C04CAD" w:rsidRDefault="00060E34">
            <w:pPr>
              <w:tabs>
                <w:tab w:val="clear" w:pos="567"/>
              </w:tabs>
              <w:kinsoku w:val="0"/>
              <w:overflowPunct w:val="0"/>
              <w:autoSpaceDE w:val="0"/>
              <w:autoSpaceDN w:val="0"/>
              <w:adjustRightInd w:val="0"/>
              <w:spacing w:line="240" w:lineRule="auto"/>
              <w:ind w:left="99"/>
              <w:jc w:val="center"/>
            </w:pPr>
            <w:r>
              <w:t>11%</w:t>
            </w:r>
          </w:p>
        </w:tc>
        <w:tc>
          <w:tcPr>
            <w:tcW w:w="1893" w:type="pct"/>
            <w:tcBorders>
              <w:top w:val="single" w:sz="4" w:space="0" w:color="000000"/>
              <w:left w:val="single" w:sz="4" w:space="0" w:color="000000"/>
              <w:bottom w:val="single" w:sz="4" w:space="0" w:color="000000"/>
              <w:right w:val="single" w:sz="4" w:space="0" w:color="000000"/>
            </w:tcBorders>
          </w:tcPr>
          <w:p w14:paraId="06FD6F38" w14:textId="77777777" w:rsidR="00C04CAD" w:rsidRDefault="00060E34">
            <w:pPr>
              <w:tabs>
                <w:tab w:val="clear" w:pos="567"/>
              </w:tabs>
              <w:kinsoku w:val="0"/>
              <w:overflowPunct w:val="0"/>
              <w:autoSpaceDE w:val="0"/>
              <w:autoSpaceDN w:val="0"/>
              <w:adjustRightInd w:val="0"/>
              <w:spacing w:line="240" w:lineRule="auto"/>
              <w:ind w:left="99"/>
              <w:jc w:val="center"/>
            </w:pPr>
            <w:r>
              <w:t>35%***</w:t>
            </w:r>
          </w:p>
        </w:tc>
      </w:tr>
      <w:tr w:rsidR="00C04CAD" w14:paraId="5F035D8C" w14:textId="77777777">
        <w:trPr>
          <w:trHeight w:hRule="exact" w:val="300"/>
        </w:trPr>
        <w:tc>
          <w:tcPr>
            <w:tcW w:w="1215" w:type="pct"/>
            <w:tcBorders>
              <w:top w:val="single" w:sz="4" w:space="0" w:color="000000"/>
              <w:left w:val="single" w:sz="4" w:space="0" w:color="000000"/>
              <w:bottom w:val="single" w:sz="4" w:space="0" w:color="000000"/>
              <w:right w:val="single" w:sz="4" w:space="0" w:color="000000"/>
            </w:tcBorders>
          </w:tcPr>
          <w:p w14:paraId="7A06F04A" w14:textId="77777777" w:rsidR="00C04CAD" w:rsidRDefault="00060E34">
            <w:pPr>
              <w:keepNext/>
              <w:tabs>
                <w:tab w:val="clear" w:pos="567"/>
              </w:tabs>
              <w:kinsoku w:val="0"/>
              <w:overflowPunct w:val="0"/>
              <w:autoSpaceDE w:val="0"/>
              <w:autoSpaceDN w:val="0"/>
              <w:adjustRightInd w:val="0"/>
              <w:spacing w:line="240" w:lineRule="auto"/>
              <w:ind w:left="102"/>
            </w:pPr>
            <w:r>
              <w:lastRenderedPageBreak/>
              <w:t>ASAS70</w:t>
            </w:r>
          </w:p>
        </w:tc>
        <w:tc>
          <w:tcPr>
            <w:tcW w:w="1892" w:type="pct"/>
            <w:tcBorders>
              <w:top w:val="single" w:sz="4" w:space="0" w:color="000000"/>
              <w:left w:val="single" w:sz="4" w:space="0" w:color="000000"/>
              <w:bottom w:val="single" w:sz="4" w:space="0" w:color="000000"/>
              <w:right w:val="single" w:sz="4" w:space="0" w:color="000000"/>
            </w:tcBorders>
          </w:tcPr>
          <w:p w14:paraId="773D46DB" w14:textId="77777777" w:rsidR="00C04CAD" w:rsidRDefault="00C04CAD">
            <w:pPr>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04D4490E" w14:textId="77777777" w:rsidR="00C04CAD" w:rsidRDefault="00C04CAD">
            <w:pPr>
              <w:tabs>
                <w:tab w:val="clear" w:pos="567"/>
              </w:tabs>
              <w:autoSpaceDE w:val="0"/>
              <w:autoSpaceDN w:val="0"/>
              <w:adjustRightInd w:val="0"/>
              <w:spacing w:line="240" w:lineRule="auto"/>
              <w:jc w:val="center"/>
            </w:pPr>
          </w:p>
        </w:tc>
      </w:tr>
      <w:tr w:rsidR="00C04CAD" w14:paraId="2661704D"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1F28BE4B"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79191570" w14:textId="77777777" w:rsidR="00C04CAD" w:rsidRDefault="00060E34">
            <w:pPr>
              <w:tabs>
                <w:tab w:val="clear" w:pos="567"/>
              </w:tabs>
              <w:kinsoku w:val="0"/>
              <w:overflowPunct w:val="0"/>
              <w:autoSpaceDE w:val="0"/>
              <w:autoSpaceDN w:val="0"/>
              <w:adjustRightInd w:val="0"/>
              <w:spacing w:line="240" w:lineRule="auto"/>
              <w:ind w:left="99"/>
              <w:jc w:val="center"/>
            </w:pPr>
            <w:r>
              <w:t>0%</w:t>
            </w:r>
          </w:p>
        </w:tc>
        <w:tc>
          <w:tcPr>
            <w:tcW w:w="1893" w:type="pct"/>
            <w:tcBorders>
              <w:top w:val="single" w:sz="4" w:space="0" w:color="000000"/>
              <w:left w:val="single" w:sz="4" w:space="0" w:color="000000"/>
              <w:bottom w:val="single" w:sz="4" w:space="0" w:color="000000"/>
              <w:right w:val="single" w:sz="4" w:space="0" w:color="000000"/>
            </w:tcBorders>
          </w:tcPr>
          <w:p w14:paraId="525873DB" w14:textId="77777777" w:rsidR="00C04CAD" w:rsidRDefault="00060E34">
            <w:pPr>
              <w:tabs>
                <w:tab w:val="clear" w:pos="567"/>
              </w:tabs>
              <w:kinsoku w:val="0"/>
              <w:overflowPunct w:val="0"/>
              <w:autoSpaceDE w:val="0"/>
              <w:autoSpaceDN w:val="0"/>
              <w:adjustRightInd w:val="0"/>
              <w:spacing w:line="240" w:lineRule="auto"/>
              <w:ind w:left="99"/>
              <w:jc w:val="center"/>
            </w:pPr>
            <w:r>
              <w:t>7%**</w:t>
            </w:r>
          </w:p>
        </w:tc>
      </w:tr>
      <w:tr w:rsidR="00C04CAD" w14:paraId="011246A6"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031E085A"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32331806" w14:textId="77777777" w:rsidR="00C04CAD" w:rsidRDefault="00060E34">
            <w:pPr>
              <w:tabs>
                <w:tab w:val="clear" w:pos="567"/>
              </w:tabs>
              <w:kinsoku w:val="0"/>
              <w:overflowPunct w:val="0"/>
              <w:autoSpaceDE w:val="0"/>
              <w:autoSpaceDN w:val="0"/>
              <w:adjustRightInd w:val="0"/>
              <w:spacing w:line="240" w:lineRule="auto"/>
              <w:ind w:left="99"/>
              <w:jc w:val="center"/>
            </w:pPr>
            <w:r>
              <w:t>5%</w:t>
            </w:r>
          </w:p>
        </w:tc>
        <w:tc>
          <w:tcPr>
            <w:tcW w:w="1893" w:type="pct"/>
            <w:tcBorders>
              <w:top w:val="single" w:sz="4" w:space="0" w:color="000000"/>
              <w:left w:val="single" w:sz="4" w:space="0" w:color="000000"/>
              <w:bottom w:val="single" w:sz="4" w:space="0" w:color="000000"/>
              <w:right w:val="single" w:sz="4" w:space="0" w:color="000000"/>
            </w:tcBorders>
          </w:tcPr>
          <w:p w14:paraId="6D2D61EA" w14:textId="77777777" w:rsidR="00C04CAD" w:rsidRDefault="00060E34">
            <w:pPr>
              <w:tabs>
                <w:tab w:val="clear" w:pos="567"/>
              </w:tabs>
              <w:kinsoku w:val="0"/>
              <w:overflowPunct w:val="0"/>
              <w:autoSpaceDE w:val="0"/>
              <w:autoSpaceDN w:val="0"/>
              <w:adjustRightInd w:val="0"/>
              <w:spacing w:line="240" w:lineRule="auto"/>
              <w:ind w:left="99"/>
              <w:jc w:val="center"/>
            </w:pPr>
            <w:r>
              <w:t>23%***</w:t>
            </w:r>
          </w:p>
        </w:tc>
      </w:tr>
      <w:tr w:rsidR="00C04CAD" w14:paraId="3A5AC712"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352CEC80"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1779CC10" w14:textId="77777777" w:rsidR="00C04CAD" w:rsidRDefault="00060E34">
            <w:pPr>
              <w:tabs>
                <w:tab w:val="clear" w:pos="567"/>
              </w:tabs>
              <w:kinsoku w:val="0"/>
              <w:overflowPunct w:val="0"/>
              <w:autoSpaceDE w:val="0"/>
              <w:autoSpaceDN w:val="0"/>
              <w:adjustRightInd w:val="0"/>
              <w:spacing w:line="240" w:lineRule="auto"/>
              <w:ind w:left="99"/>
              <w:jc w:val="center"/>
            </w:pPr>
            <w:r>
              <w:t>8%</w:t>
            </w:r>
          </w:p>
        </w:tc>
        <w:tc>
          <w:tcPr>
            <w:tcW w:w="1893" w:type="pct"/>
            <w:tcBorders>
              <w:top w:val="single" w:sz="4" w:space="0" w:color="000000"/>
              <w:left w:val="single" w:sz="4" w:space="0" w:color="000000"/>
              <w:bottom w:val="single" w:sz="4" w:space="0" w:color="000000"/>
              <w:right w:val="single" w:sz="4" w:space="0" w:color="000000"/>
            </w:tcBorders>
          </w:tcPr>
          <w:p w14:paraId="36962D76" w14:textId="77777777" w:rsidR="00C04CAD" w:rsidRDefault="00060E34">
            <w:pPr>
              <w:tabs>
                <w:tab w:val="clear" w:pos="567"/>
              </w:tabs>
              <w:kinsoku w:val="0"/>
              <w:overflowPunct w:val="0"/>
              <w:autoSpaceDE w:val="0"/>
              <w:autoSpaceDN w:val="0"/>
              <w:adjustRightInd w:val="0"/>
              <w:spacing w:line="240" w:lineRule="auto"/>
              <w:ind w:left="99"/>
              <w:jc w:val="center"/>
            </w:pPr>
            <w:r>
              <w:t>24%***</w:t>
            </w:r>
          </w:p>
        </w:tc>
      </w:tr>
      <w:tr w:rsidR="00C04CAD" w14:paraId="68752AB0"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4793CC5D" w14:textId="77777777" w:rsidR="00C04CAD" w:rsidRDefault="00060E34">
            <w:pPr>
              <w:keepNext/>
              <w:tabs>
                <w:tab w:val="clear" w:pos="567"/>
              </w:tabs>
              <w:kinsoku w:val="0"/>
              <w:overflowPunct w:val="0"/>
              <w:autoSpaceDE w:val="0"/>
              <w:autoSpaceDN w:val="0"/>
              <w:adjustRightInd w:val="0"/>
              <w:spacing w:line="240" w:lineRule="auto"/>
              <w:ind w:left="102"/>
            </w:pPr>
            <w:r>
              <w:t>BASDAI</w:t>
            </w:r>
            <w:r>
              <w:rPr>
                <w:vertAlign w:val="superscript"/>
              </w:rPr>
              <w:t>b</w:t>
            </w:r>
            <w:r>
              <w:t xml:space="preserve"> 50</w:t>
            </w:r>
          </w:p>
        </w:tc>
        <w:tc>
          <w:tcPr>
            <w:tcW w:w="1892" w:type="pct"/>
            <w:tcBorders>
              <w:top w:val="single" w:sz="4" w:space="0" w:color="000000"/>
              <w:left w:val="single" w:sz="4" w:space="0" w:color="000000"/>
              <w:bottom w:val="single" w:sz="4" w:space="0" w:color="000000"/>
              <w:right w:val="single" w:sz="4" w:space="0" w:color="000000"/>
            </w:tcBorders>
          </w:tcPr>
          <w:p w14:paraId="0C13E8ED" w14:textId="77777777" w:rsidR="00C04CAD" w:rsidRDefault="00C04CAD">
            <w:pPr>
              <w:keepNext/>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72DB771B" w14:textId="77777777" w:rsidR="00C04CAD" w:rsidRDefault="00C04CAD">
            <w:pPr>
              <w:keepNext/>
              <w:tabs>
                <w:tab w:val="clear" w:pos="567"/>
              </w:tabs>
              <w:autoSpaceDE w:val="0"/>
              <w:autoSpaceDN w:val="0"/>
              <w:adjustRightInd w:val="0"/>
              <w:spacing w:line="240" w:lineRule="auto"/>
              <w:jc w:val="center"/>
            </w:pPr>
          </w:p>
        </w:tc>
      </w:tr>
      <w:tr w:rsidR="00C04CAD" w14:paraId="7B53CBDE"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71F380B8"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259E0A6E" w14:textId="77777777" w:rsidR="00C04CAD" w:rsidRDefault="00060E34">
            <w:pPr>
              <w:keepNext/>
              <w:tabs>
                <w:tab w:val="clear" w:pos="567"/>
              </w:tabs>
              <w:kinsoku w:val="0"/>
              <w:overflowPunct w:val="0"/>
              <w:autoSpaceDE w:val="0"/>
              <w:autoSpaceDN w:val="0"/>
              <w:adjustRightInd w:val="0"/>
              <w:spacing w:line="240" w:lineRule="auto"/>
              <w:ind w:left="99"/>
              <w:jc w:val="center"/>
            </w:pPr>
            <w:r>
              <w:t>4%</w:t>
            </w:r>
          </w:p>
        </w:tc>
        <w:tc>
          <w:tcPr>
            <w:tcW w:w="1893" w:type="pct"/>
            <w:tcBorders>
              <w:top w:val="single" w:sz="4" w:space="0" w:color="000000"/>
              <w:left w:val="single" w:sz="4" w:space="0" w:color="000000"/>
              <w:bottom w:val="single" w:sz="4" w:space="0" w:color="000000"/>
              <w:right w:val="single" w:sz="4" w:space="0" w:color="000000"/>
            </w:tcBorders>
          </w:tcPr>
          <w:p w14:paraId="3B02F3E8" w14:textId="77777777" w:rsidR="00C04CAD" w:rsidRDefault="00060E34">
            <w:pPr>
              <w:keepNext/>
              <w:tabs>
                <w:tab w:val="clear" w:pos="567"/>
              </w:tabs>
              <w:kinsoku w:val="0"/>
              <w:overflowPunct w:val="0"/>
              <w:autoSpaceDE w:val="0"/>
              <w:autoSpaceDN w:val="0"/>
              <w:adjustRightInd w:val="0"/>
              <w:spacing w:line="240" w:lineRule="auto"/>
              <w:ind w:left="99"/>
              <w:jc w:val="center"/>
            </w:pPr>
            <w:r>
              <w:t>20%***</w:t>
            </w:r>
          </w:p>
        </w:tc>
      </w:tr>
      <w:tr w:rsidR="00C04CAD" w14:paraId="60ECBC8B"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58C0F384" w14:textId="77777777" w:rsidR="00C04CAD" w:rsidRDefault="00060E34">
            <w:pPr>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7D4AF022" w14:textId="77777777" w:rsidR="00C04CAD" w:rsidRDefault="00060E34">
            <w:pPr>
              <w:tabs>
                <w:tab w:val="clear" w:pos="567"/>
              </w:tabs>
              <w:kinsoku w:val="0"/>
              <w:overflowPunct w:val="0"/>
              <w:autoSpaceDE w:val="0"/>
              <w:autoSpaceDN w:val="0"/>
              <w:adjustRightInd w:val="0"/>
              <w:spacing w:line="240" w:lineRule="auto"/>
              <w:ind w:left="99"/>
              <w:jc w:val="center"/>
            </w:pPr>
            <w:r>
              <w:t>16%</w:t>
            </w:r>
          </w:p>
        </w:tc>
        <w:tc>
          <w:tcPr>
            <w:tcW w:w="1893" w:type="pct"/>
            <w:tcBorders>
              <w:top w:val="single" w:sz="4" w:space="0" w:color="000000"/>
              <w:left w:val="single" w:sz="4" w:space="0" w:color="000000"/>
              <w:bottom w:val="single" w:sz="4" w:space="0" w:color="000000"/>
              <w:right w:val="single" w:sz="4" w:space="0" w:color="000000"/>
            </w:tcBorders>
          </w:tcPr>
          <w:p w14:paraId="3EEB38BF" w14:textId="77777777" w:rsidR="00C04CAD" w:rsidRDefault="00060E34">
            <w:pPr>
              <w:tabs>
                <w:tab w:val="clear" w:pos="567"/>
              </w:tabs>
              <w:kinsoku w:val="0"/>
              <w:overflowPunct w:val="0"/>
              <w:autoSpaceDE w:val="0"/>
              <w:autoSpaceDN w:val="0"/>
              <w:adjustRightInd w:val="0"/>
              <w:spacing w:line="240" w:lineRule="auto"/>
              <w:ind w:left="99"/>
              <w:jc w:val="center"/>
            </w:pPr>
            <w:r>
              <w:t>45%***</w:t>
            </w:r>
          </w:p>
        </w:tc>
      </w:tr>
      <w:tr w:rsidR="00C04CAD" w14:paraId="18B42314"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750A136F"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1E987B98" w14:textId="77777777" w:rsidR="00C04CAD" w:rsidRDefault="00060E34">
            <w:pPr>
              <w:tabs>
                <w:tab w:val="clear" w:pos="567"/>
              </w:tabs>
              <w:kinsoku w:val="0"/>
              <w:overflowPunct w:val="0"/>
              <w:autoSpaceDE w:val="0"/>
              <w:autoSpaceDN w:val="0"/>
              <w:adjustRightInd w:val="0"/>
              <w:spacing w:line="240" w:lineRule="auto"/>
              <w:ind w:left="99"/>
              <w:jc w:val="center"/>
            </w:pPr>
            <w:r>
              <w:t>15%</w:t>
            </w:r>
          </w:p>
        </w:tc>
        <w:tc>
          <w:tcPr>
            <w:tcW w:w="1893" w:type="pct"/>
            <w:tcBorders>
              <w:top w:val="single" w:sz="4" w:space="0" w:color="000000"/>
              <w:left w:val="single" w:sz="4" w:space="0" w:color="000000"/>
              <w:bottom w:val="single" w:sz="4" w:space="0" w:color="000000"/>
              <w:right w:val="single" w:sz="4" w:space="0" w:color="000000"/>
            </w:tcBorders>
          </w:tcPr>
          <w:p w14:paraId="5ACA29D8" w14:textId="77777777" w:rsidR="00C04CAD" w:rsidRDefault="00060E34">
            <w:pPr>
              <w:tabs>
                <w:tab w:val="clear" w:pos="567"/>
              </w:tabs>
              <w:kinsoku w:val="0"/>
              <w:overflowPunct w:val="0"/>
              <w:autoSpaceDE w:val="0"/>
              <w:autoSpaceDN w:val="0"/>
              <w:adjustRightInd w:val="0"/>
              <w:spacing w:line="240" w:lineRule="auto"/>
              <w:ind w:left="99"/>
              <w:jc w:val="center"/>
            </w:pPr>
            <w:r>
              <w:t>42%***</w:t>
            </w:r>
          </w:p>
        </w:tc>
      </w:tr>
    </w:tbl>
    <w:p w14:paraId="51B2876A" w14:textId="77777777" w:rsidR="00C04CAD" w:rsidRDefault="00060E34">
      <w:pPr>
        <w:tabs>
          <w:tab w:val="clear" w:pos="567"/>
        </w:tabs>
        <w:kinsoku w:val="0"/>
        <w:overflowPunct w:val="0"/>
        <w:autoSpaceDE w:val="0"/>
        <w:autoSpaceDN w:val="0"/>
        <w:adjustRightInd w:val="0"/>
        <w:spacing w:line="240" w:lineRule="auto"/>
        <w:rPr>
          <w:sz w:val="20"/>
        </w:rPr>
      </w:pPr>
      <w:r>
        <w:rPr>
          <w:spacing w:val="-4"/>
          <w:sz w:val="20"/>
        </w:rPr>
        <w:t>***,**</w:t>
      </w:r>
      <w:r>
        <w:rPr>
          <w:sz w:val="20"/>
        </w:rPr>
        <w:t xml:space="preserve"> </w:t>
      </w:r>
      <w:r>
        <w:rPr>
          <w:spacing w:val="-1"/>
          <w:sz w:val="20"/>
        </w:rPr>
        <w:t>S</w:t>
      </w:r>
      <w:r>
        <w:rPr>
          <w:sz w:val="20"/>
        </w:rPr>
        <w:t>e</w:t>
      </w:r>
      <w:r>
        <w:rPr>
          <w:spacing w:val="-4"/>
          <w:sz w:val="20"/>
        </w:rPr>
        <w:t>m</w:t>
      </w:r>
      <w:r>
        <w:rPr>
          <w:sz w:val="20"/>
        </w:rPr>
        <w:t>n</w:t>
      </w:r>
      <w:r>
        <w:rPr>
          <w:spacing w:val="1"/>
          <w:sz w:val="20"/>
        </w:rPr>
        <w:t>i</w:t>
      </w:r>
      <w:r>
        <w:rPr>
          <w:spacing w:val="-2"/>
          <w:sz w:val="20"/>
        </w:rPr>
        <w:t>f</w:t>
      </w:r>
      <w:r>
        <w:rPr>
          <w:spacing w:val="1"/>
          <w:sz w:val="20"/>
        </w:rPr>
        <w:t>i</w:t>
      </w:r>
      <w:r>
        <w:rPr>
          <w:sz w:val="20"/>
        </w:rPr>
        <w:t>c</w:t>
      </w:r>
      <w:r>
        <w:rPr>
          <w:spacing w:val="-3"/>
          <w:sz w:val="20"/>
        </w:rPr>
        <w:t>a</w:t>
      </w:r>
      <w:r>
        <w:rPr>
          <w:spacing w:val="1"/>
          <w:sz w:val="20"/>
        </w:rPr>
        <w:t>ti</w:t>
      </w:r>
      <w:r>
        <w:rPr>
          <w:sz w:val="20"/>
        </w:rPr>
        <w:t>v</w:t>
      </w:r>
      <w:r>
        <w:rPr>
          <w:spacing w:val="-3"/>
          <w:sz w:val="20"/>
        </w:rPr>
        <w:t xml:space="preserve"> </w:t>
      </w:r>
      <w:r>
        <w:rPr>
          <w:sz w:val="20"/>
        </w:rPr>
        <w:t>s</w:t>
      </w:r>
      <w:r>
        <w:rPr>
          <w:spacing w:val="-2"/>
          <w:sz w:val="20"/>
        </w:rPr>
        <w:t>t</w:t>
      </w:r>
      <w:r>
        <w:rPr>
          <w:sz w:val="20"/>
        </w:rPr>
        <w:t>a</w:t>
      </w:r>
      <w:r>
        <w:rPr>
          <w:spacing w:val="-2"/>
          <w:sz w:val="20"/>
        </w:rPr>
        <w:t>t</w:t>
      </w:r>
      <w:r>
        <w:rPr>
          <w:spacing w:val="1"/>
          <w:sz w:val="20"/>
        </w:rPr>
        <w:t>i</w:t>
      </w:r>
      <w:r>
        <w:rPr>
          <w:spacing w:val="-2"/>
          <w:sz w:val="20"/>
        </w:rPr>
        <w:t>s</w:t>
      </w:r>
      <w:r>
        <w:rPr>
          <w:spacing w:val="1"/>
          <w:sz w:val="20"/>
        </w:rPr>
        <w:t>t</w:t>
      </w:r>
      <w:r>
        <w:rPr>
          <w:spacing w:val="-2"/>
          <w:sz w:val="20"/>
        </w:rPr>
        <w:t>i</w:t>
      </w:r>
      <w:r>
        <w:rPr>
          <w:sz w:val="20"/>
        </w:rPr>
        <w:t xml:space="preserve">c </w:t>
      </w:r>
      <w:r>
        <w:rPr>
          <w:spacing w:val="1"/>
          <w:sz w:val="20"/>
        </w:rPr>
        <w:t>l</w:t>
      </w:r>
      <w:r>
        <w:rPr>
          <w:sz w:val="20"/>
        </w:rPr>
        <w:t>a p</w:t>
      </w:r>
      <w:r>
        <w:rPr>
          <w:spacing w:val="-3"/>
          <w:sz w:val="20"/>
        </w:rPr>
        <w:t xml:space="preserve"> </w:t>
      </w:r>
      <w:r>
        <w:rPr>
          <w:sz w:val="20"/>
        </w:rPr>
        <w:t>&lt;0,0</w:t>
      </w:r>
      <w:r>
        <w:rPr>
          <w:spacing w:val="-3"/>
          <w:sz w:val="20"/>
        </w:rPr>
        <w:t>0</w:t>
      </w:r>
      <w:r>
        <w:rPr>
          <w:sz w:val="20"/>
        </w:rPr>
        <w:t>1, &lt;0,</w:t>
      </w:r>
      <w:r>
        <w:rPr>
          <w:spacing w:val="-3"/>
          <w:sz w:val="20"/>
        </w:rPr>
        <w:t>0</w:t>
      </w:r>
      <w:r>
        <w:rPr>
          <w:sz w:val="20"/>
        </w:rPr>
        <w:t>1 pe</w:t>
      </w:r>
      <w:r>
        <w:rPr>
          <w:spacing w:val="-3"/>
          <w:sz w:val="20"/>
        </w:rPr>
        <w:t>n</w:t>
      </w:r>
      <w:r>
        <w:rPr>
          <w:spacing w:val="1"/>
          <w:sz w:val="20"/>
        </w:rPr>
        <w:t>t</w:t>
      </w:r>
      <w:r>
        <w:rPr>
          <w:spacing w:val="-2"/>
          <w:sz w:val="20"/>
        </w:rPr>
        <w:t>r</w:t>
      </w:r>
      <w:r>
        <w:rPr>
          <w:sz w:val="20"/>
        </w:rPr>
        <w:t>u</w:t>
      </w:r>
      <w:r>
        <w:rPr>
          <w:spacing w:val="-3"/>
          <w:sz w:val="20"/>
        </w:rPr>
        <w:t xml:space="preserve"> </w:t>
      </w:r>
      <w:r>
        <w:rPr>
          <w:spacing w:val="1"/>
          <w:sz w:val="20"/>
        </w:rPr>
        <w:t>t</w:t>
      </w:r>
      <w:r>
        <w:rPr>
          <w:sz w:val="20"/>
        </w:rPr>
        <w:t>o</w:t>
      </w:r>
      <w:r>
        <w:rPr>
          <w:spacing w:val="-3"/>
          <w:sz w:val="20"/>
        </w:rPr>
        <w:t>a</w:t>
      </w:r>
      <w:r>
        <w:rPr>
          <w:spacing w:val="1"/>
          <w:sz w:val="20"/>
        </w:rPr>
        <w:t>t</w:t>
      </w:r>
      <w:r>
        <w:rPr>
          <w:sz w:val="20"/>
        </w:rPr>
        <w:t>e co</w:t>
      </w:r>
      <w:r>
        <w:rPr>
          <w:spacing w:val="-4"/>
          <w:sz w:val="20"/>
        </w:rPr>
        <w:t>m</w:t>
      </w:r>
      <w:r>
        <w:rPr>
          <w:sz w:val="20"/>
        </w:rPr>
        <w:t>par</w:t>
      </w:r>
      <w:r>
        <w:rPr>
          <w:spacing w:val="-3"/>
          <w:sz w:val="20"/>
        </w:rPr>
        <w:t>a</w:t>
      </w:r>
      <w:r>
        <w:rPr>
          <w:spacing w:val="1"/>
          <w:sz w:val="20"/>
        </w:rPr>
        <w:t>ţ</w:t>
      </w:r>
      <w:r>
        <w:rPr>
          <w:spacing w:val="-2"/>
          <w:sz w:val="20"/>
        </w:rPr>
        <w:t>i</w:t>
      </w:r>
      <w:r>
        <w:rPr>
          <w:spacing w:val="1"/>
          <w:sz w:val="20"/>
        </w:rPr>
        <w:t>i</w:t>
      </w:r>
      <w:r>
        <w:rPr>
          <w:spacing w:val="-2"/>
          <w:sz w:val="20"/>
        </w:rPr>
        <w:t>l</w:t>
      </w:r>
      <w:r>
        <w:rPr>
          <w:sz w:val="20"/>
        </w:rPr>
        <w:t xml:space="preserve">e </w:t>
      </w:r>
      <w:r>
        <w:rPr>
          <w:spacing w:val="-2"/>
          <w:sz w:val="20"/>
        </w:rPr>
        <w:t>î</w:t>
      </w:r>
      <w:r>
        <w:rPr>
          <w:sz w:val="20"/>
        </w:rPr>
        <w:t>n</w:t>
      </w:r>
      <w:r>
        <w:rPr>
          <w:spacing w:val="-2"/>
          <w:sz w:val="20"/>
        </w:rPr>
        <w:t>t</w:t>
      </w:r>
      <w:r>
        <w:rPr>
          <w:sz w:val="20"/>
        </w:rPr>
        <w:t xml:space="preserve">re </w:t>
      </w:r>
      <w:r>
        <w:rPr>
          <w:rFonts w:eastAsia="MS Mincho"/>
          <w:spacing w:val="-1"/>
          <w:sz w:val="20"/>
          <w:lang w:eastAsia="en-US" w:bidi="ar-SA"/>
        </w:rPr>
        <w:t>adalimumab</w:t>
      </w:r>
      <w:r>
        <w:rPr>
          <w:sz w:val="20"/>
        </w:rPr>
        <w:t xml:space="preserve"> şi</w:t>
      </w:r>
      <w:r>
        <w:rPr>
          <w:spacing w:val="1"/>
          <w:sz w:val="20"/>
        </w:rPr>
        <w:t xml:space="preserve"> </w:t>
      </w:r>
      <w:r>
        <w:rPr>
          <w:spacing w:val="-3"/>
          <w:sz w:val="20"/>
        </w:rPr>
        <w:t>p</w:t>
      </w:r>
      <w:r>
        <w:rPr>
          <w:spacing w:val="1"/>
          <w:sz w:val="20"/>
        </w:rPr>
        <w:t>l</w:t>
      </w:r>
      <w:r>
        <w:rPr>
          <w:sz w:val="20"/>
        </w:rPr>
        <w:t>a</w:t>
      </w:r>
      <w:r>
        <w:rPr>
          <w:spacing w:val="-3"/>
          <w:sz w:val="20"/>
        </w:rPr>
        <w:t>c</w:t>
      </w:r>
      <w:r>
        <w:rPr>
          <w:sz w:val="20"/>
        </w:rPr>
        <w:t>ebo</w:t>
      </w:r>
      <w:r>
        <w:rPr>
          <w:spacing w:val="-3"/>
          <w:sz w:val="20"/>
        </w:rPr>
        <w:t xml:space="preserve"> </w:t>
      </w:r>
      <w:r>
        <w:rPr>
          <w:spacing w:val="1"/>
          <w:sz w:val="20"/>
        </w:rPr>
        <w:t>î</w:t>
      </w:r>
      <w:r>
        <w:rPr>
          <w:sz w:val="20"/>
        </w:rPr>
        <w:t>n săp</w:t>
      </w:r>
      <w:r>
        <w:rPr>
          <w:spacing w:val="-2"/>
          <w:sz w:val="20"/>
        </w:rPr>
        <w:t>t</w:t>
      </w:r>
      <w:r>
        <w:rPr>
          <w:sz w:val="20"/>
        </w:rPr>
        <w:t>ă</w:t>
      </w:r>
      <w:r>
        <w:rPr>
          <w:spacing w:val="-4"/>
          <w:sz w:val="20"/>
        </w:rPr>
        <w:t>m</w:t>
      </w:r>
      <w:r>
        <w:rPr>
          <w:sz w:val="20"/>
        </w:rPr>
        <w:t>ân</w:t>
      </w:r>
      <w:r>
        <w:rPr>
          <w:spacing w:val="1"/>
          <w:sz w:val="20"/>
        </w:rPr>
        <w:t>il</w:t>
      </w:r>
      <w:r>
        <w:rPr>
          <w:sz w:val="20"/>
        </w:rPr>
        <w:t xml:space="preserve">e </w:t>
      </w:r>
      <w:r>
        <w:rPr>
          <w:spacing w:val="-3"/>
          <w:sz w:val="20"/>
        </w:rPr>
        <w:t>2</w:t>
      </w:r>
      <w:r>
        <w:rPr>
          <w:sz w:val="20"/>
        </w:rPr>
        <w:t xml:space="preserve">,12 </w:t>
      </w:r>
      <w:r>
        <w:rPr>
          <w:spacing w:val="-2"/>
          <w:sz w:val="20"/>
        </w:rPr>
        <w:t>ş</w:t>
      </w:r>
      <w:r>
        <w:rPr>
          <w:sz w:val="20"/>
        </w:rPr>
        <w:t>i</w:t>
      </w:r>
      <w:r>
        <w:rPr>
          <w:spacing w:val="1"/>
          <w:sz w:val="20"/>
        </w:rPr>
        <w:t xml:space="preserve"> </w:t>
      </w:r>
      <w:r>
        <w:rPr>
          <w:sz w:val="20"/>
        </w:rPr>
        <w:t>24.</w:t>
      </w:r>
    </w:p>
    <w:p w14:paraId="4901BC7B" w14:textId="77777777" w:rsidR="00C04CAD" w:rsidRDefault="00060E34">
      <w:pPr>
        <w:tabs>
          <w:tab w:val="clear" w:pos="567"/>
        </w:tabs>
        <w:kinsoku w:val="0"/>
        <w:overflowPunct w:val="0"/>
        <w:autoSpaceDE w:val="0"/>
        <w:autoSpaceDN w:val="0"/>
        <w:adjustRightInd w:val="0"/>
        <w:spacing w:line="240" w:lineRule="auto"/>
        <w:rPr>
          <w:sz w:val="20"/>
        </w:rPr>
      </w:pPr>
      <w:r>
        <w:rPr>
          <w:spacing w:val="-3"/>
          <w:sz w:val="20"/>
          <w:vertAlign w:val="superscript"/>
        </w:rPr>
        <w:t>a</w:t>
      </w:r>
      <w:r>
        <w:rPr>
          <w:spacing w:val="-3"/>
          <w:sz w:val="20"/>
        </w:rPr>
        <w:t xml:space="preserve"> </w:t>
      </w:r>
      <w:r>
        <w:rPr>
          <w:spacing w:val="-1"/>
          <w:sz w:val="20"/>
        </w:rPr>
        <w:t>E</w:t>
      </w:r>
      <w:r>
        <w:rPr>
          <w:spacing w:val="-3"/>
          <w:sz w:val="20"/>
        </w:rPr>
        <w:t>v</w:t>
      </w:r>
      <w:r>
        <w:rPr>
          <w:sz w:val="20"/>
        </w:rPr>
        <w:t>a</w:t>
      </w:r>
      <w:r>
        <w:rPr>
          <w:spacing w:val="1"/>
          <w:sz w:val="20"/>
        </w:rPr>
        <w:t>l</w:t>
      </w:r>
      <w:r>
        <w:rPr>
          <w:sz w:val="20"/>
        </w:rPr>
        <w:t>uare</w:t>
      </w:r>
      <w:r>
        <w:rPr>
          <w:spacing w:val="-2"/>
          <w:sz w:val="20"/>
        </w:rPr>
        <w:t xml:space="preserve"> </w:t>
      </w:r>
      <w:r>
        <w:rPr>
          <w:spacing w:val="1"/>
          <w:sz w:val="20"/>
        </w:rPr>
        <w:t>î</w:t>
      </w:r>
      <w:r>
        <w:rPr>
          <w:sz w:val="20"/>
        </w:rPr>
        <w:t>n</w:t>
      </w:r>
      <w:r>
        <w:rPr>
          <w:spacing w:val="-3"/>
          <w:sz w:val="20"/>
        </w:rPr>
        <w:t xml:space="preserve"> </w:t>
      </w:r>
      <w:r>
        <w:rPr>
          <w:sz w:val="20"/>
        </w:rPr>
        <w:t>spon</w:t>
      </w:r>
      <w:r>
        <w:rPr>
          <w:spacing w:val="-3"/>
          <w:sz w:val="20"/>
        </w:rPr>
        <w:t>d</w:t>
      </w:r>
      <w:r>
        <w:rPr>
          <w:spacing w:val="1"/>
          <w:sz w:val="20"/>
        </w:rPr>
        <w:t>i</w:t>
      </w:r>
      <w:r>
        <w:rPr>
          <w:spacing w:val="-2"/>
          <w:sz w:val="20"/>
        </w:rPr>
        <w:t>l</w:t>
      </w:r>
      <w:r>
        <w:rPr>
          <w:spacing w:val="1"/>
          <w:sz w:val="20"/>
        </w:rPr>
        <w:t>i</w:t>
      </w:r>
      <w:r>
        <w:rPr>
          <w:spacing w:val="-2"/>
          <w:sz w:val="20"/>
        </w:rPr>
        <w:t>t</w:t>
      </w:r>
      <w:r>
        <w:rPr>
          <w:sz w:val="20"/>
        </w:rPr>
        <w:t>a a</w:t>
      </w:r>
      <w:r>
        <w:rPr>
          <w:spacing w:val="-3"/>
          <w:sz w:val="20"/>
        </w:rPr>
        <w:t>nc</w:t>
      </w:r>
      <w:r>
        <w:rPr>
          <w:sz w:val="20"/>
        </w:rPr>
        <w:t>h</w:t>
      </w:r>
      <w:r>
        <w:rPr>
          <w:spacing w:val="1"/>
          <w:sz w:val="20"/>
        </w:rPr>
        <w:t>il</w:t>
      </w:r>
      <w:r>
        <w:rPr>
          <w:sz w:val="20"/>
        </w:rPr>
        <w:t>o</w:t>
      </w:r>
      <w:r>
        <w:rPr>
          <w:spacing w:val="-3"/>
          <w:sz w:val="20"/>
        </w:rPr>
        <w:t>z</w:t>
      </w:r>
      <w:r>
        <w:rPr>
          <w:sz w:val="20"/>
        </w:rPr>
        <w:t>a</w:t>
      </w:r>
      <w:r>
        <w:rPr>
          <w:spacing w:val="-3"/>
          <w:sz w:val="20"/>
        </w:rPr>
        <w:t>n</w:t>
      </w:r>
      <w:r>
        <w:rPr>
          <w:spacing w:val="1"/>
          <w:sz w:val="20"/>
        </w:rPr>
        <w:t>tă</w:t>
      </w:r>
    </w:p>
    <w:p w14:paraId="62A8A5C1"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w:t>
      </w:r>
      <w:r>
        <w:rPr>
          <w:spacing w:val="-4"/>
          <w:sz w:val="20"/>
        </w:rPr>
        <w:t>I</w:t>
      </w:r>
      <w:r>
        <w:rPr>
          <w:sz w:val="20"/>
        </w:rPr>
        <w:t xml:space="preserve">ndex </w:t>
      </w:r>
      <w:r>
        <w:rPr>
          <w:spacing w:val="-1"/>
          <w:sz w:val="20"/>
        </w:rPr>
        <w:t>B</w:t>
      </w:r>
      <w:r>
        <w:rPr>
          <w:sz w:val="20"/>
        </w:rPr>
        <w:t>a</w:t>
      </w:r>
      <w:r>
        <w:rPr>
          <w:spacing w:val="1"/>
          <w:sz w:val="20"/>
        </w:rPr>
        <w:t>t</w:t>
      </w:r>
      <w:r>
        <w:rPr>
          <w:sz w:val="20"/>
        </w:rPr>
        <w:t xml:space="preserve">h </w:t>
      </w:r>
      <w:r>
        <w:rPr>
          <w:spacing w:val="-3"/>
          <w:sz w:val="20"/>
        </w:rPr>
        <w:t>d</w:t>
      </w:r>
      <w:r>
        <w:rPr>
          <w:sz w:val="20"/>
        </w:rPr>
        <w:t>e a</w:t>
      </w:r>
      <w:r>
        <w:rPr>
          <w:spacing w:val="-3"/>
          <w:sz w:val="20"/>
        </w:rPr>
        <w:t>c</w:t>
      </w:r>
      <w:r>
        <w:rPr>
          <w:spacing w:val="1"/>
          <w:sz w:val="20"/>
        </w:rPr>
        <w:t>ti</w:t>
      </w:r>
      <w:r>
        <w:rPr>
          <w:spacing w:val="-3"/>
          <w:sz w:val="20"/>
        </w:rPr>
        <w:t>v</w:t>
      </w:r>
      <w:r>
        <w:rPr>
          <w:spacing w:val="-2"/>
          <w:sz w:val="20"/>
        </w:rPr>
        <w:t>i</w:t>
      </w:r>
      <w:r>
        <w:rPr>
          <w:spacing w:val="1"/>
          <w:sz w:val="20"/>
        </w:rPr>
        <w:t>t</w:t>
      </w:r>
      <w:r>
        <w:rPr>
          <w:spacing w:val="-3"/>
          <w:sz w:val="20"/>
        </w:rPr>
        <w:t>a</w:t>
      </w:r>
      <w:r>
        <w:rPr>
          <w:spacing w:val="1"/>
          <w:sz w:val="20"/>
        </w:rPr>
        <w:t>t</w:t>
      </w:r>
      <w:r>
        <w:rPr>
          <w:sz w:val="20"/>
        </w:rPr>
        <w:t>e a</w:t>
      </w:r>
      <w:r>
        <w:rPr>
          <w:spacing w:val="-2"/>
          <w:sz w:val="20"/>
        </w:rPr>
        <w:t xml:space="preserve"> </w:t>
      </w:r>
      <w:r>
        <w:rPr>
          <w:sz w:val="20"/>
        </w:rPr>
        <w:t>spon</w:t>
      </w:r>
      <w:r>
        <w:rPr>
          <w:spacing w:val="-3"/>
          <w:sz w:val="20"/>
        </w:rPr>
        <w:t>d</w:t>
      </w:r>
      <w:r>
        <w:rPr>
          <w:spacing w:val="1"/>
          <w:sz w:val="20"/>
        </w:rPr>
        <w:t>i</w:t>
      </w:r>
      <w:r>
        <w:rPr>
          <w:spacing w:val="-2"/>
          <w:sz w:val="20"/>
        </w:rPr>
        <w:t>l</w:t>
      </w:r>
      <w:r>
        <w:rPr>
          <w:spacing w:val="1"/>
          <w:sz w:val="20"/>
        </w:rPr>
        <w:t>it</w:t>
      </w:r>
      <w:r>
        <w:rPr>
          <w:spacing w:val="-3"/>
          <w:sz w:val="20"/>
        </w:rPr>
        <w:t>e</w:t>
      </w:r>
      <w:r>
        <w:rPr>
          <w:sz w:val="20"/>
        </w:rPr>
        <w:t>i</w:t>
      </w:r>
      <w:r>
        <w:rPr>
          <w:spacing w:val="1"/>
          <w:sz w:val="20"/>
        </w:rPr>
        <w:t xml:space="preserve"> </w:t>
      </w:r>
      <w:r>
        <w:rPr>
          <w:sz w:val="20"/>
        </w:rPr>
        <w:t>a</w:t>
      </w:r>
      <w:r>
        <w:rPr>
          <w:spacing w:val="-3"/>
          <w:sz w:val="20"/>
        </w:rPr>
        <w:t>n</w:t>
      </w:r>
      <w:r>
        <w:rPr>
          <w:sz w:val="20"/>
        </w:rPr>
        <w:t>ch</w:t>
      </w:r>
      <w:r>
        <w:rPr>
          <w:spacing w:val="-2"/>
          <w:sz w:val="20"/>
        </w:rPr>
        <w:t>i</w:t>
      </w:r>
      <w:r>
        <w:rPr>
          <w:spacing w:val="1"/>
          <w:sz w:val="20"/>
        </w:rPr>
        <w:t>l</w:t>
      </w:r>
      <w:r>
        <w:rPr>
          <w:sz w:val="20"/>
        </w:rPr>
        <w:t>o</w:t>
      </w:r>
      <w:r>
        <w:rPr>
          <w:spacing w:val="-3"/>
          <w:sz w:val="20"/>
        </w:rPr>
        <w:t>z</w:t>
      </w:r>
      <w:r>
        <w:rPr>
          <w:sz w:val="20"/>
        </w:rPr>
        <w:t>a</w:t>
      </w:r>
      <w:r>
        <w:rPr>
          <w:spacing w:val="-3"/>
          <w:sz w:val="20"/>
        </w:rPr>
        <w:t>n</w:t>
      </w:r>
      <w:r>
        <w:rPr>
          <w:spacing w:val="1"/>
          <w:sz w:val="20"/>
        </w:rPr>
        <w:t>te</w:t>
      </w:r>
    </w:p>
    <w:p w14:paraId="7AEBCC9A" w14:textId="77777777" w:rsidR="00C04CAD" w:rsidRDefault="00C04CAD">
      <w:pPr>
        <w:autoSpaceDE w:val="0"/>
        <w:autoSpaceDN w:val="0"/>
        <w:adjustRightInd w:val="0"/>
        <w:spacing w:line="240" w:lineRule="auto"/>
        <w:rPr>
          <w:szCs w:val="22"/>
        </w:rPr>
      </w:pPr>
    </w:p>
    <w:p w14:paraId="43153AF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au a</w:t>
      </w:r>
      <w:r>
        <w:rPr>
          <w:spacing w:val="-3"/>
          <w:szCs w:val="22"/>
        </w:rPr>
        <w:t>v</w:t>
      </w:r>
      <w:r>
        <w:rPr>
          <w:szCs w:val="22"/>
        </w:rPr>
        <w:t>ut</w:t>
      </w:r>
      <w:r>
        <w:rPr>
          <w:spacing w:val="1"/>
          <w:szCs w:val="22"/>
        </w:rPr>
        <w:t xml:space="preserve"> </w:t>
      </w:r>
      <w:r>
        <w:rPr>
          <w:spacing w:val="-1"/>
          <w:szCs w:val="22"/>
        </w:rPr>
        <w:t>SF</w:t>
      </w:r>
      <w:r>
        <w:rPr>
          <w:szCs w:val="22"/>
        </w:rPr>
        <w:t>36</w:t>
      </w:r>
      <w:r>
        <w:rPr>
          <w:spacing w:val="-3"/>
          <w:szCs w:val="22"/>
        </w:rPr>
        <w:t xml:space="preserve"> </w:t>
      </w:r>
      <w:r>
        <w:rPr>
          <w:szCs w:val="22"/>
        </w:rPr>
        <w:t>şi</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e</w:t>
      </w:r>
      <w:r>
        <w:rPr>
          <w:spacing w:val="1"/>
          <w:szCs w:val="22"/>
        </w:rPr>
        <w:t>l</w:t>
      </w:r>
      <w:r>
        <w:rPr>
          <w:szCs w:val="22"/>
        </w:rPr>
        <w:t xml:space="preserve">e </w:t>
      </w:r>
      <w:r>
        <w:rPr>
          <w:spacing w:val="-3"/>
          <w:szCs w:val="22"/>
        </w:rPr>
        <w:t>d</w:t>
      </w:r>
      <w:r>
        <w:rPr>
          <w:spacing w:val="1"/>
          <w:szCs w:val="22"/>
        </w:rPr>
        <w:t>i</w:t>
      </w:r>
      <w:r>
        <w:rPr>
          <w:szCs w:val="22"/>
        </w:rPr>
        <w:t>n</w:t>
      </w:r>
      <w:r>
        <w:rPr>
          <w:spacing w:val="-3"/>
          <w:szCs w:val="22"/>
        </w:rPr>
        <w:t xml:space="preserve"> </w:t>
      </w:r>
      <w:r>
        <w:rPr>
          <w:szCs w:val="22"/>
        </w:rPr>
        <w:t>che</w:t>
      </w:r>
      <w:r>
        <w:rPr>
          <w:spacing w:val="-2"/>
          <w:szCs w:val="22"/>
        </w:rPr>
        <w:t>s</w:t>
      </w:r>
      <w:r>
        <w:rPr>
          <w:spacing w:val="1"/>
          <w:szCs w:val="22"/>
        </w:rPr>
        <w:t>ti</w:t>
      </w:r>
      <w:r>
        <w:rPr>
          <w:spacing w:val="-3"/>
          <w:szCs w:val="22"/>
        </w:rPr>
        <w:t>o</w:t>
      </w:r>
      <w:r>
        <w:rPr>
          <w:szCs w:val="22"/>
        </w:rPr>
        <w:t>na</w:t>
      </w:r>
      <w:r>
        <w:rPr>
          <w:spacing w:val="-2"/>
          <w:szCs w:val="22"/>
        </w:rPr>
        <w:t>r</w:t>
      </w:r>
      <w:r>
        <w:rPr>
          <w:szCs w:val="22"/>
        </w:rPr>
        <w:t>ul</w:t>
      </w:r>
      <w:r>
        <w:rPr>
          <w:spacing w:val="1"/>
          <w:szCs w:val="22"/>
        </w:rPr>
        <w:t xml:space="preserve"> </w:t>
      </w:r>
      <w:r>
        <w:rPr>
          <w:spacing w:val="-3"/>
          <w:szCs w:val="22"/>
        </w:rPr>
        <w:t>d</w:t>
      </w:r>
      <w:r>
        <w:rPr>
          <w:szCs w:val="22"/>
        </w:rPr>
        <w:t>e e</w:t>
      </w:r>
      <w:r>
        <w:rPr>
          <w:spacing w:val="-3"/>
          <w:szCs w:val="22"/>
        </w:rPr>
        <w:t>v</w:t>
      </w:r>
      <w:r>
        <w:rPr>
          <w:szCs w:val="22"/>
        </w:rPr>
        <w:t>a</w:t>
      </w:r>
      <w:r>
        <w:rPr>
          <w:spacing w:val="1"/>
          <w:szCs w:val="22"/>
        </w:rPr>
        <w:t>l</w:t>
      </w:r>
      <w:r>
        <w:rPr>
          <w:szCs w:val="22"/>
        </w:rPr>
        <w:t>u</w:t>
      </w:r>
      <w:r>
        <w:rPr>
          <w:spacing w:val="-3"/>
          <w:szCs w:val="22"/>
        </w:rPr>
        <w:t>a</w:t>
      </w:r>
      <w:r>
        <w:rPr>
          <w:szCs w:val="22"/>
        </w:rPr>
        <w:t>re</w:t>
      </w:r>
      <w:r>
        <w:rPr>
          <w:spacing w:val="-2"/>
          <w:szCs w:val="22"/>
        </w:rPr>
        <w:t xml:space="preserve"> </w:t>
      </w:r>
      <w:r>
        <w:rPr>
          <w:szCs w:val="22"/>
        </w:rPr>
        <w:t>a</w:t>
      </w:r>
      <w:r>
        <w:rPr>
          <w:spacing w:val="-2"/>
          <w:szCs w:val="22"/>
        </w:rPr>
        <w:t xml:space="preserve"> </w:t>
      </w:r>
      <w:r>
        <w:rPr>
          <w:szCs w:val="22"/>
        </w:rPr>
        <w:t>s</w:t>
      </w:r>
      <w:r>
        <w:rPr>
          <w:spacing w:val="1"/>
          <w:szCs w:val="22"/>
        </w:rPr>
        <w:t>t</w:t>
      </w:r>
      <w:r>
        <w:rPr>
          <w:spacing w:val="-3"/>
          <w:szCs w:val="22"/>
        </w:rPr>
        <w:t>ă</w:t>
      </w:r>
      <w:r>
        <w:rPr>
          <w:szCs w:val="22"/>
        </w:rPr>
        <w:t>r</w:t>
      </w:r>
      <w:r>
        <w:rPr>
          <w:spacing w:val="-2"/>
          <w:szCs w:val="22"/>
        </w:rPr>
        <w:t>i</w:t>
      </w:r>
      <w:r>
        <w:rPr>
          <w:szCs w:val="22"/>
        </w:rPr>
        <w:t>i</w:t>
      </w:r>
      <w:r>
        <w:rPr>
          <w:spacing w:val="1"/>
          <w:szCs w:val="22"/>
        </w:rPr>
        <w:t xml:space="preserve"> </w:t>
      </w:r>
      <w:r>
        <w:rPr>
          <w:szCs w:val="22"/>
        </w:rPr>
        <w:t>de</w:t>
      </w:r>
      <w:r>
        <w:rPr>
          <w:spacing w:val="-2"/>
          <w:szCs w:val="22"/>
        </w:rPr>
        <w:t xml:space="preserve"> </w:t>
      </w:r>
      <w:r>
        <w:rPr>
          <w:szCs w:val="22"/>
        </w:rPr>
        <w:t>săn</w:t>
      </w:r>
      <w:r>
        <w:rPr>
          <w:spacing w:val="-3"/>
          <w:szCs w:val="22"/>
        </w:rPr>
        <w:t>ă</w:t>
      </w:r>
      <w:r>
        <w:rPr>
          <w:spacing w:val="1"/>
          <w:szCs w:val="22"/>
        </w:rPr>
        <w:t>t</w:t>
      </w:r>
      <w:r>
        <w:rPr>
          <w:spacing w:val="-3"/>
          <w:szCs w:val="22"/>
        </w:rPr>
        <w:t>a</w:t>
      </w:r>
      <w:r>
        <w:rPr>
          <w:spacing w:val="1"/>
          <w:szCs w:val="22"/>
        </w:rPr>
        <w:t>t</w:t>
      </w:r>
      <w:r>
        <w:rPr>
          <w:szCs w:val="22"/>
        </w:rPr>
        <w:t>e (</w:t>
      </w:r>
      <w:r>
        <w:rPr>
          <w:spacing w:val="-2"/>
          <w:szCs w:val="22"/>
        </w:rPr>
        <w:t>A</w:t>
      </w:r>
      <w:r>
        <w:rPr>
          <w:spacing w:val="-1"/>
          <w:szCs w:val="22"/>
        </w:rPr>
        <w:t>SQ</w:t>
      </w:r>
      <w:r>
        <w:rPr>
          <w:szCs w:val="22"/>
        </w:rPr>
        <w:t>o</w:t>
      </w:r>
      <w:r>
        <w:rPr>
          <w:spacing w:val="-1"/>
          <w:szCs w:val="22"/>
        </w:rPr>
        <w:t>L</w:t>
      </w:r>
      <w:r>
        <w:rPr>
          <w:szCs w:val="22"/>
        </w:rPr>
        <w:t>)</w:t>
      </w:r>
      <w:r>
        <w:rPr>
          <w:spacing w:val="1"/>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2"/>
          <w:szCs w:val="22"/>
        </w:rPr>
        <w:t>t</w:t>
      </w:r>
      <w:r>
        <w:rPr>
          <w:spacing w:val="1"/>
          <w:szCs w:val="22"/>
        </w:rPr>
        <w:t>i</w:t>
      </w:r>
      <w:r>
        <w:rPr>
          <w:szCs w:val="22"/>
        </w:rPr>
        <w:t>v</w:t>
      </w:r>
      <w:r>
        <w:rPr>
          <w:spacing w:val="-3"/>
          <w:szCs w:val="22"/>
        </w:rPr>
        <w:t xml:space="preserve"> </w:t>
      </w:r>
      <w:r>
        <w:rPr>
          <w:spacing w:val="1"/>
          <w:szCs w:val="22"/>
        </w:rPr>
        <w:t>î</w:t>
      </w:r>
      <w:r>
        <w:rPr>
          <w:spacing w:val="-4"/>
          <w:szCs w:val="22"/>
        </w:rPr>
        <w:t>m</w:t>
      </w:r>
      <w:r>
        <w:rPr>
          <w:spacing w:val="2"/>
          <w:szCs w:val="22"/>
        </w:rPr>
        <w:t>b</w:t>
      </w:r>
      <w:r>
        <w:rPr>
          <w:szCs w:val="22"/>
        </w:rPr>
        <w:t>ună</w:t>
      </w:r>
      <w:r>
        <w:rPr>
          <w:spacing w:val="1"/>
          <w:szCs w:val="22"/>
        </w:rPr>
        <w:t>t</w:t>
      </w:r>
      <w:r>
        <w:rPr>
          <w:spacing w:val="-3"/>
          <w:szCs w:val="22"/>
        </w:rPr>
        <w:t>ă</w:t>
      </w:r>
      <w:r>
        <w:rPr>
          <w:spacing w:val="-2"/>
          <w:szCs w:val="22"/>
        </w:rPr>
        <w:t>ţ</w:t>
      </w:r>
      <w:r>
        <w:rPr>
          <w:spacing w:val="1"/>
          <w:szCs w:val="22"/>
        </w:rPr>
        <w:t>it</w:t>
      </w:r>
      <w:r>
        <w:rPr>
          <w:szCs w:val="22"/>
        </w:rPr>
        <w:t>e</w:t>
      </w:r>
      <w:r>
        <w:rPr>
          <w:spacing w:val="-2"/>
          <w:szCs w:val="22"/>
        </w:rPr>
        <w:t xml:space="preserve"> </w:t>
      </w:r>
      <w:r>
        <w:rPr>
          <w:spacing w:val="1"/>
          <w:szCs w:val="22"/>
        </w:rPr>
        <w:t>î</w:t>
      </w:r>
      <w:r>
        <w:rPr>
          <w:szCs w:val="22"/>
        </w:rP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12 </w:t>
      </w:r>
      <w:r>
        <w:rPr>
          <w:spacing w:val="-2"/>
          <w:szCs w:val="22"/>
        </w:rPr>
        <w:t>ş</w:t>
      </w:r>
      <w:r>
        <w:rPr>
          <w:szCs w:val="22"/>
        </w:rPr>
        <w:t>i</w:t>
      </w:r>
      <w:r>
        <w:rPr>
          <w:spacing w:val="1"/>
          <w:szCs w:val="22"/>
        </w:rPr>
        <w:t xml:space="preserve"> </w:t>
      </w:r>
      <w:r>
        <w:rPr>
          <w:szCs w:val="22"/>
        </w:rPr>
        <w:t>s</w:t>
      </w:r>
      <w:r>
        <w:rPr>
          <w:spacing w:val="-4"/>
          <w:szCs w:val="22"/>
        </w:rPr>
        <w:t>-</w:t>
      </w:r>
      <w:r>
        <w:rPr>
          <w:szCs w:val="22"/>
        </w:rPr>
        <w:t>a</w:t>
      </w:r>
      <w:r>
        <w:rPr>
          <w:spacing w:val="2"/>
          <w:szCs w:val="22"/>
        </w:rPr>
        <w:t xml:space="preserve"> </w:t>
      </w:r>
      <w:r>
        <w:rPr>
          <w:spacing w:val="-4"/>
          <w:szCs w:val="22"/>
        </w:rPr>
        <w:t>m</w:t>
      </w:r>
      <w:r>
        <w:rPr>
          <w:szCs w:val="22"/>
        </w:rPr>
        <w:t>en</w:t>
      </w:r>
      <w:r>
        <w:rPr>
          <w:spacing w:val="1"/>
          <w:szCs w:val="22"/>
        </w:rPr>
        <w:t>ţi</w:t>
      </w:r>
      <w:r>
        <w:rPr>
          <w:szCs w:val="22"/>
        </w:rPr>
        <w:t>n</w:t>
      </w:r>
      <w:r>
        <w:rPr>
          <w:spacing w:val="-3"/>
          <w:szCs w:val="22"/>
        </w:rPr>
        <w:t>u</w:t>
      </w:r>
      <w:r>
        <w:rPr>
          <w:szCs w:val="22"/>
        </w:rPr>
        <w:t>t</w:t>
      </w:r>
      <w:r>
        <w:rPr>
          <w:spacing w:val="1"/>
          <w:szCs w:val="22"/>
        </w:rPr>
        <w:t xml:space="preserve"> </w:t>
      </w:r>
      <w:r>
        <w:rPr>
          <w:spacing w:val="-2"/>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pacing w:val="-2"/>
          <w:szCs w:val="22"/>
        </w:rPr>
        <w:t xml:space="preserve"> </w:t>
      </w:r>
      <w:r>
        <w:rPr>
          <w:szCs w:val="22"/>
        </w:rPr>
        <w:t>24.</w:t>
      </w:r>
    </w:p>
    <w:p w14:paraId="2082E0EE" w14:textId="77777777" w:rsidR="00C04CAD" w:rsidRDefault="00C04CAD">
      <w:pPr>
        <w:tabs>
          <w:tab w:val="clear" w:pos="567"/>
        </w:tabs>
        <w:kinsoku w:val="0"/>
        <w:overflowPunct w:val="0"/>
        <w:autoSpaceDE w:val="0"/>
        <w:autoSpaceDN w:val="0"/>
        <w:adjustRightInd w:val="0"/>
        <w:spacing w:line="240" w:lineRule="auto"/>
        <w:rPr>
          <w:szCs w:val="22"/>
        </w:rPr>
      </w:pPr>
    </w:p>
    <w:p w14:paraId="57FBD8D6"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E</w:t>
      </w:r>
      <w:r>
        <w:rPr>
          <w:spacing w:val="-3"/>
          <w:szCs w:val="22"/>
        </w:rPr>
        <w:t>v</w:t>
      </w:r>
      <w:r>
        <w:rPr>
          <w:szCs w:val="22"/>
        </w:rPr>
        <w:t>o</w:t>
      </w:r>
      <w:r>
        <w:rPr>
          <w:spacing w:val="1"/>
          <w:szCs w:val="22"/>
        </w:rPr>
        <w:t>l</w:t>
      </w:r>
      <w:r>
        <w:rPr>
          <w:szCs w:val="22"/>
        </w:rPr>
        <w:t>u</w:t>
      </w:r>
      <w:r>
        <w:rPr>
          <w:spacing w:val="1"/>
          <w:szCs w:val="22"/>
        </w:rPr>
        <w:t>ţ</w:t>
      </w:r>
      <w:r>
        <w:rPr>
          <w:spacing w:val="-2"/>
          <w:szCs w:val="22"/>
        </w:rPr>
        <w:t>i</w:t>
      </w:r>
      <w:r>
        <w:rPr>
          <w:szCs w:val="22"/>
        </w:rPr>
        <w:t>i</w:t>
      </w:r>
      <w:r>
        <w:rPr>
          <w:spacing w:val="1"/>
          <w:szCs w:val="22"/>
        </w:rPr>
        <w:t xml:space="preserve"> </w:t>
      </w:r>
      <w:r>
        <w:rPr>
          <w:spacing w:val="-2"/>
          <w:szCs w:val="22"/>
        </w:rPr>
        <w:t>s</w:t>
      </w:r>
      <w:r>
        <w:rPr>
          <w:spacing w:val="1"/>
          <w:szCs w:val="22"/>
        </w:rPr>
        <w:t>i</w:t>
      </w:r>
      <w:r>
        <w:rPr>
          <w:spacing w:val="-4"/>
          <w:szCs w:val="22"/>
        </w:rPr>
        <w:t>m</w:t>
      </w:r>
      <w:r>
        <w:rPr>
          <w:spacing w:val="1"/>
          <w:szCs w:val="22"/>
        </w:rPr>
        <w:t>il</w:t>
      </w:r>
      <w:r>
        <w:rPr>
          <w:szCs w:val="22"/>
        </w:rPr>
        <w:t>are</w:t>
      </w:r>
      <w:r>
        <w:rPr>
          <w:spacing w:val="-2"/>
          <w:szCs w:val="22"/>
        </w:rPr>
        <w:t xml:space="preserve"> </w:t>
      </w:r>
      <w:r>
        <w:rPr>
          <w:szCs w:val="22"/>
        </w:rPr>
        <w:t>(nu</w:t>
      </w:r>
      <w:r>
        <w:rPr>
          <w:spacing w:val="-3"/>
          <w:szCs w:val="22"/>
        </w:rPr>
        <w:t xml:space="preserve"> </w:t>
      </w:r>
      <w:r>
        <w:rPr>
          <w:spacing w:val="1"/>
          <w:szCs w:val="22"/>
        </w:rPr>
        <w:t>t</w:t>
      </w:r>
      <w:r>
        <w:rPr>
          <w:szCs w:val="22"/>
        </w:rPr>
        <w:t>o</w:t>
      </w:r>
      <w:r>
        <w:rPr>
          <w:spacing w:val="-3"/>
          <w:szCs w:val="22"/>
        </w:rPr>
        <w:t>a</w:t>
      </w:r>
      <w:r>
        <w:rPr>
          <w:spacing w:val="1"/>
          <w:szCs w:val="22"/>
        </w:rPr>
        <w:t>t</w:t>
      </w:r>
      <w:r>
        <w:rPr>
          <w:szCs w:val="22"/>
        </w:rPr>
        <w:t>e</w:t>
      </w:r>
      <w:r>
        <w:rPr>
          <w:spacing w:val="-2"/>
          <w:szCs w:val="22"/>
        </w:rPr>
        <w:t xml:space="preserve"> s</w:t>
      </w:r>
      <w:r>
        <w:rPr>
          <w:szCs w:val="22"/>
        </w:rPr>
        <w:t>e</w:t>
      </w:r>
      <w:r>
        <w:rPr>
          <w:spacing w:val="-4"/>
          <w:szCs w:val="22"/>
        </w:rPr>
        <w:t>m</w:t>
      </w:r>
      <w:r>
        <w:rPr>
          <w:szCs w:val="22"/>
        </w:rPr>
        <w:t>n</w:t>
      </w:r>
      <w:r>
        <w:rPr>
          <w:spacing w:val="1"/>
          <w:szCs w:val="22"/>
        </w:rPr>
        <w:t>i</w:t>
      </w:r>
      <w:r>
        <w:rPr>
          <w:szCs w:val="22"/>
        </w:rPr>
        <w:t>f</w:t>
      </w:r>
      <w:r>
        <w:rPr>
          <w:spacing w:val="1"/>
          <w:szCs w:val="22"/>
        </w:rPr>
        <w:t>i</w:t>
      </w:r>
      <w:r>
        <w:rPr>
          <w:szCs w:val="22"/>
        </w:rPr>
        <w:t>c</w:t>
      </w:r>
      <w:r>
        <w:rPr>
          <w:spacing w:val="-3"/>
          <w:szCs w:val="22"/>
        </w:rPr>
        <w:t>a</w:t>
      </w:r>
      <w:r>
        <w:rPr>
          <w:spacing w:val="1"/>
          <w:szCs w:val="22"/>
        </w:rPr>
        <w:t>ti</w:t>
      </w:r>
      <w:r>
        <w:rPr>
          <w:spacing w:val="-3"/>
          <w:szCs w:val="22"/>
        </w:rPr>
        <w:t>v</w:t>
      </w:r>
      <w:r>
        <w:rPr>
          <w:szCs w:val="22"/>
        </w:rPr>
        <w:t xml:space="preserve">e </w:t>
      </w:r>
      <w:r>
        <w:rPr>
          <w:spacing w:val="-2"/>
          <w:szCs w:val="22"/>
        </w:rPr>
        <w:t>s</w:t>
      </w:r>
      <w:r>
        <w:rPr>
          <w:spacing w:val="1"/>
          <w:szCs w:val="22"/>
        </w:rPr>
        <w:t>t</w:t>
      </w:r>
      <w:r>
        <w:rPr>
          <w:spacing w:val="-3"/>
          <w:szCs w:val="22"/>
        </w:rPr>
        <w:t>a</w:t>
      </w:r>
      <w:r>
        <w:rPr>
          <w:spacing w:val="1"/>
          <w:szCs w:val="22"/>
        </w:rPr>
        <w:t>ti</w:t>
      </w:r>
      <w:r>
        <w:rPr>
          <w:spacing w:val="-2"/>
          <w:szCs w:val="22"/>
        </w:rPr>
        <w:t>st</w:t>
      </w:r>
      <w:r>
        <w:rPr>
          <w:spacing w:val="1"/>
          <w:szCs w:val="22"/>
        </w:rPr>
        <w:t>i</w:t>
      </w:r>
      <w:r>
        <w:rPr>
          <w:szCs w:val="22"/>
        </w:rPr>
        <w:t>c)</w:t>
      </w:r>
      <w:r>
        <w:rPr>
          <w:spacing w:val="-2"/>
          <w:szCs w:val="22"/>
        </w:rPr>
        <w:t xml:space="preserve"> </w:t>
      </w:r>
      <w:r>
        <w:rPr>
          <w:szCs w:val="22"/>
        </w:rPr>
        <w:t xml:space="preserve">au </w:t>
      </w:r>
      <w:r>
        <w:rPr>
          <w:spacing w:val="-2"/>
          <w:szCs w:val="22"/>
        </w:rPr>
        <w:t>f</w:t>
      </w:r>
      <w:r>
        <w:rPr>
          <w:spacing w:val="-3"/>
          <w:szCs w:val="22"/>
        </w:rPr>
        <w:t>o</w:t>
      </w:r>
      <w:r>
        <w:rPr>
          <w:szCs w:val="22"/>
        </w:rPr>
        <w:t>st</w:t>
      </w:r>
      <w:r>
        <w:rPr>
          <w:spacing w:val="1"/>
          <w:szCs w:val="22"/>
        </w:rPr>
        <w:t xml:space="preserve"> </w:t>
      </w:r>
      <w:r>
        <w:rPr>
          <w:szCs w:val="22"/>
        </w:rPr>
        <w:t>o</w:t>
      </w:r>
      <w:r>
        <w:rPr>
          <w:spacing w:val="-3"/>
          <w:szCs w:val="22"/>
        </w:rPr>
        <w:t>b</w:t>
      </w:r>
      <w:r>
        <w:rPr>
          <w:szCs w:val="22"/>
        </w:rPr>
        <w:t>ser</w:t>
      </w:r>
      <w:r>
        <w:rPr>
          <w:spacing w:val="-3"/>
          <w:szCs w:val="22"/>
        </w:rPr>
        <w:t>v</w:t>
      </w:r>
      <w:r>
        <w:rPr>
          <w:szCs w:val="22"/>
        </w:rPr>
        <w:t>a</w:t>
      </w:r>
      <w:r>
        <w:rPr>
          <w:spacing w:val="-2"/>
          <w:szCs w:val="22"/>
        </w:rPr>
        <w:t>t</w:t>
      </w:r>
      <w:r>
        <w:rPr>
          <w:szCs w:val="22"/>
        </w:rPr>
        <w:t xml:space="preserve">e </w:t>
      </w:r>
      <w:r>
        <w:rPr>
          <w:spacing w:val="1"/>
          <w:szCs w:val="22"/>
        </w:rPr>
        <w:t>î</w:t>
      </w:r>
      <w:r>
        <w:rPr>
          <w:spacing w:val="-3"/>
          <w:szCs w:val="22"/>
        </w:rPr>
        <w:t>n</w:t>
      </w:r>
      <w:r>
        <w:rPr>
          <w:spacing w:val="1"/>
          <w:szCs w:val="22"/>
        </w:rPr>
        <w:t>t</w:t>
      </w:r>
      <w:r>
        <w:rPr>
          <w:spacing w:val="-1"/>
          <w:szCs w:val="22"/>
        </w:rPr>
        <w:t>r</w:t>
      </w:r>
      <w:r>
        <w:rPr>
          <w:spacing w:val="-4"/>
          <w:szCs w:val="22"/>
        </w:rPr>
        <w:t>-</w:t>
      </w:r>
      <w:r>
        <w:rPr>
          <w:szCs w:val="22"/>
        </w:rPr>
        <w:t>un s</w:t>
      </w:r>
      <w:r>
        <w:rPr>
          <w:spacing w:val="1"/>
          <w:szCs w:val="22"/>
        </w:rPr>
        <w:t>t</w:t>
      </w:r>
      <w:r>
        <w:rPr>
          <w:spacing w:val="-3"/>
          <w:szCs w:val="22"/>
        </w:rPr>
        <w:t>u</w:t>
      </w:r>
      <w:r>
        <w:rPr>
          <w:szCs w:val="22"/>
        </w:rPr>
        <w:t>d</w:t>
      </w:r>
      <w:r>
        <w:rPr>
          <w:spacing w:val="1"/>
          <w:szCs w:val="22"/>
        </w:rPr>
        <w:t>i</w:t>
      </w:r>
      <w:r>
        <w:rPr>
          <w:szCs w:val="22"/>
        </w:rPr>
        <w:t>u</w:t>
      </w:r>
      <w:r>
        <w:rPr>
          <w:spacing w:val="-3"/>
          <w:szCs w:val="22"/>
        </w:rPr>
        <w:t xml:space="preserve"> </w:t>
      </w:r>
      <w:r>
        <w:rPr>
          <w:spacing w:val="-1"/>
          <w:szCs w:val="22"/>
        </w:rPr>
        <w:t>S</w:t>
      </w:r>
      <w:r>
        <w:rPr>
          <w:szCs w:val="22"/>
        </w:rPr>
        <w:t>A</w:t>
      </w:r>
      <w:r>
        <w:rPr>
          <w:spacing w:val="1"/>
          <w:szCs w:val="22"/>
        </w:rPr>
        <w:t xml:space="preserve"> </w:t>
      </w:r>
      <w:r>
        <w:rPr>
          <w:spacing w:val="-2"/>
          <w:szCs w:val="22"/>
        </w:rPr>
        <w:t>I</w:t>
      </w:r>
      <w:r>
        <w:rPr>
          <w:szCs w:val="22"/>
        </w:rPr>
        <w:t>I</w:t>
      </w:r>
      <w:r>
        <w:rPr>
          <w:spacing w:val="-4"/>
          <w:szCs w:val="22"/>
        </w:rPr>
        <w:t xml:space="preserve"> </w:t>
      </w:r>
      <w:r>
        <w:rPr>
          <w:szCs w:val="22"/>
        </w:rPr>
        <w:t>dub</w:t>
      </w:r>
      <w:r>
        <w:rPr>
          <w:spacing w:val="1"/>
          <w:szCs w:val="22"/>
        </w:rPr>
        <w:t>l</w:t>
      </w:r>
      <w:r>
        <w:rPr>
          <w:szCs w:val="22"/>
        </w:rPr>
        <w:t>u</w:t>
      </w:r>
      <w:r>
        <w:rPr>
          <w:spacing w:val="-4"/>
          <w:szCs w:val="22"/>
        </w:rPr>
        <w:t>-</w:t>
      </w:r>
      <w:r>
        <w:rPr>
          <w:szCs w:val="22"/>
        </w:rPr>
        <w:t>orb, rando</w:t>
      </w:r>
      <w:r>
        <w:rPr>
          <w:spacing w:val="-4"/>
          <w:szCs w:val="22"/>
        </w:rPr>
        <w:t>m</w:t>
      </w:r>
      <w:r>
        <w:rPr>
          <w:spacing w:val="1"/>
          <w:szCs w:val="22"/>
        </w:rPr>
        <w:t>i</w:t>
      </w:r>
      <w:r>
        <w:rPr>
          <w:spacing w:val="-3"/>
          <w:szCs w:val="22"/>
        </w:rPr>
        <w:t>z</w:t>
      </w:r>
      <w:r>
        <w:rPr>
          <w:szCs w:val="22"/>
        </w:rPr>
        <w:t>a</w:t>
      </w:r>
      <w:r>
        <w:rPr>
          <w:spacing w:val="1"/>
          <w:szCs w:val="22"/>
        </w:rPr>
        <w:t>t</w:t>
      </w:r>
      <w:r>
        <w:rPr>
          <w:szCs w:val="22"/>
        </w:rPr>
        <w:t xml:space="preserve">, </w:t>
      </w:r>
      <w:r>
        <w:rPr>
          <w:spacing w:val="-3"/>
          <w:szCs w:val="22"/>
        </w:rPr>
        <w:t>p</w:t>
      </w:r>
      <w:r>
        <w:rPr>
          <w:spacing w:val="1"/>
          <w:szCs w:val="22"/>
        </w:rPr>
        <w:t>l</w:t>
      </w:r>
      <w:r>
        <w:rPr>
          <w:szCs w:val="22"/>
        </w:rPr>
        <w:t>ac</w:t>
      </w:r>
      <w:r>
        <w:rPr>
          <w:spacing w:val="-3"/>
          <w:szCs w:val="22"/>
        </w:rPr>
        <w:t>e</w:t>
      </w:r>
      <w:r>
        <w:rPr>
          <w:szCs w:val="22"/>
        </w:rPr>
        <w:t>bo</w:t>
      </w:r>
      <w:r>
        <w:rPr>
          <w:spacing w:val="-4"/>
          <w:szCs w:val="22"/>
        </w:rPr>
        <w:t>-</w:t>
      </w:r>
      <w:r>
        <w:rPr>
          <w:szCs w:val="22"/>
        </w:rPr>
        <w:t>con</w:t>
      </w:r>
      <w:r>
        <w:rPr>
          <w:spacing w:val="1"/>
          <w:szCs w:val="22"/>
        </w:rPr>
        <w:t>t</w:t>
      </w:r>
      <w:r>
        <w:rPr>
          <w:szCs w:val="22"/>
        </w:rPr>
        <w:t>r</w:t>
      </w:r>
      <w:r>
        <w:rPr>
          <w:spacing w:val="-3"/>
          <w:szCs w:val="22"/>
        </w:rPr>
        <w:t>o</w:t>
      </w:r>
      <w:r>
        <w:rPr>
          <w:spacing w:val="1"/>
          <w:szCs w:val="22"/>
        </w:rPr>
        <w:t>l</w:t>
      </w:r>
      <w:r>
        <w:rPr>
          <w:szCs w:val="22"/>
        </w:rPr>
        <w:t>at</w:t>
      </w:r>
      <w:r>
        <w:rPr>
          <w:spacing w:val="-2"/>
          <w:szCs w:val="22"/>
        </w:rPr>
        <w:t xml:space="preserve"> </w:t>
      </w:r>
      <w:r>
        <w:rPr>
          <w:spacing w:val="1"/>
          <w:szCs w:val="22"/>
        </w:rPr>
        <w:t>l</w:t>
      </w:r>
      <w:r>
        <w:rPr>
          <w:szCs w:val="22"/>
        </w:rPr>
        <w:t>a</w:t>
      </w:r>
      <w:r>
        <w:rPr>
          <w:spacing w:val="-2"/>
          <w:szCs w:val="22"/>
        </w:rPr>
        <w:t xml:space="preserve"> </w:t>
      </w:r>
      <w:r>
        <w:rPr>
          <w:szCs w:val="22"/>
        </w:rPr>
        <w:t>82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ad</w:t>
      </w:r>
      <w:r>
        <w:rPr>
          <w:spacing w:val="-3"/>
          <w:szCs w:val="22"/>
        </w:rPr>
        <w:t>u</w:t>
      </w:r>
      <w:r>
        <w:rPr>
          <w:spacing w:val="1"/>
          <w:szCs w:val="22"/>
        </w:rPr>
        <w:t>l</w:t>
      </w:r>
      <w:r>
        <w:rPr>
          <w:spacing w:val="-2"/>
          <w:szCs w:val="22"/>
        </w:rPr>
        <w:t>ţ</w:t>
      </w:r>
      <w:r>
        <w:rPr>
          <w:szCs w:val="22"/>
        </w:rPr>
        <w:t>i</w:t>
      </w:r>
      <w:r>
        <w:rPr>
          <w:spacing w:val="1"/>
          <w:szCs w:val="22"/>
        </w:rPr>
        <w:t xml:space="preserve"> </w:t>
      </w:r>
      <w:r>
        <w:rPr>
          <w:szCs w:val="22"/>
        </w:rPr>
        <w:t>cu</w:t>
      </w:r>
      <w:r>
        <w:rPr>
          <w:spacing w:val="-3"/>
          <w:szCs w:val="22"/>
        </w:rPr>
        <w:t xml:space="preserve"> </w:t>
      </w:r>
      <w:r>
        <w:rPr>
          <w:spacing w:val="-2"/>
          <w:szCs w:val="22"/>
        </w:rPr>
        <w:t>s</w:t>
      </w:r>
      <w:r>
        <w:rPr>
          <w:szCs w:val="22"/>
        </w:rPr>
        <w:t>pond</w:t>
      </w:r>
      <w:r>
        <w:rPr>
          <w:spacing w:val="-2"/>
          <w:szCs w:val="22"/>
        </w:rPr>
        <w:t>i</w:t>
      </w:r>
      <w:r>
        <w:rPr>
          <w:spacing w:val="1"/>
          <w:szCs w:val="22"/>
        </w:rPr>
        <w:t>l</w:t>
      </w:r>
      <w:r>
        <w:rPr>
          <w:spacing w:val="-2"/>
          <w:szCs w:val="22"/>
        </w:rPr>
        <w:t>i</w:t>
      </w:r>
      <w:r>
        <w:rPr>
          <w:spacing w:val="1"/>
          <w:szCs w:val="22"/>
        </w:rPr>
        <w:t>t</w:t>
      </w:r>
      <w:r>
        <w:rPr>
          <w:szCs w:val="22"/>
        </w:rPr>
        <w:t xml:space="preserve">ă </w:t>
      </w:r>
      <w:r>
        <w:rPr>
          <w:spacing w:val="-3"/>
          <w:szCs w:val="22"/>
        </w:rPr>
        <w:t>a</w:t>
      </w:r>
      <w:r>
        <w:rPr>
          <w:szCs w:val="22"/>
        </w:rPr>
        <w:t>nc</w:t>
      </w:r>
      <w:r>
        <w:rPr>
          <w:spacing w:val="-3"/>
          <w:szCs w:val="22"/>
        </w:rPr>
        <w:t>h</w:t>
      </w:r>
      <w:r>
        <w:rPr>
          <w:spacing w:val="1"/>
          <w:szCs w:val="22"/>
        </w:rPr>
        <w:t>il</w:t>
      </w:r>
      <w:r>
        <w:rPr>
          <w:szCs w:val="22"/>
        </w:rPr>
        <w:t>o</w:t>
      </w:r>
      <w:r>
        <w:rPr>
          <w:spacing w:val="-3"/>
          <w:szCs w:val="22"/>
        </w:rPr>
        <w:t>z</w:t>
      </w:r>
      <w:r>
        <w:rPr>
          <w:szCs w:val="22"/>
        </w:rPr>
        <w:t>a</w:t>
      </w:r>
      <w:r>
        <w:rPr>
          <w:spacing w:val="-3"/>
          <w:szCs w:val="22"/>
        </w:rPr>
        <w:t>n</w:t>
      </w:r>
      <w:r>
        <w:rPr>
          <w:spacing w:val="1"/>
          <w:szCs w:val="22"/>
        </w:rPr>
        <w:t>t</w:t>
      </w:r>
      <w:r>
        <w:rPr>
          <w:szCs w:val="22"/>
        </w:rPr>
        <w:t xml:space="preserve">ă </w:t>
      </w:r>
      <w:r>
        <w:rPr>
          <w:spacing w:val="-3"/>
          <w:szCs w:val="22"/>
        </w:rPr>
        <w:t>a</w:t>
      </w:r>
      <w:r>
        <w:rPr>
          <w:szCs w:val="22"/>
        </w:rPr>
        <w:t>c</w:t>
      </w:r>
      <w:r>
        <w:rPr>
          <w:spacing w:val="-2"/>
          <w:szCs w:val="22"/>
        </w:rPr>
        <w:t>t</w:t>
      </w:r>
      <w:r>
        <w:rPr>
          <w:spacing w:val="1"/>
          <w:szCs w:val="22"/>
        </w:rPr>
        <w:t>i</w:t>
      </w:r>
      <w:r>
        <w:rPr>
          <w:spacing w:val="-3"/>
          <w:szCs w:val="22"/>
        </w:rPr>
        <w:t>v</w:t>
      </w:r>
      <w:r>
        <w:rPr>
          <w:szCs w:val="22"/>
        </w:rPr>
        <w:t>ă.</w:t>
      </w:r>
    </w:p>
    <w:p w14:paraId="73BA636E" w14:textId="77777777" w:rsidR="00C04CAD" w:rsidRDefault="00C04CAD">
      <w:pPr>
        <w:tabs>
          <w:tab w:val="clear" w:pos="567"/>
        </w:tabs>
        <w:kinsoku w:val="0"/>
        <w:overflowPunct w:val="0"/>
        <w:autoSpaceDE w:val="0"/>
        <w:autoSpaceDN w:val="0"/>
        <w:adjustRightInd w:val="0"/>
        <w:spacing w:line="240" w:lineRule="auto"/>
        <w:rPr>
          <w:szCs w:val="22"/>
        </w:rPr>
      </w:pPr>
    </w:p>
    <w:p w14:paraId="50855D0F" w14:textId="77777777" w:rsidR="00C04CAD" w:rsidRDefault="00060E34">
      <w:pPr>
        <w:tabs>
          <w:tab w:val="clear" w:pos="567"/>
        </w:tabs>
        <w:kinsoku w:val="0"/>
        <w:overflowPunct w:val="0"/>
        <w:autoSpaceDE w:val="0"/>
        <w:autoSpaceDN w:val="0"/>
        <w:adjustRightInd w:val="0"/>
        <w:spacing w:line="240" w:lineRule="auto"/>
        <w:rPr>
          <w:szCs w:val="22"/>
        </w:rPr>
      </w:pPr>
      <w:r>
        <w:rPr>
          <w:i/>
          <w:szCs w:val="22"/>
          <w:u w:val="single"/>
        </w:rPr>
        <w:t>Spond</w:t>
      </w:r>
      <w:r>
        <w:rPr>
          <w:i/>
          <w:spacing w:val="-2"/>
          <w:szCs w:val="22"/>
          <w:u w:val="single"/>
        </w:rPr>
        <w:t>i</w:t>
      </w:r>
      <w:r>
        <w:rPr>
          <w:i/>
          <w:spacing w:val="1"/>
          <w:szCs w:val="22"/>
          <w:u w:val="single"/>
        </w:rPr>
        <w:t>l</w:t>
      </w:r>
      <w:r>
        <w:rPr>
          <w:i/>
          <w:szCs w:val="22"/>
          <w:u w:val="single"/>
        </w:rPr>
        <w:t>o</w:t>
      </w:r>
      <w:r>
        <w:rPr>
          <w:i/>
          <w:spacing w:val="-3"/>
          <w:szCs w:val="22"/>
          <w:u w:val="single"/>
        </w:rPr>
        <w:t>a</w:t>
      </w:r>
      <w:r>
        <w:rPr>
          <w:i/>
          <w:szCs w:val="22"/>
          <w:u w:val="single"/>
        </w:rPr>
        <w:t>r</w:t>
      </w:r>
      <w:r>
        <w:rPr>
          <w:i/>
          <w:spacing w:val="1"/>
          <w:szCs w:val="22"/>
          <w:u w:val="single"/>
        </w:rPr>
        <w:t>t</w:t>
      </w:r>
      <w:r>
        <w:rPr>
          <w:i/>
          <w:spacing w:val="-2"/>
          <w:szCs w:val="22"/>
          <w:u w:val="single"/>
        </w:rPr>
        <w:t>r</w:t>
      </w:r>
      <w:r>
        <w:rPr>
          <w:i/>
          <w:spacing w:val="1"/>
          <w:szCs w:val="22"/>
          <w:u w:val="single"/>
        </w:rPr>
        <w:t>i</w:t>
      </w:r>
      <w:r>
        <w:rPr>
          <w:i/>
          <w:spacing w:val="-2"/>
          <w:szCs w:val="22"/>
          <w:u w:val="single"/>
        </w:rPr>
        <w:t>t</w:t>
      </w:r>
      <w:r>
        <w:rPr>
          <w:i/>
          <w:szCs w:val="22"/>
          <w:u w:val="single"/>
        </w:rPr>
        <w:t>ă</w:t>
      </w:r>
      <w:r>
        <w:rPr>
          <w:i/>
          <w:spacing w:val="-1"/>
          <w:szCs w:val="22"/>
          <w:u w:val="single"/>
        </w:rPr>
        <w:t xml:space="preserve"> </w:t>
      </w:r>
      <w:r>
        <w:rPr>
          <w:i/>
          <w:szCs w:val="22"/>
          <w:u w:val="single"/>
        </w:rPr>
        <w:t>a</w:t>
      </w:r>
      <w:r>
        <w:rPr>
          <w:i/>
          <w:spacing w:val="-3"/>
          <w:szCs w:val="22"/>
          <w:u w:val="single"/>
        </w:rPr>
        <w:t>x</w:t>
      </w:r>
      <w:r>
        <w:rPr>
          <w:i/>
          <w:spacing w:val="1"/>
          <w:szCs w:val="22"/>
          <w:u w:val="single"/>
        </w:rPr>
        <w:t>i</w:t>
      </w:r>
      <w:r>
        <w:rPr>
          <w:i/>
          <w:szCs w:val="22"/>
          <w:u w:val="single"/>
        </w:rPr>
        <w:t>a</w:t>
      </w:r>
      <w:r>
        <w:rPr>
          <w:i/>
          <w:spacing w:val="-2"/>
          <w:szCs w:val="22"/>
          <w:u w:val="single"/>
        </w:rPr>
        <w:t>l</w:t>
      </w:r>
      <w:r>
        <w:rPr>
          <w:i/>
          <w:szCs w:val="22"/>
          <w:u w:val="single"/>
        </w:rPr>
        <w:t xml:space="preserve">ă </w:t>
      </w:r>
      <w:r>
        <w:rPr>
          <w:i/>
          <w:spacing w:val="1"/>
          <w:szCs w:val="22"/>
          <w:u w:val="single"/>
        </w:rPr>
        <w:t>f</w:t>
      </w:r>
      <w:r>
        <w:rPr>
          <w:i/>
          <w:spacing w:val="-3"/>
          <w:szCs w:val="22"/>
          <w:u w:val="single"/>
        </w:rPr>
        <w:t>ă</w:t>
      </w:r>
      <w:r>
        <w:rPr>
          <w:i/>
          <w:szCs w:val="22"/>
          <w:u w:val="single"/>
        </w:rPr>
        <w:t>ră</w:t>
      </w:r>
      <w:r>
        <w:rPr>
          <w:i/>
          <w:spacing w:val="-4"/>
          <w:szCs w:val="22"/>
          <w:u w:val="single"/>
        </w:rPr>
        <w:t xml:space="preserve"> </w:t>
      </w:r>
      <w:r>
        <w:rPr>
          <w:i/>
          <w:szCs w:val="22"/>
          <w:u w:val="single"/>
        </w:rPr>
        <w:t>dovadă</w:t>
      </w:r>
      <w:r>
        <w:rPr>
          <w:i/>
          <w:spacing w:val="-3"/>
          <w:szCs w:val="22"/>
          <w:u w:val="single"/>
        </w:rPr>
        <w:t xml:space="preserve"> </w:t>
      </w:r>
      <w:r>
        <w:rPr>
          <w:i/>
          <w:szCs w:val="22"/>
          <w:u w:val="single"/>
        </w:rPr>
        <w:t>rad</w:t>
      </w:r>
      <w:r>
        <w:rPr>
          <w:i/>
          <w:spacing w:val="-2"/>
          <w:szCs w:val="22"/>
          <w:u w:val="single"/>
        </w:rPr>
        <w:t>i</w:t>
      </w:r>
      <w:r>
        <w:rPr>
          <w:i/>
          <w:szCs w:val="22"/>
          <w:u w:val="single"/>
        </w:rPr>
        <w:t>o</w:t>
      </w:r>
      <w:r>
        <w:rPr>
          <w:i/>
          <w:spacing w:val="1"/>
          <w:szCs w:val="22"/>
          <w:u w:val="single"/>
        </w:rPr>
        <w:t>l</w:t>
      </w:r>
      <w:r>
        <w:rPr>
          <w:i/>
          <w:szCs w:val="22"/>
          <w:u w:val="single"/>
        </w:rPr>
        <w:t>o</w:t>
      </w:r>
      <w:r>
        <w:rPr>
          <w:i/>
          <w:spacing w:val="-3"/>
          <w:szCs w:val="22"/>
          <w:u w:val="single"/>
        </w:rPr>
        <w:t>g</w:t>
      </w:r>
      <w:r>
        <w:rPr>
          <w:i/>
          <w:spacing w:val="1"/>
          <w:szCs w:val="22"/>
          <w:u w:val="single"/>
        </w:rPr>
        <w:t>i</w:t>
      </w:r>
      <w:r>
        <w:rPr>
          <w:i/>
          <w:szCs w:val="22"/>
          <w:u w:val="single"/>
        </w:rPr>
        <w:t>că</w:t>
      </w:r>
      <w:r>
        <w:rPr>
          <w:i/>
          <w:spacing w:val="-4"/>
          <w:szCs w:val="22"/>
          <w:u w:val="single"/>
        </w:rPr>
        <w:t xml:space="preserve"> </w:t>
      </w:r>
      <w:r>
        <w:rPr>
          <w:i/>
          <w:szCs w:val="22"/>
          <w:u w:val="single"/>
        </w:rPr>
        <w:t>a sp</w:t>
      </w:r>
      <w:r>
        <w:rPr>
          <w:i/>
          <w:spacing w:val="-3"/>
          <w:szCs w:val="22"/>
          <w:u w:val="single"/>
        </w:rPr>
        <w:t>on</w:t>
      </w:r>
      <w:r>
        <w:rPr>
          <w:i/>
          <w:szCs w:val="22"/>
          <w:u w:val="single"/>
        </w:rPr>
        <w:t>d</w:t>
      </w:r>
      <w:r>
        <w:rPr>
          <w:i/>
          <w:spacing w:val="1"/>
          <w:szCs w:val="22"/>
          <w:u w:val="single"/>
        </w:rPr>
        <w:t>i</w:t>
      </w:r>
      <w:r>
        <w:rPr>
          <w:i/>
          <w:spacing w:val="-2"/>
          <w:szCs w:val="22"/>
          <w:u w:val="single"/>
        </w:rPr>
        <w:t>l</w:t>
      </w:r>
      <w:r>
        <w:rPr>
          <w:i/>
          <w:spacing w:val="1"/>
          <w:szCs w:val="22"/>
          <w:u w:val="single"/>
        </w:rPr>
        <w:t>i</w:t>
      </w:r>
      <w:r>
        <w:rPr>
          <w:i/>
          <w:spacing w:val="-2"/>
          <w:szCs w:val="22"/>
          <w:u w:val="single"/>
        </w:rPr>
        <w:t>t</w:t>
      </w:r>
      <w:r>
        <w:rPr>
          <w:i/>
          <w:szCs w:val="22"/>
          <w:u w:val="single"/>
        </w:rPr>
        <w:t>ei</w:t>
      </w:r>
      <w:r>
        <w:rPr>
          <w:i/>
          <w:spacing w:val="1"/>
          <w:szCs w:val="22"/>
          <w:u w:val="single"/>
        </w:rPr>
        <w:t xml:space="preserve"> </w:t>
      </w:r>
      <w:r>
        <w:rPr>
          <w:i/>
          <w:spacing w:val="-3"/>
          <w:szCs w:val="22"/>
          <w:u w:val="single"/>
        </w:rPr>
        <w:t>a</w:t>
      </w:r>
      <w:r>
        <w:rPr>
          <w:i/>
          <w:szCs w:val="22"/>
          <w:u w:val="single"/>
        </w:rPr>
        <w:t>nc</w:t>
      </w:r>
      <w:r>
        <w:rPr>
          <w:i/>
          <w:spacing w:val="-3"/>
          <w:szCs w:val="22"/>
          <w:u w:val="single"/>
        </w:rPr>
        <w:t>h</w:t>
      </w:r>
      <w:r>
        <w:rPr>
          <w:i/>
          <w:spacing w:val="1"/>
          <w:szCs w:val="22"/>
          <w:u w:val="single"/>
        </w:rPr>
        <w:t>il</w:t>
      </w:r>
      <w:r>
        <w:rPr>
          <w:i/>
          <w:spacing w:val="-3"/>
          <w:szCs w:val="22"/>
          <w:u w:val="single"/>
        </w:rPr>
        <w:t>o</w:t>
      </w:r>
      <w:r>
        <w:rPr>
          <w:i/>
          <w:szCs w:val="22"/>
          <w:u w:val="single"/>
        </w:rPr>
        <w:t>zan</w:t>
      </w:r>
      <w:r>
        <w:rPr>
          <w:i/>
          <w:spacing w:val="-2"/>
          <w:szCs w:val="22"/>
          <w:u w:val="single"/>
        </w:rPr>
        <w:t>t</w:t>
      </w:r>
      <w:r>
        <w:rPr>
          <w:i/>
          <w:szCs w:val="22"/>
          <w:u w:val="single"/>
        </w:rPr>
        <w:t>e</w:t>
      </w:r>
    </w:p>
    <w:p w14:paraId="274FEA15" w14:textId="77777777" w:rsidR="00C04CAD" w:rsidRDefault="00C04CAD">
      <w:pPr>
        <w:tabs>
          <w:tab w:val="clear" w:pos="567"/>
        </w:tabs>
        <w:kinsoku w:val="0"/>
        <w:overflowPunct w:val="0"/>
        <w:autoSpaceDE w:val="0"/>
        <w:autoSpaceDN w:val="0"/>
        <w:adjustRightInd w:val="0"/>
        <w:spacing w:line="240" w:lineRule="auto"/>
        <w:rPr>
          <w:szCs w:val="22"/>
        </w:rPr>
      </w:pPr>
    </w:p>
    <w:p w14:paraId="3FD3F51B"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Siguranța și eficacitatea adalimumab au fost evaluate în două studii randomizate, dublu-orb, controlate placebo la pacienți cu spondiloartrită axială fără dovadă radiologică (</w:t>
      </w:r>
      <w:r>
        <w:rPr>
          <w:i/>
          <w:color w:val="000000"/>
          <w:szCs w:val="22"/>
        </w:rPr>
        <w:t>non-radiographic axial spondyloarthritis</w:t>
      </w:r>
      <w:r>
        <w:rPr>
          <w:color w:val="000000"/>
          <w:szCs w:val="22"/>
        </w:rPr>
        <w:t xml:space="preserve"> = </w:t>
      </w:r>
      <w:r>
        <w:rPr>
          <w:szCs w:val="22"/>
        </w:rPr>
        <w:t>nr-axSpA). Studiul nr-axSpA I a evaluat pacienții cu nr-axSpA activă. Studiul nr-axSpA II a fost un studiu de întrerupere a tratamentului la pacienții cu nr-axSpA activă care au obținut remisiune în timpul tratamentului deschis cu Adalimumab.</w:t>
      </w:r>
    </w:p>
    <w:p w14:paraId="416EDF9B" w14:textId="77777777" w:rsidR="00C04CAD" w:rsidRDefault="00C04CAD">
      <w:pPr>
        <w:tabs>
          <w:tab w:val="clear" w:pos="567"/>
        </w:tabs>
        <w:kinsoku w:val="0"/>
        <w:overflowPunct w:val="0"/>
        <w:autoSpaceDE w:val="0"/>
        <w:autoSpaceDN w:val="0"/>
        <w:adjustRightInd w:val="0"/>
        <w:spacing w:line="240" w:lineRule="auto"/>
        <w:rPr>
          <w:szCs w:val="22"/>
        </w:rPr>
      </w:pPr>
    </w:p>
    <w:p w14:paraId="55850C2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Studiul nr-axSpA I</w:t>
      </w:r>
    </w:p>
    <w:p w14:paraId="6C2F517C" w14:textId="77777777" w:rsidR="00C04CAD" w:rsidRDefault="00C04CAD">
      <w:pPr>
        <w:tabs>
          <w:tab w:val="clear" w:pos="567"/>
        </w:tabs>
        <w:kinsoku w:val="0"/>
        <w:overflowPunct w:val="0"/>
        <w:autoSpaceDE w:val="0"/>
        <w:autoSpaceDN w:val="0"/>
        <w:adjustRightInd w:val="0"/>
        <w:spacing w:line="240" w:lineRule="auto"/>
        <w:rPr>
          <w:szCs w:val="22"/>
        </w:rPr>
      </w:pPr>
    </w:p>
    <w:p w14:paraId="6E55F9C8"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w:t>
      </w:r>
      <w:r>
        <w:rPr>
          <w:szCs w:val="22"/>
        </w:rPr>
        <w:t>ul nr-axSpA I,</w:t>
      </w:r>
      <w:r>
        <w:rPr>
          <w:spacing w:val="-3"/>
          <w:szCs w:val="22"/>
        </w:rPr>
        <w:t xml:space="preserve"> </w:t>
      </w:r>
      <w:r>
        <w:rPr>
          <w:szCs w:val="22"/>
        </w:rPr>
        <w:t>ra</w:t>
      </w:r>
      <w:r>
        <w:rPr>
          <w:spacing w:val="-3"/>
          <w:szCs w:val="22"/>
        </w:rPr>
        <w:t>n</w:t>
      </w:r>
      <w:r>
        <w:rPr>
          <w:szCs w:val="22"/>
        </w:rPr>
        <w:t>do</w:t>
      </w:r>
      <w:r>
        <w:rPr>
          <w:spacing w:val="-4"/>
          <w:szCs w:val="22"/>
        </w:rPr>
        <w:t>m</w:t>
      </w:r>
      <w:r>
        <w:rPr>
          <w:spacing w:val="1"/>
          <w:szCs w:val="22"/>
        </w:rPr>
        <w:t>i</w:t>
      </w:r>
      <w:r>
        <w:rPr>
          <w:spacing w:val="-3"/>
          <w:szCs w:val="22"/>
        </w:rPr>
        <w:t>z</w:t>
      </w:r>
      <w:r>
        <w:rPr>
          <w:szCs w:val="22"/>
        </w:rPr>
        <w:t>a</w:t>
      </w:r>
      <w:r>
        <w:rPr>
          <w:spacing w:val="1"/>
          <w:szCs w:val="22"/>
        </w:rPr>
        <w:t>t</w:t>
      </w:r>
      <w:r>
        <w:rPr>
          <w:szCs w:val="22"/>
        </w:rPr>
        <w:t>, dub</w:t>
      </w:r>
      <w:r>
        <w:rPr>
          <w:spacing w:val="1"/>
          <w:szCs w:val="22"/>
        </w:rPr>
        <w:t>l</w:t>
      </w:r>
      <w:r>
        <w:rPr>
          <w:szCs w:val="22"/>
        </w:rPr>
        <w:t xml:space="preserve">u </w:t>
      </w:r>
      <w:r>
        <w:rPr>
          <w:spacing w:val="-3"/>
          <w:szCs w:val="22"/>
        </w:rPr>
        <w:t>o</w:t>
      </w:r>
      <w:r>
        <w:rPr>
          <w:szCs w:val="22"/>
        </w:rPr>
        <w:t xml:space="preserve">rb, </w:t>
      </w:r>
      <w:r>
        <w:rPr>
          <w:spacing w:val="-3"/>
          <w:szCs w:val="22"/>
        </w:rPr>
        <w:t>p</w:t>
      </w:r>
      <w:r>
        <w:rPr>
          <w:spacing w:val="1"/>
          <w:szCs w:val="22"/>
        </w:rPr>
        <w:t>l</w:t>
      </w:r>
      <w:r>
        <w:rPr>
          <w:spacing w:val="-3"/>
          <w:szCs w:val="22"/>
        </w:rPr>
        <w:t>a</w:t>
      </w:r>
      <w:r>
        <w:rPr>
          <w:szCs w:val="22"/>
        </w:rPr>
        <w:t>cebo</w:t>
      </w:r>
      <w:r>
        <w:rPr>
          <w:spacing w:val="-3"/>
          <w:szCs w:val="22"/>
        </w:rPr>
        <w:t xml:space="preserve"> </w:t>
      </w:r>
      <w:r>
        <w:rPr>
          <w:szCs w:val="22"/>
        </w:rPr>
        <w:t>con</w:t>
      </w:r>
      <w:r>
        <w:rPr>
          <w:spacing w:val="-2"/>
          <w:szCs w:val="22"/>
        </w:rPr>
        <w:t>t</w:t>
      </w:r>
      <w:r>
        <w:rPr>
          <w:szCs w:val="22"/>
        </w:rPr>
        <w:t>r</w:t>
      </w:r>
      <w:r>
        <w:rPr>
          <w:spacing w:val="-3"/>
          <w:szCs w:val="22"/>
        </w:rPr>
        <w:t>o</w:t>
      </w:r>
      <w:r>
        <w:rPr>
          <w:spacing w:val="1"/>
          <w:szCs w:val="22"/>
        </w:rPr>
        <w:t>l</w:t>
      </w:r>
      <w:r>
        <w:rPr>
          <w:spacing w:val="-3"/>
          <w:szCs w:val="22"/>
        </w:rPr>
        <w:t>a</w:t>
      </w:r>
      <w:r>
        <w:rPr>
          <w:spacing w:val="1"/>
          <w:szCs w:val="22"/>
        </w:rPr>
        <w:t>t</w:t>
      </w:r>
      <w:r>
        <w:rPr>
          <w:szCs w:val="22"/>
        </w:rPr>
        <w:t>, cu o</w:t>
      </w:r>
      <w:r>
        <w:rPr>
          <w:spacing w:val="-3"/>
          <w:szCs w:val="22"/>
        </w:rPr>
        <w:t xml:space="preserve"> </w:t>
      </w:r>
      <w:r>
        <w:rPr>
          <w:szCs w:val="22"/>
        </w:rPr>
        <w:t>du</w:t>
      </w:r>
      <w:r>
        <w:rPr>
          <w:spacing w:val="-2"/>
          <w:szCs w:val="22"/>
        </w:rPr>
        <w:t>r</w:t>
      </w:r>
      <w:r>
        <w:rPr>
          <w:szCs w:val="22"/>
        </w:rPr>
        <w:t>a</w:t>
      </w:r>
      <w:r>
        <w:rPr>
          <w:spacing w:val="1"/>
          <w:szCs w:val="22"/>
        </w:rPr>
        <w:t>t</w:t>
      </w:r>
      <w:r>
        <w:rPr>
          <w:szCs w:val="22"/>
        </w:rPr>
        <w:t>ă</w:t>
      </w:r>
      <w:r>
        <w:rPr>
          <w:spacing w:val="-2"/>
          <w:szCs w:val="22"/>
        </w:rPr>
        <w:t xml:space="preserve"> </w:t>
      </w:r>
      <w:r>
        <w:rPr>
          <w:szCs w:val="22"/>
        </w:rPr>
        <w:t>de 12</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40 </w:t>
      </w:r>
      <w:r>
        <w:rPr>
          <w:spacing w:val="-2"/>
          <w:szCs w:val="22"/>
        </w:rPr>
        <w:t>m</w:t>
      </w:r>
      <w:r>
        <w:rPr>
          <w:spacing w:val="-3"/>
          <w:szCs w:val="22"/>
        </w:rPr>
        <w:t>g</w:t>
      </w:r>
      <w:r>
        <w:rPr>
          <w:szCs w:val="22"/>
        </w:rPr>
        <w:t>, ad</w:t>
      </w:r>
      <w:r>
        <w:rPr>
          <w:spacing w:val="-4"/>
          <w:szCs w:val="22"/>
        </w:rPr>
        <w:t>m</w:t>
      </w:r>
      <w:r>
        <w:rPr>
          <w:spacing w:val="1"/>
          <w:szCs w:val="22"/>
        </w:rPr>
        <w:t>i</w:t>
      </w:r>
      <w:r>
        <w:rPr>
          <w:spacing w:val="2"/>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t</w:t>
      </w:r>
      <w:r>
        <w:rPr>
          <w:szCs w:val="22"/>
        </w:rPr>
        <w:t xml:space="preserve"> </w:t>
      </w:r>
      <w:r>
        <w:rPr>
          <w:spacing w:val="-3"/>
          <w:szCs w:val="22"/>
        </w:rPr>
        <w:t>d</w:t>
      </w:r>
      <w:r>
        <w:rPr>
          <w:spacing w:val="1"/>
          <w:szCs w:val="22"/>
        </w:rPr>
        <w:t>i</w:t>
      </w:r>
      <w:r>
        <w:rPr>
          <w:szCs w:val="22"/>
        </w:rPr>
        <w:t>n d</w:t>
      </w:r>
      <w:r>
        <w:rPr>
          <w:spacing w:val="-3"/>
          <w:szCs w:val="22"/>
        </w:rPr>
        <w:t>o</w:t>
      </w:r>
      <w:r>
        <w:rPr>
          <w:szCs w:val="22"/>
        </w:rPr>
        <w:t xml:space="preserve">uă </w:t>
      </w:r>
      <w:r>
        <w:rPr>
          <w:spacing w:val="-2"/>
          <w:szCs w:val="22"/>
        </w:rPr>
        <w:t>î</w:t>
      </w:r>
      <w:r>
        <w:rPr>
          <w:szCs w:val="22"/>
        </w:rPr>
        <w:t>n 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zCs w:val="22"/>
        </w:rPr>
        <w:t>t</w:t>
      </w:r>
      <w:r>
        <w:rPr>
          <w:spacing w:val="-2"/>
          <w:szCs w:val="22"/>
        </w:rPr>
        <w:t xml:space="preserve"> </w:t>
      </w:r>
      <w:r>
        <w:rPr>
          <w:spacing w:val="1"/>
          <w:szCs w:val="22"/>
        </w:rPr>
        <w:t>l</w:t>
      </w:r>
      <w:r>
        <w:rPr>
          <w:szCs w:val="22"/>
        </w:rPr>
        <w:t>a 1</w:t>
      </w:r>
      <w:r>
        <w:rPr>
          <w:spacing w:val="-3"/>
          <w:szCs w:val="22"/>
        </w:rPr>
        <w:t>8</w:t>
      </w:r>
      <w:r>
        <w:rPr>
          <w:szCs w:val="22"/>
        </w:rPr>
        <w:t>5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1"/>
          <w:szCs w:val="22"/>
        </w:rPr>
        <w:t xml:space="preserve"> </w:t>
      </w:r>
      <w:r>
        <w:rPr>
          <w:spacing w:val="-3"/>
          <w:szCs w:val="22"/>
        </w:rPr>
        <w:t>c</w:t>
      </w:r>
      <w:r>
        <w:rPr>
          <w:szCs w:val="22"/>
        </w:rPr>
        <w:t>u nr-axSpA activă (scorul mediu bazal al activității bolii [</w:t>
      </w:r>
      <w:r>
        <w:rPr>
          <w:spacing w:val="-4"/>
          <w:szCs w:val="22"/>
        </w:rPr>
        <w:t>I</w:t>
      </w:r>
      <w:r>
        <w:rPr>
          <w:szCs w:val="22"/>
        </w:rPr>
        <w:t xml:space="preserve">ndex </w:t>
      </w:r>
      <w:r>
        <w:rPr>
          <w:spacing w:val="-1"/>
          <w:szCs w:val="22"/>
        </w:rPr>
        <w:t>B</w:t>
      </w:r>
      <w:r>
        <w:rPr>
          <w:szCs w:val="22"/>
        </w:rPr>
        <w:t>a</w:t>
      </w:r>
      <w:r>
        <w:rPr>
          <w:spacing w:val="-2"/>
          <w:szCs w:val="22"/>
        </w:rPr>
        <w:t>t</w:t>
      </w:r>
      <w:r>
        <w:rPr>
          <w:szCs w:val="22"/>
        </w:rPr>
        <w:t>h de a</w:t>
      </w:r>
      <w:r>
        <w:rPr>
          <w:spacing w:val="-3"/>
          <w:szCs w:val="22"/>
        </w:rPr>
        <w:t>c</w:t>
      </w:r>
      <w:r>
        <w:rPr>
          <w:spacing w:val="1"/>
          <w:szCs w:val="22"/>
        </w:rPr>
        <w:t>ti</w:t>
      </w:r>
      <w:r>
        <w:rPr>
          <w:spacing w:val="-3"/>
          <w:szCs w:val="22"/>
        </w:rPr>
        <w:t>v</w:t>
      </w:r>
      <w:r>
        <w:rPr>
          <w:spacing w:val="-2"/>
          <w:szCs w:val="22"/>
        </w:rPr>
        <w:t>i</w:t>
      </w:r>
      <w:r>
        <w:rPr>
          <w:spacing w:val="1"/>
          <w:szCs w:val="22"/>
        </w:rPr>
        <w:t>t</w:t>
      </w:r>
      <w:r>
        <w:rPr>
          <w:spacing w:val="-3"/>
          <w:szCs w:val="22"/>
        </w:rPr>
        <w:t>a</w:t>
      </w:r>
      <w:r>
        <w:rPr>
          <w:spacing w:val="1"/>
          <w:szCs w:val="22"/>
        </w:rPr>
        <w:t>t</w:t>
      </w:r>
      <w:r>
        <w:rPr>
          <w:szCs w:val="22"/>
        </w:rPr>
        <w:t>e a spon</w:t>
      </w:r>
      <w:r>
        <w:rPr>
          <w:spacing w:val="-3"/>
          <w:szCs w:val="22"/>
        </w:rPr>
        <w:t>d</w:t>
      </w:r>
      <w:r>
        <w:rPr>
          <w:spacing w:val="1"/>
          <w:szCs w:val="22"/>
        </w:rPr>
        <w:t>i</w:t>
      </w:r>
      <w:r>
        <w:rPr>
          <w:spacing w:val="-2"/>
          <w:szCs w:val="22"/>
        </w:rPr>
        <w:t>l</w:t>
      </w:r>
      <w:r>
        <w:rPr>
          <w:spacing w:val="1"/>
          <w:szCs w:val="22"/>
        </w:rPr>
        <w:t>it</w:t>
      </w:r>
      <w:r>
        <w:rPr>
          <w:spacing w:val="-3"/>
          <w:szCs w:val="22"/>
        </w:rPr>
        <w:t>e</w:t>
      </w:r>
      <w:r>
        <w:rPr>
          <w:szCs w:val="22"/>
        </w:rPr>
        <w:t>i</w:t>
      </w:r>
      <w:r>
        <w:rPr>
          <w:spacing w:val="1"/>
          <w:szCs w:val="22"/>
        </w:rPr>
        <w:t xml:space="preserve"> </w:t>
      </w:r>
      <w:r>
        <w:rPr>
          <w:szCs w:val="22"/>
        </w:rPr>
        <w:t>a</w:t>
      </w:r>
      <w:r>
        <w:rPr>
          <w:spacing w:val="-3"/>
          <w:szCs w:val="22"/>
        </w:rPr>
        <w:t>n</w:t>
      </w:r>
      <w:r>
        <w:rPr>
          <w:szCs w:val="22"/>
        </w:rPr>
        <w:t>ch</w:t>
      </w:r>
      <w:r>
        <w:rPr>
          <w:spacing w:val="-2"/>
          <w:szCs w:val="22"/>
        </w:rPr>
        <w:t>i</w:t>
      </w:r>
      <w:r>
        <w:rPr>
          <w:spacing w:val="1"/>
          <w:szCs w:val="22"/>
        </w:rPr>
        <w:t>l</w:t>
      </w:r>
      <w:r>
        <w:rPr>
          <w:szCs w:val="22"/>
        </w:rPr>
        <w:t>o</w:t>
      </w:r>
      <w:r>
        <w:rPr>
          <w:spacing w:val="-3"/>
          <w:szCs w:val="22"/>
        </w:rPr>
        <w:t>z</w:t>
      </w:r>
      <w:r>
        <w:rPr>
          <w:szCs w:val="22"/>
        </w:rPr>
        <w:t>a</w:t>
      </w:r>
      <w:r>
        <w:rPr>
          <w:spacing w:val="-3"/>
          <w:szCs w:val="22"/>
        </w:rPr>
        <w:t>n</w:t>
      </w:r>
      <w:r>
        <w:rPr>
          <w:spacing w:val="1"/>
          <w:szCs w:val="22"/>
        </w:rPr>
        <w:t>t</w:t>
      </w:r>
      <w:r>
        <w:rPr>
          <w:szCs w:val="22"/>
        </w:rPr>
        <w:t>e (</w:t>
      </w:r>
      <w:r>
        <w:rPr>
          <w:spacing w:val="-4"/>
          <w:szCs w:val="22"/>
        </w:rPr>
        <w:t>B</w:t>
      </w:r>
      <w:r>
        <w:rPr>
          <w:spacing w:val="-1"/>
          <w:szCs w:val="22"/>
        </w:rPr>
        <w:t>ASD</w:t>
      </w:r>
      <w:r>
        <w:rPr>
          <w:spacing w:val="1"/>
          <w:szCs w:val="22"/>
        </w:rPr>
        <w:t>A</w:t>
      </w:r>
      <w:r>
        <w:rPr>
          <w:spacing w:val="-4"/>
          <w:szCs w:val="22"/>
        </w:rPr>
        <w:t>I</w:t>
      </w:r>
      <w:r>
        <w:rPr>
          <w:szCs w:val="22"/>
        </w:rPr>
        <w:t>)]</w:t>
      </w:r>
      <w:r>
        <w:rPr>
          <w:spacing w:val="1"/>
          <w:szCs w:val="22"/>
        </w:rPr>
        <w:t xml:space="preserve"> </w:t>
      </w:r>
      <w:r>
        <w:rPr>
          <w:szCs w:val="22"/>
        </w:rPr>
        <w:t>a fo</w:t>
      </w:r>
      <w:r>
        <w:rPr>
          <w:spacing w:val="-2"/>
          <w:szCs w:val="22"/>
        </w:rPr>
        <w:t>s</w:t>
      </w:r>
      <w:r>
        <w:rPr>
          <w:szCs w:val="22"/>
        </w:rPr>
        <w:t>t</w:t>
      </w:r>
      <w:r>
        <w:rPr>
          <w:spacing w:val="1"/>
          <w:szCs w:val="22"/>
        </w:rPr>
        <w:t xml:space="preserve"> </w:t>
      </w:r>
      <w:r>
        <w:rPr>
          <w:szCs w:val="22"/>
        </w:rPr>
        <w:t>6,4</w:t>
      </w:r>
      <w:r>
        <w:rPr>
          <w:spacing w:val="-3"/>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ş</w:t>
      </w:r>
      <w:r>
        <w:rPr>
          <w:szCs w:val="22"/>
        </w:rPr>
        <w:t>i</w:t>
      </w:r>
      <w:r>
        <w:rPr>
          <w:spacing w:val="1"/>
          <w:szCs w:val="22"/>
        </w:rPr>
        <w:t xml:space="preserve"> </w:t>
      </w:r>
      <w:r>
        <w:rPr>
          <w:szCs w:val="22"/>
        </w:rPr>
        <w:t xml:space="preserve">6,5 </w:t>
      </w:r>
      <w:r>
        <w:rPr>
          <w:spacing w:val="-3"/>
          <w:szCs w:val="22"/>
        </w:rPr>
        <w:t>p</w:t>
      </w:r>
      <w:r>
        <w:rPr>
          <w:szCs w:val="22"/>
        </w:rPr>
        <w:t>en</w:t>
      </w:r>
      <w:r>
        <w:rPr>
          <w:spacing w:val="-2"/>
          <w:szCs w:val="22"/>
        </w:rPr>
        <w:t>t</w:t>
      </w:r>
      <w:r>
        <w:rPr>
          <w:szCs w:val="22"/>
        </w:rPr>
        <w:t xml:space="preserve">ru </w:t>
      </w:r>
      <w:r>
        <w:rPr>
          <w:spacing w:val="-3"/>
          <w:szCs w:val="22"/>
        </w:rPr>
        <w:t>c</w:t>
      </w:r>
      <w:r>
        <w:rPr>
          <w:szCs w:val="22"/>
        </w:rPr>
        <w:t>ei</w:t>
      </w:r>
      <w:r>
        <w:rPr>
          <w:spacing w:val="-2"/>
          <w:szCs w:val="22"/>
        </w:rPr>
        <w:t xml:space="preserve"> </w:t>
      </w:r>
      <w:r>
        <w:rPr>
          <w:spacing w:val="1"/>
          <w:szCs w:val="22"/>
        </w:rPr>
        <w:t>l</w:t>
      </w:r>
      <w:r>
        <w:rPr>
          <w:szCs w:val="22"/>
        </w:rPr>
        <w:t>a care</w:t>
      </w:r>
      <w:r>
        <w:rPr>
          <w:spacing w:val="-2"/>
          <w:szCs w:val="22"/>
        </w:rPr>
        <w:t xml:space="preserve"> </w:t>
      </w:r>
      <w:r>
        <w:rPr>
          <w:szCs w:val="22"/>
        </w:rPr>
        <w:t xml:space="preserve">a </w:t>
      </w:r>
      <w:r>
        <w:rPr>
          <w:spacing w:val="-2"/>
          <w:szCs w:val="22"/>
        </w:rPr>
        <w:t>f</w:t>
      </w:r>
      <w:r>
        <w:rPr>
          <w:szCs w:val="22"/>
        </w:rPr>
        <w:t>ost</w:t>
      </w:r>
      <w:r>
        <w:rPr>
          <w:spacing w:val="-2"/>
          <w:szCs w:val="22"/>
        </w:rPr>
        <w:t xml:space="preserve"> </w:t>
      </w:r>
      <w:r>
        <w:rPr>
          <w:szCs w:val="22"/>
        </w:rPr>
        <w:t>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zCs w:val="22"/>
        </w:rPr>
        <w:t>t</w:t>
      </w:r>
      <w:r>
        <w:rPr>
          <w:spacing w:val="1"/>
          <w:szCs w:val="22"/>
        </w:rPr>
        <w:t xml:space="preserve"> </w:t>
      </w:r>
      <w:r>
        <w:rPr>
          <w:spacing w:val="-3"/>
          <w:szCs w:val="22"/>
        </w:rPr>
        <w:t>p</w:t>
      </w:r>
      <w:r>
        <w:rPr>
          <w:spacing w:val="1"/>
          <w:szCs w:val="22"/>
        </w:rPr>
        <w:t>l</w:t>
      </w:r>
      <w:r>
        <w:rPr>
          <w:szCs w:val="22"/>
        </w:rPr>
        <w:t>a</w:t>
      </w:r>
      <w:r>
        <w:rPr>
          <w:spacing w:val="-3"/>
          <w:szCs w:val="22"/>
        </w:rPr>
        <w:t>c</w:t>
      </w:r>
      <w:r>
        <w:rPr>
          <w:szCs w:val="22"/>
        </w:rPr>
        <w:t>ebo),</w:t>
      </w:r>
      <w:r>
        <w:rPr>
          <w:spacing w:val="-3"/>
          <w:szCs w:val="22"/>
        </w:rPr>
        <w:t xml:space="preserve"> </w:t>
      </w:r>
      <w:r>
        <w:rPr>
          <w:szCs w:val="22"/>
        </w:rPr>
        <w:t>ca</w:t>
      </w:r>
      <w:r>
        <w:rPr>
          <w:spacing w:val="-2"/>
          <w:szCs w:val="22"/>
        </w:rPr>
        <w:t>r</w:t>
      </w:r>
      <w:r>
        <w:rPr>
          <w:szCs w:val="22"/>
        </w:rPr>
        <w:t>e au</w:t>
      </w:r>
      <w:r>
        <w:rPr>
          <w:spacing w:val="-3"/>
          <w:szCs w:val="22"/>
        </w:rPr>
        <w:t xml:space="preserve"> </w:t>
      </w:r>
      <w:r>
        <w:rPr>
          <w:szCs w:val="22"/>
        </w:rPr>
        <w:t>a</w:t>
      </w:r>
      <w:r>
        <w:rPr>
          <w:spacing w:val="-3"/>
          <w:szCs w:val="22"/>
        </w:rPr>
        <w:t>v</w:t>
      </w:r>
      <w:r>
        <w:rPr>
          <w:szCs w:val="22"/>
        </w:rPr>
        <w:t>ut</w:t>
      </w:r>
      <w:r>
        <w:rPr>
          <w:spacing w:val="1"/>
          <w:szCs w:val="22"/>
        </w:rPr>
        <w:t xml:space="preserve"> </w:t>
      </w:r>
      <w:r>
        <w:rPr>
          <w:szCs w:val="22"/>
        </w:rPr>
        <w:t xml:space="preserve">un </w:t>
      </w:r>
      <w:r>
        <w:rPr>
          <w:spacing w:val="-2"/>
          <w:szCs w:val="22"/>
        </w:rPr>
        <w:t>r</w:t>
      </w:r>
      <w:r>
        <w:rPr>
          <w:szCs w:val="22"/>
        </w:rPr>
        <w:t>ăsp</w:t>
      </w:r>
      <w:r>
        <w:rPr>
          <w:spacing w:val="-3"/>
          <w:szCs w:val="22"/>
        </w:rPr>
        <w:t>u</w:t>
      </w:r>
      <w:r>
        <w:rPr>
          <w:szCs w:val="22"/>
        </w:rPr>
        <w:t xml:space="preserve">ns </w:t>
      </w:r>
      <w:r>
        <w:rPr>
          <w:spacing w:val="1"/>
          <w:szCs w:val="22"/>
        </w:rPr>
        <w:t>i</w:t>
      </w:r>
      <w:r>
        <w:rPr>
          <w:spacing w:val="-3"/>
          <w:szCs w:val="22"/>
        </w:rPr>
        <w:t>n</w:t>
      </w:r>
      <w:r>
        <w:rPr>
          <w:szCs w:val="22"/>
        </w:rPr>
        <w:t>adec</w:t>
      </w:r>
      <w:r>
        <w:rPr>
          <w:spacing w:val="-3"/>
          <w:szCs w:val="22"/>
        </w:rPr>
        <w:t>v</w:t>
      </w:r>
      <w:r>
        <w:rPr>
          <w:szCs w:val="22"/>
        </w:rPr>
        <w:t>at</w:t>
      </w:r>
      <w:r>
        <w:rPr>
          <w:spacing w:val="-2"/>
          <w:szCs w:val="22"/>
        </w:rPr>
        <w:t xml:space="preserve"> </w:t>
      </w:r>
      <w:r>
        <w:rPr>
          <w:szCs w:val="22"/>
        </w:rPr>
        <w:t>sau</w:t>
      </w:r>
      <w:r>
        <w:rPr>
          <w:spacing w:val="-3"/>
          <w:szCs w:val="22"/>
        </w:rPr>
        <w:t xml:space="preserve"> </w:t>
      </w:r>
      <w:r>
        <w:rPr>
          <w:spacing w:val="1"/>
          <w:szCs w:val="22"/>
        </w:rPr>
        <w:t>i</w:t>
      </w:r>
      <w:r>
        <w:rPr>
          <w:spacing w:val="-3"/>
          <w:szCs w:val="22"/>
        </w:rPr>
        <w:t>n</w:t>
      </w:r>
      <w:r>
        <w:rPr>
          <w:spacing w:val="1"/>
          <w:szCs w:val="22"/>
        </w:rPr>
        <w:t>t</w:t>
      </w:r>
      <w:r>
        <w:rPr>
          <w:szCs w:val="22"/>
        </w:rPr>
        <w:t>o</w:t>
      </w:r>
      <w:r>
        <w:rPr>
          <w:spacing w:val="-2"/>
          <w:szCs w:val="22"/>
        </w:rPr>
        <w:t>l</w:t>
      </w:r>
      <w:r>
        <w:rPr>
          <w:szCs w:val="22"/>
        </w:rPr>
        <w:t>era</w:t>
      </w:r>
      <w:r>
        <w:rPr>
          <w:spacing w:val="-3"/>
          <w:szCs w:val="22"/>
        </w:rPr>
        <w:t>n</w:t>
      </w:r>
      <w:r>
        <w:rPr>
          <w:spacing w:val="1"/>
          <w:szCs w:val="22"/>
        </w:rPr>
        <w:t>ţ</w:t>
      </w:r>
      <w:r>
        <w:rPr>
          <w:szCs w:val="22"/>
        </w:rPr>
        <w:t>ă</w:t>
      </w:r>
      <w:r>
        <w:rPr>
          <w:spacing w:val="-4"/>
          <w:szCs w:val="22"/>
        </w:rPr>
        <w:t xml:space="preserve"> </w:t>
      </w:r>
      <w:r>
        <w:rPr>
          <w:spacing w:val="1"/>
          <w:szCs w:val="22"/>
        </w:rPr>
        <w:t>l</w:t>
      </w:r>
      <w:r>
        <w:rPr>
          <w:szCs w:val="22"/>
        </w:rPr>
        <w:t>a</w:t>
      </w:r>
      <w:r>
        <w:rPr>
          <w:spacing w:val="-2"/>
          <w:szCs w:val="22"/>
        </w:rPr>
        <w:t xml:space="preserve"> </w:t>
      </w:r>
      <w:r>
        <w:rPr>
          <w:spacing w:val="1"/>
          <w:szCs w:val="22"/>
        </w:rPr>
        <w:t>≥</w:t>
      </w:r>
      <w:r>
        <w:rPr>
          <w:szCs w:val="22"/>
        </w:rPr>
        <w:t xml:space="preserve">1 </w:t>
      </w:r>
      <w:r>
        <w:rPr>
          <w:spacing w:val="-2"/>
          <w:szCs w:val="22"/>
        </w:rPr>
        <w:t>A</w:t>
      </w:r>
      <w:r>
        <w:rPr>
          <w:spacing w:val="-4"/>
          <w:szCs w:val="22"/>
        </w:rPr>
        <w:t>I</w:t>
      </w:r>
      <w:r>
        <w:rPr>
          <w:spacing w:val="-2"/>
          <w:szCs w:val="22"/>
        </w:rPr>
        <w:t>N</w:t>
      </w:r>
      <w:r>
        <w:rPr>
          <w:szCs w:val="22"/>
        </w:rPr>
        <w:t>S</w:t>
      </w:r>
      <w:r>
        <w:rPr>
          <w:spacing w:val="-1"/>
          <w:szCs w:val="22"/>
        </w:rPr>
        <w:t xml:space="preserve"> </w:t>
      </w:r>
      <w:r>
        <w:rPr>
          <w:szCs w:val="22"/>
        </w:rPr>
        <w:t>ori</w:t>
      </w:r>
      <w:r>
        <w:rPr>
          <w:spacing w:val="1"/>
          <w:szCs w:val="22"/>
        </w:rPr>
        <w:t xml:space="preserve"> </w:t>
      </w:r>
      <w:r>
        <w:rPr>
          <w:szCs w:val="22"/>
        </w:rPr>
        <w:t>o con</w:t>
      </w:r>
      <w:r>
        <w:rPr>
          <w:spacing w:val="-2"/>
          <w:szCs w:val="22"/>
        </w:rPr>
        <w:t>t</w:t>
      </w:r>
      <w:r>
        <w:rPr>
          <w:szCs w:val="22"/>
        </w:rPr>
        <w:t>ra</w:t>
      </w:r>
      <w:r>
        <w:rPr>
          <w:spacing w:val="-2"/>
          <w:szCs w:val="22"/>
        </w:rPr>
        <w:t>i</w:t>
      </w:r>
      <w:r>
        <w:rPr>
          <w:szCs w:val="22"/>
        </w:rPr>
        <w:t>nd</w:t>
      </w:r>
      <w:r>
        <w:rPr>
          <w:spacing w:val="-2"/>
          <w:szCs w:val="22"/>
        </w:rPr>
        <w:t>i</w:t>
      </w:r>
      <w:r>
        <w:rPr>
          <w:szCs w:val="22"/>
        </w:rPr>
        <w:t>ca</w:t>
      </w:r>
      <w:r>
        <w:rPr>
          <w:spacing w:val="-2"/>
          <w:szCs w:val="22"/>
        </w:rPr>
        <w:t>ţ</w:t>
      </w:r>
      <w:r>
        <w:rPr>
          <w:spacing w:val="1"/>
          <w:szCs w:val="22"/>
        </w:rPr>
        <w:t>i</w:t>
      </w:r>
      <w:r>
        <w:rPr>
          <w:szCs w:val="22"/>
        </w:rPr>
        <w:t>e</w:t>
      </w:r>
      <w:r>
        <w:rPr>
          <w:spacing w:val="-2"/>
          <w:szCs w:val="22"/>
        </w:rPr>
        <w:t xml:space="preserve"> </w:t>
      </w:r>
      <w:r>
        <w:rPr>
          <w:szCs w:val="22"/>
        </w:rPr>
        <w:t>pe</w:t>
      </w:r>
      <w:r>
        <w:rPr>
          <w:spacing w:val="-3"/>
          <w:szCs w:val="22"/>
        </w:rPr>
        <w:t>n</w:t>
      </w:r>
      <w:r>
        <w:rPr>
          <w:spacing w:val="1"/>
          <w:szCs w:val="22"/>
        </w:rPr>
        <w:t>t</w:t>
      </w:r>
      <w:r>
        <w:rPr>
          <w:szCs w:val="22"/>
        </w:rPr>
        <w:t xml:space="preserve">ru </w:t>
      </w:r>
      <w:r>
        <w:rPr>
          <w:spacing w:val="-1"/>
          <w:szCs w:val="22"/>
        </w:rPr>
        <w:t>A</w:t>
      </w:r>
      <w:r>
        <w:rPr>
          <w:spacing w:val="-4"/>
          <w:szCs w:val="22"/>
        </w:rPr>
        <w:t>I</w:t>
      </w:r>
      <w:r>
        <w:rPr>
          <w:spacing w:val="1"/>
          <w:szCs w:val="22"/>
        </w:rPr>
        <w:t>N</w:t>
      </w:r>
      <w:r>
        <w:rPr>
          <w:spacing w:val="-1"/>
          <w:szCs w:val="22"/>
        </w:rPr>
        <w:t>S</w:t>
      </w:r>
      <w:r>
        <w:rPr>
          <w:szCs w:val="22"/>
        </w:rPr>
        <w:t>.</w:t>
      </w:r>
    </w:p>
    <w:p w14:paraId="735C51AF" w14:textId="77777777" w:rsidR="00C04CAD" w:rsidRDefault="00C04CAD">
      <w:pPr>
        <w:tabs>
          <w:tab w:val="clear" w:pos="567"/>
        </w:tabs>
        <w:kinsoku w:val="0"/>
        <w:overflowPunct w:val="0"/>
        <w:autoSpaceDE w:val="0"/>
        <w:autoSpaceDN w:val="0"/>
        <w:adjustRightInd w:val="0"/>
        <w:spacing w:line="240" w:lineRule="auto"/>
        <w:rPr>
          <w:szCs w:val="22"/>
        </w:rPr>
      </w:pPr>
    </w:p>
    <w:p w14:paraId="37B6934C" w14:textId="77777777" w:rsidR="00C04CAD" w:rsidRDefault="00060E34">
      <w:pPr>
        <w:autoSpaceDE w:val="0"/>
        <w:autoSpaceDN w:val="0"/>
        <w:adjustRightInd w:val="0"/>
        <w:spacing w:line="240" w:lineRule="auto"/>
        <w:rPr>
          <w:szCs w:val="22"/>
        </w:rPr>
      </w:pPr>
      <w:r>
        <w:rPr>
          <w:szCs w:val="22"/>
        </w:rPr>
        <w:t>33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(1</w:t>
      </w:r>
      <w:r>
        <w:rPr>
          <w:spacing w:val="-3"/>
          <w:szCs w:val="22"/>
        </w:rPr>
        <w:t>8</w:t>
      </w:r>
      <w:r>
        <w:rPr>
          <w:szCs w:val="22"/>
        </w:rPr>
        <w:t>%)</w:t>
      </w:r>
      <w:r>
        <w:rPr>
          <w:spacing w:val="-2"/>
          <w:szCs w:val="22"/>
        </w:rPr>
        <w:t xml:space="preserve"> </w:t>
      </w:r>
      <w:r>
        <w:rPr>
          <w:szCs w:val="22"/>
        </w:rPr>
        <w:t xml:space="preserve">au </w:t>
      </w:r>
      <w:r>
        <w:rPr>
          <w:spacing w:val="-2"/>
          <w:szCs w:val="22"/>
        </w:rPr>
        <w:t>f</w:t>
      </w:r>
      <w:r>
        <w:rPr>
          <w:szCs w:val="22"/>
        </w:rPr>
        <w:t>ost</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conco</w:t>
      </w:r>
      <w:r>
        <w:rPr>
          <w:spacing w:val="-4"/>
          <w:szCs w:val="22"/>
        </w:rPr>
        <w:t>m</w:t>
      </w:r>
      <w:r>
        <w:rPr>
          <w:spacing w:val="1"/>
          <w:szCs w:val="22"/>
        </w:rPr>
        <w:t>it</w:t>
      </w:r>
      <w:r>
        <w:rPr>
          <w:spacing w:val="-3"/>
          <w:szCs w:val="22"/>
        </w:rPr>
        <w:t>e</w:t>
      </w:r>
      <w:r>
        <w:rPr>
          <w:szCs w:val="22"/>
        </w:rPr>
        <w:t>nt</w:t>
      </w:r>
      <w:r>
        <w:rPr>
          <w:spacing w:val="-2"/>
          <w:szCs w:val="22"/>
        </w:rPr>
        <w:t xml:space="preserve"> </w:t>
      </w:r>
      <w:r>
        <w:rPr>
          <w:szCs w:val="22"/>
        </w:rPr>
        <w:t xml:space="preserve">cu </w:t>
      </w:r>
      <w:r>
        <w:rPr>
          <w:spacing w:val="-4"/>
          <w:szCs w:val="22"/>
        </w:rPr>
        <w:t>m</w:t>
      </w:r>
      <w:r>
        <w:rPr>
          <w:szCs w:val="22"/>
        </w:rPr>
        <w:t>ed</w:t>
      </w:r>
      <w:r>
        <w:rPr>
          <w:spacing w:val="1"/>
          <w:szCs w:val="22"/>
        </w:rPr>
        <w:t>i</w:t>
      </w:r>
      <w:r>
        <w:rPr>
          <w:spacing w:val="-3"/>
          <w:szCs w:val="22"/>
        </w:rPr>
        <w:t>c</w:t>
      </w:r>
      <w:r>
        <w:rPr>
          <w:szCs w:val="22"/>
        </w:rPr>
        <w:t>a</w:t>
      </w:r>
      <w:r>
        <w:rPr>
          <w:spacing w:val="1"/>
          <w:szCs w:val="22"/>
        </w:rPr>
        <w:t>ţ</w:t>
      </w:r>
      <w:r>
        <w:rPr>
          <w:spacing w:val="-2"/>
          <w:szCs w:val="22"/>
        </w:rPr>
        <w:t>i</w:t>
      </w:r>
      <w:r>
        <w:rPr>
          <w:szCs w:val="22"/>
        </w:rPr>
        <w:t>e a</w:t>
      </w:r>
      <w:r>
        <w:rPr>
          <w:spacing w:val="-3"/>
          <w:szCs w:val="22"/>
        </w:rPr>
        <w:t>n</w:t>
      </w:r>
      <w:r>
        <w:rPr>
          <w:spacing w:val="1"/>
          <w:szCs w:val="22"/>
        </w:rPr>
        <w:t>t</w:t>
      </w:r>
      <w:r>
        <w:rPr>
          <w:spacing w:val="-2"/>
          <w:szCs w:val="22"/>
        </w:rPr>
        <w:t>i</w:t>
      </w:r>
      <w:r>
        <w:rPr>
          <w:szCs w:val="22"/>
        </w:rPr>
        <w:t>reu</w:t>
      </w:r>
      <w:r>
        <w:rPr>
          <w:spacing w:val="-4"/>
          <w:szCs w:val="22"/>
        </w:rPr>
        <w:t>m</w:t>
      </w:r>
      <w:r>
        <w:rPr>
          <w:szCs w:val="22"/>
        </w:rPr>
        <w:t>a</w:t>
      </w:r>
      <w:r>
        <w:rPr>
          <w:spacing w:val="1"/>
          <w:szCs w:val="22"/>
        </w:rPr>
        <w:t>t</w:t>
      </w:r>
      <w:r>
        <w:rPr>
          <w:spacing w:val="-2"/>
          <w:szCs w:val="22"/>
        </w:rPr>
        <w:t>i</w:t>
      </w:r>
      <w:r>
        <w:rPr>
          <w:szCs w:val="22"/>
        </w:rPr>
        <w:t xml:space="preserve">că </w:t>
      </w:r>
      <w:r>
        <w:rPr>
          <w:spacing w:val="-4"/>
          <w:szCs w:val="22"/>
        </w:rPr>
        <w:t>m</w:t>
      </w:r>
      <w:r>
        <w:rPr>
          <w:szCs w:val="22"/>
        </w:rPr>
        <w:t>od</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w:t>
      </w:r>
      <w:r>
        <w:rPr>
          <w:szCs w:val="22"/>
        </w:rPr>
        <w:t>oa</w:t>
      </w:r>
      <w:r>
        <w:rPr>
          <w:spacing w:val="-2"/>
          <w:szCs w:val="22"/>
        </w:rPr>
        <w:t>r</w:t>
      </w:r>
      <w:r>
        <w:rPr>
          <w:szCs w:val="22"/>
        </w:rPr>
        <w:t>e de</w:t>
      </w:r>
      <w:r>
        <w:rPr>
          <w:spacing w:val="-2"/>
          <w:szCs w:val="22"/>
        </w:rPr>
        <w:t xml:space="preserve"> </w:t>
      </w:r>
      <w:r>
        <w:rPr>
          <w:szCs w:val="22"/>
        </w:rPr>
        <w:t>bo</w:t>
      </w:r>
      <w:r>
        <w:rPr>
          <w:spacing w:val="-3"/>
          <w:szCs w:val="22"/>
        </w:rPr>
        <w:t>a</w:t>
      </w:r>
      <w:r>
        <w:rPr>
          <w:spacing w:val="1"/>
          <w:szCs w:val="22"/>
        </w:rPr>
        <w:t>l</w:t>
      </w:r>
      <w:r>
        <w:rPr>
          <w:szCs w:val="22"/>
        </w:rPr>
        <w:t xml:space="preserve">ă </w:t>
      </w:r>
      <w:r>
        <w:rPr>
          <w:spacing w:val="-2"/>
          <w:szCs w:val="22"/>
        </w:rPr>
        <w:t>ş</w:t>
      </w:r>
      <w:r>
        <w:rPr>
          <w:szCs w:val="22"/>
        </w:rPr>
        <w:t>i</w:t>
      </w:r>
      <w:r>
        <w:rPr>
          <w:spacing w:val="1"/>
          <w:szCs w:val="22"/>
        </w:rPr>
        <w:t xml:space="preserve"> </w:t>
      </w:r>
      <w:r>
        <w:rPr>
          <w:szCs w:val="22"/>
        </w:rPr>
        <w:t>146 pac</w:t>
      </w:r>
      <w:r>
        <w:rPr>
          <w:spacing w:val="-2"/>
          <w:szCs w:val="22"/>
        </w:rPr>
        <w:t>i</w:t>
      </w:r>
      <w:r>
        <w:rPr>
          <w:szCs w:val="22"/>
        </w:rPr>
        <w:t>en</w:t>
      </w:r>
      <w:r>
        <w:rPr>
          <w:spacing w:val="-2"/>
          <w:szCs w:val="22"/>
        </w:rPr>
        <w:t>ţ</w:t>
      </w:r>
      <w:r>
        <w:rPr>
          <w:szCs w:val="22"/>
        </w:rPr>
        <w:t>i</w:t>
      </w:r>
      <w:r>
        <w:rPr>
          <w:spacing w:val="1"/>
          <w:szCs w:val="22"/>
        </w:rPr>
        <w:t xml:space="preserve"> </w:t>
      </w:r>
      <w:r>
        <w:rPr>
          <w:spacing w:val="-2"/>
          <w:szCs w:val="22"/>
        </w:rPr>
        <w:t>(</w:t>
      </w:r>
      <w:r>
        <w:rPr>
          <w:szCs w:val="22"/>
        </w:rPr>
        <w:t>79</w:t>
      </w:r>
      <w:r>
        <w:rPr>
          <w:spacing w:val="-2"/>
          <w:szCs w:val="22"/>
        </w:rPr>
        <w:t>%</w:t>
      </w:r>
      <w:r>
        <w:rPr>
          <w:szCs w:val="22"/>
        </w:rPr>
        <w:t>)</w:t>
      </w:r>
      <w:r>
        <w:rPr>
          <w:spacing w:val="1"/>
          <w:szCs w:val="22"/>
        </w:rPr>
        <w:t xml:space="preserve"> </w:t>
      </w:r>
      <w:r>
        <w:rPr>
          <w:szCs w:val="22"/>
        </w:rPr>
        <w:t xml:space="preserve">cu </w:t>
      </w:r>
      <w:r>
        <w:rPr>
          <w:spacing w:val="-1"/>
          <w:szCs w:val="22"/>
        </w:rPr>
        <w:t>A</w:t>
      </w:r>
      <w:r>
        <w:rPr>
          <w:spacing w:val="-4"/>
          <w:szCs w:val="22"/>
        </w:rPr>
        <w:t>I</w:t>
      </w:r>
      <w:r>
        <w:rPr>
          <w:spacing w:val="-1"/>
          <w:szCs w:val="22"/>
        </w:rPr>
        <w:t>NS</w:t>
      </w:r>
      <w:r>
        <w:rPr>
          <w:szCs w:val="22"/>
        </w:rPr>
        <w:t xml:space="preserve">, </w:t>
      </w:r>
      <w:r>
        <w:rPr>
          <w:spacing w:val="1"/>
          <w:szCs w:val="22"/>
        </w:rPr>
        <w:t>l</w:t>
      </w:r>
      <w:r>
        <w:rPr>
          <w:szCs w:val="22"/>
        </w:rPr>
        <w:t>a</w:t>
      </w:r>
      <w:r>
        <w:rPr>
          <w:spacing w:val="-2"/>
          <w:szCs w:val="22"/>
        </w:rPr>
        <w:t xml:space="preserve"> </w:t>
      </w:r>
      <w:r>
        <w:rPr>
          <w:spacing w:val="-4"/>
          <w:szCs w:val="22"/>
        </w:rPr>
        <w:t>m</w:t>
      </w:r>
      <w:r>
        <w:rPr>
          <w:spacing w:val="2"/>
          <w:szCs w:val="22"/>
        </w:rPr>
        <w:t>o</w:t>
      </w:r>
      <w:r>
        <w:rPr>
          <w:spacing w:val="-4"/>
          <w:szCs w:val="22"/>
        </w:rPr>
        <w:t>m</w:t>
      </w:r>
      <w:r>
        <w:rPr>
          <w:szCs w:val="22"/>
        </w:rPr>
        <w:t>en</w:t>
      </w:r>
      <w:r>
        <w:rPr>
          <w:spacing w:val="1"/>
          <w:szCs w:val="22"/>
        </w:rPr>
        <w:t>t</w:t>
      </w:r>
      <w:r>
        <w:rPr>
          <w:szCs w:val="22"/>
        </w:rPr>
        <w:t>ul</w:t>
      </w:r>
      <w:r>
        <w:rPr>
          <w:spacing w:val="1"/>
          <w:szCs w:val="22"/>
        </w:rPr>
        <w:t xml:space="preserve"> i</w:t>
      </w:r>
      <w:r>
        <w:rPr>
          <w:spacing w:val="-3"/>
          <w:szCs w:val="22"/>
        </w:rPr>
        <w:t>n</w:t>
      </w:r>
      <w:r>
        <w:rPr>
          <w:spacing w:val="1"/>
          <w:szCs w:val="22"/>
        </w:rPr>
        <w:t>i</w:t>
      </w:r>
      <w:r>
        <w:rPr>
          <w:spacing w:val="-2"/>
          <w:szCs w:val="22"/>
        </w:rPr>
        <w:t>ţ</w:t>
      </w:r>
      <w:r>
        <w:rPr>
          <w:spacing w:val="1"/>
          <w:szCs w:val="22"/>
        </w:rPr>
        <w:t>i</w:t>
      </w:r>
      <w:r>
        <w:rPr>
          <w:szCs w:val="22"/>
        </w:rPr>
        <w:t>a</w:t>
      </w:r>
      <w:r>
        <w:rPr>
          <w:spacing w:val="-2"/>
          <w:szCs w:val="22"/>
        </w:rPr>
        <w:t>l</w:t>
      </w:r>
      <w:r>
        <w:rPr>
          <w:szCs w:val="22"/>
        </w:rPr>
        <w:t>.</w:t>
      </w:r>
      <w:r>
        <w:rPr>
          <w:rFonts w:eastAsia="MS Mincho"/>
          <w:szCs w:val="22"/>
          <w:lang w:eastAsia="en-US" w:bidi="ar-SA"/>
        </w:rPr>
        <w:t xml:space="preserve"> </w:t>
      </w:r>
      <w:r>
        <w:rPr>
          <w:spacing w:val="-1"/>
          <w:szCs w:val="22"/>
        </w:rPr>
        <w:t>P</w:t>
      </w:r>
      <w:r>
        <w:rPr>
          <w:szCs w:val="22"/>
        </w:rPr>
        <w:t>er</w:t>
      </w:r>
      <w:r>
        <w:rPr>
          <w:spacing w:val="1"/>
          <w:szCs w:val="22"/>
        </w:rPr>
        <w:t>i</w:t>
      </w:r>
      <w:r>
        <w:rPr>
          <w:spacing w:val="-3"/>
          <w:szCs w:val="22"/>
        </w:rPr>
        <w:t>o</w:t>
      </w:r>
      <w:r>
        <w:rPr>
          <w:szCs w:val="22"/>
        </w:rPr>
        <w:t>ada</w:t>
      </w:r>
      <w:r>
        <w:rPr>
          <w:spacing w:val="-2"/>
          <w:szCs w:val="22"/>
        </w:rPr>
        <w:t xml:space="preserve"> </w:t>
      </w:r>
      <w:r>
        <w:rPr>
          <w:szCs w:val="22"/>
        </w:rPr>
        <w:t xml:space="preserve">de </w:t>
      </w:r>
      <w:r>
        <w:rPr>
          <w:spacing w:val="-2"/>
          <w:szCs w:val="22"/>
        </w:rPr>
        <w:t>s</w:t>
      </w:r>
      <w:r>
        <w:rPr>
          <w:spacing w:val="1"/>
          <w:szCs w:val="22"/>
        </w:rPr>
        <w:t>t</w:t>
      </w:r>
      <w:r>
        <w:rPr>
          <w:szCs w:val="22"/>
        </w:rPr>
        <w:t>u</w:t>
      </w:r>
      <w:r>
        <w:rPr>
          <w:spacing w:val="-3"/>
          <w:szCs w:val="22"/>
        </w:rPr>
        <w:t>d</w:t>
      </w:r>
      <w:r>
        <w:rPr>
          <w:spacing w:val="1"/>
          <w:szCs w:val="22"/>
        </w:rPr>
        <w:t>i</w:t>
      </w:r>
      <w:r>
        <w:rPr>
          <w:szCs w:val="22"/>
        </w:rPr>
        <w:t xml:space="preserve">u </w:t>
      </w:r>
      <w:r>
        <w:rPr>
          <w:spacing w:val="-3"/>
          <w:szCs w:val="22"/>
        </w:rPr>
        <w:t>o</w:t>
      </w:r>
      <w:r>
        <w:rPr>
          <w:szCs w:val="22"/>
        </w:rPr>
        <w:t>rb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ur</w:t>
      </w:r>
      <w:r>
        <w:rPr>
          <w:spacing w:val="-4"/>
          <w:szCs w:val="22"/>
        </w:rPr>
        <w:t>m</w:t>
      </w:r>
      <w:r>
        <w:rPr>
          <w:szCs w:val="22"/>
        </w:rPr>
        <w:t>a</w:t>
      </w:r>
      <w:r>
        <w:rPr>
          <w:spacing w:val="1"/>
          <w:szCs w:val="22"/>
        </w:rPr>
        <w:t>t</w:t>
      </w:r>
      <w:r>
        <w:rPr>
          <w:szCs w:val="22"/>
        </w:rPr>
        <w:t xml:space="preserve">ă </w:t>
      </w:r>
      <w:r>
        <w:rPr>
          <w:spacing w:val="-3"/>
          <w:szCs w:val="22"/>
        </w:rPr>
        <w:t>d</w:t>
      </w:r>
      <w:r>
        <w:rPr>
          <w:szCs w:val="22"/>
        </w:rPr>
        <w:t>e p</w:t>
      </w:r>
      <w:r>
        <w:rPr>
          <w:spacing w:val="-3"/>
          <w:szCs w:val="22"/>
        </w:rPr>
        <w:t>e</w:t>
      </w:r>
      <w:r>
        <w:rPr>
          <w:szCs w:val="22"/>
        </w:rPr>
        <w:t>r</w:t>
      </w:r>
      <w:r>
        <w:rPr>
          <w:spacing w:val="1"/>
          <w:szCs w:val="22"/>
        </w:rPr>
        <w:t>i</w:t>
      </w:r>
      <w:r>
        <w:rPr>
          <w:spacing w:val="-3"/>
          <w:szCs w:val="22"/>
        </w:rPr>
        <w:t>o</w:t>
      </w:r>
      <w:r>
        <w:rPr>
          <w:szCs w:val="22"/>
        </w:rPr>
        <w:t xml:space="preserve">ada </w:t>
      </w:r>
      <w:r>
        <w:rPr>
          <w:spacing w:val="-3"/>
          <w:szCs w:val="22"/>
        </w:rPr>
        <w:t>d</w:t>
      </w:r>
      <w:r>
        <w:rPr>
          <w:szCs w:val="22"/>
        </w:rPr>
        <w:t>e e</w:t>
      </w:r>
      <w:r>
        <w:rPr>
          <w:spacing w:val="-3"/>
          <w:szCs w:val="22"/>
        </w:rPr>
        <w:t>x</w:t>
      </w:r>
      <w:r>
        <w:rPr>
          <w:spacing w:val="-2"/>
          <w:szCs w:val="22"/>
        </w:rPr>
        <w:t>t</w:t>
      </w:r>
      <w:r>
        <w:rPr>
          <w:szCs w:val="22"/>
        </w:rPr>
        <w:t>ens</w:t>
      </w:r>
      <w:r>
        <w:rPr>
          <w:spacing w:val="-2"/>
          <w:szCs w:val="22"/>
        </w:rPr>
        <w:t>i</w:t>
      </w:r>
      <w:r>
        <w:rPr>
          <w:szCs w:val="22"/>
        </w:rPr>
        <w:t>e d</w:t>
      </w:r>
      <w:r>
        <w:rPr>
          <w:spacing w:val="-3"/>
          <w:szCs w:val="22"/>
        </w:rPr>
        <w:t>e</w:t>
      </w:r>
      <w:r>
        <w:rPr>
          <w:szCs w:val="22"/>
        </w:rPr>
        <w:t>sc</w:t>
      </w:r>
      <w:r>
        <w:rPr>
          <w:spacing w:val="-3"/>
          <w:szCs w:val="22"/>
        </w:rPr>
        <w:t>h</w:t>
      </w:r>
      <w:r>
        <w:rPr>
          <w:spacing w:val="1"/>
          <w:szCs w:val="22"/>
        </w:rPr>
        <w:t>i</w:t>
      </w:r>
      <w:r>
        <w:rPr>
          <w:szCs w:val="22"/>
        </w:rPr>
        <w:t>să,</w:t>
      </w:r>
      <w:r>
        <w:rPr>
          <w:spacing w:val="-3"/>
          <w:szCs w:val="22"/>
        </w:rPr>
        <w:t xml:space="preserve"> </w:t>
      </w:r>
      <w:r>
        <w:rPr>
          <w:spacing w:val="1"/>
          <w:szCs w:val="22"/>
        </w:rPr>
        <w:t>ti</w:t>
      </w:r>
      <w:r>
        <w:rPr>
          <w:spacing w:val="-4"/>
          <w:szCs w:val="22"/>
        </w:rPr>
        <w:t>m</w:t>
      </w:r>
      <w:r>
        <w:rPr>
          <w:szCs w:val="22"/>
        </w:rPr>
        <w:t xml:space="preserve">p </w:t>
      </w:r>
      <w:r>
        <w:rPr>
          <w:spacing w:val="1"/>
          <w:szCs w:val="22"/>
        </w:rPr>
        <w:t>î</w:t>
      </w:r>
      <w:r>
        <w:rPr>
          <w:szCs w:val="22"/>
        </w:rPr>
        <w:t xml:space="preserve">n </w:t>
      </w:r>
      <w:r>
        <w:rPr>
          <w:spacing w:val="-3"/>
          <w:szCs w:val="22"/>
        </w:rPr>
        <w:t>c</w:t>
      </w:r>
      <w:r>
        <w:rPr>
          <w:szCs w:val="22"/>
        </w:rPr>
        <w:t>are</w:t>
      </w:r>
      <w:r>
        <w:rPr>
          <w:spacing w:val="-2"/>
          <w:szCs w:val="22"/>
        </w:rPr>
        <w:t xml:space="preserve"> </w:t>
      </w:r>
      <w:r>
        <w:rPr>
          <w:szCs w:val="22"/>
        </w:rPr>
        <w:t>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au</w:t>
      </w:r>
      <w:r>
        <w:rPr>
          <w:spacing w:val="-3"/>
          <w:szCs w:val="22"/>
        </w:rPr>
        <w:t xml:space="preserve"> </w:t>
      </w:r>
      <w:r>
        <w:rPr>
          <w:szCs w:val="22"/>
        </w:rPr>
        <w:t>fo</w:t>
      </w:r>
      <w:r>
        <w:rPr>
          <w:spacing w:val="-2"/>
          <w:szCs w:val="22"/>
        </w:rPr>
        <w:t>s</w:t>
      </w:r>
      <w:r>
        <w:rPr>
          <w:szCs w:val="22"/>
        </w:rPr>
        <w:t xml:space="preserve">t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40 </w:t>
      </w:r>
      <w:r>
        <w:rPr>
          <w:spacing w:val="-4"/>
          <w:szCs w:val="22"/>
        </w:rPr>
        <w:t>m</w:t>
      </w:r>
      <w:r>
        <w:rPr>
          <w:spacing w:val="-3"/>
          <w:szCs w:val="22"/>
        </w:rPr>
        <w:t>g</w:t>
      </w:r>
      <w:r>
        <w:rPr>
          <w:szCs w:val="22"/>
        </w:rPr>
        <w:t>,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w:t>
      </w:r>
      <w:r>
        <w:rPr>
          <w:spacing w:val="1"/>
          <w:szCs w:val="22"/>
        </w:rPr>
        <w:t>t</w:t>
      </w:r>
      <w:r>
        <w:rPr>
          <w:szCs w:val="22"/>
        </w:rPr>
        <w:t>ă</w:t>
      </w:r>
      <w:r>
        <w:rPr>
          <w:spacing w:val="-2"/>
          <w:szCs w:val="22"/>
        </w:rPr>
        <w:t xml:space="preserve"> </w:t>
      </w:r>
      <w:r>
        <w:rPr>
          <w:szCs w:val="22"/>
        </w:rPr>
        <w:t>sub</w:t>
      </w:r>
      <w:r>
        <w:rPr>
          <w:spacing w:val="-3"/>
          <w:szCs w:val="22"/>
        </w:rPr>
        <w:t>c</w:t>
      </w:r>
      <w:r>
        <w:rPr>
          <w:szCs w:val="22"/>
        </w:rPr>
        <w:t>u</w:t>
      </w:r>
      <w:r>
        <w:rPr>
          <w:spacing w:val="1"/>
          <w:szCs w:val="22"/>
        </w:rPr>
        <w:t>t</w:t>
      </w:r>
      <w:r>
        <w:rPr>
          <w:spacing w:val="-3"/>
          <w:szCs w:val="22"/>
        </w:rPr>
        <w:t>a</w:t>
      </w:r>
      <w:r>
        <w:rPr>
          <w:szCs w:val="22"/>
        </w:rPr>
        <w:t>nat</w:t>
      </w:r>
      <w:r>
        <w:rPr>
          <w:spacing w:val="-2"/>
          <w:szCs w:val="22"/>
        </w:rPr>
        <w:t xml:space="preserve"> </w:t>
      </w:r>
      <w:r>
        <w:rPr>
          <w:szCs w:val="22"/>
        </w:rPr>
        <w:t>d</w:t>
      </w:r>
      <w:r>
        <w:rPr>
          <w:spacing w:val="1"/>
          <w:szCs w:val="22"/>
        </w:rPr>
        <w:t>i</w:t>
      </w:r>
      <w:r>
        <w:rPr>
          <w:szCs w:val="22"/>
        </w:rPr>
        <w:t>n</w:t>
      </w:r>
      <w:r>
        <w:rPr>
          <w:spacing w:val="-3"/>
          <w:szCs w:val="22"/>
        </w:rPr>
        <w:t xml:space="preserve"> d</w:t>
      </w:r>
      <w:r>
        <w:rPr>
          <w:szCs w:val="22"/>
        </w:rPr>
        <w:t xml:space="preserve">ouă </w:t>
      </w:r>
      <w:r>
        <w:rPr>
          <w:spacing w:val="1"/>
          <w:szCs w:val="22"/>
        </w:rPr>
        <w:t>î</w:t>
      </w:r>
      <w:r>
        <w:rPr>
          <w:szCs w:val="22"/>
        </w:rPr>
        <w:t>n</w:t>
      </w:r>
      <w:r>
        <w:rPr>
          <w:spacing w:val="-3"/>
          <w:szCs w:val="22"/>
        </w:rPr>
        <w:t xml:space="preserve"> </w:t>
      </w:r>
      <w:r>
        <w:rPr>
          <w:szCs w:val="22"/>
        </w:rPr>
        <w:t>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p</w:t>
      </w:r>
      <w:r>
        <w:rPr>
          <w:spacing w:val="-3"/>
          <w:szCs w:val="22"/>
        </w:rPr>
        <w:t>ân</w:t>
      </w:r>
      <w:r>
        <w:rPr>
          <w:szCs w:val="22"/>
        </w:rPr>
        <w:t xml:space="preserve">ă </w:t>
      </w:r>
      <w:r>
        <w:rPr>
          <w:spacing w:val="1"/>
          <w:szCs w:val="22"/>
        </w:rPr>
        <w:t>l</w:t>
      </w:r>
      <w:r>
        <w:rPr>
          <w:szCs w:val="22"/>
        </w:rPr>
        <w:t>a o</w:t>
      </w:r>
      <w:r>
        <w:rPr>
          <w:spacing w:val="-3"/>
          <w:szCs w:val="22"/>
        </w:rPr>
        <w:t xml:space="preserve"> </w:t>
      </w:r>
      <w:r>
        <w:rPr>
          <w:szCs w:val="22"/>
        </w:rPr>
        <w:t>p</w:t>
      </w:r>
      <w:r>
        <w:rPr>
          <w:spacing w:val="-3"/>
          <w:szCs w:val="22"/>
        </w:rPr>
        <w:t>e</w:t>
      </w:r>
      <w:r>
        <w:rPr>
          <w:szCs w:val="22"/>
        </w:rPr>
        <w:t>r</w:t>
      </w:r>
      <w:r>
        <w:rPr>
          <w:spacing w:val="1"/>
          <w:szCs w:val="22"/>
        </w:rPr>
        <w:t>i</w:t>
      </w:r>
      <w:r>
        <w:rPr>
          <w:spacing w:val="-3"/>
          <w:szCs w:val="22"/>
        </w:rPr>
        <w:t>o</w:t>
      </w:r>
      <w:r>
        <w:rPr>
          <w:szCs w:val="22"/>
        </w:rPr>
        <w:t>adă ad</w:t>
      </w:r>
      <w:r>
        <w:rPr>
          <w:spacing w:val="-2"/>
          <w:szCs w:val="22"/>
        </w:rPr>
        <w:t>i</w:t>
      </w:r>
      <w:r>
        <w:rPr>
          <w:spacing w:val="1"/>
          <w:szCs w:val="22"/>
        </w:rPr>
        <w:t>ţi</w:t>
      </w:r>
      <w:r>
        <w:rPr>
          <w:szCs w:val="22"/>
        </w:rPr>
        <w:t>o</w:t>
      </w:r>
      <w:r>
        <w:rPr>
          <w:spacing w:val="-3"/>
          <w:szCs w:val="22"/>
        </w:rPr>
        <w:t>n</w:t>
      </w:r>
      <w:r>
        <w:rPr>
          <w:szCs w:val="22"/>
        </w:rPr>
        <w:t>a</w:t>
      </w:r>
      <w:r>
        <w:rPr>
          <w:spacing w:val="-2"/>
          <w:szCs w:val="22"/>
        </w:rPr>
        <w:t>l</w:t>
      </w:r>
      <w:r>
        <w:rPr>
          <w:szCs w:val="22"/>
        </w:rPr>
        <w:t xml:space="preserve">ă de </w:t>
      </w:r>
      <w:r>
        <w:rPr>
          <w:spacing w:val="-3"/>
          <w:szCs w:val="22"/>
        </w:rPr>
        <w:t>p</w:t>
      </w:r>
      <w:r>
        <w:rPr>
          <w:szCs w:val="22"/>
        </w:rPr>
        <w:t>ână</w:t>
      </w:r>
      <w:r>
        <w:rPr>
          <w:spacing w:val="-2"/>
          <w:szCs w:val="22"/>
        </w:rPr>
        <w:t xml:space="preserve"> </w:t>
      </w:r>
      <w:r>
        <w:rPr>
          <w:spacing w:val="1"/>
          <w:szCs w:val="22"/>
        </w:rPr>
        <w:t>l</w:t>
      </w:r>
      <w:r>
        <w:rPr>
          <w:szCs w:val="22"/>
        </w:rPr>
        <w:t>a 1</w:t>
      </w:r>
      <w:r>
        <w:rPr>
          <w:spacing w:val="-3"/>
          <w:szCs w:val="22"/>
        </w:rPr>
        <w:t>4</w:t>
      </w:r>
      <w:r>
        <w:rPr>
          <w:szCs w:val="22"/>
        </w:rPr>
        <w:t>4 s</w:t>
      </w:r>
      <w:r>
        <w:rPr>
          <w:spacing w:val="-3"/>
          <w:szCs w:val="22"/>
        </w:rPr>
        <w:t>ă</w:t>
      </w:r>
      <w:r>
        <w:rPr>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R</w:t>
      </w:r>
      <w:r>
        <w:rPr>
          <w:szCs w:val="22"/>
        </w:rPr>
        <w:t>e</w:t>
      </w:r>
      <w:r>
        <w:rPr>
          <w:spacing w:val="-3"/>
          <w:szCs w:val="22"/>
        </w:rPr>
        <w:t>z</w:t>
      </w:r>
      <w:r>
        <w:rPr>
          <w:szCs w:val="22"/>
        </w:rPr>
        <w:t>u</w:t>
      </w:r>
      <w:r>
        <w:rPr>
          <w:spacing w:val="-2"/>
          <w:szCs w:val="22"/>
        </w:rPr>
        <w:t>l</w:t>
      </w:r>
      <w:r>
        <w:rPr>
          <w:spacing w:val="1"/>
          <w:szCs w:val="22"/>
        </w:rPr>
        <w:t>t</w:t>
      </w:r>
      <w:r>
        <w:rPr>
          <w:szCs w:val="22"/>
        </w:rPr>
        <w:t>a</w:t>
      </w:r>
      <w:r>
        <w:rPr>
          <w:spacing w:val="-2"/>
          <w:szCs w:val="22"/>
        </w:rPr>
        <w:t>t</w:t>
      </w:r>
      <w:r>
        <w:rPr>
          <w:szCs w:val="22"/>
        </w:rPr>
        <w:t>e</w:t>
      </w:r>
      <w:r>
        <w:rPr>
          <w:spacing w:val="-2"/>
          <w:szCs w:val="22"/>
        </w:rPr>
        <w:t>l</w:t>
      </w:r>
      <w:r>
        <w:rPr>
          <w:szCs w:val="22"/>
        </w:rPr>
        <w:t>e d</w:t>
      </w:r>
      <w:r>
        <w:rPr>
          <w:spacing w:val="1"/>
          <w:szCs w:val="22"/>
        </w:rPr>
        <w:t>i</w:t>
      </w:r>
      <w:r>
        <w:rPr>
          <w:szCs w:val="22"/>
        </w:rPr>
        <w:t>n</w:t>
      </w:r>
      <w:r>
        <w:rPr>
          <w:spacing w:val="-3"/>
          <w:szCs w:val="22"/>
        </w:rPr>
        <w:t xml:space="preserve"> </w:t>
      </w:r>
      <w:r>
        <w:rPr>
          <w:szCs w:val="22"/>
        </w:rPr>
        <w:t>s</w:t>
      </w:r>
      <w:r>
        <w:rPr>
          <w:spacing w:val="-3"/>
          <w:szCs w:val="22"/>
        </w:rPr>
        <w:t>ă</w:t>
      </w:r>
      <w:r>
        <w:rPr>
          <w:szCs w:val="22"/>
        </w:rPr>
        <w:t>p</w:t>
      </w:r>
      <w:r>
        <w:rPr>
          <w:spacing w:val="1"/>
          <w:szCs w:val="22"/>
        </w:rPr>
        <w:t>t</w:t>
      </w:r>
      <w:r>
        <w:rPr>
          <w:szCs w:val="22"/>
        </w:rPr>
        <w:t>ă</w:t>
      </w:r>
      <w:r>
        <w:rPr>
          <w:spacing w:val="-4"/>
          <w:szCs w:val="22"/>
        </w:rPr>
        <w:t>m</w:t>
      </w:r>
      <w:r>
        <w:rPr>
          <w:szCs w:val="22"/>
        </w:rPr>
        <w:t>âna 12 au</w:t>
      </w:r>
      <w:r>
        <w:rPr>
          <w:spacing w:val="-3"/>
          <w:szCs w:val="22"/>
        </w:rPr>
        <w:t xml:space="preserve"> </w:t>
      </w:r>
      <w:r>
        <w:rPr>
          <w:szCs w:val="22"/>
        </w:rPr>
        <w:t>a</w:t>
      </w:r>
      <w:r>
        <w:rPr>
          <w:spacing w:val="-2"/>
          <w:szCs w:val="22"/>
        </w:rPr>
        <w:t>r</w:t>
      </w:r>
      <w:r>
        <w:rPr>
          <w:szCs w:val="22"/>
        </w:rPr>
        <w:t>ă</w:t>
      </w:r>
      <w:r>
        <w:rPr>
          <w:spacing w:val="1"/>
          <w:szCs w:val="22"/>
        </w:rPr>
        <w:t>t</w:t>
      </w:r>
      <w:r>
        <w:rPr>
          <w:spacing w:val="-3"/>
          <w:szCs w:val="22"/>
        </w:rPr>
        <w:t>a</w:t>
      </w:r>
      <w:r>
        <w:rPr>
          <w:szCs w:val="22"/>
        </w:rPr>
        <w:t>t</w:t>
      </w:r>
      <w:r>
        <w:rPr>
          <w:spacing w:val="1"/>
          <w:szCs w:val="22"/>
        </w:rPr>
        <w:t xml:space="preserve"> </w:t>
      </w:r>
      <w:r>
        <w:rPr>
          <w:szCs w:val="22"/>
        </w:rPr>
        <w:t>o</w:t>
      </w:r>
      <w:r>
        <w:rPr>
          <w:spacing w:val="-3"/>
          <w:szCs w:val="22"/>
        </w:rPr>
        <w:t xml:space="preserve"> </w:t>
      </w:r>
      <w:r>
        <w:rPr>
          <w:spacing w:val="1"/>
          <w:szCs w:val="22"/>
        </w:rPr>
        <w:t>î</w:t>
      </w:r>
      <w:r>
        <w:rPr>
          <w:spacing w:val="-4"/>
          <w:szCs w:val="22"/>
        </w:rPr>
        <w:t>m</w:t>
      </w:r>
      <w:r>
        <w:rPr>
          <w:szCs w:val="22"/>
        </w:rPr>
        <w:t>bună</w:t>
      </w:r>
      <w:r>
        <w:rPr>
          <w:spacing w:val="1"/>
          <w:szCs w:val="22"/>
        </w:rPr>
        <w:t>t</w:t>
      </w:r>
      <w:r>
        <w:rPr>
          <w:spacing w:val="-3"/>
          <w:szCs w:val="22"/>
        </w:rPr>
        <w:t>ă</w:t>
      </w:r>
      <w:r>
        <w:rPr>
          <w:spacing w:val="-2"/>
          <w:szCs w:val="22"/>
        </w:rPr>
        <w:t>ţ</w:t>
      </w:r>
      <w:r>
        <w:rPr>
          <w:spacing w:val="1"/>
          <w:szCs w:val="22"/>
        </w:rPr>
        <w:t>i</w:t>
      </w:r>
      <w:r>
        <w:rPr>
          <w:szCs w:val="22"/>
        </w:rPr>
        <w:t>re 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ă a se</w:t>
      </w:r>
      <w:r>
        <w:rPr>
          <w:spacing w:val="-4"/>
          <w:szCs w:val="22"/>
        </w:rPr>
        <w:t>m</w:t>
      </w:r>
      <w:r>
        <w:rPr>
          <w:szCs w:val="22"/>
        </w:rPr>
        <w:t>ne</w:t>
      </w:r>
      <w:r>
        <w:rPr>
          <w:spacing w:val="1"/>
          <w:szCs w:val="22"/>
        </w:rPr>
        <w:t>l</w:t>
      </w:r>
      <w:r>
        <w:rPr>
          <w:spacing w:val="-3"/>
          <w:szCs w:val="22"/>
        </w:rPr>
        <w:t>o</w:t>
      </w:r>
      <w:r>
        <w:rPr>
          <w:szCs w:val="22"/>
        </w:rPr>
        <w:t>r</w:t>
      </w:r>
      <w:r>
        <w:rPr>
          <w:spacing w:val="1"/>
          <w:szCs w:val="22"/>
        </w:rPr>
        <w:t xml:space="preserve"> </w:t>
      </w:r>
      <w:r>
        <w:rPr>
          <w:spacing w:val="-2"/>
          <w:szCs w:val="22"/>
        </w:rPr>
        <w:t>ş</w:t>
      </w:r>
      <w:r>
        <w:rPr>
          <w:szCs w:val="22"/>
        </w:rPr>
        <w:t>i</w:t>
      </w:r>
      <w:r>
        <w:rPr>
          <w:spacing w:val="-2"/>
          <w:szCs w:val="22"/>
        </w:rPr>
        <w:t xml:space="preserve"> </w:t>
      </w:r>
      <w:r>
        <w:rPr>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or nr-axSpA activă,</w:t>
      </w:r>
      <w:r>
        <w:rPr>
          <w:spacing w:val="-3"/>
          <w:szCs w:val="22"/>
        </w:rPr>
        <w:t xml:space="preserve"> </w:t>
      </w:r>
      <w:r>
        <w:rPr>
          <w:spacing w:val="1"/>
          <w:szCs w:val="22"/>
        </w:rPr>
        <w:t>l</w:t>
      </w:r>
      <w:r>
        <w:rPr>
          <w:szCs w:val="22"/>
        </w:rPr>
        <w:t>a 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zCs w:val="22"/>
        </w:rPr>
        <w:t>co</w:t>
      </w:r>
      <w:r>
        <w:rPr>
          <w:spacing w:val="-4"/>
          <w:szCs w:val="22"/>
        </w:rPr>
        <w:t>m</w:t>
      </w:r>
      <w:r>
        <w:rPr>
          <w:szCs w:val="22"/>
        </w:rPr>
        <w:t>para</w:t>
      </w:r>
      <w:r>
        <w:rPr>
          <w:spacing w:val="1"/>
          <w:szCs w:val="22"/>
        </w:rPr>
        <w:t>ti</w:t>
      </w:r>
      <w:r>
        <w:rPr>
          <w:szCs w:val="22"/>
        </w:rPr>
        <w:t>v</w:t>
      </w:r>
      <w:r>
        <w:rPr>
          <w:spacing w:val="-3"/>
          <w:szCs w:val="22"/>
        </w:rPr>
        <w:t xml:space="preserve"> </w:t>
      </w:r>
      <w:r>
        <w:rPr>
          <w:szCs w:val="22"/>
        </w:rPr>
        <w:t>cu</w:t>
      </w:r>
      <w:r>
        <w:rPr>
          <w:spacing w:val="-3"/>
          <w:szCs w:val="22"/>
        </w:rPr>
        <w:t xml:space="preserve"> </w:t>
      </w:r>
      <w:r>
        <w:rPr>
          <w:szCs w:val="22"/>
        </w:rPr>
        <w:t>cei</w:t>
      </w:r>
      <w:r>
        <w:rPr>
          <w:spacing w:val="-2"/>
          <w:szCs w:val="22"/>
        </w:rPr>
        <w:t xml:space="preserve"> </w:t>
      </w:r>
      <w:r>
        <w:rPr>
          <w:szCs w:val="22"/>
        </w:rPr>
        <w:t>c</w:t>
      </w:r>
      <w:r>
        <w:rPr>
          <w:spacing w:val="-3"/>
          <w:szCs w:val="22"/>
        </w:rPr>
        <w:t>ă</w:t>
      </w:r>
      <w:r>
        <w:rPr>
          <w:szCs w:val="22"/>
        </w:rPr>
        <w:t>ro</w:t>
      </w:r>
      <w:r>
        <w:rPr>
          <w:spacing w:val="-2"/>
          <w:szCs w:val="22"/>
        </w:rPr>
        <w:t>r</w:t>
      </w:r>
      <w:r>
        <w:rPr>
          <w:szCs w:val="22"/>
        </w:rPr>
        <w:t xml:space="preserve">a </w:t>
      </w:r>
      <w:r>
        <w:rPr>
          <w:spacing w:val="1"/>
          <w:szCs w:val="22"/>
        </w:rPr>
        <w:t>l</w:t>
      </w:r>
      <w:r>
        <w:rPr>
          <w:szCs w:val="22"/>
        </w:rPr>
        <w:t>e</w:t>
      </w:r>
      <w:r>
        <w:rPr>
          <w:spacing w:val="-6"/>
          <w:szCs w:val="22"/>
        </w:rPr>
        <w:t>-</w:t>
      </w:r>
      <w:r>
        <w:rPr>
          <w:szCs w:val="22"/>
        </w:rPr>
        <w:t>a fo</w:t>
      </w:r>
      <w:r>
        <w:rPr>
          <w:spacing w:val="-2"/>
          <w:szCs w:val="22"/>
        </w:rPr>
        <w:t>s</w:t>
      </w:r>
      <w:r>
        <w:rPr>
          <w:szCs w:val="22"/>
        </w:rPr>
        <w:t>t</w:t>
      </w:r>
      <w:r>
        <w:rPr>
          <w:spacing w:val="1"/>
          <w:szCs w:val="22"/>
        </w:rPr>
        <w:t xml:space="preserve"> </w:t>
      </w:r>
      <w:r>
        <w:rPr>
          <w:szCs w:val="22"/>
        </w:rPr>
        <w:t>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w:t>
      </w:r>
      <w:r>
        <w:rPr>
          <w:spacing w:val="-3"/>
          <w:szCs w:val="22"/>
        </w:rPr>
        <w:t>a</w:t>
      </w:r>
      <w:r>
        <w:rPr>
          <w:szCs w:val="22"/>
        </w:rPr>
        <w:t>t</w:t>
      </w:r>
      <w:r>
        <w:rPr>
          <w:spacing w:val="1"/>
          <w:szCs w:val="22"/>
        </w:rPr>
        <w:t xml:space="preserve"> </w:t>
      </w:r>
      <w:r>
        <w:rPr>
          <w:szCs w:val="22"/>
        </w:rPr>
        <w:t>p</w:t>
      </w:r>
      <w:r>
        <w:rPr>
          <w:spacing w:val="-2"/>
          <w:szCs w:val="22"/>
        </w:rPr>
        <w:t>l</w:t>
      </w:r>
      <w:r>
        <w:rPr>
          <w:szCs w:val="22"/>
        </w:rPr>
        <w:t>ace</w:t>
      </w:r>
      <w:r>
        <w:rPr>
          <w:spacing w:val="-3"/>
          <w:szCs w:val="22"/>
        </w:rPr>
        <w:t>b</w:t>
      </w:r>
      <w:r>
        <w:rPr>
          <w:szCs w:val="22"/>
        </w:rPr>
        <w:t xml:space="preserve">o </w:t>
      </w:r>
      <w:r>
        <w:rPr>
          <w:spacing w:val="-2"/>
          <w:szCs w:val="22"/>
        </w:rPr>
        <w:t>(</w:t>
      </w:r>
      <w:r>
        <w:rPr>
          <w:spacing w:val="1"/>
          <w:szCs w:val="22"/>
        </w:rPr>
        <w:t>t</w:t>
      </w:r>
      <w:r>
        <w:rPr>
          <w:szCs w:val="22"/>
        </w:rPr>
        <w:t>a</w:t>
      </w:r>
      <w:r>
        <w:rPr>
          <w:spacing w:val="-3"/>
          <w:szCs w:val="22"/>
        </w:rPr>
        <w:t>b</w:t>
      </w:r>
      <w:r>
        <w:rPr>
          <w:szCs w:val="22"/>
        </w:rPr>
        <w:t>elul</w:t>
      </w:r>
      <w:r>
        <w:rPr>
          <w:rFonts w:eastAsia="MS Mincho"/>
          <w:spacing w:val="-1"/>
          <w:szCs w:val="22"/>
          <w:lang w:eastAsia="en-US" w:bidi="ar-SA"/>
        </w:rPr>
        <w:t> 13</w:t>
      </w:r>
      <w:r>
        <w:rPr>
          <w:szCs w:val="22"/>
        </w:rPr>
        <w:t>).</w:t>
      </w:r>
    </w:p>
    <w:p w14:paraId="723D93A9" w14:textId="77777777" w:rsidR="00C04CAD" w:rsidRDefault="00C04CAD">
      <w:pPr>
        <w:keepNext/>
        <w:autoSpaceDE w:val="0"/>
        <w:autoSpaceDN w:val="0"/>
        <w:adjustRightInd w:val="0"/>
        <w:spacing w:line="240" w:lineRule="auto"/>
        <w:rPr>
          <w:sz w:val="24"/>
        </w:rPr>
      </w:pPr>
    </w:p>
    <w:p w14:paraId="3F56BE6B" w14:textId="77777777" w:rsidR="00C04CAD" w:rsidRDefault="00060E34">
      <w:pPr>
        <w:keepNext/>
        <w:autoSpaceDE w:val="0"/>
        <w:autoSpaceDN w:val="0"/>
        <w:adjustRightInd w:val="0"/>
        <w:spacing w:line="240" w:lineRule="auto"/>
        <w:rPr>
          <w:b/>
          <w:sz w:val="24"/>
        </w:rPr>
      </w:pPr>
      <w:r>
        <w:rPr>
          <w:b/>
          <w:bCs/>
          <w:spacing w:val="-1"/>
        </w:rPr>
        <w:t>T</w:t>
      </w:r>
      <w:r>
        <w:rPr>
          <w:b/>
          <w:bCs/>
        </w:rPr>
        <w:t>a</w:t>
      </w:r>
      <w:r>
        <w:rPr>
          <w:b/>
          <w:bCs/>
          <w:spacing w:val="-1"/>
        </w:rPr>
        <w:t>b</w:t>
      </w:r>
      <w:r>
        <w:rPr>
          <w:b/>
          <w:bCs/>
        </w:rPr>
        <w:t>e</w:t>
      </w:r>
      <w:r>
        <w:rPr>
          <w:b/>
          <w:bCs/>
          <w:spacing w:val="1"/>
        </w:rPr>
        <w:t>l</w:t>
      </w:r>
      <w:r>
        <w:rPr>
          <w:b/>
          <w:bCs/>
          <w:spacing w:val="-1"/>
        </w:rPr>
        <w:t>u</w:t>
      </w:r>
      <w:r>
        <w:rPr>
          <w:b/>
          <w:bCs/>
        </w:rPr>
        <w:t>l</w:t>
      </w:r>
      <w:r>
        <w:rPr>
          <w:b/>
          <w:bCs/>
          <w:spacing w:val="-2"/>
        </w:rPr>
        <w:t xml:space="preserve"> </w:t>
      </w:r>
      <w:r>
        <w:rPr>
          <w:b/>
          <w:bCs/>
        </w:rPr>
        <w:t xml:space="preserve">13. </w:t>
      </w:r>
      <w:r>
        <w:rPr>
          <w:b/>
          <w:spacing w:val="-1"/>
        </w:rPr>
        <w:t>R</w:t>
      </w:r>
      <w:r>
        <w:rPr>
          <w:b/>
        </w:rPr>
        <w:t>e</w:t>
      </w:r>
      <w:r>
        <w:rPr>
          <w:b/>
          <w:spacing w:val="-3"/>
        </w:rPr>
        <w:t>z</w:t>
      </w:r>
      <w:r>
        <w:rPr>
          <w:b/>
          <w:spacing w:val="-1"/>
        </w:rPr>
        <w:t>u</w:t>
      </w:r>
      <w:r>
        <w:rPr>
          <w:b/>
          <w:spacing w:val="1"/>
        </w:rPr>
        <w:t>l</w:t>
      </w:r>
      <w:r>
        <w:rPr>
          <w:b/>
        </w:rPr>
        <w:t xml:space="preserve">tate </w:t>
      </w:r>
      <w:r>
        <w:rPr>
          <w:b/>
          <w:spacing w:val="-3"/>
        </w:rPr>
        <w:t>p</w:t>
      </w:r>
      <w:r>
        <w:rPr>
          <w:b/>
        </w:rPr>
        <w:t>r</w:t>
      </w:r>
      <w:r>
        <w:rPr>
          <w:b/>
          <w:spacing w:val="1"/>
        </w:rPr>
        <w:t>i</w:t>
      </w:r>
      <w:r>
        <w:rPr>
          <w:b/>
          <w:spacing w:val="-3"/>
        </w:rPr>
        <w:t>v</w:t>
      </w:r>
      <w:r>
        <w:rPr>
          <w:b/>
          <w:spacing w:val="1"/>
        </w:rPr>
        <w:t>i</w:t>
      </w:r>
      <w:r>
        <w:rPr>
          <w:b/>
          <w:spacing w:val="-1"/>
        </w:rPr>
        <w:t>n</w:t>
      </w:r>
      <w:r>
        <w:rPr>
          <w:b/>
        </w:rPr>
        <w:t>d</w:t>
      </w:r>
      <w:r>
        <w:rPr>
          <w:b/>
          <w:spacing w:val="-1"/>
        </w:rPr>
        <w:t xml:space="preserve"> </w:t>
      </w:r>
      <w:r>
        <w:rPr>
          <w:b/>
          <w:spacing w:val="-3"/>
        </w:rPr>
        <w:t>e</w:t>
      </w:r>
      <w:r>
        <w:rPr>
          <w:b/>
        </w:rPr>
        <w:t>f</w:t>
      </w:r>
      <w:r>
        <w:rPr>
          <w:b/>
          <w:spacing w:val="-2"/>
        </w:rPr>
        <w:t>i</w:t>
      </w:r>
      <w:r>
        <w:rPr>
          <w:b/>
        </w:rPr>
        <w:t>ca</w:t>
      </w:r>
      <w:r>
        <w:rPr>
          <w:b/>
          <w:spacing w:val="-3"/>
        </w:rPr>
        <w:t>c</w:t>
      </w:r>
      <w:r>
        <w:rPr>
          <w:b/>
          <w:spacing w:val="1"/>
        </w:rPr>
        <w:t>i</w:t>
      </w:r>
      <w:r>
        <w:rPr>
          <w:b/>
          <w:spacing w:val="-2"/>
        </w:rPr>
        <w:t>t</w:t>
      </w:r>
      <w:r>
        <w:rPr>
          <w:b/>
        </w:rPr>
        <w:t>atea</w:t>
      </w:r>
      <w:r>
        <w:rPr>
          <w:b/>
          <w:spacing w:val="-3"/>
        </w:rPr>
        <w:t xml:space="preserve"> </w:t>
      </w:r>
      <w:r>
        <w:rPr>
          <w:b/>
          <w:spacing w:val="1"/>
        </w:rPr>
        <w:t>î</w:t>
      </w:r>
      <w:r>
        <w:rPr>
          <w:b/>
        </w:rPr>
        <w:t>n</w:t>
      </w:r>
      <w:r>
        <w:rPr>
          <w:b/>
          <w:spacing w:val="-1"/>
        </w:rPr>
        <w:t xml:space="preserve"> </w:t>
      </w:r>
      <w:r>
        <w:rPr>
          <w:b/>
          <w:spacing w:val="-2"/>
        </w:rPr>
        <w:t>s</w:t>
      </w:r>
      <w:r>
        <w:rPr>
          <w:b/>
        </w:rPr>
        <w:t>t</w:t>
      </w:r>
      <w:r>
        <w:rPr>
          <w:b/>
          <w:spacing w:val="-1"/>
        </w:rPr>
        <w:t>ud</w:t>
      </w:r>
      <w:r>
        <w:rPr>
          <w:b/>
          <w:spacing w:val="1"/>
        </w:rPr>
        <w:t>i</w:t>
      </w:r>
      <w:r>
        <w:rPr>
          <w:b/>
          <w:spacing w:val="-3"/>
        </w:rPr>
        <w:t>u</w:t>
      </w:r>
      <w:r>
        <w:rPr>
          <w:b/>
        </w:rPr>
        <w:t>l</w:t>
      </w:r>
      <w:r>
        <w:rPr>
          <w:b/>
          <w:spacing w:val="1"/>
        </w:rPr>
        <w:t xml:space="preserve"> </w:t>
      </w:r>
      <w:r>
        <w:rPr>
          <w:b/>
          <w:szCs w:val="22"/>
        </w:rPr>
        <w:t>nr-axSpA I</w:t>
      </w:r>
      <w:r>
        <w:rPr>
          <w:b/>
          <w:spacing w:val="-3"/>
        </w:rPr>
        <w:t xml:space="preserve"> </w:t>
      </w:r>
      <w:r>
        <w:rPr>
          <w:b/>
          <w:spacing w:val="-1"/>
        </w:rPr>
        <w:t>p</w:t>
      </w:r>
      <w:r>
        <w:rPr>
          <w:b/>
          <w:spacing w:val="1"/>
        </w:rPr>
        <w:t>l</w:t>
      </w:r>
      <w:r>
        <w:rPr>
          <w:b/>
        </w:rPr>
        <w:t>ace</w:t>
      </w:r>
      <w:r>
        <w:rPr>
          <w:b/>
          <w:spacing w:val="-3"/>
        </w:rPr>
        <w:t>b</w:t>
      </w:r>
      <w:r>
        <w:rPr>
          <w:b/>
        </w:rPr>
        <w:t>o-co</w:t>
      </w:r>
      <w:r>
        <w:rPr>
          <w:b/>
          <w:spacing w:val="-3"/>
        </w:rPr>
        <w:t>n</w:t>
      </w:r>
      <w:r>
        <w:rPr>
          <w:b/>
        </w:rPr>
        <w:t>tr</w:t>
      </w:r>
      <w:r>
        <w:rPr>
          <w:b/>
          <w:spacing w:val="-3"/>
        </w:rPr>
        <w:t>o</w:t>
      </w:r>
      <w:r>
        <w:rPr>
          <w:b/>
          <w:spacing w:val="1"/>
        </w:rPr>
        <w:t>l</w:t>
      </w:r>
      <w:r>
        <w:rPr>
          <w:b/>
          <w:spacing w:val="-3"/>
        </w:rPr>
        <w:t>at</w:t>
      </w:r>
    </w:p>
    <w:p w14:paraId="7DD3EACE" w14:textId="77777777" w:rsidR="00C04CAD" w:rsidRDefault="00C04CAD">
      <w:pPr>
        <w:keepNext/>
        <w:autoSpaceDE w:val="0"/>
        <w:autoSpaceDN w:val="0"/>
        <w:adjustRightInd w:val="0"/>
        <w:spacing w:line="240" w:lineRule="auto"/>
        <w:rPr>
          <w:sz w:val="24"/>
        </w:rPr>
      </w:pPr>
    </w:p>
    <w:tbl>
      <w:tblPr>
        <w:tblW w:w="4997" w:type="pct"/>
        <w:tblInd w:w="5" w:type="dxa"/>
        <w:tblLayout w:type="fixed"/>
        <w:tblCellMar>
          <w:left w:w="0" w:type="dxa"/>
          <w:right w:w="0" w:type="dxa"/>
        </w:tblCellMar>
        <w:tblLook w:val="04A0" w:firstRow="1" w:lastRow="0" w:firstColumn="1" w:lastColumn="0" w:noHBand="0" w:noVBand="1"/>
      </w:tblPr>
      <w:tblGrid>
        <w:gridCol w:w="3326"/>
        <w:gridCol w:w="2300"/>
        <w:gridCol w:w="3430"/>
      </w:tblGrid>
      <w:tr w:rsidR="00C04CAD" w14:paraId="4CEBFF48" w14:textId="77777777">
        <w:trPr>
          <w:trHeight w:hRule="exact" w:val="516"/>
          <w:tblHeader/>
        </w:trPr>
        <w:tc>
          <w:tcPr>
            <w:tcW w:w="1836" w:type="pct"/>
            <w:tcBorders>
              <w:top w:val="single" w:sz="4" w:space="0" w:color="000000"/>
              <w:left w:val="single" w:sz="4" w:space="0" w:color="000000"/>
              <w:bottom w:val="single" w:sz="4" w:space="0" w:color="000000"/>
              <w:right w:val="single" w:sz="4" w:space="0" w:color="000000"/>
            </w:tcBorders>
          </w:tcPr>
          <w:p w14:paraId="45E3DC2B" w14:textId="77777777" w:rsidR="00C04CAD" w:rsidRDefault="00060E34">
            <w:pPr>
              <w:keepNext/>
              <w:tabs>
                <w:tab w:val="clear" w:pos="567"/>
              </w:tabs>
              <w:kinsoku w:val="0"/>
              <w:overflowPunct w:val="0"/>
              <w:autoSpaceDE w:val="0"/>
              <w:autoSpaceDN w:val="0"/>
              <w:adjustRightInd w:val="0"/>
              <w:spacing w:line="240" w:lineRule="auto"/>
              <w:ind w:right="556"/>
            </w:pPr>
            <w:r>
              <w:rPr>
                <w:b/>
                <w:spacing w:val="-1"/>
              </w:rPr>
              <w:t>Dub</w:t>
            </w:r>
            <w:r>
              <w:rPr>
                <w:b/>
                <w:spacing w:val="1"/>
              </w:rPr>
              <w:t>l</w:t>
            </w:r>
            <w:r>
              <w:rPr>
                <w:b/>
                <w:spacing w:val="-1"/>
              </w:rPr>
              <w:t>u</w:t>
            </w:r>
            <w:r>
              <w:rPr>
                <w:b/>
              </w:rPr>
              <w:t xml:space="preserve">-orb </w:t>
            </w:r>
            <w:r>
              <w:rPr>
                <w:b/>
                <w:spacing w:val="-2"/>
              </w:rPr>
              <w:t>r</w:t>
            </w:r>
            <w:r>
              <w:rPr>
                <w:b/>
              </w:rPr>
              <w:t>ăs</w:t>
            </w:r>
            <w:r>
              <w:rPr>
                <w:b/>
                <w:spacing w:val="-1"/>
              </w:rPr>
              <w:t>pun</w:t>
            </w:r>
            <w:r>
              <w:rPr>
                <w:b/>
              </w:rPr>
              <w:t xml:space="preserve">s </w:t>
            </w:r>
            <w:r>
              <w:rPr>
                <w:b/>
                <w:spacing w:val="1"/>
              </w:rPr>
              <w:t>î</w:t>
            </w:r>
            <w:r>
              <w:rPr>
                <w:b/>
              </w:rPr>
              <w:t>n</w:t>
            </w:r>
            <w:r>
              <w:rPr>
                <w:b/>
                <w:spacing w:val="-3"/>
              </w:rPr>
              <w:t xml:space="preserve"> </w:t>
            </w:r>
            <w:r>
              <w:rPr>
                <w:b/>
              </w:rPr>
              <w:t>să</w:t>
            </w:r>
            <w:r>
              <w:rPr>
                <w:b/>
                <w:spacing w:val="-1"/>
              </w:rPr>
              <w:t>p</w:t>
            </w:r>
            <w:r>
              <w:rPr>
                <w:b/>
              </w:rPr>
              <w:t>t</w:t>
            </w:r>
            <w:r>
              <w:rPr>
                <w:b/>
                <w:spacing w:val="-3"/>
              </w:rPr>
              <w:t>ă</w:t>
            </w:r>
            <w:r>
              <w:rPr>
                <w:b/>
              </w:rPr>
              <w:t>mâ</w:t>
            </w:r>
            <w:r>
              <w:rPr>
                <w:b/>
                <w:spacing w:val="-1"/>
              </w:rPr>
              <w:t>n</w:t>
            </w:r>
            <w:r>
              <w:rPr>
                <w:b/>
              </w:rPr>
              <w:t>a</w:t>
            </w:r>
            <w:r>
              <w:rPr>
                <w:b/>
                <w:spacing w:val="-3"/>
              </w:rPr>
              <w:t xml:space="preserve"> </w:t>
            </w:r>
            <w:r>
              <w:rPr>
                <w:b/>
              </w:rPr>
              <w:t>12</w:t>
            </w:r>
          </w:p>
        </w:tc>
        <w:tc>
          <w:tcPr>
            <w:tcW w:w="1270" w:type="pct"/>
            <w:tcBorders>
              <w:top w:val="single" w:sz="4" w:space="0" w:color="000000"/>
              <w:left w:val="single" w:sz="4" w:space="0" w:color="000000"/>
              <w:bottom w:val="single" w:sz="4" w:space="0" w:color="000000"/>
              <w:right w:val="single" w:sz="4" w:space="0" w:color="000000"/>
            </w:tcBorders>
          </w:tcPr>
          <w:p w14:paraId="518236DC" w14:textId="77777777" w:rsidR="00C04CAD" w:rsidRDefault="00060E34">
            <w:pPr>
              <w:keepNext/>
              <w:tabs>
                <w:tab w:val="clear" w:pos="567"/>
              </w:tabs>
              <w:kinsoku w:val="0"/>
              <w:overflowPunct w:val="0"/>
              <w:autoSpaceDE w:val="0"/>
              <w:autoSpaceDN w:val="0"/>
              <w:adjustRightInd w:val="0"/>
              <w:spacing w:line="240" w:lineRule="auto"/>
              <w:ind w:left="843" w:right="525"/>
              <w:jc w:val="center"/>
            </w:pPr>
            <w:r>
              <w:rPr>
                <w:b/>
                <w:spacing w:val="-1"/>
              </w:rPr>
              <w:t>P</w:t>
            </w:r>
            <w:r>
              <w:rPr>
                <w:b/>
                <w:spacing w:val="1"/>
              </w:rPr>
              <w:t>l</w:t>
            </w:r>
            <w:r>
              <w:rPr>
                <w:b/>
              </w:rPr>
              <w:t>ace</w:t>
            </w:r>
            <w:r>
              <w:rPr>
                <w:b/>
                <w:spacing w:val="-1"/>
              </w:rPr>
              <w:t xml:space="preserve">bo </w:t>
            </w:r>
            <w:r>
              <w:rPr>
                <w:b/>
                <w:spacing w:val="-2"/>
              </w:rPr>
              <w:t>N=</w:t>
            </w:r>
            <w:r>
              <w:rPr>
                <w:b/>
              </w:rPr>
              <w:t>94</w:t>
            </w:r>
          </w:p>
        </w:tc>
        <w:tc>
          <w:tcPr>
            <w:tcW w:w="1894" w:type="pct"/>
            <w:tcBorders>
              <w:top w:val="single" w:sz="4" w:space="0" w:color="000000"/>
              <w:left w:val="single" w:sz="4" w:space="0" w:color="000000"/>
              <w:bottom w:val="single" w:sz="4" w:space="0" w:color="000000"/>
              <w:right w:val="single" w:sz="4" w:space="0" w:color="000000"/>
            </w:tcBorders>
          </w:tcPr>
          <w:p w14:paraId="0B7F7C94" w14:textId="77777777" w:rsidR="00C04CAD" w:rsidRDefault="00060E34">
            <w:pPr>
              <w:keepNext/>
              <w:tabs>
                <w:tab w:val="clear" w:pos="567"/>
              </w:tabs>
              <w:kinsoku w:val="0"/>
              <w:overflowPunct w:val="0"/>
              <w:autoSpaceDE w:val="0"/>
              <w:autoSpaceDN w:val="0"/>
              <w:adjustRightInd w:val="0"/>
              <w:spacing w:line="240" w:lineRule="auto"/>
              <w:ind w:left="843" w:right="525"/>
              <w:jc w:val="center"/>
              <w:rPr>
                <w:b/>
              </w:rPr>
            </w:pPr>
            <w:r>
              <w:rPr>
                <w:b/>
              </w:rPr>
              <w:t>Adalimumab</w:t>
            </w:r>
          </w:p>
          <w:p w14:paraId="34DAE766" w14:textId="77777777" w:rsidR="00C04CAD" w:rsidRDefault="00060E34">
            <w:pPr>
              <w:keepNext/>
              <w:tabs>
                <w:tab w:val="clear" w:pos="567"/>
              </w:tabs>
              <w:kinsoku w:val="0"/>
              <w:overflowPunct w:val="0"/>
              <w:autoSpaceDE w:val="0"/>
              <w:autoSpaceDN w:val="0"/>
              <w:adjustRightInd w:val="0"/>
              <w:spacing w:line="240" w:lineRule="auto"/>
              <w:ind w:left="843" w:right="525"/>
              <w:jc w:val="center"/>
            </w:pPr>
            <w:r>
              <w:rPr>
                <w:b/>
              </w:rPr>
              <w:t>N=91</w:t>
            </w:r>
          </w:p>
        </w:tc>
      </w:tr>
      <w:tr w:rsidR="00C04CAD" w14:paraId="013EBCB4"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14AD5516" w14:textId="77777777" w:rsidR="00C04CAD" w:rsidRDefault="00060E34">
            <w:pPr>
              <w:keepNext/>
              <w:tabs>
                <w:tab w:val="clear" w:pos="567"/>
              </w:tabs>
              <w:kinsoku w:val="0"/>
              <w:overflowPunct w:val="0"/>
              <w:autoSpaceDE w:val="0"/>
              <w:autoSpaceDN w:val="0"/>
              <w:adjustRightInd w:val="0"/>
              <w:spacing w:line="240" w:lineRule="auto"/>
              <w:ind w:left="102"/>
            </w:pPr>
            <w:r>
              <w:rPr>
                <w:spacing w:val="-2"/>
              </w:rPr>
              <w:t>A</w:t>
            </w:r>
            <w:r>
              <w:rPr>
                <w:spacing w:val="-1"/>
              </w:rPr>
              <w:t>S</w:t>
            </w:r>
            <w:r>
              <w:rPr>
                <w:spacing w:val="-2"/>
              </w:rPr>
              <w:t>A</w:t>
            </w:r>
            <w:r>
              <w:rPr>
                <w:spacing w:val="-1"/>
              </w:rPr>
              <w:t>S</w:t>
            </w:r>
            <w:r>
              <w:rPr>
                <w:spacing w:val="-2"/>
                <w:vertAlign w:val="superscript"/>
              </w:rPr>
              <w:t>a</w:t>
            </w:r>
            <w:r>
              <w:rPr>
                <w:spacing w:val="-2"/>
              </w:rPr>
              <w:t xml:space="preserve"> </w:t>
            </w:r>
            <w:r>
              <w:t>40</w:t>
            </w:r>
          </w:p>
        </w:tc>
        <w:tc>
          <w:tcPr>
            <w:tcW w:w="1270" w:type="pct"/>
            <w:tcBorders>
              <w:top w:val="single" w:sz="4" w:space="0" w:color="000000"/>
              <w:left w:val="single" w:sz="4" w:space="0" w:color="000000"/>
              <w:bottom w:val="single" w:sz="4" w:space="0" w:color="000000"/>
              <w:right w:val="single" w:sz="4" w:space="0" w:color="000000"/>
            </w:tcBorders>
          </w:tcPr>
          <w:p w14:paraId="58A5DDFE" w14:textId="77777777" w:rsidR="00C04CAD" w:rsidRDefault="00060E34">
            <w:pPr>
              <w:keepNext/>
              <w:tabs>
                <w:tab w:val="clear" w:pos="567"/>
              </w:tabs>
              <w:kinsoku w:val="0"/>
              <w:overflowPunct w:val="0"/>
              <w:autoSpaceDE w:val="0"/>
              <w:autoSpaceDN w:val="0"/>
              <w:adjustRightInd w:val="0"/>
              <w:spacing w:line="240" w:lineRule="auto"/>
              <w:ind w:left="102"/>
              <w:jc w:val="center"/>
            </w:pPr>
            <w:r>
              <w:t>15%</w:t>
            </w:r>
          </w:p>
        </w:tc>
        <w:tc>
          <w:tcPr>
            <w:tcW w:w="1894" w:type="pct"/>
            <w:tcBorders>
              <w:top w:val="single" w:sz="4" w:space="0" w:color="000000"/>
              <w:left w:val="single" w:sz="4" w:space="0" w:color="000000"/>
              <w:bottom w:val="single" w:sz="4" w:space="0" w:color="000000"/>
              <w:right w:val="single" w:sz="4" w:space="0" w:color="000000"/>
            </w:tcBorders>
          </w:tcPr>
          <w:p w14:paraId="6E425188" w14:textId="77777777" w:rsidR="00C04CAD" w:rsidRDefault="00060E34">
            <w:pPr>
              <w:keepNext/>
              <w:tabs>
                <w:tab w:val="clear" w:pos="567"/>
              </w:tabs>
              <w:kinsoku w:val="0"/>
              <w:overflowPunct w:val="0"/>
              <w:autoSpaceDE w:val="0"/>
              <w:autoSpaceDN w:val="0"/>
              <w:adjustRightInd w:val="0"/>
              <w:spacing w:line="240" w:lineRule="auto"/>
              <w:ind w:left="102"/>
              <w:jc w:val="center"/>
            </w:pPr>
            <w:r>
              <w:t>36%***</w:t>
            </w:r>
          </w:p>
        </w:tc>
      </w:tr>
      <w:tr w:rsidR="00C04CAD" w14:paraId="7CCA7B3A" w14:textId="77777777">
        <w:trPr>
          <w:trHeight w:hRule="exact" w:val="271"/>
        </w:trPr>
        <w:tc>
          <w:tcPr>
            <w:tcW w:w="1836" w:type="pct"/>
            <w:tcBorders>
              <w:top w:val="single" w:sz="4" w:space="0" w:color="000000"/>
              <w:left w:val="single" w:sz="4" w:space="0" w:color="000000"/>
              <w:bottom w:val="single" w:sz="4" w:space="0" w:color="000000"/>
              <w:right w:val="single" w:sz="4" w:space="0" w:color="000000"/>
            </w:tcBorders>
          </w:tcPr>
          <w:p w14:paraId="5EDA0740" w14:textId="77777777" w:rsidR="00C04CAD" w:rsidRDefault="00060E34">
            <w:pPr>
              <w:tabs>
                <w:tab w:val="clear" w:pos="567"/>
              </w:tabs>
              <w:kinsoku w:val="0"/>
              <w:overflowPunct w:val="0"/>
              <w:autoSpaceDE w:val="0"/>
              <w:autoSpaceDN w:val="0"/>
              <w:adjustRightInd w:val="0"/>
              <w:spacing w:line="240" w:lineRule="auto"/>
              <w:ind w:left="102"/>
            </w:pPr>
            <w:r>
              <w:rPr>
                <w:spacing w:val="-2"/>
              </w:rPr>
              <w:t>A</w:t>
            </w:r>
            <w:r>
              <w:rPr>
                <w:spacing w:val="-1"/>
              </w:rPr>
              <w:t>S</w:t>
            </w:r>
            <w:r>
              <w:rPr>
                <w:spacing w:val="-2"/>
              </w:rPr>
              <w:t>A</w:t>
            </w:r>
            <w:r>
              <w:t>S</w:t>
            </w:r>
            <w:r>
              <w:rPr>
                <w:spacing w:val="-1"/>
              </w:rPr>
              <w:t xml:space="preserve"> </w:t>
            </w:r>
            <w:r>
              <w:t>20</w:t>
            </w:r>
          </w:p>
        </w:tc>
        <w:tc>
          <w:tcPr>
            <w:tcW w:w="1270" w:type="pct"/>
            <w:tcBorders>
              <w:top w:val="single" w:sz="4" w:space="0" w:color="000000"/>
              <w:left w:val="single" w:sz="4" w:space="0" w:color="000000"/>
              <w:bottom w:val="single" w:sz="4" w:space="0" w:color="000000"/>
              <w:right w:val="single" w:sz="4" w:space="0" w:color="000000"/>
            </w:tcBorders>
          </w:tcPr>
          <w:p w14:paraId="6D55157D" w14:textId="77777777" w:rsidR="00C04CAD" w:rsidRDefault="00060E34">
            <w:pPr>
              <w:tabs>
                <w:tab w:val="clear" w:pos="567"/>
              </w:tabs>
              <w:kinsoku w:val="0"/>
              <w:overflowPunct w:val="0"/>
              <w:autoSpaceDE w:val="0"/>
              <w:autoSpaceDN w:val="0"/>
              <w:adjustRightInd w:val="0"/>
              <w:spacing w:line="240" w:lineRule="auto"/>
              <w:ind w:left="102"/>
              <w:jc w:val="center"/>
            </w:pPr>
            <w:r>
              <w:t>31%</w:t>
            </w:r>
          </w:p>
        </w:tc>
        <w:tc>
          <w:tcPr>
            <w:tcW w:w="1894" w:type="pct"/>
            <w:tcBorders>
              <w:top w:val="single" w:sz="4" w:space="0" w:color="000000"/>
              <w:left w:val="single" w:sz="4" w:space="0" w:color="000000"/>
              <w:bottom w:val="single" w:sz="4" w:space="0" w:color="000000"/>
              <w:right w:val="single" w:sz="4" w:space="0" w:color="000000"/>
            </w:tcBorders>
          </w:tcPr>
          <w:p w14:paraId="74264FA6" w14:textId="77777777" w:rsidR="00C04CAD" w:rsidRDefault="00060E34">
            <w:pPr>
              <w:tabs>
                <w:tab w:val="clear" w:pos="567"/>
              </w:tabs>
              <w:kinsoku w:val="0"/>
              <w:overflowPunct w:val="0"/>
              <w:autoSpaceDE w:val="0"/>
              <w:autoSpaceDN w:val="0"/>
              <w:adjustRightInd w:val="0"/>
              <w:spacing w:line="240" w:lineRule="auto"/>
              <w:ind w:left="102"/>
              <w:jc w:val="center"/>
            </w:pPr>
            <w:r>
              <w:t>52%**</w:t>
            </w:r>
          </w:p>
        </w:tc>
      </w:tr>
      <w:tr w:rsidR="00C04CAD" w14:paraId="7255103D" w14:textId="77777777">
        <w:trPr>
          <w:trHeight w:hRule="exact" w:val="298"/>
        </w:trPr>
        <w:tc>
          <w:tcPr>
            <w:tcW w:w="1836" w:type="pct"/>
            <w:tcBorders>
              <w:top w:val="single" w:sz="4" w:space="0" w:color="000000"/>
              <w:left w:val="single" w:sz="4" w:space="0" w:color="000000"/>
              <w:bottom w:val="single" w:sz="4" w:space="0" w:color="000000"/>
              <w:right w:val="single" w:sz="4" w:space="0" w:color="000000"/>
            </w:tcBorders>
          </w:tcPr>
          <w:p w14:paraId="7EE65DDF" w14:textId="77777777" w:rsidR="00C04CAD" w:rsidRDefault="00060E34">
            <w:pPr>
              <w:tabs>
                <w:tab w:val="clear" w:pos="567"/>
              </w:tabs>
              <w:kinsoku w:val="0"/>
              <w:overflowPunct w:val="0"/>
              <w:autoSpaceDE w:val="0"/>
              <w:autoSpaceDN w:val="0"/>
              <w:adjustRightInd w:val="0"/>
              <w:spacing w:line="240" w:lineRule="auto"/>
              <w:ind w:left="102"/>
            </w:pPr>
            <w:r>
              <w:rPr>
                <w:spacing w:val="-2"/>
              </w:rPr>
              <w:t>A</w:t>
            </w:r>
            <w:r>
              <w:rPr>
                <w:spacing w:val="-1"/>
              </w:rPr>
              <w:t>S</w:t>
            </w:r>
            <w:r>
              <w:rPr>
                <w:spacing w:val="-2"/>
              </w:rPr>
              <w:t>A</w:t>
            </w:r>
            <w:r>
              <w:t>S</w:t>
            </w:r>
            <w:r>
              <w:rPr>
                <w:spacing w:val="-1"/>
              </w:rPr>
              <w:t xml:space="preserve"> </w:t>
            </w:r>
            <w:r>
              <w:t>5</w:t>
            </w:r>
            <w:r>
              <w:rPr>
                <w:spacing w:val="1"/>
              </w:rPr>
              <w:t>/</w:t>
            </w:r>
            <w:r>
              <w:t>6</w:t>
            </w:r>
          </w:p>
        </w:tc>
        <w:tc>
          <w:tcPr>
            <w:tcW w:w="1270" w:type="pct"/>
            <w:tcBorders>
              <w:top w:val="single" w:sz="4" w:space="0" w:color="000000"/>
              <w:left w:val="single" w:sz="4" w:space="0" w:color="000000"/>
              <w:bottom w:val="single" w:sz="4" w:space="0" w:color="000000"/>
              <w:right w:val="single" w:sz="4" w:space="0" w:color="000000"/>
            </w:tcBorders>
          </w:tcPr>
          <w:p w14:paraId="66AC3350" w14:textId="77777777" w:rsidR="00C04CAD" w:rsidRDefault="00060E34">
            <w:pPr>
              <w:tabs>
                <w:tab w:val="clear" w:pos="567"/>
              </w:tabs>
              <w:kinsoku w:val="0"/>
              <w:overflowPunct w:val="0"/>
              <w:autoSpaceDE w:val="0"/>
              <w:autoSpaceDN w:val="0"/>
              <w:adjustRightInd w:val="0"/>
              <w:spacing w:line="240" w:lineRule="auto"/>
              <w:ind w:left="102"/>
              <w:jc w:val="center"/>
            </w:pPr>
            <w:r>
              <w:t>6%</w:t>
            </w:r>
          </w:p>
        </w:tc>
        <w:tc>
          <w:tcPr>
            <w:tcW w:w="1894" w:type="pct"/>
            <w:tcBorders>
              <w:top w:val="single" w:sz="4" w:space="0" w:color="000000"/>
              <w:left w:val="single" w:sz="4" w:space="0" w:color="000000"/>
              <w:bottom w:val="single" w:sz="4" w:space="0" w:color="000000"/>
              <w:right w:val="single" w:sz="4" w:space="0" w:color="000000"/>
            </w:tcBorders>
          </w:tcPr>
          <w:p w14:paraId="77397547" w14:textId="77777777" w:rsidR="00C04CAD" w:rsidRDefault="00060E34">
            <w:pPr>
              <w:tabs>
                <w:tab w:val="clear" w:pos="567"/>
              </w:tabs>
              <w:kinsoku w:val="0"/>
              <w:overflowPunct w:val="0"/>
              <w:autoSpaceDE w:val="0"/>
              <w:autoSpaceDN w:val="0"/>
              <w:adjustRightInd w:val="0"/>
              <w:spacing w:line="240" w:lineRule="auto"/>
              <w:ind w:left="102"/>
              <w:jc w:val="center"/>
            </w:pPr>
            <w:r>
              <w:t>31%***</w:t>
            </w:r>
          </w:p>
        </w:tc>
      </w:tr>
      <w:tr w:rsidR="00C04CAD" w14:paraId="09F01CF8"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445CE048" w14:textId="77777777" w:rsidR="00C04CAD" w:rsidRDefault="00060E34">
            <w:pPr>
              <w:tabs>
                <w:tab w:val="clear" w:pos="567"/>
              </w:tabs>
              <w:kinsoku w:val="0"/>
              <w:overflowPunct w:val="0"/>
              <w:autoSpaceDE w:val="0"/>
              <w:autoSpaceDN w:val="0"/>
              <w:adjustRightInd w:val="0"/>
              <w:spacing w:line="240" w:lineRule="auto"/>
              <w:ind w:left="102"/>
            </w:pPr>
            <w:r>
              <w:rPr>
                <w:spacing w:val="-1"/>
              </w:rPr>
              <w:t>ASA</w:t>
            </w:r>
            <w:r>
              <w:t>S</w:t>
            </w:r>
            <w:r>
              <w:rPr>
                <w:spacing w:val="-1"/>
              </w:rPr>
              <w:t xml:space="preserve"> </w:t>
            </w:r>
            <w:r>
              <w:t>re</w:t>
            </w:r>
            <w:r>
              <w:rPr>
                <w:spacing w:val="-4"/>
              </w:rPr>
              <w:t>m</w:t>
            </w:r>
            <w:r>
              <w:rPr>
                <w:spacing w:val="1"/>
              </w:rPr>
              <w:t>i</w:t>
            </w:r>
            <w:r>
              <w:t>s</w:t>
            </w:r>
            <w:r>
              <w:rPr>
                <w:spacing w:val="1"/>
              </w:rPr>
              <w:t>i</w:t>
            </w:r>
            <w:r>
              <w:t>e p</w:t>
            </w:r>
            <w:r>
              <w:rPr>
                <w:spacing w:val="-3"/>
              </w:rPr>
              <w:t>a</w:t>
            </w:r>
            <w:r>
              <w:t>r</w:t>
            </w:r>
            <w:r>
              <w:rPr>
                <w:spacing w:val="-2"/>
              </w:rPr>
              <w:t>ţ</w:t>
            </w:r>
            <w:r>
              <w:rPr>
                <w:spacing w:val="1"/>
              </w:rPr>
              <w:t>i</w:t>
            </w:r>
            <w:r>
              <w:rPr>
                <w:spacing w:val="-3"/>
              </w:rPr>
              <w:t>a</w:t>
            </w:r>
            <w:r>
              <w:rPr>
                <w:spacing w:val="1"/>
              </w:rPr>
              <w:t>lă</w:t>
            </w:r>
          </w:p>
        </w:tc>
        <w:tc>
          <w:tcPr>
            <w:tcW w:w="1270" w:type="pct"/>
            <w:tcBorders>
              <w:top w:val="single" w:sz="4" w:space="0" w:color="000000"/>
              <w:left w:val="single" w:sz="4" w:space="0" w:color="000000"/>
              <w:bottom w:val="single" w:sz="4" w:space="0" w:color="000000"/>
              <w:right w:val="single" w:sz="4" w:space="0" w:color="000000"/>
            </w:tcBorders>
          </w:tcPr>
          <w:p w14:paraId="3A150831" w14:textId="77777777" w:rsidR="00C04CAD" w:rsidRDefault="00060E34">
            <w:pPr>
              <w:tabs>
                <w:tab w:val="clear" w:pos="567"/>
              </w:tabs>
              <w:kinsoku w:val="0"/>
              <w:overflowPunct w:val="0"/>
              <w:autoSpaceDE w:val="0"/>
              <w:autoSpaceDN w:val="0"/>
              <w:adjustRightInd w:val="0"/>
              <w:spacing w:line="240" w:lineRule="auto"/>
              <w:ind w:left="102"/>
              <w:jc w:val="center"/>
            </w:pPr>
            <w:r>
              <w:t>5%</w:t>
            </w:r>
          </w:p>
        </w:tc>
        <w:tc>
          <w:tcPr>
            <w:tcW w:w="1894" w:type="pct"/>
            <w:tcBorders>
              <w:top w:val="single" w:sz="4" w:space="0" w:color="000000"/>
              <w:left w:val="single" w:sz="4" w:space="0" w:color="000000"/>
              <w:bottom w:val="single" w:sz="4" w:space="0" w:color="000000"/>
              <w:right w:val="single" w:sz="4" w:space="0" w:color="000000"/>
            </w:tcBorders>
          </w:tcPr>
          <w:p w14:paraId="53E81811" w14:textId="77777777" w:rsidR="00C04CAD" w:rsidRDefault="00060E34">
            <w:pPr>
              <w:tabs>
                <w:tab w:val="clear" w:pos="567"/>
              </w:tabs>
              <w:kinsoku w:val="0"/>
              <w:overflowPunct w:val="0"/>
              <w:autoSpaceDE w:val="0"/>
              <w:autoSpaceDN w:val="0"/>
              <w:adjustRightInd w:val="0"/>
              <w:spacing w:line="240" w:lineRule="auto"/>
              <w:ind w:left="102"/>
              <w:jc w:val="center"/>
            </w:pPr>
            <w:r>
              <w:t>16%*</w:t>
            </w:r>
          </w:p>
        </w:tc>
      </w:tr>
      <w:tr w:rsidR="00C04CAD" w14:paraId="1F24A4CD"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5B9412EF" w14:textId="77777777" w:rsidR="00C04CAD" w:rsidRDefault="00060E34">
            <w:pPr>
              <w:tabs>
                <w:tab w:val="clear" w:pos="567"/>
              </w:tabs>
              <w:kinsoku w:val="0"/>
              <w:overflowPunct w:val="0"/>
              <w:autoSpaceDE w:val="0"/>
              <w:autoSpaceDN w:val="0"/>
              <w:adjustRightInd w:val="0"/>
              <w:spacing w:line="240" w:lineRule="auto"/>
              <w:ind w:left="102"/>
            </w:pPr>
            <w:r>
              <w:rPr>
                <w:spacing w:val="-1"/>
              </w:rPr>
              <w:t>B</w:t>
            </w:r>
            <w:r>
              <w:rPr>
                <w:spacing w:val="-2"/>
              </w:rPr>
              <w:t>A</w:t>
            </w:r>
            <w:r>
              <w:rPr>
                <w:spacing w:val="-1"/>
              </w:rPr>
              <w:t>S</w:t>
            </w:r>
            <w:r>
              <w:rPr>
                <w:spacing w:val="-2"/>
              </w:rPr>
              <w:t>D</w:t>
            </w:r>
            <w:r>
              <w:rPr>
                <w:spacing w:val="1"/>
              </w:rPr>
              <w:t>A</w:t>
            </w:r>
            <w:r>
              <w:rPr>
                <w:spacing w:val="-4"/>
              </w:rPr>
              <w:t>I</w:t>
            </w:r>
            <w:r>
              <w:rPr>
                <w:spacing w:val="-2"/>
                <w:vertAlign w:val="superscript"/>
              </w:rPr>
              <w:t>b</w:t>
            </w:r>
            <w:r>
              <w:rPr>
                <w:spacing w:val="-2"/>
              </w:rPr>
              <w:t xml:space="preserve"> </w:t>
            </w:r>
            <w:r>
              <w:t>50</w:t>
            </w:r>
          </w:p>
        </w:tc>
        <w:tc>
          <w:tcPr>
            <w:tcW w:w="1270" w:type="pct"/>
            <w:tcBorders>
              <w:top w:val="single" w:sz="4" w:space="0" w:color="000000"/>
              <w:left w:val="single" w:sz="4" w:space="0" w:color="000000"/>
              <w:bottom w:val="single" w:sz="4" w:space="0" w:color="000000"/>
              <w:right w:val="single" w:sz="4" w:space="0" w:color="000000"/>
            </w:tcBorders>
          </w:tcPr>
          <w:p w14:paraId="5AA7478B" w14:textId="77777777" w:rsidR="00C04CAD" w:rsidRDefault="00060E34">
            <w:pPr>
              <w:tabs>
                <w:tab w:val="clear" w:pos="567"/>
              </w:tabs>
              <w:kinsoku w:val="0"/>
              <w:overflowPunct w:val="0"/>
              <w:autoSpaceDE w:val="0"/>
              <w:autoSpaceDN w:val="0"/>
              <w:adjustRightInd w:val="0"/>
              <w:spacing w:line="240" w:lineRule="auto"/>
              <w:ind w:left="102"/>
              <w:jc w:val="center"/>
            </w:pPr>
            <w:r>
              <w:t>15%</w:t>
            </w:r>
          </w:p>
        </w:tc>
        <w:tc>
          <w:tcPr>
            <w:tcW w:w="1894" w:type="pct"/>
            <w:tcBorders>
              <w:top w:val="single" w:sz="4" w:space="0" w:color="000000"/>
              <w:left w:val="single" w:sz="4" w:space="0" w:color="000000"/>
              <w:bottom w:val="single" w:sz="4" w:space="0" w:color="000000"/>
              <w:right w:val="single" w:sz="4" w:space="0" w:color="000000"/>
            </w:tcBorders>
          </w:tcPr>
          <w:p w14:paraId="5E708ED7" w14:textId="77777777" w:rsidR="00C04CAD" w:rsidRDefault="00060E34">
            <w:pPr>
              <w:tabs>
                <w:tab w:val="clear" w:pos="567"/>
              </w:tabs>
              <w:kinsoku w:val="0"/>
              <w:overflowPunct w:val="0"/>
              <w:autoSpaceDE w:val="0"/>
              <w:autoSpaceDN w:val="0"/>
              <w:adjustRightInd w:val="0"/>
              <w:spacing w:line="240" w:lineRule="auto"/>
              <w:ind w:left="102"/>
              <w:jc w:val="center"/>
            </w:pPr>
            <w:r>
              <w:t>35%**</w:t>
            </w:r>
          </w:p>
        </w:tc>
      </w:tr>
      <w:tr w:rsidR="00C04CAD" w14:paraId="5DB073C5"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5BD30604" w14:textId="77777777" w:rsidR="00C04CAD" w:rsidRDefault="00060E34">
            <w:pPr>
              <w:tabs>
                <w:tab w:val="clear" w:pos="567"/>
              </w:tabs>
              <w:kinsoku w:val="0"/>
              <w:overflowPunct w:val="0"/>
              <w:autoSpaceDE w:val="0"/>
              <w:autoSpaceDN w:val="0"/>
              <w:adjustRightInd w:val="0"/>
              <w:spacing w:line="240" w:lineRule="auto"/>
              <w:ind w:left="102"/>
            </w:pPr>
            <w:r>
              <w:rPr>
                <w:spacing w:val="-2"/>
              </w:rPr>
              <w:t>ASDAS</w:t>
            </w:r>
            <w:r>
              <w:rPr>
                <w:spacing w:val="-2"/>
                <w:vertAlign w:val="superscript"/>
              </w:rPr>
              <w:t>c,d,e</w:t>
            </w:r>
          </w:p>
        </w:tc>
        <w:tc>
          <w:tcPr>
            <w:tcW w:w="1270" w:type="pct"/>
            <w:tcBorders>
              <w:top w:val="single" w:sz="4" w:space="0" w:color="000000"/>
              <w:left w:val="single" w:sz="4" w:space="0" w:color="000000"/>
              <w:bottom w:val="single" w:sz="4" w:space="0" w:color="000000"/>
              <w:right w:val="single" w:sz="4" w:space="0" w:color="000000"/>
            </w:tcBorders>
          </w:tcPr>
          <w:p w14:paraId="499AB479"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0,3</w:t>
            </w:r>
          </w:p>
        </w:tc>
        <w:tc>
          <w:tcPr>
            <w:tcW w:w="1894" w:type="pct"/>
            <w:tcBorders>
              <w:top w:val="single" w:sz="4" w:space="0" w:color="000000"/>
              <w:left w:val="single" w:sz="4" w:space="0" w:color="000000"/>
              <w:bottom w:val="single" w:sz="4" w:space="0" w:color="000000"/>
              <w:right w:val="single" w:sz="4" w:space="0" w:color="000000"/>
            </w:tcBorders>
          </w:tcPr>
          <w:p w14:paraId="4F0A6ACF" w14:textId="77777777" w:rsidR="00C04CAD" w:rsidRDefault="00060E34">
            <w:pPr>
              <w:tabs>
                <w:tab w:val="clear" w:pos="567"/>
              </w:tabs>
              <w:kinsoku w:val="0"/>
              <w:overflowPunct w:val="0"/>
              <w:autoSpaceDE w:val="0"/>
              <w:autoSpaceDN w:val="0"/>
              <w:adjustRightInd w:val="0"/>
              <w:spacing w:line="240" w:lineRule="auto"/>
              <w:ind w:left="102"/>
              <w:jc w:val="center"/>
            </w:pPr>
            <w:r>
              <w:t>-1,0***</w:t>
            </w:r>
          </w:p>
        </w:tc>
      </w:tr>
      <w:tr w:rsidR="00C04CAD" w14:paraId="23B0E01D"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55562DF9" w14:textId="77777777" w:rsidR="00C04CAD" w:rsidRDefault="00060E34">
            <w:pPr>
              <w:tabs>
                <w:tab w:val="clear" w:pos="567"/>
              </w:tabs>
              <w:kinsoku w:val="0"/>
              <w:overflowPunct w:val="0"/>
              <w:autoSpaceDE w:val="0"/>
              <w:autoSpaceDN w:val="0"/>
              <w:adjustRightInd w:val="0"/>
              <w:spacing w:line="240" w:lineRule="auto"/>
              <w:ind w:left="102"/>
            </w:pPr>
            <w:r>
              <w:rPr>
                <w:spacing w:val="-1"/>
              </w:rPr>
              <w:t>ASDA</w:t>
            </w:r>
            <w:r>
              <w:t>S</w:t>
            </w:r>
            <w:r>
              <w:rPr>
                <w:spacing w:val="-1"/>
              </w:rPr>
              <w:t xml:space="preserve"> B</w:t>
            </w:r>
            <w:r>
              <w:t>oa</w:t>
            </w:r>
            <w:r>
              <w:rPr>
                <w:spacing w:val="1"/>
              </w:rPr>
              <w:t>l</w:t>
            </w:r>
            <w:r>
              <w:t xml:space="preserve">ă </w:t>
            </w:r>
            <w:r>
              <w:rPr>
                <w:spacing w:val="1"/>
              </w:rPr>
              <w:t>i</w:t>
            </w:r>
            <w:r>
              <w:rPr>
                <w:spacing w:val="-3"/>
              </w:rPr>
              <w:t>n</w:t>
            </w:r>
            <w:r>
              <w:t>a</w:t>
            </w:r>
            <w:r>
              <w:rPr>
                <w:spacing w:val="-3"/>
              </w:rPr>
              <w:t>c</w:t>
            </w:r>
            <w:r>
              <w:rPr>
                <w:spacing w:val="1"/>
              </w:rPr>
              <w:t>ti</w:t>
            </w:r>
            <w:r>
              <w:rPr>
                <w:spacing w:val="-3"/>
              </w:rPr>
              <w:t>v</w:t>
            </w:r>
            <w:r>
              <w:t>ă</w:t>
            </w:r>
          </w:p>
        </w:tc>
        <w:tc>
          <w:tcPr>
            <w:tcW w:w="1270" w:type="pct"/>
            <w:tcBorders>
              <w:top w:val="single" w:sz="4" w:space="0" w:color="000000"/>
              <w:left w:val="single" w:sz="4" w:space="0" w:color="000000"/>
              <w:bottom w:val="single" w:sz="4" w:space="0" w:color="000000"/>
              <w:right w:val="single" w:sz="4" w:space="0" w:color="000000"/>
            </w:tcBorders>
          </w:tcPr>
          <w:p w14:paraId="662E8864" w14:textId="77777777" w:rsidR="00C04CAD" w:rsidRDefault="00060E34">
            <w:pPr>
              <w:tabs>
                <w:tab w:val="clear" w:pos="567"/>
              </w:tabs>
              <w:kinsoku w:val="0"/>
              <w:overflowPunct w:val="0"/>
              <w:autoSpaceDE w:val="0"/>
              <w:autoSpaceDN w:val="0"/>
              <w:adjustRightInd w:val="0"/>
              <w:spacing w:line="240" w:lineRule="auto"/>
              <w:ind w:left="102"/>
              <w:jc w:val="center"/>
            </w:pPr>
            <w:r>
              <w:t>4%</w:t>
            </w:r>
          </w:p>
        </w:tc>
        <w:tc>
          <w:tcPr>
            <w:tcW w:w="1894" w:type="pct"/>
            <w:tcBorders>
              <w:top w:val="single" w:sz="4" w:space="0" w:color="000000"/>
              <w:left w:val="single" w:sz="4" w:space="0" w:color="000000"/>
              <w:bottom w:val="single" w:sz="4" w:space="0" w:color="000000"/>
              <w:right w:val="single" w:sz="4" w:space="0" w:color="000000"/>
            </w:tcBorders>
          </w:tcPr>
          <w:p w14:paraId="2233437D" w14:textId="77777777" w:rsidR="00C04CAD" w:rsidRDefault="00060E34">
            <w:pPr>
              <w:tabs>
                <w:tab w:val="clear" w:pos="567"/>
              </w:tabs>
              <w:kinsoku w:val="0"/>
              <w:overflowPunct w:val="0"/>
              <w:autoSpaceDE w:val="0"/>
              <w:autoSpaceDN w:val="0"/>
              <w:adjustRightInd w:val="0"/>
              <w:spacing w:line="240" w:lineRule="auto"/>
              <w:ind w:left="102"/>
              <w:jc w:val="center"/>
            </w:pPr>
            <w:r>
              <w:t>24%***</w:t>
            </w:r>
          </w:p>
        </w:tc>
      </w:tr>
      <w:tr w:rsidR="00C04CAD" w14:paraId="690AA52B"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539279DF" w14:textId="77777777" w:rsidR="00C04CAD" w:rsidRDefault="00060E34">
            <w:pPr>
              <w:tabs>
                <w:tab w:val="clear" w:pos="567"/>
              </w:tabs>
              <w:kinsoku w:val="0"/>
              <w:overflowPunct w:val="0"/>
              <w:autoSpaceDE w:val="0"/>
              <w:autoSpaceDN w:val="0"/>
              <w:adjustRightInd w:val="0"/>
              <w:spacing w:line="240" w:lineRule="auto"/>
              <w:ind w:left="102"/>
            </w:pPr>
            <w:r>
              <w:lastRenderedPageBreak/>
              <w:t>hs</w:t>
            </w:r>
            <w:r>
              <w:rPr>
                <w:spacing w:val="-4"/>
              </w:rPr>
              <w:t>-</w:t>
            </w:r>
            <w:r>
              <w:rPr>
                <w:spacing w:val="-2"/>
              </w:rPr>
              <w:t>PCR</w:t>
            </w:r>
            <w:r>
              <w:rPr>
                <w:spacing w:val="-2"/>
                <w:vertAlign w:val="superscript"/>
              </w:rPr>
              <w:t>d,f,g</w:t>
            </w:r>
          </w:p>
        </w:tc>
        <w:tc>
          <w:tcPr>
            <w:tcW w:w="1270" w:type="pct"/>
            <w:tcBorders>
              <w:top w:val="single" w:sz="4" w:space="0" w:color="000000"/>
              <w:left w:val="single" w:sz="4" w:space="0" w:color="000000"/>
              <w:bottom w:val="single" w:sz="4" w:space="0" w:color="000000"/>
              <w:right w:val="single" w:sz="4" w:space="0" w:color="000000"/>
            </w:tcBorders>
          </w:tcPr>
          <w:p w14:paraId="355A48D6"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0,3</w:t>
            </w:r>
          </w:p>
        </w:tc>
        <w:tc>
          <w:tcPr>
            <w:tcW w:w="1894" w:type="pct"/>
            <w:tcBorders>
              <w:top w:val="single" w:sz="4" w:space="0" w:color="000000"/>
              <w:left w:val="single" w:sz="4" w:space="0" w:color="000000"/>
              <w:bottom w:val="single" w:sz="4" w:space="0" w:color="000000"/>
              <w:right w:val="single" w:sz="4" w:space="0" w:color="000000"/>
            </w:tcBorders>
          </w:tcPr>
          <w:p w14:paraId="63A91800"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4,7***</w:t>
            </w:r>
          </w:p>
        </w:tc>
      </w:tr>
      <w:tr w:rsidR="00C04CAD" w14:paraId="1F1BED6E" w14:textId="77777777">
        <w:trPr>
          <w:trHeight w:hRule="exact" w:val="516"/>
        </w:trPr>
        <w:tc>
          <w:tcPr>
            <w:tcW w:w="1836" w:type="pct"/>
            <w:tcBorders>
              <w:top w:val="single" w:sz="4" w:space="0" w:color="000000"/>
              <w:left w:val="single" w:sz="4" w:space="0" w:color="000000"/>
              <w:bottom w:val="single" w:sz="4" w:space="0" w:color="000000"/>
              <w:right w:val="single" w:sz="4" w:space="0" w:color="000000"/>
            </w:tcBorders>
          </w:tcPr>
          <w:p w14:paraId="586F5569" w14:textId="77777777" w:rsidR="00C04CAD" w:rsidRDefault="00060E34">
            <w:pPr>
              <w:tabs>
                <w:tab w:val="clear" w:pos="567"/>
              </w:tabs>
              <w:kinsoku w:val="0"/>
              <w:overflowPunct w:val="0"/>
              <w:autoSpaceDE w:val="0"/>
              <w:autoSpaceDN w:val="0"/>
              <w:adjustRightInd w:val="0"/>
              <w:spacing w:line="240" w:lineRule="auto"/>
              <w:ind w:left="102" w:right="983"/>
            </w:pPr>
            <w:r>
              <w:rPr>
                <w:spacing w:val="-1"/>
              </w:rPr>
              <w:t>SPARC</w:t>
            </w:r>
            <w:r>
              <w:rPr>
                <w:spacing w:val="1"/>
              </w:rPr>
              <w:t>C</w:t>
            </w:r>
            <w:r>
              <w:rPr>
                <w:spacing w:val="-2"/>
                <w:vertAlign w:val="superscript"/>
              </w:rPr>
              <w:t>h</w:t>
            </w:r>
            <w:r>
              <w:rPr>
                <w:spacing w:val="-2"/>
              </w:rPr>
              <w:t xml:space="preserve"> </w:t>
            </w:r>
            <w:r>
              <w:rPr>
                <w:spacing w:val="-1"/>
              </w:rPr>
              <w:t>R</w:t>
            </w:r>
            <w:r>
              <w:t>MN</w:t>
            </w:r>
            <w:r>
              <w:rPr>
                <w:spacing w:val="-1"/>
              </w:rPr>
              <w:t xml:space="preserve"> A</w:t>
            </w:r>
            <w:r>
              <w:t>r</w:t>
            </w:r>
            <w:r>
              <w:rPr>
                <w:spacing w:val="1"/>
              </w:rPr>
              <w:t>ti</w:t>
            </w:r>
            <w:r>
              <w:t>c</w:t>
            </w:r>
            <w:r>
              <w:rPr>
                <w:spacing w:val="-3"/>
              </w:rPr>
              <w:t>u</w:t>
            </w:r>
            <w:r>
              <w:rPr>
                <w:spacing w:val="1"/>
              </w:rPr>
              <w:t>l</w:t>
            </w:r>
            <w:r>
              <w:rPr>
                <w:spacing w:val="-3"/>
              </w:rPr>
              <w:t>a</w:t>
            </w:r>
            <w:r>
              <w:rPr>
                <w:spacing w:val="1"/>
              </w:rPr>
              <w:t>ţ</w:t>
            </w:r>
            <w:r>
              <w:rPr>
                <w:spacing w:val="-2"/>
              </w:rPr>
              <w:t>i</w:t>
            </w:r>
            <w:r>
              <w:t xml:space="preserve">i </w:t>
            </w:r>
            <w:r>
              <w:rPr>
                <w:spacing w:val="-2"/>
              </w:rPr>
              <w:t>sacroiliace</w:t>
            </w:r>
            <w:r>
              <w:rPr>
                <w:spacing w:val="-2"/>
                <w:vertAlign w:val="superscript"/>
              </w:rPr>
              <w:t>d,i</w:t>
            </w:r>
          </w:p>
        </w:tc>
        <w:tc>
          <w:tcPr>
            <w:tcW w:w="1270" w:type="pct"/>
            <w:tcBorders>
              <w:top w:val="single" w:sz="4" w:space="0" w:color="000000"/>
              <w:left w:val="single" w:sz="4" w:space="0" w:color="000000"/>
              <w:bottom w:val="single" w:sz="4" w:space="0" w:color="000000"/>
              <w:right w:val="single" w:sz="4" w:space="0" w:color="000000"/>
            </w:tcBorders>
          </w:tcPr>
          <w:p w14:paraId="422C8179"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0,6</w:t>
            </w:r>
          </w:p>
        </w:tc>
        <w:tc>
          <w:tcPr>
            <w:tcW w:w="1894" w:type="pct"/>
            <w:tcBorders>
              <w:top w:val="single" w:sz="4" w:space="0" w:color="000000"/>
              <w:left w:val="single" w:sz="4" w:space="0" w:color="000000"/>
              <w:bottom w:val="single" w:sz="4" w:space="0" w:color="000000"/>
              <w:right w:val="single" w:sz="4" w:space="0" w:color="000000"/>
            </w:tcBorders>
          </w:tcPr>
          <w:p w14:paraId="406FE11D"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3,2**</w:t>
            </w:r>
          </w:p>
        </w:tc>
      </w:tr>
      <w:tr w:rsidR="00C04CAD" w14:paraId="331C7C7B"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0D704AEA" w14:textId="77777777" w:rsidR="00C04CAD" w:rsidRDefault="00060E34">
            <w:pPr>
              <w:tabs>
                <w:tab w:val="clear" w:pos="567"/>
              </w:tabs>
              <w:kinsoku w:val="0"/>
              <w:overflowPunct w:val="0"/>
              <w:autoSpaceDE w:val="0"/>
              <w:autoSpaceDN w:val="0"/>
              <w:adjustRightInd w:val="0"/>
              <w:spacing w:line="240" w:lineRule="auto"/>
              <w:ind w:left="102"/>
            </w:pPr>
            <w:r>
              <w:rPr>
                <w:spacing w:val="-1"/>
              </w:rPr>
              <w:t>SPARC</w:t>
            </w:r>
            <w:r>
              <w:t>C</w:t>
            </w:r>
            <w:r>
              <w:rPr>
                <w:spacing w:val="-2"/>
              </w:rPr>
              <w:t xml:space="preserve"> </w:t>
            </w:r>
            <w:r>
              <w:rPr>
                <w:spacing w:val="-1"/>
              </w:rPr>
              <w:t>R</w:t>
            </w:r>
            <w:r>
              <w:t>MN</w:t>
            </w:r>
            <w:r>
              <w:rPr>
                <w:spacing w:val="-1"/>
              </w:rPr>
              <w:t xml:space="preserve"> C</w:t>
            </w:r>
            <w:r>
              <w:t>o</w:t>
            </w:r>
            <w:r>
              <w:rPr>
                <w:spacing w:val="1"/>
              </w:rPr>
              <w:t>l</w:t>
            </w:r>
            <w:r>
              <w:t>oană</w:t>
            </w:r>
            <w:r>
              <w:rPr>
                <w:spacing w:val="-1"/>
              </w:rPr>
              <w:t xml:space="preserve"> </w:t>
            </w:r>
            <w:r>
              <w:rPr>
                <w:spacing w:val="-2"/>
              </w:rPr>
              <w:t>vertebrală</w:t>
            </w:r>
            <w:r>
              <w:rPr>
                <w:spacing w:val="-2"/>
                <w:vertAlign w:val="superscript"/>
              </w:rPr>
              <w:t>d,j</w:t>
            </w:r>
          </w:p>
        </w:tc>
        <w:tc>
          <w:tcPr>
            <w:tcW w:w="1270" w:type="pct"/>
            <w:tcBorders>
              <w:top w:val="single" w:sz="4" w:space="0" w:color="000000"/>
              <w:left w:val="single" w:sz="4" w:space="0" w:color="000000"/>
              <w:bottom w:val="single" w:sz="4" w:space="0" w:color="000000"/>
              <w:right w:val="single" w:sz="4" w:space="0" w:color="000000"/>
            </w:tcBorders>
          </w:tcPr>
          <w:p w14:paraId="27F69E18"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0,2</w:t>
            </w:r>
          </w:p>
        </w:tc>
        <w:tc>
          <w:tcPr>
            <w:tcW w:w="1894" w:type="pct"/>
            <w:tcBorders>
              <w:top w:val="single" w:sz="4" w:space="0" w:color="000000"/>
              <w:left w:val="single" w:sz="4" w:space="0" w:color="000000"/>
              <w:bottom w:val="single" w:sz="4" w:space="0" w:color="000000"/>
              <w:right w:val="single" w:sz="4" w:space="0" w:color="000000"/>
            </w:tcBorders>
          </w:tcPr>
          <w:p w14:paraId="3B1BC334" w14:textId="77777777" w:rsidR="00C04CAD" w:rsidRDefault="00060E34">
            <w:pPr>
              <w:tabs>
                <w:tab w:val="clear" w:pos="567"/>
              </w:tabs>
              <w:kinsoku w:val="0"/>
              <w:overflowPunct w:val="0"/>
              <w:autoSpaceDE w:val="0"/>
              <w:autoSpaceDN w:val="0"/>
              <w:adjustRightInd w:val="0"/>
              <w:spacing w:line="240" w:lineRule="auto"/>
              <w:ind w:left="102"/>
              <w:jc w:val="center"/>
            </w:pPr>
            <w:r>
              <w:rPr>
                <w:spacing w:val="-4"/>
              </w:rPr>
              <w:t>-</w:t>
            </w:r>
            <w:r>
              <w:t>1,8**</w:t>
            </w:r>
          </w:p>
        </w:tc>
      </w:tr>
    </w:tbl>
    <w:p w14:paraId="66E0454F"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w:t>
      </w:r>
      <w:r>
        <w:rPr>
          <w:spacing w:val="-1"/>
          <w:sz w:val="20"/>
        </w:rPr>
        <w:t>E</w:t>
      </w:r>
      <w:r>
        <w:rPr>
          <w:spacing w:val="-3"/>
          <w:sz w:val="20"/>
        </w:rPr>
        <w:t>v</w:t>
      </w:r>
      <w:r>
        <w:rPr>
          <w:sz w:val="20"/>
        </w:rPr>
        <w:t>a</w:t>
      </w:r>
      <w:r>
        <w:rPr>
          <w:spacing w:val="1"/>
          <w:sz w:val="20"/>
        </w:rPr>
        <w:t>l</w:t>
      </w:r>
      <w:r>
        <w:rPr>
          <w:sz w:val="20"/>
        </w:rPr>
        <w:t>uăre</w:t>
      </w:r>
      <w:r>
        <w:rPr>
          <w:spacing w:val="-2"/>
          <w:sz w:val="20"/>
        </w:rPr>
        <w:t xml:space="preserve"> </w:t>
      </w:r>
      <w:r>
        <w:rPr>
          <w:sz w:val="20"/>
        </w:rPr>
        <w:t>co</w:t>
      </w:r>
      <w:r>
        <w:rPr>
          <w:spacing w:val="-3"/>
          <w:sz w:val="20"/>
        </w:rPr>
        <w:t>n</w:t>
      </w:r>
      <w:r>
        <w:rPr>
          <w:sz w:val="20"/>
        </w:rPr>
        <w:t>form</w:t>
      </w:r>
      <w:r>
        <w:rPr>
          <w:spacing w:val="-4"/>
          <w:sz w:val="20"/>
        </w:rPr>
        <w:t xml:space="preserve"> </w:t>
      </w:r>
      <w:r>
        <w:rPr>
          <w:spacing w:val="-1"/>
          <w:sz w:val="20"/>
        </w:rPr>
        <w:t>S</w:t>
      </w:r>
      <w:r>
        <w:rPr>
          <w:sz w:val="20"/>
        </w:rPr>
        <w:t>oc</w:t>
      </w:r>
      <w:r>
        <w:rPr>
          <w:spacing w:val="1"/>
          <w:sz w:val="20"/>
        </w:rPr>
        <w:t>i</w:t>
      </w:r>
      <w:r>
        <w:rPr>
          <w:spacing w:val="-3"/>
          <w:sz w:val="20"/>
        </w:rPr>
        <w:t>e</w:t>
      </w:r>
      <w:r>
        <w:rPr>
          <w:spacing w:val="1"/>
          <w:sz w:val="20"/>
        </w:rPr>
        <w:t>t</w:t>
      </w:r>
      <w:r>
        <w:rPr>
          <w:spacing w:val="-3"/>
          <w:sz w:val="20"/>
        </w:rPr>
        <w:t>ă</w:t>
      </w:r>
      <w:r>
        <w:rPr>
          <w:spacing w:val="1"/>
          <w:sz w:val="20"/>
        </w:rPr>
        <w:t>ţ</w:t>
      </w:r>
      <w:r>
        <w:rPr>
          <w:spacing w:val="-2"/>
          <w:sz w:val="20"/>
        </w:rPr>
        <w:t>i</w:t>
      </w:r>
      <w:r>
        <w:rPr>
          <w:sz w:val="20"/>
        </w:rPr>
        <w:t>i</w:t>
      </w:r>
      <w:r>
        <w:rPr>
          <w:spacing w:val="1"/>
          <w:sz w:val="20"/>
        </w:rPr>
        <w:t xml:space="preserve"> </w:t>
      </w:r>
      <w:r>
        <w:rPr>
          <w:spacing w:val="-4"/>
          <w:sz w:val="20"/>
        </w:rPr>
        <w:t>i</w:t>
      </w:r>
      <w:r>
        <w:rPr>
          <w:sz w:val="20"/>
        </w:rPr>
        <w:t>n</w:t>
      </w:r>
      <w:r>
        <w:rPr>
          <w:spacing w:val="1"/>
          <w:sz w:val="20"/>
        </w:rPr>
        <w:t>t</w:t>
      </w:r>
      <w:r>
        <w:rPr>
          <w:sz w:val="20"/>
        </w:rPr>
        <w:t>ern</w:t>
      </w:r>
      <w:r>
        <w:rPr>
          <w:spacing w:val="-3"/>
          <w:sz w:val="20"/>
        </w:rPr>
        <w:t>a</w:t>
      </w:r>
      <w:r>
        <w:rPr>
          <w:spacing w:val="1"/>
          <w:sz w:val="20"/>
        </w:rPr>
        <w:t>ţi</w:t>
      </w:r>
      <w:r>
        <w:rPr>
          <w:sz w:val="20"/>
        </w:rPr>
        <w:t>o</w:t>
      </w:r>
      <w:r>
        <w:rPr>
          <w:spacing w:val="-3"/>
          <w:sz w:val="20"/>
        </w:rPr>
        <w:t>n</w:t>
      </w:r>
      <w:r>
        <w:rPr>
          <w:sz w:val="20"/>
        </w:rPr>
        <w:t>a</w:t>
      </w:r>
      <w:r>
        <w:rPr>
          <w:spacing w:val="-2"/>
          <w:sz w:val="20"/>
        </w:rPr>
        <w:t>l</w:t>
      </w:r>
      <w:r>
        <w:rPr>
          <w:sz w:val="20"/>
        </w:rPr>
        <w:t xml:space="preserve">e de </w:t>
      </w:r>
      <w:r>
        <w:rPr>
          <w:spacing w:val="-1"/>
          <w:sz w:val="20"/>
        </w:rPr>
        <w:t>S</w:t>
      </w:r>
      <w:r>
        <w:rPr>
          <w:spacing w:val="-3"/>
          <w:sz w:val="20"/>
        </w:rPr>
        <w:t>p</w:t>
      </w:r>
      <w:r>
        <w:rPr>
          <w:sz w:val="20"/>
        </w:rPr>
        <w:t>ond</w:t>
      </w:r>
      <w:r>
        <w:rPr>
          <w:spacing w:val="-2"/>
          <w:sz w:val="20"/>
        </w:rPr>
        <w:t>i</w:t>
      </w:r>
      <w:r>
        <w:rPr>
          <w:spacing w:val="1"/>
          <w:sz w:val="20"/>
        </w:rPr>
        <w:t>l</w:t>
      </w:r>
      <w:r>
        <w:rPr>
          <w:sz w:val="20"/>
        </w:rPr>
        <w:t>oA</w:t>
      </w:r>
      <w:r>
        <w:rPr>
          <w:spacing w:val="-2"/>
          <w:sz w:val="20"/>
        </w:rPr>
        <w:t>r</w:t>
      </w:r>
      <w:r>
        <w:rPr>
          <w:spacing w:val="1"/>
          <w:sz w:val="20"/>
        </w:rPr>
        <w:t>t</w:t>
      </w:r>
      <w:r>
        <w:rPr>
          <w:spacing w:val="-2"/>
          <w:sz w:val="20"/>
        </w:rPr>
        <w:t>ri</w:t>
      </w:r>
      <w:r>
        <w:rPr>
          <w:spacing w:val="1"/>
          <w:sz w:val="20"/>
        </w:rPr>
        <w:t>t</w:t>
      </w:r>
      <w:r>
        <w:rPr>
          <w:sz w:val="20"/>
        </w:rPr>
        <w:t>ă</w:t>
      </w:r>
    </w:p>
    <w:p w14:paraId="44CFE49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w:t>
      </w:r>
      <w:r>
        <w:rPr>
          <w:spacing w:val="-4"/>
          <w:sz w:val="20"/>
        </w:rPr>
        <w:t>I</w:t>
      </w:r>
      <w:r>
        <w:rPr>
          <w:sz w:val="20"/>
        </w:rPr>
        <w:t xml:space="preserve">ndex </w:t>
      </w:r>
      <w:r>
        <w:rPr>
          <w:spacing w:val="-1"/>
          <w:sz w:val="20"/>
        </w:rPr>
        <w:t>B</w:t>
      </w:r>
      <w:r>
        <w:rPr>
          <w:sz w:val="20"/>
        </w:rPr>
        <w:t>a</w:t>
      </w:r>
      <w:r>
        <w:rPr>
          <w:spacing w:val="1"/>
          <w:sz w:val="20"/>
        </w:rPr>
        <w:t>t</w:t>
      </w:r>
      <w:r>
        <w:rPr>
          <w:sz w:val="20"/>
        </w:rPr>
        <w:t xml:space="preserve">h </w:t>
      </w:r>
      <w:r>
        <w:rPr>
          <w:spacing w:val="-3"/>
          <w:sz w:val="20"/>
        </w:rPr>
        <w:t>d</w:t>
      </w:r>
      <w:r>
        <w:rPr>
          <w:sz w:val="20"/>
        </w:rPr>
        <w:t>e a</w:t>
      </w:r>
      <w:r>
        <w:rPr>
          <w:spacing w:val="-3"/>
          <w:sz w:val="20"/>
        </w:rPr>
        <w:t>c</w:t>
      </w:r>
      <w:r>
        <w:rPr>
          <w:spacing w:val="1"/>
          <w:sz w:val="20"/>
        </w:rPr>
        <w:t>ti</w:t>
      </w:r>
      <w:r>
        <w:rPr>
          <w:spacing w:val="-3"/>
          <w:sz w:val="20"/>
        </w:rPr>
        <w:t>v</w:t>
      </w:r>
      <w:r>
        <w:rPr>
          <w:spacing w:val="-2"/>
          <w:sz w:val="20"/>
        </w:rPr>
        <w:t>i</w:t>
      </w:r>
      <w:r>
        <w:rPr>
          <w:spacing w:val="1"/>
          <w:sz w:val="20"/>
        </w:rPr>
        <w:t>t</w:t>
      </w:r>
      <w:r>
        <w:rPr>
          <w:spacing w:val="-3"/>
          <w:sz w:val="20"/>
        </w:rPr>
        <w:t>a</w:t>
      </w:r>
      <w:r>
        <w:rPr>
          <w:spacing w:val="1"/>
          <w:sz w:val="20"/>
        </w:rPr>
        <w:t>t</w:t>
      </w:r>
      <w:r>
        <w:rPr>
          <w:sz w:val="20"/>
        </w:rPr>
        <w:t>e a</w:t>
      </w:r>
      <w:r>
        <w:rPr>
          <w:spacing w:val="-2"/>
          <w:sz w:val="20"/>
        </w:rPr>
        <w:t xml:space="preserve"> </w:t>
      </w:r>
      <w:r>
        <w:rPr>
          <w:sz w:val="20"/>
        </w:rPr>
        <w:t>spon</w:t>
      </w:r>
      <w:r>
        <w:rPr>
          <w:spacing w:val="-3"/>
          <w:sz w:val="20"/>
        </w:rPr>
        <w:t>d</w:t>
      </w:r>
      <w:r>
        <w:rPr>
          <w:spacing w:val="1"/>
          <w:sz w:val="20"/>
        </w:rPr>
        <w:t>i</w:t>
      </w:r>
      <w:r>
        <w:rPr>
          <w:spacing w:val="-2"/>
          <w:sz w:val="20"/>
        </w:rPr>
        <w:t>l</w:t>
      </w:r>
      <w:r>
        <w:rPr>
          <w:spacing w:val="1"/>
          <w:sz w:val="20"/>
        </w:rPr>
        <w:t>it</w:t>
      </w:r>
      <w:r>
        <w:rPr>
          <w:spacing w:val="-3"/>
          <w:sz w:val="20"/>
        </w:rPr>
        <w:t>e</w:t>
      </w:r>
      <w:r>
        <w:rPr>
          <w:sz w:val="20"/>
        </w:rPr>
        <w:t>i</w:t>
      </w:r>
      <w:r>
        <w:rPr>
          <w:spacing w:val="1"/>
          <w:sz w:val="20"/>
        </w:rPr>
        <w:t xml:space="preserve"> </w:t>
      </w:r>
      <w:r>
        <w:rPr>
          <w:sz w:val="20"/>
        </w:rPr>
        <w:t>a</w:t>
      </w:r>
      <w:r>
        <w:rPr>
          <w:spacing w:val="-3"/>
          <w:sz w:val="20"/>
        </w:rPr>
        <w:t>n</w:t>
      </w:r>
      <w:r>
        <w:rPr>
          <w:sz w:val="20"/>
        </w:rPr>
        <w:t>ch</w:t>
      </w:r>
      <w:r>
        <w:rPr>
          <w:spacing w:val="-2"/>
          <w:sz w:val="20"/>
        </w:rPr>
        <w:t>i</w:t>
      </w:r>
      <w:r>
        <w:rPr>
          <w:spacing w:val="1"/>
          <w:sz w:val="20"/>
        </w:rPr>
        <w:t>l</w:t>
      </w:r>
      <w:r>
        <w:rPr>
          <w:sz w:val="20"/>
        </w:rPr>
        <w:t>o</w:t>
      </w:r>
      <w:r>
        <w:rPr>
          <w:spacing w:val="-3"/>
          <w:sz w:val="20"/>
        </w:rPr>
        <w:t>z</w:t>
      </w:r>
      <w:r>
        <w:rPr>
          <w:sz w:val="20"/>
        </w:rPr>
        <w:t>a</w:t>
      </w:r>
      <w:r>
        <w:rPr>
          <w:spacing w:val="-3"/>
          <w:sz w:val="20"/>
        </w:rPr>
        <w:t>n</w:t>
      </w:r>
      <w:r>
        <w:rPr>
          <w:spacing w:val="1"/>
          <w:sz w:val="20"/>
        </w:rPr>
        <w:t>te</w:t>
      </w:r>
    </w:p>
    <w:p w14:paraId="7681E047"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c</w:t>
      </w:r>
      <w:r>
        <w:rPr>
          <w:sz w:val="20"/>
        </w:rPr>
        <w:t xml:space="preserve"> </w:t>
      </w:r>
      <w:r>
        <w:rPr>
          <w:spacing w:val="-1"/>
          <w:sz w:val="20"/>
        </w:rPr>
        <w:t>S</w:t>
      </w:r>
      <w:r>
        <w:rPr>
          <w:sz w:val="20"/>
        </w:rPr>
        <w:t>cor</w:t>
      </w:r>
      <w:r>
        <w:rPr>
          <w:spacing w:val="1"/>
          <w:sz w:val="20"/>
        </w:rPr>
        <w:t xml:space="preserve"> </w:t>
      </w:r>
      <w:r>
        <w:rPr>
          <w:spacing w:val="-3"/>
          <w:sz w:val="20"/>
        </w:rPr>
        <w:t>d</w:t>
      </w:r>
      <w:r>
        <w:rPr>
          <w:sz w:val="20"/>
        </w:rPr>
        <w:t>e a</w:t>
      </w:r>
      <w:r>
        <w:rPr>
          <w:spacing w:val="-3"/>
          <w:sz w:val="20"/>
        </w:rPr>
        <w:t>c</w:t>
      </w:r>
      <w:r>
        <w:rPr>
          <w:spacing w:val="1"/>
          <w:sz w:val="20"/>
        </w:rPr>
        <w:t>ti</w:t>
      </w:r>
      <w:r>
        <w:rPr>
          <w:spacing w:val="-3"/>
          <w:sz w:val="20"/>
        </w:rPr>
        <w:t>v</w:t>
      </w:r>
      <w:r>
        <w:rPr>
          <w:spacing w:val="-2"/>
          <w:sz w:val="20"/>
        </w:rPr>
        <w:t>i</w:t>
      </w:r>
      <w:r>
        <w:rPr>
          <w:spacing w:val="1"/>
          <w:sz w:val="20"/>
        </w:rPr>
        <w:t>t</w:t>
      </w:r>
      <w:r>
        <w:rPr>
          <w:spacing w:val="-3"/>
          <w:sz w:val="20"/>
        </w:rPr>
        <w:t>a</w:t>
      </w:r>
      <w:r>
        <w:rPr>
          <w:spacing w:val="1"/>
          <w:sz w:val="20"/>
        </w:rPr>
        <w:t>t</w:t>
      </w:r>
      <w:r>
        <w:rPr>
          <w:sz w:val="20"/>
        </w:rPr>
        <w:t>e a</w:t>
      </w:r>
      <w:r>
        <w:rPr>
          <w:spacing w:val="-2"/>
          <w:sz w:val="20"/>
        </w:rPr>
        <w:t xml:space="preserve"> </w:t>
      </w:r>
      <w:r>
        <w:rPr>
          <w:sz w:val="20"/>
        </w:rPr>
        <w:t>spon</w:t>
      </w:r>
      <w:r>
        <w:rPr>
          <w:spacing w:val="-3"/>
          <w:sz w:val="20"/>
        </w:rPr>
        <w:t>d</w:t>
      </w:r>
      <w:r>
        <w:rPr>
          <w:spacing w:val="-2"/>
          <w:sz w:val="20"/>
        </w:rPr>
        <w:t>i</w:t>
      </w:r>
      <w:r>
        <w:rPr>
          <w:spacing w:val="1"/>
          <w:sz w:val="20"/>
        </w:rPr>
        <w:t>l</w:t>
      </w:r>
      <w:r>
        <w:rPr>
          <w:spacing w:val="-2"/>
          <w:sz w:val="20"/>
        </w:rPr>
        <w:t>i</w:t>
      </w:r>
      <w:r>
        <w:rPr>
          <w:spacing w:val="1"/>
          <w:sz w:val="20"/>
        </w:rPr>
        <w:t>t</w:t>
      </w:r>
      <w:r>
        <w:rPr>
          <w:sz w:val="20"/>
        </w:rPr>
        <w:t>ei</w:t>
      </w:r>
      <w:r>
        <w:rPr>
          <w:spacing w:val="-2"/>
          <w:sz w:val="20"/>
        </w:rPr>
        <w:t xml:space="preserve"> </w:t>
      </w:r>
      <w:r>
        <w:rPr>
          <w:sz w:val="20"/>
        </w:rPr>
        <w:t>anc</w:t>
      </w:r>
      <w:r>
        <w:rPr>
          <w:spacing w:val="-3"/>
          <w:sz w:val="20"/>
        </w:rPr>
        <w:t>h</w:t>
      </w:r>
      <w:r>
        <w:rPr>
          <w:spacing w:val="-2"/>
          <w:sz w:val="20"/>
        </w:rPr>
        <w:t>i</w:t>
      </w:r>
      <w:r>
        <w:rPr>
          <w:spacing w:val="1"/>
          <w:sz w:val="20"/>
        </w:rPr>
        <w:t>l</w:t>
      </w:r>
      <w:r>
        <w:rPr>
          <w:sz w:val="20"/>
        </w:rPr>
        <w:t>o</w:t>
      </w:r>
      <w:r>
        <w:rPr>
          <w:spacing w:val="-3"/>
          <w:sz w:val="20"/>
        </w:rPr>
        <w:t>z</w:t>
      </w:r>
      <w:r>
        <w:rPr>
          <w:sz w:val="20"/>
        </w:rPr>
        <w:t>an</w:t>
      </w:r>
      <w:r>
        <w:rPr>
          <w:spacing w:val="1"/>
          <w:sz w:val="20"/>
        </w:rPr>
        <w:t>t</w:t>
      </w:r>
      <w:r>
        <w:rPr>
          <w:sz w:val="20"/>
        </w:rPr>
        <w:t>e</w:t>
      </w:r>
    </w:p>
    <w:p w14:paraId="6F85F90E"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d</w:t>
      </w:r>
      <w:r>
        <w:rPr>
          <w:sz w:val="20"/>
        </w:rPr>
        <w:t xml:space="preserve"> </w:t>
      </w:r>
      <w:r>
        <w:rPr>
          <w:spacing w:val="-4"/>
          <w:sz w:val="20"/>
        </w:rPr>
        <w:t>m</w:t>
      </w:r>
      <w:r>
        <w:rPr>
          <w:sz w:val="20"/>
        </w:rPr>
        <w:t>od</w:t>
      </w:r>
      <w:r>
        <w:rPr>
          <w:spacing w:val="1"/>
          <w:sz w:val="20"/>
        </w:rPr>
        <w:t>i</w:t>
      </w:r>
      <w:r>
        <w:rPr>
          <w:sz w:val="20"/>
        </w:rPr>
        <w:t>f</w:t>
      </w:r>
      <w:r>
        <w:rPr>
          <w:spacing w:val="1"/>
          <w:sz w:val="20"/>
        </w:rPr>
        <w:t>i</w:t>
      </w:r>
      <w:r>
        <w:rPr>
          <w:sz w:val="20"/>
        </w:rPr>
        <w:t>c</w:t>
      </w:r>
      <w:r>
        <w:rPr>
          <w:spacing w:val="-3"/>
          <w:sz w:val="20"/>
        </w:rPr>
        <w:t>a</w:t>
      </w:r>
      <w:r>
        <w:rPr>
          <w:sz w:val="20"/>
        </w:rPr>
        <w:t xml:space="preserve">re </w:t>
      </w:r>
      <w:r>
        <w:rPr>
          <w:spacing w:val="-4"/>
          <w:sz w:val="20"/>
        </w:rPr>
        <w:t>m</w:t>
      </w:r>
      <w:r>
        <w:rPr>
          <w:sz w:val="20"/>
        </w:rPr>
        <w:t>ed</w:t>
      </w:r>
      <w:r>
        <w:rPr>
          <w:spacing w:val="1"/>
          <w:sz w:val="20"/>
        </w:rPr>
        <w:t>i</w:t>
      </w:r>
      <w:r>
        <w:rPr>
          <w:sz w:val="20"/>
        </w:rPr>
        <w:t>e</w:t>
      </w:r>
      <w:r>
        <w:rPr>
          <w:spacing w:val="-2"/>
          <w:sz w:val="20"/>
        </w:rPr>
        <w:t xml:space="preserve"> </w:t>
      </w:r>
      <w:r>
        <w:rPr>
          <w:sz w:val="20"/>
        </w:rPr>
        <w:t>fa</w:t>
      </w:r>
      <w:r>
        <w:rPr>
          <w:spacing w:val="-2"/>
          <w:sz w:val="20"/>
        </w:rPr>
        <w:t>ţ</w:t>
      </w:r>
      <w:r>
        <w:rPr>
          <w:sz w:val="20"/>
        </w:rPr>
        <w:t>ă de</w:t>
      </w:r>
      <w:r>
        <w:rPr>
          <w:spacing w:val="-2"/>
          <w:sz w:val="20"/>
        </w:rPr>
        <w:t xml:space="preserve"> </w:t>
      </w:r>
      <w:r>
        <w:rPr>
          <w:spacing w:val="-3"/>
          <w:sz w:val="20"/>
        </w:rPr>
        <w:t>v</w:t>
      </w:r>
      <w:r>
        <w:rPr>
          <w:sz w:val="20"/>
        </w:rPr>
        <w:t>a</w:t>
      </w:r>
      <w:r>
        <w:rPr>
          <w:spacing w:val="1"/>
          <w:sz w:val="20"/>
        </w:rPr>
        <w:t>l</w:t>
      </w:r>
      <w:r>
        <w:rPr>
          <w:sz w:val="20"/>
        </w:rPr>
        <w:t>oar</w:t>
      </w:r>
      <w:r>
        <w:rPr>
          <w:spacing w:val="-3"/>
          <w:sz w:val="20"/>
        </w:rPr>
        <w:t>e</w:t>
      </w:r>
      <w:r>
        <w:rPr>
          <w:sz w:val="20"/>
        </w:rPr>
        <w:t xml:space="preserve">a </w:t>
      </w:r>
      <w:r>
        <w:rPr>
          <w:spacing w:val="1"/>
          <w:sz w:val="20"/>
        </w:rPr>
        <w:t>i</w:t>
      </w:r>
      <w:r>
        <w:rPr>
          <w:spacing w:val="-3"/>
          <w:sz w:val="20"/>
        </w:rPr>
        <w:t>n</w:t>
      </w:r>
      <w:r>
        <w:rPr>
          <w:spacing w:val="1"/>
          <w:sz w:val="20"/>
        </w:rPr>
        <w:t>i</w:t>
      </w:r>
      <w:r>
        <w:rPr>
          <w:spacing w:val="-2"/>
          <w:sz w:val="20"/>
        </w:rPr>
        <w:t>ţ</w:t>
      </w:r>
      <w:r>
        <w:rPr>
          <w:spacing w:val="1"/>
          <w:sz w:val="20"/>
        </w:rPr>
        <w:t>i</w:t>
      </w:r>
      <w:r>
        <w:rPr>
          <w:spacing w:val="-3"/>
          <w:sz w:val="20"/>
        </w:rPr>
        <w:t>a</w:t>
      </w:r>
      <w:r>
        <w:rPr>
          <w:spacing w:val="1"/>
          <w:sz w:val="20"/>
        </w:rPr>
        <w:t>l</w:t>
      </w:r>
      <w:r>
        <w:rPr>
          <w:sz w:val="20"/>
        </w:rPr>
        <w:t>ă</w:t>
      </w:r>
    </w:p>
    <w:p w14:paraId="01B07245"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e</w:t>
      </w:r>
      <w:r>
        <w:rPr>
          <w:sz w:val="20"/>
        </w:rPr>
        <w:t xml:space="preserve"> n=91 </w:t>
      </w:r>
      <w:r>
        <w:rPr>
          <w:spacing w:val="-3"/>
          <w:sz w:val="20"/>
        </w:rPr>
        <w:t>p</w:t>
      </w:r>
      <w:r>
        <w:rPr>
          <w:spacing w:val="1"/>
          <w:sz w:val="20"/>
        </w:rPr>
        <w:t>l</w:t>
      </w:r>
      <w:r>
        <w:rPr>
          <w:sz w:val="20"/>
        </w:rPr>
        <w:t>a</w:t>
      </w:r>
      <w:r>
        <w:rPr>
          <w:spacing w:val="-3"/>
          <w:sz w:val="20"/>
        </w:rPr>
        <w:t>c</w:t>
      </w:r>
      <w:r>
        <w:rPr>
          <w:sz w:val="20"/>
        </w:rPr>
        <w:t xml:space="preserve">ebo </w:t>
      </w:r>
      <w:r>
        <w:rPr>
          <w:spacing w:val="-2"/>
          <w:sz w:val="20"/>
        </w:rPr>
        <w:t>ş</w:t>
      </w:r>
      <w:r>
        <w:rPr>
          <w:sz w:val="20"/>
        </w:rPr>
        <w:t>i</w:t>
      </w:r>
      <w:r>
        <w:rPr>
          <w:spacing w:val="1"/>
          <w:sz w:val="20"/>
        </w:rPr>
        <w:t xml:space="preserve"> </w:t>
      </w:r>
      <w:r>
        <w:rPr>
          <w:sz w:val="20"/>
        </w:rPr>
        <w:t>n</w:t>
      </w:r>
      <w:r>
        <w:rPr>
          <w:spacing w:val="-3"/>
          <w:sz w:val="20"/>
        </w:rPr>
        <w:t>=</w:t>
      </w:r>
      <w:r>
        <w:rPr>
          <w:sz w:val="20"/>
        </w:rPr>
        <w:t xml:space="preserve">87 </w:t>
      </w:r>
      <w:r>
        <w:rPr>
          <w:rFonts w:eastAsia="MS Mincho"/>
          <w:spacing w:val="-1"/>
          <w:sz w:val="20"/>
          <w:lang w:eastAsia="en-US" w:bidi="ar-SA"/>
        </w:rPr>
        <w:t>adalimumab</w:t>
      </w:r>
    </w:p>
    <w:p w14:paraId="691C6EFF"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f</w:t>
      </w:r>
      <w:r>
        <w:rPr>
          <w:sz w:val="20"/>
        </w:rPr>
        <w:t xml:space="preserve"> </w:t>
      </w:r>
      <w:r>
        <w:rPr>
          <w:spacing w:val="-1"/>
          <w:sz w:val="20"/>
        </w:rPr>
        <w:t>P</w:t>
      </w:r>
      <w:r>
        <w:rPr>
          <w:sz w:val="20"/>
        </w:rPr>
        <w:t>ro</w:t>
      </w:r>
      <w:r>
        <w:rPr>
          <w:spacing w:val="1"/>
          <w:sz w:val="20"/>
        </w:rPr>
        <w:t>t</w:t>
      </w:r>
      <w:r>
        <w:rPr>
          <w:sz w:val="20"/>
        </w:rPr>
        <w:t>e</w:t>
      </w:r>
      <w:r>
        <w:rPr>
          <w:spacing w:val="1"/>
          <w:sz w:val="20"/>
        </w:rPr>
        <w:t>i</w:t>
      </w:r>
      <w:r>
        <w:rPr>
          <w:sz w:val="20"/>
        </w:rPr>
        <w:t xml:space="preserve">na </w:t>
      </w:r>
      <w:r>
        <w:rPr>
          <w:spacing w:val="-1"/>
          <w:sz w:val="20"/>
        </w:rPr>
        <w:t>C</w:t>
      </w:r>
      <w:r>
        <w:rPr>
          <w:spacing w:val="-4"/>
          <w:sz w:val="20"/>
        </w:rPr>
        <w:t>-</w:t>
      </w:r>
      <w:r>
        <w:rPr>
          <w:spacing w:val="-1"/>
          <w:sz w:val="20"/>
        </w:rPr>
        <w:t>R</w:t>
      </w:r>
      <w:r>
        <w:rPr>
          <w:sz w:val="20"/>
        </w:rPr>
        <w:t>eac</w:t>
      </w:r>
      <w:r>
        <w:rPr>
          <w:spacing w:val="1"/>
          <w:sz w:val="20"/>
        </w:rPr>
        <w:t>ti</w:t>
      </w:r>
      <w:r>
        <w:rPr>
          <w:spacing w:val="-3"/>
          <w:sz w:val="20"/>
        </w:rPr>
        <w:t>v</w:t>
      </w:r>
      <w:r>
        <w:rPr>
          <w:sz w:val="20"/>
        </w:rPr>
        <w:t xml:space="preserve">ă </w:t>
      </w:r>
      <w:r>
        <w:rPr>
          <w:spacing w:val="-2"/>
          <w:sz w:val="20"/>
        </w:rPr>
        <w:t>s</w:t>
      </w:r>
      <w:r>
        <w:rPr>
          <w:sz w:val="20"/>
        </w:rPr>
        <w:t>en</w:t>
      </w:r>
      <w:r>
        <w:rPr>
          <w:spacing w:val="-2"/>
          <w:sz w:val="20"/>
        </w:rPr>
        <w:t>si</w:t>
      </w:r>
      <w:r>
        <w:rPr>
          <w:sz w:val="20"/>
        </w:rPr>
        <w:t>b</w:t>
      </w:r>
      <w:r>
        <w:rPr>
          <w:spacing w:val="1"/>
          <w:sz w:val="20"/>
        </w:rPr>
        <w:t>i</w:t>
      </w:r>
      <w:r>
        <w:rPr>
          <w:spacing w:val="-2"/>
          <w:sz w:val="20"/>
        </w:rPr>
        <w:t>l</w:t>
      </w:r>
      <w:r>
        <w:rPr>
          <w:spacing w:val="1"/>
          <w:sz w:val="20"/>
        </w:rPr>
        <w:t>i</w:t>
      </w:r>
      <w:r>
        <w:rPr>
          <w:spacing w:val="-2"/>
          <w:sz w:val="20"/>
        </w:rPr>
        <w:t>t</w:t>
      </w:r>
      <w:r>
        <w:rPr>
          <w:sz w:val="20"/>
        </w:rPr>
        <w:t>a</w:t>
      </w:r>
      <w:r>
        <w:rPr>
          <w:spacing w:val="1"/>
          <w:sz w:val="20"/>
        </w:rPr>
        <w:t>t</w:t>
      </w:r>
      <w:r>
        <w:rPr>
          <w:sz w:val="20"/>
        </w:rPr>
        <w:t>e</w:t>
      </w:r>
      <w:r>
        <w:rPr>
          <w:spacing w:val="-2"/>
          <w:sz w:val="20"/>
        </w:rPr>
        <w:t xml:space="preserve"> </w:t>
      </w:r>
      <w:r>
        <w:rPr>
          <w:spacing w:val="-4"/>
          <w:sz w:val="20"/>
        </w:rPr>
        <w:t>m</w:t>
      </w:r>
      <w:r>
        <w:rPr>
          <w:sz w:val="20"/>
        </w:rPr>
        <w:t>are (</w:t>
      </w:r>
      <w:r>
        <w:rPr>
          <w:spacing w:val="-4"/>
          <w:sz w:val="20"/>
        </w:rPr>
        <w:t>m</w:t>
      </w:r>
      <w:r>
        <w:rPr>
          <w:spacing w:val="-3"/>
          <w:sz w:val="20"/>
        </w:rPr>
        <w:t>g</w:t>
      </w:r>
      <w:r>
        <w:rPr>
          <w:spacing w:val="1"/>
          <w:sz w:val="20"/>
        </w:rPr>
        <w:t>/</w:t>
      </w:r>
      <w:r>
        <w:rPr>
          <w:spacing w:val="-1"/>
          <w:sz w:val="20"/>
        </w:rPr>
        <w:t>L</w:t>
      </w:r>
      <w:r>
        <w:rPr>
          <w:sz w:val="20"/>
        </w:rPr>
        <w:t>)</w:t>
      </w:r>
    </w:p>
    <w:p w14:paraId="02DB13BF"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g</w:t>
      </w:r>
      <w:r>
        <w:rPr>
          <w:sz w:val="20"/>
        </w:rPr>
        <w:t xml:space="preserve"> n=73 p</w:t>
      </w:r>
      <w:r>
        <w:rPr>
          <w:spacing w:val="1"/>
          <w:sz w:val="20"/>
        </w:rPr>
        <w:t>l</w:t>
      </w:r>
      <w:r>
        <w:rPr>
          <w:sz w:val="20"/>
        </w:rPr>
        <w:t>ac</w:t>
      </w:r>
      <w:r>
        <w:rPr>
          <w:spacing w:val="-3"/>
          <w:sz w:val="20"/>
        </w:rPr>
        <w:t>e</w:t>
      </w:r>
      <w:r>
        <w:rPr>
          <w:sz w:val="20"/>
        </w:rPr>
        <w:t xml:space="preserve">bo </w:t>
      </w:r>
      <w:r>
        <w:rPr>
          <w:spacing w:val="-2"/>
          <w:sz w:val="20"/>
        </w:rPr>
        <w:t>ş</w:t>
      </w:r>
      <w:r>
        <w:rPr>
          <w:sz w:val="20"/>
        </w:rPr>
        <w:t>i</w:t>
      </w:r>
      <w:r>
        <w:rPr>
          <w:spacing w:val="1"/>
          <w:sz w:val="20"/>
        </w:rPr>
        <w:t xml:space="preserve"> </w:t>
      </w:r>
      <w:r>
        <w:rPr>
          <w:sz w:val="20"/>
        </w:rPr>
        <w:t>n=</w:t>
      </w:r>
      <w:r>
        <w:rPr>
          <w:spacing w:val="-3"/>
          <w:sz w:val="20"/>
        </w:rPr>
        <w:t>7</w:t>
      </w:r>
      <w:r>
        <w:rPr>
          <w:sz w:val="20"/>
        </w:rPr>
        <w:t xml:space="preserve">0 </w:t>
      </w:r>
      <w:r>
        <w:rPr>
          <w:rFonts w:eastAsia="MS Mincho"/>
          <w:spacing w:val="-1"/>
          <w:sz w:val="20"/>
          <w:lang w:eastAsia="en-US" w:bidi="ar-SA"/>
        </w:rPr>
        <w:t>adalimumab</w:t>
      </w:r>
    </w:p>
    <w:p w14:paraId="2991281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h</w:t>
      </w:r>
      <w:r>
        <w:rPr>
          <w:sz w:val="20"/>
        </w:rPr>
        <w:t xml:space="preserve"> </w:t>
      </w:r>
      <w:r>
        <w:rPr>
          <w:spacing w:val="-1"/>
          <w:sz w:val="20"/>
        </w:rPr>
        <w:t>C</w:t>
      </w:r>
      <w:r>
        <w:rPr>
          <w:sz w:val="20"/>
        </w:rPr>
        <w:t>onsor</w:t>
      </w:r>
      <w:r>
        <w:rPr>
          <w:spacing w:val="1"/>
          <w:sz w:val="20"/>
        </w:rPr>
        <w:t>ţi</w:t>
      </w:r>
      <w:r>
        <w:rPr>
          <w:spacing w:val="-3"/>
          <w:sz w:val="20"/>
        </w:rPr>
        <w:t>u</w:t>
      </w:r>
      <w:r>
        <w:rPr>
          <w:sz w:val="20"/>
        </w:rPr>
        <w:t>l</w:t>
      </w:r>
      <w:r>
        <w:rPr>
          <w:spacing w:val="1"/>
          <w:sz w:val="20"/>
        </w:rPr>
        <w:t xml:space="preserve"> </w:t>
      </w:r>
      <w:r>
        <w:rPr>
          <w:sz w:val="20"/>
        </w:rPr>
        <w:t xml:space="preserve">de </w:t>
      </w:r>
      <w:r>
        <w:rPr>
          <w:spacing w:val="-4"/>
          <w:sz w:val="20"/>
        </w:rPr>
        <w:t>C</w:t>
      </w:r>
      <w:r>
        <w:rPr>
          <w:sz w:val="20"/>
        </w:rPr>
        <w:t>er</w:t>
      </w:r>
      <w:r>
        <w:rPr>
          <w:spacing w:val="-3"/>
          <w:sz w:val="20"/>
        </w:rPr>
        <w:t>c</w:t>
      </w:r>
      <w:r>
        <w:rPr>
          <w:sz w:val="20"/>
        </w:rPr>
        <w:t>e</w:t>
      </w:r>
      <w:r>
        <w:rPr>
          <w:spacing w:val="-2"/>
          <w:sz w:val="20"/>
        </w:rPr>
        <w:t>t</w:t>
      </w:r>
      <w:r>
        <w:rPr>
          <w:sz w:val="20"/>
        </w:rPr>
        <w:t>are</w:t>
      </w:r>
      <w:r>
        <w:rPr>
          <w:spacing w:val="-3"/>
          <w:sz w:val="20"/>
        </w:rPr>
        <w:t xml:space="preserve"> p</w:t>
      </w:r>
      <w:r>
        <w:rPr>
          <w:sz w:val="20"/>
        </w:rPr>
        <w:t>en</w:t>
      </w:r>
      <w:r>
        <w:rPr>
          <w:spacing w:val="1"/>
          <w:sz w:val="20"/>
        </w:rPr>
        <w:t>t</w:t>
      </w:r>
      <w:r>
        <w:rPr>
          <w:spacing w:val="-2"/>
          <w:sz w:val="20"/>
        </w:rPr>
        <w:t>r</w:t>
      </w:r>
      <w:r>
        <w:rPr>
          <w:sz w:val="20"/>
        </w:rPr>
        <w:t xml:space="preserve">u </w:t>
      </w:r>
      <w:r>
        <w:rPr>
          <w:spacing w:val="-1"/>
          <w:sz w:val="20"/>
        </w:rPr>
        <w:t>S</w:t>
      </w:r>
      <w:r>
        <w:rPr>
          <w:sz w:val="20"/>
        </w:rPr>
        <w:t>pon</w:t>
      </w:r>
      <w:r>
        <w:rPr>
          <w:spacing w:val="-3"/>
          <w:sz w:val="20"/>
        </w:rPr>
        <w:t>d</w:t>
      </w:r>
      <w:r>
        <w:rPr>
          <w:spacing w:val="1"/>
          <w:sz w:val="20"/>
        </w:rPr>
        <w:t>i</w:t>
      </w:r>
      <w:r>
        <w:rPr>
          <w:spacing w:val="-2"/>
          <w:sz w:val="20"/>
        </w:rPr>
        <w:t>l</w:t>
      </w:r>
      <w:r>
        <w:rPr>
          <w:sz w:val="20"/>
        </w:rPr>
        <w:t>oa</w:t>
      </w:r>
      <w:r>
        <w:rPr>
          <w:spacing w:val="-2"/>
          <w:sz w:val="20"/>
        </w:rPr>
        <w:t>r</w:t>
      </w:r>
      <w:r>
        <w:rPr>
          <w:spacing w:val="1"/>
          <w:sz w:val="20"/>
        </w:rPr>
        <w:t>t</w:t>
      </w:r>
      <w:r>
        <w:rPr>
          <w:spacing w:val="-2"/>
          <w:sz w:val="20"/>
        </w:rPr>
        <w:t>r</w:t>
      </w:r>
      <w:r>
        <w:rPr>
          <w:spacing w:val="1"/>
          <w:sz w:val="20"/>
        </w:rPr>
        <w:t>i</w:t>
      </w:r>
      <w:r>
        <w:rPr>
          <w:spacing w:val="-2"/>
          <w:sz w:val="20"/>
        </w:rPr>
        <w:t>t</w:t>
      </w:r>
      <w:r>
        <w:rPr>
          <w:sz w:val="20"/>
        </w:rPr>
        <w:t xml:space="preserve">ă </w:t>
      </w:r>
      <w:r>
        <w:rPr>
          <w:spacing w:val="-3"/>
          <w:sz w:val="20"/>
        </w:rPr>
        <w:t>d</w:t>
      </w:r>
      <w:r>
        <w:rPr>
          <w:spacing w:val="1"/>
          <w:sz w:val="20"/>
        </w:rPr>
        <w:t>i</w:t>
      </w:r>
      <w:r>
        <w:rPr>
          <w:sz w:val="20"/>
        </w:rPr>
        <w:t xml:space="preserve">n </w:t>
      </w:r>
      <w:r>
        <w:rPr>
          <w:spacing w:val="-4"/>
          <w:sz w:val="20"/>
        </w:rPr>
        <w:t>C</w:t>
      </w:r>
      <w:r>
        <w:rPr>
          <w:sz w:val="20"/>
        </w:rPr>
        <w:t>anada</w:t>
      </w:r>
    </w:p>
    <w:p w14:paraId="40BC639C"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i</w:t>
      </w:r>
      <w:r>
        <w:rPr>
          <w:sz w:val="20"/>
        </w:rPr>
        <w:t xml:space="preserve"> n=84 p</w:t>
      </w:r>
      <w:r>
        <w:rPr>
          <w:spacing w:val="1"/>
          <w:sz w:val="20"/>
        </w:rPr>
        <w:t>l</w:t>
      </w:r>
      <w:r>
        <w:rPr>
          <w:sz w:val="20"/>
        </w:rPr>
        <w:t>ac</w:t>
      </w:r>
      <w:r>
        <w:rPr>
          <w:spacing w:val="-3"/>
          <w:sz w:val="20"/>
        </w:rPr>
        <w:t>e</w:t>
      </w:r>
      <w:r>
        <w:rPr>
          <w:sz w:val="20"/>
        </w:rPr>
        <w:t xml:space="preserve">bo </w:t>
      </w:r>
      <w:r>
        <w:rPr>
          <w:spacing w:val="-2"/>
          <w:sz w:val="20"/>
        </w:rPr>
        <w:t>ş</w:t>
      </w:r>
      <w:r>
        <w:rPr>
          <w:sz w:val="20"/>
        </w:rPr>
        <w:t>i</w:t>
      </w:r>
      <w:r>
        <w:rPr>
          <w:spacing w:val="1"/>
          <w:sz w:val="20"/>
        </w:rPr>
        <w:t xml:space="preserve"> </w:t>
      </w:r>
      <w:r>
        <w:rPr>
          <w:rFonts w:eastAsia="MS Mincho"/>
          <w:spacing w:val="-1"/>
          <w:sz w:val="20"/>
          <w:lang w:eastAsia="en-US" w:bidi="ar-SA"/>
        </w:rPr>
        <w:t>adalimumab</w:t>
      </w:r>
    </w:p>
    <w:p w14:paraId="16463350"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j</w:t>
      </w:r>
      <w:r>
        <w:rPr>
          <w:sz w:val="20"/>
        </w:rPr>
        <w:t xml:space="preserve"> n=82 p</w:t>
      </w:r>
      <w:r>
        <w:rPr>
          <w:spacing w:val="-2"/>
          <w:sz w:val="20"/>
        </w:rPr>
        <w:t>l</w:t>
      </w:r>
      <w:r>
        <w:rPr>
          <w:sz w:val="20"/>
        </w:rPr>
        <w:t>ac</w:t>
      </w:r>
      <w:r>
        <w:rPr>
          <w:spacing w:val="-3"/>
          <w:sz w:val="20"/>
        </w:rPr>
        <w:t>e</w:t>
      </w:r>
      <w:r>
        <w:rPr>
          <w:sz w:val="20"/>
        </w:rPr>
        <w:t xml:space="preserve">bo </w:t>
      </w:r>
      <w:r>
        <w:rPr>
          <w:spacing w:val="-2"/>
          <w:sz w:val="20"/>
        </w:rPr>
        <w:t>ş</w:t>
      </w:r>
      <w:r>
        <w:rPr>
          <w:sz w:val="20"/>
        </w:rPr>
        <w:t>i</w:t>
      </w:r>
      <w:r>
        <w:rPr>
          <w:spacing w:val="1"/>
          <w:sz w:val="20"/>
        </w:rPr>
        <w:t xml:space="preserve"> </w:t>
      </w:r>
      <w:r>
        <w:rPr>
          <w:sz w:val="20"/>
        </w:rPr>
        <w:t>n=</w:t>
      </w:r>
      <w:r>
        <w:rPr>
          <w:spacing w:val="-3"/>
          <w:sz w:val="20"/>
        </w:rPr>
        <w:t>8</w:t>
      </w:r>
      <w:r>
        <w:rPr>
          <w:sz w:val="20"/>
        </w:rPr>
        <w:t xml:space="preserve">5 </w:t>
      </w:r>
      <w:r>
        <w:rPr>
          <w:rFonts w:eastAsia="MS Mincho"/>
          <w:spacing w:val="-1"/>
          <w:sz w:val="20"/>
          <w:lang w:eastAsia="en-US" w:bidi="ar-SA"/>
        </w:rPr>
        <w:t>adalimumab</w:t>
      </w:r>
    </w:p>
    <w:p w14:paraId="1E2B3D29" w14:textId="77777777" w:rsidR="00C04CAD" w:rsidRDefault="00060E34">
      <w:pPr>
        <w:tabs>
          <w:tab w:val="clear" w:pos="567"/>
        </w:tabs>
        <w:kinsoku w:val="0"/>
        <w:overflowPunct w:val="0"/>
        <w:autoSpaceDE w:val="0"/>
        <w:autoSpaceDN w:val="0"/>
        <w:adjustRightInd w:val="0"/>
        <w:spacing w:line="240" w:lineRule="auto"/>
        <w:rPr>
          <w:sz w:val="20"/>
        </w:rPr>
      </w:pPr>
      <w:r>
        <w:rPr>
          <w:sz w:val="20"/>
        </w:rPr>
        <w:t>***,**, *</w:t>
      </w:r>
      <w:r>
        <w:rPr>
          <w:spacing w:val="-3"/>
          <w:sz w:val="20"/>
        </w:rPr>
        <w:t>S</w:t>
      </w:r>
      <w:r>
        <w:rPr>
          <w:sz w:val="20"/>
        </w:rPr>
        <w:t>e</w:t>
      </w:r>
      <w:r>
        <w:rPr>
          <w:spacing w:val="-4"/>
          <w:sz w:val="20"/>
        </w:rPr>
        <w:t>m</w:t>
      </w:r>
      <w:r>
        <w:rPr>
          <w:sz w:val="20"/>
        </w:rPr>
        <w:t>n</w:t>
      </w:r>
      <w:r>
        <w:rPr>
          <w:spacing w:val="1"/>
          <w:sz w:val="20"/>
        </w:rPr>
        <w:t>i</w:t>
      </w:r>
      <w:r>
        <w:rPr>
          <w:sz w:val="20"/>
        </w:rPr>
        <w:t>f</w:t>
      </w:r>
      <w:r>
        <w:rPr>
          <w:spacing w:val="1"/>
          <w:sz w:val="20"/>
        </w:rPr>
        <w:t>i</w:t>
      </w:r>
      <w:r>
        <w:rPr>
          <w:spacing w:val="-3"/>
          <w:sz w:val="20"/>
        </w:rPr>
        <w:t>c</w:t>
      </w:r>
      <w:r>
        <w:rPr>
          <w:sz w:val="20"/>
        </w:rPr>
        <w:t>a</w:t>
      </w:r>
      <w:r>
        <w:rPr>
          <w:spacing w:val="-2"/>
          <w:sz w:val="20"/>
        </w:rPr>
        <w:t>t</w:t>
      </w:r>
      <w:r>
        <w:rPr>
          <w:spacing w:val="1"/>
          <w:sz w:val="20"/>
        </w:rPr>
        <w:t>i</w:t>
      </w:r>
      <w:r>
        <w:rPr>
          <w:sz w:val="20"/>
        </w:rPr>
        <w:t>v</w:t>
      </w:r>
      <w:r>
        <w:rPr>
          <w:spacing w:val="-3"/>
          <w:sz w:val="20"/>
        </w:rPr>
        <w:t xml:space="preserve"> </w:t>
      </w:r>
      <w:r>
        <w:rPr>
          <w:sz w:val="20"/>
        </w:rPr>
        <w:t>s</w:t>
      </w:r>
      <w:r>
        <w:rPr>
          <w:spacing w:val="1"/>
          <w:sz w:val="20"/>
        </w:rPr>
        <w:t>t</w:t>
      </w:r>
      <w:r>
        <w:rPr>
          <w:spacing w:val="-3"/>
          <w:sz w:val="20"/>
        </w:rPr>
        <w:t>a</w:t>
      </w:r>
      <w:r>
        <w:rPr>
          <w:spacing w:val="1"/>
          <w:sz w:val="20"/>
        </w:rPr>
        <w:t>t</w:t>
      </w:r>
      <w:r>
        <w:rPr>
          <w:spacing w:val="-2"/>
          <w:sz w:val="20"/>
        </w:rPr>
        <w:t>i</w:t>
      </w:r>
      <w:r>
        <w:rPr>
          <w:sz w:val="20"/>
        </w:rPr>
        <w:t>s</w:t>
      </w:r>
      <w:r>
        <w:rPr>
          <w:spacing w:val="1"/>
          <w:sz w:val="20"/>
        </w:rPr>
        <w:t>t</w:t>
      </w:r>
      <w:r>
        <w:rPr>
          <w:spacing w:val="-2"/>
          <w:sz w:val="20"/>
        </w:rPr>
        <w:t>i</w:t>
      </w:r>
      <w:r>
        <w:rPr>
          <w:sz w:val="20"/>
        </w:rPr>
        <w:t xml:space="preserve">c </w:t>
      </w:r>
      <w:r>
        <w:rPr>
          <w:spacing w:val="-2"/>
          <w:sz w:val="20"/>
        </w:rPr>
        <w:t>l</w:t>
      </w:r>
      <w:r>
        <w:rPr>
          <w:sz w:val="20"/>
        </w:rPr>
        <w:t>a p &lt;0</w:t>
      </w:r>
      <w:r>
        <w:rPr>
          <w:spacing w:val="-3"/>
          <w:sz w:val="20"/>
        </w:rPr>
        <w:t>,</w:t>
      </w:r>
      <w:r>
        <w:rPr>
          <w:sz w:val="20"/>
        </w:rPr>
        <w:t xml:space="preserve">001, </w:t>
      </w:r>
      <w:r>
        <w:rPr>
          <w:spacing w:val="-3"/>
          <w:sz w:val="20"/>
        </w:rPr>
        <w:t>&lt;</w:t>
      </w:r>
      <w:r>
        <w:rPr>
          <w:sz w:val="20"/>
        </w:rPr>
        <w:t xml:space="preserve">0,01 </w:t>
      </w:r>
      <w:r>
        <w:rPr>
          <w:spacing w:val="-2"/>
          <w:sz w:val="20"/>
        </w:rPr>
        <w:t>ş</w:t>
      </w:r>
      <w:r>
        <w:rPr>
          <w:sz w:val="20"/>
        </w:rPr>
        <w:t>i</w:t>
      </w:r>
      <w:r>
        <w:rPr>
          <w:spacing w:val="1"/>
          <w:sz w:val="20"/>
        </w:rPr>
        <w:t xml:space="preserve"> </w:t>
      </w:r>
      <w:r>
        <w:rPr>
          <w:spacing w:val="-2"/>
          <w:sz w:val="20"/>
        </w:rPr>
        <w:t>r</w:t>
      </w:r>
      <w:r>
        <w:rPr>
          <w:spacing w:val="-3"/>
          <w:sz w:val="20"/>
        </w:rPr>
        <w:t>e</w:t>
      </w:r>
      <w:r>
        <w:rPr>
          <w:sz w:val="20"/>
        </w:rPr>
        <w:t>spe</w:t>
      </w:r>
      <w:r>
        <w:rPr>
          <w:spacing w:val="-3"/>
          <w:sz w:val="20"/>
        </w:rPr>
        <w:t>c</w:t>
      </w:r>
      <w:r>
        <w:rPr>
          <w:spacing w:val="1"/>
          <w:sz w:val="20"/>
        </w:rPr>
        <w:t>ti</w:t>
      </w:r>
      <w:r>
        <w:rPr>
          <w:sz w:val="20"/>
        </w:rPr>
        <w:t>v</w:t>
      </w:r>
      <w:r>
        <w:rPr>
          <w:spacing w:val="-3"/>
          <w:sz w:val="20"/>
        </w:rPr>
        <w:t xml:space="preserve"> </w:t>
      </w:r>
      <w:r>
        <w:rPr>
          <w:sz w:val="20"/>
        </w:rPr>
        <w:t>&lt; 0,05</w:t>
      </w:r>
      <w:r>
        <w:rPr>
          <w:spacing w:val="-3"/>
          <w:sz w:val="20"/>
        </w:rPr>
        <w:t xml:space="preserve"> </w:t>
      </w:r>
      <w:r>
        <w:rPr>
          <w:sz w:val="20"/>
        </w:rPr>
        <w:t>pe</w:t>
      </w:r>
      <w:r>
        <w:rPr>
          <w:spacing w:val="-3"/>
          <w:sz w:val="20"/>
        </w:rPr>
        <w:t>n</w:t>
      </w:r>
      <w:r>
        <w:rPr>
          <w:spacing w:val="1"/>
          <w:sz w:val="20"/>
        </w:rPr>
        <w:t>t</w:t>
      </w:r>
      <w:r>
        <w:rPr>
          <w:sz w:val="20"/>
        </w:rPr>
        <w:t>ru</w:t>
      </w:r>
      <w:r>
        <w:rPr>
          <w:spacing w:val="-3"/>
          <w:sz w:val="20"/>
        </w:rPr>
        <w:t xml:space="preserve"> </w:t>
      </w:r>
      <w:r>
        <w:rPr>
          <w:spacing w:val="1"/>
          <w:sz w:val="20"/>
        </w:rPr>
        <w:t>t</w:t>
      </w:r>
      <w:r>
        <w:rPr>
          <w:sz w:val="20"/>
        </w:rPr>
        <w:t>o</w:t>
      </w:r>
      <w:r>
        <w:rPr>
          <w:spacing w:val="-3"/>
          <w:sz w:val="20"/>
        </w:rPr>
        <w:t>a</w:t>
      </w:r>
      <w:r>
        <w:rPr>
          <w:spacing w:val="1"/>
          <w:sz w:val="20"/>
        </w:rPr>
        <w:t>t</w:t>
      </w:r>
      <w:r>
        <w:rPr>
          <w:sz w:val="20"/>
        </w:rPr>
        <w:t>e</w:t>
      </w:r>
      <w:r>
        <w:rPr>
          <w:spacing w:val="-2"/>
          <w:sz w:val="20"/>
        </w:rPr>
        <w:t xml:space="preserve"> </w:t>
      </w:r>
      <w:r>
        <w:rPr>
          <w:sz w:val="20"/>
        </w:rPr>
        <w:t>co</w:t>
      </w:r>
      <w:r>
        <w:rPr>
          <w:spacing w:val="-4"/>
          <w:sz w:val="20"/>
        </w:rPr>
        <w:t>m</w:t>
      </w:r>
      <w:r>
        <w:rPr>
          <w:sz w:val="20"/>
        </w:rPr>
        <w:t>para</w:t>
      </w:r>
      <w:r>
        <w:rPr>
          <w:spacing w:val="1"/>
          <w:sz w:val="20"/>
        </w:rPr>
        <w:t>ţ</w:t>
      </w:r>
      <w:r>
        <w:rPr>
          <w:spacing w:val="-2"/>
          <w:sz w:val="20"/>
        </w:rPr>
        <w:t>ii</w:t>
      </w:r>
      <w:r>
        <w:rPr>
          <w:spacing w:val="1"/>
          <w:sz w:val="20"/>
        </w:rPr>
        <w:t>l</w:t>
      </w:r>
      <w:r>
        <w:rPr>
          <w:sz w:val="20"/>
        </w:rPr>
        <w:t xml:space="preserve">e </w:t>
      </w:r>
      <w:r>
        <w:rPr>
          <w:spacing w:val="-2"/>
          <w:sz w:val="20"/>
        </w:rPr>
        <w:t>î</w:t>
      </w:r>
      <w:r>
        <w:rPr>
          <w:sz w:val="20"/>
        </w:rPr>
        <w:t>n</w:t>
      </w:r>
      <w:r>
        <w:rPr>
          <w:spacing w:val="-2"/>
          <w:sz w:val="20"/>
        </w:rPr>
        <w:t>t</w:t>
      </w:r>
      <w:r>
        <w:rPr>
          <w:sz w:val="20"/>
        </w:rPr>
        <w:t xml:space="preserve">re </w:t>
      </w:r>
      <w:r>
        <w:rPr>
          <w:rFonts w:eastAsia="MS Mincho"/>
          <w:spacing w:val="-1"/>
          <w:sz w:val="20"/>
          <w:lang w:eastAsia="en-US" w:bidi="ar-SA"/>
        </w:rPr>
        <w:t>adalimumab</w:t>
      </w:r>
      <w:r>
        <w:rPr>
          <w:sz w:val="20"/>
        </w:rPr>
        <w:t xml:space="preserve"> şi</w:t>
      </w:r>
      <w:r>
        <w:rPr>
          <w:spacing w:val="1"/>
          <w:sz w:val="20"/>
        </w:rPr>
        <w:t xml:space="preserve"> </w:t>
      </w:r>
      <w:r>
        <w:rPr>
          <w:spacing w:val="-3"/>
          <w:sz w:val="20"/>
        </w:rPr>
        <w:t>p</w:t>
      </w:r>
      <w:r>
        <w:rPr>
          <w:spacing w:val="1"/>
          <w:sz w:val="20"/>
        </w:rPr>
        <w:t>l</w:t>
      </w:r>
      <w:r>
        <w:rPr>
          <w:sz w:val="20"/>
        </w:rPr>
        <w:t>a</w:t>
      </w:r>
      <w:r>
        <w:rPr>
          <w:spacing w:val="-3"/>
          <w:sz w:val="20"/>
        </w:rPr>
        <w:t>c</w:t>
      </w:r>
      <w:r>
        <w:rPr>
          <w:sz w:val="20"/>
        </w:rPr>
        <w:t>ebo</w:t>
      </w:r>
    </w:p>
    <w:p w14:paraId="7BD6111A" w14:textId="77777777" w:rsidR="00C04CAD" w:rsidRDefault="00C04CAD">
      <w:pPr>
        <w:autoSpaceDE w:val="0"/>
        <w:autoSpaceDN w:val="0"/>
        <w:adjustRightInd w:val="0"/>
        <w:spacing w:line="240" w:lineRule="auto"/>
        <w:rPr>
          <w:szCs w:val="22"/>
        </w:rPr>
      </w:pPr>
    </w:p>
    <w:p w14:paraId="5E5B1006"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ex</w:t>
      </w:r>
      <w:r>
        <w:rPr>
          <w:spacing w:val="1"/>
          <w:szCs w:val="22"/>
        </w:rPr>
        <w:t>t</w:t>
      </w:r>
      <w:r>
        <w:rPr>
          <w:szCs w:val="22"/>
        </w:rPr>
        <w:t>ens</w:t>
      </w:r>
      <w:r>
        <w:rPr>
          <w:spacing w:val="1"/>
          <w:szCs w:val="22"/>
        </w:rPr>
        <w:t>i</w:t>
      </w:r>
      <w:r>
        <w:rPr>
          <w:szCs w:val="22"/>
        </w:rPr>
        <w:t>a</w:t>
      </w:r>
      <w:r>
        <w:rPr>
          <w:spacing w:val="-2"/>
          <w:szCs w:val="22"/>
        </w:rPr>
        <w:t xml:space="preserve"> </w:t>
      </w:r>
      <w:r>
        <w:rPr>
          <w:szCs w:val="22"/>
        </w:rPr>
        <w:t>de</w:t>
      </w:r>
      <w:r>
        <w:rPr>
          <w:spacing w:val="-2"/>
          <w:szCs w:val="22"/>
        </w:rPr>
        <w:t>s</w:t>
      </w:r>
      <w:r>
        <w:rPr>
          <w:szCs w:val="22"/>
        </w:rPr>
        <w:t>ch</w:t>
      </w:r>
      <w:r>
        <w:rPr>
          <w:spacing w:val="-2"/>
          <w:szCs w:val="22"/>
        </w:rPr>
        <w:t>i</w:t>
      </w:r>
      <w:r>
        <w:rPr>
          <w:szCs w:val="22"/>
        </w:rPr>
        <w:t>să,</w:t>
      </w:r>
      <w:r>
        <w:rPr>
          <w:spacing w:val="-3"/>
          <w:szCs w:val="22"/>
        </w:rPr>
        <w:t xml:space="preserve"> </w:t>
      </w:r>
      <w:r>
        <w:rPr>
          <w:spacing w:val="1"/>
          <w:szCs w:val="22"/>
        </w:rPr>
        <w:t>l</w:t>
      </w:r>
      <w:r>
        <w:rPr>
          <w:szCs w:val="22"/>
        </w:rPr>
        <w:t xml:space="preserve">a </w:t>
      </w:r>
      <w:r>
        <w:rPr>
          <w:spacing w:val="-1"/>
          <w:szCs w:val="22"/>
        </w:rPr>
        <w:t>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pacing w:val="1"/>
          <w:szCs w:val="22"/>
        </w:rPr>
        <w:t>t</w:t>
      </w:r>
      <w:r>
        <w:rPr>
          <w:szCs w:val="22"/>
        </w:rPr>
        <w:t>r</w:t>
      </w:r>
      <w:r>
        <w:rPr>
          <w:spacing w:val="-3"/>
          <w:szCs w:val="22"/>
        </w:rPr>
        <w:t>a</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cu</w:t>
      </w:r>
      <w:r>
        <w:rPr>
          <w:spacing w:val="-1"/>
          <w:szCs w:val="22"/>
        </w:rPr>
        <w:t xml:space="preserve"> </w:t>
      </w:r>
      <w:r>
        <w:rPr>
          <w:rFonts w:eastAsia="MS Mincho"/>
          <w:spacing w:val="-1"/>
          <w:szCs w:val="22"/>
          <w:lang w:eastAsia="en-US" w:bidi="ar-SA"/>
        </w:rPr>
        <w:t>adalimumab</w:t>
      </w:r>
      <w:r>
        <w:rPr>
          <w:szCs w:val="22"/>
        </w:rPr>
        <w:t xml:space="preserve"> 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4"/>
          <w:szCs w:val="22"/>
        </w:rPr>
        <w:t>m</w:t>
      </w:r>
      <w:r>
        <w:rPr>
          <w:szCs w:val="22"/>
        </w:rPr>
        <w:t>en</w:t>
      </w:r>
      <w:r>
        <w:rPr>
          <w:spacing w:val="1"/>
          <w:szCs w:val="22"/>
        </w:rPr>
        <w:t>ți</w:t>
      </w:r>
      <w:r>
        <w:rPr>
          <w:szCs w:val="22"/>
        </w:rPr>
        <w:t>n</w:t>
      </w:r>
      <w:r>
        <w:rPr>
          <w:spacing w:val="-3"/>
          <w:szCs w:val="22"/>
        </w:rPr>
        <w:t>u</w:t>
      </w:r>
      <w:r>
        <w:rPr>
          <w:spacing w:val="1"/>
          <w:szCs w:val="22"/>
        </w:rPr>
        <w:t>t</w:t>
      </w:r>
      <w:r>
        <w:rPr>
          <w:szCs w:val="22"/>
        </w:rPr>
        <w:t>ă</w:t>
      </w:r>
      <w:r>
        <w:rPr>
          <w:spacing w:val="-2"/>
          <w:szCs w:val="22"/>
        </w:rPr>
        <w:t xml:space="preserve"> </w:t>
      </w:r>
      <w:r>
        <w:rPr>
          <w:spacing w:val="1"/>
          <w:szCs w:val="22"/>
        </w:rPr>
        <w:t>î</w:t>
      </w:r>
      <w:r>
        <w:rPr>
          <w:spacing w:val="-4"/>
          <w:szCs w:val="22"/>
        </w:rPr>
        <w:t>m</w:t>
      </w:r>
      <w:r>
        <w:rPr>
          <w:szCs w:val="22"/>
        </w:rPr>
        <w:t>bună</w:t>
      </w:r>
      <w:r>
        <w:rPr>
          <w:spacing w:val="1"/>
          <w:szCs w:val="22"/>
        </w:rPr>
        <w:t>t</w:t>
      </w:r>
      <w:r>
        <w:rPr>
          <w:szCs w:val="22"/>
        </w:rPr>
        <w:t>ă</w:t>
      </w:r>
      <w:r>
        <w:rPr>
          <w:spacing w:val="-2"/>
          <w:szCs w:val="22"/>
        </w:rPr>
        <w:t>ț</w:t>
      </w:r>
      <w:r>
        <w:rPr>
          <w:spacing w:val="1"/>
          <w:szCs w:val="22"/>
        </w:rPr>
        <w:t>i</w:t>
      </w:r>
      <w:r>
        <w:rPr>
          <w:spacing w:val="-2"/>
          <w:szCs w:val="22"/>
        </w:rPr>
        <w:t>r</w:t>
      </w:r>
      <w:r>
        <w:rPr>
          <w:szCs w:val="22"/>
        </w:rPr>
        <w:t>ea</w:t>
      </w:r>
      <w:r>
        <w:rPr>
          <w:spacing w:val="-2"/>
          <w:szCs w:val="22"/>
        </w:rPr>
        <w:t xml:space="preserve"> s</w:t>
      </w:r>
      <w:r>
        <w:rPr>
          <w:szCs w:val="22"/>
        </w:rPr>
        <w:t>e</w:t>
      </w:r>
      <w:r>
        <w:rPr>
          <w:spacing w:val="-4"/>
          <w:szCs w:val="22"/>
        </w:rPr>
        <w:t>m</w:t>
      </w:r>
      <w:r>
        <w:rPr>
          <w:szCs w:val="22"/>
        </w:rPr>
        <w:t>ne</w:t>
      </w:r>
      <w:r>
        <w:rPr>
          <w:spacing w:val="1"/>
          <w:szCs w:val="22"/>
        </w:rPr>
        <w:t>l</w:t>
      </w:r>
      <w:r>
        <w:rPr>
          <w:szCs w:val="22"/>
        </w:rPr>
        <w:t>or</w:t>
      </w:r>
      <w:r>
        <w:rPr>
          <w:spacing w:val="1"/>
          <w:szCs w:val="22"/>
        </w:rPr>
        <w:t xml:space="preserve"> </w:t>
      </w:r>
      <w:r>
        <w:rPr>
          <w:spacing w:val="-2"/>
          <w:szCs w:val="22"/>
        </w:rPr>
        <w:t>ş</w:t>
      </w:r>
      <w:r>
        <w:rPr>
          <w:szCs w:val="22"/>
        </w:rPr>
        <w:t>i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or</w:t>
      </w:r>
      <w:r>
        <w:rPr>
          <w:spacing w:val="1"/>
          <w:szCs w:val="22"/>
        </w:rPr>
        <w:t xml:space="preserve"> </w:t>
      </w:r>
      <w:r>
        <w:rPr>
          <w:szCs w:val="22"/>
        </w:rPr>
        <w:t>pâ</w:t>
      </w:r>
      <w:r>
        <w:rPr>
          <w:spacing w:val="-3"/>
          <w:szCs w:val="22"/>
        </w:rPr>
        <w:t>n</w:t>
      </w:r>
      <w:r>
        <w:rPr>
          <w:szCs w:val="22"/>
        </w:rPr>
        <w:t xml:space="preserve">ă </w:t>
      </w:r>
      <w:r>
        <w:rPr>
          <w:spacing w:val="-2"/>
          <w:szCs w:val="22"/>
        </w:rPr>
        <w:t>l</w:t>
      </w:r>
      <w:r>
        <w:rPr>
          <w:szCs w:val="22"/>
        </w:rPr>
        <w:t xml:space="preserve">a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pacing w:val="-3"/>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156.</w:t>
      </w:r>
    </w:p>
    <w:p w14:paraId="6682A080" w14:textId="77777777" w:rsidR="00C04CAD" w:rsidRDefault="00C04CAD">
      <w:pPr>
        <w:autoSpaceDE w:val="0"/>
        <w:autoSpaceDN w:val="0"/>
        <w:adjustRightInd w:val="0"/>
        <w:spacing w:line="240" w:lineRule="auto"/>
        <w:rPr>
          <w:szCs w:val="22"/>
        </w:rPr>
      </w:pPr>
    </w:p>
    <w:p w14:paraId="3C544509"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spacing w:val="-1"/>
          <w:szCs w:val="22"/>
          <w:u w:val="single"/>
        </w:rPr>
        <w:t>O</w:t>
      </w:r>
      <w:r>
        <w:rPr>
          <w:szCs w:val="22"/>
          <w:u w:val="single"/>
        </w:rPr>
        <w:t>pr</w:t>
      </w:r>
      <w:r>
        <w:rPr>
          <w:spacing w:val="1"/>
          <w:szCs w:val="22"/>
          <w:u w:val="single"/>
        </w:rPr>
        <w:t>i</w:t>
      </w:r>
      <w:r>
        <w:rPr>
          <w:spacing w:val="-2"/>
          <w:szCs w:val="22"/>
          <w:u w:val="single"/>
        </w:rPr>
        <w:t>r</w:t>
      </w:r>
      <w:r>
        <w:rPr>
          <w:szCs w:val="22"/>
          <w:u w:val="single"/>
        </w:rPr>
        <w:t>ea</w:t>
      </w:r>
      <w:r>
        <w:rPr>
          <w:spacing w:val="-2"/>
          <w:szCs w:val="22"/>
          <w:u w:val="single"/>
        </w:rPr>
        <w:t xml:space="preserve"> </w:t>
      </w:r>
      <w:r>
        <w:rPr>
          <w:spacing w:val="1"/>
          <w:szCs w:val="22"/>
          <w:u w:val="single"/>
        </w:rPr>
        <w:t>i</w:t>
      </w:r>
      <w:r>
        <w:rPr>
          <w:szCs w:val="22"/>
          <w:u w:val="single"/>
        </w:rPr>
        <w:t>n</w:t>
      </w:r>
      <w:r>
        <w:rPr>
          <w:spacing w:val="-2"/>
          <w:szCs w:val="22"/>
          <w:u w:val="single"/>
        </w:rPr>
        <w:t>f</w:t>
      </w:r>
      <w:r>
        <w:rPr>
          <w:spacing w:val="1"/>
          <w:szCs w:val="22"/>
          <w:u w:val="single"/>
        </w:rPr>
        <w:t>l</w:t>
      </w:r>
      <w:r>
        <w:rPr>
          <w:szCs w:val="22"/>
          <w:u w:val="single"/>
        </w:rPr>
        <w:t>a</w:t>
      </w:r>
      <w:r>
        <w:rPr>
          <w:spacing w:val="-4"/>
          <w:szCs w:val="22"/>
          <w:u w:val="single"/>
        </w:rPr>
        <w:t>m</w:t>
      </w:r>
      <w:r>
        <w:rPr>
          <w:szCs w:val="22"/>
          <w:u w:val="single"/>
        </w:rPr>
        <w:t>a</w:t>
      </w:r>
      <w:r>
        <w:rPr>
          <w:spacing w:val="1"/>
          <w:szCs w:val="22"/>
          <w:u w:val="single"/>
        </w:rPr>
        <w:t>ț</w:t>
      </w:r>
      <w:r>
        <w:rPr>
          <w:spacing w:val="-2"/>
          <w:szCs w:val="22"/>
          <w:u w:val="single"/>
        </w:rPr>
        <w:t>i</w:t>
      </w:r>
      <w:r>
        <w:rPr>
          <w:szCs w:val="22"/>
          <w:u w:val="single"/>
        </w:rPr>
        <w:t>ei</w:t>
      </w:r>
    </w:p>
    <w:p w14:paraId="07E951C0" w14:textId="77777777" w:rsidR="00C04CAD" w:rsidRDefault="00C04CAD">
      <w:pPr>
        <w:keepNext/>
        <w:tabs>
          <w:tab w:val="clear" w:pos="567"/>
        </w:tabs>
        <w:kinsoku w:val="0"/>
        <w:overflowPunct w:val="0"/>
        <w:autoSpaceDE w:val="0"/>
        <w:autoSpaceDN w:val="0"/>
        <w:adjustRightInd w:val="0"/>
        <w:spacing w:line="240" w:lineRule="auto"/>
        <w:rPr>
          <w:szCs w:val="22"/>
        </w:rPr>
      </w:pPr>
    </w:p>
    <w:p w14:paraId="1CF1E04F" w14:textId="77777777" w:rsidR="00C04CAD" w:rsidRDefault="00060E34">
      <w:pPr>
        <w:tabs>
          <w:tab w:val="clear" w:pos="567"/>
        </w:tabs>
        <w:kinsoku w:val="0"/>
        <w:overflowPunct w:val="0"/>
        <w:autoSpaceDE w:val="0"/>
        <w:autoSpaceDN w:val="0"/>
        <w:adjustRightInd w:val="0"/>
        <w:spacing w:line="240" w:lineRule="auto"/>
        <w:rPr>
          <w:szCs w:val="22"/>
        </w:rPr>
      </w:pPr>
      <w:r>
        <w:rPr>
          <w:spacing w:val="-2"/>
          <w:szCs w:val="22"/>
        </w:rPr>
        <w:t>Îm</w:t>
      </w:r>
      <w:r>
        <w:rPr>
          <w:szCs w:val="22"/>
        </w:rPr>
        <w:t>bună</w:t>
      </w:r>
      <w:r>
        <w:rPr>
          <w:spacing w:val="1"/>
          <w:szCs w:val="22"/>
        </w:rPr>
        <w:t>t</w:t>
      </w:r>
      <w:r>
        <w:rPr>
          <w:szCs w:val="22"/>
        </w:rPr>
        <w:t>ă</w:t>
      </w:r>
      <w:r>
        <w:rPr>
          <w:spacing w:val="-2"/>
          <w:szCs w:val="22"/>
        </w:rPr>
        <w:t>ț</w:t>
      </w:r>
      <w:r>
        <w:rPr>
          <w:spacing w:val="1"/>
          <w:szCs w:val="22"/>
        </w:rPr>
        <w:t>i</w:t>
      </w:r>
      <w:r>
        <w:rPr>
          <w:spacing w:val="-2"/>
          <w:szCs w:val="22"/>
        </w:rPr>
        <w:t>r</w:t>
      </w:r>
      <w:r>
        <w:rPr>
          <w:szCs w:val="22"/>
        </w:rPr>
        <w:t xml:space="preserve">ea </w:t>
      </w:r>
      <w:r>
        <w:rPr>
          <w:spacing w:val="-2"/>
          <w:szCs w:val="22"/>
        </w:rPr>
        <w:t>s</w:t>
      </w:r>
      <w:r>
        <w:rPr>
          <w:szCs w:val="22"/>
        </w:rPr>
        <w:t>e</w:t>
      </w:r>
      <w:r>
        <w:rPr>
          <w:spacing w:val="-4"/>
          <w:szCs w:val="22"/>
        </w:rPr>
        <w:t>m</w:t>
      </w:r>
      <w:r>
        <w:rPr>
          <w:spacing w:val="-1"/>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ă a se</w:t>
      </w:r>
      <w:r>
        <w:rPr>
          <w:spacing w:val="-4"/>
          <w:szCs w:val="22"/>
        </w:rPr>
        <w:t>m</w:t>
      </w:r>
      <w:r>
        <w:rPr>
          <w:szCs w:val="22"/>
        </w:rPr>
        <w:t>ne</w:t>
      </w:r>
      <w:r>
        <w:rPr>
          <w:spacing w:val="1"/>
          <w:szCs w:val="22"/>
        </w:rPr>
        <w:t>l</w:t>
      </w:r>
      <w:r>
        <w:rPr>
          <w:spacing w:val="-3"/>
          <w:szCs w:val="22"/>
        </w:rPr>
        <w:t>o</w:t>
      </w:r>
      <w:r>
        <w:rPr>
          <w:szCs w:val="22"/>
        </w:rPr>
        <w:t>r</w:t>
      </w:r>
      <w:r>
        <w:rPr>
          <w:spacing w:val="1"/>
          <w:szCs w:val="22"/>
        </w:rPr>
        <w:t xml:space="preserve"> </w:t>
      </w:r>
      <w:r>
        <w:rPr>
          <w:szCs w:val="22"/>
        </w:rPr>
        <w:t>de</w:t>
      </w:r>
      <w:r>
        <w:rPr>
          <w:spacing w:val="-2"/>
          <w:szCs w:val="22"/>
        </w:rPr>
        <w:t xml:space="preserve"> </w:t>
      </w:r>
      <w:r>
        <w:rPr>
          <w:spacing w:val="1"/>
          <w:szCs w:val="22"/>
        </w:rPr>
        <w:t>i</w:t>
      </w:r>
      <w:r>
        <w:rPr>
          <w:spacing w:val="-3"/>
          <w:szCs w:val="22"/>
        </w:rPr>
        <w:t>n</w:t>
      </w:r>
      <w:r>
        <w:rPr>
          <w:szCs w:val="22"/>
        </w:rPr>
        <w:t>f</w:t>
      </w:r>
      <w:r>
        <w:rPr>
          <w:spacing w:val="1"/>
          <w:szCs w:val="22"/>
        </w:rPr>
        <w:t>l</w:t>
      </w:r>
      <w:r>
        <w:rPr>
          <w:szCs w:val="22"/>
        </w:rPr>
        <w:t>a</w:t>
      </w:r>
      <w:r>
        <w:rPr>
          <w:spacing w:val="-4"/>
          <w:szCs w:val="22"/>
        </w:rPr>
        <w:t>m</w:t>
      </w:r>
      <w:r>
        <w:rPr>
          <w:szCs w:val="22"/>
        </w:rPr>
        <w:t>aţ</w:t>
      </w:r>
      <w:r>
        <w:rPr>
          <w:spacing w:val="-2"/>
          <w:szCs w:val="22"/>
        </w:rPr>
        <w:t>i</w:t>
      </w:r>
      <w:r>
        <w:rPr>
          <w:szCs w:val="22"/>
        </w:rPr>
        <w:t>e,</w:t>
      </w:r>
      <w:r>
        <w:rPr>
          <w:spacing w:val="-3"/>
          <w:szCs w:val="22"/>
        </w:rPr>
        <w:t xml:space="preserve"> </w:t>
      </w:r>
      <w:r>
        <w:rPr>
          <w:spacing w:val="-4"/>
          <w:szCs w:val="22"/>
        </w:rPr>
        <w:t>m</w:t>
      </w:r>
      <w:r>
        <w:rPr>
          <w:szCs w:val="22"/>
        </w:rPr>
        <w:t>asura</w:t>
      </w:r>
      <w:r>
        <w:rPr>
          <w:spacing w:val="1"/>
          <w:szCs w:val="22"/>
        </w:rPr>
        <w:t>t</w:t>
      </w:r>
      <w:r>
        <w:rPr>
          <w:szCs w:val="22"/>
        </w:rPr>
        <w:t xml:space="preserve">ă </w:t>
      </w:r>
      <w:r>
        <w:rPr>
          <w:spacing w:val="-3"/>
          <w:szCs w:val="22"/>
        </w:rPr>
        <w:t>p</w:t>
      </w:r>
      <w:r>
        <w:rPr>
          <w:szCs w:val="22"/>
        </w:rPr>
        <w:t>r</w:t>
      </w:r>
      <w:r>
        <w:rPr>
          <w:spacing w:val="-2"/>
          <w:szCs w:val="22"/>
        </w:rPr>
        <w:t>i</w:t>
      </w:r>
      <w:r>
        <w:rPr>
          <w:szCs w:val="22"/>
        </w:rPr>
        <w:t>n hs</w:t>
      </w:r>
      <w:r>
        <w:rPr>
          <w:spacing w:val="-4"/>
          <w:szCs w:val="22"/>
        </w:rPr>
        <w:t>-</w:t>
      </w:r>
      <w:r>
        <w:rPr>
          <w:szCs w:val="22"/>
        </w:rPr>
        <w:t>P</w:t>
      </w:r>
      <w:r>
        <w:rPr>
          <w:spacing w:val="-1"/>
          <w:szCs w:val="22"/>
        </w:rPr>
        <w:t xml:space="preserve">CR </w:t>
      </w:r>
      <w:r>
        <w:rPr>
          <w:szCs w:val="22"/>
        </w:rPr>
        <w:t>și</w:t>
      </w:r>
      <w:r>
        <w:rPr>
          <w:spacing w:val="1"/>
          <w:szCs w:val="22"/>
        </w:rPr>
        <w:t xml:space="preserve"> </w:t>
      </w:r>
      <w:r>
        <w:rPr>
          <w:spacing w:val="-1"/>
          <w:szCs w:val="22"/>
        </w:rPr>
        <w:t>R</w:t>
      </w:r>
      <w:r>
        <w:rPr>
          <w:szCs w:val="22"/>
        </w:rPr>
        <w:t>MN</w:t>
      </w:r>
      <w:r>
        <w:rPr>
          <w:spacing w:val="-1"/>
          <w:szCs w:val="22"/>
        </w:rPr>
        <w:t xml:space="preserve"> </w:t>
      </w:r>
      <w:r>
        <w:rPr>
          <w:szCs w:val="22"/>
        </w:rPr>
        <w:t>a</w:t>
      </w:r>
      <w:r>
        <w:rPr>
          <w:spacing w:val="-2"/>
          <w:szCs w:val="22"/>
        </w:rPr>
        <w:t>t</w:t>
      </w:r>
      <w:r>
        <w:rPr>
          <w:szCs w:val="22"/>
        </w:rPr>
        <w:t>ât</w:t>
      </w:r>
      <w:r>
        <w:rPr>
          <w:spacing w:val="-2"/>
          <w:szCs w:val="22"/>
        </w:rPr>
        <w:t xml:space="preserve"> </w:t>
      </w:r>
      <w:r>
        <w:rPr>
          <w:spacing w:val="1"/>
          <w:szCs w:val="22"/>
        </w:rPr>
        <w:t>l</w:t>
      </w:r>
      <w:r>
        <w:rPr>
          <w:szCs w:val="22"/>
        </w:rPr>
        <w:t>a ar</w:t>
      </w:r>
      <w:r>
        <w:rPr>
          <w:spacing w:val="-2"/>
          <w:szCs w:val="22"/>
        </w:rPr>
        <w:t>t</w:t>
      </w:r>
      <w:r>
        <w:rPr>
          <w:spacing w:val="1"/>
          <w:szCs w:val="22"/>
        </w:rPr>
        <w:t>i</w:t>
      </w:r>
      <w:r>
        <w:rPr>
          <w:szCs w:val="22"/>
        </w:rPr>
        <w:t>c</w:t>
      </w:r>
      <w:r>
        <w:rPr>
          <w:spacing w:val="-3"/>
          <w:szCs w:val="22"/>
        </w:rPr>
        <w:t>u</w:t>
      </w:r>
      <w:r>
        <w:rPr>
          <w:spacing w:val="1"/>
          <w:szCs w:val="22"/>
        </w:rPr>
        <w:t>l</w:t>
      </w:r>
      <w:r>
        <w:rPr>
          <w:spacing w:val="-3"/>
          <w:szCs w:val="22"/>
        </w:rPr>
        <w:t>a</w:t>
      </w:r>
      <w:r>
        <w:rPr>
          <w:szCs w:val="22"/>
        </w:rPr>
        <w:t>ţ</w:t>
      </w:r>
      <w:r>
        <w:rPr>
          <w:spacing w:val="-2"/>
          <w:szCs w:val="22"/>
        </w:rPr>
        <w:t>i</w:t>
      </w:r>
      <w:r>
        <w:rPr>
          <w:szCs w:val="22"/>
        </w:rPr>
        <w:t>i</w:t>
      </w:r>
      <w:r>
        <w:rPr>
          <w:spacing w:val="-2"/>
          <w:szCs w:val="22"/>
        </w:rPr>
        <w:t>l</w:t>
      </w:r>
      <w:r>
        <w:rPr>
          <w:szCs w:val="22"/>
        </w:rPr>
        <w:t>e s</w:t>
      </w:r>
      <w:r>
        <w:rPr>
          <w:spacing w:val="-3"/>
          <w:szCs w:val="22"/>
        </w:rPr>
        <w:t>a</w:t>
      </w:r>
      <w:r>
        <w:rPr>
          <w:szCs w:val="22"/>
        </w:rPr>
        <w:t>cr</w:t>
      </w:r>
      <w:r>
        <w:rPr>
          <w:spacing w:val="-3"/>
          <w:szCs w:val="22"/>
        </w:rPr>
        <w:t>o</w:t>
      </w:r>
      <w:r>
        <w:rPr>
          <w:spacing w:val="1"/>
          <w:szCs w:val="22"/>
        </w:rPr>
        <w:t>i</w:t>
      </w:r>
      <w:r>
        <w:rPr>
          <w:spacing w:val="-2"/>
          <w:szCs w:val="22"/>
        </w:rPr>
        <w:t>l</w:t>
      </w:r>
      <w:r>
        <w:rPr>
          <w:spacing w:val="1"/>
          <w:szCs w:val="22"/>
        </w:rPr>
        <w:t>i</w:t>
      </w:r>
      <w:r>
        <w:rPr>
          <w:szCs w:val="22"/>
        </w:rPr>
        <w:t>a</w:t>
      </w:r>
      <w:r>
        <w:rPr>
          <w:spacing w:val="-3"/>
          <w:szCs w:val="22"/>
        </w:rPr>
        <w:t>c</w:t>
      </w:r>
      <w:r>
        <w:rPr>
          <w:szCs w:val="22"/>
        </w:rPr>
        <w:t>e c</w:t>
      </w:r>
      <w:r>
        <w:rPr>
          <w:spacing w:val="-2"/>
          <w:szCs w:val="22"/>
        </w:rPr>
        <w:t>â</w:t>
      </w:r>
      <w:r>
        <w:rPr>
          <w:szCs w:val="22"/>
        </w:rPr>
        <w:t>t</w:t>
      </w:r>
      <w:r>
        <w:rPr>
          <w:spacing w:val="1"/>
          <w:szCs w:val="22"/>
        </w:rPr>
        <w:t xml:space="preserve"> </w:t>
      </w:r>
      <w:r>
        <w:rPr>
          <w:spacing w:val="-2"/>
          <w:szCs w:val="22"/>
        </w:rPr>
        <w:t>ş</w:t>
      </w:r>
      <w:r>
        <w:rPr>
          <w:szCs w:val="22"/>
        </w:rPr>
        <w:t>i</w:t>
      </w:r>
      <w:r>
        <w:rPr>
          <w:spacing w:val="1"/>
          <w:szCs w:val="22"/>
        </w:rPr>
        <w:t xml:space="preserve"> l</w:t>
      </w:r>
      <w:r>
        <w:rPr>
          <w:szCs w:val="22"/>
        </w:rPr>
        <w:t>a</w:t>
      </w:r>
      <w:r>
        <w:rPr>
          <w:spacing w:val="-3"/>
          <w:szCs w:val="22"/>
        </w:rPr>
        <w:t xml:space="preserve"> </w:t>
      </w:r>
      <w:r>
        <w:rPr>
          <w:szCs w:val="22"/>
        </w:rPr>
        <w:t>c</w:t>
      </w:r>
      <w:r>
        <w:rPr>
          <w:spacing w:val="-3"/>
          <w:szCs w:val="22"/>
        </w:rPr>
        <w:t>o</w:t>
      </w:r>
      <w:r>
        <w:rPr>
          <w:spacing w:val="1"/>
          <w:szCs w:val="22"/>
        </w:rPr>
        <w:t>l</w:t>
      </w:r>
      <w:r>
        <w:rPr>
          <w:szCs w:val="22"/>
        </w:rPr>
        <w:t>oana</w:t>
      </w:r>
      <w:r>
        <w:rPr>
          <w:spacing w:val="-2"/>
          <w:szCs w:val="22"/>
        </w:rPr>
        <w:t xml:space="preserve"> </w:t>
      </w:r>
      <w:r>
        <w:rPr>
          <w:spacing w:val="-3"/>
          <w:szCs w:val="22"/>
        </w:rPr>
        <w:t>v</w:t>
      </w:r>
      <w:r>
        <w:rPr>
          <w:szCs w:val="22"/>
        </w:rPr>
        <w:t>er</w:t>
      </w:r>
      <w:r>
        <w:rPr>
          <w:spacing w:val="1"/>
          <w:szCs w:val="22"/>
        </w:rPr>
        <w:t>t</w:t>
      </w:r>
      <w:r>
        <w:rPr>
          <w:spacing w:val="-3"/>
          <w:szCs w:val="22"/>
        </w:rPr>
        <w:t>e</w:t>
      </w:r>
      <w:r>
        <w:rPr>
          <w:szCs w:val="22"/>
        </w:rPr>
        <w:t>br</w:t>
      </w:r>
      <w:r>
        <w:rPr>
          <w:spacing w:val="-3"/>
          <w:szCs w:val="22"/>
        </w:rPr>
        <w:t>a</w:t>
      </w:r>
      <w:r>
        <w:rPr>
          <w:spacing w:val="1"/>
          <w:szCs w:val="22"/>
        </w:rPr>
        <w:t>l</w:t>
      </w:r>
      <w:r>
        <w:rPr>
          <w:szCs w:val="22"/>
        </w:rPr>
        <w:t>ă,</w:t>
      </w:r>
      <w:r>
        <w:rPr>
          <w:spacing w:val="-3"/>
          <w:szCs w:val="22"/>
        </w:rPr>
        <w:t xml:space="preserve"> </w:t>
      </w:r>
      <w:r>
        <w:rPr>
          <w:szCs w:val="22"/>
        </w:rPr>
        <w:t>a f</w:t>
      </w:r>
      <w:r>
        <w:rPr>
          <w:spacing w:val="-3"/>
          <w:szCs w:val="22"/>
        </w:rPr>
        <w:t>o</w:t>
      </w:r>
      <w:r>
        <w:rPr>
          <w:szCs w:val="22"/>
        </w:rPr>
        <w:t>st</w:t>
      </w:r>
      <w:r>
        <w:rPr>
          <w:spacing w:val="1"/>
          <w:szCs w:val="22"/>
        </w:rPr>
        <w:t xml:space="preserve"> </w:t>
      </w:r>
      <w:r>
        <w:rPr>
          <w:spacing w:val="-4"/>
          <w:szCs w:val="22"/>
        </w:rPr>
        <w:t>m</w:t>
      </w:r>
      <w:r>
        <w:rPr>
          <w:szCs w:val="22"/>
        </w:rPr>
        <w:t>en</w:t>
      </w:r>
      <w:r>
        <w:rPr>
          <w:spacing w:val="1"/>
          <w:szCs w:val="22"/>
        </w:rPr>
        <w:t>ți</w:t>
      </w:r>
      <w:r>
        <w:rPr>
          <w:szCs w:val="22"/>
        </w:rPr>
        <w:t>n</w:t>
      </w:r>
      <w:r>
        <w:rPr>
          <w:spacing w:val="-3"/>
          <w:szCs w:val="22"/>
        </w:rPr>
        <w:t>u</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pacing w:val="-2"/>
          <w:szCs w:val="22"/>
        </w:rPr>
        <w:t>t</w:t>
      </w:r>
      <w:r>
        <w:rPr>
          <w:szCs w:val="22"/>
        </w:rPr>
        <w:t>r</w:t>
      </w:r>
      <w:r>
        <w:rPr>
          <w:spacing w:val="-3"/>
          <w:szCs w:val="22"/>
        </w:rPr>
        <w:t>a</w:t>
      </w:r>
      <w:r>
        <w:rPr>
          <w:spacing w:val="-2"/>
          <w:szCs w:val="22"/>
        </w:rPr>
        <w:t>t</w:t>
      </w:r>
      <w:r>
        <w:rPr>
          <w:szCs w:val="22"/>
        </w:rPr>
        <w:t>a</w:t>
      </w:r>
      <w:r>
        <w:rPr>
          <w:spacing w:val="1"/>
          <w:szCs w:val="22"/>
        </w:rPr>
        <w:t>ț</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pacing w:val="-1"/>
          <w:szCs w:val="22"/>
        </w:rPr>
        <w:t xml:space="preserve"> </w:t>
      </w:r>
      <w:r>
        <w:rPr>
          <w:spacing w:val="-3"/>
          <w:szCs w:val="22"/>
        </w:rPr>
        <w:t>p</w:t>
      </w:r>
      <w:r>
        <w:rPr>
          <w:szCs w:val="22"/>
        </w:rPr>
        <w:t xml:space="preserve">ână </w:t>
      </w:r>
      <w:r>
        <w:rPr>
          <w:spacing w:val="1"/>
          <w:szCs w:val="22"/>
        </w:rPr>
        <w:t>l</w:t>
      </w:r>
      <w:r>
        <w:rPr>
          <w:szCs w:val="22"/>
        </w:rPr>
        <w:t xml:space="preserve">a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156</w:t>
      </w:r>
      <w:r>
        <w:rPr>
          <w:spacing w:val="-3"/>
          <w:szCs w:val="22"/>
        </w:rPr>
        <w:t xml:space="preserve"> </w:t>
      </w:r>
      <w:r>
        <w:rPr>
          <w:szCs w:val="22"/>
        </w:rPr>
        <w:t>și</w:t>
      </w:r>
      <w:r>
        <w:rPr>
          <w:spacing w:val="-2"/>
          <w:szCs w:val="22"/>
        </w:rPr>
        <w:t xml:space="preserve"> </w:t>
      </w:r>
      <w:r>
        <w:rPr>
          <w:szCs w:val="22"/>
        </w:rPr>
        <w:t>re</w:t>
      </w:r>
      <w:r>
        <w:rPr>
          <w:spacing w:val="-2"/>
          <w:szCs w:val="22"/>
        </w:rPr>
        <w:t>s</w:t>
      </w:r>
      <w:r>
        <w:rPr>
          <w:szCs w:val="22"/>
        </w:rPr>
        <w:t>pe</w:t>
      </w:r>
      <w:r>
        <w:rPr>
          <w:spacing w:val="-3"/>
          <w:szCs w:val="22"/>
        </w:rPr>
        <w:t>c</w:t>
      </w:r>
      <w:r>
        <w:rPr>
          <w:spacing w:val="-2"/>
          <w:szCs w:val="22"/>
        </w:rPr>
        <w:t>t</w:t>
      </w:r>
      <w:r>
        <w:rPr>
          <w:spacing w:val="1"/>
          <w:szCs w:val="22"/>
        </w:rPr>
        <w:t>i</w:t>
      </w:r>
      <w:r>
        <w:rPr>
          <w:szCs w:val="22"/>
        </w:rPr>
        <w:t>v</w:t>
      </w:r>
      <w:r>
        <w:rPr>
          <w:spacing w:val="-3"/>
          <w:szCs w:val="22"/>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104.</w:t>
      </w:r>
    </w:p>
    <w:p w14:paraId="0636FAF6" w14:textId="77777777" w:rsidR="00C04CAD" w:rsidRDefault="00C04CAD">
      <w:pPr>
        <w:tabs>
          <w:tab w:val="clear" w:pos="567"/>
        </w:tabs>
        <w:kinsoku w:val="0"/>
        <w:overflowPunct w:val="0"/>
        <w:autoSpaceDE w:val="0"/>
        <w:autoSpaceDN w:val="0"/>
        <w:adjustRightInd w:val="0"/>
        <w:spacing w:line="240" w:lineRule="auto"/>
        <w:rPr>
          <w:szCs w:val="22"/>
        </w:rPr>
      </w:pPr>
    </w:p>
    <w:p w14:paraId="0646750E" w14:textId="77777777" w:rsidR="00C04CAD" w:rsidRDefault="00060E34">
      <w:pPr>
        <w:tabs>
          <w:tab w:val="clear" w:pos="567"/>
        </w:tabs>
        <w:kinsoku w:val="0"/>
        <w:overflowPunct w:val="0"/>
        <w:autoSpaceDE w:val="0"/>
        <w:autoSpaceDN w:val="0"/>
        <w:adjustRightInd w:val="0"/>
        <w:spacing w:line="240" w:lineRule="auto"/>
        <w:rPr>
          <w:szCs w:val="22"/>
          <w:u w:val="single"/>
        </w:rPr>
      </w:pPr>
      <w:r>
        <w:rPr>
          <w:spacing w:val="-1"/>
          <w:szCs w:val="22"/>
          <w:u w:val="single"/>
        </w:rPr>
        <w:t>C</w:t>
      </w:r>
      <w:r>
        <w:rPr>
          <w:szCs w:val="22"/>
          <w:u w:val="single"/>
        </w:rPr>
        <w:t>a</w:t>
      </w:r>
      <w:r>
        <w:rPr>
          <w:spacing w:val="1"/>
          <w:szCs w:val="22"/>
          <w:u w:val="single"/>
        </w:rPr>
        <w:t>l</w:t>
      </w:r>
      <w:r>
        <w:rPr>
          <w:spacing w:val="-2"/>
          <w:szCs w:val="22"/>
          <w:u w:val="single"/>
        </w:rPr>
        <w:t>i</w:t>
      </w:r>
      <w:r>
        <w:rPr>
          <w:spacing w:val="1"/>
          <w:szCs w:val="22"/>
          <w:u w:val="single"/>
        </w:rPr>
        <w:t>t</w:t>
      </w:r>
      <w:r>
        <w:rPr>
          <w:spacing w:val="-3"/>
          <w:szCs w:val="22"/>
          <w:u w:val="single"/>
        </w:rPr>
        <w:t>a</w:t>
      </w:r>
      <w:r>
        <w:rPr>
          <w:spacing w:val="1"/>
          <w:szCs w:val="22"/>
          <w:u w:val="single"/>
        </w:rPr>
        <w:t>t</w:t>
      </w:r>
      <w:r>
        <w:rPr>
          <w:szCs w:val="22"/>
          <w:u w:val="single"/>
        </w:rPr>
        <w:t xml:space="preserve">ea </w:t>
      </w:r>
      <w:r>
        <w:rPr>
          <w:spacing w:val="-3"/>
          <w:szCs w:val="22"/>
          <w:u w:val="single"/>
        </w:rPr>
        <w:t>v</w:t>
      </w:r>
      <w:r>
        <w:rPr>
          <w:spacing w:val="1"/>
          <w:szCs w:val="22"/>
          <w:u w:val="single"/>
        </w:rPr>
        <w:t>i</w:t>
      </w:r>
      <w:r>
        <w:rPr>
          <w:spacing w:val="-3"/>
          <w:szCs w:val="22"/>
          <w:u w:val="single"/>
        </w:rPr>
        <w:t>e</w:t>
      </w:r>
      <w:r>
        <w:rPr>
          <w:spacing w:val="1"/>
          <w:szCs w:val="22"/>
          <w:u w:val="single"/>
        </w:rPr>
        <w:t>ț</w:t>
      </w:r>
      <w:r>
        <w:rPr>
          <w:spacing w:val="-2"/>
          <w:szCs w:val="22"/>
          <w:u w:val="single"/>
        </w:rPr>
        <w:t>i</w:t>
      </w:r>
      <w:r>
        <w:rPr>
          <w:szCs w:val="22"/>
          <w:u w:val="single"/>
        </w:rPr>
        <w:t>i</w:t>
      </w:r>
      <w:r>
        <w:rPr>
          <w:spacing w:val="1"/>
          <w:szCs w:val="22"/>
          <w:u w:val="single"/>
        </w:rPr>
        <w:t xml:space="preserve"> </w:t>
      </w:r>
      <w:r>
        <w:rPr>
          <w:spacing w:val="-2"/>
          <w:szCs w:val="22"/>
          <w:u w:val="single"/>
        </w:rPr>
        <w:t>ș</w:t>
      </w:r>
      <w:r>
        <w:rPr>
          <w:szCs w:val="22"/>
          <w:u w:val="single"/>
        </w:rPr>
        <w:t>i</w:t>
      </w:r>
      <w:r>
        <w:rPr>
          <w:spacing w:val="1"/>
          <w:szCs w:val="22"/>
          <w:u w:val="single"/>
        </w:rPr>
        <w:t xml:space="preserve"> </w:t>
      </w:r>
      <w:r>
        <w:rPr>
          <w:spacing w:val="-2"/>
          <w:szCs w:val="22"/>
          <w:u w:val="single"/>
        </w:rPr>
        <w:t>f</w:t>
      </w:r>
      <w:r>
        <w:rPr>
          <w:szCs w:val="22"/>
          <w:u w:val="single"/>
        </w:rPr>
        <w:t>u</w:t>
      </w:r>
      <w:r>
        <w:rPr>
          <w:spacing w:val="-1"/>
          <w:szCs w:val="22"/>
          <w:u w:val="single"/>
        </w:rPr>
        <w:t>n</w:t>
      </w:r>
      <w:r>
        <w:rPr>
          <w:spacing w:val="-3"/>
          <w:szCs w:val="22"/>
          <w:u w:val="single"/>
        </w:rPr>
        <w:t>c</w:t>
      </w:r>
      <w:r>
        <w:rPr>
          <w:spacing w:val="1"/>
          <w:szCs w:val="22"/>
          <w:u w:val="single"/>
        </w:rPr>
        <w:t>ți</w:t>
      </w:r>
      <w:r>
        <w:rPr>
          <w:szCs w:val="22"/>
          <w:u w:val="single"/>
        </w:rPr>
        <w:t>o</w:t>
      </w:r>
      <w:r>
        <w:rPr>
          <w:spacing w:val="-3"/>
          <w:szCs w:val="22"/>
          <w:u w:val="single"/>
        </w:rPr>
        <w:t>n</w:t>
      </w:r>
      <w:r>
        <w:rPr>
          <w:szCs w:val="22"/>
          <w:u w:val="single"/>
        </w:rPr>
        <w:t>a</w:t>
      </w:r>
      <w:r>
        <w:rPr>
          <w:spacing w:val="-2"/>
          <w:szCs w:val="22"/>
          <w:u w:val="single"/>
        </w:rPr>
        <w:t>l</w:t>
      </w:r>
      <w:r>
        <w:rPr>
          <w:spacing w:val="1"/>
          <w:szCs w:val="22"/>
          <w:u w:val="single"/>
        </w:rPr>
        <w:t>it</w:t>
      </w:r>
      <w:r>
        <w:rPr>
          <w:spacing w:val="-3"/>
          <w:szCs w:val="22"/>
          <w:u w:val="single"/>
        </w:rPr>
        <w:t>a</w:t>
      </w:r>
      <w:r>
        <w:rPr>
          <w:spacing w:val="1"/>
          <w:szCs w:val="22"/>
          <w:u w:val="single"/>
        </w:rPr>
        <w:t>t</w:t>
      </w:r>
      <w:r>
        <w:rPr>
          <w:spacing w:val="-3"/>
          <w:szCs w:val="22"/>
          <w:u w:val="single"/>
        </w:rPr>
        <w:t>e</w:t>
      </w:r>
      <w:r>
        <w:rPr>
          <w:szCs w:val="22"/>
          <w:u w:val="single"/>
        </w:rPr>
        <w:t>a a</w:t>
      </w:r>
      <w:r>
        <w:rPr>
          <w:spacing w:val="-2"/>
          <w:szCs w:val="22"/>
          <w:u w:val="single"/>
        </w:rPr>
        <w:t>r</w:t>
      </w:r>
      <w:r>
        <w:rPr>
          <w:spacing w:val="1"/>
          <w:szCs w:val="22"/>
          <w:u w:val="single"/>
        </w:rPr>
        <w:t>t</w:t>
      </w:r>
      <w:r>
        <w:rPr>
          <w:spacing w:val="-2"/>
          <w:szCs w:val="22"/>
          <w:u w:val="single"/>
        </w:rPr>
        <w:t>i</w:t>
      </w:r>
      <w:r>
        <w:rPr>
          <w:szCs w:val="22"/>
          <w:u w:val="single"/>
        </w:rPr>
        <w:t>cu</w:t>
      </w:r>
      <w:r>
        <w:rPr>
          <w:spacing w:val="-2"/>
          <w:szCs w:val="22"/>
          <w:u w:val="single"/>
        </w:rPr>
        <w:t>l</w:t>
      </w:r>
      <w:r>
        <w:rPr>
          <w:szCs w:val="22"/>
          <w:u w:val="single"/>
        </w:rPr>
        <w:t>a</w:t>
      </w:r>
      <w:r>
        <w:rPr>
          <w:spacing w:val="-2"/>
          <w:szCs w:val="22"/>
          <w:u w:val="single"/>
        </w:rPr>
        <w:t>r</w:t>
      </w:r>
      <w:r>
        <w:rPr>
          <w:szCs w:val="22"/>
          <w:u w:val="single"/>
        </w:rPr>
        <w:t>ă</w:t>
      </w:r>
    </w:p>
    <w:p w14:paraId="58054AB7" w14:textId="77777777" w:rsidR="00C04CAD" w:rsidRDefault="00C04CAD">
      <w:pPr>
        <w:tabs>
          <w:tab w:val="clear" w:pos="567"/>
        </w:tabs>
        <w:kinsoku w:val="0"/>
        <w:overflowPunct w:val="0"/>
        <w:autoSpaceDE w:val="0"/>
        <w:autoSpaceDN w:val="0"/>
        <w:adjustRightInd w:val="0"/>
        <w:spacing w:line="240" w:lineRule="auto"/>
        <w:rPr>
          <w:szCs w:val="22"/>
        </w:rPr>
      </w:pPr>
    </w:p>
    <w:p w14:paraId="5E1023E6"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u fo</w:t>
      </w:r>
      <w:r>
        <w:rPr>
          <w:spacing w:val="-2"/>
          <w:szCs w:val="22"/>
        </w:rPr>
        <w:t>s</w:t>
      </w:r>
      <w:r>
        <w:rPr>
          <w:szCs w:val="22"/>
        </w:rPr>
        <w:t>t</w:t>
      </w:r>
      <w:r>
        <w:rPr>
          <w:spacing w:val="1"/>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t</w:t>
      </w:r>
      <w:r>
        <w:rPr>
          <w:szCs w:val="22"/>
        </w:rPr>
        <w:t>e</w:t>
      </w:r>
      <w:r>
        <w:rPr>
          <w:spacing w:val="-2"/>
          <w:szCs w:val="22"/>
        </w:rPr>
        <w:t xml:space="preserve"> </w:t>
      </w:r>
      <w:r>
        <w:rPr>
          <w:szCs w:val="22"/>
        </w:rPr>
        <w:t>ca</w:t>
      </w:r>
      <w:r>
        <w:rPr>
          <w:spacing w:val="-2"/>
          <w:szCs w:val="22"/>
        </w:rPr>
        <w:t>li</w:t>
      </w:r>
      <w:r>
        <w:rPr>
          <w:spacing w:val="1"/>
          <w:szCs w:val="22"/>
        </w:rPr>
        <w:t>t</w:t>
      </w:r>
      <w:r>
        <w:rPr>
          <w:szCs w:val="22"/>
        </w:rPr>
        <w:t>a</w:t>
      </w:r>
      <w:r>
        <w:rPr>
          <w:spacing w:val="-2"/>
          <w:szCs w:val="22"/>
        </w:rPr>
        <w:t>t</w:t>
      </w:r>
      <w:r>
        <w:rPr>
          <w:szCs w:val="22"/>
        </w:rPr>
        <w:t xml:space="preserve">ea </w:t>
      </w:r>
      <w:r>
        <w:rPr>
          <w:spacing w:val="-3"/>
          <w:szCs w:val="22"/>
        </w:rPr>
        <w:t>v</w:t>
      </w:r>
      <w:r>
        <w:rPr>
          <w:spacing w:val="-2"/>
          <w:szCs w:val="22"/>
        </w:rPr>
        <w:t>i</w:t>
      </w:r>
      <w:r>
        <w:rPr>
          <w:szCs w:val="22"/>
        </w:rPr>
        <w:t>e</w:t>
      </w:r>
      <w:r>
        <w:rPr>
          <w:spacing w:val="1"/>
          <w:szCs w:val="22"/>
        </w:rPr>
        <w:t>ţ</w:t>
      </w:r>
      <w:r>
        <w:rPr>
          <w:spacing w:val="-2"/>
          <w:szCs w:val="22"/>
        </w:rPr>
        <w:t>i</w:t>
      </w:r>
      <w:r>
        <w:rPr>
          <w:szCs w:val="22"/>
        </w:rPr>
        <w:t>i</w:t>
      </w:r>
      <w:r>
        <w:rPr>
          <w:spacing w:val="-2"/>
          <w:szCs w:val="22"/>
        </w:rPr>
        <w:t xml:space="preserve"> </w:t>
      </w:r>
      <w:r>
        <w:rPr>
          <w:spacing w:val="1"/>
          <w:szCs w:val="22"/>
        </w:rPr>
        <w:t>î</w:t>
      </w:r>
      <w:r>
        <w:rPr>
          <w:szCs w:val="22"/>
        </w:rPr>
        <w:t xml:space="preserve">n </w:t>
      </w:r>
      <w:r>
        <w:rPr>
          <w:spacing w:val="-2"/>
          <w:szCs w:val="22"/>
        </w:rPr>
        <w:t>r</w:t>
      </w:r>
      <w:r>
        <w:rPr>
          <w:szCs w:val="22"/>
        </w:rPr>
        <w:t>e</w:t>
      </w:r>
      <w:r>
        <w:rPr>
          <w:spacing w:val="1"/>
          <w:szCs w:val="22"/>
        </w:rPr>
        <w:t>l</w:t>
      </w:r>
      <w:r>
        <w:rPr>
          <w:spacing w:val="-3"/>
          <w:szCs w:val="22"/>
        </w:rPr>
        <w:t>a</w:t>
      </w:r>
      <w:r>
        <w:rPr>
          <w:spacing w:val="1"/>
          <w:szCs w:val="22"/>
        </w:rPr>
        <w:t>ţ</w:t>
      </w:r>
      <w:r>
        <w:rPr>
          <w:spacing w:val="-2"/>
          <w:szCs w:val="22"/>
        </w:rPr>
        <w:t>i</w:t>
      </w:r>
      <w:r>
        <w:rPr>
          <w:szCs w:val="22"/>
        </w:rPr>
        <w:t>e cu</w:t>
      </w:r>
      <w:r>
        <w:rPr>
          <w:spacing w:val="-3"/>
          <w:szCs w:val="22"/>
        </w:rPr>
        <w:t xml:space="preserve"> </w:t>
      </w:r>
      <w:r>
        <w:rPr>
          <w:szCs w:val="22"/>
        </w:rPr>
        <w:t>săn</w:t>
      </w:r>
      <w:r>
        <w:rPr>
          <w:spacing w:val="-3"/>
          <w:szCs w:val="22"/>
        </w:rPr>
        <w:t>ă</w:t>
      </w:r>
      <w:r>
        <w:rPr>
          <w:spacing w:val="1"/>
          <w:szCs w:val="22"/>
        </w:rPr>
        <w:t>t</w:t>
      </w:r>
      <w:r>
        <w:rPr>
          <w:spacing w:val="-3"/>
          <w:szCs w:val="22"/>
        </w:rPr>
        <w:t>a</w:t>
      </w:r>
      <w:r>
        <w:rPr>
          <w:spacing w:val="1"/>
          <w:szCs w:val="22"/>
        </w:rPr>
        <w:t>t</w:t>
      </w:r>
      <w:r>
        <w:rPr>
          <w:szCs w:val="22"/>
        </w:rPr>
        <w:t>ea</w:t>
      </w:r>
      <w:r>
        <w:rPr>
          <w:spacing w:val="-2"/>
          <w:szCs w:val="22"/>
        </w:rPr>
        <w:t xml:space="preserve"> </w:t>
      </w:r>
      <w:r>
        <w:rPr>
          <w:szCs w:val="22"/>
        </w:rPr>
        <w:t>şi</w:t>
      </w:r>
      <w:r>
        <w:rPr>
          <w:spacing w:val="-2"/>
          <w:szCs w:val="22"/>
        </w:rPr>
        <w:t xml:space="preserve"> </w:t>
      </w:r>
      <w:r>
        <w:rPr>
          <w:szCs w:val="22"/>
        </w:rPr>
        <w:t>s</w:t>
      </w:r>
      <w:r>
        <w:rPr>
          <w:spacing w:val="1"/>
          <w:szCs w:val="22"/>
        </w:rPr>
        <w:t>t</w:t>
      </w:r>
      <w:r>
        <w:rPr>
          <w:spacing w:val="-3"/>
          <w:szCs w:val="22"/>
        </w:rPr>
        <w:t>a</w:t>
      </w:r>
      <w:r>
        <w:rPr>
          <w:szCs w:val="22"/>
        </w:rPr>
        <w:t>rea</w:t>
      </w:r>
      <w:r>
        <w:rPr>
          <w:spacing w:val="-2"/>
          <w:szCs w:val="22"/>
        </w:rPr>
        <w:t xml:space="preserve"> </w:t>
      </w:r>
      <w:r>
        <w:rPr>
          <w:szCs w:val="22"/>
        </w:rPr>
        <w:t>f</w:t>
      </w:r>
      <w:r>
        <w:rPr>
          <w:spacing w:val="1"/>
          <w:szCs w:val="22"/>
        </w:rPr>
        <w:t>i</w:t>
      </w:r>
      <w:r>
        <w:rPr>
          <w:spacing w:val="-3"/>
          <w:szCs w:val="22"/>
        </w:rPr>
        <w:t>z</w:t>
      </w:r>
      <w:r>
        <w:rPr>
          <w:spacing w:val="-2"/>
          <w:szCs w:val="22"/>
        </w:rPr>
        <w:t>i</w:t>
      </w:r>
      <w:r>
        <w:rPr>
          <w:szCs w:val="22"/>
        </w:rPr>
        <w:t xml:space="preserve">că, </w:t>
      </w:r>
      <w:r>
        <w:rPr>
          <w:spacing w:val="-3"/>
          <w:szCs w:val="22"/>
        </w:rPr>
        <w:t>u</w:t>
      </w:r>
      <w:r>
        <w:rPr>
          <w:spacing w:val="1"/>
          <w:szCs w:val="22"/>
        </w:rPr>
        <w:t>t</w:t>
      </w:r>
      <w:r>
        <w:rPr>
          <w:spacing w:val="-2"/>
          <w:szCs w:val="22"/>
        </w:rPr>
        <w:t>i</w:t>
      </w:r>
      <w:r>
        <w:rPr>
          <w:spacing w:val="1"/>
          <w:szCs w:val="22"/>
        </w:rPr>
        <w:t>li</w:t>
      </w:r>
      <w:r>
        <w:rPr>
          <w:spacing w:val="-3"/>
          <w:szCs w:val="22"/>
        </w:rPr>
        <w:t>z</w:t>
      </w:r>
      <w:r>
        <w:rPr>
          <w:szCs w:val="22"/>
        </w:rPr>
        <w:t>ând</w:t>
      </w:r>
      <w:r>
        <w:rPr>
          <w:spacing w:val="-3"/>
          <w:szCs w:val="22"/>
        </w:rPr>
        <w:t xml:space="preserve"> </w:t>
      </w:r>
      <w:r>
        <w:rPr>
          <w:szCs w:val="22"/>
        </w:rPr>
        <w:t>che</w:t>
      </w:r>
      <w:r>
        <w:rPr>
          <w:spacing w:val="-2"/>
          <w:szCs w:val="22"/>
        </w:rPr>
        <w:t>s</w:t>
      </w:r>
      <w:r>
        <w:rPr>
          <w:spacing w:val="1"/>
          <w:szCs w:val="22"/>
        </w:rPr>
        <w:t>ti</w:t>
      </w:r>
      <w:r>
        <w:rPr>
          <w:szCs w:val="22"/>
        </w:rPr>
        <w:t>o</w:t>
      </w:r>
      <w:r>
        <w:rPr>
          <w:spacing w:val="-3"/>
          <w:szCs w:val="22"/>
        </w:rPr>
        <w:t>n</w:t>
      </w:r>
      <w:r>
        <w:rPr>
          <w:szCs w:val="22"/>
        </w:rPr>
        <w:t>ar</w:t>
      </w:r>
      <w:r>
        <w:rPr>
          <w:spacing w:val="-3"/>
          <w:szCs w:val="22"/>
        </w:rPr>
        <w:t>e</w:t>
      </w:r>
      <w:r>
        <w:rPr>
          <w:spacing w:val="1"/>
          <w:szCs w:val="22"/>
        </w:rPr>
        <w:t>l</w:t>
      </w:r>
      <w:r>
        <w:rPr>
          <w:szCs w:val="22"/>
        </w:rPr>
        <w:t xml:space="preserve">e </w:t>
      </w:r>
      <w:r>
        <w:rPr>
          <w:spacing w:val="-1"/>
          <w:szCs w:val="22"/>
        </w:rPr>
        <w:t>HA</w:t>
      </w:r>
      <w:r>
        <w:rPr>
          <w:spacing w:val="-3"/>
          <w:szCs w:val="22"/>
        </w:rPr>
        <w:t>Q</w:t>
      </w:r>
      <w:r>
        <w:rPr>
          <w:spacing w:val="-4"/>
          <w:szCs w:val="22"/>
        </w:rPr>
        <w:t>-</w:t>
      </w:r>
      <w:r>
        <w:rPr>
          <w:szCs w:val="22"/>
        </w:rPr>
        <w:t>S</w:t>
      </w:r>
      <w:r>
        <w:rPr>
          <w:spacing w:val="-1"/>
          <w:szCs w:val="22"/>
        </w:rPr>
        <w:t xml:space="preserve"> </w:t>
      </w:r>
      <w:r>
        <w:rPr>
          <w:szCs w:val="22"/>
        </w:rPr>
        <w:t xml:space="preserve">şi </w:t>
      </w:r>
      <w:r>
        <w:rPr>
          <w:spacing w:val="-1"/>
          <w:szCs w:val="22"/>
        </w:rPr>
        <w:t>S</w:t>
      </w:r>
      <w:r>
        <w:rPr>
          <w:szCs w:val="22"/>
        </w:rPr>
        <w:t>F</w:t>
      </w:r>
      <w:r>
        <w:rPr>
          <w:spacing w:val="-1"/>
          <w:szCs w:val="22"/>
        </w:rPr>
        <w:t xml:space="preserve"> </w:t>
      </w:r>
      <w:r>
        <w:rPr>
          <w:szCs w:val="22"/>
        </w:rPr>
        <w:t xml:space="preserve">36. </w:t>
      </w:r>
      <w:r>
        <w:rPr>
          <w:spacing w:val="-1"/>
          <w:szCs w:val="22"/>
        </w:rPr>
        <w:t>C</w:t>
      </w:r>
      <w:r>
        <w:rPr>
          <w:szCs w:val="22"/>
        </w:rPr>
        <w:t>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cu p</w:t>
      </w:r>
      <w:r>
        <w:rPr>
          <w:spacing w:val="1"/>
          <w:szCs w:val="22"/>
        </w:rPr>
        <w:t>l</w:t>
      </w:r>
      <w:r>
        <w:rPr>
          <w:spacing w:val="-3"/>
          <w:szCs w:val="22"/>
        </w:rPr>
        <w:t>a</w:t>
      </w:r>
      <w:r>
        <w:rPr>
          <w:szCs w:val="22"/>
        </w:rPr>
        <w:t>c</w:t>
      </w:r>
      <w:r>
        <w:rPr>
          <w:spacing w:val="-3"/>
          <w:szCs w:val="22"/>
        </w:rPr>
        <w:t>e</w:t>
      </w:r>
      <w:r>
        <w:rPr>
          <w:szCs w:val="22"/>
        </w:rPr>
        <w:t>bo,</w:t>
      </w:r>
      <w:r>
        <w:rPr>
          <w:rFonts w:eastAsia="MS Mincho"/>
          <w:spacing w:val="-1"/>
          <w:szCs w:val="22"/>
          <w:lang w:eastAsia="en-US" w:bidi="ar-SA"/>
        </w:rPr>
        <w:t xml:space="preserve"> adalimumab</w:t>
      </w:r>
      <w:r>
        <w:rPr>
          <w:szCs w:val="22"/>
        </w:rPr>
        <w:t xml:space="preserve"> a </w:t>
      </w:r>
      <w:r>
        <w:rPr>
          <w:spacing w:val="-3"/>
          <w:szCs w:val="22"/>
        </w:rPr>
        <w:t>a</w:t>
      </w:r>
      <w:r>
        <w:rPr>
          <w:szCs w:val="22"/>
        </w:rPr>
        <w:t>r</w:t>
      </w:r>
      <w:r>
        <w:rPr>
          <w:spacing w:val="-3"/>
          <w:szCs w:val="22"/>
        </w:rPr>
        <w:t>ă</w:t>
      </w:r>
      <w:r>
        <w:rPr>
          <w:spacing w:val="1"/>
          <w:szCs w:val="22"/>
        </w:rPr>
        <w:t>t</w:t>
      </w:r>
      <w:r>
        <w:rPr>
          <w:szCs w:val="22"/>
        </w:rPr>
        <w:t>at</w:t>
      </w:r>
      <w:r>
        <w:rPr>
          <w:spacing w:val="-2"/>
          <w:szCs w:val="22"/>
        </w:rPr>
        <w:t xml:space="preserve"> </w:t>
      </w:r>
      <w:r>
        <w:rPr>
          <w:szCs w:val="22"/>
        </w:rPr>
        <w:t xml:space="preserve">o </w:t>
      </w:r>
      <w:r>
        <w:rPr>
          <w:spacing w:val="1"/>
          <w:szCs w:val="22"/>
        </w:rPr>
        <w:t>î</w:t>
      </w:r>
      <w:r>
        <w:rPr>
          <w:spacing w:val="-4"/>
          <w:szCs w:val="22"/>
        </w:rPr>
        <w:t>m</w:t>
      </w:r>
      <w:r>
        <w:rPr>
          <w:szCs w:val="22"/>
        </w:rPr>
        <w:t>bună</w:t>
      </w:r>
      <w:r>
        <w:rPr>
          <w:spacing w:val="1"/>
          <w:szCs w:val="22"/>
        </w:rPr>
        <w:t>t</w:t>
      </w:r>
      <w:r>
        <w:rPr>
          <w:spacing w:val="-3"/>
          <w:szCs w:val="22"/>
        </w:rPr>
        <w:t>ă</w:t>
      </w:r>
      <w:r>
        <w:rPr>
          <w:spacing w:val="1"/>
          <w:szCs w:val="22"/>
        </w:rPr>
        <w:t>ţ</w:t>
      </w:r>
      <w:r>
        <w:rPr>
          <w:spacing w:val="-2"/>
          <w:szCs w:val="22"/>
        </w:rPr>
        <w:t>i</w:t>
      </w:r>
      <w:r>
        <w:rPr>
          <w:szCs w:val="22"/>
        </w:rPr>
        <w:t>re</w:t>
      </w:r>
      <w:r>
        <w:rPr>
          <w:spacing w:val="-2"/>
          <w:szCs w:val="22"/>
        </w:rPr>
        <w:t xml:space="preserve"> </w:t>
      </w:r>
      <w:r>
        <w:rPr>
          <w:szCs w:val="22"/>
        </w:rPr>
        <w:t>se</w:t>
      </w:r>
      <w:r>
        <w:rPr>
          <w:spacing w:val="-4"/>
          <w:szCs w:val="22"/>
        </w:rPr>
        <w:t>m</w:t>
      </w:r>
      <w:r>
        <w:rPr>
          <w:szCs w:val="22"/>
        </w:rPr>
        <w:t>n</w:t>
      </w:r>
      <w:r>
        <w:rPr>
          <w:spacing w:val="1"/>
          <w:szCs w:val="22"/>
        </w:rPr>
        <w:t>i</w:t>
      </w:r>
      <w:r>
        <w:rPr>
          <w:szCs w:val="22"/>
        </w:rPr>
        <w:t>f</w:t>
      </w:r>
      <w:r>
        <w:rPr>
          <w:spacing w:val="-2"/>
          <w:szCs w:val="22"/>
        </w:rPr>
        <w:t>i</w:t>
      </w:r>
      <w:r>
        <w:rPr>
          <w:szCs w:val="22"/>
        </w:rPr>
        <w:t>ca</w:t>
      </w:r>
      <w:r>
        <w:rPr>
          <w:spacing w:val="-2"/>
          <w:szCs w:val="22"/>
        </w:rPr>
        <w:t>t</w:t>
      </w:r>
      <w:r>
        <w:rPr>
          <w:spacing w:val="1"/>
          <w:szCs w:val="22"/>
        </w:rPr>
        <w:t>i</w:t>
      </w:r>
      <w:r>
        <w:rPr>
          <w:szCs w:val="22"/>
        </w:rPr>
        <w:t>v</w:t>
      </w:r>
      <w:r>
        <w:rPr>
          <w:spacing w:val="-3"/>
          <w:szCs w:val="22"/>
        </w:rPr>
        <w:t xml:space="preserve"> </w:t>
      </w:r>
      <w:r>
        <w:rPr>
          <w:szCs w:val="22"/>
        </w:rPr>
        <w:t>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ti</w:t>
      </w:r>
      <w:r>
        <w:rPr>
          <w:szCs w:val="22"/>
        </w:rPr>
        <w:t xml:space="preserve">că </w:t>
      </w:r>
      <w:r>
        <w:rPr>
          <w:spacing w:val="-4"/>
          <w:szCs w:val="22"/>
        </w:rPr>
        <w:t>m</w:t>
      </w:r>
      <w:r>
        <w:rPr>
          <w:szCs w:val="22"/>
        </w:rPr>
        <w:t>ai</w:t>
      </w:r>
      <w:r>
        <w:rPr>
          <w:spacing w:val="1"/>
          <w:szCs w:val="22"/>
        </w:rPr>
        <w:t xml:space="preserve"> </w:t>
      </w:r>
      <w:r>
        <w:rPr>
          <w:spacing w:val="-4"/>
          <w:szCs w:val="22"/>
        </w:rPr>
        <w:t>m</w:t>
      </w:r>
      <w:r>
        <w:rPr>
          <w:szCs w:val="22"/>
        </w:rPr>
        <w:t xml:space="preserve">are </w:t>
      </w:r>
      <w:r>
        <w:rPr>
          <w:spacing w:val="1"/>
          <w:szCs w:val="22"/>
        </w:rPr>
        <w:t>î</w:t>
      </w:r>
      <w:r>
        <w:rPr>
          <w:szCs w:val="22"/>
        </w:rPr>
        <w:t>n scor</w:t>
      </w:r>
      <w:r>
        <w:rPr>
          <w:spacing w:val="-3"/>
          <w:szCs w:val="22"/>
        </w:rPr>
        <w:t>u</w:t>
      </w:r>
      <w:r>
        <w:rPr>
          <w:szCs w:val="22"/>
        </w:rPr>
        <w:t>l</w:t>
      </w:r>
      <w:r>
        <w:rPr>
          <w:spacing w:val="-2"/>
          <w:szCs w:val="22"/>
        </w:rPr>
        <w:t xml:space="preserve"> </w:t>
      </w:r>
      <w:r>
        <w:rPr>
          <w:spacing w:val="1"/>
          <w:szCs w:val="22"/>
        </w:rPr>
        <w:t>t</w:t>
      </w:r>
      <w:r>
        <w:rPr>
          <w:szCs w:val="22"/>
        </w:rPr>
        <w:t>o</w:t>
      </w:r>
      <w:r>
        <w:rPr>
          <w:spacing w:val="-2"/>
          <w:szCs w:val="22"/>
        </w:rPr>
        <w:t>t</w:t>
      </w:r>
      <w:r>
        <w:rPr>
          <w:szCs w:val="22"/>
        </w:rPr>
        <w:t>al</w:t>
      </w:r>
      <w:r>
        <w:rPr>
          <w:spacing w:val="1"/>
          <w:szCs w:val="22"/>
        </w:rPr>
        <w:t xml:space="preserve"> </w:t>
      </w:r>
      <w:r>
        <w:rPr>
          <w:spacing w:val="-1"/>
          <w:szCs w:val="22"/>
        </w:rPr>
        <w:t>HAQ</w:t>
      </w:r>
      <w:r>
        <w:rPr>
          <w:spacing w:val="-4"/>
          <w:szCs w:val="22"/>
        </w:rPr>
        <w:t>-</w:t>
      </w:r>
      <w:r>
        <w:rPr>
          <w:szCs w:val="22"/>
        </w:rPr>
        <w:t>S</w:t>
      </w:r>
      <w:r>
        <w:rPr>
          <w:spacing w:val="-1"/>
          <w:szCs w:val="22"/>
        </w:rPr>
        <w:t xml:space="preserve"> </w:t>
      </w:r>
      <w:r>
        <w:rPr>
          <w:szCs w:val="22"/>
        </w:rPr>
        <w:t>şi</w:t>
      </w:r>
      <w:r>
        <w:rPr>
          <w:spacing w:val="1"/>
          <w:szCs w:val="22"/>
        </w:rPr>
        <w:t xml:space="preserve"> </w:t>
      </w:r>
      <w:r>
        <w:rPr>
          <w:szCs w:val="22"/>
        </w:rPr>
        <w:t>sco</w:t>
      </w:r>
      <w:r>
        <w:rPr>
          <w:spacing w:val="-2"/>
          <w:szCs w:val="22"/>
        </w:rPr>
        <w:t>r</w:t>
      </w:r>
      <w:r>
        <w:rPr>
          <w:spacing w:val="-3"/>
          <w:szCs w:val="22"/>
        </w:rPr>
        <w:t>u</w:t>
      </w:r>
      <w:r>
        <w:rPr>
          <w:szCs w:val="22"/>
        </w:rPr>
        <w:t>l</w:t>
      </w:r>
      <w:r>
        <w:rPr>
          <w:spacing w:val="1"/>
          <w:szCs w:val="22"/>
        </w:rPr>
        <w:t xml:space="preserve"> </w:t>
      </w:r>
      <w:r>
        <w:rPr>
          <w:szCs w:val="22"/>
        </w:rPr>
        <w:t>co</w:t>
      </w:r>
      <w:r>
        <w:rPr>
          <w:spacing w:val="-4"/>
          <w:szCs w:val="22"/>
        </w:rPr>
        <w:t>m</w:t>
      </w:r>
      <w:r>
        <w:rPr>
          <w:szCs w:val="22"/>
        </w:rPr>
        <w:t>ponen</w:t>
      </w:r>
      <w:r>
        <w:rPr>
          <w:spacing w:val="-2"/>
          <w:szCs w:val="22"/>
        </w:rPr>
        <w:t>t</w:t>
      </w:r>
      <w:r>
        <w:rPr>
          <w:szCs w:val="22"/>
        </w:rPr>
        <w:t>ei</w:t>
      </w:r>
      <w:r>
        <w:rPr>
          <w:spacing w:val="-2"/>
          <w:szCs w:val="22"/>
        </w:rPr>
        <w:t xml:space="preserve"> </w:t>
      </w:r>
      <w:r>
        <w:rPr>
          <w:szCs w:val="22"/>
        </w:rPr>
        <w:t>f</w:t>
      </w:r>
      <w:r>
        <w:rPr>
          <w:spacing w:val="1"/>
          <w:szCs w:val="22"/>
        </w:rPr>
        <w:t>i</w:t>
      </w:r>
      <w:r>
        <w:rPr>
          <w:spacing w:val="-3"/>
          <w:szCs w:val="22"/>
        </w:rPr>
        <w:t>z</w:t>
      </w:r>
      <w:r>
        <w:rPr>
          <w:spacing w:val="1"/>
          <w:szCs w:val="22"/>
        </w:rPr>
        <w:t>i</w:t>
      </w:r>
      <w:r>
        <w:rPr>
          <w:spacing w:val="-3"/>
          <w:szCs w:val="22"/>
        </w:rPr>
        <w:t>c</w:t>
      </w:r>
      <w:r>
        <w:rPr>
          <w:szCs w:val="22"/>
        </w:rPr>
        <w:t xml:space="preserve">e </w:t>
      </w:r>
      <w:r>
        <w:rPr>
          <w:spacing w:val="-1"/>
          <w:szCs w:val="22"/>
        </w:rPr>
        <w:t>SF</w:t>
      </w:r>
      <w:r>
        <w:rPr>
          <w:spacing w:val="-4"/>
          <w:szCs w:val="22"/>
        </w:rPr>
        <w:t>-</w:t>
      </w:r>
      <w:r>
        <w:rPr>
          <w:szCs w:val="22"/>
        </w:rPr>
        <w:t>36 (</w:t>
      </w:r>
      <w:r>
        <w:rPr>
          <w:spacing w:val="-1"/>
          <w:szCs w:val="22"/>
        </w:rPr>
        <w:t>SCF</w:t>
      </w:r>
      <w:r>
        <w:rPr>
          <w:szCs w:val="22"/>
        </w:rPr>
        <w:t>)</w:t>
      </w:r>
      <w:r>
        <w:rPr>
          <w:spacing w:val="1"/>
          <w:szCs w:val="22"/>
        </w:rPr>
        <w:t xml:space="preserve"> </w:t>
      </w:r>
      <w:r>
        <w:rPr>
          <w:szCs w:val="22"/>
        </w:rPr>
        <w:t>de</w:t>
      </w:r>
      <w:r>
        <w:rPr>
          <w:spacing w:val="-2"/>
          <w:szCs w:val="22"/>
        </w:rPr>
        <w:t xml:space="preserve"> </w:t>
      </w:r>
      <w:r>
        <w:rPr>
          <w:spacing w:val="1"/>
          <w:szCs w:val="22"/>
        </w:rPr>
        <w:t>l</w:t>
      </w:r>
      <w:r>
        <w:rPr>
          <w:szCs w:val="22"/>
        </w:rPr>
        <w:t xml:space="preserve">a </w:t>
      </w:r>
      <w:r>
        <w:rPr>
          <w:spacing w:val="-4"/>
          <w:szCs w:val="22"/>
        </w:rPr>
        <w:t>m</w:t>
      </w:r>
      <w:r>
        <w:rPr>
          <w:szCs w:val="22"/>
        </w:rPr>
        <w:t>o</w:t>
      </w:r>
      <w:r>
        <w:rPr>
          <w:spacing w:val="-4"/>
          <w:szCs w:val="22"/>
        </w:rPr>
        <w:t>m</w:t>
      </w:r>
      <w:r>
        <w:rPr>
          <w:szCs w:val="22"/>
        </w:rPr>
        <w:t>en</w:t>
      </w:r>
      <w:r>
        <w:rPr>
          <w:spacing w:val="1"/>
          <w:szCs w:val="22"/>
        </w:rPr>
        <w:t>t</w:t>
      </w:r>
      <w:r>
        <w:rPr>
          <w:szCs w:val="22"/>
        </w:rPr>
        <w:t>ul</w:t>
      </w:r>
      <w:r>
        <w:rPr>
          <w:spacing w:val="1"/>
          <w:szCs w:val="22"/>
        </w:rPr>
        <w:t xml:space="preserve"> i</w:t>
      </w:r>
      <w:r>
        <w:rPr>
          <w:spacing w:val="-3"/>
          <w:szCs w:val="22"/>
        </w:rPr>
        <w:t>n</w:t>
      </w:r>
      <w:r>
        <w:rPr>
          <w:spacing w:val="1"/>
          <w:szCs w:val="22"/>
        </w:rPr>
        <w:t>i</w:t>
      </w:r>
      <w:r>
        <w:rPr>
          <w:spacing w:val="-2"/>
          <w:szCs w:val="22"/>
        </w:rPr>
        <w:t>ţi</w:t>
      </w:r>
      <w:r>
        <w:rPr>
          <w:szCs w:val="22"/>
        </w:rPr>
        <w:t>al</w:t>
      </w:r>
      <w:r>
        <w:rPr>
          <w:spacing w:val="1"/>
          <w:szCs w:val="22"/>
        </w:rPr>
        <w:t xml:space="preserve"> </w:t>
      </w:r>
      <w:r>
        <w:rPr>
          <w:szCs w:val="22"/>
        </w:rPr>
        <w:t>p</w:t>
      </w:r>
      <w:r>
        <w:rPr>
          <w:spacing w:val="-3"/>
          <w:szCs w:val="22"/>
        </w:rPr>
        <w:t>â</w:t>
      </w:r>
      <w:r>
        <w:rPr>
          <w:szCs w:val="22"/>
        </w:rPr>
        <w:t xml:space="preserve">nă </w:t>
      </w:r>
      <w:r>
        <w:rPr>
          <w:spacing w:val="-2"/>
          <w:szCs w:val="22"/>
        </w:rPr>
        <w:t>î</w:t>
      </w:r>
      <w:r>
        <w:rPr>
          <w:szCs w:val="22"/>
        </w:rPr>
        <w:t>n săp</w:t>
      </w:r>
      <w:r>
        <w:rPr>
          <w:spacing w:val="-2"/>
          <w:szCs w:val="22"/>
        </w:rPr>
        <w:t>t</w:t>
      </w:r>
      <w:r>
        <w:rPr>
          <w:szCs w:val="22"/>
        </w:rPr>
        <w:t>ă</w:t>
      </w:r>
      <w:r>
        <w:rPr>
          <w:spacing w:val="-4"/>
          <w:szCs w:val="22"/>
        </w:rPr>
        <w:t>m</w:t>
      </w:r>
      <w:r>
        <w:rPr>
          <w:szCs w:val="22"/>
        </w:rPr>
        <w:t xml:space="preserve">âna 12. </w:t>
      </w:r>
      <w:r>
        <w:rPr>
          <w:spacing w:val="-2"/>
          <w:szCs w:val="22"/>
        </w:rPr>
        <w:t>Î</w:t>
      </w:r>
      <w:r>
        <w:rPr>
          <w:spacing w:val="-4"/>
          <w:szCs w:val="22"/>
        </w:rPr>
        <w:t>m</w:t>
      </w:r>
      <w:r>
        <w:rPr>
          <w:szCs w:val="22"/>
        </w:rPr>
        <w:t>bună</w:t>
      </w:r>
      <w:r>
        <w:rPr>
          <w:spacing w:val="1"/>
          <w:szCs w:val="22"/>
        </w:rPr>
        <w:t>t</w:t>
      </w:r>
      <w:r>
        <w:rPr>
          <w:szCs w:val="22"/>
        </w:rPr>
        <w:t>ă</w:t>
      </w:r>
      <w:r>
        <w:rPr>
          <w:spacing w:val="-2"/>
          <w:szCs w:val="22"/>
        </w:rPr>
        <w:t>ţ</w:t>
      </w:r>
      <w:r>
        <w:rPr>
          <w:spacing w:val="1"/>
          <w:szCs w:val="22"/>
        </w:rPr>
        <w:t>i</w:t>
      </w:r>
      <w:r>
        <w:rPr>
          <w:szCs w:val="22"/>
        </w:rPr>
        <w:t>r</w:t>
      </w:r>
      <w:r>
        <w:rPr>
          <w:spacing w:val="-3"/>
          <w:szCs w:val="22"/>
        </w:rPr>
        <w:t>e</w:t>
      </w:r>
      <w:r>
        <w:rPr>
          <w:szCs w:val="22"/>
        </w:rPr>
        <w:t>a c</w:t>
      </w:r>
      <w:r>
        <w:rPr>
          <w:spacing w:val="-3"/>
          <w:szCs w:val="22"/>
        </w:rPr>
        <w:t>a</w:t>
      </w:r>
      <w:r>
        <w:rPr>
          <w:spacing w:val="1"/>
          <w:szCs w:val="22"/>
        </w:rPr>
        <w:t>l</w:t>
      </w:r>
      <w:r>
        <w:rPr>
          <w:spacing w:val="-2"/>
          <w:szCs w:val="22"/>
        </w:rPr>
        <w:t>i</w:t>
      </w:r>
      <w:r>
        <w:rPr>
          <w:spacing w:val="1"/>
          <w:szCs w:val="22"/>
        </w:rPr>
        <w:t>t</w:t>
      </w:r>
      <w:r>
        <w:rPr>
          <w:szCs w:val="22"/>
        </w:rPr>
        <w:t>ă</w:t>
      </w:r>
      <w:r>
        <w:rPr>
          <w:spacing w:val="-2"/>
          <w:szCs w:val="22"/>
        </w:rPr>
        <w:t>ţi</w:t>
      </w:r>
      <w:r>
        <w:rPr>
          <w:szCs w:val="22"/>
        </w:rPr>
        <w:t>i</w:t>
      </w:r>
      <w:r>
        <w:rPr>
          <w:spacing w:val="1"/>
          <w:szCs w:val="22"/>
        </w:rPr>
        <w:t xml:space="preserve"> </w:t>
      </w:r>
      <w:r>
        <w:rPr>
          <w:spacing w:val="-3"/>
          <w:szCs w:val="22"/>
        </w:rPr>
        <w:t>v</w:t>
      </w:r>
      <w:r>
        <w:rPr>
          <w:spacing w:val="1"/>
          <w:szCs w:val="22"/>
        </w:rPr>
        <w:t>i</w:t>
      </w:r>
      <w:r>
        <w:rPr>
          <w:szCs w:val="22"/>
        </w:rPr>
        <w:t>e</w:t>
      </w:r>
      <w:r>
        <w:rPr>
          <w:spacing w:val="-2"/>
          <w:szCs w:val="22"/>
        </w:rPr>
        <w:t>ţ</w:t>
      </w:r>
      <w:r>
        <w:rPr>
          <w:spacing w:val="1"/>
          <w:szCs w:val="22"/>
        </w:rPr>
        <w:t>i</w:t>
      </w:r>
      <w:r>
        <w:rPr>
          <w:szCs w:val="22"/>
        </w:rPr>
        <w:t>i</w:t>
      </w:r>
      <w:r>
        <w:rPr>
          <w:spacing w:val="-2"/>
          <w:szCs w:val="22"/>
        </w:rPr>
        <w:t xml:space="preserve"> </w:t>
      </w:r>
      <w:r>
        <w:rPr>
          <w:szCs w:val="22"/>
        </w:rPr>
        <w:t>şi</w:t>
      </w:r>
      <w:r>
        <w:rPr>
          <w:spacing w:val="-2"/>
          <w:szCs w:val="22"/>
        </w:rPr>
        <w:t xml:space="preserve"> </w:t>
      </w:r>
      <w:r>
        <w:rPr>
          <w:szCs w:val="22"/>
        </w:rPr>
        <w:t>fun</w:t>
      </w:r>
      <w:r>
        <w:rPr>
          <w:spacing w:val="-3"/>
          <w:szCs w:val="22"/>
        </w:rPr>
        <w:t>c</w:t>
      </w:r>
      <w:r>
        <w:rPr>
          <w:spacing w:val="1"/>
          <w:szCs w:val="22"/>
        </w:rPr>
        <w:t>ţ</w:t>
      </w:r>
      <w:r>
        <w:rPr>
          <w:spacing w:val="-2"/>
          <w:szCs w:val="22"/>
        </w:rPr>
        <w:t>i</w:t>
      </w:r>
      <w:r>
        <w:rPr>
          <w:szCs w:val="22"/>
        </w:rPr>
        <w:t>on</w:t>
      </w:r>
      <w:r>
        <w:rPr>
          <w:spacing w:val="-3"/>
          <w:szCs w:val="22"/>
        </w:rPr>
        <w:t>a</w:t>
      </w:r>
      <w:r>
        <w:rPr>
          <w:spacing w:val="1"/>
          <w:szCs w:val="22"/>
        </w:rPr>
        <w:t>l</w:t>
      </w:r>
      <w:r>
        <w:rPr>
          <w:spacing w:val="-2"/>
          <w:szCs w:val="22"/>
        </w:rPr>
        <w:t>i</w:t>
      </w:r>
      <w:r>
        <w:rPr>
          <w:spacing w:val="1"/>
          <w:szCs w:val="22"/>
        </w:rPr>
        <w:t>t</w:t>
      </w:r>
      <w:r>
        <w:rPr>
          <w:szCs w:val="22"/>
        </w:rPr>
        <w:t>a</w:t>
      </w:r>
      <w:r>
        <w:rPr>
          <w:spacing w:val="-2"/>
          <w:szCs w:val="22"/>
        </w:rPr>
        <w:t>t</w:t>
      </w:r>
      <w:r>
        <w:rPr>
          <w:szCs w:val="22"/>
        </w:rPr>
        <w:t xml:space="preserve">ea </w:t>
      </w:r>
      <w:r>
        <w:rPr>
          <w:spacing w:val="-3"/>
          <w:szCs w:val="22"/>
        </w:rPr>
        <w:t>a</w:t>
      </w:r>
      <w:r>
        <w:rPr>
          <w:szCs w:val="22"/>
        </w:rPr>
        <w:t>r</w:t>
      </w:r>
      <w:r>
        <w:rPr>
          <w:spacing w:val="-2"/>
          <w:szCs w:val="22"/>
        </w:rPr>
        <w:t>t</w:t>
      </w:r>
      <w:r>
        <w:rPr>
          <w:spacing w:val="1"/>
          <w:szCs w:val="22"/>
        </w:rPr>
        <w:t>i</w:t>
      </w:r>
      <w:r>
        <w:rPr>
          <w:szCs w:val="22"/>
        </w:rPr>
        <w:t>c</w:t>
      </w:r>
      <w:r>
        <w:rPr>
          <w:spacing w:val="-3"/>
          <w:szCs w:val="22"/>
        </w:rPr>
        <w:t>u</w:t>
      </w:r>
      <w:r>
        <w:rPr>
          <w:spacing w:val="1"/>
          <w:szCs w:val="22"/>
        </w:rPr>
        <w:t>l</w:t>
      </w:r>
      <w:r>
        <w:rPr>
          <w:spacing w:val="-3"/>
          <w:szCs w:val="22"/>
        </w:rPr>
        <w:t>a</w:t>
      </w:r>
      <w:r>
        <w:rPr>
          <w:szCs w:val="22"/>
        </w:rPr>
        <w:t xml:space="preserve">ră </w:t>
      </w:r>
      <w:r>
        <w:rPr>
          <w:spacing w:val="-1"/>
          <w:szCs w:val="22"/>
        </w:rPr>
        <w:t>s</w:t>
      </w:r>
      <w:r>
        <w:rPr>
          <w:spacing w:val="-4"/>
          <w:szCs w:val="22"/>
        </w:rPr>
        <w:t>-</w:t>
      </w:r>
      <w:r>
        <w:rPr>
          <w:szCs w:val="22"/>
        </w:rPr>
        <w:t xml:space="preserve">a </w:t>
      </w:r>
      <w:r>
        <w:rPr>
          <w:spacing w:val="-4"/>
          <w:szCs w:val="22"/>
        </w:rPr>
        <w:t>m</w:t>
      </w:r>
      <w:r>
        <w:rPr>
          <w:szCs w:val="22"/>
        </w:rPr>
        <w:t>en</w:t>
      </w:r>
      <w:r>
        <w:rPr>
          <w:spacing w:val="1"/>
          <w:szCs w:val="22"/>
        </w:rPr>
        <w:t>ţi</w:t>
      </w:r>
      <w:r>
        <w:rPr>
          <w:spacing w:val="-3"/>
          <w:szCs w:val="22"/>
        </w:rPr>
        <w:t>n</w:t>
      </w:r>
      <w:r>
        <w:rPr>
          <w:szCs w:val="22"/>
        </w:rPr>
        <w:t>ut</w:t>
      </w:r>
      <w:r>
        <w:rPr>
          <w:spacing w:val="1"/>
          <w:szCs w:val="22"/>
        </w:rPr>
        <w:t xml:space="preserve"> î</w:t>
      </w:r>
      <w:r>
        <w:rPr>
          <w:szCs w:val="22"/>
        </w:rPr>
        <w:t>n</w:t>
      </w:r>
      <w:r>
        <w:rPr>
          <w:spacing w:val="-3"/>
          <w:szCs w:val="22"/>
        </w:rPr>
        <w:t xml:space="preserve"> </w:t>
      </w:r>
      <w:r>
        <w:rPr>
          <w:spacing w:val="-2"/>
          <w:szCs w:val="22"/>
        </w:rPr>
        <w:t>t</w:t>
      </w:r>
      <w:r>
        <w:rPr>
          <w:spacing w:val="1"/>
          <w:szCs w:val="22"/>
        </w:rPr>
        <w:t>i</w:t>
      </w:r>
      <w:r>
        <w:rPr>
          <w:spacing w:val="-4"/>
          <w:szCs w:val="22"/>
        </w:rPr>
        <w:t>m</w:t>
      </w:r>
      <w:r>
        <w:rPr>
          <w:szCs w:val="22"/>
        </w:rPr>
        <w:t>pul ex</w:t>
      </w:r>
      <w:r>
        <w:rPr>
          <w:spacing w:val="1"/>
          <w:szCs w:val="22"/>
        </w:rPr>
        <w:t>t</w:t>
      </w:r>
      <w:r>
        <w:rPr>
          <w:szCs w:val="22"/>
        </w:rPr>
        <w:t>e</w:t>
      </w:r>
      <w:r>
        <w:rPr>
          <w:spacing w:val="-3"/>
          <w:szCs w:val="22"/>
        </w:rPr>
        <w:t>n</w:t>
      </w:r>
      <w:r>
        <w:rPr>
          <w:szCs w:val="22"/>
        </w:rPr>
        <w:t>s</w:t>
      </w:r>
      <w:r>
        <w:rPr>
          <w:spacing w:val="-2"/>
          <w:szCs w:val="22"/>
        </w:rPr>
        <w:t>i</w:t>
      </w:r>
      <w:r>
        <w:rPr>
          <w:szCs w:val="22"/>
        </w:rPr>
        <w:t>ei</w:t>
      </w:r>
      <w:r>
        <w:rPr>
          <w:spacing w:val="1"/>
          <w:szCs w:val="22"/>
        </w:rPr>
        <w:t xml:space="preserve"> </w:t>
      </w:r>
      <w:r>
        <w:rPr>
          <w:spacing w:val="-3"/>
          <w:szCs w:val="22"/>
        </w:rPr>
        <w:t>d</w:t>
      </w:r>
      <w:r>
        <w:rPr>
          <w:szCs w:val="22"/>
        </w:rPr>
        <w:t>es</w:t>
      </w:r>
      <w:r>
        <w:rPr>
          <w:spacing w:val="-3"/>
          <w:szCs w:val="22"/>
        </w:rPr>
        <w:t>c</w:t>
      </w:r>
      <w:r>
        <w:rPr>
          <w:szCs w:val="22"/>
        </w:rPr>
        <w:t>h</w:t>
      </w:r>
      <w:r>
        <w:rPr>
          <w:spacing w:val="1"/>
          <w:szCs w:val="22"/>
        </w:rPr>
        <w:t>i</w:t>
      </w:r>
      <w:r>
        <w:rPr>
          <w:spacing w:val="-2"/>
          <w:szCs w:val="22"/>
        </w:rPr>
        <w:t>s</w:t>
      </w:r>
      <w:r>
        <w:rPr>
          <w:szCs w:val="22"/>
        </w:rPr>
        <w:t>e pâ</w:t>
      </w:r>
      <w:r>
        <w:rPr>
          <w:spacing w:val="-3"/>
          <w:szCs w:val="22"/>
        </w:rPr>
        <w:t>n</w:t>
      </w:r>
      <w:r>
        <w:rPr>
          <w:szCs w:val="22"/>
        </w:rPr>
        <w:t xml:space="preserve">ă </w:t>
      </w:r>
      <w:r>
        <w:rPr>
          <w:spacing w:val="1"/>
          <w:szCs w:val="22"/>
        </w:rPr>
        <w:t>î</w:t>
      </w:r>
      <w:r>
        <w:rPr>
          <w:szCs w:val="22"/>
        </w:rPr>
        <w:t>n</w:t>
      </w:r>
      <w:r>
        <w:rPr>
          <w:spacing w:val="-3"/>
          <w:szCs w:val="22"/>
        </w:rPr>
        <w:t xml:space="preserve"> </w:t>
      </w:r>
      <w:r>
        <w:rPr>
          <w:rFonts w:eastAsia="MS Mincho"/>
          <w:spacing w:val="-3"/>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156.</w:t>
      </w:r>
    </w:p>
    <w:p w14:paraId="2C3E0B18" w14:textId="77777777" w:rsidR="00C04CAD" w:rsidRDefault="00C04CAD">
      <w:pPr>
        <w:tabs>
          <w:tab w:val="clear" w:pos="567"/>
        </w:tabs>
        <w:kinsoku w:val="0"/>
        <w:overflowPunct w:val="0"/>
        <w:autoSpaceDE w:val="0"/>
        <w:autoSpaceDN w:val="0"/>
        <w:adjustRightInd w:val="0"/>
        <w:spacing w:line="240" w:lineRule="auto"/>
        <w:rPr>
          <w:szCs w:val="22"/>
        </w:rPr>
      </w:pPr>
    </w:p>
    <w:p w14:paraId="633C57B5"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Studiul nr-axSpA II</w:t>
      </w:r>
    </w:p>
    <w:p w14:paraId="1CFD993E" w14:textId="77777777" w:rsidR="00C04CAD" w:rsidRDefault="00C04CAD">
      <w:pPr>
        <w:tabs>
          <w:tab w:val="clear" w:pos="567"/>
        </w:tabs>
        <w:kinsoku w:val="0"/>
        <w:overflowPunct w:val="0"/>
        <w:autoSpaceDE w:val="0"/>
        <w:autoSpaceDN w:val="0"/>
        <w:adjustRightInd w:val="0"/>
        <w:spacing w:line="240" w:lineRule="auto"/>
        <w:rPr>
          <w:szCs w:val="22"/>
        </w:rPr>
      </w:pPr>
    </w:p>
    <w:p w14:paraId="47EC94D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673 pacienţi cu nr-axSpA activă (scorul mediu bazal al activității bolii [</w:t>
      </w:r>
      <w:r>
        <w:rPr>
          <w:spacing w:val="-4"/>
          <w:szCs w:val="22"/>
        </w:rPr>
        <w:t>I</w:t>
      </w:r>
      <w:r>
        <w:rPr>
          <w:szCs w:val="22"/>
        </w:rPr>
        <w:t xml:space="preserve">ndex </w:t>
      </w:r>
      <w:r>
        <w:rPr>
          <w:spacing w:val="-1"/>
          <w:szCs w:val="22"/>
        </w:rPr>
        <w:t>B</w:t>
      </w:r>
      <w:r>
        <w:rPr>
          <w:szCs w:val="22"/>
        </w:rPr>
        <w:t>a</w:t>
      </w:r>
      <w:r>
        <w:rPr>
          <w:spacing w:val="-2"/>
          <w:szCs w:val="22"/>
        </w:rPr>
        <w:t>t</w:t>
      </w:r>
      <w:r>
        <w:rPr>
          <w:szCs w:val="22"/>
        </w:rPr>
        <w:t>h de a</w:t>
      </w:r>
      <w:r>
        <w:rPr>
          <w:spacing w:val="-3"/>
          <w:szCs w:val="22"/>
        </w:rPr>
        <w:t>c</w:t>
      </w:r>
      <w:r>
        <w:rPr>
          <w:spacing w:val="1"/>
          <w:szCs w:val="22"/>
        </w:rPr>
        <w:t>ti</w:t>
      </w:r>
      <w:r>
        <w:rPr>
          <w:spacing w:val="-3"/>
          <w:szCs w:val="22"/>
        </w:rPr>
        <w:t>v</w:t>
      </w:r>
      <w:r>
        <w:rPr>
          <w:spacing w:val="-2"/>
          <w:szCs w:val="22"/>
        </w:rPr>
        <w:t>i</w:t>
      </w:r>
      <w:r>
        <w:rPr>
          <w:spacing w:val="1"/>
          <w:szCs w:val="22"/>
        </w:rPr>
        <w:t>t</w:t>
      </w:r>
      <w:r>
        <w:rPr>
          <w:spacing w:val="-3"/>
          <w:szCs w:val="22"/>
        </w:rPr>
        <w:t>a</w:t>
      </w:r>
      <w:r>
        <w:rPr>
          <w:spacing w:val="1"/>
          <w:szCs w:val="22"/>
        </w:rPr>
        <w:t>t</w:t>
      </w:r>
      <w:r>
        <w:rPr>
          <w:szCs w:val="22"/>
        </w:rPr>
        <w:t>e a spon</w:t>
      </w:r>
      <w:r>
        <w:rPr>
          <w:spacing w:val="-3"/>
          <w:szCs w:val="22"/>
        </w:rPr>
        <w:t>d</w:t>
      </w:r>
      <w:r>
        <w:rPr>
          <w:spacing w:val="1"/>
          <w:szCs w:val="22"/>
        </w:rPr>
        <w:t>i</w:t>
      </w:r>
      <w:r>
        <w:rPr>
          <w:spacing w:val="-2"/>
          <w:szCs w:val="22"/>
        </w:rPr>
        <w:t>l</w:t>
      </w:r>
      <w:r>
        <w:rPr>
          <w:spacing w:val="1"/>
          <w:szCs w:val="22"/>
        </w:rPr>
        <w:t>it</w:t>
      </w:r>
      <w:r>
        <w:rPr>
          <w:spacing w:val="-3"/>
          <w:szCs w:val="22"/>
        </w:rPr>
        <w:t>e</w:t>
      </w:r>
      <w:r>
        <w:rPr>
          <w:szCs w:val="22"/>
        </w:rPr>
        <w:t>i</w:t>
      </w:r>
      <w:r>
        <w:rPr>
          <w:spacing w:val="1"/>
          <w:szCs w:val="22"/>
        </w:rPr>
        <w:t xml:space="preserve"> </w:t>
      </w:r>
      <w:r>
        <w:rPr>
          <w:szCs w:val="22"/>
        </w:rPr>
        <w:t>a</w:t>
      </w:r>
      <w:r>
        <w:rPr>
          <w:spacing w:val="-3"/>
          <w:szCs w:val="22"/>
        </w:rPr>
        <w:t>n</w:t>
      </w:r>
      <w:r>
        <w:rPr>
          <w:szCs w:val="22"/>
        </w:rPr>
        <w:t>ch</w:t>
      </w:r>
      <w:r>
        <w:rPr>
          <w:spacing w:val="-2"/>
          <w:szCs w:val="22"/>
        </w:rPr>
        <w:t>i</w:t>
      </w:r>
      <w:r>
        <w:rPr>
          <w:spacing w:val="1"/>
          <w:szCs w:val="22"/>
        </w:rPr>
        <w:t>l</w:t>
      </w:r>
      <w:r>
        <w:rPr>
          <w:szCs w:val="22"/>
        </w:rPr>
        <w:t>o</w:t>
      </w:r>
      <w:r>
        <w:rPr>
          <w:spacing w:val="-3"/>
          <w:szCs w:val="22"/>
        </w:rPr>
        <w:t>z</w:t>
      </w:r>
      <w:r>
        <w:rPr>
          <w:szCs w:val="22"/>
        </w:rPr>
        <w:t>a</w:t>
      </w:r>
      <w:r>
        <w:rPr>
          <w:spacing w:val="-3"/>
          <w:szCs w:val="22"/>
        </w:rPr>
        <w:t>n</w:t>
      </w:r>
      <w:r>
        <w:rPr>
          <w:spacing w:val="1"/>
          <w:szCs w:val="22"/>
        </w:rPr>
        <w:t>t</w:t>
      </w:r>
      <w:r>
        <w:rPr>
          <w:szCs w:val="22"/>
        </w:rPr>
        <w:t>e (</w:t>
      </w:r>
      <w:r>
        <w:rPr>
          <w:spacing w:val="-4"/>
          <w:szCs w:val="22"/>
        </w:rPr>
        <w:t>B</w:t>
      </w:r>
      <w:r>
        <w:rPr>
          <w:spacing w:val="-1"/>
          <w:szCs w:val="22"/>
        </w:rPr>
        <w:t>ASD</w:t>
      </w:r>
      <w:r>
        <w:rPr>
          <w:spacing w:val="1"/>
          <w:szCs w:val="22"/>
        </w:rPr>
        <w:t>A</w:t>
      </w:r>
      <w:r>
        <w:rPr>
          <w:spacing w:val="-4"/>
          <w:szCs w:val="22"/>
        </w:rPr>
        <w:t>I</w:t>
      </w:r>
      <w:r>
        <w:rPr>
          <w:szCs w:val="22"/>
        </w:rPr>
        <w:t xml:space="preserve">)] cu valoarea 7.0), care au avut un răspuns inadecvat sau intoleranţă la </w:t>
      </w:r>
      <w:r>
        <w:rPr>
          <w:spacing w:val="1"/>
          <w:szCs w:val="22"/>
        </w:rPr>
        <w:t>≥</w:t>
      </w:r>
      <w:r>
        <w:rPr>
          <w:szCs w:val="22"/>
        </w:rPr>
        <w:t xml:space="preserve">2 </w:t>
      </w:r>
      <w:r>
        <w:rPr>
          <w:spacing w:val="-2"/>
          <w:szCs w:val="22"/>
        </w:rPr>
        <w:t>A</w:t>
      </w:r>
      <w:r>
        <w:rPr>
          <w:spacing w:val="-4"/>
          <w:szCs w:val="22"/>
        </w:rPr>
        <w:t>I</w:t>
      </w:r>
      <w:r>
        <w:rPr>
          <w:spacing w:val="-2"/>
          <w:szCs w:val="22"/>
        </w:rPr>
        <w:t>N</w:t>
      </w:r>
      <w:r>
        <w:rPr>
          <w:szCs w:val="22"/>
        </w:rPr>
        <w:t>S, ori</w:t>
      </w:r>
      <w:r>
        <w:rPr>
          <w:spacing w:val="1"/>
          <w:szCs w:val="22"/>
        </w:rPr>
        <w:t xml:space="preserve"> </w:t>
      </w:r>
      <w:r>
        <w:rPr>
          <w:szCs w:val="22"/>
        </w:rPr>
        <w:t>o con</w:t>
      </w:r>
      <w:r>
        <w:rPr>
          <w:spacing w:val="-2"/>
          <w:szCs w:val="22"/>
        </w:rPr>
        <w:t>t</w:t>
      </w:r>
      <w:r>
        <w:rPr>
          <w:szCs w:val="22"/>
        </w:rPr>
        <w:t>ra</w:t>
      </w:r>
      <w:r>
        <w:rPr>
          <w:spacing w:val="-2"/>
          <w:szCs w:val="22"/>
        </w:rPr>
        <w:t>i</w:t>
      </w:r>
      <w:r>
        <w:rPr>
          <w:szCs w:val="22"/>
        </w:rPr>
        <w:t>nd</w:t>
      </w:r>
      <w:r>
        <w:rPr>
          <w:spacing w:val="-2"/>
          <w:szCs w:val="22"/>
        </w:rPr>
        <w:t>i</w:t>
      </w:r>
      <w:r>
        <w:rPr>
          <w:szCs w:val="22"/>
        </w:rPr>
        <w:t>ca</w:t>
      </w:r>
      <w:r>
        <w:rPr>
          <w:spacing w:val="-2"/>
          <w:szCs w:val="22"/>
        </w:rPr>
        <w:t>ţ</w:t>
      </w:r>
      <w:r>
        <w:rPr>
          <w:spacing w:val="1"/>
          <w:szCs w:val="22"/>
        </w:rPr>
        <w:t>i</w:t>
      </w:r>
      <w:r>
        <w:rPr>
          <w:szCs w:val="22"/>
        </w:rPr>
        <w:t>e</w:t>
      </w:r>
      <w:r>
        <w:rPr>
          <w:spacing w:val="-2"/>
          <w:szCs w:val="22"/>
        </w:rPr>
        <w:t xml:space="preserve"> </w:t>
      </w:r>
      <w:r>
        <w:rPr>
          <w:szCs w:val="22"/>
        </w:rPr>
        <w:t>pe</w:t>
      </w:r>
      <w:r>
        <w:rPr>
          <w:spacing w:val="-3"/>
          <w:szCs w:val="22"/>
        </w:rPr>
        <w:t>n</w:t>
      </w:r>
      <w:r>
        <w:rPr>
          <w:spacing w:val="1"/>
          <w:szCs w:val="22"/>
        </w:rPr>
        <w:t>t</w:t>
      </w:r>
      <w:r>
        <w:rPr>
          <w:szCs w:val="22"/>
        </w:rPr>
        <w:t xml:space="preserve">ru </w:t>
      </w:r>
      <w:r>
        <w:rPr>
          <w:spacing w:val="-1"/>
          <w:szCs w:val="22"/>
        </w:rPr>
        <w:t>A</w:t>
      </w:r>
      <w:r>
        <w:rPr>
          <w:spacing w:val="-4"/>
          <w:szCs w:val="22"/>
        </w:rPr>
        <w:t>I</w:t>
      </w:r>
      <w:r>
        <w:rPr>
          <w:spacing w:val="1"/>
          <w:szCs w:val="22"/>
        </w:rPr>
        <w:t>N</w:t>
      </w:r>
      <w:r>
        <w:rPr>
          <w:spacing w:val="-1"/>
          <w:szCs w:val="22"/>
        </w:rPr>
        <w:t xml:space="preserve">S au fost evaluaţi în perioada deschisă a studiului nr-axSpA II în care li s-a adnimistrat Adalimumab 40 mg la două săptamâni pentru 28 de săptămâni. Aceşti pacienţi au prezentat de asemenea dovezi obiective ale inflamaţiei la nivelul articulaţiilor sacroiliace sau coloanei vertebrale prin evaluarea RMN sau prin niveluri crescute ale </w:t>
      </w:r>
      <w:r>
        <w:rPr>
          <w:szCs w:val="22"/>
        </w:rPr>
        <w:t>hs</w:t>
      </w:r>
      <w:r>
        <w:rPr>
          <w:spacing w:val="-4"/>
          <w:szCs w:val="22"/>
        </w:rPr>
        <w:t>-</w:t>
      </w:r>
      <w:r>
        <w:rPr>
          <w:szCs w:val="22"/>
        </w:rPr>
        <w:t>P</w:t>
      </w:r>
      <w:r>
        <w:rPr>
          <w:spacing w:val="-1"/>
          <w:szCs w:val="22"/>
        </w:rPr>
        <w:t>CR. Pacienţii la care s-a obţinut remisiunea susţinută pentru o perioadă de cel puţin 12 săptămâni (N=305) (</w:t>
      </w:r>
      <w:r>
        <w:t xml:space="preserve">ASDAS &lt; 1,3 la săptămânile 16, 20, 24 şi 28) ăn timpul perioadei de tratament deschis au fost apoi randomizaţi fie pentru continuarea tratamentului cu Adalimumab 40 mg la două săptămâni </w:t>
      </w:r>
      <w:r>
        <w:rPr>
          <w:spacing w:val="-1"/>
          <w:szCs w:val="22"/>
        </w:rPr>
        <w:t xml:space="preserve">(N=152) </w:t>
      </w:r>
      <w:r>
        <w:t xml:space="preserve">sau cu placebo </w:t>
      </w:r>
      <w:r>
        <w:rPr>
          <w:spacing w:val="-1"/>
          <w:szCs w:val="22"/>
        </w:rPr>
        <w:t>(N=153) pentru o perioadă suplimentară de 40 de săptămâni într-un studiu dublu orb, controlat placebo (durata totală a studiului fiind de 68 săptămâni). Pacienţilor acutizaţi în timpul perioadei dublu-orb a studiului li s-a permis administrarea Adalimumab 40 mg la două săptămâni ca tratament de salvare, pentru cel puţin 12 săptămâni.</w:t>
      </w:r>
    </w:p>
    <w:p w14:paraId="5A181570" w14:textId="77777777" w:rsidR="00C04CAD" w:rsidRDefault="00C04CAD">
      <w:pPr>
        <w:tabs>
          <w:tab w:val="clear" w:pos="567"/>
        </w:tabs>
        <w:kinsoku w:val="0"/>
        <w:overflowPunct w:val="0"/>
        <w:autoSpaceDE w:val="0"/>
        <w:autoSpaceDN w:val="0"/>
        <w:adjustRightInd w:val="0"/>
        <w:spacing w:line="240" w:lineRule="auto"/>
        <w:rPr>
          <w:szCs w:val="22"/>
        </w:rPr>
      </w:pPr>
    </w:p>
    <w:p w14:paraId="68FB4F23" w14:textId="77777777" w:rsidR="00C04CAD" w:rsidRDefault="00060E34">
      <w:pPr>
        <w:tabs>
          <w:tab w:val="clear" w:pos="567"/>
        </w:tabs>
        <w:kinsoku w:val="0"/>
        <w:overflowPunct w:val="0"/>
        <w:autoSpaceDE w:val="0"/>
        <w:autoSpaceDN w:val="0"/>
        <w:adjustRightInd w:val="0"/>
        <w:spacing w:line="240" w:lineRule="auto"/>
        <w:rPr>
          <w:b/>
        </w:rPr>
      </w:pPr>
      <w:r>
        <w:t>C</w:t>
      </w:r>
      <w:r>
        <w:rPr>
          <w:spacing w:val="-2"/>
        </w:rPr>
        <w:t>r</w:t>
      </w:r>
      <w:r>
        <w:rPr>
          <w:spacing w:val="1"/>
        </w:rPr>
        <w:t>i</w:t>
      </w:r>
      <w:r>
        <w:rPr>
          <w:spacing w:val="-2"/>
        </w:rPr>
        <w:t>t</w:t>
      </w:r>
      <w:r>
        <w:t>e</w:t>
      </w:r>
      <w:r>
        <w:rPr>
          <w:spacing w:val="-2"/>
        </w:rPr>
        <w:t>r</w:t>
      </w:r>
      <w:r>
        <w:rPr>
          <w:spacing w:val="1"/>
        </w:rPr>
        <w:t>i</w:t>
      </w:r>
      <w:r>
        <w:t>ul</w:t>
      </w:r>
      <w:r>
        <w:rPr>
          <w:spacing w:val="-2"/>
        </w:rPr>
        <w:t xml:space="preserve"> </w:t>
      </w:r>
      <w:r>
        <w:t>f</w:t>
      </w:r>
      <w:r>
        <w:rPr>
          <w:spacing w:val="-2"/>
        </w:rPr>
        <w:t>i</w:t>
      </w:r>
      <w:r>
        <w:t>nal</w:t>
      </w:r>
      <w:r>
        <w:rPr>
          <w:spacing w:val="1"/>
        </w:rPr>
        <w:t xml:space="preserve"> </w:t>
      </w:r>
      <w:r>
        <w:rPr>
          <w:spacing w:val="-3"/>
        </w:rPr>
        <w:t>p</w:t>
      </w:r>
      <w:r>
        <w:t>r</w:t>
      </w:r>
      <w:r>
        <w:rPr>
          <w:spacing w:val="1"/>
        </w:rPr>
        <w:t>i</w:t>
      </w:r>
      <w:r>
        <w:rPr>
          <w:spacing w:val="-3"/>
        </w:rPr>
        <w:t>n</w:t>
      </w:r>
      <w:r>
        <w:t>c</w:t>
      </w:r>
      <w:r>
        <w:rPr>
          <w:spacing w:val="1"/>
        </w:rPr>
        <w:t>i</w:t>
      </w:r>
      <w:r>
        <w:rPr>
          <w:spacing w:val="-3"/>
        </w:rPr>
        <w:t>p</w:t>
      </w:r>
      <w:r>
        <w:t>al</w:t>
      </w:r>
      <w:r>
        <w:rPr>
          <w:spacing w:val="-2"/>
        </w:rPr>
        <w:t xml:space="preserve"> </w:t>
      </w:r>
      <w:r>
        <w:t>p</w:t>
      </w:r>
      <w:r>
        <w:rPr>
          <w:spacing w:val="-2"/>
        </w:rPr>
        <w:t>r</w:t>
      </w:r>
      <w:r>
        <w:rPr>
          <w:spacing w:val="1"/>
        </w:rPr>
        <w:t>i</w:t>
      </w:r>
      <w:r>
        <w:rPr>
          <w:spacing w:val="-3"/>
        </w:rPr>
        <w:t>v</w:t>
      </w:r>
      <w:r>
        <w:rPr>
          <w:spacing w:val="1"/>
        </w:rPr>
        <w:t>i</w:t>
      </w:r>
      <w:r>
        <w:t>nd e</w:t>
      </w:r>
      <w:r>
        <w:rPr>
          <w:spacing w:val="-2"/>
        </w:rPr>
        <w:t>f</w:t>
      </w:r>
      <w:r>
        <w:rPr>
          <w:spacing w:val="1"/>
        </w:rPr>
        <w:t>i</w:t>
      </w:r>
      <w:r>
        <w:rPr>
          <w:spacing w:val="-3"/>
        </w:rPr>
        <w:t>c</w:t>
      </w:r>
      <w:r>
        <w:t>ac</w:t>
      </w:r>
      <w:r>
        <w:rPr>
          <w:spacing w:val="-2"/>
        </w:rPr>
        <w:t>i</w:t>
      </w:r>
      <w:r>
        <w:rPr>
          <w:spacing w:val="1"/>
        </w:rPr>
        <w:t>t</w:t>
      </w:r>
      <w:r>
        <w:t>a</w:t>
      </w:r>
      <w:r>
        <w:rPr>
          <w:spacing w:val="-2"/>
        </w:rPr>
        <w:t>t</w:t>
      </w:r>
      <w:r>
        <w:t>ea a</w:t>
      </w:r>
      <w:r>
        <w:rPr>
          <w:spacing w:val="-2"/>
        </w:rPr>
        <w:t xml:space="preserve"> </w:t>
      </w:r>
      <w:r>
        <w:t>fo</w:t>
      </w:r>
      <w:r>
        <w:rPr>
          <w:spacing w:val="-2"/>
        </w:rPr>
        <w:t>s</w:t>
      </w:r>
      <w:r>
        <w:t>t</w:t>
      </w:r>
      <w:r>
        <w:rPr>
          <w:spacing w:val="1"/>
        </w:rPr>
        <w:t xml:space="preserve"> </w:t>
      </w:r>
      <w:r>
        <w:rPr>
          <w:spacing w:val="-4"/>
        </w:rPr>
        <w:t xml:space="preserve">procentul de pacienţi fără acutizare până în săptămâna 68 de studiu. Acutizarea a fost definită ca ASDAS </w:t>
      </w:r>
      <w:r>
        <w:rPr>
          <w:rFonts w:eastAsia="Calibri"/>
          <w:szCs w:val="22"/>
        </w:rPr>
        <w:t>≥ 2,1 în două vizite consecutive la patru săptamâni. Un procent mai mare de pacienţi trataţi cu Adalimumab nu au prezentat acutizarea bolii în timpul perioadei de studiu dublu-orb, în comparaţie cu pacienţii trataţi cu placebo (70,4% versus 47,1%, p </w:t>
      </w:r>
      <w:r>
        <w:rPr>
          <w:szCs w:val="22"/>
        </w:rPr>
        <w:t>&lt; 0,001) (figura 1).</w:t>
      </w:r>
      <w:r>
        <w:rPr>
          <w:rFonts w:eastAsia="Calibri"/>
          <w:szCs w:val="22"/>
        </w:rPr>
        <w:t> </w:t>
      </w:r>
    </w:p>
    <w:p w14:paraId="0C17EFAC" w14:textId="77777777" w:rsidR="00C04CAD" w:rsidRDefault="00C04CAD">
      <w:pPr>
        <w:tabs>
          <w:tab w:val="clear" w:pos="567"/>
        </w:tabs>
        <w:kinsoku w:val="0"/>
        <w:overflowPunct w:val="0"/>
        <w:autoSpaceDE w:val="0"/>
        <w:autoSpaceDN w:val="0"/>
        <w:adjustRightInd w:val="0"/>
        <w:spacing w:line="240" w:lineRule="auto"/>
        <w:rPr>
          <w:b/>
        </w:rPr>
      </w:pPr>
    </w:p>
    <w:p w14:paraId="0D5259ED" w14:textId="77777777" w:rsidR="00C04CAD" w:rsidRDefault="00060E34">
      <w:pPr>
        <w:keepNext/>
        <w:tabs>
          <w:tab w:val="clear" w:pos="567"/>
        </w:tabs>
        <w:kinsoku w:val="0"/>
        <w:overflowPunct w:val="0"/>
        <w:autoSpaceDE w:val="0"/>
        <w:autoSpaceDN w:val="0"/>
        <w:adjustRightInd w:val="0"/>
        <w:spacing w:line="240" w:lineRule="auto"/>
        <w:rPr>
          <w:b/>
        </w:rPr>
      </w:pPr>
      <w:r>
        <w:rPr>
          <w:b/>
        </w:rPr>
        <w:lastRenderedPageBreak/>
        <w:t>Figura 1. Curbele Kaplan-Meier care sumarizează timpul până la acutizare în studiul nr</w:t>
      </w:r>
      <w:r>
        <w:rPr>
          <w:b/>
        </w:rPr>
        <w:noBreakHyphen/>
        <w:t>axSpA II</w:t>
      </w:r>
    </w:p>
    <w:p w14:paraId="2B5094AB" w14:textId="77777777" w:rsidR="00C04CAD" w:rsidRDefault="00C04CAD">
      <w:pPr>
        <w:keepNext/>
        <w:tabs>
          <w:tab w:val="clear" w:pos="567"/>
        </w:tabs>
        <w:kinsoku w:val="0"/>
        <w:overflowPunct w:val="0"/>
        <w:autoSpaceDE w:val="0"/>
        <w:autoSpaceDN w:val="0"/>
        <w:adjustRightInd w:val="0"/>
        <w:spacing w:line="240" w:lineRule="auto"/>
        <w:rPr>
          <w:b/>
        </w:rPr>
      </w:pPr>
    </w:p>
    <w:tbl>
      <w:tblPr>
        <w:tblW w:w="0" w:type="auto"/>
        <w:tblLook w:val="04A0" w:firstRow="1" w:lastRow="0" w:firstColumn="1" w:lastColumn="0" w:noHBand="0" w:noVBand="1"/>
      </w:tblPr>
      <w:tblGrid>
        <w:gridCol w:w="584"/>
        <w:gridCol w:w="8487"/>
      </w:tblGrid>
      <w:tr w:rsidR="00C04CAD" w14:paraId="41EDA85F" w14:textId="77777777">
        <w:trPr>
          <w:cantSplit/>
          <w:trHeight w:val="1134"/>
        </w:trPr>
        <w:tc>
          <w:tcPr>
            <w:tcW w:w="740" w:type="dxa"/>
            <w:textDirection w:val="btLr"/>
            <w:vAlign w:val="center"/>
          </w:tcPr>
          <w:p w14:paraId="4D64271B" w14:textId="77777777" w:rsidR="00C04CAD" w:rsidRDefault="00060E34">
            <w:pPr>
              <w:keepNext/>
              <w:suppressAutoHyphens/>
              <w:spacing w:line="240" w:lineRule="auto"/>
              <w:ind w:left="113" w:right="113"/>
              <w:jc w:val="center"/>
              <w:rPr>
                <w:b/>
                <w:szCs w:val="24"/>
              </w:rPr>
            </w:pPr>
            <w:r>
              <w:rPr>
                <w:noProof/>
              </w:rPr>
              <mc:AlternateContent>
                <mc:Choice Requires="wps">
                  <w:drawing>
                    <wp:anchor distT="0" distB="0" distL="114300" distR="114300" simplePos="0" relativeHeight="251669504" behindDoc="0" locked="0" layoutInCell="1" allowOverlap="1" wp14:anchorId="3EDB822D" wp14:editId="061DCCCC">
                      <wp:simplePos x="0" y="0"/>
                      <wp:positionH relativeFrom="column">
                        <wp:posOffset>288290</wp:posOffset>
                      </wp:positionH>
                      <wp:positionV relativeFrom="paragraph">
                        <wp:posOffset>-2984500</wp:posOffset>
                      </wp:positionV>
                      <wp:extent cx="342900" cy="2400300"/>
                      <wp:effectExtent l="0" t="0" r="0" b="0"/>
                      <wp:wrapNone/>
                      <wp:docPr id="1650118127" name="Text Box 16"/>
                      <wp:cNvGraphicFramePr/>
                      <a:graphic xmlns:a="http://schemas.openxmlformats.org/drawingml/2006/main">
                        <a:graphicData uri="http://schemas.microsoft.com/office/word/2010/wordprocessingShape">
                          <wps:wsp>
                            <wps:cNvSpPr txBox="1"/>
                            <wps:spPr>
                              <a:xfrm>
                                <a:off x="0" y="0"/>
                                <a:ext cx="342900" cy="2400300"/>
                              </a:xfrm>
                              <a:prstGeom prst="rect">
                                <a:avLst/>
                              </a:prstGeom>
                              <a:solidFill>
                                <a:sysClr val="window" lastClr="FFFFFF"/>
                              </a:solidFill>
                              <a:ln w="6350">
                                <a:solidFill>
                                  <a:prstClr val="black"/>
                                </a:solidFill>
                              </a:ln>
                            </wps:spPr>
                            <wps:txbx>
                              <w:txbxContent>
                                <w:p w14:paraId="706CCA2A" w14:textId="77777777" w:rsidR="00C04CAD" w:rsidRDefault="00060E34">
                                  <w:pPr>
                                    <w:spacing w:after="20" w:line="360" w:lineRule="auto"/>
                                    <w:rPr>
                                      <w:sz w:val="18"/>
                                      <w:szCs w:val="18"/>
                                      <w:lang w:val="en-US"/>
                                    </w:rPr>
                                  </w:pPr>
                                  <w:r>
                                    <w:rPr>
                                      <w:sz w:val="18"/>
                                      <w:szCs w:val="18"/>
                                      <w:lang w:val="en-US"/>
                                    </w:rPr>
                                    <w:t>1,0</w:t>
                                  </w:r>
                                </w:p>
                                <w:p w14:paraId="1894A06D" w14:textId="77777777" w:rsidR="00C04CAD" w:rsidRDefault="00060E34">
                                  <w:pPr>
                                    <w:spacing w:after="40" w:line="360" w:lineRule="auto"/>
                                    <w:rPr>
                                      <w:sz w:val="18"/>
                                      <w:szCs w:val="18"/>
                                      <w:lang w:val="en-US"/>
                                    </w:rPr>
                                  </w:pPr>
                                  <w:r>
                                    <w:rPr>
                                      <w:sz w:val="18"/>
                                      <w:szCs w:val="18"/>
                                      <w:lang w:val="en-US"/>
                                    </w:rPr>
                                    <w:t>0,9</w:t>
                                  </w:r>
                                </w:p>
                                <w:p w14:paraId="18DB301F" w14:textId="77777777" w:rsidR="00C04CAD" w:rsidRDefault="00060E34">
                                  <w:pPr>
                                    <w:spacing w:after="40" w:line="360" w:lineRule="auto"/>
                                    <w:rPr>
                                      <w:sz w:val="18"/>
                                      <w:szCs w:val="18"/>
                                      <w:lang w:val="en-US"/>
                                    </w:rPr>
                                  </w:pPr>
                                  <w:r>
                                    <w:rPr>
                                      <w:sz w:val="18"/>
                                      <w:szCs w:val="18"/>
                                      <w:lang w:val="en-US"/>
                                    </w:rPr>
                                    <w:t>0,8</w:t>
                                  </w:r>
                                </w:p>
                                <w:p w14:paraId="2BD1C36B" w14:textId="77777777" w:rsidR="00C04CAD" w:rsidRDefault="00060E34">
                                  <w:pPr>
                                    <w:spacing w:line="360" w:lineRule="auto"/>
                                    <w:rPr>
                                      <w:sz w:val="18"/>
                                      <w:szCs w:val="18"/>
                                      <w:lang w:val="en-US"/>
                                    </w:rPr>
                                  </w:pPr>
                                  <w:r>
                                    <w:rPr>
                                      <w:sz w:val="18"/>
                                      <w:szCs w:val="18"/>
                                      <w:lang w:val="en-US"/>
                                    </w:rPr>
                                    <w:t>0,7</w:t>
                                  </w:r>
                                </w:p>
                                <w:p w14:paraId="2942B584" w14:textId="77777777" w:rsidR="00C04CAD" w:rsidRDefault="00060E34">
                                  <w:pPr>
                                    <w:spacing w:after="20" w:line="360" w:lineRule="auto"/>
                                    <w:rPr>
                                      <w:sz w:val="18"/>
                                      <w:szCs w:val="18"/>
                                      <w:lang w:val="en-US"/>
                                    </w:rPr>
                                  </w:pPr>
                                  <w:r>
                                    <w:rPr>
                                      <w:sz w:val="18"/>
                                      <w:szCs w:val="18"/>
                                      <w:lang w:val="en-US"/>
                                    </w:rPr>
                                    <w:t>0,6</w:t>
                                  </w:r>
                                </w:p>
                                <w:p w14:paraId="7F3A5407" w14:textId="77777777" w:rsidR="00C04CAD" w:rsidRDefault="00060E34">
                                  <w:pPr>
                                    <w:spacing w:line="360" w:lineRule="auto"/>
                                    <w:rPr>
                                      <w:sz w:val="18"/>
                                      <w:szCs w:val="18"/>
                                      <w:lang w:val="en-US"/>
                                    </w:rPr>
                                  </w:pPr>
                                  <w:r>
                                    <w:rPr>
                                      <w:sz w:val="18"/>
                                      <w:szCs w:val="18"/>
                                      <w:lang w:val="en-US"/>
                                    </w:rPr>
                                    <w:t>0,5</w:t>
                                  </w:r>
                                </w:p>
                                <w:p w14:paraId="7BB690E4" w14:textId="77777777" w:rsidR="00C04CAD" w:rsidRDefault="00060E34">
                                  <w:pPr>
                                    <w:spacing w:before="20" w:line="360" w:lineRule="auto"/>
                                    <w:rPr>
                                      <w:sz w:val="18"/>
                                      <w:szCs w:val="18"/>
                                      <w:lang w:val="en-US"/>
                                    </w:rPr>
                                  </w:pPr>
                                  <w:r>
                                    <w:rPr>
                                      <w:sz w:val="18"/>
                                      <w:szCs w:val="18"/>
                                      <w:lang w:val="en-US"/>
                                    </w:rPr>
                                    <w:t>0,4</w:t>
                                  </w:r>
                                </w:p>
                                <w:p w14:paraId="25E180E0" w14:textId="77777777" w:rsidR="00C04CAD" w:rsidRDefault="00060E34">
                                  <w:pPr>
                                    <w:spacing w:before="40" w:line="360" w:lineRule="auto"/>
                                    <w:rPr>
                                      <w:sz w:val="18"/>
                                      <w:szCs w:val="18"/>
                                      <w:lang w:val="en-US"/>
                                    </w:rPr>
                                  </w:pPr>
                                  <w:r>
                                    <w:rPr>
                                      <w:sz w:val="18"/>
                                      <w:szCs w:val="18"/>
                                      <w:lang w:val="en-US"/>
                                    </w:rPr>
                                    <w:t>0,3</w:t>
                                  </w:r>
                                </w:p>
                                <w:p w14:paraId="5719E991" w14:textId="77777777" w:rsidR="00C04CAD" w:rsidRDefault="00060E34">
                                  <w:pPr>
                                    <w:spacing w:before="40" w:line="360" w:lineRule="auto"/>
                                    <w:rPr>
                                      <w:sz w:val="18"/>
                                      <w:szCs w:val="18"/>
                                      <w:lang w:val="en-US"/>
                                    </w:rPr>
                                  </w:pPr>
                                  <w:r>
                                    <w:rPr>
                                      <w:sz w:val="18"/>
                                      <w:szCs w:val="18"/>
                                      <w:lang w:val="en-US"/>
                                    </w:rPr>
                                    <w:t>0,2</w:t>
                                  </w:r>
                                </w:p>
                                <w:p w14:paraId="18223180" w14:textId="77777777" w:rsidR="00C04CAD" w:rsidRDefault="00060E34">
                                  <w:pPr>
                                    <w:spacing w:before="20" w:line="360" w:lineRule="auto"/>
                                    <w:rPr>
                                      <w:sz w:val="18"/>
                                      <w:szCs w:val="18"/>
                                      <w:lang w:val="en-US"/>
                                    </w:rPr>
                                  </w:pPr>
                                  <w:r>
                                    <w:rPr>
                                      <w:sz w:val="18"/>
                                      <w:szCs w:val="18"/>
                                      <w:lang w:val="en-US"/>
                                    </w:rPr>
                                    <w:t>0,1</w:t>
                                  </w:r>
                                </w:p>
                                <w:p w14:paraId="72D1BC76" w14:textId="77777777" w:rsidR="00C04CAD" w:rsidRDefault="00060E34">
                                  <w:pPr>
                                    <w:spacing w:before="20" w:line="360" w:lineRule="auto"/>
                                    <w:rPr>
                                      <w:sz w:val="18"/>
                                      <w:szCs w:val="18"/>
                                      <w:lang w:val="en-US"/>
                                    </w:rPr>
                                  </w:pPr>
                                  <w:r>
                                    <w:rPr>
                                      <w:sz w:val="18"/>
                                      <w:szCs w:val="18"/>
                                      <w:lang w:val="en-US"/>
                                    </w:rPr>
                                    <w:t>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3EDB822D" id="_x0000_t202" coordsize="21600,21600" o:spt="202" path="m,l,21600r21600,l21600,xe">
                      <v:stroke joinstyle="miter"/>
                      <v:path gradientshapeok="t" o:connecttype="rect"/>
                    </v:shapetype>
                    <v:shape id="Text Box 16" o:spid="_x0000_s1026" type="#_x0000_t202" style="position:absolute;left:0;text-align:left;margin-left:22.7pt;margin-top:-235pt;width:27pt;height:18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LJwIAAFMEAAAOAAAAZHJzL2Uyb0RvYy54bWysVE1v2zAMvQ/YfxB0X+x8tFuDOEWWIsOA&#10;Yi2QDTsrspwYk0VNUmJnv35PymfXnYb5IJMi/Ug+kp7cd41mO+V8Tabg/V7OmTKSytqsC/7t6+Ld&#10;B858EKYUmowq+F55fj99+2bS2rEa0IZ0qRwDiPHj1hZ8E4IdZ5mXG9UI3yOrDIwVuUYEqG6dlU60&#10;QG90Nsjz26wlV1pHUnmP24eDkU8TflUpGZ6qyqvAdMGRW0inS+cqntl0IsZrJ+ymlsc0xD9k0Yja&#10;IOgZ6kEEwbaufgXV1NKRpyr0JDUZVVUtVaoB1fTzP6pZboRVqRaQ4+2ZJv//YOWX3dI+Oxa6j9Sh&#10;gZGQ1vqxx2Wsp6tcE9/IlMEOCvdn2lQXmMTlcDS4y2GRMA1GeT6EApjs8rV1PnxS1LAoFNyhLYkt&#10;sXv04eB6conBPOm6XNRaJ2Xv59qxnUAH0fiSWs608AGXBV+k5xjtxWfasLbgt8ObPEV6YYuxzpgr&#10;LeSP1wjIXhsUcSEjSqFbdUeGVlTuQZyjw0x5Kxc1cB+R2rNwGCIwgsUITzgqTUiGjhJnG3K//nYf&#10;/dFbWDlrMZQF9z+3wilU/Nmg63f90ShOcVJGN+8HUNy1ZXVtMdtmTmCtjxW0MonRP+iTWDlqvmN/&#10;ZjEqTMJIxC54OInzcFgV7J9Us1lywtxaER7N0soIHVtkaLYNVNWplZGmAzdH9jC5aRiOWxZX41pP&#10;Xpd/wfQ3AAAA//8DAFBLAwQUAAYACAAAACEAZtg0Q90AAAAKAQAADwAAAGRycy9kb3ducmV2Lnht&#10;bEyPPU/DMBCGdyT+g3VIbK1DFaBJ41QIiREhUgbYXPuaGOJzFLtp6K/nmGC89x69H9V29r2YcIwu&#10;kIKbZQYCyQTrqFXwtntarEHEpMnqPhAq+MYI2/ryotKlDSd6xalJrWATiqVW0KU0lFJG06HXcRkG&#10;JP4dwuh14nNspR31ic19L1dZdie9dsQJnR7wsUPz1Ry9AkvvgcyHez47aowrzi/rTzMpdX01P2xA&#10;JJzTHwy/9bk61NxpH45ko+gV5Lc5kwoW+X3Go5goClb2rBSrDGRdyf8T6h8AAAD//wMAUEsBAi0A&#10;FAAGAAgAAAAhALaDOJL+AAAA4QEAABMAAAAAAAAAAAAAAAAAAAAAAFtDb250ZW50X1R5cGVzXS54&#10;bWxQSwECLQAUAAYACAAAACEAOP0h/9YAAACUAQAACwAAAAAAAAAAAAAAAAAvAQAAX3JlbHMvLnJl&#10;bHNQSwECLQAUAAYACAAAACEAESAfyycCAABTBAAADgAAAAAAAAAAAAAAAAAuAgAAZHJzL2Uyb0Rv&#10;Yy54bWxQSwECLQAUAAYACAAAACEAZtg0Q90AAAAKAQAADwAAAAAAAAAAAAAAAACBBAAAZHJzL2Rv&#10;d25yZXYueG1sUEsFBgAAAAAEAAQA8wAAAIsFAAAAAA==&#10;" fillcolor="window" strokeweight=".5pt">
                      <v:textbox>
                        <w:txbxContent>
                          <w:p w14:paraId="706CCA2A" w14:textId="77777777" w:rsidR="00C04CAD" w:rsidRDefault="00060E34">
                            <w:pPr>
                              <w:spacing w:after="20" w:line="360" w:lineRule="auto"/>
                              <w:rPr>
                                <w:sz w:val="18"/>
                                <w:szCs w:val="18"/>
                                <w:lang w:val="en-US"/>
                              </w:rPr>
                            </w:pPr>
                            <w:r>
                              <w:rPr>
                                <w:sz w:val="18"/>
                                <w:szCs w:val="18"/>
                                <w:lang w:val="en-US"/>
                              </w:rPr>
                              <w:t>1,0</w:t>
                            </w:r>
                          </w:p>
                          <w:p w14:paraId="1894A06D" w14:textId="77777777" w:rsidR="00C04CAD" w:rsidRDefault="00060E34">
                            <w:pPr>
                              <w:spacing w:after="40" w:line="360" w:lineRule="auto"/>
                              <w:rPr>
                                <w:sz w:val="18"/>
                                <w:szCs w:val="18"/>
                                <w:lang w:val="en-US"/>
                              </w:rPr>
                            </w:pPr>
                            <w:r>
                              <w:rPr>
                                <w:sz w:val="18"/>
                                <w:szCs w:val="18"/>
                                <w:lang w:val="en-US"/>
                              </w:rPr>
                              <w:t>0,9</w:t>
                            </w:r>
                          </w:p>
                          <w:p w14:paraId="18DB301F" w14:textId="77777777" w:rsidR="00C04CAD" w:rsidRDefault="00060E34">
                            <w:pPr>
                              <w:spacing w:after="40" w:line="360" w:lineRule="auto"/>
                              <w:rPr>
                                <w:sz w:val="18"/>
                                <w:szCs w:val="18"/>
                                <w:lang w:val="en-US"/>
                              </w:rPr>
                            </w:pPr>
                            <w:r>
                              <w:rPr>
                                <w:sz w:val="18"/>
                                <w:szCs w:val="18"/>
                                <w:lang w:val="en-US"/>
                              </w:rPr>
                              <w:t>0,8</w:t>
                            </w:r>
                          </w:p>
                          <w:p w14:paraId="2BD1C36B" w14:textId="77777777" w:rsidR="00C04CAD" w:rsidRDefault="00060E34">
                            <w:pPr>
                              <w:spacing w:line="360" w:lineRule="auto"/>
                              <w:rPr>
                                <w:sz w:val="18"/>
                                <w:szCs w:val="18"/>
                                <w:lang w:val="en-US"/>
                              </w:rPr>
                            </w:pPr>
                            <w:r>
                              <w:rPr>
                                <w:sz w:val="18"/>
                                <w:szCs w:val="18"/>
                                <w:lang w:val="en-US"/>
                              </w:rPr>
                              <w:t>0,7</w:t>
                            </w:r>
                          </w:p>
                          <w:p w14:paraId="2942B584" w14:textId="77777777" w:rsidR="00C04CAD" w:rsidRDefault="00060E34">
                            <w:pPr>
                              <w:spacing w:after="20" w:line="360" w:lineRule="auto"/>
                              <w:rPr>
                                <w:sz w:val="18"/>
                                <w:szCs w:val="18"/>
                                <w:lang w:val="en-US"/>
                              </w:rPr>
                            </w:pPr>
                            <w:r>
                              <w:rPr>
                                <w:sz w:val="18"/>
                                <w:szCs w:val="18"/>
                                <w:lang w:val="en-US"/>
                              </w:rPr>
                              <w:t>0,6</w:t>
                            </w:r>
                          </w:p>
                          <w:p w14:paraId="7F3A5407" w14:textId="77777777" w:rsidR="00C04CAD" w:rsidRDefault="00060E34">
                            <w:pPr>
                              <w:spacing w:line="360" w:lineRule="auto"/>
                              <w:rPr>
                                <w:sz w:val="18"/>
                                <w:szCs w:val="18"/>
                                <w:lang w:val="en-US"/>
                              </w:rPr>
                            </w:pPr>
                            <w:r>
                              <w:rPr>
                                <w:sz w:val="18"/>
                                <w:szCs w:val="18"/>
                                <w:lang w:val="en-US"/>
                              </w:rPr>
                              <w:t>0,5</w:t>
                            </w:r>
                          </w:p>
                          <w:p w14:paraId="7BB690E4" w14:textId="77777777" w:rsidR="00C04CAD" w:rsidRDefault="00060E34">
                            <w:pPr>
                              <w:spacing w:before="20" w:line="360" w:lineRule="auto"/>
                              <w:rPr>
                                <w:sz w:val="18"/>
                                <w:szCs w:val="18"/>
                                <w:lang w:val="en-US"/>
                              </w:rPr>
                            </w:pPr>
                            <w:r>
                              <w:rPr>
                                <w:sz w:val="18"/>
                                <w:szCs w:val="18"/>
                                <w:lang w:val="en-US"/>
                              </w:rPr>
                              <w:t>0,4</w:t>
                            </w:r>
                          </w:p>
                          <w:p w14:paraId="25E180E0" w14:textId="77777777" w:rsidR="00C04CAD" w:rsidRDefault="00060E34">
                            <w:pPr>
                              <w:spacing w:before="40" w:line="360" w:lineRule="auto"/>
                              <w:rPr>
                                <w:sz w:val="18"/>
                                <w:szCs w:val="18"/>
                                <w:lang w:val="en-US"/>
                              </w:rPr>
                            </w:pPr>
                            <w:r>
                              <w:rPr>
                                <w:sz w:val="18"/>
                                <w:szCs w:val="18"/>
                                <w:lang w:val="en-US"/>
                              </w:rPr>
                              <w:t>0,3</w:t>
                            </w:r>
                          </w:p>
                          <w:p w14:paraId="5719E991" w14:textId="77777777" w:rsidR="00C04CAD" w:rsidRDefault="00060E34">
                            <w:pPr>
                              <w:spacing w:before="40" w:line="360" w:lineRule="auto"/>
                              <w:rPr>
                                <w:sz w:val="18"/>
                                <w:szCs w:val="18"/>
                                <w:lang w:val="en-US"/>
                              </w:rPr>
                            </w:pPr>
                            <w:r>
                              <w:rPr>
                                <w:sz w:val="18"/>
                                <w:szCs w:val="18"/>
                                <w:lang w:val="en-US"/>
                              </w:rPr>
                              <w:t>0,2</w:t>
                            </w:r>
                          </w:p>
                          <w:p w14:paraId="18223180" w14:textId="77777777" w:rsidR="00C04CAD" w:rsidRDefault="00060E34">
                            <w:pPr>
                              <w:spacing w:before="20" w:line="360" w:lineRule="auto"/>
                              <w:rPr>
                                <w:sz w:val="18"/>
                                <w:szCs w:val="18"/>
                                <w:lang w:val="en-US"/>
                              </w:rPr>
                            </w:pPr>
                            <w:r>
                              <w:rPr>
                                <w:sz w:val="18"/>
                                <w:szCs w:val="18"/>
                                <w:lang w:val="en-US"/>
                              </w:rPr>
                              <w:t>0,1</w:t>
                            </w:r>
                          </w:p>
                          <w:p w14:paraId="72D1BC76" w14:textId="77777777" w:rsidR="00C04CAD" w:rsidRDefault="00060E34">
                            <w:pPr>
                              <w:spacing w:before="20" w:line="360" w:lineRule="auto"/>
                              <w:rPr>
                                <w:sz w:val="18"/>
                                <w:szCs w:val="18"/>
                                <w:lang w:val="en-US"/>
                              </w:rPr>
                            </w:pPr>
                            <w:r>
                              <w:rPr>
                                <w:sz w:val="18"/>
                                <w:szCs w:val="18"/>
                                <w:lang w:val="en-US"/>
                              </w:rPr>
                              <w:t>0,0</w:t>
                            </w:r>
                          </w:p>
                        </w:txbxContent>
                      </v:textbox>
                    </v:shape>
                  </w:pict>
                </mc:Fallback>
              </mc:AlternateContent>
            </w:r>
            <w:r>
              <w:rPr>
                <w:b/>
                <w:szCs w:val="24"/>
              </w:rPr>
              <w:t>PROBABILITATEA DE ACUTIZARE</w:t>
            </w:r>
          </w:p>
        </w:tc>
        <w:tc>
          <w:tcPr>
            <w:tcW w:w="8547" w:type="dxa"/>
          </w:tcPr>
          <w:p w14:paraId="163D1F7C" w14:textId="77777777" w:rsidR="00C04CAD" w:rsidRDefault="00060E34">
            <w:pPr>
              <w:keepNext/>
              <w:suppressAutoHyphens/>
              <w:spacing w:line="240" w:lineRule="auto"/>
              <w:rPr>
                <w:szCs w:val="24"/>
              </w:rPr>
            </w:pPr>
            <w:r>
              <w:rPr>
                <w:noProof/>
                <w:szCs w:val="24"/>
                <w:lang w:val="en-US" w:eastAsia="zh-CN" w:bidi="ar-SA"/>
              </w:rPr>
              <w:drawing>
                <wp:inline distT="0" distB="0" distL="0" distR="0" wp14:anchorId="4046566C" wp14:editId="656E3C6E">
                  <wp:extent cx="5226685" cy="2992755"/>
                  <wp:effectExtent l="0" t="0" r="0" b="0"/>
                  <wp:docPr id="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26685" cy="2992755"/>
                          </a:xfrm>
                          <a:prstGeom prst="rect">
                            <a:avLst/>
                          </a:prstGeom>
                          <a:noFill/>
                          <a:ln>
                            <a:noFill/>
                          </a:ln>
                        </pic:spPr>
                      </pic:pic>
                    </a:graphicData>
                  </a:graphic>
                </wp:inline>
              </w:drawing>
            </w:r>
          </w:p>
        </w:tc>
      </w:tr>
      <w:tr w:rsidR="00C04CAD" w14:paraId="72084348" w14:textId="77777777">
        <w:tc>
          <w:tcPr>
            <w:tcW w:w="740" w:type="dxa"/>
          </w:tcPr>
          <w:p w14:paraId="5561138F" w14:textId="77777777" w:rsidR="00C04CAD" w:rsidRDefault="00C04CAD">
            <w:pPr>
              <w:suppressAutoHyphens/>
              <w:spacing w:line="240" w:lineRule="auto"/>
              <w:rPr>
                <w:szCs w:val="24"/>
              </w:rPr>
            </w:pPr>
          </w:p>
        </w:tc>
        <w:tc>
          <w:tcPr>
            <w:tcW w:w="8547" w:type="dxa"/>
            <w:vAlign w:val="center"/>
          </w:tcPr>
          <w:p w14:paraId="083846FE" w14:textId="77777777" w:rsidR="00C04CAD" w:rsidRDefault="00060E34">
            <w:pPr>
              <w:suppressAutoHyphens/>
              <w:spacing w:line="240" w:lineRule="auto"/>
              <w:jc w:val="center"/>
              <w:rPr>
                <w:b/>
                <w:szCs w:val="24"/>
              </w:rPr>
            </w:pPr>
            <w:r>
              <w:rPr>
                <w:b/>
                <w:szCs w:val="24"/>
              </w:rPr>
              <w:t>TIMP (SĂPTĂMÂNI)</w:t>
            </w:r>
          </w:p>
        </w:tc>
      </w:tr>
      <w:tr w:rsidR="00C04CAD" w14:paraId="159B270B" w14:textId="77777777">
        <w:tc>
          <w:tcPr>
            <w:tcW w:w="9287" w:type="dxa"/>
            <w:gridSpan w:val="2"/>
          </w:tcPr>
          <w:p w14:paraId="420A0629" w14:textId="77777777" w:rsidR="00C04CAD" w:rsidRDefault="00060E34">
            <w:pPr>
              <w:suppressAutoHyphens/>
              <w:spacing w:line="240" w:lineRule="auto"/>
              <w:rPr>
                <w:szCs w:val="24"/>
              </w:rPr>
            </w:pPr>
            <w:r>
              <w:rPr>
                <w:szCs w:val="24"/>
                <w:lang w:val="en-US"/>
              </w:rPr>
              <w:t xml:space="preserve">                        Tratament       </w:t>
            </w:r>
            <w:r>
              <w:rPr>
                <w:noProof/>
              </w:rPr>
              <mc:AlternateContent>
                <mc:Choice Requires="wps">
                  <w:drawing>
                    <wp:inline distT="0" distB="0" distL="0" distR="0" wp14:anchorId="511147F0" wp14:editId="1F01A552">
                      <wp:extent cx="381000" cy="635"/>
                      <wp:effectExtent l="23495" t="20955" r="14605" b="16510"/>
                      <wp:docPr id="1357387118" name="Straight Connector 92"/>
                      <wp:cNvGraphicFramePr/>
                      <a:graphic xmlns:a="http://schemas.openxmlformats.org/drawingml/2006/main">
                        <a:graphicData uri="http://schemas.microsoft.com/office/word/2010/wordprocessingShape">
                          <wps:wsp>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Straight Connector 92"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PkJD/XTAQAAoQMAAA4AAABkcnMvZTJvRG9jLnhtbK1TTW/bMAy9&#10;D+h/EHRf7CRIkxpxekjQXvZRoNsPYGQ5FiCLgqjEyb8fJafZ1l16GAwIEj8e+R7p9eO5t+KkAxl0&#10;tZxOSim0U9gYd6jlzx9Pn1dSUATXgEWna3nRJB83d5/Wg6/0DDu0jQ6CQRxVg69lF6OvioJUp3ug&#10;CXrt2Nli6CHyMxyKJsDA6L0tZmV5XwwYGh9QaSK27kanvCKGjwBi2xqld6iOvXZxRA3aQmRK1BlP&#10;cpO7bVut4ve2JR2FrSUzjfnkInzfp7PYrKE6BPCdUdcW4CMtvOPUg3Fc9Aa1gwjiGMw/UL1RAQnb&#10;OFHYFyORrAizmJbvtHntwOvMhaUmfxOd/h+s+nZ6CcI0vAnzxXK+Wk6nPH8HPU/+NQYwhy6KLTrH&#10;SmIQD7Ok2OCp4sStewnXF3lG2Q9fseE8OEbMYpzb0CdRmKY4Z80vN831OQrFxvlqWpY8DcWu+/ki&#10;wRdQvWX6QPFZYy/SpZbWuKQHVHD6QnEMfQtJZodPxlq2Q2WdGGo5Wy2Wi5xBaE2TvMlJ4bDf2iBO&#10;wGuxeEjftfBfYQl6B9SNcXShHcYUB1XAo2vG+tZxx0mRpMGozR6bS5Ym23lymdN1y9Jq/PnO2b//&#10;rM0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PgxKW9MAAAABAQAADwAAAAAAAAABACAAAAAiAAAA&#10;ZHJzL2Rvd25yZXYueG1sUEsBAhQAFAAAAAgAh07iQPkJD/XTAQAAoQMAAA4AAAAAAAAAAQAgAAAA&#10;IgEAAGRycy9lMm9Eb2MueG1sUEsFBgAAAAAGAAYAWQEAAGcFAAAAAA==&#10;">
                      <v:fill on="f" focussize="0,0"/>
                      <v:stroke weight="2.25pt" color="#595959" joinstyle="round" dashstyle="1 1"/>
                      <v:imagedata o:title=""/>
                      <o:lock v:ext="edit" aspectratio="f"/>
                      <w10:wrap type="none"/>
                      <w10:anchorlock/>
                    </v:line>
                  </w:pict>
                </mc:Fallback>
              </mc:AlternateContent>
            </w:r>
            <w:r>
              <w:rPr>
                <w:szCs w:val="24"/>
                <w:lang w:val="en-US"/>
              </w:rPr>
              <w:t xml:space="preserve"> Placebo     </w:t>
            </w:r>
            <w:r>
              <w:rPr>
                <w:noProof/>
              </w:rPr>
              <mc:AlternateContent>
                <mc:Choice Requires="wps">
                  <w:drawing>
                    <wp:inline distT="0" distB="0" distL="0" distR="0" wp14:anchorId="1D2FFA2E" wp14:editId="549D83D0">
                      <wp:extent cx="401320" cy="635"/>
                      <wp:effectExtent l="17780" t="11430" r="9525" b="16510"/>
                      <wp:docPr id="475481444" name="Straight Connector 56"/>
                      <wp:cNvGraphicFramePr/>
                      <a:graphic xmlns:a="http://schemas.openxmlformats.org/drawingml/2006/main">
                        <a:graphicData uri="http://schemas.microsoft.com/office/word/2010/wordprocessingShape">
                          <wps:wsp>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Straight Connector 56"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A3EPHHxQEAAIYDAAAOAAAAZHJzL2Uyb0RvYy54bWytU01v2zAMvQ/YfxB0&#10;X+ykTtYZcXpI0F32UaDbD2Bk2RYgiYKkxMm/HyW72dZdehgMCCIpPvI90tuHi9HsLH1QaBu+XJSc&#10;SSuwVbZv+M8fjx/uOQsRbAsarWz4VQb+sHv/bju6Wq5wQN1KzwjEhnp0DR9idHVRBDFIA2GBTloK&#10;dugNRDJ9X7QeRkI3uliV5aYY0bfOo5AhkPcwBfmM6N8CiF2nhDygOBlp44TqpYZIlMKgXOC73G3X&#10;SRG/d12QkemGE9OYTypC92M6i90W6t6DG5SYW4C3tPCKkwFlqegN6gAR2Mmrf6CMEh4DdnEh0BQT&#10;kawIsViWr7R5HsDJzIWkDu4mevh/sOLb+ckz1Ta8+riu7pdVVXFmwdDgn6MH1Q+R7dFaEhI9W2+S&#10;YKMLNeXt7ZOfreAI5Dh+xZby4BQxa3HpvEmaEEt2yZJfb5LLS2SCnFW5vFvRMASFNnfrBF9A/ZLp&#10;fIifJRqWLg3XyiY5oIbzlxCnpy9Pktvio9Ka/FBry0ba7k/luswZAbVqUzQFg++Pe+3ZGWgrqjJ9&#10;c+G/nnk82Xaqoi31lXgnppMCR2yvWYDsp/HkzudVSvP/087Zv3+f3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vyc3EzgAAAAEBAAAPAAAAAAAAAAEAIAAAACIAAABkcnMvZG93bnJldi54bWxQSwEC&#10;FAAUAAAACACHTuJANxDxx8UBAACGAwAADgAAAAAAAAABACAAAAAdAQAAZHJzL2Uyb0RvYy54bWxQ&#10;SwUGAAAAAAYABgBZAQAAVAUAAAAA&#10;">
                      <v:fill on="f" focussize="0,0"/>
                      <v:stroke weight="1.5pt" color="#404040" joinstyle="round"/>
                      <v:imagedata o:title=""/>
                      <o:lock v:ext="edit" aspectratio="f"/>
                      <w10:wrap type="none"/>
                      <w10:anchorlock/>
                    </v:line>
                  </w:pict>
                </mc:Fallback>
              </mc:AlternateContent>
            </w:r>
            <w:r>
              <w:rPr>
                <w:szCs w:val="24"/>
                <w:lang w:val="en-US"/>
              </w:rPr>
              <w:t xml:space="preserve"> Adalimumab     ∆ Analizați</w:t>
            </w:r>
          </w:p>
        </w:tc>
      </w:tr>
    </w:tbl>
    <w:p w14:paraId="7C3583CB" w14:textId="77777777" w:rsidR="00C04CAD" w:rsidRDefault="00C04CAD">
      <w:pPr>
        <w:suppressAutoHyphens/>
        <w:spacing w:line="240" w:lineRule="auto"/>
        <w:rPr>
          <w:szCs w:val="24"/>
        </w:rPr>
      </w:pPr>
    </w:p>
    <w:p w14:paraId="2C0E08CB" w14:textId="77777777" w:rsidR="00C04CAD" w:rsidRDefault="00060E34">
      <w:pPr>
        <w:suppressAutoHyphens/>
        <w:spacing w:line="240" w:lineRule="auto"/>
        <w:rPr>
          <w:szCs w:val="24"/>
        </w:rPr>
      </w:pPr>
      <w:r>
        <w:rPr>
          <w:szCs w:val="24"/>
        </w:rPr>
        <w:t>Notă: P = Placebo (număr la risc (acutizați)); A = ADALIMUMAB (număr la risc (acutizați)).</w:t>
      </w:r>
    </w:p>
    <w:p w14:paraId="31742BF0" w14:textId="77777777" w:rsidR="00C04CAD" w:rsidRDefault="00C04CAD">
      <w:pPr>
        <w:suppressAutoHyphens/>
        <w:spacing w:line="240" w:lineRule="auto"/>
        <w:rPr>
          <w:szCs w:val="24"/>
        </w:rPr>
      </w:pPr>
    </w:p>
    <w:p w14:paraId="50C66802" w14:textId="77777777" w:rsidR="00C04CAD" w:rsidRDefault="00060E34">
      <w:pPr>
        <w:suppressAutoHyphens/>
        <w:spacing w:line="240" w:lineRule="auto"/>
      </w:pPr>
      <w:r>
        <w:t xml:space="preserve">Printre cei 68 de pacienți acutizați în grupul alocat întreruperii tratamentului, 65 de pacienți au completat 12 săptămâni de tratament de salvare cu adalimumab, dintre care 37 (56,9%) au obținut din nou remisiunea (ASDAS &lt; 1,3) după 12 săptămâni de la reînceperea tratamentului deschis. </w:t>
      </w:r>
    </w:p>
    <w:p w14:paraId="6690FC0D" w14:textId="77777777" w:rsidR="00C04CAD" w:rsidRDefault="00C04CAD">
      <w:pPr>
        <w:suppressAutoHyphens/>
        <w:spacing w:line="240" w:lineRule="auto"/>
        <w:rPr>
          <w:szCs w:val="24"/>
        </w:rPr>
      </w:pPr>
    </w:p>
    <w:p w14:paraId="63226B11" w14:textId="77777777" w:rsidR="00C04CAD" w:rsidRDefault="00060E34">
      <w:pPr>
        <w:suppressAutoHyphens/>
        <w:spacing w:line="240" w:lineRule="auto"/>
        <w:rPr>
          <w:szCs w:val="24"/>
        </w:rPr>
      </w:pPr>
      <w:r>
        <w:rPr>
          <w:szCs w:val="24"/>
        </w:rPr>
        <w:t xml:space="preserve">Până în săptămâna 68,pacienții care au primit tratament continuu cu adalimumab au demonstrat o îmbunătățire semnificativ statistică a semnelor și simptomelor de nr-axSpA activă comparativ cu pacienții alocați brațului cu întreruperea tratamentului în timpul perioadei dublu-orb a studiului (tabelul 14). </w:t>
      </w:r>
    </w:p>
    <w:p w14:paraId="3A725E0B" w14:textId="77777777" w:rsidR="00C04CAD" w:rsidRDefault="00C04CAD">
      <w:pPr>
        <w:suppressAutoHyphens/>
        <w:spacing w:line="240" w:lineRule="auto"/>
        <w:rPr>
          <w:szCs w:val="24"/>
        </w:rPr>
      </w:pPr>
    </w:p>
    <w:p w14:paraId="508E90EE" w14:textId="77777777" w:rsidR="00C04CAD" w:rsidRDefault="00060E34">
      <w:pPr>
        <w:spacing w:line="240" w:lineRule="auto"/>
        <w:rPr>
          <w:b/>
        </w:rPr>
      </w:pPr>
      <w:r>
        <w:rPr>
          <w:b/>
        </w:rPr>
        <w:t>Tabelul 14.Răspunsul de eficacitate în perioada controlată placebo a studiului nr-axSpA II</w:t>
      </w:r>
    </w:p>
    <w:p w14:paraId="085AD880" w14:textId="77777777" w:rsidR="00C04CAD" w:rsidRDefault="00C04CAD">
      <w:pPr>
        <w:spacing w:line="240" w:lineRule="auto"/>
        <w:ind w:left="720"/>
        <w:rPr>
          <w:b/>
        </w:rPr>
      </w:pPr>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88"/>
        <w:gridCol w:w="1682"/>
        <w:gridCol w:w="1822"/>
      </w:tblGrid>
      <w:tr w:rsidR="00C04CAD" w14:paraId="77D52E7D" w14:textId="77777777">
        <w:trPr>
          <w:tblHeader/>
          <w:jc w:val="center"/>
        </w:trPr>
        <w:tc>
          <w:tcPr>
            <w:tcW w:w="3052" w:type="pct"/>
          </w:tcPr>
          <w:p w14:paraId="20305868" w14:textId="77777777" w:rsidR="00C04CAD" w:rsidRDefault="00060E34">
            <w:pPr>
              <w:spacing w:line="240" w:lineRule="auto"/>
              <w:rPr>
                <w:b/>
                <w:bCs/>
                <w:szCs w:val="22"/>
              </w:rPr>
            </w:pPr>
            <w:r>
              <w:rPr>
                <w:b/>
                <w:bCs/>
                <w:szCs w:val="22"/>
              </w:rPr>
              <w:t>Răspunsul dublu-orb</w:t>
            </w:r>
          </w:p>
          <w:p w14:paraId="79BC4034" w14:textId="77777777" w:rsidR="00C04CAD" w:rsidRDefault="00060E34">
            <w:pPr>
              <w:spacing w:line="240" w:lineRule="auto"/>
              <w:rPr>
                <w:b/>
                <w:bCs/>
                <w:szCs w:val="22"/>
              </w:rPr>
            </w:pPr>
            <w:r>
              <w:rPr>
                <w:b/>
                <w:bCs/>
                <w:szCs w:val="22"/>
              </w:rPr>
              <w:t>la săptămâna 68</w:t>
            </w:r>
          </w:p>
        </w:tc>
        <w:tc>
          <w:tcPr>
            <w:tcW w:w="935" w:type="pct"/>
          </w:tcPr>
          <w:p w14:paraId="45F81475" w14:textId="77777777" w:rsidR="00C04CAD" w:rsidRDefault="00060E34">
            <w:pPr>
              <w:spacing w:line="240" w:lineRule="auto"/>
              <w:jc w:val="center"/>
              <w:rPr>
                <w:b/>
                <w:bCs/>
                <w:szCs w:val="22"/>
              </w:rPr>
            </w:pPr>
            <w:r>
              <w:rPr>
                <w:b/>
                <w:bCs/>
                <w:szCs w:val="22"/>
              </w:rPr>
              <w:t>Placebo</w:t>
            </w:r>
          </w:p>
          <w:p w14:paraId="5935B939" w14:textId="77777777" w:rsidR="00C04CAD" w:rsidRDefault="00060E34">
            <w:pPr>
              <w:spacing w:line="240" w:lineRule="auto"/>
              <w:jc w:val="center"/>
              <w:rPr>
                <w:b/>
                <w:bCs/>
                <w:szCs w:val="22"/>
              </w:rPr>
            </w:pPr>
            <w:r>
              <w:rPr>
                <w:b/>
                <w:bCs/>
                <w:szCs w:val="22"/>
              </w:rPr>
              <w:t>N=153</w:t>
            </w:r>
          </w:p>
        </w:tc>
        <w:tc>
          <w:tcPr>
            <w:tcW w:w="1013" w:type="pct"/>
          </w:tcPr>
          <w:p w14:paraId="7D0FAF0C" w14:textId="77777777" w:rsidR="00C04CAD" w:rsidRDefault="00060E34">
            <w:pPr>
              <w:spacing w:line="240" w:lineRule="auto"/>
              <w:jc w:val="center"/>
              <w:rPr>
                <w:b/>
                <w:bCs/>
                <w:szCs w:val="22"/>
              </w:rPr>
            </w:pPr>
            <w:r>
              <w:rPr>
                <w:b/>
                <w:bCs/>
                <w:szCs w:val="22"/>
              </w:rPr>
              <w:t>Adalimumab</w:t>
            </w:r>
          </w:p>
          <w:p w14:paraId="5DBB5C6A" w14:textId="77777777" w:rsidR="00C04CAD" w:rsidRDefault="00060E34">
            <w:pPr>
              <w:spacing w:line="240" w:lineRule="auto"/>
              <w:jc w:val="center"/>
              <w:rPr>
                <w:b/>
                <w:bCs/>
                <w:szCs w:val="22"/>
              </w:rPr>
            </w:pPr>
            <w:r>
              <w:rPr>
                <w:b/>
                <w:bCs/>
                <w:szCs w:val="22"/>
              </w:rPr>
              <w:t>N=152</w:t>
            </w:r>
          </w:p>
        </w:tc>
      </w:tr>
      <w:tr w:rsidR="00C04CAD" w14:paraId="67BB0AC3" w14:textId="77777777">
        <w:trPr>
          <w:jc w:val="center"/>
        </w:trPr>
        <w:tc>
          <w:tcPr>
            <w:tcW w:w="3052" w:type="pct"/>
          </w:tcPr>
          <w:p w14:paraId="48656566" w14:textId="77777777" w:rsidR="00C04CAD" w:rsidRDefault="00060E34">
            <w:pPr>
              <w:spacing w:line="240" w:lineRule="auto"/>
              <w:rPr>
                <w:szCs w:val="22"/>
              </w:rPr>
            </w:pPr>
            <w:r>
              <w:rPr>
                <w:szCs w:val="22"/>
              </w:rPr>
              <w:t>ASAS</w:t>
            </w:r>
            <w:r>
              <w:rPr>
                <w:szCs w:val="22"/>
                <w:vertAlign w:val="superscript"/>
              </w:rPr>
              <w:t>a,b</w:t>
            </w:r>
            <w:r>
              <w:rPr>
                <w:szCs w:val="22"/>
              </w:rPr>
              <w:t xml:space="preserve"> 20</w:t>
            </w:r>
          </w:p>
        </w:tc>
        <w:tc>
          <w:tcPr>
            <w:tcW w:w="935" w:type="pct"/>
          </w:tcPr>
          <w:p w14:paraId="74EFDAC9" w14:textId="77777777" w:rsidR="00C04CAD" w:rsidRDefault="00060E34">
            <w:pPr>
              <w:spacing w:line="240" w:lineRule="auto"/>
              <w:jc w:val="center"/>
              <w:rPr>
                <w:szCs w:val="22"/>
              </w:rPr>
            </w:pPr>
            <w:r>
              <w:rPr>
                <w:szCs w:val="22"/>
              </w:rPr>
              <w:t>47,1%</w:t>
            </w:r>
          </w:p>
        </w:tc>
        <w:tc>
          <w:tcPr>
            <w:tcW w:w="1013" w:type="pct"/>
          </w:tcPr>
          <w:p w14:paraId="30A93DF7" w14:textId="77777777" w:rsidR="00C04CAD" w:rsidRDefault="00060E34">
            <w:pPr>
              <w:spacing w:line="240" w:lineRule="auto"/>
              <w:jc w:val="center"/>
              <w:rPr>
                <w:szCs w:val="22"/>
              </w:rPr>
            </w:pPr>
            <w:r>
              <w:rPr>
                <w:szCs w:val="22"/>
              </w:rPr>
              <w:t>70,4%***</w:t>
            </w:r>
          </w:p>
        </w:tc>
      </w:tr>
      <w:tr w:rsidR="00C04CAD" w14:paraId="4E18868E" w14:textId="77777777">
        <w:trPr>
          <w:jc w:val="center"/>
        </w:trPr>
        <w:tc>
          <w:tcPr>
            <w:tcW w:w="3052" w:type="pct"/>
          </w:tcPr>
          <w:p w14:paraId="0D98D979" w14:textId="77777777" w:rsidR="00C04CAD" w:rsidRDefault="00060E34">
            <w:pPr>
              <w:spacing w:line="240" w:lineRule="auto"/>
              <w:rPr>
                <w:szCs w:val="22"/>
              </w:rPr>
            </w:pPr>
            <w:r>
              <w:rPr>
                <w:szCs w:val="22"/>
              </w:rPr>
              <w:t>ASAS</w:t>
            </w:r>
            <w:r>
              <w:rPr>
                <w:szCs w:val="22"/>
                <w:vertAlign w:val="superscript"/>
              </w:rPr>
              <w:t>a,b</w:t>
            </w:r>
            <w:r>
              <w:rPr>
                <w:szCs w:val="22"/>
              </w:rPr>
              <w:t xml:space="preserve"> 40</w:t>
            </w:r>
          </w:p>
        </w:tc>
        <w:tc>
          <w:tcPr>
            <w:tcW w:w="935" w:type="pct"/>
          </w:tcPr>
          <w:p w14:paraId="3BDBA962" w14:textId="77777777" w:rsidR="00C04CAD" w:rsidRDefault="00060E34">
            <w:pPr>
              <w:spacing w:line="240" w:lineRule="auto"/>
              <w:jc w:val="center"/>
              <w:rPr>
                <w:szCs w:val="22"/>
              </w:rPr>
            </w:pPr>
            <w:r>
              <w:rPr>
                <w:szCs w:val="22"/>
              </w:rPr>
              <w:t>45,8%</w:t>
            </w:r>
          </w:p>
        </w:tc>
        <w:tc>
          <w:tcPr>
            <w:tcW w:w="1013" w:type="pct"/>
          </w:tcPr>
          <w:p w14:paraId="74FDF7CE" w14:textId="77777777" w:rsidR="00C04CAD" w:rsidRDefault="00060E34">
            <w:pPr>
              <w:spacing w:line="240" w:lineRule="auto"/>
              <w:jc w:val="center"/>
              <w:rPr>
                <w:szCs w:val="22"/>
              </w:rPr>
            </w:pPr>
            <w:r>
              <w:rPr>
                <w:szCs w:val="22"/>
              </w:rPr>
              <w:t>65,8%***</w:t>
            </w:r>
          </w:p>
        </w:tc>
      </w:tr>
      <w:tr w:rsidR="00C04CAD" w14:paraId="4695AB33" w14:textId="77777777">
        <w:trPr>
          <w:jc w:val="center"/>
        </w:trPr>
        <w:tc>
          <w:tcPr>
            <w:tcW w:w="3052" w:type="pct"/>
          </w:tcPr>
          <w:p w14:paraId="1DEEE502" w14:textId="77777777" w:rsidR="00C04CAD" w:rsidRDefault="00060E34">
            <w:pPr>
              <w:spacing w:line="240" w:lineRule="auto"/>
              <w:rPr>
                <w:szCs w:val="22"/>
              </w:rPr>
            </w:pPr>
            <w:r>
              <w:rPr>
                <w:szCs w:val="22"/>
              </w:rPr>
              <w:t>ASAS</w:t>
            </w:r>
            <w:r>
              <w:rPr>
                <w:szCs w:val="22"/>
                <w:vertAlign w:val="superscript"/>
              </w:rPr>
              <w:t>a</w:t>
            </w:r>
            <w:r>
              <w:rPr>
                <w:szCs w:val="22"/>
              </w:rPr>
              <w:t xml:space="preserve"> Remisiune Parțială</w:t>
            </w:r>
          </w:p>
        </w:tc>
        <w:tc>
          <w:tcPr>
            <w:tcW w:w="935" w:type="pct"/>
          </w:tcPr>
          <w:p w14:paraId="70D43505" w14:textId="77777777" w:rsidR="00C04CAD" w:rsidRDefault="00060E34">
            <w:pPr>
              <w:spacing w:line="240" w:lineRule="auto"/>
              <w:jc w:val="center"/>
              <w:rPr>
                <w:szCs w:val="22"/>
              </w:rPr>
            </w:pPr>
            <w:r>
              <w:rPr>
                <w:szCs w:val="22"/>
              </w:rPr>
              <w:t>26,8%</w:t>
            </w:r>
          </w:p>
        </w:tc>
        <w:tc>
          <w:tcPr>
            <w:tcW w:w="1013" w:type="pct"/>
          </w:tcPr>
          <w:p w14:paraId="180302F8" w14:textId="77777777" w:rsidR="00C04CAD" w:rsidRDefault="00060E34">
            <w:pPr>
              <w:spacing w:line="240" w:lineRule="auto"/>
              <w:jc w:val="center"/>
              <w:rPr>
                <w:szCs w:val="22"/>
              </w:rPr>
            </w:pPr>
            <w:r>
              <w:rPr>
                <w:szCs w:val="22"/>
              </w:rPr>
              <w:t>42,1%**</w:t>
            </w:r>
          </w:p>
        </w:tc>
      </w:tr>
      <w:tr w:rsidR="00C04CAD" w14:paraId="24501585" w14:textId="77777777">
        <w:trPr>
          <w:jc w:val="center"/>
        </w:trPr>
        <w:tc>
          <w:tcPr>
            <w:tcW w:w="3052" w:type="pct"/>
          </w:tcPr>
          <w:p w14:paraId="76D5ABD3" w14:textId="77777777" w:rsidR="00C04CAD" w:rsidRDefault="00060E34">
            <w:pPr>
              <w:keepNext/>
              <w:keepLines/>
              <w:suppressAutoHyphens/>
              <w:spacing w:line="240" w:lineRule="auto"/>
              <w:rPr>
                <w:szCs w:val="22"/>
              </w:rPr>
            </w:pPr>
            <w:r>
              <w:rPr>
                <w:szCs w:val="22"/>
              </w:rPr>
              <w:t>ASDAS</w:t>
            </w:r>
            <w:r>
              <w:rPr>
                <w:szCs w:val="22"/>
                <w:vertAlign w:val="superscript"/>
              </w:rPr>
              <w:t>c</w:t>
            </w:r>
            <w:r>
              <w:rPr>
                <w:szCs w:val="22"/>
              </w:rPr>
              <w:t xml:space="preserve"> Boală Inactivă</w:t>
            </w:r>
          </w:p>
        </w:tc>
        <w:tc>
          <w:tcPr>
            <w:tcW w:w="935" w:type="pct"/>
          </w:tcPr>
          <w:p w14:paraId="7E2DB7DB" w14:textId="77777777" w:rsidR="00C04CAD" w:rsidRDefault="00060E34">
            <w:pPr>
              <w:keepNext/>
              <w:keepLines/>
              <w:suppressAutoHyphens/>
              <w:spacing w:line="240" w:lineRule="auto"/>
              <w:jc w:val="center"/>
              <w:rPr>
                <w:szCs w:val="22"/>
              </w:rPr>
            </w:pPr>
            <w:r>
              <w:rPr>
                <w:szCs w:val="22"/>
              </w:rPr>
              <w:t>33,3%</w:t>
            </w:r>
          </w:p>
        </w:tc>
        <w:tc>
          <w:tcPr>
            <w:tcW w:w="1013" w:type="pct"/>
          </w:tcPr>
          <w:p w14:paraId="3AF356A7" w14:textId="77777777" w:rsidR="00C04CAD" w:rsidRDefault="00060E34">
            <w:pPr>
              <w:keepNext/>
              <w:keepLines/>
              <w:suppressAutoHyphens/>
              <w:spacing w:line="240" w:lineRule="auto"/>
              <w:jc w:val="center"/>
              <w:rPr>
                <w:szCs w:val="22"/>
              </w:rPr>
            </w:pPr>
            <w:r>
              <w:rPr>
                <w:szCs w:val="22"/>
              </w:rPr>
              <w:t>57,2%***</w:t>
            </w:r>
          </w:p>
        </w:tc>
      </w:tr>
      <w:tr w:rsidR="00C04CAD" w14:paraId="27DE908E" w14:textId="77777777">
        <w:trPr>
          <w:jc w:val="center"/>
        </w:trPr>
        <w:tc>
          <w:tcPr>
            <w:tcW w:w="3052" w:type="pct"/>
          </w:tcPr>
          <w:p w14:paraId="2F56426B" w14:textId="77777777" w:rsidR="00C04CAD" w:rsidRDefault="00060E34">
            <w:pPr>
              <w:keepNext/>
              <w:keepLines/>
              <w:suppressAutoHyphens/>
              <w:spacing w:line="240" w:lineRule="auto"/>
              <w:rPr>
                <w:szCs w:val="22"/>
              </w:rPr>
            </w:pPr>
            <w:r>
              <w:rPr>
                <w:szCs w:val="22"/>
              </w:rPr>
              <w:t>Activare Parțială</w:t>
            </w:r>
            <w:r>
              <w:rPr>
                <w:szCs w:val="22"/>
                <w:vertAlign w:val="superscript"/>
              </w:rPr>
              <w:t>d</w:t>
            </w:r>
          </w:p>
        </w:tc>
        <w:tc>
          <w:tcPr>
            <w:tcW w:w="935" w:type="pct"/>
          </w:tcPr>
          <w:p w14:paraId="1B3ED811" w14:textId="77777777" w:rsidR="00C04CAD" w:rsidRDefault="00060E34">
            <w:pPr>
              <w:keepNext/>
              <w:keepLines/>
              <w:suppressAutoHyphens/>
              <w:spacing w:line="240" w:lineRule="auto"/>
              <w:jc w:val="center"/>
              <w:rPr>
                <w:szCs w:val="22"/>
              </w:rPr>
            </w:pPr>
            <w:r>
              <w:rPr>
                <w:szCs w:val="22"/>
              </w:rPr>
              <w:t>64,1%</w:t>
            </w:r>
          </w:p>
        </w:tc>
        <w:tc>
          <w:tcPr>
            <w:tcW w:w="1013" w:type="pct"/>
          </w:tcPr>
          <w:p w14:paraId="54F3CBCE" w14:textId="77777777" w:rsidR="00C04CAD" w:rsidRDefault="00060E34">
            <w:pPr>
              <w:keepNext/>
              <w:keepLines/>
              <w:suppressAutoHyphens/>
              <w:spacing w:line="240" w:lineRule="auto"/>
              <w:jc w:val="center"/>
              <w:rPr>
                <w:szCs w:val="22"/>
              </w:rPr>
            </w:pPr>
            <w:r>
              <w:rPr>
                <w:szCs w:val="22"/>
              </w:rPr>
              <w:t>40,8%***</w:t>
            </w:r>
          </w:p>
        </w:tc>
      </w:tr>
      <w:tr w:rsidR="00C04CAD" w14:paraId="79965B4A" w14:textId="77777777">
        <w:trPr>
          <w:jc w:val="center"/>
        </w:trPr>
        <w:tc>
          <w:tcPr>
            <w:tcW w:w="5000" w:type="pct"/>
            <w:gridSpan w:val="3"/>
            <w:tcBorders>
              <w:left w:val="nil"/>
              <w:bottom w:val="nil"/>
              <w:right w:val="nil"/>
            </w:tcBorders>
          </w:tcPr>
          <w:p w14:paraId="205C4E96" w14:textId="77777777" w:rsidR="00C04CAD" w:rsidRDefault="00060E34">
            <w:pPr>
              <w:keepNext/>
              <w:keepLines/>
              <w:tabs>
                <w:tab w:val="clear" w:pos="567"/>
              </w:tabs>
              <w:suppressAutoHyphens/>
              <w:autoSpaceDE w:val="0"/>
              <w:autoSpaceDN w:val="0"/>
              <w:adjustRightInd w:val="0"/>
              <w:spacing w:line="240" w:lineRule="auto"/>
              <w:rPr>
                <w:sz w:val="20"/>
              </w:rPr>
            </w:pPr>
            <w:r>
              <w:rPr>
                <w:sz w:val="20"/>
                <w:vertAlign w:val="superscript"/>
              </w:rPr>
              <w:t>a</w:t>
            </w:r>
            <w:r>
              <w:rPr>
                <w:sz w:val="20"/>
              </w:rPr>
              <w:t xml:space="preserve"> Evaluarea Societății Internaționale de SpondiloArtrită</w:t>
            </w:r>
          </w:p>
          <w:p w14:paraId="103F9069" w14:textId="77777777" w:rsidR="00C04CAD" w:rsidRDefault="00060E34">
            <w:pPr>
              <w:keepNext/>
              <w:keepLines/>
              <w:suppressAutoHyphens/>
              <w:spacing w:line="240" w:lineRule="auto"/>
              <w:rPr>
                <w:sz w:val="20"/>
                <w:vertAlign w:val="superscript"/>
              </w:rPr>
            </w:pPr>
            <w:r>
              <w:rPr>
                <w:sz w:val="20"/>
                <w:vertAlign w:val="superscript"/>
              </w:rPr>
              <w:t>b</w:t>
            </w:r>
            <w:r>
              <w:rPr>
                <w:sz w:val="20"/>
              </w:rPr>
              <w:t xml:space="preserve"> Valorile de bază sunt definite ca valorile de bază din brațul deschis când pacienții au boală activă.</w:t>
            </w:r>
          </w:p>
          <w:p w14:paraId="7193BD4B" w14:textId="77777777" w:rsidR="00C04CAD" w:rsidRDefault="00060E34">
            <w:pPr>
              <w:keepNext/>
              <w:keepLines/>
              <w:suppressAutoHyphens/>
              <w:spacing w:line="240" w:lineRule="auto"/>
              <w:rPr>
                <w:sz w:val="20"/>
                <w:vertAlign w:val="superscript"/>
              </w:rPr>
            </w:pPr>
            <w:r>
              <w:rPr>
                <w:sz w:val="20"/>
                <w:vertAlign w:val="superscript"/>
              </w:rPr>
              <w:t>c</w:t>
            </w:r>
            <w:r>
              <w:rPr>
                <w:sz w:val="20"/>
              </w:rPr>
              <w:t xml:space="preserve"> Scorul de Activitate al Spondilitei Anchilozante </w:t>
            </w:r>
          </w:p>
          <w:p w14:paraId="4BD1EC71" w14:textId="77777777" w:rsidR="00C04CAD" w:rsidRDefault="00060E34">
            <w:pPr>
              <w:keepNext/>
              <w:keepLines/>
              <w:tabs>
                <w:tab w:val="clear" w:pos="567"/>
              </w:tabs>
              <w:suppressAutoHyphens/>
              <w:autoSpaceDE w:val="0"/>
              <w:autoSpaceDN w:val="0"/>
              <w:adjustRightInd w:val="0"/>
              <w:spacing w:line="240" w:lineRule="auto"/>
              <w:rPr>
                <w:sz w:val="20"/>
              </w:rPr>
            </w:pPr>
            <w:r>
              <w:rPr>
                <w:sz w:val="20"/>
                <w:vertAlign w:val="superscript"/>
              </w:rPr>
              <w:t>d</w:t>
            </w:r>
            <w:r>
              <w:rPr>
                <w:sz w:val="20"/>
              </w:rPr>
              <w:t xml:space="preserve"> Activarea Parțială este definită ca </w:t>
            </w:r>
            <w:r>
              <w:rPr>
                <w:rFonts w:eastAsia="Calibri"/>
                <w:sz w:val="20"/>
              </w:rPr>
              <w:t>ASDAS ≥ 1,3 dar &lt; 2,1 în 2 vizite consecutive.</w:t>
            </w:r>
          </w:p>
          <w:p w14:paraId="4F68912D" w14:textId="77777777" w:rsidR="00C04CAD" w:rsidRDefault="00060E34">
            <w:pPr>
              <w:keepNext/>
              <w:keepLines/>
              <w:suppressAutoHyphens/>
              <w:spacing w:line="240" w:lineRule="auto"/>
              <w:rPr>
                <w:sz w:val="20"/>
              </w:rPr>
            </w:pPr>
            <w:r>
              <w:rPr>
                <w:sz w:val="20"/>
              </w:rPr>
              <w:t>***, ** Semnificativ statistic la p &lt; 0,001 și respectiv p &lt; 0,01, pentru toate comparațiile între Adalimumab și placebo.</w:t>
            </w:r>
          </w:p>
        </w:tc>
      </w:tr>
    </w:tbl>
    <w:p w14:paraId="18390DF6" w14:textId="77777777" w:rsidR="00C04CAD" w:rsidRDefault="00C04CAD">
      <w:pPr>
        <w:tabs>
          <w:tab w:val="clear" w:pos="567"/>
        </w:tabs>
        <w:autoSpaceDE w:val="0"/>
        <w:autoSpaceDN w:val="0"/>
        <w:adjustRightInd w:val="0"/>
        <w:spacing w:line="240" w:lineRule="auto"/>
        <w:rPr>
          <w:szCs w:val="22"/>
        </w:rPr>
      </w:pPr>
    </w:p>
    <w:p w14:paraId="5FD95561" w14:textId="77777777" w:rsidR="00C04CAD" w:rsidRDefault="00060E34">
      <w:pPr>
        <w:keepNext/>
        <w:tabs>
          <w:tab w:val="clear" w:pos="567"/>
        </w:tabs>
        <w:kinsoku w:val="0"/>
        <w:overflowPunct w:val="0"/>
        <w:autoSpaceDE w:val="0"/>
        <w:autoSpaceDN w:val="0"/>
        <w:adjustRightInd w:val="0"/>
        <w:spacing w:line="240" w:lineRule="auto"/>
        <w:rPr>
          <w:i/>
          <w:szCs w:val="22"/>
        </w:rPr>
      </w:pPr>
      <w:r>
        <w:rPr>
          <w:i/>
          <w:szCs w:val="22"/>
        </w:rPr>
        <w:t>Artrită psoriazică</w:t>
      </w:r>
    </w:p>
    <w:p w14:paraId="2FAD613A" w14:textId="77777777" w:rsidR="00C04CAD" w:rsidRDefault="00C04CAD">
      <w:pPr>
        <w:keepNext/>
        <w:tabs>
          <w:tab w:val="clear" w:pos="567"/>
        </w:tabs>
        <w:kinsoku w:val="0"/>
        <w:overflowPunct w:val="0"/>
        <w:autoSpaceDE w:val="0"/>
        <w:autoSpaceDN w:val="0"/>
        <w:adjustRightInd w:val="0"/>
        <w:spacing w:line="240" w:lineRule="auto"/>
        <w:rPr>
          <w:szCs w:val="22"/>
        </w:rPr>
      </w:pPr>
    </w:p>
    <w:p w14:paraId="2977B2A2" w14:textId="77777777" w:rsidR="00C04CAD" w:rsidRDefault="00060E34">
      <w:pPr>
        <w:keepNext/>
        <w:tabs>
          <w:tab w:val="clear" w:pos="567"/>
        </w:tabs>
        <w:kinsoku w:val="0"/>
        <w:overflowPunct w:val="0"/>
        <w:autoSpaceDE w:val="0"/>
        <w:autoSpaceDN w:val="0"/>
        <w:adjustRightInd w:val="0"/>
        <w:spacing w:line="240" w:lineRule="auto"/>
        <w:rPr>
          <w:szCs w:val="22"/>
        </w:rPr>
      </w:pPr>
      <w:r>
        <w:rPr>
          <w:spacing w:val="-4"/>
          <w:szCs w:val="22"/>
        </w:rPr>
        <w:t>Î</w:t>
      </w:r>
      <w:r>
        <w:rPr>
          <w:szCs w:val="22"/>
        </w:rPr>
        <w:t>n două s</w:t>
      </w:r>
      <w:r>
        <w:rPr>
          <w:spacing w:val="1"/>
          <w:szCs w:val="22"/>
        </w:rPr>
        <w:t>t</w:t>
      </w:r>
      <w:r>
        <w:rPr>
          <w:szCs w:val="22"/>
        </w:rPr>
        <w:t>ud</w:t>
      </w:r>
      <w:r>
        <w:rPr>
          <w:spacing w:val="-2"/>
          <w:szCs w:val="22"/>
        </w:rPr>
        <w:t>i</w:t>
      </w:r>
      <w:r>
        <w:rPr>
          <w:szCs w:val="22"/>
        </w:rPr>
        <w:t>i</w:t>
      </w:r>
      <w:r>
        <w:rPr>
          <w:spacing w:val="1"/>
          <w:szCs w:val="22"/>
        </w:rPr>
        <w:t xml:space="preserve"> </w:t>
      </w:r>
      <w:r>
        <w:rPr>
          <w:spacing w:val="-3"/>
          <w:szCs w:val="22"/>
        </w:rPr>
        <w:t>c</w:t>
      </w:r>
      <w:r>
        <w:rPr>
          <w:spacing w:val="1"/>
          <w:szCs w:val="22"/>
        </w:rPr>
        <w:t>li</w:t>
      </w:r>
      <w:r>
        <w:rPr>
          <w:spacing w:val="-3"/>
          <w:szCs w:val="22"/>
        </w:rPr>
        <w:t>n</w:t>
      </w:r>
      <w:r>
        <w:rPr>
          <w:spacing w:val="1"/>
          <w:szCs w:val="22"/>
        </w:rPr>
        <w:t>i</w:t>
      </w:r>
      <w:r>
        <w:rPr>
          <w:spacing w:val="-3"/>
          <w:szCs w:val="22"/>
        </w:rPr>
        <w:t>c</w:t>
      </w:r>
      <w:r>
        <w:rPr>
          <w:szCs w:val="22"/>
        </w:rPr>
        <w:t>e p</w:t>
      </w:r>
      <w:r>
        <w:rPr>
          <w:spacing w:val="-2"/>
          <w:szCs w:val="22"/>
        </w:rPr>
        <w:t>l</w:t>
      </w:r>
      <w:r>
        <w:rPr>
          <w:szCs w:val="22"/>
        </w:rPr>
        <w:t>ac</w:t>
      </w:r>
      <w:r>
        <w:rPr>
          <w:spacing w:val="-3"/>
          <w:szCs w:val="22"/>
        </w:rPr>
        <w:t>e</w:t>
      </w:r>
      <w:r>
        <w:rPr>
          <w:szCs w:val="22"/>
        </w:rPr>
        <w:t>bo</w:t>
      </w:r>
      <w:r>
        <w:rPr>
          <w:spacing w:val="-4"/>
          <w:szCs w:val="22"/>
        </w:rPr>
        <w:t>-</w:t>
      </w:r>
      <w:r>
        <w:rPr>
          <w:szCs w:val="22"/>
        </w:rPr>
        <w:t>con</w:t>
      </w:r>
      <w:r>
        <w:rPr>
          <w:spacing w:val="1"/>
          <w:szCs w:val="22"/>
        </w:rPr>
        <w:t>t</w:t>
      </w:r>
      <w:r>
        <w:rPr>
          <w:szCs w:val="22"/>
        </w:rPr>
        <w:t>ro</w:t>
      </w:r>
      <w:r>
        <w:rPr>
          <w:spacing w:val="1"/>
          <w:szCs w:val="22"/>
        </w:rPr>
        <w:t>l</w:t>
      </w:r>
      <w:r>
        <w:rPr>
          <w:spacing w:val="-3"/>
          <w:szCs w:val="22"/>
        </w:rPr>
        <w:t>a</w:t>
      </w:r>
      <w:r>
        <w:rPr>
          <w:spacing w:val="1"/>
          <w:szCs w:val="22"/>
        </w:rPr>
        <w:t>t</w:t>
      </w:r>
      <w:r>
        <w:rPr>
          <w:szCs w:val="22"/>
        </w:rPr>
        <w:t>e,</w:t>
      </w:r>
      <w:r>
        <w:rPr>
          <w:spacing w:val="-3"/>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w:t>
      </w:r>
      <w:r>
        <w:rPr>
          <w:spacing w:val="-2"/>
          <w:szCs w:val="22"/>
        </w:rPr>
        <w:t>l</w:t>
      </w:r>
      <w:r>
        <w:rPr>
          <w:szCs w:val="22"/>
        </w:rPr>
        <w:t xml:space="preserve">e </w:t>
      </w:r>
      <w:r>
        <w:rPr>
          <w:spacing w:val="-1"/>
          <w:szCs w:val="22"/>
        </w:rPr>
        <w:t>AP</w:t>
      </w:r>
      <w:r>
        <w:rPr>
          <w:szCs w:val="22"/>
        </w:rPr>
        <w:t>s</w:t>
      </w:r>
      <w:r>
        <w:rPr>
          <w:spacing w:val="-2"/>
          <w:szCs w:val="22"/>
        </w:rPr>
        <w:t xml:space="preserve"> </w:t>
      </w:r>
      <w:r>
        <w:rPr>
          <w:szCs w:val="22"/>
        </w:rPr>
        <w:t>I</w:t>
      </w:r>
      <w:r>
        <w:rPr>
          <w:spacing w:val="-4"/>
          <w:szCs w:val="22"/>
        </w:rPr>
        <w:t xml:space="preserve"> </w:t>
      </w:r>
      <w:r>
        <w:rPr>
          <w:szCs w:val="22"/>
        </w:rPr>
        <w:t>şi</w:t>
      </w:r>
      <w:r>
        <w:rPr>
          <w:spacing w:val="3"/>
          <w:szCs w:val="22"/>
        </w:rPr>
        <w:t xml:space="preserve"> </w:t>
      </w:r>
      <w:r>
        <w:rPr>
          <w:spacing w:val="-2"/>
          <w:szCs w:val="22"/>
        </w:rPr>
        <w:t>I</w:t>
      </w:r>
      <w:r>
        <w:rPr>
          <w:spacing w:val="-4"/>
          <w:szCs w:val="22"/>
        </w:rPr>
        <w:t>I</w:t>
      </w:r>
      <w:r>
        <w:rPr>
          <w:szCs w:val="22"/>
        </w:rPr>
        <w:t>, efec</w:t>
      </w:r>
      <w:r>
        <w:rPr>
          <w:spacing w:val="1"/>
          <w:szCs w:val="22"/>
        </w:rPr>
        <w:t>t</w:t>
      </w:r>
      <w:r>
        <w:rPr>
          <w:szCs w:val="22"/>
        </w:rPr>
        <w:t>u</w:t>
      </w:r>
      <w:r>
        <w:rPr>
          <w:spacing w:val="-3"/>
          <w:szCs w:val="22"/>
        </w:rPr>
        <w:t>a</w:t>
      </w:r>
      <w:r>
        <w:rPr>
          <w:spacing w:val="1"/>
          <w:szCs w:val="22"/>
        </w:rPr>
        <w:t>t</w:t>
      </w:r>
      <w:r>
        <w:rPr>
          <w:szCs w:val="22"/>
        </w:rPr>
        <w:t xml:space="preserve">e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2"/>
          <w:szCs w:val="22"/>
        </w:rPr>
        <w:t xml:space="preserve"> </w:t>
      </w:r>
      <w:r>
        <w:rPr>
          <w:szCs w:val="22"/>
        </w:rPr>
        <w:t>cu 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 ps</w:t>
      </w:r>
      <w:r>
        <w:rPr>
          <w:spacing w:val="-3"/>
          <w:szCs w:val="22"/>
        </w:rPr>
        <w:t>o</w:t>
      </w:r>
      <w:r>
        <w:rPr>
          <w:szCs w:val="22"/>
        </w:rPr>
        <w:t>r</w:t>
      </w:r>
      <w:r>
        <w:rPr>
          <w:spacing w:val="-2"/>
          <w:szCs w:val="22"/>
        </w:rPr>
        <w:t>i</w:t>
      </w:r>
      <w:r>
        <w:rPr>
          <w:szCs w:val="22"/>
        </w:rPr>
        <w:t>a</w:t>
      </w:r>
      <w:r>
        <w:rPr>
          <w:spacing w:val="-3"/>
          <w:szCs w:val="22"/>
        </w:rPr>
        <w:t>z</w:t>
      </w:r>
      <w:r>
        <w:rPr>
          <w:spacing w:val="1"/>
          <w:szCs w:val="22"/>
        </w:rPr>
        <w:t>i</w:t>
      </w:r>
      <w:r>
        <w:rPr>
          <w:szCs w:val="22"/>
        </w:rPr>
        <w:t>că for</w:t>
      </w:r>
      <w:r>
        <w:rPr>
          <w:spacing w:val="-4"/>
          <w:szCs w:val="22"/>
        </w:rPr>
        <w:t>m</w:t>
      </w:r>
      <w:r>
        <w:rPr>
          <w:szCs w:val="22"/>
        </w:rPr>
        <w:t xml:space="preserve">a </w:t>
      </w:r>
      <w:r>
        <w:rPr>
          <w:spacing w:val="-4"/>
          <w:szCs w:val="22"/>
        </w:rPr>
        <w:t>m</w:t>
      </w:r>
      <w:r>
        <w:rPr>
          <w:szCs w:val="22"/>
        </w:rPr>
        <w:t>odera</w:t>
      </w:r>
      <w:r>
        <w:rPr>
          <w:spacing w:val="1"/>
          <w:szCs w:val="22"/>
        </w:rPr>
        <w:t>t</w:t>
      </w:r>
      <w:r>
        <w:rPr>
          <w:szCs w:val="22"/>
        </w:rPr>
        <w:t xml:space="preserve">ă </w:t>
      </w:r>
      <w:r>
        <w:rPr>
          <w:spacing w:val="-3"/>
          <w:szCs w:val="22"/>
        </w:rPr>
        <w:t>p</w:t>
      </w:r>
      <w:r>
        <w:rPr>
          <w:szCs w:val="22"/>
        </w:rPr>
        <w:t>ână</w:t>
      </w:r>
      <w:r>
        <w:rPr>
          <w:spacing w:val="-2"/>
          <w:szCs w:val="22"/>
        </w:rPr>
        <w:t xml:space="preserve"> </w:t>
      </w:r>
      <w:r>
        <w:rPr>
          <w:spacing w:val="1"/>
          <w:szCs w:val="22"/>
        </w:rPr>
        <w:t>l</w:t>
      </w:r>
      <w:r>
        <w:rPr>
          <w:szCs w:val="22"/>
        </w:rPr>
        <w:t>a</w:t>
      </w:r>
      <w:r>
        <w:rPr>
          <w:spacing w:val="-2"/>
          <w:szCs w:val="22"/>
        </w:rPr>
        <w:t xml:space="preserve"> </w:t>
      </w:r>
      <w:r>
        <w:rPr>
          <w:szCs w:val="22"/>
        </w:rPr>
        <w:t>se</w:t>
      </w:r>
      <w:r>
        <w:rPr>
          <w:spacing w:val="-3"/>
          <w:szCs w:val="22"/>
        </w:rPr>
        <w:t>v</w:t>
      </w:r>
      <w:r>
        <w:rPr>
          <w:szCs w:val="22"/>
        </w:rPr>
        <w:t>eră,</w:t>
      </w:r>
      <w:r>
        <w:rPr>
          <w:spacing w:val="-3"/>
          <w:szCs w:val="22"/>
        </w:rPr>
        <w:t xml:space="preserve"> </w:t>
      </w:r>
      <w:r>
        <w:rPr>
          <w:szCs w:val="22"/>
        </w:rPr>
        <w:t>s</w:t>
      </w:r>
      <w:r>
        <w:rPr>
          <w:spacing w:val="-5"/>
          <w:szCs w:val="22"/>
        </w:rPr>
        <w:t>-</w:t>
      </w:r>
      <w:r>
        <w:rPr>
          <w:szCs w:val="22"/>
        </w:rPr>
        <w:t>a s</w:t>
      </w:r>
      <w:r>
        <w:rPr>
          <w:spacing w:val="1"/>
          <w:szCs w:val="22"/>
        </w:rPr>
        <w:t>t</w:t>
      </w:r>
      <w:r>
        <w:rPr>
          <w:szCs w:val="22"/>
        </w:rPr>
        <w:t>ud</w:t>
      </w:r>
      <w:r>
        <w:rPr>
          <w:spacing w:val="1"/>
          <w:szCs w:val="22"/>
        </w:rPr>
        <w:t>i</w:t>
      </w:r>
      <w:r>
        <w:rPr>
          <w:spacing w:val="-3"/>
          <w:szCs w:val="22"/>
        </w:rPr>
        <w:t>a</w:t>
      </w:r>
      <w:r>
        <w:rPr>
          <w:szCs w:val="22"/>
        </w:rPr>
        <w:t>t</w:t>
      </w:r>
      <w:r>
        <w:rPr>
          <w:spacing w:val="1"/>
          <w:szCs w:val="22"/>
        </w:rPr>
        <w:t xml:space="preserve">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r</w:t>
      </w:r>
      <w:r>
        <w:rPr>
          <w:spacing w:val="-3"/>
          <w:szCs w:val="22"/>
        </w:rPr>
        <w:t>e</w:t>
      </w:r>
      <w:r>
        <w:rPr>
          <w:szCs w:val="22"/>
        </w:rPr>
        <w:t>a a 40 </w:t>
      </w:r>
      <w:r>
        <w:rPr>
          <w:spacing w:val="-4"/>
          <w:szCs w:val="22"/>
        </w:rPr>
        <w:t>m</w:t>
      </w:r>
      <w:r>
        <w:rPr>
          <w:szCs w:val="22"/>
        </w:rPr>
        <w:t>g</w:t>
      </w:r>
      <w:r>
        <w:rPr>
          <w:spacing w:val="-3"/>
          <w:szCs w:val="22"/>
        </w:rPr>
        <w:t xml:space="preserve"> </w:t>
      </w:r>
      <w:r>
        <w:rPr>
          <w:rFonts w:eastAsia="MS Mincho"/>
          <w:spacing w:val="-1"/>
          <w:szCs w:val="22"/>
          <w:lang w:eastAsia="en-US" w:bidi="ar-SA"/>
        </w:rPr>
        <w:t>adalimumab</w:t>
      </w:r>
      <w:r>
        <w:rPr>
          <w:szCs w:val="22"/>
        </w:rPr>
        <w:t xml:space="preserve"> </w:t>
      </w:r>
      <w:r>
        <w:rPr>
          <w:spacing w:val="1"/>
          <w:szCs w:val="22"/>
        </w:rPr>
        <w:t>l</w:t>
      </w:r>
      <w:r>
        <w:rPr>
          <w:szCs w:val="22"/>
        </w:rPr>
        <w:t>a</w:t>
      </w:r>
      <w:r>
        <w:rPr>
          <w:spacing w:val="-2"/>
          <w:szCs w:val="22"/>
        </w:rPr>
        <w:t xml:space="preserve"> </w:t>
      </w:r>
      <w:r>
        <w:rPr>
          <w:szCs w:val="22"/>
        </w:rPr>
        <w:t>f</w:t>
      </w:r>
      <w:r>
        <w:rPr>
          <w:spacing w:val="1"/>
          <w:szCs w:val="22"/>
        </w:rPr>
        <w:t>i</w:t>
      </w:r>
      <w:r>
        <w:rPr>
          <w:spacing w:val="-3"/>
          <w:szCs w:val="22"/>
        </w:rPr>
        <w:t>e</w:t>
      </w:r>
      <w:r>
        <w:rPr>
          <w:szCs w:val="22"/>
        </w:rPr>
        <w:t>c</w:t>
      </w:r>
      <w:r>
        <w:rPr>
          <w:spacing w:val="-3"/>
          <w:szCs w:val="22"/>
        </w:rPr>
        <w:t>a</w:t>
      </w:r>
      <w:r>
        <w:rPr>
          <w:szCs w:val="22"/>
        </w:rPr>
        <w:t>re</w:t>
      </w:r>
      <w:r>
        <w:rPr>
          <w:spacing w:val="-2"/>
          <w:szCs w:val="22"/>
        </w:rPr>
        <w:t xml:space="preserve"> </w:t>
      </w:r>
      <w:r>
        <w:rPr>
          <w:szCs w:val="22"/>
        </w:rPr>
        <w:t xml:space="preserve">două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4"/>
          <w:szCs w:val="22"/>
        </w:rPr>
        <w:t>Î</w:t>
      </w:r>
      <w:r>
        <w:rPr>
          <w:szCs w:val="22"/>
        </w:rPr>
        <w:t>n s</w:t>
      </w:r>
      <w:r>
        <w:rPr>
          <w:spacing w:val="1"/>
          <w:szCs w:val="22"/>
        </w:rPr>
        <w:t>t</w:t>
      </w:r>
      <w:r>
        <w:rPr>
          <w:szCs w:val="22"/>
        </w:rPr>
        <w:t>u</w:t>
      </w:r>
      <w:r>
        <w:rPr>
          <w:spacing w:val="-3"/>
          <w:szCs w:val="22"/>
        </w:rPr>
        <w:t>d</w:t>
      </w:r>
      <w:r>
        <w:rPr>
          <w:spacing w:val="1"/>
          <w:szCs w:val="22"/>
        </w:rPr>
        <w:t>i</w:t>
      </w:r>
      <w:r>
        <w:rPr>
          <w:szCs w:val="22"/>
        </w:rPr>
        <w:t>ul</w:t>
      </w:r>
      <w:r>
        <w:rPr>
          <w:spacing w:val="1"/>
          <w:szCs w:val="22"/>
        </w:rPr>
        <w:t xml:space="preserve"> </w:t>
      </w:r>
      <w:r>
        <w:rPr>
          <w:spacing w:val="-1"/>
          <w:szCs w:val="22"/>
        </w:rPr>
        <w:t>A</w:t>
      </w:r>
      <w:r>
        <w:rPr>
          <w:spacing w:val="-3"/>
          <w:szCs w:val="22"/>
        </w:rPr>
        <w:t>P</w:t>
      </w:r>
      <w:r>
        <w:rPr>
          <w:szCs w:val="22"/>
        </w:rPr>
        <w:t xml:space="preserve">s </w:t>
      </w:r>
      <w:r>
        <w:rPr>
          <w:spacing w:val="-4"/>
          <w:szCs w:val="22"/>
        </w:rPr>
        <w:t>I</w:t>
      </w:r>
      <w:r>
        <w:rPr>
          <w:szCs w:val="22"/>
        </w:rPr>
        <w:t>, cu o dur</w:t>
      </w:r>
      <w:r>
        <w:rPr>
          <w:spacing w:val="-3"/>
          <w:szCs w:val="22"/>
        </w:rPr>
        <w:t>a</w:t>
      </w:r>
      <w:r>
        <w:rPr>
          <w:spacing w:val="1"/>
          <w:szCs w:val="22"/>
        </w:rPr>
        <w:t>t</w:t>
      </w:r>
      <w:r>
        <w:rPr>
          <w:szCs w:val="22"/>
        </w:rPr>
        <w:t xml:space="preserve">ă </w:t>
      </w:r>
      <w:r>
        <w:rPr>
          <w:spacing w:val="-3"/>
          <w:szCs w:val="22"/>
        </w:rPr>
        <w:t>d</w:t>
      </w:r>
      <w:r>
        <w:rPr>
          <w:szCs w:val="22"/>
        </w:rPr>
        <w:t>e 24 s</w:t>
      </w:r>
      <w:r>
        <w:rPr>
          <w:spacing w:val="-3"/>
          <w:szCs w:val="22"/>
        </w:rPr>
        <w:t>ă</w:t>
      </w:r>
      <w:r>
        <w:rPr>
          <w:szCs w:val="22"/>
        </w:rPr>
        <w:t>p</w:t>
      </w:r>
      <w:r>
        <w:rPr>
          <w:spacing w:val="1"/>
          <w:szCs w:val="22"/>
        </w:rPr>
        <w:t>t</w:t>
      </w:r>
      <w:r>
        <w:rPr>
          <w:szCs w:val="22"/>
        </w:rPr>
        <w:t>ă</w:t>
      </w:r>
      <w:r>
        <w:rPr>
          <w:spacing w:val="-4"/>
          <w:szCs w:val="22"/>
        </w:rPr>
        <w:t>m</w:t>
      </w:r>
      <w:r>
        <w:rPr>
          <w:szCs w:val="22"/>
        </w:rPr>
        <w:t>ân</w:t>
      </w:r>
      <w:r>
        <w:rPr>
          <w:spacing w:val="1"/>
          <w:szCs w:val="22"/>
        </w:rPr>
        <w:t>i</w:t>
      </w:r>
      <w:r>
        <w:rPr>
          <w:szCs w:val="22"/>
        </w:rPr>
        <w:t>,</w:t>
      </w:r>
      <w:r>
        <w:rPr>
          <w:spacing w:val="-3"/>
          <w:szCs w:val="22"/>
        </w:rPr>
        <w:t xml:space="preserve"> </w:t>
      </w:r>
      <w:r>
        <w:rPr>
          <w:szCs w:val="22"/>
        </w:rPr>
        <w:t>au f</w:t>
      </w:r>
      <w:r>
        <w:rPr>
          <w:spacing w:val="-3"/>
          <w:szCs w:val="22"/>
        </w:rPr>
        <w:t>o</w:t>
      </w:r>
      <w:r>
        <w:rPr>
          <w:szCs w:val="22"/>
        </w:rPr>
        <w:t>st</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1"/>
          <w:szCs w:val="22"/>
        </w:rPr>
        <w:t>ţ</w:t>
      </w:r>
      <w:r>
        <w:rPr>
          <w:szCs w:val="22"/>
        </w:rPr>
        <w:t>i</w:t>
      </w:r>
      <w:r>
        <w:rPr>
          <w:spacing w:val="-2"/>
          <w:szCs w:val="22"/>
        </w:rPr>
        <w:t xml:space="preserve"> </w:t>
      </w:r>
      <w:r>
        <w:rPr>
          <w:szCs w:val="22"/>
        </w:rPr>
        <w:t>313 p</w:t>
      </w:r>
      <w:r>
        <w:rPr>
          <w:spacing w:val="-3"/>
          <w:szCs w:val="22"/>
        </w:rPr>
        <w:t>a</w:t>
      </w:r>
      <w:r>
        <w:rPr>
          <w:szCs w:val="22"/>
        </w:rPr>
        <w:t>c</w:t>
      </w:r>
      <w:r>
        <w:rPr>
          <w:spacing w:val="-2"/>
          <w:szCs w:val="22"/>
        </w:rPr>
        <w:t>i</w:t>
      </w:r>
      <w:r>
        <w:rPr>
          <w:szCs w:val="22"/>
        </w:rPr>
        <w:t>en</w:t>
      </w:r>
      <w:r>
        <w:rPr>
          <w:spacing w:val="-2"/>
          <w:szCs w:val="22"/>
        </w:rPr>
        <w:t>ţ</w:t>
      </w:r>
      <w:r>
        <w:rPr>
          <w:szCs w:val="22"/>
        </w:rPr>
        <w:t>i</w:t>
      </w:r>
      <w:r>
        <w:rPr>
          <w:spacing w:val="1"/>
          <w:szCs w:val="22"/>
        </w:rPr>
        <w:t xml:space="preserve"> </w:t>
      </w:r>
      <w:r>
        <w:rPr>
          <w:szCs w:val="22"/>
        </w:rPr>
        <w:t>a</w:t>
      </w:r>
      <w:r>
        <w:rPr>
          <w:spacing w:val="-3"/>
          <w:szCs w:val="22"/>
        </w:rPr>
        <w:t>d</w:t>
      </w:r>
      <w:r>
        <w:rPr>
          <w:szCs w:val="22"/>
        </w:rPr>
        <w:t>u</w:t>
      </w:r>
      <w:r>
        <w:rPr>
          <w:spacing w:val="-2"/>
          <w:szCs w:val="22"/>
        </w:rPr>
        <w:t>l</w:t>
      </w:r>
      <w:r>
        <w:rPr>
          <w:spacing w:val="1"/>
          <w:szCs w:val="22"/>
        </w:rPr>
        <w:t>ţ</w:t>
      </w:r>
      <w:r>
        <w:rPr>
          <w:szCs w:val="22"/>
        </w:rPr>
        <w:t>i</w:t>
      </w:r>
      <w:r>
        <w:rPr>
          <w:spacing w:val="-2"/>
          <w:szCs w:val="22"/>
        </w:rPr>
        <w:t xml:space="preserve"> </w:t>
      </w:r>
      <w:r>
        <w:rPr>
          <w:szCs w:val="22"/>
        </w:rPr>
        <w:t>ca</w:t>
      </w:r>
      <w:r>
        <w:rPr>
          <w:spacing w:val="-2"/>
          <w:szCs w:val="22"/>
        </w:rPr>
        <w:t>r</w:t>
      </w:r>
      <w:r>
        <w:rPr>
          <w:szCs w:val="22"/>
        </w:rPr>
        <w:t>e</w:t>
      </w:r>
      <w:r>
        <w:rPr>
          <w:spacing w:val="-2"/>
          <w:szCs w:val="22"/>
        </w:rPr>
        <w:t xml:space="preserve"> </w:t>
      </w:r>
      <w:r>
        <w:rPr>
          <w:szCs w:val="22"/>
        </w:rPr>
        <w:t>au a</w:t>
      </w:r>
      <w:r>
        <w:rPr>
          <w:spacing w:val="-3"/>
          <w:szCs w:val="22"/>
        </w:rPr>
        <w:t>v</w:t>
      </w:r>
      <w:r>
        <w:rPr>
          <w:szCs w:val="22"/>
        </w:rPr>
        <w:t>ut</w:t>
      </w:r>
      <w:r>
        <w:rPr>
          <w:spacing w:val="1"/>
          <w:szCs w:val="22"/>
        </w:rPr>
        <w:t xml:space="preserve"> </w:t>
      </w:r>
      <w:r>
        <w:rPr>
          <w:szCs w:val="22"/>
        </w:rPr>
        <w:t>un</w:t>
      </w:r>
      <w:r>
        <w:rPr>
          <w:spacing w:val="-3"/>
          <w:szCs w:val="22"/>
        </w:rPr>
        <w:t xml:space="preserve"> </w:t>
      </w:r>
      <w:r>
        <w:rPr>
          <w:szCs w:val="22"/>
        </w:rPr>
        <w:t>răs</w:t>
      </w:r>
      <w:r>
        <w:rPr>
          <w:spacing w:val="-3"/>
          <w:szCs w:val="22"/>
        </w:rPr>
        <w:t>p</w:t>
      </w:r>
      <w:r>
        <w:rPr>
          <w:szCs w:val="22"/>
        </w:rPr>
        <w:t>uns neco</w:t>
      </w:r>
      <w:r>
        <w:rPr>
          <w:spacing w:val="-2"/>
          <w:szCs w:val="22"/>
        </w:rPr>
        <w:t>r</w:t>
      </w:r>
      <w:r>
        <w:rPr>
          <w:szCs w:val="22"/>
        </w:rPr>
        <w:t>esp</w:t>
      </w:r>
      <w:r>
        <w:rPr>
          <w:spacing w:val="-3"/>
          <w:szCs w:val="22"/>
        </w:rPr>
        <w:t>u</w:t>
      </w:r>
      <w:r>
        <w:rPr>
          <w:szCs w:val="22"/>
        </w:rPr>
        <w:t>n</w:t>
      </w:r>
      <w:r>
        <w:rPr>
          <w:spacing w:val="-3"/>
          <w:szCs w:val="22"/>
        </w:rPr>
        <w:t>z</w:t>
      </w:r>
      <w:r>
        <w:rPr>
          <w:szCs w:val="22"/>
        </w:rPr>
        <w:t>ă</w:t>
      </w:r>
      <w:r>
        <w:rPr>
          <w:spacing w:val="1"/>
          <w:szCs w:val="22"/>
        </w:rPr>
        <w:t>t</w:t>
      </w:r>
      <w:r>
        <w:rPr>
          <w:szCs w:val="22"/>
        </w:rPr>
        <w:t>or</w:t>
      </w:r>
      <w:r>
        <w:rPr>
          <w:spacing w:val="-2"/>
          <w:szCs w:val="22"/>
        </w:rPr>
        <w:t xml:space="preserve"> </w:t>
      </w:r>
      <w:r>
        <w:rPr>
          <w:spacing w:val="1"/>
          <w:szCs w:val="22"/>
        </w:rPr>
        <w:t>l</w:t>
      </w:r>
      <w:r>
        <w:rPr>
          <w:szCs w:val="22"/>
        </w:rPr>
        <w:t>a</w:t>
      </w:r>
      <w:r>
        <w:rPr>
          <w:spacing w:val="-2"/>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2"/>
          <w:szCs w:val="22"/>
        </w:rPr>
        <w:t xml:space="preserve"> </w:t>
      </w:r>
      <w:r>
        <w:rPr>
          <w:szCs w:val="22"/>
        </w:rPr>
        <w:t xml:space="preserve">cu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w:t>
      </w:r>
      <w:r>
        <w:rPr>
          <w:spacing w:val="-2"/>
          <w:szCs w:val="22"/>
        </w:rPr>
        <w:t xml:space="preserve"> </w:t>
      </w:r>
      <w:r>
        <w:rPr>
          <w:szCs w:val="22"/>
        </w:rPr>
        <w:t>an</w:t>
      </w:r>
      <w:r>
        <w:rPr>
          <w:spacing w:val="-2"/>
          <w:szCs w:val="22"/>
        </w:rPr>
        <w:t>t</w:t>
      </w:r>
      <w:r>
        <w:rPr>
          <w:spacing w:val="1"/>
          <w:szCs w:val="22"/>
        </w:rPr>
        <w:t>i</w:t>
      </w:r>
      <w:r>
        <w:rPr>
          <w:spacing w:val="-2"/>
          <w:szCs w:val="22"/>
        </w:rPr>
        <w:t>i</w:t>
      </w:r>
      <w:r>
        <w:rPr>
          <w:spacing w:val="-3"/>
          <w:szCs w:val="22"/>
        </w:rPr>
        <w:t>n</w:t>
      </w:r>
      <w:r>
        <w:rPr>
          <w:szCs w:val="22"/>
        </w:rPr>
        <w:t>f</w:t>
      </w:r>
      <w:r>
        <w:rPr>
          <w:spacing w:val="1"/>
          <w:szCs w:val="22"/>
        </w:rPr>
        <w:t>l</w:t>
      </w:r>
      <w:r>
        <w:rPr>
          <w:szCs w:val="22"/>
        </w:rPr>
        <w:t>a</w:t>
      </w:r>
      <w:r>
        <w:rPr>
          <w:spacing w:val="-4"/>
          <w:szCs w:val="22"/>
        </w:rPr>
        <w:t>m</w:t>
      </w:r>
      <w:r>
        <w:rPr>
          <w:szCs w:val="22"/>
        </w:rPr>
        <w:t>a</w:t>
      </w:r>
      <w:r>
        <w:rPr>
          <w:spacing w:val="1"/>
          <w:szCs w:val="22"/>
        </w:rPr>
        <w:t>t</w:t>
      </w:r>
      <w:r>
        <w:rPr>
          <w:szCs w:val="22"/>
        </w:rPr>
        <w:t>o</w:t>
      </w:r>
      <w:r>
        <w:rPr>
          <w:spacing w:val="-3"/>
          <w:szCs w:val="22"/>
        </w:rPr>
        <w:t>a</w:t>
      </w:r>
      <w:r>
        <w:rPr>
          <w:szCs w:val="22"/>
        </w:rPr>
        <w:t xml:space="preserve">re </w:t>
      </w:r>
      <w:r>
        <w:rPr>
          <w:spacing w:val="-3"/>
          <w:szCs w:val="22"/>
        </w:rPr>
        <w:t>n</w:t>
      </w:r>
      <w:r>
        <w:rPr>
          <w:szCs w:val="22"/>
        </w:rPr>
        <w:t>e</w:t>
      </w:r>
      <w:r>
        <w:rPr>
          <w:spacing w:val="-2"/>
          <w:szCs w:val="22"/>
        </w:rPr>
        <w:t>s</w:t>
      </w:r>
      <w:r>
        <w:rPr>
          <w:spacing w:val="1"/>
          <w:szCs w:val="22"/>
        </w:rPr>
        <w:t>t</w:t>
      </w:r>
      <w:r>
        <w:rPr>
          <w:szCs w:val="22"/>
        </w:rPr>
        <w:t>er</w:t>
      </w:r>
      <w:r>
        <w:rPr>
          <w:spacing w:val="-3"/>
          <w:szCs w:val="22"/>
        </w:rPr>
        <w:t>o</w:t>
      </w:r>
      <w:r>
        <w:rPr>
          <w:spacing w:val="1"/>
          <w:szCs w:val="22"/>
        </w:rPr>
        <w:t>i</w:t>
      </w:r>
      <w:r>
        <w:rPr>
          <w:spacing w:val="-3"/>
          <w:szCs w:val="22"/>
        </w:rPr>
        <w:t>d</w:t>
      </w:r>
      <w:r>
        <w:rPr>
          <w:spacing w:val="1"/>
          <w:szCs w:val="22"/>
        </w:rPr>
        <w:t>i</w:t>
      </w:r>
      <w:r>
        <w:rPr>
          <w:szCs w:val="22"/>
        </w:rPr>
        <w:t>en</w:t>
      </w:r>
      <w:r>
        <w:rPr>
          <w:spacing w:val="-3"/>
          <w:szCs w:val="22"/>
        </w:rPr>
        <w:t>e</w:t>
      </w:r>
      <w:r>
        <w:rPr>
          <w:szCs w:val="22"/>
        </w:rPr>
        <w:t>, d</w:t>
      </w:r>
      <w:r>
        <w:rPr>
          <w:spacing w:val="-2"/>
          <w:szCs w:val="22"/>
        </w:rPr>
        <w:t>i</w:t>
      </w:r>
      <w:r>
        <w:rPr>
          <w:szCs w:val="22"/>
        </w:rPr>
        <w:t>n</w:t>
      </w:r>
      <w:r>
        <w:rPr>
          <w:spacing w:val="1"/>
          <w:szCs w:val="22"/>
        </w:rPr>
        <w:t>t</w:t>
      </w:r>
      <w:r>
        <w:rPr>
          <w:szCs w:val="22"/>
        </w:rPr>
        <w:t>re</w:t>
      </w:r>
      <w:r>
        <w:rPr>
          <w:spacing w:val="-2"/>
          <w:szCs w:val="22"/>
        </w:rPr>
        <w:t xml:space="preserve"> </w:t>
      </w:r>
      <w:r>
        <w:rPr>
          <w:szCs w:val="22"/>
        </w:rPr>
        <w:lastRenderedPageBreak/>
        <w:t>ac</w:t>
      </w:r>
      <w:r>
        <w:rPr>
          <w:spacing w:val="-3"/>
          <w:szCs w:val="22"/>
        </w:rPr>
        <w:t>e</w:t>
      </w:r>
      <w:r>
        <w:rPr>
          <w:szCs w:val="22"/>
        </w:rPr>
        <w:t>ş</w:t>
      </w:r>
      <w:r>
        <w:rPr>
          <w:spacing w:val="-2"/>
          <w:szCs w:val="22"/>
        </w:rPr>
        <w:t>t</w:t>
      </w:r>
      <w:r>
        <w:rPr>
          <w:spacing w:val="1"/>
          <w:szCs w:val="22"/>
        </w:rPr>
        <w:t>i</w:t>
      </w:r>
      <w:r>
        <w:rPr>
          <w:szCs w:val="22"/>
        </w:rPr>
        <w:t>a apro</w:t>
      </w:r>
      <w:r>
        <w:rPr>
          <w:spacing w:val="-3"/>
          <w:szCs w:val="22"/>
        </w:rPr>
        <w:t>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50%</w:t>
      </w:r>
      <w:r>
        <w:rPr>
          <w:spacing w:val="1"/>
          <w:szCs w:val="22"/>
        </w:rPr>
        <w:t xml:space="preserve"> </w:t>
      </w:r>
      <w:r>
        <w:rPr>
          <w:spacing w:val="-3"/>
          <w:szCs w:val="22"/>
        </w:rPr>
        <w:t>u</w:t>
      </w:r>
      <w:r>
        <w:rPr>
          <w:spacing w:val="1"/>
          <w:szCs w:val="22"/>
        </w:rPr>
        <w:t>t</w:t>
      </w:r>
      <w:r>
        <w:rPr>
          <w:spacing w:val="-2"/>
          <w:szCs w:val="22"/>
        </w:rPr>
        <w:t>i</w:t>
      </w:r>
      <w:r>
        <w:rPr>
          <w:spacing w:val="1"/>
          <w:szCs w:val="22"/>
        </w:rPr>
        <w:t>li</w:t>
      </w:r>
      <w:r>
        <w:rPr>
          <w:spacing w:val="-3"/>
          <w:szCs w:val="22"/>
        </w:rPr>
        <w:t>z</w:t>
      </w:r>
      <w:r>
        <w:rPr>
          <w:szCs w:val="22"/>
        </w:rPr>
        <w:t>au</w:t>
      </w:r>
      <w:r>
        <w:rPr>
          <w:spacing w:val="-3"/>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rex</w:t>
      </w:r>
      <w:r>
        <w:rPr>
          <w:spacing w:val="-3"/>
          <w:szCs w:val="22"/>
        </w:rPr>
        <w:t>a</w:t>
      </w:r>
      <w:r>
        <w:rPr>
          <w:spacing w:val="1"/>
          <w:szCs w:val="22"/>
        </w:rPr>
        <w:t>t</w:t>
      </w:r>
      <w:r>
        <w:rPr>
          <w:szCs w:val="22"/>
        </w:rPr>
        <w:t xml:space="preserve">. </w:t>
      </w:r>
      <w:r>
        <w:rPr>
          <w:spacing w:val="-4"/>
          <w:szCs w:val="22"/>
        </w:rPr>
        <w:t>Î</w:t>
      </w:r>
      <w:r>
        <w:rPr>
          <w:szCs w:val="22"/>
        </w:rPr>
        <w:t>n s</w:t>
      </w:r>
      <w:r>
        <w:rPr>
          <w:spacing w:val="1"/>
          <w:szCs w:val="22"/>
        </w:rPr>
        <w:t>t</w:t>
      </w:r>
      <w:r>
        <w:rPr>
          <w:szCs w:val="22"/>
        </w:rPr>
        <w:t>u</w:t>
      </w:r>
      <w:r>
        <w:rPr>
          <w:spacing w:val="-3"/>
          <w:szCs w:val="22"/>
        </w:rPr>
        <w:t>d</w:t>
      </w:r>
      <w:r>
        <w:rPr>
          <w:spacing w:val="1"/>
          <w:szCs w:val="22"/>
        </w:rPr>
        <w:t>i</w:t>
      </w:r>
      <w:r>
        <w:rPr>
          <w:szCs w:val="22"/>
        </w:rPr>
        <w:t>ul</w:t>
      </w:r>
      <w:r>
        <w:rPr>
          <w:spacing w:val="1"/>
          <w:szCs w:val="22"/>
        </w:rPr>
        <w:t xml:space="preserve"> </w:t>
      </w:r>
      <w:r>
        <w:rPr>
          <w:spacing w:val="-2"/>
          <w:szCs w:val="22"/>
        </w:rPr>
        <w:t>A</w:t>
      </w:r>
      <w:r>
        <w:rPr>
          <w:spacing w:val="-3"/>
          <w:szCs w:val="22"/>
        </w:rPr>
        <w:t>P</w:t>
      </w:r>
      <w:r>
        <w:rPr>
          <w:szCs w:val="22"/>
        </w:rPr>
        <w:t xml:space="preserve">s </w:t>
      </w:r>
      <w:r>
        <w:rPr>
          <w:spacing w:val="-2"/>
          <w:szCs w:val="22"/>
        </w:rPr>
        <w:t>I</w:t>
      </w:r>
      <w:r>
        <w:rPr>
          <w:spacing w:val="-4"/>
          <w:szCs w:val="22"/>
        </w:rPr>
        <w:t>I</w:t>
      </w:r>
      <w:r>
        <w:rPr>
          <w:szCs w:val="22"/>
        </w:rPr>
        <w:t>, cu o dura</w:t>
      </w:r>
      <w:r>
        <w:rPr>
          <w:spacing w:val="1"/>
          <w:szCs w:val="22"/>
        </w:rPr>
        <w:t>t</w:t>
      </w:r>
      <w:r>
        <w:rPr>
          <w:szCs w:val="22"/>
        </w:rPr>
        <w:t>ă</w:t>
      </w:r>
      <w:r>
        <w:rPr>
          <w:spacing w:val="-2"/>
          <w:szCs w:val="22"/>
        </w:rPr>
        <w:t xml:space="preserve"> </w:t>
      </w:r>
      <w:r>
        <w:rPr>
          <w:szCs w:val="22"/>
        </w:rPr>
        <w:t>de 12</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3"/>
          <w:szCs w:val="22"/>
        </w:rPr>
        <w:t>a</w:t>
      </w:r>
      <w:r>
        <w:rPr>
          <w:szCs w:val="22"/>
        </w:rPr>
        <w:t>u f</w:t>
      </w:r>
      <w:r>
        <w:rPr>
          <w:spacing w:val="-3"/>
          <w:szCs w:val="22"/>
        </w:rPr>
        <w:t>o</w:t>
      </w:r>
      <w:r>
        <w:rPr>
          <w:szCs w:val="22"/>
        </w:rPr>
        <w:t>st</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ţ</w:t>
      </w:r>
      <w:r>
        <w:rPr>
          <w:szCs w:val="22"/>
        </w:rPr>
        <w:t>i</w:t>
      </w:r>
      <w:r>
        <w:rPr>
          <w:spacing w:val="1"/>
          <w:szCs w:val="22"/>
        </w:rPr>
        <w:t xml:space="preserve"> </w:t>
      </w:r>
      <w:r>
        <w:rPr>
          <w:szCs w:val="22"/>
        </w:rPr>
        <w:t>100 pac</w:t>
      </w:r>
      <w:r>
        <w:rPr>
          <w:spacing w:val="-2"/>
          <w:szCs w:val="22"/>
        </w:rPr>
        <w:t>i</w:t>
      </w:r>
      <w:r>
        <w:rPr>
          <w:szCs w:val="22"/>
        </w:rPr>
        <w:t>en</w:t>
      </w:r>
      <w:r>
        <w:rPr>
          <w:spacing w:val="-2"/>
          <w:szCs w:val="22"/>
        </w:rPr>
        <w:t>ţ</w:t>
      </w:r>
      <w:r>
        <w:rPr>
          <w:szCs w:val="22"/>
        </w:rPr>
        <w:t>i</w:t>
      </w:r>
      <w:r>
        <w:rPr>
          <w:spacing w:val="1"/>
          <w:szCs w:val="22"/>
        </w:rPr>
        <w:t xml:space="preserve"> </w:t>
      </w:r>
      <w:r>
        <w:rPr>
          <w:spacing w:val="-3"/>
          <w:szCs w:val="22"/>
        </w:rPr>
        <w:t>c</w:t>
      </w:r>
      <w:r>
        <w:rPr>
          <w:szCs w:val="22"/>
        </w:rPr>
        <w:t>are</w:t>
      </w:r>
      <w:r>
        <w:rPr>
          <w:spacing w:val="-2"/>
          <w:szCs w:val="22"/>
        </w:rPr>
        <w:t xml:space="preserve"> </w:t>
      </w:r>
      <w:r>
        <w:rPr>
          <w:szCs w:val="22"/>
        </w:rPr>
        <w:t>au a</w:t>
      </w:r>
      <w:r>
        <w:rPr>
          <w:spacing w:val="-3"/>
          <w:szCs w:val="22"/>
        </w:rPr>
        <w:t>v</w:t>
      </w:r>
      <w:r>
        <w:rPr>
          <w:szCs w:val="22"/>
        </w:rPr>
        <w:t>ut</w:t>
      </w:r>
      <w:r>
        <w:rPr>
          <w:spacing w:val="1"/>
          <w:szCs w:val="22"/>
        </w:rPr>
        <w:t xml:space="preserve"> </w:t>
      </w:r>
      <w:r>
        <w:rPr>
          <w:spacing w:val="-3"/>
          <w:szCs w:val="22"/>
        </w:rPr>
        <w:t>u</w:t>
      </w:r>
      <w:r>
        <w:rPr>
          <w:szCs w:val="22"/>
        </w:rPr>
        <w:t>n r</w:t>
      </w:r>
      <w:r>
        <w:rPr>
          <w:spacing w:val="-3"/>
          <w:szCs w:val="22"/>
        </w:rPr>
        <w:t>ă</w:t>
      </w:r>
      <w:r>
        <w:rPr>
          <w:spacing w:val="-2"/>
          <w:szCs w:val="22"/>
        </w:rPr>
        <w:t>s</w:t>
      </w:r>
      <w:r>
        <w:rPr>
          <w:szCs w:val="22"/>
        </w:rPr>
        <w:t>puns n</w:t>
      </w:r>
      <w:r>
        <w:rPr>
          <w:spacing w:val="-3"/>
          <w:szCs w:val="22"/>
        </w:rPr>
        <w:t>e</w:t>
      </w:r>
      <w:r>
        <w:rPr>
          <w:szCs w:val="22"/>
        </w:rPr>
        <w:t>co</w:t>
      </w:r>
      <w:r>
        <w:rPr>
          <w:spacing w:val="-2"/>
          <w:szCs w:val="22"/>
        </w:rPr>
        <w:t>r</w:t>
      </w:r>
      <w:r>
        <w:rPr>
          <w:szCs w:val="22"/>
        </w:rPr>
        <w:t>espun</w:t>
      </w:r>
      <w:r>
        <w:rPr>
          <w:spacing w:val="-3"/>
          <w:szCs w:val="22"/>
        </w:rPr>
        <w:t>ză</w:t>
      </w:r>
      <w:r>
        <w:rPr>
          <w:spacing w:val="1"/>
          <w:szCs w:val="22"/>
        </w:rPr>
        <w:t>t</w:t>
      </w:r>
      <w:r>
        <w:rPr>
          <w:szCs w:val="22"/>
        </w:rPr>
        <w:t>or</w:t>
      </w:r>
      <w:r>
        <w:rPr>
          <w:spacing w:val="-2"/>
          <w:szCs w:val="22"/>
        </w:rPr>
        <w:t xml:space="preserve"> </w:t>
      </w:r>
      <w:r>
        <w:rPr>
          <w:spacing w:val="1"/>
          <w:szCs w:val="22"/>
        </w:rPr>
        <w:t>l</w:t>
      </w:r>
      <w:r>
        <w:rPr>
          <w:szCs w:val="22"/>
        </w:rPr>
        <w:t>a</w:t>
      </w:r>
      <w:r>
        <w:rPr>
          <w:spacing w:val="-2"/>
          <w:szCs w:val="22"/>
        </w:rPr>
        <w:t xml:space="preserve"> </w:t>
      </w:r>
      <w:r>
        <w:rPr>
          <w:spacing w:val="1"/>
          <w:szCs w:val="22"/>
        </w:rPr>
        <w:t>t</w:t>
      </w:r>
      <w:r>
        <w:rPr>
          <w:spacing w:val="-2"/>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zCs w:val="22"/>
        </w:rPr>
        <w:t>M</w:t>
      </w:r>
      <w:r>
        <w:rPr>
          <w:spacing w:val="-1"/>
          <w:szCs w:val="22"/>
        </w:rPr>
        <w:t>ARB</w:t>
      </w:r>
      <w:r>
        <w:rPr>
          <w:szCs w:val="22"/>
        </w:rPr>
        <w:t xml:space="preserve">. </w:t>
      </w:r>
      <w:r>
        <w:rPr>
          <w:spacing w:val="-1"/>
          <w:szCs w:val="22"/>
        </w:rPr>
        <w:t>L</w:t>
      </w:r>
      <w:r>
        <w:rPr>
          <w:szCs w:val="22"/>
        </w:rPr>
        <w:t xml:space="preserve">a </w:t>
      </w:r>
      <w:r>
        <w:rPr>
          <w:spacing w:val="-2"/>
          <w:szCs w:val="22"/>
        </w:rPr>
        <w:t>f</w:t>
      </w:r>
      <w:r>
        <w:rPr>
          <w:spacing w:val="1"/>
          <w:szCs w:val="22"/>
        </w:rPr>
        <w:t>i</w:t>
      </w:r>
      <w:r>
        <w:rPr>
          <w:szCs w:val="22"/>
        </w:rPr>
        <w:t>n</w:t>
      </w:r>
      <w:r>
        <w:rPr>
          <w:spacing w:val="-3"/>
          <w:szCs w:val="22"/>
        </w:rPr>
        <w:t>a</w:t>
      </w:r>
      <w:r>
        <w:rPr>
          <w:spacing w:val="-2"/>
          <w:szCs w:val="22"/>
        </w:rPr>
        <w:t>l</w:t>
      </w:r>
      <w:r>
        <w:rPr>
          <w:szCs w:val="22"/>
        </w:rPr>
        <w:t>ul</w:t>
      </w:r>
      <w:r>
        <w:rPr>
          <w:spacing w:val="1"/>
          <w:szCs w:val="22"/>
        </w:rPr>
        <w:t xml:space="preserve"> </w:t>
      </w:r>
      <w:r>
        <w:rPr>
          <w:szCs w:val="22"/>
        </w:rPr>
        <w:t>a</w:t>
      </w:r>
      <w:r>
        <w:rPr>
          <w:spacing w:val="-4"/>
          <w:szCs w:val="22"/>
        </w:rPr>
        <w:t>m</w:t>
      </w:r>
      <w:r>
        <w:rPr>
          <w:szCs w:val="22"/>
        </w:rPr>
        <w:t>be</w:t>
      </w:r>
      <w:r>
        <w:rPr>
          <w:spacing w:val="1"/>
          <w:szCs w:val="22"/>
        </w:rPr>
        <w:t>l</w:t>
      </w:r>
      <w:r>
        <w:rPr>
          <w:szCs w:val="22"/>
        </w:rPr>
        <w:t>or</w:t>
      </w:r>
      <w:r>
        <w:rPr>
          <w:spacing w:val="-2"/>
          <w:szCs w:val="22"/>
        </w:rPr>
        <w:t xml:space="preserve"> </w:t>
      </w:r>
      <w:r>
        <w:rPr>
          <w:szCs w:val="22"/>
        </w:rPr>
        <w:t>s</w:t>
      </w:r>
      <w:r>
        <w:rPr>
          <w:spacing w:val="-2"/>
          <w:szCs w:val="22"/>
        </w:rPr>
        <w:t>t</w:t>
      </w:r>
      <w:r>
        <w:rPr>
          <w:szCs w:val="22"/>
        </w:rPr>
        <w:t>ud</w:t>
      </w:r>
      <w:r>
        <w:rPr>
          <w:spacing w:val="-2"/>
          <w:szCs w:val="22"/>
        </w:rPr>
        <w:t>i</w:t>
      </w:r>
      <w:r>
        <w:rPr>
          <w:spacing w:val="1"/>
          <w:szCs w:val="22"/>
        </w:rPr>
        <w:t>i</w:t>
      </w:r>
      <w:r>
        <w:rPr>
          <w:szCs w:val="22"/>
        </w:rPr>
        <w:t>, au fost</w:t>
      </w:r>
      <w:r>
        <w:rPr>
          <w:spacing w:val="-2"/>
          <w:szCs w:val="22"/>
        </w:rPr>
        <w:t xml:space="preserve"> </w:t>
      </w:r>
      <w:r>
        <w:rPr>
          <w:spacing w:val="1"/>
          <w:szCs w:val="22"/>
        </w:rPr>
        <w:t>î</w:t>
      </w:r>
      <w:r>
        <w:rPr>
          <w:spacing w:val="-3"/>
          <w:szCs w:val="22"/>
        </w:rPr>
        <w:t>n</w:t>
      </w:r>
      <w:r>
        <w:rPr>
          <w:szCs w:val="22"/>
        </w:rPr>
        <w:t>ro</w:t>
      </w:r>
      <w:r>
        <w:rPr>
          <w:spacing w:val="-2"/>
          <w:szCs w:val="22"/>
        </w:rPr>
        <w:t>l</w:t>
      </w:r>
      <w:r>
        <w:rPr>
          <w:szCs w:val="22"/>
        </w:rPr>
        <w:t>a</w:t>
      </w:r>
      <w:r>
        <w:rPr>
          <w:spacing w:val="-2"/>
          <w:szCs w:val="22"/>
        </w:rPr>
        <w:t>ţ</w:t>
      </w:r>
      <w:r>
        <w:rPr>
          <w:szCs w:val="22"/>
        </w:rPr>
        <w:t>i</w:t>
      </w:r>
      <w:r>
        <w:rPr>
          <w:spacing w:val="1"/>
          <w:szCs w:val="22"/>
        </w:rPr>
        <w:t xml:space="preserve"> </w:t>
      </w:r>
      <w:r>
        <w:rPr>
          <w:szCs w:val="22"/>
        </w:rPr>
        <w:t>383</w:t>
      </w:r>
      <w:r>
        <w:rPr>
          <w:spacing w:val="-3"/>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pacing w:val="1"/>
          <w:szCs w:val="22"/>
        </w:rPr>
        <w:t>î</w:t>
      </w:r>
      <w:r>
        <w:rPr>
          <w:szCs w:val="22"/>
        </w:rPr>
        <w:t>n</w:t>
      </w:r>
      <w:r>
        <w:rPr>
          <w:spacing w:val="-3"/>
          <w:szCs w:val="22"/>
        </w:rPr>
        <w:t xml:space="preserve"> </w:t>
      </w:r>
      <w:r>
        <w:rPr>
          <w:szCs w:val="22"/>
        </w:rPr>
        <w:t>s</w:t>
      </w:r>
      <w:r>
        <w:rPr>
          <w:spacing w:val="1"/>
          <w:szCs w:val="22"/>
        </w:rPr>
        <w:t>t</w:t>
      </w:r>
      <w:r>
        <w:rPr>
          <w:szCs w:val="22"/>
        </w:rPr>
        <w:t>u</w:t>
      </w:r>
      <w:r>
        <w:rPr>
          <w:spacing w:val="-3"/>
          <w:szCs w:val="22"/>
        </w:rPr>
        <w:t>d</w:t>
      </w:r>
      <w:r>
        <w:rPr>
          <w:spacing w:val="1"/>
          <w:szCs w:val="22"/>
        </w:rPr>
        <w:t>i</w:t>
      </w:r>
      <w:r>
        <w:rPr>
          <w:szCs w:val="22"/>
        </w:rPr>
        <w:t>ul</w:t>
      </w:r>
      <w:r>
        <w:rPr>
          <w:spacing w:val="-2"/>
          <w:szCs w:val="22"/>
        </w:rPr>
        <w:t xml:space="preserve"> </w:t>
      </w:r>
      <w:r>
        <w:rPr>
          <w:szCs w:val="22"/>
        </w:rPr>
        <w:t>ex</w:t>
      </w:r>
      <w:r>
        <w:rPr>
          <w:spacing w:val="-2"/>
          <w:szCs w:val="22"/>
        </w:rPr>
        <w:t>t</w:t>
      </w:r>
      <w:r>
        <w:rPr>
          <w:spacing w:val="1"/>
          <w:szCs w:val="22"/>
        </w:rPr>
        <w:t>i</w:t>
      </w:r>
      <w:r>
        <w:rPr>
          <w:spacing w:val="-3"/>
          <w:szCs w:val="22"/>
        </w:rPr>
        <w:t>n</w:t>
      </w:r>
      <w:r>
        <w:rPr>
          <w:szCs w:val="22"/>
        </w:rPr>
        <w:t>s de</w:t>
      </w:r>
      <w:r>
        <w:rPr>
          <w:spacing w:val="-2"/>
          <w:szCs w:val="22"/>
        </w:rPr>
        <w:t>s</w:t>
      </w:r>
      <w:r>
        <w:rPr>
          <w:szCs w:val="22"/>
        </w:rPr>
        <w:t>ch</w:t>
      </w:r>
      <w:r>
        <w:rPr>
          <w:spacing w:val="-2"/>
          <w:szCs w:val="22"/>
        </w:rPr>
        <w:t>i</w:t>
      </w:r>
      <w:r>
        <w:rPr>
          <w:szCs w:val="22"/>
        </w:rPr>
        <w:t>s, c</w:t>
      </w:r>
      <w:r>
        <w:rPr>
          <w:spacing w:val="-3"/>
          <w:szCs w:val="22"/>
        </w:rPr>
        <w:t>ă</w:t>
      </w:r>
      <w:r>
        <w:rPr>
          <w:szCs w:val="22"/>
        </w:rPr>
        <w:t>r</w:t>
      </w:r>
      <w:r>
        <w:rPr>
          <w:spacing w:val="-3"/>
          <w:szCs w:val="22"/>
        </w:rPr>
        <w:t>o</w:t>
      </w:r>
      <w:r>
        <w:rPr>
          <w:spacing w:val="-2"/>
          <w:szCs w:val="22"/>
        </w:rPr>
        <w:t>r</w:t>
      </w:r>
      <w:r>
        <w:rPr>
          <w:szCs w:val="22"/>
        </w:rPr>
        <w:t xml:space="preserve">a </w:t>
      </w:r>
      <w:r>
        <w:rPr>
          <w:spacing w:val="1"/>
          <w:szCs w:val="22"/>
        </w:rPr>
        <w:t>l</w:t>
      </w:r>
      <w:r>
        <w:rPr>
          <w:szCs w:val="22"/>
        </w:rPr>
        <w:t>i</w:t>
      </w:r>
      <w:r>
        <w:rPr>
          <w:spacing w:val="-2"/>
          <w:szCs w:val="22"/>
        </w:rPr>
        <w:t xml:space="preserve"> </w:t>
      </w:r>
      <w:r>
        <w:rPr>
          <w:szCs w:val="22"/>
        </w:rPr>
        <w:t>s</w:t>
      </w:r>
      <w:r>
        <w:rPr>
          <w:spacing w:val="-4"/>
          <w:szCs w:val="22"/>
        </w:rPr>
        <w:t>-</w:t>
      </w:r>
      <w:r>
        <w:rPr>
          <w:szCs w:val="22"/>
        </w:rPr>
        <w:t>a ad</w:t>
      </w:r>
      <w:r>
        <w:rPr>
          <w:spacing w:val="-4"/>
          <w:szCs w:val="22"/>
        </w:rPr>
        <w:t>m</w:t>
      </w:r>
      <w:r>
        <w:rPr>
          <w:spacing w:val="1"/>
          <w:szCs w:val="22"/>
        </w:rPr>
        <w:t>i</w:t>
      </w:r>
      <w:r>
        <w:rPr>
          <w:szCs w:val="22"/>
        </w:rPr>
        <w:t>n</w:t>
      </w:r>
      <w:r>
        <w:rPr>
          <w:spacing w:val="1"/>
          <w:szCs w:val="22"/>
        </w:rPr>
        <w:t>i</w:t>
      </w:r>
      <w:r>
        <w:rPr>
          <w:szCs w:val="22"/>
        </w:rPr>
        <w:t>s</w:t>
      </w:r>
      <w:r>
        <w:rPr>
          <w:spacing w:val="1"/>
          <w:szCs w:val="22"/>
        </w:rPr>
        <w:t>t</w:t>
      </w:r>
      <w:r>
        <w:rPr>
          <w:spacing w:val="-2"/>
          <w:szCs w:val="22"/>
        </w:rPr>
        <w:t>r</w:t>
      </w:r>
      <w:r>
        <w:rPr>
          <w:szCs w:val="22"/>
        </w:rPr>
        <w:t>at</w:t>
      </w:r>
      <w:r>
        <w:rPr>
          <w:spacing w:val="1"/>
          <w:szCs w:val="22"/>
        </w:rPr>
        <w:t xml:space="preserve"> </w:t>
      </w:r>
      <w:r>
        <w:rPr>
          <w:rFonts w:eastAsia="MS Mincho"/>
          <w:spacing w:val="-1"/>
          <w:szCs w:val="22"/>
          <w:lang w:eastAsia="en-US" w:bidi="ar-SA"/>
        </w:rPr>
        <w:t>adalimumab</w:t>
      </w:r>
      <w:r>
        <w:rPr>
          <w:spacing w:val="-2"/>
          <w:szCs w:val="22"/>
        </w:rPr>
        <w:t xml:space="preserve"> </w:t>
      </w:r>
      <w:r>
        <w:rPr>
          <w:szCs w:val="22"/>
        </w:rPr>
        <w:t>40 </w:t>
      </w:r>
      <w:r>
        <w:rPr>
          <w:spacing w:val="-2"/>
          <w:szCs w:val="22"/>
        </w:rPr>
        <w:t>m</w:t>
      </w:r>
      <w:r>
        <w:rPr>
          <w:szCs w:val="22"/>
        </w:rPr>
        <w:t>g</w:t>
      </w:r>
      <w:r>
        <w:rPr>
          <w:spacing w:val="-3"/>
          <w:szCs w:val="22"/>
        </w:rPr>
        <w:t xml:space="preserve"> </w:t>
      </w:r>
      <w:r>
        <w:rPr>
          <w:spacing w:val="1"/>
          <w:szCs w:val="22"/>
        </w:rPr>
        <w:t>l</w:t>
      </w:r>
      <w:r>
        <w:rPr>
          <w:szCs w:val="22"/>
        </w:rPr>
        <w:t>a 2 săp</w:t>
      </w:r>
      <w:r>
        <w:rPr>
          <w:spacing w:val="-2"/>
          <w:szCs w:val="22"/>
        </w:rPr>
        <w:t>t</w:t>
      </w:r>
      <w:r>
        <w:rPr>
          <w:szCs w:val="22"/>
        </w:rPr>
        <w:t>ă</w:t>
      </w:r>
      <w:r>
        <w:rPr>
          <w:spacing w:val="-4"/>
          <w:szCs w:val="22"/>
        </w:rPr>
        <w:t>m</w:t>
      </w:r>
      <w:r>
        <w:rPr>
          <w:szCs w:val="22"/>
        </w:rPr>
        <w:t>â</w:t>
      </w:r>
      <w:r>
        <w:rPr>
          <w:spacing w:val="-1"/>
          <w:szCs w:val="22"/>
        </w:rPr>
        <w:t>n</w:t>
      </w:r>
      <w:r>
        <w:rPr>
          <w:spacing w:val="1"/>
          <w:szCs w:val="22"/>
        </w:rPr>
        <w:t>i</w:t>
      </w:r>
      <w:r>
        <w:rPr>
          <w:szCs w:val="22"/>
        </w:rPr>
        <w:t>.</w:t>
      </w:r>
    </w:p>
    <w:p w14:paraId="700CAC0B" w14:textId="77777777" w:rsidR="00C04CAD" w:rsidRDefault="00C04CAD">
      <w:pPr>
        <w:tabs>
          <w:tab w:val="clear" w:pos="567"/>
        </w:tabs>
        <w:kinsoku w:val="0"/>
        <w:overflowPunct w:val="0"/>
        <w:autoSpaceDE w:val="0"/>
        <w:autoSpaceDN w:val="0"/>
        <w:adjustRightInd w:val="0"/>
        <w:spacing w:line="240" w:lineRule="auto"/>
        <w:rPr>
          <w:szCs w:val="22"/>
        </w:rPr>
      </w:pPr>
    </w:p>
    <w:p w14:paraId="31310EDE" w14:textId="77777777" w:rsidR="00C04CAD" w:rsidRDefault="00060E34">
      <w:pPr>
        <w:autoSpaceDE w:val="0"/>
        <w:autoSpaceDN w:val="0"/>
        <w:adjustRightInd w:val="0"/>
        <w:spacing w:line="240" w:lineRule="auto"/>
        <w:rPr>
          <w:szCs w:val="22"/>
        </w:rPr>
      </w:pPr>
      <w:r>
        <w:rPr>
          <w:spacing w:val="-1"/>
          <w:szCs w:val="22"/>
        </w:rPr>
        <w:t>N</w:t>
      </w:r>
      <w:r>
        <w:rPr>
          <w:szCs w:val="22"/>
        </w:rPr>
        <w:t>u ex</w:t>
      </w:r>
      <w:r>
        <w:rPr>
          <w:spacing w:val="1"/>
          <w:szCs w:val="22"/>
        </w:rPr>
        <w:t>i</w:t>
      </w:r>
      <w:r>
        <w:rPr>
          <w:spacing w:val="-2"/>
          <w:szCs w:val="22"/>
        </w:rPr>
        <w:t>s</w:t>
      </w:r>
      <w:r>
        <w:rPr>
          <w:spacing w:val="1"/>
          <w:szCs w:val="22"/>
        </w:rPr>
        <w:t>t</w:t>
      </w:r>
      <w:r>
        <w:rPr>
          <w:szCs w:val="22"/>
        </w:rPr>
        <w:t xml:space="preserve">ă </w:t>
      </w:r>
      <w:r>
        <w:rPr>
          <w:spacing w:val="-3"/>
          <w:szCs w:val="22"/>
        </w:rPr>
        <w:t>d</w:t>
      </w:r>
      <w:r>
        <w:rPr>
          <w:szCs w:val="22"/>
        </w:rPr>
        <w:t>a</w:t>
      </w:r>
      <w:r>
        <w:rPr>
          <w:spacing w:val="-2"/>
          <w:szCs w:val="22"/>
        </w:rPr>
        <w:t>t</w:t>
      </w:r>
      <w:r>
        <w:rPr>
          <w:szCs w:val="22"/>
        </w:rPr>
        <w:t>e s</w:t>
      </w:r>
      <w:r>
        <w:rPr>
          <w:spacing w:val="-3"/>
          <w:szCs w:val="22"/>
        </w:rPr>
        <w:t>u</w:t>
      </w:r>
      <w:r>
        <w:rPr>
          <w:szCs w:val="22"/>
        </w:rPr>
        <w:t>f</w:t>
      </w:r>
      <w:r>
        <w:rPr>
          <w:spacing w:val="1"/>
          <w:szCs w:val="22"/>
        </w:rPr>
        <w:t>i</w:t>
      </w:r>
      <w:r>
        <w:rPr>
          <w:spacing w:val="-3"/>
          <w:szCs w:val="22"/>
        </w:rPr>
        <w:t>c</w:t>
      </w:r>
      <w:r>
        <w:rPr>
          <w:spacing w:val="1"/>
          <w:szCs w:val="22"/>
        </w:rPr>
        <w:t>i</w:t>
      </w:r>
      <w:r>
        <w:rPr>
          <w:szCs w:val="22"/>
        </w:rPr>
        <w:t>e</w:t>
      </w:r>
      <w:r>
        <w:rPr>
          <w:spacing w:val="-3"/>
          <w:szCs w:val="22"/>
        </w:rPr>
        <w:t>n</w:t>
      </w:r>
      <w:r>
        <w:rPr>
          <w:spacing w:val="1"/>
          <w:szCs w:val="22"/>
        </w:rPr>
        <w:t>t</w:t>
      </w:r>
      <w:r>
        <w:rPr>
          <w:szCs w:val="22"/>
        </w:rPr>
        <w:t>e</w:t>
      </w:r>
      <w:r>
        <w:rPr>
          <w:spacing w:val="-2"/>
          <w:szCs w:val="22"/>
        </w:rPr>
        <w:t xml:space="preserve"> </w:t>
      </w:r>
      <w:r>
        <w:rPr>
          <w:szCs w:val="22"/>
        </w:rPr>
        <w:t>în</w:t>
      </w:r>
      <w:r>
        <w:rPr>
          <w:spacing w:val="-3"/>
          <w:szCs w:val="22"/>
        </w:rPr>
        <w:t xml:space="preserve"> </w:t>
      </w:r>
      <w:r>
        <w:rPr>
          <w:szCs w:val="22"/>
        </w:rPr>
        <w:t>ceea</w:t>
      </w:r>
      <w:r>
        <w:rPr>
          <w:spacing w:val="-2"/>
          <w:szCs w:val="22"/>
        </w:rPr>
        <w:t xml:space="preserve"> </w:t>
      </w:r>
      <w:r>
        <w:rPr>
          <w:szCs w:val="22"/>
        </w:rPr>
        <w:t xml:space="preserve">ce </w:t>
      </w:r>
      <w:r>
        <w:rPr>
          <w:spacing w:val="-3"/>
          <w:szCs w:val="22"/>
        </w:rPr>
        <w:t>p</w:t>
      </w:r>
      <w:r>
        <w:rPr>
          <w:szCs w:val="22"/>
        </w:rPr>
        <w:t>r</w:t>
      </w:r>
      <w:r>
        <w:rPr>
          <w:spacing w:val="1"/>
          <w:szCs w:val="22"/>
        </w:rPr>
        <w:t>i</w:t>
      </w:r>
      <w:r>
        <w:rPr>
          <w:spacing w:val="-3"/>
          <w:szCs w:val="22"/>
        </w:rPr>
        <w:t>v</w:t>
      </w:r>
      <w:r>
        <w:rPr>
          <w:szCs w:val="22"/>
        </w:rPr>
        <w:t>e</w:t>
      </w:r>
      <w:r>
        <w:rPr>
          <w:spacing w:val="-2"/>
          <w:szCs w:val="22"/>
        </w:rPr>
        <w:t>ş</w:t>
      </w:r>
      <w:r>
        <w:rPr>
          <w:spacing w:val="1"/>
          <w:szCs w:val="22"/>
        </w:rPr>
        <w:t>t</w:t>
      </w:r>
      <w:r>
        <w:rPr>
          <w:szCs w:val="22"/>
        </w:rPr>
        <w:t xml:space="preserve">e </w:t>
      </w:r>
      <w:r>
        <w:rPr>
          <w:spacing w:val="-3"/>
          <w:szCs w:val="22"/>
        </w:rPr>
        <w:t>e</w:t>
      </w:r>
      <w:r>
        <w:rPr>
          <w:szCs w:val="22"/>
        </w:rPr>
        <w:t>f</w:t>
      </w:r>
      <w:r>
        <w:rPr>
          <w:spacing w:val="-2"/>
          <w:szCs w:val="22"/>
        </w:rPr>
        <w:t>i</w:t>
      </w:r>
      <w:r>
        <w:rPr>
          <w:szCs w:val="22"/>
        </w:rPr>
        <w:t>ca</w:t>
      </w:r>
      <w:r>
        <w:rPr>
          <w:spacing w:val="-3"/>
          <w:szCs w:val="22"/>
        </w:rPr>
        <w:t>c</w:t>
      </w:r>
      <w:r>
        <w:rPr>
          <w:spacing w:val="1"/>
          <w:szCs w:val="22"/>
        </w:rPr>
        <w:t>i</w:t>
      </w:r>
      <w:r>
        <w:rPr>
          <w:spacing w:val="-2"/>
          <w:szCs w:val="22"/>
        </w:rPr>
        <w:t>t</w:t>
      </w:r>
      <w:r>
        <w:rPr>
          <w:szCs w:val="22"/>
        </w:rPr>
        <w:t>a</w:t>
      </w:r>
      <w:r>
        <w:rPr>
          <w:spacing w:val="1"/>
          <w:szCs w:val="22"/>
        </w:rPr>
        <w:t>t</w:t>
      </w:r>
      <w:r>
        <w:rPr>
          <w:spacing w:val="-3"/>
          <w:szCs w:val="22"/>
        </w:rPr>
        <w:t>e</w:t>
      </w:r>
      <w:r>
        <w:rPr>
          <w:szCs w:val="22"/>
        </w:rPr>
        <w:t>a</w:t>
      </w:r>
      <w:r>
        <w:rPr>
          <w:spacing w:val="-2"/>
          <w:szCs w:val="22"/>
        </w:rPr>
        <w:t xml:space="preserve"> </w:t>
      </w:r>
      <w:r>
        <w:rPr>
          <w:rFonts w:eastAsia="MS Mincho"/>
          <w:spacing w:val="-1"/>
          <w:szCs w:val="22"/>
          <w:lang w:eastAsia="en-US" w:bidi="ar-SA"/>
        </w:rPr>
        <w:t>adalimumab</w:t>
      </w:r>
      <w:r>
        <w:rPr>
          <w:szCs w:val="22"/>
        </w:rPr>
        <w:t xml:space="preserve"> </w:t>
      </w:r>
      <w:r>
        <w:rPr>
          <w:spacing w:val="1"/>
          <w:szCs w:val="22"/>
        </w:rPr>
        <w:t>l</w:t>
      </w:r>
      <w:r>
        <w:rPr>
          <w:szCs w:val="22"/>
        </w:rPr>
        <w:t xml:space="preserve">a </w:t>
      </w:r>
      <w:r>
        <w:rPr>
          <w:spacing w:val="-3"/>
          <w:szCs w:val="22"/>
        </w:rPr>
        <w:t>p</w:t>
      </w:r>
      <w:r>
        <w:rPr>
          <w:szCs w:val="22"/>
        </w:rPr>
        <w:t>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 xml:space="preserve">cu </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 p</w:t>
      </w:r>
      <w:r>
        <w:rPr>
          <w:spacing w:val="-2"/>
          <w:szCs w:val="22"/>
        </w:rPr>
        <w:t>s</w:t>
      </w:r>
      <w:r>
        <w:rPr>
          <w:szCs w:val="22"/>
        </w:rPr>
        <w:t>o</w:t>
      </w:r>
      <w:r>
        <w:rPr>
          <w:spacing w:val="-2"/>
          <w:szCs w:val="22"/>
        </w:rPr>
        <w:t>r</w:t>
      </w:r>
      <w:r>
        <w:rPr>
          <w:spacing w:val="1"/>
          <w:szCs w:val="22"/>
        </w:rPr>
        <w:t>i</w:t>
      </w:r>
      <w:r>
        <w:rPr>
          <w:szCs w:val="22"/>
        </w:rPr>
        <w:t>a</w:t>
      </w:r>
      <w:r>
        <w:rPr>
          <w:spacing w:val="-3"/>
          <w:szCs w:val="22"/>
        </w:rPr>
        <w:t>z</w:t>
      </w:r>
      <w:r>
        <w:rPr>
          <w:spacing w:val="1"/>
          <w:szCs w:val="22"/>
        </w:rPr>
        <w:t>i</w:t>
      </w:r>
      <w:r>
        <w:rPr>
          <w:szCs w:val="22"/>
        </w:rPr>
        <w:t>că ase</w:t>
      </w:r>
      <w:r>
        <w:rPr>
          <w:spacing w:val="-4"/>
          <w:szCs w:val="22"/>
        </w:rPr>
        <w:t>m</w:t>
      </w:r>
      <w:r>
        <w:rPr>
          <w:szCs w:val="22"/>
        </w:rPr>
        <w:t>ănă</w:t>
      </w:r>
      <w:r>
        <w:rPr>
          <w:spacing w:val="1"/>
          <w:szCs w:val="22"/>
        </w:rPr>
        <w:t>t</w:t>
      </w:r>
      <w:r>
        <w:rPr>
          <w:szCs w:val="22"/>
        </w:rPr>
        <w:t>o</w:t>
      </w:r>
      <w:r>
        <w:rPr>
          <w:spacing w:val="-3"/>
          <w:szCs w:val="22"/>
        </w:rPr>
        <w:t>a</w:t>
      </w:r>
      <w:r>
        <w:rPr>
          <w:szCs w:val="22"/>
        </w:rPr>
        <w:t>re</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i</w:t>
      </w:r>
      <w:r>
        <w:rPr>
          <w:spacing w:val="-2"/>
          <w:szCs w:val="22"/>
        </w:rPr>
        <w:t>t</w:t>
      </w:r>
      <w:r>
        <w:rPr>
          <w:szCs w:val="22"/>
        </w:rPr>
        <w:t>ei</w:t>
      </w:r>
      <w:r>
        <w:rPr>
          <w:spacing w:val="-2"/>
          <w:szCs w:val="22"/>
        </w:rPr>
        <w:t xml:space="preserve"> </w:t>
      </w:r>
      <w:r>
        <w:rPr>
          <w:szCs w:val="22"/>
        </w:rPr>
        <w:t>a</w:t>
      </w:r>
      <w:r>
        <w:rPr>
          <w:spacing w:val="-3"/>
          <w:szCs w:val="22"/>
        </w:rPr>
        <w:t>nk</w:t>
      </w:r>
      <w:r>
        <w:rPr>
          <w:spacing w:val="1"/>
          <w:szCs w:val="22"/>
        </w:rPr>
        <w:t>il</w:t>
      </w:r>
      <w:r>
        <w:rPr>
          <w:szCs w:val="22"/>
        </w:rPr>
        <w:t>opo</w:t>
      </w:r>
      <w:r>
        <w:rPr>
          <w:spacing w:val="-3"/>
          <w:szCs w:val="22"/>
        </w:rPr>
        <w:t>e</w:t>
      </w:r>
      <w:r>
        <w:rPr>
          <w:spacing w:val="1"/>
          <w:szCs w:val="22"/>
        </w:rPr>
        <w:t>ti</w:t>
      </w:r>
      <w:r>
        <w:rPr>
          <w:spacing w:val="-3"/>
          <w:szCs w:val="22"/>
        </w:rPr>
        <w:t>c</w:t>
      </w:r>
      <w:r>
        <w:rPr>
          <w:szCs w:val="22"/>
        </w:rPr>
        <w:t>e, ca urmare a nu</w:t>
      </w:r>
      <w:r>
        <w:rPr>
          <w:spacing w:val="-4"/>
          <w:szCs w:val="22"/>
        </w:rPr>
        <w:t>m</w:t>
      </w:r>
      <w:r>
        <w:rPr>
          <w:szCs w:val="22"/>
        </w:rPr>
        <w:t>ă</w:t>
      </w:r>
      <w:r>
        <w:rPr>
          <w:spacing w:val="-2"/>
          <w:szCs w:val="22"/>
        </w:rPr>
        <w:t>r</w:t>
      </w:r>
      <w:r>
        <w:rPr>
          <w:szCs w:val="22"/>
        </w:rPr>
        <w:t>u</w:t>
      </w:r>
      <w:r>
        <w:rPr>
          <w:spacing w:val="1"/>
          <w:szCs w:val="22"/>
        </w:rPr>
        <w:t>l</w:t>
      </w:r>
      <w:r>
        <w:rPr>
          <w:szCs w:val="22"/>
        </w:rPr>
        <w:t>ui</w:t>
      </w:r>
      <w:r>
        <w:rPr>
          <w:spacing w:val="1"/>
          <w:szCs w:val="22"/>
        </w:rPr>
        <w:t xml:space="preserve"> </w:t>
      </w:r>
      <w:r>
        <w:rPr>
          <w:spacing w:val="-4"/>
          <w:szCs w:val="22"/>
        </w:rPr>
        <w:t>m</w:t>
      </w:r>
      <w:r>
        <w:rPr>
          <w:spacing w:val="1"/>
          <w:szCs w:val="22"/>
        </w:rPr>
        <w:t>i</w:t>
      </w:r>
      <w:r>
        <w:rPr>
          <w:szCs w:val="22"/>
        </w:rPr>
        <w:t xml:space="preserve">c </w:t>
      </w:r>
      <w:r>
        <w:rPr>
          <w:spacing w:val="-3"/>
          <w:szCs w:val="22"/>
        </w:rPr>
        <w:t>d</w:t>
      </w:r>
      <w:r>
        <w:rPr>
          <w:szCs w:val="22"/>
        </w:rPr>
        <w:t>e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2"/>
          <w:szCs w:val="22"/>
        </w:rPr>
        <w:t>ţ</w:t>
      </w:r>
      <w:r>
        <w:rPr>
          <w:spacing w:val="1"/>
          <w:szCs w:val="22"/>
        </w:rPr>
        <w:t>i</w:t>
      </w:r>
      <w:r>
        <w:rPr>
          <w:szCs w:val="22"/>
        </w:rPr>
        <w:t>.</w:t>
      </w:r>
    </w:p>
    <w:p w14:paraId="421431A4" w14:textId="77777777" w:rsidR="00C04CAD" w:rsidRDefault="00C04CAD">
      <w:pPr>
        <w:autoSpaceDE w:val="0"/>
        <w:autoSpaceDN w:val="0"/>
        <w:adjustRightInd w:val="0"/>
        <w:spacing w:line="240" w:lineRule="auto"/>
      </w:pPr>
    </w:p>
    <w:p w14:paraId="1BC13600" w14:textId="77777777" w:rsidR="00C04CAD" w:rsidRDefault="00060E34">
      <w:pPr>
        <w:autoSpaceDE w:val="0"/>
        <w:autoSpaceDN w:val="0"/>
        <w:adjustRightInd w:val="0"/>
        <w:spacing w:line="240" w:lineRule="auto"/>
        <w:rPr>
          <w:b/>
        </w:rPr>
      </w:pPr>
      <w:r>
        <w:rPr>
          <w:b/>
          <w:bCs/>
          <w:spacing w:val="-1"/>
        </w:rPr>
        <w:t>T</w:t>
      </w:r>
      <w:r>
        <w:rPr>
          <w:b/>
          <w:bCs/>
        </w:rPr>
        <w:t>a</w:t>
      </w:r>
      <w:r>
        <w:rPr>
          <w:b/>
          <w:bCs/>
          <w:spacing w:val="-1"/>
        </w:rPr>
        <w:t>b</w:t>
      </w:r>
      <w:r>
        <w:rPr>
          <w:b/>
          <w:bCs/>
        </w:rPr>
        <w:t>e</w:t>
      </w:r>
      <w:r>
        <w:rPr>
          <w:b/>
          <w:bCs/>
          <w:spacing w:val="1"/>
        </w:rPr>
        <w:t>l</w:t>
      </w:r>
      <w:r>
        <w:rPr>
          <w:b/>
          <w:bCs/>
          <w:spacing w:val="-1"/>
        </w:rPr>
        <w:t>u</w:t>
      </w:r>
      <w:r>
        <w:rPr>
          <w:b/>
          <w:bCs/>
        </w:rPr>
        <w:t>l</w:t>
      </w:r>
      <w:r>
        <w:rPr>
          <w:b/>
          <w:bCs/>
          <w:spacing w:val="-2"/>
        </w:rPr>
        <w:t xml:space="preserve"> </w:t>
      </w:r>
      <w:r>
        <w:rPr>
          <w:b/>
          <w:bCs/>
        </w:rPr>
        <w:t xml:space="preserve">15. </w:t>
      </w:r>
      <w:r>
        <w:rPr>
          <w:b/>
          <w:spacing w:val="-1"/>
        </w:rPr>
        <w:t>R</w:t>
      </w:r>
      <w:r>
        <w:rPr>
          <w:b/>
        </w:rPr>
        <w:t>ăs</w:t>
      </w:r>
      <w:r>
        <w:rPr>
          <w:b/>
          <w:spacing w:val="-1"/>
        </w:rPr>
        <w:t>pun</w:t>
      </w:r>
      <w:r>
        <w:rPr>
          <w:b/>
        </w:rPr>
        <w:t>s</w:t>
      </w:r>
      <w:r>
        <w:rPr>
          <w:b/>
          <w:spacing w:val="-1"/>
        </w:rPr>
        <w:t>u</w:t>
      </w:r>
      <w:r>
        <w:rPr>
          <w:b/>
        </w:rPr>
        <w:t>l</w:t>
      </w:r>
      <w:r>
        <w:rPr>
          <w:b/>
          <w:spacing w:val="1"/>
        </w:rPr>
        <w:t xml:space="preserve"> </w:t>
      </w:r>
      <w:r>
        <w:rPr>
          <w:b/>
          <w:spacing w:val="-1"/>
        </w:rPr>
        <w:t>AC</w:t>
      </w:r>
      <w:r>
        <w:rPr>
          <w:b/>
        </w:rPr>
        <w:t>R</w:t>
      </w:r>
      <w:r>
        <w:rPr>
          <w:b/>
          <w:spacing w:val="-1"/>
        </w:rPr>
        <w:t xml:space="preserve"> </w:t>
      </w:r>
      <w:r>
        <w:rPr>
          <w:b/>
          <w:spacing w:val="1"/>
        </w:rPr>
        <w:t>î</w:t>
      </w:r>
      <w:r>
        <w:rPr>
          <w:b/>
        </w:rPr>
        <w:t>n</w:t>
      </w:r>
      <w:r>
        <w:rPr>
          <w:b/>
          <w:spacing w:val="-3"/>
        </w:rPr>
        <w:t xml:space="preserve"> </w:t>
      </w:r>
      <w:r>
        <w:rPr>
          <w:b/>
        </w:rPr>
        <w:t>ca</w:t>
      </w:r>
      <w:r>
        <w:rPr>
          <w:b/>
          <w:spacing w:val="-1"/>
        </w:rPr>
        <w:t>d</w:t>
      </w:r>
      <w:r>
        <w:rPr>
          <w:b/>
        </w:rPr>
        <w:t>r</w:t>
      </w:r>
      <w:r>
        <w:rPr>
          <w:b/>
          <w:spacing w:val="-3"/>
        </w:rPr>
        <w:t>u</w:t>
      </w:r>
      <w:r>
        <w:rPr>
          <w:b/>
        </w:rPr>
        <w:t>l</w:t>
      </w:r>
      <w:r>
        <w:rPr>
          <w:b/>
          <w:spacing w:val="-2"/>
        </w:rPr>
        <w:t xml:space="preserve"> </w:t>
      </w:r>
      <w:r>
        <w:rPr>
          <w:b/>
        </w:rPr>
        <w:t>st</w:t>
      </w:r>
      <w:r>
        <w:rPr>
          <w:b/>
          <w:spacing w:val="-1"/>
        </w:rPr>
        <w:t>ud</w:t>
      </w:r>
      <w:r>
        <w:rPr>
          <w:b/>
          <w:spacing w:val="-2"/>
        </w:rPr>
        <w:t>i</w:t>
      </w:r>
      <w:r>
        <w:rPr>
          <w:b/>
          <w:spacing w:val="1"/>
        </w:rPr>
        <w:t>i</w:t>
      </w:r>
      <w:r>
        <w:rPr>
          <w:b/>
          <w:spacing w:val="-2"/>
        </w:rPr>
        <w:t>l</w:t>
      </w:r>
      <w:r>
        <w:rPr>
          <w:b/>
        </w:rPr>
        <w:t xml:space="preserve">or </w:t>
      </w:r>
      <w:r>
        <w:rPr>
          <w:b/>
          <w:spacing w:val="-3"/>
        </w:rPr>
        <w:t>p</w:t>
      </w:r>
      <w:r>
        <w:rPr>
          <w:b/>
          <w:spacing w:val="1"/>
        </w:rPr>
        <w:t>l</w:t>
      </w:r>
      <w:r>
        <w:rPr>
          <w:b/>
        </w:rPr>
        <w:t>ace</w:t>
      </w:r>
      <w:r>
        <w:rPr>
          <w:b/>
          <w:spacing w:val="-3"/>
        </w:rPr>
        <w:t>b</w:t>
      </w:r>
      <w:r>
        <w:rPr>
          <w:b/>
        </w:rPr>
        <w:t>o co</w:t>
      </w:r>
      <w:r>
        <w:rPr>
          <w:b/>
          <w:spacing w:val="-3"/>
        </w:rPr>
        <w:t>n</w:t>
      </w:r>
      <w:r>
        <w:rPr>
          <w:b/>
        </w:rPr>
        <w:t>tr</w:t>
      </w:r>
      <w:r>
        <w:rPr>
          <w:b/>
          <w:spacing w:val="-3"/>
        </w:rPr>
        <w:t>o</w:t>
      </w:r>
      <w:r>
        <w:rPr>
          <w:b/>
          <w:spacing w:val="-2"/>
        </w:rPr>
        <w:t>l</w:t>
      </w:r>
      <w:r>
        <w:rPr>
          <w:b/>
        </w:rPr>
        <w:t xml:space="preserve">ate </w:t>
      </w:r>
      <w:r>
        <w:rPr>
          <w:b/>
          <w:spacing w:val="-1"/>
        </w:rPr>
        <w:t>p</w:t>
      </w:r>
      <w:r>
        <w:rPr>
          <w:b/>
          <w:spacing w:val="-3"/>
        </w:rPr>
        <w:t>r</w:t>
      </w:r>
      <w:r>
        <w:rPr>
          <w:b/>
          <w:spacing w:val="1"/>
        </w:rPr>
        <w:t>i</w:t>
      </w:r>
      <w:r>
        <w:rPr>
          <w:b/>
          <w:spacing w:val="-3"/>
        </w:rPr>
        <w:t>v</w:t>
      </w:r>
      <w:r>
        <w:rPr>
          <w:b/>
          <w:spacing w:val="1"/>
        </w:rPr>
        <w:t>i</w:t>
      </w:r>
      <w:r>
        <w:rPr>
          <w:b/>
          <w:spacing w:val="-1"/>
        </w:rPr>
        <w:t>n</w:t>
      </w:r>
      <w:r>
        <w:rPr>
          <w:b/>
        </w:rPr>
        <w:t>d</w:t>
      </w:r>
      <w:r>
        <w:rPr>
          <w:b/>
          <w:spacing w:val="-1"/>
        </w:rPr>
        <w:t xml:space="preserve"> </w:t>
      </w:r>
      <w:r>
        <w:rPr>
          <w:b/>
        </w:rPr>
        <w:t>a</w:t>
      </w:r>
      <w:r>
        <w:rPr>
          <w:b/>
          <w:spacing w:val="-3"/>
        </w:rPr>
        <w:t>r</w:t>
      </w:r>
      <w:r>
        <w:rPr>
          <w:b/>
        </w:rPr>
        <w:t>tr</w:t>
      </w:r>
      <w:r>
        <w:rPr>
          <w:b/>
          <w:spacing w:val="-2"/>
        </w:rPr>
        <w:t>i</w:t>
      </w:r>
      <w:r>
        <w:rPr>
          <w:b/>
        </w:rPr>
        <w:t xml:space="preserve">ta </w:t>
      </w:r>
      <w:r>
        <w:rPr>
          <w:b/>
          <w:spacing w:val="-3"/>
        </w:rPr>
        <w:t>p</w:t>
      </w:r>
      <w:r>
        <w:rPr>
          <w:b/>
        </w:rPr>
        <w:t>so</w:t>
      </w:r>
      <w:r>
        <w:rPr>
          <w:b/>
          <w:spacing w:val="-3"/>
        </w:rPr>
        <w:t>r</w:t>
      </w:r>
      <w:r>
        <w:rPr>
          <w:b/>
          <w:spacing w:val="1"/>
        </w:rPr>
        <w:t>i</w:t>
      </w:r>
      <w:r>
        <w:rPr>
          <w:b/>
        </w:rPr>
        <w:t>a</w:t>
      </w:r>
      <w:r>
        <w:rPr>
          <w:b/>
          <w:spacing w:val="-3"/>
        </w:rPr>
        <w:t>z</w:t>
      </w:r>
      <w:r>
        <w:rPr>
          <w:b/>
          <w:spacing w:val="1"/>
        </w:rPr>
        <w:t>i</w:t>
      </w:r>
      <w:r>
        <w:rPr>
          <w:b/>
        </w:rPr>
        <w:t>că (</w:t>
      </w:r>
      <w:r>
        <w:rPr>
          <w:b/>
          <w:spacing w:val="-1"/>
        </w:rPr>
        <w:t>p</w:t>
      </w:r>
      <w:r>
        <w:rPr>
          <w:b/>
        </w:rPr>
        <w:t>r</w:t>
      </w:r>
      <w:r>
        <w:rPr>
          <w:b/>
          <w:spacing w:val="-1"/>
        </w:rPr>
        <w:t>o</w:t>
      </w:r>
      <w:r>
        <w:rPr>
          <w:b/>
          <w:spacing w:val="-3"/>
        </w:rPr>
        <w:t>c</w:t>
      </w:r>
      <w:r>
        <w:rPr>
          <w:b/>
        </w:rPr>
        <w:t>e</w:t>
      </w:r>
      <w:r>
        <w:rPr>
          <w:b/>
          <w:spacing w:val="-1"/>
        </w:rPr>
        <w:t>n</w:t>
      </w:r>
      <w:r>
        <w:rPr>
          <w:b/>
        </w:rPr>
        <w:t>t</w:t>
      </w:r>
      <w:r>
        <w:rPr>
          <w:b/>
          <w:spacing w:val="-3"/>
        </w:rPr>
        <w:t>u</w:t>
      </w:r>
      <w:r>
        <w:rPr>
          <w:b/>
        </w:rPr>
        <w:t>l</w:t>
      </w:r>
      <w:r>
        <w:rPr>
          <w:b/>
          <w:spacing w:val="1"/>
        </w:rPr>
        <w:t xml:space="preserve"> </w:t>
      </w:r>
      <w:r>
        <w:rPr>
          <w:b/>
          <w:spacing w:val="-1"/>
        </w:rPr>
        <w:t>d</w:t>
      </w:r>
      <w:r>
        <w:rPr>
          <w:b/>
        </w:rPr>
        <w:t xml:space="preserve">e </w:t>
      </w:r>
      <w:r>
        <w:rPr>
          <w:b/>
          <w:spacing w:val="-1"/>
        </w:rPr>
        <w:t>p</w:t>
      </w:r>
      <w:r>
        <w:rPr>
          <w:b/>
          <w:spacing w:val="-3"/>
        </w:rPr>
        <w:t>a</w:t>
      </w:r>
      <w:r>
        <w:rPr>
          <w:b/>
        </w:rPr>
        <w:t>c</w:t>
      </w:r>
      <w:r>
        <w:rPr>
          <w:b/>
          <w:spacing w:val="1"/>
        </w:rPr>
        <w:t>i</w:t>
      </w:r>
      <w:r>
        <w:rPr>
          <w:b/>
        </w:rPr>
        <w:t>e</w:t>
      </w:r>
      <w:r>
        <w:rPr>
          <w:b/>
          <w:spacing w:val="-3"/>
        </w:rPr>
        <w:t>n</w:t>
      </w:r>
      <w:r>
        <w:rPr>
          <w:b/>
        </w:rPr>
        <w:t>ţ</w:t>
      </w:r>
      <w:r>
        <w:rPr>
          <w:b/>
          <w:spacing w:val="-2"/>
        </w:rPr>
        <w:t>i</w:t>
      </w:r>
      <w:r>
        <w:rPr>
          <w:b/>
        </w:rPr>
        <w:t>)</w:t>
      </w:r>
    </w:p>
    <w:p w14:paraId="5E41542C" w14:textId="77777777" w:rsidR="00C04CAD" w:rsidRDefault="00C04CAD">
      <w:pPr>
        <w:spacing w:line="240" w:lineRule="auto"/>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701"/>
        <w:gridCol w:w="1701"/>
        <w:gridCol w:w="1701"/>
        <w:gridCol w:w="1559"/>
      </w:tblGrid>
      <w:tr w:rsidR="00C04CAD" w14:paraId="264E3296" w14:textId="77777777">
        <w:trPr>
          <w:trHeight w:val="293"/>
        </w:trPr>
        <w:tc>
          <w:tcPr>
            <w:tcW w:w="2410" w:type="dxa"/>
          </w:tcPr>
          <w:p w14:paraId="0B470257" w14:textId="77777777" w:rsidR="00C04CAD" w:rsidRDefault="00C04CAD">
            <w:pPr>
              <w:keepNext/>
              <w:keepLines/>
              <w:tabs>
                <w:tab w:val="clear" w:pos="567"/>
              </w:tabs>
              <w:autoSpaceDE w:val="0"/>
              <w:autoSpaceDN w:val="0"/>
              <w:adjustRightInd w:val="0"/>
              <w:spacing w:line="240" w:lineRule="auto"/>
              <w:rPr>
                <w:b/>
                <w:bCs/>
                <w:szCs w:val="22"/>
                <w:lang w:eastAsia="en-GB"/>
              </w:rPr>
            </w:pPr>
          </w:p>
        </w:tc>
        <w:tc>
          <w:tcPr>
            <w:tcW w:w="3402" w:type="dxa"/>
            <w:gridSpan w:val="2"/>
          </w:tcPr>
          <w:p w14:paraId="3E317BBA" w14:textId="77777777" w:rsidR="00C04CAD" w:rsidRDefault="00060E34">
            <w:pPr>
              <w:keepNext/>
              <w:tabs>
                <w:tab w:val="clear" w:pos="567"/>
              </w:tabs>
              <w:kinsoku w:val="0"/>
              <w:overflowPunct w:val="0"/>
              <w:autoSpaceDE w:val="0"/>
              <w:autoSpaceDN w:val="0"/>
              <w:adjustRightInd w:val="0"/>
              <w:spacing w:line="240" w:lineRule="auto"/>
              <w:ind w:left="527"/>
              <w:jc w:val="center"/>
              <w:rPr>
                <w:szCs w:val="22"/>
              </w:rPr>
            </w:pPr>
            <w:r>
              <w:rPr>
                <w:b/>
                <w:spacing w:val="-1"/>
                <w:szCs w:val="22"/>
              </w:rPr>
              <w:t>S</w:t>
            </w:r>
            <w:r>
              <w:rPr>
                <w:b/>
                <w:szCs w:val="22"/>
              </w:rPr>
              <w:t>t</w:t>
            </w:r>
            <w:r>
              <w:rPr>
                <w:b/>
                <w:spacing w:val="-1"/>
                <w:szCs w:val="22"/>
              </w:rPr>
              <w:t>ud</w:t>
            </w:r>
            <w:r>
              <w:rPr>
                <w:b/>
                <w:spacing w:val="1"/>
                <w:szCs w:val="22"/>
              </w:rPr>
              <w:t>i</w:t>
            </w:r>
            <w:r>
              <w:rPr>
                <w:b/>
                <w:spacing w:val="-3"/>
                <w:szCs w:val="22"/>
              </w:rPr>
              <w:t>u</w:t>
            </w:r>
            <w:r>
              <w:rPr>
                <w:b/>
                <w:szCs w:val="22"/>
              </w:rPr>
              <w:t>l</w:t>
            </w:r>
            <w:r>
              <w:rPr>
                <w:b/>
                <w:spacing w:val="1"/>
                <w:szCs w:val="22"/>
              </w:rPr>
              <w:t xml:space="preserve"> </w:t>
            </w:r>
            <w:r>
              <w:rPr>
                <w:b/>
                <w:spacing w:val="-1"/>
                <w:szCs w:val="22"/>
              </w:rPr>
              <w:t>AP</w:t>
            </w:r>
            <w:r>
              <w:rPr>
                <w:b/>
                <w:szCs w:val="22"/>
              </w:rPr>
              <w:t>s I</w:t>
            </w:r>
          </w:p>
        </w:tc>
        <w:tc>
          <w:tcPr>
            <w:tcW w:w="3260" w:type="dxa"/>
            <w:gridSpan w:val="2"/>
          </w:tcPr>
          <w:p w14:paraId="0B646A49"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pacing w:val="-1"/>
                <w:szCs w:val="22"/>
              </w:rPr>
              <w:t>S</w:t>
            </w:r>
            <w:r>
              <w:rPr>
                <w:b/>
                <w:szCs w:val="22"/>
              </w:rPr>
              <w:t>t</w:t>
            </w:r>
            <w:r>
              <w:rPr>
                <w:b/>
                <w:spacing w:val="-1"/>
                <w:szCs w:val="22"/>
              </w:rPr>
              <w:t>ud</w:t>
            </w:r>
            <w:r>
              <w:rPr>
                <w:b/>
                <w:spacing w:val="1"/>
                <w:szCs w:val="22"/>
              </w:rPr>
              <w:t>i</w:t>
            </w:r>
            <w:r>
              <w:rPr>
                <w:b/>
                <w:spacing w:val="-3"/>
                <w:szCs w:val="22"/>
              </w:rPr>
              <w:t>u</w:t>
            </w:r>
            <w:r>
              <w:rPr>
                <w:b/>
                <w:szCs w:val="22"/>
              </w:rPr>
              <w:t>l</w:t>
            </w:r>
            <w:r>
              <w:rPr>
                <w:b/>
                <w:spacing w:val="1"/>
                <w:szCs w:val="22"/>
              </w:rPr>
              <w:t xml:space="preserve"> </w:t>
            </w:r>
            <w:r>
              <w:rPr>
                <w:b/>
                <w:spacing w:val="-1"/>
                <w:szCs w:val="22"/>
              </w:rPr>
              <w:t>AP</w:t>
            </w:r>
            <w:r>
              <w:rPr>
                <w:b/>
                <w:szCs w:val="22"/>
              </w:rPr>
              <w:t xml:space="preserve">s </w:t>
            </w:r>
            <w:r>
              <w:rPr>
                <w:b/>
                <w:spacing w:val="-2"/>
                <w:szCs w:val="22"/>
              </w:rPr>
              <w:t>I</w:t>
            </w:r>
            <w:r>
              <w:rPr>
                <w:b/>
                <w:szCs w:val="22"/>
              </w:rPr>
              <w:t>I</w:t>
            </w:r>
          </w:p>
        </w:tc>
      </w:tr>
      <w:tr w:rsidR="00C04CAD" w14:paraId="52DC5675" w14:textId="77777777">
        <w:trPr>
          <w:trHeight w:val="293"/>
        </w:trPr>
        <w:tc>
          <w:tcPr>
            <w:tcW w:w="2410" w:type="dxa"/>
          </w:tcPr>
          <w:p w14:paraId="20F76396" w14:textId="77777777" w:rsidR="00C04CAD" w:rsidRDefault="00060E34">
            <w:pPr>
              <w:tabs>
                <w:tab w:val="clear" w:pos="567"/>
              </w:tabs>
              <w:kinsoku w:val="0"/>
              <w:overflowPunct w:val="0"/>
              <w:autoSpaceDE w:val="0"/>
              <w:autoSpaceDN w:val="0"/>
              <w:adjustRightInd w:val="0"/>
              <w:spacing w:line="240" w:lineRule="auto"/>
              <w:ind w:left="102"/>
              <w:rPr>
                <w:b/>
                <w:szCs w:val="22"/>
              </w:rPr>
            </w:pPr>
            <w:r>
              <w:rPr>
                <w:b/>
                <w:spacing w:val="-1"/>
                <w:szCs w:val="22"/>
              </w:rPr>
              <w:t>R</w:t>
            </w:r>
            <w:r>
              <w:rPr>
                <w:b/>
                <w:szCs w:val="22"/>
              </w:rPr>
              <w:t>ăspuns</w:t>
            </w:r>
          </w:p>
        </w:tc>
        <w:tc>
          <w:tcPr>
            <w:tcW w:w="1701" w:type="dxa"/>
          </w:tcPr>
          <w:p w14:paraId="4DB422B8" w14:textId="77777777" w:rsidR="00C04CAD" w:rsidRDefault="00060E34">
            <w:pPr>
              <w:tabs>
                <w:tab w:val="clear" w:pos="567"/>
              </w:tabs>
              <w:kinsoku w:val="0"/>
              <w:overflowPunct w:val="0"/>
              <w:autoSpaceDE w:val="0"/>
              <w:autoSpaceDN w:val="0"/>
              <w:adjustRightInd w:val="0"/>
              <w:spacing w:line="240" w:lineRule="auto"/>
              <w:ind w:left="99"/>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p w14:paraId="12A4D3A6" w14:textId="77777777" w:rsidR="00C04CAD" w:rsidRDefault="00060E34">
            <w:pPr>
              <w:tabs>
                <w:tab w:val="clear" w:pos="567"/>
              </w:tabs>
              <w:kinsoku w:val="0"/>
              <w:overflowPunct w:val="0"/>
              <w:autoSpaceDE w:val="0"/>
              <w:autoSpaceDN w:val="0"/>
              <w:adjustRightInd w:val="0"/>
              <w:spacing w:line="240" w:lineRule="auto"/>
              <w:ind w:left="99"/>
              <w:jc w:val="center"/>
              <w:rPr>
                <w:b/>
                <w:szCs w:val="22"/>
              </w:rPr>
            </w:pPr>
            <w:r>
              <w:rPr>
                <w:b/>
                <w:spacing w:val="-1"/>
                <w:szCs w:val="22"/>
              </w:rPr>
              <w:t>N</w:t>
            </w:r>
            <w:r>
              <w:rPr>
                <w:b/>
                <w:szCs w:val="22"/>
              </w:rPr>
              <w:t>=162</w:t>
            </w:r>
          </w:p>
        </w:tc>
        <w:tc>
          <w:tcPr>
            <w:tcW w:w="1701" w:type="dxa"/>
          </w:tcPr>
          <w:p w14:paraId="585842DF" w14:textId="77777777" w:rsidR="00C04CAD" w:rsidRDefault="00060E34">
            <w:pPr>
              <w:kinsoku w:val="0"/>
              <w:overflowPunct w:val="0"/>
              <w:autoSpaceDE w:val="0"/>
              <w:autoSpaceDN w:val="0"/>
              <w:adjustRightInd w:val="0"/>
              <w:spacing w:line="240" w:lineRule="auto"/>
              <w:ind w:left="102"/>
              <w:jc w:val="center"/>
              <w:rPr>
                <w:b/>
                <w:spacing w:val="-1"/>
                <w:szCs w:val="22"/>
              </w:rPr>
            </w:pPr>
            <w:r>
              <w:rPr>
                <w:b/>
                <w:spacing w:val="-1"/>
                <w:szCs w:val="22"/>
              </w:rPr>
              <w:t>Adalimumab</w:t>
            </w:r>
          </w:p>
          <w:p w14:paraId="4D0A4E5C"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pacing w:val="-1"/>
                <w:szCs w:val="22"/>
              </w:rPr>
              <w:t>N</w:t>
            </w:r>
            <w:r>
              <w:rPr>
                <w:b/>
                <w:szCs w:val="22"/>
              </w:rPr>
              <w:t>=151</w:t>
            </w:r>
          </w:p>
        </w:tc>
        <w:tc>
          <w:tcPr>
            <w:tcW w:w="1701" w:type="dxa"/>
          </w:tcPr>
          <w:p w14:paraId="1F6D0819"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p w14:paraId="34DC7768"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pacing w:val="-2"/>
                <w:szCs w:val="22"/>
              </w:rPr>
              <w:t>N</w:t>
            </w:r>
            <w:r>
              <w:rPr>
                <w:b/>
                <w:szCs w:val="22"/>
              </w:rPr>
              <w:t>=49</w:t>
            </w:r>
          </w:p>
        </w:tc>
        <w:tc>
          <w:tcPr>
            <w:tcW w:w="1559" w:type="dxa"/>
          </w:tcPr>
          <w:p w14:paraId="08DD9FD6" w14:textId="77777777" w:rsidR="00C04CAD" w:rsidRDefault="00060E34">
            <w:pPr>
              <w:tabs>
                <w:tab w:val="clear" w:pos="567"/>
              </w:tabs>
              <w:kinsoku w:val="0"/>
              <w:overflowPunct w:val="0"/>
              <w:autoSpaceDE w:val="0"/>
              <w:autoSpaceDN w:val="0"/>
              <w:adjustRightInd w:val="0"/>
              <w:spacing w:line="240" w:lineRule="auto"/>
              <w:ind w:left="102"/>
              <w:jc w:val="center"/>
              <w:rPr>
                <w:rFonts w:eastAsia="MS Mincho"/>
                <w:b/>
                <w:szCs w:val="22"/>
                <w:lang w:eastAsia="en-US" w:bidi="ar-SA"/>
              </w:rPr>
            </w:pPr>
            <w:r>
              <w:rPr>
                <w:rFonts w:eastAsia="MS Mincho"/>
                <w:b/>
                <w:spacing w:val="-1"/>
                <w:szCs w:val="22"/>
                <w:lang w:eastAsia="en-US" w:bidi="ar-SA"/>
              </w:rPr>
              <w:t>Adalimumab</w:t>
            </w:r>
          </w:p>
          <w:p w14:paraId="39497A0F"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pacing w:val="-2"/>
                <w:szCs w:val="22"/>
              </w:rPr>
              <w:t>N</w:t>
            </w:r>
            <w:r>
              <w:rPr>
                <w:b/>
                <w:szCs w:val="22"/>
              </w:rPr>
              <w:t>=51</w:t>
            </w:r>
          </w:p>
        </w:tc>
      </w:tr>
      <w:tr w:rsidR="00C04CAD" w14:paraId="6771D767" w14:textId="77777777">
        <w:trPr>
          <w:trHeight w:val="147"/>
        </w:trPr>
        <w:tc>
          <w:tcPr>
            <w:tcW w:w="2410" w:type="dxa"/>
          </w:tcPr>
          <w:p w14:paraId="69EDAB81"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AC</w:t>
            </w:r>
            <w:r>
              <w:rPr>
                <w:szCs w:val="22"/>
              </w:rPr>
              <w:t>R</w:t>
            </w:r>
            <w:r>
              <w:rPr>
                <w:spacing w:val="-1"/>
                <w:szCs w:val="22"/>
              </w:rPr>
              <w:t xml:space="preserve"> </w:t>
            </w:r>
            <w:r>
              <w:rPr>
                <w:szCs w:val="22"/>
              </w:rPr>
              <w:t>20</w:t>
            </w:r>
          </w:p>
        </w:tc>
        <w:tc>
          <w:tcPr>
            <w:tcW w:w="1701" w:type="dxa"/>
          </w:tcPr>
          <w:p w14:paraId="5DD96E5F"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701" w:type="dxa"/>
          </w:tcPr>
          <w:p w14:paraId="796C0BAC"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701" w:type="dxa"/>
          </w:tcPr>
          <w:p w14:paraId="4108CB88"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559" w:type="dxa"/>
          </w:tcPr>
          <w:p w14:paraId="0974F89A"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r>
      <w:tr w:rsidR="00C04CAD" w14:paraId="7CE94943" w14:textId="77777777">
        <w:trPr>
          <w:trHeight w:val="147"/>
        </w:trPr>
        <w:tc>
          <w:tcPr>
            <w:tcW w:w="2410" w:type="dxa"/>
          </w:tcPr>
          <w:p w14:paraId="156171BF"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12</w:t>
            </w:r>
          </w:p>
        </w:tc>
        <w:tc>
          <w:tcPr>
            <w:tcW w:w="1701" w:type="dxa"/>
          </w:tcPr>
          <w:p w14:paraId="5655725E"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14%</w:t>
            </w:r>
          </w:p>
        </w:tc>
        <w:tc>
          <w:tcPr>
            <w:tcW w:w="1701" w:type="dxa"/>
          </w:tcPr>
          <w:p w14:paraId="27117304"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58%***</w:t>
            </w:r>
          </w:p>
        </w:tc>
        <w:tc>
          <w:tcPr>
            <w:tcW w:w="1701" w:type="dxa"/>
          </w:tcPr>
          <w:p w14:paraId="63762563"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16%</w:t>
            </w:r>
          </w:p>
        </w:tc>
        <w:tc>
          <w:tcPr>
            <w:tcW w:w="1559" w:type="dxa"/>
          </w:tcPr>
          <w:p w14:paraId="46852500"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39%*</w:t>
            </w:r>
          </w:p>
        </w:tc>
      </w:tr>
      <w:tr w:rsidR="00C04CAD" w14:paraId="0F0A1B5F" w14:textId="77777777">
        <w:trPr>
          <w:trHeight w:val="147"/>
        </w:trPr>
        <w:tc>
          <w:tcPr>
            <w:tcW w:w="2410" w:type="dxa"/>
          </w:tcPr>
          <w:p w14:paraId="1CAC8E7F"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24</w:t>
            </w:r>
          </w:p>
        </w:tc>
        <w:tc>
          <w:tcPr>
            <w:tcW w:w="1701" w:type="dxa"/>
          </w:tcPr>
          <w:p w14:paraId="22E35B0E"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15%</w:t>
            </w:r>
          </w:p>
        </w:tc>
        <w:tc>
          <w:tcPr>
            <w:tcW w:w="1701" w:type="dxa"/>
          </w:tcPr>
          <w:p w14:paraId="0728F56A"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57%***</w:t>
            </w:r>
          </w:p>
        </w:tc>
        <w:tc>
          <w:tcPr>
            <w:tcW w:w="1701" w:type="dxa"/>
          </w:tcPr>
          <w:p w14:paraId="495BA85E"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pacing w:val="-2"/>
                <w:szCs w:val="22"/>
              </w:rPr>
              <w:t>N</w:t>
            </w:r>
            <w:r>
              <w:rPr>
                <w:spacing w:val="1"/>
                <w:szCs w:val="22"/>
              </w:rPr>
              <w:t>/</w:t>
            </w:r>
            <w:r>
              <w:rPr>
                <w:szCs w:val="22"/>
              </w:rPr>
              <w:t>A</w:t>
            </w:r>
          </w:p>
        </w:tc>
        <w:tc>
          <w:tcPr>
            <w:tcW w:w="1559" w:type="dxa"/>
          </w:tcPr>
          <w:p w14:paraId="5C56F537"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r w:rsidR="00C04CAD" w14:paraId="6DD59A01" w14:textId="77777777">
        <w:trPr>
          <w:trHeight w:val="147"/>
        </w:trPr>
        <w:tc>
          <w:tcPr>
            <w:tcW w:w="2410" w:type="dxa"/>
          </w:tcPr>
          <w:p w14:paraId="11C8BD91" w14:textId="77777777" w:rsidR="00C04CAD" w:rsidRDefault="00060E34">
            <w:pPr>
              <w:tabs>
                <w:tab w:val="clear" w:pos="567"/>
              </w:tabs>
              <w:kinsoku w:val="0"/>
              <w:overflowPunct w:val="0"/>
              <w:autoSpaceDE w:val="0"/>
              <w:autoSpaceDN w:val="0"/>
              <w:adjustRightInd w:val="0"/>
              <w:spacing w:line="240" w:lineRule="auto"/>
              <w:ind w:left="102"/>
              <w:rPr>
                <w:color w:val="000000"/>
                <w:szCs w:val="22"/>
                <w:lang w:eastAsia="en-GB"/>
              </w:rPr>
            </w:pPr>
            <w:r>
              <w:rPr>
                <w:spacing w:val="-1"/>
                <w:szCs w:val="22"/>
              </w:rPr>
              <w:t>AC</w:t>
            </w:r>
            <w:r>
              <w:rPr>
                <w:szCs w:val="22"/>
              </w:rPr>
              <w:t>R</w:t>
            </w:r>
            <w:r>
              <w:rPr>
                <w:spacing w:val="-1"/>
                <w:szCs w:val="22"/>
              </w:rPr>
              <w:t xml:space="preserve"> </w:t>
            </w:r>
            <w:r>
              <w:rPr>
                <w:szCs w:val="22"/>
              </w:rPr>
              <w:t>50</w:t>
            </w:r>
          </w:p>
        </w:tc>
        <w:tc>
          <w:tcPr>
            <w:tcW w:w="1701" w:type="dxa"/>
          </w:tcPr>
          <w:p w14:paraId="5D1D240A"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41FC6E99"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0C2BAAB1"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02400A3E"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r>
      <w:tr w:rsidR="00C04CAD" w14:paraId="1AB6B98B" w14:textId="77777777">
        <w:trPr>
          <w:trHeight w:val="147"/>
        </w:trPr>
        <w:tc>
          <w:tcPr>
            <w:tcW w:w="2410" w:type="dxa"/>
          </w:tcPr>
          <w:p w14:paraId="3681FC05"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12</w:t>
            </w:r>
          </w:p>
        </w:tc>
        <w:tc>
          <w:tcPr>
            <w:tcW w:w="1701" w:type="dxa"/>
          </w:tcPr>
          <w:p w14:paraId="33AE2CB3"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4%</w:t>
            </w:r>
          </w:p>
        </w:tc>
        <w:tc>
          <w:tcPr>
            <w:tcW w:w="1701" w:type="dxa"/>
          </w:tcPr>
          <w:p w14:paraId="3BF5A38C"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36%***</w:t>
            </w:r>
          </w:p>
        </w:tc>
        <w:tc>
          <w:tcPr>
            <w:tcW w:w="1701" w:type="dxa"/>
          </w:tcPr>
          <w:p w14:paraId="59900780"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2%</w:t>
            </w:r>
          </w:p>
        </w:tc>
        <w:tc>
          <w:tcPr>
            <w:tcW w:w="1559" w:type="dxa"/>
          </w:tcPr>
          <w:p w14:paraId="057CAAF2"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25%***</w:t>
            </w:r>
          </w:p>
        </w:tc>
      </w:tr>
      <w:tr w:rsidR="00C04CAD" w14:paraId="38B63386" w14:textId="77777777">
        <w:trPr>
          <w:trHeight w:val="147"/>
        </w:trPr>
        <w:tc>
          <w:tcPr>
            <w:tcW w:w="2410" w:type="dxa"/>
          </w:tcPr>
          <w:p w14:paraId="6EF8C2BD"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24</w:t>
            </w:r>
          </w:p>
        </w:tc>
        <w:tc>
          <w:tcPr>
            <w:tcW w:w="1701" w:type="dxa"/>
          </w:tcPr>
          <w:p w14:paraId="5853C42B"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6%</w:t>
            </w:r>
          </w:p>
        </w:tc>
        <w:tc>
          <w:tcPr>
            <w:tcW w:w="1701" w:type="dxa"/>
          </w:tcPr>
          <w:p w14:paraId="20999B09"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39%***</w:t>
            </w:r>
          </w:p>
        </w:tc>
        <w:tc>
          <w:tcPr>
            <w:tcW w:w="1701" w:type="dxa"/>
          </w:tcPr>
          <w:p w14:paraId="3FDD73F3"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pacing w:val="-2"/>
                <w:szCs w:val="22"/>
              </w:rPr>
              <w:t>N</w:t>
            </w:r>
            <w:r>
              <w:rPr>
                <w:spacing w:val="1"/>
                <w:szCs w:val="22"/>
              </w:rPr>
              <w:t>/</w:t>
            </w:r>
            <w:r>
              <w:rPr>
                <w:szCs w:val="22"/>
              </w:rPr>
              <w:t>A</w:t>
            </w:r>
          </w:p>
        </w:tc>
        <w:tc>
          <w:tcPr>
            <w:tcW w:w="1559" w:type="dxa"/>
          </w:tcPr>
          <w:p w14:paraId="2DB5F64A"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r w:rsidR="00C04CAD" w14:paraId="0F8DFA23" w14:textId="77777777">
        <w:trPr>
          <w:trHeight w:val="147"/>
        </w:trPr>
        <w:tc>
          <w:tcPr>
            <w:tcW w:w="2410" w:type="dxa"/>
          </w:tcPr>
          <w:p w14:paraId="40E36FD3"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AC</w:t>
            </w:r>
            <w:r>
              <w:rPr>
                <w:szCs w:val="22"/>
              </w:rPr>
              <w:t>R</w:t>
            </w:r>
            <w:r>
              <w:rPr>
                <w:spacing w:val="-1"/>
                <w:szCs w:val="22"/>
              </w:rPr>
              <w:t xml:space="preserve"> </w:t>
            </w:r>
            <w:r>
              <w:rPr>
                <w:szCs w:val="22"/>
              </w:rPr>
              <w:t>70</w:t>
            </w:r>
          </w:p>
        </w:tc>
        <w:tc>
          <w:tcPr>
            <w:tcW w:w="1701" w:type="dxa"/>
          </w:tcPr>
          <w:p w14:paraId="7045CAD0"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4082939C"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6C659FDC"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11B2B31C"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r>
      <w:tr w:rsidR="00C04CAD" w14:paraId="45CB2042" w14:textId="77777777">
        <w:trPr>
          <w:trHeight w:val="147"/>
        </w:trPr>
        <w:tc>
          <w:tcPr>
            <w:tcW w:w="2410" w:type="dxa"/>
          </w:tcPr>
          <w:p w14:paraId="54C1D6B2"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12</w:t>
            </w:r>
          </w:p>
        </w:tc>
        <w:tc>
          <w:tcPr>
            <w:tcW w:w="1701" w:type="dxa"/>
          </w:tcPr>
          <w:p w14:paraId="2B565D88"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w:t>
            </w:r>
          </w:p>
        </w:tc>
        <w:tc>
          <w:tcPr>
            <w:tcW w:w="1701" w:type="dxa"/>
          </w:tcPr>
          <w:p w14:paraId="2B4EEF58"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20%***</w:t>
            </w:r>
          </w:p>
        </w:tc>
        <w:tc>
          <w:tcPr>
            <w:tcW w:w="1701" w:type="dxa"/>
          </w:tcPr>
          <w:p w14:paraId="0E40BAA5"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0%</w:t>
            </w:r>
          </w:p>
        </w:tc>
        <w:tc>
          <w:tcPr>
            <w:tcW w:w="1559" w:type="dxa"/>
          </w:tcPr>
          <w:p w14:paraId="6444FDD7"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14%*</w:t>
            </w:r>
          </w:p>
        </w:tc>
      </w:tr>
      <w:tr w:rsidR="00C04CAD" w14:paraId="6B2ECA94" w14:textId="77777777">
        <w:trPr>
          <w:trHeight w:val="147"/>
        </w:trPr>
        <w:tc>
          <w:tcPr>
            <w:tcW w:w="2410" w:type="dxa"/>
          </w:tcPr>
          <w:p w14:paraId="1CA1672F" w14:textId="77777777" w:rsidR="00C04CAD" w:rsidRDefault="00060E34">
            <w:pPr>
              <w:tabs>
                <w:tab w:val="clear" w:pos="567"/>
              </w:tabs>
              <w:kinsoku w:val="0"/>
              <w:overflowPunct w:val="0"/>
              <w:autoSpaceDE w:val="0"/>
              <w:autoSpaceDN w:val="0"/>
              <w:adjustRightInd w:val="0"/>
              <w:spacing w:line="240" w:lineRule="auto"/>
              <w:ind w:left="102"/>
              <w:rPr>
                <w:szCs w:val="22"/>
              </w:rPr>
            </w:pPr>
            <w:r>
              <w:rPr>
                <w:spacing w:val="-1"/>
                <w:szCs w:val="22"/>
              </w:rPr>
              <w:t>S</w:t>
            </w:r>
            <w:r>
              <w:rPr>
                <w:szCs w:val="22"/>
              </w:rPr>
              <w:t>ăp</w:t>
            </w:r>
            <w:r>
              <w:rPr>
                <w:spacing w:val="1"/>
                <w:szCs w:val="22"/>
              </w:rPr>
              <w:t>t</w:t>
            </w:r>
            <w:r>
              <w:rPr>
                <w:szCs w:val="22"/>
              </w:rPr>
              <w:t>ă</w:t>
            </w:r>
            <w:r>
              <w:rPr>
                <w:spacing w:val="-4"/>
                <w:szCs w:val="22"/>
              </w:rPr>
              <w:t>m</w:t>
            </w:r>
            <w:r>
              <w:rPr>
                <w:szCs w:val="22"/>
              </w:rPr>
              <w:t>âna 24</w:t>
            </w:r>
          </w:p>
        </w:tc>
        <w:tc>
          <w:tcPr>
            <w:tcW w:w="1701" w:type="dxa"/>
          </w:tcPr>
          <w:p w14:paraId="77003C6E"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w:t>
            </w:r>
          </w:p>
        </w:tc>
        <w:tc>
          <w:tcPr>
            <w:tcW w:w="1701" w:type="dxa"/>
          </w:tcPr>
          <w:p w14:paraId="5F1B374E"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23%***</w:t>
            </w:r>
          </w:p>
        </w:tc>
        <w:tc>
          <w:tcPr>
            <w:tcW w:w="1701" w:type="dxa"/>
          </w:tcPr>
          <w:p w14:paraId="3225822E"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pacing w:val="-2"/>
                <w:szCs w:val="22"/>
              </w:rPr>
              <w:t>N</w:t>
            </w:r>
            <w:r>
              <w:rPr>
                <w:spacing w:val="1"/>
                <w:szCs w:val="22"/>
              </w:rPr>
              <w:t>/</w:t>
            </w:r>
            <w:r>
              <w:rPr>
                <w:szCs w:val="22"/>
              </w:rPr>
              <w:t>A</w:t>
            </w:r>
          </w:p>
        </w:tc>
        <w:tc>
          <w:tcPr>
            <w:tcW w:w="1559" w:type="dxa"/>
          </w:tcPr>
          <w:p w14:paraId="63FFE631"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bl>
    <w:p w14:paraId="7D1E755D" w14:textId="77777777" w:rsidR="00C04CAD" w:rsidRDefault="00060E34">
      <w:pPr>
        <w:tabs>
          <w:tab w:val="clear" w:pos="567"/>
        </w:tabs>
        <w:kinsoku w:val="0"/>
        <w:overflowPunct w:val="0"/>
        <w:autoSpaceDE w:val="0"/>
        <w:autoSpaceDN w:val="0"/>
        <w:adjustRightInd w:val="0"/>
        <w:spacing w:line="240" w:lineRule="auto"/>
        <w:rPr>
          <w:sz w:val="20"/>
        </w:rPr>
      </w:pPr>
      <w:r>
        <w:rPr>
          <w:spacing w:val="-2"/>
          <w:sz w:val="20"/>
        </w:rPr>
        <w:t xml:space="preserve">*** </w:t>
      </w:r>
      <w:r>
        <w:rPr>
          <w:sz w:val="20"/>
        </w:rPr>
        <w:t>p &lt;0,001 pen</w:t>
      </w:r>
      <w:r>
        <w:rPr>
          <w:spacing w:val="-2"/>
          <w:sz w:val="20"/>
        </w:rPr>
        <w:t>t</w:t>
      </w:r>
      <w:r>
        <w:rPr>
          <w:sz w:val="20"/>
        </w:rPr>
        <w:t>ru</w:t>
      </w:r>
      <w:r>
        <w:rPr>
          <w:spacing w:val="-3"/>
          <w:sz w:val="20"/>
        </w:rPr>
        <w:t xml:space="preserve"> </w:t>
      </w:r>
      <w:r>
        <w:rPr>
          <w:spacing w:val="1"/>
          <w:sz w:val="20"/>
        </w:rPr>
        <w:t>t</w:t>
      </w:r>
      <w:r>
        <w:rPr>
          <w:sz w:val="20"/>
        </w:rPr>
        <w:t>o</w:t>
      </w:r>
      <w:r>
        <w:rPr>
          <w:spacing w:val="-3"/>
          <w:sz w:val="20"/>
        </w:rPr>
        <w:t>a</w:t>
      </w:r>
      <w:r>
        <w:rPr>
          <w:spacing w:val="1"/>
          <w:sz w:val="20"/>
        </w:rPr>
        <w:t>t</w:t>
      </w:r>
      <w:r>
        <w:rPr>
          <w:sz w:val="20"/>
        </w:rPr>
        <w:t>e</w:t>
      </w:r>
      <w:r>
        <w:rPr>
          <w:spacing w:val="-1"/>
          <w:sz w:val="20"/>
        </w:rPr>
        <w:t xml:space="preserve"> </w:t>
      </w:r>
      <w:r>
        <w:rPr>
          <w:spacing w:val="-3"/>
          <w:sz w:val="20"/>
        </w:rPr>
        <w:t>co</w:t>
      </w:r>
      <w:r>
        <w:rPr>
          <w:spacing w:val="-4"/>
          <w:sz w:val="20"/>
        </w:rPr>
        <w:t>m</w:t>
      </w:r>
      <w:r>
        <w:rPr>
          <w:sz w:val="20"/>
        </w:rPr>
        <w:t>para</w:t>
      </w:r>
      <w:r>
        <w:rPr>
          <w:spacing w:val="1"/>
          <w:sz w:val="20"/>
        </w:rPr>
        <w:t>ţ</w:t>
      </w:r>
      <w:r>
        <w:rPr>
          <w:spacing w:val="-2"/>
          <w:sz w:val="20"/>
        </w:rPr>
        <w:t>i</w:t>
      </w:r>
      <w:r>
        <w:rPr>
          <w:spacing w:val="1"/>
          <w:sz w:val="20"/>
        </w:rPr>
        <w:t>il</w:t>
      </w:r>
      <w:r>
        <w:rPr>
          <w:sz w:val="20"/>
        </w:rPr>
        <w:t>e</w:t>
      </w:r>
      <w:r>
        <w:rPr>
          <w:spacing w:val="-2"/>
          <w:sz w:val="20"/>
        </w:rPr>
        <w:t xml:space="preserve"> </w:t>
      </w:r>
      <w:r>
        <w:rPr>
          <w:spacing w:val="1"/>
          <w:sz w:val="20"/>
        </w:rPr>
        <w:t>î</w:t>
      </w:r>
      <w:r>
        <w:rPr>
          <w:spacing w:val="-3"/>
          <w:sz w:val="20"/>
        </w:rPr>
        <w:t>n</w:t>
      </w:r>
      <w:r>
        <w:rPr>
          <w:spacing w:val="1"/>
          <w:sz w:val="20"/>
        </w:rPr>
        <w:t>t</w:t>
      </w:r>
      <w:r>
        <w:rPr>
          <w:sz w:val="20"/>
        </w:rPr>
        <w:t>re</w:t>
      </w:r>
      <w:r>
        <w:rPr>
          <w:spacing w:val="-2"/>
          <w:sz w:val="20"/>
        </w:rPr>
        <w:t xml:space="preserve"> </w:t>
      </w:r>
      <w:r>
        <w:rPr>
          <w:spacing w:val="-1"/>
          <w:sz w:val="20"/>
          <w:lang w:eastAsia="en-US" w:bidi="ar-SA"/>
        </w:rPr>
        <w:t>adalimumab</w:t>
      </w:r>
      <w:r>
        <w:rPr>
          <w:sz w:val="20"/>
        </w:rPr>
        <w:t xml:space="preserve"> şi</w:t>
      </w:r>
      <w:r>
        <w:rPr>
          <w:spacing w:val="-3"/>
          <w:sz w:val="20"/>
        </w:rPr>
        <w:t xml:space="preserve"> p</w:t>
      </w:r>
      <w:r>
        <w:rPr>
          <w:spacing w:val="1"/>
          <w:sz w:val="20"/>
        </w:rPr>
        <w:t>l</w:t>
      </w:r>
      <w:r>
        <w:rPr>
          <w:sz w:val="20"/>
        </w:rPr>
        <w:t>ac</w:t>
      </w:r>
      <w:r>
        <w:rPr>
          <w:spacing w:val="-3"/>
          <w:sz w:val="20"/>
        </w:rPr>
        <w:t>e</w:t>
      </w:r>
      <w:r>
        <w:rPr>
          <w:sz w:val="20"/>
        </w:rPr>
        <w:t>bo.</w:t>
      </w:r>
    </w:p>
    <w:p w14:paraId="14897CAE" w14:textId="77777777" w:rsidR="00C04CAD" w:rsidRDefault="00060E34">
      <w:pPr>
        <w:tabs>
          <w:tab w:val="clear" w:pos="567"/>
        </w:tabs>
        <w:kinsoku w:val="0"/>
        <w:overflowPunct w:val="0"/>
        <w:autoSpaceDE w:val="0"/>
        <w:autoSpaceDN w:val="0"/>
        <w:adjustRightInd w:val="0"/>
        <w:spacing w:line="240" w:lineRule="auto"/>
        <w:rPr>
          <w:sz w:val="20"/>
          <w:lang w:eastAsia="en-US" w:bidi="ar-SA"/>
        </w:rPr>
      </w:pPr>
      <w:r>
        <w:rPr>
          <w:spacing w:val="-2"/>
          <w:sz w:val="20"/>
        </w:rPr>
        <w:t xml:space="preserve">* </w:t>
      </w:r>
      <w:r>
        <w:rPr>
          <w:sz w:val="20"/>
        </w:rPr>
        <w:t>p &lt;0,05 pe</w:t>
      </w:r>
      <w:r>
        <w:rPr>
          <w:spacing w:val="-3"/>
          <w:sz w:val="20"/>
        </w:rPr>
        <w:t>n</w:t>
      </w:r>
      <w:r>
        <w:rPr>
          <w:spacing w:val="1"/>
          <w:sz w:val="20"/>
        </w:rPr>
        <w:t>t</w:t>
      </w:r>
      <w:r>
        <w:rPr>
          <w:sz w:val="20"/>
        </w:rPr>
        <w:t>ru</w:t>
      </w:r>
      <w:r>
        <w:rPr>
          <w:spacing w:val="-3"/>
          <w:sz w:val="20"/>
        </w:rPr>
        <w:t xml:space="preserve"> </w:t>
      </w:r>
      <w:r>
        <w:rPr>
          <w:spacing w:val="1"/>
          <w:sz w:val="20"/>
        </w:rPr>
        <w:t>t</w:t>
      </w:r>
      <w:r>
        <w:rPr>
          <w:sz w:val="20"/>
        </w:rPr>
        <w:t>o</w:t>
      </w:r>
      <w:r>
        <w:rPr>
          <w:spacing w:val="-3"/>
          <w:sz w:val="20"/>
        </w:rPr>
        <w:t>a</w:t>
      </w:r>
      <w:r>
        <w:rPr>
          <w:spacing w:val="1"/>
          <w:sz w:val="20"/>
        </w:rPr>
        <w:t>t</w:t>
      </w:r>
      <w:r>
        <w:rPr>
          <w:sz w:val="20"/>
        </w:rPr>
        <w:t>e</w:t>
      </w:r>
      <w:r>
        <w:rPr>
          <w:spacing w:val="-2"/>
          <w:sz w:val="20"/>
        </w:rPr>
        <w:t xml:space="preserve"> </w:t>
      </w:r>
      <w:r>
        <w:rPr>
          <w:sz w:val="20"/>
        </w:rPr>
        <w:t>co</w:t>
      </w:r>
      <w:r>
        <w:rPr>
          <w:spacing w:val="-4"/>
          <w:sz w:val="20"/>
        </w:rPr>
        <w:t>m</w:t>
      </w:r>
      <w:r>
        <w:rPr>
          <w:sz w:val="20"/>
        </w:rPr>
        <w:t>par</w:t>
      </w:r>
      <w:r>
        <w:rPr>
          <w:spacing w:val="-3"/>
          <w:sz w:val="20"/>
        </w:rPr>
        <w:t>a</w:t>
      </w:r>
      <w:r>
        <w:rPr>
          <w:spacing w:val="1"/>
          <w:sz w:val="20"/>
        </w:rPr>
        <w:t>ţ</w:t>
      </w:r>
      <w:r>
        <w:rPr>
          <w:spacing w:val="-2"/>
          <w:sz w:val="20"/>
        </w:rPr>
        <w:t>i</w:t>
      </w:r>
      <w:r>
        <w:rPr>
          <w:spacing w:val="1"/>
          <w:sz w:val="20"/>
        </w:rPr>
        <w:t>i</w:t>
      </w:r>
      <w:r>
        <w:rPr>
          <w:spacing w:val="-2"/>
          <w:sz w:val="20"/>
        </w:rPr>
        <w:t>l</w:t>
      </w:r>
      <w:r>
        <w:rPr>
          <w:sz w:val="20"/>
        </w:rPr>
        <w:t xml:space="preserve">e </w:t>
      </w:r>
      <w:r>
        <w:rPr>
          <w:spacing w:val="1"/>
          <w:sz w:val="20"/>
        </w:rPr>
        <w:t>î</w:t>
      </w:r>
      <w:r>
        <w:rPr>
          <w:spacing w:val="-3"/>
          <w:sz w:val="20"/>
        </w:rPr>
        <w:t>n</w:t>
      </w:r>
      <w:r>
        <w:rPr>
          <w:spacing w:val="1"/>
          <w:sz w:val="20"/>
        </w:rPr>
        <w:t>t</w:t>
      </w:r>
      <w:r>
        <w:rPr>
          <w:spacing w:val="-2"/>
          <w:sz w:val="20"/>
        </w:rPr>
        <w:t>r</w:t>
      </w:r>
      <w:r>
        <w:rPr>
          <w:sz w:val="20"/>
        </w:rPr>
        <w:t xml:space="preserve">e </w:t>
      </w:r>
      <w:r>
        <w:rPr>
          <w:spacing w:val="-1"/>
          <w:sz w:val="20"/>
        </w:rPr>
        <w:t>adalimumab</w:t>
      </w:r>
      <w:r>
        <w:rPr>
          <w:sz w:val="20"/>
        </w:rPr>
        <w:t xml:space="preserve"> </w:t>
      </w:r>
      <w:r>
        <w:rPr>
          <w:spacing w:val="-2"/>
          <w:sz w:val="20"/>
        </w:rPr>
        <w:t>ş</w:t>
      </w:r>
      <w:r>
        <w:rPr>
          <w:sz w:val="20"/>
        </w:rPr>
        <w:t>i</w:t>
      </w:r>
      <w:r>
        <w:rPr>
          <w:spacing w:val="1"/>
          <w:sz w:val="20"/>
        </w:rPr>
        <w:t xml:space="preserve"> </w:t>
      </w:r>
      <w:r>
        <w:rPr>
          <w:sz w:val="20"/>
        </w:rPr>
        <w:t>p</w:t>
      </w:r>
      <w:r>
        <w:rPr>
          <w:spacing w:val="-2"/>
          <w:sz w:val="20"/>
        </w:rPr>
        <w:t>l</w:t>
      </w:r>
      <w:r>
        <w:rPr>
          <w:sz w:val="20"/>
        </w:rPr>
        <w:t>a</w:t>
      </w:r>
      <w:r>
        <w:rPr>
          <w:spacing w:val="-3"/>
          <w:sz w:val="20"/>
        </w:rPr>
        <w:t>c</w:t>
      </w:r>
      <w:r>
        <w:rPr>
          <w:sz w:val="20"/>
        </w:rPr>
        <w:t xml:space="preserve">ebo </w:t>
      </w:r>
    </w:p>
    <w:p w14:paraId="7980D77B" w14:textId="77777777" w:rsidR="00C04CAD" w:rsidRDefault="00060E34">
      <w:pPr>
        <w:tabs>
          <w:tab w:val="clear" w:pos="567"/>
          <w:tab w:val="left" w:pos="851"/>
        </w:tabs>
        <w:spacing w:line="240" w:lineRule="auto"/>
      </w:pPr>
      <w:r>
        <w:rPr>
          <w:spacing w:val="-1"/>
          <w:sz w:val="20"/>
        </w:rPr>
        <w:t>N</w:t>
      </w:r>
      <w:r>
        <w:rPr>
          <w:spacing w:val="1"/>
          <w:sz w:val="20"/>
        </w:rPr>
        <w:t>/</w:t>
      </w:r>
      <w:r>
        <w:rPr>
          <w:sz w:val="20"/>
        </w:rPr>
        <w:t>A</w:t>
      </w:r>
      <w:r>
        <w:rPr>
          <w:spacing w:val="-1"/>
          <w:sz w:val="20"/>
        </w:rPr>
        <w:t xml:space="preserve"> </w:t>
      </w:r>
      <w:r>
        <w:rPr>
          <w:sz w:val="20"/>
        </w:rPr>
        <w:t>nu e</w:t>
      </w:r>
      <w:r>
        <w:rPr>
          <w:spacing w:val="-2"/>
          <w:sz w:val="20"/>
        </w:rPr>
        <w:t>s</w:t>
      </w:r>
      <w:r>
        <w:rPr>
          <w:spacing w:val="1"/>
          <w:sz w:val="20"/>
        </w:rPr>
        <w:t>t</w:t>
      </w:r>
      <w:r>
        <w:rPr>
          <w:sz w:val="20"/>
        </w:rPr>
        <w:t xml:space="preserve">e </w:t>
      </w:r>
      <w:r>
        <w:rPr>
          <w:spacing w:val="-2"/>
          <w:sz w:val="20"/>
        </w:rPr>
        <w:t>c</w:t>
      </w:r>
      <w:r>
        <w:rPr>
          <w:sz w:val="20"/>
        </w:rPr>
        <w:t>a</w:t>
      </w:r>
      <w:r>
        <w:rPr>
          <w:spacing w:val="-2"/>
          <w:sz w:val="20"/>
        </w:rPr>
        <w:t>z</w:t>
      </w:r>
      <w:r>
        <w:rPr>
          <w:sz w:val="20"/>
        </w:rPr>
        <w:t>ul</w:t>
      </w:r>
    </w:p>
    <w:p w14:paraId="5ED77355" w14:textId="77777777" w:rsidR="00C04CAD" w:rsidRDefault="00C04CAD">
      <w:pPr>
        <w:autoSpaceDE w:val="0"/>
        <w:autoSpaceDN w:val="0"/>
        <w:adjustRightInd w:val="0"/>
        <w:spacing w:line="240" w:lineRule="auto"/>
      </w:pPr>
    </w:p>
    <w:p w14:paraId="0A706238" w14:textId="77777777" w:rsidR="00C04CAD" w:rsidRDefault="00060E34">
      <w:pPr>
        <w:tabs>
          <w:tab w:val="clear" w:pos="567"/>
        </w:tabs>
        <w:kinsoku w:val="0"/>
        <w:overflowPunct w:val="0"/>
        <w:autoSpaceDE w:val="0"/>
        <w:autoSpaceDN w:val="0"/>
        <w:adjustRightInd w:val="0"/>
        <w:spacing w:line="240" w:lineRule="auto"/>
      </w:pPr>
      <w:r>
        <w:rPr>
          <w:spacing w:val="-1"/>
        </w:rPr>
        <w:t>R</w:t>
      </w:r>
      <w:r>
        <w:t>ăspuns</w:t>
      </w:r>
      <w:r>
        <w:rPr>
          <w:spacing w:val="-3"/>
        </w:rPr>
        <w:t>u</w:t>
      </w:r>
      <w:r>
        <w:t>r</w:t>
      </w:r>
      <w:r>
        <w:rPr>
          <w:spacing w:val="-2"/>
        </w:rPr>
        <w:t>i</w:t>
      </w:r>
      <w:r>
        <w:rPr>
          <w:spacing w:val="1"/>
        </w:rPr>
        <w:t>l</w:t>
      </w:r>
      <w:r>
        <w:t xml:space="preserve">e </w:t>
      </w:r>
      <w:r>
        <w:rPr>
          <w:spacing w:val="-1"/>
        </w:rPr>
        <w:t>AC</w:t>
      </w:r>
      <w:r>
        <w:t>R</w:t>
      </w:r>
      <w:r>
        <w:rPr>
          <w:spacing w:val="-4"/>
        </w:rPr>
        <w:t xml:space="preserve"> </w:t>
      </w:r>
      <w:r>
        <w:rPr>
          <w:spacing w:val="1"/>
        </w:rPr>
        <w:t>î</w:t>
      </w:r>
      <w:r>
        <w:t xml:space="preserve">n </w:t>
      </w:r>
      <w:r>
        <w:rPr>
          <w:spacing w:val="-2"/>
        </w:rPr>
        <w:t>s</w:t>
      </w:r>
      <w:r>
        <w:rPr>
          <w:spacing w:val="1"/>
        </w:rPr>
        <w:t>t</w:t>
      </w:r>
      <w:r>
        <w:t>ud</w:t>
      </w:r>
      <w:r>
        <w:rPr>
          <w:spacing w:val="-2"/>
        </w:rPr>
        <w:t>i</w:t>
      </w:r>
      <w:r>
        <w:t>ul</w:t>
      </w:r>
      <w:r>
        <w:rPr>
          <w:spacing w:val="1"/>
        </w:rPr>
        <w:t xml:space="preserve"> </w:t>
      </w:r>
      <w:r>
        <w:rPr>
          <w:spacing w:val="-1"/>
        </w:rPr>
        <w:t>AP</w:t>
      </w:r>
      <w:r>
        <w:t>s I</w:t>
      </w:r>
      <w:r>
        <w:rPr>
          <w:spacing w:val="-4"/>
        </w:rPr>
        <w:t xml:space="preserve"> </w:t>
      </w:r>
      <w:r>
        <w:t>au fo</w:t>
      </w:r>
      <w:r>
        <w:rPr>
          <w:spacing w:val="-2"/>
        </w:rPr>
        <w:t>s</w:t>
      </w:r>
      <w:r>
        <w:t>t</w:t>
      </w:r>
      <w:r>
        <w:rPr>
          <w:spacing w:val="1"/>
        </w:rPr>
        <w:t xml:space="preserve"> </w:t>
      </w:r>
      <w:r>
        <w:rPr>
          <w:spacing w:val="-2"/>
        </w:rPr>
        <w:t>s</w:t>
      </w:r>
      <w:r>
        <w:rPr>
          <w:spacing w:val="1"/>
        </w:rPr>
        <w:t>i</w:t>
      </w:r>
      <w:r>
        <w:rPr>
          <w:spacing w:val="-4"/>
        </w:rPr>
        <w:t>m</w:t>
      </w:r>
      <w:r>
        <w:rPr>
          <w:spacing w:val="1"/>
        </w:rPr>
        <w:t>il</w:t>
      </w:r>
      <w:r>
        <w:t>are</w:t>
      </w:r>
      <w:r>
        <w:rPr>
          <w:spacing w:val="-2"/>
        </w:rPr>
        <w:t xml:space="preserve"> </w:t>
      </w:r>
      <w:r>
        <w:t>cu</w:t>
      </w:r>
      <w:r>
        <w:rPr>
          <w:spacing w:val="-3"/>
        </w:rPr>
        <w:t xml:space="preserve"> </w:t>
      </w:r>
      <w:r>
        <w:t>şi</w:t>
      </w:r>
      <w:r>
        <w:rPr>
          <w:spacing w:val="1"/>
        </w:rPr>
        <w:t xml:space="preserve"> </w:t>
      </w:r>
      <w:r>
        <w:rPr>
          <w:spacing w:val="-2"/>
        </w:rPr>
        <w:t>f</w:t>
      </w:r>
      <w:r>
        <w:t>ă</w:t>
      </w:r>
      <w:r>
        <w:rPr>
          <w:spacing w:val="-2"/>
        </w:rPr>
        <w:t>r</w:t>
      </w:r>
      <w:r>
        <w:t xml:space="preserve">ă </w:t>
      </w:r>
      <w:r>
        <w:rPr>
          <w:spacing w:val="-2"/>
        </w:rPr>
        <w:t>t</w:t>
      </w:r>
      <w:r>
        <w:t>ra</w:t>
      </w:r>
      <w:r>
        <w:rPr>
          <w:spacing w:val="-2"/>
        </w:rPr>
        <w:t>t</w:t>
      </w:r>
      <w:r>
        <w:t>a</w:t>
      </w:r>
      <w:r>
        <w:rPr>
          <w:spacing w:val="-4"/>
        </w:rPr>
        <w:t>m</w:t>
      </w:r>
      <w:r>
        <w:t>ent</w:t>
      </w:r>
      <w:r>
        <w:rPr>
          <w:spacing w:val="1"/>
        </w:rPr>
        <w:t xml:space="preserve"> </w:t>
      </w:r>
      <w:r>
        <w:t>con</w:t>
      </w:r>
      <w:r>
        <w:rPr>
          <w:spacing w:val="-3"/>
        </w:rPr>
        <w:t>c</w:t>
      </w:r>
      <w:r>
        <w:t>o</w:t>
      </w:r>
      <w:r>
        <w:rPr>
          <w:spacing w:val="-4"/>
        </w:rPr>
        <w:t>m</w:t>
      </w:r>
      <w:r>
        <w:rPr>
          <w:spacing w:val="1"/>
        </w:rPr>
        <w:t>it</w:t>
      </w:r>
      <w:r>
        <w:rPr>
          <w:spacing w:val="-3"/>
        </w:rPr>
        <w:t>e</w:t>
      </w:r>
      <w:r>
        <w:t>nt</w:t>
      </w:r>
      <w:r>
        <w:rPr>
          <w:spacing w:val="1"/>
        </w:rPr>
        <w:t xml:space="preserve"> </w:t>
      </w:r>
      <w:r>
        <w:t xml:space="preserve">cu </w:t>
      </w:r>
      <w:r>
        <w:rPr>
          <w:spacing w:val="-4"/>
        </w:rPr>
        <w:t>m</w:t>
      </w:r>
      <w:r>
        <w:t>e</w:t>
      </w:r>
      <w:r>
        <w:rPr>
          <w:spacing w:val="1"/>
        </w:rPr>
        <w:t>t</w:t>
      </w:r>
      <w:r>
        <w:rPr>
          <w:spacing w:val="-3"/>
        </w:rPr>
        <w:t>o</w:t>
      </w:r>
      <w:r>
        <w:rPr>
          <w:spacing w:val="1"/>
        </w:rPr>
        <w:t>t</w:t>
      </w:r>
      <w:r>
        <w:t>r</w:t>
      </w:r>
      <w:r>
        <w:rPr>
          <w:spacing w:val="-3"/>
        </w:rPr>
        <w:t>e</w:t>
      </w:r>
      <w:r>
        <w:t>xa</w:t>
      </w:r>
      <w:r>
        <w:rPr>
          <w:spacing w:val="1"/>
        </w:rPr>
        <w:t>t</w:t>
      </w:r>
      <w:r>
        <w:t xml:space="preserve">. </w:t>
      </w:r>
      <w:r>
        <w:rPr>
          <w:spacing w:val="-1"/>
        </w:rPr>
        <w:t>R</w:t>
      </w:r>
      <w:r>
        <w:t>ăspuns</w:t>
      </w:r>
      <w:r>
        <w:rPr>
          <w:spacing w:val="-3"/>
        </w:rPr>
        <w:t>u</w:t>
      </w:r>
      <w:r>
        <w:t>r</w:t>
      </w:r>
      <w:r>
        <w:rPr>
          <w:spacing w:val="-2"/>
        </w:rPr>
        <w:t>i</w:t>
      </w:r>
      <w:r>
        <w:rPr>
          <w:spacing w:val="1"/>
        </w:rPr>
        <w:t>l</w:t>
      </w:r>
      <w:r>
        <w:t xml:space="preserve">e </w:t>
      </w:r>
      <w:r>
        <w:rPr>
          <w:spacing w:val="-1"/>
        </w:rPr>
        <w:t>AC</w:t>
      </w:r>
      <w:r>
        <w:t>R</w:t>
      </w:r>
      <w:r>
        <w:rPr>
          <w:spacing w:val="-1"/>
        </w:rPr>
        <w:t xml:space="preserve"> </w:t>
      </w:r>
      <w:r>
        <w:t>s</w:t>
      </w:r>
      <w:r>
        <w:rPr>
          <w:spacing w:val="-4"/>
        </w:rPr>
        <w:t>-</w:t>
      </w:r>
      <w:r>
        <w:t xml:space="preserve">au </w:t>
      </w:r>
      <w:r>
        <w:rPr>
          <w:spacing w:val="-4"/>
        </w:rPr>
        <w:t>m</w:t>
      </w:r>
      <w:r>
        <w:rPr>
          <w:spacing w:val="2"/>
        </w:rPr>
        <w:t>e</w:t>
      </w:r>
      <w:r>
        <w:t>n</w:t>
      </w:r>
      <w:r>
        <w:rPr>
          <w:spacing w:val="1"/>
        </w:rPr>
        <w:t>ţi</w:t>
      </w:r>
      <w:r>
        <w:rPr>
          <w:spacing w:val="-3"/>
        </w:rPr>
        <w:t>n</w:t>
      </w:r>
      <w:r>
        <w:t>ut</w:t>
      </w:r>
      <w:r>
        <w:rPr>
          <w:spacing w:val="-2"/>
        </w:rPr>
        <w:t xml:space="preserve"> </w:t>
      </w:r>
      <w:r>
        <w:rPr>
          <w:spacing w:val="1"/>
        </w:rPr>
        <w:t>î</w:t>
      </w:r>
      <w:r>
        <w:t xml:space="preserve">n </w:t>
      </w:r>
      <w:r>
        <w:rPr>
          <w:spacing w:val="-2"/>
        </w:rPr>
        <w:t>s</w:t>
      </w:r>
      <w:r>
        <w:rPr>
          <w:spacing w:val="1"/>
        </w:rPr>
        <w:t>t</w:t>
      </w:r>
      <w:r>
        <w:t>u</w:t>
      </w:r>
      <w:r>
        <w:rPr>
          <w:spacing w:val="-3"/>
        </w:rPr>
        <w:t>d</w:t>
      </w:r>
      <w:r>
        <w:rPr>
          <w:spacing w:val="1"/>
        </w:rPr>
        <w:t>i</w:t>
      </w:r>
      <w:r>
        <w:t>ul</w:t>
      </w:r>
      <w:r>
        <w:rPr>
          <w:spacing w:val="-2"/>
        </w:rPr>
        <w:t xml:space="preserve"> </w:t>
      </w:r>
      <w:r>
        <w:t>ex</w:t>
      </w:r>
      <w:r>
        <w:rPr>
          <w:spacing w:val="-2"/>
        </w:rPr>
        <w:t>t</w:t>
      </w:r>
      <w:r>
        <w:rPr>
          <w:spacing w:val="1"/>
        </w:rPr>
        <w:t>i</w:t>
      </w:r>
      <w:r>
        <w:t>ns</w:t>
      </w:r>
      <w:r>
        <w:rPr>
          <w:spacing w:val="-2"/>
        </w:rPr>
        <w:t xml:space="preserve"> </w:t>
      </w:r>
      <w:r>
        <w:t>de</w:t>
      </w:r>
      <w:r>
        <w:rPr>
          <w:spacing w:val="-2"/>
        </w:rPr>
        <w:t>s</w:t>
      </w:r>
      <w:r>
        <w:rPr>
          <w:spacing w:val="-3"/>
        </w:rPr>
        <w:t>c</w:t>
      </w:r>
      <w:r>
        <w:t>h</w:t>
      </w:r>
      <w:r>
        <w:rPr>
          <w:spacing w:val="1"/>
        </w:rPr>
        <w:t>i</w:t>
      </w:r>
      <w:r>
        <w:t xml:space="preserve">s </w:t>
      </w:r>
      <w:r>
        <w:rPr>
          <w:spacing w:val="-3"/>
        </w:rPr>
        <w:t>p</w:t>
      </w:r>
      <w:r>
        <w:t>ână</w:t>
      </w:r>
      <w:r>
        <w:rPr>
          <w:spacing w:val="-2"/>
        </w:rPr>
        <w:t xml:space="preserve"> </w:t>
      </w:r>
      <w:r>
        <w:rPr>
          <w:spacing w:val="1"/>
        </w:rPr>
        <w:t>l</w:t>
      </w:r>
      <w:r>
        <w:t>a 1</w:t>
      </w:r>
      <w:r>
        <w:rPr>
          <w:spacing w:val="-3"/>
        </w:rPr>
        <w:t>3</w:t>
      </w:r>
      <w:r>
        <w:t>6 să</w:t>
      </w:r>
      <w:r>
        <w:rPr>
          <w:spacing w:val="-3"/>
        </w:rPr>
        <w:t>p</w:t>
      </w:r>
      <w:r>
        <w:rPr>
          <w:spacing w:val="1"/>
        </w:rPr>
        <w:t>t</w:t>
      </w:r>
      <w:r>
        <w:t>ă</w:t>
      </w:r>
      <w:r>
        <w:rPr>
          <w:spacing w:val="-4"/>
        </w:rPr>
        <w:t>m</w:t>
      </w:r>
      <w:r>
        <w:t>ân</w:t>
      </w:r>
      <w:r>
        <w:rPr>
          <w:spacing w:val="1"/>
        </w:rPr>
        <w:t>i</w:t>
      </w:r>
      <w:r>
        <w:t>.</w:t>
      </w:r>
    </w:p>
    <w:p w14:paraId="1474A5C2" w14:textId="77777777" w:rsidR="00C04CAD" w:rsidRDefault="00C04CAD">
      <w:pPr>
        <w:tabs>
          <w:tab w:val="clear" w:pos="567"/>
        </w:tabs>
        <w:kinsoku w:val="0"/>
        <w:overflowPunct w:val="0"/>
        <w:autoSpaceDE w:val="0"/>
        <w:autoSpaceDN w:val="0"/>
        <w:adjustRightInd w:val="0"/>
        <w:spacing w:line="240" w:lineRule="auto"/>
      </w:pPr>
    </w:p>
    <w:p w14:paraId="5A07CBC8"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e cu</w:t>
      </w:r>
      <w:r>
        <w:rPr>
          <w:spacing w:val="-3"/>
        </w:rPr>
        <w:t xml:space="preserve"> </w:t>
      </w:r>
      <w:r>
        <w:t>p</w:t>
      </w:r>
      <w:r>
        <w:rPr>
          <w:spacing w:val="-2"/>
        </w:rPr>
        <w:t>r</w:t>
      </w:r>
      <w:r>
        <w:rPr>
          <w:spacing w:val="1"/>
        </w:rPr>
        <w:t>i</w:t>
      </w:r>
      <w:r>
        <w:rPr>
          <w:spacing w:val="-3"/>
        </w:rPr>
        <w:t>v</w:t>
      </w:r>
      <w:r>
        <w:rPr>
          <w:spacing w:val="1"/>
        </w:rPr>
        <w:t>i</w:t>
      </w:r>
      <w:r>
        <w:t>re</w:t>
      </w:r>
      <w:r>
        <w:rPr>
          <w:spacing w:val="-2"/>
        </w:rPr>
        <w:t xml:space="preserve"> </w:t>
      </w:r>
      <w:r>
        <w:rPr>
          <w:spacing w:val="1"/>
        </w:rPr>
        <w:t>l</w:t>
      </w:r>
      <w:r>
        <w:t xml:space="preserve">a </w:t>
      </w:r>
      <w:r>
        <w:rPr>
          <w:spacing w:val="-3"/>
        </w:rPr>
        <w:t>a</w:t>
      </w:r>
      <w:r>
        <w:t>r</w:t>
      </w:r>
      <w:r>
        <w:rPr>
          <w:spacing w:val="-2"/>
        </w:rPr>
        <w:t>t</w:t>
      </w:r>
      <w:r>
        <w:t>r</w:t>
      </w:r>
      <w:r>
        <w:rPr>
          <w:spacing w:val="-2"/>
        </w:rPr>
        <w:t>i</w:t>
      </w:r>
      <w:r>
        <w:rPr>
          <w:spacing w:val="1"/>
        </w:rPr>
        <w:t>t</w:t>
      </w:r>
      <w:r>
        <w:t>a p</w:t>
      </w:r>
      <w:r>
        <w:rPr>
          <w:spacing w:val="-2"/>
        </w:rPr>
        <w:t>s</w:t>
      </w:r>
      <w:r>
        <w:t>o</w:t>
      </w:r>
      <w:r>
        <w:rPr>
          <w:spacing w:val="-2"/>
        </w:rPr>
        <w:t>r</w:t>
      </w:r>
      <w:r>
        <w:rPr>
          <w:spacing w:val="1"/>
        </w:rPr>
        <w:t>i</w:t>
      </w:r>
      <w:r>
        <w:t>a</w:t>
      </w:r>
      <w:r>
        <w:rPr>
          <w:spacing w:val="-3"/>
        </w:rPr>
        <w:t>z</w:t>
      </w:r>
      <w:r>
        <w:rPr>
          <w:spacing w:val="1"/>
        </w:rPr>
        <w:t>i</w:t>
      </w:r>
      <w:r>
        <w:t>că</w:t>
      </w:r>
      <w:r>
        <w:rPr>
          <w:spacing w:val="-2"/>
        </w:rPr>
        <w:t xml:space="preserve"> </w:t>
      </w:r>
      <w:r>
        <w:t xml:space="preserve">au </w:t>
      </w:r>
      <w:r>
        <w:rPr>
          <w:spacing w:val="-2"/>
        </w:rPr>
        <w:t>f</w:t>
      </w:r>
      <w:r>
        <w:t>ost</w:t>
      </w:r>
      <w:r>
        <w:rPr>
          <w:spacing w:val="-2"/>
        </w:rPr>
        <w:t xml:space="preserve"> </w:t>
      </w:r>
      <w:r>
        <w:rPr>
          <w:rFonts w:eastAsia="MS Mincho"/>
          <w:szCs w:val="22"/>
          <w:lang w:eastAsia="en-US" w:bidi="ar-SA"/>
        </w:rPr>
        <w:t>evaluate</w:t>
      </w:r>
      <w:r>
        <w:t xml:space="preserve"> </w:t>
      </w:r>
      <w:r>
        <w:rPr>
          <w:spacing w:val="-4"/>
        </w:rPr>
        <w:t>m</w:t>
      </w:r>
      <w:r>
        <w:t>od</w:t>
      </w:r>
      <w:r>
        <w:rPr>
          <w:spacing w:val="1"/>
        </w:rPr>
        <w:t>i</w:t>
      </w:r>
      <w:r>
        <w:rPr>
          <w:spacing w:val="-2"/>
        </w:rPr>
        <w:t>f</w:t>
      </w:r>
      <w:r>
        <w:rPr>
          <w:spacing w:val="1"/>
        </w:rPr>
        <w:t>i</w:t>
      </w:r>
      <w:r>
        <w:t>c</w:t>
      </w:r>
      <w:r>
        <w:rPr>
          <w:spacing w:val="-3"/>
        </w:rPr>
        <w:t>ă</w:t>
      </w:r>
      <w:r>
        <w:t>r</w:t>
      </w:r>
      <w:r>
        <w:rPr>
          <w:spacing w:val="-2"/>
        </w:rPr>
        <w:t>i</w:t>
      </w:r>
      <w:r>
        <w:rPr>
          <w:spacing w:val="1"/>
        </w:rPr>
        <w:t>l</w:t>
      </w:r>
      <w:r>
        <w:t>e</w:t>
      </w:r>
      <w:r>
        <w:rPr>
          <w:spacing w:val="-2"/>
        </w:rPr>
        <w:t xml:space="preserve"> </w:t>
      </w:r>
      <w:r>
        <w:t>ra</w:t>
      </w:r>
      <w:r>
        <w:rPr>
          <w:spacing w:val="-3"/>
        </w:rPr>
        <w:t>d</w:t>
      </w:r>
      <w:r>
        <w:rPr>
          <w:spacing w:val="1"/>
        </w:rPr>
        <w:t>i</w:t>
      </w:r>
      <w:r>
        <w:t>o</w:t>
      </w:r>
      <w:r>
        <w:rPr>
          <w:spacing w:val="-2"/>
        </w:rPr>
        <w:t>l</w:t>
      </w:r>
      <w:r>
        <w:t>o</w:t>
      </w:r>
      <w:r>
        <w:rPr>
          <w:spacing w:val="-3"/>
        </w:rPr>
        <w:t>g</w:t>
      </w:r>
      <w:r>
        <w:rPr>
          <w:spacing w:val="1"/>
        </w:rPr>
        <w:t>i</w:t>
      </w:r>
      <w:r>
        <w:t>c</w:t>
      </w:r>
      <w:r>
        <w:rPr>
          <w:spacing w:val="-3"/>
        </w:rPr>
        <w:t>e</w:t>
      </w:r>
      <w:r>
        <w:t xml:space="preserve">. </w:t>
      </w:r>
      <w:r>
        <w:rPr>
          <w:spacing w:val="-1"/>
        </w:rPr>
        <w:t>S</w:t>
      </w:r>
      <w:r>
        <w:rPr>
          <w:spacing w:val="-4"/>
        </w:rPr>
        <w:t>-</w:t>
      </w:r>
      <w:r>
        <w:t>au efec</w:t>
      </w:r>
      <w:r>
        <w:rPr>
          <w:spacing w:val="1"/>
        </w:rPr>
        <w:t>t</w:t>
      </w:r>
      <w:r>
        <w:rPr>
          <w:spacing w:val="-3"/>
        </w:rPr>
        <w:t>u</w:t>
      </w:r>
      <w:r>
        <w:t>at rad</w:t>
      </w:r>
      <w:r>
        <w:rPr>
          <w:spacing w:val="-2"/>
        </w:rPr>
        <w:t>i</w:t>
      </w:r>
      <w:r>
        <w:t>o</w:t>
      </w:r>
      <w:r>
        <w:rPr>
          <w:spacing w:val="-3"/>
        </w:rPr>
        <w:t>g</w:t>
      </w:r>
      <w:r>
        <w:t>ra</w:t>
      </w:r>
      <w:r>
        <w:rPr>
          <w:spacing w:val="-2"/>
        </w:rPr>
        <w:t>f</w:t>
      </w:r>
      <w:r>
        <w:rPr>
          <w:spacing w:val="1"/>
        </w:rPr>
        <w:t>i</w:t>
      </w:r>
      <w:r>
        <w:t>i</w:t>
      </w:r>
      <w:r>
        <w:rPr>
          <w:spacing w:val="-2"/>
        </w:rPr>
        <w:t xml:space="preserve"> </w:t>
      </w:r>
      <w:r>
        <w:t>a</w:t>
      </w:r>
      <w:r>
        <w:rPr>
          <w:spacing w:val="1"/>
        </w:rPr>
        <w:t>l</w:t>
      </w:r>
      <w:r>
        <w:t xml:space="preserve">e </w:t>
      </w:r>
      <w:r>
        <w:rPr>
          <w:rFonts w:eastAsia="MS Mincho"/>
          <w:spacing w:val="-4"/>
          <w:szCs w:val="22"/>
          <w:lang w:eastAsia="en-US" w:bidi="ar-SA"/>
        </w:rPr>
        <w:t>m</w:t>
      </w:r>
      <w:r>
        <w:rPr>
          <w:rFonts w:eastAsia="MS Mincho"/>
          <w:szCs w:val="22"/>
          <w:lang w:eastAsia="en-US" w:bidi="ar-SA"/>
        </w:rPr>
        <w:t>â</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ilor</w:t>
      </w:r>
      <w:r>
        <w:t xml:space="preserve">, </w:t>
      </w:r>
      <w:r>
        <w:rPr>
          <w:spacing w:val="-2"/>
        </w:rPr>
        <w:t>î</w:t>
      </w:r>
      <w:r>
        <w:t>nch</w:t>
      </w:r>
      <w:r>
        <w:rPr>
          <w:spacing w:val="-3"/>
        </w:rPr>
        <w:t>e</w:t>
      </w:r>
      <w:r>
        <w:rPr>
          <w:spacing w:val="-2"/>
        </w:rPr>
        <w:t>i</w:t>
      </w:r>
      <w:r>
        <w:t>e</w:t>
      </w:r>
      <w:r>
        <w:rPr>
          <w:spacing w:val="1"/>
        </w:rPr>
        <w:t>t</w:t>
      </w:r>
      <w:r>
        <w:t>u</w:t>
      </w:r>
      <w:r>
        <w:rPr>
          <w:spacing w:val="-2"/>
        </w:rPr>
        <w:t>ri</w:t>
      </w:r>
      <w:r>
        <w:rPr>
          <w:spacing w:val="1"/>
        </w:rPr>
        <w:t>l</w:t>
      </w:r>
      <w:r>
        <w:t>or</w:t>
      </w:r>
      <w:r>
        <w:rPr>
          <w:spacing w:val="1"/>
        </w:rPr>
        <w:t xml:space="preserve"> </w:t>
      </w:r>
      <w:r>
        <w:rPr>
          <w:spacing w:val="-4"/>
        </w:rPr>
        <w:t>m</w:t>
      </w:r>
      <w:r>
        <w:t>â</w:t>
      </w:r>
      <w:r>
        <w:rPr>
          <w:spacing w:val="1"/>
        </w:rPr>
        <w:t>i</w:t>
      </w:r>
      <w:r>
        <w:t>n</w:t>
      </w:r>
      <w:r>
        <w:rPr>
          <w:spacing w:val="-2"/>
        </w:rPr>
        <w:t>i</w:t>
      </w:r>
      <w:r>
        <w:t>i</w:t>
      </w:r>
      <w:r>
        <w:rPr>
          <w:spacing w:val="1"/>
        </w:rPr>
        <w:t xml:space="preserve"> </w:t>
      </w:r>
      <w:r>
        <w:rPr>
          <w:spacing w:val="-2"/>
        </w:rPr>
        <w:t>ş</w:t>
      </w:r>
      <w:r>
        <w:t>i</w:t>
      </w:r>
      <w:r>
        <w:rPr>
          <w:spacing w:val="1"/>
        </w:rPr>
        <w:t xml:space="preserve"> </w:t>
      </w:r>
      <w:r>
        <w:rPr>
          <w:spacing w:val="-3"/>
        </w:rPr>
        <w:t>a</w:t>
      </w:r>
      <w:r>
        <w:rPr>
          <w:spacing w:val="1"/>
        </w:rPr>
        <w:t>l</w:t>
      </w:r>
      <w:r>
        <w:t xml:space="preserve">e </w:t>
      </w:r>
      <w:r>
        <w:rPr>
          <w:spacing w:val="-3"/>
        </w:rPr>
        <w:t>p</w:t>
      </w:r>
      <w:r>
        <w:rPr>
          <w:spacing w:val="1"/>
        </w:rPr>
        <w:t>i</w:t>
      </w:r>
      <w:r>
        <w:rPr>
          <w:spacing w:val="-3"/>
        </w:rPr>
        <w:t>c</w:t>
      </w:r>
      <w:r>
        <w:rPr>
          <w:spacing w:val="1"/>
        </w:rPr>
        <w:t>i</w:t>
      </w:r>
      <w:r>
        <w:t>o</w:t>
      </w:r>
      <w:r>
        <w:rPr>
          <w:spacing w:val="-3"/>
        </w:rPr>
        <w:t>a</w:t>
      </w:r>
      <w:r>
        <w:rPr>
          <w:spacing w:val="-2"/>
        </w:rPr>
        <w:t>r</w:t>
      </w:r>
      <w:r>
        <w:t>e</w:t>
      </w:r>
      <w:r>
        <w:rPr>
          <w:spacing w:val="1"/>
        </w:rPr>
        <w:t>l</w:t>
      </w:r>
      <w:r>
        <w:t>or</w:t>
      </w:r>
      <w:r>
        <w:rPr>
          <w:spacing w:val="-2"/>
        </w:rPr>
        <w:t xml:space="preserve"> </w:t>
      </w:r>
      <w:r>
        <w:rPr>
          <w:spacing w:val="1"/>
        </w:rPr>
        <w:t>î</w:t>
      </w:r>
      <w:r>
        <w:t>n</w:t>
      </w:r>
      <w:r>
        <w:rPr>
          <w:spacing w:val="-3"/>
        </w:rPr>
        <w:t xml:space="preserve"> </w:t>
      </w:r>
      <w:r>
        <w:t>fa</w:t>
      </w:r>
      <w:r>
        <w:rPr>
          <w:spacing w:val="-3"/>
        </w:rPr>
        <w:t>z</w:t>
      </w:r>
      <w:r>
        <w:t xml:space="preserve">a </w:t>
      </w:r>
      <w:r>
        <w:rPr>
          <w:spacing w:val="-2"/>
        </w:rPr>
        <w:t>i</w:t>
      </w:r>
      <w:r>
        <w:t>n</w:t>
      </w:r>
      <w:r>
        <w:rPr>
          <w:spacing w:val="-2"/>
        </w:rPr>
        <w:t>i</w:t>
      </w:r>
      <w:r>
        <w:rPr>
          <w:spacing w:val="1"/>
        </w:rPr>
        <w:t>ţi</w:t>
      </w:r>
      <w:r>
        <w:rPr>
          <w:spacing w:val="-3"/>
        </w:rPr>
        <w:t>a</w:t>
      </w:r>
      <w:r>
        <w:rPr>
          <w:spacing w:val="1"/>
        </w:rPr>
        <w:t>l</w:t>
      </w:r>
      <w:r>
        <w:t>ă</w:t>
      </w:r>
      <w:r>
        <w:rPr>
          <w:spacing w:val="-2"/>
        </w:rPr>
        <w:t xml:space="preserve"> </w:t>
      </w:r>
      <w:r>
        <w:t>şi</w:t>
      </w:r>
      <w:r>
        <w:rPr>
          <w:spacing w:val="-2"/>
        </w:rPr>
        <w:t xml:space="preserve"> </w:t>
      </w:r>
      <w:r>
        <w:rPr>
          <w:spacing w:val="1"/>
        </w:rPr>
        <w:t>î</w:t>
      </w:r>
      <w: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24</w:t>
      </w:r>
      <w:r>
        <w:rPr>
          <w:spacing w:val="-3"/>
        </w:rPr>
        <w:t xml:space="preserve"> </w:t>
      </w:r>
      <w:r>
        <w:rPr>
          <w:spacing w:val="1"/>
        </w:rPr>
        <w:t>î</w:t>
      </w:r>
      <w:r>
        <w:t xml:space="preserve">n </w:t>
      </w:r>
      <w:r>
        <w:rPr>
          <w:spacing w:val="1"/>
        </w:rPr>
        <w:t>ti</w:t>
      </w:r>
      <w:r>
        <w:rPr>
          <w:spacing w:val="-4"/>
        </w:rPr>
        <w:t>m</w:t>
      </w:r>
      <w:r>
        <w:t>pul</w:t>
      </w:r>
      <w:r>
        <w:rPr>
          <w:spacing w:val="1"/>
        </w:rPr>
        <w:t xml:space="preserve"> </w:t>
      </w:r>
      <w:r>
        <w:t>p</w:t>
      </w:r>
      <w:r>
        <w:rPr>
          <w:spacing w:val="-3"/>
        </w:rPr>
        <w:t>e</w:t>
      </w:r>
      <w:r>
        <w:t>r</w:t>
      </w:r>
      <w:r>
        <w:rPr>
          <w:spacing w:val="1"/>
        </w:rPr>
        <w:t>i</w:t>
      </w:r>
      <w:r>
        <w:rPr>
          <w:spacing w:val="-3"/>
        </w:rPr>
        <w:t>o</w:t>
      </w:r>
      <w:r>
        <w:t>ad</w:t>
      </w:r>
      <w:r>
        <w:rPr>
          <w:spacing w:val="-3"/>
        </w:rPr>
        <w:t>e</w:t>
      </w:r>
      <w:r>
        <w:t>i</w:t>
      </w:r>
      <w:r>
        <w:rPr>
          <w:spacing w:val="1"/>
        </w:rPr>
        <w:t xml:space="preserve"> </w:t>
      </w:r>
      <w:r>
        <w:t>du</w:t>
      </w:r>
      <w:r>
        <w:rPr>
          <w:spacing w:val="-3"/>
        </w:rPr>
        <w:t>b</w:t>
      </w:r>
      <w:r>
        <w:rPr>
          <w:spacing w:val="1"/>
        </w:rPr>
        <w:t>l</w:t>
      </w:r>
      <w:r>
        <w:t>u</w:t>
      </w:r>
      <w:r>
        <w:rPr>
          <w:spacing w:val="-4"/>
        </w:rPr>
        <w:t>-</w:t>
      </w:r>
      <w:r>
        <w:t>orb a</w:t>
      </w:r>
      <w:r>
        <w:rPr>
          <w:spacing w:val="1"/>
        </w:rPr>
        <w:t>t</w:t>
      </w:r>
      <w:r>
        <w:t>un</w:t>
      </w:r>
      <w:r>
        <w:rPr>
          <w:spacing w:val="-3"/>
        </w:rPr>
        <w:t>c</w:t>
      </w:r>
      <w:r>
        <w:t>i</w:t>
      </w:r>
      <w:r>
        <w:rPr>
          <w:spacing w:val="1"/>
        </w:rPr>
        <w:t xml:space="preserve"> </w:t>
      </w:r>
      <w:r>
        <w:rPr>
          <w:spacing w:val="-3"/>
        </w:rPr>
        <w:t>c</w:t>
      </w:r>
      <w:r>
        <w:t xml:space="preserve">ând </w:t>
      </w:r>
      <w:r>
        <w:rPr>
          <w:spacing w:val="-3"/>
        </w:rPr>
        <w:t>p</w:t>
      </w:r>
      <w:r>
        <w:t>ac</w:t>
      </w:r>
      <w:r>
        <w:rPr>
          <w:spacing w:val="-2"/>
        </w:rPr>
        <w:t>i</w:t>
      </w:r>
      <w:r>
        <w:t>en</w:t>
      </w:r>
      <w:r>
        <w:rPr>
          <w:spacing w:val="-2"/>
        </w:rPr>
        <w:t>ţ</w:t>
      </w:r>
      <w:r>
        <w:rPr>
          <w:spacing w:val="1"/>
        </w:rPr>
        <w:t>i</w:t>
      </w:r>
      <w:r>
        <w:t>i</w:t>
      </w:r>
      <w:r>
        <w:rPr>
          <w:spacing w:val="-2"/>
        </w:rPr>
        <w:t xml:space="preserve"> </w:t>
      </w:r>
      <w:r>
        <w:t>u</w:t>
      </w:r>
      <w:r>
        <w:rPr>
          <w:spacing w:val="-2"/>
        </w:rPr>
        <w:t>t</w:t>
      </w:r>
      <w:r>
        <w:rPr>
          <w:spacing w:val="1"/>
        </w:rPr>
        <w:t>i</w:t>
      </w:r>
      <w:r>
        <w:rPr>
          <w:spacing w:val="-2"/>
        </w:rPr>
        <w:t>l</w:t>
      </w:r>
      <w:r>
        <w:rPr>
          <w:spacing w:val="1"/>
        </w:rPr>
        <w:t>i</w:t>
      </w:r>
      <w:r>
        <w:rPr>
          <w:spacing w:val="-3"/>
        </w:rPr>
        <w:t>z</w:t>
      </w:r>
      <w:r>
        <w:t xml:space="preserve">au </w:t>
      </w:r>
      <w:r>
        <w:rPr>
          <w:rFonts w:eastAsia="MS Mincho"/>
          <w:spacing w:val="-1"/>
          <w:szCs w:val="22"/>
          <w:lang w:eastAsia="en-US" w:bidi="ar-SA"/>
        </w:rPr>
        <w:t>adalimumab</w:t>
      </w:r>
      <w:r>
        <w:t xml:space="preserve"> sau </w:t>
      </w:r>
      <w:r>
        <w:rPr>
          <w:spacing w:val="-3"/>
        </w:rPr>
        <w:t>p</w:t>
      </w:r>
      <w:r>
        <w:rPr>
          <w:spacing w:val="1"/>
        </w:rPr>
        <w:t>l</w:t>
      </w:r>
      <w:r>
        <w:t>a</w:t>
      </w:r>
      <w:r>
        <w:rPr>
          <w:spacing w:val="-3"/>
        </w:rPr>
        <w:t>c</w:t>
      </w:r>
      <w:r>
        <w:t>ebo</w:t>
      </w:r>
      <w:r>
        <w:rPr>
          <w:spacing w:val="-3"/>
        </w:rPr>
        <w:t xml:space="preserve"> </w:t>
      </w:r>
      <w:r>
        <w:t>şi</w:t>
      </w:r>
      <w:r>
        <w:rPr>
          <w:spacing w:val="-2"/>
        </w:rPr>
        <w:t xml:space="preserve"> </w:t>
      </w:r>
      <w:r>
        <w:rPr>
          <w:spacing w:val="1"/>
        </w:rPr>
        <w:t>î</w:t>
      </w:r>
      <w:r>
        <w:t>n</w:t>
      </w:r>
      <w:r>
        <w:rPr>
          <w:spacing w:val="-3"/>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48 a</w:t>
      </w:r>
      <w:r>
        <w:rPr>
          <w:spacing w:val="1"/>
        </w:rPr>
        <w:t>t</w:t>
      </w:r>
      <w:r>
        <w:t>un</w:t>
      </w:r>
      <w:r>
        <w:rPr>
          <w:spacing w:val="-3"/>
        </w:rPr>
        <w:t>c</w:t>
      </w:r>
      <w:r>
        <w:t>i</w:t>
      </w:r>
      <w:r>
        <w:rPr>
          <w:spacing w:val="1"/>
        </w:rPr>
        <w:t xml:space="preserve"> </w:t>
      </w:r>
      <w:r>
        <w:rPr>
          <w:spacing w:val="-3"/>
        </w:rPr>
        <w:t>c</w:t>
      </w:r>
      <w:r>
        <w:t>ând</w:t>
      </w:r>
      <w:r>
        <w:rPr>
          <w:spacing w:val="-3"/>
        </w:rPr>
        <w:t xml:space="preserve"> </w:t>
      </w:r>
      <w:r>
        <w:rPr>
          <w:spacing w:val="1"/>
        </w:rPr>
        <w:t>t</w:t>
      </w:r>
      <w:r>
        <w:t>o</w:t>
      </w:r>
      <w:r>
        <w:rPr>
          <w:spacing w:val="-2"/>
        </w:rPr>
        <w:t>ţ</w:t>
      </w:r>
      <w:r>
        <w:t>i</w:t>
      </w:r>
      <w:r>
        <w:rPr>
          <w:spacing w:val="1"/>
        </w:rPr>
        <w:t xml:space="preserve"> </w:t>
      </w:r>
      <w:r>
        <w:t>p</w:t>
      </w:r>
      <w:r>
        <w:rPr>
          <w:spacing w:val="-3"/>
        </w:rPr>
        <w:t>a</w:t>
      </w:r>
      <w:r>
        <w:t>c</w:t>
      </w:r>
      <w:r>
        <w:rPr>
          <w:spacing w:val="-2"/>
        </w:rPr>
        <w:t>i</w:t>
      </w:r>
      <w:r>
        <w:t>en</w:t>
      </w:r>
      <w:r>
        <w:rPr>
          <w:spacing w:val="-2"/>
        </w:rPr>
        <w:t>ţ</w:t>
      </w:r>
      <w:r>
        <w:rPr>
          <w:spacing w:val="1"/>
        </w:rPr>
        <w:t>i</w:t>
      </w:r>
      <w:r>
        <w:t>i</w:t>
      </w:r>
      <w:r>
        <w:rPr>
          <w:spacing w:val="-2"/>
        </w:rPr>
        <w:t xml:space="preserve"> </w:t>
      </w:r>
      <w:r>
        <w:t>e</w:t>
      </w:r>
      <w:r>
        <w:rPr>
          <w:spacing w:val="-2"/>
        </w:rPr>
        <w:t>r</w:t>
      </w:r>
      <w:r>
        <w:t xml:space="preserve">au </w:t>
      </w:r>
      <w:r>
        <w:rPr>
          <w:spacing w:val="1"/>
        </w:rPr>
        <w:t>î</w:t>
      </w:r>
      <w:r>
        <w:t xml:space="preserve">n </w:t>
      </w:r>
      <w:r>
        <w:rPr>
          <w:spacing w:val="-3"/>
        </w:rPr>
        <w:t>p</w:t>
      </w:r>
      <w:r>
        <w:t>e</w:t>
      </w:r>
      <w:r>
        <w:rPr>
          <w:spacing w:val="-2"/>
        </w:rPr>
        <w:t>r</w:t>
      </w:r>
      <w:r>
        <w:rPr>
          <w:spacing w:val="1"/>
        </w:rPr>
        <w:t>i</w:t>
      </w:r>
      <w:r>
        <w:t>oa</w:t>
      </w:r>
      <w:r>
        <w:rPr>
          <w:spacing w:val="-3"/>
        </w:rPr>
        <w:t>d</w:t>
      </w:r>
      <w:r>
        <w:t>a d</w:t>
      </w:r>
      <w:r>
        <w:rPr>
          <w:spacing w:val="-3"/>
        </w:rPr>
        <w:t>e</w:t>
      </w:r>
      <w:r>
        <w:t>sc</w:t>
      </w:r>
      <w:r>
        <w:rPr>
          <w:spacing w:val="-3"/>
        </w:rPr>
        <w:t>h</w:t>
      </w:r>
      <w:r>
        <w:rPr>
          <w:spacing w:val="1"/>
        </w:rPr>
        <w:t>i</w:t>
      </w:r>
      <w:r>
        <w:t>să</w:t>
      </w:r>
      <w:r>
        <w:rPr>
          <w:spacing w:val="-2"/>
        </w:rPr>
        <w:t xml:space="preserve"> </w:t>
      </w:r>
      <w:r>
        <w:t>cu</w:t>
      </w:r>
      <w:r>
        <w:rPr>
          <w:spacing w:val="-3"/>
        </w:rPr>
        <w:t xml:space="preserve"> </w:t>
      </w:r>
      <w:r>
        <w:rPr>
          <w:rFonts w:eastAsia="MS Mincho"/>
          <w:spacing w:val="-1"/>
          <w:szCs w:val="22"/>
          <w:lang w:eastAsia="en-US" w:bidi="ar-SA"/>
        </w:rPr>
        <w:t>adalimumab</w:t>
      </w:r>
      <w:r>
        <w:t>. A</w:t>
      </w:r>
      <w:r>
        <w:rPr>
          <w:spacing w:val="-1"/>
        </w:rPr>
        <w:t xml:space="preserve"> </w:t>
      </w:r>
      <w:r>
        <w:t>fost</w:t>
      </w:r>
      <w:r>
        <w:rPr>
          <w:spacing w:val="-2"/>
        </w:rPr>
        <w:t xml:space="preserve"> </w:t>
      </w:r>
      <w:r>
        <w:t>u</w:t>
      </w:r>
      <w:r>
        <w:rPr>
          <w:spacing w:val="-2"/>
        </w:rPr>
        <w:t>t</w:t>
      </w:r>
      <w:r>
        <w:rPr>
          <w:spacing w:val="1"/>
        </w:rPr>
        <w:t>i</w:t>
      </w:r>
      <w:r>
        <w:rPr>
          <w:spacing w:val="-2"/>
        </w:rPr>
        <w:t>l</w:t>
      </w:r>
      <w:r>
        <w:rPr>
          <w:spacing w:val="1"/>
        </w:rPr>
        <w:t>i</w:t>
      </w:r>
      <w:r>
        <w:rPr>
          <w:spacing w:val="-3"/>
        </w:rPr>
        <w:t>z</w:t>
      </w:r>
      <w:r>
        <w:t>at</w:t>
      </w:r>
      <w:r>
        <w:rPr>
          <w:spacing w:val="1"/>
        </w:rPr>
        <w:t xml:space="preserve"> </w:t>
      </w:r>
      <w:r>
        <w:t>un</w:t>
      </w:r>
      <w:r>
        <w:rPr>
          <w:spacing w:val="-3"/>
        </w:rPr>
        <w:t xml:space="preserve"> S</w:t>
      </w:r>
      <w:r>
        <w:t>cor</w:t>
      </w:r>
      <w:r>
        <w:rPr>
          <w:spacing w:val="1"/>
        </w:rPr>
        <w:t xml:space="preserve"> </w:t>
      </w:r>
      <w:r>
        <w:rPr>
          <w:spacing w:val="-1"/>
        </w:rPr>
        <w:t>S</w:t>
      </w:r>
      <w:r>
        <w:rPr>
          <w:spacing w:val="-3"/>
        </w:rPr>
        <w:t>h</w:t>
      </w:r>
      <w:r>
        <w:t>arp</w:t>
      </w:r>
      <w:r>
        <w:rPr>
          <w:spacing w:val="-3"/>
        </w:rPr>
        <w:t xml:space="preserve"> </w:t>
      </w:r>
      <w:r>
        <w:rPr>
          <w:spacing w:val="1"/>
        </w:rPr>
        <w:t>T</w:t>
      </w:r>
      <w:r>
        <w:rPr>
          <w:spacing w:val="-3"/>
        </w:rPr>
        <w:t>o</w:t>
      </w:r>
      <w:r>
        <w:rPr>
          <w:spacing w:val="1"/>
        </w:rPr>
        <w:t>t</w:t>
      </w:r>
      <w:r>
        <w:rPr>
          <w:spacing w:val="-3"/>
        </w:rPr>
        <w:t>a</w:t>
      </w:r>
      <w:r>
        <w:t xml:space="preserve">l </w:t>
      </w:r>
      <w:r>
        <w:rPr>
          <w:spacing w:val="-4"/>
        </w:rPr>
        <w:t>m</w:t>
      </w:r>
      <w:r>
        <w:t>od</w:t>
      </w:r>
      <w:r>
        <w:rPr>
          <w:spacing w:val="1"/>
        </w:rPr>
        <w:t>i</w:t>
      </w:r>
      <w:r>
        <w:t>f</w:t>
      </w:r>
      <w:r>
        <w:rPr>
          <w:spacing w:val="1"/>
        </w:rPr>
        <w:t>i</w:t>
      </w:r>
      <w:r>
        <w:t>c</w:t>
      </w:r>
      <w:r>
        <w:rPr>
          <w:spacing w:val="-3"/>
        </w:rPr>
        <w:t>a</w:t>
      </w:r>
      <w:r>
        <w:t>t</w:t>
      </w:r>
      <w:r>
        <w:rPr>
          <w:spacing w:val="1"/>
        </w:rPr>
        <w:t xml:space="preserve"> </w:t>
      </w:r>
      <w:r>
        <w:t>(</w:t>
      </w:r>
      <w:r>
        <w:rPr>
          <w:spacing w:val="-1"/>
        </w:rPr>
        <w:t>S</w:t>
      </w:r>
      <w:r>
        <w:rPr>
          <w:spacing w:val="-3"/>
        </w:rPr>
        <w:t>S</w:t>
      </w:r>
      <w:r>
        <w:rPr>
          <w:spacing w:val="1"/>
        </w:rPr>
        <w:t>T</w:t>
      </w:r>
      <w:r>
        <w:rPr>
          <w:spacing w:val="-4"/>
        </w:rPr>
        <w:t>m</w:t>
      </w:r>
      <w:r>
        <w:t>)</w:t>
      </w:r>
      <w:r>
        <w:rPr>
          <w:spacing w:val="1"/>
        </w:rPr>
        <w:t xml:space="preserve"> </w:t>
      </w:r>
      <w:r>
        <w:t>c</w:t>
      </w:r>
      <w:r>
        <w:rPr>
          <w:spacing w:val="-3"/>
        </w:rPr>
        <w:t>a</w:t>
      </w:r>
      <w:r>
        <w:t>re a</w:t>
      </w:r>
      <w:r>
        <w:rPr>
          <w:spacing w:val="-2"/>
        </w:rPr>
        <w:t xml:space="preserve"> </w:t>
      </w:r>
      <w:r>
        <w:rPr>
          <w:spacing w:val="1"/>
        </w:rPr>
        <w:t>i</w:t>
      </w:r>
      <w:r>
        <w:rPr>
          <w:spacing w:val="-3"/>
        </w:rPr>
        <w:t>n</w:t>
      </w:r>
      <w:r>
        <w:t>c</w:t>
      </w:r>
      <w:r>
        <w:rPr>
          <w:spacing w:val="1"/>
        </w:rPr>
        <w:t>l</w:t>
      </w:r>
      <w:r>
        <w:t>us</w:t>
      </w:r>
      <w:r>
        <w:rPr>
          <w:spacing w:val="-2"/>
        </w:rPr>
        <w:t xml:space="preserve"> </w:t>
      </w:r>
      <w:r>
        <w:t>a</w:t>
      </w:r>
      <w:r>
        <w:rPr>
          <w:spacing w:val="-2"/>
        </w:rPr>
        <w:t>r</w:t>
      </w:r>
      <w:r>
        <w:rPr>
          <w:spacing w:val="1"/>
        </w:rPr>
        <w:t>t</w:t>
      </w:r>
      <w:r>
        <w:rPr>
          <w:spacing w:val="-2"/>
        </w:rPr>
        <w:t>i</w:t>
      </w:r>
      <w:r>
        <w:t>cu</w:t>
      </w:r>
      <w:r>
        <w:rPr>
          <w:spacing w:val="-2"/>
        </w:rPr>
        <w:t>l</w:t>
      </w:r>
      <w:r>
        <w:t>a</w:t>
      </w:r>
      <w:r>
        <w:rPr>
          <w:spacing w:val="-2"/>
        </w:rPr>
        <w:t>ţ</w:t>
      </w:r>
      <w:r>
        <w:rPr>
          <w:spacing w:val="1"/>
        </w:rPr>
        <w:t>i</w:t>
      </w:r>
      <w:r>
        <w:rPr>
          <w:spacing w:val="-2"/>
        </w:rPr>
        <w:t>i</w:t>
      </w:r>
      <w:r>
        <w:rPr>
          <w:spacing w:val="1"/>
        </w:rPr>
        <w:t>l</w:t>
      </w:r>
      <w:r>
        <w:t>e</w:t>
      </w:r>
      <w:r>
        <w:rPr>
          <w:spacing w:val="-2"/>
        </w:rPr>
        <w:t xml:space="preserve"> </w:t>
      </w:r>
      <w:r>
        <w:rPr>
          <w:spacing w:val="1"/>
        </w:rPr>
        <w:t>i</w:t>
      </w:r>
      <w:r>
        <w:t>n</w:t>
      </w:r>
      <w:r>
        <w:rPr>
          <w:spacing w:val="-2"/>
        </w:rPr>
        <w:t>t</w:t>
      </w:r>
      <w:r>
        <w:t>e</w:t>
      </w:r>
      <w:r>
        <w:rPr>
          <w:spacing w:val="-2"/>
        </w:rPr>
        <w:t>r</w:t>
      </w:r>
      <w:r>
        <w:t>fa</w:t>
      </w:r>
      <w:r>
        <w:rPr>
          <w:spacing w:val="-2"/>
        </w:rPr>
        <w:t>l</w:t>
      </w:r>
      <w:r>
        <w:t>an</w:t>
      </w:r>
      <w:r>
        <w:rPr>
          <w:spacing w:val="-3"/>
        </w:rPr>
        <w:t>g</w:t>
      </w:r>
      <w:r>
        <w:rPr>
          <w:spacing w:val="1"/>
        </w:rPr>
        <w:t>i</w:t>
      </w:r>
      <w:r>
        <w:t>ene</w:t>
      </w:r>
      <w:r>
        <w:rPr>
          <w:spacing w:val="-2"/>
        </w:rPr>
        <w:t xml:space="preserve"> </w:t>
      </w:r>
      <w:r>
        <w:t>d</w:t>
      </w:r>
      <w:r>
        <w:rPr>
          <w:spacing w:val="1"/>
        </w:rPr>
        <w:t>i</w:t>
      </w:r>
      <w:r>
        <w:rPr>
          <w:spacing w:val="-2"/>
        </w:rPr>
        <w:t>s</w:t>
      </w:r>
      <w:r>
        <w:rPr>
          <w:spacing w:val="1"/>
        </w:rPr>
        <w:t>t</w:t>
      </w:r>
      <w:r>
        <w:rPr>
          <w:spacing w:val="-3"/>
        </w:rPr>
        <w:t>a</w:t>
      </w:r>
      <w:r>
        <w:rPr>
          <w:spacing w:val="1"/>
        </w:rPr>
        <w:t>l</w:t>
      </w:r>
      <w:r>
        <w:t>e</w:t>
      </w:r>
      <w:r>
        <w:rPr>
          <w:spacing w:val="-2"/>
        </w:rPr>
        <w:t xml:space="preserve"> </w:t>
      </w:r>
      <w:r>
        <w:t>(de</w:t>
      </w:r>
      <w:r>
        <w:rPr>
          <w:spacing w:val="-2"/>
        </w:rPr>
        <w:t xml:space="preserve"> </w:t>
      </w:r>
      <w:r>
        <w:t>exe</w:t>
      </w:r>
      <w:r>
        <w:rPr>
          <w:spacing w:val="-4"/>
        </w:rPr>
        <w:t>m</w:t>
      </w:r>
      <w:r>
        <w:t>p</w:t>
      </w:r>
      <w:r>
        <w:rPr>
          <w:spacing w:val="1"/>
        </w:rPr>
        <w:t>l</w:t>
      </w:r>
      <w:r>
        <w:t xml:space="preserve">u, </w:t>
      </w:r>
      <w:r>
        <w:rPr>
          <w:spacing w:val="-3"/>
        </w:rPr>
        <w:t>n</w:t>
      </w:r>
      <w:r>
        <w:t>u es</w:t>
      </w:r>
      <w:r>
        <w:rPr>
          <w:spacing w:val="-2"/>
        </w:rPr>
        <w:t>t</w:t>
      </w:r>
      <w:r>
        <w:t xml:space="preserve">e </w:t>
      </w:r>
      <w:r>
        <w:rPr>
          <w:spacing w:val="1"/>
        </w:rPr>
        <w:t>i</w:t>
      </w:r>
      <w:r>
        <w:rPr>
          <w:spacing w:val="-3"/>
        </w:rPr>
        <w:t>d</w:t>
      </w:r>
      <w:r>
        <w:t>en</w:t>
      </w:r>
      <w:r>
        <w:rPr>
          <w:spacing w:val="-2"/>
        </w:rPr>
        <w:t>t</w:t>
      </w:r>
      <w:r>
        <w:rPr>
          <w:spacing w:val="1"/>
        </w:rPr>
        <w:t>i</w:t>
      </w:r>
      <w:r>
        <w:t>c</w:t>
      </w:r>
      <w:r>
        <w:rPr>
          <w:spacing w:val="-2"/>
        </w:rPr>
        <w:t xml:space="preserve"> </w:t>
      </w:r>
      <w:r>
        <w:t xml:space="preserve">cu </w:t>
      </w:r>
      <w:r>
        <w:rPr>
          <w:spacing w:val="-1"/>
        </w:rPr>
        <w:t>SS</w:t>
      </w:r>
      <w:r>
        <w:t>T</w:t>
      </w:r>
      <w:r>
        <w:rPr>
          <w:spacing w:val="2"/>
        </w:rPr>
        <w:t xml:space="preserve"> </w:t>
      </w:r>
      <w:r>
        <w:rPr>
          <w:spacing w:val="-3"/>
        </w:rPr>
        <w:t>u</w:t>
      </w:r>
      <w:r>
        <w:rPr>
          <w:spacing w:val="1"/>
        </w:rPr>
        <w:t>t</w:t>
      </w:r>
      <w:r>
        <w:rPr>
          <w:spacing w:val="-2"/>
        </w:rPr>
        <w:t>i</w:t>
      </w:r>
      <w:r>
        <w:rPr>
          <w:spacing w:val="1"/>
        </w:rPr>
        <w:t>li</w:t>
      </w:r>
      <w:r>
        <w:rPr>
          <w:spacing w:val="-3"/>
        </w:rPr>
        <w:t>za</w:t>
      </w:r>
      <w:r>
        <w:t>t</w:t>
      </w:r>
      <w:r>
        <w:rPr>
          <w:spacing w:val="1"/>
        </w:rPr>
        <w:t xml:space="preserve"> </w:t>
      </w:r>
      <w:r>
        <w:t>pe</w:t>
      </w:r>
      <w:r>
        <w:rPr>
          <w:spacing w:val="-3"/>
        </w:rPr>
        <w:t>n</w:t>
      </w:r>
      <w:r>
        <w:rPr>
          <w:spacing w:val="1"/>
        </w:rPr>
        <w:t>t</w:t>
      </w:r>
      <w:r>
        <w:t>ru</w:t>
      </w:r>
      <w:r>
        <w:rPr>
          <w:spacing w:val="-3"/>
        </w:rPr>
        <w:t xml:space="preserve"> </w:t>
      </w:r>
      <w:r>
        <w:t>a</w:t>
      </w:r>
      <w:r>
        <w:rPr>
          <w:spacing w:val="-2"/>
        </w:rPr>
        <w:t>r</w:t>
      </w:r>
      <w:r>
        <w:rPr>
          <w:spacing w:val="1"/>
        </w:rPr>
        <w:t>t</w:t>
      </w:r>
      <w:r>
        <w:rPr>
          <w:spacing w:val="-2"/>
        </w:rPr>
        <w:t>r</w:t>
      </w:r>
      <w:r>
        <w:rPr>
          <w:spacing w:val="1"/>
        </w:rPr>
        <w:t>i</w:t>
      </w:r>
      <w:r>
        <w:rPr>
          <w:spacing w:val="-2"/>
        </w:rPr>
        <w:t>t</w:t>
      </w:r>
      <w:r>
        <w:t xml:space="preserve">a </w:t>
      </w:r>
      <w:r>
        <w:rPr>
          <w:spacing w:val="-2"/>
        </w:rPr>
        <w:t>r</w:t>
      </w:r>
      <w:r>
        <w:t>eu</w:t>
      </w:r>
      <w:r>
        <w:rPr>
          <w:spacing w:val="-4"/>
        </w:rPr>
        <w:t>m</w:t>
      </w:r>
      <w:r>
        <w:t>a</w:t>
      </w:r>
      <w:r>
        <w:rPr>
          <w:spacing w:val="1"/>
        </w:rPr>
        <w:t>t</w:t>
      </w:r>
      <w:r>
        <w:t>o</w:t>
      </w:r>
      <w:r>
        <w:rPr>
          <w:spacing w:val="1"/>
        </w:rPr>
        <w:t>i</w:t>
      </w:r>
      <w:r>
        <w:t>d</w:t>
      </w:r>
      <w:r>
        <w:rPr>
          <w:spacing w:val="-3"/>
        </w:rPr>
        <w:t>ă</w:t>
      </w:r>
      <w:r>
        <w:t>).</w:t>
      </w:r>
    </w:p>
    <w:p w14:paraId="78219C5B" w14:textId="77777777" w:rsidR="00C04CAD" w:rsidRDefault="00C04CAD">
      <w:pPr>
        <w:tabs>
          <w:tab w:val="clear" w:pos="567"/>
        </w:tabs>
        <w:kinsoku w:val="0"/>
        <w:overflowPunct w:val="0"/>
        <w:autoSpaceDE w:val="0"/>
        <w:autoSpaceDN w:val="0"/>
        <w:adjustRightInd w:val="0"/>
        <w:spacing w:line="240" w:lineRule="auto"/>
      </w:pPr>
    </w:p>
    <w:p w14:paraId="3C78540F" w14:textId="77777777" w:rsidR="00C04CAD" w:rsidRDefault="00060E34">
      <w:pPr>
        <w:tabs>
          <w:tab w:val="clear" w:pos="567"/>
        </w:tabs>
        <w:kinsoku w:val="0"/>
        <w:overflowPunct w:val="0"/>
        <w:autoSpaceDE w:val="0"/>
        <w:autoSpaceDN w:val="0"/>
        <w:adjustRightInd w:val="0"/>
        <w:spacing w:line="240" w:lineRule="auto"/>
      </w:pPr>
      <w:r>
        <w:rPr>
          <w:spacing w:val="1"/>
        </w:rPr>
        <w:t>T</w:t>
      </w:r>
      <w:r>
        <w:rPr>
          <w:spacing w:val="-2"/>
        </w:rPr>
        <w:t>r</w:t>
      </w:r>
      <w:r>
        <w:t>a</w:t>
      </w:r>
      <w:r>
        <w:rPr>
          <w:spacing w:val="-2"/>
        </w:rPr>
        <w:t>t</w:t>
      </w:r>
      <w:r>
        <w:t>a</w:t>
      </w:r>
      <w:r>
        <w:rPr>
          <w:spacing w:val="-4"/>
        </w:rPr>
        <w:t>m</w:t>
      </w:r>
      <w:r>
        <w:t>en</w:t>
      </w:r>
      <w:r>
        <w:rPr>
          <w:spacing w:val="1"/>
        </w:rPr>
        <w:t>t</w:t>
      </w:r>
      <w:r>
        <w:t>ul</w:t>
      </w:r>
      <w:r>
        <w:rPr>
          <w:spacing w:val="1"/>
        </w:rPr>
        <w:t xml:space="preserve"> </w:t>
      </w:r>
      <w:r>
        <w:rPr>
          <w:spacing w:val="-3"/>
        </w:rPr>
        <w:t>c</w:t>
      </w:r>
      <w:r>
        <w:t xml:space="preserve">u </w:t>
      </w:r>
      <w:r>
        <w:rPr>
          <w:rFonts w:eastAsia="MS Mincho"/>
          <w:spacing w:val="-1"/>
          <w:szCs w:val="22"/>
          <w:lang w:eastAsia="en-US" w:bidi="ar-SA"/>
        </w:rPr>
        <w:t>adalimumab</w:t>
      </w:r>
      <w:r>
        <w:t xml:space="preserve"> a</w:t>
      </w:r>
      <w:r>
        <w:rPr>
          <w:spacing w:val="-2"/>
        </w:rPr>
        <w:t xml:space="preserve"> </w:t>
      </w:r>
      <w:r>
        <w:t>r</w:t>
      </w:r>
      <w:r>
        <w:rPr>
          <w:spacing w:val="-3"/>
        </w:rPr>
        <w:t>e</w:t>
      </w:r>
      <w:r>
        <w:t xml:space="preserve">dus </w:t>
      </w:r>
      <w:r>
        <w:rPr>
          <w:spacing w:val="-2"/>
        </w:rPr>
        <w:t>r</w:t>
      </w:r>
      <w:r>
        <w:t>a</w:t>
      </w:r>
      <w:r>
        <w:rPr>
          <w:spacing w:val="1"/>
        </w:rPr>
        <w:t>t</w:t>
      </w:r>
      <w:r>
        <w:t>a</w:t>
      </w:r>
      <w:r>
        <w:rPr>
          <w:spacing w:val="-2"/>
        </w:rPr>
        <w:t xml:space="preserve"> </w:t>
      </w:r>
      <w:r>
        <w:t>pro</w:t>
      </w:r>
      <w:r>
        <w:rPr>
          <w:spacing w:val="-3"/>
        </w:rPr>
        <w:t>g</w:t>
      </w:r>
      <w:r>
        <w:t>r</w:t>
      </w:r>
      <w:r>
        <w:rPr>
          <w:spacing w:val="-3"/>
        </w:rPr>
        <w:t>e</w:t>
      </w:r>
      <w:r>
        <w:t>s</w:t>
      </w:r>
      <w:r>
        <w:rPr>
          <w:spacing w:val="1"/>
        </w:rPr>
        <w:t>i</w:t>
      </w:r>
      <w:r>
        <w:rPr>
          <w:spacing w:val="-3"/>
        </w:rPr>
        <w:t>e</w:t>
      </w:r>
      <w:r>
        <w:t>i</w:t>
      </w:r>
      <w:r>
        <w:rPr>
          <w:spacing w:val="1"/>
        </w:rPr>
        <w:t xml:space="preserve"> </w:t>
      </w:r>
      <w:r>
        <w:rPr>
          <w:spacing w:val="-4"/>
        </w:rPr>
        <w:t>m</w:t>
      </w:r>
      <w:r>
        <w:t>od</w:t>
      </w:r>
      <w:r>
        <w:rPr>
          <w:spacing w:val="1"/>
        </w:rPr>
        <w:t>i</w:t>
      </w:r>
      <w:r>
        <w:rPr>
          <w:spacing w:val="-2"/>
        </w:rPr>
        <w:t>f</w:t>
      </w:r>
      <w:r>
        <w:rPr>
          <w:spacing w:val="1"/>
        </w:rPr>
        <w:t>i</w:t>
      </w:r>
      <w:r>
        <w:rPr>
          <w:spacing w:val="-3"/>
        </w:rPr>
        <w:t>c</w:t>
      </w:r>
      <w:r>
        <w:t>ăr</w:t>
      </w:r>
      <w:r>
        <w:rPr>
          <w:spacing w:val="-2"/>
        </w:rPr>
        <w:t>i</w:t>
      </w:r>
      <w:r>
        <w:rPr>
          <w:spacing w:val="1"/>
        </w:rPr>
        <w:t>l</w:t>
      </w:r>
      <w:r>
        <w:t>or</w:t>
      </w:r>
      <w:r>
        <w:rPr>
          <w:spacing w:val="-2"/>
        </w:rPr>
        <w:t xml:space="preserve"> </w:t>
      </w:r>
      <w:r>
        <w:t>a</w:t>
      </w:r>
      <w:r>
        <w:rPr>
          <w:spacing w:val="-2"/>
        </w:rPr>
        <w:t>r</w:t>
      </w:r>
      <w:r>
        <w:rPr>
          <w:spacing w:val="1"/>
        </w:rPr>
        <w:t>t</w:t>
      </w:r>
      <w:r>
        <w:rPr>
          <w:spacing w:val="-2"/>
        </w:rPr>
        <w:t>i</w:t>
      </w:r>
      <w:r>
        <w:t>cu</w:t>
      </w:r>
      <w:r>
        <w:rPr>
          <w:spacing w:val="-2"/>
        </w:rPr>
        <w:t>l</w:t>
      </w:r>
      <w:r>
        <w:t>are</w:t>
      </w:r>
      <w:r>
        <w:rPr>
          <w:spacing w:val="-2"/>
        </w:rPr>
        <w:t xml:space="preserve"> </w:t>
      </w:r>
      <w:r>
        <w:rPr>
          <w:spacing w:val="-1"/>
        </w:rPr>
        <w:t>p</w:t>
      </w:r>
      <w:r>
        <w:rPr>
          <w:spacing w:val="-3"/>
        </w:rPr>
        <w:t>e</w:t>
      </w:r>
      <w:r>
        <w:t>r</w:t>
      </w:r>
      <w:r>
        <w:rPr>
          <w:spacing w:val="-2"/>
        </w:rPr>
        <w:t>i</w:t>
      </w:r>
      <w:r>
        <w:t>fe</w:t>
      </w:r>
      <w:r>
        <w:rPr>
          <w:spacing w:val="-2"/>
        </w:rPr>
        <w:t>r</w:t>
      </w:r>
      <w:r>
        <w:rPr>
          <w:spacing w:val="1"/>
        </w:rPr>
        <w:t>i</w:t>
      </w:r>
      <w:r>
        <w:t>ce</w:t>
      </w:r>
      <w:r>
        <w:rPr>
          <w:spacing w:val="-2"/>
        </w:rPr>
        <w:t xml:space="preserve"> </w:t>
      </w:r>
      <w:r>
        <w:rPr>
          <w:spacing w:val="-3"/>
        </w:rPr>
        <w:t>c</w:t>
      </w:r>
      <w:r>
        <w:t>o</w:t>
      </w:r>
      <w:r>
        <w:rPr>
          <w:spacing w:val="-4"/>
        </w:rPr>
        <w:t>m</w:t>
      </w:r>
      <w:r>
        <w:t>para</w:t>
      </w:r>
      <w:r>
        <w:rPr>
          <w:spacing w:val="1"/>
        </w:rPr>
        <w:t>ti</w:t>
      </w:r>
      <w:r>
        <w:t>v</w:t>
      </w:r>
      <w:r>
        <w:rPr>
          <w:spacing w:val="-3"/>
        </w:rPr>
        <w:t xml:space="preserve"> </w:t>
      </w:r>
      <w:r>
        <w:t>cu ad</w:t>
      </w:r>
      <w:r>
        <w:rPr>
          <w:spacing w:val="-4"/>
        </w:rPr>
        <w:t>m</w:t>
      </w:r>
      <w:r>
        <w:rPr>
          <w:spacing w:val="1"/>
        </w:rPr>
        <w:t>i</w:t>
      </w:r>
      <w:r>
        <w:t>n</w:t>
      </w:r>
      <w:r>
        <w:rPr>
          <w:spacing w:val="1"/>
        </w:rPr>
        <w:t>i</w:t>
      </w:r>
      <w:r>
        <w:t>s</w:t>
      </w:r>
      <w:r>
        <w:rPr>
          <w:spacing w:val="-2"/>
        </w:rPr>
        <w:t>t</w:t>
      </w:r>
      <w:r>
        <w:t>ra</w:t>
      </w:r>
      <w:r>
        <w:rPr>
          <w:spacing w:val="-2"/>
        </w:rPr>
        <w:t>r</w:t>
      </w:r>
      <w:r>
        <w:t xml:space="preserve">ea </w:t>
      </w:r>
      <w:r>
        <w:rPr>
          <w:spacing w:val="-3"/>
        </w:rPr>
        <w:t>d</w:t>
      </w:r>
      <w:r>
        <w:t>e p</w:t>
      </w:r>
      <w:r>
        <w:rPr>
          <w:spacing w:val="-2"/>
        </w:rPr>
        <w:t>l</w:t>
      </w:r>
      <w:r>
        <w:t>ac</w:t>
      </w:r>
      <w:r>
        <w:rPr>
          <w:spacing w:val="-3"/>
        </w:rPr>
        <w:t>e</w:t>
      </w:r>
      <w:r>
        <w:t>bo p</w:t>
      </w:r>
      <w:r>
        <w:rPr>
          <w:spacing w:val="-2"/>
        </w:rPr>
        <w:t>r</w:t>
      </w:r>
      <w:r>
        <w:rPr>
          <w:spacing w:val="1"/>
        </w:rPr>
        <w:t>i</w:t>
      </w:r>
      <w:r>
        <w:t xml:space="preserve">n </w:t>
      </w:r>
      <w:r>
        <w:rPr>
          <w:spacing w:val="-4"/>
        </w:rPr>
        <w:t>m</w:t>
      </w:r>
      <w:r>
        <w:t>ăsur</w:t>
      </w:r>
      <w:r>
        <w:rPr>
          <w:spacing w:val="-3"/>
        </w:rPr>
        <w:t>a</w:t>
      </w:r>
      <w:r>
        <w:t>rea</w:t>
      </w:r>
      <w:r>
        <w:rPr>
          <w:spacing w:val="-2"/>
        </w:rPr>
        <w:t xml:space="preserve"> </w:t>
      </w:r>
      <w:r>
        <w:t>sc</w:t>
      </w:r>
      <w:r>
        <w:rPr>
          <w:spacing w:val="-3"/>
        </w:rPr>
        <w:t>h</w:t>
      </w:r>
      <w:r>
        <w:rPr>
          <w:spacing w:val="1"/>
        </w:rPr>
        <w:t>i</w:t>
      </w:r>
      <w:r>
        <w:rPr>
          <w:spacing w:val="-4"/>
        </w:rPr>
        <w:t>m</w:t>
      </w:r>
      <w:r>
        <w:t>băr</w:t>
      </w:r>
      <w:r>
        <w:rPr>
          <w:spacing w:val="1"/>
        </w:rPr>
        <w:t>il</w:t>
      </w:r>
      <w:r>
        <w:rPr>
          <w:spacing w:val="-3"/>
        </w:rPr>
        <w:t>o</w:t>
      </w:r>
      <w:r>
        <w:t>r</w:t>
      </w:r>
      <w:r>
        <w:rPr>
          <w:spacing w:val="-2"/>
        </w:rPr>
        <w:t xml:space="preserve"> </w:t>
      </w:r>
      <w:r>
        <w:t xml:space="preserve">de </w:t>
      </w:r>
      <w:r>
        <w:rPr>
          <w:spacing w:val="1"/>
        </w:rPr>
        <w:t>l</w:t>
      </w:r>
      <w:r>
        <w:t>a</w:t>
      </w:r>
      <w:r>
        <w:rPr>
          <w:spacing w:val="-2"/>
        </w:rPr>
        <w:t xml:space="preserve"> </w:t>
      </w:r>
      <w:r>
        <w:t>fa</w:t>
      </w:r>
      <w:r>
        <w:rPr>
          <w:spacing w:val="-3"/>
        </w:rPr>
        <w:t>z</w:t>
      </w:r>
      <w:r>
        <w:t xml:space="preserve">a </w:t>
      </w:r>
      <w:r>
        <w:rPr>
          <w:spacing w:val="-2"/>
        </w:rPr>
        <w:t>i</w:t>
      </w:r>
      <w:r>
        <w:t>n</w:t>
      </w:r>
      <w:r>
        <w:rPr>
          <w:spacing w:val="-2"/>
        </w:rPr>
        <w:t>i</w:t>
      </w:r>
      <w:r>
        <w:rPr>
          <w:spacing w:val="1"/>
        </w:rPr>
        <w:t>ţ</w:t>
      </w:r>
      <w:r>
        <w:rPr>
          <w:spacing w:val="-2"/>
        </w:rPr>
        <w:t>i</w:t>
      </w:r>
      <w:r>
        <w:t>a</w:t>
      </w:r>
      <w:r>
        <w:rPr>
          <w:spacing w:val="1"/>
        </w:rPr>
        <w:t>l</w:t>
      </w:r>
      <w:r>
        <w:t>ă</w:t>
      </w:r>
      <w:r>
        <w:rPr>
          <w:spacing w:val="-2"/>
        </w:rPr>
        <w:t xml:space="preserve"> </w:t>
      </w:r>
      <w:r>
        <w:t xml:space="preserve">a </w:t>
      </w:r>
      <w:r>
        <w:rPr>
          <w:spacing w:val="-2"/>
        </w:rPr>
        <w:t>s</w:t>
      </w:r>
      <w:r>
        <w:t>cor</w:t>
      </w:r>
      <w:r>
        <w:rPr>
          <w:spacing w:val="-3"/>
        </w:rPr>
        <w:t>u</w:t>
      </w:r>
      <w:r>
        <w:rPr>
          <w:spacing w:val="1"/>
        </w:rPr>
        <w:t>l</w:t>
      </w:r>
      <w:r>
        <w:rPr>
          <w:spacing w:val="-3"/>
        </w:rPr>
        <w:t>u</w:t>
      </w:r>
      <w:r>
        <w:t>i</w:t>
      </w:r>
      <w:r>
        <w:rPr>
          <w:spacing w:val="-2"/>
        </w:rPr>
        <w:t xml:space="preserve"> </w:t>
      </w:r>
      <w:r>
        <w:rPr>
          <w:spacing w:val="-1"/>
        </w:rPr>
        <w:t>SS</w:t>
      </w:r>
      <w:r>
        <w:rPr>
          <w:spacing w:val="1"/>
        </w:rPr>
        <w:t>T</w:t>
      </w:r>
      <w:r>
        <w:t>m</w:t>
      </w:r>
      <w:r>
        <w:rPr>
          <w:spacing w:val="-4"/>
        </w:rPr>
        <w:t xml:space="preserve"> </w:t>
      </w:r>
      <w:r>
        <w:t>(</w:t>
      </w:r>
      <w:r>
        <w:rPr>
          <w:spacing w:val="-4"/>
        </w:rPr>
        <w:t>m</w:t>
      </w:r>
      <w:r>
        <w:t>ed</w:t>
      </w:r>
      <w:r>
        <w:rPr>
          <w:spacing w:val="1"/>
        </w:rPr>
        <w:t>i</w:t>
      </w:r>
      <w:r>
        <w:t>a</w:t>
      </w:r>
      <w:r>
        <w:rPr>
          <w:spacing w:val="1"/>
        </w:rPr>
        <w:t>±</w:t>
      </w:r>
      <w:r>
        <w:rPr>
          <w:spacing w:val="-1"/>
        </w:rPr>
        <w:t>DS</w:t>
      </w:r>
      <w:r>
        <w:t>) 0,8</w:t>
      </w:r>
      <w:r>
        <w:rPr>
          <w:spacing w:val="1"/>
        </w:rPr>
        <w:t>±</w:t>
      </w:r>
      <w:r>
        <w:t>2</w:t>
      </w:r>
      <w:r>
        <w:rPr>
          <w:spacing w:val="-3"/>
        </w:rPr>
        <w:t>,</w:t>
      </w:r>
      <w:r>
        <w:t xml:space="preserve">5 </w:t>
      </w:r>
      <w:r>
        <w:rPr>
          <w:spacing w:val="1"/>
        </w:rPr>
        <w:t>l</w:t>
      </w:r>
      <w:r>
        <w:t>a</w:t>
      </w:r>
      <w:r>
        <w:rPr>
          <w:spacing w:val="-2"/>
        </w:rPr>
        <w:t xml:space="preserve"> </w:t>
      </w:r>
      <w:r>
        <w:rPr>
          <w:spacing w:val="-3"/>
        </w:rPr>
        <w:t>g</w:t>
      </w:r>
      <w:r>
        <w:t>rupul</w:t>
      </w:r>
      <w:r>
        <w:rPr>
          <w:spacing w:val="-2"/>
        </w:rPr>
        <w:t xml:space="preserve"> </w:t>
      </w:r>
      <w:r>
        <w:t>ce a</w:t>
      </w:r>
      <w:r>
        <w:rPr>
          <w:spacing w:val="-2"/>
        </w:rPr>
        <w:t xml:space="preserve"> </w:t>
      </w:r>
      <w:r>
        <w:t>u</w:t>
      </w:r>
      <w:r>
        <w:rPr>
          <w:spacing w:val="-2"/>
        </w:rPr>
        <w:t>t</w:t>
      </w:r>
      <w:r>
        <w:rPr>
          <w:spacing w:val="1"/>
        </w:rPr>
        <w:t>i</w:t>
      </w:r>
      <w:r>
        <w:rPr>
          <w:spacing w:val="-2"/>
        </w:rPr>
        <w:t>l</w:t>
      </w:r>
      <w:r>
        <w:rPr>
          <w:spacing w:val="1"/>
        </w:rPr>
        <w:t>i</w:t>
      </w:r>
      <w:r>
        <w:rPr>
          <w:spacing w:val="-3"/>
        </w:rPr>
        <w:t>z</w:t>
      </w:r>
      <w:r>
        <w:t>at</w:t>
      </w:r>
      <w:r>
        <w:rPr>
          <w:spacing w:val="1"/>
        </w:rPr>
        <w:t xml:space="preserve"> </w:t>
      </w:r>
      <w:r>
        <w:rPr>
          <w:spacing w:val="-3"/>
        </w:rPr>
        <w:t>p</w:t>
      </w:r>
      <w:r>
        <w:rPr>
          <w:spacing w:val="1"/>
        </w:rPr>
        <w:t>l</w:t>
      </w:r>
      <w:r>
        <w:t>a</w:t>
      </w:r>
      <w:r>
        <w:rPr>
          <w:spacing w:val="-3"/>
        </w:rPr>
        <w:t>c</w:t>
      </w:r>
      <w:r>
        <w:t xml:space="preserve">ebo </w:t>
      </w:r>
      <w:r>
        <w:rPr>
          <w:spacing w:val="-2"/>
        </w:rPr>
        <w:t>(</w:t>
      </w:r>
      <w:r>
        <w:rPr>
          <w:spacing w:val="1"/>
        </w:rPr>
        <w:t>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24)</w:t>
      </w:r>
      <w:r>
        <w:rPr>
          <w:spacing w:val="1"/>
        </w:rPr>
        <w:t xml:space="preserve"> </w:t>
      </w:r>
      <w:r>
        <w:t>co</w:t>
      </w:r>
      <w:r>
        <w:rPr>
          <w:spacing w:val="-4"/>
        </w:rPr>
        <w:t>m</w:t>
      </w:r>
      <w:r>
        <w:t>par</w:t>
      </w:r>
      <w:r>
        <w:rPr>
          <w:spacing w:val="-3"/>
        </w:rPr>
        <w:t>a</w:t>
      </w:r>
      <w:r>
        <w:rPr>
          <w:spacing w:val="1"/>
        </w:rPr>
        <w:t>ti</w:t>
      </w:r>
      <w:r>
        <w:t>v</w:t>
      </w:r>
      <w:r>
        <w:rPr>
          <w:spacing w:val="-3"/>
        </w:rPr>
        <w:t xml:space="preserve"> </w:t>
      </w:r>
      <w:r>
        <w:t>cu 0,</w:t>
      </w:r>
      <w:r>
        <w:rPr>
          <w:spacing w:val="-3"/>
        </w:rPr>
        <w:t>0</w:t>
      </w:r>
      <w:r>
        <w:rPr>
          <w:spacing w:val="1"/>
        </w:rPr>
        <w:t>±</w:t>
      </w:r>
      <w:r>
        <w:t>1</w:t>
      </w:r>
      <w:r>
        <w:rPr>
          <w:spacing w:val="-3"/>
        </w:rPr>
        <w:t>,</w:t>
      </w:r>
      <w:r>
        <w:t>9;</w:t>
      </w:r>
      <w:r>
        <w:rPr>
          <w:spacing w:val="-2"/>
        </w:rPr>
        <w:t xml:space="preserve"> (</w:t>
      </w:r>
      <w:r>
        <w:t>p&lt;0,00</w:t>
      </w:r>
      <w:r>
        <w:rPr>
          <w:spacing w:val="-3"/>
        </w:rPr>
        <w:t>1</w:t>
      </w:r>
      <w:r>
        <w:t>)</w:t>
      </w:r>
      <w:r>
        <w:rPr>
          <w:spacing w:val="1"/>
        </w:rPr>
        <w:t xml:space="preserve"> </w:t>
      </w:r>
      <w:r>
        <w:rPr>
          <w:spacing w:val="-2"/>
        </w:rPr>
        <w:t>l</w:t>
      </w:r>
      <w:r>
        <w:t xml:space="preserve">a </w:t>
      </w:r>
      <w:r>
        <w:rPr>
          <w:spacing w:val="-3"/>
        </w:rPr>
        <w:t>g</w:t>
      </w:r>
      <w:r>
        <w:t xml:space="preserve">rupul </w:t>
      </w:r>
      <w:r>
        <w:rPr>
          <w:spacing w:val="1"/>
        </w:rPr>
        <w:t>t</w:t>
      </w:r>
      <w:r>
        <w:t>r</w:t>
      </w:r>
      <w:r>
        <w:rPr>
          <w:spacing w:val="-3"/>
        </w:rPr>
        <w:t>a</w:t>
      </w:r>
      <w:r>
        <w:rPr>
          <w:spacing w:val="1"/>
        </w:rPr>
        <w:t>t</w:t>
      </w:r>
      <w:r>
        <w:rPr>
          <w:spacing w:val="-3"/>
        </w:rPr>
        <w:t>a</w:t>
      </w:r>
      <w:r>
        <w:t>t</w:t>
      </w:r>
      <w:r>
        <w:rPr>
          <w:spacing w:val="1"/>
        </w:rPr>
        <w:t xml:space="preserve"> </w:t>
      </w:r>
      <w:r>
        <w:t xml:space="preserve">cu </w:t>
      </w:r>
      <w:r>
        <w:rPr>
          <w:rFonts w:eastAsia="MS Mincho"/>
          <w:spacing w:val="-1"/>
          <w:szCs w:val="22"/>
          <w:lang w:eastAsia="en-US" w:bidi="ar-SA"/>
        </w:rPr>
        <w:t>adalimumab</w:t>
      </w:r>
      <w:r>
        <w:rPr>
          <w:spacing w:val="-2"/>
        </w:rPr>
        <w:t xml:space="preserve"> </w:t>
      </w:r>
      <w:r>
        <w:t>(</w:t>
      </w:r>
      <w:r>
        <w:rPr>
          <w:spacing w:val="-2"/>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w:t>
      </w:r>
      <w:r>
        <w:rPr>
          <w:spacing w:val="-3"/>
        </w:rPr>
        <w:t>8</w:t>
      </w:r>
      <w:r>
        <w:t>).</w:t>
      </w:r>
    </w:p>
    <w:p w14:paraId="6F3D86CF" w14:textId="77777777" w:rsidR="00C04CAD" w:rsidRDefault="00C04CAD">
      <w:pPr>
        <w:tabs>
          <w:tab w:val="clear" w:pos="567"/>
        </w:tabs>
        <w:kinsoku w:val="0"/>
        <w:overflowPunct w:val="0"/>
        <w:autoSpaceDE w:val="0"/>
        <w:autoSpaceDN w:val="0"/>
        <w:adjustRightInd w:val="0"/>
        <w:spacing w:line="240" w:lineRule="auto"/>
      </w:pPr>
    </w:p>
    <w:p w14:paraId="2669985B" w14:textId="77777777" w:rsidR="00C04CAD" w:rsidRDefault="00060E34">
      <w:pPr>
        <w:tabs>
          <w:tab w:val="clear" w:pos="567"/>
        </w:tabs>
        <w:kinsoku w:val="0"/>
        <w:overflowPunct w:val="0"/>
        <w:autoSpaceDE w:val="0"/>
        <w:autoSpaceDN w:val="0"/>
        <w:adjustRightInd w:val="0"/>
        <w:spacing w:line="240" w:lineRule="auto"/>
      </w:pPr>
      <w:r>
        <w:rPr>
          <w:spacing w:val="-1"/>
        </w:rPr>
        <w:t>D</w:t>
      </w:r>
      <w:r>
        <w:rPr>
          <w:spacing w:val="1"/>
        </w:rPr>
        <w:t>i</w:t>
      </w:r>
      <w:r>
        <w:t>n pa</w:t>
      </w:r>
      <w:r>
        <w:rPr>
          <w:spacing w:val="-3"/>
        </w:rPr>
        <w:t>c</w:t>
      </w:r>
      <w:r>
        <w:rPr>
          <w:spacing w:val="1"/>
        </w:rPr>
        <w:t>i</w:t>
      </w:r>
      <w:r>
        <w:t>e</w:t>
      </w:r>
      <w:r>
        <w:rPr>
          <w:spacing w:val="-3"/>
        </w:rPr>
        <w:t>n</w:t>
      </w:r>
      <w:r>
        <w:rPr>
          <w:spacing w:val="1"/>
        </w:rPr>
        <w:t>ţ</w:t>
      </w:r>
      <w:r>
        <w:rPr>
          <w:spacing w:val="-2"/>
        </w:rPr>
        <w:t>i</w:t>
      </w:r>
      <w:r>
        <w:t>i</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t xml:space="preserve">cu </w:t>
      </w:r>
      <w:r>
        <w:rPr>
          <w:rFonts w:eastAsia="MS Mincho"/>
          <w:spacing w:val="-1"/>
          <w:szCs w:val="22"/>
          <w:lang w:eastAsia="en-US" w:bidi="ar-SA"/>
        </w:rPr>
        <w:t>adalimumab</w:t>
      </w:r>
      <w:r>
        <w:t xml:space="preserve"> care</w:t>
      </w:r>
      <w:r>
        <w:rPr>
          <w:spacing w:val="-2"/>
        </w:rPr>
        <w:t xml:space="preserve"> </w:t>
      </w:r>
      <w:r>
        <w:t>nu au</w:t>
      </w:r>
      <w:r>
        <w:rPr>
          <w:spacing w:val="-3"/>
        </w:rPr>
        <w:t xml:space="preserve"> </w:t>
      </w:r>
      <w:r>
        <w:t>a</w:t>
      </w:r>
      <w:r>
        <w:rPr>
          <w:spacing w:val="-3"/>
        </w:rPr>
        <w:t>v</w:t>
      </w:r>
      <w:r>
        <w:t>ut</w:t>
      </w:r>
      <w:r>
        <w:rPr>
          <w:spacing w:val="1"/>
        </w:rPr>
        <w:t xml:space="preserve"> </w:t>
      </w:r>
      <w:r>
        <w:rPr>
          <w:rFonts w:eastAsia="MS Mincho"/>
          <w:szCs w:val="22"/>
          <w:lang w:eastAsia="en-US" w:bidi="ar-SA"/>
        </w:rPr>
        <w:t>progresie din punct de vedere</w:t>
      </w:r>
      <w:r>
        <w:rPr>
          <w:rFonts w:eastAsia="MS Mincho"/>
          <w:spacing w:val="-2"/>
          <w:szCs w:val="22"/>
          <w:lang w:eastAsia="en-US" w:bidi="ar-SA"/>
        </w:rPr>
        <w:t xml:space="preserve"> </w:t>
      </w:r>
      <w:r>
        <w:rPr>
          <w:rFonts w:eastAsia="MS Mincho"/>
          <w:szCs w:val="22"/>
          <w:lang w:eastAsia="en-US" w:bidi="ar-SA"/>
        </w:rPr>
        <w:t>ra</w:t>
      </w:r>
      <w:r>
        <w:rPr>
          <w:rFonts w:eastAsia="MS Mincho"/>
          <w:spacing w:val="-3"/>
          <w:szCs w:val="22"/>
          <w:lang w:eastAsia="en-US" w:bidi="ar-SA"/>
        </w:rPr>
        <w:t>d</w:t>
      </w:r>
      <w:r>
        <w:rPr>
          <w:rFonts w:eastAsia="MS Mincho"/>
          <w:spacing w:val="1"/>
          <w:szCs w:val="22"/>
          <w:lang w:eastAsia="en-US" w:bidi="ar-SA"/>
        </w:rPr>
        <w:t>i</w:t>
      </w:r>
      <w:r>
        <w:rPr>
          <w:rFonts w:eastAsia="MS Mincho"/>
          <w:spacing w:val="-3"/>
          <w:szCs w:val="22"/>
          <w:lang w:eastAsia="en-US" w:bidi="ar-SA"/>
        </w:rPr>
        <w:t>o</w:t>
      </w:r>
      <w:r>
        <w:rPr>
          <w:rFonts w:eastAsia="MS Mincho"/>
          <w:spacing w:val="1"/>
          <w:szCs w:val="22"/>
          <w:lang w:eastAsia="en-US" w:bidi="ar-SA"/>
        </w:rPr>
        <w:t>l</w:t>
      </w:r>
      <w:r>
        <w:rPr>
          <w:rFonts w:eastAsia="MS Mincho"/>
          <w:szCs w:val="22"/>
          <w:lang w:eastAsia="en-US" w:bidi="ar-SA"/>
        </w:rPr>
        <w:t>o</w:t>
      </w:r>
      <w:r>
        <w:rPr>
          <w:rFonts w:eastAsia="MS Mincho"/>
          <w:spacing w:val="-3"/>
          <w:szCs w:val="22"/>
          <w:lang w:eastAsia="en-US" w:bidi="ar-SA"/>
        </w:rPr>
        <w:t>g</w:t>
      </w:r>
      <w:r>
        <w:rPr>
          <w:rFonts w:eastAsia="MS Mincho"/>
          <w:spacing w:val="1"/>
          <w:szCs w:val="22"/>
          <w:lang w:eastAsia="en-US" w:bidi="ar-SA"/>
        </w:rPr>
        <w:t>i</w:t>
      </w:r>
      <w:r>
        <w:rPr>
          <w:rFonts w:eastAsia="MS Mincho"/>
          <w:szCs w:val="22"/>
          <w:lang w:eastAsia="en-US" w:bidi="ar-SA"/>
        </w:rPr>
        <w:t>c</w:t>
      </w:r>
      <w:r>
        <w:t xml:space="preserve"> </w:t>
      </w:r>
      <w:r>
        <w:rPr>
          <w:spacing w:val="-3"/>
        </w:rPr>
        <w:t>d</w:t>
      </w:r>
      <w:r>
        <w:t>e</w:t>
      </w:r>
      <w:r>
        <w:rPr>
          <w:spacing w:val="-2"/>
        </w:rPr>
        <w:t xml:space="preserve"> </w:t>
      </w:r>
      <w:r>
        <w:rPr>
          <w:spacing w:val="1"/>
        </w:rPr>
        <w:t>l</w:t>
      </w:r>
      <w:r>
        <w:t xml:space="preserve">a </w:t>
      </w:r>
      <w:r>
        <w:rPr>
          <w:rFonts w:eastAsia="MS Mincho"/>
          <w:spacing w:val="-2"/>
          <w:szCs w:val="22"/>
          <w:lang w:eastAsia="en-US" w:bidi="ar-SA"/>
        </w:rPr>
        <w:t>momentul</w:t>
      </w:r>
      <w:r>
        <w:rPr>
          <w:rFonts w:eastAsia="MS Mincho"/>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i</w:t>
      </w:r>
      <w:r>
        <w:rPr>
          <w:rFonts w:eastAsia="MS Mincho"/>
          <w:spacing w:val="-2"/>
          <w:szCs w:val="22"/>
          <w:lang w:eastAsia="en-US" w:bidi="ar-SA"/>
        </w:rPr>
        <w:t>ţ</w:t>
      </w:r>
      <w:r>
        <w:rPr>
          <w:rFonts w:eastAsia="MS Mincho"/>
          <w:spacing w:val="1"/>
          <w:szCs w:val="22"/>
          <w:lang w:eastAsia="en-US" w:bidi="ar-SA"/>
        </w:rPr>
        <w:t>i</w:t>
      </w:r>
      <w:r>
        <w:rPr>
          <w:rFonts w:eastAsia="MS Mincho"/>
          <w:spacing w:val="-3"/>
          <w:szCs w:val="22"/>
          <w:lang w:eastAsia="en-US" w:bidi="ar-SA"/>
        </w:rPr>
        <w:t>a</w:t>
      </w:r>
      <w:r>
        <w:rPr>
          <w:rFonts w:eastAsia="MS Mincho"/>
          <w:spacing w:val="1"/>
          <w:szCs w:val="22"/>
          <w:lang w:eastAsia="en-US" w:bidi="ar-SA"/>
        </w:rPr>
        <w:t>l</w:t>
      </w:r>
      <w:r>
        <w:t xml:space="preserve"> p</w:t>
      </w:r>
      <w:r>
        <w:rPr>
          <w:spacing w:val="-3"/>
        </w:rPr>
        <w:t>â</w:t>
      </w:r>
      <w:r>
        <w:t xml:space="preserve">nă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48</w:t>
      </w:r>
      <w:r>
        <w:rPr>
          <w:spacing w:val="-3"/>
        </w:rPr>
        <w:t xml:space="preserve"> </w:t>
      </w:r>
      <w:r>
        <w:t>(n=10</w:t>
      </w:r>
      <w:r>
        <w:rPr>
          <w:spacing w:val="-3"/>
        </w:rPr>
        <w:t>2</w:t>
      </w:r>
      <w:r>
        <w:t xml:space="preserve">), </w:t>
      </w:r>
      <w:r>
        <w:rPr>
          <w:spacing w:val="-3"/>
        </w:rPr>
        <w:t>8</w:t>
      </w:r>
      <w:r>
        <w:t>4%</w:t>
      </w:r>
      <w:r>
        <w:rPr>
          <w:spacing w:val="1"/>
        </w:rPr>
        <w:t xml:space="preserve"> </w:t>
      </w:r>
      <w:r>
        <w:t>au</w:t>
      </w:r>
      <w:r>
        <w:rPr>
          <w:spacing w:val="-3"/>
        </w:rPr>
        <w:t xml:space="preserve"> </w:t>
      </w:r>
      <w:r>
        <w:t>co</w:t>
      </w:r>
      <w:r>
        <w:rPr>
          <w:spacing w:val="-3"/>
        </w:rPr>
        <w:t>n</w:t>
      </w:r>
      <w:r>
        <w:rPr>
          <w:spacing w:val="1"/>
        </w:rPr>
        <w:t>ti</w:t>
      </w:r>
      <w:r>
        <w:t>n</w:t>
      </w:r>
      <w:r>
        <w:rPr>
          <w:spacing w:val="-3"/>
        </w:rPr>
        <w:t>u</w:t>
      </w:r>
      <w:r>
        <w:t>at</w:t>
      </w:r>
      <w:r>
        <w:rPr>
          <w:spacing w:val="-2"/>
        </w:rPr>
        <w:t xml:space="preserve"> </w:t>
      </w:r>
      <w:r>
        <w:t>să nu</w:t>
      </w:r>
      <w:r>
        <w:rPr>
          <w:spacing w:val="-3"/>
        </w:rPr>
        <w:t xml:space="preserve"> </w:t>
      </w:r>
      <w:r>
        <w:t>pre</w:t>
      </w:r>
      <w:r>
        <w:rPr>
          <w:spacing w:val="-3"/>
        </w:rPr>
        <w:t>z</w:t>
      </w:r>
      <w:r>
        <w:rPr>
          <w:spacing w:val="-2"/>
        </w:rPr>
        <w:t>i</w:t>
      </w:r>
      <w:r>
        <w:t>n</w:t>
      </w:r>
      <w:r>
        <w:rPr>
          <w:spacing w:val="1"/>
        </w:rPr>
        <w:t>t</w:t>
      </w:r>
      <w:r>
        <w:t xml:space="preserve">e </w:t>
      </w:r>
      <w:r>
        <w:rPr>
          <w:rFonts w:eastAsia="MS Mincho"/>
          <w:szCs w:val="22"/>
          <w:lang w:eastAsia="en-US" w:bidi="ar-SA"/>
        </w:rPr>
        <w:t>progresie din punct de vedere ra</w:t>
      </w:r>
      <w:r>
        <w:rPr>
          <w:rFonts w:eastAsia="MS Mincho"/>
          <w:spacing w:val="-3"/>
          <w:szCs w:val="22"/>
          <w:lang w:eastAsia="en-US" w:bidi="ar-SA"/>
        </w:rPr>
        <w:t>d</w:t>
      </w:r>
      <w:r>
        <w:rPr>
          <w:rFonts w:eastAsia="MS Mincho"/>
          <w:spacing w:val="-2"/>
          <w:szCs w:val="22"/>
          <w:lang w:eastAsia="en-US" w:bidi="ar-SA"/>
        </w:rPr>
        <w:t>i</w:t>
      </w:r>
      <w:r>
        <w:rPr>
          <w:rFonts w:eastAsia="MS Mincho"/>
          <w:szCs w:val="22"/>
          <w:lang w:eastAsia="en-US" w:bidi="ar-SA"/>
        </w:rPr>
        <w:t>o</w:t>
      </w:r>
      <w:r>
        <w:rPr>
          <w:rFonts w:eastAsia="MS Mincho"/>
          <w:spacing w:val="1"/>
          <w:szCs w:val="22"/>
          <w:lang w:eastAsia="en-US" w:bidi="ar-SA"/>
        </w:rPr>
        <w:t>l</w:t>
      </w:r>
      <w:r>
        <w:rPr>
          <w:rFonts w:eastAsia="MS Mincho"/>
          <w:szCs w:val="22"/>
          <w:lang w:eastAsia="en-US" w:bidi="ar-SA"/>
        </w:rPr>
        <w:t>o</w:t>
      </w:r>
      <w:r>
        <w:rPr>
          <w:rFonts w:eastAsia="MS Mincho"/>
          <w:spacing w:val="-3"/>
          <w:szCs w:val="22"/>
          <w:lang w:eastAsia="en-US" w:bidi="ar-SA"/>
        </w:rPr>
        <w:t>g</w:t>
      </w:r>
      <w:r>
        <w:rPr>
          <w:rFonts w:eastAsia="MS Mincho"/>
          <w:spacing w:val="1"/>
          <w:szCs w:val="22"/>
          <w:lang w:eastAsia="en-US" w:bidi="ar-SA"/>
        </w:rPr>
        <w:t>i</w:t>
      </w:r>
      <w:r>
        <w:rPr>
          <w:rFonts w:eastAsia="MS Mincho"/>
          <w:szCs w:val="22"/>
          <w:lang w:eastAsia="en-US" w:bidi="ar-SA"/>
        </w:rPr>
        <w:t>c</w:t>
      </w:r>
      <w:r>
        <w:t xml:space="preserve"> </w:t>
      </w:r>
      <w:r>
        <w:rPr>
          <w:spacing w:val="-3"/>
        </w:rPr>
        <w:t>p</w:t>
      </w:r>
      <w:r>
        <w:t>e p</w:t>
      </w:r>
      <w:r>
        <w:rPr>
          <w:spacing w:val="-3"/>
        </w:rPr>
        <w:t>a</w:t>
      </w:r>
      <w:r>
        <w:t>rc</w:t>
      </w:r>
      <w:r>
        <w:rPr>
          <w:spacing w:val="-3"/>
        </w:rPr>
        <w:t>u</w:t>
      </w:r>
      <w:r>
        <w:t>rs</w:t>
      </w:r>
      <w:r>
        <w:rPr>
          <w:spacing w:val="-3"/>
        </w:rPr>
        <w:t>u</w:t>
      </w:r>
      <w:r>
        <w:t xml:space="preserve">l a 144 </w:t>
      </w:r>
      <w:r>
        <w:rPr>
          <w:spacing w:val="-2"/>
        </w:rPr>
        <w:t>s</w:t>
      </w:r>
      <w:r>
        <w:t>ăp</w:t>
      </w:r>
      <w:r>
        <w:rPr>
          <w:spacing w:val="-2"/>
        </w:rPr>
        <w:t>t</w:t>
      </w:r>
      <w:r>
        <w:t>ă</w:t>
      </w:r>
      <w:r>
        <w:rPr>
          <w:spacing w:val="-4"/>
        </w:rPr>
        <w:t>m</w:t>
      </w:r>
      <w:r>
        <w:t>âni</w:t>
      </w:r>
      <w:r>
        <w:rPr>
          <w:spacing w:val="1"/>
        </w:rPr>
        <w:t xml:space="preserve"> </w:t>
      </w:r>
      <w:r>
        <w:t xml:space="preserve">de </w:t>
      </w:r>
      <w:r>
        <w:rPr>
          <w:spacing w:val="-2"/>
        </w:rPr>
        <w:t>t</w:t>
      </w:r>
      <w:r>
        <w:t>r</w:t>
      </w:r>
      <w:r>
        <w:rPr>
          <w:spacing w:val="-3"/>
        </w:rPr>
        <w:t>a</w:t>
      </w:r>
      <w:r>
        <w:rPr>
          <w:spacing w:val="1"/>
        </w:rPr>
        <w:t>t</w:t>
      </w:r>
      <w:r>
        <w:t>a</w:t>
      </w:r>
      <w:r>
        <w:rPr>
          <w:spacing w:val="-4"/>
        </w:rPr>
        <w:t>m</w:t>
      </w:r>
      <w:r>
        <w:t>en</w:t>
      </w:r>
      <w:r>
        <w:rPr>
          <w:spacing w:val="1"/>
        </w:rPr>
        <w:t>t</w:t>
      </w:r>
      <w:r>
        <w:t>.</w:t>
      </w:r>
      <w:r>
        <w:rPr>
          <w:rFonts w:eastAsia="MS Mincho"/>
          <w:szCs w:val="22"/>
          <w:lang w:eastAsia="en-US" w:bidi="ar-SA"/>
        </w:rPr>
        <w:t xml:space="preserve"> </w:t>
      </w:r>
      <w:r>
        <w:rPr>
          <w:spacing w:val="-1"/>
        </w:rPr>
        <w:t>P</w:t>
      </w:r>
      <w:r>
        <w:t>ac</w:t>
      </w:r>
      <w:r>
        <w:rPr>
          <w:spacing w:val="1"/>
        </w:rPr>
        <w:t>i</w:t>
      </w:r>
      <w:r>
        <w:rPr>
          <w:spacing w:val="-3"/>
        </w:rPr>
        <w:t>e</w:t>
      </w:r>
      <w:r>
        <w:t>n</w:t>
      </w:r>
      <w:r>
        <w:rPr>
          <w:spacing w:val="-2"/>
        </w:rPr>
        <w:t>ţ</w:t>
      </w:r>
      <w:r>
        <w:rPr>
          <w:spacing w:val="1"/>
        </w:rPr>
        <w:t>i</w:t>
      </w:r>
      <w:r>
        <w:t>i</w:t>
      </w:r>
      <w:r>
        <w:rPr>
          <w:spacing w:val="-2"/>
        </w:rPr>
        <w:t xml:space="preserve"> </w:t>
      </w:r>
      <w:r>
        <w:rPr>
          <w:spacing w:val="1"/>
        </w:rPr>
        <w:t>t</w:t>
      </w:r>
      <w:r>
        <w:rPr>
          <w:spacing w:val="-2"/>
        </w:rPr>
        <w:t>r</w:t>
      </w:r>
      <w:r>
        <w:t>a</w:t>
      </w:r>
      <w:r>
        <w:rPr>
          <w:spacing w:val="1"/>
        </w:rPr>
        <w:t>t</w:t>
      </w:r>
      <w:r>
        <w:rPr>
          <w:spacing w:val="-3"/>
        </w:rPr>
        <w:t>a</w:t>
      </w:r>
      <w:r>
        <w:rPr>
          <w:spacing w:val="-2"/>
        </w:rPr>
        <w:t>ţ</w:t>
      </w:r>
      <w:r>
        <w:t>i</w:t>
      </w:r>
      <w:r>
        <w:rPr>
          <w:spacing w:val="1"/>
        </w:rPr>
        <w:t xml:space="preserve"> </w:t>
      </w:r>
      <w:r>
        <w:t xml:space="preserve">cu </w:t>
      </w:r>
      <w:r>
        <w:rPr>
          <w:rFonts w:eastAsia="MS Mincho"/>
          <w:spacing w:val="-1"/>
          <w:szCs w:val="22"/>
          <w:lang w:eastAsia="en-US" w:bidi="ar-SA"/>
        </w:rPr>
        <w:t>adalimumab</w:t>
      </w:r>
      <w:r>
        <w:rPr>
          <w:spacing w:val="-2"/>
        </w:rPr>
        <w:t xml:space="preserve"> </w:t>
      </w:r>
      <w:r>
        <w:t>au de</w:t>
      </w:r>
      <w:r>
        <w:rPr>
          <w:spacing w:val="-4"/>
        </w:rPr>
        <w:t>m</w:t>
      </w:r>
      <w:r>
        <w:t>ons</w:t>
      </w:r>
      <w:r>
        <w:rPr>
          <w:spacing w:val="1"/>
        </w:rPr>
        <w:t>t</w:t>
      </w:r>
      <w:r>
        <w:rPr>
          <w:spacing w:val="-2"/>
        </w:rPr>
        <w:t>r</w:t>
      </w:r>
      <w:r>
        <w:t>at</w:t>
      </w:r>
      <w:r>
        <w:rPr>
          <w:spacing w:val="1"/>
        </w:rPr>
        <w:t xml:space="preserve"> </w:t>
      </w:r>
      <w:r>
        <w:t>o</w:t>
      </w:r>
      <w:r>
        <w:rPr>
          <w:spacing w:val="-3"/>
        </w:rPr>
        <w:t xml:space="preserve"> </w:t>
      </w:r>
      <w:r>
        <w:rPr>
          <w:spacing w:val="1"/>
        </w:rPr>
        <w:t>î</w:t>
      </w:r>
      <w:r>
        <w:rPr>
          <w:spacing w:val="-4"/>
        </w:rPr>
        <w:t>m</w:t>
      </w:r>
      <w:r>
        <w:t>bună</w:t>
      </w:r>
      <w:r>
        <w:rPr>
          <w:spacing w:val="1"/>
        </w:rPr>
        <w:t>t</w:t>
      </w:r>
      <w:r>
        <w:rPr>
          <w:spacing w:val="-3"/>
        </w:rPr>
        <w:t>ă</w:t>
      </w:r>
      <w:r>
        <w:rPr>
          <w:spacing w:val="1"/>
        </w:rPr>
        <w:t>ţ</w:t>
      </w:r>
      <w:r>
        <w:rPr>
          <w:spacing w:val="-2"/>
        </w:rPr>
        <w:t>i</w:t>
      </w:r>
      <w:r>
        <w:t>re a</w:t>
      </w:r>
      <w:r>
        <w:rPr>
          <w:spacing w:val="-2"/>
        </w:rPr>
        <w:t xml:space="preserve"> </w:t>
      </w:r>
      <w:r>
        <w:t>ac</w:t>
      </w:r>
      <w:r>
        <w:rPr>
          <w:spacing w:val="-2"/>
        </w:rPr>
        <w:t>t</w:t>
      </w:r>
      <w:r>
        <w:rPr>
          <w:spacing w:val="1"/>
        </w:rPr>
        <w:t>i</w:t>
      </w:r>
      <w:r>
        <w:rPr>
          <w:spacing w:val="-3"/>
        </w:rPr>
        <w:t>v</w:t>
      </w:r>
      <w:r>
        <w:rPr>
          <w:spacing w:val="1"/>
        </w:rPr>
        <w:t>it</w:t>
      </w:r>
      <w:r>
        <w:rPr>
          <w:spacing w:val="-3"/>
        </w:rPr>
        <w:t>ă</w:t>
      </w:r>
      <w:r>
        <w:rPr>
          <w:spacing w:val="-2"/>
        </w:rPr>
        <w:t>ţ</w:t>
      </w:r>
      <w:r>
        <w:rPr>
          <w:spacing w:val="1"/>
        </w:rPr>
        <w:t>i</w:t>
      </w:r>
      <w:r>
        <w:t>i</w:t>
      </w:r>
      <w:r>
        <w:rPr>
          <w:spacing w:val="-2"/>
        </w:rPr>
        <w:t xml:space="preserve"> </w:t>
      </w:r>
      <w:r>
        <w:t>f</w:t>
      </w:r>
      <w:r>
        <w:rPr>
          <w:spacing w:val="1"/>
        </w:rPr>
        <w:t>i</w:t>
      </w:r>
      <w:r>
        <w:rPr>
          <w:spacing w:val="-3"/>
        </w:rPr>
        <w:t>z</w:t>
      </w:r>
      <w:r>
        <w:rPr>
          <w:spacing w:val="1"/>
        </w:rPr>
        <w:t>i</w:t>
      </w:r>
      <w:r>
        <w:rPr>
          <w:spacing w:val="-3"/>
        </w:rPr>
        <w:t>c</w:t>
      </w:r>
      <w:r>
        <w:t>e se</w:t>
      </w:r>
      <w:r>
        <w:rPr>
          <w:spacing w:val="-4"/>
        </w:rPr>
        <w:t>m</w:t>
      </w:r>
      <w:r>
        <w:t>n</w:t>
      </w:r>
      <w:r>
        <w:rPr>
          <w:spacing w:val="1"/>
        </w:rPr>
        <w:t>i</w:t>
      </w:r>
      <w:r>
        <w:rPr>
          <w:spacing w:val="-2"/>
        </w:rPr>
        <w:t>f</w:t>
      </w:r>
      <w:r>
        <w:rPr>
          <w:spacing w:val="1"/>
        </w:rPr>
        <w:t>i</w:t>
      </w:r>
      <w:r>
        <w:t>c</w:t>
      </w:r>
      <w:r>
        <w:rPr>
          <w:spacing w:val="-3"/>
        </w:rPr>
        <w:t>a</w:t>
      </w:r>
      <w:r>
        <w:rPr>
          <w:spacing w:val="1"/>
        </w:rPr>
        <w:t>ti</w:t>
      </w:r>
      <w:r>
        <w:rPr>
          <w:spacing w:val="-3"/>
        </w:rPr>
        <w:t>v</w:t>
      </w:r>
      <w:r>
        <w:t xml:space="preserve">ă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 xml:space="preserve">c </w:t>
      </w:r>
      <w:r>
        <w:rPr>
          <w:spacing w:val="1"/>
        </w:rPr>
        <w:t xml:space="preserve">în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24,</w:t>
      </w:r>
      <w:r>
        <w:rPr>
          <w:spacing w:val="-3"/>
        </w:rPr>
        <w:t xml:space="preserve"> </w:t>
      </w:r>
      <w:r>
        <w:t>con</w:t>
      </w:r>
      <w:r>
        <w:rPr>
          <w:spacing w:val="-2"/>
        </w:rPr>
        <w:t>f</w:t>
      </w:r>
      <w:r>
        <w:t>orm</w:t>
      </w:r>
      <w:r>
        <w:rPr>
          <w:spacing w:val="-4"/>
        </w:rPr>
        <w:t xml:space="preserve"> </w:t>
      </w:r>
      <w:r>
        <w:rPr>
          <w:spacing w:val="1"/>
        </w:rPr>
        <w:t>t</w:t>
      </w:r>
      <w:r>
        <w:t>e</w:t>
      </w:r>
      <w:r>
        <w:rPr>
          <w:spacing w:val="-2"/>
        </w:rPr>
        <w:t>st</w:t>
      </w:r>
      <w:r>
        <w:t>e</w:t>
      </w:r>
      <w:r>
        <w:rPr>
          <w:spacing w:val="1"/>
        </w:rPr>
        <w:t>l</w:t>
      </w:r>
      <w:r>
        <w:t>or</w:t>
      </w:r>
      <w:r>
        <w:rPr>
          <w:spacing w:val="-2"/>
        </w:rPr>
        <w:t xml:space="preserve"> </w:t>
      </w:r>
      <w:r>
        <w:rPr>
          <w:spacing w:val="-1"/>
        </w:rPr>
        <w:t>HA</w:t>
      </w:r>
      <w:r>
        <w:t>Q</w:t>
      </w:r>
      <w:r>
        <w:rPr>
          <w:spacing w:val="-1"/>
        </w:rPr>
        <w:t xml:space="preserve"> </w:t>
      </w:r>
      <w:r>
        <w:t>şi</w:t>
      </w:r>
      <w:r>
        <w:rPr>
          <w:spacing w:val="1"/>
        </w:rPr>
        <w:t xml:space="preserve"> </w:t>
      </w:r>
      <w:r>
        <w:rPr>
          <w:spacing w:val="-1"/>
        </w:rPr>
        <w:t>C</w:t>
      </w:r>
      <w:r>
        <w:t>h</w:t>
      </w:r>
      <w:r>
        <w:rPr>
          <w:spacing w:val="-3"/>
        </w:rPr>
        <w:t>e</w:t>
      </w:r>
      <w:r>
        <w:t>s</w:t>
      </w:r>
      <w:r>
        <w:rPr>
          <w:spacing w:val="-2"/>
        </w:rPr>
        <w:t>t</w:t>
      </w:r>
      <w:r>
        <w:rPr>
          <w:spacing w:val="1"/>
        </w:rPr>
        <w:t>i</w:t>
      </w:r>
      <w:r>
        <w:t>on</w:t>
      </w:r>
      <w:r>
        <w:rPr>
          <w:spacing w:val="-3"/>
        </w:rPr>
        <w:t>a</w:t>
      </w:r>
      <w:r>
        <w:t>ru</w:t>
      </w:r>
      <w:r>
        <w:rPr>
          <w:spacing w:val="-2"/>
        </w:rPr>
        <w:t>l</w:t>
      </w:r>
      <w:r>
        <w:t>ui</w:t>
      </w:r>
      <w:r>
        <w:rPr>
          <w:spacing w:val="-2"/>
        </w:rPr>
        <w:t xml:space="preserve"> </w:t>
      </w:r>
      <w:r>
        <w:rPr>
          <w:spacing w:val="-1"/>
        </w:rPr>
        <w:t>S</w:t>
      </w:r>
      <w:r>
        <w:t>hort</w:t>
      </w:r>
      <w:r>
        <w:rPr>
          <w:spacing w:val="-2"/>
        </w:rPr>
        <w:t xml:space="preserve"> </w:t>
      </w:r>
      <w:r>
        <w:rPr>
          <w:spacing w:val="-1"/>
        </w:rPr>
        <w:t>F</w:t>
      </w:r>
      <w:r>
        <w:t>orm</w:t>
      </w:r>
      <w:r>
        <w:rPr>
          <w:spacing w:val="-4"/>
        </w:rPr>
        <w:t xml:space="preserve"> </w:t>
      </w:r>
      <w:r>
        <w:rPr>
          <w:spacing w:val="-1"/>
        </w:rPr>
        <w:t>H</w:t>
      </w:r>
      <w:r>
        <w:t>ea</w:t>
      </w:r>
      <w:r>
        <w:rPr>
          <w:spacing w:val="1"/>
        </w:rPr>
        <w:t>l</w:t>
      </w:r>
      <w:r>
        <w:rPr>
          <w:spacing w:val="-2"/>
        </w:rPr>
        <w:t>t</w:t>
      </w:r>
      <w:r>
        <w:t>h (</w:t>
      </w:r>
      <w:r>
        <w:rPr>
          <w:spacing w:val="-1"/>
        </w:rPr>
        <w:t>S</w:t>
      </w:r>
      <w:r>
        <w:t>F</w:t>
      </w:r>
      <w:r>
        <w:rPr>
          <w:spacing w:val="-1"/>
        </w:rPr>
        <w:t xml:space="preserve"> </w:t>
      </w:r>
      <w:r>
        <w:rPr>
          <w:spacing w:val="-3"/>
        </w:rPr>
        <w:t>3</w:t>
      </w:r>
      <w:r>
        <w:t>6)</w:t>
      </w:r>
      <w:r>
        <w:rPr>
          <w:spacing w:val="-2"/>
        </w:rPr>
        <w:t xml:space="preserve"> </w:t>
      </w:r>
      <w:r>
        <w:t>co</w:t>
      </w:r>
      <w:r>
        <w:rPr>
          <w:spacing w:val="-4"/>
        </w:rPr>
        <w:t>m</w:t>
      </w:r>
      <w:r>
        <w:t>para</w:t>
      </w:r>
      <w:r>
        <w:rPr>
          <w:spacing w:val="-2"/>
        </w:rPr>
        <w:t>t</w:t>
      </w:r>
      <w:r>
        <w:rPr>
          <w:spacing w:val="1"/>
        </w:rPr>
        <w:t>i</w:t>
      </w:r>
      <w:r>
        <w:t>v</w:t>
      </w:r>
      <w:r>
        <w:rPr>
          <w:spacing w:val="-3"/>
        </w:rPr>
        <w:t xml:space="preserve"> </w:t>
      </w:r>
      <w:r>
        <w:t>cu c</w:t>
      </w:r>
      <w:r>
        <w:rPr>
          <w:spacing w:val="-3"/>
        </w:rPr>
        <w:t>e</w:t>
      </w:r>
      <w:r>
        <w:t>i care</w:t>
      </w:r>
      <w:r>
        <w:rPr>
          <w:spacing w:val="-2"/>
        </w:rPr>
        <w:t xml:space="preserve"> </w:t>
      </w:r>
      <w:r>
        <w:t xml:space="preserve">au </w:t>
      </w:r>
      <w:r>
        <w:rPr>
          <w:spacing w:val="-3"/>
        </w:rPr>
        <w:t>u</w:t>
      </w:r>
      <w:r>
        <w:rPr>
          <w:spacing w:val="1"/>
        </w:rPr>
        <w:t>t</w:t>
      </w:r>
      <w:r>
        <w:rPr>
          <w:spacing w:val="-2"/>
        </w:rPr>
        <w:t>i</w:t>
      </w:r>
      <w:r>
        <w:rPr>
          <w:spacing w:val="1"/>
        </w:rPr>
        <w:t>li</w:t>
      </w:r>
      <w:r>
        <w:rPr>
          <w:spacing w:val="-3"/>
        </w:rPr>
        <w:t>z</w:t>
      </w:r>
      <w:r>
        <w:t>at</w:t>
      </w:r>
      <w:r>
        <w:rPr>
          <w:spacing w:val="-2"/>
        </w:rPr>
        <w:t xml:space="preserve"> </w:t>
      </w:r>
      <w:r>
        <w:t>p</w:t>
      </w:r>
      <w:r>
        <w:rPr>
          <w:spacing w:val="-2"/>
        </w:rPr>
        <w:t>l</w:t>
      </w:r>
      <w:r>
        <w:t>ace</w:t>
      </w:r>
      <w:r>
        <w:rPr>
          <w:spacing w:val="-3"/>
        </w:rPr>
        <w:t>b</w:t>
      </w:r>
      <w:r>
        <w:t xml:space="preserve">o. </w:t>
      </w:r>
      <w:r>
        <w:rPr>
          <w:spacing w:val="-2"/>
        </w:rPr>
        <w:t>Îm</w:t>
      </w:r>
      <w:r>
        <w:t>bună</w:t>
      </w:r>
      <w:r>
        <w:rPr>
          <w:spacing w:val="-2"/>
        </w:rPr>
        <w:t>t</w:t>
      </w:r>
      <w:r>
        <w:t>ă</w:t>
      </w:r>
      <w:r>
        <w:rPr>
          <w:spacing w:val="-2"/>
        </w:rPr>
        <w:t>ţ</w:t>
      </w:r>
      <w:r>
        <w:rPr>
          <w:spacing w:val="1"/>
        </w:rPr>
        <w:t>i</w:t>
      </w:r>
      <w:r>
        <w:t>r</w:t>
      </w:r>
      <w:r>
        <w:rPr>
          <w:spacing w:val="-3"/>
        </w:rPr>
        <w:t>e</w:t>
      </w:r>
      <w:r>
        <w:t>a a</w:t>
      </w:r>
      <w:r>
        <w:rPr>
          <w:spacing w:val="-3"/>
        </w:rPr>
        <w:t>c</w:t>
      </w:r>
      <w:r>
        <w:rPr>
          <w:spacing w:val="-2"/>
        </w:rPr>
        <w:t>t</w:t>
      </w:r>
      <w:r>
        <w:rPr>
          <w:spacing w:val="1"/>
        </w:rPr>
        <w:t>i</w:t>
      </w:r>
      <w:r>
        <w:rPr>
          <w:spacing w:val="-3"/>
        </w:rPr>
        <w:t>v</w:t>
      </w:r>
      <w:r>
        <w:rPr>
          <w:spacing w:val="1"/>
        </w:rPr>
        <w:t>it</w:t>
      </w:r>
      <w:r>
        <w:rPr>
          <w:spacing w:val="-3"/>
        </w:rPr>
        <w:t>ă</w:t>
      </w:r>
      <w:r>
        <w:rPr>
          <w:spacing w:val="1"/>
        </w:rPr>
        <w:t>ţ</w:t>
      </w:r>
      <w:r>
        <w:rPr>
          <w:spacing w:val="-2"/>
        </w:rPr>
        <w:t>i</w:t>
      </w:r>
      <w:r>
        <w:t>i</w:t>
      </w:r>
      <w:r>
        <w:rPr>
          <w:spacing w:val="1"/>
        </w:rPr>
        <w:t xml:space="preserve"> </w:t>
      </w:r>
      <w:r>
        <w:rPr>
          <w:spacing w:val="-2"/>
        </w:rPr>
        <w:t>f</w:t>
      </w:r>
      <w:r>
        <w:rPr>
          <w:spacing w:val="1"/>
        </w:rPr>
        <w:t>i</w:t>
      </w:r>
      <w:r>
        <w:rPr>
          <w:spacing w:val="-3"/>
        </w:rPr>
        <w:t>z</w:t>
      </w:r>
      <w:r>
        <w:rPr>
          <w:spacing w:val="1"/>
        </w:rPr>
        <w:t>i</w:t>
      </w:r>
      <w:r>
        <w:t>ce</w:t>
      </w:r>
      <w:r>
        <w:rPr>
          <w:spacing w:val="-2"/>
        </w:rPr>
        <w:t xml:space="preserve"> </w:t>
      </w:r>
      <w:r>
        <w:t>a co</w:t>
      </w:r>
      <w:r>
        <w:rPr>
          <w:spacing w:val="-3"/>
        </w:rPr>
        <w:t>n</w:t>
      </w:r>
      <w:r>
        <w:t>t</w:t>
      </w:r>
      <w:r>
        <w:rPr>
          <w:spacing w:val="1"/>
        </w:rPr>
        <w:t>i</w:t>
      </w:r>
      <w:r>
        <w:t>n</w:t>
      </w:r>
      <w:r>
        <w:rPr>
          <w:spacing w:val="-3"/>
        </w:rPr>
        <w:t>u</w:t>
      </w:r>
      <w:r>
        <w:t>at</w:t>
      </w:r>
      <w:r>
        <w:rPr>
          <w:spacing w:val="-2"/>
        </w:rPr>
        <w:t xml:space="preserve"> </w:t>
      </w:r>
      <w:r>
        <w:rPr>
          <w:spacing w:val="1"/>
        </w:rPr>
        <w:t>î</w:t>
      </w:r>
      <w:r>
        <w:t>n</w:t>
      </w:r>
      <w:r>
        <w:rPr>
          <w:spacing w:val="-3"/>
        </w:rPr>
        <w:t xml:space="preserve"> </w:t>
      </w:r>
      <w:r>
        <w:rPr>
          <w:spacing w:val="1"/>
        </w:rPr>
        <w:t>ti</w:t>
      </w:r>
      <w:r>
        <w:rPr>
          <w:spacing w:val="-4"/>
        </w:rPr>
        <w:t>m</w:t>
      </w:r>
      <w:r>
        <w:t>pul</w:t>
      </w:r>
      <w:r>
        <w:rPr>
          <w:spacing w:val="1"/>
        </w:rPr>
        <w:t xml:space="preserve"> </w:t>
      </w:r>
      <w:r>
        <w:t>e</w:t>
      </w:r>
      <w:r>
        <w:rPr>
          <w:spacing w:val="-3"/>
        </w:rPr>
        <w:t>x</w:t>
      </w:r>
      <w:r>
        <w:rPr>
          <w:spacing w:val="1"/>
        </w:rPr>
        <w:t>t</w:t>
      </w:r>
      <w:r>
        <w:t>e</w:t>
      </w:r>
      <w:r>
        <w:rPr>
          <w:spacing w:val="-3"/>
        </w:rPr>
        <w:t>n</w:t>
      </w:r>
      <w:r>
        <w:t>s</w:t>
      </w:r>
      <w:r>
        <w:rPr>
          <w:spacing w:val="1"/>
        </w:rPr>
        <w:t>i</w:t>
      </w:r>
      <w:r>
        <w:rPr>
          <w:spacing w:val="-3"/>
        </w:rPr>
        <w:t>e</w:t>
      </w:r>
      <w:r>
        <w:t>i</w:t>
      </w:r>
      <w:r>
        <w:rPr>
          <w:spacing w:val="1"/>
        </w:rPr>
        <w:t xml:space="preserve"> </w:t>
      </w:r>
      <w:r>
        <w:t>d</w:t>
      </w:r>
      <w:r>
        <w:rPr>
          <w:spacing w:val="-3"/>
        </w:rPr>
        <w:t>e</w:t>
      </w:r>
      <w:r>
        <w:t>sc</w:t>
      </w:r>
      <w:r>
        <w:rPr>
          <w:spacing w:val="-3"/>
        </w:rPr>
        <w:t>h</w:t>
      </w:r>
      <w:r>
        <w:rPr>
          <w:spacing w:val="1"/>
        </w:rPr>
        <w:t>i</w:t>
      </w:r>
      <w:r>
        <w:t xml:space="preserve">se </w:t>
      </w:r>
      <w:r>
        <w:rPr>
          <w:spacing w:val="-3"/>
        </w:rPr>
        <w:t>p</w:t>
      </w:r>
      <w:r>
        <w:t>ână</w:t>
      </w:r>
      <w:r>
        <w:rPr>
          <w:spacing w:val="-2"/>
        </w:rPr>
        <w:t xml:space="preserve"> </w:t>
      </w:r>
      <w:r>
        <w:rPr>
          <w:spacing w:val="1"/>
        </w:rPr>
        <w:t xml:space="preserve">în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136.</w:t>
      </w:r>
    </w:p>
    <w:p w14:paraId="3C0696ED" w14:textId="77777777" w:rsidR="00C04CAD" w:rsidRDefault="00C04CAD">
      <w:pPr>
        <w:tabs>
          <w:tab w:val="clear" w:pos="567"/>
        </w:tabs>
        <w:kinsoku w:val="0"/>
        <w:overflowPunct w:val="0"/>
        <w:autoSpaceDE w:val="0"/>
        <w:autoSpaceDN w:val="0"/>
        <w:adjustRightInd w:val="0"/>
        <w:spacing w:line="240" w:lineRule="auto"/>
      </w:pPr>
    </w:p>
    <w:p w14:paraId="63D8E0F4" w14:textId="77777777" w:rsidR="00C04CAD" w:rsidRDefault="00060E34">
      <w:pPr>
        <w:keepNext/>
        <w:tabs>
          <w:tab w:val="clear" w:pos="567"/>
        </w:tabs>
        <w:kinsoku w:val="0"/>
        <w:overflowPunct w:val="0"/>
        <w:autoSpaceDE w:val="0"/>
        <w:autoSpaceDN w:val="0"/>
        <w:adjustRightInd w:val="0"/>
        <w:spacing w:line="240" w:lineRule="auto"/>
        <w:rPr>
          <w:i/>
        </w:rPr>
      </w:pPr>
      <w:r>
        <w:rPr>
          <w:i/>
        </w:rPr>
        <w:t>Psoriazis</w:t>
      </w:r>
    </w:p>
    <w:p w14:paraId="123AEF33" w14:textId="77777777" w:rsidR="00C04CAD" w:rsidRDefault="00C04CAD">
      <w:pPr>
        <w:keepNext/>
        <w:tabs>
          <w:tab w:val="clear" w:pos="567"/>
        </w:tabs>
        <w:kinsoku w:val="0"/>
        <w:overflowPunct w:val="0"/>
        <w:autoSpaceDE w:val="0"/>
        <w:autoSpaceDN w:val="0"/>
        <w:adjustRightInd w:val="0"/>
        <w:spacing w:line="240" w:lineRule="auto"/>
      </w:pPr>
    </w:p>
    <w:p w14:paraId="79F722FC" w14:textId="77777777" w:rsidR="00C04CAD" w:rsidRDefault="00060E34">
      <w:pPr>
        <w:tabs>
          <w:tab w:val="clear" w:pos="567"/>
        </w:tabs>
        <w:kinsoku w:val="0"/>
        <w:overflowPunct w:val="0"/>
        <w:autoSpaceDE w:val="0"/>
        <w:autoSpaceDN w:val="0"/>
        <w:adjustRightInd w:val="0"/>
        <w:spacing w:line="240" w:lineRule="auto"/>
      </w:pPr>
      <w:r>
        <w:rPr>
          <w:spacing w:val="-1"/>
        </w:rPr>
        <w:t>S</w:t>
      </w:r>
      <w:r>
        <w:rPr>
          <w:spacing w:val="1"/>
        </w:rPr>
        <w:t>i</w:t>
      </w:r>
      <w:r>
        <w:rPr>
          <w:spacing w:val="-3"/>
        </w:rPr>
        <w:t>g</w:t>
      </w:r>
      <w:r>
        <w:t>uran</w:t>
      </w:r>
      <w:r>
        <w:rPr>
          <w:spacing w:val="-2"/>
        </w:rPr>
        <w:t>ţ</w:t>
      </w:r>
      <w:r>
        <w:t xml:space="preserve">a </w:t>
      </w:r>
      <w:r>
        <w:rPr>
          <w:spacing w:val="-2"/>
        </w:rPr>
        <w:t>ş</w:t>
      </w:r>
      <w:r>
        <w:t>i</w:t>
      </w:r>
      <w:r>
        <w:rPr>
          <w:spacing w:val="1"/>
        </w:rPr>
        <w:t xml:space="preserve"> </w:t>
      </w:r>
      <w:r>
        <w:t>e</w:t>
      </w:r>
      <w:r>
        <w:rPr>
          <w:spacing w:val="-2"/>
        </w:rPr>
        <w:t>f</w:t>
      </w:r>
      <w:r>
        <w:rPr>
          <w:spacing w:val="1"/>
        </w:rPr>
        <w:t>i</w:t>
      </w:r>
      <w:r>
        <w:rPr>
          <w:spacing w:val="-3"/>
        </w:rPr>
        <w:t>c</w:t>
      </w:r>
      <w:r>
        <w:t>ac</w:t>
      </w:r>
      <w:r>
        <w:rPr>
          <w:spacing w:val="-2"/>
        </w:rPr>
        <w:t>i</w:t>
      </w:r>
      <w:r>
        <w:rPr>
          <w:spacing w:val="1"/>
        </w:rPr>
        <w:t>t</w:t>
      </w:r>
      <w:r>
        <w:rPr>
          <w:spacing w:val="-3"/>
        </w:rPr>
        <w:t>a</w:t>
      </w:r>
      <w:r>
        <w:rPr>
          <w:spacing w:val="1"/>
        </w:rPr>
        <w:t>t</w:t>
      </w:r>
      <w:r>
        <w:t>ea</w:t>
      </w:r>
      <w:r>
        <w:rPr>
          <w:spacing w:val="-2"/>
        </w:rPr>
        <w:t xml:space="preserve"> t</w:t>
      </w:r>
      <w:r>
        <w:t>ra</w:t>
      </w:r>
      <w:r>
        <w:rPr>
          <w:spacing w:val="-2"/>
        </w:rPr>
        <w:t>t</w:t>
      </w:r>
      <w:r>
        <w:t>a</w:t>
      </w:r>
      <w:r>
        <w:rPr>
          <w:spacing w:val="-4"/>
        </w:rPr>
        <w:t>m</w:t>
      </w:r>
      <w:r>
        <w:t>en</w:t>
      </w:r>
      <w:r>
        <w:rPr>
          <w:spacing w:val="1"/>
        </w:rPr>
        <w:t>t</w:t>
      </w:r>
      <w:r>
        <w:t>u</w:t>
      </w:r>
      <w:r>
        <w:rPr>
          <w:spacing w:val="1"/>
        </w:rPr>
        <w:t>l</w:t>
      </w:r>
      <w:r>
        <w:t>ui</w:t>
      </w:r>
      <w:r>
        <w:rPr>
          <w:spacing w:val="-2"/>
        </w:rPr>
        <w:t xml:space="preserve"> </w:t>
      </w:r>
      <w:r>
        <w:t xml:space="preserve">cu </w:t>
      </w:r>
      <w:r>
        <w:rPr>
          <w:rFonts w:eastAsia="MS Mincho"/>
          <w:spacing w:val="-1"/>
          <w:szCs w:val="22"/>
          <w:lang w:eastAsia="en-US" w:bidi="ar-SA"/>
        </w:rPr>
        <w:t>adalimumab</w:t>
      </w:r>
      <w:r>
        <w:t xml:space="preserve"> </w:t>
      </w:r>
      <w:r>
        <w:rPr>
          <w:spacing w:val="-3"/>
        </w:rPr>
        <w:t>a</w:t>
      </w:r>
      <w:r>
        <w:t>u f</w:t>
      </w:r>
      <w:r>
        <w:rPr>
          <w:spacing w:val="-3"/>
        </w:rPr>
        <w:t>o</w:t>
      </w:r>
      <w:r>
        <w:rPr>
          <w:spacing w:val="-2"/>
        </w:rPr>
        <w:t>s</w:t>
      </w:r>
      <w:r>
        <w:t>t</w:t>
      </w:r>
      <w:r>
        <w:rPr>
          <w:spacing w:val="1"/>
        </w:rPr>
        <w:t xml:space="preserve"> </w:t>
      </w:r>
      <w:r>
        <w:t>e</w:t>
      </w:r>
      <w:r>
        <w:rPr>
          <w:spacing w:val="-3"/>
        </w:rPr>
        <w:t>v</w:t>
      </w:r>
      <w:r>
        <w:t>a</w:t>
      </w:r>
      <w:r>
        <w:rPr>
          <w:spacing w:val="1"/>
        </w:rPr>
        <w:t>l</w:t>
      </w:r>
      <w:r>
        <w:t>u</w:t>
      </w:r>
      <w:r>
        <w:rPr>
          <w:spacing w:val="-3"/>
        </w:rPr>
        <w:t>a</w:t>
      </w:r>
      <w:r>
        <w:rPr>
          <w:spacing w:val="1"/>
        </w:rPr>
        <w:t>t</w:t>
      </w:r>
      <w:r>
        <w:t>e</w:t>
      </w:r>
      <w:r>
        <w:rPr>
          <w:spacing w:val="-2"/>
        </w:rPr>
        <w:t xml:space="preserve"> </w:t>
      </w:r>
      <w:r>
        <w:rPr>
          <w:spacing w:val="1"/>
        </w:rPr>
        <w:t>î</w:t>
      </w:r>
      <w:r>
        <w:t xml:space="preserve">n </w:t>
      </w:r>
      <w:r>
        <w:rPr>
          <w:spacing w:val="-2"/>
        </w:rPr>
        <w:t>s</w:t>
      </w:r>
      <w:r>
        <w:rPr>
          <w:spacing w:val="1"/>
        </w:rPr>
        <w:t>t</w:t>
      </w:r>
      <w:r>
        <w:t>u</w:t>
      </w:r>
      <w:r>
        <w:rPr>
          <w:spacing w:val="-3"/>
        </w:rPr>
        <w:t>d</w:t>
      </w:r>
      <w:r>
        <w:rPr>
          <w:spacing w:val="1"/>
        </w:rPr>
        <w:t>i</w:t>
      </w:r>
      <w:r>
        <w:t>i</w:t>
      </w:r>
      <w:r>
        <w:rPr>
          <w:spacing w:val="-2"/>
        </w:rPr>
        <w:t xml:space="preserve"> </w:t>
      </w:r>
      <w:r>
        <w:t>c</w:t>
      </w:r>
      <w:r>
        <w:rPr>
          <w:spacing w:val="-2"/>
        </w:rPr>
        <w:t>l</w:t>
      </w:r>
      <w:r>
        <w:rPr>
          <w:spacing w:val="1"/>
        </w:rPr>
        <w:t>i</w:t>
      </w:r>
      <w:r>
        <w:t>n</w:t>
      </w:r>
      <w:r>
        <w:rPr>
          <w:spacing w:val="-2"/>
        </w:rPr>
        <w:t>i</w:t>
      </w:r>
      <w:r>
        <w:t>ce</w:t>
      </w:r>
      <w:r>
        <w:rPr>
          <w:spacing w:val="-2"/>
        </w:rPr>
        <w:t xml:space="preserve"> r</w:t>
      </w:r>
      <w:r>
        <w:t>ando</w:t>
      </w:r>
      <w:r>
        <w:rPr>
          <w:spacing w:val="-4"/>
        </w:rPr>
        <w:t>m</w:t>
      </w:r>
      <w:r>
        <w:rPr>
          <w:spacing w:val="1"/>
        </w:rPr>
        <w:t>i</w:t>
      </w:r>
      <w:r>
        <w:rPr>
          <w:spacing w:val="-3"/>
        </w:rPr>
        <w:t>z</w:t>
      </w:r>
      <w:r>
        <w:t>a</w:t>
      </w:r>
      <w:r>
        <w:rPr>
          <w:spacing w:val="1"/>
        </w:rPr>
        <w:t>t</w:t>
      </w:r>
      <w:r>
        <w:t>e, dub</w:t>
      </w:r>
      <w:r>
        <w:rPr>
          <w:spacing w:val="1"/>
        </w:rPr>
        <w:t>l</w:t>
      </w:r>
      <w:r>
        <w:t>u</w:t>
      </w:r>
      <w:r>
        <w:rPr>
          <w:spacing w:val="-4"/>
        </w:rPr>
        <w:noBreakHyphen/>
      </w:r>
      <w:r>
        <w:t xml:space="preserve">orb, </w:t>
      </w:r>
      <w:r>
        <w:rPr>
          <w:spacing w:val="1"/>
        </w:rPr>
        <w:t>l</w:t>
      </w:r>
      <w:r>
        <w:t>a</w:t>
      </w:r>
      <w:r>
        <w:rPr>
          <w:spacing w:val="-2"/>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t>a</w:t>
      </w:r>
      <w:r>
        <w:rPr>
          <w:spacing w:val="-3"/>
        </w:rPr>
        <w:t>d</w:t>
      </w:r>
      <w:r>
        <w:t>u</w:t>
      </w:r>
      <w:r>
        <w:rPr>
          <w:spacing w:val="-2"/>
        </w:rPr>
        <w:t>lţ</w:t>
      </w:r>
      <w:r>
        <w:t>i</w:t>
      </w:r>
      <w:r>
        <w:rPr>
          <w:spacing w:val="1"/>
        </w:rPr>
        <w:t xml:space="preserve"> </w:t>
      </w:r>
      <w:r>
        <w:t xml:space="preserve">cu </w:t>
      </w:r>
      <w:r>
        <w:rPr>
          <w:spacing w:val="-3"/>
        </w:rPr>
        <w:t>p</w:t>
      </w:r>
      <w:r>
        <w:rPr>
          <w:spacing w:val="1"/>
        </w:rPr>
        <w:t>l</w:t>
      </w:r>
      <w:r>
        <w:t>ă</w:t>
      </w:r>
      <w:r>
        <w:rPr>
          <w:spacing w:val="-3"/>
        </w:rPr>
        <w:t>c</w:t>
      </w:r>
      <w:r>
        <w:t>i</w:t>
      </w:r>
      <w:r>
        <w:rPr>
          <w:spacing w:val="1"/>
        </w:rPr>
        <w:t xml:space="preserve"> </w:t>
      </w:r>
      <w:r>
        <w:rPr>
          <w:spacing w:val="-3"/>
        </w:rPr>
        <w:t>c</w:t>
      </w:r>
      <w:r>
        <w:t>ro</w:t>
      </w:r>
      <w:r>
        <w:rPr>
          <w:spacing w:val="-3"/>
        </w:rPr>
        <w:t>n</w:t>
      </w:r>
      <w:r>
        <w:rPr>
          <w:spacing w:val="1"/>
        </w:rPr>
        <w:t>i</w:t>
      </w:r>
      <w:r>
        <w:t>ce</w:t>
      </w:r>
      <w:r>
        <w:rPr>
          <w:spacing w:val="-2"/>
        </w:rPr>
        <w:t xml:space="preserve"> </w:t>
      </w:r>
      <w:r>
        <w:t>de p</w:t>
      </w:r>
      <w:r>
        <w:rPr>
          <w:spacing w:val="-2"/>
        </w:rPr>
        <w:t>s</w:t>
      </w:r>
      <w:r>
        <w:t>o</w:t>
      </w:r>
      <w:r>
        <w:rPr>
          <w:spacing w:val="-2"/>
        </w:rPr>
        <w:t>r</w:t>
      </w:r>
      <w:r>
        <w:rPr>
          <w:spacing w:val="1"/>
        </w:rPr>
        <w:t>i</w:t>
      </w:r>
      <w:r>
        <w:rPr>
          <w:spacing w:val="-3"/>
        </w:rPr>
        <w:t>az</w:t>
      </w:r>
      <w:r>
        <w:rPr>
          <w:spacing w:val="1"/>
        </w:rPr>
        <w:t>i</w:t>
      </w:r>
      <w:r>
        <w:t>s (cu</w:t>
      </w:r>
      <w:r>
        <w:rPr>
          <w:spacing w:val="-3"/>
        </w:rPr>
        <w:t xml:space="preserve"> </w:t>
      </w:r>
      <w:r>
        <w:rPr>
          <w:spacing w:val="1"/>
        </w:rPr>
        <w:t>i</w:t>
      </w:r>
      <w:r>
        <w:t>n</w:t>
      </w:r>
      <w:r>
        <w:rPr>
          <w:spacing w:val="-2"/>
        </w:rPr>
        <w:t>t</w:t>
      </w:r>
      <w:r>
        <w:t>e</w:t>
      </w:r>
      <w:r>
        <w:rPr>
          <w:spacing w:val="-2"/>
        </w:rPr>
        <w:t>r</w:t>
      </w:r>
      <w:r>
        <w:t>es</w:t>
      </w:r>
      <w:r>
        <w:rPr>
          <w:spacing w:val="-3"/>
        </w:rPr>
        <w:t>a</w:t>
      </w:r>
      <w:r>
        <w:t xml:space="preserve">re a </w:t>
      </w:r>
      <w:r>
        <w:rPr>
          <w:spacing w:val="-1"/>
        </w:rPr>
        <w:t>BS</w:t>
      </w:r>
      <w:r>
        <w:t>A</w:t>
      </w:r>
      <w:r>
        <w:rPr>
          <w:spacing w:val="-4"/>
        </w:rPr>
        <w:t xml:space="preserve"> </w:t>
      </w:r>
      <w:r>
        <w:t>(</w:t>
      </w:r>
      <w:r>
        <w:rPr>
          <w:spacing w:val="-1"/>
        </w:rPr>
        <w:t>A</w:t>
      </w:r>
      <w:r>
        <w:t>r</w:t>
      </w:r>
      <w:r>
        <w:rPr>
          <w:spacing w:val="1"/>
        </w:rPr>
        <w:t>i</w:t>
      </w:r>
      <w:r>
        <w:t>a</w:t>
      </w:r>
      <w:r>
        <w:rPr>
          <w:spacing w:val="-2"/>
        </w:rPr>
        <w:t xml:space="preserve"> </w:t>
      </w:r>
      <w:r>
        <w:t>de s</w:t>
      </w:r>
      <w:r>
        <w:rPr>
          <w:spacing w:val="-3"/>
        </w:rPr>
        <w:t>u</w:t>
      </w:r>
      <w:r>
        <w:t>pr</w:t>
      </w:r>
      <w:r>
        <w:rPr>
          <w:spacing w:val="-3"/>
        </w:rPr>
        <w:t>a</w:t>
      </w:r>
      <w:r>
        <w:t>f</w:t>
      </w:r>
      <w:r>
        <w:rPr>
          <w:spacing w:val="-3"/>
        </w:rPr>
        <w:t>a</w:t>
      </w:r>
      <w:r>
        <w:rPr>
          <w:spacing w:val="1"/>
        </w:rPr>
        <w:t>ţ</w:t>
      </w:r>
      <w:r>
        <w:t>ă corp</w:t>
      </w:r>
      <w:r>
        <w:rPr>
          <w:spacing w:val="-3"/>
        </w:rPr>
        <w:t>o</w:t>
      </w:r>
      <w:r>
        <w:t>r</w:t>
      </w:r>
      <w:r>
        <w:rPr>
          <w:spacing w:val="-3"/>
        </w:rPr>
        <w:t>a</w:t>
      </w:r>
      <w:r>
        <w:rPr>
          <w:spacing w:val="1"/>
        </w:rPr>
        <w:t>l</w:t>
      </w:r>
      <w:r>
        <w:t>ă)</w:t>
      </w:r>
      <w:r>
        <w:rPr>
          <w:spacing w:val="-2"/>
        </w:rPr>
        <w:t xml:space="preserve"> </w:t>
      </w:r>
      <w:r>
        <w:rPr>
          <w:spacing w:val="1"/>
        </w:rPr>
        <w:t>≥</w:t>
      </w:r>
      <w:r>
        <w:t>1</w:t>
      </w:r>
      <w:r>
        <w:rPr>
          <w:spacing w:val="-3"/>
        </w:rPr>
        <w:t>0</w:t>
      </w:r>
      <w:r>
        <w:t>%</w:t>
      </w:r>
      <w:r>
        <w:rPr>
          <w:spacing w:val="-2"/>
        </w:rPr>
        <w:t xml:space="preserve"> </w:t>
      </w:r>
      <w:r>
        <w:t>şi</w:t>
      </w:r>
      <w:r>
        <w:rPr>
          <w:spacing w:val="1"/>
        </w:rPr>
        <w:t xml:space="preserve"> </w:t>
      </w:r>
      <w:r>
        <w:rPr>
          <w:spacing w:val="-4"/>
        </w:rPr>
        <w:t>I</w:t>
      </w:r>
      <w:r>
        <w:t>nd</w:t>
      </w:r>
      <w:r>
        <w:rPr>
          <w:spacing w:val="1"/>
        </w:rPr>
        <w:t>i</w:t>
      </w:r>
      <w:r>
        <w:t>c</w:t>
      </w:r>
      <w:r>
        <w:rPr>
          <w:spacing w:val="-3"/>
        </w:rPr>
        <w:t>e</w:t>
      </w:r>
      <w:r>
        <w:rPr>
          <w:spacing w:val="1"/>
        </w:rPr>
        <w:t>l</w:t>
      </w:r>
      <w:r>
        <w:t>e</w:t>
      </w:r>
      <w:r>
        <w:rPr>
          <w:spacing w:val="-2"/>
        </w:rPr>
        <w:t xml:space="preserve"> </w:t>
      </w:r>
      <w:r>
        <w:t xml:space="preserve">de </w:t>
      </w:r>
      <w:r>
        <w:rPr>
          <w:spacing w:val="-1"/>
        </w:rPr>
        <w:t>S</w:t>
      </w:r>
      <w:r>
        <w:t>e</w:t>
      </w:r>
      <w:r>
        <w:rPr>
          <w:spacing w:val="-3"/>
        </w:rPr>
        <w:t>v</w:t>
      </w:r>
      <w:r>
        <w:t>er</w:t>
      </w:r>
      <w:r>
        <w:rPr>
          <w:spacing w:val="-2"/>
        </w:rPr>
        <w:t>i</w:t>
      </w:r>
      <w:r>
        <w:rPr>
          <w:spacing w:val="1"/>
        </w:rPr>
        <w:t>t</w:t>
      </w:r>
      <w:r>
        <w:rPr>
          <w:spacing w:val="-3"/>
        </w:rPr>
        <w:t>a</w:t>
      </w:r>
      <w:r>
        <w:rPr>
          <w:spacing w:val="1"/>
        </w:rPr>
        <w:t>t</w:t>
      </w:r>
      <w:r>
        <w:t>e</w:t>
      </w:r>
      <w:r>
        <w:rPr>
          <w:spacing w:val="-2"/>
        </w:rPr>
        <w:t xml:space="preserve"> </w:t>
      </w:r>
      <w:r>
        <w:t xml:space="preserve">a </w:t>
      </w:r>
      <w:r>
        <w:rPr>
          <w:spacing w:val="-1"/>
        </w:rPr>
        <w:t>S</w:t>
      </w:r>
      <w:r>
        <w:t>up</w:t>
      </w:r>
      <w:r>
        <w:rPr>
          <w:spacing w:val="-2"/>
        </w:rPr>
        <w:t>r</w:t>
      </w:r>
      <w:r>
        <w:t>a</w:t>
      </w:r>
      <w:r>
        <w:rPr>
          <w:spacing w:val="-2"/>
        </w:rPr>
        <w:t>f</w:t>
      </w:r>
      <w:r>
        <w:t>e</w:t>
      </w:r>
      <w:r>
        <w:rPr>
          <w:spacing w:val="1"/>
        </w:rPr>
        <w:t>ţ</w:t>
      </w:r>
      <w:r>
        <w:rPr>
          <w:spacing w:val="-3"/>
        </w:rPr>
        <w:t>e</w:t>
      </w:r>
      <w:r>
        <w:rPr>
          <w:spacing w:val="1"/>
        </w:rPr>
        <w:t>l</w:t>
      </w:r>
      <w:r>
        <w:rPr>
          <w:spacing w:val="-3"/>
        </w:rPr>
        <w:t>o</w:t>
      </w:r>
      <w:r>
        <w:t>r</w:t>
      </w:r>
      <w:r>
        <w:rPr>
          <w:spacing w:val="1"/>
        </w:rPr>
        <w:t xml:space="preserve"> </w:t>
      </w:r>
      <w:r>
        <w:t xml:space="preserve">de </w:t>
      </w:r>
      <w:r>
        <w:rPr>
          <w:spacing w:val="-1"/>
        </w:rPr>
        <w:t>P</w:t>
      </w:r>
      <w:r>
        <w:rPr>
          <w:spacing w:val="-2"/>
        </w:rPr>
        <w:t>s</w:t>
      </w:r>
      <w:r>
        <w:t>o</w:t>
      </w:r>
      <w:r>
        <w:rPr>
          <w:spacing w:val="-2"/>
        </w:rPr>
        <w:t>r</w:t>
      </w:r>
      <w:r>
        <w:rPr>
          <w:spacing w:val="1"/>
        </w:rPr>
        <w:t>i</w:t>
      </w:r>
      <w:r>
        <w:t>a</w:t>
      </w:r>
      <w:r>
        <w:rPr>
          <w:spacing w:val="-3"/>
        </w:rPr>
        <w:t>z</w:t>
      </w:r>
      <w:r>
        <w:rPr>
          <w:spacing w:val="1"/>
        </w:rPr>
        <w:t>i</w:t>
      </w:r>
      <w:r>
        <w:t>s</w:t>
      </w:r>
      <w:r>
        <w:rPr>
          <w:spacing w:val="-2"/>
        </w:rPr>
        <w:t xml:space="preserve"> </w:t>
      </w:r>
      <w:r>
        <w:t>(</w:t>
      </w:r>
      <w:r>
        <w:rPr>
          <w:spacing w:val="-1"/>
        </w:rPr>
        <w:t>PAS</w:t>
      </w:r>
      <w:r>
        <w:rPr>
          <w:spacing w:val="-4"/>
        </w:rPr>
        <w:t>I</w:t>
      </w:r>
      <w:r>
        <w:t>)</w:t>
      </w:r>
      <w:r>
        <w:rPr>
          <w:spacing w:val="1"/>
        </w:rPr>
        <w:t xml:space="preserve"> ≥</w:t>
      </w:r>
      <w:r>
        <w:t xml:space="preserve">12 </w:t>
      </w:r>
      <w:r>
        <w:rPr>
          <w:spacing w:val="-2"/>
        </w:rPr>
        <w:t>s</w:t>
      </w:r>
      <w:r>
        <w:t xml:space="preserve">au </w:t>
      </w:r>
      <w:r>
        <w:rPr>
          <w:spacing w:val="1"/>
        </w:rPr>
        <w:t>≥</w:t>
      </w:r>
      <w:r>
        <w:rPr>
          <w:spacing w:val="-3"/>
        </w:rPr>
        <w:t>1</w:t>
      </w:r>
      <w:r>
        <w:t>0)</w:t>
      </w:r>
      <w:r>
        <w:rPr>
          <w:spacing w:val="1"/>
        </w:rPr>
        <w:t xml:space="preserve"> </w:t>
      </w:r>
      <w:r>
        <w:rPr>
          <w:spacing w:val="-3"/>
        </w:rPr>
        <w:t>c</w:t>
      </w:r>
      <w:r>
        <w:t>a</w:t>
      </w:r>
      <w:r>
        <w:rPr>
          <w:spacing w:val="-2"/>
        </w:rPr>
        <w:t>r</w:t>
      </w:r>
      <w:r>
        <w:t>e e</w:t>
      </w:r>
      <w:r>
        <w:rPr>
          <w:spacing w:val="-2"/>
        </w:rPr>
        <w:t>r</w:t>
      </w:r>
      <w:r>
        <w:t>au cand</w:t>
      </w:r>
      <w:r>
        <w:rPr>
          <w:spacing w:val="-2"/>
        </w:rPr>
        <w:t>i</w:t>
      </w:r>
      <w:r>
        <w:t>da</w:t>
      </w:r>
      <w:r>
        <w:rPr>
          <w:spacing w:val="-2"/>
        </w:rPr>
        <w:t>ţ</w:t>
      </w:r>
      <w:r>
        <w:t>i</w:t>
      </w:r>
      <w:r>
        <w:rPr>
          <w:spacing w:val="-2"/>
        </w:rPr>
        <w:t xml:space="preserve"> </w:t>
      </w:r>
      <w:r>
        <w:rPr>
          <w:spacing w:val="1"/>
        </w:rPr>
        <w:t>l</w:t>
      </w:r>
      <w:r>
        <w:t>a un</w:t>
      </w:r>
      <w:r>
        <w:rPr>
          <w:spacing w:val="-3"/>
        </w:rPr>
        <w:t xml:space="preserve"> </w:t>
      </w:r>
      <w:r>
        <w:rPr>
          <w:spacing w:val="1"/>
        </w:rPr>
        <w:t>t</w:t>
      </w:r>
      <w:r>
        <w:rPr>
          <w:spacing w:val="-2"/>
        </w:rPr>
        <w:t>r</w:t>
      </w:r>
      <w:r>
        <w:t>a</w:t>
      </w:r>
      <w:r>
        <w:rPr>
          <w:spacing w:val="-2"/>
        </w:rPr>
        <w:t>t</w:t>
      </w:r>
      <w:r>
        <w:t>a</w:t>
      </w:r>
      <w:r>
        <w:rPr>
          <w:spacing w:val="-4"/>
        </w:rPr>
        <w:t>m</w:t>
      </w:r>
      <w:r>
        <w:t>ent</w:t>
      </w:r>
      <w:r>
        <w:rPr>
          <w:spacing w:val="1"/>
        </w:rPr>
        <w:t xml:space="preserve"> </w:t>
      </w:r>
      <w:r>
        <w:t>s</w:t>
      </w:r>
      <w:r>
        <w:rPr>
          <w:spacing w:val="-2"/>
        </w:rPr>
        <w:t>i</w:t>
      </w:r>
      <w:r>
        <w:t>s</w:t>
      </w:r>
      <w:r>
        <w:rPr>
          <w:spacing w:val="1"/>
        </w:rPr>
        <w:t>t</w:t>
      </w:r>
      <w:r>
        <w:t>e</w:t>
      </w:r>
      <w:r>
        <w:rPr>
          <w:spacing w:val="-4"/>
        </w:rPr>
        <w:t>m</w:t>
      </w:r>
      <w:r>
        <w:rPr>
          <w:spacing w:val="1"/>
        </w:rPr>
        <w:t>i</w:t>
      </w:r>
      <w:r>
        <w:t>c s</w:t>
      </w:r>
      <w:r>
        <w:rPr>
          <w:spacing w:val="-3"/>
        </w:rPr>
        <w:t>a</w:t>
      </w:r>
      <w:r>
        <w:t>u f</w:t>
      </w:r>
      <w:r>
        <w:rPr>
          <w:spacing w:val="-3"/>
        </w:rPr>
        <w:t>o</w:t>
      </w:r>
      <w:r>
        <w:rPr>
          <w:spacing w:val="1"/>
        </w:rPr>
        <w:t>t</w:t>
      </w:r>
      <w:r>
        <w:rPr>
          <w:spacing w:val="-3"/>
        </w:rPr>
        <w:t>o</w:t>
      </w:r>
      <w:r>
        <w:rPr>
          <w:spacing w:val="1"/>
        </w:rPr>
        <w:t>t</w:t>
      </w:r>
      <w:r>
        <w:t>e</w:t>
      </w:r>
      <w:r>
        <w:rPr>
          <w:spacing w:val="-2"/>
        </w:rPr>
        <w:t>r</w:t>
      </w:r>
      <w:r>
        <w:t>ap</w:t>
      </w:r>
      <w:r>
        <w:rPr>
          <w:spacing w:val="-2"/>
        </w:rPr>
        <w:t>i</w:t>
      </w:r>
      <w:r>
        <w:t>e. 7</w:t>
      </w:r>
      <w:r>
        <w:rPr>
          <w:spacing w:val="-3"/>
        </w:rPr>
        <w:t>3</w:t>
      </w:r>
      <w:r>
        <w:t>%</w:t>
      </w:r>
      <w:r>
        <w:rPr>
          <w:spacing w:val="-2"/>
        </w:rPr>
        <w:t xml:space="preserve"> </w:t>
      </w:r>
      <w:r>
        <w:t>d</w:t>
      </w:r>
      <w:r>
        <w:rPr>
          <w:spacing w:val="1"/>
        </w:rPr>
        <w:t>i</w:t>
      </w:r>
      <w:r>
        <w:t>n p</w:t>
      </w:r>
      <w:r>
        <w:rPr>
          <w:spacing w:val="-3"/>
        </w:rPr>
        <w:t>a</w:t>
      </w:r>
      <w:r>
        <w:t>c</w:t>
      </w:r>
      <w:r>
        <w:rPr>
          <w:spacing w:val="-2"/>
        </w:rPr>
        <w:t>i</w:t>
      </w:r>
      <w:r>
        <w:t>en</w:t>
      </w:r>
      <w:r>
        <w:rPr>
          <w:spacing w:val="-2"/>
        </w:rPr>
        <w:t>ţ</w:t>
      </w:r>
      <w:r>
        <w:rPr>
          <w:spacing w:val="1"/>
        </w:rPr>
        <w:t>i</w:t>
      </w:r>
      <w:r>
        <w:t>i</w:t>
      </w:r>
      <w:r>
        <w:rPr>
          <w:spacing w:val="-2"/>
        </w:rPr>
        <w:t xml:space="preserve"> </w:t>
      </w:r>
      <w:r>
        <w:rPr>
          <w:spacing w:val="1"/>
        </w:rPr>
        <w:t>î</w:t>
      </w:r>
      <w:r>
        <w:rPr>
          <w:spacing w:val="-3"/>
        </w:rPr>
        <w:t>n</w:t>
      </w:r>
      <w:r>
        <w:t>ro</w:t>
      </w:r>
      <w:r>
        <w:rPr>
          <w:spacing w:val="-2"/>
        </w:rPr>
        <w:t>l</w:t>
      </w:r>
      <w:r>
        <w:t>a</w:t>
      </w:r>
      <w:r>
        <w:rPr>
          <w:spacing w:val="-2"/>
        </w:rPr>
        <w:t>ţ</w:t>
      </w:r>
      <w:r>
        <w:t>i</w:t>
      </w:r>
      <w:r>
        <w:rPr>
          <w:spacing w:val="1"/>
        </w:rPr>
        <w:t xml:space="preserve"> î</w:t>
      </w:r>
      <w:r>
        <w:t>n</w:t>
      </w:r>
      <w:r>
        <w:rPr>
          <w:spacing w:val="-3"/>
        </w:rPr>
        <w:t xml:space="preserve"> </w:t>
      </w:r>
      <w:r>
        <w:rPr>
          <w:spacing w:val="-1"/>
        </w:rPr>
        <w:t>S</w:t>
      </w:r>
      <w:r>
        <w:rPr>
          <w:spacing w:val="1"/>
        </w:rPr>
        <w:t>t</w:t>
      </w:r>
      <w:r>
        <w:rPr>
          <w:spacing w:val="-3"/>
        </w:rPr>
        <w:t>u</w:t>
      </w:r>
      <w:r>
        <w:t>d</w:t>
      </w:r>
      <w:r>
        <w:rPr>
          <w:spacing w:val="1"/>
        </w:rPr>
        <w:t>i</w:t>
      </w:r>
      <w:r>
        <w:rPr>
          <w:spacing w:val="-2"/>
        </w:rPr>
        <w:t>i</w:t>
      </w:r>
      <w:r>
        <w:rPr>
          <w:spacing w:val="1"/>
        </w:rPr>
        <w:t>l</w:t>
      </w:r>
      <w:r>
        <w:t>e I</w:t>
      </w:r>
      <w:r>
        <w:rPr>
          <w:spacing w:val="-4"/>
        </w:rPr>
        <w:t xml:space="preserve"> </w:t>
      </w:r>
      <w:r>
        <w:t>şi</w:t>
      </w:r>
      <w:r>
        <w:rPr>
          <w:spacing w:val="1"/>
        </w:rPr>
        <w:t xml:space="preserve"> </w:t>
      </w:r>
      <w:r>
        <w:rPr>
          <w:spacing w:val="-2"/>
        </w:rPr>
        <w:t>I</w:t>
      </w:r>
      <w:r>
        <w:t>I</w:t>
      </w:r>
      <w:r>
        <w:rPr>
          <w:spacing w:val="-4"/>
        </w:rPr>
        <w:t xml:space="preserve"> </w:t>
      </w:r>
      <w:r>
        <w:t>cu pr</w:t>
      </w:r>
      <w:r>
        <w:rPr>
          <w:spacing w:val="1"/>
        </w:rPr>
        <w:t>i</w:t>
      </w:r>
      <w:r>
        <w:rPr>
          <w:spacing w:val="-3"/>
        </w:rPr>
        <w:t>v</w:t>
      </w:r>
      <w:r>
        <w:rPr>
          <w:spacing w:val="1"/>
        </w:rPr>
        <w:t>i</w:t>
      </w:r>
      <w:r>
        <w:t xml:space="preserve">re </w:t>
      </w:r>
      <w:r>
        <w:rPr>
          <w:spacing w:val="1"/>
        </w:rPr>
        <w:t>l</w:t>
      </w:r>
      <w:r>
        <w:t>a p</w:t>
      </w:r>
      <w:r>
        <w:rPr>
          <w:spacing w:val="-2"/>
        </w:rPr>
        <w:t>s</w:t>
      </w:r>
      <w:r>
        <w:t>o</w:t>
      </w:r>
      <w:r>
        <w:rPr>
          <w:spacing w:val="-2"/>
        </w:rPr>
        <w:t>r</w:t>
      </w:r>
      <w:r>
        <w:rPr>
          <w:spacing w:val="1"/>
        </w:rPr>
        <w:t>i</w:t>
      </w:r>
      <w:r>
        <w:t>a</w:t>
      </w:r>
      <w:r>
        <w:rPr>
          <w:spacing w:val="-3"/>
        </w:rPr>
        <w:t>z</w:t>
      </w:r>
      <w:r>
        <w:rPr>
          <w:spacing w:val="1"/>
        </w:rPr>
        <w:t>i</w:t>
      </w:r>
      <w:r>
        <w:t xml:space="preserve">s </w:t>
      </w:r>
      <w:r>
        <w:rPr>
          <w:spacing w:val="-3"/>
        </w:rPr>
        <w:t>a</w:t>
      </w:r>
      <w:r>
        <w:t>u u</w:t>
      </w:r>
      <w:r>
        <w:rPr>
          <w:spacing w:val="-2"/>
        </w:rPr>
        <w:t>t</w:t>
      </w:r>
      <w:r>
        <w:rPr>
          <w:spacing w:val="1"/>
        </w:rPr>
        <w:t>i</w:t>
      </w:r>
      <w:r>
        <w:rPr>
          <w:spacing w:val="-2"/>
        </w:rPr>
        <w:t>l</w:t>
      </w:r>
      <w:r>
        <w:rPr>
          <w:spacing w:val="1"/>
        </w:rPr>
        <w:t>i</w:t>
      </w:r>
      <w:r>
        <w:rPr>
          <w:spacing w:val="-3"/>
        </w:rPr>
        <w:t>z</w:t>
      </w:r>
      <w:r>
        <w:t>at</w:t>
      </w:r>
      <w:r>
        <w:rPr>
          <w:spacing w:val="-2"/>
        </w:rPr>
        <w:t xml:space="preserve"> </w:t>
      </w:r>
      <w:r>
        <w:t>an</w:t>
      </w:r>
      <w:r>
        <w:rPr>
          <w:spacing w:val="-2"/>
        </w:rPr>
        <w:t>t</w:t>
      </w:r>
      <w:r>
        <w:t>e</w:t>
      </w:r>
      <w:r>
        <w:rPr>
          <w:spacing w:val="-2"/>
        </w:rPr>
        <w:t>r</w:t>
      </w:r>
      <w:r>
        <w:rPr>
          <w:spacing w:val="1"/>
        </w:rPr>
        <w:t>i</w:t>
      </w:r>
      <w:r>
        <w:rPr>
          <w:spacing w:val="-1"/>
        </w:rPr>
        <w:t>o</w:t>
      </w:r>
      <w:r>
        <w:t>r</w:t>
      </w:r>
      <w:r>
        <w:rPr>
          <w:spacing w:val="-2"/>
        </w:rPr>
        <w:t xml:space="preserve"> </w:t>
      </w:r>
      <w:r>
        <w:rPr>
          <w:spacing w:val="1"/>
        </w:rPr>
        <w:t>t</w:t>
      </w:r>
      <w:r>
        <w:rPr>
          <w:spacing w:val="-2"/>
        </w:rPr>
        <w:t>r</w:t>
      </w:r>
      <w:r>
        <w:t>a</w:t>
      </w:r>
      <w:r>
        <w:rPr>
          <w:spacing w:val="1"/>
        </w:rPr>
        <w:t>t</w:t>
      </w:r>
      <w:r>
        <w:t>a</w:t>
      </w:r>
      <w:r>
        <w:rPr>
          <w:spacing w:val="-4"/>
        </w:rPr>
        <w:t>m</w:t>
      </w:r>
      <w:r>
        <w:t>ent</w:t>
      </w:r>
      <w:r>
        <w:rPr>
          <w:spacing w:val="-2"/>
        </w:rPr>
        <w:t xml:space="preserve"> </w:t>
      </w:r>
      <w:r>
        <w:t>s</w:t>
      </w:r>
      <w:r>
        <w:rPr>
          <w:spacing w:val="1"/>
        </w:rPr>
        <w:t>i</w:t>
      </w:r>
      <w:r>
        <w:rPr>
          <w:spacing w:val="-2"/>
        </w:rPr>
        <w:t>s</w:t>
      </w:r>
      <w:r>
        <w:rPr>
          <w:spacing w:val="1"/>
        </w:rPr>
        <w:t>t</w:t>
      </w:r>
      <w:r>
        <w:t>e</w:t>
      </w:r>
      <w:r>
        <w:rPr>
          <w:spacing w:val="-4"/>
        </w:rPr>
        <w:t>m</w:t>
      </w:r>
      <w:r>
        <w:rPr>
          <w:spacing w:val="1"/>
        </w:rPr>
        <w:t>i</w:t>
      </w:r>
      <w:r>
        <w:t>c s</w:t>
      </w:r>
      <w:r>
        <w:rPr>
          <w:spacing w:val="-3"/>
        </w:rPr>
        <w:t>a</w:t>
      </w:r>
      <w:r>
        <w:t xml:space="preserve">u </w:t>
      </w:r>
      <w:r>
        <w:rPr>
          <w:spacing w:val="-2"/>
        </w:rPr>
        <w:t>f</w:t>
      </w:r>
      <w:r>
        <w:t>o</w:t>
      </w:r>
      <w:r>
        <w:rPr>
          <w:spacing w:val="1"/>
        </w:rPr>
        <w:t>t</w:t>
      </w:r>
      <w:r>
        <w:t>o</w:t>
      </w:r>
      <w:r>
        <w:rPr>
          <w:spacing w:val="-2"/>
        </w:rPr>
        <w:t>t</w:t>
      </w:r>
      <w:r>
        <w:t>er</w:t>
      </w:r>
      <w:r>
        <w:rPr>
          <w:spacing w:val="-3"/>
        </w:rPr>
        <w:t>a</w:t>
      </w:r>
      <w:r>
        <w:t>p</w:t>
      </w:r>
      <w:r>
        <w:rPr>
          <w:spacing w:val="1"/>
        </w:rPr>
        <w:t>i</w:t>
      </w:r>
      <w:r>
        <w:rPr>
          <w:spacing w:val="-3"/>
        </w:rPr>
        <w:t>e</w:t>
      </w:r>
      <w:r>
        <w:t xml:space="preserve">. </w:t>
      </w:r>
      <w:r>
        <w:rPr>
          <w:spacing w:val="-1"/>
        </w:rPr>
        <w:t>S</w:t>
      </w:r>
      <w:r>
        <w:rPr>
          <w:spacing w:val="1"/>
        </w:rPr>
        <w:t>i</w:t>
      </w:r>
      <w:r>
        <w:rPr>
          <w:spacing w:val="-3"/>
        </w:rPr>
        <w:t>g</w:t>
      </w:r>
      <w:r>
        <w:t>ura</w:t>
      </w:r>
      <w:r>
        <w:rPr>
          <w:spacing w:val="-3"/>
        </w:rPr>
        <w:t>n</w:t>
      </w:r>
      <w:r>
        <w:rPr>
          <w:spacing w:val="1"/>
        </w:rPr>
        <w:t>ț</w:t>
      </w:r>
      <w:r>
        <w:t>a</w:t>
      </w:r>
      <w:r>
        <w:rPr>
          <w:spacing w:val="-2"/>
        </w:rPr>
        <w:t xml:space="preserve"> </w:t>
      </w:r>
      <w:r>
        <w:t>și</w:t>
      </w:r>
      <w:r>
        <w:rPr>
          <w:spacing w:val="-2"/>
        </w:rPr>
        <w:t xml:space="preserve"> </w:t>
      </w:r>
      <w:r>
        <w:t>e</w:t>
      </w:r>
      <w:r>
        <w:rPr>
          <w:spacing w:val="-2"/>
        </w:rPr>
        <w:t>f</w:t>
      </w:r>
      <w:r>
        <w:rPr>
          <w:spacing w:val="1"/>
        </w:rPr>
        <w:t>i</w:t>
      </w:r>
      <w:r>
        <w:rPr>
          <w:spacing w:val="-3"/>
        </w:rPr>
        <w:t>c</w:t>
      </w:r>
      <w:r>
        <w:t>ac</w:t>
      </w:r>
      <w:r>
        <w:rPr>
          <w:spacing w:val="-2"/>
        </w:rPr>
        <w:t>i</w:t>
      </w:r>
      <w:r>
        <w:rPr>
          <w:spacing w:val="1"/>
        </w:rPr>
        <w:t>t</w:t>
      </w:r>
      <w:r>
        <w:rPr>
          <w:spacing w:val="-3"/>
        </w:rPr>
        <w:t>a</w:t>
      </w:r>
      <w:r>
        <w:rPr>
          <w:spacing w:val="1"/>
        </w:rPr>
        <w:t>t</w:t>
      </w:r>
      <w:r>
        <w:t xml:space="preserve">ea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 xml:space="preserve">cu </w:t>
      </w:r>
      <w:r>
        <w:rPr>
          <w:rFonts w:eastAsia="MS Mincho"/>
          <w:spacing w:val="-1"/>
          <w:szCs w:val="22"/>
          <w:lang w:eastAsia="en-US" w:bidi="ar-SA"/>
        </w:rPr>
        <w:t>adalimumab</w:t>
      </w:r>
      <w:r>
        <w:t xml:space="preserve"> au</w:t>
      </w:r>
      <w:r>
        <w:rPr>
          <w:spacing w:val="-3"/>
        </w:rPr>
        <w:t xml:space="preserve"> </w:t>
      </w:r>
      <w:r>
        <w:t>fo</w:t>
      </w:r>
      <w:r>
        <w:rPr>
          <w:spacing w:val="-2"/>
        </w:rPr>
        <w:t>s</w:t>
      </w:r>
      <w:r>
        <w:t>t</w:t>
      </w:r>
      <w:r>
        <w:rPr>
          <w:spacing w:val="1"/>
        </w:rPr>
        <w:t xml:space="preserve"> </w:t>
      </w:r>
      <w:r>
        <w:t>e</w:t>
      </w:r>
      <w:r>
        <w:rPr>
          <w:spacing w:val="-3"/>
        </w:rPr>
        <w:t>v</w:t>
      </w:r>
      <w:r>
        <w:t>a</w:t>
      </w:r>
      <w:r>
        <w:rPr>
          <w:spacing w:val="1"/>
        </w:rPr>
        <w:t>l</w:t>
      </w:r>
      <w:r>
        <w:t>u</w:t>
      </w:r>
      <w:r>
        <w:rPr>
          <w:spacing w:val="-3"/>
        </w:rPr>
        <w:t>a</w:t>
      </w:r>
      <w:r>
        <w:rPr>
          <w:spacing w:val="1"/>
        </w:rPr>
        <w:t>t</w:t>
      </w:r>
      <w:r>
        <w:t>e</w:t>
      </w:r>
      <w:r>
        <w:rPr>
          <w:spacing w:val="-2"/>
        </w:rPr>
        <w:t xml:space="preserve"> </w:t>
      </w:r>
      <w:r>
        <w:t>și</w:t>
      </w:r>
      <w:r>
        <w:rPr>
          <w:spacing w:val="-2"/>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ț</w:t>
      </w:r>
      <w:r>
        <w:t>i</w:t>
      </w:r>
      <w:r>
        <w:rPr>
          <w:spacing w:val="-2"/>
        </w:rPr>
        <w:t xml:space="preserve"> </w:t>
      </w:r>
      <w:r>
        <w:t>adu</w:t>
      </w:r>
      <w:r>
        <w:rPr>
          <w:spacing w:val="-2"/>
        </w:rPr>
        <w:t>l</w:t>
      </w:r>
      <w:r>
        <w:rPr>
          <w:spacing w:val="1"/>
        </w:rPr>
        <w:t>ț</w:t>
      </w:r>
      <w:r>
        <w:t>i</w:t>
      </w:r>
      <w:r>
        <w:rPr>
          <w:spacing w:val="-2"/>
        </w:rPr>
        <w:t xml:space="preserve"> </w:t>
      </w:r>
      <w:r>
        <w:t xml:space="preserve">cu </w:t>
      </w:r>
      <w:r>
        <w:rPr>
          <w:spacing w:val="-3"/>
        </w:rPr>
        <w:t>p</w:t>
      </w:r>
      <w:r>
        <w:rPr>
          <w:spacing w:val="1"/>
        </w:rPr>
        <w:t>l</w:t>
      </w:r>
      <w:r>
        <w:t>ac</w:t>
      </w:r>
      <w:r>
        <w:rPr>
          <w:spacing w:val="-3"/>
        </w:rPr>
        <w:t>a</w:t>
      </w:r>
      <w:r>
        <w:t>rde</w:t>
      </w:r>
      <w:r>
        <w:rPr>
          <w:spacing w:val="-2"/>
        </w:rPr>
        <w:t xml:space="preserve"> </w:t>
      </w:r>
      <w:r>
        <w:t>cr</w:t>
      </w:r>
      <w:r>
        <w:rPr>
          <w:spacing w:val="-3"/>
        </w:rPr>
        <w:t>o</w:t>
      </w:r>
      <w:r>
        <w:t>n</w:t>
      </w:r>
      <w:r>
        <w:rPr>
          <w:spacing w:val="1"/>
        </w:rPr>
        <w:t>i</w:t>
      </w:r>
      <w:r>
        <w:rPr>
          <w:spacing w:val="-3"/>
        </w:rPr>
        <w:t>c</w:t>
      </w:r>
      <w:r>
        <w:t>e</w:t>
      </w:r>
      <w:r>
        <w:rPr>
          <w:spacing w:val="-2"/>
        </w:rPr>
        <w:t xml:space="preserve"> </w:t>
      </w:r>
      <w:r>
        <w:rPr>
          <w:spacing w:val="-4"/>
        </w:rPr>
        <w:t>m</w:t>
      </w:r>
      <w:r>
        <w:t>odera</w:t>
      </w:r>
      <w:r>
        <w:rPr>
          <w:spacing w:val="1"/>
        </w:rPr>
        <w:t>t</w:t>
      </w:r>
      <w:r>
        <w:t xml:space="preserve">e </w:t>
      </w:r>
      <w:r>
        <w:rPr>
          <w:spacing w:val="-3"/>
        </w:rPr>
        <w:t>p</w:t>
      </w:r>
      <w:r>
        <w:t>ână</w:t>
      </w:r>
      <w:r>
        <w:rPr>
          <w:spacing w:val="-2"/>
        </w:rPr>
        <w:t xml:space="preserve"> </w:t>
      </w:r>
      <w:r>
        <w:rPr>
          <w:spacing w:val="1"/>
        </w:rPr>
        <w:t>l</w:t>
      </w:r>
      <w:r>
        <w:t>a se</w:t>
      </w:r>
      <w:r>
        <w:rPr>
          <w:spacing w:val="-3"/>
        </w:rPr>
        <w:t>v</w:t>
      </w:r>
      <w:r>
        <w:t>ere de</w:t>
      </w:r>
      <w:r>
        <w:rPr>
          <w:spacing w:val="-2"/>
        </w:rPr>
        <w:t xml:space="preserve"> </w:t>
      </w:r>
      <w:r>
        <w:lastRenderedPageBreak/>
        <w:t>ps</w:t>
      </w:r>
      <w:r>
        <w:rPr>
          <w:spacing w:val="-3"/>
        </w:rPr>
        <w:t>o</w:t>
      </w:r>
      <w:r>
        <w:t>r</w:t>
      </w:r>
      <w:r>
        <w:rPr>
          <w:spacing w:val="1"/>
        </w:rPr>
        <w:t>i</w:t>
      </w:r>
      <w:r>
        <w:t>a</w:t>
      </w:r>
      <w:r>
        <w:rPr>
          <w:spacing w:val="-3"/>
        </w:rPr>
        <w:t>z</w:t>
      </w:r>
      <w:r>
        <w:rPr>
          <w:spacing w:val="-2"/>
        </w:rPr>
        <w:t>i</w:t>
      </w:r>
      <w:r>
        <w:t xml:space="preserve">s </w:t>
      </w:r>
      <w:r>
        <w:rPr>
          <w:spacing w:val="-2"/>
        </w:rPr>
        <w:t>ș</w:t>
      </w:r>
      <w:r>
        <w:t>i</w:t>
      </w:r>
      <w:r>
        <w:rPr>
          <w:spacing w:val="1"/>
        </w:rPr>
        <w:t xml:space="preserve"> </w:t>
      </w:r>
      <w:r>
        <w:t>co</w:t>
      </w:r>
      <w:r>
        <w:rPr>
          <w:spacing w:val="-3"/>
        </w:rPr>
        <w:t>n</w:t>
      </w:r>
      <w:r>
        <w:t>c</w:t>
      </w:r>
      <w:r>
        <w:rPr>
          <w:spacing w:val="-3"/>
        </w:rPr>
        <w:t>o</w:t>
      </w:r>
      <w:r>
        <w:rPr>
          <w:spacing w:val="-4"/>
        </w:rPr>
        <w:t>m</w:t>
      </w:r>
      <w:r>
        <w:rPr>
          <w:spacing w:val="1"/>
        </w:rPr>
        <w:t>it</w:t>
      </w:r>
      <w:r>
        <w:t>ent</w:t>
      </w:r>
      <w:r>
        <w:rPr>
          <w:spacing w:val="1"/>
        </w:rPr>
        <w:t xml:space="preserve"> </w:t>
      </w:r>
      <w:r>
        <w:t>ps</w:t>
      </w:r>
      <w:r>
        <w:rPr>
          <w:spacing w:val="-3"/>
        </w:rPr>
        <w:t>o</w:t>
      </w:r>
      <w:r>
        <w:t>r</w:t>
      </w:r>
      <w:r>
        <w:rPr>
          <w:spacing w:val="-2"/>
        </w:rPr>
        <w:t>i</w:t>
      </w:r>
      <w:r>
        <w:t>a</w:t>
      </w:r>
      <w:r>
        <w:rPr>
          <w:spacing w:val="-3"/>
        </w:rPr>
        <w:t>z</w:t>
      </w:r>
      <w:r>
        <w:rPr>
          <w:spacing w:val="1"/>
        </w:rPr>
        <w:t>i</w:t>
      </w:r>
      <w:r>
        <w:t xml:space="preserve">s </w:t>
      </w:r>
      <w:r>
        <w:rPr>
          <w:spacing w:val="-3"/>
        </w:rPr>
        <w:t>p</w:t>
      </w:r>
      <w:r>
        <w:t>a</w:t>
      </w:r>
      <w:r>
        <w:rPr>
          <w:spacing w:val="1"/>
        </w:rPr>
        <w:t>l</w:t>
      </w:r>
      <w:r>
        <w:rPr>
          <w:spacing w:val="-4"/>
        </w:rPr>
        <w:t>m</w:t>
      </w:r>
      <w:r>
        <w:t>ar</w:t>
      </w:r>
      <w:r>
        <w:rPr>
          <w:spacing w:val="1"/>
        </w:rPr>
        <w:t xml:space="preserve"> </w:t>
      </w:r>
      <w:r>
        <w:t>ș</w:t>
      </w:r>
      <w:r>
        <w:rPr>
          <w:spacing w:val="-2"/>
        </w:rPr>
        <w:t>i</w:t>
      </w:r>
      <w:r>
        <w:rPr>
          <w:spacing w:val="1"/>
        </w:rPr>
        <w:t>/</w:t>
      </w:r>
      <w:r>
        <w:rPr>
          <w:spacing w:val="-2"/>
        </w:rPr>
        <w:t>s</w:t>
      </w:r>
      <w:r>
        <w:t>au p</w:t>
      </w:r>
      <w:r>
        <w:rPr>
          <w:spacing w:val="-2"/>
        </w:rPr>
        <w:t>l</w:t>
      </w:r>
      <w:r>
        <w:t>an</w:t>
      </w:r>
      <w:r>
        <w:rPr>
          <w:spacing w:val="-2"/>
        </w:rPr>
        <w:t>t</w:t>
      </w:r>
      <w:r>
        <w:t>ar</w:t>
      </w:r>
      <w:r>
        <w:rPr>
          <w:spacing w:val="1"/>
        </w:rPr>
        <w:t xml:space="preserve"> </w:t>
      </w:r>
      <w:r>
        <w:rPr>
          <w:spacing w:val="-3"/>
        </w:rPr>
        <w:t>c</w:t>
      </w:r>
      <w:r>
        <w:t>a</w:t>
      </w:r>
      <w:r>
        <w:rPr>
          <w:spacing w:val="-2"/>
        </w:rPr>
        <w:t>r</w:t>
      </w:r>
      <w:r>
        <w:t>e e</w:t>
      </w:r>
      <w:r>
        <w:rPr>
          <w:spacing w:val="-2"/>
        </w:rPr>
        <w:t>r</w:t>
      </w:r>
      <w:r>
        <w:t xml:space="preserve">au </w:t>
      </w:r>
      <w:r>
        <w:rPr>
          <w:spacing w:val="-3"/>
        </w:rPr>
        <w:t>c</w:t>
      </w:r>
      <w:r>
        <w:t>and</w:t>
      </w:r>
      <w:r>
        <w:rPr>
          <w:spacing w:val="-2"/>
        </w:rPr>
        <w:t>i</w:t>
      </w:r>
      <w:r>
        <w:rPr>
          <w:spacing w:val="-3"/>
        </w:rPr>
        <w:t>d</w:t>
      </w:r>
      <w:r>
        <w:t>a</w:t>
      </w:r>
      <w:r>
        <w:rPr>
          <w:spacing w:val="1"/>
        </w:rPr>
        <w:t>ț</w:t>
      </w:r>
      <w:r>
        <w:t>i</w:t>
      </w:r>
      <w:r>
        <w:rPr>
          <w:spacing w:val="-2"/>
        </w:rPr>
        <w:t xml:space="preserve"> </w:t>
      </w:r>
      <w:r>
        <w:rPr>
          <w:spacing w:val="1"/>
        </w:rPr>
        <w:t>l</w:t>
      </w:r>
      <w:r>
        <w:t>a</w:t>
      </w:r>
      <w:r>
        <w:rPr>
          <w:spacing w:val="-2"/>
        </w:rPr>
        <w:t xml:space="preserve"> </w:t>
      </w:r>
      <w:r>
        <w:t>un</w:t>
      </w:r>
      <w:r>
        <w:rPr>
          <w:spacing w:val="-1"/>
        </w:rPr>
        <w:t xml:space="preserve"> </w:t>
      </w:r>
      <w:r>
        <w:rPr>
          <w:spacing w:val="-2"/>
        </w:rPr>
        <w:t>t</w:t>
      </w:r>
      <w:r>
        <w:t>r</w:t>
      </w:r>
      <w:r>
        <w:rPr>
          <w:spacing w:val="-3"/>
        </w:rPr>
        <w:t>a</w:t>
      </w:r>
      <w:r>
        <w:rPr>
          <w:spacing w:val="1"/>
        </w:rPr>
        <w:t>t</w:t>
      </w:r>
      <w:r>
        <w:t>a</w:t>
      </w:r>
      <w:r>
        <w:rPr>
          <w:spacing w:val="-4"/>
        </w:rPr>
        <w:t>m</w:t>
      </w:r>
      <w:r>
        <w:t>ent s</w:t>
      </w:r>
      <w:r>
        <w:rPr>
          <w:spacing w:val="1"/>
        </w:rPr>
        <w:t>i</w:t>
      </w:r>
      <w:r>
        <w:rPr>
          <w:spacing w:val="-2"/>
        </w:rPr>
        <w:t>s</w:t>
      </w:r>
      <w:r>
        <w:rPr>
          <w:spacing w:val="1"/>
        </w:rPr>
        <w:t>t</w:t>
      </w:r>
      <w:r>
        <w:t>e</w:t>
      </w:r>
      <w:r>
        <w:rPr>
          <w:spacing w:val="-4"/>
        </w:rPr>
        <w:t>m</w:t>
      </w:r>
      <w:r>
        <w:rPr>
          <w:spacing w:val="1"/>
        </w:rPr>
        <w:t>i</w:t>
      </w:r>
      <w:r>
        <w:t xml:space="preserve">c </w:t>
      </w:r>
      <w:r>
        <w:rPr>
          <w:spacing w:val="1"/>
        </w:rPr>
        <w:t>î</w:t>
      </w:r>
      <w:r>
        <w:rPr>
          <w:spacing w:val="-3"/>
        </w:rPr>
        <w:t>n</w:t>
      </w:r>
      <w:r>
        <w:rPr>
          <w:spacing w:val="1"/>
        </w:rPr>
        <w:t>t</w:t>
      </w:r>
      <w:r>
        <w:t>r</w:t>
      </w:r>
      <w:r>
        <w:rPr>
          <w:spacing w:val="-4"/>
        </w:rPr>
        <w:t>-</w:t>
      </w:r>
      <w:r>
        <w:t>un s</w:t>
      </w:r>
      <w:r>
        <w:rPr>
          <w:spacing w:val="1"/>
        </w:rPr>
        <w:t>t</w:t>
      </w:r>
      <w:r>
        <w:t>u</w:t>
      </w:r>
      <w:r>
        <w:rPr>
          <w:spacing w:val="-3"/>
        </w:rPr>
        <w:t>d</w:t>
      </w:r>
      <w:r>
        <w:rPr>
          <w:spacing w:val="1"/>
        </w:rPr>
        <w:t>i</w:t>
      </w:r>
      <w:r>
        <w:t xml:space="preserve">u </w:t>
      </w:r>
      <w:r>
        <w:rPr>
          <w:spacing w:val="-3"/>
        </w:rPr>
        <w:t>c</w:t>
      </w:r>
      <w:r>
        <w:rPr>
          <w:spacing w:val="-2"/>
        </w:rPr>
        <w:t>l</w:t>
      </w:r>
      <w:r>
        <w:rPr>
          <w:spacing w:val="1"/>
        </w:rPr>
        <w:t>i</w:t>
      </w:r>
      <w:r>
        <w:t>n</w:t>
      </w:r>
      <w:r>
        <w:rPr>
          <w:spacing w:val="-2"/>
        </w:rPr>
        <w:t>i</w:t>
      </w:r>
      <w:r>
        <w:t>c ra</w:t>
      </w:r>
      <w:r>
        <w:rPr>
          <w:spacing w:val="-3"/>
        </w:rPr>
        <w:t>n</w:t>
      </w:r>
      <w:r>
        <w:t>do</w:t>
      </w:r>
      <w:r>
        <w:rPr>
          <w:spacing w:val="-4"/>
        </w:rPr>
        <w:t>m</w:t>
      </w:r>
      <w:r>
        <w:rPr>
          <w:spacing w:val="1"/>
        </w:rPr>
        <w:t>i</w:t>
      </w:r>
      <w:r>
        <w:rPr>
          <w:spacing w:val="-3"/>
        </w:rPr>
        <w:t>z</w:t>
      </w:r>
      <w:r>
        <w:t>at</w:t>
      </w:r>
      <w:r>
        <w:rPr>
          <w:spacing w:val="1"/>
        </w:rPr>
        <w:t xml:space="preserve"> </w:t>
      </w:r>
      <w:r>
        <w:t>dub</w:t>
      </w:r>
      <w:r>
        <w:rPr>
          <w:spacing w:val="1"/>
        </w:rPr>
        <w:t>l</w:t>
      </w:r>
      <w:r>
        <w:t>u</w:t>
      </w:r>
      <w:r>
        <w:rPr>
          <w:spacing w:val="-4"/>
        </w:rPr>
        <w:t>-</w:t>
      </w:r>
      <w:r>
        <w:t>orb (</w:t>
      </w:r>
      <w:r>
        <w:rPr>
          <w:spacing w:val="-3"/>
        </w:rPr>
        <w:t>S</w:t>
      </w:r>
      <w:r>
        <w:rPr>
          <w:spacing w:val="-2"/>
        </w:rPr>
        <w:t>t</w:t>
      </w:r>
      <w:r>
        <w:t>ud</w:t>
      </w:r>
      <w:r>
        <w:rPr>
          <w:spacing w:val="1"/>
        </w:rPr>
        <w:t>i</w:t>
      </w:r>
      <w:r>
        <w:rPr>
          <w:spacing w:val="-3"/>
        </w:rPr>
        <w:t>u</w:t>
      </w:r>
      <w:r>
        <w:t>l</w:t>
      </w:r>
      <w:r>
        <w:rPr>
          <w:spacing w:val="1"/>
        </w:rPr>
        <w:t xml:space="preserve"> </w:t>
      </w:r>
      <w:r>
        <w:rPr>
          <w:spacing w:val="-2"/>
        </w:rPr>
        <w:t>II</w:t>
      </w:r>
      <w:r>
        <w:t>I</w:t>
      </w:r>
      <w:r>
        <w:rPr>
          <w:spacing w:val="-2"/>
        </w:rPr>
        <w:t xml:space="preserve"> </w:t>
      </w:r>
      <w:r>
        <w:t>refe</w:t>
      </w:r>
      <w:r>
        <w:rPr>
          <w:spacing w:val="-2"/>
        </w:rPr>
        <w:t>r</w:t>
      </w:r>
      <w:r>
        <w:rPr>
          <w:spacing w:val="1"/>
        </w:rPr>
        <w:t>it</w:t>
      </w:r>
      <w:r>
        <w:rPr>
          <w:spacing w:val="-3"/>
        </w:rPr>
        <w:t>o</w:t>
      </w:r>
      <w:r>
        <w:t>r</w:t>
      </w:r>
      <w:r>
        <w:rPr>
          <w:spacing w:val="1"/>
        </w:rPr>
        <w:t xml:space="preserve"> </w:t>
      </w:r>
      <w:r>
        <w:rPr>
          <w:spacing w:val="-2"/>
        </w:rPr>
        <w:t>l</w:t>
      </w:r>
      <w:r>
        <w:t>a p</w:t>
      </w:r>
      <w:r>
        <w:rPr>
          <w:spacing w:val="-2"/>
        </w:rPr>
        <w:t>s</w:t>
      </w:r>
      <w:r>
        <w:t>o</w:t>
      </w:r>
      <w:r>
        <w:rPr>
          <w:spacing w:val="-2"/>
        </w:rPr>
        <w:t>r</w:t>
      </w:r>
      <w:r>
        <w:rPr>
          <w:spacing w:val="1"/>
        </w:rPr>
        <w:t>i</w:t>
      </w:r>
      <w:r>
        <w:t>a</w:t>
      </w:r>
      <w:r>
        <w:rPr>
          <w:spacing w:val="-3"/>
        </w:rPr>
        <w:t>z</w:t>
      </w:r>
      <w:r>
        <w:rPr>
          <w:spacing w:val="1"/>
        </w:rPr>
        <w:t>i</w:t>
      </w:r>
      <w:r>
        <w:t>s).</w:t>
      </w:r>
    </w:p>
    <w:p w14:paraId="190604E0" w14:textId="77777777" w:rsidR="00C04CAD" w:rsidRDefault="00C04CAD">
      <w:pPr>
        <w:tabs>
          <w:tab w:val="clear" w:pos="567"/>
        </w:tabs>
        <w:kinsoku w:val="0"/>
        <w:overflowPunct w:val="0"/>
        <w:autoSpaceDE w:val="0"/>
        <w:autoSpaceDN w:val="0"/>
        <w:adjustRightInd w:val="0"/>
        <w:spacing w:line="240" w:lineRule="auto"/>
      </w:pPr>
    </w:p>
    <w:p w14:paraId="16F5CB70" w14:textId="77777777" w:rsidR="00C04CAD" w:rsidRDefault="00060E34">
      <w:pPr>
        <w:tabs>
          <w:tab w:val="clear" w:pos="567"/>
        </w:tabs>
        <w:kinsoku w:val="0"/>
        <w:overflowPunct w:val="0"/>
        <w:autoSpaceDE w:val="0"/>
        <w:autoSpaceDN w:val="0"/>
        <w:adjustRightInd w:val="0"/>
        <w:spacing w:line="240" w:lineRule="auto"/>
      </w:pPr>
      <w:r>
        <w:rPr>
          <w:spacing w:val="-1"/>
        </w:rPr>
        <w:t>S</w:t>
      </w:r>
      <w:r>
        <w:rPr>
          <w:spacing w:val="1"/>
        </w:rPr>
        <w:t>t</w:t>
      </w:r>
      <w:r>
        <w:t>ud</w:t>
      </w:r>
      <w:r>
        <w:rPr>
          <w:spacing w:val="-2"/>
        </w:rPr>
        <w:t>i</w:t>
      </w:r>
      <w:r>
        <w:t>ul</w:t>
      </w:r>
      <w:r>
        <w:rPr>
          <w:spacing w:val="1"/>
        </w:rPr>
        <w:t xml:space="preserve"> </w:t>
      </w:r>
      <w:r>
        <w:t>I</w:t>
      </w:r>
      <w:r>
        <w:rPr>
          <w:spacing w:val="-4"/>
        </w:rPr>
        <w:t xml:space="preserve"> </w:t>
      </w:r>
      <w:r>
        <w:t>(</w:t>
      </w:r>
      <w:r>
        <w:rPr>
          <w:spacing w:val="-1"/>
        </w:rPr>
        <w:t>RE</w:t>
      </w:r>
      <w:r>
        <w:rPr>
          <w:spacing w:val="1"/>
        </w:rPr>
        <w:t>V</w:t>
      </w:r>
      <w:r>
        <w:rPr>
          <w:spacing w:val="-1"/>
        </w:rPr>
        <w:t>EAL</w:t>
      </w:r>
      <w:r>
        <w:t>)</w:t>
      </w:r>
      <w:r>
        <w:rPr>
          <w:spacing w:val="-2"/>
        </w:rPr>
        <w:t xml:space="preserve"> </w:t>
      </w:r>
      <w:r>
        <w:t>cu p</w:t>
      </w:r>
      <w:r>
        <w:rPr>
          <w:spacing w:val="-2"/>
        </w:rPr>
        <w:t>ri</w:t>
      </w:r>
      <w:r>
        <w:rPr>
          <w:spacing w:val="-3"/>
        </w:rPr>
        <w:t>v</w:t>
      </w:r>
      <w:r>
        <w:rPr>
          <w:spacing w:val="1"/>
        </w:rPr>
        <w:t>i</w:t>
      </w:r>
      <w:r>
        <w:t xml:space="preserve">re </w:t>
      </w:r>
      <w:r>
        <w:rPr>
          <w:spacing w:val="1"/>
        </w:rPr>
        <w:t>l</w:t>
      </w:r>
      <w:r>
        <w:t>a</w:t>
      </w:r>
      <w:r>
        <w:rPr>
          <w:spacing w:val="-2"/>
        </w:rPr>
        <w:t xml:space="preserve"> </w:t>
      </w:r>
      <w:r>
        <w:t>ps</w:t>
      </w:r>
      <w:r>
        <w:rPr>
          <w:spacing w:val="-3"/>
        </w:rPr>
        <w:t>o</w:t>
      </w:r>
      <w:r>
        <w:t>r</w:t>
      </w:r>
      <w:r>
        <w:rPr>
          <w:spacing w:val="1"/>
        </w:rPr>
        <w:t>i</w:t>
      </w:r>
      <w:r>
        <w:t>a</w:t>
      </w:r>
      <w:r>
        <w:rPr>
          <w:spacing w:val="-3"/>
        </w:rPr>
        <w:t>z</w:t>
      </w:r>
      <w:r>
        <w:rPr>
          <w:spacing w:val="-2"/>
        </w:rPr>
        <w:t>i</w:t>
      </w:r>
      <w:r>
        <w:t>s a e</w:t>
      </w:r>
      <w:r>
        <w:rPr>
          <w:spacing w:val="-3"/>
        </w:rPr>
        <w:t>v</w:t>
      </w:r>
      <w:r>
        <w:t>a</w:t>
      </w:r>
      <w:r>
        <w:rPr>
          <w:spacing w:val="-2"/>
        </w:rPr>
        <w:t>l</w:t>
      </w:r>
      <w:r>
        <w:t>uat</w:t>
      </w:r>
      <w:r>
        <w:rPr>
          <w:spacing w:val="-2"/>
        </w:rPr>
        <w:t xml:space="preserve"> </w:t>
      </w:r>
      <w:r>
        <w:rPr>
          <w:spacing w:val="-3"/>
        </w:rPr>
        <w:t>1</w:t>
      </w:r>
      <w:r>
        <w:t>212 pa</w:t>
      </w:r>
      <w:r>
        <w:rPr>
          <w:spacing w:val="-3"/>
        </w:rPr>
        <w:t>c</w:t>
      </w:r>
      <w:r>
        <w:rPr>
          <w:spacing w:val="1"/>
        </w:rPr>
        <w:t>i</w:t>
      </w:r>
      <w:r>
        <w:t>e</w:t>
      </w:r>
      <w:r>
        <w:rPr>
          <w:spacing w:val="-3"/>
        </w:rPr>
        <w:t>n</w:t>
      </w:r>
      <w:r>
        <w:rPr>
          <w:spacing w:val="1"/>
        </w:rPr>
        <w:t>ţ</w:t>
      </w:r>
      <w:r>
        <w:t>i</w:t>
      </w:r>
      <w:r>
        <w:rPr>
          <w:spacing w:val="-2"/>
        </w:rPr>
        <w:t xml:space="preserve"> </w:t>
      </w:r>
      <w:r>
        <w:t xml:space="preserve">pe </w:t>
      </w:r>
      <w:r>
        <w:rPr>
          <w:spacing w:val="-3"/>
        </w:rPr>
        <w:t>p</w:t>
      </w:r>
      <w:r>
        <w:t>arc</w:t>
      </w:r>
      <w:r>
        <w:rPr>
          <w:spacing w:val="-3"/>
        </w:rPr>
        <w:t>u</w:t>
      </w:r>
      <w:r>
        <w:t>rs</w:t>
      </w:r>
      <w:r>
        <w:rPr>
          <w:spacing w:val="-3"/>
        </w:rPr>
        <w:t>u</w:t>
      </w:r>
      <w:r>
        <w:t>l</w:t>
      </w:r>
      <w:r>
        <w:rPr>
          <w:spacing w:val="1"/>
        </w:rPr>
        <w:t xml:space="preserve"> </w:t>
      </w:r>
      <w:r>
        <w:t>a</w:t>
      </w:r>
      <w:r>
        <w:rPr>
          <w:spacing w:val="-2"/>
        </w:rPr>
        <w:t xml:space="preserve"> </w:t>
      </w:r>
      <w:r>
        <w:rPr>
          <w:spacing w:val="1"/>
        </w:rPr>
        <w:t>t</w:t>
      </w:r>
      <w:r>
        <w:t>r</w:t>
      </w:r>
      <w:r>
        <w:rPr>
          <w:spacing w:val="-3"/>
        </w:rPr>
        <w:t>e</w:t>
      </w:r>
      <w:r>
        <w:t>i</w:t>
      </w:r>
      <w:r>
        <w:rPr>
          <w:spacing w:val="1"/>
        </w:rPr>
        <w:t xml:space="preserve"> </w:t>
      </w:r>
      <w:r>
        <w:t>p</w:t>
      </w:r>
      <w:r>
        <w:rPr>
          <w:spacing w:val="-3"/>
        </w:rPr>
        <w:t>e</w:t>
      </w:r>
      <w:r>
        <w:t>r</w:t>
      </w:r>
      <w:r>
        <w:rPr>
          <w:spacing w:val="-2"/>
        </w:rPr>
        <w:t>i</w:t>
      </w:r>
      <w:r>
        <w:t>oade</w:t>
      </w:r>
      <w:r>
        <w:rPr>
          <w:spacing w:val="-2"/>
        </w:rPr>
        <w:t xml:space="preserve"> </w:t>
      </w:r>
      <w:r>
        <w:t xml:space="preserve">de </w:t>
      </w:r>
      <w:r>
        <w:rPr>
          <w:spacing w:val="1"/>
        </w:rPr>
        <w:t>t</w:t>
      </w:r>
      <w:r>
        <w:t>r</w:t>
      </w:r>
      <w:r>
        <w:rPr>
          <w:spacing w:val="-3"/>
        </w:rPr>
        <w:t>a</w:t>
      </w:r>
      <w:r>
        <w:rPr>
          <w:spacing w:val="1"/>
        </w:rPr>
        <w:t>t</w:t>
      </w:r>
      <w:r>
        <w:t>a</w:t>
      </w:r>
      <w:r>
        <w:rPr>
          <w:spacing w:val="-4"/>
        </w:rPr>
        <w:t>m</w:t>
      </w:r>
      <w:r>
        <w:t>en</w:t>
      </w:r>
      <w:r>
        <w:rPr>
          <w:spacing w:val="1"/>
        </w:rPr>
        <w:t>t</w:t>
      </w:r>
      <w:r>
        <w:t xml:space="preserve">. </w:t>
      </w:r>
      <w:r>
        <w:rPr>
          <w:spacing w:val="-4"/>
        </w:rPr>
        <w:t>Î</w:t>
      </w:r>
      <w:r>
        <w:t xml:space="preserve">n </w:t>
      </w:r>
      <w:r>
        <w:rPr>
          <w:spacing w:val="1"/>
        </w:rPr>
        <w:t>ti</w:t>
      </w:r>
      <w:r>
        <w:rPr>
          <w:spacing w:val="-4"/>
        </w:rPr>
        <w:t>m</w:t>
      </w:r>
      <w:r>
        <w:t>pul</w:t>
      </w:r>
      <w:r>
        <w:rPr>
          <w:spacing w:val="1"/>
        </w:rPr>
        <w:t xml:space="preserve"> </w:t>
      </w:r>
      <w:r>
        <w:t>pe</w:t>
      </w:r>
      <w:r>
        <w:rPr>
          <w:spacing w:val="-2"/>
        </w:rPr>
        <w:t>r</w:t>
      </w:r>
      <w:r>
        <w:rPr>
          <w:spacing w:val="1"/>
        </w:rPr>
        <w:t>i</w:t>
      </w:r>
      <w:r>
        <w:t>o</w:t>
      </w:r>
      <w:r>
        <w:rPr>
          <w:spacing w:val="-3"/>
        </w:rPr>
        <w:t>a</w:t>
      </w:r>
      <w:r>
        <w:t>dei</w:t>
      </w:r>
      <w:r>
        <w:rPr>
          <w:spacing w:val="1"/>
        </w:rPr>
        <w:t xml:space="preserve"> </w:t>
      </w:r>
      <w:r>
        <w:rPr>
          <w:spacing w:val="-1"/>
        </w:rPr>
        <w:t>A</w:t>
      </w:r>
      <w:r>
        <w:t xml:space="preserve">, </w:t>
      </w:r>
      <w:r>
        <w:rPr>
          <w:spacing w:val="-3"/>
        </w:rPr>
        <w:t>p</w:t>
      </w:r>
      <w:r>
        <w:t>ac</w:t>
      </w:r>
      <w:r>
        <w:rPr>
          <w:spacing w:val="-2"/>
        </w:rPr>
        <w:t>i</w:t>
      </w:r>
      <w:r>
        <w:t>en</w:t>
      </w:r>
      <w:r>
        <w:rPr>
          <w:spacing w:val="-2"/>
        </w:rPr>
        <w:t>ţ</w:t>
      </w:r>
      <w:r>
        <w:rPr>
          <w:spacing w:val="1"/>
        </w:rPr>
        <w:t>i</w:t>
      </w:r>
      <w:r>
        <w:t>i</w:t>
      </w:r>
      <w:r>
        <w:rPr>
          <w:spacing w:val="-2"/>
        </w:rPr>
        <w:t xml:space="preserve"> </w:t>
      </w:r>
      <w:r>
        <w:t xml:space="preserve">au </w:t>
      </w:r>
      <w:r>
        <w:rPr>
          <w:spacing w:val="-3"/>
        </w:rPr>
        <w:t>u</w:t>
      </w:r>
      <w:r>
        <w:rPr>
          <w:spacing w:val="1"/>
        </w:rPr>
        <w:t>t</w:t>
      </w:r>
      <w:r>
        <w:rPr>
          <w:spacing w:val="-2"/>
        </w:rPr>
        <w:t>i</w:t>
      </w:r>
      <w:r>
        <w:rPr>
          <w:spacing w:val="1"/>
        </w:rPr>
        <w:t>li</w:t>
      </w:r>
      <w:r>
        <w:rPr>
          <w:spacing w:val="-3"/>
        </w:rPr>
        <w:t>z</w:t>
      </w:r>
      <w:r>
        <w:t>at</w:t>
      </w:r>
      <w:r>
        <w:rPr>
          <w:spacing w:val="-2"/>
        </w:rPr>
        <w:t xml:space="preserve"> </w:t>
      </w:r>
      <w:r>
        <w:rPr>
          <w:spacing w:val="-3"/>
        </w:rPr>
        <w:t>p</w:t>
      </w:r>
      <w:r>
        <w:rPr>
          <w:spacing w:val="1"/>
        </w:rPr>
        <w:t>l</w:t>
      </w:r>
      <w:r>
        <w:t>ac</w:t>
      </w:r>
      <w:r>
        <w:rPr>
          <w:spacing w:val="-3"/>
        </w:rPr>
        <w:t>e</w:t>
      </w:r>
      <w:r>
        <w:t xml:space="preserve">bo </w:t>
      </w:r>
      <w:r>
        <w:rPr>
          <w:spacing w:val="-2"/>
        </w:rPr>
        <w:t>s</w:t>
      </w:r>
      <w:r>
        <w:t xml:space="preserve">au </w:t>
      </w:r>
      <w:r>
        <w:rPr>
          <w:rFonts w:eastAsia="MS Mincho"/>
          <w:spacing w:val="-1"/>
          <w:szCs w:val="22"/>
          <w:lang w:eastAsia="en-US" w:bidi="ar-SA"/>
        </w:rPr>
        <w:t>adalimumab</w:t>
      </w:r>
      <w:r>
        <w:t xml:space="preserve"> </w:t>
      </w:r>
      <w:r>
        <w:rPr>
          <w:spacing w:val="1"/>
        </w:rPr>
        <w:t>î</w:t>
      </w:r>
      <w:r>
        <w:t>n</w:t>
      </w:r>
      <w:r>
        <w:rPr>
          <w:spacing w:val="-3"/>
        </w:rPr>
        <w:t xml:space="preserve"> </w:t>
      </w:r>
      <w:r>
        <w:t>do</w:t>
      </w:r>
      <w:r>
        <w:rPr>
          <w:spacing w:val="-3"/>
        </w:rPr>
        <w:t>z</w:t>
      </w:r>
      <w:r>
        <w:t>a</w:t>
      </w:r>
      <w:r>
        <w:rPr>
          <w:spacing w:val="-2"/>
        </w:rPr>
        <w:t xml:space="preserve"> </w:t>
      </w:r>
      <w:r>
        <w:rPr>
          <w:spacing w:val="1"/>
        </w:rPr>
        <w:t>i</w:t>
      </w:r>
      <w:r>
        <w:t>n</w:t>
      </w:r>
      <w:r>
        <w:rPr>
          <w:spacing w:val="-2"/>
        </w:rPr>
        <w:t>i</w:t>
      </w:r>
      <w:r>
        <w:rPr>
          <w:spacing w:val="1"/>
        </w:rPr>
        <w:t>ţ</w:t>
      </w:r>
      <w:r>
        <w:rPr>
          <w:spacing w:val="-2"/>
        </w:rPr>
        <w:t>i</w:t>
      </w:r>
      <w:r>
        <w:t>a</w:t>
      </w:r>
      <w:r>
        <w:rPr>
          <w:spacing w:val="1"/>
        </w:rPr>
        <w:t>l</w:t>
      </w:r>
      <w:r>
        <w:t>ă</w:t>
      </w:r>
      <w:r>
        <w:rPr>
          <w:spacing w:val="-2"/>
        </w:rPr>
        <w:t xml:space="preserve"> </w:t>
      </w:r>
      <w:r>
        <w:t>de 80 </w:t>
      </w:r>
      <w:r>
        <w:rPr>
          <w:spacing w:val="-4"/>
        </w:rPr>
        <w:t>m</w:t>
      </w:r>
      <w:r>
        <w:t>g ur</w:t>
      </w:r>
      <w:r>
        <w:rPr>
          <w:spacing w:val="-4"/>
        </w:rPr>
        <w:t>m</w:t>
      </w:r>
      <w:r>
        <w:t>a</w:t>
      </w:r>
      <w:r>
        <w:rPr>
          <w:spacing w:val="1"/>
        </w:rPr>
        <w:t>t</w:t>
      </w:r>
      <w:r>
        <w:t>ă după</w:t>
      </w:r>
      <w:r>
        <w:rPr>
          <w:spacing w:val="-2"/>
        </w:rPr>
        <w:t xml:space="preserve"> </w:t>
      </w:r>
      <w:r>
        <w:t>o să</w:t>
      </w:r>
      <w:r>
        <w:rPr>
          <w:spacing w:val="-3"/>
        </w:rPr>
        <w:t>p</w:t>
      </w:r>
      <w:r>
        <w:rPr>
          <w:spacing w:val="1"/>
        </w:rPr>
        <w:t>t</w:t>
      </w:r>
      <w:r>
        <w:t>ă</w:t>
      </w:r>
      <w:r>
        <w:rPr>
          <w:spacing w:val="-4"/>
        </w:rPr>
        <w:t>m</w:t>
      </w:r>
      <w:r>
        <w:t xml:space="preserve">ână </w:t>
      </w:r>
      <w:r>
        <w:rPr>
          <w:spacing w:val="-3"/>
        </w:rPr>
        <w:t>d</w:t>
      </w:r>
      <w:r>
        <w:t xml:space="preserve">e </w:t>
      </w:r>
      <w:r>
        <w:rPr>
          <w:spacing w:val="1"/>
        </w:rPr>
        <w:t>l</w:t>
      </w:r>
      <w:r>
        <w:t xml:space="preserve">a </w:t>
      </w:r>
      <w:r>
        <w:rPr>
          <w:spacing w:val="-3"/>
        </w:rPr>
        <w:t>d</w:t>
      </w:r>
      <w:r>
        <w:t>o</w:t>
      </w:r>
      <w:r>
        <w:rPr>
          <w:spacing w:val="-3"/>
        </w:rPr>
        <w:t>z</w:t>
      </w:r>
      <w:r>
        <w:t xml:space="preserve">a </w:t>
      </w:r>
      <w:r>
        <w:rPr>
          <w:spacing w:val="1"/>
        </w:rPr>
        <w:t>i</w:t>
      </w:r>
      <w:r>
        <w:rPr>
          <w:spacing w:val="-3"/>
        </w:rPr>
        <w:t>n</w:t>
      </w:r>
      <w:r>
        <w:rPr>
          <w:spacing w:val="1"/>
        </w:rPr>
        <w:t>i</w:t>
      </w:r>
      <w:r>
        <w:rPr>
          <w:spacing w:val="-2"/>
        </w:rPr>
        <w:t>ţ</w:t>
      </w:r>
      <w:r>
        <w:rPr>
          <w:spacing w:val="1"/>
        </w:rPr>
        <w:t>i</w:t>
      </w:r>
      <w:r>
        <w:t>a</w:t>
      </w:r>
      <w:r>
        <w:rPr>
          <w:spacing w:val="-2"/>
        </w:rPr>
        <w:t>l</w:t>
      </w:r>
      <w:r>
        <w:t>ă, de</w:t>
      </w:r>
      <w:r>
        <w:rPr>
          <w:spacing w:val="-2"/>
        </w:rPr>
        <w:t xml:space="preserve"> </w:t>
      </w:r>
      <w:r>
        <w:t>40 </w:t>
      </w:r>
      <w:r>
        <w:rPr>
          <w:spacing w:val="-4"/>
        </w:rPr>
        <w:t>m</w:t>
      </w:r>
      <w:r>
        <w:t xml:space="preserve">g </w:t>
      </w:r>
      <w:r>
        <w:rPr>
          <w:spacing w:val="1"/>
        </w:rPr>
        <w:t>l</w:t>
      </w:r>
      <w:r>
        <w:t>a do</w:t>
      </w:r>
      <w:r>
        <w:rPr>
          <w:spacing w:val="-3"/>
        </w:rPr>
        <w:t>u</w:t>
      </w:r>
      <w:r>
        <w:t>ă s</w:t>
      </w:r>
      <w:r>
        <w:rPr>
          <w:spacing w:val="-3"/>
        </w:rPr>
        <w:t>ă</w:t>
      </w:r>
      <w:r>
        <w:t>p</w:t>
      </w:r>
      <w:r>
        <w:rPr>
          <w:spacing w:val="1"/>
        </w:rPr>
        <w:t>t</w:t>
      </w:r>
      <w:r>
        <w:t>ă</w:t>
      </w:r>
      <w:r>
        <w:rPr>
          <w:spacing w:val="-4"/>
        </w:rPr>
        <w:t>m</w:t>
      </w:r>
      <w:r>
        <w:t>ân</w:t>
      </w:r>
      <w:r>
        <w:rPr>
          <w:spacing w:val="1"/>
        </w:rPr>
        <w:t>i</w:t>
      </w:r>
      <w:r>
        <w:t xml:space="preserve">. </w:t>
      </w:r>
      <w:r>
        <w:rPr>
          <w:spacing w:val="-1"/>
        </w:rPr>
        <w:t>D</w:t>
      </w:r>
      <w:r>
        <w:t>u</w:t>
      </w:r>
      <w:r>
        <w:rPr>
          <w:spacing w:val="-3"/>
        </w:rPr>
        <w:t>p</w:t>
      </w:r>
      <w:r>
        <w:t>ă 16</w:t>
      </w:r>
      <w:r>
        <w:rPr>
          <w:spacing w:val="-3"/>
        </w:rPr>
        <w:t xml:space="preserve"> </w:t>
      </w:r>
      <w:r>
        <w:t>săp</w:t>
      </w:r>
      <w:r>
        <w:rPr>
          <w:spacing w:val="-2"/>
        </w:rPr>
        <w:t>t</w:t>
      </w:r>
      <w:r>
        <w:t>ă</w:t>
      </w:r>
      <w:r>
        <w:rPr>
          <w:spacing w:val="-4"/>
        </w:rPr>
        <w:t>m</w:t>
      </w:r>
      <w:r>
        <w:t>âni</w:t>
      </w:r>
      <w:r>
        <w:rPr>
          <w:spacing w:val="1"/>
        </w:rPr>
        <w:t xml:space="preserve"> </w:t>
      </w:r>
      <w:r>
        <w:t xml:space="preserve">de </w:t>
      </w:r>
      <w:r>
        <w:rPr>
          <w:spacing w:val="1"/>
        </w:rPr>
        <w:t>t</w:t>
      </w:r>
      <w:r>
        <w:t>r</w:t>
      </w:r>
      <w:r>
        <w:rPr>
          <w:spacing w:val="-3"/>
        </w:rPr>
        <w:t>a</w:t>
      </w:r>
      <w:r>
        <w:rPr>
          <w:spacing w:val="1"/>
        </w:rPr>
        <w:t>t</w:t>
      </w:r>
      <w:r>
        <w:t>a</w:t>
      </w:r>
      <w:r>
        <w:rPr>
          <w:spacing w:val="-4"/>
        </w:rPr>
        <w:t>m</w:t>
      </w:r>
      <w:r>
        <w:t>en</w:t>
      </w:r>
      <w:r>
        <w:rPr>
          <w:spacing w:val="1"/>
        </w:rPr>
        <w:t>t</w:t>
      </w:r>
      <w:r>
        <w:t>, p</w:t>
      </w:r>
      <w:r>
        <w:rPr>
          <w:spacing w:val="-3"/>
        </w:rPr>
        <w:t>a</w:t>
      </w:r>
      <w:r>
        <w:t>c</w:t>
      </w:r>
      <w:r>
        <w:rPr>
          <w:spacing w:val="-2"/>
        </w:rPr>
        <w:t>i</w:t>
      </w:r>
      <w:r>
        <w:t>en</w:t>
      </w:r>
      <w:r>
        <w:rPr>
          <w:spacing w:val="-2"/>
        </w:rPr>
        <w:t>ţ</w:t>
      </w:r>
      <w:r>
        <w:rPr>
          <w:spacing w:val="1"/>
        </w:rPr>
        <w:t>i</w:t>
      </w:r>
      <w:r>
        <w:t>i</w:t>
      </w:r>
      <w:r>
        <w:rPr>
          <w:spacing w:val="-2"/>
        </w:rPr>
        <w:t xml:space="preserve"> </w:t>
      </w:r>
      <w:r>
        <w:t>c</w:t>
      </w:r>
      <w:r>
        <w:rPr>
          <w:spacing w:val="-3"/>
        </w:rPr>
        <w:t>a</w:t>
      </w:r>
      <w:r>
        <w:t>re au</w:t>
      </w:r>
      <w:r>
        <w:rPr>
          <w:spacing w:val="-5"/>
        </w:rPr>
        <w:t xml:space="preserve"> </w:t>
      </w:r>
      <w:r>
        <w:t>a</w:t>
      </w:r>
      <w:r>
        <w:rPr>
          <w:spacing w:val="1"/>
        </w:rPr>
        <w:t>t</w:t>
      </w:r>
      <w:r>
        <w:rPr>
          <w:spacing w:val="-2"/>
        </w:rPr>
        <w:t>i</w:t>
      </w:r>
      <w:r>
        <w:t xml:space="preserve">ns </w:t>
      </w:r>
      <w:r>
        <w:rPr>
          <w:spacing w:val="-3"/>
        </w:rPr>
        <w:t>c</w:t>
      </w:r>
      <w:r>
        <w:t>el</w:t>
      </w:r>
      <w:r>
        <w:rPr>
          <w:spacing w:val="1"/>
        </w:rPr>
        <w:t xml:space="preserve"> </w:t>
      </w:r>
      <w:r>
        <w:t>p</w:t>
      </w:r>
      <w:r>
        <w:rPr>
          <w:spacing w:val="-3"/>
        </w:rPr>
        <w:t>u</w:t>
      </w:r>
      <w:r>
        <w:rPr>
          <w:spacing w:val="-2"/>
        </w:rPr>
        <w:t>ţ</w:t>
      </w:r>
      <w:r>
        <w:rPr>
          <w:spacing w:val="1"/>
        </w:rPr>
        <w:t>i</w:t>
      </w:r>
      <w:r>
        <w:t xml:space="preserve">n un </w:t>
      </w:r>
      <w:r>
        <w:rPr>
          <w:spacing w:val="-1"/>
        </w:rPr>
        <w:t>PAS</w:t>
      </w:r>
      <w:r>
        <w:t>I</w:t>
      </w:r>
      <w:r>
        <w:rPr>
          <w:spacing w:val="-4"/>
        </w:rPr>
        <w:t xml:space="preserve"> </w:t>
      </w:r>
      <w:r>
        <w:t>75 (scor</w:t>
      </w:r>
      <w:r>
        <w:rPr>
          <w:spacing w:val="-3"/>
        </w:rPr>
        <w:t>u</w:t>
      </w:r>
      <w:r>
        <w:t>l</w:t>
      </w:r>
      <w:r>
        <w:rPr>
          <w:spacing w:val="1"/>
        </w:rPr>
        <w:t xml:space="preserve"> </w:t>
      </w:r>
      <w:r>
        <w:rPr>
          <w:spacing w:val="-1"/>
        </w:rPr>
        <w:t>PAS</w:t>
      </w:r>
      <w:r>
        <w:t>I</w:t>
      </w:r>
      <w:r>
        <w:rPr>
          <w:spacing w:val="-4"/>
        </w:rPr>
        <w:t xml:space="preserve"> </w:t>
      </w:r>
      <w:r>
        <w:rPr>
          <w:spacing w:val="1"/>
        </w:rPr>
        <w:t>î</w:t>
      </w:r>
      <w:r>
        <w:rPr>
          <w:spacing w:val="-4"/>
        </w:rPr>
        <w:t>m</w:t>
      </w:r>
      <w:r>
        <w:t>bună</w:t>
      </w:r>
      <w:r>
        <w:rPr>
          <w:spacing w:val="1"/>
        </w:rPr>
        <w:t>t</w:t>
      </w:r>
      <w:r>
        <w:t>ă</w:t>
      </w:r>
      <w:r>
        <w:rPr>
          <w:spacing w:val="1"/>
        </w:rPr>
        <w:t>ţ</w:t>
      </w:r>
      <w:r>
        <w:rPr>
          <w:spacing w:val="-2"/>
        </w:rPr>
        <w:t>i</w:t>
      </w:r>
      <w:r>
        <w:t>t</w:t>
      </w:r>
      <w:r>
        <w:rPr>
          <w:spacing w:val="1"/>
        </w:rPr>
        <w:t xml:space="preserve"> </w:t>
      </w:r>
      <w:r>
        <w:t>cu</w:t>
      </w:r>
      <w:r>
        <w:rPr>
          <w:spacing w:val="-5"/>
        </w:rPr>
        <w:t xml:space="preserve"> </w:t>
      </w:r>
      <w:r>
        <w:t>cel</w:t>
      </w:r>
      <w:r>
        <w:rPr>
          <w:spacing w:val="1"/>
        </w:rPr>
        <w:t xml:space="preserve"> </w:t>
      </w:r>
      <w:r>
        <w:rPr>
          <w:spacing w:val="-3"/>
        </w:rPr>
        <w:t>p</w:t>
      </w:r>
      <w:r>
        <w:t>u</w:t>
      </w:r>
      <w:r>
        <w:rPr>
          <w:spacing w:val="-2"/>
        </w:rPr>
        <w:t>ţ</w:t>
      </w:r>
      <w:r>
        <w:rPr>
          <w:spacing w:val="1"/>
        </w:rPr>
        <w:t>i</w:t>
      </w:r>
      <w:r>
        <w:t>n 7</w:t>
      </w:r>
      <w:r>
        <w:rPr>
          <w:spacing w:val="-3"/>
        </w:rPr>
        <w:t>5</w:t>
      </w:r>
      <w:r>
        <w:t>%</w:t>
      </w:r>
      <w:r>
        <w:rPr>
          <w:spacing w:val="1"/>
        </w:rPr>
        <w:t xml:space="preserve"> </w:t>
      </w:r>
      <w:r>
        <w:rPr>
          <w:spacing w:val="-2"/>
        </w:rPr>
        <w:t>f</w:t>
      </w:r>
      <w:r>
        <w:t>a</w:t>
      </w:r>
      <w:r>
        <w:rPr>
          <w:spacing w:val="-2"/>
        </w:rPr>
        <w:t>ţ</w:t>
      </w:r>
      <w:r>
        <w:t xml:space="preserve">ă de </w:t>
      </w:r>
      <w:r>
        <w:rPr>
          <w:spacing w:val="-3"/>
        </w:rPr>
        <w:t>v</w:t>
      </w:r>
      <w:r>
        <w:t>a</w:t>
      </w:r>
      <w:r>
        <w:rPr>
          <w:spacing w:val="1"/>
        </w:rPr>
        <w:t>l</w:t>
      </w:r>
      <w:r>
        <w:rPr>
          <w:spacing w:val="-1"/>
        </w:rPr>
        <w:t>o</w:t>
      </w:r>
      <w:r>
        <w:rPr>
          <w:spacing w:val="-3"/>
        </w:rPr>
        <w:t>a</w:t>
      </w:r>
      <w:r>
        <w:t>rea</w:t>
      </w:r>
      <w:r>
        <w:rPr>
          <w:spacing w:val="-2"/>
        </w:rPr>
        <w:t xml:space="preserve"> </w:t>
      </w:r>
      <w:r>
        <w:t>in</w:t>
      </w:r>
      <w:r>
        <w:rPr>
          <w:spacing w:val="-2"/>
        </w:rPr>
        <w:t>i</w:t>
      </w:r>
      <w:r>
        <w:rPr>
          <w:spacing w:val="1"/>
        </w:rPr>
        <w:t>ţ</w:t>
      </w:r>
      <w:r>
        <w:rPr>
          <w:spacing w:val="-2"/>
        </w:rPr>
        <w:t>i</w:t>
      </w:r>
      <w:r>
        <w:t>a</w:t>
      </w:r>
      <w:r>
        <w:rPr>
          <w:spacing w:val="-2"/>
        </w:rPr>
        <w:t>l</w:t>
      </w:r>
      <w:r>
        <w:t>ă),</w:t>
      </w:r>
      <w:r>
        <w:rPr>
          <w:spacing w:val="-3"/>
        </w:rPr>
        <w:t xml:space="preserve"> </w:t>
      </w:r>
      <w:r>
        <w:t xml:space="preserve">au </w:t>
      </w:r>
      <w:r>
        <w:rPr>
          <w:spacing w:val="-2"/>
        </w:rPr>
        <w:t>i</w:t>
      </w:r>
      <w:r>
        <w:t>n</w:t>
      </w:r>
      <w:r>
        <w:rPr>
          <w:spacing w:val="-2"/>
        </w:rPr>
        <w:t>tr</w:t>
      </w:r>
      <w:r>
        <w:t>at</w:t>
      </w:r>
      <w:r>
        <w:rPr>
          <w:spacing w:val="1"/>
        </w:rPr>
        <w:t xml:space="preserve"> </w:t>
      </w:r>
      <w:r>
        <w:rPr>
          <w:spacing w:val="-2"/>
        </w:rPr>
        <w:t>î</w:t>
      </w:r>
      <w:r>
        <w:t xml:space="preserve">n </w:t>
      </w:r>
      <w:r>
        <w:rPr>
          <w:spacing w:val="-1"/>
        </w:rPr>
        <w:t>P</w:t>
      </w:r>
      <w:r>
        <w:t>e</w:t>
      </w:r>
      <w:r>
        <w:rPr>
          <w:spacing w:val="-2"/>
        </w:rPr>
        <w:t>r</w:t>
      </w:r>
      <w:r>
        <w:rPr>
          <w:spacing w:val="1"/>
        </w:rPr>
        <w:t>i</w:t>
      </w:r>
      <w:r>
        <w:t>o</w:t>
      </w:r>
      <w:r>
        <w:rPr>
          <w:spacing w:val="-3"/>
        </w:rPr>
        <w:t>a</w:t>
      </w:r>
      <w:r>
        <w:t>da B</w:t>
      </w:r>
      <w:r>
        <w:rPr>
          <w:spacing w:val="-1"/>
        </w:rPr>
        <w:t xml:space="preserve"> </w:t>
      </w:r>
      <w:r>
        <w:rPr>
          <w:spacing w:val="-2"/>
        </w:rPr>
        <w:t>ş</w:t>
      </w:r>
      <w:r>
        <w:t>i</w:t>
      </w:r>
      <w:r>
        <w:rPr>
          <w:spacing w:val="1"/>
        </w:rPr>
        <w:t xml:space="preserve"> </w:t>
      </w:r>
      <w:r>
        <w:t>au</w:t>
      </w:r>
      <w:r>
        <w:rPr>
          <w:spacing w:val="-3"/>
        </w:rPr>
        <w:t xml:space="preserve"> </w:t>
      </w:r>
      <w:r>
        <w:t>u</w:t>
      </w:r>
      <w:r>
        <w:rPr>
          <w:spacing w:val="-2"/>
        </w:rPr>
        <w:t>t</w:t>
      </w:r>
      <w:r>
        <w:rPr>
          <w:spacing w:val="1"/>
        </w:rPr>
        <w:t>i</w:t>
      </w:r>
      <w:r>
        <w:rPr>
          <w:spacing w:val="-2"/>
        </w:rPr>
        <w:t>l</w:t>
      </w:r>
      <w:r>
        <w:rPr>
          <w:spacing w:val="1"/>
        </w:rPr>
        <w:t>i</w:t>
      </w:r>
      <w:r>
        <w:rPr>
          <w:spacing w:val="-3"/>
        </w:rPr>
        <w:t>z</w:t>
      </w:r>
      <w:r>
        <w:t>at</w:t>
      </w:r>
      <w:r>
        <w:rPr>
          <w:spacing w:val="1"/>
        </w:rPr>
        <w:t xml:space="preserve"> </w:t>
      </w:r>
      <w:r>
        <w:t>d</w:t>
      </w:r>
      <w:r>
        <w:rPr>
          <w:spacing w:val="-3"/>
        </w:rPr>
        <w:t>e</w:t>
      </w:r>
      <w:r>
        <w:t>sc</w:t>
      </w:r>
      <w:r>
        <w:rPr>
          <w:spacing w:val="-3"/>
        </w:rPr>
        <w:t>h</w:t>
      </w:r>
      <w:r>
        <w:rPr>
          <w:spacing w:val="1"/>
        </w:rPr>
        <w:t>i</w:t>
      </w:r>
      <w:r>
        <w:t>s 40</w:t>
      </w:r>
      <w:r>
        <w:rPr>
          <w:spacing w:val="-3"/>
        </w:rPr>
        <w:t> </w:t>
      </w:r>
      <w:r>
        <w:rPr>
          <w:spacing w:val="-2"/>
        </w:rPr>
        <w:t>m</w:t>
      </w:r>
      <w:r>
        <w:t>g</w:t>
      </w:r>
      <w:r>
        <w:rPr>
          <w:spacing w:val="-3"/>
        </w:rPr>
        <w:t xml:space="preserve"> </w:t>
      </w:r>
      <w:r>
        <w:rPr>
          <w:rFonts w:eastAsia="MS Mincho"/>
          <w:spacing w:val="-1"/>
          <w:szCs w:val="22"/>
          <w:lang w:eastAsia="en-US" w:bidi="ar-SA"/>
        </w:rPr>
        <w:t>adalimumab</w:t>
      </w:r>
      <w:r>
        <w:t xml:space="preserve"> </w:t>
      </w:r>
      <w:r>
        <w:rPr>
          <w:spacing w:val="1"/>
        </w:rPr>
        <w:t>l</w:t>
      </w:r>
      <w:r>
        <w:t>a</w:t>
      </w:r>
      <w:r>
        <w:rPr>
          <w:spacing w:val="-2"/>
        </w:rPr>
        <w:t xml:space="preserve"> </w:t>
      </w:r>
      <w:r>
        <w:t xml:space="preserve">două </w:t>
      </w:r>
      <w:r>
        <w:rPr>
          <w:spacing w:val="-2"/>
        </w:rPr>
        <w:t>s</w:t>
      </w:r>
      <w:r>
        <w:t>ăp</w:t>
      </w:r>
      <w:r>
        <w:rPr>
          <w:spacing w:val="-2"/>
        </w:rPr>
        <w:t>t</w:t>
      </w:r>
      <w:r>
        <w:t>ă</w:t>
      </w:r>
      <w:r>
        <w:rPr>
          <w:spacing w:val="-4"/>
        </w:rPr>
        <w:t>m</w:t>
      </w:r>
      <w:r>
        <w:t>ân</w:t>
      </w:r>
      <w:r>
        <w:rPr>
          <w:spacing w:val="1"/>
        </w:rPr>
        <w:t>i</w:t>
      </w:r>
      <w:r>
        <w:t xml:space="preserve">. </w:t>
      </w:r>
      <w:r>
        <w:rPr>
          <w:spacing w:val="-1"/>
        </w:rPr>
        <w:t>P</w:t>
      </w:r>
      <w:r>
        <w:t>ac</w:t>
      </w:r>
      <w:r>
        <w:rPr>
          <w:spacing w:val="1"/>
        </w:rPr>
        <w:t>i</w:t>
      </w:r>
      <w:r>
        <w:rPr>
          <w:spacing w:val="-3"/>
        </w:rPr>
        <w:t>e</w:t>
      </w:r>
      <w:r>
        <w:t>n</w:t>
      </w:r>
      <w:r>
        <w:rPr>
          <w:spacing w:val="-2"/>
        </w:rPr>
        <w:t>ţ</w:t>
      </w:r>
      <w:r>
        <w:rPr>
          <w:spacing w:val="1"/>
        </w:rPr>
        <w:t>i</w:t>
      </w:r>
      <w:r>
        <w:t>i</w:t>
      </w:r>
      <w:r>
        <w:rPr>
          <w:spacing w:val="-2"/>
        </w:rPr>
        <w:t xml:space="preserve"> </w:t>
      </w:r>
      <w:r>
        <w:t>ca</w:t>
      </w:r>
      <w:r>
        <w:rPr>
          <w:spacing w:val="-2"/>
        </w:rPr>
        <w:t>r</w:t>
      </w:r>
      <w:r>
        <w:t xml:space="preserve">e au </w:t>
      </w:r>
      <w:r>
        <w:rPr>
          <w:spacing w:val="-4"/>
        </w:rPr>
        <w:t>m</w:t>
      </w:r>
      <w:r>
        <w:t>en</w:t>
      </w:r>
      <w:r>
        <w:rPr>
          <w:spacing w:val="-2"/>
        </w:rPr>
        <w:t>ţ</w:t>
      </w:r>
      <w:r>
        <w:rPr>
          <w:spacing w:val="1"/>
        </w:rPr>
        <w:t>i</w:t>
      </w:r>
      <w:r>
        <w:t>nut</w:t>
      </w:r>
      <w:r>
        <w:rPr>
          <w:spacing w:val="-2"/>
        </w:rPr>
        <w:t xml:space="preserve"> </w:t>
      </w:r>
      <w:r>
        <w:rPr>
          <w:spacing w:val="-3"/>
        </w:rPr>
        <w:t>u</w:t>
      </w:r>
      <w:r>
        <w:t>n ră</w:t>
      </w:r>
      <w:r>
        <w:rPr>
          <w:spacing w:val="-2"/>
        </w:rPr>
        <w:t>s</w:t>
      </w:r>
      <w:r>
        <w:t>puns</w:t>
      </w:r>
      <w:r>
        <w:rPr>
          <w:spacing w:val="-2"/>
        </w:rPr>
        <w:t xml:space="preserve"> </w:t>
      </w:r>
      <w:r>
        <w:rPr>
          <w:spacing w:val="1"/>
        </w:rPr>
        <w:t>≥</w:t>
      </w:r>
      <w:r>
        <w:rPr>
          <w:spacing w:val="-1"/>
        </w:rPr>
        <w:t>PAS</w:t>
      </w:r>
      <w:r>
        <w:t>I</w:t>
      </w:r>
      <w:r>
        <w:rPr>
          <w:spacing w:val="-4"/>
        </w:rPr>
        <w:t xml:space="preserve"> </w:t>
      </w:r>
      <w:r>
        <w:t xml:space="preserve">75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33 şi</w:t>
      </w:r>
      <w:r>
        <w:rPr>
          <w:spacing w:val="-2"/>
        </w:rPr>
        <w:t xml:space="preserve"> </w:t>
      </w:r>
      <w:r>
        <w:t>au f</w:t>
      </w:r>
      <w:r>
        <w:rPr>
          <w:spacing w:val="-3"/>
        </w:rPr>
        <w:t>o</w:t>
      </w:r>
      <w:r>
        <w:t>st</w:t>
      </w:r>
      <w:r>
        <w:rPr>
          <w:spacing w:val="-2"/>
        </w:rPr>
        <w:t xml:space="preserve"> </w:t>
      </w:r>
      <w:r>
        <w:rPr>
          <w:spacing w:val="1"/>
        </w:rPr>
        <w:t>i</w:t>
      </w:r>
      <w:r>
        <w:rPr>
          <w:spacing w:val="-3"/>
        </w:rPr>
        <w:t>n</w:t>
      </w:r>
      <w:r>
        <w:rPr>
          <w:spacing w:val="1"/>
        </w:rPr>
        <w:t>i</w:t>
      </w:r>
      <w:r>
        <w:rPr>
          <w:spacing w:val="-2"/>
        </w:rPr>
        <w:t>ţ</w:t>
      </w:r>
      <w:r>
        <w:rPr>
          <w:spacing w:val="1"/>
        </w:rPr>
        <w:t>i</w:t>
      </w:r>
      <w:r>
        <w:t>al</w:t>
      </w:r>
      <w:r>
        <w:rPr>
          <w:spacing w:val="-2"/>
        </w:rPr>
        <w:t xml:space="preserve"> r</w:t>
      </w:r>
      <w:r>
        <w:t>ando</w:t>
      </w:r>
      <w:r>
        <w:rPr>
          <w:spacing w:val="-4"/>
        </w:rPr>
        <w:t>m</w:t>
      </w:r>
      <w:r>
        <w:rPr>
          <w:spacing w:val="1"/>
        </w:rPr>
        <w:t>i</w:t>
      </w:r>
      <w:r>
        <w:rPr>
          <w:spacing w:val="-3"/>
        </w:rPr>
        <w:t>z</w:t>
      </w:r>
      <w:r>
        <w:t>a</w:t>
      </w:r>
      <w:r>
        <w:rPr>
          <w:spacing w:val="1"/>
        </w:rPr>
        <w:t>ţ</w:t>
      </w:r>
      <w:r>
        <w:t>i</w:t>
      </w:r>
      <w:r>
        <w:rPr>
          <w:spacing w:val="1"/>
        </w:rPr>
        <w:t xml:space="preserve"> </w:t>
      </w:r>
      <w:r>
        <w:t xml:space="preserve">cu </w:t>
      </w:r>
      <w:r>
        <w:rPr>
          <w:spacing w:val="1"/>
        </w:rPr>
        <w:t>t</w:t>
      </w:r>
      <w:r>
        <w:t>r</w:t>
      </w:r>
      <w:r>
        <w:rPr>
          <w:spacing w:val="-3"/>
        </w:rPr>
        <w:t>a</w:t>
      </w:r>
      <w:r>
        <w:rPr>
          <w:spacing w:val="1"/>
        </w:rPr>
        <w:t>t</w:t>
      </w:r>
      <w:r>
        <w:t>a</w:t>
      </w:r>
      <w:r>
        <w:rPr>
          <w:spacing w:val="-4"/>
        </w:rPr>
        <w:t>m</w:t>
      </w:r>
      <w:r>
        <w:t>ent</w:t>
      </w:r>
      <w:r>
        <w:rPr>
          <w:spacing w:val="1"/>
        </w:rPr>
        <w:t xml:space="preserve"> </w:t>
      </w:r>
      <w:r>
        <w:rPr>
          <w:spacing w:val="-3"/>
        </w:rPr>
        <w:t>a</w:t>
      </w:r>
      <w:r>
        <w:t>c</w:t>
      </w:r>
      <w:r>
        <w:rPr>
          <w:spacing w:val="-2"/>
        </w:rPr>
        <w:t>t</w:t>
      </w:r>
      <w:r>
        <w:rPr>
          <w:spacing w:val="1"/>
        </w:rPr>
        <w:t>i</w:t>
      </w:r>
      <w:r>
        <w:t>v</w:t>
      </w:r>
      <w:r>
        <w:rPr>
          <w:spacing w:val="-3"/>
        </w:rPr>
        <w:t xml:space="preserve"> </w:t>
      </w:r>
      <w:r>
        <w:rPr>
          <w:spacing w:val="1"/>
        </w:rPr>
        <w:t>î</w:t>
      </w:r>
      <w:r>
        <w:t xml:space="preserve">n </w:t>
      </w:r>
      <w:r>
        <w:rPr>
          <w:spacing w:val="-1"/>
        </w:rPr>
        <w:t>P</w:t>
      </w:r>
      <w:r>
        <w:t>e</w:t>
      </w:r>
      <w:r>
        <w:rPr>
          <w:spacing w:val="-2"/>
        </w:rPr>
        <w:t>r</w:t>
      </w:r>
      <w:r>
        <w:rPr>
          <w:spacing w:val="1"/>
        </w:rPr>
        <w:t>i</w:t>
      </w:r>
      <w:r>
        <w:t>o</w:t>
      </w:r>
      <w:r>
        <w:rPr>
          <w:spacing w:val="-3"/>
        </w:rPr>
        <w:t>a</w:t>
      </w:r>
      <w:r>
        <w:t>da</w:t>
      </w:r>
      <w:r>
        <w:rPr>
          <w:spacing w:val="-2"/>
        </w:rPr>
        <w:t xml:space="preserve"> </w:t>
      </w:r>
      <w:r>
        <w:rPr>
          <w:spacing w:val="-1"/>
        </w:rPr>
        <w:t>A</w:t>
      </w:r>
      <w:r>
        <w:t>, au fo</w:t>
      </w:r>
      <w:r>
        <w:rPr>
          <w:spacing w:val="-2"/>
        </w:rPr>
        <w:t>s</w:t>
      </w:r>
      <w:r>
        <w:t>t</w:t>
      </w:r>
      <w:r>
        <w:rPr>
          <w:spacing w:val="-2"/>
        </w:rPr>
        <w:t xml:space="preserve"> </w:t>
      </w:r>
      <w:r>
        <w:t>re</w:t>
      </w:r>
      <w:r>
        <w:rPr>
          <w:spacing w:val="-4"/>
        </w:rPr>
        <w:t>-</w:t>
      </w:r>
      <w:r>
        <w:t>rando</w:t>
      </w:r>
      <w:r>
        <w:rPr>
          <w:spacing w:val="-4"/>
        </w:rPr>
        <w:t>m</w:t>
      </w:r>
      <w:r>
        <w:rPr>
          <w:spacing w:val="1"/>
        </w:rPr>
        <w:t>i</w:t>
      </w:r>
      <w:r>
        <w:rPr>
          <w:spacing w:val="-3"/>
        </w:rPr>
        <w:t>z</w:t>
      </w:r>
      <w:r>
        <w:t>a</w:t>
      </w:r>
      <w:r>
        <w:rPr>
          <w:spacing w:val="1"/>
        </w:rPr>
        <w:t>ţ</w:t>
      </w:r>
      <w:r>
        <w:t>i</w:t>
      </w:r>
      <w:r>
        <w:rPr>
          <w:spacing w:val="1"/>
        </w:rPr>
        <w:t xml:space="preserve"> î</w:t>
      </w:r>
      <w:r>
        <w:t>n</w:t>
      </w:r>
      <w:r>
        <w:rPr>
          <w:spacing w:val="-3"/>
        </w:rPr>
        <w:t xml:space="preserve"> </w:t>
      </w:r>
      <w:r>
        <w:rPr>
          <w:spacing w:val="-1"/>
        </w:rPr>
        <w:t>P</w:t>
      </w:r>
      <w:r>
        <w:t>er</w:t>
      </w:r>
      <w:r>
        <w:rPr>
          <w:spacing w:val="-2"/>
        </w:rPr>
        <w:t>i</w:t>
      </w:r>
      <w:r>
        <w:t>oada C</w:t>
      </w:r>
      <w:r>
        <w:rPr>
          <w:spacing w:val="-4"/>
        </w:rPr>
        <w:t xml:space="preserve"> </w:t>
      </w:r>
      <w:r>
        <w:t xml:space="preserve">să </w:t>
      </w:r>
      <w:r>
        <w:rPr>
          <w:spacing w:val="-3"/>
        </w:rPr>
        <w:t>u</w:t>
      </w:r>
      <w:r>
        <w:rPr>
          <w:spacing w:val="1"/>
        </w:rPr>
        <w:t>t</w:t>
      </w:r>
      <w:r>
        <w:rPr>
          <w:spacing w:val="-2"/>
        </w:rPr>
        <w:t>i</w:t>
      </w:r>
      <w:r>
        <w:rPr>
          <w:spacing w:val="1"/>
        </w:rPr>
        <w:t>li</w:t>
      </w:r>
      <w:r>
        <w:rPr>
          <w:spacing w:val="-3"/>
        </w:rPr>
        <w:t>z</w:t>
      </w:r>
      <w:r>
        <w:t>e</w:t>
      </w:r>
      <w:r>
        <w:rPr>
          <w:spacing w:val="-3"/>
        </w:rPr>
        <w:t>z</w:t>
      </w:r>
      <w:r>
        <w:t>e 40</w:t>
      </w:r>
      <w:r>
        <w:rPr>
          <w:spacing w:val="-3"/>
        </w:rPr>
        <w:t> </w:t>
      </w:r>
      <w:r>
        <w:rPr>
          <w:spacing w:val="-2"/>
        </w:rPr>
        <w:t>m</w:t>
      </w:r>
      <w:r>
        <w:t>g</w:t>
      </w:r>
      <w:r>
        <w:rPr>
          <w:spacing w:val="-3"/>
        </w:rPr>
        <w:t xml:space="preserve"> </w:t>
      </w:r>
      <w:r>
        <w:rPr>
          <w:rFonts w:eastAsia="MS Mincho"/>
          <w:spacing w:val="-1"/>
          <w:szCs w:val="22"/>
          <w:lang w:eastAsia="en-US" w:bidi="ar-SA"/>
        </w:rPr>
        <w:t>adalimumab</w:t>
      </w:r>
      <w:r>
        <w:t xml:space="preserve"> </w:t>
      </w:r>
      <w:r>
        <w:rPr>
          <w:spacing w:val="1"/>
        </w:rPr>
        <w:t>l</w:t>
      </w:r>
      <w:r>
        <w:t>a do</w:t>
      </w:r>
      <w:r>
        <w:rPr>
          <w:spacing w:val="-3"/>
        </w:rPr>
        <w:t>u</w:t>
      </w:r>
      <w:r>
        <w:t>ă săp</w:t>
      </w:r>
      <w:r>
        <w:rPr>
          <w:spacing w:val="-2"/>
        </w:rPr>
        <w:t>t</w:t>
      </w:r>
      <w:r>
        <w:t>ă</w:t>
      </w:r>
      <w:r>
        <w:rPr>
          <w:spacing w:val="-4"/>
        </w:rPr>
        <w:t>m</w:t>
      </w:r>
      <w:r>
        <w:t>âni</w:t>
      </w:r>
      <w:r>
        <w:rPr>
          <w:spacing w:val="1"/>
        </w:rPr>
        <w:t xml:space="preserve"> </w:t>
      </w:r>
      <w:r>
        <w:t xml:space="preserve">sau </w:t>
      </w:r>
      <w:r>
        <w:rPr>
          <w:spacing w:val="-3"/>
        </w:rPr>
        <w:t>p</w:t>
      </w:r>
      <w:r>
        <w:rPr>
          <w:spacing w:val="1"/>
        </w:rPr>
        <w:t>l</w:t>
      </w:r>
      <w:r>
        <w:rPr>
          <w:spacing w:val="-3"/>
        </w:rPr>
        <w:t>a</w:t>
      </w:r>
      <w:r>
        <w:t xml:space="preserve">cebo </w:t>
      </w:r>
      <w:r>
        <w:rPr>
          <w:spacing w:val="-3"/>
        </w:rPr>
        <w:t>p</w:t>
      </w:r>
      <w:r>
        <w:t>en</w:t>
      </w:r>
      <w:r>
        <w:rPr>
          <w:spacing w:val="-2"/>
        </w:rPr>
        <w:t>t</w:t>
      </w:r>
      <w:r>
        <w:t xml:space="preserve">ru </w:t>
      </w:r>
      <w:r>
        <w:rPr>
          <w:spacing w:val="1"/>
        </w:rPr>
        <w:t>î</w:t>
      </w:r>
      <w:r>
        <w:rPr>
          <w:spacing w:val="-3"/>
        </w:rPr>
        <w:t>n</w:t>
      </w:r>
      <w:r>
        <w:t>că 19</w:t>
      </w:r>
      <w:r>
        <w:rPr>
          <w:spacing w:val="-3"/>
        </w:rPr>
        <w:t xml:space="preserve"> </w:t>
      </w:r>
      <w:r>
        <w:t>să</w:t>
      </w:r>
      <w:r>
        <w:rPr>
          <w:spacing w:val="-3"/>
        </w:rPr>
        <w:t>p</w:t>
      </w:r>
      <w:r>
        <w:rPr>
          <w:spacing w:val="1"/>
        </w:rPr>
        <w:t>t</w:t>
      </w:r>
      <w:r>
        <w:t>ă</w:t>
      </w:r>
      <w:r>
        <w:rPr>
          <w:spacing w:val="-4"/>
        </w:rPr>
        <w:t>m</w:t>
      </w:r>
      <w:r>
        <w:t>ân</w:t>
      </w:r>
      <w:r>
        <w:rPr>
          <w:spacing w:val="1"/>
        </w:rPr>
        <w:t>i</w:t>
      </w:r>
      <w:r>
        <w:t xml:space="preserve">. </w:t>
      </w:r>
      <w:r>
        <w:rPr>
          <w:spacing w:val="-1"/>
        </w:rPr>
        <w:t>P</w:t>
      </w:r>
      <w:r>
        <w:rPr>
          <w:spacing w:val="-3"/>
        </w:rPr>
        <w:t>e</w:t>
      </w:r>
      <w:r>
        <w:t>n</w:t>
      </w:r>
      <w:r>
        <w:rPr>
          <w:spacing w:val="-2"/>
        </w:rPr>
        <w:t>tr</w:t>
      </w:r>
      <w:r>
        <w:t xml:space="preserve">u </w:t>
      </w:r>
      <w:r>
        <w:rPr>
          <w:spacing w:val="1"/>
        </w:rPr>
        <w:t>t</w:t>
      </w:r>
      <w:r>
        <w:t>o</w:t>
      </w:r>
      <w:r>
        <w:rPr>
          <w:spacing w:val="-3"/>
        </w:rPr>
        <w:t>a</w:t>
      </w:r>
      <w:r>
        <w:rPr>
          <w:spacing w:val="1"/>
        </w:rPr>
        <w:t>t</w:t>
      </w:r>
      <w:r>
        <w:t xml:space="preserve">e </w:t>
      </w:r>
      <w:r>
        <w:rPr>
          <w:spacing w:val="-3"/>
        </w:rPr>
        <w:t>g</w:t>
      </w:r>
      <w:r>
        <w:t>rup</w:t>
      </w:r>
      <w:r>
        <w:rPr>
          <w:spacing w:val="-3"/>
        </w:rPr>
        <w:t>e</w:t>
      </w:r>
      <w:r>
        <w:rPr>
          <w:spacing w:val="1"/>
        </w:rPr>
        <w:t>l</w:t>
      </w:r>
      <w:r>
        <w:t>e</w:t>
      </w:r>
      <w:r>
        <w:rPr>
          <w:spacing w:val="-2"/>
        </w:rPr>
        <w:t xml:space="preserve"> </w:t>
      </w:r>
      <w:r>
        <w:t xml:space="preserve">de </w:t>
      </w:r>
      <w:r>
        <w:rPr>
          <w:spacing w:val="-2"/>
        </w:rPr>
        <w:t>t</w:t>
      </w:r>
      <w:r>
        <w:t>r</w:t>
      </w:r>
      <w:r>
        <w:rPr>
          <w:spacing w:val="-3"/>
        </w:rPr>
        <w:t>a</w:t>
      </w:r>
      <w:r>
        <w:rPr>
          <w:spacing w:val="1"/>
        </w:rPr>
        <w:t>t</w:t>
      </w:r>
      <w:r>
        <w:t>a</w:t>
      </w:r>
      <w:r>
        <w:rPr>
          <w:spacing w:val="-4"/>
        </w:rPr>
        <w:t>m</w:t>
      </w:r>
      <w:r>
        <w:t>en</w:t>
      </w:r>
      <w:r>
        <w:rPr>
          <w:spacing w:val="-2"/>
        </w:rPr>
        <w:t>t</w:t>
      </w:r>
      <w:r>
        <w:t>, sco</w:t>
      </w:r>
      <w:r>
        <w:rPr>
          <w:spacing w:val="-2"/>
        </w:rPr>
        <w:t>r</w:t>
      </w:r>
      <w:r>
        <w:t>ul</w:t>
      </w:r>
      <w:r>
        <w:rPr>
          <w:spacing w:val="1"/>
        </w:rPr>
        <w:t xml:space="preserve"> </w:t>
      </w:r>
      <w:r>
        <w:rPr>
          <w:spacing w:val="-4"/>
        </w:rPr>
        <w:t>m</w:t>
      </w:r>
      <w:r>
        <w:t>ed</w:t>
      </w:r>
      <w:r>
        <w:rPr>
          <w:spacing w:val="1"/>
        </w:rPr>
        <w:t>i</w:t>
      </w:r>
      <w:r>
        <w:t xml:space="preserve">u </w:t>
      </w:r>
      <w:r>
        <w:rPr>
          <w:spacing w:val="1"/>
        </w:rPr>
        <w:t>i</w:t>
      </w:r>
      <w:r>
        <w:t>n</w:t>
      </w:r>
      <w:r>
        <w:rPr>
          <w:spacing w:val="-2"/>
        </w:rPr>
        <w:t>i</w:t>
      </w:r>
      <w:r>
        <w:rPr>
          <w:spacing w:val="1"/>
        </w:rPr>
        <w:t>ţ</w:t>
      </w:r>
      <w:r>
        <w:rPr>
          <w:spacing w:val="-2"/>
        </w:rPr>
        <w:t>i</w:t>
      </w:r>
      <w:r>
        <w:t>al</w:t>
      </w:r>
      <w:r>
        <w:rPr>
          <w:spacing w:val="1"/>
        </w:rPr>
        <w:t xml:space="preserve"> </w:t>
      </w:r>
      <w:r>
        <w:rPr>
          <w:spacing w:val="-1"/>
        </w:rPr>
        <w:t>PAS</w:t>
      </w:r>
      <w:r>
        <w:t>I</w:t>
      </w:r>
      <w:r>
        <w:rPr>
          <w:spacing w:val="-4"/>
        </w:rPr>
        <w:t xml:space="preserve"> </w:t>
      </w:r>
      <w:r>
        <w:t>a fost</w:t>
      </w:r>
      <w:r>
        <w:rPr>
          <w:spacing w:val="-2"/>
        </w:rPr>
        <w:t xml:space="preserve"> </w:t>
      </w:r>
      <w:r>
        <w:t>de 1</w:t>
      </w:r>
      <w:r>
        <w:rPr>
          <w:spacing w:val="-3"/>
        </w:rPr>
        <w:t>8</w:t>
      </w:r>
      <w:r>
        <w:t xml:space="preserve">,9 </w:t>
      </w:r>
      <w:r>
        <w:rPr>
          <w:spacing w:val="-2"/>
        </w:rPr>
        <w:t>ş</w:t>
      </w:r>
      <w:r>
        <w:t>i</w:t>
      </w:r>
      <w:r>
        <w:rPr>
          <w:spacing w:val="1"/>
        </w:rPr>
        <w:t xml:space="preserve"> </w:t>
      </w:r>
      <w:r>
        <w:t>sc</w:t>
      </w:r>
      <w:r>
        <w:rPr>
          <w:spacing w:val="-3"/>
        </w:rPr>
        <w:t>o</w:t>
      </w:r>
      <w:r>
        <w:t>r</w:t>
      </w:r>
      <w:r>
        <w:rPr>
          <w:spacing w:val="-3"/>
        </w:rPr>
        <w:t>u</w:t>
      </w:r>
      <w:r>
        <w:t>l</w:t>
      </w:r>
      <w:r>
        <w:rPr>
          <w:spacing w:val="1"/>
        </w:rPr>
        <w:t xml:space="preserve"> i</w:t>
      </w:r>
      <w:r>
        <w:rPr>
          <w:spacing w:val="-3"/>
        </w:rPr>
        <w:t>n</w:t>
      </w:r>
      <w:r>
        <w:rPr>
          <w:spacing w:val="1"/>
        </w:rPr>
        <w:t>i</w:t>
      </w:r>
      <w:r>
        <w:rPr>
          <w:spacing w:val="-2"/>
        </w:rPr>
        <w:t>ţ</w:t>
      </w:r>
      <w:r>
        <w:rPr>
          <w:spacing w:val="1"/>
        </w:rPr>
        <w:t>i</w:t>
      </w:r>
      <w:r>
        <w:rPr>
          <w:spacing w:val="-3"/>
        </w:rPr>
        <w:t>a</w:t>
      </w:r>
      <w:r>
        <w:t>l</w:t>
      </w:r>
      <w:r>
        <w:rPr>
          <w:spacing w:val="1"/>
        </w:rPr>
        <w:t xml:space="preserve"> </w:t>
      </w:r>
      <w:r>
        <w:t xml:space="preserve">de </w:t>
      </w:r>
      <w:r>
        <w:rPr>
          <w:spacing w:val="-1"/>
        </w:rPr>
        <w:t>E</w:t>
      </w:r>
      <w:r>
        <w:rPr>
          <w:spacing w:val="-3"/>
        </w:rPr>
        <w:t>v</w:t>
      </w:r>
      <w:r>
        <w:t>a</w:t>
      </w:r>
      <w:r>
        <w:rPr>
          <w:spacing w:val="-2"/>
        </w:rPr>
        <w:t>l</w:t>
      </w:r>
      <w:r>
        <w:t>ua</w:t>
      </w:r>
      <w:r>
        <w:rPr>
          <w:spacing w:val="-2"/>
        </w:rPr>
        <w:t>r</w:t>
      </w:r>
      <w:r>
        <w:t>ea</w:t>
      </w:r>
      <w:r>
        <w:rPr>
          <w:spacing w:val="-2"/>
        </w:rPr>
        <w:t xml:space="preserve"> </w:t>
      </w:r>
      <w:r>
        <w:t>Me</w:t>
      </w:r>
      <w:r>
        <w:rPr>
          <w:spacing w:val="-3"/>
        </w:rPr>
        <w:t>d</w:t>
      </w:r>
      <w:r>
        <w:rPr>
          <w:spacing w:val="1"/>
        </w:rPr>
        <w:t>i</w:t>
      </w:r>
      <w:r>
        <w:t>c</w:t>
      </w:r>
      <w:r>
        <w:rPr>
          <w:spacing w:val="-3"/>
        </w:rPr>
        <w:t>a</w:t>
      </w:r>
      <w:r>
        <w:rPr>
          <w:spacing w:val="1"/>
        </w:rPr>
        <w:t>l</w:t>
      </w:r>
      <w:r>
        <w:t xml:space="preserve">ă </w:t>
      </w:r>
      <w:r>
        <w:rPr>
          <w:spacing w:val="-1"/>
        </w:rPr>
        <w:t>G</w:t>
      </w:r>
      <w:r>
        <w:rPr>
          <w:spacing w:val="-2"/>
        </w:rPr>
        <w:t>l</w:t>
      </w:r>
      <w:r>
        <w:t>ob</w:t>
      </w:r>
      <w:r>
        <w:rPr>
          <w:spacing w:val="-3"/>
        </w:rPr>
        <w:t>a</w:t>
      </w:r>
      <w:r>
        <w:rPr>
          <w:spacing w:val="1"/>
        </w:rPr>
        <w:t>l</w:t>
      </w:r>
      <w:r>
        <w:t>ă (</w:t>
      </w:r>
      <w:r>
        <w:rPr>
          <w:spacing w:val="-1"/>
        </w:rPr>
        <w:t>PG</w:t>
      </w:r>
      <w:r>
        <w:rPr>
          <w:spacing w:val="-4"/>
        </w:rPr>
        <w:t>A</w:t>
      </w:r>
      <w:r>
        <w:t>)</w:t>
      </w:r>
      <w:r>
        <w:rPr>
          <w:spacing w:val="1"/>
        </w:rPr>
        <w:t xml:space="preserve"> </w:t>
      </w:r>
      <w:r>
        <w:t>a</w:t>
      </w:r>
      <w:r>
        <w:rPr>
          <w:spacing w:val="-2"/>
        </w:rPr>
        <w:t xml:space="preserve"> </w:t>
      </w:r>
      <w:r>
        <w:t>fo</w:t>
      </w:r>
      <w:r>
        <w:rPr>
          <w:spacing w:val="-2"/>
        </w:rPr>
        <w:t>s</w:t>
      </w:r>
      <w:r>
        <w:t>t</w:t>
      </w:r>
      <w:r>
        <w:rPr>
          <w:spacing w:val="1"/>
        </w:rPr>
        <w:t xml:space="preserve"> </w:t>
      </w:r>
      <w:r>
        <w:t>c</w:t>
      </w:r>
      <w:r>
        <w:rPr>
          <w:spacing w:val="-2"/>
        </w:rPr>
        <w:t>l</w:t>
      </w:r>
      <w:r>
        <w:t>a</w:t>
      </w:r>
      <w:r>
        <w:rPr>
          <w:spacing w:val="-2"/>
        </w:rPr>
        <w:t>s</w:t>
      </w:r>
      <w:r>
        <w:rPr>
          <w:spacing w:val="1"/>
        </w:rPr>
        <w:t>i</w:t>
      </w:r>
      <w:r>
        <w:rPr>
          <w:spacing w:val="-2"/>
        </w:rPr>
        <w:t>f</w:t>
      </w:r>
      <w:r>
        <w:rPr>
          <w:spacing w:val="1"/>
        </w:rPr>
        <w:t>i</w:t>
      </w:r>
      <w:r>
        <w:t>c</w:t>
      </w:r>
      <w:r>
        <w:rPr>
          <w:spacing w:val="-3"/>
        </w:rPr>
        <w:t>a</w:t>
      </w:r>
      <w:r>
        <w:t>t</w:t>
      </w:r>
      <w:r>
        <w:rPr>
          <w:spacing w:val="1"/>
        </w:rPr>
        <w:t xml:space="preserve"> </w:t>
      </w:r>
      <w:r>
        <w:t>de</w:t>
      </w:r>
      <w:r>
        <w:rPr>
          <w:spacing w:val="-2"/>
        </w:rPr>
        <w:t xml:space="preserve"> </w:t>
      </w:r>
      <w:r>
        <w:rPr>
          <w:spacing w:val="1"/>
        </w:rPr>
        <w:t>l</w:t>
      </w:r>
      <w:r>
        <w:t>a “</w:t>
      </w:r>
      <w:r>
        <w:rPr>
          <w:spacing w:val="-4"/>
        </w:rPr>
        <w:t>m</w:t>
      </w:r>
      <w:r>
        <w:t>odera</w:t>
      </w:r>
      <w:r>
        <w:rPr>
          <w:spacing w:val="1"/>
        </w:rPr>
        <w:t>t</w:t>
      </w:r>
      <w:r>
        <w:t>”</w:t>
      </w:r>
      <w:r>
        <w:rPr>
          <w:spacing w:val="-2"/>
        </w:rPr>
        <w:t xml:space="preserve"> </w:t>
      </w:r>
      <w:r>
        <w:t>(au</w:t>
      </w:r>
      <w:r>
        <w:rPr>
          <w:spacing w:val="-3"/>
        </w:rPr>
        <w:t xml:space="preserve"> </w:t>
      </w:r>
      <w:r>
        <w:t>fo</w:t>
      </w:r>
      <w:r>
        <w:rPr>
          <w:spacing w:val="-2"/>
        </w:rPr>
        <w:t>s</w:t>
      </w:r>
      <w:r>
        <w:t>t</w:t>
      </w:r>
      <w:r>
        <w:rPr>
          <w:spacing w:val="1"/>
        </w:rPr>
        <w:t xml:space="preserve"> </w:t>
      </w:r>
      <w:r>
        <w:rPr>
          <w:spacing w:val="-2"/>
        </w:rPr>
        <w:t>i</w:t>
      </w:r>
      <w:r>
        <w:t>nc</w:t>
      </w:r>
      <w:r>
        <w:rPr>
          <w:spacing w:val="-2"/>
        </w:rPr>
        <w:t>l</w:t>
      </w:r>
      <w:r>
        <w:t>uşi</w:t>
      </w:r>
      <w:r>
        <w:rPr>
          <w:spacing w:val="-2"/>
        </w:rPr>
        <w:t xml:space="preserve"> </w:t>
      </w:r>
      <w:r>
        <w:rPr>
          <w:spacing w:val="-3"/>
        </w:rPr>
        <w:t>5</w:t>
      </w:r>
      <w:r>
        <w:t>3%</w:t>
      </w:r>
      <w:r>
        <w:rPr>
          <w:spacing w:val="1"/>
        </w:rPr>
        <w:t xml:space="preserve"> </w:t>
      </w:r>
      <w:r>
        <w:rPr>
          <w:spacing w:val="-3"/>
        </w:rPr>
        <w:t>d</w:t>
      </w:r>
      <w:r>
        <w:rPr>
          <w:spacing w:val="1"/>
        </w:rPr>
        <w:t>i</w:t>
      </w:r>
      <w:r>
        <w:t>n su</w:t>
      </w:r>
      <w:r>
        <w:rPr>
          <w:spacing w:val="-3"/>
        </w:rPr>
        <w:t>b</w:t>
      </w:r>
      <w:r>
        <w:rPr>
          <w:spacing w:val="1"/>
        </w:rPr>
        <w:t>i</w:t>
      </w:r>
      <w:r>
        <w:rPr>
          <w:spacing w:val="-3"/>
        </w:rPr>
        <w:t>e</w:t>
      </w:r>
      <w:r>
        <w:t>c</w:t>
      </w:r>
      <w:r>
        <w:rPr>
          <w:spacing w:val="-2"/>
        </w:rPr>
        <w:t>ţ</w:t>
      </w:r>
      <w:r>
        <w:rPr>
          <w:spacing w:val="1"/>
        </w:rPr>
        <w:t>i</w:t>
      </w:r>
      <w:r>
        <w:t>),</w:t>
      </w:r>
      <w:r>
        <w:rPr>
          <w:spacing w:val="-3"/>
        </w:rPr>
        <w:t xml:space="preserve"> </w:t>
      </w:r>
      <w:r>
        <w:rPr>
          <w:spacing w:val="1"/>
        </w:rPr>
        <w:t>l</w:t>
      </w:r>
      <w:r>
        <w:t>a</w:t>
      </w:r>
      <w:r>
        <w:rPr>
          <w:spacing w:val="-2"/>
        </w:rPr>
        <w:t xml:space="preserve"> </w:t>
      </w:r>
      <w:r>
        <w:t>“se</w:t>
      </w:r>
      <w:r>
        <w:rPr>
          <w:spacing w:val="-3"/>
        </w:rPr>
        <w:t>v</w:t>
      </w:r>
      <w:r>
        <w:t>er</w:t>
      </w:r>
      <w:r>
        <w:rPr>
          <w:spacing w:val="-3"/>
        </w:rPr>
        <w:t>”</w:t>
      </w:r>
      <w:r>
        <w:t>(41</w:t>
      </w:r>
      <w:r>
        <w:rPr>
          <w:spacing w:val="-2"/>
        </w:rPr>
        <w:t>%</w:t>
      </w:r>
      <w:r>
        <w:t>)</w:t>
      </w:r>
      <w:r>
        <w:rPr>
          <w:spacing w:val="1"/>
        </w:rPr>
        <w:t xml:space="preserve"> </w:t>
      </w:r>
      <w:r>
        <w:rPr>
          <w:spacing w:val="-2"/>
        </w:rPr>
        <w:t>ş</w:t>
      </w:r>
      <w:r>
        <w:t>i</w:t>
      </w:r>
      <w:r>
        <w:rPr>
          <w:spacing w:val="1"/>
        </w:rPr>
        <w:t xml:space="preserve"> </w:t>
      </w:r>
      <w:r>
        <w:rPr>
          <w:spacing w:val="-2"/>
        </w:rPr>
        <w:t>l</w:t>
      </w:r>
      <w:r>
        <w:t xml:space="preserve">a </w:t>
      </w:r>
      <w:r>
        <w:rPr>
          <w:spacing w:val="-3"/>
        </w:rPr>
        <w:t>“</w:t>
      </w:r>
      <w:r>
        <w:t>fo</w:t>
      </w:r>
      <w:r>
        <w:rPr>
          <w:spacing w:val="-3"/>
        </w:rPr>
        <w:t>a</w:t>
      </w:r>
      <w:r>
        <w:t>r</w:t>
      </w:r>
      <w:r>
        <w:rPr>
          <w:spacing w:val="1"/>
        </w:rPr>
        <w:t>t</w:t>
      </w:r>
      <w:r>
        <w:t>e</w:t>
      </w:r>
      <w:r>
        <w:rPr>
          <w:spacing w:val="-2"/>
        </w:rPr>
        <w:t xml:space="preserve"> </w:t>
      </w:r>
      <w:r>
        <w:t>se</w:t>
      </w:r>
      <w:r>
        <w:rPr>
          <w:spacing w:val="-3"/>
        </w:rPr>
        <w:t>v</w:t>
      </w:r>
      <w:r>
        <w:t>er”</w:t>
      </w:r>
      <w:r>
        <w:rPr>
          <w:spacing w:val="-2"/>
        </w:rPr>
        <w:t xml:space="preserve"> (</w:t>
      </w:r>
      <w:r>
        <w:t>6%).</w:t>
      </w:r>
    </w:p>
    <w:p w14:paraId="6E8A34CB" w14:textId="77777777" w:rsidR="00C04CAD" w:rsidRDefault="00C04CAD">
      <w:pPr>
        <w:tabs>
          <w:tab w:val="clear" w:pos="567"/>
        </w:tabs>
        <w:kinsoku w:val="0"/>
        <w:overflowPunct w:val="0"/>
        <w:autoSpaceDE w:val="0"/>
        <w:autoSpaceDN w:val="0"/>
        <w:adjustRightInd w:val="0"/>
        <w:spacing w:line="240" w:lineRule="auto"/>
        <w:rPr>
          <w:szCs w:val="22"/>
        </w:rPr>
      </w:pPr>
    </w:p>
    <w:p w14:paraId="471836EC"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2"/>
          <w:szCs w:val="22"/>
        </w:rPr>
        <w:t>I</w:t>
      </w:r>
      <w:r>
        <w:rPr>
          <w:szCs w:val="22"/>
        </w:rPr>
        <w:t>I</w:t>
      </w:r>
      <w:r>
        <w:rPr>
          <w:spacing w:val="-4"/>
          <w:szCs w:val="22"/>
        </w:rPr>
        <w:t xml:space="preserve"> </w:t>
      </w:r>
      <w:r>
        <w:rPr>
          <w:szCs w:val="22"/>
        </w:rPr>
        <w:t>(</w:t>
      </w:r>
      <w:r>
        <w:rPr>
          <w:spacing w:val="-1"/>
          <w:szCs w:val="22"/>
        </w:rPr>
        <w:t>CHA</w:t>
      </w:r>
      <w:r>
        <w:rPr>
          <w:szCs w:val="22"/>
        </w:rPr>
        <w:t>M</w:t>
      </w:r>
      <w:r>
        <w:rPr>
          <w:spacing w:val="2"/>
          <w:szCs w:val="22"/>
        </w:rPr>
        <w:t>P</w:t>
      </w:r>
      <w:r>
        <w:rPr>
          <w:spacing w:val="-4"/>
          <w:szCs w:val="22"/>
        </w:rPr>
        <w:t>I</w:t>
      </w:r>
      <w:r>
        <w:rPr>
          <w:spacing w:val="-1"/>
          <w:szCs w:val="22"/>
        </w:rPr>
        <w:t>ON</w:t>
      </w:r>
      <w:r>
        <w:rPr>
          <w:szCs w:val="22"/>
        </w:rPr>
        <w:t>)</w:t>
      </w:r>
      <w:r>
        <w:rPr>
          <w:spacing w:val="1"/>
          <w:szCs w:val="22"/>
        </w:rPr>
        <w:t xml:space="preserve"> </w:t>
      </w:r>
      <w:r>
        <w:rPr>
          <w:szCs w:val="22"/>
        </w:rPr>
        <w:t>a co</w:t>
      </w:r>
      <w:r>
        <w:rPr>
          <w:spacing w:val="-4"/>
          <w:szCs w:val="22"/>
        </w:rPr>
        <w:t>m</w:t>
      </w:r>
      <w:r>
        <w:rPr>
          <w:szCs w:val="22"/>
        </w:rPr>
        <w:t>parat</w:t>
      </w:r>
      <w:r>
        <w:rPr>
          <w:spacing w:val="1"/>
          <w:szCs w:val="22"/>
        </w:rPr>
        <w:t xml:space="preserve"> </w:t>
      </w:r>
      <w:r>
        <w:rPr>
          <w:spacing w:val="-3"/>
          <w:szCs w:val="22"/>
        </w:rPr>
        <w:t>e</w:t>
      </w:r>
      <w:r>
        <w:rPr>
          <w:szCs w:val="22"/>
        </w:rPr>
        <w:t>f</w:t>
      </w:r>
      <w:r>
        <w:rPr>
          <w:spacing w:val="-2"/>
          <w:szCs w:val="22"/>
        </w:rPr>
        <w:t>i</w:t>
      </w:r>
      <w:r>
        <w:rPr>
          <w:szCs w:val="22"/>
        </w:rPr>
        <w:t>ca</w:t>
      </w:r>
      <w:r>
        <w:rPr>
          <w:spacing w:val="-3"/>
          <w:szCs w:val="22"/>
        </w:rPr>
        <w:t>c</w:t>
      </w:r>
      <w:r>
        <w:rPr>
          <w:spacing w:val="1"/>
          <w:szCs w:val="22"/>
        </w:rPr>
        <w:t>i</w:t>
      </w:r>
      <w:r>
        <w:rPr>
          <w:spacing w:val="-2"/>
          <w:szCs w:val="22"/>
        </w:rPr>
        <w:t>t</w:t>
      </w:r>
      <w:r>
        <w:rPr>
          <w:szCs w:val="22"/>
        </w:rPr>
        <w:t>a</w:t>
      </w:r>
      <w:r>
        <w:rPr>
          <w:spacing w:val="1"/>
          <w:szCs w:val="22"/>
        </w:rPr>
        <w:t>t</w:t>
      </w:r>
      <w:r>
        <w:rPr>
          <w:spacing w:val="-3"/>
          <w:szCs w:val="22"/>
        </w:rPr>
        <w:t>e</w:t>
      </w:r>
      <w:r>
        <w:rPr>
          <w:szCs w:val="22"/>
        </w:rPr>
        <w:t xml:space="preserve">a </w:t>
      </w:r>
      <w:r>
        <w:rPr>
          <w:spacing w:val="-2"/>
          <w:szCs w:val="22"/>
        </w:rPr>
        <w:t>ş</w:t>
      </w:r>
      <w:r>
        <w:rPr>
          <w:szCs w:val="22"/>
        </w:rPr>
        <w:t>i</w:t>
      </w:r>
      <w:r>
        <w:rPr>
          <w:spacing w:val="1"/>
          <w:szCs w:val="22"/>
        </w:rPr>
        <w:t xml:space="preserve"> </w:t>
      </w:r>
      <w:r>
        <w:rPr>
          <w:spacing w:val="-2"/>
          <w:szCs w:val="22"/>
        </w:rPr>
        <w:t>s</w:t>
      </w:r>
      <w:r>
        <w:rPr>
          <w:spacing w:val="1"/>
          <w:szCs w:val="22"/>
        </w:rPr>
        <w:t>i</w:t>
      </w:r>
      <w:r>
        <w:rPr>
          <w:spacing w:val="-3"/>
          <w:szCs w:val="22"/>
        </w:rPr>
        <w:t>g</w:t>
      </w:r>
      <w:r>
        <w:rPr>
          <w:szCs w:val="22"/>
        </w:rPr>
        <w:t>ura</w:t>
      </w:r>
      <w:r>
        <w:rPr>
          <w:spacing w:val="-3"/>
          <w:szCs w:val="22"/>
        </w:rPr>
        <w:t>n</w:t>
      </w:r>
      <w:r>
        <w:rPr>
          <w:spacing w:val="1"/>
          <w:szCs w:val="22"/>
        </w:rPr>
        <w:t>ţ</w:t>
      </w:r>
      <w:r>
        <w:rPr>
          <w:szCs w:val="22"/>
        </w:rPr>
        <w:t xml:space="preserve">a </w:t>
      </w:r>
      <w:r>
        <w:rPr>
          <w:spacing w:val="-3"/>
          <w:szCs w:val="22"/>
        </w:rPr>
        <w:t>u</w:t>
      </w:r>
      <w:r>
        <w:rPr>
          <w:spacing w:val="1"/>
          <w:szCs w:val="22"/>
        </w:rPr>
        <w:t>t</w:t>
      </w:r>
      <w:r>
        <w:rPr>
          <w:spacing w:val="-2"/>
          <w:szCs w:val="22"/>
        </w:rPr>
        <w:t>i</w:t>
      </w:r>
      <w:r>
        <w:rPr>
          <w:spacing w:val="1"/>
          <w:szCs w:val="22"/>
        </w:rPr>
        <w:t>li</w:t>
      </w:r>
      <w:r>
        <w:rPr>
          <w:spacing w:val="-3"/>
          <w:szCs w:val="22"/>
        </w:rPr>
        <w:t>z</w:t>
      </w:r>
      <w:r>
        <w:rPr>
          <w:szCs w:val="22"/>
        </w:rPr>
        <w:t>ă</w:t>
      </w:r>
      <w:r>
        <w:rPr>
          <w:spacing w:val="-2"/>
          <w:szCs w:val="22"/>
        </w:rPr>
        <w:t>r</w:t>
      </w:r>
      <w:r>
        <w:rPr>
          <w:spacing w:val="1"/>
          <w:szCs w:val="22"/>
        </w:rPr>
        <w:t>i</w:t>
      </w:r>
      <w:r>
        <w:rPr>
          <w:szCs w:val="22"/>
        </w:rPr>
        <w:t>i</w:t>
      </w:r>
      <w:r>
        <w:rPr>
          <w:spacing w:val="-2"/>
          <w:szCs w:val="22"/>
        </w:rPr>
        <w:t xml:space="preserve"> </w:t>
      </w:r>
      <w:r>
        <w:rPr>
          <w:rFonts w:eastAsia="MS Mincho"/>
          <w:spacing w:val="-1"/>
          <w:szCs w:val="22"/>
          <w:lang w:eastAsia="en-US" w:bidi="ar-SA"/>
        </w:rPr>
        <w:t>adalimumab</w:t>
      </w:r>
      <w:r>
        <w:rPr>
          <w:szCs w:val="22"/>
        </w:rPr>
        <w:t xml:space="preserve"> </w:t>
      </w:r>
      <w:r>
        <w:rPr>
          <w:spacing w:val="1"/>
          <w:szCs w:val="22"/>
        </w:rPr>
        <w:t>l</w:t>
      </w:r>
      <w:r>
        <w:rPr>
          <w:szCs w:val="22"/>
        </w:rPr>
        <w:t>a</w:t>
      </w:r>
      <w:r>
        <w:rPr>
          <w:spacing w:val="-2"/>
          <w:szCs w:val="22"/>
        </w:rPr>
        <w:t xml:space="preserve"> </w:t>
      </w:r>
      <w:r>
        <w:rPr>
          <w:spacing w:val="-3"/>
          <w:szCs w:val="22"/>
        </w:rPr>
        <w:t>2</w:t>
      </w:r>
      <w:r>
        <w:rPr>
          <w:szCs w:val="22"/>
        </w:rPr>
        <w:t>71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f</w:t>
      </w:r>
      <w:r>
        <w:rPr>
          <w:spacing w:val="-3"/>
          <w:szCs w:val="22"/>
        </w:rPr>
        <w:t>a</w:t>
      </w:r>
      <w:r>
        <w:rPr>
          <w:spacing w:val="1"/>
          <w:szCs w:val="22"/>
        </w:rPr>
        <w:t>ţ</w:t>
      </w:r>
      <w:r>
        <w:rPr>
          <w:szCs w:val="22"/>
        </w:rPr>
        <w:t xml:space="preserve">ă </w:t>
      </w:r>
      <w:r>
        <w:rPr>
          <w:spacing w:val="-3"/>
          <w:szCs w:val="22"/>
        </w:rPr>
        <w:t>d</w:t>
      </w:r>
      <w:r>
        <w:rPr>
          <w:szCs w:val="22"/>
        </w:rPr>
        <w:t>e u</w:t>
      </w:r>
      <w:r>
        <w:rPr>
          <w:spacing w:val="1"/>
          <w:szCs w:val="22"/>
        </w:rPr>
        <w:t>t</w:t>
      </w:r>
      <w:r>
        <w:rPr>
          <w:spacing w:val="-2"/>
          <w:szCs w:val="22"/>
        </w:rPr>
        <w:t>i</w:t>
      </w:r>
      <w:r>
        <w:rPr>
          <w:spacing w:val="1"/>
          <w:szCs w:val="22"/>
        </w:rPr>
        <w:t>li</w:t>
      </w:r>
      <w:r>
        <w:rPr>
          <w:spacing w:val="-3"/>
          <w:szCs w:val="22"/>
        </w:rPr>
        <w:t>z</w:t>
      </w:r>
      <w:r>
        <w:rPr>
          <w:szCs w:val="22"/>
        </w:rPr>
        <w:t>a</w:t>
      </w:r>
      <w:r>
        <w:rPr>
          <w:spacing w:val="-2"/>
          <w:szCs w:val="22"/>
        </w:rPr>
        <w:t>r</w:t>
      </w:r>
      <w:r>
        <w:rPr>
          <w:szCs w:val="22"/>
        </w:rPr>
        <w:t xml:space="preserve">ea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x</w:t>
      </w:r>
      <w:r>
        <w:rPr>
          <w:szCs w:val="22"/>
        </w:rPr>
        <w:t>a</w:t>
      </w:r>
      <w:r>
        <w:rPr>
          <w:spacing w:val="1"/>
          <w:szCs w:val="22"/>
        </w:rPr>
        <w:t>t</w:t>
      </w:r>
      <w:r>
        <w:rPr>
          <w:spacing w:val="-3"/>
          <w:szCs w:val="22"/>
        </w:rPr>
        <w:t>u</w:t>
      </w:r>
      <w:r>
        <w:rPr>
          <w:spacing w:val="1"/>
          <w:szCs w:val="22"/>
        </w:rPr>
        <w:t>l</w:t>
      </w:r>
      <w:r>
        <w:rPr>
          <w:szCs w:val="22"/>
        </w:rPr>
        <w:t>ui</w:t>
      </w:r>
      <w:r>
        <w:rPr>
          <w:spacing w:val="-2"/>
          <w:szCs w:val="22"/>
        </w:rPr>
        <w:t xml:space="preserve"> </w:t>
      </w:r>
      <w:r>
        <w:rPr>
          <w:szCs w:val="22"/>
        </w:rPr>
        <w:t>şi</w:t>
      </w:r>
      <w:r>
        <w:rPr>
          <w:spacing w:val="-2"/>
          <w:szCs w:val="22"/>
        </w:rPr>
        <w:t xml:space="preserve"> </w:t>
      </w:r>
      <w:r>
        <w:rPr>
          <w:szCs w:val="22"/>
        </w:rPr>
        <w:t>p</w:t>
      </w:r>
      <w:r>
        <w:rPr>
          <w:spacing w:val="1"/>
          <w:szCs w:val="22"/>
        </w:rPr>
        <w:t>l</w:t>
      </w:r>
      <w:r>
        <w:rPr>
          <w:szCs w:val="22"/>
        </w:rPr>
        <w:t>a</w:t>
      </w:r>
      <w:r>
        <w:rPr>
          <w:spacing w:val="-3"/>
          <w:szCs w:val="22"/>
        </w:rPr>
        <w:t>c</w:t>
      </w:r>
      <w:r>
        <w:rPr>
          <w:szCs w:val="22"/>
        </w:rPr>
        <w:t xml:space="preserve">ebo. </w:t>
      </w:r>
      <w:r>
        <w:rPr>
          <w:spacing w:val="-1"/>
          <w:szCs w:val="22"/>
        </w:rPr>
        <w:t>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 xml:space="preserve">au </w:t>
      </w:r>
      <w:r>
        <w:rPr>
          <w:spacing w:val="-3"/>
          <w:szCs w:val="22"/>
        </w:rPr>
        <w:t>u</w:t>
      </w:r>
      <w:r>
        <w:rPr>
          <w:spacing w:val="1"/>
          <w:szCs w:val="22"/>
        </w:rPr>
        <w:t>t</w:t>
      </w:r>
      <w:r>
        <w:rPr>
          <w:spacing w:val="-2"/>
          <w:szCs w:val="22"/>
        </w:rPr>
        <w:t>i</w:t>
      </w:r>
      <w:r>
        <w:rPr>
          <w:spacing w:val="1"/>
          <w:szCs w:val="22"/>
        </w:rPr>
        <w:t>li</w:t>
      </w:r>
      <w:r>
        <w:rPr>
          <w:spacing w:val="-3"/>
          <w:szCs w:val="22"/>
        </w:rPr>
        <w:t>za</w:t>
      </w:r>
      <w:r>
        <w:rPr>
          <w:szCs w:val="22"/>
        </w:rPr>
        <w:t>t</w:t>
      </w:r>
      <w:r>
        <w:rPr>
          <w:spacing w:val="1"/>
          <w:szCs w:val="22"/>
        </w:rPr>
        <w:t xml:space="preserve"> </w:t>
      </w:r>
      <w:r>
        <w:rPr>
          <w:szCs w:val="22"/>
        </w:rPr>
        <w:t>p</w:t>
      </w:r>
      <w:r>
        <w:rPr>
          <w:spacing w:val="-2"/>
          <w:szCs w:val="22"/>
        </w:rPr>
        <w:t>l</w:t>
      </w:r>
      <w:r>
        <w:rPr>
          <w:szCs w:val="22"/>
        </w:rPr>
        <w:t>ace</w:t>
      </w:r>
      <w:r>
        <w:rPr>
          <w:spacing w:val="-3"/>
          <w:szCs w:val="22"/>
        </w:rPr>
        <w:t>b</w:t>
      </w:r>
      <w:r>
        <w:rPr>
          <w:szCs w:val="22"/>
        </w:rPr>
        <w:t>o, o do</w:t>
      </w:r>
      <w:r>
        <w:rPr>
          <w:spacing w:val="-3"/>
          <w:szCs w:val="22"/>
        </w:rPr>
        <w:t>z</w:t>
      </w:r>
      <w:r>
        <w:rPr>
          <w:szCs w:val="22"/>
        </w:rPr>
        <w:t>ă</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1"/>
          <w:szCs w:val="22"/>
        </w:rPr>
        <w:t>l</w:t>
      </w:r>
      <w:r>
        <w:rPr>
          <w:szCs w:val="22"/>
        </w:rPr>
        <w:t>ă</w:t>
      </w:r>
      <w:r>
        <w:rPr>
          <w:spacing w:val="-2"/>
          <w:szCs w:val="22"/>
        </w:rPr>
        <w:t xml:space="preserve"> </w:t>
      </w:r>
      <w:r>
        <w:rPr>
          <w:szCs w:val="22"/>
        </w:rPr>
        <w:t>de</w:t>
      </w:r>
      <w:r>
        <w:rPr>
          <w:spacing w:val="-2"/>
          <w:szCs w:val="22"/>
        </w:rPr>
        <w:t xml:space="preserve"> </w:t>
      </w:r>
      <w:r>
        <w:rPr>
          <w:szCs w:val="22"/>
        </w:rPr>
        <w:t>7,5 </w:t>
      </w:r>
      <w:r>
        <w:rPr>
          <w:spacing w:val="-2"/>
          <w:szCs w:val="22"/>
        </w:rPr>
        <w:t>m</w:t>
      </w:r>
      <w:r>
        <w:rPr>
          <w:szCs w:val="22"/>
        </w:rPr>
        <w:t xml:space="preserve">g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ex</w:t>
      </w:r>
      <w:r>
        <w:rPr>
          <w:spacing w:val="-3"/>
          <w:szCs w:val="22"/>
        </w:rPr>
        <w:t>a</w:t>
      </w:r>
      <w:r>
        <w:rPr>
          <w:szCs w:val="22"/>
        </w:rPr>
        <w:t>t (</w:t>
      </w:r>
      <w:r>
        <w:rPr>
          <w:spacing w:val="-2"/>
          <w:szCs w:val="22"/>
        </w:rPr>
        <w:t>M</w:t>
      </w:r>
      <w:r>
        <w:rPr>
          <w:spacing w:val="-1"/>
          <w:szCs w:val="22"/>
        </w:rPr>
        <w:t>T</w:t>
      </w:r>
      <w:r>
        <w:rPr>
          <w:spacing w:val="1"/>
          <w:szCs w:val="22"/>
        </w:rPr>
        <w:t>X</w:t>
      </w:r>
      <w:r>
        <w:rPr>
          <w:szCs w:val="22"/>
        </w:rPr>
        <w:t>)</w:t>
      </w:r>
      <w:r>
        <w:rPr>
          <w:spacing w:val="-2"/>
          <w:szCs w:val="22"/>
        </w:rPr>
        <w:t xml:space="preserve"> </w:t>
      </w:r>
      <w:r>
        <w:rPr>
          <w:szCs w:val="22"/>
        </w:rPr>
        <w:t>şi</w:t>
      </w:r>
      <w:r>
        <w:rPr>
          <w:spacing w:val="-2"/>
          <w:szCs w:val="22"/>
        </w:rPr>
        <w:t xml:space="preserve"> </w:t>
      </w:r>
      <w:r>
        <w:rPr>
          <w:szCs w:val="22"/>
        </w:rPr>
        <w:t>apoi</w:t>
      </w:r>
      <w:r>
        <w:rPr>
          <w:spacing w:val="-2"/>
          <w:szCs w:val="22"/>
        </w:rPr>
        <w:t xml:space="preserve"> </w:t>
      </w:r>
      <w:r>
        <w:rPr>
          <w:szCs w:val="22"/>
        </w:rPr>
        <w:t>do</w:t>
      </w:r>
      <w:r>
        <w:rPr>
          <w:spacing w:val="-3"/>
          <w:szCs w:val="22"/>
        </w:rPr>
        <w:t>z</w:t>
      </w:r>
      <w:r>
        <w:rPr>
          <w:szCs w:val="22"/>
        </w:rPr>
        <w:t xml:space="preserve">a a </w:t>
      </w:r>
      <w:r>
        <w:rPr>
          <w:spacing w:val="-3"/>
          <w:szCs w:val="22"/>
        </w:rPr>
        <w:t>c</w:t>
      </w:r>
      <w:r>
        <w:rPr>
          <w:szCs w:val="22"/>
        </w:rPr>
        <w:t>re</w:t>
      </w:r>
      <w:r>
        <w:rPr>
          <w:spacing w:val="-2"/>
          <w:szCs w:val="22"/>
        </w:rPr>
        <w:t>s</w:t>
      </w:r>
      <w:r>
        <w:rPr>
          <w:spacing w:val="-3"/>
          <w:szCs w:val="22"/>
        </w:rPr>
        <w:t>c</w:t>
      </w:r>
      <w:r>
        <w:rPr>
          <w:szCs w:val="22"/>
        </w:rPr>
        <w:t>ut</w:t>
      </w:r>
      <w:r>
        <w:rPr>
          <w:spacing w:val="1"/>
          <w:szCs w:val="22"/>
        </w:rPr>
        <w:t xml:space="preserve"> </w:t>
      </w:r>
      <w:r>
        <w:rPr>
          <w:szCs w:val="22"/>
        </w:rPr>
        <w:t>pâ</w:t>
      </w:r>
      <w:r>
        <w:rPr>
          <w:spacing w:val="-3"/>
          <w:szCs w:val="22"/>
        </w:rPr>
        <w:t>n</w:t>
      </w:r>
      <w:r>
        <w:rPr>
          <w:szCs w:val="22"/>
        </w:rPr>
        <w:t xml:space="preserve">ă </w:t>
      </w:r>
      <w:r>
        <w:rPr>
          <w:spacing w:val="1"/>
          <w:szCs w:val="22"/>
        </w:rPr>
        <w:t>î</w:t>
      </w:r>
      <w:r>
        <w:rPr>
          <w:szCs w:val="22"/>
        </w:rPr>
        <w:t>n</w:t>
      </w:r>
      <w:r>
        <w:rPr>
          <w:spacing w:val="-3"/>
          <w:szCs w:val="22"/>
        </w:rPr>
        <w:t xml:space="preserve"> </w:t>
      </w:r>
      <w:r>
        <w:rPr>
          <w:spacing w:val="-1"/>
          <w:szCs w:val="22"/>
        </w:rPr>
        <w:t>S</w:t>
      </w:r>
      <w:r>
        <w:rPr>
          <w:szCs w:val="22"/>
        </w:rPr>
        <w:t>ă</w:t>
      </w:r>
      <w:r>
        <w:rPr>
          <w:spacing w:val="-3"/>
          <w:szCs w:val="22"/>
        </w:rPr>
        <w:t>p</w:t>
      </w:r>
      <w:r>
        <w:rPr>
          <w:spacing w:val="1"/>
          <w:szCs w:val="22"/>
        </w:rPr>
        <w:t>t</w:t>
      </w:r>
      <w:r>
        <w:rPr>
          <w:szCs w:val="22"/>
        </w:rPr>
        <w:t>ă</w:t>
      </w:r>
      <w:r>
        <w:rPr>
          <w:spacing w:val="-4"/>
          <w:szCs w:val="22"/>
        </w:rPr>
        <w:t>m</w:t>
      </w:r>
      <w:r>
        <w:rPr>
          <w:szCs w:val="22"/>
        </w:rPr>
        <w:t xml:space="preserve">âna 12, </w:t>
      </w:r>
      <w:r>
        <w:rPr>
          <w:spacing w:val="-3"/>
          <w:szCs w:val="22"/>
        </w:rPr>
        <w:t>p</w:t>
      </w:r>
      <w:r>
        <w:rPr>
          <w:szCs w:val="22"/>
        </w:rPr>
        <w:t xml:space="preserve">ână </w:t>
      </w:r>
      <w:r>
        <w:rPr>
          <w:spacing w:val="-2"/>
          <w:szCs w:val="22"/>
        </w:rPr>
        <w:t>l</w:t>
      </w:r>
      <w:r>
        <w:rPr>
          <w:szCs w:val="22"/>
        </w:rPr>
        <w:t>a do</w:t>
      </w:r>
      <w:r>
        <w:rPr>
          <w:spacing w:val="-3"/>
          <w:szCs w:val="22"/>
        </w:rPr>
        <w:t>z</w:t>
      </w:r>
      <w:r>
        <w:rPr>
          <w:szCs w:val="22"/>
        </w:rPr>
        <w:t xml:space="preserve">a </w:t>
      </w:r>
      <w:r>
        <w:rPr>
          <w:spacing w:val="-4"/>
          <w:szCs w:val="22"/>
        </w:rPr>
        <w:t>m</w:t>
      </w:r>
      <w:r>
        <w:rPr>
          <w:szCs w:val="22"/>
        </w:rPr>
        <w:t>ax</w:t>
      </w:r>
      <w:r>
        <w:rPr>
          <w:spacing w:val="1"/>
          <w:szCs w:val="22"/>
        </w:rPr>
        <w:t>i</w:t>
      </w:r>
      <w:r>
        <w:rPr>
          <w:spacing w:val="-4"/>
          <w:szCs w:val="22"/>
        </w:rPr>
        <w:t>m</w:t>
      </w:r>
      <w:r>
        <w:rPr>
          <w:szCs w:val="22"/>
        </w:rPr>
        <w:t>ă de 25</w:t>
      </w:r>
      <w:r>
        <w:rPr>
          <w:spacing w:val="-3"/>
          <w:szCs w:val="22"/>
        </w:rPr>
        <w:t> </w:t>
      </w:r>
      <w:r>
        <w:rPr>
          <w:spacing w:val="-2"/>
          <w:szCs w:val="22"/>
        </w:rPr>
        <w:t>m</w:t>
      </w:r>
      <w:r>
        <w:rPr>
          <w:spacing w:val="-3"/>
          <w:szCs w:val="22"/>
        </w:rPr>
        <w:t>g</w:t>
      </w:r>
      <w:r>
        <w:rPr>
          <w:szCs w:val="22"/>
        </w:rPr>
        <w:t>, sau o do</w:t>
      </w:r>
      <w:r>
        <w:rPr>
          <w:spacing w:val="-3"/>
          <w:szCs w:val="22"/>
        </w:rPr>
        <w:t>z</w:t>
      </w:r>
      <w:r>
        <w:rPr>
          <w:szCs w:val="22"/>
        </w:rPr>
        <w:t xml:space="preserve">ă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1"/>
          <w:szCs w:val="22"/>
        </w:rPr>
        <w:t>l</w:t>
      </w:r>
      <w:r>
        <w:rPr>
          <w:szCs w:val="22"/>
        </w:rPr>
        <w:t>ă</w:t>
      </w:r>
      <w:r>
        <w:rPr>
          <w:spacing w:val="-2"/>
          <w:szCs w:val="22"/>
        </w:rPr>
        <w:t xml:space="preserve"> </w:t>
      </w:r>
      <w:r>
        <w:rPr>
          <w:szCs w:val="22"/>
        </w:rPr>
        <w:t>de 80 </w:t>
      </w:r>
      <w:r>
        <w:rPr>
          <w:spacing w:val="-4"/>
          <w:szCs w:val="22"/>
        </w:rPr>
        <w:t>m</w:t>
      </w:r>
      <w:r>
        <w:rPr>
          <w:szCs w:val="22"/>
        </w:rPr>
        <w:t>g</w:t>
      </w:r>
      <w:r>
        <w:rPr>
          <w:spacing w:val="-3"/>
          <w:szCs w:val="22"/>
        </w:rPr>
        <w:t xml:space="preserve"> </w:t>
      </w:r>
      <w:r>
        <w:rPr>
          <w:rFonts w:eastAsia="MS Mincho"/>
          <w:spacing w:val="-1"/>
          <w:szCs w:val="22"/>
          <w:lang w:eastAsia="en-US" w:bidi="ar-SA"/>
        </w:rPr>
        <w:t>adalimumab</w:t>
      </w:r>
      <w:r>
        <w:rPr>
          <w:szCs w:val="22"/>
        </w:rPr>
        <w:t xml:space="preserve"> u</w:t>
      </w:r>
      <w:r>
        <w:rPr>
          <w:spacing w:val="-2"/>
          <w:szCs w:val="22"/>
        </w:rPr>
        <w:t>r</w:t>
      </w:r>
      <w:r>
        <w:rPr>
          <w:spacing w:val="-4"/>
          <w:szCs w:val="22"/>
        </w:rPr>
        <w:t>m</w:t>
      </w:r>
      <w:r>
        <w:rPr>
          <w:szCs w:val="22"/>
        </w:rPr>
        <w:t>a</w:t>
      </w:r>
      <w:r>
        <w:rPr>
          <w:spacing w:val="1"/>
          <w:szCs w:val="22"/>
        </w:rPr>
        <w:t>t</w:t>
      </w:r>
      <w:r>
        <w:rPr>
          <w:szCs w:val="22"/>
        </w:rPr>
        <w:t>ă de 40 </w:t>
      </w:r>
      <w:r>
        <w:rPr>
          <w:spacing w:val="-4"/>
          <w:szCs w:val="22"/>
        </w:rPr>
        <w:t>m</w:t>
      </w:r>
      <w:r>
        <w:rPr>
          <w:szCs w:val="22"/>
        </w:rPr>
        <w:t>g</w:t>
      </w:r>
      <w:r>
        <w:rPr>
          <w:spacing w:val="-3"/>
          <w:szCs w:val="22"/>
        </w:rPr>
        <w:t xml:space="preserve"> </w:t>
      </w:r>
      <w:r>
        <w:rPr>
          <w:spacing w:val="1"/>
          <w:szCs w:val="22"/>
        </w:rPr>
        <w:t>l</w:t>
      </w:r>
      <w:r>
        <w:rPr>
          <w:szCs w:val="22"/>
        </w:rPr>
        <w:t>a două să</w:t>
      </w:r>
      <w:r>
        <w:rPr>
          <w:spacing w:val="-3"/>
          <w:szCs w:val="22"/>
        </w:rPr>
        <w:t>p</w:t>
      </w:r>
      <w:r>
        <w:rPr>
          <w:spacing w:val="-2"/>
          <w:szCs w:val="22"/>
        </w:rPr>
        <w:t>t</w:t>
      </w:r>
      <w:r>
        <w:rPr>
          <w:szCs w:val="22"/>
        </w:rPr>
        <w:t>ă</w:t>
      </w:r>
      <w:r>
        <w:rPr>
          <w:spacing w:val="-4"/>
          <w:szCs w:val="22"/>
        </w:rPr>
        <w:t>m</w:t>
      </w:r>
      <w:r>
        <w:rPr>
          <w:szCs w:val="22"/>
        </w:rPr>
        <w:t>âni</w:t>
      </w:r>
      <w:r>
        <w:rPr>
          <w:spacing w:val="1"/>
          <w:szCs w:val="22"/>
        </w:rPr>
        <w:t xml:space="preserve"> </w:t>
      </w:r>
      <w:r>
        <w:rPr>
          <w:szCs w:val="22"/>
        </w:rPr>
        <w:t>(</w:t>
      </w:r>
      <w:r>
        <w:rPr>
          <w:spacing w:val="1"/>
          <w:szCs w:val="22"/>
        </w:rPr>
        <w:t>l</w:t>
      </w:r>
      <w:r>
        <w:rPr>
          <w:szCs w:val="22"/>
        </w:rPr>
        <w:t>a</w:t>
      </w:r>
      <w:r>
        <w:rPr>
          <w:spacing w:val="-2"/>
          <w:szCs w:val="22"/>
        </w:rPr>
        <w:t xml:space="preserve"> </w:t>
      </w:r>
      <w:r>
        <w:rPr>
          <w:szCs w:val="22"/>
        </w:rPr>
        <w:t>o s</w:t>
      </w:r>
      <w:r>
        <w:rPr>
          <w:spacing w:val="-3"/>
          <w:szCs w:val="22"/>
        </w:rPr>
        <w:t>ă</w:t>
      </w:r>
      <w:r>
        <w:rPr>
          <w:szCs w:val="22"/>
        </w:rPr>
        <w:t>p</w:t>
      </w:r>
      <w:r>
        <w:rPr>
          <w:spacing w:val="1"/>
          <w:szCs w:val="22"/>
        </w:rPr>
        <w:t>t</w:t>
      </w:r>
      <w:r>
        <w:rPr>
          <w:szCs w:val="22"/>
        </w:rPr>
        <w:t>ă</w:t>
      </w:r>
      <w:r>
        <w:rPr>
          <w:spacing w:val="-4"/>
          <w:szCs w:val="22"/>
        </w:rPr>
        <w:t>m</w:t>
      </w:r>
      <w:r>
        <w:rPr>
          <w:szCs w:val="22"/>
        </w:rPr>
        <w:t>ână du</w:t>
      </w:r>
      <w:r>
        <w:rPr>
          <w:spacing w:val="-3"/>
          <w:szCs w:val="22"/>
        </w:rPr>
        <w:t>p</w:t>
      </w:r>
      <w:r>
        <w:rPr>
          <w:szCs w:val="22"/>
        </w:rPr>
        <w:t>ă</w:t>
      </w:r>
      <w:r>
        <w:rPr>
          <w:spacing w:val="-2"/>
          <w:szCs w:val="22"/>
        </w:rPr>
        <w:t xml:space="preserve"> </w:t>
      </w:r>
      <w:r>
        <w:rPr>
          <w:szCs w:val="22"/>
        </w:rPr>
        <w:t>do</w:t>
      </w:r>
      <w:r>
        <w:rPr>
          <w:spacing w:val="-3"/>
          <w:szCs w:val="22"/>
        </w:rPr>
        <w:t>z</w:t>
      </w:r>
      <w:r>
        <w:rPr>
          <w:szCs w:val="22"/>
        </w:rPr>
        <w:t xml:space="preserve">a </w:t>
      </w:r>
      <w:r>
        <w:rPr>
          <w:spacing w:val="1"/>
          <w:szCs w:val="22"/>
        </w:rPr>
        <w:t>i</w:t>
      </w:r>
      <w:r>
        <w:rPr>
          <w:szCs w:val="22"/>
        </w:rPr>
        <w:t>n</w:t>
      </w:r>
      <w:r>
        <w:rPr>
          <w:spacing w:val="-2"/>
          <w:szCs w:val="22"/>
        </w:rPr>
        <w:t>i</w:t>
      </w:r>
      <w:r>
        <w:rPr>
          <w:spacing w:val="1"/>
          <w:szCs w:val="22"/>
        </w:rPr>
        <w:t>ţ</w:t>
      </w:r>
      <w:r>
        <w:rPr>
          <w:spacing w:val="-2"/>
          <w:szCs w:val="22"/>
        </w:rPr>
        <w:t>i</w:t>
      </w:r>
      <w:r>
        <w:rPr>
          <w:szCs w:val="22"/>
        </w:rPr>
        <w:t>a</w:t>
      </w:r>
      <w:r>
        <w:rPr>
          <w:spacing w:val="-2"/>
          <w:szCs w:val="22"/>
        </w:rPr>
        <w:t>l</w:t>
      </w:r>
      <w:r>
        <w:rPr>
          <w:szCs w:val="22"/>
        </w:rPr>
        <w:t>ă)</w:t>
      </w:r>
      <w:r>
        <w:rPr>
          <w:spacing w:val="-2"/>
          <w:szCs w:val="22"/>
        </w:rPr>
        <w:t xml:space="preserve"> </w:t>
      </w:r>
      <w:r>
        <w:rPr>
          <w:spacing w:val="1"/>
          <w:szCs w:val="22"/>
        </w:rPr>
        <w:t>ti</w:t>
      </w:r>
      <w:r>
        <w:rPr>
          <w:spacing w:val="-4"/>
          <w:szCs w:val="22"/>
        </w:rPr>
        <w:t>m</w:t>
      </w:r>
      <w:r>
        <w:rPr>
          <w:szCs w:val="22"/>
        </w:rPr>
        <w:t xml:space="preserve">p de 16 </w:t>
      </w:r>
      <w:r>
        <w:rPr>
          <w:spacing w:val="-2"/>
          <w:szCs w:val="22"/>
        </w:rPr>
        <w:t>s</w:t>
      </w:r>
      <w:r>
        <w:rPr>
          <w:szCs w:val="22"/>
        </w:rPr>
        <w:t>ăp</w:t>
      </w:r>
      <w:r>
        <w:rPr>
          <w:spacing w:val="-2"/>
          <w:szCs w:val="22"/>
        </w:rPr>
        <w:t>t</w:t>
      </w:r>
      <w:r>
        <w:rPr>
          <w:szCs w:val="22"/>
        </w:rPr>
        <w:t>ă</w:t>
      </w:r>
      <w:r>
        <w:rPr>
          <w:spacing w:val="-4"/>
          <w:szCs w:val="22"/>
        </w:rPr>
        <w:t>m</w:t>
      </w:r>
      <w:r>
        <w:rPr>
          <w:szCs w:val="22"/>
        </w:rPr>
        <w:t>ân</w:t>
      </w:r>
      <w:r>
        <w:rPr>
          <w:spacing w:val="1"/>
          <w:szCs w:val="22"/>
        </w:rPr>
        <w:t>i</w:t>
      </w:r>
      <w:r>
        <w:rPr>
          <w:szCs w:val="22"/>
        </w:rPr>
        <w:t xml:space="preserve">. </w:t>
      </w:r>
      <w:r>
        <w:rPr>
          <w:spacing w:val="-2"/>
          <w:szCs w:val="22"/>
        </w:rPr>
        <w:t>N</w:t>
      </w:r>
      <w:r>
        <w:rPr>
          <w:szCs w:val="22"/>
        </w:rPr>
        <w:t>u su</w:t>
      </w:r>
      <w:r>
        <w:rPr>
          <w:spacing w:val="-3"/>
          <w:szCs w:val="22"/>
        </w:rPr>
        <w:t>n</w:t>
      </w:r>
      <w:r>
        <w:rPr>
          <w:szCs w:val="22"/>
        </w:rPr>
        <w:t>t</w:t>
      </w:r>
      <w:r>
        <w:rPr>
          <w:spacing w:val="1"/>
          <w:szCs w:val="22"/>
        </w:rPr>
        <w:t xml:space="preserve"> </w:t>
      </w:r>
      <w:r>
        <w:rPr>
          <w:spacing w:val="-3"/>
          <w:szCs w:val="22"/>
        </w:rPr>
        <w:t>d</w:t>
      </w:r>
      <w:r>
        <w:rPr>
          <w:szCs w:val="22"/>
        </w:rPr>
        <w:t>a</w:t>
      </w:r>
      <w:r>
        <w:rPr>
          <w:spacing w:val="1"/>
          <w:szCs w:val="22"/>
        </w:rPr>
        <w:t>t</w:t>
      </w:r>
      <w:r>
        <w:rPr>
          <w:szCs w:val="22"/>
        </w:rPr>
        <w:t xml:space="preserve">e </w:t>
      </w:r>
      <w:r>
        <w:rPr>
          <w:spacing w:val="-3"/>
          <w:szCs w:val="22"/>
        </w:rPr>
        <w:t>d</w:t>
      </w:r>
      <w:r>
        <w:rPr>
          <w:spacing w:val="1"/>
          <w:szCs w:val="22"/>
        </w:rPr>
        <w:t>i</w:t>
      </w:r>
      <w:r>
        <w:rPr>
          <w:szCs w:val="22"/>
        </w:rPr>
        <w:t>s</w:t>
      </w:r>
      <w:r>
        <w:rPr>
          <w:spacing w:val="-3"/>
          <w:szCs w:val="22"/>
        </w:rPr>
        <w:t>p</w:t>
      </w:r>
      <w:r>
        <w:rPr>
          <w:szCs w:val="22"/>
        </w:rPr>
        <w:t>on</w:t>
      </w:r>
      <w:r>
        <w:rPr>
          <w:spacing w:val="1"/>
          <w:szCs w:val="22"/>
        </w:rPr>
        <w:t>i</w:t>
      </w:r>
      <w:r>
        <w:rPr>
          <w:spacing w:val="-3"/>
          <w:szCs w:val="22"/>
        </w:rPr>
        <w:t>b</w:t>
      </w:r>
      <w:r>
        <w:rPr>
          <w:spacing w:val="1"/>
          <w:szCs w:val="22"/>
        </w:rPr>
        <w:t>i</w:t>
      </w:r>
      <w:r>
        <w:rPr>
          <w:spacing w:val="-2"/>
          <w:szCs w:val="22"/>
        </w:rPr>
        <w:t>l</w:t>
      </w:r>
      <w:r>
        <w:rPr>
          <w:szCs w:val="22"/>
        </w:rPr>
        <w:t xml:space="preserve">e </w:t>
      </w:r>
      <w:r>
        <w:rPr>
          <w:spacing w:val="-3"/>
          <w:szCs w:val="22"/>
        </w:rPr>
        <w:t>p</w:t>
      </w:r>
      <w:r>
        <w:rPr>
          <w:szCs w:val="22"/>
        </w:rPr>
        <w:t>ri</w:t>
      </w:r>
      <w:r>
        <w:rPr>
          <w:spacing w:val="-3"/>
          <w:szCs w:val="22"/>
        </w:rPr>
        <w:t>v</w:t>
      </w:r>
      <w:r>
        <w:rPr>
          <w:spacing w:val="1"/>
          <w:szCs w:val="22"/>
        </w:rPr>
        <w:t>i</w:t>
      </w:r>
      <w:r>
        <w:rPr>
          <w:szCs w:val="22"/>
        </w:rPr>
        <w:t xml:space="preserve">nd </w:t>
      </w:r>
      <w:r>
        <w:rPr>
          <w:spacing w:val="-3"/>
          <w:szCs w:val="22"/>
        </w:rPr>
        <w:t>c</w:t>
      </w:r>
      <w:r>
        <w:rPr>
          <w:szCs w:val="22"/>
        </w:rPr>
        <w:t>o</w:t>
      </w:r>
      <w:r>
        <w:rPr>
          <w:spacing w:val="-2"/>
          <w:szCs w:val="22"/>
        </w:rPr>
        <w:t>m</w:t>
      </w:r>
      <w:r>
        <w:rPr>
          <w:szCs w:val="22"/>
        </w:rPr>
        <w:t>par</w:t>
      </w:r>
      <w:r>
        <w:rPr>
          <w:spacing w:val="-3"/>
          <w:szCs w:val="22"/>
        </w:rPr>
        <w:t>a</w:t>
      </w:r>
      <w:r>
        <w:rPr>
          <w:spacing w:val="1"/>
          <w:szCs w:val="22"/>
        </w:rPr>
        <w:t>ţ</w:t>
      </w:r>
      <w:r>
        <w:rPr>
          <w:spacing w:val="-2"/>
          <w:szCs w:val="22"/>
        </w:rPr>
        <w:t>i</w:t>
      </w:r>
      <w:r>
        <w:rPr>
          <w:szCs w:val="22"/>
        </w:rPr>
        <w:t xml:space="preserve">a </w:t>
      </w:r>
      <w:r>
        <w:rPr>
          <w:rFonts w:eastAsia="MS Mincho"/>
          <w:spacing w:val="-1"/>
          <w:szCs w:val="22"/>
          <w:lang w:eastAsia="en-US" w:bidi="ar-SA"/>
        </w:rPr>
        <w:t>adalimumab</w:t>
      </w:r>
      <w:r>
        <w:rPr>
          <w:szCs w:val="22"/>
        </w:rPr>
        <w:t xml:space="preserve"> </w:t>
      </w:r>
      <w:r>
        <w:rPr>
          <w:spacing w:val="-2"/>
          <w:szCs w:val="22"/>
        </w:rPr>
        <w:t>ş</w:t>
      </w:r>
      <w:r>
        <w:rPr>
          <w:szCs w:val="22"/>
        </w:rPr>
        <w:t>i</w:t>
      </w:r>
      <w:r>
        <w:rPr>
          <w:spacing w:val="1"/>
          <w:szCs w:val="22"/>
        </w:rPr>
        <w:t xml:space="preserve"> </w:t>
      </w:r>
      <w:r>
        <w:rPr>
          <w:spacing w:val="-2"/>
          <w:szCs w:val="22"/>
        </w:rPr>
        <w:t>M</w:t>
      </w:r>
      <w:r>
        <w:rPr>
          <w:spacing w:val="-1"/>
          <w:szCs w:val="22"/>
        </w:rPr>
        <w:t>T</w:t>
      </w:r>
      <w:r>
        <w:rPr>
          <w:szCs w:val="22"/>
        </w:rPr>
        <w:t>X</w:t>
      </w:r>
      <w:r>
        <w:rPr>
          <w:spacing w:val="1"/>
          <w:szCs w:val="22"/>
        </w:rPr>
        <w:t xml:space="preserve"> </w:t>
      </w:r>
      <w:r>
        <w:rPr>
          <w:spacing w:val="-3"/>
          <w:szCs w:val="22"/>
        </w:rPr>
        <w:t>p</w:t>
      </w:r>
      <w:r>
        <w:rPr>
          <w:szCs w:val="22"/>
        </w:rPr>
        <w:t>e</w:t>
      </w:r>
      <w:r>
        <w:rPr>
          <w:spacing w:val="-2"/>
          <w:szCs w:val="22"/>
        </w:rPr>
        <w:t>s</w:t>
      </w:r>
      <w:r>
        <w:rPr>
          <w:spacing w:val="1"/>
          <w:szCs w:val="22"/>
        </w:rPr>
        <w:t>t</w:t>
      </w:r>
      <w:r>
        <w:rPr>
          <w:szCs w:val="22"/>
        </w:rPr>
        <w:t>e 16</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zCs w:val="22"/>
        </w:rPr>
        <w:t xml:space="preserve">de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xml:space="preserve">. </w:t>
      </w:r>
      <w:r>
        <w:rPr>
          <w:spacing w:val="-1"/>
          <w:szCs w:val="22"/>
        </w:rPr>
        <w:t>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e au</w:t>
      </w:r>
      <w:r>
        <w:rPr>
          <w:spacing w:val="-3"/>
          <w:szCs w:val="22"/>
        </w:rPr>
        <w:t xml:space="preserve"> </w:t>
      </w:r>
      <w:r>
        <w:rPr>
          <w:szCs w:val="22"/>
        </w:rPr>
        <w:t>u</w:t>
      </w:r>
      <w:r>
        <w:rPr>
          <w:spacing w:val="1"/>
          <w:szCs w:val="22"/>
        </w:rPr>
        <w:t>t</w:t>
      </w:r>
      <w:r>
        <w:rPr>
          <w:spacing w:val="-2"/>
          <w:szCs w:val="22"/>
        </w:rPr>
        <w:t>i</w:t>
      </w:r>
      <w:r>
        <w:rPr>
          <w:spacing w:val="1"/>
          <w:szCs w:val="22"/>
        </w:rPr>
        <w:t>li</w:t>
      </w:r>
      <w:r>
        <w:rPr>
          <w:spacing w:val="-3"/>
          <w:szCs w:val="22"/>
        </w:rPr>
        <w:t>z</w:t>
      </w:r>
      <w:r>
        <w:rPr>
          <w:szCs w:val="22"/>
        </w:rPr>
        <w:t>at</w:t>
      </w:r>
      <w:r>
        <w:rPr>
          <w:spacing w:val="-2"/>
          <w:szCs w:val="22"/>
        </w:rPr>
        <w:t xml:space="preserve"> M</w:t>
      </w:r>
      <w:r>
        <w:rPr>
          <w:spacing w:val="-1"/>
          <w:szCs w:val="22"/>
        </w:rPr>
        <w:t>T</w:t>
      </w:r>
      <w:r>
        <w:rPr>
          <w:szCs w:val="22"/>
        </w:rPr>
        <w:t>X</w:t>
      </w:r>
      <w:r>
        <w:rPr>
          <w:spacing w:val="1"/>
          <w:szCs w:val="22"/>
        </w:rPr>
        <w:t xml:space="preserve"> </w:t>
      </w:r>
      <w:r>
        <w:rPr>
          <w:spacing w:val="-2"/>
          <w:szCs w:val="22"/>
        </w:rPr>
        <w:t>ş</w:t>
      </w:r>
      <w:r>
        <w:rPr>
          <w:szCs w:val="22"/>
        </w:rPr>
        <w:t>i</w:t>
      </w:r>
      <w:r>
        <w:rPr>
          <w:spacing w:val="1"/>
          <w:szCs w:val="22"/>
        </w:rPr>
        <w:t xml:space="preserve"> </w:t>
      </w:r>
      <w:r>
        <w:rPr>
          <w:szCs w:val="22"/>
        </w:rPr>
        <w:t>c</w:t>
      </w:r>
      <w:r>
        <w:rPr>
          <w:spacing w:val="-3"/>
          <w:szCs w:val="22"/>
        </w:rPr>
        <w:t>a</w:t>
      </w:r>
      <w:r>
        <w:rPr>
          <w:szCs w:val="22"/>
        </w:rPr>
        <w:t>re</w:t>
      </w:r>
      <w:r>
        <w:rPr>
          <w:spacing w:val="-2"/>
          <w:szCs w:val="22"/>
        </w:rPr>
        <w:t xml:space="preserve"> </w:t>
      </w:r>
      <w:r>
        <w:rPr>
          <w:szCs w:val="22"/>
        </w:rPr>
        <w:t xml:space="preserve">au </w:t>
      </w:r>
      <w:r>
        <w:rPr>
          <w:spacing w:val="-3"/>
          <w:szCs w:val="22"/>
        </w:rPr>
        <w:t>a</w:t>
      </w:r>
      <w:r>
        <w:rPr>
          <w:spacing w:val="1"/>
          <w:szCs w:val="22"/>
        </w:rPr>
        <w:t>ti</w:t>
      </w:r>
      <w:r>
        <w:rPr>
          <w:spacing w:val="-3"/>
          <w:szCs w:val="22"/>
        </w:rPr>
        <w:t>n</w:t>
      </w:r>
      <w:r>
        <w:rPr>
          <w:szCs w:val="22"/>
        </w:rPr>
        <w:t xml:space="preserve">s un </w:t>
      </w:r>
      <w:r>
        <w:rPr>
          <w:spacing w:val="-2"/>
          <w:szCs w:val="22"/>
        </w:rPr>
        <w:t>r</w:t>
      </w:r>
      <w:r>
        <w:rPr>
          <w:szCs w:val="22"/>
        </w:rPr>
        <w:t>ăspu</w:t>
      </w:r>
      <w:r>
        <w:rPr>
          <w:spacing w:val="-3"/>
          <w:szCs w:val="22"/>
        </w:rPr>
        <w:t>n</w:t>
      </w:r>
      <w:r>
        <w:rPr>
          <w:szCs w:val="22"/>
        </w:rPr>
        <w:t>s</w:t>
      </w:r>
      <w:r>
        <w:rPr>
          <w:spacing w:val="-2"/>
          <w:szCs w:val="22"/>
        </w:rPr>
        <w:t xml:space="preserve"> </w:t>
      </w:r>
      <w:r>
        <w:rPr>
          <w:spacing w:val="1"/>
          <w:szCs w:val="22"/>
        </w:rPr>
        <w:t>≥</w:t>
      </w:r>
      <w:r>
        <w:rPr>
          <w:spacing w:val="-1"/>
          <w:szCs w:val="22"/>
        </w:rPr>
        <w:t>PAS</w:t>
      </w:r>
      <w:r>
        <w:rPr>
          <w:szCs w:val="22"/>
        </w:rPr>
        <w:t>I</w:t>
      </w:r>
      <w:r>
        <w:rPr>
          <w:spacing w:val="-4"/>
          <w:szCs w:val="22"/>
        </w:rPr>
        <w:t xml:space="preserve"> </w:t>
      </w:r>
      <w:r>
        <w:rPr>
          <w:szCs w:val="22"/>
        </w:rPr>
        <w:t xml:space="preserve">50 </w:t>
      </w:r>
      <w:r>
        <w:rPr>
          <w:spacing w:val="1"/>
          <w:szCs w:val="22"/>
        </w:rPr>
        <w:t>î</w:t>
      </w:r>
      <w:r>
        <w:rPr>
          <w:szCs w:val="22"/>
        </w:rPr>
        <w:t>n săp</w:t>
      </w:r>
      <w:r>
        <w:rPr>
          <w:spacing w:val="1"/>
          <w:szCs w:val="22"/>
        </w:rPr>
        <w:t>t</w:t>
      </w:r>
      <w:r>
        <w:rPr>
          <w:szCs w:val="22"/>
        </w:rPr>
        <w:t>ă</w:t>
      </w:r>
      <w:r>
        <w:rPr>
          <w:spacing w:val="-4"/>
          <w:szCs w:val="22"/>
        </w:rPr>
        <w:t>m</w:t>
      </w:r>
      <w:r>
        <w:rPr>
          <w:szCs w:val="22"/>
        </w:rPr>
        <w:t xml:space="preserve">âna 8 </w:t>
      </w:r>
      <w:r>
        <w:rPr>
          <w:spacing w:val="-2"/>
          <w:szCs w:val="22"/>
        </w:rPr>
        <w:t>şi</w:t>
      </w:r>
      <w:r>
        <w:rPr>
          <w:spacing w:val="1"/>
          <w:szCs w:val="22"/>
        </w:rPr>
        <w:t>/</w:t>
      </w:r>
      <w:r>
        <w:rPr>
          <w:szCs w:val="22"/>
        </w:rPr>
        <w:t>sau 12 nu au</w:t>
      </w:r>
      <w:r>
        <w:rPr>
          <w:spacing w:val="-3"/>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at</w:t>
      </w:r>
      <w:r>
        <w:rPr>
          <w:spacing w:val="1"/>
          <w:szCs w:val="22"/>
        </w:rPr>
        <w:t xml:space="preserve"> </w:t>
      </w:r>
      <w:r>
        <w:rPr>
          <w:szCs w:val="22"/>
        </w:rPr>
        <w:t>do</w:t>
      </w:r>
      <w:r>
        <w:rPr>
          <w:spacing w:val="-3"/>
          <w:szCs w:val="22"/>
        </w:rPr>
        <w:t>z</w:t>
      </w:r>
      <w:r>
        <w:rPr>
          <w:szCs w:val="22"/>
        </w:rPr>
        <w:t>e s</w:t>
      </w:r>
      <w:r>
        <w:rPr>
          <w:spacing w:val="-3"/>
          <w:szCs w:val="22"/>
        </w:rPr>
        <w:t>u</w:t>
      </w:r>
      <w:r>
        <w:rPr>
          <w:szCs w:val="22"/>
        </w:rPr>
        <w:t>p</w:t>
      </w:r>
      <w:r>
        <w:rPr>
          <w:spacing w:val="-2"/>
          <w:szCs w:val="22"/>
        </w:rPr>
        <w:t>li</w:t>
      </w:r>
      <w:r>
        <w:rPr>
          <w:spacing w:val="-4"/>
          <w:szCs w:val="22"/>
        </w:rPr>
        <w:t>m</w:t>
      </w:r>
      <w:r>
        <w:rPr>
          <w:szCs w:val="22"/>
        </w:rPr>
        <w:t>en</w:t>
      </w:r>
      <w:r>
        <w:rPr>
          <w:spacing w:val="1"/>
          <w:szCs w:val="22"/>
        </w:rPr>
        <w:t>t</w:t>
      </w:r>
      <w:r>
        <w:rPr>
          <w:szCs w:val="22"/>
        </w:rPr>
        <w:t xml:space="preserve">are </w:t>
      </w:r>
      <w:r>
        <w:rPr>
          <w:spacing w:val="-3"/>
          <w:szCs w:val="22"/>
        </w:rPr>
        <w:t>c</w:t>
      </w:r>
      <w:r>
        <w:rPr>
          <w:szCs w:val="22"/>
        </w:rPr>
        <w:t>re</w:t>
      </w:r>
      <w:r>
        <w:rPr>
          <w:spacing w:val="-2"/>
          <w:szCs w:val="22"/>
        </w:rPr>
        <w:t>s</w:t>
      </w:r>
      <w:r>
        <w:rPr>
          <w:szCs w:val="22"/>
        </w:rPr>
        <w:t>cu</w:t>
      </w:r>
      <w:r>
        <w:rPr>
          <w:spacing w:val="-2"/>
          <w:szCs w:val="22"/>
        </w:rPr>
        <w:t>t</w:t>
      </w:r>
      <w:r>
        <w:rPr>
          <w:szCs w:val="22"/>
        </w:rPr>
        <w:t xml:space="preserve">e. </w:t>
      </w:r>
      <w:r>
        <w:rPr>
          <w:spacing w:val="-1"/>
          <w:szCs w:val="22"/>
        </w:rPr>
        <w:t>P</w:t>
      </w:r>
      <w:r>
        <w:rPr>
          <w:szCs w:val="22"/>
        </w:rPr>
        <w:t>e</w:t>
      </w:r>
      <w:r>
        <w:rPr>
          <w:spacing w:val="-3"/>
          <w:szCs w:val="22"/>
        </w:rPr>
        <w:t>n</w:t>
      </w:r>
      <w:r>
        <w:rPr>
          <w:spacing w:val="1"/>
          <w:szCs w:val="22"/>
        </w:rPr>
        <w:t>t</w:t>
      </w:r>
      <w:r>
        <w:rPr>
          <w:szCs w:val="22"/>
        </w:rPr>
        <w:t>ru</w:t>
      </w:r>
      <w:r>
        <w:rPr>
          <w:spacing w:val="-3"/>
          <w:szCs w:val="22"/>
        </w:rPr>
        <w:t xml:space="preserve"> </w:t>
      </w:r>
      <w:r>
        <w:rPr>
          <w:spacing w:val="1"/>
          <w:szCs w:val="22"/>
        </w:rPr>
        <w:t>t</w:t>
      </w:r>
      <w:r>
        <w:rPr>
          <w:spacing w:val="-3"/>
          <w:szCs w:val="22"/>
        </w:rPr>
        <w:t>o</w:t>
      </w:r>
      <w:r>
        <w:rPr>
          <w:szCs w:val="22"/>
        </w:rPr>
        <w:t>a</w:t>
      </w:r>
      <w:r>
        <w:rPr>
          <w:spacing w:val="1"/>
          <w:szCs w:val="22"/>
        </w:rPr>
        <w:t>t</w:t>
      </w:r>
      <w:r>
        <w:rPr>
          <w:szCs w:val="22"/>
        </w:rPr>
        <w:t xml:space="preserve">e </w:t>
      </w:r>
      <w:r>
        <w:rPr>
          <w:spacing w:val="-3"/>
          <w:szCs w:val="22"/>
        </w:rPr>
        <w:t>g</w:t>
      </w:r>
      <w:r>
        <w:rPr>
          <w:szCs w:val="22"/>
        </w:rPr>
        <w:t>ru</w:t>
      </w:r>
      <w:r>
        <w:rPr>
          <w:spacing w:val="-3"/>
          <w:szCs w:val="22"/>
        </w:rPr>
        <w:t>p</w:t>
      </w:r>
      <w:r>
        <w:rPr>
          <w:szCs w:val="22"/>
        </w:rPr>
        <w:t>e</w:t>
      </w:r>
      <w:r>
        <w:rPr>
          <w:spacing w:val="1"/>
          <w:szCs w:val="22"/>
        </w:rPr>
        <w:t>l</w:t>
      </w:r>
      <w:r>
        <w:rPr>
          <w:szCs w:val="22"/>
        </w:rPr>
        <w:t>e</w:t>
      </w:r>
      <w:r>
        <w:rPr>
          <w:spacing w:val="-2"/>
          <w:szCs w:val="22"/>
        </w:rPr>
        <w:t xml:space="preserve"> </w:t>
      </w:r>
      <w:r>
        <w:rPr>
          <w:szCs w:val="22"/>
        </w:rPr>
        <w:t>de</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xml:space="preserve">, </w:t>
      </w:r>
      <w:r>
        <w:rPr>
          <w:spacing w:val="-2"/>
          <w:szCs w:val="22"/>
        </w:rPr>
        <w:t>s</w:t>
      </w:r>
      <w:r>
        <w:rPr>
          <w:spacing w:val="-3"/>
          <w:szCs w:val="22"/>
        </w:rPr>
        <w:t>c</w:t>
      </w:r>
      <w:r>
        <w:rPr>
          <w:szCs w:val="22"/>
        </w:rPr>
        <w:t>orul</w:t>
      </w:r>
      <w:r>
        <w:rPr>
          <w:spacing w:val="1"/>
          <w:szCs w:val="22"/>
        </w:rPr>
        <w:t xml:space="preserve"> </w:t>
      </w:r>
      <w:r>
        <w:rPr>
          <w:spacing w:val="-4"/>
          <w:szCs w:val="22"/>
        </w:rPr>
        <w:t>m</w:t>
      </w:r>
      <w:r>
        <w:rPr>
          <w:szCs w:val="22"/>
        </w:rPr>
        <w:t>ed</w:t>
      </w:r>
      <w:r>
        <w:rPr>
          <w:spacing w:val="1"/>
          <w:szCs w:val="22"/>
        </w:rPr>
        <w:t>i</w:t>
      </w:r>
      <w:r>
        <w:rPr>
          <w:szCs w:val="22"/>
        </w:rPr>
        <w:t>u</w:t>
      </w:r>
      <w:r>
        <w:rPr>
          <w:spacing w:val="-3"/>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zCs w:val="22"/>
        </w:rPr>
        <w:t xml:space="preserve">al </w:t>
      </w:r>
      <w:r>
        <w:rPr>
          <w:spacing w:val="-1"/>
          <w:szCs w:val="22"/>
        </w:rPr>
        <w:t>PA</w:t>
      </w:r>
      <w:r>
        <w:rPr>
          <w:spacing w:val="2"/>
          <w:szCs w:val="22"/>
        </w:rPr>
        <w:t>S</w:t>
      </w:r>
      <w:r>
        <w:rPr>
          <w:szCs w:val="22"/>
        </w:rPr>
        <w:t>I</w:t>
      </w:r>
      <w:r>
        <w:rPr>
          <w:spacing w:val="-4"/>
          <w:szCs w:val="22"/>
        </w:rPr>
        <w:t xml:space="preserve"> </w:t>
      </w:r>
      <w:r>
        <w:rPr>
          <w:szCs w:val="22"/>
        </w:rPr>
        <w:t>a fost</w:t>
      </w:r>
      <w:r>
        <w:rPr>
          <w:spacing w:val="-2"/>
          <w:szCs w:val="22"/>
        </w:rPr>
        <w:t xml:space="preserve"> </w:t>
      </w:r>
      <w:r>
        <w:rPr>
          <w:szCs w:val="22"/>
        </w:rPr>
        <w:t>de 19,7</w:t>
      </w:r>
      <w:r>
        <w:rPr>
          <w:spacing w:val="-3"/>
          <w:szCs w:val="22"/>
        </w:rPr>
        <w:t xml:space="preserve"> </w:t>
      </w:r>
      <w:r>
        <w:rPr>
          <w:szCs w:val="22"/>
        </w:rPr>
        <w:t>şi</w:t>
      </w:r>
      <w:r>
        <w:rPr>
          <w:spacing w:val="-2"/>
          <w:szCs w:val="22"/>
        </w:rPr>
        <w:t xml:space="preserve"> </w:t>
      </w:r>
      <w:r>
        <w:rPr>
          <w:szCs w:val="22"/>
        </w:rPr>
        <w:t>sc</w:t>
      </w:r>
      <w:r>
        <w:rPr>
          <w:spacing w:val="-3"/>
          <w:szCs w:val="22"/>
        </w:rPr>
        <w:t>o</w:t>
      </w:r>
      <w:r>
        <w:rPr>
          <w:szCs w:val="22"/>
        </w:rPr>
        <w:t>r</w:t>
      </w:r>
      <w:r>
        <w:rPr>
          <w:spacing w:val="-3"/>
          <w:szCs w:val="22"/>
        </w:rPr>
        <w:t>u</w:t>
      </w:r>
      <w:r>
        <w:rPr>
          <w:szCs w:val="22"/>
        </w:rPr>
        <w:t>l</w:t>
      </w:r>
      <w:r>
        <w:rPr>
          <w:spacing w:val="1"/>
          <w:szCs w:val="22"/>
        </w:rPr>
        <w:t xml:space="preserve"> i</w:t>
      </w:r>
      <w:r>
        <w:rPr>
          <w:spacing w:val="-3"/>
          <w:szCs w:val="22"/>
        </w:rPr>
        <w:t>n</w:t>
      </w:r>
      <w:r>
        <w:rPr>
          <w:spacing w:val="1"/>
          <w:szCs w:val="22"/>
        </w:rPr>
        <w:t>i</w:t>
      </w:r>
      <w:r>
        <w:rPr>
          <w:spacing w:val="-2"/>
          <w:szCs w:val="22"/>
        </w:rPr>
        <w:t>ţ</w:t>
      </w:r>
      <w:r>
        <w:rPr>
          <w:spacing w:val="1"/>
          <w:szCs w:val="22"/>
        </w:rPr>
        <w:t>i</w:t>
      </w:r>
      <w:r>
        <w:rPr>
          <w:spacing w:val="-3"/>
          <w:szCs w:val="22"/>
        </w:rPr>
        <w:t>a</w:t>
      </w:r>
      <w:r>
        <w:rPr>
          <w:szCs w:val="22"/>
        </w:rPr>
        <w:t>l</w:t>
      </w:r>
      <w:r>
        <w:rPr>
          <w:spacing w:val="1"/>
          <w:szCs w:val="22"/>
        </w:rPr>
        <w:t xml:space="preserve"> </w:t>
      </w:r>
      <w:r>
        <w:rPr>
          <w:spacing w:val="-1"/>
          <w:szCs w:val="22"/>
        </w:rPr>
        <w:t>PG</w:t>
      </w:r>
      <w:r>
        <w:rPr>
          <w:szCs w:val="22"/>
        </w:rPr>
        <w:t>A</w:t>
      </w:r>
      <w:r>
        <w:rPr>
          <w:spacing w:val="-1"/>
          <w:szCs w:val="22"/>
        </w:rPr>
        <w:t xml:space="preserve"> </w:t>
      </w:r>
      <w:r>
        <w:rPr>
          <w:szCs w:val="22"/>
        </w:rPr>
        <w:t xml:space="preserve">a </w:t>
      </w:r>
      <w:r>
        <w:rPr>
          <w:spacing w:val="-2"/>
          <w:szCs w:val="22"/>
        </w:rPr>
        <w:t>f</w:t>
      </w:r>
      <w:r>
        <w:rPr>
          <w:szCs w:val="22"/>
        </w:rPr>
        <w:t>ost</w:t>
      </w:r>
      <w:r>
        <w:rPr>
          <w:spacing w:val="-2"/>
          <w:szCs w:val="22"/>
        </w:rPr>
        <w:t xml:space="preserve"> </w:t>
      </w:r>
      <w:r>
        <w:rPr>
          <w:szCs w:val="22"/>
        </w:rPr>
        <w:t>c</w:t>
      </w:r>
      <w:r>
        <w:rPr>
          <w:spacing w:val="-2"/>
          <w:szCs w:val="22"/>
        </w:rPr>
        <w:t>l</w:t>
      </w:r>
      <w:r>
        <w:rPr>
          <w:szCs w:val="22"/>
        </w:rPr>
        <w:t>as</w:t>
      </w:r>
      <w:r>
        <w:rPr>
          <w:spacing w:val="-2"/>
          <w:szCs w:val="22"/>
        </w:rPr>
        <w:t>i</w:t>
      </w:r>
      <w:r>
        <w:rPr>
          <w:szCs w:val="22"/>
        </w:rPr>
        <w:t>f</w:t>
      </w:r>
      <w:r>
        <w:rPr>
          <w:spacing w:val="-2"/>
          <w:szCs w:val="22"/>
        </w:rPr>
        <w:t>i</w:t>
      </w:r>
      <w:r>
        <w:rPr>
          <w:szCs w:val="22"/>
        </w:rPr>
        <w:t>c</w:t>
      </w:r>
      <w:r>
        <w:rPr>
          <w:spacing w:val="-3"/>
          <w:szCs w:val="22"/>
        </w:rPr>
        <w:t>a</w:t>
      </w:r>
      <w:r>
        <w:rPr>
          <w:szCs w:val="22"/>
        </w:rPr>
        <w:t>t</w:t>
      </w:r>
      <w:r>
        <w:rPr>
          <w:spacing w:val="1"/>
          <w:szCs w:val="22"/>
        </w:rPr>
        <w:t xml:space="preserve"> </w:t>
      </w:r>
      <w:r>
        <w:rPr>
          <w:szCs w:val="22"/>
        </w:rPr>
        <w:t>de</w:t>
      </w:r>
      <w:r>
        <w:rPr>
          <w:spacing w:val="-2"/>
          <w:szCs w:val="22"/>
        </w:rPr>
        <w:t xml:space="preserve"> </w:t>
      </w:r>
      <w:r>
        <w:rPr>
          <w:spacing w:val="1"/>
          <w:szCs w:val="22"/>
        </w:rPr>
        <w:t>l</w:t>
      </w:r>
      <w:r>
        <w:rPr>
          <w:szCs w:val="22"/>
        </w:rPr>
        <w:t xml:space="preserve">a </w:t>
      </w:r>
      <w:r>
        <w:rPr>
          <w:spacing w:val="-3"/>
          <w:szCs w:val="22"/>
        </w:rPr>
        <w:t>“</w:t>
      </w:r>
      <w:r>
        <w:rPr>
          <w:szCs w:val="22"/>
        </w:rPr>
        <w:t>uş</w:t>
      </w:r>
      <w:r>
        <w:rPr>
          <w:spacing w:val="-3"/>
          <w:szCs w:val="22"/>
        </w:rPr>
        <w:t>o</w:t>
      </w:r>
      <w:r>
        <w:rPr>
          <w:szCs w:val="22"/>
        </w:rPr>
        <w:t xml:space="preserve">r” </w:t>
      </w:r>
      <w:r>
        <w:rPr>
          <w:spacing w:val="-2"/>
          <w:szCs w:val="22"/>
        </w:rPr>
        <w:t>(</w:t>
      </w:r>
      <w:r>
        <w:rPr>
          <w:szCs w:val="22"/>
        </w:rPr>
        <w:t>&lt;1</w:t>
      </w:r>
      <w:r>
        <w:rPr>
          <w:spacing w:val="-2"/>
          <w:szCs w:val="22"/>
        </w:rPr>
        <w:t>%</w:t>
      </w:r>
      <w:r>
        <w:rPr>
          <w:szCs w:val="22"/>
        </w:rPr>
        <w:t>),</w:t>
      </w:r>
      <w:r>
        <w:rPr>
          <w:spacing w:val="-3"/>
          <w:szCs w:val="22"/>
        </w:rPr>
        <w:t xml:space="preserve"> </w:t>
      </w:r>
      <w:r>
        <w:rPr>
          <w:spacing w:val="1"/>
          <w:szCs w:val="22"/>
        </w:rPr>
        <w:t>l</w:t>
      </w:r>
      <w:r>
        <w:rPr>
          <w:szCs w:val="22"/>
        </w:rPr>
        <w:t>a “</w:t>
      </w:r>
      <w:r>
        <w:rPr>
          <w:spacing w:val="-4"/>
          <w:szCs w:val="22"/>
        </w:rPr>
        <w:t>m</w:t>
      </w:r>
      <w:r>
        <w:rPr>
          <w:szCs w:val="22"/>
        </w:rPr>
        <w:t>oder</w:t>
      </w:r>
      <w:r>
        <w:rPr>
          <w:spacing w:val="-3"/>
          <w:szCs w:val="22"/>
        </w:rPr>
        <w:t>a</w:t>
      </w:r>
      <w:r>
        <w:rPr>
          <w:spacing w:val="1"/>
          <w:szCs w:val="22"/>
        </w:rPr>
        <w:t>t</w:t>
      </w:r>
      <w:r>
        <w:rPr>
          <w:szCs w:val="22"/>
        </w:rPr>
        <w:t>”</w:t>
      </w:r>
      <w:r>
        <w:rPr>
          <w:spacing w:val="-2"/>
          <w:szCs w:val="22"/>
        </w:rPr>
        <w:t xml:space="preserve"> </w:t>
      </w:r>
      <w:r>
        <w:rPr>
          <w:szCs w:val="22"/>
        </w:rPr>
        <w:t>(4</w:t>
      </w:r>
      <w:r>
        <w:rPr>
          <w:spacing w:val="-3"/>
          <w:szCs w:val="22"/>
        </w:rPr>
        <w:t>8</w:t>
      </w:r>
      <w:r>
        <w:rPr>
          <w:szCs w:val="22"/>
        </w:rPr>
        <w:t>%),</w:t>
      </w:r>
      <w:r>
        <w:rPr>
          <w:spacing w:val="-3"/>
          <w:szCs w:val="22"/>
        </w:rPr>
        <w:t xml:space="preserve"> </w:t>
      </w:r>
      <w:r>
        <w:rPr>
          <w:spacing w:val="1"/>
          <w:szCs w:val="22"/>
        </w:rPr>
        <w:t>l</w:t>
      </w:r>
      <w:r>
        <w:rPr>
          <w:szCs w:val="22"/>
        </w:rPr>
        <w:t>a “se</w:t>
      </w:r>
      <w:r>
        <w:rPr>
          <w:spacing w:val="-3"/>
          <w:szCs w:val="22"/>
        </w:rPr>
        <w:t>v</w:t>
      </w:r>
      <w:r>
        <w:rPr>
          <w:szCs w:val="22"/>
        </w:rPr>
        <w:t>er”</w:t>
      </w:r>
      <w:r>
        <w:rPr>
          <w:spacing w:val="-2"/>
          <w:szCs w:val="22"/>
        </w:rPr>
        <w:t xml:space="preserve"> </w:t>
      </w:r>
      <w:r>
        <w:rPr>
          <w:szCs w:val="22"/>
        </w:rPr>
        <w:t>(4</w:t>
      </w:r>
      <w:r>
        <w:rPr>
          <w:spacing w:val="-3"/>
          <w:szCs w:val="22"/>
        </w:rPr>
        <w:t>6</w:t>
      </w:r>
      <w:r>
        <w:rPr>
          <w:szCs w:val="22"/>
        </w:rPr>
        <w:t>%)</w:t>
      </w:r>
      <w:r>
        <w:rPr>
          <w:spacing w:val="-2"/>
          <w:szCs w:val="22"/>
        </w:rPr>
        <w:t xml:space="preserve"> </w:t>
      </w:r>
      <w:r>
        <w:rPr>
          <w:szCs w:val="22"/>
        </w:rPr>
        <w:t>şi</w:t>
      </w:r>
      <w:r>
        <w:rPr>
          <w:spacing w:val="-2"/>
          <w:szCs w:val="22"/>
        </w:rPr>
        <w:t xml:space="preserve"> </w:t>
      </w:r>
      <w:r>
        <w:rPr>
          <w:spacing w:val="1"/>
          <w:szCs w:val="22"/>
        </w:rPr>
        <w:t>l</w:t>
      </w:r>
      <w:r>
        <w:rPr>
          <w:szCs w:val="22"/>
        </w:rPr>
        <w:t xml:space="preserve">a </w:t>
      </w:r>
      <w:r>
        <w:rPr>
          <w:spacing w:val="-3"/>
          <w:szCs w:val="22"/>
        </w:rPr>
        <w:t>“</w:t>
      </w:r>
      <w:r>
        <w:rPr>
          <w:szCs w:val="22"/>
        </w:rPr>
        <w:t>fo</w:t>
      </w:r>
      <w:r>
        <w:rPr>
          <w:spacing w:val="-3"/>
          <w:szCs w:val="22"/>
        </w:rPr>
        <w:t>a</w:t>
      </w:r>
      <w:r>
        <w:rPr>
          <w:szCs w:val="22"/>
        </w:rPr>
        <w:t>r</w:t>
      </w:r>
      <w:r>
        <w:rPr>
          <w:spacing w:val="-2"/>
          <w:szCs w:val="22"/>
        </w:rPr>
        <w:t>t</w:t>
      </w:r>
      <w:r>
        <w:rPr>
          <w:szCs w:val="22"/>
        </w:rPr>
        <w:t>e</w:t>
      </w:r>
      <w:r>
        <w:rPr>
          <w:spacing w:val="-2"/>
          <w:szCs w:val="22"/>
        </w:rPr>
        <w:t xml:space="preserve"> </w:t>
      </w:r>
      <w:r>
        <w:rPr>
          <w:szCs w:val="22"/>
        </w:rPr>
        <w:t>se</w:t>
      </w:r>
      <w:r>
        <w:rPr>
          <w:spacing w:val="-3"/>
          <w:szCs w:val="22"/>
        </w:rPr>
        <w:t>v</w:t>
      </w:r>
      <w:r>
        <w:rPr>
          <w:szCs w:val="22"/>
        </w:rPr>
        <w:t xml:space="preserve">er” </w:t>
      </w:r>
      <w:r>
        <w:rPr>
          <w:spacing w:val="-2"/>
          <w:szCs w:val="22"/>
        </w:rPr>
        <w:t>(</w:t>
      </w:r>
      <w:r>
        <w:rPr>
          <w:szCs w:val="22"/>
        </w:rPr>
        <w:t>6</w:t>
      </w:r>
      <w:r>
        <w:rPr>
          <w:spacing w:val="-2"/>
          <w:szCs w:val="22"/>
        </w:rPr>
        <w:t>%</w:t>
      </w:r>
      <w:r>
        <w:rPr>
          <w:szCs w:val="22"/>
        </w:rPr>
        <w:t>).</w:t>
      </w:r>
    </w:p>
    <w:p w14:paraId="06FFDA39" w14:textId="77777777" w:rsidR="00C04CAD" w:rsidRDefault="00C04CAD">
      <w:pPr>
        <w:tabs>
          <w:tab w:val="clear" w:pos="567"/>
        </w:tabs>
        <w:kinsoku w:val="0"/>
        <w:overflowPunct w:val="0"/>
        <w:autoSpaceDE w:val="0"/>
        <w:autoSpaceDN w:val="0"/>
        <w:adjustRightInd w:val="0"/>
        <w:spacing w:line="240" w:lineRule="auto"/>
        <w:rPr>
          <w:szCs w:val="22"/>
        </w:rPr>
      </w:pPr>
    </w:p>
    <w:p w14:paraId="2063720F"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e au</w:t>
      </w:r>
      <w:r>
        <w:rPr>
          <w:spacing w:val="-3"/>
          <w:szCs w:val="22"/>
        </w:rPr>
        <w:t xml:space="preserve"> </w:t>
      </w:r>
      <w:r>
        <w:rPr>
          <w:szCs w:val="22"/>
        </w:rPr>
        <w:t>pa</w:t>
      </w:r>
      <w:r>
        <w:rPr>
          <w:spacing w:val="-2"/>
          <w:szCs w:val="22"/>
        </w:rPr>
        <w:t>r</w:t>
      </w:r>
      <w:r>
        <w:rPr>
          <w:spacing w:val="1"/>
          <w:szCs w:val="22"/>
        </w:rPr>
        <w:t>t</w:t>
      </w:r>
      <w:r>
        <w:rPr>
          <w:spacing w:val="-2"/>
          <w:szCs w:val="22"/>
        </w:rPr>
        <w:t>i</w:t>
      </w:r>
      <w:r>
        <w:rPr>
          <w:szCs w:val="22"/>
        </w:rPr>
        <w:t>c</w:t>
      </w:r>
      <w:r>
        <w:rPr>
          <w:spacing w:val="1"/>
          <w:szCs w:val="22"/>
        </w:rPr>
        <w:t>i</w:t>
      </w:r>
      <w:r>
        <w:rPr>
          <w:spacing w:val="-3"/>
          <w:szCs w:val="22"/>
        </w:rPr>
        <w:t>p</w:t>
      </w:r>
      <w:r>
        <w:rPr>
          <w:szCs w:val="22"/>
        </w:rPr>
        <w:t>at</w:t>
      </w:r>
      <w:r>
        <w:rPr>
          <w:spacing w:val="-2"/>
          <w:szCs w:val="22"/>
        </w:rPr>
        <w:t xml:space="preserve"> î</w:t>
      </w:r>
      <w:r>
        <w:rPr>
          <w:szCs w:val="22"/>
        </w:rPr>
        <w:t>n 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e</w:t>
      </w:r>
      <w:r>
        <w:rPr>
          <w:spacing w:val="-2"/>
          <w:szCs w:val="22"/>
        </w:rPr>
        <w:t xml:space="preserve"> </w:t>
      </w:r>
      <w:r>
        <w:rPr>
          <w:szCs w:val="22"/>
        </w:rPr>
        <w:t xml:space="preserve">de </w:t>
      </w:r>
      <w:r>
        <w:rPr>
          <w:spacing w:val="-2"/>
          <w:szCs w:val="22"/>
        </w:rPr>
        <w:t>f</w:t>
      </w:r>
      <w:r>
        <w:rPr>
          <w:szCs w:val="22"/>
        </w:rPr>
        <w:t>a</w:t>
      </w:r>
      <w:r>
        <w:rPr>
          <w:spacing w:val="-3"/>
          <w:szCs w:val="22"/>
        </w:rPr>
        <w:t>z</w:t>
      </w:r>
      <w:r>
        <w:rPr>
          <w:szCs w:val="22"/>
        </w:rPr>
        <w:t xml:space="preserve">ă 2 </w:t>
      </w:r>
      <w:r>
        <w:rPr>
          <w:spacing w:val="-2"/>
          <w:szCs w:val="22"/>
        </w:rPr>
        <w:t>ş</w:t>
      </w:r>
      <w:r>
        <w:rPr>
          <w:szCs w:val="22"/>
        </w:rPr>
        <w:t>i</w:t>
      </w:r>
      <w:r>
        <w:rPr>
          <w:spacing w:val="1"/>
          <w:szCs w:val="22"/>
        </w:rPr>
        <w:t xml:space="preserve"> </w:t>
      </w:r>
      <w:r>
        <w:rPr>
          <w:szCs w:val="22"/>
        </w:rPr>
        <w:t>3 p</w:t>
      </w:r>
      <w:r>
        <w:rPr>
          <w:spacing w:val="-3"/>
          <w:szCs w:val="22"/>
        </w:rPr>
        <w:t>en</w:t>
      </w:r>
      <w:r>
        <w:rPr>
          <w:spacing w:val="1"/>
          <w:szCs w:val="22"/>
        </w:rPr>
        <w:t>t</w:t>
      </w:r>
      <w:r>
        <w:rPr>
          <w:szCs w:val="22"/>
        </w:rPr>
        <w:t xml:space="preserve">ru </w:t>
      </w:r>
      <w:r>
        <w:rPr>
          <w:spacing w:val="-3"/>
          <w:szCs w:val="22"/>
        </w:rPr>
        <w:t>p</w:t>
      </w:r>
      <w:r>
        <w:rPr>
          <w:szCs w:val="22"/>
        </w:rPr>
        <w:t>so</w:t>
      </w:r>
      <w:r>
        <w:rPr>
          <w:spacing w:val="-2"/>
          <w:szCs w:val="22"/>
        </w:rPr>
        <w:t>r</w:t>
      </w:r>
      <w:r>
        <w:rPr>
          <w:spacing w:val="1"/>
          <w:szCs w:val="22"/>
        </w:rPr>
        <w:t>i</w:t>
      </w:r>
      <w:r>
        <w:rPr>
          <w:szCs w:val="22"/>
        </w:rPr>
        <w:t>a</w:t>
      </w:r>
      <w:r>
        <w:rPr>
          <w:spacing w:val="-3"/>
          <w:szCs w:val="22"/>
        </w:rPr>
        <w:t>z</w:t>
      </w:r>
      <w:r>
        <w:rPr>
          <w:spacing w:val="1"/>
          <w:szCs w:val="22"/>
        </w:rPr>
        <w:t>i</w:t>
      </w:r>
      <w:r>
        <w:rPr>
          <w:szCs w:val="22"/>
        </w:rPr>
        <w:t>s</w:t>
      </w:r>
      <w:r>
        <w:rPr>
          <w:spacing w:val="-2"/>
          <w:szCs w:val="22"/>
        </w:rPr>
        <w:t xml:space="preserve"> </w:t>
      </w:r>
      <w:r>
        <w:rPr>
          <w:szCs w:val="22"/>
        </w:rPr>
        <w:t xml:space="preserve">au </w:t>
      </w:r>
      <w:r>
        <w:rPr>
          <w:spacing w:val="-2"/>
          <w:szCs w:val="22"/>
        </w:rPr>
        <w:t>f</w:t>
      </w:r>
      <w:r>
        <w:rPr>
          <w:szCs w:val="22"/>
        </w:rPr>
        <w:t>o</w:t>
      </w:r>
      <w:r>
        <w:rPr>
          <w:spacing w:val="-2"/>
          <w:szCs w:val="22"/>
        </w:rPr>
        <w:t>s</w:t>
      </w:r>
      <w:r>
        <w:rPr>
          <w:szCs w:val="22"/>
        </w:rPr>
        <w:t>t</w:t>
      </w:r>
      <w:r>
        <w:rPr>
          <w:spacing w:val="1"/>
          <w:szCs w:val="22"/>
        </w:rPr>
        <w:t xml:space="preserve"> </w:t>
      </w:r>
      <w:r>
        <w:rPr>
          <w:szCs w:val="22"/>
        </w:rPr>
        <w:t>e</w:t>
      </w:r>
      <w:r>
        <w:rPr>
          <w:spacing w:val="-2"/>
          <w:szCs w:val="22"/>
        </w:rPr>
        <w:t>l</w:t>
      </w:r>
      <w:r>
        <w:rPr>
          <w:spacing w:val="1"/>
          <w:szCs w:val="22"/>
        </w:rPr>
        <w:t>i</w:t>
      </w:r>
      <w:r>
        <w:rPr>
          <w:spacing w:val="-3"/>
          <w:szCs w:val="22"/>
        </w:rPr>
        <w:t>g</w:t>
      </w:r>
      <w:r>
        <w:rPr>
          <w:spacing w:val="1"/>
          <w:szCs w:val="22"/>
        </w:rPr>
        <w:t>i</w:t>
      </w:r>
      <w:r>
        <w:rPr>
          <w:szCs w:val="22"/>
        </w:rPr>
        <w:t>b</w:t>
      </w:r>
      <w:r>
        <w:rPr>
          <w:spacing w:val="-2"/>
          <w:szCs w:val="22"/>
        </w:rPr>
        <w:t>il</w:t>
      </w:r>
      <w:r>
        <w:rPr>
          <w:szCs w:val="22"/>
        </w:rPr>
        <w:t>i</w:t>
      </w:r>
      <w:r>
        <w:rPr>
          <w:spacing w:val="1"/>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pacing w:val="1"/>
          <w:szCs w:val="22"/>
        </w:rPr>
        <w:t>î</w:t>
      </w:r>
      <w:r>
        <w:rPr>
          <w:spacing w:val="-3"/>
          <w:szCs w:val="22"/>
        </w:rPr>
        <w:t>n</w:t>
      </w:r>
      <w:r>
        <w:rPr>
          <w:szCs w:val="22"/>
        </w:rPr>
        <w:t>ro</w:t>
      </w:r>
      <w:r>
        <w:rPr>
          <w:spacing w:val="-2"/>
          <w:szCs w:val="22"/>
        </w:rPr>
        <w:t>l</w:t>
      </w:r>
      <w:r>
        <w:rPr>
          <w:szCs w:val="22"/>
        </w:rPr>
        <w:t>ar</w:t>
      </w:r>
      <w:r>
        <w:rPr>
          <w:spacing w:val="-3"/>
          <w:szCs w:val="22"/>
        </w:rPr>
        <w:t>e</w:t>
      </w:r>
      <w:r>
        <w:rPr>
          <w:szCs w:val="22"/>
        </w:rPr>
        <w:t xml:space="preserve">a </w:t>
      </w:r>
      <w:r>
        <w:rPr>
          <w:spacing w:val="1"/>
          <w:szCs w:val="22"/>
        </w:rPr>
        <w:t>î</w:t>
      </w:r>
      <w:r>
        <w:rPr>
          <w:szCs w:val="22"/>
        </w:rPr>
        <w:t>n</w:t>
      </w:r>
      <w:r>
        <w:rPr>
          <w:spacing w:val="-2"/>
          <w:szCs w:val="22"/>
        </w:rPr>
        <w:t>t</w:t>
      </w:r>
      <w:r>
        <w:rPr>
          <w:szCs w:val="22"/>
        </w:rPr>
        <w:t>r</w:t>
      </w:r>
      <w:r>
        <w:rPr>
          <w:spacing w:val="-4"/>
          <w:szCs w:val="22"/>
        </w:rPr>
        <w:noBreakHyphen/>
      </w:r>
      <w:r>
        <w:rPr>
          <w:szCs w:val="22"/>
        </w:rPr>
        <w:t>un s</w:t>
      </w:r>
      <w:r>
        <w:rPr>
          <w:spacing w:val="1"/>
          <w:szCs w:val="22"/>
        </w:rPr>
        <w:t>t</w:t>
      </w:r>
      <w:r>
        <w:rPr>
          <w:szCs w:val="22"/>
        </w:rPr>
        <w:t>ud</w:t>
      </w:r>
      <w:r>
        <w:rPr>
          <w:spacing w:val="1"/>
          <w:szCs w:val="22"/>
        </w:rPr>
        <w:t>i</w:t>
      </w:r>
      <w:r>
        <w:rPr>
          <w:szCs w:val="22"/>
        </w:rPr>
        <w:t>u</w:t>
      </w:r>
      <w:r>
        <w:rPr>
          <w:spacing w:val="-3"/>
          <w:szCs w:val="22"/>
        </w:rPr>
        <w:t xml:space="preserve"> </w:t>
      </w:r>
      <w:r>
        <w:rPr>
          <w:szCs w:val="22"/>
        </w:rPr>
        <w:t>e</w:t>
      </w:r>
      <w:r>
        <w:rPr>
          <w:spacing w:val="-3"/>
          <w:szCs w:val="22"/>
        </w:rPr>
        <w:t>x</w:t>
      </w:r>
      <w:r>
        <w:rPr>
          <w:spacing w:val="1"/>
          <w:szCs w:val="22"/>
        </w:rPr>
        <w:t>ti</w:t>
      </w:r>
      <w:r>
        <w:rPr>
          <w:spacing w:val="-3"/>
          <w:szCs w:val="22"/>
        </w:rPr>
        <w:t>n</w:t>
      </w:r>
      <w:r>
        <w:rPr>
          <w:szCs w:val="22"/>
        </w:rPr>
        <w:t>s, d</w:t>
      </w:r>
      <w:r>
        <w:rPr>
          <w:spacing w:val="-3"/>
          <w:szCs w:val="22"/>
        </w:rPr>
        <w:t>e</w:t>
      </w:r>
      <w:r>
        <w:rPr>
          <w:szCs w:val="22"/>
        </w:rPr>
        <w:t>sc</w:t>
      </w:r>
      <w:r>
        <w:rPr>
          <w:spacing w:val="-3"/>
          <w:szCs w:val="22"/>
        </w:rPr>
        <w:t>h</w:t>
      </w:r>
      <w:r>
        <w:rPr>
          <w:spacing w:val="-2"/>
          <w:szCs w:val="22"/>
        </w:rPr>
        <w:t>i</w:t>
      </w:r>
      <w:r>
        <w:rPr>
          <w:szCs w:val="22"/>
        </w:rPr>
        <w:t xml:space="preserve">s </w:t>
      </w:r>
      <w:r>
        <w:rPr>
          <w:spacing w:val="1"/>
          <w:szCs w:val="22"/>
        </w:rPr>
        <w:t>î</w:t>
      </w:r>
      <w:r>
        <w:rPr>
          <w:szCs w:val="22"/>
        </w:rPr>
        <w:t xml:space="preserve">n </w:t>
      </w:r>
      <w:r>
        <w:rPr>
          <w:spacing w:val="-3"/>
          <w:szCs w:val="22"/>
        </w:rPr>
        <w:t>c</w:t>
      </w:r>
      <w:r>
        <w:rPr>
          <w:szCs w:val="22"/>
        </w:rPr>
        <w:t>a</w:t>
      </w:r>
      <w:r>
        <w:rPr>
          <w:spacing w:val="-2"/>
          <w:szCs w:val="22"/>
        </w:rPr>
        <w:t>r</w:t>
      </w:r>
      <w:r>
        <w:rPr>
          <w:szCs w:val="22"/>
        </w:rPr>
        <w:t xml:space="preserve">e </w:t>
      </w:r>
      <w:r>
        <w:rPr>
          <w:rFonts w:eastAsia="MS Mincho"/>
          <w:spacing w:val="-1"/>
          <w:szCs w:val="22"/>
          <w:lang w:eastAsia="en-US" w:bidi="ar-SA"/>
        </w:rPr>
        <w:t>adalimumab</w:t>
      </w:r>
      <w:r>
        <w:rPr>
          <w:szCs w:val="22"/>
        </w:rPr>
        <w:t xml:space="preserve"> 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rat</w:t>
      </w:r>
      <w:r>
        <w:rPr>
          <w:spacing w:val="-2"/>
          <w:szCs w:val="22"/>
        </w:rPr>
        <w:t xml:space="preserve"> </w:t>
      </w:r>
      <w:r>
        <w:rPr>
          <w:szCs w:val="22"/>
        </w:rPr>
        <w:t>su</w:t>
      </w:r>
      <w:r>
        <w:rPr>
          <w:spacing w:val="-3"/>
          <w:szCs w:val="22"/>
        </w:rPr>
        <w:t>p</w:t>
      </w:r>
      <w:r>
        <w:rPr>
          <w:spacing w:val="1"/>
          <w:szCs w:val="22"/>
        </w:rPr>
        <w:t>li</w:t>
      </w:r>
      <w:r>
        <w:rPr>
          <w:spacing w:val="-4"/>
          <w:szCs w:val="22"/>
        </w:rPr>
        <w:t>m</w:t>
      </w:r>
      <w:r>
        <w:rPr>
          <w:szCs w:val="22"/>
        </w:rPr>
        <w:t>en</w:t>
      </w:r>
      <w:r>
        <w:rPr>
          <w:spacing w:val="1"/>
          <w:szCs w:val="22"/>
        </w:rPr>
        <w:t>t</w:t>
      </w:r>
      <w:r>
        <w:rPr>
          <w:spacing w:val="-3"/>
          <w:szCs w:val="22"/>
        </w:rPr>
        <w:t>a</w:t>
      </w:r>
      <w:r>
        <w:rPr>
          <w:szCs w:val="22"/>
        </w:rPr>
        <w:t>r</w:t>
      </w:r>
      <w:r>
        <w:rPr>
          <w:spacing w:val="1"/>
          <w:szCs w:val="22"/>
        </w:rPr>
        <w:t xml:space="preserve"> </w:t>
      </w:r>
      <w:r>
        <w:rPr>
          <w:szCs w:val="22"/>
        </w:rPr>
        <w:t>pe</w:t>
      </w:r>
      <w:r>
        <w:rPr>
          <w:spacing w:val="-3"/>
          <w:szCs w:val="22"/>
        </w:rPr>
        <w:t>n</w:t>
      </w:r>
      <w:r>
        <w:rPr>
          <w:spacing w:val="1"/>
          <w:szCs w:val="22"/>
        </w:rPr>
        <w:t>t</w:t>
      </w:r>
      <w:r>
        <w:rPr>
          <w:spacing w:val="-2"/>
          <w:szCs w:val="22"/>
        </w:rPr>
        <w:t>r</w:t>
      </w:r>
      <w:r>
        <w:rPr>
          <w:szCs w:val="22"/>
        </w:rPr>
        <w:t xml:space="preserve">u </w:t>
      </w:r>
      <w:r>
        <w:rPr>
          <w:spacing w:val="-2"/>
          <w:szCs w:val="22"/>
        </w:rPr>
        <w:t>î</w:t>
      </w:r>
      <w:r>
        <w:rPr>
          <w:szCs w:val="22"/>
        </w:rPr>
        <w:t>ncă c</w:t>
      </w:r>
      <w:r>
        <w:rPr>
          <w:spacing w:val="-3"/>
          <w:szCs w:val="22"/>
        </w:rPr>
        <w:t>e</w:t>
      </w:r>
      <w:r>
        <w:rPr>
          <w:szCs w:val="22"/>
        </w:rPr>
        <w:t>l</w:t>
      </w:r>
      <w:r>
        <w:rPr>
          <w:spacing w:val="1"/>
          <w:szCs w:val="22"/>
        </w:rPr>
        <w:t xml:space="preserve"> </w:t>
      </w:r>
      <w:r>
        <w:rPr>
          <w:szCs w:val="22"/>
        </w:rPr>
        <w:t>p</w:t>
      </w:r>
      <w:r>
        <w:rPr>
          <w:spacing w:val="-3"/>
          <w:szCs w:val="22"/>
        </w:rPr>
        <w:t>u</w:t>
      </w:r>
      <w:r>
        <w:rPr>
          <w:spacing w:val="1"/>
          <w:szCs w:val="22"/>
        </w:rPr>
        <w:t>ţ</w:t>
      </w:r>
      <w:r>
        <w:rPr>
          <w:spacing w:val="-2"/>
          <w:szCs w:val="22"/>
        </w:rPr>
        <w:t>i</w:t>
      </w:r>
      <w:r>
        <w:rPr>
          <w:szCs w:val="22"/>
        </w:rPr>
        <w:t>n 108 săp</w:t>
      </w:r>
      <w:r>
        <w:rPr>
          <w:spacing w:val="-2"/>
          <w:szCs w:val="22"/>
        </w:rPr>
        <w:t>t</w:t>
      </w:r>
      <w:r>
        <w:rPr>
          <w:szCs w:val="22"/>
        </w:rPr>
        <w:t>ă</w:t>
      </w:r>
      <w:r>
        <w:rPr>
          <w:spacing w:val="-4"/>
          <w:szCs w:val="22"/>
        </w:rPr>
        <w:t>m</w:t>
      </w:r>
      <w:r>
        <w:rPr>
          <w:szCs w:val="22"/>
        </w:rPr>
        <w:t>ân</w:t>
      </w:r>
      <w:r>
        <w:rPr>
          <w:spacing w:val="1"/>
          <w:szCs w:val="22"/>
        </w:rPr>
        <w:t>i</w:t>
      </w:r>
      <w:r>
        <w:rPr>
          <w:szCs w:val="22"/>
        </w:rPr>
        <w:t>.</w:t>
      </w:r>
    </w:p>
    <w:p w14:paraId="221B6984" w14:textId="77777777" w:rsidR="00C04CAD" w:rsidRDefault="00C04CAD">
      <w:pPr>
        <w:tabs>
          <w:tab w:val="clear" w:pos="567"/>
        </w:tabs>
        <w:kinsoku w:val="0"/>
        <w:overflowPunct w:val="0"/>
        <w:autoSpaceDE w:val="0"/>
        <w:autoSpaceDN w:val="0"/>
        <w:adjustRightInd w:val="0"/>
        <w:spacing w:line="240" w:lineRule="auto"/>
        <w:rPr>
          <w:szCs w:val="22"/>
        </w:rPr>
      </w:pPr>
    </w:p>
    <w:p w14:paraId="10ABAC0C" w14:textId="77777777" w:rsidR="00C04CAD" w:rsidRDefault="00060E34">
      <w:pPr>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iil</w:t>
      </w:r>
      <w:r>
        <w:rPr>
          <w:szCs w:val="22"/>
        </w:rPr>
        <w:t>e</w:t>
      </w:r>
      <w:r>
        <w:rPr>
          <w:spacing w:val="-2"/>
          <w:szCs w:val="22"/>
        </w:rPr>
        <w:t xml:space="preserve"> </w:t>
      </w:r>
      <w:r>
        <w:rPr>
          <w:szCs w:val="22"/>
        </w:rPr>
        <w:t>I</w:t>
      </w:r>
      <w:r>
        <w:rPr>
          <w:spacing w:val="-4"/>
          <w:szCs w:val="22"/>
        </w:rPr>
        <w:t xml:space="preserve"> </w:t>
      </w:r>
      <w:r>
        <w:rPr>
          <w:szCs w:val="22"/>
        </w:rPr>
        <w:t>şi</w:t>
      </w:r>
      <w:r>
        <w:rPr>
          <w:spacing w:val="1"/>
          <w:szCs w:val="22"/>
        </w:rPr>
        <w:t xml:space="preserve"> </w:t>
      </w:r>
      <w:r>
        <w:rPr>
          <w:spacing w:val="-2"/>
          <w:szCs w:val="22"/>
        </w:rPr>
        <w:t>I</w:t>
      </w:r>
      <w:r>
        <w:rPr>
          <w:szCs w:val="22"/>
        </w:rPr>
        <w:t>I</w:t>
      </w:r>
      <w:r>
        <w:rPr>
          <w:spacing w:val="-2"/>
          <w:szCs w:val="22"/>
        </w:rPr>
        <w:t xml:space="preserve"> </w:t>
      </w:r>
      <w:r>
        <w:rPr>
          <w:szCs w:val="22"/>
        </w:rPr>
        <w:t>cu pr</w:t>
      </w:r>
      <w:r>
        <w:rPr>
          <w:spacing w:val="1"/>
          <w:szCs w:val="22"/>
        </w:rPr>
        <w:t>i</w:t>
      </w:r>
      <w:r>
        <w:rPr>
          <w:spacing w:val="-3"/>
          <w:szCs w:val="22"/>
        </w:rPr>
        <w:t>v</w:t>
      </w:r>
      <w:r>
        <w:rPr>
          <w:spacing w:val="1"/>
          <w:szCs w:val="22"/>
        </w:rPr>
        <w:t>i</w:t>
      </w:r>
      <w:r>
        <w:rPr>
          <w:szCs w:val="22"/>
        </w:rPr>
        <w:t>re</w:t>
      </w:r>
      <w:r>
        <w:rPr>
          <w:spacing w:val="-2"/>
          <w:szCs w:val="22"/>
        </w:rPr>
        <w:t xml:space="preserve"> </w:t>
      </w:r>
      <w:r>
        <w:rPr>
          <w:spacing w:val="1"/>
          <w:szCs w:val="22"/>
        </w:rPr>
        <w:t>l</w:t>
      </w:r>
      <w:r>
        <w:rPr>
          <w:szCs w:val="22"/>
        </w:rPr>
        <w:t>a p</w:t>
      </w:r>
      <w:r>
        <w:rPr>
          <w:spacing w:val="-2"/>
          <w:szCs w:val="22"/>
        </w:rPr>
        <w:t>s</w:t>
      </w:r>
      <w:r>
        <w:rPr>
          <w:szCs w:val="22"/>
        </w:rPr>
        <w:t>o</w:t>
      </w:r>
      <w:r>
        <w:rPr>
          <w:spacing w:val="-2"/>
          <w:szCs w:val="22"/>
        </w:rPr>
        <w:t>r</w:t>
      </w:r>
      <w:r>
        <w:rPr>
          <w:spacing w:val="1"/>
          <w:szCs w:val="22"/>
        </w:rPr>
        <w:t>i</w:t>
      </w:r>
      <w:r>
        <w:rPr>
          <w:szCs w:val="22"/>
        </w:rPr>
        <w:t>a</w:t>
      </w:r>
      <w:r>
        <w:rPr>
          <w:spacing w:val="-3"/>
          <w:szCs w:val="22"/>
        </w:rPr>
        <w:t>z</w:t>
      </w:r>
      <w:r>
        <w:rPr>
          <w:spacing w:val="1"/>
          <w:szCs w:val="22"/>
        </w:rPr>
        <w:t>i</w:t>
      </w:r>
      <w:r>
        <w:rPr>
          <w:szCs w:val="22"/>
        </w:rPr>
        <w:t>s,</w:t>
      </w:r>
      <w:r>
        <w:rPr>
          <w:spacing w:val="-3"/>
          <w:szCs w:val="22"/>
        </w:rPr>
        <w:t xml:space="preserve"> </w:t>
      </w:r>
      <w:r>
        <w:rPr>
          <w:szCs w:val="22"/>
        </w:rPr>
        <w:t>c</w:t>
      </w:r>
      <w:r>
        <w:rPr>
          <w:spacing w:val="-2"/>
          <w:szCs w:val="22"/>
        </w:rPr>
        <w:t>r</w:t>
      </w:r>
      <w:r>
        <w:rPr>
          <w:spacing w:val="1"/>
          <w:szCs w:val="22"/>
        </w:rPr>
        <w:t>it</w:t>
      </w:r>
      <w:r>
        <w:rPr>
          <w:spacing w:val="-3"/>
          <w:szCs w:val="22"/>
        </w:rPr>
        <w:t>e</w:t>
      </w:r>
      <w:r>
        <w:rPr>
          <w:szCs w:val="22"/>
        </w:rPr>
        <w:t>r</w:t>
      </w:r>
      <w:r>
        <w:rPr>
          <w:spacing w:val="-2"/>
          <w:szCs w:val="22"/>
        </w:rPr>
        <w:t>i</w:t>
      </w:r>
      <w:r>
        <w:rPr>
          <w:szCs w:val="22"/>
        </w:rPr>
        <w:t>ul</w:t>
      </w:r>
      <w:r>
        <w:rPr>
          <w:spacing w:val="-2"/>
          <w:szCs w:val="22"/>
        </w:rPr>
        <w:t xml:space="preserve"> </w:t>
      </w:r>
      <w:r>
        <w:rPr>
          <w:szCs w:val="22"/>
        </w:rPr>
        <w:t>f</w:t>
      </w:r>
      <w:r>
        <w:rPr>
          <w:spacing w:val="1"/>
          <w:szCs w:val="22"/>
        </w:rPr>
        <w:t>i</w:t>
      </w:r>
      <w:r>
        <w:rPr>
          <w:spacing w:val="-3"/>
          <w:szCs w:val="22"/>
        </w:rPr>
        <w:t>n</w:t>
      </w:r>
      <w:r>
        <w:rPr>
          <w:szCs w:val="22"/>
        </w:rPr>
        <w:t>al</w:t>
      </w:r>
      <w:r>
        <w:rPr>
          <w:spacing w:val="1"/>
          <w:szCs w:val="22"/>
        </w:rPr>
        <w:t xml:space="preserve"> </w:t>
      </w:r>
      <w:r>
        <w:rPr>
          <w:spacing w:val="-3"/>
          <w:szCs w:val="22"/>
        </w:rPr>
        <w:t>p</w:t>
      </w:r>
      <w:r>
        <w:rPr>
          <w:szCs w:val="22"/>
        </w:rPr>
        <w:t>r</w:t>
      </w:r>
      <w:r>
        <w:rPr>
          <w:spacing w:val="1"/>
          <w:szCs w:val="22"/>
        </w:rPr>
        <w:t>i</w:t>
      </w:r>
      <w:r>
        <w:rPr>
          <w:szCs w:val="22"/>
        </w:rPr>
        <w:t>n</w:t>
      </w:r>
      <w:r>
        <w:rPr>
          <w:spacing w:val="-3"/>
          <w:szCs w:val="22"/>
        </w:rPr>
        <w:t>c</w:t>
      </w:r>
      <w:r>
        <w:rPr>
          <w:spacing w:val="1"/>
          <w:szCs w:val="22"/>
        </w:rPr>
        <w:t>i</w:t>
      </w:r>
      <w:r>
        <w:rPr>
          <w:szCs w:val="22"/>
        </w:rPr>
        <w:t>p</w:t>
      </w:r>
      <w:r>
        <w:rPr>
          <w:spacing w:val="-3"/>
          <w:szCs w:val="22"/>
        </w:rPr>
        <w:t>a</w:t>
      </w:r>
      <w:r>
        <w:rPr>
          <w:szCs w:val="22"/>
        </w:rPr>
        <w:t>l</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pacing w:val="-3"/>
          <w:szCs w:val="22"/>
        </w:rPr>
        <w:t>p</w:t>
      </w:r>
      <w:r>
        <w:rPr>
          <w:szCs w:val="22"/>
        </w:rPr>
        <w:t>roc</w:t>
      </w:r>
      <w:r>
        <w:rPr>
          <w:spacing w:val="-3"/>
          <w:szCs w:val="22"/>
        </w:rPr>
        <w:t>e</w:t>
      </w:r>
      <w:r>
        <w:rPr>
          <w:szCs w:val="22"/>
        </w:rPr>
        <w:t>n</w:t>
      </w:r>
      <w:r>
        <w:rPr>
          <w:spacing w:val="1"/>
          <w:szCs w:val="22"/>
        </w:rPr>
        <w:t>t</w:t>
      </w:r>
      <w:r>
        <w:rPr>
          <w:spacing w:val="-3"/>
          <w:szCs w:val="22"/>
        </w:rPr>
        <w:t>u</w:t>
      </w:r>
      <w:r>
        <w:rPr>
          <w:szCs w:val="22"/>
        </w:rPr>
        <w:t>l</w:t>
      </w:r>
      <w:r>
        <w:rPr>
          <w:spacing w:val="1"/>
          <w:szCs w:val="22"/>
        </w:rPr>
        <w:t xml:space="preserve"> </w:t>
      </w:r>
      <w:r>
        <w:rPr>
          <w:szCs w:val="22"/>
        </w:rPr>
        <w:t>p</w:t>
      </w:r>
      <w:r>
        <w:rPr>
          <w:spacing w:val="-3"/>
          <w:szCs w:val="22"/>
        </w:rPr>
        <w:t>ac</w:t>
      </w:r>
      <w:r>
        <w:rPr>
          <w:spacing w:val="1"/>
          <w:szCs w:val="22"/>
        </w:rPr>
        <w:t>i</w:t>
      </w:r>
      <w:r>
        <w:rPr>
          <w:szCs w:val="22"/>
        </w:rPr>
        <w:t>e</w:t>
      </w:r>
      <w:r>
        <w:rPr>
          <w:spacing w:val="-3"/>
          <w:szCs w:val="22"/>
        </w:rPr>
        <w:t>n</w:t>
      </w:r>
      <w:r>
        <w:rPr>
          <w:spacing w:val="1"/>
          <w:szCs w:val="22"/>
        </w:rPr>
        <w:t>ţ</w:t>
      </w:r>
      <w:r>
        <w:rPr>
          <w:spacing w:val="-2"/>
          <w:szCs w:val="22"/>
        </w:rPr>
        <w:t>i</w:t>
      </w:r>
      <w:r>
        <w:rPr>
          <w:spacing w:val="1"/>
          <w:szCs w:val="22"/>
        </w:rPr>
        <w:t>l</w:t>
      </w:r>
      <w:r>
        <w:rPr>
          <w:szCs w:val="22"/>
        </w:rPr>
        <w:t>or</w:t>
      </w:r>
      <w:r>
        <w:rPr>
          <w:spacing w:val="-2"/>
          <w:szCs w:val="22"/>
        </w:rPr>
        <w:t xml:space="preserve"> </w:t>
      </w:r>
      <w:r>
        <w:rPr>
          <w:szCs w:val="22"/>
        </w:rPr>
        <w:t>ca</w:t>
      </w:r>
      <w:r>
        <w:rPr>
          <w:spacing w:val="-2"/>
          <w:szCs w:val="22"/>
        </w:rPr>
        <w:t>r</w:t>
      </w:r>
      <w:r>
        <w:rPr>
          <w:szCs w:val="22"/>
        </w:rPr>
        <w:t>e au a</w:t>
      </w:r>
      <w:r>
        <w:rPr>
          <w:spacing w:val="1"/>
          <w:szCs w:val="22"/>
        </w:rPr>
        <w:t>t</w:t>
      </w:r>
      <w:r>
        <w:rPr>
          <w:spacing w:val="-2"/>
          <w:szCs w:val="22"/>
        </w:rPr>
        <w:t>i</w:t>
      </w:r>
      <w:r>
        <w:rPr>
          <w:szCs w:val="22"/>
        </w:rPr>
        <w:t>ns un</w:t>
      </w:r>
      <w:r>
        <w:rPr>
          <w:spacing w:val="-3"/>
          <w:szCs w:val="22"/>
        </w:rPr>
        <w:t xml:space="preserve"> </w:t>
      </w:r>
      <w:r>
        <w:rPr>
          <w:szCs w:val="22"/>
        </w:rPr>
        <w:t>ră</w:t>
      </w:r>
      <w:r>
        <w:rPr>
          <w:spacing w:val="-2"/>
          <w:szCs w:val="22"/>
        </w:rPr>
        <w:t>s</w:t>
      </w:r>
      <w:r>
        <w:rPr>
          <w:szCs w:val="22"/>
        </w:rPr>
        <w:t xml:space="preserve">puns </w:t>
      </w:r>
      <w:r>
        <w:rPr>
          <w:spacing w:val="-1"/>
          <w:szCs w:val="22"/>
        </w:rPr>
        <w:t>PAS</w:t>
      </w:r>
      <w:r>
        <w:rPr>
          <w:szCs w:val="22"/>
        </w:rPr>
        <w:t>I</w:t>
      </w:r>
      <w:r>
        <w:rPr>
          <w:spacing w:val="-4"/>
          <w:szCs w:val="22"/>
        </w:rPr>
        <w:t xml:space="preserve"> </w:t>
      </w:r>
      <w:r>
        <w:rPr>
          <w:szCs w:val="22"/>
        </w:rPr>
        <w:t xml:space="preserve">75 de </w:t>
      </w:r>
      <w:r>
        <w:rPr>
          <w:spacing w:val="1"/>
          <w:szCs w:val="22"/>
        </w:rPr>
        <w:t>l</w:t>
      </w:r>
      <w:r>
        <w:rPr>
          <w:szCs w:val="22"/>
        </w:rPr>
        <w:t>a</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zCs w:val="22"/>
        </w:rPr>
        <w:t>e</w:t>
      </w:r>
      <w:r>
        <w:rPr>
          <w:spacing w:val="-2"/>
          <w:szCs w:val="22"/>
        </w:rPr>
        <w:t>r</w:t>
      </w:r>
      <w:r>
        <w:rPr>
          <w:szCs w:val="22"/>
        </w:rPr>
        <w:t>e pâ</w:t>
      </w:r>
      <w:r>
        <w:rPr>
          <w:spacing w:val="-3"/>
          <w:szCs w:val="22"/>
        </w:rPr>
        <w:t>n</w:t>
      </w:r>
      <w:r>
        <w:rPr>
          <w:szCs w:val="22"/>
        </w:rPr>
        <w:t xml:space="preserve">ă </w:t>
      </w:r>
      <w:r>
        <w:rPr>
          <w:spacing w:val="1"/>
          <w:szCs w:val="22"/>
        </w:rPr>
        <w:t>î</w:t>
      </w:r>
      <w:r>
        <w:rPr>
          <w:szCs w:val="22"/>
        </w:rPr>
        <w:t>n</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âna 16</w:t>
      </w:r>
      <w:r>
        <w:rPr>
          <w:spacing w:val="-3"/>
          <w:szCs w:val="22"/>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t</w:t>
      </w:r>
      <w:r>
        <w:rPr>
          <w:spacing w:val="-3"/>
          <w:szCs w:val="22"/>
        </w:rPr>
        <w:t>a</w:t>
      </w:r>
      <w:r>
        <w:rPr>
          <w:szCs w:val="22"/>
        </w:rPr>
        <w:t>be</w:t>
      </w:r>
      <w:r>
        <w:rPr>
          <w:spacing w:val="-2"/>
          <w:szCs w:val="22"/>
        </w:rPr>
        <w:t>l</w:t>
      </w:r>
      <w:r>
        <w:rPr>
          <w:szCs w:val="22"/>
        </w:rPr>
        <w:t>ele</w:t>
      </w:r>
      <w:r>
        <w:rPr>
          <w:spacing w:val="1"/>
          <w:szCs w:val="22"/>
        </w:rPr>
        <w:t xml:space="preserve"> </w:t>
      </w:r>
      <w:r>
        <w:rPr>
          <w:rFonts w:eastAsia="MS Mincho"/>
          <w:spacing w:val="-3"/>
          <w:szCs w:val="22"/>
          <w:lang w:eastAsia="en-US" w:bidi="ar-SA"/>
        </w:rPr>
        <w:t>1</w:t>
      </w:r>
      <w:r>
        <w:rPr>
          <w:rFonts w:eastAsia="MS Mincho"/>
          <w:szCs w:val="22"/>
          <w:lang w:eastAsia="en-US" w:bidi="ar-SA"/>
        </w:rPr>
        <w:t>6</w:t>
      </w:r>
      <w:r>
        <w:rPr>
          <w:szCs w:val="22"/>
        </w:rPr>
        <w:t xml:space="preserve"> şi</w:t>
      </w:r>
      <w:r>
        <w:rPr>
          <w:spacing w:val="-2"/>
          <w:szCs w:val="22"/>
        </w:rPr>
        <w:t xml:space="preserve"> </w:t>
      </w:r>
      <w:r>
        <w:rPr>
          <w:rFonts w:eastAsia="MS Mincho"/>
          <w:spacing w:val="-3"/>
          <w:szCs w:val="22"/>
          <w:lang w:eastAsia="en-US" w:bidi="ar-SA"/>
        </w:rPr>
        <w:t>1</w:t>
      </w:r>
      <w:r>
        <w:rPr>
          <w:rFonts w:eastAsia="MS Mincho"/>
          <w:szCs w:val="22"/>
          <w:lang w:eastAsia="en-US" w:bidi="ar-SA"/>
        </w:rPr>
        <w:t>7</w:t>
      </w:r>
      <w:r>
        <w:rPr>
          <w:szCs w:val="22"/>
        </w:rPr>
        <w:t>).</w:t>
      </w:r>
    </w:p>
    <w:p w14:paraId="24F3F997" w14:textId="77777777" w:rsidR="00C04CAD" w:rsidRDefault="00C04CAD">
      <w:pPr>
        <w:autoSpaceDE w:val="0"/>
        <w:autoSpaceDN w:val="0"/>
        <w:adjustRightInd w:val="0"/>
        <w:spacing w:line="240" w:lineRule="auto"/>
      </w:pPr>
    </w:p>
    <w:p w14:paraId="3EBAD64B" w14:textId="77777777" w:rsidR="00C04CAD" w:rsidRDefault="00060E34">
      <w:pPr>
        <w:keepNext/>
        <w:autoSpaceDE w:val="0"/>
        <w:autoSpaceDN w:val="0"/>
        <w:adjustRightInd w:val="0"/>
        <w:spacing w:line="240" w:lineRule="auto"/>
        <w:rPr>
          <w:b/>
        </w:rPr>
      </w:pPr>
      <w:r>
        <w:rPr>
          <w:b/>
          <w:bCs/>
          <w:spacing w:val="-1"/>
        </w:rPr>
        <w:t>T</w:t>
      </w:r>
      <w:r>
        <w:rPr>
          <w:b/>
          <w:bCs/>
        </w:rPr>
        <w:t>a</w:t>
      </w:r>
      <w:r>
        <w:rPr>
          <w:b/>
          <w:bCs/>
          <w:spacing w:val="-1"/>
        </w:rPr>
        <w:t>b</w:t>
      </w:r>
      <w:r>
        <w:rPr>
          <w:b/>
          <w:bCs/>
        </w:rPr>
        <w:t>e</w:t>
      </w:r>
      <w:r>
        <w:rPr>
          <w:b/>
          <w:bCs/>
          <w:spacing w:val="1"/>
        </w:rPr>
        <w:t>l</w:t>
      </w:r>
      <w:r>
        <w:rPr>
          <w:b/>
          <w:bCs/>
          <w:spacing w:val="-1"/>
        </w:rPr>
        <w:t>u</w:t>
      </w:r>
      <w:r>
        <w:rPr>
          <w:b/>
          <w:bCs/>
        </w:rPr>
        <w:t>l</w:t>
      </w:r>
      <w:r>
        <w:rPr>
          <w:b/>
          <w:bCs/>
          <w:spacing w:val="-2"/>
        </w:rPr>
        <w:t xml:space="preserve"> </w:t>
      </w:r>
      <w:r>
        <w:rPr>
          <w:b/>
          <w:bCs/>
        </w:rPr>
        <w:t xml:space="preserve">16. </w:t>
      </w:r>
      <w:r>
        <w:rPr>
          <w:b/>
          <w:spacing w:val="-1"/>
        </w:rPr>
        <w:t>S</w:t>
      </w:r>
      <w:r>
        <w:rPr>
          <w:b/>
        </w:rPr>
        <w:t>t</w:t>
      </w:r>
      <w:r>
        <w:rPr>
          <w:b/>
          <w:spacing w:val="-1"/>
        </w:rPr>
        <w:t>ud</w:t>
      </w:r>
      <w:r>
        <w:rPr>
          <w:b/>
          <w:spacing w:val="1"/>
        </w:rPr>
        <w:t>i</w:t>
      </w:r>
      <w:r>
        <w:rPr>
          <w:b/>
          <w:spacing w:val="-3"/>
        </w:rPr>
        <w:t>u</w:t>
      </w:r>
      <w:r>
        <w:rPr>
          <w:b/>
        </w:rPr>
        <w:t>l</w:t>
      </w:r>
      <w:r>
        <w:rPr>
          <w:b/>
          <w:spacing w:val="1"/>
        </w:rPr>
        <w:t xml:space="preserve"> </w:t>
      </w:r>
      <w:r>
        <w:rPr>
          <w:b/>
        </w:rPr>
        <w:t>I</w:t>
      </w:r>
      <w:r>
        <w:rPr>
          <w:b/>
          <w:spacing w:val="-2"/>
        </w:rPr>
        <w:t xml:space="preserve"> </w:t>
      </w:r>
      <w:r>
        <w:rPr>
          <w:b/>
        </w:rPr>
        <w:t>(</w:t>
      </w:r>
      <w:r>
        <w:rPr>
          <w:b/>
          <w:spacing w:val="-1"/>
        </w:rPr>
        <w:t>REVEAL</w:t>
      </w:r>
      <w:r>
        <w:rPr>
          <w:b/>
        </w:rPr>
        <w:t>)</w:t>
      </w:r>
      <w:r>
        <w:rPr>
          <w:b/>
          <w:spacing w:val="1"/>
        </w:rPr>
        <w:t xml:space="preserve"> - </w:t>
      </w:r>
      <w:r>
        <w:rPr>
          <w:b/>
          <w:spacing w:val="-1"/>
        </w:rPr>
        <w:t>R</w:t>
      </w:r>
      <w:r>
        <w:rPr>
          <w:b/>
        </w:rPr>
        <w:t>e</w:t>
      </w:r>
      <w:r>
        <w:rPr>
          <w:b/>
          <w:spacing w:val="-3"/>
        </w:rPr>
        <w:t>z</w:t>
      </w:r>
      <w:r>
        <w:rPr>
          <w:b/>
          <w:spacing w:val="-1"/>
        </w:rPr>
        <w:t>u</w:t>
      </w:r>
      <w:r>
        <w:rPr>
          <w:b/>
          <w:spacing w:val="1"/>
        </w:rPr>
        <w:t>l</w:t>
      </w:r>
      <w:r>
        <w:rPr>
          <w:b/>
        </w:rPr>
        <w:t>tat</w:t>
      </w:r>
      <w:r>
        <w:rPr>
          <w:b/>
          <w:spacing w:val="-3"/>
        </w:rPr>
        <w:t>e</w:t>
      </w:r>
      <w:r>
        <w:rPr>
          <w:b/>
          <w:spacing w:val="1"/>
        </w:rPr>
        <w:t>l</w:t>
      </w:r>
      <w:r>
        <w:rPr>
          <w:b/>
        </w:rPr>
        <w:t xml:space="preserve">e </w:t>
      </w:r>
      <w:r>
        <w:rPr>
          <w:b/>
          <w:spacing w:val="-3"/>
        </w:rPr>
        <w:t>p</w:t>
      </w:r>
      <w:r>
        <w:rPr>
          <w:b/>
        </w:rPr>
        <w:t>r</w:t>
      </w:r>
      <w:r>
        <w:rPr>
          <w:b/>
          <w:spacing w:val="1"/>
        </w:rPr>
        <w:t>i</w:t>
      </w:r>
      <w:r>
        <w:rPr>
          <w:b/>
          <w:spacing w:val="-3"/>
        </w:rPr>
        <w:t>v</w:t>
      </w:r>
      <w:r>
        <w:rPr>
          <w:b/>
          <w:spacing w:val="1"/>
        </w:rPr>
        <w:t>i</w:t>
      </w:r>
      <w:r>
        <w:rPr>
          <w:b/>
          <w:spacing w:val="-1"/>
        </w:rPr>
        <w:t>n</w:t>
      </w:r>
      <w:r>
        <w:rPr>
          <w:b/>
        </w:rPr>
        <w:t>d</w:t>
      </w:r>
      <w:r>
        <w:rPr>
          <w:b/>
          <w:spacing w:val="-1"/>
        </w:rPr>
        <w:t xml:space="preserve"> </w:t>
      </w:r>
      <w:r>
        <w:rPr>
          <w:b/>
          <w:spacing w:val="-3"/>
        </w:rPr>
        <w:t>e</w:t>
      </w:r>
      <w:r>
        <w:rPr>
          <w:b/>
        </w:rPr>
        <w:t>f</w:t>
      </w:r>
      <w:r>
        <w:rPr>
          <w:b/>
          <w:spacing w:val="-2"/>
        </w:rPr>
        <w:t>i</w:t>
      </w:r>
      <w:r>
        <w:rPr>
          <w:b/>
        </w:rPr>
        <w:t>ca</w:t>
      </w:r>
      <w:r>
        <w:rPr>
          <w:b/>
          <w:spacing w:val="-3"/>
        </w:rPr>
        <w:t>c</w:t>
      </w:r>
      <w:r>
        <w:rPr>
          <w:b/>
          <w:spacing w:val="-2"/>
        </w:rPr>
        <w:t>i</w:t>
      </w:r>
      <w:r>
        <w:rPr>
          <w:b/>
        </w:rPr>
        <w:t>tat</w:t>
      </w:r>
      <w:r>
        <w:rPr>
          <w:b/>
          <w:spacing w:val="-3"/>
        </w:rPr>
        <w:t>e</w:t>
      </w:r>
      <w:r>
        <w:rPr>
          <w:b/>
        </w:rPr>
        <w:t xml:space="preserve">a </w:t>
      </w:r>
      <w:r>
        <w:rPr>
          <w:b/>
          <w:spacing w:val="1"/>
        </w:rPr>
        <w:t>î</w:t>
      </w:r>
      <w:r>
        <w:rPr>
          <w:b/>
        </w:rPr>
        <w:t>n</w:t>
      </w:r>
      <w:r>
        <w:rPr>
          <w:b/>
          <w:spacing w:val="-1"/>
        </w:rPr>
        <w:t xml:space="preserve"> s</w:t>
      </w:r>
      <w:r>
        <w:rPr>
          <w:b/>
        </w:rPr>
        <w:t>ă</w:t>
      </w:r>
      <w:r>
        <w:rPr>
          <w:b/>
          <w:spacing w:val="-3"/>
        </w:rPr>
        <w:t>p</w:t>
      </w:r>
      <w:r>
        <w:rPr>
          <w:b/>
        </w:rPr>
        <w:t>t</w:t>
      </w:r>
      <w:r>
        <w:rPr>
          <w:b/>
          <w:spacing w:val="-3"/>
        </w:rPr>
        <w:t>ă</w:t>
      </w:r>
      <w:r>
        <w:rPr>
          <w:b/>
        </w:rPr>
        <w:t>mâ</w:t>
      </w:r>
      <w:r>
        <w:rPr>
          <w:b/>
          <w:spacing w:val="-1"/>
        </w:rPr>
        <w:t>n</w:t>
      </w:r>
      <w:r>
        <w:rPr>
          <w:b/>
        </w:rPr>
        <w:t xml:space="preserve">a </w:t>
      </w:r>
      <w:r>
        <w:rPr>
          <w:b/>
          <w:spacing w:val="-3"/>
        </w:rPr>
        <w:t>16</w:t>
      </w:r>
    </w:p>
    <w:p w14:paraId="20BBDD2E" w14:textId="77777777" w:rsidR="00C04CAD" w:rsidRDefault="00C04CAD">
      <w:pPr>
        <w:keepNext/>
        <w:autoSpaceDE w:val="0"/>
        <w:autoSpaceDN w:val="0"/>
        <w:adjustRightInd w:val="0"/>
        <w:spacing w:line="240" w:lineRule="auto"/>
      </w:pPr>
    </w:p>
    <w:tbl>
      <w:tblPr>
        <w:tblW w:w="5000" w:type="pct"/>
        <w:tblLayout w:type="fixed"/>
        <w:tblCellMar>
          <w:left w:w="0" w:type="dxa"/>
          <w:right w:w="0" w:type="dxa"/>
        </w:tblCellMar>
        <w:tblLook w:val="04A0" w:firstRow="1" w:lastRow="0" w:firstColumn="1" w:lastColumn="0" w:noHBand="0" w:noVBand="1"/>
      </w:tblPr>
      <w:tblGrid>
        <w:gridCol w:w="3018"/>
        <w:gridCol w:w="3017"/>
        <w:gridCol w:w="3026"/>
      </w:tblGrid>
      <w:tr w:rsidR="00C04CAD" w14:paraId="625A1D35" w14:textId="77777777">
        <w:trPr>
          <w:trHeight w:hRule="exact" w:val="1022"/>
          <w:tblHeader/>
        </w:trPr>
        <w:tc>
          <w:tcPr>
            <w:tcW w:w="1665" w:type="pct"/>
            <w:tcBorders>
              <w:top w:val="single" w:sz="4" w:space="0" w:color="000000"/>
              <w:left w:val="single" w:sz="4" w:space="0" w:color="000000"/>
              <w:bottom w:val="single" w:sz="4" w:space="0" w:color="000000"/>
              <w:right w:val="single" w:sz="4" w:space="0" w:color="000000"/>
            </w:tcBorders>
          </w:tcPr>
          <w:p w14:paraId="6220F0B2" w14:textId="77777777" w:rsidR="00C04CAD" w:rsidRDefault="00C04CAD">
            <w:pPr>
              <w:keepNext/>
              <w:tabs>
                <w:tab w:val="clear" w:pos="567"/>
              </w:tabs>
              <w:autoSpaceDE w:val="0"/>
              <w:autoSpaceDN w:val="0"/>
              <w:adjustRightInd w:val="0"/>
              <w:spacing w:line="240" w:lineRule="auto"/>
            </w:pPr>
          </w:p>
        </w:tc>
        <w:tc>
          <w:tcPr>
            <w:tcW w:w="1665" w:type="pct"/>
            <w:tcBorders>
              <w:top w:val="single" w:sz="4" w:space="0" w:color="000000"/>
              <w:left w:val="single" w:sz="4" w:space="0" w:color="000000"/>
              <w:bottom w:val="single" w:sz="4" w:space="0" w:color="000000"/>
              <w:right w:val="single" w:sz="4" w:space="0" w:color="000000"/>
            </w:tcBorders>
          </w:tcPr>
          <w:p w14:paraId="24BEC557" w14:textId="77777777" w:rsidR="00C04CAD" w:rsidRDefault="00060E34">
            <w:pPr>
              <w:keepNext/>
              <w:tabs>
                <w:tab w:val="clear" w:pos="567"/>
              </w:tabs>
              <w:kinsoku w:val="0"/>
              <w:overflowPunct w:val="0"/>
              <w:autoSpaceDE w:val="0"/>
              <w:autoSpaceDN w:val="0"/>
              <w:adjustRightInd w:val="0"/>
              <w:spacing w:line="240" w:lineRule="auto"/>
              <w:jc w:val="center"/>
              <w:rPr>
                <w:b/>
                <w:spacing w:val="-1"/>
              </w:rPr>
            </w:pPr>
            <w:r>
              <w:rPr>
                <w:b/>
                <w:spacing w:val="-1"/>
              </w:rPr>
              <w:t>P</w:t>
            </w:r>
            <w:r>
              <w:rPr>
                <w:b/>
                <w:spacing w:val="1"/>
              </w:rPr>
              <w:t>l</w:t>
            </w:r>
            <w:r>
              <w:rPr>
                <w:b/>
              </w:rPr>
              <w:t>ace</w:t>
            </w:r>
            <w:r>
              <w:rPr>
                <w:b/>
                <w:spacing w:val="-1"/>
              </w:rPr>
              <w:t xml:space="preserve">bo </w:t>
            </w:r>
          </w:p>
          <w:p w14:paraId="45A56AEE" w14:textId="77777777" w:rsidR="00C04CAD" w:rsidRDefault="00060E34">
            <w:pPr>
              <w:keepNext/>
              <w:tabs>
                <w:tab w:val="clear" w:pos="567"/>
              </w:tabs>
              <w:kinsoku w:val="0"/>
              <w:overflowPunct w:val="0"/>
              <w:autoSpaceDE w:val="0"/>
              <w:autoSpaceDN w:val="0"/>
              <w:adjustRightInd w:val="0"/>
              <w:spacing w:line="240" w:lineRule="auto"/>
              <w:jc w:val="center"/>
            </w:pPr>
            <w:r>
              <w:rPr>
                <w:b/>
                <w:spacing w:val="-2"/>
              </w:rPr>
              <w:t>N=</w:t>
            </w:r>
            <w:r>
              <w:rPr>
                <w:b/>
              </w:rPr>
              <w:t>398</w:t>
            </w:r>
          </w:p>
          <w:p w14:paraId="7603FB82" w14:textId="77777777" w:rsidR="00C04CAD" w:rsidRDefault="00060E34">
            <w:pPr>
              <w:keepNext/>
              <w:tabs>
                <w:tab w:val="clear" w:pos="567"/>
              </w:tabs>
              <w:kinsoku w:val="0"/>
              <w:overflowPunct w:val="0"/>
              <w:autoSpaceDE w:val="0"/>
              <w:autoSpaceDN w:val="0"/>
              <w:adjustRightInd w:val="0"/>
              <w:spacing w:line="240" w:lineRule="auto"/>
              <w:jc w:val="center"/>
            </w:pPr>
            <w:r>
              <w:rPr>
                <w:b/>
              </w:rPr>
              <w:t>n</w:t>
            </w:r>
            <w:r>
              <w:rPr>
                <w:b/>
                <w:spacing w:val="-1"/>
              </w:rPr>
              <w:t xml:space="preserve"> </w:t>
            </w:r>
            <w:r>
              <w:rPr>
                <w:b/>
              </w:rPr>
              <w:t>(</w:t>
            </w:r>
            <w:r>
              <w:rPr>
                <w:b/>
                <w:spacing w:val="-3"/>
              </w:rPr>
              <w:t>%)</w:t>
            </w:r>
          </w:p>
        </w:tc>
        <w:tc>
          <w:tcPr>
            <w:tcW w:w="1665" w:type="pct"/>
            <w:tcBorders>
              <w:top w:val="single" w:sz="4" w:space="0" w:color="000000"/>
              <w:left w:val="single" w:sz="4" w:space="0" w:color="000000"/>
              <w:bottom w:val="single" w:sz="4" w:space="0" w:color="000000"/>
              <w:right w:val="single" w:sz="4" w:space="0" w:color="000000"/>
            </w:tcBorders>
          </w:tcPr>
          <w:p w14:paraId="11D49C45" w14:textId="77777777" w:rsidR="00C04CAD" w:rsidRDefault="00060E34">
            <w:pPr>
              <w:keepNext/>
              <w:tabs>
                <w:tab w:val="clear" w:pos="567"/>
              </w:tabs>
              <w:kinsoku w:val="0"/>
              <w:overflowPunct w:val="0"/>
              <w:autoSpaceDE w:val="0"/>
              <w:autoSpaceDN w:val="0"/>
              <w:adjustRightInd w:val="0"/>
              <w:spacing w:line="240" w:lineRule="auto"/>
              <w:jc w:val="center"/>
            </w:pPr>
            <w:r>
              <w:rPr>
                <w:rFonts w:eastAsia="MS Mincho"/>
                <w:b/>
                <w:spacing w:val="-1"/>
                <w:szCs w:val="22"/>
                <w:lang w:eastAsia="en-US" w:bidi="ar-SA"/>
              </w:rPr>
              <w:t xml:space="preserve">Adalimumab </w:t>
            </w:r>
            <w:r>
              <w:rPr>
                <w:b/>
              </w:rPr>
              <w:t>40 mg</w:t>
            </w:r>
            <w:r>
              <w:rPr>
                <w:b/>
                <w:spacing w:val="-3"/>
              </w:rPr>
              <w:t xml:space="preserve"> </w:t>
            </w:r>
            <w:r>
              <w:rPr>
                <w:b/>
                <w:spacing w:val="1"/>
              </w:rPr>
              <w:t>l</w:t>
            </w:r>
            <w:r>
              <w:rPr>
                <w:b/>
              </w:rPr>
              <w:t>a</w:t>
            </w:r>
            <w:r>
              <w:rPr>
                <w:b/>
                <w:spacing w:val="-3"/>
              </w:rPr>
              <w:t xml:space="preserve"> </w:t>
            </w:r>
            <w:r>
              <w:rPr>
                <w:b/>
                <w:spacing w:val="-1"/>
              </w:rPr>
              <w:t>d</w:t>
            </w:r>
            <w:r>
              <w:rPr>
                <w:b/>
              </w:rPr>
              <w:t>o</w:t>
            </w:r>
            <w:r>
              <w:rPr>
                <w:b/>
                <w:spacing w:val="-1"/>
              </w:rPr>
              <w:t>u</w:t>
            </w:r>
            <w:r>
              <w:rPr>
                <w:b/>
              </w:rPr>
              <w:t>ă să</w:t>
            </w:r>
            <w:r>
              <w:rPr>
                <w:b/>
                <w:spacing w:val="-1"/>
              </w:rPr>
              <w:t>p</w:t>
            </w:r>
            <w:r>
              <w:rPr>
                <w:b/>
              </w:rPr>
              <w:t>t</w:t>
            </w:r>
            <w:r>
              <w:rPr>
                <w:b/>
                <w:spacing w:val="-3"/>
              </w:rPr>
              <w:t>ă</w:t>
            </w:r>
            <w:r>
              <w:rPr>
                <w:b/>
              </w:rPr>
              <w:t>mâ</w:t>
            </w:r>
            <w:r>
              <w:rPr>
                <w:b/>
                <w:spacing w:val="-1"/>
              </w:rPr>
              <w:t>ni</w:t>
            </w:r>
          </w:p>
          <w:p w14:paraId="247BC83A" w14:textId="77777777" w:rsidR="00C04CAD" w:rsidRDefault="00060E34">
            <w:pPr>
              <w:keepNext/>
              <w:tabs>
                <w:tab w:val="clear" w:pos="567"/>
              </w:tabs>
              <w:kinsoku w:val="0"/>
              <w:overflowPunct w:val="0"/>
              <w:autoSpaceDE w:val="0"/>
              <w:autoSpaceDN w:val="0"/>
              <w:adjustRightInd w:val="0"/>
              <w:spacing w:line="240" w:lineRule="auto"/>
              <w:jc w:val="center"/>
              <w:rPr>
                <w:b/>
              </w:rPr>
            </w:pPr>
            <w:r>
              <w:rPr>
                <w:b/>
                <w:spacing w:val="-2"/>
              </w:rPr>
              <w:t>N=</w:t>
            </w:r>
            <w:r>
              <w:rPr>
                <w:b/>
              </w:rPr>
              <w:t xml:space="preserve">814 </w:t>
            </w:r>
          </w:p>
          <w:p w14:paraId="3BBD25A6" w14:textId="77777777" w:rsidR="00C04CAD" w:rsidRDefault="00060E34">
            <w:pPr>
              <w:keepNext/>
              <w:tabs>
                <w:tab w:val="clear" w:pos="567"/>
              </w:tabs>
              <w:kinsoku w:val="0"/>
              <w:overflowPunct w:val="0"/>
              <w:autoSpaceDE w:val="0"/>
              <w:autoSpaceDN w:val="0"/>
              <w:adjustRightInd w:val="0"/>
              <w:spacing w:line="240" w:lineRule="auto"/>
              <w:jc w:val="center"/>
            </w:pPr>
            <w:r>
              <w:rPr>
                <w:b/>
              </w:rPr>
              <w:t>n</w:t>
            </w:r>
            <w:r>
              <w:rPr>
                <w:b/>
                <w:spacing w:val="-1"/>
              </w:rPr>
              <w:t xml:space="preserve"> </w:t>
            </w:r>
            <w:r>
              <w:rPr>
                <w:b/>
              </w:rPr>
              <w:t>(</w:t>
            </w:r>
            <w:r>
              <w:rPr>
                <w:b/>
                <w:spacing w:val="-3"/>
              </w:rPr>
              <w:t>%)</w:t>
            </w:r>
          </w:p>
        </w:tc>
      </w:tr>
      <w:tr w:rsidR="00C04CAD" w14:paraId="5190F06C" w14:textId="77777777">
        <w:trPr>
          <w:trHeight w:hRule="exact" w:val="262"/>
        </w:trPr>
        <w:tc>
          <w:tcPr>
            <w:tcW w:w="1665" w:type="pct"/>
            <w:tcBorders>
              <w:top w:val="single" w:sz="4" w:space="0" w:color="000000"/>
              <w:left w:val="single" w:sz="4" w:space="0" w:color="000000"/>
              <w:bottom w:val="single" w:sz="4" w:space="0" w:color="000000"/>
              <w:right w:val="single" w:sz="4" w:space="0" w:color="000000"/>
            </w:tcBorders>
          </w:tcPr>
          <w:p w14:paraId="361F542B" w14:textId="77777777" w:rsidR="00C04CAD" w:rsidRDefault="00060E34">
            <w:pPr>
              <w:tabs>
                <w:tab w:val="clear" w:pos="567"/>
              </w:tabs>
              <w:kinsoku w:val="0"/>
              <w:overflowPunct w:val="0"/>
              <w:autoSpaceDE w:val="0"/>
              <w:autoSpaceDN w:val="0"/>
              <w:adjustRightInd w:val="0"/>
              <w:spacing w:line="240" w:lineRule="auto"/>
              <w:ind w:left="102"/>
              <w:rPr>
                <w:b/>
              </w:rPr>
            </w:pPr>
            <w:r>
              <w:rPr>
                <w:b/>
                <w:spacing w:val="1"/>
              </w:rPr>
              <w:t>≥</w:t>
            </w:r>
            <w:r>
              <w:rPr>
                <w:b/>
                <w:spacing w:val="-1"/>
              </w:rPr>
              <w:t>PAS</w:t>
            </w:r>
            <w:r>
              <w:rPr>
                <w:b/>
              </w:rPr>
              <w:t>I</w:t>
            </w:r>
            <w:r>
              <w:rPr>
                <w:b/>
                <w:spacing w:val="-5"/>
              </w:rPr>
              <w:t xml:space="preserve"> </w:t>
            </w:r>
            <w:r>
              <w:rPr>
                <w:b/>
              </w:rPr>
              <w:t>75</w:t>
            </w:r>
            <w:r>
              <w:rPr>
                <w:b/>
                <w:vertAlign w:val="superscript"/>
              </w:rPr>
              <w:t>a</w:t>
            </w:r>
          </w:p>
        </w:tc>
        <w:tc>
          <w:tcPr>
            <w:tcW w:w="1665" w:type="pct"/>
            <w:tcBorders>
              <w:top w:val="single" w:sz="4" w:space="0" w:color="000000"/>
              <w:left w:val="single" w:sz="4" w:space="0" w:color="000000"/>
              <w:bottom w:val="single" w:sz="4" w:space="0" w:color="000000"/>
              <w:right w:val="single" w:sz="4" w:space="0" w:color="000000"/>
            </w:tcBorders>
          </w:tcPr>
          <w:p w14:paraId="6AECCE42" w14:textId="77777777" w:rsidR="00C04CAD" w:rsidRDefault="00060E34">
            <w:pPr>
              <w:tabs>
                <w:tab w:val="clear" w:pos="567"/>
              </w:tabs>
              <w:kinsoku w:val="0"/>
              <w:overflowPunct w:val="0"/>
              <w:autoSpaceDE w:val="0"/>
              <w:autoSpaceDN w:val="0"/>
              <w:adjustRightInd w:val="0"/>
              <w:spacing w:line="240" w:lineRule="auto"/>
              <w:jc w:val="center"/>
            </w:pPr>
            <w:r>
              <w:t>26 (6,</w:t>
            </w:r>
            <w:r>
              <w:rPr>
                <w:spacing w:val="-3"/>
              </w:rPr>
              <w:t>5</w:t>
            </w:r>
            <w:r>
              <w:t>)</w:t>
            </w:r>
          </w:p>
        </w:tc>
        <w:tc>
          <w:tcPr>
            <w:tcW w:w="1670" w:type="pct"/>
            <w:tcBorders>
              <w:top w:val="single" w:sz="4" w:space="0" w:color="000000"/>
              <w:left w:val="single" w:sz="4" w:space="0" w:color="000000"/>
              <w:bottom w:val="single" w:sz="4" w:space="0" w:color="000000"/>
              <w:right w:val="single" w:sz="4" w:space="0" w:color="000000"/>
            </w:tcBorders>
          </w:tcPr>
          <w:p w14:paraId="19B1B59C" w14:textId="77777777" w:rsidR="00C04CAD" w:rsidRDefault="00060E34">
            <w:pPr>
              <w:tabs>
                <w:tab w:val="clear" w:pos="567"/>
              </w:tabs>
              <w:kinsoku w:val="0"/>
              <w:overflowPunct w:val="0"/>
              <w:autoSpaceDE w:val="0"/>
              <w:autoSpaceDN w:val="0"/>
              <w:adjustRightInd w:val="0"/>
              <w:spacing w:line="240" w:lineRule="auto"/>
              <w:jc w:val="center"/>
            </w:pPr>
            <w:r>
              <w:t>578</w:t>
            </w:r>
            <w:r>
              <w:rPr>
                <w:spacing w:val="-1"/>
              </w:rPr>
              <w:t xml:space="preserve"> </w:t>
            </w:r>
            <w:r>
              <w:t>(70</w:t>
            </w:r>
            <w:r>
              <w:rPr>
                <w:spacing w:val="-3"/>
              </w:rPr>
              <w:t>,</w:t>
            </w:r>
            <w:r>
              <w:t>9)</w:t>
            </w:r>
            <w:r>
              <w:rPr>
                <w:vertAlign w:val="superscript"/>
              </w:rPr>
              <w:t>b</w:t>
            </w:r>
          </w:p>
        </w:tc>
      </w:tr>
      <w:tr w:rsidR="00C04CAD" w14:paraId="31C6D709" w14:textId="77777777">
        <w:trPr>
          <w:trHeight w:hRule="exact" w:val="264"/>
        </w:trPr>
        <w:tc>
          <w:tcPr>
            <w:tcW w:w="1665" w:type="pct"/>
            <w:tcBorders>
              <w:top w:val="single" w:sz="4" w:space="0" w:color="000000"/>
              <w:left w:val="single" w:sz="4" w:space="0" w:color="000000"/>
              <w:bottom w:val="single" w:sz="4" w:space="0" w:color="000000"/>
              <w:right w:val="single" w:sz="4" w:space="0" w:color="000000"/>
            </w:tcBorders>
          </w:tcPr>
          <w:p w14:paraId="40643567" w14:textId="77777777" w:rsidR="00C04CAD" w:rsidRDefault="00060E34">
            <w:pPr>
              <w:tabs>
                <w:tab w:val="clear" w:pos="567"/>
              </w:tabs>
              <w:kinsoku w:val="0"/>
              <w:overflowPunct w:val="0"/>
              <w:autoSpaceDE w:val="0"/>
              <w:autoSpaceDN w:val="0"/>
              <w:adjustRightInd w:val="0"/>
              <w:spacing w:line="240" w:lineRule="auto"/>
              <w:ind w:left="102"/>
              <w:rPr>
                <w:b/>
              </w:rPr>
            </w:pPr>
            <w:r>
              <w:rPr>
                <w:b/>
                <w:spacing w:val="-1"/>
              </w:rPr>
              <w:t>PA</w:t>
            </w:r>
            <w:r>
              <w:rPr>
                <w:b/>
                <w:spacing w:val="2"/>
              </w:rPr>
              <w:t>S</w:t>
            </w:r>
            <w:r>
              <w:rPr>
                <w:b/>
              </w:rPr>
              <w:t>I</w:t>
            </w:r>
            <w:r>
              <w:rPr>
                <w:b/>
                <w:spacing w:val="-4"/>
              </w:rPr>
              <w:t xml:space="preserve"> </w:t>
            </w:r>
            <w:r>
              <w:rPr>
                <w:b/>
              </w:rPr>
              <w:t>100</w:t>
            </w:r>
          </w:p>
        </w:tc>
        <w:tc>
          <w:tcPr>
            <w:tcW w:w="1665" w:type="pct"/>
            <w:tcBorders>
              <w:top w:val="single" w:sz="4" w:space="0" w:color="000000"/>
              <w:left w:val="single" w:sz="4" w:space="0" w:color="000000"/>
              <w:bottom w:val="single" w:sz="4" w:space="0" w:color="000000"/>
              <w:right w:val="single" w:sz="4" w:space="0" w:color="000000"/>
            </w:tcBorders>
          </w:tcPr>
          <w:p w14:paraId="5F6185E9" w14:textId="77777777" w:rsidR="00C04CAD" w:rsidRDefault="00060E34">
            <w:pPr>
              <w:tabs>
                <w:tab w:val="clear" w:pos="567"/>
              </w:tabs>
              <w:kinsoku w:val="0"/>
              <w:overflowPunct w:val="0"/>
              <w:autoSpaceDE w:val="0"/>
              <w:autoSpaceDN w:val="0"/>
              <w:adjustRightInd w:val="0"/>
              <w:spacing w:line="240" w:lineRule="auto"/>
              <w:jc w:val="center"/>
            </w:pPr>
            <w:r>
              <w:t>3 (0,</w:t>
            </w:r>
            <w:r>
              <w:rPr>
                <w:spacing w:val="-3"/>
              </w:rPr>
              <w:t>8</w:t>
            </w:r>
            <w:r>
              <w:t>)</w:t>
            </w:r>
          </w:p>
        </w:tc>
        <w:tc>
          <w:tcPr>
            <w:tcW w:w="1670" w:type="pct"/>
            <w:tcBorders>
              <w:top w:val="single" w:sz="4" w:space="0" w:color="000000"/>
              <w:left w:val="single" w:sz="4" w:space="0" w:color="000000"/>
              <w:bottom w:val="single" w:sz="4" w:space="0" w:color="000000"/>
              <w:right w:val="single" w:sz="4" w:space="0" w:color="000000"/>
            </w:tcBorders>
          </w:tcPr>
          <w:p w14:paraId="3B5B1F26" w14:textId="77777777" w:rsidR="00C04CAD" w:rsidRDefault="00060E34">
            <w:pPr>
              <w:tabs>
                <w:tab w:val="clear" w:pos="567"/>
              </w:tabs>
              <w:kinsoku w:val="0"/>
              <w:overflowPunct w:val="0"/>
              <w:autoSpaceDE w:val="0"/>
              <w:autoSpaceDN w:val="0"/>
              <w:adjustRightInd w:val="0"/>
              <w:spacing w:line="240" w:lineRule="auto"/>
              <w:jc w:val="center"/>
            </w:pPr>
            <w:r>
              <w:t>163</w:t>
            </w:r>
            <w:r>
              <w:rPr>
                <w:spacing w:val="-1"/>
              </w:rPr>
              <w:t xml:space="preserve"> </w:t>
            </w:r>
            <w:r>
              <w:t>(2</w:t>
            </w:r>
            <w:r>
              <w:rPr>
                <w:spacing w:val="-3"/>
              </w:rPr>
              <w:t>0,0</w:t>
            </w:r>
            <w:r>
              <w:t>)</w:t>
            </w:r>
            <w:r>
              <w:rPr>
                <w:vertAlign w:val="superscript"/>
              </w:rPr>
              <w:t>b</w:t>
            </w:r>
          </w:p>
        </w:tc>
      </w:tr>
      <w:tr w:rsidR="00C04CAD" w14:paraId="46459FBB" w14:textId="77777777">
        <w:trPr>
          <w:trHeight w:hRule="exact" w:val="262"/>
        </w:trPr>
        <w:tc>
          <w:tcPr>
            <w:tcW w:w="1665" w:type="pct"/>
            <w:tcBorders>
              <w:top w:val="single" w:sz="4" w:space="0" w:color="000000"/>
              <w:left w:val="single" w:sz="4" w:space="0" w:color="000000"/>
              <w:bottom w:val="single" w:sz="4" w:space="0" w:color="000000"/>
              <w:right w:val="single" w:sz="4" w:space="0" w:color="000000"/>
            </w:tcBorders>
          </w:tcPr>
          <w:p w14:paraId="34345321" w14:textId="77777777" w:rsidR="00C04CAD" w:rsidRDefault="00060E34">
            <w:pPr>
              <w:tabs>
                <w:tab w:val="clear" w:pos="567"/>
              </w:tabs>
              <w:kinsoku w:val="0"/>
              <w:overflowPunct w:val="0"/>
              <w:autoSpaceDE w:val="0"/>
              <w:autoSpaceDN w:val="0"/>
              <w:adjustRightInd w:val="0"/>
              <w:spacing w:line="240" w:lineRule="auto"/>
              <w:ind w:left="102"/>
              <w:rPr>
                <w:b/>
              </w:rPr>
            </w:pPr>
            <w:r>
              <w:rPr>
                <w:b/>
                <w:spacing w:val="-1"/>
              </w:rPr>
              <w:t>PGA</w:t>
            </w:r>
            <w:r>
              <w:rPr>
                <w:b/>
              </w:rPr>
              <w:t>:</w:t>
            </w:r>
            <w:r>
              <w:rPr>
                <w:b/>
                <w:spacing w:val="1"/>
              </w:rPr>
              <w:t xml:space="preserve"> </w:t>
            </w:r>
            <w:r>
              <w:rPr>
                <w:b/>
                <w:spacing w:val="-1"/>
              </w:rPr>
              <w:t>N</w:t>
            </w:r>
            <w:r>
              <w:rPr>
                <w:b/>
              </w:rPr>
              <w:t>or</w:t>
            </w:r>
            <w:r>
              <w:rPr>
                <w:b/>
                <w:spacing w:val="-4"/>
              </w:rPr>
              <w:t>m</w:t>
            </w:r>
            <w:r>
              <w:rPr>
                <w:b/>
              </w:rPr>
              <w:t>a</w:t>
            </w:r>
            <w:r>
              <w:rPr>
                <w:b/>
                <w:spacing w:val="1"/>
              </w:rPr>
              <w:t>l/</w:t>
            </w:r>
            <w:r>
              <w:rPr>
                <w:b/>
                <w:spacing w:val="-4"/>
              </w:rPr>
              <w:t>m</w:t>
            </w:r>
            <w:r>
              <w:rPr>
                <w:b/>
                <w:spacing w:val="1"/>
              </w:rPr>
              <w:t>i</w:t>
            </w:r>
            <w:r>
              <w:rPr>
                <w:b/>
              </w:rPr>
              <w:t>n</w:t>
            </w:r>
            <w:r>
              <w:rPr>
                <w:b/>
                <w:spacing w:val="1"/>
              </w:rPr>
              <w:t>i</w:t>
            </w:r>
            <w:r>
              <w:rPr>
                <w:b/>
                <w:spacing w:val="-4"/>
              </w:rPr>
              <w:t>m</w:t>
            </w:r>
            <w:r>
              <w:rPr>
                <w:b/>
              </w:rPr>
              <w:t>al</w:t>
            </w:r>
          </w:p>
        </w:tc>
        <w:tc>
          <w:tcPr>
            <w:tcW w:w="1665" w:type="pct"/>
            <w:tcBorders>
              <w:top w:val="single" w:sz="4" w:space="0" w:color="000000"/>
              <w:left w:val="single" w:sz="4" w:space="0" w:color="000000"/>
              <w:bottom w:val="single" w:sz="4" w:space="0" w:color="000000"/>
              <w:right w:val="single" w:sz="4" w:space="0" w:color="000000"/>
            </w:tcBorders>
          </w:tcPr>
          <w:p w14:paraId="5665F12E" w14:textId="77777777" w:rsidR="00C04CAD" w:rsidRDefault="00060E34">
            <w:pPr>
              <w:tabs>
                <w:tab w:val="clear" w:pos="567"/>
              </w:tabs>
              <w:kinsoku w:val="0"/>
              <w:overflowPunct w:val="0"/>
              <w:autoSpaceDE w:val="0"/>
              <w:autoSpaceDN w:val="0"/>
              <w:adjustRightInd w:val="0"/>
              <w:spacing w:line="240" w:lineRule="auto"/>
              <w:jc w:val="center"/>
            </w:pPr>
            <w:r>
              <w:t>17 (4,</w:t>
            </w:r>
            <w:r>
              <w:rPr>
                <w:spacing w:val="-3"/>
              </w:rPr>
              <w:t>3</w:t>
            </w:r>
            <w:r>
              <w:t>)</w:t>
            </w:r>
          </w:p>
        </w:tc>
        <w:tc>
          <w:tcPr>
            <w:tcW w:w="1670" w:type="pct"/>
            <w:tcBorders>
              <w:top w:val="single" w:sz="4" w:space="0" w:color="000000"/>
              <w:left w:val="single" w:sz="4" w:space="0" w:color="000000"/>
              <w:bottom w:val="single" w:sz="4" w:space="0" w:color="000000"/>
              <w:right w:val="single" w:sz="4" w:space="0" w:color="000000"/>
            </w:tcBorders>
          </w:tcPr>
          <w:p w14:paraId="1FE24389" w14:textId="77777777" w:rsidR="00C04CAD" w:rsidRDefault="00060E34">
            <w:pPr>
              <w:tabs>
                <w:tab w:val="clear" w:pos="567"/>
              </w:tabs>
              <w:kinsoku w:val="0"/>
              <w:overflowPunct w:val="0"/>
              <w:autoSpaceDE w:val="0"/>
              <w:autoSpaceDN w:val="0"/>
              <w:adjustRightInd w:val="0"/>
              <w:spacing w:line="240" w:lineRule="auto"/>
              <w:jc w:val="center"/>
            </w:pPr>
            <w:r>
              <w:t>506</w:t>
            </w:r>
            <w:r>
              <w:rPr>
                <w:spacing w:val="-1"/>
              </w:rPr>
              <w:t xml:space="preserve"> </w:t>
            </w:r>
            <w:r>
              <w:t>(62</w:t>
            </w:r>
            <w:r>
              <w:rPr>
                <w:spacing w:val="-3"/>
              </w:rPr>
              <w:t>,</w:t>
            </w:r>
            <w:r>
              <w:t>2)</w:t>
            </w:r>
            <w:r>
              <w:rPr>
                <w:vertAlign w:val="superscript"/>
              </w:rPr>
              <w:t>b</w:t>
            </w:r>
          </w:p>
        </w:tc>
      </w:tr>
      <w:tr w:rsidR="00C04CAD" w14:paraId="5F5FB367" w14:textId="77777777">
        <w:trPr>
          <w:trHeight w:hRule="exact" w:val="523"/>
        </w:trPr>
        <w:tc>
          <w:tcPr>
            <w:tcW w:w="4995" w:type="pct"/>
            <w:gridSpan w:val="3"/>
          </w:tcPr>
          <w:p w14:paraId="780DB547"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w:t>
            </w:r>
            <w:r>
              <w:rPr>
                <w:spacing w:val="-1"/>
                <w:sz w:val="20"/>
              </w:rPr>
              <w:t>P</w:t>
            </w:r>
            <w:r>
              <w:rPr>
                <w:sz w:val="20"/>
              </w:rPr>
              <w:t>ro</w:t>
            </w:r>
            <w:r>
              <w:rPr>
                <w:spacing w:val="-3"/>
                <w:sz w:val="20"/>
              </w:rPr>
              <w:t>c</w:t>
            </w:r>
            <w:r>
              <w:rPr>
                <w:sz w:val="20"/>
              </w:rPr>
              <w:t>en</w:t>
            </w:r>
            <w:r>
              <w:rPr>
                <w:spacing w:val="-2"/>
                <w:sz w:val="20"/>
              </w:rPr>
              <w:t>t</w:t>
            </w:r>
            <w:r>
              <w:rPr>
                <w:sz w:val="20"/>
              </w:rPr>
              <w:t>ul</w:t>
            </w:r>
            <w:r>
              <w:rPr>
                <w:spacing w:val="1"/>
                <w:sz w:val="20"/>
              </w:rPr>
              <w:t xml:space="preserve"> </w:t>
            </w:r>
            <w:r>
              <w:rPr>
                <w:spacing w:val="-3"/>
                <w:sz w:val="20"/>
              </w:rPr>
              <w:t>p</w:t>
            </w:r>
            <w:r>
              <w:rPr>
                <w:sz w:val="20"/>
              </w:rPr>
              <w:t>a</w:t>
            </w:r>
            <w:r>
              <w:rPr>
                <w:spacing w:val="-3"/>
                <w:sz w:val="20"/>
              </w:rPr>
              <w:t>c</w:t>
            </w:r>
            <w:r>
              <w:rPr>
                <w:spacing w:val="1"/>
                <w:sz w:val="20"/>
              </w:rPr>
              <w:t>i</w:t>
            </w:r>
            <w:r>
              <w:rPr>
                <w:sz w:val="20"/>
              </w:rPr>
              <w:t>e</w:t>
            </w:r>
            <w:r>
              <w:rPr>
                <w:spacing w:val="-3"/>
                <w:sz w:val="20"/>
              </w:rPr>
              <w:t>n</w:t>
            </w:r>
            <w:r>
              <w:rPr>
                <w:spacing w:val="1"/>
                <w:sz w:val="20"/>
              </w:rPr>
              <w:t>ţ</w:t>
            </w:r>
            <w:r>
              <w:rPr>
                <w:spacing w:val="-2"/>
                <w:sz w:val="20"/>
              </w:rPr>
              <w:t>i</w:t>
            </w:r>
            <w:r>
              <w:rPr>
                <w:spacing w:val="1"/>
                <w:sz w:val="20"/>
              </w:rPr>
              <w:t>l</w:t>
            </w:r>
            <w:r>
              <w:rPr>
                <w:sz w:val="20"/>
              </w:rPr>
              <w:t>or</w:t>
            </w:r>
            <w:r>
              <w:rPr>
                <w:spacing w:val="-2"/>
                <w:sz w:val="20"/>
              </w:rPr>
              <w:t xml:space="preserve"> </w:t>
            </w:r>
            <w:r>
              <w:rPr>
                <w:sz w:val="20"/>
              </w:rPr>
              <w:t>ca</w:t>
            </w:r>
            <w:r>
              <w:rPr>
                <w:spacing w:val="-2"/>
                <w:sz w:val="20"/>
              </w:rPr>
              <w:t>r</w:t>
            </w:r>
            <w:r>
              <w:rPr>
                <w:sz w:val="20"/>
              </w:rPr>
              <w:t>e</w:t>
            </w:r>
            <w:r>
              <w:rPr>
                <w:spacing w:val="-2"/>
                <w:sz w:val="20"/>
              </w:rPr>
              <w:t xml:space="preserve"> </w:t>
            </w:r>
            <w:r>
              <w:rPr>
                <w:sz w:val="20"/>
              </w:rPr>
              <w:t>au a</w:t>
            </w:r>
            <w:r>
              <w:rPr>
                <w:spacing w:val="-2"/>
                <w:sz w:val="20"/>
              </w:rPr>
              <w:t>t</w:t>
            </w:r>
            <w:r>
              <w:rPr>
                <w:spacing w:val="1"/>
                <w:sz w:val="20"/>
              </w:rPr>
              <w:t>i</w:t>
            </w:r>
            <w:r>
              <w:rPr>
                <w:sz w:val="20"/>
              </w:rPr>
              <w:t>ns</w:t>
            </w:r>
            <w:r>
              <w:rPr>
                <w:spacing w:val="-2"/>
                <w:sz w:val="20"/>
              </w:rPr>
              <w:t xml:space="preserve"> </w:t>
            </w:r>
            <w:r>
              <w:rPr>
                <w:sz w:val="20"/>
              </w:rPr>
              <w:t>r</w:t>
            </w:r>
            <w:r>
              <w:rPr>
                <w:spacing w:val="-3"/>
                <w:sz w:val="20"/>
              </w:rPr>
              <w:t>ă</w:t>
            </w:r>
            <w:r>
              <w:rPr>
                <w:sz w:val="20"/>
              </w:rPr>
              <w:t>spun</w:t>
            </w:r>
            <w:r>
              <w:rPr>
                <w:spacing w:val="-2"/>
                <w:sz w:val="20"/>
              </w:rPr>
              <w:t>s</w:t>
            </w:r>
            <w:r>
              <w:rPr>
                <w:sz w:val="20"/>
              </w:rPr>
              <w:t>ul</w:t>
            </w:r>
            <w:r>
              <w:rPr>
                <w:spacing w:val="1"/>
                <w:sz w:val="20"/>
              </w:rPr>
              <w:t xml:space="preserve"> </w:t>
            </w:r>
            <w:r>
              <w:rPr>
                <w:spacing w:val="-1"/>
                <w:sz w:val="20"/>
              </w:rPr>
              <w:t>PAS</w:t>
            </w:r>
            <w:r>
              <w:rPr>
                <w:sz w:val="20"/>
              </w:rPr>
              <w:t>I</w:t>
            </w:r>
            <w:r>
              <w:rPr>
                <w:spacing w:val="-4"/>
                <w:sz w:val="20"/>
              </w:rPr>
              <w:t xml:space="preserve"> </w:t>
            </w:r>
            <w:r>
              <w:rPr>
                <w:sz w:val="20"/>
              </w:rPr>
              <w:t>75 a fo</w:t>
            </w:r>
            <w:r>
              <w:rPr>
                <w:spacing w:val="-2"/>
                <w:sz w:val="20"/>
              </w:rPr>
              <w:t>s</w:t>
            </w:r>
            <w:r>
              <w:rPr>
                <w:sz w:val="20"/>
              </w:rPr>
              <w:t>t</w:t>
            </w:r>
            <w:r>
              <w:rPr>
                <w:spacing w:val="1"/>
                <w:sz w:val="20"/>
              </w:rPr>
              <w:t xml:space="preserve"> </w:t>
            </w:r>
            <w:r>
              <w:rPr>
                <w:spacing w:val="-3"/>
                <w:sz w:val="20"/>
              </w:rPr>
              <w:t>c</w:t>
            </w:r>
            <w:r>
              <w:rPr>
                <w:sz w:val="20"/>
              </w:rPr>
              <w:t>a</w:t>
            </w:r>
            <w:r>
              <w:rPr>
                <w:spacing w:val="1"/>
                <w:sz w:val="20"/>
              </w:rPr>
              <w:t>l</w:t>
            </w:r>
            <w:r>
              <w:rPr>
                <w:spacing w:val="-3"/>
                <w:sz w:val="20"/>
              </w:rPr>
              <w:t>c</w:t>
            </w:r>
            <w:r>
              <w:rPr>
                <w:sz w:val="20"/>
              </w:rPr>
              <w:t>u</w:t>
            </w:r>
            <w:r>
              <w:rPr>
                <w:spacing w:val="1"/>
                <w:sz w:val="20"/>
              </w:rPr>
              <w:t>l</w:t>
            </w:r>
            <w:r>
              <w:rPr>
                <w:spacing w:val="-3"/>
                <w:sz w:val="20"/>
              </w:rPr>
              <w:t>a</w:t>
            </w:r>
            <w:r>
              <w:rPr>
                <w:sz w:val="20"/>
              </w:rPr>
              <w:t>t</w:t>
            </w:r>
            <w:r>
              <w:rPr>
                <w:spacing w:val="1"/>
                <w:sz w:val="20"/>
              </w:rPr>
              <w:t xml:space="preserve"> </w:t>
            </w:r>
            <w:r>
              <w:rPr>
                <w:spacing w:val="-3"/>
                <w:sz w:val="20"/>
              </w:rPr>
              <w:t>c</w:t>
            </w:r>
            <w:r>
              <w:rPr>
                <w:sz w:val="20"/>
              </w:rPr>
              <w:t xml:space="preserve">a </w:t>
            </w:r>
            <w:r>
              <w:rPr>
                <w:spacing w:val="1"/>
                <w:sz w:val="20"/>
              </w:rPr>
              <w:t>i</w:t>
            </w:r>
            <w:r>
              <w:rPr>
                <w:spacing w:val="-3"/>
                <w:sz w:val="20"/>
              </w:rPr>
              <w:t>n</w:t>
            </w:r>
            <w:r>
              <w:rPr>
                <w:spacing w:val="1"/>
                <w:sz w:val="20"/>
              </w:rPr>
              <w:t>t</w:t>
            </w:r>
            <w:r>
              <w:rPr>
                <w:spacing w:val="-3"/>
                <w:sz w:val="20"/>
              </w:rPr>
              <w:t>e</w:t>
            </w:r>
            <w:r>
              <w:rPr>
                <w:sz w:val="20"/>
              </w:rPr>
              <w:t>r</w:t>
            </w:r>
            <w:r>
              <w:rPr>
                <w:spacing w:val="-3"/>
                <w:sz w:val="20"/>
              </w:rPr>
              <w:t>v</w:t>
            </w:r>
            <w:r>
              <w:rPr>
                <w:sz w:val="20"/>
              </w:rPr>
              <w:t>al</w:t>
            </w:r>
            <w:r>
              <w:rPr>
                <w:spacing w:val="1"/>
                <w:sz w:val="20"/>
              </w:rPr>
              <w:t xml:space="preserve"> </w:t>
            </w:r>
            <w:r>
              <w:rPr>
                <w:spacing w:val="-3"/>
                <w:sz w:val="20"/>
              </w:rPr>
              <w:t>a</w:t>
            </w:r>
            <w:r>
              <w:rPr>
                <w:spacing w:val="-2"/>
                <w:sz w:val="20"/>
              </w:rPr>
              <w:t>j</w:t>
            </w:r>
            <w:r>
              <w:rPr>
                <w:sz w:val="20"/>
              </w:rPr>
              <w:t>us</w:t>
            </w:r>
            <w:r>
              <w:rPr>
                <w:spacing w:val="1"/>
                <w:sz w:val="20"/>
              </w:rPr>
              <w:t>t</w:t>
            </w:r>
            <w:r>
              <w:rPr>
                <w:spacing w:val="-3"/>
                <w:sz w:val="20"/>
              </w:rPr>
              <w:t>a</w:t>
            </w:r>
            <w:r>
              <w:rPr>
                <w:sz w:val="20"/>
              </w:rPr>
              <w:t>t</w:t>
            </w:r>
            <w:r>
              <w:rPr>
                <w:spacing w:val="1"/>
                <w:sz w:val="20"/>
              </w:rPr>
              <w:t xml:space="preserve"> </w:t>
            </w:r>
            <w:r>
              <w:rPr>
                <w:spacing w:val="-2"/>
                <w:sz w:val="20"/>
              </w:rPr>
              <w:t>l</w:t>
            </w:r>
            <w:r>
              <w:rPr>
                <w:sz w:val="20"/>
              </w:rPr>
              <w:t xml:space="preserve">a </w:t>
            </w:r>
            <w:r>
              <w:rPr>
                <w:spacing w:val="-3"/>
                <w:sz w:val="20"/>
              </w:rPr>
              <w:t>v</w:t>
            </w:r>
            <w:r>
              <w:rPr>
                <w:sz w:val="20"/>
              </w:rPr>
              <w:t>a</w:t>
            </w:r>
            <w:r>
              <w:rPr>
                <w:spacing w:val="1"/>
                <w:sz w:val="20"/>
              </w:rPr>
              <w:t>l</w:t>
            </w:r>
            <w:r>
              <w:rPr>
                <w:sz w:val="20"/>
              </w:rPr>
              <w:t>o</w:t>
            </w:r>
            <w:r>
              <w:rPr>
                <w:spacing w:val="-3"/>
                <w:sz w:val="20"/>
              </w:rPr>
              <w:t>a</w:t>
            </w:r>
            <w:r>
              <w:rPr>
                <w:sz w:val="20"/>
              </w:rPr>
              <w:t xml:space="preserve">rea </w:t>
            </w:r>
            <w:r>
              <w:rPr>
                <w:spacing w:val="-4"/>
                <w:sz w:val="20"/>
              </w:rPr>
              <w:t>m</w:t>
            </w:r>
            <w:r>
              <w:rPr>
                <w:sz w:val="20"/>
              </w:rPr>
              <w:t>ed</w:t>
            </w:r>
            <w:r>
              <w:rPr>
                <w:spacing w:val="1"/>
                <w:sz w:val="20"/>
              </w:rPr>
              <w:t>i</w:t>
            </w:r>
            <w:r>
              <w:rPr>
                <w:sz w:val="20"/>
              </w:rPr>
              <w:t>e</w:t>
            </w:r>
          </w:p>
          <w:p w14:paraId="40F057A9"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b</w:t>
            </w:r>
            <w:r>
              <w:rPr>
                <w:sz w:val="20"/>
              </w:rPr>
              <w:t xml:space="preserve"> p &lt;0,0</w:t>
            </w:r>
            <w:r>
              <w:rPr>
                <w:spacing w:val="-3"/>
                <w:sz w:val="20"/>
              </w:rPr>
              <w:t>0</w:t>
            </w:r>
            <w:r>
              <w:rPr>
                <w:sz w:val="20"/>
              </w:rPr>
              <w:t xml:space="preserve">1, </w:t>
            </w:r>
            <w:r>
              <w:rPr>
                <w:rFonts w:eastAsia="MS Mincho"/>
                <w:spacing w:val="-1"/>
                <w:sz w:val="20"/>
                <w:lang w:eastAsia="en-US" w:bidi="ar-SA"/>
              </w:rPr>
              <w:t>adalimumab</w:t>
            </w:r>
            <w:r>
              <w:rPr>
                <w:sz w:val="20"/>
              </w:rPr>
              <w:t xml:space="preserve"> </w:t>
            </w:r>
            <w:r>
              <w:rPr>
                <w:i/>
                <w:spacing w:val="-3"/>
                <w:sz w:val="20"/>
              </w:rPr>
              <w:t>v</w:t>
            </w:r>
            <w:r>
              <w:rPr>
                <w:i/>
                <w:sz w:val="20"/>
              </w:rPr>
              <w:t>ersus</w:t>
            </w:r>
            <w:r>
              <w:rPr>
                <w:spacing w:val="-2"/>
                <w:sz w:val="20"/>
              </w:rPr>
              <w:t xml:space="preserve"> </w:t>
            </w:r>
            <w:r>
              <w:rPr>
                <w:spacing w:val="-3"/>
                <w:sz w:val="20"/>
              </w:rPr>
              <w:t>p</w:t>
            </w:r>
            <w:r>
              <w:rPr>
                <w:spacing w:val="1"/>
                <w:sz w:val="20"/>
              </w:rPr>
              <w:t>l</w:t>
            </w:r>
            <w:r>
              <w:rPr>
                <w:sz w:val="20"/>
              </w:rPr>
              <w:t>ac</w:t>
            </w:r>
            <w:r>
              <w:rPr>
                <w:spacing w:val="-3"/>
                <w:sz w:val="20"/>
              </w:rPr>
              <w:t>e</w:t>
            </w:r>
            <w:r>
              <w:rPr>
                <w:sz w:val="20"/>
              </w:rPr>
              <w:t>bo</w:t>
            </w:r>
          </w:p>
        </w:tc>
      </w:tr>
    </w:tbl>
    <w:p w14:paraId="75725B6B" w14:textId="77777777" w:rsidR="00C04CAD" w:rsidRDefault="00C04CAD">
      <w:pPr>
        <w:autoSpaceDE w:val="0"/>
        <w:autoSpaceDN w:val="0"/>
        <w:adjustRightInd w:val="0"/>
        <w:spacing w:line="240" w:lineRule="auto"/>
      </w:pPr>
    </w:p>
    <w:p w14:paraId="3F2A1261" w14:textId="77777777" w:rsidR="00C04CAD" w:rsidRDefault="00060E34">
      <w:pPr>
        <w:keepNext/>
        <w:autoSpaceDE w:val="0"/>
        <w:autoSpaceDN w:val="0"/>
        <w:adjustRightInd w:val="0"/>
        <w:spacing w:line="240" w:lineRule="auto"/>
      </w:pPr>
      <w:r>
        <w:rPr>
          <w:b/>
          <w:spacing w:val="-1"/>
        </w:rPr>
        <w:t>T</w:t>
      </w:r>
      <w:r>
        <w:rPr>
          <w:b/>
        </w:rPr>
        <w:t>a</w:t>
      </w:r>
      <w:r>
        <w:rPr>
          <w:b/>
          <w:spacing w:val="-1"/>
        </w:rPr>
        <w:t>b</w:t>
      </w:r>
      <w:r>
        <w:rPr>
          <w:b/>
        </w:rPr>
        <w:t>e</w:t>
      </w:r>
      <w:r>
        <w:rPr>
          <w:b/>
          <w:spacing w:val="1"/>
        </w:rPr>
        <w:t>l</w:t>
      </w:r>
      <w:r>
        <w:rPr>
          <w:b/>
          <w:spacing w:val="-1"/>
        </w:rPr>
        <w:t>u</w:t>
      </w:r>
      <w:r>
        <w:rPr>
          <w:b/>
        </w:rPr>
        <w:t>l</w:t>
      </w:r>
      <w:r>
        <w:rPr>
          <w:b/>
          <w:spacing w:val="-2"/>
        </w:rPr>
        <w:t xml:space="preserve"> </w:t>
      </w:r>
      <w:r>
        <w:rPr>
          <w:b/>
          <w:bCs/>
          <w:szCs w:val="22"/>
        </w:rPr>
        <w:t xml:space="preserve">17. </w:t>
      </w:r>
      <w:r>
        <w:rPr>
          <w:b/>
          <w:spacing w:val="-1"/>
        </w:rPr>
        <w:t>S</w:t>
      </w:r>
      <w:r>
        <w:rPr>
          <w:b/>
        </w:rPr>
        <w:t>t</w:t>
      </w:r>
      <w:r>
        <w:rPr>
          <w:b/>
          <w:spacing w:val="-1"/>
        </w:rPr>
        <w:t>ud</w:t>
      </w:r>
      <w:r>
        <w:rPr>
          <w:b/>
          <w:spacing w:val="1"/>
        </w:rPr>
        <w:t>i</w:t>
      </w:r>
      <w:r>
        <w:rPr>
          <w:b/>
          <w:spacing w:val="-3"/>
        </w:rPr>
        <w:t>u</w:t>
      </w:r>
      <w:r>
        <w:rPr>
          <w:b/>
        </w:rPr>
        <w:t>l</w:t>
      </w:r>
      <w:r>
        <w:rPr>
          <w:b/>
          <w:spacing w:val="1"/>
        </w:rPr>
        <w:t xml:space="preserve"> </w:t>
      </w:r>
      <w:r>
        <w:rPr>
          <w:b/>
        </w:rPr>
        <w:t>II</w:t>
      </w:r>
      <w:r>
        <w:rPr>
          <w:b/>
          <w:spacing w:val="-2"/>
        </w:rPr>
        <w:t xml:space="preserve"> </w:t>
      </w:r>
      <w:r>
        <w:rPr>
          <w:b/>
        </w:rPr>
        <w:t>(</w:t>
      </w:r>
      <w:r>
        <w:rPr>
          <w:b/>
          <w:spacing w:val="-1"/>
        </w:rPr>
        <w:t>C</w:t>
      </w:r>
      <w:r>
        <w:rPr>
          <w:b/>
          <w:spacing w:val="1"/>
        </w:rPr>
        <w:t>H</w:t>
      </w:r>
      <w:r>
        <w:rPr>
          <w:b/>
          <w:spacing w:val="-4"/>
        </w:rPr>
        <w:t>A</w:t>
      </w:r>
      <w:r>
        <w:rPr>
          <w:b/>
          <w:spacing w:val="-3"/>
        </w:rPr>
        <w:t>M</w:t>
      </w:r>
      <w:r>
        <w:rPr>
          <w:b/>
          <w:spacing w:val="1"/>
        </w:rPr>
        <w:t>P</w:t>
      </w:r>
      <w:r>
        <w:rPr>
          <w:b/>
          <w:spacing w:val="-2"/>
        </w:rPr>
        <w:t>I</w:t>
      </w:r>
      <w:r>
        <w:rPr>
          <w:b/>
          <w:spacing w:val="1"/>
        </w:rPr>
        <w:t>O</w:t>
      </w:r>
      <w:r>
        <w:rPr>
          <w:b/>
          <w:spacing w:val="-1"/>
        </w:rPr>
        <w:t>N</w:t>
      </w:r>
      <w:r>
        <w:rPr>
          <w:b/>
        </w:rPr>
        <w:t>)</w:t>
      </w:r>
      <w:r>
        <w:rPr>
          <w:b/>
          <w:spacing w:val="-2"/>
        </w:rPr>
        <w:t xml:space="preserve"> </w:t>
      </w:r>
      <w:r>
        <w:rPr>
          <w:b/>
          <w:spacing w:val="-1"/>
        </w:rPr>
        <w:t>R</w:t>
      </w:r>
      <w:r>
        <w:rPr>
          <w:b/>
        </w:rPr>
        <w:t>e</w:t>
      </w:r>
      <w:r>
        <w:rPr>
          <w:b/>
          <w:spacing w:val="-3"/>
        </w:rPr>
        <w:t>z</w:t>
      </w:r>
      <w:r>
        <w:rPr>
          <w:b/>
          <w:spacing w:val="-1"/>
        </w:rPr>
        <w:t>u</w:t>
      </w:r>
      <w:r>
        <w:rPr>
          <w:b/>
          <w:spacing w:val="1"/>
        </w:rPr>
        <w:t>l</w:t>
      </w:r>
      <w:r>
        <w:rPr>
          <w:b/>
        </w:rPr>
        <w:t>tat</w:t>
      </w:r>
      <w:r>
        <w:rPr>
          <w:b/>
          <w:spacing w:val="-3"/>
        </w:rPr>
        <w:t>e</w:t>
      </w:r>
      <w:r>
        <w:rPr>
          <w:b/>
          <w:spacing w:val="1"/>
        </w:rPr>
        <w:t>l</w:t>
      </w:r>
      <w:r>
        <w:rPr>
          <w:b/>
        </w:rPr>
        <w:t xml:space="preserve">e </w:t>
      </w:r>
      <w:r>
        <w:rPr>
          <w:b/>
          <w:spacing w:val="-3"/>
        </w:rPr>
        <w:t>p</w:t>
      </w:r>
      <w:r>
        <w:rPr>
          <w:b/>
        </w:rPr>
        <w:t>ri</w:t>
      </w:r>
      <w:r>
        <w:rPr>
          <w:b/>
          <w:spacing w:val="-3"/>
        </w:rPr>
        <w:t>v</w:t>
      </w:r>
      <w:r>
        <w:rPr>
          <w:b/>
          <w:spacing w:val="1"/>
        </w:rPr>
        <w:t>i</w:t>
      </w:r>
      <w:r>
        <w:rPr>
          <w:b/>
          <w:spacing w:val="-1"/>
        </w:rPr>
        <w:t>n</w:t>
      </w:r>
      <w:r>
        <w:rPr>
          <w:b/>
        </w:rPr>
        <w:t>d</w:t>
      </w:r>
      <w:r>
        <w:rPr>
          <w:b/>
          <w:spacing w:val="-1"/>
        </w:rPr>
        <w:t xml:space="preserve"> </w:t>
      </w:r>
      <w:r>
        <w:rPr>
          <w:b/>
          <w:spacing w:val="-3"/>
        </w:rPr>
        <w:t>e</w:t>
      </w:r>
      <w:r>
        <w:rPr>
          <w:b/>
        </w:rPr>
        <w:t>f</w:t>
      </w:r>
      <w:r>
        <w:rPr>
          <w:b/>
          <w:spacing w:val="-2"/>
        </w:rPr>
        <w:t>i</w:t>
      </w:r>
      <w:r>
        <w:rPr>
          <w:b/>
        </w:rPr>
        <w:t>ca</w:t>
      </w:r>
      <w:r>
        <w:rPr>
          <w:b/>
          <w:spacing w:val="-3"/>
        </w:rPr>
        <w:t>c</w:t>
      </w:r>
      <w:r>
        <w:rPr>
          <w:b/>
          <w:spacing w:val="-2"/>
        </w:rPr>
        <w:t>i</w:t>
      </w:r>
      <w:r>
        <w:rPr>
          <w:b/>
        </w:rPr>
        <w:t>tat</w:t>
      </w:r>
      <w:r>
        <w:rPr>
          <w:b/>
          <w:spacing w:val="-3"/>
        </w:rPr>
        <w:t>e</w:t>
      </w:r>
      <w:r>
        <w:rPr>
          <w:b/>
        </w:rPr>
        <w:t xml:space="preserve">a </w:t>
      </w:r>
      <w:r>
        <w:rPr>
          <w:b/>
          <w:spacing w:val="1"/>
        </w:rPr>
        <w:t>î</w:t>
      </w:r>
      <w:r>
        <w:rPr>
          <w:b/>
        </w:rPr>
        <w:t>n</w:t>
      </w:r>
      <w:r>
        <w:rPr>
          <w:b/>
          <w:spacing w:val="-1"/>
        </w:rPr>
        <w:t xml:space="preserve"> </w:t>
      </w:r>
      <w:r>
        <w:rPr>
          <w:b/>
          <w:bCs/>
          <w:spacing w:val="-1"/>
          <w:szCs w:val="22"/>
        </w:rPr>
        <w:t>s</w:t>
      </w:r>
      <w:r>
        <w:rPr>
          <w:b/>
          <w:bCs/>
          <w:szCs w:val="22"/>
        </w:rPr>
        <w:t>ă</w:t>
      </w:r>
      <w:r>
        <w:rPr>
          <w:b/>
          <w:bCs/>
          <w:spacing w:val="-3"/>
          <w:szCs w:val="22"/>
        </w:rPr>
        <w:t>p</w:t>
      </w:r>
      <w:r>
        <w:rPr>
          <w:b/>
          <w:bCs/>
          <w:szCs w:val="22"/>
        </w:rPr>
        <w:t>t</w:t>
      </w:r>
      <w:r>
        <w:rPr>
          <w:b/>
          <w:bCs/>
          <w:spacing w:val="-3"/>
          <w:szCs w:val="22"/>
        </w:rPr>
        <w:t>ă</w:t>
      </w:r>
      <w:r>
        <w:rPr>
          <w:b/>
          <w:bCs/>
          <w:szCs w:val="22"/>
        </w:rPr>
        <w:t>mâ</w:t>
      </w:r>
      <w:r>
        <w:rPr>
          <w:b/>
          <w:bCs/>
          <w:spacing w:val="-1"/>
          <w:szCs w:val="22"/>
        </w:rPr>
        <w:t>n</w:t>
      </w:r>
      <w:r>
        <w:rPr>
          <w:b/>
          <w:bCs/>
          <w:szCs w:val="22"/>
        </w:rPr>
        <w:t>a</w:t>
      </w:r>
      <w:r>
        <w:rPr>
          <w:b/>
        </w:rPr>
        <w:t xml:space="preserve"> </w:t>
      </w:r>
      <w:r>
        <w:rPr>
          <w:b/>
          <w:spacing w:val="-3"/>
        </w:rPr>
        <w:t>1</w:t>
      </w:r>
      <w:r>
        <w:rPr>
          <w:b/>
        </w:rPr>
        <w:t>6</w:t>
      </w:r>
    </w:p>
    <w:p w14:paraId="4C0FEC7A" w14:textId="77777777" w:rsidR="00C04CAD" w:rsidRDefault="00C04CAD">
      <w:pPr>
        <w:keepNext/>
        <w:autoSpaceDE w:val="0"/>
        <w:autoSpaceDN w:val="0"/>
        <w:adjustRightInd w:val="0"/>
        <w:spacing w:line="240" w:lineRule="auto"/>
      </w:pPr>
    </w:p>
    <w:tbl>
      <w:tblPr>
        <w:tblW w:w="4997" w:type="pct"/>
        <w:tblInd w:w="5" w:type="dxa"/>
        <w:tblLayout w:type="fixed"/>
        <w:tblCellMar>
          <w:left w:w="0" w:type="dxa"/>
          <w:right w:w="0" w:type="dxa"/>
        </w:tblCellMar>
        <w:tblLook w:val="04A0" w:firstRow="1" w:lastRow="0" w:firstColumn="1" w:lastColumn="0" w:noHBand="0" w:noVBand="1"/>
      </w:tblPr>
      <w:tblGrid>
        <w:gridCol w:w="2257"/>
        <w:gridCol w:w="2266"/>
        <w:gridCol w:w="2262"/>
        <w:gridCol w:w="2271"/>
      </w:tblGrid>
      <w:tr w:rsidR="00C04CAD" w14:paraId="38245639" w14:textId="77777777">
        <w:trPr>
          <w:trHeight w:hRule="exact" w:val="1022"/>
        </w:trPr>
        <w:tc>
          <w:tcPr>
            <w:tcW w:w="1246" w:type="pct"/>
            <w:tcBorders>
              <w:top w:val="single" w:sz="4" w:space="0" w:color="000000"/>
              <w:left w:val="single" w:sz="4" w:space="0" w:color="000000"/>
              <w:bottom w:val="single" w:sz="4" w:space="0" w:color="000000"/>
              <w:right w:val="single" w:sz="4" w:space="0" w:color="000000"/>
            </w:tcBorders>
          </w:tcPr>
          <w:p w14:paraId="19EFEAFA" w14:textId="77777777" w:rsidR="00C04CAD" w:rsidRDefault="00C04CAD">
            <w:pPr>
              <w:keepNext/>
              <w:tabs>
                <w:tab w:val="clear" w:pos="567"/>
              </w:tabs>
              <w:autoSpaceDE w:val="0"/>
              <w:autoSpaceDN w:val="0"/>
              <w:adjustRightInd w:val="0"/>
              <w:spacing w:line="240" w:lineRule="auto"/>
            </w:pPr>
          </w:p>
        </w:tc>
        <w:tc>
          <w:tcPr>
            <w:tcW w:w="1251" w:type="pct"/>
            <w:tcBorders>
              <w:top w:val="single" w:sz="4" w:space="0" w:color="000000"/>
              <w:left w:val="single" w:sz="4" w:space="0" w:color="000000"/>
              <w:bottom w:val="single" w:sz="4" w:space="0" w:color="000000"/>
              <w:right w:val="single" w:sz="4" w:space="0" w:color="000000"/>
            </w:tcBorders>
          </w:tcPr>
          <w:p w14:paraId="24162674"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spacing w:val="-1"/>
              </w:rPr>
              <w:t>P</w:t>
            </w:r>
            <w:r>
              <w:rPr>
                <w:b/>
                <w:spacing w:val="1"/>
              </w:rPr>
              <w:t>l</w:t>
            </w:r>
            <w:r>
              <w:rPr>
                <w:b/>
              </w:rPr>
              <w:t>ace</w:t>
            </w:r>
            <w:r>
              <w:rPr>
                <w:b/>
                <w:spacing w:val="-1"/>
              </w:rPr>
              <w:t>bo</w:t>
            </w:r>
          </w:p>
          <w:p w14:paraId="00CDFB5F"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spacing w:val="-2"/>
              </w:rPr>
              <w:t>N=</w:t>
            </w:r>
            <w:r>
              <w:rPr>
                <w:b/>
              </w:rPr>
              <w:t>53</w:t>
            </w:r>
          </w:p>
          <w:p w14:paraId="79312D12"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w:t>
            </w:r>
            <w:r>
              <w:rPr>
                <w:b/>
                <w:spacing w:val="-1"/>
              </w:rPr>
              <w:t xml:space="preserve"> </w:t>
            </w:r>
            <w:r>
              <w:rPr>
                <w:b/>
              </w:rPr>
              <w:t>(</w:t>
            </w:r>
            <w:r>
              <w:rPr>
                <w:b/>
                <w:spacing w:val="-3"/>
              </w:rPr>
              <w:t>%)</w:t>
            </w:r>
          </w:p>
        </w:tc>
        <w:tc>
          <w:tcPr>
            <w:tcW w:w="1249" w:type="pct"/>
            <w:tcBorders>
              <w:top w:val="single" w:sz="4" w:space="0" w:color="000000"/>
              <w:left w:val="single" w:sz="4" w:space="0" w:color="000000"/>
              <w:bottom w:val="single" w:sz="4" w:space="0" w:color="000000"/>
              <w:right w:val="single" w:sz="4" w:space="0" w:color="000000"/>
            </w:tcBorders>
          </w:tcPr>
          <w:p w14:paraId="6E9B0944"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M</w:t>
            </w:r>
            <w:r>
              <w:rPr>
                <w:b/>
                <w:spacing w:val="-1"/>
              </w:rPr>
              <w:t>TX</w:t>
            </w:r>
          </w:p>
          <w:p w14:paraId="4CBF7980"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spacing w:val="-2"/>
              </w:rPr>
              <w:t>N=</w:t>
            </w:r>
            <w:r>
              <w:rPr>
                <w:b/>
              </w:rPr>
              <w:t>110</w:t>
            </w:r>
          </w:p>
          <w:p w14:paraId="68A510D1"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w:t>
            </w:r>
            <w:r>
              <w:rPr>
                <w:b/>
                <w:spacing w:val="-1"/>
              </w:rPr>
              <w:t xml:space="preserve"> </w:t>
            </w:r>
            <w:r>
              <w:rPr>
                <w:b/>
              </w:rPr>
              <w:t>(</w:t>
            </w:r>
            <w:r>
              <w:rPr>
                <w:b/>
                <w:spacing w:val="-3"/>
              </w:rPr>
              <w:t>%)</w:t>
            </w:r>
          </w:p>
        </w:tc>
        <w:tc>
          <w:tcPr>
            <w:tcW w:w="1251" w:type="pct"/>
            <w:tcBorders>
              <w:top w:val="single" w:sz="4" w:space="0" w:color="000000"/>
              <w:left w:val="single" w:sz="4" w:space="0" w:color="000000"/>
              <w:bottom w:val="single" w:sz="4" w:space="0" w:color="000000"/>
              <w:right w:val="single" w:sz="4" w:space="0" w:color="000000"/>
            </w:tcBorders>
          </w:tcPr>
          <w:p w14:paraId="1F8322A8"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40 mg</w:t>
            </w:r>
            <w:r>
              <w:rPr>
                <w:b/>
                <w:spacing w:val="-3"/>
              </w:rPr>
              <w:t xml:space="preserve"> </w:t>
            </w:r>
            <w:r>
              <w:rPr>
                <w:rFonts w:eastAsia="MS Mincho"/>
                <w:b/>
                <w:bCs/>
                <w:spacing w:val="1"/>
                <w:szCs w:val="22"/>
                <w:lang w:eastAsia="en-US" w:bidi="ar-SA"/>
              </w:rPr>
              <w:t>AMGEVITA</w:t>
            </w:r>
            <w:r>
              <w:rPr>
                <w:b/>
              </w:rPr>
              <w:t xml:space="preserve"> </w:t>
            </w:r>
            <w:r>
              <w:rPr>
                <w:b/>
                <w:spacing w:val="1"/>
              </w:rPr>
              <w:t>l</w:t>
            </w:r>
            <w:r>
              <w:rPr>
                <w:b/>
              </w:rPr>
              <w:t>a</w:t>
            </w:r>
          </w:p>
          <w:p w14:paraId="04D53CC2"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spacing w:val="-1"/>
              </w:rPr>
              <w:t>d</w:t>
            </w:r>
            <w:r>
              <w:rPr>
                <w:b/>
              </w:rPr>
              <w:t>o</w:t>
            </w:r>
            <w:r>
              <w:rPr>
                <w:b/>
                <w:spacing w:val="-1"/>
              </w:rPr>
              <w:t>u</w:t>
            </w:r>
            <w:r>
              <w:rPr>
                <w:b/>
              </w:rPr>
              <w:t>ă să</w:t>
            </w:r>
            <w:r>
              <w:rPr>
                <w:b/>
                <w:spacing w:val="-1"/>
              </w:rPr>
              <w:t>p</w:t>
            </w:r>
            <w:r>
              <w:rPr>
                <w:b/>
                <w:spacing w:val="-2"/>
              </w:rPr>
              <w:t>t</w:t>
            </w:r>
            <w:r>
              <w:rPr>
                <w:b/>
              </w:rPr>
              <w:t>ămâ</w:t>
            </w:r>
            <w:r>
              <w:rPr>
                <w:b/>
                <w:spacing w:val="-3"/>
              </w:rPr>
              <w:t>n</w:t>
            </w:r>
            <w:r>
              <w:rPr>
                <w:b/>
              </w:rPr>
              <w:t>i</w:t>
            </w:r>
          </w:p>
          <w:p w14:paraId="03889B06"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spacing w:val="-2"/>
              </w:rPr>
              <w:t>N=</w:t>
            </w:r>
            <w:r>
              <w:rPr>
                <w:b/>
              </w:rPr>
              <w:t>108</w:t>
            </w:r>
          </w:p>
          <w:p w14:paraId="2AAFDFAA"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w:t>
            </w:r>
            <w:r>
              <w:rPr>
                <w:b/>
                <w:spacing w:val="-1"/>
              </w:rPr>
              <w:t xml:space="preserve"> </w:t>
            </w:r>
            <w:r>
              <w:rPr>
                <w:b/>
              </w:rPr>
              <w:t>(</w:t>
            </w:r>
            <w:r>
              <w:rPr>
                <w:b/>
                <w:spacing w:val="-3"/>
              </w:rPr>
              <w:t>%)</w:t>
            </w:r>
          </w:p>
        </w:tc>
      </w:tr>
      <w:tr w:rsidR="00C04CAD" w14:paraId="51972E1E" w14:textId="77777777">
        <w:trPr>
          <w:trHeight w:hRule="exact" w:val="262"/>
        </w:trPr>
        <w:tc>
          <w:tcPr>
            <w:tcW w:w="1246" w:type="pct"/>
            <w:tcBorders>
              <w:top w:val="single" w:sz="4" w:space="0" w:color="auto"/>
              <w:left w:val="single" w:sz="4" w:space="0" w:color="auto"/>
              <w:bottom w:val="single" w:sz="4" w:space="0" w:color="000000"/>
              <w:right w:val="single" w:sz="4" w:space="0" w:color="000000"/>
            </w:tcBorders>
          </w:tcPr>
          <w:p w14:paraId="650C9DE6" w14:textId="77777777" w:rsidR="00C04CAD" w:rsidRDefault="00060E34">
            <w:pPr>
              <w:keepNext/>
              <w:tabs>
                <w:tab w:val="clear" w:pos="567"/>
              </w:tabs>
              <w:kinsoku w:val="0"/>
              <w:overflowPunct w:val="0"/>
              <w:autoSpaceDE w:val="0"/>
              <w:autoSpaceDN w:val="0"/>
              <w:adjustRightInd w:val="0"/>
              <w:spacing w:line="240" w:lineRule="auto"/>
              <w:ind w:left="113"/>
              <w:rPr>
                <w:b/>
              </w:rPr>
            </w:pPr>
            <w:r>
              <w:rPr>
                <w:b/>
                <w:spacing w:val="1"/>
              </w:rPr>
              <w:t>≥</w:t>
            </w:r>
            <w:r>
              <w:rPr>
                <w:b/>
                <w:spacing w:val="-1"/>
              </w:rPr>
              <w:t>PAS</w:t>
            </w:r>
            <w:r>
              <w:rPr>
                <w:b/>
              </w:rPr>
              <w:t>I</w:t>
            </w:r>
            <w:r>
              <w:rPr>
                <w:b/>
                <w:spacing w:val="-4"/>
              </w:rPr>
              <w:t xml:space="preserve"> </w:t>
            </w:r>
            <w:r>
              <w:rPr>
                <w:b/>
              </w:rPr>
              <w:t>75</w:t>
            </w:r>
          </w:p>
        </w:tc>
        <w:tc>
          <w:tcPr>
            <w:tcW w:w="1251" w:type="pct"/>
            <w:tcBorders>
              <w:top w:val="single" w:sz="4" w:space="0" w:color="auto"/>
              <w:left w:val="single" w:sz="4" w:space="0" w:color="000000"/>
              <w:bottom w:val="single" w:sz="4" w:space="0" w:color="000000"/>
              <w:right w:val="single" w:sz="4" w:space="0" w:color="000000"/>
            </w:tcBorders>
          </w:tcPr>
          <w:p w14:paraId="30126E8D" w14:textId="77777777" w:rsidR="00C04CAD" w:rsidRDefault="00060E34">
            <w:pPr>
              <w:tabs>
                <w:tab w:val="clear" w:pos="567"/>
              </w:tabs>
              <w:kinsoku w:val="0"/>
              <w:overflowPunct w:val="0"/>
              <w:autoSpaceDE w:val="0"/>
              <w:autoSpaceDN w:val="0"/>
              <w:adjustRightInd w:val="0"/>
              <w:spacing w:line="240" w:lineRule="auto"/>
              <w:ind w:left="113"/>
              <w:jc w:val="center"/>
            </w:pPr>
            <w:r>
              <w:t>10 (18,</w:t>
            </w:r>
            <w:r>
              <w:rPr>
                <w:spacing w:val="-3"/>
              </w:rPr>
              <w:t>9</w:t>
            </w:r>
            <w:r>
              <w:t>)</w:t>
            </w:r>
          </w:p>
        </w:tc>
        <w:tc>
          <w:tcPr>
            <w:tcW w:w="1249" w:type="pct"/>
            <w:tcBorders>
              <w:top w:val="single" w:sz="4" w:space="0" w:color="auto"/>
              <w:left w:val="single" w:sz="4" w:space="0" w:color="000000"/>
              <w:bottom w:val="single" w:sz="4" w:space="0" w:color="000000"/>
              <w:right w:val="single" w:sz="4" w:space="0" w:color="000000"/>
            </w:tcBorders>
          </w:tcPr>
          <w:p w14:paraId="4E27E393" w14:textId="77777777" w:rsidR="00C04CAD" w:rsidRDefault="00060E34">
            <w:pPr>
              <w:tabs>
                <w:tab w:val="clear" w:pos="567"/>
              </w:tabs>
              <w:kinsoku w:val="0"/>
              <w:overflowPunct w:val="0"/>
              <w:autoSpaceDE w:val="0"/>
              <w:autoSpaceDN w:val="0"/>
              <w:adjustRightInd w:val="0"/>
              <w:spacing w:line="240" w:lineRule="auto"/>
              <w:ind w:left="113"/>
              <w:jc w:val="center"/>
            </w:pPr>
            <w:r>
              <w:t>39 (35,</w:t>
            </w:r>
            <w:r>
              <w:rPr>
                <w:spacing w:val="-3"/>
              </w:rPr>
              <w:t>5</w:t>
            </w:r>
            <w:r>
              <w:t>)</w:t>
            </w:r>
          </w:p>
        </w:tc>
        <w:tc>
          <w:tcPr>
            <w:tcW w:w="1254" w:type="pct"/>
            <w:tcBorders>
              <w:top w:val="single" w:sz="4" w:space="0" w:color="auto"/>
              <w:left w:val="single" w:sz="4" w:space="0" w:color="000000"/>
              <w:bottom w:val="single" w:sz="4" w:space="0" w:color="000000"/>
              <w:right w:val="single" w:sz="4" w:space="0" w:color="auto"/>
            </w:tcBorders>
          </w:tcPr>
          <w:p w14:paraId="6B525BC3" w14:textId="77777777" w:rsidR="00C04CAD" w:rsidRDefault="00060E34">
            <w:pPr>
              <w:tabs>
                <w:tab w:val="clear" w:pos="567"/>
              </w:tabs>
              <w:kinsoku w:val="0"/>
              <w:overflowPunct w:val="0"/>
              <w:autoSpaceDE w:val="0"/>
              <w:autoSpaceDN w:val="0"/>
              <w:adjustRightInd w:val="0"/>
              <w:spacing w:line="240" w:lineRule="auto"/>
              <w:ind w:left="113"/>
              <w:jc w:val="center"/>
            </w:pPr>
            <w:r>
              <w:t>86</w:t>
            </w:r>
            <w:r>
              <w:rPr>
                <w:spacing w:val="-2"/>
              </w:rPr>
              <w:t xml:space="preserve"> </w:t>
            </w:r>
            <w:r>
              <w:t>(79,</w:t>
            </w:r>
            <w:r>
              <w:rPr>
                <w:spacing w:val="-3"/>
              </w:rPr>
              <w:t>6</w:t>
            </w:r>
            <w:r>
              <w:t>)</w:t>
            </w:r>
            <w:r>
              <w:rPr>
                <w:vertAlign w:val="superscript"/>
              </w:rPr>
              <w:t>a</w:t>
            </w:r>
            <w:r>
              <w:t xml:space="preserve">, </w:t>
            </w:r>
            <w:r>
              <w:rPr>
                <w:vertAlign w:val="superscript"/>
              </w:rPr>
              <w:t>b</w:t>
            </w:r>
          </w:p>
        </w:tc>
      </w:tr>
      <w:tr w:rsidR="00C04CAD" w14:paraId="6E363C01" w14:textId="77777777">
        <w:trPr>
          <w:trHeight w:hRule="exact" w:val="264"/>
        </w:trPr>
        <w:tc>
          <w:tcPr>
            <w:tcW w:w="1246" w:type="pct"/>
            <w:tcBorders>
              <w:top w:val="single" w:sz="4" w:space="0" w:color="000000"/>
              <w:left w:val="single" w:sz="4" w:space="0" w:color="auto"/>
              <w:bottom w:val="single" w:sz="4" w:space="0" w:color="000000"/>
              <w:right w:val="single" w:sz="4" w:space="0" w:color="000000"/>
            </w:tcBorders>
          </w:tcPr>
          <w:p w14:paraId="2FD10C7E" w14:textId="77777777" w:rsidR="00C04CAD" w:rsidRDefault="00060E34">
            <w:pPr>
              <w:keepNext/>
              <w:tabs>
                <w:tab w:val="clear" w:pos="567"/>
              </w:tabs>
              <w:kinsoku w:val="0"/>
              <w:overflowPunct w:val="0"/>
              <w:autoSpaceDE w:val="0"/>
              <w:autoSpaceDN w:val="0"/>
              <w:adjustRightInd w:val="0"/>
              <w:spacing w:line="240" w:lineRule="auto"/>
              <w:ind w:left="113"/>
              <w:rPr>
                <w:b/>
              </w:rPr>
            </w:pPr>
            <w:r>
              <w:rPr>
                <w:b/>
                <w:spacing w:val="-1"/>
              </w:rPr>
              <w:t>PA</w:t>
            </w:r>
            <w:r>
              <w:rPr>
                <w:b/>
                <w:spacing w:val="2"/>
              </w:rPr>
              <w:t>S</w:t>
            </w:r>
            <w:r>
              <w:rPr>
                <w:b/>
              </w:rPr>
              <w:t>I</w:t>
            </w:r>
            <w:r>
              <w:rPr>
                <w:b/>
                <w:spacing w:val="-4"/>
              </w:rPr>
              <w:t xml:space="preserve"> </w:t>
            </w:r>
            <w:r>
              <w:rPr>
                <w:b/>
              </w:rPr>
              <w:t>100</w:t>
            </w:r>
          </w:p>
        </w:tc>
        <w:tc>
          <w:tcPr>
            <w:tcW w:w="1251" w:type="pct"/>
            <w:tcBorders>
              <w:top w:val="single" w:sz="4" w:space="0" w:color="000000"/>
              <w:left w:val="single" w:sz="4" w:space="0" w:color="000000"/>
              <w:bottom w:val="single" w:sz="4" w:space="0" w:color="000000"/>
              <w:right w:val="single" w:sz="4" w:space="0" w:color="000000"/>
            </w:tcBorders>
          </w:tcPr>
          <w:p w14:paraId="01D8FE37" w14:textId="77777777" w:rsidR="00C04CAD" w:rsidRDefault="00060E34">
            <w:pPr>
              <w:tabs>
                <w:tab w:val="clear" w:pos="567"/>
              </w:tabs>
              <w:kinsoku w:val="0"/>
              <w:overflowPunct w:val="0"/>
              <w:autoSpaceDE w:val="0"/>
              <w:autoSpaceDN w:val="0"/>
              <w:adjustRightInd w:val="0"/>
              <w:spacing w:line="240" w:lineRule="auto"/>
              <w:ind w:left="113"/>
              <w:jc w:val="center"/>
            </w:pPr>
            <w:r>
              <w:t>1 (1,</w:t>
            </w:r>
            <w:r>
              <w:rPr>
                <w:spacing w:val="-3"/>
              </w:rPr>
              <w:t>9</w:t>
            </w:r>
            <w:r>
              <w:t>)</w:t>
            </w:r>
          </w:p>
        </w:tc>
        <w:tc>
          <w:tcPr>
            <w:tcW w:w="1249" w:type="pct"/>
            <w:tcBorders>
              <w:top w:val="single" w:sz="4" w:space="0" w:color="000000"/>
              <w:left w:val="single" w:sz="4" w:space="0" w:color="000000"/>
              <w:bottom w:val="single" w:sz="4" w:space="0" w:color="000000"/>
              <w:right w:val="single" w:sz="4" w:space="0" w:color="000000"/>
            </w:tcBorders>
          </w:tcPr>
          <w:p w14:paraId="7C9D3F8C" w14:textId="77777777" w:rsidR="00C04CAD" w:rsidRDefault="00060E34">
            <w:pPr>
              <w:tabs>
                <w:tab w:val="clear" w:pos="567"/>
              </w:tabs>
              <w:kinsoku w:val="0"/>
              <w:overflowPunct w:val="0"/>
              <w:autoSpaceDE w:val="0"/>
              <w:autoSpaceDN w:val="0"/>
              <w:adjustRightInd w:val="0"/>
              <w:spacing w:line="240" w:lineRule="auto"/>
              <w:ind w:left="113"/>
              <w:jc w:val="center"/>
            </w:pPr>
            <w:r>
              <w:t>8 (7,</w:t>
            </w:r>
            <w:r>
              <w:rPr>
                <w:spacing w:val="-3"/>
              </w:rPr>
              <w:t>3</w:t>
            </w:r>
            <w:r>
              <w:t>)</w:t>
            </w:r>
          </w:p>
        </w:tc>
        <w:tc>
          <w:tcPr>
            <w:tcW w:w="1254" w:type="pct"/>
            <w:tcBorders>
              <w:top w:val="single" w:sz="4" w:space="0" w:color="000000"/>
              <w:left w:val="single" w:sz="4" w:space="0" w:color="000000"/>
              <w:bottom w:val="single" w:sz="4" w:space="0" w:color="000000"/>
              <w:right w:val="single" w:sz="4" w:space="0" w:color="auto"/>
            </w:tcBorders>
          </w:tcPr>
          <w:p w14:paraId="379BC736" w14:textId="77777777" w:rsidR="00C04CAD" w:rsidRDefault="00060E34">
            <w:pPr>
              <w:tabs>
                <w:tab w:val="clear" w:pos="567"/>
              </w:tabs>
              <w:kinsoku w:val="0"/>
              <w:overflowPunct w:val="0"/>
              <w:autoSpaceDE w:val="0"/>
              <w:autoSpaceDN w:val="0"/>
              <w:adjustRightInd w:val="0"/>
              <w:spacing w:line="240" w:lineRule="auto"/>
              <w:ind w:left="113"/>
              <w:jc w:val="center"/>
            </w:pPr>
            <w:r>
              <w:t>18</w:t>
            </w:r>
            <w:r>
              <w:rPr>
                <w:spacing w:val="-2"/>
              </w:rPr>
              <w:t xml:space="preserve"> </w:t>
            </w:r>
            <w:r>
              <w:t>(16,</w:t>
            </w:r>
            <w:r>
              <w:rPr>
                <w:spacing w:val="-3"/>
              </w:rPr>
              <w:t>7</w:t>
            </w:r>
            <w:r>
              <w:t>)</w:t>
            </w:r>
            <w:r>
              <w:rPr>
                <w:vertAlign w:val="superscript"/>
              </w:rPr>
              <w:t>c</w:t>
            </w:r>
            <w:r>
              <w:t xml:space="preserve">, </w:t>
            </w:r>
            <w:r>
              <w:rPr>
                <w:vertAlign w:val="superscript"/>
              </w:rPr>
              <w:t>d</w:t>
            </w:r>
          </w:p>
        </w:tc>
      </w:tr>
      <w:tr w:rsidR="00C04CAD" w14:paraId="541847E2" w14:textId="77777777">
        <w:trPr>
          <w:trHeight w:hRule="exact" w:val="264"/>
        </w:trPr>
        <w:tc>
          <w:tcPr>
            <w:tcW w:w="1246" w:type="pct"/>
            <w:tcBorders>
              <w:top w:val="single" w:sz="4" w:space="0" w:color="000000"/>
              <w:left w:val="single" w:sz="4" w:space="0" w:color="auto"/>
              <w:bottom w:val="single" w:sz="4" w:space="0" w:color="auto"/>
              <w:right w:val="single" w:sz="4" w:space="0" w:color="000000"/>
            </w:tcBorders>
          </w:tcPr>
          <w:p w14:paraId="31A8E6F4" w14:textId="77777777" w:rsidR="00C04CAD" w:rsidRDefault="00060E34">
            <w:pPr>
              <w:keepNext/>
              <w:tabs>
                <w:tab w:val="clear" w:pos="567"/>
              </w:tabs>
              <w:kinsoku w:val="0"/>
              <w:overflowPunct w:val="0"/>
              <w:autoSpaceDE w:val="0"/>
              <w:autoSpaceDN w:val="0"/>
              <w:adjustRightInd w:val="0"/>
              <w:spacing w:line="240" w:lineRule="auto"/>
              <w:ind w:left="113"/>
              <w:rPr>
                <w:b/>
              </w:rPr>
            </w:pPr>
            <w:r>
              <w:rPr>
                <w:b/>
                <w:spacing w:val="-1"/>
              </w:rPr>
              <w:t>PGA</w:t>
            </w:r>
            <w:r>
              <w:rPr>
                <w:b/>
              </w:rPr>
              <w:t>:</w:t>
            </w:r>
            <w:r>
              <w:rPr>
                <w:b/>
                <w:spacing w:val="1"/>
              </w:rPr>
              <w:t xml:space="preserve"> </w:t>
            </w:r>
            <w:r>
              <w:rPr>
                <w:b/>
                <w:spacing w:val="-1"/>
              </w:rPr>
              <w:t>N</w:t>
            </w:r>
            <w:r>
              <w:rPr>
                <w:b/>
              </w:rPr>
              <w:t>or</w:t>
            </w:r>
            <w:r>
              <w:rPr>
                <w:b/>
                <w:spacing w:val="-4"/>
              </w:rPr>
              <w:t>m</w:t>
            </w:r>
            <w:r>
              <w:rPr>
                <w:b/>
              </w:rPr>
              <w:t>a</w:t>
            </w:r>
            <w:r>
              <w:rPr>
                <w:b/>
                <w:spacing w:val="1"/>
              </w:rPr>
              <w:t>l/</w:t>
            </w:r>
            <w:r>
              <w:rPr>
                <w:b/>
                <w:spacing w:val="-4"/>
              </w:rPr>
              <w:t>m</w:t>
            </w:r>
            <w:r>
              <w:rPr>
                <w:b/>
                <w:spacing w:val="1"/>
              </w:rPr>
              <w:t>i</w:t>
            </w:r>
            <w:r>
              <w:rPr>
                <w:b/>
              </w:rPr>
              <w:t>n</w:t>
            </w:r>
            <w:r>
              <w:rPr>
                <w:b/>
                <w:spacing w:val="1"/>
              </w:rPr>
              <w:t>i</w:t>
            </w:r>
            <w:r>
              <w:rPr>
                <w:b/>
                <w:spacing w:val="-4"/>
              </w:rPr>
              <w:t>m</w:t>
            </w:r>
            <w:r>
              <w:rPr>
                <w:b/>
              </w:rPr>
              <w:t>al</w:t>
            </w:r>
          </w:p>
        </w:tc>
        <w:tc>
          <w:tcPr>
            <w:tcW w:w="1251" w:type="pct"/>
            <w:tcBorders>
              <w:top w:val="single" w:sz="4" w:space="0" w:color="000000"/>
              <w:left w:val="single" w:sz="4" w:space="0" w:color="000000"/>
              <w:bottom w:val="single" w:sz="4" w:space="0" w:color="auto"/>
              <w:right w:val="single" w:sz="4" w:space="0" w:color="000000"/>
            </w:tcBorders>
          </w:tcPr>
          <w:p w14:paraId="37B0EA65" w14:textId="77777777" w:rsidR="00C04CAD" w:rsidRDefault="00060E34">
            <w:pPr>
              <w:tabs>
                <w:tab w:val="clear" w:pos="567"/>
              </w:tabs>
              <w:kinsoku w:val="0"/>
              <w:overflowPunct w:val="0"/>
              <w:autoSpaceDE w:val="0"/>
              <w:autoSpaceDN w:val="0"/>
              <w:adjustRightInd w:val="0"/>
              <w:spacing w:line="240" w:lineRule="auto"/>
              <w:ind w:left="113"/>
              <w:jc w:val="center"/>
            </w:pPr>
            <w:r>
              <w:t>6 (11,</w:t>
            </w:r>
            <w:r>
              <w:rPr>
                <w:spacing w:val="-3"/>
              </w:rPr>
              <w:t>3</w:t>
            </w:r>
            <w:r>
              <w:t>)</w:t>
            </w:r>
          </w:p>
        </w:tc>
        <w:tc>
          <w:tcPr>
            <w:tcW w:w="1249" w:type="pct"/>
            <w:tcBorders>
              <w:top w:val="single" w:sz="4" w:space="0" w:color="000000"/>
              <w:left w:val="single" w:sz="4" w:space="0" w:color="000000"/>
              <w:bottom w:val="single" w:sz="4" w:space="0" w:color="auto"/>
              <w:right w:val="single" w:sz="4" w:space="0" w:color="000000"/>
            </w:tcBorders>
          </w:tcPr>
          <w:p w14:paraId="191CF0AC" w14:textId="77777777" w:rsidR="00C04CAD" w:rsidRDefault="00060E34">
            <w:pPr>
              <w:tabs>
                <w:tab w:val="clear" w:pos="567"/>
              </w:tabs>
              <w:kinsoku w:val="0"/>
              <w:overflowPunct w:val="0"/>
              <w:autoSpaceDE w:val="0"/>
              <w:autoSpaceDN w:val="0"/>
              <w:adjustRightInd w:val="0"/>
              <w:spacing w:line="240" w:lineRule="auto"/>
              <w:ind w:left="113"/>
              <w:jc w:val="center"/>
            </w:pPr>
            <w:r>
              <w:t>33 (3</w:t>
            </w:r>
            <w:r>
              <w:rPr>
                <w:spacing w:val="-3"/>
              </w:rPr>
              <w:t>0,0</w:t>
            </w:r>
            <w:r>
              <w:t>)</w:t>
            </w:r>
          </w:p>
        </w:tc>
        <w:tc>
          <w:tcPr>
            <w:tcW w:w="1254" w:type="pct"/>
            <w:tcBorders>
              <w:top w:val="single" w:sz="4" w:space="0" w:color="000000"/>
              <w:left w:val="single" w:sz="4" w:space="0" w:color="000000"/>
              <w:bottom w:val="single" w:sz="4" w:space="0" w:color="auto"/>
              <w:right w:val="single" w:sz="4" w:space="0" w:color="auto"/>
            </w:tcBorders>
          </w:tcPr>
          <w:p w14:paraId="0649B102" w14:textId="77777777" w:rsidR="00C04CAD" w:rsidRDefault="00060E34">
            <w:pPr>
              <w:tabs>
                <w:tab w:val="clear" w:pos="567"/>
              </w:tabs>
              <w:kinsoku w:val="0"/>
              <w:overflowPunct w:val="0"/>
              <w:autoSpaceDE w:val="0"/>
              <w:autoSpaceDN w:val="0"/>
              <w:adjustRightInd w:val="0"/>
              <w:spacing w:line="240" w:lineRule="auto"/>
              <w:ind w:left="113"/>
              <w:jc w:val="center"/>
            </w:pPr>
            <w:r>
              <w:t>79</w:t>
            </w:r>
            <w:r>
              <w:rPr>
                <w:spacing w:val="-2"/>
              </w:rPr>
              <w:t xml:space="preserve"> </w:t>
            </w:r>
            <w:r>
              <w:t>(73,</w:t>
            </w:r>
            <w:r>
              <w:rPr>
                <w:spacing w:val="-3"/>
              </w:rPr>
              <w:t>1</w:t>
            </w:r>
            <w:r>
              <w:t>)</w:t>
            </w:r>
            <w:r>
              <w:rPr>
                <w:vertAlign w:val="superscript"/>
              </w:rPr>
              <w:t>a</w:t>
            </w:r>
            <w:r>
              <w:t>,</w:t>
            </w:r>
            <w:r>
              <w:rPr>
                <w:spacing w:val="-3"/>
              </w:rPr>
              <w:t xml:space="preserve"> </w:t>
            </w:r>
            <w:r>
              <w:rPr>
                <w:vertAlign w:val="superscript"/>
              </w:rPr>
              <w:t>b</w:t>
            </w:r>
          </w:p>
        </w:tc>
      </w:tr>
      <w:tr w:rsidR="00C04CAD" w14:paraId="29890FCA" w14:textId="77777777">
        <w:trPr>
          <w:trHeight w:hRule="exact" w:val="978"/>
        </w:trPr>
        <w:tc>
          <w:tcPr>
            <w:tcW w:w="5000" w:type="pct"/>
            <w:gridSpan w:val="4"/>
            <w:tcBorders>
              <w:top w:val="single" w:sz="4" w:space="0" w:color="auto"/>
            </w:tcBorders>
          </w:tcPr>
          <w:p w14:paraId="428A7EBF"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p &lt;0,</w:t>
            </w:r>
            <w:r>
              <w:rPr>
                <w:rFonts w:eastAsia="MS Mincho"/>
                <w:spacing w:val="-3"/>
                <w:sz w:val="20"/>
                <w:lang w:eastAsia="en-US" w:bidi="ar-SA"/>
              </w:rPr>
              <w:t>0</w:t>
            </w:r>
            <w:r>
              <w:rPr>
                <w:rFonts w:eastAsia="MS Mincho"/>
                <w:sz w:val="20"/>
                <w:lang w:eastAsia="en-US" w:bidi="ar-SA"/>
              </w:rPr>
              <w:t>01</w:t>
            </w:r>
            <w:r>
              <w:rPr>
                <w:rFonts w:eastAsia="MS Mincho"/>
                <w:spacing w:val="-1"/>
                <w:sz w:val="20"/>
                <w:lang w:eastAsia="en-US" w:bidi="ar-SA"/>
              </w:rPr>
              <w:t>adalimumab</w:t>
            </w:r>
            <w:r>
              <w:rPr>
                <w:sz w:val="20"/>
              </w:rPr>
              <w:t xml:space="preserve"> </w:t>
            </w:r>
            <w:r>
              <w:rPr>
                <w:i/>
                <w:spacing w:val="-3"/>
                <w:sz w:val="20"/>
              </w:rPr>
              <w:t>v</w:t>
            </w:r>
            <w:r>
              <w:rPr>
                <w:i/>
                <w:sz w:val="20"/>
              </w:rPr>
              <w:t>ers</w:t>
            </w:r>
            <w:r>
              <w:rPr>
                <w:i/>
                <w:spacing w:val="-3"/>
                <w:sz w:val="20"/>
              </w:rPr>
              <w:t>u</w:t>
            </w:r>
            <w:r>
              <w:rPr>
                <w:i/>
                <w:sz w:val="20"/>
              </w:rPr>
              <w:t>s</w:t>
            </w:r>
            <w:r>
              <w:rPr>
                <w:sz w:val="20"/>
              </w:rPr>
              <w:t xml:space="preserve"> p</w:t>
            </w:r>
            <w:r>
              <w:rPr>
                <w:spacing w:val="-2"/>
                <w:sz w:val="20"/>
              </w:rPr>
              <w:t>l</w:t>
            </w:r>
            <w:r>
              <w:rPr>
                <w:sz w:val="20"/>
              </w:rPr>
              <w:t>acebo</w:t>
            </w:r>
          </w:p>
          <w:p w14:paraId="562D3077"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p &lt;0,0</w:t>
            </w:r>
            <w:r>
              <w:rPr>
                <w:spacing w:val="-3"/>
                <w:sz w:val="20"/>
              </w:rPr>
              <w:t>0</w:t>
            </w:r>
            <w:r>
              <w:rPr>
                <w:sz w:val="20"/>
              </w:rPr>
              <w:t xml:space="preserve">1 </w:t>
            </w:r>
            <w:r>
              <w:rPr>
                <w:rFonts w:eastAsia="MS Mincho"/>
                <w:spacing w:val="-1"/>
                <w:sz w:val="20"/>
                <w:lang w:eastAsia="en-US" w:bidi="ar-SA"/>
              </w:rPr>
              <w:t>adalimumab</w:t>
            </w:r>
            <w:r>
              <w:rPr>
                <w:sz w:val="20"/>
              </w:rPr>
              <w:t xml:space="preserve"> </w:t>
            </w:r>
            <w:r>
              <w:rPr>
                <w:i/>
                <w:spacing w:val="-3"/>
                <w:sz w:val="20"/>
              </w:rPr>
              <w:t>v</w:t>
            </w:r>
            <w:r>
              <w:rPr>
                <w:i/>
                <w:sz w:val="20"/>
              </w:rPr>
              <w:t>ersus</w:t>
            </w:r>
            <w:r>
              <w:rPr>
                <w:spacing w:val="-2"/>
                <w:sz w:val="20"/>
              </w:rPr>
              <w:t xml:space="preserve"> </w:t>
            </w:r>
            <w:r>
              <w:rPr>
                <w:spacing w:val="-4"/>
                <w:sz w:val="20"/>
              </w:rPr>
              <w:t>m</w:t>
            </w:r>
            <w:r>
              <w:rPr>
                <w:sz w:val="20"/>
              </w:rPr>
              <w:t>e</w:t>
            </w:r>
            <w:r>
              <w:rPr>
                <w:spacing w:val="1"/>
                <w:sz w:val="20"/>
              </w:rPr>
              <w:t>t</w:t>
            </w:r>
            <w:r>
              <w:rPr>
                <w:sz w:val="20"/>
              </w:rPr>
              <w:t>o</w:t>
            </w:r>
            <w:r>
              <w:rPr>
                <w:spacing w:val="1"/>
                <w:sz w:val="20"/>
              </w:rPr>
              <w:t>t</w:t>
            </w:r>
            <w:r>
              <w:rPr>
                <w:sz w:val="20"/>
              </w:rPr>
              <w:t>rex</w:t>
            </w:r>
            <w:r>
              <w:rPr>
                <w:spacing w:val="-3"/>
                <w:sz w:val="20"/>
              </w:rPr>
              <w:t>a</w:t>
            </w:r>
            <w:r>
              <w:rPr>
                <w:sz w:val="20"/>
              </w:rPr>
              <w:t>t</w:t>
            </w:r>
          </w:p>
          <w:p w14:paraId="1EA91F39"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c</w:t>
            </w:r>
            <w:r>
              <w:rPr>
                <w:sz w:val="20"/>
              </w:rPr>
              <w:t xml:space="preserve"> p &lt;0,</w:t>
            </w:r>
            <w:r>
              <w:rPr>
                <w:spacing w:val="-3"/>
                <w:sz w:val="20"/>
              </w:rPr>
              <w:t>0</w:t>
            </w:r>
            <w:r>
              <w:rPr>
                <w:sz w:val="20"/>
              </w:rPr>
              <w:t xml:space="preserve">1 </w:t>
            </w:r>
            <w:r>
              <w:rPr>
                <w:rFonts w:eastAsia="MS Mincho"/>
                <w:spacing w:val="-1"/>
                <w:sz w:val="20"/>
                <w:lang w:eastAsia="en-US" w:bidi="ar-SA"/>
              </w:rPr>
              <w:t>adalimumab</w:t>
            </w:r>
            <w:r>
              <w:rPr>
                <w:sz w:val="20"/>
              </w:rPr>
              <w:t xml:space="preserve"> </w:t>
            </w:r>
            <w:r>
              <w:rPr>
                <w:i/>
                <w:spacing w:val="-3"/>
                <w:sz w:val="20"/>
              </w:rPr>
              <w:t>v</w:t>
            </w:r>
            <w:r>
              <w:rPr>
                <w:i/>
                <w:sz w:val="20"/>
              </w:rPr>
              <w:t>ers</w:t>
            </w:r>
            <w:r>
              <w:rPr>
                <w:i/>
                <w:spacing w:val="-3"/>
                <w:sz w:val="20"/>
              </w:rPr>
              <w:t>u</w:t>
            </w:r>
            <w:r>
              <w:rPr>
                <w:i/>
                <w:sz w:val="20"/>
              </w:rPr>
              <w:t>s</w:t>
            </w:r>
            <w:r>
              <w:rPr>
                <w:sz w:val="20"/>
              </w:rPr>
              <w:t xml:space="preserve"> p</w:t>
            </w:r>
            <w:r>
              <w:rPr>
                <w:spacing w:val="-2"/>
                <w:sz w:val="20"/>
              </w:rPr>
              <w:t>l</w:t>
            </w:r>
            <w:r>
              <w:rPr>
                <w:spacing w:val="-3"/>
                <w:sz w:val="20"/>
              </w:rPr>
              <w:t>a</w:t>
            </w:r>
            <w:r>
              <w:rPr>
                <w:sz w:val="20"/>
              </w:rPr>
              <w:t>cebo</w:t>
            </w:r>
          </w:p>
          <w:p w14:paraId="591F86F3"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d</w:t>
            </w:r>
            <w:r>
              <w:rPr>
                <w:sz w:val="20"/>
              </w:rPr>
              <w:t xml:space="preserve"> p &lt;0,05 </w:t>
            </w:r>
            <w:r>
              <w:rPr>
                <w:rFonts w:eastAsia="MS Mincho"/>
                <w:spacing w:val="-1"/>
                <w:sz w:val="20"/>
                <w:lang w:eastAsia="en-US" w:bidi="ar-SA"/>
              </w:rPr>
              <w:t>adalimumab</w:t>
            </w:r>
            <w:r>
              <w:rPr>
                <w:sz w:val="20"/>
              </w:rPr>
              <w:t xml:space="preserve"> </w:t>
            </w:r>
            <w:r>
              <w:rPr>
                <w:i/>
                <w:spacing w:val="-3"/>
                <w:sz w:val="20"/>
              </w:rPr>
              <w:t>v</w:t>
            </w:r>
            <w:r>
              <w:rPr>
                <w:i/>
                <w:sz w:val="20"/>
              </w:rPr>
              <w:t>e</w:t>
            </w:r>
            <w:r>
              <w:rPr>
                <w:i/>
                <w:spacing w:val="-2"/>
                <w:sz w:val="20"/>
              </w:rPr>
              <w:t>r</w:t>
            </w:r>
            <w:r>
              <w:rPr>
                <w:i/>
                <w:sz w:val="20"/>
              </w:rPr>
              <w:t>sus</w:t>
            </w:r>
            <w:r>
              <w:rPr>
                <w:sz w:val="20"/>
              </w:rPr>
              <w:t xml:space="preserve"> </w:t>
            </w:r>
            <w:r>
              <w:rPr>
                <w:spacing w:val="-4"/>
                <w:sz w:val="20"/>
              </w:rPr>
              <w:t>m</w:t>
            </w:r>
            <w:r>
              <w:rPr>
                <w:sz w:val="20"/>
              </w:rPr>
              <w:t>e</w:t>
            </w:r>
            <w:r>
              <w:rPr>
                <w:spacing w:val="1"/>
                <w:sz w:val="20"/>
              </w:rPr>
              <w:t>t</w:t>
            </w:r>
            <w:r>
              <w:rPr>
                <w:sz w:val="20"/>
              </w:rPr>
              <w:t>o</w:t>
            </w:r>
            <w:r>
              <w:rPr>
                <w:spacing w:val="-2"/>
                <w:sz w:val="20"/>
              </w:rPr>
              <w:t>t</w:t>
            </w:r>
            <w:r>
              <w:rPr>
                <w:sz w:val="20"/>
              </w:rPr>
              <w:t>rex</w:t>
            </w:r>
            <w:r>
              <w:rPr>
                <w:spacing w:val="-3"/>
                <w:sz w:val="20"/>
              </w:rPr>
              <w:t>a</w:t>
            </w:r>
            <w:r>
              <w:rPr>
                <w:sz w:val="20"/>
              </w:rPr>
              <w:t>t</w:t>
            </w:r>
          </w:p>
        </w:tc>
      </w:tr>
    </w:tbl>
    <w:p w14:paraId="0A2F875C" w14:textId="77777777" w:rsidR="00C04CAD" w:rsidRDefault="00C04CAD">
      <w:pPr>
        <w:autoSpaceDE w:val="0"/>
        <w:autoSpaceDN w:val="0"/>
        <w:adjustRightInd w:val="0"/>
        <w:spacing w:line="240" w:lineRule="auto"/>
        <w:rPr>
          <w:szCs w:val="22"/>
        </w:rPr>
      </w:pPr>
    </w:p>
    <w:p w14:paraId="5C689921"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lastRenderedPageBreak/>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zCs w:val="22"/>
        </w:rPr>
        <w:t>I</w:t>
      </w:r>
      <w:r>
        <w:rPr>
          <w:spacing w:val="-4"/>
          <w:szCs w:val="22"/>
        </w:rPr>
        <w:t xml:space="preserve"> </w:t>
      </w:r>
      <w:r>
        <w:rPr>
          <w:szCs w:val="22"/>
        </w:rPr>
        <w:t>cu pr</w:t>
      </w:r>
      <w:r>
        <w:rPr>
          <w:spacing w:val="1"/>
          <w:szCs w:val="22"/>
        </w:rPr>
        <w:t>i</w:t>
      </w:r>
      <w:r>
        <w:rPr>
          <w:spacing w:val="-3"/>
          <w:szCs w:val="22"/>
        </w:rPr>
        <w:t>v</w:t>
      </w:r>
      <w:r>
        <w:rPr>
          <w:spacing w:val="1"/>
          <w:szCs w:val="22"/>
        </w:rPr>
        <w:t>i</w:t>
      </w:r>
      <w:r>
        <w:rPr>
          <w:spacing w:val="-2"/>
          <w:szCs w:val="22"/>
        </w:rPr>
        <w:t>r</w:t>
      </w:r>
      <w:r>
        <w:rPr>
          <w:szCs w:val="22"/>
        </w:rPr>
        <w:t xml:space="preserve">e </w:t>
      </w:r>
      <w:r>
        <w:rPr>
          <w:spacing w:val="-2"/>
          <w:szCs w:val="22"/>
        </w:rPr>
        <w:t>l</w:t>
      </w:r>
      <w:r>
        <w:rPr>
          <w:szCs w:val="22"/>
        </w:rPr>
        <w:t>a p</w:t>
      </w:r>
      <w:r>
        <w:rPr>
          <w:spacing w:val="-2"/>
          <w:szCs w:val="22"/>
        </w:rPr>
        <w:t>s</w:t>
      </w:r>
      <w:r>
        <w:rPr>
          <w:szCs w:val="22"/>
        </w:rPr>
        <w:t>or</w:t>
      </w:r>
      <w:r>
        <w:rPr>
          <w:spacing w:val="1"/>
          <w:szCs w:val="22"/>
        </w:rPr>
        <w:t>i</w:t>
      </w:r>
      <w:r>
        <w:rPr>
          <w:szCs w:val="22"/>
        </w:rPr>
        <w:t>a</w:t>
      </w:r>
      <w:r>
        <w:rPr>
          <w:spacing w:val="-3"/>
          <w:szCs w:val="22"/>
        </w:rPr>
        <w:t>z</w:t>
      </w:r>
      <w:r>
        <w:rPr>
          <w:spacing w:val="-2"/>
          <w:szCs w:val="22"/>
        </w:rPr>
        <w:t>i</w:t>
      </w:r>
      <w:r>
        <w:rPr>
          <w:szCs w:val="22"/>
        </w:rPr>
        <w:t>s, 2</w:t>
      </w:r>
      <w:r>
        <w:rPr>
          <w:spacing w:val="-3"/>
          <w:szCs w:val="22"/>
        </w:rPr>
        <w:t>8</w:t>
      </w:r>
      <w:r>
        <w:rPr>
          <w:szCs w:val="22"/>
        </w:rPr>
        <w:t>%</w:t>
      </w:r>
      <w:r>
        <w:rPr>
          <w:spacing w:val="1"/>
          <w:szCs w:val="22"/>
        </w:rPr>
        <w:t xml:space="preserve"> </w:t>
      </w:r>
      <w:r>
        <w:rPr>
          <w:spacing w:val="-3"/>
          <w:szCs w:val="22"/>
        </w:rPr>
        <w:t>d</w:t>
      </w:r>
      <w:r>
        <w:rPr>
          <w:spacing w:val="1"/>
          <w:szCs w:val="22"/>
        </w:rPr>
        <w:t>i</w:t>
      </w:r>
      <w:r>
        <w:rPr>
          <w:szCs w:val="22"/>
        </w:rPr>
        <w:t>n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pacing w:val="-3"/>
          <w:szCs w:val="22"/>
        </w:rPr>
        <w:t>c</w:t>
      </w:r>
      <w:r>
        <w:rPr>
          <w:szCs w:val="22"/>
        </w:rPr>
        <w:t xml:space="preserve">are </w:t>
      </w:r>
      <w:r>
        <w:rPr>
          <w:spacing w:val="-3"/>
          <w:szCs w:val="22"/>
        </w:rPr>
        <w:t>a</w:t>
      </w:r>
      <w:r>
        <w:rPr>
          <w:szCs w:val="22"/>
        </w:rPr>
        <w:t xml:space="preserve">u </w:t>
      </w:r>
      <w:r>
        <w:rPr>
          <w:spacing w:val="-2"/>
          <w:szCs w:val="22"/>
        </w:rPr>
        <w:t>r</w:t>
      </w:r>
      <w:r>
        <w:rPr>
          <w:szCs w:val="22"/>
        </w:rPr>
        <w:t>ăspu</w:t>
      </w:r>
      <w:r>
        <w:rPr>
          <w:spacing w:val="-3"/>
          <w:szCs w:val="22"/>
        </w:rPr>
        <w:t>n</w:t>
      </w:r>
      <w:r>
        <w:rPr>
          <w:szCs w:val="22"/>
        </w:rPr>
        <w:t xml:space="preserve">s </w:t>
      </w:r>
      <w:r>
        <w:rPr>
          <w:spacing w:val="-1"/>
          <w:szCs w:val="22"/>
        </w:rPr>
        <w:t>PAS</w:t>
      </w:r>
      <w:r>
        <w:rPr>
          <w:szCs w:val="22"/>
        </w:rPr>
        <w:t>I</w:t>
      </w:r>
      <w:r>
        <w:rPr>
          <w:spacing w:val="-4"/>
          <w:szCs w:val="22"/>
        </w:rPr>
        <w:t xml:space="preserve"> </w:t>
      </w:r>
      <w:r>
        <w:rPr>
          <w:szCs w:val="22"/>
        </w:rPr>
        <w:t>75 şi</w:t>
      </w:r>
      <w:r>
        <w:rPr>
          <w:spacing w:val="1"/>
          <w:szCs w:val="22"/>
        </w:rPr>
        <w:t xml:space="preserve"> </w:t>
      </w:r>
      <w:r>
        <w:rPr>
          <w:spacing w:val="-3"/>
          <w:szCs w:val="22"/>
        </w:rPr>
        <w:t>a</w:t>
      </w:r>
      <w:r>
        <w:rPr>
          <w:szCs w:val="22"/>
        </w:rPr>
        <w:t>u fo</w:t>
      </w:r>
      <w:r>
        <w:rPr>
          <w:spacing w:val="-2"/>
          <w:szCs w:val="22"/>
        </w:rPr>
        <w:t>s</w:t>
      </w:r>
      <w:r>
        <w:rPr>
          <w:szCs w:val="22"/>
        </w:rPr>
        <w:t>t</w:t>
      </w:r>
      <w:r>
        <w:rPr>
          <w:spacing w:val="1"/>
          <w:szCs w:val="22"/>
        </w:rPr>
        <w:t xml:space="preserve"> </w:t>
      </w:r>
      <w:r>
        <w:rPr>
          <w:spacing w:val="-2"/>
          <w:szCs w:val="22"/>
        </w:rPr>
        <w:t>r</w:t>
      </w:r>
      <w:r>
        <w:rPr>
          <w:szCs w:val="22"/>
        </w:rPr>
        <w:t>e</w:t>
      </w:r>
      <w:r>
        <w:rPr>
          <w:spacing w:val="-4"/>
          <w:szCs w:val="22"/>
        </w:rPr>
        <w:t>-</w:t>
      </w:r>
      <w:r>
        <w:rPr>
          <w:szCs w:val="22"/>
        </w:rPr>
        <w:t>rando</w:t>
      </w:r>
      <w:r>
        <w:rPr>
          <w:spacing w:val="-4"/>
          <w:szCs w:val="22"/>
        </w:rPr>
        <w:t>m</w:t>
      </w:r>
      <w:r>
        <w:rPr>
          <w:spacing w:val="1"/>
          <w:szCs w:val="22"/>
        </w:rPr>
        <w:t>i</w:t>
      </w:r>
      <w:r>
        <w:rPr>
          <w:spacing w:val="-3"/>
          <w:szCs w:val="22"/>
        </w:rPr>
        <w:t>z</w:t>
      </w:r>
      <w:r>
        <w:rPr>
          <w:szCs w:val="22"/>
        </w:rPr>
        <w:t>a</w:t>
      </w:r>
      <w:r>
        <w:rPr>
          <w:spacing w:val="1"/>
          <w:szCs w:val="22"/>
        </w:rPr>
        <w:t>ţ</w:t>
      </w:r>
      <w:r>
        <w:rPr>
          <w:szCs w:val="22"/>
        </w:rPr>
        <w:t>i cu p</w:t>
      </w:r>
      <w:r>
        <w:rPr>
          <w:spacing w:val="-2"/>
          <w:szCs w:val="22"/>
        </w:rPr>
        <w:t>l</w:t>
      </w:r>
      <w:r>
        <w:rPr>
          <w:szCs w:val="22"/>
        </w:rPr>
        <w:t>ace</w:t>
      </w:r>
      <w:r>
        <w:rPr>
          <w:spacing w:val="-3"/>
          <w:szCs w:val="22"/>
        </w:rPr>
        <w:t>b</w:t>
      </w:r>
      <w:r>
        <w:rPr>
          <w:szCs w:val="22"/>
        </w:rPr>
        <w:t xml:space="preserve">o </w:t>
      </w:r>
      <w:r>
        <w:rPr>
          <w:spacing w:val="1"/>
          <w:szCs w:val="22"/>
        </w:rPr>
        <w:t>î</w:t>
      </w:r>
      <w:r>
        <w:rPr>
          <w:szCs w:val="22"/>
        </w:rP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33 co</w:t>
      </w:r>
      <w:r>
        <w:rPr>
          <w:spacing w:val="-4"/>
          <w:szCs w:val="22"/>
        </w:rPr>
        <w:t>m</w:t>
      </w:r>
      <w:r>
        <w:rPr>
          <w:szCs w:val="22"/>
        </w:rPr>
        <w:t>para</w:t>
      </w:r>
      <w:r>
        <w:rPr>
          <w:spacing w:val="-2"/>
          <w:szCs w:val="22"/>
        </w:rPr>
        <w:t>t</w:t>
      </w:r>
      <w:r>
        <w:rPr>
          <w:spacing w:val="1"/>
          <w:szCs w:val="22"/>
        </w:rPr>
        <w:t>i</w:t>
      </w:r>
      <w:r>
        <w:rPr>
          <w:szCs w:val="22"/>
        </w:rPr>
        <w:t>v</w:t>
      </w:r>
      <w:r>
        <w:rPr>
          <w:spacing w:val="-3"/>
          <w:szCs w:val="22"/>
        </w:rPr>
        <w:t xml:space="preserve"> </w:t>
      </w:r>
      <w:r>
        <w:rPr>
          <w:szCs w:val="22"/>
        </w:rPr>
        <w:t>cu 5%</w:t>
      </w:r>
      <w:r>
        <w:rPr>
          <w:spacing w:val="-2"/>
          <w:szCs w:val="22"/>
        </w:rPr>
        <w:t xml:space="preserve"> </w:t>
      </w:r>
      <w:r>
        <w:rPr>
          <w:szCs w:val="22"/>
        </w:rPr>
        <w:t>c</w:t>
      </w:r>
      <w:r>
        <w:rPr>
          <w:spacing w:val="-3"/>
          <w:szCs w:val="22"/>
        </w:rPr>
        <w:t>a</w:t>
      </w:r>
      <w:r>
        <w:rPr>
          <w:szCs w:val="22"/>
        </w:rPr>
        <w:t>re au</w:t>
      </w:r>
      <w:r>
        <w:rPr>
          <w:spacing w:val="-3"/>
          <w:szCs w:val="22"/>
        </w:rPr>
        <w:t xml:space="preserve"> </w:t>
      </w:r>
      <w:r>
        <w:rPr>
          <w:szCs w:val="22"/>
        </w:rPr>
        <w:t>con</w:t>
      </w:r>
      <w:r>
        <w:rPr>
          <w:spacing w:val="-2"/>
          <w:szCs w:val="22"/>
        </w:rPr>
        <w:t>t</w:t>
      </w:r>
      <w:r>
        <w:rPr>
          <w:spacing w:val="1"/>
          <w:szCs w:val="22"/>
        </w:rPr>
        <w:t>i</w:t>
      </w:r>
      <w:r>
        <w:rPr>
          <w:szCs w:val="22"/>
        </w:rPr>
        <w:t>nu</w:t>
      </w:r>
      <w:r>
        <w:rPr>
          <w:spacing w:val="-3"/>
          <w:szCs w:val="22"/>
        </w:rPr>
        <w:t>a</w:t>
      </w:r>
      <w:r>
        <w:rPr>
          <w:szCs w:val="22"/>
        </w:rPr>
        <w:t>t</w:t>
      </w:r>
      <w:r>
        <w:rPr>
          <w:spacing w:val="1"/>
          <w:szCs w:val="22"/>
        </w:rPr>
        <w:t xml:space="preserve"> </w:t>
      </w:r>
      <w:r>
        <w:rPr>
          <w:rFonts w:eastAsia="MS Mincho"/>
          <w:spacing w:val="-1"/>
          <w:szCs w:val="22"/>
          <w:lang w:eastAsia="en-US" w:bidi="ar-SA"/>
        </w:rPr>
        <w:t>adalimumab</w:t>
      </w:r>
      <w:r>
        <w:rPr>
          <w:szCs w:val="22"/>
        </w:rPr>
        <w:t>, p</w:t>
      </w:r>
      <w:r>
        <w:rPr>
          <w:spacing w:val="-3"/>
          <w:szCs w:val="22"/>
        </w:rPr>
        <w:t xml:space="preserve"> </w:t>
      </w:r>
      <w:r>
        <w:rPr>
          <w:szCs w:val="22"/>
        </w:rPr>
        <w:t>&lt;0,0</w:t>
      </w:r>
      <w:r>
        <w:rPr>
          <w:spacing w:val="-3"/>
          <w:szCs w:val="22"/>
        </w:rPr>
        <w:t>0</w:t>
      </w:r>
      <w:r>
        <w:rPr>
          <w:szCs w:val="22"/>
        </w:rPr>
        <w:t xml:space="preserve">1, au </w:t>
      </w:r>
      <w:r>
        <w:rPr>
          <w:spacing w:val="-2"/>
          <w:szCs w:val="22"/>
        </w:rPr>
        <w:t>f</w:t>
      </w:r>
      <w:r>
        <w:rPr>
          <w:szCs w:val="22"/>
        </w:rPr>
        <w:t>ost</w:t>
      </w:r>
      <w:r>
        <w:rPr>
          <w:spacing w:val="-2"/>
          <w:szCs w:val="22"/>
        </w:rPr>
        <w:t xml:space="preserve"> </w:t>
      </w:r>
      <w:r>
        <w:rPr>
          <w:szCs w:val="22"/>
        </w:rPr>
        <w:t>c</w:t>
      </w:r>
      <w:r>
        <w:rPr>
          <w:spacing w:val="-3"/>
          <w:szCs w:val="22"/>
        </w:rPr>
        <w:t>a</w:t>
      </w:r>
      <w:r>
        <w:rPr>
          <w:spacing w:val="1"/>
          <w:szCs w:val="22"/>
        </w:rPr>
        <w:t>l</w:t>
      </w:r>
      <w:r>
        <w:rPr>
          <w:spacing w:val="-2"/>
          <w:szCs w:val="22"/>
        </w:rPr>
        <w:t>i</w:t>
      </w:r>
      <w:r>
        <w:rPr>
          <w:szCs w:val="22"/>
        </w:rPr>
        <w:t>f</w:t>
      </w:r>
      <w:r>
        <w:rPr>
          <w:spacing w:val="1"/>
          <w:szCs w:val="22"/>
        </w:rPr>
        <w:t>i</w:t>
      </w:r>
      <w:r>
        <w:rPr>
          <w:spacing w:val="-3"/>
          <w:szCs w:val="22"/>
        </w:rPr>
        <w:t>c</w:t>
      </w:r>
      <w:r>
        <w:rPr>
          <w:szCs w:val="22"/>
        </w:rPr>
        <w:t>a</w:t>
      </w:r>
      <w:r>
        <w:rPr>
          <w:spacing w:val="-2"/>
          <w:szCs w:val="22"/>
        </w:rPr>
        <w:t>ţ</w:t>
      </w:r>
      <w:r>
        <w:rPr>
          <w:szCs w:val="22"/>
        </w:rPr>
        <w:t>i cu “</w:t>
      </w:r>
      <w:r>
        <w:rPr>
          <w:spacing w:val="-3"/>
          <w:szCs w:val="22"/>
        </w:rPr>
        <w:t>p</w:t>
      </w:r>
      <w:r>
        <w:rPr>
          <w:spacing w:val="1"/>
          <w:szCs w:val="22"/>
        </w:rPr>
        <w:t>i</w:t>
      </w:r>
      <w:r>
        <w:rPr>
          <w:szCs w:val="22"/>
        </w:rPr>
        <w:t>e</w:t>
      </w:r>
      <w:r>
        <w:rPr>
          <w:spacing w:val="-2"/>
          <w:szCs w:val="22"/>
        </w:rPr>
        <w:t>r</w:t>
      </w:r>
      <w:r>
        <w:rPr>
          <w:szCs w:val="22"/>
        </w:rPr>
        <w:t>de</w:t>
      </w:r>
      <w:r>
        <w:rPr>
          <w:spacing w:val="-2"/>
          <w:szCs w:val="22"/>
        </w:rPr>
        <w:t>r</w:t>
      </w:r>
      <w:r>
        <w:rPr>
          <w:szCs w:val="22"/>
        </w:rPr>
        <w:t xml:space="preserve">ea </w:t>
      </w:r>
      <w:r>
        <w:rPr>
          <w:spacing w:val="-2"/>
          <w:szCs w:val="22"/>
        </w:rPr>
        <w:t>r</w:t>
      </w:r>
      <w:r>
        <w:rPr>
          <w:szCs w:val="22"/>
        </w:rPr>
        <w:t>ăsp</w:t>
      </w:r>
      <w:r>
        <w:rPr>
          <w:spacing w:val="-3"/>
          <w:szCs w:val="22"/>
        </w:rPr>
        <w:t>u</w:t>
      </w:r>
      <w:r>
        <w:rPr>
          <w:szCs w:val="22"/>
        </w:rPr>
        <w:t>ns</w:t>
      </w:r>
      <w:r>
        <w:rPr>
          <w:spacing w:val="-3"/>
          <w:szCs w:val="22"/>
        </w:rPr>
        <w:t>u</w:t>
      </w:r>
      <w:r>
        <w:rPr>
          <w:spacing w:val="1"/>
          <w:szCs w:val="22"/>
        </w:rPr>
        <w:t>l</w:t>
      </w:r>
      <w:r>
        <w:rPr>
          <w:szCs w:val="22"/>
        </w:rPr>
        <w:t>ui</w:t>
      </w:r>
      <w:r>
        <w:rPr>
          <w:spacing w:val="-2"/>
          <w:szCs w:val="22"/>
        </w:rPr>
        <w:t xml:space="preserve"> </w:t>
      </w:r>
      <w:r>
        <w:rPr>
          <w:spacing w:val="-3"/>
          <w:szCs w:val="22"/>
        </w:rPr>
        <w:t>c</w:t>
      </w:r>
      <w:r>
        <w:rPr>
          <w:szCs w:val="22"/>
        </w:rPr>
        <w:t>ores</w:t>
      </w:r>
      <w:r>
        <w:rPr>
          <w:spacing w:val="-3"/>
          <w:szCs w:val="22"/>
        </w:rPr>
        <w:t>p</w:t>
      </w:r>
      <w:r>
        <w:rPr>
          <w:szCs w:val="22"/>
        </w:rPr>
        <w:t>un</w:t>
      </w:r>
      <w:r>
        <w:rPr>
          <w:spacing w:val="-3"/>
          <w:szCs w:val="22"/>
        </w:rPr>
        <w:t>z</w:t>
      </w:r>
      <w:r>
        <w:rPr>
          <w:szCs w:val="22"/>
        </w:rPr>
        <w:t>ă</w:t>
      </w:r>
      <w:r>
        <w:rPr>
          <w:spacing w:val="1"/>
          <w:szCs w:val="22"/>
        </w:rPr>
        <w:t>t</w:t>
      </w:r>
      <w:r>
        <w:rPr>
          <w:spacing w:val="-3"/>
          <w:szCs w:val="22"/>
        </w:rPr>
        <w:t>o</w:t>
      </w:r>
      <w:r>
        <w:rPr>
          <w:szCs w:val="22"/>
        </w:rPr>
        <w:t xml:space="preserve">r” </w:t>
      </w:r>
      <w:r>
        <w:rPr>
          <w:spacing w:val="-2"/>
          <w:szCs w:val="22"/>
        </w:rPr>
        <w:t>(</w:t>
      </w:r>
      <w:r>
        <w:rPr>
          <w:szCs w:val="22"/>
        </w:rPr>
        <w:t>sc</w:t>
      </w:r>
      <w:r>
        <w:rPr>
          <w:spacing w:val="-3"/>
          <w:szCs w:val="22"/>
        </w:rPr>
        <w:t>o</w:t>
      </w:r>
      <w:r>
        <w:rPr>
          <w:szCs w:val="22"/>
        </w:rPr>
        <w:t>rul</w:t>
      </w:r>
      <w:r>
        <w:rPr>
          <w:spacing w:val="1"/>
          <w:szCs w:val="22"/>
        </w:rPr>
        <w:t xml:space="preserve"> </w:t>
      </w:r>
      <w:r>
        <w:rPr>
          <w:spacing w:val="-1"/>
          <w:szCs w:val="22"/>
        </w:rPr>
        <w:t>PAS</w:t>
      </w:r>
      <w:r>
        <w:rPr>
          <w:szCs w:val="22"/>
        </w:rPr>
        <w:t>I</w:t>
      </w:r>
      <w:r>
        <w:rPr>
          <w:spacing w:val="-4"/>
          <w:szCs w:val="22"/>
        </w:rPr>
        <w:t xml:space="preserve"> </w:t>
      </w:r>
      <w:r>
        <w:rPr>
          <w:szCs w:val="22"/>
        </w:rPr>
        <w:t xml:space="preserve">după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33</w:t>
      </w:r>
      <w:r>
        <w:rPr>
          <w:spacing w:val="-3"/>
          <w:szCs w:val="22"/>
        </w:rPr>
        <w:t xml:space="preserve"> </w:t>
      </w:r>
      <w:r>
        <w:rPr>
          <w:szCs w:val="22"/>
        </w:rPr>
        <w:t>şi</w:t>
      </w:r>
      <w:r>
        <w:rPr>
          <w:spacing w:val="-2"/>
          <w:szCs w:val="22"/>
        </w:rPr>
        <w:t xml:space="preserve"> </w:t>
      </w:r>
      <w:r>
        <w:rPr>
          <w:spacing w:val="1"/>
          <w:szCs w:val="22"/>
        </w:rPr>
        <w:t>î</w:t>
      </w:r>
      <w:r>
        <w:rPr>
          <w:szCs w:val="22"/>
        </w:rPr>
        <w:t xml:space="preserve">n </w:t>
      </w:r>
      <w:r>
        <w:rPr>
          <w:spacing w:val="-2"/>
          <w:szCs w:val="22"/>
        </w:rPr>
        <w:t>s</w:t>
      </w:r>
      <w:r>
        <w:rPr>
          <w:spacing w:val="-3"/>
          <w:szCs w:val="22"/>
        </w:rPr>
        <w:t>a</w:t>
      </w:r>
      <w:r>
        <w:rPr>
          <w:szCs w:val="22"/>
        </w:rPr>
        <w:t xml:space="preserve">u </w:t>
      </w:r>
      <w:r>
        <w:rPr>
          <w:spacing w:val="1"/>
          <w:szCs w:val="22"/>
        </w:rPr>
        <w:t>î</w:t>
      </w:r>
      <w:r>
        <w:rPr>
          <w:szCs w:val="22"/>
        </w:rPr>
        <w:t>n</w:t>
      </w:r>
      <w:r>
        <w:rPr>
          <w:spacing w:val="-3"/>
          <w:szCs w:val="22"/>
        </w:rPr>
        <w:t>a</w:t>
      </w:r>
      <w:r>
        <w:rPr>
          <w:spacing w:val="1"/>
          <w:szCs w:val="22"/>
        </w:rPr>
        <w:t>i</w:t>
      </w:r>
      <w:r>
        <w:rPr>
          <w:szCs w:val="22"/>
        </w:rPr>
        <w:t>n</w:t>
      </w:r>
      <w:r>
        <w:rPr>
          <w:spacing w:val="-2"/>
          <w:szCs w:val="22"/>
        </w:rPr>
        <w:t>t</w:t>
      </w:r>
      <w:r>
        <w:rPr>
          <w:szCs w:val="22"/>
        </w:rPr>
        <w:t xml:space="preserve">e de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52</w:t>
      </w:r>
      <w:r>
        <w:rPr>
          <w:spacing w:val="-3"/>
          <w:szCs w:val="22"/>
        </w:rPr>
        <w:t xml:space="preserve"> </w:t>
      </w:r>
      <w:r>
        <w:rPr>
          <w:szCs w:val="22"/>
        </w:rPr>
        <w:t>a a</w:t>
      </w:r>
      <w:r>
        <w:rPr>
          <w:spacing w:val="-3"/>
          <w:szCs w:val="22"/>
        </w:rPr>
        <w:t>v</w:t>
      </w:r>
      <w:r>
        <w:rPr>
          <w:szCs w:val="22"/>
        </w:rPr>
        <w:t>ut</w:t>
      </w:r>
      <w:r>
        <w:rPr>
          <w:spacing w:val="1"/>
          <w:szCs w:val="22"/>
        </w:rPr>
        <w:t xml:space="preserve"> </w:t>
      </w:r>
      <w:r>
        <w:rPr>
          <w:spacing w:val="-3"/>
          <w:szCs w:val="22"/>
        </w:rPr>
        <w:t>c</w:t>
      </w:r>
      <w:r>
        <w:rPr>
          <w:szCs w:val="22"/>
        </w:rPr>
        <w:t>a re</w:t>
      </w:r>
      <w:r>
        <w:rPr>
          <w:spacing w:val="-5"/>
          <w:szCs w:val="22"/>
        </w:rPr>
        <w:t>z</w:t>
      </w:r>
      <w:r>
        <w:rPr>
          <w:szCs w:val="22"/>
        </w:rPr>
        <w:t>u</w:t>
      </w:r>
      <w:r>
        <w:rPr>
          <w:spacing w:val="1"/>
          <w:szCs w:val="22"/>
        </w:rPr>
        <w:t>l</w:t>
      </w:r>
      <w:r>
        <w:rPr>
          <w:spacing w:val="-2"/>
          <w:szCs w:val="22"/>
        </w:rPr>
        <w:t>t</w:t>
      </w:r>
      <w:r>
        <w:rPr>
          <w:szCs w:val="22"/>
        </w:rPr>
        <w:t>at</w:t>
      </w:r>
      <w:r>
        <w:rPr>
          <w:spacing w:val="1"/>
          <w:szCs w:val="22"/>
        </w:rPr>
        <w:t xml:space="preserve"> </w:t>
      </w:r>
      <w:r>
        <w:rPr>
          <w:szCs w:val="22"/>
        </w:rPr>
        <w:t>un</w:t>
      </w:r>
      <w:r>
        <w:rPr>
          <w:spacing w:val="-3"/>
          <w:szCs w:val="22"/>
        </w:rPr>
        <w:t xml:space="preserve"> </w:t>
      </w:r>
      <w:r>
        <w:rPr>
          <w:szCs w:val="22"/>
        </w:rPr>
        <w:t>r</w:t>
      </w:r>
      <w:r>
        <w:rPr>
          <w:spacing w:val="-3"/>
          <w:szCs w:val="22"/>
        </w:rPr>
        <w:t>ă</w:t>
      </w:r>
      <w:r>
        <w:rPr>
          <w:szCs w:val="22"/>
        </w:rPr>
        <w:t>spuns</w:t>
      </w:r>
      <w:r>
        <w:rPr>
          <w:spacing w:val="-2"/>
          <w:szCs w:val="22"/>
        </w:rPr>
        <w:t xml:space="preserve"> </w:t>
      </w:r>
      <w:r>
        <w:rPr>
          <w:szCs w:val="22"/>
        </w:rPr>
        <w:t>&lt;</w:t>
      </w:r>
      <w:r>
        <w:rPr>
          <w:spacing w:val="-1"/>
          <w:szCs w:val="22"/>
        </w:rPr>
        <w:t>PAS</w:t>
      </w:r>
      <w:r>
        <w:rPr>
          <w:szCs w:val="22"/>
        </w:rPr>
        <w:t>I</w:t>
      </w:r>
      <w:r>
        <w:rPr>
          <w:spacing w:val="-4"/>
          <w:szCs w:val="22"/>
        </w:rPr>
        <w:t xml:space="preserve"> </w:t>
      </w:r>
      <w:r>
        <w:rPr>
          <w:szCs w:val="22"/>
        </w:rPr>
        <w:t>50 fa</w:t>
      </w:r>
      <w:r>
        <w:rPr>
          <w:spacing w:val="1"/>
          <w:szCs w:val="22"/>
        </w:rPr>
        <w:t>ţ</w:t>
      </w:r>
      <w:r>
        <w:rPr>
          <w:szCs w:val="22"/>
        </w:rPr>
        <w:t xml:space="preserve">ă </w:t>
      </w:r>
      <w:r>
        <w:rPr>
          <w:spacing w:val="-3"/>
          <w:szCs w:val="22"/>
        </w:rPr>
        <w:t>d</w:t>
      </w:r>
      <w:r>
        <w:rPr>
          <w:szCs w:val="22"/>
        </w:rPr>
        <w:t xml:space="preserve">e </w:t>
      </w:r>
      <w:r>
        <w:rPr>
          <w:spacing w:val="-3"/>
          <w:szCs w:val="22"/>
        </w:rPr>
        <w:t>v</w:t>
      </w:r>
      <w:r>
        <w:rPr>
          <w:szCs w:val="22"/>
        </w:rPr>
        <w:t>a</w:t>
      </w:r>
      <w:r>
        <w:rPr>
          <w:spacing w:val="1"/>
          <w:szCs w:val="22"/>
        </w:rPr>
        <w:t>l</w:t>
      </w:r>
      <w:r>
        <w:rPr>
          <w:szCs w:val="22"/>
        </w:rPr>
        <w:t>o</w:t>
      </w:r>
      <w:r>
        <w:rPr>
          <w:spacing w:val="-3"/>
          <w:szCs w:val="22"/>
        </w:rPr>
        <w:t>a</w:t>
      </w:r>
      <w:r>
        <w:rPr>
          <w:szCs w:val="22"/>
        </w:rPr>
        <w:t>rea</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pacing w:val="1"/>
          <w:szCs w:val="22"/>
        </w:rPr>
        <w:t>l</w:t>
      </w:r>
      <w:r>
        <w:rPr>
          <w:szCs w:val="22"/>
        </w:rPr>
        <w:t>ă cu</w:t>
      </w:r>
      <w:r>
        <w:rPr>
          <w:spacing w:val="-3"/>
          <w:szCs w:val="22"/>
        </w:rPr>
        <w:t xml:space="preserve"> </w:t>
      </w:r>
      <w:r>
        <w:rPr>
          <w:szCs w:val="22"/>
        </w:rPr>
        <w:t>o</w:t>
      </w:r>
      <w:r>
        <w:rPr>
          <w:spacing w:val="-3"/>
          <w:szCs w:val="22"/>
        </w:rPr>
        <w:t xml:space="preserve"> </w:t>
      </w:r>
      <w:r>
        <w:rPr>
          <w:szCs w:val="22"/>
        </w:rPr>
        <w:t>cre</w:t>
      </w:r>
      <w:r>
        <w:rPr>
          <w:spacing w:val="-2"/>
          <w:szCs w:val="22"/>
        </w:rPr>
        <w:t>ş</w:t>
      </w:r>
      <w:r>
        <w:rPr>
          <w:spacing w:val="1"/>
          <w:szCs w:val="22"/>
        </w:rPr>
        <w:t>t</w:t>
      </w:r>
      <w:r>
        <w:rPr>
          <w:spacing w:val="-3"/>
          <w:szCs w:val="22"/>
        </w:rPr>
        <w:t>e</w:t>
      </w:r>
      <w:r>
        <w:rPr>
          <w:szCs w:val="22"/>
        </w:rPr>
        <w:t xml:space="preserve">re </w:t>
      </w:r>
      <w:r>
        <w:rPr>
          <w:spacing w:val="-4"/>
          <w:szCs w:val="22"/>
        </w:rPr>
        <w:t>m</w:t>
      </w:r>
      <w:r>
        <w:rPr>
          <w:spacing w:val="1"/>
          <w:szCs w:val="22"/>
        </w:rPr>
        <w:t>i</w:t>
      </w:r>
      <w:r>
        <w:rPr>
          <w:szCs w:val="22"/>
        </w:rPr>
        <w:t>n</w:t>
      </w:r>
      <w:r>
        <w:rPr>
          <w:spacing w:val="1"/>
          <w:szCs w:val="22"/>
        </w:rPr>
        <w:t>i</w:t>
      </w:r>
      <w:r>
        <w:rPr>
          <w:spacing w:val="-4"/>
          <w:szCs w:val="22"/>
        </w:rPr>
        <w:t>m</w:t>
      </w:r>
      <w:r>
        <w:rPr>
          <w:szCs w:val="22"/>
        </w:rPr>
        <w:t>ă de 6 pun</w:t>
      </w:r>
      <w:r>
        <w:rPr>
          <w:spacing w:val="-3"/>
          <w:szCs w:val="22"/>
        </w:rPr>
        <w:t>c</w:t>
      </w:r>
      <w:r>
        <w:rPr>
          <w:spacing w:val="1"/>
          <w:szCs w:val="22"/>
        </w:rPr>
        <w:t>t</w:t>
      </w:r>
      <w:r>
        <w:rPr>
          <w:szCs w:val="22"/>
        </w:rPr>
        <w:t>e a</w:t>
      </w:r>
      <w:r>
        <w:rPr>
          <w:spacing w:val="-2"/>
          <w:szCs w:val="22"/>
        </w:rPr>
        <w:t xml:space="preserve"> </w:t>
      </w:r>
      <w:r>
        <w:rPr>
          <w:szCs w:val="22"/>
        </w:rPr>
        <w:t>sc</w:t>
      </w:r>
      <w:r>
        <w:rPr>
          <w:spacing w:val="-3"/>
          <w:szCs w:val="22"/>
        </w:rPr>
        <w:t>o</w:t>
      </w:r>
      <w:r>
        <w:rPr>
          <w:szCs w:val="22"/>
        </w:rPr>
        <w:t>ru</w:t>
      </w:r>
      <w:r>
        <w:rPr>
          <w:spacing w:val="1"/>
          <w:szCs w:val="22"/>
        </w:rPr>
        <w:t>l</w:t>
      </w:r>
      <w:r>
        <w:rPr>
          <w:spacing w:val="-3"/>
          <w:szCs w:val="22"/>
        </w:rPr>
        <w:t>u</w:t>
      </w:r>
      <w:r>
        <w:rPr>
          <w:szCs w:val="22"/>
        </w:rPr>
        <w:t>i</w:t>
      </w:r>
      <w:r>
        <w:rPr>
          <w:spacing w:val="1"/>
          <w:szCs w:val="22"/>
        </w:rPr>
        <w:t xml:space="preserve"> </w:t>
      </w:r>
      <w:r>
        <w:rPr>
          <w:spacing w:val="-1"/>
          <w:szCs w:val="22"/>
        </w:rPr>
        <w:t>PAS</w:t>
      </w:r>
      <w:r>
        <w:rPr>
          <w:szCs w:val="22"/>
        </w:rPr>
        <w:t>I</w:t>
      </w:r>
      <w:r>
        <w:rPr>
          <w:spacing w:val="-4"/>
          <w:szCs w:val="22"/>
        </w:rPr>
        <w:t xml:space="preserve"> </w:t>
      </w:r>
      <w:r>
        <w:rPr>
          <w:szCs w:val="22"/>
        </w:rPr>
        <w:t>fa</w:t>
      </w:r>
      <w:r>
        <w:rPr>
          <w:spacing w:val="1"/>
          <w:szCs w:val="22"/>
        </w:rPr>
        <w:t>ţ</w:t>
      </w:r>
      <w:r>
        <w:rPr>
          <w:szCs w:val="22"/>
        </w:rPr>
        <w:t xml:space="preserve">ă de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33). </w:t>
      </w:r>
      <w:r>
        <w:rPr>
          <w:spacing w:val="-3"/>
          <w:szCs w:val="22"/>
        </w:rPr>
        <w:t>3</w:t>
      </w:r>
      <w:r>
        <w:rPr>
          <w:szCs w:val="22"/>
        </w:rPr>
        <w:t>8%</w:t>
      </w:r>
      <w:r>
        <w:rPr>
          <w:spacing w:val="-2"/>
          <w:szCs w:val="22"/>
        </w:rPr>
        <w:t xml:space="preserve"> (</w:t>
      </w:r>
      <w:r>
        <w:rPr>
          <w:szCs w:val="22"/>
        </w:rPr>
        <w:t>25</w:t>
      </w:r>
      <w:r>
        <w:rPr>
          <w:spacing w:val="1"/>
          <w:szCs w:val="22"/>
        </w:rPr>
        <w:t>/</w:t>
      </w:r>
      <w:r>
        <w:rPr>
          <w:szCs w:val="22"/>
        </w:rPr>
        <w:t>6</w:t>
      </w:r>
      <w:r>
        <w:rPr>
          <w:spacing w:val="-3"/>
          <w:szCs w:val="22"/>
        </w:rPr>
        <w:t>6</w:t>
      </w:r>
      <w:r>
        <w:rPr>
          <w:szCs w:val="22"/>
        </w:rPr>
        <w:t>)</w:t>
      </w:r>
      <w:r>
        <w:rPr>
          <w:spacing w:val="1"/>
          <w:szCs w:val="22"/>
        </w:rPr>
        <w:t xml:space="preserve"> </w:t>
      </w:r>
      <w:r>
        <w:rPr>
          <w:spacing w:val="-2"/>
          <w:szCs w:val="22"/>
        </w:rPr>
        <w:t>ş</w:t>
      </w:r>
      <w:r>
        <w:rPr>
          <w:szCs w:val="22"/>
        </w:rPr>
        <w:t>i</w:t>
      </w:r>
      <w:r>
        <w:rPr>
          <w:spacing w:val="1"/>
          <w:szCs w:val="22"/>
        </w:rPr>
        <w:t xml:space="preserve"> </w:t>
      </w:r>
      <w:r>
        <w:rPr>
          <w:szCs w:val="22"/>
        </w:rPr>
        <w:t>5</w:t>
      </w:r>
      <w:r>
        <w:rPr>
          <w:spacing w:val="-3"/>
          <w:szCs w:val="22"/>
        </w:rPr>
        <w:t>5</w:t>
      </w:r>
      <w:r>
        <w:rPr>
          <w:szCs w:val="22"/>
        </w:rPr>
        <w:t>%</w:t>
      </w:r>
      <w:r>
        <w:rPr>
          <w:spacing w:val="1"/>
          <w:szCs w:val="22"/>
        </w:rPr>
        <w:t xml:space="preserve"> </w:t>
      </w:r>
      <w:r>
        <w:rPr>
          <w:szCs w:val="22"/>
        </w:rPr>
        <w:t>(</w:t>
      </w:r>
      <w:r>
        <w:rPr>
          <w:spacing w:val="-3"/>
          <w:szCs w:val="22"/>
        </w:rPr>
        <w:t>3</w:t>
      </w:r>
      <w:r>
        <w:rPr>
          <w:szCs w:val="22"/>
        </w:rPr>
        <w:t>6</w:t>
      </w:r>
      <w:r>
        <w:rPr>
          <w:spacing w:val="1"/>
          <w:szCs w:val="22"/>
        </w:rPr>
        <w:t>/</w:t>
      </w:r>
      <w:r>
        <w:rPr>
          <w:szCs w:val="22"/>
        </w:rPr>
        <w:t>6</w:t>
      </w:r>
      <w:r>
        <w:rPr>
          <w:spacing w:val="-3"/>
          <w:szCs w:val="22"/>
        </w:rPr>
        <w:t>6</w:t>
      </w:r>
      <w:r>
        <w:rPr>
          <w:szCs w:val="22"/>
        </w:rPr>
        <w:t>)</w:t>
      </w:r>
      <w:r>
        <w:rPr>
          <w:spacing w:val="1"/>
          <w:szCs w:val="22"/>
        </w:rPr>
        <w:t xml:space="preserve"> </w:t>
      </w:r>
      <w:r>
        <w:rPr>
          <w:spacing w:val="-3"/>
          <w:szCs w:val="22"/>
        </w:rPr>
        <w:t>d</w:t>
      </w:r>
      <w:r>
        <w:rPr>
          <w:spacing w:val="1"/>
          <w:szCs w:val="22"/>
        </w:rPr>
        <w:t>i</w:t>
      </w:r>
      <w:r>
        <w:rPr>
          <w:szCs w:val="22"/>
        </w:rPr>
        <w:t xml:space="preserve">n </w:t>
      </w:r>
      <w:r>
        <w:rPr>
          <w:spacing w:val="-3"/>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e au p</w:t>
      </w:r>
      <w:r>
        <w:rPr>
          <w:spacing w:val="1"/>
          <w:szCs w:val="22"/>
        </w:rPr>
        <w:t>i</w:t>
      </w:r>
      <w:r>
        <w:rPr>
          <w:szCs w:val="22"/>
        </w:rPr>
        <w:t>e</w:t>
      </w:r>
      <w:r>
        <w:rPr>
          <w:spacing w:val="-2"/>
          <w:szCs w:val="22"/>
        </w:rPr>
        <w:t>r</w:t>
      </w:r>
      <w:r>
        <w:rPr>
          <w:szCs w:val="22"/>
        </w:rPr>
        <w:t>dut</w:t>
      </w:r>
      <w:r>
        <w:rPr>
          <w:spacing w:val="-2"/>
          <w:szCs w:val="22"/>
        </w:rPr>
        <w:t xml:space="preserve"> </w:t>
      </w:r>
      <w:r>
        <w:rPr>
          <w:szCs w:val="22"/>
        </w:rPr>
        <w:t>r</w:t>
      </w:r>
      <w:r>
        <w:rPr>
          <w:spacing w:val="-3"/>
          <w:szCs w:val="22"/>
        </w:rPr>
        <w:t>ă</w:t>
      </w:r>
      <w:r>
        <w:rPr>
          <w:szCs w:val="22"/>
        </w:rPr>
        <w:t>spuns</w:t>
      </w:r>
      <w:r>
        <w:rPr>
          <w:spacing w:val="-3"/>
          <w:szCs w:val="22"/>
        </w:rPr>
        <w:t>u</w:t>
      </w:r>
      <w:r>
        <w:rPr>
          <w:szCs w:val="22"/>
        </w:rPr>
        <w:t>l</w:t>
      </w:r>
      <w:r>
        <w:rPr>
          <w:spacing w:val="1"/>
          <w:szCs w:val="22"/>
        </w:rPr>
        <w:t xml:space="preserve"> </w:t>
      </w:r>
      <w:r>
        <w:rPr>
          <w:spacing w:val="-3"/>
          <w:szCs w:val="22"/>
        </w:rPr>
        <w:t>c</w:t>
      </w:r>
      <w:r>
        <w:rPr>
          <w:szCs w:val="22"/>
        </w:rPr>
        <w:t>or</w:t>
      </w:r>
      <w:r>
        <w:rPr>
          <w:spacing w:val="-3"/>
          <w:szCs w:val="22"/>
        </w:rPr>
        <w:t>e</w:t>
      </w:r>
      <w:r>
        <w:rPr>
          <w:szCs w:val="22"/>
        </w:rPr>
        <w:t>spu</w:t>
      </w:r>
      <w:r>
        <w:rPr>
          <w:spacing w:val="-3"/>
          <w:szCs w:val="22"/>
        </w:rPr>
        <w:t>nz</w:t>
      </w:r>
      <w:r>
        <w:rPr>
          <w:szCs w:val="22"/>
        </w:rPr>
        <w:t>ă</w:t>
      </w:r>
      <w:r>
        <w:rPr>
          <w:spacing w:val="1"/>
          <w:szCs w:val="22"/>
        </w:rPr>
        <w:t>t</w:t>
      </w:r>
      <w:r>
        <w:rPr>
          <w:szCs w:val="22"/>
        </w:rPr>
        <w:t>or</w:t>
      </w:r>
      <w:r>
        <w:rPr>
          <w:spacing w:val="1"/>
          <w:szCs w:val="22"/>
        </w:rPr>
        <w:t xml:space="preserve"> </w:t>
      </w:r>
      <w:r>
        <w:rPr>
          <w:szCs w:val="22"/>
        </w:rPr>
        <w:t>du</w:t>
      </w:r>
      <w:r>
        <w:rPr>
          <w:spacing w:val="-3"/>
          <w:szCs w:val="22"/>
        </w:rPr>
        <w:t>p</w:t>
      </w:r>
      <w:r>
        <w:rPr>
          <w:szCs w:val="22"/>
        </w:rPr>
        <w:t xml:space="preserve">ă </w:t>
      </w:r>
      <w:r>
        <w:rPr>
          <w:spacing w:val="-2"/>
          <w:szCs w:val="22"/>
        </w:rPr>
        <w:t>r</w:t>
      </w:r>
      <w:r>
        <w:rPr>
          <w:szCs w:val="22"/>
        </w:rPr>
        <w:t>e</w:t>
      </w:r>
      <w:r>
        <w:rPr>
          <w:spacing w:val="-4"/>
          <w:szCs w:val="22"/>
        </w:rPr>
        <w:t>-</w:t>
      </w:r>
      <w:r>
        <w:rPr>
          <w:szCs w:val="22"/>
        </w:rPr>
        <w:t>rando</w:t>
      </w:r>
      <w:r>
        <w:rPr>
          <w:spacing w:val="-4"/>
          <w:szCs w:val="22"/>
        </w:rPr>
        <w:t>m</w:t>
      </w:r>
      <w:r>
        <w:rPr>
          <w:spacing w:val="1"/>
          <w:szCs w:val="22"/>
        </w:rPr>
        <w:t>i</w:t>
      </w:r>
      <w:r>
        <w:rPr>
          <w:spacing w:val="-3"/>
          <w:szCs w:val="22"/>
        </w:rPr>
        <w:t>z</w:t>
      </w:r>
      <w:r>
        <w:rPr>
          <w:szCs w:val="22"/>
        </w:rPr>
        <w:t>are cu p</w:t>
      </w:r>
      <w:r>
        <w:rPr>
          <w:spacing w:val="-2"/>
          <w:szCs w:val="22"/>
        </w:rPr>
        <w:t>l</w:t>
      </w:r>
      <w:r>
        <w:rPr>
          <w:szCs w:val="22"/>
        </w:rPr>
        <w:t>ace</w:t>
      </w:r>
      <w:r>
        <w:rPr>
          <w:spacing w:val="-3"/>
          <w:szCs w:val="22"/>
        </w:rPr>
        <w:t>b</w:t>
      </w:r>
      <w:r>
        <w:rPr>
          <w:szCs w:val="22"/>
        </w:rPr>
        <w:t>o, c</w:t>
      </w:r>
      <w:r>
        <w:rPr>
          <w:spacing w:val="-3"/>
          <w:szCs w:val="22"/>
        </w:rPr>
        <w:t>a</w:t>
      </w:r>
      <w:r>
        <w:rPr>
          <w:szCs w:val="22"/>
        </w:rPr>
        <w:t xml:space="preserve">re </w:t>
      </w:r>
      <w:r>
        <w:rPr>
          <w:spacing w:val="-3"/>
          <w:szCs w:val="22"/>
        </w:rPr>
        <w:t>a</w:t>
      </w:r>
      <w:r>
        <w:rPr>
          <w:szCs w:val="22"/>
        </w:rPr>
        <w:t>poi</w:t>
      </w:r>
      <w:r>
        <w:rPr>
          <w:spacing w:val="-2"/>
          <w:szCs w:val="22"/>
        </w:rPr>
        <w:t xml:space="preserve"> </w:t>
      </w:r>
      <w:r>
        <w:rPr>
          <w:szCs w:val="22"/>
        </w:rPr>
        <w:t xml:space="preserve">au </w:t>
      </w:r>
      <w:r>
        <w:rPr>
          <w:spacing w:val="-2"/>
          <w:szCs w:val="22"/>
        </w:rPr>
        <w:t>f</w:t>
      </w:r>
      <w:r>
        <w:rPr>
          <w:szCs w:val="22"/>
        </w:rPr>
        <w:t>o</w:t>
      </w:r>
      <w:r>
        <w:rPr>
          <w:spacing w:val="-2"/>
          <w:szCs w:val="22"/>
        </w:rPr>
        <w:t>s</w:t>
      </w:r>
      <w:r>
        <w:rPr>
          <w:szCs w:val="22"/>
        </w:rPr>
        <w:t>t</w:t>
      </w:r>
      <w:r>
        <w:rPr>
          <w:spacing w:val="1"/>
          <w:szCs w:val="22"/>
        </w:rPr>
        <w:t xml:space="preserve"> î</w:t>
      </w:r>
      <w:r>
        <w:rPr>
          <w:spacing w:val="-3"/>
          <w:szCs w:val="22"/>
        </w:rPr>
        <w:t>n</w:t>
      </w:r>
      <w:r>
        <w:rPr>
          <w:szCs w:val="22"/>
        </w:rPr>
        <w:t>ro</w:t>
      </w:r>
      <w:r>
        <w:rPr>
          <w:spacing w:val="-2"/>
          <w:szCs w:val="22"/>
        </w:rPr>
        <w:t>l</w:t>
      </w:r>
      <w:r>
        <w:rPr>
          <w:szCs w:val="22"/>
        </w:rPr>
        <w:t>a</w:t>
      </w:r>
      <w:r>
        <w:rPr>
          <w:spacing w:val="-2"/>
          <w:szCs w:val="22"/>
        </w:rPr>
        <w:t>ţ</w:t>
      </w:r>
      <w:r>
        <w:rPr>
          <w:szCs w:val="22"/>
        </w:rPr>
        <w:t>i</w:t>
      </w:r>
      <w:r>
        <w:rPr>
          <w:spacing w:val="1"/>
          <w:szCs w:val="22"/>
        </w:rPr>
        <w:t xml:space="preserve"> </w:t>
      </w:r>
      <w:r>
        <w:rPr>
          <w:spacing w:val="-2"/>
          <w:szCs w:val="22"/>
        </w:rPr>
        <w:t>î</w:t>
      </w:r>
      <w:r>
        <w:rPr>
          <w:szCs w:val="22"/>
        </w:rPr>
        <w:t xml:space="preserve">n </w:t>
      </w:r>
      <w:r>
        <w:rPr>
          <w:spacing w:val="-2"/>
          <w:szCs w:val="22"/>
        </w:rPr>
        <w:t>s</w:t>
      </w:r>
      <w:r>
        <w:rPr>
          <w:spacing w:val="1"/>
          <w:szCs w:val="22"/>
        </w:rPr>
        <w:t>t</w:t>
      </w:r>
      <w:r>
        <w:rPr>
          <w:szCs w:val="22"/>
        </w:rPr>
        <w:t>ud</w:t>
      </w:r>
      <w:r>
        <w:rPr>
          <w:spacing w:val="-2"/>
          <w:szCs w:val="22"/>
        </w:rPr>
        <w:t>i</w:t>
      </w:r>
      <w:r>
        <w:rPr>
          <w:szCs w:val="22"/>
        </w:rPr>
        <w:t>ul ex</w:t>
      </w:r>
      <w:r>
        <w:rPr>
          <w:spacing w:val="1"/>
          <w:szCs w:val="22"/>
        </w:rPr>
        <w:t>t</w:t>
      </w:r>
      <w:r>
        <w:rPr>
          <w:szCs w:val="22"/>
        </w:rPr>
        <w:t>e</w:t>
      </w:r>
      <w:r>
        <w:rPr>
          <w:spacing w:val="-3"/>
          <w:szCs w:val="22"/>
        </w:rPr>
        <w:t>n</w:t>
      </w:r>
      <w:r>
        <w:rPr>
          <w:szCs w:val="22"/>
        </w:rPr>
        <w:t>s</w:t>
      </w:r>
      <w:r>
        <w:rPr>
          <w:spacing w:val="1"/>
          <w:szCs w:val="22"/>
        </w:rPr>
        <w:t>i</w:t>
      </w:r>
      <w:r>
        <w:rPr>
          <w:szCs w:val="22"/>
        </w:rPr>
        <w:t>v</w:t>
      </w:r>
      <w:r>
        <w:rPr>
          <w:spacing w:val="-3"/>
          <w:szCs w:val="22"/>
        </w:rPr>
        <w:t xml:space="preserve"> </w:t>
      </w:r>
      <w:r>
        <w:rPr>
          <w:szCs w:val="22"/>
        </w:rPr>
        <w:t>de</w:t>
      </w:r>
      <w:r>
        <w:rPr>
          <w:spacing w:val="-2"/>
          <w:szCs w:val="22"/>
        </w:rPr>
        <w:t>s</w:t>
      </w:r>
      <w:r>
        <w:rPr>
          <w:szCs w:val="22"/>
        </w:rPr>
        <w:t>ch</w:t>
      </w:r>
      <w:r>
        <w:rPr>
          <w:spacing w:val="-2"/>
          <w:szCs w:val="22"/>
        </w:rPr>
        <w:t>i</w:t>
      </w:r>
      <w:r>
        <w:rPr>
          <w:szCs w:val="22"/>
        </w:rPr>
        <w:t>s, au</w:t>
      </w:r>
      <w:r>
        <w:rPr>
          <w:spacing w:val="-3"/>
          <w:szCs w:val="22"/>
        </w:rPr>
        <w:t xml:space="preserve"> </w:t>
      </w:r>
      <w:r>
        <w:rPr>
          <w:szCs w:val="22"/>
        </w:rPr>
        <w:t>a</w:t>
      </w:r>
      <w:r>
        <w:rPr>
          <w:spacing w:val="-3"/>
          <w:szCs w:val="22"/>
        </w:rPr>
        <w:t>v</w:t>
      </w:r>
      <w:r>
        <w:rPr>
          <w:szCs w:val="22"/>
        </w:rPr>
        <w:t>ut</w:t>
      </w:r>
      <w:r>
        <w:rPr>
          <w:spacing w:val="1"/>
          <w:szCs w:val="22"/>
        </w:rPr>
        <w:t xml:space="preserve"> </w:t>
      </w:r>
      <w:r>
        <w:rPr>
          <w:szCs w:val="22"/>
        </w:rPr>
        <w:t>r</w:t>
      </w:r>
      <w:r>
        <w:rPr>
          <w:spacing w:val="-3"/>
          <w:szCs w:val="22"/>
        </w:rPr>
        <w:t>ă</w:t>
      </w:r>
      <w:r>
        <w:rPr>
          <w:szCs w:val="22"/>
        </w:rPr>
        <w:t xml:space="preserve">spuns </w:t>
      </w:r>
      <w:r>
        <w:rPr>
          <w:spacing w:val="-1"/>
          <w:szCs w:val="22"/>
        </w:rPr>
        <w:t>PAS</w:t>
      </w:r>
      <w:r>
        <w:rPr>
          <w:szCs w:val="22"/>
        </w:rPr>
        <w:t>I</w:t>
      </w:r>
      <w:r>
        <w:rPr>
          <w:spacing w:val="-4"/>
          <w:szCs w:val="22"/>
        </w:rPr>
        <w:t xml:space="preserve"> </w:t>
      </w:r>
      <w:r>
        <w:rPr>
          <w:szCs w:val="22"/>
        </w:rPr>
        <w:t>75 după 12</w:t>
      </w:r>
      <w:r>
        <w:rPr>
          <w:spacing w:val="-3"/>
          <w:szCs w:val="22"/>
        </w:rPr>
        <w:t xml:space="preserve"> </w:t>
      </w:r>
      <w:r>
        <w:rPr>
          <w:szCs w:val="22"/>
        </w:rPr>
        <w:t>şi</w:t>
      </w:r>
      <w:r>
        <w:rPr>
          <w:spacing w:val="-2"/>
          <w:szCs w:val="22"/>
        </w:rPr>
        <w:t xml:space="preserve"> r</w:t>
      </w:r>
      <w:r>
        <w:rPr>
          <w:szCs w:val="22"/>
        </w:rPr>
        <w:t>espe</w:t>
      </w:r>
      <w:r>
        <w:rPr>
          <w:spacing w:val="-3"/>
          <w:szCs w:val="22"/>
        </w:rPr>
        <w:t>c</w:t>
      </w:r>
      <w:r>
        <w:rPr>
          <w:spacing w:val="1"/>
          <w:szCs w:val="22"/>
        </w:rPr>
        <w:t>ti</w:t>
      </w:r>
      <w:r>
        <w:rPr>
          <w:szCs w:val="22"/>
        </w:rPr>
        <w:t>v</w:t>
      </w:r>
      <w:r>
        <w:rPr>
          <w:spacing w:val="-3"/>
          <w:szCs w:val="22"/>
        </w:rPr>
        <w:t xml:space="preserve"> </w:t>
      </w:r>
      <w:r>
        <w:rPr>
          <w:szCs w:val="22"/>
        </w:rPr>
        <w:t xml:space="preserve">24 </w:t>
      </w:r>
      <w:r>
        <w:rPr>
          <w:spacing w:val="-2"/>
          <w:szCs w:val="22"/>
        </w:rPr>
        <w:t>s</w:t>
      </w:r>
      <w:r>
        <w:rPr>
          <w:szCs w:val="22"/>
        </w:rPr>
        <w:t>ăp</w:t>
      </w:r>
      <w:r>
        <w:rPr>
          <w:spacing w:val="-2"/>
          <w:szCs w:val="22"/>
        </w:rPr>
        <w:t>t</w:t>
      </w:r>
      <w:r>
        <w:rPr>
          <w:szCs w:val="22"/>
        </w:rPr>
        <w:t>ă</w:t>
      </w:r>
      <w:r>
        <w:rPr>
          <w:spacing w:val="-4"/>
          <w:szCs w:val="22"/>
        </w:rPr>
        <w:t>m</w:t>
      </w:r>
      <w:r>
        <w:rPr>
          <w:szCs w:val="22"/>
        </w:rPr>
        <w:t>âni</w:t>
      </w:r>
      <w:r>
        <w:rPr>
          <w:spacing w:val="1"/>
          <w:szCs w:val="22"/>
        </w:rPr>
        <w:t xml:space="preserve"> </w:t>
      </w:r>
      <w:r>
        <w:rPr>
          <w:szCs w:val="22"/>
        </w:rPr>
        <w:t>de</w:t>
      </w:r>
      <w:r>
        <w:rPr>
          <w:spacing w:val="-2"/>
          <w:szCs w:val="22"/>
        </w:rPr>
        <w:t xml:space="preserve"> </w:t>
      </w:r>
      <w:r>
        <w:rPr>
          <w:szCs w:val="22"/>
        </w:rPr>
        <w:t>r</w:t>
      </w:r>
      <w:r>
        <w:rPr>
          <w:spacing w:val="-2"/>
          <w:szCs w:val="22"/>
        </w:rPr>
        <w:t>e</w:t>
      </w:r>
      <w:r>
        <w:rPr>
          <w:spacing w:val="-4"/>
          <w:szCs w:val="22"/>
        </w:rPr>
        <w:t>-</w:t>
      </w:r>
      <w:r>
        <w:rPr>
          <w:spacing w:val="1"/>
          <w:szCs w:val="22"/>
        </w:rPr>
        <w:t>t</w:t>
      </w:r>
      <w:r>
        <w:rPr>
          <w:szCs w:val="22"/>
        </w:rPr>
        <w:t>ra</w:t>
      </w:r>
      <w:r>
        <w:rPr>
          <w:spacing w:val="1"/>
          <w:szCs w:val="22"/>
        </w:rPr>
        <w:t>t</w:t>
      </w:r>
      <w:r>
        <w:rPr>
          <w:szCs w:val="22"/>
        </w:rPr>
        <w:t>a</w:t>
      </w:r>
      <w:r>
        <w:rPr>
          <w:spacing w:val="-4"/>
          <w:szCs w:val="22"/>
        </w:rPr>
        <w:t>m</w:t>
      </w:r>
      <w:r>
        <w:rPr>
          <w:szCs w:val="22"/>
        </w:rPr>
        <w:t>en</w:t>
      </w:r>
      <w:r>
        <w:rPr>
          <w:spacing w:val="1"/>
          <w:szCs w:val="22"/>
        </w:rPr>
        <w:t>t</w:t>
      </w:r>
      <w:r>
        <w:rPr>
          <w:szCs w:val="22"/>
        </w:rPr>
        <w:t>.</w:t>
      </w:r>
    </w:p>
    <w:p w14:paraId="33C7767C" w14:textId="77777777" w:rsidR="00C04CAD" w:rsidRDefault="00C04CAD">
      <w:pPr>
        <w:tabs>
          <w:tab w:val="clear" w:pos="567"/>
        </w:tabs>
        <w:kinsoku w:val="0"/>
        <w:overflowPunct w:val="0"/>
        <w:autoSpaceDE w:val="0"/>
        <w:autoSpaceDN w:val="0"/>
        <w:adjustRightInd w:val="0"/>
        <w:spacing w:line="240" w:lineRule="auto"/>
        <w:rPr>
          <w:szCs w:val="22"/>
        </w:rPr>
      </w:pPr>
    </w:p>
    <w:p w14:paraId="06193151" w14:textId="77777777" w:rsidR="00C04CAD" w:rsidRDefault="00060E34">
      <w:pPr>
        <w:tabs>
          <w:tab w:val="clear" w:pos="567"/>
        </w:tabs>
        <w:kinsoku w:val="0"/>
        <w:overflowPunct w:val="0"/>
        <w:autoSpaceDE w:val="0"/>
        <w:autoSpaceDN w:val="0"/>
        <w:adjustRightInd w:val="0"/>
        <w:spacing w:line="240" w:lineRule="auto"/>
      </w:pPr>
      <w:r>
        <w:rPr>
          <w:spacing w:val="-4"/>
          <w:szCs w:val="22"/>
        </w:rPr>
        <w:t>Î</w:t>
      </w:r>
      <w:r>
        <w:rPr>
          <w:szCs w:val="22"/>
        </w:rPr>
        <w:t xml:space="preserve">n </w:t>
      </w:r>
      <w:r>
        <w:rPr>
          <w:spacing w:val="-1"/>
          <w:szCs w:val="22"/>
        </w:rPr>
        <w:t>S</w:t>
      </w:r>
      <w:r>
        <w:rPr>
          <w:spacing w:val="1"/>
          <w:szCs w:val="22"/>
        </w:rPr>
        <w:t>t</w:t>
      </w:r>
      <w:r>
        <w:rPr>
          <w:szCs w:val="22"/>
        </w:rPr>
        <w:t>ud</w:t>
      </w:r>
      <w:r>
        <w:rPr>
          <w:spacing w:val="1"/>
          <w:szCs w:val="22"/>
        </w:rPr>
        <w:t>i</w:t>
      </w:r>
      <w:r>
        <w:rPr>
          <w:szCs w:val="22"/>
        </w:rPr>
        <w:t>ul</w:t>
      </w:r>
      <w:r>
        <w:rPr>
          <w:spacing w:val="1"/>
          <w:szCs w:val="22"/>
        </w:rPr>
        <w:t xml:space="preserve"> </w:t>
      </w:r>
      <w:r>
        <w:rPr>
          <w:szCs w:val="22"/>
        </w:rPr>
        <w:t>I</w:t>
      </w:r>
      <w:r>
        <w:rPr>
          <w:spacing w:val="-4"/>
          <w:szCs w:val="22"/>
        </w:rPr>
        <w:t xml:space="preserve"> </w:t>
      </w:r>
      <w:r>
        <w:rPr>
          <w:szCs w:val="22"/>
        </w:rPr>
        <w:t>cu pr</w:t>
      </w:r>
      <w:r>
        <w:rPr>
          <w:spacing w:val="1"/>
          <w:szCs w:val="22"/>
        </w:rPr>
        <w:t>i</w:t>
      </w:r>
      <w:r>
        <w:rPr>
          <w:spacing w:val="-3"/>
          <w:szCs w:val="22"/>
        </w:rPr>
        <w:t>v</w:t>
      </w:r>
      <w:r>
        <w:rPr>
          <w:spacing w:val="1"/>
          <w:szCs w:val="22"/>
        </w:rPr>
        <w:t>i</w:t>
      </w:r>
      <w:r>
        <w:rPr>
          <w:spacing w:val="-2"/>
          <w:szCs w:val="22"/>
        </w:rPr>
        <w:t>r</w:t>
      </w:r>
      <w:r>
        <w:rPr>
          <w:szCs w:val="22"/>
        </w:rPr>
        <w:t xml:space="preserve">e </w:t>
      </w:r>
      <w:r>
        <w:rPr>
          <w:spacing w:val="-2"/>
          <w:szCs w:val="22"/>
        </w:rPr>
        <w:t>l</w:t>
      </w:r>
      <w:r>
        <w:rPr>
          <w:szCs w:val="22"/>
        </w:rPr>
        <w:t>a p</w:t>
      </w:r>
      <w:r>
        <w:rPr>
          <w:spacing w:val="-2"/>
          <w:szCs w:val="22"/>
        </w:rPr>
        <w:t>s</w:t>
      </w:r>
      <w:r>
        <w:rPr>
          <w:szCs w:val="22"/>
        </w:rPr>
        <w:t>or</w:t>
      </w:r>
      <w:r>
        <w:rPr>
          <w:spacing w:val="1"/>
          <w:szCs w:val="22"/>
        </w:rPr>
        <w:t>i</w:t>
      </w:r>
      <w:r>
        <w:rPr>
          <w:szCs w:val="22"/>
        </w:rPr>
        <w:t>a</w:t>
      </w:r>
      <w:r>
        <w:rPr>
          <w:spacing w:val="-3"/>
          <w:szCs w:val="22"/>
        </w:rPr>
        <w:t>z</w:t>
      </w:r>
      <w:r>
        <w:rPr>
          <w:spacing w:val="-2"/>
          <w:szCs w:val="22"/>
        </w:rPr>
        <w:t>i</w:t>
      </w:r>
      <w:r>
        <w:rPr>
          <w:szCs w:val="22"/>
        </w:rPr>
        <w:t>s, 233</w:t>
      </w:r>
      <w:r>
        <w:rPr>
          <w:spacing w:val="-3"/>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w:t>
      </w:r>
      <w:r>
        <w:rPr>
          <w:spacing w:val="-3"/>
          <w:szCs w:val="22"/>
        </w:rPr>
        <w:t>a</w:t>
      </w:r>
      <w:r>
        <w:rPr>
          <w:szCs w:val="22"/>
        </w:rPr>
        <w:t>re</w:t>
      </w:r>
      <w:r>
        <w:rPr>
          <w:spacing w:val="-2"/>
          <w:szCs w:val="22"/>
        </w:rPr>
        <w:t xml:space="preserve"> </w:t>
      </w:r>
      <w:r>
        <w:rPr>
          <w:spacing w:val="-3"/>
          <w:szCs w:val="22"/>
        </w:rPr>
        <w:t>a</w:t>
      </w:r>
      <w:r>
        <w:rPr>
          <w:szCs w:val="22"/>
        </w:rPr>
        <w:t>u pre</w:t>
      </w:r>
      <w:r>
        <w:rPr>
          <w:spacing w:val="-3"/>
          <w:szCs w:val="22"/>
        </w:rPr>
        <w:t>z</w:t>
      </w:r>
      <w:r>
        <w:rPr>
          <w:szCs w:val="22"/>
        </w:rPr>
        <w:t>e</w:t>
      </w:r>
      <w:r>
        <w:rPr>
          <w:spacing w:val="-3"/>
          <w:szCs w:val="22"/>
        </w:rPr>
        <w:t>n</w:t>
      </w:r>
      <w:r>
        <w:rPr>
          <w:spacing w:val="1"/>
          <w:szCs w:val="22"/>
        </w:rPr>
        <w:t>t</w:t>
      </w:r>
      <w:r>
        <w:rPr>
          <w:szCs w:val="22"/>
        </w:rPr>
        <w:t>at</w:t>
      </w:r>
      <w:r>
        <w:rPr>
          <w:spacing w:val="-2"/>
          <w:szCs w:val="22"/>
        </w:rPr>
        <w:t xml:space="preserve"> </w:t>
      </w:r>
      <w:r>
        <w:rPr>
          <w:szCs w:val="22"/>
        </w:rPr>
        <w:t xml:space="preserve">un </w:t>
      </w:r>
      <w:r>
        <w:rPr>
          <w:spacing w:val="-2"/>
          <w:szCs w:val="22"/>
        </w:rPr>
        <w:t>r</w:t>
      </w:r>
      <w:r>
        <w:rPr>
          <w:szCs w:val="22"/>
        </w:rPr>
        <w:t>ăspu</w:t>
      </w:r>
      <w:r>
        <w:rPr>
          <w:spacing w:val="-3"/>
          <w:szCs w:val="22"/>
        </w:rPr>
        <w:t>n</w:t>
      </w:r>
      <w:r>
        <w:rPr>
          <w:szCs w:val="22"/>
        </w:rPr>
        <w:t xml:space="preserve">s </w:t>
      </w:r>
      <w:r>
        <w:rPr>
          <w:spacing w:val="-1"/>
          <w:szCs w:val="22"/>
        </w:rPr>
        <w:t>PA</w:t>
      </w:r>
      <w:r>
        <w:rPr>
          <w:spacing w:val="-3"/>
          <w:szCs w:val="22"/>
        </w:rPr>
        <w:t>S</w:t>
      </w:r>
      <w:r>
        <w:rPr>
          <w:szCs w:val="22"/>
        </w:rPr>
        <w:t>I</w:t>
      </w:r>
      <w:r>
        <w:rPr>
          <w:spacing w:val="-4"/>
          <w:szCs w:val="22"/>
        </w:rPr>
        <w:t xml:space="preserve"> </w:t>
      </w:r>
      <w:r>
        <w:rPr>
          <w:szCs w:val="22"/>
        </w:rPr>
        <w:t xml:space="preserve">75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16 şi</w:t>
      </w:r>
      <w:r>
        <w:rPr>
          <w:spacing w:val="-2"/>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33</w:t>
      </w:r>
      <w:r>
        <w:rPr>
          <w:spacing w:val="-3"/>
          <w:szCs w:val="22"/>
        </w:rPr>
        <w:t xml:space="preserve"> </w:t>
      </w:r>
      <w:r>
        <w:rPr>
          <w:szCs w:val="22"/>
        </w:rPr>
        <w:t xml:space="preserve">au </w:t>
      </w:r>
      <w:r>
        <w:rPr>
          <w:spacing w:val="-3"/>
          <w:szCs w:val="22"/>
        </w:rPr>
        <w:t>u</w:t>
      </w:r>
      <w:r>
        <w:rPr>
          <w:spacing w:val="-2"/>
          <w:szCs w:val="22"/>
        </w:rPr>
        <w:t>r</w:t>
      </w:r>
      <w:r>
        <w:rPr>
          <w:spacing w:val="-4"/>
          <w:szCs w:val="22"/>
        </w:rPr>
        <w:t>m</w:t>
      </w:r>
      <w:r>
        <w:rPr>
          <w:szCs w:val="22"/>
        </w:rPr>
        <w:t>at</w:t>
      </w:r>
      <w:r>
        <w:rPr>
          <w:spacing w:val="1"/>
          <w:szCs w:val="22"/>
        </w:rPr>
        <w:t xml:space="preserve"> t</w:t>
      </w:r>
      <w:r>
        <w:rPr>
          <w:szCs w:val="22"/>
        </w:rPr>
        <w:t>ra</w:t>
      </w:r>
      <w:r>
        <w:rPr>
          <w:spacing w:val="-2"/>
          <w:szCs w:val="22"/>
        </w:rPr>
        <w:t>t</w:t>
      </w:r>
      <w:r>
        <w:rPr>
          <w:szCs w:val="22"/>
        </w:rPr>
        <w:t>a</w:t>
      </w:r>
      <w:r>
        <w:rPr>
          <w:spacing w:val="-4"/>
          <w:szCs w:val="22"/>
        </w:rPr>
        <w:t>m</w:t>
      </w:r>
      <w:r>
        <w:rPr>
          <w:szCs w:val="22"/>
        </w:rPr>
        <w:t>ent</w:t>
      </w:r>
      <w:r>
        <w:rPr>
          <w:spacing w:val="1"/>
          <w:szCs w:val="22"/>
        </w:rPr>
        <w:t xml:space="preserve"> </w:t>
      </w:r>
      <w:r>
        <w:rPr>
          <w:szCs w:val="22"/>
        </w:rPr>
        <w:t>n</w:t>
      </w:r>
      <w:r>
        <w:rPr>
          <w:spacing w:val="-3"/>
          <w:szCs w:val="22"/>
        </w:rPr>
        <w:t>e</w:t>
      </w:r>
      <w:r>
        <w:rPr>
          <w:spacing w:val="1"/>
          <w:szCs w:val="22"/>
        </w:rPr>
        <w:t>î</w:t>
      </w:r>
      <w:r>
        <w:rPr>
          <w:szCs w:val="22"/>
        </w:rPr>
        <w:t>n</w:t>
      </w:r>
      <w:r>
        <w:rPr>
          <w:spacing w:val="-2"/>
          <w:szCs w:val="22"/>
        </w:rPr>
        <w:t>t</w:t>
      </w:r>
      <w:r>
        <w:rPr>
          <w:szCs w:val="22"/>
        </w:rPr>
        <w:t>re</w:t>
      </w:r>
      <w:r>
        <w:rPr>
          <w:spacing w:val="-2"/>
          <w:szCs w:val="22"/>
        </w:rPr>
        <w:t>r</w:t>
      </w:r>
      <w:r>
        <w:rPr>
          <w:szCs w:val="22"/>
        </w:rPr>
        <w:t>upt</w:t>
      </w:r>
      <w:r>
        <w:rPr>
          <w:spacing w:val="-2"/>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w:t>
      </w:r>
      <w:r>
        <w:rPr>
          <w:spacing w:val="1"/>
          <w:szCs w:val="22"/>
        </w:rPr>
        <w:t>ti</w:t>
      </w:r>
      <w:r>
        <w:rPr>
          <w:spacing w:val="-4"/>
          <w:szCs w:val="22"/>
        </w:rPr>
        <w:t>m</w:t>
      </w:r>
      <w:r>
        <w:rPr>
          <w:szCs w:val="22"/>
        </w:rPr>
        <w:t>p de 52</w:t>
      </w:r>
      <w:r>
        <w:rPr>
          <w:spacing w:val="-3"/>
          <w:szCs w:val="22"/>
        </w:rPr>
        <w:t xml:space="preserve"> </w:t>
      </w:r>
      <w:r>
        <w:rPr>
          <w:szCs w:val="22"/>
        </w:rPr>
        <w:t>să</w:t>
      </w:r>
      <w:r>
        <w:rPr>
          <w:spacing w:val="-3"/>
          <w:szCs w:val="22"/>
        </w:rPr>
        <w:t>p</w:t>
      </w:r>
      <w:r>
        <w:rPr>
          <w:spacing w:val="1"/>
          <w:szCs w:val="22"/>
        </w:rPr>
        <w:t>t</w:t>
      </w:r>
      <w:r>
        <w:rPr>
          <w:spacing w:val="-3"/>
          <w:szCs w:val="22"/>
        </w:rPr>
        <w:t>ă</w:t>
      </w:r>
      <w:r>
        <w:rPr>
          <w:spacing w:val="-4"/>
          <w:szCs w:val="22"/>
        </w:rPr>
        <w:t>m</w:t>
      </w:r>
      <w:r>
        <w:rPr>
          <w:szCs w:val="22"/>
        </w:rPr>
        <w:t>âni</w:t>
      </w:r>
      <w:r>
        <w:rPr>
          <w:spacing w:val="1"/>
          <w:szCs w:val="22"/>
        </w:rPr>
        <w:t xml:space="preserve"> </w:t>
      </w:r>
      <w:r>
        <w:rPr>
          <w:szCs w:val="22"/>
        </w:rPr>
        <w:t>şi</w:t>
      </w:r>
      <w:r>
        <w:rPr>
          <w:spacing w:val="1"/>
          <w:szCs w:val="22"/>
        </w:rPr>
        <w:t xml:space="preserve"> </w:t>
      </w:r>
      <w:r>
        <w:rPr>
          <w:szCs w:val="22"/>
        </w:rPr>
        <w:t>au</w:t>
      </w:r>
      <w:r>
        <w:rPr>
          <w:spacing w:val="-3"/>
          <w:szCs w:val="22"/>
        </w:rPr>
        <w:t xml:space="preserve"> </w:t>
      </w:r>
      <w:r>
        <w:rPr>
          <w:szCs w:val="22"/>
        </w:rPr>
        <w:t>con</w:t>
      </w:r>
      <w:r>
        <w:rPr>
          <w:spacing w:val="-2"/>
          <w:szCs w:val="22"/>
        </w:rPr>
        <w:t>t</w:t>
      </w:r>
      <w:r>
        <w:rPr>
          <w:spacing w:val="1"/>
          <w:szCs w:val="22"/>
        </w:rPr>
        <w:t>i</w:t>
      </w:r>
      <w:r>
        <w:rPr>
          <w:szCs w:val="22"/>
        </w:rPr>
        <w:t>n</w:t>
      </w:r>
      <w:r>
        <w:rPr>
          <w:spacing w:val="-3"/>
          <w:szCs w:val="22"/>
        </w:rPr>
        <w:t>u</w:t>
      </w:r>
      <w:r>
        <w:rPr>
          <w:szCs w:val="22"/>
        </w:rPr>
        <w:t xml:space="preserve">at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 xml:space="preserve">cu </w:t>
      </w:r>
      <w:r>
        <w:rPr>
          <w:rFonts w:eastAsia="MS Mincho"/>
          <w:spacing w:val="-1"/>
          <w:szCs w:val="22"/>
          <w:lang w:eastAsia="en-US" w:bidi="ar-SA"/>
        </w:rPr>
        <w:t>adalimumab</w:t>
      </w:r>
      <w:r>
        <w:rPr>
          <w:spacing w:val="-2"/>
          <w:szCs w:val="22"/>
        </w:rPr>
        <w:t xml:space="preserve"> </w:t>
      </w:r>
      <w:r>
        <w:rPr>
          <w:spacing w:val="1"/>
          <w:szCs w:val="22"/>
        </w:rPr>
        <w:t>î</w:t>
      </w:r>
      <w:r>
        <w:rPr>
          <w:szCs w:val="22"/>
        </w:rPr>
        <w:t>n</w:t>
      </w:r>
      <w:r>
        <w:rPr>
          <w:spacing w:val="-2"/>
          <w:szCs w:val="22"/>
        </w:rPr>
        <w:t>t</w:t>
      </w:r>
      <w:r>
        <w:rPr>
          <w:szCs w:val="22"/>
        </w:rPr>
        <w:t>r</w:t>
      </w:r>
      <w:r>
        <w:rPr>
          <w:spacing w:val="-2"/>
          <w:szCs w:val="22"/>
        </w:rPr>
        <w:t>-</w:t>
      </w:r>
      <w:r>
        <w:rPr>
          <w:szCs w:val="22"/>
        </w:rPr>
        <w:t>un s</w:t>
      </w:r>
      <w:r>
        <w:rPr>
          <w:spacing w:val="1"/>
          <w:szCs w:val="22"/>
        </w:rPr>
        <w:t>t</w:t>
      </w:r>
      <w:r>
        <w:rPr>
          <w:spacing w:val="-3"/>
          <w:szCs w:val="22"/>
        </w:rPr>
        <w:t>u</w:t>
      </w:r>
      <w:r>
        <w:rPr>
          <w:szCs w:val="22"/>
        </w:rPr>
        <w:t>d</w:t>
      </w:r>
      <w:r>
        <w:rPr>
          <w:spacing w:val="1"/>
          <w:szCs w:val="22"/>
        </w:rPr>
        <w:t>i</w:t>
      </w:r>
      <w:r>
        <w:rPr>
          <w:szCs w:val="22"/>
        </w:rPr>
        <w:t>u</w:t>
      </w:r>
      <w:r>
        <w:rPr>
          <w:spacing w:val="-3"/>
          <w:szCs w:val="22"/>
        </w:rPr>
        <w:t xml:space="preserve"> </w:t>
      </w:r>
      <w:r>
        <w:rPr>
          <w:szCs w:val="22"/>
        </w:rPr>
        <w:t xml:space="preserve">de </w:t>
      </w:r>
      <w:r>
        <w:rPr>
          <w:spacing w:val="-2"/>
          <w:szCs w:val="22"/>
        </w:rPr>
        <w:t>t</w:t>
      </w:r>
      <w:r>
        <w:rPr>
          <w:spacing w:val="1"/>
          <w:szCs w:val="22"/>
        </w:rPr>
        <w:t>i</w:t>
      </w:r>
      <w:r>
        <w:rPr>
          <w:szCs w:val="22"/>
        </w:rPr>
        <w:t>p</w:t>
      </w:r>
      <w:r>
        <w:rPr>
          <w:spacing w:val="-3"/>
          <w:szCs w:val="22"/>
        </w:rPr>
        <w:t xml:space="preserve"> </w:t>
      </w:r>
      <w:r>
        <w:rPr>
          <w:szCs w:val="22"/>
        </w:rPr>
        <w:t>ex</w:t>
      </w:r>
      <w:r>
        <w:rPr>
          <w:spacing w:val="-2"/>
          <w:szCs w:val="22"/>
        </w:rPr>
        <w:t>t</w:t>
      </w:r>
      <w:r>
        <w:rPr>
          <w:spacing w:val="1"/>
          <w:szCs w:val="22"/>
        </w:rPr>
        <w:t>i</w:t>
      </w:r>
      <w:r>
        <w:rPr>
          <w:szCs w:val="22"/>
        </w:rPr>
        <w:t>ns,</w:t>
      </w:r>
      <w:r>
        <w:rPr>
          <w:spacing w:val="-3"/>
          <w:szCs w:val="22"/>
        </w:rPr>
        <w:t xml:space="preserve"> </w:t>
      </w:r>
      <w:r>
        <w:rPr>
          <w:szCs w:val="22"/>
        </w:rPr>
        <w:t>de</w:t>
      </w:r>
      <w:r>
        <w:rPr>
          <w:spacing w:val="-2"/>
          <w:szCs w:val="22"/>
        </w:rPr>
        <w:t>s</w:t>
      </w:r>
      <w:r>
        <w:rPr>
          <w:spacing w:val="-3"/>
          <w:szCs w:val="22"/>
        </w:rPr>
        <w:t>c</w:t>
      </w:r>
      <w:r>
        <w:rPr>
          <w:szCs w:val="22"/>
        </w:rPr>
        <w:t>h</w:t>
      </w:r>
      <w:r>
        <w:rPr>
          <w:spacing w:val="1"/>
          <w:szCs w:val="22"/>
        </w:rPr>
        <w:t>i</w:t>
      </w:r>
      <w:r>
        <w:rPr>
          <w:szCs w:val="22"/>
        </w:rPr>
        <w:t xml:space="preserve">s. </w:t>
      </w:r>
      <w:r>
        <w:rPr>
          <w:spacing w:val="-1"/>
          <w:szCs w:val="22"/>
        </w:rPr>
        <w:t>D</w:t>
      </w:r>
      <w:r>
        <w:rPr>
          <w:szCs w:val="22"/>
        </w:rPr>
        <w:t>u</w:t>
      </w:r>
      <w:r>
        <w:rPr>
          <w:spacing w:val="-3"/>
          <w:szCs w:val="22"/>
        </w:rPr>
        <w:t>p</w:t>
      </w:r>
      <w:r>
        <w:rPr>
          <w:szCs w:val="22"/>
        </w:rPr>
        <w:t>ă o p</w:t>
      </w:r>
      <w:r>
        <w:rPr>
          <w:spacing w:val="-3"/>
          <w:szCs w:val="22"/>
        </w:rPr>
        <w:t>e</w:t>
      </w:r>
      <w:r>
        <w:rPr>
          <w:szCs w:val="22"/>
        </w:rPr>
        <w:t>r</w:t>
      </w:r>
      <w:r>
        <w:rPr>
          <w:spacing w:val="-2"/>
          <w:szCs w:val="22"/>
        </w:rPr>
        <w:t>i</w:t>
      </w:r>
      <w:r>
        <w:rPr>
          <w:szCs w:val="22"/>
        </w:rPr>
        <w:t>oadă</w:t>
      </w:r>
      <w:r>
        <w:rPr>
          <w:spacing w:val="-2"/>
          <w:szCs w:val="22"/>
        </w:rPr>
        <w:t xml:space="preserve"> </w:t>
      </w:r>
      <w:r>
        <w:rPr>
          <w:szCs w:val="22"/>
        </w:rPr>
        <w:t>su</w:t>
      </w:r>
      <w:r>
        <w:rPr>
          <w:spacing w:val="-3"/>
          <w:szCs w:val="22"/>
        </w:rPr>
        <w:t>p</w:t>
      </w:r>
      <w:r>
        <w:rPr>
          <w:spacing w:val="1"/>
          <w:szCs w:val="22"/>
        </w:rPr>
        <w:t>l</w:t>
      </w:r>
      <w:r>
        <w:rPr>
          <w:spacing w:val="-2"/>
          <w:szCs w:val="22"/>
        </w:rPr>
        <w:t>i</w:t>
      </w:r>
      <w:r>
        <w:rPr>
          <w:spacing w:val="-4"/>
          <w:szCs w:val="22"/>
        </w:rPr>
        <w:t>m</w:t>
      </w:r>
      <w:r>
        <w:rPr>
          <w:szCs w:val="22"/>
        </w:rPr>
        <w:t>en</w:t>
      </w:r>
      <w:r>
        <w:rPr>
          <w:spacing w:val="1"/>
          <w:szCs w:val="22"/>
        </w:rPr>
        <w:t>t</w:t>
      </w:r>
      <w:r>
        <w:rPr>
          <w:szCs w:val="22"/>
        </w:rPr>
        <w:t>ară de</w:t>
      </w:r>
      <w:r>
        <w:rPr>
          <w:spacing w:val="-2"/>
          <w:szCs w:val="22"/>
        </w:rPr>
        <w:t xml:space="preserve"> </w:t>
      </w:r>
      <w:r>
        <w:rPr>
          <w:spacing w:val="1"/>
          <w:szCs w:val="22"/>
        </w:rPr>
        <w:t>t</w:t>
      </w:r>
      <w:r>
        <w:rPr>
          <w:spacing w:val="-2"/>
          <w:szCs w:val="22"/>
        </w:rPr>
        <w:t>i</w:t>
      </w:r>
      <w:r>
        <w:rPr>
          <w:szCs w:val="22"/>
        </w:rPr>
        <w:t>p desc</w:t>
      </w:r>
      <w:r>
        <w:rPr>
          <w:spacing w:val="-3"/>
          <w:szCs w:val="22"/>
        </w:rPr>
        <w:t>h</w:t>
      </w:r>
      <w:r>
        <w:rPr>
          <w:spacing w:val="1"/>
          <w:szCs w:val="22"/>
        </w:rPr>
        <w:t>i</w:t>
      </w:r>
      <w:r>
        <w:rPr>
          <w:szCs w:val="22"/>
        </w:rPr>
        <w:t xml:space="preserve">s </w:t>
      </w:r>
      <w:r>
        <w:rPr>
          <w:spacing w:val="-3"/>
          <w:szCs w:val="22"/>
        </w:rPr>
        <w:t>d</w:t>
      </w:r>
      <w:r>
        <w:rPr>
          <w:szCs w:val="22"/>
        </w:rPr>
        <w:t>e 108</w:t>
      </w:r>
      <w:r>
        <w:rPr>
          <w:spacing w:val="-3"/>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pacing w:val="-3"/>
          <w:szCs w:val="22"/>
        </w:rPr>
        <w:t>d</w:t>
      </w:r>
      <w:r>
        <w:rPr>
          <w:szCs w:val="22"/>
        </w:rPr>
        <w:t xml:space="preserve">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ent</w:t>
      </w:r>
      <w:r>
        <w:rPr>
          <w:spacing w:val="1"/>
          <w:szCs w:val="22"/>
        </w:rPr>
        <w:t xml:space="preserve"> </w:t>
      </w:r>
      <w:r>
        <w:rPr>
          <w:szCs w:val="22"/>
        </w:rPr>
        <w:t>(</w:t>
      </w:r>
      <w:r>
        <w:rPr>
          <w:spacing w:val="1"/>
          <w:szCs w:val="22"/>
        </w:rPr>
        <w:t>î</w:t>
      </w:r>
      <w:r>
        <w:rPr>
          <w:szCs w:val="22"/>
        </w:rPr>
        <w:t>n</w:t>
      </w:r>
      <w:r>
        <w:rPr>
          <w:spacing w:val="-3"/>
          <w:szCs w:val="22"/>
        </w:rPr>
        <w:t xml:space="preserve"> </w:t>
      </w:r>
      <w:r>
        <w:rPr>
          <w:spacing w:val="1"/>
          <w:szCs w:val="22"/>
        </w:rPr>
        <w:t>t</w:t>
      </w:r>
      <w:r>
        <w:rPr>
          <w:spacing w:val="-3"/>
          <w:szCs w:val="22"/>
        </w:rPr>
        <w:t>o</w:t>
      </w:r>
      <w:r>
        <w:rPr>
          <w:spacing w:val="1"/>
          <w:szCs w:val="22"/>
        </w:rPr>
        <w:t>t</w:t>
      </w:r>
      <w:r>
        <w:rPr>
          <w:spacing w:val="-3"/>
          <w:szCs w:val="22"/>
        </w:rPr>
        <w:t>a</w:t>
      </w:r>
      <w:r>
        <w:rPr>
          <w:szCs w:val="22"/>
        </w:rPr>
        <w:t>l</w:t>
      </w:r>
      <w:r>
        <w:rPr>
          <w:spacing w:val="1"/>
          <w:szCs w:val="22"/>
        </w:rPr>
        <w:t xml:space="preserve"> </w:t>
      </w:r>
      <w:r>
        <w:rPr>
          <w:szCs w:val="22"/>
        </w:rPr>
        <w:t>160</w:t>
      </w:r>
      <w:r>
        <w:rPr>
          <w:spacing w:val="-3"/>
          <w:szCs w:val="22"/>
        </w:rPr>
        <w:t xml:space="preserve"> </w:t>
      </w:r>
      <w:r>
        <w:rPr>
          <w:szCs w:val="22"/>
        </w:rPr>
        <w:t>s</w:t>
      </w:r>
      <w:r>
        <w:rPr>
          <w:spacing w:val="-3"/>
          <w:szCs w:val="22"/>
        </w:rPr>
        <w:t>ă</w:t>
      </w:r>
      <w:r>
        <w:rPr>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PAS</w:t>
      </w:r>
      <w:r>
        <w:rPr>
          <w:szCs w:val="22"/>
        </w:rPr>
        <w:t>I</w:t>
      </w:r>
      <w:r>
        <w:rPr>
          <w:spacing w:val="-4"/>
          <w:szCs w:val="22"/>
        </w:rPr>
        <w:t xml:space="preserve"> </w:t>
      </w:r>
      <w:r>
        <w:rPr>
          <w:szCs w:val="22"/>
        </w:rPr>
        <w:t>75 şi</w:t>
      </w:r>
      <w:r>
        <w:rPr>
          <w:spacing w:val="1"/>
          <w:szCs w:val="22"/>
        </w:rPr>
        <w:t xml:space="preserve"> </w:t>
      </w:r>
      <w:r>
        <w:rPr>
          <w:spacing w:val="-2"/>
          <w:szCs w:val="22"/>
        </w:rPr>
        <w:t>s</w:t>
      </w:r>
      <w:r>
        <w:rPr>
          <w:szCs w:val="22"/>
        </w:rPr>
        <w:t>cor</w:t>
      </w:r>
      <w:r>
        <w:rPr>
          <w:spacing w:val="-3"/>
          <w:szCs w:val="22"/>
        </w:rPr>
        <w:t>u</w:t>
      </w:r>
      <w:r>
        <w:rPr>
          <w:szCs w:val="22"/>
        </w:rPr>
        <w:t>l</w:t>
      </w:r>
      <w:r>
        <w:rPr>
          <w:spacing w:val="-2"/>
          <w:szCs w:val="22"/>
        </w:rPr>
        <w:t xml:space="preserve"> </w:t>
      </w:r>
      <w:r>
        <w:rPr>
          <w:spacing w:val="-4"/>
          <w:szCs w:val="22"/>
        </w:rPr>
        <w:t>m</w:t>
      </w:r>
      <w:r>
        <w:rPr>
          <w:spacing w:val="1"/>
          <w:szCs w:val="22"/>
        </w:rPr>
        <w:t>i</w:t>
      </w:r>
      <w:r>
        <w:rPr>
          <w:szCs w:val="22"/>
        </w:rPr>
        <w:t>n</w:t>
      </w:r>
      <w:r>
        <w:rPr>
          <w:spacing w:val="1"/>
          <w:szCs w:val="22"/>
        </w:rPr>
        <w:t>i</w:t>
      </w:r>
      <w:r>
        <w:rPr>
          <w:szCs w:val="22"/>
        </w:rPr>
        <w:t>m</w:t>
      </w:r>
      <w:r>
        <w:rPr>
          <w:spacing w:val="-4"/>
          <w:szCs w:val="22"/>
        </w:rPr>
        <w:t xml:space="preserve"> </w:t>
      </w:r>
      <w:r>
        <w:rPr>
          <w:spacing w:val="1"/>
          <w:szCs w:val="22"/>
        </w:rPr>
        <w:t>i</w:t>
      </w:r>
      <w:r>
        <w:rPr>
          <w:szCs w:val="22"/>
        </w:rPr>
        <w:t>n</w:t>
      </w:r>
      <w:r>
        <w:rPr>
          <w:spacing w:val="1"/>
          <w:szCs w:val="22"/>
        </w:rPr>
        <w:t>iţi</w:t>
      </w:r>
      <w:r>
        <w:rPr>
          <w:spacing w:val="-3"/>
          <w:szCs w:val="22"/>
        </w:rPr>
        <w:t>a</w:t>
      </w:r>
      <w:r>
        <w:rPr>
          <w:szCs w:val="22"/>
        </w:rPr>
        <w:t>l</w:t>
      </w:r>
      <w:r>
        <w:rPr>
          <w:spacing w:val="1"/>
          <w:szCs w:val="22"/>
        </w:rPr>
        <w:t xml:space="preserve"> </w:t>
      </w:r>
      <w:r>
        <w:rPr>
          <w:spacing w:val="-1"/>
          <w:szCs w:val="22"/>
        </w:rPr>
        <w:t>PG</w:t>
      </w:r>
      <w:r>
        <w:rPr>
          <w:szCs w:val="22"/>
        </w:rPr>
        <w:t xml:space="preserve">A </w:t>
      </w:r>
      <w:r>
        <w:rPr>
          <w:spacing w:val="1"/>
          <w:szCs w:val="22"/>
        </w:rPr>
        <w:t>l</w:t>
      </w:r>
      <w:r>
        <w:rPr>
          <w:szCs w:val="22"/>
        </w:rPr>
        <w:t xml:space="preserve">a </w:t>
      </w:r>
      <w:r>
        <w:rPr>
          <w:spacing w:val="-3"/>
          <w:szCs w:val="22"/>
        </w:rPr>
        <w:t>a</w:t>
      </w:r>
      <w:r>
        <w:rPr>
          <w:szCs w:val="22"/>
        </w:rPr>
        <w:t>ce</w:t>
      </w:r>
      <w:r>
        <w:rPr>
          <w:spacing w:val="-2"/>
          <w:szCs w:val="22"/>
        </w:rPr>
        <w:t>ş</w:t>
      </w:r>
      <w:r>
        <w:rPr>
          <w:spacing w:val="1"/>
          <w:szCs w:val="22"/>
        </w:rPr>
        <w:t>t</w:t>
      </w:r>
      <w:r>
        <w:rPr>
          <w:szCs w:val="22"/>
        </w:rPr>
        <w:t>i</w:t>
      </w:r>
      <w:r>
        <w:rPr>
          <w:spacing w:val="1"/>
          <w:szCs w:val="22"/>
        </w:rPr>
        <w:t xml:space="preserve">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a f</w:t>
      </w:r>
      <w:r>
        <w:rPr>
          <w:spacing w:val="-3"/>
          <w:szCs w:val="22"/>
        </w:rPr>
        <w:t>o</w:t>
      </w:r>
      <w:r>
        <w:rPr>
          <w:szCs w:val="22"/>
        </w:rPr>
        <w:t>st</w:t>
      </w:r>
      <w:r>
        <w:rPr>
          <w:spacing w:val="1"/>
          <w:szCs w:val="22"/>
        </w:rPr>
        <w:t xml:space="preserve"> </w:t>
      </w:r>
      <w:r>
        <w:rPr>
          <w:spacing w:val="-3"/>
          <w:szCs w:val="22"/>
        </w:rPr>
        <w:t>7</w:t>
      </w:r>
      <w:r>
        <w:rPr>
          <w:szCs w:val="22"/>
        </w:rPr>
        <w:t>4,</w:t>
      </w:r>
      <w:r>
        <w:rPr>
          <w:spacing w:val="-3"/>
          <w:szCs w:val="22"/>
        </w:rPr>
        <w:t>7</w:t>
      </w:r>
      <w:r>
        <w:rPr>
          <w:szCs w:val="22"/>
        </w:rPr>
        <w:t>%</w:t>
      </w:r>
      <w:r>
        <w:rPr>
          <w:spacing w:val="1"/>
          <w:szCs w:val="22"/>
        </w:rPr>
        <w:t xml:space="preserve"> </w:t>
      </w:r>
      <w:r>
        <w:rPr>
          <w:spacing w:val="-2"/>
          <w:szCs w:val="22"/>
        </w:rPr>
        <w:t>ş</w:t>
      </w:r>
      <w:r>
        <w:rPr>
          <w:szCs w:val="22"/>
        </w:rPr>
        <w:t>i</w:t>
      </w:r>
      <w:r>
        <w:rPr>
          <w:spacing w:val="1"/>
          <w:szCs w:val="22"/>
        </w:rPr>
        <w:t xml:space="preserve"> </w:t>
      </w:r>
      <w:r>
        <w:rPr>
          <w:szCs w:val="22"/>
        </w:rPr>
        <w:t>r</w:t>
      </w:r>
      <w:r>
        <w:rPr>
          <w:spacing w:val="-3"/>
          <w:szCs w:val="22"/>
        </w:rPr>
        <w:t>e</w:t>
      </w:r>
      <w:r>
        <w:rPr>
          <w:szCs w:val="22"/>
        </w:rPr>
        <w:t>sp</w:t>
      </w:r>
      <w:r>
        <w:rPr>
          <w:spacing w:val="-3"/>
          <w:szCs w:val="22"/>
        </w:rPr>
        <w:t>e</w:t>
      </w:r>
      <w:r>
        <w:rPr>
          <w:szCs w:val="22"/>
        </w:rPr>
        <w:t>c</w:t>
      </w:r>
      <w:r>
        <w:rPr>
          <w:spacing w:val="-2"/>
          <w:szCs w:val="22"/>
        </w:rPr>
        <w:t>t</w:t>
      </w:r>
      <w:r>
        <w:rPr>
          <w:spacing w:val="1"/>
          <w:szCs w:val="22"/>
        </w:rPr>
        <w:t>i</w:t>
      </w:r>
      <w:r>
        <w:rPr>
          <w:szCs w:val="22"/>
        </w:rPr>
        <w:t>v</w:t>
      </w:r>
      <w:r>
        <w:rPr>
          <w:spacing w:val="-3"/>
        </w:rPr>
        <w:t xml:space="preserve"> </w:t>
      </w:r>
      <w:r>
        <w:t xml:space="preserve">59,0%. </w:t>
      </w:r>
      <w:r>
        <w:rPr>
          <w:spacing w:val="-4"/>
        </w:rPr>
        <w:t>Î</w:t>
      </w:r>
      <w:r>
        <w:t>n</w:t>
      </w:r>
      <w:r>
        <w:rPr>
          <w:spacing w:val="1"/>
        </w:rPr>
        <w:t>t</w:t>
      </w:r>
      <w:r>
        <w:t>r</w:t>
      </w:r>
      <w:r>
        <w:rPr>
          <w:spacing w:val="-4"/>
        </w:rPr>
        <w:t>-</w:t>
      </w:r>
      <w:r>
        <w:t>o ana</w:t>
      </w:r>
      <w:r>
        <w:rPr>
          <w:spacing w:val="-2"/>
        </w:rPr>
        <w:t>l</w:t>
      </w:r>
      <w:r>
        <w:rPr>
          <w:spacing w:val="1"/>
        </w:rPr>
        <w:t>i</w:t>
      </w:r>
      <w:r>
        <w:rPr>
          <w:spacing w:val="-3"/>
        </w:rPr>
        <w:t>z</w:t>
      </w:r>
      <w:r>
        <w:t xml:space="preserve">ă </w:t>
      </w:r>
      <w:r>
        <w:rPr>
          <w:spacing w:val="1"/>
        </w:rPr>
        <w:t>î</w:t>
      </w:r>
      <w:r>
        <w:t xml:space="preserve">n </w:t>
      </w:r>
      <w:r>
        <w:rPr>
          <w:spacing w:val="-3"/>
        </w:rPr>
        <w:t>c</w:t>
      </w:r>
      <w:r>
        <w:t>are</w:t>
      </w:r>
      <w:r>
        <w:rPr>
          <w:spacing w:val="-2"/>
        </w:rPr>
        <w:t xml:space="preserve"> </w:t>
      </w:r>
      <w:r>
        <w:rPr>
          <w:spacing w:val="1"/>
        </w:rPr>
        <w:t>t</w:t>
      </w:r>
      <w:r>
        <w:rPr>
          <w:spacing w:val="-3"/>
        </w:rPr>
        <w:t>o</w:t>
      </w:r>
      <w:r>
        <w:rPr>
          <w:spacing w:val="1"/>
        </w:rPr>
        <w:t>ţ</w:t>
      </w:r>
      <w:r>
        <w:t>i</w:t>
      </w:r>
      <w:r>
        <w:rPr>
          <w:spacing w:val="1"/>
        </w:rPr>
        <w:t xml:space="preserve">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2"/>
        </w:rPr>
        <w:t xml:space="preserve"> </w:t>
      </w:r>
      <w:r>
        <w:t>care</w:t>
      </w:r>
      <w:r>
        <w:rPr>
          <w:spacing w:val="-2"/>
        </w:rPr>
        <w:t xml:space="preserve"> </w:t>
      </w:r>
      <w:r>
        <w:t>au</w:t>
      </w:r>
      <w:r>
        <w:rPr>
          <w:spacing w:val="-3"/>
        </w:rPr>
        <w:t xml:space="preserve"> </w:t>
      </w:r>
      <w:r>
        <w:t>fo</w:t>
      </w:r>
      <w:r>
        <w:rPr>
          <w:spacing w:val="-2"/>
        </w:rPr>
        <w:t>s</w:t>
      </w:r>
      <w:r>
        <w:t>t</w:t>
      </w:r>
      <w:r>
        <w:rPr>
          <w:spacing w:val="1"/>
        </w:rPr>
        <w:t xml:space="preserve"> </w:t>
      </w:r>
      <w:r>
        <w:t>sc</w:t>
      </w:r>
      <w:r>
        <w:rPr>
          <w:spacing w:val="-3"/>
        </w:rPr>
        <w:t>o</w:t>
      </w:r>
      <w:r>
        <w:t>şi d</w:t>
      </w:r>
      <w:r>
        <w:rPr>
          <w:spacing w:val="1"/>
        </w:rPr>
        <w:t>i</w:t>
      </w:r>
      <w:r>
        <w:t xml:space="preserve">n </w:t>
      </w:r>
      <w:r>
        <w:rPr>
          <w:spacing w:val="-2"/>
        </w:rPr>
        <w:t>s</w:t>
      </w:r>
      <w:r>
        <w:rPr>
          <w:spacing w:val="1"/>
        </w:rPr>
        <w:t>t</w:t>
      </w:r>
      <w:r>
        <w:t>u</w:t>
      </w:r>
      <w:r>
        <w:rPr>
          <w:spacing w:val="-3"/>
        </w:rPr>
        <w:t>d</w:t>
      </w:r>
      <w:r>
        <w:rPr>
          <w:spacing w:val="1"/>
        </w:rPr>
        <w:t>i</w:t>
      </w:r>
      <w:r>
        <w:t xml:space="preserve">u </w:t>
      </w:r>
      <w:r>
        <w:rPr>
          <w:spacing w:val="-3"/>
        </w:rPr>
        <w:t>d</w:t>
      </w:r>
      <w:r>
        <w:rPr>
          <w:spacing w:val="1"/>
        </w:rPr>
        <w:t>i</w:t>
      </w:r>
      <w:r>
        <w:t>n c</w:t>
      </w:r>
      <w:r>
        <w:rPr>
          <w:spacing w:val="-3"/>
        </w:rPr>
        <w:t>a</w:t>
      </w:r>
      <w:r>
        <w:t>u</w:t>
      </w:r>
      <w:r>
        <w:rPr>
          <w:spacing w:val="-3"/>
        </w:rPr>
        <w:t>z</w:t>
      </w:r>
      <w:r>
        <w:t>a e</w:t>
      </w:r>
      <w:r>
        <w:rPr>
          <w:spacing w:val="-3"/>
        </w:rPr>
        <w:t>v</w:t>
      </w:r>
      <w:r>
        <w:t>en</w:t>
      </w:r>
      <w:r>
        <w:rPr>
          <w:spacing w:val="-2"/>
        </w:rPr>
        <w:t>i</w:t>
      </w:r>
      <w:r>
        <w:rPr>
          <w:spacing w:val="-4"/>
        </w:rPr>
        <w:t>m</w:t>
      </w:r>
      <w:r>
        <w:t>en</w:t>
      </w:r>
      <w:r>
        <w:rPr>
          <w:spacing w:val="1"/>
        </w:rPr>
        <w:t>t</w:t>
      </w:r>
      <w:r>
        <w:t>e</w:t>
      </w:r>
      <w:r>
        <w:rPr>
          <w:spacing w:val="1"/>
        </w:rPr>
        <w:t>l</w:t>
      </w:r>
      <w:r>
        <w:t>or</w:t>
      </w:r>
      <w:r>
        <w:rPr>
          <w:spacing w:val="-2"/>
        </w:rPr>
        <w:t xml:space="preserve"> </w:t>
      </w:r>
      <w:r>
        <w:t>ad</w:t>
      </w:r>
      <w:r>
        <w:rPr>
          <w:spacing w:val="-3"/>
        </w:rPr>
        <w:t>v</w:t>
      </w:r>
      <w:r>
        <w:t>erse</w:t>
      </w:r>
      <w:r>
        <w:rPr>
          <w:spacing w:val="-2"/>
        </w:rPr>
        <w:t xml:space="preserve"> </w:t>
      </w:r>
      <w:r>
        <w:t>sau</w:t>
      </w:r>
      <w:r>
        <w:rPr>
          <w:spacing w:val="-3"/>
        </w:rPr>
        <w:t xml:space="preserve"> </w:t>
      </w:r>
      <w:r>
        <w:t xml:space="preserve">a </w:t>
      </w:r>
      <w:r>
        <w:rPr>
          <w:spacing w:val="-2"/>
        </w:rPr>
        <w:t>l</w:t>
      </w:r>
      <w:r>
        <w:rPr>
          <w:spacing w:val="1"/>
        </w:rPr>
        <w:t>i</w:t>
      </w:r>
      <w:r>
        <w:t>p</w:t>
      </w:r>
      <w:r>
        <w:rPr>
          <w:spacing w:val="-2"/>
        </w:rPr>
        <w:t>s</w:t>
      </w:r>
      <w:r>
        <w:t>ei</w:t>
      </w:r>
      <w:r>
        <w:rPr>
          <w:spacing w:val="1"/>
        </w:rPr>
        <w:t xml:space="preserve"> </w:t>
      </w:r>
      <w:r>
        <w:t>de</w:t>
      </w:r>
      <w:r>
        <w:rPr>
          <w:spacing w:val="-2"/>
        </w:rPr>
        <w:t xml:space="preserve"> </w:t>
      </w:r>
      <w:r>
        <w:t>e</w:t>
      </w:r>
      <w:r>
        <w:rPr>
          <w:spacing w:val="-2"/>
        </w:rPr>
        <w:t>f</w:t>
      </w:r>
      <w:r>
        <w:rPr>
          <w:spacing w:val="1"/>
        </w:rPr>
        <w:t>i</w:t>
      </w:r>
      <w:r>
        <w:t>c</w:t>
      </w:r>
      <w:r>
        <w:rPr>
          <w:spacing w:val="-3"/>
        </w:rPr>
        <w:t>a</w:t>
      </w:r>
      <w:r>
        <w:t>c</w:t>
      </w:r>
      <w:r>
        <w:rPr>
          <w:spacing w:val="-2"/>
        </w:rPr>
        <w:t>i</w:t>
      </w:r>
      <w:r>
        <w:rPr>
          <w:spacing w:val="1"/>
        </w:rPr>
        <w:t>t</w:t>
      </w:r>
      <w:r>
        <w:rPr>
          <w:spacing w:val="-3"/>
        </w:rPr>
        <w:t>a</w:t>
      </w:r>
      <w:r>
        <w:rPr>
          <w:spacing w:val="1"/>
        </w:rPr>
        <w:t>t</w:t>
      </w:r>
      <w:r>
        <w:t xml:space="preserve">e </w:t>
      </w:r>
      <w:r>
        <w:rPr>
          <w:spacing w:val="-2"/>
        </w:rPr>
        <w:t>s</w:t>
      </w:r>
      <w:r>
        <w:t>au a</w:t>
      </w:r>
      <w:r>
        <w:rPr>
          <w:spacing w:val="-2"/>
        </w:rPr>
        <w:t xml:space="preserve"> </w:t>
      </w:r>
      <w:r>
        <w:t>că</w:t>
      </w:r>
      <w:r>
        <w:rPr>
          <w:spacing w:val="-2"/>
        </w:rPr>
        <w:t>r</w:t>
      </w:r>
      <w:r>
        <w:t>or</w:t>
      </w:r>
      <w:r>
        <w:rPr>
          <w:spacing w:val="-2"/>
        </w:rPr>
        <w:t xml:space="preserve"> </w:t>
      </w:r>
      <w:r>
        <w:t>do</w:t>
      </w:r>
      <w:r>
        <w:rPr>
          <w:spacing w:val="-3"/>
        </w:rPr>
        <w:t>z</w:t>
      </w:r>
      <w:r>
        <w:t>ă a fo</w:t>
      </w:r>
      <w:r>
        <w:rPr>
          <w:spacing w:val="-2"/>
        </w:rPr>
        <w:t>s</w:t>
      </w:r>
      <w:r>
        <w:t>t</w:t>
      </w:r>
      <w:r>
        <w:rPr>
          <w:spacing w:val="1"/>
        </w:rPr>
        <w:t xml:space="preserve"> </w:t>
      </w:r>
      <w:r>
        <w:rPr>
          <w:spacing w:val="-3"/>
        </w:rPr>
        <w:t>c</w:t>
      </w:r>
      <w:r>
        <w:t>re</w:t>
      </w:r>
      <w:r>
        <w:rPr>
          <w:spacing w:val="-2"/>
        </w:rPr>
        <w:t>s</w:t>
      </w:r>
      <w:r>
        <w:t>cu</w:t>
      </w:r>
      <w:r>
        <w:rPr>
          <w:spacing w:val="-2"/>
        </w:rPr>
        <w:t>t</w:t>
      </w:r>
      <w:r>
        <w:t>ă au f</w:t>
      </w:r>
      <w:r>
        <w:rPr>
          <w:spacing w:val="-3"/>
        </w:rPr>
        <w:t>o</w:t>
      </w:r>
      <w:r>
        <w:t>st</w:t>
      </w:r>
      <w:r>
        <w:rPr>
          <w:spacing w:val="1"/>
        </w:rPr>
        <w:t xml:space="preserve"> </w:t>
      </w:r>
      <w:r>
        <w:rPr>
          <w:spacing w:val="-3"/>
        </w:rPr>
        <w:t>c</w:t>
      </w:r>
      <w:r>
        <w:t>on</w:t>
      </w:r>
      <w:r>
        <w:rPr>
          <w:spacing w:val="-2"/>
        </w:rPr>
        <w:t>s</w:t>
      </w:r>
      <w:r>
        <w:rPr>
          <w:spacing w:val="1"/>
        </w:rPr>
        <w:t>i</w:t>
      </w:r>
      <w:r>
        <w:t>d</w:t>
      </w:r>
      <w:r>
        <w:rPr>
          <w:spacing w:val="-3"/>
        </w:rPr>
        <w:t>e</w:t>
      </w:r>
      <w:r>
        <w:t>ra</w:t>
      </w:r>
      <w:r>
        <w:rPr>
          <w:spacing w:val="-2"/>
        </w:rPr>
        <w:t>ţ</w:t>
      </w:r>
      <w:r>
        <w:t>i</w:t>
      </w:r>
      <w:r>
        <w:rPr>
          <w:spacing w:val="1"/>
        </w:rPr>
        <w:t xml:space="preserve"> </w:t>
      </w:r>
      <w:r>
        <w:t>n</w:t>
      </w:r>
      <w:r>
        <w:rPr>
          <w:spacing w:val="-3"/>
        </w:rPr>
        <w:t>o</w:t>
      </w:r>
      <w:r>
        <w:t>n</w:t>
      </w:r>
      <w:r>
        <w:rPr>
          <w:spacing w:val="-4"/>
        </w:rPr>
        <w:t>-</w:t>
      </w:r>
      <w:r>
        <w:t>respons</w:t>
      </w:r>
      <w:r>
        <w:rPr>
          <w:spacing w:val="1"/>
        </w:rPr>
        <w:t>i</w:t>
      </w:r>
      <w:r>
        <w:rPr>
          <w:spacing w:val="-3"/>
        </w:rPr>
        <w:t>v</w:t>
      </w:r>
      <w:r>
        <w:rPr>
          <w:spacing w:val="1"/>
        </w:rPr>
        <w:t>i</w:t>
      </w:r>
      <w:r>
        <w:t xml:space="preserve">, </w:t>
      </w:r>
      <w:r>
        <w:rPr>
          <w:spacing w:val="-1"/>
        </w:rPr>
        <w:t>PAS</w:t>
      </w:r>
      <w:r>
        <w:t>I</w:t>
      </w:r>
      <w:r>
        <w:rPr>
          <w:spacing w:val="-4"/>
        </w:rPr>
        <w:t xml:space="preserve"> </w:t>
      </w:r>
      <w:r>
        <w:t>75 şi</w:t>
      </w:r>
      <w:r>
        <w:rPr>
          <w:spacing w:val="1"/>
        </w:rPr>
        <w:t xml:space="preserve"> </w:t>
      </w:r>
      <w:r>
        <w:t>s</w:t>
      </w:r>
      <w:r>
        <w:rPr>
          <w:spacing w:val="-3"/>
        </w:rPr>
        <w:t>c</w:t>
      </w:r>
      <w:r>
        <w:t>or</w:t>
      </w:r>
      <w:r>
        <w:rPr>
          <w:spacing w:val="-3"/>
        </w:rPr>
        <w:t>u</w:t>
      </w:r>
      <w:r>
        <w:t>l</w:t>
      </w:r>
      <w:r>
        <w:rPr>
          <w:spacing w:val="1"/>
        </w:rPr>
        <w:t xml:space="preserve"> </w:t>
      </w:r>
      <w:r>
        <w:rPr>
          <w:spacing w:val="-2"/>
        </w:rPr>
        <w:t>m</w:t>
      </w:r>
      <w:r>
        <w:rPr>
          <w:spacing w:val="1"/>
        </w:rPr>
        <w:t>i</w:t>
      </w:r>
      <w:r>
        <w:t>n</w:t>
      </w:r>
      <w:r>
        <w:rPr>
          <w:spacing w:val="1"/>
        </w:rPr>
        <w:t>i</w:t>
      </w:r>
      <w:r>
        <w:t>m</w:t>
      </w:r>
      <w:r>
        <w:rPr>
          <w:spacing w:val="-4"/>
        </w:rPr>
        <w:t xml:space="preserve"> </w:t>
      </w:r>
      <w:r>
        <w:rPr>
          <w:spacing w:val="1"/>
        </w:rPr>
        <w:t>i</w:t>
      </w:r>
      <w:r>
        <w:t>n</w:t>
      </w:r>
      <w:r>
        <w:rPr>
          <w:spacing w:val="-2"/>
        </w:rPr>
        <w:t>i</w:t>
      </w:r>
      <w:r>
        <w:rPr>
          <w:spacing w:val="1"/>
        </w:rPr>
        <w:t>ţ</w:t>
      </w:r>
      <w:r>
        <w:rPr>
          <w:spacing w:val="-2"/>
        </w:rPr>
        <w:t>i</w:t>
      </w:r>
      <w:r>
        <w:t>al</w:t>
      </w:r>
      <w:r>
        <w:rPr>
          <w:spacing w:val="1"/>
        </w:rPr>
        <w:t xml:space="preserve"> </w:t>
      </w:r>
      <w:r>
        <w:rPr>
          <w:spacing w:val="-1"/>
        </w:rPr>
        <w:t>PG</w:t>
      </w:r>
      <w:r>
        <w:t>A</w:t>
      </w:r>
      <w:r>
        <w:rPr>
          <w:spacing w:val="-1"/>
        </w:rPr>
        <w:t xml:space="preserve"> </w:t>
      </w:r>
      <w:r>
        <w:rPr>
          <w:spacing w:val="-2"/>
        </w:rPr>
        <w:t>l</w:t>
      </w:r>
      <w:r>
        <w:t>a a</w:t>
      </w:r>
      <w:r>
        <w:rPr>
          <w:spacing w:val="-3"/>
        </w:rPr>
        <w:t>c</w:t>
      </w:r>
      <w:r>
        <w:t>e</w:t>
      </w:r>
      <w:r>
        <w:rPr>
          <w:spacing w:val="-2"/>
        </w:rPr>
        <w:t>ş</w:t>
      </w:r>
      <w:r>
        <w:rPr>
          <w:spacing w:val="1"/>
        </w:rPr>
        <w:t>t</w:t>
      </w:r>
      <w:r>
        <w:t>i</w:t>
      </w:r>
      <w:r>
        <w:rPr>
          <w:spacing w:val="1"/>
        </w:rPr>
        <w:t xml:space="preserve"> </w:t>
      </w:r>
      <w:r>
        <w:rPr>
          <w:spacing w:val="-3"/>
        </w:rPr>
        <w:t>p</w:t>
      </w:r>
      <w:r>
        <w:t>ac</w:t>
      </w:r>
      <w:r>
        <w:rPr>
          <w:spacing w:val="1"/>
        </w:rPr>
        <w:t>i</w:t>
      </w:r>
      <w:r>
        <w:rPr>
          <w:spacing w:val="-3"/>
        </w:rPr>
        <w:t>e</w:t>
      </w:r>
      <w:r>
        <w:t>n</w:t>
      </w:r>
      <w:r>
        <w:rPr>
          <w:spacing w:val="-2"/>
        </w:rPr>
        <w:t>ţ</w:t>
      </w:r>
      <w:r>
        <w:t>i</w:t>
      </w:r>
      <w:r>
        <w:rPr>
          <w:spacing w:val="1"/>
        </w:rPr>
        <w:t xml:space="preserve"> </w:t>
      </w:r>
      <w:r>
        <w:t>au</w:t>
      </w:r>
      <w:r>
        <w:rPr>
          <w:spacing w:val="-3"/>
        </w:rPr>
        <w:t xml:space="preserve"> </w:t>
      </w:r>
      <w:r>
        <w:t>fo</w:t>
      </w:r>
      <w:r>
        <w:rPr>
          <w:spacing w:val="-2"/>
        </w:rPr>
        <w:t>s</w:t>
      </w:r>
      <w:r>
        <w:t>t 69,6%</w:t>
      </w:r>
      <w:r>
        <w:rPr>
          <w:spacing w:val="-2"/>
        </w:rPr>
        <w:t xml:space="preserve"> </w:t>
      </w:r>
      <w:r>
        <w:t>şi</w:t>
      </w:r>
      <w:r>
        <w:rPr>
          <w:spacing w:val="-2"/>
        </w:rPr>
        <w:t xml:space="preserve"> </w:t>
      </w:r>
      <w:r>
        <w:t>res</w:t>
      </w:r>
      <w:r>
        <w:rPr>
          <w:spacing w:val="-3"/>
        </w:rPr>
        <w:t>p</w:t>
      </w:r>
      <w:r>
        <w:t>e</w:t>
      </w:r>
      <w:r>
        <w:rPr>
          <w:spacing w:val="-3"/>
        </w:rPr>
        <w:t>c</w:t>
      </w:r>
      <w:r>
        <w:rPr>
          <w:spacing w:val="1"/>
        </w:rPr>
        <w:t>ti</w:t>
      </w:r>
      <w:r>
        <w:t>v</w:t>
      </w:r>
      <w:r>
        <w:rPr>
          <w:spacing w:val="-3"/>
        </w:rPr>
        <w:t xml:space="preserve"> </w:t>
      </w:r>
      <w:r>
        <w:t>55,</w:t>
      </w:r>
      <w:r>
        <w:rPr>
          <w:spacing w:val="-3"/>
        </w:rPr>
        <w:t>7</w:t>
      </w:r>
      <w:r>
        <w:t>%,</w:t>
      </w:r>
      <w:r>
        <w:rPr>
          <w:spacing w:val="-3"/>
        </w:rPr>
        <w:t xml:space="preserve"> </w:t>
      </w:r>
      <w:r>
        <w:t xml:space="preserve">după o </w:t>
      </w:r>
      <w:r>
        <w:rPr>
          <w:spacing w:val="-3"/>
        </w:rPr>
        <w:t>p</w:t>
      </w:r>
      <w:r>
        <w:t>e</w:t>
      </w:r>
      <w:r>
        <w:rPr>
          <w:spacing w:val="-2"/>
        </w:rPr>
        <w:t>r</w:t>
      </w:r>
      <w:r>
        <w:rPr>
          <w:spacing w:val="1"/>
        </w:rPr>
        <w:t>i</w:t>
      </w:r>
      <w:r>
        <w:t>oa</w:t>
      </w:r>
      <w:r>
        <w:rPr>
          <w:spacing w:val="-3"/>
        </w:rPr>
        <w:t>d</w:t>
      </w:r>
      <w:r>
        <w:t>ă su</w:t>
      </w:r>
      <w:r>
        <w:rPr>
          <w:spacing w:val="-3"/>
        </w:rPr>
        <w:t>p</w:t>
      </w:r>
      <w:r>
        <w:rPr>
          <w:spacing w:val="1"/>
        </w:rPr>
        <w:t>li</w:t>
      </w:r>
      <w:r>
        <w:rPr>
          <w:spacing w:val="-4"/>
        </w:rPr>
        <w:t>m</w:t>
      </w:r>
      <w:r>
        <w:t>en</w:t>
      </w:r>
      <w:r>
        <w:rPr>
          <w:spacing w:val="1"/>
        </w:rPr>
        <w:t>t</w:t>
      </w:r>
      <w:r>
        <w:rPr>
          <w:spacing w:val="-3"/>
        </w:rPr>
        <w:t>a</w:t>
      </w:r>
      <w:r>
        <w:t>ră de</w:t>
      </w:r>
      <w:r>
        <w:rPr>
          <w:spacing w:val="-2"/>
        </w:rPr>
        <w:t xml:space="preserve"> </w:t>
      </w:r>
      <w:r>
        <w:rPr>
          <w:spacing w:val="1"/>
        </w:rPr>
        <w:t>t</w:t>
      </w:r>
      <w:r>
        <w:rPr>
          <w:spacing w:val="-2"/>
        </w:rPr>
        <w:t>i</w:t>
      </w:r>
      <w:r>
        <w:t>p d</w:t>
      </w:r>
      <w:r>
        <w:rPr>
          <w:spacing w:val="-3"/>
        </w:rPr>
        <w:t>e</w:t>
      </w:r>
      <w:r>
        <w:t>sc</w:t>
      </w:r>
      <w:r>
        <w:rPr>
          <w:spacing w:val="-3"/>
        </w:rPr>
        <w:t>h</w:t>
      </w:r>
      <w:r>
        <w:rPr>
          <w:spacing w:val="1"/>
        </w:rPr>
        <w:t>i</w:t>
      </w:r>
      <w:r>
        <w:t>s de</w:t>
      </w:r>
      <w:r>
        <w:rPr>
          <w:spacing w:val="-2"/>
        </w:rPr>
        <w:t xml:space="preserve"> </w:t>
      </w:r>
      <w:r>
        <w:t xml:space="preserve">108 </w:t>
      </w:r>
      <w:r>
        <w:rPr>
          <w:spacing w:val="-2"/>
        </w:rPr>
        <w:t>s</w:t>
      </w:r>
      <w:r>
        <w:t>ă</w:t>
      </w:r>
      <w:r>
        <w:rPr>
          <w:spacing w:val="-3"/>
        </w:rPr>
        <w:t>p</w:t>
      </w:r>
      <w:r>
        <w:rPr>
          <w:spacing w:val="1"/>
        </w:rPr>
        <w:t>t</w:t>
      </w:r>
      <w:r>
        <w:t>ă</w:t>
      </w:r>
      <w:r>
        <w:rPr>
          <w:spacing w:val="-4"/>
        </w:rPr>
        <w:t>m</w:t>
      </w:r>
      <w:r>
        <w:t>âni</w:t>
      </w:r>
      <w:r>
        <w:rPr>
          <w:spacing w:val="1"/>
        </w:rPr>
        <w:t xml:space="preserve"> </w:t>
      </w:r>
      <w:r>
        <w:t>de</w:t>
      </w:r>
      <w:r>
        <w:rPr>
          <w:spacing w:val="-2"/>
        </w:rPr>
        <w:t xml:space="preserve"> </w:t>
      </w:r>
      <w:r>
        <w:rPr>
          <w:spacing w:val="1"/>
        </w:rPr>
        <w:t>t</w:t>
      </w:r>
      <w:r>
        <w:t>r</w:t>
      </w:r>
      <w:r>
        <w:rPr>
          <w:spacing w:val="-3"/>
        </w:rPr>
        <w:t>a</w:t>
      </w:r>
      <w:r>
        <w:rPr>
          <w:spacing w:val="1"/>
        </w:rPr>
        <w:t>t</w:t>
      </w:r>
      <w:r>
        <w:t>a</w:t>
      </w:r>
      <w:r>
        <w:rPr>
          <w:spacing w:val="-4"/>
        </w:rPr>
        <w:t>m</w:t>
      </w:r>
      <w:r>
        <w:t>ent (</w:t>
      </w:r>
      <w:r>
        <w:rPr>
          <w:spacing w:val="1"/>
        </w:rPr>
        <w:t>î</w:t>
      </w:r>
      <w:r>
        <w:t>n</w:t>
      </w:r>
      <w:r>
        <w:rPr>
          <w:spacing w:val="-3"/>
        </w:rPr>
        <w:t xml:space="preserve"> </w:t>
      </w:r>
      <w:r>
        <w:rPr>
          <w:spacing w:val="1"/>
        </w:rPr>
        <w:t>t</w:t>
      </w:r>
      <w:r>
        <w:t>o</w:t>
      </w:r>
      <w:r>
        <w:rPr>
          <w:spacing w:val="-2"/>
        </w:rPr>
        <w:t>t</w:t>
      </w:r>
      <w:r>
        <w:t>al</w:t>
      </w:r>
      <w:r>
        <w:rPr>
          <w:spacing w:val="-2"/>
        </w:rPr>
        <w:t xml:space="preserve"> </w:t>
      </w:r>
      <w:r>
        <w:t xml:space="preserve">160 </w:t>
      </w:r>
      <w:r>
        <w:rPr>
          <w:spacing w:val="-2"/>
        </w:rPr>
        <w:t>s</w:t>
      </w:r>
      <w:r>
        <w:t>ăp</w:t>
      </w:r>
      <w:r>
        <w:rPr>
          <w:spacing w:val="-2"/>
        </w:rPr>
        <w:t>t</w:t>
      </w:r>
      <w:r>
        <w:t>ă</w:t>
      </w:r>
      <w:r>
        <w:rPr>
          <w:spacing w:val="-4"/>
        </w:rPr>
        <w:t>m</w:t>
      </w:r>
      <w:r>
        <w:t>ân</w:t>
      </w:r>
      <w:r>
        <w:rPr>
          <w:spacing w:val="1"/>
        </w:rPr>
        <w:t>i</w:t>
      </w:r>
      <w:r>
        <w:t>).</w:t>
      </w:r>
    </w:p>
    <w:p w14:paraId="0F85A1BB" w14:textId="77777777" w:rsidR="00C04CAD" w:rsidRDefault="00C04CAD">
      <w:pPr>
        <w:tabs>
          <w:tab w:val="clear" w:pos="567"/>
        </w:tabs>
        <w:kinsoku w:val="0"/>
        <w:overflowPunct w:val="0"/>
        <w:autoSpaceDE w:val="0"/>
        <w:autoSpaceDN w:val="0"/>
        <w:adjustRightInd w:val="0"/>
        <w:spacing w:line="240" w:lineRule="auto"/>
      </w:pPr>
    </w:p>
    <w:p w14:paraId="149A4A58" w14:textId="77777777" w:rsidR="00C04CAD" w:rsidRDefault="00060E34">
      <w:pPr>
        <w:tabs>
          <w:tab w:val="clear" w:pos="567"/>
        </w:tabs>
        <w:kinsoku w:val="0"/>
        <w:overflowPunct w:val="0"/>
        <w:autoSpaceDE w:val="0"/>
        <w:autoSpaceDN w:val="0"/>
        <w:adjustRightInd w:val="0"/>
        <w:spacing w:line="240" w:lineRule="auto"/>
      </w:pPr>
      <w:r>
        <w:rPr>
          <w:spacing w:val="-4"/>
        </w:rPr>
        <w:t>Î</w:t>
      </w:r>
      <w:r>
        <w:t>n</w:t>
      </w:r>
      <w:r>
        <w:rPr>
          <w:spacing w:val="1"/>
        </w:rPr>
        <w:t>t</w:t>
      </w:r>
      <w:r>
        <w:rPr>
          <w:spacing w:val="3"/>
        </w:rPr>
        <w:t>r</w:t>
      </w:r>
      <w:r>
        <w:rPr>
          <w:spacing w:val="-4"/>
        </w:rPr>
        <w:t>-</w:t>
      </w:r>
      <w:r>
        <w:t>un s</w:t>
      </w:r>
      <w:r>
        <w:rPr>
          <w:spacing w:val="1"/>
        </w:rPr>
        <w:t>t</w:t>
      </w:r>
      <w:r>
        <w:t>ud</w:t>
      </w:r>
      <w:r>
        <w:rPr>
          <w:spacing w:val="1"/>
        </w:rPr>
        <w:t>i</w:t>
      </w:r>
      <w:r>
        <w:t>u</w:t>
      </w:r>
      <w:r>
        <w:rPr>
          <w:spacing w:val="-3"/>
        </w:rPr>
        <w:t xml:space="preserve"> </w:t>
      </w:r>
      <w:r>
        <w:t>de</w:t>
      </w:r>
      <w:r>
        <w:rPr>
          <w:spacing w:val="-2"/>
        </w:rPr>
        <w:t xml:space="preserve"> </w:t>
      </w:r>
      <w:r>
        <w:rPr>
          <w:spacing w:val="1"/>
        </w:rPr>
        <w:t>ti</w:t>
      </w:r>
      <w:r>
        <w:t>p</w:t>
      </w:r>
      <w:r>
        <w:rPr>
          <w:spacing w:val="-3"/>
        </w:rPr>
        <w:t xml:space="preserve"> </w:t>
      </w:r>
      <w:r>
        <w:t>ex</w:t>
      </w:r>
      <w:r>
        <w:rPr>
          <w:spacing w:val="-2"/>
        </w:rPr>
        <w:t>t</w:t>
      </w:r>
      <w:r>
        <w:rPr>
          <w:spacing w:val="1"/>
        </w:rPr>
        <w:t>i</w:t>
      </w:r>
      <w:r>
        <w:t>ns,</w:t>
      </w:r>
      <w:r>
        <w:rPr>
          <w:spacing w:val="-5"/>
        </w:rPr>
        <w:t xml:space="preserve"> </w:t>
      </w:r>
      <w:r>
        <w:t>desc</w:t>
      </w:r>
      <w:r>
        <w:rPr>
          <w:spacing w:val="-3"/>
        </w:rPr>
        <w:t>h</w:t>
      </w:r>
      <w:r>
        <w:rPr>
          <w:spacing w:val="1"/>
        </w:rPr>
        <w:t>i</w:t>
      </w:r>
      <w:r>
        <w:t xml:space="preserve">s, </w:t>
      </w:r>
      <w:r>
        <w:rPr>
          <w:spacing w:val="-3"/>
        </w:rPr>
        <w:t>3</w:t>
      </w:r>
      <w:r>
        <w:t>47 p</w:t>
      </w:r>
      <w:r>
        <w:rPr>
          <w:spacing w:val="-3"/>
        </w:rPr>
        <w:t>a</w:t>
      </w:r>
      <w:r>
        <w:t>c</w:t>
      </w:r>
      <w:r>
        <w:rPr>
          <w:spacing w:val="1"/>
        </w:rPr>
        <w:t>i</w:t>
      </w:r>
      <w:r>
        <w:rPr>
          <w:spacing w:val="-3"/>
        </w:rPr>
        <w:t>e</w:t>
      </w:r>
      <w:r>
        <w:t>n</w:t>
      </w:r>
      <w:r>
        <w:rPr>
          <w:spacing w:val="-2"/>
        </w:rPr>
        <w:t>ţ</w:t>
      </w:r>
      <w:r>
        <w:t>i</w:t>
      </w:r>
      <w:r>
        <w:rPr>
          <w:spacing w:val="1"/>
        </w:rPr>
        <w:t xml:space="preserve"> </w:t>
      </w:r>
      <w:r>
        <w:t>c</w:t>
      </w:r>
      <w:r>
        <w:rPr>
          <w:spacing w:val="-3"/>
        </w:rPr>
        <w:t>a</w:t>
      </w:r>
      <w:r>
        <w:t>re</w:t>
      </w:r>
      <w:r>
        <w:rPr>
          <w:spacing w:val="-2"/>
        </w:rPr>
        <w:t xml:space="preserve"> </w:t>
      </w:r>
      <w:r>
        <w:rPr>
          <w:spacing w:val="-3"/>
        </w:rPr>
        <w:t>a</w:t>
      </w:r>
      <w:r>
        <w:t>u ră</w:t>
      </w:r>
      <w:r>
        <w:rPr>
          <w:spacing w:val="-2"/>
        </w:rPr>
        <w:t>s</w:t>
      </w:r>
      <w:r>
        <w:t>puns</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ent</w:t>
      </w:r>
      <w:r>
        <w:rPr>
          <w:spacing w:val="-2"/>
        </w:rPr>
        <w:t xml:space="preserve"> </w:t>
      </w:r>
      <w:r>
        <w:rPr>
          <w:spacing w:val="1"/>
        </w:rPr>
        <w:t>î</w:t>
      </w:r>
      <w:r>
        <w:t xml:space="preserve">n </w:t>
      </w:r>
      <w:r>
        <w:rPr>
          <w:spacing w:val="-4"/>
        </w:rPr>
        <w:t>m</w:t>
      </w:r>
      <w:r>
        <w:t>od con</w:t>
      </w:r>
      <w:r>
        <w:rPr>
          <w:spacing w:val="-2"/>
        </w:rPr>
        <w:t>s</w:t>
      </w:r>
      <w:r>
        <w:rPr>
          <w:spacing w:val="1"/>
        </w:rPr>
        <w:t>t</w:t>
      </w:r>
      <w:r>
        <w:t>a</w:t>
      </w:r>
      <w:r>
        <w:rPr>
          <w:spacing w:val="-3"/>
        </w:rPr>
        <w:t>n</w:t>
      </w:r>
      <w:r>
        <w:rPr>
          <w:spacing w:val="1"/>
        </w:rPr>
        <w:t>t</w:t>
      </w:r>
      <w:r>
        <w:t xml:space="preserve">, </w:t>
      </w:r>
      <w:r>
        <w:rPr>
          <w:spacing w:val="-3"/>
        </w:rPr>
        <w:t>a</w:t>
      </w:r>
      <w:r>
        <w:t>u par</w:t>
      </w:r>
      <w:r>
        <w:rPr>
          <w:spacing w:val="-2"/>
        </w:rPr>
        <w:t>t</w:t>
      </w:r>
      <w:r>
        <w:rPr>
          <w:spacing w:val="1"/>
        </w:rPr>
        <w:t>i</w:t>
      </w:r>
      <w:r>
        <w:rPr>
          <w:spacing w:val="-3"/>
        </w:rPr>
        <w:t>c</w:t>
      </w:r>
      <w:r>
        <w:rPr>
          <w:spacing w:val="1"/>
        </w:rPr>
        <w:t>i</w:t>
      </w:r>
      <w:r>
        <w:t>p</w:t>
      </w:r>
      <w:r>
        <w:rPr>
          <w:spacing w:val="-3"/>
        </w:rPr>
        <w:t>a</w:t>
      </w:r>
      <w:r>
        <w:t>t</w:t>
      </w:r>
      <w:r>
        <w:rPr>
          <w:spacing w:val="1"/>
        </w:rPr>
        <w:t xml:space="preserve"> </w:t>
      </w:r>
      <w:r>
        <w:rPr>
          <w:spacing w:val="-2"/>
        </w:rPr>
        <w:t>l</w:t>
      </w:r>
      <w:r>
        <w:t>a o e</w:t>
      </w:r>
      <w:r>
        <w:rPr>
          <w:spacing w:val="-3"/>
        </w:rPr>
        <w:t>v</w:t>
      </w:r>
      <w:r>
        <w:t>a</w:t>
      </w:r>
      <w:r>
        <w:rPr>
          <w:spacing w:val="-2"/>
        </w:rPr>
        <w:t>l</w:t>
      </w:r>
      <w:r>
        <w:t>ua</w:t>
      </w:r>
      <w:r>
        <w:rPr>
          <w:spacing w:val="-2"/>
        </w:rPr>
        <w:t>r</w:t>
      </w:r>
      <w:r>
        <w:t xml:space="preserve">e a </w:t>
      </w:r>
      <w:r>
        <w:rPr>
          <w:spacing w:val="-3"/>
        </w:rPr>
        <w:t>pe</w:t>
      </w:r>
      <w:r>
        <w:t>r</w:t>
      </w:r>
      <w:r>
        <w:rPr>
          <w:spacing w:val="1"/>
        </w:rPr>
        <w:t>i</w:t>
      </w:r>
      <w:r>
        <w:t>o</w:t>
      </w:r>
      <w:r>
        <w:rPr>
          <w:spacing w:val="-3"/>
        </w:rPr>
        <w:t>a</w:t>
      </w:r>
      <w:r>
        <w:t>dei</w:t>
      </w:r>
      <w:r>
        <w:rPr>
          <w:spacing w:val="-2"/>
        </w:rPr>
        <w:t xml:space="preserve"> </w:t>
      </w:r>
      <w:r>
        <w:t>de</w:t>
      </w:r>
      <w:r>
        <w:rPr>
          <w:spacing w:val="-2"/>
        </w:rPr>
        <w:t xml:space="preserve"> </w:t>
      </w:r>
      <w:r>
        <w:rPr>
          <w:spacing w:val="1"/>
        </w:rPr>
        <w:t>î</w:t>
      </w:r>
      <w:r>
        <w:t>n</w:t>
      </w:r>
      <w:r>
        <w:rPr>
          <w:spacing w:val="-2"/>
        </w:rPr>
        <w:t>t</w:t>
      </w:r>
      <w:r>
        <w:t>r</w:t>
      </w:r>
      <w:r>
        <w:rPr>
          <w:spacing w:val="-3"/>
        </w:rPr>
        <w:t>e</w:t>
      </w:r>
      <w:r>
        <w:t>rup</w:t>
      </w:r>
      <w:r>
        <w:rPr>
          <w:spacing w:val="-3"/>
        </w:rPr>
        <w:t>e</w:t>
      </w:r>
      <w:r>
        <w:t xml:space="preserve">re </w:t>
      </w:r>
      <w:r>
        <w:rPr>
          <w:spacing w:val="-2"/>
        </w:rPr>
        <w:t>ş</w:t>
      </w:r>
      <w:r>
        <w:t>i</w:t>
      </w:r>
      <w:r>
        <w:rPr>
          <w:spacing w:val="1"/>
        </w:rPr>
        <w:t xml:space="preserve"> </w:t>
      </w:r>
      <w:r>
        <w:rPr>
          <w:spacing w:val="-3"/>
        </w:rPr>
        <w:t>d</w:t>
      </w:r>
      <w:r>
        <w:t>e</w:t>
      </w:r>
      <w:r>
        <w:rPr>
          <w:spacing w:val="-2"/>
        </w:rPr>
        <w:t xml:space="preserve"> </w:t>
      </w:r>
      <w:r>
        <w:t>re</w:t>
      </w:r>
      <w:r>
        <w:rPr>
          <w:spacing w:val="1"/>
        </w:rPr>
        <w:t>l</w:t>
      </w:r>
      <w:r>
        <w:rPr>
          <w:spacing w:val="-3"/>
        </w:rPr>
        <w:t>u</w:t>
      </w:r>
      <w:r>
        <w:t>a</w:t>
      </w:r>
      <w:r>
        <w:rPr>
          <w:spacing w:val="-2"/>
        </w:rPr>
        <w:t>r</w:t>
      </w:r>
      <w:r>
        <w:t>e a</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w:t>
      </w:r>
      <w:r>
        <w:rPr>
          <w:spacing w:val="1"/>
        </w:rPr>
        <w:t>i</w:t>
      </w:r>
      <w:r>
        <w:t xml:space="preserve">. </w:t>
      </w:r>
      <w:r>
        <w:rPr>
          <w:spacing w:val="-4"/>
        </w:rPr>
        <w:t>Î</w:t>
      </w:r>
      <w:r>
        <w:t xml:space="preserve">n </w:t>
      </w:r>
      <w:r>
        <w:rPr>
          <w:spacing w:val="-2"/>
        </w:rPr>
        <w:t>t</w:t>
      </w:r>
      <w:r>
        <w:rPr>
          <w:spacing w:val="1"/>
        </w:rPr>
        <w:t>i</w:t>
      </w:r>
      <w:r>
        <w:rPr>
          <w:spacing w:val="-4"/>
        </w:rPr>
        <w:t>m</w:t>
      </w:r>
      <w:r>
        <w:t>pul</w:t>
      </w:r>
      <w:r>
        <w:rPr>
          <w:spacing w:val="1"/>
        </w:rPr>
        <w:t xml:space="preserve"> </w:t>
      </w:r>
      <w:r>
        <w:t>pe</w:t>
      </w:r>
      <w:r>
        <w:rPr>
          <w:spacing w:val="-2"/>
        </w:rPr>
        <w:t>r</w:t>
      </w:r>
      <w:r>
        <w:rPr>
          <w:spacing w:val="1"/>
        </w:rPr>
        <w:t>i</w:t>
      </w:r>
      <w:r>
        <w:t>oa</w:t>
      </w:r>
      <w:r>
        <w:rPr>
          <w:spacing w:val="-3"/>
        </w:rPr>
        <w:t>d</w:t>
      </w:r>
      <w:r>
        <w:t>ei</w:t>
      </w:r>
      <w:r>
        <w:rPr>
          <w:spacing w:val="1"/>
        </w:rPr>
        <w:t xml:space="preserve"> </w:t>
      </w:r>
      <w:r>
        <w:rPr>
          <w:spacing w:val="-3"/>
        </w:rPr>
        <w:t>d</w:t>
      </w:r>
      <w:r>
        <w:t xml:space="preserve">e </w:t>
      </w:r>
      <w:r>
        <w:rPr>
          <w:spacing w:val="1"/>
        </w:rPr>
        <w:t>î</w:t>
      </w:r>
      <w:r>
        <w:t>n</w:t>
      </w:r>
      <w:r>
        <w:rPr>
          <w:spacing w:val="-2"/>
        </w:rPr>
        <w:t>t</w:t>
      </w:r>
      <w:r>
        <w:t>re</w:t>
      </w:r>
      <w:r>
        <w:rPr>
          <w:spacing w:val="-2"/>
        </w:rPr>
        <w:t>r</w:t>
      </w:r>
      <w:r>
        <w:t>up</w:t>
      </w:r>
      <w:r>
        <w:rPr>
          <w:spacing w:val="-3"/>
        </w:rPr>
        <w:t>e</w:t>
      </w:r>
      <w:r>
        <w:t>re 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w:t>
      </w:r>
      <w:r>
        <w:rPr>
          <w:spacing w:val="1"/>
        </w:rPr>
        <w:t>l</w:t>
      </w:r>
      <w:r>
        <w:rPr>
          <w:spacing w:val="-3"/>
        </w:rPr>
        <w:t>u</w:t>
      </w:r>
      <w:r>
        <w:rPr>
          <w:spacing w:val="1"/>
        </w:rPr>
        <w:t>i</w:t>
      </w:r>
      <w:r>
        <w:t>,</w:t>
      </w:r>
      <w:r>
        <w:rPr>
          <w:spacing w:val="-3"/>
        </w:rPr>
        <w:t xml:space="preserve"> </w:t>
      </w:r>
      <w:r>
        <w:t>s</w:t>
      </w:r>
      <w:r>
        <w:rPr>
          <w:spacing w:val="1"/>
        </w:rPr>
        <w:t>i</w:t>
      </w:r>
      <w:r>
        <w:rPr>
          <w:spacing w:val="-4"/>
        </w:rPr>
        <w:t>m</w:t>
      </w:r>
      <w:r>
        <w:t>p</w:t>
      </w:r>
      <w:r>
        <w:rPr>
          <w:spacing w:val="1"/>
        </w:rPr>
        <w:t>t</w:t>
      </w:r>
      <w:r>
        <w:t>o</w:t>
      </w:r>
      <w:r>
        <w:rPr>
          <w:spacing w:val="-4"/>
        </w:rPr>
        <w:t>m</w:t>
      </w:r>
      <w:r>
        <w:t>e</w:t>
      </w:r>
      <w:r>
        <w:rPr>
          <w:spacing w:val="1"/>
        </w:rPr>
        <w:t>l</w:t>
      </w:r>
      <w:r>
        <w:t>e pso</w:t>
      </w:r>
      <w:r>
        <w:rPr>
          <w:spacing w:val="-2"/>
        </w:rPr>
        <w:t>r</w:t>
      </w:r>
      <w:r>
        <w:rPr>
          <w:spacing w:val="1"/>
        </w:rPr>
        <w:t>i</w:t>
      </w:r>
      <w:r>
        <w:t>a</w:t>
      </w:r>
      <w:r>
        <w:rPr>
          <w:spacing w:val="-3"/>
        </w:rPr>
        <w:t>z</w:t>
      </w:r>
      <w:r>
        <w:rPr>
          <w:spacing w:val="1"/>
        </w:rPr>
        <w:t>i</w:t>
      </w:r>
      <w:r>
        <w:rPr>
          <w:spacing w:val="-2"/>
        </w:rPr>
        <w:t>s</w:t>
      </w:r>
      <w:r>
        <w:t>u</w:t>
      </w:r>
      <w:r>
        <w:rPr>
          <w:spacing w:val="1"/>
        </w:rPr>
        <w:t>l</w:t>
      </w:r>
      <w:r>
        <w:rPr>
          <w:spacing w:val="-3"/>
        </w:rPr>
        <w:t>u</w:t>
      </w:r>
      <w:r>
        <w:t>i</w:t>
      </w:r>
      <w:r>
        <w:rPr>
          <w:spacing w:val="1"/>
        </w:rPr>
        <w:t xml:space="preserve"> </w:t>
      </w:r>
      <w:r>
        <w:rPr>
          <w:spacing w:val="-3"/>
        </w:rPr>
        <w:t>a</w:t>
      </w:r>
      <w:r>
        <w:t>u re</w:t>
      </w:r>
      <w:r>
        <w:rPr>
          <w:spacing w:val="-3"/>
        </w:rPr>
        <w:t>v</w:t>
      </w:r>
      <w:r>
        <w:t>en</w:t>
      </w:r>
      <w:r>
        <w:rPr>
          <w:spacing w:val="-2"/>
        </w:rPr>
        <w:t>i</w:t>
      </w:r>
      <w:r>
        <w:t>t</w:t>
      </w:r>
      <w:r>
        <w:rPr>
          <w:spacing w:val="1"/>
        </w:rPr>
        <w:t xml:space="preserve"> </w:t>
      </w:r>
      <w:r>
        <w:t>de</w:t>
      </w:r>
      <w:r>
        <w:rPr>
          <w:spacing w:val="-4"/>
        </w:rPr>
        <w:t>-</w:t>
      </w:r>
      <w:r>
        <w:t xml:space="preserve">a </w:t>
      </w:r>
      <w:r>
        <w:rPr>
          <w:spacing w:val="1"/>
        </w:rPr>
        <w:t>l</w:t>
      </w:r>
      <w:r>
        <w:t>un</w:t>
      </w:r>
      <w:r>
        <w:rPr>
          <w:spacing w:val="-3"/>
        </w:rPr>
        <w:t>g</w:t>
      </w:r>
      <w:r>
        <w:t>ul</w:t>
      </w:r>
      <w:r>
        <w:rPr>
          <w:spacing w:val="1"/>
        </w:rPr>
        <w:t xml:space="preserve"> </w:t>
      </w:r>
      <w:r>
        <w:t>p</w:t>
      </w:r>
      <w:r>
        <w:rPr>
          <w:spacing w:val="-3"/>
        </w:rPr>
        <w:t>e</w:t>
      </w:r>
      <w:r>
        <w:t>r</w:t>
      </w:r>
      <w:r>
        <w:rPr>
          <w:spacing w:val="-2"/>
        </w:rPr>
        <w:t>i</w:t>
      </w:r>
      <w:r>
        <w:t>o</w:t>
      </w:r>
      <w:r>
        <w:rPr>
          <w:spacing w:val="-3"/>
        </w:rPr>
        <w:t>a</w:t>
      </w:r>
      <w:r>
        <w:t>dei</w:t>
      </w:r>
      <w:r>
        <w:rPr>
          <w:spacing w:val="1"/>
        </w:rPr>
        <w:t xml:space="preserve"> </w:t>
      </w:r>
      <w:r>
        <w:rPr>
          <w:spacing w:val="-3"/>
        </w:rPr>
        <w:t>c</w:t>
      </w:r>
      <w:r>
        <w:t>u un</w:t>
      </w:r>
      <w:r>
        <w:rPr>
          <w:spacing w:val="-3"/>
        </w:rPr>
        <w:t xml:space="preserve"> </w:t>
      </w:r>
      <w:r>
        <w:rPr>
          <w:spacing w:val="1"/>
        </w:rPr>
        <w:t>i</w:t>
      </w:r>
      <w:r>
        <w:t>n</w:t>
      </w:r>
      <w:r>
        <w:rPr>
          <w:spacing w:val="-2"/>
        </w:rPr>
        <w:t>t</w:t>
      </w:r>
      <w:r>
        <w:t>er</w:t>
      </w:r>
      <w:r>
        <w:rPr>
          <w:spacing w:val="-3"/>
        </w:rPr>
        <w:t>v</w:t>
      </w:r>
      <w:r>
        <w:t>al</w:t>
      </w:r>
      <w:r>
        <w:rPr>
          <w:spacing w:val="1"/>
        </w:rPr>
        <w:t xml:space="preserve"> </w:t>
      </w:r>
      <w:r>
        <w:rPr>
          <w:spacing w:val="-3"/>
        </w:rPr>
        <w:t>d</w:t>
      </w:r>
      <w:r>
        <w:t xml:space="preserve">e </w:t>
      </w:r>
      <w:r>
        <w:rPr>
          <w:spacing w:val="1"/>
        </w:rPr>
        <w:t>ti</w:t>
      </w:r>
      <w:r>
        <w:rPr>
          <w:spacing w:val="-4"/>
        </w:rPr>
        <w:t>m</w:t>
      </w:r>
      <w:r>
        <w:t xml:space="preserve">p </w:t>
      </w:r>
      <w:r>
        <w:rPr>
          <w:spacing w:val="-4"/>
        </w:rPr>
        <w:t>m</w:t>
      </w:r>
      <w:r>
        <w:t>ed</w:t>
      </w:r>
      <w:r>
        <w:rPr>
          <w:spacing w:val="1"/>
        </w:rPr>
        <w:t>i</w:t>
      </w:r>
      <w:r>
        <w:t xml:space="preserve">u </w:t>
      </w:r>
      <w:r>
        <w:rPr>
          <w:spacing w:val="1"/>
        </w:rPr>
        <w:t>î</w:t>
      </w:r>
      <w:r>
        <w:t>n</w:t>
      </w:r>
      <w:r>
        <w:rPr>
          <w:spacing w:val="-2"/>
        </w:rPr>
        <w:t>t</w:t>
      </w:r>
      <w:r>
        <w:t xml:space="preserve">re </w:t>
      </w:r>
      <w:r>
        <w:rPr>
          <w:spacing w:val="-2"/>
        </w:rPr>
        <w:t>r</w:t>
      </w:r>
      <w:r>
        <w:t>ec</w:t>
      </w:r>
      <w:r>
        <w:rPr>
          <w:spacing w:val="-3"/>
        </w:rPr>
        <w:t>ă</w:t>
      </w:r>
      <w:r>
        <w:t>de</w:t>
      </w:r>
      <w:r>
        <w:rPr>
          <w:spacing w:val="-2"/>
        </w:rPr>
        <w:t>r</w:t>
      </w:r>
      <w:r>
        <w:t>i</w:t>
      </w:r>
      <w:r>
        <w:rPr>
          <w:spacing w:val="1"/>
        </w:rPr>
        <w:t xml:space="preserve"> </w:t>
      </w:r>
      <w:r>
        <w:rPr>
          <w:spacing w:val="-2"/>
        </w:rPr>
        <w:t>(s</w:t>
      </w:r>
      <w:r>
        <w:t>căd</w:t>
      </w:r>
      <w:r>
        <w:rPr>
          <w:spacing w:val="-3"/>
        </w:rPr>
        <w:t>e</w:t>
      </w:r>
      <w:r>
        <w:t>re a</w:t>
      </w:r>
      <w:r>
        <w:rPr>
          <w:spacing w:val="-2"/>
        </w:rPr>
        <w:t xml:space="preserve"> </w:t>
      </w:r>
      <w:r>
        <w:t>sc</w:t>
      </w:r>
      <w:r>
        <w:rPr>
          <w:spacing w:val="-3"/>
        </w:rPr>
        <w:t>o</w:t>
      </w:r>
      <w:r>
        <w:t>ru</w:t>
      </w:r>
      <w:r>
        <w:rPr>
          <w:spacing w:val="1"/>
        </w:rPr>
        <w:t>l</w:t>
      </w:r>
      <w:r>
        <w:rPr>
          <w:spacing w:val="-3"/>
        </w:rPr>
        <w:t>u</w:t>
      </w:r>
      <w:r>
        <w:t>i</w:t>
      </w:r>
      <w:r>
        <w:rPr>
          <w:spacing w:val="-2"/>
        </w:rPr>
        <w:t xml:space="preserve"> </w:t>
      </w:r>
      <w:r>
        <w:rPr>
          <w:spacing w:val="1"/>
        </w:rPr>
        <w:t>i</w:t>
      </w:r>
      <w:r>
        <w:t>n</w:t>
      </w:r>
      <w:r>
        <w:rPr>
          <w:spacing w:val="-2"/>
        </w:rPr>
        <w:t>i</w:t>
      </w:r>
      <w:r>
        <w:rPr>
          <w:spacing w:val="1"/>
        </w:rPr>
        <w:t>ţ</w:t>
      </w:r>
      <w:r>
        <w:rPr>
          <w:spacing w:val="-2"/>
        </w:rPr>
        <w:t>i</w:t>
      </w:r>
      <w:r>
        <w:t>al</w:t>
      </w:r>
      <w:r>
        <w:rPr>
          <w:spacing w:val="1"/>
        </w:rPr>
        <w:t xml:space="preserve"> </w:t>
      </w:r>
      <w:r>
        <w:rPr>
          <w:spacing w:val="-1"/>
        </w:rPr>
        <w:t>P</w:t>
      </w:r>
      <w:r>
        <w:rPr>
          <w:spacing w:val="-4"/>
        </w:rPr>
        <w:t>G</w:t>
      </w:r>
      <w:r>
        <w:t>A</w:t>
      </w:r>
      <w:r>
        <w:rPr>
          <w:spacing w:val="-1"/>
        </w:rPr>
        <w:t xml:space="preserve"> </w:t>
      </w:r>
      <w:r>
        <w:rPr>
          <w:spacing w:val="1"/>
        </w:rPr>
        <w:t>l</w:t>
      </w:r>
      <w:r>
        <w:t>a “</w:t>
      </w:r>
      <w:r>
        <w:rPr>
          <w:spacing w:val="-4"/>
        </w:rPr>
        <w:t>m</w:t>
      </w:r>
      <w:r>
        <w:t>oder</w:t>
      </w:r>
      <w:r>
        <w:rPr>
          <w:spacing w:val="-3"/>
        </w:rPr>
        <w:t>a</w:t>
      </w:r>
      <w:r>
        <w:rPr>
          <w:spacing w:val="1"/>
        </w:rPr>
        <w:t>t</w:t>
      </w:r>
      <w:r>
        <w:t xml:space="preserve">” </w:t>
      </w:r>
      <w:r>
        <w:rPr>
          <w:spacing w:val="-2"/>
        </w:rPr>
        <w:t>s</w:t>
      </w:r>
      <w:r>
        <w:t>au c</w:t>
      </w:r>
      <w:r>
        <w:rPr>
          <w:spacing w:val="-3"/>
        </w:rPr>
        <w:t>h</w:t>
      </w:r>
      <w:r>
        <w:rPr>
          <w:spacing w:val="1"/>
        </w:rPr>
        <w:t>i</w:t>
      </w:r>
      <w:r>
        <w:rPr>
          <w:spacing w:val="-3"/>
        </w:rPr>
        <w:t>a</w:t>
      </w:r>
      <w:r>
        <w:t>r</w:t>
      </w:r>
      <w:r>
        <w:rPr>
          <w:spacing w:val="1"/>
        </w:rPr>
        <w:t xml:space="preserve"> </w:t>
      </w:r>
      <w:r>
        <w:rPr>
          <w:spacing w:val="-4"/>
        </w:rPr>
        <w:t>m</w:t>
      </w:r>
      <w:r>
        <w:t>ai</w:t>
      </w:r>
      <w:r>
        <w:rPr>
          <w:spacing w:val="1"/>
        </w:rPr>
        <w:t xml:space="preserve"> </w:t>
      </w:r>
      <w:r>
        <w:rPr>
          <w:spacing w:val="-3"/>
        </w:rPr>
        <w:t>g</w:t>
      </w:r>
      <w:r>
        <w:t>ra</w:t>
      </w:r>
      <w:r>
        <w:rPr>
          <w:spacing w:val="-3"/>
        </w:rPr>
        <w:t>v</w:t>
      </w:r>
      <w:r>
        <w:t>)</w:t>
      </w:r>
      <w:r>
        <w:rPr>
          <w:spacing w:val="1"/>
        </w:rPr>
        <w:t xml:space="preserve"> </w:t>
      </w:r>
      <w:r>
        <w:t>de apro</w:t>
      </w:r>
      <w:r>
        <w:rPr>
          <w:spacing w:val="-3"/>
        </w:rPr>
        <w:t>x</w:t>
      </w:r>
      <w:r>
        <w:rPr>
          <w:spacing w:val="1"/>
        </w:rPr>
        <w:t>i</w:t>
      </w:r>
      <w:r>
        <w:rPr>
          <w:spacing w:val="-4"/>
        </w:rPr>
        <w:t>m</w:t>
      </w:r>
      <w:r>
        <w:t>a</w:t>
      </w:r>
      <w:r>
        <w:rPr>
          <w:spacing w:val="1"/>
        </w:rPr>
        <w:t>ti</w:t>
      </w:r>
      <w:r>
        <w:t>v</w:t>
      </w:r>
      <w:r>
        <w:rPr>
          <w:spacing w:val="-3"/>
        </w:rPr>
        <w:t xml:space="preserve"> </w:t>
      </w:r>
      <w:r>
        <w:t xml:space="preserve">5 </w:t>
      </w:r>
      <w:r>
        <w:rPr>
          <w:spacing w:val="1"/>
        </w:rPr>
        <w:t>l</w:t>
      </w:r>
      <w:r>
        <w:t>u</w:t>
      </w:r>
      <w:r>
        <w:rPr>
          <w:spacing w:val="-3"/>
        </w:rPr>
        <w:t>n</w:t>
      </w:r>
      <w:r>
        <w:rPr>
          <w:spacing w:val="1"/>
        </w:rPr>
        <w:t>i</w:t>
      </w:r>
      <w:r>
        <w:t xml:space="preserve">. </w:t>
      </w:r>
      <w:r>
        <w:rPr>
          <w:spacing w:val="-1"/>
        </w:rPr>
        <w:t>N</w:t>
      </w:r>
      <w:r>
        <w:rPr>
          <w:spacing w:val="-2"/>
        </w:rPr>
        <w:t>i</w:t>
      </w:r>
      <w:r>
        <w:t>c</w:t>
      </w:r>
      <w:r>
        <w:rPr>
          <w:spacing w:val="1"/>
        </w:rPr>
        <w:t>i</w:t>
      </w:r>
      <w:r>
        <w:t>u</w:t>
      </w:r>
      <w:r>
        <w:rPr>
          <w:spacing w:val="-3"/>
        </w:rPr>
        <w:t>nu</w:t>
      </w:r>
      <w:r>
        <w:t>l</w:t>
      </w:r>
      <w:r>
        <w:rPr>
          <w:spacing w:val="1"/>
        </w:rPr>
        <w:t xml:space="preserve"> </w:t>
      </w:r>
      <w:r>
        <w:t>d</w:t>
      </w:r>
      <w:r>
        <w:rPr>
          <w:spacing w:val="1"/>
        </w:rPr>
        <w:t>i</w:t>
      </w:r>
      <w:r>
        <w:rPr>
          <w:spacing w:val="-3"/>
        </w:rPr>
        <w:t>n</w:t>
      </w:r>
      <w:r>
        <w:rPr>
          <w:spacing w:val="1"/>
        </w:rPr>
        <w:t>t</w:t>
      </w:r>
      <w:r>
        <w:rPr>
          <w:spacing w:val="-2"/>
        </w:rPr>
        <w:t>r</w:t>
      </w:r>
      <w:r>
        <w:t>e a</w:t>
      </w:r>
      <w:r>
        <w:rPr>
          <w:spacing w:val="-3"/>
        </w:rPr>
        <w:t>c</w:t>
      </w:r>
      <w:r>
        <w:t>e</w:t>
      </w:r>
      <w:r>
        <w:rPr>
          <w:spacing w:val="-2"/>
        </w:rPr>
        <w:t>ş</w:t>
      </w:r>
      <w:r>
        <w:rPr>
          <w:spacing w:val="1"/>
        </w:rPr>
        <w:t>t</w:t>
      </w:r>
      <w:r>
        <w:t>i</w:t>
      </w:r>
      <w:r>
        <w:rPr>
          <w:spacing w:val="1"/>
        </w:rPr>
        <w:t xml:space="preserve"> </w:t>
      </w:r>
      <w:r>
        <w:rPr>
          <w:spacing w:val="-3"/>
        </w:rPr>
        <w:t>p</w:t>
      </w:r>
      <w:r>
        <w:t>a</w:t>
      </w:r>
      <w:r>
        <w:rPr>
          <w:spacing w:val="-3"/>
        </w:rPr>
        <w:t>c</w:t>
      </w:r>
      <w:r>
        <w:rPr>
          <w:spacing w:val="1"/>
        </w:rPr>
        <w:t>i</w:t>
      </w:r>
      <w:r>
        <w:t>e</w:t>
      </w:r>
      <w:r>
        <w:rPr>
          <w:spacing w:val="-3"/>
        </w:rPr>
        <w:t>n</w:t>
      </w:r>
      <w:r>
        <w:rPr>
          <w:spacing w:val="1"/>
        </w:rPr>
        <w:t>ţ</w:t>
      </w:r>
      <w:r>
        <w:t>i</w:t>
      </w:r>
      <w:r>
        <w:rPr>
          <w:spacing w:val="1"/>
        </w:rPr>
        <w:t xml:space="preserve"> </w:t>
      </w:r>
      <w:r>
        <w:rPr>
          <w:spacing w:val="-3"/>
        </w:rPr>
        <w:t>n</w:t>
      </w:r>
      <w:r>
        <w:t>u a</w:t>
      </w:r>
      <w:r>
        <w:rPr>
          <w:spacing w:val="-2"/>
        </w:rPr>
        <w:t xml:space="preserve"> </w:t>
      </w:r>
      <w:r>
        <w:t>pre</w:t>
      </w:r>
      <w:r>
        <w:rPr>
          <w:spacing w:val="-3"/>
        </w:rPr>
        <w:t>z</w:t>
      </w:r>
      <w:r>
        <w:t>en</w:t>
      </w:r>
      <w:r>
        <w:rPr>
          <w:spacing w:val="-2"/>
        </w:rPr>
        <w:t>t</w:t>
      </w:r>
      <w:r>
        <w:t>at</w:t>
      </w:r>
      <w:r>
        <w:rPr>
          <w:spacing w:val="-2"/>
        </w:rPr>
        <w:t xml:space="preserve"> </w:t>
      </w:r>
      <w:r>
        <w:t>rebo</w:t>
      </w:r>
      <w:r>
        <w:rPr>
          <w:spacing w:val="-3"/>
        </w:rPr>
        <w:t>u</w:t>
      </w:r>
      <w:r>
        <w:t xml:space="preserve">nd </w:t>
      </w:r>
      <w:r>
        <w:rPr>
          <w:spacing w:val="-2"/>
        </w:rPr>
        <w:t>î</w:t>
      </w:r>
      <w:r>
        <w:t xml:space="preserve">n </w:t>
      </w:r>
      <w:r>
        <w:rPr>
          <w:spacing w:val="-2"/>
        </w:rPr>
        <w:t>t</w:t>
      </w:r>
      <w:r>
        <w:rPr>
          <w:spacing w:val="1"/>
        </w:rPr>
        <w:t>i</w:t>
      </w:r>
      <w:r>
        <w:rPr>
          <w:spacing w:val="-4"/>
        </w:rPr>
        <w:t>m</w:t>
      </w:r>
      <w:r>
        <w:t>pul</w:t>
      </w:r>
      <w:r>
        <w:rPr>
          <w:spacing w:val="1"/>
        </w:rPr>
        <w:t xml:space="preserve"> </w:t>
      </w:r>
      <w:r>
        <w:t>pe</w:t>
      </w:r>
      <w:r>
        <w:rPr>
          <w:spacing w:val="-2"/>
        </w:rPr>
        <w:t>r</w:t>
      </w:r>
      <w:r>
        <w:rPr>
          <w:spacing w:val="1"/>
        </w:rPr>
        <w:t>i</w:t>
      </w:r>
      <w:r>
        <w:t>oa</w:t>
      </w:r>
      <w:r>
        <w:rPr>
          <w:spacing w:val="-3"/>
        </w:rPr>
        <w:t>d</w:t>
      </w:r>
      <w:r>
        <w:t>ei</w:t>
      </w:r>
      <w:r>
        <w:rPr>
          <w:spacing w:val="1"/>
        </w:rPr>
        <w:t xml:space="preserve"> </w:t>
      </w:r>
      <w:r>
        <w:rPr>
          <w:spacing w:val="-3"/>
        </w:rPr>
        <w:t>d</w:t>
      </w:r>
      <w:r>
        <w:t xml:space="preserve">e </w:t>
      </w:r>
      <w:r>
        <w:rPr>
          <w:spacing w:val="1"/>
        </w:rPr>
        <w:t>î</w:t>
      </w:r>
      <w:r>
        <w:t>n</w:t>
      </w:r>
      <w:r>
        <w:rPr>
          <w:spacing w:val="-2"/>
        </w:rPr>
        <w:t>t</w:t>
      </w:r>
      <w:r>
        <w:t>re</w:t>
      </w:r>
      <w:r>
        <w:rPr>
          <w:spacing w:val="-2"/>
        </w:rPr>
        <w:t>r</w:t>
      </w:r>
      <w:r>
        <w:t>up</w:t>
      </w:r>
      <w:r>
        <w:rPr>
          <w:spacing w:val="-3"/>
        </w:rPr>
        <w:t>e</w:t>
      </w:r>
      <w:r>
        <w:t>re 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w:t>
      </w:r>
      <w:r>
        <w:rPr>
          <w:spacing w:val="1"/>
        </w:rPr>
        <w:t>l</w:t>
      </w:r>
      <w:r>
        <w:rPr>
          <w:spacing w:val="-3"/>
        </w:rPr>
        <w:t>u</w:t>
      </w:r>
      <w:r>
        <w:rPr>
          <w:spacing w:val="1"/>
        </w:rPr>
        <w:t>i</w:t>
      </w:r>
      <w:r>
        <w:t>.</w:t>
      </w:r>
      <w:r>
        <w:rPr>
          <w:spacing w:val="-3"/>
        </w:rPr>
        <w:t xml:space="preserve"> </w:t>
      </w:r>
      <w:r>
        <w:t>76,5%</w:t>
      </w:r>
      <w:r>
        <w:rPr>
          <w:spacing w:val="-2"/>
        </w:rPr>
        <w:t xml:space="preserve"> </w:t>
      </w:r>
      <w:r>
        <w:t>(21</w:t>
      </w:r>
      <w:r>
        <w:rPr>
          <w:spacing w:val="-3"/>
        </w:rPr>
        <w:t>8</w:t>
      </w:r>
      <w:r>
        <w:rPr>
          <w:spacing w:val="1"/>
        </w:rPr>
        <w:t>/</w:t>
      </w:r>
      <w:r>
        <w:t>28</w:t>
      </w:r>
      <w:r>
        <w:rPr>
          <w:spacing w:val="-3"/>
        </w:rPr>
        <w:t>5</w:t>
      </w:r>
      <w:r>
        <w:t>)</w:t>
      </w:r>
      <w:r>
        <w:rPr>
          <w:spacing w:val="1"/>
        </w:rPr>
        <w:t xml:space="preserve"> </w:t>
      </w:r>
      <w:r>
        <w:rPr>
          <w:spacing w:val="-3"/>
        </w:rPr>
        <w:t>d</w:t>
      </w:r>
      <w:r>
        <w:rPr>
          <w:spacing w:val="1"/>
        </w:rPr>
        <w:t>i</w:t>
      </w:r>
      <w:r>
        <w:t>n</w:t>
      </w:r>
      <w:r>
        <w:rPr>
          <w:spacing w:val="-2"/>
        </w:rPr>
        <w:t>t</w:t>
      </w:r>
      <w:r>
        <w:t xml:space="preserve">re </w:t>
      </w:r>
      <w:r>
        <w:rPr>
          <w:spacing w:val="-3"/>
        </w:rPr>
        <w:t>p</w:t>
      </w:r>
      <w:r>
        <w:t>a</w:t>
      </w:r>
      <w:r>
        <w:rPr>
          <w:spacing w:val="-3"/>
        </w:rPr>
        <w:t>c</w:t>
      </w:r>
      <w:r>
        <w:rPr>
          <w:spacing w:val="1"/>
        </w:rPr>
        <w:t>i</w:t>
      </w:r>
      <w:r>
        <w:t>e</w:t>
      </w:r>
      <w:r>
        <w:rPr>
          <w:spacing w:val="-3"/>
        </w:rPr>
        <w:t>n</w:t>
      </w:r>
      <w:r>
        <w:rPr>
          <w:spacing w:val="1"/>
        </w:rPr>
        <w:t>ţ</w:t>
      </w:r>
      <w:r>
        <w:t>i</w:t>
      </w:r>
      <w:r>
        <w:rPr>
          <w:spacing w:val="1"/>
        </w:rPr>
        <w:t xml:space="preserve"> </w:t>
      </w:r>
      <w:r>
        <w:rPr>
          <w:spacing w:val="-3"/>
        </w:rPr>
        <w:t>c</w:t>
      </w:r>
      <w:r>
        <w:t>a</w:t>
      </w:r>
      <w:r>
        <w:rPr>
          <w:spacing w:val="-2"/>
        </w:rPr>
        <w:t>r</w:t>
      </w:r>
      <w:r>
        <w:t>e au</w:t>
      </w:r>
      <w:r>
        <w:rPr>
          <w:spacing w:val="-3"/>
        </w:rPr>
        <w:t xml:space="preserve"> </w:t>
      </w:r>
      <w:r>
        <w:t>re</w:t>
      </w:r>
      <w:r>
        <w:rPr>
          <w:spacing w:val="-2"/>
        </w:rPr>
        <w:t>l</w:t>
      </w:r>
      <w:r>
        <w:t>u</w:t>
      </w:r>
      <w:r>
        <w:rPr>
          <w:spacing w:val="-3"/>
        </w:rPr>
        <w:t>a</w:t>
      </w:r>
      <w:r>
        <w:t>t</w:t>
      </w:r>
      <w:r>
        <w:rPr>
          <w:spacing w:val="1"/>
        </w:rPr>
        <w:t xml:space="preserve"> </w:t>
      </w:r>
      <w:r>
        <w:rPr>
          <w:spacing w:val="-2"/>
        </w:rPr>
        <w:t>t</w:t>
      </w:r>
      <w:r>
        <w:t>ra</w:t>
      </w:r>
      <w:r>
        <w:rPr>
          <w:spacing w:val="-2"/>
        </w:rPr>
        <w:t>t</w:t>
      </w:r>
      <w:r>
        <w:t>a</w:t>
      </w:r>
      <w:r>
        <w:rPr>
          <w:spacing w:val="-4"/>
        </w:rPr>
        <w:t>m</w:t>
      </w:r>
      <w:r>
        <w:t>en</w:t>
      </w:r>
      <w:r>
        <w:rPr>
          <w:spacing w:val="1"/>
        </w:rPr>
        <w:t>t</w:t>
      </w:r>
      <w:r>
        <w:t>ul</w:t>
      </w:r>
      <w:r>
        <w:rPr>
          <w:spacing w:val="-2"/>
        </w:rPr>
        <w:t xml:space="preserve"> </w:t>
      </w:r>
      <w:r>
        <w:t>au a</w:t>
      </w:r>
      <w:r>
        <w:rPr>
          <w:spacing w:val="-3"/>
        </w:rPr>
        <w:t>v</w:t>
      </w:r>
      <w:r>
        <w:t>ut</w:t>
      </w:r>
      <w:r>
        <w:rPr>
          <w:spacing w:val="1"/>
        </w:rPr>
        <w:t xml:space="preserve"> </w:t>
      </w:r>
      <w:r>
        <w:t>d</w:t>
      </w:r>
      <w:r>
        <w:rPr>
          <w:spacing w:val="-3"/>
        </w:rPr>
        <w:t>u</w:t>
      </w:r>
      <w:r>
        <w:t>pă 16 săp</w:t>
      </w:r>
      <w:r>
        <w:rPr>
          <w:spacing w:val="-2"/>
        </w:rPr>
        <w:t>t</w:t>
      </w:r>
      <w:r>
        <w:t>ă</w:t>
      </w:r>
      <w:r>
        <w:rPr>
          <w:spacing w:val="-4"/>
        </w:rPr>
        <w:t>m</w:t>
      </w:r>
      <w:r>
        <w:t>âni</w:t>
      </w:r>
      <w:r>
        <w:rPr>
          <w:spacing w:val="1"/>
        </w:rPr>
        <w:t xml:space="preserve"> </w:t>
      </w:r>
      <w:r>
        <w:t>de</w:t>
      </w:r>
      <w:r>
        <w:rPr>
          <w:spacing w:val="-2"/>
        </w:rPr>
        <w:t xml:space="preserve"> </w:t>
      </w:r>
      <w:r>
        <w:rPr>
          <w:spacing w:val="1"/>
        </w:rPr>
        <w:t>l</w:t>
      </w:r>
      <w:r>
        <w:t xml:space="preserve">a </w:t>
      </w:r>
      <w:r>
        <w:rPr>
          <w:spacing w:val="-2"/>
        </w:rPr>
        <w:t>r</w:t>
      </w:r>
      <w:r>
        <w:t>e</w:t>
      </w:r>
      <w:r>
        <w:rPr>
          <w:spacing w:val="1"/>
        </w:rPr>
        <w:t>î</w:t>
      </w:r>
      <w:r>
        <w:rPr>
          <w:spacing w:val="-3"/>
        </w:rPr>
        <w:t>n</w:t>
      </w:r>
      <w:r>
        <w:t>cep</w:t>
      </w:r>
      <w:r>
        <w:rPr>
          <w:spacing w:val="-3"/>
        </w:rPr>
        <w:t>e</w:t>
      </w:r>
      <w:r>
        <w:t>r</w:t>
      </w:r>
      <w:r>
        <w:rPr>
          <w:spacing w:val="-3"/>
        </w:rPr>
        <w:t>e</w:t>
      </w:r>
      <w:r>
        <w:t>a</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 xml:space="preserve">un </w:t>
      </w:r>
      <w:r>
        <w:rPr>
          <w:spacing w:val="-2"/>
        </w:rPr>
        <w:t>r</w:t>
      </w:r>
      <w:r>
        <w:t>ăspu</w:t>
      </w:r>
      <w:r>
        <w:rPr>
          <w:spacing w:val="-3"/>
        </w:rPr>
        <w:t>n</w:t>
      </w:r>
      <w:r>
        <w:t xml:space="preserve">s </w:t>
      </w:r>
      <w:r>
        <w:rPr>
          <w:spacing w:val="-3"/>
        </w:rPr>
        <w:t>P</w:t>
      </w:r>
      <w:r>
        <w:rPr>
          <w:spacing w:val="-1"/>
        </w:rPr>
        <w:t>G</w:t>
      </w:r>
      <w:r>
        <w:t>A</w:t>
      </w:r>
      <w:r>
        <w:rPr>
          <w:spacing w:val="-1"/>
        </w:rPr>
        <w:t xml:space="preserve"> </w:t>
      </w:r>
      <w:r>
        <w:t>“uşor”</w:t>
      </w:r>
      <w:r>
        <w:rPr>
          <w:spacing w:val="-2"/>
        </w:rPr>
        <w:t xml:space="preserve"> </w:t>
      </w:r>
      <w:r>
        <w:t>sau</w:t>
      </w:r>
      <w:r>
        <w:rPr>
          <w:spacing w:val="-3"/>
        </w:rPr>
        <w:t xml:space="preserve"> </w:t>
      </w:r>
      <w:r>
        <w:t>“</w:t>
      </w:r>
      <w:r>
        <w:rPr>
          <w:spacing w:val="-4"/>
        </w:rPr>
        <w:t>m</w:t>
      </w:r>
      <w:r>
        <w:rPr>
          <w:spacing w:val="1"/>
        </w:rPr>
        <w:t>i</w:t>
      </w:r>
      <w:r>
        <w:t>n</w:t>
      </w:r>
      <w:r>
        <w:rPr>
          <w:spacing w:val="1"/>
        </w:rPr>
        <w:t>i</w:t>
      </w:r>
      <w:r>
        <w:rPr>
          <w:spacing w:val="-4"/>
        </w:rPr>
        <w:t>m</w:t>
      </w:r>
      <w:r>
        <w:t xml:space="preserve">”, </w:t>
      </w:r>
      <w:r>
        <w:rPr>
          <w:spacing w:val="1"/>
        </w:rPr>
        <w:t>i</w:t>
      </w:r>
      <w:r>
        <w:t>nd</w:t>
      </w:r>
      <w:r>
        <w:rPr>
          <w:spacing w:val="1"/>
        </w:rPr>
        <w:t>i</w:t>
      </w:r>
      <w:r>
        <w:t>f</w:t>
      </w:r>
      <w:r>
        <w:rPr>
          <w:spacing w:val="-3"/>
        </w:rPr>
        <w:t>e</w:t>
      </w:r>
      <w:r>
        <w:t>re</w:t>
      </w:r>
      <w:r>
        <w:rPr>
          <w:spacing w:val="-3"/>
        </w:rPr>
        <w:t>n</w:t>
      </w:r>
      <w:r>
        <w:t>t</w:t>
      </w:r>
      <w:r>
        <w:rPr>
          <w:spacing w:val="1"/>
        </w:rPr>
        <w:t xml:space="preserve"> </w:t>
      </w:r>
      <w:r>
        <w:rPr>
          <w:spacing w:val="-3"/>
        </w:rPr>
        <w:t>d</w:t>
      </w:r>
      <w:r>
        <w:t>acă s</w:t>
      </w:r>
      <w:r>
        <w:rPr>
          <w:spacing w:val="1"/>
        </w:rPr>
        <w:t>i</w:t>
      </w:r>
      <w:r>
        <w:rPr>
          <w:spacing w:val="-4"/>
        </w:rPr>
        <w:t>m</w:t>
      </w:r>
      <w:r>
        <w:t>p</w:t>
      </w:r>
      <w:r>
        <w:rPr>
          <w:spacing w:val="1"/>
        </w:rPr>
        <w:t>t</w:t>
      </w:r>
      <w:r>
        <w:t>o</w:t>
      </w:r>
      <w:r>
        <w:rPr>
          <w:spacing w:val="-4"/>
        </w:rPr>
        <w:t>m</w:t>
      </w:r>
      <w:r>
        <w:t>a</w:t>
      </w:r>
      <w:r>
        <w:rPr>
          <w:spacing w:val="1"/>
        </w:rPr>
        <w:t>t</w:t>
      </w:r>
      <w:r>
        <w:t>o</w:t>
      </w:r>
      <w:r>
        <w:rPr>
          <w:spacing w:val="1"/>
        </w:rPr>
        <w:t>l</w:t>
      </w:r>
      <w:r>
        <w:t>o</w:t>
      </w:r>
      <w:r>
        <w:rPr>
          <w:spacing w:val="-3"/>
        </w:rPr>
        <w:t>g</w:t>
      </w:r>
      <w:r>
        <w:rPr>
          <w:spacing w:val="1"/>
        </w:rPr>
        <w:t>i</w:t>
      </w:r>
      <w:r>
        <w:t>a a</w:t>
      </w:r>
      <w:r>
        <w:rPr>
          <w:spacing w:val="-2"/>
        </w:rPr>
        <w:t xml:space="preserve"> </w:t>
      </w:r>
      <w:r>
        <w:t>re</w:t>
      </w:r>
      <w:r>
        <w:rPr>
          <w:spacing w:val="-3"/>
        </w:rPr>
        <w:t>c</w:t>
      </w:r>
      <w:r>
        <w:rPr>
          <w:spacing w:val="1"/>
        </w:rPr>
        <w:t>i</w:t>
      </w:r>
      <w:r>
        <w:rPr>
          <w:spacing w:val="-3"/>
        </w:rPr>
        <w:t>d</w:t>
      </w:r>
      <w:r>
        <w:rPr>
          <w:spacing w:val="1"/>
        </w:rPr>
        <w:t>i</w:t>
      </w:r>
      <w:r>
        <w:rPr>
          <w:spacing w:val="-3"/>
        </w:rPr>
        <w:t>v</w:t>
      </w:r>
      <w:r>
        <w:t>at</w:t>
      </w:r>
      <w:r>
        <w:rPr>
          <w:spacing w:val="-2"/>
        </w:rPr>
        <w:t xml:space="preserve"> </w:t>
      </w:r>
      <w:r>
        <w:rPr>
          <w:spacing w:val="1"/>
        </w:rPr>
        <w:t>î</w:t>
      </w:r>
      <w:r>
        <w:t xml:space="preserve">n </w:t>
      </w:r>
      <w:r>
        <w:rPr>
          <w:spacing w:val="-2"/>
        </w:rPr>
        <w:t>t</w:t>
      </w:r>
      <w:r>
        <w:rPr>
          <w:spacing w:val="1"/>
        </w:rPr>
        <w:t>i</w:t>
      </w:r>
      <w:r>
        <w:rPr>
          <w:spacing w:val="-4"/>
        </w:rPr>
        <w:t>m</w:t>
      </w:r>
      <w:r>
        <w:t>pul</w:t>
      </w:r>
      <w:r>
        <w:rPr>
          <w:spacing w:val="1"/>
        </w:rPr>
        <w:t xml:space="preserve"> î</w:t>
      </w:r>
      <w:r>
        <w:rPr>
          <w:spacing w:val="-3"/>
        </w:rPr>
        <w:t>n</w:t>
      </w:r>
      <w:r>
        <w:rPr>
          <w:spacing w:val="1"/>
        </w:rPr>
        <w:t>t</w:t>
      </w:r>
      <w:r>
        <w:rPr>
          <w:spacing w:val="-2"/>
        </w:rPr>
        <w:t>r</w:t>
      </w:r>
      <w:r>
        <w:t>eru</w:t>
      </w:r>
      <w:r>
        <w:rPr>
          <w:spacing w:val="-3"/>
        </w:rPr>
        <w:t>p</w:t>
      </w:r>
      <w:r>
        <w:t>e</w:t>
      </w:r>
      <w:r>
        <w:rPr>
          <w:spacing w:val="-2"/>
        </w:rPr>
        <w:t>r</w:t>
      </w:r>
      <w:r>
        <w:rPr>
          <w:spacing w:val="1"/>
        </w:rPr>
        <w:t>i</w:t>
      </w:r>
      <w:r>
        <w:t>i</w:t>
      </w:r>
      <w:r>
        <w:rPr>
          <w:spacing w:val="-2"/>
        </w:rPr>
        <w:t xml:space="preserve"> </w:t>
      </w:r>
      <w:r>
        <w:rPr>
          <w:spacing w:val="1"/>
        </w:rPr>
        <w:t>t</w:t>
      </w:r>
      <w:r>
        <w:rPr>
          <w:spacing w:val="-2"/>
        </w:rPr>
        <w:t>r</w:t>
      </w:r>
      <w:r>
        <w:t>a</w:t>
      </w:r>
      <w:r>
        <w:rPr>
          <w:spacing w:val="1"/>
        </w:rPr>
        <w:t>t</w:t>
      </w:r>
      <w:r>
        <w:rPr>
          <w:spacing w:val="-3"/>
        </w:rPr>
        <w:t>a</w:t>
      </w:r>
      <w:r>
        <w:rPr>
          <w:spacing w:val="-4"/>
        </w:rPr>
        <w:t>m</w:t>
      </w:r>
      <w:r>
        <w:t>en</w:t>
      </w:r>
      <w:r>
        <w:rPr>
          <w:spacing w:val="1"/>
        </w:rPr>
        <w:t>t</w:t>
      </w:r>
      <w:r>
        <w:t>u</w:t>
      </w:r>
      <w:r>
        <w:rPr>
          <w:spacing w:val="1"/>
        </w:rPr>
        <w:t>l</w:t>
      </w:r>
      <w:r>
        <w:t>ui</w:t>
      </w:r>
      <w:r>
        <w:rPr>
          <w:spacing w:val="1"/>
        </w:rPr>
        <w:t xml:space="preserve"> </w:t>
      </w:r>
      <w:r>
        <w:rPr>
          <w:spacing w:val="-2"/>
        </w:rPr>
        <w:t>s</w:t>
      </w:r>
      <w:r>
        <w:t>au nu</w:t>
      </w:r>
      <w:r>
        <w:rPr>
          <w:spacing w:val="-3"/>
        </w:rPr>
        <w:t xml:space="preserve"> </w:t>
      </w:r>
      <w:r>
        <w:t>(69,</w:t>
      </w:r>
      <w:r>
        <w:rPr>
          <w:spacing w:val="-3"/>
        </w:rPr>
        <w:t>1</w:t>
      </w:r>
      <w:r>
        <w:t>%</w:t>
      </w:r>
      <w:r>
        <w:rPr>
          <w:spacing w:val="-2"/>
        </w:rPr>
        <w:t xml:space="preserve"> </w:t>
      </w:r>
      <w:r>
        <w:t>[1</w:t>
      </w:r>
      <w:r>
        <w:rPr>
          <w:spacing w:val="-3"/>
        </w:rPr>
        <w:t>2</w:t>
      </w:r>
      <w:r>
        <w:t>3</w:t>
      </w:r>
      <w:r>
        <w:rPr>
          <w:spacing w:val="1"/>
        </w:rPr>
        <w:t>/</w:t>
      </w:r>
      <w:r>
        <w:t>17</w:t>
      </w:r>
      <w:r>
        <w:rPr>
          <w:spacing w:val="-3"/>
        </w:rPr>
        <w:t>8</w:t>
      </w:r>
      <w:r>
        <w:t>]</w:t>
      </w:r>
      <w:r>
        <w:rPr>
          <w:spacing w:val="1"/>
        </w:rPr>
        <w:t xml:space="preserve"> </w:t>
      </w:r>
      <w:r>
        <w:t>d</w:t>
      </w:r>
      <w:r>
        <w:rPr>
          <w:spacing w:val="-2"/>
        </w:rPr>
        <w:t>i</w:t>
      </w:r>
      <w:r>
        <w:t>n</w:t>
      </w:r>
      <w:r>
        <w:rPr>
          <w:spacing w:val="-2"/>
        </w:rPr>
        <w:t>t</w:t>
      </w:r>
      <w:r>
        <w:t>re pac</w:t>
      </w:r>
      <w:r>
        <w:rPr>
          <w:spacing w:val="-2"/>
        </w:rPr>
        <w:t>i</w:t>
      </w:r>
      <w:r>
        <w:t>en</w:t>
      </w:r>
      <w:r>
        <w:rPr>
          <w:spacing w:val="-2"/>
        </w:rPr>
        <w:t>ţ</w:t>
      </w:r>
      <w:r>
        <w:rPr>
          <w:spacing w:val="1"/>
        </w:rPr>
        <w:t>i</w:t>
      </w:r>
      <w:r>
        <w:t>i</w:t>
      </w:r>
      <w:r>
        <w:rPr>
          <w:spacing w:val="-2"/>
        </w:rPr>
        <w:t xml:space="preserve"> </w:t>
      </w:r>
      <w:r>
        <w:t>a c</w:t>
      </w:r>
      <w:r>
        <w:rPr>
          <w:spacing w:val="-3"/>
        </w:rPr>
        <w:t>ă</w:t>
      </w:r>
      <w:r>
        <w:t>r</w:t>
      </w:r>
      <w:r>
        <w:rPr>
          <w:spacing w:val="-3"/>
        </w:rPr>
        <w:t>o</w:t>
      </w:r>
      <w:r>
        <w:t>r</w:t>
      </w:r>
      <w:r>
        <w:rPr>
          <w:spacing w:val="1"/>
        </w:rPr>
        <w:t xml:space="preserve"> </w:t>
      </w:r>
      <w:r>
        <w:rPr>
          <w:spacing w:val="-2"/>
        </w:rPr>
        <w:t>s</w:t>
      </w:r>
      <w:r>
        <w:rPr>
          <w:spacing w:val="1"/>
        </w:rPr>
        <w:t>i</w:t>
      </w:r>
      <w:r>
        <w:rPr>
          <w:spacing w:val="-4"/>
        </w:rPr>
        <w:t>m</w:t>
      </w:r>
      <w:r>
        <w:t>p</w:t>
      </w:r>
      <w:r>
        <w:rPr>
          <w:spacing w:val="1"/>
        </w:rPr>
        <w:t>t</w:t>
      </w:r>
      <w:r>
        <w:t>o</w:t>
      </w:r>
      <w:r>
        <w:rPr>
          <w:spacing w:val="-4"/>
        </w:rPr>
        <w:t>m</w:t>
      </w:r>
      <w:r>
        <w:t>a</w:t>
      </w:r>
      <w:r>
        <w:rPr>
          <w:spacing w:val="1"/>
        </w:rPr>
        <w:t>t</w:t>
      </w:r>
      <w:r>
        <w:t>o</w:t>
      </w:r>
      <w:r>
        <w:rPr>
          <w:spacing w:val="1"/>
        </w:rPr>
        <w:t>l</w:t>
      </w:r>
      <w:r>
        <w:t>o</w:t>
      </w:r>
      <w:r>
        <w:rPr>
          <w:spacing w:val="-3"/>
        </w:rPr>
        <w:t>g</w:t>
      </w:r>
      <w:r>
        <w:rPr>
          <w:spacing w:val="1"/>
        </w:rPr>
        <w:t>i</w:t>
      </w:r>
      <w:r>
        <w:t>e a</w:t>
      </w:r>
      <w:r>
        <w:rPr>
          <w:spacing w:val="-2"/>
        </w:rPr>
        <w:t xml:space="preserve"> </w:t>
      </w:r>
      <w:r>
        <w:t>re</w:t>
      </w:r>
      <w:r>
        <w:rPr>
          <w:spacing w:val="-3"/>
        </w:rPr>
        <w:t>c</w:t>
      </w:r>
      <w:r>
        <w:rPr>
          <w:spacing w:val="1"/>
        </w:rPr>
        <w:t>i</w:t>
      </w:r>
      <w:r>
        <w:rPr>
          <w:spacing w:val="-3"/>
        </w:rPr>
        <w:t>d</w:t>
      </w:r>
      <w:r>
        <w:rPr>
          <w:spacing w:val="1"/>
        </w:rPr>
        <w:t>i</w:t>
      </w:r>
      <w:r>
        <w:rPr>
          <w:spacing w:val="-3"/>
        </w:rPr>
        <w:t>v</w:t>
      </w:r>
      <w:r>
        <w:t>at</w:t>
      </w:r>
      <w:r>
        <w:rPr>
          <w:spacing w:val="1"/>
        </w:rPr>
        <w:t xml:space="preserve"> </w:t>
      </w:r>
      <w:r>
        <w:rPr>
          <w:spacing w:val="-2"/>
        </w:rPr>
        <w:t>ş</w:t>
      </w:r>
      <w:r>
        <w:t>i</w:t>
      </w:r>
      <w:r>
        <w:rPr>
          <w:spacing w:val="1"/>
        </w:rPr>
        <w:t xml:space="preserve"> </w:t>
      </w:r>
      <w:r>
        <w:t>r</w:t>
      </w:r>
      <w:r>
        <w:rPr>
          <w:spacing w:val="-3"/>
        </w:rPr>
        <w:t>e</w:t>
      </w:r>
      <w:r>
        <w:t>sp</w:t>
      </w:r>
      <w:r>
        <w:rPr>
          <w:spacing w:val="-3"/>
        </w:rPr>
        <w:t>e</w:t>
      </w:r>
      <w:r>
        <w:t>c</w:t>
      </w:r>
      <w:r>
        <w:rPr>
          <w:spacing w:val="-2"/>
        </w:rPr>
        <w:t>t</w:t>
      </w:r>
      <w:r>
        <w:rPr>
          <w:spacing w:val="1"/>
        </w:rPr>
        <w:t>i</w:t>
      </w:r>
      <w:r>
        <w:t>v</w:t>
      </w:r>
      <w:r>
        <w:rPr>
          <w:spacing w:val="-3"/>
        </w:rPr>
        <w:t xml:space="preserve"> </w:t>
      </w:r>
      <w:r>
        <w:t>88,8%</w:t>
      </w:r>
      <w:r>
        <w:rPr>
          <w:spacing w:val="-2"/>
        </w:rPr>
        <w:t xml:space="preserve"> </w:t>
      </w:r>
      <w:r>
        <w:t>[95</w:t>
      </w:r>
      <w:r>
        <w:rPr>
          <w:spacing w:val="-2"/>
        </w:rPr>
        <w:t>/</w:t>
      </w:r>
      <w:r>
        <w:t>107]</w:t>
      </w:r>
      <w:r>
        <w:rPr>
          <w:spacing w:val="-2"/>
        </w:rPr>
        <w:t xml:space="preserve"> </w:t>
      </w:r>
      <w:r>
        <w:t>d</w:t>
      </w:r>
      <w:r>
        <w:rPr>
          <w:spacing w:val="1"/>
        </w:rPr>
        <w:t>i</w:t>
      </w:r>
      <w:r>
        <w:rPr>
          <w:spacing w:val="-3"/>
        </w:rPr>
        <w:t>n</w:t>
      </w:r>
      <w:r>
        <w:rPr>
          <w:spacing w:val="1"/>
        </w:rPr>
        <w:t>t</w:t>
      </w:r>
      <w:r>
        <w:rPr>
          <w:spacing w:val="-2"/>
        </w:rPr>
        <w:t>r</w:t>
      </w:r>
      <w:r>
        <w:t>e p</w:t>
      </w:r>
      <w:r>
        <w:rPr>
          <w:spacing w:val="-3"/>
        </w:rPr>
        <w:t>a</w:t>
      </w:r>
      <w:r>
        <w:t>c</w:t>
      </w:r>
      <w:r>
        <w:rPr>
          <w:spacing w:val="1"/>
        </w:rPr>
        <w:t>i</w:t>
      </w:r>
      <w:r>
        <w:t>e</w:t>
      </w:r>
      <w:r>
        <w:rPr>
          <w:spacing w:val="-3"/>
        </w:rPr>
        <w:t>n</w:t>
      </w:r>
      <w:r>
        <w:rPr>
          <w:spacing w:val="1"/>
        </w:rPr>
        <w:t>ţ</w:t>
      </w:r>
      <w:r>
        <w:rPr>
          <w:spacing w:val="-2"/>
        </w:rPr>
        <w:t>i</w:t>
      </w:r>
      <w:r>
        <w:t>i</w:t>
      </w:r>
      <w:r>
        <w:rPr>
          <w:spacing w:val="1"/>
        </w:rPr>
        <w:t xml:space="preserve"> </w:t>
      </w:r>
      <w:r>
        <w:t>a</w:t>
      </w:r>
      <w:r>
        <w:rPr>
          <w:spacing w:val="-2"/>
        </w:rPr>
        <w:t xml:space="preserve"> </w:t>
      </w:r>
      <w:r>
        <w:t>că</w:t>
      </w:r>
      <w:r>
        <w:rPr>
          <w:spacing w:val="-2"/>
        </w:rPr>
        <w:t>r</w:t>
      </w:r>
      <w:r>
        <w:t>or s</w:t>
      </w:r>
      <w:r>
        <w:rPr>
          <w:spacing w:val="1"/>
        </w:rPr>
        <w:t>i</w:t>
      </w:r>
      <w:r>
        <w:rPr>
          <w:spacing w:val="-4"/>
        </w:rPr>
        <w:t>m</w:t>
      </w:r>
      <w:r>
        <w:t>p</w:t>
      </w:r>
      <w:r>
        <w:rPr>
          <w:spacing w:val="1"/>
        </w:rPr>
        <w:t>t</w:t>
      </w:r>
      <w:r>
        <w:t>o</w:t>
      </w:r>
      <w:r>
        <w:rPr>
          <w:spacing w:val="-4"/>
        </w:rPr>
        <w:t>m</w:t>
      </w:r>
      <w:r>
        <w:t>a</w:t>
      </w:r>
      <w:r>
        <w:rPr>
          <w:spacing w:val="1"/>
        </w:rPr>
        <w:t>t</w:t>
      </w:r>
      <w:r>
        <w:t>o</w:t>
      </w:r>
      <w:r>
        <w:rPr>
          <w:spacing w:val="1"/>
        </w:rPr>
        <w:t>l</w:t>
      </w:r>
      <w:r>
        <w:t>o</w:t>
      </w:r>
      <w:r>
        <w:rPr>
          <w:spacing w:val="-3"/>
        </w:rPr>
        <w:t>g</w:t>
      </w:r>
      <w:r>
        <w:rPr>
          <w:spacing w:val="1"/>
        </w:rPr>
        <w:t>i</w:t>
      </w:r>
      <w:r>
        <w:t xml:space="preserve">e </w:t>
      </w:r>
      <w:r>
        <w:rPr>
          <w:spacing w:val="-1"/>
        </w:rPr>
        <w:t>n</w:t>
      </w:r>
      <w:r>
        <w:t>u</w:t>
      </w:r>
      <w:r>
        <w:rPr>
          <w:spacing w:val="-3"/>
        </w:rPr>
        <w:t xml:space="preserve"> </w:t>
      </w:r>
      <w:r>
        <w:t>a r</w:t>
      </w:r>
      <w:r>
        <w:rPr>
          <w:spacing w:val="-3"/>
        </w:rPr>
        <w:t>e</w:t>
      </w:r>
      <w:r>
        <w:t>c</w:t>
      </w:r>
      <w:r>
        <w:rPr>
          <w:spacing w:val="1"/>
        </w:rPr>
        <w:t>i</w:t>
      </w:r>
      <w:r>
        <w:rPr>
          <w:spacing w:val="-3"/>
        </w:rPr>
        <w:t>d</w:t>
      </w:r>
      <w:r>
        <w:rPr>
          <w:spacing w:val="1"/>
        </w:rPr>
        <w:t>i</w:t>
      </w:r>
      <w:r>
        <w:rPr>
          <w:spacing w:val="-3"/>
        </w:rPr>
        <w:t>v</w:t>
      </w:r>
      <w:r>
        <w:t>at</w:t>
      </w:r>
      <w:r>
        <w:rPr>
          <w:spacing w:val="1"/>
        </w:rPr>
        <w:t xml:space="preserve"> î</w:t>
      </w:r>
      <w:r>
        <w:t>n</w:t>
      </w:r>
      <w:r>
        <w:rPr>
          <w:spacing w:val="-3"/>
        </w:rPr>
        <w:t xml:space="preserve"> </w:t>
      </w:r>
      <w:r>
        <w:rPr>
          <w:spacing w:val="1"/>
        </w:rPr>
        <w:t>ti</w:t>
      </w:r>
      <w:r>
        <w:rPr>
          <w:spacing w:val="-4"/>
        </w:rPr>
        <w:t>m</w:t>
      </w:r>
      <w:r>
        <w:t>pul</w:t>
      </w:r>
      <w:r>
        <w:rPr>
          <w:spacing w:val="1"/>
        </w:rPr>
        <w:t xml:space="preserve"> </w:t>
      </w:r>
      <w:r>
        <w:rPr>
          <w:spacing w:val="-3"/>
        </w:rPr>
        <w:t>p</w:t>
      </w:r>
      <w:r>
        <w:t>e</w:t>
      </w:r>
      <w:r>
        <w:rPr>
          <w:spacing w:val="-2"/>
        </w:rPr>
        <w:t>r</w:t>
      </w:r>
      <w:r>
        <w:rPr>
          <w:spacing w:val="1"/>
        </w:rPr>
        <w:t>i</w:t>
      </w:r>
      <w:r>
        <w:t>oa</w:t>
      </w:r>
      <w:r>
        <w:rPr>
          <w:spacing w:val="-3"/>
        </w:rPr>
        <w:t>d</w:t>
      </w:r>
      <w:r>
        <w:t>ei</w:t>
      </w:r>
      <w:r>
        <w:rPr>
          <w:spacing w:val="1"/>
        </w:rPr>
        <w:t xml:space="preserve"> </w:t>
      </w:r>
      <w:r>
        <w:rPr>
          <w:spacing w:val="-3"/>
        </w:rPr>
        <w:t>d</w:t>
      </w:r>
      <w:r>
        <w:t xml:space="preserve">e </w:t>
      </w:r>
      <w:r>
        <w:rPr>
          <w:spacing w:val="-2"/>
        </w:rPr>
        <w:t>î</w:t>
      </w:r>
      <w:r>
        <w:t>n</w:t>
      </w:r>
      <w:r>
        <w:rPr>
          <w:spacing w:val="1"/>
        </w:rPr>
        <w:t>t</w:t>
      </w:r>
      <w:r>
        <w:t>r</w:t>
      </w:r>
      <w:r>
        <w:rPr>
          <w:spacing w:val="-3"/>
        </w:rPr>
        <w:t>e</w:t>
      </w:r>
      <w:r>
        <w:t>r</w:t>
      </w:r>
      <w:r>
        <w:rPr>
          <w:spacing w:val="-1"/>
        </w:rPr>
        <w:t>u</w:t>
      </w:r>
      <w:r>
        <w:rPr>
          <w:spacing w:val="-3"/>
        </w:rPr>
        <w:t>p</w:t>
      </w:r>
      <w:r>
        <w:t>ere</w:t>
      </w:r>
      <w:r>
        <w:rPr>
          <w:spacing w:val="-2"/>
        </w:rPr>
        <w:t xml:space="preserve"> </w:t>
      </w:r>
      <w:r>
        <w:t xml:space="preserve">a </w:t>
      </w:r>
      <w:r>
        <w:rPr>
          <w:spacing w:val="-2"/>
        </w:rPr>
        <w:t>t</w:t>
      </w:r>
      <w:r>
        <w:t>r</w:t>
      </w:r>
      <w:r>
        <w:rPr>
          <w:spacing w:val="-3"/>
        </w:rPr>
        <w:t>a</w:t>
      </w:r>
      <w:r>
        <w:rPr>
          <w:spacing w:val="1"/>
        </w:rPr>
        <w:t>t</w:t>
      </w:r>
      <w:r>
        <w:t>a</w:t>
      </w:r>
      <w:r>
        <w:rPr>
          <w:spacing w:val="-4"/>
        </w:rPr>
        <w:t>m</w:t>
      </w:r>
      <w:r>
        <w:t>en</w:t>
      </w:r>
      <w:r>
        <w:rPr>
          <w:spacing w:val="1"/>
        </w:rPr>
        <w:t>t</w:t>
      </w:r>
      <w:r>
        <w:t>u</w:t>
      </w:r>
      <w:r>
        <w:rPr>
          <w:spacing w:val="-2"/>
        </w:rPr>
        <w:t>l</w:t>
      </w:r>
      <w:r>
        <w:rPr>
          <w:spacing w:val="-1"/>
        </w:rPr>
        <w:t>u</w:t>
      </w:r>
      <w:r>
        <w:rPr>
          <w:spacing w:val="-2"/>
        </w:rPr>
        <w:t>i</w:t>
      </w:r>
      <w:r>
        <w:t>).</w:t>
      </w:r>
      <w:r>
        <w:rPr>
          <w:spacing w:val="-3"/>
        </w:rPr>
        <w:t xml:space="preserve"> </w:t>
      </w:r>
      <w:r>
        <w:rPr>
          <w:spacing w:val="-2"/>
        </w:rPr>
        <w:t>S</w:t>
      </w:r>
      <w:r>
        <w:rPr>
          <w:spacing w:val="-4"/>
        </w:rPr>
        <w:t>-</w:t>
      </w:r>
      <w:r>
        <w:t>a obser</w:t>
      </w:r>
      <w:r>
        <w:rPr>
          <w:spacing w:val="-3"/>
        </w:rPr>
        <w:t>v</w:t>
      </w:r>
      <w:r>
        <w:t>at</w:t>
      </w:r>
      <w:r>
        <w:rPr>
          <w:spacing w:val="1"/>
        </w:rPr>
        <w:t xml:space="preserve"> </w:t>
      </w:r>
      <w:r>
        <w:t>un pro</w:t>
      </w:r>
      <w:r>
        <w:rPr>
          <w:spacing w:val="-2"/>
        </w:rPr>
        <w:t>f</w:t>
      </w:r>
      <w:r>
        <w:rPr>
          <w:spacing w:val="1"/>
        </w:rPr>
        <w:t>i</w:t>
      </w:r>
      <w:r>
        <w:t>l</w:t>
      </w:r>
      <w:r>
        <w:rPr>
          <w:spacing w:val="-2"/>
        </w:rPr>
        <w:t xml:space="preserve"> </w:t>
      </w:r>
      <w:r>
        <w:t>al</w:t>
      </w:r>
      <w:r>
        <w:rPr>
          <w:spacing w:val="-2"/>
        </w:rPr>
        <w:t xml:space="preserve"> </w:t>
      </w:r>
      <w:r>
        <w:t>s</w:t>
      </w:r>
      <w:r>
        <w:rPr>
          <w:spacing w:val="1"/>
        </w:rPr>
        <w:t>i</w:t>
      </w:r>
      <w:r>
        <w:rPr>
          <w:spacing w:val="-3"/>
        </w:rPr>
        <w:t>g</w:t>
      </w:r>
      <w:r>
        <w:t>ura</w:t>
      </w:r>
      <w:r>
        <w:rPr>
          <w:spacing w:val="-3"/>
        </w:rPr>
        <w:t>n</w:t>
      </w:r>
      <w:r>
        <w:rPr>
          <w:spacing w:val="1"/>
        </w:rPr>
        <w:t>ţ</w:t>
      </w:r>
      <w:r>
        <w:rPr>
          <w:spacing w:val="-3"/>
        </w:rPr>
        <w:t>e</w:t>
      </w:r>
      <w:r>
        <w:t>i</w:t>
      </w:r>
      <w:r>
        <w:rPr>
          <w:spacing w:val="1"/>
        </w:rPr>
        <w:t xml:space="preserve"> </w:t>
      </w:r>
      <w:r>
        <w:rPr>
          <w:spacing w:val="-2"/>
        </w:rPr>
        <w:t>s</w:t>
      </w:r>
      <w:r>
        <w:rPr>
          <w:spacing w:val="1"/>
        </w:rPr>
        <w:t>i</w:t>
      </w:r>
      <w:r>
        <w:rPr>
          <w:spacing w:val="-4"/>
        </w:rPr>
        <w:t>m</w:t>
      </w:r>
      <w:r>
        <w:rPr>
          <w:spacing w:val="1"/>
        </w:rPr>
        <w:t>il</w:t>
      </w:r>
      <w:r>
        <w:t>ar</w:t>
      </w:r>
      <w:r>
        <w:rPr>
          <w:spacing w:val="-2"/>
        </w:rPr>
        <w:t xml:space="preserve"> î</w:t>
      </w:r>
      <w:r>
        <w:t xml:space="preserve">n </w:t>
      </w:r>
      <w:r>
        <w:rPr>
          <w:spacing w:val="1"/>
        </w:rPr>
        <w:t>ti</w:t>
      </w:r>
      <w:r>
        <w:rPr>
          <w:spacing w:val="-4"/>
        </w:rPr>
        <w:t>m</w:t>
      </w:r>
      <w:r>
        <w:t>pul</w:t>
      </w:r>
      <w:r>
        <w:rPr>
          <w:spacing w:val="1"/>
        </w:rPr>
        <w:t xml:space="preserve"> </w:t>
      </w:r>
      <w:r>
        <w:t>p</w:t>
      </w:r>
      <w:r>
        <w:rPr>
          <w:spacing w:val="-3"/>
        </w:rPr>
        <w:t>e</w:t>
      </w:r>
      <w:r>
        <w:t>r</w:t>
      </w:r>
      <w:r>
        <w:rPr>
          <w:spacing w:val="-2"/>
        </w:rPr>
        <w:t>i</w:t>
      </w:r>
      <w:r>
        <w:t>oad</w:t>
      </w:r>
      <w:r>
        <w:rPr>
          <w:spacing w:val="-3"/>
        </w:rPr>
        <w:t>e</w:t>
      </w:r>
      <w:r>
        <w:t>i</w:t>
      </w:r>
      <w:r>
        <w:rPr>
          <w:spacing w:val="1"/>
        </w:rPr>
        <w:t xml:space="preserve"> </w:t>
      </w:r>
      <w:r>
        <w:t>de</w:t>
      </w:r>
      <w:r>
        <w:rPr>
          <w:spacing w:val="-2"/>
        </w:rPr>
        <w:t xml:space="preserve"> </w:t>
      </w:r>
      <w:r>
        <w:t>r</w:t>
      </w:r>
      <w:r>
        <w:rPr>
          <w:spacing w:val="-3"/>
        </w:rPr>
        <w:t>e</w:t>
      </w:r>
      <w:r>
        <w:rPr>
          <w:spacing w:val="1"/>
        </w:rPr>
        <w:t>l</w:t>
      </w:r>
      <w:r>
        <w:t>u</w:t>
      </w:r>
      <w:r>
        <w:rPr>
          <w:spacing w:val="-3"/>
        </w:rPr>
        <w:t>a</w:t>
      </w:r>
      <w:r>
        <w:rPr>
          <w:spacing w:val="-2"/>
        </w:rPr>
        <w:t>r</w:t>
      </w:r>
      <w:r>
        <w:t xml:space="preserve">e a </w:t>
      </w:r>
      <w:r>
        <w:rPr>
          <w:spacing w:val="-2"/>
        </w:rPr>
        <w:t>t</w:t>
      </w:r>
      <w: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rPr>
          <w:spacing w:val="-3"/>
        </w:rPr>
        <w:t>c</w:t>
      </w:r>
      <w:r>
        <w:t>u c</w:t>
      </w:r>
      <w:r>
        <w:rPr>
          <w:spacing w:val="-3"/>
        </w:rPr>
        <w:t>e</w:t>
      </w:r>
      <w:r>
        <w:t>l</w:t>
      </w:r>
      <w:r>
        <w:rPr>
          <w:spacing w:val="1"/>
        </w:rPr>
        <w:t xml:space="preserve"> </w:t>
      </w:r>
      <w:r>
        <w:rPr>
          <w:spacing w:val="-3"/>
        </w:rPr>
        <w:t>d</w:t>
      </w:r>
      <w:r>
        <w:rPr>
          <w:spacing w:val="1"/>
        </w:rPr>
        <w:t>i</w:t>
      </w:r>
      <w:r>
        <w:t>n</w:t>
      </w:r>
      <w:r>
        <w:rPr>
          <w:spacing w:val="-3"/>
        </w:rPr>
        <w:t xml:space="preserve"> </w:t>
      </w:r>
      <w:r>
        <w:t>per</w:t>
      </w:r>
      <w:r>
        <w:rPr>
          <w:spacing w:val="-2"/>
        </w:rPr>
        <w:t>i</w:t>
      </w:r>
      <w:r>
        <w:t>oada</w:t>
      </w:r>
      <w:r>
        <w:rPr>
          <w:spacing w:val="-2"/>
        </w:rPr>
        <w:t xml:space="preserve"> </w:t>
      </w:r>
      <w:r>
        <w:t xml:space="preserve">de </w:t>
      </w:r>
      <w:r>
        <w:rPr>
          <w:spacing w:val="1"/>
        </w:rPr>
        <w:t>î</w:t>
      </w:r>
      <w:r>
        <w:t>n</w:t>
      </w:r>
      <w:r>
        <w:rPr>
          <w:spacing w:val="-2"/>
        </w:rPr>
        <w:t>t</w:t>
      </w:r>
      <w:r>
        <w:t>re</w:t>
      </w:r>
      <w:r>
        <w:rPr>
          <w:spacing w:val="-2"/>
        </w:rPr>
        <w:t>r</w:t>
      </w:r>
      <w:r>
        <w:t>u</w:t>
      </w:r>
      <w:r>
        <w:rPr>
          <w:spacing w:val="-1"/>
        </w:rPr>
        <w:t>p</w:t>
      </w:r>
      <w:r>
        <w:rPr>
          <w:spacing w:val="-3"/>
        </w:rPr>
        <w:t>e</w:t>
      </w:r>
      <w:r>
        <w:t>re 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w:t>
      </w:r>
      <w:r>
        <w:rPr>
          <w:spacing w:val="1"/>
        </w:rPr>
        <w:t>l</w:t>
      </w:r>
      <w:r>
        <w:rPr>
          <w:spacing w:val="-3"/>
        </w:rPr>
        <w:t>u</w:t>
      </w:r>
      <w:r>
        <w:rPr>
          <w:spacing w:val="1"/>
        </w:rPr>
        <w:t>i</w:t>
      </w:r>
      <w:r>
        <w:t>.</w:t>
      </w:r>
    </w:p>
    <w:p w14:paraId="7E22C96A" w14:textId="77777777" w:rsidR="00C04CAD" w:rsidRDefault="00C04CAD">
      <w:pPr>
        <w:tabs>
          <w:tab w:val="clear" w:pos="567"/>
        </w:tabs>
        <w:kinsoku w:val="0"/>
        <w:overflowPunct w:val="0"/>
        <w:autoSpaceDE w:val="0"/>
        <w:autoSpaceDN w:val="0"/>
        <w:adjustRightInd w:val="0"/>
        <w:spacing w:line="240" w:lineRule="auto"/>
      </w:pPr>
    </w:p>
    <w:p w14:paraId="1795D13C" w14:textId="77777777" w:rsidR="00C04CAD" w:rsidRDefault="00060E34">
      <w:pPr>
        <w:tabs>
          <w:tab w:val="clear" w:pos="567"/>
        </w:tabs>
        <w:kinsoku w:val="0"/>
        <w:overflowPunct w:val="0"/>
        <w:autoSpaceDE w:val="0"/>
        <w:autoSpaceDN w:val="0"/>
        <w:adjustRightInd w:val="0"/>
        <w:spacing w:line="240" w:lineRule="auto"/>
      </w:pPr>
      <w:r>
        <w:t>A</w:t>
      </w:r>
      <w:r>
        <w:rPr>
          <w:spacing w:val="-1"/>
        </w:rPr>
        <w:t xml:space="preserve"> </w:t>
      </w:r>
      <w:r>
        <w:t>fost</w:t>
      </w:r>
      <w:r>
        <w:rPr>
          <w:spacing w:val="-2"/>
        </w:rPr>
        <w:t xml:space="preserve"> </w:t>
      </w:r>
      <w:r>
        <w:t>de</w:t>
      </w:r>
      <w:r>
        <w:rPr>
          <w:spacing w:val="-4"/>
        </w:rPr>
        <w:t>m</w:t>
      </w:r>
      <w:r>
        <w:t>ons</w:t>
      </w:r>
      <w:r>
        <w:rPr>
          <w:spacing w:val="1"/>
        </w:rPr>
        <w:t>t</w:t>
      </w:r>
      <w:r>
        <w:rPr>
          <w:spacing w:val="-2"/>
        </w:rPr>
        <w:t>r</w:t>
      </w:r>
      <w:r>
        <w:t>a</w:t>
      </w:r>
      <w:r>
        <w:rPr>
          <w:spacing w:val="1"/>
        </w:rPr>
        <w:t>t</w:t>
      </w:r>
      <w:r>
        <w:t>ă</w:t>
      </w:r>
      <w:r>
        <w:rPr>
          <w:spacing w:val="-2"/>
        </w:rPr>
        <w:t xml:space="preserve"> </w:t>
      </w:r>
      <w:r>
        <w:t>p</w:t>
      </w:r>
      <w:r>
        <w:rPr>
          <w:spacing w:val="-2"/>
        </w:rPr>
        <w:t>r</w:t>
      </w:r>
      <w:r>
        <w:rPr>
          <w:spacing w:val="1"/>
        </w:rPr>
        <w:t>i</w:t>
      </w:r>
      <w:r>
        <w:t xml:space="preserve">n </w:t>
      </w:r>
      <w:r>
        <w:rPr>
          <w:spacing w:val="-1"/>
        </w:rPr>
        <w:t>D</w:t>
      </w:r>
      <w:r>
        <w:rPr>
          <w:spacing w:val="-3"/>
        </w:rPr>
        <w:t>L</w:t>
      </w:r>
      <w:r>
        <w:rPr>
          <w:spacing w:val="1"/>
        </w:rPr>
        <w:t>Q</w:t>
      </w:r>
      <w:r>
        <w:t>I</w:t>
      </w:r>
      <w:r>
        <w:rPr>
          <w:spacing w:val="-4"/>
        </w:rPr>
        <w:t xml:space="preserve"> </w:t>
      </w:r>
      <w:r>
        <w:rPr>
          <w:spacing w:val="3"/>
        </w:rPr>
        <w:t>(</w:t>
      </w:r>
      <w:r>
        <w:rPr>
          <w:spacing w:val="-4"/>
        </w:rPr>
        <w:t>I</w:t>
      </w:r>
      <w:r>
        <w:t>nd</w:t>
      </w:r>
      <w:r>
        <w:rPr>
          <w:spacing w:val="1"/>
        </w:rPr>
        <w:t>i</w:t>
      </w:r>
      <w:r>
        <w:t xml:space="preserve">ce </w:t>
      </w:r>
      <w:r>
        <w:rPr>
          <w:spacing w:val="-1"/>
        </w:rPr>
        <w:t>D</w:t>
      </w:r>
      <w:r>
        <w:t>er</w:t>
      </w:r>
      <w:r>
        <w:rPr>
          <w:spacing w:val="-4"/>
        </w:rPr>
        <w:t>m</w:t>
      </w:r>
      <w:r>
        <w:t>a</w:t>
      </w:r>
      <w:r>
        <w:rPr>
          <w:spacing w:val="1"/>
        </w:rPr>
        <w:t>t</w:t>
      </w:r>
      <w:r>
        <w:rPr>
          <w:spacing w:val="-3"/>
        </w:rPr>
        <w:t>o</w:t>
      </w:r>
      <w:r>
        <w:rPr>
          <w:spacing w:val="1"/>
        </w:rPr>
        <w:t>l</w:t>
      </w:r>
      <w:r>
        <w:t>o</w:t>
      </w:r>
      <w:r>
        <w:rPr>
          <w:spacing w:val="-3"/>
        </w:rPr>
        <w:t>g</w:t>
      </w:r>
      <w:r>
        <w:rPr>
          <w:spacing w:val="1"/>
        </w:rPr>
        <w:t>i</w:t>
      </w:r>
      <w:r>
        <w:t xml:space="preserve">c </w:t>
      </w:r>
      <w:r>
        <w:rPr>
          <w:spacing w:val="-3"/>
        </w:rPr>
        <w:t>p</w:t>
      </w:r>
      <w:r>
        <w:rPr>
          <w:spacing w:val="-2"/>
        </w:rPr>
        <w:t>r</w:t>
      </w:r>
      <w:r>
        <w:rPr>
          <w:spacing w:val="1"/>
        </w:rPr>
        <w:t>i</w:t>
      </w:r>
      <w:r>
        <w:rPr>
          <w:spacing w:val="-3"/>
        </w:rPr>
        <w:t>v</w:t>
      </w:r>
      <w:r>
        <w:rPr>
          <w:spacing w:val="1"/>
        </w:rPr>
        <w:t>i</w:t>
      </w:r>
      <w:r>
        <w:t xml:space="preserve">nd </w:t>
      </w:r>
      <w:r>
        <w:rPr>
          <w:spacing w:val="-1"/>
        </w:rPr>
        <w:t>C</w:t>
      </w:r>
      <w:r>
        <w:t>a</w:t>
      </w:r>
      <w:r>
        <w:rPr>
          <w:spacing w:val="-2"/>
        </w:rPr>
        <w:t>l</w:t>
      </w:r>
      <w:r>
        <w:rPr>
          <w:spacing w:val="1"/>
        </w:rPr>
        <w:t>i</w:t>
      </w:r>
      <w:r>
        <w:rPr>
          <w:spacing w:val="-2"/>
        </w:rPr>
        <w:t>t</w:t>
      </w:r>
      <w:r>
        <w:t>a</w:t>
      </w:r>
      <w:r>
        <w:rPr>
          <w:spacing w:val="-2"/>
        </w:rPr>
        <w:t>t</w:t>
      </w:r>
      <w:r>
        <w:t>ea</w:t>
      </w:r>
      <w:r>
        <w:rPr>
          <w:spacing w:val="-2"/>
        </w:rPr>
        <w:t xml:space="preserve"> </w:t>
      </w:r>
      <w:r>
        <w:rPr>
          <w:spacing w:val="1"/>
        </w:rPr>
        <w:t>V</w:t>
      </w:r>
      <w:r>
        <w:rPr>
          <w:spacing w:val="-2"/>
        </w:rPr>
        <w:t>i</w:t>
      </w:r>
      <w:r>
        <w:t>e</w:t>
      </w:r>
      <w:r>
        <w:rPr>
          <w:spacing w:val="-2"/>
        </w:rPr>
        <w:t>ţ</w:t>
      </w:r>
      <w:r>
        <w:rPr>
          <w:spacing w:val="1"/>
        </w:rPr>
        <w:t>i</w:t>
      </w:r>
      <w:r>
        <w:rPr>
          <w:spacing w:val="-2"/>
        </w:rPr>
        <w:t>i</w:t>
      </w:r>
      <w:r>
        <w:t>)</w:t>
      </w:r>
      <w:r>
        <w:rPr>
          <w:spacing w:val="1"/>
        </w:rPr>
        <w:t xml:space="preserve"> </w:t>
      </w:r>
      <w:r>
        <w:t xml:space="preserve">o </w:t>
      </w:r>
      <w:r>
        <w:rPr>
          <w:spacing w:val="1"/>
        </w:rPr>
        <w:t>î</w:t>
      </w:r>
      <w:r>
        <w:rPr>
          <w:spacing w:val="-4"/>
        </w:rPr>
        <w:t>m</w:t>
      </w:r>
      <w:r>
        <w:t>bună</w:t>
      </w:r>
      <w:r>
        <w:rPr>
          <w:spacing w:val="-2"/>
        </w:rPr>
        <w:t>t</w:t>
      </w:r>
      <w:r>
        <w:t>ă</w:t>
      </w:r>
      <w:r>
        <w:rPr>
          <w:spacing w:val="-2"/>
        </w:rPr>
        <w:t>ţ</w:t>
      </w:r>
      <w:r>
        <w:rPr>
          <w:spacing w:val="1"/>
        </w:rPr>
        <w:t>i</w:t>
      </w:r>
      <w:r>
        <w:t>re se</w:t>
      </w:r>
      <w:r>
        <w:rPr>
          <w:spacing w:val="-4"/>
        </w:rPr>
        <w:t>m</w:t>
      </w:r>
      <w:r>
        <w:t>n</w:t>
      </w:r>
      <w:r>
        <w:rPr>
          <w:spacing w:val="1"/>
        </w:rPr>
        <w:t>i</w:t>
      </w:r>
      <w:r>
        <w:t>f</w:t>
      </w:r>
      <w:r>
        <w:rPr>
          <w:spacing w:val="1"/>
        </w:rPr>
        <w:t>i</w:t>
      </w:r>
      <w:r>
        <w:rPr>
          <w:spacing w:val="-3"/>
        </w:rPr>
        <w:t>c</w:t>
      </w:r>
      <w:r>
        <w:t>a</w:t>
      </w:r>
      <w:r>
        <w:rPr>
          <w:spacing w:val="-2"/>
        </w:rPr>
        <w:t>t</w:t>
      </w:r>
      <w:r>
        <w:rPr>
          <w:spacing w:val="1"/>
        </w:rPr>
        <w:t>i</w:t>
      </w:r>
      <w:r>
        <w:rPr>
          <w:spacing w:val="-3"/>
        </w:rPr>
        <w:t>v</w:t>
      </w:r>
      <w:r>
        <w:t xml:space="preserve">ă </w:t>
      </w:r>
      <w:r>
        <w:rPr>
          <w:spacing w:val="1"/>
        </w:rPr>
        <w:t>î</w:t>
      </w:r>
      <w: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pacing w:val="-2"/>
        </w:rPr>
        <w:t xml:space="preserve"> </w:t>
      </w:r>
      <w:r>
        <w:t>16 f</w:t>
      </w:r>
      <w:r>
        <w:rPr>
          <w:spacing w:val="-3"/>
        </w:rPr>
        <w:t>a</w:t>
      </w:r>
      <w:r>
        <w:rPr>
          <w:spacing w:val="1"/>
        </w:rPr>
        <w:t>ţ</w:t>
      </w:r>
      <w:r>
        <w:t xml:space="preserve">ă </w:t>
      </w:r>
      <w:r>
        <w:rPr>
          <w:spacing w:val="-3"/>
        </w:rPr>
        <w:t>d</w:t>
      </w:r>
      <w:r>
        <w:t xml:space="preserve">e </w:t>
      </w:r>
      <w:r>
        <w:rPr>
          <w:rFonts w:eastAsia="MS Mincho"/>
          <w:spacing w:val="-2"/>
          <w:szCs w:val="22"/>
          <w:lang w:eastAsia="en-US" w:bidi="ar-SA"/>
        </w:rPr>
        <w:t>momentul</w:t>
      </w:r>
      <w:r>
        <w:rPr>
          <w:rFonts w:eastAsia="MS Mincho"/>
          <w:szCs w:val="22"/>
          <w:lang w:eastAsia="en-US" w:bidi="ar-SA"/>
        </w:rPr>
        <w:t xml:space="preserve"> </w:t>
      </w:r>
      <w:r>
        <w:rPr>
          <w:rFonts w:eastAsia="MS Mincho"/>
          <w:spacing w:val="1"/>
          <w:szCs w:val="22"/>
          <w:lang w:eastAsia="en-US" w:bidi="ar-SA"/>
        </w:rPr>
        <w:t>i</w:t>
      </w:r>
      <w:r>
        <w:rPr>
          <w:rFonts w:eastAsia="MS Mincho"/>
          <w:szCs w:val="22"/>
          <w:lang w:eastAsia="en-US" w:bidi="ar-SA"/>
        </w:rPr>
        <w:t>n</w:t>
      </w:r>
      <w:r>
        <w:rPr>
          <w:rFonts w:eastAsia="MS Mincho"/>
          <w:spacing w:val="-2"/>
          <w:szCs w:val="22"/>
          <w:lang w:eastAsia="en-US" w:bidi="ar-SA"/>
        </w:rPr>
        <w:t>iţ</w:t>
      </w:r>
      <w:r>
        <w:rPr>
          <w:rFonts w:eastAsia="MS Mincho"/>
          <w:spacing w:val="1"/>
          <w:szCs w:val="22"/>
          <w:lang w:eastAsia="en-US" w:bidi="ar-SA"/>
        </w:rPr>
        <w:t>i</w:t>
      </w:r>
      <w:r>
        <w:rPr>
          <w:rFonts w:eastAsia="MS Mincho"/>
          <w:szCs w:val="22"/>
          <w:lang w:eastAsia="en-US" w:bidi="ar-SA"/>
        </w:rPr>
        <w:t>a</w:t>
      </w:r>
      <w:r>
        <w:rPr>
          <w:rFonts w:eastAsia="MS Mincho"/>
          <w:spacing w:val="-2"/>
          <w:szCs w:val="22"/>
          <w:lang w:eastAsia="en-US" w:bidi="ar-SA"/>
        </w:rPr>
        <w:t>l</w:t>
      </w:r>
      <w:r>
        <w:t>, c</w:t>
      </w:r>
      <w:r>
        <w:rPr>
          <w:spacing w:val="-3"/>
        </w:rPr>
        <w:t>o</w:t>
      </w:r>
      <w:r>
        <w:rPr>
          <w:spacing w:val="-4"/>
        </w:rPr>
        <w:t>m</w:t>
      </w:r>
      <w:r>
        <w:t>para</w:t>
      </w:r>
      <w:r>
        <w:rPr>
          <w:spacing w:val="1"/>
        </w:rPr>
        <w:t>ti</w:t>
      </w:r>
      <w:r>
        <w:t>v</w:t>
      </w:r>
      <w:r>
        <w:rPr>
          <w:spacing w:val="-3"/>
        </w:rPr>
        <w:t xml:space="preserve"> </w:t>
      </w:r>
      <w:r>
        <w:t xml:space="preserve">cu </w:t>
      </w:r>
      <w:r>
        <w:rPr>
          <w:spacing w:val="-3"/>
        </w:rPr>
        <w:t>p</w:t>
      </w:r>
      <w:r>
        <w:rPr>
          <w:spacing w:val="1"/>
        </w:rPr>
        <w:t>l</w:t>
      </w:r>
      <w:r>
        <w:t>ac</w:t>
      </w:r>
      <w:r>
        <w:rPr>
          <w:spacing w:val="-3"/>
        </w:rPr>
        <w:t>e</w:t>
      </w:r>
      <w:r>
        <w:t>bo (</w:t>
      </w:r>
      <w:r>
        <w:rPr>
          <w:spacing w:val="-3"/>
        </w:rPr>
        <w:t>S</w:t>
      </w:r>
      <w:r>
        <w:rPr>
          <w:spacing w:val="1"/>
        </w:rPr>
        <w:t>t</w:t>
      </w:r>
      <w:r>
        <w:t>u</w:t>
      </w:r>
      <w:r>
        <w:rPr>
          <w:spacing w:val="-3"/>
        </w:rPr>
        <w:t>d</w:t>
      </w:r>
      <w:r>
        <w:rPr>
          <w:spacing w:val="-2"/>
        </w:rPr>
        <w:t>i</w:t>
      </w:r>
      <w:r>
        <w:t>ul</w:t>
      </w:r>
      <w:r>
        <w:rPr>
          <w:spacing w:val="1"/>
        </w:rPr>
        <w:t xml:space="preserve"> </w:t>
      </w:r>
      <w:r>
        <w:t>I</w:t>
      </w:r>
      <w:r>
        <w:rPr>
          <w:spacing w:val="-4"/>
        </w:rPr>
        <w:t xml:space="preserve"> </w:t>
      </w:r>
      <w:r>
        <w:t>şi</w:t>
      </w:r>
      <w:r>
        <w:rPr>
          <w:spacing w:val="1"/>
        </w:rPr>
        <w:t xml:space="preserve"> </w:t>
      </w:r>
      <w:r>
        <w:rPr>
          <w:spacing w:val="-2"/>
        </w:rPr>
        <w:t>I</w:t>
      </w:r>
      <w:r>
        <w:rPr>
          <w:spacing w:val="-4"/>
        </w:rPr>
        <w:t>I</w:t>
      </w:r>
      <w:r>
        <w:t>)</w:t>
      </w:r>
      <w:r>
        <w:rPr>
          <w:spacing w:val="1"/>
        </w:rPr>
        <w:t xml:space="preserve"> </w:t>
      </w:r>
      <w:r>
        <w:t>şi</w:t>
      </w:r>
      <w:r>
        <w:rPr>
          <w:spacing w:val="1"/>
        </w:rPr>
        <w:t xml:space="preserve"> </w:t>
      </w:r>
      <w:r>
        <w:t xml:space="preserve">cu </w:t>
      </w:r>
      <w:r>
        <w:rPr>
          <w:spacing w:val="-2"/>
        </w:rPr>
        <w:t>M</w:t>
      </w:r>
      <w:r>
        <w:rPr>
          <w:spacing w:val="-1"/>
        </w:rPr>
        <w:t>T</w:t>
      </w:r>
      <w:r>
        <w:t>X (</w:t>
      </w:r>
      <w:r>
        <w:rPr>
          <w:spacing w:val="-1"/>
        </w:rPr>
        <w:t>S</w:t>
      </w:r>
      <w:r>
        <w:rPr>
          <w:spacing w:val="1"/>
        </w:rPr>
        <w:t>t</w:t>
      </w:r>
      <w:r>
        <w:t>u</w:t>
      </w:r>
      <w:r>
        <w:rPr>
          <w:spacing w:val="-3"/>
        </w:rPr>
        <w:t>d</w:t>
      </w:r>
      <w:r>
        <w:rPr>
          <w:spacing w:val="1"/>
        </w:rPr>
        <w:t>i</w:t>
      </w:r>
      <w:r>
        <w:rPr>
          <w:spacing w:val="-3"/>
        </w:rPr>
        <w:t>u</w:t>
      </w:r>
      <w:r>
        <w:t>l</w:t>
      </w:r>
      <w:r>
        <w:rPr>
          <w:spacing w:val="1"/>
        </w:rPr>
        <w:t xml:space="preserve"> </w:t>
      </w:r>
      <w:r>
        <w:rPr>
          <w:spacing w:val="-2"/>
        </w:rPr>
        <w:t>I</w:t>
      </w:r>
      <w:r>
        <w:rPr>
          <w:spacing w:val="-4"/>
        </w:rPr>
        <w:t>I</w:t>
      </w:r>
      <w:r>
        <w:t>).</w:t>
      </w:r>
      <w:r>
        <w:rPr>
          <w:spacing w:val="2"/>
        </w:rPr>
        <w:t xml:space="preserve"> </w:t>
      </w:r>
      <w:r>
        <w:rPr>
          <w:spacing w:val="-4"/>
        </w:rPr>
        <w:t>Î</w:t>
      </w:r>
      <w:r>
        <w:t xml:space="preserve">n </w:t>
      </w:r>
      <w:r>
        <w:rPr>
          <w:spacing w:val="-1"/>
        </w:rPr>
        <w:t>S</w:t>
      </w:r>
      <w:r>
        <w:rPr>
          <w:spacing w:val="1"/>
        </w:rPr>
        <w:t>t</w:t>
      </w:r>
      <w:r>
        <w:t>ud</w:t>
      </w:r>
      <w:r>
        <w:rPr>
          <w:spacing w:val="1"/>
        </w:rPr>
        <w:t>i</w:t>
      </w:r>
      <w:r>
        <w:t>ul</w:t>
      </w:r>
      <w:r>
        <w:rPr>
          <w:spacing w:val="1"/>
        </w:rPr>
        <w:t xml:space="preserve"> </w:t>
      </w:r>
      <w:r>
        <w:rPr>
          <w:spacing w:val="-4"/>
        </w:rPr>
        <w:t>I</w:t>
      </w:r>
      <w:r>
        <w:t xml:space="preserve">, </w:t>
      </w:r>
      <w:r>
        <w:rPr>
          <w:spacing w:val="1"/>
        </w:rPr>
        <w:t>î</w:t>
      </w:r>
      <w:r>
        <w:rPr>
          <w:spacing w:val="-2"/>
        </w:rPr>
        <w:t>m</w:t>
      </w:r>
      <w:r>
        <w:t>bună</w:t>
      </w:r>
      <w:r>
        <w:rPr>
          <w:spacing w:val="-2"/>
        </w:rPr>
        <w:t>t</w:t>
      </w:r>
      <w:r>
        <w:t>ă</w:t>
      </w:r>
      <w:r>
        <w:rPr>
          <w:spacing w:val="-2"/>
        </w:rPr>
        <w:t>ţ</w:t>
      </w:r>
      <w:r>
        <w:rPr>
          <w:spacing w:val="1"/>
        </w:rPr>
        <w:t>i</w:t>
      </w:r>
      <w:r>
        <w:t>r</w:t>
      </w:r>
      <w:r>
        <w:rPr>
          <w:spacing w:val="-3"/>
        </w:rPr>
        <w:t>e</w:t>
      </w:r>
      <w:r>
        <w:t xml:space="preserve">a </w:t>
      </w:r>
      <w:r>
        <w:rPr>
          <w:spacing w:val="-2"/>
        </w:rPr>
        <w:t>s</w:t>
      </w:r>
      <w:r>
        <w:t>cor</w:t>
      </w:r>
      <w:r>
        <w:rPr>
          <w:spacing w:val="-3"/>
        </w:rPr>
        <w:t>u</w:t>
      </w:r>
      <w:r>
        <w:t>r</w:t>
      </w:r>
      <w:r>
        <w:rPr>
          <w:spacing w:val="-2"/>
        </w:rPr>
        <w:t>i</w:t>
      </w:r>
      <w:r>
        <w:rPr>
          <w:spacing w:val="1"/>
        </w:rPr>
        <w:t>l</w:t>
      </w:r>
      <w:r>
        <w:t>or</w:t>
      </w:r>
      <w:r>
        <w:rPr>
          <w:spacing w:val="-2"/>
        </w:rPr>
        <w:t xml:space="preserve"> </w:t>
      </w:r>
      <w:r>
        <w:t>co</w:t>
      </w:r>
      <w:r>
        <w:rPr>
          <w:spacing w:val="-4"/>
        </w:rPr>
        <w:t>m</w:t>
      </w:r>
      <w:r>
        <w:t>ponen</w:t>
      </w:r>
      <w:r>
        <w:rPr>
          <w:spacing w:val="-2"/>
        </w:rPr>
        <w:t>t</w:t>
      </w:r>
      <w:r>
        <w:t>e</w:t>
      </w:r>
      <w:r>
        <w:rPr>
          <w:spacing w:val="1"/>
        </w:rPr>
        <w:t>l</w:t>
      </w:r>
      <w:r>
        <w:rPr>
          <w:spacing w:val="-3"/>
        </w:rPr>
        <w:t>o</w:t>
      </w:r>
      <w:r>
        <w:t>r</w:t>
      </w:r>
      <w:r>
        <w:rPr>
          <w:spacing w:val="1"/>
        </w:rPr>
        <w:t xml:space="preserve"> </w:t>
      </w:r>
      <w:r>
        <w:rPr>
          <w:spacing w:val="-2"/>
        </w:rPr>
        <w:t>f</w:t>
      </w:r>
      <w:r>
        <w:rPr>
          <w:spacing w:val="1"/>
        </w:rPr>
        <w:t>i</w:t>
      </w:r>
      <w:r>
        <w:rPr>
          <w:spacing w:val="-3"/>
        </w:rPr>
        <w:t>z</w:t>
      </w:r>
      <w:r>
        <w:rPr>
          <w:spacing w:val="1"/>
        </w:rPr>
        <w:t>i</w:t>
      </w:r>
      <w:r>
        <w:t>ce</w:t>
      </w:r>
      <w:r>
        <w:rPr>
          <w:spacing w:val="-2"/>
        </w:rPr>
        <w:t xml:space="preserve"> </w:t>
      </w:r>
      <w:r>
        <w:t>şi</w:t>
      </w:r>
      <w:r>
        <w:rPr>
          <w:spacing w:val="1"/>
        </w:rPr>
        <w:t xml:space="preserve"> </w:t>
      </w:r>
      <w:r>
        <w:rPr>
          <w:spacing w:val="-4"/>
        </w:rPr>
        <w:t>m</w:t>
      </w:r>
      <w:r>
        <w:t>en</w:t>
      </w:r>
      <w:r>
        <w:rPr>
          <w:spacing w:val="1"/>
        </w:rPr>
        <w:t>t</w:t>
      </w:r>
      <w:r>
        <w:rPr>
          <w:spacing w:val="-3"/>
        </w:rPr>
        <w:t>a</w:t>
      </w:r>
      <w:r>
        <w:rPr>
          <w:spacing w:val="1"/>
        </w:rPr>
        <w:t>l</w:t>
      </w:r>
      <w:r>
        <w:t>e</w:t>
      </w:r>
      <w:r>
        <w:rPr>
          <w:spacing w:val="-2"/>
        </w:rPr>
        <w:t xml:space="preserve"> </w:t>
      </w:r>
      <w:r>
        <w:t>a</w:t>
      </w:r>
      <w:r>
        <w:rPr>
          <w:spacing w:val="1"/>
        </w:rPr>
        <w:t>l</w:t>
      </w:r>
      <w:r>
        <w:t xml:space="preserve">e </w:t>
      </w:r>
      <w:r>
        <w:rPr>
          <w:spacing w:val="-1"/>
        </w:rPr>
        <w:t>SF</w:t>
      </w:r>
      <w:r>
        <w:rPr>
          <w:spacing w:val="-4"/>
        </w:rPr>
        <w:t>-</w:t>
      </w:r>
      <w:r>
        <w:t>36 a fo</w:t>
      </w:r>
      <w:r>
        <w:rPr>
          <w:spacing w:val="-2"/>
        </w:rPr>
        <w:t>s</w:t>
      </w:r>
      <w:r>
        <w:t>t</w:t>
      </w:r>
      <w:r>
        <w:rPr>
          <w:spacing w:val="1"/>
        </w:rPr>
        <w:t xml:space="preserve"> </w:t>
      </w:r>
      <w:r>
        <w:rPr>
          <w:spacing w:val="-3"/>
        </w:rPr>
        <w:t>d</w:t>
      </w:r>
      <w:r>
        <w:t>e ase</w:t>
      </w:r>
      <w:r>
        <w:rPr>
          <w:spacing w:val="-4"/>
        </w:rPr>
        <w:t>m</w:t>
      </w:r>
      <w:r>
        <w:t>enea se</w:t>
      </w:r>
      <w:r>
        <w:rPr>
          <w:spacing w:val="-4"/>
        </w:rPr>
        <w:t>m</w:t>
      </w:r>
      <w:r>
        <w:t>n</w:t>
      </w:r>
      <w:r>
        <w:rPr>
          <w:spacing w:val="1"/>
        </w:rPr>
        <w:t>i</w:t>
      </w:r>
      <w:r>
        <w:rPr>
          <w:spacing w:val="-2"/>
        </w:rPr>
        <w:t>f</w:t>
      </w:r>
      <w:r>
        <w:rPr>
          <w:spacing w:val="1"/>
        </w:rPr>
        <w:t>i</w:t>
      </w:r>
      <w:r>
        <w:t>c</w:t>
      </w:r>
      <w:r>
        <w:rPr>
          <w:spacing w:val="-3"/>
        </w:rPr>
        <w:t>a</w:t>
      </w:r>
      <w:r>
        <w:rPr>
          <w:spacing w:val="-2"/>
        </w:rPr>
        <w:t>t</w:t>
      </w:r>
      <w:r>
        <w:rPr>
          <w:spacing w:val="1"/>
        </w:rPr>
        <w:t>i</w:t>
      </w:r>
      <w:r>
        <w:rPr>
          <w:spacing w:val="-3"/>
        </w:rPr>
        <w:t>v</w:t>
      </w:r>
      <w:r>
        <w:t xml:space="preserve">ă </w:t>
      </w:r>
      <w:r>
        <w:rPr>
          <w:spacing w:val="1"/>
        </w:rPr>
        <w:t>î</w:t>
      </w:r>
      <w:r>
        <w:t>n</w:t>
      </w:r>
      <w:r>
        <w:rPr>
          <w:spacing w:val="-3"/>
        </w:rPr>
        <w:t xml:space="preserve"> </w:t>
      </w:r>
      <w:r>
        <w:t>co</w:t>
      </w:r>
      <w:r>
        <w:rPr>
          <w:spacing w:val="-4"/>
        </w:rPr>
        <w:t>m</w:t>
      </w:r>
      <w:r>
        <w:t>para</w:t>
      </w:r>
      <w:r>
        <w:rPr>
          <w:spacing w:val="1"/>
        </w:rPr>
        <w:t>ţ</w:t>
      </w:r>
      <w:r>
        <w:rPr>
          <w:spacing w:val="-2"/>
        </w:rPr>
        <w:t>i</w:t>
      </w:r>
      <w:r>
        <w:t>e cu</w:t>
      </w:r>
      <w:r>
        <w:rPr>
          <w:spacing w:val="-3"/>
        </w:rPr>
        <w:t xml:space="preserve"> </w:t>
      </w:r>
      <w:r>
        <w:t>p</w:t>
      </w:r>
      <w:r>
        <w:rPr>
          <w:spacing w:val="1"/>
        </w:rPr>
        <w:t>l</w:t>
      </w:r>
      <w:r>
        <w:rPr>
          <w:spacing w:val="-3"/>
        </w:rPr>
        <w:t>a</w:t>
      </w:r>
      <w:r>
        <w:t>cebo.</w:t>
      </w:r>
    </w:p>
    <w:p w14:paraId="6988A9A9" w14:textId="77777777" w:rsidR="00C04CAD" w:rsidRDefault="00C04CAD">
      <w:pPr>
        <w:tabs>
          <w:tab w:val="clear" w:pos="567"/>
        </w:tabs>
        <w:kinsoku w:val="0"/>
        <w:overflowPunct w:val="0"/>
        <w:autoSpaceDE w:val="0"/>
        <w:autoSpaceDN w:val="0"/>
        <w:adjustRightInd w:val="0"/>
        <w:spacing w:line="240" w:lineRule="auto"/>
      </w:pPr>
    </w:p>
    <w:p w14:paraId="3AE1A172"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2"/>
        </w:rPr>
        <w:t xml:space="preserve"> </w:t>
      </w:r>
      <w:r>
        <w:t>ex</w:t>
      </w:r>
      <w:r>
        <w:rPr>
          <w:spacing w:val="-2"/>
        </w:rPr>
        <w:t>t</w:t>
      </w:r>
      <w:r>
        <w:rPr>
          <w:spacing w:val="1"/>
        </w:rPr>
        <w:t>i</w:t>
      </w:r>
      <w:r>
        <w:t>ns,</w:t>
      </w:r>
      <w:r>
        <w:rPr>
          <w:spacing w:val="-3"/>
        </w:rPr>
        <w:t xml:space="preserve"> </w:t>
      </w:r>
      <w:r>
        <w:t>des</w:t>
      </w:r>
      <w:r>
        <w:rPr>
          <w:spacing w:val="-3"/>
        </w:rPr>
        <w:t>c</w:t>
      </w:r>
      <w:r>
        <w:t>h</w:t>
      </w:r>
      <w:r>
        <w:rPr>
          <w:spacing w:val="-2"/>
        </w:rPr>
        <w:t>i</w:t>
      </w:r>
      <w:r>
        <w:t xml:space="preserve">s, </w:t>
      </w:r>
      <w:r>
        <w:rPr>
          <w:spacing w:val="-3"/>
        </w:rPr>
        <w:t>2</w:t>
      </w:r>
      <w:r>
        <w:t>6,4%</w:t>
      </w:r>
      <w:r>
        <w:rPr>
          <w:spacing w:val="-2"/>
        </w:rPr>
        <w:t xml:space="preserve"> </w:t>
      </w:r>
      <w:r>
        <w:t>(92</w:t>
      </w:r>
      <w:r>
        <w:rPr>
          <w:spacing w:val="-2"/>
        </w:rPr>
        <w:t>/</w:t>
      </w:r>
      <w:r>
        <w:t>349 )</w:t>
      </w:r>
      <w:r>
        <w:rPr>
          <w:spacing w:val="-2"/>
        </w:rPr>
        <w:t xml:space="preserve"> </w:t>
      </w:r>
      <w:r>
        <w:t>şi</w:t>
      </w:r>
      <w:r>
        <w:rPr>
          <w:spacing w:val="-2"/>
        </w:rPr>
        <w:t xml:space="preserve"> </w:t>
      </w:r>
      <w:r>
        <w:t>37,</w:t>
      </w:r>
      <w:r>
        <w:rPr>
          <w:spacing w:val="-3"/>
        </w:rPr>
        <w:t>8</w:t>
      </w:r>
      <w:r>
        <w:t>%</w:t>
      </w:r>
      <w:r>
        <w:rPr>
          <w:spacing w:val="1"/>
        </w:rPr>
        <w:t xml:space="preserve"> </w:t>
      </w:r>
      <w:r>
        <w:t>(</w:t>
      </w:r>
      <w:r>
        <w:rPr>
          <w:spacing w:val="-3"/>
        </w:rPr>
        <w:t>1</w:t>
      </w:r>
      <w:r>
        <w:t>32</w:t>
      </w:r>
      <w:r>
        <w:rPr>
          <w:spacing w:val="1"/>
        </w:rPr>
        <w:t>/</w:t>
      </w:r>
      <w:r>
        <w:t>34</w:t>
      </w:r>
      <w:r>
        <w:rPr>
          <w:spacing w:val="-3"/>
        </w:rPr>
        <w:t>9</w:t>
      </w:r>
      <w:r>
        <w:t>)</w:t>
      </w:r>
      <w:r>
        <w:rPr>
          <w:spacing w:val="1"/>
        </w:rPr>
        <w:t xml:space="preserve"> </w:t>
      </w:r>
      <w:r>
        <w:rPr>
          <w:spacing w:val="-3"/>
        </w:rPr>
        <w:t>d</w:t>
      </w:r>
      <w:r>
        <w:rPr>
          <w:spacing w:val="1"/>
        </w:rPr>
        <w:t>i</w:t>
      </w:r>
      <w:r>
        <w:t>n</w:t>
      </w:r>
      <w:r>
        <w:rPr>
          <w:spacing w:val="-2"/>
        </w:rPr>
        <w:t>t</w:t>
      </w:r>
      <w:r>
        <w:t xml:space="preserve">re </w:t>
      </w:r>
      <w:r>
        <w:rPr>
          <w:spacing w:val="-3"/>
        </w:rPr>
        <w:t>p</w:t>
      </w:r>
      <w:r>
        <w:t>ac</w:t>
      </w:r>
      <w:r>
        <w:rPr>
          <w:spacing w:val="-2"/>
        </w:rPr>
        <w:t>i</w:t>
      </w:r>
      <w:r>
        <w:t>en</w:t>
      </w:r>
      <w:r>
        <w:rPr>
          <w:spacing w:val="-2"/>
        </w:rPr>
        <w:t>ţi</w:t>
      </w:r>
      <w:r>
        <w:t>i</w:t>
      </w:r>
      <w:r>
        <w:rPr>
          <w:spacing w:val="1"/>
        </w:rPr>
        <w:t xml:space="preserve"> </w:t>
      </w:r>
      <w:r>
        <w:t>c</w:t>
      </w:r>
      <w:r>
        <w:rPr>
          <w:spacing w:val="-3"/>
        </w:rPr>
        <w:t>ă</w:t>
      </w:r>
      <w:r>
        <w:rPr>
          <w:spacing w:val="-2"/>
        </w:rPr>
        <w:t>r</w:t>
      </w:r>
      <w:r>
        <w:t>ora</w:t>
      </w:r>
      <w:r>
        <w:rPr>
          <w:spacing w:val="-2"/>
        </w:rPr>
        <w:t xml:space="preserve"> </w:t>
      </w:r>
      <w:r>
        <w:rPr>
          <w:spacing w:val="1"/>
        </w:rPr>
        <w:t>l</w:t>
      </w:r>
      <w:r>
        <w:t>i</w:t>
      </w:r>
      <w:r>
        <w:rPr>
          <w:spacing w:val="1"/>
        </w:rPr>
        <w:t xml:space="preserve"> </w:t>
      </w:r>
      <w:r>
        <w:t>s</w:t>
      </w:r>
      <w:r>
        <w:rPr>
          <w:spacing w:val="-4"/>
        </w:rPr>
        <w:t>-</w:t>
      </w:r>
      <w:r>
        <w:t>a cr</w:t>
      </w:r>
      <w:r>
        <w:rPr>
          <w:spacing w:val="-3"/>
        </w:rPr>
        <w:t>e</w:t>
      </w:r>
      <w:r>
        <w:t>sc</w:t>
      </w:r>
      <w:r>
        <w:rPr>
          <w:spacing w:val="-3"/>
        </w:rPr>
        <w:t>u</w:t>
      </w:r>
      <w:r>
        <w:t>t do</w:t>
      </w:r>
      <w:r>
        <w:rPr>
          <w:spacing w:val="-3"/>
        </w:rPr>
        <w:t>z</w:t>
      </w:r>
      <w:r>
        <w:t xml:space="preserve">a de </w:t>
      </w:r>
      <w:r>
        <w:rPr>
          <w:spacing w:val="1"/>
        </w:rPr>
        <w:t>l</w:t>
      </w:r>
      <w:r>
        <w:t>a</w:t>
      </w:r>
      <w:r>
        <w:rPr>
          <w:spacing w:val="-2"/>
        </w:rPr>
        <w:t xml:space="preserve"> </w:t>
      </w:r>
      <w:r>
        <w:t>40 </w:t>
      </w:r>
      <w:r>
        <w:rPr>
          <w:spacing w:val="-4"/>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w:t>
      </w:r>
      <w:r>
        <w:rPr>
          <w:spacing w:val="1"/>
        </w:rPr>
        <w:t>i</w:t>
      </w:r>
      <w:r>
        <w:t xml:space="preserve">, </w:t>
      </w:r>
      <w:r>
        <w:rPr>
          <w:spacing w:val="-2"/>
        </w:rPr>
        <w:t>l</w:t>
      </w:r>
      <w:r>
        <w:t>a 40 </w:t>
      </w:r>
      <w:r>
        <w:rPr>
          <w:spacing w:val="-4"/>
        </w:rPr>
        <w:t>m</w:t>
      </w:r>
      <w:r>
        <w:t>g</w:t>
      </w:r>
      <w:r>
        <w:rPr>
          <w:spacing w:val="-3"/>
        </w:rPr>
        <w:t xml:space="preserve"> </w:t>
      </w:r>
      <w:r>
        <w:t>săp</w:t>
      </w:r>
      <w:r>
        <w:rPr>
          <w:spacing w:val="1"/>
        </w:rPr>
        <w:t>t</w:t>
      </w:r>
      <w:r>
        <w:t>ă</w:t>
      </w:r>
      <w:r>
        <w:rPr>
          <w:spacing w:val="-4"/>
        </w:rPr>
        <w:t>m</w:t>
      </w:r>
      <w:r>
        <w:t>ânal</w:t>
      </w:r>
      <w:r>
        <w:rPr>
          <w:spacing w:val="1"/>
        </w:rPr>
        <w:t xml:space="preserve"> </w:t>
      </w:r>
      <w:r>
        <w:rPr>
          <w:spacing w:val="-3"/>
        </w:rPr>
        <w:t>din cauza</w:t>
      </w:r>
      <w:r>
        <w:rPr>
          <w:spacing w:val="-2"/>
        </w:rPr>
        <w:t xml:space="preserve"> </w:t>
      </w:r>
      <w:r>
        <w:t>răs</w:t>
      </w:r>
      <w:r>
        <w:rPr>
          <w:spacing w:val="-3"/>
        </w:rPr>
        <w:t>p</w:t>
      </w:r>
      <w:r>
        <w:t>uns</w:t>
      </w:r>
      <w:r>
        <w:rPr>
          <w:spacing w:val="-3"/>
        </w:rPr>
        <w:t>u</w:t>
      </w:r>
      <w:r>
        <w:rPr>
          <w:spacing w:val="1"/>
        </w:rPr>
        <w:t>l</w:t>
      </w:r>
      <w:r>
        <w:t>ui</w:t>
      </w:r>
      <w:r>
        <w:rPr>
          <w:spacing w:val="-2"/>
        </w:rPr>
        <w:t xml:space="preserve"> </w:t>
      </w:r>
      <w:r>
        <w:rPr>
          <w:spacing w:val="-1"/>
        </w:rPr>
        <w:t>PA</w:t>
      </w:r>
      <w:r>
        <w:rPr>
          <w:spacing w:val="2"/>
        </w:rPr>
        <w:t>S</w:t>
      </w:r>
      <w:r>
        <w:t>I</w:t>
      </w:r>
      <w:r>
        <w:rPr>
          <w:spacing w:val="-4"/>
        </w:rPr>
        <w:t xml:space="preserve"> </w:t>
      </w:r>
      <w:r>
        <w:t>sub 50%,</w:t>
      </w:r>
      <w:r>
        <w:rPr>
          <w:spacing w:val="-3"/>
        </w:rPr>
        <w:t xml:space="preserve"> </w:t>
      </w:r>
      <w:r>
        <w:t>au pre</w:t>
      </w:r>
      <w:r>
        <w:rPr>
          <w:spacing w:val="-3"/>
        </w:rPr>
        <w:t>z</w:t>
      </w:r>
      <w:r>
        <w:t>en</w:t>
      </w:r>
      <w:r>
        <w:rPr>
          <w:spacing w:val="-2"/>
        </w:rPr>
        <w:t>t</w:t>
      </w:r>
      <w:r>
        <w:t>at</w:t>
      </w:r>
      <w:r>
        <w:rPr>
          <w:spacing w:val="-2"/>
        </w:rPr>
        <w:t xml:space="preserve"> </w:t>
      </w:r>
      <w:r>
        <w:t>răs</w:t>
      </w:r>
      <w:r>
        <w:rPr>
          <w:spacing w:val="-3"/>
        </w:rPr>
        <w:t>p</w:t>
      </w:r>
      <w:r>
        <w:t xml:space="preserve">uns </w:t>
      </w:r>
      <w:r>
        <w:rPr>
          <w:spacing w:val="-1"/>
        </w:rPr>
        <w:t>PAS</w:t>
      </w:r>
      <w:r>
        <w:t>I</w:t>
      </w:r>
      <w:r>
        <w:rPr>
          <w:spacing w:val="-4"/>
        </w:rPr>
        <w:t xml:space="preserve"> </w:t>
      </w:r>
      <w:r>
        <w:t xml:space="preserve">75 </w:t>
      </w:r>
      <w:r>
        <w:rPr>
          <w:spacing w:val="-2"/>
        </w:rPr>
        <w:t>î</w:t>
      </w:r>
      <w:r>
        <w:t>n să</w:t>
      </w:r>
      <w:r>
        <w:rPr>
          <w:spacing w:val="-3"/>
        </w:rPr>
        <w:t>p</w:t>
      </w:r>
      <w:r>
        <w:rPr>
          <w:spacing w:val="1"/>
        </w:rPr>
        <w:t>t</w:t>
      </w:r>
      <w:r>
        <w:t>ă</w:t>
      </w:r>
      <w:r>
        <w:rPr>
          <w:spacing w:val="-4"/>
        </w:rPr>
        <w:t>m</w:t>
      </w:r>
      <w:r>
        <w:t xml:space="preserve">âna 12 </w:t>
      </w:r>
      <w:r>
        <w:rPr>
          <w:spacing w:val="-2"/>
        </w:rPr>
        <w:t>ş</w:t>
      </w:r>
      <w:r>
        <w:t>i</w:t>
      </w:r>
      <w:r>
        <w:rPr>
          <w:spacing w:val="1"/>
        </w:rPr>
        <w:t xml:space="preserve"> </w:t>
      </w:r>
      <w:r>
        <w:rPr>
          <w:spacing w:val="-2"/>
        </w:rPr>
        <w:t>r</w:t>
      </w:r>
      <w:r>
        <w:t>esp</w:t>
      </w:r>
      <w:r>
        <w:rPr>
          <w:spacing w:val="-3"/>
        </w:rPr>
        <w:t>e</w:t>
      </w:r>
      <w:r>
        <w:t>c</w:t>
      </w:r>
      <w:r>
        <w:rPr>
          <w:spacing w:val="-2"/>
        </w:rPr>
        <w:t>t</w:t>
      </w:r>
      <w:r>
        <w:rPr>
          <w:spacing w:val="1"/>
        </w:rPr>
        <w:t>i</w:t>
      </w:r>
      <w:r>
        <w:t>v</w:t>
      </w:r>
      <w:r>
        <w:rPr>
          <w:spacing w:val="-3"/>
        </w:rPr>
        <w:t xml:space="preserve"> </w:t>
      </w:r>
      <w:r>
        <w:t>24.</w:t>
      </w:r>
    </w:p>
    <w:p w14:paraId="7CFB5F36" w14:textId="77777777" w:rsidR="00C04CAD" w:rsidRDefault="00C04CAD">
      <w:pPr>
        <w:tabs>
          <w:tab w:val="clear" w:pos="567"/>
        </w:tabs>
        <w:kinsoku w:val="0"/>
        <w:overflowPunct w:val="0"/>
        <w:autoSpaceDE w:val="0"/>
        <w:autoSpaceDN w:val="0"/>
        <w:adjustRightInd w:val="0"/>
        <w:spacing w:line="240" w:lineRule="auto"/>
      </w:pPr>
    </w:p>
    <w:p w14:paraId="5280A1C9" w14:textId="77777777" w:rsidR="00C04CAD" w:rsidRDefault="00060E34">
      <w:pPr>
        <w:tabs>
          <w:tab w:val="clear" w:pos="567"/>
        </w:tabs>
        <w:kinsoku w:val="0"/>
        <w:overflowPunct w:val="0"/>
        <w:autoSpaceDE w:val="0"/>
        <w:autoSpaceDN w:val="0"/>
        <w:adjustRightInd w:val="0"/>
        <w:spacing w:line="240" w:lineRule="auto"/>
      </w:pPr>
      <w:r>
        <w:rPr>
          <w:spacing w:val="-4"/>
        </w:rPr>
        <w:t>Î</w:t>
      </w:r>
      <w:r>
        <w:t xml:space="preserve">n </w:t>
      </w:r>
      <w:r>
        <w:rPr>
          <w:spacing w:val="-1"/>
        </w:rPr>
        <w:t>S</w:t>
      </w:r>
      <w:r>
        <w:rPr>
          <w:spacing w:val="1"/>
        </w:rPr>
        <w:t>t</w:t>
      </w:r>
      <w:r>
        <w:t>ud</w:t>
      </w:r>
      <w:r>
        <w:rPr>
          <w:spacing w:val="1"/>
        </w:rPr>
        <w:t>i</w:t>
      </w:r>
      <w:r>
        <w:t>ul</w:t>
      </w:r>
      <w:r>
        <w:rPr>
          <w:spacing w:val="1"/>
        </w:rPr>
        <w:t xml:space="preserve"> </w:t>
      </w:r>
      <w:r>
        <w:rPr>
          <w:spacing w:val="-2"/>
        </w:rPr>
        <w:t>II</w:t>
      </w:r>
      <w:r>
        <w:t>I</w:t>
      </w:r>
      <w:r>
        <w:rPr>
          <w:spacing w:val="-2"/>
        </w:rPr>
        <w:t xml:space="preserve"> </w:t>
      </w:r>
      <w:r>
        <w:t>cu pr</w:t>
      </w:r>
      <w:r>
        <w:rPr>
          <w:spacing w:val="1"/>
        </w:rPr>
        <w:t>i</w:t>
      </w:r>
      <w:r>
        <w:rPr>
          <w:spacing w:val="-3"/>
        </w:rPr>
        <w:t>v</w:t>
      </w:r>
      <w:r>
        <w:rPr>
          <w:spacing w:val="1"/>
        </w:rPr>
        <w:t>i</w:t>
      </w:r>
      <w:r>
        <w:rPr>
          <w:spacing w:val="-2"/>
        </w:rPr>
        <w:t>r</w:t>
      </w:r>
      <w:r>
        <w:t xml:space="preserve">e </w:t>
      </w:r>
      <w:r>
        <w:rPr>
          <w:spacing w:val="-2"/>
        </w:rPr>
        <w:t>l</w:t>
      </w:r>
      <w:r>
        <w:t xml:space="preserve">a </w:t>
      </w:r>
      <w:r>
        <w:rPr>
          <w:spacing w:val="-3"/>
        </w:rPr>
        <w:t>p</w:t>
      </w:r>
      <w:r>
        <w:t>sor</w:t>
      </w:r>
      <w:r>
        <w:rPr>
          <w:spacing w:val="-2"/>
        </w:rPr>
        <w:t>i</w:t>
      </w:r>
      <w:r>
        <w:t>a</w:t>
      </w:r>
      <w:r>
        <w:rPr>
          <w:spacing w:val="-3"/>
        </w:rPr>
        <w:t>z</w:t>
      </w:r>
      <w:r>
        <w:rPr>
          <w:spacing w:val="1"/>
        </w:rPr>
        <w:t>i</w:t>
      </w:r>
      <w:r>
        <w:t>s</w:t>
      </w:r>
      <w:r>
        <w:rPr>
          <w:spacing w:val="-2"/>
        </w:rPr>
        <w:t xml:space="preserve"> </w:t>
      </w:r>
      <w:r>
        <w:t>(</w:t>
      </w:r>
      <w:r>
        <w:rPr>
          <w:spacing w:val="-1"/>
        </w:rPr>
        <w:t>RE</w:t>
      </w:r>
      <w:r>
        <w:rPr>
          <w:spacing w:val="-2"/>
        </w:rPr>
        <w:t>A</w:t>
      </w:r>
      <w:r>
        <w:rPr>
          <w:spacing w:val="-1"/>
        </w:rPr>
        <w:t>CH</w:t>
      </w:r>
      <w:r>
        <w:t>)</w:t>
      </w:r>
      <w:r>
        <w:rPr>
          <w:spacing w:val="1"/>
        </w:rPr>
        <w:t xml:space="preserve"> </w:t>
      </w:r>
      <w:r>
        <w:t>a f</w:t>
      </w:r>
      <w:r>
        <w:rPr>
          <w:spacing w:val="-3"/>
        </w:rPr>
        <w:t>o</w:t>
      </w:r>
      <w:r>
        <w:t>st</w:t>
      </w:r>
      <w:r>
        <w:rPr>
          <w:spacing w:val="-2"/>
        </w:rPr>
        <w:t xml:space="preserve"> </w:t>
      </w:r>
      <w:r>
        <w:t>c</w:t>
      </w:r>
      <w:r>
        <w:rPr>
          <w:spacing w:val="-3"/>
        </w:rPr>
        <w:t>o</w:t>
      </w:r>
      <w:r>
        <w:rPr>
          <w:spacing w:val="-4"/>
        </w:rPr>
        <w:t>m</w:t>
      </w:r>
      <w:r>
        <w:t>para</w:t>
      </w:r>
      <w:r>
        <w:rPr>
          <w:spacing w:val="1"/>
        </w:rPr>
        <w:t>t</w:t>
      </w:r>
      <w:r>
        <w:t xml:space="preserve">ă </w:t>
      </w:r>
      <w:r>
        <w:rPr>
          <w:spacing w:val="-3"/>
        </w:rPr>
        <w:t>e</w:t>
      </w:r>
      <w:r>
        <w:t>f</w:t>
      </w:r>
      <w:r>
        <w:rPr>
          <w:spacing w:val="1"/>
        </w:rPr>
        <w:t>i</w:t>
      </w:r>
      <w:r>
        <w:rPr>
          <w:spacing w:val="-3"/>
        </w:rPr>
        <w:t>c</w:t>
      </w:r>
      <w:r>
        <w:t>a</w:t>
      </w:r>
      <w:r>
        <w:rPr>
          <w:spacing w:val="-3"/>
        </w:rPr>
        <w:t>c</w:t>
      </w:r>
      <w:r>
        <w:rPr>
          <w:spacing w:val="1"/>
        </w:rPr>
        <w:t>it</w:t>
      </w:r>
      <w:r>
        <w:rPr>
          <w:spacing w:val="-3"/>
        </w:rPr>
        <w:t>a</w:t>
      </w:r>
      <w:r>
        <w:rPr>
          <w:spacing w:val="1"/>
        </w:rPr>
        <w:t>t</w:t>
      </w:r>
      <w:r>
        <w:rPr>
          <w:spacing w:val="-3"/>
        </w:rPr>
        <w:t>e</w:t>
      </w:r>
      <w:r>
        <w:t xml:space="preserve">a </w:t>
      </w:r>
      <w:r>
        <w:rPr>
          <w:spacing w:val="-2"/>
        </w:rPr>
        <w:t>ș</w:t>
      </w:r>
      <w:r>
        <w:t>i</w:t>
      </w:r>
      <w:r>
        <w:rPr>
          <w:spacing w:val="1"/>
        </w:rPr>
        <w:t xml:space="preserve"> </w:t>
      </w:r>
      <w:r>
        <w:rPr>
          <w:spacing w:val="-2"/>
        </w:rPr>
        <w:t>s</w:t>
      </w:r>
      <w:r>
        <w:rPr>
          <w:spacing w:val="1"/>
        </w:rPr>
        <w:t>i</w:t>
      </w:r>
      <w:r>
        <w:rPr>
          <w:spacing w:val="-3"/>
        </w:rPr>
        <w:t>g</w:t>
      </w:r>
      <w:r>
        <w:t>uran</w:t>
      </w:r>
      <w:r>
        <w:rPr>
          <w:spacing w:val="-2"/>
        </w:rPr>
        <w:t>ț</w:t>
      </w:r>
      <w:r>
        <w:t xml:space="preserve">a </w:t>
      </w:r>
      <w:r>
        <w:rPr>
          <w:rFonts w:eastAsia="MS Mincho"/>
          <w:spacing w:val="-1"/>
          <w:szCs w:val="22"/>
          <w:lang w:eastAsia="en-US" w:bidi="ar-SA"/>
        </w:rPr>
        <w:t>adalimumab</w:t>
      </w:r>
      <w:r>
        <w:t xml:space="preserve"> </w:t>
      </w:r>
      <w:r>
        <w:rPr>
          <w:spacing w:val="-2"/>
        </w:rPr>
        <w:t>f</w:t>
      </w:r>
      <w:r>
        <w:t>a</w:t>
      </w:r>
      <w:r>
        <w:rPr>
          <w:spacing w:val="-2"/>
        </w:rPr>
        <w:t>ț</w:t>
      </w:r>
      <w:r>
        <w:t>ă de p</w:t>
      </w:r>
      <w:r>
        <w:rPr>
          <w:spacing w:val="1"/>
        </w:rPr>
        <w:t>l</w:t>
      </w:r>
      <w:r>
        <w:t>a</w:t>
      </w:r>
      <w:r>
        <w:rPr>
          <w:spacing w:val="-3"/>
        </w:rPr>
        <w:t>c</w:t>
      </w:r>
      <w:r>
        <w:t>ebo</w:t>
      </w:r>
      <w:r>
        <w:rPr>
          <w:spacing w:val="-3"/>
        </w:rPr>
        <w:t xml:space="preserve"> </w:t>
      </w:r>
      <w:r>
        <w:rPr>
          <w:spacing w:val="1"/>
        </w:rPr>
        <w:t>l</w:t>
      </w:r>
      <w:r>
        <w:t>a 72</w:t>
      </w:r>
      <w:r>
        <w:rPr>
          <w:spacing w:val="-3"/>
        </w:rPr>
        <w:t xml:space="preserve"> </w:t>
      </w:r>
      <w:r>
        <w:t>de p</w:t>
      </w:r>
      <w:r>
        <w:rPr>
          <w:spacing w:val="-3"/>
        </w:rPr>
        <w:t>a</w:t>
      </w:r>
      <w:r>
        <w:t>c</w:t>
      </w:r>
      <w:r>
        <w:rPr>
          <w:spacing w:val="-2"/>
        </w:rPr>
        <w:t>i</w:t>
      </w:r>
      <w:r>
        <w:t>en</w:t>
      </w:r>
      <w:r>
        <w:rPr>
          <w:spacing w:val="-2"/>
        </w:rPr>
        <w:t>ț</w:t>
      </w:r>
      <w:r>
        <w:t>i</w:t>
      </w:r>
      <w:r>
        <w:rPr>
          <w:spacing w:val="1"/>
        </w:rPr>
        <w:t xml:space="preserve"> </w:t>
      </w:r>
      <w:r>
        <w:t>cu</w:t>
      </w:r>
      <w:r>
        <w:rPr>
          <w:spacing w:val="-3"/>
        </w:rPr>
        <w:t xml:space="preserve"> </w:t>
      </w:r>
      <w:r>
        <w:t>p</w:t>
      </w:r>
      <w:r>
        <w:rPr>
          <w:spacing w:val="1"/>
        </w:rPr>
        <w:t>l</w:t>
      </w:r>
      <w:r>
        <w:t>a</w:t>
      </w:r>
      <w:r>
        <w:rPr>
          <w:spacing w:val="-3"/>
        </w:rPr>
        <w:t>c</w:t>
      </w:r>
      <w:r>
        <w:t>ar</w:t>
      </w:r>
      <w:r>
        <w:rPr>
          <w:spacing w:val="-3"/>
        </w:rPr>
        <w:t>d</w:t>
      </w:r>
      <w:r>
        <w:t xml:space="preserve">e </w:t>
      </w:r>
      <w:r>
        <w:rPr>
          <w:spacing w:val="-3"/>
        </w:rPr>
        <w:t>c</w:t>
      </w:r>
      <w:r>
        <w:t>ron</w:t>
      </w:r>
      <w:r>
        <w:rPr>
          <w:spacing w:val="-2"/>
        </w:rPr>
        <w:t>i</w:t>
      </w:r>
      <w:r>
        <w:t xml:space="preserve">ce </w:t>
      </w:r>
      <w:r>
        <w:rPr>
          <w:spacing w:val="-4"/>
        </w:rPr>
        <w:t>m</w:t>
      </w:r>
      <w:r>
        <w:t>oder</w:t>
      </w:r>
      <w:r>
        <w:rPr>
          <w:spacing w:val="-3"/>
        </w:rPr>
        <w:t>a</w:t>
      </w:r>
      <w:r>
        <w:rPr>
          <w:spacing w:val="1"/>
        </w:rPr>
        <w:t>t</w:t>
      </w:r>
      <w:r>
        <w:t>e</w:t>
      </w:r>
      <w:r>
        <w:rPr>
          <w:spacing w:val="-2"/>
        </w:rPr>
        <w:t xml:space="preserve"> </w:t>
      </w:r>
      <w:r>
        <w:t>până</w:t>
      </w:r>
      <w:r>
        <w:rPr>
          <w:spacing w:val="-2"/>
        </w:rPr>
        <w:t xml:space="preserve"> </w:t>
      </w:r>
      <w:r>
        <w:rPr>
          <w:spacing w:val="1"/>
        </w:rPr>
        <w:t>l</w:t>
      </w:r>
      <w:r>
        <w:t xml:space="preserve">a </w:t>
      </w:r>
      <w:r>
        <w:rPr>
          <w:spacing w:val="-2"/>
        </w:rPr>
        <w:t>s</w:t>
      </w:r>
      <w:r>
        <w:t>e</w:t>
      </w:r>
      <w:r>
        <w:rPr>
          <w:spacing w:val="-3"/>
        </w:rPr>
        <w:t>v</w:t>
      </w:r>
      <w:r>
        <w:t>ere de</w:t>
      </w:r>
      <w:r>
        <w:rPr>
          <w:spacing w:val="-2"/>
        </w:rPr>
        <w:t xml:space="preserve"> </w:t>
      </w:r>
      <w:r>
        <w:t>ps</w:t>
      </w:r>
      <w:r>
        <w:rPr>
          <w:spacing w:val="-3"/>
        </w:rPr>
        <w:t>o</w:t>
      </w:r>
      <w:r>
        <w:t>r</w:t>
      </w:r>
      <w:r>
        <w:rPr>
          <w:spacing w:val="1"/>
        </w:rPr>
        <w:t>i</w:t>
      </w:r>
      <w:r>
        <w:t>a</w:t>
      </w:r>
      <w:r>
        <w:rPr>
          <w:spacing w:val="-3"/>
        </w:rPr>
        <w:t>z</w:t>
      </w:r>
      <w:r>
        <w:rPr>
          <w:spacing w:val="-2"/>
        </w:rPr>
        <w:t>i</w:t>
      </w:r>
      <w:r>
        <w:t>s</w:t>
      </w:r>
      <w:r>
        <w:rPr>
          <w:spacing w:val="-2"/>
        </w:rPr>
        <w:t xml:space="preserve"> </w:t>
      </w:r>
      <w:r>
        <w:t>și</w:t>
      </w:r>
      <w:r>
        <w:rPr>
          <w:spacing w:val="1"/>
        </w:rPr>
        <w:t xml:space="preserve"> </w:t>
      </w:r>
      <w:r>
        <w:t>p</w:t>
      </w:r>
      <w:r>
        <w:rPr>
          <w:spacing w:val="-2"/>
        </w:rPr>
        <w:t>s</w:t>
      </w:r>
      <w:r>
        <w:t>o</w:t>
      </w:r>
      <w:r>
        <w:rPr>
          <w:spacing w:val="-2"/>
        </w:rPr>
        <w:t>r</w:t>
      </w:r>
      <w:r>
        <w:rPr>
          <w:spacing w:val="1"/>
        </w:rPr>
        <w:t>i</w:t>
      </w:r>
      <w:r>
        <w:t>a</w:t>
      </w:r>
      <w:r>
        <w:rPr>
          <w:spacing w:val="-3"/>
        </w:rPr>
        <w:t>z</w:t>
      </w:r>
      <w:r>
        <w:rPr>
          <w:spacing w:val="1"/>
        </w:rPr>
        <w:t>i</w:t>
      </w:r>
      <w:r>
        <w:t xml:space="preserve">s </w:t>
      </w:r>
      <w:r>
        <w:rPr>
          <w:spacing w:val="-3"/>
        </w:rPr>
        <w:t>p</w:t>
      </w:r>
      <w:r>
        <w:t>a</w:t>
      </w:r>
      <w:r>
        <w:rPr>
          <w:spacing w:val="1"/>
        </w:rPr>
        <w:t>l</w:t>
      </w:r>
      <w:r>
        <w:rPr>
          <w:spacing w:val="-4"/>
        </w:rPr>
        <w:t>m</w:t>
      </w:r>
      <w:r>
        <w:t>ar ș</w:t>
      </w:r>
      <w:r>
        <w:rPr>
          <w:spacing w:val="1"/>
        </w:rPr>
        <w:t>i</w:t>
      </w:r>
      <w:r>
        <w:rPr>
          <w:spacing w:val="-2"/>
        </w:rPr>
        <w:t>/</w:t>
      </w:r>
      <w:r>
        <w:t xml:space="preserve">sau </w:t>
      </w:r>
      <w:r>
        <w:rPr>
          <w:spacing w:val="-3"/>
        </w:rPr>
        <w:t>p</w:t>
      </w:r>
      <w:r>
        <w:rPr>
          <w:spacing w:val="1"/>
        </w:rPr>
        <w:t>l</w:t>
      </w:r>
      <w:r>
        <w:t>a</w:t>
      </w:r>
      <w:r>
        <w:rPr>
          <w:spacing w:val="-3"/>
        </w:rPr>
        <w:t>n</w:t>
      </w:r>
      <w:r>
        <w:rPr>
          <w:spacing w:val="1"/>
        </w:rPr>
        <w:t>t</w:t>
      </w:r>
      <w:r>
        <w:rPr>
          <w:spacing w:val="-3"/>
        </w:rPr>
        <w:t>a</w:t>
      </w:r>
      <w:r>
        <w:t xml:space="preserve">r. </w:t>
      </w:r>
      <w:r>
        <w:rPr>
          <w:spacing w:val="-1"/>
        </w:rPr>
        <w:t>P</w:t>
      </w:r>
      <w:r>
        <w:rPr>
          <w:spacing w:val="-3"/>
        </w:rPr>
        <w:t>a</w:t>
      </w:r>
      <w:r>
        <w:t>c</w:t>
      </w:r>
      <w:r>
        <w:rPr>
          <w:spacing w:val="1"/>
        </w:rPr>
        <w:t>i</w:t>
      </w:r>
      <w:r>
        <w:rPr>
          <w:spacing w:val="-3"/>
        </w:rPr>
        <w:t>e</w:t>
      </w:r>
      <w:r>
        <w:t>n</w:t>
      </w:r>
      <w:r>
        <w:rPr>
          <w:spacing w:val="-2"/>
        </w:rPr>
        <w:t>ț</w:t>
      </w:r>
      <w:r>
        <w:rPr>
          <w:spacing w:val="1"/>
        </w:rPr>
        <w:t>il</w:t>
      </w:r>
      <w:r>
        <w:rPr>
          <w:spacing w:val="-3"/>
        </w:rPr>
        <w:t>o</w:t>
      </w:r>
      <w:r>
        <w:t>r</w:t>
      </w:r>
      <w:r>
        <w:rPr>
          <w:spacing w:val="1"/>
        </w:rPr>
        <w:t xml:space="preserve"> </w:t>
      </w:r>
      <w:r>
        <w:rPr>
          <w:spacing w:val="-2"/>
        </w:rPr>
        <w:t>l</w:t>
      </w:r>
      <w:r>
        <w:t>i</w:t>
      </w:r>
      <w:r>
        <w:rPr>
          <w:spacing w:val="-2"/>
        </w:rPr>
        <w:t xml:space="preserve"> </w:t>
      </w:r>
      <w:r>
        <w:t>s</w:t>
      </w:r>
      <w:r>
        <w:rPr>
          <w:spacing w:val="-4"/>
        </w:rPr>
        <w:t>-</w:t>
      </w:r>
      <w:r>
        <w:t>a a</w:t>
      </w:r>
      <w:r>
        <w:rPr>
          <w:spacing w:val="2"/>
        </w:rPr>
        <w:t>d</w:t>
      </w:r>
      <w:r>
        <w:rPr>
          <w:spacing w:val="-4"/>
        </w:rPr>
        <w:t>m</w:t>
      </w:r>
      <w:r>
        <w:rPr>
          <w:spacing w:val="1"/>
        </w:rPr>
        <w:t>i</w:t>
      </w:r>
      <w:r>
        <w:t>n</w:t>
      </w:r>
      <w:r>
        <w:rPr>
          <w:spacing w:val="1"/>
        </w:rPr>
        <w:t>i</w:t>
      </w:r>
      <w:r>
        <w:rPr>
          <w:spacing w:val="-2"/>
        </w:rPr>
        <w:t>s</w:t>
      </w:r>
      <w:r>
        <w:rPr>
          <w:spacing w:val="1"/>
        </w:rPr>
        <w:t>t</w:t>
      </w:r>
      <w:r>
        <w:t>r</w:t>
      </w:r>
      <w:r>
        <w:rPr>
          <w:spacing w:val="-3"/>
        </w:rPr>
        <w:t>a</w:t>
      </w:r>
      <w:r>
        <w:t>t</w:t>
      </w:r>
      <w:r>
        <w:rPr>
          <w:spacing w:val="1"/>
        </w:rPr>
        <w:t xml:space="preserve"> </w:t>
      </w:r>
      <w:r>
        <w:t>o do</w:t>
      </w:r>
      <w:r>
        <w:rPr>
          <w:spacing w:val="-3"/>
        </w:rPr>
        <w:t>z</w:t>
      </w:r>
      <w:r>
        <w:t>ă</w:t>
      </w:r>
      <w:r>
        <w:rPr>
          <w:spacing w:val="-2"/>
        </w:rPr>
        <w:t xml:space="preserve"> </w:t>
      </w:r>
      <w:r>
        <w:rPr>
          <w:spacing w:val="1"/>
        </w:rPr>
        <w:t>i</w:t>
      </w:r>
      <w:r>
        <w:t>n</w:t>
      </w:r>
      <w:r>
        <w:rPr>
          <w:spacing w:val="-2"/>
        </w:rPr>
        <w:t>i</w:t>
      </w:r>
      <w:r>
        <w:rPr>
          <w:spacing w:val="1"/>
        </w:rPr>
        <w:t>ț</w:t>
      </w:r>
      <w:r>
        <w:rPr>
          <w:spacing w:val="-2"/>
        </w:rPr>
        <w:t>i</w:t>
      </w:r>
      <w:r>
        <w:t>a</w:t>
      </w:r>
      <w:r>
        <w:rPr>
          <w:spacing w:val="1"/>
        </w:rPr>
        <w:t>l</w:t>
      </w:r>
      <w:r>
        <w:t xml:space="preserve">ă </w:t>
      </w:r>
      <w:r>
        <w:rPr>
          <w:spacing w:val="-3"/>
        </w:rPr>
        <w:t>d</w:t>
      </w:r>
      <w:r>
        <w:t>e 80 </w:t>
      </w:r>
      <w:r>
        <w:rPr>
          <w:spacing w:val="-4"/>
        </w:rPr>
        <w:t>m</w:t>
      </w:r>
      <w:r>
        <w:t>g</w:t>
      </w:r>
      <w:r>
        <w:rPr>
          <w:spacing w:val="-3"/>
        </w:rPr>
        <w:t xml:space="preserve"> </w:t>
      </w:r>
      <w:r>
        <w:rPr>
          <w:rFonts w:eastAsia="MS Mincho"/>
          <w:spacing w:val="-1"/>
          <w:szCs w:val="22"/>
          <w:lang w:eastAsia="en-US" w:bidi="ar-SA"/>
        </w:rPr>
        <w:t>adalimumab</w:t>
      </w:r>
      <w:r>
        <w:t>, ur</w:t>
      </w:r>
      <w:r>
        <w:rPr>
          <w:spacing w:val="-4"/>
        </w:rPr>
        <w:t>m</w:t>
      </w:r>
      <w:r>
        <w:t>a</w:t>
      </w:r>
      <w:r>
        <w:rPr>
          <w:spacing w:val="1"/>
        </w:rPr>
        <w:t>t</w:t>
      </w:r>
      <w:r>
        <w:t>ă de</w:t>
      </w:r>
      <w:r>
        <w:rPr>
          <w:spacing w:val="-2"/>
        </w:rPr>
        <w:t xml:space="preserve"> </w:t>
      </w:r>
      <w:r>
        <w:t>40 </w:t>
      </w:r>
      <w:r>
        <w:rPr>
          <w:spacing w:val="-4"/>
        </w:rPr>
        <w:t>m</w:t>
      </w:r>
      <w:r>
        <w:t>g</w:t>
      </w:r>
      <w:r>
        <w:rPr>
          <w:spacing w:val="-3"/>
        </w:rPr>
        <w:t xml:space="preserve"> </w:t>
      </w:r>
      <w:r>
        <w:rPr>
          <w:spacing w:val="1"/>
        </w:rPr>
        <w:t>l</w:t>
      </w:r>
      <w:r>
        <w:t>a f</w:t>
      </w:r>
      <w:r>
        <w:rPr>
          <w:spacing w:val="1"/>
        </w:rPr>
        <w:t>i</w:t>
      </w:r>
      <w:r>
        <w:rPr>
          <w:spacing w:val="-3"/>
        </w:rPr>
        <w:t>e</w:t>
      </w:r>
      <w:r>
        <w:t>ca</w:t>
      </w:r>
      <w:r>
        <w:rPr>
          <w:spacing w:val="-2"/>
        </w:rPr>
        <w:t>r</w:t>
      </w:r>
      <w:r>
        <w:t>e do</w:t>
      </w:r>
      <w:r>
        <w:rPr>
          <w:spacing w:val="-3"/>
        </w:rPr>
        <w:t>u</w:t>
      </w:r>
      <w:r>
        <w:t>ă să</w:t>
      </w:r>
      <w:r>
        <w:rPr>
          <w:spacing w:val="-3"/>
        </w:rPr>
        <w:t>p</w:t>
      </w:r>
      <w:r>
        <w:rPr>
          <w:spacing w:val="1"/>
        </w:rPr>
        <w:t>t</w:t>
      </w:r>
      <w:r>
        <w:t>ă</w:t>
      </w:r>
      <w:r>
        <w:rPr>
          <w:spacing w:val="-4"/>
        </w:rPr>
        <w:t>m</w:t>
      </w:r>
      <w:r>
        <w:t>âni</w:t>
      </w:r>
      <w:r>
        <w:rPr>
          <w:spacing w:val="-2"/>
        </w:rPr>
        <w:t xml:space="preserve"> </w:t>
      </w:r>
      <w:r>
        <w:t>(</w:t>
      </w:r>
      <w:r>
        <w:rPr>
          <w:spacing w:val="1"/>
        </w:rPr>
        <w:t>î</w:t>
      </w:r>
      <w:r>
        <w:rPr>
          <w:spacing w:val="-3"/>
        </w:rPr>
        <w:t>nc</w:t>
      </w:r>
      <w:r>
        <w:t>epând</w:t>
      </w:r>
      <w:r>
        <w:rPr>
          <w:spacing w:val="-3"/>
        </w:rPr>
        <w:t xml:space="preserve"> </w:t>
      </w:r>
      <w:r>
        <w:rPr>
          <w:spacing w:val="1"/>
        </w:rPr>
        <w:t>l</w:t>
      </w:r>
      <w:r>
        <w:t>a o</w:t>
      </w:r>
      <w:r>
        <w:rPr>
          <w:spacing w:val="-3"/>
        </w:rPr>
        <w:t xml:space="preserve"> </w:t>
      </w:r>
      <w:r>
        <w:t>să</w:t>
      </w:r>
      <w:r>
        <w:rPr>
          <w:spacing w:val="-3"/>
        </w:rPr>
        <w:t>p</w:t>
      </w:r>
      <w:r>
        <w:rPr>
          <w:spacing w:val="1"/>
        </w:rPr>
        <w:t>t</w:t>
      </w:r>
      <w:r>
        <w:t>ă</w:t>
      </w:r>
      <w:r>
        <w:rPr>
          <w:spacing w:val="-4"/>
        </w:rPr>
        <w:t>m</w:t>
      </w:r>
      <w:r>
        <w:t>ână de</w:t>
      </w:r>
      <w:r>
        <w:rPr>
          <w:spacing w:val="-2"/>
        </w:rPr>
        <w:t xml:space="preserve"> </w:t>
      </w:r>
      <w:r>
        <w:rPr>
          <w:spacing w:val="1"/>
        </w:rPr>
        <w:t>l</w:t>
      </w:r>
      <w:r>
        <w:t>a</w:t>
      </w:r>
      <w:r>
        <w:rPr>
          <w:spacing w:val="-2"/>
        </w:rPr>
        <w:t xml:space="preserve"> </w:t>
      </w:r>
      <w:r>
        <w:t>do</w:t>
      </w:r>
      <w:r>
        <w:rPr>
          <w:spacing w:val="-3"/>
        </w:rPr>
        <w:t>z</w:t>
      </w:r>
      <w:r>
        <w:t xml:space="preserve">a </w:t>
      </w:r>
      <w:r>
        <w:rPr>
          <w:spacing w:val="1"/>
        </w:rPr>
        <w:t>i</w:t>
      </w:r>
      <w:r>
        <w:t>n</w:t>
      </w:r>
      <w:r>
        <w:rPr>
          <w:spacing w:val="-2"/>
        </w:rPr>
        <w:t>i</w:t>
      </w:r>
      <w:r>
        <w:rPr>
          <w:spacing w:val="1"/>
        </w:rPr>
        <w:t>ţ</w:t>
      </w:r>
      <w:r>
        <w:rPr>
          <w:spacing w:val="-2"/>
        </w:rPr>
        <w:t>i</w:t>
      </w:r>
      <w:r>
        <w:t>a</w:t>
      </w:r>
      <w:r>
        <w:rPr>
          <w:spacing w:val="1"/>
        </w:rPr>
        <w:t>l</w:t>
      </w:r>
      <w:r>
        <w:rPr>
          <w:spacing w:val="-3"/>
        </w:rPr>
        <w:t>ă</w:t>
      </w:r>
      <w:r>
        <w:t>)</w:t>
      </w:r>
      <w:r>
        <w:rPr>
          <w:spacing w:val="1"/>
        </w:rPr>
        <w:t xml:space="preserve"> </w:t>
      </w:r>
      <w:r>
        <w:rPr>
          <w:spacing w:val="-2"/>
        </w:rPr>
        <w:t>s</w:t>
      </w:r>
      <w:r>
        <w:t xml:space="preserve">au </w:t>
      </w:r>
      <w:r>
        <w:rPr>
          <w:spacing w:val="-3"/>
        </w:rPr>
        <w:t>p</w:t>
      </w:r>
      <w:r>
        <w:rPr>
          <w:spacing w:val="1"/>
        </w:rPr>
        <w:t>l</w:t>
      </w:r>
      <w:r>
        <w:t>a</w:t>
      </w:r>
      <w:r>
        <w:rPr>
          <w:spacing w:val="-3"/>
        </w:rPr>
        <w:t>c</w:t>
      </w:r>
      <w:r>
        <w:t xml:space="preserve">ebo </w:t>
      </w:r>
      <w:r>
        <w:rPr>
          <w:spacing w:val="-3"/>
        </w:rPr>
        <w:t>p</w:t>
      </w:r>
      <w:r>
        <w:t>en</w:t>
      </w:r>
      <w:r>
        <w:rPr>
          <w:spacing w:val="1"/>
        </w:rPr>
        <w:t>t</w:t>
      </w:r>
      <w:r>
        <w:rPr>
          <w:spacing w:val="-2"/>
        </w:rPr>
        <w:t>r</w:t>
      </w:r>
      <w:r>
        <w:t xml:space="preserve">u 16 </w:t>
      </w:r>
      <w:r>
        <w:rPr>
          <w:spacing w:val="-2"/>
        </w:rPr>
        <w:t>s</w:t>
      </w:r>
      <w:r>
        <w:t>ăp</w:t>
      </w:r>
      <w:r>
        <w:rPr>
          <w:spacing w:val="-2"/>
        </w:rPr>
        <w:t>t</w:t>
      </w:r>
      <w:r>
        <w:t>ă</w:t>
      </w:r>
      <w:r>
        <w:rPr>
          <w:spacing w:val="-4"/>
        </w:rPr>
        <w:t>m</w:t>
      </w:r>
      <w:r>
        <w:t>ân</w:t>
      </w:r>
      <w:r>
        <w:rPr>
          <w:spacing w:val="1"/>
        </w:rPr>
        <w:t>i</w:t>
      </w:r>
      <w:r>
        <w:t xml:space="preserve">. </w:t>
      </w:r>
      <w:r>
        <w:rPr>
          <w:spacing w:val="-4"/>
        </w:rPr>
        <w:t>Î</w:t>
      </w:r>
      <w:r>
        <w:t>n săp</w:t>
      </w:r>
      <w:r>
        <w:rPr>
          <w:spacing w:val="1"/>
        </w:rPr>
        <w:t>t</w:t>
      </w:r>
      <w:r>
        <w:t>ă</w:t>
      </w:r>
      <w:r>
        <w:rPr>
          <w:spacing w:val="-4"/>
        </w:rPr>
        <w:t>m</w:t>
      </w:r>
      <w:r>
        <w:t>âna 16, o pr</w:t>
      </w:r>
      <w:r>
        <w:rPr>
          <w:spacing w:val="-3"/>
        </w:rPr>
        <w:t>o</w:t>
      </w:r>
      <w:r>
        <w:t>po</w:t>
      </w:r>
      <w:r>
        <w:rPr>
          <w:spacing w:val="-2"/>
        </w:rPr>
        <w:t>r</w:t>
      </w:r>
      <w:r>
        <w:rPr>
          <w:spacing w:val="1"/>
        </w:rPr>
        <w:t>ț</w:t>
      </w:r>
      <w:r>
        <w:rPr>
          <w:spacing w:val="-2"/>
        </w:rPr>
        <w:t>i</w:t>
      </w:r>
      <w:r>
        <w:t>e s</w:t>
      </w:r>
      <w:r>
        <w:rPr>
          <w:spacing w:val="-2"/>
        </w:rPr>
        <w:t>t</w:t>
      </w:r>
      <w:r>
        <w:t>a</w:t>
      </w:r>
      <w:r>
        <w:rPr>
          <w:spacing w:val="-2"/>
        </w:rPr>
        <w:t>t</w:t>
      </w:r>
      <w:r>
        <w:rPr>
          <w:spacing w:val="1"/>
        </w:rPr>
        <w:t>i</w:t>
      </w:r>
      <w:r>
        <w:t>s</w:t>
      </w:r>
      <w:r>
        <w:rPr>
          <w:spacing w:val="-2"/>
        </w:rPr>
        <w:t>t</w:t>
      </w:r>
      <w:r>
        <w:rPr>
          <w:spacing w:val="1"/>
        </w:rPr>
        <w:t>i</w:t>
      </w:r>
      <w:r>
        <w:t>c</w:t>
      </w:r>
      <w:r>
        <w:rPr>
          <w:spacing w:val="-2"/>
        </w:rPr>
        <w:t xml:space="preserve"> </w:t>
      </w:r>
      <w:r>
        <w:t>se</w:t>
      </w:r>
      <w:r>
        <w:rPr>
          <w:spacing w:val="-4"/>
        </w:rPr>
        <w:t>m</w:t>
      </w:r>
      <w:r>
        <w:t>n</w:t>
      </w:r>
      <w:r>
        <w:rPr>
          <w:spacing w:val="1"/>
        </w:rPr>
        <w:t>i</w:t>
      </w:r>
      <w:r>
        <w:t>f</w:t>
      </w:r>
      <w:r>
        <w:rPr>
          <w:spacing w:val="-2"/>
        </w:rPr>
        <w:t>i</w:t>
      </w:r>
      <w:r>
        <w:t>c</w:t>
      </w:r>
      <w:r>
        <w:rPr>
          <w:spacing w:val="-3"/>
        </w:rPr>
        <w:t>a</w:t>
      </w:r>
      <w:r>
        <w:rPr>
          <w:spacing w:val="1"/>
        </w:rPr>
        <w:t>ti</w:t>
      </w:r>
      <w:r>
        <w:t>v</w:t>
      </w:r>
      <w:r>
        <w:rPr>
          <w:spacing w:val="-3"/>
        </w:rPr>
        <w:t xml:space="preserve"> </w:t>
      </w:r>
      <w:r>
        <w:rPr>
          <w:spacing w:val="-4"/>
        </w:rPr>
        <w:t>m</w:t>
      </w:r>
      <w:r>
        <w:t>ai</w:t>
      </w:r>
      <w:r>
        <w:rPr>
          <w:spacing w:val="1"/>
        </w:rPr>
        <w:t xml:space="preserve"> </w:t>
      </w:r>
      <w:r>
        <w:rPr>
          <w:spacing w:val="-4"/>
        </w:rPr>
        <w:t>m</w:t>
      </w:r>
      <w:r>
        <w:t>are de pa</w:t>
      </w:r>
      <w:r>
        <w:rPr>
          <w:spacing w:val="-3"/>
        </w:rPr>
        <w:t>c</w:t>
      </w:r>
      <w:r>
        <w:rPr>
          <w:spacing w:val="1"/>
        </w:rPr>
        <w:t>i</w:t>
      </w:r>
      <w:r>
        <w:t>e</w:t>
      </w:r>
      <w:r>
        <w:rPr>
          <w:spacing w:val="-3"/>
        </w:rPr>
        <w:t>n</w:t>
      </w:r>
      <w:r>
        <w:rPr>
          <w:spacing w:val="1"/>
        </w:rPr>
        <w:t>ț</w:t>
      </w:r>
      <w:r>
        <w:t>i</w:t>
      </w:r>
      <w:r>
        <w:rPr>
          <w:spacing w:val="-2"/>
        </w:rPr>
        <w:t xml:space="preserve"> </w:t>
      </w:r>
      <w:r>
        <w:t>ca</w:t>
      </w:r>
      <w:r>
        <w:rPr>
          <w:spacing w:val="-2"/>
        </w:rPr>
        <w:t>r</w:t>
      </w:r>
      <w:r>
        <w:t>e au</w:t>
      </w:r>
      <w:r>
        <w:rPr>
          <w:spacing w:val="-3"/>
        </w:rPr>
        <w:t xml:space="preserve"> </w:t>
      </w:r>
      <w:r>
        <w:t>u</w:t>
      </w:r>
      <w:r>
        <w:rPr>
          <w:spacing w:val="-2"/>
        </w:rPr>
        <w:t>ti</w:t>
      </w:r>
      <w:r>
        <w:rPr>
          <w:spacing w:val="1"/>
        </w:rPr>
        <w:t>li</w:t>
      </w:r>
      <w:r>
        <w:rPr>
          <w:spacing w:val="-3"/>
        </w:rPr>
        <w:t>z</w:t>
      </w:r>
      <w:r>
        <w:t>at</w:t>
      </w:r>
      <w:r>
        <w:rPr>
          <w:spacing w:val="1"/>
        </w:rPr>
        <w:t xml:space="preserve"> </w:t>
      </w:r>
      <w:r>
        <w:rPr>
          <w:rFonts w:eastAsia="MS Mincho"/>
          <w:spacing w:val="-1"/>
          <w:szCs w:val="22"/>
          <w:lang w:eastAsia="en-US" w:bidi="ar-SA"/>
        </w:rPr>
        <w:t>adalimumab</w:t>
      </w:r>
      <w:r>
        <w:rPr>
          <w:spacing w:val="-2"/>
        </w:rPr>
        <w:t xml:space="preserve"> </w:t>
      </w:r>
      <w:r>
        <w:t>au ob</w:t>
      </w:r>
      <w:r>
        <w:rPr>
          <w:spacing w:val="1"/>
        </w:rPr>
        <w:t>ț</w:t>
      </w:r>
      <w:r>
        <w:rPr>
          <w:spacing w:val="-2"/>
        </w:rPr>
        <w:t>i</w:t>
      </w:r>
      <w:r>
        <w:t>nut</w:t>
      </w:r>
      <w:r>
        <w:rPr>
          <w:spacing w:val="1"/>
        </w:rPr>
        <w:t xml:space="preserve"> </w:t>
      </w:r>
      <w:r>
        <w:rPr>
          <w:spacing w:val="-3"/>
        </w:rPr>
        <w:t>u</w:t>
      </w:r>
      <w:r>
        <w:t xml:space="preserve">n </w:t>
      </w:r>
      <w:r>
        <w:rPr>
          <w:spacing w:val="-2"/>
        </w:rPr>
        <w:t>r</w:t>
      </w:r>
      <w:r>
        <w:t>ăspu</w:t>
      </w:r>
      <w:r>
        <w:rPr>
          <w:spacing w:val="-3"/>
        </w:rPr>
        <w:t>n</w:t>
      </w:r>
      <w:r>
        <w:t xml:space="preserve">s </w:t>
      </w:r>
      <w:r>
        <w:rPr>
          <w:spacing w:val="-1"/>
        </w:rPr>
        <w:t>PG</w:t>
      </w:r>
      <w:r>
        <w:t>A</w:t>
      </w:r>
      <w:r>
        <w:rPr>
          <w:spacing w:val="-1"/>
        </w:rPr>
        <w:t xml:space="preserve"> </w:t>
      </w:r>
      <w:r>
        <w:t>“</w:t>
      </w:r>
      <w:r>
        <w:rPr>
          <w:spacing w:val="-2"/>
        </w:rPr>
        <w:t>f</w:t>
      </w:r>
      <w:r>
        <w:rPr>
          <w:spacing w:val="-3"/>
        </w:rPr>
        <w:t>ă</w:t>
      </w:r>
      <w:r>
        <w:t xml:space="preserve">ră </w:t>
      </w:r>
      <w:r>
        <w:rPr>
          <w:spacing w:val="-2"/>
        </w:rPr>
        <w:t>l</w:t>
      </w:r>
      <w:r>
        <w:t>e</w:t>
      </w:r>
      <w:r>
        <w:rPr>
          <w:spacing w:val="-3"/>
        </w:rPr>
        <w:t>z</w:t>
      </w:r>
      <w:r>
        <w:rPr>
          <w:spacing w:val="1"/>
        </w:rPr>
        <w:t>i</w:t>
      </w:r>
      <w:r>
        <w:t>un</w:t>
      </w:r>
      <w:r>
        <w:rPr>
          <w:spacing w:val="-2"/>
        </w:rPr>
        <w:t>i</w:t>
      </w:r>
      <w:r>
        <w:t>” s</w:t>
      </w:r>
      <w:r>
        <w:rPr>
          <w:spacing w:val="-3"/>
        </w:rPr>
        <w:t>a</w:t>
      </w:r>
      <w:r>
        <w:t>u “cu</w:t>
      </w:r>
      <w:r>
        <w:rPr>
          <w:spacing w:val="-3"/>
        </w:rPr>
        <w:t xml:space="preserve"> </w:t>
      </w:r>
      <w:r>
        <w:rPr>
          <w:spacing w:val="1"/>
        </w:rPr>
        <w:t>l</w:t>
      </w:r>
      <w:r>
        <w:t>e</w:t>
      </w:r>
      <w:r>
        <w:rPr>
          <w:spacing w:val="-3"/>
        </w:rPr>
        <w:t>z</w:t>
      </w:r>
      <w:r>
        <w:rPr>
          <w:spacing w:val="1"/>
        </w:rPr>
        <w:t>i</w:t>
      </w:r>
      <w:r>
        <w:rPr>
          <w:spacing w:val="-3"/>
        </w:rPr>
        <w:t>u</w:t>
      </w:r>
      <w:r>
        <w:t>ni</w:t>
      </w:r>
      <w:r>
        <w:rPr>
          <w:spacing w:val="-2"/>
        </w:rPr>
        <w:t xml:space="preserve"> </w:t>
      </w:r>
      <w:r>
        <w:rPr>
          <w:spacing w:val="-4"/>
        </w:rPr>
        <w:t>m</w:t>
      </w:r>
      <w:r>
        <w:rPr>
          <w:spacing w:val="1"/>
        </w:rPr>
        <w:t>i</w:t>
      </w:r>
      <w:r>
        <w:t>n</w:t>
      </w:r>
      <w:r>
        <w:rPr>
          <w:spacing w:val="1"/>
        </w:rPr>
        <w:t>i</w:t>
      </w:r>
      <w:r>
        <w:rPr>
          <w:spacing w:val="-4"/>
        </w:rPr>
        <w:t>m</w:t>
      </w:r>
      <w:r>
        <w:t>e” pen</w:t>
      </w:r>
      <w:r>
        <w:rPr>
          <w:spacing w:val="1"/>
        </w:rPr>
        <w:t>t</w:t>
      </w:r>
      <w:r>
        <w:t xml:space="preserve">ru </w:t>
      </w:r>
      <w:r>
        <w:rPr>
          <w:spacing w:val="-4"/>
        </w:rPr>
        <w:t>m</w:t>
      </w:r>
      <w:r>
        <w:t>â</w:t>
      </w:r>
      <w:r>
        <w:rPr>
          <w:spacing w:val="1"/>
        </w:rPr>
        <w:t>i</w:t>
      </w:r>
      <w:r>
        <w:t>ni</w:t>
      </w:r>
      <w:r>
        <w:rPr>
          <w:spacing w:val="-2"/>
        </w:rPr>
        <w:t xml:space="preserve"> </w:t>
      </w:r>
      <w:r>
        <w:t>ș</w:t>
      </w:r>
      <w:r>
        <w:rPr>
          <w:spacing w:val="-2"/>
        </w:rPr>
        <w:t>i</w:t>
      </w:r>
      <w:r>
        <w:rPr>
          <w:spacing w:val="1"/>
        </w:rPr>
        <w:t>/</w:t>
      </w:r>
      <w:r>
        <w:rPr>
          <w:spacing w:val="-2"/>
        </w:rPr>
        <w:t>s</w:t>
      </w:r>
      <w:r>
        <w:rPr>
          <w:spacing w:val="-3"/>
        </w:rPr>
        <w:t>a</w:t>
      </w:r>
      <w:r>
        <w:t>u p</w:t>
      </w:r>
      <w:r>
        <w:rPr>
          <w:spacing w:val="1"/>
        </w:rPr>
        <w:t>i</w:t>
      </w:r>
      <w:r>
        <w:rPr>
          <w:spacing w:val="-3"/>
        </w:rPr>
        <w:t>c</w:t>
      </w:r>
      <w:r>
        <w:rPr>
          <w:spacing w:val="1"/>
        </w:rPr>
        <w:t>i</w:t>
      </w:r>
      <w:r>
        <w:t>o</w:t>
      </w:r>
      <w:r>
        <w:rPr>
          <w:spacing w:val="-3"/>
        </w:rPr>
        <w:t>a</w:t>
      </w:r>
      <w:r>
        <w:t>re co</w:t>
      </w:r>
      <w:r>
        <w:rPr>
          <w:spacing w:val="-4"/>
        </w:rPr>
        <w:t>m</w:t>
      </w:r>
      <w:r>
        <w:t>para</w:t>
      </w:r>
      <w:r>
        <w:rPr>
          <w:spacing w:val="1"/>
        </w:rPr>
        <w:t>ti</w:t>
      </w:r>
      <w:r>
        <w:t>v</w:t>
      </w:r>
      <w:r>
        <w:rPr>
          <w:spacing w:val="-3"/>
        </w:rPr>
        <w:t xml:space="preserve"> </w:t>
      </w:r>
      <w:r>
        <w:t xml:space="preserve">cu </w:t>
      </w:r>
      <w:r>
        <w:rPr>
          <w:spacing w:val="-3"/>
        </w:rPr>
        <w:t>p</w:t>
      </w:r>
      <w:r>
        <w:t>a</w:t>
      </w:r>
      <w:r>
        <w:rPr>
          <w:spacing w:val="-3"/>
        </w:rPr>
        <w:t>c</w:t>
      </w:r>
      <w:r>
        <w:rPr>
          <w:spacing w:val="1"/>
        </w:rPr>
        <w:t>i</w:t>
      </w:r>
      <w:r>
        <w:t>e</w:t>
      </w:r>
      <w:r>
        <w:rPr>
          <w:spacing w:val="-3"/>
        </w:rPr>
        <w:t>n</w:t>
      </w:r>
      <w:r>
        <w:rPr>
          <w:spacing w:val="1"/>
        </w:rPr>
        <w:t>ț</w:t>
      </w:r>
      <w:r>
        <w:rPr>
          <w:spacing w:val="-2"/>
        </w:rPr>
        <w:t>i</w:t>
      </w:r>
      <w:r>
        <w:t>i</w:t>
      </w:r>
      <w:r>
        <w:rPr>
          <w:spacing w:val="1"/>
        </w:rPr>
        <w:t xml:space="preserve"> </w:t>
      </w:r>
      <w:r>
        <w:t>c</w:t>
      </w:r>
      <w:r>
        <w:rPr>
          <w:spacing w:val="-3"/>
        </w:rPr>
        <w:t>a</w:t>
      </w:r>
      <w:r>
        <w:rPr>
          <w:spacing w:val="-2"/>
        </w:rPr>
        <w:t>r</w:t>
      </w:r>
      <w:r>
        <w:t xml:space="preserve">e au </w:t>
      </w:r>
      <w:r>
        <w:rPr>
          <w:spacing w:val="-3"/>
        </w:rPr>
        <w:t>u</w:t>
      </w:r>
      <w:r>
        <w:rPr>
          <w:spacing w:val="1"/>
        </w:rPr>
        <w:t>t</w:t>
      </w:r>
      <w:r>
        <w:rPr>
          <w:spacing w:val="-2"/>
        </w:rPr>
        <w:t>i</w:t>
      </w:r>
      <w:r>
        <w:rPr>
          <w:spacing w:val="1"/>
        </w:rPr>
        <w:t>li</w:t>
      </w:r>
      <w:r>
        <w:rPr>
          <w:spacing w:val="-3"/>
        </w:rPr>
        <w:t>z</w:t>
      </w:r>
      <w:r>
        <w:t>at</w:t>
      </w:r>
      <w:r>
        <w:rPr>
          <w:spacing w:val="-2"/>
        </w:rPr>
        <w:t xml:space="preserve"> </w:t>
      </w:r>
      <w:r>
        <w:t>p</w:t>
      </w:r>
      <w:r>
        <w:rPr>
          <w:spacing w:val="1"/>
        </w:rPr>
        <w:t>l</w:t>
      </w:r>
      <w:r>
        <w:rPr>
          <w:spacing w:val="-3"/>
        </w:rPr>
        <w:t>a</w:t>
      </w:r>
      <w:r>
        <w:t>cebo</w:t>
      </w:r>
      <w:r>
        <w:rPr>
          <w:spacing w:val="-3"/>
        </w:rPr>
        <w:t xml:space="preserve"> </w:t>
      </w:r>
      <w:r>
        <w:t>(30</w:t>
      </w:r>
      <w:r>
        <w:rPr>
          <w:spacing w:val="-3"/>
        </w:rPr>
        <w:t>,6</w:t>
      </w:r>
      <w:r>
        <w:t xml:space="preserve">%, </w:t>
      </w:r>
      <w:r>
        <w:rPr>
          <w:spacing w:val="-2"/>
        </w:rPr>
        <w:t>comparativ cu</w:t>
      </w:r>
      <w:r>
        <w:rPr>
          <w:spacing w:val="-3"/>
        </w:rPr>
        <w:t xml:space="preserve"> </w:t>
      </w:r>
      <w:r>
        <w:t>4,3%</w:t>
      </w:r>
      <w:r>
        <w:rPr>
          <w:spacing w:val="-2"/>
        </w:rPr>
        <w:t xml:space="preserve"> </w:t>
      </w:r>
      <w:r>
        <w:t>[P</w:t>
      </w:r>
      <w:r>
        <w:rPr>
          <w:spacing w:val="-1"/>
        </w:rPr>
        <w:t xml:space="preserve"> </w:t>
      </w:r>
      <w:r>
        <w:t>= 0</w:t>
      </w:r>
      <w:r>
        <w:rPr>
          <w:rFonts w:eastAsia="MS Mincho"/>
          <w:szCs w:val="22"/>
          <w:lang w:eastAsia="en-US" w:bidi="ar-SA"/>
        </w:rPr>
        <w:t>,</w:t>
      </w:r>
      <w:r>
        <w:rPr>
          <w:spacing w:val="-3"/>
        </w:rPr>
        <w:t>0</w:t>
      </w:r>
      <w:r>
        <w:t>14]).</w:t>
      </w:r>
    </w:p>
    <w:p w14:paraId="2BCB8FEF" w14:textId="77777777" w:rsidR="00C04CAD" w:rsidRDefault="00C04CAD">
      <w:pPr>
        <w:tabs>
          <w:tab w:val="clear" w:pos="567"/>
        </w:tabs>
        <w:kinsoku w:val="0"/>
        <w:overflowPunct w:val="0"/>
        <w:autoSpaceDE w:val="0"/>
        <w:autoSpaceDN w:val="0"/>
        <w:adjustRightInd w:val="0"/>
        <w:spacing w:line="240" w:lineRule="auto"/>
        <w:rPr>
          <w:szCs w:val="22"/>
        </w:rPr>
      </w:pPr>
    </w:p>
    <w:p w14:paraId="3B5D9D97" w14:textId="77777777" w:rsidR="00C04CAD" w:rsidRDefault="00060E34">
      <w:pPr>
        <w:tabs>
          <w:tab w:val="clear" w:pos="567"/>
        </w:tabs>
        <w:kinsoku w:val="0"/>
        <w:overflowPunct w:val="0"/>
        <w:autoSpaceDE w:val="0"/>
        <w:autoSpaceDN w:val="0"/>
        <w:adjustRightInd w:val="0"/>
        <w:spacing w:line="240" w:lineRule="auto"/>
      </w:pPr>
      <w:r>
        <w:rPr>
          <w:spacing w:val="-3"/>
        </w:rPr>
        <w:t>În studiul IV cu privire la psoriazis a fost comparată eficacitatea și siguranța adalimumab față de placebo la 217 de pacienți adulți cu psoriazis al unghiilor, moderat până la sever. Pacienții au primit o doză inițială de adalimumab de 80 mg urmată de 40 mg la fiecare două săptămâni (începând cu o săptămână după administrarea dozei inițiale) sau placebo timp de 26 săptămâni urmată de tratamentul de tip deschis cu adalimumab pentru încă 26 de săptămâni. Analiza psoriazisului la nivelul unghiilor a inclus Indicele de severitate modificat a psoriazisului unghiilor (</w:t>
      </w:r>
      <w:r>
        <w:rPr>
          <w:szCs w:val="22"/>
        </w:rPr>
        <w:t>Modified Nail Psoriasis Severity Index</w:t>
      </w:r>
      <w:r>
        <w:rPr>
          <w:spacing w:val="-3"/>
        </w:rPr>
        <w:t xml:space="preserve"> = mNAPSI), Evaluarea globală a medicului pentru psoriazisul unghiilor (</w:t>
      </w:r>
      <w:r>
        <w:rPr>
          <w:szCs w:val="22"/>
        </w:rPr>
        <w:t>Physician’s Global Assessment of Fingernail Psoriasis</w:t>
      </w:r>
      <w:r>
        <w:rPr>
          <w:spacing w:val="-3"/>
        </w:rPr>
        <w:t xml:space="preserve"> = PGA-F) și Indicele severității psoriazisului unghiilor (</w:t>
      </w:r>
      <w:r>
        <w:rPr>
          <w:szCs w:val="22"/>
        </w:rPr>
        <w:t>Nail Psoriasis Severity Index</w:t>
      </w:r>
      <w:r>
        <w:rPr>
          <w:spacing w:val="-3"/>
        </w:rPr>
        <w:t xml:space="preserve"> = NAPSI) (a se vedea tabelul 18). Adalimumab a demonstrat un beneficiu terapeutic în cazul pacienților cu </w:t>
      </w:r>
      <w:r>
        <w:rPr>
          <w:spacing w:val="-3"/>
        </w:rPr>
        <w:lastRenderedPageBreak/>
        <w:t>psoriazis al unghiilor cu afectare diferită a pielii implicate (SC ≥ 10% (60% dintre pacienți) și SC &lt; 10% și ≥ 5% (40% dintre pacienți)).</w:t>
      </w:r>
    </w:p>
    <w:p w14:paraId="11737490" w14:textId="77777777" w:rsidR="00C04CAD" w:rsidRDefault="00C04CAD">
      <w:pPr>
        <w:tabs>
          <w:tab w:val="clear" w:pos="567"/>
        </w:tabs>
        <w:kinsoku w:val="0"/>
        <w:overflowPunct w:val="0"/>
        <w:autoSpaceDE w:val="0"/>
        <w:autoSpaceDN w:val="0"/>
        <w:adjustRightInd w:val="0"/>
        <w:spacing w:line="240" w:lineRule="auto"/>
      </w:pPr>
    </w:p>
    <w:p w14:paraId="154B6F76" w14:textId="77777777" w:rsidR="00C04CAD" w:rsidRDefault="00060E34">
      <w:pPr>
        <w:tabs>
          <w:tab w:val="clear" w:pos="567"/>
        </w:tabs>
        <w:kinsoku w:val="0"/>
        <w:overflowPunct w:val="0"/>
        <w:autoSpaceDE w:val="0"/>
        <w:autoSpaceDN w:val="0"/>
        <w:adjustRightInd w:val="0"/>
        <w:spacing w:line="240" w:lineRule="auto"/>
        <w:rPr>
          <w:b/>
        </w:rPr>
      </w:pPr>
      <w:r>
        <w:rPr>
          <w:b/>
        </w:rPr>
        <w:t>Tabelul 18. Rezultatele eficacității studiului Ps IV la 16, 26 și 52 de săptămâni</w:t>
      </w:r>
    </w:p>
    <w:p w14:paraId="09FFCFB9" w14:textId="77777777" w:rsidR="00C04CAD" w:rsidRDefault="00C04CAD">
      <w:pPr>
        <w:tabs>
          <w:tab w:val="clear" w:pos="567"/>
        </w:tabs>
        <w:kinsoku w:val="0"/>
        <w:overflowPunct w:val="0"/>
        <w:autoSpaceDE w:val="0"/>
        <w:autoSpaceDN w:val="0"/>
        <w:adjustRightInd w:val="0"/>
        <w:spacing w:line="240" w:lineRule="auto"/>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1073"/>
        <w:gridCol w:w="1501"/>
        <w:gridCol w:w="991"/>
        <w:gridCol w:w="1419"/>
        <w:gridCol w:w="1696"/>
      </w:tblGrid>
      <w:tr w:rsidR="00C04CAD" w14:paraId="2F7E59E2" w14:textId="77777777">
        <w:tc>
          <w:tcPr>
            <w:tcW w:w="1271" w:type="pct"/>
            <w:vMerge w:val="restart"/>
          </w:tcPr>
          <w:p w14:paraId="35D0951E"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Criteriu final de evaluare</w:t>
            </w:r>
          </w:p>
        </w:tc>
        <w:tc>
          <w:tcPr>
            <w:tcW w:w="1437" w:type="pct"/>
            <w:gridSpan w:val="2"/>
          </w:tcPr>
          <w:p w14:paraId="1DF5807C" w14:textId="77777777" w:rsidR="00C04CAD" w:rsidRDefault="00060E34">
            <w:pPr>
              <w:pStyle w:val="gtctablespaceafter"/>
              <w:spacing w:after="0"/>
              <w:jc w:val="center"/>
              <w:rPr>
                <w:b/>
                <w:sz w:val="22"/>
                <w:szCs w:val="22"/>
                <w:lang w:val="ro-RO"/>
              </w:rPr>
            </w:pPr>
            <w:r>
              <w:rPr>
                <w:b/>
                <w:sz w:val="22"/>
                <w:szCs w:val="22"/>
                <w:lang w:val="ro-RO"/>
              </w:rPr>
              <w:t>Săptămâna 16</w:t>
            </w:r>
          </w:p>
          <w:p w14:paraId="6E4ECDB1" w14:textId="77777777" w:rsidR="00C04CAD" w:rsidRDefault="00060E34">
            <w:pPr>
              <w:pStyle w:val="In-texttable"/>
              <w:keepNext w:val="0"/>
              <w:suppressAutoHyphens w:val="0"/>
              <w:overflowPunct/>
              <w:autoSpaceDE/>
              <w:autoSpaceDN/>
              <w:adjustRightInd/>
              <w:spacing w:line="240" w:lineRule="auto"/>
              <w:jc w:val="center"/>
              <w:textAlignment w:val="auto"/>
              <w:rPr>
                <w:b/>
                <w:sz w:val="22"/>
                <w:szCs w:val="22"/>
                <w:lang w:val="ro-RO"/>
              </w:rPr>
            </w:pPr>
            <w:r>
              <w:rPr>
                <w:rFonts w:ascii="Times New Roman" w:hAnsi="Times New Roman"/>
                <w:b/>
                <w:sz w:val="22"/>
                <w:szCs w:val="22"/>
                <w:lang w:val="ro-RO"/>
              </w:rPr>
              <w:t>Placebo-controlat</w:t>
            </w:r>
          </w:p>
        </w:tc>
        <w:tc>
          <w:tcPr>
            <w:tcW w:w="1345" w:type="pct"/>
            <w:gridSpan w:val="2"/>
          </w:tcPr>
          <w:p w14:paraId="6035E56D" w14:textId="77777777" w:rsidR="00C04CAD" w:rsidRDefault="00060E34">
            <w:pPr>
              <w:pStyle w:val="gtctablespaceafter"/>
              <w:spacing w:after="0"/>
              <w:jc w:val="center"/>
              <w:rPr>
                <w:b/>
                <w:sz w:val="22"/>
                <w:szCs w:val="22"/>
                <w:lang w:val="ro-RO"/>
              </w:rPr>
            </w:pPr>
            <w:r>
              <w:rPr>
                <w:b/>
                <w:sz w:val="22"/>
                <w:szCs w:val="22"/>
                <w:lang w:val="ro-RO"/>
              </w:rPr>
              <w:t>Săptămâna 26</w:t>
            </w:r>
          </w:p>
          <w:p w14:paraId="0EAF769E" w14:textId="77777777" w:rsidR="00C04CAD" w:rsidRDefault="00060E34">
            <w:pPr>
              <w:pStyle w:val="In-texttable"/>
              <w:keepNext w:val="0"/>
              <w:suppressAutoHyphens w:val="0"/>
              <w:overflowPunct/>
              <w:autoSpaceDE/>
              <w:autoSpaceDN/>
              <w:adjustRightInd/>
              <w:spacing w:line="240" w:lineRule="auto"/>
              <w:jc w:val="center"/>
              <w:textAlignment w:val="auto"/>
              <w:rPr>
                <w:b/>
                <w:sz w:val="22"/>
                <w:szCs w:val="22"/>
                <w:lang w:val="ro-RO"/>
              </w:rPr>
            </w:pPr>
            <w:r>
              <w:rPr>
                <w:rFonts w:ascii="Times New Roman" w:hAnsi="Times New Roman"/>
                <w:b/>
                <w:sz w:val="22"/>
                <w:szCs w:val="22"/>
                <w:lang w:val="ro-RO"/>
              </w:rPr>
              <w:t>Placebo-controlat</w:t>
            </w:r>
          </w:p>
        </w:tc>
        <w:tc>
          <w:tcPr>
            <w:tcW w:w="946" w:type="pct"/>
          </w:tcPr>
          <w:p w14:paraId="7C665413" w14:textId="77777777" w:rsidR="00C04CAD" w:rsidRDefault="00060E34">
            <w:pPr>
              <w:pStyle w:val="gtctablespaceafter"/>
              <w:spacing w:after="0"/>
              <w:jc w:val="center"/>
              <w:rPr>
                <w:b/>
                <w:sz w:val="22"/>
                <w:szCs w:val="22"/>
                <w:lang w:val="ro-RO"/>
              </w:rPr>
            </w:pPr>
            <w:r>
              <w:rPr>
                <w:b/>
                <w:sz w:val="22"/>
                <w:szCs w:val="22"/>
                <w:lang w:val="ro-RO"/>
              </w:rPr>
              <w:t>Săptămâna 52</w:t>
            </w:r>
          </w:p>
          <w:p w14:paraId="7CB46472" w14:textId="77777777" w:rsidR="00C04CAD" w:rsidRDefault="00060E34">
            <w:pPr>
              <w:pStyle w:val="gtctablespaceafter"/>
              <w:spacing w:after="0"/>
              <w:jc w:val="center"/>
              <w:rPr>
                <w:b/>
                <w:sz w:val="22"/>
                <w:szCs w:val="22"/>
                <w:lang w:val="ro-RO"/>
              </w:rPr>
            </w:pPr>
            <w:r>
              <w:rPr>
                <w:b/>
                <w:sz w:val="22"/>
                <w:szCs w:val="22"/>
                <w:lang w:val="ro-RO"/>
              </w:rPr>
              <w:t>Tratament de tip deschis</w:t>
            </w:r>
          </w:p>
        </w:tc>
      </w:tr>
      <w:tr w:rsidR="00C04CAD" w14:paraId="0FFC0585" w14:textId="77777777">
        <w:tc>
          <w:tcPr>
            <w:tcW w:w="1271" w:type="pct"/>
            <w:vMerge/>
          </w:tcPr>
          <w:p w14:paraId="1D4AFF4E" w14:textId="77777777" w:rsidR="00C04CAD" w:rsidRDefault="00C04CAD">
            <w:pPr>
              <w:pStyle w:val="gtctablespaceafter"/>
              <w:spacing w:after="0"/>
              <w:rPr>
                <w:sz w:val="22"/>
                <w:szCs w:val="22"/>
                <w:lang w:val="ro-RO"/>
              </w:rPr>
            </w:pPr>
          </w:p>
        </w:tc>
        <w:tc>
          <w:tcPr>
            <w:tcW w:w="599" w:type="pct"/>
          </w:tcPr>
          <w:p w14:paraId="613122C2" w14:textId="77777777" w:rsidR="00C04CAD" w:rsidRDefault="00060E34">
            <w:pPr>
              <w:pStyle w:val="gtctablespaceafter"/>
              <w:spacing w:after="0"/>
              <w:jc w:val="center"/>
              <w:rPr>
                <w:sz w:val="22"/>
                <w:lang w:val="ro-RO"/>
              </w:rPr>
            </w:pPr>
            <w:r>
              <w:rPr>
                <w:sz w:val="22"/>
                <w:lang w:val="ro-RO"/>
              </w:rPr>
              <w:t>Placebo</w:t>
            </w:r>
          </w:p>
          <w:p w14:paraId="350F5AFF" w14:textId="77777777" w:rsidR="00C04CAD" w:rsidRDefault="00060E34">
            <w:pPr>
              <w:pStyle w:val="gtctablespaceafter"/>
              <w:spacing w:after="0"/>
              <w:jc w:val="center"/>
              <w:rPr>
                <w:sz w:val="22"/>
                <w:szCs w:val="22"/>
                <w:lang w:val="ro-RO"/>
              </w:rPr>
            </w:pPr>
            <w:r>
              <w:rPr>
                <w:sz w:val="22"/>
                <w:lang w:val="ro-RO"/>
              </w:rPr>
              <w:t>N = 108</w:t>
            </w:r>
          </w:p>
        </w:tc>
        <w:tc>
          <w:tcPr>
            <w:tcW w:w="838" w:type="pct"/>
          </w:tcPr>
          <w:p w14:paraId="2922BF68" w14:textId="77777777" w:rsidR="00C04CAD" w:rsidRDefault="00060E34">
            <w:pPr>
              <w:pStyle w:val="In-texttable"/>
              <w:keepNext w:val="0"/>
              <w:suppressAutoHyphens w:val="0"/>
              <w:overflowPunct/>
              <w:autoSpaceDE/>
              <w:autoSpaceDN/>
              <w:adjustRightInd/>
              <w:spacing w:line="240" w:lineRule="auto"/>
              <w:jc w:val="center"/>
              <w:textAlignment w:val="auto"/>
              <w:rPr>
                <w:rFonts w:ascii="Times New Roman" w:hAnsi="Times New Roman"/>
                <w:sz w:val="22"/>
                <w:lang w:val="ro-RO"/>
              </w:rPr>
            </w:pPr>
            <w:r>
              <w:rPr>
                <w:rFonts w:ascii="Times New Roman" w:hAnsi="Times New Roman"/>
                <w:sz w:val="22"/>
                <w:szCs w:val="22"/>
                <w:lang w:val="ro-RO"/>
              </w:rPr>
              <w:t xml:space="preserve">Adalimumab </w:t>
            </w:r>
            <w:r>
              <w:rPr>
                <w:rFonts w:ascii="Times New Roman" w:hAnsi="Times New Roman"/>
                <w:sz w:val="22"/>
                <w:lang w:val="ro-RO"/>
              </w:rPr>
              <w:t>40 mg la fiecare 2 săptămâni</w:t>
            </w:r>
          </w:p>
          <w:p w14:paraId="3515B94C" w14:textId="77777777" w:rsidR="00C04CAD" w:rsidRDefault="00060E34">
            <w:pPr>
              <w:pStyle w:val="In-texttable"/>
              <w:keepNext w:val="0"/>
              <w:suppressAutoHyphens w:val="0"/>
              <w:overflowPunct/>
              <w:autoSpaceDE/>
              <w:autoSpaceDN/>
              <w:adjustRightInd/>
              <w:spacing w:line="240" w:lineRule="auto"/>
              <w:jc w:val="center"/>
              <w:textAlignment w:val="auto"/>
              <w:rPr>
                <w:sz w:val="22"/>
                <w:szCs w:val="22"/>
                <w:lang w:val="ro-RO"/>
              </w:rPr>
            </w:pPr>
            <w:r>
              <w:rPr>
                <w:rFonts w:ascii="Times New Roman" w:hAnsi="Times New Roman"/>
                <w:sz w:val="22"/>
                <w:lang w:val="ro-RO"/>
              </w:rPr>
              <w:t>N = 109</w:t>
            </w:r>
          </w:p>
        </w:tc>
        <w:tc>
          <w:tcPr>
            <w:tcW w:w="553" w:type="pct"/>
          </w:tcPr>
          <w:p w14:paraId="1D725B26" w14:textId="77777777" w:rsidR="00C04CAD" w:rsidRDefault="00060E34">
            <w:pPr>
              <w:pStyle w:val="gtctablespaceafter"/>
              <w:spacing w:after="0"/>
              <w:jc w:val="center"/>
              <w:rPr>
                <w:sz w:val="22"/>
                <w:lang w:val="ro-RO"/>
              </w:rPr>
            </w:pPr>
            <w:r>
              <w:rPr>
                <w:sz w:val="22"/>
                <w:lang w:val="ro-RO"/>
              </w:rPr>
              <w:t>Placebo</w:t>
            </w:r>
          </w:p>
          <w:p w14:paraId="471F7FAB" w14:textId="77777777" w:rsidR="00C04CAD" w:rsidRDefault="00060E34">
            <w:pPr>
              <w:pStyle w:val="gtctablespaceafter"/>
              <w:spacing w:after="0"/>
              <w:jc w:val="center"/>
              <w:rPr>
                <w:sz w:val="22"/>
                <w:szCs w:val="22"/>
                <w:lang w:val="ro-RO"/>
              </w:rPr>
            </w:pPr>
            <w:r>
              <w:rPr>
                <w:sz w:val="22"/>
                <w:lang w:val="ro-RO"/>
              </w:rPr>
              <w:t>N = 108</w:t>
            </w:r>
          </w:p>
        </w:tc>
        <w:tc>
          <w:tcPr>
            <w:tcW w:w="792" w:type="pct"/>
          </w:tcPr>
          <w:p w14:paraId="1E71AC2C" w14:textId="77777777" w:rsidR="00C04CAD" w:rsidRDefault="00060E34">
            <w:pPr>
              <w:pStyle w:val="In-texttable"/>
              <w:keepNext w:val="0"/>
              <w:spacing w:line="240" w:lineRule="auto"/>
              <w:jc w:val="center"/>
              <w:rPr>
                <w:rFonts w:ascii="Times New Roman" w:hAnsi="Times New Roman"/>
                <w:sz w:val="22"/>
                <w:lang w:val="ro-RO"/>
              </w:rPr>
            </w:pPr>
            <w:r>
              <w:rPr>
                <w:rFonts w:ascii="Times New Roman" w:hAnsi="Times New Roman"/>
                <w:sz w:val="22"/>
                <w:lang w:val="ro-RO"/>
              </w:rPr>
              <w:t>Adalimumab</w:t>
            </w:r>
          </w:p>
          <w:p w14:paraId="09E6E0CA" w14:textId="77777777" w:rsidR="00C04CAD" w:rsidRDefault="00060E34">
            <w:pPr>
              <w:pStyle w:val="gtctablespaceafter"/>
              <w:spacing w:after="0"/>
              <w:jc w:val="center"/>
              <w:rPr>
                <w:sz w:val="22"/>
                <w:lang w:val="ro-RO"/>
              </w:rPr>
            </w:pPr>
            <w:r>
              <w:rPr>
                <w:sz w:val="22"/>
                <w:lang w:val="ro-RO"/>
              </w:rPr>
              <w:t xml:space="preserve">40 mg la fiecare 2 săptămâni </w:t>
            </w:r>
          </w:p>
          <w:p w14:paraId="794A5FD3" w14:textId="77777777" w:rsidR="00C04CAD" w:rsidRDefault="00060E34">
            <w:pPr>
              <w:pStyle w:val="gtctablespaceafter"/>
              <w:spacing w:after="0"/>
              <w:jc w:val="center"/>
              <w:rPr>
                <w:sz w:val="22"/>
                <w:szCs w:val="22"/>
                <w:lang w:val="ro-RO"/>
              </w:rPr>
            </w:pPr>
            <w:r>
              <w:rPr>
                <w:sz w:val="22"/>
                <w:lang w:val="ro-RO"/>
              </w:rPr>
              <w:t>N = 109</w:t>
            </w:r>
          </w:p>
        </w:tc>
        <w:tc>
          <w:tcPr>
            <w:tcW w:w="946" w:type="pct"/>
          </w:tcPr>
          <w:p w14:paraId="354B1591" w14:textId="77777777" w:rsidR="00C04CAD" w:rsidRDefault="00060E34">
            <w:pPr>
              <w:pStyle w:val="In-texttable"/>
              <w:keepNext w:val="0"/>
              <w:spacing w:line="240" w:lineRule="auto"/>
              <w:jc w:val="center"/>
              <w:rPr>
                <w:rFonts w:ascii="Times New Roman" w:hAnsi="Times New Roman"/>
                <w:sz w:val="22"/>
                <w:lang w:val="ro-RO"/>
              </w:rPr>
            </w:pPr>
            <w:r>
              <w:rPr>
                <w:rFonts w:ascii="Times New Roman" w:hAnsi="Times New Roman"/>
                <w:sz w:val="22"/>
                <w:lang w:val="ro-RO"/>
              </w:rPr>
              <w:t>Adalimumab</w:t>
            </w:r>
          </w:p>
          <w:p w14:paraId="1C873584" w14:textId="77777777" w:rsidR="00C04CAD" w:rsidRDefault="00060E34">
            <w:pPr>
              <w:pStyle w:val="gtctablespaceafter"/>
              <w:spacing w:after="0"/>
              <w:jc w:val="center"/>
              <w:rPr>
                <w:sz w:val="22"/>
                <w:lang w:val="ro-RO"/>
              </w:rPr>
            </w:pPr>
            <w:r>
              <w:rPr>
                <w:sz w:val="22"/>
                <w:lang w:val="ro-RO"/>
              </w:rPr>
              <w:t xml:space="preserve">40 mg la fiecare 2 săptămâni </w:t>
            </w:r>
          </w:p>
          <w:p w14:paraId="0A1CDAA1" w14:textId="77777777" w:rsidR="00C04CAD" w:rsidRDefault="00060E34">
            <w:pPr>
              <w:pStyle w:val="gtctablespaceafter"/>
              <w:spacing w:after="0"/>
              <w:jc w:val="center"/>
              <w:rPr>
                <w:sz w:val="22"/>
                <w:szCs w:val="22"/>
                <w:lang w:val="ro-RO"/>
              </w:rPr>
            </w:pPr>
            <w:r>
              <w:rPr>
                <w:sz w:val="22"/>
                <w:lang w:val="ro-RO"/>
              </w:rPr>
              <w:t>N = 80</w:t>
            </w:r>
          </w:p>
        </w:tc>
      </w:tr>
      <w:tr w:rsidR="00C04CAD" w14:paraId="25DC4006" w14:textId="77777777">
        <w:tc>
          <w:tcPr>
            <w:tcW w:w="1271" w:type="pct"/>
          </w:tcPr>
          <w:p w14:paraId="526C672D" w14:textId="77777777" w:rsidR="00C04CAD" w:rsidRDefault="00060E34">
            <w:pPr>
              <w:pStyle w:val="gtctablespaceafter"/>
              <w:spacing w:after="0"/>
              <w:rPr>
                <w:sz w:val="22"/>
                <w:szCs w:val="22"/>
                <w:lang w:val="ro-RO"/>
              </w:rPr>
            </w:pPr>
            <w:r>
              <w:rPr>
                <w:sz w:val="22"/>
                <w:lang w:val="ro-RO"/>
              </w:rPr>
              <w:t>≥ mNAPSI 75 (%)</w:t>
            </w:r>
          </w:p>
        </w:tc>
        <w:tc>
          <w:tcPr>
            <w:tcW w:w="599" w:type="pct"/>
          </w:tcPr>
          <w:p w14:paraId="23BF1B77" w14:textId="77777777" w:rsidR="00C04CAD" w:rsidRDefault="00060E34">
            <w:pPr>
              <w:pStyle w:val="gtctablespaceafter"/>
              <w:spacing w:after="0"/>
              <w:jc w:val="center"/>
              <w:rPr>
                <w:sz w:val="22"/>
                <w:szCs w:val="22"/>
                <w:lang w:val="ro-RO"/>
              </w:rPr>
            </w:pPr>
            <w:r>
              <w:rPr>
                <w:sz w:val="22"/>
                <w:szCs w:val="22"/>
                <w:lang w:val="ro-RO"/>
              </w:rPr>
              <w:t>2,9</w:t>
            </w:r>
          </w:p>
        </w:tc>
        <w:tc>
          <w:tcPr>
            <w:tcW w:w="838" w:type="pct"/>
          </w:tcPr>
          <w:p w14:paraId="758D7034" w14:textId="77777777" w:rsidR="00C04CAD" w:rsidRDefault="00060E34">
            <w:pPr>
              <w:pStyle w:val="gtctablespaceafter"/>
              <w:spacing w:after="0"/>
              <w:jc w:val="center"/>
              <w:rPr>
                <w:sz w:val="22"/>
                <w:szCs w:val="22"/>
                <w:lang w:val="ro-RO"/>
              </w:rPr>
            </w:pPr>
            <w:r>
              <w:rPr>
                <w:sz w:val="22"/>
                <w:szCs w:val="22"/>
                <w:lang w:val="ro-RO"/>
              </w:rPr>
              <w:t>26,0</w:t>
            </w:r>
            <w:r>
              <w:rPr>
                <w:sz w:val="22"/>
                <w:szCs w:val="22"/>
                <w:vertAlign w:val="superscript"/>
                <w:lang w:val="ro-RO"/>
              </w:rPr>
              <w:t>a</w:t>
            </w:r>
          </w:p>
        </w:tc>
        <w:tc>
          <w:tcPr>
            <w:tcW w:w="553" w:type="pct"/>
          </w:tcPr>
          <w:p w14:paraId="4E168223" w14:textId="77777777" w:rsidR="00C04CAD" w:rsidRDefault="00060E34">
            <w:pPr>
              <w:keepNext/>
              <w:spacing w:line="240" w:lineRule="auto"/>
              <w:jc w:val="center"/>
              <w:rPr>
                <w:szCs w:val="22"/>
              </w:rPr>
            </w:pPr>
            <w:r>
              <w:rPr>
                <w:szCs w:val="22"/>
              </w:rPr>
              <w:t>3,4</w:t>
            </w:r>
          </w:p>
        </w:tc>
        <w:tc>
          <w:tcPr>
            <w:tcW w:w="792" w:type="pct"/>
          </w:tcPr>
          <w:p w14:paraId="508B4D4F" w14:textId="77777777" w:rsidR="00C04CAD" w:rsidRDefault="00060E34">
            <w:pPr>
              <w:keepNext/>
              <w:spacing w:line="240" w:lineRule="auto"/>
              <w:jc w:val="center"/>
              <w:rPr>
                <w:szCs w:val="22"/>
              </w:rPr>
            </w:pPr>
            <w:r>
              <w:rPr>
                <w:szCs w:val="22"/>
              </w:rPr>
              <w:t>46,6</w:t>
            </w:r>
            <w:r>
              <w:rPr>
                <w:szCs w:val="22"/>
                <w:vertAlign w:val="superscript"/>
              </w:rPr>
              <w:t>a</w:t>
            </w:r>
          </w:p>
        </w:tc>
        <w:tc>
          <w:tcPr>
            <w:tcW w:w="946" w:type="pct"/>
          </w:tcPr>
          <w:p w14:paraId="0B21AC50" w14:textId="77777777" w:rsidR="00C04CAD" w:rsidRDefault="00060E34">
            <w:pPr>
              <w:pStyle w:val="gtctablespaceafter"/>
              <w:spacing w:after="0"/>
              <w:jc w:val="center"/>
              <w:rPr>
                <w:sz w:val="22"/>
                <w:szCs w:val="22"/>
                <w:lang w:val="ro-RO"/>
              </w:rPr>
            </w:pPr>
            <w:r>
              <w:rPr>
                <w:sz w:val="22"/>
                <w:szCs w:val="22"/>
                <w:lang w:val="ro-RO"/>
              </w:rPr>
              <w:t>65,0</w:t>
            </w:r>
          </w:p>
        </w:tc>
      </w:tr>
      <w:tr w:rsidR="00C04CAD" w14:paraId="01AA0AD0" w14:textId="77777777">
        <w:tc>
          <w:tcPr>
            <w:tcW w:w="1271" w:type="pct"/>
          </w:tcPr>
          <w:p w14:paraId="0D90DA2F"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PGA-F fără leziune/leziune minimă și ≥ 2-grade îmbunătățire (%)</w:t>
            </w:r>
          </w:p>
        </w:tc>
        <w:tc>
          <w:tcPr>
            <w:tcW w:w="599" w:type="pct"/>
          </w:tcPr>
          <w:p w14:paraId="090EF2CD" w14:textId="77777777" w:rsidR="00C04CAD" w:rsidRDefault="00060E34">
            <w:pPr>
              <w:pStyle w:val="gtctablespaceafter"/>
              <w:spacing w:after="0"/>
              <w:jc w:val="center"/>
              <w:rPr>
                <w:sz w:val="22"/>
                <w:szCs w:val="22"/>
                <w:lang w:val="ro-RO"/>
              </w:rPr>
            </w:pPr>
            <w:r>
              <w:rPr>
                <w:sz w:val="22"/>
                <w:szCs w:val="22"/>
                <w:lang w:val="ro-RO"/>
              </w:rPr>
              <w:t>2,9</w:t>
            </w:r>
          </w:p>
        </w:tc>
        <w:tc>
          <w:tcPr>
            <w:tcW w:w="838" w:type="pct"/>
          </w:tcPr>
          <w:p w14:paraId="1D855F04" w14:textId="77777777" w:rsidR="00C04CAD" w:rsidRDefault="00060E34">
            <w:pPr>
              <w:pStyle w:val="gtctablespaceafter"/>
              <w:spacing w:after="0"/>
              <w:jc w:val="center"/>
              <w:rPr>
                <w:sz w:val="22"/>
                <w:szCs w:val="22"/>
                <w:lang w:val="ro-RO"/>
              </w:rPr>
            </w:pPr>
            <w:r>
              <w:rPr>
                <w:sz w:val="22"/>
                <w:szCs w:val="22"/>
                <w:lang w:val="ro-RO"/>
              </w:rPr>
              <w:t>29,7</w:t>
            </w:r>
            <w:r>
              <w:rPr>
                <w:sz w:val="22"/>
                <w:szCs w:val="22"/>
                <w:vertAlign w:val="superscript"/>
                <w:lang w:val="ro-RO"/>
              </w:rPr>
              <w:t>a</w:t>
            </w:r>
          </w:p>
        </w:tc>
        <w:tc>
          <w:tcPr>
            <w:tcW w:w="553" w:type="pct"/>
          </w:tcPr>
          <w:p w14:paraId="209AED4E" w14:textId="77777777" w:rsidR="00C04CAD" w:rsidRDefault="00060E34">
            <w:pPr>
              <w:keepNext/>
              <w:spacing w:line="240" w:lineRule="auto"/>
              <w:jc w:val="center"/>
              <w:rPr>
                <w:szCs w:val="22"/>
              </w:rPr>
            </w:pPr>
            <w:r>
              <w:rPr>
                <w:szCs w:val="22"/>
              </w:rPr>
              <w:t>6,9</w:t>
            </w:r>
          </w:p>
        </w:tc>
        <w:tc>
          <w:tcPr>
            <w:tcW w:w="792" w:type="pct"/>
          </w:tcPr>
          <w:p w14:paraId="728E7C6F" w14:textId="77777777" w:rsidR="00C04CAD" w:rsidRDefault="00060E34">
            <w:pPr>
              <w:keepNext/>
              <w:spacing w:line="240" w:lineRule="auto"/>
              <w:jc w:val="center"/>
              <w:rPr>
                <w:szCs w:val="22"/>
              </w:rPr>
            </w:pPr>
            <w:r>
              <w:rPr>
                <w:szCs w:val="22"/>
              </w:rPr>
              <w:t>48,9</w:t>
            </w:r>
            <w:r>
              <w:rPr>
                <w:szCs w:val="22"/>
                <w:vertAlign w:val="superscript"/>
              </w:rPr>
              <w:t>a</w:t>
            </w:r>
          </w:p>
        </w:tc>
        <w:tc>
          <w:tcPr>
            <w:tcW w:w="946" w:type="pct"/>
          </w:tcPr>
          <w:p w14:paraId="5F48A9E1" w14:textId="77777777" w:rsidR="00C04CAD" w:rsidRDefault="00060E34">
            <w:pPr>
              <w:pStyle w:val="gtctablespaceafter"/>
              <w:spacing w:after="0"/>
              <w:jc w:val="center"/>
              <w:rPr>
                <w:sz w:val="22"/>
                <w:szCs w:val="22"/>
                <w:lang w:val="ro-RO"/>
              </w:rPr>
            </w:pPr>
            <w:r>
              <w:rPr>
                <w:sz w:val="22"/>
                <w:szCs w:val="22"/>
                <w:lang w:val="ro-RO"/>
              </w:rPr>
              <w:t>61,3</w:t>
            </w:r>
          </w:p>
        </w:tc>
      </w:tr>
      <w:tr w:rsidR="00C04CAD" w14:paraId="1BE3DAFB" w14:textId="77777777">
        <w:tc>
          <w:tcPr>
            <w:tcW w:w="1271" w:type="pct"/>
          </w:tcPr>
          <w:p w14:paraId="736D7A84"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Modificarea procentului pentru NAPSI total pentru unghii (%)</w:t>
            </w:r>
          </w:p>
        </w:tc>
        <w:tc>
          <w:tcPr>
            <w:tcW w:w="599" w:type="pct"/>
          </w:tcPr>
          <w:p w14:paraId="4A02198F" w14:textId="77777777" w:rsidR="00C04CAD" w:rsidRDefault="00060E34">
            <w:pPr>
              <w:pStyle w:val="gtctablespaceafter"/>
              <w:spacing w:after="0"/>
              <w:jc w:val="center"/>
              <w:rPr>
                <w:sz w:val="22"/>
                <w:szCs w:val="22"/>
                <w:lang w:val="ro-RO"/>
              </w:rPr>
            </w:pPr>
            <w:r>
              <w:rPr>
                <w:sz w:val="22"/>
                <w:szCs w:val="22"/>
                <w:lang w:val="ro-RO"/>
              </w:rPr>
              <w:t>-7,8</w:t>
            </w:r>
          </w:p>
        </w:tc>
        <w:tc>
          <w:tcPr>
            <w:tcW w:w="838" w:type="pct"/>
          </w:tcPr>
          <w:p w14:paraId="4D9B4EDA" w14:textId="77777777" w:rsidR="00C04CAD" w:rsidRDefault="00060E34">
            <w:pPr>
              <w:pStyle w:val="gtctablespaceafter"/>
              <w:spacing w:after="0"/>
              <w:jc w:val="center"/>
              <w:rPr>
                <w:sz w:val="22"/>
                <w:szCs w:val="22"/>
                <w:lang w:val="ro-RO"/>
              </w:rPr>
            </w:pPr>
            <w:r>
              <w:rPr>
                <w:sz w:val="22"/>
                <w:szCs w:val="22"/>
                <w:lang w:val="ro-RO"/>
              </w:rPr>
              <w:t>-44,2</w:t>
            </w:r>
            <w:r>
              <w:rPr>
                <w:sz w:val="22"/>
                <w:szCs w:val="22"/>
                <w:vertAlign w:val="superscript"/>
                <w:lang w:val="ro-RO"/>
              </w:rPr>
              <w:t xml:space="preserve"> a</w:t>
            </w:r>
          </w:p>
        </w:tc>
        <w:tc>
          <w:tcPr>
            <w:tcW w:w="553" w:type="pct"/>
          </w:tcPr>
          <w:p w14:paraId="5A2CDB1C" w14:textId="77777777" w:rsidR="00C04CAD" w:rsidRDefault="00060E34">
            <w:pPr>
              <w:keepNext/>
              <w:spacing w:line="240" w:lineRule="auto"/>
              <w:jc w:val="center"/>
              <w:rPr>
                <w:szCs w:val="22"/>
              </w:rPr>
            </w:pPr>
            <w:r>
              <w:rPr>
                <w:szCs w:val="22"/>
              </w:rPr>
              <w:t>-11,5</w:t>
            </w:r>
          </w:p>
        </w:tc>
        <w:tc>
          <w:tcPr>
            <w:tcW w:w="792" w:type="pct"/>
          </w:tcPr>
          <w:p w14:paraId="05DE99D1" w14:textId="77777777" w:rsidR="00C04CAD" w:rsidRDefault="00060E34">
            <w:pPr>
              <w:keepNext/>
              <w:spacing w:line="240" w:lineRule="auto"/>
              <w:jc w:val="center"/>
              <w:rPr>
                <w:szCs w:val="22"/>
              </w:rPr>
            </w:pPr>
            <w:r>
              <w:rPr>
                <w:szCs w:val="22"/>
              </w:rPr>
              <w:t>-56,2</w:t>
            </w:r>
            <w:r>
              <w:rPr>
                <w:szCs w:val="22"/>
                <w:vertAlign w:val="superscript"/>
              </w:rPr>
              <w:t>a</w:t>
            </w:r>
          </w:p>
        </w:tc>
        <w:tc>
          <w:tcPr>
            <w:tcW w:w="946" w:type="pct"/>
          </w:tcPr>
          <w:p w14:paraId="47BF95D5" w14:textId="77777777" w:rsidR="00C04CAD" w:rsidRDefault="00060E34">
            <w:pPr>
              <w:pStyle w:val="gtctablespaceafter"/>
              <w:spacing w:after="0"/>
              <w:jc w:val="center"/>
              <w:rPr>
                <w:sz w:val="22"/>
                <w:szCs w:val="22"/>
                <w:lang w:val="ro-RO"/>
              </w:rPr>
            </w:pPr>
            <w:r>
              <w:rPr>
                <w:sz w:val="22"/>
                <w:szCs w:val="22"/>
                <w:lang w:val="ro-RO"/>
              </w:rPr>
              <w:t>-72,2</w:t>
            </w:r>
          </w:p>
        </w:tc>
      </w:tr>
      <w:tr w:rsidR="00C04CAD" w14:paraId="3B419B3E" w14:textId="77777777">
        <w:trPr>
          <w:trHeight w:val="325"/>
        </w:trPr>
        <w:tc>
          <w:tcPr>
            <w:tcW w:w="5000" w:type="pct"/>
            <w:gridSpan w:val="6"/>
          </w:tcPr>
          <w:p w14:paraId="0F54976B" w14:textId="77777777" w:rsidR="00C04CAD" w:rsidRDefault="00060E34">
            <w:pPr>
              <w:pStyle w:val="gtctablespaceafter"/>
              <w:spacing w:after="0"/>
              <w:rPr>
                <w:sz w:val="22"/>
                <w:szCs w:val="22"/>
                <w:lang w:val="ro-RO"/>
              </w:rPr>
            </w:pPr>
            <w:r>
              <w:rPr>
                <w:sz w:val="22"/>
                <w:szCs w:val="22"/>
                <w:vertAlign w:val="superscript"/>
                <w:lang w:val="ro-RO"/>
              </w:rPr>
              <w:t>a</w:t>
            </w:r>
            <w:r>
              <w:rPr>
                <w:sz w:val="22"/>
                <w:szCs w:val="22"/>
                <w:lang w:val="ro-RO"/>
              </w:rPr>
              <w:t xml:space="preserve"> p &lt; 0,001, adalimumab versus placebo </w:t>
            </w:r>
          </w:p>
        </w:tc>
      </w:tr>
    </w:tbl>
    <w:p w14:paraId="5EED7C47" w14:textId="77777777" w:rsidR="00C04CAD" w:rsidRDefault="00C04CAD">
      <w:pPr>
        <w:tabs>
          <w:tab w:val="clear" w:pos="567"/>
        </w:tabs>
        <w:kinsoku w:val="0"/>
        <w:overflowPunct w:val="0"/>
        <w:autoSpaceDE w:val="0"/>
        <w:autoSpaceDN w:val="0"/>
        <w:adjustRightInd w:val="0"/>
        <w:spacing w:line="240" w:lineRule="auto"/>
      </w:pPr>
    </w:p>
    <w:p w14:paraId="57C59911" w14:textId="77777777" w:rsidR="00C04CAD" w:rsidRDefault="00060E34">
      <w:pPr>
        <w:tabs>
          <w:tab w:val="clear" w:pos="567"/>
        </w:tabs>
        <w:kinsoku w:val="0"/>
        <w:overflowPunct w:val="0"/>
        <w:autoSpaceDE w:val="0"/>
        <w:autoSpaceDN w:val="0"/>
        <w:adjustRightInd w:val="0"/>
        <w:spacing w:line="240" w:lineRule="auto"/>
      </w:pPr>
      <w:r>
        <w:rPr>
          <w:color w:val="222222"/>
        </w:rPr>
        <w:t>Pacienții tratați cu adalimumab au prezentat îmbunătățiri semnificative statistic în săptămâna 26, comparativ cu placebo în DLQI.</w:t>
      </w:r>
    </w:p>
    <w:p w14:paraId="528E02E2" w14:textId="77777777" w:rsidR="00C04CAD" w:rsidRDefault="00C04CAD">
      <w:pPr>
        <w:autoSpaceDE w:val="0"/>
        <w:autoSpaceDN w:val="0"/>
        <w:adjustRightInd w:val="0"/>
        <w:spacing w:line="240" w:lineRule="auto"/>
        <w:rPr>
          <w:szCs w:val="22"/>
        </w:rPr>
      </w:pPr>
    </w:p>
    <w:p w14:paraId="2D116C8C" w14:textId="77777777" w:rsidR="00C04CAD" w:rsidRDefault="00060E34">
      <w:pPr>
        <w:tabs>
          <w:tab w:val="clear" w:pos="567"/>
        </w:tabs>
        <w:kinsoku w:val="0"/>
        <w:overflowPunct w:val="0"/>
        <w:autoSpaceDE w:val="0"/>
        <w:autoSpaceDN w:val="0"/>
        <w:adjustRightInd w:val="0"/>
        <w:spacing w:line="240" w:lineRule="auto"/>
        <w:rPr>
          <w:szCs w:val="22"/>
        </w:rPr>
      </w:pPr>
      <w:r>
        <w:rPr>
          <w:i/>
          <w:spacing w:val="-1"/>
          <w:szCs w:val="22"/>
        </w:rPr>
        <w:t>H</w:t>
      </w:r>
      <w:r>
        <w:rPr>
          <w:i/>
          <w:spacing w:val="1"/>
          <w:szCs w:val="22"/>
        </w:rPr>
        <w:t>i</w:t>
      </w:r>
      <w:r>
        <w:rPr>
          <w:i/>
          <w:szCs w:val="22"/>
        </w:rPr>
        <w:t>dros</w:t>
      </w:r>
      <w:r>
        <w:rPr>
          <w:i/>
          <w:spacing w:val="-3"/>
          <w:szCs w:val="22"/>
        </w:rPr>
        <w:t>a</w:t>
      </w:r>
      <w:r>
        <w:rPr>
          <w:i/>
          <w:szCs w:val="22"/>
        </w:rPr>
        <w:t>de</w:t>
      </w:r>
      <w:r>
        <w:rPr>
          <w:i/>
          <w:spacing w:val="-3"/>
          <w:szCs w:val="22"/>
        </w:rPr>
        <w:t>n</w:t>
      </w:r>
      <w:r>
        <w:rPr>
          <w:i/>
          <w:spacing w:val="1"/>
          <w:szCs w:val="22"/>
        </w:rPr>
        <w:t>it</w:t>
      </w:r>
      <w:r>
        <w:rPr>
          <w:i/>
          <w:szCs w:val="22"/>
        </w:rPr>
        <w:t>ă</w:t>
      </w:r>
      <w:r>
        <w:rPr>
          <w:i/>
          <w:spacing w:val="-4"/>
          <w:szCs w:val="22"/>
        </w:rPr>
        <w:t xml:space="preserve"> </w:t>
      </w:r>
      <w:r>
        <w:rPr>
          <w:i/>
          <w:szCs w:val="22"/>
        </w:rPr>
        <w:t>sup</w:t>
      </w:r>
      <w:r>
        <w:rPr>
          <w:i/>
          <w:spacing w:val="-3"/>
          <w:szCs w:val="22"/>
        </w:rPr>
        <w:t>u</w:t>
      </w:r>
      <w:r>
        <w:rPr>
          <w:i/>
          <w:szCs w:val="22"/>
        </w:rPr>
        <w:t>ra</w:t>
      </w:r>
      <w:r>
        <w:rPr>
          <w:i/>
          <w:spacing w:val="-2"/>
          <w:szCs w:val="22"/>
        </w:rPr>
        <w:t>t</w:t>
      </w:r>
      <w:r>
        <w:rPr>
          <w:i/>
          <w:spacing w:val="1"/>
          <w:szCs w:val="22"/>
        </w:rPr>
        <w:t>i</w:t>
      </w:r>
      <w:r>
        <w:rPr>
          <w:i/>
          <w:szCs w:val="22"/>
        </w:rPr>
        <w:t>vă</w:t>
      </w:r>
    </w:p>
    <w:p w14:paraId="107E058A" w14:textId="77777777" w:rsidR="00C04CAD" w:rsidRDefault="00C04CAD">
      <w:pPr>
        <w:tabs>
          <w:tab w:val="clear" w:pos="567"/>
        </w:tabs>
        <w:kinsoku w:val="0"/>
        <w:overflowPunct w:val="0"/>
        <w:autoSpaceDE w:val="0"/>
        <w:autoSpaceDN w:val="0"/>
        <w:adjustRightInd w:val="0"/>
        <w:spacing w:line="240" w:lineRule="auto"/>
        <w:rPr>
          <w:szCs w:val="22"/>
        </w:rPr>
      </w:pPr>
    </w:p>
    <w:p w14:paraId="4DA727F8"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E</w:t>
      </w:r>
      <w:r>
        <w:rPr>
          <w:szCs w:val="22"/>
        </w:rPr>
        <w:t>f</w:t>
      </w:r>
      <w:r>
        <w:rPr>
          <w:spacing w:val="1"/>
          <w:szCs w:val="22"/>
        </w:rPr>
        <w:t>i</w:t>
      </w:r>
      <w:r>
        <w:rPr>
          <w:spacing w:val="-3"/>
          <w:szCs w:val="22"/>
        </w:rPr>
        <w:t>c</w:t>
      </w:r>
      <w:r>
        <w:rPr>
          <w:szCs w:val="22"/>
        </w:rPr>
        <w:t>ac</w:t>
      </w:r>
      <w:r>
        <w:rPr>
          <w:spacing w:val="-2"/>
          <w:szCs w:val="22"/>
        </w:rPr>
        <w:t>i</w:t>
      </w:r>
      <w:r>
        <w:rPr>
          <w:spacing w:val="1"/>
          <w:szCs w:val="22"/>
        </w:rPr>
        <w:t>t</w:t>
      </w:r>
      <w:r>
        <w:rPr>
          <w:spacing w:val="-3"/>
          <w:szCs w:val="22"/>
        </w:rPr>
        <w:t>a</w:t>
      </w:r>
      <w:r>
        <w:rPr>
          <w:spacing w:val="1"/>
          <w:szCs w:val="22"/>
        </w:rPr>
        <w:t>t</w:t>
      </w:r>
      <w:r>
        <w:rPr>
          <w:szCs w:val="22"/>
        </w:rPr>
        <w:t>ea</w:t>
      </w:r>
      <w:r>
        <w:rPr>
          <w:spacing w:val="-2"/>
          <w:szCs w:val="22"/>
        </w:rPr>
        <w:t xml:space="preserve"> </w:t>
      </w:r>
      <w:r>
        <w:rPr>
          <w:szCs w:val="22"/>
        </w:rPr>
        <w:t>şi</w:t>
      </w:r>
      <w:r>
        <w:rPr>
          <w:spacing w:val="-2"/>
          <w:szCs w:val="22"/>
        </w:rPr>
        <w:t xml:space="preserve"> </w:t>
      </w:r>
      <w:r>
        <w:rPr>
          <w:szCs w:val="22"/>
        </w:rPr>
        <w:t>s</w:t>
      </w:r>
      <w:r>
        <w:rPr>
          <w:spacing w:val="1"/>
          <w:szCs w:val="22"/>
        </w:rPr>
        <w:t>i</w:t>
      </w:r>
      <w:r>
        <w:rPr>
          <w:spacing w:val="-3"/>
          <w:szCs w:val="22"/>
        </w:rPr>
        <w:t>g</w:t>
      </w:r>
      <w:r>
        <w:rPr>
          <w:szCs w:val="22"/>
        </w:rPr>
        <w:t>ura</w:t>
      </w:r>
      <w:r>
        <w:rPr>
          <w:spacing w:val="-3"/>
          <w:szCs w:val="22"/>
        </w:rPr>
        <w:t>n</w:t>
      </w:r>
      <w:r>
        <w:rPr>
          <w:spacing w:val="1"/>
          <w:szCs w:val="22"/>
        </w:rPr>
        <w:t>ţ</w:t>
      </w:r>
      <w:r>
        <w:rPr>
          <w:szCs w:val="22"/>
        </w:rPr>
        <w:t xml:space="preserve">a </w:t>
      </w:r>
      <w:r>
        <w:rPr>
          <w:rFonts w:eastAsia="MS Mincho"/>
          <w:spacing w:val="-1"/>
          <w:szCs w:val="22"/>
          <w:lang w:eastAsia="en-US" w:bidi="ar-SA"/>
        </w:rPr>
        <w:t>adalimumab</w:t>
      </w:r>
      <w:r>
        <w:rPr>
          <w:szCs w:val="22"/>
        </w:rPr>
        <w:t xml:space="preserve"> au f</w:t>
      </w:r>
      <w:r>
        <w:rPr>
          <w:spacing w:val="-3"/>
          <w:szCs w:val="22"/>
        </w:rPr>
        <w:t>o</w:t>
      </w:r>
      <w:r>
        <w:rPr>
          <w:szCs w:val="22"/>
        </w:rPr>
        <w:t>st</w:t>
      </w:r>
      <w:r>
        <w:rPr>
          <w:spacing w:val="1"/>
          <w:szCs w:val="22"/>
        </w:rPr>
        <w:t xml:space="preserve"> </w:t>
      </w:r>
      <w:r>
        <w:rPr>
          <w:szCs w:val="22"/>
        </w:rPr>
        <w:t>e</w:t>
      </w:r>
      <w:r>
        <w:rPr>
          <w:spacing w:val="-3"/>
          <w:szCs w:val="22"/>
        </w:rPr>
        <w:t>v</w:t>
      </w:r>
      <w:r>
        <w:rPr>
          <w:szCs w:val="22"/>
        </w:rPr>
        <w:t>a</w:t>
      </w:r>
      <w:r>
        <w:rPr>
          <w:spacing w:val="-2"/>
          <w:szCs w:val="22"/>
        </w:rPr>
        <w:t>l</w:t>
      </w:r>
      <w:r>
        <w:rPr>
          <w:szCs w:val="22"/>
        </w:rPr>
        <w:t>ua</w:t>
      </w:r>
      <w:r>
        <w:rPr>
          <w:spacing w:val="-2"/>
          <w:szCs w:val="22"/>
        </w:rPr>
        <w:t>t</w:t>
      </w:r>
      <w:r>
        <w:rPr>
          <w:szCs w:val="22"/>
        </w:rPr>
        <w:t xml:space="preserve">e </w:t>
      </w:r>
      <w:r>
        <w:rPr>
          <w:spacing w:val="1"/>
          <w:szCs w:val="22"/>
        </w:rPr>
        <w:t>î</w:t>
      </w:r>
      <w:r>
        <w:rPr>
          <w:szCs w:val="22"/>
        </w:rPr>
        <w:t>n</w:t>
      </w:r>
      <w:r>
        <w:rPr>
          <w:spacing w:val="-3"/>
          <w:szCs w:val="22"/>
        </w:rPr>
        <w:t xml:space="preserve"> </w:t>
      </w:r>
      <w:r>
        <w:rPr>
          <w:szCs w:val="22"/>
        </w:rPr>
        <w:t>s</w:t>
      </w:r>
      <w:r>
        <w:rPr>
          <w:spacing w:val="-2"/>
          <w:szCs w:val="22"/>
        </w:rPr>
        <w:t>t</w:t>
      </w:r>
      <w:r>
        <w:rPr>
          <w:spacing w:val="-3"/>
          <w:szCs w:val="22"/>
        </w:rPr>
        <w:t>u</w:t>
      </w:r>
      <w:r>
        <w:rPr>
          <w:szCs w:val="22"/>
        </w:rPr>
        <w:t>d</w:t>
      </w:r>
      <w:r>
        <w:rPr>
          <w:spacing w:val="1"/>
          <w:szCs w:val="22"/>
        </w:rPr>
        <w:t>i</w:t>
      </w:r>
      <w:r>
        <w:rPr>
          <w:szCs w:val="22"/>
        </w:rPr>
        <w:t>i</w:t>
      </w:r>
      <w:r>
        <w:rPr>
          <w:spacing w:val="-2"/>
          <w:szCs w:val="22"/>
        </w:rPr>
        <w:t xml:space="preserve"> </w:t>
      </w:r>
      <w:r>
        <w:rPr>
          <w:szCs w:val="22"/>
        </w:rPr>
        <w:t>ran</w:t>
      </w:r>
      <w:r>
        <w:rPr>
          <w:spacing w:val="-3"/>
          <w:szCs w:val="22"/>
        </w:rPr>
        <w:t>d</w:t>
      </w:r>
      <w:r>
        <w:rPr>
          <w:szCs w:val="22"/>
        </w:rPr>
        <w:t>o</w:t>
      </w:r>
      <w:r>
        <w:rPr>
          <w:spacing w:val="-4"/>
          <w:szCs w:val="22"/>
        </w:rPr>
        <w:t>m</w:t>
      </w:r>
      <w:r>
        <w:rPr>
          <w:spacing w:val="1"/>
          <w:szCs w:val="22"/>
        </w:rPr>
        <w:t>i</w:t>
      </w:r>
      <w:r>
        <w:rPr>
          <w:spacing w:val="-3"/>
          <w:szCs w:val="22"/>
        </w:rPr>
        <w:t>z</w:t>
      </w:r>
      <w:r>
        <w:rPr>
          <w:szCs w:val="22"/>
        </w:rPr>
        <w:t>ate, dub</w:t>
      </w:r>
      <w:r>
        <w:rPr>
          <w:spacing w:val="1"/>
          <w:szCs w:val="22"/>
        </w:rPr>
        <w:t>l</w:t>
      </w:r>
      <w:r>
        <w:rPr>
          <w:szCs w:val="22"/>
        </w:rPr>
        <w:t>u</w:t>
      </w:r>
      <w:r>
        <w:rPr>
          <w:spacing w:val="-5"/>
          <w:szCs w:val="22"/>
        </w:rPr>
        <w:t>-</w:t>
      </w:r>
      <w:r>
        <w:rPr>
          <w:szCs w:val="22"/>
        </w:rPr>
        <w:t>orb,</w:t>
      </w:r>
      <w:r>
        <w:rPr>
          <w:spacing w:val="-3"/>
          <w:szCs w:val="22"/>
        </w:rPr>
        <w:t xml:space="preserve"> </w:t>
      </w:r>
      <w:r>
        <w:rPr>
          <w:szCs w:val="22"/>
        </w:rPr>
        <w:t>co</w:t>
      </w:r>
      <w:r>
        <w:rPr>
          <w:spacing w:val="-4"/>
          <w:szCs w:val="22"/>
        </w:rPr>
        <w:t>m</w:t>
      </w:r>
      <w:r>
        <w:rPr>
          <w:szCs w:val="22"/>
        </w:rPr>
        <w:t>para</w:t>
      </w:r>
      <w:r>
        <w:rPr>
          <w:spacing w:val="1"/>
          <w:szCs w:val="22"/>
        </w:rPr>
        <w:t>ti</w:t>
      </w:r>
      <w:r>
        <w:rPr>
          <w:szCs w:val="22"/>
        </w:rPr>
        <w:t>v</w:t>
      </w:r>
      <w:r>
        <w:rPr>
          <w:spacing w:val="-3"/>
          <w:szCs w:val="22"/>
        </w:rPr>
        <w:t xml:space="preserve"> </w:t>
      </w:r>
      <w:r>
        <w:rPr>
          <w:szCs w:val="22"/>
        </w:rPr>
        <w:t>cu p</w:t>
      </w:r>
      <w:r>
        <w:rPr>
          <w:spacing w:val="1"/>
          <w:szCs w:val="22"/>
        </w:rPr>
        <w:t>l</w:t>
      </w:r>
      <w:r>
        <w:rPr>
          <w:szCs w:val="22"/>
        </w:rPr>
        <w:t>a</w:t>
      </w:r>
      <w:r>
        <w:rPr>
          <w:spacing w:val="-3"/>
          <w:szCs w:val="22"/>
        </w:rPr>
        <w:t>c</w:t>
      </w:r>
      <w:r>
        <w:rPr>
          <w:szCs w:val="22"/>
        </w:rPr>
        <w:t xml:space="preserve">ebo </w:t>
      </w:r>
      <w:r>
        <w:rPr>
          <w:spacing w:val="-2"/>
          <w:szCs w:val="22"/>
        </w:rPr>
        <w:t>ş</w:t>
      </w:r>
      <w:r>
        <w:rPr>
          <w:szCs w:val="22"/>
        </w:rPr>
        <w:t>i</w:t>
      </w:r>
      <w:r>
        <w:rPr>
          <w:spacing w:val="1"/>
          <w:szCs w:val="22"/>
        </w:rPr>
        <w:t xml:space="preserve"> </w:t>
      </w:r>
      <w:r>
        <w:rPr>
          <w:spacing w:val="-2"/>
          <w:szCs w:val="22"/>
        </w:rPr>
        <w:t>î</w:t>
      </w:r>
      <w:r>
        <w:rPr>
          <w:szCs w:val="22"/>
        </w:rPr>
        <w:t>n</w:t>
      </w:r>
      <w:r>
        <w:rPr>
          <w:spacing w:val="-2"/>
          <w:szCs w:val="22"/>
        </w:rPr>
        <w:t>t</w:t>
      </w:r>
      <w:r>
        <w:rPr>
          <w:szCs w:val="22"/>
        </w:rPr>
        <w:t>r</w:t>
      </w:r>
      <w:r>
        <w:rPr>
          <w:spacing w:val="-4"/>
          <w:szCs w:val="22"/>
        </w:rPr>
        <w:t>-</w:t>
      </w:r>
      <w:r>
        <w:rPr>
          <w:szCs w:val="22"/>
        </w:rPr>
        <w:t>un s</w:t>
      </w:r>
      <w:r>
        <w:rPr>
          <w:spacing w:val="1"/>
          <w:szCs w:val="22"/>
        </w:rPr>
        <w:t>t</w:t>
      </w:r>
      <w:r>
        <w:rPr>
          <w:szCs w:val="22"/>
        </w:rPr>
        <w:t>ud</w:t>
      </w:r>
      <w:r>
        <w:rPr>
          <w:spacing w:val="1"/>
          <w:szCs w:val="22"/>
        </w:rPr>
        <w:t>i</w:t>
      </w:r>
      <w:r>
        <w:rPr>
          <w:szCs w:val="22"/>
        </w:rPr>
        <w:t>u</w:t>
      </w:r>
      <w:r>
        <w:rPr>
          <w:spacing w:val="-3"/>
          <w:szCs w:val="22"/>
        </w:rPr>
        <w:t xml:space="preserve"> </w:t>
      </w:r>
      <w:r>
        <w:rPr>
          <w:szCs w:val="22"/>
        </w:rPr>
        <w:t>d</w:t>
      </w:r>
      <w:r>
        <w:rPr>
          <w:spacing w:val="-3"/>
          <w:szCs w:val="22"/>
        </w:rPr>
        <w:t>e</w:t>
      </w:r>
      <w:r>
        <w:rPr>
          <w:szCs w:val="22"/>
        </w:rPr>
        <w:t>sch</w:t>
      </w:r>
      <w:r>
        <w:rPr>
          <w:spacing w:val="-2"/>
          <w:szCs w:val="22"/>
        </w:rPr>
        <w:t>i</w:t>
      </w:r>
      <w:r>
        <w:rPr>
          <w:szCs w:val="22"/>
        </w:rPr>
        <w:t>s e</w:t>
      </w:r>
      <w:r>
        <w:rPr>
          <w:spacing w:val="-3"/>
          <w:szCs w:val="22"/>
        </w:rPr>
        <w:t>x</w:t>
      </w:r>
      <w:r>
        <w:rPr>
          <w:spacing w:val="1"/>
          <w:szCs w:val="22"/>
        </w:rPr>
        <w:t>ti</w:t>
      </w:r>
      <w:r>
        <w:rPr>
          <w:spacing w:val="-3"/>
          <w:szCs w:val="22"/>
        </w:rPr>
        <w:t>n</w:t>
      </w:r>
      <w:r>
        <w:rPr>
          <w:szCs w:val="22"/>
        </w:rPr>
        <w:t xml:space="preserve">s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ad</w:t>
      </w:r>
      <w:r>
        <w:rPr>
          <w:spacing w:val="-3"/>
          <w:szCs w:val="22"/>
        </w:rPr>
        <w:t>u</w:t>
      </w:r>
      <w:r>
        <w:rPr>
          <w:spacing w:val="-2"/>
          <w:szCs w:val="22"/>
        </w:rPr>
        <w:t>l</w:t>
      </w:r>
      <w:r>
        <w:rPr>
          <w:spacing w:val="1"/>
          <w:szCs w:val="22"/>
        </w:rPr>
        <w:t>ţ</w:t>
      </w:r>
      <w:r>
        <w:rPr>
          <w:szCs w:val="22"/>
        </w:rPr>
        <w:t>i</w:t>
      </w:r>
      <w:r>
        <w:rPr>
          <w:spacing w:val="1"/>
          <w:szCs w:val="22"/>
        </w:rPr>
        <w:t xml:space="preserve"> </w:t>
      </w:r>
      <w:r>
        <w:rPr>
          <w:spacing w:val="-3"/>
          <w:szCs w:val="22"/>
        </w:rPr>
        <w:t>c</w:t>
      </w:r>
      <w:r>
        <w:rPr>
          <w:szCs w:val="22"/>
        </w:rPr>
        <w:t>u h</w:t>
      </w:r>
      <w:r>
        <w:rPr>
          <w:spacing w:val="1"/>
          <w:szCs w:val="22"/>
        </w:rPr>
        <w:t>i</w:t>
      </w:r>
      <w:r>
        <w:rPr>
          <w:spacing w:val="-3"/>
          <w:szCs w:val="22"/>
        </w:rPr>
        <w:t>d</w:t>
      </w:r>
      <w:r>
        <w:rPr>
          <w:szCs w:val="22"/>
        </w:rPr>
        <w:t>ro</w:t>
      </w:r>
      <w:r>
        <w:rPr>
          <w:spacing w:val="-2"/>
          <w:szCs w:val="22"/>
        </w:rPr>
        <w:t>s</w:t>
      </w:r>
      <w:r>
        <w:rPr>
          <w:szCs w:val="22"/>
        </w:rPr>
        <w:t>ade</w:t>
      </w:r>
      <w:r>
        <w:rPr>
          <w:spacing w:val="-3"/>
          <w:szCs w:val="22"/>
        </w:rPr>
        <w:t>n</w:t>
      </w:r>
      <w:r>
        <w:rPr>
          <w:spacing w:val="1"/>
          <w:szCs w:val="22"/>
        </w:rPr>
        <w:t>i</w:t>
      </w:r>
      <w:r>
        <w:rPr>
          <w:spacing w:val="-2"/>
          <w:szCs w:val="22"/>
        </w:rPr>
        <w:t>t</w:t>
      </w:r>
      <w:r>
        <w:rPr>
          <w:szCs w:val="22"/>
        </w:rPr>
        <w:t>ă su</w:t>
      </w:r>
      <w:r>
        <w:rPr>
          <w:spacing w:val="-3"/>
          <w:szCs w:val="22"/>
        </w:rPr>
        <w:t>p</w:t>
      </w:r>
      <w:r>
        <w:rPr>
          <w:szCs w:val="22"/>
        </w:rPr>
        <w:t>ur</w:t>
      </w:r>
      <w:r>
        <w:rPr>
          <w:spacing w:val="-3"/>
          <w:szCs w:val="22"/>
        </w:rPr>
        <w:t>a</w:t>
      </w:r>
      <w:r>
        <w:rPr>
          <w:spacing w:val="1"/>
          <w:szCs w:val="22"/>
        </w:rPr>
        <w:t>t</w:t>
      </w:r>
      <w:r>
        <w:rPr>
          <w:spacing w:val="-2"/>
          <w:szCs w:val="22"/>
        </w:rPr>
        <w:t>i</w:t>
      </w:r>
      <w:r>
        <w:rPr>
          <w:spacing w:val="-3"/>
          <w:szCs w:val="22"/>
        </w:rPr>
        <w:t>v</w:t>
      </w:r>
      <w:r>
        <w:rPr>
          <w:szCs w:val="22"/>
        </w:rPr>
        <w:t>ă (</w:t>
      </w:r>
      <w:r>
        <w:rPr>
          <w:spacing w:val="-1"/>
          <w:szCs w:val="22"/>
        </w:rPr>
        <w:t>HS</w:t>
      </w:r>
      <w:r>
        <w:rPr>
          <w:szCs w:val="22"/>
        </w:rPr>
        <w:t>)</w:t>
      </w:r>
      <w:r>
        <w:rPr>
          <w:spacing w:val="1"/>
          <w:szCs w:val="22"/>
        </w:rPr>
        <w:t xml:space="preserve"> </w:t>
      </w:r>
      <w:r>
        <w:rPr>
          <w:spacing w:val="-4"/>
          <w:szCs w:val="22"/>
        </w:rPr>
        <w:t>m</w:t>
      </w:r>
      <w:r>
        <w:rPr>
          <w:szCs w:val="22"/>
        </w:rPr>
        <w:t>odera</w:t>
      </w:r>
      <w:r>
        <w:rPr>
          <w:spacing w:val="1"/>
          <w:szCs w:val="22"/>
        </w:rPr>
        <w:t>t</w:t>
      </w:r>
      <w:r>
        <w:rPr>
          <w:szCs w:val="22"/>
        </w:rPr>
        <w:t>ă până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3"/>
          <w:szCs w:val="22"/>
        </w:rPr>
        <w:t>v</w:t>
      </w:r>
      <w:r>
        <w:rPr>
          <w:szCs w:val="22"/>
        </w:rPr>
        <w:t>eră c</w:t>
      </w:r>
      <w:r>
        <w:rPr>
          <w:spacing w:val="-3"/>
          <w:szCs w:val="22"/>
        </w:rPr>
        <w:t>a</w:t>
      </w:r>
      <w:r>
        <w:rPr>
          <w:szCs w:val="22"/>
        </w:rPr>
        <w:t>re</w:t>
      </w:r>
      <w:r>
        <w:rPr>
          <w:spacing w:val="-2"/>
          <w:szCs w:val="22"/>
        </w:rPr>
        <w:t xml:space="preserve"> </w:t>
      </w:r>
      <w:r>
        <w:rPr>
          <w:szCs w:val="22"/>
        </w:rPr>
        <w:t>au a</w:t>
      </w:r>
      <w:r>
        <w:rPr>
          <w:spacing w:val="-3"/>
          <w:szCs w:val="22"/>
        </w:rPr>
        <w:t>v</w:t>
      </w:r>
      <w:r>
        <w:rPr>
          <w:szCs w:val="22"/>
        </w:rPr>
        <w:t>ut</w:t>
      </w:r>
      <w:r>
        <w:rPr>
          <w:spacing w:val="-2"/>
          <w:szCs w:val="22"/>
        </w:rPr>
        <w:t xml:space="preserve"> </w:t>
      </w:r>
      <w:r>
        <w:rPr>
          <w:spacing w:val="1"/>
          <w:szCs w:val="22"/>
        </w:rPr>
        <w:t>i</w:t>
      </w:r>
      <w:r>
        <w:rPr>
          <w:szCs w:val="22"/>
        </w:rPr>
        <w:t>n</w:t>
      </w:r>
      <w:r>
        <w:rPr>
          <w:spacing w:val="1"/>
          <w:szCs w:val="22"/>
        </w:rPr>
        <w:t>t</w:t>
      </w:r>
      <w:r>
        <w:rPr>
          <w:spacing w:val="-3"/>
          <w:szCs w:val="22"/>
        </w:rPr>
        <w:t>o</w:t>
      </w:r>
      <w:r>
        <w:rPr>
          <w:spacing w:val="1"/>
          <w:szCs w:val="22"/>
        </w:rPr>
        <w:t>l</w:t>
      </w:r>
      <w:r>
        <w:rPr>
          <w:spacing w:val="-3"/>
          <w:szCs w:val="22"/>
        </w:rPr>
        <w:t>e</w:t>
      </w:r>
      <w:r>
        <w:rPr>
          <w:szCs w:val="22"/>
        </w:rPr>
        <w:t>ra</w:t>
      </w:r>
      <w:r>
        <w:rPr>
          <w:spacing w:val="-3"/>
          <w:szCs w:val="22"/>
        </w:rPr>
        <w:t>n</w:t>
      </w:r>
      <w:r>
        <w:rPr>
          <w:spacing w:val="1"/>
          <w:szCs w:val="22"/>
        </w:rPr>
        <w:t>ţ</w:t>
      </w:r>
      <w:r>
        <w:rPr>
          <w:szCs w:val="22"/>
        </w:rPr>
        <w:t xml:space="preserve">ă, </w:t>
      </w:r>
      <w:r>
        <w:rPr>
          <w:spacing w:val="-3"/>
          <w:szCs w:val="22"/>
        </w:rPr>
        <w:t>a</w:t>
      </w:r>
      <w:r>
        <w:rPr>
          <w:szCs w:val="22"/>
        </w:rPr>
        <w:t>u a</w:t>
      </w:r>
      <w:r>
        <w:rPr>
          <w:spacing w:val="-3"/>
          <w:szCs w:val="22"/>
        </w:rPr>
        <w:t>v</w:t>
      </w:r>
      <w:r>
        <w:rPr>
          <w:szCs w:val="22"/>
        </w:rPr>
        <w:t>ut</w:t>
      </w:r>
      <w:r>
        <w:rPr>
          <w:spacing w:val="1"/>
          <w:szCs w:val="22"/>
        </w:rPr>
        <w:t xml:space="preserve"> </w:t>
      </w:r>
      <w:r>
        <w:rPr>
          <w:szCs w:val="22"/>
        </w:rPr>
        <w:t xml:space="preserve">o </w:t>
      </w:r>
      <w:r>
        <w:rPr>
          <w:spacing w:val="-3"/>
          <w:szCs w:val="22"/>
        </w:rPr>
        <w:t>c</w:t>
      </w:r>
      <w:r>
        <w:rPr>
          <w:szCs w:val="22"/>
        </w:rPr>
        <w:t>on</w:t>
      </w:r>
      <w:r>
        <w:rPr>
          <w:spacing w:val="-2"/>
          <w:szCs w:val="22"/>
        </w:rPr>
        <w:t>tr</w:t>
      </w:r>
      <w:r>
        <w:rPr>
          <w:szCs w:val="22"/>
        </w:rPr>
        <w:t>a</w:t>
      </w:r>
      <w:r>
        <w:rPr>
          <w:spacing w:val="1"/>
          <w:szCs w:val="22"/>
        </w:rPr>
        <w:t>i</w:t>
      </w:r>
      <w:r>
        <w:rPr>
          <w:szCs w:val="22"/>
        </w:rPr>
        <w:t>n</w:t>
      </w:r>
      <w:r>
        <w:rPr>
          <w:spacing w:val="-3"/>
          <w:szCs w:val="22"/>
        </w:rPr>
        <w:t>d</w:t>
      </w:r>
      <w:r>
        <w:rPr>
          <w:spacing w:val="1"/>
          <w:szCs w:val="22"/>
        </w:rPr>
        <w:t>i</w:t>
      </w:r>
      <w:r>
        <w:rPr>
          <w:szCs w:val="22"/>
        </w:rPr>
        <w:t>c</w:t>
      </w:r>
      <w:r>
        <w:rPr>
          <w:spacing w:val="-3"/>
          <w:szCs w:val="22"/>
        </w:rPr>
        <w:t>a</w:t>
      </w:r>
      <w:r>
        <w:rPr>
          <w:spacing w:val="1"/>
          <w:szCs w:val="22"/>
        </w:rPr>
        <w:t>ţ</w:t>
      </w:r>
      <w:r>
        <w:rPr>
          <w:spacing w:val="-2"/>
          <w:szCs w:val="22"/>
        </w:rPr>
        <w:t>i</w:t>
      </w:r>
      <w:r>
        <w:rPr>
          <w:szCs w:val="22"/>
        </w:rPr>
        <w:t>e sau</w:t>
      </w:r>
      <w:r>
        <w:rPr>
          <w:spacing w:val="-3"/>
          <w:szCs w:val="22"/>
        </w:rPr>
        <w:t xml:space="preserve"> </w:t>
      </w:r>
      <w:r>
        <w:rPr>
          <w:szCs w:val="22"/>
        </w:rPr>
        <w:t>nu au</w:t>
      </w:r>
      <w:r>
        <w:rPr>
          <w:spacing w:val="-3"/>
          <w:szCs w:val="22"/>
        </w:rPr>
        <w:t xml:space="preserve"> </w:t>
      </w:r>
      <w:r>
        <w:rPr>
          <w:szCs w:val="22"/>
        </w:rPr>
        <w:t>r</w:t>
      </w:r>
      <w:r>
        <w:rPr>
          <w:spacing w:val="-3"/>
          <w:szCs w:val="22"/>
        </w:rPr>
        <w:t>ă</w:t>
      </w:r>
      <w:r>
        <w:rPr>
          <w:szCs w:val="22"/>
        </w:rPr>
        <w:t>spu</w:t>
      </w:r>
      <w:r>
        <w:rPr>
          <w:spacing w:val="-3"/>
          <w:szCs w:val="22"/>
        </w:rPr>
        <w:t>n</w:t>
      </w:r>
      <w:r>
        <w:rPr>
          <w:szCs w:val="22"/>
        </w:rPr>
        <w:t>s co</w:t>
      </w:r>
      <w:r>
        <w:rPr>
          <w:spacing w:val="-2"/>
          <w:szCs w:val="22"/>
        </w:rPr>
        <w:t>r</w:t>
      </w:r>
      <w:r>
        <w:rPr>
          <w:szCs w:val="22"/>
        </w:rPr>
        <w:t>espun</w:t>
      </w:r>
      <w:r>
        <w:rPr>
          <w:spacing w:val="-3"/>
          <w:szCs w:val="22"/>
        </w:rPr>
        <w:t>ză</w:t>
      </w:r>
      <w:r>
        <w:rPr>
          <w:spacing w:val="1"/>
          <w:szCs w:val="22"/>
        </w:rPr>
        <w:t>t</w:t>
      </w:r>
      <w:r>
        <w:rPr>
          <w:szCs w:val="22"/>
        </w:rPr>
        <w:t xml:space="preserve">or după o </w:t>
      </w:r>
      <w:r>
        <w:rPr>
          <w:spacing w:val="-3"/>
          <w:szCs w:val="22"/>
        </w:rPr>
        <w:t>p</w:t>
      </w:r>
      <w:r>
        <w:rPr>
          <w:szCs w:val="22"/>
        </w:rPr>
        <w:t>e</w:t>
      </w:r>
      <w:r>
        <w:rPr>
          <w:spacing w:val="-2"/>
          <w:szCs w:val="22"/>
        </w:rPr>
        <w:t>r</w:t>
      </w:r>
      <w:r>
        <w:rPr>
          <w:spacing w:val="1"/>
          <w:szCs w:val="22"/>
        </w:rPr>
        <w:t>i</w:t>
      </w:r>
      <w:r>
        <w:rPr>
          <w:szCs w:val="22"/>
        </w:rPr>
        <w:t>oadă</w:t>
      </w:r>
      <w:r>
        <w:rPr>
          <w:spacing w:val="-2"/>
          <w:szCs w:val="22"/>
        </w:rPr>
        <w:t xml:space="preserve"> </w:t>
      </w:r>
      <w:r>
        <w:rPr>
          <w:szCs w:val="22"/>
        </w:rPr>
        <w:t xml:space="preserve">de </w:t>
      </w:r>
      <w:r>
        <w:rPr>
          <w:spacing w:val="-3"/>
          <w:szCs w:val="22"/>
        </w:rPr>
        <w:t>c</w:t>
      </w:r>
      <w:r>
        <w:rPr>
          <w:szCs w:val="22"/>
        </w:rPr>
        <w:t>el</w:t>
      </w:r>
      <w:r>
        <w:rPr>
          <w:spacing w:val="1"/>
          <w:szCs w:val="22"/>
        </w:rPr>
        <w:t xml:space="preserve"> </w:t>
      </w:r>
      <w:r>
        <w:rPr>
          <w:spacing w:val="-3"/>
          <w:szCs w:val="22"/>
        </w:rPr>
        <w:t>p</w:t>
      </w:r>
      <w:r>
        <w:rPr>
          <w:szCs w:val="22"/>
        </w:rPr>
        <w:t>u</w:t>
      </w:r>
      <w:r>
        <w:rPr>
          <w:spacing w:val="-2"/>
          <w:szCs w:val="22"/>
        </w:rPr>
        <w:t>ţi</w:t>
      </w:r>
      <w:r>
        <w:rPr>
          <w:szCs w:val="22"/>
        </w:rPr>
        <w:t xml:space="preserve">n 3 </w:t>
      </w:r>
      <w:r>
        <w:rPr>
          <w:spacing w:val="1"/>
          <w:szCs w:val="22"/>
        </w:rPr>
        <w:t>l</w:t>
      </w:r>
      <w:r>
        <w:rPr>
          <w:szCs w:val="22"/>
        </w:rPr>
        <w:t>u</w:t>
      </w:r>
      <w:r>
        <w:rPr>
          <w:spacing w:val="-3"/>
          <w:szCs w:val="22"/>
        </w:rPr>
        <w:t>n</w:t>
      </w:r>
      <w:r>
        <w:rPr>
          <w:szCs w:val="22"/>
        </w:rPr>
        <w:t>i</w:t>
      </w:r>
      <w:r>
        <w:rPr>
          <w:spacing w:val="1"/>
          <w:szCs w:val="22"/>
        </w:rPr>
        <w:t xml:space="preserve"> </w:t>
      </w:r>
      <w:r>
        <w:rPr>
          <w:szCs w:val="22"/>
        </w:rPr>
        <w:t>de</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ent</w:t>
      </w:r>
      <w:r>
        <w:rPr>
          <w:spacing w:val="1"/>
          <w:szCs w:val="22"/>
        </w:rPr>
        <w:t xml:space="preserve"> </w:t>
      </w:r>
      <w:r>
        <w:rPr>
          <w:szCs w:val="22"/>
        </w:rPr>
        <w:t>s</w:t>
      </w:r>
      <w:r>
        <w:rPr>
          <w:spacing w:val="-2"/>
          <w:szCs w:val="22"/>
        </w:rPr>
        <w:t>i</w:t>
      </w:r>
      <w:r>
        <w:rPr>
          <w:szCs w:val="22"/>
        </w:rPr>
        <w:t>s</w:t>
      </w:r>
      <w:r>
        <w:rPr>
          <w:spacing w:val="1"/>
          <w:szCs w:val="22"/>
        </w:rPr>
        <w:t>t</w:t>
      </w:r>
      <w:r>
        <w:rPr>
          <w:szCs w:val="22"/>
        </w:rPr>
        <w:t>e</w:t>
      </w:r>
      <w:r>
        <w:rPr>
          <w:spacing w:val="-4"/>
          <w:szCs w:val="22"/>
        </w:rPr>
        <w:t>m</w:t>
      </w:r>
      <w:r>
        <w:rPr>
          <w:spacing w:val="1"/>
          <w:szCs w:val="22"/>
        </w:rPr>
        <w:t>i</w:t>
      </w:r>
      <w:r>
        <w:rPr>
          <w:szCs w:val="22"/>
        </w:rPr>
        <w:t>c cu</w:t>
      </w:r>
      <w:r>
        <w:rPr>
          <w:spacing w:val="-3"/>
          <w:szCs w:val="22"/>
        </w:rPr>
        <w:t xml:space="preserve"> </w:t>
      </w:r>
      <w:r>
        <w:rPr>
          <w:szCs w:val="22"/>
        </w:rPr>
        <w:t>an</w:t>
      </w:r>
      <w:r>
        <w:rPr>
          <w:spacing w:val="-2"/>
          <w:szCs w:val="22"/>
        </w:rPr>
        <w:t>t</w:t>
      </w:r>
      <w:r>
        <w:rPr>
          <w:spacing w:val="1"/>
          <w:szCs w:val="22"/>
        </w:rPr>
        <w:t>i</w:t>
      </w:r>
      <w:r>
        <w:rPr>
          <w:spacing w:val="-3"/>
          <w:szCs w:val="22"/>
        </w:rPr>
        <w:t>b</w:t>
      </w:r>
      <w:r>
        <w:rPr>
          <w:spacing w:val="1"/>
          <w:szCs w:val="22"/>
        </w:rPr>
        <w:t>i</w:t>
      </w:r>
      <w:r>
        <w:rPr>
          <w:szCs w:val="22"/>
        </w:rPr>
        <w:t>o</w:t>
      </w:r>
      <w:r>
        <w:rPr>
          <w:spacing w:val="-2"/>
          <w:szCs w:val="22"/>
        </w:rPr>
        <w:t>t</w:t>
      </w:r>
      <w:r>
        <w:rPr>
          <w:spacing w:val="1"/>
          <w:szCs w:val="22"/>
        </w:rPr>
        <w:t>i</w:t>
      </w:r>
      <w:r>
        <w:rPr>
          <w:szCs w:val="22"/>
        </w:rPr>
        <w:t>ce.</w:t>
      </w:r>
      <w:r>
        <w:rPr>
          <w:spacing w:val="-3"/>
          <w:szCs w:val="22"/>
        </w:rPr>
        <w:t xml:space="preserve"> </w:t>
      </w:r>
      <w:r>
        <w:rPr>
          <w:spacing w:val="-1"/>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ud</w:t>
      </w:r>
      <w:r>
        <w:rPr>
          <w:spacing w:val="-2"/>
          <w:szCs w:val="22"/>
        </w:rPr>
        <w:t>i</w:t>
      </w:r>
      <w:r>
        <w:rPr>
          <w:spacing w:val="1"/>
          <w:szCs w:val="22"/>
        </w:rPr>
        <w:t>i</w:t>
      </w:r>
      <w:r>
        <w:rPr>
          <w:spacing w:val="-2"/>
          <w:szCs w:val="22"/>
        </w:rPr>
        <w:t>l</w:t>
      </w:r>
      <w:r>
        <w:rPr>
          <w:szCs w:val="22"/>
        </w:rPr>
        <w:t xml:space="preserve">e </w:t>
      </w:r>
      <w:r>
        <w:rPr>
          <w:spacing w:val="-1"/>
          <w:szCs w:val="22"/>
        </w:rPr>
        <w:t>HS</w:t>
      </w:r>
      <w:r>
        <w:rPr>
          <w:spacing w:val="-2"/>
          <w:szCs w:val="22"/>
        </w:rPr>
        <w:t>-</w:t>
      </w:r>
      <w:r>
        <w:rPr>
          <w:szCs w:val="22"/>
        </w:rPr>
        <w:t>I</w:t>
      </w:r>
      <w:r>
        <w:rPr>
          <w:spacing w:val="-4"/>
          <w:szCs w:val="22"/>
        </w:rPr>
        <w:t xml:space="preserve"> </w:t>
      </w:r>
      <w:r>
        <w:rPr>
          <w:szCs w:val="22"/>
        </w:rPr>
        <w:t xml:space="preserve">şi </w:t>
      </w:r>
      <w:r>
        <w:rPr>
          <w:spacing w:val="-2"/>
          <w:szCs w:val="22"/>
        </w:rPr>
        <w:t>H</w:t>
      </w:r>
      <w:r>
        <w:rPr>
          <w:spacing w:val="2"/>
          <w:szCs w:val="22"/>
        </w:rPr>
        <w:t>S</w:t>
      </w:r>
      <w:r>
        <w:rPr>
          <w:spacing w:val="-2"/>
          <w:szCs w:val="22"/>
        </w:rPr>
        <w:t>-I</w:t>
      </w:r>
      <w:r>
        <w:rPr>
          <w:szCs w:val="22"/>
        </w:rPr>
        <w:t>I</w:t>
      </w:r>
      <w:r>
        <w:rPr>
          <w:spacing w:val="-2"/>
          <w:szCs w:val="22"/>
        </w:rPr>
        <w:t xml:space="preserve"> </w:t>
      </w:r>
      <w:r>
        <w:rPr>
          <w:szCs w:val="22"/>
        </w:rPr>
        <w:t>au a</w:t>
      </w:r>
      <w:r>
        <w:rPr>
          <w:spacing w:val="-3"/>
          <w:szCs w:val="22"/>
        </w:rPr>
        <w:t>v</w:t>
      </w:r>
      <w:r>
        <w:rPr>
          <w:szCs w:val="22"/>
        </w:rPr>
        <w:t>ut</w:t>
      </w:r>
      <w:r>
        <w:rPr>
          <w:spacing w:val="1"/>
          <w:szCs w:val="22"/>
        </w:rPr>
        <w:t xml:space="preserve"> </w:t>
      </w:r>
      <w:r>
        <w:rPr>
          <w:spacing w:val="-1"/>
          <w:szCs w:val="22"/>
        </w:rPr>
        <w:t>S</w:t>
      </w:r>
      <w:r>
        <w:rPr>
          <w:spacing w:val="1"/>
          <w:szCs w:val="22"/>
        </w:rPr>
        <w:t>t</w:t>
      </w:r>
      <w:r>
        <w:rPr>
          <w:szCs w:val="22"/>
        </w:rPr>
        <w:t>a</w:t>
      </w:r>
      <w:r>
        <w:rPr>
          <w:spacing w:val="-3"/>
          <w:szCs w:val="22"/>
        </w:rPr>
        <w:t>d</w:t>
      </w:r>
      <w:r>
        <w:rPr>
          <w:spacing w:val="1"/>
          <w:szCs w:val="22"/>
        </w:rPr>
        <w:t>i</w:t>
      </w:r>
      <w:r>
        <w:rPr>
          <w:szCs w:val="22"/>
        </w:rPr>
        <w:t>ul</w:t>
      </w:r>
      <w:r>
        <w:rPr>
          <w:spacing w:val="1"/>
          <w:szCs w:val="22"/>
        </w:rPr>
        <w:t xml:space="preserve"> </w:t>
      </w:r>
      <w:r>
        <w:rPr>
          <w:spacing w:val="-2"/>
          <w:szCs w:val="22"/>
        </w:rPr>
        <w:t>I</w:t>
      </w:r>
      <w:r>
        <w:rPr>
          <w:szCs w:val="22"/>
        </w:rPr>
        <w:t>I</w:t>
      </w:r>
      <w:r>
        <w:rPr>
          <w:spacing w:val="-4"/>
          <w:szCs w:val="22"/>
        </w:rPr>
        <w:t xml:space="preserve"> </w:t>
      </w:r>
      <w:r>
        <w:rPr>
          <w:szCs w:val="22"/>
        </w:rPr>
        <w:t xml:space="preserve">sau </w:t>
      </w:r>
      <w:r>
        <w:rPr>
          <w:spacing w:val="-2"/>
          <w:szCs w:val="22"/>
        </w:rPr>
        <w:t>II</w:t>
      </w:r>
      <w:r>
        <w:rPr>
          <w:szCs w:val="22"/>
        </w:rPr>
        <w:t>I</w:t>
      </w:r>
      <w:r>
        <w:rPr>
          <w:spacing w:val="1"/>
          <w:szCs w:val="22"/>
        </w:rPr>
        <w:t xml:space="preserve"> </w:t>
      </w:r>
      <w:r>
        <w:rPr>
          <w:spacing w:val="-1"/>
          <w:szCs w:val="22"/>
        </w:rPr>
        <w:t>H</w:t>
      </w:r>
      <w:r>
        <w:rPr>
          <w:szCs w:val="22"/>
        </w:rPr>
        <w:t>ur</w:t>
      </w:r>
      <w:r>
        <w:rPr>
          <w:spacing w:val="1"/>
          <w:szCs w:val="22"/>
        </w:rPr>
        <w:t>l</w:t>
      </w:r>
      <w:r>
        <w:rPr>
          <w:szCs w:val="22"/>
        </w:rPr>
        <w:t>ey</w:t>
      </w:r>
      <w:r>
        <w:rPr>
          <w:spacing w:val="-3"/>
          <w:szCs w:val="22"/>
        </w:rPr>
        <w:t xml:space="preserve"> </w:t>
      </w:r>
      <w:r>
        <w:rPr>
          <w:szCs w:val="22"/>
        </w:rPr>
        <w:t>de bo</w:t>
      </w:r>
      <w:r>
        <w:rPr>
          <w:spacing w:val="-3"/>
          <w:szCs w:val="22"/>
        </w:rPr>
        <w:t>a</w:t>
      </w:r>
      <w:r>
        <w:rPr>
          <w:spacing w:val="1"/>
          <w:szCs w:val="22"/>
        </w:rPr>
        <w:t>l</w:t>
      </w:r>
      <w:r>
        <w:rPr>
          <w:szCs w:val="22"/>
        </w:rPr>
        <w:t xml:space="preserve">ă </w:t>
      </w:r>
      <w:r>
        <w:rPr>
          <w:spacing w:val="-3"/>
          <w:szCs w:val="22"/>
        </w:rPr>
        <w:t>c</w:t>
      </w:r>
      <w:r>
        <w:rPr>
          <w:szCs w:val="22"/>
        </w:rPr>
        <w:t>u c</w:t>
      </w:r>
      <w:r>
        <w:rPr>
          <w:spacing w:val="-3"/>
          <w:szCs w:val="22"/>
        </w:rPr>
        <w:t>e</w:t>
      </w:r>
      <w:r>
        <w:rPr>
          <w:szCs w:val="22"/>
        </w:rPr>
        <w:t>l</w:t>
      </w:r>
      <w:r>
        <w:rPr>
          <w:spacing w:val="-2"/>
          <w:szCs w:val="22"/>
        </w:rPr>
        <w:t xml:space="preserve"> </w:t>
      </w:r>
      <w:r>
        <w:rPr>
          <w:szCs w:val="22"/>
        </w:rPr>
        <w:t>pu</w:t>
      </w:r>
      <w:r>
        <w:rPr>
          <w:spacing w:val="1"/>
          <w:szCs w:val="22"/>
        </w:rPr>
        <w:t>ţ</w:t>
      </w:r>
      <w:r>
        <w:rPr>
          <w:spacing w:val="-2"/>
          <w:szCs w:val="22"/>
        </w:rPr>
        <w:t>i</w:t>
      </w:r>
      <w:r>
        <w:rPr>
          <w:szCs w:val="22"/>
        </w:rPr>
        <w:t>n 3 a</w:t>
      </w:r>
      <w:r>
        <w:rPr>
          <w:spacing w:val="-3"/>
          <w:szCs w:val="22"/>
        </w:rPr>
        <w:t>b</w:t>
      </w:r>
      <w:r>
        <w:rPr>
          <w:szCs w:val="22"/>
        </w:rPr>
        <w:t>ce</w:t>
      </w:r>
      <w:r>
        <w:rPr>
          <w:spacing w:val="-2"/>
          <w:szCs w:val="22"/>
        </w:rPr>
        <w:t>s</w:t>
      </w:r>
      <w:r>
        <w:rPr>
          <w:szCs w:val="22"/>
        </w:rPr>
        <w:t>e sau</w:t>
      </w:r>
      <w:r>
        <w:rPr>
          <w:spacing w:val="-3"/>
          <w:szCs w:val="22"/>
        </w:rPr>
        <w:t xml:space="preserve"> </w:t>
      </w:r>
      <w:r>
        <w:rPr>
          <w:szCs w:val="22"/>
        </w:rPr>
        <w:t>nod</w:t>
      </w:r>
      <w:r>
        <w:rPr>
          <w:spacing w:val="-3"/>
          <w:szCs w:val="22"/>
        </w:rPr>
        <w:t>u</w:t>
      </w:r>
      <w:r>
        <w:rPr>
          <w:spacing w:val="1"/>
          <w:szCs w:val="22"/>
        </w:rPr>
        <w:t>l</w:t>
      </w:r>
      <w:r>
        <w:rPr>
          <w:szCs w:val="22"/>
        </w:rPr>
        <w:t>i</w:t>
      </w:r>
      <w:r>
        <w:rPr>
          <w:spacing w:val="-2"/>
          <w:szCs w:val="22"/>
        </w:rPr>
        <w:t xml:space="preserve"> </w:t>
      </w:r>
      <w:r>
        <w:rPr>
          <w:spacing w:val="1"/>
          <w:szCs w:val="22"/>
        </w:rPr>
        <w:t>i</w:t>
      </w:r>
      <w:r>
        <w:rPr>
          <w:spacing w:val="-3"/>
          <w:szCs w:val="22"/>
        </w:rPr>
        <w:t>n</w:t>
      </w:r>
      <w:r>
        <w:rPr>
          <w:szCs w:val="22"/>
        </w:rPr>
        <w:t>f</w:t>
      </w:r>
      <w:r>
        <w:rPr>
          <w:spacing w:val="1"/>
          <w:szCs w:val="22"/>
        </w:rPr>
        <w:t>l</w:t>
      </w:r>
      <w:r>
        <w:rPr>
          <w:szCs w:val="22"/>
        </w:rPr>
        <w:t>a</w:t>
      </w:r>
      <w:r>
        <w:rPr>
          <w:spacing w:val="-5"/>
          <w:szCs w:val="22"/>
        </w:rPr>
        <w:t>m</w:t>
      </w:r>
      <w:r>
        <w:rPr>
          <w:szCs w:val="22"/>
        </w:rPr>
        <w:t>a</w:t>
      </w:r>
      <w:r>
        <w:rPr>
          <w:spacing w:val="1"/>
          <w:szCs w:val="22"/>
        </w:rPr>
        <w:t>t</w:t>
      </w:r>
      <w:r>
        <w:rPr>
          <w:szCs w:val="22"/>
        </w:rPr>
        <w:t>o</w:t>
      </w:r>
      <w:r>
        <w:rPr>
          <w:spacing w:val="-2"/>
          <w:szCs w:val="22"/>
        </w:rPr>
        <w:t>r</w:t>
      </w:r>
      <w:r>
        <w:rPr>
          <w:spacing w:val="1"/>
          <w:szCs w:val="22"/>
        </w:rPr>
        <w:t>i</w:t>
      </w:r>
      <w:r>
        <w:rPr>
          <w:szCs w:val="22"/>
        </w:rPr>
        <w:t>.</w:t>
      </w:r>
    </w:p>
    <w:p w14:paraId="20B52EB6" w14:textId="77777777" w:rsidR="00C04CAD" w:rsidRDefault="00C04CAD">
      <w:pPr>
        <w:tabs>
          <w:tab w:val="clear" w:pos="567"/>
        </w:tabs>
        <w:kinsoku w:val="0"/>
        <w:overflowPunct w:val="0"/>
        <w:autoSpaceDE w:val="0"/>
        <w:autoSpaceDN w:val="0"/>
        <w:adjustRightInd w:val="0"/>
        <w:spacing w:line="240" w:lineRule="auto"/>
        <w:rPr>
          <w:szCs w:val="22"/>
        </w:rPr>
      </w:pPr>
    </w:p>
    <w:p w14:paraId="61CDB8E2"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2"/>
          <w:szCs w:val="22"/>
        </w:rPr>
        <w:t>H</w:t>
      </w:r>
      <w:r>
        <w:rPr>
          <w:spacing w:val="-1"/>
          <w:szCs w:val="22"/>
        </w:rPr>
        <w:t>S</w:t>
      </w:r>
      <w:r>
        <w:rPr>
          <w:spacing w:val="-2"/>
          <w:szCs w:val="22"/>
        </w:rPr>
        <w:t>-</w:t>
      </w:r>
      <w:r>
        <w:rPr>
          <w:szCs w:val="22"/>
        </w:rPr>
        <w:t>I</w:t>
      </w:r>
      <w:r>
        <w:rPr>
          <w:spacing w:val="-4"/>
          <w:szCs w:val="22"/>
        </w:rPr>
        <w:t xml:space="preserve"> </w:t>
      </w:r>
      <w:r>
        <w:rPr>
          <w:szCs w:val="22"/>
        </w:rPr>
        <w:t>(</w:t>
      </w:r>
      <w:r>
        <w:rPr>
          <w:spacing w:val="2"/>
          <w:szCs w:val="22"/>
        </w:rPr>
        <w:t>P</w:t>
      </w:r>
      <w:r>
        <w:rPr>
          <w:spacing w:val="-4"/>
          <w:szCs w:val="22"/>
        </w:rPr>
        <w:t>I</w:t>
      </w:r>
      <w:r>
        <w:rPr>
          <w:spacing w:val="-1"/>
          <w:szCs w:val="22"/>
        </w:rPr>
        <w:t>ONE</w:t>
      </w:r>
      <w:r>
        <w:rPr>
          <w:spacing w:val="1"/>
          <w:szCs w:val="22"/>
        </w:rPr>
        <w:t>E</w:t>
      </w:r>
      <w:r>
        <w:rPr>
          <w:szCs w:val="22"/>
        </w:rPr>
        <w:t>R</w:t>
      </w:r>
      <w:r>
        <w:rPr>
          <w:spacing w:val="1"/>
          <w:szCs w:val="22"/>
        </w:rPr>
        <w:t xml:space="preserve"> </w:t>
      </w:r>
      <w:r>
        <w:rPr>
          <w:spacing w:val="-4"/>
          <w:szCs w:val="22"/>
        </w:rPr>
        <w:t>I</w:t>
      </w:r>
      <w:r>
        <w:rPr>
          <w:szCs w:val="22"/>
        </w:rPr>
        <w:t>)</w:t>
      </w:r>
      <w:r>
        <w:rPr>
          <w:spacing w:val="1"/>
          <w:szCs w:val="22"/>
        </w:rPr>
        <w:t xml:space="preserve"> </w:t>
      </w:r>
      <w:r>
        <w:rPr>
          <w:szCs w:val="22"/>
        </w:rPr>
        <w:t>a e</w:t>
      </w:r>
      <w:r>
        <w:rPr>
          <w:spacing w:val="-3"/>
          <w:szCs w:val="22"/>
        </w:rPr>
        <w:t>v</w:t>
      </w:r>
      <w:r>
        <w:rPr>
          <w:szCs w:val="22"/>
        </w:rPr>
        <w:t>a</w:t>
      </w:r>
      <w:r>
        <w:rPr>
          <w:spacing w:val="1"/>
          <w:szCs w:val="22"/>
        </w:rPr>
        <w:t>l</w:t>
      </w:r>
      <w:r>
        <w:rPr>
          <w:szCs w:val="22"/>
        </w:rPr>
        <w:t>u</w:t>
      </w:r>
      <w:r>
        <w:rPr>
          <w:spacing w:val="-3"/>
          <w:szCs w:val="22"/>
        </w:rPr>
        <w:t>a</w:t>
      </w:r>
      <w:r>
        <w:rPr>
          <w:szCs w:val="22"/>
        </w:rPr>
        <w:t>t</w:t>
      </w:r>
      <w:r>
        <w:rPr>
          <w:spacing w:val="1"/>
          <w:szCs w:val="22"/>
        </w:rPr>
        <w:t xml:space="preserve"> </w:t>
      </w:r>
      <w:r>
        <w:rPr>
          <w:szCs w:val="22"/>
        </w:rPr>
        <w:t xml:space="preserve">307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ț</w:t>
      </w:r>
      <w:r>
        <w:rPr>
          <w:szCs w:val="22"/>
        </w:rPr>
        <w:t>i</w:t>
      </w:r>
      <w:r>
        <w:rPr>
          <w:spacing w:val="-2"/>
          <w:szCs w:val="22"/>
        </w:rPr>
        <w:t xml:space="preserve"> </w:t>
      </w:r>
      <w:r>
        <w:rPr>
          <w:spacing w:val="1"/>
          <w:szCs w:val="22"/>
        </w:rPr>
        <w:t>î</w:t>
      </w:r>
      <w:r>
        <w:rPr>
          <w:szCs w:val="22"/>
        </w:rPr>
        <w:t>n 2</w:t>
      </w:r>
      <w:r>
        <w:rPr>
          <w:spacing w:val="-3"/>
          <w:szCs w:val="22"/>
        </w:rPr>
        <w:t xml:space="preserve"> </w:t>
      </w:r>
      <w:r>
        <w:rPr>
          <w:szCs w:val="22"/>
        </w:rPr>
        <w:t>per</w:t>
      </w:r>
      <w:r>
        <w:rPr>
          <w:spacing w:val="-2"/>
          <w:szCs w:val="22"/>
        </w:rPr>
        <w:t>i</w:t>
      </w:r>
      <w:r>
        <w:rPr>
          <w:szCs w:val="22"/>
        </w:rPr>
        <w:t>oade</w:t>
      </w:r>
      <w:r>
        <w:rPr>
          <w:spacing w:val="-2"/>
          <w:szCs w:val="22"/>
        </w:rPr>
        <w:t xml:space="preserve"> </w:t>
      </w:r>
      <w:r>
        <w:rPr>
          <w:szCs w:val="22"/>
        </w:rPr>
        <w:t>de</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xml:space="preserve">. </w:t>
      </w:r>
      <w:r>
        <w:rPr>
          <w:spacing w:val="-4"/>
          <w:szCs w:val="22"/>
        </w:rPr>
        <w:t>Î</w:t>
      </w:r>
      <w:r>
        <w:rPr>
          <w:szCs w:val="22"/>
        </w:rPr>
        <w:t xml:space="preserve">n </w:t>
      </w:r>
      <w:r>
        <w:rPr>
          <w:spacing w:val="-1"/>
          <w:szCs w:val="22"/>
        </w:rPr>
        <w:t>P</w:t>
      </w:r>
      <w:r>
        <w:rPr>
          <w:szCs w:val="22"/>
        </w:rPr>
        <w:t>er</w:t>
      </w:r>
      <w:r>
        <w:rPr>
          <w:spacing w:val="1"/>
          <w:szCs w:val="22"/>
        </w:rPr>
        <w:t>i</w:t>
      </w:r>
      <w:r>
        <w:rPr>
          <w:spacing w:val="-3"/>
          <w:szCs w:val="22"/>
        </w:rPr>
        <w:t>o</w:t>
      </w:r>
      <w:r>
        <w:rPr>
          <w:szCs w:val="22"/>
        </w:rPr>
        <w:t xml:space="preserve">ada </w:t>
      </w:r>
      <w:r>
        <w:rPr>
          <w:spacing w:val="-1"/>
          <w:szCs w:val="22"/>
        </w:rPr>
        <w:t>A</w:t>
      </w:r>
      <w:r>
        <w:rPr>
          <w:szCs w:val="22"/>
        </w:rPr>
        <w:t xml:space="preserve">, </w:t>
      </w:r>
      <w:r>
        <w:rPr>
          <w:spacing w:val="-3"/>
          <w:szCs w:val="22"/>
        </w:rPr>
        <w:t>p</w:t>
      </w:r>
      <w:r>
        <w:rPr>
          <w:szCs w:val="22"/>
        </w:rPr>
        <w:t>a</w:t>
      </w:r>
      <w:r>
        <w:rPr>
          <w:spacing w:val="-3"/>
          <w:szCs w:val="22"/>
        </w:rPr>
        <w:t>c</w:t>
      </w:r>
      <w:r>
        <w:rPr>
          <w:spacing w:val="1"/>
          <w:szCs w:val="22"/>
        </w:rPr>
        <w:t>i</w:t>
      </w:r>
      <w:r>
        <w:rPr>
          <w:szCs w:val="22"/>
        </w:rPr>
        <w:t>e</w:t>
      </w:r>
      <w:r>
        <w:rPr>
          <w:spacing w:val="-3"/>
          <w:szCs w:val="22"/>
        </w:rPr>
        <w:t>n</w:t>
      </w:r>
      <w:r>
        <w:rPr>
          <w:szCs w:val="22"/>
        </w:rPr>
        <w:t>ţ</w:t>
      </w:r>
      <w:r>
        <w:rPr>
          <w:spacing w:val="-2"/>
          <w:szCs w:val="22"/>
        </w:rPr>
        <w:t xml:space="preserve">ii </w:t>
      </w:r>
      <w:r>
        <w:rPr>
          <w:szCs w:val="22"/>
        </w:rPr>
        <w:t>au 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zCs w:val="22"/>
        </w:rPr>
        <w:t>p</w:t>
      </w:r>
      <w:r>
        <w:rPr>
          <w:spacing w:val="1"/>
          <w:szCs w:val="22"/>
        </w:rPr>
        <w:t>l</w:t>
      </w:r>
      <w:r>
        <w:rPr>
          <w:spacing w:val="-3"/>
          <w:szCs w:val="22"/>
        </w:rPr>
        <w:t>a</w:t>
      </w:r>
      <w:r>
        <w:rPr>
          <w:szCs w:val="22"/>
        </w:rPr>
        <w:t>cebo</w:t>
      </w:r>
      <w:r>
        <w:rPr>
          <w:spacing w:val="-3"/>
          <w:szCs w:val="22"/>
        </w:rPr>
        <w:t xml:space="preserve"> </w:t>
      </w:r>
      <w:r>
        <w:rPr>
          <w:szCs w:val="22"/>
        </w:rPr>
        <w:t xml:space="preserve">sau </w:t>
      </w:r>
      <w:r>
        <w:rPr>
          <w:rFonts w:eastAsia="MS Mincho"/>
          <w:spacing w:val="-1"/>
          <w:szCs w:val="22"/>
          <w:lang w:eastAsia="en-US" w:bidi="ar-SA"/>
        </w:rPr>
        <w:t>adalimumab</w:t>
      </w:r>
      <w:r>
        <w:rPr>
          <w:szCs w:val="22"/>
        </w:rPr>
        <w:t xml:space="preserve"> </w:t>
      </w:r>
      <w:r>
        <w:rPr>
          <w:spacing w:val="-2"/>
          <w:szCs w:val="22"/>
        </w:rPr>
        <w:t>l</w:t>
      </w:r>
      <w:r>
        <w:rPr>
          <w:szCs w:val="22"/>
        </w:rPr>
        <w:t>a o do</w:t>
      </w:r>
      <w:r>
        <w:rPr>
          <w:spacing w:val="-3"/>
          <w:szCs w:val="22"/>
        </w:rPr>
        <w:t>z</w:t>
      </w:r>
      <w:r>
        <w:rPr>
          <w:szCs w:val="22"/>
        </w:rPr>
        <w:t>ă</w:t>
      </w:r>
      <w:r>
        <w:rPr>
          <w:spacing w:val="-2"/>
          <w:szCs w:val="22"/>
        </w:rPr>
        <w:t xml:space="preserve"> </w:t>
      </w:r>
      <w:r>
        <w:rPr>
          <w:spacing w:val="1"/>
          <w:szCs w:val="22"/>
        </w:rPr>
        <w:t>i</w:t>
      </w:r>
      <w:r>
        <w:rPr>
          <w:szCs w:val="22"/>
        </w:rPr>
        <w:t>n</w:t>
      </w:r>
      <w:r>
        <w:rPr>
          <w:spacing w:val="-2"/>
          <w:szCs w:val="22"/>
        </w:rPr>
        <w:t>i</w:t>
      </w:r>
      <w:r>
        <w:rPr>
          <w:spacing w:val="1"/>
          <w:szCs w:val="22"/>
        </w:rPr>
        <w:t>ț</w:t>
      </w:r>
      <w:r>
        <w:rPr>
          <w:spacing w:val="-2"/>
          <w:szCs w:val="22"/>
        </w:rPr>
        <w:t>i</w:t>
      </w:r>
      <w:r>
        <w:rPr>
          <w:szCs w:val="22"/>
        </w:rPr>
        <w:t>a</w:t>
      </w:r>
      <w:r>
        <w:rPr>
          <w:spacing w:val="1"/>
          <w:szCs w:val="22"/>
        </w:rPr>
        <w:t>l</w:t>
      </w:r>
      <w:r>
        <w:rPr>
          <w:szCs w:val="22"/>
        </w:rPr>
        <w:t>ă</w:t>
      </w:r>
      <w:r>
        <w:rPr>
          <w:spacing w:val="-2"/>
          <w:szCs w:val="22"/>
        </w:rPr>
        <w:t xml:space="preserve"> </w:t>
      </w:r>
      <w:r>
        <w:rPr>
          <w:szCs w:val="22"/>
        </w:rPr>
        <w:t>de 160</w:t>
      </w:r>
      <w:r>
        <w:rPr>
          <w:spacing w:val="-5"/>
          <w:szCs w:val="22"/>
        </w:rPr>
        <w:t>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0, 80 </w:t>
      </w:r>
      <w:r>
        <w:rPr>
          <w:spacing w:val="-4"/>
          <w:szCs w:val="22"/>
        </w:rPr>
        <w:t>m</w:t>
      </w:r>
      <w:r>
        <w:rPr>
          <w:szCs w:val="22"/>
        </w:rPr>
        <w:t xml:space="preserve">g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w:t>
      </w:r>
      <w:r>
        <w:rPr>
          <w:spacing w:val="-2"/>
          <w:szCs w:val="22"/>
        </w:rPr>
        <w:t>ș</w:t>
      </w:r>
      <w:r>
        <w:rPr>
          <w:szCs w:val="22"/>
        </w:rPr>
        <w:t>i 40 </w:t>
      </w:r>
      <w:r>
        <w:rPr>
          <w:spacing w:val="-2"/>
          <w:szCs w:val="22"/>
        </w:rPr>
        <w:t>m</w:t>
      </w:r>
      <w:r>
        <w:rPr>
          <w:szCs w:val="22"/>
        </w:rPr>
        <w:t>g</w:t>
      </w:r>
      <w:r>
        <w:rPr>
          <w:spacing w:val="-3"/>
          <w:szCs w:val="22"/>
        </w:rPr>
        <w:t xml:space="preserve"> </w:t>
      </w:r>
      <w:r>
        <w:rPr>
          <w:spacing w:val="1"/>
          <w:szCs w:val="22"/>
        </w:rPr>
        <w:t>î</w:t>
      </w:r>
      <w:r>
        <w:rPr>
          <w:szCs w:val="22"/>
        </w:rPr>
        <w:t>n f</w:t>
      </w:r>
      <w:r>
        <w:rPr>
          <w:spacing w:val="1"/>
          <w:szCs w:val="22"/>
        </w:rPr>
        <w:t>i</w:t>
      </w:r>
      <w:r>
        <w:rPr>
          <w:spacing w:val="-3"/>
          <w:szCs w:val="22"/>
        </w:rPr>
        <w:t>e</w:t>
      </w:r>
      <w:r>
        <w:rPr>
          <w:szCs w:val="22"/>
        </w:rPr>
        <w:t>ca</w:t>
      </w:r>
      <w:r>
        <w:rPr>
          <w:spacing w:val="-2"/>
          <w:szCs w:val="22"/>
        </w:rPr>
        <w:t>r</w:t>
      </w:r>
      <w:r>
        <w:rPr>
          <w:szCs w:val="22"/>
        </w:rPr>
        <w:t>e s</w:t>
      </w:r>
      <w:r>
        <w:rPr>
          <w:spacing w:val="-3"/>
          <w:szCs w:val="22"/>
        </w:rPr>
        <w:t>ă</w:t>
      </w:r>
      <w:r>
        <w:rPr>
          <w:szCs w:val="22"/>
        </w:rPr>
        <w:t>p</w:t>
      </w:r>
      <w:r>
        <w:rPr>
          <w:spacing w:val="1"/>
          <w:szCs w:val="22"/>
        </w:rPr>
        <w:t>t</w:t>
      </w:r>
      <w:r>
        <w:rPr>
          <w:szCs w:val="22"/>
        </w:rPr>
        <w:t>ă</w:t>
      </w:r>
      <w:r>
        <w:rPr>
          <w:spacing w:val="-4"/>
          <w:szCs w:val="22"/>
        </w:rPr>
        <w:t>m</w:t>
      </w:r>
      <w:r>
        <w:rPr>
          <w:szCs w:val="22"/>
        </w:rPr>
        <w:t>ână</w:t>
      </w:r>
      <w:r>
        <w:rPr>
          <w:spacing w:val="-2"/>
          <w:szCs w:val="22"/>
        </w:rPr>
        <w:t xml:space="preserve"> </w:t>
      </w:r>
      <w:r>
        <w:rPr>
          <w:spacing w:val="1"/>
          <w:szCs w:val="22"/>
        </w:rPr>
        <w:t>î</w:t>
      </w:r>
      <w:r>
        <w:rPr>
          <w:szCs w:val="22"/>
        </w:rPr>
        <w:t>nc</w:t>
      </w:r>
      <w:r>
        <w:rPr>
          <w:spacing w:val="-3"/>
          <w:szCs w:val="22"/>
        </w:rPr>
        <w:t>e</w:t>
      </w:r>
      <w:r>
        <w:rPr>
          <w:szCs w:val="22"/>
        </w:rPr>
        <w:t>pând</w:t>
      </w:r>
      <w:r>
        <w:rPr>
          <w:spacing w:val="-3"/>
          <w:szCs w:val="22"/>
        </w:rPr>
        <w:t xml:space="preserve"> </w:t>
      </w:r>
      <w:r>
        <w:rPr>
          <w:szCs w:val="22"/>
        </w:rPr>
        <w:t xml:space="preserve">cu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4</w:t>
      </w:r>
      <w:r>
        <w:rPr>
          <w:spacing w:val="-3"/>
          <w:szCs w:val="22"/>
        </w:rPr>
        <w:t xml:space="preserve"> </w:t>
      </w:r>
      <w:r>
        <w:rPr>
          <w:szCs w:val="22"/>
        </w:rPr>
        <w:t>până</w:t>
      </w:r>
      <w:r>
        <w:rPr>
          <w:spacing w:val="-2"/>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11. </w:t>
      </w:r>
      <w:r>
        <w:rPr>
          <w:spacing w:val="-4"/>
          <w:szCs w:val="22"/>
        </w:rPr>
        <w:t>Î</w:t>
      </w:r>
      <w:r>
        <w:rPr>
          <w:szCs w:val="22"/>
        </w:rPr>
        <w:t xml:space="preserve">n </w:t>
      </w:r>
      <w:r>
        <w:rPr>
          <w:spacing w:val="1"/>
          <w:szCs w:val="22"/>
        </w:rPr>
        <w:t>t</w:t>
      </w:r>
      <w:r>
        <w:rPr>
          <w:spacing w:val="-2"/>
          <w:szCs w:val="22"/>
        </w:rPr>
        <w:t>i</w:t>
      </w:r>
      <w:r>
        <w:rPr>
          <w:spacing w:val="-4"/>
          <w:szCs w:val="22"/>
        </w:rPr>
        <w:t>m</w:t>
      </w:r>
      <w:r>
        <w:rPr>
          <w:szCs w:val="22"/>
        </w:rPr>
        <w:t>pul</w:t>
      </w:r>
      <w:r>
        <w:rPr>
          <w:spacing w:val="1"/>
          <w:szCs w:val="22"/>
        </w:rPr>
        <w:t xml:space="preserve"> </w:t>
      </w:r>
      <w:r>
        <w:rPr>
          <w:szCs w:val="22"/>
        </w:rPr>
        <w:t>s</w:t>
      </w:r>
      <w:r>
        <w:rPr>
          <w:spacing w:val="1"/>
          <w:szCs w:val="22"/>
        </w:rPr>
        <w:t>t</w:t>
      </w:r>
      <w:r>
        <w:rPr>
          <w:szCs w:val="22"/>
        </w:rPr>
        <w:t>ud</w:t>
      </w:r>
      <w:r>
        <w:rPr>
          <w:spacing w:val="1"/>
          <w:szCs w:val="22"/>
        </w:rPr>
        <w:t>i</w:t>
      </w:r>
      <w:r>
        <w:rPr>
          <w:spacing w:val="-3"/>
          <w:szCs w:val="22"/>
        </w:rPr>
        <w:t>u</w:t>
      </w:r>
      <w:r>
        <w:rPr>
          <w:spacing w:val="1"/>
          <w:szCs w:val="22"/>
        </w:rPr>
        <w:t>l</w:t>
      </w:r>
      <w:r>
        <w:rPr>
          <w:spacing w:val="-3"/>
          <w:szCs w:val="22"/>
        </w:rPr>
        <w:t>u</w:t>
      </w:r>
      <w:r>
        <w:rPr>
          <w:szCs w:val="22"/>
        </w:rPr>
        <w:t>i</w:t>
      </w:r>
      <w:r>
        <w:rPr>
          <w:spacing w:val="1"/>
          <w:szCs w:val="22"/>
        </w:rPr>
        <w:t xml:space="preserve"> </w:t>
      </w:r>
      <w:r>
        <w:rPr>
          <w:szCs w:val="22"/>
        </w:rPr>
        <w:t>nu a fost</w:t>
      </w:r>
      <w:r>
        <w:rPr>
          <w:spacing w:val="-2"/>
          <w:szCs w:val="22"/>
        </w:rPr>
        <w:t xml:space="preserve"> </w:t>
      </w:r>
      <w:r>
        <w:rPr>
          <w:szCs w:val="22"/>
        </w:rPr>
        <w:t>p</w:t>
      </w:r>
      <w:r>
        <w:rPr>
          <w:spacing w:val="-3"/>
          <w:szCs w:val="22"/>
        </w:rPr>
        <w:t>e</w:t>
      </w:r>
      <w:r>
        <w:rPr>
          <w:szCs w:val="22"/>
        </w:rPr>
        <w:t>r</w:t>
      </w:r>
      <w:r>
        <w:rPr>
          <w:spacing w:val="-4"/>
          <w:szCs w:val="22"/>
        </w:rPr>
        <w:t>m</w:t>
      </w:r>
      <w:r>
        <w:rPr>
          <w:spacing w:val="1"/>
          <w:szCs w:val="22"/>
        </w:rPr>
        <w:t>i</w:t>
      </w:r>
      <w:r>
        <w:rPr>
          <w:szCs w:val="22"/>
        </w:rPr>
        <w:t>să 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area</w:t>
      </w:r>
      <w:r>
        <w:rPr>
          <w:spacing w:val="-2"/>
          <w:szCs w:val="22"/>
        </w:rPr>
        <w:t xml:space="preserve"> </w:t>
      </w:r>
      <w:r>
        <w:rPr>
          <w:szCs w:val="22"/>
        </w:rPr>
        <w:t>con</w:t>
      </w:r>
      <w:r>
        <w:rPr>
          <w:spacing w:val="-3"/>
          <w:szCs w:val="22"/>
        </w:rPr>
        <w:t>c</w:t>
      </w:r>
      <w:r>
        <w:rPr>
          <w:szCs w:val="22"/>
        </w:rPr>
        <w:t>o</w:t>
      </w:r>
      <w:r>
        <w:rPr>
          <w:spacing w:val="-4"/>
          <w:szCs w:val="22"/>
        </w:rPr>
        <w:t>m</w:t>
      </w:r>
      <w:r>
        <w:rPr>
          <w:spacing w:val="1"/>
          <w:szCs w:val="22"/>
        </w:rPr>
        <w:t>it</w:t>
      </w:r>
      <w:r>
        <w:rPr>
          <w:szCs w:val="22"/>
        </w:rPr>
        <w:t>en</w:t>
      </w:r>
      <w:r>
        <w:rPr>
          <w:spacing w:val="1"/>
          <w:szCs w:val="22"/>
        </w:rPr>
        <w:t>t</w:t>
      </w:r>
      <w:r>
        <w:rPr>
          <w:szCs w:val="22"/>
        </w:rPr>
        <w:t xml:space="preserve">ă </w:t>
      </w:r>
      <w:r>
        <w:rPr>
          <w:spacing w:val="-3"/>
          <w:szCs w:val="22"/>
        </w:rPr>
        <w:t>d</w:t>
      </w:r>
      <w:r>
        <w:rPr>
          <w:szCs w:val="22"/>
        </w:rPr>
        <w:t>e a</w:t>
      </w:r>
      <w:r>
        <w:rPr>
          <w:spacing w:val="-3"/>
          <w:szCs w:val="22"/>
        </w:rPr>
        <w:t>n</w:t>
      </w:r>
      <w:r>
        <w:rPr>
          <w:spacing w:val="1"/>
          <w:szCs w:val="22"/>
        </w:rPr>
        <w:t>ti</w:t>
      </w:r>
      <w:r>
        <w:rPr>
          <w:spacing w:val="-3"/>
          <w:szCs w:val="22"/>
        </w:rPr>
        <w:t>b</w:t>
      </w:r>
      <w:r>
        <w:rPr>
          <w:spacing w:val="1"/>
          <w:szCs w:val="22"/>
        </w:rPr>
        <w:t>i</w:t>
      </w:r>
      <w:r>
        <w:rPr>
          <w:spacing w:val="-3"/>
          <w:szCs w:val="22"/>
        </w:rPr>
        <w:t>o</w:t>
      </w:r>
      <w:r>
        <w:rPr>
          <w:spacing w:val="1"/>
          <w:szCs w:val="22"/>
        </w:rPr>
        <w:t>ti</w:t>
      </w:r>
      <w:r>
        <w:rPr>
          <w:spacing w:val="-3"/>
          <w:szCs w:val="22"/>
        </w:rPr>
        <w:t>c</w:t>
      </w:r>
      <w:r>
        <w:rPr>
          <w:szCs w:val="22"/>
        </w:rPr>
        <w:t xml:space="preserve">e. </w:t>
      </w:r>
      <w:r>
        <w:rPr>
          <w:spacing w:val="-2"/>
          <w:szCs w:val="22"/>
        </w:rPr>
        <w:t>D</w:t>
      </w:r>
      <w:r>
        <w:rPr>
          <w:spacing w:val="-3"/>
          <w:szCs w:val="22"/>
        </w:rPr>
        <w:t>u</w:t>
      </w:r>
      <w:r>
        <w:rPr>
          <w:szCs w:val="22"/>
        </w:rPr>
        <w:t xml:space="preserve">pă 12 </w:t>
      </w:r>
      <w:r>
        <w:rPr>
          <w:spacing w:val="-2"/>
          <w:szCs w:val="22"/>
        </w:rPr>
        <w:t>s</w:t>
      </w:r>
      <w:r>
        <w:rPr>
          <w:szCs w:val="22"/>
        </w:rPr>
        <w:t>ăp</w:t>
      </w:r>
      <w:r>
        <w:rPr>
          <w:spacing w:val="-2"/>
          <w:szCs w:val="22"/>
        </w:rPr>
        <w:t>t</w:t>
      </w:r>
      <w:r>
        <w:rPr>
          <w:szCs w:val="22"/>
        </w:rPr>
        <w:t>ă</w:t>
      </w:r>
      <w:r>
        <w:rPr>
          <w:spacing w:val="-4"/>
          <w:szCs w:val="22"/>
        </w:rPr>
        <w:t>m</w:t>
      </w:r>
      <w:r>
        <w:rPr>
          <w:szCs w:val="22"/>
        </w:rPr>
        <w:t>âni</w:t>
      </w:r>
      <w:r>
        <w:rPr>
          <w:spacing w:val="1"/>
          <w:szCs w:val="22"/>
        </w:rPr>
        <w:t xml:space="preserve"> </w:t>
      </w:r>
      <w:r>
        <w:rPr>
          <w:szCs w:val="22"/>
        </w:rPr>
        <w:t xml:space="preserve">de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e au pr</w:t>
      </w:r>
      <w:r>
        <w:rPr>
          <w:spacing w:val="1"/>
          <w:szCs w:val="22"/>
        </w:rPr>
        <w:t>i</w:t>
      </w:r>
      <w:r>
        <w:rPr>
          <w:spacing w:val="-4"/>
          <w:szCs w:val="22"/>
        </w:rPr>
        <w:t>m</w:t>
      </w:r>
      <w:r>
        <w:rPr>
          <w:spacing w:val="1"/>
          <w:szCs w:val="22"/>
        </w:rPr>
        <w:t>i</w:t>
      </w:r>
      <w:r>
        <w:rPr>
          <w:szCs w:val="22"/>
        </w:rPr>
        <w:t>t</w:t>
      </w:r>
      <w:r>
        <w:rPr>
          <w:spacing w:val="1"/>
          <w:szCs w:val="22"/>
        </w:rPr>
        <w:t xml:space="preserve"> </w:t>
      </w:r>
      <w:r>
        <w:rPr>
          <w:rFonts w:eastAsia="MS Mincho"/>
          <w:spacing w:val="-1"/>
          <w:szCs w:val="22"/>
          <w:lang w:eastAsia="en-US" w:bidi="ar-SA"/>
        </w:rPr>
        <w:t>adalimumab</w:t>
      </w:r>
      <w:r>
        <w:rPr>
          <w:szCs w:val="22"/>
        </w:rPr>
        <w:t xml:space="preserve"> </w:t>
      </w:r>
      <w:r>
        <w:rPr>
          <w:spacing w:val="-2"/>
          <w:szCs w:val="22"/>
        </w:rPr>
        <w:t>î</w:t>
      </w:r>
      <w:r>
        <w:rPr>
          <w:szCs w:val="22"/>
        </w:rPr>
        <w:t>n p</w:t>
      </w:r>
      <w:r>
        <w:rPr>
          <w:spacing w:val="-3"/>
          <w:szCs w:val="22"/>
        </w:rPr>
        <w:t>e</w:t>
      </w:r>
      <w:r>
        <w:rPr>
          <w:szCs w:val="22"/>
        </w:rPr>
        <w:t>r</w:t>
      </w:r>
      <w:r>
        <w:rPr>
          <w:spacing w:val="1"/>
          <w:szCs w:val="22"/>
        </w:rPr>
        <w:t>i</w:t>
      </w:r>
      <w:r>
        <w:rPr>
          <w:spacing w:val="-3"/>
          <w:szCs w:val="22"/>
        </w:rPr>
        <w:t>o</w:t>
      </w:r>
      <w:r>
        <w:rPr>
          <w:szCs w:val="22"/>
        </w:rPr>
        <w:t>ada</w:t>
      </w:r>
      <w:r>
        <w:rPr>
          <w:spacing w:val="-2"/>
          <w:szCs w:val="22"/>
        </w:rPr>
        <w:t xml:space="preserve"> </w:t>
      </w:r>
      <w:r>
        <w:rPr>
          <w:szCs w:val="22"/>
        </w:rPr>
        <w:t>A</w:t>
      </w:r>
      <w:r>
        <w:rPr>
          <w:spacing w:val="-1"/>
          <w:szCs w:val="22"/>
        </w:rPr>
        <w:t xml:space="preserve"> </w:t>
      </w:r>
      <w:r>
        <w:rPr>
          <w:szCs w:val="22"/>
        </w:rPr>
        <w:t>au fo</w:t>
      </w:r>
      <w:r>
        <w:rPr>
          <w:spacing w:val="-2"/>
          <w:szCs w:val="22"/>
        </w:rPr>
        <w:t>s</w:t>
      </w:r>
      <w:r>
        <w:rPr>
          <w:szCs w:val="22"/>
        </w:rPr>
        <w:t>t</w:t>
      </w:r>
      <w:r>
        <w:rPr>
          <w:spacing w:val="1"/>
          <w:szCs w:val="22"/>
        </w:rPr>
        <w:t xml:space="preserve"> </w:t>
      </w:r>
      <w:r>
        <w:rPr>
          <w:spacing w:val="-2"/>
          <w:szCs w:val="22"/>
        </w:rPr>
        <w:t>r</w:t>
      </w:r>
      <w:r>
        <w:rPr>
          <w:szCs w:val="22"/>
        </w:rPr>
        <w:t>e</w:t>
      </w:r>
      <w:r>
        <w:rPr>
          <w:spacing w:val="-4"/>
          <w:szCs w:val="22"/>
        </w:rPr>
        <w:t>-</w:t>
      </w:r>
      <w:r>
        <w:rPr>
          <w:szCs w:val="22"/>
        </w:rPr>
        <w:t>rando</w:t>
      </w:r>
      <w:r>
        <w:rPr>
          <w:spacing w:val="-4"/>
          <w:szCs w:val="22"/>
        </w:rPr>
        <w:t>m</w:t>
      </w:r>
      <w:r>
        <w:rPr>
          <w:spacing w:val="1"/>
          <w:szCs w:val="22"/>
        </w:rPr>
        <w:t>i</w:t>
      </w:r>
      <w:r>
        <w:rPr>
          <w:spacing w:val="-3"/>
          <w:szCs w:val="22"/>
        </w:rPr>
        <w:t>z</w:t>
      </w:r>
      <w:r>
        <w:rPr>
          <w:szCs w:val="22"/>
        </w:rPr>
        <w:t>a</w:t>
      </w:r>
      <w:r>
        <w:rPr>
          <w:spacing w:val="1"/>
          <w:szCs w:val="22"/>
        </w:rPr>
        <w:t>ţ</w:t>
      </w:r>
      <w:r>
        <w:rPr>
          <w:szCs w:val="22"/>
        </w:rPr>
        <w:t>i</w:t>
      </w:r>
      <w:r>
        <w:rPr>
          <w:spacing w:val="1"/>
          <w:szCs w:val="22"/>
        </w:rPr>
        <w:t xml:space="preserve"> î</w:t>
      </w:r>
      <w:r>
        <w:rPr>
          <w:szCs w:val="22"/>
        </w:rPr>
        <w:t>n</w:t>
      </w:r>
      <w:r>
        <w:rPr>
          <w:spacing w:val="-3"/>
          <w:szCs w:val="22"/>
        </w:rPr>
        <w:t xml:space="preserve"> </w:t>
      </w:r>
      <w:r>
        <w:rPr>
          <w:spacing w:val="-1"/>
          <w:szCs w:val="22"/>
        </w:rPr>
        <w:t>P</w:t>
      </w:r>
      <w:r>
        <w:rPr>
          <w:szCs w:val="22"/>
        </w:rPr>
        <w:t>er</w:t>
      </w:r>
      <w:r>
        <w:rPr>
          <w:spacing w:val="1"/>
          <w:szCs w:val="22"/>
        </w:rPr>
        <w:t>i</w:t>
      </w:r>
      <w:r>
        <w:rPr>
          <w:spacing w:val="-3"/>
          <w:szCs w:val="22"/>
        </w:rPr>
        <w:t>o</w:t>
      </w:r>
      <w:r>
        <w:rPr>
          <w:szCs w:val="22"/>
        </w:rPr>
        <w:t>ada B</w:t>
      </w:r>
      <w:r>
        <w:rPr>
          <w:spacing w:val="-4"/>
          <w:szCs w:val="22"/>
        </w:rPr>
        <w:t xml:space="preserve"> </w:t>
      </w:r>
      <w:r>
        <w:rPr>
          <w:spacing w:val="1"/>
          <w:szCs w:val="22"/>
        </w:rPr>
        <w:t>l</w:t>
      </w:r>
      <w:r>
        <w:rPr>
          <w:szCs w:val="22"/>
        </w:rPr>
        <w:t>a 1</w:t>
      </w:r>
      <w:r>
        <w:rPr>
          <w:spacing w:val="-3"/>
          <w:szCs w:val="22"/>
        </w:rPr>
        <w:t xml:space="preserve"> </w:t>
      </w:r>
      <w:r>
        <w:rPr>
          <w:szCs w:val="22"/>
        </w:rPr>
        <w:t>d</w:t>
      </w:r>
      <w:r>
        <w:rPr>
          <w:spacing w:val="1"/>
          <w:szCs w:val="22"/>
        </w:rPr>
        <w:t>i</w:t>
      </w:r>
      <w:r>
        <w:rPr>
          <w:szCs w:val="22"/>
        </w:rPr>
        <w:t>n 3</w:t>
      </w:r>
      <w:r>
        <w:rPr>
          <w:spacing w:val="-3"/>
          <w:szCs w:val="22"/>
        </w:rPr>
        <w:t xml:space="preserve"> g</w:t>
      </w:r>
      <w:r>
        <w:rPr>
          <w:szCs w:val="22"/>
        </w:rPr>
        <w:t>rup</w:t>
      </w:r>
      <w:r>
        <w:rPr>
          <w:spacing w:val="-3"/>
          <w:szCs w:val="22"/>
        </w:rPr>
        <w:t>u</w:t>
      </w:r>
      <w:r>
        <w:rPr>
          <w:szCs w:val="22"/>
        </w:rPr>
        <w:t>ri</w:t>
      </w:r>
      <w:r>
        <w:rPr>
          <w:spacing w:val="1"/>
          <w:szCs w:val="22"/>
        </w:rPr>
        <w:t xml:space="preserve"> </w:t>
      </w:r>
      <w:r>
        <w:rPr>
          <w:spacing w:val="-3"/>
          <w:szCs w:val="22"/>
        </w:rPr>
        <w:t>d</w:t>
      </w:r>
      <w:r>
        <w:rPr>
          <w:szCs w:val="22"/>
        </w:rPr>
        <w:t xml:space="preserve">e </w:t>
      </w:r>
      <w:r>
        <w:rPr>
          <w:spacing w:val="-2"/>
          <w:szCs w:val="22"/>
        </w:rPr>
        <w:t>t</w:t>
      </w:r>
      <w:r>
        <w:rPr>
          <w:szCs w:val="22"/>
        </w:rPr>
        <w:t>ra</w:t>
      </w:r>
      <w:r>
        <w:rPr>
          <w:spacing w:val="-2"/>
          <w:szCs w:val="22"/>
        </w:rPr>
        <w:t>t</w:t>
      </w:r>
      <w:r>
        <w:rPr>
          <w:szCs w:val="22"/>
        </w:rPr>
        <w:t>a</w:t>
      </w:r>
      <w:r>
        <w:rPr>
          <w:spacing w:val="-4"/>
          <w:szCs w:val="22"/>
        </w:rPr>
        <w:t>m</w:t>
      </w:r>
      <w:r>
        <w:rPr>
          <w:szCs w:val="22"/>
        </w:rPr>
        <w:t>ent (</w:t>
      </w:r>
      <w:r>
        <w:rPr>
          <w:rFonts w:eastAsia="MS Mincho"/>
          <w:spacing w:val="-1"/>
          <w:szCs w:val="22"/>
          <w:lang w:eastAsia="en-US" w:bidi="ar-SA"/>
        </w:rPr>
        <w:t>adalimumab</w:t>
      </w:r>
      <w:r>
        <w:rPr>
          <w:szCs w:val="22"/>
        </w:rPr>
        <w:t xml:space="preserve"> 40 </w:t>
      </w:r>
      <w:r>
        <w:rPr>
          <w:spacing w:val="-4"/>
          <w:szCs w:val="22"/>
        </w:rPr>
        <w:t>m</w:t>
      </w:r>
      <w:r>
        <w:rPr>
          <w:szCs w:val="22"/>
        </w:rPr>
        <w:t>g</w:t>
      </w:r>
      <w:r>
        <w:rPr>
          <w:spacing w:val="-3"/>
          <w:szCs w:val="22"/>
        </w:rPr>
        <w:t xml:space="preserve"> </w:t>
      </w:r>
      <w:r>
        <w:rPr>
          <w:spacing w:val="1"/>
          <w:szCs w:val="22"/>
        </w:rPr>
        <w:t>î</w:t>
      </w:r>
      <w:r>
        <w:rPr>
          <w:szCs w:val="22"/>
        </w:rPr>
        <w:t>n f</w:t>
      </w:r>
      <w:r>
        <w:rPr>
          <w:spacing w:val="1"/>
          <w:szCs w:val="22"/>
        </w:rPr>
        <w:t>i</w:t>
      </w:r>
      <w:r>
        <w:rPr>
          <w:szCs w:val="22"/>
        </w:rPr>
        <w:t>ec</w:t>
      </w:r>
      <w:r>
        <w:rPr>
          <w:spacing w:val="-3"/>
          <w:szCs w:val="22"/>
        </w:rPr>
        <w:t>a</w:t>
      </w:r>
      <w:r>
        <w:rPr>
          <w:szCs w:val="22"/>
        </w:rPr>
        <w:t>re</w:t>
      </w:r>
      <w:r>
        <w:rPr>
          <w:spacing w:val="-2"/>
          <w:szCs w:val="22"/>
        </w:rPr>
        <w:t xml:space="preserve"> s</w:t>
      </w:r>
      <w:r>
        <w:rPr>
          <w:szCs w:val="22"/>
        </w:rPr>
        <w:t>ăp</w:t>
      </w:r>
      <w:r>
        <w:rPr>
          <w:spacing w:val="1"/>
          <w:szCs w:val="22"/>
        </w:rPr>
        <w:t>t</w:t>
      </w:r>
      <w:r>
        <w:rPr>
          <w:szCs w:val="22"/>
        </w:rPr>
        <w:t>ă</w:t>
      </w:r>
      <w:r>
        <w:rPr>
          <w:spacing w:val="-4"/>
          <w:szCs w:val="22"/>
        </w:rPr>
        <w:t>m</w:t>
      </w:r>
      <w:r>
        <w:rPr>
          <w:szCs w:val="22"/>
        </w:rPr>
        <w:t xml:space="preserve">ână, </w:t>
      </w:r>
      <w:r>
        <w:rPr>
          <w:rFonts w:eastAsia="MS Mincho"/>
          <w:spacing w:val="-1"/>
          <w:szCs w:val="22"/>
          <w:lang w:eastAsia="en-US" w:bidi="ar-SA"/>
        </w:rPr>
        <w:t>adalimumab</w:t>
      </w:r>
      <w:r>
        <w:rPr>
          <w:szCs w:val="22"/>
        </w:rPr>
        <w:t xml:space="preserve"> 40 </w:t>
      </w:r>
      <w:r>
        <w:rPr>
          <w:spacing w:val="-4"/>
          <w:szCs w:val="22"/>
        </w:rPr>
        <w:t>m</w:t>
      </w:r>
      <w:r>
        <w:rPr>
          <w:szCs w:val="22"/>
        </w:rPr>
        <w:t>g</w:t>
      </w:r>
      <w:r>
        <w:rPr>
          <w:spacing w:val="-3"/>
          <w:szCs w:val="22"/>
        </w:rPr>
        <w:t xml:space="preserve"> </w:t>
      </w:r>
      <w:r>
        <w:rPr>
          <w:spacing w:val="1"/>
          <w:szCs w:val="22"/>
        </w:rPr>
        <w:t>l</w:t>
      </w:r>
      <w:r>
        <w:rPr>
          <w:szCs w:val="22"/>
        </w:rPr>
        <w:t xml:space="preserve">a două </w:t>
      </w:r>
      <w:r>
        <w:rPr>
          <w:spacing w:val="-2"/>
          <w:szCs w:val="22"/>
        </w:rPr>
        <w:t>s</w:t>
      </w:r>
      <w:r>
        <w:rPr>
          <w:szCs w:val="22"/>
        </w:rPr>
        <w:t>ăp</w:t>
      </w:r>
      <w:r>
        <w:rPr>
          <w:spacing w:val="-2"/>
          <w:szCs w:val="22"/>
        </w:rPr>
        <w:t>t</w:t>
      </w:r>
      <w:r>
        <w:rPr>
          <w:szCs w:val="22"/>
        </w:rPr>
        <w:t>ă</w:t>
      </w:r>
      <w:r>
        <w:rPr>
          <w:spacing w:val="-4"/>
          <w:szCs w:val="22"/>
        </w:rPr>
        <w:t>m</w:t>
      </w:r>
      <w:r>
        <w:rPr>
          <w:szCs w:val="22"/>
        </w:rPr>
        <w:t>âni</w:t>
      </w:r>
      <w:r>
        <w:rPr>
          <w:spacing w:val="1"/>
          <w:szCs w:val="22"/>
        </w:rPr>
        <w:t xml:space="preserve"> </w:t>
      </w:r>
      <w:r>
        <w:rPr>
          <w:szCs w:val="22"/>
        </w:rPr>
        <w:t xml:space="preserve">sau </w:t>
      </w:r>
      <w:r>
        <w:rPr>
          <w:spacing w:val="-3"/>
          <w:szCs w:val="22"/>
        </w:rPr>
        <w:t>p</w:t>
      </w:r>
      <w:r>
        <w:rPr>
          <w:spacing w:val="1"/>
          <w:szCs w:val="22"/>
        </w:rPr>
        <w:t>l</w:t>
      </w:r>
      <w:r>
        <w:rPr>
          <w:szCs w:val="22"/>
        </w:rPr>
        <w:t>a</w:t>
      </w:r>
      <w:r>
        <w:rPr>
          <w:spacing w:val="-3"/>
          <w:szCs w:val="22"/>
        </w:rPr>
        <w:t>c</w:t>
      </w:r>
      <w:r>
        <w:rPr>
          <w:szCs w:val="22"/>
        </w:rPr>
        <w:t>e</w:t>
      </w:r>
      <w:r>
        <w:rPr>
          <w:spacing w:val="-3"/>
          <w:szCs w:val="22"/>
        </w:rPr>
        <w:t>b</w:t>
      </w:r>
      <w:r>
        <w:rPr>
          <w:szCs w:val="22"/>
        </w:rPr>
        <w:t>o d</w:t>
      </w:r>
      <w:r>
        <w:rPr>
          <w:spacing w:val="1"/>
          <w:szCs w:val="22"/>
        </w:rPr>
        <w:t>i</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12 până</w:t>
      </w:r>
      <w:r>
        <w:rPr>
          <w:spacing w:val="-2"/>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35).</w:t>
      </w:r>
      <w:r>
        <w:rPr>
          <w:spacing w:val="-3"/>
          <w:szCs w:val="22"/>
        </w:rPr>
        <w:t xml:space="preserve"> </w:t>
      </w:r>
      <w:r>
        <w:rPr>
          <w:spacing w:val="-1"/>
          <w:szCs w:val="22"/>
        </w:rPr>
        <w:t>P</w:t>
      </w:r>
      <w:r>
        <w:rPr>
          <w:szCs w:val="22"/>
        </w:rPr>
        <w:t>a</w:t>
      </w:r>
      <w:r>
        <w:rPr>
          <w:spacing w:val="-3"/>
          <w:szCs w:val="22"/>
        </w:rPr>
        <w:t>c</w:t>
      </w:r>
      <w:r>
        <w:rPr>
          <w:spacing w:val="1"/>
          <w:szCs w:val="22"/>
        </w:rPr>
        <w:t>i</w:t>
      </w:r>
      <w:r>
        <w:rPr>
          <w:szCs w:val="22"/>
        </w:rPr>
        <w:t>en</w:t>
      </w:r>
      <w:r>
        <w:rPr>
          <w:spacing w:val="-2"/>
          <w:szCs w:val="22"/>
        </w:rPr>
        <w:t>ți</w:t>
      </w:r>
      <w:r>
        <w:rPr>
          <w:szCs w:val="22"/>
        </w:rPr>
        <w:t>i</w:t>
      </w:r>
      <w:r>
        <w:rPr>
          <w:spacing w:val="1"/>
          <w:szCs w:val="22"/>
        </w:rPr>
        <w:t xml:space="preserve"> </w:t>
      </w:r>
      <w:r>
        <w:rPr>
          <w:szCs w:val="22"/>
        </w:rPr>
        <w:t>c</w:t>
      </w:r>
      <w:r>
        <w:rPr>
          <w:spacing w:val="-3"/>
          <w:szCs w:val="22"/>
        </w:rPr>
        <w:t>a</w:t>
      </w:r>
      <w:r>
        <w:rPr>
          <w:szCs w:val="22"/>
        </w:rPr>
        <w:t xml:space="preserve">re </w:t>
      </w:r>
      <w:r>
        <w:rPr>
          <w:spacing w:val="-3"/>
          <w:szCs w:val="22"/>
        </w:rPr>
        <w:t>a</w:t>
      </w:r>
      <w:r>
        <w:rPr>
          <w:szCs w:val="22"/>
        </w:rPr>
        <w:t>u f</w:t>
      </w:r>
      <w:r>
        <w:rPr>
          <w:spacing w:val="-3"/>
          <w:szCs w:val="22"/>
        </w:rPr>
        <w:t>o</w:t>
      </w:r>
      <w:r>
        <w:rPr>
          <w:szCs w:val="22"/>
        </w:rPr>
        <w:t>st</w:t>
      </w:r>
      <w:r>
        <w:rPr>
          <w:spacing w:val="-2"/>
          <w:szCs w:val="22"/>
        </w:rPr>
        <w:t xml:space="preserve"> </w:t>
      </w:r>
      <w:r>
        <w:rPr>
          <w:szCs w:val="22"/>
        </w:rPr>
        <w:t>rando</w:t>
      </w:r>
      <w:r>
        <w:rPr>
          <w:spacing w:val="-4"/>
          <w:szCs w:val="22"/>
        </w:rPr>
        <w:t>m</w:t>
      </w:r>
      <w:r>
        <w:rPr>
          <w:spacing w:val="1"/>
          <w:szCs w:val="22"/>
        </w:rPr>
        <w:t>i</w:t>
      </w:r>
      <w:r>
        <w:rPr>
          <w:spacing w:val="-3"/>
          <w:szCs w:val="22"/>
        </w:rPr>
        <w:t>z</w:t>
      </w:r>
      <w:r>
        <w:rPr>
          <w:szCs w:val="22"/>
        </w:rPr>
        <w:t>a</w:t>
      </w:r>
      <w:r>
        <w:rPr>
          <w:spacing w:val="1"/>
          <w:szCs w:val="22"/>
        </w:rPr>
        <w:t>ț</w:t>
      </w:r>
      <w:r>
        <w:rPr>
          <w:szCs w:val="22"/>
        </w:rPr>
        <w:t>i</w:t>
      </w:r>
      <w:r>
        <w:rPr>
          <w:spacing w:val="-2"/>
          <w:szCs w:val="22"/>
        </w:rPr>
        <w:t xml:space="preserve"> </w:t>
      </w:r>
      <w:r>
        <w:rPr>
          <w:spacing w:val="1"/>
          <w:szCs w:val="22"/>
        </w:rPr>
        <w:t>l</w:t>
      </w:r>
      <w:r>
        <w:rPr>
          <w:szCs w:val="22"/>
        </w:rPr>
        <w:t xml:space="preserve">a </w:t>
      </w:r>
      <w:r>
        <w:rPr>
          <w:spacing w:val="-3"/>
          <w:szCs w:val="22"/>
        </w:rPr>
        <w:t>p</w:t>
      </w:r>
      <w:r>
        <w:rPr>
          <w:spacing w:val="1"/>
          <w:szCs w:val="22"/>
        </w:rPr>
        <w:t>l</w:t>
      </w:r>
      <w:r>
        <w:rPr>
          <w:spacing w:val="-3"/>
          <w:szCs w:val="22"/>
        </w:rPr>
        <w:t>a</w:t>
      </w:r>
      <w:r>
        <w:rPr>
          <w:szCs w:val="22"/>
        </w:rPr>
        <w:t>cebo</w:t>
      </w:r>
      <w:r>
        <w:rPr>
          <w:spacing w:val="-3"/>
          <w:szCs w:val="22"/>
        </w:rPr>
        <w:t xml:space="preserve"> </w:t>
      </w:r>
      <w:r>
        <w:rPr>
          <w:spacing w:val="1"/>
          <w:szCs w:val="22"/>
        </w:rPr>
        <w:t>î</w:t>
      </w:r>
      <w:r>
        <w:rPr>
          <w:szCs w:val="22"/>
        </w:rPr>
        <w:t xml:space="preserve">n </w:t>
      </w:r>
      <w:r>
        <w:rPr>
          <w:spacing w:val="-1"/>
          <w:szCs w:val="22"/>
        </w:rPr>
        <w:t>P</w:t>
      </w:r>
      <w:r>
        <w:rPr>
          <w:spacing w:val="-3"/>
          <w:szCs w:val="22"/>
        </w:rPr>
        <w:t>e</w:t>
      </w:r>
      <w:r>
        <w:rPr>
          <w:szCs w:val="22"/>
        </w:rPr>
        <w:t>r</w:t>
      </w:r>
      <w:r>
        <w:rPr>
          <w:spacing w:val="-2"/>
          <w:szCs w:val="22"/>
        </w:rPr>
        <w:t>i</w:t>
      </w:r>
      <w:r>
        <w:rPr>
          <w:szCs w:val="22"/>
        </w:rPr>
        <w:t>oada A</w:t>
      </w:r>
      <w:r>
        <w:rPr>
          <w:spacing w:val="-4"/>
          <w:szCs w:val="22"/>
        </w:rPr>
        <w:t xml:space="preserve"> </w:t>
      </w:r>
      <w:r>
        <w:rPr>
          <w:szCs w:val="22"/>
        </w:rPr>
        <w:t>au f</w:t>
      </w:r>
      <w:r>
        <w:rPr>
          <w:spacing w:val="-3"/>
          <w:szCs w:val="22"/>
        </w:rPr>
        <w:t>o</w:t>
      </w:r>
      <w:r>
        <w:rPr>
          <w:szCs w:val="22"/>
        </w:rPr>
        <w:t>st</w:t>
      </w:r>
      <w:r>
        <w:rPr>
          <w:spacing w:val="1"/>
          <w:szCs w:val="22"/>
        </w:rPr>
        <w:t xml:space="preserve"> </w:t>
      </w:r>
      <w:r>
        <w:rPr>
          <w:spacing w:val="-3"/>
          <w:szCs w:val="22"/>
        </w:rPr>
        <w:t>d</w:t>
      </w:r>
      <w:r>
        <w:rPr>
          <w:szCs w:val="22"/>
        </w:rPr>
        <w:t>ese</w:t>
      </w:r>
      <w:r>
        <w:rPr>
          <w:spacing w:val="-4"/>
          <w:szCs w:val="22"/>
        </w:rPr>
        <w:t>m</w:t>
      </w:r>
      <w:r>
        <w:rPr>
          <w:szCs w:val="22"/>
        </w:rPr>
        <w:t>na</w:t>
      </w:r>
      <w:r>
        <w:rPr>
          <w:spacing w:val="1"/>
          <w:szCs w:val="22"/>
        </w:rPr>
        <w:t>ţ</w:t>
      </w:r>
      <w:r>
        <w:rPr>
          <w:szCs w:val="22"/>
        </w:rPr>
        <w:t>i să p</w:t>
      </w:r>
      <w:r>
        <w:rPr>
          <w:spacing w:val="-2"/>
          <w:szCs w:val="22"/>
        </w:rPr>
        <w:t>r</w:t>
      </w:r>
      <w:r>
        <w:rPr>
          <w:spacing w:val="1"/>
          <w:szCs w:val="22"/>
        </w:rPr>
        <w:t>i</w:t>
      </w:r>
      <w:r>
        <w:rPr>
          <w:spacing w:val="-4"/>
          <w:szCs w:val="22"/>
        </w:rPr>
        <w:t>m</w:t>
      </w:r>
      <w:r>
        <w:rPr>
          <w:szCs w:val="22"/>
        </w:rPr>
        <w:t xml:space="preserve">ească </w:t>
      </w:r>
      <w:r>
        <w:rPr>
          <w:rFonts w:eastAsia="MS Mincho"/>
          <w:spacing w:val="-1"/>
          <w:szCs w:val="22"/>
          <w:lang w:eastAsia="en-US" w:bidi="ar-SA"/>
        </w:rPr>
        <w:t>adalimumab</w:t>
      </w:r>
      <w:r>
        <w:rPr>
          <w:szCs w:val="22"/>
        </w:rPr>
        <w:t xml:space="preserve"> </w:t>
      </w:r>
      <w:r>
        <w:rPr>
          <w:spacing w:val="-3"/>
          <w:szCs w:val="22"/>
        </w:rPr>
        <w:t>4</w:t>
      </w:r>
      <w:r>
        <w:rPr>
          <w:szCs w:val="22"/>
        </w:rPr>
        <w:t>0 </w:t>
      </w:r>
      <w:r>
        <w:rPr>
          <w:spacing w:val="-2"/>
          <w:szCs w:val="22"/>
        </w:rPr>
        <w:t>m</w:t>
      </w:r>
      <w:r>
        <w:rPr>
          <w:szCs w:val="22"/>
        </w:rPr>
        <w:t>g</w:t>
      </w:r>
      <w:r>
        <w:rPr>
          <w:spacing w:val="-3"/>
          <w:szCs w:val="22"/>
        </w:rPr>
        <w:t xml:space="preserve"> </w:t>
      </w:r>
      <w:r>
        <w:rPr>
          <w:spacing w:val="1"/>
          <w:szCs w:val="22"/>
        </w:rPr>
        <w:t>î</w:t>
      </w:r>
      <w:r>
        <w:rPr>
          <w:szCs w:val="22"/>
        </w:rPr>
        <w:t>n f</w:t>
      </w:r>
      <w:r>
        <w:rPr>
          <w:spacing w:val="1"/>
          <w:szCs w:val="22"/>
        </w:rPr>
        <w:t>i</w:t>
      </w:r>
      <w:r>
        <w:rPr>
          <w:spacing w:val="-3"/>
          <w:szCs w:val="22"/>
        </w:rPr>
        <w:t>e</w:t>
      </w:r>
      <w:r>
        <w:rPr>
          <w:szCs w:val="22"/>
        </w:rPr>
        <w:t>ca</w:t>
      </w:r>
      <w:r>
        <w:rPr>
          <w:spacing w:val="-2"/>
          <w:szCs w:val="22"/>
        </w:rPr>
        <w:t>r</w:t>
      </w:r>
      <w:r>
        <w:rPr>
          <w:szCs w:val="22"/>
        </w:rPr>
        <w:t>e s</w:t>
      </w:r>
      <w:r>
        <w:rPr>
          <w:spacing w:val="-3"/>
          <w:szCs w:val="22"/>
        </w:rPr>
        <w:t>ă</w:t>
      </w:r>
      <w:r>
        <w:rPr>
          <w:szCs w:val="22"/>
        </w:rPr>
        <w:t>p</w:t>
      </w:r>
      <w:r>
        <w:rPr>
          <w:spacing w:val="1"/>
          <w:szCs w:val="22"/>
        </w:rPr>
        <w:t>t</w:t>
      </w:r>
      <w:r>
        <w:rPr>
          <w:szCs w:val="22"/>
        </w:rPr>
        <w:t>ă</w:t>
      </w:r>
      <w:r>
        <w:rPr>
          <w:spacing w:val="-4"/>
          <w:szCs w:val="22"/>
        </w:rPr>
        <w:t>m</w:t>
      </w:r>
      <w:r>
        <w:rPr>
          <w:szCs w:val="22"/>
        </w:rPr>
        <w:t xml:space="preserve">ână, </w:t>
      </w:r>
      <w:r>
        <w:rPr>
          <w:spacing w:val="-2"/>
          <w:szCs w:val="22"/>
        </w:rPr>
        <w:t>î</w:t>
      </w:r>
      <w:r>
        <w:rPr>
          <w:szCs w:val="22"/>
        </w:rPr>
        <w:t xml:space="preserve">n </w:t>
      </w:r>
      <w:r>
        <w:rPr>
          <w:spacing w:val="-3"/>
          <w:szCs w:val="22"/>
        </w:rPr>
        <w:t>p</w:t>
      </w:r>
      <w:r>
        <w:rPr>
          <w:szCs w:val="22"/>
        </w:rPr>
        <w:t>er</w:t>
      </w:r>
      <w:r>
        <w:rPr>
          <w:spacing w:val="1"/>
          <w:szCs w:val="22"/>
        </w:rPr>
        <w:t>i</w:t>
      </w:r>
      <w:r>
        <w:rPr>
          <w:spacing w:val="-3"/>
          <w:szCs w:val="22"/>
        </w:rPr>
        <w:t>o</w:t>
      </w:r>
      <w:r>
        <w:rPr>
          <w:szCs w:val="22"/>
        </w:rPr>
        <w:t xml:space="preserve">ada </w:t>
      </w:r>
      <w:r>
        <w:rPr>
          <w:spacing w:val="-1"/>
          <w:szCs w:val="22"/>
        </w:rPr>
        <w:t>B</w:t>
      </w:r>
      <w:r>
        <w:rPr>
          <w:szCs w:val="22"/>
        </w:rPr>
        <w:t>.</w:t>
      </w:r>
    </w:p>
    <w:p w14:paraId="2C3A9BDB" w14:textId="77777777" w:rsidR="00C04CAD" w:rsidRDefault="00C04CAD">
      <w:pPr>
        <w:tabs>
          <w:tab w:val="clear" w:pos="567"/>
        </w:tabs>
        <w:kinsoku w:val="0"/>
        <w:overflowPunct w:val="0"/>
        <w:autoSpaceDE w:val="0"/>
        <w:autoSpaceDN w:val="0"/>
        <w:adjustRightInd w:val="0"/>
        <w:spacing w:line="240" w:lineRule="auto"/>
        <w:rPr>
          <w:szCs w:val="22"/>
        </w:rPr>
      </w:pPr>
    </w:p>
    <w:p w14:paraId="5F79EDA9"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1"/>
          <w:szCs w:val="22"/>
        </w:rPr>
        <w:t>HS</w:t>
      </w:r>
      <w:r>
        <w:rPr>
          <w:spacing w:val="-2"/>
          <w:szCs w:val="22"/>
        </w:rPr>
        <w:t>-I</w:t>
      </w:r>
      <w:r>
        <w:rPr>
          <w:szCs w:val="22"/>
        </w:rPr>
        <w:t>I</w:t>
      </w:r>
      <w:r>
        <w:rPr>
          <w:spacing w:val="-2"/>
          <w:szCs w:val="22"/>
        </w:rPr>
        <w:t xml:space="preserve"> </w:t>
      </w:r>
      <w:r>
        <w:rPr>
          <w:szCs w:val="22"/>
        </w:rPr>
        <w:t>(</w:t>
      </w:r>
      <w:r>
        <w:rPr>
          <w:spacing w:val="2"/>
          <w:szCs w:val="22"/>
        </w:rPr>
        <w:t>P</w:t>
      </w:r>
      <w:r>
        <w:rPr>
          <w:spacing w:val="-4"/>
          <w:szCs w:val="22"/>
        </w:rPr>
        <w:t>I</w:t>
      </w:r>
      <w:r>
        <w:rPr>
          <w:spacing w:val="-1"/>
          <w:szCs w:val="22"/>
        </w:rPr>
        <w:t>ONEE</w:t>
      </w:r>
      <w:r>
        <w:rPr>
          <w:szCs w:val="22"/>
        </w:rPr>
        <w:t>R</w:t>
      </w:r>
      <w:r>
        <w:rPr>
          <w:spacing w:val="1"/>
          <w:szCs w:val="22"/>
        </w:rPr>
        <w:t xml:space="preserve"> </w:t>
      </w:r>
      <w:r>
        <w:rPr>
          <w:spacing w:val="-2"/>
          <w:szCs w:val="22"/>
        </w:rPr>
        <w:t>I</w:t>
      </w:r>
      <w:r>
        <w:rPr>
          <w:szCs w:val="22"/>
        </w:rPr>
        <w:t>I)</w:t>
      </w:r>
      <w:r>
        <w:rPr>
          <w:spacing w:val="1"/>
          <w:szCs w:val="22"/>
        </w:rPr>
        <w:t xml:space="preserve"> </w:t>
      </w:r>
      <w:r>
        <w:rPr>
          <w:szCs w:val="22"/>
        </w:rPr>
        <w:t>a e</w:t>
      </w:r>
      <w:r>
        <w:rPr>
          <w:spacing w:val="-3"/>
          <w:szCs w:val="22"/>
        </w:rPr>
        <w:t>v</w:t>
      </w:r>
      <w:r>
        <w:rPr>
          <w:szCs w:val="22"/>
        </w:rPr>
        <w:t>a</w:t>
      </w:r>
      <w:r>
        <w:rPr>
          <w:spacing w:val="1"/>
          <w:szCs w:val="22"/>
        </w:rPr>
        <w:t>l</w:t>
      </w:r>
      <w:r>
        <w:rPr>
          <w:spacing w:val="-3"/>
          <w:szCs w:val="22"/>
        </w:rPr>
        <w:t>u</w:t>
      </w:r>
      <w:r>
        <w:rPr>
          <w:szCs w:val="22"/>
        </w:rPr>
        <w:t>at</w:t>
      </w:r>
      <w:r>
        <w:rPr>
          <w:spacing w:val="1"/>
          <w:szCs w:val="22"/>
        </w:rPr>
        <w:t xml:space="preserve"> </w:t>
      </w:r>
      <w:r>
        <w:rPr>
          <w:spacing w:val="-3"/>
          <w:szCs w:val="22"/>
        </w:rPr>
        <w:t>3</w:t>
      </w:r>
      <w:r>
        <w:rPr>
          <w:szCs w:val="22"/>
        </w:rPr>
        <w:t>26 de</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ț</w:t>
      </w:r>
      <w:r>
        <w:rPr>
          <w:szCs w:val="22"/>
        </w:rPr>
        <w:t>i</w:t>
      </w:r>
      <w:r>
        <w:rPr>
          <w:spacing w:val="-2"/>
          <w:szCs w:val="22"/>
        </w:rPr>
        <w:t xml:space="preserve"> î</w:t>
      </w:r>
      <w:r>
        <w:rPr>
          <w:szCs w:val="22"/>
        </w:rPr>
        <w:t>n 2 pe</w:t>
      </w:r>
      <w:r>
        <w:rPr>
          <w:spacing w:val="-2"/>
          <w:szCs w:val="22"/>
        </w:rPr>
        <w:t>r</w:t>
      </w:r>
      <w:r>
        <w:rPr>
          <w:spacing w:val="1"/>
          <w:szCs w:val="22"/>
        </w:rPr>
        <w:t>i</w:t>
      </w:r>
      <w:r>
        <w:rPr>
          <w:szCs w:val="22"/>
        </w:rPr>
        <w:t>o</w:t>
      </w:r>
      <w:r>
        <w:rPr>
          <w:spacing w:val="-3"/>
          <w:szCs w:val="22"/>
        </w:rPr>
        <w:t>a</w:t>
      </w:r>
      <w:r>
        <w:rPr>
          <w:szCs w:val="22"/>
        </w:rPr>
        <w:t>de de</w:t>
      </w:r>
      <w:r>
        <w:rPr>
          <w:spacing w:val="-2"/>
          <w:szCs w:val="22"/>
        </w:rPr>
        <w:t xml:space="preserve"> </w:t>
      </w: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 xml:space="preserve">. </w:t>
      </w:r>
      <w:r>
        <w:rPr>
          <w:spacing w:val="-2"/>
          <w:szCs w:val="22"/>
        </w:rPr>
        <w:t>Î</w:t>
      </w:r>
      <w:r>
        <w:rPr>
          <w:szCs w:val="22"/>
        </w:rPr>
        <w:t xml:space="preserve">n </w:t>
      </w:r>
      <w:r>
        <w:rPr>
          <w:spacing w:val="-1"/>
          <w:szCs w:val="22"/>
        </w:rPr>
        <w:t>P</w:t>
      </w:r>
      <w:r>
        <w:rPr>
          <w:szCs w:val="22"/>
        </w:rPr>
        <w:t>e</w:t>
      </w:r>
      <w:r>
        <w:rPr>
          <w:spacing w:val="-2"/>
          <w:szCs w:val="22"/>
        </w:rPr>
        <w:t>r</w:t>
      </w:r>
      <w:r>
        <w:rPr>
          <w:spacing w:val="1"/>
          <w:szCs w:val="22"/>
        </w:rPr>
        <w:t>i</w:t>
      </w:r>
      <w:r>
        <w:rPr>
          <w:szCs w:val="22"/>
        </w:rPr>
        <w:t>oada</w:t>
      </w:r>
      <w:r>
        <w:rPr>
          <w:spacing w:val="-2"/>
          <w:szCs w:val="22"/>
        </w:rPr>
        <w:t xml:space="preserve"> </w:t>
      </w:r>
      <w:r>
        <w:rPr>
          <w:spacing w:val="-1"/>
          <w:szCs w:val="22"/>
        </w:rPr>
        <w:t>A</w:t>
      </w:r>
      <w:r>
        <w:rPr>
          <w:szCs w:val="22"/>
        </w:rPr>
        <w:t>, pac</w:t>
      </w:r>
      <w:r>
        <w:rPr>
          <w:spacing w:val="-2"/>
          <w:szCs w:val="22"/>
        </w:rPr>
        <w:t>i</w:t>
      </w:r>
      <w:r>
        <w:rPr>
          <w:szCs w:val="22"/>
        </w:rPr>
        <w:t>e</w:t>
      </w:r>
      <w:r>
        <w:rPr>
          <w:spacing w:val="-1"/>
          <w:szCs w:val="22"/>
        </w:rPr>
        <w:t>n</w:t>
      </w:r>
      <w:r>
        <w:rPr>
          <w:spacing w:val="-2"/>
          <w:szCs w:val="22"/>
        </w:rPr>
        <w:t>ţ</w:t>
      </w:r>
      <w:r>
        <w:rPr>
          <w:spacing w:val="1"/>
          <w:szCs w:val="22"/>
        </w:rPr>
        <w:t>i</w:t>
      </w:r>
      <w:r>
        <w:rPr>
          <w:szCs w:val="22"/>
        </w:rPr>
        <w:t>i</w:t>
      </w:r>
      <w:r>
        <w:rPr>
          <w:spacing w:val="-2"/>
          <w:szCs w:val="22"/>
        </w:rPr>
        <w:t xml:space="preserve"> </w:t>
      </w:r>
      <w:r>
        <w:rPr>
          <w:szCs w:val="22"/>
        </w:rPr>
        <w:t xml:space="preserve">au </w:t>
      </w:r>
      <w:r>
        <w:rPr>
          <w:spacing w:val="-3"/>
          <w:szCs w:val="22"/>
        </w:rPr>
        <w:t>p</w:t>
      </w:r>
      <w:r>
        <w:rPr>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pacing w:val="-3"/>
          <w:szCs w:val="22"/>
        </w:rPr>
        <w:t>p</w:t>
      </w:r>
      <w:r>
        <w:rPr>
          <w:spacing w:val="1"/>
          <w:szCs w:val="22"/>
        </w:rPr>
        <w:t>l</w:t>
      </w:r>
      <w:r>
        <w:rPr>
          <w:szCs w:val="22"/>
        </w:rPr>
        <w:t>ac</w:t>
      </w:r>
      <w:r>
        <w:rPr>
          <w:spacing w:val="-3"/>
          <w:szCs w:val="22"/>
        </w:rPr>
        <w:t>e</w:t>
      </w:r>
      <w:r>
        <w:rPr>
          <w:szCs w:val="22"/>
        </w:rPr>
        <w:t>bo</w:t>
      </w:r>
      <w:r>
        <w:rPr>
          <w:spacing w:val="-3"/>
          <w:szCs w:val="22"/>
        </w:rPr>
        <w:t xml:space="preserve"> </w:t>
      </w:r>
      <w:r>
        <w:rPr>
          <w:szCs w:val="22"/>
        </w:rPr>
        <w:t xml:space="preserve">sau </w:t>
      </w:r>
      <w:r>
        <w:rPr>
          <w:rFonts w:eastAsia="MS Mincho"/>
          <w:spacing w:val="-1"/>
          <w:szCs w:val="22"/>
          <w:lang w:eastAsia="en-US" w:bidi="ar-SA"/>
        </w:rPr>
        <w:t>adalimumab</w:t>
      </w:r>
      <w:r>
        <w:rPr>
          <w:szCs w:val="22"/>
        </w:rPr>
        <w:t xml:space="preserve"> </w:t>
      </w:r>
      <w:r>
        <w:rPr>
          <w:spacing w:val="-2"/>
          <w:szCs w:val="22"/>
        </w:rPr>
        <w:t>l</w:t>
      </w:r>
      <w:r>
        <w:rPr>
          <w:szCs w:val="22"/>
        </w:rPr>
        <w:t>a o do</w:t>
      </w:r>
      <w:r>
        <w:rPr>
          <w:spacing w:val="-3"/>
          <w:szCs w:val="22"/>
        </w:rPr>
        <w:t>z</w:t>
      </w:r>
      <w:r>
        <w:rPr>
          <w:szCs w:val="22"/>
        </w:rPr>
        <w:t>ă</w:t>
      </w:r>
      <w:r>
        <w:rPr>
          <w:spacing w:val="-2"/>
          <w:szCs w:val="22"/>
        </w:rPr>
        <w:t xml:space="preserve"> </w:t>
      </w:r>
      <w:r>
        <w:rPr>
          <w:spacing w:val="1"/>
          <w:szCs w:val="22"/>
        </w:rPr>
        <w:t>i</w:t>
      </w:r>
      <w:r>
        <w:rPr>
          <w:szCs w:val="22"/>
        </w:rPr>
        <w:t>n</w:t>
      </w:r>
      <w:r>
        <w:rPr>
          <w:spacing w:val="-2"/>
          <w:szCs w:val="22"/>
        </w:rPr>
        <w:t>i</w:t>
      </w:r>
      <w:r>
        <w:rPr>
          <w:spacing w:val="1"/>
          <w:szCs w:val="22"/>
        </w:rPr>
        <w:t>ț</w:t>
      </w:r>
      <w:r>
        <w:rPr>
          <w:spacing w:val="-2"/>
          <w:szCs w:val="22"/>
        </w:rPr>
        <w:t>i</w:t>
      </w:r>
      <w:r>
        <w:rPr>
          <w:szCs w:val="22"/>
        </w:rPr>
        <w:t>a</w:t>
      </w:r>
      <w:r>
        <w:rPr>
          <w:spacing w:val="-2"/>
          <w:szCs w:val="22"/>
        </w:rPr>
        <w:t>l</w:t>
      </w:r>
      <w:r>
        <w:rPr>
          <w:szCs w:val="22"/>
        </w:rPr>
        <w:t>ă de 160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pacing w:val="-2"/>
          <w:szCs w:val="22"/>
        </w:rPr>
        <w:t xml:space="preserve"> </w:t>
      </w:r>
      <w:r>
        <w:rPr>
          <w:szCs w:val="22"/>
        </w:rPr>
        <w:t>0 și</w:t>
      </w:r>
      <w:r>
        <w:rPr>
          <w:spacing w:val="1"/>
          <w:szCs w:val="22"/>
        </w:rPr>
        <w:t xml:space="preserve"> </w:t>
      </w:r>
      <w:r>
        <w:rPr>
          <w:spacing w:val="-3"/>
          <w:szCs w:val="22"/>
        </w:rPr>
        <w:t>8</w:t>
      </w:r>
      <w:r>
        <w:rPr>
          <w:szCs w:val="22"/>
        </w:rPr>
        <w:t>0 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w:t>
      </w:r>
      <w:r>
        <w:rPr>
          <w:spacing w:val="-2"/>
          <w:szCs w:val="22"/>
        </w:rPr>
        <w:t>ș</w:t>
      </w:r>
      <w:r>
        <w:rPr>
          <w:szCs w:val="22"/>
        </w:rPr>
        <w:t>i</w:t>
      </w:r>
      <w:r>
        <w:rPr>
          <w:spacing w:val="1"/>
          <w:szCs w:val="22"/>
        </w:rPr>
        <w:t xml:space="preserve"> </w:t>
      </w:r>
      <w:r>
        <w:rPr>
          <w:szCs w:val="22"/>
        </w:rPr>
        <w:t>40 </w:t>
      </w:r>
      <w:r>
        <w:rPr>
          <w:spacing w:val="-4"/>
          <w:szCs w:val="22"/>
        </w:rPr>
        <w:t>m</w:t>
      </w:r>
      <w:r>
        <w:rPr>
          <w:szCs w:val="22"/>
        </w:rPr>
        <w:t>g</w:t>
      </w:r>
      <w:r>
        <w:rPr>
          <w:spacing w:val="-3"/>
          <w:szCs w:val="22"/>
        </w:rPr>
        <w:t xml:space="preserve"> </w:t>
      </w:r>
      <w:r>
        <w:rPr>
          <w:spacing w:val="1"/>
          <w:szCs w:val="22"/>
        </w:rPr>
        <w:t>î</w:t>
      </w:r>
      <w:r>
        <w:rPr>
          <w:szCs w:val="22"/>
        </w:rPr>
        <w:t>n f</w:t>
      </w:r>
      <w:r>
        <w:rPr>
          <w:spacing w:val="-2"/>
          <w:szCs w:val="22"/>
        </w:rPr>
        <w:t>i</w:t>
      </w:r>
      <w:r>
        <w:rPr>
          <w:szCs w:val="22"/>
        </w:rPr>
        <w:t>eca</w:t>
      </w:r>
      <w:r>
        <w:rPr>
          <w:spacing w:val="-2"/>
          <w:szCs w:val="22"/>
        </w:rPr>
        <w:t>r</w:t>
      </w:r>
      <w:r>
        <w:rPr>
          <w:szCs w:val="22"/>
        </w:rPr>
        <w:t>e s</w:t>
      </w:r>
      <w:r>
        <w:rPr>
          <w:spacing w:val="-3"/>
          <w:szCs w:val="22"/>
        </w:rPr>
        <w:t>ă</w:t>
      </w:r>
      <w:r>
        <w:rPr>
          <w:szCs w:val="22"/>
        </w:rPr>
        <w:t>p</w:t>
      </w:r>
      <w:r>
        <w:rPr>
          <w:spacing w:val="1"/>
          <w:szCs w:val="22"/>
        </w:rPr>
        <w:t>t</w:t>
      </w:r>
      <w:r>
        <w:rPr>
          <w:szCs w:val="22"/>
        </w:rPr>
        <w:t>ă</w:t>
      </w:r>
      <w:r>
        <w:rPr>
          <w:spacing w:val="-4"/>
          <w:szCs w:val="22"/>
        </w:rPr>
        <w:t>m</w:t>
      </w:r>
      <w:r>
        <w:rPr>
          <w:szCs w:val="22"/>
        </w:rPr>
        <w:t xml:space="preserve">ână </w:t>
      </w:r>
      <w:r>
        <w:rPr>
          <w:spacing w:val="-2"/>
          <w:szCs w:val="22"/>
        </w:rPr>
        <w:t>î</w:t>
      </w:r>
      <w:r>
        <w:rPr>
          <w:szCs w:val="22"/>
        </w:rPr>
        <w:t>nce</w:t>
      </w:r>
      <w:r>
        <w:rPr>
          <w:spacing w:val="-3"/>
          <w:szCs w:val="22"/>
        </w:rPr>
        <w:t>p</w:t>
      </w:r>
      <w:r>
        <w:rPr>
          <w:szCs w:val="22"/>
        </w:rPr>
        <w:t xml:space="preserve">ând </w:t>
      </w:r>
      <w:r>
        <w:rPr>
          <w:spacing w:val="-3"/>
          <w:szCs w:val="22"/>
        </w:rPr>
        <w:t>c</w:t>
      </w:r>
      <w:r>
        <w:rPr>
          <w:szCs w:val="22"/>
        </w:rPr>
        <w:t xml:space="preserve">u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4 până</w:t>
      </w:r>
      <w:r>
        <w:rPr>
          <w:spacing w:val="-2"/>
          <w:szCs w:val="22"/>
        </w:rPr>
        <w:t xml:space="preserve"> </w:t>
      </w:r>
      <w:r>
        <w:rPr>
          <w:spacing w:val="1"/>
          <w:szCs w:val="22"/>
        </w:rPr>
        <w:t>l</w:t>
      </w:r>
      <w:r>
        <w:rPr>
          <w:szCs w:val="22"/>
        </w:rPr>
        <w:t xml:space="preserve">a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11. </w:t>
      </w:r>
      <w:r>
        <w:rPr>
          <w:spacing w:val="-4"/>
          <w:szCs w:val="22"/>
        </w:rPr>
        <w:t>Î</w:t>
      </w:r>
      <w:r>
        <w:rPr>
          <w:szCs w:val="22"/>
        </w:rPr>
        <w:t xml:space="preserve">n </w:t>
      </w:r>
      <w:r>
        <w:rPr>
          <w:spacing w:val="1"/>
          <w:szCs w:val="22"/>
        </w:rPr>
        <w:t>ti</w:t>
      </w:r>
      <w:r>
        <w:rPr>
          <w:spacing w:val="-4"/>
          <w:szCs w:val="22"/>
        </w:rPr>
        <w:t>m</w:t>
      </w:r>
      <w:r>
        <w:rPr>
          <w:szCs w:val="22"/>
        </w:rPr>
        <w:t>pul s</w:t>
      </w:r>
      <w:r>
        <w:rPr>
          <w:spacing w:val="1"/>
          <w:szCs w:val="22"/>
        </w:rPr>
        <w:t>t</w:t>
      </w:r>
      <w:r>
        <w:rPr>
          <w:szCs w:val="22"/>
        </w:rPr>
        <w:t>u</w:t>
      </w:r>
      <w:r>
        <w:rPr>
          <w:spacing w:val="-3"/>
          <w:szCs w:val="22"/>
        </w:rPr>
        <w:t>d</w:t>
      </w:r>
      <w:r>
        <w:rPr>
          <w:spacing w:val="1"/>
          <w:szCs w:val="22"/>
        </w:rPr>
        <w:t>i</w:t>
      </w:r>
      <w:r>
        <w:rPr>
          <w:spacing w:val="-1"/>
          <w:szCs w:val="22"/>
        </w:rPr>
        <w:t>u</w:t>
      </w:r>
      <w:r>
        <w:rPr>
          <w:spacing w:val="-2"/>
          <w:szCs w:val="22"/>
        </w:rPr>
        <w:t>l</w:t>
      </w:r>
      <w:r>
        <w:rPr>
          <w:szCs w:val="22"/>
        </w:rPr>
        <w:t>u</w:t>
      </w:r>
      <w:r>
        <w:rPr>
          <w:spacing w:val="1"/>
          <w:szCs w:val="22"/>
        </w:rPr>
        <w:t>i</w:t>
      </w:r>
      <w:r>
        <w:rPr>
          <w:szCs w:val="22"/>
        </w:rPr>
        <w:t xml:space="preserve">, </w:t>
      </w:r>
      <w:r>
        <w:rPr>
          <w:spacing w:val="-3"/>
          <w:szCs w:val="22"/>
        </w:rPr>
        <w:t>1</w:t>
      </w:r>
      <w:r>
        <w:rPr>
          <w:szCs w:val="22"/>
        </w:rPr>
        <w:t>9,3%</w:t>
      </w:r>
      <w:r>
        <w:rPr>
          <w:spacing w:val="-2"/>
          <w:szCs w:val="22"/>
        </w:rPr>
        <w:t xml:space="preserve"> </w:t>
      </w:r>
      <w:r>
        <w:rPr>
          <w:szCs w:val="22"/>
        </w:rPr>
        <w:t>d</w:t>
      </w:r>
      <w:r>
        <w:rPr>
          <w:spacing w:val="1"/>
          <w:szCs w:val="22"/>
        </w:rPr>
        <w:t>i</w:t>
      </w:r>
      <w:r>
        <w:rPr>
          <w:spacing w:val="-3"/>
          <w:szCs w:val="22"/>
        </w:rPr>
        <w:t>n</w:t>
      </w:r>
      <w:r>
        <w:rPr>
          <w:spacing w:val="1"/>
          <w:szCs w:val="22"/>
        </w:rPr>
        <w:t>t</w:t>
      </w:r>
      <w:r>
        <w:rPr>
          <w:spacing w:val="-2"/>
          <w:szCs w:val="22"/>
        </w:rPr>
        <w:t>r</w:t>
      </w:r>
      <w:r>
        <w:rPr>
          <w:szCs w:val="22"/>
        </w:rPr>
        <w:t>e pa</w:t>
      </w:r>
      <w:r>
        <w:rPr>
          <w:spacing w:val="-3"/>
          <w:szCs w:val="22"/>
        </w:rPr>
        <w:t>c</w:t>
      </w:r>
      <w:r>
        <w:rPr>
          <w:spacing w:val="-2"/>
          <w:szCs w:val="22"/>
        </w:rPr>
        <w:t>i</w:t>
      </w:r>
      <w:r>
        <w:rPr>
          <w:szCs w:val="22"/>
        </w:rPr>
        <w:t>en</w:t>
      </w:r>
      <w:r>
        <w:rPr>
          <w:spacing w:val="1"/>
          <w:szCs w:val="22"/>
        </w:rPr>
        <w:t>ț</w:t>
      </w:r>
      <w:r>
        <w:rPr>
          <w:szCs w:val="22"/>
        </w:rPr>
        <w:t>i</w:t>
      </w:r>
      <w:r>
        <w:rPr>
          <w:spacing w:val="-2"/>
          <w:szCs w:val="22"/>
        </w:rPr>
        <w:t xml:space="preserve"> </w:t>
      </w:r>
      <w:r>
        <w:rPr>
          <w:szCs w:val="22"/>
        </w:rPr>
        <w:t xml:space="preserve">au </w:t>
      </w:r>
      <w:r>
        <w:rPr>
          <w:spacing w:val="-3"/>
          <w:szCs w:val="22"/>
        </w:rPr>
        <w:t>c</w:t>
      </w:r>
      <w:r>
        <w:rPr>
          <w:szCs w:val="22"/>
        </w:rPr>
        <w:t>on</w:t>
      </w:r>
      <w:r>
        <w:rPr>
          <w:spacing w:val="-2"/>
          <w:szCs w:val="22"/>
        </w:rPr>
        <w:t>t</w:t>
      </w:r>
      <w:r>
        <w:rPr>
          <w:spacing w:val="1"/>
          <w:szCs w:val="22"/>
        </w:rPr>
        <w:t>i</w:t>
      </w:r>
      <w:r>
        <w:rPr>
          <w:szCs w:val="22"/>
        </w:rPr>
        <w:t>nu</w:t>
      </w:r>
      <w:r>
        <w:rPr>
          <w:spacing w:val="-3"/>
          <w:szCs w:val="22"/>
        </w:rPr>
        <w:t>a</w:t>
      </w:r>
      <w:r>
        <w:rPr>
          <w:szCs w:val="22"/>
        </w:rPr>
        <w:t>t</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2"/>
          <w:szCs w:val="22"/>
        </w:rPr>
        <w:t>t</w:t>
      </w:r>
      <w:r>
        <w:rPr>
          <w:szCs w:val="22"/>
        </w:rPr>
        <w:t>ul</w:t>
      </w:r>
      <w:r>
        <w:rPr>
          <w:spacing w:val="1"/>
          <w:szCs w:val="22"/>
        </w:rPr>
        <w:t xml:space="preserve"> i</w:t>
      </w:r>
      <w:r>
        <w:rPr>
          <w:spacing w:val="-3"/>
          <w:szCs w:val="22"/>
        </w:rPr>
        <w:t>n</w:t>
      </w:r>
      <w:r>
        <w:rPr>
          <w:spacing w:val="1"/>
          <w:szCs w:val="22"/>
        </w:rPr>
        <w:t>i</w:t>
      </w:r>
      <w:r>
        <w:rPr>
          <w:spacing w:val="-2"/>
          <w:szCs w:val="22"/>
        </w:rPr>
        <w:t>ţ</w:t>
      </w:r>
      <w:r>
        <w:rPr>
          <w:spacing w:val="1"/>
          <w:szCs w:val="22"/>
        </w:rPr>
        <w:t>i</w:t>
      </w:r>
      <w:r>
        <w:rPr>
          <w:spacing w:val="-3"/>
          <w:szCs w:val="22"/>
        </w:rPr>
        <w:t>a</w:t>
      </w:r>
      <w:r>
        <w:rPr>
          <w:szCs w:val="22"/>
        </w:rPr>
        <w:t>l cu</w:t>
      </w:r>
      <w:r>
        <w:rPr>
          <w:spacing w:val="-3"/>
          <w:szCs w:val="22"/>
        </w:rPr>
        <w:t xml:space="preserve"> </w:t>
      </w:r>
      <w:r>
        <w:rPr>
          <w:szCs w:val="22"/>
        </w:rPr>
        <w:t>an</w:t>
      </w:r>
      <w:r>
        <w:rPr>
          <w:spacing w:val="-2"/>
          <w:szCs w:val="22"/>
        </w:rPr>
        <w:t>t</w:t>
      </w:r>
      <w:r>
        <w:rPr>
          <w:spacing w:val="1"/>
          <w:szCs w:val="22"/>
        </w:rPr>
        <w:t>i</w:t>
      </w:r>
      <w:r>
        <w:rPr>
          <w:spacing w:val="-3"/>
          <w:szCs w:val="22"/>
        </w:rPr>
        <w:t>b</w:t>
      </w:r>
      <w:r>
        <w:rPr>
          <w:spacing w:val="1"/>
          <w:szCs w:val="22"/>
        </w:rPr>
        <w:t>i</w:t>
      </w:r>
      <w:r>
        <w:rPr>
          <w:szCs w:val="22"/>
        </w:rPr>
        <w:t>o</w:t>
      </w:r>
      <w:r>
        <w:rPr>
          <w:spacing w:val="-2"/>
          <w:szCs w:val="22"/>
        </w:rPr>
        <w:t>t</w:t>
      </w:r>
      <w:r>
        <w:rPr>
          <w:spacing w:val="1"/>
          <w:szCs w:val="22"/>
        </w:rPr>
        <w:t>i</w:t>
      </w:r>
      <w:r>
        <w:rPr>
          <w:szCs w:val="22"/>
        </w:rPr>
        <w:t>ce</w:t>
      </w:r>
      <w:r>
        <w:rPr>
          <w:spacing w:val="-2"/>
          <w:szCs w:val="22"/>
        </w:rPr>
        <w:t xml:space="preserve"> </w:t>
      </w:r>
      <w:r>
        <w:rPr>
          <w:szCs w:val="22"/>
        </w:rPr>
        <w:t xml:space="preserve">pe </w:t>
      </w:r>
      <w:r>
        <w:rPr>
          <w:spacing w:val="-3"/>
          <w:szCs w:val="22"/>
        </w:rPr>
        <w:t>c</w:t>
      </w:r>
      <w:r>
        <w:rPr>
          <w:szCs w:val="22"/>
        </w:rPr>
        <w:t>a</w:t>
      </w:r>
      <w:r>
        <w:rPr>
          <w:spacing w:val="1"/>
          <w:szCs w:val="22"/>
        </w:rPr>
        <w:t>l</w:t>
      </w:r>
      <w:r>
        <w:rPr>
          <w:szCs w:val="22"/>
        </w:rPr>
        <w:t xml:space="preserve">e </w:t>
      </w:r>
      <w:r>
        <w:rPr>
          <w:spacing w:val="-3"/>
          <w:szCs w:val="22"/>
        </w:rPr>
        <w:t>o</w:t>
      </w:r>
      <w:r>
        <w:rPr>
          <w:szCs w:val="22"/>
        </w:rPr>
        <w:t>r</w:t>
      </w:r>
      <w:r>
        <w:rPr>
          <w:spacing w:val="-3"/>
          <w:szCs w:val="22"/>
        </w:rPr>
        <w:t>a</w:t>
      </w:r>
      <w:r>
        <w:rPr>
          <w:spacing w:val="1"/>
          <w:szCs w:val="22"/>
        </w:rPr>
        <w:t>l</w:t>
      </w:r>
      <w:r>
        <w:rPr>
          <w:szCs w:val="22"/>
        </w:rPr>
        <w:t xml:space="preserve">ă. </w:t>
      </w:r>
      <w:r>
        <w:rPr>
          <w:spacing w:val="-1"/>
          <w:szCs w:val="22"/>
        </w:rPr>
        <w:t>D</w:t>
      </w:r>
      <w:r>
        <w:rPr>
          <w:szCs w:val="22"/>
        </w:rPr>
        <w:t>u</w:t>
      </w:r>
      <w:r>
        <w:rPr>
          <w:spacing w:val="-3"/>
          <w:szCs w:val="22"/>
        </w:rPr>
        <w:t>p</w:t>
      </w:r>
      <w:r>
        <w:rPr>
          <w:szCs w:val="22"/>
        </w:rPr>
        <w:t>ă 12 săp</w:t>
      </w:r>
      <w:r>
        <w:rPr>
          <w:spacing w:val="-2"/>
          <w:szCs w:val="22"/>
        </w:rPr>
        <w:t>t</w:t>
      </w:r>
      <w:r>
        <w:rPr>
          <w:szCs w:val="22"/>
        </w:rPr>
        <w:t>ă</w:t>
      </w:r>
      <w:r>
        <w:rPr>
          <w:spacing w:val="-4"/>
          <w:szCs w:val="22"/>
        </w:rPr>
        <w:t>m</w:t>
      </w:r>
      <w:r>
        <w:rPr>
          <w:szCs w:val="22"/>
        </w:rPr>
        <w:t>âni</w:t>
      </w:r>
      <w:r>
        <w:rPr>
          <w:spacing w:val="1"/>
          <w:szCs w:val="22"/>
        </w:rPr>
        <w:t xml:space="preserve"> </w:t>
      </w:r>
      <w:r>
        <w:rPr>
          <w:szCs w:val="22"/>
        </w:rPr>
        <w:t xml:space="preserve">de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 p</w:t>
      </w:r>
      <w:r>
        <w:rPr>
          <w:spacing w:val="-3"/>
          <w:szCs w:val="22"/>
        </w:rPr>
        <w:t>ac</w:t>
      </w:r>
      <w:r>
        <w:rPr>
          <w:spacing w:val="1"/>
          <w:szCs w:val="22"/>
        </w:rPr>
        <w:t>i</w:t>
      </w:r>
      <w:r>
        <w:rPr>
          <w:szCs w:val="22"/>
        </w:rPr>
        <w:t>en</w:t>
      </w:r>
      <w:r>
        <w:rPr>
          <w:spacing w:val="-2"/>
          <w:szCs w:val="22"/>
        </w:rPr>
        <w:t>ţi</w:t>
      </w:r>
      <w:r>
        <w:rPr>
          <w:szCs w:val="22"/>
        </w:rPr>
        <w:t>i</w:t>
      </w:r>
      <w:r>
        <w:rPr>
          <w:spacing w:val="1"/>
          <w:szCs w:val="22"/>
        </w:rPr>
        <w:t xml:space="preserve"> </w:t>
      </w:r>
      <w:r>
        <w:rPr>
          <w:szCs w:val="22"/>
        </w:rPr>
        <w:t>c</w:t>
      </w:r>
      <w:r>
        <w:rPr>
          <w:spacing w:val="-3"/>
          <w:szCs w:val="22"/>
        </w:rPr>
        <w:t>a</w:t>
      </w:r>
      <w:r>
        <w:rPr>
          <w:szCs w:val="22"/>
        </w:rPr>
        <w:t xml:space="preserve">re </w:t>
      </w:r>
      <w:r>
        <w:rPr>
          <w:spacing w:val="-3"/>
          <w:szCs w:val="22"/>
        </w:rPr>
        <w:t>a</w:t>
      </w:r>
      <w:r>
        <w:rPr>
          <w:szCs w:val="22"/>
        </w:rPr>
        <w:t>u 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spacing w:val="-3"/>
          <w:szCs w:val="22"/>
        </w:rPr>
        <w:t>p</w:t>
      </w:r>
      <w:r>
        <w:rPr>
          <w:szCs w:val="22"/>
        </w:rPr>
        <w:t>e</w:t>
      </w:r>
      <w:r>
        <w:rPr>
          <w:spacing w:val="-2"/>
          <w:szCs w:val="22"/>
        </w:rPr>
        <w:t>r</w:t>
      </w:r>
      <w:r>
        <w:rPr>
          <w:spacing w:val="1"/>
          <w:szCs w:val="22"/>
        </w:rPr>
        <w:t>i</w:t>
      </w:r>
      <w:r>
        <w:rPr>
          <w:szCs w:val="22"/>
        </w:rPr>
        <w:t>oa</w:t>
      </w:r>
      <w:r>
        <w:rPr>
          <w:spacing w:val="-3"/>
          <w:szCs w:val="22"/>
        </w:rPr>
        <w:t>d</w:t>
      </w:r>
      <w:r>
        <w:rPr>
          <w:szCs w:val="22"/>
        </w:rPr>
        <w:t>a A</w:t>
      </w:r>
      <w:r>
        <w:rPr>
          <w:spacing w:val="-1"/>
          <w:szCs w:val="22"/>
        </w:rPr>
        <w:t xml:space="preserve"> </w:t>
      </w:r>
      <w:r>
        <w:rPr>
          <w:szCs w:val="22"/>
        </w:rPr>
        <w:t>au</w:t>
      </w:r>
      <w:r>
        <w:rPr>
          <w:spacing w:val="-3"/>
          <w:szCs w:val="22"/>
        </w:rPr>
        <w:t xml:space="preserve"> </w:t>
      </w:r>
      <w:r>
        <w:rPr>
          <w:szCs w:val="22"/>
        </w:rPr>
        <w:t>fo</w:t>
      </w:r>
      <w:r>
        <w:rPr>
          <w:spacing w:val="-2"/>
          <w:szCs w:val="22"/>
        </w:rPr>
        <w:t>s</w:t>
      </w:r>
      <w:r>
        <w:rPr>
          <w:szCs w:val="22"/>
        </w:rPr>
        <w:t>t</w:t>
      </w:r>
      <w:r>
        <w:rPr>
          <w:spacing w:val="1"/>
          <w:szCs w:val="22"/>
        </w:rPr>
        <w:t xml:space="preserve"> </w:t>
      </w:r>
      <w:r>
        <w:rPr>
          <w:szCs w:val="22"/>
        </w:rPr>
        <w:t>re</w:t>
      </w:r>
      <w:r>
        <w:rPr>
          <w:spacing w:val="-4"/>
          <w:szCs w:val="22"/>
        </w:rPr>
        <w:t>-</w:t>
      </w:r>
      <w:r>
        <w:rPr>
          <w:szCs w:val="22"/>
        </w:rPr>
        <w:t>rando</w:t>
      </w:r>
      <w:r>
        <w:rPr>
          <w:spacing w:val="-4"/>
          <w:szCs w:val="22"/>
        </w:rPr>
        <w:t>m</w:t>
      </w:r>
      <w:r>
        <w:rPr>
          <w:spacing w:val="1"/>
          <w:szCs w:val="22"/>
        </w:rPr>
        <w:t>i</w:t>
      </w:r>
      <w:r>
        <w:rPr>
          <w:spacing w:val="-3"/>
          <w:szCs w:val="22"/>
        </w:rPr>
        <w:t>z</w:t>
      </w:r>
      <w:r>
        <w:rPr>
          <w:szCs w:val="22"/>
        </w:rPr>
        <w:t>a</w:t>
      </w:r>
      <w:r>
        <w:rPr>
          <w:spacing w:val="1"/>
          <w:szCs w:val="22"/>
        </w:rPr>
        <w:t>ţ</w:t>
      </w:r>
      <w:r>
        <w:rPr>
          <w:szCs w:val="22"/>
        </w:rPr>
        <w:t>i</w:t>
      </w:r>
      <w:r>
        <w:rPr>
          <w:spacing w:val="1"/>
          <w:szCs w:val="22"/>
        </w:rPr>
        <w:t xml:space="preserve"> î</w:t>
      </w:r>
      <w:r>
        <w:rPr>
          <w:szCs w:val="22"/>
        </w:rPr>
        <w:t xml:space="preserve">n </w:t>
      </w:r>
      <w:r>
        <w:rPr>
          <w:spacing w:val="-1"/>
          <w:szCs w:val="22"/>
        </w:rPr>
        <w:t>P</w:t>
      </w:r>
      <w:r>
        <w:rPr>
          <w:szCs w:val="22"/>
        </w:rPr>
        <w:t>er</w:t>
      </w:r>
      <w:r>
        <w:rPr>
          <w:spacing w:val="1"/>
          <w:szCs w:val="22"/>
        </w:rPr>
        <w:t>i</w:t>
      </w:r>
      <w:r>
        <w:rPr>
          <w:spacing w:val="-3"/>
          <w:szCs w:val="22"/>
        </w:rPr>
        <w:t>o</w:t>
      </w:r>
      <w:r>
        <w:rPr>
          <w:szCs w:val="22"/>
        </w:rPr>
        <w:t>ada B</w:t>
      </w:r>
      <w:r>
        <w:rPr>
          <w:spacing w:val="-4"/>
          <w:szCs w:val="22"/>
        </w:rPr>
        <w:t xml:space="preserve"> </w:t>
      </w:r>
      <w:r>
        <w:rPr>
          <w:spacing w:val="1"/>
          <w:szCs w:val="22"/>
        </w:rPr>
        <w:t>l</w:t>
      </w:r>
      <w:r>
        <w:rPr>
          <w:szCs w:val="22"/>
        </w:rPr>
        <w:t>a 1</w:t>
      </w:r>
      <w:r>
        <w:rPr>
          <w:spacing w:val="-3"/>
          <w:szCs w:val="22"/>
        </w:rPr>
        <w:t xml:space="preserve"> </w:t>
      </w:r>
      <w:r>
        <w:rPr>
          <w:szCs w:val="22"/>
        </w:rPr>
        <w:t>d</w:t>
      </w:r>
      <w:r>
        <w:rPr>
          <w:spacing w:val="1"/>
          <w:szCs w:val="22"/>
        </w:rPr>
        <w:t>i</w:t>
      </w:r>
      <w:r>
        <w:rPr>
          <w:szCs w:val="22"/>
        </w:rPr>
        <w:t>n 3</w:t>
      </w:r>
      <w:r>
        <w:rPr>
          <w:spacing w:val="-3"/>
          <w:szCs w:val="22"/>
        </w:rPr>
        <w:t xml:space="preserve"> g</w:t>
      </w:r>
      <w:r>
        <w:rPr>
          <w:szCs w:val="22"/>
        </w:rPr>
        <w:t>rup</w:t>
      </w:r>
      <w:r>
        <w:rPr>
          <w:spacing w:val="-3"/>
          <w:szCs w:val="22"/>
        </w:rPr>
        <w:t>u</w:t>
      </w:r>
      <w:r>
        <w:rPr>
          <w:szCs w:val="22"/>
        </w:rPr>
        <w:t>ri</w:t>
      </w:r>
      <w:r>
        <w:rPr>
          <w:spacing w:val="1"/>
          <w:szCs w:val="22"/>
        </w:rPr>
        <w:t xml:space="preserve"> </w:t>
      </w:r>
      <w:r>
        <w:rPr>
          <w:spacing w:val="-3"/>
          <w:szCs w:val="22"/>
        </w:rPr>
        <w:t>d</w:t>
      </w:r>
      <w:r>
        <w:rPr>
          <w:szCs w:val="22"/>
        </w:rPr>
        <w:t xml:space="preserve">e </w:t>
      </w:r>
      <w:r>
        <w:rPr>
          <w:spacing w:val="-2"/>
          <w:szCs w:val="22"/>
        </w:rPr>
        <w:t>t</w:t>
      </w:r>
      <w:r>
        <w:rPr>
          <w:szCs w:val="22"/>
        </w:rPr>
        <w:t>ra</w:t>
      </w:r>
      <w:r>
        <w:rPr>
          <w:spacing w:val="-2"/>
          <w:szCs w:val="22"/>
        </w:rPr>
        <w:t>t</w:t>
      </w:r>
      <w:r>
        <w:rPr>
          <w:szCs w:val="22"/>
        </w:rPr>
        <w:t>a</w:t>
      </w:r>
      <w:r>
        <w:rPr>
          <w:spacing w:val="-4"/>
          <w:szCs w:val="22"/>
        </w:rPr>
        <w:t>m</w:t>
      </w:r>
      <w:r>
        <w:rPr>
          <w:szCs w:val="22"/>
        </w:rPr>
        <w:t>ent</w:t>
      </w:r>
      <w:r>
        <w:rPr>
          <w:spacing w:val="1"/>
          <w:szCs w:val="22"/>
        </w:rPr>
        <w:t xml:space="preserve"> </w:t>
      </w:r>
      <w:r>
        <w:rPr>
          <w:szCs w:val="22"/>
        </w:rPr>
        <w:t>(</w:t>
      </w:r>
      <w:r>
        <w:rPr>
          <w:rFonts w:eastAsia="MS Mincho"/>
          <w:spacing w:val="-1"/>
          <w:szCs w:val="22"/>
          <w:lang w:eastAsia="en-US" w:bidi="ar-SA"/>
        </w:rPr>
        <w:t>adalimumab</w:t>
      </w:r>
      <w:r>
        <w:rPr>
          <w:szCs w:val="22"/>
        </w:rPr>
        <w:t xml:space="preserve"> 40</w:t>
      </w:r>
      <w:r>
        <w:rPr>
          <w:spacing w:val="-3"/>
          <w:szCs w:val="22"/>
        </w:rPr>
        <w:t> </w:t>
      </w:r>
      <w:r>
        <w:rPr>
          <w:spacing w:val="-2"/>
          <w:szCs w:val="22"/>
        </w:rPr>
        <w:t>m</w:t>
      </w:r>
      <w:r>
        <w:rPr>
          <w:szCs w:val="22"/>
        </w:rPr>
        <w:t>g</w:t>
      </w:r>
      <w:r>
        <w:rPr>
          <w:spacing w:val="-3"/>
          <w:szCs w:val="22"/>
        </w:rPr>
        <w:t xml:space="preserve"> </w:t>
      </w:r>
      <w:r>
        <w:rPr>
          <w:spacing w:val="1"/>
          <w:szCs w:val="22"/>
        </w:rPr>
        <w:t>î</w:t>
      </w:r>
      <w:r>
        <w:rPr>
          <w:szCs w:val="22"/>
        </w:rPr>
        <w:t>n f</w:t>
      </w:r>
      <w:r>
        <w:rPr>
          <w:spacing w:val="1"/>
          <w:szCs w:val="22"/>
        </w:rPr>
        <w:t>i</w:t>
      </w:r>
      <w:r>
        <w:rPr>
          <w:szCs w:val="22"/>
        </w:rPr>
        <w:t>e</w:t>
      </w:r>
      <w:r>
        <w:rPr>
          <w:spacing w:val="-3"/>
          <w:szCs w:val="22"/>
        </w:rPr>
        <w:t>c</w:t>
      </w:r>
      <w:r>
        <w:rPr>
          <w:szCs w:val="22"/>
        </w:rPr>
        <w:t>are</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 xml:space="preserve">ână, </w:t>
      </w:r>
      <w:r>
        <w:rPr>
          <w:rFonts w:eastAsia="MS Mincho"/>
          <w:spacing w:val="-1"/>
          <w:szCs w:val="22"/>
          <w:lang w:eastAsia="en-US" w:bidi="ar-SA"/>
        </w:rPr>
        <w:t>adalimumab</w:t>
      </w:r>
      <w:r>
        <w:rPr>
          <w:szCs w:val="22"/>
        </w:rPr>
        <w:t xml:space="preserve"> 40 </w:t>
      </w:r>
      <w:r>
        <w:rPr>
          <w:spacing w:val="-2"/>
          <w:szCs w:val="22"/>
        </w:rPr>
        <w:t>m</w:t>
      </w:r>
      <w:r>
        <w:rPr>
          <w:szCs w:val="22"/>
        </w:rPr>
        <w:t>g</w:t>
      </w:r>
      <w:r>
        <w:rPr>
          <w:spacing w:val="-3"/>
          <w:szCs w:val="22"/>
        </w:rPr>
        <w:t xml:space="preserve"> </w:t>
      </w:r>
      <w:r>
        <w:rPr>
          <w:spacing w:val="1"/>
          <w:szCs w:val="22"/>
        </w:rPr>
        <w:t>l</w:t>
      </w:r>
      <w:r>
        <w:rPr>
          <w:szCs w:val="22"/>
        </w:rPr>
        <w:t>a două săp</w:t>
      </w:r>
      <w:r>
        <w:rPr>
          <w:spacing w:val="-2"/>
          <w:szCs w:val="22"/>
        </w:rPr>
        <w:t>t</w:t>
      </w:r>
      <w:r>
        <w:rPr>
          <w:szCs w:val="22"/>
        </w:rPr>
        <w:t>ă</w:t>
      </w:r>
      <w:r>
        <w:rPr>
          <w:spacing w:val="-4"/>
          <w:szCs w:val="22"/>
        </w:rPr>
        <w:t>m</w:t>
      </w:r>
      <w:r>
        <w:rPr>
          <w:szCs w:val="22"/>
        </w:rPr>
        <w:t>âni</w:t>
      </w:r>
      <w:r>
        <w:rPr>
          <w:spacing w:val="1"/>
          <w:szCs w:val="22"/>
        </w:rPr>
        <w:t xml:space="preserve"> </w:t>
      </w:r>
      <w:r>
        <w:rPr>
          <w:szCs w:val="22"/>
        </w:rPr>
        <w:t xml:space="preserve">sau </w:t>
      </w:r>
      <w:r>
        <w:rPr>
          <w:spacing w:val="-3"/>
          <w:szCs w:val="22"/>
        </w:rPr>
        <w:t>p</w:t>
      </w:r>
      <w:r>
        <w:rPr>
          <w:spacing w:val="1"/>
          <w:szCs w:val="22"/>
        </w:rPr>
        <w:t>l</w:t>
      </w:r>
      <w:r>
        <w:rPr>
          <w:spacing w:val="-3"/>
          <w:szCs w:val="22"/>
        </w:rPr>
        <w:t>a</w:t>
      </w:r>
      <w:r>
        <w:rPr>
          <w:szCs w:val="22"/>
        </w:rPr>
        <w:t>cebo</w:t>
      </w:r>
      <w:r>
        <w:rPr>
          <w:spacing w:val="-1"/>
          <w:szCs w:val="22"/>
        </w:rPr>
        <w:t xml:space="preserve"> </w:t>
      </w:r>
      <w:r>
        <w:rPr>
          <w:spacing w:val="-3"/>
          <w:szCs w:val="22"/>
        </w:rPr>
        <w:t>d</w:t>
      </w:r>
      <w:r>
        <w:rPr>
          <w:spacing w:val="1"/>
          <w:szCs w:val="22"/>
        </w:rPr>
        <w:t>i</w:t>
      </w:r>
      <w:r>
        <w:rPr>
          <w:szCs w:val="22"/>
        </w:rPr>
        <w:t>n</w:t>
      </w:r>
      <w:r>
        <w:rPr>
          <w:spacing w:val="-3"/>
          <w:szCs w:val="22"/>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12 </w:t>
      </w:r>
      <w:r>
        <w:rPr>
          <w:spacing w:val="-3"/>
          <w:szCs w:val="22"/>
        </w:rPr>
        <w:t>p</w:t>
      </w:r>
      <w:r>
        <w:rPr>
          <w:szCs w:val="22"/>
        </w:rPr>
        <w:t>ână</w:t>
      </w:r>
      <w:r>
        <w:rPr>
          <w:spacing w:val="-2"/>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35). </w:t>
      </w:r>
      <w:r>
        <w:rPr>
          <w:spacing w:val="-1"/>
          <w:szCs w:val="22"/>
        </w:rPr>
        <w:t>P</w:t>
      </w:r>
      <w:r>
        <w:rPr>
          <w:szCs w:val="22"/>
        </w:rPr>
        <w:t>a</w:t>
      </w:r>
      <w:r>
        <w:rPr>
          <w:spacing w:val="-3"/>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pacing w:val="-3"/>
          <w:szCs w:val="22"/>
        </w:rPr>
        <w:t>c</w:t>
      </w:r>
      <w:r>
        <w:rPr>
          <w:szCs w:val="22"/>
        </w:rPr>
        <w:t>are</w:t>
      </w:r>
      <w:r>
        <w:rPr>
          <w:spacing w:val="-2"/>
          <w:szCs w:val="22"/>
        </w:rPr>
        <w:t xml:space="preserve"> </w:t>
      </w:r>
      <w:r>
        <w:rPr>
          <w:spacing w:val="-3"/>
          <w:szCs w:val="22"/>
        </w:rPr>
        <w:t>a</w:t>
      </w:r>
      <w:r>
        <w:rPr>
          <w:szCs w:val="22"/>
        </w:rPr>
        <w:t>u fo</w:t>
      </w:r>
      <w:r>
        <w:rPr>
          <w:spacing w:val="-2"/>
          <w:szCs w:val="22"/>
        </w:rPr>
        <w:t>s</w:t>
      </w:r>
      <w:r>
        <w:rPr>
          <w:szCs w:val="22"/>
        </w:rPr>
        <w:t>t</w:t>
      </w:r>
      <w:r>
        <w:rPr>
          <w:spacing w:val="1"/>
          <w:szCs w:val="22"/>
        </w:rPr>
        <w:t xml:space="preserve"> </w:t>
      </w:r>
      <w:r>
        <w:rPr>
          <w:spacing w:val="-2"/>
          <w:szCs w:val="22"/>
        </w:rPr>
        <w:t>r</w:t>
      </w:r>
      <w:r>
        <w:rPr>
          <w:szCs w:val="22"/>
        </w:rPr>
        <w:t>ando</w:t>
      </w:r>
      <w:r>
        <w:rPr>
          <w:spacing w:val="-4"/>
          <w:szCs w:val="22"/>
        </w:rPr>
        <w:t>m</w:t>
      </w:r>
      <w:r>
        <w:rPr>
          <w:spacing w:val="1"/>
          <w:szCs w:val="22"/>
        </w:rPr>
        <w:t>i</w:t>
      </w:r>
      <w:r>
        <w:rPr>
          <w:spacing w:val="-3"/>
          <w:szCs w:val="22"/>
        </w:rPr>
        <w:t>z</w:t>
      </w:r>
      <w:r>
        <w:rPr>
          <w:szCs w:val="22"/>
        </w:rPr>
        <w:t>a</w:t>
      </w:r>
      <w:r>
        <w:rPr>
          <w:spacing w:val="1"/>
          <w:szCs w:val="22"/>
        </w:rPr>
        <w:t>ț</w:t>
      </w:r>
      <w:r>
        <w:rPr>
          <w:szCs w:val="22"/>
        </w:rPr>
        <w:t>i</w:t>
      </w:r>
      <w:r>
        <w:rPr>
          <w:spacing w:val="-2"/>
          <w:szCs w:val="22"/>
        </w:rPr>
        <w:t xml:space="preserve"> </w:t>
      </w:r>
      <w:r>
        <w:rPr>
          <w:spacing w:val="1"/>
          <w:szCs w:val="22"/>
        </w:rPr>
        <w:t>l</w:t>
      </w:r>
      <w:r>
        <w:rPr>
          <w:szCs w:val="22"/>
        </w:rPr>
        <w:t>a p</w:t>
      </w:r>
      <w:r>
        <w:rPr>
          <w:spacing w:val="1"/>
          <w:szCs w:val="22"/>
        </w:rPr>
        <w:t>l</w:t>
      </w:r>
      <w:r>
        <w:rPr>
          <w:szCs w:val="22"/>
        </w:rPr>
        <w:t>a</w:t>
      </w:r>
      <w:r>
        <w:rPr>
          <w:spacing w:val="-3"/>
          <w:szCs w:val="22"/>
        </w:rPr>
        <w:t>c</w:t>
      </w:r>
      <w:r>
        <w:rPr>
          <w:szCs w:val="22"/>
        </w:rPr>
        <w:t xml:space="preserve">ebo </w:t>
      </w:r>
      <w:r>
        <w:rPr>
          <w:spacing w:val="-2"/>
          <w:szCs w:val="22"/>
        </w:rPr>
        <w:t>î</w:t>
      </w:r>
      <w:r>
        <w:rPr>
          <w:szCs w:val="22"/>
        </w:rPr>
        <w:t xml:space="preserve">n </w:t>
      </w:r>
      <w:r>
        <w:rPr>
          <w:spacing w:val="-1"/>
          <w:szCs w:val="22"/>
        </w:rPr>
        <w:t>P</w:t>
      </w:r>
      <w:r>
        <w:rPr>
          <w:spacing w:val="-3"/>
          <w:szCs w:val="22"/>
        </w:rPr>
        <w:t>e</w:t>
      </w:r>
      <w:r>
        <w:rPr>
          <w:szCs w:val="22"/>
        </w:rPr>
        <w:t>r</w:t>
      </w:r>
      <w:r>
        <w:rPr>
          <w:spacing w:val="1"/>
          <w:szCs w:val="22"/>
        </w:rPr>
        <w:t>i</w:t>
      </w:r>
      <w:r>
        <w:rPr>
          <w:spacing w:val="-3"/>
          <w:szCs w:val="22"/>
        </w:rPr>
        <w:t>o</w:t>
      </w:r>
      <w:r>
        <w:rPr>
          <w:szCs w:val="22"/>
        </w:rPr>
        <w:t>ada A</w:t>
      </w:r>
      <w:r>
        <w:rPr>
          <w:spacing w:val="-1"/>
          <w:szCs w:val="22"/>
        </w:rPr>
        <w:t xml:space="preserve"> </w:t>
      </w:r>
      <w:r>
        <w:rPr>
          <w:szCs w:val="22"/>
        </w:rPr>
        <w:t>au</w:t>
      </w:r>
      <w:r>
        <w:rPr>
          <w:spacing w:val="-3"/>
          <w:szCs w:val="22"/>
        </w:rPr>
        <w:t xml:space="preserve"> </w:t>
      </w:r>
      <w:r>
        <w:rPr>
          <w:szCs w:val="22"/>
        </w:rPr>
        <w:t>f</w:t>
      </w:r>
      <w:r>
        <w:rPr>
          <w:spacing w:val="-3"/>
          <w:szCs w:val="22"/>
        </w:rPr>
        <w:t>o</w:t>
      </w:r>
      <w:r>
        <w:rPr>
          <w:szCs w:val="22"/>
        </w:rPr>
        <w:t>st</w:t>
      </w:r>
      <w:r>
        <w:rPr>
          <w:spacing w:val="1"/>
          <w:szCs w:val="22"/>
        </w:rPr>
        <w:t xml:space="preserve"> </w:t>
      </w:r>
      <w:r>
        <w:rPr>
          <w:szCs w:val="22"/>
        </w:rPr>
        <w:t>d</w:t>
      </w:r>
      <w:r>
        <w:rPr>
          <w:spacing w:val="-3"/>
          <w:szCs w:val="22"/>
        </w:rPr>
        <w:t>e</w:t>
      </w:r>
      <w:r>
        <w:rPr>
          <w:szCs w:val="22"/>
        </w:rPr>
        <w:t>se</w:t>
      </w:r>
      <w:r>
        <w:rPr>
          <w:spacing w:val="-4"/>
          <w:szCs w:val="22"/>
        </w:rPr>
        <w:t>m</w:t>
      </w:r>
      <w:r>
        <w:rPr>
          <w:szCs w:val="22"/>
        </w:rPr>
        <w:t>na</w:t>
      </w:r>
      <w:r>
        <w:rPr>
          <w:spacing w:val="1"/>
          <w:szCs w:val="22"/>
        </w:rPr>
        <w:t>ţ</w:t>
      </w:r>
      <w:r>
        <w:rPr>
          <w:szCs w:val="22"/>
        </w:rPr>
        <w:t>i</w:t>
      </w:r>
      <w:r>
        <w:rPr>
          <w:spacing w:val="-2"/>
          <w:szCs w:val="22"/>
        </w:rPr>
        <w:t xml:space="preserve"> </w:t>
      </w:r>
      <w:r>
        <w:rPr>
          <w:szCs w:val="22"/>
        </w:rPr>
        <w:t xml:space="preserve">să </w:t>
      </w:r>
      <w:r>
        <w:rPr>
          <w:spacing w:val="-3"/>
          <w:szCs w:val="22"/>
        </w:rPr>
        <w:t>p</w:t>
      </w:r>
      <w:r>
        <w:rPr>
          <w:szCs w:val="22"/>
        </w:rPr>
        <w:t>r</w:t>
      </w:r>
      <w:r>
        <w:rPr>
          <w:spacing w:val="1"/>
          <w:szCs w:val="22"/>
        </w:rPr>
        <w:t>i</w:t>
      </w:r>
      <w:r>
        <w:rPr>
          <w:spacing w:val="-4"/>
          <w:szCs w:val="22"/>
        </w:rPr>
        <w:t>m</w:t>
      </w:r>
      <w:r>
        <w:rPr>
          <w:szCs w:val="22"/>
        </w:rPr>
        <w:t>ească</w:t>
      </w:r>
      <w:r>
        <w:rPr>
          <w:spacing w:val="-2"/>
          <w:szCs w:val="22"/>
        </w:rPr>
        <w:t xml:space="preserve"> </w:t>
      </w:r>
      <w:r>
        <w:rPr>
          <w:spacing w:val="-3"/>
          <w:szCs w:val="22"/>
        </w:rPr>
        <w:t>p</w:t>
      </w:r>
      <w:r>
        <w:rPr>
          <w:spacing w:val="1"/>
          <w:szCs w:val="22"/>
        </w:rPr>
        <w:t>l</w:t>
      </w:r>
      <w:r>
        <w:rPr>
          <w:szCs w:val="22"/>
        </w:rPr>
        <w:t>ac</w:t>
      </w:r>
      <w:r>
        <w:rPr>
          <w:spacing w:val="-3"/>
          <w:szCs w:val="22"/>
        </w:rPr>
        <w:t>e</w:t>
      </w:r>
      <w:r>
        <w:rPr>
          <w:szCs w:val="22"/>
        </w:rPr>
        <w:t xml:space="preserve">bo </w:t>
      </w:r>
      <w:r>
        <w:rPr>
          <w:spacing w:val="1"/>
          <w:szCs w:val="22"/>
        </w:rPr>
        <w:t>î</w:t>
      </w:r>
      <w:r>
        <w:rPr>
          <w:szCs w:val="22"/>
        </w:rPr>
        <w:t>n</w:t>
      </w:r>
      <w:r>
        <w:rPr>
          <w:spacing w:val="-3"/>
          <w:szCs w:val="22"/>
        </w:rPr>
        <w:t xml:space="preserve"> </w:t>
      </w:r>
      <w:r>
        <w:rPr>
          <w:spacing w:val="-1"/>
          <w:szCs w:val="22"/>
        </w:rPr>
        <w:t>P</w:t>
      </w:r>
      <w:r>
        <w:rPr>
          <w:szCs w:val="22"/>
        </w:rPr>
        <w:t>e</w:t>
      </w:r>
      <w:r>
        <w:rPr>
          <w:spacing w:val="-2"/>
          <w:szCs w:val="22"/>
        </w:rPr>
        <w:t>r</w:t>
      </w:r>
      <w:r>
        <w:rPr>
          <w:spacing w:val="1"/>
          <w:szCs w:val="22"/>
        </w:rPr>
        <w:t>i</w:t>
      </w:r>
      <w:r>
        <w:rPr>
          <w:szCs w:val="22"/>
        </w:rPr>
        <w:t>o</w:t>
      </w:r>
      <w:r>
        <w:rPr>
          <w:spacing w:val="-3"/>
          <w:szCs w:val="22"/>
        </w:rPr>
        <w:t>a</w:t>
      </w:r>
      <w:r>
        <w:rPr>
          <w:szCs w:val="22"/>
        </w:rPr>
        <w:t xml:space="preserve">da </w:t>
      </w:r>
      <w:r>
        <w:rPr>
          <w:spacing w:val="-1"/>
          <w:szCs w:val="22"/>
        </w:rPr>
        <w:t>B</w:t>
      </w:r>
      <w:r>
        <w:rPr>
          <w:szCs w:val="22"/>
        </w:rPr>
        <w:t>.</w:t>
      </w:r>
    </w:p>
    <w:p w14:paraId="639F42B6" w14:textId="77777777" w:rsidR="00C04CAD" w:rsidRDefault="00C04CAD">
      <w:pPr>
        <w:tabs>
          <w:tab w:val="clear" w:pos="567"/>
        </w:tabs>
        <w:kinsoku w:val="0"/>
        <w:overflowPunct w:val="0"/>
        <w:autoSpaceDE w:val="0"/>
        <w:autoSpaceDN w:val="0"/>
        <w:adjustRightInd w:val="0"/>
        <w:spacing w:line="240" w:lineRule="auto"/>
        <w:rPr>
          <w:szCs w:val="22"/>
        </w:rPr>
      </w:pPr>
    </w:p>
    <w:p w14:paraId="6FCF238B"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P</w:t>
      </w:r>
      <w:r>
        <w:rPr>
          <w:szCs w:val="22"/>
        </w:rPr>
        <w:t>ac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1"/>
          <w:szCs w:val="22"/>
        </w:rPr>
        <w:t xml:space="preserve"> </w:t>
      </w:r>
      <w:r>
        <w:rPr>
          <w:spacing w:val="-3"/>
          <w:szCs w:val="22"/>
        </w:rPr>
        <w:t>p</w:t>
      </w:r>
      <w:r>
        <w:rPr>
          <w:szCs w:val="22"/>
        </w:rPr>
        <w:t>a</w:t>
      </w:r>
      <w:r>
        <w:rPr>
          <w:spacing w:val="-2"/>
          <w:szCs w:val="22"/>
        </w:rPr>
        <w:t>r</w:t>
      </w:r>
      <w:r>
        <w:rPr>
          <w:spacing w:val="1"/>
          <w:szCs w:val="22"/>
        </w:rPr>
        <w:t>ti</w:t>
      </w:r>
      <w:r>
        <w:rPr>
          <w:spacing w:val="-3"/>
          <w:szCs w:val="22"/>
        </w:rPr>
        <w:t>c</w:t>
      </w:r>
      <w:r>
        <w:rPr>
          <w:spacing w:val="1"/>
          <w:szCs w:val="22"/>
        </w:rPr>
        <w:t>i</w:t>
      </w:r>
      <w:r>
        <w:rPr>
          <w:szCs w:val="22"/>
        </w:rPr>
        <w:t>p</w:t>
      </w:r>
      <w:r>
        <w:rPr>
          <w:spacing w:val="-3"/>
          <w:szCs w:val="22"/>
        </w:rPr>
        <w:t>a</w:t>
      </w:r>
      <w:r>
        <w:rPr>
          <w:szCs w:val="22"/>
        </w:rPr>
        <w:t>n</w:t>
      </w:r>
      <w:r>
        <w:rPr>
          <w:spacing w:val="-2"/>
          <w:szCs w:val="22"/>
        </w:rPr>
        <w:t>ţ</w:t>
      </w:r>
      <w:r>
        <w:rPr>
          <w:szCs w:val="22"/>
        </w:rPr>
        <w:t>i</w:t>
      </w:r>
      <w:r>
        <w:rPr>
          <w:spacing w:val="1"/>
          <w:szCs w:val="22"/>
        </w:rPr>
        <w:t xml:space="preserve"> </w:t>
      </w:r>
      <w:r>
        <w:rPr>
          <w:spacing w:val="-2"/>
          <w:szCs w:val="22"/>
        </w:rPr>
        <w:t>l</w:t>
      </w:r>
      <w:r>
        <w:rPr>
          <w:szCs w:val="22"/>
        </w:rPr>
        <w:t xml:space="preserve">a </w:t>
      </w:r>
      <w:r>
        <w:rPr>
          <w:spacing w:val="-2"/>
          <w:szCs w:val="22"/>
        </w:rPr>
        <w:t>s</w:t>
      </w:r>
      <w:r>
        <w:rPr>
          <w:spacing w:val="1"/>
          <w:szCs w:val="22"/>
        </w:rPr>
        <w:t>t</w:t>
      </w:r>
      <w:r>
        <w:rPr>
          <w:spacing w:val="-3"/>
          <w:szCs w:val="22"/>
        </w:rPr>
        <w:t>u</w:t>
      </w:r>
      <w:r>
        <w:rPr>
          <w:spacing w:val="-1"/>
          <w:szCs w:val="22"/>
        </w:rPr>
        <w:t>d</w:t>
      </w:r>
      <w:r>
        <w:rPr>
          <w:spacing w:val="1"/>
          <w:szCs w:val="22"/>
        </w:rPr>
        <w:t>i</w:t>
      </w:r>
      <w:r>
        <w:rPr>
          <w:spacing w:val="-2"/>
          <w:szCs w:val="22"/>
        </w:rPr>
        <w:t>i</w:t>
      </w:r>
      <w:r>
        <w:rPr>
          <w:spacing w:val="1"/>
          <w:szCs w:val="22"/>
        </w:rPr>
        <w:t>l</w:t>
      </w:r>
      <w:r>
        <w:rPr>
          <w:szCs w:val="22"/>
        </w:rPr>
        <w:t xml:space="preserve">e </w:t>
      </w:r>
      <w:r>
        <w:rPr>
          <w:spacing w:val="-2"/>
          <w:szCs w:val="22"/>
        </w:rPr>
        <w:t>H</w:t>
      </w:r>
      <w:r>
        <w:rPr>
          <w:spacing w:val="-1"/>
          <w:szCs w:val="22"/>
        </w:rPr>
        <w:t>S</w:t>
      </w:r>
      <w:r>
        <w:rPr>
          <w:spacing w:val="-2"/>
          <w:szCs w:val="22"/>
        </w:rPr>
        <w:t>-</w:t>
      </w:r>
      <w:r>
        <w:rPr>
          <w:szCs w:val="22"/>
        </w:rPr>
        <w:t>I</w:t>
      </w:r>
      <w:r>
        <w:rPr>
          <w:spacing w:val="-4"/>
          <w:szCs w:val="22"/>
        </w:rPr>
        <w:t xml:space="preserve"> </w:t>
      </w:r>
      <w:r>
        <w:rPr>
          <w:szCs w:val="22"/>
        </w:rPr>
        <w:t>și</w:t>
      </w:r>
      <w:r>
        <w:rPr>
          <w:spacing w:val="1"/>
          <w:szCs w:val="22"/>
        </w:rPr>
        <w:t xml:space="preserve"> </w:t>
      </w:r>
      <w:r>
        <w:rPr>
          <w:spacing w:val="-1"/>
          <w:szCs w:val="22"/>
        </w:rPr>
        <w:t>H</w:t>
      </w:r>
      <w:r>
        <w:rPr>
          <w:spacing w:val="2"/>
          <w:szCs w:val="22"/>
        </w:rPr>
        <w:t>S</w:t>
      </w:r>
      <w:r>
        <w:rPr>
          <w:spacing w:val="-2"/>
          <w:szCs w:val="22"/>
        </w:rPr>
        <w:t>-I</w:t>
      </w:r>
      <w:r>
        <w:rPr>
          <w:szCs w:val="22"/>
        </w:rPr>
        <w:t>I</w:t>
      </w:r>
      <w:r>
        <w:rPr>
          <w:spacing w:val="-2"/>
          <w:szCs w:val="22"/>
        </w:rPr>
        <w:t xml:space="preserve"> </w:t>
      </w:r>
      <w:r>
        <w:rPr>
          <w:szCs w:val="22"/>
        </w:rPr>
        <w:t>au f</w:t>
      </w:r>
      <w:r>
        <w:rPr>
          <w:spacing w:val="-1"/>
          <w:szCs w:val="22"/>
        </w:rPr>
        <w:t>o</w:t>
      </w:r>
      <w:r>
        <w:rPr>
          <w:szCs w:val="22"/>
        </w:rPr>
        <w:t>st</w:t>
      </w:r>
      <w:r>
        <w:rPr>
          <w:spacing w:val="-2"/>
          <w:szCs w:val="22"/>
        </w:rPr>
        <w:t xml:space="preserve"> </w:t>
      </w:r>
      <w:r>
        <w:rPr>
          <w:spacing w:val="-3"/>
          <w:szCs w:val="22"/>
        </w:rPr>
        <w:t>e</w:t>
      </w:r>
      <w:r>
        <w:rPr>
          <w:spacing w:val="1"/>
          <w:szCs w:val="22"/>
        </w:rPr>
        <w:t>li</w:t>
      </w:r>
      <w:r>
        <w:rPr>
          <w:spacing w:val="-3"/>
          <w:szCs w:val="22"/>
        </w:rPr>
        <w:t>g</w:t>
      </w:r>
      <w:r>
        <w:rPr>
          <w:spacing w:val="1"/>
          <w:szCs w:val="22"/>
        </w:rPr>
        <w:t>i</w:t>
      </w:r>
      <w:r>
        <w:rPr>
          <w:szCs w:val="22"/>
        </w:rPr>
        <w:t>b</w:t>
      </w:r>
      <w:r>
        <w:rPr>
          <w:spacing w:val="-2"/>
          <w:szCs w:val="22"/>
        </w:rPr>
        <w:t>i</w:t>
      </w:r>
      <w:r>
        <w:rPr>
          <w:spacing w:val="1"/>
          <w:szCs w:val="22"/>
        </w:rPr>
        <w:t>l</w:t>
      </w:r>
      <w:r>
        <w:rPr>
          <w:szCs w:val="22"/>
        </w:rPr>
        <w:t>i</w:t>
      </w:r>
      <w:r>
        <w:rPr>
          <w:spacing w:val="-2"/>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 xml:space="preserve">a </w:t>
      </w:r>
      <w:r>
        <w:rPr>
          <w:spacing w:val="-2"/>
          <w:szCs w:val="22"/>
        </w:rPr>
        <w:t>f</w:t>
      </w:r>
      <w:r>
        <w:rPr>
          <w:szCs w:val="22"/>
        </w:rPr>
        <w:t>i</w:t>
      </w:r>
      <w:r>
        <w:rPr>
          <w:spacing w:val="1"/>
          <w:szCs w:val="22"/>
        </w:rPr>
        <w:t xml:space="preserve"> î</w:t>
      </w:r>
      <w:r>
        <w:rPr>
          <w:spacing w:val="-3"/>
          <w:szCs w:val="22"/>
        </w:rPr>
        <w:t>n</w:t>
      </w:r>
      <w:r>
        <w:rPr>
          <w:szCs w:val="22"/>
        </w:rPr>
        <w:t>r</w:t>
      </w:r>
      <w:r>
        <w:rPr>
          <w:spacing w:val="-3"/>
          <w:szCs w:val="22"/>
        </w:rPr>
        <w:t>o</w:t>
      </w:r>
      <w:r>
        <w:rPr>
          <w:spacing w:val="1"/>
          <w:szCs w:val="22"/>
        </w:rPr>
        <w:t>l</w:t>
      </w:r>
      <w:r>
        <w:rPr>
          <w:szCs w:val="22"/>
        </w:rPr>
        <w:t>a</w:t>
      </w:r>
      <w:r>
        <w:rPr>
          <w:spacing w:val="-2"/>
          <w:szCs w:val="22"/>
        </w:rPr>
        <w:t>ţ</w:t>
      </w:r>
      <w:r>
        <w:rPr>
          <w:szCs w:val="22"/>
        </w:rPr>
        <w:t>i</w:t>
      </w:r>
      <w:r>
        <w:rPr>
          <w:spacing w:val="-2"/>
          <w:szCs w:val="22"/>
        </w:rPr>
        <w:t xml:space="preserve"> î</w:t>
      </w:r>
      <w:r>
        <w:rPr>
          <w:szCs w:val="22"/>
        </w:rPr>
        <w:t>n</w:t>
      </w:r>
      <w:r>
        <w:rPr>
          <w:spacing w:val="1"/>
          <w:szCs w:val="22"/>
        </w:rPr>
        <w:t>t</w:t>
      </w:r>
      <w:r>
        <w:rPr>
          <w:szCs w:val="22"/>
        </w:rPr>
        <w:t>r</w:t>
      </w:r>
      <w:r>
        <w:rPr>
          <w:spacing w:val="-4"/>
          <w:szCs w:val="22"/>
        </w:rPr>
        <w:t>-</w:t>
      </w:r>
      <w:r>
        <w:rPr>
          <w:szCs w:val="22"/>
        </w:rPr>
        <w:t>un s</w:t>
      </w:r>
      <w:r>
        <w:rPr>
          <w:spacing w:val="1"/>
          <w:szCs w:val="22"/>
        </w:rPr>
        <w:t>t</w:t>
      </w:r>
      <w:r>
        <w:rPr>
          <w:szCs w:val="22"/>
        </w:rPr>
        <w:t>u</w:t>
      </w:r>
      <w:r>
        <w:rPr>
          <w:spacing w:val="-3"/>
          <w:szCs w:val="22"/>
        </w:rPr>
        <w:t>d</w:t>
      </w:r>
      <w:r>
        <w:rPr>
          <w:spacing w:val="1"/>
          <w:szCs w:val="22"/>
        </w:rPr>
        <w:t>i</w:t>
      </w:r>
      <w:r>
        <w:rPr>
          <w:szCs w:val="22"/>
        </w:rPr>
        <w:t>u d</w:t>
      </w:r>
      <w:r>
        <w:rPr>
          <w:spacing w:val="-3"/>
          <w:szCs w:val="22"/>
        </w:rPr>
        <w:t>e</w:t>
      </w:r>
      <w:r>
        <w:rPr>
          <w:szCs w:val="22"/>
        </w:rPr>
        <w:t>sc</w:t>
      </w:r>
      <w:r>
        <w:rPr>
          <w:spacing w:val="-3"/>
          <w:szCs w:val="22"/>
        </w:rPr>
        <w:t>h</w:t>
      </w:r>
      <w:r>
        <w:rPr>
          <w:spacing w:val="1"/>
          <w:szCs w:val="22"/>
        </w:rPr>
        <w:t>i</w:t>
      </w:r>
      <w:r>
        <w:rPr>
          <w:szCs w:val="22"/>
        </w:rPr>
        <w:t>s ex</w:t>
      </w:r>
      <w:r>
        <w:rPr>
          <w:spacing w:val="1"/>
          <w:szCs w:val="22"/>
        </w:rPr>
        <w:t>t</w:t>
      </w:r>
      <w:r>
        <w:rPr>
          <w:spacing w:val="-2"/>
          <w:szCs w:val="22"/>
        </w:rPr>
        <w:t>i</w:t>
      </w:r>
      <w:r>
        <w:rPr>
          <w:szCs w:val="22"/>
        </w:rPr>
        <w:t>ns</w:t>
      </w:r>
      <w:r>
        <w:rPr>
          <w:spacing w:val="-2"/>
          <w:szCs w:val="22"/>
        </w:rPr>
        <w:t xml:space="preserve"> </w:t>
      </w:r>
      <w:r>
        <w:rPr>
          <w:spacing w:val="1"/>
          <w:szCs w:val="22"/>
        </w:rPr>
        <w:t>î</w:t>
      </w:r>
      <w:r>
        <w:rPr>
          <w:szCs w:val="22"/>
        </w:rPr>
        <w:t>n c</w:t>
      </w:r>
      <w:r>
        <w:rPr>
          <w:spacing w:val="-3"/>
          <w:szCs w:val="22"/>
        </w:rPr>
        <w:t>a</w:t>
      </w:r>
      <w:r>
        <w:rPr>
          <w:szCs w:val="22"/>
        </w:rPr>
        <w:t xml:space="preserve">re </w:t>
      </w:r>
      <w:r>
        <w:rPr>
          <w:rFonts w:eastAsia="MS Mincho"/>
          <w:spacing w:val="-1"/>
          <w:szCs w:val="22"/>
          <w:lang w:eastAsia="en-US" w:bidi="ar-SA"/>
        </w:rPr>
        <w:t>adalimumab</w:t>
      </w:r>
      <w:r>
        <w:rPr>
          <w:szCs w:val="22"/>
        </w:rPr>
        <w:t xml:space="preserve"> </w:t>
      </w:r>
      <w:r>
        <w:rPr>
          <w:spacing w:val="-3"/>
          <w:szCs w:val="22"/>
        </w:rPr>
        <w:t>4</w:t>
      </w:r>
      <w:r>
        <w:rPr>
          <w:szCs w:val="22"/>
        </w:rPr>
        <w:t>0 </w:t>
      </w:r>
      <w:r>
        <w:rPr>
          <w:spacing w:val="-2"/>
          <w:szCs w:val="22"/>
        </w:rPr>
        <w:t>m</w:t>
      </w:r>
      <w:r>
        <w:rPr>
          <w:szCs w:val="22"/>
        </w:rPr>
        <w:t>g</w:t>
      </w:r>
      <w:r>
        <w:rPr>
          <w:spacing w:val="-3"/>
          <w:szCs w:val="22"/>
        </w:rPr>
        <w:t xml:space="preserve"> </w:t>
      </w:r>
      <w:r>
        <w:rPr>
          <w:szCs w:val="22"/>
        </w:rPr>
        <w:t>a fost</w:t>
      </w:r>
      <w:r>
        <w:rPr>
          <w:spacing w:val="1"/>
          <w:szCs w:val="22"/>
        </w:rPr>
        <w:t xml:space="preserve"> </w:t>
      </w:r>
      <w:r>
        <w:rPr>
          <w:spacing w:val="-3"/>
          <w:szCs w:val="22"/>
        </w:rPr>
        <w:t>a</w:t>
      </w:r>
      <w:r>
        <w:rPr>
          <w:szCs w:val="22"/>
        </w:rPr>
        <w:t>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t</w:t>
      </w:r>
      <w:r>
        <w:rPr>
          <w:spacing w:val="1"/>
          <w:szCs w:val="22"/>
        </w:rPr>
        <w:t xml:space="preserve"> î</w:t>
      </w:r>
      <w:r>
        <w:rPr>
          <w:szCs w:val="22"/>
        </w:rPr>
        <w:t>n</w:t>
      </w:r>
      <w:r>
        <w:rPr>
          <w:spacing w:val="-3"/>
          <w:szCs w:val="22"/>
        </w:rPr>
        <w:t xml:space="preserve"> </w:t>
      </w:r>
      <w:r>
        <w:rPr>
          <w:spacing w:val="-2"/>
          <w:szCs w:val="22"/>
        </w:rPr>
        <w:t>f</w:t>
      </w:r>
      <w:r>
        <w:rPr>
          <w:spacing w:val="1"/>
          <w:szCs w:val="22"/>
        </w:rPr>
        <w:t>i</w:t>
      </w:r>
      <w:r>
        <w:rPr>
          <w:szCs w:val="22"/>
        </w:rPr>
        <w:t>ec</w:t>
      </w:r>
      <w:r>
        <w:rPr>
          <w:spacing w:val="-3"/>
          <w:szCs w:val="22"/>
        </w:rPr>
        <w:t>a</w:t>
      </w:r>
      <w:r>
        <w:rPr>
          <w:szCs w:val="22"/>
        </w:rPr>
        <w:t>re s</w:t>
      </w:r>
      <w:r>
        <w:rPr>
          <w:spacing w:val="-3"/>
          <w:szCs w:val="22"/>
        </w:rPr>
        <w:t>ă</w:t>
      </w:r>
      <w:r>
        <w:rPr>
          <w:szCs w:val="22"/>
        </w:rPr>
        <w:t>p</w:t>
      </w:r>
      <w:r>
        <w:rPr>
          <w:spacing w:val="1"/>
          <w:szCs w:val="22"/>
        </w:rPr>
        <w:t>t</w:t>
      </w:r>
      <w:r>
        <w:rPr>
          <w:szCs w:val="22"/>
        </w:rPr>
        <w:t>ă</w:t>
      </w:r>
      <w:r>
        <w:rPr>
          <w:spacing w:val="-4"/>
          <w:szCs w:val="22"/>
        </w:rPr>
        <w:t>m</w:t>
      </w:r>
      <w:r>
        <w:rPr>
          <w:szCs w:val="22"/>
        </w:rPr>
        <w:t xml:space="preserve">ână. Expunerea medie la nivelul întregii populații tratate cu adalimumab a fost de 762 zile. </w:t>
      </w:r>
      <w:r>
        <w:rPr>
          <w:spacing w:val="-1"/>
          <w:szCs w:val="22"/>
        </w:rPr>
        <w:t>P</w:t>
      </w:r>
      <w:r>
        <w:rPr>
          <w:szCs w:val="22"/>
        </w:rPr>
        <w:t>e</w:t>
      </w:r>
      <w:r>
        <w:rPr>
          <w:spacing w:val="-2"/>
          <w:szCs w:val="22"/>
        </w:rPr>
        <w:t xml:space="preserve"> </w:t>
      </w:r>
      <w:r>
        <w:rPr>
          <w:szCs w:val="22"/>
        </w:rPr>
        <w:t>pa</w:t>
      </w:r>
      <w:r>
        <w:rPr>
          <w:spacing w:val="-2"/>
          <w:szCs w:val="22"/>
        </w:rPr>
        <w:t>r</w:t>
      </w:r>
      <w:r>
        <w:rPr>
          <w:szCs w:val="22"/>
        </w:rPr>
        <w:t>cu</w:t>
      </w:r>
      <w:r>
        <w:rPr>
          <w:spacing w:val="-2"/>
          <w:szCs w:val="22"/>
        </w:rPr>
        <w:t>r</w:t>
      </w:r>
      <w:r>
        <w:rPr>
          <w:szCs w:val="22"/>
        </w:rPr>
        <w:t>sul</w:t>
      </w:r>
      <w:r>
        <w:rPr>
          <w:spacing w:val="-2"/>
          <w:szCs w:val="22"/>
        </w:rPr>
        <w:t xml:space="preserve"> </w:t>
      </w:r>
      <w:r>
        <w:rPr>
          <w:szCs w:val="22"/>
        </w:rPr>
        <w:t>ce</w:t>
      </w:r>
      <w:r>
        <w:rPr>
          <w:spacing w:val="1"/>
          <w:szCs w:val="22"/>
        </w:rPr>
        <w:t>l</w:t>
      </w:r>
      <w:r>
        <w:rPr>
          <w:spacing w:val="-3"/>
          <w:szCs w:val="22"/>
        </w:rPr>
        <w:t>o</w:t>
      </w:r>
      <w:r>
        <w:rPr>
          <w:szCs w:val="22"/>
        </w:rPr>
        <w:t>r</w:t>
      </w:r>
      <w:r>
        <w:rPr>
          <w:spacing w:val="1"/>
          <w:szCs w:val="22"/>
        </w:rPr>
        <w:t xml:space="preserve"> </w:t>
      </w:r>
      <w:r>
        <w:rPr>
          <w:szCs w:val="22"/>
        </w:rPr>
        <w:t xml:space="preserve">3 </w:t>
      </w:r>
      <w:r>
        <w:rPr>
          <w:spacing w:val="-2"/>
          <w:szCs w:val="22"/>
        </w:rPr>
        <w:t>s</w:t>
      </w:r>
      <w:r>
        <w:rPr>
          <w:spacing w:val="1"/>
          <w:szCs w:val="22"/>
        </w:rPr>
        <w:t>t</w:t>
      </w:r>
      <w:r>
        <w:rPr>
          <w:szCs w:val="22"/>
        </w:rPr>
        <w:t>u</w:t>
      </w:r>
      <w:r>
        <w:rPr>
          <w:spacing w:val="-3"/>
          <w:szCs w:val="22"/>
        </w:rPr>
        <w:t>d</w:t>
      </w:r>
      <w:r>
        <w:rPr>
          <w:spacing w:val="1"/>
          <w:szCs w:val="22"/>
        </w:rPr>
        <w:t xml:space="preserve">ii, </w:t>
      </w:r>
      <w:r>
        <w:rPr>
          <w:szCs w:val="22"/>
        </w:rPr>
        <w:t>pac</w:t>
      </w:r>
      <w:r>
        <w:rPr>
          <w:spacing w:val="-2"/>
          <w:szCs w:val="22"/>
        </w:rPr>
        <w:t>i</w:t>
      </w:r>
      <w:r>
        <w:rPr>
          <w:szCs w:val="22"/>
        </w:rPr>
        <w:t>en</w:t>
      </w:r>
      <w:r>
        <w:rPr>
          <w:spacing w:val="-2"/>
          <w:szCs w:val="22"/>
        </w:rPr>
        <w:t>ț</w:t>
      </w:r>
      <w:r>
        <w:rPr>
          <w:szCs w:val="22"/>
        </w:rPr>
        <w:t>ii</w:t>
      </w:r>
      <w:r>
        <w:rPr>
          <w:spacing w:val="-2"/>
          <w:szCs w:val="22"/>
        </w:rPr>
        <w:t xml:space="preserve"> </w:t>
      </w:r>
      <w:r>
        <w:rPr>
          <w:szCs w:val="22"/>
        </w:rPr>
        <w:t xml:space="preserve">au </w:t>
      </w:r>
      <w:r>
        <w:rPr>
          <w:spacing w:val="-3"/>
          <w:szCs w:val="22"/>
        </w:rPr>
        <w:t>u</w:t>
      </w:r>
      <w:r>
        <w:rPr>
          <w:spacing w:val="1"/>
          <w:szCs w:val="22"/>
        </w:rPr>
        <w:t>t</w:t>
      </w:r>
      <w:r>
        <w:rPr>
          <w:spacing w:val="-2"/>
          <w:szCs w:val="22"/>
        </w:rPr>
        <w:t>i</w:t>
      </w:r>
      <w:r>
        <w:rPr>
          <w:spacing w:val="1"/>
          <w:szCs w:val="22"/>
        </w:rPr>
        <w:t>li</w:t>
      </w:r>
      <w:r>
        <w:rPr>
          <w:spacing w:val="-3"/>
          <w:szCs w:val="22"/>
        </w:rPr>
        <w:t>z</w:t>
      </w:r>
      <w:r>
        <w:rPr>
          <w:szCs w:val="22"/>
        </w:rPr>
        <w:t>at</w:t>
      </w:r>
      <w:r>
        <w:rPr>
          <w:spacing w:val="1"/>
          <w:szCs w:val="22"/>
        </w:rPr>
        <w:t xml:space="preserve"> </w:t>
      </w:r>
      <w:r>
        <w:rPr>
          <w:spacing w:val="-3"/>
          <w:szCs w:val="22"/>
        </w:rPr>
        <w:t>z</w:t>
      </w:r>
      <w:r>
        <w:rPr>
          <w:spacing w:val="-2"/>
          <w:szCs w:val="22"/>
        </w:rPr>
        <w:t>i</w:t>
      </w:r>
      <w:r>
        <w:rPr>
          <w:spacing w:val="1"/>
          <w:szCs w:val="22"/>
        </w:rPr>
        <w:t>l</w:t>
      </w:r>
      <w:r>
        <w:rPr>
          <w:szCs w:val="22"/>
        </w:rPr>
        <w:t>n</w:t>
      </w:r>
      <w:r>
        <w:rPr>
          <w:spacing w:val="-2"/>
          <w:szCs w:val="22"/>
        </w:rPr>
        <w:t>i</w:t>
      </w:r>
      <w:r>
        <w:rPr>
          <w:szCs w:val="22"/>
        </w:rPr>
        <w:t xml:space="preserve">c </w:t>
      </w:r>
      <w:r>
        <w:rPr>
          <w:spacing w:val="-3"/>
          <w:szCs w:val="22"/>
        </w:rPr>
        <w:t>a</w:t>
      </w:r>
      <w:r>
        <w:rPr>
          <w:szCs w:val="22"/>
        </w:rPr>
        <w:t>n</w:t>
      </w:r>
      <w:r>
        <w:rPr>
          <w:spacing w:val="1"/>
          <w:szCs w:val="22"/>
        </w:rPr>
        <w:t>t</w:t>
      </w:r>
      <w:r>
        <w:rPr>
          <w:spacing w:val="-2"/>
          <w:szCs w:val="22"/>
        </w:rPr>
        <w:t>i</w:t>
      </w:r>
      <w:r>
        <w:rPr>
          <w:szCs w:val="22"/>
        </w:rPr>
        <w:t>se</w:t>
      </w:r>
      <w:r>
        <w:rPr>
          <w:spacing w:val="-3"/>
          <w:szCs w:val="22"/>
        </w:rPr>
        <w:t>p</w:t>
      </w:r>
      <w:r>
        <w:rPr>
          <w:spacing w:val="1"/>
          <w:szCs w:val="22"/>
        </w:rPr>
        <w:t>ti</w:t>
      </w:r>
      <w:r>
        <w:rPr>
          <w:spacing w:val="-3"/>
          <w:szCs w:val="22"/>
        </w:rPr>
        <w:t>c</w:t>
      </w:r>
      <w:r>
        <w:rPr>
          <w:szCs w:val="22"/>
        </w:rPr>
        <w:t xml:space="preserve">e </w:t>
      </w:r>
      <w:r>
        <w:rPr>
          <w:spacing w:val="1"/>
          <w:szCs w:val="22"/>
        </w:rPr>
        <w:t>t</w:t>
      </w:r>
      <w:r>
        <w:rPr>
          <w:spacing w:val="-3"/>
          <w:szCs w:val="22"/>
        </w:rPr>
        <w:t>o</w:t>
      </w:r>
      <w:r>
        <w:rPr>
          <w:szCs w:val="22"/>
        </w:rPr>
        <w:t>p</w:t>
      </w:r>
      <w:r>
        <w:rPr>
          <w:spacing w:val="1"/>
          <w:szCs w:val="22"/>
        </w:rPr>
        <w:t>i</w:t>
      </w:r>
      <w:r>
        <w:rPr>
          <w:spacing w:val="-3"/>
          <w:szCs w:val="22"/>
        </w:rPr>
        <w:t>c</w:t>
      </w:r>
      <w:r>
        <w:rPr>
          <w:szCs w:val="22"/>
        </w:rPr>
        <w:t>e pe</w:t>
      </w:r>
      <w:r>
        <w:rPr>
          <w:spacing w:val="-3"/>
          <w:szCs w:val="22"/>
        </w:rPr>
        <w:t>n</w:t>
      </w:r>
      <w:r>
        <w:rPr>
          <w:spacing w:val="1"/>
          <w:szCs w:val="22"/>
        </w:rPr>
        <w:t>t</w:t>
      </w:r>
      <w:r>
        <w:rPr>
          <w:spacing w:val="-2"/>
          <w:szCs w:val="22"/>
        </w:rPr>
        <w:t>r</w:t>
      </w:r>
      <w:r>
        <w:rPr>
          <w:szCs w:val="22"/>
        </w:rPr>
        <w:t>u sp</w:t>
      </w:r>
      <w:r>
        <w:rPr>
          <w:spacing w:val="-3"/>
          <w:szCs w:val="22"/>
        </w:rPr>
        <w:t>ă</w:t>
      </w:r>
      <w:r>
        <w:rPr>
          <w:spacing w:val="1"/>
          <w:szCs w:val="22"/>
        </w:rPr>
        <w:t>l</w:t>
      </w:r>
      <w:r>
        <w:rPr>
          <w:szCs w:val="22"/>
        </w:rPr>
        <w:t>a</w:t>
      </w:r>
      <w:r>
        <w:rPr>
          <w:spacing w:val="-2"/>
          <w:szCs w:val="22"/>
        </w:rPr>
        <w:t>r</w:t>
      </w:r>
      <w:r>
        <w:rPr>
          <w:szCs w:val="22"/>
        </w:rPr>
        <w:t>e.</w:t>
      </w:r>
    </w:p>
    <w:p w14:paraId="78938D1E" w14:textId="77777777" w:rsidR="00C04CAD" w:rsidRDefault="00C04CAD">
      <w:pPr>
        <w:tabs>
          <w:tab w:val="clear" w:pos="567"/>
        </w:tabs>
        <w:kinsoku w:val="0"/>
        <w:overflowPunct w:val="0"/>
        <w:autoSpaceDE w:val="0"/>
        <w:autoSpaceDN w:val="0"/>
        <w:adjustRightInd w:val="0"/>
        <w:spacing w:line="240" w:lineRule="auto"/>
        <w:rPr>
          <w:szCs w:val="22"/>
        </w:rPr>
      </w:pPr>
    </w:p>
    <w:p w14:paraId="4F99C164" w14:textId="77777777" w:rsidR="00C04CAD" w:rsidRDefault="00060E34">
      <w:pPr>
        <w:keepNext/>
        <w:tabs>
          <w:tab w:val="clear" w:pos="567"/>
        </w:tabs>
        <w:kinsoku w:val="0"/>
        <w:overflowPunct w:val="0"/>
        <w:autoSpaceDE w:val="0"/>
        <w:autoSpaceDN w:val="0"/>
        <w:adjustRightInd w:val="0"/>
        <w:spacing w:line="240" w:lineRule="auto"/>
        <w:rPr>
          <w:szCs w:val="22"/>
        </w:rPr>
      </w:pPr>
      <w:r>
        <w:rPr>
          <w:i/>
          <w:spacing w:val="-1"/>
          <w:szCs w:val="22"/>
          <w:u w:val="single"/>
        </w:rPr>
        <w:t>R</w:t>
      </w:r>
      <w:r>
        <w:rPr>
          <w:i/>
          <w:szCs w:val="22"/>
          <w:u w:val="single"/>
        </w:rPr>
        <w:t>ăspuns</w:t>
      </w:r>
      <w:r>
        <w:rPr>
          <w:i/>
          <w:spacing w:val="-3"/>
          <w:szCs w:val="22"/>
          <w:u w:val="single"/>
        </w:rPr>
        <w:t xml:space="preserve"> </w:t>
      </w:r>
      <w:r>
        <w:rPr>
          <w:i/>
          <w:szCs w:val="22"/>
          <w:u w:val="single"/>
        </w:rPr>
        <w:t>c</w:t>
      </w:r>
      <w:r>
        <w:rPr>
          <w:i/>
          <w:spacing w:val="-2"/>
          <w:szCs w:val="22"/>
          <w:u w:val="single"/>
        </w:rPr>
        <w:t>l</w:t>
      </w:r>
      <w:r>
        <w:rPr>
          <w:i/>
          <w:spacing w:val="1"/>
          <w:szCs w:val="22"/>
          <w:u w:val="single"/>
        </w:rPr>
        <w:t>i</w:t>
      </w:r>
      <w:r>
        <w:rPr>
          <w:i/>
          <w:szCs w:val="22"/>
          <w:u w:val="single"/>
        </w:rPr>
        <w:t>n</w:t>
      </w:r>
      <w:r>
        <w:rPr>
          <w:i/>
          <w:spacing w:val="-2"/>
          <w:szCs w:val="22"/>
          <w:u w:val="single"/>
        </w:rPr>
        <w:t>i</w:t>
      </w:r>
      <w:r>
        <w:rPr>
          <w:i/>
          <w:szCs w:val="22"/>
          <w:u w:val="single"/>
        </w:rPr>
        <w:t>c</w:t>
      </w:r>
    </w:p>
    <w:p w14:paraId="589CFF28" w14:textId="77777777" w:rsidR="00C04CAD" w:rsidRDefault="00C04CAD">
      <w:pPr>
        <w:keepNext/>
        <w:tabs>
          <w:tab w:val="clear" w:pos="567"/>
        </w:tabs>
        <w:kinsoku w:val="0"/>
        <w:overflowPunct w:val="0"/>
        <w:autoSpaceDE w:val="0"/>
        <w:autoSpaceDN w:val="0"/>
        <w:adjustRightInd w:val="0"/>
        <w:spacing w:line="240" w:lineRule="auto"/>
        <w:rPr>
          <w:szCs w:val="22"/>
        </w:rPr>
      </w:pPr>
    </w:p>
    <w:p w14:paraId="19F5759A"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u fo</w:t>
      </w:r>
      <w:r>
        <w:rPr>
          <w:spacing w:val="-2"/>
          <w:szCs w:val="22"/>
        </w:rPr>
        <w:t>s</w:t>
      </w:r>
      <w:r>
        <w:rPr>
          <w:szCs w:val="22"/>
        </w:rPr>
        <w:t>t</w:t>
      </w:r>
      <w:r>
        <w:rPr>
          <w:spacing w:val="1"/>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t</w:t>
      </w:r>
      <w:r>
        <w:rPr>
          <w:szCs w:val="22"/>
        </w:rPr>
        <w:t>e</w:t>
      </w:r>
      <w:r>
        <w:rPr>
          <w:spacing w:val="-2"/>
          <w:szCs w:val="22"/>
        </w:rPr>
        <w:t xml:space="preserve"> </w:t>
      </w:r>
      <w:r>
        <w:rPr>
          <w:szCs w:val="22"/>
        </w:rPr>
        <w:t>red</w:t>
      </w:r>
      <w:r>
        <w:rPr>
          <w:spacing w:val="-3"/>
          <w:szCs w:val="22"/>
        </w:rPr>
        <w:t>u</w:t>
      </w:r>
      <w:r>
        <w:rPr>
          <w:szCs w:val="22"/>
        </w:rPr>
        <w:t>ce</w:t>
      </w:r>
      <w:r>
        <w:rPr>
          <w:spacing w:val="-2"/>
          <w:szCs w:val="22"/>
        </w:rPr>
        <w:t>r</w:t>
      </w:r>
      <w:r>
        <w:rPr>
          <w:szCs w:val="22"/>
        </w:rPr>
        <w:t>ea</w:t>
      </w:r>
      <w:r>
        <w:rPr>
          <w:spacing w:val="-2"/>
          <w:szCs w:val="22"/>
        </w:rPr>
        <w:t xml:space="preserve"> </w:t>
      </w:r>
      <w:r>
        <w:rPr>
          <w:spacing w:val="1"/>
          <w:szCs w:val="22"/>
        </w:rPr>
        <w:t>l</w:t>
      </w:r>
      <w:r>
        <w:rPr>
          <w:szCs w:val="22"/>
        </w:rPr>
        <w:t>e</w:t>
      </w:r>
      <w:r>
        <w:rPr>
          <w:spacing w:val="-3"/>
          <w:szCs w:val="22"/>
        </w:rPr>
        <w:t>z</w:t>
      </w:r>
      <w:r>
        <w:rPr>
          <w:spacing w:val="1"/>
          <w:szCs w:val="22"/>
        </w:rPr>
        <w:t>i</w:t>
      </w:r>
      <w:r>
        <w:rPr>
          <w:szCs w:val="22"/>
        </w:rPr>
        <w:t>un</w:t>
      </w:r>
      <w:r>
        <w:rPr>
          <w:spacing w:val="-2"/>
          <w:szCs w:val="22"/>
        </w:rPr>
        <w:t>i</w:t>
      </w:r>
      <w:r>
        <w:rPr>
          <w:spacing w:val="1"/>
          <w:szCs w:val="22"/>
        </w:rPr>
        <w:t>l</w:t>
      </w:r>
      <w:r>
        <w:rPr>
          <w:spacing w:val="-3"/>
          <w:szCs w:val="22"/>
        </w:rPr>
        <w:t>o</w:t>
      </w:r>
      <w:r>
        <w:rPr>
          <w:szCs w:val="22"/>
        </w:rPr>
        <w:t>r</w:t>
      </w:r>
      <w:r>
        <w:rPr>
          <w:spacing w:val="1"/>
          <w:szCs w:val="22"/>
        </w:rPr>
        <w:t xml:space="preserve"> 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or</w:t>
      </w:r>
      <w:r>
        <w:rPr>
          <w:spacing w:val="-2"/>
          <w:szCs w:val="22"/>
        </w:rPr>
        <w:t>i</w:t>
      </w:r>
      <w:r>
        <w:rPr>
          <w:szCs w:val="22"/>
        </w:rPr>
        <w:t>i</w:t>
      </w:r>
      <w:r>
        <w:rPr>
          <w:spacing w:val="1"/>
          <w:szCs w:val="22"/>
        </w:rPr>
        <w:t xml:space="preserve"> </w:t>
      </w:r>
      <w:r>
        <w:rPr>
          <w:spacing w:val="-2"/>
          <w:szCs w:val="22"/>
        </w:rPr>
        <w:t>ș</w:t>
      </w:r>
      <w:r>
        <w:rPr>
          <w:szCs w:val="22"/>
        </w:rPr>
        <w:t>i</w:t>
      </w:r>
      <w:r>
        <w:rPr>
          <w:spacing w:val="1"/>
          <w:szCs w:val="22"/>
        </w:rPr>
        <w:t xml:space="preserve"> </w:t>
      </w:r>
      <w:r>
        <w:rPr>
          <w:szCs w:val="22"/>
        </w:rPr>
        <w:t>p</w:t>
      </w:r>
      <w:r>
        <w:rPr>
          <w:spacing w:val="-2"/>
          <w:szCs w:val="22"/>
        </w:rPr>
        <w:t>r</w:t>
      </w:r>
      <w:r>
        <w:rPr>
          <w:szCs w:val="22"/>
        </w:rPr>
        <w:t>e</w:t>
      </w:r>
      <w:r>
        <w:rPr>
          <w:spacing w:val="-3"/>
          <w:szCs w:val="22"/>
        </w:rPr>
        <w:t>v</w:t>
      </w:r>
      <w:r>
        <w:rPr>
          <w:szCs w:val="22"/>
        </w:rPr>
        <w:t>en</w:t>
      </w:r>
      <w:r>
        <w:rPr>
          <w:spacing w:val="1"/>
          <w:szCs w:val="22"/>
        </w:rPr>
        <w:t>i</w:t>
      </w:r>
      <w:r>
        <w:rPr>
          <w:szCs w:val="22"/>
        </w:rPr>
        <w:t>r</w:t>
      </w:r>
      <w:r>
        <w:rPr>
          <w:spacing w:val="-3"/>
          <w:szCs w:val="22"/>
        </w:rPr>
        <w:t>e</w:t>
      </w:r>
      <w:r>
        <w:rPr>
          <w:szCs w:val="22"/>
        </w:rPr>
        <w:t>a a</w:t>
      </w:r>
      <w:r>
        <w:rPr>
          <w:spacing w:val="-3"/>
          <w:szCs w:val="22"/>
        </w:rPr>
        <w:t>g</w:t>
      </w:r>
      <w:r>
        <w:rPr>
          <w:szCs w:val="22"/>
        </w:rPr>
        <w:t>ra</w:t>
      </w:r>
      <w:r>
        <w:rPr>
          <w:spacing w:val="-3"/>
          <w:szCs w:val="22"/>
        </w:rPr>
        <w:t>v</w:t>
      </w:r>
      <w:r>
        <w:rPr>
          <w:szCs w:val="22"/>
        </w:rPr>
        <w:t>ăr</w:t>
      </w:r>
      <w:r>
        <w:rPr>
          <w:spacing w:val="-2"/>
          <w:szCs w:val="22"/>
        </w:rPr>
        <w:t>i</w:t>
      </w:r>
      <w:r>
        <w:rPr>
          <w:szCs w:val="22"/>
        </w:rPr>
        <w:t>i a</w:t>
      </w:r>
      <w:r>
        <w:rPr>
          <w:spacing w:val="-3"/>
          <w:szCs w:val="22"/>
        </w:rPr>
        <w:t>b</w:t>
      </w:r>
      <w:r>
        <w:rPr>
          <w:szCs w:val="22"/>
        </w:rPr>
        <w:t>ce</w:t>
      </w:r>
      <w:r>
        <w:rPr>
          <w:spacing w:val="-2"/>
          <w:szCs w:val="22"/>
        </w:rPr>
        <w:t>s</w:t>
      </w:r>
      <w:r>
        <w:rPr>
          <w:szCs w:val="22"/>
        </w:rPr>
        <w:t>e</w:t>
      </w:r>
      <w:r>
        <w:rPr>
          <w:spacing w:val="1"/>
          <w:szCs w:val="22"/>
        </w:rPr>
        <w:t>l</w:t>
      </w:r>
      <w:r>
        <w:rPr>
          <w:spacing w:val="-3"/>
          <w:szCs w:val="22"/>
        </w:rPr>
        <w:t>o</w:t>
      </w:r>
      <w:r>
        <w:rPr>
          <w:szCs w:val="22"/>
        </w:rPr>
        <w:t>r</w:t>
      </w:r>
      <w:r>
        <w:rPr>
          <w:spacing w:val="1"/>
          <w:szCs w:val="22"/>
        </w:rPr>
        <w:t xml:space="preserve"> </w:t>
      </w:r>
      <w:r>
        <w:rPr>
          <w:szCs w:val="22"/>
        </w:rPr>
        <w:t>și</w:t>
      </w:r>
      <w:r>
        <w:rPr>
          <w:spacing w:val="-2"/>
          <w:szCs w:val="22"/>
        </w:rPr>
        <w:t xml:space="preserve"> </w:t>
      </w:r>
      <w:r>
        <w:rPr>
          <w:szCs w:val="22"/>
        </w:rPr>
        <w:t xml:space="preserve">a </w:t>
      </w:r>
      <w:r>
        <w:rPr>
          <w:spacing w:val="-3"/>
          <w:szCs w:val="22"/>
        </w:rPr>
        <w:t>d</w:t>
      </w:r>
      <w:r>
        <w:rPr>
          <w:szCs w:val="22"/>
        </w:rPr>
        <w:t>ren</w:t>
      </w:r>
      <w:r>
        <w:rPr>
          <w:spacing w:val="-3"/>
          <w:szCs w:val="22"/>
        </w:rPr>
        <w:t>a</w:t>
      </w:r>
      <w:r>
        <w:rPr>
          <w:spacing w:val="1"/>
          <w:szCs w:val="22"/>
        </w:rPr>
        <w:t>j</w:t>
      </w:r>
      <w:r>
        <w:rPr>
          <w:szCs w:val="22"/>
        </w:rPr>
        <w:t>u</w:t>
      </w:r>
      <w:r>
        <w:rPr>
          <w:spacing w:val="-2"/>
          <w:szCs w:val="22"/>
        </w:rPr>
        <w:t>l</w:t>
      </w:r>
      <w:r>
        <w:rPr>
          <w:szCs w:val="22"/>
        </w:rPr>
        <w:t>ui f</w:t>
      </w:r>
      <w:r>
        <w:rPr>
          <w:spacing w:val="1"/>
          <w:szCs w:val="22"/>
        </w:rPr>
        <w:t>i</w:t>
      </w:r>
      <w:r>
        <w:rPr>
          <w:spacing w:val="-2"/>
          <w:szCs w:val="22"/>
        </w:rPr>
        <w:t>s</w:t>
      </w:r>
      <w:r>
        <w:rPr>
          <w:spacing w:val="1"/>
          <w:szCs w:val="22"/>
        </w:rPr>
        <w:t>t</w:t>
      </w:r>
      <w:r>
        <w:rPr>
          <w:spacing w:val="-3"/>
          <w:szCs w:val="22"/>
        </w:rPr>
        <w:t>u</w:t>
      </w:r>
      <w:r>
        <w:rPr>
          <w:spacing w:val="1"/>
          <w:szCs w:val="22"/>
        </w:rPr>
        <w:t>l</w:t>
      </w:r>
      <w:r>
        <w:rPr>
          <w:szCs w:val="22"/>
        </w:rPr>
        <w:t>e</w:t>
      </w:r>
      <w:r>
        <w:rPr>
          <w:spacing w:val="-2"/>
          <w:szCs w:val="22"/>
        </w:rPr>
        <w:t>l</w:t>
      </w:r>
      <w:r>
        <w:rPr>
          <w:szCs w:val="22"/>
        </w:rPr>
        <w:t>or</w:t>
      </w:r>
      <w:r>
        <w:rPr>
          <w:spacing w:val="1"/>
          <w:szCs w:val="22"/>
        </w:rPr>
        <w:t xml:space="preserve"> </w:t>
      </w:r>
      <w:r>
        <w:rPr>
          <w:spacing w:val="-3"/>
          <w:szCs w:val="22"/>
        </w:rPr>
        <w:t>c</w:t>
      </w:r>
      <w:r>
        <w:rPr>
          <w:szCs w:val="22"/>
        </w:rPr>
        <w:t xml:space="preserve">u </w:t>
      </w:r>
      <w:r>
        <w:rPr>
          <w:spacing w:val="-3"/>
          <w:szCs w:val="22"/>
        </w:rPr>
        <w:t>a</w:t>
      </w:r>
      <w:r>
        <w:rPr>
          <w:spacing w:val="1"/>
          <w:szCs w:val="22"/>
        </w:rPr>
        <w:t>j</w:t>
      </w:r>
      <w:r>
        <w:rPr>
          <w:szCs w:val="22"/>
        </w:rPr>
        <w:t>u</w:t>
      </w:r>
      <w:r>
        <w:rPr>
          <w:spacing w:val="1"/>
          <w:szCs w:val="22"/>
        </w:rPr>
        <w:t>t</w:t>
      </w:r>
      <w:r>
        <w:rPr>
          <w:spacing w:val="-3"/>
          <w:szCs w:val="22"/>
        </w:rPr>
        <w:t>o</w:t>
      </w:r>
      <w:r>
        <w:rPr>
          <w:szCs w:val="22"/>
        </w:rPr>
        <w:t>rul</w:t>
      </w:r>
      <w:r>
        <w:rPr>
          <w:spacing w:val="1"/>
          <w:szCs w:val="22"/>
        </w:rPr>
        <w:t xml:space="preserve"> </w:t>
      </w:r>
      <w:r>
        <w:rPr>
          <w:spacing w:val="-4"/>
          <w:szCs w:val="22"/>
        </w:rPr>
        <w:t>R</w:t>
      </w:r>
      <w:r>
        <w:rPr>
          <w:szCs w:val="22"/>
        </w:rPr>
        <w:t>ăsp</w:t>
      </w:r>
      <w:r>
        <w:rPr>
          <w:spacing w:val="-3"/>
          <w:szCs w:val="22"/>
        </w:rPr>
        <w:t>u</w:t>
      </w:r>
      <w:r>
        <w:rPr>
          <w:szCs w:val="22"/>
        </w:rPr>
        <w:t>nsu</w:t>
      </w:r>
      <w:r>
        <w:rPr>
          <w:spacing w:val="1"/>
          <w:szCs w:val="22"/>
        </w:rPr>
        <w:t>l</w:t>
      </w:r>
      <w:r>
        <w:rPr>
          <w:spacing w:val="-3"/>
          <w:szCs w:val="22"/>
        </w:rPr>
        <w:t>u</w:t>
      </w:r>
      <w:r>
        <w:rPr>
          <w:szCs w:val="22"/>
        </w:rPr>
        <w:t>i</w:t>
      </w:r>
      <w:r>
        <w:rPr>
          <w:spacing w:val="1"/>
          <w:szCs w:val="22"/>
        </w:rPr>
        <w:t xml:space="preserve"> </w:t>
      </w:r>
      <w:r>
        <w:rPr>
          <w:spacing w:val="-1"/>
          <w:szCs w:val="22"/>
        </w:rPr>
        <w:t>C</w:t>
      </w:r>
      <w:r>
        <w:rPr>
          <w:spacing w:val="-2"/>
          <w:szCs w:val="22"/>
        </w:rPr>
        <w:t>l</w:t>
      </w:r>
      <w:r>
        <w:rPr>
          <w:spacing w:val="1"/>
          <w:szCs w:val="22"/>
        </w:rPr>
        <w:t>i</w:t>
      </w:r>
      <w:r>
        <w:rPr>
          <w:spacing w:val="-3"/>
          <w:szCs w:val="22"/>
        </w:rPr>
        <w:t>n</w:t>
      </w:r>
      <w:r>
        <w:rPr>
          <w:spacing w:val="1"/>
          <w:szCs w:val="22"/>
        </w:rPr>
        <w:t>i</w:t>
      </w:r>
      <w:r>
        <w:rPr>
          <w:szCs w:val="22"/>
        </w:rPr>
        <w:t xml:space="preserve">c </w:t>
      </w:r>
      <w:r>
        <w:rPr>
          <w:spacing w:val="-2"/>
          <w:szCs w:val="22"/>
        </w:rPr>
        <w:t>î</w:t>
      </w:r>
      <w:r>
        <w:rPr>
          <w:szCs w:val="22"/>
        </w:rPr>
        <w:t xml:space="preserve">n </w:t>
      </w:r>
      <w:r>
        <w:rPr>
          <w:spacing w:val="-1"/>
          <w:szCs w:val="22"/>
        </w:rPr>
        <w:t>H</w:t>
      </w:r>
      <w:r>
        <w:rPr>
          <w:spacing w:val="1"/>
          <w:szCs w:val="22"/>
        </w:rPr>
        <w:t>i</w:t>
      </w:r>
      <w:r>
        <w:rPr>
          <w:spacing w:val="-3"/>
          <w:szCs w:val="22"/>
        </w:rPr>
        <w:t>d</w:t>
      </w:r>
      <w:r>
        <w:rPr>
          <w:szCs w:val="22"/>
        </w:rPr>
        <w:t>ros</w:t>
      </w:r>
      <w:r>
        <w:rPr>
          <w:spacing w:val="-3"/>
          <w:szCs w:val="22"/>
        </w:rPr>
        <w:t>a</w:t>
      </w:r>
      <w:r>
        <w:rPr>
          <w:szCs w:val="22"/>
        </w:rPr>
        <w:t>de</w:t>
      </w:r>
      <w:r>
        <w:rPr>
          <w:spacing w:val="-3"/>
          <w:szCs w:val="22"/>
        </w:rPr>
        <w:t>n</w:t>
      </w:r>
      <w:r>
        <w:rPr>
          <w:spacing w:val="1"/>
          <w:szCs w:val="22"/>
        </w:rPr>
        <w:t>it</w:t>
      </w:r>
      <w:r>
        <w:rPr>
          <w:szCs w:val="22"/>
        </w:rPr>
        <w:t xml:space="preserve">a </w:t>
      </w:r>
      <w:r>
        <w:rPr>
          <w:spacing w:val="-3"/>
          <w:szCs w:val="22"/>
        </w:rPr>
        <w:t>S</w:t>
      </w:r>
      <w:r>
        <w:rPr>
          <w:szCs w:val="22"/>
        </w:rPr>
        <w:t>upu</w:t>
      </w:r>
      <w:r>
        <w:rPr>
          <w:spacing w:val="-2"/>
          <w:szCs w:val="22"/>
        </w:rPr>
        <w:t>r</w:t>
      </w:r>
      <w:r>
        <w:rPr>
          <w:szCs w:val="22"/>
        </w:rPr>
        <w:t>a</w:t>
      </w:r>
      <w:r>
        <w:rPr>
          <w:spacing w:val="-2"/>
          <w:szCs w:val="22"/>
        </w:rPr>
        <w:t>t</w:t>
      </w:r>
      <w:r>
        <w:rPr>
          <w:spacing w:val="1"/>
          <w:szCs w:val="22"/>
        </w:rPr>
        <w:t>i</w:t>
      </w:r>
      <w:r>
        <w:rPr>
          <w:spacing w:val="-3"/>
          <w:szCs w:val="22"/>
        </w:rPr>
        <w:t>v</w:t>
      </w:r>
      <w:r>
        <w:rPr>
          <w:szCs w:val="22"/>
        </w:rPr>
        <w:t>ă (</w:t>
      </w:r>
      <w:r>
        <w:rPr>
          <w:spacing w:val="-2"/>
          <w:szCs w:val="22"/>
        </w:rPr>
        <w:t>H</w:t>
      </w:r>
      <w:r>
        <w:rPr>
          <w:spacing w:val="1"/>
          <w:szCs w:val="22"/>
        </w:rPr>
        <w:t>i</w:t>
      </w:r>
      <w:r>
        <w:rPr>
          <w:spacing w:val="-1"/>
          <w:szCs w:val="22"/>
        </w:rPr>
        <w:t>SRC</w:t>
      </w:r>
      <w:r>
        <w:rPr>
          <w:szCs w:val="22"/>
        </w:rPr>
        <w:t>;</w:t>
      </w:r>
      <w:r>
        <w:rPr>
          <w:spacing w:val="-2"/>
          <w:szCs w:val="22"/>
        </w:rPr>
        <w:t xml:space="preserve"> </w:t>
      </w:r>
      <w:r>
        <w:rPr>
          <w:szCs w:val="22"/>
        </w:rPr>
        <w:t>re</w:t>
      </w:r>
      <w:r>
        <w:rPr>
          <w:spacing w:val="-3"/>
          <w:szCs w:val="22"/>
        </w:rPr>
        <w:t>d</w:t>
      </w:r>
      <w:r>
        <w:rPr>
          <w:szCs w:val="22"/>
        </w:rPr>
        <w:t>uce</w:t>
      </w:r>
      <w:r>
        <w:rPr>
          <w:spacing w:val="-2"/>
          <w:szCs w:val="22"/>
        </w:rPr>
        <w:t>r</w:t>
      </w:r>
      <w:r>
        <w:rPr>
          <w:szCs w:val="22"/>
        </w:rPr>
        <w:t>e cu</w:t>
      </w:r>
      <w:r>
        <w:rPr>
          <w:spacing w:val="-1"/>
          <w:szCs w:val="22"/>
        </w:rPr>
        <w:t xml:space="preserve"> </w:t>
      </w:r>
      <w:r>
        <w:rPr>
          <w:spacing w:val="-2"/>
          <w:szCs w:val="22"/>
        </w:rPr>
        <w:t>c</w:t>
      </w:r>
      <w:r>
        <w:rPr>
          <w:szCs w:val="22"/>
        </w:rPr>
        <w:t>el</w:t>
      </w:r>
      <w:r>
        <w:rPr>
          <w:spacing w:val="-2"/>
          <w:szCs w:val="22"/>
        </w:rPr>
        <w:t xml:space="preserve"> </w:t>
      </w:r>
      <w:r>
        <w:rPr>
          <w:szCs w:val="22"/>
        </w:rPr>
        <w:t>pu</w:t>
      </w:r>
      <w:r>
        <w:rPr>
          <w:spacing w:val="-2"/>
          <w:szCs w:val="22"/>
        </w:rPr>
        <w:t>ţ</w:t>
      </w:r>
      <w:r>
        <w:rPr>
          <w:spacing w:val="1"/>
          <w:szCs w:val="22"/>
        </w:rPr>
        <w:t>i</w:t>
      </w:r>
      <w:r>
        <w:rPr>
          <w:szCs w:val="22"/>
        </w:rPr>
        <w:t>n 50%</w:t>
      </w:r>
      <w:r>
        <w:rPr>
          <w:spacing w:val="1"/>
          <w:szCs w:val="22"/>
        </w:rPr>
        <w:t xml:space="preserve"> </w:t>
      </w:r>
      <w:r>
        <w:rPr>
          <w:szCs w:val="22"/>
        </w:rPr>
        <w:t>a</w:t>
      </w:r>
      <w:r>
        <w:rPr>
          <w:spacing w:val="-2"/>
          <w:szCs w:val="22"/>
        </w:rPr>
        <w:t xml:space="preserve"> </w:t>
      </w:r>
      <w:r>
        <w:rPr>
          <w:szCs w:val="22"/>
        </w:rPr>
        <w:t>nu</w:t>
      </w:r>
      <w:r>
        <w:rPr>
          <w:spacing w:val="-4"/>
          <w:szCs w:val="22"/>
        </w:rPr>
        <w:t>m</w:t>
      </w:r>
      <w:r>
        <w:rPr>
          <w:szCs w:val="22"/>
        </w:rPr>
        <w:t>ăru</w:t>
      </w:r>
      <w:r>
        <w:rPr>
          <w:spacing w:val="1"/>
          <w:szCs w:val="22"/>
        </w:rPr>
        <w:t>l</w:t>
      </w:r>
      <w:r>
        <w:rPr>
          <w:spacing w:val="-3"/>
          <w:szCs w:val="22"/>
        </w:rPr>
        <w:t>u</w:t>
      </w:r>
      <w:r>
        <w:rPr>
          <w:szCs w:val="22"/>
        </w:rPr>
        <w:t>i</w:t>
      </w:r>
      <w:r>
        <w:rPr>
          <w:spacing w:val="1"/>
          <w:szCs w:val="22"/>
        </w:rPr>
        <w:t xml:space="preserve"> t</w:t>
      </w:r>
      <w:r>
        <w:rPr>
          <w:spacing w:val="-3"/>
          <w:szCs w:val="22"/>
        </w:rPr>
        <w:t>o</w:t>
      </w:r>
      <w:r>
        <w:rPr>
          <w:spacing w:val="1"/>
          <w:szCs w:val="22"/>
        </w:rPr>
        <w:t>t</w:t>
      </w:r>
      <w:r>
        <w:rPr>
          <w:spacing w:val="-3"/>
          <w:szCs w:val="22"/>
        </w:rPr>
        <w:t>a</w:t>
      </w:r>
      <w:r>
        <w:rPr>
          <w:szCs w:val="22"/>
        </w:rPr>
        <w:t>l</w:t>
      </w:r>
      <w:r>
        <w:rPr>
          <w:spacing w:val="1"/>
          <w:szCs w:val="22"/>
        </w:rPr>
        <w:t xml:space="preserve"> </w:t>
      </w:r>
      <w:r>
        <w:rPr>
          <w:szCs w:val="22"/>
        </w:rPr>
        <w:t>de</w:t>
      </w:r>
      <w:r>
        <w:rPr>
          <w:spacing w:val="-2"/>
          <w:szCs w:val="22"/>
        </w:rPr>
        <w:t xml:space="preserve"> </w:t>
      </w:r>
      <w:r>
        <w:rPr>
          <w:spacing w:val="-3"/>
          <w:szCs w:val="22"/>
        </w:rPr>
        <w:t>a</w:t>
      </w:r>
      <w:r>
        <w:rPr>
          <w:szCs w:val="22"/>
        </w:rPr>
        <w:t>bcese</w:t>
      </w:r>
      <w:r>
        <w:rPr>
          <w:spacing w:val="-2"/>
          <w:szCs w:val="22"/>
        </w:rPr>
        <w:t xml:space="preserve"> </w:t>
      </w:r>
      <w:r>
        <w:rPr>
          <w:szCs w:val="22"/>
        </w:rPr>
        <w:t>şi</w:t>
      </w:r>
      <w:r>
        <w:rPr>
          <w:spacing w:val="-2"/>
          <w:szCs w:val="22"/>
        </w:rPr>
        <w:t xml:space="preserve"> </w:t>
      </w:r>
      <w:r>
        <w:rPr>
          <w:szCs w:val="22"/>
        </w:rPr>
        <w:t>de no</w:t>
      </w:r>
      <w:r>
        <w:rPr>
          <w:spacing w:val="-3"/>
          <w:szCs w:val="22"/>
        </w:rPr>
        <w:t>d</w:t>
      </w:r>
      <w:r>
        <w:rPr>
          <w:szCs w:val="22"/>
        </w:rPr>
        <w:t>u</w:t>
      </w:r>
      <w:r>
        <w:rPr>
          <w:spacing w:val="-2"/>
          <w:szCs w:val="22"/>
        </w:rPr>
        <w:t>l</w:t>
      </w:r>
      <w:r>
        <w:rPr>
          <w:szCs w:val="22"/>
        </w:rPr>
        <w:t>i</w:t>
      </w:r>
      <w:r>
        <w:rPr>
          <w:spacing w:val="1"/>
          <w:szCs w:val="22"/>
        </w:rPr>
        <w:t xml:space="preserve"> 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or</w:t>
      </w:r>
      <w:r>
        <w:rPr>
          <w:spacing w:val="-2"/>
          <w:szCs w:val="22"/>
        </w:rPr>
        <w:t>i</w:t>
      </w:r>
      <w:r>
        <w:rPr>
          <w:spacing w:val="1"/>
          <w:szCs w:val="22"/>
        </w:rPr>
        <w:t>i</w:t>
      </w:r>
      <w:r>
        <w:rPr>
          <w:szCs w:val="22"/>
        </w:rPr>
        <w:t>, cu</w:t>
      </w:r>
      <w:r>
        <w:rPr>
          <w:spacing w:val="-3"/>
          <w:szCs w:val="22"/>
        </w:rPr>
        <w:t xml:space="preserve"> </w:t>
      </w:r>
      <w:r>
        <w:rPr>
          <w:szCs w:val="22"/>
        </w:rPr>
        <w:t>n</w:t>
      </w:r>
      <w:r>
        <w:rPr>
          <w:spacing w:val="1"/>
          <w:szCs w:val="22"/>
        </w:rPr>
        <w:t>i</w:t>
      </w:r>
      <w:r>
        <w:rPr>
          <w:spacing w:val="-3"/>
          <w:szCs w:val="22"/>
        </w:rPr>
        <w:t>c</w:t>
      </w:r>
      <w:r>
        <w:rPr>
          <w:spacing w:val="1"/>
          <w:szCs w:val="22"/>
        </w:rPr>
        <w:t>i</w:t>
      </w:r>
      <w:r>
        <w:rPr>
          <w:szCs w:val="22"/>
        </w:rPr>
        <w:t xml:space="preserve">o </w:t>
      </w:r>
      <w:r>
        <w:rPr>
          <w:spacing w:val="-3"/>
          <w:szCs w:val="22"/>
        </w:rPr>
        <w:t>c</w:t>
      </w:r>
      <w:r>
        <w:rPr>
          <w:szCs w:val="22"/>
        </w:rPr>
        <w:t>r</w:t>
      </w:r>
      <w:r>
        <w:rPr>
          <w:spacing w:val="-3"/>
          <w:szCs w:val="22"/>
        </w:rPr>
        <w:t>e</w:t>
      </w:r>
      <w:r>
        <w:rPr>
          <w:szCs w:val="22"/>
        </w:rPr>
        <w:t>ş</w:t>
      </w:r>
      <w:r>
        <w:rPr>
          <w:spacing w:val="1"/>
          <w:szCs w:val="22"/>
        </w:rPr>
        <w:t>t</w:t>
      </w:r>
      <w:r>
        <w:rPr>
          <w:spacing w:val="-3"/>
          <w:szCs w:val="22"/>
        </w:rPr>
        <w:t>e</w:t>
      </w:r>
      <w:r>
        <w:rPr>
          <w:szCs w:val="22"/>
        </w:rPr>
        <w:t>re a</w:t>
      </w:r>
      <w:r>
        <w:rPr>
          <w:spacing w:val="-2"/>
          <w:szCs w:val="22"/>
        </w:rPr>
        <w:t xml:space="preserve"> </w:t>
      </w:r>
      <w:r>
        <w:rPr>
          <w:szCs w:val="22"/>
        </w:rPr>
        <w:t>nu</w:t>
      </w:r>
      <w:r>
        <w:rPr>
          <w:spacing w:val="-4"/>
          <w:szCs w:val="22"/>
        </w:rPr>
        <w:t>m</w:t>
      </w:r>
      <w:r>
        <w:rPr>
          <w:szCs w:val="22"/>
        </w:rPr>
        <w:t>ăru</w:t>
      </w:r>
      <w:r>
        <w:rPr>
          <w:spacing w:val="-2"/>
          <w:szCs w:val="22"/>
        </w:rPr>
        <w:t>l</w:t>
      </w:r>
      <w:r>
        <w:rPr>
          <w:szCs w:val="22"/>
        </w:rPr>
        <w:t>ui</w:t>
      </w:r>
      <w:r>
        <w:rPr>
          <w:spacing w:val="1"/>
          <w:szCs w:val="22"/>
        </w:rPr>
        <w:t xml:space="preserve"> </w:t>
      </w:r>
      <w:r>
        <w:rPr>
          <w:spacing w:val="-3"/>
          <w:szCs w:val="22"/>
        </w:rPr>
        <w:t>d</w:t>
      </w:r>
      <w:r>
        <w:rPr>
          <w:szCs w:val="22"/>
        </w:rPr>
        <w:t>e a</w:t>
      </w:r>
      <w:r>
        <w:rPr>
          <w:spacing w:val="-3"/>
          <w:szCs w:val="22"/>
        </w:rPr>
        <w:t>b</w:t>
      </w:r>
      <w:r>
        <w:rPr>
          <w:szCs w:val="22"/>
        </w:rPr>
        <w:t>cese</w:t>
      </w:r>
      <w:r>
        <w:rPr>
          <w:spacing w:val="-2"/>
          <w:szCs w:val="22"/>
        </w:rPr>
        <w:t xml:space="preserve"> </w:t>
      </w:r>
      <w:r>
        <w:rPr>
          <w:szCs w:val="22"/>
        </w:rPr>
        <w:t>și n</w:t>
      </w:r>
      <w:r>
        <w:rPr>
          <w:spacing w:val="1"/>
          <w:szCs w:val="22"/>
        </w:rPr>
        <w:t>i</w:t>
      </w:r>
      <w:r>
        <w:rPr>
          <w:szCs w:val="22"/>
        </w:rPr>
        <w:t>c</w:t>
      </w:r>
      <w:r>
        <w:rPr>
          <w:spacing w:val="-2"/>
          <w:szCs w:val="22"/>
        </w:rPr>
        <w:t>i</w:t>
      </w:r>
      <w:r>
        <w:rPr>
          <w:szCs w:val="22"/>
        </w:rPr>
        <w:t xml:space="preserve">o </w:t>
      </w:r>
      <w:r>
        <w:rPr>
          <w:spacing w:val="-3"/>
          <w:szCs w:val="22"/>
        </w:rPr>
        <w:t>c</w:t>
      </w:r>
      <w:r>
        <w:rPr>
          <w:szCs w:val="22"/>
        </w:rPr>
        <w:t>re</w:t>
      </w:r>
      <w:r>
        <w:rPr>
          <w:spacing w:val="-2"/>
          <w:szCs w:val="22"/>
        </w:rPr>
        <w:t>ș</w:t>
      </w:r>
      <w:r>
        <w:rPr>
          <w:spacing w:val="1"/>
          <w:szCs w:val="22"/>
        </w:rPr>
        <w:t>t</w:t>
      </w:r>
      <w:r>
        <w:rPr>
          <w:szCs w:val="22"/>
        </w:rPr>
        <w:t>e</w:t>
      </w:r>
      <w:r>
        <w:rPr>
          <w:spacing w:val="-2"/>
          <w:szCs w:val="22"/>
        </w:rPr>
        <w:t>r</w:t>
      </w:r>
      <w:r>
        <w:rPr>
          <w:szCs w:val="22"/>
        </w:rPr>
        <w:t xml:space="preserve">e a </w:t>
      </w:r>
      <w:r>
        <w:rPr>
          <w:spacing w:val="-3"/>
          <w:szCs w:val="22"/>
        </w:rPr>
        <w:t>n</w:t>
      </w:r>
      <w:r>
        <w:rPr>
          <w:szCs w:val="22"/>
        </w:rPr>
        <w:t>u</w:t>
      </w:r>
      <w:r>
        <w:rPr>
          <w:spacing w:val="-4"/>
          <w:szCs w:val="22"/>
        </w:rPr>
        <w:t>m</w:t>
      </w:r>
      <w:r>
        <w:rPr>
          <w:szCs w:val="22"/>
        </w:rPr>
        <w:t>ăru</w:t>
      </w:r>
      <w:r>
        <w:rPr>
          <w:spacing w:val="1"/>
          <w:szCs w:val="22"/>
        </w:rPr>
        <w:t>l</w:t>
      </w:r>
      <w:r>
        <w:rPr>
          <w:szCs w:val="22"/>
        </w:rPr>
        <w:t>ui</w:t>
      </w:r>
      <w:r>
        <w:rPr>
          <w:spacing w:val="-2"/>
          <w:szCs w:val="22"/>
        </w:rPr>
        <w:t xml:space="preserve"> </w:t>
      </w:r>
      <w:r>
        <w:rPr>
          <w:spacing w:val="-3"/>
          <w:szCs w:val="22"/>
        </w:rPr>
        <w:t>d</w:t>
      </w:r>
      <w:r>
        <w:rPr>
          <w:szCs w:val="22"/>
        </w:rPr>
        <w:t>e dre</w:t>
      </w:r>
      <w:r>
        <w:rPr>
          <w:spacing w:val="-3"/>
          <w:szCs w:val="22"/>
        </w:rPr>
        <w:t>na</w:t>
      </w:r>
      <w:r>
        <w:rPr>
          <w:spacing w:val="1"/>
          <w:szCs w:val="22"/>
        </w:rPr>
        <w:t>j</w:t>
      </w:r>
      <w:r>
        <w:rPr>
          <w:szCs w:val="22"/>
        </w:rPr>
        <w:t>e a</w:t>
      </w:r>
      <w:r>
        <w:rPr>
          <w:spacing w:val="-2"/>
          <w:szCs w:val="22"/>
        </w:rPr>
        <w:t>l</w:t>
      </w:r>
      <w:r>
        <w:rPr>
          <w:szCs w:val="22"/>
        </w:rPr>
        <w:t xml:space="preserve">e </w:t>
      </w:r>
      <w:r>
        <w:rPr>
          <w:spacing w:val="-2"/>
          <w:szCs w:val="22"/>
        </w:rPr>
        <w:t>f</w:t>
      </w:r>
      <w:r>
        <w:rPr>
          <w:spacing w:val="1"/>
          <w:szCs w:val="22"/>
        </w:rPr>
        <w:t>i</w:t>
      </w:r>
      <w:r>
        <w:rPr>
          <w:spacing w:val="-2"/>
          <w:szCs w:val="22"/>
        </w:rPr>
        <w:t>s</w:t>
      </w:r>
      <w:r>
        <w:rPr>
          <w:spacing w:val="1"/>
          <w:szCs w:val="22"/>
        </w:rPr>
        <w:t>t</w:t>
      </w:r>
      <w:r>
        <w:rPr>
          <w:szCs w:val="22"/>
        </w:rPr>
        <w:t>u</w:t>
      </w:r>
      <w:r>
        <w:rPr>
          <w:spacing w:val="-2"/>
          <w:szCs w:val="22"/>
        </w:rPr>
        <w:t>l</w:t>
      </w:r>
      <w:r>
        <w:rPr>
          <w:szCs w:val="22"/>
        </w:rPr>
        <w:t>ei</w:t>
      </w:r>
      <w:r>
        <w:rPr>
          <w:spacing w:val="-2"/>
          <w:szCs w:val="22"/>
        </w:rPr>
        <w:t xml:space="preserve"> </w:t>
      </w:r>
      <w:r>
        <w:rPr>
          <w:szCs w:val="22"/>
        </w:rPr>
        <w:t>f</w:t>
      </w:r>
      <w:r>
        <w:rPr>
          <w:spacing w:val="-3"/>
          <w:szCs w:val="22"/>
        </w:rPr>
        <w:t>a</w:t>
      </w:r>
      <w:r>
        <w:rPr>
          <w:spacing w:val="1"/>
          <w:szCs w:val="22"/>
        </w:rPr>
        <w:t>ţ</w:t>
      </w:r>
      <w:r>
        <w:rPr>
          <w:szCs w:val="22"/>
        </w:rPr>
        <w:t>ă de</w:t>
      </w:r>
      <w:r>
        <w:rPr>
          <w:spacing w:val="-2"/>
          <w:szCs w:val="22"/>
        </w:rPr>
        <w:t xml:space="preserve"> </w:t>
      </w:r>
      <w:r>
        <w:rPr>
          <w:spacing w:val="-3"/>
          <w:szCs w:val="22"/>
        </w:rPr>
        <w:t>v</w:t>
      </w:r>
      <w:r>
        <w:rPr>
          <w:szCs w:val="22"/>
        </w:rPr>
        <w:t>a</w:t>
      </w:r>
      <w:r>
        <w:rPr>
          <w:spacing w:val="1"/>
          <w:szCs w:val="22"/>
        </w:rPr>
        <w:t>l</w:t>
      </w:r>
      <w:r>
        <w:rPr>
          <w:szCs w:val="22"/>
        </w:rPr>
        <w:t>oar</w:t>
      </w:r>
      <w:r>
        <w:rPr>
          <w:spacing w:val="-3"/>
          <w:szCs w:val="22"/>
        </w:rPr>
        <w:t>e</w:t>
      </w:r>
      <w:r>
        <w:rPr>
          <w:szCs w:val="22"/>
        </w:rPr>
        <w:t xml:space="preserve">a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pacing w:val="1"/>
          <w:szCs w:val="22"/>
        </w:rPr>
        <w:t>l</w:t>
      </w:r>
      <w:r>
        <w:rPr>
          <w:szCs w:val="22"/>
        </w:rPr>
        <w:t>ă</w:t>
      </w:r>
      <w:r>
        <w:rPr>
          <w:spacing w:val="-2"/>
          <w:szCs w:val="22"/>
        </w:rPr>
        <w:t>)</w:t>
      </w:r>
      <w:r>
        <w:rPr>
          <w:szCs w:val="22"/>
        </w:rPr>
        <w:t>.</w:t>
      </w:r>
      <w:r>
        <w:rPr>
          <w:rFonts w:eastAsia="MS Mincho"/>
          <w:szCs w:val="22"/>
          <w:lang w:eastAsia="en-US" w:bidi="ar-SA"/>
        </w:rPr>
        <w:t xml:space="preserve"> </w:t>
      </w:r>
      <w:r>
        <w:rPr>
          <w:spacing w:val="-1"/>
          <w:szCs w:val="22"/>
        </w:rPr>
        <w:t>R</w:t>
      </w:r>
      <w:r>
        <w:rPr>
          <w:szCs w:val="22"/>
        </w:rPr>
        <w:t>edu</w:t>
      </w:r>
      <w:r>
        <w:rPr>
          <w:spacing w:val="-3"/>
          <w:szCs w:val="22"/>
        </w:rPr>
        <w:t>c</w:t>
      </w:r>
      <w:r>
        <w:rPr>
          <w:szCs w:val="22"/>
        </w:rPr>
        <w:t>er</w:t>
      </w:r>
      <w:r>
        <w:rPr>
          <w:spacing w:val="-3"/>
          <w:szCs w:val="22"/>
        </w:rPr>
        <w:t>e</w:t>
      </w:r>
      <w:r>
        <w:rPr>
          <w:szCs w:val="22"/>
        </w:rPr>
        <w:t>a dur</w:t>
      </w:r>
      <w:r>
        <w:rPr>
          <w:spacing w:val="-3"/>
          <w:szCs w:val="22"/>
        </w:rPr>
        <w:t>e</w:t>
      </w:r>
      <w:r>
        <w:rPr>
          <w:szCs w:val="22"/>
        </w:rPr>
        <w:t>r</w:t>
      </w:r>
      <w:r>
        <w:rPr>
          <w:spacing w:val="-2"/>
          <w:szCs w:val="22"/>
        </w:rPr>
        <w:t>i</w:t>
      </w:r>
      <w:r>
        <w:rPr>
          <w:szCs w:val="22"/>
        </w:rPr>
        <w:t>i</w:t>
      </w:r>
      <w:r>
        <w:rPr>
          <w:spacing w:val="1"/>
          <w:szCs w:val="22"/>
        </w:rPr>
        <w:t xml:space="preserve"> </w:t>
      </w:r>
      <w:r>
        <w:rPr>
          <w:spacing w:val="-3"/>
          <w:szCs w:val="22"/>
        </w:rPr>
        <w:t>c</w:t>
      </w:r>
      <w:r>
        <w:rPr>
          <w:szCs w:val="22"/>
        </w:rPr>
        <w:t>u</w:t>
      </w:r>
      <w:r>
        <w:rPr>
          <w:spacing w:val="1"/>
          <w:szCs w:val="22"/>
        </w:rPr>
        <w:t>t</w:t>
      </w:r>
      <w:r>
        <w:rPr>
          <w:spacing w:val="-3"/>
          <w:szCs w:val="22"/>
        </w:rPr>
        <w:t>a</w:t>
      </w:r>
      <w:r>
        <w:rPr>
          <w:szCs w:val="22"/>
        </w:rPr>
        <w:t>na</w:t>
      </w:r>
      <w:r>
        <w:rPr>
          <w:spacing w:val="-2"/>
          <w:szCs w:val="22"/>
        </w:rPr>
        <w:t>t</w:t>
      </w:r>
      <w:r>
        <w:rPr>
          <w:szCs w:val="22"/>
        </w:rPr>
        <w:t>e cau</w:t>
      </w:r>
      <w:r>
        <w:rPr>
          <w:spacing w:val="-3"/>
          <w:szCs w:val="22"/>
        </w:rPr>
        <w:t>z</w:t>
      </w:r>
      <w:r>
        <w:rPr>
          <w:szCs w:val="22"/>
        </w:rPr>
        <w:t>a</w:t>
      </w:r>
      <w:r>
        <w:rPr>
          <w:spacing w:val="1"/>
          <w:szCs w:val="22"/>
        </w:rPr>
        <w:t>t</w:t>
      </w:r>
      <w:r>
        <w:rPr>
          <w:szCs w:val="22"/>
        </w:rPr>
        <w:t xml:space="preserve">e </w:t>
      </w:r>
      <w:r>
        <w:rPr>
          <w:spacing w:val="-3"/>
          <w:szCs w:val="22"/>
        </w:rPr>
        <w:t>d</w:t>
      </w:r>
      <w:r>
        <w:rPr>
          <w:szCs w:val="22"/>
        </w:rPr>
        <w:t xml:space="preserve">e </w:t>
      </w:r>
      <w:r>
        <w:rPr>
          <w:spacing w:val="-1"/>
          <w:szCs w:val="22"/>
        </w:rPr>
        <w:t>H</w:t>
      </w:r>
      <w:r>
        <w:rPr>
          <w:szCs w:val="22"/>
        </w:rPr>
        <w:t>S</w:t>
      </w:r>
      <w:r>
        <w:rPr>
          <w:spacing w:val="-1"/>
          <w:szCs w:val="22"/>
        </w:rPr>
        <w:t xml:space="preserve"> </w:t>
      </w:r>
      <w:r>
        <w:rPr>
          <w:szCs w:val="22"/>
        </w:rPr>
        <w:t>a</w:t>
      </w:r>
      <w:r>
        <w:rPr>
          <w:spacing w:val="-2"/>
          <w:szCs w:val="22"/>
        </w:rPr>
        <w:t xml:space="preserve"> </w:t>
      </w:r>
      <w:r>
        <w:rPr>
          <w:szCs w:val="22"/>
        </w:rPr>
        <w:t>fo</w:t>
      </w:r>
      <w:r>
        <w:rPr>
          <w:spacing w:val="-2"/>
          <w:szCs w:val="22"/>
        </w:rPr>
        <w:t>s</w:t>
      </w:r>
      <w:r>
        <w:rPr>
          <w:szCs w:val="22"/>
        </w:rPr>
        <w:t>t</w:t>
      </w:r>
      <w:r>
        <w:rPr>
          <w:spacing w:val="1"/>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t</w:t>
      </w:r>
      <w:r>
        <w:rPr>
          <w:szCs w:val="22"/>
        </w:rPr>
        <w:t>ă cu</w:t>
      </w:r>
      <w:r>
        <w:rPr>
          <w:spacing w:val="-3"/>
          <w:szCs w:val="22"/>
        </w:rPr>
        <w:t xml:space="preserve"> a</w:t>
      </w:r>
      <w:r>
        <w:rPr>
          <w:spacing w:val="3"/>
          <w:szCs w:val="22"/>
        </w:rPr>
        <w:t>j</w:t>
      </w:r>
      <w:r>
        <w:rPr>
          <w:spacing w:val="-3"/>
          <w:szCs w:val="22"/>
        </w:rPr>
        <w:t>u</w:t>
      </w:r>
      <w:r>
        <w:rPr>
          <w:spacing w:val="1"/>
          <w:szCs w:val="22"/>
        </w:rPr>
        <w:t>t</w:t>
      </w:r>
      <w:r>
        <w:rPr>
          <w:spacing w:val="-3"/>
          <w:szCs w:val="22"/>
        </w:rPr>
        <w:t>o</w:t>
      </w:r>
      <w:r>
        <w:rPr>
          <w:szCs w:val="22"/>
        </w:rPr>
        <w:t>rul</w:t>
      </w:r>
      <w:r>
        <w:rPr>
          <w:spacing w:val="1"/>
          <w:szCs w:val="22"/>
        </w:rPr>
        <w:t xml:space="preserve"> </w:t>
      </w:r>
      <w:r>
        <w:rPr>
          <w:spacing w:val="-3"/>
          <w:szCs w:val="22"/>
        </w:rPr>
        <w:t>u</w:t>
      </w:r>
      <w:r>
        <w:rPr>
          <w:szCs w:val="22"/>
        </w:rPr>
        <w:t>nei</w:t>
      </w:r>
      <w:r>
        <w:rPr>
          <w:spacing w:val="-2"/>
          <w:szCs w:val="22"/>
        </w:rPr>
        <w:t xml:space="preserve"> </w:t>
      </w:r>
      <w:r>
        <w:rPr>
          <w:spacing w:val="-1"/>
          <w:szCs w:val="22"/>
        </w:rPr>
        <w:t>S</w:t>
      </w:r>
      <w:r>
        <w:rPr>
          <w:szCs w:val="22"/>
        </w:rPr>
        <w:t>c</w:t>
      </w:r>
      <w:r>
        <w:rPr>
          <w:spacing w:val="-3"/>
          <w:szCs w:val="22"/>
        </w:rPr>
        <w:t>a</w:t>
      </w:r>
      <w:r>
        <w:rPr>
          <w:spacing w:val="1"/>
          <w:szCs w:val="22"/>
        </w:rPr>
        <w:t>l</w:t>
      </w:r>
      <w:r>
        <w:rPr>
          <w:szCs w:val="22"/>
        </w:rPr>
        <w:t xml:space="preserve">e </w:t>
      </w:r>
      <w:r>
        <w:rPr>
          <w:spacing w:val="-3"/>
          <w:szCs w:val="22"/>
        </w:rPr>
        <w:t>d</w:t>
      </w:r>
      <w:r>
        <w:rPr>
          <w:szCs w:val="22"/>
        </w:rPr>
        <w:t>e</w:t>
      </w:r>
      <w:r>
        <w:rPr>
          <w:spacing w:val="-2"/>
          <w:szCs w:val="22"/>
        </w:rPr>
        <w:t xml:space="preserve"> </w:t>
      </w:r>
      <w:r>
        <w:rPr>
          <w:spacing w:val="-1"/>
          <w:szCs w:val="22"/>
        </w:rPr>
        <w:t>E</w:t>
      </w:r>
      <w:r>
        <w:rPr>
          <w:spacing w:val="-3"/>
          <w:szCs w:val="22"/>
        </w:rPr>
        <w:t>v</w:t>
      </w:r>
      <w:r>
        <w:rPr>
          <w:szCs w:val="22"/>
        </w:rPr>
        <w:t>a</w:t>
      </w:r>
      <w:r>
        <w:rPr>
          <w:spacing w:val="1"/>
          <w:szCs w:val="22"/>
        </w:rPr>
        <w:t>l</w:t>
      </w:r>
      <w:r>
        <w:rPr>
          <w:szCs w:val="22"/>
        </w:rPr>
        <w:t xml:space="preserve">uare </w:t>
      </w:r>
      <w:r>
        <w:rPr>
          <w:spacing w:val="-1"/>
          <w:szCs w:val="22"/>
        </w:rPr>
        <w:t>N</w:t>
      </w:r>
      <w:r>
        <w:rPr>
          <w:szCs w:val="22"/>
        </w:rPr>
        <w:t>u</w:t>
      </w:r>
      <w:r>
        <w:rPr>
          <w:spacing w:val="-4"/>
          <w:szCs w:val="22"/>
        </w:rPr>
        <w:t>m</w:t>
      </w:r>
      <w:r>
        <w:rPr>
          <w:szCs w:val="22"/>
        </w:rPr>
        <w:t>er</w:t>
      </w:r>
      <w:r>
        <w:rPr>
          <w:spacing w:val="-2"/>
          <w:szCs w:val="22"/>
        </w:rPr>
        <w:t>i</w:t>
      </w:r>
      <w:r>
        <w:rPr>
          <w:szCs w:val="22"/>
        </w:rPr>
        <w:t xml:space="preserve">că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1"/>
          <w:szCs w:val="22"/>
        </w:rPr>
        <w:t>ţ</w:t>
      </w:r>
      <w:r>
        <w:rPr>
          <w:spacing w:val="-2"/>
          <w:szCs w:val="22"/>
        </w:rPr>
        <w:t>i</w:t>
      </w:r>
      <w:r>
        <w:rPr>
          <w:szCs w:val="22"/>
        </w:rPr>
        <w:t>i</w:t>
      </w:r>
      <w:r>
        <w:rPr>
          <w:spacing w:val="1"/>
          <w:szCs w:val="22"/>
        </w:rPr>
        <w:t xml:space="preserve"> </w:t>
      </w:r>
      <w:r>
        <w:rPr>
          <w:szCs w:val="22"/>
        </w:rPr>
        <w:t>c</w:t>
      </w:r>
      <w:r>
        <w:rPr>
          <w:spacing w:val="-3"/>
          <w:szCs w:val="22"/>
        </w:rPr>
        <w:t>a</w:t>
      </w:r>
      <w:r>
        <w:rPr>
          <w:szCs w:val="22"/>
        </w:rPr>
        <w:t>re</w:t>
      </w:r>
      <w:r>
        <w:rPr>
          <w:spacing w:val="-2"/>
          <w:szCs w:val="22"/>
        </w:rPr>
        <w:t xml:space="preserve"> </w:t>
      </w:r>
      <w:r>
        <w:rPr>
          <w:szCs w:val="22"/>
        </w:rPr>
        <w:t>au f</w:t>
      </w:r>
      <w:r>
        <w:rPr>
          <w:spacing w:val="-3"/>
          <w:szCs w:val="22"/>
        </w:rPr>
        <w:t>o</w:t>
      </w:r>
      <w:r>
        <w:rPr>
          <w:szCs w:val="22"/>
        </w:rPr>
        <w:t xml:space="preserve">st </w:t>
      </w:r>
      <w:r>
        <w:rPr>
          <w:spacing w:val="1"/>
          <w:szCs w:val="22"/>
        </w:rPr>
        <w:t>î</w:t>
      </w:r>
      <w:r>
        <w:rPr>
          <w:szCs w:val="22"/>
        </w:rPr>
        <w:t>nr</w:t>
      </w:r>
      <w:r>
        <w:rPr>
          <w:spacing w:val="-3"/>
          <w:szCs w:val="22"/>
        </w:rPr>
        <w:t>o</w:t>
      </w:r>
      <w:r>
        <w:rPr>
          <w:spacing w:val="1"/>
          <w:szCs w:val="22"/>
        </w:rPr>
        <w:t>l</w:t>
      </w:r>
      <w:r>
        <w:rPr>
          <w:spacing w:val="-3"/>
          <w:szCs w:val="22"/>
        </w:rPr>
        <w:t>a</w:t>
      </w:r>
      <w:r>
        <w:rPr>
          <w:spacing w:val="1"/>
          <w:szCs w:val="22"/>
        </w:rPr>
        <w:t>ţ</w:t>
      </w:r>
      <w:r>
        <w:rPr>
          <w:szCs w:val="22"/>
        </w:rPr>
        <w:t>i</w:t>
      </w:r>
      <w:r>
        <w:rPr>
          <w:spacing w:val="-2"/>
          <w:szCs w:val="22"/>
        </w:rPr>
        <w:t xml:space="preserve"> </w:t>
      </w:r>
      <w:r>
        <w:rPr>
          <w:spacing w:val="1"/>
          <w:szCs w:val="22"/>
        </w:rPr>
        <w:t>î</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zCs w:val="22"/>
        </w:rPr>
        <w:t>u a</w:t>
      </w:r>
      <w:r>
        <w:rPr>
          <w:spacing w:val="-3"/>
          <w:szCs w:val="22"/>
        </w:rPr>
        <w:t>v</w:t>
      </w:r>
      <w:r>
        <w:rPr>
          <w:szCs w:val="22"/>
        </w:rPr>
        <w:t>ând un</w:t>
      </w:r>
      <w:r>
        <w:rPr>
          <w:spacing w:val="-3"/>
          <w:szCs w:val="22"/>
        </w:rPr>
        <w:t xml:space="preserve"> </w:t>
      </w:r>
      <w:r>
        <w:rPr>
          <w:spacing w:val="-2"/>
          <w:szCs w:val="22"/>
        </w:rPr>
        <w:t>s</w:t>
      </w:r>
      <w:r>
        <w:rPr>
          <w:szCs w:val="22"/>
        </w:rPr>
        <w:t>cor</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al</w:t>
      </w:r>
      <w:r>
        <w:rPr>
          <w:spacing w:val="1"/>
          <w:szCs w:val="22"/>
        </w:rPr>
        <w:t xml:space="preserve"> </w:t>
      </w:r>
      <w:r>
        <w:rPr>
          <w:spacing w:val="-3"/>
          <w:szCs w:val="22"/>
        </w:rPr>
        <w:t>d</w:t>
      </w:r>
      <w:r>
        <w:rPr>
          <w:szCs w:val="22"/>
        </w:rPr>
        <w:t xml:space="preserve">e 3 </w:t>
      </w:r>
      <w:r>
        <w:rPr>
          <w:spacing w:val="-2"/>
          <w:szCs w:val="22"/>
        </w:rPr>
        <w:t>s</w:t>
      </w:r>
      <w:r>
        <w:rPr>
          <w:szCs w:val="22"/>
        </w:rPr>
        <w:t xml:space="preserve">au </w:t>
      </w:r>
      <w:r>
        <w:rPr>
          <w:spacing w:val="-4"/>
          <w:szCs w:val="22"/>
        </w:rPr>
        <w:t>m</w:t>
      </w:r>
      <w:r>
        <w:rPr>
          <w:szCs w:val="22"/>
        </w:rPr>
        <w:t>ai</w:t>
      </w:r>
      <w:r>
        <w:rPr>
          <w:spacing w:val="1"/>
          <w:szCs w:val="22"/>
        </w:rPr>
        <w:t xml:space="preserve"> </w:t>
      </w:r>
      <w:r>
        <w:rPr>
          <w:spacing w:val="-4"/>
          <w:szCs w:val="22"/>
        </w:rPr>
        <w:t>m</w:t>
      </w:r>
      <w:r>
        <w:rPr>
          <w:szCs w:val="22"/>
        </w:rPr>
        <w:t>are, pe o</w:t>
      </w:r>
      <w:r>
        <w:rPr>
          <w:spacing w:val="-3"/>
          <w:szCs w:val="22"/>
        </w:rPr>
        <w:t xml:space="preserve"> </w:t>
      </w:r>
      <w:r>
        <w:rPr>
          <w:szCs w:val="22"/>
        </w:rPr>
        <w:t>sc</w:t>
      </w:r>
      <w:r>
        <w:rPr>
          <w:spacing w:val="-3"/>
          <w:szCs w:val="22"/>
        </w:rPr>
        <w:t>a</w:t>
      </w:r>
      <w:r>
        <w:rPr>
          <w:spacing w:val="1"/>
          <w:szCs w:val="22"/>
        </w:rPr>
        <w:t>l</w:t>
      </w:r>
      <w:r>
        <w:rPr>
          <w:szCs w:val="22"/>
        </w:rPr>
        <w:t xml:space="preserve">ă </w:t>
      </w:r>
      <w:r>
        <w:rPr>
          <w:spacing w:val="-3"/>
          <w:szCs w:val="22"/>
        </w:rPr>
        <w:t>d</w:t>
      </w:r>
      <w:r>
        <w:rPr>
          <w:szCs w:val="22"/>
        </w:rPr>
        <w:t>e 11 p</w:t>
      </w:r>
      <w:r>
        <w:rPr>
          <w:spacing w:val="-3"/>
          <w:szCs w:val="22"/>
        </w:rPr>
        <w:t>u</w:t>
      </w:r>
      <w:r>
        <w:rPr>
          <w:szCs w:val="22"/>
        </w:rPr>
        <w:t>nc</w:t>
      </w:r>
      <w:r>
        <w:rPr>
          <w:spacing w:val="-2"/>
          <w:szCs w:val="22"/>
        </w:rPr>
        <w:t>t</w:t>
      </w:r>
      <w:r>
        <w:rPr>
          <w:szCs w:val="22"/>
        </w:rPr>
        <w:t>e.</w:t>
      </w:r>
    </w:p>
    <w:p w14:paraId="78AD6723" w14:textId="77777777" w:rsidR="00C04CAD" w:rsidRDefault="00C04CAD">
      <w:pPr>
        <w:tabs>
          <w:tab w:val="clear" w:pos="567"/>
        </w:tabs>
        <w:kinsoku w:val="0"/>
        <w:overflowPunct w:val="0"/>
        <w:autoSpaceDE w:val="0"/>
        <w:autoSpaceDN w:val="0"/>
        <w:adjustRightInd w:val="0"/>
        <w:spacing w:line="240" w:lineRule="auto"/>
        <w:rPr>
          <w:szCs w:val="22"/>
        </w:rPr>
      </w:pPr>
    </w:p>
    <w:p w14:paraId="2F5AB3E2" w14:textId="77777777" w:rsidR="00C04CAD" w:rsidRDefault="00060E34">
      <w:pPr>
        <w:autoSpaceDE w:val="0"/>
        <w:autoSpaceDN w:val="0"/>
        <w:adjustRightInd w:val="0"/>
        <w:spacing w:line="240" w:lineRule="auto"/>
        <w:rPr>
          <w:szCs w:val="22"/>
        </w:rPr>
      </w:pPr>
      <w:r>
        <w:rPr>
          <w:spacing w:val="-4"/>
          <w:szCs w:val="22"/>
        </w:rPr>
        <w:t>Î</w:t>
      </w:r>
      <w:r>
        <w:rPr>
          <w:szCs w:val="22"/>
        </w:rPr>
        <w:t>n săp</w:t>
      </w:r>
      <w:r>
        <w:rPr>
          <w:spacing w:val="1"/>
          <w:szCs w:val="22"/>
        </w:rPr>
        <w:t>t</w:t>
      </w:r>
      <w:r>
        <w:rPr>
          <w:szCs w:val="22"/>
        </w:rPr>
        <w:t>ă</w:t>
      </w:r>
      <w:r>
        <w:rPr>
          <w:spacing w:val="-4"/>
          <w:szCs w:val="22"/>
        </w:rPr>
        <w:t>m</w:t>
      </w:r>
      <w:r>
        <w:rPr>
          <w:szCs w:val="22"/>
        </w:rPr>
        <w:t>âna 12, un p</w:t>
      </w:r>
      <w:r>
        <w:rPr>
          <w:spacing w:val="-2"/>
          <w:szCs w:val="22"/>
        </w:rPr>
        <w:t>r</w:t>
      </w:r>
      <w:r>
        <w:rPr>
          <w:szCs w:val="22"/>
        </w:rPr>
        <w:t>oce</w:t>
      </w:r>
      <w:r>
        <w:rPr>
          <w:spacing w:val="-3"/>
          <w:szCs w:val="22"/>
        </w:rPr>
        <w:t>n</w:t>
      </w:r>
      <w:r>
        <w:rPr>
          <w:szCs w:val="22"/>
        </w:rPr>
        <w:t>t</w:t>
      </w:r>
      <w:r>
        <w:rPr>
          <w:spacing w:val="1"/>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zCs w:val="22"/>
        </w:rPr>
        <w:t>v</w:t>
      </w:r>
      <w:r>
        <w:rPr>
          <w:spacing w:val="-3"/>
          <w:szCs w:val="22"/>
        </w:rPr>
        <w:t xml:space="preserve"> </w:t>
      </w:r>
      <w:r>
        <w:rPr>
          <w:spacing w:val="-4"/>
          <w:szCs w:val="22"/>
        </w:rPr>
        <w:t>m</w:t>
      </w:r>
      <w:r>
        <w:rPr>
          <w:szCs w:val="22"/>
        </w:rPr>
        <w:t>ai</w:t>
      </w:r>
      <w:r>
        <w:rPr>
          <w:spacing w:val="1"/>
          <w:szCs w:val="22"/>
        </w:rPr>
        <w:t xml:space="preserve"> </w:t>
      </w:r>
      <w:r>
        <w:rPr>
          <w:spacing w:val="-4"/>
          <w:szCs w:val="22"/>
        </w:rPr>
        <w:t>m</w:t>
      </w:r>
      <w:r>
        <w:rPr>
          <w:szCs w:val="22"/>
        </w:rPr>
        <w:t>are de pac</w:t>
      </w:r>
      <w:r>
        <w:rPr>
          <w:spacing w:val="-2"/>
          <w:szCs w:val="22"/>
        </w:rPr>
        <w:t>i</w:t>
      </w:r>
      <w:r>
        <w:rPr>
          <w:szCs w:val="22"/>
        </w:rPr>
        <w:t>en</w:t>
      </w:r>
      <w:r>
        <w:rPr>
          <w:spacing w:val="-2"/>
          <w:szCs w:val="22"/>
        </w:rPr>
        <w:t>ț</w:t>
      </w:r>
      <w:r>
        <w:rPr>
          <w:szCs w:val="22"/>
        </w:rPr>
        <w:t>i</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2"/>
          <w:szCs w:val="22"/>
        </w:rPr>
        <w:t>ț</w:t>
      </w:r>
      <w:r>
        <w:rPr>
          <w:szCs w:val="22"/>
        </w:rPr>
        <w:t>i</w:t>
      </w:r>
      <w:r>
        <w:rPr>
          <w:spacing w:val="1"/>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a</w:t>
      </w:r>
      <w:r>
        <w:rPr>
          <w:spacing w:val="-2"/>
          <w:szCs w:val="22"/>
        </w:rPr>
        <w:t xml:space="preserve"> </w:t>
      </w:r>
      <w:r>
        <w:rPr>
          <w:szCs w:val="22"/>
        </w:rPr>
        <w:t>a</w:t>
      </w:r>
      <w:r>
        <w:rPr>
          <w:spacing w:val="1"/>
          <w:szCs w:val="22"/>
        </w:rPr>
        <w:t>t</w:t>
      </w:r>
      <w:r>
        <w:rPr>
          <w:spacing w:val="-2"/>
          <w:szCs w:val="22"/>
        </w:rPr>
        <w:t>i</w:t>
      </w:r>
      <w:r>
        <w:rPr>
          <w:szCs w:val="22"/>
        </w:rPr>
        <w:t xml:space="preserve">ns </w:t>
      </w:r>
      <w:r>
        <w:rPr>
          <w:spacing w:val="-1"/>
          <w:szCs w:val="22"/>
        </w:rPr>
        <w:t>H</w:t>
      </w:r>
      <w:r>
        <w:rPr>
          <w:spacing w:val="1"/>
          <w:szCs w:val="22"/>
        </w:rPr>
        <w:t>i</w:t>
      </w:r>
      <w:r>
        <w:rPr>
          <w:spacing w:val="-1"/>
          <w:szCs w:val="22"/>
        </w:rPr>
        <w:t xml:space="preserve">SRC </w:t>
      </w:r>
      <w:r>
        <w:rPr>
          <w:szCs w:val="22"/>
        </w:rPr>
        <w:t>co</w:t>
      </w:r>
      <w:r>
        <w:rPr>
          <w:spacing w:val="-4"/>
          <w:szCs w:val="22"/>
        </w:rPr>
        <w:t>m</w:t>
      </w:r>
      <w:r>
        <w:rPr>
          <w:szCs w:val="22"/>
        </w:rPr>
        <w:t>para</w:t>
      </w:r>
      <w:r>
        <w:rPr>
          <w:spacing w:val="1"/>
          <w:szCs w:val="22"/>
        </w:rPr>
        <w:t>ti</w:t>
      </w:r>
      <w:r>
        <w:rPr>
          <w:szCs w:val="22"/>
        </w:rPr>
        <w:t>v</w:t>
      </w:r>
      <w:r>
        <w:rPr>
          <w:spacing w:val="-3"/>
          <w:szCs w:val="22"/>
        </w:rPr>
        <w:t xml:space="preserve"> </w:t>
      </w:r>
      <w:r>
        <w:rPr>
          <w:szCs w:val="22"/>
        </w:rPr>
        <w:t xml:space="preserve">cu </w:t>
      </w:r>
      <w:r>
        <w:rPr>
          <w:spacing w:val="-3"/>
          <w:szCs w:val="22"/>
        </w:rPr>
        <w:t>p</w:t>
      </w:r>
      <w:r>
        <w:rPr>
          <w:spacing w:val="1"/>
          <w:szCs w:val="22"/>
        </w:rPr>
        <w:t>l</w:t>
      </w:r>
      <w:r>
        <w:rPr>
          <w:szCs w:val="22"/>
        </w:rPr>
        <w:t>a</w:t>
      </w:r>
      <w:r>
        <w:rPr>
          <w:spacing w:val="-3"/>
          <w:szCs w:val="22"/>
        </w:rPr>
        <w:t>c</w:t>
      </w:r>
      <w:r>
        <w:rPr>
          <w:szCs w:val="22"/>
        </w:rPr>
        <w:t xml:space="preserve">ebo. </w:t>
      </w:r>
      <w:r>
        <w:rPr>
          <w:spacing w:val="-4"/>
          <w:szCs w:val="22"/>
        </w:rPr>
        <w:t>Î</w:t>
      </w:r>
      <w:r>
        <w:rPr>
          <w:szCs w:val="22"/>
        </w:rPr>
        <w:t>n săp</w:t>
      </w:r>
      <w:r>
        <w:rPr>
          <w:spacing w:val="1"/>
          <w:szCs w:val="22"/>
        </w:rPr>
        <w:t>t</w:t>
      </w:r>
      <w:r>
        <w:rPr>
          <w:szCs w:val="22"/>
        </w:rPr>
        <w:t>ă</w:t>
      </w:r>
      <w:r>
        <w:rPr>
          <w:spacing w:val="-4"/>
          <w:szCs w:val="22"/>
        </w:rPr>
        <w:t>m</w:t>
      </w:r>
      <w:r>
        <w:rPr>
          <w:szCs w:val="22"/>
        </w:rPr>
        <w:t xml:space="preserve">âna 12, </w:t>
      </w:r>
      <w:r>
        <w:rPr>
          <w:spacing w:val="-3"/>
          <w:szCs w:val="22"/>
        </w:rPr>
        <w:t>u</w:t>
      </w:r>
      <w:r>
        <w:rPr>
          <w:szCs w:val="22"/>
        </w:rPr>
        <w:t>n pr</w:t>
      </w:r>
      <w:r>
        <w:rPr>
          <w:spacing w:val="-3"/>
          <w:szCs w:val="22"/>
        </w:rPr>
        <w:t>o</w:t>
      </w:r>
      <w:r>
        <w:rPr>
          <w:szCs w:val="22"/>
        </w:rPr>
        <w:t>ce</w:t>
      </w:r>
      <w:r>
        <w:rPr>
          <w:spacing w:val="-3"/>
          <w:szCs w:val="22"/>
        </w:rPr>
        <w:t>n</w:t>
      </w:r>
      <w:r>
        <w:rPr>
          <w:szCs w:val="22"/>
        </w:rPr>
        <w:t>t s</w:t>
      </w:r>
      <w:r>
        <w:rPr>
          <w:spacing w:val="-3"/>
          <w:szCs w:val="22"/>
        </w:rPr>
        <w:t>e</w:t>
      </w:r>
      <w:r>
        <w:rPr>
          <w:spacing w:val="-4"/>
          <w:szCs w:val="22"/>
        </w:rPr>
        <w:t>m</w:t>
      </w:r>
      <w:r>
        <w:rPr>
          <w:szCs w:val="22"/>
        </w:rPr>
        <w:t>n</w:t>
      </w:r>
      <w:r>
        <w:rPr>
          <w:spacing w:val="1"/>
          <w:szCs w:val="22"/>
        </w:rPr>
        <w:t>i</w:t>
      </w:r>
      <w:r>
        <w:rPr>
          <w:szCs w:val="22"/>
        </w:rPr>
        <w:t>f</w:t>
      </w:r>
      <w:r>
        <w:rPr>
          <w:spacing w:val="1"/>
          <w:szCs w:val="22"/>
        </w:rPr>
        <w:t>i</w:t>
      </w:r>
      <w:r>
        <w:rPr>
          <w:szCs w:val="22"/>
        </w:rPr>
        <w:t>ca</w:t>
      </w:r>
      <w:r>
        <w:rPr>
          <w:spacing w:val="-2"/>
          <w:szCs w:val="22"/>
        </w:rPr>
        <w:t>t</w:t>
      </w:r>
      <w:r>
        <w:rPr>
          <w:spacing w:val="1"/>
          <w:szCs w:val="22"/>
        </w:rPr>
        <w:t>i</w:t>
      </w:r>
      <w:r>
        <w:rPr>
          <w:szCs w:val="22"/>
        </w:rPr>
        <w:t>v</w:t>
      </w:r>
      <w:r>
        <w:rPr>
          <w:spacing w:val="-3"/>
          <w:szCs w:val="22"/>
        </w:rPr>
        <w:t xml:space="preserve"> </w:t>
      </w:r>
      <w:r>
        <w:rPr>
          <w:spacing w:val="-4"/>
          <w:szCs w:val="22"/>
        </w:rPr>
        <w:t>m</w:t>
      </w:r>
      <w:r>
        <w:rPr>
          <w:szCs w:val="22"/>
        </w:rPr>
        <w:t>ai</w:t>
      </w:r>
      <w:r>
        <w:rPr>
          <w:spacing w:val="3"/>
          <w:szCs w:val="22"/>
        </w:rPr>
        <w:t xml:space="preserve"> </w:t>
      </w:r>
      <w:r>
        <w:rPr>
          <w:spacing w:val="-4"/>
          <w:szCs w:val="22"/>
        </w:rPr>
        <w:t>m</w:t>
      </w:r>
      <w:r>
        <w:rPr>
          <w:szCs w:val="22"/>
        </w:rPr>
        <w:t xml:space="preserve">are de </w:t>
      </w:r>
      <w:r>
        <w:rPr>
          <w:spacing w:val="-3"/>
          <w:szCs w:val="22"/>
        </w:rPr>
        <w:t>p</w:t>
      </w:r>
      <w:r>
        <w:rPr>
          <w:szCs w:val="22"/>
        </w:rPr>
        <w:t>a</w:t>
      </w:r>
      <w:r>
        <w:rPr>
          <w:spacing w:val="-3"/>
          <w:szCs w:val="22"/>
        </w:rPr>
        <w:t>c</w:t>
      </w:r>
      <w:r>
        <w:rPr>
          <w:spacing w:val="1"/>
          <w:szCs w:val="22"/>
        </w:rPr>
        <w:t>i</w:t>
      </w:r>
      <w:r>
        <w:rPr>
          <w:szCs w:val="22"/>
        </w:rPr>
        <w:t>en</w:t>
      </w:r>
      <w:r>
        <w:rPr>
          <w:spacing w:val="-2"/>
          <w:szCs w:val="22"/>
        </w:rPr>
        <w:t>ț</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zCs w:val="22"/>
        </w:rPr>
        <w:t xml:space="preserve">ul </w:t>
      </w:r>
      <w:r>
        <w:rPr>
          <w:spacing w:val="-2"/>
          <w:szCs w:val="22"/>
        </w:rPr>
        <w:t>H</w:t>
      </w:r>
      <w:r>
        <w:rPr>
          <w:spacing w:val="2"/>
          <w:szCs w:val="22"/>
        </w:rPr>
        <w:t>S</w:t>
      </w:r>
      <w:r>
        <w:rPr>
          <w:spacing w:val="-2"/>
          <w:szCs w:val="22"/>
        </w:rPr>
        <w:t>-I</w:t>
      </w:r>
      <w:r>
        <w:rPr>
          <w:szCs w:val="22"/>
        </w:rPr>
        <w:t>I</w:t>
      </w:r>
      <w:r>
        <w:rPr>
          <w:spacing w:val="-2"/>
          <w:szCs w:val="22"/>
        </w:rPr>
        <w:t xml:space="preserve"> </w:t>
      </w:r>
      <w:r>
        <w:rPr>
          <w:szCs w:val="22"/>
        </w:rPr>
        <w:t xml:space="preserve">a </w:t>
      </w:r>
      <w:r>
        <w:rPr>
          <w:spacing w:val="1"/>
          <w:szCs w:val="22"/>
        </w:rPr>
        <w:t>î</w:t>
      </w:r>
      <w:r>
        <w:rPr>
          <w:szCs w:val="22"/>
        </w:rPr>
        <w:t>nre</w:t>
      </w:r>
      <w:r>
        <w:rPr>
          <w:spacing w:val="-3"/>
          <w:szCs w:val="22"/>
        </w:rPr>
        <w:t>g</w:t>
      </w:r>
      <w:r>
        <w:rPr>
          <w:spacing w:val="1"/>
          <w:szCs w:val="22"/>
        </w:rPr>
        <w:t>i</w:t>
      </w:r>
      <w:r>
        <w:rPr>
          <w:spacing w:val="-2"/>
          <w:szCs w:val="22"/>
        </w:rPr>
        <w:t>s</w:t>
      </w:r>
      <w:r>
        <w:rPr>
          <w:spacing w:val="1"/>
          <w:szCs w:val="22"/>
        </w:rPr>
        <w:t>t</w:t>
      </w:r>
      <w:r>
        <w:rPr>
          <w:szCs w:val="22"/>
        </w:rPr>
        <w:t>r</w:t>
      </w:r>
      <w:r>
        <w:rPr>
          <w:spacing w:val="-3"/>
          <w:szCs w:val="22"/>
        </w:rPr>
        <w:t>a</w:t>
      </w:r>
      <w:r>
        <w:rPr>
          <w:szCs w:val="22"/>
        </w:rPr>
        <w:t>t</w:t>
      </w:r>
      <w:r>
        <w:rPr>
          <w:spacing w:val="1"/>
          <w:szCs w:val="22"/>
        </w:rPr>
        <w:t xml:space="preserve"> </w:t>
      </w:r>
      <w:r>
        <w:rPr>
          <w:szCs w:val="22"/>
        </w:rPr>
        <w:t>o</w:t>
      </w:r>
      <w:r>
        <w:rPr>
          <w:spacing w:val="-3"/>
          <w:szCs w:val="22"/>
        </w:rPr>
        <w:t xml:space="preserve"> </w:t>
      </w:r>
      <w:r>
        <w:rPr>
          <w:szCs w:val="22"/>
        </w:rPr>
        <w:t>scă</w:t>
      </w:r>
      <w:r>
        <w:rPr>
          <w:spacing w:val="-3"/>
          <w:szCs w:val="22"/>
        </w:rPr>
        <w:t>d</w:t>
      </w:r>
      <w:r>
        <w:rPr>
          <w:szCs w:val="22"/>
        </w:rPr>
        <w:t>e</w:t>
      </w:r>
      <w:r>
        <w:rPr>
          <w:spacing w:val="-2"/>
          <w:szCs w:val="22"/>
        </w:rPr>
        <w:t>r</w:t>
      </w:r>
      <w:r>
        <w:rPr>
          <w:szCs w:val="22"/>
        </w:rPr>
        <w:t>e se</w:t>
      </w:r>
      <w:r>
        <w:rPr>
          <w:spacing w:val="-4"/>
          <w:szCs w:val="22"/>
        </w:rPr>
        <w:t>m</w:t>
      </w:r>
      <w:r>
        <w:rPr>
          <w:szCs w:val="22"/>
        </w:rPr>
        <w:t>n</w:t>
      </w:r>
      <w:r>
        <w:rPr>
          <w:spacing w:val="1"/>
          <w:szCs w:val="22"/>
        </w:rPr>
        <w:t>i</w:t>
      </w:r>
      <w:r>
        <w:rPr>
          <w:szCs w:val="22"/>
        </w:rPr>
        <w:t>f</w:t>
      </w:r>
      <w:r>
        <w:rPr>
          <w:spacing w:val="-2"/>
          <w:szCs w:val="22"/>
        </w:rPr>
        <w:t>i</w:t>
      </w:r>
      <w:r>
        <w:rPr>
          <w:szCs w:val="22"/>
        </w:rPr>
        <w:t>ca</w:t>
      </w:r>
      <w:r>
        <w:rPr>
          <w:spacing w:val="-2"/>
          <w:szCs w:val="22"/>
        </w:rPr>
        <w:t>t</w:t>
      </w:r>
      <w:r>
        <w:rPr>
          <w:spacing w:val="1"/>
          <w:szCs w:val="22"/>
        </w:rPr>
        <w:t>i</w:t>
      </w:r>
      <w:r>
        <w:rPr>
          <w:spacing w:val="-3"/>
          <w:szCs w:val="22"/>
        </w:rPr>
        <w:t>v</w:t>
      </w:r>
      <w:r>
        <w:rPr>
          <w:szCs w:val="22"/>
        </w:rPr>
        <w:t>ă c</w:t>
      </w:r>
      <w:r>
        <w:rPr>
          <w:spacing w:val="-2"/>
          <w:szCs w:val="22"/>
        </w:rPr>
        <w:t>l</w:t>
      </w:r>
      <w:r>
        <w:rPr>
          <w:spacing w:val="1"/>
          <w:szCs w:val="22"/>
        </w:rPr>
        <w:t>i</w:t>
      </w:r>
      <w:r>
        <w:rPr>
          <w:spacing w:val="-3"/>
          <w:szCs w:val="22"/>
        </w:rPr>
        <w:t>n</w:t>
      </w:r>
      <w:r>
        <w:rPr>
          <w:spacing w:val="1"/>
          <w:szCs w:val="22"/>
        </w:rPr>
        <w:t>i</w:t>
      </w:r>
      <w:r>
        <w:rPr>
          <w:szCs w:val="22"/>
        </w:rPr>
        <w:t xml:space="preserve">c a </w:t>
      </w:r>
      <w:r>
        <w:rPr>
          <w:spacing w:val="-3"/>
          <w:szCs w:val="22"/>
        </w:rPr>
        <w:t>d</w:t>
      </w:r>
      <w:r>
        <w:rPr>
          <w:szCs w:val="22"/>
        </w:rPr>
        <w:t>u</w:t>
      </w:r>
      <w:r>
        <w:rPr>
          <w:spacing w:val="-2"/>
          <w:szCs w:val="22"/>
        </w:rPr>
        <w:t>r</w:t>
      </w:r>
      <w:r>
        <w:rPr>
          <w:szCs w:val="22"/>
        </w:rPr>
        <w:t>er</w:t>
      </w:r>
      <w:r>
        <w:rPr>
          <w:spacing w:val="-2"/>
          <w:szCs w:val="22"/>
        </w:rPr>
        <w:t>i</w:t>
      </w:r>
      <w:r>
        <w:rPr>
          <w:szCs w:val="22"/>
        </w:rPr>
        <w:t>i</w:t>
      </w:r>
      <w:r>
        <w:rPr>
          <w:spacing w:val="1"/>
          <w:szCs w:val="22"/>
        </w:rPr>
        <w:t xml:space="preserve"> </w:t>
      </w:r>
      <w:r>
        <w:rPr>
          <w:szCs w:val="22"/>
        </w:rPr>
        <w:t>c</w:t>
      </w:r>
      <w:r>
        <w:rPr>
          <w:spacing w:val="-3"/>
          <w:szCs w:val="22"/>
        </w:rPr>
        <w:t>u</w:t>
      </w:r>
      <w:r>
        <w:rPr>
          <w:spacing w:val="1"/>
          <w:szCs w:val="22"/>
        </w:rPr>
        <w:t>t</w:t>
      </w:r>
      <w:r>
        <w:rPr>
          <w:szCs w:val="22"/>
        </w:rPr>
        <w:t>a</w:t>
      </w:r>
      <w:r>
        <w:rPr>
          <w:spacing w:val="-3"/>
          <w:szCs w:val="22"/>
        </w:rPr>
        <w:t>n</w:t>
      </w:r>
      <w:r>
        <w:rPr>
          <w:szCs w:val="22"/>
        </w:rPr>
        <w:t>a</w:t>
      </w:r>
      <w:r>
        <w:rPr>
          <w:spacing w:val="1"/>
          <w:szCs w:val="22"/>
        </w:rPr>
        <w:t>t</w:t>
      </w:r>
      <w:r>
        <w:rPr>
          <w:szCs w:val="22"/>
        </w:rPr>
        <w:t>e</w:t>
      </w:r>
      <w:r>
        <w:rPr>
          <w:spacing w:val="-3"/>
          <w:szCs w:val="22"/>
        </w:rPr>
        <w:t xml:space="preserve"> </w:t>
      </w:r>
      <w:r>
        <w:rPr>
          <w:szCs w:val="22"/>
        </w:rPr>
        <w:t>cau</w:t>
      </w:r>
      <w:r>
        <w:rPr>
          <w:spacing w:val="-3"/>
          <w:szCs w:val="22"/>
        </w:rPr>
        <w:t>z</w:t>
      </w:r>
      <w:r>
        <w:rPr>
          <w:szCs w:val="22"/>
        </w:rPr>
        <w:t>a</w:t>
      </w:r>
      <w:r>
        <w:rPr>
          <w:spacing w:val="-2"/>
          <w:szCs w:val="22"/>
        </w:rPr>
        <w:t>t</w:t>
      </w:r>
      <w:r>
        <w:rPr>
          <w:szCs w:val="22"/>
        </w:rPr>
        <w:t xml:space="preserve">e de </w:t>
      </w:r>
      <w:r>
        <w:rPr>
          <w:spacing w:val="-2"/>
          <w:szCs w:val="22"/>
        </w:rPr>
        <w:t>H</w:t>
      </w:r>
      <w:r>
        <w:rPr>
          <w:szCs w:val="22"/>
        </w:rPr>
        <w:t>S</w:t>
      </w:r>
      <w:r>
        <w:rPr>
          <w:spacing w:val="-3"/>
          <w:sz w:val="24"/>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t</w:t>
      </w:r>
      <w:r>
        <w:rPr>
          <w:szCs w:val="22"/>
        </w:rPr>
        <w:t>a</w:t>
      </w:r>
      <w:r>
        <w:rPr>
          <w:spacing w:val="-3"/>
          <w:szCs w:val="22"/>
        </w:rPr>
        <w:t>b</w:t>
      </w:r>
      <w:r>
        <w:rPr>
          <w:szCs w:val="22"/>
        </w:rPr>
        <w:t>e</w:t>
      </w:r>
      <w:r>
        <w:rPr>
          <w:spacing w:val="1"/>
          <w:szCs w:val="22"/>
        </w:rPr>
        <w:t>l</w:t>
      </w:r>
      <w:r>
        <w:rPr>
          <w:spacing w:val="-3"/>
          <w:szCs w:val="22"/>
        </w:rPr>
        <w:t>u</w:t>
      </w:r>
      <w:r>
        <w:rPr>
          <w:szCs w:val="22"/>
        </w:rPr>
        <w:t>l</w:t>
      </w:r>
      <w:r>
        <w:rPr>
          <w:spacing w:val="1"/>
          <w:szCs w:val="22"/>
        </w:rPr>
        <w:t xml:space="preserve"> </w:t>
      </w:r>
      <w:r>
        <w:rPr>
          <w:rFonts w:eastAsia="MS Mincho"/>
          <w:spacing w:val="-3"/>
          <w:szCs w:val="22"/>
          <w:lang w:eastAsia="en-US" w:bidi="ar-SA"/>
        </w:rPr>
        <w:t>19</w:t>
      </w:r>
      <w:r>
        <w:rPr>
          <w:szCs w:val="22"/>
        </w:rPr>
        <w:t>).</w:t>
      </w:r>
      <w:r>
        <w:rPr>
          <w:spacing w:val="-1"/>
          <w:szCs w:val="22"/>
        </w:rPr>
        <w:t xml:space="preserve"> 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2"/>
          <w:szCs w:val="22"/>
        </w:rPr>
        <w:t>ţ</w:t>
      </w:r>
      <w:r>
        <w:rPr>
          <w:szCs w:val="22"/>
        </w:rPr>
        <w:t>i</w:t>
      </w:r>
      <w:r>
        <w:rPr>
          <w:spacing w:val="1"/>
          <w:szCs w:val="22"/>
        </w:rPr>
        <w:t xml:space="preserve"> </w:t>
      </w:r>
      <w:r>
        <w:rPr>
          <w:szCs w:val="22"/>
        </w:rPr>
        <w:t xml:space="preserve">cu </w:t>
      </w:r>
      <w:r>
        <w:rPr>
          <w:rFonts w:eastAsia="MS Mincho"/>
          <w:spacing w:val="-1"/>
          <w:szCs w:val="22"/>
          <w:lang w:eastAsia="en-US" w:bidi="ar-SA"/>
        </w:rPr>
        <w:t>adalimumab</w:t>
      </w:r>
      <w:r>
        <w:rPr>
          <w:szCs w:val="22"/>
        </w:rPr>
        <w:t xml:space="preserve"> s</w:t>
      </w:r>
      <w:r>
        <w:rPr>
          <w:spacing w:val="-4"/>
          <w:szCs w:val="22"/>
        </w:rPr>
        <w:t>-</w:t>
      </w:r>
      <w:r>
        <w:rPr>
          <w:szCs w:val="22"/>
        </w:rPr>
        <w:t>a redus</w:t>
      </w:r>
      <w:r>
        <w:rPr>
          <w:spacing w:val="-2"/>
          <w:szCs w:val="22"/>
        </w:rPr>
        <w:t xml:space="preserve"> </w:t>
      </w:r>
      <w:r>
        <w:rPr>
          <w:szCs w:val="22"/>
        </w:rPr>
        <w:t>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zCs w:val="22"/>
        </w:rPr>
        <w:t>v</w:t>
      </w:r>
      <w:r>
        <w:rPr>
          <w:spacing w:val="-3"/>
          <w:szCs w:val="22"/>
        </w:rPr>
        <w:t xml:space="preserve"> </w:t>
      </w:r>
      <w:r>
        <w:rPr>
          <w:szCs w:val="22"/>
        </w:rPr>
        <w:t>r</w:t>
      </w:r>
      <w:r>
        <w:rPr>
          <w:spacing w:val="-2"/>
          <w:szCs w:val="22"/>
        </w:rPr>
        <w:t>is</w:t>
      </w:r>
      <w:r>
        <w:rPr>
          <w:szCs w:val="22"/>
        </w:rPr>
        <w:t>cul</w:t>
      </w:r>
      <w:r>
        <w:rPr>
          <w:spacing w:val="1"/>
          <w:szCs w:val="22"/>
        </w:rPr>
        <w:t xml:space="preserve"> </w:t>
      </w:r>
      <w:r>
        <w:rPr>
          <w:spacing w:val="-3"/>
          <w:szCs w:val="22"/>
        </w:rPr>
        <w:t>d</w:t>
      </w:r>
      <w:r>
        <w:rPr>
          <w:szCs w:val="22"/>
        </w:rPr>
        <w:t>e ac</w:t>
      </w:r>
      <w:r>
        <w:rPr>
          <w:spacing w:val="-3"/>
          <w:szCs w:val="22"/>
        </w:rPr>
        <w:t>u</w:t>
      </w:r>
      <w:r>
        <w:rPr>
          <w:spacing w:val="1"/>
          <w:szCs w:val="22"/>
        </w:rPr>
        <w:t>ti</w:t>
      </w:r>
      <w:r>
        <w:rPr>
          <w:spacing w:val="-3"/>
          <w:szCs w:val="22"/>
        </w:rPr>
        <w:t>z</w:t>
      </w:r>
      <w:r>
        <w:rPr>
          <w:szCs w:val="22"/>
        </w:rPr>
        <w:t>a</w:t>
      </w:r>
      <w:r>
        <w:rPr>
          <w:spacing w:val="-2"/>
          <w:szCs w:val="22"/>
        </w:rPr>
        <w:t>r</w:t>
      </w:r>
      <w:r>
        <w:rPr>
          <w:szCs w:val="22"/>
        </w:rPr>
        <w:t xml:space="preserve">e a </w:t>
      </w:r>
      <w:r>
        <w:rPr>
          <w:spacing w:val="-3"/>
          <w:szCs w:val="22"/>
        </w:rPr>
        <w:t>b</w:t>
      </w:r>
      <w:r>
        <w:rPr>
          <w:szCs w:val="22"/>
        </w:rPr>
        <w:t>o</w:t>
      </w:r>
      <w:r>
        <w:rPr>
          <w:spacing w:val="-2"/>
          <w:szCs w:val="22"/>
        </w:rPr>
        <w:t>l</w:t>
      </w:r>
      <w:r>
        <w:rPr>
          <w:spacing w:val="1"/>
          <w:szCs w:val="22"/>
        </w:rPr>
        <w:t>i</w:t>
      </w:r>
      <w:r>
        <w:rPr>
          <w:szCs w:val="22"/>
        </w:rPr>
        <w:t>i</w:t>
      </w:r>
      <w:r>
        <w:rPr>
          <w:spacing w:val="-2"/>
          <w:szCs w:val="22"/>
        </w:rPr>
        <w:t xml:space="preserve"> </w:t>
      </w:r>
      <w:r>
        <w:rPr>
          <w:spacing w:val="1"/>
          <w:szCs w:val="22"/>
        </w:rPr>
        <w:t>î</w:t>
      </w:r>
      <w:r>
        <w:rPr>
          <w:szCs w:val="22"/>
        </w:rPr>
        <w:t xml:space="preserve">n </w:t>
      </w:r>
      <w:r>
        <w:rPr>
          <w:spacing w:val="-3"/>
          <w:szCs w:val="22"/>
        </w:rPr>
        <w:t>p</w:t>
      </w:r>
      <w:r>
        <w:rPr>
          <w:spacing w:val="-2"/>
          <w:szCs w:val="22"/>
        </w:rPr>
        <w:t>r</w:t>
      </w:r>
      <w:r>
        <w:rPr>
          <w:spacing w:val="1"/>
          <w:szCs w:val="22"/>
        </w:rPr>
        <w:t>i</w:t>
      </w:r>
      <w:r>
        <w:rPr>
          <w:spacing w:val="-4"/>
          <w:szCs w:val="22"/>
        </w:rPr>
        <w:t>m</w:t>
      </w:r>
      <w:r>
        <w:rPr>
          <w:szCs w:val="22"/>
        </w:rPr>
        <w:t>e</w:t>
      </w:r>
      <w:r>
        <w:rPr>
          <w:spacing w:val="1"/>
          <w:szCs w:val="22"/>
        </w:rPr>
        <w:t>l</w:t>
      </w:r>
      <w:r>
        <w:rPr>
          <w:szCs w:val="22"/>
        </w:rPr>
        <w:t>e 12 s</w:t>
      </w:r>
      <w:r>
        <w:rPr>
          <w:spacing w:val="-3"/>
          <w:szCs w:val="22"/>
        </w:rPr>
        <w:t>ă</w:t>
      </w:r>
      <w:r>
        <w:rPr>
          <w:szCs w:val="22"/>
        </w:rPr>
        <w:t>p</w:t>
      </w:r>
      <w:r>
        <w:rPr>
          <w:spacing w:val="1"/>
          <w:szCs w:val="22"/>
        </w:rPr>
        <w:t>t</w:t>
      </w:r>
      <w:r>
        <w:rPr>
          <w:szCs w:val="22"/>
        </w:rPr>
        <w:t>ă</w:t>
      </w:r>
      <w:r>
        <w:rPr>
          <w:spacing w:val="-4"/>
          <w:szCs w:val="22"/>
        </w:rPr>
        <w:t>m</w:t>
      </w:r>
      <w:r>
        <w:rPr>
          <w:szCs w:val="22"/>
        </w:rPr>
        <w:t xml:space="preserve">âni de </w:t>
      </w:r>
      <w:r>
        <w:rPr>
          <w:spacing w:val="-2"/>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zCs w:val="22"/>
        </w:rPr>
        <w:t>.</w:t>
      </w:r>
    </w:p>
    <w:p w14:paraId="45B3BCD8" w14:textId="77777777" w:rsidR="00C04CAD" w:rsidRDefault="00C04CAD">
      <w:pPr>
        <w:autoSpaceDE w:val="0"/>
        <w:autoSpaceDN w:val="0"/>
        <w:adjustRightInd w:val="0"/>
        <w:spacing w:line="240" w:lineRule="auto"/>
        <w:rPr>
          <w:szCs w:val="22"/>
        </w:rPr>
      </w:pPr>
    </w:p>
    <w:p w14:paraId="1B6078D9" w14:textId="77777777" w:rsidR="00C04CAD" w:rsidRDefault="00060E34">
      <w:pPr>
        <w:keepNext/>
        <w:autoSpaceDE w:val="0"/>
        <w:autoSpaceDN w:val="0"/>
        <w:adjustRightInd w:val="0"/>
        <w:spacing w:line="240" w:lineRule="auto"/>
        <w:rPr>
          <w:b/>
          <w:bCs/>
          <w:sz w:val="24"/>
        </w:rPr>
      </w:pPr>
      <w:r>
        <w:rPr>
          <w:b/>
          <w:spacing w:val="-1"/>
        </w:rPr>
        <w:t>T</w:t>
      </w:r>
      <w:r>
        <w:rPr>
          <w:b/>
        </w:rPr>
        <w:t>a</w:t>
      </w:r>
      <w:r>
        <w:rPr>
          <w:b/>
          <w:spacing w:val="-1"/>
        </w:rPr>
        <w:t>b</w:t>
      </w:r>
      <w:r>
        <w:rPr>
          <w:b/>
        </w:rPr>
        <w:t>elul</w:t>
      </w:r>
      <w:r>
        <w:rPr>
          <w:b/>
          <w:spacing w:val="1"/>
        </w:rPr>
        <w:t xml:space="preserve"> </w:t>
      </w:r>
      <w:r>
        <w:rPr>
          <w:b/>
          <w:spacing w:val="-3"/>
        </w:rPr>
        <w:t>19.</w:t>
      </w:r>
      <w:r>
        <w:rPr>
          <w:b/>
          <w:spacing w:val="1"/>
        </w:rPr>
        <w:t xml:space="preserve"> </w:t>
      </w:r>
      <w:r>
        <w:rPr>
          <w:b/>
          <w:spacing w:val="-2"/>
        </w:rPr>
        <w:t>R</w:t>
      </w:r>
      <w:r>
        <w:rPr>
          <w:b/>
        </w:rPr>
        <w:t>e</w:t>
      </w:r>
      <w:r>
        <w:rPr>
          <w:b/>
          <w:spacing w:val="-3"/>
        </w:rPr>
        <w:t>z</w:t>
      </w:r>
      <w:r>
        <w:rPr>
          <w:b/>
          <w:spacing w:val="-1"/>
        </w:rPr>
        <w:t>u</w:t>
      </w:r>
      <w:r>
        <w:rPr>
          <w:b/>
          <w:spacing w:val="1"/>
        </w:rPr>
        <w:t>l</w:t>
      </w:r>
      <w:r>
        <w:rPr>
          <w:b/>
        </w:rPr>
        <w:t>t</w:t>
      </w:r>
      <w:r>
        <w:rPr>
          <w:b/>
          <w:spacing w:val="-3"/>
        </w:rPr>
        <w:t>a</w:t>
      </w:r>
      <w:r>
        <w:rPr>
          <w:b/>
        </w:rPr>
        <w:t xml:space="preserve">te </w:t>
      </w:r>
      <w:r>
        <w:rPr>
          <w:b/>
          <w:spacing w:val="-3"/>
        </w:rPr>
        <w:t>p</w:t>
      </w:r>
      <w:r>
        <w:rPr>
          <w:b/>
        </w:rPr>
        <w:t>r</w:t>
      </w:r>
      <w:r>
        <w:rPr>
          <w:b/>
          <w:spacing w:val="1"/>
        </w:rPr>
        <w:t>i</w:t>
      </w:r>
      <w:r>
        <w:rPr>
          <w:b/>
          <w:spacing w:val="-3"/>
        </w:rPr>
        <w:t>v</w:t>
      </w:r>
      <w:r>
        <w:rPr>
          <w:b/>
          <w:spacing w:val="-2"/>
        </w:rPr>
        <w:t>i</w:t>
      </w:r>
      <w:r>
        <w:rPr>
          <w:b/>
          <w:spacing w:val="-1"/>
        </w:rPr>
        <w:t>n</w:t>
      </w:r>
      <w:r>
        <w:rPr>
          <w:b/>
        </w:rPr>
        <w:t>d</w:t>
      </w:r>
      <w:r>
        <w:rPr>
          <w:b/>
          <w:spacing w:val="-1"/>
        </w:rPr>
        <w:t xml:space="preserve"> </w:t>
      </w:r>
      <w:r>
        <w:rPr>
          <w:b/>
          <w:spacing w:val="-3"/>
        </w:rPr>
        <w:t>e</w:t>
      </w:r>
      <w:r>
        <w:rPr>
          <w:b/>
          <w:spacing w:val="3"/>
        </w:rPr>
        <w:t>f</w:t>
      </w:r>
      <w:r>
        <w:rPr>
          <w:b/>
          <w:spacing w:val="-2"/>
        </w:rPr>
        <w:t>i</w:t>
      </w:r>
      <w:r>
        <w:rPr>
          <w:b/>
        </w:rPr>
        <w:t>ca</w:t>
      </w:r>
      <w:r>
        <w:rPr>
          <w:b/>
          <w:spacing w:val="-3"/>
        </w:rPr>
        <w:t>c</w:t>
      </w:r>
      <w:r>
        <w:rPr>
          <w:b/>
          <w:spacing w:val="1"/>
        </w:rPr>
        <w:t>i</w:t>
      </w:r>
      <w:r>
        <w:rPr>
          <w:b/>
        </w:rPr>
        <w:t>t</w:t>
      </w:r>
      <w:r>
        <w:rPr>
          <w:b/>
          <w:spacing w:val="-3"/>
        </w:rPr>
        <w:t>a</w:t>
      </w:r>
      <w:r>
        <w:rPr>
          <w:b/>
        </w:rPr>
        <w:t>tea</w:t>
      </w:r>
      <w:r>
        <w:rPr>
          <w:b/>
          <w:spacing w:val="-3"/>
        </w:rPr>
        <w:t xml:space="preserve"> </w:t>
      </w:r>
      <w:r>
        <w:rPr>
          <w:b/>
          <w:spacing w:val="1"/>
        </w:rPr>
        <w:t>l</w:t>
      </w:r>
      <w:r>
        <w:rPr>
          <w:b/>
        </w:rPr>
        <w:t>a</w:t>
      </w:r>
      <w:r>
        <w:rPr>
          <w:b/>
          <w:spacing w:val="-1"/>
        </w:rPr>
        <w:t xml:space="preserve"> </w:t>
      </w:r>
      <w:r>
        <w:rPr>
          <w:b/>
        </w:rPr>
        <w:t>12</w:t>
      </w:r>
      <w:r>
        <w:rPr>
          <w:b/>
          <w:spacing w:val="-3"/>
        </w:rPr>
        <w:t xml:space="preserve"> </w:t>
      </w:r>
      <w:r>
        <w:rPr>
          <w:b/>
        </w:rPr>
        <w:t>să</w:t>
      </w:r>
      <w:r>
        <w:rPr>
          <w:b/>
          <w:spacing w:val="-3"/>
        </w:rPr>
        <w:t>p</w:t>
      </w:r>
      <w:r>
        <w:rPr>
          <w:b/>
        </w:rPr>
        <w:t>t</w:t>
      </w:r>
      <w:r>
        <w:rPr>
          <w:b/>
          <w:spacing w:val="-3"/>
        </w:rPr>
        <w:t>ă</w:t>
      </w:r>
      <w:r>
        <w:rPr>
          <w:b/>
        </w:rPr>
        <w:t>mâ</w:t>
      </w:r>
      <w:r>
        <w:rPr>
          <w:b/>
          <w:spacing w:val="-1"/>
        </w:rPr>
        <w:t>n</w:t>
      </w:r>
      <w:r>
        <w:rPr>
          <w:b/>
          <w:spacing w:val="1"/>
        </w:rPr>
        <w:t>i</w:t>
      </w:r>
      <w:r>
        <w:rPr>
          <w:b/>
        </w:rPr>
        <w:t>,</w:t>
      </w:r>
      <w:r>
        <w:rPr>
          <w:b/>
          <w:spacing w:val="-3"/>
        </w:rPr>
        <w:t xml:space="preserve"> </w:t>
      </w:r>
      <w:r>
        <w:rPr>
          <w:b/>
          <w:spacing w:val="-1"/>
        </w:rPr>
        <w:t>S</w:t>
      </w:r>
      <w:r>
        <w:rPr>
          <w:b/>
        </w:rPr>
        <w:t>t</w:t>
      </w:r>
      <w:r>
        <w:rPr>
          <w:b/>
          <w:spacing w:val="-1"/>
        </w:rPr>
        <w:t>u</w:t>
      </w:r>
      <w:r>
        <w:rPr>
          <w:b/>
          <w:spacing w:val="-3"/>
        </w:rPr>
        <w:t>d</w:t>
      </w:r>
      <w:r>
        <w:rPr>
          <w:b/>
          <w:spacing w:val="1"/>
        </w:rPr>
        <w:t>i</w:t>
      </w:r>
      <w:r>
        <w:rPr>
          <w:b/>
          <w:spacing w:val="-2"/>
        </w:rPr>
        <w:t>i</w:t>
      </w:r>
      <w:r>
        <w:rPr>
          <w:b/>
          <w:spacing w:val="1"/>
        </w:rPr>
        <w:t>l</w:t>
      </w:r>
      <w:r>
        <w:rPr>
          <w:b/>
        </w:rPr>
        <w:t>e I</w:t>
      </w:r>
      <w:r>
        <w:rPr>
          <w:b/>
          <w:spacing w:val="-2"/>
        </w:rPr>
        <w:t xml:space="preserve"> </w:t>
      </w:r>
      <w:r>
        <w:rPr>
          <w:b/>
        </w:rPr>
        <w:t>şi</w:t>
      </w:r>
      <w:r>
        <w:rPr>
          <w:b/>
          <w:spacing w:val="-2"/>
        </w:rPr>
        <w:t xml:space="preserve"> </w:t>
      </w:r>
      <w:r>
        <w:rPr>
          <w:b/>
        </w:rPr>
        <w:t xml:space="preserve">II </w:t>
      </w:r>
      <w:r>
        <w:rPr>
          <w:b/>
          <w:spacing w:val="-1"/>
        </w:rPr>
        <w:t>p</w:t>
      </w:r>
      <w:r>
        <w:rPr>
          <w:b/>
        </w:rPr>
        <w:t>e</w:t>
      </w:r>
      <w:r>
        <w:rPr>
          <w:b/>
          <w:spacing w:val="-3"/>
        </w:rPr>
        <w:t>n</w:t>
      </w:r>
      <w:r>
        <w:rPr>
          <w:b/>
        </w:rPr>
        <w:t>t</w:t>
      </w:r>
      <w:r>
        <w:rPr>
          <w:b/>
          <w:spacing w:val="-3"/>
        </w:rPr>
        <w:t>r</w:t>
      </w:r>
      <w:r>
        <w:rPr>
          <w:b/>
        </w:rPr>
        <w:t>u</w:t>
      </w:r>
      <w:r>
        <w:rPr>
          <w:b/>
          <w:spacing w:val="-1"/>
        </w:rPr>
        <w:t xml:space="preserve"> </w:t>
      </w:r>
      <w:r>
        <w:rPr>
          <w:b/>
          <w:spacing w:val="1"/>
        </w:rPr>
        <w:t>HS</w:t>
      </w:r>
    </w:p>
    <w:p w14:paraId="5F08D028" w14:textId="77777777" w:rsidR="00C04CAD" w:rsidRDefault="00C04CAD">
      <w:pPr>
        <w:keepNext/>
        <w:autoSpaceDE w:val="0"/>
        <w:autoSpaceDN w:val="0"/>
        <w:adjustRightInd w:val="0"/>
        <w:spacing w:line="240" w:lineRule="auto"/>
        <w:rPr>
          <w:sz w:val="24"/>
        </w:rPr>
      </w:pPr>
    </w:p>
    <w:tbl>
      <w:tblPr>
        <w:tblW w:w="4997" w:type="pct"/>
        <w:tblInd w:w="5" w:type="dxa"/>
        <w:tblLayout w:type="fixed"/>
        <w:tblCellMar>
          <w:left w:w="0" w:type="dxa"/>
          <w:right w:w="0" w:type="dxa"/>
        </w:tblCellMar>
        <w:tblLook w:val="04A0" w:firstRow="1" w:lastRow="0" w:firstColumn="1" w:lastColumn="0" w:noHBand="0" w:noVBand="1"/>
      </w:tblPr>
      <w:tblGrid>
        <w:gridCol w:w="2767"/>
        <w:gridCol w:w="1404"/>
        <w:gridCol w:w="1701"/>
        <w:gridCol w:w="1367"/>
        <w:gridCol w:w="1808"/>
        <w:gridCol w:w="9"/>
      </w:tblGrid>
      <w:tr w:rsidR="00C04CAD" w14:paraId="4E775953" w14:textId="77777777">
        <w:trPr>
          <w:trHeight w:hRule="exact" w:val="264"/>
        </w:trPr>
        <w:tc>
          <w:tcPr>
            <w:tcW w:w="1528" w:type="pct"/>
            <w:tcBorders>
              <w:top w:val="single" w:sz="4" w:space="0" w:color="000000"/>
              <w:left w:val="single" w:sz="4" w:space="0" w:color="000000"/>
              <w:bottom w:val="single" w:sz="4" w:space="0" w:color="000000"/>
              <w:right w:val="single" w:sz="4" w:space="0" w:color="000000"/>
            </w:tcBorders>
          </w:tcPr>
          <w:p w14:paraId="702678A1" w14:textId="77777777" w:rsidR="00C04CAD" w:rsidRDefault="00C04CAD">
            <w:pPr>
              <w:keepNext/>
              <w:tabs>
                <w:tab w:val="clear" w:pos="567"/>
              </w:tabs>
              <w:autoSpaceDE w:val="0"/>
              <w:autoSpaceDN w:val="0"/>
              <w:adjustRightInd w:val="0"/>
              <w:spacing w:line="240" w:lineRule="auto"/>
            </w:pPr>
          </w:p>
        </w:tc>
        <w:tc>
          <w:tcPr>
            <w:tcW w:w="1714" w:type="pct"/>
            <w:gridSpan w:val="2"/>
            <w:tcBorders>
              <w:top w:val="single" w:sz="4" w:space="0" w:color="000000"/>
              <w:left w:val="single" w:sz="4" w:space="0" w:color="000000"/>
              <w:bottom w:val="single" w:sz="4" w:space="0" w:color="000000"/>
              <w:right w:val="single" w:sz="4" w:space="0" w:color="000000"/>
            </w:tcBorders>
          </w:tcPr>
          <w:p w14:paraId="0EEE9A20"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pacing w:val="1"/>
                <w:szCs w:val="22"/>
              </w:rPr>
              <w:t>H</w:t>
            </w:r>
            <w:r>
              <w:rPr>
                <w:b/>
                <w:szCs w:val="22"/>
              </w:rPr>
              <w:t>S</w:t>
            </w:r>
            <w:r>
              <w:rPr>
                <w:b/>
                <w:spacing w:val="-1"/>
                <w:szCs w:val="22"/>
              </w:rPr>
              <w:t xml:space="preserve"> S</w:t>
            </w:r>
            <w:r>
              <w:rPr>
                <w:b/>
                <w:szCs w:val="22"/>
              </w:rPr>
              <w:t>t</w:t>
            </w:r>
            <w:r>
              <w:rPr>
                <w:b/>
                <w:spacing w:val="-1"/>
                <w:szCs w:val="22"/>
              </w:rPr>
              <w:t>u</w:t>
            </w:r>
            <w:r>
              <w:rPr>
                <w:b/>
                <w:spacing w:val="-3"/>
                <w:szCs w:val="22"/>
              </w:rPr>
              <w:t>d</w:t>
            </w:r>
            <w:r>
              <w:rPr>
                <w:b/>
                <w:spacing w:val="1"/>
                <w:szCs w:val="22"/>
              </w:rPr>
              <w:t>i</w:t>
            </w:r>
            <w:r>
              <w:rPr>
                <w:b/>
                <w:spacing w:val="-1"/>
                <w:szCs w:val="22"/>
              </w:rPr>
              <w:t>u</w:t>
            </w:r>
            <w:r>
              <w:rPr>
                <w:b/>
                <w:szCs w:val="22"/>
              </w:rPr>
              <w:t>l</w:t>
            </w:r>
            <w:r>
              <w:rPr>
                <w:b/>
                <w:spacing w:val="-2"/>
                <w:szCs w:val="22"/>
              </w:rPr>
              <w:t xml:space="preserve"> </w:t>
            </w:r>
            <w:r>
              <w:rPr>
                <w:b/>
                <w:szCs w:val="22"/>
              </w:rPr>
              <w:t>I</w:t>
            </w:r>
          </w:p>
        </w:tc>
        <w:tc>
          <w:tcPr>
            <w:tcW w:w="1758" w:type="pct"/>
            <w:gridSpan w:val="3"/>
            <w:tcBorders>
              <w:top w:val="single" w:sz="4" w:space="0" w:color="000000"/>
              <w:left w:val="single" w:sz="4" w:space="0" w:color="000000"/>
              <w:bottom w:val="single" w:sz="4" w:space="0" w:color="000000"/>
              <w:right w:val="single" w:sz="4" w:space="0" w:color="000000"/>
            </w:tcBorders>
          </w:tcPr>
          <w:p w14:paraId="729B64CF"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pacing w:val="1"/>
                <w:szCs w:val="22"/>
              </w:rPr>
              <w:t>H</w:t>
            </w:r>
            <w:r>
              <w:rPr>
                <w:b/>
                <w:szCs w:val="22"/>
              </w:rPr>
              <w:t>S</w:t>
            </w:r>
            <w:r>
              <w:rPr>
                <w:b/>
                <w:spacing w:val="-1"/>
                <w:szCs w:val="22"/>
              </w:rPr>
              <w:t xml:space="preserve"> S</w:t>
            </w:r>
            <w:r>
              <w:rPr>
                <w:b/>
                <w:szCs w:val="22"/>
              </w:rPr>
              <w:t>t</w:t>
            </w:r>
            <w:r>
              <w:rPr>
                <w:b/>
                <w:spacing w:val="-1"/>
                <w:szCs w:val="22"/>
              </w:rPr>
              <w:t>u</w:t>
            </w:r>
            <w:r>
              <w:rPr>
                <w:b/>
                <w:spacing w:val="-3"/>
                <w:szCs w:val="22"/>
              </w:rPr>
              <w:t>d</w:t>
            </w:r>
            <w:r>
              <w:rPr>
                <w:b/>
                <w:spacing w:val="1"/>
                <w:szCs w:val="22"/>
              </w:rPr>
              <w:t>i</w:t>
            </w:r>
            <w:r>
              <w:rPr>
                <w:b/>
                <w:spacing w:val="-1"/>
                <w:szCs w:val="22"/>
              </w:rPr>
              <w:t>u</w:t>
            </w:r>
            <w:r>
              <w:rPr>
                <w:b/>
                <w:szCs w:val="22"/>
              </w:rPr>
              <w:t>l</w:t>
            </w:r>
            <w:r>
              <w:rPr>
                <w:b/>
                <w:spacing w:val="-1"/>
                <w:szCs w:val="22"/>
              </w:rPr>
              <w:t xml:space="preserve"> </w:t>
            </w:r>
            <w:r>
              <w:rPr>
                <w:b/>
                <w:szCs w:val="22"/>
              </w:rPr>
              <w:t>II</w:t>
            </w:r>
          </w:p>
        </w:tc>
      </w:tr>
      <w:tr w:rsidR="00C04CAD" w14:paraId="061A5A41" w14:textId="77777777">
        <w:trPr>
          <w:gridAfter w:val="1"/>
          <w:wAfter w:w="5" w:type="pct"/>
          <w:trHeight w:hRule="exact" w:val="516"/>
        </w:trPr>
        <w:tc>
          <w:tcPr>
            <w:tcW w:w="1528" w:type="pct"/>
            <w:tcBorders>
              <w:top w:val="single" w:sz="4" w:space="0" w:color="000000"/>
              <w:left w:val="single" w:sz="4" w:space="0" w:color="000000"/>
              <w:bottom w:val="single" w:sz="4" w:space="0" w:color="000000"/>
              <w:right w:val="single" w:sz="4" w:space="0" w:color="000000"/>
            </w:tcBorders>
          </w:tcPr>
          <w:p w14:paraId="53AAB65E" w14:textId="77777777" w:rsidR="00C04CAD" w:rsidRDefault="00C04CAD">
            <w:pPr>
              <w:keepNext/>
              <w:tabs>
                <w:tab w:val="clear" w:pos="567"/>
              </w:tabs>
              <w:kinsoku w:val="0"/>
              <w:overflowPunct w:val="0"/>
              <w:autoSpaceDE w:val="0"/>
              <w:autoSpaceDN w:val="0"/>
              <w:adjustRightInd w:val="0"/>
              <w:spacing w:line="240" w:lineRule="auto"/>
              <w:ind w:left="992"/>
            </w:pPr>
          </w:p>
        </w:tc>
        <w:tc>
          <w:tcPr>
            <w:tcW w:w="775" w:type="pct"/>
            <w:tcBorders>
              <w:top w:val="single" w:sz="4" w:space="0" w:color="000000"/>
              <w:left w:val="single" w:sz="4" w:space="0" w:color="000000"/>
              <w:bottom w:val="single" w:sz="4" w:space="0" w:color="000000"/>
              <w:right w:val="single" w:sz="4" w:space="0" w:color="000000"/>
            </w:tcBorders>
          </w:tcPr>
          <w:p w14:paraId="57231F98" w14:textId="77777777" w:rsidR="00C04CAD" w:rsidRDefault="00C04CAD">
            <w:pPr>
              <w:keepNext/>
              <w:tabs>
                <w:tab w:val="clear" w:pos="567"/>
              </w:tabs>
              <w:kinsoku w:val="0"/>
              <w:overflowPunct w:val="0"/>
              <w:autoSpaceDE w:val="0"/>
              <w:autoSpaceDN w:val="0"/>
              <w:adjustRightInd w:val="0"/>
              <w:spacing w:line="240" w:lineRule="auto"/>
              <w:jc w:val="center"/>
            </w:pPr>
          </w:p>
          <w:p w14:paraId="797FF630"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P</w:t>
            </w:r>
            <w:r>
              <w:rPr>
                <w:b/>
                <w:spacing w:val="1"/>
              </w:rPr>
              <w:t>l</w:t>
            </w:r>
            <w:r>
              <w:rPr>
                <w:b/>
              </w:rPr>
              <w:t>ace</w:t>
            </w:r>
            <w:r>
              <w:rPr>
                <w:b/>
                <w:spacing w:val="-1"/>
              </w:rPr>
              <w:t>bo</w:t>
            </w:r>
          </w:p>
        </w:tc>
        <w:tc>
          <w:tcPr>
            <w:tcW w:w="939" w:type="pct"/>
            <w:tcBorders>
              <w:top w:val="single" w:sz="4" w:space="0" w:color="000000"/>
              <w:left w:val="single" w:sz="4" w:space="0" w:color="000000"/>
              <w:bottom w:val="single" w:sz="4" w:space="0" w:color="000000"/>
              <w:right w:val="single" w:sz="4" w:space="0" w:color="000000"/>
            </w:tcBorders>
          </w:tcPr>
          <w:p w14:paraId="3D1485D3"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pacing w:val="-1"/>
                <w:szCs w:val="22"/>
                <w:lang w:eastAsia="en-US" w:bidi="ar-SA"/>
              </w:rPr>
              <w:t>Adalimumab</w:t>
            </w:r>
            <w:r>
              <w:rPr>
                <w:b/>
                <w:spacing w:val="-3"/>
                <w:szCs w:val="22"/>
              </w:rPr>
              <w:t xml:space="preserve"> </w:t>
            </w:r>
            <w:r>
              <w:rPr>
                <w:b/>
                <w:szCs w:val="22"/>
              </w:rPr>
              <w:t xml:space="preserve">40 </w:t>
            </w:r>
            <w:r>
              <w:rPr>
                <w:b/>
                <w:spacing w:val="-2"/>
                <w:szCs w:val="22"/>
              </w:rPr>
              <w:t>m</w:t>
            </w:r>
            <w:r>
              <w:rPr>
                <w:b/>
                <w:szCs w:val="22"/>
              </w:rPr>
              <w:t>g să</w:t>
            </w:r>
            <w:r>
              <w:rPr>
                <w:b/>
                <w:spacing w:val="-1"/>
                <w:szCs w:val="22"/>
              </w:rPr>
              <w:t>p</w:t>
            </w:r>
            <w:r>
              <w:rPr>
                <w:b/>
                <w:szCs w:val="22"/>
              </w:rPr>
              <w:t>t</w:t>
            </w:r>
            <w:r>
              <w:rPr>
                <w:b/>
                <w:spacing w:val="-3"/>
                <w:szCs w:val="22"/>
              </w:rPr>
              <w:t>ă</w:t>
            </w:r>
            <w:r>
              <w:rPr>
                <w:b/>
                <w:szCs w:val="22"/>
              </w:rPr>
              <w:t>mâ</w:t>
            </w:r>
            <w:r>
              <w:rPr>
                <w:b/>
                <w:spacing w:val="-1"/>
                <w:szCs w:val="22"/>
              </w:rPr>
              <w:t>n</w:t>
            </w:r>
            <w:r>
              <w:rPr>
                <w:b/>
                <w:spacing w:val="-3"/>
                <w:szCs w:val="22"/>
              </w:rPr>
              <w:t>al</w:t>
            </w:r>
          </w:p>
        </w:tc>
        <w:tc>
          <w:tcPr>
            <w:tcW w:w="755" w:type="pct"/>
            <w:tcBorders>
              <w:top w:val="single" w:sz="4" w:space="0" w:color="000000"/>
              <w:left w:val="single" w:sz="4" w:space="0" w:color="000000"/>
              <w:bottom w:val="single" w:sz="4" w:space="0" w:color="000000"/>
              <w:right w:val="single" w:sz="4" w:space="0" w:color="000000"/>
            </w:tcBorders>
          </w:tcPr>
          <w:p w14:paraId="575EC931" w14:textId="77777777" w:rsidR="00C04CAD" w:rsidRDefault="00C04CAD">
            <w:pPr>
              <w:keepNext/>
              <w:tabs>
                <w:tab w:val="clear" w:pos="567"/>
              </w:tabs>
              <w:kinsoku w:val="0"/>
              <w:overflowPunct w:val="0"/>
              <w:autoSpaceDE w:val="0"/>
              <w:autoSpaceDN w:val="0"/>
              <w:adjustRightInd w:val="0"/>
              <w:spacing w:line="240" w:lineRule="auto"/>
              <w:jc w:val="center"/>
            </w:pPr>
          </w:p>
          <w:p w14:paraId="6A5938F6"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P</w:t>
            </w:r>
            <w:r>
              <w:rPr>
                <w:b/>
                <w:spacing w:val="1"/>
              </w:rPr>
              <w:t>l</w:t>
            </w:r>
            <w:r>
              <w:rPr>
                <w:b/>
              </w:rPr>
              <w:t>ace</w:t>
            </w:r>
            <w:r>
              <w:rPr>
                <w:b/>
                <w:spacing w:val="-1"/>
              </w:rPr>
              <w:t>bo</w:t>
            </w:r>
          </w:p>
        </w:tc>
        <w:tc>
          <w:tcPr>
            <w:tcW w:w="998" w:type="pct"/>
            <w:tcBorders>
              <w:top w:val="single" w:sz="4" w:space="0" w:color="000000"/>
              <w:left w:val="single" w:sz="4" w:space="0" w:color="000000"/>
              <w:bottom w:val="single" w:sz="4" w:space="0" w:color="000000"/>
              <w:right w:val="single" w:sz="4" w:space="0" w:color="000000"/>
            </w:tcBorders>
          </w:tcPr>
          <w:p w14:paraId="7BEB1F3D"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pacing w:val="-1"/>
                <w:szCs w:val="22"/>
                <w:lang w:eastAsia="en-US" w:bidi="ar-SA"/>
              </w:rPr>
              <w:t>Adalimumab</w:t>
            </w:r>
            <w:r>
              <w:rPr>
                <w:b/>
                <w:spacing w:val="-3"/>
                <w:szCs w:val="22"/>
              </w:rPr>
              <w:t xml:space="preserve"> </w:t>
            </w:r>
            <w:r>
              <w:rPr>
                <w:b/>
                <w:szCs w:val="22"/>
              </w:rPr>
              <w:t xml:space="preserve">40 </w:t>
            </w:r>
            <w:r>
              <w:rPr>
                <w:b/>
                <w:spacing w:val="-2"/>
                <w:szCs w:val="22"/>
              </w:rPr>
              <w:t>m</w:t>
            </w:r>
            <w:r>
              <w:rPr>
                <w:b/>
                <w:szCs w:val="22"/>
              </w:rPr>
              <w:t>g să</w:t>
            </w:r>
            <w:r>
              <w:rPr>
                <w:b/>
                <w:spacing w:val="-1"/>
                <w:szCs w:val="22"/>
              </w:rPr>
              <w:t>p</w:t>
            </w:r>
            <w:r>
              <w:rPr>
                <w:b/>
                <w:szCs w:val="22"/>
              </w:rPr>
              <w:t>t</w:t>
            </w:r>
            <w:r>
              <w:rPr>
                <w:b/>
                <w:spacing w:val="-3"/>
                <w:szCs w:val="22"/>
              </w:rPr>
              <w:t>ă</w:t>
            </w:r>
            <w:r>
              <w:rPr>
                <w:b/>
                <w:szCs w:val="22"/>
              </w:rPr>
              <w:t>mâ</w:t>
            </w:r>
            <w:r>
              <w:rPr>
                <w:b/>
                <w:spacing w:val="-1"/>
                <w:szCs w:val="22"/>
              </w:rPr>
              <w:t>n</w:t>
            </w:r>
            <w:r>
              <w:rPr>
                <w:b/>
                <w:spacing w:val="-3"/>
                <w:szCs w:val="22"/>
              </w:rPr>
              <w:t>al</w:t>
            </w:r>
          </w:p>
        </w:tc>
      </w:tr>
      <w:tr w:rsidR="00C04CAD" w14:paraId="21B5846C" w14:textId="77777777">
        <w:trPr>
          <w:trHeight w:hRule="exact" w:val="872"/>
        </w:trPr>
        <w:tc>
          <w:tcPr>
            <w:tcW w:w="1528" w:type="pct"/>
            <w:tcBorders>
              <w:top w:val="single" w:sz="4" w:space="0" w:color="000000"/>
              <w:left w:val="single" w:sz="4" w:space="0" w:color="000000"/>
              <w:bottom w:val="single" w:sz="4" w:space="0" w:color="auto"/>
              <w:right w:val="single" w:sz="4" w:space="0" w:color="000000"/>
            </w:tcBorders>
          </w:tcPr>
          <w:p w14:paraId="3C052317" w14:textId="77777777" w:rsidR="00C04CAD" w:rsidRDefault="00060E34">
            <w:pPr>
              <w:keepNext/>
              <w:tabs>
                <w:tab w:val="clear" w:pos="567"/>
              </w:tabs>
              <w:kinsoku w:val="0"/>
              <w:overflowPunct w:val="0"/>
              <w:autoSpaceDE w:val="0"/>
              <w:autoSpaceDN w:val="0"/>
              <w:adjustRightInd w:val="0"/>
              <w:spacing w:line="240" w:lineRule="auto"/>
              <w:ind w:left="113"/>
            </w:pPr>
            <w:r>
              <w:rPr>
                <w:spacing w:val="-1"/>
              </w:rPr>
              <w:t>R</w:t>
            </w:r>
            <w:r>
              <w:t xml:space="preserve">ăspuns </w:t>
            </w:r>
            <w:r>
              <w:rPr>
                <w:spacing w:val="-4"/>
              </w:rPr>
              <w:t>C</w:t>
            </w:r>
            <w:r>
              <w:rPr>
                <w:spacing w:val="1"/>
              </w:rPr>
              <w:t>li</w:t>
            </w:r>
            <w:r>
              <w:rPr>
                <w:spacing w:val="-3"/>
              </w:rPr>
              <w:t>n</w:t>
            </w:r>
            <w:r>
              <w:rPr>
                <w:spacing w:val="1"/>
              </w:rPr>
              <w:t>i</w:t>
            </w:r>
            <w:r>
              <w:t>c</w:t>
            </w:r>
            <w:r>
              <w:rPr>
                <w:spacing w:val="-3"/>
              </w:rPr>
              <w:t xml:space="preserve"> </w:t>
            </w:r>
            <w:r>
              <w:rPr>
                <w:spacing w:val="1"/>
              </w:rPr>
              <w:t>î</w:t>
            </w:r>
            <w:r>
              <w:t>n</w:t>
            </w:r>
          </w:p>
          <w:p w14:paraId="2C1FFB07" w14:textId="77777777" w:rsidR="00C04CAD" w:rsidRDefault="00060E34">
            <w:pPr>
              <w:keepNext/>
              <w:tabs>
                <w:tab w:val="clear" w:pos="567"/>
              </w:tabs>
              <w:kinsoku w:val="0"/>
              <w:overflowPunct w:val="0"/>
              <w:autoSpaceDE w:val="0"/>
              <w:autoSpaceDN w:val="0"/>
              <w:adjustRightInd w:val="0"/>
              <w:spacing w:line="240" w:lineRule="auto"/>
              <w:ind w:left="113"/>
            </w:pPr>
            <w:r>
              <w:rPr>
                <w:i/>
                <w:spacing w:val="-1"/>
              </w:rPr>
              <w:t>H</w:t>
            </w:r>
            <w:r>
              <w:rPr>
                <w:i/>
                <w:spacing w:val="1"/>
              </w:rPr>
              <w:t>i</w:t>
            </w:r>
            <w:r>
              <w:rPr>
                <w:i/>
              </w:rPr>
              <w:t>dro</w:t>
            </w:r>
            <w:r>
              <w:rPr>
                <w:i/>
                <w:spacing w:val="-2"/>
              </w:rPr>
              <w:t>s</w:t>
            </w:r>
            <w:r>
              <w:rPr>
                <w:i/>
              </w:rPr>
              <w:t>ade</w:t>
            </w:r>
            <w:r>
              <w:rPr>
                <w:i/>
                <w:spacing w:val="-3"/>
              </w:rPr>
              <w:t>n</w:t>
            </w:r>
            <w:r>
              <w:rPr>
                <w:i/>
                <w:spacing w:val="1"/>
              </w:rPr>
              <w:t>i</w:t>
            </w:r>
            <w:r>
              <w:rPr>
                <w:i/>
                <w:spacing w:val="-2"/>
              </w:rPr>
              <w:t>t</w:t>
            </w:r>
            <w:r>
              <w:rPr>
                <w:i/>
              </w:rPr>
              <w:t xml:space="preserve">a </w:t>
            </w:r>
            <w:r>
              <w:rPr>
                <w:i/>
                <w:spacing w:val="-1"/>
              </w:rPr>
              <w:t>S</w:t>
            </w:r>
            <w:r>
              <w:rPr>
                <w:i/>
              </w:rPr>
              <w:t>up</w:t>
            </w:r>
            <w:r>
              <w:rPr>
                <w:i/>
                <w:spacing w:val="-3"/>
              </w:rPr>
              <w:t>u</w:t>
            </w:r>
            <w:r>
              <w:rPr>
                <w:i/>
              </w:rPr>
              <w:t>r</w:t>
            </w:r>
            <w:r>
              <w:rPr>
                <w:i/>
                <w:spacing w:val="-3"/>
              </w:rPr>
              <w:t>a</w:t>
            </w:r>
            <w:r>
              <w:rPr>
                <w:i/>
                <w:spacing w:val="1"/>
              </w:rPr>
              <w:t>ti</w:t>
            </w:r>
            <w:r>
              <w:rPr>
                <w:i/>
                <w:spacing w:val="-3"/>
              </w:rPr>
              <w:t>v</w:t>
            </w:r>
            <w:r>
              <w:rPr>
                <w:i/>
              </w:rPr>
              <w:t>ă</w:t>
            </w:r>
            <w:r>
              <w:t xml:space="preserve"> (</w:t>
            </w:r>
            <w:r>
              <w:rPr>
                <w:spacing w:val="-2"/>
              </w:rPr>
              <w:t>H</w:t>
            </w:r>
            <w:r>
              <w:rPr>
                <w:spacing w:val="1"/>
              </w:rPr>
              <w:t>i</w:t>
            </w:r>
            <w:r>
              <w:rPr>
                <w:spacing w:val="-1"/>
              </w:rPr>
              <w:t>SRC</w:t>
            </w:r>
            <w:r>
              <w:t>)</w:t>
            </w:r>
            <w:r>
              <w:rPr>
                <w:spacing w:val="-3"/>
                <w:vertAlign w:val="superscript"/>
              </w:rPr>
              <w:t>a</w:t>
            </w:r>
          </w:p>
        </w:tc>
        <w:tc>
          <w:tcPr>
            <w:tcW w:w="775" w:type="pct"/>
            <w:tcBorders>
              <w:top w:val="single" w:sz="4" w:space="0" w:color="000000"/>
              <w:left w:val="single" w:sz="4" w:space="0" w:color="000000"/>
              <w:bottom w:val="single" w:sz="4" w:space="0" w:color="auto"/>
              <w:right w:val="single" w:sz="4" w:space="0" w:color="000000"/>
            </w:tcBorders>
          </w:tcPr>
          <w:p w14:paraId="61EE14EE" w14:textId="77777777" w:rsidR="00C04CAD" w:rsidRDefault="00060E34">
            <w:pPr>
              <w:keepNext/>
              <w:tabs>
                <w:tab w:val="clear" w:pos="567"/>
              </w:tabs>
              <w:kinsoku w:val="0"/>
              <w:overflowPunct w:val="0"/>
              <w:autoSpaceDE w:val="0"/>
              <w:autoSpaceDN w:val="0"/>
              <w:adjustRightInd w:val="0"/>
              <w:spacing w:line="240" w:lineRule="auto"/>
              <w:jc w:val="center"/>
            </w:pPr>
            <w:r>
              <w:t>N</w:t>
            </w:r>
            <w:r>
              <w:rPr>
                <w:spacing w:val="-1"/>
              </w:rPr>
              <w:t xml:space="preserve"> </w:t>
            </w:r>
            <w:r>
              <w:t>= 154</w:t>
            </w:r>
          </w:p>
          <w:p w14:paraId="05A5E30E" w14:textId="77777777" w:rsidR="00C04CAD" w:rsidRDefault="00060E34">
            <w:pPr>
              <w:keepNext/>
              <w:tabs>
                <w:tab w:val="clear" w:pos="567"/>
              </w:tabs>
              <w:kinsoku w:val="0"/>
              <w:overflowPunct w:val="0"/>
              <w:autoSpaceDE w:val="0"/>
              <w:autoSpaceDN w:val="0"/>
              <w:adjustRightInd w:val="0"/>
              <w:spacing w:line="240" w:lineRule="auto"/>
              <w:jc w:val="center"/>
            </w:pPr>
            <w:r>
              <w:t>40 (26,</w:t>
            </w:r>
            <w:r>
              <w:rPr>
                <w:spacing w:val="-3"/>
              </w:rPr>
              <w:t>0</w:t>
            </w:r>
            <w:r>
              <w:rPr>
                <w:spacing w:val="-2"/>
              </w:rPr>
              <w:t>%</w:t>
            </w:r>
            <w:r>
              <w:t>)</w:t>
            </w:r>
          </w:p>
        </w:tc>
        <w:tc>
          <w:tcPr>
            <w:tcW w:w="939" w:type="pct"/>
            <w:tcBorders>
              <w:top w:val="single" w:sz="4" w:space="0" w:color="000000"/>
              <w:left w:val="single" w:sz="4" w:space="0" w:color="000000"/>
              <w:bottom w:val="single" w:sz="4" w:space="0" w:color="auto"/>
              <w:right w:val="single" w:sz="4" w:space="0" w:color="000000"/>
            </w:tcBorders>
          </w:tcPr>
          <w:p w14:paraId="4804357A" w14:textId="77777777" w:rsidR="00C04CAD" w:rsidRDefault="00060E34">
            <w:pPr>
              <w:keepNext/>
              <w:tabs>
                <w:tab w:val="clear" w:pos="567"/>
              </w:tabs>
              <w:kinsoku w:val="0"/>
              <w:overflowPunct w:val="0"/>
              <w:autoSpaceDE w:val="0"/>
              <w:autoSpaceDN w:val="0"/>
              <w:adjustRightInd w:val="0"/>
              <w:spacing w:line="240" w:lineRule="auto"/>
              <w:jc w:val="center"/>
            </w:pPr>
            <w:r>
              <w:t>N</w:t>
            </w:r>
            <w:r>
              <w:rPr>
                <w:spacing w:val="-1"/>
              </w:rPr>
              <w:t xml:space="preserve"> </w:t>
            </w:r>
            <w:r>
              <w:t>= 153</w:t>
            </w:r>
          </w:p>
          <w:p w14:paraId="6484554C" w14:textId="77777777" w:rsidR="00C04CAD" w:rsidRDefault="00060E34">
            <w:pPr>
              <w:keepNext/>
              <w:tabs>
                <w:tab w:val="clear" w:pos="567"/>
              </w:tabs>
              <w:kinsoku w:val="0"/>
              <w:overflowPunct w:val="0"/>
              <w:autoSpaceDE w:val="0"/>
              <w:autoSpaceDN w:val="0"/>
              <w:adjustRightInd w:val="0"/>
              <w:spacing w:line="240" w:lineRule="auto"/>
              <w:jc w:val="center"/>
            </w:pPr>
            <w:r>
              <w:t>64</w:t>
            </w:r>
            <w:r>
              <w:rPr>
                <w:spacing w:val="-1"/>
              </w:rPr>
              <w:t xml:space="preserve"> </w:t>
            </w:r>
            <w:r>
              <w:t>(41,</w:t>
            </w:r>
            <w:r>
              <w:rPr>
                <w:spacing w:val="-3"/>
              </w:rPr>
              <w:t xml:space="preserve">8%) </w:t>
            </w:r>
            <w:r>
              <w:t>*</w:t>
            </w:r>
          </w:p>
        </w:tc>
        <w:tc>
          <w:tcPr>
            <w:tcW w:w="755" w:type="pct"/>
            <w:tcBorders>
              <w:top w:val="single" w:sz="4" w:space="0" w:color="000000"/>
              <w:left w:val="single" w:sz="4" w:space="0" w:color="000000"/>
              <w:bottom w:val="single" w:sz="4" w:space="0" w:color="auto"/>
              <w:right w:val="single" w:sz="4" w:space="0" w:color="000000"/>
            </w:tcBorders>
          </w:tcPr>
          <w:p w14:paraId="43C9257E" w14:textId="77777777" w:rsidR="00C04CAD" w:rsidRDefault="00060E34">
            <w:pPr>
              <w:keepNext/>
              <w:tabs>
                <w:tab w:val="clear" w:pos="567"/>
              </w:tabs>
              <w:kinsoku w:val="0"/>
              <w:overflowPunct w:val="0"/>
              <w:autoSpaceDE w:val="0"/>
              <w:autoSpaceDN w:val="0"/>
              <w:adjustRightInd w:val="0"/>
              <w:spacing w:line="240" w:lineRule="auto"/>
              <w:jc w:val="center"/>
            </w:pPr>
            <w:r>
              <w:rPr>
                <w:spacing w:val="-1"/>
              </w:rPr>
              <w:t>N</w:t>
            </w:r>
            <w:r>
              <w:t>=163</w:t>
            </w:r>
          </w:p>
          <w:p w14:paraId="16B0274C" w14:textId="77777777" w:rsidR="00C04CAD" w:rsidRDefault="00060E34">
            <w:pPr>
              <w:keepNext/>
              <w:tabs>
                <w:tab w:val="clear" w:pos="567"/>
              </w:tabs>
              <w:kinsoku w:val="0"/>
              <w:overflowPunct w:val="0"/>
              <w:autoSpaceDE w:val="0"/>
              <w:autoSpaceDN w:val="0"/>
              <w:adjustRightInd w:val="0"/>
              <w:spacing w:line="240" w:lineRule="auto"/>
              <w:jc w:val="center"/>
            </w:pPr>
            <w:r>
              <w:t>45 (27,</w:t>
            </w:r>
            <w:r>
              <w:rPr>
                <w:spacing w:val="-3"/>
              </w:rPr>
              <w:t>6</w:t>
            </w:r>
            <w:r>
              <w:rPr>
                <w:spacing w:val="-2"/>
              </w:rPr>
              <w:t>%</w:t>
            </w:r>
            <w:r>
              <w:t>)</w:t>
            </w:r>
          </w:p>
        </w:tc>
        <w:tc>
          <w:tcPr>
            <w:tcW w:w="1003" w:type="pct"/>
            <w:gridSpan w:val="2"/>
            <w:tcBorders>
              <w:top w:val="single" w:sz="4" w:space="0" w:color="000000"/>
              <w:left w:val="single" w:sz="4" w:space="0" w:color="000000"/>
              <w:bottom w:val="single" w:sz="4" w:space="0" w:color="auto"/>
              <w:right w:val="single" w:sz="4" w:space="0" w:color="000000"/>
            </w:tcBorders>
          </w:tcPr>
          <w:p w14:paraId="7EE03DE3" w14:textId="77777777" w:rsidR="00C04CAD" w:rsidRDefault="00060E34">
            <w:pPr>
              <w:keepNext/>
              <w:tabs>
                <w:tab w:val="clear" w:pos="567"/>
              </w:tabs>
              <w:kinsoku w:val="0"/>
              <w:overflowPunct w:val="0"/>
              <w:autoSpaceDE w:val="0"/>
              <w:autoSpaceDN w:val="0"/>
              <w:adjustRightInd w:val="0"/>
              <w:spacing w:line="240" w:lineRule="auto"/>
              <w:jc w:val="center"/>
            </w:pPr>
            <w:r>
              <w:rPr>
                <w:spacing w:val="-1"/>
              </w:rPr>
              <w:t>N</w:t>
            </w:r>
            <w:r>
              <w:t>=163</w:t>
            </w:r>
          </w:p>
          <w:p w14:paraId="7BB31EE7" w14:textId="77777777" w:rsidR="00C04CAD" w:rsidRDefault="00060E34">
            <w:pPr>
              <w:keepNext/>
              <w:tabs>
                <w:tab w:val="clear" w:pos="567"/>
              </w:tabs>
              <w:kinsoku w:val="0"/>
              <w:overflowPunct w:val="0"/>
              <w:autoSpaceDE w:val="0"/>
              <w:autoSpaceDN w:val="0"/>
              <w:adjustRightInd w:val="0"/>
              <w:spacing w:line="240" w:lineRule="auto"/>
              <w:jc w:val="center"/>
            </w:pPr>
            <w:r>
              <w:t>96</w:t>
            </w:r>
            <w:r>
              <w:rPr>
                <w:spacing w:val="-2"/>
              </w:rPr>
              <w:t xml:space="preserve"> </w:t>
            </w:r>
            <w:r>
              <w:t>(58,</w:t>
            </w:r>
            <w:r>
              <w:rPr>
                <w:spacing w:val="-3"/>
              </w:rPr>
              <w:t>9</w:t>
            </w:r>
            <w:r>
              <w:rPr>
                <w:spacing w:val="-2"/>
              </w:rPr>
              <w:t>%</w:t>
            </w:r>
            <w:r>
              <w:t>)</w:t>
            </w:r>
            <w:r>
              <w:rPr>
                <w:spacing w:val="-3"/>
              </w:rPr>
              <w:t xml:space="preserve"> ***</w:t>
            </w:r>
          </w:p>
        </w:tc>
      </w:tr>
      <w:tr w:rsidR="00C04CAD" w14:paraId="46D782F1" w14:textId="77777777">
        <w:trPr>
          <w:trHeight w:hRule="exact" w:val="516"/>
        </w:trPr>
        <w:tc>
          <w:tcPr>
            <w:tcW w:w="1528" w:type="pct"/>
            <w:tcBorders>
              <w:top w:val="single" w:sz="4" w:space="0" w:color="auto"/>
              <w:left w:val="single" w:sz="4" w:space="0" w:color="auto"/>
              <w:bottom w:val="single" w:sz="4" w:space="0" w:color="auto"/>
              <w:right w:val="single" w:sz="4" w:space="0" w:color="000000"/>
            </w:tcBorders>
          </w:tcPr>
          <w:p w14:paraId="4BA5EA7E" w14:textId="77777777" w:rsidR="00C04CAD" w:rsidRDefault="00060E34">
            <w:pPr>
              <w:keepNext/>
              <w:tabs>
                <w:tab w:val="clear" w:pos="567"/>
              </w:tabs>
              <w:kinsoku w:val="0"/>
              <w:overflowPunct w:val="0"/>
              <w:autoSpaceDE w:val="0"/>
              <w:autoSpaceDN w:val="0"/>
              <w:adjustRightInd w:val="0"/>
              <w:spacing w:line="240" w:lineRule="auto"/>
              <w:ind w:left="113"/>
            </w:pPr>
            <w:r>
              <w:rPr>
                <w:spacing w:val="1"/>
              </w:rPr>
              <w:t>≥</w:t>
            </w:r>
            <w:r>
              <w:t>3</w:t>
            </w:r>
            <w:r>
              <w:rPr>
                <w:spacing w:val="-3"/>
              </w:rPr>
              <w:t>0</w:t>
            </w:r>
            <w:r>
              <w:t>%</w:t>
            </w:r>
            <w:r>
              <w:rPr>
                <w:spacing w:val="1"/>
              </w:rPr>
              <w:t xml:space="preserve"> </w:t>
            </w:r>
            <w:r>
              <w:rPr>
                <w:spacing w:val="-1"/>
              </w:rPr>
              <w:t>R</w:t>
            </w:r>
            <w:r>
              <w:t>ed</w:t>
            </w:r>
            <w:r>
              <w:rPr>
                <w:spacing w:val="-3"/>
              </w:rPr>
              <w:t>u</w:t>
            </w:r>
            <w:r>
              <w:t>ce</w:t>
            </w:r>
            <w:r>
              <w:rPr>
                <w:spacing w:val="-2"/>
              </w:rPr>
              <w:t>r</w:t>
            </w:r>
            <w:r>
              <w:t>e a d</w:t>
            </w:r>
            <w:r>
              <w:rPr>
                <w:spacing w:val="-3"/>
              </w:rPr>
              <w:t>u</w:t>
            </w:r>
            <w:r>
              <w:t>r</w:t>
            </w:r>
            <w:r>
              <w:rPr>
                <w:spacing w:val="-3"/>
              </w:rPr>
              <w:t>e</w:t>
            </w:r>
            <w:r>
              <w:t>r</w:t>
            </w:r>
            <w:r>
              <w:rPr>
                <w:spacing w:val="-2"/>
              </w:rPr>
              <w:t>i</w:t>
            </w:r>
            <w:r>
              <w:t>i cu</w:t>
            </w:r>
            <w:r>
              <w:rPr>
                <w:spacing w:val="1"/>
              </w:rPr>
              <w:t>t</w:t>
            </w:r>
            <w:r>
              <w:t>a</w:t>
            </w:r>
            <w:r>
              <w:rPr>
                <w:spacing w:val="-3"/>
              </w:rPr>
              <w:t>n</w:t>
            </w:r>
            <w:r>
              <w:t>a</w:t>
            </w:r>
            <w:r>
              <w:rPr>
                <w:spacing w:val="-2"/>
              </w:rPr>
              <w:t>t</w:t>
            </w:r>
            <w:r>
              <w:t>e</w:t>
            </w:r>
            <w:r>
              <w:rPr>
                <w:spacing w:val="-3"/>
                <w:vertAlign w:val="superscript"/>
              </w:rPr>
              <w:t>b</w:t>
            </w:r>
          </w:p>
        </w:tc>
        <w:tc>
          <w:tcPr>
            <w:tcW w:w="775" w:type="pct"/>
            <w:tcBorders>
              <w:top w:val="single" w:sz="4" w:space="0" w:color="auto"/>
              <w:left w:val="single" w:sz="4" w:space="0" w:color="000000"/>
              <w:bottom w:val="single" w:sz="4" w:space="0" w:color="auto"/>
              <w:right w:val="single" w:sz="4" w:space="0" w:color="000000"/>
            </w:tcBorders>
          </w:tcPr>
          <w:p w14:paraId="3721B3A6" w14:textId="77777777" w:rsidR="00C04CAD" w:rsidRDefault="00060E34">
            <w:pPr>
              <w:keepNext/>
              <w:tabs>
                <w:tab w:val="clear" w:pos="567"/>
              </w:tabs>
              <w:kinsoku w:val="0"/>
              <w:overflowPunct w:val="0"/>
              <w:autoSpaceDE w:val="0"/>
              <w:autoSpaceDN w:val="0"/>
              <w:adjustRightInd w:val="0"/>
              <w:spacing w:line="240" w:lineRule="auto"/>
              <w:jc w:val="center"/>
            </w:pPr>
            <w:r>
              <w:t>N</w:t>
            </w:r>
            <w:r>
              <w:rPr>
                <w:spacing w:val="-1"/>
              </w:rPr>
              <w:t xml:space="preserve"> </w:t>
            </w:r>
            <w:r>
              <w:t>= 109</w:t>
            </w:r>
          </w:p>
          <w:p w14:paraId="22F5B2E9" w14:textId="77777777" w:rsidR="00C04CAD" w:rsidRDefault="00060E34">
            <w:pPr>
              <w:keepNext/>
              <w:tabs>
                <w:tab w:val="clear" w:pos="567"/>
              </w:tabs>
              <w:kinsoku w:val="0"/>
              <w:overflowPunct w:val="0"/>
              <w:autoSpaceDE w:val="0"/>
              <w:autoSpaceDN w:val="0"/>
              <w:adjustRightInd w:val="0"/>
              <w:spacing w:line="240" w:lineRule="auto"/>
              <w:jc w:val="center"/>
            </w:pPr>
            <w:r>
              <w:t>27 (24,</w:t>
            </w:r>
            <w:r>
              <w:rPr>
                <w:spacing w:val="-3"/>
              </w:rPr>
              <w:t>8</w:t>
            </w:r>
            <w:r>
              <w:rPr>
                <w:spacing w:val="-2"/>
              </w:rPr>
              <w:t>%</w:t>
            </w:r>
            <w:r>
              <w:t>)</w:t>
            </w:r>
          </w:p>
        </w:tc>
        <w:tc>
          <w:tcPr>
            <w:tcW w:w="939" w:type="pct"/>
            <w:tcBorders>
              <w:top w:val="single" w:sz="4" w:space="0" w:color="auto"/>
              <w:left w:val="single" w:sz="4" w:space="0" w:color="000000"/>
              <w:bottom w:val="single" w:sz="4" w:space="0" w:color="auto"/>
              <w:right w:val="single" w:sz="4" w:space="0" w:color="000000"/>
            </w:tcBorders>
          </w:tcPr>
          <w:p w14:paraId="46DD52AF" w14:textId="77777777" w:rsidR="00C04CAD" w:rsidRDefault="00060E34">
            <w:pPr>
              <w:keepNext/>
              <w:tabs>
                <w:tab w:val="clear" w:pos="567"/>
              </w:tabs>
              <w:kinsoku w:val="0"/>
              <w:overflowPunct w:val="0"/>
              <w:autoSpaceDE w:val="0"/>
              <w:autoSpaceDN w:val="0"/>
              <w:adjustRightInd w:val="0"/>
              <w:spacing w:line="240" w:lineRule="auto"/>
              <w:jc w:val="center"/>
            </w:pPr>
            <w:r>
              <w:t>N</w:t>
            </w:r>
            <w:r>
              <w:rPr>
                <w:spacing w:val="-1"/>
              </w:rPr>
              <w:t xml:space="preserve"> </w:t>
            </w:r>
            <w:r>
              <w:t>= 122</w:t>
            </w:r>
          </w:p>
          <w:p w14:paraId="33B9ECB3" w14:textId="77777777" w:rsidR="00C04CAD" w:rsidRDefault="00060E34">
            <w:pPr>
              <w:keepNext/>
              <w:tabs>
                <w:tab w:val="clear" w:pos="567"/>
              </w:tabs>
              <w:kinsoku w:val="0"/>
              <w:overflowPunct w:val="0"/>
              <w:autoSpaceDE w:val="0"/>
              <w:autoSpaceDN w:val="0"/>
              <w:adjustRightInd w:val="0"/>
              <w:spacing w:line="240" w:lineRule="auto"/>
              <w:jc w:val="center"/>
            </w:pPr>
            <w:r>
              <w:t>34 (27,</w:t>
            </w:r>
            <w:r>
              <w:rPr>
                <w:spacing w:val="-3"/>
              </w:rPr>
              <w:t>9</w:t>
            </w:r>
            <w:r>
              <w:rPr>
                <w:spacing w:val="-2"/>
              </w:rPr>
              <w:t>%</w:t>
            </w:r>
            <w:r>
              <w:t>)</w:t>
            </w:r>
          </w:p>
        </w:tc>
        <w:tc>
          <w:tcPr>
            <w:tcW w:w="755" w:type="pct"/>
            <w:tcBorders>
              <w:top w:val="single" w:sz="4" w:space="0" w:color="auto"/>
              <w:left w:val="single" w:sz="4" w:space="0" w:color="000000"/>
              <w:bottom w:val="single" w:sz="4" w:space="0" w:color="auto"/>
              <w:right w:val="single" w:sz="4" w:space="0" w:color="000000"/>
            </w:tcBorders>
          </w:tcPr>
          <w:p w14:paraId="7EBA62CB" w14:textId="77777777" w:rsidR="00C04CAD" w:rsidRDefault="00060E34">
            <w:pPr>
              <w:keepNext/>
              <w:tabs>
                <w:tab w:val="clear" w:pos="567"/>
              </w:tabs>
              <w:kinsoku w:val="0"/>
              <w:overflowPunct w:val="0"/>
              <w:autoSpaceDE w:val="0"/>
              <w:autoSpaceDN w:val="0"/>
              <w:adjustRightInd w:val="0"/>
              <w:spacing w:line="240" w:lineRule="auto"/>
              <w:jc w:val="center"/>
            </w:pPr>
            <w:r>
              <w:rPr>
                <w:spacing w:val="-1"/>
              </w:rPr>
              <w:t>N</w:t>
            </w:r>
            <w:r>
              <w:t>=111</w:t>
            </w:r>
          </w:p>
          <w:p w14:paraId="4F6D08CC" w14:textId="77777777" w:rsidR="00C04CAD" w:rsidRDefault="00060E34">
            <w:pPr>
              <w:keepNext/>
              <w:tabs>
                <w:tab w:val="clear" w:pos="567"/>
              </w:tabs>
              <w:kinsoku w:val="0"/>
              <w:overflowPunct w:val="0"/>
              <w:autoSpaceDE w:val="0"/>
              <w:autoSpaceDN w:val="0"/>
              <w:adjustRightInd w:val="0"/>
              <w:spacing w:line="240" w:lineRule="auto"/>
              <w:jc w:val="center"/>
            </w:pPr>
            <w:r>
              <w:t>23 (20,</w:t>
            </w:r>
            <w:r>
              <w:rPr>
                <w:spacing w:val="-3"/>
              </w:rPr>
              <w:t>7</w:t>
            </w:r>
            <w:r>
              <w:rPr>
                <w:spacing w:val="-2"/>
              </w:rPr>
              <w:t>%</w:t>
            </w:r>
            <w:r>
              <w:t>)</w:t>
            </w:r>
          </w:p>
        </w:tc>
        <w:tc>
          <w:tcPr>
            <w:tcW w:w="1003" w:type="pct"/>
            <w:gridSpan w:val="2"/>
            <w:tcBorders>
              <w:top w:val="single" w:sz="4" w:space="0" w:color="auto"/>
              <w:left w:val="single" w:sz="4" w:space="0" w:color="000000"/>
              <w:bottom w:val="single" w:sz="4" w:space="0" w:color="auto"/>
              <w:right w:val="single" w:sz="4" w:space="0" w:color="auto"/>
            </w:tcBorders>
          </w:tcPr>
          <w:p w14:paraId="24F7481D" w14:textId="77777777" w:rsidR="00C04CAD" w:rsidRDefault="00060E34">
            <w:pPr>
              <w:keepNext/>
              <w:tabs>
                <w:tab w:val="clear" w:pos="567"/>
              </w:tabs>
              <w:kinsoku w:val="0"/>
              <w:overflowPunct w:val="0"/>
              <w:autoSpaceDE w:val="0"/>
              <w:autoSpaceDN w:val="0"/>
              <w:adjustRightInd w:val="0"/>
              <w:spacing w:line="240" w:lineRule="auto"/>
              <w:jc w:val="center"/>
            </w:pPr>
            <w:r>
              <w:rPr>
                <w:spacing w:val="-1"/>
              </w:rPr>
              <w:t>N</w:t>
            </w:r>
            <w:r>
              <w:t>=105</w:t>
            </w:r>
          </w:p>
          <w:p w14:paraId="3D963762" w14:textId="77777777" w:rsidR="00C04CAD" w:rsidRDefault="00060E34">
            <w:pPr>
              <w:keepNext/>
              <w:tabs>
                <w:tab w:val="clear" w:pos="567"/>
              </w:tabs>
              <w:kinsoku w:val="0"/>
              <w:overflowPunct w:val="0"/>
              <w:autoSpaceDE w:val="0"/>
              <w:autoSpaceDN w:val="0"/>
              <w:adjustRightInd w:val="0"/>
              <w:spacing w:line="240" w:lineRule="auto"/>
              <w:jc w:val="center"/>
            </w:pPr>
            <w:r>
              <w:t>48</w:t>
            </w:r>
            <w:r>
              <w:rPr>
                <w:spacing w:val="-2"/>
              </w:rPr>
              <w:t xml:space="preserve"> </w:t>
            </w:r>
            <w:r>
              <w:t>(45,</w:t>
            </w:r>
            <w:r>
              <w:rPr>
                <w:spacing w:val="-3"/>
              </w:rPr>
              <w:t>7</w:t>
            </w:r>
            <w:r>
              <w:rPr>
                <w:spacing w:val="-2"/>
              </w:rPr>
              <w:t>%</w:t>
            </w:r>
            <w:r>
              <w:t>)</w:t>
            </w:r>
            <w:r>
              <w:rPr>
                <w:spacing w:val="2"/>
              </w:rPr>
              <w:t xml:space="preserve"> </w:t>
            </w:r>
            <w:r>
              <w:rPr>
                <w:spacing w:val="-2"/>
              </w:rPr>
              <w:t>***</w:t>
            </w:r>
          </w:p>
        </w:tc>
      </w:tr>
      <w:tr w:rsidR="00C04CAD" w14:paraId="06A01293" w14:textId="77777777">
        <w:trPr>
          <w:trHeight w:hRule="exact" w:val="1006"/>
        </w:trPr>
        <w:tc>
          <w:tcPr>
            <w:tcW w:w="5000" w:type="pct"/>
            <w:gridSpan w:val="6"/>
            <w:tcBorders>
              <w:top w:val="single" w:sz="4" w:space="0" w:color="auto"/>
            </w:tcBorders>
          </w:tcPr>
          <w:p w14:paraId="54C7374F" w14:textId="77777777" w:rsidR="00C04CAD" w:rsidRDefault="00060E34">
            <w:pPr>
              <w:tabs>
                <w:tab w:val="clear" w:pos="567"/>
              </w:tabs>
              <w:kinsoku w:val="0"/>
              <w:overflowPunct w:val="0"/>
              <w:autoSpaceDE w:val="0"/>
              <w:autoSpaceDN w:val="0"/>
              <w:adjustRightInd w:val="0"/>
              <w:spacing w:line="240" w:lineRule="auto"/>
              <w:rPr>
                <w:sz w:val="20"/>
              </w:rPr>
            </w:pPr>
            <w:r>
              <w:rPr>
                <w:spacing w:val="-3"/>
                <w:sz w:val="20"/>
                <w:vertAlign w:val="superscript"/>
              </w:rPr>
              <w:t>*</w:t>
            </w:r>
            <w:r>
              <w:rPr>
                <w:spacing w:val="-3"/>
                <w:sz w:val="20"/>
              </w:rPr>
              <w:t xml:space="preserve"> </w:t>
            </w:r>
            <w:r>
              <w:rPr>
                <w:sz w:val="20"/>
              </w:rPr>
              <w:t>P</w:t>
            </w:r>
            <w:r>
              <w:rPr>
                <w:i/>
                <w:spacing w:val="-1"/>
                <w:sz w:val="20"/>
              </w:rPr>
              <w:t xml:space="preserve"> </w:t>
            </w:r>
            <w:r>
              <w:rPr>
                <w:sz w:val="20"/>
              </w:rPr>
              <w:t>&lt; 0,05,</w:t>
            </w:r>
            <w:r>
              <w:rPr>
                <w:spacing w:val="-3"/>
                <w:sz w:val="20"/>
              </w:rPr>
              <w:t xml:space="preserve"> ***</w:t>
            </w:r>
            <w:r>
              <w:rPr>
                <w:sz w:val="20"/>
              </w:rPr>
              <w:t>P</w:t>
            </w:r>
            <w:r>
              <w:rPr>
                <w:i/>
                <w:spacing w:val="-1"/>
                <w:sz w:val="20"/>
              </w:rPr>
              <w:t xml:space="preserve"> </w:t>
            </w:r>
            <w:r>
              <w:rPr>
                <w:sz w:val="20"/>
              </w:rPr>
              <w:t>&lt;</w:t>
            </w:r>
            <w:r>
              <w:rPr>
                <w:spacing w:val="-2"/>
                <w:sz w:val="20"/>
              </w:rPr>
              <w:t xml:space="preserve"> </w:t>
            </w:r>
            <w:r>
              <w:rPr>
                <w:sz w:val="20"/>
              </w:rPr>
              <w:t>0,001,</w:t>
            </w:r>
            <w:r>
              <w:rPr>
                <w:spacing w:val="-3"/>
                <w:sz w:val="20"/>
              </w:rPr>
              <w:t xml:space="preserve"> </w:t>
            </w:r>
            <w:r>
              <w:rPr>
                <w:rFonts w:eastAsia="MS Mincho"/>
                <w:spacing w:val="-1"/>
                <w:sz w:val="20"/>
                <w:lang w:eastAsia="en-US" w:bidi="ar-SA"/>
              </w:rPr>
              <w:t>adalimumab</w:t>
            </w:r>
            <w:r>
              <w:rPr>
                <w:sz w:val="20"/>
              </w:rPr>
              <w:t xml:space="preserve"> co</w:t>
            </w:r>
            <w:r>
              <w:rPr>
                <w:spacing w:val="-4"/>
                <w:sz w:val="20"/>
              </w:rPr>
              <w:t>m</w:t>
            </w:r>
            <w:r>
              <w:rPr>
                <w:sz w:val="20"/>
              </w:rPr>
              <w:t>para</w:t>
            </w:r>
            <w:r>
              <w:rPr>
                <w:spacing w:val="-2"/>
                <w:sz w:val="20"/>
              </w:rPr>
              <w:t>t</w:t>
            </w:r>
            <w:r>
              <w:rPr>
                <w:spacing w:val="1"/>
                <w:sz w:val="20"/>
              </w:rPr>
              <w:t>i</w:t>
            </w:r>
            <w:r>
              <w:rPr>
                <w:sz w:val="20"/>
              </w:rPr>
              <w:t>v</w:t>
            </w:r>
            <w:r>
              <w:rPr>
                <w:spacing w:val="-3"/>
                <w:sz w:val="20"/>
              </w:rPr>
              <w:t xml:space="preserve"> </w:t>
            </w:r>
            <w:r>
              <w:rPr>
                <w:sz w:val="20"/>
              </w:rPr>
              <w:t>cu p</w:t>
            </w:r>
            <w:r>
              <w:rPr>
                <w:spacing w:val="1"/>
                <w:sz w:val="20"/>
              </w:rPr>
              <w:t>l</w:t>
            </w:r>
            <w:r>
              <w:rPr>
                <w:spacing w:val="-3"/>
                <w:sz w:val="20"/>
              </w:rPr>
              <w:t>ac</w:t>
            </w:r>
            <w:r>
              <w:rPr>
                <w:sz w:val="20"/>
              </w:rPr>
              <w:t>ebo</w:t>
            </w:r>
          </w:p>
          <w:p w14:paraId="79A1B0C8" w14:textId="77777777" w:rsidR="00C04CAD" w:rsidRDefault="00060E34">
            <w:pPr>
              <w:tabs>
                <w:tab w:val="clear" w:pos="567"/>
              </w:tabs>
              <w:kinsoku w:val="0"/>
              <w:overflowPunct w:val="0"/>
              <w:autoSpaceDE w:val="0"/>
              <w:autoSpaceDN w:val="0"/>
              <w:adjustRightInd w:val="0"/>
              <w:spacing w:line="240" w:lineRule="auto"/>
              <w:rPr>
                <w:sz w:val="20"/>
              </w:rPr>
            </w:pPr>
            <w:r>
              <w:rPr>
                <w:spacing w:val="-3"/>
                <w:sz w:val="20"/>
                <w:vertAlign w:val="superscript"/>
              </w:rPr>
              <w:t>a</w:t>
            </w:r>
            <w:r>
              <w:rPr>
                <w:spacing w:val="-3"/>
                <w:sz w:val="20"/>
              </w:rPr>
              <w:t xml:space="preserve"> </w:t>
            </w:r>
            <w:r>
              <w:rPr>
                <w:spacing w:val="-1"/>
                <w:sz w:val="20"/>
              </w:rPr>
              <w:t>D</w:t>
            </w:r>
            <w:r>
              <w:rPr>
                <w:spacing w:val="1"/>
                <w:sz w:val="20"/>
              </w:rPr>
              <w:t>i</w:t>
            </w:r>
            <w:r>
              <w:rPr>
                <w:spacing w:val="-3"/>
                <w:sz w:val="20"/>
              </w:rPr>
              <w:t>n</w:t>
            </w:r>
            <w:r>
              <w:rPr>
                <w:spacing w:val="1"/>
                <w:sz w:val="20"/>
              </w:rPr>
              <w:t>t</w:t>
            </w:r>
            <w:r>
              <w:rPr>
                <w:sz w:val="20"/>
              </w:rPr>
              <w:t>re</w:t>
            </w:r>
            <w:r>
              <w:rPr>
                <w:spacing w:val="-2"/>
                <w:sz w:val="20"/>
              </w:rPr>
              <w:t xml:space="preserve"> </w:t>
            </w:r>
            <w:r>
              <w:rPr>
                <w:spacing w:val="1"/>
                <w:sz w:val="20"/>
              </w:rPr>
              <w:t>t</w:t>
            </w:r>
            <w:r>
              <w:rPr>
                <w:spacing w:val="-3"/>
                <w:sz w:val="20"/>
              </w:rPr>
              <w:t>o</w:t>
            </w:r>
            <w:r>
              <w:rPr>
                <w:spacing w:val="1"/>
                <w:sz w:val="20"/>
              </w:rPr>
              <w:t>ț</w:t>
            </w:r>
            <w:r>
              <w:rPr>
                <w:sz w:val="20"/>
              </w:rPr>
              <w:t>i</w:t>
            </w:r>
            <w:r>
              <w:rPr>
                <w:spacing w:val="1"/>
                <w:sz w:val="20"/>
              </w:rPr>
              <w:t xml:space="preserve"> </w:t>
            </w:r>
            <w:r>
              <w:rPr>
                <w:spacing w:val="-3"/>
                <w:sz w:val="20"/>
              </w:rPr>
              <w:t>p</w:t>
            </w:r>
            <w:r>
              <w:rPr>
                <w:sz w:val="20"/>
              </w:rPr>
              <w:t>a</w:t>
            </w:r>
            <w:r>
              <w:rPr>
                <w:spacing w:val="-3"/>
                <w:sz w:val="20"/>
              </w:rPr>
              <w:t>c</w:t>
            </w:r>
            <w:r>
              <w:rPr>
                <w:spacing w:val="1"/>
                <w:sz w:val="20"/>
              </w:rPr>
              <w:t>i</w:t>
            </w:r>
            <w:r>
              <w:rPr>
                <w:sz w:val="20"/>
              </w:rPr>
              <w:t>e</w:t>
            </w:r>
            <w:r>
              <w:rPr>
                <w:spacing w:val="-3"/>
                <w:sz w:val="20"/>
              </w:rPr>
              <w:t>n</w:t>
            </w:r>
            <w:r>
              <w:rPr>
                <w:spacing w:val="1"/>
                <w:sz w:val="20"/>
              </w:rPr>
              <w:t>ț</w:t>
            </w:r>
            <w:r>
              <w:rPr>
                <w:spacing w:val="-2"/>
                <w:sz w:val="20"/>
              </w:rPr>
              <w:t>i</w:t>
            </w:r>
            <w:r>
              <w:rPr>
                <w:sz w:val="20"/>
              </w:rPr>
              <w:t>i</w:t>
            </w:r>
            <w:r>
              <w:rPr>
                <w:spacing w:val="1"/>
                <w:sz w:val="20"/>
              </w:rPr>
              <w:t xml:space="preserve"> </w:t>
            </w:r>
            <w:r>
              <w:rPr>
                <w:sz w:val="20"/>
              </w:rPr>
              <w:t>r</w:t>
            </w:r>
            <w:r>
              <w:rPr>
                <w:spacing w:val="-3"/>
                <w:sz w:val="20"/>
              </w:rPr>
              <w:t>a</w:t>
            </w:r>
            <w:r>
              <w:rPr>
                <w:sz w:val="20"/>
              </w:rPr>
              <w:t>nd</w:t>
            </w:r>
            <w:r>
              <w:rPr>
                <w:spacing w:val="-3"/>
                <w:sz w:val="20"/>
              </w:rPr>
              <w:t>o</w:t>
            </w:r>
            <w:r>
              <w:rPr>
                <w:spacing w:val="-4"/>
                <w:sz w:val="20"/>
              </w:rPr>
              <w:t>m</w:t>
            </w:r>
            <w:r>
              <w:rPr>
                <w:spacing w:val="1"/>
                <w:sz w:val="20"/>
              </w:rPr>
              <w:t>i</w:t>
            </w:r>
            <w:r>
              <w:rPr>
                <w:spacing w:val="-3"/>
                <w:sz w:val="20"/>
              </w:rPr>
              <w:t>z</w:t>
            </w:r>
            <w:r>
              <w:rPr>
                <w:sz w:val="20"/>
              </w:rPr>
              <w:t>a</w:t>
            </w:r>
            <w:r>
              <w:rPr>
                <w:spacing w:val="1"/>
                <w:sz w:val="20"/>
              </w:rPr>
              <w:t>țdo</w:t>
            </w:r>
          </w:p>
          <w:p w14:paraId="4B07D5C0" w14:textId="77777777" w:rsidR="00C04CAD" w:rsidRDefault="00060E34">
            <w:pPr>
              <w:tabs>
                <w:tab w:val="clear" w:pos="567"/>
              </w:tabs>
              <w:kinsoku w:val="0"/>
              <w:overflowPunct w:val="0"/>
              <w:autoSpaceDE w:val="0"/>
              <w:autoSpaceDN w:val="0"/>
              <w:adjustRightInd w:val="0"/>
              <w:spacing w:line="240" w:lineRule="auto"/>
            </w:pPr>
            <w:r>
              <w:rPr>
                <w:spacing w:val="-3"/>
                <w:sz w:val="20"/>
                <w:vertAlign w:val="superscript"/>
              </w:rPr>
              <w:t>b</w:t>
            </w:r>
            <w:r>
              <w:rPr>
                <w:spacing w:val="-3"/>
                <w:sz w:val="20"/>
              </w:rPr>
              <w:t xml:space="preserve"> </w:t>
            </w:r>
            <w:r>
              <w:rPr>
                <w:spacing w:val="-1"/>
                <w:sz w:val="20"/>
              </w:rPr>
              <w:t>D</w:t>
            </w:r>
            <w:r>
              <w:rPr>
                <w:spacing w:val="1"/>
                <w:sz w:val="20"/>
              </w:rPr>
              <w:t>i</w:t>
            </w:r>
            <w:r>
              <w:rPr>
                <w:sz w:val="20"/>
              </w:rPr>
              <w:t>n</w:t>
            </w:r>
            <w:r>
              <w:rPr>
                <w:spacing w:val="-2"/>
                <w:sz w:val="20"/>
              </w:rPr>
              <w:t>t</w:t>
            </w:r>
            <w:r>
              <w:rPr>
                <w:sz w:val="20"/>
              </w:rPr>
              <w:t xml:space="preserve">re </w:t>
            </w:r>
            <w:r>
              <w:rPr>
                <w:spacing w:val="-3"/>
                <w:sz w:val="20"/>
              </w:rPr>
              <w:t>p</w:t>
            </w:r>
            <w:r>
              <w:rPr>
                <w:sz w:val="20"/>
              </w:rPr>
              <w:t>ac</w:t>
            </w:r>
            <w:r>
              <w:rPr>
                <w:spacing w:val="-2"/>
                <w:sz w:val="20"/>
              </w:rPr>
              <w:t>i</w:t>
            </w:r>
            <w:r>
              <w:rPr>
                <w:sz w:val="20"/>
              </w:rPr>
              <w:t>en</w:t>
            </w:r>
            <w:r>
              <w:rPr>
                <w:spacing w:val="-2"/>
                <w:sz w:val="20"/>
              </w:rPr>
              <w:t>țn</w:t>
            </w:r>
            <w:r>
              <w:rPr>
                <w:sz w:val="20"/>
              </w:rPr>
              <w:t>i cu un</w:t>
            </w:r>
            <w:r>
              <w:rPr>
                <w:spacing w:val="-3"/>
                <w:sz w:val="20"/>
              </w:rPr>
              <w:t xml:space="preserve"> </w:t>
            </w:r>
            <w:r>
              <w:rPr>
                <w:sz w:val="20"/>
              </w:rPr>
              <w:t>sc</w:t>
            </w:r>
            <w:r>
              <w:rPr>
                <w:spacing w:val="-3"/>
                <w:sz w:val="20"/>
              </w:rPr>
              <w:t>o</w:t>
            </w:r>
            <w:r>
              <w:rPr>
                <w:sz w:val="20"/>
              </w:rPr>
              <w:t>r</w:t>
            </w:r>
            <w:r>
              <w:rPr>
                <w:spacing w:val="-2"/>
                <w:sz w:val="20"/>
              </w:rPr>
              <w:t xml:space="preserve"> </w:t>
            </w:r>
            <w:r>
              <w:rPr>
                <w:spacing w:val="1"/>
                <w:sz w:val="20"/>
              </w:rPr>
              <w:t>i</w:t>
            </w:r>
            <w:r>
              <w:rPr>
                <w:sz w:val="20"/>
              </w:rPr>
              <w:t>n</w:t>
            </w:r>
            <w:r>
              <w:rPr>
                <w:spacing w:val="-2"/>
                <w:sz w:val="20"/>
              </w:rPr>
              <w:t>i</w:t>
            </w:r>
            <w:r>
              <w:rPr>
                <w:spacing w:val="1"/>
                <w:sz w:val="20"/>
              </w:rPr>
              <w:t>ţ</w:t>
            </w:r>
            <w:r>
              <w:rPr>
                <w:spacing w:val="-2"/>
                <w:sz w:val="20"/>
              </w:rPr>
              <w:t>i</w:t>
            </w:r>
            <w:r>
              <w:rPr>
                <w:sz w:val="20"/>
              </w:rPr>
              <w:t>al</w:t>
            </w:r>
            <w:r>
              <w:rPr>
                <w:spacing w:val="1"/>
                <w:sz w:val="20"/>
              </w:rPr>
              <w:t xml:space="preserve"> </w:t>
            </w:r>
            <w:r>
              <w:rPr>
                <w:spacing w:val="-3"/>
                <w:sz w:val="20"/>
              </w:rPr>
              <w:t>d</w:t>
            </w:r>
            <w:r>
              <w:rPr>
                <w:sz w:val="20"/>
              </w:rPr>
              <w:t>e e</w:t>
            </w:r>
            <w:r>
              <w:rPr>
                <w:spacing w:val="-3"/>
                <w:sz w:val="20"/>
              </w:rPr>
              <w:t>v</w:t>
            </w:r>
            <w:r>
              <w:rPr>
                <w:sz w:val="20"/>
              </w:rPr>
              <w:t>a</w:t>
            </w:r>
            <w:r>
              <w:rPr>
                <w:spacing w:val="1"/>
                <w:sz w:val="20"/>
              </w:rPr>
              <w:t>l</w:t>
            </w:r>
            <w:r>
              <w:rPr>
                <w:spacing w:val="-3"/>
                <w:sz w:val="20"/>
              </w:rPr>
              <w:t>u</w:t>
            </w:r>
            <w:r>
              <w:rPr>
                <w:sz w:val="20"/>
              </w:rPr>
              <w:t>are</w:t>
            </w:r>
            <w:r>
              <w:rPr>
                <w:spacing w:val="-2"/>
                <w:sz w:val="20"/>
              </w:rPr>
              <w:t xml:space="preserve"> </w:t>
            </w:r>
            <w:r>
              <w:rPr>
                <w:sz w:val="20"/>
              </w:rPr>
              <w:t>a d</w:t>
            </w:r>
            <w:r>
              <w:rPr>
                <w:spacing w:val="-3"/>
                <w:sz w:val="20"/>
              </w:rPr>
              <w:t>u</w:t>
            </w:r>
            <w:r>
              <w:rPr>
                <w:sz w:val="20"/>
              </w:rPr>
              <w:t>re</w:t>
            </w:r>
            <w:r>
              <w:rPr>
                <w:spacing w:val="-2"/>
                <w:sz w:val="20"/>
              </w:rPr>
              <w:t>ri</w:t>
            </w:r>
            <w:r>
              <w:rPr>
                <w:sz w:val="20"/>
              </w:rPr>
              <w:t>i</w:t>
            </w:r>
            <w:r>
              <w:rPr>
                <w:spacing w:val="-2"/>
                <w:sz w:val="20"/>
              </w:rPr>
              <w:t xml:space="preserve"> </w:t>
            </w:r>
            <w:r>
              <w:rPr>
                <w:sz w:val="20"/>
              </w:rPr>
              <w:t>cu</w:t>
            </w:r>
            <w:r>
              <w:rPr>
                <w:spacing w:val="1"/>
                <w:sz w:val="20"/>
              </w:rPr>
              <w:t>t</w:t>
            </w:r>
            <w:r>
              <w:rPr>
                <w:spacing w:val="-3"/>
                <w:sz w:val="20"/>
              </w:rPr>
              <w:t>a</w:t>
            </w:r>
            <w:r>
              <w:rPr>
                <w:sz w:val="20"/>
              </w:rPr>
              <w:t>na</w:t>
            </w:r>
            <w:r>
              <w:rPr>
                <w:spacing w:val="-2"/>
                <w:sz w:val="20"/>
              </w:rPr>
              <w:t>t</w:t>
            </w:r>
            <w:r>
              <w:rPr>
                <w:sz w:val="20"/>
              </w:rPr>
              <w:t>e c</w:t>
            </w:r>
            <w:r>
              <w:rPr>
                <w:spacing w:val="-3"/>
                <w:sz w:val="20"/>
              </w:rPr>
              <w:t>a</w:t>
            </w:r>
            <w:r>
              <w:rPr>
                <w:sz w:val="20"/>
              </w:rPr>
              <w:t>u</w:t>
            </w:r>
            <w:r>
              <w:rPr>
                <w:spacing w:val="-3"/>
                <w:sz w:val="20"/>
              </w:rPr>
              <w:t>z</w:t>
            </w:r>
            <w:r>
              <w:rPr>
                <w:sz w:val="20"/>
              </w:rPr>
              <w:t>a</w:t>
            </w:r>
            <w:r>
              <w:rPr>
                <w:spacing w:val="1"/>
                <w:sz w:val="20"/>
              </w:rPr>
              <w:t>t</w:t>
            </w:r>
            <w:r>
              <w:rPr>
                <w:sz w:val="20"/>
              </w:rPr>
              <w:t xml:space="preserve">e </w:t>
            </w:r>
            <w:r>
              <w:rPr>
                <w:spacing w:val="-3"/>
                <w:sz w:val="20"/>
              </w:rPr>
              <w:t>d</w:t>
            </w:r>
            <w:r>
              <w:rPr>
                <w:sz w:val="20"/>
              </w:rPr>
              <w:t xml:space="preserve">e </w:t>
            </w:r>
            <w:r>
              <w:rPr>
                <w:spacing w:val="-2"/>
                <w:sz w:val="20"/>
              </w:rPr>
              <w:t>H</w:t>
            </w:r>
            <w:r>
              <w:rPr>
                <w:sz w:val="20"/>
              </w:rPr>
              <w:t>S</w:t>
            </w:r>
            <w:r>
              <w:rPr>
                <w:spacing w:val="-1"/>
                <w:sz w:val="20"/>
              </w:rPr>
              <w:t xml:space="preserve"> </w:t>
            </w:r>
            <w:r>
              <w:rPr>
                <w:sz w:val="20"/>
              </w:rPr>
              <w:t>≥</w:t>
            </w:r>
            <w:r>
              <w:rPr>
                <w:spacing w:val="-2"/>
                <w:sz w:val="20"/>
              </w:rPr>
              <w:t xml:space="preserve"> </w:t>
            </w:r>
            <w:r>
              <w:rPr>
                <w:spacing w:val="-3"/>
                <w:sz w:val="20"/>
              </w:rPr>
              <w:t>3</w:t>
            </w:r>
            <w:r>
              <w:rPr>
                <w:sz w:val="20"/>
              </w:rPr>
              <w:t>,</w:t>
            </w:r>
            <w:r>
              <w:rPr>
                <w:spacing w:val="-1"/>
                <w:sz w:val="20"/>
              </w:rPr>
              <w:t xml:space="preserve"> </w:t>
            </w:r>
            <w:r>
              <w:rPr>
                <w:sz w:val="20"/>
              </w:rPr>
              <w:t xml:space="preserve">pe </w:t>
            </w:r>
            <w:r>
              <w:rPr>
                <w:spacing w:val="-1"/>
                <w:sz w:val="20"/>
              </w:rPr>
              <w:t>S</w:t>
            </w:r>
            <w:r>
              <w:rPr>
                <w:sz w:val="20"/>
              </w:rPr>
              <w:t>c</w:t>
            </w:r>
            <w:r>
              <w:rPr>
                <w:spacing w:val="-3"/>
                <w:sz w:val="20"/>
              </w:rPr>
              <w:t>a</w:t>
            </w:r>
            <w:r>
              <w:rPr>
                <w:spacing w:val="1"/>
                <w:sz w:val="20"/>
              </w:rPr>
              <w:t>l</w:t>
            </w:r>
            <w:r>
              <w:rPr>
                <w:sz w:val="20"/>
              </w:rPr>
              <w:t xml:space="preserve">a </w:t>
            </w:r>
            <w:r>
              <w:rPr>
                <w:spacing w:val="-3"/>
                <w:sz w:val="20"/>
              </w:rPr>
              <w:t>d</w:t>
            </w:r>
            <w:r>
              <w:rPr>
                <w:sz w:val="20"/>
              </w:rPr>
              <w:t xml:space="preserve">e </w:t>
            </w:r>
            <w:r>
              <w:rPr>
                <w:spacing w:val="-1"/>
                <w:sz w:val="20"/>
              </w:rPr>
              <w:t>E</w:t>
            </w:r>
            <w:r>
              <w:rPr>
                <w:spacing w:val="-3"/>
                <w:sz w:val="20"/>
              </w:rPr>
              <w:t>v</w:t>
            </w:r>
            <w:r>
              <w:rPr>
                <w:sz w:val="20"/>
              </w:rPr>
              <w:t>a</w:t>
            </w:r>
            <w:r>
              <w:rPr>
                <w:spacing w:val="1"/>
                <w:sz w:val="20"/>
              </w:rPr>
              <w:t>l</w:t>
            </w:r>
            <w:r>
              <w:rPr>
                <w:sz w:val="20"/>
              </w:rPr>
              <w:t xml:space="preserve">uare </w:t>
            </w:r>
            <w:r>
              <w:rPr>
                <w:spacing w:val="-1"/>
                <w:sz w:val="20"/>
              </w:rPr>
              <w:t>N</w:t>
            </w:r>
            <w:r>
              <w:rPr>
                <w:sz w:val="20"/>
              </w:rPr>
              <w:t>u</w:t>
            </w:r>
            <w:r>
              <w:rPr>
                <w:spacing w:val="-4"/>
                <w:sz w:val="20"/>
              </w:rPr>
              <w:t>m</w:t>
            </w:r>
            <w:r>
              <w:rPr>
                <w:sz w:val="20"/>
              </w:rPr>
              <w:t>er</w:t>
            </w:r>
            <w:r>
              <w:rPr>
                <w:spacing w:val="-2"/>
                <w:sz w:val="20"/>
              </w:rPr>
              <w:t>i</w:t>
            </w:r>
            <w:r>
              <w:rPr>
                <w:sz w:val="20"/>
              </w:rPr>
              <w:t>că 0 –</w:t>
            </w:r>
            <w:r>
              <w:rPr>
                <w:spacing w:val="-3"/>
                <w:sz w:val="20"/>
              </w:rPr>
              <w:t xml:space="preserve"> </w:t>
            </w:r>
            <w:r>
              <w:rPr>
                <w:sz w:val="20"/>
              </w:rPr>
              <w:t>10;</w:t>
            </w:r>
            <w:r>
              <w:rPr>
                <w:spacing w:val="-2"/>
                <w:sz w:val="20"/>
              </w:rPr>
              <w:t xml:space="preserve"> </w:t>
            </w:r>
            <w:r>
              <w:rPr>
                <w:sz w:val="20"/>
              </w:rPr>
              <w:t>0 = f</w:t>
            </w:r>
            <w:r>
              <w:rPr>
                <w:spacing w:val="-3"/>
                <w:sz w:val="20"/>
              </w:rPr>
              <w:t>ă</w:t>
            </w:r>
            <w:r>
              <w:rPr>
                <w:sz w:val="20"/>
              </w:rPr>
              <w:t xml:space="preserve">ră </w:t>
            </w:r>
            <w:r>
              <w:rPr>
                <w:spacing w:val="-3"/>
                <w:sz w:val="20"/>
              </w:rPr>
              <w:t>d</w:t>
            </w:r>
            <w:r>
              <w:rPr>
                <w:sz w:val="20"/>
              </w:rPr>
              <w:t>ur</w:t>
            </w:r>
            <w:r>
              <w:rPr>
                <w:spacing w:val="-3"/>
                <w:sz w:val="20"/>
              </w:rPr>
              <w:t>e</w:t>
            </w:r>
            <w:r>
              <w:rPr>
                <w:sz w:val="20"/>
              </w:rPr>
              <w:t>re</w:t>
            </w:r>
            <w:r>
              <w:rPr>
                <w:spacing w:val="-2"/>
                <w:sz w:val="20"/>
              </w:rPr>
              <w:t xml:space="preserve"> </w:t>
            </w:r>
            <w:r>
              <w:rPr>
                <w:sz w:val="20"/>
              </w:rPr>
              <w:t>cu</w:t>
            </w:r>
            <w:r>
              <w:rPr>
                <w:spacing w:val="-2"/>
                <w:sz w:val="20"/>
              </w:rPr>
              <w:t>t</w:t>
            </w:r>
            <w:r>
              <w:rPr>
                <w:sz w:val="20"/>
              </w:rPr>
              <w:t>an</w:t>
            </w:r>
            <w:r>
              <w:rPr>
                <w:spacing w:val="-3"/>
                <w:sz w:val="20"/>
              </w:rPr>
              <w:t>a</w:t>
            </w:r>
            <w:r>
              <w:rPr>
                <w:spacing w:val="1"/>
                <w:sz w:val="20"/>
              </w:rPr>
              <w:t>t</w:t>
            </w:r>
            <w:r>
              <w:rPr>
                <w:sz w:val="20"/>
              </w:rPr>
              <w:t>ă, 10</w:t>
            </w:r>
            <w:r>
              <w:rPr>
                <w:spacing w:val="-3"/>
                <w:sz w:val="20"/>
              </w:rPr>
              <w:t xml:space="preserve"> </w:t>
            </w:r>
            <w:r>
              <w:rPr>
                <w:sz w:val="20"/>
              </w:rPr>
              <w:t xml:space="preserve">= cea </w:t>
            </w:r>
            <w:r>
              <w:rPr>
                <w:spacing w:val="-4"/>
                <w:sz w:val="20"/>
              </w:rPr>
              <w:t>m</w:t>
            </w:r>
            <w:r>
              <w:rPr>
                <w:sz w:val="20"/>
              </w:rPr>
              <w:t>ai</w:t>
            </w:r>
            <w:r>
              <w:rPr>
                <w:spacing w:val="-2"/>
                <w:sz w:val="20"/>
              </w:rPr>
              <w:t xml:space="preserve"> </w:t>
            </w:r>
            <w:r>
              <w:rPr>
                <w:spacing w:val="1"/>
                <w:sz w:val="20"/>
              </w:rPr>
              <w:t>i</w:t>
            </w:r>
            <w:r>
              <w:rPr>
                <w:sz w:val="20"/>
              </w:rPr>
              <w:t>n</w:t>
            </w:r>
            <w:r>
              <w:rPr>
                <w:spacing w:val="-2"/>
                <w:sz w:val="20"/>
              </w:rPr>
              <w:t>t</w:t>
            </w:r>
            <w:r>
              <w:rPr>
                <w:sz w:val="20"/>
              </w:rPr>
              <w:t>ensă</w:t>
            </w:r>
            <w:r>
              <w:rPr>
                <w:spacing w:val="-2"/>
                <w:sz w:val="20"/>
              </w:rPr>
              <w:t xml:space="preserve"> </w:t>
            </w:r>
            <w:r>
              <w:rPr>
                <w:sz w:val="20"/>
              </w:rPr>
              <w:t>du</w:t>
            </w:r>
            <w:r>
              <w:rPr>
                <w:spacing w:val="-2"/>
                <w:sz w:val="20"/>
              </w:rPr>
              <w:t>r</w:t>
            </w:r>
            <w:r>
              <w:rPr>
                <w:sz w:val="20"/>
              </w:rPr>
              <w:t>ere</w:t>
            </w:r>
            <w:r>
              <w:rPr>
                <w:spacing w:val="-2"/>
                <w:sz w:val="20"/>
              </w:rPr>
              <w:t xml:space="preserve"> </w:t>
            </w:r>
            <w:r>
              <w:rPr>
                <w:spacing w:val="-3"/>
                <w:sz w:val="20"/>
              </w:rPr>
              <w:t>c</w:t>
            </w:r>
            <w:r>
              <w:rPr>
                <w:spacing w:val="-1"/>
                <w:sz w:val="20"/>
              </w:rPr>
              <w:t>u</w:t>
            </w:r>
            <w:r>
              <w:rPr>
                <w:spacing w:val="1"/>
                <w:sz w:val="20"/>
              </w:rPr>
              <w:t>t</w:t>
            </w:r>
            <w:r>
              <w:rPr>
                <w:sz w:val="20"/>
              </w:rPr>
              <w:t>an</w:t>
            </w:r>
            <w:r>
              <w:rPr>
                <w:spacing w:val="-3"/>
                <w:sz w:val="20"/>
              </w:rPr>
              <w:t>a</w:t>
            </w:r>
            <w:r>
              <w:rPr>
                <w:spacing w:val="1"/>
                <w:sz w:val="20"/>
              </w:rPr>
              <w:t>t</w:t>
            </w:r>
            <w:r>
              <w:rPr>
                <w:sz w:val="20"/>
              </w:rPr>
              <w:t>ă</w:t>
            </w:r>
            <w:r>
              <w:rPr>
                <w:spacing w:val="-2"/>
                <w:sz w:val="20"/>
              </w:rPr>
              <w:t xml:space="preserve"> </w:t>
            </w:r>
            <w:r>
              <w:rPr>
                <w:sz w:val="20"/>
              </w:rPr>
              <w:t>ca</w:t>
            </w:r>
            <w:r>
              <w:rPr>
                <w:spacing w:val="-2"/>
                <w:sz w:val="20"/>
              </w:rPr>
              <w:t>r</w:t>
            </w:r>
            <w:r>
              <w:rPr>
                <w:sz w:val="20"/>
              </w:rPr>
              <w:t>e poa</w:t>
            </w:r>
            <w:r>
              <w:rPr>
                <w:spacing w:val="1"/>
                <w:sz w:val="20"/>
              </w:rPr>
              <w:t>t</w:t>
            </w:r>
            <w:r>
              <w:rPr>
                <w:sz w:val="20"/>
              </w:rPr>
              <w:t>e</w:t>
            </w:r>
            <w:r>
              <w:rPr>
                <w:spacing w:val="-2"/>
                <w:sz w:val="20"/>
              </w:rPr>
              <w:t xml:space="preserve"> f</w:t>
            </w:r>
            <w:r>
              <w:rPr>
                <w:sz w:val="20"/>
              </w:rPr>
              <w:t>i</w:t>
            </w:r>
            <w:r>
              <w:rPr>
                <w:spacing w:val="1"/>
                <w:sz w:val="20"/>
              </w:rPr>
              <w:t xml:space="preserve"> i</w:t>
            </w:r>
            <w:r>
              <w:rPr>
                <w:spacing w:val="-4"/>
                <w:sz w:val="20"/>
              </w:rPr>
              <w:t>m</w:t>
            </w:r>
            <w:r>
              <w:rPr>
                <w:sz w:val="20"/>
              </w:rPr>
              <w:t>a</w:t>
            </w:r>
            <w:r>
              <w:rPr>
                <w:spacing w:val="-3"/>
                <w:sz w:val="20"/>
              </w:rPr>
              <w:t>g</w:t>
            </w:r>
            <w:r>
              <w:rPr>
                <w:spacing w:val="1"/>
                <w:sz w:val="20"/>
              </w:rPr>
              <w:t>i</w:t>
            </w:r>
            <w:r>
              <w:rPr>
                <w:spacing w:val="-1"/>
                <w:sz w:val="20"/>
              </w:rPr>
              <w:t>n</w:t>
            </w:r>
            <w:r>
              <w:rPr>
                <w:sz w:val="20"/>
              </w:rPr>
              <w:t>a</w:t>
            </w:r>
            <w:r>
              <w:rPr>
                <w:spacing w:val="1"/>
                <w:sz w:val="20"/>
              </w:rPr>
              <w:t>tă</w:t>
            </w:r>
          </w:p>
        </w:tc>
      </w:tr>
    </w:tbl>
    <w:p w14:paraId="45F5537D" w14:textId="77777777" w:rsidR="00C04CAD" w:rsidRDefault="00C04CAD">
      <w:pPr>
        <w:autoSpaceDE w:val="0"/>
        <w:autoSpaceDN w:val="0"/>
        <w:adjustRightInd w:val="0"/>
        <w:spacing w:line="240" w:lineRule="auto"/>
        <w:rPr>
          <w:szCs w:val="22"/>
        </w:rPr>
      </w:pPr>
    </w:p>
    <w:p w14:paraId="6F90C43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T</w:t>
      </w:r>
      <w:r>
        <w:rPr>
          <w:spacing w:val="-2"/>
          <w:szCs w:val="22"/>
        </w:rPr>
        <w:t>r</w:t>
      </w:r>
      <w:r>
        <w:rPr>
          <w:szCs w:val="22"/>
        </w:rPr>
        <w:t>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 xml:space="preserve">u </w:t>
      </w:r>
      <w:r>
        <w:rPr>
          <w:rFonts w:eastAsia="MS Mincho"/>
          <w:spacing w:val="-1"/>
          <w:szCs w:val="22"/>
          <w:lang w:eastAsia="en-US" w:bidi="ar-SA"/>
        </w:rPr>
        <w:t>adalimumab</w:t>
      </w:r>
      <w:r>
        <w:rPr>
          <w:szCs w:val="22"/>
        </w:rPr>
        <w:t xml:space="preserve"> 40</w:t>
      </w:r>
      <w:r>
        <w:rPr>
          <w:spacing w:val="-3"/>
          <w:szCs w:val="22"/>
        </w:rPr>
        <w:t> </w:t>
      </w:r>
      <w:r>
        <w:rPr>
          <w:spacing w:val="-2"/>
          <w:szCs w:val="22"/>
        </w:rPr>
        <w:t>m</w:t>
      </w:r>
      <w:r>
        <w:rPr>
          <w:szCs w:val="22"/>
        </w:rPr>
        <w:t>g</w:t>
      </w:r>
      <w:r>
        <w:rPr>
          <w:spacing w:val="-3"/>
          <w:szCs w:val="22"/>
        </w:rPr>
        <w:t xml:space="preserve"> </w:t>
      </w:r>
      <w:r>
        <w:rPr>
          <w:spacing w:val="1"/>
          <w:szCs w:val="22"/>
        </w:rPr>
        <w:t>î</w:t>
      </w:r>
      <w:r>
        <w:rPr>
          <w:szCs w:val="22"/>
        </w:rPr>
        <w:t>n f</w:t>
      </w:r>
      <w:r>
        <w:rPr>
          <w:spacing w:val="1"/>
          <w:szCs w:val="22"/>
        </w:rPr>
        <w:t>i</w:t>
      </w:r>
      <w:r>
        <w:rPr>
          <w:szCs w:val="22"/>
        </w:rPr>
        <w:t>e</w:t>
      </w:r>
      <w:r>
        <w:rPr>
          <w:spacing w:val="-3"/>
          <w:szCs w:val="22"/>
        </w:rPr>
        <w:t>c</w:t>
      </w:r>
      <w:r>
        <w:rPr>
          <w:szCs w:val="22"/>
        </w:rPr>
        <w:t>are</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ână a</w:t>
      </w:r>
      <w:r>
        <w:rPr>
          <w:spacing w:val="-2"/>
          <w:szCs w:val="22"/>
        </w:rPr>
        <w:t xml:space="preserve"> r</w:t>
      </w:r>
      <w:r>
        <w:rPr>
          <w:szCs w:val="22"/>
        </w:rPr>
        <w:t xml:space="preserve">edus </w:t>
      </w:r>
      <w:r>
        <w:rPr>
          <w:spacing w:val="-2"/>
          <w:szCs w:val="22"/>
        </w:rPr>
        <w:t>s</w:t>
      </w:r>
      <w:r>
        <w:rPr>
          <w:szCs w:val="22"/>
        </w:rPr>
        <w:t>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zCs w:val="22"/>
        </w:rPr>
        <w:t>v</w:t>
      </w:r>
      <w:r>
        <w:rPr>
          <w:spacing w:val="-3"/>
          <w:szCs w:val="22"/>
        </w:rPr>
        <w:t xml:space="preserve"> </w:t>
      </w:r>
      <w:r>
        <w:rPr>
          <w:szCs w:val="22"/>
        </w:rPr>
        <w:t>r</w:t>
      </w:r>
      <w:r>
        <w:rPr>
          <w:spacing w:val="1"/>
          <w:szCs w:val="22"/>
        </w:rPr>
        <w:t>i</w:t>
      </w:r>
      <w:r>
        <w:rPr>
          <w:spacing w:val="-2"/>
          <w:szCs w:val="22"/>
        </w:rPr>
        <w:t>s</w:t>
      </w:r>
      <w:r>
        <w:rPr>
          <w:szCs w:val="22"/>
        </w:rPr>
        <w:t>cul</w:t>
      </w:r>
      <w:r>
        <w:rPr>
          <w:spacing w:val="-2"/>
          <w:szCs w:val="22"/>
        </w:rPr>
        <w:t xml:space="preserve"> </w:t>
      </w:r>
      <w:r>
        <w:rPr>
          <w:szCs w:val="22"/>
        </w:rPr>
        <w:t>de</w:t>
      </w:r>
      <w:r>
        <w:rPr>
          <w:spacing w:val="-2"/>
          <w:szCs w:val="22"/>
        </w:rPr>
        <w:t xml:space="preserve"> </w:t>
      </w:r>
      <w:r>
        <w:rPr>
          <w:szCs w:val="22"/>
        </w:rPr>
        <w:t>a</w:t>
      </w:r>
      <w:r>
        <w:rPr>
          <w:spacing w:val="-3"/>
          <w:szCs w:val="22"/>
        </w:rPr>
        <w:t>g</w:t>
      </w:r>
      <w:r>
        <w:rPr>
          <w:szCs w:val="22"/>
        </w:rPr>
        <w:t>ra</w:t>
      </w:r>
      <w:r>
        <w:rPr>
          <w:spacing w:val="-3"/>
          <w:szCs w:val="22"/>
        </w:rPr>
        <w:t>v</w:t>
      </w:r>
      <w:r>
        <w:rPr>
          <w:szCs w:val="22"/>
        </w:rPr>
        <w:t>are a a</w:t>
      </w:r>
      <w:r>
        <w:rPr>
          <w:spacing w:val="-3"/>
          <w:szCs w:val="22"/>
        </w:rPr>
        <w:t>b</w:t>
      </w:r>
      <w:r>
        <w:rPr>
          <w:szCs w:val="22"/>
        </w:rPr>
        <w:t>ce</w:t>
      </w:r>
      <w:r>
        <w:rPr>
          <w:spacing w:val="-2"/>
          <w:szCs w:val="22"/>
        </w:rPr>
        <w:t>s</w:t>
      </w:r>
      <w:r>
        <w:rPr>
          <w:szCs w:val="22"/>
        </w:rPr>
        <w:t>e</w:t>
      </w:r>
      <w:r>
        <w:rPr>
          <w:spacing w:val="1"/>
          <w:szCs w:val="22"/>
        </w:rPr>
        <w:t>l</w:t>
      </w:r>
      <w:r>
        <w:rPr>
          <w:spacing w:val="-3"/>
          <w:szCs w:val="22"/>
        </w:rPr>
        <w:t>o</w:t>
      </w:r>
      <w:r>
        <w:rPr>
          <w:szCs w:val="22"/>
        </w:rPr>
        <w:t>r şi</w:t>
      </w:r>
      <w:r>
        <w:rPr>
          <w:spacing w:val="1"/>
          <w:szCs w:val="22"/>
        </w:rPr>
        <w:t xml:space="preserve"> </w:t>
      </w:r>
      <w:r>
        <w:rPr>
          <w:spacing w:val="-3"/>
          <w:szCs w:val="22"/>
        </w:rPr>
        <w:t>d</w:t>
      </w:r>
      <w:r>
        <w:rPr>
          <w:szCs w:val="22"/>
        </w:rPr>
        <w:t>ren</w:t>
      </w:r>
      <w:r>
        <w:rPr>
          <w:spacing w:val="-3"/>
          <w:szCs w:val="22"/>
        </w:rPr>
        <w:t>a</w:t>
      </w:r>
      <w:r>
        <w:rPr>
          <w:spacing w:val="1"/>
          <w:szCs w:val="22"/>
        </w:rPr>
        <w:t>j</w:t>
      </w:r>
      <w:r>
        <w:rPr>
          <w:spacing w:val="-3"/>
          <w:szCs w:val="22"/>
        </w:rPr>
        <w:t>u</w:t>
      </w:r>
      <w:r>
        <w:rPr>
          <w:szCs w:val="22"/>
        </w:rPr>
        <w:t>l</w:t>
      </w:r>
      <w:r>
        <w:rPr>
          <w:spacing w:val="1"/>
          <w:szCs w:val="22"/>
        </w:rPr>
        <w:t xml:space="preserve"> </w:t>
      </w:r>
      <w:r>
        <w:rPr>
          <w:spacing w:val="-2"/>
          <w:szCs w:val="22"/>
        </w:rPr>
        <w:t>f</w:t>
      </w:r>
      <w:r>
        <w:rPr>
          <w:spacing w:val="1"/>
          <w:szCs w:val="22"/>
        </w:rPr>
        <w:t>i</w:t>
      </w:r>
      <w:r>
        <w:rPr>
          <w:spacing w:val="-2"/>
          <w:szCs w:val="22"/>
        </w:rPr>
        <w:t>s</w:t>
      </w:r>
      <w:r>
        <w:rPr>
          <w:spacing w:val="1"/>
          <w:szCs w:val="22"/>
        </w:rPr>
        <w:t>t</w:t>
      </w:r>
      <w:r>
        <w:rPr>
          <w:szCs w:val="22"/>
        </w:rPr>
        <w:t>u</w:t>
      </w:r>
      <w:r>
        <w:rPr>
          <w:spacing w:val="-2"/>
          <w:szCs w:val="22"/>
        </w:rPr>
        <w:t>l</w:t>
      </w:r>
      <w:r>
        <w:rPr>
          <w:szCs w:val="22"/>
        </w:rPr>
        <w:t>e</w:t>
      </w:r>
      <w:r>
        <w:rPr>
          <w:spacing w:val="1"/>
          <w:szCs w:val="22"/>
        </w:rPr>
        <w:t>l</w:t>
      </w:r>
      <w:r>
        <w:rPr>
          <w:spacing w:val="-3"/>
          <w:szCs w:val="22"/>
        </w:rPr>
        <w:t>o</w:t>
      </w:r>
      <w:r>
        <w:rPr>
          <w:szCs w:val="22"/>
        </w:rPr>
        <w:t xml:space="preserve">r. </w:t>
      </w:r>
      <w:r>
        <w:rPr>
          <w:spacing w:val="-4"/>
          <w:szCs w:val="22"/>
        </w:rPr>
        <w:t>Î</w:t>
      </w:r>
      <w:r>
        <w:rPr>
          <w:szCs w:val="22"/>
        </w:rPr>
        <w:t>n pr</w:t>
      </w:r>
      <w:r>
        <w:rPr>
          <w:spacing w:val="-2"/>
          <w:szCs w:val="22"/>
        </w:rPr>
        <w:t>i</w:t>
      </w:r>
      <w:r>
        <w:rPr>
          <w:spacing w:val="-4"/>
          <w:szCs w:val="22"/>
        </w:rPr>
        <w:t>m</w:t>
      </w:r>
      <w:r>
        <w:rPr>
          <w:szCs w:val="22"/>
        </w:rPr>
        <w:t>e</w:t>
      </w:r>
      <w:r>
        <w:rPr>
          <w:spacing w:val="1"/>
          <w:szCs w:val="22"/>
        </w:rPr>
        <w:t>l</w:t>
      </w:r>
      <w:r>
        <w:rPr>
          <w:szCs w:val="22"/>
        </w:rPr>
        <w:t>e 12 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pacing w:val="-3"/>
          <w:szCs w:val="22"/>
        </w:rPr>
        <w:t>a</w:t>
      </w:r>
      <w:r>
        <w:rPr>
          <w:spacing w:val="1"/>
          <w:szCs w:val="22"/>
        </w:rPr>
        <w:t>l</w:t>
      </w:r>
      <w:r>
        <w:rPr>
          <w:szCs w:val="22"/>
        </w:rPr>
        <w:t xml:space="preserve">e </w:t>
      </w:r>
      <w:r>
        <w:rPr>
          <w:spacing w:val="-2"/>
          <w:szCs w:val="22"/>
        </w:rPr>
        <w:t>s</w:t>
      </w:r>
      <w:r>
        <w:rPr>
          <w:spacing w:val="1"/>
          <w:szCs w:val="22"/>
        </w:rPr>
        <w:t>t</w:t>
      </w:r>
      <w:r>
        <w:rPr>
          <w:szCs w:val="22"/>
        </w:rPr>
        <w:t>u</w:t>
      </w:r>
      <w:r>
        <w:rPr>
          <w:spacing w:val="-3"/>
          <w:szCs w:val="22"/>
        </w:rPr>
        <w:t>d</w:t>
      </w:r>
      <w:r>
        <w:rPr>
          <w:spacing w:val="-2"/>
          <w:szCs w:val="22"/>
        </w:rPr>
        <w:t>i</w:t>
      </w:r>
      <w:r>
        <w:rPr>
          <w:spacing w:val="1"/>
          <w:szCs w:val="22"/>
        </w:rPr>
        <w:t>il</w:t>
      </w:r>
      <w:r>
        <w:rPr>
          <w:spacing w:val="-3"/>
          <w:szCs w:val="22"/>
        </w:rPr>
        <w:t>o</w:t>
      </w:r>
      <w:r>
        <w:rPr>
          <w:szCs w:val="22"/>
        </w:rPr>
        <w:t>r</w:t>
      </w:r>
      <w:r>
        <w:rPr>
          <w:spacing w:val="1"/>
          <w:szCs w:val="22"/>
        </w:rPr>
        <w:t xml:space="preserve"> </w:t>
      </w:r>
      <w:r>
        <w:rPr>
          <w:spacing w:val="-2"/>
          <w:szCs w:val="22"/>
        </w:rPr>
        <w:t>H</w:t>
      </w:r>
      <w:r>
        <w:rPr>
          <w:spacing w:val="-1"/>
          <w:szCs w:val="22"/>
        </w:rPr>
        <w:t>S</w:t>
      </w:r>
      <w:r>
        <w:rPr>
          <w:spacing w:val="-2"/>
          <w:szCs w:val="22"/>
        </w:rPr>
        <w:t>-</w:t>
      </w:r>
      <w:r>
        <w:rPr>
          <w:szCs w:val="22"/>
        </w:rPr>
        <w:t>I</w:t>
      </w:r>
      <w:r>
        <w:rPr>
          <w:spacing w:val="-4"/>
          <w:szCs w:val="22"/>
        </w:rPr>
        <w:t xml:space="preserve"> </w:t>
      </w:r>
      <w:r>
        <w:rPr>
          <w:szCs w:val="22"/>
        </w:rPr>
        <w:t>și</w:t>
      </w:r>
      <w:r>
        <w:rPr>
          <w:spacing w:val="1"/>
          <w:szCs w:val="22"/>
        </w:rPr>
        <w:t xml:space="preserve"> </w:t>
      </w:r>
      <w:r>
        <w:rPr>
          <w:spacing w:val="-1"/>
          <w:szCs w:val="22"/>
        </w:rPr>
        <w:t>H</w:t>
      </w:r>
      <w:r>
        <w:rPr>
          <w:spacing w:val="2"/>
          <w:szCs w:val="22"/>
        </w:rPr>
        <w:t>S</w:t>
      </w:r>
      <w:r>
        <w:rPr>
          <w:spacing w:val="-2"/>
          <w:szCs w:val="22"/>
        </w:rPr>
        <w:t>-II</w:t>
      </w:r>
      <w:r>
        <w:rPr>
          <w:szCs w:val="22"/>
        </w:rPr>
        <w:t>, procen</w:t>
      </w:r>
      <w:r>
        <w:rPr>
          <w:spacing w:val="1"/>
          <w:szCs w:val="22"/>
        </w:rPr>
        <w:t>t</w:t>
      </w:r>
      <w:r>
        <w:rPr>
          <w:szCs w:val="22"/>
        </w:rPr>
        <w:t>e</w:t>
      </w:r>
      <w:r>
        <w:rPr>
          <w:spacing w:val="-2"/>
          <w:szCs w:val="22"/>
        </w:rPr>
        <w:t xml:space="preserve"> </w:t>
      </w:r>
      <w:r>
        <w:rPr>
          <w:szCs w:val="22"/>
        </w:rPr>
        <w:t>de a</w:t>
      </w:r>
      <w:r>
        <w:rPr>
          <w:spacing w:val="-3"/>
          <w:szCs w:val="22"/>
        </w:rPr>
        <w:t>p</w:t>
      </w:r>
      <w:r>
        <w:rPr>
          <w:szCs w:val="22"/>
        </w:rPr>
        <w:t>rox</w:t>
      </w:r>
      <w:r>
        <w:rPr>
          <w:spacing w:val="1"/>
          <w:szCs w:val="22"/>
        </w:rPr>
        <w:t>i</w:t>
      </w:r>
      <w:r>
        <w:rPr>
          <w:spacing w:val="-4"/>
          <w:szCs w:val="22"/>
        </w:rPr>
        <w:t>m</w:t>
      </w:r>
      <w:r>
        <w:rPr>
          <w:szCs w:val="22"/>
        </w:rPr>
        <w:t>a</w:t>
      </w:r>
      <w:r>
        <w:rPr>
          <w:spacing w:val="-2"/>
          <w:szCs w:val="22"/>
        </w:rPr>
        <w:t>t</w:t>
      </w:r>
      <w:r>
        <w:rPr>
          <w:spacing w:val="1"/>
          <w:szCs w:val="22"/>
        </w:rPr>
        <w:t>i</w:t>
      </w:r>
      <w:r>
        <w:rPr>
          <w:szCs w:val="22"/>
        </w:rPr>
        <w:t xml:space="preserve">v două </w:t>
      </w:r>
      <w:r>
        <w:rPr>
          <w:spacing w:val="-3"/>
          <w:szCs w:val="22"/>
        </w:rPr>
        <w:t>o</w:t>
      </w:r>
      <w:r>
        <w:rPr>
          <w:szCs w:val="22"/>
        </w:rPr>
        <w:t>ri</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zCs w:val="22"/>
        </w:rPr>
        <w:t>ari</w:t>
      </w:r>
      <w:r>
        <w:rPr>
          <w:spacing w:val="1"/>
          <w:szCs w:val="22"/>
        </w:rPr>
        <w:t xml:space="preserve"> </w:t>
      </w:r>
      <w:r>
        <w:rPr>
          <w:szCs w:val="22"/>
        </w:rPr>
        <w:t>de</w:t>
      </w:r>
      <w:r>
        <w:rPr>
          <w:spacing w:val="-2"/>
          <w:szCs w:val="22"/>
        </w:rPr>
        <w:t xml:space="preserve"> </w:t>
      </w:r>
      <w:r>
        <w:rPr>
          <w:szCs w:val="22"/>
        </w:rPr>
        <w:t>pa</w:t>
      </w:r>
      <w:r>
        <w:rPr>
          <w:spacing w:val="-3"/>
          <w:szCs w:val="22"/>
        </w:rPr>
        <w:t>c</w:t>
      </w:r>
      <w:r>
        <w:rPr>
          <w:spacing w:val="1"/>
          <w:szCs w:val="22"/>
        </w:rPr>
        <w:t>i</w:t>
      </w:r>
      <w:r>
        <w:rPr>
          <w:spacing w:val="-3"/>
          <w:szCs w:val="22"/>
        </w:rPr>
        <w:t>e</w:t>
      </w:r>
      <w:r>
        <w:rPr>
          <w:szCs w:val="22"/>
        </w:rPr>
        <w:t>n</w:t>
      </w:r>
      <w:r>
        <w:rPr>
          <w:spacing w:val="1"/>
          <w:szCs w:val="22"/>
        </w:rPr>
        <w:t>ț</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3"/>
          <w:szCs w:val="22"/>
        </w:rPr>
        <w:t>g</w:t>
      </w:r>
      <w:r>
        <w:rPr>
          <w:szCs w:val="22"/>
        </w:rPr>
        <w:t>rup</w:t>
      </w:r>
      <w:r>
        <w:rPr>
          <w:spacing w:val="-3"/>
          <w:szCs w:val="22"/>
        </w:rPr>
        <w:t>u</w:t>
      </w:r>
      <w:r>
        <w:rPr>
          <w:szCs w:val="22"/>
        </w:rPr>
        <w:t>l</w:t>
      </w:r>
      <w:r>
        <w:rPr>
          <w:spacing w:val="1"/>
          <w:szCs w:val="22"/>
        </w:rPr>
        <w:t xml:space="preserve"> </w:t>
      </w:r>
      <w:r>
        <w:rPr>
          <w:spacing w:val="-3"/>
          <w:szCs w:val="22"/>
        </w:rPr>
        <w:t>p</w:t>
      </w:r>
      <w:r>
        <w:rPr>
          <w:spacing w:val="1"/>
          <w:szCs w:val="22"/>
        </w:rPr>
        <w:t>l</w:t>
      </w:r>
      <w:r>
        <w:rPr>
          <w:szCs w:val="22"/>
        </w:rPr>
        <w:t>a</w:t>
      </w:r>
      <w:r>
        <w:rPr>
          <w:spacing w:val="-3"/>
          <w:szCs w:val="22"/>
        </w:rPr>
        <w:t>c</w:t>
      </w:r>
      <w:r>
        <w:rPr>
          <w:szCs w:val="22"/>
        </w:rPr>
        <w:t>ebo au</w:t>
      </w:r>
      <w:r>
        <w:rPr>
          <w:spacing w:val="-3"/>
          <w:szCs w:val="22"/>
        </w:rPr>
        <w:t xml:space="preserve"> </w:t>
      </w:r>
      <w:r>
        <w:rPr>
          <w:szCs w:val="22"/>
        </w:rPr>
        <w:t>p</w:t>
      </w:r>
      <w:r>
        <w:rPr>
          <w:spacing w:val="-2"/>
          <w:szCs w:val="22"/>
        </w:rPr>
        <w:t>r</w:t>
      </w:r>
      <w:r>
        <w:rPr>
          <w:szCs w:val="22"/>
        </w:rPr>
        <w:t>e</w:t>
      </w:r>
      <w:r>
        <w:rPr>
          <w:spacing w:val="-3"/>
          <w:szCs w:val="22"/>
        </w:rPr>
        <w:t>z</w:t>
      </w:r>
      <w:r>
        <w:rPr>
          <w:szCs w:val="22"/>
        </w:rPr>
        <w:t>en</w:t>
      </w:r>
      <w:r>
        <w:rPr>
          <w:spacing w:val="1"/>
          <w:szCs w:val="22"/>
        </w:rPr>
        <w:t>t</w:t>
      </w:r>
      <w:r>
        <w:rPr>
          <w:szCs w:val="22"/>
        </w:rPr>
        <w:t>at</w:t>
      </w:r>
      <w:r>
        <w:rPr>
          <w:spacing w:val="-2"/>
          <w:szCs w:val="22"/>
        </w:rPr>
        <w:t xml:space="preserve"> </w:t>
      </w:r>
      <w:r>
        <w:rPr>
          <w:szCs w:val="22"/>
        </w:rPr>
        <w:t>a</w:t>
      </w:r>
      <w:r>
        <w:rPr>
          <w:spacing w:val="-3"/>
          <w:szCs w:val="22"/>
        </w:rPr>
        <w:t>g</w:t>
      </w:r>
      <w:r>
        <w:rPr>
          <w:szCs w:val="22"/>
        </w:rPr>
        <w:t>ra</w:t>
      </w:r>
      <w:r>
        <w:rPr>
          <w:spacing w:val="-3"/>
          <w:szCs w:val="22"/>
        </w:rPr>
        <w:t>v</w:t>
      </w:r>
      <w:r>
        <w:rPr>
          <w:szCs w:val="22"/>
        </w:rPr>
        <w:t>are a</w:t>
      </w:r>
      <w:r>
        <w:rPr>
          <w:spacing w:val="-2"/>
          <w:szCs w:val="22"/>
        </w:rPr>
        <w:t xml:space="preserve"> </w:t>
      </w:r>
      <w:r>
        <w:rPr>
          <w:szCs w:val="22"/>
        </w:rPr>
        <w:t>ab</w:t>
      </w:r>
      <w:r>
        <w:rPr>
          <w:spacing w:val="-3"/>
          <w:szCs w:val="22"/>
        </w:rPr>
        <w:t>c</w:t>
      </w:r>
      <w:r>
        <w:rPr>
          <w:szCs w:val="22"/>
        </w:rPr>
        <w:t>es</w:t>
      </w:r>
      <w:r>
        <w:rPr>
          <w:spacing w:val="-3"/>
          <w:szCs w:val="22"/>
        </w:rPr>
        <w:t>e</w:t>
      </w:r>
      <w:r>
        <w:rPr>
          <w:spacing w:val="1"/>
          <w:szCs w:val="22"/>
        </w:rPr>
        <w:t>l</w:t>
      </w:r>
      <w:r>
        <w:rPr>
          <w:spacing w:val="-3"/>
          <w:szCs w:val="22"/>
        </w:rPr>
        <w:t>o</w:t>
      </w:r>
      <w:r>
        <w:rPr>
          <w:szCs w:val="22"/>
        </w:rPr>
        <w:t>r</w:t>
      </w:r>
      <w:r>
        <w:rPr>
          <w:spacing w:val="1"/>
          <w:szCs w:val="22"/>
        </w:rPr>
        <w:t xml:space="preserve"> </w:t>
      </w:r>
      <w:r>
        <w:rPr>
          <w:szCs w:val="22"/>
        </w:rPr>
        <w:t>(23</w:t>
      </w:r>
      <w:r>
        <w:rPr>
          <w:spacing w:val="-3"/>
          <w:szCs w:val="22"/>
        </w:rPr>
        <w:t>,</w:t>
      </w:r>
      <w:r>
        <w:rPr>
          <w:szCs w:val="22"/>
        </w:rPr>
        <w:t>0%</w:t>
      </w:r>
      <w:r>
        <w:rPr>
          <w:spacing w:val="-2"/>
          <w:szCs w:val="22"/>
        </w:rPr>
        <w:t xml:space="preserve"> </w:t>
      </w:r>
      <w:r>
        <w:rPr>
          <w:szCs w:val="22"/>
        </w:rPr>
        <w:t>co</w:t>
      </w:r>
      <w:r>
        <w:rPr>
          <w:spacing w:val="-4"/>
          <w:szCs w:val="22"/>
        </w:rPr>
        <w:t>m</w:t>
      </w:r>
      <w:r>
        <w:rPr>
          <w:szCs w:val="22"/>
        </w:rPr>
        <w:t>para</w:t>
      </w:r>
      <w:r>
        <w:rPr>
          <w:spacing w:val="-2"/>
          <w:szCs w:val="22"/>
        </w:rPr>
        <w:t>t</w:t>
      </w:r>
      <w:r>
        <w:rPr>
          <w:spacing w:val="1"/>
          <w:szCs w:val="22"/>
        </w:rPr>
        <w:t>i</w:t>
      </w:r>
      <w:r>
        <w:rPr>
          <w:szCs w:val="22"/>
        </w:rPr>
        <w:t>v cu r</w:t>
      </w:r>
      <w:r>
        <w:rPr>
          <w:spacing w:val="-2"/>
          <w:szCs w:val="22"/>
        </w:rPr>
        <w:t>e</w:t>
      </w:r>
      <w:r>
        <w:rPr>
          <w:szCs w:val="22"/>
        </w:rPr>
        <w:t>spe</w:t>
      </w:r>
      <w:r>
        <w:rPr>
          <w:spacing w:val="-2"/>
          <w:szCs w:val="22"/>
        </w:rPr>
        <w:t>ct</w:t>
      </w:r>
      <w:r>
        <w:rPr>
          <w:spacing w:val="1"/>
          <w:szCs w:val="22"/>
        </w:rPr>
        <w:t>i</w:t>
      </w:r>
      <w:r>
        <w:rPr>
          <w:szCs w:val="22"/>
        </w:rPr>
        <w:t>v</w:t>
      </w:r>
      <w:r>
        <w:rPr>
          <w:spacing w:val="-3"/>
          <w:szCs w:val="22"/>
        </w:rPr>
        <w:t xml:space="preserve"> </w:t>
      </w:r>
      <w:r>
        <w:rPr>
          <w:szCs w:val="22"/>
        </w:rPr>
        <w:t>11,4%)</w:t>
      </w:r>
      <w:r>
        <w:rPr>
          <w:spacing w:val="-2"/>
          <w:szCs w:val="22"/>
        </w:rPr>
        <w:t xml:space="preserve"> </w:t>
      </w:r>
      <w:r>
        <w:rPr>
          <w:szCs w:val="22"/>
        </w:rPr>
        <w:t>și</w:t>
      </w:r>
      <w:r>
        <w:rPr>
          <w:spacing w:val="-2"/>
          <w:szCs w:val="22"/>
        </w:rPr>
        <w:t xml:space="preserve"> </w:t>
      </w:r>
      <w:r>
        <w:rPr>
          <w:szCs w:val="22"/>
        </w:rPr>
        <w:t>dr</w:t>
      </w:r>
      <w:r>
        <w:rPr>
          <w:spacing w:val="-3"/>
          <w:szCs w:val="22"/>
        </w:rPr>
        <w:t>ena</w:t>
      </w:r>
      <w:r>
        <w:rPr>
          <w:spacing w:val="3"/>
          <w:szCs w:val="22"/>
        </w:rPr>
        <w:t>j</w:t>
      </w:r>
      <w:r>
        <w:rPr>
          <w:spacing w:val="-3"/>
          <w:szCs w:val="22"/>
        </w:rPr>
        <w:t>u</w:t>
      </w:r>
      <w:r>
        <w:rPr>
          <w:szCs w:val="22"/>
        </w:rPr>
        <w:t>l</w:t>
      </w:r>
      <w:r>
        <w:rPr>
          <w:spacing w:val="1"/>
          <w:szCs w:val="22"/>
        </w:rPr>
        <w:t xml:space="preserve"> </w:t>
      </w:r>
      <w:r>
        <w:rPr>
          <w:spacing w:val="-2"/>
          <w:szCs w:val="22"/>
        </w:rPr>
        <w:t>f</w:t>
      </w:r>
      <w:r>
        <w:rPr>
          <w:spacing w:val="1"/>
          <w:szCs w:val="22"/>
        </w:rPr>
        <w:t>i</w:t>
      </w:r>
      <w:r>
        <w:rPr>
          <w:szCs w:val="22"/>
        </w:rPr>
        <w:t>s</w:t>
      </w:r>
      <w:r>
        <w:rPr>
          <w:spacing w:val="-2"/>
          <w:szCs w:val="22"/>
        </w:rPr>
        <w:t>t</w:t>
      </w:r>
      <w:r>
        <w:rPr>
          <w:szCs w:val="22"/>
        </w:rPr>
        <w:t>u</w:t>
      </w:r>
      <w:r>
        <w:rPr>
          <w:spacing w:val="1"/>
          <w:szCs w:val="22"/>
        </w:rPr>
        <w:t>l</w:t>
      </w:r>
      <w:r>
        <w:rPr>
          <w:spacing w:val="-3"/>
          <w:szCs w:val="22"/>
        </w:rPr>
        <w:t>e</w:t>
      </w:r>
      <w:r>
        <w:rPr>
          <w:spacing w:val="1"/>
          <w:szCs w:val="22"/>
        </w:rPr>
        <w:t>l</w:t>
      </w:r>
      <w:r>
        <w:rPr>
          <w:spacing w:val="-3"/>
          <w:szCs w:val="22"/>
        </w:rPr>
        <w:t>o</w:t>
      </w:r>
      <w:r>
        <w:rPr>
          <w:szCs w:val="22"/>
        </w:rPr>
        <w:t>r</w:t>
      </w:r>
      <w:r>
        <w:rPr>
          <w:spacing w:val="1"/>
          <w:szCs w:val="22"/>
        </w:rPr>
        <w:t xml:space="preserve"> </w:t>
      </w:r>
      <w:r>
        <w:rPr>
          <w:szCs w:val="22"/>
        </w:rPr>
        <w:t>(</w:t>
      </w:r>
      <w:r>
        <w:rPr>
          <w:spacing w:val="-3"/>
          <w:szCs w:val="22"/>
        </w:rPr>
        <w:t>3</w:t>
      </w:r>
      <w:r>
        <w:rPr>
          <w:szCs w:val="22"/>
        </w:rPr>
        <w:t>0,0 %</w:t>
      </w:r>
      <w:r>
        <w:rPr>
          <w:spacing w:val="-2"/>
          <w:szCs w:val="22"/>
        </w:rPr>
        <w:t xml:space="preserve"> </w:t>
      </w:r>
      <w:r>
        <w:rPr>
          <w:szCs w:val="22"/>
        </w:rPr>
        <w:t>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cu</w:t>
      </w:r>
      <w:r>
        <w:rPr>
          <w:spacing w:val="52"/>
          <w:szCs w:val="22"/>
        </w:rPr>
        <w:t xml:space="preserve"> </w:t>
      </w:r>
      <w:r>
        <w:rPr>
          <w:szCs w:val="22"/>
        </w:rPr>
        <w:t>res</w:t>
      </w:r>
      <w:r>
        <w:rPr>
          <w:spacing w:val="-3"/>
          <w:szCs w:val="22"/>
        </w:rPr>
        <w:t>p</w:t>
      </w:r>
      <w:r>
        <w:rPr>
          <w:szCs w:val="22"/>
        </w:rPr>
        <w:t>e</w:t>
      </w:r>
      <w:r>
        <w:rPr>
          <w:spacing w:val="-3"/>
          <w:szCs w:val="22"/>
        </w:rPr>
        <w:t>c</w:t>
      </w:r>
      <w:r>
        <w:rPr>
          <w:spacing w:val="1"/>
          <w:szCs w:val="22"/>
        </w:rPr>
        <w:t>ti</w:t>
      </w:r>
      <w:r>
        <w:rPr>
          <w:szCs w:val="22"/>
        </w:rPr>
        <w:t>v</w:t>
      </w:r>
      <w:r>
        <w:rPr>
          <w:spacing w:val="-3"/>
          <w:szCs w:val="22"/>
        </w:rPr>
        <w:t xml:space="preserve"> </w:t>
      </w:r>
      <w:r>
        <w:rPr>
          <w:szCs w:val="22"/>
        </w:rPr>
        <w:t>13,</w:t>
      </w:r>
      <w:r>
        <w:rPr>
          <w:spacing w:val="-3"/>
          <w:szCs w:val="22"/>
        </w:rPr>
        <w:t>9</w:t>
      </w:r>
      <w:r>
        <w:rPr>
          <w:spacing w:val="-2"/>
          <w:szCs w:val="22"/>
        </w:rPr>
        <w:t>%</w:t>
      </w:r>
      <w:r>
        <w:rPr>
          <w:szCs w:val="22"/>
        </w:rPr>
        <w:t>), 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 xml:space="preserve">cu </w:t>
      </w:r>
      <w:r>
        <w:rPr>
          <w:spacing w:val="-3"/>
          <w:szCs w:val="22"/>
        </w:rPr>
        <w:t>c</w:t>
      </w:r>
      <w:r>
        <w:rPr>
          <w:szCs w:val="22"/>
        </w:rPr>
        <w:t>ei d</w:t>
      </w:r>
      <w:r>
        <w:rPr>
          <w:spacing w:val="1"/>
          <w:szCs w:val="22"/>
        </w:rPr>
        <w:t>i</w:t>
      </w:r>
      <w:r>
        <w:rPr>
          <w:szCs w:val="22"/>
        </w:rPr>
        <w:t xml:space="preserve">n </w:t>
      </w:r>
      <w:r>
        <w:rPr>
          <w:spacing w:val="-3"/>
          <w:szCs w:val="22"/>
        </w:rPr>
        <w:t>g</w:t>
      </w:r>
      <w:r>
        <w:rPr>
          <w:szCs w:val="22"/>
        </w:rPr>
        <w:t>rup</w:t>
      </w:r>
      <w:r>
        <w:rPr>
          <w:spacing w:val="-3"/>
          <w:szCs w:val="22"/>
        </w:rPr>
        <w:t>u</w:t>
      </w:r>
      <w:r>
        <w:rPr>
          <w:szCs w:val="22"/>
        </w:rPr>
        <w:t>l</w:t>
      </w:r>
      <w:r>
        <w:rPr>
          <w:spacing w:val="1"/>
          <w:szCs w:val="22"/>
        </w:rPr>
        <w:t xml:space="preserve"> </w:t>
      </w:r>
      <w:r>
        <w:rPr>
          <w:rFonts w:eastAsia="MS Mincho"/>
          <w:spacing w:val="-1"/>
          <w:szCs w:val="22"/>
          <w:lang w:eastAsia="en-US" w:bidi="ar-SA"/>
        </w:rPr>
        <w:t>adalimumab</w:t>
      </w:r>
      <w:r>
        <w:rPr>
          <w:szCs w:val="22"/>
        </w:rPr>
        <w:t>.</w:t>
      </w:r>
    </w:p>
    <w:p w14:paraId="1FC36737" w14:textId="77777777" w:rsidR="00C04CAD" w:rsidRDefault="00C04CAD">
      <w:pPr>
        <w:tabs>
          <w:tab w:val="clear" w:pos="567"/>
        </w:tabs>
        <w:kinsoku w:val="0"/>
        <w:overflowPunct w:val="0"/>
        <w:autoSpaceDE w:val="0"/>
        <w:autoSpaceDN w:val="0"/>
        <w:adjustRightInd w:val="0"/>
        <w:spacing w:line="240" w:lineRule="auto"/>
        <w:rPr>
          <w:szCs w:val="22"/>
        </w:rPr>
      </w:pPr>
    </w:p>
    <w:p w14:paraId="265B7389"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săp</w:t>
      </w:r>
      <w:r>
        <w:rPr>
          <w:spacing w:val="1"/>
          <w:szCs w:val="22"/>
        </w:rPr>
        <w:t>t</w:t>
      </w:r>
      <w:r>
        <w:rPr>
          <w:szCs w:val="22"/>
        </w:rPr>
        <w:t>ă</w:t>
      </w:r>
      <w:r>
        <w:rPr>
          <w:spacing w:val="-4"/>
          <w:szCs w:val="22"/>
        </w:rPr>
        <w:t>m</w:t>
      </w:r>
      <w:r>
        <w:rPr>
          <w:szCs w:val="22"/>
        </w:rPr>
        <w:t>âna 12 f</w:t>
      </w:r>
      <w:r>
        <w:rPr>
          <w:spacing w:val="-3"/>
          <w:szCs w:val="22"/>
        </w:rPr>
        <w:t>a</w:t>
      </w:r>
      <w:r>
        <w:rPr>
          <w:spacing w:val="1"/>
          <w:szCs w:val="22"/>
        </w:rPr>
        <w:t>ț</w:t>
      </w:r>
      <w:r>
        <w:rPr>
          <w:szCs w:val="22"/>
        </w:rPr>
        <w:t xml:space="preserve">ă </w:t>
      </w:r>
      <w:r>
        <w:rPr>
          <w:spacing w:val="-3"/>
          <w:szCs w:val="22"/>
        </w:rPr>
        <w:t>d</w:t>
      </w:r>
      <w:r>
        <w:rPr>
          <w:szCs w:val="22"/>
        </w:rPr>
        <w:t xml:space="preserve">e </w:t>
      </w:r>
      <w:r>
        <w:rPr>
          <w:spacing w:val="-4"/>
          <w:szCs w:val="22"/>
        </w:rPr>
        <w:t>m</w:t>
      </w:r>
      <w:r>
        <w:rPr>
          <w:spacing w:val="2"/>
          <w:szCs w:val="22"/>
        </w:rPr>
        <w:t>o</w:t>
      </w:r>
      <w:r>
        <w:rPr>
          <w:spacing w:val="-4"/>
          <w:szCs w:val="22"/>
        </w:rPr>
        <w:t>m</w:t>
      </w:r>
      <w:r>
        <w:rPr>
          <w:szCs w:val="22"/>
        </w:rPr>
        <w:t>en</w:t>
      </w:r>
      <w:r>
        <w:rPr>
          <w:spacing w:val="1"/>
          <w:szCs w:val="22"/>
        </w:rPr>
        <w:t>t</w:t>
      </w:r>
      <w:r>
        <w:rPr>
          <w:szCs w:val="22"/>
        </w:rPr>
        <w:t>ul</w:t>
      </w:r>
      <w:r>
        <w:rPr>
          <w:spacing w:val="1"/>
          <w:szCs w:val="22"/>
        </w:rPr>
        <w:t xml:space="preserve"> i</w:t>
      </w:r>
      <w:r>
        <w:rPr>
          <w:spacing w:val="-3"/>
          <w:szCs w:val="22"/>
        </w:rPr>
        <w:t>n</w:t>
      </w:r>
      <w:r>
        <w:rPr>
          <w:spacing w:val="1"/>
          <w:szCs w:val="22"/>
        </w:rPr>
        <w:t>i</w:t>
      </w:r>
      <w:r>
        <w:rPr>
          <w:spacing w:val="-2"/>
          <w:szCs w:val="22"/>
        </w:rPr>
        <w:t>t</w:t>
      </w:r>
      <w:r>
        <w:rPr>
          <w:spacing w:val="1"/>
          <w:szCs w:val="22"/>
        </w:rPr>
        <w:t>i</w:t>
      </w:r>
      <w:r>
        <w:rPr>
          <w:spacing w:val="-3"/>
          <w:szCs w:val="22"/>
        </w:rPr>
        <w:t>a</w:t>
      </w:r>
      <w:r>
        <w:rPr>
          <w:szCs w:val="22"/>
        </w:rPr>
        <w:t>l</w:t>
      </w:r>
      <w:r>
        <w:rPr>
          <w:spacing w:val="1"/>
          <w:szCs w:val="22"/>
        </w:rPr>
        <w:t xml:space="preserve"> </w:t>
      </w:r>
      <w:r>
        <w:rPr>
          <w:szCs w:val="22"/>
        </w:rPr>
        <w:t>s</w:t>
      </w:r>
      <w:r>
        <w:rPr>
          <w:spacing w:val="-4"/>
          <w:szCs w:val="22"/>
        </w:rPr>
        <w:t>-</w:t>
      </w:r>
      <w:r>
        <w:rPr>
          <w:szCs w:val="22"/>
        </w:rPr>
        <w:t>au de</w:t>
      </w:r>
      <w:r>
        <w:rPr>
          <w:spacing w:val="-4"/>
          <w:szCs w:val="22"/>
        </w:rPr>
        <w:t>m</w:t>
      </w:r>
      <w:r>
        <w:rPr>
          <w:szCs w:val="22"/>
        </w:rPr>
        <w:t>ons</w:t>
      </w:r>
      <w:r>
        <w:rPr>
          <w:spacing w:val="1"/>
          <w:szCs w:val="22"/>
        </w:rPr>
        <w:t>t</w:t>
      </w:r>
      <w:r>
        <w:rPr>
          <w:szCs w:val="22"/>
        </w:rPr>
        <w:t>rat</w:t>
      </w:r>
      <w:r>
        <w:rPr>
          <w:spacing w:val="-2"/>
          <w:szCs w:val="22"/>
        </w:rPr>
        <w:t xml:space="preserve"> </w:t>
      </w:r>
      <w:r>
        <w:rPr>
          <w:szCs w:val="22"/>
        </w:rPr>
        <w:t>a</w:t>
      </w:r>
      <w:r>
        <w:rPr>
          <w:spacing w:val="-4"/>
          <w:szCs w:val="22"/>
        </w:rPr>
        <w:t>m</w:t>
      </w:r>
      <w:r>
        <w:rPr>
          <w:szCs w:val="22"/>
        </w:rPr>
        <w:t>e</w:t>
      </w:r>
      <w:r>
        <w:rPr>
          <w:spacing w:val="1"/>
          <w:szCs w:val="22"/>
        </w:rPr>
        <w:t>li</w:t>
      </w:r>
      <w:r>
        <w:rPr>
          <w:szCs w:val="22"/>
        </w:rPr>
        <w:t>o</w:t>
      </w:r>
      <w:r>
        <w:rPr>
          <w:spacing w:val="-2"/>
          <w:szCs w:val="22"/>
        </w:rPr>
        <w:t>r</w:t>
      </w:r>
      <w:r>
        <w:rPr>
          <w:szCs w:val="22"/>
        </w:rPr>
        <w:t>ă</w:t>
      </w:r>
      <w:r>
        <w:rPr>
          <w:spacing w:val="-2"/>
          <w:szCs w:val="22"/>
        </w:rPr>
        <w:t>r</w:t>
      </w:r>
      <w:r>
        <w:rPr>
          <w:szCs w:val="22"/>
        </w:rPr>
        <w:t>i</w:t>
      </w:r>
      <w:r>
        <w:rPr>
          <w:spacing w:val="1"/>
          <w:szCs w:val="22"/>
        </w:rPr>
        <w:t xml:space="preserve"> </w:t>
      </w:r>
      <w:r>
        <w:rPr>
          <w:spacing w:val="-4"/>
          <w:szCs w:val="22"/>
        </w:rPr>
        <w:t>m</w:t>
      </w:r>
      <w:r>
        <w:rPr>
          <w:szCs w:val="22"/>
        </w:rPr>
        <w:t>ai</w:t>
      </w:r>
      <w:r>
        <w:rPr>
          <w:spacing w:val="1"/>
          <w:szCs w:val="22"/>
        </w:rPr>
        <w:t xml:space="preserve"> i</w:t>
      </w:r>
      <w:r>
        <w:rPr>
          <w:spacing w:val="-4"/>
          <w:szCs w:val="22"/>
        </w:rPr>
        <w:t>m</w:t>
      </w:r>
      <w:r>
        <w:rPr>
          <w:szCs w:val="22"/>
        </w:rPr>
        <w:t>por</w:t>
      </w:r>
      <w:r>
        <w:rPr>
          <w:spacing w:val="1"/>
          <w:szCs w:val="22"/>
        </w:rPr>
        <w:t>t</w:t>
      </w:r>
      <w:r>
        <w:rPr>
          <w:szCs w:val="22"/>
        </w:rPr>
        <w:t>a</w:t>
      </w:r>
      <w:r>
        <w:rPr>
          <w:spacing w:val="-3"/>
          <w:szCs w:val="22"/>
        </w:rPr>
        <w:t>n</w:t>
      </w:r>
      <w:r>
        <w:rPr>
          <w:spacing w:val="1"/>
          <w:szCs w:val="22"/>
        </w:rPr>
        <w:t>t</w:t>
      </w:r>
      <w:r>
        <w:rPr>
          <w:szCs w:val="22"/>
        </w:rPr>
        <w:t>e 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cu p</w:t>
      </w:r>
      <w:r>
        <w:rPr>
          <w:spacing w:val="1"/>
          <w:szCs w:val="22"/>
        </w:rPr>
        <w:t>l</w:t>
      </w:r>
      <w:r>
        <w:rPr>
          <w:szCs w:val="22"/>
        </w:rPr>
        <w:t>a</w:t>
      </w:r>
      <w:r>
        <w:rPr>
          <w:spacing w:val="-3"/>
          <w:szCs w:val="22"/>
        </w:rPr>
        <w:t>c</w:t>
      </w:r>
      <w:r>
        <w:rPr>
          <w:szCs w:val="22"/>
        </w:rPr>
        <w:t xml:space="preserve">ebo </w:t>
      </w:r>
      <w:r>
        <w:rPr>
          <w:spacing w:val="-3"/>
          <w:szCs w:val="22"/>
        </w:rPr>
        <w:t>a</w:t>
      </w:r>
      <w:r>
        <w:rPr>
          <w:spacing w:val="1"/>
          <w:szCs w:val="22"/>
        </w:rPr>
        <w:t>l</w:t>
      </w:r>
      <w:r>
        <w:rPr>
          <w:szCs w:val="22"/>
        </w:rPr>
        <w:t>e</w:t>
      </w:r>
      <w:r>
        <w:rPr>
          <w:spacing w:val="-2"/>
          <w:szCs w:val="22"/>
        </w:rPr>
        <w:t xml:space="preserve"> </w:t>
      </w:r>
      <w:r>
        <w:rPr>
          <w:szCs w:val="22"/>
        </w:rPr>
        <w:t>ca</w:t>
      </w:r>
      <w:r>
        <w:rPr>
          <w:spacing w:val="-2"/>
          <w:szCs w:val="22"/>
        </w:rPr>
        <w:t>l</w:t>
      </w:r>
      <w:r>
        <w:rPr>
          <w:spacing w:val="1"/>
          <w:szCs w:val="22"/>
        </w:rPr>
        <w:t>i</w:t>
      </w:r>
      <w:r>
        <w:rPr>
          <w:spacing w:val="-2"/>
          <w:szCs w:val="22"/>
        </w:rPr>
        <w:t>t</w:t>
      </w:r>
      <w:r>
        <w:rPr>
          <w:szCs w:val="22"/>
        </w:rPr>
        <w:t>ă</w:t>
      </w:r>
      <w:r>
        <w:rPr>
          <w:spacing w:val="-2"/>
          <w:szCs w:val="22"/>
        </w:rPr>
        <w:t>ţ</w:t>
      </w:r>
      <w:r>
        <w:rPr>
          <w:spacing w:val="1"/>
          <w:szCs w:val="22"/>
        </w:rPr>
        <w:t>i</w:t>
      </w:r>
      <w:r>
        <w:rPr>
          <w:szCs w:val="22"/>
        </w:rPr>
        <w:t xml:space="preserve">i </w:t>
      </w:r>
      <w:r>
        <w:rPr>
          <w:spacing w:val="-3"/>
          <w:szCs w:val="22"/>
        </w:rPr>
        <w:t>v</w:t>
      </w:r>
      <w:r>
        <w:rPr>
          <w:spacing w:val="1"/>
          <w:szCs w:val="22"/>
        </w:rPr>
        <w:t>i</w:t>
      </w:r>
      <w:r>
        <w:rPr>
          <w:spacing w:val="-3"/>
          <w:szCs w:val="22"/>
        </w:rPr>
        <w:t>e</w:t>
      </w:r>
      <w:r>
        <w:rPr>
          <w:spacing w:val="-2"/>
          <w:szCs w:val="22"/>
        </w:rPr>
        <w:t>ţ</w:t>
      </w:r>
      <w:r>
        <w:rPr>
          <w:spacing w:val="1"/>
          <w:szCs w:val="22"/>
        </w:rPr>
        <w:t>i</w:t>
      </w:r>
      <w:r>
        <w:rPr>
          <w:szCs w:val="22"/>
        </w:rPr>
        <w:t>i</w:t>
      </w:r>
      <w:r>
        <w:rPr>
          <w:spacing w:val="-2"/>
          <w:szCs w:val="22"/>
        </w:rPr>
        <w:t xml:space="preserve"> </w:t>
      </w:r>
      <w:r>
        <w:rPr>
          <w:spacing w:val="1"/>
          <w:szCs w:val="22"/>
        </w:rPr>
        <w:t>l</w:t>
      </w:r>
      <w:r>
        <w:rPr>
          <w:spacing w:val="-3"/>
          <w:szCs w:val="22"/>
        </w:rPr>
        <w:t>eg</w:t>
      </w:r>
      <w:r>
        <w:rPr>
          <w:szCs w:val="22"/>
        </w:rPr>
        <w:t>a</w:t>
      </w:r>
      <w:r>
        <w:rPr>
          <w:spacing w:val="1"/>
          <w:szCs w:val="22"/>
        </w:rPr>
        <w:t>t</w:t>
      </w:r>
      <w:r>
        <w:rPr>
          <w:szCs w:val="22"/>
        </w:rPr>
        <w:t xml:space="preserve">e de </w:t>
      </w:r>
      <w:r>
        <w:rPr>
          <w:spacing w:val="-2"/>
          <w:szCs w:val="22"/>
        </w:rPr>
        <w:t>s</w:t>
      </w:r>
      <w:r>
        <w:rPr>
          <w:szCs w:val="22"/>
        </w:rPr>
        <w:t>ăn</w:t>
      </w:r>
      <w:r>
        <w:rPr>
          <w:spacing w:val="-3"/>
          <w:szCs w:val="22"/>
        </w:rPr>
        <w:t>ă</w:t>
      </w:r>
      <w:r>
        <w:rPr>
          <w:spacing w:val="1"/>
          <w:szCs w:val="22"/>
        </w:rPr>
        <w:t>t</w:t>
      </w:r>
      <w:r>
        <w:rPr>
          <w:szCs w:val="22"/>
        </w:rPr>
        <w:t>a</w:t>
      </w:r>
      <w:r>
        <w:rPr>
          <w:spacing w:val="-2"/>
          <w:szCs w:val="22"/>
        </w:rPr>
        <w:t>t</w:t>
      </w:r>
      <w:r>
        <w:rPr>
          <w:szCs w:val="22"/>
        </w:rPr>
        <w:t xml:space="preserve">ea </w:t>
      </w:r>
      <w:r>
        <w:rPr>
          <w:spacing w:val="-3"/>
          <w:szCs w:val="22"/>
        </w:rPr>
        <w:t>d</w:t>
      </w:r>
      <w:r>
        <w:rPr>
          <w:szCs w:val="22"/>
        </w:rPr>
        <w:t>er</w:t>
      </w:r>
      <w:r>
        <w:rPr>
          <w:spacing w:val="-4"/>
          <w:szCs w:val="22"/>
        </w:rPr>
        <w:t>m</w:t>
      </w:r>
      <w:r>
        <w:rPr>
          <w:szCs w:val="22"/>
        </w:rPr>
        <w:t>a</w:t>
      </w:r>
      <w:r>
        <w:rPr>
          <w:spacing w:val="1"/>
          <w:szCs w:val="22"/>
        </w:rPr>
        <w:t>t</w:t>
      </w:r>
      <w:r>
        <w:rPr>
          <w:szCs w:val="22"/>
        </w:rPr>
        <w:t>o</w:t>
      </w:r>
      <w:r>
        <w:rPr>
          <w:spacing w:val="1"/>
          <w:szCs w:val="22"/>
        </w:rPr>
        <w:t>l</w:t>
      </w:r>
      <w:r>
        <w:rPr>
          <w:spacing w:val="-3"/>
          <w:szCs w:val="22"/>
        </w:rPr>
        <w:t>og</w:t>
      </w:r>
      <w:r>
        <w:rPr>
          <w:spacing w:val="1"/>
          <w:szCs w:val="22"/>
        </w:rPr>
        <w:t>i</w:t>
      </w:r>
      <w:r>
        <w:rPr>
          <w:szCs w:val="22"/>
        </w:rPr>
        <w:t>că</w:t>
      </w:r>
      <w:r>
        <w:rPr>
          <w:spacing w:val="-1"/>
          <w:szCs w:val="22"/>
        </w:rPr>
        <w:t xml:space="preserve"> </w:t>
      </w:r>
      <w:r>
        <w:rPr>
          <w:szCs w:val="22"/>
        </w:rPr>
        <w:t>sp</w:t>
      </w:r>
      <w:r>
        <w:rPr>
          <w:spacing w:val="-3"/>
          <w:szCs w:val="22"/>
        </w:rPr>
        <w:t>e</w:t>
      </w:r>
      <w:r>
        <w:rPr>
          <w:szCs w:val="22"/>
        </w:rPr>
        <w:t>c</w:t>
      </w:r>
      <w:r>
        <w:rPr>
          <w:spacing w:val="-2"/>
          <w:szCs w:val="22"/>
        </w:rPr>
        <w:t>i</w:t>
      </w:r>
      <w:r>
        <w:rPr>
          <w:szCs w:val="22"/>
        </w:rPr>
        <w:t>f</w:t>
      </w:r>
      <w:r>
        <w:rPr>
          <w:spacing w:val="1"/>
          <w:szCs w:val="22"/>
        </w:rPr>
        <w:t>i</w:t>
      </w:r>
      <w:r>
        <w:rPr>
          <w:spacing w:val="-3"/>
          <w:szCs w:val="22"/>
        </w:rPr>
        <w:t>c</w:t>
      </w:r>
      <w:r>
        <w:rPr>
          <w:szCs w:val="22"/>
        </w:rPr>
        <w:t xml:space="preserve">ă, </w:t>
      </w:r>
      <w:r>
        <w:rPr>
          <w:spacing w:val="-4"/>
          <w:szCs w:val="22"/>
        </w:rPr>
        <w:t>m</w:t>
      </w:r>
      <w:r>
        <w:rPr>
          <w:szCs w:val="22"/>
        </w:rPr>
        <w:t>ăsur</w:t>
      </w:r>
      <w:r>
        <w:rPr>
          <w:spacing w:val="-3"/>
          <w:szCs w:val="22"/>
        </w:rPr>
        <w:t>a</w:t>
      </w:r>
      <w:r>
        <w:rPr>
          <w:spacing w:val="1"/>
          <w:szCs w:val="22"/>
        </w:rPr>
        <w:t>t</w:t>
      </w:r>
      <w:r>
        <w:rPr>
          <w:szCs w:val="22"/>
        </w:rPr>
        <w:t xml:space="preserve">ă </w:t>
      </w:r>
      <w:r>
        <w:rPr>
          <w:spacing w:val="-3"/>
          <w:szCs w:val="22"/>
        </w:rPr>
        <w:t>p</w:t>
      </w:r>
      <w:r>
        <w:rPr>
          <w:szCs w:val="22"/>
        </w:rPr>
        <w:t>r</w:t>
      </w:r>
      <w:r>
        <w:rPr>
          <w:spacing w:val="-2"/>
          <w:szCs w:val="22"/>
        </w:rPr>
        <w:t>i</w:t>
      </w:r>
      <w:r>
        <w:rPr>
          <w:szCs w:val="22"/>
        </w:rPr>
        <w:t xml:space="preserve">n </w:t>
      </w:r>
      <w:r>
        <w:rPr>
          <w:spacing w:val="-4"/>
          <w:szCs w:val="22"/>
        </w:rPr>
        <w:t>I</w:t>
      </w:r>
      <w:r>
        <w:rPr>
          <w:spacing w:val="-1"/>
          <w:szCs w:val="22"/>
        </w:rPr>
        <w:t>n</w:t>
      </w:r>
      <w:r>
        <w:rPr>
          <w:szCs w:val="22"/>
        </w:rPr>
        <w:t>d</w:t>
      </w:r>
      <w:r>
        <w:rPr>
          <w:spacing w:val="1"/>
          <w:szCs w:val="22"/>
        </w:rPr>
        <w:t>i</w:t>
      </w:r>
      <w:r>
        <w:rPr>
          <w:szCs w:val="22"/>
        </w:rPr>
        <w:t>ce</w:t>
      </w:r>
      <w:r>
        <w:rPr>
          <w:spacing w:val="1"/>
          <w:szCs w:val="22"/>
        </w:rPr>
        <w:t>l</w:t>
      </w:r>
      <w:r>
        <w:rPr>
          <w:szCs w:val="22"/>
        </w:rPr>
        <w:t xml:space="preserve">e </w:t>
      </w:r>
      <w:r>
        <w:rPr>
          <w:spacing w:val="-1"/>
          <w:szCs w:val="22"/>
        </w:rPr>
        <w:t>D</w:t>
      </w:r>
      <w:r>
        <w:rPr>
          <w:szCs w:val="22"/>
        </w:rPr>
        <w:t>er</w:t>
      </w:r>
      <w:r>
        <w:rPr>
          <w:spacing w:val="-4"/>
          <w:szCs w:val="22"/>
        </w:rPr>
        <w:t>m</w:t>
      </w:r>
      <w:r>
        <w:rPr>
          <w:szCs w:val="22"/>
        </w:rPr>
        <w:t>a</w:t>
      </w:r>
      <w:r>
        <w:rPr>
          <w:spacing w:val="1"/>
          <w:szCs w:val="22"/>
        </w:rPr>
        <w:t>t</w:t>
      </w:r>
      <w:r>
        <w:rPr>
          <w:szCs w:val="22"/>
        </w:rPr>
        <w:t>o</w:t>
      </w:r>
      <w:r>
        <w:rPr>
          <w:spacing w:val="1"/>
          <w:szCs w:val="22"/>
        </w:rPr>
        <w:t>l</w:t>
      </w:r>
      <w:r>
        <w:rPr>
          <w:szCs w:val="22"/>
        </w:rPr>
        <w:t>o</w:t>
      </w:r>
      <w:r>
        <w:rPr>
          <w:spacing w:val="-3"/>
          <w:szCs w:val="22"/>
        </w:rPr>
        <w:t>g</w:t>
      </w:r>
      <w:r>
        <w:rPr>
          <w:spacing w:val="1"/>
          <w:szCs w:val="22"/>
        </w:rPr>
        <w:t>i</w:t>
      </w:r>
      <w:r>
        <w:rPr>
          <w:szCs w:val="22"/>
        </w:rPr>
        <w:t xml:space="preserve">c </w:t>
      </w:r>
      <w:r>
        <w:rPr>
          <w:spacing w:val="-3"/>
          <w:szCs w:val="22"/>
        </w:rPr>
        <w:t>p</w:t>
      </w:r>
      <w:r>
        <w:rPr>
          <w:szCs w:val="22"/>
        </w:rPr>
        <w:t>r</w:t>
      </w:r>
      <w:r>
        <w:rPr>
          <w:spacing w:val="1"/>
          <w:szCs w:val="22"/>
        </w:rPr>
        <w:t>i</w:t>
      </w:r>
      <w:r>
        <w:rPr>
          <w:spacing w:val="-3"/>
          <w:szCs w:val="22"/>
        </w:rPr>
        <w:t>v</w:t>
      </w:r>
      <w:r>
        <w:rPr>
          <w:spacing w:val="1"/>
          <w:szCs w:val="22"/>
        </w:rPr>
        <w:t>i</w:t>
      </w:r>
      <w:r>
        <w:rPr>
          <w:szCs w:val="22"/>
        </w:rPr>
        <w:t xml:space="preserve">nd </w:t>
      </w:r>
      <w:r>
        <w:rPr>
          <w:spacing w:val="-1"/>
          <w:szCs w:val="22"/>
        </w:rPr>
        <w:t>C</w:t>
      </w:r>
      <w:r>
        <w:rPr>
          <w:spacing w:val="-3"/>
          <w:szCs w:val="22"/>
        </w:rPr>
        <w:t>a</w:t>
      </w:r>
      <w:r>
        <w:rPr>
          <w:spacing w:val="-2"/>
          <w:szCs w:val="22"/>
        </w:rPr>
        <w:t>l</w:t>
      </w:r>
      <w:r>
        <w:rPr>
          <w:spacing w:val="1"/>
          <w:szCs w:val="22"/>
        </w:rPr>
        <w:t>i</w:t>
      </w:r>
      <w:r>
        <w:rPr>
          <w:spacing w:val="-2"/>
          <w:szCs w:val="22"/>
        </w:rPr>
        <w:t>t</w:t>
      </w:r>
      <w:r>
        <w:rPr>
          <w:szCs w:val="22"/>
        </w:rPr>
        <w:t>a</w:t>
      </w:r>
      <w:r>
        <w:rPr>
          <w:spacing w:val="1"/>
          <w:szCs w:val="22"/>
        </w:rPr>
        <w:t>t</w:t>
      </w:r>
      <w:r>
        <w:rPr>
          <w:szCs w:val="22"/>
        </w:rPr>
        <w:t>ea</w:t>
      </w:r>
      <w:r>
        <w:rPr>
          <w:spacing w:val="-2"/>
          <w:szCs w:val="22"/>
        </w:rPr>
        <w:t xml:space="preserve"> </w:t>
      </w:r>
      <w:r>
        <w:rPr>
          <w:spacing w:val="-1"/>
          <w:szCs w:val="22"/>
        </w:rPr>
        <w:t>V</w:t>
      </w:r>
      <w:r>
        <w:rPr>
          <w:spacing w:val="1"/>
          <w:szCs w:val="22"/>
        </w:rPr>
        <w:t>i</w:t>
      </w:r>
      <w:r>
        <w:rPr>
          <w:spacing w:val="-3"/>
          <w:szCs w:val="22"/>
        </w:rPr>
        <w:t>e</w:t>
      </w:r>
      <w:r>
        <w:rPr>
          <w:spacing w:val="1"/>
          <w:szCs w:val="22"/>
        </w:rPr>
        <w:t>ţ</w:t>
      </w:r>
      <w:r>
        <w:rPr>
          <w:spacing w:val="-2"/>
          <w:szCs w:val="22"/>
        </w:rPr>
        <w:t>i</w:t>
      </w:r>
      <w:r>
        <w:rPr>
          <w:szCs w:val="22"/>
        </w:rPr>
        <w:t>i (</w:t>
      </w:r>
      <w:r>
        <w:rPr>
          <w:spacing w:val="-2"/>
          <w:szCs w:val="22"/>
        </w:rPr>
        <w:t>D</w:t>
      </w:r>
      <w:r>
        <w:rPr>
          <w:spacing w:val="-1"/>
          <w:szCs w:val="22"/>
        </w:rPr>
        <w:t>LQ</w:t>
      </w:r>
      <w:r>
        <w:rPr>
          <w:spacing w:val="-4"/>
          <w:szCs w:val="22"/>
        </w:rPr>
        <w:t>I</w:t>
      </w:r>
      <w:r>
        <w:rPr>
          <w:szCs w:val="22"/>
        </w:rPr>
        <w:t xml:space="preserve">, </w:t>
      </w:r>
      <w:r>
        <w:rPr>
          <w:spacing w:val="-1"/>
          <w:szCs w:val="22"/>
        </w:rPr>
        <w:t>S</w:t>
      </w:r>
      <w:r>
        <w:rPr>
          <w:spacing w:val="1"/>
          <w:szCs w:val="22"/>
        </w:rPr>
        <w:t>t</w:t>
      </w:r>
      <w:r>
        <w:rPr>
          <w:szCs w:val="22"/>
        </w:rPr>
        <w:t>ud</w:t>
      </w:r>
      <w:r>
        <w:rPr>
          <w:spacing w:val="1"/>
          <w:szCs w:val="22"/>
        </w:rPr>
        <w:t>i</w:t>
      </w:r>
      <w:r>
        <w:rPr>
          <w:spacing w:val="-2"/>
          <w:szCs w:val="22"/>
        </w:rPr>
        <w:t>i</w:t>
      </w:r>
      <w:r>
        <w:rPr>
          <w:spacing w:val="1"/>
          <w:szCs w:val="22"/>
        </w:rPr>
        <w:t>l</w:t>
      </w:r>
      <w:r>
        <w:rPr>
          <w:szCs w:val="22"/>
        </w:rPr>
        <w:t>e</w:t>
      </w:r>
      <w:r>
        <w:rPr>
          <w:spacing w:val="-2"/>
          <w:szCs w:val="22"/>
        </w:rPr>
        <w:t xml:space="preserve"> H</w:t>
      </w:r>
      <w:r>
        <w:rPr>
          <w:spacing w:val="2"/>
          <w:szCs w:val="22"/>
        </w:rPr>
        <w:t>S</w:t>
      </w:r>
      <w:r>
        <w:rPr>
          <w:spacing w:val="-2"/>
          <w:szCs w:val="22"/>
        </w:rPr>
        <w:t>-</w:t>
      </w:r>
      <w:r>
        <w:rPr>
          <w:szCs w:val="22"/>
        </w:rPr>
        <w:t>I</w:t>
      </w:r>
      <w:r>
        <w:rPr>
          <w:spacing w:val="-4"/>
          <w:szCs w:val="22"/>
        </w:rPr>
        <w:t xml:space="preserve"> </w:t>
      </w:r>
      <w:r>
        <w:rPr>
          <w:szCs w:val="22"/>
        </w:rPr>
        <w:t>și</w:t>
      </w:r>
      <w:r>
        <w:rPr>
          <w:spacing w:val="1"/>
          <w:szCs w:val="22"/>
        </w:rPr>
        <w:t xml:space="preserve"> </w:t>
      </w:r>
      <w:r>
        <w:rPr>
          <w:spacing w:val="-1"/>
          <w:szCs w:val="22"/>
        </w:rPr>
        <w:t>H</w:t>
      </w:r>
      <w:r>
        <w:rPr>
          <w:spacing w:val="2"/>
          <w:szCs w:val="22"/>
        </w:rPr>
        <w:t>S</w:t>
      </w:r>
      <w:r>
        <w:rPr>
          <w:spacing w:val="-2"/>
          <w:szCs w:val="22"/>
        </w:rPr>
        <w:t>-II</w:t>
      </w:r>
      <w:r>
        <w:rPr>
          <w:szCs w:val="22"/>
        </w:rPr>
        <w:t>), a</w:t>
      </w:r>
      <w:r>
        <w:rPr>
          <w:spacing w:val="1"/>
          <w:szCs w:val="22"/>
        </w:rPr>
        <w:t>l</w:t>
      </w:r>
      <w:r>
        <w:rPr>
          <w:szCs w:val="22"/>
        </w:rPr>
        <w:t xml:space="preserve">e </w:t>
      </w:r>
      <w:r>
        <w:rPr>
          <w:spacing w:val="-2"/>
          <w:szCs w:val="22"/>
        </w:rPr>
        <w:t>s</w:t>
      </w:r>
      <w:r>
        <w:rPr>
          <w:szCs w:val="22"/>
        </w:rPr>
        <w:t>a</w:t>
      </w:r>
      <w:r>
        <w:rPr>
          <w:spacing w:val="-2"/>
          <w:szCs w:val="22"/>
        </w:rPr>
        <w:t>t</w:t>
      </w:r>
      <w:r>
        <w:rPr>
          <w:spacing w:val="1"/>
          <w:szCs w:val="22"/>
        </w:rPr>
        <w:t>i</w:t>
      </w:r>
      <w:r>
        <w:rPr>
          <w:szCs w:val="22"/>
        </w:rPr>
        <w:t>s</w:t>
      </w:r>
      <w:r>
        <w:rPr>
          <w:spacing w:val="-2"/>
          <w:szCs w:val="22"/>
        </w:rPr>
        <w:t>f</w:t>
      </w:r>
      <w:r>
        <w:rPr>
          <w:szCs w:val="22"/>
        </w:rPr>
        <w:t>a</w:t>
      </w:r>
      <w:r>
        <w:rPr>
          <w:spacing w:val="-3"/>
          <w:szCs w:val="22"/>
        </w:rPr>
        <w:t>c</w:t>
      </w:r>
      <w:r>
        <w:rPr>
          <w:spacing w:val="-2"/>
          <w:szCs w:val="22"/>
        </w:rPr>
        <w:t>ț</w:t>
      </w:r>
      <w:r>
        <w:rPr>
          <w:szCs w:val="22"/>
        </w:rPr>
        <w:t>iei</w:t>
      </w:r>
      <w:r>
        <w:rPr>
          <w:spacing w:val="1"/>
          <w:szCs w:val="22"/>
        </w:rPr>
        <w:t xml:space="preserve"> </w:t>
      </w:r>
      <w:r>
        <w:rPr>
          <w:spacing w:val="-3"/>
          <w:szCs w:val="22"/>
        </w:rPr>
        <w:t>g</w:t>
      </w:r>
      <w:r>
        <w:rPr>
          <w:spacing w:val="1"/>
          <w:szCs w:val="22"/>
        </w:rPr>
        <w:t>l</w:t>
      </w:r>
      <w:r>
        <w:rPr>
          <w:szCs w:val="22"/>
        </w:rPr>
        <w:t>o</w:t>
      </w:r>
      <w:r>
        <w:rPr>
          <w:spacing w:val="-3"/>
          <w:szCs w:val="22"/>
        </w:rPr>
        <w:t>b</w:t>
      </w:r>
      <w:r>
        <w:rPr>
          <w:szCs w:val="22"/>
        </w:rPr>
        <w:t>a</w:t>
      </w:r>
      <w:r>
        <w:rPr>
          <w:spacing w:val="-2"/>
          <w:szCs w:val="22"/>
        </w:rPr>
        <w:t>l</w:t>
      </w:r>
      <w:r>
        <w:rPr>
          <w:szCs w:val="22"/>
        </w:rPr>
        <w:t>e a pac</w:t>
      </w:r>
      <w:r>
        <w:rPr>
          <w:spacing w:val="-2"/>
          <w:szCs w:val="22"/>
        </w:rPr>
        <w:t>i</w:t>
      </w:r>
      <w:r>
        <w:rPr>
          <w:szCs w:val="22"/>
        </w:rPr>
        <w:t>en</w:t>
      </w:r>
      <w:r>
        <w:rPr>
          <w:spacing w:val="1"/>
          <w:szCs w:val="22"/>
        </w:rPr>
        <w:t>t</w:t>
      </w:r>
      <w:r>
        <w:rPr>
          <w:spacing w:val="-3"/>
          <w:szCs w:val="22"/>
        </w:rPr>
        <w:t>u</w:t>
      </w:r>
      <w:r>
        <w:rPr>
          <w:spacing w:val="1"/>
          <w:szCs w:val="22"/>
        </w:rPr>
        <w:t>l</w:t>
      </w:r>
      <w:r>
        <w:rPr>
          <w:spacing w:val="-3"/>
          <w:szCs w:val="22"/>
        </w:rPr>
        <w:t>u</w:t>
      </w:r>
      <w:r>
        <w:rPr>
          <w:szCs w:val="22"/>
        </w:rPr>
        <w:t>i</w:t>
      </w:r>
      <w:r>
        <w:rPr>
          <w:spacing w:val="1"/>
          <w:szCs w:val="22"/>
        </w:rPr>
        <w:t xml:space="preserve"> </w:t>
      </w:r>
      <w:r>
        <w:rPr>
          <w:spacing w:val="-2"/>
          <w:szCs w:val="22"/>
        </w:rPr>
        <w:t>f</w:t>
      </w:r>
      <w:r>
        <w:rPr>
          <w:szCs w:val="22"/>
        </w:rPr>
        <w:t>a</w:t>
      </w:r>
      <w:r>
        <w:rPr>
          <w:spacing w:val="1"/>
          <w:szCs w:val="22"/>
        </w:rPr>
        <w:t>ţ</w:t>
      </w:r>
      <w:r>
        <w:rPr>
          <w:szCs w:val="22"/>
        </w:rPr>
        <w:t>ă</w:t>
      </w:r>
      <w:r>
        <w:rPr>
          <w:spacing w:val="-2"/>
          <w:szCs w:val="22"/>
        </w:rPr>
        <w:t xml:space="preserve"> </w:t>
      </w:r>
      <w:r>
        <w:rPr>
          <w:szCs w:val="22"/>
        </w:rPr>
        <w:t>de</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4"/>
          <w:szCs w:val="22"/>
        </w:rPr>
        <w:t>m</w:t>
      </w:r>
      <w:r>
        <w:rPr>
          <w:szCs w:val="22"/>
        </w:rPr>
        <w:t>ed</w:t>
      </w:r>
      <w:r>
        <w:rPr>
          <w:spacing w:val="1"/>
          <w:szCs w:val="22"/>
        </w:rPr>
        <w:t>i</w:t>
      </w:r>
      <w:r>
        <w:rPr>
          <w:spacing w:val="-3"/>
          <w:szCs w:val="22"/>
        </w:rPr>
        <w:t>c</w:t>
      </w:r>
      <w:r>
        <w:rPr>
          <w:szCs w:val="22"/>
        </w:rPr>
        <w:t>a</w:t>
      </w:r>
      <w:r>
        <w:rPr>
          <w:spacing w:val="-5"/>
          <w:szCs w:val="22"/>
        </w:rPr>
        <w:t>m</w:t>
      </w:r>
      <w:r>
        <w:rPr>
          <w:szCs w:val="22"/>
        </w:rPr>
        <w:t>en</w:t>
      </w:r>
      <w:r>
        <w:rPr>
          <w:spacing w:val="1"/>
          <w:szCs w:val="22"/>
        </w:rPr>
        <w:t>t</w:t>
      </w:r>
      <w:r>
        <w:rPr>
          <w:szCs w:val="22"/>
        </w:rPr>
        <w:t xml:space="preserve">os, </w:t>
      </w:r>
      <w:r>
        <w:rPr>
          <w:spacing w:val="-4"/>
          <w:szCs w:val="22"/>
        </w:rPr>
        <w:t>m</w:t>
      </w:r>
      <w:r>
        <w:rPr>
          <w:szCs w:val="22"/>
        </w:rPr>
        <w:t>ăsur</w:t>
      </w:r>
      <w:r>
        <w:rPr>
          <w:spacing w:val="-3"/>
          <w:szCs w:val="22"/>
        </w:rPr>
        <w:t>a</w:t>
      </w:r>
      <w:r>
        <w:rPr>
          <w:spacing w:val="-2"/>
          <w:szCs w:val="22"/>
        </w:rPr>
        <w:t>t</w:t>
      </w:r>
      <w:r>
        <w:rPr>
          <w:szCs w:val="22"/>
        </w:rPr>
        <w:t>ă p</w:t>
      </w:r>
      <w:r>
        <w:rPr>
          <w:spacing w:val="-2"/>
          <w:szCs w:val="22"/>
        </w:rPr>
        <w:t>r</w:t>
      </w:r>
      <w:r>
        <w:rPr>
          <w:spacing w:val="1"/>
          <w:szCs w:val="22"/>
        </w:rPr>
        <w:t>i</w:t>
      </w:r>
      <w:r>
        <w:rPr>
          <w:szCs w:val="22"/>
        </w:rPr>
        <w:t xml:space="preserve">n </w:t>
      </w:r>
      <w:r>
        <w:rPr>
          <w:spacing w:val="-1"/>
          <w:szCs w:val="22"/>
        </w:rPr>
        <w:t>C</w:t>
      </w:r>
      <w:r>
        <w:rPr>
          <w:szCs w:val="22"/>
        </w:rPr>
        <w:t>he</w:t>
      </w:r>
      <w:r>
        <w:rPr>
          <w:spacing w:val="-2"/>
          <w:szCs w:val="22"/>
        </w:rPr>
        <w:t>st</w:t>
      </w:r>
      <w:r>
        <w:rPr>
          <w:spacing w:val="1"/>
          <w:szCs w:val="22"/>
        </w:rPr>
        <w:t>i</w:t>
      </w:r>
      <w:r>
        <w:rPr>
          <w:szCs w:val="22"/>
        </w:rPr>
        <w:t>on</w:t>
      </w:r>
      <w:r>
        <w:rPr>
          <w:spacing w:val="-3"/>
          <w:szCs w:val="22"/>
        </w:rPr>
        <w:t>a</w:t>
      </w:r>
      <w:r>
        <w:rPr>
          <w:szCs w:val="22"/>
        </w:rPr>
        <w:t>rul</w:t>
      </w:r>
      <w:r>
        <w:rPr>
          <w:spacing w:val="-2"/>
          <w:szCs w:val="22"/>
        </w:rPr>
        <w:t xml:space="preserve"> </w:t>
      </w:r>
      <w:r>
        <w:rPr>
          <w:szCs w:val="22"/>
        </w:rPr>
        <w:t xml:space="preserve">de </w:t>
      </w:r>
      <w:r>
        <w:rPr>
          <w:spacing w:val="-1"/>
          <w:szCs w:val="22"/>
        </w:rPr>
        <w:t>S</w:t>
      </w:r>
      <w:r>
        <w:rPr>
          <w:spacing w:val="-2"/>
          <w:szCs w:val="22"/>
        </w:rPr>
        <w:t>a</w:t>
      </w:r>
      <w:r>
        <w:rPr>
          <w:spacing w:val="1"/>
          <w:szCs w:val="22"/>
        </w:rPr>
        <w:t>t</w:t>
      </w:r>
      <w:r>
        <w:rPr>
          <w:spacing w:val="-2"/>
          <w:szCs w:val="22"/>
        </w:rPr>
        <w:t>is</w:t>
      </w:r>
      <w:r>
        <w:rPr>
          <w:szCs w:val="22"/>
        </w:rPr>
        <w:t>fa</w:t>
      </w:r>
      <w:r>
        <w:rPr>
          <w:spacing w:val="-2"/>
          <w:szCs w:val="22"/>
        </w:rPr>
        <w:t>c</w:t>
      </w:r>
      <w:r>
        <w:rPr>
          <w:spacing w:val="1"/>
          <w:szCs w:val="22"/>
        </w:rPr>
        <w:t>ți</w:t>
      </w:r>
      <w:r>
        <w:rPr>
          <w:szCs w:val="22"/>
        </w:rPr>
        <w:t>e</w:t>
      </w:r>
      <w:r>
        <w:rPr>
          <w:spacing w:val="-2"/>
          <w:szCs w:val="22"/>
        </w:rPr>
        <w:t xml:space="preserve"> </w:t>
      </w:r>
      <w:r>
        <w:rPr>
          <w:szCs w:val="22"/>
        </w:rPr>
        <w:t>a p</w:t>
      </w:r>
      <w:r>
        <w:rPr>
          <w:spacing w:val="-3"/>
          <w:szCs w:val="22"/>
        </w:rPr>
        <w:t>a</w:t>
      </w:r>
      <w:r>
        <w:rPr>
          <w:szCs w:val="22"/>
        </w:rPr>
        <w:t>c</w:t>
      </w:r>
      <w:r>
        <w:rPr>
          <w:spacing w:val="-2"/>
          <w:szCs w:val="22"/>
        </w:rPr>
        <w:t>i</w:t>
      </w:r>
      <w:r>
        <w:rPr>
          <w:szCs w:val="22"/>
        </w:rPr>
        <w:t>en</w:t>
      </w:r>
      <w:r>
        <w:rPr>
          <w:spacing w:val="1"/>
          <w:szCs w:val="22"/>
        </w:rPr>
        <w:t>t</w:t>
      </w:r>
      <w:r>
        <w:rPr>
          <w:spacing w:val="-3"/>
          <w:szCs w:val="22"/>
        </w:rPr>
        <w:t>u</w:t>
      </w:r>
      <w:r>
        <w:rPr>
          <w:spacing w:val="1"/>
          <w:szCs w:val="22"/>
        </w:rPr>
        <w:t>l</w:t>
      </w:r>
      <w:r>
        <w:rPr>
          <w:spacing w:val="-3"/>
          <w:szCs w:val="22"/>
        </w:rPr>
        <w:t>u</w:t>
      </w:r>
      <w:r>
        <w:rPr>
          <w:szCs w:val="22"/>
        </w:rPr>
        <w:t>i</w:t>
      </w:r>
      <w:r>
        <w:rPr>
          <w:szCs w:val="22"/>
        </w:rPr>
        <w:noBreakHyphen/>
      </w:r>
      <w:r>
        <w:rPr>
          <w:spacing w:val="1"/>
          <w:szCs w:val="22"/>
        </w:rPr>
        <w:t>l</w:t>
      </w:r>
      <w:r>
        <w:rPr>
          <w:szCs w:val="22"/>
        </w:rPr>
        <w:t>e</w:t>
      </w:r>
      <w:r>
        <w:rPr>
          <w:spacing w:val="-3"/>
          <w:szCs w:val="22"/>
        </w:rPr>
        <w:t>g</w:t>
      </w:r>
      <w:r>
        <w:rPr>
          <w:szCs w:val="22"/>
        </w:rPr>
        <w:t>at</w:t>
      </w:r>
      <w:r>
        <w:rPr>
          <w:spacing w:val="1"/>
          <w:szCs w:val="22"/>
        </w:rPr>
        <w:t xml:space="preserve"> </w:t>
      </w:r>
      <w:r>
        <w:rPr>
          <w:spacing w:val="-3"/>
          <w:szCs w:val="22"/>
        </w:rPr>
        <w:t>d</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w:t>
      </w:r>
      <w:r>
        <w:rPr>
          <w:spacing w:val="-2"/>
          <w:szCs w:val="22"/>
        </w:rPr>
        <w:t xml:space="preserve"> (</w:t>
      </w:r>
      <w:r>
        <w:rPr>
          <w:spacing w:val="-1"/>
          <w:szCs w:val="22"/>
        </w:rPr>
        <w:t>TSQ</w:t>
      </w:r>
      <w:r>
        <w:rPr>
          <w:szCs w:val="22"/>
        </w:rPr>
        <w:t>M;</w:t>
      </w:r>
      <w:r>
        <w:rPr>
          <w:spacing w:val="1"/>
          <w:szCs w:val="22"/>
        </w:rPr>
        <w:t xml:space="preserve"> </w:t>
      </w:r>
      <w:r>
        <w:rPr>
          <w:spacing w:val="-1"/>
          <w:szCs w:val="22"/>
        </w:rPr>
        <w:t>S</w:t>
      </w:r>
      <w:r>
        <w:rPr>
          <w:spacing w:val="-2"/>
          <w:szCs w:val="22"/>
        </w:rPr>
        <w:t>t</w:t>
      </w:r>
      <w:r>
        <w:rPr>
          <w:szCs w:val="22"/>
        </w:rPr>
        <w:t>ud</w:t>
      </w:r>
      <w:r>
        <w:rPr>
          <w:spacing w:val="-2"/>
          <w:szCs w:val="22"/>
        </w:rPr>
        <w:t>i</w:t>
      </w:r>
      <w:r>
        <w:rPr>
          <w:szCs w:val="22"/>
        </w:rPr>
        <w:t>i</w:t>
      </w:r>
      <w:r>
        <w:rPr>
          <w:spacing w:val="-2"/>
          <w:szCs w:val="22"/>
        </w:rPr>
        <w:t>l</w:t>
      </w:r>
      <w:r>
        <w:rPr>
          <w:szCs w:val="22"/>
        </w:rPr>
        <w:t xml:space="preserve">e </w:t>
      </w:r>
      <w:r>
        <w:rPr>
          <w:spacing w:val="-1"/>
          <w:szCs w:val="22"/>
        </w:rPr>
        <w:t>HS</w:t>
      </w:r>
      <w:r>
        <w:rPr>
          <w:spacing w:val="-2"/>
          <w:szCs w:val="22"/>
        </w:rPr>
        <w:t>-</w:t>
      </w:r>
      <w:r>
        <w:rPr>
          <w:szCs w:val="22"/>
        </w:rPr>
        <w:t>I</w:t>
      </w:r>
      <w:r>
        <w:rPr>
          <w:spacing w:val="-4"/>
          <w:szCs w:val="22"/>
        </w:rPr>
        <w:t xml:space="preserve"> </w:t>
      </w:r>
      <w:r>
        <w:rPr>
          <w:szCs w:val="22"/>
        </w:rPr>
        <w:t>și</w:t>
      </w:r>
      <w:r>
        <w:rPr>
          <w:spacing w:val="1"/>
          <w:szCs w:val="22"/>
        </w:rPr>
        <w:t xml:space="preserve"> </w:t>
      </w:r>
      <w:r>
        <w:rPr>
          <w:spacing w:val="-2"/>
          <w:szCs w:val="22"/>
        </w:rPr>
        <w:t>H</w:t>
      </w:r>
      <w:r>
        <w:rPr>
          <w:spacing w:val="2"/>
          <w:szCs w:val="22"/>
        </w:rPr>
        <w:t>S</w:t>
      </w:r>
      <w:r>
        <w:rPr>
          <w:spacing w:val="-2"/>
          <w:szCs w:val="22"/>
        </w:rPr>
        <w:t>-</w:t>
      </w:r>
      <w:r>
        <w:rPr>
          <w:szCs w:val="22"/>
        </w:rPr>
        <w:t>I</w:t>
      </w:r>
      <w:r>
        <w:rPr>
          <w:spacing w:val="-4"/>
          <w:szCs w:val="22"/>
        </w:rPr>
        <w:t>I</w:t>
      </w:r>
      <w:r>
        <w:rPr>
          <w:szCs w:val="22"/>
        </w:rPr>
        <w:t>), precum</w:t>
      </w:r>
      <w:r>
        <w:rPr>
          <w:spacing w:val="-4"/>
          <w:szCs w:val="22"/>
        </w:rPr>
        <w:t xml:space="preserve"> </w:t>
      </w:r>
      <w:r>
        <w:rPr>
          <w:szCs w:val="22"/>
        </w:rPr>
        <w:t>și</w:t>
      </w:r>
      <w:r>
        <w:rPr>
          <w:spacing w:val="1"/>
          <w:szCs w:val="22"/>
        </w:rPr>
        <w:t xml:space="preserve"> </w:t>
      </w:r>
      <w:r>
        <w:rPr>
          <w:szCs w:val="22"/>
        </w:rPr>
        <w:t>a</w:t>
      </w:r>
      <w:r>
        <w:rPr>
          <w:spacing w:val="1"/>
          <w:szCs w:val="22"/>
        </w:rPr>
        <w:t>l</w:t>
      </w:r>
      <w:r>
        <w:rPr>
          <w:szCs w:val="22"/>
        </w:rPr>
        <w:t>e</w:t>
      </w:r>
      <w:r>
        <w:rPr>
          <w:spacing w:val="-2"/>
          <w:szCs w:val="22"/>
        </w:rPr>
        <w:t xml:space="preserve"> </w:t>
      </w:r>
      <w:r>
        <w:rPr>
          <w:szCs w:val="22"/>
        </w:rPr>
        <w:t>să</w:t>
      </w:r>
      <w:r>
        <w:rPr>
          <w:spacing w:val="-3"/>
          <w:szCs w:val="22"/>
        </w:rPr>
        <w:t>n</w:t>
      </w:r>
      <w:r>
        <w:rPr>
          <w:szCs w:val="22"/>
        </w:rPr>
        <w:t>ă</w:t>
      </w:r>
      <w:r>
        <w:rPr>
          <w:spacing w:val="1"/>
          <w:szCs w:val="22"/>
        </w:rPr>
        <w:t>t</w:t>
      </w:r>
      <w:r>
        <w:rPr>
          <w:spacing w:val="-3"/>
          <w:szCs w:val="22"/>
        </w:rPr>
        <w:t>ă</w:t>
      </w:r>
      <w:r>
        <w:rPr>
          <w:spacing w:val="1"/>
          <w:szCs w:val="22"/>
        </w:rPr>
        <w:t>ţ</w:t>
      </w:r>
      <w:r>
        <w:rPr>
          <w:spacing w:val="-2"/>
          <w:szCs w:val="22"/>
        </w:rPr>
        <w:t>i</w:t>
      </w:r>
      <w:r>
        <w:rPr>
          <w:szCs w:val="22"/>
        </w:rPr>
        <w:t>i</w:t>
      </w:r>
      <w:r>
        <w:rPr>
          <w:spacing w:val="-2"/>
          <w:szCs w:val="22"/>
        </w:rPr>
        <w:t xml:space="preserve"> </w:t>
      </w:r>
      <w:r>
        <w:rPr>
          <w:szCs w:val="22"/>
        </w:rPr>
        <w:t>f</w:t>
      </w:r>
      <w:r>
        <w:rPr>
          <w:spacing w:val="-2"/>
          <w:szCs w:val="22"/>
        </w:rPr>
        <w:t>i</w:t>
      </w:r>
      <w:r>
        <w:rPr>
          <w:spacing w:val="-3"/>
          <w:szCs w:val="22"/>
        </w:rPr>
        <w:t>z</w:t>
      </w:r>
      <w:r>
        <w:rPr>
          <w:spacing w:val="1"/>
          <w:szCs w:val="22"/>
        </w:rPr>
        <w:t>i</w:t>
      </w:r>
      <w:r>
        <w:rPr>
          <w:szCs w:val="22"/>
        </w:rPr>
        <w:t xml:space="preserve">ce, </w:t>
      </w:r>
      <w:r>
        <w:rPr>
          <w:spacing w:val="-4"/>
          <w:szCs w:val="22"/>
        </w:rPr>
        <w:t>m</w:t>
      </w:r>
      <w:r>
        <w:rPr>
          <w:szCs w:val="22"/>
        </w:rPr>
        <w:t>ăsura</w:t>
      </w:r>
      <w:r>
        <w:rPr>
          <w:spacing w:val="-2"/>
          <w:szCs w:val="22"/>
        </w:rPr>
        <w:t>t</w:t>
      </w:r>
      <w:r>
        <w:rPr>
          <w:szCs w:val="22"/>
        </w:rPr>
        <w:t>ă p</w:t>
      </w:r>
      <w:r>
        <w:rPr>
          <w:spacing w:val="-2"/>
          <w:szCs w:val="22"/>
        </w:rPr>
        <w:t>r</w:t>
      </w:r>
      <w:r>
        <w:rPr>
          <w:spacing w:val="1"/>
          <w:szCs w:val="22"/>
        </w:rPr>
        <w:t>i</w:t>
      </w:r>
      <w:r>
        <w:rPr>
          <w:szCs w:val="22"/>
        </w:rPr>
        <w:t>n scor</w:t>
      </w:r>
      <w:r>
        <w:rPr>
          <w:spacing w:val="-3"/>
          <w:szCs w:val="22"/>
        </w:rPr>
        <w:t>u</w:t>
      </w:r>
      <w:r>
        <w:rPr>
          <w:szCs w:val="22"/>
        </w:rPr>
        <w:t>l</w:t>
      </w:r>
      <w:r>
        <w:rPr>
          <w:spacing w:val="1"/>
          <w:szCs w:val="22"/>
        </w:rPr>
        <w:t xml:space="preserve"> </w:t>
      </w:r>
      <w:r>
        <w:rPr>
          <w:spacing w:val="-3"/>
          <w:szCs w:val="22"/>
        </w:rPr>
        <w:t>c</w:t>
      </w:r>
      <w:r>
        <w:rPr>
          <w:szCs w:val="22"/>
        </w:rPr>
        <w:t>o</w:t>
      </w:r>
      <w:r>
        <w:rPr>
          <w:spacing w:val="-4"/>
          <w:szCs w:val="22"/>
        </w:rPr>
        <w:t>m</w:t>
      </w:r>
      <w:r>
        <w:rPr>
          <w:szCs w:val="22"/>
        </w:rPr>
        <w:t>ponen</w:t>
      </w:r>
      <w:r>
        <w:rPr>
          <w:spacing w:val="1"/>
          <w:szCs w:val="22"/>
        </w:rPr>
        <w:t>t</w:t>
      </w:r>
      <w:r>
        <w:rPr>
          <w:spacing w:val="-2"/>
          <w:szCs w:val="22"/>
        </w:rPr>
        <w:t>e</w:t>
      </w:r>
      <w:r>
        <w:rPr>
          <w:szCs w:val="22"/>
        </w:rPr>
        <w:t>i</w:t>
      </w:r>
      <w:r>
        <w:rPr>
          <w:spacing w:val="1"/>
          <w:szCs w:val="22"/>
        </w:rPr>
        <w:t xml:space="preserve"> </w:t>
      </w:r>
      <w:r>
        <w:rPr>
          <w:spacing w:val="-2"/>
          <w:szCs w:val="22"/>
        </w:rPr>
        <w:t>f</w:t>
      </w:r>
      <w:r>
        <w:rPr>
          <w:spacing w:val="1"/>
          <w:szCs w:val="22"/>
        </w:rPr>
        <w:t>i</w:t>
      </w:r>
      <w:r>
        <w:rPr>
          <w:spacing w:val="-2"/>
          <w:szCs w:val="22"/>
        </w:rPr>
        <w:t>z</w:t>
      </w:r>
      <w:r>
        <w:rPr>
          <w:spacing w:val="1"/>
          <w:szCs w:val="22"/>
        </w:rPr>
        <w:t>i</w:t>
      </w:r>
      <w:r>
        <w:rPr>
          <w:szCs w:val="22"/>
        </w:rPr>
        <w:t>ce a</w:t>
      </w:r>
      <w:r>
        <w:rPr>
          <w:spacing w:val="-2"/>
          <w:szCs w:val="22"/>
        </w:rPr>
        <w:t xml:space="preserve"> </w:t>
      </w:r>
      <w:r>
        <w:rPr>
          <w:spacing w:val="-1"/>
          <w:szCs w:val="22"/>
        </w:rPr>
        <w:t>SF</w:t>
      </w:r>
      <w:r>
        <w:rPr>
          <w:spacing w:val="-4"/>
          <w:szCs w:val="22"/>
        </w:rPr>
        <w:t>-</w:t>
      </w:r>
      <w:r>
        <w:rPr>
          <w:szCs w:val="22"/>
        </w:rPr>
        <w:t>36 (</w:t>
      </w:r>
      <w:r>
        <w:rPr>
          <w:spacing w:val="-1"/>
          <w:szCs w:val="22"/>
        </w:rPr>
        <w:t>S</w:t>
      </w:r>
      <w:r>
        <w:rPr>
          <w:spacing w:val="1"/>
          <w:szCs w:val="22"/>
        </w:rPr>
        <w:t>t</w:t>
      </w:r>
      <w:r>
        <w:rPr>
          <w:szCs w:val="22"/>
        </w:rPr>
        <w:t>ud</w:t>
      </w:r>
      <w:r>
        <w:rPr>
          <w:spacing w:val="1"/>
          <w:szCs w:val="22"/>
        </w:rPr>
        <w:t>i</w:t>
      </w:r>
      <w:r>
        <w:rPr>
          <w:spacing w:val="-3"/>
          <w:szCs w:val="22"/>
        </w:rPr>
        <w:t>u</w:t>
      </w:r>
      <w:r>
        <w:rPr>
          <w:szCs w:val="22"/>
        </w:rPr>
        <w:t>l</w:t>
      </w:r>
      <w:r>
        <w:rPr>
          <w:spacing w:val="1"/>
          <w:szCs w:val="22"/>
        </w:rPr>
        <w:t xml:space="preserve"> </w:t>
      </w:r>
      <w:r>
        <w:rPr>
          <w:spacing w:val="-2"/>
          <w:szCs w:val="22"/>
        </w:rPr>
        <w:t>H</w:t>
      </w:r>
      <w:r>
        <w:rPr>
          <w:spacing w:val="-1"/>
          <w:szCs w:val="22"/>
        </w:rPr>
        <w:t>S</w:t>
      </w:r>
      <w:r>
        <w:rPr>
          <w:spacing w:val="-2"/>
          <w:szCs w:val="22"/>
        </w:rPr>
        <w:t>-</w:t>
      </w:r>
      <w:r>
        <w:rPr>
          <w:spacing w:val="-4"/>
          <w:szCs w:val="22"/>
        </w:rPr>
        <w:t>I</w:t>
      </w:r>
      <w:r>
        <w:rPr>
          <w:szCs w:val="22"/>
        </w:rPr>
        <w:t>).</w:t>
      </w:r>
    </w:p>
    <w:p w14:paraId="1D6C1E59" w14:textId="77777777" w:rsidR="00C04CAD" w:rsidRDefault="00C04CAD">
      <w:pPr>
        <w:tabs>
          <w:tab w:val="clear" w:pos="567"/>
        </w:tabs>
        <w:kinsoku w:val="0"/>
        <w:overflowPunct w:val="0"/>
        <w:autoSpaceDE w:val="0"/>
        <w:autoSpaceDN w:val="0"/>
        <w:adjustRightInd w:val="0"/>
        <w:spacing w:line="240" w:lineRule="auto"/>
        <w:rPr>
          <w:szCs w:val="22"/>
        </w:rPr>
      </w:pPr>
    </w:p>
    <w:p w14:paraId="57D4EC0F" w14:textId="77777777" w:rsidR="00C04CAD" w:rsidRDefault="00060E34">
      <w:pPr>
        <w:autoSpaceDE w:val="0"/>
        <w:autoSpaceDN w:val="0"/>
        <w:adjustRightInd w:val="0"/>
        <w:spacing w:line="240" w:lineRule="auto"/>
        <w:rPr>
          <w:szCs w:val="22"/>
        </w:rPr>
      </w:pP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cel</w:t>
      </w:r>
      <w:r>
        <w:rPr>
          <w:spacing w:val="-2"/>
          <w:szCs w:val="22"/>
        </w:rPr>
        <w:t xml:space="preserve"> </w:t>
      </w:r>
      <w:r>
        <w:rPr>
          <w:szCs w:val="22"/>
        </w:rPr>
        <w:t>pu</w:t>
      </w:r>
      <w:r>
        <w:rPr>
          <w:spacing w:val="-2"/>
          <w:szCs w:val="22"/>
        </w:rPr>
        <w:t>ț</w:t>
      </w:r>
      <w:r>
        <w:rPr>
          <w:spacing w:val="1"/>
          <w:szCs w:val="22"/>
        </w:rPr>
        <w:t>i</w:t>
      </w:r>
      <w:r>
        <w:rPr>
          <w:szCs w:val="22"/>
        </w:rPr>
        <w:t>n un</w:t>
      </w:r>
      <w:r>
        <w:rPr>
          <w:spacing w:val="-3"/>
          <w:szCs w:val="22"/>
        </w:rPr>
        <w:t xml:space="preserve"> </w:t>
      </w:r>
      <w:r>
        <w:rPr>
          <w:szCs w:val="22"/>
        </w:rPr>
        <w:t>răs</w:t>
      </w:r>
      <w:r>
        <w:rPr>
          <w:spacing w:val="-3"/>
          <w:szCs w:val="22"/>
        </w:rPr>
        <w:t>p</w:t>
      </w:r>
      <w:r>
        <w:rPr>
          <w:szCs w:val="22"/>
        </w:rPr>
        <w:t xml:space="preserve">uns </w:t>
      </w:r>
      <w:r>
        <w:rPr>
          <w:spacing w:val="-3"/>
          <w:szCs w:val="22"/>
        </w:rPr>
        <w:t>p</w:t>
      </w:r>
      <w:r>
        <w:rPr>
          <w:szCs w:val="22"/>
        </w:rPr>
        <w:t>a</w:t>
      </w:r>
      <w:r>
        <w:rPr>
          <w:spacing w:val="-2"/>
          <w:szCs w:val="22"/>
        </w:rPr>
        <w:t>r</w:t>
      </w:r>
      <w:r>
        <w:rPr>
          <w:spacing w:val="1"/>
          <w:szCs w:val="22"/>
        </w:rPr>
        <w:t>ți</w:t>
      </w:r>
      <w:r>
        <w:rPr>
          <w:spacing w:val="-3"/>
          <w:szCs w:val="22"/>
        </w:rPr>
        <w:t>a</w:t>
      </w:r>
      <w:r>
        <w:rPr>
          <w:szCs w:val="22"/>
        </w:rPr>
        <w:t>l</w:t>
      </w:r>
      <w:r>
        <w:rPr>
          <w:spacing w:val="1"/>
          <w:szCs w:val="22"/>
        </w:rPr>
        <w:t xml:space="preserve"> </w:t>
      </w:r>
      <w:r>
        <w:rPr>
          <w:spacing w:val="-2"/>
          <w:szCs w:val="22"/>
        </w:rPr>
        <w:t>l</w:t>
      </w:r>
      <w:r>
        <w:rPr>
          <w:szCs w:val="22"/>
        </w:rPr>
        <w:t xml:space="preserve">a </w:t>
      </w:r>
      <w:r>
        <w:rPr>
          <w:rFonts w:eastAsia="MS Mincho"/>
          <w:spacing w:val="-1"/>
          <w:szCs w:val="22"/>
          <w:lang w:eastAsia="en-US" w:bidi="ar-SA"/>
        </w:rPr>
        <w:t>adalimumab</w:t>
      </w:r>
      <w:r>
        <w:rPr>
          <w:szCs w:val="22"/>
        </w:rPr>
        <w:t xml:space="preserve"> </w:t>
      </w:r>
      <w:r>
        <w:rPr>
          <w:spacing w:val="-3"/>
          <w:szCs w:val="22"/>
        </w:rPr>
        <w:t>4</w:t>
      </w:r>
      <w:r>
        <w:rPr>
          <w:szCs w:val="22"/>
        </w:rPr>
        <w:t>0 </w:t>
      </w:r>
      <w:r>
        <w:rPr>
          <w:spacing w:val="-2"/>
          <w:szCs w:val="22"/>
        </w:rPr>
        <w:t>m</w:t>
      </w:r>
      <w:r>
        <w:rPr>
          <w:szCs w:val="22"/>
        </w:rPr>
        <w:t>g</w:t>
      </w:r>
      <w:r>
        <w:rPr>
          <w:spacing w:val="-3"/>
          <w:szCs w:val="22"/>
        </w:rPr>
        <w:t xml:space="preserve"> </w:t>
      </w:r>
      <w:r>
        <w:rPr>
          <w:szCs w:val="22"/>
        </w:rPr>
        <w:t>pe săp</w:t>
      </w:r>
      <w:r>
        <w:rPr>
          <w:spacing w:val="1"/>
          <w:szCs w:val="22"/>
        </w:rPr>
        <w:t>t</w:t>
      </w:r>
      <w:r>
        <w:rPr>
          <w:szCs w:val="22"/>
        </w:rPr>
        <w:t>ă</w:t>
      </w:r>
      <w:r>
        <w:rPr>
          <w:spacing w:val="-4"/>
          <w:szCs w:val="22"/>
        </w:rPr>
        <w:t>m</w:t>
      </w:r>
      <w:r>
        <w:rPr>
          <w:szCs w:val="22"/>
        </w:rPr>
        <w:t xml:space="preserve">ână </w:t>
      </w:r>
      <w:r>
        <w:rPr>
          <w:spacing w:val="-2"/>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12, r</w:t>
      </w:r>
      <w:r>
        <w:rPr>
          <w:spacing w:val="-2"/>
          <w:szCs w:val="22"/>
        </w:rPr>
        <w:t>a</w:t>
      </w:r>
      <w:r>
        <w:rPr>
          <w:spacing w:val="1"/>
          <w:szCs w:val="22"/>
        </w:rPr>
        <w:t>t</w:t>
      </w:r>
      <w:r>
        <w:rPr>
          <w:szCs w:val="22"/>
        </w:rPr>
        <w:t xml:space="preserve">a </w:t>
      </w:r>
      <w:r>
        <w:rPr>
          <w:spacing w:val="-2"/>
          <w:szCs w:val="22"/>
        </w:rPr>
        <w:t>H</w:t>
      </w:r>
      <w:r>
        <w:rPr>
          <w:spacing w:val="1"/>
          <w:szCs w:val="22"/>
        </w:rPr>
        <w:t>i</w:t>
      </w:r>
      <w:r>
        <w:rPr>
          <w:spacing w:val="-1"/>
          <w:szCs w:val="22"/>
        </w:rPr>
        <w:t>SR</w:t>
      </w:r>
      <w:r>
        <w:rPr>
          <w:szCs w:val="22"/>
        </w:rPr>
        <w:t>C</w:t>
      </w:r>
      <w:r>
        <w:rPr>
          <w:spacing w:val="-1"/>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36 a</w:t>
      </w:r>
      <w:r>
        <w:rPr>
          <w:spacing w:val="-2"/>
          <w:szCs w:val="22"/>
        </w:rPr>
        <w:t xml:space="preserve"> f</w:t>
      </w:r>
      <w:r>
        <w:rPr>
          <w:szCs w:val="22"/>
        </w:rPr>
        <w:t>ost</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zCs w:val="22"/>
        </w:rPr>
        <w:t xml:space="preserve">are </w:t>
      </w:r>
      <w:r>
        <w:rPr>
          <w:spacing w:val="1"/>
          <w:szCs w:val="22"/>
        </w:rPr>
        <w:t>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ț</w:t>
      </w:r>
      <w:r>
        <w:rPr>
          <w:spacing w:val="-2"/>
          <w:szCs w:val="22"/>
        </w:rPr>
        <w:t>i</w:t>
      </w:r>
      <w:r>
        <w:rPr>
          <w:szCs w:val="22"/>
        </w:rPr>
        <w:t>i</w:t>
      </w:r>
      <w:r>
        <w:rPr>
          <w:spacing w:val="1"/>
          <w:szCs w:val="22"/>
        </w:rPr>
        <w:t xml:space="preserve"> </w:t>
      </w:r>
      <w:r>
        <w:rPr>
          <w:szCs w:val="22"/>
        </w:rPr>
        <w:t>c</w:t>
      </w:r>
      <w:r>
        <w:rPr>
          <w:spacing w:val="-3"/>
          <w:szCs w:val="22"/>
        </w:rPr>
        <w:t>a</w:t>
      </w:r>
      <w:r>
        <w:rPr>
          <w:szCs w:val="22"/>
        </w:rPr>
        <w:t>re au</w:t>
      </w:r>
      <w:r>
        <w:rPr>
          <w:spacing w:val="-3"/>
          <w:szCs w:val="22"/>
        </w:rPr>
        <w:t xml:space="preserve"> </w:t>
      </w:r>
      <w:r>
        <w:rPr>
          <w:szCs w:val="22"/>
        </w:rPr>
        <w:t>co</w:t>
      </w:r>
      <w:r>
        <w:rPr>
          <w:spacing w:val="-3"/>
          <w:szCs w:val="22"/>
        </w:rPr>
        <w:t>n</w:t>
      </w:r>
      <w:r>
        <w:rPr>
          <w:spacing w:val="1"/>
          <w:szCs w:val="22"/>
        </w:rPr>
        <w:t>ti</w:t>
      </w:r>
      <w:r>
        <w:rPr>
          <w:szCs w:val="22"/>
        </w:rPr>
        <w:t>n</w:t>
      </w:r>
      <w:r>
        <w:rPr>
          <w:spacing w:val="-3"/>
          <w:szCs w:val="22"/>
        </w:rPr>
        <w:t>u</w:t>
      </w:r>
      <w:r>
        <w:rPr>
          <w:szCs w:val="22"/>
        </w:rPr>
        <w:t>at</w:t>
      </w:r>
      <w:r>
        <w:rPr>
          <w:spacing w:val="1"/>
          <w:szCs w:val="22"/>
        </w:rPr>
        <w:t xml:space="preserve"> </w:t>
      </w:r>
      <w:r>
        <w:rPr>
          <w:rFonts w:eastAsia="MS Mincho"/>
          <w:spacing w:val="-1"/>
          <w:szCs w:val="22"/>
          <w:lang w:eastAsia="en-US" w:bidi="ar-SA"/>
        </w:rPr>
        <w:t>adalimumab</w:t>
      </w:r>
      <w:r>
        <w:rPr>
          <w:spacing w:val="-2"/>
          <w:szCs w:val="22"/>
        </w:rPr>
        <w:t xml:space="preserve"> </w:t>
      </w:r>
      <w:r>
        <w:rPr>
          <w:szCs w:val="22"/>
        </w:rPr>
        <w:t>să</w:t>
      </w:r>
      <w:r>
        <w:rPr>
          <w:spacing w:val="-3"/>
          <w:szCs w:val="22"/>
        </w:rPr>
        <w:t>p</w:t>
      </w:r>
      <w:r>
        <w:rPr>
          <w:spacing w:val="-2"/>
          <w:szCs w:val="22"/>
        </w:rPr>
        <w:t>t</w:t>
      </w:r>
      <w:r>
        <w:rPr>
          <w:szCs w:val="22"/>
        </w:rPr>
        <w:t>ă</w:t>
      </w:r>
      <w:r>
        <w:rPr>
          <w:spacing w:val="-4"/>
          <w:szCs w:val="22"/>
        </w:rPr>
        <w:t>m</w:t>
      </w:r>
      <w:r>
        <w:rPr>
          <w:szCs w:val="22"/>
        </w:rPr>
        <w:t>ânal</w:t>
      </w:r>
      <w:r>
        <w:rPr>
          <w:spacing w:val="1"/>
          <w:szCs w:val="22"/>
        </w:rPr>
        <w:t xml:space="preserve"> </w:t>
      </w:r>
      <w:r>
        <w:rPr>
          <w:szCs w:val="22"/>
        </w:rPr>
        <w:t>dec</w:t>
      </w:r>
      <w:r>
        <w:rPr>
          <w:spacing w:val="-3"/>
          <w:szCs w:val="22"/>
        </w:rPr>
        <w:t>â</w:t>
      </w:r>
      <w:r>
        <w:rPr>
          <w:szCs w:val="22"/>
        </w:rPr>
        <w:t>t</w:t>
      </w:r>
      <w:r>
        <w:rPr>
          <w:spacing w:val="-2"/>
          <w:szCs w:val="22"/>
        </w:rPr>
        <w:t xml:space="preserve"> </w:t>
      </w:r>
      <w:r>
        <w:rPr>
          <w:spacing w:val="1"/>
          <w:szCs w:val="22"/>
        </w:rPr>
        <w:t>l</w:t>
      </w:r>
      <w:r>
        <w:rPr>
          <w:szCs w:val="22"/>
        </w:rPr>
        <w:t>a pac</w:t>
      </w:r>
      <w:r>
        <w:rPr>
          <w:spacing w:val="-2"/>
          <w:szCs w:val="22"/>
        </w:rPr>
        <w:t>i</w:t>
      </w:r>
      <w:r>
        <w:rPr>
          <w:szCs w:val="22"/>
        </w:rPr>
        <w:t>en</w:t>
      </w:r>
      <w:r>
        <w:rPr>
          <w:spacing w:val="-2"/>
          <w:szCs w:val="22"/>
        </w:rPr>
        <w:t>ț</w:t>
      </w:r>
      <w:r>
        <w:rPr>
          <w:spacing w:val="1"/>
          <w:szCs w:val="22"/>
        </w:rPr>
        <w:t>i</w:t>
      </w:r>
      <w:r>
        <w:rPr>
          <w:szCs w:val="22"/>
        </w:rPr>
        <w:t>i</w:t>
      </w:r>
      <w:r>
        <w:rPr>
          <w:spacing w:val="-2"/>
          <w:szCs w:val="22"/>
        </w:rPr>
        <w:t xml:space="preserve"> </w:t>
      </w:r>
      <w:r>
        <w:rPr>
          <w:spacing w:val="1"/>
          <w:szCs w:val="22"/>
        </w:rPr>
        <w:t>l</w:t>
      </w:r>
      <w:r>
        <w:rPr>
          <w:szCs w:val="22"/>
        </w:rPr>
        <w:t>a</w:t>
      </w:r>
      <w:r>
        <w:rPr>
          <w:spacing w:val="-2"/>
          <w:szCs w:val="22"/>
        </w:rPr>
        <w:t xml:space="preserve"> </w:t>
      </w:r>
      <w:r>
        <w:rPr>
          <w:szCs w:val="22"/>
        </w:rPr>
        <w:t>ca</w:t>
      </w:r>
      <w:r>
        <w:rPr>
          <w:spacing w:val="-2"/>
          <w:szCs w:val="22"/>
        </w:rPr>
        <w:t>r</w:t>
      </w:r>
      <w:r>
        <w:rPr>
          <w:szCs w:val="22"/>
        </w:rPr>
        <w:t xml:space="preserve">e </w:t>
      </w:r>
      <w:r>
        <w:rPr>
          <w:spacing w:val="-2"/>
          <w:szCs w:val="22"/>
        </w:rPr>
        <w:t>f</w:t>
      </w:r>
      <w:r>
        <w:rPr>
          <w:szCs w:val="22"/>
        </w:rPr>
        <w:t>rec</w:t>
      </w:r>
      <w:r>
        <w:rPr>
          <w:spacing w:val="-3"/>
          <w:szCs w:val="22"/>
        </w:rPr>
        <w:t>v</w:t>
      </w:r>
      <w:r>
        <w:rPr>
          <w:szCs w:val="22"/>
        </w:rPr>
        <w:t>en</w:t>
      </w:r>
      <w:r>
        <w:rPr>
          <w:spacing w:val="-2"/>
          <w:szCs w:val="22"/>
        </w:rPr>
        <w:t>ț</w:t>
      </w:r>
      <w:r>
        <w:rPr>
          <w:szCs w:val="22"/>
        </w:rPr>
        <w:t>a</w:t>
      </w:r>
      <w:r>
        <w:rPr>
          <w:spacing w:val="-1"/>
          <w:szCs w:val="22"/>
        </w:rPr>
        <w:t xml:space="preserve"> </w:t>
      </w:r>
      <w:r>
        <w:rPr>
          <w:spacing w:val="-3"/>
          <w:szCs w:val="22"/>
        </w:rPr>
        <w:t>d</w:t>
      </w:r>
      <w:r>
        <w:rPr>
          <w:szCs w:val="22"/>
        </w:rPr>
        <w:t>o</w:t>
      </w:r>
      <w:r>
        <w:rPr>
          <w:spacing w:val="-3"/>
          <w:szCs w:val="22"/>
        </w:rPr>
        <w:t>z</w:t>
      </w:r>
      <w:r>
        <w:rPr>
          <w:szCs w:val="22"/>
        </w:rPr>
        <w:t>ei</w:t>
      </w:r>
      <w:r>
        <w:rPr>
          <w:spacing w:val="1"/>
          <w:szCs w:val="22"/>
        </w:rPr>
        <w:t xml:space="preserve"> </w:t>
      </w:r>
      <w:r>
        <w:rPr>
          <w:szCs w:val="22"/>
        </w:rPr>
        <w:t>a f</w:t>
      </w:r>
      <w:r>
        <w:rPr>
          <w:spacing w:val="-3"/>
          <w:szCs w:val="22"/>
        </w:rPr>
        <w:t>o</w:t>
      </w:r>
      <w:r>
        <w:rPr>
          <w:szCs w:val="22"/>
        </w:rPr>
        <w:t>st</w:t>
      </w:r>
      <w:r>
        <w:rPr>
          <w:spacing w:val="-2"/>
          <w:szCs w:val="22"/>
        </w:rPr>
        <w:t xml:space="preserve"> </w:t>
      </w:r>
      <w:r>
        <w:rPr>
          <w:szCs w:val="22"/>
        </w:rPr>
        <w:t>red</w:t>
      </w:r>
      <w:r>
        <w:rPr>
          <w:spacing w:val="-3"/>
          <w:szCs w:val="22"/>
        </w:rPr>
        <w:t>u</w:t>
      </w:r>
      <w:r>
        <w:rPr>
          <w:szCs w:val="22"/>
        </w:rPr>
        <w:t>să</w:t>
      </w:r>
      <w:r>
        <w:rPr>
          <w:spacing w:val="-2"/>
          <w:szCs w:val="22"/>
        </w:rPr>
        <w:t xml:space="preserve"> </w:t>
      </w:r>
      <w:r>
        <w:rPr>
          <w:spacing w:val="1"/>
          <w:szCs w:val="22"/>
        </w:rPr>
        <w:t>l</w:t>
      </w:r>
      <w:r>
        <w:rPr>
          <w:szCs w:val="22"/>
        </w:rPr>
        <w:t xml:space="preserve">a o </w:t>
      </w:r>
      <w:r>
        <w:rPr>
          <w:spacing w:val="-3"/>
          <w:szCs w:val="22"/>
        </w:rPr>
        <w:t>d</w:t>
      </w:r>
      <w:r>
        <w:rPr>
          <w:szCs w:val="22"/>
        </w:rPr>
        <w:t>a</w:t>
      </w:r>
      <w:r>
        <w:rPr>
          <w:spacing w:val="-2"/>
          <w:szCs w:val="22"/>
        </w:rPr>
        <w:t>t</w:t>
      </w:r>
      <w:r>
        <w:rPr>
          <w:szCs w:val="22"/>
        </w:rPr>
        <w:t xml:space="preserve">ă </w:t>
      </w:r>
      <w:r>
        <w:rPr>
          <w:spacing w:val="-2"/>
          <w:szCs w:val="22"/>
        </w:rPr>
        <w:t>l</w:t>
      </w:r>
      <w:r>
        <w:rPr>
          <w:szCs w:val="22"/>
        </w:rPr>
        <w:t>a două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âni sau</w:t>
      </w:r>
      <w:r>
        <w:rPr>
          <w:spacing w:val="-3"/>
          <w:szCs w:val="22"/>
        </w:rPr>
        <w:t xml:space="preserve"> </w:t>
      </w:r>
      <w:r>
        <w:rPr>
          <w:spacing w:val="1"/>
          <w:szCs w:val="22"/>
        </w:rPr>
        <w:t>l</w:t>
      </w:r>
      <w:r>
        <w:rPr>
          <w:szCs w:val="22"/>
        </w:rPr>
        <w:t>a</w:t>
      </w:r>
      <w:r>
        <w:rPr>
          <w:spacing w:val="-2"/>
          <w:szCs w:val="22"/>
        </w:rPr>
        <w:t xml:space="preserve"> </w:t>
      </w:r>
      <w:r>
        <w:rPr>
          <w:szCs w:val="22"/>
        </w:rPr>
        <w:t>ca</w:t>
      </w:r>
      <w:r>
        <w:rPr>
          <w:spacing w:val="-2"/>
          <w:szCs w:val="22"/>
        </w:rPr>
        <w:t>r</w:t>
      </w:r>
      <w:r>
        <w:rPr>
          <w:szCs w:val="22"/>
        </w:rPr>
        <w:t xml:space="preserve">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a</w:t>
      </w:r>
      <w:r>
        <w:rPr>
          <w:spacing w:val="-2"/>
          <w:szCs w:val="22"/>
        </w:rPr>
        <w:t xml:space="preserve"> </w:t>
      </w:r>
      <w:r>
        <w:rPr>
          <w:szCs w:val="22"/>
        </w:rPr>
        <w:t>fo</w:t>
      </w:r>
      <w:r>
        <w:rPr>
          <w:spacing w:val="-3"/>
          <w:szCs w:val="22"/>
        </w:rPr>
        <w:t>s</w:t>
      </w:r>
      <w:r>
        <w:rPr>
          <w:szCs w:val="22"/>
        </w:rPr>
        <w:t xml:space="preserve">t </w:t>
      </w:r>
      <w:r>
        <w:rPr>
          <w:spacing w:val="1"/>
          <w:szCs w:val="22"/>
        </w:rPr>
        <w:t>î</w:t>
      </w:r>
      <w:r>
        <w:rPr>
          <w:szCs w:val="22"/>
        </w:rPr>
        <w:t>n</w:t>
      </w:r>
      <w:r>
        <w:rPr>
          <w:spacing w:val="-2"/>
          <w:szCs w:val="22"/>
        </w:rPr>
        <w:t>t</w:t>
      </w:r>
      <w:r>
        <w:rPr>
          <w:szCs w:val="22"/>
        </w:rPr>
        <w:t>re</w:t>
      </w:r>
      <w:r>
        <w:rPr>
          <w:spacing w:val="-2"/>
          <w:szCs w:val="22"/>
        </w:rPr>
        <w:t>r</w:t>
      </w:r>
      <w:r>
        <w:rPr>
          <w:szCs w:val="22"/>
        </w:rPr>
        <w:t>upt</w:t>
      </w:r>
      <w:r>
        <w:rPr>
          <w:spacing w:val="-2"/>
          <w:szCs w:val="22"/>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t</w:t>
      </w:r>
      <w:r>
        <w:rPr>
          <w:spacing w:val="-3"/>
          <w:szCs w:val="22"/>
        </w:rPr>
        <w:t>a</w:t>
      </w:r>
      <w:r>
        <w:rPr>
          <w:szCs w:val="22"/>
        </w:rPr>
        <w:t>be</w:t>
      </w:r>
      <w:r>
        <w:rPr>
          <w:spacing w:val="-2"/>
          <w:szCs w:val="22"/>
        </w:rPr>
        <w:t>l</w:t>
      </w:r>
      <w:r>
        <w:rPr>
          <w:szCs w:val="22"/>
        </w:rPr>
        <w:t>ul</w:t>
      </w:r>
      <w:r>
        <w:rPr>
          <w:spacing w:val="1"/>
          <w:szCs w:val="22"/>
        </w:rPr>
        <w:t xml:space="preserve"> </w:t>
      </w:r>
      <w:r>
        <w:rPr>
          <w:rFonts w:eastAsia="MS Mincho"/>
          <w:szCs w:val="22"/>
          <w:lang w:eastAsia="en-US" w:bidi="ar-SA"/>
        </w:rPr>
        <w:t>20</w:t>
      </w:r>
      <w:r>
        <w:rPr>
          <w:szCs w:val="22"/>
        </w:rPr>
        <w:t>).</w:t>
      </w:r>
    </w:p>
    <w:p w14:paraId="1E70F057" w14:textId="77777777" w:rsidR="00C04CAD" w:rsidRDefault="00C04CAD">
      <w:pPr>
        <w:autoSpaceDE w:val="0"/>
        <w:autoSpaceDN w:val="0"/>
        <w:adjustRightInd w:val="0"/>
        <w:spacing w:line="240" w:lineRule="auto"/>
        <w:rPr>
          <w:szCs w:val="22"/>
        </w:rPr>
      </w:pPr>
    </w:p>
    <w:p w14:paraId="6DC0FADE" w14:textId="77777777" w:rsidR="00C04CAD" w:rsidRDefault="00060E34">
      <w:pPr>
        <w:keepNext/>
        <w:tabs>
          <w:tab w:val="clear" w:pos="567"/>
        </w:tabs>
        <w:kinsoku w:val="0"/>
        <w:overflowPunct w:val="0"/>
        <w:autoSpaceDE w:val="0"/>
        <w:autoSpaceDN w:val="0"/>
        <w:adjustRightInd w:val="0"/>
        <w:spacing w:line="240" w:lineRule="auto"/>
        <w:outlineLvl w:val="0"/>
        <w:rPr>
          <w:spacing w:val="-1"/>
          <w:szCs w:val="22"/>
        </w:rPr>
      </w:pPr>
      <w:r>
        <w:rPr>
          <w:b/>
          <w:spacing w:val="-1"/>
          <w:szCs w:val="22"/>
        </w:rPr>
        <w:lastRenderedPageBreak/>
        <w:t>T</w:t>
      </w:r>
      <w:r>
        <w:rPr>
          <w:b/>
          <w:szCs w:val="22"/>
        </w:rPr>
        <w:t>a</w:t>
      </w:r>
      <w:r>
        <w:rPr>
          <w:b/>
          <w:spacing w:val="-1"/>
          <w:szCs w:val="22"/>
        </w:rPr>
        <w:t>b</w:t>
      </w:r>
      <w:r>
        <w:rPr>
          <w:b/>
          <w:szCs w:val="22"/>
        </w:rPr>
        <w:t xml:space="preserve">elul </w:t>
      </w:r>
      <w:r>
        <w:rPr>
          <w:rFonts w:eastAsia="MS Mincho"/>
          <w:b/>
          <w:bCs/>
          <w:spacing w:val="-3"/>
          <w:szCs w:val="22"/>
          <w:lang w:eastAsia="en-US" w:bidi="ar-SA"/>
        </w:rPr>
        <w:t>20.</w:t>
      </w:r>
      <w:r>
        <w:rPr>
          <w:b/>
          <w:spacing w:val="-2"/>
          <w:szCs w:val="22"/>
        </w:rPr>
        <w:t xml:space="preserve"> </w:t>
      </w:r>
      <w:r>
        <w:rPr>
          <w:b/>
          <w:spacing w:val="1"/>
          <w:szCs w:val="22"/>
        </w:rPr>
        <w:t>P</w:t>
      </w:r>
      <w:r>
        <w:rPr>
          <w:b/>
          <w:szCs w:val="22"/>
        </w:rPr>
        <w:t>r</w:t>
      </w:r>
      <w:r>
        <w:rPr>
          <w:b/>
          <w:spacing w:val="-3"/>
          <w:szCs w:val="22"/>
        </w:rPr>
        <w:t>o</w:t>
      </w:r>
      <w:r>
        <w:rPr>
          <w:b/>
          <w:szCs w:val="22"/>
        </w:rPr>
        <w:t>ce</w:t>
      </w:r>
      <w:r>
        <w:rPr>
          <w:b/>
          <w:spacing w:val="-1"/>
          <w:szCs w:val="22"/>
        </w:rPr>
        <w:t>n</w:t>
      </w:r>
      <w:r>
        <w:rPr>
          <w:b/>
          <w:szCs w:val="22"/>
        </w:rPr>
        <w:t>t</w:t>
      </w:r>
      <w:r>
        <w:rPr>
          <w:b/>
          <w:spacing w:val="-3"/>
          <w:szCs w:val="22"/>
        </w:rPr>
        <w:t>u</w:t>
      </w:r>
      <w:r>
        <w:rPr>
          <w:b/>
          <w:szCs w:val="22"/>
        </w:rPr>
        <w:t>l</w:t>
      </w:r>
      <w:r>
        <w:rPr>
          <w:b/>
          <w:spacing w:val="1"/>
          <w:szCs w:val="22"/>
        </w:rPr>
        <w:t xml:space="preserve"> </w:t>
      </w:r>
      <w:r>
        <w:rPr>
          <w:b/>
          <w:spacing w:val="-1"/>
          <w:szCs w:val="22"/>
        </w:rPr>
        <w:t>p</w:t>
      </w:r>
      <w:r>
        <w:rPr>
          <w:b/>
          <w:szCs w:val="22"/>
        </w:rPr>
        <w:t>a</w:t>
      </w:r>
      <w:r>
        <w:rPr>
          <w:b/>
          <w:spacing w:val="-3"/>
          <w:szCs w:val="22"/>
        </w:rPr>
        <w:t>c</w:t>
      </w:r>
      <w:r>
        <w:rPr>
          <w:b/>
          <w:spacing w:val="1"/>
          <w:szCs w:val="22"/>
        </w:rPr>
        <w:t>i</w:t>
      </w:r>
      <w:r>
        <w:rPr>
          <w:b/>
          <w:spacing w:val="-3"/>
          <w:szCs w:val="22"/>
        </w:rPr>
        <w:t>e</w:t>
      </w:r>
      <w:r>
        <w:rPr>
          <w:b/>
          <w:spacing w:val="-1"/>
          <w:szCs w:val="22"/>
        </w:rPr>
        <w:t>n</w:t>
      </w:r>
      <w:r>
        <w:rPr>
          <w:b/>
          <w:szCs w:val="22"/>
        </w:rPr>
        <w:t>ţ</w:t>
      </w:r>
      <w:r>
        <w:rPr>
          <w:b/>
          <w:spacing w:val="-2"/>
          <w:szCs w:val="22"/>
        </w:rPr>
        <w:t>i</w:t>
      </w:r>
      <w:r>
        <w:rPr>
          <w:b/>
          <w:spacing w:val="1"/>
          <w:szCs w:val="22"/>
        </w:rPr>
        <w:t>l</w:t>
      </w:r>
      <w:r>
        <w:rPr>
          <w:b/>
          <w:szCs w:val="22"/>
        </w:rPr>
        <w:t>o</w:t>
      </w:r>
      <w:r>
        <w:rPr>
          <w:b/>
          <w:spacing w:val="-1"/>
          <w:szCs w:val="22"/>
        </w:rPr>
        <w:t>r</w:t>
      </w:r>
      <w:r>
        <w:rPr>
          <w:b/>
          <w:szCs w:val="22"/>
          <w:vertAlign w:val="superscript"/>
        </w:rPr>
        <w:t>a</w:t>
      </w:r>
      <w:r>
        <w:rPr>
          <w:b/>
          <w:szCs w:val="22"/>
        </w:rPr>
        <w:t xml:space="preserve"> c</w:t>
      </w:r>
      <w:r>
        <w:rPr>
          <w:b/>
          <w:spacing w:val="-3"/>
          <w:szCs w:val="22"/>
        </w:rPr>
        <w:t>a</w:t>
      </w:r>
      <w:r>
        <w:rPr>
          <w:b/>
          <w:szCs w:val="22"/>
        </w:rPr>
        <w:t>re au</w:t>
      </w:r>
      <w:r>
        <w:rPr>
          <w:b/>
          <w:spacing w:val="-1"/>
          <w:szCs w:val="22"/>
        </w:rPr>
        <w:t xml:space="preserve"> </w:t>
      </w:r>
      <w:r>
        <w:rPr>
          <w:b/>
          <w:spacing w:val="-3"/>
          <w:szCs w:val="22"/>
        </w:rPr>
        <w:t>a</w:t>
      </w:r>
      <w:r>
        <w:rPr>
          <w:b/>
          <w:szCs w:val="22"/>
        </w:rPr>
        <w:t>t</w:t>
      </w:r>
      <w:r>
        <w:rPr>
          <w:b/>
          <w:spacing w:val="-2"/>
          <w:szCs w:val="22"/>
        </w:rPr>
        <w:t>i</w:t>
      </w:r>
      <w:r>
        <w:rPr>
          <w:b/>
          <w:spacing w:val="-1"/>
          <w:szCs w:val="22"/>
        </w:rPr>
        <w:t>n</w:t>
      </w:r>
      <w:r>
        <w:rPr>
          <w:b/>
          <w:szCs w:val="22"/>
        </w:rPr>
        <w:t>s</w:t>
      </w:r>
      <w:r>
        <w:rPr>
          <w:b/>
          <w:spacing w:val="-2"/>
          <w:szCs w:val="22"/>
        </w:rPr>
        <w:t xml:space="preserve"> </w:t>
      </w:r>
      <w:r>
        <w:rPr>
          <w:b/>
          <w:spacing w:val="1"/>
          <w:szCs w:val="22"/>
        </w:rPr>
        <w:t>Hi</w:t>
      </w:r>
      <w:r>
        <w:rPr>
          <w:b/>
          <w:spacing w:val="-1"/>
          <w:szCs w:val="22"/>
        </w:rPr>
        <w:t>S</w:t>
      </w:r>
      <w:r>
        <w:rPr>
          <w:b/>
          <w:spacing w:val="-4"/>
          <w:szCs w:val="22"/>
        </w:rPr>
        <w:t>R</w:t>
      </w:r>
      <w:r>
        <w:rPr>
          <w:b/>
          <w:spacing w:val="-2"/>
          <w:szCs w:val="22"/>
        </w:rPr>
        <w:t>C</w:t>
      </w:r>
      <w:r>
        <w:rPr>
          <w:b/>
          <w:szCs w:val="22"/>
          <w:vertAlign w:val="superscript"/>
        </w:rPr>
        <w:t>b</w:t>
      </w:r>
      <w:r>
        <w:rPr>
          <w:b/>
          <w:szCs w:val="22"/>
        </w:rPr>
        <w:t xml:space="preserve"> </w:t>
      </w:r>
      <w:r>
        <w:rPr>
          <w:b/>
          <w:spacing w:val="1"/>
          <w:szCs w:val="22"/>
        </w:rPr>
        <w:t>î</w:t>
      </w:r>
      <w:r>
        <w:rPr>
          <w:b/>
          <w:szCs w:val="22"/>
        </w:rPr>
        <w:t>n</w:t>
      </w:r>
      <w:r>
        <w:rPr>
          <w:b/>
          <w:spacing w:val="-1"/>
          <w:szCs w:val="22"/>
        </w:rPr>
        <w:t xml:space="preserve"> </w:t>
      </w:r>
      <w:r>
        <w:rPr>
          <w:rFonts w:eastAsia="MS Mincho"/>
          <w:b/>
          <w:bCs/>
          <w:spacing w:val="-1"/>
          <w:szCs w:val="22"/>
          <w:lang w:eastAsia="en-US" w:bidi="ar-SA"/>
        </w:rPr>
        <w:t>s</w:t>
      </w:r>
      <w:r>
        <w:rPr>
          <w:rFonts w:eastAsia="MS Mincho"/>
          <w:b/>
          <w:bCs/>
          <w:szCs w:val="22"/>
          <w:lang w:eastAsia="en-US" w:bidi="ar-SA"/>
        </w:rPr>
        <w:t>ă</w:t>
      </w:r>
      <w:r>
        <w:rPr>
          <w:rFonts w:eastAsia="MS Mincho"/>
          <w:b/>
          <w:bCs/>
          <w:spacing w:val="-1"/>
          <w:szCs w:val="22"/>
          <w:lang w:eastAsia="en-US" w:bidi="ar-SA"/>
        </w:rPr>
        <w:t>p</w:t>
      </w:r>
      <w:r>
        <w:rPr>
          <w:rFonts w:eastAsia="MS Mincho"/>
          <w:b/>
          <w:bCs/>
          <w:szCs w:val="22"/>
          <w:lang w:eastAsia="en-US" w:bidi="ar-SA"/>
        </w:rPr>
        <w:t>t</w:t>
      </w:r>
      <w:r>
        <w:rPr>
          <w:rFonts w:eastAsia="MS Mincho"/>
          <w:b/>
          <w:bCs/>
          <w:spacing w:val="-3"/>
          <w:szCs w:val="22"/>
          <w:lang w:eastAsia="en-US" w:bidi="ar-SA"/>
        </w:rPr>
        <w:t>ă</w:t>
      </w:r>
      <w:r>
        <w:rPr>
          <w:rFonts w:eastAsia="MS Mincho"/>
          <w:b/>
          <w:bCs/>
          <w:szCs w:val="22"/>
          <w:lang w:eastAsia="en-US" w:bidi="ar-SA"/>
        </w:rPr>
        <w:t>mâ</w:t>
      </w:r>
      <w:r>
        <w:rPr>
          <w:rFonts w:eastAsia="MS Mincho"/>
          <w:b/>
          <w:bCs/>
          <w:spacing w:val="-3"/>
          <w:szCs w:val="22"/>
          <w:lang w:eastAsia="en-US" w:bidi="ar-SA"/>
        </w:rPr>
        <w:t>n</w:t>
      </w:r>
      <w:r>
        <w:rPr>
          <w:rFonts w:eastAsia="MS Mincho"/>
          <w:b/>
          <w:bCs/>
          <w:spacing w:val="1"/>
          <w:szCs w:val="22"/>
          <w:lang w:eastAsia="en-US" w:bidi="ar-SA"/>
        </w:rPr>
        <w:t>il</w:t>
      </w:r>
      <w:r>
        <w:rPr>
          <w:rFonts w:eastAsia="MS Mincho"/>
          <w:b/>
          <w:bCs/>
          <w:szCs w:val="22"/>
          <w:lang w:eastAsia="en-US" w:bidi="ar-SA"/>
        </w:rPr>
        <w:t>e</w:t>
      </w:r>
      <w:r>
        <w:rPr>
          <w:b/>
          <w:spacing w:val="-3"/>
          <w:szCs w:val="22"/>
        </w:rPr>
        <w:t xml:space="preserve"> </w:t>
      </w:r>
      <w:r>
        <w:rPr>
          <w:b/>
          <w:szCs w:val="22"/>
        </w:rPr>
        <w:t xml:space="preserve">24 </w:t>
      </w:r>
      <w:r>
        <w:rPr>
          <w:b/>
          <w:spacing w:val="-2"/>
          <w:szCs w:val="22"/>
        </w:rPr>
        <w:t>ş</w:t>
      </w:r>
      <w:r>
        <w:rPr>
          <w:b/>
          <w:szCs w:val="22"/>
        </w:rPr>
        <w:t>i</w:t>
      </w:r>
      <w:r>
        <w:rPr>
          <w:b/>
          <w:spacing w:val="1"/>
          <w:szCs w:val="22"/>
        </w:rPr>
        <w:t xml:space="preserve"> </w:t>
      </w:r>
      <w:r>
        <w:rPr>
          <w:b/>
          <w:szCs w:val="22"/>
        </w:rPr>
        <w:t>36</w:t>
      </w:r>
      <w:r>
        <w:rPr>
          <w:b/>
          <w:spacing w:val="-3"/>
          <w:szCs w:val="22"/>
        </w:rPr>
        <w:t xml:space="preserve"> </w:t>
      </w:r>
      <w:r>
        <w:rPr>
          <w:b/>
          <w:spacing w:val="-1"/>
          <w:szCs w:val="22"/>
        </w:rPr>
        <w:t xml:space="preserve">după </w:t>
      </w:r>
    </w:p>
    <w:p w14:paraId="1F64F882" w14:textId="77777777" w:rsidR="00C04CAD" w:rsidRDefault="00060E34">
      <w:pPr>
        <w:keepNext/>
        <w:autoSpaceDE w:val="0"/>
        <w:autoSpaceDN w:val="0"/>
        <w:adjustRightInd w:val="0"/>
        <w:spacing w:line="240" w:lineRule="auto"/>
        <w:rPr>
          <w:b/>
          <w:bCs/>
          <w:szCs w:val="22"/>
        </w:rPr>
      </w:pPr>
      <w:r>
        <w:rPr>
          <w:b/>
          <w:szCs w:val="22"/>
        </w:rPr>
        <w:t>sc</w:t>
      </w:r>
      <w:r>
        <w:rPr>
          <w:b/>
          <w:spacing w:val="-1"/>
          <w:szCs w:val="22"/>
        </w:rPr>
        <w:t>h</w:t>
      </w:r>
      <w:r>
        <w:rPr>
          <w:b/>
          <w:spacing w:val="-2"/>
          <w:szCs w:val="22"/>
        </w:rPr>
        <w:t>i</w:t>
      </w:r>
      <w:r>
        <w:rPr>
          <w:b/>
          <w:szCs w:val="22"/>
        </w:rPr>
        <w:t>m</w:t>
      </w:r>
      <w:r>
        <w:rPr>
          <w:b/>
          <w:spacing w:val="-1"/>
          <w:szCs w:val="22"/>
        </w:rPr>
        <w:t>b</w:t>
      </w:r>
      <w:r>
        <w:rPr>
          <w:b/>
          <w:szCs w:val="22"/>
        </w:rPr>
        <w:t>a</w:t>
      </w:r>
      <w:r>
        <w:rPr>
          <w:b/>
          <w:spacing w:val="-3"/>
          <w:szCs w:val="22"/>
        </w:rPr>
        <w:t>r</w:t>
      </w:r>
      <w:r>
        <w:rPr>
          <w:b/>
          <w:szCs w:val="22"/>
        </w:rPr>
        <w:t xml:space="preserve">ea </w:t>
      </w:r>
      <w:r>
        <w:rPr>
          <w:b/>
          <w:spacing w:val="-2"/>
          <w:szCs w:val="22"/>
        </w:rPr>
        <w:t>t</w:t>
      </w:r>
      <w:r>
        <w:rPr>
          <w:b/>
          <w:szCs w:val="22"/>
        </w:rPr>
        <w:t>rat</w:t>
      </w:r>
      <w:r>
        <w:rPr>
          <w:b/>
          <w:spacing w:val="-3"/>
          <w:szCs w:val="22"/>
        </w:rPr>
        <w:t>a</w:t>
      </w:r>
      <w:r>
        <w:rPr>
          <w:b/>
          <w:szCs w:val="22"/>
        </w:rPr>
        <w:t>me</w:t>
      </w:r>
      <w:r>
        <w:rPr>
          <w:b/>
          <w:spacing w:val="-3"/>
          <w:szCs w:val="22"/>
        </w:rPr>
        <w:t>n</w:t>
      </w:r>
      <w:r>
        <w:rPr>
          <w:b/>
          <w:szCs w:val="22"/>
        </w:rPr>
        <w:t>t</w:t>
      </w:r>
      <w:r>
        <w:rPr>
          <w:b/>
          <w:spacing w:val="-1"/>
          <w:szCs w:val="22"/>
        </w:rPr>
        <w:t>u</w:t>
      </w:r>
      <w:r>
        <w:rPr>
          <w:b/>
          <w:spacing w:val="1"/>
          <w:szCs w:val="22"/>
        </w:rPr>
        <w:t>l</w:t>
      </w:r>
      <w:r>
        <w:rPr>
          <w:b/>
          <w:spacing w:val="-3"/>
          <w:szCs w:val="22"/>
        </w:rPr>
        <w:t>u</w:t>
      </w:r>
      <w:r>
        <w:rPr>
          <w:b/>
          <w:szCs w:val="22"/>
        </w:rPr>
        <w:t>i</w:t>
      </w:r>
      <w:r>
        <w:rPr>
          <w:b/>
          <w:spacing w:val="-2"/>
          <w:szCs w:val="22"/>
        </w:rPr>
        <w:t xml:space="preserve"> </w:t>
      </w:r>
      <w:r>
        <w:rPr>
          <w:b/>
          <w:spacing w:val="-1"/>
          <w:szCs w:val="22"/>
        </w:rPr>
        <w:t>d</w:t>
      </w:r>
      <w:r>
        <w:rPr>
          <w:b/>
          <w:szCs w:val="22"/>
        </w:rPr>
        <w:t xml:space="preserve">e </w:t>
      </w:r>
      <w:r>
        <w:rPr>
          <w:b/>
          <w:spacing w:val="1"/>
          <w:szCs w:val="22"/>
        </w:rPr>
        <w:t>l</w:t>
      </w:r>
      <w:r>
        <w:rPr>
          <w:b/>
          <w:szCs w:val="22"/>
        </w:rPr>
        <w:t>a</w:t>
      </w:r>
      <w:r>
        <w:rPr>
          <w:b/>
          <w:spacing w:val="-3"/>
          <w:szCs w:val="22"/>
        </w:rPr>
        <w:t xml:space="preserve"> </w:t>
      </w:r>
      <w:r>
        <w:rPr>
          <w:rFonts w:eastAsia="MS Mincho"/>
          <w:b/>
          <w:spacing w:val="-1"/>
          <w:szCs w:val="22"/>
          <w:lang w:eastAsia="en-US" w:bidi="ar-SA"/>
        </w:rPr>
        <w:t>adalimumab</w:t>
      </w:r>
      <w:r>
        <w:rPr>
          <w:b/>
          <w:szCs w:val="22"/>
        </w:rPr>
        <w:t xml:space="preserve"> a</w:t>
      </w:r>
      <w:r>
        <w:rPr>
          <w:b/>
          <w:spacing w:val="-1"/>
          <w:szCs w:val="22"/>
        </w:rPr>
        <w:t>d</w:t>
      </w:r>
      <w:r>
        <w:rPr>
          <w:b/>
          <w:spacing w:val="-2"/>
          <w:szCs w:val="22"/>
        </w:rPr>
        <w:t>m</w:t>
      </w:r>
      <w:r>
        <w:rPr>
          <w:b/>
          <w:spacing w:val="1"/>
          <w:szCs w:val="22"/>
        </w:rPr>
        <w:t>i</w:t>
      </w:r>
      <w:r>
        <w:rPr>
          <w:b/>
          <w:spacing w:val="-3"/>
          <w:szCs w:val="22"/>
        </w:rPr>
        <w:t>n</w:t>
      </w:r>
      <w:r>
        <w:rPr>
          <w:b/>
          <w:spacing w:val="1"/>
          <w:szCs w:val="22"/>
        </w:rPr>
        <w:t>i</w:t>
      </w:r>
      <w:r>
        <w:rPr>
          <w:b/>
          <w:szCs w:val="22"/>
        </w:rPr>
        <w:t>s</w:t>
      </w:r>
      <w:r>
        <w:rPr>
          <w:b/>
          <w:spacing w:val="-2"/>
          <w:szCs w:val="22"/>
        </w:rPr>
        <w:t>t</w:t>
      </w:r>
      <w:r>
        <w:rPr>
          <w:b/>
          <w:szCs w:val="22"/>
        </w:rPr>
        <w:t>r</w:t>
      </w:r>
      <w:r>
        <w:rPr>
          <w:b/>
          <w:spacing w:val="-3"/>
          <w:szCs w:val="22"/>
        </w:rPr>
        <w:t>a</w:t>
      </w:r>
      <w:r>
        <w:rPr>
          <w:b/>
          <w:szCs w:val="22"/>
        </w:rPr>
        <w:t>t</w:t>
      </w:r>
      <w:r>
        <w:rPr>
          <w:b/>
          <w:spacing w:val="1"/>
          <w:szCs w:val="22"/>
        </w:rPr>
        <w:t xml:space="preserve"> </w:t>
      </w:r>
      <w:r>
        <w:rPr>
          <w:b/>
          <w:szCs w:val="22"/>
        </w:rPr>
        <w:t>să</w:t>
      </w:r>
      <w:r>
        <w:rPr>
          <w:b/>
          <w:spacing w:val="-3"/>
          <w:szCs w:val="22"/>
        </w:rPr>
        <w:t>p</w:t>
      </w:r>
      <w:r>
        <w:rPr>
          <w:b/>
          <w:szCs w:val="22"/>
        </w:rPr>
        <w:t>tă</w:t>
      </w:r>
      <w:r>
        <w:rPr>
          <w:b/>
          <w:spacing w:val="-2"/>
          <w:szCs w:val="22"/>
        </w:rPr>
        <w:t>m</w:t>
      </w:r>
      <w:r>
        <w:rPr>
          <w:b/>
          <w:szCs w:val="22"/>
        </w:rPr>
        <w:t>â</w:t>
      </w:r>
      <w:r>
        <w:rPr>
          <w:b/>
          <w:spacing w:val="-1"/>
          <w:szCs w:val="22"/>
        </w:rPr>
        <w:t>n</w:t>
      </w:r>
      <w:r>
        <w:rPr>
          <w:b/>
          <w:szCs w:val="22"/>
        </w:rPr>
        <w:t>al</w:t>
      </w:r>
      <w:r>
        <w:rPr>
          <w:b/>
          <w:spacing w:val="-2"/>
          <w:szCs w:val="22"/>
        </w:rPr>
        <w:t xml:space="preserve"> </w:t>
      </w:r>
      <w:r>
        <w:rPr>
          <w:b/>
          <w:spacing w:val="1"/>
          <w:szCs w:val="22"/>
        </w:rPr>
        <w:t>î</w:t>
      </w:r>
      <w:r>
        <w:rPr>
          <w:b/>
          <w:szCs w:val="22"/>
        </w:rPr>
        <w:t>n</w:t>
      </w:r>
      <w:r>
        <w:rPr>
          <w:b/>
          <w:spacing w:val="-1"/>
          <w:szCs w:val="22"/>
        </w:rPr>
        <w:t xml:space="preserve"> </w:t>
      </w:r>
      <w:r>
        <w:rPr>
          <w:b/>
          <w:szCs w:val="22"/>
        </w:rPr>
        <w:t>să</w:t>
      </w:r>
      <w:r>
        <w:rPr>
          <w:b/>
          <w:spacing w:val="-3"/>
          <w:szCs w:val="22"/>
        </w:rPr>
        <w:t>p</w:t>
      </w:r>
      <w:r>
        <w:rPr>
          <w:b/>
          <w:szCs w:val="22"/>
        </w:rPr>
        <w:t>t</w:t>
      </w:r>
      <w:r>
        <w:rPr>
          <w:b/>
          <w:spacing w:val="-3"/>
          <w:szCs w:val="22"/>
        </w:rPr>
        <w:t>ă</w:t>
      </w:r>
      <w:r>
        <w:rPr>
          <w:b/>
          <w:szCs w:val="22"/>
        </w:rPr>
        <w:t>mâ</w:t>
      </w:r>
      <w:r>
        <w:rPr>
          <w:b/>
          <w:spacing w:val="-3"/>
          <w:szCs w:val="22"/>
        </w:rPr>
        <w:t>n</w:t>
      </w:r>
      <w:r>
        <w:rPr>
          <w:b/>
          <w:szCs w:val="22"/>
        </w:rPr>
        <w:t>a 12</w:t>
      </w:r>
    </w:p>
    <w:p w14:paraId="7F9E4F64" w14:textId="77777777" w:rsidR="00C04CAD" w:rsidRDefault="00C04CAD">
      <w:pPr>
        <w:keepNext/>
        <w:autoSpaceDE w:val="0"/>
        <w:autoSpaceDN w:val="0"/>
        <w:adjustRightInd w:val="0"/>
        <w:spacing w:line="240" w:lineRule="auto"/>
        <w:rPr>
          <w:szCs w:val="22"/>
        </w:rPr>
      </w:pPr>
    </w:p>
    <w:tbl>
      <w:tblPr>
        <w:tblW w:w="9214" w:type="dxa"/>
        <w:tblInd w:w="-5" w:type="dxa"/>
        <w:tblLayout w:type="fixed"/>
        <w:tblCellMar>
          <w:left w:w="0" w:type="dxa"/>
          <w:right w:w="0" w:type="dxa"/>
        </w:tblCellMar>
        <w:tblLook w:val="04A0" w:firstRow="1" w:lastRow="0" w:firstColumn="1" w:lastColumn="0" w:noHBand="0" w:noVBand="1"/>
      </w:tblPr>
      <w:tblGrid>
        <w:gridCol w:w="1711"/>
        <w:gridCol w:w="1985"/>
        <w:gridCol w:w="2693"/>
        <w:gridCol w:w="2825"/>
      </w:tblGrid>
      <w:tr w:rsidR="00C04CAD" w14:paraId="7136CBFD" w14:textId="77777777">
        <w:trPr>
          <w:trHeight w:hRule="exact" w:val="1049"/>
        </w:trPr>
        <w:tc>
          <w:tcPr>
            <w:tcW w:w="1711" w:type="dxa"/>
            <w:tcBorders>
              <w:top w:val="single" w:sz="4" w:space="0" w:color="000000"/>
              <w:left w:val="single" w:sz="4" w:space="0" w:color="000000"/>
              <w:bottom w:val="single" w:sz="4" w:space="0" w:color="000000"/>
              <w:right w:val="single" w:sz="4" w:space="0" w:color="000000"/>
            </w:tcBorders>
          </w:tcPr>
          <w:p w14:paraId="7758AA0F" w14:textId="77777777" w:rsidR="00C04CAD" w:rsidRDefault="00C04CAD">
            <w:pPr>
              <w:keepNext/>
              <w:tabs>
                <w:tab w:val="clear" w:pos="567"/>
              </w:tabs>
              <w:autoSpaceDE w:val="0"/>
              <w:autoSpaceDN w:val="0"/>
              <w:adjustRightInd w:val="0"/>
              <w:spacing w:line="240" w:lineRule="auto"/>
            </w:pPr>
          </w:p>
        </w:tc>
        <w:tc>
          <w:tcPr>
            <w:tcW w:w="1985" w:type="dxa"/>
            <w:tcBorders>
              <w:top w:val="single" w:sz="4" w:space="0" w:color="000000"/>
              <w:left w:val="single" w:sz="4" w:space="0" w:color="000000"/>
              <w:bottom w:val="single" w:sz="4" w:space="0" w:color="000000"/>
              <w:right w:val="single" w:sz="4" w:space="0" w:color="000000"/>
            </w:tcBorders>
            <w:vAlign w:val="center"/>
          </w:tcPr>
          <w:p w14:paraId="1F80EFAC" w14:textId="77777777" w:rsidR="00C04CAD" w:rsidRDefault="00060E34">
            <w:pPr>
              <w:keepNext/>
              <w:tabs>
                <w:tab w:val="clear" w:pos="567"/>
              </w:tabs>
              <w:kinsoku w:val="0"/>
              <w:overflowPunct w:val="0"/>
              <w:autoSpaceDE w:val="0"/>
              <w:autoSpaceDN w:val="0"/>
              <w:adjustRightInd w:val="0"/>
              <w:spacing w:line="240" w:lineRule="auto"/>
              <w:jc w:val="center"/>
              <w:rPr>
                <w:b/>
                <w:spacing w:val="-1"/>
              </w:rPr>
            </w:pPr>
            <w:r>
              <w:rPr>
                <w:b/>
                <w:spacing w:val="-1"/>
              </w:rPr>
              <w:t>P</w:t>
            </w:r>
            <w:r>
              <w:rPr>
                <w:b/>
                <w:spacing w:val="1"/>
              </w:rPr>
              <w:t>l</w:t>
            </w:r>
            <w:r>
              <w:rPr>
                <w:b/>
              </w:rPr>
              <w:t>ace</w:t>
            </w:r>
            <w:r>
              <w:rPr>
                <w:b/>
                <w:spacing w:val="-1"/>
              </w:rPr>
              <w:t xml:space="preserve">bo </w:t>
            </w:r>
          </w:p>
          <w:p w14:paraId="30775474"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w:t>
            </w:r>
            <w:r>
              <w:rPr>
                <w:b/>
                <w:spacing w:val="1"/>
              </w:rPr>
              <w:t>î</w:t>
            </w:r>
            <w:r>
              <w:rPr>
                <w:b/>
                <w:spacing w:val="-1"/>
              </w:rPr>
              <w:t>n</w:t>
            </w:r>
            <w:r>
              <w:rPr>
                <w:b/>
                <w:spacing w:val="-2"/>
              </w:rPr>
              <w:t>t</w:t>
            </w:r>
            <w:r>
              <w:rPr>
                <w:b/>
              </w:rPr>
              <w:t>rer</w:t>
            </w:r>
            <w:r>
              <w:rPr>
                <w:b/>
                <w:spacing w:val="-1"/>
              </w:rPr>
              <w:t>u</w:t>
            </w:r>
            <w:r>
              <w:rPr>
                <w:b/>
                <w:spacing w:val="-3"/>
              </w:rPr>
              <w:t>p</w:t>
            </w:r>
            <w:r>
              <w:rPr>
                <w:b/>
              </w:rPr>
              <w:t>ere tra</w:t>
            </w:r>
            <w:r>
              <w:rPr>
                <w:b/>
                <w:spacing w:val="-2"/>
              </w:rPr>
              <w:t>t</w:t>
            </w:r>
            <w:r>
              <w:rPr>
                <w:b/>
              </w:rPr>
              <w:t>a</w:t>
            </w:r>
            <w:r>
              <w:rPr>
                <w:b/>
                <w:spacing w:val="-2"/>
              </w:rPr>
              <w:t>m</w:t>
            </w:r>
            <w:r>
              <w:rPr>
                <w:b/>
              </w:rPr>
              <w:t>e</w:t>
            </w:r>
            <w:r>
              <w:rPr>
                <w:b/>
                <w:spacing w:val="-1"/>
              </w:rPr>
              <w:t>n</w:t>
            </w:r>
            <w:r>
              <w:rPr>
                <w:b/>
              </w:rPr>
              <w:t xml:space="preserve">t) </w:t>
            </w:r>
          </w:p>
          <w:p w14:paraId="6CEFBE1B" w14:textId="77777777" w:rsidR="00C04CAD" w:rsidRDefault="00060E34">
            <w:pPr>
              <w:keepNext/>
              <w:tabs>
                <w:tab w:val="clear" w:pos="567"/>
              </w:tabs>
              <w:kinsoku w:val="0"/>
              <w:overflowPunct w:val="0"/>
              <w:autoSpaceDE w:val="0"/>
              <w:autoSpaceDN w:val="0"/>
              <w:adjustRightInd w:val="0"/>
              <w:spacing w:line="240" w:lineRule="auto"/>
              <w:jc w:val="center"/>
            </w:pPr>
            <w:r>
              <w:rPr>
                <w:b/>
              </w:rPr>
              <w:t>N</w:t>
            </w:r>
            <w:r>
              <w:rPr>
                <w:b/>
                <w:spacing w:val="-1"/>
              </w:rPr>
              <w:t xml:space="preserve"> </w:t>
            </w:r>
            <w:r>
              <w:rPr>
                <w:b/>
              </w:rPr>
              <w:t>=</w:t>
            </w:r>
            <w:r>
              <w:rPr>
                <w:b/>
                <w:spacing w:val="-1"/>
              </w:rPr>
              <w:t xml:space="preserve"> </w:t>
            </w:r>
            <w:r>
              <w:rPr>
                <w:b/>
              </w:rPr>
              <w:t>73</w:t>
            </w:r>
          </w:p>
        </w:tc>
        <w:tc>
          <w:tcPr>
            <w:tcW w:w="2693" w:type="dxa"/>
            <w:tcBorders>
              <w:top w:val="single" w:sz="4" w:space="0" w:color="000000"/>
              <w:left w:val="single" w:sz="4" w:space="0" w:color="000000"/>
              <w:bottom w:val="single" w:sz="4" w:space="0" w:color="000000"/>
              <w:right w:val="single" w:sz="4" w:space="0" w:color="000000"/>
            </w:tcBorders>
            <w:vAlign w:val="center"/>
          </w:tcPr>
          <w:p w14:paraId="445CF517"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pacing w:val="-1"/>
                <w:szCs w:val="22"/>
                <w:lang w:eastAsia="en-US" w:bidi="ar-SA"/>
              </w:rPr>
              <w:t>Adalimumab</w:t>
            </w:r>
            <w:r>
              <w:rPr>
                <w:b/>
                <w:spacing w:val="-3"/>
                <w:szCs w:val="22"/>
              </w:rPr>
              <w:t xml:space="preserve"> </w:t>
            </w:r>
            <w:r>
              <w:rPr>
                <w:b/>
                <w:szCs w:val="22"/>
              </w:rPr>
              <w:t xml:space="preserve">40 </w:t>
            </w:r>
            <w:r>
              <w:rPr>
                <w:b/>
                <w:spacing w:val="-2"/>
                <w:szCs w:val="22"/>
              </w:rPr>
              <w:t>m</w:t>
            </w:r>
            <w:r>
              <w:rPr>
                <w:b/>
                <w:szCs w:val="22"/>
              </w:rPr>
              <w:t xml:space="preserve">g o </w:t>
            </w:r>
            <w:r>
              <w:rPr>
                <w:b/>
                <w:spacing w:val="-1"/>
                <w:szCs w:val="22"/>
              </w:rPr>
              <w:t>d</w:t>
            </w:r>
            <w:r>
              <w:rPr>
                <w:b/>
                <w:szCs w:val="22"/>
              </w:rPr>
              <w:t>ată</w:t>
            </w:r>
            <w:r>
              <w:rPr>
                <w:b/>
                <w:spacing w:val="-3"/>
                <w:szCs w:val="22"/>
              </w:rPr>
              <w:t xml:space="preserve"> </w:t>
            </w:r>
            <w:r>
              <w:rPr>
                <w:b/>
                <w:spacing w:val="1"/>
                <w:szCs w:val="22"/>
              </w:rPr>
              <w:t>l</w:t>
            </w:r>
            <w:r>
              <w:rPr>
                <w:b/>
                <w:szCs w:val="22"/>
              </w:rPr>
              <w:t xml:space="preserve">a </w:t>
            </w:r>
            <w:r>
              <w:rPr>
                <w:b/>
                <w:spacing w:val="-1"/>
                <w:szCs w:val="22"/>
              </w:rPr>
              <w:t>d</w:t>
            </w:r>
            <w:r>
              <w:rPr>
                <w:b/>
                <w:szCs w:val="22"/>
              </w:rPr>
              <w:t>o</w:t>
            </w:r>
            <w:r>
              <w:rPr>
                <w:b/>
                <w:spacing w:val="-1"/>
                <w:szCs w:val="22"/>
              </w:rPr>
              <w:t>u</w:t>
            </w:r>
            <w:r>
              <w:rPr>
                <w:b/>
                <w:szCs w:val="22"/>
              </w:rPr>
              <w:t>ă să</w:t>
            </w:r>
            <w:r>
              <w:rPr>
                <w:b/>
                <w:spacing w:val="-1"/>
                <w:szCs w:val="22"/>
              </w:rPr>
              <w:t>p</w:t>
            </w:r>
            <w:r>
              <w:rPr>
                <w:b/>
                <w:szCs w:val="22"/>
              </w:rPr>
              <w:t>t</w:t>
            </w:r>
            <w:r>
              <w:rPr>
                <w:b/>
                <w:spacing w:val="-3"/>
                <w:szCs w:val="22"/>
              </w:rPr>
              <w:t>ă</w:t>
            </w:r>
            <w:r>
              <w:rPr>
                <w:b/>
                <w:szCs w:val="22"/>
              </w:rPr>
              <w:t>mâ</w:t>
            </w:r>
            <w:r>
              <w:rPr>
                <w:b/>
                <w:spacing w:val="-3"/>
                <w:szCs w:val="22"/>
              </w:rPr>
              <w:t>n</w:t>
            </w:r>
            <w:r>
              <w:rPr>
                <w:b/>
                <w:szCs w:val="22"/>
              </w:rPr>
              <w:t>i</w:t>
            </w:r>
          </w:p>
          <w:p w14:paraId="3D3340C2" w14:textId="77777777" w:rsidR="00C04CAD" w:rsidRDefault="00060E34">
            <w:pPr>
              <w:keepNext/>
              <w:tabs>
                <w:tab w:val="clear" w:pos="567"/>
              </w:tabs>
              <w:kinsoku w:val="0"/>
              <w:overflowPunct w:val="0"/>
              <w:autoSpaceDE w:val="0"/>
              <w:autoSpaceDN w:val="0"/>
              <w:adjustRightInd w:val="0"/>
              <w:spacing w:line="240" w:lineRule="auto"/>
              <w:jc w:val="center"/>
            </w:pPr>
            <w:r>
              <w:rPr>
                <w:b/>
                <w:szCs w:val="22"/>
              </w:rPr>
              <w:t>N</w:t>
            </w:r>
            <w:r>
              <w:rPr>
                <w:b/>
                <w:spacing w:val="-1"/>
                <w:szCs w:val="22"/>
              </w:rPr>
              <w:t xml:space="preserve"> </w:t>
            </w:r>
            <w:r>
              <w:rPr>
                <w:b/>
                <w:szCs w:val="22"/>
              </w:rPr>
              <w:t>=</w:t>
            </w:r>
            <w:r>
              <w:rPr>
                <w:b/>
                <w:spacing w:val="-1"/>
                <w:szCs w:val="22"/>
              </w:rPr>
              <w:t xml:space="preserve"> </w:t>
            </w:r>
            <w:r>
              <w:rPr>
                <w:b/>
                <w:szCs w:val="22"/>
              </w:rPr>
              <w:t>70</w:t>
            </w:r>
          </w:p>
        </w:tc>
        <w:tc>
          <w:tcPr>
            <w:tcW w:w="2825" w:type="dxa"/>
            <w:tcBorders>
              <w:top w:val="single" w:sz="4" w:space="0" w:color="000000"/>
              <w:left w:val="single" w:sz="4" w:space="0" w:color="000000"/>
              <w:bottom w:val="single" w:sz="4" w:space="0" w:color="000000"/>
              <w:right w:val="single" w:sz="4" w:space="0" w:color="000000"/>
            </w:tcBorders>
            <w:vAlign w:val="center"/>
          </w:tcPr>
          <w:p w14:paraId="72481E4D"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pacing w:val="-1"/>
                <w:szCs w:val="22"/>
                <w:lang w:eastAsia="en-US" w:bidi="ar-SA"/>
              </w:rPr>
              <w:t>Adalimumab</w:t>
            </w:r>
            <w:r>
              <w:rPr>
                <w:b/>
                <w:spacing w:val="-3"/>
                <w:szCs w:val="22"/>
              </w:rPr>
              <w:t xml:space="preserve"> </w:t>
            </w:r>
            <w:r>
              <w:rPr>
                <w:b/>
                <w:szCs w:val="22"/>
              </w:rPr>
              <w:t xml:space="preserve">40 </w:t>
            </w:r>
            <w:r>
              <w:rPr>
                <w:b/>
                <w:spacing w:val="-2"/>
                <w:szCs w:val="22"/>
              </w:rPr>
              <w:t>m</w:t>
            </w:r>
            <w:r>
              <w:rPr>
                <w:b/>
                <w:szCs w:val="22"/>
              </w:rPr>
              <w:t>g să</w:t>
            </w:r>
            <w:r>
              <w:rPr>
                <w:b/>
                <w:spacing w:val="-1"/>
                <w:szCs w:val="22"/>
              </w:rPr>
              <w:t>p</w:t>
            </w:r>
            <w:r>
              <w:rPr>
                <w:b/>
                <w:szCs w:val="22"/>
              </w:rPr>
              <w:t>t</w:t>
            </w:r>
            <w:r>
              <w:rPr>
                <w:b/>
                <w:spacing w:val="-3"/>
                <w:szCs w:val="22"/>
              </w:rPr>
              <w:t>ă</w:t>
            </w:r>
            <w:r>
              <w:rPr>
                <w:b/>
                <w:szCs w:val="22"/>
              </w:rPr>
              <w:t>mâ</w:t>
            </w:r>
            <w:r>
              <w:rPr>
                <w:b/>
                <w:spacing w:val="-1"/>
                <w:szCs w:val="22"/>
              </w:rPr>
              <w:t>n</w:t>
            </w:r>
            <w:r>
              <w:rPr>
                <w:b/>
                <w:spacing w:val="-3"/>
                <w:szCs w:val="22"/>
              </w:rPr>
              <w:t>al</w:t>
            </w:r>
          </w:p>
          <w:p w14:paraId="53BF6948" w14:textId="77777777" w:rsidR="00C04CAD" w:rsidRDefault="00060E34">
            <w:pPr>
              <w:keepNext/>
              <w:tabs>
                <w:tab w:val="clear" w:pos="567"/>
              </w:tabs>
              <w:kinsoku w:val="0"/>
              <w:overflowPunct w:val="0"/>
              <w:autoSpaceDE w:val="0"/>
              <w:autoSpaceDN w:val="0"/>
              <w:adjustRightInd w:val="0"/>
              <w:spacing w:line="240" w:lineRule="auto"/>
              <w:jc w:val="center"/>
            </w:pPr>
            <w:r>
              <w:rPr>
                <w:b/>
                <w:szCs w:val="22"/>
              </w:rPr>
              <w:t>N</w:t>
            </w:r>
            <w:r>
              <w:rPr>
                <w:b/>
                <w:spacing w:val="-1"/>
                <w:szCs w:val="22"/>
              </w:rPr>
              <w:t xml:space="preserve"> </w:t>
            </w:r>
            <w:r>
              <w:rPr>
                <w:b/>
                <w:szCs w:val="22"/>
              </w:rPr>
              <w:t>=</w:t>
            </w:r>
            <w:r>
              <w:rPr>
                <w:b/>
                <w:spacing w:val="-1"/>
                <w:szCs w:val="22"/>
              </w:rPr>
              <w:t xml:space="preserve"> </w:t>
            </w:r>
            <w:r>
              <w:rPr>
                <w:b/>
                <w:szCs w:val="22"/>
              </w:rPr>
              <w:t>70</w:t>
            </w:r>
          </w:p>
        </w:tc>
      </w:tr>
      <w:tr w:rsidR="00C04CAD" w14:paraId="1B9461D2" w14:textId="77777777">
        <w:trPr>
          <w:trHeight w:hRule="exact" w:val="397"/>
        </w:trPr>
        <w:tc>
          <w:tcPr>
            <w:tcW w:w="1711" w:type="dxa"/>
            <w:tcBorders>
              <w:top w:val="single" w:sz="4" w:space="0" w:color="000000"/>
              <w:left w:val="single" w:sz="4" w:space="0" w:color="000000"/>
              <w:bottom w:val="single" w:sz="4" w:space="0" w:color="auto"/>
              <w:right w:val="single" w:sz="4" w:space="0" w:color="000000"/>
            </w:tcBorders>
          </w:tcPr>
          <w:p w14:paraId="5E3CAB22" w14:textId="77777777" w:rsidR="00C04CAD" w:rsidRDefault="00060E34">
            <w:pPr>
              <w:tabs>
                <w:tab w:val="clear" w:pos="567"/>
              </w:tabs>
              <w:kinsoku w:val="0"/>
              <w:overflowPunct w:val="0"/>
              <w:autoSpaceDE w:val="0"/>
              <w:autoSpaceDN w:val="0"/>
              <w:adjustRightInd w:val="0"/>
              <w:spacing w:line="240" w:lineRule="auto"/>
              <w:ind w:left="80"/>
            </w:pPr>
            <w:r>
              <w:rPr>
                <w:spacing w:val="-1"/>
              </w:rPr>
              <w:t>S</w:t>
            </w:r>
            <w:r>
              <w:t>ăp</w:t>
            </w:r>
            <w:r>
              <w:rPr>
                <w:spacing w:val="1"/>
              </w:rPr>
              <w:t>t</w:t>
            </w:r>
            <w:r>
              <w:t>ă</w:t>
            </w:r>
            <w:r>
              <w:rPr>
                <w:spacing w:val="-4"/>
              </w:rPr>
              <w:t>m</w:t>
            </w:r>
            <w:r>
              <w:t>âna 24</w:t>
            </w:r>
          </w:p>
        </w:tc>
        <w:tc>
          <w:tcPr>
            <w:tcW w:w="1985" w:type="dxa"/>
            <w:tcBorders>
              <w:top w:val="single" w:sz="4" w:space="0" w:color="000000"/>
              <w:left w:val="single" w:sz="4" w:space="0" w:color="000000"/>
              <w:bottom w:val="single" w:sz="4" w:space="0" w:color="auto"/>
              <w:right w:val="single" w:sz="4" w:space="0" w:color="000000"/>
            </w:tcBorders>
          </w:tcPr>
          <w:p w14:paraId="587E2BDD" w14:textId="77777777" w:rsidR="00C04CAD" w:rsidRDefault="00060E34">
            <w:pPr>
              <w:tabs>
                <w:tab w:val="clear" w:pos="567"/>
              </w:tabs>
              <w:kinsoku w:val="0"/>
              <w:overflowPunct w:val="0"/>
              <w:autoSpaceDE w:val="0"/>
              <w:autoSpaceDN w:val="0"/>
              <w:adjustRightInd w:val="0"/>
              <w:spacing w:line="240" w:lineRule="auto"/>
              <w:jc w:val="center"/>
            </w:pPr>
            <w:r>
              <w:t>24 (32,</w:t>
            </w:r>
            <w:r>
              <w:rPr>
                <w:spacing w:val="-3"/>
              </w:rPr>
              <w:t>9</w:t>
            </w:r>
            <w:r>
              <w:rPr>
                <w:spacing w:val="-2"/>
              </w:rPr>
              <w:t>%</w:t>
            </w:r>
            <w:r>
              <w:t>)</w:t>
            </w:r>
          </w:p>
        </w:tc>
        <w:tc>
          <w:tcPr>
            <w:tcW w:w="2693" w:type="dxa"/>
            <w:tcBorders>
              <w:top w:val="single" w:sz="4" w:space="0" w:color="000000"/>
              <w:left w:val="single" w:sz="4" w:space="0" w:color="000000"/>
              <w:bottom w:val="single" w:sz="4" w:space="0" w:color="auto"/>
              <w:right w:val="single" w:sz="4" w:space="0" w:color="000000"/>
            </w:tcBorders>
          </w:tcPr>
          <w:p w14:paraId="7B65A86E" w14:textId="77777777" w:rsidR="00C04CAD" w:rsidRDefault="00060E34">
            <w:pPr>
              <w:tabs>
                <w:tab w:val="clear" w:pos="567"/>
              </w:tabs>
              <w:kinsoku w:val="0"/>
              <w:overflowPunct w:val="0"/>
              <w:autoSpaceDE w:val="0"/>
              <w:autoSpaceDN w:val="0"/>
              <w:adjustRightInd w:val="0"/>
              <w:spacing w:line="240" w:lineRule="auto"/>
              <w:jc w:val="center"/>
            </w:pPr>
            <w:r>
              <w:t>36 (51,</w:t>
            </w:r>
            <w:r>
              <w:rPr>
                <w:spacing w:val="-3"/>
              </w:rPr>
              <w:t>4</w:t>
            </w:r>
            <w:r>
              <w:rPr>
                <w:spacing w:val="-2"/>
              </w:rPr>
              <w:t>%</w:t>
            </w:r>
            <w:r>
              <w:t>)</w:t>
            </w:r>
          </w:p>
        </w:tc>
        <w:tc>
          <w:tcPr>
            <w:tcW w:w="2825" w:type="dxa"/>
            <w:tcBorders>
              <w:top w:val="single" w:sz="4" w:space="0" w:color="000000"/>
              <w:left w:val="single" w:sz="4" w:space="0" w:color="000000"/>
              <w:bottom w:val="single" w:sz="4" w:space="0" w:color="auto"/>
              <w:right w:val="single" w:sz="4" w:space="0" w:color="000000"/>
            </w:tcBorders>
          </w:tcPr>
          <w:p w14:paraId="05FB7A6D" w14:textId="77777777" w:rsidR="00C04CAD" w:rsidRDefault="00060E34">
            <w:pPr>
              <w:tabs>
                <w:tab w:val="clear" w:pos="567"/>
              </w:tabs>
              <w:kinsoku w:val="0"/>
              <w:overflowPunct w:val="0"/>
              <w:autoSpaceDE w:val="0"/>
              <w:autoSpaceDN w:val="0"/>
              <w:adjustRightInd w:val="0"/>
              <w:spacing w:line="240" w:lineRule="auto"/>
              <w:jc w:val="center"/>
            </w:pPr>
            <w:r>
              <w:t>40 (57,</w:t>
            </w:r>
            <w:r>
              <w:rPr>
                <w:spacing w:val="-3"/>
              </w:rPr>
              <w:t>1</w:t>
            </w:r>
            <w:r>
              <w:rPr>
                <w:spacing w:val="-2"/>
              </w:rPr>
              <w:t>%</w:t>
            </w:r>
            <w:r>
              <w:t>)</w:t>
            </w:r>
          </w:p>
        </w:tc>
      </w:tr>
      <w:tr w:rsidR="00C04CAD" w14:paraId="0673BF2E" w14:textId="77777777">
        <w:trPr>
          <w:trHeight w:hRule="exact" w:val="340"/>
        </w:trPr>
        <w:tc>
          <w:tcPr>
            <w:tcW w:w="1711" w:type="dxa"/>
            <w:tcBorders>
              <w:top w:val="single" w:sz="4" w:space="0" w:color="auto"/>
              <w:left w:val="single" w:sz="4" w:space="0" w:color="auto"/>
              <w:bottom w:val="single" w:sz="4" w:space="0" w:color="auto"/>
              <w:right w:val="single" w:sz="4" w:space="0" w:color="000000"/>
            </w:tcBorders>
          </w:tcPr>
          <w:p w14:paraId="26796DF0" w14:textId="77777777" w:rsidR="00C04CAD" w:rsidRDefault="00060E34">
            <w:pPr>
              <w:tabs>
                <w:tab w:val="clear" w:pos="567"/>
              </w:tabs>
              <w:kinsoku w:val="0"/>
              <w:overflowPunct w:val="0"/>
              <w:autoSpaceDE w:val="0"/>
              <w:autoSpaceDN w:val="0"/>
              <w:adjustRightInd w:val="0"/>
              <w:spacing w:line="240" w:lineRule="auto"/>
              <w:ind w:left="80"/>
            </w:pPr>
            <w:r>
              <w:rPr>
                <w:spacing w:val="-1"/>
              </w:rPr>
              <w:t>S</w:t>
            </w:r>
            <w:r>
              <w:t>ăp</w:t>
            </w:r>
            <w:r>
              <w:rPr>
                <w:spacing w:val="1"/>
              </w:rPr>
              <w:t>t</w:t>
            </w:r>
            <w:r>
              <w:t>ă</w:t>
            </w:r>
            <w:r>
              <w:rPr>
                <w:spacing w:val="-4"/>
              </w:rPr>
              <w:t>m</w:t>
            </w:r>
            <w:r>
              <w:t>âna 36</w:t>
            </w:r>
          </w:p>
        </w:tc>
        <w:tc>
          <w:tcPr>
            <w:tcW w:w="1985" w:type="dxa"/>
            <w:tcBorders>
              <w:top w:val="single" w:sz="4" w:space="0" w:color="auto"/>
              <w:left w:val="single" w:sz="4" w:space="0" w:color="000000"/>
              <w:bottom w:val="single" w:sz="4" w:space="0" w:color="auto"/>
              <w:right w:val="single" w:sz="4" w:space="0" w:color="000000"/>
            </w:tcBorders>
          </w:tcPr>
          <w:p w14:paraId="1B7B4FF4" w14:textId="77777777" w:rsidR="00C04CAD" w:rsidRDefault="00060E34">
            <w:pPr>
              <w:tabs>
                <w:tab w:val="clear" w:pos="567"/>
              </w:tabs>
              <w:kinsoku w:val="0"/>
              <w:overflowPunct w:val="0"/>
              <w:autoSpaceDE w:val="0"/>
              <w:autoSpaceDN w:val="0"/>
              <w:adjustRightInd w:val="0"/>
              <w:spacing w:line="240" w:lineRule="auto"/>
              <w:jc w:val="center"/>
            </w:pPr>
            <w:r>
              <w:t>22 (30,</w:t>
            </w:r>
            <w:r>
              <w:rPr>
                <w:spacing w:val="-3"/>
              </w:rPr>
              <w:t>1</w:t>
            </w:r>
            <w:r>
              <w:rPr>
                <w:spacing w:val="-2"/>
              </w:rPr>
              <w:t>%</w:t>
            </w:r>
            <w:r>
              <w:t>)</w:t>
            </w:r>
          </w:p>
        </w:tc>
        <w:tc>
          <w:tcPr>
            <w:tcW w:w="2693" w:type="dxa"/>
            <w:tcBorders>
              <w:top w:val="single" w:sz="4" w:space="0" w:color="auto"/>
              <w:left w:val="single" w:sz="4" w:space="0" w:color="000000"/>
              <w:bottom w:val="single" w:sz="4" w:space="0" w:color="auto"/>
              <w:right w:val="single" w:sz="4" w:space="0" w:color="000000"/>
            </w:tcBorders>
          </w:tcPr>
          <w:p w14:paraId="64B70D38" w14:textId="77777777" w:rsidR="00C04CAD" w:rsidRDefault="00060E34">
            <w:pPr>
              <w:tabs>
                <w:tab w:val="clear" w:pos="567"/>
              </w:tabs>
              <w:kinsoku w:val="0"/>
              <w:overflowPunct w:val="0"/>
              <w:autoSpaceDE w:val="0"/>
              <w:autoSpaceDN w:val="0"/>
              <w:adjustRightInd w:val="0"/>
              <w:spacing w:line="240" w:lineRule="auto"/>
              <w:jc w:val="center"/>
            </w:pPr>
            <w:r>
              <w:t>28 (40,</w:t>
            </w:r>
            <w:r>
              <w:rPr>
                <w:spacing w:val="-3"/>
              </w:rPr>
              <w:t>0</w:t>
            </w:r>
            <w:r>
              <w:rPr>
                <w:spacing w:val="-2"/>
              </w:rPr>
              <w:t>%</w:t>
            </w:r>
            <w:r>
              <w:t>)</w:t>
            </w:r>
          </w:p>
        </w:tc>
        <w:tc>
          <w:tcPr>
            <w:tcW w:w="2825" w:type="dxa"/>
            <w:tcBorders>
              <w:top w:val="single" w:sz="4" w:space="0" w:color="auto"/>
              <w:left w:val="single" w:sz="4" w:space="0" w:color="000000"/>
              <w:bottom w:val="single" w:sz="4" w:space="0" w:color="auto"/>
              <w:right w:val="single" w:sz="4" w:space="0" w:color="auto"/>
            </w:tcBorders>
          </w:tcPr>
          <w:p w14:paraId="5D83056B" w14:textId="77777777" w:rsidR="00C04CAD" w:rsidRDefault="00060E34">
            <w:pPr>
              <w:tabs>
                <w:tab w:val="clear" w:pos="567"/>
              </w:tabs>
              <w:kinsoku w:val="0"/>
              <w:overflowPunct w:val="0"/>
              <w:autoSpaceDE w:val="0"/>
              <w:autoSpaceDN w:val="0"/>
              <w:adjustRightInd w:val="0"/>
              <w:spacing w:line="240" w:lineRule="auto"/>
              <w:jc w:val="center"/>
            </w:pPr>
            <w:r>
              <w:t xml:space="preserve">39 </w:t>
            </w:r>
            <w:r>
              <w:rPr>
                <w:spacing w:val="-2"/>
              </w:rPr>
              <w:t>(</w:t>
            </w:r>
            <w:r>
              <w:t>55,</w:t>
            </w:r>
            <w:r>
              <w:rPr>
                <w:spacing w:val="-3"/>
              </w:rPr>
              <w:t>7</w:t>
            </w:r>
            <w:r>
              <w:t>%)</w:t>
            </w:r>
          </w:p>
        </w:tc>
      </w:tr>
      <w:tr w:rsidR="00C04CAD" w14:paraId="7A73DD2D" w14:textId="77777777">
        <w:trPr>
          <w:trHeight w:hRule="exact" w:val="737"/>
        </w:trPr>
        <w:tc>
          <w:tcPr>
            <w:tcW w:w="9214" w:type="dxa"/>
            <w:gridSpan w:val="4"/>
            <w:tcBorders>
              <w:top w:val="single" w:sz="4" w:space="0" w:color="auto"/>
            </w:tcBorders>
          </w:tcPr>
          <w:p w14:paraId="2179EB01"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w:t>
            </w:r>
            <w:r>
              <w:rPr>
                <w:spacing w:val="-1"/>
                <w:sz w:val="20"/>
              </w:rPr>
              <w:t>P</w:t>
            </w:r>
            <w:r>
              <w:rPr>
                <w:sz w:val="20"/>
              </w:rPr>
              <w:t>a</w:t>
            </w:r>
            <w:r>
              <w:rPr>
                <w:spacing w:val="-3"/>
                <w:sz w:val="20"/>
              </w:rPr>
              <w:t>c</w:t>
            </w:r>
            <w:r>
              <w:rPr>
                <w:spacing w:val="1"/>
                <w:sz w:val="20"/>
              </w:rPr>
              <w:t>i</w:t>
            </w:r>
            <w:r>
              <w:rPr>
                <w:sz w:val="20"/>
              </w:rPr>
              <w:t>e</w:t>
            </w:r>
            <w:r>
              <w:rPr>
                <w:spacing w:val="-3"/>
                <w:sz w:val="20"/>
              </w:rPr>
              <w:t>n</w:t>
            </w:r>
            <w:r>
              <w:rPr>
                <w:spacing w:val="1"/>
                <w:sz w:val="20"/>
              </w:rPr>
              <w:t>ţ</w:t>
            </w:r>
            <w:r>
              <w:rPr>
                <w:sz w:val="20"/>
              </w:rPr>
              <w:t>i</w:t>
            </w:r>
            <w:r>
              <w:rPr>
                <w:spacing w:val="-2"/>
                <w:sz w:val="20"/>
              </w:rPr>
              <w:t xml:space="preserve"> </w:t>
            </w:r>
            <w:r>
              <w:rPr>
                <w:sz w:val="20"/>
              </w:rPr>
              <w:t>cu c</w:t>
            </w:r>
            <w:r>
              <w:rPr>
                <w:spacing w:val="-3"/>
                <w:sz w:val="20"/>
              </w:rPr>
              <w:t>e</w:t>
            </w:r>
            <w:r>
              <w:rPr>
                <w:sz w:val="20"/>
              </w:rPr>
              <w:t>l</w:t>
            </w:r>
            <w:r>
              <w:rPr>
                <w:spacing w:val="1"/>
                <w:sz w:val="20"/>
              </w:rPr>
              <w:t xml:space="preserve"> </w:t>
            </w:r>
            <w:r>
              <w:rPr>
                <w:sz w:val="20"/>
              </w:rPr>
              <w:t>p</w:t>
            </w:r>
            <w:r>
              <w:rPr>
                <w:spacing w:val="-3"/>
                <w:sz w:val="20"/>
              </w:rPr>
              <w:t>u</w:t>
            </w:r>
            <w:r>
              <w:rPr>
                <w:spacing w:val="1"/>
                <w:sz w:val="20"/>
              </w:rPr>
              <w:t>ţi</w:t>
            </w:r>
            <w:r>
              <w:rPr>
                <w:sz w:val="20"/>
              </w:rPr>
              <w:t>n</w:t>
            </w:r>
            <w:r>
              <w:rPr>
                <w:spacing w:val="-3"/>
                <w:sz w:val="20"/>
              </w:rPr>
              <w:t xml:space="preserve"> </w:t>
            </w:r>
            <w:r>
              <w:rPr>
                <w:sz w:val="20"/>
              </w:rPr>
              <w:t xml:space="preserve">un </w:t>
            </w:r>
            <w:r>
              <w:rPr>
                <w:spacing w:val="-2"/>
                <w:sz w:val="20"/>
              </w:rPr>
              <w:t>r</w:t>
            </w:r>
            <w:r>
              <w:rPr>
                <w:spacing w:val="-3"/>
                <w:sz w:val="20"/>
              </w:rPr>
              <w:t>ă</w:t>
            </w:r>
            <w:r>
              <w:rPr>
                <w:sz w:val="20"/>
              </w:rPr>
              <w:t xml:space="preserve">spuns </w:t>
            </w:r>
            <w:r>
              <w:rPr>
                <w:spacing w:val="-3"/>
                <w:sz w:val="20"/>
              </w:rPr>
              <w:t>p</w:t>
            </w:r>
            <w:r>
              <w:rPr>
                <w:sz w:val="20"/>
              </w:rPr>
              <w:t>a</w:t>
            </w:r>
            <w:r>
              <w:rPr>
                <w:spacing w:val="-2"/>
                <w:sz w:val="20"/>
              </w:rPr>
              <w:t>r</w:t>
            </w:r>
            <w:r>
              <w:rPr>
                <w:spacing w:val="1"/>
                <w:sz w:val="20"/>
              </w:rPr>
              <w:t>ţ</w:t>
            </w:r>
            <w:r>
              <w:rPr>
                <w:spacing w:val="-2"/>
                <w:sz w:val="20"/>
              </w:rPr>
              <w:t>i</w:t>
            </w:r>
            <w:r>
              <w:rPr>
                <w:sz w:val="20"/>
              </w:rPr>
              <w:t>al</w:t>
            </w:r>
            <w:r>
              <w:rPr>
                <w:spacing w:val="-2"/>
                <w:sz w:val="20"/>
              </w:rPr>
              <w:t xml:space="preserve"> </w:t>
            </w:r>
            <w:r>
              <w:rPr>
                <w:spacing w:val="1"/>
                <w:sz w:val="20"/>
              </w:rPr>
              <w:t>l</w:t>
            </w:r>
            <w:r>
              <w:rPr>
                <w:sz w:val="20"/>
              </w:rPr>
              <w:t xml:space="preserve">a </w:t>
            </w:r>
            <w:r>
              <w:rPr>
                <w:rFonts w:eastAsia="MS Mincho"/>
                <w:spacing w:val="-1"/>
                <w:sz w:val="20"/>
                <w:lang w:eastAsia="en-US" w:bidi="ar-SA"/>
              </w:rPr>
              <w:t>adalimumab</w:t>
            </w:r>
            <w:r>
              <w:rPr>
                <w:sz w:val="20"/>
              </w:rPr>
              <w:t xml:space="preserve"> 40</w:t>
            </w:r>
            <w:r>
              <w:rPr>
                <w:spacing w:val="-3"/>
                <w:sz w:val="20"/>
              </w:rPr>
              <w:t> </w:t>
            </w:r>
            <w:r>
              <w:rPr>
                <w:spacing w:val="-2"/>
                <w:sz w:val="20"/>
              </w:rPr>
              <w:t>m</w:t>
            </w:r>
            <w:r>
              <w:rPr>
                <w:sz w:val="20"/>
              </w:rPr>
              <w:t>g</w:t>
            </w:r>
            <w:r>
              <w:rPr>
                <w:spacing w:val="-3"/>
                <w:sz w:val="20"/>
              </w:rPr>
              <w:t xml:space="preserve"> </w:t>
            </w:r>
            <w:r>
              <w:rPr>
                <w:sz w:val="20"/>
              </w:rPr>
              <w:t>săp</w:t>
            </w:r>
            <w:r>
              <w:rPr>
                <w:spacing w:val="1"/>
                <w:sz w:val="20"/>
              </w:rPr>
              <w:t>t</w:t>
            </w:r>
            <w:r>
              <w:rPr>
                <w:sz w:val="20"/>
              </w:rPr>
              <w:t>ă</w:t>
            </w:r>
            <w:r>
              <w:rPr>
                <w:spacing w:val="-4"/>
                <w:sz w:val="20"/>
              </w:rPr>
              <w:t>m</w:t>
            </w:r>
            <w:r>
              <w:rPr>
                <w:sz w:val="20"/>
              </w:rPr>
              <w:t>ânal</w:t>
            </w:r>
            <w:r>
              <w:rPr>
                <w:spacing w:val="1"/>
                <w:sz w:val="20"/>
              </w:rPr>
              <w:t xml:space="preserve"> </w:t>
            </w:r>
            <w:r>
              <w:rPr>
                <w:sz w:val="20"/>
              </w:rPr>
              <w:t>după 12 să</w:t>
            </w:r>
            <w:r>
              <w:rPr>
                <w:spacing w:val="-3"/>
                <w:sz w:val="20"/>
              </w:rPr>
              <w:t>p</w:t>
            </w:r>
            <w:r>
              <w:rPr>
                <w:spacing w:val="1"/>
                <w:sz w:val="20"/>
              </w:rPr>
              <w:t>t</w:t>
            </w:r>
            <w:r>
              <w:rPr>
                <w:sz w:val="20"/>
              </w:rPr>
              <w:t>ă</w:t>
            </w:r>
            <w:r>
              <w:rPr>
                <w:spacing w:val="-4"/>
                <w:sz w:val="20"/>
              </w:rPr>
              <w:t>m</w:t>
            </w:r>
            <w:r>
              <w:rPr>
                <w:sz w:val="20"/>
              </w:rPr>
              <w:t>âni</w:t>
            </w:r>
            <w:r>
              <w:rPr>
                <w:spacing w:val="1"/>
                <w:sz w:val="20"/>
              </w:rPr>
              <w:t xml:space="preserve"> </w:t>
            </w:r>
            <w:r>
              <w:rPr>
                <w:sz w:val="20"/>
              </w:rPr>
              <w:t>de</w:t>
            </w:r>
            <w:r>
              <w:rPr>
                <w:spacing w:val="-3"/>
                <w:sz w:val="20"/>
              </w:rPr>
              <w:t xml:space="preserve"> </w:t>
            </w:r>
            <w:r>
              <w:rPr>
                <w:spacing w:val="1"/>
                <w:sz w:val="20"/>
              </w:rPr>
              <w:t>t</w:t>
            </w:r>
            <w:r>
              <w:rPr>
                <w:spacing w:val="-2"/>
                <w:sz w:val="20"/>
              </w:rPr>
              <w:t>r</w:t>
            </w:r>
            <w:r>
              <w:rPr>
                <w:sz w:val="20"/>
              </w:rPr>
              <w:t>a</w:t>
            </w:r>
            <w:r>
              <w:rPr>
                <w:spacing w:val="1"/>
                <w:sz w:val="20"/>
              </w:rPr>
              <w:t>t</w:t>
            </w:r>
            <w:r>
              <w:rPr>
                <w:sz w:val="20"/>
              </w:rPr>
              <w:t>a</w:t>
            </w:r>
            <w:r>
              <w:rPr>
                <w:spacing w:val="-4"/>
                <w:sz w:val="20"/>
              </w:rPr>
              <w:t>m</w:t>
            </w:r>
            <w:r>
              <w:rPr>
                <w:sz w:val="20"/>
              </w:rPr>
              <w:t>en</w:t>
            </w:r>
            <w:r>
              <w:rPr>
                <w:spacing w:val="1"/>
                <w:sz w:val="20"/>
              </w:rPr>
              <w:t>t</w:t>
            </w:r>
          </w:p>
          <w:p w14:paraId="5D394E0B"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b</w:t>
            </w:r>
            <w:r>
              <w:rPr>
                <w:sz w:val="20"/>
              </w:rPr>
              <w:t xml:space="preserve"> </w:t>
            </w:r>
            <w:r>
              <w:rPr>
                <w:spacing w:val="-1"/>
                <w:sz w:val="20"/>
              </w:rPr>
              <w:t>P</w:t>
            </w:r>
            <w:r>
              <w:rPr>
                <w:sz w:val="20"/>
              </w:rPr>
              <w:t>en</w:t>
            </w:r>
            <w:r>
              <w:rPr>
                <w:spacing w:val="-2"/>
                <w:sz w:val="20"/>
              </w:rPr>
              <w:t>t</w:t>
            </w:r>
            <w:r>
              <w:rPr>
                <w:sz w:val="20"/>
              </w:rPr>
              <w:t>ru p</w:t>
            </w:r>
            <w:r>
              <w:rPr>
                <w:spacing w:val="-3"/>
                <w:sz w:val="20"/>
              </w:rPr>
              <w:t>a</w:t>
            </w:r>
            <w:r>
              <w:rPr>
                <w:sz w:val="20"/>
              </w:rPr>
              <w:t>c</w:t>
            </w:r>
            <w:r>
              <w:rPr>
                <w:spacing w:val="-2"/>
                <w:sz w:val="20"/>
              </w:rPr>
              <w:t>i</w:t>
            </w:r>
            <w:r>
              <w:rPr>
                <w:sz w:val="20"/>
              </w:rPr>
              <w:t>en</w:t>
            </w:r>
            <w:r>
              <w:rPr>
                <w:spacing w:val="-2"/>
                <w:sz w:val="20"/>
              </w:rPr>
              <w:t>ţ</w:t>
            </w:r>
            <w:r>
              <w:rPr>
                <w:spacing w:val="1"/>
                <w:sz w:val="20"/>
              </w:rPr>
              <w:t>i</w:t>
            </w:r>
            <w:r>
              <w:rPr>
                <w:sz w:val="20"/>
              </w:rPr>
              <w:t>i</w:t>
            </w:r>
            <w:r>
              <w:rPr>
                <w:spacing w:val="-2"/>
                <w:sz w:val="20"/>
              </w:rPr>
              <w:t xml:space="preserve"> </w:t>
            </w:r>
            <w:r>
              <w:rPr>
                <w:sz w:val="20"/>
              </w:rPr>
              <w:t>ca</w:t>
            </w:r>
            <w:r>
              <w:rPr>
                <w:spacing w:val="-2"/>
                <w:sz w:val="20"/>
              </w:rPr>
              <w:t>r</w:t>
            </w:r>
            <w:r>
              <w:rPr>
                <w:sz w:val="20"/>
              </w:rPr>
              <w:t>e au</w:t>
            </w:r>
            <w:r>
              <w:rPr>
                <w:spacing w:val="-3"/>
                <w:sz w:val="20"/>
              </w:rPr>
              <w:t xml:space="preserve"> </w:t>
            </w:r>
            <w:r>
              <w:rPr>
                <w:spacing w:val="1"/>
                <w:sz w:val="20"/>
              </w:rPr>
              <w:t>î</w:t>
            </w:r>
            <w:r>
              <w:rPr>
                <w:spacing w:val="-3"/>
                <w:sz w:val="20"/>
              </w:rPr>
              <w:t>n</w:t>
            </w:r>
            <w:r>
              <w:rPr>
                <w:sz w:val="20"/>
              </w:rPr>
              <w:t>dep</w:t>
            </w:r>
            <w:r>
              <w:rPr>
                <w:spacing w:val="-2"/>
                <w:sz w:val="20"/>
              </w:rPr>
              <w:t>l</w:t>
            </w:r>
            <w:r>
              <w:rPr>
                <w:spacing w:val="1"/>
                <w:sz w:val="20"/>
              </w:rPr>
              <w:t>i</w:t>
            </w:r>
            <w:r>
              <w:rPr>
                <w:sz w:val="20"/>
              </w:rPr>
              <w:t>n</w:t>
            </w:r>
            <w:r>
              <w:rPr>
                <w:spacing w:val="-2"/>
                <w:sz w:val="20"/>
              </w:rPr>
              <w:t>i</w:t>
            </w:r>
            <w:r>
              <w:rPr>
                <w:sz w:val="20"/>
              </w:rPr>
              <w:t>t</w:t>
            </w:r>
            <w:r>
              <w:rPr>
                <w:spacing w:val="1"/>
                <w:sz w:val="20"/>
              </w:rPr>
              <w:t xml:space="preserve"> </w:t>
            </w:r>
            <w:r>
              <w:rPr>
                <w:spacing w:val="-3"/>
                <w:sz w:val="20"/>
              </w:rPr>
              <w:t>c</w:t>
            </w:r>
            <w:r>
              <w:rPr>
                <w:sz w:val="20"/>
              </w:rPr>
              <w:t>r</w:t>
            </w:r>
            <w:r>
              <w:rPr>
                <w:spacing w:val="-2"/>
                <w:sz w:val="20"/>
              </w:rPr>
              <w:t>i</w:t>
            </w:r>
            <w:r>
              <w:rPr>
                <w:spacing w:val="1"/>
                <w:sz w:val="20"/>
              </w:rPr>
              <w:t>t</w:t>
            </w:r>
            <w:r>
              <w:rPr>
                <w:spacing w:val="-3"/>
                <w:sz w:val="20"/>
              </w:rPr>
              <w:t>e</w:t>
            </w:r>
            <w:r>
              <w:rPr>
                <w:sz w:val="20"/>
              </w:rPr>
              <w:t>r</w:t>
            </w:r>
            <w:r>
              <w:rPr>
                <w:spacing w:val="-2"/>
                <w:sz w:val="20"/>
              </w:rPr>
              <w:t>i</w:t>
            </w:r>
            <w:r>
              <w:rPr>
                <w:spacing w:val="1"/>
                <w:sz w:val="20"/>
              </w:rPr>
              <w:t>il</w:t>
            </w:r>
            <w:r>
              <w:rPr>
                <w:sz w:val="20"/>
              </w:rPr>
              <w:t>e</w:t>
            </w:r>
            <w:r>
              <w:rPr>
                <w:spacing w:val="-2"/>
                <w:sz w:val="20"/>
              </w:rPr>
              <w:t xml:space="preserve"> </w:t>
            </w:r>
            <w:r>
              <w:rPr>
                <w:sz w:val="20"/>
              </w:rPr>
              <w:t>sp</w:t>
            </w:r>
            <w:r>
              <w:rPr>
                <w:spacing w:val="-3"/>
                <w:sz w:val="20"/>
              </w:rPr>
              <w:t>e</w:t>
            </w:r>
            <w:r>
              <w:rPr>
                <w:sz w:val="20"/>
              </w:rPr>
              <w:t>c</w:t>
            </w:r>
            <w:r>
              <w:rPr>
                <w:spacing w:val="-2"/>
                <w:sz w:val="20"/>
              </w:rPr>
              <w:t>i</w:t>
            </w:r>
            <w:r>
              <w:rPr>
                <w:sz w:val="20"/>
              </w:rPr>
              <w:t>f</w:t>
            </w:r>
            <w:r>
              <w:rPr>
                <w:spacing w:val="1"/>
                <w:sz w:val="20"/>
              </w:rPr>
              <w:t>i</w:t>
            </w:r>
            <w:r>
              <w:rPr>
                <w:spacing w:val="-3"/>
                <w:sz w:val="20"/>
              </w:rPr>
              <w:t>c</w:t>
            </w:r>
            <w:r>
              <w:rPr>
                <w:sz w:val="20"/>
              </w:rPr>
              <w:t>e</w:t>
            </w:r>
            <w:r>
              <w:rPr>
                <w:spacing w:val="-2"/>
                <w:sz w:val="20"/>
              </w:rPr>
              <w:t xml:space="preserve"> </w:t>
            </w:r>
            <w:r>
              <w:rPr>
                <w:sz w:val="20"/>
              </w:rPr>
              <w:t>pro</w:t>
            </w:r>
            <w:r>
              <w:rPr>
                <w:spacing w:val="1"/>
                <w:sz w:val="20"/>
              </w:rPr>
              <w:t>t</w:t>
            </w:r>
            <w:r>
              <w:rPr>
                <w:spacing w:val="-3"/>
                <w:sz w:val="20"/>
              </w:rPr>
              <w:t>o</w:t>
            </w:r>
            <w:r>
              <w:rPr>
                <w:sz w:val="20"/>
              </w:rPr>
              <w:t>co</w:t>
            </w:r>
            <w:r>
              <w:rPr>
                <w:spacing w:val="-2"/>
                <w:sz w:val="20"/>
              </w:rPr>
              <w:t>l</w:t>
            </w:r>
            <w:r>
              <w:rPr>
                <w:sz w:val="20"/>
              </w:rPr>
              <w:t>u</w:t>
            </w:r>
            <w:r>
              <w:rPr>
                <w:spacing w:val="1"/>
                <w:sz w:val="20"/>
              </w:rPr>
              <w:t>l</w:t>
            </w:r>
            <w:r>
              <w:rPr>
                <w:spacing w:val="-3"/>
                <w:sz w:val="20"/>
              </w:rPr>
              <w:t>u</w:t>
            </w:r>
            <w:r>
              <w:rPr>
                <w:sz w:val="20"/>
              </w:rPr>
              <w:t>i</w:t>
            </w:r>
            <w:r>
              <w:rPr>
                <w:spacing w:val="1"/>
                <w:sz w:val="20"/>
              </w:rPr>
              <w:t xml:space="preserve"> </w:t>
            </w:r>
            <w:r>
              <w:rPr>
                <w:sz w:val="20"/>
              </w:rPr>
              <w:t>p</w:t>
            </w:r>
            <w:r>
              <w:rPr>
                <w:spacing w:val="-3"/>
                <w:sz w:val="20"/>
              </w:rPr>
              <w:t>e</w:t>
            </w:r>
            <w:r>
              <w:rPr>
                <w:sz w:val="20"/>
              </w:rPr>
              <w:t>n</w:t>
            </w:r>
            <w:r>
              <w:rPr>
                <w:spacing w:val="-2"/>
                <w:sz w:val="20"/>
              </w:rPr>
              <w:t>t</w:t>
            </w:r>
            <w:r>
              <w:rPr>
                <w:sz w:val="20"/>
              </w:rPr>
              <w:t>ru p</w:t>
            </w:r>
            <w:r>
              <w:rPr>
                <w:spacing w:val="1"/>
                <w:sz w:val="20"/>
              </w:rPr>
              <w:t>i</w:t>
            </w:r>
            <w:r>
              <w:rPr>
                <w:sz w:val="20"/>
              </w:rPr>
              <w:t>e</w:t>
            </w:r>
            <w:r>
              <w:rPr>
                <w:spacing w:val="-2"/>
                <w:sz w:val="20"/>
              </w:rPr>
              <w:t>r</w:t>
            </w:r>
            <w:r>
              <w:rPr>
                <w:sz w:val="20"/>
              </w:rPr>
              <w:t>de</w:t>
            </w:r>
            <w:r>
              <w:rPr>
                <w:spacing w:val="-2"/>
                <w:sz w:val="20"/>
              </w:rPr>
              <w:t>r</w:t>
            </w:r>
            <w:r>
              <w:rPr>
                <w:sz w:val="20"/>
              </w:rPr>
              <w:t>ea</w:t>
            </w:r>
            <w:r>
              <w:rPr>
                <w:spacing w:val="-2"/>
                <w:sz w:val="20"/>
              </w:rPr>
              <w:t xml:space="preserve"> </w:t>
            </w:r>
            <w:r>
              <w:rPr>
                <w:sz w:val="20"/>
              </w:rPr>
              <w:t>răs</w:t>
            </w:r>
            <w:r>
              <w:rPr>
                <w:spacing w:val="-3"/>
                <w:sz w:val="20"/>
              </w:rPr>
              <w:t>p</w:t>
            </w:r>
            <w:r>
              <w:rPr>
                <w:sz w:val="20"/>
              </w:rPr>
              <w:t>uns</w:t>
            </w:r>
            <w:r>
              <w:rPr>
                <w:spacing w:val="-3"/>
                <w:sz w:val="20"/>
              </w:rPr>
              <w:t>u</w:t>
            </w:r>
            <w:r>
              <w:rPr>
                <w:spacing w:val="1"/>
                <w:sz w:val="20"/>
              </w:rPr>
              <w:t>l</w:t>
            </w:r>
            <w:r>
              <w:rPr>
                <w:sz w:val="20"/>
              </w:rPr>
              <w:t>ui</w:t>
            </w:r>
            <w:r>
              <w:rPr>
                <w:spacing w:val="-2"/>
                <w:sz w:val="20"/>
              </w:rPr>
              <w:t xml:space="preserve"> </w:t>
            </w:r>
            <w:r>
              <w:rPr>
                <w:sz w:val="20"/>
              </w:rPr>
              <w:t>sau</w:t>
            </w:r>
            <w:r>
              <w:rPr>
                <w:spacing w:val="-3"/>
                <w:sz w:val="20"/>
              </w:rPr>
              <w:t xml:space="preserve"> a</w:t>
            </w:r>
            <w:r>
              <w:rPr>
                <w:sz w:val="20"/>
              </w:rPr>
              <w:t>bsen</w:t>
            </w:r>
            <w:r>
              <w:rPr>
                <w:spacing w:val="-2"/>
                <w:sz w:val="20"/>
              </w:rPr>
              <w:t>ţ</w:t>
            </w:r>
            <w:r>
              <w:rPr>
                <w:sz w:val="20"/>
              </w:rPr>
              <w:t>a o</w:t>
            </w:r>
            <w:r>
              <w:rPr>
                <w:spacing w:val="-2"/>
                <w:sz w:val="20"/>
              </w:rPr>
              <w:t>r</w:t>
            </w:r>
            <w:r>
              <w:rPr>
                <w:spacing w:val="1"/>
                <w:sz w:val="20"/>
              </w:rPr>
              <w:t>i</w:t>
            </w:r>
            <w:r>
              <w:rPr>
                <w:spacing w:val="-3"/>
                <w:sz w:val="20"/>
              </w:rPr>
              <w:t>c</w:t>
            </w:r>
            <w:r>
              <w:rPr>
                <w:sz w:val="20"/>
              </w:rPr>
              <w:t>ăr</w:t>
            </w:r>
            <w:r>
              <w:rPr>
                <w:spacing w:val="-3"/>
                <w:sz w:val="20"/>
              </w:rPr>
              <w:t>e</w:t>
            </w:r>
            <w:r>
              <w:rPr>
                <w:sz w:val="20"/>
              </w:rPr>
              <w:t>i</w:t>
            </w:r>
            <w:r>
              <w:rPr>
                <w:spacing w:val="1"/>
                <w:sz w:val="20"/>
              </w:rPr>
              <w:t xml:space="preserve"> </w:t>
            </w:r>
            <w:r>
              <w:rPr>
                <w:sz w:val="20"/>
              </w:rPr>
              <w:t>a</w:t>
            </w:r>
            <w:r>
              <w:rPr>
                <w:spacing w:val="-4"/>
                <w:sz w:val="20"/>
              </w:rPr>
              <w:t>m</w:t>
            </w:r>
            <w:r>
              <w:rPr>
                <w:sz w:val="20"/>
              </w:rPr>
              <w:t>e</w:t>
            </w:r>
            <w:r>
              <w:rPr>
                <w:spacing w:val="1"/>
                <w:sz w:val="20"/>
              </w:rPr>
              <w:t>li</w:t>
            </w:r>
            <w:r>
              <w:rPr>
                <w:spacing w:val="-3"/>
                <w:sz w:val="20"/>
              </w:rPr>
              <w:t>o</w:t>
            </w:r>
            <w:r>
              <w:rPr>
                <w:sz w:val="20"/>
              </w:rPr>
              <w:t>r</w:t>
            </w:r>
            <w:r>
              <w:rPr>
                <w:spacing w:val="-3"/>
                <w:sz w:val="20"/>
              </w:rPr>
              <w:t>ă</w:t>
            </w:r>
            <w:r>
              <w:rPr>
                <w:sz w:val="20"/>
              </w:rPr>
              <w:t>ri</w:t>
            </w:r>
            <w:r>
              <w:rPr>
                <w:spacing w:val="-2"/>
                <w:sz w:val="20"/>
              </w:rPr>
              <w:t xml:space="preserve"> </w:t>
            </w:r>
            <w:r>
              <w:rPr>
                <w:spacing w:val="-3"/>
                <w:sz w:val="20"/>
              </w:rPr>
              <w:t>s</w:t>
            </w:r>
            <w:r>
              <w:rPr>
                <w:spacing w:val="-4"/>
                <w:sz w:val="20"/>
              </w:rPr>
              <w:t>-</w:t>
            </w:r>
            <w:r>
              <w:rPr>
                <w:sz w:val="20"/>
              </w:rPr>
              <w:t>a so</w:t>
            </w:r>
            <w:r>
              <w:rPr>
                <w:spacing w:val="1"/>
                <w:sz w:val="20"/>
              </w:rPr>
              <w:t>li</w:t>
            </w:r>
            <w:r>
              <w:rPr>
                <w:sz w:val="20"/>
              </w:rPr>
              <w:t>c</w:t>
            </w:r>
            <w:r>
              <w:rPr>
                <w:spacing w:val="-2"/>
                <w:sz w:val="20"/>
              </w:rPr>
              <w:t>i</w:t>
            </w:r>
            <w:r>
              <w:rPr>
                <w:spacing w:val="1"/>
                <w:sz w:val="20"/>
              </w:rPr>
              <w:t>t</w:t>
            </w:r>
            <w:r>
              <w:rPr>
                <w:spacing w:val="-3"/>
                <w:sz w:val="20"/>
              </w:rPr>
              <w:t>a</w:t>
            </w:r>
            <w:r>
              <w:rPr>
                <w:sz w:val="20"/>
              </w:rPr>
              <w:t>t</w:t>
            </w:r>
            <w:r>
              <w:rPr>
                <w:spacing w:val="1"/>
                <w:sz w:val="20"/>
              </w:rPr>
              <w:t xml:space="preserve"> i</w:t>
            </w:r>
            <w:r>
              <w:rPr>
                <w:spacing w:val="-3"/>
                <w:sz w:val="20"/>
              </w:rPr>
              <w:t>e</w:t>
            </w:r>
            <w:r>
              <w:rPr>
                <w:sz w:val="20"/>
              </w:rPr>
              <w:t>ş</w:t>
            </w:r>
            <w:r>
              <w:rPr>
                <w:spacing w:val="-2"/>
                <w:sz w:val="20"/>
              </w:rPr>
              <w:t>i</w:t>
            </w:r>
            <w:r>
              <w:rPr>
                <w:sz w:val="20"/>
              </w:rPr>
              <w:t>rea</w:t>
            </w:r>
            <w:r>
              <w:rPr>
                <w:spacing w:val="-2"/>
                <w:sz w:val="20"/>
              </w:rPr>
              <w:t xml:space="preserve"> </w:t>
            </w:r>
            <w:r>
              <w:rPr>
                <w:sz w:val="20"/>
              </w:rPr>
              <w:t>d</w:t>
            </w:r>
            <w:r>
              <w:rPr>
                <w:spacing w:val="1"/>
                <w:sz w:val="20"/>
              </w:rPr>
              <w:t>i</w:t>
            </w:r>
            <w:r>
              <w:rPr>
                <w:sz w:val="20"/>
              </w:rPr>
              <w:t>n s</w:t>
            </w:r>
            <w:r>
              <w:rPr>
                <w:spacing w:val="1"/>
                <w:sz w:val="20"/>
              </w:rPr>
              <w:t>t</w:t>
            </w:r>
            <w:r>
              <w:rPr>
                <w:sz w:val="20"/>
              </w:rPr>
              <w:t>u</w:t>
            </w:r>
            <w:r>
              <w:rPr>
                <w:spacing w:val="-3"/>
                <w:sz w:val="20"/>
              </w:rPr>
              <w:t>d</w:t>
            </w:r>
            <w:r>
              <w:rPr>
                <w:spacing w:val="1"/>
                <w:sz w:val="20"/>
              </w:rPr>
              <w:t>i</w:t>
            </w:r>
            <w:r>
              <w:rPr>
                <w:sz w:val="20"/>
              </w:rPr>
              <w:t>i</w:t>
            </w:r>
            <w:r>
              <w:rPr>
                <w:spacing w:val="-2"/>
                <w:sz w:val="20"/>
              </w:rPr>
              <w:t xml:space="preserve"> </w:t>
            </w:r>
            <w:r>
              <w:rPr>
                <w:sz w:val="20"/>
              </w:rPr>
              <w:t>şi</w:t>
            </w:r>
            <w:r>
              <w:rPr>
                <w:spacing w:val="-2"/>
                <w:sz w:val="20"/>
              </w:rPr>
              <w:t xml:space="preserve"> </w:t>
            </w:r>
            <w:r>
              <w:rPr>
                <w:sz w:val="20"/>
              </w:rPr>
              <w:t>au f</w:t>
            </w:r>
            <w:r>
              <w:rPr>
                <w:spacing w:val="-3"/>
                <w:sz w:val="20"/>
              </w:rPr>
              <w:t>o</w:t>
            </w:r>
            <w:r>
              <w:rPr>
                <w:sz w:val="20"/>
              </w:rPr>
              <w:t>st</w:t>
            </w:r>
            <w:r>
              <w:rPr>
                <w:spacing w:val="-2"/>
                <w:sz w:val="20"/>
              </w:rPr>
              <w:t xml:space="preserve"> </w:t>
            </w:r>
            <w:r>
              <w:rPr>
                <w:sz w:val="20"/>
              </w:rPr>
              <w:t>nu</w:t>
            </w:r>
            <w:r>
              <w:rPr>
                <w:spacing w:val="-4"/>
                <w:sz w:val="20"/>
              </w:rPr>
              <w:t>m</w:t>
            </w:r>
            <w:r>
              <w:rPr>
                <w:sz w:val="20"/>
              </w:rPr>
              <w:t>ăra</w:t>
            </w:r>
            <w:r>
              <w:rPr>
                <w:spacing w:val="1"/>
                <w:sz w:val="20"/>
              </w:rPr>
              <w:t>ţ</w:t>
            </w:r>
            <w:r>
              <w:rPr>
                <w:sz w:val="20"/>
              </w:rPr>
              <w:t>i</w:t>
            </w:r>
            <w:r>
              <w:rPr>
                <w:spacing w:val="-2"/>
                <w:sz w:val="20"/>
              </w:rPr>
              <w:t xml:space="preserve"> </w:t>
            </w:r>
            <w:r>
              <w:rPr>
                <w:sz w:val="20"/>
              </w:rPr>
              <w:t>ca</w:t>
            </w:r>
            <w:r>
              <w:rPr>
                <w:spacing w:val="-2"/>
                <w:sz w:val="20"/>
              </w:rPr>
              <w:t xml:space="preserve"> </w:t>
            </w:r>
            <w:r>
              <w:rPr>
                <w:sz w:val="20"/>
              </w:rPr>
              <w:t>pac</w:t>
            </w:r>
            <w:r>
              <w:rPr>
                <w:spacing w:val="-2"/>
                <w:sz w:val="20"/>
              </w:rPr>
              <w:t>i</w:t>
            </w:r>
            <w:r>
              <w:rPr>
                <w:sz w:val="20"/>
              </w:rPr>
              <w:t>en</w:t>
            </w:r>
            <w:r>
              <w:rPr>
                <w:spacing w:val="-2"/>
                <w:sz w:val="20"/>
              </w:rPr>
              <w:t>ţ</w:t>
            </w:r>
            <w:r>
              <w:rPr>
                <w:sz w:val="20"/>
              </w:rPr>
              <w:t>i</w:t>
            </w:r>
            <w:r>
              <w:rPr>
                <w:spacing w:val="1"/>
                <w:sz w:val="20"/>
              </w:rPr>
              <w:t xml:space="preserve"> </w:t>
            </w:r>
            <w:r>
              <w:rPr>
                <w:spacing w:val="-2"/>
                <w:sz w:val="20"/>
              </w:rPr>
              <w:t>f</w:t>
            </w:r>
            <w:r>
              <w:rPr>
                <w:sz w:val="20"/>
              </w:rPr>
              <w:t>ără</w:t>
            </w:r>
            <w:r>
              <w:rPr>
                <w:spacing w:val="-2"/>
                <w:sz w:val="20"/>
              </w:rPr>
              <w:t xml:space="preserve"> </w:t>
            </w:r>
            <w:r>
              <w:rPr>
                <w:sz w:val="20"/>
              </w:rPr>
              <w:t>r</w:t>
            </w:r>
            <w:r>
              <w:rPr>
                <w:spacing w:val="-3"/>
                <w:sz w:val="20"/>
              </w:rPr>
              <w:t>ă</w:t>
            </w:r>
            <w:r>
              <w:rPr>
                <w:sz w:val="20"/>
              </w:rPr>
              <w:t>spu</w:t>
            </w:r>
            <w:r>
              <w:rPr>
                <w:spacing w:val="-3"/>
                <w:sz w:val="20"/>
              </w:rPr>
              <w:t>n</w:t>
            </w:r>
            <w:r>
              <w:rPr>
                <w:sz w:val="20"/>
              </w:rPr>
              <w:t xml:space="preserve">s </w:t>
            </w:r>
            <w:r>
              <w:rPr>
                <w:spacing w:val="1"/>
                <w:sz w:val="20"/>
              </w:rPr>
              <w:t>l</w:t>
            </w:r>
            <w:r>
              <w:rPr>
                <w:sz w:val="20"/>
              </w:rPr>
              <w:t>a</w:t>
            </w:r>
            <w:r>
              <w:rPr>
                <w:spacing w:val="-2"/>
                <w:sz w:val="20"/>
              </w:rPr>
              <w:t xml:space="preserve"> </w:t>
            </w:r>
            <w:r>
              <w:rPr>
                <w:spacing w:val="1"/>
                <w:sz w:val="20"/>
              </w:rPr>
              <w:t>t</w:t>
            </w:r>
            <w:r>
              <w:rPr>
                <w:spacing w:val="-2"/>
                <w:sz w:val="20"/>
              </w:rPr>
              <w:t>r</w:t>
            </w:r>
            <w:r>
              <w:rPr>
                <w:sz w:val="20"/>
              </w:rPr>
              <w:t>a</w:t>
            </w:r>
            <w:r>
              <w:rPr>
                <w:spacing w:val="-2"/>
                <w:sz w:val="20"/>
              </w:rPr>
              <w:t>t</w:t>
            </w:r>
            <w:r>
              <w:rPr>
                <w:sz w:val="20"/>
              </w:rPr>
              <w:t>a</w:t>
            </w:r>
            <w:r>
              <w:rPr>
                <w:spacing w:val="-4"/>
                <w:sz w:val="20"/>
              </w:rPr>
              <w:t>m</w:t>
            </w:r>
            <w:r>
              <w:rPr>
                <w:sz w:val="20"/>
              </w:rPr>
              <w:t>en</w:t>
            </w:r>
            <w:r>
              <w:rPr>
                <w:spacing w:val="1"/>
                <w:sz w:val="20"/>
              </w:rPr>
              <w:t>t</w:t>
            </w:r>
          </w:p>
        </w:tc>
      </w:tr>
    </w:tbl>
    <w:p w14:paraId="49F8F7BD" w14:textId="77777777" w:rsidR="00C04CAD" w:rsidRDefault="00C04CAD">
      <w:pPr>
        <w:autoSpaceDE w:val="0"/>
        <w:autoSpaceDN w:val="0"/>
        <w:adjustRightInd w:val="0"/>
        <w:spacing w:line="240" w:lineRule="auto"/>
        <w:rPr>
          <w:sz w:val="24"/>
        </w:rPr>
      </w:pPr>
    </w:p>
    <w:p w14:paraId="6F44F92E" w14:textId="77777777" w:rsidR="00C04CAD" w:rsidRDefault="00060E34">
      <w:pPr>
        <w:tabs>
          <w:tab w:val="clear" w:pos="567"/>
        </w:tabs>
        <w:kinsoku w:val="0"/>
        <w:overflowPunct w:val="0"/>
        <w:autoSpaceDE w:val="0"/>
        <w:autoSpaceDN w:val="0"/>
        <w:adjustRightInd w:val="0"/>
        <w:spacing w:line="240" w:lineRule="auto"/>
        <w:rPr>
          <w:rFonts w:eastAsia="MS Mincho"/>
          <w:spacing w:val="-1"/>
          <w:szCs w:val="22"/>
          <w:lang w:eastAsia="en-US" w:bidi="ar-SA"/>
        </w:rPr>
      </w:pPr>
      <w:r>
        <w:rPr>
          <w:spacing w:val="-4"/>
        </w:rPr>
        <w:t>Î</w:t>
      </w:r>
      <w:r>
        <w:t>n rândul</w:t>
      </w:r>
      <w:r>
        <w:rPr>
          <w:spacing w:val="1"/>
        </w:rPr>
        <w:t xml:space="preserve"> </w:t>
      </w:r>
      <w:r>
        <w:t>pa</w:t>
      </w:r>
      <w:r>
        <w:rPr>
          <w:spacing w:val="-3"/>
        </w:rPr>
        <w:t>c</w:t>
      </w:r>
      <w:r>
        <w:rPr>
          <w:spacing w:val="1"/>
        </w:rPr>
        <w:t>i</w:t>
      </w:r>
      <w:r>
        <w:t>e</w:t>
      </w:r>
      <w:r>
        <w:rPr>
          <w:spacing w:val="-3"/>
        </w:rPr>
        <w:t>n</w:t>
      </w:r>
      <w:r>
        <w:rPr>
          <w:spacing w:val="1"/>
        </w:rPr>
        <w:t>ţ</w:t>
      </w:r>
      <w:r>
        <w:rPr>
          <w:spacing w:val="-2"/>
        </w:rPr>
        <w:t>i</w:t>
      </w:r>
      <w:r>
        <w:rPr>
          <w:spacing w:val="1"/>
        </w:rPr>
        <w:t>l</w:t>
      </w:r>
      <w:r>
        <w:rPr>
          <w:spacing w:val="-3"/>
        </w:rPr>
        <w:t>o</w:t>
      </w:r>
      <w:r>
        <w:t>r</w:t>
      </w:r>
      <w:r>
        <w:rPr>
          <w:spacing w:val="1"/>
        </w:rPr>
        <w:t xml:space="preserve"> </w:t>
      </w:r>
      <w:r>
        <w:t>c</w:t>
      </w:r>
      <w:r>
        <w:rPr>
          <w:spacing w:val="-3"/>
        </w:rPr>
        <w:t>a</w:t>
      </w:r>
      <w:r>
        <w:t xml:space="preserve">re </w:t>
      </w:r>
      <w:r>
        <w:rPr>
          <w:spacing w:val="-3"/>
        </w:rPr>
        <w:t>a</w:t>
      </w:r>
      <w:r>
        <w:t>u ră</w:t>
      </w:r>
      <w:r>
        <w:rPr>
          <w:spacing w:val="-2"/>
        </w:rPr>
        <w:t>s</w:t>
      </w:r>
      <w:r>
        <w:t>puns</w:t>
      </w:r>
      <w:r>
        <w:rPr>
          <w:spacing w:val="-2"/>
        </w:rPr>
        <w:t xml:space="preserve"> </w:t>
      </w:r>
      <w:r>
        <w:t>cel</w:t>
      </w:r>
      <w:r>
        <w:rPr>
          <w:spacing w:val="-2"/>
        </w:rPr>
        <w:t xml:space="preserve"> </w:t>
      </w:r>
      <w:r>
        <w:t>pu</w:t>
      </w:r>
      <w:r>
        <w:rPr>
          <w:spacing w:val="-2"/>
        </w:rPr>
        <w:t>t</w:t>
      </w:r>
      <w:r>
        <w:rPr>
          <w:spacing w:val="1"/>
        </w:rPr>
        <w:t>i</w:t>
      </w:r>
      <w:r>
        <w:t xml:space="preserve">n </w:t>
      </w:r>
      <w:r>
        <w:rPr>
          <w:spacing w:val="-3"/>
        </w:rPr>
        <w:t>p</w:t>
      </w:r>
      <w:r>
        <w:t>a</w:t>
      </w:r>
      <w:r>
        <w:rPr>
          <w:spacing w:val="-2"/>
        </w:rPr>
        <w:t>r</w:t>
      </w:r>
      <w:r>
        <w:rPr>
          <w:spacing w:val="1"/>
        </w:rPr>
        <w:t>ți</w:t>
      </w:r>
      <w:r>
        <w:rPr>
          <w:spacing w:val="-3"/>
        </w:rPr>
        <w:t>a</w:t>
      </w:r>
      <w:r>
        <w:t>l</w:t>
      </w:r>
      <w:r>
        <w:rPr>
          <w:spacing w:val="-2"/>
        </w:rPr>
        <w:t xml:space="preserve"> 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 și</w:t>
      </w:r>
      <w:r>
        <w:rPr>
          <w:spacing w:val="-2"/>
        </w:rPr>
        <w:t xml:space="preserve"> </w:t>
      </w:r>
      <w:r>
        <w:t>c</w:t>
      </w:r>
      <w:r>
        <w:rPr>
          <w:spacing w:val="-3"/>
        </w:rPr>
        <w:t>a</w:t>
      </w:r>
      <w:r>
        <w:t>re au</w:t>
      </w:r>
      <w:r>
        <w:rPr>
          <w:spacing w:val="-3"/>
        </w:rPr>
        <w:t xml:space="preserve"> p</w:t>
      </w:r>
      <w:r>
        <w:t>r</w:t>
      </w:r>
      <w:r>
        <w:rPr>
          <w:spacing w:val="1"/>
        </w:rPr>
        <w:t>i</w:t>
      </w:r>
      <w:r>
        <w:rPr>
          <w:spacing w:val="-4"/>
        </w:rPr>
        <w:t>m</w:t>
      </w:r>
      <w:r>
        <w:rPr>
          <w:spacing w:val="1"/>
        </w:rPr>
        <w:t>i</w:t>
      </w:r>
      <w:r>
        <w:t>t</w:t>
      </w:r>
      <w:r>
        <w:rPr>
          <w:spacing w:val="1"/>
        </w:rPr>
        <w:t xml:space="preserve"> </w:t>
      </w:r>
      <w:r>
        <w:rPr>
          <w:spacing w:val="-2"/>
        </w:rPr>
        <w:t>t</w:t>
      </w:r>
      <w:r>
        <w:t>r</w:t>
      </w:r>
      <w:r>
        <w:rPr>
          <w:spacing w:val="-3"/>
        </w:rPr>
        <w:t>a</w:t>
      </w:r>
      <w:r>
        <w:rPr>
          <w:spacing w:val="1"/>
        </w:rPr>
        <w:t>t</w:t>
      </w:r>
      <w:r>
        <w:t>a</w:t>
      </w:r>
      <w:r>
        <w:rPr>
          <w:spacing w:val="-4"/>
        </w:rPr>
        <w:t>m</w:t>
      </w:r>
      <w:r>
        <w:t>ent săp</w:t>
      </w:r>
      <w:r>
        <w:rPr>
          <w:spacing w:val="-2"/>
        </w:rPr>
        <w:t>t</w:t>
      </w:r>
      <w:r>
        <w:t>ă</w:t>
      </w:r>
      <w:r>
        <w:rPr>
          <w:spacing w:val="-4"/>
        </w:rPr>
        <w:t>m</w:t>
      </w:r>
      <w:r>
        <w:t>ânal</w:t>
      </w:r>
      <w:r>
        <w:rPr>
          <w:spacing w:val="1"/>
        </w:rPr>
        <w:t xml:space="preserve"> </w:t>
      </w:r>
      <w:r>
        <w:t>co</w:t>
      </w:r>
      <w:r>
        <w:rPr>
          <w:spacing w:val="-3"/>
        </w:rPr>
        <w:t>n</w:t>
      </w:r>
      <w:r>
        <w:rPr>
          <w:spacing w:val="1"/>
        </w:rPr>
        <w:t>t</w:t>
      </w:r>
      <w:r>
        <w:rPr>
          <w:spacing w:val="-2"/>
        </w:rPr>
        <w:t>i</w:t>
      </w:r>
      <w:r>
        <w:t>nuu cu</w:t>
      </w:r>
      <w:r>
        <w:rPr>
          <w:spacing w:val="-3"/>
        </w:rPr>
        <w:t xml:space="preserve"> </w:t>
      </w:r>
      <w:r>
        <w:rPr>
          <w:rFonts w:eastAsia="MS Mincho"/>
          <w:spacing w:val="-1"/>
          <w:szCs w:val="22"/>
          <w:lang w:eastAsia="en-US" w:bidi="ar-SA"/>
        </w:rPr>
        <w:t>adalimumab</w:t>
      </w:r>
      <w:r>
        <w:t>, ra</w:t>
      </w:r>
      <w:r>
        <w:rPr>
          <w:spacing w:val="-2"/>
        </w:rPr>
        <w:t>t</w:t>
      </w:r>
      <w:r>
        <w:t xml:space="preserve">a </w:t>
      </w:r>
      <w:r>
        <w:rPr>
          <w:spacing w:val="-2"/>
        </w:rPr>
        <w:t>H</w:t>
      </w:r>
      <w:r>
        <w:rPr>
          <w:spacing w:val="1"/>
        </w:rPr>
        <w:t>i</w:t>
      </w:r>
      <w:r>
        <w:rPr>
          <w:spacing w:val="-1"/>
        </w:rPr>
        <w:t>SR</w:t>
      </w:r>
      <w:r>
        <w:t>C</w:t>
      </w:r>
      <w:r>
        <w:rPr>
          <w:spacing w:val="-4"/>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pacing w:val="-3"/>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48 a fo</w:t>
      </w:r>
      <w:r>
        <w:rPr>
          <w:spacing w:val="-2"/>
        </w:rPr>
        <w:t>s</w:t>
      </w:r>
      <w:r>
        <w:t>t</w:t>
      </w:r>
      <w:r>
        <w:rPr>
          <w:spacing w:val="1"/>
        </w:rPr>
        <w:t xml:space="preserve"> </w:t>
      </w:r>
      <w:r>
        <w:t>de</w:t>
      </w:r>
      <w:r>
        <w:rPr>
          <w:spacing w:val="-2"/>
        </w:rPr>
        <w:t xml:space="preserve"> </w:t>
      </w:r>
      <w:r>
        <w:t>68,</w:t>
      </w:r>
      <w:r>
        <w:rPr>
          <w:spacing w:val="-3"/>
        </w:rPr>
        <w:t>3</w:t>
      </w:r>
      <w:r>
        <w:t xml:space="preserve">% și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pacing w:val="-3"/>
          <w:szCs w:val="22"/>
          <w:lang w:eastAsia="en-US" w:bidi="ar-SA"/>
        </w:rPr>
        <w:t>ă</w:t>
      </w:r>
      <w:r>
        <w:rPr>
          <w:rFonts w:eastAsia="MS Mincho"/>
          <w:spacing w:val="-4"/>
          <w:szCs w:val="22"/>
          <w:lang w:eastAsia="en-US" w:bidi="ar-SA"/>
        </w:rPr>
        <w:t>m</w:t>
      </w:r>
      <w:r>
        <w:rPr>
          <w:rFonts w:eastAsia="MS Mincho"/>
          <w:szCs w:val="22"/>
          <w:lang w:eastAsia="en-US" w:bidi="ar-SA"/>
        </w:rPr>
        <w:t xml:space="preserve">âna 96 </w:t>
      </w:r>
      <w:r>
        <w:t>a fo</w:t>
      </w:r>
      <w:r>
        <w:rPr>
          <w:spacing w:val="-2"/>
        </w:rPr>
        <w:t>s</w:t>
      </w:r>
      <w:r>
        <w:t>t</w:t>
      </w:r>
      <w:r>
        <w:rPr>
          <w:spacing w:val="1"/>
        </w:rPr>
        <w:t xml:space="preserve"> </w:t>
      </w:r>
      <w:r>
        <w:t>de</w:t>
      </w:r>
      <w:r>
        <w:rPr>
          <w:spacing w:val="-2"/>
        </w:rPr>
        <w:t xml:space="preserve"> </w:t>
      </w:r>
      <w:r>
        <w:t>65,</w:t>
      </w:r>
      <w:r>
        <w:rPr>
          <w:spacing w:val="-3"/>
        </w:rPr>
        <w:t>1</w:t>
      </w:r>
      <w:r>
        <w:t xml:space="preserve">%. </w:t>
      </w:r>
      <w:r>
        <w:rPr>
          <w:rFonts w:eastAsia="MS Mincho"/>
          <w:spacing w:val="-1"/>
          <w:szCs w:val="22"/>
          <w:lang w:eastAsia="en-US" w:bidi="ar-SA"/>
        </w:rPr>
        <w:t>Tratamentul pe termen mai lung cu adalimumab 40 mg pe săptămână timp de 96 de săptămâni nu a identificat noi aspecte privind siguranța.</w:t>
      </w:r>
    </w:p>
    <w:p w14:paraId="44184CA7" w14:textId="77777777" w:rsidR="00C04CAD" w:rsidRDefault="00C04CAD">
      <w:pPr>
        <w:tabs>
          <w:tab w:val="clear" w:pos="567"/>
        </w:tabs>
        <w:kinsoku w:val="0"/>
        <w:overflowPunct w:val="0"/>
        <w:autoSpaceDE w:val="0"/>
        <w:autoSpaceDN w:val="0"/>
        <w:adjustRightInd w:val="0"/>
        <w:spacing w:line="240" w:lineRule="auto"/>
        <w:rPr>
          <w:rFonts w:eastAsia="MS Mincho"/>
          <w:spacing w:val="-1"/>
          <w:szCs w:val="22"/>
          <w:lang w:eastAsia="en-US" w:bidi="ar-SA"/>
        </w:rPr>
      </w:pPr>
    </w:p>
    <w:p w14:paraId="73416EB8" w14:textId="77777777" w:rsidR="00C04CAD" w:rsidRDefault="00060E34">
      <w:pPr>
        <w:tabs>
          <w:tab w:val="clear" w:pos="567"/>
        </w:tabs>
        <w:kinsoku w:val="0"/>
        <w:overflowPunct w:val="0"/>
        <w:autoSpaceDE w:val="0"/>
        <w:autoSpaceDN w:val="0"/>
        <w:adjustRightInd w:val="0"/>
        <w:spacing w:line="240" w:lineRule="auto"/>
        <w:rPr>
          <w:szCs w:val="22"/>
        </w:rPr>
      </w:pPr>
      <w:r>
        <w:rPr>
          <w:spacing w:val="-1"/>
        </w:rPr>
        <w:t>P</w:t>
      </w:r>
      <w:r>
        <w:t>r</w:t>
      </w:r>
      <w:r>
        <w:rPr>
          <w:spacing w:val="1"/>
        </w:rPr>
        <w:t>i</w:t>
      </w:r>
      <w:r>
        <w:rPr>
          <w:spacing w:val="-3"/>
        </w:rPr>
        <w:t>n</w:t>
      </w:r>
      <w:r>
        <w:rPr>
          <w:spacing w:val="1"/>
        </w:rPr>
        <w:t>t</w:t>
      </w:r>
      <w:r>
        <w:t>re</w:t>
      </w:r>
      <w:r>
        <w:rPr>
          <w:spacing w:val="-2"/>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a</w:t>
      </w:r>
      <w:r>
        <w:t>l</w:t>
      </w:r>
      <w:r>
        <w:rPr>
          <w:spacing w:val="1"/>
        </w:rPr>
        <w:t xml:space="preserve"> </w:t>
      </w:r>
      <w:r>
        <w:rPr>
          <w:spacing w:val="-2"/>
        </w:rPr>
        <w:t>c</w:t>
      </w:r>
      <w:r>
        <w:t>ăr</w:t>
      </w:r>
      <w:r>
        <w:rPr>
          <w:spacing w:val="-3"/>
        </w:rPr>
        <w:t>o</w:t>
      </w:r>
      <w:r>
        <w:t>r</w:t>
      </w:r>
      <w:r>
        <w:rPr>
          <w:spacing w:val="1"/>
        </w:rPr>
        <w:t xml:space="preserve"> </w:t>
      </w:r>
      <w:r>
        <w:rPr>
          <w:spacing w:val="-2"/>
        </w:rPr>
        <w:t>t</w:t>
      </w:r>
      <w:r>
        <w:t>r</w:t>
      </w:r>
      <w:r>
        <w:rPr>
          <w:spacing w:val="-3"/>
        </w:rPr>
        <w:t>a</w:t>
      </w:r>
      <w:r>
        <w:rPr>
          <w:spacing w:val="1"/>
        </w:rPr>
        <w:t>t</w:t>
      </w:r>
      <w:r>
        <w:t>a</w:t>
      </w:r>
      <w:r>
        <w:rPr>
          <w:spacing w:val="-4"/>
        </w:rPr>
        <w:t>m</w:t>
      </w:r>
      <w:r>
        <w:t>ent</w:t>
      </w:r>
      <w:r>
        <w:rPr>
          <w:spacing w:val="1"/>
        </w:rPr>
        <w:t xml:space="preserve"> </w:t>
      </w:r>
      <w:r>
        <w:t xml:space="preserve">cu </w:t>
      </w:r>
      <w:r>
        <w:rPr>
          <w:rFonts w:eastAsia="MS Mincho"/>
          <w:spacing w:val="-1"/>
          <w:szCs w:val="22"/>
          <w:lang w:eastAsia="en-US" w:bidi="ar-SA"/>
        </w:rPr>
        <w:t>adalimumab</w:t>
      </w:r>
      <w:r>
        <w:rPr>
          <w:spacing w:val="-2"/>
        </w:rPr>
        <w:t xml:space="preserve"> </w:t>
      </w:r>
      <w:r>
        <w:t>a f</w:t>
      </w:r>
      <w:r>
        <w:rPr>
          <w:spacing w:val="-3"/>
        </w:rPr>
        <w:t>o</w:t>
      </w:r>
      <w:r>
        <w:t>st</w:t>
      </w:r>
      <w:r>
        <w:rPr>
          <w:spacing w:val="-2"/>
        </w:rPr>
        <w:t xml:space="preserve"> </w:t>
      </w:r>
      <w:r>
        <w:rPr>
          <w:spacing w:val="1"/>
        </w:rPr>
        <w:t>î</w:t>
      </w:r>
      <w:r>
        <w:t>n</w:t>
      </w:r>
      <w:r>
        <w:rPr>
          <w:spacing w:val="-2"/>
        </w:rPr>
        <w:t>t</w:t>
      </w:r>
      <w:r>
        <w:t>rer</w:t>
      </w:r>
      <w:r>
        <w:rPr>
          <w:spacing w:val="-3"/>
        </w:rPr>
        <w:t>u</w:t>
      </w:r>
      <w:r>
        <w:t>pt</w:t>
      </w:r>
      <w:r>
        <w:rPr>
          <w:spacing w:val="-2"/>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w:t>
      </w:r>
      <w:r>
        <w:rPr>
          <w:spacing w:val="-3"/>
        </w:rPr>
        <w:t xml:space="preserve"> </w:t>
      </w:r>
      <w:r>
        <w:rPr>
          <w:spacing w:val="1"/>
        </w:rPr>
        <w:t>î</w:t>
      </w:r>
      <w:r>
        <w:t xml:space="preserve">n </w:t>
      </w:r>
      <w:r>
        <w:rPr>
          <w:spacing w:val="-3"/>
        </w:rPr>
        <w:t>S</w:t>
      </w:r>
      <w:r>
        <w:rPr>
          <w:spacing w:val="1"/>
        </w:rPr>
        <w:t>t</w:t>
      </w:r>
      <w:r>
        <w:t>ud</w:t>
      </w:r>
      <w:r>
        <w:rPr>
          <w:spacing w:val="-2"/>
        </w:rPr>
        <w:t>i</w:t>
      </w:r>
      <w:r>
        <w:t>i</w:t>
      </w:r>
      <w:r>
        <w:rPr>
          <w:spacing w:val="-2"/>
        </w:rPr>
        <w:t>l</w:t>
      </w:r>
      <w:r>
        <w:t xml:space="preserve">e </w:t>
      </w:r>
      <w:r>
        <w:rPr>
          <w:spacing w:val="-2"/>
        </w:rPr>
        <w:t>H</w:t>
      </w:r>
      <w:r>
        <w:rPr>
          <w:spacing w:val="-1"/>
        </w:rPr>
        <w:t>S</w:t>
      </w:r>
      <w:r>
        <w:rPr>
          <w:spacing w:val="-2"/>
        </w:rPr>
        <w:t>-</w:t>
      </w:r>
      <w:r>
        <w:t>I</w:t>
      </w:r>
      <w:r>
        <w:rPr>
          <w:spacing w:val="-4"/>
        </w:rPr>
        <w:t xml:space="preserve"> </w:t>
      </w:r>
      <w:r>
        <w:t>și</w:t>
      </w:r>
      <w:r>
        <w:rPr>
          <w:spacing w:val="1"/>
        </w:rPr>
        <w:t xml:space="preserve"> </w:t>
      </w:r>
      <w:r>
        <w:rPr>
          <w:spacing w:val="-1"/>
          <w:szCs w:val="22"/>
        </w:rPr>
        <w:t>H</w:t>
      </w:r>
      <w:r>
        <w:rPr>
          <w:spacing w:val="2"/>
          <w:szCs w:val="22"/>
        </w:rPr>
        <w:t>S</w:t>
      </w:r>
      <w:r>
        <w:rPr>
          <w:szCs w:val="22"/>
        </w:rPr>
        <w:t>-</w:t>
      </w:r>
      <w:r>
        <w:rPr>
          <w:spacing w:val="-2"/>
          <w:szCs w:val="22"/>
        </w:rPr>
        <w:t>II</w:t>
      </w:r>
      <w:r>
        <w:rPr>
          <w:szCs w:val="22"/>
        </w:rPr>
        <w:t xml:space="preserve">, </w:t>
      </w:r>
      <w:r>
        <w:rPr>
          <w:spacing w:val="1"/>
          <w:szCs w:val="22"/>
        </w:rPr>
        <w:t>l</w:t>
      </w:r>
      <w:r>
        <w:rPr>
          <w:szCs w:val="22"/>
        </w:rPr>
        <w:t>a 12 să</w:t>
      </w:r>
      <w:r>
        <w:rPr>
          <w:spacing w:val="-3"/>
          <w:szCs w:val="22"/>
        </w:rPr>
        <w:t>p</w:t>
      </w:r>
      <w:r>
        <w:rPr>
          <w:spacing w:val="1"/>
          <w:szCs w:val="22"/>
        </w:rPr>
        <w:t>t</w:t>
      </w:r>
      <w:r>
        <w:rPr>
          <w:szCs w:val="22"/>
        </w:rPr>
        <w:t>ă</w:t>
      </w:r>
      <w:r>
        <w:rPr>
          <w:spacing w:val="-4"/>
          <w:szCs w:val="22"/>
        </w:rPr>
        <w:t>m</w:t>
      </w:r>
      <w:r>
        <w:rPr>
          <w:szCs w:val="22"/>
        </w:rPr>
        <w:t>âni</w:t>
      </w:r>
      <w:r>
        <w:rPr>
          <w:spacing w:val="1"/>
          <w:szCs w:val="22"/>
        </w:rPr>
        <w:t xml:space="preserve"> </w:t>
      </w:r>
      <w:r>
        <w:rPr>
          <w:szCs w:val="22"/>
        </w:rPr>
        <w:t>du</w:t>
      </w:r>
      <w:r>
        <w:rPr>
          <w:spacing w:val="-3"/>
          <w:szCs w:val="22"/>
        </w:rPr>
        <w:t>p</w:t>
      </w:r>
      <w:r>
        <w:rPr>
          <w:szCs w:val="22"/>
        </w:rPr>
        <w:t xml:space="preserve">ă </w:t>
      </w:r>
      <w:r>
        <w:rPr>
          <w:spacing w:val="-2"/>
          <w:szCs w:val="22"/>
        </w:rPr>
        <w:t>r</w:t>
      </w:r>
      <w:r>
        <w:rPr>
          <w:szCs w:val="22"/>
        </w:rPr>
        <w:t>e</w:t>
      </w:r>
      <w:r>
        <w:rPr>
          <w:spacing w:val="-2"/>
          <w:szCs w:val="22"/>
        </w:rPr>
        <w:t>i</w:t>
      </w:r>
      <w:r>
        <w:rPr>
          <w:szCs w:val="22"/>
        </w:rPr>
        <w:t>n</w:t>
      </w:r>
      <w:r>
        <w:rPr>
          <w:spacing w:val="1"/>
          <w:szCs w:val="22"/>
        </w:rPr>
        <w:t>t</w:t>
      </w:r>
      <w:r>
        <w:rPr>
          <w:szCs w:val="22"/>
        </w:rPr>
        <w:t>ro</w:t>
      </w:r>
      <w:r>
        <w:rPr>
          <w:spacing w:val="-3"/>
          <w:szCs w:val="22"/>
        </w:rPr>
        <w:t>d</w:t>
      </w:r>
      <w:r>
        <w:rPr>
          <w:szCs w:val="22"/>
        </w:rPr>
        <w:t>uc</w:t>
      </w:r>
      <w:r>
        <w:rPr>
          <w:spacing w:val="-3"/>
          <w:szCs w:val="22"/>
        </w:rPr>
        <w:t>e</w:t>
      </w:r>
      <w:r>
        <w:rPr>
          <w:szCs w:val="22"/>
        </w:rPr>
        <w:t xml:space="preserve">rea </w:t>
      </w:r>
      <w:r>
        <w:rPr>
          <w:rFonts w:eastAsia="MS Mincho"/>
          <w:spacing w:val="-1"/>
          <w:szCs w:val="22"/>
          <w:lang w:eastAsia="en-US" w:bidi="ar-SA"/>
        </w:rPr>
        <w:t>adalimumab</w:t>
      </w:r>
      <w:r>
        <w:rPr>
          <w:spacing w:val="-2"/>
          <w:szCs w:val="22"/>
        </w:rPr>
        <w:t xml:space="preserve"> </w:t>
      </w:r>
      <w:r>
        <w:rPr>
          <w:szCs w:val="22"/>
        </w:rPr>
        <w:t>40 </w:t>
      </w:r>
      <w:r>
        <w:rPr>
          <w:spacing w:val="-4"/>
          <w:szCs w:val="22"/>
        </w:rPr>
        <w:t>m</w:t>
      </w:r>
      <w:r>
        <w:rPr>
          <w:szCs w:val="22"/>
        </w:rPr>
        <w:t>g săp</w:t>
      </w:r>
      <w:r>
        <w:rPr>
          <w:spacing w:val="-2"/>
          <w:szCs w:val="22"/>
        </w:rPr>
        <w:t>t</w:t>
      </w:r>
      <w:r>
        <w:rPr>
          <w:szCs w:val="22"/>
        </w:rPr>
        <w:t>ă</w:t>
      </w:r>
      <w:r>
        <w:rPr>
          <w:spacing w:val="-4"/>
          <w:szCs w:val="22"/>
        </w:rPr>
        <w:t>m</w:t>
      </w:r>
      <w:r>
        <w:rPr>
          <w:szCs w:val="22"/>
        </w:rPr>
        <w:t>ânal</w:t>
      </w:r>
      <w:r>
        <w:rPr>
          <w:spacing w:val="1"/>
          <w:szCs w:val="22"/>
        </w:rPr>
        <w:t xml:space="preserve"> </w:t>
      </w:r>
      <w:r>
        <w:rPr>
          <w:spacing w:val="-2"/>
          <w:szCs w:val="22"/>
        </w:rPr>
        <w:t>r</w:t>
      </w:r>
      <w:r>
        <w:rPr>
          <w:szCs w:val="22"/>
        </w:rPr>
        <w:t>a</w:t>
      </w:r>
      <w:r>
        <w:rPr>
          <w:spacing w:val="1"/>
          <w:szCs w:val="22"/>
        </w:rPr>
        <w:t>t</w:t>
      </w:r>
      <w:r>
        <w:rPr>
          <w:szCs w:val="22"/>
        </w:rPr>
        <w:t xml:space="preserve">a </w:t>
      </w:r>
      <w:r>
        <w:rPr>
          <w:spacing w:val="-4"/>
          <w:szCs w:val="22"/>
        </w:rPr>
        <w:t>H</w:t>
      </w:r>
      <w:r>
        <w:rPr>
          <w:spacing w:val="1"/>
          <w:szCs w:val="22"/>
        </w:rPr>
        <w:t>i</w:t>
      </w:r>
      <w:r>
        <w:rPr>
          <w:spacing w:val="-1"/>
          <w:szCs w:val="22"/>
        </w:rPr>
        <w:t>SR</w:t>
      </w:r>
      <w:r>
        <w:rPr>
          <w:szCs w:val="22"/>
        </w:rPr>
        <w:t>C</w:t>
      </w:r>
      <w:r>
        <w:rPr>
          <w:spacing w:val="-1"/>
          <w:szCs w:val="22"/>
        </w:rPr>
        <w:t xml:space="preserve"> </w:t>
      </w:r>
      <w:r>
        <w:rPr>
          <w:szCs w:val="22"/>
        </w:rPr>
        <w:t xml:space="preserve">a </w:t>
      </w:r>
      <w:r>
        <w:rPr>
          <w:spacing w:val="-2"/>
          <w:szCs w:val="22"/>
        </w:rPr>
        <w:t>r</w:t>
      </w:r>
      <w:r>
        <w:rPr>
          <w:spacing w:val="-3"/>
          <w:szCs w:val="22"/>
        </w:rPr>
        <w:t>ev</w:t>
      </w:r>
      <w:r>
        <w:rPr>
          <w:szCs w:val="22"/>
        </w:rPr>
        <w:t>en</w:t>
      </w:r>
      <w:r>
        <w:rPr>
          <w:spacing w:val="1"/>
          <w:szCs w:val="22"/>
        </w:rPr>
        <w:t>i</w:t>
      </w:r>
      <w:r>
        <w:rPr>
          <w:szCs w:val="22"/>
        </w:rPr>
        <w:t>t</w:t>
      </w:r>
      <w:r>
        <w:rPr>
          <w:spacing w:val="1"/>
          <w:szCs w:val="22"/>
        </w:rPr>
        <w:t xml:space="preserve"> </w:t>
      </w:r>
      <w:r>
        <w:rPr>
          <w:spacing w:val="-2"/>
          <w:szCs w:val="22"/>
        </w:rPr>
        <w:t>l</w:t>
      </w:r>
      <w:r>
        <w:rPr>
          <w:szCs w:val="22"/>
        </w:rPr>
        <w:t>a n</w:t>
      </w:r>
      <w:r>
        <w:rPr>
          <w:spacing w:val="1"/>
          <w:szCs w:val="22"/>
        </w:rPr>
        <w:t>i</w:t>
      </w:r>
      <w:r>
        <w:rPr>
          <w:spacing w:val="-3"/>
          <w:szCs w:val="22"/>
        </w:rPr>
        <w:t>v</w:t>
      </w:r>
      <w:r>
        <w:rPr>
          <w:szCs w:val="22"/>
        </w:rPr>
        <w:t>e</w:t>
      </w:r>
      <w:r>
        <w:rPr>
          <w:spacing w:val="-2"/>
          <w:szCs w:val="22"/>
        </w:rPr>
        <w:t>l</w:t>
      </w:r>
      <w:r>
        <w:rPr>
          <w:szCs w:val="22"/>
        </w:rPr>
        <w:t>u</w:t>
      </w:r>
      <w:r>
        <w:rPr>
          <w:spacing w:val="-2"/>
          <w:szCs w:val="22"/>
        </w:rPr>
        <w:t>r</w:t>
      </w:r>
      <w:r>
        <w:rPr>
          <w:szCs w:val="22"/>
        </w:rPr>
        <w:t>i s</w:t>
      </w:r>
      <w:r>
        <w:rPr>
          <w:spacing w:val="1"/>
          <w:szCs w:val="22"/>
        </w:rPr>
        <w:t>i</w:t>
      </w:r>
      <w:r>
        <w:rPr>
          <w:spacing w:val="-4"/>
          <w:szCs w:val="22"/>
        </w:rPr>
        <w:t>m</w:t>
      </w:r>
      <w:r>
        <w:rPr>
          <w:spacing w:val="1"/>
          <w:szCs w:val="22"/>
        </w:rPr>
        <w:t>il</w:t>
      </w:r>
      <w:r>
        <w:rPr>
          <w:szCs w:val="22"/>
        </w:rPr>
        <w:t>a</w:t>
      </w:r>
      <w:r>
        <w:rPr>
          <w:spacing w:val="-2"/>
          <w:szCs w:val="22"/>
        </w:rPr>
        <w:t>r</w:t>
      </w:r>
      <w:r>
        <w:rPr>
          <w:szCs w:val="22"/>
        </w:rPr>
        <w:t>e cu</w:t>
      </w:r>
      <w:r>
        <w:rPr>
          <w:spacing w:val="-3"/>
          <w:szCs w:val="22"/>
        </w:rPr>
        <w:t xml:space="preserve"> </w:t>
      </w:r>
      <w:r>
        <w:rPr>
          <w:szCs w:val="22"/>
        </w:rPr>
        <w:t>ce</w:t>
      </w:r>
      <w:r>
        <w:rPr>
          <w:spacing w:val="-2"/>
          <w:szCs w:val="22"/>
        </w:rPr>
        <w:t>l</w:t>
      </w:r>
      <w:r>
        <w:rPr>
          <w:szCs w:val="22"/>
        </w:rPr>
        <w:t>e o</w:t>
      </w:r>
      <w:r>
        <w:rPr>
          <w:spacing w:val="-3"/>
          <w:szCs w:val="22"/>
        </w:rPr>
        <w:t>b</w:t>
      </w:r>
      <w:r>
        <w:rPr>
          <w:szCs w:val="22"/>
        </w:rPr>
        <w:t>ser</w:t>
      </w:r>
      <w:r>
        <w:rPr>
          <w:spacing w:val="-3"/>
          <w:szCs w:val="22"/>
        </w:rPr>
        <w:t>v</w:t>
      </w:r>
      <w:r>
        <w:rPr>
          <w:szCs w:val="22"/>
        </w:rPr>
        <w:t>a</w:t>
      </w:r>
      <w:r>
        <w:rPr>
          <w:spacing w:val="-2"/>
          <w:szCs w:val="22"/>
        </w:rPr>
        <w:t>t</w:t>
      </w:r>
      <w:r>
        <w:rPr>
          <w:szCs w:val="22"/>
        </w:rPr>
        <w:t xml:space="preserve">e </w:t>
      </w:r>
      <w:r>
        <w:rPr>
          <w:spacing w:val="-2"/>
          <w:szCs w:val="22"/>
        </w:rPr>
        <w:t>î</w:t>
      </w:r>
      <w:r>
        <w:rPr>
          <w:szCs w:val="22"/>
        </w:rPr>
        <w:t>na</w:t>
      </w:r>
      <w:r>
        <w:rPr>
          <w:spacing w:val="1"/>
          <w:szCs w:val="22"/>
        </w:rPr>
        <w:t>i</w:t>
      </w:r>
      <w:r>
        <w:rPr>
          <w:spacing w:val="-3"/>
          <w:szCs w:val="22"/>
        </w:rPr>
        <w:t>n</w:t>
      </w:r>
      <w:r>
        <w:rPr>
          <w:spacing w:val="1"/>
          <w:szCs w:val="22"/>
        </w:rPr>
        <w:t>t</w:t>
      </w:r>
      <w:r>
        <w:rPr>
          <w:szCs w:val="22"/>
        </w:rPr>
        <w:t xml:space="preserve">e </w:t>
      </w:r>
      <w:r>
        <w:rPr>
          <w:spacing w:val="-3"/>
          <w:szCs w:val="22"/>
        </w:rPr>
        <w:t>d</w:t>
      </w:r>
      <w:r>
        <w:rPr>
          <w:szCs w:val="22"/>
        </w:rPr>
        <w:t xml:space="preserve">e </w:t>
      </w:r>
      <w:r>
        <w:rPr>
          <w:spacing w:val="1"/>
          <w:szCs w:val="22"/>
        </w:rPr>
        <w:t>î</w:t>
      </w:r>
      <w:r>
        <w:rPr>
          <w:spacing w:val="-3"/>
          <w:szCs w:val="22"/>
        </w:rPr>
        <w:t>n</w:t>
      </w:r>
      <w:r>
        <w:rPr>
          <w:spacing w:val="1"/>
          <w:szCs w:val="22"/>
        </w:rPr>
        <w:t>t</w:t>
      </w:r>
      <w:r>
        <w:rPr>
          <w:spacing w:val="-2"/>
          <w:szCs w:val="22"/>
        </w:rPr>
        <w:t>r</w:t>
      </w:r>
      <w:r>
        <w:rPr>
          <w:szCs w:val="22"/>
        </w:rPr>
        <w:t>eru</w:t>
      </w:r>
      <w:r>
        <w:rPr>
          <w:spacing w:val="-3"/>
          <w:szCs w:val="22"/>
        </w:rPr>
        <w:t>p</w:t>
      </w:r>
      <w:r>
        <w:rPr>
          <w:szCs w:val="22"/>
        </w:rPr>
        <w:t>e</w:t>
      </w:r>
      <w:r>
        <w:rPr>
          <w:spacing w:val="-2"/>
          <w:szCs w:val="22"/>
        </w:rPr>
        <w:t>r</w:t>
      </w:r>
      <w:r>
        <w:rPr>
          <w:szCs w:val="22"/>
        </w:rPr>
        <w:t>e (5</w:t>
      </w:r>
      <w:r>
        <w:rPr>
          <w:spacing w:val="-3"/>
          <w:szCs w:val="22"/>
        </w:rPr>
        <w:t>6</w:t>
      </w:r>
      <w:r>
        <w:rPr>
          <w:szCs w:val="22"/>
        </w:rPr>
        <w:t>,</w:t>
      </w:r>
      <w:r>
        <w:rPr>
          <w:spacing w:val="-3"/>
          <w:szCs w:val="22"/>
        </w:rPr>
        <w:t>0</w:t>
      </w:r>
      <w:r>
        <w:rPr>
          <w:szCs w:val="22"/>
        </w:rPr>
        <w:t>%).</w:t>
      </w:r>
    </w:p>
    <w:p w14:paraId="304170B2" w14:textId="77777777" w:rsidR="00C04CAD" w:rsidRDefault="00C04CAD">
      <w:pPr>
        <w:tabs>
          <w:tab w:val="clear" w:pos="567"/>
        </w:tabs>
        <w:kinsoku w:val="0"/>
        <w:overflowPunct w:val="0"/>
        <w:autoSpaceDE w:val="0"/>
        <w:autoSpaceDN w:val="0"/>
        <w:adjustRightInd w:val="0"/>
        <w:spacing w:line="240" w:lineRule="auto"/>
        <w:rPr>
          <w:szCs w:val="22"/>
        </w:rPr>
      </w:pPr>
    </w:p>
    <w:p w14:paraId="598D2D36" w14:textId="77777777" w:rsidR="00C04CAD" w:rsidRDefault="00060E34">
      <w:pPr>
        <w:tabs>
          <w:tab w:val="clear" w:pos="567"/>
        </w:tabs>
        <w:kinsoku w:val="0"/>
        <w:overflowPunct w:val="0"/>
        <w:autoSpaceDE w:val="0"/>
        <w:autoSpaceDN w:val="0"/>
        <w:adjustRightInd w:val="0"/>
        <w:spacing w:line="240" w:lineRule="auto"/>
        <w:rPr>
          <w:i/>
          <w:szCs w:val="22"/>
        </w:rPr>
      </w:pPr>
      <w:r>
        <w:rPr>
          <w:i/>
          <w:szCs w:val="22"/>
        </w:rPr>
        <w:t>Boală Crohn</w:t>
      </w:r>
    </w:p>
    <w:p w14:paraId="180C5493" w14:textId="77777777" w:rsidR="00C04CAD" w:rsidRDefault="00C04CAD">
      <w:pPr>
        <w:tabs>
          <w:tab w:val="clear" w:pos="567"/>
        </w:tabs>
        <w:kinsoku w:val="0"/>
        <w:overflowPunct w:val="0"/>
        <w:autoSpaceDE w:val="0"/>
        <w:autoSpaceDN w:val="0"/>
        <w:adjustRightInd w:val="0"/>
        <w:spacing w:line="240" w:lineRule="auto"/>
        <w:rPr>
          <w:szCs w:val="22"/>
        </w:rPr>
      </w:pPr>
    </w:p>
    <w:p w14:paraId="2C154AB8"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S</w:t>
      </w:r>
      <w:r>
        <w:rPr>
          <w:spacing w:val="1"/>
          <w:szCs w:val="22"/>
        </w:rPr>
        <w:t>i</w:t>
      </w:r>
      <w:r>
        <w:rPr>
          <w:spacing w:val="-3"/>
          <w:szCs w:val="22"/>
        </w:rPr>
        <w:t>g</w:t>
      </w:r>
      <w:r>
        <w:rPr>
          <w:szCs w:val="22"/>
        </w:rPr>
        <w:t>uran</w:t>
      </w:r>
      <w:r>
        <w:rPr>
          <w:spacing w:val="-2"/>
          <w:szCs w:val="22"/>
        </w:rPr>
        <w:t>ţ</w:t>
      </w:r>
      <w:r>
        <w:rPr>
          <w:szCs w:val="22"/>
        </w:rPr>
        <w:t xml:space="preserve">a </w:t>
      </w:r>
      <w:r>
        <w:rPr>
          <w:spacing w:val="-2"/>
          <w:szCs w:val="22"/>
        </w:rPr>
        <w:t>ş</w:t>
      </w:r>
      <w:r>
        <w:rPr>
          <w:szCs w:val="22"/>
        </w:rPr>
        <w:t>i</w:t>
      </w:r>
      <w:r>
        <w:rPr>
          <w:spacing w:val="1"/>
          <w:szCs w:val="22"/>
        </w:rPr>
        <w:t xml:space="preserve"> </w:t>
      </w:r>
      <w:r>
        <w:rPr>
          <w:szCs w:val="22"/>
        </w:rPr>
        <w:t>e</w:t>
      </w:r>
      <w:r>
        <w:rPr>
          <w:spacing w:val="-2"/>
          <w:szCs w:val="22"/>
        </w:rPr>
        <w:t>f</w:t>
      </w:r>
      <w:r>
        <w:rPr>
          <w:spacing w:val="1"/>
          <w:szCs w:val="22"/>
        </w:rPr>
        <w:t>i</w:t>
      </w:r>
      <w:r>
        <w:rPr>
          <w:spacing w:val="-3"/>
          <w:szCs w:val="22"/>
        </w:rPr>
        <w:t>c</w:t>
      </w:r>
      <w:r>
        <w:rPr>
          <w:szCs w:val="22"/>
        </w:rPr>
        <w:t>ac</w:t>
      </w:r>
      <w:r>
        <w:rPr>
          <w:spacing w:val="-2"/>
          <w:szCs w:val="22"/>
        </w:rPr>
        <w:t>i</w:t>
      </w:r>
      <w:r>
        <w:rPr>
          <w:spacing w:val="1"/>
          <w:szCs w:val="22"/>
        </w:rPr>
        <w:t>t</w:t>
      </w:r>
      <w:r>
        <w:rPr>
          <w:spacing w:val="-3"/>
          <w:szCs w:val="22"/>
        </w:rPr>
        <w:t>a</w:t>
      </w:r>
      <w:r>
        <w:rPr>
          <w:spacing w:val="1"/>
          <w:szCs w:val="22"/>
        </w:rPr>
        <w:t>t</w:t>
      </w:r>
      <w:r>
        <w:rPr>
          <w:szCs w:val="22"/>
        </w:rPr>
        <w:t xml:space="preserve">e </w:t>
      </w:r>
      <w:r>
        <w:rPr>
          <w:rFonts w:eastAsia="MS Mincho"/>
          <w:spacing w:val="-1"/>
          <w:szCs w:val="22"/>
          <w:lang w:eastAsia="en-US" w:bidi="ar-SA"/>
        </w:rPr>
        <w:t>adalimumab</w:t>
      </w:r>
      <w:r>
        <w:rPr>
          <w:szCs w:val="22"/>
        </w:rPr>
        <w:t xml:space="preserve"> au f</w:t>
      </w:r>
      <w:r>
        <w:rPr>
          <w:spacing w:val="-3"/>
          <w:szCs w:val="22"/>
        </w:rPr>
        <w:t>o</w:t>
      </w:r>
      <w:r>
        <w:rPr>
          <w:szCs w:val="22"/>
        </w:rPr>
        <w:t>st</w:t>
      </w:r>
      <w:r>
        <w:rPr>
          <w:spacing w:val="-2"/>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t</w:t>
      </w:r>
      <w:r>
        <w:rPr>
          <w:szCs w:val="22"/>
        </w:rPr>
        <w:t xml:space="preserve">e </w:t>
      </w:r>
      <w:r>
        <w:rPr>
          <w:spacing w:val="-2"/>
          <w:szCs w:val="22"/>
        </w:rPr>
        <w:t>l</w:t>
      </w:r>
      <w:r>
        <w:rPr>
          <w:szCs w:val="22"/>
        </w:rPr>
        <w:t>a p</w:t>
      </w:r>
      <w:r>
        <w:rPr>
          <w:spacing w:val="-3"/>
          <w:szCs w:val="22"/>
        </w:rPr>
        <w:t>e</w:t>
      </w:r>
      <w:r>
        <w:rPr>
          <w:spacing w:val="-2"/>
          <w:szCs w:val="22"/>
        </w:rPr>
        <w:t>s</w:t>
      </w:r>
      <w:r>
        <w:rPr>
          <w:spacing w:val="1"/>
          <w:szCs w:val="22"/>
        </w:rPr>
        <w:t>t</w:t>
      </w:r>
      <w:r>
        <w:rPr>
          <w:szCs w:val="22"/>
        </w:rPr>
        <w:t>e 15</w:t>
      </w:r>
      <w:r>
        <w:rPr>
          <w:spacing w:val="-3"/>
          <w:szCs w:val="22"/>
        </w:rPr>
        <w:t>0</w:t>
      </w:r>
      <w:r>
        <w:rPr>
          <w:szCs w:val="22"/>
        </w:rPr>
        <w:t>0 pa</w:t>
      </w:r>
      <w:r>
        <w:rPr>
          <w:spacing w:val="-3"/>
          <w:szCs w:val="22"/>
        </w:rPr>
        <w:t>c</w:t>
      </w:r>
      <w:r>
        <w:rPr>
          <w:spacing w:val="1"/>
          <w:szCs w:val="22"/>
        </w:rPr>
        <w:t>i</w:t>
      </w:r>
      <w:r>
        <w:rPr>
          <w:szCs w:val="22"/>
        </w:rPr>
        <w:t>e</w:t>
      </w:r>
      <w:r>
        <w:rPr>
          <w:spacing w:val="-3"/>
          <w:szCs w:val="22"/>
        </w:rPr>
        <w:t>n</w:t>
      </w:r>
      <w:r>
        <w:rPr>
          <w:spacing w:val="-2"/>
          <w:szCs w:val="22"/>
        </w:rPr>
        <w:t>ţ</w:t>
      </w:r>
      <w:r>
        <w:rPr>
          <w:szCs w:val="22"/>
        </w:rPr>
        <w:t>i</w:t>
      </w:r>
      <w:r>
        <w:rPr>
          <w:spacing w:val="1"/>
          <w:szCs w:val="22"/>
        </w:rPr>
        <w:t xml:space="preserve"> </w:t>
      </w:r>
      <w:r>
        <w:rPr>
          <w:szCs w:val="22"/>
        </w:rPr>
        <w:t>cu b</w:t>
      </w:r>
      <w:r>
        <w:rPr>
          <w:spacing w:val="-3"/>
          <w:szCs w:val="22"/>
        </w:rPr>
        <w:t>o</w:t>
      </w:r>
      <w:r>
        <w:rPr>
          <w:szCs w:val="22"/>
        </w:rPr>
        <w:t>a</w:t>
      </w:r>
      <w:r>
        <w:rPr>
          <w:spacing w:val="-2"/>
          <w:szCs w:val="22"/>
        </w:rPr>
        <w:t>l</w:t>
      </w:r>
      <w:r>
        <w:rPr>
          <w:szCs w:val="22"/>
        </w:rPr>
        <w:t xml:space="preserve">ă </w:t>
      </w:r>
      <w:r>
        <w:rPr>
          <w:spacing w:val="-4"/>
          <w:szCs w:val="22"/>
        </w:rPr>
        <w:t>C</w:t>
      </w:r>
      <w:r>
        <w:rPr>
          <w:szCs w:val="22"/>
        </w:rPr>
        <w:t xml:space="preserve">rohn </w:t>
      </w:r>
      <w:r>
        <w:rPr>
          <w:spacing w:val="-3"/>
          <w:szCs w:val="22"/>
        </w:rPr>
        <w:t>a</w:t>
      </w:r>
      <w:r>
        <w:rPr>
          <w:szCs w:val="22"/>
        </w:rPr>
        <w:t>c</w:t>
      </w:r>
      <w:r>
        <w:rPr>
          <w:spacing w:val="-2"/>
          <w:szCs w:val="22"/>
        </w:rPr>
        <w:t>t</w:t>
      </w:r>
      <w:r>
        <w:rPr>
          <w:spacing w:val="1"/>
          <w:szCs w:val="22"/>
        </w:rPr>
        <w:t>i</w:t>
      </w:r>
      <w:r>
        <w:rPr>
          <w:spacing w:val="-3"/>
          <w:szCs w:val="22"/>
        </w:rPr>
        <w:t>v</w:t>
      </w:r>
      <w:r>
        <w:rPr>
          <w:szCs w:val="22"/>
        </w:rPr>
        <w:t xml:space="preserve">ă </w:t>
      </w:r>
      <w:r>
        <w:rPr>
          <w:spacing w:val="-4"/>
          <w:szCs w:val="22"/>
        </w:rPr>
        <w:t>m</w:t>
      </w:r>
      <w:r>
        <w:rPr>
          <w:szCs w:val="22"/>
        </w:rPr>
        <w:t>odera</w:t>
      </w:r>
      <w:r>
        <w:rPr>
          <w:spacing w:val="1"/>
          <w:szCs w:val="22"/>
        </w:rPr>
        <w:t>t</w:t>
      </w:r>
      <w:r>
        <w:rPr>
          <w:szCs w:val="22"/>
        </w:rPr>
        <w:t>ă până</w:t>
      </w:r>
      <w:r>
        <w:rPr>
          <w:spacing w:val="-2"/>
          <w:szCs w:val="22"/>
        </w:rPr>
        <w:t xml:space="preserve"> </w:t>
      </w:r>
      <w:r>
        <w:rPr>
          <w:spacing w:val="1"/>
          <w:szCs w:val="22"/>
        </w:rPr>
        <w:t>l</w:t>
      </w:r>
      <w:r>
        <w:rPr>
          <w:szCs w:val="22"/>
        </w:rPr>
        <w:t xml:space="preserve">a </w:t>
      </w:r>
      <w:r>
        <w:rPr>
          <w:spacing w:val="-2"/>
          <w:szCs w:val="22"/>
        </w:rPr>
        <w:t>s</w:t>
      </w:r>
      <w:r>
        <w:rPr>
          <w:szCs w:val="22"/>
        </w:rPr>
        <w:t>e</w:t>
      </w:r>
      <w:r>
        <w:rPr>
          <w:spacing w:val="-3"/>
          <w:szCs w:val="22"/>
        </w:rPr>
        <w:t>v</w:t>
      </w:r>
      <w:r>
        <w:rPr>
          <w:szCs w:val="22"/>
        </w:rPr>
        <w:t>eră (</w:t>
      </w:r>
      <w:r>
        <w:rPr>
          <w:spacing w:val="-4"/>
          <w:szCs w:val="22"/>
        </w:rPr>
        <w:t>I</w:t>
      </w:r>
      <w:r>
        <w:rPr>
          <w:szCs w:val="22"/>
        </w:rPr>
        <w:t xml:space="preserve">ndex de </w:t>
      </w:r>
      <w:r>
        <w:rPr>
          <w:spacing w:val="-1"/>
          <w:szCs w:val="22"/>
        </w:rPr>
        <w:t>A</w:t>
      </w:r>
      <w:r>
        <w:rPr>
          <w:spacing w:val="-3"/>
          <w:szCs w:val="22"/>
        </w:rPr>
        <w:t>c</w:t>
      </w:r>
      <w:r>
        <w:rPr>
          <w:spacing w:val="1"/>
          <w:szCs w:val="22"/>
        </w:rPr>
        <w:t>ti</w:t>
      </w:r>
      <w:r>
        <w:rPr>
          <w:spacing w:val="-3"/>
          <w:szCs w:val="22"/>
        </w:rPr>
        <w:t>v</w:t>
      </w:r>
      <w:r>
        <w:rPr>
          <w:spacing w:val="1"/>
          <w:szCs w:val="22"/>
        </w:rPr>
        <w:t>i</w:t>
      </w:r>
      <w:r>
        <w:rPr>
          <w:spacing w:val="-2"/>
          <w:szCs w:val="22"/>
        </w:rPr>
        <w:t>t</w:t>
      </w:r>
      <w:r>
        <w:rPr>
          <w:szCs w:val="22"/>
        </w:rPr>
        <w:t>a</w:t>
      </w:r>
      <w:r>
        <w:rPr>
          <w:spacing w:val="1"/>
          <w:szCs w:val="22"/>
        </w:rPr>
        <w:t>t</w:t>
      </w:r>
      <w:r>
        <w:rPr>
          <w:szCs w:val="22"/>
        </w:rPr>
        <w:t>e</w:t>
      </w:r>
      <w:r>
        <w:rPr>
          <w:spacing w:val="-2"/>
          <w:szCs w:val="22"/>
        </w:rPr>
        <w:t xml:space="preserve"> </w:t>
      </w:r>
      <w:r>
        <w:rPr>
          <w:szCs w:val="22"/>
        </w:rPr>
        <w:t>a b</w:t>
      </w:r>
      <w:r>
        <w:rPr>
          <w:spacing w:val="-3"/>
          <w:szCs w:val="22"/>
        </w:rPr>
        <w:t>o</w:t>
      </w:r>
      <w:r>
        <w:rPr>
          <w:spacing w:val="1"/>
          <w:szCs w:val="22"/>
        </w:rPr>
        <w:t>l</w:t>
      </w:r>
      <w:r>
        <w:rPr>
          <w:spacing w:val="-2"/>
          <w:szCs w:val="22"/>
        </w:rPr>
        <w:t>i</w:t>
      </w:r>
      <w:r>
        <w:rPr>
          <w:szCs w:val="22"/>
        </w:rPr>
        <w:t>i</w:t>
      </w:r>
      <w:r>
        <w:rPr>
          <w:spacing w:val="1"/>
          <w:szCs w:val="22"/>
        </w:rPr>
        <w:t xml:space="preserve"> </w:t>
      </w:r>
      <w:r>
        <w:rPr>
          <w:spacing w:val="-1"/>
          <w:szCs w:val="22"/>
        </w:rPr>
        <w:t>C</w:t>
      </w:r>
      <w:r>
        <w:rPr>
          <w:szCs w:val="22"/>
        </w:rPr>
        <w:t>r</w:t>
      </w:r>
      <w:r>
        <w:rPr>
          <w:spacing w:val="-3"/>
          <w:szCs w:val="22"/>
        </w:rPr>
        <w:t>o</w:t>
      </w:r>
      <w:r>
        <w:rPr>
          <w:szCs w:val="22"/>
        </w:rPr>
        <w:t>hn (</w:t>
      </w:r>
      <w:r>
        <w:rPr>
          <w:spacing w:val="-4"/>
          <w:szCs w:val="22"/>
        </w:rPr>
        <w:t>I</w:t>
      </w:r>
      <w:r>
        <w:rPr>
          <w:spacing w:val="-1"/>
          <w:szCs w:val="22"/>
        </w:rPr>
        <w:t>A</w:t>
      </w:r>
      <w:r>
        <w:rPr>
          <w:spacing w:val="1"/>
          <w:szCs w:val="22"/>
        </w:rPr>
        <w:t>B</w:t>
      </w:r>
      <w:r>
        <w:rPr>
          <w:spacing w:val="-1"/>
          <w:szCs w:val="22"/>
        </w:rPr>
        <w:t>C</w:t>
      </w:r>
      <w:r>
        <w:rPr>
          <w:szCs w:val="22"/>
        </w:rPr>
        <w:t>)</w:t>
      </w:r>
      <w:r>
        <w:rPr>
          <w:spacing w:val="1"/>
          <w:szCs w:val="22"/>
        </w:rPr>
        <w:t xml:space="preserve"> ≥</w:t>
      </w:r>
      <w:r>
        <w:rPr>
          <w:szCs w:val="22"/>
        </w:rPr>
        <w:t>2</w:t>
      </w:r>
      <w:r>
        <w:rPr>
          <w:spacing w:val="-3"/>
          <w:szCs w:val="22"/>
        </w:rPr>
        <w:t>2</w:t>
      </w:r>
      <w:r>
        <w:rPr>
          <w:szCs w:val="22"/>
        </w:rPr>
        <w:t xml:space="preserve">0 </w:t>
      </w:r>
      <w:r>
        <w:rPr>
          <w:spacing w:val="-2"/>
          <w:szCs w:val="22"/>
        </w:rPr>
        <w:t>ş</w:t>
      </w:r>
      <w:r>
        <w:rPr>
          <w:szCs w:val="22"/>
        </w:rPr>
        <w:t>i</w:t>
      </w:r>
      <w:r>
        <w:rPr>
          <w:spacing w:val="1"/>
          <w:szCs w:val="22"/>
        </w:rPr>
        <w:t xml:space="preserve"> ≤</w:t>
      </w:r>
      <w:r>
        <w:rPr>
          <w:spacing w:val="-3"/>
          <w:szCs w:val="22"/>
        </w:rPr>
        <w:t>4</w:t>
      </w:r>
      <w:r>
        <w:rPr>
          <w:szCs w:val="22"/>
        </w:rPr>
        <w:t>50)</w:t>
      </w:r>
      <w:r>
        <w:rPr>
          <w:spacing w:val="-2"/>
          <w:szCs w:val="22"/>
        </w:rPr>
        <w:t xml:space="preserve"> </w:t>
      </w:r>
      <w:r>
        <w:rPr>
          <w:spacing w:val="1"/>
          <w:szCs w:val="22"/>
        </w:rPr>
        <w:t>î</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zCs w:val="22"/>
        </w:rPr>
        <w:t>i</w:t>
      </w:r>
      <w:r>
        <w:rPr>
          <w:spacing w:val="-2"/>
          <w:szCs w:val="22"/>
        </w:rPr>
        <w:t xml:space="preserve"> </w:t>
      </w:r>
      <w:r>
        <w:rPr>
          <w:spacing w:val="-3"/>
          <w:szCs w:val="22"/>
        </w:rPr>
        <w:t>p</w:t>
      </w:r>
      <w:r>
        <w:rPr>
          <w:spacing w:val="1"/>
          <w:szCs w:val="22"/>
        </w:rPr>
        <w:t>l</w:t>
      </w:r>
      <w:r>
        <w:rPr>
          <w:szCs w:val="22"/>
        </w:rPr>
        <w:t>ac</w:t>
      </w:r>
      <w:r>
        <w:rPr>
          <w:spacing w:val="-3"/>
          <w:szCs w:val="22"/>
        </w:rPr>
        <w:t>e</w:t>
      </w:r>
      <w:r>
        <w:rPr>
          <w:szCs w:val="22"/>
        </w:rPr>
        <w:t>bo c</w:t>
      </w:r>
      <w:r>
        <w:rPr>
          <w:spacing w:val="-3"/>
          <w:szCs w:val="22"/>
        </w:rPr>
        <w:t>o</w:t>
      </w:r>
      <w:r>
        <w:rPr>
          <w:szCs w:val="22"/>
        </w:rPr>
        <w:t>n</w:t>
      </w:r>
      <w:r>
        <w:rPr>
          <w:spacing w:val="-2"/>
          <w:szCs w:val="22"/>
        </w:rPr>
        <w:t>t</w:t>
      </w:r>
      <w:r>
        <w:rPr>
          <w:szCs w:val="22"/>
        </w:rPr>
        <w:t>ro</w:t>
      </w:r>
      <w:r>
        <w:rPr>
          <w:spacing w:val="-2"/>
          <w:szCs w:val="22"/>
        </w:rPr>
        <w:t>l</w:t>
      </w:r>
      <w:r>
        <w:rPr>
          <w:szCs w:val="22"/>
        </w:rPr>
        <w:t>a</w:t>
      </w:r>
      <w:r>
        <w:rPr>
          <w:spacing w:val="1"/>
          <w:szCs w:val="22"/>
        </w:rPr>
        <w:t>t</w:t>
      </w:r>
      <w:r>
        <w:rPr>
          <w:szCs w:val="22"/>
        </w:rPr>
        <w:t>e dub</w:t>
      </w:r>
      <w:r>
        <w:rPr>
          <w:spacing w:val="1"/>
          <w:szCs w:val="22"/>
        </w:rPr>
        <w:t>l</w:t>
      </w:r>
      <w:r>
        <w:rPr>
          <w:szCs w:val="22"/>
        </w:rPr>
        <w:t xml:space="preserve">u </w:t>
      </w:r>
      <w:r>
        <w:rPr>
          <w:spacing w:val="-3"/>
          <w:szCs w:val="22"/>
        </w:rPr>
        <w:t>o</w:t>
      </w:r>
      <w:r>
        <w:rPr>
          <w:szCs w:val="22"/>
        </w:rPr>
        <w:t>rb,</w:t>
      </w:r>
      <w:r>
        <w:rPr>
          <w:spacing w:val="-3"/>
          <w:szCs w:val="22"/>
        </w:rPr>
        <w:t xml:space="preserve"> </w:t>
      </w:r>
      <w:r>
        <w:rPr>
          <w:szCs w:val="22"/>
        </w:rPr>
        <w:t>rando</w:t>
      </w:r>
      <w:r>
        <w:rPr>
          <w:spacing w:val="-4"/>
          <w:szCs w:val="22"/>
        </w:rPr>
        <w:t>m</w:t>
      </w:r>
      <w:r>
        <w:rPr>
          <w:spacing w:val="1"/>
          <w:szCs w:val="22"/>
        </w:rPr>
        <w:t>i</w:t>
      </w:r>
      <w:r>
        <w:rPr>
          <w:spacing w:val="-3"/>
          <w:szCs w:val="22"/>
        </w:rPr>
        <w:t>z</w:t>
      </w:r>
      <w:r>
        <w:rPr>
          <w:szCs w:val="22"/>
        </w:rPr>
        <w:t>a</w:t>
      </w:r>
      <w:r>
        <w:rPr>
          <w:spacing w:val="1"/>
          <w:szCs w:val="22"/>
        </w:rPr>
        <w:t>t</w:t>
      </w:r>
      <w:r>
        <w:rPr>
          <w:szCs w:val="22"/>
        </w:rPr>
        <w:t xml:space="preserve">e. </w:t>
      </w:r>
      <w:r>
        <w:rPr>
          <w:spacing w:val="-1"/>
          <w:szCs w:val="22"/>
        </w:rPr>
        <w:t>A</w:t>
      </w:r>
      <w:r>
        <w:rPr>
          <w:szCs w:val="22"/>
        </w:rPr>
        <w:t>u</w:t>
      </w:r>
      <w:r>
        <w:rPr>
          <w:spacing w:val="-3"/>
          <w:szCs w:val="22"/>
        </w:rPr>
        <w:t xml:space="preserve"> </w:t>
      </w:r>
      <w:r>
        <w:rPr>
          <w:szCs w:val="22"/>
        </w:rPr>
        <w:t>fo</w:t>
      </w:r>
      <w:r>
        <w:rPr>
          <w:spacing w:val="-2"/>
          <w:szCs w:val="22"/>
        </w:rPr>
        <w:t>s</w:t>
      </w:r>
      <w:r>
        <w:rPr>
          <w:szCs w:val="22"/>
        </w:rPr>
        <w:t>t</w:t>
      </w:r>
      <w:r>
        <w:rPr>
          <w:spacing w:val="1"/>
          <w:szCs w:val="22"/>
        </w:rPr>
        <w:t xml:space="preserve"> </w:t>
      </w:r>
      <w:r>
        <w:rPr>
          <w:szCs w:val="22"/>
        </w:rPr>
        <w:t>p</w:t>
      </w:r>
      <w:r>
        <w:rPr>
          <w:spacing w:val="-3"/>
          <w:szCs w:val="22"/>
        </w:rPr>
        <w:t>e</w:t>
      </w:r>
      <w:r>
        <w:rPr>
          <w:szCs w:val="22"/>
        </w:rPr>
        <w:t>r</w:t>
      </w:r>
      <w:r>
        <w:rPr>
          <w:spacing w:val="-4"/>
          <w:szCs w:val="22"/>
        </w:rPr>
        <w:t>m</w:t>
      </w:r>
      <w:r>
        <w:rPr>
          <w:spacing w:val="1"/>
          <w:szCs w:val="22"/>
        </w:rPr>
        <w:t>i</w:t>
      </w:r>
      <w:r>
        <w:rPr>
          <w:szCs w:val="22"/>
        </w:rPr>
        <w:t>se do</w:t>
      </w:r>
      <w:r>
        <w:rPr>
          <w:spacing w:val="-3"/>
          <w:szCs w:val="22"/>
        </w:rPr>
        <w:t>z</w:t>
      </w:r>
      <w:r>
        <w:rPr>
          <w:szCs w:val="22"/>
        </w:rPr>
        <w:t xml:space="preserve">e </w:t>
      </w:r>
      <w:r>
        <w:rPr>
          <w:spacing w:val="-2"/>
          <w:szCs w:val="22"/>
        </w:rPr>
        <w:t>f</w:t>
      </w:r>
      <w:r>
        <w:rPr>
          <w:spacing w:val="1"/>
          <w:szCs w:val="22"/>
        </w:rPr>
        <w:t>i</w:t>
      </w:r>
      <w:r>
        <w:rPr>
          <w:szCs w:val="22"/>
        </w:rPr>
        <w:t xml:space="preserve">xe </w:t>
      </w:r>
      <w:r>
        <w:rPr>
          <w:spacing w:val="-3"/>
          <w:szCs w:val="22"/>
        </w:rPr>
        <w:t>c</w:t>
      </w:r>
      <w:r>
        <w:rPr>
          <w:szCs w:val="22"/>
        </w:rPr>
        <w:t>o</w:t>
      </w:r>
      <w:r>
        <w:rPr>
          <w:spacing w:val="-3"/>
          <w:szCs w:val="22"/>
        </w:rPr>
        <w:t>n</w:t>
      </w:r>
      <w:r>
        <w:rPr>
          <w:szCs w:val="22"/>
        </w:rPr>
        <w:t>co</w:t>
      </w:r>
      <w:r>
        <w:rPr>
          <w:spacing w:val="-4"/>
          <w:szCs w:val="22"/>
        </w:rPr>
        <w:t>m</w:t>
      </w:r>
      <w:r>
        <w:rPr>
          <w:spacing w:val="1"/>
          <w:szCs w:val="22"/>
        </w:rPr>
        <w:t>it</w:t>
      </w:r>
      <w:r>
        <w:rPr>
          <w:szCs w:val="22"/>
        </w:rPr>
        <w:t>en</w:t>
      </w:r>
      <w:r>
        <w:rPr>
          <w:spacing w:val="-2"/>
          <w:szCs w:val="22"/>
        </w:rPr>
        <w:t>t</w:t>
      </w:r>
      <w:r>
        <w:rPr>
          <w:szCs w:val="22"/>
        </w:rPr>
        <w:t>e de a</w:t>
      </w:r>
      <w:r>
        <w:rPr>
          <w:spacing w:val="-4"/>
          <w:szCs w:val="22"/>
        </w:rPr>
        <w:t>m</w:t>
      </w:r>
      <w:r>
        <w:rPr>
          <w:spacing w:val="1"/>
          <w:szCs w:val="22"/>
        </w:rPr>
        <w:t>i</w:t>
      </w:r>
      <w:r>
        <w:rPr>
          <w:szCs w:val="22"/>
        </w:rPr>
        <w:t>no</w:t>
      </w:r>
      <w:r>
        <w:rPr>
          <w:spacing w:val="-2"/>
          <w:szCs w:val="22"/>
        </w:rPr>
        <w:t>s</w:t>
      </w:r>
      <w:r>
        <w:rPr>
          <w:szCs w:val="22"/>
        </w:rPr>
        <w:t>a</w:t>
      </w:r>
      <w:r>
        <w:rPr>
          <w:spacing w:val="-2"/>
          <w:szCs w:val="22"/>
        </w:rPr>
        <w:t>l</w:t>
      </w:r>
      <w:r>
        <w:rPr>
          <w:spacing w:val="1"/>
          <w:szCs w:val="22"/>
        </w:rPr>
        <w:t>i</w:t>
      </w:r>
      <w:r>
        <w:rPr>
          <w:spacing w:val="-3"/>
          <w:szCs w:val="22"/>
        </w:rPr>
        <w:t>c</w:t>
      </w:r>
      <w:r>
        <w:rPr>
          <w:spacing w:val="1"/>
          <w:szCs w:val="22"/>
        </w:rPr>
        <w:t>il</w:t>
      </w:r>
      <w:r>
        <w:rPr>
          <w:spacing w:val="-3"/>
          <w:szCs w:val="22"/>
        </w:rPr>
        <w:t>a</w:t>
      </w:r>
      <w:r>
        <w:rPr>
          <w:spacing w:val="-2"/>
          <w:szCs w:val="22"/>
        </w:rPr>
        <w:t>ţ</w:t>
      </w:r>
      <w:r>
        <w:rPr>
          <w:spacing w:val="1"/>
          <w:szCs w:val="22"/>
        </w:rPr>
        <w:t>i</w:t>
      </w:r>
      <w:r>
        <w:rPr>
          <w:szCs w:val="22"/>
        </w:rPr>
        <w:t>, c</w:t>
      </w:r>
      <w:r>
        <w:rPr>
          <w:spacing w:val="-3"/>
          <w:szCs w:val="22"/>
        </w:rPr>
        <w:t>o</w:t>
      </w:r>
      <w:r>
        <w:rPr>
          <w:szCs w:val="22"/>
        </w:rPr>
        <w:t>r</w:t>
      </w:r>
      <w:r>
        <w:rPr>
          <w:spacing w:val="-2"/>
          <w:szCs w:val="22"/>
        </w:rPr>
        <w:t>t</w:t>
      </w:r>
      <w:r>
        <w:rPr>
          <w:spacing w:val="1"/>
          <w:szCs w:val="22"/>
        </w:rPr>
        <w:t>i</w:t>
      </w:r>
      <w:r>
        <w:rPr>
          <w:szCs w:val="22"/>
        </w:rPr>
        <w:t>co</w:t>
      </w:r>
      <w:r>
        <w:rPr>
          <w:spacing w:val="-2"/>
          <w:szCs w:val="22"/>
        </w:rPr>
        <w:t>s</w:t>
      </w:r>
      <w:r>
        <w:rPr>
          <w:spacing w:val="1"/>
          <w:szCs w:val="22"/>
        </w:rPr>
        <w:t>t</w:t>
      </w:r>
      <w:r>
        <w:rPr>
          <w:spacing w:val="-3"/>
          <w:szCs w:val="22"/>
        </w:rPr>
        <w:t>e</w:t>
      </w:r>
      <w:r>
        <w:rPr>
          <w:szCs w:val="22"/>
        </w:rPr>
        <w:t>r</w:t>
      </w:r>
      <w:r>
        <w:rPr>
          <w:spacing w:val="-3"/>
          <w:szCs w:val="22"/>
        </w:rPr>
        <w:t>o</w:t>
      </w:r>
      <w:r>
        <w:rPr>
          <w:spacing w:val="1"/>
          <w:szCs w:val="22"/>
        </w:rPr>
        <w:t>i</w:t>
      </w:r>
      <w:r>
        <w:rPr>
          <w:spacing w:val="-3"/>
          <w:szCs w:val="22"/>
        </w:rPr>
        <w:t>z</w:t>
      </w:r>
      <w:r>
        <w:rPr>
          <w:szCs w:val="22"/>
        </w:rPr>
        <w:t>i ş</w:t>
      </w:r>
      <w:r>
        <w:rPr>
          <w:spacing w:val="1"/>
          <w:szCs w:val="22"/>
        </w:rPr>
        <w:t>i</w:t>
      </w:r>
      <w:r>
        <w:rPr>
          <w:spacing w:val="-2"/>
          <w:szCs w:val="22"/>
        </w:rPr>
        <w:t>/</w:t>
      </w:r>
      <w:r>
        <w:rPr>
          <w:szCs w:val="22"/>
        </w:rPr>
        <w:t>sau</w:t>
      </w:r>
      <w:r>
        <w:rPr>
          <w:spacing w:val="-3"/>
          <w:szCs w:val="22"/>
        </w:rPr>
        <w:t xml:space="preserve"> </w:t>
      </w:r>
      <w:r>
        <w:rPr>
          <w:spacing w:val="1"/>
          <w:szCs w:val="22"/>
        </w:rPr>
        <w:t>i</w:t>
      </w:r>
      <w:r>
        <w:rPr>
          <w:spacing w:val="-4"/>
          <w:szCs w:val="22"/>
        </w:rPr>
        <w:t>m</w:t>
      </w:r>
      <w:r>
        <w:rPr>
          <w:szCs w:val="22"/>
        </w:rPr>
        <w:t>uno</w:t>
      </w:r>
      <w:r>
        <w:rPr>
          <w:spacing w:val="-4"/>
          <w:szCs w:val="22"/>
        </w:rPr>
        <w:t>m</w:t>
      </w:r>
      <w:r>
        <w:rPr>
          <w:szCs w:val="22"/>
        </w:rPr>
        <w:t>odu</w:t>
      </w:r>
      <w:r>
        <w:rPr>
          <w:spacing w:val="1"/>
          <w:szCs w:val="22"/>
        </w:rPr>
        <w:t>l</w:t>
      </w:r>
      <w:r>
        <w:rPr>
          <w:szCs w:val="22"/>
        </w:rPr>
        <w:t>a</w:t>
      </w:r>
      <w:r>
        <w:rPr>
          <w:spacing w:val="1"/>
          <w:szCs w:val="22"/>
        </w:rPr>
        <w:t>t</w:t>
      </w:r>
      <w:r>
        <w:rPr>
          <w:szCs w:val="22"/>
        </w:rPr>
        <w:t>oa</w:t>
      </w:r>
      <w:r>
        <w:rPr>
          <w:spacing w:val="-2"/>
          <w:szCs w:val="22"/>
        </w:rPr>
        <w:t>r</w:t>
      </w:r>
      <w:r>
        <w:rPr>
          <w:szCs w:val="22"/>
        </w:rPr>
        <w:t xml:space="preserve">e </w:t>
      </w:r>
      <w:r>
        <w:rPr>
          <w:spacing w:val="-2"/>
          <w:szCs w:val="22"/>
        </w:rPr>
        <w:t>ş</w:t>
      </w:r>
      <w:r>
        <w:rPr>
          <w:szCs w:val="22"/>
        </w:rPr>
        <w:t>i</w:t>
      </w:r>
      <w:r>
        <w:rPr>
          <w:spacing w:val="-2"/>
          <w:szCs w:val="22"/>
        </w:rPr>
        <w:t xml:space="preserve"> </w:t>
      </w:r>
      <w:r>
        <w:rPr>
          <w:szCs w:val="22"/>
        </w:rPr>
        <w:t>80%</w:t>
      </w:r>
      <w:r>
        <w:rPr>
          <w:spacing w:val="1"/>
          <w:szCs w:val="22"/>
        </w:rPr>
        <w:t xml:space="preserve"> </w:t>
      </w:r>
      <w:r>
        <w:rPr>
          <w:spacing w:val="-3"/>
          <w:szCs w:val="22"/>
        </w:rPr>
        <w:t>d</w:t>
      </w:r>
      <w:r>
        <w:rPr>
          <w:spacing w:val="1"/>
          <w:szCs w:val="22"/>
        </w:rPr>
        <w:t>i</w:t>
      </w:r>
      <w:r>
        <w:rPr>
          <w:szCs w:val="22"/>
        </w:rPr>
        <w:t xml:space="preserve">n </w:t>
      </w:r>
      <w:r>
        <w:rPr>
          <w:spacing w:val="-3"/>
          <w:szCs w:val="22"/>
        </w:rPr>
        <w:t>p</w:t>
      </w:r>
      <w:r>
        <w:rPr>
          <w:szCs w:val="22"/>
        </w:rPr>
        <w:t>ac</w:t>
      </w:r>
      <w:r>
        <w:rPr>
          <w:spacing w:val="-2"/>
          <w:szCs w:val="22"/>
        </w:rPr>
        <w:t>i</w:t>
      </w:r>
      <w:r>
        <w:rPr>
          <w:szCs w:val="22"/>
        </w:rPr>
        <w:t>en</w:t>
      </w:r>
      <w:r>
        <w:rPr>
          <w:spacing w:val="-2"/>
          <w:szCs w:val="22"/>
        </w:rPr>
        <w:t>ţ</w:t>
      </w:r>
      <w:r>
        <w:rPr>
          <w:szCs w:val="22"/>
        </w:rPr>
        <w:t>i</w:t>
      </w:r>
      <w:r>
        <w:rPr>
          <w:spacing w:val="1"/>
          <w:szCs w:val="22"/>
        </w:rPr>
        <w:t xml:space="preserve"> </w:t>
      </w:r>
      <w:r>
        <w:rPr>
          <w:szCs w:val="22"/>
        </w:rPr>
        <w:t>au</w:t>
      </w:r>
      <w:r>
        <w:rPr>
          <w:spacing w:val="-3"/>
          <w:szCs w:val="22"/>
        </w:rPr>
        <w:t xml:space="preserve"> </w:t>
      </w:r>
      <w:r>
        <w:rPr>
          <w:szCs w:val="22"/>
        </w:rPr>
        <w:t>p</w:t>
      </w:r>
      <w:r>
        <w:rPr>
          <w:spacing w:val="-2"/>
          <w:szCs w:val="22"/>
        </w:rPr>
        <w:t>r</w:t>
      </w:r>
      <w:r>
        <w:rPr>
          <w:spacing w:val="1"/>
          <w:szCs w:val="22"/>
        </w:rPr>
        <w:t>i</w:t>
      </w:r>
      <w:r>
        <w:rPr>
          <w:spacing w:val="-4"/>
          <w:szCs w:val="22"/>
        </w:rPr>
        <w:t>m</w:t>
      </w:r>
      <w:r>
        <w:rPr>
          <w:spacing w:val="1"/>
          <w:szCs w:val="22"/>
        </w:rPr>
        <w:t>i</w:t>
      </w:r>
      <w:r>
        <w:rPr>
          <w:szCs w:val="22"/>
        </w:rPr>
        <w:t>t</w:t>
      </w:r>
      <w:r>
        <w:rPr>
          <w:spacing w:val="-2"/>
          <w:szCs w:val="22"/>
        </w:rPr>
        <w:t xml:space="preserve"> </w:t>
      </w:r>
      <w:r>
        <w:rPr>
          <w:spacing w:val="1"/>
          <w:szCs w:val="22"/>
        </w:rPr>
        <w:t>î</w:t>
      </w:r>
      <w:r>
        <w:rPr>
          <w:szCs w:val="22"/>
        </w:rPr>
        <w:t>n co</w:t>
      </w:r>
      <w:r>
        <w:rPr>
          <w:spacing w:val="-3"/>
          <w:szCs w:val="22"/>
        </w:rPr>
        <w:t>n</w:t>
      </w:r>
      <w:r>
        <w:rPr>
          <w:spacing w:val="1"/>
          <w:szCs w:val="22"/>
        </w:rPr>
        <w:t>t</w:t>
      </w:r>
      <w:r>
        <w:rPr>
          <w:spacing w:val="-2"/>
          <w:szCs w:val="22"/>
        </w:rPr>
        <w:t>i</w:t>
      </w:r>
      <w:r>
        <w:rPr>
          <w:szCs w:val="22"/>
        </w:rPr>
        <w:t>nu</w:t>
      </w:r>
      <w:r>
        <w:rPr>
          <w:spacing w:val="-3"/>
          <w:szCs w:val="22"/>
        </w:rPr>
        <w:t>a</w:t>
      </w:r>
      <w:r>
        <w:rPr>
          <w:szCs w:val="22"/>
        </w:rPr>
        <w:t xml:space="preserve">re </w:t>
      </w:r>
      <w:r>
        <w:rPr>
          <w:spacing w:val="-3"/>
          <w:szCs w:val="22"/>
        </w:rPr>
        <w:t>c</w:t>
      </w:r>
      <w:r>
        <w:rPr>
          <w:szCs w:val="22"/>
        </w:rPr>
        <w:t>el</w:t>
      </w:r>
      <w:r>
        <w:rPr>
          <w:spacing w:val="1"/>
          <w:szCs w:val="22"/>
        </w:rPr>
        <w:t xml:space="preserve"> </w:t>
      </w:r>
      <w:r>
        <w:rPr>
          <w:spacing w:val="-3"/>
          <w:szCs w:val="22"/>
        </w:rPr>
        <w:t>p</w:t>
      </w:r>
      <w:r>
        <w:rPr>
          <w:szCs w:val="22"/>
        </w:rPr>
        <w:t>u</w:t>
      </w:r>
      <w:r>
        <w:rPr>
          <w:spacing w:val="-2"/>
          <w:szCs w:val="22"/>
        </w:rPr>
        <w:t>ţ</w:t>
      </w:r>
      <w:r>
        <w:rPr>
          <w:spacing w:val="1"/>
          <w:szCs w:val="22"/>
        </w:rPr>
        <w:t>i</w:t>
      </w:r>
      <w:r>
        <w:rPr>
          <w:szCs w:val="22"/>
        </w:rPr>
        <w:t>n un</w:t>
      </w:r>
      <w:r>
        <w:rPr>
          <w:spacing w:val="-3"/>
          <w:szCs w:val="22"/>
        </w:rPr>
        <w:t>u</w:t>
      </w:r>
      <w:r>
        <w:rPr>
          <w:szCs w:val="22"/>
        </w:rPr>
        <w:t>l</w:t>
      </w:r>
      <w:r>
        <w:rPr>
          <w:spacing w:val="-2"/>
          <w:szCs w:val="22"/>
        </w:rPr>
        <w:t xml:space="preserve"> </w:t>
      </w:r>
      <w:r>
        <w:rPr>
          <w:szCs w:val="22"/>
        </w:rPr>
        <w:t>d</w:t>
      </w:r>
      <w:r>
        <w:rPr>
          <w:spacing w:val="1"/>
          <w:szCs w:val="22"/>
        </w:rPr>
        <w:t>i</w:t>
      </w:r>
      <w:r>
        <w:rPr>
          <w:szCs w:val="22"/>
        </w:rPr>
        <w:t>n</w:t>
      </w:r>
      <w:r>
        <w:rPr>
          <w:spacing w:val="-2"/>
          <w:szCs w:val="22"/>
        </w:rPr>
        <w:t>t</w:t>
      </w:r>
      <w:r>
        <w:rPr>
          <w:szCs w:val="22"/>
        </w:rPr>
        <w:t>re</w:t>
      </w:r>
      <w:r>
        <w:rPr>
          <w:spacing w:val="-2"/>
          <w:szCs w:val="22"/>
        </w:rPr>
        <w:t xml:space="preserve"> </w:t>
      </w:r>
      <w:r>
        <w:rPr>
          <w:szCs w:val="22"/>
        </w:rPr>
        <w:t>ac</w:t>
      </w:r>
      <w:r>
        <w:rPr>
          <w:spacing w:val="-3"/>
          <w:szCs w:val="22"/>
        </w:rPr>
        <w:t>e</w:t>
      </w:r>
      <w:r>
        <w:rPr>
          <w:szCs w:val="22"/>
        </w:rPr>
        <w:t>s</w:t>
      </w:r>
      <w:r>
        <w:rPr>
          <w:spacing w:val="1"/>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w:t>
      </w:r>
    </w:p>
    <w:p w14:paraId="47E03AFA" w14:textId="77777777" w:rsidR="00C04CAD" w:rsidRDefault="00C04CAD">
      <w:pPr>
        <w:tabs>
          <w:tab w:val="clear" w:pos="567"/>
        </w:tabs>
        <w:kinsoku w:val="0"/>
        <w:overflowPunct w:val="0"/>
        <w:autoSpaceDE w:val="0"/>
        <w:autoSpaceDN w:val="0"/>
        <w:adjustRightInd w:val="0"/>
        <w:spacing w:line="240" w:lineRule="auto"/>
        <w:rPr>
          <w:szCs w:val="22"/>
        </w:rPr>
      </w:pPr>
    </w:p>
    <w:p w14:paraId="00436343"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I</w:t>
      </w:r>
      <w:r>
        <w:rPr>
          <w:szCs w:val="22"/>
        </w:rPr>
        <w:t xml:space="preserve">nducerea </w:t>
      </w:r>
      <w:r>
        <w:rPr>
          <w:spacing w:val="-2"/>
          <w:szCs w:val="22"/>
        </w:rPr>
        <w:t>r</w:t>
      </w:r>
      <w:r>
        <w:rPr>
          <w:szCs w:val="22"/>
        </w:rPr>
        <w:t>e</w:t>
      </w:r>
      <w:r>
        <w:rPr>
          <w:spacing w:val="-4"/>
          <w:szCs w:val="22"/>
        </w:rPr>
        <w:t>m</w:t>
      </w:r>
      <w:r>
        <w:rPr>
          <w:spacing w:val="1"/>
          <w:szCs w:val="22"/>
        </w:rPr>
        <w:t>i</w:t>
      </w:r>
      <w:r>
        <w:rPr>
          <w:szCs w:val="22"/>
        </w:rPr>
        <w:t>s</w:t>
      </w:r>
      <w:r>
        <w:rPr>
          <w:spacing w:val="1"/>
          <w:szCs w:val="22"/>
        </w:rPr>
        <w:t>i</w:t>
      </w:r>
      <w:r>
        <w:rPr>
          <w:szCs w:val="22"/>
        </w:rPr>
        <w:t>ei</w:t>
      </w:r>
      <w:r>
        <w:rPr>
          <w:spacing w:val="-2"/>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ce</w:t>
      </w:r>
      <w:r>
        <w:rPr>
          <w:spacing w:val="-2"/>
          <w:szCs w:val="22"/>
        </w:rPr>
        <w:t xml:space="preserve"> (</w:t>
      </w:r>
      <w:r>
        <w:rPr>
          <w:szCs w:val="22"/>
        </w:rPr>
        <w:t>def</w:t>
      </w:r>
      <w:r>
        <w:rPr>
          <w:spacing w:val="-2"/>
          <w:szCs w:val="22"/>
        </w:rPr>
        <w:t>i</w:t>
      </w:r>
      <w:r>
        <w:rPr>
          <w:szCs w:val="22"/>
        </w:rPr>
        <w:t>n</w:t>
      </w:r>
      <w:r>
        <w:rPr>
          <w:spacing w:val="-2"/>
          <w:szCs w:val="22"/>
        </w:rPr>
        <w:t>i</w:t>
      </w:r>
      <w:r>
        <w:rPr>
          <w:spacing w:val="1"/>
          <w:szCs w:val="22"/>
        </w:rPr>
        <w:t>t</w:t>
      </w:r>
      <w:r>
        <w:rPr>
          <w:szCs w:val="22"/>
        </w:rPr>
        <w:t xml:space="preserve">ă </w:t>
      </w:r>
      <w:r>
        <w:rPr>
          <w:spacing w:val="-3"/>
          <w:szCs w:val="22"/>
        </w:rPr>
        <w:t>c</w:t>
      </w:r>
      <w:r>
        <w:rPr>
          <w:szCs w:val="22"/>
        </w:rPr>
        <w:t xml:space="preserve">a </w:t>
      </w:r>
      <w:r>
        <w:rPr>
          <w:spacing w:val="-4"/>
          <w:szCs w:val="22"/>
        </w:rPr>
        <w:t>I</w:t>
      </w:r>
      <w:r>
        <w:rPr>
          <w:spacing w:val="-1"/>
          <w:szCs w:val="22"/>
        </w:rPr>
        <w:t>AB</w:t>
      </w:r>
      <w:r>
        <w:rPr>
          <w:szCs w:val="22"/>
        </w:rPr>
        <w:t>C</w:t>
      </w:r>
      <w:r>
        <w:rPr>
          <w:spacing w:val="-1"/>
          <w:szCs w:val="22"/>
        </w:rPr>
        <w:t xml:space="preserve"> </w:t>
      </w:r>
      <w:r>
        <w:rPr>
          <w:szCs w:val="22"/>
        </w:rPr>
        <w:t>&lt;150)</w:t>
      </w:r>
      <w:r>
        <w:rPr>
          <w:spacing w:val="1"/>
          <w:szCs w:val="22"/>
        </w:rPr>
        <w:t xml:space="preserve"> </w:t>
      </w:r>
      <w:r>
        <w:rPr>
          <w:szCs w:val="22"/>
        </w:rPr>
        <w:t xml:space="preserve">a </w:t>
      </w:r>
      <w:r>
        <w:rPr>
          <w:spacing w:val="-2"/>
          <w:szCs w:val="22"/>
        </w:rPr>
        <w:t>f</w:t>
      </w:r>
      <w:r>
        <w:rPr>
          <w:szCs w:val="22"/>
        </w:rPr>
        <w:t>ost</w:t>
      </w:r>
      <w:r>
        <w:rPr>
          <w:spacing w:val="1"/>
          <w:szCs w:val="22"/>
        </w:rPr>
        <w:t xml:space="preserve"> </w:t>
      </w:r>
      <w:r>
        <w:rPr>
          <w:szCs w:val="22"/>
        </w:rPr>
        <w:t>e</w:t>
      </w:r>
      <w:r>
        <w:rPr>
          <w:spacing w:val="-3"/>
          <w:szCs w:val="22"/>
        </w:rPr>
        <w:t>v</w:t>
      </w:r>
      <w:r>
        <w:rPr>
          <w:szCs w:val="22"/>
        </w:rPr>
        <w:t>a</w:t>
      </w:r>
      <w:r>
        <w:rPr>
          <w:spacing w:val="-2"/>
          <w:szCs w:val="22"/>
        </w:rPr>
        <w:t>l</w:t>
      </w:r>
      <w:r>
        <w:rPr>
          <w:szCs w:val="22"/>
        </w:rPr>
        <w:t>ua</w:t>
      </w:r>
      <w:r>
        <w:rPr>
          <w:spacing w:val="-2"/>
          <w:szCs w:val="22"/>
        </w:rPr>
        <w:t>t</w:t>
      </w:r>
      <w:r>
        <w:rPr>
          <w:szCs w:val="22"/>
        </w:rPr>
        <w:t xml:space="preserve">ă </w:t>
      </w:r>
      <w:r>
        <w:rPr>
          <w:spacing w:val="-2"/>
          <w:szCs w:val="22"/>
        </w:rPr>
        <w:t>î</w:t>
      </w:r>
      <w:r>
        <w:rPr>
          <w:szCs w:val="22"/>
        </w:rPr>
        <w:t>n două</w:t>
      </w:r>
      <w:r>
        <w:rPr>
          <w:spacing w:val="-2"/>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w:t>
      </w:r>
      <w:r>
        <w:rPr>
          <w:szCs w:val="22"/>
        </w:rPr>
        <w:t>,</w:t>
      </w:r>
      <w:r>
        <w:rPr>
          <w:spacing w:val="-3"/>
          <w:szCs w:val="22"/>
        </w:rPr>
        <w:t xml:space="preserve"> </w:t>
      </w:r>
      <w:r>
        <w:rPr>
          <w:szCs w:val="22"/>
        </w:rPr>
        <w:t>s</w:t>
      </w:r>
      <w:r>
        <w:rPr>
          <w:spacing w:val="1"/>
          <w:szCs w:val="22"/>
        </w:rPr>
        <w:t>t</w:t>
      </w:r>
      <w:r>
        <w:rPr>
          <w:szCs w:val="22"/>
        </w:rPr>
        <w:t>u</w:t>
      </w:r>
      <w:r>
        <w:rPr>
          <w:spacing w:val="-3"/>
          <w:szCs w:val="22"/>
        </w:rPr>
        <w:t>d</w:t>
      </w:r>
      <w:r>
        <w:rPr>
          <w:spacing w:val="1"/>
          <w:szCs w:val="22"/>
        </w:rPr>
        <w:t>i</w:t>
      </w:r>
      <w:r>
        <w:rPr>
          <w:szCs w:val="22"/>
        </w:rPr>
        <w:t>ul</w:t>
      </w:r>
      <w:r>
        <w:rPr>
          <w:spacing w:val="1"/>
          <w:szCs w:val="22"/>
        </w:rPr>
        <w:t xml:space="preserve"> </w:t>
      </w:r>
      <w:r>
        <w:rPr>
          <w:spacing w:val="-1"/>
          <w:szCs w:val="22"/>
        </w:rPr>
        <w:t>B</w:t>
      </w:r>
      <w:r>
        <w:rPr>
          <w:szCs w:val="22"/>
        </w:rPr>
        <w:t>C</w:t>
      </w:r>
      <w:r>
        <w:rPr>
          <w:spacing w:val="-1"/>
          <w:szCs w:val="22"/>
        </w:rPr>
        <w:t xml:space="preserve"> </w:t>
      </w:r>
      <w:r>
        <w:rPr>
          <w:szCs w:val="22"/>
        </w:rPr>
        <w:t>I (</w:t>
      </w:r>
      <w:r>
        <w:rPr>
          <w:spacing w:val="-1"/>
          <w:szCs w:val="22"/>
        </w:rPr>
        <w:t>CLASS</w:t>
      </w:r>
      <w:r>
        <w:rPr>
          <w:spacing w:val="-2"/>
          <w:szCs w:val="22"/>
        </w:rPr>
        <w:t>I</w:t>
      </w:r>
      <w:r>
        <w:rPr>
          <w:szCs w:val="22"/>
        </w:rPr>
        <w:t>C</w:t>
      </w:r>
      <w:r>
        <w:rPr>
          <w:spacing w:val="1"/>
          <w:szCs w:val="22"/>
        </w:rPr>
        <w:t xml:space="preserve"> </w:t>
      </w:r>
      <w:r>
        <w:rPr>
          <w:spacing w:val="-4"/>
          <w:szCs w:val="22"/>
        </w:rPr>
        <w:t>I</w:t>
      </w:r>
      <w:r>
        <w:rPr>
          <w:szCs w:val="22"/>
        </w:rPr>
        <w:t>)</w:t>
      </w:r>
      <w:r>
        <w:rPr>
          <w:spacing w:val="1"/>
          <w:szCs w:val="22"/>
        </w:rPr>
        <w:t xml:space="preserve"> </w:t>
      </w:r>
      <w:r>
        <w:rPr>
          <w:szCs w:val="22"/>
        </w:rPr>
        <w:t>şi</w:t>
      </w:r>
      <w:r>
        <w:rPr>
          <w:spacing w:val="1"/>
          <w:szCs w:val="22"/>
        </w:rPr>
        <w:t xml:space="preserve"> </w:t>
      </w:r>
      <w:r>
        <w:rPr>
          <w:szCs w:val="22"/>
        </w:rPr>
        <w:t>s</w:t>
      </w:r>
      <w:r>
        <w:rPr>
          <w:spacing w:val="-2"/>
          <w:szCs w:val="22"/>
        </w:rPr>
        <w:t>t</w:t>
      </w:r>
      <w:r>
        <w:rPr>
          <w:szCs w:val="22"/>
        </w:rPr>
        <w:t>ud</w:t>
      </w:r>
      <w:r>
        <w:rPr>
          <w:spacing w:val="1"/>
          <w:szCs w:val="22"/>
        </w:rPr>
        <w:t>i</w:t>
      </w:r>
      <w:r>
        <w:rPr>
          <w:spacing w:val="-3"/>
          <w:szCs w:val="22"/>
        </w:rPr>
        <w:t>u</w:t>
      </w:r>
      <w:r>
        <w:rPr>
          <w:szCs w:val="22"/>
        </w:rPr>
        <w:t>l</w:t>
      </w:r>
      <w:r>
        <w:rPr>
          <w:spacing w:val="1"/>
          <w:szCs w:val="22"/>
        </w:rPr>
        <w:t xml:space="preserve"> </w:t>
      </w:r>
      <w:r>
        <w:rPr>
          <w:spacing w:val="-1"/>
          <w:szCs w:val="22"/>
        </w:rPr>
        <w:t>B</w:t>
      </w:r>
      <w:r>
        <w:rPr>
          <w:szCs w:val="22"/>
        </w:rPr>
        <w:t>C</w:t>
      </w:r>
      <w:r>
        <w:rPr>
          <w:spacing w:val="-4"/>
          <w:szCs w:val="22"/>
        </w:rPr>
        <w:t xml:space="preserve"> </w:t>
      </w:r>
      <w:r>
        <w:rPr>
          <w:spacing w:val="-2"/>
          <w:szCs w:val="22"/>
        </w:rPr>
        <w:t>I</w:t>
      </w:r>
      <w:r>
        <w:rPr>
          <w:szCs w:val="22"/>
        </w:rPr>
        <w:t>I</w:t>
      </w:r>
      <w:r>
        <w:rPr>
          <w:spacing w:val="-2"/>
          <w:szCs w:val="22"/>
        </w:rPr>
        <w:t xml:space="preserve"> </w:t>
      </w:r>
      <w:r>
        <w:rPr>
          <w:szCs w:val="22"/>
        </w:rPr>
        <w:t>(</w:t>
      </w:r>
      <w:r>
        <w:rPr>
          <w:spacing w:val="-1"/>
          <w:szCs w:val="22"/>
        </w:rPr>
        <w:t>G</w:t>
      </w:r>
      <w:r>
        <w:rPr>
          <w:spacing w:val="1"/>
          <w:szCs w:val="22"/>
        </w:rPr>
        <w:t>A</w:t>
      </w:r>
      <w:r>
        <w:rPr>
          <w:spacing w:val="-2"/>
          <w:szCs w:val="22"/>
        </w:rPr>
        <w:t>IN</w:t>
      </w:r>
      <w:r>
        <w:rPr>
          <w:szCs w:val="22"/>
        </w:rPr>
        <w:t xml:space="preserve">). </w:t>
      </w:r>
      <w:r>
        <w:rPr>
          <w:spacing w:val="-1"/>
          <w:szCs w:val="22"/>
        </w:rPr>
        <w:t>L</w:t>
      </w:r>
      <w:r>
        <w:rPr>
          <w:szCs w:val="22"/>
        </w:rPr>
        <w:t>a unul</w:t>
      </w:r>
      <w:r>
        <w:rPr>
          <w:spacing w:val="-2"/>
          <w:szCs w:val="22"/>
        </w:rPr>
        <w:t xml:space="preserve"> </w:t>
      </w:r>
      <w:r>
        <w:rPr>
          <w:szCs w:val="22"/>
        </w:rPr>
        <w:t>d</w:t>
      </w:r>
      <w:r>
        <w:rPr>
          <w:spacing w:val="1"/>
          <w:szCs w:val="22"/>
        </w:rPr>
        <w:t>i</w:t>
      </w:r>
      <w:r>
        <w:rPr>
          <w:szCs w:val="22"/>
        </w:rPr>
        <w:t>n</w:t>
      </w:r>
      <w:r>
        <w:rPr>
          <w:spacing w:val="-3"/>
          <w:szCs w:val="22"/>
        </w:rPr>
        <w:t xml:space="preserve"> </w:t>
      </w:r>
      <w:r>
        <w:rPr>
          <w:szCs w:val="22"/>
        </w:rPr>
        <w:t>pa</w:t>
      </w:r>
      <w:r>
        <w:rPr>
          <w:spacing w:val="-2"/>
          <w:szCs w:val="22"/>
        </w:rPr>
        <w:t>tr</w:t>
      </w:r>
      <w:r>
        <w:rPr>
          <w:szCs w:val="22"/>
        </w:rPr>
        <w:t xml:space="preserve">u </w:t>
      </w:r>
      <w:r>
        <w:rPr>
          <w:spacing w:val="-3"/>
          <w:szCs w:val="22"/>
        </w:rPr>
        <w:t>g</w:t>
      </w:r>
      <w:r>
        <w:rPr>
          <w:szCs w:val="22"/>
        </w:rPr>
        <w:t>rupuri</w:t>
      </w:r>
      <w:r>
        <w:rPr>
          <w:spacing w:val="-2"/>
          <w:szCs w:val="22"/>
        </w:rPr>
        <w:t xml:space="preserve"> </w:t>
      </w:r>
      <w:r>
        <w:rPr>
          <w:szCs w:val="22"/>
        </w:rPr>
        <w:t>de</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ud</w:t>
      </w:r>
      <w:r>
        <w:rPr>
          <w:spacing w:val="-2"/>
          <w:szCs w:val="22"/>
        </w:rPr>
        <w:t>i</w:t>
      </w:r>
      <w:r>
        <w:rPr>
          <w:szCs w:val="22"/>
        </w:rPr>
        <w:t>ul</w:t>
      </w:r>
      <w:r>
        <w:rPr>
          <w:spacing w:val="1"/>
          <w:szCs w:val="22"/>
        </w:rPr>
        <w:t xml:space="preserve"> </w:t>
      </w:r>
      <w:r>
        <w:rPr>
          <w:spacing w:val="-1"/>
          <w:szCs w:val="22"/>
        </w:rPr>
        <w:t>B</w:t>
      </w:r>
      <w:r>
        <w:rPr>
          <w:szCs w:val="22"/>
        </w:rPr>
        <w:t>C</w:t>
      </w:r>
      <w:r>
        <w:rPr>
          <w:spacing w:val="-1"/>
          <w:szCs w:val="22"/>
        </w:rPr>
        <w:t xml:space="preserve"> </w:t>
      </w:r>
      <w:r>
        <w:rPr>
          <w:spacing w:val="-4"/>
          <w:szCs w:val="22"/>
        </w:rPr>
        <w:t>I</w:t>
      </w:r>
      <w:r>
        <w:rPr>
          <w:szCs w:val="22"/>
        </w:rPr>
        <w:t>, au fo</w:t>
      </w:r>
      <w:r>
        <w:rPr>
          <w:spacing w:val="-2"/>
          <w:szCs w:val="22"/>
        </w:rPr>
        <w:t>s</w:t>
      </w:r>
      <w:r>
        <w:rPr>
          <w:szCs w:val="22"/>
        </w:rPr>
        <w:t>t rando</w:t>
      </w:r>
      <w:r>
        <w:rPr>
          <w:spacing w:val="-4"/>
          <w:szCs w:val="22"/>
        </w:rPr>
        <w:t>m</w:t>
      </w:r>
      <w:r>
        <w:rPr>
          <w:spacing w:val="1"/>
          <w:szCs w:val="22"/>
        </w:rPr>
        <w:t>i</w:t>
      </w:r>
      <w:r>
        <w:rPr>
          <w:spacing w:val="-3"/>
          <w:szCs w:val="22"/>
        </w:rPr>
        <w:t>z</w:t>
      </w:r>
      <w:r>
        <w:rPr>
          <w:szCs w:val="22"/>
        </w:rPr>
        <w:t>a</w:t>
      </w:r>
      <w:r>
        <w:rPr>
          <w:spacing w:val="1"/>
          <w:szCs w:val="22"/>
        </w:rPr>
        <w:t>ţ</w:t>
      </w:r>
      <w:r>
        <w:rPr>
          <w:szCs w:val="22"/>
        </w:rPr>
        <w:t>i</w:t>
      </w:r>
      <w:r>
        <w:rPr>
          <w:spacing w:val="1"/>
          <w:szCs w:val="22"/>
        </w:rPr>
        <w:t xml:space="preserve"> </w:t>
      </w:r>
      <w:r>
        <w:rPr>
          <w:spacing w:val="-3"/>
          <w:szCs w:val="22"/>
        </w:rPr>
        <w:t>2</w:t>
      </w:r>
      <w:r>
        <w:rPr>
          <w:szCs w:val="22"/>
        </w:rPr>
        <w:t>99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pacing w:val="-2"/>
          <w:szCs w:val="22"/>
        </w:rPr>
        <w:t>f</w:t>
      </w:r>
      <w:r>
        <w:rPr>
          <w:spacing w:val="-3"/>
          <w:szCs w:val="22"/>
        </w:rPr>
        <w:t>ă</w:t>
      </w:r>
      <w:r>
        <w:rPr>
          <w:szCs w:val="22"/>
        </w:rPr>
        <w:t>ră a</w:t>
      </w:r>
      <w:r>
        <w:rPr>
          <w:spacing w:val="-3"/>
          <w:szCs w:val="22"/>
        </w:rPr>
        <w:t>n</w:t>
      </w:r>
      <w:r>
        <w:rPr>
          <w:spacing w:val="1"/>
          <w:szCs w:val="22"/>
        </w:rPr>
        <w:t>t</w:t>
      </w:r>
      <w:r>
        <w:rPr>
          <w:szCs w:val="22"/>
        </w:rPr>
        <w:t>a</w:t>
      </w:r>
      <w:r>
        <w:rPr>
          <w:spacing w:val="-3"/>
          <w:szCs w:val="22"/>
        </w:rPr>
        <w:t>g</w:t>
      </w:r>
      <w:r>
        <w:rPr>
          <w:szCs w:val="22"/>
        </w:rPr>
        <w:t>on</w:t>
      </w:r>
      <w:r>
        <w:rPr>
          <w:spacing w:val="-2"/>
          <w:szCs w:val="22"/>
        </w:rPr>
        <w:t>i</w:t>
      </w:r>
      <w:r>
        <w:rPr>
          <w:szCs w:val="22"/>
        </w:rPr>
        <w:t>ş</w:t>
      </w:r>
      <w:r>
        <w:rPr>
          <w:spacing w:val="-2"/>
          <w:szCs w:val="22"/>
        </w:rPr>
        <w:t>t</w:t>
      </w:r>
      <w:r>
        <w:rPr>
          <w:szCs w:val="22"/>
        </w:rPr>
        <w:t>i</w:t>
      </w:r>
      <w:r>
        <w:rPr>
          <w:spacing w:val="-2"/>
          <w:szCs w:val="22"/>
        </w:rPr>
        <w:t xml:space="preserve"> </w:t>
      </w:r>
      <w:r>
        <w:rPr>
          <w:spacing w:val="1"/>
          <w:szCs w:val="22"/>
        </w:rPr>
        <w:t>T</w:t>
      </w:r>
      <w:r>
        <w:rPr>
          <w:spacing w:val="-1"/>
          <w:szCs w:val="22"/>
        </w:rPr>
        <w:t>NF</w:t>
      </w:r>
      <w:r>
        <w:rPr>
          <w:szCs w:val="22"/>
        </w:rPr>
        <w:t>;</w:t>
      </w:r>
      <w:r>
        <w:rPr>
          <w:spacing w:val="1"/>
          <w:szCs w:val="22"/>
        </w:rPr>
        <w:t xml:space="preserve"> </w:t>
      </w:r>
      <w:r>
        <w:rPr>
          <w:spacing w:val="-3"/>
          <w:szCs w:val="22"/>
        </w:rPr>
        <w:t>p</w:t>
      </w:r>
      <w:r>
        <w:rPr>
          <w:spacing w:val="1"/>
          <w:szCs w:val="22"/>
        </w:rPr>
        <w:t>l</w:t>
      </w:r>
      <w:r>
        <w:rPr>
          <w:szCs w:val="22"/>
        </w:rPr>
        <w:t>a</w:t>
      </w:r>
      <w:r>
        <w:rPr>
          <w:spacing w:val="-3"/>
          <w:szCs w:val="22"/>
        </w:rPr>
        <w:t>c</w:t>
      </w:r>
      <w:r>
        <w:rPr>
          <w:szCs w:val="22"/>
        </w:rPr>
        <w:t>e</w:t>
      </w:r>
      <w:r>
        <w:rPr>
          <w:spacing w:val="-3"/>
          <w:szCs w:val="22"/>
        </w:rPr>
        <w:t>b</w:t>
      </w:r>
      <w:r>
        <w:rPr>
          <w:szCs w:val="22"/>
        </w:rPr>
        <w:t xml:space="preserve">o </w:t>
      </w:r>
      <w:r>
        <w:rPr>
          <w:spacing w:val="1"/>
          <w:szCs w:val="22"/>
        </w:rPr>
        <w:t>î</w:t>
      </w:r>
      <w:r>
        <w:rPr>
          <w:szCs w:val="22"/>
        </w:rPr>
        <w:t xml:space="preserve">n </w:t>
      </w:r>
      <w:r>
        <w:rPr>
          <w:spacing w:val="-2"/>
          <w:szCs w:val="22"/>
        </w:rPr>
        <w:t>s</w:t>
      </w:r>
      <w:r>
        <w:rPr>
          <w:szCs w:val="22"/>
        </w:rPr>
        <w:t>ăp</w:t>
      </w:r>
      <w:r>
        <w:rPr>
          <w:spacing w:val="-2"/>
          <w:szCs w:val="22"/>
        </w:rPr>
        <w:t>t</w:t>
      </w:r>
      <w:r>
        <w:rPr>
          <w:szCs w:val="22"/>
        </w:rPr>
        <w:t>ă</w:t>
      </w:r>
      <w:r>
        <w:rPr>
          <w:spacing w:val="-4"/>
          <w:szCs w:val="22"/>
        </w:rPr>
        <w:t>m</w:t>
      </w:r>
      <w:r>
        <w:rPr>
          <w:szCs w:val="22"/>
        </w:rPr>
        <w:t>âna 0 şi</w:t>
      </w:r>
      <w:r>
        <w:rPr>
          <w:spacing w:val="-2"/>
          <w:szCs w:val="22"/>
        </w:rPr>
        <w:t xml:space="preserve"> </w:t>
      </w:r>
      <w:r>
        <w:rPr>
          <w:szCs w:val="22"/>
        </w:rPr>
        <w:t>2, 160</w:t>
      </w:r>
      <w:r>
        <w:rPr>
          <w:spacing w:val="-3"/>
          <w:szCs w:val="22"/>
        </w:rPr>
        <w:t> </w:t>
      </w:r>
      <w:r>
        <w:rPr>
          <w:spacing w:val="-2"/>
          <w:szCs w:val="22"/>
        </w:rPr>
        <w:t>m</w:t>
      </w:r>
      <w:r>
        <w:rPr>
          <w:szCs w:val="22"/>
        </w:rPr>
        <w:t>g</w:t>
      </w:r>
      <w:r>
        <w:rPr>
          <w:spacing w:val="-3"/>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w:t>
      </w:r>
      <w:r>
        <w:rPr>
          <w:spacing w:val="-2"/>
          <w:szCs w:val="22"/>
        </w:rPr>
        <w:t>ş</w:t>
      </w:r>
      <w:r>
        <w:rPr>
          <w:szCs w:val="22"/>
        </w:rPr>
        <w:t>i</w:t>
      </w:r>
      <w:r>
        <w:rPr>
          <w:spacing w:val="1"/>
          <w:szCs w:val="22"/>
        </w:rPr>
        <w:t xml:space="preserve"> </w:t>
      </w:r>
      <w:r>
        <w:rPr>
          <w:szCs w:val="22"/>
        </w:rPr>
        <w:t>80 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2, 80 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pacing w:val="-3"/>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şi</w:t>
      </w:r>
      <w:r>
        <w:rPr>
          <w:spacing w:val="1"/>
          <w:szCs w:val="22"/>
        </w:rPr>
        <w:t xml:space="preserve"> </w:t>
      </w:r>
      <w:r>
        <w:rPr>
          <w:szCs w:val="22"/>
        </w:rPr>
        <w:t>40 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w:t>
      </w:r>
      <w:r>
        <w:rPr>
          <w:spacing w:val="-2"/>
          <w:szCs w:val="22"/>
        </w:rPr>
        <w:t>ş</w:t>
      </w:r>
      <w:r>
        <w:rPr>
          <w:szCs w:val="22"/>
        </w:rPr>
        <w:t>i</w:t>
      </w:r>
      <w:r>
        <w:rPr>
          <w:spacing w:val="1"/>
          <w:szCs w:val="22"/>
        </w:rPr>
        <w:t xml:space="preserve"> </w:t>
      </w:r>
      <w:r>
        <w:rPr>
          <w:szCs w:val="22"/>
        </w:rPr>
        <w:t>40 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w:t>
      </w:r>
      <w:r>
        <w:rPr>
          <w:spacing w:val="-2"/>
          <w:szCs w:val="22"/>
        </w:rPr>
        <w:t>ş</w:t>
      </w:r>
      <w:r>
        <w:rPr>
          <w:szCs w:val="22"/>
        </w:rPr>
        <w:t>i</w:t>
      </w:r>
      <w:r>
        <w:rPr>
          <w:spacing w:val="1"/>
          <w:szCs w:val="22"/>
        </w:rPr>
        <w:t xml:space="preserve"> </w:t>
      </w:r>
      <w:r>
        <w:rPr>
          <w:szCs w:val="22"/>
        </w:rPr>
        <w:t>20 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w:t>
      </w:r>
      <w:r>
        <w:rPr>
          <w:spacing w:val="-4"/>
          <w:szCs w:val="22"/>
        </w:rPr>
        <w:t>Î</w:t>
      </w:r>
      <w:r>
        <w:rPr>
          <w:szCs w:val="22"/>
        </w:rPr>
        <w:t>n s</w:t>
      </w:r>
      <w:r>
        <w:rPr>
          <w:spacing w:val="1"/>
          <w:szCs w:val="22"/>
        </w:rPr>
        <w:t>t</w:t>
      </w:r>
      <w:r>
        <w:rPr>
          <w:szCs w:val="22"/>
        </w:rPr>
        <w:t>ud</w:t>
      </w:r>
      <w:r>
        <w:rPr>
          <w:spacing w:val="1"/>
          <w:szCs w:val="22"/>
        </w:rPr>
        <w:t>i</w:t>
      </w:r>
      <w:r>
        <w:rPr>
          <w:spacing w:val="-3"/>
          <w:szCs w:val="22"/>
        </w:rPr>
        <w:t>u</w:t>
      </w:r>
      <w:r>
        <w:rPr>
          <w:szCs w:val="22"/>
        </w:rPr>
        <w:t>l</w:t>
      </w:r>
      <w:r>
        <w:rPr>
          <w:spacing w:val="1"/>
          <w:szCs w:val="22"/>
        </w:rPr>
        <w:t xml:space="preserve"> </w:t>
      </w:r>
      <w:r>
        <w:rPr>
          <w:spacing w:val="-1"/>
          <w:szCs w:val="22"/>
        </w:rPr>
        <w:t>B</w:t>
      </w:r>
      <w:r>
        <w:rPr>
          <w:szCs w:val="22"/>
        </w:rPr>
        <w:t>C</w:t>
      </w:r>
      <w:r>
        <w:rPr>
          <w:spacing w:val="-1"/>
          <w:szCs w:val="22"/>
        </w:rPr>
        <w:t xml:space="preserve"> </w:t>
      </w:r>
      <w:r>
        <w:rPr>
          <w:spacing w:val="-2"/>
          <w:szCs w:val="22"/>
        </w:rPr>
        <w:t>II</w:t>
      </w:r>
      <w:r>
        <w:rPr>
          <w:szCs w:val="22"/>
        </w:rPr>
        <w:t>, 325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zCs w:val="22"/>
        </w:rPr>
        <w:t>i</w:t>
      </w:r>
      <w:r>
        <w:rPr>
          <w:spacing w:val="1"/>
          <w:szCs w:val="22"/>
        </w:rPr>
        <w:t xml:space="preserve"> </w:t>
      </w:r>
      <w:r>
        <w:rPr>
          <w:szCs w:val="22"/>
        </w:rPr>
        <w:t>c</w:t>
      </w:r>
      <w:r>
        <w:rPr>
          <w:spacing w:val="-3"/>
          <w:szCs w:val="22"/>
        </w:rPr>
        <w:t>a</w:t>
      </w:r>
      <w:r>
        <w:rPr>
          <w:szCs w:val="22"/>
        </w:rPr>
        <w:t>re nu</w:t>
      </w:r>
      <w:r>
        <w:rPr>
          <w:spacing w:val="-3"/>
          <w:szCs w:val="22"/>
        </w:rPr>
        <w:t xml:space="preserve"> </w:t>
      </w:r>
      <w:r>
        <w:rPr>
          <w:szCs w:val="22"/>
        </w:rPr>
        <w:t>au</w:t>
      </w:r>
      <w:r>
        <w:rPr>
          <w:spacing w:val="-3"/>
          <w:szCs w:val="22"/>
        </w:rPr>
        <w:t xml:space="preserve"> </w:t>
      </w:r>
      <w:r>
        <w:rPr>
          <w:szCs w:val="22"/>
        </w:rPr>
        <w:t>r</w:t>
      </w:r>
      <w:r>
        <w:rPr>
          <w:spacing w:val="-3"/>
          <w:szCs w:val="22"/>
        </w:rPr>
        <w:t>ă</w:t>
      </w:r>
      <w:r>
        <w:rPr>
          <w:szCs w:val="22"/>
        </w:rPr>
        <w:t>spuns</w:t>
      </w:r>
      <w:r>
        <w:rPr>
          <w:spacing w:val="-2"/>
          <w:szCs w:val="22"/>
        </w:rPr>
        <w:t xml:space="preserve"> </w:t>
      </w:r>
      <w:r>
        <w:rPr>
          <w:szCs w:val="22"/>
        </w:rPr>
        <w:t xml:space="preserve">sau </w:t>
      </w:r>
      <w:r>
        <w:rPr>
          <w:spacing w:val="-3"/>
          <w:szCs w:val="22"/>
        </w:rPr>
        <w:t>a</w:t>
      </w:r>
      <w:r>
        <w:rPr>
          <w:szCs w:val="22"/>
        </w:rPr>
        <w:t>u a</w:t>
      </w:r>
      <w:r>
        <w:rPr>
          <w:spacing w:val="-3"/>
          <w:szCs w:val="22"/>
        </w:rPr>
        <w:t>v</w:t>
      </w:r>
      <w:r>
        <w:rPr>
          <w:szCs w:val="22"/>
        </w:rPr>
        <w:t xml:space="preserve">ut </w:t>
      </w:r>
      <w:r>
        <w:rPr>
          <w:spacing w:val="1"/>
          <w:szCs w:val="22"/>
        </w:rPr>
        <w:t>i</w:t>
      </w:r>
      <w:r>
        <w:rPr>
          <w:szCs w:val="22"/>
        </w:rPr>
        <w:t>n</w:t>
      </w:r>
      <w:r>
        <w:rPr>
          <w:spacing w:val="1"/>
          <w:szCs w:val="22"/>
        </w:rPr>
        <w:t>t</w:t>
      </w:r>
      <w:r>
        <w:rPr>
          <w:spacing w:val="-3"/>
          <w:szCs w:val="22"/>
        </w:rPr>
        <w:t>o</w:t>
      </w:r>
      <w:r>
        <w:rPr>
          <w:spacing w:val="1"/>
          <w:szCs w:val="22"/>
        </w:rPr>
        <w:t>l</w:t>
      </w:r>
      <w:r>
        <w:rPr>
          <w:spacing w:val="-3"/>
          <w:szCs w:val="22"/>
        </w:rPr>
        <w:t>e</w:t>
      </w:r>
      <w:r>
        <w:rPr>
          <w:szCs w:val="22"/>
        </w:rPr>
        <w:t>ra</w:t>
      </w:r>
      <w:r>
        <w:rPr>
          <w:spacing w:val="-3"/>
          <w:szCs w:val="22"/>
        </w:rPr>
        <w:t>n</w:t>
      </w:r>
      <w:r>
        <w:rPr>
          <w:spacing w:val="1"/>
          <w:szCs w:val="22"/>
        </w:rPr>
        <w:t>ţ</w:t>
      </w:r>
      <w:r>
        <w:rPr>
          <w:szCs w:val="22"/>
        </w:rPr>
        <w:t>ă</w:t>
      </w:r>
      <w:r>
        <w:rPr>
          <w:spacing w:val="-2"/>
          <w:szCs w:val="22"/>
        </w:rPr>
        <w:t xml:space="preserve"> </w:t>
      </w:r>
      <w:r>
        <w:rPr>
          <w:spacing w:val="1"/>
          <w:szCs w:val="22"/>
        </w:rPr>
        <w:t>l</w:t>
      </w:r>
      <w:r>
        <w:rPr>
          <w:szCs w:val="22"/>
        </w:rPr>
        <w:t>a</w:t>
      </w:r>
      <w:r>
        <w:rPr>
          <w:spacing w:val="-2"/>
          <w:szCs w:val="22"/>
        </w:rPr>
        <w:t xml:space="preserve"> </w:t>
      </w:r>
      <w:r>
        <w:rPr>
          <w:spacing w:val="1"/>
          <w:szCs w:val="22"/>
        </w:rPr>
        <w:t>i</w:t>
      </w:r>
      <w:r>
        <w:rPr>
          <w:szCs w:val="22"/>
        </w:rPr>
        <w:t>n</w:t>
      </w:r>
      <w:r>
        <w:rPr>
          <w:spacing w:val="-2"/>
          <w:szCs w:val="22"/>
        </w:rPr>
        <w:t>f</w:t>
      </w:r>
      <w:r>
        <w:rPr>
          <w:spacing w:val="1"/>
          <w:szCs w:val="22"/>
        </w:rPr>
        <w:t>li</w:t>
      </w:r>
      <w:r>
        <w:rPr>
          <w:spacing w:val="-3"/>
          <w:szCs w:val="22"/>
        </w:rPr>
        <w:t>x</w:t>
      </w:r>
      <w:r>
        <w:rPr>
          <w:spacing w:val="1"/>
          <w:szCs w:val="22"/>
        </w:rPr>
        <w:t>i</w:t>
      </w:r>
      <w:r>
        <w:rPr>
          <w:spacing w:val="-4"/>
          <w:szCs w:val="22"/>
        </w:rPr>
        <w:t>m</w:t>
      </w:r>
      <w:r>
        <w:rPr>
          <w:szCs w:val="22"/>
        </w:rPr>
        <w:t>ab au</w:t>
      </w:r>
      <w:r>
        <w:rPr>
          <w:spacing w:val="-3"/>
          <w:szCs w:val="22"/>
        </w:rPr>
        <w:t xml:space="preserve"> </w:t>
      </w:r>
      <w:r>
        <w:rPr>
          <w:szCs w:val="22"/>
        </w:rPr>
        <w:t>fost</w:t>
      </w:r>
      <w:r>
        <w:rPr>
          <w:spacing w:val="-2"/>
          <w:szCs w:val="22"/>
        </w:rPr>
        <w:t xml:space="preserve"> </w:t>
      </w:r>
      <w:r>
        <w:rPr>
          <w:szCs w:val="22"/>
        </w:rPr>
        <w:t>r</w:t>
      </w:r>
      <w:r>
        <w:rPr>
          <w:spacing w:val="-3"/>
          <w:szCs w:val="22"/>
        </w:rPr>
        <w:t>a</w:t>
      </w:r>
      <w:r>
        <w:rPr>
          <w:szCs w:val="22"/>
        </w:rPr>
        <w:t>ndo</w:t>
      </w:r>
      <w:r>
        <w:rPr>
          <w:spacing w:val="-4"/>
          <w:szCs w:val="22"/>
        </w:rPr>
        <w:t>m</w:t>
      </w:r>
      <w:r>
        <w:rPr>
          <w:spacing w:val="1"/>
          <w:szCs w:val="22"/>
        </w:rPr>
        <w:t>i</w:t>
      </w:r>
      <w:r>
        <w:rPr>
          <w:spacing w:val="-3"/>
          <w:szCs w:val="22"/>
        </w:rPr>
        <w:t>z</w:t>
      </w:r>
      <w:r>
        <w:rPr>
          <w:szCs w:val="22"/>
        </w:rPr>
        <w:t>a</w:t>
      </w:r>
      <w:r>
        <w:rPr>
          <w:spacing w:val="1"/>
          <w:szCs w:val="22"/>
        </w:rPr>
        <w:t>ţ</w:t>
      </w:r>
      <w:r>
        <w:rPr>
          <w:szCs w:val="22"/>
        </w:rPr>
        <w:t>i</w:t>
      </w:r>
      <w:r>
        <w:rPr>
          <w:spacing w:val="1"/>
          <w:szCs w:val="22"/>
        </w:rPr>
        <w:t xml:space="preserve"> </w:t>
      </w:r>
      <w:r>
        <w:rPr>
          <w:szCs w:val="22"/>
        </w:rPr>
        <w:t>să</w:t>
      </w:r>
      <w:r>
        <w:rPr>
          <w:spacing w:val="-2"/>
          <w:szCs w:val="22"/>
        </w:rPr>
        <w:t xml:space="preserve"> </w:t>
      </w:r>
      <w:r>
        <w:rPr>
          <w:szCs w:val="22"/>
        </w:rPr>
        <w:t>p</w:t>
      </w:r>
      <w:r>
        <w:rPr>
          <w:spacing w:val="-2"/>
          <w:szCs w:val="22"/>
        </w:rPr>
        <w:t>r</w:t>
      </w:r>
      <w:r>
        <w:rPr>
          <w:spacing w:val="1"/>
          <w:szCs w:val="22"/>
        </w:rPr>
        <w:t>i</w:t>
      </w:r>
      <w:r>
        <w:rPr>
          <w:spacing w:val="-4"/>
          <w:szCs w:val="22"/>
        </w:rPr>
        <w:t>m</w:t>
      </w:r>
      <w:r>
        <w:rPr>
          <w:szCs w:val="22"/>
        </w:rPr>
        <w:t>ească o</w:t>
      </w:r>
      <w:r>
        <w:rPr>
          <w:spacing w:val="-2"/>
          <w:szCs w:val="22"/>
        </w:rPr>
        <w:t>r</w:t>
      </w:r>
      <w:r>
        <w:rPr>
          <w:szCs w:val="22"/>
        </w:rPr>
        <w:t>i</w:t>
      </w:r>
      <w:r>
        <w:rPr>
          <w:spacing w:val="1"/>
          <w:szCs w:val="22"/>
        </w:rPr>
        <w:t xml:space="preserve"> </w:t>
      </w:r>
      <w:r>
        <w:rPr>
          <w:szCs w:val="22"/>
        </w:rPr>
        <w:t>160</w:t>
      </w:r>
      <w:r>
        <w:rPr>
          <w:spacing w:val="-3"/>
          <w:szCs w:val="22"/>
        </w:rPr>
        <w:t> </w:t>
      </w:r>
      <w:r>
        <w:rPr>
          <w:spacing w:val="-2"/>
          <w:szCs w:val="22"/>
        </w:rPr>
        <w:t>m</w:t>
      </w:r>
      <w:r>
        <w:rPr>
          <w:szCs w:val="22"/>
        </w:rPr>
        <w:t>g</w:t>
      </w:r>
      <w:r>
        <w:rPr>
          <w:spacing w:val="-3"/>
          <w:szCs w:val="22"/>
        </w:rPr>
        <w:t xml:space="preserve"> </w:t>
      </w:r>
      <w:r>
        <w:rPr>
          <w:rFonts w:eastAsia="MS Mincho"/>
          <w:spacing w:val="-1"/>
          <w:szCs w:val="22"/>
          <w:lang w:eastAsia="en-US" w:bidi="ar-SA"/>
        </w:rPr>
        <w:t>adalimumab</w:t>
      </w:r>
      <w:r>
        <w:rPr>
          <w:szCs w:val="22"/>
        </w:rPr>
        <w:t xml:space="preserve"> </w:t>
      </w:r>
      <w:r>
        <w:rPr>
          <w:spacing w:val="1"/>
          <w:szCs w:val="22"/>
        </w:rPr>
        <w:t>î</w:t>
      </w:r>
      <w:r>
        <w:rPr>
          <w:szCs w:val="22"/>
        </w:rPr>
        <w:t xml:space="preserve">n </w:t>
      </w:r>
      <w:r>
        <w:rPr>
          <w:rFonts w:eastAsia="MS Mincho"/>
          <w:spacing w:val="-3"/>
          <w:szCs w:val="22"/>
          <w:lang w:eastAsia="en-US" w:bidi="ar-SA"/>
        </w:rPr>
        <w:t>să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w:t>
      </w:r>
      <w:r>
        <w:rPr>
          <w:spacing w:val="-2"/>
          <w:szCs w:val="22"/>
        </w:rPr>
        <w:t>ş</w:t>
      </w:r>
      <w:r>
        <w:rPr>
          <w:szCs w:val="22"/>
        </w:rPr>
        <w:t>i</w:t>
      </w:r>
      <w:r>
        <w:rPr>
          <w:spacing w:val="1"/>
          <w:szCs w:val="22"/>
        </w:rPr>
        <w:t xml:space="preserve"> </w:t>
      </w:r>
      <w:r>
        <w:rPr>
          <w:szCs w:val="22"/>
        </w:rPr>
        <w:t>80 </w:t>
      </w:r>
      <w:r>
        <w:rPr>
          <w:spacing w:val="-4"/>
          <w:szCs w:val="22"/>
        </w:rPr>
        <w:t>m</w:t>
      </w:r>
      <w:r>
        <w:rPr>
          <w:szCs w:val="22"/>
        </w:rPr>
        <w:t xml:space="preserve">g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w:t>
      </w:r>
      <w:r>
        <w:rPr>
          <w:spacing w:val="-2"/>
          <w:szCs w:val="22"/>
        </w:rPr>
        <w:t>s</w:t>
      </w:r>
      <w:r>
        <w:rPr>
          <w:szCs w:val="22"/>
        </w:rPr>
        <w:t>au p</w:t>
      </w:r>
      <w:r>
        <w:rPr>
          <w:spacing w:val="-2"/>
          <w:szCs w:val="22"/>
        </w:rPr>
        <w:t>l</w:t>
      </w:r>
      <w:r>
        <w:rPr>
          <w:szCs w:val="22"/>
        </w:rPr>
        <w:t>ac</w:t>
      </w:r>
      <w:r>
        <w:rPr>
          <w:spacing w:val="-3"/>
          <w:szCs w:val="22"/>
        </w:rPr>
        <w:t>e</w:t>
      </w:r>
      <w:r>
        <w:rPr>
          <w:szCs w:val="22"/>
        </w:rPr>
        <w:t>bo</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w:t>
      </w:r>
      <w:r>
        <w:rPr>
          <w:spacing w:val="-2"/>
          <w:szCs w:val="22"/>
        </w:rPr>
        <w:t>ş</w:t>
      </w:r>
      <w:r>
        <w:rPr>
          <w:szCs w:val="22"/>
        </w:rPr>
        <w:t>i</w:t>
      </w:r>
      <w:r>
        <w:rPr>
          <w:spacing w:val="1"/>
          <w:szCs w:val="22"/>
        </w:rPr>
        <w:t xml:space="preserve"> </w:t>
      </w:r>
      <w:r>
        <w:rPr>
          <w:szCs w:val="22"/>
        </w:rPr>
        <w:t xml:space="preserve">2. </w:t>
      </w:r>
      <w:r>
        <w:rPr>
          <w:spacing w:val="-1"/>
          <w:szCs w:val="22"/>
        </w:rPr>
        <w:t>C</w:t>
      </w:r>
      <w:r>
        <w:rPr>
          <w:spacing w:val="-3"/>
          <w:szCs w:val="22"/>
        </w:rPr>
        <w:t>e</w:t>
      </w:r>
      <w:r>
        <w:rPr>
          <w:szCs w:val="22"/>
        </w:rPr>
        <w:t>i</w:t>
      </w:r>
      <w:r>
        <w:rPr>
          <w:spacing w:val="1"/>
          <w:szCs w:val="22"/>
        </w:rPr>
        <w:t xml:space="preserve"> </w:t>
      </w:r>
      <w:r>
        <w:rPr>
          <w:spacing w:val="-3"/>
          <w:szCs w:val="22"/>
        </w:rPr>
        <w:t>ca</w:t>
      </w:r>
      <w:r>
        <w:rPr>
          <w:szCs w:val="22"/>
        </w:rPr>
        <w:t>re nu</w:t>
      </w:r>
      <w:r>
        <w:rPr>
          <w:spacing w:val="-3"/>
          <w:szCs w:val="22"/>
        </w:rPr>
        <w:t xml:space="preserve"> </w:t>
      </w:r>
      <w:r>
        <w:rPr>
          <w:szCs w:val="22"/>
        </w:rPr>
        <w:t xml:space="preserve">au </w:t>
      </w:r>
      <w:r>
        <w:rPr>
          <w:spacing w:val="-2"/>
          <w:szCs w:val="22"/>
        </w:rPr>
        <w:t>r</w:t>
      </w:r>
      <w:r>
        <w:rPr>
          <w:szCs w:val="22"/>
        </w:rPr>
        <w:t>ăspu</w:t>
      </w:r>
      <w:r>
        <w:rPr>
          <w:spacing w:val="-3"/>
          <w:szCs w:val="22"/>
        </w:rPr>
        <w:t>n</w:t>
      </w:r>
      <w:r>
        <w:rPr>
          <w:szCs w:val="22"/>
        </w:rPr>
        <w:t>s de</w:t>
      </w:r>
      <w:r>
        <w:rPr>
          <w:spacing w:val="-2"/>
          <w:szCs w:val="22"/>
        </w:rPr>
        <w:t xml:space="preserve"> </w:t>
      </w:r>
      <w:r>
        <w:rPr>
          <w:spacing w:val="1"/>
          <w:szCs w:val="22"/>
        </w:rPr>
        <w:t>l</w:t>
      </w:r>
      <w:r>
        <w:rPr>
          <w:szCs w:val="22"/>
        </w:rPr>
        <w:t>a</w:t>
      </w:r>
      <w:r>
        <w:rPr>
          <w:spacing w:val="-2"/>
          <w:szCs w:val="22"/>
        </w:rPr>
        <w:t xml:space="preserve"> </w:t>
      </w:r>
      <w:r>
        <w:rPr>
          <w:spacing w:val="1"/>
          <w:szCs w:val="22"/>
        </w:rPr>
        <w:t>î</w:t>
      </w:r>
      <w:r>
        <w:rPr>
          <w:szCs w:val="22"/>
        </w:rPr>
        <w:t>n</w:t>
      </w:r>
      <w:r>
        <w:rPr>
          <w:spacing w:val="-3"/>
          <w:szCs w:val="22"/>
        </w:rPr>
        <w:t>c</w:t>
      </w:r>
      <w:r>
        <w:rPr>
          <w:szCs w:val="22"/>
        </w:rPr>
        <w:t>e</w:t>
      </w:r>
      <w:r>
        <w:rPr>
          <w:spacing w:val="-3"/>
          <w:szCs w:val="22"/>
        </w:rPr>
        <w:t>p</w:t>
      </w:r>
      <w:r>
        <w:rPr>
          <w:szCs w:val="22"/>
        </w:rPr>
        <w:t>ut</w:t>
      </w:r>
      <w:r>
        <w:rPr>
          <w:spacing w:val="1"/>
          <w:szCs w:val="22"/>
        </w:rPr>
        <w:t xml:space="preserve"> </w:t>
      </w:r>
      <w:r>
        <w:rPr>
          <w:spacing w:val="-2"/>
          <w:szCs w:val="22"/>
        </w:rPr>
        <w:t>l</w:t>
      </w:r>
      <w:r>
        <w:rPr>
          <w:szCs w:val="22"/>
        </w:rPr>
        <w:t xml:space="preserve">a </w:t>
      </w:r>
      <w:r>
        <w:rPr>
          <w:spacing w:val="-2"/>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zCs w:val="22"/>
        </w:rPr>
        <w:t>au fost</w:t>
      </w:r>
      <w:r>
        <w:rPr>
          <w:spacing w:val="-2"/>
          <w:szCs w:val="22"/>
        </w:rPr>
        <w:t xml:space="preserve"> </w:t>
      </w:r>
      <w:r>
        <w:rPr>
          <w:szCs w:val="22"/>
        </w:rPr>
        <w:t>ex</w:t>
      </w:r>
      <w:r>
        <w:rPr>
          <w:spacing w:val="-3"/>
          <w:szCs w:val="22"/>
        </w:rPr>
        <w:t>c</w:t>
      </w:r>
      <w:r>
        <w:rPr>
          <w:spacing w:val="1"/>
          <w:szCs w:val="22"/>
        </w:rPr>
        <w:t>l</w:t>
      </w:r>
      <w:r>
        <w:rPr>
          <w:szCs w:val="22"/>
        </w:rPr>
        <w:t>u</w:t>
      </w:r>
      <w:r>
        <w:rPr>
          <w:spacing w:val="-2"/>
          <w:szCs w:val="22"/>
        </w:rPr>
        <w:t>ş</w:t>
      </w:r>
      <w:r>
        <w:rPr>
          <w:szCs w:val="22"/>
        </w:rPr>
        <w:t>i</w:t>
      </w:r>
      <w:r>
        <w:rPr>
          <w:spacing w:val="1"/>
          <w:szCs w:val="22"/>
        </w:rPr>
        <w:t xml:space="preserve"> </w:t>
      </w:r>
      <w:r>
        <w:rPr>
          <w:spacing w:val="-3"/>
          <w:szCs w:val="22"/>
        </w:rPr>
        <w:t>d</w:t>
      </w:r>
      <w:r>
        <w:rPr>
          <w:spacing w:val="1"/>
          <w:szCs w:val="22"/>
        </w:rPr>
        <w:t>i</w:t>
      </w:r>
      <w:r>
        <w:rPr>
          <w:szCs w:val="22"/>
        </w:rPr>
        <w:t xml:space="preserve">n </w:t>
      </w:r>
      <w:r>
        <w:rPr>
          <w:spacing w:val="-2"/>
          <w:szCs w:val="22"/>
        </w:rPr>
        <w:t>s</w:t>
      </w:r>
      <w:r>
        <w:rPr>
          <w:spacing w:val="1"/>
          <w:szCs w:val="22"/>
        </w:rPr>
        <w:t>t</w:t>
      </w:r>
      <w:r>
        <w:rPr>
          <w:szCs w:val="22"/>
        </w:rPr>
        <w:t>u</w:t>
      </w:r>
      <w:r>
        <w:rPr>
          <w:spacing w:val="-3"/>
          <w:szCs w:val="22"/>
        </w:rPr>
        <w:t>d</w:t>
      </w:r>
      <w:r>
        <w:rPr>
          <w:spacing w:val="1"/>
          <w:szCs w:val="22"/>
        </w:rPr>
        <w:t>i</w:t>
      </w:r>
      <w:r>
        <w:rPr>
          <w:szCs w:val="22"/>
        </w:rPr>
        <w:t xml:space="preserve">u </w:t>
      </w:r>
      <w:r>
        <w:rPr>
          <w:spacing w:val="-2"/>
          <w:szCs w:val="22"/>
        </w:rPr>
        <w:t>ş</w:t>
      </w:r>
      <w:r>
        <w:rPr>
          <w:szCs w:val="22"/>
        </w:rPr>
        <w:t>i</w:t>
      </w:r>
      <w:r>
        <w:rPr>
          <w:spacing w:val="1"/>
          <w:szCs w:val="22"/>
        </w:rPr>
        <w:t xml:space="preserve"> </w:t>
      </w:r>
      <w:r>
        <w:rPr>
          <w:szCs w:val="22"/>
        </w:rPr>
        <w:t>de</w:t>
      </w:r>
      <w:r>
        <w:rPr>
          <w:spacing w:val="-2"/>
          <w:szCs w:val="22"/>
        </w:rPr>
        <w:t xml:space="preserve"> </w:t>
      </w:r>
      <w:r>
        <w:rPr>
          <w:szCs w:val="22"/>
        </w:rPr>
        <w:t>ace</w:t>
      </w:r>
      <w:r>
        <w:rPr>
          <w:spacing w:val="-3"/>
          <w:szCs w:val="22"/>
        </w:rPr>
        <w:t>e</w:t>
      </w:r>
      <w:r>
        <w:rPr>
          <w:szCs w:val="22"/>
        </w:rPr>
        <w:t>a a</w:t>
      </w:r>
      <w:r>
        <w:rPr>
          <w:spacing w:val="-3"/>
          <w:szCs w:val="22"/>
        </w:rPr>
        <w:t>c</w:t>
      </w:r>
      <w:r>
        <w:rPr>
          <w:szCs w:val="22"/>
        </w:rPr>
        <w:t>e</w:t>
      </w:r>
      <w:r>
        <w:rPr>
          <w:spacing w:val="-2"/>
          <w:szCs w:val="22"/>
        </w:rPr>
        <w:t>ş</w:t>
      </w:r>
      <w:r>
        <w:rPr>
          <w:spacing w:val="1"/>
          <w:szCs w:val="22"/>
        </w:rPr>
        <w:t>t</w:t>
      </w:r>
      <w:r>
        <w:rPr>
          <w:szCs w:val="22"/>
        </w:rPr>
        <w:t>i</w:t>
      </w:r>
      <w:r>
        <w:rPr>
          <w:spacing w:val="1"/>
          <w:szCs w:val="22"/>
        </w:rPr>
        <w:t xml:space="preserve"> </w:t>
      </w:r>
      <w:r>
        <w:rPr>
          <w:spacing w:val="-3"/>
          <w:szCs w:val="22"/>
        </w:rPr>
        <w:t>p</w:t>
      </w:r>
      <w:r>
        <w:rPr>
          <w:szCs w:val="22"/>
        </w:rPr>
        <w:t>ac</w:t>
      </w:r>
      <w:r>
        <w:rPr>
          <w:spacing w:val="-2"/>
          <w:szCs w:val="22"/>
        </w:rPr>
        <w:t>i</w:t>
      </w:r>
      <w:r>
        <w:rPr>
          <w:szCs w:val="22"/>
        </w:rPr>
        <w:t>en</w:t>
      </w:r>
      <w:r>
        <w:rPr>
          <w:spacing w:val="-2"/>
          <w:szCs w:val="22"/>
        </w:rPr>
        <w:t>ţ</w:t>
      </w:r>
      <w:r>
        <w:rPr>
          <w:szCs w:val="22"/>
        </w:rPr>
        <w:t>i</w:t>
      </w:r>
      <w:r>
        <w:rPr>
          <w:spacing w:val="1"/>
          <w:szCs w:val="22"/>
        </w:rPr>
        <w:t xml:space="preserve"> </w:t>
      </w:r>
      <w:r>
        <w:rPr>
          <w:szCs w:val="22"/>
        </w:rPr>
        <w:t>nu</w:t>
      </w:r>
      <w:r>
        <w:rPr>
          <w:spacing w:val="-3"/>
          <w:szCs w:val="22"/>
        </w:rPr>
        <w:t xml:space="preserve"> </w:t>
      </w:r>
      <w:r>
        <w:rPr>
          <w:szCs w:val="22"/>
        </w:rPr>
        <w:t>au</w:t>
      </w:r>
      <w:r>
        <w:rPr>
          <w:spacing w:val="-3"/>
          <w:szCs w:val="22"/>
        </w:rPr>
        <w:t xml:space="preserve"> </w:t>
      </w:r>
      <w:r>
        <w:rPr>
          <w:szCs w:val="22"/>
        </w:rPr>
        <w:t>fost</w:t>
      </w:r>
      <w:r>
        <w:rPr>
          <w:spacing w:val="-2"/>
          <w:szCs w:val="22"/>
        </w:rPr>
        <w:t xml:space="preserve"> </w:t>
      </w:r>
      <w:r>
        <w:rPr>
          <w:szCs w:val="22"/>
        </w:rPr>
        <w:t>e</w:t>
      </w:r>
      <w:r>
        <w:rPr>
          <w:spacing w:val="-3"/>
          <w:szCs w:val="22"/>
        </w:rPr>
        <w:t>v</w:t>
      </w:r>
      <w:r>
        <w:rPr>
          <w:szCs w:val="22"/>
        </w:rPr>
        <w:t>a</w:t>
      </w:r>
      <w:r>
        <w:rPr>
          <w:spacing w:val="1"/>
          <w:szCs w:val="22"/>
        </w:rPr>
        <w:t>l</w:t>
      </w:r>
      <w:r>
        <w:rPr>
          <w:szCs w:val="22"/>
        </w:rPr>
        <w:t>u</w:t>
      </w:r>
      <w:r>
        <w:rPr>
          <w:spacing w:val="-3"/>
          <w:szCs w:val="22"/>
        </w:rPr>
        <w:t>a</w:t>
      </w:r>
      <w:r>
        <w:rPr>
          <w:spacing w:val="1"/>
          <w:szCs w:val="22"/>
        </w:rPr>
        <w:t>ţ</w:t>
      </w:r>
      <w:r>
        <w:rPr>
          <w:szCs w:val="22"/>
        </w:rPr>
        <w:t>i</w:t>
      </w:r>
      <w:r>
        <w:rPr>
          <w:spacing w:val="-2"/>
          <w:szCs w:val="22"/>
        </w:rPr>
        <w:t xml:space="preserve"> </w:t>
      </w:r>
      <w:r>
        <w:rPr>
          <w:spacing w:val="1"/>
          <w:szCs w:val="22"/>
        </w:rPr>
        <w:t>î</w:t>
      </w:r>
      <w:r>
        <w:rPr>
          <w:szCs w:val="22"/>
        </w:rPr>
        <w:t>n</w:t>
      </w:r>
      <w:r>
        <w:rPr>
          <w:spacing w:val="-3"/>
          <w:szCs w:val="22"/>
        </w:rPr>
        <w:t xml:space="preserve"> </w:t>
      </w:r>
      <w:r>
        <w:rPr>
          <w:szCs w:val="22"/>
        </w:rPr>
        <w:t>con</w:t>
      </w:r>
      <w:r>
        <w:rPr>
          <w:spacing w:val="-2"/>
          <w:szCs w:val="22"/>
        </w:rPr>
        <w:t>t</w:t>
      </w:r>
      <w:r>
        <w:rPr>
          <w:spacing w:val="1"/>
          <w:szCs w:val="22"/>
        </w:rPr>
        <w:t>i</w:t>
      </w:r>
      <w:r>
        <w:rPr>
          <w:szCs w:val="22"/>
        </w:rPr>
        <w:t>n</w:t>
      </w:r>
      <w:r>
        <w:rPr>
          <w:spacing w:val="-3"/>
          <w:szCs w:val="22"/>
        </w:rPr>
        <w:t>u</w:t>
      </w:r>
      <w:r>
        <w:rPr>
          <w:szCs w:val="22"/>
        </w:rPr>
        <w:t>are.</w:t>
      </w:r>
    </w:p>
    <w:p w14:paraId="3443BE08" w14:textId="77777777" w:rsidR="00C04CAD" w:rsidRDefault="00C04CAD">
      <w:pPr>
        <w:tabs>
          <w:tab w:val="clear" w:pos="567"/>
        </w:tabs>
        <w:kinsoku w:val="0"/>
        <w:overflowPunct w:val="0"/>
        <w:autoSpaceDE w:val="0"/>
        <w:autoSpaceDN w:val="0"/>
        <w:adjustRightInd w:val="0"/>
        <w:spacing w:line="240" w:lineRule="auto"/>
        <w:rPr>
          <w:szCs w:val="22"/>
        </w:rPr>
      </w:pPr>
    </w:p>
    <w:p w14:paraId="25DE17B2"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n s</w:t>
      </w:r>
      <w:r>
        <w:rPr>
          <w:spacing w:val="1"/>
          <w:szCs w:val="22"/>
        </w:rPr>
        <w:t>t</w:t>
      </w:r>
      <w:r>
        <w:rPr>
          <w:szCs w:val="22"/>
        </w:rPr>
        <w:t>ud</w:t>
      </w:r>
      <w:r>
        <w:rPr>
          <w:spacing w:val="1"/>
          <w:szCs w:val="22"/>
        </w:rPr>
        <w:t>i</w:t>
      </w:r>
      <w:r>
        <w:rPr>
          <w:szCs w:val="22"/>
        </w:rPr>
        <w:t>ul</w:t>
      </w:r>
      <w:r>
        <w:rPr>
          <w:spacing w:val="1"/>
          <w:szCs w:val="22"/>
        </w:rPr>
        <w:t xml:space="preserve"> </w:t>
      </w:r>
      <w:r>
        <w:rPr>
          <w:spacing w:val="-1"/>
          <w:szCs w:val="22"/>
        </w:rPr>
        <w:t>B</w:t>
      </w:r>
      <w:r>
        <w:rPr>
          <w:szCs w:val="22"/>
        </w:rPr>
        <w:t>C</w:t>
      </w:r>
      <w:r>
        <w:rPr>
          <w:spacing w:val="-1"/>
          <w:szCs w:val="22"/>
        </w:rPr>
        <w:t xml:space="preserve"> </w:t>
      </w:r>
      <w:r>
        <w:rPr>
          <w:spacing w:val="-2"/>
          <w:szCs w:val="22"/>
        </w:rPr>
        <w:t>II</w:t>
      </w:r>
      <w:r>
        <w:rPr>
          <w:szCs w:val="22"/>
        </w:rPr>
        <w:t>I</w:t>
      </w:r>
      <w:r>
        <w:rPr>
          <w:spacing w:val="-2"/>
          <w:szCs w:val="22"/>
        </w:rPr>
        <w:t xml:space="preserve"> </w:t>
      </w:r>
      <w:r>
        <w:rPr>
          <w:szCs w:val="22"/>
        </w:rPr>
        <w:t>a fost</w:t>
      </w:r>
      <w:r>
        <w:rPr>
          <w:spacing w:val="-2"/>
          <w:szCs w:val="22"/>
        </w:rPr>
        <w:t xml:space="preserve"> </w:t>
      </w:r>
      <w:r>
        <w:rPr>
          <w:szCs w:val="22"/>
        </w:rPr>
        <w:t>e</w:t>
      </w:r>
      <w:r>
        <w:rPr>
          <w:spacing w:val="-3"/>
          <w:szCs w:val="22"/>
        </w:rPr>
        <w:t>v</w:t>
      </w:r>
      <w:r>
        <w:rPr>
          <w:szCs w:val="22"/>
        </w:rPr>
        <w:t>a</w:t>
      </w:r>
      <w:r>
        <w:rPr>
          <w:spacing w:val="-2"/>
          <w:szCs w:val="22"/>
        </w:rPr>
        <w:t>l</w:t>
      </w:r>
      <w:r>
        <w:rPr>
          <w:szCs w:val="22"/>
        </w:rPr>
        <w:t>ua</w:t>
      </w:r>
      <w:r>
        <w:rPr>
          <w:spacing w:val="1"/>
          <w:szCs w:val="22"/>
        </w:rPr>
        <w:t>t</w:t>
      </w:r>
      <w:r>
        <w:rPr>
          <w:szCs w:val="22"/>
        </w:rPr>
        <w:t xml:space="preserve">ă </w:t>
      </w:r>
      <w:r>
        <w:rPr>
          <w:spacing w:val="-4"/>
          <w:szCs w:val="22"/>
        </w:rPr>
        <w:t>m</w:t>
      </w:r>
      <w:r>
        <w:rPr>
          <w:szCs w:val="22"/>
        </w:rPr>
        <w:t>en</w:t>
      </w:r>
      <w:r>
        <w:rPr>
          <w:spacing w:val="-2"/>
          <w:szCs w:val="22"/>
        </w:rPr>
        <w:t>ţ</w:t>
      </w:r>
      <w:r>
        <w:rPr>
          <w:spacing w:val="1"/>
          <w:szCs w:val="22"/>
        </w:rPr>
        <w:t>i</w:t>
      </w:r>
      <w:r>
        <w:rPr>
          <w:szCs w:val="22"/>
        </w:rPr>
        <w:t>n</w:t>
      </w:r>
      <w:r>
        <w:rPr>
          <w:spacing w:val="-3"/>
          <w:szCs w:val="22"/>
        </w:rPr>
        <w:t>e</w:t>
      </w:r>
      <w:r>
        <w:rPr>
          <w:szCs w:val="22"/>
        </w:rPr>
        <w:t>rea</w:t>
      </w:r>
      <w:r>
        <w:rPr>
          <w:spacing w:val="-2"/>
          <w:szCs w:val="22"/>
        </w:rPr>
        <w:t xml:space="preserve"> </w:t>
      </w:r>
      <w:r>
        <w:rPr>
          <w:szCs w:val="22"/>
        </w:rPr>
        <w:t>re</w:t>
      </w:r>
      <w:r>
        <w:rPr>
          <w:spacing w:val="-4"/>
          <w:szCs w:val="22"/>
        </w:rPr>
        <w:t>m</w:t>
      </w:r>
      <w:r>
        <w:rPr>
          <w:spacing w:val="1"/>
          <w:szCs w:val="22"/>
        </w:rPr>
        <w:t>i</w:t>
      </w:r>
      <w:r>
        <w:rPr>
          <w:szCs w:val="22"/>
        </w:rPr>
        <w:t>s</w:t>
      </w:r>
      <w:r>
        <w:rPr>
          <w:spacing w:val="1"/>
          <w:szCs w:val="22"/>
        </w:rPr>
        <w:t>i</w:t>
      </w:r>
      <w:r>
        <w:rPr>
          <w:spacing w:val="-3"/>
          <w:szCs w:val="22"/>
        </w:rPr>
        <w:t>e</w:t>
      </w:r>
      <w:r>
        <w:rPr>
          <w:szCs w:val="22"/>
        </w:rPr>
        <w:t>i</w:t>
      </w:r>
      <w:r>
        <w:rPr>
          <w:spacing w:val="1"/>
          <w:szCs w:val="22"/>
        </w:rPr>
        <w:t xml:space="preserve"> </w:t>
      </w:r>
      <w:r>
        <w:rPr>
          <w:spacing w:val="-3"/>
          <w:szCs w:val="22"/>
        </w:rPr>
        <w:t>c</w:t>
      </w:r>
      <w:r>
        <w:rPr>
          <w:spacing w:val="1"/>
          <w:szCs w:val="22"/>
        </w:rPr>
        <w:t>l</w:t>
      </w:r>
      <w:r>
        <w:rPr>
          <w:spacing w:val="-2"/>
          <w:szCs w:val="22"/>
        </w:rPr>
        <w:t>i</w:t>
      </w:r>
      <w:r>
        <w:rPr>
          <w:szCs w:val="22"/>
        </w:rPr>
        <w:t>n</w:t>
      </w:r>
      <w:r>
        <w:rPr>
          <w:spacing w:val="1"/>
          <w:szCs w:val="22"/>
        </w:rPr>
        <w:t>i</w:t>
      </w:r>
      <w:r>
        <w:rPr>
          <w:szCs w:val="22"/>
        </w:rPr>
        <w:t xml:space="preserve">ce. </w:t>
      </w:r>
      <w:r>
        <w:rPr>
          <w:spacing w:val="-4"/>
          <w:szCs w:val="22"/>
        </w:rPr>
        <w:t>Î</w:t>
      </w:r>
      <w:r>
        <w:rPr>
          <w:szCs w:val="22"/>
        </w:rPr>
        <w:t>n s</w:t>
      </w:r>
      <w:r>
        <w:rPr>
          <w:spacing w:val="1"/>
          <w:szCs w:val="22"/>
        </w:rPr>
        <w:t>t</w:t>
      </w:r>
      <w:r>
        <w:rPr>
          <w:szCs w:val="22"/>
        </w:rPr>
        <w:t>u</w:t>
      </w:r>
      <w:r>
        <w:rPr>
          <w:spacing w:val="-3"/>
          <w:szCs w:val="22"/>
        </w:rPr>
        <w:t>d</w:t>
      </w:r>
      <w:r>
        <w:rPr>
          <w:spacing w:val="1"/>
          <w:szCs w:val="22"/>
        </w:rPr>
        <w:t>i</w:t>
      </w:r>
      <w:r>
        <w:rPr>
          <w:spacing w:val="-3"/>
          <w:szCs w:val="22"/>
        </w:rPr>
        <w:t>u</w:t>
      </w:r>
      <w:r>
        <w:rPr>
          <w:szCs w:val="22"/>
        </w:rPr>
        <w:t>l</w:t>
      </w:r>
      <w:r>
        <w:rPr>
          <w:spacing w:val="1"/>
          <w:szCs w:val="22"/>
        </w:rPr>
        <w:t xml:space="preserve"> </w:t>
      </w:r>
      <w:r>
        <w:rPr>
          <w:spacing w:val="-1"/>
          <w:szCs w:val="22"/>
        </w:rPr>
        <w:t>B</w:t>
      </w:r>
      <w:r>
        <w:rPr>
          <w:szCs w:val="22"/>
        </w:rPr>
        <w:t>C</w:t>
      </w:r>
      <w:r>
        <w:rPr>
          <w:spacing w:val="-1"/>
          <w:szCs w:val="22"/>
        </w:rPr>
        <w:t xml:space="preserve"> </w:t>
      </w:r>
      <w:r>
        <w:rPr>
          <w:spacing w:val="-2"/>
          <w:szCs w:val="22"/>
        </w:rPr>
        <w:t>III</w:t>
      </w:r>
      <w:r>
        <w:rPr>
          <w:szCs w:val="22"/>
        </w:rPr>
        <w:t>, 854 pac</w:t>
      </w:r>
      <w:r>
        <w:rPr>
          <w:spacing w:val="-2"/>
          <w:szCs w:val="22"/>
        </w:rPr>
        <w:t>i</w:t>
      </w:r>
      <w:r>
        <w:rPr>
          <w:szCs w:val="22"/>
        </w:rPr>
        <w:t>en</w:t>
      </w:r>
      <w:r>
        <w:rPr>
          <w:spacing w:val="-2"/>
          <w:szCs w:val="22"/>
        </w:rPr>
        <w:t>ţ</w:t>
      </w:r>
      <w:r>
        <w:rPr>
          <w:szCs w:val="22"/>
        </w:rPr>
        <w:t>i</w:t>
      </w:r>
      <w:r>
        <w:rPr>
          <w:spacing w:val="1"/>
          <w:szCs w:val="22"/>
        </w:rPr>
        <w:t xml:space="preserve"> </w:t>
      </w:r>
      <w:r>
        <w:rPr>
          <w:szCs w:val="22"/>
        </w:rPr>
        <w:t>au</w:t>
      </w:r>
      <w:r>
        <w:rPr>
          <w:spacing w:val="-3"/>
          <w:szCs w:val="22"/>
        </w:rPr>
        <w:t xml:space="preserve"> </w:t>
      </w:r>
      <w:r>
        <w:rPr>
          <w:szCs w:val="22"/>
        </w:rPr>
        <w:t>p</w:t>
      </w:r>
      <w:r>
        <w:rPr>
          <w:spacing w:val="-2"/>
          <w:szCs w:val="22"/>
        </w:rPr>
        <w:t>r</w:t>
      </w:r>
      <w:r>
        <w:rPr>
          <w:spacing w:val="1"/>
          <w:szCs w:val="22"/>
        </w:rPr>
        <w:t>i</w:t>
      </w:r>
      <w:r>
        <w:rPr>
          <w:spacing w:val="-4"/>
          <w:szCs w:val="22"/>
        </w:rPr>
        <w:t>m</w:t>
      </w:r>
      <w:r>
        <w:rPr>
          <w:spacing w:val="1"/>
          <w:szCs w:val="22"/>
        </w:rPr>
        <w:t>i</w:t>
      </w:r>
      <w:r>
        <w:rPr>
          <w:szCs w:val="22"/>
        </w:rPr>
        <w:t>t desc</w:t>
      </w:r>
      <w:r>
        <w:rPr>
          <w:spacing w:val="-3"/>
          <w:szCs w:val="22"/>
        </w:rPr>
        <w:t>h</w:t>
      </w:r>
      <w:r>
        <w:rPr>
          <w:spacing w:val="1"/>
          <w:szCs w:val="22"/>
        </w:rPr>
        <w:t>i</w:t>
      </w:r>
      <w:r>
        <w:rPr>
          <w:szCs w:val="22"/>
        </w:rPr>
        <w:t xml:space="preserve">s </w:t>
      </w:r>
      <w:r>
        <w:rPr>
          <w:spacing w:val="-3"/>
          <w:szCs w:val="22"/>
        </w:rPr>
        <w:t>8</w:t>
      </w:r>
      <w:r>
        <w:rPr>
          <w:szCs w:val="22"/>
        </w:rPr>
        <w:t>0 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şi</w:t>
      </w:r>
      <w:r>
        <w:rPr>
          <w:spacing w:val="-2"/>
          <w:szCs w:val="22"/>
        </w:rPr>
        <w:t xml:space="preserve"> </w:t>
      </w:r>
      <w:r>
        <w:rPr>
          <w:szCs w:val="22"/>
        </w:rPr>
        <w:t>40 </w:t>
      </w:r>
      <w:r>
        <w:rPr>
          <w:spacing w:val="-4"/>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pacing w:val="-2"/>
          <w:szCs w:val="22"/>
        </w:rPr>
        <w:t xml:space="preserve"> </w:t>
      </w:r>
      <w:r>
        <w:rPr>
          <w:szCs w:val="22"/>
        </w:rPr>
        <w:t xml:space="preserve">2. </w:t>
      </w:r>
      <w:r>
        <w:rPr>
          <w:spacing w:val="-4"/>
          <w:szCs w:val="22"/>
        </w:rPr>
        <w:t>Î</w:t>
      </w:r>
      <w:r>
        <w:rPr>
          <w:szCs w:val="22"/>
        </w:rPr>
        <w:t>n săp</w:t>
      </w:r>
      <w:r>
        <w:rPr>
          <w:spacing w:val="1"/>
          <w:szCs w:val="22"/>
        </w:rPr>
        <w:t>t</w:t>
      </w:r>
      <w:r>
        <w:rPr>
          <w:szCs w:val="22"/>
        </w:rPr>
        <w:t>ă</w:t>
      </w:r>
      <w:r>
        <w:rPr>
          <w:spacing w:val="-4"/>
          <w:szCs w:val="22"/>
        </w:rPr>
        <w:t>m</w:t>
      </w:r>
      <w:r>
        <w:rPr>
          <w:szCs w:val="22"/>
        </w:rPr>
        <w:t>âna 4,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2"/>
          <w:szCs w:val="22"/>
        </w:rPr>
        <w:t xml:space="preserve"> </w:t>
      </w:r>
      <w:r>
        <w:rPr>
          <w:szCs w:val="22"/>
        </w:rPr>
        <w:t>au f</w:t>
      </w:r>
      <w:r>
        <w:rPr>
          <w:spacing w:val="-3"/>
          <w:szCs w:val="22"/>
        </w:rPr>
        <w:t>o</w:t>
      </w:r>
      <w:r>
        <w:rPr>
          <w:szCs w:val="22"/>
        </w:rPr>
        <w:t>st</w:t>
      </w:r>
      <w:r>
        <w:rPr>
          <w:spacing w:val="-2"/>
          <w:szCs w:val="22"/>
        </w:rPr>
        <w:t xml:space="preserve"> </w:t>
      </w:r>
      <w:r>
        <w:rPr>
          <w:szCs w:val="22"/>
        </w:rPr>
        <w:t>rando</w:t>
      </w:r>
      <w:r>
        <w:rPr>
          <w:spacing w:val="-4"/>
          <w:szCs w:val="22"/>
        </w:rPr>
        <w:t>m</w:t>
      </w:r>
      <w:r>
        <w:rPr>
          <w:spacing w:val="1"/>
          <w:szCs w:val="22"/>
        </w:rPr>
        <w:t>i</w:t>
      </w:r>
      <w:r>
        <w:rPr>
          <w:spacing w:val="-3"/>
          <w:szCs w:val="22"/>
        </w:rPr>
        <w:t>z</w:t>
      </w:r>
      <w:r>
        <w:rPr>
          <w:szCs w:val="22"/>
        </w:rPr>
        <w:t>a</w:t>
      </w:r>
      <w:r>
        <w:rPr>
          <w:spacing w:val="1"/>
          <w:szCs w:val="22"/>
        </w:rPr>
        <w:t>ţ</w:t>
      </w:r>
      <w:r>
        <w:rPr>
          <w:szCs w:val="22"/>
        </w:rPr>
        <w:t>i cu 40 </w:t>
      </w:r>
      <w:r>
        <w:rPr>
          <w:spacing w:val="-4"/>
          <w:szCs w:val="22"/>
        </w:rPr>
        <w:t>m</w:t>
      </w:r>
      <w:r>
        <w:rPr>
          <w:szCs w:val="22"/>
        </w:rPr>
        <w:t>g</w:t>
      </w:r>
      <w:r>
        <w:rPr>
          <w:spacing w:val="-3"/>
          <w:szCs w:val="22"/>
        </w:rPr>
        <w:t xml:space="preserve"> </w:t>
      </w:r>
      <w:r>
        <w:rPr>
          <w:spacing w:val="1"/>
          <w:szCs w:val="22"/>
        </w:rPr>
        <w:t>l</w:t>
      </w:r>
      <w:r>
        <w:rPr>
          <w:szCs w:val="22"/>
        </w:rPr>
        <w:t>a două s</w:t>
      </w:r>
      <w:r>
        <w:rPr>
          <w:spacing w:val="-3"/>
          <w:szCs w:val="22"/>
        </w:rPr>
        <w:t>ă</w:t>
      </w:r>
      <w:r>
        <w:rPr>
          <w:szCs w:val="22"/>
        </w:rPr>
        <w:t>p</w:t>
      </w:r>
      <w:r>
        <w:rPr>
          <w:spacing w:val="1"/>
          <w:szCs w:val="22"/>
        </w:rPr>
        <w:t>t</w:t>
      </w:r>
      <w:r>
        <w:rPr>
          <w:szCs w:val="22"/>
        </w:rPr>
        <w:t>ă</w:t>
      </w:r>
      <w:r>
        <w:rPr>
          <w:spacing w:val="-4"/>
          <w:szCs w:val="22"/>
        </w:rPr>
        <w:t>m</w:t>
      </w:r>
      <w:r>
        <w:rPr>
          <w:szCs w:val="22"/>
        </w:rPr>
        <w:t>â</w:t>
      </w:r>
      <w:r>
        <w:rPr>
          <w:spacing w:val="-3"/>
          <w:szCs w:val="22"/>
        </w:rPr>
        <w:t>n</w:t>
      </w:r>
      <w:r>
        <w:rPr>
          <w:spacing w:val="1"/>
          <w:szCs w:val="22"/>
        </w:rPr>
        <w:t>i</w:t>
      </w:r>
      <w:r>
        <w:rPr>
          <w:szCs w:val="22"/>
        </w:rPr>
        <w:t>, 40 </w:t>
      </w:r>
      <w:r>
        <w:rPr>
          <w:spacing w:val="-4"/>
          <w:szCs w:val="22"/>
        </w:rPr>
        <w:t>m</w:t>
      </w:r>
      <w:r>
        <w:rPr>
          <w:szCs w:val="22"/>
        </w:rPr>
        <w:t>g</w:t>
      </w:r>
      <w:r>
        <w:rPr>
          <w:spacing w:val="-3"/>
          <w:szCs w:val="22"/>
        </w:rPr>
        <w:t xml:space="preserve"> </w:t>
      </w:r>
      <w:r>
        <w:rPr>
          <w:spacing w:val="1"/>
          <w:szCs w:val="22"/>
        </w:rPr>
        <w:t>î</w:t>
      </w:r>
      <w:r>
        <w:rPr>
          <w:szCs w:val="22"/>
        </w:rPr>
        <w:t>n f</w:t>
      </w:r>
      <w:r>
        <w:rPr>
          <w:spacing w:val="1"/>
          <w:szCs w:val="22"/>
        </w:rPr>
        <w:t>i</w:t>
      </w:r>
      <w:r>
        <w:rPr>
          <w:szCs w:val="22"/>
        </w:rPr>
        <w:t>e</w:t>
      </w:r>
      <w:r>
        <w:rPr>
          <w:spacing w:val="-3"/>
          <w:szCs w:val="22"/>
        </w:rPr>
        <w:t>c</w:t>
      </w:r>
      <w:r>
        <w:rPr>
          <w:szCs w:val="22"/>
        </w:rPr>
        <w:t>a</w:t>
      </w:r>
      <w:r>
        <w:rPr>
          <w:spacing w:val="-2"/>
          <w:szCs w:val="22"/>
        </w:rPr>
        <w:t>r</w:t>
      </w:r>
      <w:r>
        <w:rPr>
          <w:szCs w:val="22"/>
        </w:rPr>
        <w:t>e să</w:t>
      </w:r>
      <w:r>
        <w:rPr>
          <w:spacing w:val="-3"/>
          <w:szCs w:val="22"/>
        </w:rPr>
        <w:t>p</w:t>
      </w:r>
      <w:r>
        <w:rPr>
          <w:spacing w:val="1"/>
          <w:szCs w:val="22"/>
        </w:rPr>
        <w:t>t</w:t>
      </w:r>
      <w:r>
        <w:rPr>
          <w:szCs w:val="22"/>
        </w:rPr>
        <w:t>ă</w:t>
      </w:r>
      <w:r>
        <w:rPr>
          <w:spacing w:val="-4"/>
          <w:szCs w:val="22"/>
        </w:rPr>
        <w:t>m</w:t>
      </w:r>
      <w:r>
        <w:rPr>
          <w:szCs w:val="22"/>
        </w:rPr>
        <w:t>ână, sau</w:t>
      </w:r>
      <w:r>
        <w:rPr>
          <w:spacing w:val="-3"/>
          <w:szCs w:val="22"/>
        </w:rPr>
        <w:t xml:space="preserve"> </w:t>
      </w:r>
      <w:r>
        <w:rPr>
          <w:szCs w:val="22"/>
        </w:rPr>
        <w:t>p</w:t>
      </w:r>
      <w:r>
        <w:rPr>
          <w:spacing w:val="-2"/>
          <w:szCs w:val="22"/>
        </w:rPr>
        <w:t>l</w:t>
      </w:r>
      <w:r>
        <w:rPr>
          <w:szCs w:val="22"/>
        </w:rPr>
        <w:t>aceb</w:t>
      </w:r>
      <w:r>
        <w:rPr>
          <w:spacing w:val="-3"/>
          <w:szCs w:val="22"/>
        </w:rPr>
        <w:t>o</w:t>
      </w:r>
      <w:r>
        <w:rPr>
          <w:szCs w:val="22"/>
        </w:rPr>
        <w:t>, cu o</w:t>
      </w:r>
      <w:r>
        <w:rPr>
          <w:spacing w:val="-3"/>
          <w:szCs w:val="22"/>
        </w:rPr>
        <w:t xml:space="preserve"> </w:t>
      </w:r>
      <w:r>
        <w:rPr>
          <w:szCs w:val="22"/>
        </w:rPr>
        <w:t>du</w:t>
      </w:r>
      <w:r>
        <w:rPr>
          <w:spacing w:val="-2"/>
          <w:szCs w:val="22"/>
        </w:rPr>
        <w:t>r</w:t>
      </w:r>
      <w:r>
        <w:rPr>
          <w:szCs w:val="22"/>
        </w:rPr>
        <w:t>a</w:t>
      </w:r>
      <w:r>
        <w:rPr>
          <w:spacing w:val="1"/>
          <w:szCs w:val="22"/>
        </w:rPr>
        <w:t>t</w:t>
      </w:r>
      <w:r>
        <w:rPr>
          <w:szCs w:val="22"/>
        </w:rPr>
        <w:t>ă</w:t>
      </w:r>
      <w:r>
        <w:rPr>
          <w:spacing w:val="-2"/>
          <w:szCs w:val="22"/>
        </w:rPr>
        <w:t xml:space="preserve"> </w:t>
      </w:r>
      <w:r>
        <w:rPr>
          <w:spacing w:val="1"/>
          <w:szCs w:val="22"/>
        </w:rPr>
        <w:t>t</w:t>
      </w:r>
      <w:r>
        <w:rPr>
          <w:szCs w:val="22"/>
        </w:rPr>
        <w:t>o</w:t>
      </w:r>
      <w:r>
        <w:rPr>
          <w:spacing w:val="-2"/>
          <w:szCs w:val="22"/>
        </w:rPr>
        <w:t>t</w:t>
      </w:r>
      <w:r>
        <w:rPr>
          <w:szCs w:val="22"/>
        </w:rPr>
        <w:t>a</w:t>
      </w:r>
      <w:r>
        <w:rPr>
          <w:spacing w:val="1"/>
          <w:szCs w:val="22"/>
        </w:rPr>
        <w:t>l</w:t>
      </w:r>
      <w:r>
        <w:rPr>
          <w:szCs w:val="22"/>
        </w:rPr>
        <w:t>ă</w:t>
      </w:r>
      <w:r>
        <w:rPr>
          <w:spacing w:val="-2"/>
          <w:szCs w:val="22"/>
        </w:rPr>
        <w:t xml:space="preserve"> </w:t>
      </w:r>
      <w:r>
        <w:rPr>
          <w:szCs w:val="22"/>
        </w:rPr>
        <w:t xml:space="preserve">a </w:t>
      </w:r>
      <w:r>
        <w:rPr>
          <w:spacing w:val="-2"/>
          <w:szCs w:val="22"/>
        </w:rPr>
        <w:t>s</w:t>
      </w:r>
      <w:r>
        <w:rPr>
          <w:spacing w:val="1"/>
          <w:szCs w:val="22"/>
        </w:rPr>
        <w:t>t</w:t>
      </w:r>
      <w:r>
        <w:rPr>
          <w:szCs w:val="22"/>
        </w:rPr>
        <w:t>u</w:t>
      </w:r>
      <w:r>
        <w:rPr>
          <w:spacing w:val="-3"/>
          <w:szCs w:val="22"/>
        </w:rPr>
        <w:t>d</w:t>
      </w:r>
      <w:r>
        <w:rPr>
          <w:spacing w:val="1"/>
          <w:szCs w:val="22"/>
        </w:rPr>
        <w:t>i</w:t>
      </w:r>
      <w:r>
        <w:rPr>
          <w:szCs w:val="22"/>
        </w:rPr>
        <w:t>u</w:t>
      </w:r>
      <w:r>
        <w:rPr>
          <w:spacing w:val="1"/>
          <w:szCs w:val="22"/>
        </w:rPr>
        <w:t>l</w:t>
      </w:r>
      <w:r>
        <w:rPr>
          <w:spacing w:val="-3"/>
          <w:szCs w:val="22"/>
        </w:rPr>
        <w:t>u</w:t>
      </w:r>
      <w:r>
        <w:rPr>
          <w:szCs w:val="22"/>
        </w:rPr>
        <w:t>i</w:t>
      </w:r>
      <w:r>
        <w:rPr>
          <w:spacing w:val="1"/>
          <w:szCs w:val="22"/>
        </w:rPr>
        <w:t xml:space="preserve"> </w:t>
      </w:r>
      <w:r>
        <w:rPr>
          <w:spacing w:val="-3"/>
          <w:szCs w:val="22"/>
        </w:rPr>
        <w:t>d</w:t>
      </w:r>
      <w:r>
        <w:rPr>
          <w:szCs w:val="22"/>
        </w:rPr>
        <w:t>e 56 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 xml:space="preserve">cu </w:t>
      </w:r>
      <w:r>
        <w:rPr>
          <w:spacing w:val="-2"/>
          <w:szCs w:val="22"/>
        </w:rPr>
        <w:t>r</w:t>
      </w:r>
      <w:r>
        <w:rPr>
          <w:szCs w:val="22"/>
        </w:rPr>
        <w:t>ăspuns</w:t>
      </w:r>
      <w:r>
        <w:rPr>
          <w:spacing w:val="-2"/>
          <w:szCs w:val="22"/>
        </w:rPr>
        <w:t xml:space="preserve"> </w:t>
      </w:r>
      <w:r>
        <w:rPr>
          <w:szCs w:val="22"/>
        </w:rPr>
        <w:t>c</w:t>
      </w:r>
      <w:r>
        <w:rPr>
          <w:spacing w:val="-2"/>
          <w:szCs w:val="22"/>
        </w:rPr>
        <w:t>l</w:t>
      </w:r>
      <w:r>
        <w:rPr>
          <w:spacing w:val="1"/>
          <w:szCs w:val="22"/>
        </w:rPr>
        <w:t>i</w:t>
      </w:r>
      <w:r>
        <w:rPr>
          <w:spacing w:val="-3"/>
          <w:szCs w:val="22"/>
        </w:rPr>
        <w:t>n</w:t>
      </w:r>
      <w:r>
        <w:rPr>
          <w:spacing w:val="1"/>
          <w:szCs w:val="22"/>
        </w:rPr>
        <w:t>i</w:t>
      </w:r>
      <w:r>
        <w:rPr>
          <w:szCs w:val="22"/>
        </w:rPr>
        <w:t xml:space="preserve">c </w:t>
      </w:r>
      <w:r>
        <w:rPr>
          <w:spacing w:val="-2"/>
          <w:szCs w:val="22"/>
        </w:rPr>
        <w:t>(</w:t>
      </w:r>
      <w:r>
        <w:rPr>
          <w:szCs w:val="22"/>
        </w:rPr>
        <w:t>sc</w:t>
      </w:r>
      <w:r>
        <w:rPr>
          <w:spacing w:val="-3"/>
          <w:szCs w:val="22"/>
        </w:rPr>
        <w:t>ă</w:t>
      </w:r>
      <w:r>
        <w:rPr>
          <w:szCs w:val="22"/>
        </w:rPr>
        <w:t>de</w:t>
      </w:r>
      <w:r>
        <w:rPr>
          <w:spacing w:val="-2"/>
          <w:szCs w:val="22"/>
        </w:rPr>
        <w:t>r</w:t>
      </w:r>
      <w:r>
        <w:rPr>
          <w:szCs w:val="22"/>
        </w:rPr>
        <w:t xml:space="preserve">ea </w:t>
      </w:r>
      <w:r>
        <w:rPr>
          <w:spacing w:val="-4"/>
          <w:szCs w:val="22"/>
        </w:rPr>
        <w:t>I</w:t>
      </w:r>
      <w:r>
        <w:rPr>
          <w:spacing w:val="1"/>
          <w:szCs w:val="22"/>
        </w:rPr>
        <w:t>A</w:t>
      </w:r>
      <w:r>
        <w:rPr>
          <w:spacing w:val="-1"/>
          <w:szCs w:val="22"/>
        </w:rPr>
        <w:t>B</w:t>
      </w:r>
      <w:r>
        <w:rPr>
          <w:szCs w:val="22"/>
        </w:rPr>
        <w:t>C</w:t>
      </w:r>
      <w:r>
        <w:rPr>
          <w:spacing w:val="-1"/>
          <w:szCs w:val="22"/>
        </w:rPr>
        <w:t xml:space="preserve"> </w:t>
      </w:r>
      <w:r>
        <w:rPr>
          <w:spacing w:val="1"/>
          <w:szCs w:val="22"/>
        </w:rPr>
        <w:t>≥</w:t>
      </w:r>
      <w:r>
        <w:rPr>
          <w:szCs w:val="22"/>
        </w:rPr>
        <w:t>70)</w:t>
      </w:r>
      <w:r>
        <w:rPr>
          <w:spacing w:val="-2"/>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4</w:t>
      </w:r>
      <w:r>
        <w:rPr>
          <w:spacing w:val="-3"/>
          <w:szCs w:val="22"/>
        </w:rPr>
        <w:t xml:space="preserve"> </w:t>
      </w:r>
      <w:r>
        <w:rPr>
          <w:szCs w:val="22"/>
        </w:rPr>
        <w:t>au</w:t>
      </w:r>
      <w:r>
        <w:rPr>
          <w:spacing w:val="-3"/>
          <w:szCs w:val="22"/>
        </w:rPr>
        <w:t xml:space="preserve"> </w:t>
      </w:r>
      <w:r>
        <w:rPr>
          <w:szCs w:val="22"/>
        </w:rPr>
        <w:t>fo</w:t>
      </w:r>
      <w:r>
        <w:rPr>
          <w:spacing w:val="-2"/>
          <w:szCs w:val="22"/>
        </w:rPr>
        <w:t>s</w:t>
      </w:r>
      <w:r>
        <w:rPr>
          <w:szCs w:val="22"/>
        </w:rPr>
        <w:t>t</w:t>
      </w:r>
      <w:r>
        <w:rPr>
          <w:spacing w:val="1"/>
          <w:szCs w:val="22"/>
        </w:rPr>
        <w:t xml:space="preserve"> </w:t>
      </w:r>
      <w:r>
        <w:rPr>
          <w:spacing w:val="-2"/>
          <w:szCs w:val="22"/>
        </w:rPr>
        <w:t>s</w:t>
      </w:r>
      <w:r>
        <w:rPr>
          <w:spacing w:val="1"/>
          <w:szCs w:val="22"/>
        </w:rPr>
        <w:t>t</w:t>
      </w:r>
      <w:r>
        <w:rPr>
          <w:szCs w:val="22"/>
        </w:rPr>
        <w:t>r</w:t>
      </w:r>
      <w:r>
        <w:rPr>
          <w:spacing w:val="-3"/>
          <w:szCs w:val="22"/>
        </w:rPr>
        <w:t>a</w:t>
      </w:r>
      <w:r>
        <w:rPr>
          <w:spacing w:val="1"/>
          <w:szCs w:val="22"/>
        </w:rPr>
        <w:t>t</w:t>
      </w:r>
      <w:r>
        <w:rPr>
          <w:spacing w:val="-2"/>
          <w:szCs w:val="22"/>
        </w:rPr>
        <w:t>i</w:t>
      </w:r>
      <w:r>
        <w:rPr>
          <w:szCs w:val="22"/>
        </w:rPr>
        <w:t>f</w:t>
      </w:r>
      <w:r>
        <w:rPr>
          <w:spacing w:val="-2"/>
          <w:szCs w:val="22"/>
        </w:rPr>
        <w:t>i</w:t>
      </w:r>
      <w:r>
        <w:rPr>
          <w:szCs w:val="22"/>
        </w:rPr>
        <w:t>c</w:t>
      </w:r>
      <w:r>
        <w:rPr>
          <w:spacing w:val="-3"/>
          <w:szCs w:val="22"/>
        </w:rPr>
        <w:t>a</w:t>
      </w:r>
      <w:r>
        <w:rPr>
          <w:spacing w:val="1"/>
          <w:szCs w:val="22"/>
        </w:rPr>
        <w:t>ţ</w:t>
      </w:r>
      <w:r>
        <w:rPr>
          <w:szCs w:val="22"/>
        </w:rPr>
        <w:t>i</w:t>
      </w:r>
      <w:r>
        <w:rPr>
          <w:spacing w:val="1"/>
          <w:szCs w:val="22"/>
        </w:rPr>
        <w:t xml:space="preserve"> </w:t>
      </w:r>
      <w:r>
        <w:rPr>
          <w:spacing w:val="-2"/>
          <w:szCs w:val="22"/>
        </w:rPr>
        <w:t>ş</w:t>
      </w:r>
      <w:r>
        <w:rPr>
          <w:szCs w:val="22"/>
        </w:rPr>
        <w:t>i ana</w:t>
      </w:r>
      <w:r>
        <w:rPr>
          <w:spacing w:val="-2"/>
          <w:szCs w:val="22"/>
        </w:rPr>
        <w:t>l</w:t>
      </w:r>
      <w:r>
        <w:rPr>
          <w:spacing w:val="1"/>
          <w:szCs w:val="22"/>
        </w:rPr>
        <w:t>i</w:t>
      </w:r>
      <w:r>
        <w:rPr>
          <w:spacing w:val="-3"/>
          <w:szCs w:val="22"/>
        </w:rPr>
        <w:t>z</w:t>
      </w:r>
      <w:r>
        <w:rPr>
          <w:szCs w:val="22"/>
        </w:rPr>
        <w:t>a</w:t>
      </w:r>
      <w:r>
        <w:rPr>
          <w:spacing w:val="-2"/>
          <w:szCs w:val="22"/>
        </w:rPr>
        <w:t>ţ</w:t>
      </w:r>
      <w:r>
        <w:rPr>
          <w:szCs w:val="22"/>
        </w:rPr>
        <w:t>i</w:t>
      </w:r>
      <w:r>
        <w:rPr>
          <w:spacing w:val="1"/>
          <w:szCs w:val="22"/>
        </w:rPr>
        <w:t xml:space="preserve"> </w:t>
      </w:r>
      <w:r>
        <w:rPr>
          <w:szCs w:val="22"/>
        </w:rPr>
        <w:t>se</w:t>
      </w:r>
      <w:r>
        <w:rPr>
          <w:spacing w:val="-3"/>
          <w:szCs w:val="22"/>
        </w:rPr>
        <w:t>p</w:t>
      </w:r>
      <w:r>
        <w:rPr>
          <w:szCs w:val="22"/>
        </w:rPr>
        <w:t>ar</w:t>
      </w:r>
      <w:r>
        <w:rPr>
          <w:spacing w:val="-3"/>
          <w:szCs w:val="22"/>
        </w:rPr>
        <w:t>a</w:t>
      </w:r>
      <w:r>
        <w:rPr>
          <w:szCs w:val="22"/>
        </w:rPr>
        <w:t>t</w:t>
      </w:r>
      <w:r>
        <w:rPr>
          <w:spacing w:val="1"/>
          <w:szCs w:val="22"/>
        </w:rPr>
        <w:t xml:space="preserve"> </w:t>
      </w:r>
      <w:r>
        <w:rPr>
          <w:spacing w:val="-3"/>
          <w:szCs w:val="22"/>
        </w:rPr>
        <w:t>d</w:t>
      </w:r>
      <w:r>
        <w:rPr>
          <w:szCs w:val="22"/>
        </w:rPr>
        <w:t>e c</w:t>
      </w:r>
      <w:r>
        <w:rPr>
          <w:spacing w:val="-3"/>
          <w:szCs w:val="22"/>
        </w:rPr>
        <w:t>e</w:t>
      </w:r>
      <w:r>
        <w:rPr>
          <w:szCs w:val="22"/>
        </w:rPr>
        <w:t>i</w:t>
      </w:r>
      <w:r>
        <w:rPr>
          <w:spacing w:val="1"/>
          <w:szCs w:val="22"/>
        </w:rPr>
        <w:t xml:space="preserve"> </w:t>
      </w:r>
      <w:r>
        <w:rPr>
          <w:spacing w:val="-3"/>
          <w:szCs w:val="22"/>
        </w:rPr>
        <w:t>c</w:t>
      </w:r>
      <w:r>
        <w:rPr>
          <w:szCs w:val="22"/>
        </w:rPr>
        <w:t>are</w:t>
      </w:r>
      <w:r>
        <w:rPr>
          <w:spacing w:val="-2"/>
          <w:szCs w:val="22"/>
        </w:rPr>
        <w:t xml:space="preserve"> </w:t>
      </w:r>
      <w:r>
        <w:rPr>
          <w:szCs w:val="22"/>
        </w:rPr>
        <w:t>nu au</w:t>
      </w:r>
      <w:r>
        <w:rPr>
          <w:spacing w:val="-3"/>
          <w:szCs w:val="22"/>
        </w:rPr>
        <w:t xml:space="preserve"> </w:t>
      </w:r>
      <w:r>
        <w:rPr>
          <w:szCs w:val="22"/>
        </w:rPr>
        <w:t>răsp</w:t>
      </w:r>
      <w:r>
        <w:rPr>
          <w:spacing w:val="-3"/>
          <w:szCs w:val="22"/>
        </w:rPr>
        <w:t>u</w:t>
      </w:r>
      <w:r>
        <w:rPr>
          <w:szCs w:val="22"/>
        </w:rPr>
        <w:t xml:space="preserve">ns </w:t>
      </w:r>
      <w:r>
        <w:rPr>
          <w:spacing w:val="-3"/>
          <w:szCs w:val="22"/>
        </w:rPr>
        <w:t>c</w:t>
      </w:r>
      <w:r>
        <w:rPr>
          <w:spacing w:val="1"/>
          <w:szCs w:val="22"/>
        </w:rPr>
        <w:t>l</w:t>
      </w:r>
      <w:r>
        <w:rPr>
          <w:spacing w:val="-2"/>
          <w:szCs w:val="22"/>
        </w:rPr>
        <w:t>i</w:t>
      </w:r>
      <w:r>
        <w:rPr>
          <w:szCs w:val="22"/>
        </w:rPr>
        <w:t>n</w:t>
      </w:r>
      <w:r>
        <w:rPr>
          <w:spacing w:val="1"/>
          <w:szCs w:val="22"/>
        </w:rPr>
        <w:t>i</w:t>
      </w:r>
      <w:r>
        <w:rPr>
          <w:szCs w:val="22"/>
        </w:rPr>
        <w:t>c</w:t>
      </w:r>
      <w:r>
        <w:rPr>
          <w:spacing w:val="-2"/>
          <w:szCs w:val="22"/>
        </w:rPr>
        <w:t xml:space="preserve"> </w:t>
      </w:r>
      <w:r>
        <w:rPr>
          <w:spacing w:val="1"/>
          <w:szCs w:val="22"/>
        </w:rPr>
        <w:t>î</w:t>
      </w:r>
      <w:r>
        <w:rPr>
          <w:szCs w:val="22"/>
        </w:rPr>
        <w:t xml:space="preserve">n </w:t>
      </w:r>
      <w:r>
        <w:rPr>
          <w:rFonts w:eastAsia="MS Mincho"/>
          <w:spacing w:val="-3"/>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4.</w:t>
      </w:r>
      <w:r>
        <w:rPr>
          <w:spacing w:val="-3"/>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cu</w:t>
      </w:r>
      <w:r>
        <w:rPr>
          <w:spacing w:val="-3"/>
          <w:szCs w:val="22"/>
        </w:rPr>
        <w:t xml:space="preserve"> c</w:t>
      </w:r>
      <w:r>
        <w:rPr>
          <w:szCs w:val="22"/>
        </w:rPr>
        <w:t>or</w:t>
      </w:r>
      <w:r>
        <w:rPr>
          <w:spacing w:val="-2"/>
          <w:szCs w:val="22"/>
        </w:rPr>
        <w:t>t</w:t>
      </w:r>
      <w:r>
        <w:rPr>
          <w:spacing w:val="1"/>
          <w:szCs w:val="22"/>
        </w:rPr>
        <w:t>i</w:t>
      </w:r>
      <w:r>
        <w:rPr>
          <w:szCs w:val="22"/>
        </w:rPr>
        <w:t>co</w:t>
      </w:r>
      <w:r>
        <w:rPr>
          <w:spacing w:val="-2"/>
          <w:szCs w:val="22"/>
        </w:rPr>
        <w:t>s</w:t>
      </w:r>
      <w:r>
        <w:rPr>
          <w:spacing w:val="1"/>
          <w:szCs w:val="22"/>
        </w:rPr>
        <w:t>t</w:t>
      </w:r>
      <w:r>
        <w:rPr>
          <w:spacing w:val="-3"/>
          <w:szCs w:val="22"/>
        </w:rPr>
        <w:t>e</w:t>
      </w:r>
      <w:r>
        <w:rPr>
          <w:szCs w:val="22"/>
        </w:rPr>
        <w:t>ro</w:t>
      </w:r>
      <w:r>
        <w:rPr>
          <w:spacing w:val="1"/>
          <w:szCs w:val="22"/>
        </w:rPr>
        <w:t>i</w:t>
      </w:r>
      <w:r>
        <w:rPr>
          <w:spacing w:val="-3"/>
          <w:szCs w:val="22"/>
        </w:rPr>
        <w:t>z</w:t>
      </w:r>
      <w:r>
        <w:rPr>
          <w:szCs w:val="22"/>
        </w:rPr>
        <w:t>i</w:t>
      </w:r>
      <w:r>
        <w:rPr>
          <w:spacing w:val="-2"/>
          <w:szCs w:val="22"/>
        </w:rPr>
        <w:t xml:space="preserve"> </w:t>
      </w:r>
      <w:r>
        <w:rPr>
          <w:szCs w:val="22"/>
        </w:rPr>
        <w:t>a f</w:t>
      </w:r>
      <w:r>
        <w:rPr>
          <w:spacing w:val="-3"/>
          <w:szCs w:val="22"/>
        </w:rPr>
        <w:t>o</w:t>
      </w:r>
      <w:r>
        <w:rPr>
          <w:szCs w:val="22"/>
        </w:rPr>
        <w:t>st per</w:t>
      </w:r>
      <w:r>
        <w:rPr>
          <w:spacing w:val="-4"/>
          <w:szCs w:val="22"/>
        </w:rPr>
        <w:t>m</w:t>
      </w:r>
      <w:r>
        <w:rPr>
          <w:spacing w:val="1"/>
          <w:szCs w:val="22"/>
        </w:rPr>
        <w:t>i</w:t>
      </w:r>
      <w:r>
        <w:rPr>
          <w:szCs w:val="22"/>
        </w:rPr>
        <w:t xml:space="preserve">s după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8.</w:t>
      </w:r>
    </w:p>
    <w:p w14:paraId="543FC0E9" w14:textId="77777777" w:rsidR="00C04CAD" w:rsidRDefault="00C04CAD">
      <w:pPr>
        <w:tabs>
          <w:tab w:val="clear" w:pos="567"/>
        </w:tabs>
        <w:kinsoku w:val="0"/>
        <w:overflowPunct w:val="0"/>
        <w:autoSpaceDE w:val="0"/>
        <w:autoSpaceDN w:val="0"/>
        <w:adjustRightInd w:val="0"/>
        <w:spacing w:line="240" w:lineRule="auto"/>
        <w:rPr>
          <w:szCs w:val="22"/>
        </w:rPr>
      </w:pPr>
    </w:p>
    <w:p w14:paraId="2CD87BCB" w14:textId="77777777" w:rsidR="00C04CAD" w:rsidRDefault="00060E34">
      <w:pPr>
        <w:autoSpaceDE w:val="0"/>
        <w:autoSpaceDN w:val="0"/>
        <w:adjustRightInd w:val="0"/>
        <w:spacing w:line="240" w:lineRule="auto"/>
        <w:rPr>
          <w:szCs w:val="22"/>
        </w:rPr>
      </w:pPr>
      <w:r>
        <w:rPr>
          <w:spacing w:val="-4"/>
          <w:szCs w:val="22"/>
        </w:rPr>
        <w:t>I</w:t>
      </w:r>
      <w:r>
        <w:rPr>
          <w:szCs w:val="22"/>
        </w:rPr>
        <w:t xml:space="preserve">nducerea </w:t>
      </w:r>
      <w:r>
        <w:rPr>
          <w:spacing w:val="-2"/>
          <w:szCs w:val="22"/>
        </w:rPr>
        <w:t>r</w:t>
      </w:r>
      <w:r>
        <w:rPr>
          <w:szCs w:val="22"/>
        </w:rPr>
        <w:t>e</w:t>
      </w:r>
      <w:r>
        <w:rPr>
          <w:spacing w:val="-4"/>
          <w:szCs w:val="22"/>
        </w:rPr>
        <w:t>m</w:t>
      </w:r>
      <w:r>
        <w:rPr>
          <w:spacing w:val="1"/>
          <w:szCs w:val="22"/>
        </w:rPr>
        <w:t>i</w:t>
      </w:r>
      <w:r>
        <w:rPr>
          <w:szCs w:val="22"/>
        </w:rPr>
        <w:t>s</w:t>
      </w:r>
      <w:r>
        <w:rPr>
          <w:spacing w:val="1"/>
          <w:szCs w:val="22"/>
        </w:rPr>
        <w:t>i</w:t>
      </w:r>
      <w:r>
        <w:rPr>
          <w:szCs w:val="22"/>
        </w:rPr>
        <w:t>un</w:t>
      </w:r>
      <w:r>
        <w:rPr>
          <w:spacing w:val="-2"/>
          <w:szCs w:val="22"/>
        </w:rPr>
        <w:t>i</w:t>
      </w:r>
      <w:r>
        <w:rPr>
          <w:szCs w:val="22"/>
        </w:rPr>
        <w:t>i</w:t>
      </w:r>
      <w:r>
        <w:rPr>
          <w:spacing w:val="1"/>
          <w:szCs w:val="22"/>
        </w:rPr>
        <w:t xml:space="preserve"> </w:t>
      </w:r>
      <w:r>
        <w:rPr>
          <w:spacing w:val="-2"/>
          <w:szCs w:val="22"/>
        </w:rPr>
        <w:t>ş</w:t>
      </w:r>
      <w:r>
        <w:rPr>
          <w:szCs w:val="22"/>
        </w:rPr>
        <w:t>i</w:t>
      </w:r>
      <w:r>
        <w:rPr>
          <w:spacing w:val="1"/>
          <w:szCs w:val="22"/>
        </w:rPr>
        <w:t xml:space="preserve"> </w:t>
      </w:r>
      <w:r>
        <w:rPr>
          <w:spacing w:val="-2"/>
          <w:szCs w:val="22"/>
        </w:rPr>
        <w:t>r</w:t>
      </w:r>
      <w:r>
        <w:rPr>
          <w:szCs w:val="22"/>
        </w:rPr>
        <w:t>a</w:t>
      </w:r>
      <w:r>
        <w:rPr>
          <w:spacing w:val="-2"/>
          <w:szCs w:val="22"/>
        </w:rPr>
        <w:t>t</w:t>
      </w:r>
      <w:r>
        <w:rPr>
          <w:spacing w:val="-3"/>
          <w:szCs w:val="22"/>
        </w:rPr>
        <w:t>e</w:t>
      </w:r>
      <w:r>
        <w:rPr>
          <w:spacing w:val="1"/>
          <w:szCs w:val="22"/>
        </w:rPr>
        <w:t>l</w:t>
      </w:r>
      <w:r>
        <w:rPr>
          <w:szCs w:val="22"/>
        </w:rPr>
        <w:t xml:space="preserve">e </w:t>
      </w:r>
      <w:r>
        <w:rPr>
          <w:spacing w:val="-2"/>
          <w:szCs w:val="22"/>
        </w:rPr>
        <w:t>r</w:t>
      </w:r>
      <w:r>
        <w:rPr>
          <w:szCs w:val="22"/>
        </w:rPr>
        <w:t>ăsp</w:t>
      </w:r>
      <w:r>
        <w:rPr>
          <w:spacing w:val="-3"/>
          <w:szCs w:val="22"/>
        </w:rPr>
        <w:t>u</w:t>
      </w:r>
      <w:r>
        <w:rPr>
          <w:szCs w:val="22"/>
        </w:rPr>
        <w:t>ns</w:t>
      </w:r>
      <w:r>
        <w:rPr>
          <w:spacing w:val="-3"/>
          <w:szCs w:val="22"/>
        </w:rPr>
        <w:t>u</w:t>
      </w:r>
      <w:r>
        <w:rPr>
          <w:spacing w:val="1"/>
          <w:szCs w:val="22"/>
        </w:rPr>
        <w:t>l</w:t>
      </w:r>
      <w:r>
        <w:rPr>
          <w:szCs w:val="22"/>
        </w:rPr>
        <w:t>ui</w:t>
      </w:r>
      <w:r>
        <w:rPr>
          <w:spacing w:val="1"/>
          <w:szCs w:val="22"/>
        </w:rPr>
        <w:t xml:space="preserve"> </w:t>
      </w:r>
      <w:r>
        <w:rPr>
          <w:spacing w:val="-3"/>
          <w:szCs w:val="22"/>
        </w:rPr>
        <w:t>d</w:t>
      </w:r>
      <w:r>
        <w:rPr>
          <w:spacing w:val="1"/>
          <w:szCs w:val="22"/>
        </w:rPr>
        <w:t>i</w:t>
      </w:r>
      <w:r>
        <w:rPr>
          <w:szCs w:val="22"/>
        </w:rPr>
        <w:t>n</w:t>
      </w:r>
      <w:r>
        <w:rPr>
          <w:spacing w:val="-3"/>
          <w:szCs w:val="22"/>
        </w:rPr>
        <w:t xml:space="preserve"> </w:t>
      </w:r>
      <w:r>
        <w:rPr>
          <w:szCs w:val="22"/>
        </w:rPr>
        <w:t>s</w:t>
      </w:r>
      <w:r>
        <w:rPr>
          <w:spacing w:val="1"/>
          <w:szCs w:val="22"/>
        </w:rPr>
        <w:t>t</w:t>
      </w:r>
      <w:r>
        <w:rPr>
          <w:szCs w:val="22"/>
        </w:rPr>
        <w:t>u</w:t>
      </w:r>
      <w:r>
        <w:rPr>
          <w:spacing w:val="-3"/>
          <w:szCs w:val="22"/>
        </w:rPr>
        <w:t>d</w:t>
      </w:r>
      <w:r>
        <w:rPr>
          <w:spacing w:val="1"/>
          <w:szCs w:val="22"/>
        </w:rPr>
        <w:t>i</w:t>
      </w:r>
      <w:r>
        <w:rPr>
          <w:spacing w:val="-2"/>
          <w:szCs w:val="22"/>
        </w:rPr>
        <w:t>i</w:t>
      </w:r>
      <w:r>
        <w:rPr>
          <w:spacing w:val="1"/>
          <w:szCs w:val="22"/>
        </w:rPr>
        <w:t>l</w:t>
      </w:r>
      <w:r>
        <w:rPr>
          <w:szCs w:val="22"/>
        </w:rPr>
        <w:t>e</w:t>
      </w:r>
      <w:r>
        <w:rPr>
          <w:spacing w:val="-2"/>
          <w:szCs w:val="22"/>
        </w:rPr>
        <w:t xml:space="preserve"> </w:t>
      </w:r>
      <w:r>
        <w:rPr>
          <w:spacing w:val="-1"/>
          <w:szCs w:val="22"/>
        </w:rPr>
        <w:t>B</w:t>
      </w:r>
      <w:r>
        <w:rPr>
          <w:szCs w:val="22"/>
        </w:rPr>
        <w:t>C</w:t>
      </w:r>
      <w:r>
        <w:rPr>
          <w:spacing w:val="1"/>
          <w:szCs w:val="22"/>
        </w:rPr>
        <w:t xml:space="preserve"> </w:t>
      </w:r>
      <w:r>
        <w:rPr>
          <w:szCs w:val="22"/>
        </w:rPr>
        <w:t>I</w:t>
      </w:r>
      <w:r>
        <w:rPr>
          <w:spacing w:val="-4"/>
          <w:szCs w:val="22"/>
        </w:rPr>
        <w:t xml:space="preserve"> </w:t>
      </w:r>
      <w:r>
        <w:rPr>
          <w:szCs w:val="22"/>
        </w:rPr>
        <w:t>şi</w:t>
      </w:r>
      <w:r>
        <w:rPr>
          <w:spacing w:val="1"/>
          <w:szCs w:val="22"/>
        </w:rPr>
        <w:t xml:space="preserve"> </w:t>
      </w:r>
      <w:r>
        <w:rPr>
          <w:spacing w:val="-1"/>
          <w:szCs w:val="22"/>
        </w:rPr>
        <w:t>B</w:t>
      </w:r>
      <w:r>
        <w:rPr>
          <w:szCs w:val="22"/>
        </w:rPr>
        <w:t>C</w:t>
      </w:r>
      <w:r>
        <w:rPr>
          <w:spacing w:val="-1"/>
          <w:szCs w:val="22"/>
        </w:rPr>
        <w:t xml:space="preserve"> </w:t>
      </w:r>
      <w:r>
        <w:rPr>
          <w:spacing w:val="-2"/>
          <w:szCs w:val="22"/>
        </w:rPr>
        <w:t>I</w:t>
      </w:r>
      <w:r>
        <w:rPr>
          <w:szCs w:val="22"/>
        </w:rPr>
        <w:t>I</w:t>
      </w:r>
      <w:r>
        <w:rPr>
          <w:spacing w:val="-2"/>
          <w:szCs w:val="22"/>
        </w:rPr>
        <w:t xml:space="preserve"> </w:t>
      </w:r>
      <w:r>
        <w:rPr>
          <w:szCs w:val="22"/>
        </w:rPr>
        <w:t>sunt</w:t>
      </w:r>
      <w:r>
        <w:rPr>
          <w:spacing w:val="1"/>
          <w:szCs w:val="22"/>
        </w:rPr>
        <w:t xml:space="preserve"> </w:t>
      </w:r>
      <w:r>
        <w:rPr>
          <w:szCs w:val="22"/>
        </w:rPr>
        <w:t>pre</w:t>
      </w:r>
      <w:r>
        <w:rPr>
          <w:spacing w:val="-3"/>
          <w:szCs w:val="22"/>
        </w:rPr>
        <w:t>z</w:t>
      </w:r>
      <w:r>
        <w:rPr>
          <w:szCs w:val="22"/>
        </w:rPr>
        <w:t>e</w:t>
      </w:r>
      <w:r>
        <w:rPr>
          <w:spacing w:val="-3"/>
          <w:szCs w:val="22"/>
        </w:rPr>
        <w:t>n</w:t>
      </w:r>
      <w:r>
        <w:rPr>
          <w:spacing w:val="1"/>
          <w:szCs w:val="22"/>
        </w:rPr>
        <w:t>t</w:t>
      </w:r>
      <w:r>
        <w:rPr>
          <w:spacing w:val="-3"/>
          <w:szCs w:val="22"/>
        </w:rPr>
        <w:t>a</w:t>
      </w:r>
      <w:r>
        <w:rPr>
          <w:spacing w:val="1"/>
          <w:szCs w:val="22"/>
        </w:rPr>
        <w:t>t</w:t>
      </w:r>
      <w:r>
        <w:rPr>
          <w:szCs w:val="22"/>
        </w:rPr>
        <w:t xml:space="preserve">e </w:t>
      </w:r>
      <w:r>
        <w:rPr>
          <w:spacing w:val="-2"/>
          <w:szCs w:val="22"/>
        </w:rPr>
        <w:t>î</w:t>
      </w:r>
      <w:r>
        <w:rPr>
          <w:szCs w:val="22"/>
        </w:rPr>
        <w:t>n</w:t>
      </w:r>
      <w:r>
        <w:rPr>
          <w:spacing w:val="-3"/>
          <w:szCs w:val="22"/>
        </w:rPr>
        <w:t xml:space="preserve"> </w:t>
      </w:r>
      <w:r>
        <w:rPr>
          <w:spacing w:val="1"/>
          <w:szCs w:val="22"/>
        </w:rPr>
        <w:t>t</w:t>
      </w:r>
      <w:r>
        <w:rPr>
          <w:szCs w:val="22"/>
        </w:rPr>
        <w:t>ab</w:t>
      </w:r>
      <w:r>
        <w:rPr>
          <w:spacing w:val="-3"/>
          <w:szCs w:val="22"/>
        </w:rPr>
        <w:t>e</w:t>
      </w:r>
      <w:r>
        <w:rPr>
          <w:spacing w:val="1"/>
          <w:szCs w:val="22"/>
        </w:rPr>
        <w:t>l</w:t>
      </w:r>
      <w:r>
        <w:rPr>
          <w:spacing w:val="-3"/>
          <w:szCs w:val="22"/>
        </w:rPr>
        <w:t>u</w:t>
      </w:r>
      <w:r>
        <w:rPr>
          <w:szCs w:val="22"/>
        </w:rPr>
        <w:t>l</w:t>
      </w:r>
      <w:r>
        <w:rPr>
          <w:spacing w:val="1"/>
          <w:szCs w:val="22"/>
        </w:rPr>
        <w:t xml:space="preserve"> </w:t>
      </w:r>
      <w:r>
        <w:rPr>
          <w:rFonts w:eastAsia="MS Mincho"/>
          <w:szCs w:val="22"/>
          <w:lang w:eastAsia="en-US" w:bidi="ar-SA"/>
        </w:rPr>
        <w:t>21</w:t>
      </w:r>
      <w:r>
        <w:rPr>
          <w:szCs w:val="22"/>
        </w:rPr>
        <w:t>.</w:t>
      </w:r>
    </w:p>
    <w:p w14:paraId="0811E9B9" w14:textId="77777777" w:rsidR="00C04CAD" w:rsidRDefault="00C04CAD">
      <w:pPr>
        <w:autoSpaceDE w:val="0"/>
        <w:autoSpaceDN w:val="0"/>
        <w:adjustRightInd w:val="0"/>
        <w:spacing w:line="240" w:lineRule="auto"/>
        <w:rPr>
          <w:sz w:val="24"/>
        </w:rPr>
      </w:pPr>
    </w:p>
    <w:p w14:paraId="324022EB" w14:textId="77777777" w:rsidR="00C04CAD" w:rsidRDefault="00060E34">
      <w:pPr>
        <w:keepNext/>
        <w:autoSpaceDE w:val="0"/>
        <w:autoSpaceDN w:val="0"/>
        <w:adjustRightInd w:val="0"/>
        <w:spacing w:line="240" w:lineRule="auto"/>
        <w:rPr>
          <w:b/>
          <w:sz w:val="24"/>
        </w:rPr>
      </w:pPr>
      <w:r>
        <w:rPr>
          <w:b/>
          <w:bCs/>
          <w:spacing w:val="-1"/>
        </w:rPr>
        <w:lastRenderedPageBreak/>
        <w:t>T</w:t>
      </w:r>
      <w:r>
        <w:rPr>
          <w:b/>
          <w:bCs/>
        </w:rPr>
        <w:t>a</w:t>
      </w:r>
      <w:r>
        <w:rPr>
          <w:b/>
          <w:bCs/>
          <w:spacing w:val="-1"/>
        </w:rPr>
        <w:t>b</w:t>
      </w:r>
      <w:r>
        <w:rPr>
          <w:b/>
          <w:bCs/>
        </w:rPr>
        <w:t>e</w:t>
      </w:r>
      <w:r>
        <w:rPr>
          <w:b/>
          <w:bCs/>
          <w:spacing w:val="1"/>
        </w:rPr>
        <w:t>l</w:t>
      </w:r>
      <w:r>
        <w:rPr>
          <w:b/>
          <w:bCs/>
          <w:spacing w:val="-1"/>
        </w:rPr>
        <w:t>u</w:t>
      </w:r>
      <w:r>
        <w:rPr>
          <w:b/>
          <w:bCs/>
        </w:rPr>
        <w:t>l</w:t>
      </w:r>
      <w:r>
        <w:rPr>
          <w:b/>
          <w:bCs/>
          <w:spacing w:val="-2"/>
        </w:rPr>
        <w:t xml:space="preserve"> </w:t>
      </w:r>
      <w:r>
        <w:rPr>
          <w:b/>
          <w:bCs/>
        </w:rPr>
        <w:t xml:space="preserve">21. </w:t>
      </w:r>
      <w:r>
        <w:rPr>
          <w:b/>
        </w:rPr>
        <w:t>I</w:t>
      </w:r>
      <w:r>
        <w:rPr>
          <w:b/>
          <w:spacing w:val="-1"/>
        </w:rPr>
        <w:t>ndu</w:t>
      </w:r>
      <w:r>
        <w:rPr>
          <w:b/>
        </w:rPr>
        <w:t>ce</w:t>
      </w:r>
      <w:r>
        <w:rPr>
          <w:b/>
          <w:spacing w:val="-3"/>
        </w:rPr>
        <w:t>r</w:t>
      </w:r>
      <w:r>
        <w:rPr>
          <w:b/>
        </w:rPr>
        <w:t xml:space="preserve">ea </w:t>
      </w:r>
      <w:r>
        <w:rPr>
          <w:b/>
          <w:spacing w:val="-1"/>
        </w:rPr>
        <w:t>r</w:t>
      </w:r>
      <w:r>
        <w:rPr>
          <w:b/>
          <w:spacing w:val="-3"/>
          <w:szCs w:val="22"/>
        </w:rPr>
        <w:t>e</w:t>
      </w:r>
      <w:r>
        <w:rPr>
          <w:b/>
          <w:szCs w:val="22"/>
        </w:rPr>
        <w:t>m</w:t>
      </w:r>
      <w:r>
        <w:rPr>
          <w:b/>
          <w:spacing w:val="1"/>
          <w:szCs w:val="22"/>
        </w:rPr>
        <w:t>i</w:t>
      </w:r>
      <w:r>
        <w:rPr>
          <w:b/>
          <w:spacing w:val="-2"/>
          <w:szCs w:val="22"/>
        </w:rPr>
        <w:t>s</w:t>
      </w:r>
      <w:r>
        <w:rPr>
          <w:b/>
          <w:spacing w:val="1"/>
          <w:szCs w:val="22"/>
        </w:rPr>
        <w:t>i</w:t>
      </w:r>
      <w:r>
        <w:rPr>
          <w:b/>
          <w:spacing w:val="-3"/>
          <w:szCs w:val="22"/>
        </w:rPr>
        <w:t>e</w:t>
      </w:r>
      <w:r>
        <w:rPr>
          <w:b/>
          <w:szCs w:val="22"/>
        </w:rPr>
        <w:t>i</w:t>
      </w:r>
      <w:r>
        <w:rPr>
          <w:b/>
          <w:spacing w:val="1"/>
          <w:szCs w:val="22"/>
        </w:rPr>
        <w:t xml:space="preserve"> </w:t>
      </w:r>
      <w:r>
        <w:rPr>
          <w:b/>
          <w:spacing w:val="-1"/>
        </w:rPr>
        <w:t>c</w:t>
      </w:r>
      <w:r>
        <w:rPr>
          <w:b/>
          <w:spacing w:val="-2"/>
          <w:szCs w:val="22"/>
        </w:rPr>
        <w:t>l</w:t>
      </w:r>
      <w:r>
        <w:rPr>
          <w:b/>
          <w:spacing w:val="1"/>
          <w:szCs w:val="22"/>
        </w:rPr>
        <w:t>i</w:t>
      </w:r>
      <w:r>
        <w:rPr>
          <w:b/>
          <w:spacing w:val="-1"/>
          <w:szCs w:val="22"/>
        </w:rPr>
        <w:t>n</w:t>
      </w:r>
      <w:r>
        <w:rPr>
          <w:b/>
          <w:spacing w:val="-2"/>
          <w:szCs w:val="22"/>
        </w:rPr>
        <w:t>i</w:t>
      </w:r>
      <w:r>
        <w:rPr>
          <w:b/>
          <w:spacing w:val="-3"/>
          <w:szCs w:val="22"/>
        </w:rPr>
        <w:t>c</w:t>
      </w:r>
      <w:r>
        <w:rPr>
          <w:b/>
          <w:szCs w:val="22"/>
        </w:rPr>
        <w:t>e</w:t>
      </w:r>
      <w:r>
        <w:rPr>
          <w:b/>
        </w:rPr>
        <w:t xml:space="preserve"> şi</w:t>
      </w:r>
      <w:r>
        <w:rPr>
          <w:b/>
          <w:spacing w:val="1"/>
        </w:rPr>
        <w:t xml:space="preserve"> </w:t>
      </w:r>
      <w:r>
        <w:rPr>
          <w:b/>
          <w:spacing w:val="-1"/>
        </w:rPr>
        <w:t>r</w:t>
      </w:r>
      <w:r>
        <w:rPr>
          <w:b/>
          <w:spacing w:val="-3"/>
          <w:szCs w:val="22"/>
        </w:rPr>
        <w:t>ă</w:t>
      </w:r>
      <w:r>
        <w:rPr>
          <w:b/>
          <w:szCs w:val="22"/>
        </w:rPr>
        <w:t>s</w:t>
      </w:r>
      <w:r>
        <w:rPr>
          <w:b/>
          <w:spacing w:val="-1"/>
          <w:szCs w:val="22"/>
        </w:rPr>
        <w:t xml:space="preserve">puns </w:t>
      </w:r>
      <w:r>
        <w:rPr>
          <w:b/>
        </w:rPr>
        <w:t>(</w:t>
      </w:r>
      <w:r>
        <w:rPr>
          <w:b/>
          <w:spacing w:val="-1"/>
        </w:rPr>
        <w:t>p</w:t>
      </w:r>
      <w:r>
        <w:rPr>
          <w:b/>
        </w:rPr>
        <w:t>ro</w:t>
      </w:r>
      <w:r>
        <w:rPr>
          <w:b/>
          <w:spacing w:val="-3"/>
        </w:rPr>
        <w:t>c</w:t>
      </w:r>
      <w:r>
        <w:rPr>
          <w:b/>
        </w:rPr>
        <w:t>e</w:t>
      </w:r>
      <w:r>
        <w:rPr>
          <w:b/>
          <w:spacing w:val="-1"/>
        </w:rPr>
        <w:t>n</w:t>
      </w:r>
      <w:r>
        <w:rPr>
          <w:b/>
        </w:rPr>
        <w:t>t</w:t>
      </w:r>
      <w:r>
        <w:rPr>
          <w:b/>
          <w:spacing w:val="-3"/>
        </w:rPr>
        <w:t>u</w:t>
      </w:r>
      <w:r>
        <w:rPr>
          <w:b/>
        </w:rPr>
        <w:t>l</w:t>
      </w:r>
      <w:r>
        <w:rPr>
          <w:b/>
          <w:spacing w:val="-2"/>
        </w:rPr>
        <w:t xml:space="preserve"> </w:t>
      </w:r>
      <w:r>
        <w:rPr>
          <w:b/>
          <w:spacing w:val="1"/>
        </w:rPr>
        <w:t>p</w:t>
      </w:r>
      <w:r>
        <w:rPr>
          <w:b/>
        </w:rPr>
        <w:t>a</w:t>
      </w:r>
      <w:r>
        <w:rPr>
          <w:b/>
          <w:spacing w:val="-3"/>
        </w:rPr>
        <w:t>c</w:t>
      </w:r>
      <w:r>
        <w:rPr>
          <w:b/>
          <w:spacing w:val="1"/>
        </w:rPr>
        <w:t>i</w:t>
      </w:r>
      <w:r>
        <w:rPr>
          <w:b/>
        </w:rPr>
        <w:t>e</w:t>
      </w:r>
      <w:r>
        <w:rPr>
          <w:b/>
          <w:spacing w:val="-1"/>
        </w:rPr>
        <w:t>n</w:t>
      </w:r>
      <w:r>
        <w:rPr>
          <w:b/>
          <w:spacing w:val="-2"/>
        </w:rPr>
        <w:t>ţi</w:t>
      </w:r>
      <w:r>
        <w:rPr>
          <w:b/>
          <w:spacing w:val="1"/>
        </w:rPr>
        <w:t>l</w:t>
      </w:r>
      <w:r>
        <w:rPr>
          <w:b/>
        </w:rPr>
        <w:t>or)</w:t>
      </w:r>
    </w:p>
    <w:p w14:paraId="61885A80" w14:textId="77777777" w:rsidR="00C04CAD" w:rsidRDefault="00C04CAD">
      <w:pPr>
        <w:keepNext/>
        <w:autoSpaceDE w:val="0"/>
        <w:autoSpaceDN w:val="0"/>
        <w:adjustRightInd w:val="0"/>
        <w:spacing w:line="240" w:lineRule="auto"/>
        <w:rPr>
          <w:sz w:val="24"/>
        </w:rPr>
      </w:pPr>
    </w:p>
    <w:tbl>
      <w:tblPr>
        <w:tblW w:w="5000" w:type="pct"/>
        <w:tblLayout w:type="fixed"/>
        <w:tblCellMar>
          <w:left w:w="0" w:type="dxa"/>
          <w:right w:w="0" w:type="dxa"/>
        </w:tblCellMar>
        <w:tblLook w:val="04A0" w:firstRow="1" w:lastRow="0" w:firstColumn="1" w:lastColumn="0" w:noHBand="0" w:noVBand="1"/>
      </w:tblPr>
      <w:tblGrid>
        <w:gridCol w:w="2612"/>
        <w:gridCol w:w="950"/>
        <w:gridCol w:w="1502"/>
        <w:gridCol w:w="1499"/>
        <w:gridCol w:w="1026"/>
        <w:gridCol w:w="1472"/>
      </w:tblGrid>
      <w:tr w:rsidR="00C04CAD" w14:paraId="6F7AF47F" w14:textId="77777777">
        <w:trPr>
          <w:trHeight w:hRule="exact" w:val="925"/>
        </w:trPr>
        <w:tc>
          <w:tcPr>
            <w:tcW w:w="1442" w:type="pct"/>
            <w:tcBorders>
              <w:top w:val="single" w:sz="4" w:space="0" w:color="000000"/>
              <w:left w:val="single" w:sz="4" w:space="0" w:color="000000"/>
              <w:bottom w:val="single" w:sz="4" w:space="0" w:color="000000"/>
              <w:right w:val="single" w:sz="4" w:space="0" w:color="000000"/>
            </w:tcBorders>
          </w:tcPr>
          <w:p w14:paraId="4704C521" w14:textId="77777777" w:rsidR="00C04CAD" w:rsidRDefault="00C04CAD">
            <w:pPr>
              <w:keepNext/>
              <w:tabs>
                <w:tab w:val="clear" w:pos="567"/>
              </w:tabs>
              <w:autoSpaceDE w:val="0"/>
              <w:autoSpaceDN w:val="0"/>
              <w:adjustRightInd w:val="0"/>
              <w:spacing w:line="240" w:lineRule="auto"/>
            </w:pPr>
          </w:p>
        </w:tc>
        <w:tc>
          <w:tcPr>
            <w:tcW w:w="2180" w:type="pct"/>
            <w:gridSpan w:val="3"/>
            <w:tcBorders>
              <w:top w:val="single" w:sz="4" w:space="0" w:color="000000"/>
              <w:left w:val="single" w:sz="4" w:space="0" w:color="000000"/>
              <w:bottom w:val="single" w:sz="4" w:space="0" w:color="000000"/>
              <w:right w:val="single" w:sz="4" w:space="0" w:color="000000"/>
            </w:tcBorders>
          </w:tcPr>
          <w:p w14:paraId="1D0B5AA8"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S</w:t>
            </w:r>
            <w:r>
              <w:rPr>
                <w:b/>
              </w:rPr>
              <w:t>t</w:t>
            </w:r>
            <w:r>
              <w:rPr>
                <w:b/>
                <w:spacing w:val="-1"/>
              </w:rPr>
              <w:t>ud</w:t>
            </w:r>
            <w:r>
              <w:rPr>
                <w:b/>
                <w:spacing w:val="1"/>
              </w:rPr>
              <w:t>i</w:t>
            </w:r>
            <w:r>
              <w:rPr>
                <w:b/>
                <w:spacing w:val="-3"/>
              </w:rPr>
              <w:t>u</w:t>
            </w:r>
            <w:r>
              <w:rPr>
                <w:b/>
              </w:rPr>
              <w:t>l</w:t>
            </w:r>
            <w:r>
              <w:rPr>
                <w:b/>
                <w:spacing w:val="-2"/>
              </w:rPr>
              <w:t xml:space="preserve"> </w:t>
            </w:r>
            <w:r>
              <w:rPr>
                <w:b/>
                <w:spacing w:val="1"/>
              </w:rPr>
              <w:t>B</w:t>
            </w:r>
            <w:r>
              <w:rPr>
                <w:b/>
              </w:rPr>
              <w:t>C</w:t>
            </w:r>
            <w:r>
              <w:rPr>
                <w:b/>
                <w:spacing w:val="-1"/>
              </w:rPr>
              <w:t xml:space="preserve"> </w:t>
            </w:r>
            <w:r>
              <w:rPr>
                <w:b/>
              </w:rPr>
              <w:t>I:</w:t>
            </w:r>
            <w:r>
              <w:rPr>
                <w:b/>
                <w:spacing w:val="-2"/>
              </w:rPr>
              <w:t xml:space="preserve"> </w:t>
            </w:r>
            <w:r>
              <w:rPr>
                <w:b/>
                <w:spacing w:val="1"/>
              </w:rPr>
              <w:t>P</w:t>
            </w:r>
            <w:r>
              <w:rPr>
                <w:b/>
                <w:spacing w:val="-3"/>
              </w:rPr>
              <w:t>a</w:t>
            </w:r>
            <w:r>
              <w:rPr>
                <w:b/>
              </w:rPr>
              <w:t>c</w:t>
            </w:r>
            <w:r>
              <w:rPr>
                <w:b/>
                <w:spacing w:val="-2"/>
              </w:rPr>
              <w:t>i</w:t>
            </w:r>
            <w:r>
              <w:rPr>
                <w:b/>
              </w:rPr>
              <w:t>e</w:t>
            </w:r>
            <w:r>
              <w:rPr>
                <w:b/>
                <w:spacing w:val="-1"/>
              </w:rPr>
              <w:t>n</w:t>
            </w:r>
            <w:r>
              <w:rPr>
                <w:b/>
                <w:spacing w:val="-2"/>
              </w:rPr>
              <w:t>ţ</w:t>
            </w:r>
            <w:r>
              <w:rPr>
                <w:b/>
              </w:rPr>
              <w:t>i</w:t>
            </w:r>
            <w:r>
              <w:rPr>
                <w:b/>
                <w:spacing w:val="1"/>
              </w:rPr>
              <w:t xml:space="preserve"> </w:t>
            </w:r>
            <w:r>
              <w:rPr>
                <w:b/>
              </w:rPr>
              <w:t>ca</w:t>
            </w:r>
            <w:r>
              <w:rPr>
                <w:b/>
                <w:spacing w:val="-3"/>
              </w:rPr>
              <w:t>r</w:t>
            </w:r>
            <w:r>
              <w:rPr>
                <w:b/>
              </w:rPr>
              <w:t xml:space="preserve">e </w:t>
            </w:r>
            <w:r>
              <w:rPr>
                <w:b/>
                <w:spacing w:val="-1"/>
              </w:rPr>
              <w:t>n</w:t>
            </w:r>
            <w:r>
              <w:rPr>
                <w:b/>
              </w:rPr>
              <w:t>u</w:t>
            </w:r>
            <w:r>
              <w:rPr>
                <w:b/>
                <w:spacing w:val="-1"/>
              </w:rPr>
              <w:t xml:space="preserve"> </w:t>
            </w:r>
            <w:r>
              <w:rPr>
                <w:b/>
              </w:rPr>
              <w:t xml:space="preserve">au </w:t>
            </w:r>
            <w:r>
              <w:rPr>
                <w:b/>
                <w:spacing w:val="-1"/>
              </w:rPr>
              <w:t>p</w:t>
            </w:r>
            <w:r>
              <w:rPr>
                <w:b/>
              </w:rPr>
              <w:t>r</w:t>
            </w:r>
            <w:r>
              <w:rPr>
                <w:b/>
                <w:spacing w:val="1"/>
              </w:rPr>
              <w:t>i</w:t>
            </w:r>
            <w:r>
              <w:rPr>
                <w:b/>
                <w:spacing w:val="-2"/>
              </w:rPr>
              <w:t>m</w:t>
            </w:r>
            <w:r>
              <w:rPr>
                <w:b/>
                <w:spacing w:val="1"/>
              </w:rPr>
              <w:t>i</w:t>
            </w:r>
            <w:r>
              <w:rPr>
                <w:b/>
              </w:rPr>
              <w:t>t</w:t>
            </w:r>
            <w:r>
              <w:rPr>
                <w:b/>
                <w:spacing w:val="-2"/>
              </w:rPr>
              <w:t xml:space="preserve"> </w:t>
            </w:r>
            <w:r>
              <w:rPr>
                <w:b/>
                <w:spacing w:val="1"/>
              </w:rPr>
              <w:t>i</w:t>
            </w:r>
            <w:r>
              <w:rPr>
                <w:b/>
                <w:spacing w:val="-3"/>
              </w:rPr>
              <w:t>n</w:t>
            </w:r>
            <w:r>
              <w:rPr>
                <w:b/>
              </w:rPr>
              <w:t>f</w:t>
            </w:r>
            <w:r>
              <w:rPr>
                <w:b/>
                <w:spacing w:val="-2"/>
              </w:rPr>
              <w:t>l</w:t>
            </w:r>
            <w:r>
              <w:rPr>
                <w:b/>
                <w:spacing w:val="1"/>
              </w:rPr>
              <w:t>i</w:t>
            </w:r>
            <w:r>
              <w:rPr>
                <w:b/>
                <w:spacing w:val="-3"/>
              </w:rPr>
              <w:t>x</w:t>
            </w:r>
            <w:r>
              <w:rPr>
                <w:b/>
                <w:spacing w:val="1"/>
              </w:rPr>
              <w:t>i</w:t>
            </w:r>
            <w:r>
              <w:rPr>
                <w:b/>
              </w:rPr>
              <w:t>mab</w:t>
            </w:r>
          </w:p>
        </w:tc>
        <w:tc>
          <w:tcPr>
            <w:tcW w:w="1378" w:type="pct"/>
            <w:gridSpan w:val="2"/>
            <w:tcBorders>
              <w:top w:val="single" w:sz="4" w:space="0" w:color="000000"/>
              <w:left w:val="single" w:sz="4" w:space="0" w:color="000000"/>
              <w:bottom w:val="single" w:sz="4" w:space="0" w:color="000000"/>
              <w:right w:val="single" w:sz="4" w:space="0" w:color="000000"/>
            </w:tcBorders>
          </w:tcPr>
          <w:p w14:paraId="57A1A670" w14:textId="77777777" w:rsidR="00C04CAD" w:rsidRDefault="00060E34">
            <w:pPr>
              <w:keepNext/>
              <w:tabs>
                <w:tab w:val="clear" w:pos="567"/>
              </w:tabs>
              <w:kinsoku w:val="0"/>
              <w:overflowPunct w:val="0"/>
              <w:autoSpaceDE w:val="0"/>
              <w:autoSpaceDN w:val="0"/>
              <w:adjustRightInd w:val="0"/>
              <w:spacing w:line="240" w:lineRule="auto"/>
              <w:jc w:val="center"/>
            </w:pPr>
            <w:r>
              <w:rPr>
                <w:b/>
                <w:spacing w:val="-1"/>
              </w:rPr>
              <w:t>S</w:t>
            </w:r>
            <w:r>
              <w:rPr>
                <w:b/>
              </w:rPr>
              <w:t>t</w:t>
            </w:r>
            <w:r>
              <w:rPr>
                <w:b/>
                <w:spacing w:val="-1"/>
              </w:rPr>
              <w:t>ud</w:t>
            </w:r>
            <w:r>
              <w:rPr>
                <w:b/>
                <w:spacing w:val="1"/>
              </w:rPr>
              <w:t>i</w:t>
            </w:r>
            <w:r>
              <w:rPr>
                <w:b/>
                <w:spacing w:val="-3"/>
              </w:rPr>
              <w:t>u</w:t>
            </w:r>
            <w:r>
              <w:rPr>
                <w:b/>
              </w:rPr>
              <w:t>l</w:t>
            </w:r>
            <w:r>
              <w:rPr>
                <w:b/>
                <w:spacing w:val="-2"/>
              </w:rPr>
              <w:t xml:space="preserve"> </w:t>
            </w:r>
            <w:r>
              <w:rPr>
                <w:b/>
                <w:spacing w:val="1"/>
              </w:rPr>
              <w:t>B</w:t>
            </w:r>
            <w:r>
              <w:rPr>
                <w:b/>
              </w:rPr>
              <w:t>C</w:t>
            </w:r>
            <w:r>
              <w:rPr>
                <w:b/>
                <w:spacing w:val="-1"/>
              </w:rPr>
              <w:t xml:space="preserve"> </w:t>
            </w:r>
            <w:r>
              <w:rPr>
                <w:b/>
              </w:rPr>
              <w:t>I</w:t>
            </w:r>
            <w:r>
              <w:rPr>
                <w:b/>
                <w:spacing w:val="-2"/>
              </w:rPr>
              <w:t>I</w:t>
            </w:r>
            <w:r>
              <w:rPr>
                <w:b/>
              </w:rPr>
              <w:t>:</w:t>
            </w:r>
            <w:r>
              <w:rPr>
                <w:b/>
                <w:spacing w:val="-2"/>
              </w:rPr>
              <w:t xml:space="preserve"> </w:t>
            </w:r>
            <w:r>
              <w:rPr>
                <w:b/>
                <w:spacing w:val="1"/>
              </w:rPr>
              <w:t>P</w:t>
            </w:r>
            <w:r>
              <w:rPr>
                <w:b/>
              </w:rPr>
              <w:t>a</w:t>
            </w:r>
            <w:r>
              <w:rPr>
                <w:b/>
                <w:spacing w:val="-3"/>
              </w:rPr>
              <w:t>c</w:t>
            </w:r>
            <w:r>
              <w:rPr>
                <w:b/>
                <w:spacing w:val="1"/>
              </w:rPr>
              <w:t>i</w:t>
            </w:r>
            <w:r>
              <w:rPr>
                <w:b/>
              </w:rPr>
              <w:t>e</w:t>
            </w:r>
            <w:r>
              <w:rPr>
                <w:b/>
                <w:spacing w:val="-1"/>
              </w:rPr>
              <w:t>n</w:t>
            </w:r>
            <w:r>
              <w:rPr>
                <w:b/>
                <w:spacing w:val="-2"/>
              </w:rPr>
              <w:t>ţ</w:t>
            </w:r>
            <w:r>
              <w:rPr>
                <w:b/>
              </w:rPr>
              <w:t>i</w:t>
            </w:r>
            <w:r>
              <w:rPr>
                <w:b/>
                <w:spacing w:val="1"/>
              </w:rPr>
              <w:t xml:space="preserve"> </w:t>
            </w:r>
            <w:r>
              <w:rPr>
                <w:b/>
              </w:rPr>
              <w:t>c</w:t>
            </w:r>
            <w:r>
              <w:rPr>
                <w:b/>
                <w:spacing w:val="-3"/>
              </w:rPr>
              <w:t>a</w:t>
            </w:r>
            <w:r>
              <w:rPr>
                <w:b/>
              </w:rPr>
              <w:t>re au</w:t>
            </w:r>
            <w:r>
              <w:rPr>
                <w:b/>
                <w:spacing w:val="-1"/>
              </w:rPr>
              <w:t xml:space="preserve"> p</w:t>
            </w:r>
            <w:r>
              <w:rPr>
                <w:b/>
              </w:rPr>
              <w:t>r</w:t>
            </w:r>
            <w:r>
              <w:rPr>
                <w:b/>
                <w:spacing w:val="-2"/>
              </w:rPr>
              <w:t>i</w:t>
            </w:r>
            <w:r>
              <w:rPr>
                <w:b/>
              </w:rPr>
              <w:t>m</w:t>
            </w:r>
            <w:r>
              <w:rPr>
                <w:b/>
                <w:spacing w:val="-2"/>
              </w:rPr>
              <w:t>i</w:t>
            </w:r>
            <w:r>
              <w:rPr>
                <w:b/>
              </w:rPr>
              <w:t>t</w:t>
            </w:r>
            <w:r>
              <w:rPr>
                <w:b/>
                <w:spacing w:val="1"/>
              </w:rPr>
              <w:t xml:space="preserve"> </w:t>
            </w:r>
            <w:r>
              <w:rPr>
                <w:b/>
              </w:rPr>
              <w:t>a</w:t>
            </w:r>
            <w:r>
              <w:rPr>
                <w:b/>
                <w:spacing w:val="-1"/>
              </w:rPr>
              <w:t>n</w:t>
            </w:r>
            <w:r>
              <w:rPr>
                <w:b/>
                <w:spacing w:val="-2"/>
              </w:rPr>
              <w:t>t</w:t>
            </w:r>
            <w:r>
              <w:rPr>
                <w:b/>
              </w:rPr>
              <w:t>e</w:t>
            </w:r>
            <w:r>
              <w:rPr>
                <w:b/>
                <w:spacing w:val="-3"/>
              </w:rPr>
              <w:t>r</w:t>
            </w:r>
            <w:r>
              <w:rPr>
                <w:b/>
                <w:spacing w:val="1"/>
              </w:rPr>
              <w:t>i</w:t>
            </w:r>
            <w:r>
              <w:rPr>
                <w:b/>
              </w:rPr>
              <w:t>or</w:t>
            </w:r>
            <w:r>
              <w:rPr>
                <w:b/>
                <w:spacing w:val="-2"/>
              </w:rPr>
              <w:t xml:space="preserve"> </w:t>
            </w:r>
            <w:r>
              <w:rPr>
                <w:b/>
                <w:spacing w:val="1"/>
              </w:rPr>
              <w:t>i</w:t>
            </w:r>
            <w:r>
              <w:rPr>
                <w:b/>
                <w:spacing w:val="-3"/>
              </w:rPr>
              <w:t>n</w:t>
            </w:r>
            <w:r>
              <w:rPr>
                <w:b/>
              </w:rPr>
              <w:t>f</w:t>
            </w:r>
            <w:r>
              <w:rPr>
                <w:b/>
                <w:spacing w:val="1"/>
              </w:rPr>
              <w:t>li</w:t>
            </w:r>
            <w:r>
              <w:rPr>
                <w:b/>
                <w:spacing w:val="-3"/>
              </w:rPr>
              <w:t>x</w:t>
            </w:r>
            <w:r>
              <w:rPr>
                <w:b/>
                <w:spacing w:val="-2"/>
              </w:rPr>
              <w:t>i</w:t>
            </w:r>
            <w:r>
              <w:rPr>
                <w:b/>
              </w:rPr>
              <w:t>mab</w:t>
            </w:r>
          </w:p>
        </w:tc>
      </w:tr>
      <w:tr w:rsidR="00C04CAD" w14:paraId="3DF3A9A0" w14:textId="77777777">
        <w:trPr>
          <w:trHeight w:hRule="exact" w:val="964"/>
        </w:trPr>
        <w:tc>
          <w:tcPr>
            <w:tcW w:w="1442" w:type="pct"/>
            <w:tcBorders>
              <w:top w:val="single" w:sz="4" w:space="0" w:color="000000"/>
              <w:left w:val="single" w:sz="4" w:space="0" w:color="000000"/>
              <w:bottom w:val="single" w:sz="4" w:space="0" w:color="000000"/>
              <w:right w:val="single" w:sz="4" w:space="0" w:color="000000"/>
            </w:tcBorders>
          </w:tcPr>
          <w:p w14:paraId="5B0295DC" w14:textId="77777777" w:rsidR="00C04CAD" w:rsidRDefault="00C04CAD">
            <w:pPr>
              <w:tabs>
                <w:tab w:val="clear" w:pos="567"/>
              </w:tabs>
              <w:autoSpaceDE w:val="0"/>
              <w:autoSpaceDN w:val="0"/>
              <w:adjustRightInd w:val="0"/>
              <w:spacing w:line="240" w:lineRule="auto"/>
            </w:pPr>
          </w:p>
        </w:tc>
        <w:tc>
          <w:tcPr>
            <w:tcW w:w="524" w:type="pct"/>
            <w:tcBorders>
              <w:top w:val="single" w:sz="4" w:space="0" w:color="000000"/>
              <w:left w:val="single" w:sz="4" w:space="0" w:color="000000"/>
              <w:bottom w:val="single" w:sz="4" w:space="0" w:color="000000"/>
              <w:right w:val="single" w:sz="4" w:space="0" w:color="000000"/>
            </w:tcBorders>
          </w:tcPr>
          <w:p w14:paraId="0D3BFE27"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1"/>
              </w:rPr>
              <w:t>P</w:t>
            </w:r>
            <w:r>
              <w:rPr>
                <w:b/>
                <w:spacing w:val="1"/>
              </w:rPr>
              <w:t>l</w:t>
            </w:r>
            <w:r>
              <w:rPr>
                <w:b/>
              </w:rPr>
              <w:t>ac</w:t>
            </w:r>
            <w:r>
              <w:rPr>
                <w:b/>
                <w:spacing w:val="-3"/>
              </w:rPr>
              <w:t>e</w:t>
            </w:r>
            <w:r>
              <w:rPr>
                <w:b/>
                <w:spacing w:val="-1"/>
              </w:rPr>
              <w:t>b</w:t>
            </w:r>
            <w:r>
              <w:rPr>
                <w:b/>
              </w:rPr>
              <w:t>o</w:t>
            </w:r>
          </w:p>
          <w:p w14:paraId="5191E0DA"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2"/>
              </w:rPr>
              <w:t>N</w:t>
            </w:r>
            <w:r>
              <w:rPr>
                <w:b/>
              </w:rPr>
              <w:t>=74</w:t>
            </w:r>
          </w:p>
        </w:tc>
        <w:tc>
          <w:tcPr>
            <w:tcW w:w="829" w:type="pct"/>
            <w:tcBorders>
              <w:top w:val="single" w:sz="4" w:space="0" w:color="000000"/>
              <w:left w:val="single" w:sz="4" w:space="0" w:color="000000"/>
              <w:bottom w:val="single" w:sz="4" w:space="0" w:color="000000"/>
              <w:right w:val="single" w:sz="4" w:space="0" w:color="000000"/>
            </w:tcBorders>
          </w:tcPr>
          <w:p w14:paraId="646BFE5C"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pacing w:val="-1"/>
                <w:szCs w:val="22"/>
                <w:lang w:eastAsia="en-US" w:bidi="ar-SA"/>
              </w:rPr>
              <w:t>Adalimumab</w:t>
            </w:r>
          </w:p>
          <w:p w14:paraId="1E09F03B"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80</w:t>
            </w:r>
            <w:r>
              <w:rPr>
                <w:b/>
                <w:spacing w:val="1"/>
                <w:szCs w:val="22"/>
              </w:rPr>
              <w:t>/</w:t>
            </w:r>
            <w:r>
              <w:rPr>
                <w:b/>
                <w:szCs w:val="22"/>
              </w:rPr>
              <w:t xml:space="preserve">40 </w:t>
            </w:r>
            <w:r>
              <w:rPr>
                <w:b/>
                <w:spacing w:val="-4"/>
                <w:szCs w:val="22"/>
              </w:rPr>
              <w:t>m</w:t>
            </w:r>
            <w:r>
              <w:rPr>
                <w:b/>
                <w:szCs w:val="22"/>
              </w:rPr>
              <w:t>g</w:t>
            </w:r>
          </w:p>
          <w:p w14:paraId="7E51D4FB"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2"/>
                <w:szCs w:val="22"/>
              </w:rPr>
              <w:t>N</w:t>
            </w:r>
            <w:r>
              <w:rPr>
                <w:b/>
                <w:szCs w:val="22"/>
              </w:rPr>
              <w:t>=75</w:t>
            </w:r>
          </w:p>
        </w:tc>
        <w:tc>
          <w:tcPr>
            <w:tcW w:w="827" w:type="pct"/>
            <w:tcBorders>
              <w:top w:val="single" w:sz="4" w:space="0" w:color="000000"/>
              <w:left w:val="single" w:sz="4" w:space="0" w:color="000000"/>
              <w:bottom w:val="single" w:sz="4" w:space="0" w:color="000000"/>
              <w:right w:val="single" w:sz="4" w:space="0" w:color="000000"/>
            </w:tcBorders>
          </w:tcPr>
          <w:p w14:paraId="2464A150"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pacing w:val="-1"/>
                <w:szCs w:val="22"/>
                <w:lang w:eastAsia="en-US" w:bidi="ar-SA"/>
              </w:rPr>
              <w:t>Adalimumab</w:t>
            </w:r>
          </w:p>
          <w:p w14:paraId="438D44EA"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160</w:t>
            </w:r>
            <w:r>
              <w:rPr>
                <w:b/>
                <w:spacing w:val="1"/>
                <w:szCs w:val="22"/>
              </w:rPr>
              <w:t>/</w:t>
            </w:r>
            <w:r>
              <w:rPr>
                <w:b/>
                <w:szCs w:val="22"/>
              </w:rPr>
              <w:t xml:space="preserve">80 </w:t>
            </w:r>
            <w:r>
              <w:rPr>
                <w:b/>
                <w:spacing w:val="-4"/>
                <w:szCs w:val="22"/>
              </w:rPr>
              <w:t>m</w:t>
            </w:r>
            <w:r>
              <w:rPr>
                <w:b/>
                <w:szCs w:val="22"/>
              </w:rPr>
              <w:t>g</w:t>
            </w:r>
          </w:p>
          <w:p w14:paraId="1D99B075"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2"/>
                <w:szCs w:val="22"/>
              </w:rPr>
              <w:t>N</w:t>
            </w:r>
            <w:r>
              <w:rPr>
                <w:b/>
                <w:szCs w:val="22"/>
              </w:rPr>
              <w:t>=76</w:t>
            </w:r>
          </w:p>
        </w:tc>
        <w:tc>
          <w:tcPr>
            <w:tcW w:w="566" w:type="pct"/>
            <w:tcBorders>
              <w:top w:val="single" w:sz="4" w:space="0" w:color="000000"/>
              <w:left w:val="single" w:sz="4" w:space="0" w:color="000000"/>
              <w:bottom w:val="single" w:sz="4" w:space="0" w:color="000000"/>
              <w:right w:val="single" w:sz="4" w:space="0" w:color="000000"/>
            </w:tcBorders>
          </w:tcPr>
          <w:p w14:paraId="2C133E1D"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1"/>
              </w:rPr>
              <w:t>P</w:t>
            </w:r>
            <w:r>
              <w:rPr>
                <w:b/>
                <w:spacing w:val="1"/>
              </w:rPr>
              <w:t>l</w:t>
            </w:r>
            <w:r>
              <w:rPr>
                <w:b/>
              </w:rPr>
              <w:t>ac</w:t>
            </w:r>
            <w:r>
              <w:rPr>
                <w:b/>
                <w:spacing w:val="-3"/>
              </w:rPr>
              <w:t>e</w:t>
            </w:r>
            <w:r>
              <w:rPr>
                <w:b/>
                <w:spacing w:val="-1"/>
              </w:rPr>
              <w:t>b</w:t>
            </w:r>
            <w:r>
              <w:rPr>
                <w:b/>
              </w:rPr>
              <w:t>o</w:t>
            </w:r>
          </w:p>
          <w:p w14:paraId="7942AE8E"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1"/>
              </w:rPr>
              <w:t>N</w:t>
            </w:r>
            <w:r>
              <w:rPr>
                <w:b/>
              </w:rPr>
              <w:t>=166</w:t>
            </w:r>
          </w:p>
        </w:tc>
        <w:tc>
          <w:tcPr>
            <w:tcW w:w="812" w:type="pct"/>
            <w:tcBorders>
              <w:top w:val="single" w:sz="4" w:space="0" w:color="000000"/>
              <w:left w:val="single" w:sz="4" w:space="0" w:color="000000"/>
              <w:bottom w:val="single" w:sz="4" w:space="0" w:color="000000"/>
              <w:right w:val="single" w:sz="4" w:space="0" w:color="000000"/>
            </w:tcBorders>
          </w:tcPr>
          <w:p w14:paraId="0E2F7D7E"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pacing w:val="-1"/>
                <w:szCs w:val="22"/>
                <w:lang w:eastAsia="en-US" w:bidi="ar-SA"/>
              </w:rPr>
              <w:t>Adalimumab</w:t>
            </w:r>
          </w:p>
          <w:p w14:paraId="4EEE00A5"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160</w:t>
            </w:r>
            <w:r>
              <w:rPr>
                <w:b/>
                <w:spacing w:val="1"/>
                <w:szCs w:val="22"/>
              </w:rPr>
              <w:t>/</w:t>
            </w:r>
            <w:r>
              <w:rPr>
                <w:b/>
                <w:szCs w:val="22"/>
              </w:rPr>
              <w:t xml:space="preserve">80 </w:t>
            </w:r>
            <w:r>
              <w:rPr>
                <w:b/>
                <w:spacing w:val="-4"/>
                <w:szCs w:val="22"/>
              </w:rPr>
              <w:t>m</w:t>
            </w:r>
            <w:r>
              <w:rPr>
                <w:b/>
                <w:szCs w:val="22"/>
              </w:rPr>
              <w:t>g</w:t>
            </w:r>
          </w:p>
          <w:p w14:paraId="1B9BAAC9"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pacing w:val="-1"/>
                <w:szCs w:val="22"/>
              </w:rPr>
              <w:t>N</w:t>
            </w:r>
            <w:r>
              <w:rPr>
                <w:b/>
                <w:szCs w:val="22"/>
              </w:rPr>
              <w:t>=159</w:t>
            </w:r>
          </w:p>
        </w:tc>
      </w:tr>
      <w:tr w:rsidR="00C04CAD" w14:paraId="5F830923" w14:textId="77777777">
        <w:trPr>
          <w:trHeight w:hRule="exact" w:val="264"/>
        </w:trPr>
        <w:tc>
          <w:tcPr>
            <w:tcW w:w="1442" w:type="pct"/>
            <w:tcBorders>
              <w:top w:val="single" w:sz="4" w:space="0" w:color="000000"/>
              <w:left w:val="single" w:sz="4" w:space="0" w:color="000000"/>
              <w:bottom w:val="single" w:sz="4" w:space="0" w:color="000000"/>
              <w:right w:val="single" w:sz="4" w:space="0" w:color="000000"/>
            </w:tcBorders>
          </w:tcPr>
          <w:p w14:paraId="47BF3957" w14:textId="77777777" w:rsidR="00C04CAD" w:rsidRDefault="00060E34">
            <w:pPr>
              <w:tabs>
                <w:tab w:val="clear" w:pos="567"/>
              </w:tabs>
              <w:kinsoku w:val="0"/>
              <w:overflowPunct w:val="0"/>
              <w:autoSpaceDE w:val="0"/>
              <w:autoSpaceDN w:val="0"/>
              <w:adjustRightInd w:val="0"/>
              <w:spacing w:line="240" w:lineRule="auto"/>
              <w:ind w:left="113"/>
            </w:pPr>
            <w:r>
              <w:rPr>
                <w:spacing w:val="-1"/>
              </w:rPr>
              <w:t>S</w:t>
            </w:r>
            <w:r>
              <w:t>ă</w:t>
            </w:r>
            <w:r>
              <w:rPr>
                <w:spacing w:val="-1"/>
              </w:rPr>
              <w:t>p</w:t>
            </w:r>
            <w:r>
              <w:t>tă</w:t>
            </w:r>
            <w:r>
              <w:rPr>
                <w:spacing w:val="-2"/>
              </w:rPr>
              <w:t>m</w:t>
            </w:r>
            <w:r>
              <w:t>â</w:t>
            </w:r>
            <w:r>
              <w:rPr>
                <w:spacing w:val="-1"/>
              </w:rPr>
              <w:t>n</w:t>
            </w:r>
            <w:r>
              <w:t>a 4</w:t>
            </w:r>
          </w:p>
        </w:tc>
        <w:tc>
          <w:tcPr>
            <w:tcW w:w="524" w:type="pct"/>
            <w:tcBorders>
              <w:top w:val="single" w:sz="4" w:space="0" w:color="000000"/>
              <w:left w:val="single" w:sz="4" w:space="0" w:color="000000"/>
              <w:bottom w:val="single" w:sz="4" w:space="0" w:color="000000"/>
              <w:right w:val="single" w:sz="4" w:space="0" w:color="000000"/>
            </w:tcBorders>
          </w:tcPr>
          <w:p w14:paraId="0E078CC2" w14:textId="77777777" w:rsidR="00C04CAD" w:rsidRDefault="00C04CAD">
            <w:pPr>
              <w:tabs>
                <w:tab w:val="clear" w:pos="567"/>
              </w:tabs>
              <w:autoSpaceDE w:val="0"/>
              <w:autoSpaceDN w:val="0"/>
              <w:adjustRightInd w:val="0"/>
              <w:spacing w:line="240" w:lineRule="auto"/>
              <w:ind w:left="113"/>
              <w:jc w:val="center"/>
            </w:pPr>
          </w:p>
        </w:tc>
        <w:tc>
          <w:tcPr>
            <w:tcW w:w="829" w:type="pct"/>
            <w:tcBorders>
              <w:top w:val="single" w:sz="4" w:space="0" w:color="000000"/>
              <w:left w:val="single" w:sz="4" w:space="0" w:color="000000"/>
              <w:bottom w:val="single" w:sz="4" w:space="0" w:color="000000"/>
              <w:right w:val="single" w:sz="4" w:space="0" w:color="000000"/>
            </w:tcBorders>
          </w:tcPr>
          <w:p w14:paraId="52AFB343" w14:textId="77777777" w:rsidR="00C04CAD" w:rsidRDefault="00C04CAD">
            <w:pPr>
              <w:tabs>
                <w:tab w:val="clear" w:pos="567"/>
              </w:tabs>
              <w:autoSpaceDE w:val="0"/>
              <w:autoSpaceDN w:val="0"/>
              <w:adjustRightInd w:val="0"/>
              <w:spacing w:line="240" w:lineRule="auto"/>
              <w:ind w:left="113"/>
              <w:jc w:val="center"/>
            </w:pPr>
          </w:p>
        </w:tc>
        <w:tc>
          <w:tcPr>
            <w:tcW w:w="827" w:type="pct"/>
            <w:tcBorders>
              <w:top w:val="single" w:sz="4" w:space="0" w:color="000000"/>
              <w:left w:val="single" w:sz="4" w:space="0" w:color="000000"/>
              <w:bottom w:val="single" w:sz="4" w:space="0" w:color="000000"/>
              <w:right w:val="single" w:sz="4" w:space="0" w:color="000000"/>
            </w:tcBorders>
          </w:tcPr>
          <w:p w14:paraId="397CE170" w14:textId="77777777" w:rsidR="00C04CAD" w:rsidRDefault="00C04CAD">
            <w:pPr>
              <w:tabs>
                <w:tab w:val="clear" w:pos="567"/>
              </w:tabs>
              <w:autoSpaceDE w:val="0"/>
              <w:autoSpaceDN w:val="0"/>
              <w:adjustRightInd w:val="0"/>
              <w:spacing w:line="240" w:lineRule="auto"/>
              <w:ind w:left="113"/>
              <w:jc w:val="center"/>
            </w:pPr>
          </w:p>
        </w:tc>
        <w:tc>
          <w:tcPr>
            <w:tcW w:w="566" w:type="pct"/>
            <w:tcBorders>
              <w:top w:val="single" w:sz="4" w:space="0" w:color="000000"/>
              <w:left w:val="single" w:sz="4" w:space="0" w:color="000000"/>
              <w:bottom w:val="single" w:sz="4" w:space="0" w:color="000000"/>
              <w:right w:val="single" w:sz="4" w:space="0" w:color="000000"/>
            </w:tcBorders>
          </w:tcPr>
          <w:p w14:paraId="06E16633" w14:textId="77777777" w:rsidR="00C04CAD" w:rsidRDefault="00C04CAD">
            <w:pPr>
              <w:tabs>
                <w:tab w:val="clear" w:pos="567"/>
              </w:tabs>
              <w:autoSpaceDE w:val="0"/>
              <w:autoSpaceDN w:val="0"/>
              <w:adjustRightInd w:val="0"/>
              <w:spacing w:line="240" w:lineRule="auto"/>
              <w:ind w:left="113"/>
              <w:jc w:val="center"/>
            </w:pPr>
          </w:p>
        </w:tc>
        <w:tc>
          <w:tcPr>
            <w:tcW w:w="812" w:type="pct"/>
            <w:tcBorders>
              <w:top w:val="single" w:sz="4" w:space="0" w:color="000000"/>
              <w:left w:val="single" w:sz="4" w:space="0" w:color="000000"/>
              <w:bottom w:val="single" w:sz="4" w:space="0" w:color="000000"/>
              <w:right w:val="single" w:sz="4" w:space="0" w:color="000000"/>
            </w:tcBorders>
          </w:tcPr>
          <w:p w14:paraId="101A6435" w14:textId="77777777" w:rsidR="00C04CAD" w:rsidRDefault="00C04CAD">
            <w:pPr>
              <w:tabs>
                <w:tab w:val="clear" w:pos="567"/>
              </w:tabs>
              <w:autoSpaceDE w:val="0"/>
              <w:autoSpaceDN w:val="0"/>
              <w:adjustRightInd w:val="0"/>
              <w:spacing w:line="240" w:lineRule="auto"/>
              <w:ind w:left="113"/>
              <w:jc w:val="center"/>
            </w:pPr>
          </w:p>
        </w:tc>
      </w:tr>
      <w:tr w:rsidR="00C04CAD" w14:paraId="215C17DA" w14:textId="77777777">
        <w:trPr>
          <w:trHeight w:hRule="exact" w:val="262"/>
        </w:trPr>
        <w:tc>
          <w:tcPr>
            <w:tcW w:w="1442" w:type="pct"/>
            <w:tcBorders>
              <w:top w:val="single" w:sz="4" w:space="0" w:color="000000"/>
              <w:left w:val="single" w:sz="4" w:space="0" w:color="000000"/>
              <w:bottom w:val="single" w:sz="4" w:space="0" w:color="000000"/>
              <w:right w:val="single" w:sz="4" w:space="0" w:color="000000"/>
            </w:tcBorders>
          </w:tcPr>
          <w:p w14:paraId="41027349" w14:textId="77777777" w:rsidR="00C04CAD" w:rsidRDefault="00060E34">
            <w:pPr>
              <w:tabs>
                <w:tab w:val="clear" w:pos="567"/>
              </w:tabs>
              <w:kinsoku w:val="0"/>
              <w:overflowPunct w:val="0"/>
              <w:autoSpaceDE w:val="0"/>
              <w:autoSpaceDN w:val="0"/>
              <w:adjustRightInd w:val="0"/>
              <w:spacing w:line="240" w:lineRule="auto"/>
              <w:ind w:left="113"/>
            </w:pPr>
            <w:r>
              <w:rPr>
                <w:spacing w:val="-1"/>
              </w:rPr>
              <w:t>R</w:t>
            </w:r>
            <w:r>
              <w:t>em</w:t>
            </w:r>
            <w:r>
              <w:rPr>
                <w:spacing w:val="-2"/>
              </w:rPr>
              <w:t>i</w:t>
            </w:r>
            <w:r>
              <w:t>s</w:t>
            </w:r>
            <w:r>
              <w:rPr>
                <w:spacing w:val="1"/>
              </w:rPr>
              <w:t>i</w:t>
            </w:r>
            <w:r>
              <w:t>e</w:t>
            </w:r>
            <w:r>
              <w:rPr>
                <w:spacing w:val="-2"/>
              </w:rPr>
              <w:t xml:space="preserve"> </w:t>
            </w:r>
            <w:r>
              <w:t>c</w:t>
            </w:r>
            <w:r>
              <w:rPr>
                <w:spacing w:val="-2"/>
              </w:rPr>
              <w:t>l</w:t>
            </w:r>
            <w:r>
              <w:rPr>
                <w:spacing w:val="1"/>
              </w:rPr>
              <w:t>i</w:t>
            </w:r>
            <w:r>
              <w:rPr>
                <w:spacing w:val="-1"/>
              </w:rPr>
              <w:t>n</w:t>
            </w:r>
            <w:r>
              <w:rPr>
                <w:spacing w:val="-2"/>
              </w:rPr>
              <w:t>i</w:t>
            </w:r>
            <w:r>
              <w:t>că</w:t>
            </w:r>
          </w:p>
        </w:tc>
        <w:tc>
          <w:tcPr>
            <w:tcW w:w="524" w:type="pct"/>
            <w:tcBorders>
              <w:top w:val="single" w:sz="4" w:space="0" w:color="000000"/>
              <w:left w:val="single" w:sz="4" w:space="0" w:color="000000"/>
              <w:bottom w:val="single" w:sz="4" w:space="0" w:color="000000"/>
              <w:right w:val="single" w:sz="4" w:space="0" w:color="000000"/>
            </w:tcBorders>
          </w:tcPr>
          <w:p w14:paraId="160D7CC2" w14:textId="77777777" w:rsidR="00C04CAD" w:rsidRDefault="00060E34">
            <w:pPr>
              <w:tabs>
                <w:tab w:val="clear" w:pos="567"/>
              </w:tabs>
              <w:kinsoku w:val="0"/>
              <w:overflowPunct w:val="0"/>
              <w:autoSpaceDE w:val="0"/>
              <w:autoSpaceDN w:val="0"/>
              <w:adjustRightInd w:val="0"/>
              <w:spacing w:line="240" w:lineRule="auto"/>
              <w:ind w:left="113"/>
              <w:jc w:val="center"/>
            </w:pPr>
            <w:r>
              <w:t>12%</w:t>
            </w:r>
          </w:p>
        </w:tc>
        <w:tc>
          <w:tcPr>
            <w:tcW w:w="829" w:type="pct"/>
            <w:tcBorders>
              <w:top w:val="single" w:sz="4" w:space="0" w:color="000000"/>
              <w:left w:val="single" w:sz="4" w:space="0" w:color="000000"/>
              <w:bottom w:val="single" w:sz="4" w:space="0" w:color="000000"/>
              <w:right w:val="single" w:sz="4" w:space="0" w:color="000000"/>
            </w:tcBorders>
          </w:tcPr>
          <w:p w14:paraId="1E77CBA9" w14:textId="77777777" w:rsidR="00C04CAD" w:rsidRDefault="00060E34">
            <w:pPr>
              <w:tabs>
                <w:tab w:val="clear" w:pos="567"/>
              </w:tabs>
              <w:kinsoku w:val="0"/>
              <w:overflowPunct w:val="0"/>
              <w:autoSpaceDE w:val="0"/>
              <w:autoSpaceDN w:val="0"/>
              <w:adjustRightInd w:val="0"/>
              <w:spacing w:line="240" w:lineRule="auto"/>
              <w:ind w:left="113"/>
              <w:jc w:val="center"/>
            </w:pPr>
            <w:r>
              <w:t>24%</w:t>
            </w:r>
          </w:p>
        </w:tc>
        <w:tc>
          <w:tcPr>
            <w:tcW w:w="827" w:type="pct"/>
            <w:tcBorders>
              <w:top w:val="single" w:sz="4" w:space="0" w:color="000000"/>
              <w:left w:val="single" w:sz="4" w:space="0" w:color="000000"/>
              <w:bottom w:val="single" w:sz="4" w:space="0" w:color="000000"/>
              <w:right w:val="single" w:sz="4" w:space="0" w:color="000000"/>
            </w:tcBorders>
          </w:tcPr>
          <w:p w14:paraId="74CCDA2C" w14:textId="77777777" w:rsidR="00C04CAD" w:rsidRDefault="00060E34">
            <w:pPr>
              <w:tabs>
                <w:tab w:val="clear" w:pos="567"/>
              </w:tabs>
              <w:kinsoku w:val="0"/>
              <w:overflowPunct w:val="0"/>
              <w:autoSpaceDE w:val="0"/>
              <w:autoSpaceDN w:val="0"/>
              <w:adjustRightInd w:val="0"/>
              <w:spacing w:line="240" w:lineRule="auto"/>
              <w:ind w:left="113"/>
              <w:jc w:val="center"/>
            </w:pPr>
            <w:r>
              <w:t>36%*</w:t>
            </w:r>
          </w:p>
        </w:tc>
        <w:tc>
          <w:tcPr>
            <w:tcW w:w="566" w:type="pct"/>
            <w:tcBorders>
              <w:top w:val="single" w:sz="4" w:space="0" w:color="000000"/>
              <w:left w:val="single" w:sz="4" w:space="0" w:color="000000"/>
              <w:bottom w:val="single" w:sz="4" w:space="0" w:color="000000"/>
              <w:right w:val="single" w:sz="4" w:space="0" w:color="000000"/>
            </w:tcBorders>
          </w:tcPr>
          <w:p w14:paraId="71DACAA2" w14:textId="77777777" w:rsidR="00C04CAD" w:rsidRDefault="00060E34">
            <w:pPr>
              <w:tabs>
                <w:tab w:val="clear" w:pos="567"/>
              </w:tabs>
              <w:kinsoku w:val="0"/>
              <w:overflowPunct w:val="0"/>
              <w:autoSpaceDE w:val="0"/>
              <w:autoSpaceDN w:val="0"/>
              <w:adjustRightInd w:val="0"/>
              <w:spacing w:line="240" w:lineRule="auto"/>
              <w:ind w:left="113"/>
              <w:jc w:val="center"/>
            </w:pPr>
            <w:r>
              <w:t>7%</w:t>
            </w:r>
          </w:p>
        </w:tc>
        <w:tc>
          <w:tcPr>
            <w:tcW w:w="812" w:type="pct"/>
            <w:tcBorders>
              <w:top w:val="single" w:sz="4" w:space="0" w:color="000000"/>
              <w:left w:val="single" w:sz="4" w:space="0" w:color="000000"/>
              <w:bottom w:val="single" w:sz="4" w:space="0" w:color="000000"/>
              <w:right w:val="single" w:sz="4" w:space="0" w:color="000000"/>
            </w:tcBorders>
          </w:tcPr>
          <w:p w14:paraId="719CA468" w14:textId="77777777" w:rsidR="00C04CAD" w:rsidRDefault="00060E34">
            <w:pPr>
              <w:tabs>
                <w:tab w:val="clear" w:pos="567"/>
              </w:tabs>
              <w:kinsoku w:val="0"/>
              <w:overflowPunct w:val="0"/>
              <w:autoSpaceDE w:val="0"/>
              <w:autoSpaceDN w:val="0"/>
              <w:adjustRightInd w:val="0"/>
              <w:spacing w:line="240" w:lineRule="auto"/>
              <w:ind w:left="113"/>
              <w:jc w:val="center"/>
            </w:pPr>
            <w:r>
              <w:t>21%*</w:t>
            </w:r>
          </w:p>
        </w:tc>
      </w:tr>
      <w:tr w:rsidR="00C04CAD" w14:paraId="67B7ABD7" w14:textId="77777777">
        <w:trPr>
          <w:trHeight w:hRule="exact" w:val="264"/>
        </w:trPr>
        <w:tc>
          <w:tcPr>
            <w:tcW w:w="1442" w:type="pct"/>
            <w:tcBorders>
              <w:top w:val="single" w:sz="4" w:space="0" w:color="000000"/>
              <w:left w:val="single" w:sz="4" w:space="0" w:color="000000"/>
              <w:bottom w:val="single" w:sz="4" w:space="0" w:color="000000"/>
              <w:right w:val="single" w:sz="4" w:space="0" w:color="000000"/>
            </w:tcBorders>
          </w:tcPr>
          <w:p w14:paraId="650BD997" w14:textId="77777777" w:rsidR="00C04CAD" w:rsidRDefault="00060E34">
            <w:pPr>
              <w:tabs>
                <w:tab w:val="clear" w:pos="567"/>
              </w:tabs>
              <w:kinsoku w:val="0"/>
              <w:overflowPunct w:val="0"/>
              <w:autoSpaceDE w:val="0"/>
              <w:autoSpaceDN w:val="0"/>
              <w:adjustRightInd w:val="0"/>
              <w:spacing w:line="240" w:lineRule="auto"/>
              <w:ind w:left="113"/>
            </w:pPr>
            <w:r>
              <w:rPr>
                <w:spacing w:val="-1"/>
              </w:rPr>
              <w:t>R</w:t>
            </w:r>
            <w:r>
              <w:t>ăs</w:t>
            </w:r>
            <w:r>
              <w:rPr>
                <w:spacing w:val="-1"/>
              </w:rPr>
              <w:t>pun</w:t>
            </w:r>
            <w:r>
              <w:t xml:space="preserve">s </w:t>
            </w:r>
            <w:r>
              <w:rPr>
                <w:spacing w:val="-3"/>
              </w:rPr>
              <w:t>c</w:t>
            </w:r>
            <w:r>
              <w:rPr>
                <w:spacing w:val="1"/>
              </w:rPr>
              <w:t>li</w:t>
            </w:r>
            <w:r>
              <w:rPr>
                <w:spacing w:val="-3"/>
              </w:rPr>
              <w:t>n</w:t>
            </w:r>
            <w:r>
              <w:rPr>
                <w:spacing w:val="1"/>
              </w:rPr>
              <w:t>i</w:t>
            </w:r>
            <w:r>
              <w:t>c</w:t>
            </w:r>
            <w:r>
              <w:rPr>
                <w:spacing w:val="-2"/>
              </w:rPr>
              <w:t xml:space="preserve"> </w:t>
            </w:r>
            <w:r>
              <w:t>(</w:t>
            </w:r>
            <w:r>
              <w:rPr>
                <w:spacing w:val="-1"/>
              </w:rPr>
              <w:t>CR</w:t>
            </w:r>
            <w:r>
              <w:t>-10</w:t>
            </w:r>
            <w:r>
              <w:rPr>
                <w:spacing w:val="-3"/>
              </w:rPr>
              <w:t>0</w:t>
            </w:r>
            <w:r>
              <w:t>)</w:t>
            </w:r>
          </w:p>
        </w:tc>
        <w:tc>
          <w:tcPr>
            <w:tcW w:w="524" w:type="pct"/>
            <w:tcBorders>
              <w:top w:val="single" w:sz="4" w:space="0" w:color="000000"/>
              <w:left w:val="single" w:sz="4" w:space="0" w:color="000000"/>
              <w:bottom w:val="single" w:sz="4" w:space="0" w:color="000000"/>
              <w:right w:val="single" w:sz="4" w:space="0" w:color="000000"/>
            </w:tcBorders>
          </w:tcPr>
          <w:p w14:paraId="12A75611" w14:textId="77777777" w:rsidR="00C04CAD" w:rsidRDefault="00060E34">
            <w:pPr>
              <w:tabs>
                <w:tab w:val="clear" w:pos="567"/>
              </w:tabs>
              <w:kinsoku w:val="0"/>
              <w:overflowPunct w:val="0"/>
              <w:autoSpaceDE w:val="0"/>
              <w:autoSpaceDN w:val="0"/>
              <w:adjustRightInd w:val="0"/>
              <w:spacing w:line="240" w:lineRule="auto"/>
              <w:ind w:left="113"/>
              <w:jc w:val="center"/>
            </w:pPr>
            <w:r>
              <w:t>24%</w:t>
            </w:r>
          </w:p>
        </w:tc>
        <w:tc>
          <w:tcPr>
            <w:tcW w:w="829" w:type="pct"/>
            <w:tcBorders>
              <w:top w:val="single" w:sz="4" w:space="0" w:color="000000"/>
              <w:left w:val="single" w:sz="4" w:space="0" w:color="000000"/>
              <w:bottom w:val="single" w:sz="4" w:space="0" w:color="000000"/>
              <w:right w:val="single" w:sz="4" w:space="0" w:color="000000"/>
            </w:tcBorders>
          </w:tcPr>
          <w:p w14:paraId="389D8658" w14:textId="77777777" w:rsidR="00C04CAD" w:rsidRDefault="00060E34">
            <w:pPr>
              <w:tabs>
                <w:tab w:val="clear" w:pos="567"/>
              </w:tabs>
              <w:kinsoku w:val="0"/>
              <w:overflowPunct w:val="0"/>
              <w:autoSpaceDE w:val="0"/>
              <w:autoSpaceDN w:val="0"/>
              <w:adjustRightInd w:val="0"/>
              <w:spacing w:line="240" w:lineRule="auto"/>
              <w:ind w:left="113"/>
              <w:jc w:val="center"/>
            </w:pPr>
            <w:r>
              <w:t>37%</w:t>
            </w:r>
          </w:p>
        </w:tc>
        <w:tc>
          <w:tcPr>
            <w:tcW w:w="827" w:type="pct"/>
            <w:tcBorders>
              <w:top w:val="single" w:sz="4" w:space="0" w:color="000000"/>
              <w:left w:val="single" w:sz="4" w:space="0" w:color="000000"/>
              <w:bottom w:val="single" w:sz="4" w:space="0" w:color="000000"/>
              <w:right w:val="single" w:sz="4" w:space="0" w:color="000000"/>
            </w:tcBorders>
          </w:tcPr>
          <w:p w14:paraId="0E37B257" w14:textId="77777777" w:rsidR="00C04CAD" w:rsidRDefault="00060E34">
            <w:pPr>
              <w:tabs>
                <w:tab w:val="clear" w:pos="567"/>
              </w:tabs>
              <w:kinsoku w:val="0"/>
              <w:overflowPunct w:val="0"/>
              <w:autoSpaceDE w:val="0"/>
              <w:autoSpaceDN w:val="0"/>
              <w:adjustRightInd w:val="0"/>
              <w:spacing w:line="240" w:lineRule="auto"/>
              <w:ind w:left="113"/>
              <w:jc w:val="center"/>
            </w:pPr>
            <w:r>
              <w:t>49%**</w:t>
            </w:r>
          </w:p>
        </w:tc>
        <w:tc>
          <w:tcPr>
            <w:tcW w:w="566" w:type="pct"/>
            <w:tcBorders>
              <w:top w:val="single" w:sz="4" w:space="0" w:color="000000"/>
              <w:left w:val="single" w:sz="4" w:space="0" w:color="000000"/>
              <w:bottom w:val="single" w:sz="4" w:space="0" w:color="000000"/>
              <w:right w:val="single" w:sz="4" w:space="0" w:color="000000"/>
            </w:tcBorders>
          </w:tcPr>
          <w:p w14:paraId="09C17B51" w14:textId="77777777" w:rsidR="00C04CAD" w:rsidRDefault="00060E34">
            <w:pPr>
              <w:tabs>
                <w:tab w:val="clear" w:pos="567"/>
              </w:tabs>
              <w:kinsoku w:val="0"/>
              <w:overflowPunct w:val="0"/>
              <w:autoSpaceDE w:val="0"/>
              <w:autoSpaceDN w:val="0"/>
              <w:adjustRightInd w:val="0"/>
              <w:spacing w:line="240" w:lineRule="auto"/>
              <w:ind w:left="113"/>
              <w:jc w:val="center"/>
            </w:pPr>
            <w:r>
              <w:t>25%</w:t>
            </w:r>
          </w:p>
        </w:tc>
        <w:tc>
          <w:tcPr>
            <w:tcW w:w="812" w:type="pct"/>
            <w:tcBorders>
              <w:top w:val="single" w:sz="4" w:space="0" w:color="000000"/>
              <w:left w:val="single" w:sz="4" w:space="0" w:color="000000"/>
              <w:bottom w:val="single" w:sz="4" w:space="0" w:color="000000"/>
              <w:right w:val="single" w:sz="4" w:space="0" w:color="000000"/>
            </w:tcBorders>
          </w:tcPr>
          <w:p w14:paraId="5EA47F62" w14:textId="77777777" w:rsidR="00C04CAD" w:rsidRDefault="00060E34">
            <w:pPr>
              <w:tabs>
                <w:tab w:val="clear" w:pos="567"/>
              </w:tabs>
              <w:kinsoku w:val="0"/>
              <w:overflowPunct w:val="0"/>
              <w:autoSpaceDE w:val="0"/>
              <w:autoSpaceDN w:val="0"/>
              <w:adjustRightInd w:val="0"/>
              <w:spacing w:line="240" w:lineRule="auto"/>
              <w:ind w:left="113"/>
              <w:jc w:val="center"/>
            </w:pPr>
            <w:r>
              <w:t>38%**</w:t>
            </w:r>
          </w:p>
        </w:tc>
      </w:tr>
    </w:tbl>
    <w:p w14:paraId="0C483DC3" w14:textId="77777777" w:rsidR="00C04CAD" w:rsidRDefault="00060E34">
      <w:pPr>
        <w:tabs>
          <w:tab w:val="clear" w:pos="567"/>
        </w:tabs>
        <w:kinsoku w:val="0"/>
        <w:overflowPunct w:val="0"/>
        <w:autoSpaceDE w:val="0"/>
        <w:autoSpaceDN w:val="0"/>
        <w:adjustRightInd w:val="0"/>
        <w:spacing w:line="240" w:lineRule="auto"/>
        <w:rPr>
          <w:sz w:val="20"/>
        </w:rPr>
      </w:pPr>
      <w:r>
        <w:rPr>
          <w:spacing w:val="1"/>
          <w:sz w:val="20"/>
        </w:rPr>
        <w:t>T</w:t>
      </w:r>
      <w:r>
        <w:rPr>
          <w:sz w:val="20"/>
        </w:rPr>
        <w:t>o</w:t>
      </w:r>
      <w:r>
        <w:rPr>
          <w:spacing w:val="-3"/>
          <w:sz w:val="20"/>
        </w:rPr>
        <w:t>a</w:t>
      </w:r>
      <w:r>
        <w:rPr>
          <w:spacing w:val="1"/>
          <w:sz w:val="20"/>
        </w:rPr>
        <w:t>t</w:t>
      </w:r>
      <w:r>
        <w:rPr>
          <w:sz w:val="20"/>
        </w:rPr>
        <w:t xml:space="preserve">e </w:t>
      </w:r>
      <w:r>
        <w:rPr>
          <w:spacing w:val="-3"/>
          <w:sz w:val="20"/>
        </w:rPr>
        <w:t>v</w:t>
      </w:r>
      <w:r>
        <w:rPr>
          <w:sz w:val="20"/>
        </w:rPr>
        <w:t>a</w:t>
      </w:r>
      <w:r>
        <w:rPr>
          <w:spacing w:val="-2"/>
          <w:sz w:val="20"/>
        </w:rPr>
        <w:t>l</w:t>
      </w:r>
      <w:r>
        <w:rPr>
          <w:sz w:val="20"/>
        </w:rPr>
        <w:t>o</w:t>
      </w:r>
      <w:r>
        <w:rPr>
          <w:spacing w:val="-2"/>
          <w:sz w:val="20"/>
        </w:rPr>
        <w:t>r</w:t>
      </w:r>
      <w:r>
        <w:rPr>
          <w:spacing w:val="1"/>
          <w:sz w:val="20"/>
        </w:rPr>
        <w:t>il</w:t>
      </w:r>
      <w:r>
        <w:rPr>
          <w:sz w:val="20"/>
        </w:rPr>
        <w:t>e</w:t>
      </w:r>
      <w:r>
        <w:rPr>
          <w:spacing w:val="-2"/>
          <w:sz w:val="20"/>
        </w:rPr>
        <w:t xml:space="preserve"> </w:t>
      </w:r>
      <w:r>
        <w:rPr>
          <w:sz w:val="20"/>
        </w:rPr>
        <w:t>p su</w:t>
      </w:r>
      <w:r>
        <w:rPr>
          <w:spacing w:val="-3"/>
          <w:sz w:val="20"/>
        </w:rPr>
        <w:t>n</w:t>
      </w:r>
      <w:r>
        <w:rPr>
          <w:sz w:val="20"/>
        </w:rPr>
        <w:t>t</w:t>
      </w:r>
      <w:r>
        <w:rPr>
          <w:spacing w:val="1"/>
          <w:sz w:val="20"/>
        </w:rPr>
        <w:t xml:space="preserve"> </w:t>
      </w:r>
      <w:r>
        <w:rPr>
          <w:sz w:val="20"/>
        </w:rPr>
        <w:t>co</w:t>
      </w:r>
      <w:r>
        <w:rPr>
          <w:spacing w:val="-4"/>
          <w:sz w:val="20"/>
        </w:rPr>
        <w:t>m</w:t>
      </w:r>
      <w:r>
        <w:rPr>
          <w:sz w:val="20"/>
        </w:rPr>
        <w:t>p</w:t>
      </w:r>
      <w:r>
        <w:rPr>
          <w:spacing w:val="-3"/>
          <w:sz w:val="20"/>
        </w:rPr>
        <w:t>a</w:t>
      </w:r>
      <w:r>
        <w:rPr>
          <w:sz w:val="20"/>
        </w:rPr>
        <w:t>ra</w:t>
      </w:r>
      <w:r>
        <w:rPr>
          <w:spacing w:val="-2"/>
          <w:sz w:val="20"/>
        </w:rPr>
        <w:t>ţ</w:t>
      </w:r>
      <w:r>
        <w:rPr>
          <w:spacing w:val="1"/>
          <w:sz w:val="20"/>
        </w:rPr>
        <w:t>i</w:t>
      </w:r>
      <w:r>
        <w:rPr>
          <w:sz w:val="20"/>
        </w:rPr>
        <w:t>i</w:t>
      </w:r>
      <w:r>
        <w:rPr>
          <w:spacing w:val="-2"/>
          <w:sz w:val="20"/>
        </w:rPr>
        <w:t xml:space="preserve"> </w:t>
      </w:r>
      <w:r>
        <w:rPr>
          <w:sz w:val="20"/>
        </w:rPr>
        <w:t>pe</w:t>
      </w:r>
      <w:r>
        <w:rPr>
          <w:spacing w:val="-2"/>
          <w:sz w:val="20"/>
        </w:rPr>
        <w:t>r</w:t>
      </w:r>
      <w:r>
        <w:rPr>
          <w:sz w:val="20"/>
        </w:rPr>
        <w:t>eche</w:t>
      </w:r>
      <w:r>
        <w:rPr>
          <w:spacing w:val="-2"/>
          <w:sz w:val="20"/>
        </w:rPr>
        <w:t xml:space="preserve"> </w:t>
      </w:r>
      <w:r>
        <w:rPr>
          <w:sz w:val="20"/>
        </w:rPr>
        <w:t>a</w:t>
      </w:r>
      <w:r>
        <w:rPr>
          <w:spacing w:val="-2"/>
          <w:sz w:val="20"/>
        </w:rPr>
        <w:t>l</w:t>
      </w:r>
      <w:r>
        <w:rPr>
          <w:sz w:val="20"/>
        </w:rPr>
        <w:t xml:space="preserve">e </w:t>
      </w:r>
      <w:r>
        <w:rPr>
          <w:spacing w:val="-2"/>
          <w:sz w:val="20"/>
        </w:rPr>
        <w:t>r</w:t>
      </w:r>
      <w:r>
        <w:rPr>
          <w:sz w:val="20"/>
        </w:rPr>
        <w:t>apo</w:t>
      </w:r>
      <w:r>
        <w:rPr>
          <w:spacing w:val="-3"/>
          <w:sz w:val="20"/>
        </w:rPr>
        <w:t>a</w:t>
      </w:r>
      <w:r>
        <w:rPr>
          <w:sz w:val="20"/>
        </w:rPr>
        <w:t>r</w:t>
      </w:r>
      <w:r>
        <w:rPr>
          <w:spacing w:val="-2"/>
          <w:sz w:val="20"/>
        </w:rPr>
        <w:t>t</w:t>
      </w:r>
      <w:r>
        <w:rPr>
          <w:sz w:val="20"/>
        </w:rPr>
        <w:t>e</w:t>
      </w:r>
      <w:r>
        <w:rPr>
          <w:spacing w:val="1"/>
          <w:sz w:val="20"/>
        </w:rPr>
        <w:t>l</w:t>
      </w:r>
      <w:r>
        <w:rPr>
          <w:spacing w:val="-3"/>
          <w:sz w:val="20"/>
        </w:rPr>
        <w:t>o</w:t>
      </w:r>
      <w:r>
        <w:rPr>
          <w:sz w:val="20"/>
        </w:rPr>
        <w:t>r</w:t>
      </w:r>
      <w:r>
        <w:rPr>
          <w:spacing w:val="-2"/>
          <w:sz w:val="20"/>
        </w:rPr>
        <w:t xml:space="preserve"> </w:t>
      </w:r>
      <w:r>
        <w:rPr>
          <w:rFonts w:eastAsia="MS Mincho"/>
          <w:spacing w:val="-1"/>
          <w:sz w:val="20"/>
          <w:lang w:eastAsia="en-US" w:bidi="ar-SA"/>
        </w:rPr>
        <w:t>adalimumab</w:t>
      </w:r>
      <w:r>
        <w:rPr>
          <w:sz w:val="20"/>
        </w:rPr>
        <w:t xml:space="preserve"> </w:t>
      </w:r>
      <w:r>
        <w:rPr>
          <w:i/>
          <w:sz w:val="20"/>
        </w:rPr>
        <w:t>ver</w:t>
      </w:r>
      <w:r>
        <w:rPr>
          <w:i/>
          <w:spacing w:val="-2"/>
          <w:sz w:val="20"/>
        </w:rPr>
        <w:t>s</w:t>
      </w:r>
      <w:r>
        <w:rPr>
          <w:i/>
          <w:sz w:val="20"/>
        </w:rPr>
        <w:t xml:space="preserve">us </w:t>
      </w:r>
      <w:r>
        <w:rPr>
          <w:spacing w:val="-3"/>
          <w:sz w:val="20"/>
        </w:rPr>
        <w:t>p</w:t>
      </w:r>
      <w:r>
        <w:rPr>
          <w:spacing w:val="1"/>
          <w:sz w:val="20"/>
        </w:rPr>
        <w:t>l</w:t>
      </w:r>
      <w:r>
        <w:rPr>
          <w:sz w:val="20"/>
        </w:rPr>
        <w:t>a</w:t>
      </w:r>
      <w:r>
        <w:rPr>
          <w:spacing w:val="-3"/>
          <w:sz w:val="20"/>
        </w:rPr>
        <w:t>c</w:t>
      </w:r>
      <w:r>
        <w:rPr>
          <w:sz w:val="20"/>
        </w:rPr>
        <w:t>ebo</w:t>
      </w:r>
    </w:p>
    <w:p w14:paraId="4A760F79" w14:textId="77777777" w:rsidR="00C04CAD" w:rsidRDefault="00060E34">
      <w:pPr>
        <w:kinsoku w:val="0"/>
        <w:overflowPunct w:val="0"/>
        <w:autoSpaceDE w:val="0"/>
        <w:autoSpaceDN w:val="0"/>
        <w:adjustRightInd w:val="0"/>
        <w:spacing w:line="240" w:lineRule="auto"/>
        <w:ind w:left="284" w:hanging="284"/>
        <w:rPr>
          <w:sz w:val="20"/>
        </w:rPr>
      </w:pPr>
      <w:r>
        <w:rPr>
          <w:sz w:val="20"/>
        </w:rPr>
        <w:t>*</w:t>
      </w:r>
      <w:r>
        <w:rPr>
          <w:sz w:val="20"/>
        </w:rPr>
        <w:tab/>
        <w:t>p&lt;0,</w:t>
      </w:r>
      <w:r>
        <w:rPr>
          <w:spacing w:val="-3"/>
          <w:sz w:val="20"/>
        </w:rPr>
        <w:t>0</w:t>
      </w:r>
      <w:r>
        <w:rPr>
          <w:sz w:val="20"/>
        </w:rPr>
        <w:t>01</w:t>
      </w:r>
    </w:p>
    <w:p w14:paraId="2E3C6030" w14:textId="77777777" w:rsidR="00C04CAD" w:rsidRDefault="00060E34">
      <w:pPr>
        <w:kinsoku w:val="0"/>
        <w:overflowPunct w:val="0"/>
        <w:autoSpaceDE w:val="0"/>
        <w:autoSpaceDN w:val="0"/>
        <w:adjustRightInd w:val="0"/>
        <w:spacing w:line="240" w:lineRule="auto"/>
        <w:ind w:left="284" w:hanging="284"/>
        <w:rPr>
          <w:rFonts w:eastAsia="MS Mincho"/>
          <w:sz w:val="20"/>
          <w:lang w:eastAsia="en-US" w:bidi="ar-SA"/>
        </w:rPr>
      </w:pPr>
      <w:r>
        <w:rPr>
          <w:sz w:val="20"/>
        </w:rPr>
        <w:t>**</w:t>
      </w:r>
      <w:r>
        <w:rPr>
          <w:sz w:val="20"/>
        </w:rPr>
        <w:tab/>
        <w:t>p&lt;0,01</w:t>
      </w:r>
    </w:p>
    <w:p w14:paraId="5D42D300" w14:textId="77777777" w:rsidR="00C04CAD" w:rsidRDefault="00C04CAD">
      <w:pPr>
        <w:autoSpaceDE w:val="0"/>
        <w:autoSpaceDN w:val="0"/>
        <w:adjustRightInd w:val="0"/>
        <w:spacing w:line="240" w:lineRule="auto"/>
      </w:pPr>
    </w:p>
    <w:p w14:paraId="67A57E5D" w14:textId="77777777" w:rsidR="00C04CAD" w:rsidRDefault="00060E34">
      <w:pPr>
        <w:tabs>
          <w:tab w:val="clear" w:pos="567"/>
        </w:tabs>
        <w:kinsoku w:val="0"/>
        <w:overflowPunct w:val="0"/>
        <w:autoSpaceDE w:val="0"/>
        <w:autoSpaceDN w:val="0"/>
        <w:adjustRightInd w:val="0"/>
        <w:spacing w:line="240" w:lineRule="auto"/>
      </w:pPr>
      <w:r>
        <w:rPr>
          <w:spacing w:val="-1"/>
        </w:rPr>
        <w:t>R</w:t>
      </w:r>
      <w:r>
        <w:t>a</w:t>
      </w:r>
      <w:r>
        <w:rPr>
          <w:spacing w:val="1"/>
        </w:rPr>
        <w:t>t</w:t>
      </w:r>
      <w:r>
        <w:t xml:space="preserve">e </w:t>
      </w:r>
      <w:r>
        <w:rPr>
          <w:spacing w:val="-3"/>
        </w:rPr>
        <w:t>d</w:t>
      </w:r>
      <w:r>
        <w:t>e re</w:t>
      </w:r>
      <w:r>
        <w:rPr>
          <w:spacing w:val="-4"/>
        </w:rPr>
        <w:t>m</w:t>
      </w:r>
      <w:r>
        <w:rPr>
          <w:spacing w:val="1"/>
        </w:rPr>
        <w:t>i</w:t>
      </w:r>
      <w:r>
        <w:rPr>
          <w:spacing w:val="-2"/>
        </w:rPr>
        <w:t>s</w:t>
      </w:r>
      <w:r>
        <w:rPr>
          <w:spacing w:val="1"/>
        </w:rPr>
        <w:t>i</w:t>
      </w:r>
      <w:r>
        <w:t xml:space="preserve">e </w:t>
      </w:r>
      <w:r>
        <w:rPr>
          <w:spacing w:val="-3"/>
        </w:rPr>
        <w:t>a</w:t>
      </w:r>
      <w:r>
        <w:t>se</w:t>
      </w:r>
      <w:r>
        <w:rPr>
          <w:spacing w:val="-4"/>
        </w:rPr>
        <w:t>m</w:t>
      </w:r>
      <w:r>
        <w:t>ănă</w:t>
      </w:r>
      <w:r>
        <w:rPr>
          <w:spacing w:val="1"/>
        </w:rPr>
        <w:t>t</w:t>
      </w:r>
      <w:r>
        <w:t>o</w:t>
      </w:r>
      <w:r>
        <w:rPr>
          <w:spacing w:val="-3"/>
        </w:rPr>
        <w:t>a</w:t>
      </w:r>
      <w:r>
        <w:t>re s</w:t>
      </w:r>
      <w:r>
        <w:rPr>
          <w:spacing w:val="-5"/>
        </w:rPr>
        <w:t>-</w:t>
      </w:r>
      <w:r>
        <w:t>au obs</w:t>
      </w:r>
      <w:r>
        <w:rPr>
          <w:spacing w:val="-3"/>
        </w:rPr>
        <w:t>e</w:t>
      </w:r>
      <w:r>
        <w:t>r</w:t>
      </w:r>
      <w:r>
        <w:rPr>
          <w:spacing w:val="-3"/>
        </w:rPr>
        <w:t>v</w:t>
      </w:r>
      <w:r>
        <w:t>at</w:t>
      </w:r>
      <w:r>
        <w:rPr>
          <w:spacing w:val="1"/>
        </w:rPr>
        <w:t xml:space="preserve"> î</w:t>
      </w:r>
      <w:r>
        <w:t>n</w:t>
      </w:r>
      <w:r>
        <w:rPr>
          <w:spacing w:val="-3"/>
        </w:rPr>
        <w:t xml:space="preserve"> </w:t>
      </w:r>
      <w:r>
        <w:t>să</w:t>
      </w:r>
      <w:r>
        <w:rPr>
          <w:spacing w:val="-3"/>
        </w:rPr>
        <w:t>p</w:t>
      </w:r>
      <w:r>
        <w:rPr>
          <w:spacing w:val="1"/>
        </w:rPr>
        <w:t>t</w:t>
      </w:r>
      <w:r>
        <w:t>ă</w:t>
      </w:r>
      <w:r>
        <w:rPr>
          <w:spacing w:val="-4"/>
        </w:rPr>
        <w:t>m</w:t>
      </w:r>
      <w:r>
        <w:t xml:space="preserve">âna 8 </w:t>
      </w:r>
      <w:r>
        <w:rPr>
          <w:spacing w:val="-2"/>
        </w:rPr>
        <w:t>l</w:t>
      </w:r>
      <w:r>
        <w:t xml:space="preserve">a </w:t>
      </w:r>
      <w:r>
        <w:rPr>
          <w:spacing w:val="-2"/>
        </w:rPr>
        <w:t>t</w:t>
      </w:r>
      <w:r>
        <w:t>r</w:t>
      </w:r>
      <w:r>
        <w:rPr>
          <w:spacing w:val="-3"/>
        </w:rPr>
        <w:t>a</w:t>
      </w:r>
      <w:r>
        <w:rPr>
          <w:spacing w:val="1"/>
        </w:rPr>
        <w:t>t</w:t>
      </w:r>
      <w:r>
        <w:t>a</w:t>
      </w:r>
      <w:r>
        <w:rPr>
          <w:spacing w:val="-4"/>
        </w:rPr>
        <w:t>m</w:t>
      </w:r>
      <w:r>
        <w:t>en</w:t>
      </w:r>
      <w:r>
        <w:rPr>
          <w:spacing w:val="1"/>
        </w:rPr>
        <w:t>t</w:t>
      </w:r>
      <w:r>
        <w:t>e</w:t>
      </w:r>
      <w:r>
        <w:rPr>
          <w:spacing w:val="-2"/>
        </w:rPr>
        <w:t>l</w:t>
      </w:r>
      <w:r>
        <w:t>e de</w:t>
      </w:r>
      <w:r>
        <w:rPr>
          <w:spacing w:val="-2"/>
        </w:rPr>
        <w:t xml:space="preserve"> </w:t>
      </w:r>
      <w:r>
        <w:rPr>
          <w:spacing w:val="1"/>
        </w:rPr>
        <w:t>i</w:t>
      </w:r>
      <w:r>
        <w:rPr>
          <w:spacing w:val="-3"/>
        </w:rPr>
        <w:t>n</w:t>
      </w:r>
      <w:r>
        <w:rPr>
          <w:spacing w:val="1"/>
        </w:rPr>
        <w:t>i</w:t>
      </w:r>
      <w:r>
        <w:rPr>
          <w:spacing w:val="-2"/>
        </w:rPr>
        <w:t>ţi</w:t>
      </w:r>
      <w:r>
        <w:t xml:space="preserve">ere </w:t>
      </w:r>
      <w:r>
        <w:rPr>
          <w:spacing w:val="-3"/>
        </w:rPr>
        <w:t>c</w:t>
      </w:r>
      <w:r>
        <w:t>u 16</w:t>
      </w:r>
      <w:r>
        <w:rPr>
          <w:spacing w:val="-3"/>
        </w:rPr>
        <w:t>0</w:t>
      </w:r>
      <w:r>
        <w:rPr>
          <w:spacing w:val="1"/>
        </w:rPr>
        <w:t>/</w:t>
      </w:r>
      <w:r>
        <w:t>80 </w:t>
      </w:r>
      <w:r>
        <w:rPr>
          <w:spacing w:val="-4"/>
        </w:rPr>
        <w:t>m</w:t>
      </w:r>
      <w:r>
        <w:t>g</w:t>
      </w:r>
      <w:r>
        <w:rPr>
          <w:spacing w:val="-3"/>
        </w:rPr>
        <w:t xml:space="preserve"> </w:t>
      </w:r>
      <w:r>
        <w:t>şi 80</w:t>
      </w:r>
      <w:r>
        <w:rPr>
          <w:spacing w:val="1"/>
        </w:rPr>
        <w:t>/</w:t>
      </w:r>
      <w:r>
        <w:t>40 </w:t>
      </w:r>
      <w:r>
        <w:rPr>
          <w:spacing w:val="-4"/>
        </w:rPr>
        <w:t>m</w:t>
      </w:r>
      <w:r>
        <w:rPr>
          <w:spacing w:val="-3"/>
        </w:rPr>
        <w:t>g</w:t>
      </w:r>
      <w:r>
        <w:t xml:space="preserve">, </w:t>
      </w:r>
      <w:r>
        <w:rPr>
          <w:spacing w:val="1"/>
        </w:rPr>
        <w:t>i</w:t>
      </w:r>
      <w:r>
        <w:t>ar</w:t>
      </w:r>
      <w:r>
        <w:rPr>
          <w:spacing w:val="1"/>
        </w:rPr>
        <w:t xml:space="preserve"> î</w:t>
      </w:r>
      <w:r>
        <w:t xml:space="preserve">n </w:t>
      </w:r>
      <w:r>
        <w:rPr>
          <w:spacing w:val="-3"/>
        </w:rPr>
        <w:t>g</w:t>
      </w:r>
      <w:r>
        <w:t>ru</w:t>
      </w:r>
      <w:r>
        <w:rPr>
          <w:spacing w:val="-3"/>
        </w:rPr>
        <w:t>p</w:t>
      </w:r>
      <w:r>
        <w:t>ul</w:t>
      </w:r>
      <w:r>
        <w:rPr>
          <w:spacing w:val="1"/>
        </w:rPr>
        <w:t xml:space="preserve"> </w:t>
      </w:r>
      <w:r>
        <w:rPr>
          <w:spacing w:val="-3"/>
        </w:rPr>
        <w:t>1</w:t>
      </w:r>
      <w:r>
        <w:t>6</w:t>
      </w:r>
      <w:r>
        <w:rPr>
          <w:spacing w:val="-3"/>
        </w:rPr>
        <w:t>0</w:t>
      </w:r>
      <w:r>
        <w:rPr>
          <w:spacing w:val="1"/>
        </w:rPr>
        <w:t>/</w:t>
      </w:r>
      <w:r>
        <w:t>80 </w:t>
      </w:r>
      <w:r>
        <w:rPr>
          <w:spacing w:val="-4"/>
        </w:rPr>
        <w:t>m</w:t>
      </w:r>
      <w:r>
        <w:t>g</w:t>
      </w:r>
      <w:r>
        <w:rPr>
          <w:spacing w:val="-3"/>
        </w:rPr>
        <w:t xml:space="preserve"> </w:t>
      </w:r>
      <w:r>
        <w:t>au fost</w:t>
      </w:r>
      <w:r>
        <w:rPr>
          <w:spacing w:val="1"/>
        </w:rPr>
        <w:t xml:space="preserve"> </w:t>
      </w:r>
      <w:r>
        <w:t>n</w:t>
      </w:r>
      <w:r>
        <w:rPr>
          <w:spacing w:val="-3"/>
        </w:rPr>
        <w:t>o</w:t>
      </w:r>
      <w:r>
        <w:rPr>
          <w:spacing w:val="1"/>
        </w:rPr>
        <w:t>t</w:t>
      </w:r>
      <w:r>
        <w:rPr>
          <w:spacing w:val="-3"/>
        </w:rPr>
        <w:t>a</w:t>
      </w:r>
      <w:r>
        <w:rPr>
          <w:spacing w:val="1"/>
        </w:rPr>
        <w:t>t</w:t>
      </w:r>
      <w:r>
        <w:t xml:space="preserve">e </w:t>
      </w:r>
      <w:r>
        <w:rPr>
          <w:spacing w:val="-4"/>
        </w:rPr>
        <w:t>m</w:t>
      </w:r>
      <w:r>
        <w:t>ai</w:t>
      </w:r>
      <w:r>
        <w:rPr>
          <w:spacing w:val="1"/>
        </w:rPr>
        <w:t xml:space="preserve"> </w:t>
      </w:r>
      <w:r>
        <w:rPr>
          <w:spacing w:val="-2"/>
        </w:rPr>
        <w:t>fr</w:t>
      </w:r>
      <w:r>
        <w:t>ec</w:t>
      </w:r>
      <w:r>
        <w:rPr>
          <w:spacing w:val="-3"/>
        </w:rPr>
        <w:t>v</w:t>
      </w:r>
      <w:r>
        <w:t>ent</w:t>
      </w:r>
      <w:r>
        <w:rPr>
          <w:spacing w:val="1"/>
        </w:rPr>
        <w:t xml:space="preserve"> </w:t>
      </w:r>
      <w:r>
        <w:rPr>
          <w:spacing w:val="-2"/>
        </w:rPr>
        <w:t>r</w:t>
      </w:r>
      <w:r>
        <w:t>ea</w:t>
      </w:r>
      <w:r>
        <w:rPr>
          <w:spacing w:val="-3"/>
        </w:rPr>
        <w:t>c</w:t>
      </w:r>
      <w:r>
        <w:rPr>
          <w:spacing w:val="1"/>
        </w:rPr>
        <w:t>ţ</w:t>
      </w:r>
      <w:r>
        <w:rPr>
          <w:spacing w:val="-2"/>
        </w:rPr>
        <w:t>i</w:t>
      </w:r>
      <w:r>
        <w:t>i</w:t>
      </w:r>
      <w:r>
        <w:rPr>
          <w:spacing w:val="1"/>
        </w:rPr>
        <w:t xml:space="preserve"> </w:t>
      </w:r>
      <w:r>
        <w:t>ad</w:t>
      </w:r>
      <w:r>
        <w:rPr>
          <w:spacing w:val="-3"/>
        </w:rPr>
        <w:t>v</w:t>
      </w:r>
      <w:r>
        <w:t>e</w:t>
      </w:r>
      <w:r>
        <w:rPr>
          <w:spacing w:val="-2"/>
        </w:rPr>
        <w:t>r</w:t>
      </w:r>
      <w:r>
        <w:t>se.</w:t>
      </w:r>
    </w:p>
    <w:p w14:paraId="52EDAE0B" w14:textId="77777777" w:rsidR="00C04CAD" w:rsidRDefault="00C04CAD">
      <w:pPr>
        <w:tabs>
          <w:tab w:val="clear" w:pos="567"/>
        </w:tabs>
        <w:kinsoku w:val="0"/>
        <w:overflowPunct w:val="0"/>
        <w:autoSpaceDE w:val="0"/>
        <w:autoSpaceDN w:val="0"/>
        <w:adjustRightInd w:val="0"/>
        <w:spacing w:line="240" w:lineRule="auto"/>
      </w:pPr>
    </w:p>
    <w:p w14:paraId="033ACA4B"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B</w:t>
      </w:r>
      <w:r>
        <w:t>C</w:t>
      </w:r>
      <w:r>
        <w:rPr>
          <w:spacing w:val="-1"/>
        </w:rPr>
        <w:t xml:space="preserve"> </w:t>
      </w:r>
      <w:r>
        <w:rPr>
          <w:spacing w:val="-2"/>
        </w:rPr>
        <w:t>III</w:t>
      </w:r>
      <w:r>
        <w:t xml:space="preserve">, </w:t>
      </w:r>
      <w:r>
        <w:rPr>
          <w:spacing w:val="1"/>
        </w:rPr>
        <w:t>î</w:t>
      </w:r>
      <w:r>
        <w:t xml:space="preserve">n </w:t>
      </w:r>
      <w:r>
        <w:rPr>
          <w:spacing w:val="-1"/>
        </w:rPr>
        <w:t>S</w:t>
      </w:r>
      <w:r>
        <w:t>ăp</w:t>
      </w:r>
      <w:r>
        <w:rPr>
          <w:spacing w:val="-2"/>
        </w:rPr>
        <w:t>t</w:t>
      </w:r>
      <w:r>
        <w:rPr>
          <w:spacing w:val="-3"/>
        </w:rPr>
        <w:t>ă</w:t>
      </w:r>
      <w:r>
        <w:rPr>
          <w:spacing w:val="-4"/>
        </w:rPr>
        <w:t>m</w:t>
      </w:r>
      <w:r>
        <w:t>âna 4, 58%</w:t>
      </w:r>
      <w:r>
        <w:rPr>
          <w:spacing w:val="1"/>
        </w:rPr>
        <w:t xml:space="preserve"> </w:t>
      </w:r>
      <w:r>
        <w:rPr>
          <w:spacing w:val="-2"/>
        </w:rPr>
        <w:t>(</w:t>
      </w:r>
      <w:r>
        <w:t>499</w:t>
      </w:r>
      <w:r>
        <w:rPr>
          <w:spacing w:val="-2"/>
        </w:rPr>
        <w:t>/</w:t>
      </w:r>
      <w:r>
        <w:t>854)</w:t>
      </w:r>
      <w:r>
        <w:rPr>
          <w:spacing w:val="-2"/>
        </w:rPr>
        <w:t xml:space="preserve"> </w:t>
      </w:r>
      <w:r>
        <w:t>d</w:t>
      </w:r>
      <w:r>
        <w:rPr>
          <w:spacing w:val="1"/>
        </w:rPr>
        <w:t>i</w:t>
      </w:r>
      <w:r>
        <w:t>n</w:t>
      </w:r>
      <w:r>
        <w:rPr>
          <w:spacing w:val="-3"/>
        </w:rPr>
        <w:t xml:space="preserve"> </w:t>
      </w:r>
      <w:r>
        <w:t>pac</w:t>
      </w:r>
      <w:r>
        <w:rPr>
          <w:spacing w:val="-2"/>
        </w:rPr>
        <w:t>i</w:t>
      </w:r>
      <w:r>
        <w:t>en</w:t>
      </w:r>
      <w:r>
        <w:rPr>
          <w:spacing w:val="-2"/>
        </w:rPr>
        <w:t>ţ</w:t>
      </w:r>
      <w:r>
        <w:t>i</w:t>
      </w:r>
      <w:r>
        <w:rPr>
          <w:spacing w:val="1"/>
        </w:rPr>
        <w:t xml:space="preserve"> </w:t>
      </w:r>
      <w:r>
        <w:t>au</w:t>
      </w:r>
      <w:r>
        <w:rPr>
          <w:spacing w:val="-3"/>
        </w:rPr>
        <w:t xml:space="preserve"> </w:t>
      </w:r>
      <w:r>
        <w:t>a</w:t>
      </w:r>
      <w:r>
        <w:rPr>
          <w:spacing w:val="-3"/>
        </w:rPr>
        <w:t>v</w:t>
      </w:r>
      <w:r>
        <w:t>ut</w:t>
      </w:r>
      <w:r>
        <w:rPr>
          <w:spacing w:val="1"/>
        </w:rPr>
        <w:t xml:space="preserve"> </w:t>
      </w:r>
      <w:r>
        <w:rPr>
          <w:spacing w:val="-2"/>
        </w:rPr>
        <w:t>r</w:t>
      </w:r>
      <w:r>
        <w:t>ăspu</w:t>
      </w:r>
      <w:r>
        <w:rPr>
          <w:spacing w:val="-3"/>
        </w:rPr>
        <w:t>n</w:t>
      </w:r>
      <w:r>
        <w:t xml:space="preserve">s </w:t>
      </w:r>
      <w:r>
        <w:rPr>
          <w:spacing w:val="-3"/>
        </w:rPr>
        <w:t>c</w:t>
      </w:r>
      <w:r>
        <w:rPr>
          <w:spacing w:val="1"/>
        </w:rPr>
        <w:t>l</w:t>
      </w:r>
      <w:r>
        <w:rPr>
          <w:spacing w:val="-2"/>
        </w:rPr>
        <w:t>i</w:t>
      </w:r>
      <w:r>
        <w:t>n</w:t>
      </w:r>
      <w:r>
        <w:rPr>
          <w:spacing w:val="1"/>
        </w:rPr>
        <w:t>i</w:t>
      </w:r>
      <w:r>
        <w:t xml:space="preserve">c </w:t>
      </w:r>
      <w:r>
        <w:rPr>
          <w:spacing w:val="-2"/>
        </w:rPr>
        <w:t>ş</w:t>
      </w:r>
      <w:r>
        <w:t>i</w:t>
      </w:r>
      <w:r>
        <w:rPr>
          <w:spacing w:val="1"/>
        </w:rPr>
        <w:t xml:space="preserve"> </w:t>
      </w:r>
      <w:r>
        <w:t>au</w:t>
      </w:r>
      <w:r>
        <w:rPr>
          <w:spacing w:val="-3"/>
        </w:rPr>
        <w:t xml:space="preserve"> </w:t>
      </w:r>
      <w:r>
        <w:t>f</w:t>
      </w:r>
      <w:r>
        <w:rPr>
          <w:spacing w:val="-3"/>
        </w:rPr>
        <w:t>o</w:t>
      </w:r>
      <w:r>
        <w:t>st</w:t>
      </w:r>
      <w:r>
        <w:rPr>
          <w:spacing w:val="1"/>
        </w:rPr>
        <w:t xml:space="preserve"> </w:t>
      </w:r>
      <w:r>
        <w:t>e</w:t>
      </w:r>
      <w:r>
        <w:rPr>
          <w:spacing w:val="-3"/>
        </w:rPr>
        <w:t>v</w:t>
      </w:r>
      <w:r>
        <w:t>a</w:t>
      </w:r>
      <w:r>
        <w:rPr>
          <w:spacing w:val="-2"/>
        </w:rPr>
        <w:t>l</w:t>
      </w:r>
      <w:r>
        <w:t>ua</w:t>
      </w:r>
      <w:r>
        <w:rPr>
          <w:spacing w:val="-2"/>
        </w:rPr>
        <w:t>ţ</w:t>
      </w:r>
      <w:r>
        <w:t xml:space="preserve">i </w:t>
      </w:r>
      <w:r>
        <w:rPr>
          <w:spacing w:val="1"/>
        </w:rPr>
        <w:t>î</w:t>
      </w:r>
      <w:r>
        <w:t>n a</w:t>
      </w:r>
      <w:r>
        <w:rPr>
          <w:spacing w:val="-3"/>
        </w:rPr>
        <w:t>n</w:t>
      </w:r>
      <w:r>
        <w:t>a</w:t>
      </w:r>
      <w:r>
        <w:rPr>
          <w:spacing w:val="-2"/>
        </w:rPr>
        <w:t>l</w:t>
      </w:r>
      <w:r>
        <w:rPr>
          <w:spacing w:val="1"/>
        </w:rPr>
        <w:t>i</w:t>
      </w:r>
      <w:r>
        <w:rPr>
          <w:spacing w:val="-3"/>
        </w:rPr>
        <w:t>z</w:t>
      </w:r>
      <w:r>
        <w:t xml:space="preserve">a </w:t>
      </w:r>
      <w:r>
        <w:rPr>
          <w:spacing w:val="1"/>
        </w:rPr>
        <w:t>i</w:t>
      </w:r>
      <w:r>
        <w:rPr>
          <w:spacing w:val="-3"/>
        </w:rPr>
        <w:t>n</w:t>
      </w:r>
      <w:r>
        <w:rPr>
          <w:spacing w:val="1"/>
        </w:rPr>
        <w:t>i</w:t>
      </w:r>
      <w:r>
        <w:rPr>
          <w:spacing w:val="-2"/>
        </w:rPr>
        <w:t>ţ</w:t>
      </w:r>
      <w:r>
        <w:rPr>
          <w:spacing w:val="1"/>
        </w:rPr>
        <w:t>i</w:t>
      </w:r>
      <w:r>
        <w:t>a</w:t>
      </w:r>
      <w:r>
        <w:rPr>
          <w:spacing w:val="-2"/>
        </w:rPr>
        <w:t>l</w:t>
      </w:r>
      <w:r>
        <w:t xml:space="preserve">ă. </w:t>
      </w:r>
      <w:r>
        <w:rPr>
          <w:spacing w:val="-1"/>
        </w:rPr>
        <w:t>D</w:t>
      </w:r>
      <w:r>
        <w:rPr>
          <w:spacing w:val="1"/>
        </w:rPr>
        <w:t>i</w:t>
      </w:r>
      <w:r>
        <w:t>n</w:t>
      </w:r>
      <w:r>
        <w:rPr>
          <w:spacing w:val="-3"/>
        </w:rPr>
        <w:t xml:space="preserve"> </w:t>
      </w:r>
      <w:r>
        <w:t>c</w:t>
      </w:r>
      <w:r>
        <w:rPr>
          <w:spacing w:val="-3"/>
        </w:rPr>
        <w:t>e</w:t>
      </w:r>
      <w:r>
        <w:t>i</w:t>
      </w:r>
      <w:r>
        <w:rPr>
          <w:spacing w:val="1"/>
        </w:rPr>
        <w:t xml:space="preserve"> </w:t>
      </w:r>
      <w:r>
        <w:rPr>
          <w:spacing w:val="-3"/>
        </w:rPr>
        <w:t>c</w:t>
      </w:r>
      <w:r>
        <w:t>u ră</w:t>
      </w:r>
      <w:r>
        <w:rPr>
          <w:spacing w:val="-2"/>
        </w:rPr>
        <w:t>s</w:t>
      </w:r>
      <w:r>
        <w:t>puns</w:t>
      </w:r>
      <w:r>
        <w:rPr>
          <w:spacing w:val="-2"/>
        </w:rPr>
        <w:t xml:space="preserve"> </w:t>
      </w:r>
      <w:r>
        <w:t>c</w:t>
      </w:r>
      <w:r>
        <w:rPr>
          <w:spacing w:val="-2"/>
        </w:rPr>
        <w:t>l</w:t>
      </w:r>
      <w:r>
        <w:rPr>
          <w:spacing w:val="1"/>
        </w:rPr>
        <w:t>i</w:t>
      </w:r>
      <w:r>
        <w:t>n</w:t>
      </w:r>
      <w:r>
        <w:rPr>
          <w:spacing w:val="-2"/>
        </w:rPr>
        <w:t>i</w:t>
      </w:r>
      <w:r>
        <w:t xml:space="preserve">c </w:t>
      </w:r>
      <w:r>
        <w:rPr>
          <w:spacing w:val="1"/>
        </w:rPr>
        <w:t>î</w:t>
      </w:r>
      <w:r>
        <w:t xml:space="preserve">n </w:t>
      </w:r>
      <w:r>
        <w:rPr>
          <w:spacing w:val="-3"/>
        </w:rPr>
        <w:t>S</w:t>
      </w:r>
      <w:r>
        <w:t>ăp</w:t>
      </w:r>
      <w:r>
        <w:rPr>
          <w:spacing w:val="-2"/>
        </w:rPr>
        <w:t>t</w:t>
      </w:r>
      <w:r>
        <w:t>ă</w:t>
      </w:r>
      <w:r>
        <w:rPr>
          <w:spacing w:val="-4"/>
        </w:rPr>
        <w:t>m</w:t>
      </w:r>
      <w:r>
        <w:t>âna 4, 4</w:t>
      </w:r>
      <w:r>
        <w:rPr>
          <w:spacing w:val="-3"/>
        </w:rPr>
        <w:t>8</w:t>
      </w:r>
      <w:r>
        <w:t>%</w:t>
      </w:r>
      <w:r>
        <w:rPr>
          <w:spacing w:val="1"/>
        </w:rPr>
        <w:t xml:space="preserve"> </w:t>
      </w:r>
      <w:r>
        <w:t>au</w:t>
      </w:r>
      <w:r>
        <w:rPr>
          <w:spacing w:val="-3"/>
        </w:rPr>
        <w:t xml:space="preserve"> </w:t>
      </w:r>
      <w:r>
        <w:t>fo</w:t>
      </w:r>
      <w:r>
        <w:rPr>
          <w:spacing w:val="-2"/>
        </w:rPr>
        <w:t>s</w:t>
      </w:r>
      <w:r>
        <w:t>t</w:t>
      </w:r>
      <w:r>
        <w:rPr>
          <w:spacing w:val="1"/>
        </w:rPr>
        <w:t xml:space="preserve"> </w:t>
      </w:r>
      <w:r>
        <w:rPr>
          <w:spacing w:val="-3"/>
        </w:rPr>
        <w:t>e</w:t>
      </w:r>
      <w:r>
        <w:t>xpu</w:t>
      </w:r>
      <w:r>
        <w:rPr>
          <w:spacing w:val="-2"/>
        </w:rPr>
        <w:t>ş</w:t>
      </w:r>
      <w:r>
        <w:t>i</w:t>
      </w:r>
      <w:r>
        <w:rPr>
          <w:spacing w:val="1"/>
        </w:rPr>
        <w:t xml:space="preserve"> </w:t>
      </w:r>
      <w:r>
        <w:t>a</w:t>
      </w:r>
      <w:r>
        <w:rPr>
          <w:spacing w:val="-3"/>
        </w:rPr>
        <w:t>n</w:t>
      </w:r>
      <w:r>
        <w:rPr>
          <w:spacing w:val="1"/>
        </w:rPr>
        <w:t>t</w:t>
      </w:r>
      <w:r>
        <w:t>e</w:t>
      </w:r>
      <w:r>
        <w:rPr>
          <w:spacing w:val="-2"/>
        </w:rPr>
        <w:t>r</w:t>
      </w:r>
      <w:r>
        <w:rPr>
          <w:spacing w:val="1"/>
        </w:rPr>
        <w:t>i</w:t>
      </w:r>
      <w:r>
        <w:t>or</w:t>
      </w:r>
      <w:r>
        <w:rPr>
          <w:spacing w:val="-2"/>
        </w:rPr>
        <w:t xml:space="preserve"> </w:t>
      </w:r>
      <w:r>
        <w:t>un</w:t>
      </w:r>
      <w:r>
        <w:rPr>
          <w:spacing w:val="-3"/>
        </w:rPr>
        <w:t>u</w:t>
      </w:r>
      <w:r>
        <w:t>i</w:t>
      </w:r>
      <w:r>
        <w:rPr>
          <w:spacing w:val="1"/>
        </w:rPr>
        <w:t xml:space="preserve"> </w:t>
      </w:r>
      <w:r>
        <w:rPr>
          <w:spacing w:val="-3"/>
        </w:rPr>
        <w:t>a</w:t>
      </w:r>
      <w:r>
        <w:rPr>
          <w:spacing w:val="1"/>
        </w:rPr>
        <w:t>l</w:t>
      </w:r>
      <w:r>
        <w:t xml:space="preserve">t </w:t>
      </w:r>
      <w:r>
        <w:rPr>
          <w:spacing w:val="1"/>
        </w:rPr>
        <w:t>t</w:t>
      </w:r>
      <w:r>
        <w:t>r</w:t>
      </w:r>
      <w:r>
        <w:rPr>
          <w:spacing w:val="-3"/>
        </w:rPr>
        <w:t>a</w:t>
      </w:r>
      <w:r>
        <w:rPr>
          <w:spacing w:val="1"/>
        </w:rPr>
        <w:t>t</w:t>
      </w:r>
      <w:r>
        <w:t>a</w:t>
      </w:r>
      <w:r>
        <w:rPr>
          <w:spacing w:val="-4"/>
        </w:rPr>
        <w:t>m</w:t>
      </w:r>
      <w:r>
        <w:t>ent</w:t>
      </w:r>
      <w:r>
        <w:rPr>
          <w:spacing w:val="1"/>
        </w:rPr>
        <w:t xml:space="preserve"> </w:t>
      </w:r>
      <w:r>
        <w:t>a</w:t>
      </w:r>
      <w:r>
        <w:rPr>
          <w:spacing w:val="-3"/>
        </w:rPr>
        <w:t>n</w:t>
      </w:r>
      <w:r>
        <w:rPr>
          <w:spacing w:val="1"/>
        </w:rPr>
        <w:t>t</w:t>
      </w:r>
      <w:r>
        <w:t>i</w:t>
      </w:r>
      <w:r>
        <w:rPr>
          <w:spacing w:val="-4"/>
        </w:rPr>
        <w:t xml:space="preserve"> </w:t>
      </w:r>
      <w:r>
        <w:rPr>
          <w:spacing w:val="1"/>
        </w:rPr>
        <w:t>T</w:t>
      </w:r>
      <w:r>
        <w:rPr>
          <w:spacing w:val="-1"/>
        </w:rPr>
        <w:t>NF</w:t>
      </w:r>
      <w:r>
        <w:t>. Me</w:t>
      </w:r>
      <w:r>
        <w:rPr>
          <w:spacing w:val="-3"/>
        </w:rPr>
        <w:t>n</w:t>
      </w:r>
      <w:r>
        <w:rPr>
          <w:spacing w:val="-2"/>
        </w:rPr>
        <w:t>ţ</w:t>
      </w:r>
      <w:r>
        <w:rPr>
          <w:spacing w:val="1"/>
        </w:rPr>
        <w:t>i</w:t>
      </w:r>
      <w:r>
        <w:rPr>
          <w:spacing w:val="-3"/>
        </w:rPr>
        <w:t>n</w:t>
      </w:r>
      <w:r>
        <w:t>erea</w:t>
      </w:r>
      <w:r>
        <w:rPr>
          <w:spacing w:val="-2"/>
        </w:rPr>
        <w:t xml:space="preserve"> </w:t>
      </w:r>
      <w:r>
        <w:t>re</w:t>
      </w:r>
      <w:r>
        <w:rPr>
          <w:spacing w:val="-4"/>
        </w:rPr>
        <w:t>m</w:t>
      </w:r>
      <w:r>
        <w:rPr>
          <w:spacing w:val="1"/>
        </w:rPr>
        <w:t>i</w:t>
      </w:r>
      <w:r>
        <w:t>s</w:t>
      </w:r>
      <w:r>
        <w:rPr>
          <w:spacing w:val="-2"/>
        </w:rPr>
        <w:t>i</w:t>
      </w:r>
      <w:r>
        <w:t>ei</w:t>
      </w:r>
      <w:r>
        <w:rPr>
          <w:spacing w:val="-2"/>
        </w:rPr>
        <w:t xml:space="preserve"> </w:t>
      </w:r>
      <w:r>
        <w:t>şi</w:t>
      </w:r>
      <w:r>
        <w:rPr>
          <w:spacing w:val="-2"/>
        </w:rPr>
        <w:t xml:space="preserve"> </w:t>
      </w:r>
      <w:r>
        <w:t>r</w:t>
      </w:r>
      <w:r>
        <w:rPr>
          <w:spacing w:val="-3"/>
        </w:rPr>
        <w:t>a</w:t>
      </w:r>
      <w:r>
        <w:rPr>
          <w:spacing w:val="1"/>
        </w:rPr>
        <w:t>t</w:t>
      </w:r>
      <w:r>
        <w:t>e</w:t>
      </w:r>
      <w:r>
        <w:rPr>
          <w:spacing w:val="-2"/>
        </w:rPr>
        <w:t>l</w:t>
      </w:r>
      <w:r>
        <w:t xml:space="preserve">e </w:t>
      </w:r>
      <w:r>
        <w:rPr>
          <w:spacing w:val="-2"/>
        </w:rPr>
        <w:t>r</w:t>
      </w:r>
      <w:r>
        <w:t>ăsp</w:t>
      </w:r>
      <w:r>
        <w:rPr>
          <w:spacing w:val="-3"/>
        </w:rPr>
        <w:t>u</w:t>
      </w:r>
      <w:r>
        <w:t>nsu</w:t>
      </w:r>
      <w:r>
        <w:rPr>
          <w:spacing w:val="1"/>
        </w:rPr>
        <w:t>l</w:t>
      </w:r>
      <w:r>
        <w:rPr>
          <w:spacing w:val="-3"/>
        </w:rPr>
        <w:t>u</w:t>
      </w:r>
      <w:r>
        <w:t>i</w:t>
      </w:r>
      <w:r>
        <w:rPr>
          <w:spacing w:val="1"/>
        </w:rPr>
        <w:t xml:space="preserve"> </w:t>
      </w:r>
      <w:r>
        <w:rPr>
          <w:spacing w:val="-3"/>
        </w:rPr>
        <w:t>c</w:t>
      </w:r>
      <w:r>
        <w:rPr>
          <w:spacing w:val="1"/>
        </w:rPr>
        <w:t>li</w:t>
      </w:r>
      <w:r>
        <w:rPr>
          <w:spacing w:val="-3"/>
        </w:rPr>
        <w:t>n</w:t>
      </w:r>
      <w:r>
        <w:rPr>
          <w:spacing w:val="1"/>
        </w:rPr>
        <w:t>i</w:t>
      </w:r>
      <w:r>
        <w:t>c</w:t>
      </w:r>
      <w:r>
        <w:rPr>
          <w:spacing w:val="-2"/>
        </w:rPr>
        <w:t xml:space="preserve"> </w:t>
      </w:r>
      <w:r>
        <w:t>su</w:t>
      </w:r>
      <w:r>
        <w:rPr>
          <w:spacing w:val="-3"/>
        </w:rPr>
        <w:t>n</w:t>
      </w:r>
      <w:r>
        <w:t>t</w:t>
      </w:r>
      <w:r>
        <w:rPr>
          <w:spacing w:val="1"/>
        </w:rPr>
        <w:t xml:space="preserve"> </w:t>
      </w:r>
      <w:r>
        <w:t>p</w:t>
      </w:r>
      <w:r>
        <w:rPr>
          <w:spacing w:val="-2"/>
        </w:rPr>
        <w:t>r</w:t>
      </w:r>
      <w:r>
        <w:t>e</w:t>
      </w:r>
      <w:r>
        <w:rPr>
          <w:spacing w:val="-3"/>
        </w:rPr>
        <w:t>z</w:t>
      </w:r>
      <w:r>
        <w:t>en</w:t>
      </w:r>
      <w:r>
        <w:rPr>
          <w:spacing w:val="1"/>
        </w:rPr>
        <w:t>t</w:t>
      </w:r>
      <w:r>
        <w:rPr>
          <w:spacing w:val="-3"/>
        </w:rPr>
        <w:t>a</w:t>
      </w:r>
      <w:r>
        <w:rPr>
          <w:spacing w:val="-2"/>
        </w:rPr>
        <w:t>t</w:t>
      </w:r>
      <w:r>
        <w:t xml:space="preserve">e </w:t>
      </w:r>
      <w:r>
        <w:rPr>
          <w:spacing w:val="1"/>
        </w:rPr>
        <w:t>î</w:t>
      </w:r>
      <w:r>
        <w:t>n</w:t>
      </w:r>
      <w:r>
        <w:rPr>
          <w:spacing w:val="-3"/>
        </w:rPr>
        <w:t xml:space="preserve"> </w:t>
      </w:r>
      <w:r>
        <w:rPr>
          <w:spacing w:val="1"/>
        </w:rPr>
        <w:t>t</w:t>
      </w:r>
      <w:r>
        <w:rPr>
          <w:spacing w:val="-3"/>
        </w:rPr>
        <w:t>a</w:t>
      </w:r>
      <w:r>
        <w:t>be</w:t>
      </w:r>
      <w:r>
        <w:rPr>
          <w:spacing w:val="-2"/>
        </w:rPr>
        <w:t>l</w:t>
      </w:r>
      <w:r>
        <w:t>ul</w:t>
      </w:r>
      <w:r>
        <w:rPr>
          <w:spacing w:val="1"/>
        </w:rPr>
        <w:t xml:space="preserve"> </w:t>
      </w:r>
      <w:r>
        <w:rPr>
          <w:rFonts w:eastAsia="MS Mincho"/>
          <w:spacing w:val="-4"/>
          <w:szCs w:val="22"/>
          <w:lang w:eastAsia="en-US" w:bidi="ar-SA"/>
        </w:rPr>
        <w:t>22</w:t>
      </w:r>
      <w:r>
        <w:t xml:space="preserve">. </w:t>
      </w:r>
      <w:r>
        <w:rPr>
          <w:spacing w:val="-1"/>
        </w:rPr>
        <w:t>R</w:t>
      </w:r>
      <w:r>
        <w:t>e</w:t>
      </w:r>
      <w:r>
        <w:rPr>
          <w:spacing w:val="-3"/>
        </w:rPr>
        <w:t>z</w:t>
      </w:r>
      <w:r>
        <w:t>u</w:t>
      </w:r>
      <w:r>
        <w:rPr>
          <w:spacing w:val="1"/>
        </w:rPr>
        <w:t>lt</w:t>
      </w:r>
      <w:r>
        <w:rPr>
          <w:spacing w:val="-3"/>
        </w:rPr>
        <w:t>a</w:t>
      </w:r>
      <w:r>
        <w:rPr>
          <w:spacing w:val="1"/>
        </w:rPr>
        <w:t>t</w:t>
      </w:r>
      <w:r>
        <w:t>e</w:t>
      </w:r>
      <w:r>
        <w:rPr>
          <w:spacing w:val="-2"/>
        </w:rPr>
        <w:t>l</w:t>
      </w:r>
      <w:r>
        <w:t xml:space="preserve">e </w:t>
      </w:r>
      <w:r>
        <w:rPr>
          <w:spacing w:val="-2"/>
        </w:rPr>
        <w:t>r</w:t>
      </w:r>
      <w:r>
        <w:t>e</w:t>
      </w:r>
      <w:r>
        <w:rPr>
          <w:spacing w:val="-4"/>
        </w:rPr>
        <w:t>m</w:t>
      </w:r>
      <w:r>
        <w:rPr>
          <w:spacing w:val="1"/>
        </w:rPr>
        <w:t>i</w:t>
      </w:r>
      <w:r>
        <w:t>s</w:t>
      </w:r>
      <w:r>
        <w:rPr>
          <w:spacing w:val="1"/>
        </w:rPr>
        <w:t>i</w:t>
      </w:r>
      <w:r>
        <w:t>ei</w:t>
      </w:r>
      <w:r>
        <w:rPr>
          <w:spacing w:val="-2"/>
        </w:rPr>
        <w:t xml:space="preserve"> </w:t>
      </w:r>
      <w:r>
        <w:t>c</w:t>
      </w:r>
      <w:r>
        <w:rPr>
          <w:spacing w:val="-2"/>
        </w:rPr>
        <w:t>l</w:t>
      </w:r>
      <w:r>
        <w:rPr>
          <w:spacing w:val="1"/>
        </w:rPr>
        <w:t>i</w:t>
      </w:r>
      <w:r>
        <w:rPr>
          <w:spacing w:val="-3"/>
        </w:rPr>
        <w:t>n</w:t>
      </w:r>
      <w:r>
        <w:rPr>
          <w:spacing w:val="1"/>
        </w:rPr>
        <w:t>i</w:t>
      </w:r>
      <w:r>
        <w:t>ce</w:t>
      </w:r>
      <w:r>
        <w:rPr>
          <w:spacing w:val="-2"/>
        </w:rPr>
        <w:t xml:space="preserve"> </w:t>
      </w:r>
      <w:r>
        <w:t>au ră</w:t>
      </w:r>
      <w:r>
        <w:rPr>
          <w:spacing w:val="-4"/>
        </w:rPr>
        <w:t>m</w:t>
      </w:r>
      <w:r>
        <w:t xml:space="preserve">as </w:t>
      </w:r>
      <w:r>
        <w:rPr>
          <w:spacing w:val="-2"/>
        </w:rPr>
        <w:t>r</w:t>
      </w:r>
      <w:r>
        <w:t>e</w:t>
      </w:r>
      <w:r>
        <w:rPr>
          <w:spacing w:val="1"/>
        </w:rPr>
        <w:t>l</w:t>
      </w:r>
      <w:r>
        <w:rPr>
          <w:spacing w:val="-3"/>
        </w:rPr>
        <w:t>a</w:t>
      </w:r>
      <w:r>
        <w:rPr>
          <w:spacing w:val="1"/>
        </w:rPr>
        <w:t>ti</w:t>
      </w:r>
      <w:r>
        <w:t>v</w:t>
      </w:r>
      <w:r>
        <w:rPr>
          <w:spacing w:val="-3"/>
        </w:rPr>
        <w:t xml:space="preserve"> </w:t>
      </w:r>
      <w:r>
        <w:t>co</w:t>
      </w:r>
      <w:r>
        <w:rPr>
          <w:spacing w:val="-3"/>
        </w:rPr>
        <w:t>n</w:t>
      </w:r>
      <w:r>
        <w:t>s</w:t>
      </w:r>
      <w:r>
        <w:rPr>
          <w:spacing w:val="1"/>
        </w:rPr>
        <w:t>t</w:t>
      </w:r>
      <w:r>
        <w:rPr>
          <w:spacing w:val="-3"/>
        </w:rPr>
        <w:t>a</w:t>
      </w:r>
      <w:r>
        <w:t>n</w:t>
      </w:r>
      <w:r>
        <w:rPr>
          <w:spacing w:val="1"/>
        </w:rPr>
        <w:t>t</w:t>
      </w:r>
      <w:r>
        <w:t>e</w:t>
      </w:r>
      <w:r>
        <w:rPr>
          <w:spacing w:val="-2"/>
        </w:rPr>
        <w:t xml:space="preserve"> i</w:t>
      </w:r>
      <w:r>
        <w:t>nd</w:t>
      </w:r>
      <w:r>
        <w:rPr>
          <w:spacing w:val="1"/>
        </w:rPr>
        <w:t>i</w:t>
      </w:r>
      <w:r>
        <w:rPr>
          <w:spacing w:val="-2"/>
        </w:rPr>
        <w:t>f</w:t>
      </w:r>
      <w:r>
        <w:t>er</w:t>
      </w:r>
      <w:r>
        <w:rPr>
          <w:spacing w:val="-3"/>
        </w:rPr>
        <w:t>e</w:t>
      </w:r>
      <w:r>
        <w:t>nt</w:t>
      </w:r>
      <w:r>
        <w:rPr>
          <w:spacing w:val="1"/>
        </w:rPr>
        <w:t xml:space="preserve"> </w:t>
      </w:r>
      <w:r>
        <w:rPr>
          <w:spacing w:val="-3"/>
        </w:rPr>
        <w:t>d</w:t>
      </w:r>
      <w:r>
        <w:t>e ex</w:t>
      </w:r>
      <w:r>
        <w:rPr>
          <w:spacing w:val="-3"/>
        </w:rPr>
        <w:t>p</w:t>
      </w:r>
      <w:r>
        <w:t>une</w:t>
      </w:r>
      <w:r>
        <w:rPr>
          <w:spacing w:val="-2"/>
        </w:rPr>
        <w:t>r</w:t>
      </w:r>
      <w:r>
        <w:t>ea</w:t>
      </w:r>
      <w:r>
        <w:rPr>
          <w:spacing w:val="-2"/>
        </w:rPr>
        <w:t xml:space="preserve"> </w:t>
      </w:r>
      <w:r>
        <w:t>an</w:t>
      </w:r>
      <w:r>
        <w:rPr>
          <w:spacing w:val="-2"/>
        </w:rPr>
        <w:t>t</w:t>
      </w:r>
      <w:r>
        <w:rPr>
          <w:spacing w:val="-3"/>
        </w:rPr>
        <w:t>e</w:t>
      </w:r>
      <w:r>
        <w:t>r</w:t>
      </w:r>
      <w:r>
        <w:rPr>
          <w:spacing w:val="1"/>
        </w:rPr>
        <w:t>i</w:t>
      </w:r>
      <w:r>
        <w:t>o</w:t>
      </w:r>
      <w:r>
        <w:rPr>
          <w:spacing w:val="-3"/>
        </w:rPr>
        <w:t>a</w:t>
      </w:r>
      <w:r>
        <w:rPr>
          <w:spacing w:val="-1"/>
        </w:rPr>
        <w:t>r</w:t>
      </w:r>
      <w:r>
        <w:t>ă</w:t>
      </w:r>
      <w:r>
        <w:rPr>
          <w:spacing w:val="-2"/>
        </w:rPr>
        <w:t xml:space="preserve"> </w:t>
      </w:r>
      <w:r>
        <w:rPr>
          <w:spacing w:val="1"/>
        </w:rPr>
        <w:t>l</w:t>
      </w:r>
      <w:r>
        <w:t>a an</w:t>
      </w:r>
      <w:r>
        <w:rPr>
          <w:spacing w:val="1"/>
        </w:rPr>
        <w:t>t</w:t>
      </w:r>
      <w:r>
        <w:t>a</w:t>
      </w:r>
      <w:r>
        <w:rPr>
          <w:spacing w:val="-3"/>
        </w:rPr>
        <w:t>g</w:t>
      </w:r>
      <w:r>
        <w:t>on</w:t>
      </w:r>
      <w:r>
        <w:rPr>
          <w:spacing w:val="-2"/>
        </w:rPr>
        <w:t>i</w:t>
      </w:r>
      <w:r>
        <w:t>ş</w:t>
      </w:r>
      <w:r>
        <w:rPr>
          <w:spacing w:val="-2"/>
        </w:rPr>
        <w:t>t</w:t>
      </w:r>
      <w:r>
        <w:rPr>
          <w:spacing w:val="1"/>
        </w:rPr>
        <w:t>i</w:t>
      </w:r>
      <w:r>
        <w:t>i</w:t>
      </w:r>
      <w:r>
        <w:rPr>
          <w:spacing w:val="-2"/>
        </w:rPr>
        <w:t xml:space="preserve"> </w:t>
      </w:r>
      <w:r>
        <w:rPr>
          <w:spacing w:val="1"/>
        </w:rPr>
        <w:t>T</w:t>
      </w:r>
      <w:r>
        <w:rPr>
          <w:spacing w:val="-1"/>
        </w:rPr>
        <w:t>NF</w:t>
      </w:r>
      <w:r>
        <w:t>.</w:t>
      </w:r>
    </w:p>
    <w:p w14:paraId="016F611D" w14:textId="77777777" w:rsidR="00C04CAD" w:rsidRDefault="00C04CAD">
      <w:pPr>
        <w:tabs>
          <w:tab w:val="clear" w:pos="567"/>
        </w:tabs>
        <w:kinsoku w:val="0"/>
        <w:overflowPunct w:val="0"/>
        <w:autoSpaceDE w:val="0"/>
        <w:autoSpaceDN w:val="0"/>
        <w:adjustRightInd w:val="0"/>
        <w:spacing w:line="240" w:lineRule="auto"/>
        <w:rPr>
          <w:spacing w:val="-4"/>
        </w:rPr>
      </w:pPr>
    </w:p>
    <w:p w14:paraId="28ED3C0D" w14:textId="77777777" w:rsidR="00C04CAD" w:rsidRDefault="00060E34">
      <w:pPr>
        <w:autoSpaceDE w:val="0"/>
        <w:autoSpaceDN w:val="0"/>
        <w:adjustRightInd w:val="0"/>
        <w:spacing w:line="240" w:lineRule="auto"/>
        <w:rPr>
          <w:szCs w:val="22"/>
        </w:rPr>
      </w:pPr>
      <w:r>
        <w:rPr>
          <w:spacing w:val="-4"/>
          <w:szCs w:val="22"/>
        </w:rPr>
        <w:t>Î</w:t>
      </w:r>
      <w:r>
        <w:rPr>
          <w:szCs w:val="22"/>
        </w:rPr>
        <w:t xml:space="preserve">n </w:t>
      </w:r>
      <w:r>
        <w:rPr>
          <w:spacing w:val="-1"/>
          <w:szCs w:val="22"/>
        </w:rPr>
        <w:t>S</w:t>
      </w:r>
      <w:r>
        <w:rPr>
          <w:szCs w:val="22"/>
        </w:rPr>
        <w:t>ăp</w:t>
      </w:r>
      <w:r>
        <w:rPr>
          <w:spacing w:val="1"/>
          <w:szCs w:val="22"/>
        </w:rPr>
        <w:t>t</w:t>
      </w:r>
      <w:r>
        <w:rPr>
          <w:szCs w:val="22"/>
        </w:rPr>
        <w:t>ă</w:t>
      </w:r>
      <w:r>
        <w:rPr>
          <w:spacing w:val="-4"/>
          <w:szCs w:val="22"/>
        </w:rPr>
        <w:t>m</w:t>
      </w:r>
      <w:r>
        <w:rPr>
          <w:szCs w:val="22"/>
        </w:rPr>
        <w:t>âna 56, s</w:t>
      </w:r>
      <w:r>
        <w:rPr>
          <w:spacing w:val="-4"/>
          <w:szCs w:val="22"/>
        </w:rPr>
        <w:t>-</w:t>
      </w:r>
      <w:r>
        <w:rPr>
          <w:szCs w:val="22"/>
        </w:rPr>
        <w:t>a obse</w:t>
      </w:r>
      <w:r>
        <w:rPr>
          <w:spacing w:val="-2"/>
          <w:szCs w:val="22"/>
        </w:rPr>
        <w:t>r</w:t>
      </w:r>
      <w:r>
        <w:rPr>
          <w:spacing w:val="-3"/>
          <w:szCs w:val="22"/>
        </w:rPr>
        <w:t>v</w:t>
      </w:r>
      <w:r>
        <w:rPr>
          <w:szCs w:val="22"/>
        </w:rPr>
        <w:t>at</w:t>
      </w:r>
      <w:r>
        <w:rPr>
          <w:spacing w:val="1"/>
          <w:szCs w:val="22"/>
        </w:rPr>
        <w:t xml:space="preserve"> </w:t>
      </w:r>
      <w:r>
        <w:rPr>
          <w:szCs w:val="22"/>
        </w:rPr>
        <w:t>o scă</w:t>
      </w:r>
      <w:r>
        <w:rPr>
          <w:spacing w:val="-3"/>
          <w:szCs w:val="22"/>
        </w:rPr>
        <w:t>d</w:t>
      </w:r>
      <w:r>
        <w:rPr>
          <w:szCs w:val="22"/>
        </w:rPr>
        <w:t>e</w:t>
      </w:r>
      <w:r>
        <w:rPr>
          <w:spacing w:val="-2"/>
          <w:szCs w:val="22"/>
        </w:rPr>
        <w:t>r</w:t>
      </w:r>
      <w:r>
        <w:rPr>
          <w:szCs w:val="22"/>
        </w:rPr>
        <w:t>e se</w:t>
      </w:r>
      <w:r>
        <w:rPr>
          <w:spacing w:val="-4"/>
          <w:szCs w:val="22"/>
        </w:rPr>
        <w:t>m</w:t>
      </w:r>
      <w:r>
        <w:rPr>
          <w:szCs w:val="22"/>
        </w:rPr>
        <w:t>n</w:t>
      </w:r>
      <w:r>
        <w:rPr>
          <w:spacing w:val="1"/>
          <w:szCs w:val="22"/>
        </w:rPr>
        <w:t>i</w:t>
      </w:r>
      <w:r>
        <w:rPr>
          <w:spacing w:val="-2"/>
          <w:szCs w:val="22"/>
        </w:rPr>
        <w:t>f</w:t>
      </w:r>
      <w:r>
        <w:rPr>
          <w:spacing w:val="1"/>
          <w:szCs w:val="22"/>
        </w:rPr>
        <w:t>i</w:t>
      </w:r>
      <w:r>
        <w:rPr>
          <w:szCs w:val="22"/>
        </w:rPr>
        <w:t>c</w:t>
      </w:r>
      <w:r>
        <w:rPr>
          <w:spacing w:val="-3"/>
          <w:szCs w:val="22"/>
        </w:rPr>
        <w:t>a</w:t>
      </w:r>
      <w:r>
        <w:rPr>
          <w:spacing w:val="1"/>
          <w:szCs w:val="22"/>
        </w:rPr>
        <w:t>ti</w:t>
      </w:r>
      <w:r>
        <w:rPr>
          <w:spacing w:val="-3"/>
          <w:szCs w:val="22"/>
        </w:rPr>
        <w:t>v</w:t>
      </w:r>
      <w:r>
        <w:rPr>
          <w:szCs w:val="22"/>
        </w:rPr>
        <w:t>ă</w:t>
      </w:r>
      <w:r>
        <w:rPr>
          <w:spacing w:val="-2"/>
          <w:szCs w:val="22"/>
        </w:rPr>
        <w:t xml:space="preserve"> </w:t>
      </w:r>
      <w:r>
        <w:rPr>
          <w:szCs w:val="22"/>
        </w:rPr>
        <w:t>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zCs w:val="22"/>
        </w:rPr>
        <w:t>c a</w:t>
      </w:r>
      <w:r>
        <w:rPr>
          <w:spacing w:val="-2"/>
          <w:szCs w:val="22"/>
        </w:rPr>
        <w:t xml:space="preserve"> </w:t>
      </w:r>
      <w:r>
        <w:rPr>
          <w:szCs w:val="22"/>
        </w:rPr>
        <w:t>nu</w:t>
      </w:r>
      <w:r>
        <w:rPr>
          <w:spacing w:val="-4"/>
          <w:szCs w:val="22"/>
        </w:rPr>
        <w:t>m</w:t>
      </w:r>
      <w:r>
        <w:rPr>
          <w:szCs w:val="22"/>
        </w:rPr>
        <w:t>ăru</w:t>
      </w:r>
      <w:r>
        <w:rPr>
          <w:spacing w:val="1"/>
          <w:szCs w:val="22"/>
        </w:rPr>
        <w:t>l</w:t>
      </w:r>
      <w:r>
        <w:rPr>
          <w:spacing w:val="-3"/>
          <w:szCs w:val="22"/>
        </w:rPr>
        <w:t>u</w:t>
      </w:r>
      <w:r>
        <w:rPr>
          <w:szCs w:val="22"/>
        </w:rPr>
        <w:t>i</w:t>
      </w:r>
      <w:r>
        <w:rPr>
          <w:spacing w:val="1"/>
          <w:szCs w:val="22"/>
        </w:rPr>
        <w:t xml:space="preserve"> </w:t>
      </w:r>
      <w:r>
        <w:rPr>
          <w:szCs w:val="22"/>
        </w:rPr>
        <w:t>de</w:t>
      </w:r>
      <w:r>
        <w:rPr>
          <w:spacing w:val="-2"/>
          <w:szCs w:val="22"/>
        </w:rPr>
        <w:t xml:space="preserve"> </w:t>
      </w:r>
      <w:r>
        <w:rPr>
          <w:szCs w:val="22"/>
        </w:rPr>
        <w:t>sp</w:t>
      </w:r>
      <w:r>
        <w:rPr>
          <w:spacing w:val="-2"/>
          <w:szCs w:val="22"/>
        </w:rPr>
        <w:t>it</w:t>
      </w:r>
      <w:r>
        <w:rPr>
          <w:szCs w:val="22"/>
        </w:rPr>
        <w:t>a</w:t>
      </w:r>
      <w:r>
        <w:rPr>
          <w:spacing w:val="1"/>
          <w:szCs w:val="22"/>
        </w:rPr>
        <w:t>li</w:t>
      </w:r>
      <w:r>
        <w:rPr>
          <w:spacing w:val="-3"/>
          <w:szCs w:val="22"/>
        </w:rPr>
        <w:t>z</w:t>
      </w:r>
      <w:r>
        <w:rPr>
          <w:szCs w:val="22"/>
        </w:rPr>
        <w:t>ă</w:t>
      </w:r>
      <w:r>
        <w:rPr>
          <w:spacing w:val="-2"/>
          <w:szCs w:val="22"/>
        </w:rPr>
        <w:t>r</w:t>
      </w:r>
      <w:r>
        <w:rPr>
          <w:szCs w:val="22"/>
        </w:rPr>
        <w:t>i</w:t>
      </w:r>
      <w:r>
        <w:rPr>
          <w:spacing w:val="1"/>
          <w:szCs w:val="22"/>
        </w:rPr>
        <w:t xml:space="preserve"> </w:t>
      </w:r>
      <w:r>
        <w:rPr>
          <w:spacing w:val="-3"/>
          <w:szCs w:val="22"/>
        </w:rPr>
        <w:t>c</w:t>
      </w:r>
      <w:r>
        <w:rPr>
          <w:szCs w:val="22"/>
        </w:rPr>
        <w:t>au</w:t>
      </w:r>
      <w:r>
        <w:rPr>
          <w:spacing w:val="-3"/>
          <w:szCs w:val="22"/>
        </w:rPr>
        <w:t>z</w:t>
      </w:r>
      <w:r>
        <w:rPr>
          <w:szCs w:val="22"/>
        </w:rPr>
        <w:t>a</w:t>
      </w:r>
      <w:r>
        <w:rPr>
          <w:spacing w:val="1"/>
          <w:szCs w:val="22"/>
        </w:rPr>
        <w:t>t</w:t>
      </w:r>
      <w:r>
        <w:rPr>
          <w:szCs w:val="22"/>
        </w:rPr>
        <w:t>e</w:t>
      </w:r>
      <w:r>
        <w:rPr>
          <w:spacing w:val="-2"/>
          <w:szCs w:val="22"/>
        </w:rPr>
        <w:t xml:space="preserve"> </w:t>
      </w:r>
      <w:r>
        <w:rPr>
          <w:szCs w:val="22"/>
        </w:rPr>
        <w:t>de boa</w:t>
      </w:r>
      <w:r>
        <w:rPr>
          <w:spacing w:val="1"/>
          <w:szCs w:val="22"/>
        </w:rPr>
        <w:t>l</w:t>
      </w:r>
      <w:r>
        <w:rPr>
          <w:szCs w:val="22"/>
        </w:rPr>
        <w:t>ă</w:t>
      </w:r>
      <w:r>
        <w:rPr>
          <w:spacing w:val="-2"/>
          <w:szCs w:val="22"/>
        </w:rPr>
        <w:t xml:space="preserve"> </w:t>
      </w:r>
      <w:r>
        <w:rPr>
          <w:szCs w:val="22"/>
        </w:rPr>
        <w:t>şi</w:t>
      </w:r>
      <w:r>
        <w:rPr>
          <w:spacing w:val="-2"/>
          <w:szCs w:val="22"/>
        </w:rPr>
        <w:t xml:space="preserve"> </w:t>
      </w:r>
      <w:r>
        <w:rPr>
          <w:szCs w:val="22"/>
        </w:rPr>
        <w:t>a nu</w:t>
      </w:r>
      <w:r>
        <w:rPr>
          <w:spacing w:val="-4"/>
          <w:szCs w:val="22"/>
        </w:rPr>
        <w:t>m</w:t>
      </w:r>
      <w:r>
        <w:rPr>
          <w:szCs w:val="22"/>
        </w:rPr>
        <w:t>ăru</w:t>
      </w:r>
      <w:r>
        <w:rPr>
          <w:spacing w:val="-2"/>
          <w:szCs w:val="22"/>
        </w:rPr>
        <w:t>l</w:t>
      </w:r>
      <w:r>
        <w:rPr>
          <w:szCs w:val="22"/>
        </w:rPr>
        <w:t>ui</w:t>
      </w:r>
      <w:r>
        <w:rPr>
          <w:spacing w:val="1"/>
          <w:szCs w:val="22"/>
        </w:rPr>
        <w:t xml:space="preserve"> </w:t>
      </w:r>
      <w:r>
        <w:rPr>
          <w:spacing w:val="-3"/>
          <w:szCs w:val="22"/>
        </w:rPr>
        <w:t>d</w:t>
      </w:r>
      <w:r>
        <w:rPr>
          <w:szCs w:val="22"/>
        </w:rPr>
        <w:t xml:space="preserve">e </w:t>
      </w:r>
      <w:r>
        <w:rPr>
          <w:spacing w:val="1"/>
          <w:szCs w:val="22"/>
        </w:rPr>
        <w:t>i</w:t>
      </w:r>
      <w:r>
        <w:rPr>
          <w:spacing w:val="-3"/>
          <w:szCs w:val="22"/>
        </w:rPr>
        <w:t>n</w:t>
      </w:r>
      <w:r>
        <w:rPr>
          <w:spacing w:val="1"/>
          <w:szCs w:val="22"/>
        </w:rPr>
        <w:t>t</w:t>
      </w:r>
      <w:r>
        <w:rPr>
          <w:spacing w:val="-3"/>
          <w:szCs w:val="22"/>
        </w:rPr>
        <w:t>e</w:t>
      </w:r>
      <w:r>
        <w:rPr>
          <w:szCs w:val="22"/>
        </w:rPr>
        <w:t>r</w:t>
      </w:r>
      <w:r>
        <w:rPr>
          <w:spacing w:val="-3"/>
          <w:szCs w:val="22"/>
        </w:rPr>
        <w:t>v</w:t>
      </w:r>
      <w:r>
        <w:rPr>
          <w:szCs w:val="22"/>
        </w:rPr>
        <w:t>en</w:t>
      </w:r>
      <w:r>
        <w:rPr>
          <w:spacing w:val="1"/>
          <w:szCs w:val="22"/>
        </w:rPr>
        <w:t>ţ</w:t>
      </w:r>
      <w:r>
        <w:rPr>
          <w:spacing w:val="-2"/>
          <w:szCs w:val="22"/>
        </w:rPr>
        <w:t>i</w:t>
      </w:r>
      <w:r>
        <w:rPr>
          <w:szCs w:val="22"/>
        </w:rPr>
        <w:t>i</w:t>
      </w:r>
      <w:r>
        <w:rPr>
          <w:spacing w:val="1"/>
          <w:szCs w:val="22"/>
        </w:rPr>
        <w:t xml:space="preserve"> </w:t>
      </w:r>
      <w:r>
        <w:rPr>
          <w:szCs w:val="22"/>
        </w:rPr>
        <w:t>c</w:t>
      </w:r>
      <w:r>
        <w:rPr>
          <w:spacing w:val="-3"/>
          <w:szCs w:val="22"/>
        </w:rPr>
        <w:t>h</w:t>
      </w:r>
      <w:r>
        <w:rPr>
          <w:spacing w:val="1"/>
          <w:szCs w:val="22"/>
        </w:rPr>
        <w:t>i</w:t>
      </w:r>
      <w:r>
        <w:rPr>
          <w:szCs w:val="22"/>
        </w:rPr>
        <w:t>r</w:t>
      </w:r>
      <w:r>
        <w:rPr>
          <w:spacing w:val="-3"/>
          <w:szCs w:val="22"/>
        </w:rPr>
        <w:t>u</w:t>
      </w:r>
      <w:r>
        <w:rPr>
          <w:szCs w:val="22"/>
        </w:rPr>
        <w:t>r</w:t>
      </w:r>
      <w:r>
        <w:rPr>
          <w:spacing w:val="-3"/>
          <w:szCs w:val="22"/>
        </w:rPr>
        <w:t>g</w:t>
      </w:r>
      <w:r>
        <w:rPr>
          <w:spacing w:val="1"/>
          <w:szCs w:val="22"/>
        </w:rPr>
        <w:t>i</w:t>
      </w:r>
      <w:r>
        <w:rPr>
          <w:szCs w:val="22"/>
        </w:rPr>
        <w:t>c</w:t>
      </w:r>
      <w:r>
        <w:rPr>
          <w:spacing w:val="-3"/>
          <w:szCs w:val="22"/>
        </w:rPr>
        <w:t>a</w:t>
      </w:r>
      <w:r>
        <w:rPr>
          <w:spacing w:val="1"/>
          <w:szCs w:val="22"/>
        </w:rPr>
        <w:t>l</w:t>
      </w:r>
      <w:r>
        <w:rPr>
          <w:szCs w:val="22"/>
        </w:rPr>
        <w:t>e</w:t>
      </w:r>
      <w:r>
        <w:rPr>
          <w:spacing w:val="-2"/>
          <w:szCs w:val="22"/>
        </w:rPr>
        <w:t xml:space="preserve"> </w:t>
      </w:r>
      <w:r>
        <w:rPr>
          <w:spacing w:val="1"/>
          <w:szCs w:val="22"/>
        </w:rPr>
        <w:t>l</w:t>
      </w:r>
      <w:r>
        <w:rPr>
          <w:szCs w:val="22"/>
        </w:rPr>
        <w:t xml:space="preserve">a </w:t>
      </w:r>
      <w:r>
        <w:rPr>
          <w:spacing w:val="-3"/>
          <w:szCs w:val="22"/>
        </w:rPr>
        <w:t>g</w:t>
      </w:r>
      <w:r>
        <w:rPr>
          <w:szCs w:val="22"/>
        </w:rPr>
        <w:t>ru</w:t>
      </w:r>
      <w:r>
        <w:rPr>
          <w:spacing w:val="-3"/>
          <w:szCs w:val="22"/>
        </w:rPr>
        <w:t>p</w:t>
      </w:r>
      <w:r>
        <w:rPr>
          <w:szCs w:val="22"/>
        </w:rPr>
        <w:t>ul</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at</w:t>
      </w:r>
      <w:r>
        <w:rPr>
          <w:spacing w:val="-2"/>
          <w:szCs w:val="22"/>
        </w:rPr>
        <w:t xml:space="preserve"> </w:t>
      </w:r>
      <w:r>
        <w:rPr>
          <w:szCs w:val="22"/>
        </w:rPr>
        <w:t xml:space="preserve">cu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c</w:t>
      </w:r>
      <w:r>
        <w:rPr>
          <w:spacing w:val="-3"/>
          <w:szCs w:val="22"/>
        </w:rPr>
        <w:t>o</w:t>
      </w:r>
      <w:r>
        <w:rPr>
          <w:spacing w:val="-4"/>
          <w:szCs w:val="22"/>
        </w:rPr>
        <w:t>m</w:t>
      </w:r>
      <w:r>
        <w:rPr>
          <w:szCs w:val="22"/>
        </w:rPr>
        <w:t>para</w:t>
      </w:r>
      <w:r>
        <w:rPr>
          <w:spacing w:val="1"/>
          <w:szCs w:val="22"/>
        </w:rPr>
        <w:t>ti</w:t>
      </w:r>
      <w:r>
        <w:rPr>
          <w:szCs w:val="22"/>
        </w:rPr>
        <w:t>v</w:t>
      </w:r>
      <w:r>
        <w:rPr>
          <w:spacing w:val="-3"/>
          <w:szCs w:val="22"/>
        </w:rPr>
        <w:t xml:space="preserve"> </w:t>
      </w:r>
      <w:r>
        <w:rPr>
          <w:szCs w:val="22"/>
        </w:rPr>
        <w:t xml:space="preserve">cu </w:t>
      </w:r>
      <w:r>
        <w:rPr>
          <w:spacing w:val="-3"/>
          <w:szCs w:val="22"/>
        </w:rPr>
        <w:t>g</w:t>
      </w:r>
      <w:r>
        <w:rPr>
          <w:szCs w:val="22"/>
        </w:rPr>
        <w:t xml:space="preserve">rupul </w:t>
      </w:r>
      <w:r>
        <w:rPr>
          <w:spacing w:val="1"/>
          <w:szCs w:val="22"/>
        </w:rPr>
        <w:t>t</w:t>
      </w:r>
      <w:r>
        <w:rPr>
          <w:szCs w:val="22"/>
        </w:rPr>
        <w:t>r</w:t>
      </w:r>
      <w:r>
        <w:rPr>
          <w:spacing w:val="-3"/>
          <w:szCs w:val="22"/>
        </w:rPr>
        <w:t>a</w:t>
      </w:r>
      <w:r>
        <w:rPr>
          <w:spacing w:val="1"/>
          <w:szCs w:val="22"/>
        </w:rPr>
        <w:t>t</w:t>
      </w:r>
      <w:r>
        <w:rPr>
          <w:spacing w:val="-3"/>
          <w:szCs w:val="22"/>
        </w:rPr>
        <w:t>a</w:t>
      </w:r>
      <w:r>
        <w:rPr>
          <w:szCs w:val="22"/>
        </w:rPr>
        <w:t>t</w:t>
      </w:r>
      <w:r>
        <w:rPr>
          <w:spacing w:val="1"/>
          <w:szCs w:val="22"/>
        </w:rPr>
        <w:t xml:space="preserve"> </w:t>
      </w:r>
      <w:r>
        <w:rPr>
          <w:szCs w:val="22"/>
        </w:rPr>
        <w:t xml:space="preserve">cu </w:t>
      </w:r>
      <w:r>
        <w:rPr>
          <w:spacing w:val="-3"/>
          <w:szCs w:val="22"/>
        </w:rPr>
        <w:t>p</w:t>
      </w:r>
      <w:r>
        <w:rPr>
          <w:spacing w:val="1"/>
          <w:szCs w:val="22"/>
        </w:rPr>
        <w:t>l</w:t>
      </w:r>
      <w:r>
        <w:rPr>
          <w:spacing w:val="-3"/>
          <w:szCs w:val="22"/>
        </w:rPr>
        <w:t>a</w:t>
      </w:r>
      <w:r>
        <w:rPr>
          <w:szCs w:val="22"/>
        </w:rPr>
        <w:t>cebo.</w:t>
      </w:r>
    </w:p>
    <w:p w14:paraId="30259722" w14:textId="77777777" w:rsidR="00C04CAD" w:rsidRDefault="00C04CAD">
      <w:pPr>
        <w:autoSpaceDE w:val="0"/>
        <w:autoSpaceDN w:val="0"/>
        <w:adjustRightInd w:val="0"/>
        <w:spacing w:line="240" w:lineRule="auto"/>
        <w:rPr>
          <w:rFonts w:eastAsia="MS Mincho"/>
          <w:sz w:val="24"/>
          <w:szCs w:val="24"/>
          <w:lang w:eastAsia="en-US" w:bidi="ar-SA"/>
        </w:rPr>
      </w:pPr>
    </w:p>
    <w:p w14:paraId="2D23C6F0" w14:textId="77777777" w:rsidR="00C04CAD" w:rsidRDefault="00060E34">
      <w:pPr>
        <w:keepNext/>
        <w:autoSpaceDE w:val="0"/>
        <w:autoSpaceDN w:val="0"/>
        <w:adjustRightInd w:val="0"/>
        <w:spacing w:line="240" w:lineRule="auto"/>
        <w:rPr>
          <w:b/>
        </w:rPr>
      </w:pPr>
      <w:r>
        <w:rPr>
          <w:b/>
          <w:bCs/>
          <w:spacing w:val="-1"/>
        </w:rPr>
        <w:t>T</w:t>
      </w:r>
      <w:r>
        <w:rPr>
          <w:b/>
          <w:bCs/>
        </w:rPr>
        <w:t>a</w:t>
      </w:r>
      <w:r>
        <w:rPr>
          <w:b/>
          <w:bCs/>
          <w:spacing w:val="-1"/>
        </w:rPr>
        <w:t>b</w:t>
      </w:r>
      <w:r>
        <w:rPr>
          <w:b/>
          <w:bCs/>
        </w:rPr>
        <w:t>e</w:t>
      </w:r>
      <w:r>
        <w:rPr>
          <w:b/>
          <w:bCs/>
          <w:spacing w:val="1"/>
        </w:rPr>
        <w:t>l</w:t>
      </w:r>
      <w:r>
        <w:rPr>
          <w:b/>
          <w:bCs/>
          <w:spacing w:val="-1"/>
        </w:rPr>
        <w:t>u</w:t>
      </w:r>
      <w:r>
        <w:rPr>
          <w:b/>
          <w:bCs/>
        </w:rPr>
        <w:t>l</w:t>
      </w:r>
      <w:r>
        <w:rPr>
          <w:b/>
          <w:bCs/>
          <w:spacing w:val="-2"/>
        </w:rPr>
        <w:t xml:space="preserve"> </w:t>
      </w:r>
      <w:r>
        <w:rPr>
          <w:b/>
          <w:bCs/>
        </w:rPr>
        <w:t xml:space="preserve">22. </w:t>
      </w:r>
      <w:r>
        <w:rPr>
          <w:b/>
        </w:rPr>
        <w:t>Me</w:t>
      </w:r>
      <w:r>
        <w:rPr>
          <w:b/>
          <w:spacing w:val="-1"/>
        </w:rPr>
        <w:t>n</w:t>
      </w:r>
      <w:r>
        <w:rPr>
          <w:b/>
          <w:spacing w:val="-2"/>
        </w:rPr>
        <w:t>ţ</w:t>
      </w:r>
      <w:r>
        <w:rPr>
          <w:b/>
          <w:spacing w:val="1"/>
        </w:rPr>
        <w:t>i</w:t>
      </w:r>
      <w:r>
        <w:rPr>
          <w:b/>
          <w:spacing w:val="-1"/>
        </w:rPr>
        <w:t>n</w:t>
      </w:r>
      <w:r>
        <w:rPr>
          <w:b/>
        </w:rPr>
        <w:t>e</w:t>
      </w:r>
      <w:r>
        <w:rPr>
          <w:b/>
          <w:spacing w:val="-3"/>
        </w:rPr>
        <w:t>r</w:t>
      </w:r>
      <w:r>
        <w:rPr>
          <w:b/>
        </w:rPr>
        <w:t xml:space="preserve">ea </w:t>
      </w:r>
      <w:r>
        <w:rPr>
          <w:b/>
          <w:spacing w:val="-1"/>
        </w:rPr>
        <w:t>r</w:t>
      </w:r>
      <w:r>
        <w:rPr>
          <w:b/>
          <w:spacing w:val="-3"/>
          <w:szCs w:val="22"/>
        </w:rPr>
        <w:t>e</w:t>
      </w:r>
      <w:r>
        <w:rPr>
          <w:b/>
          <w:szCs w:val="22"/>
        </w:rPr>
        <w:t>m</w:t>
      </w:r>
      <w:r>
        <w:rPr>
          <w:b/>
          <w:spacing w:val="-2"/>
          <w:szCs w:val="22"/>
        </w:rPr>
        <w:t>i</w:t>
      </w:r>
      <w:r>
        <w:rPr>
          <w:b/>
          <w:szCs w:val="22"/>
        </w:rPr>
        <w:t>s</w:t>
      </w:r>
      <w:r>
        <w:rPr>
          <w:b/>
          <w:spacing w:val="1"/>
          <w:szCs w:val="22"/>
        </w:rPr>
        <w:t>i</w:t>
      </w:r>
      <w:r>
        <w:rPr>
          <w:b/>
          <w:spacing w:val="-3"/>
          <w:szCs w:val="22"/>
        </w:rPr>
        <w:t>e</w:t>
      </w:r>
      <w:r>
        <w:rPr>
          <w:b/>
          <w:szCs w:val="22"/>
        </w:rPr>
        <w:t>i</w:t>
      </w:r>
      <w:r>
        <w:rPr>
          <w:b/>
          <w:spacing w:val="1"/>
          <w:szCs w:val="22"/>
        </w:rPr>
        <w:t xml:space="preserve"> </w:t>
      </w:r>
      <w:r>
        <w:rPr>
          <w:b/>
          <w:spacing w:val="-1"/>
        </w:rPr>
        <w:t>c</w:t>
      </w:r>
      <w:r>
        <w:rPr>
          <w:b/>
          <w:spacing w:val="-2"/>
          <w:szCs w:val="22"/>
        </w:rPr>
        <w:t>l</w:t>
      </w:r>
      <w:r>
        <w:rPr>
          <w:b/>
          <w:spacing w:val="1"/>
          <w:szCs w:val="22"/>
        </w:rPr>
        <w:t>i</w:t>
      </w:r>
      <w:r>
        <w:rPr>
          <w:b/>
          <w:spacing w:val="-3"/>
          <w:szCs w:val="22"/>
        </w:rPr>
        <w:t>n</w:t>
      </w:r>
      <w:r>
        <w:rPr>
          <w:b/>
          <w:spacing w:val="1"/>
          <w:szCs w:val="22"/>
        </w:rPr>
        <w:t>i</w:t>
      </w:r>
      <w:r>
        <w:rPr>
          <w:b/>
          <w:szCs w:val="22"/>
        </w:rPr>
        <w:t>ce</w:t>
      </w:r>
      <w:r>
        <w:rPr>
          <w:b/>
          <w:spacing w:val="-2"/>
        </w:rPr>
        <w:t xml:space="preserve"> </w:t>
      </w:r>
      <w:r>
        <w:rPr>
          <w:b/>
        </w:rPr>
        <w:t>şi</w:t>
      </w:r>
      <w:r>
        <w:rPr>
          <w:b/>
          <w:spacing w:val="1"/>
        </w:rPr>
        <w:t xml:space="preserve"> a </w:t>
      </w:r>
      <w:r>
        <w:rPr>
          <w:b/>
          <w:spacing w:val="-1"/>
        </w:rPr>
        <w:t>r</w:t>
      </w:r>
      <w:r>
        <w:rPr>
          <w:b/>
          <w:szCs w:val="22"/>
        </w:rPr>
        <w:t>ăs</w:t>
      </w:r>
      <w:r>
        <w:rPr>
          <w:b/>
          <w:spacing w:val="-1"/>
          <w:szCs w:val="22"/>
        </w:rPr>
        <w:t>pu</w:t>
      </w:r>
      <w:r>
        <w:rPr>
          <w:b/>
          <w:spacing w:val="-3"/>
          <w:szCs w:val="22"/>
        </w:rPr>
        <w:t>n</w:t>
      </w:r>
      <w:r>
        <w:rPr>
          <w:b/>
          <w:szCs w:val="22"/>
        </w:rPr>
        <w:t>s</w:t>
      </w:r>
      <w:r>
        <w:rPr>
          <w:b/>
          <w:spacing w:val="-1"/>
          <w:szCs w:val="22"/>
        </w:rPr>
        <w:t>u</w:t>
      </w:r>
      <w:r>
        <w:rPr>
          <w:b/>
          <w:szCs w:val="22"/>
        </w:rPr>
        <w:t>l</w:t>
      </w:r>
      <w:r>
        <w:rPr>
          <w:b/>
        </w:rPr>
        <w:t>ui</w:t>
      </w:r>
      <w:r>
        <w:rPr>
          <w:b/>
          <w:szCs w:val="22"/>
        </w:rPr>
        <w:t xml:space="preserve"> </w:t>
      </w:r>
      <w:r>
        <w:rPr>
          <w:b/>
        </w:rPr>
        <w:t>(</w:t>
      </w:r>
      <w:r>
        <w:rPr>
          <w:b/>
          <w:spacing w:val="-1"/>
        </w:rPr>
        <w:t>p</w:t>
      </w:r>
      <w:r>
        <w:rPr>
          <w:b/>
        </w:rPr>
        <w:t>ro</w:t>
      </w:r>
      <w:r>
        <w:rPr>
          <w:b/>
          <w:spacing w:val="-3"/>
        </w:rPr>
        <w:t>c</w:t>
      </w:r>
      <w:r>
        <w:rPr>
          <w:b/>
        </w:rPr>
        <w:t>e</w:t>
      </w:r>
      <w:r>
        <w:rPr>
          <w:b/>
          <w:spacing w:val="-1"/>
        </w:rPr>
        <w:t>n</w:t>
      </w:r>
      <w:r>
        <w:rPr>
          <w:b/>
        </w:rPr>
        <w:t>t</w:t>
      </w:r>
      <w:r>
        <w:rPr>
          <w:b/>
          <w:spacing w:val="-3"/>
        </w:rPr>
        <w:t>u</w:t>
      </w:r>
      <w:r>
        <w:rPr>
          <w:b/>
        </w:rPr>
        <w:t>l</w:t>
      </w:r>
      <w:r>
        <w:rPr>
          <w:b/>
          <w:spacing w:val="-2"/>
        </w:rPr>
        <w:t xml:space="preserve"> </w:t>
      </w:r>
      <w:r>
        <w:rPr>
          <w:b/>
          <w:spacing w:val="1"/>
        </w:rPr>
        <w:t>p</w:t>
      </w:r>
      <w:r>
        <w:rPr>
          <w:b/>
        </w:rPr>
        <w:t>a</w:t>
      </w:r>
      <w:r>
        <w:rPr>
          <w:b/>
          <w:spacing w:val="-3"/>
        </w:rPr>
        <w:t>c</w:t>
      </w:r>
      <w:r>
        <w:rPr>
          <w:b/>
          <w:spacing w:val="1"/>
        </w:rPr>
        <w:t>i</w:t>
      </w:r>
      <w:r>
        <w:rPr>
          <w:b/>
        </w:rPr>
        <w:t>e</w:t>
      </w:r>
      <w:r>
        <w:rPr>
          <w:b/>
          <w:spacing w:val="-1"/>
        </w:rPr>
        <w:t>n</w:t>
      </w:r>
      <w:r>
        <w:rPr>
          <w:b/>
          <w:spacing w:val="-2"/>
        </w:rPr>
        <w:t>ţi</w:t>
      </w:r>
      <w:r>
        <w:rPr>
          <w:b/>
          <w:spacing w:val="1"/>
        </w:rPr>
        <w:t>l</w:t>
      </w:r>
      <w:r>
        <w:rPr>
          <w:b/>
        </w:rPr>
        <w:t>or)</w:t>
      </w:r>
    </w:p>
    <w:p w14:paraId="50939D45" w14:textId="77777777" w:rsidR="00C04CAD" w:rsidRDefault="00C04CAD">
      <w:pPr>
        <w:keepNext/>
        <w:autoSpaceDE w:val="0"/>
        <w:autoSpaceDN w:val="0"/>
        <w:adjustRightInd w:val="0"/>
        <w:spacing w:line="240" w:lineRule="auto"/>
      </w:pPr>
    </w:p>
    <w:tbl>
      <w:tblPr>
        <w:tblW w:w="5076" w:type="pct"/>
        <w:tblLayout w:type="fixed"/>
        <w:tblCellMar>
          <w:left w:w="0" w:type="dxa"/>
          <w:right w:w="0" w:type="dxa"/>
        </w:tblCellMar>
        <w:tblLook w:val="04A0" w:firstRow="1" w:lastRow="0" w:firstColumn="1" w:lastColumn="0" w:noHBand="0" w:noVBand="1"/>
      </w:tblPr>
      <w:tblGrid>
        <w:gridCol w:w="3239"/>
        <w:gridCol w:w="1162"/>
        <w:gridCol w:w="2160"/>
        <w:gridCol w:w="2638"/>
      </w:tblGrid>
      <w:tr w:rsidR="00C04CAD" w14:paraId="6A940D08" w14:textId="77777777">
        <w:trPr>
          <w:trHeight w:hRule="exact" w:val="516"/>
          <w:tblHeader/>
        </w:trPr>
        <w:tc>
          <w:tcPr>
            <w:tcW w:w="1760" w:type="pct"/>
            <w:tcBorders>
              <w:top w:val="single" w:sz="4" w:space="0" w:color="000000"/>
              <w:left w:val="single" w:sz="4" w:space="0" w:color="000000"/>
              <w:bottom w:val="single" w:sz="4" w:space="0" w:color="000000"/>
              <w:right w:val="single" w:sz="4" w:space="0" w:color="000000"/>
            </w:tcBorders>
          </w:tcPr>
          <w:p w14:paraId="4A054B7A" w14:textId="77777777" w:rsidR="00C04CAD" w:rsidRDefault="00C04CAD">
            <w:pPr>
              <w:tabs>
                <w:tab w:val="clear" w:pos="567"/>
              </w:tabs>
              <w:autoSpaceDE w:val="0"/>
              <w:autoSpaceDN w:val="0"/>
              <w:adjustRightInd w:val="0"/>
              <w:spacing w:line="240" w:lineRule="auto"/>
            </w:pPr>
          </w:p>
        </w:tc>
        <w:tc>
          <w:tcPr>
            <w:tcW w:w="631" w:type="pct"/>
            <w:tcBorders>
              <w:top w:val="single" w:sz="4" w:space="0" w:color="000000"/>
              <w:left w:val="single" w:sz="4" w:space="0" w:color="000000"/>
              <w:bottom w:val="single" w:sz="4" w:space="0" w:color="000000"/>
              <w:right w:val="single" w:sz="4" w:space="0" w:color="000000"/>
            </w:tcBorders>
          </w:tcPr>
          <w:p w14:paraId="482D5C97"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spacing w:val="-1"/>
              </w:rPr>
              <w:t>P</w:t>
            </w:r>
            <w:r>
              <w:rPr>
                <w:b/>
                <w:spacing w:val="1"/>
              </w:rPr>
              <w:t>l</w:t>
            </w:r>
            <w:r>
              <w:rPr>
                <w:b/>
              </w:rPr>
              <w:t>ace</w:t>
            </w:r>
            <w:r>
              <w:rPr>
                <w:b/>
                <w:spacing w:val="-1"/>
              </w:rPr>
              <w:t>bo</w:t>
            </w:r>
          </w:p>
        </w:tc>
        <w:tc>
          <w:tcPr>
            <w:tcW w:w="1174" w:type="pct"/>
            <w:tcBorders>
              <w:top w:val="single" w:sz="4" w:space="0" w:color="000000"/>
              <w:left w:val="single" w:sz="4" w:space="0" w:color="000000"/>
              <w:bottom w:val="single" w:sz="4" w:space="0" w:color="000000"/>
              <w:right w:val="single" w:sz="4" w:space="0" w:color="000000"/>
            </w:tcBorders>
          </w:tcPr>
          <w:p w14:paraId="0F45DB75" w14:textId="77777777" w:rsidR="00C04CAD" w:rsidRDefault="00060E34">
            <w:pPr>
              <w:tabs>
                <w:tab w:val="clear" w:pos="567"/>
              </w:tabs>
              <w:kinsoku w:val="0"/>
              <w:overflowPunct w:val="0"/>
              <w:autoSpaceDE w:val="0"/>
              <w:autoSpaceDN w:val="0"/>
              <w:adjustRightInd w:val="0"/>
              <w:spacing w:line="240" w:lineRule="auto"/>
              <w:ind w:left="113"/>
              <w:jc w:val="center"/>
              <w:rPr>
                <w:szCs w:val="22"/>
              </w:rPr>
            </w:pPr>
            <w:r>
              <w:rPr>
                <w:rFonts w:eastAsia="MS Mincho"/>
                <w:b/>
                <w:spacing w:val="-1"/>
                <w:szCs w:val="22"/>
                <w:lang w:eastAsia="en-US" w:bidi="ar-SA"/>
              </w:rPr>
              <w:t xml:space="preserve">Adalimumab </w:t>
            </w:r>
            <w:r>
              <w:rPr>
                <w:b/>
                <w:szCs w:val="22"/>
              </w:rPr>
              <w:t>40 mg</w:t>
            </w:r>
            <w:r>
              <w:rPr>
                <w:b/>
                <w:spacing w:val="-3"/>
                <w:szCs w:val="22"/>
              </w:rPr>
              <w:t xml:space="preserve"> </w:t>
            </w:r>
            <w:r>
              <w:rPr>
                <w:b/>
                <w:spacing w:val="1"/>
                <w:szCs w:val="22"/>
              </w:rPr>
              <w:t>l</w:t>
            </w:r>
            <w:r>
              <w:rPr>
                <w:b/>
                <w:szCs w:val="22"/>
              </w:rPr>
              <w:t xml:space="preserve">a </w:t>
            </w:r>
            <w:r>
              <w:rPr>
                <w:b/>
                <w:spacing w:val="-1"/>
                <w:szCs w:val="22"/>
              </w:rPr>
              <w:t>d</w:t>
            </w:r>
            <w:r>
              <w:rPr>
                <w:b/>
                <w:szCs w:val="22"/>
              </w:rPr>
              <w:t>o</w:t>
            </w:r>
            <w:r>
              <w:rPr>
                <w:b/>
                <w:spacing w:val="-1"/>
                <w:szCs w:val="22"/>
              </w:rPr>
              <w:t>u</w:t>
            </w:r>
            <w:r>
              <w:rPr>
                <w:b/>
                <w:szCs w:val="22"/>
              </w:rPr>
              <w:t>ă</w:t>
            </w:r>
            <w:r>
              <w:rPr>
                <w:b/>
                <w:spacing w:val="-3"/>
                <w:szCs w:val="22"/>
              </w:rPr>
              <w:t xml:space="preserve"> </w:t>
            </w:r>
            <w:r>
              <w:rPr>
                <w:b/>
                <w:szCs w:val="22"/>
              </w:rPr>
              <w:t>să</w:t>
            </w:r>
            <w:r>
              <w:rPr>
                <w:b/>
                <w:spacing w:val="-1"/>
                <w:szCs w:val="22"/>
              </w:rPr>
              <w:t>p</w:t>
            </w:r>
            <w:r>
              <w:rPr>
                <w:b/>
                <w:szCs w:val="22"/>
              </w:rPr>
              <w:t>t</w:t>
            </w:r>
            <w:r>
              <w:rPr>
                <w:b/>
                <w:spacing w:val="-3"/>
                <w:szCs w:val="22"/>
              </w:rPr>
              <w:t>ă</w:t>
            </w:r>
            <w:r>
              <w:rPr>
                <w:b/>
                <w:szCs w:val="22"/>
              </w:rPr>
              <w:t>mâ</w:t>
            </w:r>
            <w:r>
              <w:rPr>
                <w:b/>
                <w:spacing w:val="-3"/>
                <w:szCs w:val="22"/>
              </w:rPr>
              <w:t>n</w:t>
            </w:r>
            <w:r>
              <w:rPr>
                <w:b/>
                <w:szCs w:val="22"/>
              </w:rPr>
              <w:t>i</w:t>
            </w:r>
          </w:p>
        </w:tc>
        <w:tc>
          <w:tcPr>
            <w:tcW w:w="1434" w:type="pct"/>
            <w:tcBorders>
              <w:top w:val="single" w:sz="4" w:space="0" w:color="000000"/>
              <w:left w:val="single" w:sz="4" w:space="0" w:color="000000"/>
              <w:bottom w:val="single" w:sz="4" w:space="0" w:color="000000"/>
              <w:right w:val="single" w:sz="4" w:space="0" w:color="000000"/>
            </w:tcBorders>
          </w:tcPr>
          <w:p w14:paraId="0600DFBD" w14:textId="77777777" w:rsidR="00C04CAD" w:rsidRDefault="00060E34">
            <w:pPr>
              <w:tabs>
                <w:tab w:val="clear" w:pos="567"/>
              </w:tabs>
              <w:kinsoku w:val="0"/>
              <w:overflowPunct w:val="0"/>
              <w:autoSpaceDE w:val="0"/>
              <w:autoSpaceDN w:val="0"/>
              <w:adjustRightInd w:val="0"/>
              <w:spacing w:line="240" w:lineRule="auto"/>
              <w:ind w:left="113"/>
              <w:jc w:val="center"/>
              <w:rPr>
                <w:szCs w:val="22"/>
              </w:rPr>
            </w:pPr>
            <w:r>
              <w:rPr>
                <w:rFonts w:eastAsia="MS Mincho"/>
                <w:b/>
                <w:spacing w:val="-1"/>
                <w:szCs w:val="22"/>
                <w:lang w:eastAsia="en-US" w:bidi="ar-SA"/>
              </w:rPr>
              <w:t>Adalimumab</w:t>
            </w:r>
            <w:r>
              <w:rPr>
                <w:rFonts w:eastAsia="MS Mincho"/>
                <w:b/>
                <w:bCs/>
                <w:szCs w:val="22"/>
                <w:lang w:eastAsia="en-US" w:bidi="ar-SA"/>
              </w:rPr>
              <w:t>40</w:t>
            </w:r>
            <w:r>
              <w:rPr>
                <w:b/>
                <w:szCs w:val="22"/>
              </w:rPr>
              <w:t xml:space="preserve"> mg</w:t>
            </w:r>
            <w:r>
              <w:rPr>
                <w:b/>
                <w:spacing w:val="-3"/>
                <w:szCs w:val="22"/>
              </w:rPr>
              <w:t xml:space="preserve"> </w:t>
            </w:r>
            <w:r>
              <w:rPr>
                <w:b/>
                <w:szCs w:val="22"/>
              </w:rPr>
              <w:t>să</w:t>
            </w:r>
            <w:r>
              <w:rPr>
                <w:b/>
                <w:spacing w:val="-1"/>
                <w:szCs w:val="22"/>
              </w:rPr>
              <w:t>p</w:t>
            </w:r>
            <w:r>
              <w:rPr>
                <w:b/>
                <w:szCs w:val="22"/>
              </w:rPr>
              <w:t>t</w:t>
            </w:r>
            <w:r>
              <w:rPr>
                <w:b/>
                <w:spacing w:val="-3"/>
                <w:szCs w:val="22"/>
              </w:rPr>
              <w:t>ă</w:t>
            </w:r>
            <w:r>
              <w:rPr>
                <w:b/>
                <w:szCs w:val="22"/>
              </w:rPr>
              <w:t>mâ</w:t>
            </w:r>
            <w:r>
              <w:rPr>
                <w:b/>
                <w:spacing w:val="-1"/>
                <w:szCs w:val="22"/>
              </w:rPr>
              <w:t>n</w:t>
            </w:r>
            <w:r>
              <w:rPr>
                <w:b/>
                <w:spacing w:val="-3"/>
                <w:szCs w:val="22"/>
              </w:rPr>
              <w:t>al</w:t>
            </w:r>
          </w:p>
        </w:tc>
      </w:tr>
      <w:tr w:rsidR="00C04CAD" w14:paraId="0CADB58C" w14:textId="77777777">
        <w:trPr>
          <w:trHeight w:hRule="exact" w:val="269"/>
        </w:trPr>
        <w:tc>
          <w:tcPr>
            <w:tcW w:w="1760" w:type="pct"/>
            <w:tcBorders>
              <w:top w:val="single" w:sz="4" w:space="0" w:color="000000"/>
              <w:left w:val="single" w:sz="4" w:space="0" w:color="000000"/>
              <w:bottom w:val="single" w:sz="4" w:space="0" w:color="000000"/>
              <w:right w:val="single" w:sz="4" w:space="0" w:color="000000"/>
            </w:tcBorders>
          </w:tcPr>
          <w:p w14:paraId="4CC4CEA9" w14:textId="77777777" w:rsidR="00C04CAD" w:rsidRDefault="00060E34">
            <w:pPr>
              <w:tabs>
                <w:tab w:val="clear" w:pos="567"/>
              </w:tabs>
              <w:kinsoku w:val="0"/>
              <w:overflowPunct w:val="0"/>
              <w:autoSpaceDE w:val="0"/>
              <w:autoSpaceDN w:val="0"/>
              <w:adjustRightInd w:val="0"/>
              <w:spacing w:line="240" w:lineRule="auto"/>
              <w:ind w:left="113"/>
            </w:pPr>
            <w:r>
              <w:rPr>
                <w:b/>
                <w:spacing w:val="-1"/>
              </w:rPr>
              <w:t>S</w:t>
            </w:r>
            <w:r>
              <w:rPr>
                <w:b/>
              </w:rPr>
              <w:t>ă</w:t>
            </w:r>
            <w:r>
              <w:rPr>
                <w:b/>
                <w:spacing w:val="-1"/>
              </w:rPr>
              <w:t>p</w:t>
            </w:r>
            <w:r>
              <w:rPr>
                <w:b/>
              </w:rPr>
              <w:t>tă</w:t>
            </w:r>
            <w:r>
              <w:rPr>
                <w:b/>
                <w:spacing w:val="-2"/>
              </w:rPr>
              <w:t>m</w:t>
            </w:r>
            <w:r>
              <w:rPr>
                <w:b/>
              </w:rPr>
              <w:t>â</w:t>
            </w:r>
            <w:r>
              <w:rPr>
                <w:b/>
                <w:spacing w:val="-1"/>
              </w:rPr>
              <w:t>n</w:t>
            </w:r>
            <w:r>
              <w:rPr>
                <w:b/>
              </w:rPr>
              <w:t>a 26</w:t>
            </w:r>
          </w:p>
        </w:tc>
        <w:tc>
          <w:tcPr>
            <w:tcW w:w="631" w:type="pct"/>
            <w:tcBorders>
              <w:top w:val="single" w:sz="4" w:space="0" w:color="000000"/>
              <w:left w:val="single" w:sz="4" w:space="0" w:color="000000"/>
              <w:bottom w:val="single" w:sz="4" w:space="0" w:color="000000"/>
              <w:right w:val="single" w:sz="4" w:space="0" w:color="000000"/>
            </w:tcBorders>
          </w:tcPr>
          <w:p w14:paraId="353912AB" w14:textId="77777777" w:rsidR="00C04CAD" w:rsidRDefault="00060E34">
            <w:pPr>
              <w:tabs>
                <w:tab w:val="clear" w:pos="567"/>
              </w:tabs>
              <w:kinsoku w:val="0"/>
              <w:overflowPunct w:val="0"/>
              <w:autoSpaceDE w:val="0"/>
              <w:autoSpaceDN w:val="0"/>
              <w:adjustRightInd w:val="0"/>
              <w:spacing w:line="240" w:lineRule="auto"/>
              <w:ind w:left="113"/>
              <w:jc w:val="center"/>
            </w:pPr>
            <w:r>
              <w:rPr>
                <w:b/>
                <w:spacing w:val="-2"/>
              </w:rPr>
              <w:t>N=</w:t>
            </w:r>
            <w:r>
              <w:rPr>
                <w:b/>
              </w:rPr>
              <w:t>170</w:t>
            </w:r>
          </w:p>
        </w:tc>
        <w:tc>
          <w:tcPr>
            <w:tcW w:w="1174" w:type="pct"/>
            <w:tcBorders>
              <w:top w:val="single" w:sz="4" w:space="0" w:color="000000"/>
              <w:left w:val="single" w:sz="4" w:space="0" w:color="000000"/>
              <w:bottom w:val="single" w:sz="4" w:space="0" w:color="000000"/>
              <w:right w:val="single" w:sz="4" w:space="0" w:color="000000"/>
            </w:tcBorders>
          </w:tcPr>
          <w:p w14:paraId="698E0BD3" w14:textId="77777777" w:rsidR="00C04CAD" w:rsidRDefault="00060E34">
            <w:pPr>
              <w:tabs>
                <w:tab w:val="clear" w:pos="567"/>
              </w:tabs>
              <w:kinsoku w:val="0"/>
              <w:overflowPunct w:val="0"/>
              <w:autoSpaceDE w:val="0"/>
              <w:autoSpaceDN w:val="0"/>
              <w:adjustRightInd w:val="0"/>
              <w:spacing w:line="240" w:lineRule="auto"/>
              <w:ind w:left="113"/>
              <w:jc w:val="center"/>
            </w:pPr>
            <w:r>
              <w:rPr>
                <w:b/>
                <w:spacing w:val="-2"/>
              </w:rPr>
              <w:t>N=</w:t>
            </w:r>
            <w:r>
              <w:rPr>
                <w:b/>
              </w:rPr>
              <w:t>172</w:t>
            </w:r>
          </w:p>
        </w:tc>
        <w:tc>
          <w:tcPr>
            <w:tcW w:w="1434" w:type="pct"/>
            <w:tcBorders>
              <w:top w:val="single" w:sz="4" w:space="0" w:color="000000"/>
              <w:left w:val="single" w:sz="4" w:space="0" w:color="000000"/>
              <w:bottom w:val="single" w:sz="4" w:space="0" w:color="000000"/>
              <w:right w:val="single" w:sz="4" w:space="0" w:color="000000"/>
            </w:tcBorders>
          </w:tcPr>
          <w:p w14:paraId="09689877" w14:textId="77777777" w:rsidR="00C04CAD" w:rsidRDefault="00060E34">
            <w:pPr>
              <w:tabs>
                <w:tab w:val="clear" w:pos="567"/>
              </w:tabs>
              <w:kinsoku w:val="0"/>
              <w:overflowPunct w:val="0"/>
              <w:autoSpaceDE w:val="0"/>
              <w:autoSpaceDN w:val="0"/>
              <w:adjustRightInd w:val="0"/>
              <w:spacing w:line="240" w:lineRule="auto"/>
              <w:ind w:left="113"/>
              <w:jc w:val="center"/>
            </w:pPr>
            <w:r>
              <w:rPr>
                <w:b/>
                <w:spacing w:val="-2"/>
              </w:rPr>
              <w:t>N=</w:t>
            </w:r>
            <w:r>
              <w:rPr>
                <w:b/>
              </w:rPr>
              <w:t>157</w:t>
            </w:r>
          </w:p>
        </w:tc>
      </w:tr>
      <w:tr w:rsidR="00C04CAD" w14:paraId="003D5784" w14:textId="77777777">
        <w:trPr>
          <w:trHeight w:hRule="exact" w:val="370"/>
        </w:trPr>
        <w:tc>
          <w:tcPr>
            <w:tcW w:w="1760" w:type="pct"/>
            <w:tcBorders>
              <w:top w:val="single" w:sz="4" w:space="0" w:color="000000"/>
              <w:left w:val="single" w:sz="4" w:space="0" w:color="000000"/>
              <w:bottom w:val="single" w:sz="4" w:space="0" w:color="000000"/>
              <w:right w:val="single" w:sz="4" w:space="0" w:color="000000"/>
            </w:tcBorders>
          </w:tcPr>
          <w:p w14:paraId="7F1A64B1" w14:textId="77777777" w:rsidR="00C04CAD" w:rsidRDefault="00060E34">
            <w:pPr>
              <w:tabs>
                <w:tab w:val="clear" w:pos="567"/>
              </w:tabs>
              <w:kinsoku w:val="0"/>
              <w:overflowPunct w:val="0"/>
              <w:autoSpaceDE w:val="0"/>
              <w:autoSpaceDN w:val="0"/>
              <w:adjustRightInd w:val="0"/>
              <w:spacing w:line="240" w:lineRule="auto"/>
              <w:ind w:left="113"/>
            </w:pPr>
            <w:r>
              <w:rPr>
                <w:spacing w:val="-1"/>
              </w:rPr>
              <w:t>R</w:t>
            </w:r>
            <w:r>
              <w:t>e</w:t>
            </w:r>
            <w:r>
              <w:rPr>
                <w:spacing w:val="-4"/>
              </w:rPr>
              <w:t>m</w:t>
            </w:r>
            <w:r>
              <w:rPr>
                <w:spacing w:val="1"/>
              </w:rPr>
              <w:t>i</w:t>
            </w:r>
            <w:r>
              <w:t>s</w:t>
            </w:r>
            <w:r>
              <w:rPr>
                <w:spacing w:val="1"/>
              </w:rPr>
              <w:t>i</w:t>
            </w:r>
            <w:r>
              <w:t>e c</w:t>
            </w:r>
            <w:r>
              <w:rPr>
                <w:spacing w:val="-2"/>
              </w:rPr>
              <w:t>l</w:t>
            </w:r>
            <w:r>
              <w:rPr>
                <w:spacing w:val="1"/>
              </w:rPr>
              <w:t>i</w:t>
            </w:r>
            <w:r>
              <w:rPr>
                <w:spacing w:val="-3"/>
              </w:rPr>
              <w:t>n</w:t>
            </w:r>
            <w:r>
              <w:rPr>
                <w:spacing w:val="1"/>
              </w:rPr>
              <w:t>i</w:t>
            </w:r>
            <w:r>
              <w:t>că</w:t>
            </w:r>
          </w:p>
        </w:tc>
        <w:tc>
          <w:tcPr>
            <w:tcW w:w="631" w:type="pct"/>
            <w:tcBorders>
              <w:top w:val="single" w:sz="4" w:space="0" w:color="000000"/>
              <w:left w:val="single" w:sz="4" w:space="0" w:color="000000"/>
              <w:bottom w:val="single" w:sz="4" w:space="0" w:color="000000"/>
              <w:right w:val="single" w:sz="4" w:space="0" w:color="000000"/>
            </w:tcBorders>
          </w:tcPr>
          <w:p w14:paraId="3295DA48" w14:textId="77777777" w:rsidR="00C04CAD" w:rsidRDefault="00060E34">
            <w:pPr>
              <w:tabs>
                <w:tab w:val="clear" w:pos="567"/>
              </w:tabs>
              <w:kinsoku w:val="0"/>
              <w:overflowPunct w:val="0"/>
              <w:autoSpaceDE w:val="0"/>
              <w:autoSpaceDN w:val="0"/>
              <w:adjustRightInd w:val="0"/>
              <w:spacing w:line="240" w:lineRule="auto"/>
              <w:ind w:left="113"/>
              <w:jc w:val="center"/>
            </w:pPr>
            <w:r>
              <w:t>17%</w:t>
            </w:r>
          </w:p>
        </w:tc>
        <w:tc>
          <w:tcPr>
            <w:tcW w:w="1174" w:type="pct"/>
            <w:tcBorders>
              <w:top w:val="single" w:sz="4" w:space="0" w:color="000000"/>
              <w:left w:val="single" w:sz="4" w:space="0" w:color="000000"/>
              <w:bottom w:val="single" w:sz="4" w:space="0" w:color="000000"/>
              <w:right w:val="single" w:sz="4" w:space="0" w:color="000000"/>
            </w:tcBorders>
          </w:tcPr>
          <w:p w14:paraId="39E3B8EC" w14:textId="77777777" w:rsidR="00C04CAD" w:rsidRDefault="00060E34">
            <w:pPr>
              <w:tabs>
                <w:tab w:val="clear" w:pos="567"/>
              </w:tabs>
              <w:kinsoku w:val="0"/>
              <w:overflowPunct w:val="0"/>
              <w:autoSpaceDE w:val="0"/>
              <w:autoSpaceDN w:val="0"/>
              <w:adjustRightInd w:val="0"/>
              <w:spacing w:line="240" w:lineRule="auto"/>
              <w:ind w:left="113"/>
              <w:jc w:val="center"/>
            </w:pPr>
            <w:r>
              <w:t>40%*</w:t>
            </w:r>
          </w:p>
        </w:tc>
        <w:tc>
          <w:tcPr>
            <w:tcW w:w="1434" w:type="pct"/>
            <w:tcBorders>
              <w:top w:val="single" w:sz="4" w:space="0" w:color="000000"/>
              <w:left w:val="single" w:sz="4" w:space="0" w:color="000000"/>
              <w:bottom w:val="single" w:sz="4" w:space="0" w:color="000000"/>
              <w:right w:val="single" w:sz="4" w:space="0" w:color="000000"/>
            </w:tcBorders>
          </w:tcPr>
          <w:p w14:paraId="703A1B7C" w14:textId="77777777" w:rsidR="00C04CAD" w:rsidRDefault="00060E34">
            <w:pPr>
              <w:tabs>
                <w:tab w:val="clear" w:pos="567"/>
              </w:tabs>
              <w:kinsoku w:val="0"/>
              <w:overflowPunct w:val="0"/>
              <w:autoSpaceDE w:val="0"/>
              <w:autoSpaceDN w:val="0"/>
              <w:adjustRightInd w:val="0"/>
              <w:spacing w:line="240" w:lineRule="auto"/>
              <w:ind w:left="113"/>
              <w:jc w:val="center"/>
            </w:pPr>
            <w:r>
              <w:t>47%*</w:t>
            </w:r>
          </w:p>
        </w:tc>
      </w:tr>
      <w:tr w:rsidR="00C04CAD" w14:paraId="36D89889" w14:textId="77777777">
        <w:trPr>
          <w:trHeight w:hRule="exact" w:val="386"/>
        </w:trPr>
        <w:tc>
          <w:tcPr>
            <w:tcW w:w="1760" w:type="pct"/>
            <w:tcBorders>
              <w:top w:val="single" w:sz="4" w:space="0" w:color="000000"/>
              <w:left w:val="single" w:sz="4" w:space="0" w:color="000000"/>
              <w:bottom w:val="single" w:sz="4" w:space="0" w:color="000000"/>
              <w:right w:val="single" w:sz="4" w:space="0" w:color="000000"/>
            </w:tcBorders>
          </w:tcPr>
          <w:p w14:paraId="4C5312FB" w14:textId="77777777" w:rsidR="00C04CAD" w:rsidRDefault="00060E34">
            <w:pPr>
              <w:tabs>
                <w:tab w:val="clear" w:pos="567"/>
              </w:tabs>
              <w:kinsoku w:val="0"/>
              <w:overflowPunct w:val="0"/>
              <w:autoSpaceDE w:val="0"/>
              <w:autoSpaceDN w:val="0"/>
              <w:adjustRightInd w:val="0"/>
              <w:spacing w:line="240" w:lineRule="auto"/>
              <w:ind w:left="113"/>
            </w:pPr>
            <w:r>
              <w:rPr>
                <w:spacing w:val="-1"/>
              </w:rPr>
              <w:t>R</w:t>
            </w:r>
            <w:r>
              <w:t>ăspuns</w:t>
            </w:r>
            <w:r>
              <w:rPr>
                <w:spacing w:val="-2"/>
              </w:rPr>
              <w:t xml:space="preserve"> </w:t>
            </w:r>
            <w:r>
              <w:t>c</w:t>
            </w:r>
            <w:r>
              <w:rPr>
                <w:spacing w:val="-2"/>
              </w:rPr>
              <w:t>l</w:t>
            </w:r>
            <w:r>
              <w:rPr>
                <w:spacing w:val="1"/>
              </w:rPr>
              <w:t>i</w:t>
            </w:r>
            <w:r>
              <w:t>n</w:t>
            </w:r>
            <w:r>
              <w:rPr>
                <w:spacing w:val="-2"/>
              </w:rPr>
              <w:t>i</w:t>
            </w:r>
            <w:r>
              <w:t>c (</w:t>
            </w:r>
            <w:r>
              <w:rPr>
                <w:spacing w:val="-1"/>
              </w:rPr>
              <w:t>CR</w:t>
            </w:r>
            <w:r>
              <w:rPr>
                <w:spacing w:val="-4"/>
              </w:rPr>
              <w:t>-</w:t>
            </w:r>
            <w:r>
              <w:t>100)</w:t>
            </w:r>
          </w:p>
        </w:tc>
        <w:tc>
          <w:tcPr>
            <w:tcW w:w="631" w:type="pct"/>
            <w:tcBorders>
              <w:top w:val="single" w:sz="4" w:space="0" w:color="000000"/>
              <w:left w:val="single" w:sz="4" w:space="0" w:color="000000"/>
              <w:bottom w:val="single" w:sz="4" w:space="0" w:color="000000"/>
              <w:right w:val="single" w:sz="4" w:space="0" w:color="000000"/>
            </w:tcBorders>
          </w:tcPr>
          <w:p w14:paraId="2A0C1196" w14:textId="77777777" w:rsidR="00C04CAD" w:rsidRDefault="00060E34">
            <w:pPr>
              <w:tabs>
                <w:tab w:val="clear" w:pos="567"/>
              </w:tabs>
              <w:kinsoku w:val="0"/>
              <w:overflowPunct w:val="0"/>
              <w:autoSpaceDE w:val="0"/>
              <w:autoSpaceDN w:val="0"/>
              <w:adjustRightInd w:val="0"/>
              <w:spacing w:line="240" w:lineRule="auto"/>
              <w:ind w:left="113"/>
              <w:jc w:val="center"/>
            </w:pPr>
            <w:r>
              <w:t>27%</w:t>
            </w:r>
          </w:p>
        </w:tc>
        <w:tc>
          <w:tcPr>
            <w:tcW w:w="1174" w:type="pct"/>
            <w:tcBorders>
              <w:top w:val="single" w:sz="4" w:space="0" w:color="000000"/>
              <w:left w:val="single" w:sz="4" w:space="0" w:color="000000"/>
              <w:bottom w:val="single" w:sz="4" w:space="0" w:color="000000"/>
              <w:right w:val="single" w:sz="4" w:space="0" w:color="000000"/>
            </w:tcBorders>
          </w:tcPr>
          <w:p w14:paraId="2C0B66A9" w14:textId="77777777" w:rsidR="00C04CAD" w:rsidRDefault="00060E34">
            <w:pPr>
              <w:tabs>
                <w:tab w:val="clear" w:pos="567"/>
              </w:tabs>
              <w:kinsoku w:val="0"/>
              <w:overflowPunct w:val="0"/>
              <w:autoSpaceDE w:val="0"/>
              <w:autoSpaceDN w:val="0"/>
              <w:adjustRightInd w:val="0"/>
              <w:spacing w:line="240" w:lineRule="auto"/>
              <w:ind w:left="113"/>
              <w:jc w:val="center"/>
            </w:pPr>
            <w:r>
              <w:t>52%*</w:t>
            </w:r>
          </w:p>
        </w:tc>
        <w:tc>
          <w:tcPr>
            <w:tcW w:w="1434" w:type="pct"/>
            <w:tcBorders>
              <w:top w:val="single" w:sz="4" w:space="0" w:color="000000"/>
              <w:left w:val="single" w:sz="4" w:space="0" w:color="000000"/>
              <w:bottom w:val="single" w:sz="4" w:space="0" w:color="000000"/>
              <w:right w:val="single" w:sz="4" w:space="0" w:color="000000"/>
            </w:tcBorders>
          </w:tcPr>
          <w:p w14:paraId="4C6E1997" w14:textId="77777777" w:rsidR="00C04CAD" w:rsidRDefault="00060E34">
            <w:pPr>
              <w:tabs>
                <w:tab w:val="clear" w:pos="567"/>
              </w:tabs>
              <w:kinsoku w:val="0"/>
              <w:overflowPunct w:val="0"/>
              <w:autoSpaceDE w:val="0"/>
              <w:autoSpaceDN w:val="0"/>
              <w:adjustRightInd w:val="0"/>
              <w:spacing w:line="240" w:lineRule="auto"/>
              <w:ind w:left="113"/>
              <w:jc w:val="center"/>
            </w:pPr>
            <w:r>
              <w:t>52%*</w:t>
            </w:r>
          </w:p>
        </w:tc>
      </w:tr>
      <w:tr w:rsidR="00C04CAD" w14:paraId="697E8BC0" w14:textId="77777777">
        <w:trPr>
          <w:trHeight w:hRule="exact" w:val="516"/>
        </w:trPr>
        <w:tc>
          <w:tcPr>
            <w:tcW w:w="1760" w:type="pct"/>
            <w:tcBorders>
              <w:top w:val="single" w:sz="4" w:space="0" w:color="000000"/>
              <w:left w:val="single" w:sz="4" w:space="0" w:color="000000"/>
              <w:bottom w:val="single" w:sz="4" w:space="0" w:color="000000"/>
              <w:right w:val="single" w:sz="4" w:space="0" w:color="000000"/>
            </w:tcBorders>
          </w:tcPr>
          <w:p w14:paraId="2E60A214" w14:textId="77777777" w:rsidR="00C04CAD" w:rsidRDefault="00060E34">
            <w:pPr>
              <w:tabs>
                <w:tab w:val="clear" w:pos="567"/>
              </w:tabs>
              <w:kinsoku w:val="0"/>
              <w:overflowPunct w:val="0"/>
              <w:autoSpaceDE w:val="0"/>
              <w:autoSpaceDN w:val="0"/>
              <w:adjustRightInd w:val="0"/>
              <w:spacing w:line="240" w:lineRule="auto"/>
              <w:ind w:left="113"/>
            </w:pPr>
            <w:r>
              <w:rPr>
                <w:spacing w:val="-1"/>
              </w:rPr>
              <w:t>P</w:t>
            </w:r>
            <w:r>
              <w:t>a</w:t>
            </w:r>
            <w:r>
              <w:rPr>
                <w:spacing w:val="-3"/>
              </w:rPr>
              <w:t>c</w:t>
            </w:r>
            <w:r>
              <w:rPr>
                <w:spacing w:val="1"/>
              </w:rPr>
              <w:t>i</w:t>
            </w:r>
            <w:r>
              <w:t>e</w:t>
            </w:r>
            <w:r>
              <w:rPr>
                <w:spacing w:val="-3"/>
              </w:rPr>
              <w:t>n</w:t>
            </w:r>
            <w:r>
              <w:rPr>
                <w:spacing w:val="1"/>
              </w:rPr>
              <w:t>ţ</w:t>
            </w:r>
            <w:r>
              <w:t>i</w:t>
            </w:r>
            <w:r>
              <w:rPr>
                <w:spacing w:val="-2"/>
              </w:rPr>
              <w:t xml:space="preserve"> </w:t>
            </w:r>
            <w:r>
              <w:t xml:space="preserve">cu </w:t>
            </w:r>
            <w:r>
              <w:rPr>
                <w:spacing w:val="-2"/>
              </w:rPr>
              <w:t>r</w:t>
            </w:r>
            <w:r>
              <w:t>e</w:t>
            </w:r>
            <w:r>
              <w:rPr>
                <w:spacing w:val="-4"/>
              </w:rPr>
              <w:t>m</w:t>
            </w:r>
            <w:r>
              <w:t>is</w:t>
            </w:r>
            <w:r>
              <w:rPr>
                <w:spacing w:val="1"/>
              </w:rPr>
              <w:t>i</w:t>
            </w:r>
            <w:r>
              <w:t>e</w:t>
            </w:r>
            <w:r>
              <w:rPr>
                <w:spacing w:val="-2"/>
              </w:rPr>
              <w:t xml:space="preserve"> </w:t>
            </w:r>
            <w:r>
              <w:t>fă</w:t>
            </w:r>
            <w:r>
              <w:rPr>
                <w:spacing w:val="-2"/>
              </w:rPr>
              <w:t>r</w:t>
            </w:r>
            <w:r>
              <w:t>ă</w:t>
            </w:r>
            <w:r>
              <w:rPr>
                <w:spacing w:val="-2"/>
              </w:rPr>
              <w:t xml:space="preserve"> </w:t>
            </w:r>
            <w:r>
              <w:t>s</w:t>
            </w:r>
            <w:r>
              <w:rPr>
                <w:spacing w:val="1"/>
              </w:rPr>
              <w:t>t</w:t>
            </w:r>
            <w:r>
              <w:rPr>
                <w:spacing w:val="-3"/>
              </w:rPr>
              <w:t>e</w:t>
            </w:r>
            <w:r>
              <w:t>ro</w:t>
            </w:r>
            <w:r>
              <w:rPr>
                <w:spacing w:val="1"/>
              </w:rPr>
              <w:t>i</w:t>
            </w:r>
            <w:r>
              <w:rPr>
                <w:spacing w:val="-3"/>
              </w:rPr>
              <w:t>z</w:t>
            </w:r>
            <w:r>
              <w:t xml:space="preserve">i </w:t>
            </w:r>
            <w:r>
              <w:rPr>
                <w:spacing w:val="1"/>
              </w:rPr>
              <w:t>ti</w:t>
            </w:r>
            <w:r>
              <w:rPr>
                <w:spacing w:val="-4"/>
              </w:rPr>
              <w:t>m</w:t>
            </w:r>
            <w:r>
              <w:t>p</w:t>
            </w:r>
            <w:r>
              <w:rPr>
                <w:spacing w:val="-1"/>
              </w:rPr>
              <w:t xml:space="preserve"> </w:t>
            </w:r>
            <w:r>
              <w:t>de &gt; =</w:t>
            </w:r>
            <w:r>
              <w:rPr>
                <w:spacing w:val="-3"/>
              </w:rPr>
              <w:t>9</w:t>
            </w:r>
            <w:r>
              <w:t xml:space="preserve">0 </w:t>
            </w:r>
            <w:r>
              <w:rPr>
                <w:spacing w:val="-3"/>
              </w:rPr>
              <w:t>z</w:t>
            </w:r>
            <w:r>
              <w:rPr>
                <w:spacing w:val="1"/>
              </w:rPr>
              <w:t>il</w:t>
            </w:r>
            <w:r>
              <w:t>e</w:t>
            </w:r>
            <w:r>
              <w:rPr>
                <w:vertAlign w:val="superscript"/>
              </w:rPr>
              <w:t>a</w:t>
            </w:r>
          </w:p>
        </w:tc>
        <w:tc>
          <w:tcPr>
            <w:tcW w:w="631" w:type="pct"/>
            <w:tcBorders>
              <w:top w:val="single" w:sz="4" w:space="0" w:color="000000"/>
              <w:left w:val="single" w:sz="4" w:space="0" w:color="000000"/>
              <w:bottom w:val="single" w:sz="4" w:space="0" w:color="000000"/>
              <w:right w:val="single" w:sz="4" w:space="0" w:color="000000"/>
            </w:tcBorders>
          </w:tcPr>
          <w:p w14:paraId="4C3698BB" w14:textId="77777777" w:rsidR="00C04CAD" w:rsidRDefault="00060E34">
            <w:pPr>
              <w:tabs>
                <w:tab w:val="clear" w:pos="567"/>
              </w:tabs>
              <w:kinsoku w:val="0"/>
              <w:overflowPunct w:val="0"/>
              <w:autoSpaceDE w:val="0"/>
              <w:autoSpaceDN w:val="0"/>
              <w:adjustRightInd w:val="0"/>
              <w:spacing w:line="240" w:lineRule="auto"/>
              <w:ind w:left="113"/>
              <w:jc w:val="center"/>
            </w:pPr>
            <w:r>
              <w:t>3%</w:t>
            </w:r>
            <w:r>
              <w:rPr>
                <w:spacing w:val="1"/>
              </w:rPr>
              <w:t xml:space="preserve"> </w:t>
            </w:r>
            <w:r>
              <w:rPr>
                <w:spacing w:val="-2"/>
              </w:rPr>
              <w:t>(</w:t>
            </w:r>
            <w:r>
              <w:t>2</w:t>
            </w:r>
            <w:r>
              <w:rPr>
                <w:spacing w:val="1"/>
              </w:rPr>
              <w:t>/</w:t>
            </w:r>
            <w:r>
              <w:t>6</w:t>
            </w:r>
            <w:r>
              <w:rPr>
                <w:spacing w:val="-3"/>
              </w:rPr>
              <w:t>6</w:t>
            </w:r>
            <w:r>
              <w:t>)</w:t>
            </w:r>
          </w:p>
        </w:tc>
        <w:tc>
          <w:tcPr>
            <w:tcW w:w="1174" w:type="pct"/>
            <w:tcBorders>
              <w:top w:val="single" w:sz="4" w:space="0" w:color="000000"/>
              <w:left w:val="single" w:sz="4" w:space="0" w:color="000000"/>
              <w:bottom w:val="single" w:sz="4" w:space="0" w:color="000000"/>
              <w:right w:val="single" w:sz="4" w:space="0" w:color="000000"/>
            </w:tcBorders>
          </w:tcPr>
          <w:p w14:paraId="658E1200" w14:textId="77777777" w:rsidR="00C04CAD" w:rsidRDefault="00060E34">
            <w:pPr>
              <w:tabs>
                <w:tab w:val="clear" w:pos="567"/>
              </w:tabs>
              <w:kinsoku w:val="0"/>
              <w:overflowPunct w:val="0"/>
              <w:autoSpaceDE w:val="0"/>
              <w:autoSpaceDN w:val="0"/>
              <w:adjustRightInd w:val="0"/>
              <w:spacing w:line="240" w:lineRule="auto"/>
              <w:ind w:left="113"/>
              <w:jc w:val="center"/>
            </w:pPr>
            <w:r>
              <w:t>19%</w:t>
            </w:r>
            <w:r>
              <w:rPr>
                <w:spacing w:val="-3"/>
              </w:rPr>
              <w:t xml:space="preserve"> </w:t>
            </w:r>
            <w:r>
              <w:t>(11</w:t>
            </w:r>
            <w:r>
              <w:rPr>
                <w:spacing w:val="-2"/>
              </w:rPr>
              <w:t>/</w:t>
            </w:r>
            <w:r>
              <w:t>58)**</w:t>
            </w:r>
          </w:p>
        </w:tc>
        <w:tc>
          <w:tcPr>
            <w:tcW w:w="1434" w:type="pct"/>
            <w:tcBorders>
              <w:top w:val="single" w:sz="4" w:space="0" w:color="000000"/>
              <w:left w:val="single" w:sz="4" w:space="0" w:color="000000"/>
              <w:bottom w:val="single" w:sz="4" w:space="0" w:color="000000"/>
              <w:right w:val="single" w:sz="4" w:space="0" w:color="000000"/>
            </w:tcBorders>
          </w:tcPr>
          <w:p w14:paraId="16558290" w14:textId="77777777" w:rsidR="00C04CAD" w:rsidRDefault="00060E34">
            <w:pPr>
              <w:tabs>
                <w:tab w:val="clear" w:pos="567"/>
              </w:tabs>
              <w:kinsoku w:val="0"/>
              <w:overflowPunct w:val="0"/>
              <w:autoSpaceDE w:val="0"/>
              <w:autoSpaceDN w:val="0"/>
              <w:adjustRightInd w:val="0"/>
              <w:spacing w:line="240" w:lineRule="auto"/>
              <w:ind w:left="113"/>
              <w:jc w:val="center"/>
            </w:pPr>
            <w:r>
              <w:t>15%</w:t>
            </w:r>
            <w:r>
              <w:rPr>
                <w:spacing w:val="-3"/>
              </w:rPr>
              <w:t xml:space="preserve"> </w:t>
            </w:r>
            <w:r>
              <w:t>(11</w:t>
            </w:r>
            <w:r>
              <w:rPr>
                <w:spacing w:val="-2"/>
              </w:rPr>
              <w:t>/</w:t>
            </w:r>
            <w:r>
              <w:t>74)**</w:t>
            </w:r>
          </w:p>
        </w:tc>
      </w:tr>
      <w:tr w:rsidR="00C04CAD" w14:paraId="0D373793" w14:textId="77777777">
        <w:trPr>
          <w:trHeight w:hRule="exact" w:val="389"/>
        </w:trPr>
        <w:tc>
          <w:tcPr>
            <w:tcW w:w="1760" w:type="pct"/>
            <w:tcBorders>
              <w:top w:val="single" w:sz="4" w:space="0" w:color="000000"/>
              <w:left w:val="single" w:sz="4" w:space="0" w:color="000000"/>
              <w:bottom w:val="single" w:sz="4" w:space="0" w:color="000000"/>
              <w:right w:val="single" w:sz="4" w:space="0" w:color="000000"/>
            </w:tcBorders>
          </w:tcPr>
          <w:p w14:paraId="36C442DB" w14:textId="77777777" w:rsidR="00C04CAD" w:rsidRDefault="00060E34">
            <w:pPr>
              <w:keepNext/>
              <w:keepLines/>
              <w:tabs>
                <w:tab w:val="clear" w:pos="567"/>
              </w:tabs>
              <w:kinsoku w:val="0"/>
              <w:overflowPunct w:val="0"/>
              <w:autoSpaceDE w:val="0"/>
              <w:autoSpaceDN w:val="0"/>
              <w:adjustRightInd w:val="0"/>
              <w:spacing w:line="240" w:lineRule="auto"/>
              <w:ind w:left="113"/>
            </w:pPr>
            <w:r>
              <w:rPr>
                <w:b/>
                <w:spacing w:val="-1"/>
              </w:rPr>
              <w:t>S</w:t>
            </w:r>
            <w:r>
              <w:rPr>
                <w:b/>
              </w:rPr>
              <w:t>ă</w:t>
            </w:r>
            <w:r>
              <w:rPr>
                <w:b/>
                <w:spacing w:val="-1"/>
              </w:rPr>
              <w:t>p</w:t>
            </w:r>
            <w:r>
              <w:rPr>
                <w:b/>
              </w:rPr>
              <w:t>tă</w:t>
            </w:r>
            <w:r>
              <w:rPr>
                <w:b/>
                <w:spacing w:val="-2"/>
              </w:rPr>
              <w:t>m</w:t>
            </w:r>
            <w:r>
              <w:rPr>
                <w:b/>
              </w:rPr>
              <w:t>â</w:t>
            </w:r>
            <w:r>
              <w:rPr>
                <w:b/>
                <w:spacing w:val="-1"/>
              </w:rPr>
              <w:t>n</w:t>
            </w:r>
            <w:r>
              <w:rPr>
                <w:b/>
              </w:rPr>
              <w:t>a 56</w:t>
            </w:r>
          </w:p>
        </w:tc>
        <w:tc>
          <w:tcPr>
            <w:tcW w:w="631" w:type="pct"/>
            <w:tcBorders>
              <w:top w:val="single" w:sz="4" w:space="0" w:color="000000"/>
              <w:left w:val="single" w:sz="4" w:space="0" w:color="000000"/>
              <w:bottom w:val="single" w:sz="4" w:space="0" w:color="000000"/>
              <w:right w:val="single" w:sz="4" w:space="0" w:color="000000"/>
            </w:tcBorders>
          </w:tcPr>
          <w:p w14:paraId="224599F0"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spacing w:val="-2"/>
              </w:rPr>
              <w:t>N=</w:t>
            </w:r>
            <w:r>
              <w:rPr>
                <w:b/>
              </w:rPr>
              <w:t>170</w:t>
            </w:r>
          </w:p>
        </w:tc>
        <w:tc>
          <w:tcPr>
            <w:tcW w:w="1174" w:type="pct"/>
            <w:tcBorders>
              <w:top w:val="single" w:sz="4" w:space="0" w:color="000000"/>
              <w:left w:val="single" w:sz="4" w:space="0" w:color="000000"/>
              <w:bottom w:val="single" w:sz="4" w:space="0" w:color="000000"/>
              <w:right w:val="single" w:sz="4" w:space="0" w:color="000000"/>
            </w:tcBorders>
          </w:tcPr>
          <w:p w14:paraId="632F3F83"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spacing w:val="-2"/>
              </w:rPr>
              <w:t>N=</w:t>
            </w:r>
            <w:r>
              <w:rPr>
                <w:b/>
              </w:rPr>
              <w:t>172</w:t>
            </w:r>
          </w:p>
        </w:tc>
        <w:tc>
          <w:tcPr>
            <w:tcW w:w="1434" w:type="pct"/>
            <w:tcBorders>
              <w:top w:val="single" w:sz="4" w:space="0" w:color="000000"/>
              <w:left w:val="single" w:sz="4" w:space="0" w:color="000000"/>
              <w:bottom w:val="single" w:sz="4" w:space="0" w:color="000000"/>
              <w:right w:val="single" w:sz="4" w:space="0" w:color="000000"/>
            </w:tcBorders>
          </w:tcPr>
          <w:p w14:paraId="26A46EB1"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spacing w:val="-2"/>
              </w:rPr>
              <w:t>N=</w:t>
            </w:r>
            <w:r>
              <w:rPr>
                <w:b/>
              </w:rPr>
              <w:t>157</w:t>
            </w:r>
          </w:p>
        </w:tc>
      </w:tr>
      <w:tr w:rsidR="00C04CAD" w14:paraId="0A568282" w14:textId="77777777">
        <w:trPr>
          <w:trHeight w:hRule="exact" w:val="367"/>
        </w:trPr>
        <w:tc>
          <w:tcPr>
            <w:tcW w:w="1760" w:type="pct"/>
            <w:tcBorders>
              <w:top w:val="single" w:sz="4" w:space="0" w:color="000000"/>
              <w:left w:val="single" w:sz="4" w:space="0" w:color="000000"/>
              <w:bottom w:val="single" w:sz="4" w:space="0" w:color="000000"/>
              <w:right w:val="single" w:sz="4" w:space="0" w:color="000000"/>
            </w:tcBorders>
          </w:tcPr>
          <w:p w14:paraId="1A5BA984" w14:textId="77777777" w:rsidR="00C04CAD" w:rsidRDefault="00060E34">
            <w:pPr>
              <w:keepNext/>
              <w:keepLines/>
              <w:tabs>
                <w:tab w:val="clear" w:pos="567"/>
              </w:tabs>
              <w:kinsoku w:val="0"/>
              <w:overflowPunct w:val="0"/>
              <w:autoSpaceDE w:val="0"/>
              <w:autoSpaceDN w:val="0"/>
              <w:adjustRightInd w:val="0"/>
              <w:spacing w:line="240" w:lineRule="auto"/>
              <w:ind w:left="113"/>
            </w:pPr>
            <w:r>
              <w:rPr>
                <w:spacing w:val="-1"/>
              </w:rPr>
              <w:t>R</w:t>
            </w:r>
            <w:r>
              <w:t>e</w:t>
            </w:r>
            <w:r>
              <w:rPr>
                <w:spacing w:val="-4"/>
              </w:rPr>
              <w:t>m</w:t>
            </w:r>
            <w:r>
              <w:rPr>
                <w:spacing w:val="1"/>
              </w:rPr>
              <w:t>i</w:t>
            </w:r>
            <w:r>
              <w:t>s</w:t>
            </w:r>
            <w:r>
              <w:rPr>
                <w:spacing w:val="1"/>
              </w:rPr>
              <w:t>i</w:t>
            </w:r>
            <w:r>
              <w:t>e c</w:t>
            </w:r>
            <w:r>
              <w:rPr>
                <w:spacing w:val="-2"/>
              </w:rPr>
              <w:t>l</w:t>
            </w:r>
            <w:r>
              <w:rPr>
                <w:spacing w:val="1"/>
              </w:rPr>
              <w:t>i</w:t>
            </w:r>
            <w:r>
              <w:rPr>
                <w:spacing w:val="-3"/>
              </w:rPr>
              <w:t>n</w:t>
            </w:r>
            <w:r>
              <w:rPr>
                <w:spacing w:val="1"/>
              </w:rPr>
              <w:t>i</w:t>
            </w:r>
            <w:r>
              <w:t>că</w:t>
            </w:r>
          </w:p>
        </w:tc>
        <w:tc>
          <w:tcPr>
            <w:tcW w:w="631" w:type="pct"/>
            <w:tcBorders>
              <w:top w:val="single" w:sz="4" w:space="0" w:color="000000"/>
              <w:left w:val="single" w:sz="4" w:space="0" w:color="000000"/>
              <w:bottom w:val="single" w:sz="4" w:space="0" w:color="000000"/>
              <w:right w:val="single" w:sz="4" w:space="0" w:color="000000"/>
            </w:tcBorders>
          </w:tcPr>
          <w:p w14:paraId="4982FFC0"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12%</w:t>
            </w:r>
          </w:p>
        </w:tc>
        <w:tc>
          <w:tcPr>
            <w:tcW w:w="1174" w:type="pct"/>
            <w:tcBorders>
              <w:top w:val="single" w:sz="4" w:space="0" w:color="000000"/>
              <w:left w:val="single" w:sz="4" w:space="0" w:color="000000"/>
              <w:bottom w:val="single" w:sz="4" w:space="0" w:color="000000"/>
              <w:right w:val="single" w:sz="4" w:space="0" w:color="000000"/>
            </w:tcBorders>
          </w:tcPr>
          <w:p w14:paraId="419A3793"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36%*</w:t>
            </w:r>
          </w:p>
        </w:tc>
        <w:tc>
          <w:tcPr>
            <w:tcW w:w="1434" w:type="pct"/>
            <w:tcBorders>
              <w:top w:val="single" w:sz="4" w:space="0" w:color="000000"/>
              <w:left w:val="single" w:sz="4" w:space="0" w:color="000000"/>
              <w:bottom w:val="single" w:sz="4" w:space="0" w:color="000000"/>
              <w:right w:val="single" w:sz="4" w:space="0" w:color="000000"/>
            </w:tcBorders>
          </w:tcPr>
          <w:p w14:paraId="5452DF8A"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41%*</w:t>
            </w:r>
          </w:p>
        </w:tc>
      </w:tr>
      <w:tr w:rsidR="00C04CAD" w14:paraId="36A3F119" w14:textId="77777777">
        <w:trPr>
          <w:trHeight w:hRule="exact" w:val="389"/>
        </w:trPr>
        <w:tc>
          <w:tcPr>
            <w:tcW w:w="1760" w:type="pct"/>
            <w:tcBorders>
              <w:top w:val="single" w:sz="4" w:space="0" w:color="000000"/>
              <w:left w:val="single" w:sz="4" w:space="0" w:color="000000"/>
              <w:bottom w:val="single" w:sz="4" w:space="0" w:color="000000"/>
              <w:right w:val="single" w:sz="4" w:space="0" w:color="000000"/>
            </w:tcBorders>
          </w:tcPr>
          <w:p w14:paraId="33D972BE" w14:textId="77777777" w:rsidR="00C04CAD" w:rsidRDefault="00060E34">
            <w:pPr>
              <w:tabs>
                <w:tab w:val="clear" w:pos="567"/>
              </w:tabs>
              <w:kinsoku w:val="0"/>
              <w:overflowPunct w:val="0"/>
              <w:autoSpaceDE w:val="0"/>
              <w:autoSpaceDN w:val="0"/>
              <w:adjustRightInd w:val="0"/>
              <w:spacing w:line="240" w:lineRule="auto"/>
              <w:ind w:left="113"/>
            </w:pPr>
            <w:r>
              <w:rPr>
                <w:spacing w:val="-1"/>
              </w:rPr>
              <w:t>R</w:t>
            </w:r>
            <w:r>
              <w:t>ăspuns</w:t>
            </w:r>
            <w:r>
              <w:rPr>
                <w:spacing w:val="-2"/>
              </w:rPr>
              <w:t xml:space="preserve"> </w:t>
            </w:r>
            <w:r>
              <w:t>c</w:t>
            </w:r>
            <w:r>
              <w:rPr>
                <w:spacing w:val="-2"/>
              </w:rPr>
              <w:t>l</w:t>
            </w:r>
            <w:r>
              <w:rPr>
                <w:spacing w:val="1"/>
              </w:rPr>
              <w:t>i</w:t>
            </w:r>
            <w:r>
              <w:t>n</w:t>
            </w:r>
            <w:r>
              <w:rPr>
                <w:spacing w:val="-2"/>
              </w:rPr>
              <w:t>i</w:t>
            </w:r>
            <w:r>
              <w:t>c (</w:t>
            </w:r>
            <w:r>
              <w:rPr>
                <w:spacing w:val="-1"/>
              </w:rPr>
              <w:t>CR</w:t>
            </w:r>
            <w:r>
              <w:rPr>
                <w:spacing w:val="-4"/>
              </w:rPr>
              <w:t>-</w:t>
            </w:r>
            <w:r>
              <w:t>100)</w:t>
            </w:r>
          </w:p>
        </w:tc>
        <w:tc>
          <w:tcPr>
            <w:tcW w:w="631" w:type="pct"/>
            <w:tcBorders>
              <w:top w:val="single" w:sz="4" w:space="0" w:color="000000"/>
              <w:left w:val="single" w:sz="4" w:space="0" w:color="000000"/>
              <w:bottom w:val="single" w:sz="4" w:space="0" w:color="000000"/>
              <w:right w:val="single" w:sz="4" w:space="0" w:color="000000"/>
            </w:tcBorders>
          </w:tcPr>
          <w:p w14:paraId="3813C1BC" w14:textId="77777777" w:rsidR="00C04CAD" w:rsidRDefault="00060E34">
            <w:pPr>
              <w:tabs>
                <w:tab w:val="clear" w:pos="567"/>
              </w:tabs>
              <w:kinsoku w:val="0"/>
              <w:overflowPunct w:val="0"/>
              <w:autoSpaceDE w:val="0"/>
              <w:autoSpaceDN w:val="0"/>
              <w:adjustRightInd w:val="0"/>
              <w:spacing w:line="240" w:lineRule="auto"/>
              <w:ind w:left="113"/>
              <w:jc w:val="center"/>
            </w:pPr>
            <w:r>
              <w:t>17%</w:t>
            </w:r>
          </w:p>
        </w:tc>
        <w:tc>
          <w:tcPr>
            <w:tcW w:w="1174" w:type="pct"/>
            <w:tcBorders>
              <w:top w:val="single" w:sz="4" w:space="0" w:color="000000"/>
              <w:left w:val="single" w:sz="4" w:space="0" w:color="000000"/>
              <w:bottom w:val="single" w:sz="4" w:space="0" w:color="000000"/>
              <w:right w:val="single" w:sz="4" w:space="0" w:color="000000"/>
            </w:tcBorders>
          </w:tcPr>
          <w:p w14:paraId="68FC138C" w14:textId="77777777" w:rsidR="00C04CAD" w:rsidRDefault="00060E34">
            <w:pPr>
              <w:tabs>
                <w:tab w:val="clear" w:pos="567"/>
              </w:tabs>
              <w:kinsoku w:val="0"/>
              <w:overflowPunct w:val="0"/>
              <w:autoSpaceDE w:val="0"/>
              <w:autoSpaceDN w:val="0"/>
              <w:adjustRightInd w:val="0"/>
              <w:spacing w:line="240" w:lineRule="auto"/>
              <w:ind w:left="113"/>
              <w:jc w:val="center"/>
            </w:pPr>
            <w:r>
              <w:t>41%*</w:t>
            </w:r>
          </w:p>
        </w:tc>
        <w:tc>
          <w:tcPr>
            <w:tcW w:w="1434" w:type="pct"/>
            <w:tcBorders>
              <w:top w:val="single" w:sz="4" w:space="0" w:color="000000"/>
              <w:left w:val="single" w:sz="4" w:space="0" w:color="000000"/>
              <w:bottom w:val="single" w:sz="4" w:space="0" w:color="000000"/>
              <w:right w:val="single" w:sz="4" w:space="0" w:color="000000"/>
            </w:tcBorders>
          </w:tcPr>
          <w:p w14:paraId="2986E24A" w14:textId="77777777" w:rsidR="00C04CAD" w:rsidRDefault="00060E34">
            <w:pPr>
              <w:tabs>
                <w:tab w:val="clear" w:pos="567"/>
              </w:tabs>
              <w:kinsoku w:val="0"/>
              <w:overflowPunct w:val="0"/>
              <w:autoSpaceDE w:val="0"/>
              <w:autoSpaceDN w:val="0"/>
              <w:adjustRightInd w:val="0"/>
              <w:spacing w:line="240" w:lineRule="auto"/>
              <w:ind w:left="113"/>
              <w:jc w:val="center"/>
            </w:pPr>
            <w:r>
              <w:t>48%*</w:t>
            </w:r>
          </w:p>
        </w:tc>
      </w:tr>
      <w:tr w:rsidR="00C04CAD" w14:paraId="753A5C45" w14:textId="77777777">
        <w:trPr>
          <w:trHeight w:hRule="exact" w:val="516"/>
        </w:trPr>
        <w:tc>
          <w:tcPr>
            <w:tcW w:w="1760" w:type="pct"/>
            <w:tcBorders>
              <w:top w:val="single" w:sz="4" w:space="0" w:color="000000"/>
              <w:left w:val="single" w:sz="4" w:space="0" w:color="000000"/>
              <w:bottom w:val="single" w:sz="4" w:space="0" w:color="000000"/>
              <w:right w:val="single" w:sz="4" w:space="0" w:color="000000"/>
            </w:tcBorders>
          </w:tcPr>
          <w:p w14:paraId="4A65191C" w14:textId="77777777" w:rsidR="00C04CAD" w:rsidRDefault="00060E34">
            <w:pPr>
              <w:tabs>
                <w:tab w:val="clear" w:pos="567"/>
              </w:tabs>
              <w:kinsoku w:val="0"/>
              <w:overflowPunct w:val="0"/>
              <w:autoSpaceDE w:val="0"/>
              <w:autoSpaceDN w:val="0"/>
              <w:adjustRightInd w:val="0"/>
              <w:spacing w:line="240" w:lineRule="auto"/>
              <w:ind w:left="113"/>
              <w:rPr>
                <w:vertAlign w:val="superscript"/>
              </w:rPr>
            </w:pPr>
            <w:r>
              <w:rPr>
                <w:spacing w:val="-1"/>
              </w:rPr>
              <w:t>P</w:t>
            </w:r>
            <w:r>
              <w:t>a</w:t>
            </w:r>
            <w:r>
              <w:rPr>
                <w:spacing w:val="-3"/>
              </w:rPr>
              <w:t>c</w:t>
            </w:r>
            <w:r>
              <w:rPr>
                <w:spacing w:val="1"/>
              </w:rPr>
              <w:t>i</w:t>
            </w:r>
            <w:r>
              <w:t>e</w:t>
            </w:r>
            <w:r>
              <w:rPr>
                <w:spacing w:val="-3"/>
              </w:rPr>
              <w:t>n</w:t>
            </w:r>
            <w:r>
              <w:rPr>
                <w:spacing w:val="1"/>
              </w:rPr>
              <w:t>ţ</w:t>
            </w:r>
            <w:r>
              <w:t>i</w:t>
            </w:r>
            <w:r>
              <w:rPr>
                <w:spacing w:val="-2"/>
              </w:rPr>
              <w:t xml:space="preserve"> </w:t>
            </w:r>
            <w:r>
              <w:t xml:space="preserve">cu </w:t>
            </w:r>
            <w:r>
              <w:rPr>
                <w:spacing w:val="-2"/>
              </w:rPr>
              <w:t>r</w:t>
            </w:r>
            <w:r>
              <w:t>e</w:t>
            </w:r>
            <w:r>
              <w:rPr>
                <w:spacing w:val="-4"/>
              </w:rPr>
              <w:t>m</w:t>
            </w:r>
            <w:r>
              <w:rPr>
                <w:spacing w:val="1"/>
              </w:rPr>
              <w:t>i</w:t>
            </w:r>
            <w:r>
              <w:t>s</w:t>
            </w:r>
            <w:r>
              <w:rPr>
                <w:spacing w:val="1"/>
              </w:rPr>
              <w:t>i</w:t>
            </w:r>
            <w:r>
              <w:t>e</w:t>
            </w:r>
            <w:r>
              <w:rPr>
                <w:spacing w:val="-2"/>
              </w:rPr>
              <w:t xml:space="preserve"> </w:t>
            </w:r>
            <w:r>
              <w:t>fă</w:t>
            </w:r>
            <w:r>
              <w:rPr>
                <w:spacing w:val="-2"/>
              </w:rPr>
              <w:t>r</w:t>
            </w:r>
            <w:r>
              <w:t>ă</w:t>
            </w:r>
            <w:r>
              <w:rPr>
                <w:spacing w:val="-2"/>
              </w:rPr>
              <w:t xml:space="preserve"> </w:t>
            </w:r>
            <w:r>
              <w:t>s</w:t>
            </w:r>
            <w:r>
              <w:rPr>
                <w:spacing w:val="1"/>
              </w:rPr>
              <w:t>t</w:t>
            </w:r>
            <w:r>
              <w:rPr>
                <w:spacing w:val="-3"/>
              </w:rPr>
              <w:t>e</w:t>
            </w:r>
            <w:r>
              <w:t>r</w:t>
            </w:r>
            <w:r>
              <w:rPr>
                <w:spacing w:val="-1"/>
              </w:rPr>
              <w:t>o</w:t>
            </w:r>
            <w:r>
              <w:rPr>
                <w:spacing w:val="1"/>
              </w:rPr>
              <w:t>i</w:t>
            </w:r>
            <w:r>
              <w:rPr>
                <w:spacing w:val="-3"/>
              </w:rPr>
              <w:t>z</w:t>
            </w:r>
            <w:r>
              <w:t xml:space="preserve">i </w:t>
            </w:r>
            <w:r>
              <w:rPr>
                <w:spacing w:val="1"/>
              </w:rPr>
              <w:t>ti</w:t>
            </w:r>
            <w:r>
              <w:rPr>
                <w:spacing w:val="-4"/>
              </w:rPr>
              <w:t>m</w:t>
            </w:r>
            <w:r>
              <w:t>p de &gt;=90</w:t>
            </w:r>
            <w:r>
              <w:rPr>
                <w:spacing w:val="-3"/>
              </w:rPr>
              <w:t xml:space="preserve"> z</w:t>
            </w:r>
            <w:r>
              <w:rPr>
                <w:spacing w:val="1"/>
              </w:rPr>
              <w:t>ile</w:t>
            </w:r>
            <w:r>
              <w:rPr>
                <w:spacing w:val="1"/>
                <w:vertAlign w:val="superscript"/>
              </w:rPr>
              <w:t>a</w:t>
            </w:r>
          </w:p>
        </w:tc>
        <w:tc>
          <w:tcPr>
            <w:tcW w:w="631" w:type="pct"/>
            <w:tcBorders>
              <w:top w:val="single" w:sz="4" w:space="0" w:color="000000"/>
              <w:left w:val="single" w:sz="4" w:space="0" w:color="000000"/>
              <w:bottom w:val="single" w:sz="4" w:space="0" w:color="000000"/>
              <w:right w:val="single" w:sz="4" w:space="0" w:color="000000"/>
            </w:tcBorders>
          </w:tcPr>
          <w:p w14:paraId="23811686" w14:textId="77777777" w:rsidR="00C04CAD" w:rsidRDefault="00060E34">
            <w:pPr>
              <w:tabs>
                <w:tab w:val="clear" w:pos="567"/>
              </w:tabs>
              <w:kinsoku w:val="0"/>
              <w:overflowPunct w:val="0"/>
              <w:autoSpaceDE w:val="0"/>
              <w:autoSpaceDN w:val="0"/>
              <w:adjustRightInd w:val="0"/>
              <w:spacing w:line="240" w:lineRule="auto"/>
              <w:ind w:left="113"/>
              <w:jc w:val="center"/>
            </w:pPr>
            <w:r>
              <w:t>5%</w:t>
            </w:r>
            <w:r>
              <w:rPr>
                <w:spacing w:val="1"/>
              </w:rPr>
              <w:t xml:space="preserve"> </w:t>
            </w:r>
            <w:r>
              <w:rPr>
                <w:spacing w:val="-2"/>
              </w:rPr>
              <w:t>(</w:t>
            </w:r>
            <w:r>
              <w:t>3</w:t>
            </w:r>
            <w:r>
              <w:rPr>
                <w:spacing w:val="1"/>
              </w:rPr>
              <w:t>/</w:t>
            </w:r>
            <w:r>
              <w:t>6</w:t>
            </w:r>
            <w:r>
              <w:rPr>
                <w:spacing w:val="-3"/>
              </w:rPr>
              <w:t>6</w:t>
            </w:r>
            <w:r>
              <w:t>)</w:t>
            </w:r>
          </w:p>
        </w:tc>
        <w:tc>
          <w:tcPr>
            <w:tcW w:w="1174" w:type="pct"/>
            <w:tcBorders>
              <w:top w:val="single" w:sz="4" w:space="0" w:color="000000"/>
              <w:left w:val="single" w:sz="4" w:space="0" w:color="000000"/>
              <w:bottom w:val="single" w:sz="4" w:space="0" w:color="000000"/>
              <w:right w:val="single" w:sz="4" w:space="0" w:color="000000"/>
            </w:tcBorders>
          </w:tcPr>
          <w:p w14:paraId="2A49D3DE" w14:textId="77777777" w:rsidR="00C04CAD" w:rsidRDefault="00060E34">
            <w:pPr>
              <w:tabs>
                <w:tab w:val="clear" w:pos="567"/>
              </w:tabs>
              <w:kinsoku w:val="0"/>
              <w:overflowPunct w:val="0"/>
              <w:autoSpaceDE w:val="0"/>
              <w:autoSpaceDN w:val="0"/>
              <w:adjustRightInd w:val="0"/>
              <w:spacing w:line="240" w:lineRule="auto"/>
              <w:ind w:left="113"/>
              <w:jc w:val="center"/>
            </w:pPr>
            <w:r>
              <w:t>29%</w:t>
            </w:r>
            <w:r>
              <w:rPr>
                <w:spacing w:val="-3"/>
              </w:rPr>
              <w:t xml:space="preserve"> </w:t>
            </w:r>
            <w:r>
              <w:t>(17</w:t>
            </w:r>
            <w:r>
              <w:rPr>
                <w:spacing w:val="-2"/>
              </w:rPr>
              <w:t>/</w:t>
            </w:r>
            <w:r>
              <w:t>58)</w:t>
            </w:r>
            <w:r>
              <w:rPr>
                <w:spacing w:val="1"/>
              </w:rPr>
              <w:t>*</w:t>
            </w:r>
          </w:p>
        </w:tc>
        <w:tc>
          <w:tcPr>
            <w:tcW w:w="1434" w:type="pct"/>
            <w:tcBorders>
              <w:top w:val="single" w:sz="4" w:space="0" w:color="000000"/>
              <w:left w:val="single" w:sz="4" w:space="0" w:color="000000"/>
              <w:bottom w:val="single" w:sz="4" w:space="0" w:color="000000"/>
              <w:right w:val="single" w:sz="4" w:space="0" w:color="000000"/>
            </w:tcBorders>
          </w:tcPr>
          <w:p w14:paraId="6D51C689" w14:textId="77777777" w:rsidR="00C04CAD" w:rsidRDefault="00060E34">
            <w:pPr>
              <w:tabs>
                <w:tab w:val="clear" w:pos="567"/>
              </w:tabs>
              <w:kinsoku w:val="0"/>
              <w:overflowPunct w:val="0"/>
              <w:autoSpaceDE w:val="0"/>
              <w:autoSpaceDN w:val="0"/>
              <w:adjustRightInd w:val="0"/>
              <w:spacing w:line="240" w:lineRule="auto"/>
              <w:ind w:left="113"/>
              <w:jc w:val="center"/>
            </w:pPr>
            <w:r>
              <w:t>20%</w:t>
            </w:r>
            <w:r>
              <w:rPr>
                <w:spacing w:val="-3"/>
              </w:rPr>
              <w:t xml:space="preserve"> </w:t>
            </w:r>
            <w:r>
              <w:t>(15</w:t>
            </w:r>
            <w:r>
              <w:rPr>
                <w:spacing w:val="-2"/>
              </w:rPr>
              <w:t>/</w:t>
            </w:r>
            <w:r>
              <w:t>74)**</w:t>
            </w:r>
          </w:p>
        </w:tc>
      </w:tr>
    </w:tbl>
    <w:p w14:paraId="5AF2AF7D"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rPr>
        <w:t>*</w:t>
      </w:r>
      <w:r>
        <w:rPr>
          <w:sz w:val="20"/>
        </w:rPr>
        <w:tab/>
        <w:t>p &lt;0,</w:t>
      </w:r>
      <w:r>
        <w:rPr>
          <w:spacing w:val="-3"/>
          <w:sz w:val="20"/>
        </w:rPr>
        <w:t>0</w:t>
      </w:r>
      <w:r>
        <w:rPr>
          <w:sz w:val="20"/>
        </w:rPr>
        <w:t>01 pe</w:t>
      </w:r>
      <w:r>
        <w:rPr>
          <w:spacing w:val="-3"/>
          <w:sz w:val="20"/>
        </w:rPr>
        <w:t>n</w:t>
      </w:r>
      <w:r>
        <w:rPr>
          <w:spacing w:val="1"/>
          <w:sz w:val="20"/>
        </w:rPr>
        <w:t>t</w:t>
      </w:r>
      <w:r>
        <w:rPr>
          <w:spacing w:val="-2"/>
          <w:sz w:val="20"/>
        </w:rPr>
        <w:t>r</w:t>
      </w:r>
      <w:r>
        <w:rPr>
          <w:sz w:val="20"/>
        </w:rPr>
        <w:t xml:space="preserve">u </w:t>
      </w:r>
      <w:r>
        <w:rPr>
          <w:rFonts w:eastAsia="MS Mincho"/>
          <w:spacing w:val="-1"/>
          <w:sz w:val="20"/>
          <w:lang w:eastAsia="en-US" w:bidi="ar-SA"/>
        </w:rPr>
        <w:t>adalimumab</w:t>
      </w:r>
      <w:r>
        <w:rPr>
          <w:spacing w:val="-2"/>
          <w:sz w:val="20"/>
        </w:rPr>
        <w:t xml:space="preserve"> </w:t>
      </w:r>
      <w:r>
        <w:rPr>
          <w:i/>
          <w:sz w:val="20"/>
        </w:rPr>
        <w:t>vers</w:t>
      </w:r>
      <w:r>
        <w:rPr>
          <w:i/>
          <w:spacing w:val="-3"/>
          <w:sz w:val="20"/>
        </w:rPr>
        <w:t>u</w:t>
      </w:r>
      <w:r>
        <w:rPr>
          <w:i/>
          <w:sz w:val="20"/>
        </w:rPr>
        <w:t xml:space="preserve">s </w:t>
      </w:r>
      <w:r>
        <w:rPr>
          <w:spacing w:val="-3"/>
          <w:sz w:val="20"/>
        </w:rPr>
        <w:t>p</w:t>
      </w:r>
      <w:r>
        <w:rPr>
          <w:spacing w:val="1"/>
          <w:sz w:val="20"/>
        </w:rPr>
        <w:t>l</w:t>
      </w:r>
      <w:r>
        <w:rPr>
          <w:sz w:val="20"/>
        </w:rPr>
        <w:t>ac</w:t>
      </w:r>
      <w:r>
        <w:rPr>
          <w:spacing w:val="-3"/>
          <w:sz w:val="20"/>
        </w:rPr>
        <w:t>e</w:t>
      </w:r>
      <w:r>
        <w:rPr>
          <w:sz w:val="20"/>
        </w:rPr>
        <w:t>bo co</w:t>
      </w:r>
      <w:r>
        <w:rPr>
          <w:spacing w:val="-4"/>
          <w:sz w:val="20"/>
        </w:rPr>
        <w:t>m</w:t>
      </w:r>
      <w:r>
        <w:rPr>
          <w:sz w:val="20"/>
        </w:rPr>
        <w:t>par</w:t>
      </w:r>
      <w:r>
        <w:rPr>
          <w:spacing w:val="-3"/>
          <w:sz w:val="20"/>
        </w:rPr>
        <w:t>a</w:t>
      </w:r>
      <w:r>
        <w:rPr>
          <w:spacing w:val="1"/>
          <w:sz w:val="20"/>
        </w:rPr>
        <w:t>ţ</w:t>
      </w:r>
      <w:r>
        <w:rPr>
          <w:spacing w:val="-2"/>
          <w:sz w:val="20"/>
        </w:rPr>
        <w:t>i</w:t>
      </w:r>
      <w:r>
        <w:rPr>
          <w:sz w:val="20"/>
        </w:rPr>
        <w:t>i</w:t>
      </w:r>
      <w:r>
        <w:rPr>
          <w:spacing w:val="-2"/>
          <w:sz w:val="20"/>
        </w:rPr>
        <w:t xml:space="preserve"> </w:t>
      </w:r>
      <w:r>
        <w:rPr>
          <w:sz w:val="20"/>
        </w:rPr>
        <w:t>per</w:t>
      </w:r>
      <w:r>
        <w:rPr>
          <w:spacing w:val="-3"/>
          <w:sz w:val="20"/>
        </w:rPr>
        <w:t>e</w:t>
      </w:r>
      <w:r>
        <w:rPr>
          <w:sz w:val="20"/>
        </w:rPr>
        <w:t xml:space="preserve">che </w:t>
      </w:r>
      <w:r>
        <w:rPr>
          <w:spacing w:val="-3"/>
          <w:sz w:val="20"/>
        </w:rPr>
        <w:t>a</w:t>
      </w:r>
      <w:r>
        <w:rPr>
          <w:spacing w:val="1"/>
          <w:sz w:val="20"/>
        </w:rPr>
        <w:t>l</w:t>
      </w:r>
      <w:r>
        <w:rPr>
          <w:sz w:val="20"/>
        </w:rPr>
        <w:t>e</w:t>
      </w:r>
      <w:r>
        <w:rPr>
          <w:spacing w:val="-2"/>
          <w:sz w:val="20"/>
        </w:rPr>
        <w:t xml:space="preserve"> </w:t>
      </w:r>
      <w:r>
        <w:rPr>
          <w:sz w:val="20"/>
        </w:rPr>
        <w:t>rap</w:t>
      </w:r>
      <w:r>
        <w:rPr>
          <w:spacing w:val="-3"/>
          <w:sz w:val="20"/>
        </w:rPr>
        <w:t>o</w:t>
      </w:r>
      <w:r>
        <w:rPr>
          <w:sz w:val="20"/>
        </w:rPr>
        <w:t>a</w:t>
      </w:r>
      <w:r>
        <w:rPr>
          <w:spacing w:val="-2"/>
          <w:sz w:val="20"/>
        </w:rPr>
        <w:t>r</w:t>
      </w:r>
      <w:r>
        <w:rPr>
          <w:spacing w:val="1"/>
          <w:sz w:val="20"/>
        </w:rPr>
        <w:t>t</w:t>
      </w:r>
      <w:r>
        <w:rPr>
          <w:spacing w:val="-3"/>
          <w:sz w:val="20"/>
        </w:rPr>
        <w:t>e</w:t>
      </w:r>
      <w:r>
        <w:rPr>
          <w:spacing w:val="1"/>
          <w:sz w:val="20"/>
        </w:rPr>
        <w:t>l</w:t>
      </w:r>
      <w:r>
        <w:rPr>
          <w:sz w:val="20"/>
        </w:rPr>
        <w:t>or</w:t>
      </w:r>
    </w:p>
    <w:p w14:paraId="2B4321F5"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rPr>
        <w:t>**</w:t>
      </w:r>
      <w:r>
        <w:rPr>
          <w:sz w:val="20"/>
        </w:rPr>
        <w:tab/>
        <w:t>p &lt;0,02 pen</w:t>
      </w:r>
      <w:r>
        <w:rPr>
          <w:spacing w:val="-2"/>
          <w:sz w:val="20"/>
        </w:rPr>
        <w:t>t</w:t>
      </w:r>
      <w:r>
        <w:rPr>
          <w:sz w:val="20"/>
        </w:rPr>
        <w:t xml:space="preserve">ru </w:t>
      </w:r>
      <w:r>
        <w:rPr>
          <w:rFonts w:eastAsia="MS Mincho"/>
          <w:spacing w:val="-1"/>
          <w:sz w:val="20"/>
          <w:lang w:eastAsia="en-US" w:bidi="ar-SA"/>
        </w:rPr>
        <w:t>adalimumab</w:t>
      </w:r>
      <w:r>
        <w:rPr>
          <w:sz w:val="20"/>
        </w:rPr>
        <w:t xml:space="preserve"> </w:t>
      </w:r>
      <w:r>
        <w:rPr>
          <w:i/>
          <w:spacing w:val="-3"/>
          <w:sz w:val="20"/>
        </w:rPr>
        <w:t>v</w:t>
      </w:r>
      <w:r>
        <w:rPr>
          <w:i/>
          <w:sz w:val="20"/>
        </w:rPr>
        <w:t>ersus</w:t>
      </w:r>
      <w:r>
        <w:rPr>
          <w:i/>
          <w:spacing w:val="-2"/>
          <w:sz w:val="20"/>
        </w:rPr>
        <w:t xml:space="preserve"> </w:t>
      </w:r>
      <w:r>
        <w:rPr>
          <w:sz w:val="20"/>
        </w:rPr>
        <w:t>p</w:t>
      </w:r>
      <w:r>
        <w:rPr>
          <w:spacing w:val="-2"/>
          <w:sz w:val="20"/>
        </w:rPr>
        <w:t>l</w:t>
      </w:r>
      <w:r>
        <w:rPr>
          <w:sz w:val="20"/>
        </w:rPr>
        <w:t>acebo</w:t>
      </w:r>
      <w:r>
        <w:rPr>
          <w:spacing w:val="-3"/>
          <w:sz w:val="20"/>
        </w:rPr>
        <w:t xml:space="preserve"> </w:t>
      </w:r>
      <w:r>
        <w:rPr>
          <w:sz w:val="20"/>
        </w:rPr>
        <w:t>co</w:t>
      </w:r>
      <w:r>
        <w:rPr>
          <w:spacing w:val="-4"/>
          <w:sz w:val="20"/>
        </w:rPr>
        <w:t>m</w:t>
      </w:r>
      <w:r>
        <w:rPr>
          <w:sz w:val="20"/>
        </w:rPr>
        <w:t>par</w:t>
      </w:r>
      <w:r>
        <w:rPr>
          <w:spacing w:val="-3"/>
          <w:sz w:val="20"/>
        </w:rPr>
        <w:t>a</w:t>
      </w:r>
      <w:r>
        <w:rPr>
          <w:spacing w:val="1"/>
          <w:sz w:val="20"/>
        </w:rPr>
        <w:t>ţ</w:t>
      </w:r>
      <w:r>
        <w:rPr>
          <w:spacing w:val="-2"/>
          <w:sz w:val="20"/>
        </w:rPr>
        <w:t>i</w:t>
      </w:r>
      <w:r>
        <w:rPr>
          <w:sz w:val="20"/>
        </w:rPr>
        <w:t xml:space="preserve">i </w:t>
      </w:r>
      <w:r>
        <w:rPr>
          <w:spacing w:val="-3"/>
          <w:sz w:val="20"/>
        </w:rPr>
        <w:t>p</w:t>
      </w:r>
      <w:r>
        <w:rPr>
          <w:sz w:val="20"/>
        </w:rPr>
        <w:t>ere</w:t>
      </w:r>
      <w:r>
        <w:rPr>
          <w:spacing w:val="-3"/>
          <w:sz w:val="20"/>
        </w:rPr>
        <w:t>c</w:t>
      </w:r>
      <w:r>
        <w:rPr>
          <w:sz w:val="20"/>
        </w:rPr>
        <w:t xml:space="preserve">he </w:t>
      </w:r>
      <w:r>
        <w:rPr>
          <w:spacing w:val="-3"/>
          <w:sz w:val="20"/>
        </w:rPr>
        <w:t>a</w:t>
      </w:r>
      <w:r>
        <w:rPr>
          <w:spacing w:val="1"/>
          <w:sz w:val="20"/>
        </w:rPr>
        <w:t>l</w:t>
      </w:r>
      <w:r>
        <w:rPr>
          <w:sz w:val="20"/>
        </w:rPr>
        <w:t>e</w:t>
      </w:r>
      <w:r>
        <w:rPr>
          <w:spacing w:val="-2"/>
          <w:sz w:val="20"/>
        </w:rPr>
        <w:t xml:space="preserve"> </w:t>
      </w:r>
      <w:r>
        <w:rPr>
          <w:sz w:val="20"/>
        </w:rPr>
        <w:t>rap</w:t>
      </w:r>
      <w:r>
        <w:rPr>
          <w:spacing w:val="-3"/>
          <w:sz w:val="20"/>
        </w:rPr>
        <w:t>o</w:t>
      </w:r>
      <w:r>
        <w:rPr>
          <w:sz w:val="20"/>
        </w:rPr>
        <w:t>a</w:t>
      </w:r>
      <w:r>
        <w:rPr>
          <w:spacing w:val="-2"/>
          <w:sz w:val="20"/>
        </w:rPr>
        <w:t>r</w:t>
      </w:r>
      <w:r>
        <w:rPr>
          <w:spacing w:val="1"/>
          <w:sz w:val="20"/>
        </w:rPr>
        <w:t>t</w:t>
      </w:r>
      <w:r>
        <w:rPr>
          <w:sz w:val="20"/>
        </w:rPr>
        <w:t>e</w:t>
      </w:r>
      <w:r>
        <w:rPr>
          <w:spacing w:val="-2"/>
          <w:sz w:val="20"/>
        </w:rPr>
        <w:t>l</w:t>
      </w:r>
      <w:r>
        <w:rPr>
          <w:sz w:val="20"/>
        </w:rPr>
        <w:t>or</w:t>
      </w:r>
    </w:p>
    <w:p w14:paraId="497A7BC9"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vertAlign w:val="superscript"/>
        </w:rPr>
        <w:t>a</w:t>
      </w:r>
      <w:r>
        <w:rPr>
          <w:sz w:val="20"/>
        </w:rPr>
        <w:tab/>
      </w:r>
      <w:r>
        <w:rPr>
          <w:spacing w:val="-1"/>
          <w:sz w:val="20"/>
        </w:rPr>
        <w:t>P</w:t>
      </w:r>
      <w:r>
        <w:rPr>
          <w:sz w:val="20"/>
        </w:rPr>
        <w:t>en</w:t>
      </w:r>
      <w:r>
        <w:rPr>
          <w:spacing w:val="-2"/>
          <w:sz w:val="20"/>
        </w:rPr>
        <w:t>t</w:t>
      </w:r>
      <w:r>
        <w:rPr>
          <w:sz w:val="20"/>
        </w:rPr>
        <w:t xml:space="preserve">ru </w:t>
      </w:r>
      <w:r>
        <w:rPr>
          <w:spacing w:val="-3"/>
          <w:sz w:val="20"/>
        </w:rPr>
        <w:t>c</w:t>
      </w:r>
      <w:r>
        <w:rPr>
          <w:sz w:val="20"/>
        </w:rPr>
        <w:t>ei</w:t>
      </w:r>
      <w:r>
        <w:rPr>
          <w:spacing w:val="1"/>
          <w:sz w:val="20"/>
        </w:rPr>
        <w:t xml:space="preserve"> </w:t>
      </w:r>
      <w:r>
        <w:rPr>
          <w:spacing w:val="-3"/>
          <w:sz w:val="20"/>
        </w:rPr>
        <w:t>c</w:t>
      </w:r>
      <w:r>
        <w:rPr>
          <w:sz w:val="20"/>
        </w:rPr>
        <w:t>a</w:t>
      </w:r>
      <w:r>
        <w:rPr>
          <w:spacing w:val="-2"/>
          <w:sz w:val="20"/>
        </w:rPr>
        <w:t>r</w:t>
      </w:r>
      <w:r>
        <w:rPr>
          <w:sz w:val="20"/>
        </w:rPr>
        <w:t xml:space="preserve">e au </w:t>
      </w:r>
      <w:r>
        <w:rPr>
          <w:spacing w:val="-3"/>
          <w:sz w:val="20"/>
        </w:rPr>
        <w:t>p</w:t>
      </w:r>
      <w:r>
        <w:rPr>
          <w:sz w:val="20"/>
        </w:rPr>
        <w:t>r</w:t>
      </w:r>
      <w:r>
        <w:rPr>
          <w:spacing w:val="1"/>
          <w:sz w:val="20"/>
        </w:rPr>
        <w:t>i</w:t>
      </w:r>
      <w:r>
        <w:rPr>
          <w:spacing w:val="-4"/>
          <w:sz w:val="20"/>
        </w:rPr>
        <w:t>m</w:t>
      </w:r>
      <w:r>
        <w:rPr>
          <w:spacing w:val="1"/>
          <w:sz w:val="20"/>
        </w:rPr>
        <w:t>i</w:t>
      </w:r>
      <w:r>
        <w:rPr>
          <w:sz w:val="20"/>
        </w:rPr>
        <w:t>t</w:t>
      </w:r>
      <w:r>
        <w:rPr>
          <w:spacing w:val="1"/>
          <w:sz w:val="20"/>
        </w:rPr>
        <w:t xml:space="preserve"> </w:t>
      </w:r>
      <w:r>
        <w:rPr>
          <w:spacing w:val="-3"/>
          <w:sz w:val="20"/>
        </w:rPr>
        <w:t>d</w:t>
      </w:r>
      <w:r>
        <w:rPr>
          <w:sz w:val="20"/>
        </w:rPr>
        <w:t xml:space="preserve">e </w:t>
      </w:r>
      <w:r>
        <w:rPr>
          <w:spacing w:val="1"/>
          <w:sz w:val="20"/>
        </w:rPr>
        <w:t>l</w:t>
      </w:r>
      <w:r>
        <w:rPr>
          <w:sz w:val="20"/>
        </w:rPr>
        <w:t>a</w:t>
      </w:r>
      <w:r>
        <w:rPr>
          <w:spacing w:val="-2"/>
          <w:sz w:val="20"/>
        </w:rPr>
        <w:t xml:space="preserve"> </w:t>
      </w:r>
      <w:r>
        <w:rPr>
          <w:spacing w:val="1"/>
          <w:sz w:val="20"/>
        </w:rPr>
        <w:t>î</w:t>
      </w:r>
      <w:r>
        <w:rPr>
          <w:sz w:val="20"/>
        </w:rPr>
        <w:t>n</w:t>
      </w:r>
      <w:r>
        <w:rPr>
          <w:spacing w:val="-3"/>
          <w:sz w:val="20"/>
        </w:rPr>
        <w:t>c</w:t>
      </w:r>
      <w:r>
        <w:rPr>
          <w:sz w:val="20"/>
        </w:rPr>
        <w:t>eput</w:t>
      </w:r>
      <w:r>
        <w:rPr>
          <w:spacing w:val="-2"/>
          <w:sz w:val="20"/>
        </w:rPr>
        <w:t xml:space="preserve"> </w:t>
      </w:r>
      <w:r>
        <w:rPr>
          <w:sz w:val="20"/>
        </w:rPr>
        <w:t>c</w:t>
      </w:r>
      <w:r>
        <w:rPr>
          <w:spacing w:val="-3"/>
          <w:sz w:val="20"/>
        </w:rPr>
        <w:t>o</w:t>
      </w:r>
      <w:r>
        <w:rPr>
          <w:sz w:val="20"/>
        </w:rPr>
        <w:t>r</w:t>
      </w:r>
      <w:r>
        <w:rPr>
          <w:spacing w:val="-2"/>
          <w:sz w:val="20"/>
        </w:rPr>
        <w:t>t</w:t>
      </w:r>
      <w:r>
        <w:rPr>
          <w:spacing w:val="1"/>
          <w:sz w:val="20"/>
        </w:rPr>
        <w:t>i</w:t>
      </w:r>
      <w:r>
        <w:rPr>
          <w:sz w:val="20"/>
        </w:rPr>
        <w:t>co</w:t>
      </w:r>
      <w:r>
        <w:rPr>
          <w:spacing w:val="-2"/>
          <w:sz w:val="20"/>
        </w:rPr>
        <w:t>s</w:t>
      </w:r>
      <w:r>
        <w:rPr>
          <w:spacing w:val="1"/>
          <w:sz w:val="20"/>
        </w:rPr>
        <w:t>t</w:t>
      </w:r>
      <w:r>
        <w:rPr>
          <w:spacing w:val="-3"/>
          <w:sz w:val="20"/>
        </w:rPr>
        <w:t>e</w:t>
      </w:r>
      <w:r>
        <w:rPr>
          <w:sz w:val="20"/>
        </w:rPr>
        <w:t>ro</w:t>
      </w:r>
      <w:r>
        <w:rPr>
          <w:spacing w:val="1"/>
          <w:sz w:val="20"/>
        </w:rPr>
        <w:t>i</w:t>
      </w:r>
      <w:r>
        <w:rPr>
          <w:spacing w:val="-3"/>
          <w:sz w:val="20"/>
        </w:rPr>
        <w:t>z</w:t>
      </w:r>
      <w:r>
        <w:rPr>
          <w:sz w:val="20"/>
        </w:rPr>
        <w:t>i</w:t>
      </w:r>
    </w:p>
    <w:p w14:paraId="7AEBA84E" w14:textId="77777777" w:rsidR="00C04CAD" w:rsidRDefault="00C04CAD">
      <w:pPr>
        <w:autoSpaceDE w:val="0"/>
        <w:autoSpaceDN w:val="0"/>
        <w:adjustRightInd w:val="0"/>
        <w:spacing w:line="240" w:lineRule="auto"/>
      </w:pPr>
    </w:p>
    <w:p w14:paraId="3DA4B3D1" w14:textId="77777777" w:rsidR="00C04CAD" w:rsidRDefault="00060E34">
      <w:pPr>
        <w:tabs>
          <w:tab w:val="clear" w:pos="567"/>
        </w:tabs>
        <w:kinsoku w:val="0"/>
        <w:overflowPunct w:val="0"/>
        <w:autoSpaceDE w:val="0"/>
        <w:autoSpaceDN w:val="0"/>
        <w:adjustRightInd w:val="0"/>
        <w:spacing w:line="240" w:lineRule="auto"/>
      </w:pPr>
      <w:r>
        <w:rPr>
          <w:rFonts w:eastAsia="MS Mincho"/>
          <w:spacing w:val="-1"/>
          <w:szCs w:val="22"/>
          <w:lang w:eastAsia="en-US" w:bidi="ar-SA"/>
        </w:rPr>
        <w:t>D</w:t>
      </w:r>
      <w:r>
        <w:rPr>
          <w:rFonts w:eastAsia="MS Mincho"/>
          <w:spacing w:val="1"/>
          <w:szCs w:val="22"/>
          <w:lang w:eastAsia="en-US" w:bidi="ar-SA"/>
        </w:rPr>
        <w:t>i</w:t>
      </w:r>
      <w:r>
        <w:rPr>
          <w:rFonts w:eastAsia="MS Mincho"/>
          <w:szCs w:val="22"/>
          <w:lang w:eastAsia="en-US" w:bidi="ar-SA"/>
        </w:rPr>
        <w:t>ntre</w:t>
      </w:r>
      <w:r>
        <w:t xml:space="preserve"> 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c</w:t>
      </w:r>
      <w:r>
        <w:t>are</w:t>
      </w:r>
      <w:r>
        <w:rPr>
          <w:spacing w:val="-2"/>
        </w:rPr>
        <w:t xml:space="preserve"> </w:t>
      </w:r>
      <w:r>
        <w:t>nu au</w:t>
      </w:r>
      <w:r>
        <w:rPr>
          <w:spacing w:val="-3"/>
        </w:rPr>
        <w:t xml:space="preserve"> </w:t>
      </w:r>
      <w:r>
        <w:t>r</w:t>
      </w:r>
      <w:r>
        <w:rPr>
          <w:spacing w:val="-3"/>
        </w:rPr>
        <w:t>ă</w:t>
      </w:r>
      <w:r>
        <w:rPr>
          <w:spacing w:val="-2"/>
        </w:rPr>
        <w:t>s</w:t>
      </w:r>
      <w:r>
        <w:t xml:space="preserve">puns </w:t>
      </w:r>
      <w:r>
        <w:rPr>
          <w:spacing w:val="-2"/>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4, 4</w:t>
      </w:r>
      <w:r>
        <w:rPr>
          <w:spacing w:val="-3"/>
        </w:rPr>
        <w:t>3</w:t>
      </w:r>
      <w:r>
        <w:t>%</w:t>
      </w:r>
      <w:r>
        <w:rPr>
          <w:spacing w:val="-2"/>
        </w:rPr>
        <w:t xml:space="preserve"> care </w:t>
      </w:r>
      <w:r>
        <w:t>au p</w:t>
      </w:r>
      <w:r>
        <w:rPr>
          <w:spacing w:val="-2"/>
        </w:rPr>
        <w:t>ri</w:t>
      </w:r>
      <w:r>
        <w:rPr>
          <w:spacing w:val="-4"/>
        </w:rPr>
        <w:t>m</w:t>
      </w:r>
      <w:r>
        <w:rPr>
          <w:spacing w:val="1"/>
        </w:rPr>
        <w:t>i</w:t>
      </w:r>
      <w:r>
        <w:t>t</w:t>
      </w:r>
      <w:r>
        <w:rPr>
          <w:spacing w:val="1"/>
        </w:rPr>
        <w:t xml:space="preserve"> </w:t>
      </w:r>
      <w:r>
        <w:rPr>
          <w:rFonts w:eastAsia="MS Mincho"/>
          <w:spacing w:val="1"/>
          <w:szCs w:val="22"/>
          <w:lang w:eastAsia="en-US" w:bidi="ar-SA"/>
        </w:rPr>
        <w:t xml:space="preserve">tratament de </w:t>
      </w:r>
      <w:r>
        <w:rPr>
          <w:rFonts w:eastAsia="MS Mincho"/>
          <w:spacing w:val="-2"/>
          <w:szCs w:val="22"/>
          <w:lang w:eastAsia="en-US" w:bidi="ar-SA"/>
        </w:rPr>
        <w:t>î</w:t>
      </w:r>
      <w:r>
        <w:rPr>
          <w:rFonts w:eastAsia="MS Mincho"/>
          <w:szCs w:val="22"/>
          <w:lang w:eastAsia="en-US" w:bidi="ar-SA"/>
        </w:rPr>
        <w:t>ntre</w:t>
      </w:r>
      <w:r>
        <w:rPr>
          <w:rFonts w:eastAsia="MS Mincho"/>
          <w:spacing w:val="1"/>
          <w:szCs w:val="22"/>
          <w:lang w:eastAsia="en-US" w:bidi="ar-SA"/>
        </w:rPr>
        <w:t>ţ</w:t>
      </w:r>
      <w:r>
        <w:rPr>
          <w:rFonts w:eastAsia="MS Mincho"/>
          <w:szCs w:val="22"/>
          <w:lang w:eastAsia="en-US" w:bidi="ar-SA"/>
        </w:rPr>
        <w:t>inere cu</w:t>
      </w:r>
      <w:r>
        <w:rPr>
          <w:rFonts w:eastAsia="MS Mincho"/>
          <w:spacing w:val="-1"/>
          <w:szCs w:val="22"/>
          <w:lang w:eastAsia="en-US" w:bidi="ar-SA"/>
        </w:rPr>
        <w:t xml:space="preserve"> adalimumab</w:t>
      </w:r>
      <w:r>
        <w:t>, au r</w:t>
      </w:r>
      <w:r>
        <w:rPr>
          <w:spacing w:val="-3"/>
        </w:rPr>
        <w:t>ă</w:t>
      </w:r>
      <w:r>
        <w:t>spu</w:t>
      </w:r>
      <w:r>
        <w:rPr>
          <w:spacing w:val="-3"/>
        </w:rPr>
        <w:t>n</w:t>
      </w:r>
      <w:r>
        <w:t>s pâ</w:t>
      </w:r>
      <w:r>
        <w:rPr>
          <w:spacing w:val="-3"/>
        </w:rPr>
        <w:t>n</w:t>
      </w:r>
      <w:r>
        <w:t xml:space="preserve">ă </w:t>
      </w:r>
      <w:r>
        <w:rPr>
          <w:spacing w:val="1"/>
        </w:rPr>
        <w:t>î</w:t>
      </w:r>
      <w:r>
        <w:t>n</w:t>
      </w:r>
      <w:r>
        <w:rPr>
          <w:spacing w:val="-3"/>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w:t>
      </w:r>
      <w:r>
        <w:rPr>
          <w:spacing w:val="-3"/>
        </w:rPr>
        <w:t xml:space="preserve"> </w:t>
      </w:r>
      <w:r>
        <w:t>co</w:t>
      </w:r>
      <w:r>
        <w:rPr>
          <w:spacing w:val="-4"/>
        </w:rPr>
        <w:t>m</w:t>
      </w:r>
      <w:r>
        <w:t>para</w:t>
      </w:r>
      <w:r>
        <w:rPr>
          <w:spacing w:val="-2"/>
        </w:rPr>
        <w:t>t</w:t>
      </w:r>
      <w:r>
        <w:rPr>
          <w:spacing w:val="1"/>
        </w:rPr>
        <w:t>i</w:t>
      </w:r>
      <w:r>
        <w:t>v</w:t>
      </w:r>
      <w:r>
        <w:rPr>
          <w:spacing w:val="-3"/>
        </w:rPr>
        <w:t xml:space="preserve"> </w:t>
      </w:r>
      <w:r>
        <w:t>cu 3</w:t>
      </w:r>
      <w:r>
        <w:rPr>
          <w:spacing w:val="-3"/>
        </w:rPr>
        <w:t>0</w:t>
      </w:r>
      <w:r>
        <w:t>%</w:t>
      </w:r>
      <w:r>
        <w:rPr>
          <w:spacing w:val="1"/>
        </w:rPr>
        <w:t xml:space="preserve"> </w:t>
      </w:r>
      <w:r>
        <w:t>d</w:t>
      </w:r>
      <w:r>
        <w:rPr>
          <w:spacing w:val="1"/>
        </w:rPr>
        <w:t>i</w:t>
      </w:r>
      <w:r>
        <w:rPr>
          <w:spacing w:val="-3"/>
        </w:rPr>
        <w:t>n</w:t>
      </w:r>
      <w:r>
        <w:rPr>
          <w:spacing w:val="1"/>
        </w:rPr>
        <w:t>t</w:t>
      </w:r>
      <w:r>
        <w:rPr>
          <w:spacing w:val="-2"/>
        </w:rPr>
        <w:t>r</w:t>
      </w:r>
      <w:r>
        <w:t>e p</w:t>
      </w:r>
      <w:r>
        <w:rPr>
          <w:spacing w:val="-3"/>
        </w:rPr>
        <w:t>a</w:t>
      </w:r>
      <w:r>
        <w:t>c</w:t>
      </w:r>
      <w:r>
        <w:rPr>
          <w:spacing w:val="1"/>
        </w:rPr>
        <w:t>i</w:t>
      </w:r>
      <w:r>
        <w:rPr>
          <w:spacing w:val="-3"/>
        </w:rPr>
        <w:t>e</w:t>
      </w:r>
      <w:r>
        <w:t>n</w:t>
      </w:r>
      <w:r>
        <w:rPr>
          <w:spacing w:val="-2"/>
        </w:rPr>
        <w:t>ţ</w:t>
      </w:r>
      <w:r>
        <w:rPr>
          <w:spacing w:val="1"/>
        </w:rPr>
        <w:t>i</w:t>
      </w:r>
      <w:r>
        <w:t>i</w:t>
      </w:r>
      <w:r>
        <w:rPr>
          <w:spacing w:val="-2"/>
        </w:rPr>
        <w:t xml:space="preserve"> </w:t>
      </w:r>
      <w:r>
        <w:t>ca</w:t>
      </w:r>
      <w:r>
        <w:rPr>
          <w:spacing w:val="-2"/>
        </w:rPr>
        <w:t>r</w:t>
      </w:r>
      <w:r>
        <w:t xml:space="preserve">e au </w:t>
      </w:r>
      <w:r>
        <w:rPr>
          <w:spacing w:val="-3"/>
        </w:rPr>
        <w:t>p</w:t>
      </w:r>
      <w:r>
        <w:t>r</w:t>
      </w:r>
      <w:r>
        <w:rPr>
          <w:spacing w:val="1"/>
        </w:rPr>
        <w:t>i</w:t>
      </w:r>
      <w:r>
        <w:rPr>
          <w:spacing w:val="-4"/>
        </w:rPr>
        <w:t>m</w:t>
      </w:r>
      <w:r>
        <w:rPr>
          <w:spacing w:val="1"/>
        </w:rPr>
        <w:t>i</w:t>
      </w:r>
      <w:r>
        <w:t>t</w:t>
      </w:r>
      <w:r>
        <w:rPr>
          <w:spacing w:val="1"/>
        </w:rPr>
        <w:t xml:space="preserve"> </w:t>
      </w:r>
      <w:r>
        <w:rPr>
          <w:spacing w:val="-2"/>
        </w:rPr>
        <w:t>î</w:t>
      </w:r>
      <w:r>
        <w:t>n con</w:t>
      </w:r>
      <w:r>
        <w:rPr>
          <w:spacing w:val="-2"/>
        </w:rPr>
        <w:t>t</w:t>
      </w:r>
      <w:r>
        <w:rPr>
          <w:spacing w:val="1"/>
        </w:rPr>
        <w:t>i</w:t>
      </w:r>
      <w:r>
        <w:t>nu</w:t>
      </w:r>
      <w:r>
        <w:rPr>
          <w:spacing w:val="-3"/>
        </w:rPr>
        <w:t>a</w:t>
      </w:r>
      <w:r>
        <w:t xml:space="preserve">re </w:t>
      </w:r>
      <w:r>
        <w:rPr>
          <w:spacing w:val="-3"/>
        </w:rPr>
        <w:t>p</w:t>
      </w:r>
      <w:r>
        <w:rPr>
          <w:spacing w:val="1"/>
        </w:rPr>
        <w:t>l</w:t>
      </w:r>
      <w:r>
        <w:rPr>
          <w:spacing w:val="-3"/>
        </w:rPr>
        <w:t>a</w:t>
      </w:r>
      <w:r>
        <w:t xml:space="preserve">cebo. </w:t>
      </w:r>
      <w:r>
        <w:rPr>
          <w:spacing w:val="-1"/>
        </w:rPr>
        <w:t>A</w:t>
      </w:r>
      <w:r>
        <w:rPr>
          <w:spacing w:val="-3"/>
        </w:rPr>
        <w:t>c</w:t>
      </w:r>
      <w:r>
        <w:t>e</w:t>
      </w:r>
      <w:r>
        <w:rPr>
          <w:spacing w:val="-2"/>
        </w:rPr>
        <w:t>s</w:t>
      </w:r>
      <w:r>
        <w:rPr>
          <w:spacing w:val="1"/>
        </w:rPr>
        <w:t>t</w:t>
      </w:r>
      <w:r>
        <w:t>e</w:t>
      </w:r>
      <w:r>
        <w:rPr>
          <w:spacing w:val="-2"/>
        </w:rPr>
        <w:t xml:space="preserve"> </w:t>
      </w:r>
      <w:r>
        <w:t>re</w:t>
      </w:r>
      <w:r>
        <w:rPr>
          <w:spacing w:val="-3"/>
        </w:rPr>
        <w:t>z</w:t>
      </w:r>
      <w:r>
        <w:t>u</w:t>
      </w:r>
      <w:r>
        <w:rPr>
          <w:spacing w:val="1"/>
        </w:rPr>
        <w:t>l</w:t>
      </w:r>
      <w:r>
        <w:rPr>
          <w:spacing w:val="-2"/>
        </w:rPr>
        <w:t>t</w:t>
      </w:r>
      <w:r>
        <w:t>a</w:t>
      </w:r>
      <w:r>
        <w:rPr>
          <w:spacing w:val="1"/>
        </w:rPr>
        <w:t>t</w:t>
      </w:r>
      <w:r>
        <w:t>e</w:t>
      </w:r>
      <w:r>
        <w:rPr>
          <w:spacing w:val="-2"/>
        </w:rPr>
        <w:t xml:space="preserve"> </w:t>
      </w:r>
      <w:r>
        <w:t>a</w:t>
      </w:r>
      <w:r>
        <w:rPr>
          <w:spacing w:val="-2"/>
        </w:rPr>
        <w:t>r</w:t>
      </w:r>
      <w:r>
        <w:t>a</w:t>
      </w:r>
      <w:r>
        <w:rPr>
          <w:spacing w:val="1"/>
        </w:rPr>
        <w:t>t</w:t>
      </w:r>
      <w:r>
        <w:t>ă</w:t>
      </w:r>
      <w:r>
        <w:rPr>
          <w:spacing w:val="-2"/>
        </w:rPr>
        <w:t xml:space="preserve"> </w:t>
      </w:r>
      <w:r>
        <w:t xml:space="preserve">că </w:t>
      </w:r>
      <w:r>
        <w:rPr>
          <w:spacing w:val="-3"/>
        </w:rPr>
        <w:t>u</w:t>
      </w:r>
      <w:r>
        <w:t>n</w:t>
      </w:r>
      <w:r>
        <w:rPr>
          <w:spacing w:val="-2"/>
        </w:rPr>
        <w:t>i</w:t>
      </w:r>
      <w:r>
        <w:t>i</w:t>
      </w:r>
      <w:r>
        <w:rPr>
          <w:spacing w:val="1"/>
        </w:rPr>
        <w:t xml:space="preserve"> </w:t>
      </w:r>
      <w:r>
        <w:t>p</w:t>
      </w:r>
      <w:r>
        <w:rPr>
          <w:spacing w:val="-3"/>
        </w:rPr>
        <w:t>a</w:t>
      </w:r>
      <w:r>
        <w:t>c</w:t>
      </w:r>
      <w:r>
        <w:rPr>
          <w:spacing w:val="1"/>
        </w:rPr>
        <w:t>i</w:t>
      </w:r>
      <w:r>
        <w:rPr>
          <w:spacing w:val="-3"/>
        </w:rPr>
        <w:t>e</w:t>
      </w:r>
      <w:r>
        <w:t>n</w:t>
      </w:r>
      <w:r>
        <w:rPr>
          <w:spacing w:val="1"/>
        </w:rPr>
        <w:t>ţ</w:t>
      </w:r>
      <w:r>
        <w:t>i</w:t>
      </w:r>
      <w:r>
        <w:rPr>
          <w:spacing w:val="-2"/>
        </w:rPr>
        <w:t xml:space="preserve"> </w:t>
      </w:r>
      <w:r>
        <w:t>ca</w:t>
      </w:r>
      <w:r>
        <w:rPr>
          <w:spacing w:val="-2"/>
        </w:rPr>
        <w:t>r</w:t>
      </w:r>
      <w:r>
        <w:t>e nu</w:t>
      </w:r>
      <w:r>
        <w:rPr>
          <w:spacing w:val="-3"/>
        </w:rPr>
        <w:t xml:space="preserve"> </w:t>
      </w:r>
      <w:r>
        <w:t xml:space="preserve">au </w:t>
      </w:r>
      <w:r>
        <w:rPr>
          <w:spacing w:val="-2"/>
        </w:rPr>
        <w:t>r</w:t>
      </w:r>
      <w:r>
        <w:t>ăspu</w:t>
      </w:r>
      <w:r>
        <w:rPr>
          <w:spacing w:val="-3"/>
        </w:rPr>
        <w:t>n</w:t>
      </w:r>
      <w:r>
        <w:t>s pâ</w:t>
      </w:r>
      <w:r>
        <w:rPr>
          <w:spacing w:val="-3"/>
        </w:rPr>
        <w:t>n</w:t>
      </w:r>
      <w:r>
        <w:t>ă</w:t>
      </w:r>
      <w:r>
        <w:rPr>
          <w:spacing w:val="-2"/>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 au bene</w:t>
      </w:r>
      <w:r>
        <w:rPr>
          <w:spacing w:val="-2"/>
        </w:rPr>
        <w:t>f</w:t>
      </w:r>
      <w:r>
        <w:rPr>
          <w:spacing w:val="1"/>
        </w:rPr>
        <w:t>i</w:t>
      </w:r>
      <w:r>
        <w:rPr>
          <w:spacing w:val="-3"/>
        </w:rPr>
        <w:t>c</w:t>
      </w:r>
      <w:r>
        <w:rPr>
          <w:spacing w:val="1"/>
        </w:rPr>
        <w:t>i</w:t>
      </w:r>
      <w:r>
        <w:rPr>
          <w:spacing w:val="-3"/>
        </w:rPr>
        <w:t>a</w:t>
      </w:r>
      <w:r>
        <w:t>t</w:t>
      </w:r>
      <w:r>
        <w:rPr>
          <w:spacing w:val="1"/>
        </w:rPr>
        <w:t xml:space="preserve"> </w:t>
      </w:r>
      <w:r>
        <w:t>de</w:t>
      </w:r>
      <w:r>
        <w:rPr>
          <w:spacing w:val="-2"/>
        </w:rPr>
        <w:t xml:space="preserve"> </w:t>
      </w:r>
      <w:r>
        <w:t>con</w:t>
      </w:r>
      <w:r>
        <w:rPr>
          <w:spacing w:val="-2"/>
        </w:rPr>
        <w:t>t</w:t>
      </w:r>
      <w:r>
        <w:rPr>
          <w:spacing w:val="1"/>
        </w:rPr>
        <w:t>i</w:t>
      </w:r>
      <w:r>
        <w:t>n</w:t>
      </w:r>
      <w:r>
        <w:rPr>
          <w:spacing w:val="-3"/>
        </w:rPr>
        <w:t>u</w:t>
      </w:r>
      <w:r>
        <w:t>ar</w:t>
      </w:r>
      <w:r>
        <w:rPr>
          <w:spacing w:val="-3"/>
        </w:rPr>
        <w:t>e</w:t>
      </w:r>
      <w:r>
        <w:t xml:space="preserve">a </w:t>
      </w:r>
      <w:r>
        <w:rPr>
          <w:spacing w:val="-2"/>
        </w:rPr>
        <w:t>tr</w:t>
      </w:r>
      <w:r>
        <w:t>a</w:t>
      </w:r>
      <w:r>
        <w:rPr>
          <w:spacing w:val="1"/>
        </w:rPr>
        <w:t>t</w:t>
      </w:r>
      <w:r>
        <w:t>a</w:t>
      </w:r>
      <w:r>
        <w:rPr>
          <w:spacing w:val="-4"/>
        </w:rPr>
        <w:t>m</w:t>
      </w:r>
      <w:r>
        <w:t>en</w:t>
      </w:r>
      <w:r>
        <w:rPr>
          <w:spacing w:val="1"/>
        </w:rPr>
        <w:t>t</w:t>
      </w:r>
      <w:r>
        <w:rPr>
          <w:spacing w:val="-3"/>
        </w:rPr>
        <w:t>u</w:t>
      </w:r>
      <w:r>
        <w:rPr>
          <w:spacing w:val="1"/>
        </w:rPr>
        <w:t>l</w:t>
      </w:r>
      <w:r>
        <w:t>ui</w:t>
      </w:r>
      <w:r>
        <w:rPr>
          <w:spacing w:val="1"/>
        </w:rPr>
        <w:t xml:space="preserve"> </w:t>
      </w:r>
      <w:r>
        <w:rPr>
          <w:spacing w:val="-3"/>
        </w:rPr>
        <w:t>p</w:t>
      </w:r>
      <w:r>
        <w:t>ână</w:t>
      </w:r>
      <w:r>
        <w:rPr>
          <w:spacing w:val="-2"/>
        </w:rPr>
        <w:t xml:space="preserve"> </w:t>
      </w:r>
      <w:r>
        <w:rPr>
          <w:spacing w:val="1"/>
        </w:rPr>
        <w:t>î</w:t>
      </w:r>
      <w: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 </w:t>
      </w:r>
      <w:r>
        <w:rPr>
          <w:spacing w:val="-1"/>
        </w:rPr>
        <w:t>C</w:t>
      </w:r>
      <w:r>
        <w:rPr>
          <w:spacing w:val="-3"/>
        </w:rPr>
        <w:t>o</w:t>
      </w:r>
      <w:r>
        <w:t>n</w:t>
      </w:r>
      <w:r>
        <w:rPr>
          <w:spacing w:val="-2"/>
        </w:rPr>
        <w:t>t</w:t>
      </w:r>
      <w:r>
        <w:rPr>
          <w:spacing w:val="1"/>
        </w:rPr>
        <w:t>i</w:t>
      </w:r>
      <w:r>
        <w:t>nu</w:t>
      </w:r>
      <w:r>
        <w:rPr>
          <w:spacing w:val="-3"/>
        </w:rPr>
        <w:t>a</w:t>
      </w:r>
      <w:r>
        <w:t>rea</w:t>
      </w:r>
      <w:r>
        <w:rPr>
          <w:spacing w:val="-2"/>
        </w:rPr>
        <w:t xml:space="preserve"> </w:t>
      </w:r>
      <w:r>
        <w:rPr>
          <w:spacing w:val="1"/>
        </w:rPr>
        <w:t>t</w:t>
      </w:r>
      <w:r>
        <w:rPr>
          <w:spacing w:val="-2"/>
        </w:rPr>
        <w:t>r</w:t>
      </w:r>
      <w:r>
        <w:t>a</w:t>
      </w:r>
      <w:r>
        <w:rPr>
          <w:spacing w:val="-2"/>
        </w:rPr>
        <w:t>t</w:t>
      </w:r>
      <w:r>
        <w:t>a</w:t>
      </w:r>
      <w:r>
        <w:rPr>
          <w:spacing w:val="-2"/>
        </w:rPr>
        <w:t>m</w:t>
      </w:r>
      <w:r>
        <w:t>en</w:t>
      </w:r>
      <w:r>
        <w:rPr>
          <w:spacing w:val="1"/>
        </w:rPr>
        <w:t>t</w:t>
      </w:r>
      <w:r>
        <w:rPr>
          <w:spacing w:val="-3"/>
        </w:rPr>
        <w:t>u</w:t>
      </w:r>
      <w:r>
        <w:rPr>
          <w:spacing w:val="1"/>
        </w:rPr>
        <w:t>l</w:t>
      </w:r>
      <w:r>
        <w:t>ui</w:t>
      </w:r>
      <w:r>
        <w:rPr>
          <w:spacing w:val="-2"/>
        </w:rPr>
        <w:t xml:space="preserve"> </w:t>
      </w:r>
      <w:r>
        <w:t xml:space="preserve">după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 </w:t>
      </w:r>
      <w:r>
        <w:rPr>
          <w:spacing w:val="-3"/>
        </w:rPr>
        <w:t>n</w:t>
      </w:r>
      <w:r>
        <w:t>u a a</w:t>
      </w:r>
      <w:r>
        <w:rPr>
          <w:spacing w:val="-3"/>
        </w:rPr>
        <w:t>v</w:t>
      </w:r>
      <w:r>
        <w:t>ut</w:t>
      </w:r>
      <w:r>
        <w:rPr>
          <w:spacing w:val="-2"/>
        </w:rPr>
        <w:t xml:space="preserve"> </w:t>
      </w:r>
      <w:r>
        <w:t>ca</w:t>
      </w:r>
      <w:r>
        <w:rPr>
          <w:spacing w:val="-2"/>
        </w:rPr>
        <w:t xml:space="preserve"> </w:t>
      </w:r>
      <w:r>
        <w:t>re</w:t>
      </w:r>
      <w:r>
        <w:rPr>
          <w:spacing w:val="-3"/>
        </w:rPr>
        <w:t>z</w:t>
      </w:r>
      <w:r>
        <w:t>u</w:t>
      </w:r>
      <w:r>
        <w:rPr>
          <w:spacing w:val="1"/>
        </w:rPr>
        <w:t>l</w:t>
      </w:r>
      <w:r>
        <w:rPr>
          <w:spacing w:val="-2"/>
        </w:rPr>
        <w:t>t</w:t>
      </w:r>
      <w:r>
        <w:t>at</w:t>
      </w:r>
      <w:r>
        <w:rPr>
          <w:spacing w:val="1"/>
        </w:rPr>
        <w:t xml:space="preserve"> </w:t>
      </w:r>
      <w:r>
        <w:rPr>
          <w:spacing w:val="-3"/>
        </w:rPr>
        <w:t>u</w:t>
      </w:r>
      <w:r>
        <w:t>n nu</w:t>
      </w:r>
      <w:r>
        <w:rPr>
          <w:spacing w:val="-4"/>
        </w:rPr>
        <w:t>m</w:t>
      </w:r>
      <w:r>
        <w:t>ăr</w:t>
      </w:r>
      <w:r>
        <w:rPr>
          <w:spacing w:val="1"/>
        </w:rPr>
        <w:t xml:space="preserve"> </w:t>
      </w:r>
      <w:r>
        <w:t>se</w:t>
      </w:r>
      <w:r>
        <w:rPr>
          <w:spacing w:val="-4"/>
        </w:rPr>
        <w:t>m</w:t>
      </w:r>
      <w:r>
        <w:t>n</w:t>
      </w:r>
      <w:r>
        <w:rPr>
          <w:spacing w:val="1"/>
        </w:rPr>
        <w:t>i</w:t>
      </w:r>
      <w:r>
        <w:rPr>
          <w:spacing w:val="-2"/>
        </w:rPr>
        <w:t>f</w:t>
      </w:r>
      <w:r>
        <w:rPr>
          <w:spacing w:val="1"/>
        </w:rPr>
        <w:t>i</w:t>
      </w:r>
      <w:r>
        <w:rPr>
          <w:spacing w:val="-3"/>
        </w:rPr>
        <w:t>c</w:t>
      </w:r>
      <w:r>
        <w:t>a</w:t>
      </w:r>
      <w:r>
        <w:rPr>
          <w:spacing w:val="1"/>
        </w:rPr>
        <w:t>ti</w:t>
      </w:r>
      <w:r>
        <w:t>v</w:t>
      </w:r>
      <w:r>
        <w:rPr>
          <w:spacing w:val="-3"/>
        </w:rPr>
        <w:t xml:space="preserve"> </w:t>
      </w:r>
      <w:r>
        <w:rPr>
          <w:spacing w:val="-4"/>
        </w:rPr>
        <w:t>m</w:t>
      </w:r>
      <w:r>
        <w:t>ai</w:t>
      </w:r>
      <w:r>
        <w:rPr>
          <w:spacing w:val="1"/>
        </w:rPr>
        <w:t xml:space="preserve"> </w:t>
      </w:r>
      <w:r>
        <w:rPr>
          <w:spacing w:val="-4"/>
        </w:rPr>
        <w:t>m</w:t>
      </w:r>
      <w:r>
        <w:t>are de r</w:t>
      </w:r>
      <w:r>
        <w:rPr>
          <w:spacing w:val="-3"/>
        </w:rPr>
        <w:t>ă</w:t>
      </w:r>
      <w:r>
        <w:t>spu</w:t>
      </w:r>
      <w:r>
        <w:rPr>
          <w:spacing w:val="-3"/>
        </w:rPr>
        <w:t>n</w:t>
      </w:r>
      <w:r>
        <w:t>su</w:t>
      </w:r>
      <w:r>
        <w:rPr>
          <w:spacing w:val="-2"/>
        </w:rPr>
        <w:t>r</w:t>
      </w:r>
      <w:r>
        <w:t>i</w:t>
      </w:r>
      <w:r>
        <w:rPr>
          <w:spacing w:val="-2"/>
        </w:rPr>
        <w:t xml:space="preserve"> </w:t>
      </w:r>
      <w:r>
        <w:t>(</w:t>
      </w:r>
      <w:r>
        <w:rPr>
          <w:spacing w:val="-3"/>
        </w:rPr>
        <w:t>v</w:t>
      </w:r>
      <w:r>
        <w:t>e</w:t>
      </w:r>
      <w:r>
        <w:rPr>
          <w:spacing w:val="-3"/>
        </w:rPr>
        <w:t>z</w:t>
      </w:r>
      <w:r>
        <w:t>i</w:t>
      </w:r>
      <w:r>
        <w:rPr>
          <w:spacing w:val="1"/>
        </w:rPr>
        <w:t xml:space="preserve"> </w:t>
      </w:r>
      <w:r>
        <w:t>pc</w:t>
      </w:r>
      <w:r>
        <w:rPr>
          <w:spacing w:val="1"/>
        </w:rPr>
        <w:t>t</w:t>
      </w:r>
      <w:r>
        <w:t>.4.</w:t>
      </w:r>
      <w:r>
        <w:rPr>
          <w:spacing w:val="-3"/>
        </w:rPr>
        <w:t>2</w:t>
      </w:r>
      <w:r>
        <w:t>).</w:t>
      </w:r>
    </w:p>
    <w:p w14:paraId="72933FF3" w14:textId="77777777" w:rsidR="00C04CAD" w:rsidRDefault="00C04CAD">
      <w:pPr>
        <w:tabs>
          <w:tab w:val="clear" w:pos="567"/>
        </w:tabs>
        <w:kinsoku w:val="0"/>
        <w:overflowPunct w:val="0"/>
        <w:autoSpaceDE w:val="0"/>
        <w:autoSpaceDN w:val="0"/>
        <w:adjustRightInd w:val="0"/>
        <w:spacing w:line="240" w:lineRule="auto"/>
      </w:pPr>
    </w:p>
    <w:p w14:paraId="1609441E" w14:textId="77777777" w:rsidR="00C04CAD" w:rsidRDefault="00060E34">
      <w:pPr>
        <w:tabs>
          <w:tab w:val="clear" w:pos="567"/>
        </w:tabs>
        <w:kinsoku w:val="0"/>
        <w:overflowPunct w:val="0"/>
        <w:autoSpaceDE w:val="0"/>
        <w:autoSpaceDN w:val="0"/>
        <w:adjustRightInd w:val="0"/>
        <w:spacing w:line="240" w:lineRule="auto"/>
      </w:pPr>
      <w:r>
        <w:lastRenderedPageBreak/>
        <w:t>117 d</w:t>
      </w:r>
      <w:r>
        <w:rPr>
          <w:spacing w:val="1"/>
        </w:rPr>
        <w:t>i</w:t>
      </w:r>
      <w:r>
        <w:t>n</w:t>
      </w:r>
      <w:r>
        <w:rPr>
          <w:spacing w:val="-3"/>
        </w:rPr>
        <w:t xml:space="preserve"> </w:t>
      </w:r>
      <w:r>
        <w:t xml:space="preserve">276 </w:t>
      </w:r>
      <w:r>
        <w:rPr>
          <w:spacing w:val="-3"/>
        </w:rPr>
        <w:t>p</w:t>
      </w:r>
      <w:r>
        <w:t>ac</w:t>
      </w:r>
      <w:r>
        <w:rPr>
          <w:spacing w:val="-2"/>
        </w:rPr>
        <w:t>i</w:t>
      </w:r>
      <w:r>
        <w:t>en</w:t>
      </w:r>
      <w:r>
        <w:rPr>
          <w:spacing w:val="-2"/>
        </w:rPr>
        <w:t>ţ</w:t>
      </w:r>
      <w:r>
        <w:t>i</w:t>
      </w:r>
      <w:r>
        <w:rPr>
          <w:spacing w:val="1"/>
        </w:rPr>
        <w:t xml:space="preserve"> </w:t>
      </w:r>
      <w:r>
        <w:rPr>
          <w:spacing w:val="-3"/>
        </w:rPr>
        <w:t>d</w:t>
      </w:r>
      <w:r>
        <w:rPr>
          <w:spacing w:val="1"/>
        </w:rPr>
        <w:t>i</w:t>
      </w:r>
      <w:r>
        <w:t xml:space="preserve">n </w:t>
      </w:r>
      <w:r>
        <w:rPr>
          <w:spacing w:val="-2"/>
        </w:rPr>
        <w:t>s</w:t>
      </w:r>
      <w:r>
        <w:rPr>
          <w:spacing w:val="1"/>
        </w:rPr>
        <w:t>t</w:t>
      </w:r>
      <w:r>
        <w:rPr>
          <w:spacing w:val="-3"/>
        </w:rPr>
        <w:t>u</w:t>
      </w:r>
      <w:r>
        <w:t>d</w:t>
      </w:r>
      <w:r>
        <w:rPr>
          <w:spacing w:val="1"/>
        </w:rPr>
        <w:t>i</w:t>
      </w:r>
      <w:r>
        <w:t>ul</w:t>
      </w:r>
      <w:r>
        <w:rPr>
          <w:spacing w:val="1"/>
        </w:rPr>
        <w:t xml:space="preserve"> </w:t>
      </w:r>
      <w:r>
        <w:rPr>
          <w:spacing w:val="-1"/>
        </w:rPr>
        <w:t>B</w:t>
      </w:r>
      <w:r>
        <w:t>C</w:t>
      </w:r>
      <w:r>
        <w:rPr>
          <w:spacing w:val="-1"/>
        </w:rPr>
        <w:t xml:space="preserve"> </w:t>
      </w:r>
      <w:r>
        <w:t>I</w:t>
      </w:r>
      <w:r>
        <w:rPr>
          <w:spacing w:val="-4"/>
        </w:rPr>
        <w:t xml:space="preserve"> </w:t>
      </w:r>
      <w:r>
        <w:t>şi</w:t>
      </w:r>
      <w:r>
        <w:rPr>
          <w:spacing w:val="1"/>
        </w:rPr>
        <w:t xml:space="preserve"> </w:t>
      </w:r>
      <w:r>
        <w:t xml:space="preserve">272 </w:t>
      </w:r>
      <w:r>
        <w:rPr>
          <w:spacing w:val="-3"/>
        </w:rPr>
        <w:t>d</w:t>
      </w:r>
      <w:r>
        <w:rPr>
          <w:spacing w:val="1"/>
        </w:rPr>
        <w:t>i</w:t>
      </w:r>
      <w:r>
        <w:t xml:space="preserve">n </w:t>
      </w:r>
      <w:r>
        <w:rPr>
          <w:spacing w:val="-3"/>
        </w:rPr>
        <w:t>7</w:t>
      </w:r>
      <w:r>
        <w:t>77 p</w:t>
      </w:r>
      <w:r>
        <w:rPr>
          <w:spacing w:val="-3"/>
        </w:rPr>
        <w:t>a</w:t>
      </w:r>
      <w:r>
        <w:t>c</w:t>
      </w:r>
      <w:r>
        <w:rPr>
          <w:spacing w:val="1"/>
        </w:rPr>
        <w:t>i</w:t>
      </w:r>
      <w:r>
        <w:t>e</w:t>
      </w:r>
      <w:r>
        <w:rPr>
          <w:spacing w:val="-3"/>
        </w:rPr>
        <w:t>n</w:t>
      </w:r>
      <w:r>
        <w:rPr>
          <w:spacing w:val="1"/>
        </w:rPr>
        <w:t>ţ</w:t>
      </w:r>
      <w:r>
        <w:t>i</w:t>
      </w:r>
      <w:r>
        <w:rPr>
          <w:spacing w:val="-2"/>
        </w:rPr>
        <w:t xml:space="preserve"> </w:t>
      </w:r>
      <w:r>
        <w:t>d</w:t>
      </w:r>
      <w:r>
        <w:rPr>
          <w:spacing w:val="1"/>
        </w:rPr>
        <w:t>i</w:t>
      </w:r>
      <w:r>
        <w:t>n</w:t>
      </w:r>
      <w:r>
        <w:rPr>
          <w:spacing w:val="-3"/>
        </w:rPr>
        <w:t xml:space="preserve"> </w:t>
      </w:r>
      <w:r>
        <w:t>s</w:t>
      </w:r>
      <w:r>
        <w:rPr>
          <w:spacing w:val="1"/>
        </w:rPr>
        <w:t>t</w:t>
      </w:r>
      <w:r>
        <w:rPr>
          <w:spacing w:val="-3"/>
        </w:rPr>
        <w:t>u</w:t>
      </w:r>
      <w:r>
        <w:t>d</w:t>
      </w:r>
      <w:r>
        <w:rPr>
          <w:spacing w:val="-2"/>
        </w:rPr>
        <w:t>i</w:t>
      </w:r>
      <w:r>
        <w:rPr>
          <w:spacing w:val="1"/>
        </w:rPr>
        <w:t>il</w:t>
      </w:r>
      <w:r>
        <w:t>e</w:t>
      </w:r>
      <w:r>
        <w:rPr>
          <w:spacing w:val="-2"/>
        </w:rPr>
        <w:t xml:space="preserve"> </w:t>
      </w:r>
      <w:r>
        <w:rPr>
          <w:spacing w:val="-1"/>
        </w:rPr>
        <w:t>B</w:t>
      </w:r>
      <w:r>
        <w:t>C</w:t>
      </w:r>
      <w:r>
        <w:rPr>
          <w:spacing w:val="-1"/>
        </w:rPr>
        <w:t xml:space="preserve"> </w:t>
      </w:r>
      <w:r>
        <w:rPr>
          <w:spacing w:val="-2"/>
        </w:rPr>
        <w:t>I</w:t>
      </w:r>
      <w:r>
        <w:t>I</w:t>
      </w:r>
      <w:r>
        <w:rPr>
          <w:spacing w:val="-2"/>
        </w:rPr>
        <w:t xml:space="preserve"> </w:t>
      </w:r>
      <w:r>
        <w:t>şi</w:t>
      </w:r>
      <w:r>
        <w:rPr>
          <w:spacing w:val="1"/>
        </w:rPr>
        <w:t xml:space="preserve"> </w:t>
      </w:r>
      <w:r>
        <w:rPr>
          <w:spacing w:val="-2"/>
        </w:rPr>
        <w:t>III</w:t>
      </w:r>
      <w:r>
        <w:t xml:space="preserve">, au fost </w:t>
      </w:r>
      <w:r>
        <w:rPr>
          <w:spacing w:val="-4"/>
        </w:rPr>
        <w:t>m</w:t>
      </w:r>
      <w:r>
        <w:t>on</w:t>
      </w:r>
      <w:r>
        <w:rPr>
          <w:spacing w:val="1"/>
        </w:rPr>
        <w:t>it</w:t>
      </w:r>
      <w:r>
        <w:t>or</w:t>
      </w:r>
      <w:r>
        <w:rPr>
          <w:spacing w:val="1"/>
        </w:rPr>
        <w:t>i</w:t>
      </w:r>
      <w:r>
        <w:rPr>
          <w:spacing w:val="-3"/>
        </w:rPr>
        <w:t>z</w:t>
      </w:r>
      <w:r>
        <w:t>a</w:t>
      </w:r>
      <w:r>
        <w:rPr>
          <w:spacing w:val="-2"/>
        </w:rPr>
        <w:t>ţ</w:t>
      </w:r>
      <w:r>
        <w:t>i</w:t>
      </w:r>
      <w:r>
        <w:rPr>
          <w:spacing w:val="1"/>
        </w:rPr>
        <w:t xml:space="preserve"> </w:t>
      </w:r>
      <w:r>
        <w:t>pe</w:t>
      </w:r>
      <w:r>
        <w:rPr>
          <w:spacing w:val="-2"/>
        </w:rPr>
        <w:t xml:space="preserve"> </w:t>
      </w:r>
      <w:r>
        <w:t>o p</w:t>
      </w:r>
      <w:r>
        <w:rPr>
          <w:spacing w:val="-3"/>
        </w:rPr>
        <w:t>e</w:t>
      </w:r>
      <w:r>
        <w:t>r</w:t>
      </w:r>
      <w:r>
        <w:rPr>
          <w:spacing w:val="1"/>
        </w:rPr>
        <w:t>i</w:t>
      </w:r>
      <w:r>
        <w:rPr>
          <w:spacing w:val="-3"/>
        </w:rPr>
        <w:t>o</w:t>
      </w:r>
      <w:r>
        <w:t>adă</w:t>
      </w:r>
      <w:r>
        <w:rPr>
          <w:spacing w:val="-2"/>
        </w:rPr>
        <w:t xml:space="preserve"> </w:t>
      </w:r>
      <w:r>
        <w:t>de 3 a</w:t>
      </w:r>
      <w:r>
        <w:rPr>
          <w:spacing w:val="-3"/>
        </w:rPr>
        <w:t>n</w:t>
      </w:r>
      <w:r>
        <w:t>i</w:t>
      </w:r>
      <w:r>
        <w:rPr>
          <w:spacing w:val="1"/>
        </w:rPr>
        <w:t xml:space="preserve"> </w:t>
      </w:r>
      <w:r>
        <w:t>de</w:t>
      </w:r>
      <w:r>
        <w:rPr>
          <w:spacing w:val="-2"/>
        </w:rPr>
        <w:t xml:space="preserve"> </w:t>
      </w:r>
      <w:r>
        <w:rPr>
          <w:spacing w:val="1"/>
        </w:rPr>
        <w:t>t</w:t>
      </w:r>
      <w:r>
        <w:rPr>
          <w:spacing w:val="-2"/>
        </w:rPr>
        <w:t>r</w:t>
      </w:r>
      <w:r>
        <w:t>a</w:t>
      </w:r>
      <w:r>
        <w:rPr>
          <w:spacing w:val="-2"/>
        </w:rPr>
        <w:t>t</w:t>
      </w:r>
      <w:r>
        <w:t>a</w:t>
      </w:r>
      <w:r>
        <w:rPr>
          <w:spacing w:val="-4"/>
        </w:rPr>
        <w:t>m</w:t>
      </w:r>
      <w:r>
        <w:t>ent</w:t>
      </w:r>
      <w:r>
        <w:rPr>
          <w:spacing w:val="1"/>
        </w:rPr>
        <w:t xml:space="preserve"> </w:t>
      </w:r>
      <w:r>
        <w:t>des</w:t>
      </w:r>
      <w:r>
        <w:rPr>
          <w:spacing w:val="-3"/>
        </w:rPr>
        <w:t>ch</w:t>
      </w:r>
      <w:r>
        <w:rPr>
          <w:spacing w:val="1"/>
        </w:rPr>
        <w:t>i</w:t>
      </w:r>
      <w:r>
        <w:t>s cu</w:t>
      </w:r>
      <w:r>
        <w:rPr>
          <w:spacing w:val="-3"/>
        </w:rPr>
        <w:t xml:space="preserve"> </w:t>
      </w:r>
      <w:r>
        <w:t>ad</w:t>
      </w:r>
      <w:r>
        <w:rPr>
          <w:spacing w:val="-3"/>
        </w:rPr>
        <w:t>a</w:t>
      </w:r>
      <w:r>
        <w:rPr>
          <w:spacing w:val="1"/>
        </w:rPr>
        <w:t>li</w:t>
      </w:r>
      <w:r>
        <w:rPr>
          <w:spacing w:val="-4"/>
        </w:rPr>
        <w:t>m</w:t>
      </w:r>
      <w:r>
        <w:t>u</w:t>
      </w:r>
      <w:r>
        <w:rPr>
          <w:spacing w:val="-4"/>
        </w:rPr>
        <w:t>m</w:t>
      </w:r>
      <w:r>
        <w:t>ab. 88 şi</w:t>
      </w:r>
      <w:r>
        <w:rPr>
          <w:spacing w:val="1"/>
        </w:rPr>
        <w:t xml:space="preserve"> </w:t>
      </w:r>
      <w:r>
        <w:rPr>
          <w:spacing w:val="-2"/>
        </w:rPr>
        <w:t>r</w:t>
      </w:r>
      <w:r>
        <w:t>e</w:t>
      </w:r>
      <w:r>
        <w:rPr>
          <w:spacing w:val="-2"/>
        </w:rPr>
        <w:t>s</w:t>
      </w:r>
      <w:r>
        <w:t>pec</w:t>
      </w:r>
      <w:r>
        <w:rPr>
          <w:spacing w:val="-2"/>
        </w:rPr>
        <w:t>t</w:t>
      </w:r>
      <w:r>
        <w:rPr>
          <w:spacing w:val="1"/>
        </w:rPr>
        <w:t>i</w:t>
      </w:r>
      <w:r>
        <w:t>v</w:t>
      </w:r>
      <w:r>
        <w:rPr>
          <w:spacing w:val="-3"/>
        </w:rPr>
        <w:t xml:space="preserve"> </w:t>
      </w:r>
      <w:r>
        <w:t>189 pa</w:t>
      </w:r>
      <w:r>
        <w:rPr>
          <w:spacing w:val="-3"/>
        </w:rPr>
        <w:t>c</w:t>
      </w:r>
      <w:r>
        <w:rPr>
          <w:spacing w:val="1"/>
        </w:rPr>
        <w:t>i</w:t>
      </w:r>
      <w:r>
        <w:t>e</w:t>
      </w:r>
      <w:r>
        <w:rPr>
          <w:spacing w:val="-3"/>
        </w:rPr>
        <w:t>n</w:t>
      </w:r>
      <w:r>
        <w:rPr>
          <w:spacing w:val="-2"/>
        </w:rPr>
        <w:t>ţ</w:t>
      </w:r>
      <w:r>
        <w:t>i au co</w:t>
      </w:r>
      <w:r>
        <w:rPr>
          <w:spacing w:val="-3"/>
        </w:rPr>
        <w:t>n</w:t>
      </w:r>
      <w:r>
        <w:rPr>
          <w:spacing w:val="1"/>
        </w:rPr>
        <w:t>ti</w:t>
      </w:r>
      <w:r>
        <w:rPr>
          <w:spacing w:val="-3"/>
        </w:rPr>
        <w:t>n</w:t>
      </w:r>
      <w:r>
        <w:t>uat</w:t>
      </w:r>
      <w:r>
        <w:rPr>
          <w:spacing w:val="-2"/>
        </w:rPr>
        <w:t xml:space="preserve"> </w:t>
      </w:r>
      <w:r>
        <w:t>să</w:t>
      </w:r>
      <w:r>
        <w:rPr>
          <w:spacing w:val="-2"/>
        </w:rPr>
        <w:t xml:space="preserve"> </w:t>
      </w:r>
      <w:r>
        <w:t>f</w:t>
      </w:r>
      <w:r>
        <w:rPr>
          <w:spacing w:val="-2"/>
        </w:rPr>
        <w:t>i</w:t>
      </w:r>
      <w:r>
        <w:t xml:space="preserve">e </w:t>
      </w:r>
      <w:r>
        <w:rPr>
          <w:spacing w:val="1"/>
        </w:rPr>
        <w:t>î</w:t>
      </w:r>
      <w:r>
        <w:t>n</w:t>
      </w:r>
      <w:r>
        <w:rPr>
          <w:spacing w:val="-3"/>
        </w:rPr>
        <w:t xml:space="preserve"> </w:t>
      </w:r>
      <w:r>
        <w:t>re</w:t>
      </w:r>
      <w:r>
        <w:rPr>
          <w:spacing w:val="-4"/>
        </w:rPr>
        <w:t>m</w:t>
      </w:r>
      <w:r>
        <w:rPr>
          <w:spacing w:val="1"/>
        </w:rPr>
        <w:t>i</w:t>
      </w:r>
      <w:r>
        <w:t>s</w:t>
      </w:r>
      <w:r>
        <w:rPr>
          <w:spacing w:val="-2"/>
        </w:rPr>
        <w:t>i</w:t>
      </w:r>
      <w:r>
        <w:t>e c</w:t>
      </w:r>
      <w:r>
        <w:rPr>
          <w:spacing w:val="-2"/>
        </w:rPr>
        <w:t>l</w:t>
      </w:r>
      <w:r>
        <w:rPr>
          <w:spacing w:val="1"/>
        </w:rPr>
        <w:t>i</w:t>
      </w:r>
      <w:r>
        <w:t>n</w:t>
      </w:r>
      <w:r>
        <w:rPr>
          <w:spacing w:val="-2"/>
        </w:rPr>
        <w:t>i</w:t>
      </w:r>
      <w:r>
        <w:t xml:space="preserve">că. </w:t>
      </w:r>
      <w:r>
        <w:rPr>
          <w:spacing w:val="-3"/>
        </w:rPr>
        <w:t>L</w:t>
      </w:r>
      <w:r>
        <w:t>a 102</w:t>
      </w:r>
      <w:r>
        <w:rPr>
          <w:spacing w:val="-3"/>
        </w:rPr>
        <w:t xml:space="preserve"> </w:t>
      </w:r>
      <w:r>
        <w:t>şi</w:t>
      </w:r>
      <w:r>
        <w:rPr>
          <w:spacing w:val="-2"/>
        </w:rPr>
        <w:t xml:space="preserve"> </w:t>
      </w:r>
      <w:r>
        <w:t>res</w:t>
      </w:r>
      <w:r>
        <w:rPr>
          <w:spacing w:val="-3"/>
        </w:rPr>
        <w:t>p</w:t>
      </w:r>
      <w:r>
        <w:t>e</w:t>
      </w:r>
      <w:r>
        <w:rPr>
          <w:spacing w:val="-3"/>
        </w:rPr>
        <w:t>c</w:t>
      </w:r>
      <w:r>
        <w:rPr>
          <w:spacing w:val="1"/>
        </w:rPr>
        <w:t>t</w:t>
      </w:r>
      <w:r>
        <w:rPr>
          <w:spacing w:val="-2"/>
        </w:rPr>
        <w:t>i</w:t>
      </w:r>
      <w:r>
        <w:t>v</w:t>
      </w:r>
      <w:r>
        <w:rPr>
          <w:spacing w:val="-3"/>
        </w:rPr>
        <w:t xml:space="preserve"> </w:t>
      </w:r>
      <w:r>
        <w:t>233 pac</w:t>
      </w:r>
      <w:r>
        <w:rPr>
          <w:spacing w:val="1"/>
        </w:rPr>
        <w:t>i</w:t>
      </w:r>
      <w:r>
        <w:rPr>
          <w:spacing w:val="-3"/>
        </w:rPr>
        <w:t>e</w:t>
      </w:r>
      <w:r>
        <w:t>n</w:t>
      </w:r>
      <w:r>
        <w:rPr>
          <w:spacing w:val="-2"/>
        </w:rPr>
        <w:t>ţ</w:t>
      </w:r>
      <w:r>
        <w:t>i</w:t>
      </w:r>
      <w:r>
        <w:rPr>
          <w:spacing w:val="1"/>
        </w:rPr>
        <w:t xml:space="preserve"> </w:t>
      </w:r>
      <w:r>
        <w:t>s</w:t>
      </w:r>
      <w:r>
        <w:rPr>
          <w:spacing w:val="-4"/>
        </w:rPr>
        <w:t>-</w:t>
      </w:r>
      <w:r>
        <w:t xml:space="preserve">a </w:t>
      </w:r>
      <w:r>
        <w:rPr>
          <w:spacing w:val="-4"/>
        </w:rPr>
        <w:t>m</w:t>
      </w:r>
      <w:r>
        <w:t>en</w:t>
      </w:r>
      <w:r>
        <w:rPr>
          <w:spacing w:val="1"/>
        </w:rPr>
        <w:t>ţi</w:t>
      </w:r>
      <w:r>
        <w:t>nut</w:t>
      </w:r>
      <w:r>
        <w:rPr>
          <w:spacing w:val="-2"/>
        </w:rPr>
        <w:t xml:space="preserve"> </w:t>
      </w:r>
      <w:r>
        <w:t>răsp</w:t>
      </w:r>
      <w:r>
        <w:rPr>
          <w:spacing w:val="-3"/>
        </w:rPr>
        <w:t>u</w:t>
      </w:r>
      <w:r>
        <w:t>ns</w:t>
      </w:r>
      <w:r>
        <w:rPr>
          <w:spacing w:val="-3"/>
        </w:rPr>
        <w:t>u</w:t>
      </w:r>
      <w:r>
        <w:t>l</w:t>
      </w:r>
      <w:r>
        <w:rPr>
          <w:spacing w:val="1"/>
        </w:rPr>
        <w:t xml:space="preserve"> </w:t>
      </w:r>
      <w:r>
        <w:rPr>
          <w:spacing w:val="-3"/>
        </w:rPr>
        <w:t>c</w:t>
      </w:r>
      <w:r>
        <w:rPr>
          <w:spacing w:val="1"/>
        </w:rPr>
        <w:t>li</w:t>
      </w:r>
      <w:r>
        <w:rPr>
          <w:spacing w:val="-3"/>
        </w:rPr>
        <w:t>n</w:t>
      </w:r>
      <w:r>
        <w:rPr>
          <w:spacing w:val="1"/>
        </w:rPr>
        <w:t>i</w:t>
      </w:r>
      <w:r>
        <w:t>c (</w:t>
      </w:r>
      <w:r>
        <w:rPr>
          <w:spacing w:val="-1"/>
        </w:rPr>
        <w:t>CR</w:t>
      </w:r>
      <w:r>
        <w:rPr>
          <w:spacing w:val="-4"/>
        </w:rPr>
        <w:t>-</w:t>
      </w:r>
      <w:r>
        <w:t>100).</w:t>
      </w:r>
    </w:p>
    <w:p w14:paraId="7C86E9AB" w14:textId="77777777" w:rsidR="00C04CAD" w:rsidRDefault="00C04CAD">
      <w:pPr>
        <w:tabs>
          <w:tab w:val="clear" w:pos="567"/>
        </w:tabs>
        <w:kinsoku w:val="0"/>
        <w:overflowPunct w:val="0"/>
        <w:autoSpaceDE w:val="0"/>
        <w:autoSpaceDN w:val="0"/>
        <w:adjustRightInd w:val="0"/>
        <w:spacing w:line="240" w:lineRule="auto"/>
      </w:pPr>
    </w:p>
    <w:p w14:paraId="5EBF3CDB" w14:textId="77777777" w:rsidR="00C04CAD" w:rsidRDefault="00060E34">
      <w:pPr>
        <w:tabs>
          <w:tab w:val="clear" w:pos="567"/>
        </w:tabs>
        <w:kinsoku w:val="0"/>
        <w:overflowPunct w:val="0"/>
        <w:autoSpaceDE w:val="0"/>
        <w:autoSpaceDN w:val="0"/>
        <w:adjustRightInd w:val="0"/>
        <w:spacing w:line="240" w:lineRule="auto"/>
      </w:pPr>
      <w:r>
        <w:rPr>
          <w:i/>
          <w:spacing w:val="-1"/>
          <w:u w:val="single"/>
        </w:rPr>
        <w:t>C</w:t>
      </w:r>
      <w:r>
        <w:rPr>
          <w:i/>
          <w:u w:val="single"/>
        </w:rPr>
        <w:t>a</w:t>
      </w:r>
      <w:r>
        <w:rPr>
          <w:i/>
          <w:spacing w:val="1"/>
          <w:u w:val="single"/>
        </w:rPr>
        <w:t>l</w:t>
      </w:r>
      <w:r>
        <w:rPr>
          <w:i/>
          <w:spacing w:val="-2"/>
          <w:u w:val="single"/>
        </w:rPr>
        <w:t>i</w:t>
      </w:r>
      <w:r>
        <w:rPr>
          <w:i/>
          <w:spacing w:val="1"/>
          <w:u w:val="single"/>
        </w:rPr>
        <w:t>t</w:t>
      </w:r>
      <w:r>
        <w:rPr>
          <w:i/>
          <w:u w:val="single"/>
        </w:rPr>
        <w:t>a</w:t>
      </w:r>
      <w:r>
        <w:rPr>
          <w:i/>
          <w:spacing w:val="-2"/>
          <w:u w:val="single"/>
        </w:rPr>
        <w:t>t</w:t>
      </w:r>
      <w:r>
        <w:rPr>
          <w:i/>
          <w:u w:val="single"/>
        </w:rPr>
        <w:t>ea</w:t>
      </w:r>
      <w:r>
        <w:rPr>
          <w:i/>
          <w:spacing w:val="-1"/>
          <w:u w:val="single"/>
        </w:rPr>
        <w:t xml:space="preserve"> </w:t>
      </w:r>
      <w:r>
        <w:rPr>
          <w:i/>
          <w:spacing w:val="-3"/>
          <w:u w:val="single"/>
        </w:rPr>
        <w:t>v</w:t>
      </w:r>
      <w:r>
        <w:rPr>
          <w:i/>
          <w:spacing w:val="1"/>
          <w:u w:val="single"/>
        </w:rPr>
        <w:t>i</w:t>
      </w:r>
      <w:r>
        <w:rPr>
          <w:i/>
          <w:spacing w:val="-3"/>
          <w:u w:val="single"/>
        </w:rPr>
        <w:t>e</w:t>
      </w:r>
      <w:r>
        <w:rPr>
          <w:i/>
          <w:spacing w:val="1"/>
          <w:u w:val="single"/>
        </w:rPr>
        <w:t>ţ</w:t>
      </w:r>
      <w:r>
        <w:rPr>
          <w:i/>
          <w:spacing w:val="-2"/>
          <w:u w:val="single"/>
        </w:rPr>
        <w:t>i</w:t>
      </w:r>
      <w:r>
        <w:rPr>
          <w:i/>
          <w:u w:val="single"/>
        </w:rPr>
        <w:t>i</w:t>
      </w:r>
    </w:p>
    <w:p w14:paraId="698E8196" w14:textId="77777777" w:rsidR="00C04CAD" w:rsidRDefault="00C04CAD">
      <w:pPr>
        <w:tabs>
          <w:tab w:val="clear" w:pos="567"/>
        </w:tabs>
        <w:kinsoku w:val="0"/>
        <w:overflowPunct w:val="0"/>
        <w:autoSpaceDE w:val="0"/>
        <w:autoSpaceDN w:val="0"/>
        <w:adjustRightInd w:val="0"/>
        <w:spacing w:line="240" w:lineRule="auto"/>
      </w:pPr>
    </w:p>
    <w:p w14:paraId="1B0E4424"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ii</w:t>
      </w:r>
      <w:r>
        <w:rPr>
          <w:spacing w:val="-2"/>
        </w:rPr>
        <w:t>l</w:t>
      </w:r>
      <w:r>
        <w:t xml:space="preserve">e </w:t>
      </w:r>
      <w:r>
        <w:rPr>
          <w:spacing w:val="-1"/>
        </w:rPr>
        <w:t>B</w:t>
      </w:r>
      <w:r>
        <w:t>C</w:t>
      </w:r>
      <w:r>
        <w:rPr>
          <w:spacing w:val="-1"/>
        </w:rPr>
        <w:t xml:space="preserve"> </w:t>
      </w:r>
      <w:r>
        <w:t>I</w:t>
      </w:r>
      <w:r>
        <w:rPr>
          <w:spacing w:val="-4"/>
        </w:rPr>
        <w:t xml:space="preserve"> </w:t>
      </w:r>
      <w:r>
        <w:t>şi</w:t>
      </w:r>
      <w:r>
        <w:rPr>
          <w:spacing w:val="1"/>
        </w:rPr>
        <w:t xml:space="preserve"> </w:t>
      </w:r>
      <w:r>
        <w:rPr>
          <w:spacing w:val="-1"/>
        </w:rPr>
        <w:t>B</w:t>
      </w:r>
      <w:r>
        <w:t>C</w:t>
      </w:r>
      <w:r>
        <w:rPr>
          <w:spacing w:val="1"/>
        </w:rPr>
        <w:t xml:space="preserve"> </w:t>
      </w:r>
      <w:r>
        <w:rPr>
          <w:spacing w:val="-2"/>
        </w:rPr>
        <w:t>I</w:t>
      </w:r>
      <w:r>
        <w:rPr>
          <w:spacing w:val="-4"/>
        </w:rPr>
        <w:t>I</w:t>
      </w:r>
      <w:r>
        <w:t xml:space="preserve">, </w:t>
      </w:r>
      <w:r>
        <w:rPr>
          <w:spacing w:val="1"/>
        </w:rPr>
        <w:t>î</w:t>
      </w:r>
      <w:r>
        <w:rPr>
          <w:spacing w:val="-4"/>
        </w:rPr>
        <w:t>m</w:t>
      </w:r>
      <w:r>
        <w:t>bu</w:t>
      </w:r>
      <w:r>
        <w:rPr>
          <w:spacing w:val="-1"/>
        </w:rPr>
        <w:t>n</w:t>
      </w:r>
      <w:r>
        <w:t>ă</w:t>
      </w:r>
      <w:r>
        <w:rPr>
          <w:spacing w:val="1"/>
        </w:rPr>
        <w:t>t</w:t>
      </w:r>
      <w:r>
        <w:t>ă</w:t>
      </w:r>
      <w:r>
        <w:rPr>
          <w:spacing w:val="1"/>
        </w:rPr>
        <w:t>ţ</w:t>
      </w:r>
      <w:r>
        <w:rPr>
          <w:spacing w:val="-2"/>
        </w:rPr>
        <w:t>i</w:t>
      </w:r>
      <w:r>
        <w:t>rea</w:t>
      </w:r>
      <w:r>
        <w:rPr>
          <w:spacing w:val="-2"/>
        </w:rPr>
        <w:t xml:space="preserve"> </w:t>
      </w:r>
      <w:r>
        <w:t>se</w:t>
      </w:r>
      <w:r>
        <w:rPr>
          <w:spacing w:val="-4"/>
        </w:rPr>
        <w:t>m</w:t>
      </w:r>
      <w:r>
        <w:t>n</w:t>
      </w:r>
      <w:r>
        <w:rPr>
          <w:spacing w:val="1"/>
        </w:rPr>
        <w:t>i</w:t>
      </w:r>
      <w:r>
        <w:rPr>
          <w:spacing w:val="-2"/>
        </w:rPr>
        <w:t>f</w:t>
      </w:r>
      <w:r>
        <w:rPr>
          <w:spacing w:val="1"/>
        </w:rPr>
        <w:t>i</w:t>
      </w:r>
      <w:r>
        <w:t>c</w:t>
      </w:r>
      <w:r>
        <w:rPr>
          <w:spacing w:val="-3"/>
        </w:rPr>
        <w:t>a</w:t>
      </w:r>
      <w:r>
        <w:rPr>
          <w:spacing w:val="1"/>
        </w:rPr>
        <w:t>ti</w:t>
      </w:r>
      <w:r>
        <w:rPr>
          <w:spacing w:val="-3"/>
        </w:rPr>
        <w:t>v</w:t>
      </w:r>
      <w:r>
        <w:t>ă</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t>c a</w:t>
      </w:r>
      <w:r>
        <w:rPr>
          <w:spacing w:val="-2"/>
        </w:rPr>
        <w:t xml:space="preserve"> </w:t>
      </w:r>
      <w:r>
        <w:rPr>
          <w:spacing w:val="1"/>
        </w:rPr>
        <w:t>i</w:t>
      </w:r>
      <w:r>
        <w:t>n</w:t>
      </w:r>
      <w:r>
        <w:rPr>
          <w:spacing w:val="-3"/>
        </w:rPr>
        <w:t>d</w:t>
      </w:r>
      <w:r>
        <w:rPr>
          <w:spacing w:val="1"/>
        </w:rPr>
        <w:t>i</w:t>
      </w:r>
      <w:r>
        <w:t>c</w:t>
      </w:r>
      <w:r>
        <w:rPr>
          <w:spacing w:val="-3"/>
        </w:rPr>
        <w:t>e</w:t>
      </w:r>
      <w:r>
        <w:rPr>
          <w:spacing w:val="1"/>
        </w:rPr>
        <w:t>l</w:t>
      </w:r>
      <w:r>
        <w:rPr>
          <w:spacing w:val="-3"/>
        </w:rPr>
        <w:t>u</w:t>
      </w:r>
      <w:r>
        <w:t>i</w:t>
      </w:r>
      <w:r>
        <w:rPr>
          <w:spacing w:val="1"/>
        </w:rPr>
        <w:t xml:space="preserve"> t</w:t>
      </w:r>
      <w:r>
        <w:rPr>
          <w:spacing w:val="-3"/>
        </w:rPr>
        <w:t>o</w:t>
      </w:r>
      <w:r>
        <w:rPr>
          <w:spacing w:val="1"/>
        </w:rPr>
        <w:t>t</w:t>
      </w:r>
      <w:r>
        <w:rPr>
          <w:spacing w:val="-3"/>
        </w:rPr>
        <w:t>a</w:t>
      </w:r>
      <w:r>
        <w:t>l</w:t>
      </w:r>
      <w:r>
        <w:rPr>
          <w:spacing w:val="1"/>
        </w:rPr>
        <w:t xml:space="preserve"> </w:t>
      </w:r>
      <w:r>
        <w:rPr>
          <w:spacing w:val="-3"/>
        </w:rPr>
        <w:t>d</w:t>
      </w:r>
      <w:r>
        <w:rPr>
          <w:spacing w:val="1"/>
        </w:rPr>
        <w:t>i</w:t>
      </w:r>
      <w:r>
        <w:t>n</w:t>
      </w:r>
      <w:r>
        <w:rPr>
          <w:spacing w:val="-3"/>
        </w:rPr>
        <w:t xml:space="preserve"> </w:t>
      </w:r>
      <w:r>
        <w:t>che</w:t>
      </w:r>
      <w:r>
        <w:rPr>
          <w:spacing w:val="-2"/>
        </w:rPr>
        <w:t>s</w:t>
      </w:r>
      <w:r>
        <w:rPr>
          <w:spacing w:val="1"/>
        </w:rPr>
        <w:t>ti</w:t>
      </w:r>
      <w:r>
        <w:rPr>
          <w:spacing w:val="-3"/>
        </w:rPr>
        <w:t>o</w:t>
      </w:r>
      <w:r>
        <w:t>na</w:t>
      </w:r>
      <w:r>
        <w:rPr>
          <w:spacing w:val="-2"/>
        </w:rPr>
        <w:t>r</w:t>
      </w:r>
      <w:r>
        <w:t>ul</w:t>
      </w:r>
      <w:r>
        <w:rPr>
          <w:spacing w:val="1"/>
        </w:rPr>
        <w:t xml:space="preserve"> </w:t>
      </w:r>
      <w:r>
        <w:rPr>
          <w:spacing w:val="-3"/>
        </w:rPr>
        <w:t>d</w:t>
      </w:r>
      <w:r>
        <w:t>e e</w:t>
      </w:r>
      <w:r>
        <w:rPr>
          <w:spacing w:val="-3"/>
        </w:rPr>
        <w:t>v</w:t>
      </w:r>
      <w:r>
        <w:t>a</w:t>
      </w:r>
      <w:r>
        <w:rPr>
          <w:spacing w:val="1"/>
        </w:rPr>
        <w:t>l</w:t>
      </w:r>
      <w:r>
        <w:t>ua</w:t>
      </w:r>
      <w:r>
        <w:rPr>
          <w:spacing w:val="-2"/>
        </w:rPr>
        <w:t>r</w:t>
      </w:r>
      <w:r>
        <w:t>e a b</w:t>
      </w:r>
      <w:r>
        <w:rPr>
          <w:spacing w:val="-3"/>
        </w:rPr>
        <w:t>o</w:t>
      </w:r>
      <w:r>
        <w:rPr>
          <w:spacing w:val="1"/>
        </w:rPr>
        <w:t>l</w:t>
      </w:r>
      <w:r>
        <w:rPr>
          <w:spacing w:val="-2"/>
        </w:rPr>
        <w:t>i</w:t>
      </w:r>
      <w:r>
        <w:t>i</w:t>
      </w:r>
      <w:r>
        <w:rPr>
          <w:spacing w:val="-2"/>
        </w:rPr>
        <w:t xml:space="preserve"> </w:t>
      </w:r>
      <w:r>
        <w:rPr>
          <w:spacing w:val="1"/>
        </w:rPr>
        <w:t>i</w:t>
      </w:r>
      <w:r>
        <w:t>n</w:t>
      </w:r>
      <w:r>
        <w:rPr>
          <w:spacing w:val="-2"/>
        </w:rPr>
        <w:t>t</w:t>
      </w:r>
      <w:r>
        <w:t>es</w:t>
      </w:r>
      <w:r>
        <w:rPr>
          <w:spacing w:val="-2"/>
        </w:rPr>
        <w:t>t</w:t>
      </w:r>
      <w:r>
        <w:rPr>
          <w:spacing w:val="1"/>
        </w:rPr>
        <w:t>i</w:t>
      </w:r>
      <w:r>
        <w:t>n</w:t>
      </w:r>
      <w:r>
        <w:rPr>
          <w:spacing w:val="-3"/>
        </w:rPr>
        <w:t>a</w:t>
      </w:r>
      <w:r>
        <w:rPr>
          <w:spacing w:val="1"/>
        </w:rPr>
        <w:t>l</w:t>
      </w:r>
      <w:r>
        <w:t>e</w:t>
      </w:r>
      <w:r>
        <w:rPr>
          <w:spacing w:val="-2"/>
        </w:rPr>
        <w:t xml:space="preserve"> </w:t>
      </w:r>
      <w:r>
        <w:t>pr</w:t>
      </w:r>
      <w:r>
        <w:rPr>
          <w:spacing w:val="1"/>
        </w:rPr>
        <w:t>i</w:t>
      </w:r>
      <w:r>
        <w:rPr>
          <w:spacing w:val="-3"/>
        </w:rPr>
        <w:t>v</w:t>
      </w:r>
      <w:r>
        <w:rPr>
          <w:spacing w:val="1"/>
        </w:rPr>
        <w:t>i</w:t>
      </w:r>
      <w:r>
        <w:t>nd</w:t>
      </w:r>
      <w:r>
        <w:rPr>
          <w:spacing w:val="-3"/>
        </w:rPr>
        <w:t xml:space="preserve"> </w:t>
      </w:r>
      <w:r>
        <w:t>se</w:t>
      </w:r>
      <w:r>
        <w:rPr>
          <w:spacing w:val="-4"/>
        </w:rPr>
        <w:t>m</w:t>
      </w:r>
      <w:r>
        <w:t>ne</w:t>
      </w:r>
      <w:r>
        <w:rPr>
          <w:spacing w:val="1"/>
        </w:rPr>
        <w:t>l</w:t>
      </w:r>
      <w:r>
        <w:t>e</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o</w:t>
      </w:r>
      <w:r>
        <w:rPr>
          <w:spacing w:val="-2"/>
        </w:rPr>
        <w:t>ri</w:t>
      </w:r>
      <w:r>
        <w:t>i</w:t>
      </w:r>
      <w:r>
        <w:rPr>
          <w:spacing w:val="1"/>
        </w:rPr>
        <w:t xml:space="preserve"> </w:t>
      </w:r>
      <w:r>
        <w:t>sp</w:t>
      </w:r>
      <w:r>
        <w:rPr>
          <w:spacing w:val="-3"/>
        </w:rPr>
        <w:t>e</w:t>
      </w:r>
      <w:r>
        <w:t>c</w:t>
      </w:r>
      <w:r>
        <w:rPr>
          <w:spacing w:val="-2"/>
        </w:rPr>
        <w:t>i</w:t>
      </w:r>
      <w:r>
        <w:t>f</w:t>
      </w:r>
      <w:r>
        <w:rPr>
          <w:spacing w:val="-2"/>
        </w:rPr>
        <w:t>i</w:t>
      </w:r>
      <w:r>
        <w:t>ce b</w:t>
      </w:r>
      <w:r>
        <w:rPr>
          <w:spacing w:val="-3"/>
        </w:rPr>
        <w:t>o</w:t>
      </w:r>
      <w:r>
        <w:rPr>
          <w:spacing w:val="1"/>
        </w:rPr>
        <w:t>l</w:t>
      </w:r>
      <w:r>
        <w:rPr>
          <w:spacing w:val="-2"/>
        </w:rPr>
        <w:t>i</w:t>
      </w:r>
      <w:r>
        <w:t>i</w:t>
      </w:r>
      <w:r>
        <w:rPr>
          <w:spacing w:val="1"/>
        </w:rPr>
        <w:t xml:space="preserve"> </w:t>
      </w:r>
      <w:r>
        <w:t>(</w:t>
      </w:r>
      <w:r>
        <w:rPr>
          <w:spacing w:val="-4"/>
        </w:rPr>
        <w:t>I</w:t>
      </w:r>
      <w:r>
        <w:rPr>
          <w:spacing w:val="-1"/>
        </w:rPr>
        <w:t>BDQ</w:t>
      </w:r>
      <w:r>
        <w:t>)</w:t>
      </w:r>
      <w:r>
        <w:rPr>
          <w:spacing w:val="1"/>
        </w:rPr>
        <w:t xml:space="preserve"> </w:t>
      </w:r>
      <w:r>
        <w:t xml:space="preserve">a </w:t>
      </w:r>
      <w:r>
        <w:rPr>
          <w:spacing w:val="-2"/>
        </w:rPr>
        <w:t>f</w:t>
      </w:r>
      <w:r>
        <w:t>ost</w:t>
      </w:r>
      <w:r>
        <w:rPr>
          <w:spacing w:val="1"/>
        </w:rPr>
        <w:t xml:space="preserve"> </w:t>
      </w:r>
      <w:r>
        <w:rPr>
          <w:spacing w:val="-3"/>
        </w:rPr>
        <w:t>a</w:t>
      </w:r>
      <w:r>
        <w:rPr>
          <w:spacing w:val="1"/>
        </w:rPr>
        <w:t>t</w:t>
      </w:r>
      <w:r>
        <w:rPr>
          <w:spacing w:val="-2"/>
        </w:rPr>
        <w:t>i</w:t>
      </w:r>
      <w:r>
        <w:t>nsă</w:t>
      </w:r>
      <w:r>
        <w:rPr>
          <w:spacing w:val="-2"/>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w:t>
      </w:r>
      <w:r>
        <w:rPr>
          <w:spacing w:val="-3"/>
        </w:rPr>
        <w:t xml:space="preserve"> </w:t>
      </w:r>
      <w:r>
        <w:rPr>
          <w:spacing w:val="1"/>
        </w:rPr>
        <w:t>l</w:t>
      </w:r>
      <w:r>
        <w:t xml:space="preserve">a </w:t>
      </w:r>
      <w:r>
        <w:rPr>
          <w:spacing w:val="-3"/>
        </w:rPr>
        <w:t>p</w:t>
      </w:r>
      <w:r>
        <w:t>ac</w:t>
      </w:r>
      <w:r>
        <w:rPr>
          <w:spacing w:val="-2"/>
        </w:rPr>
        <w:t>i</w:t>
      </w:r>
      <w:r>
        <w:t>en</w:t>
      </w:r>
      <w:r>
        <w:rPr>
          <w:spacing w:val="-2"/>
        </w:rPr>
        <w:t>ţ</w:t>
      </w:r>
      <w:r>
        <w:rPr>
          <w:spacing w:val="1"/>
        </w:rPr>
        <w:t>i</w:t>
      </w:r>
      <w:r>
        <w:t>i</w:t>
      </w:r>
      <w:r>
        <w:rPr>
          <w:spacing w:val="-2"/>
        </w:rPr>
        <w:t xml:space="preserve"> </w:t>
      </w:r>
      <w:r>
        <w:t>r</w:t>
      </w:r>
      <w:r>
        <w:rPr>
          <w:spacing w:val="-3"/>
        </w:rPr>
        <w:t>a</w:t>
      </w:r>
      <w:r>
        <w:t>ndo</w:t>
      </w:r>
      <w:r>
        <w:rPr>
          <w:spacing w:val="-4"/>
        </w:rPr>
        <w:t>m</w:t>
      </w:r>
      <w:r>
        <w:rPr>
          <w:spacing w:val="1"/>
        </w:rPr>
        <w:t>i</w:t>
      </w:r>
      <w:r>
        <w:rPr>
          <w:spacing w:val="-3"/>
        </w:rPr>
        <w:t>z</w:t>
      </w:r>
      <w:r>
        <w:t>a</w:t>
      </w:r>
      <w:r>
        <w:rPr>
          <w:spacing w:val="1"/>
        </w:rPr>
        <w:t>ţ</w:t>
      </w:r>
      <w:r>
        <w:t>i</w:t>
      </w:r>
      <w:r>
        <w:rPr>
          <w:spacing w:val="1"/>
        </w:rPr>
        <w:t xml:space="preserve"> </w:t>
      </w:r>
      <w:r>
        <w:t xml:space="preserve">cu </w:t>
      </w:r>
      <w:r>
        <w:rPr>
          <w:rFonts w:eastAsia="MS Mincho"/>
          <w:spacing w:val="-1"/>
          <w:szCs w:val="22"/>
          <w:lang w:eastAsia="en-US" w:bidi="ar-SA"/>
        </w:rPr>
        <w:t>adalimumab</w:t>
      </w:r>
      <w:r>
        <w:t xml:space="preserve"> 8</w:t>
      </w:r>
      <w:r>
        <w:rPr>
          <w:spacing w:val="-3"/>
        </w:rPr>
        <w:t>0</w:t>
      </w:r>
      <w:r>
        <w:rPr>
          <w:spacing w:val="1"/>
        </w:rPr>
        <w:t>/</w:t>
      </w:r>
      <w:r>
        <w:t>40</w:t>
      </w:r>
      <w:r>
        <w:rPr>
          <w:spacing w:val="-3"/>
        </w:rPr>
        <w:t> </w:t>
      </w:r>
      <w:r>
        <w:rPr>
          <w:spacing w:val="-2"/>
        </w:rPr>
        <w:t>m</w:t>
      </w:r>
      <w:r>
        <w:t>g</w:t>
      </w:r>
      <w:r>
        <w:rPr>
          <w:spacing w:val="-3"/>
        </w:rPr>
        <w:t xml:space="preserve"> </w:t>
      </w:r>
      <w:r>
        <w:t>şi</w:t>
      </w:r>
      <w:r>
        <w:rPr>
          <w:spacing w:val="1"/>
        </w:rPr>
        <w:t xml:space="preserve"> </w:t>
      </w:r>
      <w:r>
        <w:t>160</w:t>
      </w:r>
      <w:r>
        <w:rPr>
          <w:spacing w:val="1"/>
        </w:rPr>
        <w:t>/</w:t>
      </w:r>
      <w:r>
        <w:t>80 </w:t>
      </w:r>
      <w:r>
        <w:rPr>
          <w:spacing w:val="-4"/>
        </w:rPr>
        <w:t>m</w:t>
      </w:r>
      <w:r>
        <w:rPr>
          <w:spacing w:val="-3"/>
        </w:rPr>
        <w:t>g</w:t>
      </w:r>
      <w:r>
        <w:t>, co</w:t>
      </w:r>
      <w:r>
        <w:rPr>
          <w:spacing w:val="-4"/>
        </w:rPr>
        <w:t>m</w:t>
      </w:r>
      <w:r>
        <w:t>para</w:t>
      </w:r>
      <w:r>
        <w:rPr>
          <w:spacing w:val="1"/>
        </w:rPr>
        <w:t>ti</w:t>
      </w:r>
      <w:r>
        <w:t>v</w:t>
      </w:r>
      <w:r>
        <w:rPr>
          <w:spacing w:val="-3"/>
        </w:rPr>
        <w:t xml:space="preserve"> </w:t>
      </w:r>
      <w:r>
        <w:t xml:space="preserve">cu </w:t>
      </w:r>
      <w:r>
        <w:rPr>
          <w:spacing w:val="-3"/>
        </w:rPr>
        <w:t>p</w:t>
      </w:r>
      <w:r>
        <w:rPr>
          <w:spacing w:val="1"/>
        </w:rPr>
        <w:t>l</w:t>
      </w:r>
      <w:r>
        <w:t>ac</w:t>
      </w:r>
      <w:r>
        <w:rPr>
          <w:spacing w:val="-3"/>
        </w:rPr>
        <w:t>e</w:t>
      </w:r>
      <w:r>
        <w:t xml:space="preserve">bo </w:t>
      </w:r>
      <w:r>
        <w:rPr>
          <w:spacing w:val="-2"/>
        </w:rPr>
        <w:t>ş</w:t>
      </w:r>
      <w:r>
        <w:t>i</w:t>
      </w:r>
      <w:r>
        <w:rPr>
          <w:spacing w:val="1"/>
        </w:rPr>
        <w:t xml:space="preserve"> </w:t>
      </w:r>
      <w:r>
        <w:t>a fost</w:t>
      </w:r>
      <w:r>
        <w:rPr>
          <w:spacing w:val="-2"/>
        </w:rPr>
        <w:t xml:space="preserve"> </w:t>
      </w:r>
      <w:r>
        <w:t>se</w:t>
      </w:r>
      <w:r>
        <w:rPr>
          <w:spacing w:val="-4"/>
        </w:rPr>
        <w:t>m</w:t>
      </w:r>
      <w:r>
        <w:t>na</w:t>
      </w:r>
      <w:r>
        <w:rPr>
          <w:spacing w:val="1"/>
        </w:rPr>
        <w:t>l</w:t>
      </w:r>
      <w:r>
        <w:rPr>
          <w:spacing w:val="-3"/>
        </w:rPr>
        <w:t>a</w:t>
      </w:r>
      <w:r>
        <w:rPr>
          <w:spacing w:val="1"/>
        </w:rPr>
        <w:t>t</w:t>
      </w:r>
      <w:r>
        <w:t xml:space="preserve">ă </w:t>
      </w:r>
      <w:r>
        <w:rPr>
          <w:spacing w:val="-3"/>
        </w:rPr>
        <w:t>d</w:t>
      </w:r>
      <w:r>
        <w:t>e a</w:t>
      </w:r>
      <w:r>
        <w:rPr>
          <w:spacing w:val="-2"/>
        </w:rPr>
        <w:t>s</w:t>
      </w:r>
      <w:r>
        <w:t>e</w:t>
      </w:r>
      <w:r>
        <w:rPr>
          <w:spacing w:val="-4"/>
        </w:rPr>
        <w:t>m</w:t>
      </w:r>
      <w:r>
        <w:t xml:space="preserve">enea, </w:t>
      </w:r>
      <w:r>
        <w:rPr>
          <w:spacing w:val="1"/>
        </w:rPr>
        <w:t>î</w:t>
      </w:r>
      <w:r>
        <w:t xml:space="preserve">n </w:t>
      </w:r>
      <w:r>
        <w:rPr>
          <w:spacing w:val="-2"/>
        </w:rPr>
        <w:t>s</w:t>
      </w:r>
      <w:r>
        <w:rPr>
          <w:spacing w:val="1"/>
        </w:rPr>
        <w:t>t</w:t>
      </w:r>
      <w:r>
        <w:t>u</w:t>
      </w:r>
      <w:r>
        <w:rPr>
          <w:spacing w:val="-3"/>
        </w:rPr>
        <w:t>d</w:t>
      </w:r>
      <w:r>
        <w:rPr>
          <w:spacing w:val="1"/>
        </w:rPr>
        <w:t>i</w:t>
      </w:r>
      <w:r>
        <w:t>ul</w:t>
      </w:r>
      <w:r>
        <w:rPr>
          <w:spacing w:val="1"/>
        </w:rPr>
        <w:t xml:space="preserve"> </w:t>
      </w:r>
      <w:r>
        <w:rPr>
          <w:spacing w:val="-1"/>
        </w:rPr>
        <w:t>B</w:t>
      </w:r>
      <w:r>
        <w:t>C</w:t>
      </w:r>
      <w:r>
        <w:rPr>
          <w:spacing w:val="-1"/>
        </w:rPr>
        <w:t xml:space="preserve"> </w:t>
      </w:r>
      <w:r>
        <w:rPr>
          <w:spacing w:val="-2"/>
        </w:rPr>
        <w:t>II</w:t>
      </w:r>
      <w:r>
        <w:rPr>
          <w:spacing w:val="-4"/>
        </w:rPr>
        <w:t>I</w:t>
      </w:r>
      <w:r>
        <w:t xml:space="preserve">, </w:t>
      </w:r>
      <w:r>
        <w:rPr>
          <w:spacing w:val="1"/>
        </w:rPr>
        <w:t>î</w:t>
      </w:r>
      <w:r>
        <w:t xml:space="preserve">n </w:t>
      </w:r>
      <w:r>
        <w:rPr>
          <w:spacing w:val="-1"/>
        </w:rPr>
        <w:t>S</w:t>
      </w:r>
      <w:r>
        <w:t>ăp</w:t>
      </w:r>
      <w:r>
        <w:rPr>
          <w:spacing w:val="1"/>
        </w:rPr>
        <w:t>t</w:t>
      </w:r>
      <w:r>
        <w:rPr>
          <w:spacing w:val="-3"/>
        </w:rPr>
        <w:t>ă</w:t>
      </w:r>
      <w:r>
        <w:rPr>
          <w:spacing w:val="-4"/>
        </w:rPr>
        <w:t>m</w:t>
      </w:r>
      <w:r>
        <w:t>âna 26 şi</w:t>
      </w:r>
      <w:r>
        <w:rPr>
          <w:spacing w:val="1"/>
        </w:rPr>
        <w:t xml:space="preserve"> </w:t>
      </w:r>
      <w:r>
        <w:t>56</w:t>
      </w:r>
      <w:r>
        <w:rPr>
          <w:spacing w:val="-3"/>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d</w:t>
      </w:r>
      <w:r>
        <w:rPr>
          <w:spacing w:val="1"/>
        </w:rPr>
        <w:t>i</w:t>
      </w:r>
      <w:r>
        <w:t xml:space="preserve">n </w:t>
      </w:r>
      <w:r>
        <w:rPr>
          <w:spacing w:val="-3"/>
        </w:rPr>
        <w:t>g</w:t>
      </w:r>
      <w:r>
        <w:t>rupul ada</w:t>
      </w:r>
      <w:r>
        <w:rPr>
          <w:spacing w:val="-2"/>
        </w:rPr>
        <w:t>l</w:t>
      </w:r>
      <w:r>
        <w:rPr>
          <w:spacing w:val="1"/>
        </w:rPr>
        <w:t>i</w:t>
      </w:r>
      <w:r>
        <w:rPr>
          <w:spacing w:val="-4"/>
        </w:rPr>
        <w:t>m</w:t>
      </w:r>
      <w:r>
        <w:rPr>
          <w:spacing w:val="2"/>
        </w:rPr>
        <w:t>u</w:t>
      </w:r>
      <w:r>
        <w:rPr>
          <w:spacing w:val="-4"/>
        </w:rPr>
        <w:t>m</w:t>
      </w:r>
      <w:r>
        <w:t>ab co</w:t>
      </w:r>
      <w:r>
        <w:rPr>
          <w:spacing w:val="-4"/>
        </w:rPr>
        <w:t>m</w:t>
      </w:r>
      <w:r>
        <w:t>para</w:t>
      </w:r>
      <w:r>
        <w:rPr>
          <w:spacing w:val="1"/>
        </w:rPr>
        <w:t>ti</w:t>
      </w:r>
      <w:r>
        <w:t>v</w:t>
      </w:r>
      <w:r>
        <w:rPr>
          <w:spacing w:val="-3"/>
        </w:rPr>
        <w:t xml:space="preserve"> </w:t>
      </w:r>
      <w:r>
        <w:t>cu</w:t>
      </w:r>
      <w:r>
        <w:rPr>
          <w:spacing w:val="-3"/>
        </w:rPr>
        <w:t xml:space="preserve"> g</w:t>
      </w:r>
      <w:r>
        <w:t>rupul</w:t>
      </w:r>
      <w:r>
        <w:rPr>
          <w:spacing w:val="1"/>
        </w:rPr>
        <w:t xml:space="preserve"> </w:t>
      </w:r>
      <w:r>
        <w:t>p</w:t>
      </w:r>
      <w:r>
        <w:rPr>
          <w:spacing w:val="-2"/>
        </w:rPr>
        <w:t>l</w:t>
      </w:r>
      <w:r>
        <w:t>ac</w:t>
      </w:r>
      <w:r>
        <w:rPr>
          <w:spacing w:val="-3"/>
        </w:rPr>
        <w:t>e</w:t>
      </w:r>
      <w:r>
        <w:t>bo.</w:t>
      </w:r>
    </w:p>
    <w:p w14:paraId="0D58DB18" w14:textId="77777777" w:rsidR="00C04CAD" w:rsidRDefault="00C04CAD">
      <w:pPr>
        <w:tabs>
          <w:tab w:val="clear" w:pos="567"/>
        </w:tabs>
        <w:kinsoku w:val="0"/>
        <w:overflowPunct w:val="0"/>
        <w:autoSpaceDE w:val="0"/>
        <w:autoSpaceDN w:val="0"/>
        <w:adjustRightInd w:val="0"/>
        <w:spacing w:line="240" w:lineRule="auto"/>
      </w:pPr>
    </w:p>
    <w:p w14:paraId="24D9DC2C" w14:textId="77777777" w:rsidR="00C04CAD" w:rsidRDefault="00060E34">
      <w:pPr>
        <w:tabs>
          <w:tab w:val="clear" w:pos="567"/>
        </w:tabs>
        <w:kinsoku w:val="0"/>
        <w:overflowPunct w:val="0"/>
        <w:autoSpaceDE w:val="0"/>
        <w:autoSpaceDN w:val="0"/>
        <w:adjustRightInd w:val="0"/>
        <w:spacing w:line="240" w:lineRule="auto"/>
      </w:pPr>
      <w:r>
        <w:rPr>
          <w:i/>
          <w:spacing w:val="-1"/>
        </w:rPr>
        <w:t>C</w:t>
      </w:r>
      <w:r>
        <w:rPr>
          <w:i/>
        </w:rPr>
        <w:t>o</w:t>
      </w:r>
      <w:r>
        <w:rPr>
          <w:i/>
          <w:spacing w:val="1"/>
        </w:rPr>
        <w:t>l</w:t>
      </w:r>
      <w:r>
        <w:rPr>
          <w:i/>
          <w:spacing w:val="-2"/>
        </w:rPr>
        <w:t>i</w:t>
      </w:r>
      <w:r>
        <w:rPr>
          <w:i/>
          <w:spacing w:val="1"/>
        </w:rPr>
        <w:t>t</w:t>
      </w:r>
      <w:r>
        <w:rPr>
          <w:i/>
        </w:rPr>
        <w:t xml:space="preserve">a </w:t>
      </w:r>
      <w:r>
        <w:rPr>
          <w:i/>
          <w:spacing w:val="-3"/>
        </w:rPr>
        <w:t>u</w:t>
      </w:r>
      <w:r>
        <w:rPr>
          <w:i/>
          <w:spacing w:val="1"/>
        </w:rPr>
        <w:t>l</w:t>
      </w:r>
      <w:r>
        <w:rPr>
          <w:i/>
        </w:rPr>
        <w:t>ce</w:t>
      </w:r>
      <w:r>
        <w:rPr>
          <w:i/>
          <w:spacing w:val="-2"/>
        </w:rPr>
        <w:t>r</w:t>
      </w:r>
      <w:r>
        <w:rPr>
          <w:i/>
        </w:rPr>
        <w:t>a</w:t>
      </w:r>
      <w:r>
        <w:rPr>
          <w:i/>
          <w:spacing w:val="-2"/>
        </w:rPr>
        <w:t>t</w:t>
      </w:r>
      <w:r>
        <w:rPr>
          <w:i/>
          <w:spacing w:val="1"/>
        </w:rPr>
        <w:t>i</w:t>
      </w:r>
      <w:r>
        <w:rPr>
          <w:i/>
        </w:rPr>
        <w:t>vă</w:t>
      </w:r>
    </w:p>
    <w:p w14:paraId="54E03D27" w14:textId="77777777" w:rsidR="00C04CAD" w:rsidRDefault="00C04CAD">
      <w:pPr>
        <w:tabs>
          <w:tab w:val="clear" w:pos="567"/>
        </w:tabs>
        <w:kinsoku w:val="0"/>
        <w:overflowPunct w:val="0"/>
        <w:autoSpaceDE w:val="0"/>
        <w:autoSpaceDN w:val="0"/>
        <w:adjustRightInd w:val="0"/>
        <w:spacing w:line="240" w:lineRule="auto"/>
      </w:pPr>
    </w:p>
    <w:p w14:paraId="3996F1B6"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i</w:t>
      </w:r>
      <w:r>
        <w:rPr>
          <w:spacing w:val="-2"/>
        </w:rPr>
        <w:t xml:space="preserve"> </w:t>
      </w:r>
      <w:r>
        <w:t>rando</w:t>
      </w:r>
      <w:r>
        <w:rPr>
          <w:spacing w:val="-4"/>
        </w:rPr>
        <w:t>m</w:t>
      </w:r>
      <w:r>
        <w:rPr>
          <w:spacing w:val="1"/>
        </w:rPr>
        <w:t>i</w:t>
      </w:r>
      <w:r>
        <w:rPr>
          <w:spacing w:val="-3"/>
        </w:rPr>
        <w:t>z</w:t>
      </w:r>
      <w:r>
        <w:t>a</w:t>
      </w:r>
      <w:r>
        <w:rPr>
          <w:spacing w:val="1"/>
        </w:rPr>
        <w:t>t</w:t>
      </w:r>
      <w:r>
        <w:t>e, d</w:t>
      </w:r>
      <w:r>
        <w:rPr>
          <w:spacing w:val="-3"/>
        </w:rPr>
        <w:t>u</w:t>
      </w:r>
      <w:r>
        <w:t>b</w:t>
      </w:r>
      <w:r>
        <w:rPr>
          <w:spacing w:val="-2"/>
        </w:rPr>
        <w:t>l</w:t>
      </w:r>
      <w:r>
        <w:t>u</w:t>
      </w:r>
      <w:r>
        <w:rPr>
          <w:spacing w:val="-4"/>
        </w:rPr>
        <w:t>-</w:t>
      </w:r>
      <w:r>
        <w:t>orb, p</w:t>
      </w:r>
      <w:r>
        <w:rPr>
          <w:spacing w:val="1"/>
        </w:rPr>
        <w:t>l</w:t>
      </w:r>
      <w:r>
        <w:t>ace</w:t>
      </w:r>
      <w:r>
        <w:rPr>
          <w:spacing w:val="-3"/>
        </w:rPr>
        <w:t>b</w:t>
      </w:r>
      <w:r>
        <w:t>o co</w:t>
      </w:r>
      <w:r>
        <w:rPr>
          <w:spacing w:val="-3"/>
        </w:rPr>
        <w:t>n</w:t>
      </w:r>
      <w:r>
        <w:rPr>
          <w:spacing w:val="1"/>
        </w:rPr>
        <w:t>t</w:t>
      </w:r>
      <w:r>
        <w:t>r</w:t>
      </w:r>
      <w:r>
        <w:rPr>
          <w:spacing w:val="-3"/>
        </w:rPr>
        <w:t>o</w:t>
      </w:r>
      <w:r>
        <w:rPr>
          <w:spacing w:val="1"/>
        </w:rPr>
        <w:t>l</w:t>
      </w:r>
      <w:r>
        <w:rPr>
          <w:spacing w:val="-3"/>
        </w:rPr>
        <w:t>a</w:t>
      </w:r>
      <w:r>
        <w:rPr>
          <w:spacing w:val="1"/>
        </w:rPr>
        <w:t>t</w:t>
      </w:r>
      <w:r>
        <w:t>e,</w:t>
      </w:r>
      <w:r>
        <w:rPr>
          <w:spacing w:val="-3"/>
        </w:rPr>
        <w:t xml:space="preserve"> a</w:t>
      </w:r>
      <w:r>
        <w:t>u fo</w:t>
      </w:r>
      <w:r>
        <w:rPr>
          <w:spacing w:val="-2"/>
        </w:rPr>
        <w:t>s</w:t>
      </w:r>
      <w:r>
        <w:t>t</w:t>
      </w:r>
      <w:r>
        <w:rPr>
          <w:spacing w:val="1"/>
        </w:rPr>
        <w:t xml:space="preserve"> </w:t>
      </w:r>
      <w:r>
        <w:t>e</w:t>
      </w:r>
      <w:r>
        <w:rPr>
          <w:spacing w:val="-3"/>
        </w:rPr>
        <w:t>v</w:t>
      </w:r>
      <w:r>
        <w:t>a</w:t>
      </w:r>
      <w:r>
        <w:rPr>
          <w:spacing w:val="1"/>
        </w:rPr>
        <w:t>l</w:t>
      </w:r>
      <w:r>
        <w:rPr>
          <w:spacing w:val="-3"/>
        </w:rPr>
        <w:t>u</w:t>
      </w:r>
      <w:r>
        <w:t>a</w:t>
      </w:r>
      <w:r>
        <w:rPr>
          <w:spacing w:val="1"/>
        </w:rPr>
        <w:t>t</w:t>
      </w:r>
      <w:r>
        <w:t>e</w:t>
      </w:r>
      <w:r>
        <w:rPr>
          <w:spacing w:val="-2"/>
        </w:rPr>
        <w:t xml:space="preserve"> </w:t>
      </w:r>
      <w:r>
        <w:t>s</w:t>
      </w:r>
      <w:r>
        <w:rPr>
          <w:spacing w:val="1"/>
        </w:rPr>
        <w:t>i</w:t>
      </w:r>
      <w:r>
        <w:rPr>
          <w:spacing w:val="-3"/>
        </w:rPr>
        <w:t>g</w:t>
      </w:r>
      <w:r>
        <w:t>ur</w:t>
      </w:r>
      <w:r>
        <w:rPr>
          <w:spacing w:val="-3"/>
        </w:rPr>
        <w:t>a</w:t>
      </w:r>
      <w:r>
        <w:t>n</w:t>
      </w:r>
      <w:r>
        <w:rPr>
          <w:spacing w:val="1"/>
        </w:rPr>
        <w:t>ţ</w:t>
      </w:r>
      <w:r>
        <w:t>a</w:t>
      </w:r>
      <w:r>
        <w:rPr>
          <w:spacing w:val="-2"/>
        </w:rPr>
        <w:t xml:space="preserve"> </w:t>
      </w:r>
      <w:r>
        <w:t>şi</w:t>
      </w:r>
      <w:r>
        <w:rPr>
          <w:spacing w:val="-4"/>
        </w:rPr>
        <w:t xml:space="preserve"> </w:t>
      </w:r>
      <w:r>
        <w:t>ef</w:t>
      </w:r>
      <w:r>
        <w:rPr>
          <w:spacing w:val="-2"/>
        </w:rPr>
        <w:t>i</w:t>
      </w:r>
      <w:r>
        <w:t>ca</w:t>
      </w:r>
      <w:r>
        <w:rPr>
          <w:spacing w:val="-3"/>
        </w:rPr>
        <w:t>c</w:t>
      </w:r>
      <w:r>
        <w:rPr>
          <w:spacing w:val="1"/>
        </w:rPr>
        <w:t>i</w:t>
      </w:r>
      <w:r>
        <w:rPr>
          <w:spacing w:val="-2"/>
        </w:rPr>
        <w:t>t</w:t>
      </w:r>
      <w:r>
        <w:t>a</w:t>
      </w:r>
      <w:r>
        <w:rPr>
          <w:spacing w:val="1"/>
        </w:rPr>
        <w:t>t</w:t>
      </w:r>
      <w:r>
        <w:rPr>
          <w:spacing w:val="-3"/>
        </w:rPr>
        <w:t>e</w:t>
      </w:r>
      <w:r>
        <w:t xml:space="preserve">a </w:t>
      </w:r>
      <w:r>
        <w:rPr>
          <w:spacing w:val="-3"/>
        </w:rPr>
        <w:t>u</w:t>
      </w:r>
      <w:r>
        <w:rPr>
          <w:spacing w:val="1"/>
        </w:rPr>
        <w:t>t</w:t>
      </w:r>
      <w:r>
        <w:rPr>
          <w:spacing w:val="-2"/>
        </w:rPr>
        <w:t>i</w:t>
      </w:r>
      <w:r>
        <w:rPr>
          <w:spacing w:val="1"/>
        </w:rPr>
        <w:t>li</w:t>
      </w:r>
      <w:r>
        <w:rPr>
          <w:spacing w:val="-3"/>
        </w:rPr>
        <w:t>z</w:t>
      </w:r>
      <w:r>
        <w:t>ă</w:t>
      </w:r>
      <w:r>
        <w:rPr>
          <w:spacing w:val="-2"/>
        </w:rPr>
        <w:t>r</w:t>
      </w:r>
      <w:r>
        <w:rPr>
          <w:spacing w:val="1"/>
        </w:rPr>
        <w:t>i</w:t>
      </w:r>
      <w:r>
        <w:t>i do</w:t>
      </w:r>
      <w:r>
        <w:rPr>
          <w:spacing w:val="-3"/>
        </w:rPr>
        <w:t>z</w:t>
      </w:r>
      <w:r>
        <w:t>e</w:t>
      </w:r>
      <w:r>
        <w:rPr>
          <w:spacing w:val="1"/>
        </w:rPr>
        <w:t>l</w:t>
      </w:r>
      <w:r>
        <w:t>or</w:t>
      </w:r>
      <w:r>
        <w:rPr>
          <w:spacing w:val="1"/>
        </w:rPr>
        <w:t xml:space="preserve"> </w:t>
      </w:r>
      <w:r>
        <w:rPr>
          <w:spacing w:val="-4"/>
        </w:rPr>
        <w:t>m</w:t>
      </w:r>
      <w:r>
        <w:t>u</w:t>
      </w:r>
      <w:r>
        <w:rPr>
          <w:spacing w:val="1"/>
        </w:rPr>
        <w:t>l</w:t>
      </w:r>
      <w:r>
        <w:rPr>
          <w:spacing w:val="-2"/>
        </w:rPr>
        <w:t>t</w:t>
      </w:r>
      <w:r>
        <w:rPr>
          <w:spacing w:val="1"/>
        </w:rPr>
        <w:t>i</w:t>
      </w:r>
      <w:r>
        <w:t>p</w:t>
      </w:r>
      <w:r>
        <w:rPr>
          <w:spacing w:val="-2"/>
        </w:rPr>
        <w:t>l</w:t>
      </w:r>
      <w:r>
        <w:t xml:space="preserve">e de </w:t>
      </w:r>
      <w:r>
        <w:rPr>
          <w:rFonts w:eastAsia="MS Mincho"/>
          <w:spacing w:val="-1"/>
          <w:szCs w:val="22"/>
          <w:lang w:eastAsia="en-US" w:bidi="ar-SA"/>
        </w:rPr>
        <w:t>adalimumab</w:t>
      </w:r>
      <w:r>
        <w:rPr>
          <w:spacing w:val="-2"/>
        </w:rPr>
        <w:t xml:space="preserve"> </w:t>
      </w:r>
      <w:r>
        <w:rPr>
          <w:spacing w:val="1"/>
        </w:rPr>
        <w:t>l</w:t>
      </w:r>
      <w:r>
        <w:t>a p</w:t>
      </w:r>
      <w:r>
        <w:rPr>
          <w:spacing w:val="-3"/>
        </w:rPr>
        <w:t>a</w:t>
      </w:r>
      <w:r>
        <w:t>c</w:t>
      </w:r>
      <w:r>
        <w:rPr>
          <w:spacing w:val="-2"/>
        </w:rPr>
        <w:t>i</w:t>
      </w:r>
      <w:r>
        <w:t>en</w:t>
      </w:r>
      <w:r>
        <w:rPr>
          <w:spacing w:val="-2"/>
        </w:rPr>
        <w:t>ţ</w:t>
      </w:r>
      <w:r>
        <w:t>i</w:t>
      </w:r>
      <w:r>
        <w:rPr>
          <w:spacing w:val="1"/>
        </w:rPr>
        <w:t xml:space="preserve"> </w:t>
      </w:r>
      <w:r>
        <w:t>a</w:t>
      </w:r>
      <w:r>
        <w:rPr>
          <w:spacing w:val="-3"/>
        </w:rPr>
        <w:t>d</w:t>
      </w:r>
      <w:r>
        <w:t>u</w:t>
      </w:r>
      <w:r>
        <w:rPr>
          <w:spacing w:val="-2"/>
        </w:rPr>
        <w:t>l</w:t>
      </w:r>
      <w:r>
        <w:rPr>
          <w:spacing w:val="1"/>
        </w:rPr>
        <w:t>ţ</w:t>
      </w:r>
      <w:r>
        <w:t>i</w:t>
      </w:r>
      <w:r>
        <w:rPr>
          <w:spacing w:val="-2"/>
        </w:rPr>
        <w:t xml:space="preserve"> </w:t>
      </w:r>
      <w:r>
        <w:t>cu c</w:t>
      </w:r>
      <w:r>
        <w:rPr>
          <w:spacing w:val="-3"/>
        </w:rPr>
        <w:t>o</w:t>
      </w:r>
      <w:r>
        <w:rPr>
          <w:spacing w:val="1"/>
        </w:rPr>
        <w:t>l</w:t>
      </w:r>
      <w:r>
        <w:rPr>
          <w:spacing w:val="-2"/>
        </w:rPr>
        <w:t>i</w:t>
      </w:r>
      <w:r>
        <w:rPr>
          <w:spacing w:val="1"/>
        </w:rPr>
        <w:t>t</w:t>
      </w:r>
      <w:r>
        <w:t>ă</w:t>
      </w:r>
      <w:r>
        <w:rPr>
          <w:spacing w:val="-2"/>
        </w:rPr>
        <w:t xml:space="preserve"> </w:t>
      </w:r>
      <w:r>
        <w:t>u</w:t>
      </w:r>
      <w:r>
        <w:rPr>
          <w:spacing w:val="1"/>
        </w:rPr>
        <w:t>l</w:t>
      </w:r>
      <w:r>
        <w:t>c</w:t>
      </w:r>
      <w:r>
        <w:rPr>
          <w:spacing w:val="-3"/>
        </w:rPr>
        <w:t>e</w:t>
      </w:r>
      <w:r>
        <w:t>r</w:t>
      </w:r>
      <w:r>
        <w:rPr>
          <w:spacing w:val="-3"/>
        </w:rPr>
        <w:t>a</w:t>
      </w:r>
      <w:r>
        <w:rPr>
          <w:spacing w:val="1"/>
        </w:rPr>
        <w:t>ti</w:t>
      </w:r>
      <w:r>
        <w:rPr>
          <w:spacing w:val="-3"/>
        </w:rPr>
        <w:t>v</w:t>
      </w:r>
      <w:r>
        <w:t>ă ac</w:t>
      </w:r>
      <w:r>
        <w:rPr>
          <w:spacing w:val="-3"/>
        </w:rPr>
        <w:t>u</w:t>
      </w:r>
      <w:r>
        <w:rPr>
          <w:spacing w:val="1"/>
        </w:rPr>
        <w:t>t</w:t>
      </w:r>
      <w:r>
        <w:t>ă</w:t>
      </w:r>
      <w:r>
        <w:rPr>
          <w:spacing w:val="-2"/>
        </w:rPr>
        <w:t xml:space="preserve"> </w:t>
      </w:r>
      <w:r>
        <w:t>f</w:t>
      </w:r>
      <w:r>
        <w:rPr>
          <w:spacing w:val="-3"/>
        </w:rPr>
        <w:t>o</w:t>
      </w:r>
      <w:r>
        <w:t>r</w:t>
      </w:r>
      <w:r>
        <w:rPr>
          <w:spacing w:val="-4"/>
        </w:rPr>
        <w:t>m</w:t>
      </w:r>
      <w:r>
        <w:t>a</w:t>
      </w:r>
      <w:r>
        <w:rPr>
          <w:spacing w:val="2"/>
        </w:rPr>
        <w:t xml:space="preserve"> </w:t>
      </w:r>
      <w:r>
        <w:rPr>
          <w:spacing w:val="-4"/>
        </w:rPr>
        <w:t>m</w:t>
      </w:r>
      <w:r>
        <w:t>oder</w:t>
      </w:r>
      <w:r>
        <w:rPr>
          <w:spacing w:val="-3"/>
        </w:rPr>
        <w:t>a</w:t>
      </w:r>
      <w:r>
        <w:rPr>
          <w:spacing w:val="1"/>
        </w:rPr>
        <w:t>t</w:t>
      </w:r>
      <w:r>
        <w:t>ă p</w:t>
      </w:r>
      <w:r>
        <w:rPr>
          <w:spacing w:val="-3"/>
        </w:rPr>
        <w:t>â</w:t>
      </w:r>
      <w:r>
        <w:t>nă</w:t>
      </w:r>
      <w:r>
        <w:rPr>
          <w:spacing w:val="-2"/>
        </w:rPr>
        <w:t xml:space="preserve"> </w:t>
      </w:r>
      <w:r>
        <w:rPr>
          <w:spacing w:val="1"/>
        </w:rPr>
        <w:t>l</w:t>
      </w:r>
      <w:r>
        <w:t xml:space="preserve">a </w:t>
      </w:r>
      <w:r>
        <w:rPr>
          <w:spacing w:val="-2"/>
        </w:rPr>
        <w:t>s</w:t>
      </w:r>
      <w:r>
        <w:t>e</w:t>
      </w:r>
      <w:r>
        <w:rPr>
          <w:spacing w:val="-3"/>
        </w:rPr>
        <w:t>v</w:t>
      </w:r>
      <w:r>
        <w:t>eră (sc</w:t>
      </w:r>
      <w:r>
        <w:rPr>
          <w:spacing w:val="-3"/>
        </w:rPr>
        <w:t>o</w:t>
      </w:r>
      <w:r>
        <w:t>r</w:t>
      </w:r>
      <w:r>
        <w:rPr>
          <w:spacing w:val="1"/>
        </w:rPr>
        <w:t xml:space="preserve"> </w:t>
      </w:r>
      <w:r>
        <w:rPr>
          <w:spacing w:val="-2"/>
        </w:rPr>
        <w:t>M</w:t>
      </w:r>
      <w:r>
        <w:t>a</w:t>
      </w:r>
      <w:r>
        <w:rPr>
          <w:spacing w:val="-3"/>
        </w:rPr>
        <w:t>y</w:t>
      </w:r>
      <w:r>
        <w:t>o de 6 pâ</w:t>
      </w:r>
      <w:r>
        <w:rPr>
          <w:spacing w:val="-3"/>
        </w:rPr>
        <w:t>n</w:t>
      </w:r>
      <w:r>
        <w:t xml:space="preserve">ă </w:t>
      </w:r>
      <w:r>
        <w:rPr>
          <w:spacing w:val="-2"/>
        </w:rPr>
        <w:t>l</w:t>
      </w:r>
      <w:r>
        <w:t>a 12</w:t>
      </w:r>
      <w:r>
        <w:rPr>
          <w:spacing w:val="-3"/>
        </w:rPr>
        <w:t xml:space="preserve"> </w:t>
      </w:r>
      <w:r>
        <w:t>cu su</w:t>
      </w:r>
      <w:r>
        <w:rPr>
          <w:spacing w:val="-3"/>
        </w:rPr>
        <w:t>b</w:t>
      </w:r>
      <w:r>
        <w:t>scor</w:t>
      </w:r>
      <w:r>
        <w:rPr>
          <w:spacing w:val="-2"/>
        </w:rPr>
        <w:t xml:space="preserve"> </w:t>
      </w:r>
      <w:r>
        <w:t>end</w:t>
      </w:r>
      <w:r>
        <w:rPr>
          <w:spacing w:val="-3"/>
        </w:rPr>
        <w:t>o</w:t>
      </w:r>
      <w:r>
        <w:t>sco</w:t>
      </w:r>
      <w:r>
        <w:rPr>
          <w:spacing w:val="-3"/>
        </w:rPr>
        <w:t>p</w:t>
      </w:r>
      <w:r>
        <w:rPr>
          <w:spacing w:val="1"/>
        </w:rPr>
        <w:t>i</w:t>
      </w:r>
      <w:r>
        <w:t xml:space="preserve">c </w:t>
      </w:r>
      <w:r>
        <w:rPr>
          <w:spacing w:val="-3"/>
        </w:rPr>
        <w:t>d</w:t>
      </w:r>
      <w:r>
        <w:t>e 2</w:t>
      </w:r>
      <w:r>
        <w:rPr>
          <w:spacing w:val="-3"/>
        </w:rPr>
        <w:t xml:space="preserve"> </w:t>
      </w:r>
      <w:r>
        <w:t>până</w:t>
      </w:r>
      <w:r>
        <w:rPr>
          <w:spacing w:val="-2"/>
        </w:rPr>
        <w:t xml:space="preserve"> </w:t>
      </w:r>
      <w:r>
        <w:rPr>
          <w:spacing w:val="1"/>
        </w:rPr>
        <w:t>l</w:t>
      </w:r>
      <w:r>
        <w:t xml:space="preserve">a </w:t>
      </w:r>
      <w:r>
        <w:rPr>
          <w:spacing w:val="-3"/>
        </w:rPr>
        <w:t>3</w:t>
      </w:r>
      <w:r>
        <w:t>).</w:t>
      </w:r>
    </w:p>
    <w:p w14:paraId="6EC3A636" w14:textId="77777777" w:rsidR="00C04CAD" w:rsidRDefault="00C04CAD">
      <w:pPr>
        <w:tabs>
          <w:tab w:val="clear" w:pos="567"/>
        </w:tabs>
        <w:kinsoku w:val="0"/>
        <w:overflowPunct w:val="0"/>
        <w:autoSpaceDE w:val="0"/>
        <w:autoSpaceDN w:val="0"/>
        <w:adjustRightInd w:val="0"/>
        <w:spacing w:line="240" w:lineRule="auto"/>
      </w:pPr>
    </w:p>
    <w:p w14:paraId="62CC5050"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UC</w:t>
      </w:r>
      <w:r>
        <w:rPr>
          <w:spacing w:val="-2"/>
        </w:rPr>
        <w:t>-</w:t>
      </w:r>
      <w:r>
        <w:rPr>
          <w:spacing w:val="-4"/>
        </w:rPr>
        <w:t>I</w:t>
      </w:r>
      <w:r>
        <w:t>, 390 pac</w:t>
      </w:r>
      <w:r>
        <w:rPr>
          <w:spacing w:val="1"/>
        </w:rPr>
        <w:t>i</w:t>
      </w:r>
      <w:r>
        <w:t>e</w:t>
      </w:r>
      <w:r>
        <w:rPr>
          <w:spacing w:val="-3"/>
        </w:rPr>
        <w:t>n</w:t>
      </w:r>
      <w:r>
        <w:rPr>
          <w:spacing w:val="1"/>
        </w:rPr>
        <w:t>ţ</w:t>
      </w:r>
      <w:r>
        <w:rPr>
          <w:spacing w:val="-2"/>
        </w:rPr>
        <w:t>i</w:t>
      </w:r>
      <w:r>
        <w:t>i</w:t>
      </w:r>
      <w:r>
        <w:rPr>
          <w:spacing w:val="1"/>
        </w:rPr>
        <w:t xml:space="preserve"> </w:t>
      </w:r>
      <w:r>
        <w:t>r</w:t>
      </w:r>
      <w:r>
        <w:rPr>
          <w:spacing w:val="-3"/>
        </w:rPr>
        <w:t>a</w:t>
      </w:r>
      <w:r>
        <w:t>ndo</w:t>
      </w:r>
      <w:r>
        <w:rPr>
          <w:spacing w:val="-4"/>
        </w:rPr>
        <w:t>m</w:t>
      </w:r>
      <w:r>
        <w:rPr>
          <w:spacing w:val="1"/>
        </w:rPr>
        <w:t>i</w:t>
      </w:r>
      <w:r>
        <w:rPr>
          <w:spacing w:val="-3"/>
        </w:rPr>
        <w:t>z</w:t>
      </w:r>
      <w:r>
        <w:t>a</w:t>
      </w:r>
      <w:r>
        <w:rPr>
          <w:spacing w:val="1"/>
        </w:rPr>
        <w:t>ţ</w:t>
      </w:r>
      <w:r>
        <w:t>i</w:t>
      </w:r>
      <w:r>
        <w:rPr>
          <w:spacing w:val="1"/>
        </w:rPr>
        <w:t xml:space="preserve"> </w:t>
      </w:r>
      <w:r>
        <w:rPr>
          <w:spacing w:val="-3"/>
        </w:rPr>
        <w:t>c</w:t>
      </w:r>
      <w:r>
        <w:t>are</w:t>
      </w:r>
      <w:r>
        <w:rPr>
          <w:spacing w:val="-2"/>
        </w:rPr>
        <w:t xml:space="preserve"> </w:t>
      </w:r>
      <w:r>
        <w:t>nu au</w:t>
      </w:r>
      <w:r>
        <w:rPr>
          <w:spacing w:val="-3"/>
        </w:rPr>
        <w:t xml:space="preserve"> u</w:t>
      </w:r>
      <w:r>
        <w:rPr>
          <w:spacing w:val="1"/>
        </w:rPr>
        <w:t>t</w:t>
      </w:r>
      <w:r>
        <w:rPr>
          <w:spacing w:val="-2"/>
        </w:rPr>
        <w:t>i</w:t>
      </w:r>
      <w:r>
        <w:rPr>
          <w:spacing w:val="1"/>
        </w:rPr>
        <w:t>li</w:t>
      </w:r>
      <w:r>
        <w:rPr>
          <w:spacing w:val="-3"/>
        </w:rPr>
        <w:t>z</w:t>
      </w:r>
      <w:r>
        <w:t>at</w:t>
      </w:r>
      <w:r>
        <w:rPr>
          <w:spacing w:val="-2"/>
        </w:rPr>
        <w:t xml:space="preserve"> </w:t>
      </w:r>
      <w:r>
        <w:t>an</w:t>
      </w:r>
      <w:r>
        <w:rPr>
          <w:spacing w:val="-2"/>
        </w:rPr>
        <w:t>t</w:t>
      </w:r>
      <w:r>
        <w:t>e</w:t>
      </w:r>
      <w:r>
        <w:rPr>
          <w:spacing w:val="-2"/>
        </w:rPr>
        <w:t>r</w:t>
      </w:r>
      <w:r>
        <w:rPr>
          <w:spacing w:val="1"/>
        </w:rPr>
        <w:t>i</w:t>
      </w:r>
      <w:r>
        <w:t>or</w:t>
      </w:r>
      <w:r>
        <w:rPr>
          <w:spacing w:val="-2"/>
        </w:rPr>
        <w:t xml:space="preserve"> </w:t>
      </w:r>
      <w:r>
        <w:rPr>
          <w:spacing w:val="1"/>
        </w:rPr>
        <w:t>t</w:t>
      </w:r>
      <w:r>
        <w:rPr>
          <w:spacing w:val="-2"/>
        </w:rPr>
        <w:t>r</w:t>
      </w:r>
      <w:r>
        <w:t>a</w:t>
      </w:r>
      <w:r>
        <w:rPr>
          <w:spacing w:val="-2"/>
        </w:rPr>
        <w:t>t</w:t>
      </w:r>
      <w:r>
        <w:t>a</w:t>
      </w:r>
      <w:r>
        <w:rPr>
          <w:spacing w:val="-4"/>
        </w:rPr>
        <w:t>m</w:t>
      </w:r>
      <w:r>
        <w:t>ent</w:t>
      </w:r>
      <w:r>
        <w:rPr>
          <w:spacing w:val="1"/>
        </w:rPr>
        <w:t xml:space="preserve"> </w:t>
      </w:r>
      <w:r>
        <w:t>cu</w:t>
      </w:r>
      <w:r>
        <w:rPr>
          <w:spacing w:val="-3"/>
        </w:rPr>
        <w:t xml:space="preserve"> </w:t>
      </w:r>
      <w:r>
        <w:t>an</w:t>
      </w:r>
      <w:r>
        <w:rPr>
          <w:spacing w:val="1"/>
        </w:rPr>
        <w:t>t</w:t>
      </w:r>
      <w:r>
        <w:t>a</w:t>
      </w:r>
      <w:r>
        <w:rPr>
          <w:spacing w:val="-3"/>
        </w:rPr>
        <w:t>g</w:t>
      </w:r>
      <w:r>
        <w:t>on</w:t>
      </w:r>
      <w:r>
        <w:rPr>
          <w:spacing w:val="-2"/>
        </w:rPr>
        <w:t>i</w:t>
      </w:r>
      <w:r>
        <w:t>ş</w:t>
      </w:r>
      <w:r>
        <w:rPr>
          <w:spacing w:val="-2"/>
        </w:rPr>
        <w:t>t</w:t>
      </w:r>
      <w:r>
        <w:t>i</w:t>
      </w:r>
      <w:r>
        <w:rPr>
          <w:spacing w:val="-2"/>
        </w:rPr>
        <w:t xml:space="preserve"> </w:t>
      </w:r>
      <w:r>
        <w:rPr>
          <w:spacing w:val="1"/>
        </w:rPr>
        <w:t>T</w:t>
      </w:r>
      <w:r>
        <w:rPr>
          <w:spacing w:val="-1"/>
        </w:rPr>
        <w:t>NF</w:t>
      </w:r>
      <w:r>
        <w:t xml:space="preserve">, </w:t>
      </w:r>
      <w:r>
        <w:rPr>
          <w:spacing w:val="-2"/>
        </w:rPr>
        <w:t>l</w:t>
      </w:r>
      <w:r>
        <w:t>i s</w:t>
      </w:r>
      <w:r>
        <w:rPr>
          <w:spacing w:val="-4"/>
        </w:rPr>
        <w:t>-</w:t>
      </w:r>
      <w:r>
        <w:t>a a</w:t>
      </w:r>
      <w:r>
        <w:rPr>
          <w:spacing w:val="2"/>
        </w:rP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rPr>
          <w:spacing w:val="-2"/>
        </w:rPr>
        <w:t>f</w:t>
      </w:r>
      <w:r>
        <w:rPr>
          <w:spacing w:val="1"/>
        </w:rPr>
        <w:t>i</w:t>
      </w:r>
      <w:r>
        <w:t xml:space="preserve">e </w:t>
      </w:r>
      <w:r>
        <w:rPr>
          <w:spacing w:val="-3"/>
        </w:rPr>
        <w:t>p</w:t>
      </w:r>
      <w:r>
        <w:rPr>
          <w:spacing w:val="1"/>
        </w:rPr>
        <w:t>l</w:t>
      </w:r>
      <w:r>
        <w:rPr>
          <w:spacing w:val="-3"/>
        </w:rPr>
        <w:t>a</w:t>
      </w:r>
      <w:r>
        <w:t>cebo</w:t>
      </w:r>
      <w:r>
        <w:rPr>
          <w:spacing w:val="-3"/>
        </w:rPr>
        <w:t xml:space="preserve"> </w:t>
      </w:r>
      <w:r>
        <w:rPr>
          <w:spacing w:val="-2"/>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şi</w:t>
      </w:r>
      <w:r>
        <w:rPr>
          <w:spacing w:val="1"/>
        </w:rPr>
        <w:t xml:space="preserve"> </w:t>
      </w:r>
      <w:r>
        <w:rPr>
          <w:spacing w:val="-3"/>
        </w:rPr>
        <w:t>2</w:t>
      </w:r>
      <w:r>
        <w:t>, o do</w:t>
      </w:r>
      <w:r>
        <w:rPr>
          <w:spacing w:val="-3"/>
        </w:rPr>
        <w:t>z</w:t>
      </w:r>
      <w:r>
        <w:t>ă</w:t>
      </w:r>
      <w:r>
        <w:rPr>
          <w:spacing w:val="-2"/>
        </w:rPr>
        <w:t xml:space="preserve"> </w:t>
      </w:r>
      <w:r>
        <w:rPr>
          <w:rFonts w:eastAsia="MS Mincho"/>
          <w:spacing w:val="-1"/>
          <w:szCs w:val="22"/>
          <w:lang w:eastAsia="en-US" w:bidi="ar-SA"/>
        </w:rPr>
        <w:t>adalimumab</w:t>
      </w:r>
      <w:r>
        <w:rPr>
          <w:rFonts w:eastAsia="MS Mincho"/>
          <w:szCs w:val="22"/>
          <w:lang w:eastAsia="en-US" w:bidi="ar-SA"/>
        </w:rPr>
        <w:t>160</w:t>
      </w:r>
      <w:r>
        <w:t>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ur</w:t>
      </w:r>
      <w:r>
        <w:rPr>
          <w:spacing w:val="-4"/>
        </w:rPr>
        <w:t>m</w:t>
      </w:r>
      <w:r>
        <w:t>a</w:t>
      </w:r>
      <w:r>
        <w:rPr>
          <w:spacing w:val="1"/>
        </w:rPr>
        <w:t>t</w:t>
      </w:r>
      <w:r>
        <w:t>ă</w:t>
      </w:r>
      <w:r>
        <w:rPr>
          <w:spacing w:val="-2"/>
        </w:rPr>
        <w:t xml:space="preserve"> </w:t>
      </w:r>
      <w:r>
        <w:t>de 80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2"/>
        </w:rPr>
        <w:t>f</w:t>
      </w:r>
      <w:r>
        <w:rPr>
          <w:spacing w:val="1"/>
        </w:rPr>
        <w:t>i</w:t>
      </w:r>
      <w:r>
        <w:t>e o</w:t>
      </w:r>
      <w:r>
        <w:rPr>
          <w:spacing w:val="-3"/>
        </w:rPr>
        <w:t xml:space="preserve"> d</w:t>
      </w:r>
      <w:r>
        <w:t>o</w:t>
      </w:r>
      <w:r>
        <w:rPr>
          <w:spacing w:val="-3"/>
        </w:rPr>
        <w:t>z</w:t>
      </w:r>
      <w:r>
        <w:t xml:space="preserve">ă </w:t>
      </w:r>
      <w:r>
        <w:rPr>
          <w:rFonts w:eastAsia="MS Mincho"/>
          <w:spacing w:val="-1"/>
          <w:szCs w:val="22"/>
          <w:lang w:eastAsia="en-US" w:bidi="ar-SA"/>
        </w:rPr>
        <w:t>adalimumab</w:t>
      </w:r>
      <w:r>
        <w:t xml:space="preserve"> 80 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pacing w:val="-3"/>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ur</w:t>
      </w:r>
      <w:r>
        <w:rPr>
          <w:spacing w:val="-4"/>
        </w:rPr>
        <w:t>m</w:t>
      </w:r>
      <w:r>
        <w:t>a</w:t>
      </w:r>
      <w:r>
        <w:rPr>
          <w:spacing w:val="1"/>
        </w:rPr>
        <w:t>t</w:t>
      </w:r>
      <w:r>
        <w:t>ă de 40 </w:t>
      </w:r>
      <w:r>
        <w:rPr>
          <w:spacing w:val="-4"/>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1"/>
        </w:rPr>
        <w:t>D</w:t>
      </w:r>
      <w:r>
        <w:t>u</w:t>
      </w:r>
      <w:r>
        <w:rPr>
          <w:spacing w:val="-3"/>
        </w:rPr>
        <w:t>p</w:t>
      </w:r>
      <w:r>
        <w:t xml:space="preserve">ă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t>d</w:t>
      </w:r>
      <w:r>
        <w:rPr>
          <w:spacing w:val="-2"/>
        </w:rPr>
        <w:t>i</w:t>
      </w:r>
      <w:r>
        <w:t>n</w:t>
      </w:r>
      <w:r>
        <w:rPr>
          <w:spacing w:val="-3"/>
        </w:rPr>
        <w:t xml:space="preserve"> </w:t>
      </w:r>
      <w:r>
        <w:t>a</w:t>
      </w:r>
      <w:r>
        <w:rPr>
          <w:spacing w:val="-4"/>
        </w:rPr>
        <w:t>m</w:t>
      </w:r>
      <w:r>
        <w:t>be</w:t>
      </w:r>
      <w:r>
        <w:rPr>
          <w:spacing w:val="1"/>
        </w:rPr>
        <w:t>l</w:t>
      </w:r>
      <w:r>
        <w:t>e br</w:t>
      </w:r>
      <w:r>
        <w:rPr>
          <w:spacing w:val="-3"/>
        </w:rPr>
        <w:t>a</w:t>
      </w:r>
      <w:r>
        <w:rPr>
          <w:spacing w:val="1"/>
        </w:rPr>
        <w:t>ţ</w:t>
      </w:r>
      <w:r>
        <w:t>e</w:t>
      </w:r>
      <w:r>
        <w:rPr>
          <w:spacing w:val="-2"/>
        </w:rPr>
        <w:t xml:space="preserve"> </w:t>
      </w:r>
      <w:r>
        <w:t>cu a</w:t>
      </w:r>
      <w:r>
        <w:rPr>
          <w:spacing w:val="-3"/>
        </w:rPr>
        <w:t>d</w:t>
      </w:r>
      <w:r>
        <w:t>a</w:t>
      </w:r>
      <w:r>
        <w:rPr>
          <w:spacing w:val="-2"/>
        </w:rPr>
        <w:t>l</w:t>
      </w:r>
      <w:r>
        <w:rPr>
          <w:spacing w:val="1"/>
        </w:rPr>
        <w:t>i</w:t>
      </w:r>
      <w:r>
        <w:rPr>
          <w:spacing w:val="-4"/>
        </w:rPr>
        <w:t>m</w:t>
      </w:r>
      <w:r>
        <w:rPr>
          <w:spacing w:val="2"/>
        </w:rPr>
        <w:t>u</w:t>
      </w:r>
      <w:r>
        <w:rPr>
          <w:spacing w:val="-4"/>
        </w:rPr>
        <w:t>m</w:t>
      </w:r>
      <w:r>
        <w:t>ab au u</w:t>
      </w:r>
      <w:r>
        <w:rPr>
          <w:spacing w:val="-2"/>
        </w:rPr>
        <w:t>ti</w:t>
      </w:r>
      <w:r>
        <w:rPr>
          <w:spacing w:val="1"/>
        </w:rPr>
        <w:t>li</w:t>
      </w:r>
      <w:r>
        <w:rPr>
          <w:spacing w:val="-3"/>
        </w:rPr>
        <w:t>z</w:t>
      </w:r>
      <w:r>
        <w:t>at</w:t>
      </w:r>
      <w:r>
        <w:rPr>
          <w:spacing w:val="1"/>
        </w:rPr>
        <w:t xml:space="preserve"> </w:t>
      </w:r>
      <w:r>
        <w:rPr>
          <w:spacing w:val="-3"/>
        </w:rPr>
        <w:t>4</w:t>
      </w:r>
      <w:r>
        <w:t>0 </w:t>
      </w:r>
      <w:r>
        <w:rPr>
          <w:spacing w:val="-4"/>
        </w:rPr>
        <w:t>m</w:t>
      </w:r>
      <w:r>
        <w:t>g</w:t>
      </w:r>
      <w:r>
        <w:rPr>
          <w:spacing w:val="-3"/>
        </w:rPr>
        <w:t xml:space="preserve"> </w:t>
      </w:r>
      <w:r>
        <w:t>o da</w:t>
      </w:r>
      <w:r>
        <w:rPr>
          <w:spacing w:val="1"/>
        </w:rPr>
        <w:t>t</w:t>
      </w:r>
      <w:r>
        <w:t xml:space="preserve">ă </w:t>
      </w:r>
      <w:r>
        <w:rPr>
          <w:spacing w:val="1"/>
        </w:rPr>
        <w:t>l</w:t>
      </w:r>
      <w:r>
        <w:t>a</w:t>
      </w:r>
      <w:r>
        <w:rPr>
          <w:spacing w:val="-2"/>
        </w:rPr>
        <w:t xml:space="preserve"> </w:t>
      </w:r>
      <w:r>
        <w:t xml:space="preserve">două </w:t>
      </w:r>
      <w:r>
        <w:rPr>
          <w:spacing w:val="-2"/>
        </w:rPr>
        <w:t>s</w:t>
      </w:r>
      <w:r>
        <w:t>ăp</w:t>
      </w:r>
      <w:r>
        <w:rPr>
          <w:spacing w:val="-2"/>
        </w:rPr>
        <w:t>t</w:t>
      </w:r>
      <w:r>
        <w:t>ă</w:t>
      </w:r>
      <w:r>
        <w:rPr>
          <w:spacing w:val="-4"/>
        </w:rPr>
        <w:t>m</w:t>
      </w:r>
      <w:r>
        <w:t>ân</w:t>
      </w:r>
      <w:r>
        <w:rPr>
          <w:spacing w:val="1"/>
        </w:rPr>
        <w:t>i</w:t>
      </w:r>
      <w:r>
        <w:t xml:space="preserve">. </w:t>
      </w:r>
      <w:r>
        <w:rPr>
          <w:spacing w:val="-1"/>
        </w:rPr>
        <w:t>R</w:t>
      </w:r>
      <w:r>
        <w:t>e</w:t>
      </w:r>
      <w:r>
        <w:rPr>
          <w:spacing w:val="-4"/>
        </w:rPr>
        <w:t>m</w:t>
      </w:r>
      <w:r>
        <w:rPr>
          <w:spacing w:val="1"/>
        </w:rPr>
        <w:t>i</w:t>
      </w:r>
      <w:r>
        <w:t>s</w:t>
      </w:r>
      <w:r>
        <w:rPr>
          <w:spacing w:val="1"/>
        </w:rPr>
        <w:t>i</w:t>
      </w:r>
      <w:r>
        <w:t>a c</w:t>
      </w:r>
      <w:r>
        <w:rPr>
          <w:spacing w:val="-2"/>
        </w:rPr>
        <w:t>l</w:t>
      </w:r>
      <w:r>
        <w:rPr>
          <w:spacing w:val="1"/>
        </w:rPr>
        <w:t>i</w:t>
      </w:r>
      <w:r>
        <w:rPr>
          <w:spacing w:val="-3"/>
        </w:rPr>
        <w:t>n</w:t>
      </w:r>
      <w:r>
        <w:rPr>
          <w:spacing w:val="1"/>
        </w:rPr>
        <w:t>i</w:t>
      </w:r>
      <w:r>
        <w:t>că</w:t>
      </w:r>
      <w:r>
        <w:rPr>
          <w:spacing w:val="-2"/>
        </w:rPr>
        <w:t xml:space="preserve"> </w:t>
      </w:r>
      <w:r>
        <w:t>(d</w:t>
      </w:r>
      <w:r>
        <w:rPr>
          <w:spacing w:val="-3"/>
        </w:rPr>
        <w:t>e</w:t>
      </w:r>
      <w:r>
        <w:t>f</w:t>
      </w:r>
      <w:r>
        <w:rPr>
          <w:spacing w:val="-2"/>
        </w:rPr>
        <w:t>i</w:t>
      </w:r>
      <w:r>
        <w:t>n</w:t>
      </w:r>
      <w:r>
        <w:rPr>
          <w:spacing w:val="-2"/>
        </w:rPr>
        <w:t>i</w:t>
      </w:r>
      <w:r>
        <w:rPr>
          <w:spacing w:val="1"/>
        </w:rPr>
        <w:t>t</w:t>
      </w:r>
      <w:r>
        <w:t xml:space="preserve">ă </w:t>
      </w:r>
      <w:r>
        <w:rPr>
          <w:spacing w:val="-3"/>
        </w:rPr>
        <w:t>c</w:t>
      </w:r>
      <w:r>
        <w:t>a</w:t>
      </w:r>
      <w:r>
        <w:rPr>
          <w:spacing w:val="-2"/>
        </w:rPr>
        <w:t xml:space="preserve"> </w:t>
      </w:r>
      <w:r>
        <w:t>scor</w:t>
      </w:r>
      <w:r>
        <w:rPr>
          <w:spacing w:val="-2"/>
        </w:rPr>
        <w:t xml:space="preserve"> </w:t>
      </w:r>
      <w:r>
        <w:t>Ma</w:t>
      </w:r>
      <w:r>
        <w:rPr>
          <w:spacing w:val="-3"/>
        </w:rPr>
        <w:t>y</w:t>
      </w:r>
      <w:r>
        <w:t>o</w:t>
      </w:r>
      <w:r>
        <w:rPr>
          <w:spacing w:val="-1"/>
        </w:rPr>
        <w:t xml:space="preserve"> </w:t>
      </w:r>
      <w:r>
        <w:rPr>
          <w:spacing w:val="1"/>
        </w:rPr>
        <w:t>≤</w:t>
      </w:r>
      <w:r>
        <w:rPr>
          <w:spacing w:val="-3"/>
        </w:rPr>
        <w:t>2</w:t>
      </w:r>
      <w:r>
        <w:t xml:space="preserve">, cu </w:t>
      </w:r>
      <w:r>
        <w:rPr>
          <w:spacing w:val="-3"/>
        </w:rPr>
        <w:t>n</w:t>
      </w:r>
      <w:r>
        <w:rPr>
          <w:spacing w:val="1"/>
        </w:rPr>
        <w:t>i</w:t>
      </w:r>
      <w:r>
        <w:rPr>
          <w:spacing w:val="-3"/>
        </w:rPr>
        <w:t>c</w:t>
      </w:r>
      <w:r>
        <w:rPr>
          <w:spacing w:val="1"/>
        </w:rPr>
        <w:t>i</w:t>
      </w:r>
      <w:r>
        <w:t xml:space="preserve">un </w:t>
      </w:r>
      <w:r>
        <w:rPr>
          <w:spacing w:val="-2"/>
        </w:rPr>
        <w:t>s</w:t>
      </w:r>
      <w:r>
        <w:rPr>
          <w:spacing w:val="-3"/>
        </w:rPr>
        <w:t>u</w:t>
      </w:r>
      <w:r>
        <w:t>bscor</w:t>
      </w:r>
      <w:r>
        <w:rPr>
          <w:spacing w:val="-2"/>
        </w:rPr>
        <w:t xml:space="preserve"> </w:t>
      </w:r>
      <w:r>
        <w:t>&gt;1)</w:t>
      </w:r>
      <w:r>
        <w:rPr>
          <w:spacing w:val="-2"/>
        </w:rPr>
        <w:t xml:space="preserve"> </w:t>
      </w:r>
      <w:r>
        <w:t xml:space="preserve">a </w:t>
      </w:r>
      <w:r>
        <w:rPr>
          <w:spacing w:val="-2"/>
        </w:rPr>
        <w:t>f</w:t>
      </w:r>
      <w:r>
        <w:t>ost</w:t>
      </w:r>
      <w:r>
        <w:rPr>
          <w:spacing w:val="-2"/>
        </w:rPr>
        <w:t xml:space="preserve"> </w:t>
      </w:r>
      <w:r>
        <w:t>e</w:t>
      </w:r>
      <w:r>
        <w:rPr>
          <w:spacing w:val="-3"/>
        </w:rPr>
        <w:t>v</w:t>
      </w:r>
      <w:r>
        <w:t>a</w:t>
      </w:r>
      <w:r>
        <w:rPr>
          <w:spacing w:val="1"/>
        </w:rPr>
        <w:t>l</w:t>
      </w:r>
      <w:r>
        <w:t>u</w:t>
      </w:r>
      <w:r>
        <w:rPr>
          <w:spacing w:val="-3"/>
        </w:rPr>
        <w:t>a</w:t>
      </w:r>
      <w:r>
        <w:rPr>
          <w:spacing w:val="1"/>
        </w:rPr>
        <w:t>t</w:t>
      </w:r>
      <w:r>
        <w:t>ă</w:t>
      </w:r>
      <w:r>
        <w:rPr>
          <w:spacing w:val="-2"/>
        </w:rPr>
        <w:t xml:space="preserve"> </w:t>
      </w:r>
      <w:r>
        <w:rPr>
          <w:spacing w:val="1"/>
        </w:rPr>
        <w:t>î</w:t>
      </w:r>
      <w:r>
        <w:t>n</w:t>
      </w:r>
      <w:r>
        <w:rPr>
          <w:spacing w:val="-3"/>
        </w:rPr>
        <w:t xml:space="preserve"> </w:t>
      </w:r>
      <w:r>
        <w:t>săp</w:t>
      </w:r>
      <w:r>
        <w:rPr>
          <w:spacing w:val="-2"/>
        </w:rPr>
        <w:t>t</w:t>
      </w:r>
      <w:r>
        <w:t>ă</w:t>
      </w:r>
      <w:r>
        <w:rPr>
          <w:spacing w:val="-4"/>
        </w:rPr>
        <w:t>m</w:t>
      </w:r>
      <w:r>
        <w:t>âna 8.</w:t>
      </w:r>
    </w:p>
    <w:p w14:paraId="53320014" w14:textId="77777777" w:rsidR="00C04CAD" w:rsidRDefault="00C04CAD">
      <w:pPr>
        <w:tabs>
          <w:tab w:val="clear" w:pos="567"/>
        </w:tabs>
        <w:kinsoku w:val="0"/>
        <w:overflowPunct w:val="0"/>
        <w:autoSpaceDE w:val="0"/>
        <w:autoSpaceDN w:val="0"/>
        <w:adjustRightInd w:val="0"/>
        <w:spacing w:line="240" w:lineRule="auto"/>
      </w:pPr>
    </w:p>
    <w:p w14:paraId="4039D223"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UC</w:t>
      </w:r>
      <w:r>
        <w:rPr>
          <w:spacing w:val="-2"/>
        </w:rPr>
        <w:t>-II</w:t>
      </w:r>
      <w:r>
        <w:t>, 248 pac</w:t>
      </w:r>
      <w:r>
        <w:rPr>
          <w:spacing w:val="-2"/>
        </w:rPr>
        <w:t>i</w:t>
      </w:r>
      <w:r>
        <w:rPr>
          <w:spacing w:val="-3"/>
        </w:rPr>
        <w:t>e</w:t>
      </w:r>
      <w:r>
        <w:t>n</w:t>
      </w:r>
      <w:r>
        <w:rPr>
          <w:spacing w:val="1"/>
        </w:rPr>
        <w:t>ţ</w:t>
      </w:r>
      <w:r>
        <w:t>i</w:t>
      </w:r>
      <w:r>
        <w:rPr>
          <w:spacing w:val="-2"/>
        </w:rPr>
        <w:t xml:space="preserve"> </w:t>
      </w:r>
      <w:r>
        <w:t xml:space="preserve">au </w:t>
      </w:r>
      <w:r>
        <w:rPr>
          <w:spacing w:val="-3"/>
        </w:rPr>
        <w:t>u</w:t>
      </w:r>
      <w:r>
        <w:rPr>
          <w:spacing w:val="1"/>
        </w:rPr>
        <w:t>t</w:t>
      </w:r>
      <w:r>
        <w:rPr>
          <w:spacing w:val="-2"/>
        </w:rPr>
        <w:t>i</w:t>
      </w:r>
      <w:r>
        <w:rPr>
          <w:spacing w:val="1"/>
        </w:rPr>
        <w:t>li</w:t>
      </w:r>
      <w:r>
        <w:rPr>
          <w:spacing w:val="-3"/>
        </w:rPr>
        <w:t>z</w:t>
      </w:r>
      <w:r>
        <w:t>at</w:t>
      </w:r>
      <w:r>
        <w:rPr>
          <w:spacing w:val="1"/>
        </w:rPr>
        <w:t xml:space="preserve"> </w:t>
      </w:r>
      <w:r>
        <w:rPr>
          <w:rFonts w:eastAsia="MS Mincho"/>
          <w:spacing w:val="-1"/>
          <w:szCs w:val="22"/>
          <w:lang w:eastAsia="en-US" w:bidi="ar-SA"/>
        </w:rPr>
        <w:t>adalimumab</w:t>
      </w:r>
      <w:r>
        <w:rPr>
          <w:spacing w:val="-2"/>
        </w:rPr>
        <w:t xml:space="preserve"> </w:t>
      </w:r>
      <w:r>
        <w:t>160</w:t>
      </w:r>
      <w:r>
        <w:rPr>
          <w:spacing w:val="-3"/>
        </w:rPr>
        <w:t>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0, 80 </w:t>
      </w:r>
      <w:r>
        <w:rPr>
          <w:spacing w:val="-4"/>
        </w:rPr>
        <w:t>m</w:t>
      </w:r>
      <w:r>
        <w:t xml:space="preserve">g </w:t>
      </w:r>
      <w:r>
        <w:rPr>
          <w:spacing w:val="1"/>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2"/>
        </w:rPr>
        <w:t>ş</w:t>
      </w:r>
      <w:r>
        <w:t xml:space="preserve">i după </w:t>
      </w:r>
      <w:r>
        <w:rPr>
          <w:spacing w:val="-3"/>
        </w:rPr>
        <w:t>a</w:t>
      </w:r>
      <w:r>
        <w:t>cee</w:t>
      </w:r>
      <w:r>
        <w:rPr>
          <w:spacing w:val="-3"/>
        </w:rPr>
        <w:t>a</w:t>
      </w:r>
      <w:r>
        <w:t>, 40 </w:t>
      </w:r>
      <w:r>
        <w:rPr>
          <w:spacing w:val="-4"/>
        </w:rPr>
        <w:t>m</w:t>
      </w:r>
      <w:r>
        <w:t>g</w:t>
      </w:r>
      <w:r>
        <w:rPr>
          <w:spacing w:val="-3"/>
        </w:rPr>
        <w:t xml:space="preserve"> </w:t>
      </w:r>
      <w:r>
        <w:t>o da</w:t>
      </w:r>
      <w:r>
        <w:rPr>
          <w:spacing w:val="1"/>
        </w:rPr>
        <w:t>t</w:t>
      </w:r>
      <w:r>
        <w:t xml:space="preserve">ă </w:t>
      </w:r>
      <w:r>
        <w:rPr>
          <w:spacing w:val="1"/>
        </w:rPr>
        <w:t>l</w:t>
      </w:r>
      <w:r>
        <w:t>a</w:t>
      </w:r>
      <w:r>
        <w:rPr>
          <w:spacing w:val="-2"/>
        </w:rPr>
        <w:t xml:space="preserve"> </w:t>
      </w:r>
      <w:r>
        <w:t xml:space="preserve">două </w:t>
      </w:r>
      <w:r>
        <w:rPr>
          <w:spacing w:val="-2"/>
        </w:rPr>
        <w:t>s</w:t>
      </w:r>
      <w:r>
        <w:t>ăp</w:t>
      </w:r>
      <w:r>
        <w:rPr>
          <w:spacing w:val="-2"/>
        </w:rPr>
        <w:t>t</w:t>
      </w:r>
      <w:r>
        <w:t>ă</w:t>
      </w:r>
      <w:r>
        <w:rPr>
          <w:spacing w:val="-4"/>
        </w:rPr>
        <w:t>m</w:t>
      </w:r>
      <w:r>
        <w:t>âni</w:t>
      </w:r>
      <w:r>
        <w:rPr>
          <w:spacing w:val="1"/>
        </w:rPr>
        <w:t xml:space="preserve"> </w:t>
      </w:r>
      <w:r>
        <w:t>şi</w:t>
      </w:r>
      <w:r>
        <w:rPr>
          <w:spacing w:val="1"/>
        </w:rPr>
        <w:t xml:space="preserve"> </w:t>
      </w:r>
      <w:r>
        <w:rPr>
          <w:spacing w:val="-3"/>
        </w:rPr>
        <w:t>2</w:t>
      </w:r>
      <w:r>
        <w:t>46 p</w:t>
      </w:r>
      <w:r>
        <w:rPr>
          <w:spacing w:val="-3"/>
        </w:rPr>
        <w:t>a</w:t>
      </w:r>
      <w:r>
        <w:t>c</w:t>
      </w:r>
      <w:r>
        <w:rPr>
          <w:spacing w:val="-2"/>
        </w:rPr>
        <w:t>i</w:t>
      </w:r>
      <w:r>
        <w:t>en</w:t>
      </w:r>
      <w:r>
        <w:rPr>
          <w:spacing w:val="-2"/>
        </w:rPr>
        <w:t>ţ</w:t>
      </w:r>
      <w:r>
        <w:t>i</w:t>
      </w:r>
      <w:r>
        <w:rPr>
          <w:spacing w:val="1"/>
        </w:rPr>
        <w:t xml:space="preserve"> </w:t>
      </w:r>
      <w:r>
        <w:t xml:space="preserve">au </w:t>
      </w:r>
      <w:r>
        <w:rPr>
          <w:spacing w:val="-3"/>
        </w:rPr>
        <w:t>u</w:t>
      </w:r>
      <w:r>
        <w:rPr>
          <w:spacing w:val="1"/>
        </w:rPr>
        <w:t>t</w:t>
      </w:r>
      <w:r>
        <w:rPr>
          <w:spacing w:val="-2"/>
        </w:rPr>
        <w:t>i</w:t>
      </w:r>
      <w:r>
        <w:rPr>
          <w:spacing w:val="1"/>
        </w:rPr>
        <w:t>li</w:t>
      </w:r>
      <w:r>
        <w:rPr>
          <w:spacing w:val="-3"/>
        </w:rPr>
        <w:t>za</w:t>
      </w:r>
      <w:r>
        <w:t>t</w:t>
      </w:r>
      <w:r>
        <w:rPr>
          <w:spacing w:val="1"/>
        </w:rPr>
        <w:t xml:space="preserve"> </w:t>
      </w:r>
      <w:r>
        <w:t>p</w:t>
      </w:r>
      <w:r>
        <w:rPr>
          <w:spacing w:val="-2"/>
        </w:rPr>
        <w:t>l</w:t>
      </w:r>
      <w:r>
        <w:t>ace</w:t>
      </w:r>
      <w:r>
        <w:rPr>
          <w:spacing w:val="-3"/>
        </w:rPr>
        <w:t>b</w:t>
      </w:r>
      <w:r>
        <w:t xml:space="preserve">o. </w:t>
      </w:r>
      <w:r>
        <w:rPr>
          <w:spacing w:val="-1"/>
        </w:rPr>
        <w:t>R</w:t>
      </w:r>
      <w:r>
        <w:t>e</w:t>
      </w:r>
      <w:r>
        <w:rPr>
          <w:spacing w:val="-3"/>
        </w:rPr>
        <w:t>z</w:t>
      </w:r>
      <w:r>
        <w:t>u</w:t>
      </w:r>
      <w:r>
        <w:rPr>
          <w:spacing w:val="1"/>
        </w:rPr>
        <w:t>l</w:t>
      </w:r>
      <w:r>
        <w:rPr>
          <w:spacing w:val="-2"/>
        </w:rPr>
        <w:t>t</w:t>
      </w:r>
      <w:r>
        <w:t>a</w:t>
      </w:r>
      <w:r>
        <w:rPr>
          <w:spacing w:val="1"/>
        </w:rPr>
        <w:t>t</w:t>
      </w:r>
      <w:r>
        <w:rPr>
          <w:spacing w:val="-3"/>
        </w:rPr>
        <w:t>e</w:t>
      </w:r>
      <w:r>
        <w:rPr>
          <w:spacing w:val="1"/>
        </w:rPr>
        <w:t>l</w:t>
      </w:r>
      <w:r>
        <w:t>e</w:t>
      </w:r>
      <w:r>
        <w:rPr>
          <w:spacing w:val="-2"/>
        </w:rPr>
        <w:t xml:space="preserve"> </w:t>
      </w:r>
      <w:r>
        <w:t>c</w:t>
      </w:r>
      <w:r>
        <w:rPr>
          <w:spacing w:val="-2"/>
        </w:rPr>
        <w:t>l</w:t>
      </w:r>
      <w:r>
        <w:rPr>
          <w:spacing w:val="1"/>
        </w:rPr>
        <w:t>i</w:t>
      </w:r>
      <w:r>
        <w:t>n</w:t>
      </w:r>
      <w:r>
        <w:rPr>
          <w:spacing w:val="-2"/>
        </w:rPr>
        <w:t>i</w:t>
      </w:r>
      <w:r>
        <w:t>ce pen</w:t>
      </w:r>
      <w:r>
        <w:rPr>
          <w:spacing w:val="-2"/>
        </w:rPr>
        <w:t>t</w:t>
      </w:r>
      <w:r>
        <w:t xml:space="preserve">ru </w:t>
      </w:r>
      <w:r>
        <w:rPr>
          <w:spacing w:val="-2"/>
        </w:rPr>
        <w:t>i</w:t>
      </w:r>
      <w:r>
        <w:t>n</w:t>
      </w:r>
      <w:r>
        <w:rPr>
          <w:spacing w:val="-2"/>
        </w:rPr>
        <w:t>i</w:t>
      </w:r>
      <w:r>
        <w:rPr>
          <w:spacing w:val="1"/>
        </w:rPr>
        <w:t>ţi</w:t>
      </w:r>
      <w:r>
        <w:rPr>
          <w:spacing w:val="-3"/>
        </w:rPr>
        <w:t>e</w:t>
      </w:r>
      <w:r>
        <w:t>r</w:t>
      </w:r>
      <w:r>
        <w:rPr>
          <w:spacing w:val="-3"/>
        </w:rPr>
        <w:t>e</w:t>
      </w:r>
      <w:r>
        <w:t>a re</w:t>
      </w:r>
      <w:r>
        <w:rPr>
          <w:spacing w:val="-4"/>
        </w:rPr>
        <w:t>m</w:t>
      </w:r>
      <w:r>
        <w:rPr>
          <w:spacing w:val="1"/>
        </w:rPr>
        <w:t>i</w:t>
      </w:r>
      <w:r>
        <w:rPr>
          <w:spacing w:val="-2"/>
        </w:rPr>
        <w:t>s</w:t>
      </w:r>
      <w:r>
        <w:rPr>
          <w:spacing w:val="1"/>
        </w:rPr>
        <w:t>i</w:t>
      </w:r>
      <w:r>
        <w:t>ei</w:t>
      </w:r>
      <w:r>
        <w:rPr>
          <w:spacing w:val="-2"/>
        </w:rPr>
        <w:t xml:space="preserve"> </w:t>
      </w:r>
      <w:r>
        <w:t>au</w:t>
      </w:r>
      <w:r>
        <w:rPr>
          <w:spacing w:val="-3"/>
        </w:rPr>
        <w:t xml:space="preserve"> </w:t>
      </w:r>
      <w:r>
        <w:t>fost</w:t>
      </w:r>
      <w:r>
        <w:rPr>
          <w:spacing w:val="-2"/>
        </w:rPr>
        <w:t xml:space="preserve"> </w:t>
      </w:r>
      <w:r>
        <w:t>e</w:t>
      </w:r>
      <w:r>
        <w:rPr>
          <w:spacing w:val="-3"/>
        </w:rPr>
        <w:t>v</w:t>
      </w:r>
      <w:r>
        <w:t>a</w:t>
      </w:r>
      <w:r>
        <w:rPr>
          <w:spacing w:val="1"/>
        </w:rPr>
        <w:t>l</w:t>
      </w:r>
      <w:r>
        <w:t>u</w:t>
      </w:r>
      <w:r>
        <w:rPr>
          <w:spacing w:val="-3"/>
        </w:rPr>
        <w:t>a</w:t>
      </w:r>
      <w:r>
        <w:rPr>
          <w:spacing w:val="1"/>
        </w:rPr>
        <w:t>t</w:t>
      </w:r>
      <w:r>
        <w:t>e</w:t>
      </w:r>
      <w:r>
        <w:rPr>
          <w:spacing w:val="-2"/>
        </w:rPr>
        <w:t xml:space="preserve"> </w:t>
      </w:r>
      <w:r>
        <w:rPr>
          <w:spacing w:val="1"/>
        </w:rPr>
        <w:t>î</w:t>
      </w:r>
      <w:r>
        <w:t xml:space="preserve">n </w:t>
      </w:r>
      <w:r>
        <w:rPr>
          <w:rFonts w:eastAsia="MS Mincho"/>
          <w:spacing w:val="-1"/>
          <w:szCs w:val="22"/>
          <w:lang w:eastAsia="en-US" w:bidi="ar-SA"/>
        </w:rPr>
        <w:t>s</w:t>
      </w:r>
      <w:r>
        <w:rPr>
          <w:rFonts w:eastAsia="MS Mincho"/>
          <w:spacing w:val="-3"/>
          <w:szCs w:val="22"/>
          <w:lang w:eastAsia="en-US" w:bidi="ar-SA"/>
        </w:rPr>
        <w:t>ă</w:t>
      </w:r>
      <w:r>
        <w:rPr>
          <w:rFonts w:eastAsia="MS Mincho"/>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pacing w:val="-2"/>
        </w:rPr>
        <w:t xml:space="preserve"> </w:t>
      </w:r>
      <w:r>
        <w:t>8 şi</w:t>
      </w:r>
      <w:r>
        <w:rPr>
          <w:spacing w:val="1"/>
        </w:rPr>
        <w:t xml:space="preserve"> </w:t>
      </w:r>
      <w:r>
        <w:rPr>
          <w:spacing w:val="-3"/>
        </w:rPr>
        <w:t>p</w:t>
      </w:r>
      <w:r>
        <w:t>en</w:t>
      </w:r>
      <w:r>
        <w:rPr>
          <w:spacing w:val="-2"/>
        </w:rPr>
        <w:t>t</w:t>
      </w:r>
      <w:r>
        <w:t xml:space="preserve">ru </w:t>
      </w:r>
      <w:r>
        <w:rPr>
          <w:spacing w:val="-4"/>
        </w:rPr>
        <w:t>m</w:t>
      </w:r>
      <w:r>
        <w:t>en</w:t>
      </w:r>
      <w:r>
        <w:rPr>
          <w:spacing w:val="1"/>
        </w:rPr>
        <w:t>ţi</w:t>
      </w:r>
      <w:r>
        <w:rPr>
          <w:spacing w:val="-3"/>
        </w:rPr>
        <w:t>n</w:t>
      </w:r>
      <w:r>
        <w:t>e</w:t>
      </w:r>
      <w:r>
        <w:rPr>
          <w:spacing w:val="-2"/>
        </w:rPr>
        <w:t>r</w:t>
      </w:r>
      <w:r>
        <w:t xml:space="preserve">ea </w:t>
      </w:r>
      <w:r>
        <w:rPr>
          <w:spacing w:val="-2"/>
        </w:rPr>
        <w:t>r</w:t>
      </w:r>
      <w:r>
        <w:t>e</w:t>
      </w:r>
      <w:r>
        <w:rPr>
          <w:spacing w:val="-4"/>
        </w:rPr>
        <w:t>m</w:t>
      </w:r>
      <w:r>
        <w:rPr>
          <w:spacing w:val="1"/>
        </w:rPr>
        <w:t>i</w:t>
      </w:r>
      <w:r>
        <w:t>s</w:t>
      </w:r>
      <w:r>
        <w:rPr>
          <w:spacing w:val="1"/>
        </w:rPr>
        <w:t>i</w:t>
      </w:r>
      <w:r>
        <w:rPr>
          <w:spacing w:val="-3"/>
        </w:rPr>
        <w:t>e</w:t>
      </w:r>
      <w:r>
        <w:t>i</w:t>
      </w:r>
      <w:r>
        <w:rPr>
          <w:spacing w:val="1"/>
        </w:rPr>
        <w:t xml:space="preserve"> î</w:t>
      </w:r>
      <w:r>
        <w:t>n</w:t>
      </w:r>
      <w:r>
        <w:rPr>
          <w:spacing w:val="-3"/>
        </w:rPr>
        <w:t xml:space="preserve">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52.</w:t>
      </w:r>
    </w:p>
    <w:p w14:paraId="053F5E83" w14:textId="77777777" w:rsidR="00C04CAD" w:rsidRDefault="00C04CAD">
      <w:pPr>
        <w:tabs>
          <w:tab w:val="clear" w:pos="567"/>
        </w:tabs>
        <w:kinsoku w:val="0"/>
        <w:overflowPunct w:val="0"/>
        <w:autoSpaceDE w:val="0"/>
        <w:autoSpaceDN w:val="0"/>
        <w:adjustRightInd w:val="0"/>
        <w:spacing w:line="240" w:lineRule="auto"/>
      </w:pPr>
    </w:p>
    <w:p w14:paraId="6B197A3D"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UC</w:t>
      </w:r>
      <w:r>
        <w:rPr>
          <w:spacing w:val="-2"/>
        </w:rPr>
        <w:t>-</w:t>
      </w:r>
      <w:r>
        <w:t>I</w:t>
      </w:r>
      <w:r>
        <w:rPr>
          <w:spacing w:val="-4"/>
        </w:rPr>
        <w:t xml:space="preserve"> </w:t>
      </w:r>
      <w:r>
        <w:t>(18%</w:t>
      </w:r>
      <w:r>
        <w:rPr>
          <w:spacing w:val="1"/>
        </w:rPr>
        <w:t xml:space="preserve"> </w:t>
      </w:r>
      <w:r>
        <w:rPr>
          <w:i/>
          <w:spacing w:val="-3"/>
        </w:rPr>
        <w:t>v</w:t>
      </w:r>
      <w:r>
        <w:rPr>
          <w:i/>
        </w:rPr>
        <w:t>ers</w:t>
      </w:r>
      <w:r>
        <w:rPr>
          <w:i/>
          <w:spacing w:val="-3"/>
        </w:rPr>
        <w:t>u</w:t>
      </w:r>
      <w:r>
        <w:rPr>
          <w:i/>
        </w:rPr>
        <w:t>s</w:t>
      </w:r>
      <w:r>
        <w:t xml:space="preserve"> 9%</w:t>
      </w:r>
      <w:r>
        <w:rPr>
          <w:spacing w:val="-2"/>
        </w:rPr>
        <w:t xml:space="preserve"> </w:t>
      </w:r>
      <w:r>
        <w:t>re</w:t>
      </w:r>
      <w:r>
        <w:rPr>
          <w:spacing w:val="-2"/>
        </w:rPr>
        <w:t>s</w:t>
      </w:r>
      <w:r>
        <w:t>pe</w:t>
      </w:r>
      <w:r>
        <w:rPr>
          <w:spacing w:val="-3"/>
        </w:rPr>
        <w:t>c</w:t>
      </w:r>
      <w:r>
        <w:rPr>
          <w:spacing w:val="1"/>
        </w:rPr>
        <w:t>ti</w:t>
      </w:r>
      <w:r>
        <w:rPr>
          <w:spacing w:val="-3"/>
        </w:rPr>
        <w:t>v</w:t>
      </w:r>
      <w:r>
        <w:t>, p=0,</w:t>
      </w:r>
      <w:r>
        <w:rPr>
          <w:spacing w:val="-3"/>
        </w:rPr>
        <w:t>0</w:t>
      </w:r>
      <w:r>
        <w:t>31)</w:t>
      </w:r>
      <w:r>
        <w:rPr>
          <w:spacing w:val="-2"/>
        </w:rPr>
        <w:t xml:space="preserve"> </w:t>
      </w:r>
      <w:r>
        <w:t>şi</w:t>
      </w:r>
      <w:r>
        <w:rPr>
          <w:spacing w:val="-2"/>
        </w:rPr>
        <w:t xml:space="preserve"> </w:t>
      </w:r>
      <w:r>
        <w:t>s</w:t>
      </w:r>
      <w:r>
        <w:rPr>
          <w:spacing w:val="1"/>
        </w:rPr>
        <w:t>t</w:t>
      </w:r>
      <w:r>
        <w:t>u</w:t>
      </w:r>
      <w:r>
        <w:rPr>
          <w:spacing w:val="-3"/>
        </w:rPr>
        <w:t>d</w:t>
      </w:r>
      <w:r>
        <w:rPr>
          <w:spacing w:val="1"/>
        </w:rPr>
        <w:t>i</w:t>
      </w:r>
      <w:r>
        <w:t>ul</w:t>
      </w:r>
      <w:r>
        <w:rPr>
          <w:spacing w:val="1"/>
        </w:rPr>
        <w:t xml:space="preserve"> </w:t>
      </w:r>
      <w:r>
        <w:rPr>
          <w:spacing w:val="-1"/>
        </w:rPr>
        <w:t>UC</w:t>
      </w:r>
      <w:r>
        <w:rPr>
          <w:spacing w:val="-2"/>
        </w:rPr>
        <w:t>-I</w:t>
      </w:r>
      <w:r>
        <w:t>I</w:t>
      </w:r>
      <w:r>
        <w:rPr>
          <w:spacing w:val="-4"/>
        </w:rPr>
        <w:t xml:space="preserve"> </w:t>
      </w:r>
      <w:r>
        <w:t>(17%</w:t>
      </w:r>
      <w:r>
        <w:rPr>
          <w:spacing w:val="1"/>
        </w:rPr>
        <w:t xml:space="preserve"> </w:t>
      </w:r>
      <w:r>
        <w:rPr>
          <w:i/>
          <w:spacing w:val="-3"/>
        </w:rPr>
        <w:t>v</w:t>
      </w:r>
      <w:r>
        <w:rPr>
          <w:i/>
        </w:rPr>
        <w:t>ersus</w:t>
      </w:r>
      <w:r>
        <w:rPr>
          <w:spacing w:val="-2"/>
        </w:rPr>
        <w:t xml:space="preserve"> </w:t>
      </w:r>
      <w:r>
        <w:t>9%</w:t>
      </w:r>
      <w:r>
        <w:rPr>
          <w:spacing w:val="1"/>
        </w:rPr>
        <w:t xml:space="preserve"> </w:t>
      </w:r>
      <w:r>
        <w:rPr>
          <w:spacing w:val="-2"/>
        </w:rPr>
        <w:t>r</w:t>
      </w:r>
      <w:r>
        <w:t>esp</w:t>
      </w:r>
      <w:r>
        <w:rPr>
          <w:spacing w:val="-3"/>
        </w:rPr>
        <w:t>e</w:t>
      </w:r>
      <w:r>
        <w:t>c</w:t>
      </w:r>
      <w:r>
        <w:rPr>
          <w:spacing w:val="-2"/>
        </w:rPr>
        <w:t>t</w:t>
      </w:r>
      <w:r>
        <w:rPr>
          <w:spacing w:val="1"/>
        </w:rPr>
        <w:t>i</w:t>
      </w:r>
      <w:r>
        <w:rPr>
          <w:spacing w:val="-3"/>
        </w:rPr>
        <w:t>v</w:t>
      </w:r>
      <w:r>
        <w:t>, p=0.01</w:t>
      </w:r>
      <w:r>
        <w:rPr>
          <w:spacing w:val="-3"/>
        </w:rPr>
        <w:t>9</w:t>
      </w:r>
      <w:r>
        <w:t>), p</w:t>
      </w:r>
      <w:r>
        <w:rPr>
          <w:spacing w:val="-3"/>
        </w:rPr>
        <w:t>a</w:t>
      </w:r>
      <w:r>
        <w:t>c</w:t>
      </w:r>
      <w:r>
        <w:rPr>
          <w:spacing w:val="1"/>
        </w:rPr>
        <w:t>i</w:t>
      </w:r>
      <w:r>
        <w:rPr>
          <w:spacing w:val="-3"/>
        </w:rPr>
        <w:t>e</w:t>
      </w:r>
      <w:r>
        <w:t>n</w:t>
      </w:r>
      <w:r>
        <w:rPr>
          <w:spacing w:val="-2"/>
        </w:rPr>
        <w:t>ţ</w:t>
      </w:r>
      <w:r>
        <w:rPr>
          <w:spacing w:val="1"/>
        </w:rPr>
        <w:t>i</w:t>
      </w:r>
      <w:r>
        <w:t>i</w:t>
      </w:r>
      <w:r>
        <w:rPr>
          <w:spacing w:val="1"/>
        </w:rPr>
        <w:t xml:space="preserve"> </w:t>
      </w:r>
      <w:r>
        <w:rPr>
          <w:spacing w:val="-3"/>
        </w:rPr>
        <w:t>c</w:t>
      </w:r>
      <w:r>
        <w:t>ăr</w:t>
      </w:r>
      <w:r>
        <w:rPr>
          <w:spacing w:val="-3"/>
        </w:rPr>
        <w:t>o</w:t>
      </w:r>
      <w:r>
        <w:t>ra</w:t>
      </w:r>
      <w:r>
        <w:rPr>
          <w:spacing w:val="-2"/>
        </w:rPr>
        <w:t xml:space="preserve"> </w:t>
      </w:r>
      <w:r>
        <w:rPr>
          <w:spacing w:val="1"/>
        </w:rPr>
        <w:t>l</w:t>
      </w:r>
      <w:r>
        <w:t>i</w:t>
      </w:r>
      <w:r>
        <w:rPr>
          <w:spacing w:val="-2"/>
        </w:rPr>
        <w:t xml:space="preserve"> </w:t>
      </w:r>
      <w:r>
        <w:t>s</w:t>
      </w:r>
      <w:r>
        <w:rPr>
          <w:spacing w:val="-4"/>
        </w:rPr>
        <w:t>-</w:t>
      </w:r>
      <w:r>
        <w:t>a a</w:t>
      </w:r>
      <w:r>
        <w:rPr>
          <w:spacing w:val="2"/>
        </w:rP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rPr>
          <w:spacing w:val="-2"/>
        </w:rPr>
        <w:t>l</w:t>
      </w:r>
      <w:r>
        <w:t xml:space="preserve">a </w:t>
      </w:r>
      <w:r>
        <w:rPr>
          <w:spacing w:val="1"/>
        </w:rPr>
        <w:t>i</w:t>
      </w:r>
      <w:r>
        <w:rPr>
          <w:spacing w:val="-3"/>
        </w:rPr>
        <w:t>n</w:t>
      </w:r>
      <w:r>
        <w:rPr>
          <w:spacing w:val="1"/>
        </w:rPr>
        <w:t>i</w:t>
      </w:r>
      <w:r>
        <w:rPr>
          <w:spacing w:val="-2"/>
        </w:rPr>
        <w:t>ţ</w:t>
      </w:r>
      <w:r>
        <w:rPr>
          <w:spacing w:val="1"/>
        </w:rPr>
        <w:t>i</w:t>
      </w:r>
      <w:r>
        <w:rPr>
          <w:spacing w:val="-3"/>
        </w:rPr>
        <w:t>e</w:t>
      </w:r>
      <w:r>
        <w:t>re</w:t>
      </w:r>
      <w:r>
        <w:rPr>
          <w:spacing w:val="-2"/>
        </w:rPr>
        <w:t xml:space="preserve"> </w:t>
      </w:r>
      <w:r>
        <w:rPr>
          <w:rFonts w:eastAsia="MS Mincho"/>
          <w:spacing w:val="-1"/>
          <w:szCs w:val="22"/>
          <w:lang w:eastAsia="en-US" w:bidi="ar-SA"/>
        </w:rPr>
        <w:t>adalimumab</w:t>
      </w:r>
      <w:r>
        <w:t xml:space="preserve"> 160</w:t>
      </w:r>
      <w:r>
        <w:rPr>
          <w:spacing w:val="1"/>
        </w:rPr>
        <w:t>/</w:t>
      </w:r>
      <w:r>
        <w:t>80 </w:t>
      </w:r>
      <w:r>
        <w:rPr>
          <w:spacing w:val="-4"/>
        </w:rPr>
        <w:t>m</w:t>
      </w:r>
      <w:r>
        <w:t>g</w:t>
      </w:r>
      <w:r>
        <w:rPr>
          <w:spacing w:val="-3"/>
        </w:rPr>
        <w:t xml:space="preserve"> </w:t>
      </w:r>
      <w:r>
        <w:t>au ob</w:t>
      </w:r>
      <w:r>
        <w:rPr>
          <w:spacing w:val="1"/>
        </w:rPr>
        <w:t>ţi</w:t>
      </w:r>
      <w:r>
        <w:rPr>
          <w:spacing w:val="-3"/>
        </w:rPr>
        <w:t>n</w:t>
      </w:r>
      <w:r>
        <w:t>ut</w:t>
      </w:r>
      <w:r>
        <w:rPr>
          <w:spacing w:val="1"/>
        </w:rPr>
        <w:t xml:space="preserve"> </w:t>
      </w:r>
      <w:r>
        <w:rPr>
          <w:spacing w:val="-2"/>
        </w:rPr>
        <w:t>r</w:t>
      </w:r>
      <w:r>
        <w:t>e</w:t>
      </w:r>
      <w:r>
        <w:rPr>
          <w:spacing w:val="-4"/>
        </w:rPr>
        <w:t>m</w:t>
      </w:r>
      <w:r>
        <w:rPr>
          <w:spacing w:val="1"/>
        </w:rPr>
        <w:t>i</w:t>
      </w:r>
      <w:r>
        <w:t>s</w:t>
      </w:r>
      <w:r>
        <w:rPr>
          <w:spacing w:val="1"/>
        </w:rPr>
        <w:t>i</w:t>
      </w:r>
      <w:r>
        <w:t xml:space="preserve">e </w:t>
      </w:r>
      <w:r>
        <w:rPr>
          <w:spacing w:val="-3"/>
        </w:rPr>
        <w:t>c</w:t>
      </w:r>
      <w:r>
        <w:rPr>
          <w:spacing w:val="1"/>
        </w:rPr>
        <w:t>li</w:t>
      </w:r>
      <w:r>
        <w:rPr>
          <w:spacing w:val="-3"/>
        </w:rPr>
        <w:t>n</w:t>
      </w:r>
      <w:r>
        <w:rPr>
          <w:spacing w:val="1"/>
        </w:rPr>
        <w:t>i</w:t>
      </w:r>
      <w:r>
        <w:rPr>
          <w:spacing w:val="-3"/>
        </w:rPr>
        <w:t>c</w:t>
      </w:r>
      <w:r>
        <w:t xml:space="preserve">ă </w:t>
      </w:r>
      <w:r>
        <w:rPr>
          <w:i/>
          <w:spacing w:val="-3"/>
        </w:rPr>
        <w:t>v</w:t>
      </w:r>
      <w:r>
        <w:rPr>
          <w:i/>
        </w:rPr>
        <w:t>ersus</w:t>
      </w:r>
      <w:r>
        <w:t xml:space="preserve"> </w:t>
      </w:r>
      <w:r>
        <w:rPr>
          <w:spacing w:val="-3"/>
        </w:rPr>
        <w:t>p</w:t>
      </w:r>
      <w:r>
        <w:rPr>
          <w:spacing w:val="1"/>
        </w:rPr>
        <w:t>l</w:t>
      </w:r>
      <w:r>
        <w:t>ac</w:t>
      </w:r>
      <w:r>
        <w:rPr>
          <w:spacing w:val="-3"/>
        </w:rPr>
        <w:t>e</w:t>
      </w:r>
      <w:r>
        <w:t xml:space="preserve">bo </w:t>
      </w:r>
      <w:r>
        <w:rPr>
          <w:spacing w:val="-2"/>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8 </w:t>
      </w:r>
      <w:r>
        <w:rPr>
          <w:spacing w:val="1"/>
        </w:rPr>
        <w:t>î</w:t>
      </w:r>
      <w:r>
        <w:rPr>
          <w:spacing w:val="-3"/>
        </w:rPr>
        <w:t>n</w:t>
      </w:r>
      <w:r>
        <w:rPr>
          <w:spacing w:val="1"/>
        </w:rPr>
        <w:t>t</w:t>
      </w:r>
      <w:r>
        <w:t>r</w:t>
      </w:r>
      <w:r>
        <w:rPr>
          <w:spacing w:val="-4"/>
        </w:rPr>
        <w:t>-</w:t>
      </w:r>
      <w:r>
        <w:t>un pro</w:t>
      </w:r>
      <w:r>
        <w:rPr>
          <w:spacing w:val="-3"/>
        </w:rPr>
        <w:t>c</w:t>
      </w:r>
      <w:r>
        <w:t>ent</w:t>
      </w:r>
      <w:r>
        <w:rPr>
          <w:spacing w:val="1"/>
        </w:rPr>
        <w:t xml:space="preserve"> </w:t>
      </w:r>
      <w:r>
        <w:rPr>
          <w:spacing w:val="-4"/>
        </w:rPr>
        <w:t>m</w:t>
      </w:r>
      <w:r>
        <w:t>ai</w:t>
      </w:r>
      <w:r>
        <w:rPr>
          <w:spacing w:val="1"/>
        </w:rPr>
        <w:t xml:space="preserve"> </w:t>
      </w:r>
      <w:r>
        <w:rPr>
          <w:spacing w:val="-4"/>
        </w:rPr>
        <w:t>m</w:t>
      </w:r>
      <w:r>
        <w:t>are se</w:t>
      </w:r>
      <w:r>
        <w:rPr>
          <w:spacing w:val="-4"/>
        </w:rPr>
        <w:t>m</w:t>
      </w:r>
      <w:r>
        <w:t>n</w:t>
      </w:r>
      <w:r>
        <w:rPr>
          <w:spacing w:val="1"/>
        </w:rPr>
        <w:t>i</w:t>
      </w:r>
      <w:r>
        <w:t>f</w:t>
      </w:r>
      <w:r>
        <w:rPr>
          <w:spacing w:val="-2"/>
        </w:rPr>
        <w:t>i</w:t>
      </w:r>
      <w:r>
        <w:t>ca</w:t>
      </w:r>
      <w:r>
        <w:rPr>
          <w:spacing w:val="-2"/>
        </w:rPr>
        <w:t>t</w:t>
      </w:r>
      <w:r>
        <w:rPr>
          <w:spacing w:val="1"/>
        </w:rPr>
        <w:t>i</w:t>
      </w:r>
      <w:r>
        <w:t>v</w:t>
      </w:r>
      <w:r>
        <w:rPr>
          <w:spacing w:val="-3"/>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t xml:space="preserve">c. </w:t>
      </w:r>
      <w:r>
        <w:rPr>
          <w:spacing w:val="-4"/>
        </w:rPr>
        <w:t>Î</w:t>
      </w:r>
      <w:r>
        <w:t>n s</w:t>
      </w:r>
      <w:r>
        <w:rPr>
          <w:spacing w:val="1"/>
        </w:rPr>
        <w:t>t</w:t>
      </w:r>
      <w:r>
        <w:t>ud</w:t>
      </w:r>
      <w:r>
        <w:rPr>
          <w:spacing w:val="-2"/>
        </w:rPr>
        <w:t>i</w:t>
      </w:r>
      <w:r>
        <w:t>ul</w:t>
      </w:r>
      <w:r>
        <w:rPr>
          <w:spacing w:val="1"/>
        </w:rPr>
        <w:t xml:space="preserve"> </w:t>
      </w:r>
      <w:r>
        <w:rPr>
          <w:spacing w:val="-2"/>
        </w:rPr>
        <w:t>U</w:t>
      </w:r>
      <w:r>
        <w:rPr>
          <w:spacing w:val="-1"/>
        </w:rPr>
        <w:t>C</w:t>
      </w:r>
      <w:r>
        <w:rPr>
          <w:spacing w:val="-2"/>
        </w:rPr>
        <w:t xml:space="preserve">-II, </w:t>
      </w:r>
      <w:r>
        <w:t>nu</w:t>
      </w:r>
      <w:r>
        <w:rPr>
          <w:spacing w:val="-4"/>
        </w:rPr>
        <w:t>m</w:t>
      </w:r>
      <w:r>
        <w:t>ărul</w:t>
      </w:r>
      <w:r>
        <w:rPr>
          <w:spacing w:val="1"/>
        </w:rPr>
        <w:t xml:space="preserve"> </w:t>
      </w:r>
      <w:r>
        <w:t>pa</w:t>
      </w:r>
      <w:r>
        <w:rPr>
          <w:spacing w:val="-3"/>
        </w:rPr>
        <w:t>c</w:t>
      </w:r>
      <w:r>
        <w:rPr>
          <w:spacing w:val="1"/>
        </w:rPr>
        <w:t>i</w:t>
      </w:r>
      <w:r>
        <w:t>e</w:t>
      </w:r>
      <w:r>
        <w:rPr>
          <w:spacing w:val="-3"/>
        </w:rPr>
        <w:t>n</w:t>
      </w:r>
      <w:r>
        <w:rPr>
          <w:spacing w:val="1"/>
        </w:rPr>
        <w:t>ţ</w:t>
      </w:r>
      <w:r>
        <w:rPr>
          <w:spacing w:val="-2"/>
        </w:rPr>
        <w:t>i</w:t>
      </w:r>
      <w:r>
        <w:rPr>
          <w:spacing w:val="1"/>
        </w:rPr>
        <w:t>l</w:t>
      </w:r>
      <w:r>
        <w:rPr>
          <w:spacing w:val="-3"/>
        </w:rPr>
        <w:t>o</w:t>
      </w:r>
      <w:r>
        <w:t>r</w:t>
      </w:r>
      <w:r>
        <w:rPr>
          <w:spacing w:val="1"/>
        </w:rPr>
        <w:t xml:space="preserve"> </w:t>
      </w:r>
      <w:r>
        <w:t>c</w:t>
      </w:r>
      <w:r>
        <w:rPr>
          <w:spacing w:val="-3"/>
        </w:rPr>
        <w:t>a</w:t>
      </w:r>
      <w:r>
        <w:t xml:space="preserve">re </w:t>
      </w:r>
      <w:r>
        <w:rPr>
          <w:spacing w:val="-3"/>
        </w:rPr>
        <w:t>a</w:t>
      </w:r>
      <w:r>
        <w:t>u</w:t>
      </w:r>
      <w:r>
        <w:rPr>
          <w:spacing w:val="-3"/>
        </w:rPr>
        <w:t xml:space="preserve"> </w:t>
      </w:r>
      <w:r>
        <w:t>u</w:t>
      </w:r>
      <w:r>
        <w:rPr>
          <w:spacing w:val="1"/>
        </w:rPr>
        <w:t>t</w:t>
      </w:r>
      <w:r>
        <w:rPr>
          <w:spacing w:val="-2"/>
        </w:rPr>
        <w:t>i</w:t>
      </w:r>
      <w:r>
        <w:rPr>
          <w:spacing w:val="1"/>
        </w:rPr>
        <w:t>li</w:t>
      </w:r>
      <w:r>
        <w:rPr>
          <w:spacing w:val="-3"/>
        </w:rPr>
        <w:t>za</w:t>
      </w:r>
      <w:r>
        <w:t>t</w:t>
      </w:r>
      <w:r>
        <w:rPr>
          <w:spacing w:val="1"/>
        </w:rPr>
        <w:t xml:space="preserve"> </w:t>
      </w:r>
      <w:r>
        <w:rPr>
          <w:spacing w:val="-2"/>
        </w:rPr>
        <w:t>t</w:t>
      </w:r>
      <w:r>
        <w:t>ra</w:t>
      </w:r>
      <w:r>
        <w:rPr>
          <w:spacing w:val="-2"/>
        </w:rPr>
        <w:t>t</w:t>
      </w:r>
      <w:r>
        <w:t>a</w:t>
      </w:r>
      <w:r>
        <w:rPr>
          <w:spacing w:val="-4"/>
        </w:rPr>
        <w:t>m</w:t>
      </w:r>
      <w:r>
        <w:t>ent</w:t>
      </w:r>
      <w:r>
        <w:rPr>
          <w:spacing w:val="1"/>
        </w:rPr>
        <w:t xml:space="preserve"> </w:t>
      </w:r>
      <w:r>
        <w:t xml:space="preserve">cu </w:t>
      </w:r>
      <w:r>
        <w:rPr>
          <w:rFonts w:eastAsia="MS Mincho"/>
          <w:spacing w:val="-1"/>
          <w:szCs w:val="22"/>
          <w:lang w:eastAsia="en-US" w:bidi="ar-SA"/>
        </w:rPr>
        <w:t>adalimumab</w:t>
      </w:r>
      <w:r>
        <w:t xml:space="preserve"> 21</w:t>
      </w:r>
      <w:r>
        <w:rPr>
          <w:spacing w:val="1"/>
        </w:rPr>
        <w:t>/</w:t>
      </w:r>
      <w:r>
        <w:rPr>
          <w:spacing w:val="-3"/>
        </w:rPr>
        <w:t>4</w:t>
      </w:r>
      <w:r>
        <w:t>1 (5</w:t>
      </w:r>
      <w:r>
        <w:rPr>
          <w:spacing w:val="-3"/>
        </w:rPr>
        <w:t>1</w:t>
      </w:r>
      <w:r>
        <w:rPr>
          <w:spacing w:val="-2"/>
        </w:rPr>
        <w:t>%</w:t>
      </w:r>
      <w:r>
        <w:t>)</w:t>
      </w:r>
      <w:r>
        <w:rPr>
          <w:spacing w:val="1"/>
        </w:rPr>
        <w:t xml:space="preserve"> </w:t>
      </w:r>
      <w:r>
        <w:t>şi</w:t>
      </w:r>
      <w:r>
        <w:rPr>
          <w:spacing w:val="-2"/>
        </w:rPr>
        <w:t xml:space="preserve"> </w:t>
      </w:r>
      <w:r>
        <w:t>c</w:t>
      </w:r>
      <w:r>
        <w:rPr>
          <w:spacing w:val="-3"/>
        </w:rPr>
        <w:t>a</w:t>
      </w:r>
      <w:r>
        <w:t xml:space="preserve">re </w:t>
      </w:r>
      <w:r>
        <w:rPr>
          <w:spacing w:val="-3"/>
        </w:rPr>
        <w:t>e</w:t>
      </w:r>
      <w:r>
        <w:t>rau</w:t>
      </w:r>
      <w:r>
        <w:rPr>
          <w:spacing w:val="-3"/>
        </w:rPr>
        <w:t xml:space="preserve"> </w:t>
      </w:r>
      <w:r>
        <w:rPr>
          <w:spacing w:val="-2"/>
        </w:rPr>
        <w:t>î</w:t>
      </w:r>
      <w:r>
        <w:t>n re</w:t>
      </w:r>
      <w:r>
        <w:rPr>
          <w:spacing w:val="-4"/>
        </w:rPr>
        <w:t>m</w:t>
      </w:r>
      <w:r>
        <w:rPr>
          <w:spacing w:val="1"/>
        </w:rPr>
        <w:t>i</w:t>
      </w:r>
      <w:r>
        <w:t>s</w:t>
      </w:r>
      <w:r>
        <w:rPr>
          <w:spacing w:val="1"/>
        </w:rPr>
        <w:t>i</w:t>
      </w:r>
      <w:r>
        <w:t>e</w:t>
      </w:r>
      <w:r>
        <w:rPr>
          <w:spacing w:val="-2"/>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8,</w:t>
      </w:r>
      <w:r>
        <w:rPr>
          <w:spacing w:val="-3"/>
        </w:rPr>
        <w:t xml:space="preserve"> </w:t>
      </w:r>
      <w:r>
        <w:t>au f</w:t>
      </w:r>
      <w:r>
        <w:rPr>
          <w:spacing w:val="-3"/>
        </w:rPr>
        <w:t>o</w:t>
      </w:r>
      <w:r>
        <w:t>st</w:t>
      </w:r>
      <w:r>
        <w:rPr>
          <w:spacing w:val="-2"/>
        </w:rPr>
        <w:t xml:space="preserve"> </w:t>
      </w:r>
      <w:r>
        <w:rPr>
          <w:spacing w:val="1"/>
        </w:rPr>
        <w:t>î</w:t>
      </w:r>
      <w:r>
        <w:t>n</w:t>
      </w:r>
      <w:r>
        <w:rPr>
          <w:spacing w:val="-3"/>
        </w:rPr>
        <w:t xml:space="preserve"> </w:t>
      </w:r>
      <w:r>
        <w:t>re</w:t>
      </w:r>
      <w:r>
        <w:rPr>
          <w:spacing w:val="-4"/>
        </w:rPr>
        <w:t>m</w:t>
      </w:r>
      <w:r>
        <w:rPr>
          <w:spacing w:val="1"/>
        </w:rPr>
        <w:t>i</w:t>
      </w:r>
      <w:r>
        <w:t>s</w:t>
      </w:r>
      <w:r>
        <w:rPr>
          <w:spacing w:val="-2"/>
        </w:rPr>
        <w:t>i</w:t>
      </w:r>
      <w:r>
        <w:t xml:space="preserve">e </w:t>
      </w:r>
      <w:r>
        <w:rPr>
          <w:spacing w:val="-2"/>
        </w:rPr>
        <w:t>ş</w:t>
      </w:r>
      <w:r>
        <w:t>i</w:t>
      </w:r>
      <w:r>
        <w:rPr>
          <w:spacing w:val="1"/>
        </w:rPr>
        <w:t xml:space="preserve"> î</w:t>
      </w:r>
      <w:r>
        <w:t>n</w:t>
      </w:r>
      <w:r>
        <w:rPr>
          <w:spacing w:val="-3"/>
        </w:rPr>
        <w:t xml:space="preserve">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52.</w:t>
      </w:r>
    </w:p>
    <w:p w14:paraId="4B736E45" w14:textId="77777777" w:rsidR="00C04CAD" w:rsidRDefault="00C04CAD">
      <w:pPr>
        <w:tabs>
          <w:tab w:val="clear" w:pos="567"/>
        </w:tabs>
        <w:kinsoku w:val="0"/>
        <w:overflowPunct w:val="0"/>
        <w:autoSpaceDE w:val="0"/>
        <w:autoSpaceDN w:val="0"/>
        <w:adjustRightInd w:val="0"/>
        <w:spacing w:line="240" w:lineRule="auto"/>
        <w:rPr>
          <w:spacing w:val="-1"/>
          <w:szCs w:val="22"/>
        </w:rPr>
      </w:pPr>
    </w:p>
    <w:p w14:paraId="265A2D8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R</w:t>
      </w:r>
      <w:r>
        <w:rPr>
          <w:szCs w:val="22"/>
        </w:rPr>
        <w:t>e</w:t>
      </w:r>
      <w:r>
        <w:rPr>
          <w:spacing w:val="-3"/>
          <w:szCs w:val="22"/>
        </w:rPr>
        <w:t>z</w:t>
      </w:r>
      <w:r>
        <w:rPr>
          <w:szCs w:val="22"/>
        </w:rPr>
        <w:t>u</w:t>
      </w:r>
      <w:r>
        <w:rPr>
          <w:spacing w:val="1"/>
          <w:szCs w:val="22"/>
        </w:rPr>
        <w:t>lt</w:t>
      </w:r>
      <w:r>
        <w:rPr>
          <w:spacing w:val="-3"/>
          <w:szCs w:val="22"/>
        </w:rPr>
        <w:t>a</w:t>
      </w:r>
      <w:r>
        <w:rPr>
          <w:spacing w:val="1"/>
          <w:szCs w:val="22"/>
        </w:rPr>
        <w:t>t</w:t>
      </w:r>
      <w:r>
        <w:rPr>
          <w:szCs w:val="22"/>
        </w:rPr>
        <w:t>e</w:t>
      </w:r>
      <w:r>
        <w:rPr>
          <w:spacing w:val="-2"/>
          <w:szCs w:val="22"/>
        </w:rPr>
        <w:t>l</w:t>
      </w:r>
      <w:r>
        <w:rPr>
          <w:szCs w:val="22"/>
        </w:rPr>
        <w:t xml:space="preserve">e </w:t>
      </w:r>
      <w:r>
        <w:rPr>
          <w:spacing w:val="-2"/>
          <w:szCs w:val="22"/>
        </w:rPr>
        <w:t>s</w:t>
      </w:r>
      <w:r>
        <w:rPr>
          <w:spacing w:val="1"/>
          <w:szCs w:val="22"/>
        </w:rPr>
        <w:t>t</w:t>
      </w:r>
      <w:r>
        <w:rPr>
          <w:szCs w:val="22"/>
        </w:rPr>
        <w:t>ud</w:t>
      </w:r>
      <w:r>
        <w:rPr>
          <w:spacing w:val="-2"/>
          <w:szCs w:val="22"/>
        </w:rPr>
        <w:t>i</w:t>
      </w:r>
      <w:r>
        <w:rPr>
          <w:szCs w:val="22"/>
        </w:rPr>
        <w:t>u</w:t>
      </w:r>
      <w:r>
        <w:rPr>
          <w:spacing w:val="1"/>
          <w:szCs w:val="22"/>
        </w:rPr>
        <w:t>l</w:t>
      </w:r>
      <w:r>
        <w:rPr>
          <w:spacing w:val="-3"/>
          <w:szCs w:val="22"/>
        </w:rPr>
        <w:t>u</w:t>
      </w:r>
      <w:r>
        <w:rPr>
          <w:szCs w:val="22"/>
        </w:rPr>
        <w:t>i</w:t>
      </w:r>
      <w:r>
        <w:rPr>
          <w:spacing w:val="1"/>
          <w:szCs w:val="22"/>
        </w:rPr>
        <w:t xml:space="preserve"> </w:t>
      </w:r>
      <w:r>
        <w:rPr>
          <w:spacing w:val="-1"/>
          <w:szCs w:val="22"/>
        </w:rPr>
        <w:t>U</w:t>
      </w:r>
      <w:r>
        <w:rPr>
          <w:spacing w:val="-2"/>
          <w:szCs w:val="22"/>
        </w:rPr>
        <w:t>C-I</w:t>
      </w:r>
      <w:r>
        <w:rPr>
          <w:szCs w:val="22"/>
        </w:rPr>
        <w:t>I</w:t>
      </w:r>
      <w:r>
        <w:rPr>
          <w:spacing w:val="1"/>
          <w:szCs w:val="22"/>
        </w:rPr>
        <w:t xml:space="preserve"> </w:t>
      </w:r>
      <w:r>
        <w:rPr>
          <w:szCs w:val="22"/>
        </w:rPr>
        <w:t>pen</w:t>
      </w:r>
      <w:r>
        <w:rPr>
          <w:spacing w:val="-2"/>
          <w:szCs w:val="22"/>
        </w:rPr>
        <w:t>t</w:t>
      </w:r>
      <w:r>
        <w:rPr>
          <w:szCs w:val="22"/>
        </w:rPr>
        <w:t>ru po</w:t>
      </w:r>
      <w:r>
        <w:rPr>
          <w:spacing w:val="-3"/>
          <w:szCs w:val="22"/>
        </w:rPr>
        <w:t>p</w:t>
      </w:r>
      <w:r>
        <w:rPr>
          <w:szCs w:val="22"/>
        </w:rPr>
        <w:t>u</w:t>
      </w:r>
      <w:r>
        <w:rPr>
          <w:spacing w:val="1"/>
          <w:szCs w:val="22"/>
        </w:rPr>
        <w:t>l</w:t>
      </w:r>
      <w:r>
        <w:rPr>
          <w:spacing w:val="-3"/>
          <w:szCs w:val="22"/>
        </w:rPr>
        <w:t>a</w:t>
      </w:r>
      <w:r>
        <w:rPr>
          <w:spacing w:val="1"/>
          <w:szCs w:val="22"/>
        </w:rPr>
        <w:t>ţ</w:t>
      </w:r>
      <w:r>
        <w:rPr>
          <w:spacing w:val="-2"/>
          <w:szCs w:val="22"/>
        </w:rPr>
        <w:t>i</w:t>
      </w:r>
      <w:r>
        <w:rPr>
          <w:szCs w:val="22"/>
        </w:rPr>
        <w:t xml:space="preserve">a </w:t>
      </w:r>
      <w:r>
        <w:rPr>
          <w:spacing w:val="-2"/>
          <w:szCs w:val="22"/>
        </w:rPr>
        <w:t>t</w:t>
      </w:r>
      <w:r>
        <w:rPr>
          <w:szCs w:val="22"/>
        </w:rPr>
        <w:t>o</w:t>
      </w:r>
      <w:r>
        <w:rPr>
          <w:spacing w:val="1"/>
          <w:szCs w:val="22"/>
        </w:rPr>
        <w:t>t</w:t>
      </w:r>
      <w:r>
        <w:rPr>
          <w:spacing w:val="-3"/>
          <w:szCs w:val="22"/>
        </w:rPr>
        <w:t>a</w:t>
      </w:r>
      <w:r>
        <w:rPr>
          <w:spacing w:val="1"/>
          <w:szCs w:val="22"/>
        </w:rPr>
        <w:t>l</w:t>
      </w:r>
      <w:r>
        <w:rPr>
          <w:szCs w:val="22"/>
        </w:rPr>
        <w:t>ă</w:t>
      </w:r>
      <w:r>
        <w:rPr>
          <w:spacing w:val="-2"/>
          <w:szCs w:val="22"/>
        </w:rPr>
        <w:t xml:space="preserve"> </w:t>
      </w:r>
      <w:r>
        <w:rPr>
          <w:szCs w:val="22"/>
        </w:rPr>
        <w:t>sunt</w:t>
      </w:r>
      <w:r>
        <w:rPr>
          <w:spacing w:val="-4"/>
          <w:szCs w:val="22"/>
        </w:rPr>
        <w:t xml:space="preserve"> </w:t>
      </w:r>
      <w:r>
        <w:rPr>
          <w:szCs w:val="22"/>
        </w:rPr>
        <w:t>pre</w:t>
      </w:r>
      <w:r>
        <w:rPr>
          <w:spacing w:val="-3"/>
          <w:szCs w:val="22"/>
        </w:rPr>
        <w:t>z</w:t>
      </w:r>
      <w:r>
        <w:rPr>
          <w:szCs w:val="22"/>
        </w:rPr>
        <w:t>en</w:t>
      </w:r>
      <w:r>
        <w:rPr>
          <w:spacing w:val="-2"/>
          <w:szCs w:val="22"/>
        </w:rPr>
        <w:t>t</w:t>
      </w:r>
      <w:r>
        <w:rPr>
          <w:szCs w:val="22"/>
        </w:rPr>
        <w:t>a</w:t>
      </w:r>
      <w:r>
        <w:rPr>
          <w:spacing w:val="1"/>
          <w:szCs w:val="22"/>
        </w:rPr>
        <w:t>t</w:t>
      </w:r>
      <w:r>
        <w:rPr>
          <w:szCs w:val="22"/>
        </w:rPr>
        <w:t>e</w:t>
      </w:r>
      <w:r>
        <w:rPr>
          <w:spacing w:val="-2"/>
          <w:szCs w:val="22"/>
        </w:rPr>
        <w:t xml:space="preserve"> </w:t>
      </w:r>
      <w:r>
        <w:rPr>
          <w:spacing w:val="1"/>
          <w:szCs w:val="22"/>
        </w:rPr>
        <w:t>î</w:t>
      </w:r>
      <w:r>
        <w:rPr>
          <w:szCs w:val="22"/>
        </w:rPr>
        <w:t>n</w:t>
      </w:r>
      <w:r>
        <w:rPr>
          <w:spacing w:val="-3"/>
          <w:szCs w:val="22"/>
        </w:rPr>
        <w:t xml:space="preserve"> </w:t>
      </w:r>
      <w:r>
        <w:rPr>
          <w:spacing w:val="1"/>
          <w:szCs w:val="22"/>
        </w:rPr>
        <w:t>t</w:t>
      </w:r>
      <w:r>
        <w:rPr>
          <w:szCs w:val="22"/>
        </w:rPr>
        <w:t>a</w:t>
      </w:r>
      <w:r>
        <w:rPr>
          <w:spacing w:val="-3"/>
          <w:szCs w:val="22"/>
        </w:rPr>
        <w:t>b</w:t>
      </w:r>
      <w:r>
        <w:rPr>
          <w:szCs w:val="22"/>
        </w:rPr>
        <w:t>e</w:t>
      </w:r>
      <w:r>
        <w:rPr>
          <w:spacing w:val="1"/>
          <w:szCs w:val="22"/>
        </w:rPr>
        <w:t>l</w:t>
      </w:r>
      <w:r>
        <w:rPr>
          <w:spacing w:val="-3"/>
          <w:szCs w:val="22"/>
        </w:rPr>
        <w:t>u</w:t>
      </w:r>
      <w:r>
        <w:rPr>
          <w:szCs w:val="22"/>
        </w:rPr>
        <w:t>l</w:t>
      </w:r>
      <w:r>
        <w:rPr>
          <w:spacing w:val="1"/>
          <w:szCs w:val="22"/>
        </w:rPr>
        <w:t xml:space="preserve"> </w:t>
      </w:r>
      <w:r>
        <w:rPr>
          <w:rFonts w:eastAsia="MS Mincho"/>
          <w:szCs w:val="22"/>
          <w:lang w:eastAsia="en-US" w:bidi="ar-SA"/>
        </w:rPr>
        <w:t>23</w:t>
      </w:r>
      <w:r>
        <w:rPr>
          <w:szCs w:val="22"/>
        </w:rPr>
        <w:t>.</w:t>
      </w:r>
    </w:p>
    <w:p w14:paraId="6C905892" w14:textId="77777777" w:rsidR="00C04CAD" w:rsidRDefault="00C04CAD">
      <w:pPr>
        <w:autoSpaceDE w:val="0"/>
        <w:autoSpaceDN w:val="0"/>
        <w:adjustRightInd w:val="0"/>
        <w:spacing w:line="240" w:lineRule="auto"/>
        <w:rPr>
          <w:b/>
          <w:szCs w:val="22"/>
        </w:rPr>
      </w:pPr>
    </w:p>
    <w:p w14:paraId="78A2C768" w14:textId="77777777" w:rsidR="00C04CAD" w:rsidRDefault="00060E34">
      <w:pPr>
        <w:autoSpaceDE w:val="0"/>
        <w:autoSpaceDN w:val="0"/>
        <w:adjustRightInd w:val="0"/>
        <w:spacing w:line="240" w:lineRule="auto"/>
        <w:rPr>
          <w:b/>
          <w:spacing w:val="-3"/>
        </w:rPr>
      </w:pPr>
      <w:r>
        <w:rPr>
          <w:b/>
          <w:bCs/>
          <w:spacing w:val="-1"/>
        </w:rPr>
        <w:t>T</w:t>
      </w:r>
      <w:r>
        <w:rPr>
          <w:b/>
          <w:bCs/>
        </w:rPr>
        <w:t>a</w:t>
      </w:r>
      <w:r>
        <w:rPr>
          <w:b/>
          <w:bCs/>
          <w:spacing w:val="-1"/>
        </w:rPr>
        <w:t>b</w:t>
      </w:r>
      <w:r>
        <w:rPr>
          <w:b/>
          <w:bCs/>
        </w:rPr>
        <w:t>el</w:t>
      </w:r>
      <w:r>
        <w:rPr>
          <w:b/>
          <w:bCs/>
          <w:spacing w:val="-3"/>
          <w:szCs w:val="22"/>
        </w:rPr>
        <w:t>u</w:t>
      </w:r>
      <w:r>
        <w:rPr>
          <w:b/>
          <w:bCs/>
          <w:szCs w:val="22"/>
        </w:rPr>
        <w:t>l</w:t>
      </w:r>
      <w:r>
        <w:rPr>
          <w:b/>
          <w:bCs/>
          <w:spacing w:val="1"/>
        </w:rPr>
        <w:t xml:space="preserve"> </w:t>
      </w:r>
      <w:r>
        <w:rPr>
          <w:b/>
          <w:bCs/>
        </w:rPr>
        <w:t xml:space="preserve">23. </w:t>
      </w:r>
      <w:r>
        <w:rPr>
          <w:b/>
          <w:bCs/>
          <w:spacing w:val="-2"/>
        </w:rPr>
        <w:t>R</w:t>
      </w:r>
      <w:r>
        <w:rPr>
          <w:b/>
          <w:bCs/>
        </w:rPr>
        <w:t>ăs</w:t>
      </w:r>
      <w:r>
        <w:rPr>
          <w:b/>
          <w:bCs/>
          <w:spacing w:val="-1"/>
        </w:rPr>
        <w:t>pun</w:t>
      </w:r>
      <w:r>
        <w:rPr>
          <w:b/>
          <w:bCs/>
        </w:rPr>
        <w:t xml:space="preserve">s, </w:t>
      </w:r>
      <w:r>
        <w:rPr>
          <w:b/>
          <w:bCs/>
          <w:spacing w:val="-1"/>
        </w:rPr>
        <w:t>r</w:t>
      </w:r>
      <w:r>
        <w:rPr>
          <w:b/>
          <w:bCs/>
          <w:spacing w:val="-3"/>
          <w:szCs w:val="22"/>
        </w:rPr>
        <w:t>e</w:t>
      </w:r>
      <w:r>
        <w:rPr>
          <w:b/>
          <w:bCs/>
          <w:szCs w:val="22"/>
        </w:rPr>
        <w:t>m</w:t>
      </w:r>
      <w:r>
        <w:rPr>
          <w:b/>
          <w:bCs/>
          <w:spacing w:val="-2"/>
          <w:szCs w:val="22"/>
        </w:rPr>
        <w:t>i</w:t>
      </w:r>
      <w:r>
        <w:rPr>
          <w:b/>
          <w:bCs/>
          <w:szCs w:val="22"/>
        </w:rPr>
        <w:t>s</w:t>
      </w:r>
      <w:r>
        <w:rPr>
          <w:b/>
          <w:bCs/>
          <w:spacing w:val="1"/>
          <w:szCs w:val="22"/>
        </w:rPr>
        <w:t>i</w:t>
      </w:r>
      <w:r>
        <w:rPr>
          <w:b/>
          <w:bCs/>
          <w:szCs w:val="22"/>
        </w:rPr>
        <w:t>e</w:t>
      </w:r>
      <w:r>
        <w:rPr>
          <w:b/>
          <w:spacing w:val="-2"/>
        </w:rPr>
        <w:t xml:space="preserve"> </w:t>
      </w:r>
      <w:r>
        <w:rPr>
          <w:b/>
        </w:rPr>
        <w:t>şi</w:t>
      </w:r>
      <w:r>
        <w:rPr>
          <w:b/>
          <w:spacing w:val="1"/>
        </w:rPr>
        <w:t xml:space="preserve"> </w:t>
      </w:r>
      <w:r>
        <w:rPr>
          <w:b/>
          <w:bCs/>
          <w:spacing w:val="-4"/>
        </w:rPr>
        <w:t>v</w:t>
      </w:r>
      <w:r>
        <w:rPr>
          <w:b/>
          <w:spacing w:val="1"/>
          <w:szCs w:val="22"/>
        </w:rPr>
        <w:t>i</w:t>
      </w:r>
      <w:r>
        <w:rPr>
          <w:b/>
          <w:spacing w:val="-1"/>
          <w:szCs w:val="22"/>
        </w:rPr>
        <w:t>n</w:t>
      </w:r>
      <w:r>
        <w:rPr>
          <w:b/>
          <w:spacing w:val="-3"/>
          <w:szCs w:val="22"/>
        </w:rPr>
        <w:t>d</w:t>
      </w:r>
      <w:r>
        <w:rPr>
          <w:b/>
          <w:szCs w:val="22"/>
        </w:rPr>
        <w:t>ecar</w:t>
      </w:r>
      <w:r>
        <w:rPr>
          <w:b/>
          <w:spacing w:val="-3"/>
          <w:szCs w:val="22"/>
        </w:rPr>
        <w:t>e</w:t>
      </w:r>
      <w:r>
        <w:rPr>
          <w:b/>
          <w:szCs w:val="22"/>
        </w:rPr>
        <w:t>a</w:t>
      </w:r>
      <w:r>
        <w:rPr>
          <w:b/>
        </w:rPr>
        <w:t xml:space="preserve"> m</w:t>
      </w:r>
      <w:r>
        <w:rPr>
          <w:b/>
          <w:spacing w:val="-3"/>
        </w:rPr>
        <w:t>u</w:t>
      </w:r>
      <w:r>
        <w:rPr>
          <w:b/>
        </w:rPr>
        <w:t>coa</w:t>
      </w:r>
      <w:r>
        <w:rPr>
          <w:b/>
          <w:spacing w:val="-2"/>
        </w:rPr>
        <w:t>s</w:t>
      </w:r>
      <w:r>
        <w:rPr>
          <w:b/>
        </w:rPr>
        <w:t>ei</w:t>
      </w:r>
      <w:r>
        <w:rPr>
          <w:b/>
          <w:spacing w:val="-2"/>
        </w:rPr>
        <w:t xml:space="preserve"> </w:t>
      </w:r>
      <w:r>
        <w:rPr>
          <w:b/>
          <w:spacing w:val="1"/>
        </w:rPr>
        <w:t>î</w:t>
      </w:r>
      <w:r>
        <w:rPr>
          <w:b/>
        </w:rPr>
        <w:t>n</w:t>
      </w:r>
      <w:r>
        <w:rPr>
          <w:b/>
          <w:spacing w:val="-1"/>
        </w:rPr>
        <w:t xml:space="preserve"> S</w:t>
      </w:r>
      <w:r>
        <w:rPr>
          <w:b/>
        </w:rPr>
        <w:t>t</w:t>
      </w:r>
      <w:r>
        <w:rPr>
          <w:b/>
          <w:spacing w:val="-1"/>
        </w:rPr>
        <w:t>u</w:t>
      </w:r>
      <w:r>
        <w:rPr>
          <w:b/>
          <w:spacing w:val="-3"/>
        </w:rPr>
        <w:t>d</w:t>
      </w:r>
      <w:r>
        <w:rPr>
          <w:b/>
          <w:spacing w:val="1"/>
        </w:rPr>
        <w:t>i</w:t>
      </w:r>
      <w:r>
        <w:rPr>
          <w:b/>
          <w:spacing w:val="-3"/>
        </w:rPr>
        <w:t>u</w:t>
      </w:r>
      <w:r>
        <w:rPr>
          <w:b/>
        </w:rPr>
        <w:t>l</w:t>
      </w:r>
      <w:r>
        <w:rPr>
          <w:b/>
          <w:spacing w:val="1"/>
        </w:rPr>
        <w:t xml:space="preserve"> </w:t>
      </w:r>
      <w:r>
        <w:rPr>
          <w:b/>
          <w:spacing w:val="-1"/>
        </w:rPr>
        <w:t>UC</w:t>
      </w:r>
      <w:r>
        <w:rPr>
          <w:b/>
        </w:rPr>
        <w:t>-II (</w:t>
      </w:r>
      <w:r>
        <w:rPr>
          <w:b/>
          <w:spacing w:val="-1"/>
        </w:rPr>
        <w:t>p</w:t>
      </w:r>
      <w:r>
        <w:rPr>
          <w:b/>
        </w:rPr>
        <w:t>ro</w:t>
      </w:r>
      <w:r>
        <w:rPr>
          <w:b/>
          <w:spacing w:val="-3"/>
        </w:rPr>
        <w:t>c</w:t>
      </w:r>
      <w:r>
        <w:rPr>
          <w:b/>
        </w:rPr>
        <w:t>e</w:t>
      </w:r>
      <w:r>
        <w:rPr>
          <w:b/>
          <w:spacing w:val="-1"/>
        </w:rPr>
        <w:t>n</w:t>
      </w:r>
      <w:r>
        <w:rPr>
          <w:b/>
        </w:rPr>
        <w:t>t</w:t>
      </w:r>
      <w:r>
        <w:rPr>
          <w:b/>
          <w:spacing w:val="-3"/>
        </w:rPr>
        <w:t>u</w:t>
      </w:r>
      <w:r>
        <w:rPr>
          <w:b/>
        </w:rPr>
        <w:t>l</w:t>
      </w:r>
      <w:r>
        <w:rPr>
          <w:b/>
          <w:spacing w:val="1"/>
        </w:rPr>
        <w:t xml:space="preserve"> </w:t>
      </w:r>
      <w:r>
        <w:rPr>
          <w:b/>
          <w:spacing w:val="-1"/>
        </w:rPr>
        <w:t>p</w:t>
      </w:r>
      <w:r>
        <w:rPr>
          <w:b/>
        </w:rPr>
        <w:t>a</w:t>
      </w:r>
      <w:r>
        <w:rPr>
          <w:b/>
          <w:spacing w:val="-3"/>
        </w:rPr>
        <w:t>c</w:t>
      </w:r>
      <w:r>
        <w:rPr>
          <w:b/>
          <w:spacing w:val="1"/>
        </w:rPr>
        <w:t>i</w:t>
      </w:r>
      <w:r>
        <w:rPr>
          <w:b/>
        </w:rPr>
        <w:t>e</w:t>
      </w:r>
      <w:r>
        <w:rPr>
          <w:b/>
          <w:spacing w:val="-1"/>
        </w:rPr>
        <w:t>n</w:t>
      </w:r>
      <w:r>
        <w:rPr>
          <w:b/>
          <w:spacing w:val="-2"/>
        </w:rPr>
        <w:t>ţ</w:t>
      </w:r>
      <w:r>
        <w:rPr>
          <w:b/>
          <w:spacing w:val="1"/>
        </w:rPr>
        <w:t>i</w:t>
      </w:r>
      <w:r>
        <w:rPr>
          <w:b/>
          <w:spacing w:val="-2"/>
        </w:rPr>
        <w:t>l</w:t>
      </w:r>
      <w:r>
        <w:rPr>
          <w:b/>
        </w:rPr>
        <w:t>or)</w:t>
      </w:r>
    </w:p>
    <w:p w14:paraId="17C8D00D" w14:textId="77777777" w:rsidR="00C04CAD" w:rsidRDefault="00C04CAD">
      <w:pPr>
        <w:autoSpaceDE w:val="0"/>
        <w:autoSpaceDN w:val="0"/>
        <w:adjustRightInd w:val="0"/>
        <w:spacing w:line="240" w:lineRule="auto"/>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1567"/>
        <w:gridCol w:w="2277"/>
      </w:tblGrid>
      <w:tr w:rsidR="00C04CAD" w14:paraId="6B2F14D0" w14:textId="77777777">
        <w:trPr>
          <w:cantSplit/>
          <w:trHeight w:val="607"/>
          <w:tblHeader/>
        </w:trPr>
        <w:tc>
          <w:tcPr>
            <w:tcW w:w="2854" w:type="pct"/>
          </w:tcPr>
          <w:p w14:paraId="0DE25286" w14:textId="77777777" w:rsidR="00C04CAD" w:rsidRDefault="00C04CAD">
            <w:pPr>
              <w:tabs>
                <w:tab w:val="clear" w:pos="567"/>
              </w:tabs>
              <w:autoSpaceDE w:val="0"/>
              <w:autoSpaceDN w:val="0"/>
              <w:adjustRightInd w:val="0"/>
              <w:spacing w:line="240" w:lineRule="auto"/>
            </w:pPr>
          </w:p>
        </w:tc>
        <w:tc>
          <w:tcPr>
            <w:tcW w:w="875" w:type="pct"/>
          </w:tcPr>
          <w:p w14:paraId="3E84A350" w14:textId="77777777" w:rsidR="00C04CAD" w:rsidRDefault="00060E34">
            <w:pPr>
              <w:tabs>
                <w:tab w:val="clear" w:pos="567"/>
              </w:tabs>
              <w:autoSpaceDE w:val="0"/>
              <w:autoSpaceDN w:val="0"/>
              <w:adjustRightInd w:val="0"/>
              <w:spacing w:line="240" w:lineRule="auto"/>
              <w:jc w:val="center"/>
            </w:pPr>
            <w:r>
              <w:rPr>
                <w:b/>
                <w:spacing w:val="1"/>
              </w:rPr>
              <w:t>Pl</w:t>
            </w:r>
            <w:r>
              <w:rPr>
                <w:b/>
              </w:rPr>
              <w:t>ace</w:t>
            </w:r>
            <w:r>
              <w:rPr>
                <w:b/>
                <w:spacing w:val="-1"/>
              </w:rPr>
              <w:t>b</w:t>
            </w:r>
            <w:r>
              <w:rPr>
                <w:b/>
              </w:rPr>
              <w:t>o</w:t>
            </w:r>
          </w:p>
        </w:tc>
        <w:tc>
          <w:tcPr>
            <w:tcW w:w="1271" w:type="pct"/>
          </w:tcPr>
          <w:p w14:paraId="017A1C97" w14:textId="77777777" w:rsidR="00C04CAD" w:rsidRDefault="00060E34">
            <w:pPr>
              <w:tabs>
                <w:tab w:val="clear" w:pos="567"/>
                <w:tab w:val="left" w:pos="6840"/>
              </w:tabs>
              <w:kinsoku w:val="0"/>
              <w:overflowPunct w:val="0"/>
              <w:autoSpaceDE w:val="0"/>
              <w:autoSpaceDN w:val="0"/>
              <w:adjustRightInd w:val="0"/>
              <w:spacing w:line="240" w:lineRule="auto"/>
              <w:jc w:val="center"/>
              <w:rPr>
                <w:b/>
                <w:bCs/>
              </w:rPr>
            </w:pPr>
            <w:r>
              <w:rPr>
                <w:rFonts w:eastAsia="MS Mincho"/>
                <w:b/>
                <w:spacing w:val="-1"/>
                <w:szCs w:val="22"/>
                <w:lang w:eastAsia="en-US" w:bidi="ar-SA"/>
              </w:rPr>
              <w:t>Adalimumab</w:t>
            </w:r>
            <w:r>
              <w:rPr>
                <w:b/>
                <w:bCs/>
                <w:spacing w:val="-3"/>
              </w:rPr>
              <w:t xml:space="preserve"> </w:t>
            </w:r>
            <w:r>
              <w:rPr>
                <w:b/>
                <w:bCs/>
              </w:rPr>
              <w:t xml:space="preserve">40 </w:t>
            </w:r>
            <w:r>
              <w:rPr>
                <w:b/>
                <w:bCs/>
                <w:spacing w:val="-2"/>
              </w:rPr>
              <w:t>m</w:t>
            </w:r>
            <w:r>
              <w:rPr>
                <w:b/>
                <w:bCs/>
              </w:rPr>
              <w:t>g</w:t>
            </w:r>
          </w:p>
          <w:p w14:paraId="44A78F3E" w14:textId="77777777" w:rsidR="00C04CAD" w:rsidRDefault="00060E34">
            <w:pPr>
              <w:tabs>
                <w:tab w:val="clear" w:pos="567"/>
                <w:tab w:val="left" w:pos="6840"/>
              </w:tabs>
              <w:kinsoku w:val="0"/>
              <w:overflowPunct w:val="0"/>
              <w:autoSpaceDE w:val="0"/>
              <w:autoSpaceDN w:val="0"/>
              <w:adjustRightInd w:val="0"/>
              <w:spacing w:line="240" w:lineRule="auto"/>
              <w:jc w:val="center"/>
              <w:rPr>
                <w:sz w:val="24"/>
              </w:rPr>
            </w:pPr>
            <w:r>
              <w:rPr>
                <w:b/>
                <w:bCs/>
                <w:spacing w:val="1"/>
              </w:rPr>
              <w:t>l</w:t>
            </w:r>
            <w:r>
              <w:rPr>
                <w:b/>
                <w:bCs/>
              </w:rPr>
              <w:t xml:space="preserve">a </w:t>
            </w:r>
            <w:r>
              <w:rPr>
                <w:b/>
                <w:bCs/>
                <w:spacing w:val="-1"/>
              </w:rPr>
              <w:t>d</w:t>
            </w:r>
            <w:r>
              <w:rPr>
                <w:b/>
                <w:bCs/>
              </w:rPr>
              <w:t>o</w:t>
            </w:r>
            <w:r>
              <w:rPr>
                <w:b/>
                <w:bCs/>
                <w:spacing w:val="-1"/>
              </w:rPr>
              <w:t>u</w:t>
            </w:r>
            <w:r>
              <w:rPr>
                <w:b/>
                <w:bCs/>
              </w:rPr>
              <w:t>ă</w:t>
            </w:r>
            <w:r>
              <w:rPr>
                <w:b/>
                <w:bCs/>
                <w:spacing w:val="-3"/>
              </w:rPr>
              <w:t xml:space="preserve"> </w:t>
            </w:r>
            <w:r>
              <w:rPr>
                <w:b/>
                <w:bCs/>
              </w:rPr>
              <w:t>să</w:t>
            </w:r>
            <w:r>
              <w:rPr>
                <w:b/>
                <w:bCs/>
                <w:spacing w:val="-1"/>
              </w:rPr>
              <w:t>p</w:t>
            </w:r>
            <w:r>
              <w:rPr>
                <w:b/>
                <w:bCs/>
              </w:rPr>
              <w:t>t</w:t>
            </w:r>
            <w:r>
              <w:rPr>
                <w:b/>
                <w:bCs/>
                <w:spacing w:val="-3"/>
              </w:rPr>
              <w:t>ă</w:t>
            </w:r>
            <w:r>
              <w:rPr>
                <w:b/>
                <w:bCs/>
              </w:rPr>
              <w:t>mâ</w:t>
            </w:r>
            <w:r>
              <w:rPr>
                <w:b/>
                <w:bCs/>
                <w:spacing w:val="-3"/>
              </w:rPr>
              <w:t>n</w:t>
            </w:r>
            <w:r>
              <w:rPr>
                <w:b/>
                <w:bCs/>
              </w:rPr>
              <w:t>i</w:t>
            </w:r>
          </w:p>
        </w:tc>
      </w:tr>
      <w:tr w:rsidR="00C04CAD" w14:paraId="6BD28AFD" w14:textId="77777777">
        <w:tc>
          <w:tcPr>
            <w:tcW w:w="2854" w:type="pct"/>
          </w:tcPr>
          <w:p w14:paraId="083E6C52" w14:textId="77777777" w:rsidR="00C04CAD" w:rsidRDefault="00060E34">
            <w:pPr>
              <w:tabs>
                <w:tab w:val="clear" w:pos="567"/>
              </w:tabs>
              <w:autoSpaceDE w:val="0"/>
              <w:autoSpaceDN w:val="0"/>
              <w:adjustRightInd w:val="0"/>
              <w:spacing w:line="240" w:lineRule="auto"/>
            </w:pPr>
            <w:r>
              <w:rPr>
                <w:spacing w:val="-1"/>
              </w:rPr>
              <w:t>S</w:t>
            </w:r>
            <w:r>
              <w:t>ăp</w:t>
            </w:r>
            <w:r>
              <w:rPr>
                <w:spacing w:val="1"/>
              </w:rPr>
              <w:t>t</w:t>
            </w:r>
            <w:r>
              <w:t>ă</w:t>
            </w:r>
            <w:r>
              <w:rPr>
                <w:spacing w:val="-4"/>
              </w:rPr>
              <w:t>m</w:t>
            </w:r>
            <w:r>
              <w:t>âna 52</w:t>
            </w:r>
          </w:p>
        </w:tc>
        <w:tc>
          <w:tcPr>
            <w:tcW w:w="875" w:type="pct"/>
          </w:tcPr>
          <w:p w14:paraId="5DCE49E6" w14:textId="77777777" w:rsidR="00C04CAD" w:rsidRDefault="00060E34">
            <w:pPr>
              <w:tabs>
                <w:tab w:val="clear" w:pos="567"/>
              </w:tabs>
              <w:autoSpaceDE w:val="0"/>
              <w:autoSpaceDN w:val="0"/>
              <w:adjustRightInd w:val="0"/>
              <w:spacing w:line="240" w:lineRule="auto"/>
              <w:jc w:val="center"/>
            </w:pPr>
            <w:r>
              <w:rPr>
                <w:b/>
                <w:bCs/>
                <w:spacing w:val="-2"/>
              </w:rPr>
              <w:t>N=</w:t>
            </w:r>
            <w:r>
              <w:rPr>
                <w:b/>
                <w:bCs/>
              </w:rPr>
              <w:t>246</w:t>
            </w:r>
          </w:p>
        </w:tc>
        <w:tc>
          <w:tcPr>
            <w:tcW w:w="1271" w:type="pct"/>
          </w:tcPr>
          <w:p w14:paraId="4DF5DAAA" w14:textId="77777777" w:rsidR="00C04CAD" w:rsidRDefault="00060E34">
            <w:pPr>
              <w:tabs>
                <w:tab w:val="clear" w:pos="567"/>
              </w:tabs>
              <w:autoSpaceDE w:val="0"/>
              <w:autoSpaceDN w:val="0"/>
              <w:adjustRightInd w:val="0"/>
              <w:spacing w:line="240" w:lineRule="auto"/>
              <w:jc w:val="center"/>
            </w:pPr>
            <w:r>
              <w:rPr>
                <w:b/>
                <w:spacing w:val="-2"/>
              </w:rPr>
              <w:t>N=</w:t>
            </w:r>
            <w:r>
              <w:rPr>
                <w:b/>
              </w:rPr>
              <w:t>248</w:t>
            </w:r>
          </w:p>
        </w:tc>
      </w:tr>
      <w:tr w:rsidR="00C04CAD" w14:paraId="6C5D55F4" w14:textId="77777777">
        <w:tc>
          <w:tcPr>
            <w:tcW w:w="2854" w:type="pct"/>
          </w:tcPr>
          <w:p w14:paraId="072B06F2" w14:textId="77777777" w:rsidR="00C04CAD" w:rsidRDefault="00060E34">
            <w:pPr>
              <w:tabs>
                <w:tab w:val="clear" w:pos="567"/>
              </w:tabs>
              <w:autoSpaceDE w:val="0"/>
              <w:autoSpaceDN w:val="0"/>
              <w:adjustRightInd w:val="0"/>
              <w:spacing w:line="240" w:lineRule="auto"/>
              <w:ind w:left="113"/>
            </w:pPr>
            <w:r>
              <w:rPr>
                <w:spacing w:val="-1"/>
              </w:rPr>
              <w:t>R</w:t>
            </w:r>
            <w:r>
              <w:t>ăspuns</w:t>
            </w:r>
            <w:r>
              <w:rPr>
                <w:spacing w:val="-2"/>
              </w:rPr>
              <w:t xml:space="preserve"> </w:t>
            </w:r>
            <w:r>
              <w:t>c</w:t>
            </w:r>
            <w:r>
              <w:rPr>
                <w:spacing w:val="-2"/>
              </w:rPr>
              <w:t>l</w:t>
            </w:r>
            <w:r>
              <w:rPr>
                <w:spacing w:val="1"/>
              </w:rPr>
              <w:t>i</w:t>
            </w:r>
            <w:r>
              <w:rPr>
                <w:spacing w:val="-3"/>
              </w:rPr>
              <w:t>n</w:t>
            </w:r>
            <w:r>
              <w:rPr>
                <w:spacing w:val="1"/>
              </w:rPr>
              <w:t>i</w:t>
            </w:r>
            <w:r>
              <w:t>c</w:t>
            </w:r>
          </w:p>
        </w:tc>
        <w:tc>
          <w:tcPr>
            <w:tcW w:w="875" w:type="pct"/>
          </w:tcPr>
          <w:p w14:paraId="18B62F48" w14:textId="77777777" w:rsidR="00C04CAD" w:rsidRDefault="00060E34">
            <w:pPr>
              <w:tabs>
                <w:tab w:val="clear" w:pos="567"/>
              </w:tabs>
              <w:autoSpaceDE w:val="0"/>
              <w:autoSpaceDN w:val="0"/>
              <w:adjustRightInd w:val="0"/>
              <w:spacing w:line="240" w:lineRule="auto"/>
              <w:jc w:val="center"/>
            </w:pPr>
            <w:r>
              <w:t>18%</w:t>
            </w:r>
          </w:p>
        </w:tc>
        <w:tc>
          <w:tcPr>
            <w:tcW w:w="1271" w:type="pct"/>
          </w:tcPr>
          <w:p w14:paraId="2040ADEE" w14:textId="77777777" w:rsidR="00C04CAD" w:rsidRDefault="00060E34">
            <w:pPr>
              <w:tabs>
                <w:tab w:val="clear" w:pos="567"/>
              </w:tabs>
              <w:autoSpaceDE w:val="0"/>
              <w:autoSpaceDN w:val="0"/>
              <w:adjustRightInd w:val="0"/>
              <w:spacing w:line="240" w:lineRule="auto"/>
              <w:jc w:val="center"/>
            </w:pPr>
            <w:r>
              <w:t>30%*</w:t>
            </w:r>
          </w:p>
        </w:tc>
      </w:tr>
      <w:tr w:rsidR="00C04CAD" w14:paraId="27A50367" w14:textId="77777777">
        <w:tc>
          <w:tcPr>
            <w:tcW w:w="2854" w:type="pct"/>
          </w:tcPr>
          <w:p w14:paraId="53B77151" w14:textId="77777777" w:rsidR="00C04CAD" w:rsidRDefault="00060E34">
            <w:pPr>
              <w:tabs>
                <w:tab w:val="clear" w:pos="567"/>
              </w:tabs>
              <w:autoSpaceDE w:val="0"/>
              <w:autoSpaceDN w:val="0"/>
              <w:adjustRightInd w:val="0"/>
              <w:spacing w:line="240" w:lineRule="auto"/>
              <w:ind w:left="113"/>
              <w:rPr>
                <w:spacing w:val="-1"/>
              </w:rPr>
            </w:pPr>
            <w:r>
              <w:rPr>
                <w:spacing w:val="-1"/>
              </w:rPr>
              <w:t>Remisie clinică</w:t>
            </w:r>
          </w:p>
        </w:tc>
        <w:tc>
          <w:tcPr>
            <w:tcW w:w="875" w:type="pct"/>
          </w:tcPr>
          <w:p w14:paraId="3F831E0C" w14:textId="77777777" w:rsidR="00C04CAD" w:rsidRDefault="00060E34">
            <w:pPr>
              <w:tabs>
                <w:tab w:val="clear" w:pos="567"/>
              </w:tabs>
              <w:autoSpaceDE w:val="0"/>
              <w:autoSpaceDN w:val="0"/>
              <w:adjustRightInd w:val="0"/>
              <w:spacing w:line="240" w:lineRule="auto"/>
              <w:jc w:val="center"/>
            </w:pPr>
            <w:r>
              <w:t>9%</w:t>
            </w:r>
          </w:p>
        </w:tc>
        <w:tc>
          <w:tcPr>
            <w:tcW w:w="1271" w:type="pct"/>
          </w:tcPr>
          <w:p w14:paraId="2424823C" w14:textId="77777777" w:rsidR="00C04CAD" w:rsidRDefault="00060E34">
            <w:pPr>
              <w:tabs>
                <w:tab w:val="clear" w:pos="567"/>
              </w:tabs>
              <w:autoSpaceDE w:val="0"/>
              <w:autoSpaceDN w:val="0"/>
              <w:adjustRightInd w:val="0"/>
              <w:spacing w:line="240" w:lineRule="auto"/>
              <w:jc w:val="center"/>
            </w:pPr>
            <w:r>
              <w:t>17%*</w:t>
            </w:r>
          </w:p>
        </w:tc>
      </w:tr>
      <w:tr w:rsidR="00C04CAD" w14:paraId="4AB07D20" w14:textId="77777777">
        <w:trPr>
          <w:trHeight w:val="106"/>
        </w:trPr>
        <w:tc>
          <w:tcPr>
            <w:tcW w:w="2854" w:type="pct"/>
            <w:tcBorders>
              <w:bottom w:val="single" w:sz="4" w:space="0" w:color="auto"/>
            </w:tcBorders>
          </w:tcPr>
          <w:p w14:paraId="00804476" w14:textId="77777777" w:rsidR="00C04CAD" w:rsidRDefault="00060E34">
            <w:pPr>
              <w:tabs>
                <w:tab w:val="clear" w:pos="567"/>
              </w:tabs>
              <w:autoSpaceDE w:val="0"/>
              <w:autoSpaceDN w:val="0"/>
              <w:adjustRightInd w:val="0"/>
              <w:spacing w:line="240" w:lineRule="auto"/>
              <w:ind w:left="113"/>
              <w:rPr>
                <w:spacing w:val="-1"/>
              </w:rPr>
            </w:pPr>
            <w:r>
              <w:rPr>
                <w:spacing w:val="-1"/>
              </w:rPr>
              <w:t>Vindecarea mucoasei</w:t>
            </w:r>
          </w:p>
        </w:tc>
        <w:tc>
          <w:tcPr>
            <w:tcW w:w="875" w:type="pct"/>
            <w:tcBorders>
              <w:bottom w:val="single" w:sz="4" w:space="0" w:color="auto"/>
            </w:tcBorders>
          </w:tcPr>
          <w:p w14:paraId="53CF25A1" w14:textId="77777777" w:rsidR="00C04CAD" w:rsidRDefault="00060E34">
            <w:pPr>
              <w:tabs>
                <w:tab w:val="clear" w:pos="567"/>
              </w:tabs>
              <w:autoSpaceDE w:val="0"/>
              <w:autoSpaceDN w:val="0"/>
              <w:adjustRightInd w:val="0"/>
              <w:spacing w:line="240" w:lineRule="auto"/>
              <w:jc w:val="center"/>
            </w:pPr>
            <w:r>
              <w:t>15%</w:t>
            </w:r>
          </w:p>
        </w:tc>
        <w:tc>
          <w:tcPr>
            <w:tcW w:w="1271" w:type="pct"/>
            <w:tcBorders>
              <w:bottom w:val="single" w:sz="4" w:space="0" w:color="auto"/>
            </w:tcBorders>
          </w:tcPr>
          <w:p w14:paraId="4CE36542" w14:textId="77777777" w:rsidR="00C04CAD" w:rsidRDefault="00060E34">
            <w:pPr>
              <w:tabs>
                <w:tab w:val="clear" w:pos="567"/>
              </w:tabs>
              <w:autoSpaceDE w:val="0"/>
              <w:autoSpaceDN w:val="0"/>
              <w:adjustRightInd w:val="0"/>
              <w:spacing w:line="240" w:lineRule="auto"/>
              <w:jc w:val="center"/>
            </w:pPr>
            <w:r>
              <w:t>25%*</w:t>
            </w:r>
          </w:p>
        </w:tc>
      </w:tr>
      <w:tr w:rsidR="00C04CAD" w14:paraId="63958DCE" w14:textId="77777777">
        <w:trPr>
          <w:trHeight w:val="100"/>
        </w:trPr>
        <w:tc>
          <w:tcPr>
            <w:tcW w:w="2854" w:type="pct"/>
            <w:tcBorders>
              <w:bottom w:val="nil"/>
            </w:tcBorders>
            <w:vAlign w:val="center"/>
          </w:tcPr>
          <w:p w14:paraId="6FBD20E5" w14:textId="77777777" w:rsidR="00C04CAD" w:rsidRDefault="00060E34">
            <w:pPr>
              <w:tabs>
                <w:tab w:val="clear" w:pos="567"/>
              </w:tabs>
              <w:autoSpaceDE w:val="0"/>
              <w:autoSpaceDN w:val="0"/>
              <w:adjustRightInd w:val="0"/>
              <w:spacing w:line="240" w:lineRule="auto"/>
              <w:ind w:left="113"/>
            </w:pPr>
            <w:r>
              <w:rPr>
                <w:spacing w:val="1"/>
              </w:rPr>
              <w:t xml:space="preserve">Remisie fără steroizi pentru ≥ 90 </w:t>
            </w:r>
            <w:r>
              <w:t xml:space="preserve">zile </w:t>
            </w:r>
            <w:r>
              <w:rPr>
                <w:vertAlign w:val="superscript"/>
              </w:rPr>
              <w:t>a</w:t>
            </w:r>
          </w:p>
        </w:tc>
        <w:tc>
          <w:tcPr>
            <w:tcW w:w="875" w:type="pct"/>
            <w:tcBorders>
              <w:bottom w:val="nil"/>
            </w:tcBorders>
          </w:tcPr>
          <w:p w14:paraId="45A3DD17" w14:textId="77777777" w:rsidR="00C04CAD" w:rsidRDefault="00060E34">
            <w:pPr>
              <w:tabs>
                <w:tab w:val="clear" w:pos="567"/>
              </w:tabs>
              <w:autoSpaceDE w:val="0"/>
              <w:autoSpaceDN w:val="0"/>
              <w:adjustRightInd w:val="0"/>
              <w:spacing w:line="240" w:lineRule="auto"/>
              <w:jc w:val="center"/>
            </w:pPr>
            <w:r>
              <w:t>6%</w:t>
            </w:r>
          </w:p>
        </w:tc>
        <w:tc>
          <w:tcPr>
            <w:tcW w:w="1271" w:type="pct"/>
            <w:tcBorders>
              <w:bottom w:val="nil"/>
            </w:tcBorders>
          </w:tcPr>
          <w:p w14:paraId="3A658469" w14:textId="77777777" w:rsidR="00C04CAD" w:rsidRDefault="00060E34">
            <w:pPr>
              <w:tabs>
                <w:tab w:val="clear" w:pos="567"/>
              </w:tabs>
              <w:autoSpaceDE w:val="0"/>
              <w:autoSpaceDN w:val="0"/>
              <w:adjustRightInd w:val="0"/>
              <w:spacing w:line="240" w:lineRule="auto"/>
              <w:jc w:val="center"/>
            </w:pPr>
            <w:r>
              <w:t>13%*</w:t>
            </w:r>
          </w:p>
        </w:tc>
      </w:tr>
      <w:tr w:rsidR="00C04CAD" w14:paraId="47794140" w14:textId="77777777">
        <w:tc>
          <w:tcPr>
            <w:tcW w:w="2854" w:type="pct"/>
            <w:tcBorders>
              <w:top w:val="nil"/>
            </w:tcBorders>
          </w:tcPr>
          <w:p w14:paraId="7B6DF39F" w14:textId="77777777" w:rsidR="00C04CAD" w:rsidRDefault="00C04CAD">
            <w:pPr>
              <w:tabs>
                <w:tab w:val="clear" w:pos="567"/>
              </w:tabs>
              <w:autoSpaceDE w:val="0"/>
              <w:autoSpaceDN w:val="0"/>
              <w:adjustRightInd w:val="0"/>
              <w:spacing w:line="240" w:lineRule="auto"/>
              <w:rPr>
                <w:spacing w:val="-1"/>
              </w:rPr>
            </w:pPr>
          </w:p>
        </w:tc>
        <w:tc>
          <w:tcPr>
            <w:tcW w:w="875" w:type="pct"/>
            <w:tcBorders>
              <w:top w:val="nil"/>
            </w:tcBorders>
          </w:tcPr>
          <w:p w14:paraId="44280828" w14:textId="77777777" w:rsidR="00C04CAD" w:rsidRDefault="00060E34">
            <w:pPr>
              <w:tabs>
                <w:tab w:val="clear" w:pos="567"/>
              </w:tabs>
              <w:autoSpaceDE w:val="0"/>
              <w:autoSpaceDN w:val="0"/>
              <w:adjustRightInd w:val="0"/>
              <w:spacing w:line="240" w:lineRule="auto"/>
              <w:jc w:val="center"/>
            </w:pPr>
            <w:r>
              <w:t>(</w:t>
            </w:r>
            <w:r>
              <w:rPr>
                <w:spacing w:val="-2"/>
              </w:rPr>
              <w:t>N</w:t>
            </w:r>
            <w:r>
              <w:t>=140)</w:t>
            </w:r>
          </w:p>
        </w:tc>
        <w:tc>
          <w:tcPr>
            <w:tcW w:w="1271" w:type="pct"/>
            <w:tcBorders>
              <w:top w:val="nil"/>
            </w:tcBorders>
          </w:tcPr>
          <w:p w14:paraId="4ECDC7DD" w14:textId="77777777" w:rsidR="00C04CAD" w:rsidRDefault="00060E34">
            <w:pPr>
              <w:tabs>
                <w:tab w:val="clear" w:pos="567"/>
              </w:tabs>
              <w:autoSpaceDE w:val="0"/>
              <w:autoSpaceDN w:val="0"/>
              <w:adjustRightInd w:val="0"/>
              <w:spacing w:line="240" w:lineRule="auto"/>
              <w:jc w:val="center"/>
            </w:pPr>
            <w:r>
              <w:t>(</w:t>
            </w:r>
            <w:r>
              <w:rPr>
                <w:spacing w:val="-2"/>
              </w:rPr>
              <w:t>N</w:t>
            </w:r>
            <w:r>
              <w:t>=150)</w:t>
            </w:r>
          </w:p>
        </w:tc>
      </w:tr>
      <w:tr w:rsidR="00C04CAD" w14:paraId="12A0F39A" w14:textId="77777777">
        <w:tc>
          <w:tcPr>
            <w:tcW w:w="2854" w:type="pct"/>
          </w:tcPr>
          <w:p w14:paraId="11C91788" w14:textId="77777777" w:rsidR="00C04CAD" w:rsidRDefault="00060E34">
            <w:pPr>
              <w:tabs>
                <w:tab w:val="clear" w:pos="567"/>
              </w:tabs>
              <w:kinsoku w:val="0"/>
              <w:overflowPunct w:val="0"/>
              <w:autoSpaceDE w:val="0"/>
              <w:autoSpaceDN w:val="0"/>
              <w:adjustRightInd w:val="0"/>
              <w:spacing w:line="240" w:lineRule="auto"/>
            </w:pPr>
            <w:r>
              <w:rPr>
                <w:spacing w:val="-1"/>
              </w:rPr>
              <w:t>S</w:t>
            </w:r>
            <w:r>
              <w:t>ăp</w:t>
            </w:r>
            <w:r>
              <w:rPr>
                <w:spacing w:val="1"/>
              </w:rPr>
              <w:t>t</w:t>
            </w:r>
            <w:r>
              <w:t>ă</w:t>
            </w:r>
            <w:r>
              <w:rPr>
                <w:spacing w:val="-4"/>
              </w:rPr>
              <w:t>m</w:t>
            </w:r>
            <w:r>
              <w:t xml:space="preserve">âna 8 </w:t>
            </w:r>
            <w:r>
              <w:rPr>
                <w:spacing w:val="-2"/>
              </w:rPr>
              <w:t>ş</w:t>
            </w:r>
            <w:r>
              <w:t>i</w:t>
            </w:r>
            <w:r>
              <w:rPr>
                <w:spacing w:val="1"/>
              </w:rPr>
              <w:t xml:space="preserve"> </w:t>
            </w:r>
            <w:r>
              <w:t>52</w:t>
            </w:r>
          </w:p>
        </w:tc>
        <w:tc>
          <w:tcPr>
            <w:tcW w:w="875" w:type="pct"/>
          </w:tcPr>
          <w:p w14:paraId="6A9889BB" w14:textId="77777777" w:rsidR="00C04CAD" w:rsidRDefault="00C04CAD">
            <w:pPr>
              <w:tabs>
                <w:tab w:val="clear" w:pos="567"/>
                <w:tab w:val="left" w:pos="3684"/>
                <w:tab w:val="left" w:pos="7961"/>
              </w:tabs>
              <w:kinsoku w:val="0"/>
              <w:overflowPunct w:val="0"/>
              <w:autoSpaceDE w:val="0"/>
              <w:autoSpaceDN w:val="0"/>
              <w:adjustRightInd w:val="0"/>
              <w:spacing w:line="240" w:lineRule="auto"/>
              <w:jc w:val="center"/>
              <w:rPr>
                <w:bCs/>
              </w:rPr>
            </w:pPr>
          </w:p>
        </w:tc>
        <w:tc>
          <w:tcPr>
            <w:tcW w:w="1271" w:type="pct"/>
          </w:tcPr>
          <w:p w14:paraId="78E8B627" w14:textId="77777777" w:rsidR="00C04CAD" w:rsidRDefault="00C04CAD">
            <w:pPr>
              <w:tabs>
                <w:tab w:val="clear" w:pos="567"/>
                <w:tab w:val="left" w:pos="3684"/>
                <w:tab w:val="left" w:pos="7961"/>
              </w:tabs>
              <w:kinsoku w:val="0"/>
              <w:overflowPunct w:val="0"/>
              <w:autoSpaceDE w:val="0"/>
              <w:autoSpaceDN w:val="0"/>
              <w:adjustRightInd w:val="0"/>
              <w:spacing w:line="240" w:lineRule="auto"/>
              <w:jc w:val="center"/>
              <w:rPr>
                <w:bCs/>
              </w:rPr>
            </w:pPr>
          </w:p>
        </w:tc>
      </w:tr>
      <w:tr w:rsidR="00C04CAD" w14:paraId="0D972B03" w14:textId="77777777">
        <w:tc>
          <w:tcPr>
            <w:tcW w:w="2854" w:type="pct"/>
          </w:tcPr>
          <w:p w14:paraId="43AE111E" w14:textId="77777777" w:rsidR="00C04CAD" w:rsidRDefault="00060E34">
            <w:pPr>
              <w:tabs>
                <w:tab w:val="clear" w:pos="567"/>
              </w:tabs>
              <w:autoSpaceDE w:val="0"/>
              <w:autoSpaceDN w:val="0"/>
              <w:adjustRightInd w:val="0"/>
              <w:spacing w:line="240" w:lineRule="auto"/>
              <w:ind w:left="113"/>
              <w:rPr>
                <w:spacing w:val="-1"/>
              </w:rPr>
            </w:pPr>
            <w:r>
              <w:rPr>
                <w:spacing w:val="-1"/>
              </w:rPr>
              <w:t>R</w:t>
            </w:r>
            <w:r>
              <w:t>ăspuns</w:t>
            </w:r>
            <w:r>
              <w:rPr>
                <w:spacing w:val="-2"/>
              </w:rPr>
              <w:t xml:space="preserve"> </w:t>
            </w:r>
            <w:r>
              <w:t>su</w:t>
            </w:r>
            <w:r>
              <w:rPr>
                <w:spacing w:val="-2"/>
              </w:rPr>
              <w:t>s</w:t>
            </w:r>
            <w:r>
              <w:rPr>
                <w:spacing w:val="1"/>
              </w:rPr>
              <w:t>ţ</w:t>
            </w:r>
            <w:r>
              <w:rPr>
                <w:spacing w:val="-2"/>
              </w:rPr>
              <w:t>i</w:t>
            </w:r>
            <w:r>
              <w:t>nut</w:t>
            </w:r>
          </w:p>
        </w:tc>
        <w:tc>
          <w:tcPr>
            <w:tcW w:w="875" w:type="pct"/>
          </w:tcPr>
          <w:p w14:paraId="07D39241" w14:textId="77777777" w:rsidR="00C04CAD" w:rsidRDefault="00060E34">
            <w:pPr>
              <w:tabs>
                <w:tab w:val="clear" w:pos="567"/>
              </w:tabs>
              <w:autoSpaceDE w:val="0"/>
              <w:autoSpaceDN w:val="0"/>
              <w:adjustRightInd w:val="0"/>
              <w:spacing w:line="240" w:lineRule="auto"/>
              <w:jc w:val="center"/>
            </w:pPr>
            <w:r>
              <w:t>12%</w:t>
            </w:r>
          </w:p>
        </w:tc>
        <w:tc>
          <w:tcPr>
            <w:tcW w:w="1271" w:type="pct"/>
          </w:tcPr>
          <w:p w14:paraId="5A9E7FBC" w14:textId="77777777" w:rsidR="00C04CAD" w:rsidRDefault="00060E34">
            <w:pPr>
              <w:tabs>
                <w:tab w:val="clear" w:pos="567"/>
              </w:tabs>
              <w:autoSpaceDE w:val="0"/>
              <w:autoSpaceDN w:val="0"/>
              <w:adjustRightInd w:val="0"/>
              <w:spacing w:line="240" w:lineRule="auto"/>
              <w:jc w:val="center"/>
            </w:pPr>
            <w:r>
              <w:t>24%**</w:t>
            </w:r>
          </w:p>
        </w:tc>
      </w:tr>
      <w:tr w:rsidR="00C04CAD" w14:paraId="2DE4C13D" w14:textId="77777777">
        <w:tc>
          <w:tcPr>
            <w:tcW w:w="2854" w:type="pct"/>
          </w:tcPr>
          <w:p w14:paraId="7B59D226" w14:textId="77777777" w:rsidR="00C04CAD" w:rsidRDefault="00060E34">
            <w:pPr>
              <w:tabs>
                <w:tab w:val="clear" w:pos="567"/>
              </w:tabs>
              <w:autoSpaceDE w:val="0"/>
              <w:autoSpaceDN w:val="0"/>
              <w:adjustRightInd w:val="0"/>
              <w:spacing w:line="240" w:lineRule="auto"/>
              <w:ind w:left="113"/>
              <w:rPr>
                <w:spacing w:val="-1"/>
              </w:rPr>
            </w:pPr>
            <w:r>
              <w:rPr>
                <w:spacing w:val="-1"/>
              </w:rPr>
              <w:t>R</w:t>
            </w:r>
            <w:r>
              <w:t>e</w:t>
            </w:r>
            <w:r>
              <w:rPr>
                <w:spacing w:val="-4"/>
              </w:rPr>
              <w:t>m</w:t>
            </w:r>
            <w:r>
              <w:rPr>
                <w:spacing w:val="1"/>
              </w:rPr>
              <w:t>i</w:t>
            </w:r>
            <w:r>
              <w:t>s</w:t>
            </w:r>
            <w:r>
              <w:rPr>
                <w:spacing w:val="1"/>
              </w:rPr>
              <w:t>i</w:t>
            </w:r>
            <w:r>
              <w:t>e s</w:t>
            </w:r>
            <w:r>
              <w:rPr>
                <w:spacing w:val="-3"/>
              </w:rPr>
              <w:t>u</w:t>
            </w:r>
            <w:r>
              <w:t>s</w:t>
            </w:r>
            <w:r>
              <w:rPr>
                <w:spacing w:val="-2"/>
              </w:rPr>
              <w:t>ţ</w:t>
            </w:r>
            <w:r>
              <w:rPr>
                <w:spacing w:val="1"/>
              </w:rPr>
              <w:t>i</w:t>
            </w:r>
            <w:r>
              <w:t>nu</w:t>
            </w:r>
            <w:r>
              <w:rPr>
                <w:spacing w:val="-2"/>
              </w:rPr>
              <w:t>t</w:t>
            </w:r>
            <w:r>
              <w:t>ă</w:t>
            </w:r>
          </w:p>
        </w:tc>
        <w:tc>
          <w:tcPr>
            <w:tcW w:w="875" w:type="pct"/>
          </w:tcPr>
          <w:p w14:paraId="3FE0079F" w14:textId="77777777" w:rsidR="00C04CAD" w:rsidRDefault="00060E34">
            <w:pPr>
              <w:tabs>
                <w:tab w:val="clear" w:pos="567"/>
              </w:tabs>
              <w:autoSpaceDE w:val="0"/>
              <w:autoSpaceDN w:val="0"/>
              <w:adjustRightInd w:val="0"/>
              <w:spacing w:line="240" w:lineRule="auto"/>
              <w:jc w:val="center"/>
            </w:pPr>
            <w:r>
              <w:t>4%</w:t>
            </w:r>
          </w:p>
        </w:tc>
        <w:tc>
          <w:tcPr>
            <w:tcW w:w="1271" w:type="pct"/>
          </w:tcPr>
          <w:p w14:paraId="10913682" w14:textId="77777777" w:rsidR="00C04CAD" w:rsidRDefault="00060E34">
            <w:pPr>
              <w:tabs>
                <w:tab w:val="clear" w:pos="567"/>
              </w:tabs>
              <w:autoSpaceDE w:val="0"/>
              <w:autoSpaceDN w:val="0"/>
              <w:adjustRightInd w:val="0"/>
              <w:spacing w:line="240" w:lineRule="auto"/>
              <w:jc w:val="center"/>
            </w:pPr>
            <w:r>
              <w:t>8%*</w:t>
            </w:r>
          </w:p>
        </w:tc>
      </w:tr>
      <w:tr w:rsidR="00C04CAD" w14:paraId="00DB2233" w14:textId="77777777">
        <w:tc>
          <w:tcPr>
            <w:tcW w:w="2854" w:type="pct"/>
          </w:tcPr>
          <w:p w14:paraId="3BD61ADA" w14:textId="77777777" w:rsidR="00C04CAD" w:rsidRDefault="00060E34">
            <w:pPr>
              <w:tabs>
                <w:tab w:val="clear" w:pos="567"/>
              </w:tabs>
              <w:autoSpaceDE w:val="0"/>
              <w:autoSpaceDN w:val="0"/>
              <w:adjustRightInd w:val="0"/>
              <w:spacing w:line="240" w:lineRule="auto"/>
              <w:ind w:left="113"/>
              <w:rPr>
                <w:spacing w:val="-1"/>
              </w:rPr>
            </w:pPr>
            <w:r>
              <w:rPr>
                <w:spacing w:val="1"/>
              </w:rPr>
              <w:t>V</w:t>
            </w:r>
            <w:r>
              <w:rPr>
                <w:spacing w:val="-2"/>
              </w:rPr>
              <w:t>i</w:t>
            </w:r>
            <w:r>
              <w:t>nde</w:t>
            </w:r>
            <w:r>
              <w:rPr>
                <w:spacing w:val="-3"/>
              </w:rPr>
              <w:t>c</w:t>
            </w:r>
            <w:r>
              <w:t>ar</w:t>
            </w:r>
            <w:r>
              <w:rPr>
                <w:spacing w:val="-3"/>
              </w:rPr>
              <w:t>e</w:t>
            </w:r>
            <w:r>
              <w:t xml:space="preserve">a </w:t>
            </w:r>
            <w:r>
              <w:rPr>
                <w:spacing w:val="-4"/>
              </w:rPr>
              <w:t>m</w:t>
            </w:r>
            <w:r>
              <w:t>ucoas</w:t>
            </w:r>
            <w:r>
              <w:rPr>
                <w:spacing w:val="-3"/>
              </w:rPr>
              <w:t>e</w:t>
            </w:r>
            <w:r>
              <w:t>i</w:t>
            </w:r>
            <w:r>
              <w:rPr>
                <w:spacing w:val="1"/>
              </w:rPr>
              <w:t xml:space="preserve"> </w:t>
            </w:r>
            <w:r>
              <w:t>s</w:t>
            </w:r>
            <w:r>
              <w:rPr>
                <w:spacing w:val="-3"/>
              </w:rPr>
              <w:t>u</w:t>
            </w:r>
            <w:r>
              <w:t>s</w:t>
            </w:r>
            <w:r>
              <w:rPr>
                <w:spacing w:val="-2"/>
              </w:rPr>
              <w:t>ţi</w:t>
            </w:r>
            <w:r>
              <w:t>nu</w:t>
            </w:r>
            <w:r>
              <w:rPr>
                <w:spacing w:val="1"/>
              </w:rPr>
              <w:t>t</w:t>
            </w:r>
            <w:r>
              <w:t>ă</w:t>
            </w:r>
          </w:p>
        </w:tc>
        <w:tc>
          <w:tcPr>
            <w:tcW w:w="875" w:type="pct"/>
          </w:tcPr>
          <w:p w14:paraId="1FD0E0EF" w14:textId="77777777" w:rsidR="00C04CAD" w:rsidRDefault="00060E34">
            <w:pPr>
              <w:tabs>
                <w:tab w:val="clear" w:pos="567"/>
              </w:tabs>
              <w:autoSpaceDE w:val="0"/>
              <w:autoSpaceDN w:val="0"/>
              <w:adjustRightInd w:val="0"/>
              <w:spacing w:line="240" w:lineRule="auto"/>
              <w:jc w:val="center"/>
            </w:pPr>
            <w:r>
              <w:t>11%</w:t>
            </w:r>
          </w:p>
        </w:tc>
        <w:tc>
          <w:tcPr>
            <w:tcW w:w="1271" w:type="pct"/>
          </w:tcPr>
          <w:p w14:paraId="2B51EC18" w14:textId="77777777" w:rsidR="00C04CAD" w:rsidRDefault="00060E34">
            <w:pPr>
              <w:tabs>
                <w:tab w:val="clear" w:pos="567"/>
              </w:tabs>
              <w:autoSpaceDE w:val="0"/>
              <w:autoSpaceDN w:val="0"/>
              <w:adjustRightInd w:val="0"/>
              <w:spacing w:line="240" w:lineRule="auto"/>
              <w:jc w:val="center"/>
            </w:pPr>
            <w:r>
              <w:t>19%*</w:t>
            </w:r>
          </w:p>
        </w:tc>
      </w:tr>
    </w:tbl>
    <w:p w14:paraId="71BBAAF5" w14:textId="77777777" w:rsidR="00C04CAD" w:rsidRDefault="00060E34">
      <w:pPr>
        <w:tabs>
          <w:tab w:val="clear" w:pos="567"/>
          <w:tab w:val="left" w:pos="5712"/>
          <w:tab w:val="left" w:pos="7325"/>
        </w:tabs>
        <w:kinsoku w:val="0"/>
        <w:overflowPunct w:val="0"/>
        <w:autoSpaceDE w:val="0"/>
        <w:autoSpaceDN w:val="0"/>
        <w:adjustRightInd w:val="0"/>
        <w:spacing w:line="240" w:lineRule="auto"/>
        <w:rPr>
          <w:sz w:val="20"/>
        </w:rPr>
      </w:pPr>
      <w:r>
        <w:rPr>
          <w:spacing w:val="-1"/>
          <w:sz w:val="20"/>
        </w:rPr>
        <w:t>R</w:t>
      </w:r>
      <w:r>
        <w:rPr>
          <w:sz w:val="20"/>
        </w:rPr>
        <w:t>e</w:t>
      </w:r>
      <w:r>
        <w:rPr>
          <w:spacing w:val="-4"/>
          <w:sz w:val="20"/>
        </w:rPr>
        <w:t>m</w:t>
      </w:r>
      <w:r>
        <w:rPr>
          <w:spacing w:val="1"/>
          <w:sz w:val="20"/>
        </w:rPr>
        <w:t>i</w:t>
      </w:r>
      <w:r>
        <w:rPr>
          <w:sz w:val="20"/>
        </w:rPr>
        <w:t>s</w:t>
      </w:r>
      <w:r>
        <w:rPr>
          <w:spacing w:val="1"/>
          <w:sz w:val="20"/>
        </w:rPr>
        <w:t>i</w:t>
      </w:r>
      <w:r>
        <w:rPr>
          <w:sz w:val="20"/>
        </w:rPr>
        <w:t>a c</w:t>
      </w:r>
      <w:r>
        <w:rPr>
          <w:spacing w:val="-2"/>
          <w:sz w:val="20"/>
        </w:rPr>
        <w:t>l</w:t>
      </w:r>
      <w:r>
        <w:rPr>
          <w:spacing w:val="1"/>
          <w:sz w:val="20"/>
        </w:rPr>
        <w:t>i</w:t>
      </w:r>
      <w:r>
        <w:rPr>
          <w:spacing w:val="-3"/>
          <w:sz w:val="20"/>
        </w:rPr>
        <w:t>n</w:t>
      </w:r>
      <w:r>
        <w:rPr>
          <w:spacing w:val="1"/>
          <w:sz w:val="20"/>
        </w:rPr>
        <w:t>i</w:t>
      </w:r>
      <w:r>
        <w:rPr>
          <w:sz w:val="20"/>
        </w:rPr>
        <w:t>că</w:t>
      </w:r>
      <w:r>
        <w:rPr>
          <w:spacing w:val="-2"/>
          <w:sz w:val="20"/>
        </w:rPr>
        <w:t xml:space="preserve"> </w:t>
      </w:r>
      <w:r>
        <w:rPr>
          <w:sz w:val="20"/>
        </w:rPr>
        <w:t>es</w:t>
      </w:r>
      <w:r>
        <w:rPr>
          <w:spacing w:val="-2"/>
          <w:sz w:val="20"/>
        </w:rPr>
        <w:t>t</w:t>
      </w:r>
      <w:r>
        <w:rPr>
          <w:sz w:val="20"/>
        </w:rPr>
        <w:t>e s</w:t>
      </w:r>
      <w:r>
        <w:rPr>
          <w:spacing w:val="-3"/>
          <w:sz w:val="20"/>
        </w:rPr>
        <w:t>c</w:t>
      </w:r>
      <w:r>
        <w:rPr>
          <w:sz w:val="20"/>
        </w:rPr>
        <w:t>or</w:t>
      </w:r>
      <w:r>
        <w:rPr>
          <w:spacing w:val="-2"/>
          <w:sz w:val="20"/>
        </w:rPr>
        <w:t xml:space="preserve"> M</w:t>
      </w:r>
      <w:r>
        <w:rPr>
          <w:sz w:val="20"/>
        </w:rPr>
        <w:t>a</w:t>
      </w:r>
      <w:r>
        <w:rPr>
          <w:spacing w:val="-3"/>
          <w:sz w:val="20"/>
        </w:rPr>
        <w:t>y</w:t>
      </w:r>
      <w:r>
        <w:rPr>
          <w:sz w:val="20"/>
        </w:rPr>
        <w:t>o ≤</w:t>
      </w:r>
      <w:r>
        <w:rPr>
          <w:spacing w:val="1"/>
          <w:sz w:val="20"/>
        </w:rPr>
        <w:t xml:space="preserve"> </w:t>
      </w:r>
      <w:r>
        <w:rPr>
          <w:sz w:val="20"/>
        </w:rPr>
        <w:t xml:space="preserve">2 cu </w:t>
      </w:r>
      <w:r>
        <w:rPr>
          <w:spacing w:val="-3"/>
          <w:sz w:val="20"/>
        </w:rPr>
        <w:t>n</w:t>
      </w:r>
      <w:r>
        <w:rPr>
          <w:spacing w:val="1"/>
          <w:sz w:val="20"/>
        </w:rPr>
        <w:t>i</w:t>
      </w:r>
      <w:r>
        <w:rPr>
          <w:spacing w:val="-3"/>
          <w:sz w:val="20"/>
        </w:rPr>
        <w:t>c</w:t>
      </w:r>
      <w:r>
        <w:rPr>
          <w:spacing w:val="1"/>
          <w:sz w:val="20"/>
        </w:rPr>
        <w:t>i</w:t>
      </w:r>
      <w:r>
        <w:rPr>
          <w:sz w:val="20"/>
        </w:rPr>
        <w:t xml:space="preserve">un </w:t>
      </w:r>
      <w:r>
        <w:rPr>
          <w:spacing w:val="-2"/>
          <w:sz w:val="20"/>
        </w:rPr>
        <w:t>s</w:t>
      </w:r>
      <w:r>
        <w:rPr>
          <w:sz w:val="20"/>
        </w:rPr>
        <w:t>ubs</w:t>
      </w:r>
      <w:r>
        <w:rPr>
          <w:spacing w:val="-3"/>
          <w:sz w:val="20"/>
        </w:rPr>
        <w:t>c</w:t>
      </w:r>
      <w:r>
        <w:rPr>
          <w:sz w:val="20"/>
        </w:rPr>
        <w:t>or</w:t>
      </w:r>
      <w:r>
        <w:rPr>
          <w:spacing w:val="1"/>
          <w:sz w:val="20"/>
        </w:rPr>
        <w:t xml:space="preserve"> </w:t>
      </w:r>
      <w:r>
        <w:rPr>
          <w:sz w:val="20"/>
        </w:rPr>
        <w:t>&gt;</w:t>
      </w:r>
      <w:r>
        <w:rPr>
          <w:spacing w:val="-2"/>
          <w:sz w:val="20"/>
        </w:rPr>
        <w:t xml:space="preserve"> </w:t>
      </w:r>
      <w:r>
        <w:rPr>
          <w:sz w:val="20"/>
        </w:rPr>
        <w:t>1;</w:t>
      </w:r>
    </w:p>
    <w:p w14:paraId="479A6E31" w14:textId="77777777" w:rsidR="00C04CAD" w:rsidRDefault="00060E34">
      <w:pPr>
        <w:tabs>
          <w:tab w:val="clear" w:pos="567"/>
        </w:tabs>
        <w:kinsoku w:val="0"/>
        <w:overflowPunct w:val="0"/>
        <w:autoSpaceDE w:val="0"/>
        <w:autoSpaceDN w:val="0"/>
        <w:adjustRightInd w:val="0"/>
        <w:spacing w:line="240" w:lineRule="auto"/>
        <w:rPr>
          <w:sz w:val="20"/>
        </w:rPr>
      </w:pPr>
      <w:r>
        <w:rPr>
          <w:spacing w:val="-1"/>
          <w:sz w:val="20"/>
        </w:rPr>
        <w:t>R</w:t>
      </w:r>
      <w:r>
        <w:rPr>
          <w:sz w:val="20"/>
        </w:rPr>
        <w:t>ăspuns</w:t>
      </w:r>
      <w:r>
        <w:rPr>
          <w:spacing w:val="-3"/>
          <w:sz w:val="20"/>
        </w:rPr>
        <w:t>u</w:t>
      </w:r>
      <w:r>
        <w:rPr>
          <w:sz w:val="20"/>
        </w:rPr>
        <w:t>l</w:t>
      </w:r>
      <w:r>
        <w:rPr>
          <w:spacing w:val="1"/>
          <w:sz w:val="20"/>
        </w:rPr>
        <w:t xml:space="preserve"> </w:t>
      </w:r>
      <w:r>
        <w:rPr>
          <w:spacing w:val="-3"/>
          <w:sz w:val="20"/>
        </w:rPr>
        <w:t>c</w:t>
      </w:r>
      <w:r>
        <w:rPr>
          <w:spacing w:val="1"/>
          <w:sz w:val="20"/>
        </w:rPr>
        <w:t>l</w:t>
      </w:r>
      <w:r>
        <w:rPr>
          <w:spacing w:val="-2"/>
          <w:sz w:val="20"/>
        </w:rPr>
        <w:t>i</w:t>
      </w:r>
      <w:r>
        <w:rPr>
          <w:sz w:val="20"/>
        </w:rPr>
        <w:t>n</w:t>
      </w:r>
      <w:r>
        <w:rPr>
          <w:spacing w:val="1"/>
          <w:sz w:val="20"/>
        </w:rPr>
        <w:t>i</w:t>
      </w:r>
      <w:r>
        <w:rPr>
          <w:sz w:val="20"/>
        </w:rPr>
        <w:t>c</w:t>
      </w:r>
      <w:r>
        <w:rPr>
          <w:spacing w:val="-2"/>
          <w:sz w:val="20"/>
        </w:rPr>
        <w:t xml:space="preserve"> </w:t>
      </w:r>
      <w:r>
        <w:rPr>
          <w:sz w:val="20"/>
        </w:rPr>
        <w:t>re</w:t>
      </w:r>
      <w:r>
        <w:rPr>
          <w:spacing w:val="-3"/>
          <w:sz w:val="20"/>
        </w:rPr>
        <w:t>p</w:t>
      </w:r>
      <w:r>
        <w:rPr>
          <w:sz w:val="20"/>
        </w:rPr>
        <w:t>re</w:t>
      </w:r>
      <w:r>
        <w:rPr>
          <w:spacing w:val="-3"/>
          <w:sz w:val="20"/>
        </w:rPr>
        <w:t>z</w:t>
      </w:r>
      <w:r>
        <w:rPr>
          <w:spacing w:val="1"/>
          <w:sz w:val="20"/>
        </w:rPr>
        <w:t>i</w:t>
      </w:r>
      <w:r>
        <w:rPr>
          <w:spacing w:val="-3"/>
          <w:sz w:val="20"/>
        </w:rPr>
        <w:t>n</w:t>
      </w:r>
      <w:r>
        <w:rPr>
          <w:spacing w:val="1"/>
          <w:sz w:val="20"/>
        </w:rPr>
        <w:t>t</w:t>
      </w:r>
      <w:r>
        <w:rPr>
          <w:sz w:val="20"/>
        </w:rPr>
        <w:t>ă</w:t>
      </w:r>
      <w:r>
        <w:rPr>
          <w:spacing w:val="-2"/>
          <w:sz w:val="20"/>
        </w:rPr>
        <w:t xml:space="preserve"> </w:t>
      </w:r>
      <w:r>
        <w:rPr>
          <w:sz w:val="20"/>
        </w:rPr>
        <w:t>scăd</w:t>
      </w:r>
      <w:r>
        <w:rPr>
          <w:spacing w:val="-3"/>
          <w:sz w:val="20"/>
        </w:rPr>
        <w:t>e</w:t>
      </w:r>
      <w:r>
        <w:rPr>
          <w:sz w:val="20"/>
        </w:rPr>
        <w:t>rea</w:t>
      </w:r>
      <w:r>
        <w:rPr>
          <w:spacing w:val="-2"/>
          <w:sz w:val="20"/>
        </w:rPr>
        <w:t xml:space="preserve"> </w:t>
      </w:r>
      <w:r>
        <w:rPr>
          <w:sz w:val="20"/>
        </w:rPr>
        <w:t>sc</w:t>
      </w:r>
      <w:r>
        <w:rPr>
          <w:spacing w:val="-3"/>
          <w:sz w:val="20"/>
        </w:rPr>
        <w:t>o</w:t>
      </w:r>
      <w:r>
        <w:rPr>
          <w:sz w:val="20"/>
        </w:rPr>
        <w:t>r</w:t>
      </w:r>
      <w:r>
        <w:rPr>
          <w:spacing w:val="-3"/>
          <w:sz w:val="20"/>
        </w:rPr>
        <w:t>u</w:t>
      </w:r>
      <w:r>
        <w:rPr>
          <w:spacing w:val="1"/>
          <w:sz w:val="20"/>
        </w:rPr>
        <w:t>l</w:t>
      </w:r>
      <w:r>
        <w:rPr>
          <w:sz w:val="20"/>
        </w:rPr>
        <w:t>ui</w:t>
      </w:r>
      <w:r>
        <w:rPr>
          <w:spacing w:val="-2"/>
          <w:sz w:val="20"/>
        </w:rPr>
        <w:t xml:space="preserve"> </w:t>
      </w:r>
      <w:r>
        <w:rPr>
          <w:sz w:val="20"/>
        </w:rPr>
        <w:t>Ma</w:t>
      </w:r>
      <w:r>
        <w:rPr>
          <w:spacing w:val="-3"/>
          <w:sz w:val="20"/>
        </w:rPr>
        <w:t>y</w:t>
      </w:r>
      <w:r>
        <w:rPr>
          <w:sz w:val="20"/>
        </w:rPr>
        <w:t>o cu</w:t>
      </w:r>
      <w:r>
        <w:rPr>
          <w:spacing w:val="-3"/>
          <w:sz w:val="20"/>
        </w:rPr>
        <w:t xml:space="preserve"> </w:t>
      </w:r>
      <w:r>
        <w:rPr>
          <w:rFonts w:eastAsia="MS Mincho"/>
          <w:sz w:val="20"/>
          <w:lang w:eastAsia="ja-JP" w:bidi="ar-SA"/>
        </w:rPr>
        <w:t>≥</w:t>
      </w:r>
      <w:r>
        <w:rPr>
          <w:rFonts w:eastAsia="MS Mincho"/>
          <w:sz w:val="16"/>
          <w:szCs w:val="16"/>
          <w:lang w:eastAsia="ja-JP" w:bidi="ar-SA"/>
        </w:rPr>
        <w:t xml:space="preserve"> </w:t>
      </w:r>
      <w:r>
        <w:rPr>
          <w:sz w:val="20"/>
        </w:rPr>
        <w:t>3 pun</w:t>
      </w:r>
      <w:r>
        <w:rPr>
          <w:spacing w:val="-3"/>
          <w:sz w:val="20"/>
        </w:rPr>
        <w:t>c</w:t>
      </w:r>
      <w:r>
        <w:rPr>
          <w:spacing w:val="1"/>
          <w:sz w:val="20"/>
        </w:rPr>
        <w:t>t</w:t>
      </w:r>
      <w:r>
        <w:rPr>
          <w:sz w:val="20"/>
        </w:rPr>
        <w:t>e</w:t>
      </w:r>
      <w:r>
        <w:rPr>
          <w:spacing w:val="-2"/>
          <w:sz w:val="20"/>
        </w:rPr>
        <w:t xml:space="preserve"> </w:t>
      </w:r>
      <w:r>
        <w:rPr>
          <w:sz w:val="20"/>
        </w:rPr>
        <w:t>şi</w:t>
      </w:r>
      <w:r>
        <w:rPr>
          <w:spacing w:val="1"/>
          <w:sz w:val="20"/>
        </w:rPr>
        <w:t xml:space="preserve"> </w:t>
      </w:r>
      <w:r>
        <w:rPr>
          <w:rFonts w:eastAsia="MS Mincho"/>
          <w:sz w:val="20"/>
          <w:lang w:eastAsia="ja-JP" w:bidi="ar-SA"/>
        </w:rPr>
        <w:t xml:space="preserve">≥ </w:t>
      </w:r>
      <w:r>
        <w:rPr>
          <w:sz w:val="20"/>
        </w:rPr>
        <w:t>30%</w:t>
      </w:r>
      <w:r>
        <w:rPr>
          <w:spacing w:val="-2"/>
          <w:sz w:val="20"/>
        </w:rPr>
        <w:t xml:space="preserve"> </w:t>
      </w:r>
      <w:r>
        <w:rPr>
          <w:sz w:val="20"/>
        </w:rPr>
        <w:t>f</w:t>
      </w:r>
      <w:r>
        <w:rPr>
          <w:spacing w:val="-3"/>
          <w:sz w:val="20"/>
        </w:rPr>
        <w:t>a</w:t>
      </w:r>
      <w:r>
        <w:rPr>
          <w:spacing w:val="1"/>
          <w:sz w:val="20"/>
        </w:rPr>
        <w:t>ţ</w:t>
      </w:r>
      <w:r>
        <w:rPr>
          <w:sz w:val="20"/>
        </w:rPr>
        <w:t xml:space="preserve">ă </w:t>
      </w:r>
      <w:r>
        <w:rPr>
          <w:spacing w:val="-3"/>
          <w:sz w:val="20"/>
        </w:rPr>
        <w:t>d</w:t>
      </w:r>
      <w:r>
        <w:rPr>
          <w:sz w:val="20"/>
        </w:rPr>
        <w:t xml:space="preserve">e </w:t>
      </w:r>
      <w:r>
        <w:rPr>
          <w:spacing w:val="-3"/>
          <w:sz w:val="20"/>
        </w:rPr>
        <w:t>v</w:t>
      </w:r>
      <w:r>
        <w:rPr>
          <w:sz w:val="20"/>
        </w:rPr>
        <w:t>a</w:t>
      </w:r>
      <w:r>
        <w:rPr>
          <w:spacing w:val="1"/>
          <w:sz w:val="20"/>
        </w:rPr>
        <w:t>l</w:t>
      </w:r>
      <w:r>
        <w:rPr>
          <w:sz w:val="20"/>
        </w:rPr>
        <w:t>oar</w:t>
      </w:r>
      <w:r>
        <w:rPr>
          <w:spacing w:val="-3"/>
          <w:sz w:val="20"/>
        </w:rPr>
        <w:t>e</w:t>
      </w:r>
      <w:r>
        <w:rPr>
          <w:sz w:val="20"/>
        </w:rPr>
        <w:t xml:space="preserve">a </w:t>
      </w:r>
      <w:r>
        <w:rPr>
          <w:spacing w:val="1"/>
          <w:sz w:val="20"/>
        </w:rPr>
        <w:t>i</w:t>
      </w:r>
      <w:r>
        <w:rPr>
          <w:spacing w:val="-3"/>
          <w:sz w:val="20"/>
        </w:rPr>
        <w:t>n</w:t>
      </w:r>
      <w:r>
        <w:rPr>
          <w:spacing w:val="1"/>
          <w:sz w:val="20"/>
        </w:rPr>
        <w:t>i</w:t>
      </w:r>
      <w:r>
        <w:rPr>
          <w:spacing w:val="-2"/>
          <w:sz w:val="20"/>
        </w:rPr>
        <w:t>ţ</w:t>
      </w:r>
      <w:r>
        <w:rPr>
          <w:spacing w:val="1"/>
          <w:sz w:val="20"/>
        </w:rPr>
        <w:t>i</w:t>
      </w:r>
      <w:r>
        <w:rPr>
          <w:spacing w:val="-3"/>
          <w:sz w:val="20"/>
        </w:rPr>
        <w:t>a</w:t>
      </w:r>
      <w:r>
        <w:rPr>
          <w:spacing w:val="1"/>
          <w:sz w:val="20"/>
        </w:rPr>
        <w:t>l</w:t>
      </w:r>
      <w:r>
        <w:rPr>
          <w:sz w:val="20"/>
        </w:rPr>
        <w:t xml:space="preserve">ă, </w:t>
      </w:r>
      <w:r>
        <w:rPr>
          <w:spacing w:val="-3"/>
          <w:sz w:val="20"/>
        </w:rPr>
        <w:t>p</w:t>
      </w:r>
      <w:r>
        <w:rPr>
          <w:spacing w:val="1"/>
          <w:sz w:val="20"/>
        </w:rPr>
        <w:t>l</w:t>
      </w:r>
      <w:r>
        <w:rPr>
          <w:sz w:val="20"/>
        </w:rPr>
        <w:t>us</w:t>
      </w:r>
      <w:r>
        <w:rPr>
          <w:spacing w:val="-2"/>
          <w:sz w:val="20"/>
        </w:rPr>
        <w:t xml:space="preserve"> </w:t>
      </w:r>
      <w:r>
        <w:rPr>
          <w:sz w:val="20"/>
        </w:rPr>
        <w:t>scă</w:t>
      </w:r>
      <w:r>
        <w:rPr>
          <w:spacing w:val="-3"/>
          <w:sz w:val="20"/>
        </w:rPr>
        <w:t>de</w:t>
      </w:r>
      <w:r>
        <w:rPr>
          <w:sz w:val="20"/>
        </w:rPr>
        <w:t xml:space="preserve">rea </w:t>
      </w:r>
      <w:r>
        <w:rPr>
          <w:spacing w:val="-2"/>
          <w:sz w:val="20"/>
        </w:rPr>
        <w:t>s</w:t>
      </w:r>
      <w:r>
        <w:rPr>
          <w:sz w:val="20"/>
        </w:rPr>
        <w:t>ubs</w:t>
      </w:r>
      <w:r>
        <w:rPr>
          <w:spacing w:val="-3"/>
          <w:sz w:val="20"/>
        </w:rPr>
        <w:t>c</w:t>
      </w:r>
      <w:r>
        <w:rPr>
          <w:sz w:val="20"/>
        </w:rPr>
        <w:t>or</w:t>
      </w:r>
      <w:r>
        <w:rPr>
          <w:spacing w:val="-3"/>
          <w:sz w:val="20"/>
        </w:rPr>
        <w:t>u</w:t>
      </w:r>
      <w:r>
        <w:rPr>
          <w:spacing w:val="1"/>
          <w:sz w:val="20"/>
        </w:rPr>
        <w:t>l</w:t>
      </w:r>
      <w:r>
        <w:rPr>
          <w:sz w:val="20"/>
        </w:rPr>
        <w:t>ui</w:t>
      </w:r>
      <w:r>
        <w:rPr>
          <w:spacing w:val="-2"/>
          <w:sz w:val="20"/>
        </w:rPr>
        <w:t xml:space="preserve"> </w:t>
      </w:r>
      <w:r>
        <w:rPr>
          <w:sz w:val="20"/>
        </w:rPr>
        <w:t xml:space="preserve">de </w:t>
      </w:r>
      <w:r>
        <w:rPr>
          <w:spacing w:val="-2"/>
          <w:sz w:val="20"/>
        </w:rPr>
        <w:t>s</w:t>
      </w:r>
      <w:r>
        <w:rPr>
          <w:sz w:val="20"/>
        </w:rPr>
        <w:t>ân</w:t>
      </w:r>
      <w:r>
        <w:rPr>
          <w:spacing w:val="-3"/>
          <w:sz w:val="20"/>
        </w:rPr>
        <w:t>g</w:t>
      </w:r>
      <w:r>
        <w:rPr>
          <w:sz w:val="20"/>
        </w:rPr>
        <w:t>er</w:t>
      </w:r>
      <w:r>
        <w:rPr>
          <w:spacing w:val="-3"/>
          <w:sz w:val="20"/>
        </w:rPr>
        <w:t>a</w:t>
      </w:r>
      <w:r>
        <w:rPr>
          <w:spacing w:val="-2"/>
          <w:sz w:val="20"/>
        </w:rPr>
        <w:t>r</w:t>
      </w:r>
      <w:r>
        <w:rPr>
          <w:sz w:val="20"/>
        </w:rPr>
        <w:t>e re</w:t>
      </w:r>
      <w:r>
        <w:rPr>
          <w:spacing w:val="-3"/>
          <w:sz w:val="20"/>
        </w:rPr>
        <w:t>c</w:t>
      </w:r>
      <w:r>
        <w:rPr>
          <w:spacing w:val="1"/>
          <w:sz w:val="20"/>
        </w:rPr>
        <w:t>t</w:t>
      </w:r>
      <w:r>
        <w:rPr>
          <w:spacing w:val="-3"/>
          <w:sz w:val="20"/>
        </w:rPr>
        <w:t>a</w:t>
      </w:r>
      <w:r>
        <w:rPr>
          <w:spacing w:val="1"/>
          <w:sz w:val="20"/>
        </w:rPr>
        <w:t>l</w:t>
      </w:r>
      <w:r>
        <w:rPr>
          <w:sz w:val="20"/>
        </w:rPr>
        <w:t>ă</w:t>
      </w:r>
      <w:r>
        <w:rPr>
          <w:spacing w:val="-2"/>
          <w:sz w:val="20"/>
        </w:rPr>
        <w:t xml:space="preserve"> </w:t>
      </w:r>
      <w:r>
        <w:rPr>
          <w:sz w:val="20"/>
        </w:rPr>
        <w:t>[</w:t>
      </w:r>
      <w:r>
        <w:rPr>
          <w:spacing w:val="-1"/>
          <w:sz w:val="20"/>
        </w:rPr>
        <w:t>SSR</w:t>
      </w:r>
      <w:r>
        <w:rPr>
          <w:sz w:val="20"/>
        </w:rPr>
        <w:t>]</w:t>
      </w:r>
      <w:r>
        <w:rPr>
          <w:spacing w:val="1"/>
          <w:sz w:val="20"/>
        </w:rPr>
        <w:t xml:space="preserve"> </w:t>
      </w:r>
      <w:r>
        <w:rPr>
          <w:spacing w:val="-3"/>
          <w:sz w:val="20"/>
        </w:rPr>
        <w:t>c</w:t>
      </w:r>
      <w:r>
        <w:rPr>
          <w:sz w:val="20"/>
        </w:rPr>
        <w:t xml:space="preserve">u </w:t>
      </w:r>
      <w:r>
        <w:rPr>
          <w:spacing w:val="1"/>
          <w:sz w:val="20"/>
        </w:rPr>
        <w:t>≥</w:t>
      </w:r>
      <w:r>
        <w:rPr>
          <w:sz w:val="20"/>
        </w:rPr>
        <w:t>1</w:t>
      </w:r>
      <w:r>
        <w:rPr>
          <w:spacing w:val="-3"/>
          <w:sz w:val="20"/>
        </w:rPr>
        <w:t xml:space="preserve"> </w:t>
      </w:r>
      <w:r>
        <w:rPr>
          <w:sz w:val="20"/>
        </w:rPr>
        <w:t>sau</w:t>
      </w:r>
      <w:r>
        <w:rPr>
          <w:spacing w:val="-3"/>
          <w:sz w:val="20"/>
        </w:rPr>
        <w:t xml:space="preserve"> </w:t>
      </w:r>
      <w:r>
        <w:rPr>
          <w:sz w:val="20"/>
        </w:rPr>
        <w:t>o</w:t>
      </w:r>
      <w:r>
        <w:rPr>
          <w:spacing w:val="-3"/>
          <w:sz w:val="20"/>
        </w:rPr>
        <w:t xml:space="preserve"> v</w:t>
      </w:r>
      <w:r>
        <w:rPr>
          <w:sz w:val="20"/>
        </w:rPr>
        <w:t>a</w:t>
      </w:r>
      <w:r>
        <w:rPr>
          <w:spacing w:val="1"/>
          <w:sz w:val="20"/>
        </w:rPr>
        <w:t>l</w:t>
      </w:r>
      <w:r>
        <w:rPr>
          <w:sz w:val="20"/>
        </w:rPr>
        <w:t>oare abso</w:t>
      </w:r>
      <w:r>
        <w:rPr>
          <w:spacing w:val="-2"/>
          <w:sz w:val="20"/>
        </w:rPr>
        <w:t>l</w:t>
      </w:r>
      <w:r>
        <w:rPr>
          <w:sz w:val="20"/>
        </w:rPr>
        <w:t>u</w:t>
      </w:r>
      <w:r>
        <w:rPr>
          <w:spacing w:val="1"/>
          <w:sz w:val="20"/>
        </w:rPr>
        <w:t>t</w:t>
      </w:r>
      <w:r>
        <w:rPr>
          <w:sz w:val="20"/>
        </w:rPr>
        <w:t>ă</w:t>
      </w:r>
      <w:r>
        <w:rPr>
          <w:spacing w:val="-3"/>
          <w:sz w:val="20"/>
        </w:rPr>
        <w:t xml:space="preserve"> </w:t>
      </w:r>
      <w:r>
        <w:rPr>
          <w:sz w:val="20"/>
        </w:rPr>
        <w:t xml:space="preserve">a </w:t>
      </w:r>
      <w:r>
        <w:rPr>
          <w:spacing w:val="-1"/>
          <w:sz w:val="20"/>
        </w:rPr>
        <w:t>SS</w:t>
      </w:r>
      <w:r>
        <w:rPr>
          <w:sz w:val="20"/>
        </w:rPr>
        <w:t>R</w:t>
      </w:r>
      <w:r>
        <w:rPr>
          <w:spacing w:val="-1"/>
          <w:sz w:val="20"/>
        </w:rPr>
        <w:t xml:space="preserve"> </w:t>
      </w:r>
      <w:r>
        <w:rPr>
          <w:sz w:val="20"/>
        </w:rPr>
        <w:t>de</w:t>
      </w:r>
      <w:r>
        <w:rPr>
          <w:spacing w:val="-2"/>
          <w:sz w:val="20"/>
        </w:rPr>
        <w:t xml:space="preserve"> </w:t>
      </w:r>
      <w:r>
        <w:rPr>
          <w:sz w:val="20"/>
        </w:rPr>
        <w:t>0 s</w:t>
      </w:r>
      <w:r>
        <w:rPr>
          <w:spacing w:val="-3"/>
          <w:sz w:val="20"/>
        </w:rPr>
        <w:t>a</w:t>
      </w:r>
      <w:r>
        <w:rPr>
          <w:sz w:val="20"/>
        </w:rPr>
        <w:t xml:space="preserve">u 1. </w:t>
      </w:r>
    </w:p>
    <w:p w14:paraId="0A82367B" w14:textId="77777777" w:rsidR="00C04CAD" w:rsidRDefault="00060E34">
      <w:pPr>
        <w:tabs>
          <w:tab w:val="clear" w:pos="567"/>
        </w:tabs>
        <w:kinsoku w:val="0"/>
        <w:overflowPunct w:val="0"/>
        <w:autoSpaceDE w:val="0"/>
        <w:autoSpaceDN w:val="0"/>
        <w:adjustRightInd w:val="0"/>
        <w:spacing w:line="240" w:lineRule="auto"/>
        <w:rPr>
          <w:sz w:val="20"/>
        </w:rPr>
      </w:pPr>
      <w:r>
        <w:rPr>
          <w:sz w:val="20"/>
        </w:rPr>
        <w:t>*p&lt;0,05 pen</w:t>
      </w:r>
      <w:r>
        <w:rPr>
          <w:spacing w:val="-2"/>
          <w:sz w:val="20"/>
        </w:rPr>
        <w:t>t</w:t>
      </w:r>
      <w:r>
        <w:rPr>
          <w:sz w:val="20"/>
        </w:rPr>
        <w:t xml:space="preserve">ru </w:t>
      </w:r>
      <w:r>
        <w:rPr>
          <w:rFonts w:eastAsia="MS Mincho"/>
          <w:spacing w:val="-1"/>
          <w:sz w:val="20"/>
          <w:lang w:eastAsia="en-US" w:bidi="ar-SA"/>
        </w:rPr>
        <w:t>adalimumab</w:t>
      </w:r>
      <w:r>
        <w:rPr>
          <w:sz w:val="20"/>
        </w:rPr>
        <w:t xml:space="preserve"> </w:t>
      </w:r>
      <w:r>
        <w:rPr>
          <w:i/>
          <w:sz w:val="20"/>
        </w:rPr>
        <w:t>v</w:t>
      </w:r>
      <w:r>
        <w:rPr>
          <w:i/>
          <w:spacing w:val="-2"/>
          <w:sz w:val="20"/>
        </w:rPr>
        <w:t>e</w:t>
      </w:r>
      <w:r>
        <w:rPr>
          <w:i/>
          <w:sz w:val="20"/>
        </w:rPr>
        <w:t>r</w:t>
      </w:r>
      <w:r>
        <w:rPr>
          <w:i/>
          <w:spacing w:val="-2"/>
          <w:sz w:val="20"/>
        </w:rPr>
        <w:t>s</w:t>
      </w:r>
      <w:r>
        <w:rPr>
          <w:i/>
          <w:sz w:val="20"/>
        </w:rPr>
        <w:t xml:space="preserve">us </w:t>
      </w:r>
      <w:r>
        <w:rPr>
          <w:sz w:val="20"/>
        </w:rPr>
        <w:t>p</w:t>
      </w:r>
      <w:r>
        <w:rPr>
          <w:spacing w:val="-3"/>
          <w:sz w:val="20"/>
        </w:rPr>
        <w:t>e</w:t>
      </w:r>
      <w:r>
        <w:rPr>
          <w:sz w:val="20"/>
        </w:rPr>
        <w:t>rec</w:t>
      </w:r>
      <w:r>
        <w:rPr>
          <w:spacing w:val="-3"/>
          <w:sz w:val="20"/>
        </w:rPr>
        <w:t>h</w:t>
      </w:r>
      <w:r>
        <w:rPr>
          <w:spacing w:val="1"/>
          <w:sz w:val="20"/>
        </w:rPr>
        <w:t>il</w:t>
      </w:r>
      <w:r>
        <w:rPr>
          <w:spacing w:val="-3"/>
          <w:sz w:val="20"/>
        </w:rPr>
        <w:t>o</w:t>
      </w:r>
      <w:r>
        <w:rPr>
          <w:sz w:val="20"/>
        </w:rPr>
        <w:t>r</w:t>
      </w:r>
      <w:r>
        <w:rPr>
          <w:spacing w:val="1"/>
          <w:sz w:val="20"/>
        </w:rPr>
        <w:t xml:space="preserve"> </w:t>
      </w:r>
      <w:r>
        <w:rPr>
          <w:sz w:val="20"/>
        </w:rPr>
        <w:t>de</w:t>
      </w:r>
      <w:r>
        <w:rPr>
          <w:spacing w:val="-2"/>
          <w:sz w:val="20"/>
        </w:rPr>
        <w:t xml:space="preserve"> </w:t>
      </w:r>
      <w:r>
        <w:rPr>
          <w:sz w:val="20"/>
        </w:rPr>
        <w:t>co</w:t>
      </w:r>
      <w:r>
        <w:rPr>
          <w:spacing w:val="-4"/>
          <w:sz w:val="20"/>
        </w:rPr>
        <w:t>m</w:t>
      </w:r>
      <w:r>
        <w:rPr>
          <w:sz w:val="20"/>
        </w:rPr>
        <w:t>para</w:t>
      </w:r>
      <w:r>
        <w:rPr>
          <w:spacing w:val="-2"/>
          <w:sz w:val="20"/>
        </w:rPr>
        <w:t>ţ</w:t>
      </w:r>
      <w:r>
        <w:rPr>
          <w:spacing w:val="1"/>
          <w:sz w:val="20"/>
        </w:rPr>
        <w:t>i</w:t>
      </w:r>
      <w:r>
        <w:rPr>
          <w:sz w:val="20"/>
        </w:rPr>
        <w:t>e p</w:t>
      </w:r>
      <w:r>
        <w:rPr>
          <w:spacing w:val="1"/>
          <w:sz w:val="20"/>
        </w:rPr>
        <w:t>l</w:t>
      </w:r>
      <w:r>
        <w:rPr>
          <w:sz w:val="20"/>
        </w:rPr>
        <w:t>a</w:t>
      </w:r>
      <w:r>
        <w:rPr>
          <w:spacing w:val="-3"/>
          <w:sz w:val="20"/>
        </w:rPr>
        <w:t>c</w:t>
      </w:r>
      <w:r>
        <w:rPr>
          <w:sz w:val="20"/>
        </w:rPr>
        <w:t>ebo</w:t>
      </w:r>
    </w:p>
    <w:p w14:paraId="4070B6A5" w14:textId="77777777" w:rsidR="00C04CAD" w:rsidRDefault="00060E34">
      <w:pPr>
        <w:keepNext/>
        <w:kinsoku w:val="0"/>
        <w:overflowPunct w:val="0"/>
        <w:autoSpaceDE w:val="0"/>
        <w:autoSpaceDN w:val="0"/>
        <w:adjustRightInd w:val="0"/>
        <w:spacing w:line="240" w:lineRule="auto"/>
        <w:ind w:left="284" w:hanging="284"/>
        <w:rPr>
          <w:sz w:val="20"/>
        </w:rPr>
      </w:pPr>
      <w:r>
        <w:rPr>
          <w:sz w:val="20"/>
        </w:rPr>
        <w:lastRenderedPageBreak/>
        <w:t>**</w:t>
      </w:r>
      <w:r>
        <w:rPr>
          <w:sz w:val="20"/>
        </w:rPr>
        <w:tab/>
        <w:t>p&lt;0,0</w:t>
      </w:r>
      <w:r>
        <w:rPr>
          <w:spacing w:val="-3"/>
          <w:sz w:val="20"/>
        </w:rPr>
        <w:t>0</w:t>
      </w:r>
      <w:r>
        <w:rPr>
          <w:sz w:val="20"/>
        </w:rPr>
        <w:t>1 pe</w:t>
      </w:r>
      <w:r>
        <w:rPr>
          <w:spacing w:val="-3"/>
          <w:sz w:val="20"/>
        </w:rPr>
        <w:t>n</w:t>
      </w:r>
      <w:r>
        <w:rPr>
          <w:spacing w:val="1"/>
          <w:sz w:val="20"/>
        </w:rPr>
        <w:t>t</w:t>
      </w:r>
      <w:r>
        <w:rPr>
          <w:sz w:val="20"/>
        </w:rPr>
        <w:t xml:space="preserve">ru </w:t>
      </w:r>
      <w:r>
        <w:rPr>
          <w:rFonts w:eastAsia="MS Mincho"/>
          <w:spacing w:val="-1"/>
          <w:sz w:val="20"/>
          <w:lang w:eastAsia="en-US" w:bidi="ar-SA"/>
        </w:rPr>
        <w:t>adalimumab</w:t>
      </w:r>
      <w:r>
        <w:rPr>
          <w:spacing w:val="-2"/>
          <w:sz w:val="20"/>
        </w:rPr>
        <w:t xml:space="preserve"> </w:t>
      </w:r>
      <w:r>
        <w:rPr>
          <w:i/>
          <w:spacing w:val="-3"/>
          <w:sz w:val="20"/>
        </w:rPr>
        <w:t>v</w:t>
      </w:r>
      <w:r>
        <w:rPr>
          <w:i/>
          <w:sz w:val="20"/>
        </w:rPr>
        <w:t>ersus</w:t>
      </w:r>
      <w:r>
        <w:rPr>
          <w:i/>
          <w:spacing w:val="-2"/>
          <w:sz w:val="20"/>
        </w:rPr>
        <w:t xml:space="preserve"> </w:t>
      </w:r>
      <w:r>
        <w:rPr>
          <w:sz w:val="20"/>
        </w:rPr>
        <w:t>p</w:t>
      </w:r>
      <w:r>
        <w:rPr>
          <w:spacing w:val="-3"/>
          <w:sz w:val="20"/>
        </w:rPr>
        <w:t>e</w:t>
      </w:r>
      <w:r>
        <w:rPr>
          <w:sz w:val="20"/>
        </w:rPr>
        <w:t>rec</w:t>
      </w:r>
      <w:r>
        <w:rPr>
          <w:spacing w:val="-3"/>
          <w:sz w:val="20"/>
        </w:rPr>
        <w:t>h</w:t>
      </w:r>
      <w:r>
        <w:rPr>
          <w:spacing w:val="1"/>
          <w:sz w:val="20"/>
        </w:rPr>
        <w:t>il</w:t>
      </w:r>
      <w:r>
        <w:rPr>
          <w:spacing w:val="-3"/>
          <w:sz w:val="20"/>
        </w:rPr>
        <w:t>o</w:t>
      </w:r>
      <w:r>
        <w:rPr>
          <w:sz w:val="20"/>
        </w:rPr>
        <w:t>r</w:t>
      </w:r>
      <w:r>
        <w:rPr>
          <w:spacing w:val="1"/>
          <w:sz w:val="20"/>
        </w:rPr>
        <w:t xml:space="preserve"> </w:t>
      </w:r>
      <w:r>
        <w:rPr>
          <w:sz w:val="20"/>
        </w:rPr>
        <w:t>de</w:t>
      </w:r>
      <w:r>
        <w:rPr>
          <w:spacing w:val="-2"/>
          <w:sz w:val="20"/>
        </w:rPr>
        <w:t xml:space="preserve"> </w:t>
      </w:r>
      <w:r>
        <w:rPr>
          <w:sz w:val="20"/>
        </w:rPr>
        <w:t>co</w:t>
      </w:r>
      <w:r>
        <w:rPr>
          <w:spacing w:val="-4"/>
          <w:sz w:val="20"/>
        </w:rPr>
        <w:t>m</w:t>
      </w:r>
      <w:r>
        <w:rPr>
          <w:sz w:val="20"/>
        </w:rPr>
        <w:t>pa</w:t>
      </w:r>
      <w:r>
        <w:rPr>
          <w:spacing w:val="-2"/>
          <w:sz w:val="20"/>
        </w:rPr>
        <w:t>r</w:t>
      </w:r>
      <w:r>
        <w:rPr>
          <w:sz w:val="20"/>
        </w:rPr>
        <w:t>a</w:t>
      </w:r>
      <w:r>
        <w:rPr>
          <w:spacing w:val="1"/>
          <w:sz w:val="20"/>
        </w:rPr>
        <w:t>ț</w:t>
      </w:r>
      <w:r>
        <w:rPr>
          <w:spacing w:val="-2"/>
          <w:sz w:val="20"/>
        </w:rPr>
        <w:t>i</w:t>
      </w:r>
      <w:r>
        <w:rPr>
          <w:sz w:val="20"/>
        </w:rPr>
        <w:t>e p</w:t>
      </w:r>
      <w:r>
        <w:rPr>
          <w:spacing w:val="-2"/>
          <w:sz w:val="20"/>
        </w:rPr>
        <w:t>l</w:t>
      </w:r>
      <w:r>
        <w:rPr>
          <w:sz w:val="20"/>
        </w:rPr>
        <w:t>ace</w:t>
      </w:r>
      <w:r>
        <w:rPr>
          <w:spacing w:val="-3"/>
          <w:sz w:val="20"/>
        </w:rPr>
        <w:t>b</w:t>
      </w:r>
      <w:r>
        <w:rPr>
          <w:sz w:val="20"/>
        </w:rPr>
        <w:t>o</w:t>
      </w:r>
    </w:p>
    <w:p w14:paraId="3F1BA6FE" w14:textId="77777777" w:rsidR="00C04CAD" w:rsidRDefault="00060E34">
      <w:pPr>
        <w:kinsoku w:val="0"/>
        <w:overflowPunct w:val="0"/>
        <w:autoSpaceDE w:val="0"/>
        <w:autoSpaceDN w:val="0"/>
        <w:adjustRightInd w:val="0"/>
        <w:spacing w:line="240" w:lineRule="auto"/>
        <w:ind w:left="284" w:hanging="284"/>
        <w:rPr>
          <w:sz w:val="20"/>
        </w:rPr>
      </w:pPr>
      <w:r>
        <w:rPr>
          <w:sz w:val="20"/>
          <w:vertAlign w:val="superscript"/>
        </w:rPr>
        <w:t>a</w:t>
      </w:r>
      <w:r>
        <w:rPr>
          <w:sz w:val="20"/>
          <w:vertAlign w:val="superscript"/>
        </w:rPr>
        <w:tab/>
      </w:r>
      <w:r>
        <w:rPr>
          <w:spacing w:val="-1"/>
          <w:sz w:val="20"/>
        </w:rPr>
        <w:t>P</w:t>
      </w:r>
      <w:r>
        <w:rPr>
          <w:sz w:val="20"/>
        </w:rPr>
        <w:t>e</w:t>
      </w:r>
      <w:r>
        <w:rPr>
          <w:spacing w:val="-3"/>
          <w:sz w:val="20"/>
        </w:rPr>
        <w:t>n</w:t>
      </w:r>
      <w:r>
        <w:rPr>
          <w:spacing w:val="1"/>
          <w:sz w:val="20"/>
        </w:rPr>
        <w:t>t</w:t>
      </w:r>
      <w:r>
        <w:rPr>
          <w:sz w:val="20"/>
        </w:rPr>
        <w:t>ru</w:t>
      </w:r>
      <w:r>
        <w:rPr>
          <w:spacing w:val="-3"/>
          <w:sz w:val="20"/>
        </w:rPr>
        <w:t xml:space="preserve"> </w:t>
      </w:r>
      <w:r>
        <w:rPr>
          <w:sz w:val="20"/>
        </w:rPr>
        <w:t>ac</w:t>
      </w:r>
      <w:r>
        <w:rPr>
          <w:spacing w:val="-3"/>
          <w:sz w:val="20"/>
        </w:rPr>
        <w:t>e</w:t>
      </w:r>
      <w:r>
        <w:rPr>
          <w:spacing w:val="1"/>
          <w:sz w:val="20"/>
        </w:rPr>
        <w:t>i</w:t>
      </w:r>
      <w:r>
        <w:rPr>
          <w:sz w:val="20"/>
        </w:rPr>
        <w:t>a</w:t>
      </w:r>
      <w:r>
        <w:rPr>
          <w:spacing w:val="-2"/>
          <w:sz w:val="20"/>
        </w:rPr>
        <w:t xml:space="preserve"> </w:t>
      </w:r>
      <w:r>
        <w:rPr>
          <w:sz w:val="20"/>
        </w:rPr>
        <w:t>ca</w:t>
      </w:r>
      <w:r>
        <w:rPr>
          <w:spacing w:val="-2"/>
          <w:sz w:val="20"/>
        </w:rPr>
        <w:t>r</w:t>
      </w:r>
      <w:r>
        <w:rPr>
          <w:sz w:val="20"/>
        </w:rPr>
        <w:t xml:space="preserve">e au </w:t>
      </w:r>
      <w:r>
        <w:rPr>
          <w:spacing w:val="-3"/>
          <w:sz w:val="20"/>
        </w:rPr>
        <w:t>u</w:t>
      </w:r>
      <w:r>
        <w:rPr>
          <w:spacing w:val="-2"/>
          <w:sz w:val="20"/>
        </w:rPr>
        <w:t>t</w:t>
      </w:r>
      <w:r>
        <w:rPr>
          <w:spacing w:val="1"/>
          <w:sz w:val="20"/>
        </w:rPr>
        <w:t>i</w:t>
      </w:r>
      <w:r>
        <w:rPr>
          <w:spacing w:val="-2"/>
          <w:sz w:val="20"/>
        </w:rPr>
        <w:t>li</w:t>
      </w:r>
      <w:r>
        <w:rPr>
          <w:spacing w:val="-3"/>
          <w:sz w:val="20"/>
        </w:rPr>
        <w:t>z</w:t>
      </w:r>
      <w:r>
        <w:rPr>
          <w:sz w:val="20"/>
        </w:rPr>
        <w:t>at</w:t>
      </w:r>
      <w:r>
        <w:rPr>
          <w:spacing w:val="1"/>
          <w:sz w:val="20"/>
        </w:rPr>
        <w:t xml:space="preserve"> i</w:t>
      </w:r>
      <w:r>
        <w:rPr>
          <w:sz w:val="20"/>
        </w:rPr>
        <w:t>n</w:t>
      </w:r>
      <w:r>
        <w:rPr>
          <w:spacing w:val="-2"/>
          <w:sz w:val="20"/>
        </w:rPr>
        <w:t>iţ</w:t>
      </w:r>
      <w:r>
        <w:rPr>
          <w:spacing w:val="1"/>
          <w:sz w:val="20"/>
        </w:rPr>
        <w:t>i</w:t>
      </w:r>
      <w:r>
        <w:rPr>
          <w:sz w:val="20"/>
        </w:rPr>
        <w:t>al</w:t>
      </w:r>
      <w:r>
        <w:rPr>
          <w:spacing w:val="-2"/>
          <w:sz w:val="20"/>
        </w:rPr>
        <w:t xml:space="preserve"> </w:t>
      </w:r>
      <w:r>
        <w:rPr>
          <w:sz w:val="20"/>
        </w:rPr>
        <w:t>co</w:t>
      </w:r>
      <w:r>
        <w:rPr>
          <w:spacing w:val="-2"/>
          <w:sz w:val="20"/>
        </w:rPr>
        <w:t>r</w:t>
      </w:r>
      <w:r>
        <w:rPr>
          <w:spacing w:val="1"/>
          <w:sz w:val="20"/>
        </w:rPr>
        <w:t>t</w:t>
      </w:r>
      <w:r>
        <w:rPr>
          <w:spacing w:val="-2"/>
          <w:sz w:val="20"/>
        </w:rPr>
        <w:t>i</w:t>
      </w:r>
      <w:r>
        <w:rPr>
          <w:sz w:val="20"/>
        </w:rPr>
        <w:t>co</w:t>
      </w:r>
      <w:r>
        <w:rPr>
          <w:spacing w:val="-2"/>
          <w:sz w:val="20"/>
        </w:rPr>
        <w:t>s</w:t>
      </w:r>
      <w:r>
        <w:rPr>
          <w:spacing w:val="1"/>
          <w:sz w:val="20"/>
        </w:rPr>
        <w:t>t</w:t>
      </w:r>
      <w:r>
        <w:rPr>
          <w:spacing w:val="-3"/>
          <w:sz w:val="20"/>
        </w:rPr>
        <w:t>e</w:t>
      </w:r>
      <w:r>
        <w:rPr>
          <w:sz w:val="20"/>
        </w:rPr>
        <w:t>ro</w:t>
      </w:r>
      <w:r>
        <w:rPr>
          <w:spacing w:val="1"/>
          <w:sz w:val="20"/>
        </w:rPr>
        <w:t>i</w:t>
      </w:r>
      <w:r>
        <w:rPr>
          <w:spacing w:val="-3"/>
          <w:sz w:val="20"/>
        </w:rPr>
        <w:t>z</w:t>
      </w:r>
      <w:r>
        <w:rPr>
          <w:sz w:val="20"/>
        </w:rPr>
        <w:t>i</w:t>
      </w:r>
    </w:p>
    <w:p w14:paraId="22E229F4" w14:textId="77777777" w:rsidR="00C04CAD" w:rsidRDefault="00C04CAD">
      <w:pPr>
        <w:autoSpaceDE w:val="0"/>
        <w:autoSpaceDN w:val="0"/>
        <w:adjustRightInd w:val="0"/>
        <w:spacing w:line="240" w:lineRule="auto"/>
      </w:pPr>
    </w:p>
    <w:p w14:paraId="59703AA6" w14:textId="77777777" w:rsidR="00C04CAD" w:rsidRDefault="00060E34">
      <w:pPr>
        <w:tabs>
          <w:tab w:val="clear" w:pos="567"/>
        </w:tabs>
        <w:kinsoku w:val="0"/>
        <w:overflowPunct w:val="0"/>
        <w:autoSpaceDE w:val="0"/>
        <w:autoSpaceDN w:val="0"/>
        <w:adjustRightInd w:val="0"/>
        <w:spacing w:line="240" w:lineRule="auto"/>
      </w:pPr>
      <w:r>
        <w:rPr>
          <w:spacing w:val="-1"/>
        </w:rPr>
        <w:t>D</w:t>
      </w:r>
      <w:r>
        <w:rPr>
          <w:spacing w:val="1"/>
        </w:rPr>
        <w:t>i</w:t>
      </w:r>
      <w:r>
        <w:t>n</w:t>
      </w:r>
      <w:r>
        <w:rPr>
          <w:spacing w:val="1"/>
        </w:rPr>
        <w:t>t</w:t>
      </w:r>
      <w:r>
        <w:rPr>
          <w:spacing w:val="-2"/>
        </w:rPr>
        <w:t>r</w:t>
      </w:r>
      <w:r>
        <w:t xml:space="preserve">e </w:t>
      </w:r>
      <w:r>
        <w:rPr>
          <w:spacing w:val="-3"/>
        </w:rPr>
        <w:t>a</w:t>
      </w:r>
      <w:r>
        <w:t>cei</w:t>
      </w:r>
      <w:r>
        <w:rPr>
          <w:spacing w:val="-2"/>
        </w:rPr>
        <w:t xml:space="preserve"> </w:t>
      </w:r>
      <w:r>
        <w:t>pa</w:t>
      </w:r>
      <w:r>
        <w:rPr>
          <w:spacing w:val="-3"/>
        </w:rPr>
        <w:t>c</w:t>
      </w:r>
      <w:r>
        <w:rPr>
          <w:spacing w:val="1"/>
        </w:rPr>
        <w:t>i</w:t>
      </w:r>
      <w:r>
        <w:t>e</w:t>
      </w:r>
      <w:r>
        <w:rPr>
          <w:spacing w:val="-3"/>
        </w:rPr>
        <w:t>n</w:t>
      </w:r>
      <w:r>
        <w:rPr>
          <w:spacing w:val="1"/>
        </w:rPr>
        <w:t>ţ</w:t>
      </w:r>
      <w:r>
        <w:t>i</w:t>
      </w:r>
      <w:r>
        <w:rPr>
          <w:spacing w:val="-2"/>
        </w:rPr>
        <w:t xml:space="preserve"> </w:t>
      </w:r>
      <w:r>
        <w:t>ca</w:t>
      </w:r>
      <w:r>
        <w:rPr>
          <w:spacing w:val="-2"/>
        </w:rPr>
        <w:t>r</w:t>
      </w:r>
      <w:r>
        <w:t xml:space="preserve">e </w:t>
      </w:r>
      <w:r>
        <w:rPr>
          <w:spacing w:val="-2"/>
        </w:rPr>
        <w:t>î</w:t>
      </w:r>
      <w:r>
        <w:t>n</w:t>
      </w:r>
      <w:r>
        <w:rPr>
          <w:spacing w:val="-3"/>
        </w:rPr>
        <w:t xml:space="preserve"> </w:t>
      </w:r>
      <w:r>
        <w:t>săp</w:t>
      </w:r>
      <w:r>
        <w:rPr>
          <w:spacing w:val="-2"/>
        </w:rPr>
        <w:t>t</w:t>
      </w:r>
      <w:r>
        <w:t>ă</w:t>
      </w:r>
      <w:r>
        <w:rPr>
          <w:spacing w:val="-4"/>
        </w:rPr>
        <w:t>m</w:t>
      </w:r>
      <w:r>
        <w:t>âna 8 au a</w:t>
      </w:r>
      <w:r>
        <w:rPr>
          <w:spacing w:val="-3"/>
        </w:rPr>
        <w:t>v</w:t>
      </w:r>
      <w:r>
        <w:t>ut</w:t>
      </w:r>
      <w:r>
        <w:rPr>
          <w:spacing w:val="1"/>
        </w:rPr>
        <w:t xml:space="preserve"> </w:t>
      </w:r>
      <w:r>
        <w:rPr>
          <w:spacing w:val="-3"/>
        </w:rPr>
        <w:t>u</w:t>
      </w:r>
      <w:r>
        <w:t>n r</w:t>
      </w:r>
      <w:r>
        <w:rPr>
          <w:spacing w:val="-3"/>
        </w:rPr>
        <w:t>ă</w:t>
      </w:r>
      <w:r>
        <w:rPr>
          <w:spacing w:val="-2"/>
        </w:rPr>
        <w:t>s</w:t>
      </w:r>
      <w:r>
        <w:t xml:space="preserve">puns </w:t>
      </w:r>
      <w:r>
        <w:rPr>
          <w:spacing w:val="-3"/>
        </w:rPr>
        <w:t>c</w:t>
      </w:r>
      <w:r>
        <w:rPr>
          <w:spacing w:val="1"/>
        </w:rPr>
        <w:t>li</w:t>
      </w:r>
      <w:r>
        <w:rPr>
          <w:spacing w:val="-3"/>
        </w:rPr>
        <w:t>n</w:t>
      </w:r>
      <w:r>
        <w:rPr>
          <w:spacing w:val="1"/>
        </w:rPr>
        <w:t>i</w:t>
      </w:r>
      <w:r>
        <w:t>c,</w:t>
      </w:r>
      <w:r>
        <w:rPr>
          <w:spacing w:val="-3"/>
        </w:rPr>
        <w:t xml:space="preserve"> </w:t>
      </w:r>
      <w:r>
        <w:rPr>
          <w:spacing w:val="1"/>
        </w:rPr>
        <w:t>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52, 47%</w:t>
      </w:r>
      <w:r>
        <w:rPr>
          <w:spacing w:val="-2"/>
        </w:rPr>
        <w:t xml:space="preserve"> </w:t>
      </w:r>
      <w:r>
        <w:t xml:space="preserve">au </w:t>
      </w:r>
      <w:r>
        <w:rPr>
          <w:spacing w:val="-2"/>
        </w:rPr>
        <w:t>r</w:t>
      </w:r>
      <w:r>
        <w:t>ăsp</w:t>
      </w:r>
      <w:r>
        <w:rPr>
          <w:spacing w:val="-3"/>
        </w:rPr>
        <w:t>u</w:t>
      </w:r>
      <w:r>
        <w:t xml:space="preserve">ns </w:t>
      </w:r>
      <w:r>
        <w:rPr>
          <w:spacing w:val="-2"/>
        </w:rPr>
        <w:t>l</w:t>
      </w:r>
      <w:r>
        <w:t xml:space="preserve">a </w:t>
      </w:r>
      <w:r>
        <w:rPr>
          <w:spacing w:val="1"/>
        </w:rPr>
        <w:t>t</w:t>
      </w:r>
      <w:r>
        <w:t>r</w:t>
      </w:r>
      <w:r>
        <w:rPr>
          <w:spacing w:val="-3"/>
        </w:rPr>
        <w:t>a</w:t>
      </w:r>
      <w:r>
        <w:rPr>
          <w:spacing w:val="1"/>
        </w:rPr>
        <w:t>t</w:t>
      </w:r>
      <w:r>
        <w:t>a</w:t>
      </w:r>
      <w:r>
        <w:rPr>
          <w:spacing w:val="-4"/>
        </w:rPr>
        <w:t>m</w:t>
      </w:r>
      <w:r>
        <w:t>en</w:t>
      </w:r>
      <w:r>
        <w:rPr>
          <w:spacing w:val="1"/>
        </w:rPr>
        <w:t>t</w:t>
      </w:r>
      <w:r>
        <w:t>, 2</w:t>
      </w:r>
      <w:r>
        <w:rPr>
          <w:spacing w:val="-3"/>
        </w:rPr>
        <w:t>9</w:t>
      </w:r>
      <w:r>
        <w:t>%</w:t>
      </w:r>
      <w:r>
        <w:rPr>
          <w:spacing w:val="1"/>
        </w:rPr>
        <w:t xml:space="preserve"> </w:t>
      </w:r>
      <w:r>
        <w:rPr>
          <w:spacing w:val="-3"/>
        </w:rPr>
        <w:t>a</w:t>
      </w:r>
      <w:r>
        <w:t>u f</w:t>
      </w:r>
      <w:r>
        <w:rPr>
          <w:spacing w:val="-3"/>
        </w:rPr>
        <w:t>o</w:t>
      </w:r>
      <w:r>
        <w:t>st</w:t>
      </w:r>
      <w:r>
        <w:rPr>
          <w:spacing w:val="-2"/>
        </w:rPr>
        <w:t xml:space="preserve"> </w:t>
      </w:r>
      <w:r>
        <w:rPr>
          <w:spacing w:val="1"/>
        </w:rPr>
        <w:t>î</w:t>
      </w:r>
      <w:r>
        <w:t xml:space="preserve">n </w:t>
      </w:r>
      <w:r>
        <w:rPr>
          <w:spacing w:val="-2"/>
        </w:rPr>
        <w:t>r</w:t>
      </w:r>
      <w:r>
        <w:rPr>
          <w:spacing w:val="-3"/>
        </w:rPr>
        <w:t>e</w:t>
      </w:r>
      <w:r>
        <w:rPr>
          <w:spacing w:val="-4"/>
        </w:rPr>
        <w:t>m</w:t>
      </w:r>
      <w:r>
        <w:rPr>
          <w:spacing w:val="1"/>
        </w:rPr>
        <w:t>i</w:t>
      </w:r>
      <w:r>
        <w:t>s</w:t>
      </w:r>
      <w:r>
        <w:rPr>
          <w:spacing w:val="1"/>
        </w:rPr>
        <w:t>i</w:t>
      </w:r>
      <w:r>
        <w:t>e, 4</w:t>
      </w:r>
      <w:r>
        <w:rPr>
          <w:spacing w:val="-3"/>
        </w:rPr>
        <w:t>1</w:t>
      </w:r>
      <w:r>
        <w:t>%</w:t>
      </w:r>
      <w:r>
        <w:rPr>
          <w:spacing w:val="1"/>
        </w:rPr>
        <w:t xml:space="preserve"> </w:t>
      </w:r>
      <w:r>
        <w:t>au a</w:t>
      </w:r>
      <w:r>
        <w:rPr>
          <w:spacing w:val="-3"/>
        </w:rPr>
        <w:t>v</w:t>
      </w:r>
      <w:r>
        <w:t>ut</w:t>
      </w:r>
      <w:r>
        <w:rPr>
          <w:spacing w:val="1"/>
        </w:rPr>
        <w:t xml:space="preserve"> </w:t>
      </w:r>
      <w:r>
        <w:rPr>
          <w:spacing w:val="-4"/>
        </w:rPr>
        <w:t>m</w:t>
      </w:r>
      <w:r>
        <w:t>ucoa</w:t>
      </w:r>
      <w:r>
        <w:rPr>
          <w:spacing w:val="-2"/>
        </w:rPr>
        <w:t>s</w:t>
      </w:r>
      <w:r>
        <w:t xml:space="preserve">a </w:t>
      </w:r>
      <w:r>
        <w:rPr>
          <w:spacing w:val="1"/>
        </w:rPr>
        <w:t>i</w:t>
      </w:r>
      <w:r>
        <w:rPr>
          <w:spacing w:val="-3"/>
        </w:rPr>
        <w:t>n</w:t>
      </w:r>
      <w:r>
        <w:rPr>
          <w:spacing w:val="1"/>
        </w:rPr>
        <w:t>t</w:t>
      </w:r>
      <w:r>
        <w:t>e</w:t>
      </w:r>
      <w:r>
        <w:rPr>
          <w:spacing w:val="-2"/>
        </w:rPr>
        <w:t>s</w:t>
      </w:r>
      <w:r>
        <w:rPr>
          <w:spacing w:val="1"/>
        </w:rPr>
        <w:t>ti</w:t>
      </w:r>
      <w:r>
        <w:rPr>
          <w:spacing w:val="-3"/>
        </w:rPr>
        <w:t>n</w:t>
      </w:r>
      <w:r>
        <w:t>a</w:t>
      </w:r>
      <w:r>
        <w:rPr>
          <w:spacing w:val="-2"/>
        </w:rPr>
        <w:t>l</w:t>
      </w:r>
      <w:r>
        <w:t xml:space="preserve">ă </w:t>
      </w:r>
      <w:r>
        <w:rPr>
          <w:spacing w:val="-3"/>
        </w:rPr>
        <w:t>v</w:t>
      </w:r>
      <w:r>
        <w:rPr>
          <w:spacing w:val="1"/>
        </w:rPr>
        <w:t>i</w:t>
      </w:r>
      <w:r>
        <w:t>nde</w:t>
      </w:r>
      <w:r>
        <w:rPr>
          <w:spacing w:val="-3"/>
        </w:rPr>
        <w:t>c</w:t>
      </w:r>
      <w:r>
        <w:t>a</w:t>
      </w:r>
      <w:r>
        <w:rPr>
          <w:spacing w:val="1"/>
        </w:rPr>
        <w:t>t</w:t>
      </w:r>
      <w:r>
        <w:t>ă</w:t>
      </w:r>
      <w:r>
        <w:rPr>
          <w:spacing w:val="-2"/>
        </w:rPr>
        <w:t xml:space="preserve"> </w:t>
      </w:r>
      <w:r>
        <w:t>şi</w:t>
      </w:r>
      <w:r>
        <w:rPr>
          <w:spacing w:val="-2"/>
        </w:rPr>
        <w:t xml:space="preserve"> </w:t>
      </w:r>
      <w:r>
        <w:t>2</w:t>
      </w:r>
      <w:r>
        <w:rPr>
          <w:spacing w:val="-3"/>
        </w:rPr>
        <w:t>0</w:t>
      </w:r>
      <w:r>
        <w:t>%</w:t>
      </w:r>
      <w:r>
        <w:rPr>
          <w:spacing w:val="1"/>
        </w:rPr>
        <w:t xml:space="preserve"> </w:t>
      </w:r>
      <w:r>
        <w:t>au</w:t>
      </w:r>
      <w:r>
        <w:rPr>
          <w:spacing w:val="-3"/>
        </w:rPr>
        <w:t xml:space="preserve"> </w:t>
      </w:r>
      <w:r>
        <w:t>fo</w:t>
      </w:r>
      <w:r>
        <w:rPr>
          <w:spacing w:val="-2"/>
        </w:rPr>
        <w:t>s</w:t>
      </w:r>
      <w:r>
        <w:t>t</w:t>
      </w:r>
      <w:r>
        <w:rPr>
          <w:spacing w:val="1"/>
        </w:rPr>
        <w:t xml:space="preserve"> </w:t>
      </w:r>
      <w:r>
        <w:rPr>
          <w:spacing w:val="-2"/>
        </w:rPr>
        <w:t>î</w:t>
      </w:r>
      <w:r>
        <w:t>n re</w:t>
      </w:r>
      <w:r>
        <w:rPr>
          <w:spacing w:val="-4"/>
        </w:rPr>
        <w:t>m</w:t>
      </w:r>
      <w:r>
        <w:rPr>
          <w:spacing w:val="1"/>
        </w:rPr>
        <w:t>i</w:t>
      </w:r>
      <w:r>
        <w:t>s</w:t>
      </w:r>
      <w:r>
        <w:rPr>
          <w:spacing w:val="-2"/>
        </w:rPr>
        <w:t>i</w:t>
      </w:r>
      <w:r>
        <w:t>e fă</w:t>
      </w:r>
      <w:r>
        <w:rPr>
          <w:spacing w:val="-2"/>
        </w:rPr>
        <w:t>r</w:t>
      </w:r>
      <w:r>
        <w:t xml:space="preserve">ă </w:t>
      </w:r>
      <w:r>
        <w:rPr>
          <w:spacing w:val="-2"/>
        </w:rPr>
        <w:t>s</w:t>
      </w:r>
      <w:r>
        <w:rPr>
          <w:spacing w:val="1"/>
        </w:rPr>
        <w:t>t</w:t>
      </w:r>
      <w:r>
        <w:t>er</w:t>
      </w:r>
      <w:r>
        <w:rPr>
          <w:spacing w:val="-3"/>
        </w:rPr>
        <w:t>o</w:t>
      </w:r>
      <w:r>
        <w:rPr>
          <w:spacing w:val="1"/>
        </w:rPr>
        <w:t>i</w:t>
      </w:r>
      <w:r>
        <w:rPr>
          <w:spacing w:val="-3"/>
        </w:rPr>
        <w:t>z</w:t>
      </w:r>
      <w:r>
        <w:t>i</w:t>
      </w:r>
      <w:r>
        <w:rPr>
          <w:spacing w:val="1"/>
        </w:rPr>
        <w:t xml:space="preserve"> </w:t>
      </w:r>
      <w:r>
        <w:t>p</w:t>
      </w:r>
      <w:r>
        <w:rPr>
          <w:spacing w:val="-3"/>
        </w:rPr>
        <w:t>e</w:t>
      </w:r>
      <w:r>
        <w:t>n</w:t>
      </w:r>
      <w:r>
        <w:rPr>
          <w:spacing w:val="-2"/>
        </w:rPr>
        <w:t>t</w:t>
      </w:r>
      <w:r>
        <w:t>ru ≥</w:t>
      </w:r>
      <w:r>
        <w:rPr>
          <w:spacing w:val="-1"/>
        </w:rPr>
        <w:t xml:space="preserve"> </w:t>
      </w:r>
      <w:r>
        <w:t xml:space="preserve">90 </w:t>
      </w:r>
      <w:r>
        <w:rPr>
          <w:spacing w:val="-3"/>
        </w:rPr>
        <w:t>z</w:t>
      </w:r>
      <w:r>
        <w:rPr>
          <w:spacing w:val="1"/>
        </w:rPr>
        <w:t>i</w:t>
      </w:r>
      <w:r>
        <w:rPr>
          <w:spacing w:val="-2"/>
        </w:rPr>
        <w:t>l</w:t>
      </w:r>
      <w:r>
        <w:t>e.</w:t>
      </w:r>
    </w:p>
    <w:p w14:paraId="4186D74F" w14:textId="77777777" w:rsidR="00C04CAD" w:rsidRDefault="00C04CAD">
      <w:pPr>
        <w:tabs>
          <w:tab w:val="clear" w:pos="567"/>
        </w:tabs>
        <w:kinsoku w:val="0"/>
        <w:overflowPunct w:val="0"/>
        <w:autoSpaceDE w:val="0"/>
        <w:autoSpaceDN w:val="0"/>
        <w:adjustRightInd w:val="0"/>
        <w:spacing w:line="240" w:lineRule="auto"/>
      </w:pPr>
    </w:p>
    <w:p w14:paraId="6CFEC5D7"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UC</w:t>
      </w:r>
      <w:r>
        <w:rPr>
          <w:spacing w:val="-2"/>
        </w:rPr>
        <w:t>-II</w:t>
      </w:r>
      <w:r>
        <w:t>, aprox</w:t>
      </w:r>
      <w:r>
        <w:rPr>
          <w:spacing w:val="1"/>
        </w:rPr>
        <w:t>i</w:t>
      </w:r>
      <w:r>
        <w:rPr>
          <w:spacing w:val="-4"/>
        </w:rPr>
        <w:t>m</w:t>
      </w:r>
      <w:r>
        <w:t>a</w:t>
      </w:r>
      <w:r>
        <w:rPr>
          <w:spacing w:val="-2"/>
        </w:rPr>
        <w:t>t</w:t>
      </w:r>
      <w:r>
        <w:rPr>
          <w:spacing w:val="1"/>
        </w:rPr>
        <w:t>i</w:t>
      </w:r>
      <w:r>
        <w:t>v</w:t>
      </w:r>
      <w:r>
        <w:rPr>
          <w:spacing w:val="-3"/>
        </w:rPr>
        <w:t xml:space="preserve"> </w:t>
      </w:r>
      <w:r>
        <w:t>40%</w:t>
      </w:r>
      <w:r>
        <w:rPr>
          <w:spacing w:val="1"/>
        </w:rPr>
        <w:t xml:space="preserve"> </w:t>
      </w:r>
      <w:r>
        <w:rPr>
          <w:spacing w:val="-3"/>
        </w:rPr>
        <w:t>d</w:t>
      </w:r>
      <w:r>
        <w:rPr>
          <w:spacing w:val="1"/>
        </w:rPr>
        <w:t>i</w:t>
      </w:r>
      <w:r>
        <w:t>n</w:t>
      </w:r>
      <w:r>
        <w:rPr>
          <w:spacing w:val="-2"/>
        </w:rPr>
        <w:t>t</w:t>
      </w:r>
      <w:r>
        <w:t xml:space="preserve">re </w:t>
      </w:r>
      <w:r>
        <w:rPr>
          <w:spacing w:val="-3"/>
        </w:rPr>
        <w:t>p</w:t>
      </w:r>
      <w:r>
        <w:t>ac</w:t>
      </w:r>
      <w:r>
        <w:rPr>
          <w:spacing w:val="-2"/>
        </w:rPr>
        <w:t>i</w:t>
      </w:r>
      <w:r>
        <w:t>en</w:t>
      </w:r>
      <w:r>
        <w:rPr>
          <w:spacing w:val="-2"/>
        </w:rPr>
        <w:t>ţ</w:t>
      </w:r>
      <w:r>
        <w:t>i</w:t>
      </w:r>
      <w:r>
        <w:rPr>
          <w:spacing w:val="1"/>
        </w:rPr>
        <w:t xml:space="preserve"> </w:t>
      </w:r>
      <w:r>
        <w:t>nu</w:t>
      </w:r>
      <w:r>
        <w:rPr>
          <w:spacing w:val="-3"/>
        </w:rPr>
        <w:t xml:space="preserve"> a</w:t>
      </w:r>
      <w:r>
        <w:t>u ră</w:t>
      </w:r>
      <w:r>
        <w:rPr>
          <w:spacing w:val="-2"/>
        </w:rPr>
        <w:t>s</w:t>
      </w:r>
      <w:r>
        <w:t>puns</w:t>
      </w:r>
      <w:r>
        <w:rPr>
          <w:spacing w:val="-2"/>
        </w:rPr>
        <w:t xml:space="preserve"> </w:t>
      </w:r>
      <w:r>
        <w:t>an</w:t>
      </w:r>
      <w:r>
        <w:rPr>
          <w:spacing w:val="-2"/>
        </w:rPr>
        <w:t>t</w:t>
      </w:r>
      <w:r>
        <w:t>e</w:t>
      </w:r>
      <w:r>
        <w:rPr>
          <w:spacing w:val="-2"/>
        </w:rPr>
        <w:t>r</w:t>
      </w:r>
      <w:r>
        <w:rPr>
          <w:spacing w:val="1"/>
        </w:rPr>
        <w:t>i</w:t>
      </w:r>
      <w:r>
        <w:t>or</w:t>
      </w:r>
      <w:r>
        <w:rPr>
          <w:spacing w:val="-2"/>
        </w:rPr>
        <w:t xml:space="preserve"> </w:t>
      </w:r>
      <w:r>
        <w:rPr>
          <w:spacing w:val="1"/>
        </w:rPr>
        <w:t>l</w:t>
      </w:r>
      <w:r>
        <w:t>a</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rPr>
          <w:spacing w:val="-3"/>
        </w:rPr>
        <w:t>u</w:t>
      </w:r>
      <w:r>
        <w:t>l</w:t>
      </w:r>
      <w:r>
        <w:rPr>
          <w:spacing w:val="1"/>
        </w:rPr>
        <w:t xml:space="preserve"> </w:t>
      </w:r>
      <w:r>
        <w:t>cu</w:t>
      </w:r>
      <w:r>
        <w:rPr>
          <w:spacing w:val="-3"/>
        </w:rPr>
        <w:t xml:space="preserve"> </w:t>
      </w:r>
      <w:r>
        <w:t>an</w:t>
      </w:r>
      <w:r>
        <w:rPr>
          <w:spacing w:val="-2"/>
        </w:rPr>
        <w:t>t</w:t>
      </w:r>
      <w:r>
        <w:t>i</w:t>
      </w:r>
      <w:r>
        <w:rPr>
          <w:spacing w:val="-4"/>
        </w:rPr>
        <w:t>-</w:t>
      </w:r>
      <w:r>
        <w:rPr>
          <w:spacing w:val="1"/>
        </w:rPr>
        <w:t>T</w:t>
      </w:r>
      <w:r>
        <w:rPr>
          <w:spacing w:val="-2"/>
        </w:rPr>
        <w:t xml:space="preserve">NF </w:t>
      </w:r>
      <w:r>
        <w:rPr>
          <w:spacing w:val="1"/>
        </w:rPr>
        <w:t>i</w:t>
      </w:r>
      <w:r>
        <w:t>n</w:t>
      </w:r>
      <w:r>
        <w:rPr>
          <w:spacing w:val="-2"/>
        </w:rPr>
        <w:t>f</w:t>
      </w:r>
      <w:r>
        <w:rPr>
          <w:spacing w:val="1"/>
        </w:rPr>
        <w:t>li</w:t>
      </w:r>
      <w:r>
        <w:rPr>
          <w:spacing w:val="-3"/>
        </w:rPr>
        <w:t>x</w:t>
      </w:r>
      <w:r>
        <w:rPr>
          <w:spacing w:val="1"/>
        </w:rPr>
        <w:t>i</w:t>
      </w:r>
      <w:r>
        <w:rPr>
          <w:spacing w:val="-4"/>
        </w:rPr>
        <w:t>m</w:t>
      </w:r>
      <w:r>
        <w:t xml:space="preserve">ab. </w:t>
      </w:r>
      <w:r>
        <w:rPr>
          <w:spacing w:val="-1"/>
        </w:rPr>
        <w:t>E</w:t>
      </w:r>
      <w:r>
        <w:t>f</w:t>
      </w:r>
      <w:r>
        <w:rPr>
          <w:spacing w:val="-2"/>
        </w:rPr>
        <w:t>i</w:t>
      </w:r>
      <w:r>
        <w:t>ca</w:t>
      </w:r>
      <w:r>
        <w:rPr>
          <w:spacing w:val="-3"/>
        </w:rPr>
        <w:t>c</w:t>
      </w:r>
      <w:r>
        <w:rPr>
          <w:spacing w:val="1"/>
        </w:rPr>
        <w:t>i</w:t>
      </w:r>
      <w:r>
        <w:rPr>
          <w:spacing w:val="-2"/>
        </w:rPr>
        <w:t>t</w:t>
      </w:r>
      <w:r>
        <w:t>a</w:t>
      </w:r>
      <w:r>
        <w:rPr>
          <w:spacing w:val="1"/>
        </w:rPr>
        <w:t>t</w:t>
      </w:r>
      <w:r>
        <w:rPr>
          <w:spacing w:val="-3"/>
        </w:rPr>
        <w:t>e</w:t>
      </w:r>
      <w:r>
        <w:t>a a</w:t>
      </w:r>
      <w:r>
        <w:rPr>
          <w:spacing w:val="-3"/>
        </w:rPr>
        <w:t>da</w:t>
      </w:r>
      <w:r>
        <w:rPr>
          <w:spacing w:val="1"/>
        </w:rPr>
        <w:t>li</w:t>
      </w:r>
      <w:r>
        <w:rPr>
          <w:spacing w:val="-4"/>
        </w:rPr>
        <w:t>m</w:t>
      </w:r>
      <w:r>
        <w:t>u</w:t>
      </w:r>
      <w:r>
        <w:rPr>
          <w:spacing w:val="-4"/>
        </w:rPr>
        <w:t>m</w:t>
      </w:r>
      <w:r>
        <w:t xml:space="preserve">ab </w:t>
      </w:r>
      <w:r>
        <w:rPr>
          <w:spacing w:val="1"/>
        </w:rPr>
        <w:t>l</w:t>
      </w:r>
      <w:r>
        <w:t>a ac</w:t>
      </w:r>
      <w:r>
        <w:rPr>
          <w:spacing w:val="-3"/>
        </w:rPr>
        <w:t>e</w:t>
      </w:r>
      <w:r>
        <w:t>i pa</w:t>
      </w:r>
      <w:r>
        <w:rPr>
          <w:spacing w:val="-3"/>
        </w:rPr>
        <w:t>c</w:t>
      </w:r>
      <w:r>
        <w:rPr>
          <w:spacing w:val="1"/>
        </w:rPr>
        <w:t>i</w:t>
      </w:r>
      <w:r>
        <w:t>e</w:t>
      </w:r>
      <w:r>
        <w:rPr>
          <w:spacing w:val="-3"/>
        </w:rPr>
        <w:t>n</w:t>
      </w:r>
      <w:r>
        <w:rPr>
          <w:spacing w:val="1"/>
        </w:rPr>
        <w:t>ţ</w:t>
      </w:r>
      <w:r>
        <w:t>i</w:t>
      </w:r>
      <w:r>
        <w:rPr>
          <w:spacing w:val="-2"/>
        </w:rPr>
        <w:t xml:space="preserve"> </w:t>
      </w:r>
      <w:r>
        <w:t xml:space="preserve">a </w:t>
      </w:r>
      <w:r>
        <w:rPr>
          <w:spacing w:val="-2"/>
        </w:rPr>
        <w:t>f</w:t>
      </w:r>
      <w:r>
        <w:t>ost</w:t>
      </w:r>
      <w:r>
        <w:rPr>
          <w:spacing w:val="1"/>
        </w:rPr>
        <w:t xml:space="preserve"> </w:t>
      </w:r>
      <w:r>
        <w:rPr>
          <w:spacing w:val="-2"/>
        </w:rPr>
        <w:t>s</w:t>
      </w:r>
      <w:r>
        <w:t>că</w:t>
      </w:r>
      <w:r>
        <w:rPr>
          <w:spacing w:val="-3"/>
        </w:rPr>
        <w:t>z</w:t>
      </w:r>
      <w:r>
        <w:t>u</w:t>
      </w:r>
      <w:r>
        <w:rPr>
          <w:spacing w:val="1"/>
        </w:rPr>
        <w:t>t</w:t>
      </w:r>
      <w:r>
        <w:t>ă</w:t>
      </w:r>
      <w:r>
        <w:rPr>
          <w:spacing w:val="-2"/>
        </w:rPr>
        <w:t xml:space="preserve"> </w:t>
      </w:r>
      <w:r>
        <w:t>co</w:t>
      </w:r>
      <w:r>
        <w:rPr>
          <w:spacing w:val="-4"/>
        </w:rPr>
        <w:t>m</w:t>
      </w:r>
      <w:r>
        <w:t>para</w:t>
      </w:r>
      <w:r>
        <w:rPr>
          <w:spacing w:val="-2"/>
        </w:rPr>
        <w:t>t</w:t>
      </w:r>
      <w:r>
        <w:rPr>
          <w:spacing w:val="1"/>
        </w:rPr>
        <w:t>i</w:t>
      </w:r>
      <w:r>
        <w:t>v</w:t>
      </w:r>
      <w:r>
        <w:rPr>
          <w:spacing w:val="-3"/>
        </w:rPr>
        <w:t xml:space="preserve"> </w:t>
      </w:r>
      <w:r>
        <w:t xml:space="preserve">cu </w:t>
      </w:r>
      <w:r>
        <w:rPr>
          <w:spacing w:val="-3"/>
        </w:rPr>
        <w:t>c</w:t>
      </w:r>
      <w:r>
        <w:t xml:space="preserve">ea </w:t>
      </w:r>
      <w:r>
        <w:rPr>
          <w:spacing w:val="-2"/>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rPr>
          <w:spacing w:val="-3"/>
        </w:rPr>
        <w:t>c</w:t>
      </w:r>
      <w:r>
        <w:t xml:space="preserve">are nu au </w:t>
      </w:r>
      <w:r>
        <w:rPr>
          <w:spacing w:val="-3"/>
        </w:rPr>
        <w:t>u</w:t>
      </w:r>
      <w:r>
        <w:rPr>
          <w:spacing w:val="1"/>
        </w:rPr>
        <w:t>t</w:t>
      </w:r>
      <w:r>
        <w:rPr>
          <w:spacing w:val="-2"/>
        </w:rPr>
        <w:t>i</w:t>
      </w:r>
      <w:r>
        <w:rPr>
          <w:spacing w:val="1"/>
        </w:rPr>
        <w:t>li</w:t>
      </w:r>
      <w:r>
        <w:rPr>
          <w:spacing w:val="-3"/>
        </w:rPr>
        <w:t>z</w:t>
      </w:r>
      <w:r>
        <w:t>at</w:t>
      </w:r>
      <w:r>
        <w:rPr>
          <w:spacing w:val="-2"/>
        </w:rPr>
        <w:t xml:space="preserve"> </w:t>
      </w:r>
      <w:r>
        <w:t>an</w:t>
      </w:r>
      <w:r>
        <w:rPr>
          <w:spacing w:val="-2"/>
        </w:rPr>
        <w:t>t</w:t>
      </w:r>
      <w:r>
        <w:t>e</w:t>
      </w:r>
      <w:r>
        <w:rPr>
          <w:spacing w:val="-2"/>
        </w:rPr>
        <w:t>r</w:t>
      </w:r>
      <w:r>
        <w:rPr>
          <w:spacing w:val="1"/>
        </w:rPr>
        <w:t>i</w:t>
      </w:r>
      <w:r>
        <w:t>or</w:t>
      </w:r>
      <w:r>
        <w:rPr>
          <w:spacing w:val="-2"/>
        </w:rPr>
        <w:t xml:space="preserve"> </w:t>
      </w:r>
      <w:r>
        <w:t>a</w:t>
      </w:r>
      <w:r>
        <w:rPr>
          <w:spacing w:val="-3"/>
        </w:rPr>
        <w:t>n</w:t>
      </w:r>
      <w:r>
        <w:rPr>
          <w:spacing w:val="1"/>
        </w:rPr>
        <w:t>ti</w:t>
      </w:r>
      <w:r>
        <w:rPr>
          <w:spacing w:val="-5"/>
        </w:rPr>
        <w:t>-</w:t>
      </w:r>
      <w:r>
        <w:rPr>
          <w:spacing w:val="1"/>
        </w:rPr>
        <w:t>T</w:t>
      </w:r>
      <w:r>
        <w:rPr>
          <w:spacing w:val="-1"/>
        </w:rPr>
        <w:t>NF</w:t>
      </w:r>
      <w:r>
        <w:t xml:space="preserve">. </w:t>
      </w:r>
      <w:r>
        <w:rPr>
          <w:spacing w:val="-1"/>
        </w:rPr>
        <w:t>D</w:t>
      </w:r>
      <w:r>
        <w:rPr>
          <w:spacing w:val="1"/>
        </w:rPr>
        <w:t>i</w:t>
      </w:r>
      <w:r>
        <w:t>n</w:t>
      </w:r>
      <w:r>
        <w:rPr>
          <w:spacing w:val="-3"/>
        </w:rPr>
        <w:t xml:space="preserve"> </w:t>
      </w:r>
      <w:r>
        <w:t>nu</w:t>
      </w:r>
      <w:r>
        <w:rPr>
          <w:spacing w:val="-4"/>
        </w:rPr>
        <w:t>m</w:t>
      </w:r>
      <w:r>
        <w:t>ărul</w:t>
      </w:r>
      <w:r>
        <w:rPr>
          <w:spacing w:val="1"/>
        </w:rPr>
        <w:t xml:space="preserve"> </w:t>
      </w:r>
      <w:r>
        <w:rPr>
          <w:spacing w:val="-3"/>
        </w:rPr>
        <w:t>p</w:t>
      </w:r>
      <w:r>
        <w:t>ac</w:t>
      </w:r>
      <w:r>
        <w:rPr>
          <w:spacing w:val="-2"/>
        </w:rPr>
        <w:t>i</w:t>
      </w:r>
      <w:r>
        <w:t>en</w:t>
      </w:r>
      <w:r>
        <w:rPr>
          <w:spacing w:val="-2"/>
        </w:rPr>
        <w:t>ţil</w:t>
      </w:r>
      <w:r>
        <w:t>or</w:t>
      </w:r>
      <w:r>
        <w:rPr>
          <w:spacing w:val="1"/>
        </w:rPr>
        <w:t xml:space="preserve"> </w:t>
      </w:r>
      <w:r>
        <w:t>c</w:t>
      </w:r>
      <w:r>
        <w:rPr>
          <w:spacing w:val="-3"/>
        </w:rPr>
        <w:t>a</w:t>
      </w:r>
      <w:r>
        <w:t xml:space="preserve">re </w:t>
      </w:r>
      <w:r>
        <w:rPr>
          <w:spacing w:val="-3"/>
        </w:rPr>
        <w:t>n</w:t>
      </w:r>
      <w:r>
        <w:t>u au</w:t>
      </w:r>
      <w:r>
        <w:rPr>
          <w:spacing w:val="-3"/>
        </w:rPr>
        <w:t xml:space="preserve"> </w:t>
      </w:r>
      <w:r>
        <w:t>răs</w:t>
      </w:r>
      <w:r>
        <w:rPr>
          <w:spacing w:val="-3"/>
        </w:rPr>
        <w:t>p</w:t>
      </w:r>
      <w:r>
        <w:t xml:space="preserve">uns </w:t>
      </w:r>
      <w:r>
        <w:rPr>
          <w:spacing w:val="-3"/>
        </w:rPr>
        <w:t>a</w:t>
      </w:r>
      <w:r>
        <w:t>n</w:t>
      </w:r>
      <w:r>
        <w:rPr>
          <w:spacing w:val="1"/>
        </w:rPr>
        <w:t>t</w:t>
      </w:r>
      <w:r>
        <w:rPr>
          <w:spacing w:val="-3"/>
        </w:rPr>
        <w:t>e</w:t>
      </w:r>
      <w:r>
        <w:t>r</w:t>
      </w:r>
      <w:r>
        <w:rPr>
          <w:spacing w:val="-2"/>
        </w:rPr>
        <w:t>i</w:t>
      </w:r>
      <w:r>
        <w:t>or</w:t>
      </w:r>
      <w:r>
        <w:rPr>
          <w:spacing w:val="1"/>
        </w:rPr>
        <w:t xml:space="preserve"> </w:t>
      </w:r>
      <w:r>
        <w:rPr>
          <w:spacing w:val="-2"/>
        </w:rPr>
        <w:t>l</w:t>
      </w:r>
      <w:r>
        <w:t xml:space="preserve">a </w:t>
      </w:r>
      <w:r>
        <w:rPr>
          <w:spacing w:val="-2"/>
        </w:rPr>
        <w:t>t</w:t>
      </w:r>
      <w:r>
        <w:t>ra</w:t>
      </w:r>
      <w:r>
        <w:rPr>
          <w:spacing w:val="-2"/>
        </w:rPr>
        <w:t>t</w:t>
      </w:r>
      <w:r>
        <w:t>a</w:t>
      </w:r>
      <w:r>
        <w:rPr>
          <w:spacing w:val="-4"/>
        </w:rPr>
        <w:t>m</w:t>
      </w:r>
      <w:r>
        <w:t>en</w:t>
      </w:r>
      <w:r>
        <w:rPr>
          <w:spacing w:val="1"/>
        </w:rPr>
        <w:t>t</w:t>
      </w:r>
      <w:r>
        <w:t>ul</w:t>
      </w:r>
      <w:r>
        <w:rPr>
          <w:spacing w:val="-2"/>
        </w:rPr>
        <w:t xml:space="preserve"> </w:t>
      </w:r>
      <w:r>
        <w:t>cu an</w:t>
      </w:r>
      <w:r>
        <w:rPr>
          <w:spacing w:val="-2"/>
        </w:rPr>
        <w:t>t</w:t>
      </w:r>
      <w:r>
        <w:t>i</w:t>
      </w:r>
      <w:r>
        <w:rPr>
          <w:spacing w:val="-4"/>
        </w:rPr>
        <w:noBreakHyphen/>
      </w:r>
      <w:r>
        <w:rPr>
          <w:spacing w:val="1"/>
        </w:rPr>
        <w:t>T</w:t>
      </w:r>
      <w:r>
        <w:rPr>
          <w:spacing w:val="-1"/>
        </w:rPr>
        <w:t>NF</w:t>
      </w:r>
      <w:r>
        <w:t>, 3%</w:t>
      </w:r>
      <w:r>
        <w:rPr>
          <w:spacing w:val="1"/>
        </w:rPr>
        <w:t xml:space="preserve"> </w:t>
      </w:r>
      <w:r>
        <w:t xml:space="preserve">a </w:t>
      </w:r>
      <w:r>
        <w:rPr>
          <w:spacing w:val="-3"/>
        </w:rPr>
        <w:t>o</w:t>
      </w:r>
      <w:r>
        <w:t>b</w:t>
      </w:r>
      <w:r>
        <w:rPr>
          <w:spacing w:val="-2"/>
        </w:rPr>
        <w:t>ţ</w:t>
      </w:r>
      <w:r>
        <w:rPr>
          <w:spacing w:val="1"/>
        </w:rPr>
        <w:t>i</w:t>
      </w:r>
      <w:r>
        <w:t>nut</w:t>
      </w:r>
      <w:r>
        <w:rPr>
          <w:spacing w:val="-2"/>
        </w:rPr>
        <w:t xml:space="preserve"> </w:t>
      </w:r>
      <w:r>
        <w:t>re</w:t>
      </w:r>
      <w:r>
        <w:rPr>
          <w:spacing w:val="-4"/>
        </w:rPr>
        <w:t>m</w:t>
      </w:r>
      <w:r>
        <w:rPr>
          <w:spacing w:val="1"/>
        </w:rPr>
        <w:t>i</w:t>
      </w:r>
      <w:r>
        <w:t>s</w:t>
      </w:r>
      <w:r>
        <w:rPr>
          <w:spacing w:val="-2"/>
        </w:rPr>
        <w:t>i</w:t>
      </w:r>
      <w:r>
        <w:t xml:space="preserve">a </w:t>
      </w:r>
      <w:r>
        <w:rPr>
          <w:spacing w:val="1"/>
        </w:rPr>
        <w:t>î</w:t>
      </w:r>
      <w:r>
        <w:t>n</w:t>
      </w:r>
      <w:r>
        <w:rPr>
          <w:spacing w:val="-3"/>
        </w:rPr>
        <w:t xml:space="preserve">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52 </w:t>
      </w:r>
      <w:r>
        <w:rPr>
          <w:spacing w:val="-2"/>
        </w:rPr>
        <w:t>î</w:t>
      </w:r>
      <w:r>
        <w:t xml:space="preserve">n </w:t>
      </w:r>
      <w:r>
        <w:rPr>
          <w:spacing w:val="-3"/>
        </w:rPr>
        <w:t>g</w:t>
      </w:r>
      <w:r>
        <w:t>rupul</w:t>
      </w:r>
      <w:r>
        <w:rPr>
          <w:spacing w:val="1"/>
        </w:rPr>
        <w:t xml:space="preserve"> </w:t>
      </w:r>
      <w:r>
        <w:rPr>
          <w:spacing w:val="-3"/>
        </w:rPr>
        <w:t>c</w:t>
      </w:r>
      <w:r>
        <w:t>are</w:t>
      </w:r>
      <w:r>
        <w:rPr>
          <w:spacing w:val="-2"/>
        </w:rPr>
        <w:t xml:space="preserve"> </w:t>
      </w:r>
      <w:r>
        <w:t xml:space="preserve">a </w:t>
      </w:r>
      <w:r>
        <w:rPr>
          <w:spacing w:val="-3"/>
        </w:rPr>
        <w:t>u</w:t>
      </w:r>
      <w:r>
        <w:rPr>
          <w:spacing w:val="1"/>
        </w:rPr>
        <w:t>t</w:t>
      </w:r>
      <w:r>
        <w:rPr>
          <w:spacing w:val="-2"/>
        </w:rPr>
        <w:t>i</w:t>
      </w:r>
      <w:r>
        <w:rPr>
          <w:spacing w:val="1"/>
        </w:rPr>
        <w:t>li</w:t>
      </w:r>
      <w:r>
        <w:rPr>
          <w:spacing w:val="-3"/>
        </w:rPr>
        <w:t>z</w:t>
      </w:r>
      <w:r>
        <w:t>at</w:t>
      </w:r>
      <w:r>
        <w:rPr>
          <w:spacing w:val="1"/>
        </w:rPr>
        <w:t xml:space="preserve"> </w:t>
      </w:r>
      <w:r>
        <w:rPr>
          <w:spacing w:val="-3"/>
        </w:rPr>
        <w:t>p</w:t>
      </w:r>
      <w:r>
        <w:rPr>
          <w:spacing w:val="1"/>
        </w:rPr>
        <w:t>l</w:t>
      </w:r>
      <w:r>
        <w:rPr>
          <w:spacing w:val="-3"/>
        </w:rPr>
        <w:t>a</w:t>
      </w:r>
      <w:r>
        <w:t>cebo</w:t>
      </w:r>
      <w:r>
        <w:rPr>
          <w:spacing w:val="-3"/>
        </w:rPr>
        <w:t xml:space="preserve"> </w:t>
      </w:r>
      <w:r>
        <w:rPr>
          <w:spacing w:val="-2"/>
        </w:rPr>
        <w:t>ş</w:t>
      </w:r>
      <w:r>
        <w:t>i</w:t>
      </w:r>
      <w:r>
        <w:rPr>
          <w:spacing w:val="1"/>
        </w:rPr>
        <w:t xml:space="preserve"> </w:t>
      </w:r>
      <w:r>
        <w:t>1</w:t>
      </w:r>
      <w:r>
        <w:rPr>
          <w:spacing w:val="-3"/>
        </w:rPr>
        <w:t>0</w:t>
      </w:r>
      <w:r>
        <w:t>%</w:t>
      </w:r>
      <w:r>
        <w:rPr>
          <w:spacing w:val="1"/>
        </w:rPr>
        <w:t xml:space="preserve"> î</w:t>
      </w:r>
      <w:r>
        <w:t xml:space="preserve">n </w:t>
      </w:r>
      <w:r>
        <w:rPr>
          <w:spacing w:val="-3"/>
        </w:rPr>
        <w:t>g</w:t>
      </w:r>
      <w:r>
        <w:t>ru</w:t>
      </w:r>
      <w:r>
        <w:rPr>
          <w:spacing w:val="-3"/>
        </w:rPr>
        <w:t>p</w:t>
      </w:r>
      <w:r>
        <w:t xml:space="preserve">ul </w:t>
      </w:r>
      <w:r>
        <w:rPr>
          <w:spacing w:val="1"/>
        </w:rPr>
        <w:t>t</w:t>
      </w:r>
      <w:r>
        <w:t>r</w:t>
      </w:r>
      <w:r>
        <w:rPr>
          <w:spacing w:val="-3"/>
        </w:rPr>
        <w:t>a</w:t>
      </w:r>
      <w:r>
        <w:rPr>
          <w:spacing w:val="1"/>
        </w:rPr>
        <w:t>t</w:t>
      </w:r>
      <w:r>
        <w:rPr>
          <w:spacing w:val="-3"/>
        </w:rPr>
        <w:t>a</w:t>
      </w:r>
      <w:r>
        <w:t>t</w:t>
      </w:r>
      <w:r>
        <w:rPr>
          <w:spacing w:val="1"/>
        </w:rPr>
        <w:t xml:space="preserve"> </w:t>
      </w:r>
      <w:r>
        <w:t>cu</w:t>
      </w:r>
      <w:r>
        <w:rPr>
          <w:spacing w:val="-3"/>
        </w:rPr>
        <w:t xml:space="preserve"> </w:t>
      </w:r>
      <w:r>
        <w:t>ad</w:t>
      </w:r>
      <w:r>
        <w:rPr>
          <w:spacing w:val="-3"/>
        </w:rPr>
        <w:t>a</w:t>
      </w:r>
      <w:r>
        <w:rPr>
          <w:spacing w:val="1"/>
        </w:rPr>
        <w:t>li</w:t>
      </w:r>
      <w:r>
        <w:rPr>
          <w:spacing w:val="-4"/>
        </w:rPr>
        <w:t>m</w:t>
      </w:r>
      <w:r>
        <w:t>u</w:t>
      </w:r>
      <w:r>
        <w:rPr>
          <w:spacing w:val="-4"/>
        </w:rPr>
        <w:t>m</w:t>
      </w:r>
      <w:r>
        <w:t>ab.</w:t>
      </w:r>
    </w:p>
    <w:p w14:paraId="04F8C8A3" w14:textId="77777777" w:rsidR="00C04CAD" w:rsidRDefault="00C04CAD">
      <w:pPr>
        <w:tabs>
          <w:tab w:val="clear" w:pos="567"/>
        </w:tabs>
        <w:kinsoku w:val="0"/>
        <w:overflowPunct w:val="0"/>
        <w:autoSpaceDE w:val="0"/>
        <w:autoSpaceDN w:val="0"/>
        <w:adjustRightInd w:val="0"/>
        <w:spacing w:line="240" w:lineRule="auto"/>
      </w:pPr>
    </w:p>
    <w:p w14:paraId="5735CEAF" w14:textId="77777777" w:rsidR="00C04CAD" w:rsidRDefault="00060E34">
      <w:pPr>
        <w:tabs>
          <w:tab w:val="clear" w:pos="567"/>
        </w:tabs>
        <w:kinsoku w:val="0"/>
        <w:overflowPunct w:val="0"/>
        <w:autoSpaceDE w:val="0"/>
        <w:autoSpaceDN w:val="0"/>
        <w:adjustRightInd w:val="0"/>
        <w:spacing w:line="240" w:lineRule="auto"/>
      </w:pPr>
      <w:r>
        <w:rPr>
          <w:spacing w:val="-1"/>
        </w:rPr>
        <w:t>P</w:t>
      </w:r>
      <w:r>
        <w:t>ac</w:t>
      </w:r>
      <w:r>
        <w:rPr>
          <w:spacing w:val="1"/>
        </w:rPr>
        <w:t>i</w:t>
      </w:r>
      <w:r>
        <w:rPr>
          <w:spacing w:val="-3"/>
        </w:rPr>
        <w:t>e</w:t>
      </w:r>
      <w:r>
        <w:t>n</w:t>
      </w:r>
      <w:r>
        <w:rPr>
          <w:spacing w:val="-2"/>
        </w:rPr>
        <w:t>ţ</w:t>
      </w:r>
      <w:r>
        <w:rPr>
          <w:spacing w:val="1"/>
        </w:rPr>
        <w:t>i</w:t>
      </w:r>
      <w:r>
        <w:t>i</w:t>
      </w:r>
      <w:r>
        <w:rPr>
          <w:spacing w:val="1"/>
        </w:rPr>
        <w:t xml:space="preserve"> </w:t>
      </w:r>
      <w:r>
        <w:rPr>
          <w:spacing w:val="-3"/>
        </w:rPr>
        <w:t>d</w:t>
      </w:r>
      <w:r>
        <w:rPr>
          <w:spacing w:val="1"/>
        </w:rPr>
        <w:t>i</w:t>
      </w:r>
      <w:r>
        <w:t>n</w:t>
      </w:r>
      <w:r>
        <w:rPr>
          <w:spacing w:val="-3"/>
        </w:rPr>
        <w:t xml:space="preserve"> </w:t>
      </w:r>
      <w:r>
        <w:t>s</w:t>
      </w:r>
      <w:r>
        <w:rPr>
          <w:spacing w:val="1"/>
        </w:rPr>
        <w:t>t</w:t>
      </w:r>
      <w:r>
        <w:t>u</w:t>
      </w:r>
      <w:r>
        <w:rPr>
          <w:spacing w:val="-3"/>
        </w:rPr>
        <w:t>d</w:t>
      </w:r>
      <w:r>
        <w:rPr>
          <w:spacing w:val="1"/>
        </w:rPr>
        <w:t>i</w:t>
      </w:r>
      <w:r>
        <w:rPr>
          <w:spacing w:val="-2"/>
        </w:rPr>
        <w:t>i</w:t>
      </w:r>
      <w:r>
        <w:rPr>
          <w:spacing w:val="1"/>
        </w:rPr>
        <w:t>l</w:t>
      </w:r>
      <w:r>
        <w:t xml:space="preserve">e </w:t>
      </w:r>
      <w:r>
        <w:rPr>
          <w:spacing w:val="-1"/>
        </w:rPr>
        <w:t>U</w:t>
      </w:r>
      <w:r>
        <w:rPr>
          <w:spacing w:val="-2"/>
        </w:rPr>
        <w:t>C</w:t>
      </w:r>
      <w:r>
        <w:t>-I</w:t>
      </w:r>
      <w:r>
        <w:rPr>
          <w:spacing w:val="-2"/>
        </w:rPr>
        <w:t xml:space="preserve"> </w:t>
      </w:r>
      <w:r>
        <w:t>şi</w:t>
      </w:r>
      <w:r>
        <w:rPr>
          <w:spacing w:val="1"/>
        </w:rPr>
        <w:t xml:space="preserve"> </w:t>
      </w:r>
      <w:r>
        <w:rPr>
          <w:spacing w:val="-1"/>
        </w:rPr>
        <w:t>UC</w:t>
      </w:r>
      <w:r>
        <w:rPr>
          <w:spacing w:val="-2"/>
        </w:rPr>
        <w:t>-I</w:t>
      </w:r>
      <w:r>
        <w:t>I</w:t>
      </w:r>
      <w:r>
        <w:rPr>
          <w:spacing w:val="-2"/>
        </w:rPr>
        <w:t xml:space="preserve"> </w:t>
      </w:r>
      <w:r>
        <w:t>au a</w:t>
      </w:r>
      <w:r>
        <w:rPr>
          <w:spacing w:val="-3"/>
        </w:rPr>
        <w:t>v</w:t>
      </w:r>
      <w:r>
        <w:t>ut</w:t>
      </w:r>
      <w:r>
        <w:rPr>
          <w:spacing w:val="1"/>
        </w:rPr>
        <w:t xml:space="preserve"> </w:t>
      </w:r>
      <w:r>
        <w:t>op</w:t>
      </w:r>
      <w:r>
        <w:rPr>
          <w:spacing w:val="1"/>
        </w:rPr>
        <w:t>ţi</w:t>
      </w:r>
      <w:r>
        <w:rPr>
          <w:spacing w:val="-3"/>
        </w:rPr>
        <w:t>u</w:t>
      </w:r>
      <w:r>
        <w:t>nea</w:t>
      </w:r>
      <w:r>
        <w:rPr>
          <w:spacing w:val="-2"/>
        </w:rPr>
        <w:t xml:space="preserve"> s</w:t>
      </w:r>
      <w:r>
        <w:t>ă f</w:t>
      </w:r>
      <w:r>
        <w:rPr>
          <w:spacing w:val="-2"/>
        </w:rPr>
        <w:t>i</w:t>
      </w:r>
      <w:r>
        <w:t xml:space="preserve">e </w:t>
      </w:r>
      <w:r>
        <w:rPr>
          <w:spacing w:val="1"/>
        </w:rPr>
        <w:t>î</w:t>
      </w:r>
      <w:r>
        <w:rPr>
          <w:spacing w:val="-3"/>
        </w:rPr>
        <w:t>n</w:t>
      </w:r>
      <w:r>
        <w:t>r</w:t>
      </w:r>
      <w:r>
        <w:rPr>
          <w:spacing w:val="-3"/>
        </w:rPr>
        <w:t>o</w:t>
      </w:r>
      <w:r>
        <w:rPr>
          <w:spacing w:val="1"/>
        </w:rPr>
        <w:t>l</w:t>
      </w:r>
      <w:r>
        <w:t>a</w:t>
      </w:r>
      <w:r>
        <w:rPr>
          <w:spacing w:val="-2"/>
        </w:rPr>
        <w:t>ţ</w:t>
      </w:r>
      <w:r>
        <w:t>i</w:t>
      </w:r>
      <w:r>
        <w:rPr>
          <w:spacing w:val="-2"/>
        </w:rPr>
        <w:t xml:space="preserve"> </w:t>
      </w:r>
      <w:r>
        <w:rPr>
          <w:spacing w:val="1"/>
        </w:rPr>
        <w:t>î</w:t>
      </w:r>
      <w:r>
        <w:t>n</w:t>
      </w:r>
      <w:r>
        <w:rPr>
          <w:spacing w:val="-2"/>
        </w:rPr>
        <w:t>t</w:t>
      </w:r>
      <w:r>
        <w:t>r</w:t>
      </w:r>
      <w:r>
        <w:rPr>
          <w:spacing w:val="-4"/>
        </w:rPr>
        <w:t>-</w:t>
      </w:r>
      <w:r>
        <w:t>un s</w:t>
      </w:r>
      <w:r>
        <w:rPr>
          <w:spacing w:val="1"/>
        </w:rPr>
        <w:t>t</w:t>
      </w:r>
      <w:r>
        <w:t>ud</w:t>
      </w:r>
      <w:r>
        <w:rPr>
          <w:spacing w:val="-2"/>
        </w:rPr>
        <w:t>i</w:t>
      </w:r>
      <w:r>
        <w:t>u</w:t>
      </w:r>
      <w:r>
        <w:rPr>
          <w:spacing w:val="-3"/>
        </w:rPr>
        <w:t xml:space="preserve"> </w:t>
      </w:r>
      <w:r>
        <w:t>desc</w:t>
      </w:r>
      <w:r>
        <w:rPr>
          <w:spacing w:val="-3"/>
        </w:rPr>
        <w:t>h</w:t>
      </w:r>
      <w:r>
        <w:rPr>
          <w:spacing w:val="1"/>
        </w:rPr>
        <w:t>i</w:t>
      </w:r>
      <w:r>
        <w:t>s</w:t>
      </w:r>
      <w:r>
        <w:rPr>
          <w:spacing w:val="-2"/>
        </w:rPr>
        <w:t xml:space="preserve"> </w:t>
      </w:r>
      <w:r>
        <w:t>ex</w:t>
      </w:r>
      <w:r>
        <w:rPr>
          <w:spacing w:val="-2"/>
        </w:rPr>
        <w:t>t</w:t>
      </w:r>
      <w:r>
        <w:rPr>
          <w:spacing w:val="1"/>
        </w:rPr>
        <w:t>i</w:t>
      </w:r>
      <w:r>
        <w:t xml:space="preserve">ns </w:t>
      </w:r>
      <w:r>
        <w:rPr>
          <w:spacing w:val="-3"/>
        </w:rPr>
        <w:t>p</w:t>
      </w:r>
      <w:r>
        <w:t xml:space="preserve">e </w:t>
      </w:r>
      <w:r>
        <w:rPr>
          <w:spacing w:val="1"/>
        </w:rPr>
        <w:t>t</w:t>
      </w:r>
      <w:r>
        <w:t>er</w:t>
      </w:r>
      <w:r>
        <w:rPr>
          <w:spacing w:val="-4"/>
        </w:rPr>
        <w:t>m</w:t>
      </w:r>
      <w:r>
        <w:t xml:space="preserve">en </w:t>
      </w:r>
      <w:r>
        <w:rPr>
          <w:spacing w:val="1"/>
        </w:rPr>
        <w:t>l</w:t>
      </w:r>
      <w:r>
        <w:t>ung</w:t>
      </w:r>
      <w:r>
        <w:rPr>
          <w:spacing w:val="-3"/>
        </w:rPr>
        <w:t xml:space="preserve"> </w:t>
      </w:r>
      <w:r>
        <w:t>(</w:t>
      </w:r>
      <w:r>
        <w:rPr>
          <w:spacing w:val="-1"/>
        </w:rPr>
        <w:t>U</w:t>
      </w:r>
      <w:r>
        <w:t>C</w:t>
      </w:r>
      <w:r>
        <w:rPr>
          <w:spacing w:val="-1"/>
        </w:rPr>
        <w:t xml:space="preserve"> </w:t>
      </w:r>
      <w:r>
        <w:rPr>
          <w:spacing w:val="-2"/>
        </w:rPr>
        <w:t>II</w:t>
      </w:r>
      <w:r>
        <w:rPr>
          <w:spacing w:val="-4"/>
        </w:rPr>
        <w:t>I</w:t>
      </w:r>
      <w:r>
        <w:t xml:space="preserve">). </w:t>
      </w:r>
      <w:r>
        <w:rPr>
          <w:spacing w:val="-1"/>
        </w:rPr>
        <w:t>D</w:t>
      </w:r>
      <w:r>
        <w:t>upă</w:t>
      </w:r>
      <w:r>
        <w:rPr>
          <w:spacing w:val="2"/>
        </w:rPr>
        <w:t xml:space="preserve"> </w:t>
      </w:r>
      <w:r>
        <w:t>3 ani</w:t>
      </w:r>
      <w:r>
        <w:rPr>
          <w:spacing w:val="-2"/>
        </w:rPr>
        <w:t xml:space="preserve"> </w:t>
      </w:r>
      <w:r>
        <w:t xml:space="preserve">de </w:t>
      </w:r>
      <w:r>
        <w:rPr>
          <w:spacing w:val="-2"/>
        </w:rPr>
        <w:t>t</w:t>
      </w:r>
      <w:r>
        <w:t>r</w:t>
      </w:r>
      <w:r>
        <w:rPr>
          <w:spacing w:val="-3"/>
        </w:rPr>
        <w:t>a</w:t>
      </w:r>
      <w:r>
        <w:rPr>
          <w:spacing w:val="1"/>
        </w:rPr>
        <w:t>t</w:t>
      </w:r>
      <w:r>
        <w:t>a</w:t>
      </w:r>
      <w:r>
        <w:rPr>
          <w:spacing w:val="-4"/>
        </w:rPr>
        <w:t>m</w:t>
      </w:r>
      <w:r>
        <w:t>ent</w:t>
      </w:r>
      <w:r>
        <w:rPr>
          <w:spacing w:val="1"/>
        </w:rPr>
        <w:t xml:space="preserve"> </w:t>
      </w:r>
      <w:r>
        <w:t>cu</w:t>
      </w:r>
      <w:r>
        <w:rPr>
          <w:spacing w:val="-3"/>
        </w:rPr>
        <w:t xml:space="preserve"> </w:t>
      </w:r>
      <w:r>
        <w:t>ad</w:t>
      </w:r>
      <w:r>
        <w:rPr>
          <w:spacing w:val="-3"/>
        </w:rPr>
        <w:t>a</w:t>
      </w:r>
      <w:r>
        <w:rPr>
          <w:spacing w:val="1"/>
        </w:rPr>
        <w:t>l</w:t>
      </w:r>
      <w:r>
        <w:rPr>
          <w:spacing w:val="-2"/>
        </w:rPr>
        <w:t>i</w:t>
      </w:r>
      <w:r>
        <w:rPr>
          <w:spacing w:val="-4"/>
        </w:rPr>
        <w:t>m</w:t>
      </w:r>
      <w:r>
        <w:rPr>
          <w:spacing w:val="2"/>
        </w:rPr>
        <w:t>u</w:t>
      </w:r>
      <w:r>
        <w:rPr>
          <w:spacing w:val="-4"/>
        </w:rPr>
        <w:t>m</w:t>
      </w:r>
      <w:r>
        <w:t>ab, 75%</w:t>
      </w:r>
      <w:r>
        <w:rPr>
          <w:spacing w:val="1"/>
        </w:rPr>
        <w:t xml:space="preserve"> </w:t>
      </w:r>
      <w:r>
        <w:t>(30</w:t>
      </w:r>
      <w:r>
        <w:rPr>
          <w:spacing w:val="-3"/>
        </w:rPr>
        <w:t>1</w:t>
      </w:r>
      <w:r>
        <w:rPr>
          <w:spacing w:val="1"/>
        </w:rPr>
        <w:t>/</w:t>
      </w:r>
      <w:r>
        <w:t>40</w:t>
      </w:r>
      <w:r>
        <w:rPr>
          <w:spacing w:val="-3"/>
        </w:rPr>
        <w:t>2</w:t>
      </w:r>
      <w:r>
        <w:t>)</w:t>
      </w:r>
      <w:r>
        <w:rPr>
          <w:spacing w:val="1"/>
        </w:rPr>
        <w:t xml:space="preserve"> </w:t>
      </w:r>
      <w:r>
        <w:t>au</w:t>
      </w:r>
      <w:r>
        <w:rPr>
          <w:spacing w:val="-3"/>
        </w:rPr>
        <w:t xml:space="preserve"> </w:t>
      </w:r>
      <w:r>
        <w:t>con</w:t>
      </w:r>
      <w:r>
        <w:rPr>
          <w:spacing w:val="-2"/>
        </w:rPr>
        <w:t>t</w:t>
      </w:r>
      <w:r>
        <w:rPr>
          <w:spacing w:val="1"/>
        </w:rPr>
        <w:t>i</w:t>
      </w:r>
      <w:r>
        <w:t>nu</w:t>
      </w:r>
      <w:r>
        <w:rPr>
          <w:spacing w:val="-3"/>
        </w:rPr>
        <w:t>a</w:t>
      </w:r>
      <w:r>
        <w:t>t</w:t>
      </w:r>
      <w:r>
        <w:rPr>
          <w:spacing w:val="1"/>
        </w:rPr>
        <w:t xml:space="preserve"> </w:t>
      </w:r>
      <w:r>
        <w:rPr>
          <w:spacing w:val="-2"/>
        </w:rPr>
        <w:t>s</w:t>
      </w:r>
      <w:r>
        <w:t xml:space="preserve">ă </w:t>
      </w:r>
      <w:r>
        <w:rPr>
          <w:spacing w:val="-2"/>
        </w:rPr>
        <w:t>f</w:t>
      </w:r>
      <w:r>
        <w:rPr>
          <w:spacing w:val="1"/>
        </w:rPr>
        <w:t>i</w:t>
      </w:r>
      <w:r>
        <w:t>e</w:t>
      </w:r>
      <w:r>
        <w:rPr>
          <w:spacing w:val="-2"/>
        </w:rPr>
        <w:t xml:space="preserve"> </w:t>
      </w:r>
      <w:r>
        <w:rPr>
          <w:spacing w:val="1"/>
        </w:rPr>
        <w:t>î</w:t>
      </w:r>
      <w:r>
        <w:t>n re</w:t>
      </w:r>
      <w:r>
        <w:rPr>
          <w:spacing w:val="-4"/>
        </w:rPr>
        <w:t>m</w:t>
      </w:r>
      <w:r>
        <w:rPr>
          <w:spacing w:val="1"/>
        </w:rPr>
        <w:t>i</w:t>
      </w:r>
      <w:r>
        <w:t>s</w:t>
      </w:r>
      <w:r>
        <w:rPr>
          <w:spacing w:val="1"/>
        </w:rPr>
        <w:t>i</w:t>
      </w:r>
      <w:r>
        <w:t>e</w:t>
      </w:r>
      <w:r>
        <w:rPr>
          <w:spacing w:val="-2"/>
        </w:rPr>
        <w:t xml:space="preserve"> </w:t>
      </w:r>
      <w:r>
        <w:t>c</w:t>
      </w:r>
      <w:r>
        <w:rPr>
          <w:spacing w:val="-2"/>
        </w:rPr>
        <w:t>l</w:t>
      </w:r>
      <w:r>
        <w:rPr>
          <w:spacing w:val="1"/>
        </w:rPr>
        <w:t>i</w:t>
      </w:r>
      <w:r>
        <w:t>n</w:t>
      </w:r>
      <w:r>
        <w:rPr>
          <w:spacing w:val="-2"/>
        </w:rPr>
        <w:t>i</w:t>
      </w:r>
      <w:r>
        <w:t>că c</w:t>
      </w:r>
      <w:r>
        <w:rPr>
          <w:spacing w:val="-3"/>
        </w:rPr>
        <w:t>o</w:t>
      </w:r>
      <w:r>
        <w:t>nf</w:t>
      </w:r>
      <w:r>
        <w:rPr>
          <w:spacing w:val="-3"/>
        </w:rPr>
        <w:t>o</w:t>
      </w:r>
      <w:r>
        <w:t>rm</w:t>
      </w:r>
      <w:r>
        <w:rPr>
          <w:spacing w:val="-4"/>
        </w:rPr>
        <w:t xml:space="preserve"> </w:t>
      </w:r>
      <w:r>
        <w:t>scoru</w:t>
      </w:r>
      <w:r>
        <w:rPr>
          <w:spacing w:val="1"/>
        </w:rPr>
        <w:t>l</w:t>
      </w:r>
      <w:r>
        <w:rPr>
          <w:spacing w:val="-3"/>
        </w:rPr>
        <w:t>u</w:t>
      </w:r>
      <w:r>
        <w:t>i</w:t>
      </w:r>
      <w:r>
        <w:rPr>
          <w:spacing w:val="1"/>
        </w:rPr>
        <w:t xml:space="preserve"> </w:t>
      </w:r>
      <w:r>
        <w:t>p</w:t>
      </w:r>
      <w:r>
        <w:rPr>
          <w:spacing w:val="-3"/>
        </w:rPr>
        <w:t>a</w:t>
      </w:r>
      <w:r>
        <w:t>r</w:t>
      </w:r>
      <w:r>
        <w:rPr>
          <w:spacing w:val="-2"/>
        </w:rPr>
        <w:t>ţ</w:t>
      </w:r>
      <w:r>
        <w:rPr>
          <w:spacing w:val="1"/>
        </w:rPr>
        <w:t>i</w:t>
      </w:r>
      <w:r>
        <w:rPr>
          <w:spacing w:val="-3"/>
        </w:rPr>
        <w:t>a</w:t>
      </w:r>
      <w:r>
        <w:t>l</w:t>
      </w:r>
      <w:r>
        <w:rPr>
          <w:spacing w:val="1"/>
        </w:rPr>
        <w:t xml:space="preserve"> </w:t>
      </w:r>
      <w:r>
        <w:rPr>
          <w:spacing w:val="-2"/>
        </w:rPr>
        <w:t>M</w:t>
      </w:r>
      <w:r>
        <w:t>a</w:t>
      </w:r>
      <w:r>
        <w:rPr>
          <w:spacing w:val="-3"/>
        </w:rPr>
        <w:t>y</w:t>
      </w:r>
      <w:r>
        <w:t>o.</w:t>
      </w:r>
    </w:p>
    <w:p w14:paraId="4646F5A0" w14:textId="77777777" w:rsidR="00C04CAD" w:rsidRDefault="00C04CAD">
      <w:pPr>
        <w:tabs>
          <w:tab w:val="clear" w:pos="567"/>
        </w:tabs>
        <w:kinsoku w:val="0"/>
        <w:overflowPunct w:val="0"/>
        <w:autoSpaceDE w:val="0"/>
        <w:autoSpaceDN w:val="0"/>
        <w:adjustRightInd w:val="0"/>
        <w:spacing w:line="240" w:lineRule="auto"/>
      </w:pPr>
    </w:p>
    <w:p w14:paraId="2B49E41A" w14:textId="77777777" w:rsidR="00C04CAD" w:rsidRDefault="00060E34">
      <w:pPr>
        <w:tabs>
          <w:tab w:val="clear" w:pos="567"/>
        </w:tabs>
        <w:kinsoku w:val="0"/>
        <w:overflowPunct w:val="0"/>
        <w:autoSpaceDE w:val="0"/>
        <w:autoSpaceDN w:val="0"/>
        <w:adjustRightInd w:val="0"/>
        <w:spacing w:line="240" w:lineRule="auto"/>
      </w:pPr>
      <w:r>
        <w:rPr>
          <w:i/>
          <w:spacing w:val="-1"/>
          <w:u w:val="single"/>
        </w:rPr>
        <w:t>R</w:t>
      </w:r>
      <w:r>
        <w:rPr>
          <w:i/>
          <w:u w:val="single"/>
        </w:rPr>
        <w:t>a</w:t>
      </w:r>
      <w:r>
        <w:rPr>
          <w:i/>
          <w:spacing w:val="1"/>
          <w:u w:val="single"/>
        </w:rPr>
        <w:t>t</w:t>
      </w:r>
      <w:r>
        <w:rPr>
          <w:i/>
          <w:u w:val="single"/>
        </w:rPr>
        <w:t>a</w:t>
      </w:r>
      <w:r>
        <w:rPr>
          <w:i/>
          <w:spacing w:val="-1"/>
          <w:u w:val="single"/>
        </w:rPr>
        <w:t xml:space="preserve"> </w:t>
      </w:r>
      <w:r>
        <w:rPr>
          <w:i/>
          <w:u w:val="single"/>
        </w:rPr>
        <w:t>s</w:t>
      </w:r>
      <w:r>
        <w:rPr>
          <w:i/>
          <w:spacing w:val="-3"/>
          <w:u w:val="single"/>
        </w:rPr>
        <w:t>p</w:t>
      </w:r>
      <w:r>
        <w:rPr>
          <w:i/>
          <w:spacing w:val="1"/>
          <w:u w:val="single"/>
        </w:rPr>
        <w:t>i</w:t>
      </w:r>
      <w:r>
        <w:rPr>
          <w:i/>
          <w:spacing w:val="-2"/>
          <w:u w:val="single"/>
        </w:rPr>
        <w:t>t</w:t>
      </w:r>
      <w:r>
        <w:rPr>
          <w:i/>
          <w:u w:val="single"/>
        </w:rPr>
        <w:t>a</w:t>
      </w:r>
      <w:r>
        <w:rPr>
          <w:i/>
          <w:spacing w:val="-2"/>
          <w:u w:val="single"/>
        </w:rPr>
        <w:t>l</w:t>
      </w:r>
      <w:r>
        <w:rPr>
          <w:i/>
          <w:spacing w:val="1"/>
          <w:u w:val="single"/>
        </w:rPr>
        <w:t>i</w:t>
      </w:r>
      <w:r>
        <w:rPr>
          <w:i/>
          <w:u w:val="single"/>
        </w:rPr>
        <w:t>z</w:t>
      </w:r>
      <w:r>
        <w:rPr>
          <w:i/>
          <w:spacing w:val="-3"/>
          <w:u w:val="single"/>
        </w:rPr>
        <w:t>ă</w:t>
      </w:r>
      <w:r>
        <w:rPr>
          <w:i/>
          <w:u w:val="single"/>
        </w:rPr>
        <w:t>r</w:t>
      </w:r>
      <w:r>
        <w:rPr>
          <w:i/>
          <w:spacing w:val="-2"/>
          <w:u w:val="single"/>
        </w:rPr>
        <w:t>i</w:t>
      </w:r>
      <w:r>
        <w:rPr>
          <w:i/>
          <w:u w:val="single"/>
        </w:rPr>
        <w:t>i</w:t>
      </w:r>
    </w:p>
    <w:p w14:paraId="4CC07F47" w14:textId="77777777" w:rsidR="00C04CAD" w:rsidRDefault="00C04CAD">
      <w:pPr>
        <w:tabs>
          <w:tab w:val="clear" w:pos="567"/>
        </w:tabs>
        <w:kinsoku w:val="0"/>
        <w:overflowPunct w:val="0"/>
        <w:autoSpaceDE w:val="0"/>
        <w:autoSpaceDN w:val="0"/>
        <w:adjustRightInd w:val="0"/>
        <w:spacing w:line="240" w:lineRule="auto"/>
      </w:pPr>
    </w:p>
    <w:p w14:paraId="0FDFABBA" w14:textId="77777777" w:rsidR="00C04CAD" w:rsidRDefault="00060E34">
      <w:pPr>
        <w:tabs>
          <w:tab w:val="clear" w:pos="567"/>
        </w:tabs>
        <w:kinsoku w:val="0"/>
        <w:overflowPunct w:val="0"/>
        <w:autoSpaceDE w:val="0"/>
        <w:autoSpaceDN w:val="0"/>
        <w:adjustRightInd w:val="0"/>
        <w:spacing w:line="240" w:lineRule="auto"/>
      </w:pPr>
      <w:r>
        <w:rPr>
          <w:spacing w:val="-1"/>
        </w:rPr>
        <w:t>P</w:t>
      </w:r>
      <w:r>
        <w:t>e pe</w:t>
      </w:r>
      <w:r>
        <w:rPr>
          <w:spacing w:val="-2"/>
        </w:rPr>
        <w:t>r</w:t>
      </w:r>
      <w:r>
        <w:rPr>
          <w:spacing w:val="1"/>
        </w:rPr>
        <w:t>i</w:t>
      </w:r>
      <w:r>
        <w:t>o</w:t>
      </w:r>
      <w:r>
        <w:rPr>
          <w:spacing w:val="-3"/>
        </w:rPr>
        <w:t>a</w:t>
      </w:r>
      <w:r>
        <w:t xml:space="preserve">da a </w:t>
      </w:r>
      <w:r>
        <w:rPr>
          <w:spacing w:val="-3"/>
        </w:rPr>
        <w:t>5</w:t>
      </w:r>
      <w:r>
        <w:t>2 s</w:t>
      </w:r>
      <w:r>
        <w:rPr>
          <w:spacing w:val="-3"/>
        </w:rPr>
        <w:t>ă</w:t>
      </w:r>
      <w:r>
        <w:t>p</w:t>
      </w:r>
      <w:r>
        <w:rPr>
          <w:spacing w:val="1"/>
        </w:rPr>
        <w:t>t</w:t>
      </w:r>
      <w:r>
        <w:t>ă</w:t>
      </w:r>
      <w:r>
        <w:rPr>
          <w:spacing w:val="-4"/>
        </w:rPr>
        <w:t>m</w:t>
      </w:r>
      <w:r>
        <w:t>ân</w:t>
      </w:r>
      <w:r>
        <w:rPr>
          <w:spacing w:val="-2"/>
        </w:rPr>
        <w:t>i</w:t>
      </w:r>
      <w:r>
        <w:t xml:space="preserve">, </w:t>
      </w:r>
      <w:r>
        <w:rPr>
          <w:spacing w:val="1"/>
        </w:rPr>
        <w:t>î</w:t>
      </w:r>
      <w:r>
        <w:t xml:space="preserve">n </w:t>
      </w:r>
      <w:r>
        <w:rPr>
          <w:spacing w:val="-2"/>
        </w:rPr>
        <w:t>s</w:t>
      </w:r>
      <w:r>
        <w:rPr>
          <w:spacing w:val="1"/>
        </w:rPr>
        <w:t>t</w:t>
      </w:r>
      <w:r>
        <w:t>u</w:t>
      </w:r>
      <w:r>
        <w:rPr>
          <w:spacing w:val="-3"/>
        </w:rPr>
        <w:t>d</w:t>
      </w:r>
      <w:r>
        <w:rPr>
          <w:spacing w:val="1"/>
        </w:rPr>
        <w:t>i</w:t>
      </w:r>
      <w:r>
        <w:rPr>
          <w:spacing w:val="-2"/>
        </w:rPr>
        <w:t>i</w:t>
      </w:r>
      <w:r>
        <w:rPr>
          <w:spacing w:val="1"/>
        </w:rPr>
        <w:t>l</w:t>
      </w:r>
      <w:r>
        <w:t xml:space="preserve">e </w:t>
      </w:r>
      <w:r>
        <w:rPr>
          <w:spacing w:val="-1"/>
        </w:rPr>
        <w:t>UC</w:t>
      </w:r>
      <w:r>
        <w:rPr>
          <w:spacing w:val="-2"/>
        </w:rPr>
        <w:t>-</w:t>
      </w:r>
      <w:r>
        <w:t>I</w:t>
      </w:r>
      <w:r>
        <w:rPr>
          <w:spacing w:val="-4"/>
        </w:rPr>
        <w:t xml:space="preserve"> </w:t>
      </w:r>
      <w:r>
        <w:t>şi</w:t>
      </w:r>
      <w:r>
        <w:rPr>
          <w:spacing w:val="1"/>
        </w:rPr>
        <w:t xml:space="preserve"> </w:t>
      </w:r>
      <w:r>
        <w:rPr>
          <w:spacing w:val="-1"/>
        </w:rPr>
        <w:t>U</w:t>
      </w:r>
      <w:r>
        <w:rPr>
          <w:spacing w:val="1"/>
        </w:rPr>
        <w:t>C</w:t>
      </w:r>
      <w:r>
        <w:rPr>
          <w:spacing w:val="-2"/>
        </w:rPr>
        <w:t>-II</w:t>
      </w:r>
      <w:r>
        <w:t>,</w:t>
      </w:r>
      <w:r>
        <w:rPr>
          <w:spacing w:val="2"/>
        </w:rPr>
        <w:t xml:space="preserve"> </w:t>
      </w:r>
      <w:r>
        <w:t>s</w:t>
      </w:r>
      <w:r>
        <w:rPr>
          <w:spacing w:val="-4"/>
        </w:rPr>
        <w:t>-</w:t>
      </w:r>
      <w:r>
        <w:t>au obser</w:t>
      </w:r>
      <w:r>
        <w:rPr>
          <w:spacing w:val="-3"/>
        </w:rPr>
        <w:t>v</w:t>
      </w:r>
      <w:r>
        <w:t>at</w:t>
      </w:r>
      <w:r>
        <w:rPr>
          <w:spacing w:val="1"/>
        </w:rPr>
        <w:t xml:space="preserve"> </w:t>
      </w:r>
      <w:r>
        <w:rPr>
          <w:spacing w:val="-2"/>
        </w:rPr>
        <w:t>r</w:t>
      </w:r>
      <w:r>
        <w:t>a</w:t>
      </w:r>
      <w:r>
        <w:rPr>
          <w:spacing w:val="1"/>
        </w:rPr>
        <w:t>t</w:t>
      </w:r>
      <w:r>
        <w:t>e</w:t>
      </w:r>
      <w:r>
        <w:rPr>
          <w:spacing w:val="-2"/>
        </w:rPr>
        <w:t xml:space="preserve"> </w:t>
      </w:r>
      <w:r>
        <w:t>s</w:t>
      </w:r>
      <w:r>
        <w:rPr>
          <w:spacing w:val="-3"/>
        </w:rPr>
        <w:t>c</w:t>
      </w:r>
      <w:r>
        <w:t>ă</w:t>
      </w:r>
      <w:r>
        <w:rPr>
          <w:spacing w:val="-3"/>
        </w:rPr>
        <w:t>z</w:t>
      </w:r>
      <w:r>
        <w:t>u</w:t>
      </w:r>
      <w:r>
        <w:rPr>
          <w:spacing w:val="1"/>
        </w:rPr>
        <w:t>t</w:t>
      </w:r>
      <w:r>
        <w:t xml:space="preserve">e </w:t>
      </w:r>
      <w:r>
        <w:rPr>
          <w:spacing w:val="-3"/>
        </w:rPr>
        <w:t>a</w:t>
      </w:r>
      <w:r>
        <w:rPr>
          <w:spacing w:val="1"/>
        </w:rPr>
        <w:t>l</w:t>
      </w:r>
      <w:r>
        <w:t>e s</w:t>
      </w:r>
      <w:r>
        <w:rPr>
          <w:spacing w:val="-3"/>
        </w:rPr>
        <w:t>p</w:t>
      </w:r>
      <w:r>
        <w:rPr>
          <w:spacing w:val="1"/>
        </w:rPr>
        <w:t>i</w:t>
      </w:r>
      <w:r>
        <w:rPr>
          <w:spacing w:val="-2"/>
        </w:rPr>
        <w:t>t</w:t>
      </w:r>
      <w:r>
        <w:t>a</w:t>
      </w:r>
      <w:r>
        <w:rPr>
          <w:spacing w:val="-2"/>
        </w:rPr>
        <w:t>l</w:t>
      </w:r>
      <w:r>
        <w:rPr>
          <w:spacing w:val="1"/>
        </w:rPr>
        <w:t>i</w:t>
      </w:r>
      <w:r>
        <w:rPr>
          <w:spacing w:val="-3"/>
        </w:rPr>
        <w:t>z</w:t>
      </w:r>
      <w:r>
        <w:t>ăr</w:t>
      </w:r>
      <w:r>
        <w:rPr>
          <w:spacing w:val="-2"/>
        </w:rPr>
        <w:t>i</w:t>
      </w:r>
      <w:r>
        <w:t>i</w:t>
      </w:r>
      <w:r>
        <w:rPr>
          <w:spacing w:val="1"/>
        </w:rPr>
        <w:t xml:space="preserve"> </w:t>
      </w:r>
      <w:r>
        <w:rPr>
          <w:spacing w:val="-3"/>
        </w:rPr>
        <w:t>d</w:t>
      </w:r>
      <w:r>
        <w:rPr>
          <w:spacing w:val="1"/>
        </w:rPr>
        <w:t>i</w:t>
      </w:r>
      <w:r>
        <w:t>n or</w:t>
      </w:r>
      <w:r>
        <w:rPr>
          <w:spacing w:val="1"/>
        </w:rPr>
        <w:t>i</w:t>
      </w:r>
      <w:r>
        <w:rPr>
          <w:spacing w:val="-3"/>
        </w:rPr>
        <w:t>c</w:t>
      </w:r>
      <w:r>
        <w:t>e c</w:t>
      </w:r>
      <w:r>
        <w:rPr>
          <w:spacing w:val="-3"/>
        </w:rPr>
        <w:t>a</w:t>
      </w:r>
      <w:r>
        <w:t>u</w:t>
      </w:r>
      <w:r>
        <w:rPr>
          <w:spacing w:val="-3"/>
        </w:rPr>
        <w:t>z</w:t>
      </w:r>
      <w:r>
        <w:t>e şi</w:t>
      </w:r>
      <w:r>
        <w:rPr>
          <w:spacing w:val="-2"/>
        </w:rPr>
        <w:t xml:space="preserve"> </w:t>
      </w:r>
      <w:r>
        <w:rPr>
          <w:spacing w:val="1"/>
        </w:rPr>
        <w:t>l</w:t>
      </w:r>
      <w:r>
        <w:t>e</w:t>
      </w:r>
      <w:r>
        <w:rPr>
          <w:spacing w:val="-3"/>
        </w:rPr>
        <w:t>g</w:t>
      </w:r>
      <w:r>
        <w:t>a</w:t>
      </w:r>
      <w:r>
        <w:rPr>
          <w:spacing w:val="1"/>
        </w:rPr>
        <w:t>t</w:t>
      </w:r>
      <w:r>
        <w:t>e</w:t>
      </w:r>
      <w:r>
        <w:rPr>
          <w:spacing w:val="-2"/>
        </w:rPr>
        <w:t xml:space="preserve"> </w:t>
      </w:r>
      <w:r>
        <w:t xml:space="preserve">de </w:t>
      </w:r>
      <w:r>
        <w:rPr>
          <w:spacing w:val="-1"/>
        </w:rPr>
        <w:t>C</w:t>
      </w:r>
      <w:r>
        <w:t>U</w:t>
      </w:r>
      <w:r>
        <w:rPr>
          <w:spacing w:val="-4"/>
        </w:rPr>
        <w:t xml:space="preserve"> </w:t>
      </w:r>
      <w:r>
        <w:t>pen</w:t>
      </w:r>
      <w:r>
        <w:rPr>
          <w:spacing w:val="-2"/>
        </w:rPr>
        <w:t>t</w:t>
      </w:r>
      <w:r>
        <w:t xml:space="preserve">ru </w:t>
      </w:r>
      <w:r>
        <w:rPr>
          <w:spacing w:val="-3"/>
        </w:rPr>
        <w:t>b</w:t>
      </w:r>
      <w:r>
        <w:t>ra</w:t>
      </w:r>
      <w:r>
        <w:rPr>
          <w:spacing w:val="-2"/>
        </w:rPr>
        <w:t>ţ</w:t>
      </w:r>
      <w:r>
        <w:t>ul</w:t>
      </w:r>
      <w:r>
        <w:rPr>
          <w:spacing w:val="1"/>
        </w:rPr>
        <w:t xml:space="preserve"> </w:t>
      </w:r>
      <w:r>
        <w:rPr>
          <w:spacing w:val="-3"/>
        </w:rPr>
        <w:t>d</w:t>
      </w:r>
      <w:r>
        <w:t>e pa</w:t>
      </w:r>
      <w:r>
        <w:rPr>
          <w:spacing w:val="-3"/>
        </w:rPr>
        <w:t>c</w:t>
      </w:r>
      <w:r>
        <w:rPr>
          <w:spacing w:val="1"/>
        </w:rPr>
        <w:t>i</w:t>
      </w:r>
      <w:r>
        <w:t>e</w:t>
      </w:r>
      <w:r>
        <w:rPr>
          <w:spacing w:val="-3"/>
        </w:rPr>
        <w:t>n</w:t>
      </w:r>
      <w:r>
        <w:rPr>
          <w:spacing w:val="-2"/>
        </w:rPr>
        <w:t>ţ</w:t>
      </w:r>
      <w:r>
        <w:t>i</w:t>
      </w:r>
      <w:r>
        <w:rPr>
          <w:spacing w:val="1"/>
        </w:rPr>
        <w:t xml:space="preserve"> </w:t>
      </w:r>
      <w:r>
        <w:rPr>
          <w:spacing w:val="-2"/>
        </w:rPr>
        <w:t>t</w:t>
      </w:r>
      <w:r>
        <w:t>r</w:t>
      </w:r>
      <w:r>
        <w:rPr>
          <w:spacing w:val="-3"/>
        </w:rPr>
        <w:t>a</w:t>
      </w:r>
      <w:r>
        <w:rPr>
          <w:spacing w:val="1"/>
        </w:rPr>
        <w:t>t</w:t>
      </w:r>
      <w:r>
        <w:t>a</w:t>
      </w:r>
      <w:r>
        <w:rPr>
          <w:spacing w:val="-2"/>
        </w:rPr>
        <w:t>ţ</w:t>
      </w:r>
      <w:r>
        <w:t>i</w:t>
      </w:r>
      <w:r>
        <w:rPr>
          <w:spacing w:val="1"/>
        </w:rPr>
        <w:t xml:space="preserve"> </w:t>
      </w:r>
      <w:r>
        <w:t>cu</w:t>
      </w:r>
      <w:r>
        <w:rPr>
          <w:spacing w:val="-3"/>
        </w:rPr>
        <w:t xml:space="preserve"> </w:t>
      </w:r>
      <w:r>
        <w:t>ad</w:t>
      </w:r>
      <w:r>
        <w:rPr>
          <w:spacing w:val="-3"/>
        </w:rPr>
        <w:t>a</w:t>
      </w:r>
      <w:r>
        <w:rPr>
          <w:spacing w:val="1"/>
        </w:rPr>
        <w:t>li</w:t>
      </w:r>
      <w:r>
        <w:rPr>
          <w:spacing w:val="-4"/>
        </w:rPr>
        <w:t>m</w:t>
      </w:r>
      <w:r>
        <w:t>u</w:t>
      </w:r>
      <w:r>
        <w:rPr>
          <w:spacing w:val="-4"/>
        </w:rPr>
        <w:t>m</w:t>
      </w:r>
      <w:r>
        <w:t>ab co</w:t>
      </w:r>
      <w:r>
        <w:rPr>
          <w:spacing w:val="-4"/>
        </w:rPr>
        <w:t>m</w:t>
      </w:r>
      <w:r>
        <w:t>para</w:t>
      </w:r>
      <w:r>
        <w:rPr>
          <w:spacing w:val="1"/>
        </w:rPr>
        <w:t>ti</w:t>
      </w:r>
      <w:r>
        <w:t>v</w:t>
      </w:r>
      <w:r>
        <w:rPr>
          <w:spacing w:val="-3"/>
        </w:rPr>
        <w:t xml:space="preserve"> </w:t>
      </w:r>
      <w:r>
        <w:t xml:space="preserve">cu </w:t>
      </w:r>
      <w:r>
        <w:rPr>
          <w:spacing w:val="-3"/>
        </w:rPr>
        <w:t>b</w:t>
      </w:r>
      <w:r>
        <w:t>r</w:t>
      </w:r>
      <w:r>
        <w:rPr>
          <w:spacing w:val="-3"/>
        </w:rPr>
        <w:t>a</w:t>
      </w:r>
      <w:r>
        <w:rPr>
          <w:spacing w:val="1"/>
        </w:rPr>
        <w:t>ţ</w:t>
      </w:r>
      <w:r>
        <w:t>ul</w:t>
      </w:r>
      <w:r>
        <w:rPr>
          <w:spacing w:val="-2"/>
        </w:rPr>
        <w:t xml:space="preserve"> </w:t>
      </w:r>
      <w:r>
        <w:t>de pac</w:t>
      </w:r>
      <w:r>
        <w:rPr>
          <w:spacing w:val="-2"/>
        </w:rPr>
        <w:t>i</w:t>
      </w:r>
      <w:r>
        <w:t>en</w:t>
      </w:r>
      <w:r>
        <w:rPr>
          <w:spacing w:val="-2"/>
        </w:rPr>
        <w:t>ţ</w:t>
      </w:r>
      <w:r>
        <w:t xml:space="preserve">i </w:t>
      </w:r>
      <w:r>
        <w:rPr>
          <w:spacing w:val="-2"/>
        </w:rPr>
        <w:t>t</w:t>
      </w:r>
      <w:r>
        <w:t>r</w:t>
      </w:r>
      <w:r>
        <w:rPr>
          <w:spacing w:val="-3"/>
        </w:rPr>
        <w:t>a</w:t>
      </w:r>
      <w:r>
        <w:rPr>
          <w:spacing w:val="1"/>
        </w:rPr>
        <w:t>t</w:t>
      </w:r>
      <w:r>
        <w:rPr>
          <w:spacing w:val="-3"/>
        </w:rPr>
        <w:t>a</w:t>
      </w:r>
      <w:r>
        <w:rPr>
          <w:spacing w:val="1"/>
        </w:rPr>
        <w:t>ţ</w:t>
      </w:r>
      <w:r>
        <w:t>i</w:t>
      </w:r>
      <w:r>
        <w:rPr>
          <w:spacing w:val="-2"/>
        </w:rPr>
        <w:t xml:space="preserve"> </w:t>
      </w:r>
      <w:r>
        <w:t>cu p</w:t>
      </w:r>
      <w:r>
        <w:rPr>
          <w:spacing w:val="-2"/>
        </w:rPr>
        <w:t>l</w:t>
      </w:r>
      <w:r>
        <w:t>ac</w:t>
      </w:r>
      <w:r>
        <w:rPr>
          <w:spacing w:val="-3"/>
        </w:rPr>
        <w:t>e</w:t>
      </w:r>
      <w:r>
        <w:t xml:space="preserve">bo. </w:t>
      </w:r>
      <w:r>
        <w:rPr>
          <w:spacing w:val="-2"/>
        </w:rPr>
        <w:t>Î</w:t>
      </w:r>
      <w:r>
        <w:t xml:space="preserve">n </w:t>
      </w:r>
      <w:r>
        <w:rPr>
          <w:spacing w:val="-3"/>
        </w:rPr>
        <w:t>g</w:t>
      </w:r>
      <w:r>
        <w:t>rupul</w:t>
      </w:r>
      <w:r>
        <w:rPr>
          <w:spacing w:val="1"/>
        </w:rPr>
        <w:t xml:space="preserve"> </w:t>
      </w:r>
      <w:r>
        <w:t>p</w:t>
      </w:r>
      <w:r>
        <w:rPr>
          <w:spacing w:val="-3"/>
        </w:rPr>
        <w:t>a</w:t>
      </w:r>
      <w:r>
        <w:t>c</w:t>
      </w:r>
      <w:r>
        <w:rPr>
          <w:spacing w:val="-2"/>
        </w:rPr>
        <w:t>i</w:t>
      </w:r>
      <w:r>
        <w:t>en</w:t>
      </w:r>
      <w:r>
        <w:rPr>
          <w:spacing w:val="-2"/>
        </w:rPr>
        <w:t>ţ</w:t>
      </w:r>
      <w:r>
        <w:rPr>
          <w:spacing w:val="1"/>
        </w:rPr>
        <w:t>i</w:t>
      </w:r>
      <w:r>
        <w:rPr>
          <w:spacing w:val="-2"/>
        </w:rPr>
        <w:t>l</w:t>
      </w:r>
      <w:r>
        <w:t>or</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rPr>
          <w:spacing w:val="-3"/>
        </w:rPr>
        <w:t>c</w:t>
      </w:r>
      <w:r>
        <w:t>u ad</w:t>
      </w:r>
      <w:r>
        <w:rPr>
          <w:spacing w:val="-3"/>
        </w:rPr>
        <w:t>a</w:t>
      </w:r>
      <w:r>
        <w:rPr>
          <w:spacing w:val="1"/>
        </w:rPr>
        <w:t>li</w:t>
      </w:r>
      <w:r>
        <w:rPr>
          <w:spacing w:val="-4"/>
        </w:rPr>
        <w:t>m</w:t>
      </w:r>
      <w:r>
        <w:t>u</w:t>
      </w:r>
      <w:r>
        <w:rPr>
          <w:spacing w:val="-4"/>
        </w:rPr>
        <w:t>m</w:t>
      </w:r>
      <w:r>
        <w:t>ab, n</w:t>
      </w:r>
      <w:r>
        <w:rPr>
          <w:spacing w:val="2"/>
        </w:rPr>
        <w:t>u</w:t>
      </w:r>
      <w:r>
        <w:rPr>
          <w:spacing w:val="-4"/>
        </w:rPr>
        <w:t>m</w:t>
      </w:r>
      <w:r>
        <w:t>ărul</w:t>
      </w:r>
      <w:r>
        <w:rPr>
          <w:spacing w:val="1"/>
        </w:rPr>
        <w:t xml:space="preserve"> </w:t>
      </w:r>
      <w:r>
        <w:t>s</w:t>
      </w:r>
      <w:r>
        <w:rPr>
          <w:spacing w:val="-3"/>
        </w:rPr>
        <w:t>p</w:t>
      </w:r>
      <w:r>
        <w:rPr>
          <w:spacing w:val="-2"/>
        </w:rPr>
        <w:t>i</w:t>
      </w:r>
      <w:r>
        <w:rPr>
          <w:spacing w:val="1"/>
        </w:rPr>
        <w:t>t</w:t>
      </w:r>
      <w:r>
        <w:t>a</w:t>
      </w:r>
      <w:r>
        <w:rPr>
          <w:spacing w:val="-2"/>
        </w:rPr>
        <w:t>l</w:t>
      </w:r>
      <w:r>
        <w:rPr>
          <w:spacing w:val="1"/>
        </w:rPr>
        <w:t>i</w:t>
      </w:r>
      <w:r>
        <w:rPr>
          <w:spacing w:val="-3"/>
        </w:rPr>
        <w:t>z</w:t>
      </w:r>
      <w:r>
        <w:t>ă</w:t>
      </w:r>
      <w:r>
        <w:rPr>
          <w:spacing w:val="-2"/>
        </w:rPr>
        <w:t>r</w:t>
      </w:r>
      <w:r>
        <w:rPr>
          <w:spacing w:val="1"/>
        </w:rPr>
        <w:t>il</w:t>
      </w:r>
      <w:r>
        <w:rPr>
          <w:spacing w:val="-3"/>
        </w:rPr>
        <w:t>o</w:t>
      </w:r>
      <w:r>
        <w:t>r</w:t>
      </w:r>
      <w:r>
        <w:rPr>
          <w:spacing w:val="1"/>
        </w:rPr>
        <w:t xml:space="preserve"> </w:t>
      </w:r>
      <w:r>
        <w:t>de</w:t>
      </w:r>
      <w:r>
        <w:rPr>
          <w:spacing w:val="-2"/>
        </w:rPr>
        <w:t xml:space="preserve"> </w:t>
      </w:r>
      <w:r>
        <w:rPr>
          <w:spacing w:val="1"/>
        </w:rPr>
        <w:t>t</w:t>
      </w:r>
      <w:r>
        <w:t>o</w:t>
      </w:r>
      <w:r>
        <w:rPr>
          <w:spacing w:val="-3"/>
        </w:rPr>
        <w:t>a</w:t>
      </w:r>
      <w:r>
        <w:rPr>
          <w:spacing w:val="1"/>
        </w:rPr>
        <w:t>t</w:t>
      </w:r>
      <w:r>
        <w:t>e cau</w:t>
      </w:r>
      <w:r>
        <w:rPr>
          <w:spacing w:val="-3"/>
        </w:rPr>
        <w:t>z</w:t>
      </w:r>
      <w:r>
        <w:t>e</w:t>
      </w:r>
      <w:r>
        <w:rPr>
          <w:spacing w:val="1"/>
        </w:rPr>
        <w:t>l</w:t>
      </w:r>
      <w:r>
        <w:t>e</w:t>
      </w:r>
      <w:r>
        <w:rPr>
          <w:spacing w:val="-2"/>
        </w:rPr>
        <w:t xml:space="preserve"> </w:t>
      </w:r>
      <w:r>
        <w:t>a f</w:t>
      </w:r>
      <w:r>
        <w:rPr>
          <w:spacing w:val="-3"/>
        </w:rPr>
        <w:t>o</w:t>
      </w:r>
      <w:r>
        <w:t>st</w:t>
      </w:r>
      <w:r>
        <w:rPr>
          <w:spacing w:val="1"/>
        </w:rPr>
        <w:t xml:space="preserve"> </w:t>
      </w:r>
      <w:r>
        <w:rPr>
          <w:spacing w:val="-3"/>
        </w:rPr>
        <w:t>0</w:t>
      </w:r>
      <w:r>
        <w:t>,18 pe</w:t>
      </w:r>
      <w:r>
        <w:rPr>
          <w:spacing w:val="-2"/>
        </w:rPr>
        <w:t xml:space="preserve"> </w:t>
      </w:r>
      <w:r>
        <w:t>a</w:t>
      </w:r>
      <w:r>
        <w:rPr>
          <w:spacing w:val="-1"/>
        </w:rPr>
        <w:t>n</w:t>
      </w:r>
      <w:r>
        <w:rPr>
          <w:spacing w:val="-4"/>
        </w:rPr>
        <w:t>-</w:t>
      </w:r>
      <w:r>
        <w:t>pac</w:t>
      </w:r>
      <w:r>
        <w:rPr>
          <w:spacing w:val="1"/>
        </w:rPr>
        <w:t>i</w:t>
      </w:r>
      <w:r>
        <w:t>e</w:t>
      </w:r>
      <w:r>
        <w:rPr>
          <w:spacing w:val="-3"/>
        </w:rPr>
        <w:t>n</w:t>
      </w:r>
      <w:r>
        <w:t>t</w:t>
      </w:r>
      <w:r>
        <w:rPr>
          <w:spacing w:val="1"/>
        </w:rPr>
        <w:t xml:space="preserve"> </w:t>
      </w:r>
      <w:r>
        <w:t>co</w:t>
      </w:r>
      <w:r>
        <w:rPr>
          <w:spacing w:val="-4"/>
        </w:rPr>
        <w:t>m</w:t>
      </w:r>
      <w:r>
        <w:t>par</w:t>
      </w:r>
      <w:r>
        <w:rPr>
          <w:spacing w:val="-3"/>
        </w:rPr>
        <w:t>a</w:t>
      </w:r>
      <w:r>
        <w:rPr>
          <w:spacing w:val="1"/>
        </w:rPr>
        <w:t>ti</w:t>
      </w:r>
      <w:r>
        <w:t>v</w:t>
      </w:r>
      <w:r>
        <w:rPr>
          <w:spacing w:val="-3"/>
        </w:rPr>
        <w:t xml:space="preserve"> </w:t>
      </w:r>
      <w:r>
        <w:t>cu 0</w:t>
      </w:r>
      <w:r>
        <w:rPr>
          <w:spacing w:val="-3"/>
        </w:rPr>
        <w:t>,</w:t>
      </w:r>
      <w:r>
        <w:t>26 pe</w:t>
      </w:r>
      <w:r>
        <w:rPr>
          <w:spacing w:val="-2"/>
        </w:rPr>
        <w:t xml:space="preserve"> </w:t>
      </w:r>
      <w:r>
        <w:t>an</w:t>
      </w:r>
      <w:r>
        <w:rPr>
          <w:spacing w:val="-4"/>
        </w:rPr>
        <w:t>-</w:t>
      </w:r>
      <w:r>
        <w:t>pac</w:t>
      </w:r>
      <w:r>
        <w:rPr>
          <w:spacing w:val="1"/>
        </w:rPr>
        <w:t>i</w:t>
      </w:r>
      <w:r>
        <w:t>ent</w:t>
      </w:r>
      <w:r>
        <w:rPr>
          <w:spacing w:val="-2"/>
        </w:rPr>
        <w:t xml:space="preserve"> </w:t>
      </w:r>
      <w:r>
        <w:rPr>
          <w:spacing w:val="1"/>
        </w:rPr>
        <w:t>î</w:t>
      </w:r>
      <w:r>
        <w:t xml:space="preserve">n </w:t>
      </w:r>
      <w:r>
        <w:rPr>
          <w:spacing w:val="-3"/>
        </w:rPr>
        <w:t>g</w:t>
      </w:r>
      <w:r>
        <w:t>rup</w:t>
      </w:r>
      <w:r>
        <w:rPr>
          <w:spacing w:val="-3"/>
        </w:rPr>
        <w:t>u</w:t>
      </w:r>
      <w:r>
        <w:t>l</w:t>
      </w:r>
      <w:r>
        <w:rPr>
          <w:spacing w:val="1"/>
        </w:rPr>
        <w:t xml:space="preserve"> </w:t>
      </w:r>
      <w:r>
        <w:t>de</w:t>
      </w:r>
      <w:r>
        <w:rPr>
          <w:spacing w:val="-2"/>
        </w:rPr>
        <w:t xml:space="preserve"> </w:t>
      </w:r>
      <w:r>
        <w:t>pa</w:t>
      </w:r>
      <w:r>
        <w:rPr>
          <w:spacing w:val="-3"/>
        </w:rPr>
        <w:t>c</w:t>
      </w:r>
      <w:r>
        <w:rPr>
          <w:spacing w:val="1"/>
        </w:rPr>
        <w:t>i</w:t>
      </w:r>
      <w:r>
        <w:t>e</w:t>
      </w:r>
      <w:r>
        <w:rPr>
          <w:spacing w:val="-3"/>
        </w:rPr>
        <w:t>n</w:t>
      </w:r>
      <w:r>
        <w:rPr>
          <w:spacing w:val="1"/>
        </w:rPr>
        <w:t>ţ</w:t>
      </w:r>
      <w:r>
        <w:t>i</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t>cu p</w:t>
      </w:r>
      <w:r>
        <w:rPr>
          <w:spacing w:val="1"/>
        </w:rPr>
        <w:t>l</w:t>
      </w:r>
      <w:r>
        <w:t>a</w:t>
      </w:r>
      <w:r>
        <w:rPr>
          <w:spacing w:val="-3"/>
        </w:rPr>
        <w:t>c</w:t>
      </w:r>
      <w:r>
        <w:t xml:space="preserve">ebo </w:t>
      </w:r>
      <w:r>
        <w:rPr>
          <w:spacing w:val="-2"/>
        </w:rPr>
        <w:t>ş</w:t>
      </w:r>
      <w:r>
        <w:t>i</w:t>
      </w:r>
      <w:r>
        <w:rPr>
          <w:spacing w:val="1"/>
        </w:rPr>
        <w:t xml:space="preserve"> </w:t>
      </w:r>
      <w:r>
        <w:rPr>
          <w:spacing w:val="-3"/>
        </w:rPr>
        <w:t>c</w:t>
      </w:r>
      <w:r>
        <w:rPr>
          <w:spacing w:val="1"/>
        </w:rPr>
        <w:t>i</w:t>
      </w:r>
      <w:r>
        <w:rPr>
          <w:spacing w:val="-2"/>
        </w:rPr>
        <w:t>f</w:t>
      </w:r>
      <w:r>
        <w:t>r</w:t>
      </w:r>
      <w:r>
        <w:rPr>
          <w:spacing w:val="-3"/>
        </w:rPr>
        <w:t>e</w:t>
      </w:r>
      <w:r>
        <w:rPr>
          <w:spacing w:val="1"/>
        </w:rPr>
        <w:t>l</w:t>
      </w:r>
      <w:r>
        <w:t>e c</w:t>
      </w:r>
      <w:r>
        <w:rPr>
          <w:spacing w:val="-3"/>
        </w:rPr>
        <w:t>o</w:t>
      </w:r>
      <w:r>
        <w:t>r</w:t>
      </w:r>
      <w:r>
        <w:rPr>
          <w:spacing w:val="-3"/>
        </w:rPr>
        <w:t>e</w:t>
      </w:r>
      <w:r>
        <w:t>spun</w:t>
      </w:r>
      <w:r>
        <w:rPr>
          <w:spacing w:val="-3"/>
        </w:rPr>
        <w:t>z</w:t>
      </w:r>
      <w:r>
        <w:t>ă</w:t>
      </w:r>
      <w:r>
        <w:rPr>
          <w:spacing w:val="1"/>
        </w:rPr>
        <w:t>t</w:t>
      </w:r>
      <w:r>
        <w:t>o</w:t>
      </w:r>
      <w:r>
        <w:rPr>
          <w:spacing w:val="-3"/>
        </w:rPr>
        <w:t>a</w:t>
      </w:r>
      <w:r>
        <w:t xml:space="preserve">re </w:t>
      </w:r>
      <w:r>
        <w:rPr>
          <w:spacing w:val="-3"/>
        </w:rPr>
        <w:t>p</w:t>
      </w:r>
      <w:r>
        <w:t>en</w:t>
      </w:r>
      <w:r>
        <w:rPr>
          <w:spacing w:val="-2"/>
        </w:rPr>
        <w:t>t</w:t>
      </w:r>
      <w:r>
        <w:t xml:space="preserve">ru </w:t>
      </w:r>
      <w:r>
        <w:rPr>
          <w:spacing w:val="-2"/>
        </w:rPr>
        <w:t>s</w:t>
      </w:r>
      <w:r>
        <w:t>p</w:t>
      </w:r>
      <w:r>
        <w:rPr>
          <w:spacing w:val="-2"/>
        </w:rPr>
        <w:t>i</w:t>
      </w:r>
      <w:r>
        <w:rPr>
          <w:spacing w:val="1"/>
        </w:rPr>
        <w:t>t</w:t>
      </w:r>
      <w:r>
        <w:t>a</w:t>
      </w:r>
      <w:r>
        <w:rPr>
          <w:spacing w:val="-2"/>
        </w:rPr>
        <w:t>l</w:t>
      </w:r>
      <w:r>
        <w:rPr>
          <w:spacing w:val="1"/>
        </w:rPr>
        <w:t>i</w:t>
      </w:r>
      <w:r>
        <w:rPr>
          <w:spacing w:val="-3"/>
        </w:rPr>
        <w:t>z</w:t>
      </w:r>
      <w:r>
        <w:t>ă</w:t>
      </w:r>
      <w:r>
        <w:rPr>
          <w:spacing w:val="-2"/>
        </w:rPr>
        <w:t>r</w:t>
      </w:r>
      <w:r>
        <w:rPr>
          <w:spacing w:val="1"/>
        </w:rPr>
        <w:t>il</w:t>
      </w:r>
      <w:r>
        <w:t>e</w:t>
      </w:r>
      <w:r>
        <w:rPr>
          <w:spacing w:val="-2"/>
        </w:rPr>
        <w:t xml:space="preserve"> </w:t>
      </w:r>
      <w:r>
        <w:rPr>
          <w:spacing w:val="1"/>
        </w:rPr>
        <w:t>l</w:t>
      </w:r>
      <w:r>
        <w:rPr>
          <w:spacing w:val="-2"/>
        </w:rPr>
        <w:t>e</w:t>
      </w:r>
      <w:r>
        <w:rPr>
          <w:spacing w:val="-3"/>
        </w:rPr>
        <w:t>g</w:t>
      </w:r>
      <w:r>
        <w:t>a</w:t>
      </w:r>
      <w:r>
        <w:rPr>
          <w:spacing w:val="1"/>
        </w:rPr>
        <w:t>t</w:t>
      </w:r>
      <w:r>
        <w:t xml:space="preserve">e de </w:t>
      </w:r>
      <w:r>
        <w:rPr>
          <w:spacing w:val="-1"/>
        </w:rPr>
        <w:t>C</w:t>
      </w:r>
      <w:r>
        <w:t>U</w:t>
      </w:r>
      <w:r>
        <w:rPr>
          <w:spacing w:val="-1"/>
        </w:rPr>
        <w:t xml:space="preserve"> </w:t>
      </w:r>
      <w:r>
        <w:t>au</w:t>
      </w:r>
      <w:r>
        <w:rPr>
          <w:spacing w:val="-3"/>
        </w:rPr>
        <w:t xml:space="preserve"> </w:t>
      </w:r>
      <w:r>
        <w:t>fo</w:t>
      </w:r>
      <w:r>
        <w:rPr>
          <w:spacing w:val="-2"/>
        </w:rPr>
        <w:t>s</w:t>
      </w:r>
      <w:r>
        <w:t>t</w:t>
      </w:r>
      <w:r>
        <w:rPr>
          <w:spacing w:val="1"/>
        </w:rPr>
        <w:t xml:space="preserve"> </w:t>
      </w:r>
      <w:r>
        <w:t>de</w:t>
      </w:r>
      <w:r>
        <w:rPr>
          <w:spacing w:val="-2"/>
        </w:rPr>
        <w:t xml:space="preserve"> </w:t>
      </w:r>
      <w:r>
        <w:t>0,12</w:t>
      </w:r>
      <w:r>
        <w:rPr>
          <w:spacing w:val="-3"/>
        </w:rPr>
        <w:t xml:space="preserve"> </w:t>
      </w:r>
      <w:r>
        <w:t>pe an</w:t>
      </w:r>
      <w:r>
        <w:rPr>
          <w:spacing w:val="-4"/>
        </w:rPr>
        <w:t>-</w:t>
      </w:r>
      <w:r>
        <w:t>pac</w:t>
      </w:r>
      <w:r>
        <w:rPr>
          <w:spacing w:val="1"/>
        </w:rPr>
        <w:t>i</w:t>
      </w:r>
      <w:r>
        <w:t>e</w:t>
      </w:r>
      <w:r>
        <w:rPr>
          <w:spacing w:val="-3"/>
        </w:rPr>
        <w:t>n</w:t>
      </w:r>
      <w:r>
        <w:t>t co</w:t>
      </w:r>
      <w:r>
        <w:rPr>
          <w:spacing w:val="-4"/>
        </w:rPr>
        <w:t>m</w:t>
      </w:r>
      <w:r>
        <w:t>para</w:t>
      </w:r>
      <w:r>
        <w:rPr>
          <w:spacing w:val="1"/>
        </w:rPr>
        <w:t>ti</w:t>
      </w:r>
      <w:r>
        <w:t>v</w:t>
      </w:r>
      <w:r>
        <w:rPr>
          <w:spacing w:val="-3"/>
        </w:rPr>
        <w:t xml:space="preserve"> </w:t>
      </w:r>
      <w:r>
        <w:t xml:space="preserve">cu </w:t>
      </w:r>
      <w:r>
        <w:rPr>
          <w:spacing w:val="-3"/>
        </w:rPr>
        <w:t>0</w:t>
      </w:r>
      <w:r>
        <w:t>,22 pe</w:t>
      </w:r>
      <w:r>
        <w:rPr>
          <w:spacing w:val="-2"/>
        </w:rPr>
        <w:t xml:space="preserve"> </w:t>
      </w:r>
      <w:r>
        <w:t>an</w:t>
      </w:r>
      <w:r>
        <w:rPr>
          <w:spacing w:val="-4"/>
        </w:rPr>
        <w:noBreakHyphen/>
      </w:r>
      <w:r>
        <w:t>pac</w:t>
      </w:r>
      <w:r>
        <w:rPr>
          <w:spacing w:val="1"/>
        </w:rPr>
        <w:t>i</w:t>
      </w:r>
      <w:r>
        <w:rPr>
          <w:spacing w:val="-3"/>
        </w:rPr>
        <w:t>e</w:t>
      </w:r>
      <w:r>
        <w:t>n</w:t>
      </w:r>
      <w:r>
        <w:rPr>
          <w:spacing w:val="1"/>
        </w:rPr>
        <w:t>t</w:t>
      </w:r>
      <w:r>
        <w:t>.</w:t>
      </w:r>
    </w:p>
    <w:p w14:paraId="12CBA563" w14:textId="77777777" w:rsidR="00C04CAD" w:rsidRDefault="00C04CAD">
      <w:pPr>
        <w:tabs>
          <w:tab w:val="clear" w:pos="567"/>
        </w:tabs>
        <w:kinsoku w:val="0"/>
        <w:overflowPunct w:val="0"/>
        <w:autoSpaceDE w:val="0"/>
        <w:autoSpaceDN w:val="0"/>
        <w:adjustRightInd w:val="0"/>
        <w:spacing w:line="240" w:lineRule="auto"/>
      </w:pPr>
    </w:p>
    <w:p w14:paraId="29947DE4" w14:textId="77777777" w:rsidR="00C04CAD" w:rsidRDefault="00060E34">
      <w:pPr>
        <w:tabs>
          <w:tab w:val="clear" w:pos="567"/>
        </w:tabs>
        <w:kinsoku w:val="0"/>
        <w:overflowPunct w:val="0"/>
        <w:autoSpaceDE w:val="0"/>
        <w:autoSpaceDN w:val="0"/>
        <w:adjustRightInd w:val="0"/>
        <w:spacing w:line="240" w:lineRule="auto"/>
      </w:pPr>
      <w:r>
        <w:rPr>
          <w:i/>
          <w:spacing w:val="-1"/>
          <w:u w:val="single"/>
        </w:rPr>
        <w:t>C</w:t>
      </w:r>
      <w:r>
        <w:rPr>
          <w:i/>
          <w:u w:val="single"/>
        </w:rPr>
        <w:t>a</w:t>
      </w:r>
      <w:r>
        <w:rPr>
          <w:i/>
          <w:spacing w:val="1"/>
          <w:u w:val="single"/>
        </w:rPr>
        <w:t>l</w:t>
      </w:r>
      <w:r>
        <w:rPr>
          <w:i/>
          <w:spacing w:val="-2"/>
          <w:u w:val="single"/>
        </w:rPr>
        <w:t>i</w:t>
      </w:r>
      <w:r>
        <w:rPr>
          <w:i/>
          <w:spacing w:val="1"/>
          <w:u w:val="single"/>
        </w:rPr>
        <w:t>t</w:t>
      </w:r>
      <w:r>
        <w:rPr>
          <w:i/>
          <w:u w:val="single"/>
        </w:rPr>
        <w:t>a</w:t>
      </w:r>
      <w:r>
        <w:rPr>
          <w:i/>
          <w:spacing w:val="-2"/>
          <w:u w:val="single"/>
        </w:rPr>
        <w:t>t</w:t>
      </w:r>
      <w:r>
        <w:rPr>
          <w:i/>
          <w:u w:val="single"/>
        </w:rPr>
        <w:t>ea</w:t>
      </w:r>
      <w:r>
        <w:rPr>
          <w:i/>
          <w:spacing w:val="-1"/>
          <w:u w:val="single"/>
        </w:rPr>
        <w:t xml:space="preserve"> </w:t>
      </w:r>
      <w:r>
        <w:rPr>
          <w:i/>
          <w:spacing w:val="-3"/>
          <w:u w:val="single"/>
        </w:rPr>
        <w:t>v</w:t>
      </w:r>
      <w:r>
        <w:rPr>
          <w:i/>
          <w:spacing w:val="1"/>
          <w:u w:val="single"/>
        </w:rPr>
        <w:t>i</w:t>
      </w:r>
      <w:r>
        <w:rPr>
          <w:i/>
          <w:spacing w:val="-3"/>
          <w:u w:val="single"/>
        </w:rPr>
        <w:t>e</w:t>
      </w:r>
      <w:r>
        <w:rPr>
          <w:i/>
          <w:spacing w:val="1"/>
          <w:u w:val="single"/>
        </w:rPr>
        <w:t>ţ</w:t>
      </w:r>
      <w:r>
        <w:rPr>
          <w:i/>
          <w:spacing w:val="-2"/>
          <w:u w:val="single"/>
        </w:rPr>
        <w:t>i</w:t>
      </w:r>
      <w:r>
        <w:rPr>
          <w:i/>
          <w:u w:val="single"/>
        </w:rPr>
        <w:t>i</w:t>
      </w:r>
    </w:p>
    <w:p w14:paraId="40AE4CC6" w14:textId="77777777" w:rsidR="00C04CAD" w:rsidRDefault="00C04CAD">
      <w:pPr>
        <w:tabs>
          <w:tab w:val="clear" w:pos="567"/>
        </w:tabs>
        <w:kinsoku w:val="0"/>
        <w:overflowPunct w:val="0"/>
        <w:autoSpaceDE w:val="0"/>
        <w:autoSpaceDN w:val="0"/>
        <w:adjustRightInd w:val="0"/>
        <w:spacing w:line="240" w:lineRule="auto"/>
      </w:pPr>
    </w:p>
    <w:p w14:paraId="79C42390" w14:textId="77777777" w:rsidR="00C04CAD" w:rsidRDefault="00060E34">
      <w:pPr>
        <w:tabs>
          <w:tab w:val="clear" w:pos="567"/>
        </w:tabs>
        <w:kinsoku w:val="0"/>
        <w:overflowPunct w:val="0"/>
        <w:autoSpaceDE w:val="0"/>
        <w:autoSpaceDN w:val="0"/>
        <w:adjustRightInd w:val="0"/>
        <w:spacing w:line="240" w:lineRule="auto"/>
      </w:pPr>
      <w:r>
        <w:rPr>
          <w:spacing w:val="-4"/>
        </w:rPr>
        <w:t>Î</w:t>
      </w:r>
      <w:r>
        <w:t>n s</w:t>
      </w:r>
      <w:r>
        <w:rPr>
          <w:spacing w:val="1"/>
        </w:rPr>
        <w:t>t</w:t>
      </w:r>
      <w:r>
        <w:t>ud</w:t>
      </w:r>
      <w:r>
        <w:rPr>
          <w:spacing w:val="1"/>
        </w:rPr>
        <w:t>i</w:t>
      </w:r>
      <w:r>
        <w:t>ul</w:t>
      </w:r>
      <w:r>
        <w:rPr>
          <w:spacing w:val="1"/>
        </w:rPr>
        <w:t xml:space="preserve"> </w:t>
      </w:r>
      <w:r>
        <w:rPr>
          <w:spacing w:val="-1"/>
        </w:rPr>
        <w:t>UC</w:t>
      </w:r>
      <w:r>
        <w:rPr>
          <w:spacing w:val="-2"/>
        </w:rPr>
        <w:t>-II</w:t>
      </w:r>
      <w:r>
        <w:t xml:space="preserve">, </w:t>
      </w:r>
      <w:r>
        <w:rPr>
          <w:spacing w:val="1"/>
        </w:rPr>
        <w:t>t</w:t>
      </w:r>
      <w:r>
        <w:t>ra</w:t>
      </w:r>
      <w:r>
        <w:rPr>
          <w:spacing w:val="-2"/>
        </w:rPr>
        <w:t>t</w:t>
      </w:r>
      <w:r>
        <w:t>a</w:t>
      </w:r>
      <w:r>
        <w:rPr>
          <w:spacing w:val="-4"/>
        </w:rPr>
        <w:t>m</w:t>
      </w:r>
      <w:r>
        <w:t>en</w:t>
      </w:r>
      <w:r>
        <w:rPr>
          <w:spacing w:val="1"/>
        </w:rPr>
        <w:t>t</w:t>
      </w:r>
      <w:r>
        <w:t>ul</w:t>
      </w:r>
      <w:r>
        <w:rPr>
          <w:spacing w:val="1"/>
        </w:rPr>
        <w:t xml:space="preserve"> </w:t>
      </w:r>
      <w:r>
        <w:t>cu</w:t>
      </w:r>
      <w:r>
        <w:rPr>
          <w:spacing w:val="-3"/>
        </w:rPr>
        <w:t xml:space="preserve"> </w:t>
      </w:r>
      <w:r>
        <w:t>ad</w:t>
      </w:r>
      <w:r>
        <w:rPr>
          <w:spacing w:val="-3"/>
        </w:rPr>
        <w:t>a</w:t>
      </w:r>
      <w:r>
        <w:rPr>
          <w:spacing w:val="1"/>
        </w:rPr>
        <w:t>li</w:t>
      </w:r>
      <w:r>
        <w:rPr>
          <w:spacing w:val="-4"/>
        </w:rPr>
        <w:t>m</w:t>
      </w:r>
      <w:r>
        <w:t>u</w:t>
      </w:r>
      <w:r>
        <w:rPr>
          <w:spacing w:val="-4"/>
        </w:rPr>
        <w:t>m</w:t>
      </w:r>
      <w:r>
        <w:t>ab a a</w:t>
      </w:r>
      <w:r>
        <w:rPr>
          <w:spacing w:val="-3"/>
        </w:rPr>
        <w:t>v</w:t>
      </w:r>
      <w:r>
        <w:t>ut</w:t>
      </w:r>
      <w:r>
        <w:rPr>
          <w:spacing w:val="1"/>
        </w:rPr>
        <w:t xml:space="preserve"> </w:t>
      </w:r>
      <w:r>
        <w:t>ca</w:t>
      </w:r>
      <w:r>
        <w:rPr>
          <w:spacing w:val="-2"/>
        </w:rPr>
        <w:t xml:space="preserve"> </w:t>
      </w:r>
      <w:r>
        <w:t>re</w:t>
      </w:r>
      <w:r>
        <w:rPr>
          <w:spacing w:val="-3"/>
        </w:rPr>
        <w:t>z</w:t>
      </w:r>
      <w:r>
        <w:t>u</w:t>
      </w:r>
      <w:r>
        <w:rPr>
          <w:spacing w:val="1"/>
        </w:rPr>
        <w:t>l</w:t>
      </w:r>
      <w:r>
        <w:rPr>
          <w:spacing w:val="-2"/>
        </w:rPr>
        <w:t>t</w:t>
      </w:r>
      <w:r>
        <w:t>at</w:t>
      </w:r>
      <w:r>
        <w:rPr>
          <w:spacing w:val="-2"/>
        </w:rPr>
        <w:t xml:space="preserve"> </w:t>
      </w:r>
      <w:r>
        <w:rPr>
          <w:spacing w:val="1"/>
        </w:rPr>
        <w:t>î</w:t>
      </w:r>
      <w:r>
        <w:rPr>
          <w:spacing w:val="-4"/>
        </w:rPr>
        <w:t>m</w:t>
      </w:r>
      <w:r>
        <w:t>bună</w:t>
      </w:r>
      <w:r>
        <w:rPr>
          <w:spacing w:val="1"/>
        </w:rPr>
        <w:t>t</w:t>
      </w:r>
      <w:r>
        <w:rPr>
          <w:spacing w:val="-3"/>
        </w:rPr>
        <w:t>ă</w:t>
      </w:r>
      <w:r>
        <w:rPr>
          <w:spacing w:val="1"/>
        </w:rPr>
        <w:t>ţ</w:t>
      </w:r>
      <w:r>
        <w:rPr>
          <w:spacing w:val="-2"/>
        </w:rPr>
        <w:t>i</w:t>
      </w:r>
      <w:r>
        <w:t>rea</w:t>
      </w:r>
      <w:r>
        <w:rPr>
          <w:spacing w:val="-2"/>
        </w:rPr>
        <w:t xml:space="preserve"> </w:t>
      </w:r>
      <w:r>
        <w:t>sc</w:t>
      </w:r>
      <w:r>
        <w:rPr>
          <w:spacing w:val="-3"/>
        </w:rPr>
        <w:t>o</w:t>
      </w:r>
      <w:r>
        <w:rPr>
          <w:spacing w:val="-2"/>
        </w:rPr>
        <w:t>r</w:t>
      </w:r>
      <w:r>
        <w:t>u</w:t>
      </w:r>
      <w:r>
        <w:rPr>
          <w:spacing w:val="1"/>
        </w:rPr>
        <w:t>l</w:t>
      </w:r>
      <w:r>
        <w:t>ui</w:t>
      </w:r>
      <w:r>
        <w:rPr>
          <w:spacing w:val="1"/>
        </w:rPr>
        <w:t xml:space="preserve"> </w:t>
      </w:r>
      <w:r>
        <w:rPr>
          <w:spacing w:val="-1"/>
        </w:rPr>
        <w:t>C</w:t>
      </w:r>
      <w:r>
        <w:rPr>
          <w:spacing w:val="-3"/>
        </w:rPr>
        <w:t>h</w:t>
      </w:r>
      <w:r>
        <w:t>e</w:t>
      </w:r>
      <w:r>
        <w:rPr>
          <w:spacing w:val="-2"/>
        </w:rPr>
        <w:t>s</w:t>
      </w:r>
      <w:r>
        <w:rPr>
          <w:spacing w:val="1"/>
        </w:rPr>
        <w:t>ti</w:t>
      </w:r>
      <w:r>
        <w:rPr>
          <w:spacing w:val="-3"/>
        </w:rPr>
        <w:t>o</w:t>
      </w:r>
      <w:r>
        <w:t>nar</w:t>
      </w:r>
      <w:r>
        <w:rPr>
          <w:spacing w:val="-3"/>
        </w:rPr>
        <w:t>u</w:t>
      </w:r>
      <w:r>
        <w:rPr>
          <w:spacing w:val="1"/>
        </w:rPr>
        <w:t>l</w:t>
      </w:r>
      <w:r>
        <w:rPr>
          <w:spacing w:val="-3"/>
        </w:rPr>
        <w:t>u</w:t>
      </w:r>
      <w:r>
        <w:t xml:space="preserve">i </w:t>
      </w:r>
      <w:r>
        <w:rPr>
          <w:spacing w:val="-1"/>
        </w:rPr>
        <w:t>B</w:t>
      </w:r>
      <w:r>
        <w:t>o</w:t>
      </w:r>
      <w:r>
        <w:rPr>
          <w:spacing w:val="1"/>
        </w:rPr>
        <w:t>l</w:t>
      </w:r>
      <w:r>
        <w:rPr>
          <w:spacing w:val="-2"/>
        </w:rPr>
        <w:t>i</w:t>
      </w:r>
      <w:r>
        <w:rPr>
          <w:spacing w:val="1"/>
        </w:rPr>
        <w:t>l</w:t>
      </w:r>
      <w:r>
        <w:t>or</w:t>
      </w:r>
      <w:r>
        <w:rPr>
          <w:spacing w:val="1"/>
        </w:rPr>
        <w:t xml:space="preserve"> </w:t>
      </w:r>
      <w:r>
        <w:rPr>
          <w:spacing w:val="-4"/>
        </w:rPr>
        <w:t>I</w:t>
      </w:r>
      <w:r>
        <w:t>nf</w:t>
      </w:r>
      <w:r>
        <w:rPr>
          <w:spacing w:val="1"/>
        </w:rPr>
        <w:t>l</w:t>
      </w:r>
      <w:r>
        <w:t>a</w:t>
      </w:r>
      <w:r>
        <w:rPr>
          <w:spacing w:val="-4"/>
        </w:rPr>
        <w:t>m</w:t>
      </w:r>
      <w:r>
        <w:t>a</w:t>
      </w:r>
      <w:r>
        <w:rPr>
          <w:spacing w:val="1"/>
        </w:rPr>
        <w:t>t</w:t>
      </w:r>
      <w:r>
        <w:t>o</w:t>
      </w:r>
      <w:r>
        <w:rPr>
          <w:spacing w:val="-2"/>
        </w:rPr>
        <w:t>ri</w:t>
      </w:r>
      <w:r>
        <w:t>i</w:t>
      </w:r>
      <w:r>
        <w:rPr>
          <w:spacing w:val="1"/>
        </w:rPr>
        <w:t xml:space="preserve"> </w:t>
      </w:r>
      <w:r>
        <w:rPr>
          <w:spacing w:val="-4"/>
        </w:rPr>
        <w:t>I</w:t>
      </w:r>
      <w:r>
        <w:t>n</w:t>
      </w:r>
      <w:r>
        <w:rPr>
          <w:spacing w:val="1"/>
        </w:rPr>
        <w:t>t</w:t>
      </w:r>
      <w:r>
        <w:t>es</w:t>
      </w:r>
      <w:r>
        <w:rPr>
          <w:spacing w:val="1"/>
        </w:rPr>
        <w:t>t</w:t>
      </w:r>
      <w:r>
        <w:rPr>
          <w:spacing w:val="-2"/>
        </w:rPr>
        <w:t>i</w:t>
      </w:r>
      <w:r>
        <w:rPr>
          <w:spacing w:val="-3"/>
        </w:rPr>
        <w:t>n</w:t>
      </w:r>
      <w:r>
        <w:t>a</w:t>
      </w:r>
      <w:r>
        <w:rPr>
          <w:spacing w:val="1"/>
        </w:rPr>
        <w:t>l</w:t>
      </w:r>
      <w:r>
        <w:t>e</w:t>
      </w:r>
      <w:r>
        <w:rPr>
          <w:spacing w:val="-2"/>
        </w:rPr>
        <w:t xml:space="preserve"> </w:t>
      </w:r>
      <w:r>
        <w:t>(</w:t>
      </w:r>
      <w:r>
        <w:rPr>
          <w:spacing w:val="-4"/>
        </w:rPr>
        <w:t>I</w:t>
      </w:r>
      <w:r>
        <w:rPr>
          <w:spacing w:val="-1"/>
        </w:rPr>
        <w:t>BDQ</w:t>
      </w:r>
      <w:r>
        <w:t>).</w:t>
      </w:r>
    </w:p>
    <w:p w14:paraId="74955122" w14:textId="77777777" w:rsidR="00C04CAD" w:rsidRDefault="00C04CAD">
      <w:pPr>
        <w:tabs>
          <w:tab w:val="clear" w:pos="567"/>
        </w:tabs>
        <w:kinsoku w:val="0"/>
        <w:overflowPunct w:val="0"/>
        <w:autoSpaceDE w:val="0"/>
        <w:autoSpaceDN w:val="0"/>
        <w:adjustRightInd w:val="0"/>
        <w:spacing w:line="240" w:lineRule="auto"/>
        <w:rPr>
          <w:i/>
          <w:spacing w:val="-1"/>
        </w:rPr>
      </w:pPr>
    </w:p>
    <w:p w14:paraId="1F566F14" w14:textId="77777777" w:rsidR="00C04CAD" w:rsidRDefault="00060E34">
      <w:pPr>
        <w:tabs>
          <w:tab w:val="clear" w:pos="567"/>
        </w:tabs>
        <w:kinsoku w:val="0"/>
        <w:overflowPunct w:val="0"/>
        <w:autoSpaceDE w:val="0"/>
        <w:autoSpaceDN w:val="0"/>
        <w:adjustRightInd w:val="0"/>
        <w:spacing w:line="240" w:lineRule="auto"/>
      </w:pPr>
      <w:r>
        <w:rPr>
          <w:i/>
          <w:spacing w:val="-1"/>
        </w:rPr>
        <w:t>U</w:t>
      </w:r>
      <w:r>
        <w:rPr>
          <w:i/>
        </w:rPr>
        <w:t>ve</w:t>
      </w:r>
      <w:r>
        <w:rPr>
          <w:i/>
          <w:spacing w:val="1"/>
        </w:rPr>
        <w:t>i</w:t>
      </w:r>
      <w:r>
        <w:rPr>
          <w:i/>
          <w:spacing w:val="-2"/>
        </w:rPr>
        <w:t>t</w:t>
      </w:r>
      <w:r>
        <w:rPr>
          <w:i/>
        </w:rPr>
        <w:t>ă</w:t>
      </w:r>
    </w:p>
    <w:p w14:paraId="51F01121" w14:textId="77777777" w:rsidR="00C04CAD" w:rsidRDefault="00C04CAD">
      <w:pPr>
        <w:tabs>
          <w:tab w:val="clear" w:pos="567"/>
        </w:tabs>
        <w:kinsoku w:val="0"/>
        <w:overflowPunct w:val="0"/>
        <w:autoSpaceDE w:val="0"/>
        <w:autoSpaceDN w:val="0"/>
        <w:adjustRightInd w:val="0"/>
        <w:spacing w:line="240" w:lineRule="auto"/>
      </w:pPr>
    </w:p>
    <w:p w14:paraId="01CE080B" w14:textId="77777777" w:rsidR="00C04CAD" w:rsidRDefault="00060E34">
      <w:pPr>
        <w:tabs>
          <w:tab w:val="clear" w:pos="567"/>
        </w:tabs>
        <w:kinsoku w:val="0"/>
        <w:overflowPunct w:val="0"/>
        <w:autoSpaceDE w:val="0"/>
        <w:autoSpaceDN w:val="0"/>
        <w:adjustRightInd w:val="0"/>
        <w:spacing w:line="240" w:lineRule="auto"/>
      </w:pPr>
      <w:r>
        <w:rPr>
          <w:spacing w:val="-4"/>
        </w:rPr>
        <w:t>Î</w:t>
      </w:r>
      <w:r>
        <w:t>n două s</w:t>
      </w:r>
      <w:r>
        <w:rPr>
          <w:spacing w:val="1"/>
        </w:rPr>
        <w:t>t</w:t>
      </w:r>
      <w:r>
        <w:t>ud</w:t>
      </w:r>
      <w:r>
        <w:rPr>
          <w:spacing w:val="-2"/>
        </w:rPr>
        <w:t>i</w:t>
      </w:r>
      <w:r>
        <w:t>i</w:t>
      </w:r>
      <w:r>
        <w:rPr>
          <w:spacing w:val="1"/>
        </w:rPr>
        <w:t xml:space="preserve"> </w:t>
      </w:r>
      <w:r>
        <w:rPr>
          <w:spacing w:val="-2"/>
        </w:rPr>
        <w:t>r</w:t>
      </w:r>
      <w:r>
        <w:t>ando</w:t>
      </w:r>
      <w:r>
        <w:rPr>
          <w:spacing w:val="-4"/>
        </w:rPr>
        <w:t>m</w:t>
      </w:r>
      <w:r>
        <w:rPr>
          <w:spacing w:val="1"/>
        </w:rPr>
        <w:t>i</w:t>
      </w:r>
      <w:r>
        <w:rPr>
          <w:spacing w:val="-3"/>
        </w:rPr>
        <w:t>z</w:t>
      </w:r>
      <w:r>
        <w:t>a</w:t>
      </w:r>
      <w:r>
        <w:rPr>
          <w:spacing w:val="1"/>
        </w:rPr>
        <w:t>t</w:t>
      </w:r>
      <w:r>
        <w:t>e,</w:t>
      </w:r>
      <w:r>
        <w:rPr>
          <w:spacing w:val="-3"/>
        </w:rPr>
        <w:t xml:space="preserve"> </w:t>
      </w:r>
      <w:r>
        <w:t>dub</w:t>
      </w:r>
      <w:r>
        <w:rPr>
          <w:spacing w:val="1"/>
        </w:rPr>
        <w:t>l</w:t>
      </w:r>
      <w:r>
        <w:t>u</w:t>
      </w:r>
      <w:r>
        <w:rPr>
          <w:spacing w:val="-4"/>
        </w:rPr>
        <w:t>-</w:t>
      </w:r>
      <w:r>
        <w:t>orb, p</w:t>
      </w:r>
      <w:r>
        <w:rPr>
          <w:spacing w:val="-2"/>
        </w:rPr>
        <w:t>l</w:t>
      </w:r>
      <w:r>
        <w:t>ace</w:t>
      </w:r>
      <w:r>
        <w:rPr>
          <w:spacing w:val="-3"/>
        </w:rPr>
        <w:t>b</w:t>
      </w:r>
      <w:r>
        <w:t>o co</w:t>
      </w:r>
      <w:r>
        <w:rPr>
          <w:spacing w:val="-3"/>
        </w:rPr>
        <w:t>n</w:t>
      </w:r>
      <w:r>
        <w:rPr>
          <w:spacing w:val="1"/>
        </w:rPr>
        <w:t>t</w:t>
      </w:r>
      <w:r>
        <w:rPr>
          <w:spacing w:val="-2"/>
        </w:rPr>
        <w:t>r</w:t>
      </w:r>
      <w:r>
        <w:t>o</w:t>
      </w:r>
      <w:r>
        <w:rPr>
          <w:spacing w:val="-2"/>
        </w:rPr>
        <w:t>l</w:t>
      </w:r>
      <w:r>
        <w:t>a</w:t>
      </w:r>
      <w:r>
        <w:rPr>
          <w:spacing w:val="1"/>
        </w:rPr>
        <w:t>t</w:t>
      </w:r>
      <w:r>
        <w:t>e</w:t>
      </w:r>
      <w:r>
        <w:rPr>
          <w:spacing w:val="-2"/>
        </w:rPr>
        <w:t xml:space="preserve"> </w:t>
      </w:r>
      <w:r>
        <w:t>(</w:t>
      </w:r>
      <w:r>
        <w:rPr>
          <w:spacing w:val="-1"/>
        </w:rPr>
        <w:t>U</w:t>
      </w:r>
      <w:r>
        <w:t>V</w:t>
      </w:r>
      <w:r>
        <w:rPr>
          <w:spacing w:val="1"/>
        </w:rPr>
        <w:t xml:space="preserve"> </w:t>
      </w:r>
      <w:r>
        <w:t>I</w:t>
      </w:r>
      <w:r>
        <w:rPr>
          <w:spacing w:val="-4"/>
        </w:rPr>
        <w:t xml:space="preserve"> </w:t>
      </w:r>
      <w:r>
        <w:t>și</w:t>
      </w:r>
      <w:r>
        <w:rPr>
          <w:spacing w:val="1"/>
        </w:rPr>
        <w:t xml:space="preserve"> </w:t>
      </w:r>
      <w:r>
        <w:rPr>
          <w:spacing w:val="-2"/>
        </w:rPr>
        <w:t>I</w:t>
      </w:r>
      <w:r>
        <w:rPr>
          <w:spacing w:val="-4"/>
        </w:rPr>
        <w:t>I</w:t>
      </w:r>
      <w:r>
        <w:t>)</w:t>
      </w:r>
      <w:r>
        <w:rPr>
          <w:spacing w:val="1"/>
        </w:rPr>
        <w:t xml:space="preserve"> </w:t>
      </w:r>
      <w:r>
        <w:t>au fost</w:t>
      </w:r>
      <w:r>
        <w:rPr>
          <w:spacing w:val="-2"/>
        </w:rPr>
        <w:t xml:space="preserve"> </w:t>
      </w:r>
      <w:r>
        <w:t>e</w:t>
      </w:r>
      <w:r>
        <w:rPr>
          <w:spacing w:val="-3"/>
        </w:rPr>
        <w:t>v</w:t>
      </w:r>
      <w:r>
        <w:t>a</w:t>
      </w:r>
      <w:r>
        <w:rPr>
          <w:spacing w:val="-2"/>
        </w:rPr>
        <w:t>l</w:t>
      </w:r>
      <w:r>
        <w:t>ua</w:t>
      </w:r>
      <w:r>
        <w:rPr>
          <w:spacing w:val="1"/>
        </w:rPr>
        <w:t>t</w:t>
      </w:r>
      <w:r>
        <w:t>e</w:t>
      </w:r>
      <w:r>
        <w:rPr>
          <w:spacing w:val="-2"/>
        </w:rPr>
        <w:t xml:space="preserve"> </w:t>
      </w:r>
      <w:r>
        <w:t>s</w:t>
      </w:r>
      <w:r>
        <w:rPr>
          <w:spacing w:val="1"/>
        </w:rPr>
        <w:t>i</w:t>
      </w:r>
      <w:r>
        <w:rPr>
          <w:spacing w:val="-3"/>
        </w:rPr>
        <w:t>g</w:t>
      </w:r>
      <w:r>
        <w:t>ur</w:t>
      </w:r>
      <w:r>
        <w:rPr>
          <w:spacing w:val="-3"/>
        </w:rPr>
        <w:t>a</w:t>
      </w:r>
      <w:r>
        <w:t>n</w:t>
      </w:r>
      <w:r>
        <w:rPr>
          <w:spacing w:val="1"/>
        </w:rPr>
        <w:t>ț</w:t>
      </w:r>
      <w:r>
        <w:t>a</w:t>
      </w:r>
      <w:r>
        <w:rPr>
          <w:spacing w:val="-2"/>
        </w:rPr>
        <w:t xml:space="preserve"> </w:t>
      </w:r>
      <w:r>
        <w:t>și ef</w:t>
      </w:r>
      <w:r>
        <w:rPr>
          <w:spacing w:val="-2"/>
        </w:rPr>
        <w:t>i</w:t>
      </w:r>
      <w:r>
        <w:t>ca</w:t>
      </w:r>
      <w:r>
        <w:rPr>
          <w:spacing w:val="-3"/>
        </w:rPr>
        <w:t>c</w:t>
      </w:r>
      <w:r>
        <w:rPr>
          <w:spacing w:val="1"/>
        </w:rPr>
        <w:t>i</w:t>
      </w:r>
      <w:r>
        <w:rPr>
          <w:spacing w:val="-2"/>
        </w:rPr>
        <w:t>t</w:t>
      </w:r>
      <w:r>
        <w:t>a</w:t>
      </w:r>
      <w:r>
        <w:rPr>
          <w:spacing w:val="1"/>
        </w:rPr>
        <w:t>t</w:t>
      </w:r>
      <w:r>
        <w:rPr>
          <w:spacing w:val="-3"/>
        </w:rPr>
        <w:t>e</w:t>
      </w:r>
      <w:r>
        <w:t xml:space="preserve">a </w:t>
      </w:r>
      <w:r>
        <w:rPr>
          <w:rFonts w:eastAsia="MS Mincho"/>
          <w:spacing w:val="-1"/>
          <w:szCs w:val="22"/>
          <w:lang w:eastAsia="en-US" w:bidi="ar-SA"/>
        </w:rPr>
        <w:t>adalimumab</w:t>
      </w:r>
      <w:r>
        <w:t xml:space="preserve"> </w:t>
      </w:r>
      <w:r>
        <w:rPr>
          <w:spacing w:val="-2"/>
        </w:rPr>
        <w:t>l</w:t>
      </w:r>
      <w:r>
        <w:t>a p</w:t>
      </w:r>
      <w:r>
        <w:rPr>
          <w:spacing w:val="-3"/>
        </w:rPr>
        <w:t>a</w:t>
      </w:r>
      <w:r>
        <w:t>c</w:t>
      </w:r>
      <w:r>
        <w:rPr>
          <w:spacing w:val="-2"/>
        </w:rPr>
        <w:t>i</w:t>
      </w:r>
      <w:r>
        <w:t>en</w:t>
      </w:r>
      <w:r>
        <w:rPr>
          <w:spacing w:val="-2"/>
        </w:rPr>
        <w:t>ț</w:t>
      </w:r>
      <w:r>
        <w:t>i</w:t>
      </w:r>
      <w:r>
        <w:rPr>
          <w:spacing w:val="1"/>
        </w:rPr>
        <w:t xml:space="preserve"> </w:t>
      </w:r>
      <w:r>
        <w:t>ad</w:t>
      </w:r>
      <w:r>
        <w:rPr>
          <w:spacing w:val="-3"/>
        </w:rPr>
        <w:t>u</w:t>
      </w:r>
      <w:r>
        <w:rPr>
          <w:spacing w:val="1"/>
        </w:rPr>
        <w:t>l</w:t>
      </w:r>
      <w:r>
        <w:rPr>
          <w:spacing w:val="-2"/>
        </w:rPr>
        <w:t>ț</w:t>
      </w:r>
      <w:r>
        <w:t>i</w:t>
      </w:r>
      <w:r>
        <w:rPr>
          <w:spacing w:val="1"/>
        </w:rPr>
        <w:t xml:space="preserve"> </w:t>
      </w:r>
      <w:r>
        <w:t>cu</w:t>
      </w:r>
      <w:r>
        <w:rPr>
          <w:spacing w:val="-3"/>
        </w:rPr>
        <w:t xml:space="preserve"> </w:t>
      </w:r>
      <w:r>
        <w:t>panu</w:t>
      </w:r>
      <w:r>
        <w:rPr>
          <w:spacing w:val="-3"/>
        </w:rPr>
        <w:t>v</w:t>
      </w:r>
      <w:r>
        <w:t>e</w:t>
      </w:r>
      <w:r>
        <w:rPr>
          <w:spacing w:val="-2"/>
        </w:rPr>
        <w:t>i</w:t>
      </w:r>
      <w:r>
        <w:rPr>
          <w:spacing w:val="1"/>
        </w:rPr>
        <w:t>t</w:t>
      </w:r>
      <w:r>
        <w:t xml:space="preserve">ă </w:t>
      </w:r>
      <w:r>
        <w:rPr>
          <w:spacing w:val="-3"/>
        </w:rPr>
        <w:t>p</w:t>
      </w:r>
      <w:r>
        <w:t>o</w:t>
      </w:r>
      <w:r>
        <w:rPr>
          <w:spacing w:val="-2"/>
        </w:rPr>
        <w:t>s</w:t>
      </w:r>
      <w:r>
        <w:rPr>
          <w:spacing w:val="1"/>
        </w:rPr>
        <w:t>t</w:t>
      </w:r>
      <w:r>
        <w:t>e</w:t>
      </w:r>
      <w:r>
        <w:rPr>
          <w:spacing w:val="-2"/>
        </w:rPr>
        <w:t>r</w:t>
      </w:r>
      <w:r>
        <w:rPr>
          <w:spacing w:val="1"/>
        </w:rPr>
        <w:t>i</w:t>
      </w:r>
      <w:r>
        <w:t>o</w:t>
      </w:r>
      <w:r>
        <w:rPr>
          <w:spacing w:val="-3"/>
        </w:rPr>
        <w:t>a</w:t>
      </w:r>
      <w:r>
        <w:t>ră,</w:t>
      </w:r>
      <w:r>
        <w:rPr>
          <w:spacing w:val="-3"/>
        </w:rPr>
        <w:t xml:space="preserve"> </w:t>
      </w:r>
      <w:r>
        <w:rPr>
          <w:spacing w:val="1"/>
        </w:rPr>
        <w:t>i</w:t>
      </w:r>
      <w:r>
        <w:t>n</w:t>
      </w:r>
      <w:r>
        <w:rPr>
          <w:spacing w:val="-2"/>
        </w:rPr>
        <w:t>t</w:t>
      </w:r>
      <w:r>
        <w:t>er</w:t>
      </w:r>
      <w:r>
        <w:rPr>
          <w:spacing w:val="-4"/>
        </w:rPr>
        <w:t>m</w:t>
      </w:r>
      <w:r>
        <w:t>ed</w:t>
      </w:r>
      <w:r>
        <w:rPr>
          <w:spacing w:val="1"/>
        </w:rPr>
        <w:t>i</w:t>
      </w:r>
      <w:r>
        <w:rPr>
          <w:spacing w:val="-3"/>
        </w:rPr>
        <w:t>a</w:t>
      </w:r>
      <w:r>
        <w:t xml:space="preserve">ră, </w:t>
      </w:r>
      <w:r>
        <w:rPr>
          <w:spacing w:val="-3"/>
        </w:rPr>
        <w:t>n</w:t>
      </w:r>
      <w:r>
        <w:t>on</w:t>
      </w:r>
      <w:r>
        <w:rPr>
          <w:spacing w:val="-2"/>
        </w:rPr>
        <w:t>-</w:t>
      </w:r>
      <w:r>
        <w:rPr>
          <w:spacing w:val="1"/>
        </w:rPr>
        <w:t>i</w:t>
      </w:r>
      <w:r>
        <w:t>nf</w:t>
      </w:r>
      <w:r>
        <w:rPr>
          <w:spacing w:val="-2"/>
        </w:rPr>
        <w:t>e</w:t>
      </w:r>
      <w:r>
        <w:t>c</w:t>
      </w:r>
      <w:r>
        <w:rPr>
          <w:spacing w:val="-2"/>
        </w:rPr>
        <w:t>ţ</w:t>
      </w:r>
      <w:r>
        <w:rPr>
          <w:spacing w:val="1"/>
        </w:rPr>
        <w:t>i</w:t>
      </w:r>
      <w:r>
        <w:t>o</w:t>
      </w:r>
      <w:r>
        <w:rPr>
          <w:spacing w:val="-2"/>
        </w:rPr>
        <w:t>a</w:t>
      </w:r>
      <w:r>
        <w:t>să, exc</w:t>
      </w:r>
      <w:r>
        <w:rPr>
          <w:spacing w:val="1"/>
        </w:rPr>
        <w:t>l</w:t>
      </w:r>
      <w:r>
        <w:t>u</w:t>
      </w:r>
      <w:r>
        <w:rPr>
          <w:spacing w:val="-3"/>
        </w:rPr>
        <w:t>z</w:t>
      </w:r>
      <w:r>
        <w:t>ân</w:t>
      </w:r>
      <w:r>
        <w:rPr>
          <w:spacing w:val="-3"/>
        </w:rPr>
        <w:t>d</w:t>
      </w:r>
      <w:r>
        <w:t>u</w:t>
      </w:r>
      <w:r>
        <w:rPr>
          <w:spacing w:val="-4"/>
        </w:rPr>
        <w:t>-</w:t>
      </w:r>
      <w:r>
        <w:t>se pac</w:t>
      </w:r>
      <w:r>
        <w:rPr>
          <w:spacing w:val="1"/>
        </w:rPr>
        <w:t>i</w:t>
      </w:r>
      <w:r>
        <w:rPr>
          <w:spacing w:val="-3"/>
        </w:rPr>
        <w:t>e</w:t>
      </w:r>
      <w:r>
        <w:t>n</w:t>
      </w:r>
      <w:r>
        <w:rPr>
          <w:spacing w:val="-2"/>
        </w:rPr>
        <w:t>ț</w:t>
      </w:r>
      <w:r>
        <w:rPr>
          <w:spacing w:val="1"/>
        </w:rPr>
        <w:t>i</w:t>
      </w:r>
      <w:r>
        <w:t>i</w:t>
      </w:r>
      <w:r>
        <w:rPr>
          <w:spacing w:val="-2"/>
        </w:rPr>
        <w:t xml:space="preserve"> </w:t>
      </w:r>
      <w:r>
        <w:t>cu</w:t>
      </w:r>
      <w:r>
        <w:rPr>
          <w:spacing w:val="-3"/>
        </w:rPr>
        <w:t xml:space="preserve"> </w:t>
      </w:r>
      <w:r>
        <w:t>u</w:t>
      </w:r>
      <w:r>
        <w:rPr>
          <w:spacing w:val="-3"/>
        </w:rPr>
        <w:t>v</w:t>
      </w:r>
      <w:r>
        <w:t>e</w:t>
      </w:r>
      <w:r>
        <w:rPr>
          <w:spacing w:val="1"/>
        </w:rPr>
        <w:t>it</w:t>
      </w:r>
      <w:r>
        <w:t xml:space="preserve">ă </w:t>
      </w:r>
      <w:r>
        <w:rPr>
          <w:spacing w:val="-3"/>
        </w:rPr>
        <w:t>a</w:t>
      </w:r>
      <w:r>
        <w:t>n</w:t>
      </w:r>
      <w:r>
        <w:rPr>
          <w:spacing w:val="1"/>
        </w:rPr>
        <w:t>t</w:t>
      </w:r>
      <w:r>
        <w:rPr>
          <w:spacing w:val="-3"/>
        </w:rPr>
        <w:t>e</w:t>
      </w:r>
      <w:r>
        <w:t>r</w:t>
      </w:r>
      <w:r>
        <w:rPr>
          <w:spacing w:val="-2"/>
        </w:rPr>
        <w:t>i</w:t>
      </w:r>
      <w:r>
        <w:t>oa</w:t>
      </w:r>
      <w:r>
        <w:rPr>
          <w:spacing w:val="-2"/>
        </w:rPr>
        <w:t>r</w:t>
      </w:r>
      <w:r>
        <w:t xml:space="preserve">ă </w:t>
      </w:r>
      <w:r>
        <w:rPr>
          <w:spacing w:val="1"/>
        </w:rPr>
        <w:t>i</w:t>
      </w:r>
      <w:r>
        <w:rPr>
          <w:spacing w:val="-3"/>
        </w:rPr>
        <w:t>z</w:t>
      </w:r>
      <w:r>
        <w:t>o</w:t>
      </w:r>
      <w:r>
        <w:rPr>
          <w:spacing w:val="-2"/>
        </w:rPr>
        <w:t>l</w:t>
      </w:r>
      <w:r>
        <w:t>a</w:t>
      </w:r>
      <w:r>
        <w:rPr>
          <w:spacing w:val="1"/>
        </w:rPr>
        <w:t>t</w:t>
      </w:r>
      <w:r>
        <w:rPr>
          <w:spacing w:val="-3"/>
        </w:rPr>
        <w:t>ă</w:t>
      </w:r>
      <w:r>
        <w:t xml:space="preserve">. </w:t>
      </w:r>
      <w:r>
        <w:rPr>
          <w:spacing w:val="-1"/>
        </w:rPr>
        <w:t>P</w:t>
      </w:r>
      <w:r>
        <w:rPr>
          <w:spacing w:val="-3"/>
        </w:rPr>
        <w:t>a</w:t>
      </w:r>
      <w:r>
        <w:t>c</w:t>
      </w:r>
      <w:r>
        <w:rPr>
          <w:spacing w:val="1"/>
        </w:rPr>
        <w:t>i</w:t>
      </w:r>
      <w:r>
        <w:t>e</w:t>
      </w:r>
      <w:r>
        <w:rPr>
          <w:spacing w:val="-3"/>
        </w:rPr>
        <w:t>n</w:t>
      </w:r>
      <w:r>
        <w:rPr>
          <w:spacing w:val="1"/>
        </w:rPr>
        <w:t>ț</w:t>
      </w:r>
      <w:r>
        <w:rPr>
          <w:spacing w:val="-2"/>
        </w:rPr>
        <w:t>i</w:t>
      </w:r>
      <w:r>
        <w:t>i</w:t>
      </w:r>
      <w:r>
        <w:rPr>
          <w:spacing w:val="1"/>
        </w:rPr>
        <w:t xml:space="preserve"> </w:t>
      </w:r>
      <w:r>
        <w:t>au</w:t>
      </w:r>
      <w:r>
        <w:rPr>
          <w:spacing w:val="-3"/>
        </w:rPr>
        <w:t xml:space="preserve"> </w:t>
      </w:r>
      <w:r>
        <w:t>p</w:t>
      </w:r>
      <w:r>
        <w:rPr>
          <w:spacing w:val="-2"/>
        </w:rPr>
        <w:t>r</w:t>
      </w:r>
      <w:r>
        <w:rPr>
          <w:spacing w:val="1"/>
        </w:rPr>
        <w:t>i</w:t>
      </w:r>
      <w:r>
        <w:rPr>
          <w:spacing w:val="-4"/>
        </w:rPr>
        <w:t>m</w:t>
      </w:r>
      <w:r>
        <w:rPr>
          <w:spacing w:val="1"/>
        </w:rPr>
        <w:t>i</w:t>
      </w:r>
      <w:r>
        <w:t>t</w:t>
      </w:r>
      <w:r>
        <w:rPr>
          <w:spacing w:val="1"/>
        </w:rPr>
        <w:t xml:space="preserve"> </w:t>
      </w:r>
      <w:r>
        <w:t>p</w:t>
      </w:r>
      <w:r>
        <w:rPr>
          <w:spacing w:val="-2"/>
        </w:rPr>
        <w:t>l</w:t>
      </w:r>
      <w:r>
        <w:t>acebo</w:t>
      </w:r>
      <w:r>
        <w:rPr>
          <w:spacing w:val="-3"/>
        </w:rPr>
        <w:t xml:space="preserve"> </w:t>
      </w:r>
      <w:r>
        <w:t>s</w:t>
      </w:r>
      <w:r>
        <w:rPr>
          <w:spacing w:val="-3"/>
        </w:rPr>
        <w:t>a</w:t>
      </w:r>
      <w:r>
        <w:t xml:space="preserve">u </w:t>
      </w:r>
      <w:r>
        <w:rPr>
          <w:rFonts w:eastAsia="MS Mincho"/>
          <w:spacing w:val="-1"/>
          <w:szCs w:val="22"/>
          <w:lang w:eastAsia="en-US" w:bidi="ar-SA"/>
        </w:rPr>
        <w:t>adalimumab</w:t>
      </w:r>
      <w:r>
        <w:t xml:space="preserve"> cu o do</w:t>
      </w:r>
      <w:r>
        <w:rPr>
          <w:spacing w:val="-3"/>
        </w:rPr>
        <w:t>z</w:t>
      </w:r>
      <w:r>
        <w:t xml:space="preserve">ă </w:t>
      </w:r>
      <w:r>
        <w:rPr>
          <w:spacing w:val="1"/>
        </w:rPr>
        <w:t>i</w:t>
      </w:r>
      <w:r>
        <w:t>n</w:t>
      </w:r>
      <w:r>
        <w:rPr>
          <w:spacing w:val="-2"/>
        </w:rPr>
        <w:t>i</w:t>
      </w:r>
      <w:r>
        <w:rPr>
          <w:spacing w:val="1"/>
        </w:rPr>
        <w:t>ț</w:t>
      </w:r>
      <w:r>
        <w:rPr>
          <w:spacing w:val="-2"/>
        </w:rPr>
        <w:t>i</w:t>
      </w:r>
      <w:r>
        <w:t>a</w:t>
      </w:r>
      <w:r>
        <w:rPr>
          <w:spacing w:val="1"/>
        </w:rPr>
        <w:t>l</w:t>
      </w:r>
      <w:r>
        <w:t>ă</w:t>
      </w:r>
      <w:r>
        <w:rPr>
          <w:spacing w:val="-2"/>
        </w:rPr>
        <w:t xml:space="preserve"> </w:t>
      </w:r>
      <w:r>
        <w:t>de 80 </w:t>
      </w:r>
      <w:r>
        <w:rPr>
          <w:spacing w:val="-4"/>
        </w:rPr>
        <w:t>m</w:t>
      </w:r>
      <w:r>
        <w:rPr>
          <w:spacing w:val="-3"/>
        </w:rPr>
        <w:t>g</w:t>
      </w:r>
      <w:r>
        <w:t>, ur</w:t>
      </w:r>
      <w:r>
        <w:rPr>
          <w:spacing w:val="-4"/>
        </w:rPr>
        <w:t>m</w:t>
      </w:r>
      <w:r>
        <w:t>a</w:t>
      </w:r>
      <w:r>
        <w:rPr>
          <w:spacing w:val="1"/>
        </w:rPr>
        <w:t>t</w:t>
      </w:r>
      <w:r>
        <w:t>ă de 40 </w:t>
      </w:r>
      <w:r>
        <w:rPr>
          <w:spacing w:val="-4"/>
        </w:rPr>
        <w:t>m</w:t>
      </w:r>
      <w:r>
        <w:t>g</w:t>
      </w:r>
      <w:r>
        <w:rPr>
          <w:spacing w:val="-3"/>
        </w:rPr>
        <w:t xml:space="preserve"> </w:t>
      </w:r>
      <w:r>
        <w:rPr>
          <w:spacing w:val="1"/>
        </w:rPr>
        <w:t>l</w:t>
      </w:r>
      <w:r>
        <w:t>a două să</w:t>
      </w:r>
      <w:r>
        <w:rPr>
          <w:spacing w:val="-3"/>
        </w:rPr>
        <w:t>p</w:t>
      </w:r>
      <w:r>
        <w:rPr>
          <w:spacing w:val="1"/>
        </w:rPr>
        <w:t>t</w:t>
      </w:r>
      <w:r>
        <w:t>ă</w:t>
      </w:r>
      <w:r>
        <w:rPr>
          <w:spacing w:val="-4"/>
        </w:rPr>
        <w:t>m</w:t>
      </w:r>
      <w:r>
        <w:t>âni</w:t>
      </w:r>
      <w:r>
        <w:rPr>
          <w:spacing w:val="-2"/>
        </w:rPr>
        <w:t xml:space="preserve"> </w:t>
      </w:r>
      <w:r>
        <w:rPr>
          <w:spacing w:val="1"/>
        </w:rPr>
        <w:t>î</w:t>
      </w:r>
      <w:r>
        <w:t>nce</w:t>
      </w:r>
      <w:r>
        <w:rPr>
          <w:spacing w:val="-3"/>
        </w:rPr>
        <w:t>p</w:t>
      </w:r>
      <w:r>
        <w:t>ând</w:t>
      </w:r>
      <w:r>
        <w:rPr>
          <w:spacing w:val="-3"/>
        </w:rPr>
        <w:t xml:space="preserve"> </w:t>
      </w:r>
      <w:r>
        <w:t>cu p</w:t>
      </w:r>
      <w:r>
        <w:rPr>
          <w:spacing w:val="-2"/>
        </w:rPr>
        <w:t>r</w:t>
      </w:r>
      <w:r>
        <w:rPr>
          <w:spacing w:val="1"/>
        </w:rPr>
        <w:t>i</w:t>
      </w:r>
      <w:r>
        <w:rPr>
          <w:spacing w:val="-4"/>
        </w:rPr>
        <w:t>m</w:t>
      </w:r>
      <w:r>
        <w:t>a săp</w:t>
      </w:r>
      <w:r>
        <w:rPr>
          <w:spacing w:val="-2"/>
        </w:rPr>
        <w:t>t</w:t>
      </w:r>
      <w:r>
        <w:t>ă</w:t>
      </w:r>
      <w:r>
        <w:rPr>
          <w:spacing w:val="-4"/>
        </w:rPr>
        <w:t>m</w:t>
      </w:r>
      <w:r>
        <w:t>ână după</w:t>
      </w:r>
      <w:r>
        <w:rPr>
          <w:spacing w:val="-2"/>
        </w:rPr>
        <w:t xml:space="preserve"> </w:t>
      </w:r>
      <w:r>
        <w:t>do</w:t>
      </w:r>
      <w:r>
        <w:rPr>
          <w:spacing w:val="-3"/>
        </w:rPr>
        <w:t>z</w:t>
      </w:r>
      <w:r>
        <w:t xml:space="preserve">a </w:t>
      </w:r>
      <w:r>
        <w:rPr>
          <w:spacing w:val="1"/>
        </w:rPr>
        <w:t>i</w:t>
      </w:r>
      <w:r>
        <w:rPr>
          <w:spacing w:val="-3"/>
        </w:rPr>
        <w:t>n</w:t>
      </w:r>
      <w:r>
        <w:rPr>
          <w:spacing w:val="1"/>
        </w:rPr>
        <w:t>i</w:t>
      </w:r>
      <w:r>
        <w:rPr>
          <w:spacing w:val="-2"/>
        </w:rPr>
        <w:t>ț</w:t>
      </w:r>
      <w:r>
        <w:rPr>
          <w:spacing w:val="1"/>
        </w:rPr>
        <w:t>i</w:t>
      </w:r>
      <w:r>
        <w:rPr>
          <w:spacing w:val="-3"/>
        </w:rPr>
        <w:t>a</w:t>
      </w:r>
      <w:r>
        <w:rPr>
          <w:spacing w:val="1"/>
        </w:rPr>
        <w:t>l</w:t>
      </w:r>
      <w:r>
        <w:t xml:space="preserve">ă. </w:t>
      </w:r>
      <w:r>
        <w:rPr>
          <w:spacing w:val="2"/>
        </w:rPr>
        <w:t>S</w:t>
      </w:r>
      <w:r>
        <w:rPr>
          <w:spacing w:val="-4"/>
        </w:rPr>
        <w:t>-</w:t>
      </w:r>
      <w:r>
        <w:t>a acce</w:t>
      </w:r>
      <w:r>
        <w:rPr>
          <w:spacing w:val="-3"/>
        </w:rPr>
        <w:t>p</w:t>
      </w:r>
      <w:r>
        <w:rPr>
          <w:spacing w:val="1"/>
        </w:rPr>
        <w:t>t</w:t>
      </w:r>
      <w:r>
        <w:rPr>
          <w:spacing w:val="-3"/>
        </w:rPr>
        <w:t>a</w:t>
      </w:r>
      <w:r>
        <w:t>t</w:t>
      </w:r>
      <w:r>
        <w:rPr>
          <w:spacing w:val="1"/>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w:t>
      </w:r>
      <w:r>
        <w:rPr>
          <w:spacing w:val="-2"/>
        </w:rPr>
        <w:t>r</w:t>
      </w:r>
      <w:r>
        <w:t>ea</w:t>
      </w:r>
      <w:r>
        <w:rPr>
          <w:spacing w:val="-2"/>
        </w:rPr>
        <w:t xml:space="preserve"> </w:t>
      </w:r>
      <w:r>
        <w:t>conco</w:t>
      </w:r>
      <w:r>
        <w:rPr>
          <w:spacing w:val="-4"/>
        </w:rPr>
        <w:t>m</w:t>
      </w:r>
      <w:r>
        <w:rPr>
          <w:spacing w:val="1"/>
        </w:rPr>
        <w:t>it</w:t>
      </w:r>
      <w:r>
        <w:t>e</w:t>
      </w:r>
      <w:r>
        <w:rPr>
          <w:spacing w:val="-3"/>
        </w:rPr>
        <w:t>n</w:t>
      </w:r>
      <w:r>
        <w:rPr>
          <w:spacing w:val="1"/>
        </w:rPr>
        <w:t>t</w:t>
      </w:r>
      <w:r>
        <w:t>ă</w:t>
      </w:r>
      <w:r>
        <w:rPr>
          <w:spacing w:val="-2"/>
        </w:rPr>
        <w:t xml:space="preserve"> </w:t>
      </w:r>
      <w:r>
        <w:t>a un</w:t>
      </w:r>
      <w:r>
        <w:rPr>
          <w:spacing w:val="-3"/>
        </w:rPr>
        <w:t>u</w:t>
      </w:r>
      <w:r>
        <w:t>i</w:t>
      </w:r>
      <w:r>
        <w:rPr>
          <w:spacing w:val="1"/>
        </w:rPr>
        <w:t xml:space="preserve"> i</w:t>
      </w:r>
      <w:r>
        <w:rPr>
          <w:spacing w:val="-4"/>
        </w:rPr>
        <w:t>m</w:t>
      </w:r>
      <w:r>
        <w:t>unosupr</w:t>
      </w:r>
      <w:r>
        <w:rPr>
          <w:spacing w:val="-3"/>
        </w:rPr>
        <w:t>e</w:t>
      </w:r>
      <w:r>
        <w:t>sor</w:t>
      </w:r>
      <w:r>
        <w:rPr>
          <w:spacing w:val="-2"/>
        </w:rPr>
        <w:t xml:space="preserve"> </w:t>
      </w:r>
      <w:r>
        <w:t>non</w:t>
      </w:r>
      <w:r>
        <w:rPr>
          <w:spacing w:val="-4"/>
        </w:rPr>
        <w:t>-</w:t>
      </w:r>
      <w:r>
        <w:t>b</w:t>
      </w:r>
      <w:r>
        <w:rPr>
          <w:spacing w:val="1"/>
        </w:rPr>
        <w:t>i</w:t>
      </w:r>
      <w:r>
        <w:t>o</w:t>
      </w:r>
      <w:r>
        <w:rPr>
          <w:spacing w:val="1"/>
        </w:rPr>
        <w:t>l</w:t>
      </w:r>
      <w:r>
        <w:t>o</w:t>
      </w:r>
      <w:r>
        <w:rPr>
          <w:spacing w:val="-3"/>
        </w:rPr>
        <w:t>g</w:t>
      </w:r>
      <w:r>
        <w:rPr>
          <w:spacing w:val="1"/>
        </w:rPr>
        <w:t>i</w:t>
      </w:r>
      <w:r>
        <w:t>c</w:t>
      </w:r>
      <w:r>
        <w:rPr>
          <w:spacing w:val="-2"/>
        </w:rPr>
        <w:t xml:space="preserve"> </w:t>
      </w:r>
      <w:r>
        <w:rPr>
          <w:spacing w:val="1"/>
        </w:rPr>
        <w:t>î</w:t>
      </w:r>
      <w:r>
        <w:t>n d</w:t>
      </w:r>
      <w:r>
        <w:rPr>
          <w:spacing w:val="-3"/>
        </w:rPr>
        <w:t>oz</w:t>
      </w:r>
      <w:r>
        <w:t>e f</w:t>
      </w:r>
      <w:r>
        <w:rPr>
          <w:spacing w:val="1"/>
        </w:rPr>
        <w:t>i</w:t>
      </w:r>
      <w:r>
        <w:t>xe.</w:t>
      </w:r>
    </w:p>
    <w:p w14:paraId="5817346F" w14:textId="77777777" w:rsidR="00C04CAD" w:rsidRDefault="00C04CAD">
      <w:pPr>
        <w:tabs>
          <w:tab w:val="clear" w:pos="567"/>
        </w:tabs>
        <w:kinsoku w:val="0"/>
        <w:overflowPunct w:val="0"/>
        <w:autoSpaceDE w:val="0"/>
        <w:autoSpaceDN w:val="0"/>
        <w:adjustRightInd w:val="0"/>
        <w:spacing w:line="240" w:lineRule="auto"/>
      </w:pPr>
    </w:p>
    <w:p w14:paraId="0D436723" w14:textId="77777777" w:rsidR="00C04CAD" w:rsidRDefault="00060E34">
      <w:pPr>
        <w:tabs>
          <w:tab w:val="clear" w:pos="567"/>
        </w:tabs>
        <w:kinsoku w:val="0"/>
        <w:overflowPunct w:val="0"/>
        <w:autoSpaceDE w:val="0"/>
        <w:autoSpaceDN w:val="0"/>
        <w:adjustRightInd w:val="0"/>
        <w:spacing w:line="240" w:lineRule="auto"/>
      </w:pPr>
      <w:r>
        <w:rPr>
          <w:spacing w:val="-1"/>
        </w:rPr>
        <w:t>S</w:t>
      </w:r>
      <w:r>
        <w:rPr>
          <w:spacing w:val="1"/>
        </w:rPr>
        <w:t>t</w:t>
      </w:r>
      <w:r>
        <w:t>ud</w:t>
      </w:r>
      <w:r>
        <w:rPr>
          <w:spacing w:val="-2"/>
        </w:rPr>
        <w:t>i</w:t>
      </w:r>
      <w:r>
        <w:t xml:space="preserve">u </w:t>
      </w:r>
      <w:r>
        <w:rPr>
          <w:spacing w:val="-1"/>
        </w:rPr>
        <w:t>U</w:t>
      </w:r>
      <w:r>
        <w:t>V</w:t>
      </w:r>
      <w:r>
        <w:rPr>
          <w:spacing w:val="1"/>
        </w:rPr>
        <w:t xml:space="preserve"> </w:t>
      </w:r>
      <w:r>
        <w:t>I</w:t>
      </w:r>
      <w:r>
        <w:rPr>
          <w:spacing w:val="-4"/>
        </w:rPr>
        <w:t xml:space="preserve"> </w:t>
      </w:r>
      <w:r>
        <w:t>a e</w:t>
      </w:r>
      <w:r>
        <w:rPr>
          <w:spacing w:val="-3"/>
        </w:rPr>
        <w:t>v</w:t>
      </w:r>
      <w:r>
        <w:t>a</w:t>
      </w:r>
      <w:r>
        <w:rPr>
          <w:spacing w:val="1"/>
        </w:rPr>
        <w:t>l</w:t>
      </w:r>
      <w:r>
        <w:t>u</w:t>
      </w:r>
      <w:r>
        <w:rPr>
          <w:spacing w:val="-3"/>
        </w:rPr>
        <w:t>a</w:t>
      </w:r>
      <w:r>
        <w:t>t</w:t>
      </w:r>
      <w:r>
        <w:rPr>
          <w:spacing w:val="1"/>
        </w:rPr>
        <w:t xml:space="preserve"> </w:t>
      </w:r>
      <w:r>
        <w:t>217</w:t>
      </w:r>
      <w:r>
        <w:rPr>
          <w:spacing w:val="-3"/>
        </w:rPr>
        <w:t xml:space="preserve"> </w:t>
      </w:r>
      <w:r>
        <w:t>pac</w:t>
      </w:r>
      <w:r>
        <w:rPr>
          <w:spacing w:val="-2"/>
        </w:rPr>
        <w:t>i</w:t>
      </w:r>
      <w:r>
        <w:t>en</w:t>
      </w:r>
      <w:r>
        <w:rPr>
          <w:spacing w:val="-2"/>
        </w:rPr>
        <w:t>ț</w:t>
      </w:r>
      <w:r>
        <w:t>i</w:t>
      </w:r>
      <w:r>
        <w:rPr>
          <w:spacing w:val="1"/>
        </w:rPr>
        <w:t xml:space="preserve"> </w:t>
      </w:r>
      <w:r>
        <w:t>cu</w:t>
      </w:r>
      <w:r>
        <w:rPr>
          <w:spacing w:val="-3"/>
        </w:rPr>
        <w:t xml:space="preserve"> </w:t>
      </w:r>
      <w:r>
        <w:t>u</w:t>
      </w:r>
      <w:r>
        <w:rPr>
          <w:spacing w:val="-3"/>
        </w:rPr>
        <w:t>v</w:t>
      </w:r>
      <w:r>
        <w:t>e</w:t>
      </w:r>
      <w:r>
        <w:rPr>
          <w:spacing w:val="1"/>
        </w:rPr>
        <w:t>it</w:t>
      </w:r>
      <w:r>
        <w:t>ă</w:t>
      </w:r>
      <w:r>
        <w:rPr>
          <w:spacing w:val="-2"/>
        </w:rPr>
        <w:t xml:space="preserve"> </w:t>
      </w:r>
      <w:r>
        <w:t>a</w:t>
      </w:r>
      <w:r>
        <w:rPr>
          <w:spacing w:val="-3"/>
        </w:rPr>
        <w:t>c</w:t>
      </w:r>
      <w:r>
        <w:rPr>
          <w:spacing w:val="1"/>
        </w:rPr>
        <w:t>ti</w:t>
      </w:r>
      <w:r>
        <w:rPr>
          <w:spacing w:val="-3"/>
        </w:rPr>
        <w:t>v</w:t>
      </w:r>
      <w:r>
        <w:t>ă c</w:t>
      </w:r>
      <w:r>
        <w:rPr>
          <w:spacing w:val="-3"/>
        </w:rPr>
        <w:t>h</w:t>
      </w:r>
      <w:r>
        <w:rPr>
          <w:spacing w:val="-2"/>
        </w:rPr>
        <w:t>i</w:t>
      </w:r>
      <w:r>
        <w:t>ar</w:t>
      </w:r>
      <w:r>
        <w:rPr>
          <w:spacing w:val="1"/>
        </w:rPr>
        <w:t xml:space="preserve"> </w:t>
      </w:r>
      <w:r>
        <w:t>d</w:t>
      </w:r>
      <w:r>
        <w:rPr>
          <w:spacing w:val="-3"/>
        </w:rPr>
        <w:t>a</w:t>
      </w:r>
      <w:r>
        <w:t xml:space="preserve">că </w:t>
      </w:r>
      <w:r>
        <w:rPr>
          <w:spacing w:val="-3"/>
        </w:rPr>
        <w:t>a</w:t>
      </w:r>
      <w:r>
        <w:t>u p</w:t>
      </w:r>
      <w:r>
        <w:rPr>
          <w:spacing w:val="-2"/>
        </w:rPr>
        <w:t>r</w:t>
      </w:r>
      <w:r>
        <w:rPr>
          <w:spacing w:val="1"/>
        </w:rPr>
        <w:t>i</w:t>
      </w:r>
      <w:r>
        <w:rPr>
          <w:spacing w:val="-4"/>
        </w:rPr>
        <w:t>m</w:t>
      </w:r>
      <w:r>
        <w:rPr>
          <w:spacing w:val="1"/>
        </w:rPr>
        <w:t>i</w:t>
      </w:r>
      <w:r>
        <w:t>t</w:t>
      </w:r>
      <w:r>
        <w:rPr>
          <w:spacing w:val="1"/>
        </w:rPr>
        <w:t xml:space="preserve"> </w:t>
      </w:r>
      <w:r>
        <w:rPr>
          <w:spacing w:val="-2"/>
        </w:rPr>
        <w:t>t</w:t>
      </w:r>
      <w:r>
        <w:t>ra</w:t>
      </w:r>
      <w:r>
        <w:rPr>
          <w:spacing w:val="-2"/>
        </w:rPr>
        <w:t>t</w:t>
      </w:r>
      <w:r>
        <w:t>a</w:t>
      </w:r>
      <w:r>
        <w:rPr>
          <w:spacing w:val="-4"/>
        </w:rPr>
        <w:t>m</w:t>
      </w:r>
      <w:r>
        <w:t>ent</w:t>
      </w:r>
      <w:r>
        <w:rPr>
          <w:spacing w:val="-2"/>
        </w:rPr>
        <w:t xml:space="preserve"> </w:t>
      </w:r>
      <w:r>
        <w:t>cu c</w:t>
      </w:r>
      <w:r>
        <w:rPr>
          <w:spacing w:val="-3"/>
        </w:rPr>
        <w:t>o</w:t>
      </w:r>
      <w:r>
        <w:t>r</w:t>
      </w:r>
      <w:r>
        <w:rPr>
          <w:spacing w:val="-2"/>
        </w:rPr>
        <w:t>t</w:t>
      </w:r>
      <w:r>
        <w:rPr>
          <w:spacing w:val="1"/>
        </w:rPr>
        <w:t>i</w:t>
      </w:r>
      <w:r>
        <w:t>co</w:t>
      </w:r>
      <w:r>
        <w:rPr>
          <w:spacing w:val="-2"/>
        </w:rPr>
        <w:t>s</w:t>
      </w:r>
      <w:r>
        <w:rPr>
          <w:spacing w:val="1"/>
        </w:rPr>
        <w:t>t</w:t>
      </w:r>
      <w:r>
        <w:rPr>
          <w:spacing w:val="-3"/>
        </w:rPr>
        <w:t>e</w:t>
      </w:r>
      <w:r>
        <w:t>ro</w:t>
      </w:r>
      <w:r>
        <w:rPr>
          <w:spacing w:val="1"/>
        </w:rPr>
        <w:t>i</w:t>
      </w:r>
      <w:r>
        <w:rPr>
          <w:spacing w:val="-3"/>
        </w:rPr>
        <w:t>z</w:t>
      </w:r>
      <w:r>
        <w:t>i (pr</w:t>
      </w:r>
      <w:r>
        <w:rPr>
          <w:spacing w:val="-3"/>
        </w:rPr>
        <w:t>e</w:t>
      </w:r>
      <w:r>
        <w:t>dn</w:t>
      </w:r>
      <w:r>
        <w:rPr>
          <w:spacing w:val="-2"/>
        </w:rPr>
        <w:t>i</w:t>
      </w:r>
      <w:r>
        <w:t xml:space="preserve">son </w:t>
      </w:r>
      <w:r>
        <w:rPr>
          <w:spacing w:val="-2"/>
        </w:rPr>
        <w:t>f</w:t>
      </w:r>
      <w:r>
        <w:t>or</w:t>
      </w:r>
      <w:r>
        <w:rPr>
          <w:spacing w:val="-4"/>
        </w:rPr>
        <w:t>m</w:t>
      </w:r>
      <w:r>
        <w:t>a de ad</w:t>
      </w:r>
      <w:r>
        <w:rPr>
          <w:spacing w:val="-4"/>
        </w:rPr>
        <w:t>m</w:t>
      </w:r>
      <w:r>
        <w:rPr>
          <w:spacing w:val="1"/>
        </w:rPr>
        <w:t>i</w:t>
      </w:r>
      <w:r>
        <w:t>n</w:t>
      </w:r>
      <w:r>
        <w:rPr>
          <w:spacing w:val="-2"/>
        </w:rPr>
        <w:t>i</w:t>
      </w:r>
      <w:r>
        <w:t>s</w:t>
      </w:r>
      <w:r>
        <w:rPr>
          <w:spacing w:val="1"/>
        </w:rPr>
        <w:t>t</w:t>
      </w:r>
      <w:r>
        <w:rPr>
          <w:spacing w:val="-2"/>
        </w:rPr>
        <w:t>r</w:t>
      </w:r>
      <w:r>
        <w:t>are</w:t>
      </w:r>
      <w:r>
        <w:rPr>
          <w:spacing w:val="-2"/>
        </w:rPr>
        <w:t xml:space="preserve"> </w:t>
      </w:r>
      <w:r>
        <w:t>or</w:t>
      </w:r>
      <w:r>
        <w:rPr>
          <w:spacing w:val="-3"/>
        </w:rPr>
        <w:t>a</w:t>
      </w:r>
      <w:r>
        <w:rPr>
          <w:spacing w:val="1"/>
        </w:rPr>
        <w:t>l</w:t>
      </w:r>
      <w:r>
        <w:t>ă</w:t>
      </w:r>
      <w:r>
        <w:rPr>
          <w:spacing w:val="-2"/>
        </w:rPr>
        <w:t xml:space="preserve"> </w:t>
      </w:r>
      <w:r>
        <w:rPr>
          <w:spacing w:val="1"/>
        </w:rPr>
        <w:t>î</w:t>
      </w:r>
      <w:r>
        <w:t>n do</w:t>
      </w:r>
      <w:r>
        <w:rPr>
          <w:spacing w:val="-3"/>
        </w:rPr>
        <w:t>z</w:t>
      </w:r>
      <w:r>
        <w:t xml:space="preserve">ă </w:t>
      </w:r>
      <w:r>
        <w:rPr>
          <w:spacing w:val="-3"/>
        </w:rPr>
        <w:t>d</w:t>
      </w:r>
      <w:r>
        <w:t xml:space="preserve">e 10 </w:t>
      </w:r>
      <w:r>
        <w:rPr>
          <w:spacing w:val="-3"/>
        </w:rPr>
        <w:t>p</w:t>
      </w:r>
      <w:r>
        <w:t xml:space="preserve">ână </w:t>
      </w:r>
      <w:r>
        <w:rPr>
          <w:spacing w:val="-2"/>
        </w:rPr>
        <w:t>l</w:t>
      </w:r>
      <w:r>
        <w:t>a 60 </w:t>
      </w:r>
      <w:r>
        <w:rPr>
          <w:spacing w:val="-4"/>
        </w:rPr>
        <w:t>m</w:t>
      </w:r>
      <w:r>
        <w:rPr>
          <w:spacing w:val="-3"/>
        </w:rPr>
        <w:t>g</w:t>
      </w:r>
      <w:r>
        <w:rPr>
          <w:spacing w:val="1"/>
        </w:rPr>
        <w:t>/</w:t>
      </w:r>
      <w:r>
        <w:rPr>
          <w:spacing w:val="-3"/>
        </w:rPr>
        <w:t>z</w:t>
      </w:r>
      <w:r>
        <w:rPr>
          <w:spacing w:val="1"/>
        </w:rPr>
        <w:t>i</w:t>
      </w:r>
      <w:r>
        <w:t xml:space="preserve">). </w:t>
      </w:r>
      <w:r>
        <w:rPr>
          <w:spacing w:val="1"/>
        </w:rPr>
        <w:t>T</w:t>
      </w:r>
      <w:r>
        <w:rPr>
          <w:spacing w:val="-3"/>
        </w:rPr>
        <w:t>o</w:t>
      </w:r>
      <w:r>
        <w:rPr>
          <w:spacing w:val="1"/>
        </w:rPr>
        <w:t>ț</w:t>
      </w:r>
      <w:r>
        <w:t>i</w:t>
      </w:r>
      <w:r>
        <w:rPr>
          <w:spacing w:val="-2"/>
        </w:rPr>
        <w:t xml:space="preserve"> </w:t>
      </w:r>
      <w:r>
        <w:t>pa</w:t>
      </w:r>
      <w:r>
        <w:rPr>
          <w:spacing w:val="-3"/>
        </w:rPr>
        <w:t>c</w:t>
      </w:r>
      <w:r>
        <w:rPr>
          <w:spacing w:val="1"/>
        </w:rPr>
        <w:t>i</w:t>
      </w:r>
      <w:r>
        <w:rPr>
          <w:spacing w:val="-3"/>
        </w:rPr>
        <w:t>e</w:t>
      </w:r>
      <w:r>
        <w:t>n</w:t>
      </w:r>
      <w:r>
        <w:rPr>
          <w:spacing w:val="1"/>
        </w:rPr>
        <w:t>ț</w:t>
      </w:r>
      <w:r>
        <w:rPr>
          <w:spacing w:val="-2"/>
        </w:rPr>
        <w:t>i</w:t>
      </w:r>
      <w:r>
        <w:t>i</w:t>
      </w:r>
      <w:r>
        <w:rPr>
          <w:spacing w:val="1"/>
        </w:rPr>
        <w:t xml:space="preserve"> </w:t>
      </w:r>
      <w:r>
        <w:t>au</w:t>
      </w:r>
      <w:r>
        <w:rPr>
          <w:spacing w:val="-3"/>
        </w:rPr>
        <w:t xml:space="preserve"> </w:t>
      </w:r>
      <w:r>
        <w:t>p</w:t>
      </w:r>
      <w:r>
        <w:rPr>
          <w:spacing w:val="-2"/>
        </w:rPr>
        <w:t>r</w:t>
      </w:r>
      <w:r>
        <w:rPr>
          <w:spacing w:val="1"/>
        </w:rPr>
        <w:t>i</w:t>
      </w:r>
      <w:r>
        <w:rPr>
          <w:spacing w:val="-4"/>
        </w:rPr>
        <w:t>m</w:t>
      </w:r>
      <w:r>
        <w:rPr>
          <w:spacing w:val="1"/>
        </w:rPr>
        <w:t>i</w:t>
      </w:r>
      <w:r>
        <w:t>t</w:t>
      </w:r>
      <w:r>
        <w:rPr>
          <w:spacing w:val="1"/>
        </w:rPr>
        <w:t xml:space="preserve"> l</w:t>
      </w:r>
      <w:r>
        <w:t xml:space="preserve">a </w:t>
      </w:r>
      <w:r>
        <w:rPr>
          <w:spacing w:val="-3"/>
        </w:rPr>
        <w:t>d</w:t>
      </w:r>
      <w:r>
        <w:t>a</w:t>
      </w:r>
      <w:r>
        <w:rPr>
          <w:spacing w:val="-2"/>
        </w:rPr>
        <w:t>t</w:t>
      </w:r>
      <w:r>
        <w:t xml:space="preserve">a </w:t>
      </w:r>
      <w:r>
        <w:rPr>
          <w:spacing w:val="1"/>
        </w:rPr>
        <w:t>î</w:t>
      </w:r>
      <w:r>
        <w:t>nr</w:t>
      </w:r>
      <w:r>
        <w:rPr>
          <w:spacing w:val="-3"/>
        </w:rPr>
        <w:t>o</w:t>
      </w:r>
      <w:r>
        <w:rPr>
          <w:spacing w:val="1"/>
        </w:rPr>
        <w:t>l</w:t>
      </w:r>
      <w:r>
        <w:rPr>
          <w:spacing w:val="-3"/>
        </w:rPr>
        <w:t>ă</w:t>
      </w:r>
      <w:r>
        <w:t>r</w:t>
      </w:r>
      <w:r>
        <w:rPr>
          <w:spacing w:val="-2"/>
        </w:rPr>
        <w:t>i</w:t>
      </w:r>
      <w:r>
        <w:t>i</w:t>
      </w:r>
      <w:r>
        <w:rPr>
          <w:spacing w:val="1"/>
        </w:rPr>
        <w:t xml:space="preserve"> î</w:t>
      </w:r>
      <w:r>
        <w:t>n</w:t>
      </w:r>
      <w:r>
        <w:rPr>
          <w:spacing w:val="-3"/>
        </w:rPr>
        <w:t xml:space="preserve"> </w:t>
      </w:r>
      <w:r>
        <w:t>s</w:t>
      </w:r>
      <w:r>
        <w:rPr>
          <w:spacing w:val="-2"/>
        </w:rPr>
        <w:t>t</w:t>
      </w:r>
      <w:r>
        <w:t>ud</w:t>
      </w:r>
      <w:r>
        <w:rPr>
          <w:spacing w:val="1"/>
        </w:rPr>
        <w:t>i</w:t>
      </w:r>
      <w:r>
        <w:t>u</w:t>
      </w:r>
      <w:r>
        <w:rPr>
          <w:spacing w:val="-3"/>
        </w:rPr>
        <w:t xml:space="preserve"> </w:t>
      </w:r>
      <w:r>
        <w:t>o do</w:t>
      </w:r>
      <w:r>
        <w:rPr>
          <w:spacing w:val="-3"/>
        </w:rPr>
        <w:t>z</w:t>
      </w:r>
      <w:r>
        <w:t xml:space="preserve">ă </w:t>
      </w:r>
      <w:r>
        <w:rPr>
          <w:spacing w:val="-2"/>
        </w:rPr>
        <w:t>st</w:t>
      </w:r>
      <w:r>
        <w:t>anda</w:t>
      </w:r>
      <w:r>
        <w:rPr>
          <w:spacing w:val="-2"/>
        </w:rPr>
        <w:t>r</w:t>
      </w:r>
      <w:r>
        <w:t>d</w:t>
      </w:r>
      <w:r>
        <w:rPr>
          <w:spacing w:val="1"/>
        </w:rPr>
        <w:t>i</w:t>
      </w:r>
      <w:r>
        <w:rPr>
          <w:spacing w:val="-3"/>
        </w:rPr>
        <w:t>z</w:t>
      </w:r>
      <w:r>
        <w:t>a</w:t>
      </w:r>
      <w:r>
        <w:rPr>
          <w:spacing w:val="-2"/>
        </w:rPr>
        <w:t>t</w:t>
      </w:r>
      <w:r>
        <w:t xml:space="preserve">ă de </w:t>
      </w:r>
      <w:r>
        <w:rPr>
          <w:spacing w:val="-3"/>
        </w:rPr>
        <w:t>p</w:t>
      </w:r>
      <w:r>
        <w:t>red</w:t>
      </w:r>
      <w:r>
        <w:rPr>
          <w:spacing w:val="-3"/>
        </w:rPr>
        <w:t>n</w:t>
      </w:r>
      <w:r>
        <w:rPr>
          <w:spacing w:val="1"/>
        </w:rPr>
        <w:t>i</w:t>
      </w:r>
      <w:r>
        <w:rPr>
          <w:spacing w:val="-2"/>
        </w:rPr>
        <w:t>s</w:t>
      </w:r>
      <w:r>
        <w:t xml:space="preserve">on </w:t>
      </w:r>
      <w:r>
        <w:rPr>
          <w:spacing w:val="-3"/>
        </w:rPr>
        <w:t>d</w:t>
      </w:r>
      <w:r>
        <w:t>e 60 </w:t>
      </w:r>
      <w:r>
        <w:rPr>
          <w:spacing w:val="-4"/>
        </w:rPr>
        <w:t>m</w:t>
      </w:r>
      <w:r>
        <w:rPr>
          <w:spacing w:val="-3"/>
        </w:rPr>
        <w:t>g</w:t>
      </w:r>
      <w:r>
        <w:rPr>
          <w:spacing w:val="3"/>
        </w:rPr>
        <w:t>/</w:t>
      </w:r>
      <w:r>
        <w:rPr>
          <w:spacing w:val="-3"/>
        </w:rPr>
        <w:t>z</w:t>
      </w:r>
      <w:r>
        <w:t>i</w:t>
      </w:r>
      <w:r>
        <w:rPr>
          <w:spacing w:val="1"/>
        </w:rPr>
        <w:t xml:space="preserve"> l</w:t>
      </w:r>
      <w:r>
        <w:t>a 2</w:t>
      </w:r>
      <w:r>
        <w:rPr>
          <w:spacing w:val="-3"/>
        </w:rPr>
        <w:t xml:space="preserve"> </w:t>
      </w:r>
      <w:r>
        <w:t>să</w:t>
      </w:r>
      <w:r>
        <w:rPr>
          <w:spacing w:val="-3"/>
        </w:rPr>
        <w:t>p</w:t>
      </w:r>
      <w:r>
        <w:rPr>
          <w:spacing w:val="1"/>
        </w:rPr>
        <w:t>t</w:t>
      </w:r>
      <w:r>
        <w:t>ă</w:t>
      </w:r>
      <w:r>
        <w:rPr>
          <w:spacing w:val="-4"/>
        </w:rPr>
        <w:t>m</w:t>
      </w:r>
      <w:r>
        <w:t>âni,</w:t>
      </w:r>
      <w:r>
        <w:rPr>
          <w:spacing w:val="-3"/>
        </w:rPr>
        <w:t xml:space="preserve"> </w:t>
      </w:r>
      <w:r>
        <w:t>ur</w:t>
      </w:r>
      <w:r>
        <w:rPr>
          <w:spacing w:val="-4"/>
        </w:rPr>
        <w:t>m</w:t>
      </w:r>
      <w:r>
        <w:t>a</w:t>
      </w:r>
      <w:r>
        <w:rPr>
          <w:spacing w:val="1"/>
        </w:rPr>
        <w:t>t</w:t>
      </w:r>
      <w:r>
        <w:t>ă de un</w:t>
      </w:r>
      <w:r>
        <w:rPr>
          <w:spacing w:val="-3"/>
        </w:rPr>
        <w:t xml:space="preserve"> </w:t>
      </w:r>
      <w:r>
        <w:t>pro</w:t>
      </w:r>
      <w:r>
        <w:rPr>
          <w:spacing w:val="-3"/>
        </w:rPr>
        <w:t>g</w:t>
      </w:r>
      <w:r>
        <w:t>ram ob</w:t>
      </w:r>
      <w:r>
        <w:rPr>
          <w:spacing w:val="1"/>
        </w:rPr>
        <w:t>li</w:t>
      </w:r>
      <w:r>
        <w:rPr>
          <w:spacing w:val="-3"/>
        </w:rPr>
        <w:t>g</w:t>
      </w:r>
      <w:r>
        <w:t>a</w:t>
      </w:r>
      <w:r>
        <w:rPr>
          <w:spacing w:val="-2"/>
        </w:rPr>
        <w:t>t</w:t>
      </w:r>
      <w:r>
        <w:t>o</w:t>
      </w:r>
      <w:r>
        <w:rPr>
          <w:spacing w:val="-2"/>
        </w:rPr>
        <w:t>r</w:t>
      </w:r>
      <w:r>
        <w:rPr>
          <w:spacing w:val="1"/>
        </w:rPr>
        <w:t>i</w:t>
      </w:r>
      <w:r>
        <w:t>u de</w:t>
      </w:r>
      <w:r>
        <w:rPr>
          <w:spacing w:val="-2"/>
        </w:rPr>
        <w:t xml:space="preserve"> </w:t>
      </w:r>
      <w:r>
        <w:t>scă</w:t>
      </w:r>
      <w:r>
        <w:rPr>
          <w:spacing w:val="-3"/>
        </w:rPr>
        <w:t>d</w:t>
      </w:r>
      <w:r>
        <w:t>e</w:t>
      </w:r>
      <w:r>
        <w:rPr>
          <w:spacing w:val="-2"/>
        </w:rPr>
        <w:t>r</w:t>
      </w:r>
      <w:r>
        <w:t>e a d</w:t>
      </w:r>
      <w:r>
        <w:rPr>
          <w:spacing w:val="-3"/>
        </w:rPr>
        <w:t>oz</w:t>
      </w:r>
      <w:r>
        <w:t>e</w:t>
      </w:r>
      <w:r>
        <w:rPr>
          <w:spacing w:val="1"/>
        </w:rPr>
        <w:t>i</w:t>
      </w:r>
      <w:r>
        <w:t xml:space="preserve">, cu </w:t>
      </w:r>
      <w:r>
        <w:rPr>
          <w:spacing w:val="-2"/>
        </w:rPr>
        <w:t>î</w:t>
      </w:r>
      <w:r>
        <w:t>n</w:t>
      </w:r>
      <w:r>
        <w:rPr>
          <w:spacing w:val="-2"/>
        </w:rPr>
        <w:t>t</w:t>
      </w:r>
      <w:r>
        <w:t>re</w:t>
      </w:r>
      <w:r>
        <w:rPr>
          <w:spacing w:val="-2"/>
        </w:rPr>
        <w:t>r</w:t>
      </w:r>
      <w:r>
        <w:t>upe</w:t>
      </w:r>
      <w:r>
        <w:rPr>
          <w:spacing w:val="-2"/>
        </w:rPr>
        <w:t>r</w:t>
      </w:r>
      <w:r>
        <w:t xml:space="preserve">ea </w:t>
      </w:r>
      <w:r>
        <w:rPr>
          <w:spacing w:val="-3"/>
        </w:rPr>
        <w:t>c</w:t>
      </w:r>
      <w:r>
        <w:t>o</w:t>
      </w:r>
      <w:r>
        <w:rPr>
          <w:spacing w:val="-4"/>
        </w:rPr>
        <w:t>m</w:t>
      </w:r>
      <w:r>
        <w:t>p</w:t>
      </w:r>
      <w:r>
        <w:rPr>
          <w:spacing w:val="1"/>
        </w:rPr>
        <w:t>l</w:t>
      </w:r>
      <w:r>
        <w:t>e</w:t>
      </w:r>
      <w:r>
        <w:rPr>
          <w:spacing w:val="-2"/>
        </w:rPr>
        <w:t>t</w:t>
      </w:r>
      <w:r>
        <w:t xml:space="preserve">ă a </w:t>
      </w:r>
      <w:r>
        <w:rPr>
          <w:spacing w:val="-2"/>
        </w:rPr>
        <w:t>t</w:t>
      </w:r>
      <w: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rPr>
          <w:spacing w:val="-3"/>
        </w:rPr>
        <w:t>c</w:t>
      </w:r>
      <w:r>
        <w:t>u c</w:t>
      </w:r>
      <w:r>
        <w:rPr>
          <w:spacing w:val="-3"/>
        </w:rPr>
        <w:t>o</w:t>
      </w:r>
      <w:r>
        <w:t>r</w:t>
      </w:r>
      <w:r>
        <w:rPr>
          <w:spacing w:val="-2"/>
        </w:rPr>
        <w:t>t</w:t>
      </w:r>
      <w:r>
        <w:rPr>
          <w:spacing w:val="1"/>
        </w:rPr>
        <w:t>i</w:t>
      </w:r>
      <w:r>
        <w:t>c</w:t>
      </w:r>
      <w:r>
        <w:rPr>
          <w:spacing w:val="-3"/>
        </w:rPr>
        <w:t>o</w:t>
      </w:r>
      <w:r>
        <w:t>s</w:t>
      </w:r>
      <w:r>
        <w:rPr>
          <w:spacing w:val="1"/>
        </w:rPr>
        <w:t>t</w:t>
      </w:r>
      <w:r>
        <w:rPr>
          <w:spacing w:val="-3"/>
        </w:rPr>
        <w:t>e</w:t>
      </w:r>
      <w:r>
        <w:t>ro</w:t>
      </w:r>
      <w:r>
        <w:rPr>
          <w:spacing w:val="1"/>
        </w:rPr>
        <w:t>i</w:t>
      </w:r>
      <w:r>
        <w:rPr>
          <w:spacing w:val="-3"/>
        </w:rPr>
        <w:t>z</w:t>
      </w:r>
      <w:r>
        <w:t>i</w:t>
      </w:r>
      <w:r>
        <w:rPr>
          <w:spacing w:val="1"/>
        </w:rPr>
        <w:t xml:space="preserve"> </w:t>
      </w:r>
      <w:r>
        <w:rPr>
          <w:spacing w:val="-3"/>
        </w:rPr>
        <w:t>p</w:t>
      </w:r>
      <w:r>
        <w:t>ână</w:t>
      </w:r>
      <w:r>
        <w:rPr>
          <w:spacing w:val="-2"/>
        </w:rPr>
        <w:t xml:space="preserve"> </w:t>
      </w:r>
      <w:r>
        <w:rPr>
          <w:spacing w:val="1"/>
        </w:rPr>
        <w:t>î</w:t>
      </w:r>
      <w:r>
        <w:t xml:space="preserve">n </w:t>
      </w:r>
      <w:r>
        <w:rPr>
          <w:spacing w:val="-1"/>
        </w:rPr>
        <w:t>S</w:t>
      </w:r>
      <w:r>
        <w:t>ăp</w:t>
      </w:r>
      <w:r>
        <w:rPr>
          <w:spacing w:val="1"/>
        </w:rPr>
        <w:t>t</w:t>
      </w:r>
      <w:r>
        <w:t>ă</w:t>
      </w:r>
      <w:r>
        <w:rPr>
          <w:spacing w:val="-4"/>
        </w:rPr>
        <w:t>m</w:t>
      </w:r>
      <w:r>
        <w:t>âna 15.</w:t>
      </w:r>
    </w:p>
    <w:p w14:paraId="6DD867E7" w14:textId="77777777" w:rsidR="00C04CAD" w:rsidRDefault="00C04CAD">
      <w:pPr>
        <w:tabs>
          <w:tab w:val="clear" w:pos="567"/>
        </w:tabs>
        <w:kinsoku w:val="0"/>
        <w:overflowPunct w:val="0"/>
        <w:autoSpaceDE w:val="0"/>
        <w:autoSpaceDN w:val="0"/>
        <w:adjustRightInd w:val="0"/>
        <w:spacing w:line="240" w:lineRule="auto"/>
      </w:pPr>
    </w:p>
    <w:p w14:paraId="2216FFFB" w14:textId="77777777" w:rsidR="00C04CAD" w:rsidRDefault="00060E34">
      <w:pPr>
        <w:tabs>
          <w:tab w:val="clear" w:pos="567"/>
        </w:tabs>
        <w:kinsoku w:val="0"/>
        <w:overflowPunct w:val="0"/>
        <w:autoSpaceDE w:val="0"/>
        <w:autoSpaceDN w:val="0"/>
        <w:adjustRightInd w:val="0"/>
        <w:spacing w:line="240" w:lineRule="auto"/>
      </w:pPr>
      <w:r>
        <w:rPr>
          <w:spacing w:val="-1"/>
        </w:rPr>
        <w:t>S</w:t>
      </w:r>
      <w:r>
        <w:rPr>
          <w:spacing w:val="1"/>
        </w:rPr>
        <w:t>t</w:t>
      </w:r>
      <w:r>
        <w:t>ud</w:t>
      </w:r>
      <w:r>
        <w:rPr>
          <w:spacing w:val="-2"/>
        </w:rPr>
        <w:t>i</w:t>
      </w:r>
      <w:r>
        <w:t>ul</w:t>
      </w:r>
      <w:r>
        <w:rPr>
          <w:spacing w:val="1"/>
        </w:rPr>
        <w:t xml:space="preserve"> </w:t>
      </w:r>
      <w:r>
        <w:rPr>
          <w:spacing w:val="-4"/>
        </w:rPr>
        <w:t>U</w:t>
      </w:r>
      <w:r>
        <w:t>V</w:t>
      </w:r>
      <w:r>
        <w:rPr>
          <w:spacing w:val="1"/>
        </w:rPr>
        <w:t xml:space="preserve"> </w:t>
      </w:r>
      <w:r>
        <w:rPr>
          <w:spacing w:val="-2"/>
        </w:rPr>
        <w:t>I</w:t>
      </w:r>
      <w:r>
        <w:t>I</w:t>
      </w:r>
      <w:r>
        <w:rPr>
          <w:spacing w:val="-4"/>
        </w:rPr>
        <w:t xml:space="preserve"> </w:t>
      </w:r>
      <w:r>
        <w:t>a e</w:t>
      </w:r>
      <w:r>
        <w:rPr>
          <w:spacing w:val="-3"/>
        </w:rPr>
        <w:t>v</w:t>
      </w:r>
      <w:r>
        <w:t>a</w:t>
      </w:r>
      <w:r>
        <w:rPr>
          <w:spacing w:val="1"/>
        </w:rPr>
        <w:t>l</w:t>
      </w:r>
      <w:r>
        <w:t>uat</w:t>
      </w:r>
      <w:r>
        <w:rPr>
          <w:spacing w:val="1"/>
        </w:rPr>
        <w:t xml:space="preserve"> </w:t>
      </w:r>
      <w:r>
        <w:t>226</w:t>
      </w:r>
      <w:r>
        <w:rPr>
          <w:spacing w:val="-3"/>
        </w:rPr>
        <w:t xml:space="preserve"> </w:t>
      </w:r>
      <w:r>
        <w:t>pac</w:t>
      </w:r>
      <w:r>
        <w:rPr>
          <w:spacing w:val="-2"/>
        </w:rPr>
        <w:t>i</w:t>
      </w:r>
      <w:r>
        <w:t>en</w:t>
      </w:r>
      <w:r>
        <w:rPr>
          <w:spacing w:val="-2"/>
        </w:rPr>
        <w:t>ț</w:t>
      </w:r>
      <w:r>
        <w:t>i</w:t>
      </w:r>
      <w:r>
        <w:rPr>
          <w:spacing w:val="1"/>
        </w:rPr>
        <w:t xml:space="preserve"> </w:t>
      </w:r>
      <w:r>
        <w:t>cu</w:t>
      </w:r>
      <w:r>
        <w:rPr>
          <w:spacing w:val="-3"/>
        </w:rPr>
        <w:t xml:space="preserve"> </w:t>
      </w:r>
      <w:r>
        <w:t>u</w:t>
      </w:r>
      <w:r>
        <w:rPr>
          <w:spacing w:val="-3"/>
        </w:rPr>
        <w:t>v</w:t>
      </w:r>
      <w:r>
        <w:t>e</w:t>
      </w:r>
      <w:r>
        <w:rPr>
          <w:spacing w:val="1"/>
        </w:rPr>
        <w:t>i</w:t>
      </w:r>
      <w:r>
        <w:rPr>
          <w:spacing w:val="-2"/>
        </w:rPr>
        <w:t>t</w:t>
      </w:r>
      <w:r>
        <w:t xml:space="preserve">ă </w:t>
      </w:r>
      <w:r>
        <w:rPr>
          <w:spacing w:val="1"/>
        </w:rPr>
        <w:t>i</w:t>
      </w:r>
      <w:r>
        <w:rPr>
          <w:spacing w:val="-3"/>
        </w:rPr>
        <w:t>n</w:t>
      </w:r>
      <w:r>
        <w:t>a</w:t>
      </w:r>
      <w:r>
        <w:rPr>
          <w:spacing w:val="-3"/>
        </w:rPr>
        <w:t>c</w:t>
      </w:r>
      <w:r>
        <w:rPr>
          <w:spacing w:val="1"/>
        </w:rPr>
        <w:t>ti</w:t>
      </w:r>
      <w:r>
        <w:rPr>
          <w:spacing w:val="-3"/>
        </w:rPr>
        <w:t>v</w:t>
      </w:r>
      <w:r>
        <w:t>ă</w:t>
      </w:r>
      <w:r>
        <w:rPr>
          <w:spacing w:val="-2"/>
        </w:rPr>
        <w:t xml:space="preserve"> </w:t>
      </w:r>
      <w:r>
        <w:t>care</w:t>
      </w:r>
      <w:r>
        <w:rPr>
          <w:spacing w:val="-2"/>
        </w:rPr>
        <w:t xml:space="preserve"> </w:t>
      </w:r>
      <w:r>
        <w:t xml:space="preserve">au </w:t>
      </w:r>
      <w:r>
        <w:rPr>
          <w:spacing w:val="-3"/>
        </w:rPr>
        <w:t>n</w:t>
      </w:r>
      <w:r>
        <w:t>ece</w:t>
      </w:r>
      <w:r>
        <w:rPr>
          <w:spacing w:val="-2"/>
        </w:rPr>
        <w:t>si</w:t>
      </w:r>
      <w:r>
        <w:rPr>
          <w:spacing w:val="1"/>
        </w:rPr>
        <w:t>t</w:t>
      </w:r>
      <w:r>
        <w:t>at</w:t>
      </w:r>
      <w:r>
        <w:rPr>
          <w:spacing w:val="-2"/>
        </w:rPr>
        <w:t xml:space="preserve"> </w:t>
      </w:r>
      <w:r>
        <w:rPr>
          <w:spacing w:val="1"/>
        </w:rPr>
        <w:t>l</w:t>
      </w:r>
      <w:r>
        <w:t xml:space="preserve">a </w:t>
      </w:r>
      <w:r>
        <w:rPr>
          <w:spacing w:val="-4"/>
        </w:rPr>
        <w:t>m</w:t>
      </w:r>
      <w:r>
        <w:t>o</w:t>
      </w:r>
      <w:r>
        <w:rPr>
          <w:spacing w:val="-4"/>
        </w:rPr>
        <w:t>m</w:t>
      </w:r>
      <w:r>
        <w:t>en</w:t>
      </w:r>
      <w:r>
        <w:rPr>
          <w:spacing w:val="1"/>
        </w:rPr>
        <w:t>t</w:t>
      </w:r>
      <w:r>
        <w:t>ul</w:t>
      </w:r>
      <w:r>
        <w:rPr>
          <w:spacing w:val="1"/>
        </w:rPr>
        <w:t xml:space="preserve"> i</w:t>
      </w:r>
      <w:r>
        <w:rPr>
          <w:spacing w:val="-3"/>
        </w:rPr>
        <w:t>n</w:t>
      </w:r>
      <w:r>
        <w:rPr>
          <w:spacing w:val="-2"/>
        </w:rPr>
        <w:t>i</w:t>
      </w:r>
      <w:r>
        <w:rPr>
          <w:spacing w:val="1"/>
        </w:rPr>
        <w:t>ti</w:t>
      </w:r>
      <w:r>
        <w:rPr>
          <w:spacing w:val="-3"/>
        </w:rPr>
        <w:t>a</w:t>
      </w:r>
      <w:r>
        <w:t>l</w:t>
      </w:r>
      <w:r>
        <w:rPr>
          <w:spacing w:val="-2"/>
        </w:rPr>
        <w:t xml:space="preserve"> </w:t>
      </w:r>
      <w:r>
        <w:rPr>
          <w:spacing w:val="1"/>
        </w:rPr>
        <w:t>t</w:t>
      </w:r>
      <w:r>
        <w:t>r</w:t>
      </w:r>
      <w:r>
        <w:rPr>
          <w:spacing w:val="-3"/>
        </w:rPr>
        <w:t>a</w:t>
      </w:r>
      <w:r>
        <w:rPr>
          <w:spacing w:val="1"/>
        </w:rPr>
        <w:t>t</w:t>
      </w:r>
      <w:r>
        <w:t>a</w:t>
      </w:r>
      <w:r>
        <w:rPr>
          <w:spacing w:val="-4"/>
        </w:rPr>
        <w:t>m</w:t>
      </w:r>
      <w:r>
        <w:t>ent cro</w:t>
      </w:r>
      <w:r>
        <w:rPr>
          <w:spacing w:val="-3"/>
        </w:rPr>
        <w:t>n</w:t>
      </w:r>
      <w:r>
        <w:rPr>
          <w:spacing w:val="1"/>
        </w:rPr>
        <w:t>i</w:t>
      </w:r>
      <w:r>
        <w:t xml:space="preserve">c </w:t>
      </w:r>
      <w:r>
        <w:rPr>
          <w:spacing w:val="-3"/>
        </w:rPr>
        <w:t>c</w:t>
      </w:r>
      <w:r>
        <w:t>u c</w:t>
      </w:r>
      <w:r>
        <w:rPr>
          <w:spacing w:val="-3"/>
        </w:rPr>
        <w:t>o</w:t>
      </w:r>
      <w:r>
        <w:t>r</w:t>
      </w:r>
      <w:r>
        <w:rPr>
          <w:spacing w:val="-2"/>
        </w:rPr>
        <w:t>t</w:t>
      </w:r>
      <w:r>
        <w:rPr>
          <w:spacing w:val="1"/>
        </w:rPr>
        <w:t>i</w:t>
      </w:r>
      <w:r>
        <w:t>co</w:t>
      </w:r>
      <w:r>
        <w:rPr>
          <w:spacing w:val="-2"/>
        </w:rPr>
        <w:t>s</w:t>
      </w:r>
      <w:r>
        <w:rPr>
          <w:spacing w:val="1"/>
        </w:rPr>
        <w:t>t</w:t>
      </w:r>
      <w:r>
        <w:rPr>
          <w:spacing w:val="-3"/>
        </w:rPr>
        <w:t>e</w:t>
      </w:r>
      <w:r>
        <w:t>ro</w:t>
      </w:r>
      <w:r>
        <w:rPr>
          <w:spacing w:val="1"/>
        </w:rPr>
        <w:t>i</w:t>
      </w:r>
      <w:r>
        <w:rPr>
          <w:spacing w:val="-3"/>
        </w:rPr>
        <w:t>z</w:t>
      </w:r>
      <w:r>
        <w:t>i</w:t>
      </w:r>
      <w:r>
        <w:rPr>
          <w:spacing w:val="-2"/>
        </w:rPr>
        <w:t xml:space="preserve"> </w:t>
      </w:r>
      <w:r>
        <w:t>(p</w:t>
      </w:r>
      <w:r>
        <w:rPr>
          <w:spacing w:val="-2"/>
        </w:rPr>
        <w:t>r</w:t>
      </w:r>
      <w:r>
        <w:t>edn</w:t>
      </w:r>
      <w:r>
        <w:rPr>
          <w:spacing w:val="1"/>
        </w:rPr>
        <w:t>i</w:t>
      </w:r>
      <w:r>
        <w:rPr>
          <w:spacing w:val="-2"/>
        </w:rPr>
        <w:t>s</w:t>
      </w:r>
      <w:r>
        <w:t xml:space="preserve">on </w:t>
      </w:r>
      <w:r>
        <w:rPr>
          <w:spacing w:val="-2"/>
        </w:rPr>
        <w:t>f</w:t>
      </w:r>
      <w:r>
        <w:t>or</w:t>
      </w:r>
      <w:r>
        <w:rPr>
          <w:spacing w:val="-4"/>
        </w:rPr>
        <w:t>m</w:t>
      </w:r>
      <w:r>
        <w:t>a de ad</w:t>
      </w:r>
      <w:r>
        <w:rPr>
          <w:spacing w:val="-4"/>
        </w:rPr>
        <w:t>m</w:t>
      </w:r>
      <w:r>
        <w:rPr>
          <w:spacing w:val="1"/>
        </w:rPr>
        <w:t>i</w:t>
      </w:r>
      <w:r>
        <w:t>n</w:t>
      </w:r>
      <w:r>
        <w:rPr>
          <w:spacing w:val="1"/>
        </w:rPr>
        <w:t>i</w:t>
      </w:r>
      <w:r>
        <w:rPr>
          <w:spacing w:val="-2"/>
        </w:rPr>
        <w:t>s</w:t>
      </w:r>
      <w:r>
        <w:rPr>
          <w:spacing w:val="1"/>
        </w:rPr>
        <w:t>t</w:t>
      </w:r>
      <w:r>
        <w:rPr>
          <w:spacing w:val="-2"/>
        </w:rPr>
        <w:t>r</w:t>
      </w:r>
      <w:r>
        <w:t xml:space="preserve">are </w:t>
      </w:r>
      <w:r>
        <w:rPr>
          <w:spacing w:val="-3"/>
        </w:rPr>
        <w:t>o</w:t>
      </w:r>
      <w:r>
        <w:t>r</w:t>
      </w:r>
      <w:r>
        <w:rPr>
          <w:spacing w:val="-3"/>
        </w:rPr>
        <w:t>a</w:t>
      </w:r>
      <w:r>
        <w:rPr>
          <w:spacing w:val="1"/>
        </w:rPr>
        <w:t>l</w:t>
      </w:r>
      <w:r>
        <w:t>ă 10</w:t>
      </w:r>
      <w:r>
        <w:rPr>
          <w:spacing w:val="-3"/>
        </w:rPr>
        <w:t xml:space="preserve"> </w:t>
      </w:r>
      <w:r>
        <w:t>până</w:t>
      </w:r>
      <w:r>
        <w:rPr>
          <w:spacing w:val="-2"/>
        </w:rPr>
        <w:t xml:space="preserve"> </w:t>
      </w:r>
      <w:r>
        <w:rPr>
          <w:spacing w:val="1"/>
        </w:rPr>
        <w:t>l</w:t>
      </w:r>
      <w:r>
        <w:t>a</w:t>
      </w:r>
      <w:r>
        <w:rPr>
          <w:spacing w:val="-2"/>
        </w:rPr>
        <w:t xml:space="preserve"> </w:t>
      </w:r>
      <w:r>
        <w:t>35 </w:t>
      </w:r>
      <w:r>
        <w:rPr>
          <w:spacing w:val="-4"/>
        </w:rPr>
        <w:t>m</w:t>
      </w:r>
      <w:r>
        <w:rPr>
          <w:spacing w:val="-3"/>
        </w:rPr>
        <w:t>g</w:t>
      </w:r>
      <w:r>
        <w:rPr>
          <w:spacing w:val="3"/>
        </w:rPr>
        <w:t>/</w:t>
      </w:r>
      <w:r>
        <w:rPr>
          <w:spacing w:val="-3"/>
        </w:rPr>
        <w:t>z</w:t>
      </w:r>
      <w:r>
        <w:rPr>
          <w:spacing w:val="1"/>
        </w:rPr>
        <w:t>i</w:t>
      </w:r>
      <w:r>
        <w:t>)</w:t>
      </w:r>
      <w:r>
        <w:rPr>
          <w:spacing w:val="1"/>
        </w:rPr>
        <w:t xml:space="preserve"> </w:t>
      </w:r>
      <w:r>
        <w:t>pe</w:t>
      </w:r>
      <w:r>
        <w:rPr>
          <w:spacing w:val="-3"/>
        </w:rPr>
        <w:t>n</w:t>
      </w:r>
      <w:r>
        <w:rPr>
          <w:spacing w:val="1"/>
        </w:rPr>
        <w:t>t</w:t>
      </w:r>
      <w:r>
        <w:t>ru</w:t>
      </w:r>
      <w:r>
        <w:rPr>
          <w:spacing w:val="-3"/>
        </w:rPr>
        <w:t xml:space="preserve"> </w:t>
      </w:r>
      <w:r>
        <w:t>con</w:t>
      </w:r>
      <w:r>
        <w:rPr>
          <w:spacing w:val="-2"/>
        </w:rPr>
        <w:t>t</w:t>
      </w:r>
      <w:r>
        <w:t>r</w:t>
      </w:r>
      <w:r>
        <w:rPr>
          <w:spacing w:val="-3"/>
        </w:rPr>
        <w:t>o</w:t>
      </w:r>
      <w:r>
        <w:rPr>
          <w:spacing w:val="1"/>
        </w:rPr>
        <w:t>l</w:t>
      </w:r>
      <w:r>
        <w:t>ul bo</w:t>
      </w:r>
      <w:r>
        <w:rPr>
          <w:spacing w:val="1"/>
        </w:rPr>
        <w:t>l</w:t>
      </w:r>
      <w:r>
        <w:rPr>
          <w:spacing w:val="-2"/>
        </w:rPr>
        <w:t>i</w:t>
      </w:r>
      <w:r>
        <w:rPr>
          <w:spacing w:val="1"/>
        </w:rPr>
        <w:t>i</w:t>
      </w:r>
      <w:r>
        <w:t xml:space="preserve">. </w:t>
      </w:r>
      <w:r>
        <w:rPr>
          <w:spacing w:val="-1"/>
        </w:rPr>
        <w:t>P</w:t>
      </w:r>
      <w:r>
        <w:rPr>
          <w:spacing w:val="-3"/>
        </w:rPr>
        <w:t>a</w:t>
      </w:r>
      <w:r>
        <w:t>c</w:t>
      </w:r>
      <w:r>
        <w:rPr>
          <w:spacing w:val="-2"/>
        </w:rPr>
        <w:t>i</w:t>
      </w:r>
      <w:r>
        <w:t>en</w:t>
      </w:r>
      <w:r>
        <w:rPr>
          <w:spacing w:val="-2"/>
        </w:rPr>
        <w:t>ț</w:t>
      </w:r>
      <w:r>
        <w:rPr>
          <w:spacing w:val="1"/>
        </w:rPr>
        <w:t>i</w:t>
      </w:r>
      <w:r>
        <w:t>i</w:t>
      </w:r>
      <w:r>
        <w:rPr>
          <w:spacing w:val="-2"/>
        </w:rPr>
        <w:t xml:space="preserve"> </w:t>
      </w:r>
      <w:r>
        <w:t xml:space="preserve">au </w:t>
      </w:r>
      <w:r>
        <w:rPr>
          <w:spacing w:val="-3"/>
        </w:rPr>
        <w:t>u</w:t>
      </w:r>
      <w:r>
        <w:t>r</w:t>
      </w:r>
      <w:r>
        <w:rPr>
          <w:spacing w:val="-4"/>
        </w:rPr>
        <w:t>m</w:t>
      </w:r>
      <w:r>
        <w:t>at</w:t>
      </w:r>
      <w:r>
        <w:rPr>
          <w:spacing w:val="1"/>
        </w:rPr>
        <w:t xml:space="preserve"> </w:t>
      </w:r>
      <w:r>
        <w:t>u</w:t>
      </w:r>
      <w:r>
        <w:rPr>
          <w:spacing w:val="1"/>
        </w:rPr>
        <w:t>l</w:t>
      </w:r>
      <w:r>
        <w:rPr>
          <w:spacing w:val="-2"/>
        </w:rPr>
        <w:t>t</w:t>
      </w:r>
      <w:r>
        <w:t>er</w:t>
      </w:r>
      <w:r>
        <w:rPr>
          <w:spacing w:val="1"/>
        </w:rPr>
        <w:t>i</w:t>
      </w:r>
      <w:r>
        <w:rPr>
          <w:spacing w:val="-3"/>
        </w:rPr>
        <w:t>o</w:t>
      </w:r>
      <w:r>
        <w:t>r</w:t>
      </w:r>
      <w:r>
        <w:rPr>
          <w:spacing w:val="1"/>
        </w:rPr>
        <w:t xml:space="preserve"> </w:t>
      </w:r>
      <w:r>
        <w:t>un</w:t>
      </w:r>
      <w:r>
        <w:rPr>
          <w:spacing w:val="-3"/>
        </w:rPr>
        <w:t xml:space="preserve"> </w:t>
      </w:r>
      <w:r>
        <w:t>pro</w:t>
      </w:r>
      <w:r>
        <w:rPr>
          <w:spacing w:val="-3"/>
        </w:rPr>
        <w:t>g</w:t>
      </w:r>
      <w:r>
        <w:t>ram</w:t>
      </w:r>
      <w:r>
        <w:rPr>
          <w:spacing w:val="-4"/>
        </w:rPr>
        <w:t xml:space="preserve"> </w:t>
      </w:r>
      <w:r>
        <w:t>ob</w:t>
      </w:r>
      <w:r>
        <w:rPr>
          <w:spacing w:val="1"/>
        </w:rPr>
        <w:t>li</w:t>
      </w:r>
      <w:r>
        <w:rPr>
          <w:spacing w:val="-3"/>
        </w:rPr>
        <w:t>g</w:t>
      </w:r>
      <w:r>
        <w:t>a</w:t>
      </w:r>
      <w:r>
        <w:rPr>
          <w:spacing w:val="-2"/>
        </w:rPr>
        <w:t>t</w:t>
      </w:r>
      <w:r>
        <w:t>o</w:t>
      </w:r>
      <w:r>
        <w:rPr>
          <w:spacing w:val="-2"/>
        </w:rPr>
        <w:t>ri</w:t>
      </w:r>
      <w:r>
        <w:t>u de s</w:t>
      </w:r>
      <w:r>
        <w:rPr>
          <w:spacing w:val="-3"/>
        </w:rPr>
        <w:t>c</w:t>
      </w:r>
      <w:r>
        <w:t>ăd</w:t>
      </w:r>
      <w:r>
        <w:rPr>
          <w:spacing w:val="-3"/>
        </w:rPr>
        <w:t>e</w:t>
      </w:r>
      <w:r>
        <w:t>re a</w:t>
      </w:r>
      <w:r>
        <w:rPr>
          <w:spacing w:val="-2"/>
        </w:rPr>
        <w:t xml:space="preserve"> </w:t>
      </w:r>
      <w:r>
        <w:t>do</w:t>
      </w:r>
      <w:r>
        <w:rPr>
          <w:spacing w:val="-3"/>
        </w:rPr>
        <w:t>z</w:t>
      </w:r>
      <w:r>
        <w:t>e</w:t>
      </w:r>
      <w:r>
        <w:rPr>
          <w:spacing w:val="1"/>
        </w:rPr>
        <w:t>i</w:t>
      </w:r>
      <w:r>
        <w:t xml:space="preserve">, </w:t>
      </w:r>
      <w:r>
        <w:rPr>
          <w:spacing w:val="-3"/>
        </w:rPr>
        <w:t>c</w:t>
      </w:r>
      <w:r>
        <w:t xml:space="preserve">u </w:t>
      </w:r>
      <w:r>
        <w:rPr>
          <w:spacing w:val="1"/>
        </w:rPr>
        <w:t>î</w:t>
      </w:r>
      <w:r>
        <w:rPr>
          <w:spacing w:val="-3"/>
        </w:rPr>
        <w:t>n</w:t>
      </w:r>
      <w:r>
        <w:rPr>
          <w:spacing w:val="1"/>
        </w:rPr>
        <w:t>t</w:t>
      </w:r>
      <w:r>
        <w:rPr>
          <w:spacing w:val="-2"/>
        </w:rPr>
        <w:t>r</w:t>
      </w:r>
      <w:r>
        <w:t>erup</w:t>
      </w:r>
      <w:r>
        <w:rPr>
          <w:spacing w:val="-3"/>
        </w:rPr>
        <w:t>e</w:t>
      </w:r>
      <w:r>
        <w:t>r</w:t>
      </w:r>
      <w:r>
        <w:rPr>
          <w:spacing w:val="-3"/>
        </w:rPr>
        <w:t>e</w:t>
      </w:r>
      <w:r>
        <w:t>a co</w:t>
      </w:r>
      <w:r>
        <w:rPr>
          <w:spacing w:val="-4"/>
        </w:rPr>
        <w:t>m</w:t>
      </w:r>
      <w:r>
        <w:t>p</w:t>
      </w:r>
      <w:r>
        <w:rPr>
          <w:spacing w:val="1"/>
        </w:rPr>
        <w:t>l</w:t>
      </w:r>
      <w:r>
        <w:t>e</w:t>
      </w:r>
      <w:r>
        <w:rPr>
          <w:spacing w:val="-2"/>
        </w:rPr>
        <w:t>t</w:t>
      </w:r>
      <w:r>
        <w:t xml:space="preserve">ă a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cu c</w:t>
      </w:r>
      <w:r>
        <w:rPr>
          <w:spacing w:val="-3"/>
        </w:rPr>
        <w:t>o</w:t>
      </w:r>
      <w:r>
        <w:t>r</w:t>
      </w:r>
      <w:r>
        <w:rPr>
          <w:spacing w:val="-2"/>
        </w:rPr>
        <w:t>t</w:t>
      </w:r>
      <w:r>
        <w:rPr>
          <w:spacing w:val="1"/>
        </w:rPr>
        <w:t>i</w:t>
      </w:r>
      <w:r>
        <w:t>c</w:t>
      </w:r>
      <w:r>
        <w:rPr>
          <w:spacing w:val="-3"/>
        </w:rPr>
        <w:t>o</w:t>
      </w:r>
      <w:r>
        <w:t>s</w:t>
      </w:r>
      <w:r>
        <w:rPr>
          <w:spacing w:val="-2"/>
        </w:rPr>
        <w:t>t</w:t>
      </w:r>
      <w:r>
        <w:t>e</w:t>
      </w:r>
      <w:r>
        <w:rPr>
          <w:spacing w:val="-2"/>
        </w:rPr>
        <w:t>r</w:t>
      </w:r>
      <w:r>
        <w:t>o</w:t>
      </w:r>
      <w:r>
        <w:rPr>
          <w:spacing w:val="1"/>
        </w:rPr>
        <w:t>i</w:t>
      </w:r>
      <w:r>
        <w:rPr>
          <w:spacing w:val="-3"/>
        </w:rPr>
        <w:t>z</w:t>
      </w:r>
      <w:r>
        <w:t>i</w:t>
      </w:r>
      <w:r>
        <w:rPr>
          <w:spacing w:val="1"/>
        </w:rPr>
        <w:t xml:space="preserve"> </w:t>
      </w:r>
      <w:r>
        <w:t>pâ</w:t>
      </w:r>
      <w:r>
        <w:rPr>
          <w:spacing w:val="-3"/>
        </w:rPr>
        <w:t>n</w:t>
      </w:r>
      <w:r>
        <w:t xml:space="preserve">ă </w:t>
      </w:r>
      <w:r>
        <w:rPr>
          <w:spacing w:val="1"/>
        </w:rPr>
        <w:t>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19.</w:t>
      </w:r>
    </w:p>
    <w:p w14:paraId="67670BC9" w14:textId="77777777" w:rsidR="00C04CAD" w:rsidRDefault="00C04CAD">
      <w:pPr>
        <w:tabs>
          <w:tab w:val="clear" w:pos="567"/>
        </w:tabs>
        <w:kinsoku w:val="0"/>
        <w:overflowPunct w:val="0"/>
        <w:autoSpaceDE w:val="0"/>
        <w:autoSpaceDN w:val="0"/>
        <w:adjustRightInd w:val="0"/>
        <w:spacing w:line="240" w:lineRule="auto"/>
      </w:pPr>
    </w:p>
    <w:p w14:paraId="773C026C" w14:textId="77777777" w:rsidR="00C04CAD" w:rsidRDefault="00060E34">
      <w:pPr>
        <w:tabs>
          <w:tab w:val="clear" w:pos="567"/>
        </w:tabs>
        <w:kinsoku w:val="0"/>
        <w:overflowPunct w:val="0"/>
        <w:autoSpaceDE w:val="0"/>
        <w:autoSpaceDN w:val="0"/>
        <w:adjustRightInd w:val="0"/>
        <w:spacing w:line="240" w:lineRule="auto"/>
      </w:pPr>
      <w:r>
        <w:rPr>
          <w:spacing w:val="-4"/>
        </w:rPr>
        <w:t>Î</w:t>
      </w:r>
      <w:r>
        <w:t xml:space="preserve">n </w:t>
      </w:r>
      <w:r>
        <w:rPr>
          <w:spacing w:val="2"/>
        </w:rPr>
        <w:t>a</w:t>
      </w:r>
      <w:r>
        <w:rPr>
          <w:spacing w:val="-4"/>
        </w:rPr>
        <w:t>m</w:t>
      </w:r>
      <w:r>
        <w:t>be</w:t>
      </w:r>
      <w:r>
        <w:rPr>
          <w:spacing w:val="1"/>
        </w:rPr>
        <w:t>l</w:t>
      </w:r>
      <w:r>
        <w:t>e s</w:t>
      </w:r>
      <w:r>
        <w:rPr>
          <w:spacing w:val="1"/>
        </w:rPr>
        <w:t>t</w:t>
      </w:r>
      <w:r>
        <w:t>u</w:t>
      </w:r>
      <w:r>
        <w:rPr>
          <w:spacing w:val="-3"/>
        </w:rPr>
        <w:t>d</w:t>
      </w:r>
      <w:r>
        <w:rPr>
          <w:spacing w:val="1"/>
        </w:rPr>
        <w:t>ii</w:t>
      </w:r>
      <w:r>
        <w:t>,</w:t>
      </w:r>
      <w:r>
        <w:rPr>
          <w:spacing w:val="-3"/>
        </w:rPr>
        <w:t xml:space="preserve"> </w:t>
      </w:r>
      <w:r>
        <w:t>c</w:t>
      </w:r>
      <w:r>
        <w:rPr>
          <w:spacing w:val="-2"/>
        </w:rPr>
        <w:t>r</w:t>
      </w:r>
      <w:r>
        <w:rPr>
          <w:spacing w:val="1"/>
        </w:rPr>
        <w:t>i</w:t>
      </w:r>
      <w:r>
        <w:rPr>
          <w:spacing w:val="-2"/>
        </w:rPr>
        <w:t>t</w:t>
      </w:r>
      <w:r>
        <w:t>e</w:t>
      </w:r>
      <w:r>
        <w:rPr>
          <w:spacing w:val="-2"/>
        </w:rPr>
        <w:t>r</w:t>
      </w:r>
      <w:r>
        <w:rPr>
          <w:spacing w:val="1"/>
        </w:rPr>
        <w:t>i</w:t>
      </w:r>
      <w:r>
        <w:t>ul</w:t>
      </w:r>
      <w:r>
        <w:rPr>
          <w:spacing w:val="-2"/>
        </w:rPr>
        <w:t xml:space="preserve"> </w:t>
      </w:r>
      <w:r>
        <w:t>f</w:t>
      </w:r>
      <w:r>
        <w:rPr>
          <w:spacing w:val="-2"/>
        </w:rPr>
        <w:t>i</w:t>
      </w:r>
      <w:r>
        <w:t>nal</w:t>
      </w:r>
      <w:r>
        <w:rPr>
          <w:spacing w:val="1"/>
        </w:rPr>
        <w:t xml:space="preserve"> </w:t>
      </w:r>
      <w:r>
        <w:rPr>
          <w:spacing w:val="-3"/>
        </w:rPr>
        <w:t>p</w:t>
      </w:r>
      <w:r>
        <w:t>r</w:t>
      </w:r>
      <w:r>
        <w:rPr>
          <w:spacing w:val="1"/>
        </w:rPr>
        <w:t>i</w:t>
      </w:r>
      <w:r>
        <w:rPr>
          <w:spacing w:val="-3"/>
        </w:rPr>
        <w:t>n</w:t>
      </w:r>
      <w:r>
        <w:t>c</w:t>
      </w:r>
      <w:r>
        <w:rPr>
          <w:spacing w:val="1"/>
        </w:rPr>
        <w:t>i</w:t>
      </w:r>
      <w:r>
        <w:rPr>
          <w:spacing w:val="-3"/>
        </w:rPr>
        <w:t>p</w:t>
      </w:r>
      <w:r>
        <w:t>al</w:t>
      </w:r>
      <w:r>
        <w:rPr>
          <w:spacing w:val="-2"/>
        </w:rPr>
        <w:t xml:space="preserve"> </w:t>
      </w:r>
      <w:r>
        <w:t>p</w:t>
      </w:r>
      <w:r>
        <w:rPr>
          <w:spacing w:val="-2"/>
        </w:rPr>
        <w:t>r</w:t>
      </w:r>
      <w:r>
        <w:rPr>
          <w:spacing w:val="1"/>
        </w:rPr>
        <w:t>i</w:t>
      </w:r>
      <w:r>
        <w:rPr>
          <w:spacing w:val="-3"/>
        </w:rPr>
        <w:t>v</w:t>
      </w:r>
      <w:r>
        <w:rPr>
          <w:spacing w:val="1"/>
        </w:rPr>
        <w:t>i</w:t>
      </w:r>
      <w:r>
        <w:t>nd e</w:t>
      </w:r>
      <w:r>
        <w:rPr>
          <w:spacing w:val="-2"/>
        </w:rPr>
        <w:t>f</w:t>
      </w:r>
      <w:r>
        <w:rPr>
          <w:spacing w:val="1"/>
        </w:rPr>
        <w:t>i</w:t>
      </w:r>
      <w:r>
        <w:rPr>
          <w:spacing w:val="-3"/>
        </w:rPr>
        <w:t>c</w:t>
      </w:r>
      <w:r>
        <w:t>ac</w:t>
      </w:r>
      <w:r>
        <w:rPr>
          <w:spacing w:val="-2"/>
        </w:rPr>
        <w:t>i</w:t>
      </w:r>
      <w:r>
        <w:rPr>
          <w:spacing w:val="1"/>
        </w:rPr>
        <w:t>t</w:t>
      </w:r>
      <w:r>
        <w:t>a</w:t>
      </w:r>
      <w:r>
        <w:rPr>
          <w:spacing w:val="-2"/>
        </w:rPr>
        <w:t>t</w:t>
      </w:r>
      <w:r>
        <w:t>ea a</w:t>
      </w:r>
      <w:r>
        <w:rPr>
          <w:spacing w:val="-2"/>
        </w:rPr>
        <w:t xml:space="preserve"> </w:t>
      </w:r>
      <w:r>
        <w:t>fo</w:t>
      </w:r>
      <w:r>
        <w:rPr>
          <w:spacing w:val="-2"/>
        </w:rPr>
        <w:t>s</w:t>
      </w:r>
      <w:r>
        <w:t>t</w:t>
      </w:r>
      <w:r>
        <w:rPr>
          <w:spacing w:val="1"/>
        </w:rPr>
        <w:t xml:space="preserve"> </w:t>
      </w:r>
      <w:r>
        <w:rPr>
          <w:spacing w:val="-4"/>
        </w:rPr>
        <w:t>'</w:t>
      </w:r>
      <w:r>
        <w:rPr>
          <w:spacing w:val="1"/>
        </w:rPr>
        <w:t>ti</w:t>
      </w:r>
      <w:r>
        <w:rPr>
          <w:spacing w:val="-4"/>
        </w:rPr>
        <w:t>m</w:t>
      </w:r>
      <w:r>
        <w:rPr>
          <w:spacing w:val="-1"/>
        </w:rPr>
        <w:t>p</w:t>
      </w:r>
      <w:r>
        <w:t>ul</w:t>
      </w:r>
      <w:r>
        <w:rPr>
          <w:spacing w:val="1"/>
        </w:rPr>
        <w:t xml:space="preserve"> </w:t>
      </w:r>
      <w:r>
        <w:t>până</w:t>
      </w:r>
      <w:r>
        <w:rPr>
          <w:spacing w:val="-2"/>
        </w:rPr>
        <w:t xml:space="preserve"> </w:t>
      </w:r>
      <w:r>
        <w:rPr>
          <w:spacing w:val="1"/>
        </w:rPr>
        <w:t>l</w:t>
      </w:r>
      <w:r>
        <w:t>a</w:t>
      </w:r>
      <w:r>
        <w:rPr>
          <w:spacing w:val="-2"/>
        </w:rPr>
        <w:t xml:space="preserve"> </w:t>
      </w:r>
      <w:r>
        <w:t>apa</w:t>
      </w:r>
      <w:r>
        <w:rPr>
          <w:spacing w:val="-2"/>
        </w:rPr>
        <w:t>r</w:t>
      </w:r>
      <w:r>
        <w:rPr>
          <w:spacing w:val="1"/>
        </w:rPr>
        <w:t>i</w:t>
      </w:r>
      <w:r>
        <w:rPr>
          <w:spacing w:val="-2"/>
        </w:rPr>
        <w:t>ţ</w:t>
      </w:r>
      <w:r>
        <w:rPr>
          <w:spacing w:val="1"/>
        </w:rPr>
        <w:t>i</w:t>
      </w:r>
      <w:r>
        <w:t>a</w:t>
      </w:r>
      <w:r>
        <w:rPr>
          <w:spacing w:val="-2"/>
        </w:rPr>
        <w:t xml:space="preserve"> </w:t>
      </w:r>
      <w:r>
        <w:t>eşe</w:t>
      </w:r>
      <w:r>
        <w:rPr>
          <w:spacing w:val="-3"/>
        </w:rPr>
        <w:t>c</w:t>
      </w:r>
      <w:r>
        <w:t>u</w:t>
      </w:r>
      <w:r>
        <w:rPr>
          <w:spacing w:val="1"/>
        </w:rPr>
        <w:t>l</w:t>
      </w:r>
      <w:r>
        <w:rPr>
          <w:spacing w:val="-3"/>
        </w:rPr>
        <w:t>u</w:t>
      </w:r>
      <w:r>
        <w:t>i</w:t>
      </w:r>
      <w:r>
        <w:rPr>
          <w:spacing w:val="1"/>
        </w:rPr>
        <w:t xml:space="preserve"> </w:t>
      </w:r>
      <w:r>
        <w:rPr>
          <w:spacing w:val="-2"/>
        </w:rPr>
        <w:t>l</w:t>
      </w:r>
      <w:r>
        <w:t xml:space="preserve">a </w:t>
      </w:r>
      <w:r>
        <w:rPr>
          <w:spacing w:val="1"/>
        </w:rPr>
        <w:t>t</w:t>
      </w:r>
      <w:r>
        <w:t>r</w:t>
      </w:r>
      <w:r>
        <w:rPr>
          <w:spacing w:val="-3"/>
        </w:rPr>
        <w:t>a</w:t>
      </w:r>
      <w:r>
        <w:rPr>
          <w:spacing w:val="1"/>
        </w:rPr>
        <w:t>t</w:t>
      </w:r>
      <w:r>
        <w:t>a</w:t>
      </w:r>
      <w:r>
        <w:rPr>
          <w:spacing w:val="-4"/>
        </w:rPr>
        <w:t>m</w:t>
      </w:r>
      <w:r>
        <w:t>en</w:t>
      </w:r>
      <w:r>
        <w:rPr>
          <w:spacing w:val="1"/>
        </w:rPr>
        <w:t>t</w:t>
      </w:r>
      <w:r>
        <w:rPr>
          <w:spacing w:val="-4"/>
        </w:rPr>
        <w:t>'</w:t>
      </w:r>
      <w:r>
        <w:t xml:space="preserve">. </w:t>
      </w:r>
      <w:r>
        <w:rPr>
          <w:spacing w:val="-1"/>
        </w:rPr>
        <w:t>E</w:t>
      </w:r>
      <w:r>
        <w:t>şecul</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ent</w:t>
      </w:r>
      <w:r>
        <w:rPr>
          <w:spacing w:val="1"/>
        </w:rPr>
        <w:t xml:space="preserve"> </w:t>
      </w:r>
      <w:r>
        <w:t>a</w:t>
      </w:r>
      <w:r>
        <w:rPr>
          <w:spacing w:val="-2"/>
        </w:rPr>
        <w:t xml:space="preserve"> </w:t>
      </w:r>
      <w:r>
        <w:t>fo</w:t>
      </w:r>
      <w:r>
        <w:rPr>
          <w:spacing w:val="-2"/>
        </w:rPr>
        <w:t>s</w:t>
      </w:r>
      <w:r>
        <w:t>t</w:t>
      </w:r>
      <w:r>
        <w:rPr>
          <w:spacing w:val="1"/>
        </w:rPr>
        <w:t xml:space="preserve"> </w:t>
      </w:r>
      <w:r>
        <w:rPr>
          <w:spacing w:val="-3"/>
        </w:rPr>
        <w:t>d</w:t>
      </w:r>
      <w:r>
        <w:t>e</w:t>
      </w:r>
      <w:r>
        <w:rPr>
          <w:spacing w:val="-2"/>
        </w:rPr>
        <w:t>f</w:t>
      </w:r>
      <w:r>
        <w:rPr>
          <w:spacing w:val="1"/>
        </w:rPr>
        <w:t>i</w:t>
      </w:r>
      <w:r>
        <w:t>n</w:t>
      </w:r>
      <w:r>
        <w:rPr>
          <w:spacing w:val="-2"/>
        </w:rPr>
        <w:t>i</w:t>
      </w:r>
      <w:r>
        <w:t>t</w:t>
      </w:r>
      <w:r>
        <w:rPr>
          <w:spacing w:val="1"/>
        </w:rPr>
        <w:t xml:space="preserve"> </w:t>
      </w:r>
      <w:r>
        <w:t>ca</w:t>
      </w:r>
      <w:r>
        <w:rPr>
          <w:spacing w:val="-2"/>
        </w:rPr>
        <w:t xml:space="preserve"> f</w:t>
      </w:r>
      <w:r>
        <w:rPr>
          <w:spacing w:val="1"/>
        </w:rPr>
        <w:t>ii</w:t>
      </w:r>
      <w:r>
        <w:t>nd</w:t>
      </w:r>
      <w:r>
        <w:rPr>
          <w:spacing w:val="-3"/>
        </w:rPr>
        <w:t xml:space="preserve"> </w:t>
      </w:r>
      <w:r>
        <w:t>r</w:t>
      </w:r>
      <w:r>
        <w:rPr>
          <w:spacing w:val="-3"/>
        </w:rPr>
        <w:t>ez</w:t>
      </w:r>
      <w:r>
        <w:t>u</w:t>
      </w:r>
      <w:r>
        <w:rPr>
          <w:spacing w:val="1"/>
        </w:rPr>
        <w:t>lt</w:t>
      </w:r>
      <w:r>
        <w:t>a</w:t>
      </w:r>
      <w:r>
        <w:rPr>
          <w:spacing w:val="-2"/>
        </w:rPr>
        <w:t>t</w:t>
      </w:r>
      <w:r>
        <w:t>ul</w:t>
      </w:r>
      <w:r>
        <w:rPr>
          <w:spacing w:val="1"/>
        </w:rPr>
        <w:t xml:space="preserve"> </w:t>
      </w:r>
      <w:r>
        <w:t>a</w:t>
      </w:r>
      <w:r>
        <w:rPr>
          <w:spacing w:val="-2"/>
        </w:rPr>
        <w:t xml:space="preserve"> </w:t>
      </w:r>
      <w:r>
        <w:rPr>
          <w:spacing w:val="-4"/>
        </w:rPr>
        <w:t>m</w:t>
      </w:r>
      <w:r>
        <w:t>ai</w:t>
      </w:r>
      <w:r>
        <w:rPr>
          <w:spacing w:val="1"/>
        </w:rPr>
        <w:t xml:space="preserve"> </w:t>
      </w:r>
      <w:r>
        <w:rPr>
          <w:spacing w:val="-4"/>
        </w:rPr>
        <w:t>m</w:t>
      </w:r>
      <w:r>
        <w:t>u</w:t>
      </w:r>
      <w:r>
        <w:rPr>
          <w:spacing w:val="1"/>
        </w:rPr>
        <w:t>lt</w:t>
      </w:r>
      <w:r>
        <w:t>or</w:t>
      </w:r>
      <w:r>
        <w:rPr>
          <w:spacing w:val="1"/>
        </w:rPr>
        <w:t xml:space="preserve"> </w:t>
      </w:r>
      <w:r>
        <w:rPr>
          <w:spacing w:val="-3"/>
        </w:rPr>
        <w:t>e</w:t>
      </w:r>
      <w:r>
        <w:rPr>
          <w:spacing w:val="1"/>
        </w:rPr>
        <w:t>l</w:t>
      </w:r>
      <w:r>
        <w:t>e</w:t>
      </w:r>
      <w:r>
        <w:rPr>
          <w:spacing w:val="-4"/>
        </w:rPr>
        <w:t>m</w:t>
      </w:r>
      <w:r>
        <w:t>en</w:t>
      </w:r>
      <w:r>
        <w:rPr>
          <w:spacing w:val="1"/>
        </w:rPr>
        <w:t>t</w:t>
      </w:r>
      <w:r>
        <w:t>e</w:t>
      </w:r>
      <w:r>
        <w:rPr>
          <w:spacing w:val="-2"/>
        </w:rPr>
        <w:t xml:space="preserve"> </w:t>
      </w:r>
      <w:r>
        <w:rPr>
          <w:spacing w:val="1"/>
        </w:rPr>
        <w:t>l</w:t>
      </w:r>
      <w:r>
        <w:t>uând</w:t>
      </w:r>
      <w:r>
        <w:rPr>
          <w:spacing w:val="-3"/>
        </w:rPr>
        <w:t xml:space="preserve"> </w:t>
      </w:r>
      <w:r>
        <w:rPr>
          <w:spacing w:val="1"/>
        </w:rPr>
        <w:t>î</w:t>
      </w:r>
      <w:r>
        <w:t>n cons</w:t>
      </w:r>
      <w:r>
        <w:rPr>
          <w:spacing w:val="-2"/>
        </w:rPr>
        <w:t>i</w:t>
      </w:r>
      <w:r>
        <w:t>de</w:t>
      </w:r>
      <w:r>
        <w:rPr>
          <w:spacing w:val="-2"/>
        </w:rPr>
        <w:t>r</w:t>
      </w:r>
      <w:r>
        <w:t>a</w:t>
      </w:r>
      <w:r>
        <w:rPr>
          <w:spacing w:val="-2"/>
        </w:rPr>
        <w:t>r</w:t>
      </w:r>
      <w:r>
        <w:t>e c</w:t>
      </w:r>
      <w:r>
        <w:rPr>
          <w:spacing w:val="-3"/>
        </w:rPr>
        <w:t>o</w:t>
      </w:r>
      <w:r>
        <w:t>r</w:t>
      </w:r>
      <w:r>
        <w:rPr>
          <w:spacing w:val="1"/>
        </w:rPr>
        <w:t>i</w:t>
      </w:r>
      <w:r>
        <w:rPr>
          <w:spacing w:val="-3"/>
        </w:rPr>
        <w:t>o</w:t>
      </w:r>
      <w:r>
        <w:t>r</w:t>
      </w:r>
      <w:r>
        <w:rPr>
          <w:spacing w:val="-3"/>
        </w:rPr>
        <w:t>e</w:t>
      </w:r>
      <w:r>
        <w:rPr>
          <w:spacing w:val="1"/>
        </w:rPr>
        <w:t>ti</w:t>
      </w:r>
      <w:r>
        <w:rPr>
          <w:spacing w:val="-3"/>
        </w:rPr>
        <w:t>n</w:t>
      </w:r>
      <w:r>
        <w:rPr>
          <w:spacing w:val="1"/>
        </w:rPr>
        <w:t>i</w:t>
      </w:r>
      <w:r>
        <w:rPr>
          <w:spacing w:val="-2"/>
        </w:rPr>
        <w:t>t</w:t>
      </w:r>
      <w:r>
        <w:t xml:space="preserve">a </w:t>
      </w:r>
      <w:r>
        <w:rPr>
          <w:spacing w:val="1"/>
        </w:rPr>
        <w:t>i</w:t>
      </w:r>
      <w:r>
        <w:rPr>
          <w:spacing w:val="-3"/>
        </w:rPr>
        <w:t>n</w:t>
      </w:r>
      <w:r>
        <w:rPr>
          <w:spacing w:val="-2"/>
        </w:rPr>
        <w:t>f</w:t>
      </w:r>
      <w:r>
        <w:rPr>
          <w:spacing w:val="1"/>
        </w:rPr>
        <w:t>l</w:t>
      </w:r>
      <w:r>
        <w:t>a</w:t>
      </w:r>
      <w:r>
        <w:rPr>
          <w:spacing w:val="-4"/>
        </w:rPr>
        <w:t>m</w:t>
      </w:r>
      <w:r>
        <w:t>a</w:t>
      </w:r>
      <w:r>
        <w:rPr>
          <w:spacing w:val="1"/>
        </w:rPr>
        <w:t>t</w:t>
      </w:r>
      <w:r>
        <w:t>o</w:t>
      </w:r>
      <w:r>
        <w:rPr>
          <w:spacing w:val="-2"/>
        </w:rPr>
        <w:t>r</w:t>
      </w:r>
      <w:r>
        <w:rPr>
          <w:spacing w:val="1"/>
        </w:rPr>
        <w:t>i</w:t>
      </w:r>
      <w:r>
        <w:t xml:space="preserve">e </w:t>
      </w:r>
      <w:r>
        <w:rPr>
          <w:spacing w:val="-2"/>
        </w:rPr>
        <w:t>ş</w:t>
      </w:r>
      <w:r>
        <w:rPr>
          <w:spacing w:val="1"/>
        </w:rPr>
        <w:t>i</w:t>
      </w:r>
      <w:r>
        <w:rPr>
          <w:spacing w:val="-2"/>
        </w:rPr>
        <w:t>/</w:t>
      </w:r>
      <w:r>
        <w:t>sau</w:t>
      </w:r>
      <w:r>
        <w:rPr>
          <w:spacing w:val="-3"/>
        </w:rPr>
        <w:t xml:space="preserve"> </w:t>
      </w:r>
      <w:r>
        <w:rPr>
          <w:spacing w:val="1"/>
        </w:rPr>
        <w:t>l</w:t>
      </w:r>
      <w:r>
        <w:t>e</w:t>
      </w:r>
      <w:r>
        <w:rPr>
          <w:spacing w:val="-3"/>
        </w:rPr>
        <w:t>z</w:t>
      </w:r>
      <w:r>
        <w:rPr>
          <w:spacing w:val="1"/>
        </w:rPr>
        <w:t>i</w:t>
      </w:r>
      <w:r>
        <w:t>u</w:t>
      </w:r>
      <w:r>
        <w:rPr>
          <w:spacing w:val="-3"/>
        </w:rPr>
        <w:t>n</w:t>
      </w:r>
      <w:r>
        <w:rPr>
          <w:spacing w:val="1"/>
        </w:rPr>
        <w:t>i</w:t>
      </w:r>
      <w:r>
        <w:rPr>
          <w:spacing w:val="-2"/>
        </w:rPr>
        <w:t>l</w:t>
      </w:r>
      <w:r>
        <w:t xml:space="preserve">e </w:t>
      </w:r>
      <w:r>
        <w:rPr>
          <w:spacing w:val="-3"/>
        </w:rPr>
        <w:t>v</w:t>
      </w:r>
      <w:r>
        <w:t>asc</w:t>
      </w:r>
      <w:r>
        <w:rPr>
          <w:spacing w:val="-3"/>
        </w:rPr>
        <w:t>u</w:t>
      </w:r>
      <w:r>
        <w:rPr>
          <w:spacing w:val="1"/>
        </w:rPr>
        <w:t>l</w:t>
      </w:r>
      <w:r>
        <w:t>a</w:t>
      </w:r>
      <w:r>
        <w:rPr>
          <w:spacing w:val="-2"/>
        </w:rPr>
        <w:t>r</w:t>
      </w:r>
      <w:r>
        <w:t xml:space="preserve">e </w:t>
      </w:r>
      <w:r>
        <w:rPr>
          <w:spacing w:val="-2"/>
        </w:rPr>
        <w:t>i</w:t>
      </w:r>
      <w:r>
        <w:t>n</w:t>
      </w:r>
      <w:r>
        <w:rPr>
          <w:spacing w:val="-2"/>
        </w:rPr>
        <w:t>f</w:t>
      </w:r>
      <w:r>
        <w:rPr>
          <w:spacing w:val="1"/>
        </w:rPr>
        <w:t>l</w:t>
      </w:r>
      <w:r>
        <w:t>a</w:t>
      </w:r>
      <w:r>
        <w:rPr>
          <w:spacing w:val="-4"/>
        </w:rPr>
        <w:t>m</w:t>
      </w:r>
      <w:r>
        <w:t>a</w:t>
      </w:r>
      <w:r>
        <w:rPr>
          <w:spacing w:val="1"/>
        </w:rPr>
        <w:t>t</w:t>
      </w:r>
      <w:r>
        <w:t>o</w:t>
      </w:r>
      <w:r>
        <w:rPr>
          <w:spacing w:val="-2"/>
        </w:rPr>
        <w:t>r</w:t>
      </w:r>
      <w:r>
        <w:rPr>
          <w:spacing w:val="1"/>
        </w:rPr>
        <w:t>i</w:t>
      </w:r>
      <w:r>
        <w:t>i</w:t>
      </w:r>
      <w:r>
        <w:rPr>
          <w:spacing w:val="-2"/>
        </w:rPr>
        <w:t xml:space="preserve"> </w:t>
      </w:r>
      <w:r>
        <w:t>re</w:t>
      </w:r>
      <w:r>
        <w:rPr>
          <w:spacing w:val="-2"/>
        </w:rPr>
        <w:t>t</w:t>
      </w:r>
      <w:r>
        <w:rPr>
          <w:spacing w:val="1"/>
        </w:rPr>
        <w:t>i</w:t>
      </w:r>
      <w:r>
        <w:rPr>
          <w:spacing w:val="-3"/>
        </w:rPr>
        <w:t>n</w:t>
      </w:r>
      <w:r>
        <w:rPr>
          <w:spacing w:val="1"/>
        </w:rPr>
        <w:t>i</w:t>
      </w:r>
      <w:r>
        <w:rPr>
          <w:spacing w:val="-3"/>
        </w:rPr>
        <w:t>e</w:t>
      </w:r>
      <w:r>
        <w:t>ne, c</w:t>
      </w:r>
      <w:r>
        <w:rPr>
          <w:spacing w:val="-3"/>
        </w:rPr>
        <w:t>e</w:t>
      </w:r>
      <w:r>
        <w:rPr>
          <w:spacing w:val="1"/>
        </w:rPr>
        <w:t>l</w:t>
      </w:r>
      <w:r>
        <w:t>u</w:t>
      </w:r>
      <w:r>
        <w:rPr>
          <w:spacing w:val="-2"/>
        </w:rPr>
        <w:t>l</w:t>
      </w:r>
      <w:r>
        <w:t>a</w:t>
      </w:r>
      <w:r>
        <w:rPr>
          <w:spacing w:val="-2"/>
        </w:rPr>
        <w:t>r</w:t>
      </w:r>
      <w:r>
        <w:rPr>
          <w:spacing w:val="1"/>
        </w:rPr>
        <w:t>i</w:t>
      </w:r>
      <w:r>
        <w:rPr>
          <w:spacing w:val="-2"/>
        </w:rPr>
        <w:t>t</w:t>
      </w:r>
      <w:r>
        <w:t>a</w:t>
      </w:r>
      <w:r>
        <w:rPr>
          <w:spacing w:val="1"/>
        </w:rPr>
        <w:t>t</w:t>
      </w:r>
      <w:r>
        <w:rPr>
          <w:spacing w:val="-3"/>
        </w:rPr>
        <w:t>e</w:t>
      </w:r>
      <w:r>
        <w:t>a ca</w:t>
      </w:r>
      <w:r>
        <w:rPr>
          <w:spacing w:val="-4"/>
        </w:rPr>
        <w:t>m</w:t>
      </w:r>
      <w:r>
        <w:t>erei</w:t>
      </w:r>
      <w:r>
        <w:rPr>
          <w:spacing w:val="1"/>
        </w:rPr>
        <w:t xml:space="preserve"> </w:t>
      </w:r>
      <w:r>
        <w:t>a</w:t>
      </w:r>
      <w:r>
        <w:rPr>
          <w:spacing w:val="-3"/>
        </w:rPr>
        <w:t>n</w:t>
      </w:r>
      <w:r>
        <w:rPr>
          <w:spacing w:val="1"/>
        </w:rPr>
        <w:t>t</w:t>
      </w:r>
      <w:r>
        <w:rPr>
          <w:spacing w:val="-3"/>
        </w:rPr>
        <w:t>e</w:t>
      </w:r>
      <w:r>
        <w:t>r</w:t>
      </w:r>
      <w:r>
        <w:rPr>
          <w:spacing w:val="1"/>
        </w:rPr>
        <w:t>i</w:t>
      </w:r>
      <w:r>
        <w:rPr>
          <w:spacing w:val="-3"/>
        </w:rPr>
        <w:t>o</w:t>
      </w:r>
      <w:r>
        <w:t>a</w:t>
      </w:r>
      <w:r>
        <w:rPr>
          <w:spacing w:val="-2"/>
        </w:rPr>
        <w:t>r</w:t>
      </w:r>
      <w:r>
        <w:t>e (</w:t>
      </w:r>
      <w:r>
        <w:rPr>
          <w:spacing w:val="-1"/>
        </w:rPr>
        <w:t>CA</w:t>
      </w:r>
      <w:r>
        <w:t>),</w:t>
      </w:r>
      <w:r>
        <w:rPr>
          <w:spacing w:val="-3"/>
        </w:rPr>
        <w:t xml:space="preserve"> </w:t>
      </w:r>
      <w:r>
        <w:t>c</w:t>
      </w:r>
      <w:r>
        <w:rPr>
          <w:spacing w:val="-3"/>
        </w:rPr>
        <w:t>o</w:t>
      </w:r>
      <w:r>
        <w:t>rpu</w:t>
      </w:r>
      <w:r>
        <w:rPr>
          <w:spacing w:val="1"/>
        </w:rPr>
        <w:t>l</w:t>
      </w:r>
      <w:r>
        <w:rPr>
          <w:spacing w:val="-3"/>
        </w:rPr>
        <w:t>u</w:t>
      </w:r>
      <w:r>
        <w:t>i</w:t>
      </w:r>
      <w:r>
        <w:rPr>
          <w:spacing w:val="1"/>
        </w:rPr>
        <w:t xml:space="preserve"> </w:t>
      </w:r>
      <w:r>
        <w:rPr>
          <w:spacing w:val="-3"/>
        </w:rPr>
        <w:t>v</w:t>
      </w:r>
      <w:r>
        <w:rPr>
          <w:spacing w:val="1"/>
        </w:rPr>
        <w:t>i</w:t>
      </w:r>
      <w:r>
        <w:rPr>
          <w:spacing w:val="-2"/>
        </w:rPr>
        <w:t>t</w:t>
      </w:r>
      <w:r>
        <w:t>ros</w:t>
      </w:r>
      <w:r>
        <w:rPr>
          <w:spacing w:val="-2"/>
        </w:rPr>
        <w:t xml:space="preserve"> </w:t>
      </w:r>
      <w:r>
        <w:t>(</w:t>
      </w:r>
      <w:r>
        <w:rPr>
          <w:spacing w:val="-1"/>
        </w:rPr>
        <w:t>CV</w:t>
      </w:r>
      <w:r>
        <w:t>)</w:t>
      </w:r>
      <w:r>
        <w:rPr>
          <w:spacing w:val="1"/>
        </w:rPr>
        <w:t xml:space="preserve"> </w:t>
      </w:r>
      <w:r>
        <w:rPr>
          <w:spacing w:val="-2"/>
        </w:rPr>
        <w:t>ș</w:t>
      </w:r>
      <w:r>
        <w:t>i</w:t>
      </w:r>
      <w:r>
        <w:rPr>
          <w:spacing w:val="1"/>
        </w:rPr>
        <w:t xml:space="preserve"> </w:t>
      </w:r>
      <w:r>
        <w:rPr>
          <w:spacing w:val="-3"/>
        </w:rPr>
        <w:t>a</w:t>
      </w:r>
      <w:r>
        <w:t>cu</w:t>
      </w:r>
      <w:r>
        <w:rPr>
          <w:spacing w:val="-2"/>
        </w:rPr>
        <w:t>i</w:t>
      </w:r>
      <w:r>
        <w:rPr>
          <w:spacing w:val="1"/>
        </w:rPr>
        <w:t>t</w:t>
      </w:r>
      <w:r>
        <w:rPr>
          <w:spacing w:val="-3"/>
        </w:rPr>
        <w:t>a</w:t>
      </w:r>
      <w:r>
        <w:rPr>
          <w:spacing w:val="-2"/>
        </w:rPr>
        <w:t>t</w:t>
      </w:r>
      <w:r>
        <w:t xml:space="preserve">ea </w:t>
      </w:r>
      <w:r>
        <w:rPr>
          <w:spacing w:val="-3"/>
        </w:rPr>
        <w:t>v</w:t>
      </w:r>
      <w:r>
        <w:rPr>
          <w:spacing w:val="1"/>
        </w:rPr>
        <w:t>i</w:t>
      </w:r>
      <w:r>
        <w:rPr>
          <w:spacing w:val="-3"/>
        </w:rPr>
        <w:t>z</w:t>
      </w:r>
      <w:r>
        <w:t>ua</w:t>
      </w:r>
      <w:r>
        <w:rPr>
          <w:spacing w:val="1"/>
        </w:rPr>
        <w:t>l</w:t>
      </w:r>
      <w:r>
        <w:t>ă o</w:t>
      </w:r>
      <w:r>
        <w:rPr>
          <w:spacing w:val="-3"/>
        </w:rPr>
        <w:t>p</w:t>
      </w:r>
      <w:r>
        <w:rPr>
          <w:spacing w:val="1"/>
        </w:rPr>
        <w:t>ti</w:t>
      </w:r>
      <w:r>
        <w:rPr>
          <w:spacing w:val="-4"/>
        </w:rPr>
        <w:t>m</w:t>
      </w:r>
      <w:r>
        <w:t>ă c</w:t>
      </w:r>
      <w:r>
        <w:rPr>
          <w:spacing w:val="-3"/>
        </w:rPr>
        <w:t>o</w:t>
      </w:r>
      <w:r>
        <w:t>re</w:t>
      </w:r>
      <w:r>
        <w:rPr>
          <w:spacing w:val="-3"/>
        </w:rPr>
        <w:t>c</w:t>
      </w:r>
      <w:r>
        <w:rPr>
          <w:spacing w:val="1"/>
        </w:rPr>
        <w:t>t</w:t>
      </w:r>
      <w:r>
        <w:rPr>
          <w:spacing w:val="-3"/>
        </w:rPr>
        <w:t>a</w:t>
      </w:r>
      <w:r>
        <w:rPr>
          <w:spacing w:val="1"/>
        </w:rPr>
        <w:t>t</w:t>
      </w:r>
      <w:r>
        <w:t>ă</w:t>
      </w:r>
      <w:r>
        <w:rPr>
          <w:spacing w:val="-2"/>
        </w:rPr>
        <w:t xml:space="preserve"> </w:t>
      </w:r>
      <w:r>
        <w:t>(</w:t>
      </w:r>
      <w:r>
        <w:rPr>
          <w:spacing w:val="-2"/>
        </w:rPr>
        <w:t>A</w:t>
      </w:r>
      <w:r>
        <w:rPr>
          <w:spacing w:val="1"/>
        </w:rPr>
        <w:t>V</w:t>
      </w:r>
      <w:r>
        <w:rPr>
          <w:spacing w:val="-1"/>
        </w:rPr>
        <w:t>C</w:t>
      </w:r>
      <w:r>
        <w:rPr>
          <w:spacing w:val="-2"/>
        </w:rPr>
        <w:t>O</w:t>
      </w:r>
      <w:r>
        <w:t>).</w:t>
      </w:r>
    </w:p>
    <w:p w14:paraId="5435D25C" w14:textId="77777777" w:rsidR="00C04CAD" w:rsidRDefault="00C04CAD">
      <w:pPr>
        <w:tabs>
          <w:tab w:val="clear" w:pos="567"/>
        </w:tabs>
        <w:kinsoku w:val="0"/>
        <w:overflowPunct w:val="0"/>
        <w:autoSpaceDE w:val="0"/>
        <w:autoSpaceDN w:val="0"/>
        <w:adjustRightInd w:val="0"/>
        <w:spacing w:line="240" w:lineRule="auto"/>
      </w:pPr>
    </w:p>
    <w:p w14:paraId="2FD3E745" w14:textId="77777777" w:rsidR="00C04CAD" w:rsidRDefault="00060E34">
      <w:pPr>
        <w:tabs>
          <w:tab w:val="clear" w:pos="567"/>
        </w:tabs>
        <w:autoSpaceDE w:val="0"/>
        <w:autoSpaceDN w:val="0"/>
        <w:adjustRightInd w:val="0"/>
        <w:spacing w:line="240" w:lineRule="auto"/>
        <w:rPr>
          <w:spacing w:val="2"/>
        </w:rPr>
      </w:pPr>
      <w:r>
        <w:rPr>
          <w:spacing w:val="2"/>
        </w:rPr>
        <w:t xml:space="preserve">Pacienții care au terminat Studiul UV I și UV II au fost eligibili pentru a fi înrolați într-o extensie a unui studiu necontrolat pe termen lung cu o durată planificată inițial de 78 de săptămâni. Pacienților </w:t>
      </w:r>
      <w:r>
        <w:rPr>
          <w:spacing w:val="2"/>
        </w:rPr>
        <w:lastRenderedPageBreak/>
        <w:t>li s-a permis să continue utilizarea medicamentului de studiu după săptămâna 78 până când au putut avea acces la adalimumab.</w:t>
      </w:r>
    </w:p>
    <w:p w14:paraId="6F5BFF5B" w14:textId="77777777" w:rsidR="00C04CAD" w:rsidRDefault="00C04CAD">
      <w:pPr>
        <w:tabs>
          <w:tab w:val="clear" w:pos="567"/>
        </w:tabs>
        <w:kinsoku w:val="0"/>
        <w:overflowPunct w:val="0"/>
        <w:autoSpaceDE w:val="0"/>
        <w:autoSpaceDN w:val="0"/>
        <w:adjustRightInd w:val="0"/>
        <w:spacing w:line="240" w:lineRule="auto"/>
      </w:pPr>
    </w:p>
    <w:p w14:paraId="3760363A" w14:textId="77777777" w:rsidR="00C04CAD" w:rsidRDefault="00060E34">
      <w:pPr>
        <w:keepNext/>
        <w:tabs>
          <w:tab w:val="clear" w:pos="567"/>
        </w:tabs>
        <w:kinsoku w:val="0"/>
        <w:overflowPunct w:val="0"/>
        <w:autoSpaceDE w:val="0"/>
        <w:autoSpaceDN w:val="0"/>
        <w:adjustRightInd w:val="0"/>
        <w:spacing w:line="240" w:lineRule="auto"/>
        <w:rPr>
          <w:szCs w:val="22"/>
        </w:rPr>
      </w:pPr>
      <w:r>
        <w:rPr>
          <w:i/>
          <w:spacing w:val="-1"/>
          <w:szCs w:val="22"/>
          <w:u w:val="single"/>
        </w:rPr>
        <w:t>R</w:t>
      </w:r>
      <w:r>
        <w:rPr>
          <w:i/>
          <w:szCs w:val="22"/>
          <w:u w:val="single"/>
        </w:rPr>
        <w:t>ăspuns</w:t>
      </w:r>
      <w:r>
        <w:rPr>
          <w:i/>
          <w:spacing w:val="-3"/>
          <w:szCs w:val="22"/>
          <w:u w:val="single"/>
        </w:rPr>
        <w:t xml:space="preserve"> </w:t>
      </w:r>
      <w:r>
        <w:rPr>
          <w:i/>
          <w:szCs w:val="22"/>
          <w:u w:val="single"/>
        </w:rPr>
        <w:t>c</w:t>
      </w:r>
      <w:r>
        <w:rPr>
          <w:i/>
          <w:spacing w:val="-2"/>
          <w:szCs w:val="22"/>
          <w:u w:val="single"/>
        </w:rPr>
        <w:t>l</w:t>
      </w:r>
      <w:r>
        <w:rPr>
          <w:i/>
          <w:spacing w:val="1"/>
          <w:szCs w:val="22"/>
          <w:u w:val="single"/>
        </w:rPr>
        <w:t>i</w:t>
      </w:r>
      <w:r>
        <w:rPr>
          <w:i/>
          <w:szCs w:val="22"/>
          <w:u w:val="single"/>
        </w:rPr>
        <w:t>n</w:t>
      </w:r>
      <w:r>
        <w:rPr>
          <w:i/>
          <w:spacing w:val="-2"/>
          <w:szCs w:val="22"/>
          <w:u w:val="single"/>
        </w:rPr>
        <w:t>i</w:t>
      </w:r>
      <w:r>
        <w:rPr>
          <w:i/>
          <w:szCs w:val="22"/>
          <w:u w:val="single"/>
        </w:rPr>
        <w:t>c</w:t>
      </w:r>
    </w:p>
    <w:p w14:paraId="010D25C4" w14:textId="77777777" w:rsidR="00C04CAD" w:rsidRDefault="00C04CAD">
      <w:pPr>
        <w:keepNext/>
        <w:tabs>
          <w:tab w:val="clear" w:pos="567"/>
        </w:tabs>
        <w:kinsoku w:val="0"/>
        <w:overflowPunct w:val="0"/>
        <w:autoSpaceDE w:val="0"/>
        <w:autoSpaceDN w:val="0"/>
        <w:adjustRightInd w:val="0"/>
        <w:spacing w:line="240" w:lineRule="auto"/>
        <w:rPr>
          <w:szCs w:val="22"/>
        </w:rPr>
      </w:pPr>
    </w:p>
    <w:p w14:paraId="706E89BF" w14:textId="77777777" w:rsidR="00C04CAD" w:rsidRDefault="00060E34">
      <w:pPr>
        <w:autoSpaceDE w:val="0"/>
        <w:autoSpaceDN w:val="0"/>
        <w:adjustRightInd w:val="0"/>
        <w:spacing w:line="240" w:lineRule="auto"/>
        <w:rPr>
          <w:szCs w:val="22"/>
        </w:rPr>
      </w:pPr>
      <w:r>
        <w:rPr>
          <w:spacing w:val="-1"/>
          <w:szCs w:val="22"/>
        </w:rPr>
        <w:t>R</w:t>
      </w:r>
      <w:r>
        <w:rPr>
          <w:szCs w:val="22"/>
        </w:rPr>
        <w:t>e</w:t>
      </w:r>
      <w:r>
        <w:rPr>
          <w:spacing w:val="-3"/>
          <w:szCs w:val="22"/>
        </w:rPr>
        <w:t>z</w:t>
      </w:r>
      <w:r>
        <w:rPr>
          <w:szCs w:val="22"/>
        </w:rPr>
        <w:t>u</w:t>
      </w:r>
      <w:r>
        <w:rPr>
          <w:spacing w:val="1"/>
          <w:szCs w:val="22"/>
        </w:rPr>
        <w:t>lt</w:t>
      </w:r>
      <w:r>
        <w:rPr>
          <w:spacing w:val="-3"/>
          <w:szCs w:val="22"/>
        </w:rPr>
        <w:t>a</w:t>
      </w:r>
      <w:r>
        <w:rPr>
          <w:spacing w:val="1"/>
          <w:szCs w:val="22"/>
        </w:rPr>
        <w:t>t</w:t>
      </w:r>
      <w:r>
        <w:rPr>
          <w:szCs w:val="22"/>
        </w:rPr>
        <w:t>e</w:t>
      </w:r>
      <w:r>
        <w:rPr>
          <w:spacing w:val="-2"/>
          <w:szCs w:val="22"/>
        </w:rPr>
        <w:t>l</w:t>
      </w:r>
      <w:r>
        <w:rPr>
          <w:szCs w:val="22"/>
        </w:rPr>
        <w:t>e d</w:t>
      </w:r>
      <w:r>
        <w:rPr>
          <w:spacing w:val="-2"/>
          <w:szCs w:val="22"/>
        </w:rPr>
        <w:t>i</w:t>
      </w:r>
      <w:r>
        <w:rPr>
          <w:szCs w:val="22"/>
        </w:rPr>
        <w:t>n a</w:t>
      </w:r>
      <w:r>
        <w:rPr>
          <w:spacing w:val="-4"/>
          <w:szCs w:val="22"/>
        </w:rPr>
        <w:t>m</w:t>
      </w:r>
      <w:r>
        <w:rPr>
          <w:szCs w:val="22"/>
        </w:rPr>
        <w:t>be</w:t>
      </w:r>
      <w:r>
        <w:rPr>
          <w:spacing w:val="1"/>
          <w:szCs w:val="22"/>
        </w:rPr>
        <w:t>l</w:t>
      </w:r>
      <w:r>
        <w:rPr>
          <w:szCs w:val="22"/>
        </w:rPr>
        <w:t xml:space="preserve">e </w:t>
      </w:r>
      <w:r>
        <w:rPr>
          <w:spacing w:val="-2"/>
          <w:szCs w:val="22"/>
        </w:rPr>
        <w:t>s</w:t>
      </w:r>
      <w:r>
        <w:rPr>
          <w:spacing w:val="1"/>
          <w:szCs w:val="22"/>
        </w:rPr>
        <w:t>t</w:t>
      </w:r>
      <w:r>
        <w:rPr>
          <w:szCs w:val="22"/>
        </w:rPr>
        <w:t>u</w:t>
      </w:r>
      <w:r>
        <w:rPr>
          <w:spacing w:val="-3"/>
          <w:szCs w:val="22"/>
        </w:rPr>
        <w:t>d</w:t>
      </w:r>
      <w:r>
        <w:rPr>
          <w:spacing w:val="1"/>
          <w:szCs w:val="22"/>
        </w:rPr>
        <w:t>i</w:t>
      </w:r>
      <w:r>
        <w:rPr>
          <w:szCs w:val="22"/>
        </w:rPr>
        <w:t>i</w:t>
      </w:r>
      <w:r>
        <w:rPr>
          <w:spacing w:val="1"/>
          <w:szCs w:val="22"/>
        </w:rPr>
        <w:t xml:space="preserve"> </w:t>
      </w:r>
      <w:r>
        <w:rPr>
          <w:spacing w:val="-3"/>
          <w:szCs w:val="22"/>
        </w:rPr>
        <w:t>a</w:t>
      </w:r>
      <w:r>
        <w:rPr>
          <w:szCs w:val="22"/>
        </w:rPr>
        <w:t>u de</w:t>
      </w:r>
      <w:r>
        <w:rPr>
          <w:spacing w:val="-4"/>
          <w:szCs w:val="22"/>
        </w:rPr>
        <w:t>m</w:t>
      </w:r>
      <w:r>
        <w:rPr>
          <w:szCs w:val="22"/>
        </w:rPr>
        <w:t>ons</w:t>
      </w:r>
      <w:r>
        <w:rPr>
          <w:spacing w:val="-2"/>
          <w:szCs w:val="22"/>
        </w:rPr>
        <w:t>t</w:t>
      </w:r>
      <w:r>
        <w:rPr>
          <w:szCs w:val="22"/>
        </w:rPr>
        <w:t>rat</w:t>
      </w:r>
      <w:r>
        <w:rPr>
          <w:spacing w:val="-2"/>
          <w:szCs w:val="22"/>
        </w:rPr>
        <w:t xml:space="preserve"> </w:t>
      </w:r>
      <w:r>
        <w:rPr>
          <w:szCs w:val="22"/>
        </w:rPr>
        <w:t>o r</w:t>
      </w:r>
      <w:r>
        <w:rPr>
          <w:spacing w:val="-3"/>
          <w:szCs w:val="22"/>
        </w:rPr>
        <w:t>e</w:t>
      </w:r>
      <w:r>
        <w:rPr>
          <w:szCs w:val="22"/>
        </w:rPr>
        <w:t>duc</w:t>
      </w:r>
      <w:r>
        <w:rPr>
          <w:spacing w:val="-3"/>
          <w:szCs w:val="22"/>
        </w:rPr>
        <w:t>e</w:t>
      </w:r>
      <w:r>
        <w:rPr>
          <w:szCs w:val="22"/>
        </w:rPr>
        <w:t>re</w:t>
      </w:r>
      <w:r>
        <w:rPr>
          <w:spacing w:val="-2"/>
          <w:szCs w:val="22"/>
        </w:rPr>
        <w:t xml:space="preserve"> </w:t>
      </w:r>
      <w:r>
        <w:rPr>
          <w:szCs w:val="22"/>
        </w:rPr>
        <w:t>se</w:t>
      </w:r>
      <w:r>
        <w:rPr>
          <w:spacing w:val="-4"/>
          <w:szCs w:val="22"/>
        </w:rPr>
        <w:t>m</w:t>
      </w:r>
      <w:r>
        <w:rPr>
          <w:szCs w:val="22"/>
        </w:rPr>
        <w:t>n</w:t>
      </w:r>
      <w:r>
        <w:rPr>
          <w:spacing w:val="1"/>
          <w:szCs w:val="22"/>
        </w:rPr>
        <w:t>i</w:t>
      </w:r>
      <w:r>
        <w:rPr>
          <w:szCs w:val="22"/>
        </w:rPr>
        <w:t>f</w:t>
      </w:r>
      <w:r>
        <w:rPr>
          <w:spacing w:val="1"/>
          <w:szCs w:val="22"/>
        </w:rPr>
        <w:t>i</w:t>
      </w:r>
      <w:r>
        <w:rPr>
          <w:spacing w:val="-3"/>
          <w:szCs w:val="22"/>
        </w:rPr>
        <w:t>c</w:t>
      </w:r>
      <w:r>
        <w:rPr>
          <w:szCs w:val="22"/>
        </w:rPr>
        <w:t>a</w:t>
      </w:r>
      <w:r>
        <w:rPr>
          <w:spacing w:val="-2"/>
          <w:szCs w:val="22"/>
        </w:rPr>
        <w:t>t</w:t>
      </w:r>
      <w:r>
        <w:rPr>
          <w:spacing w:val="1"/>
          <w:szCs w:val="22"/>
        </w:rPr>
        <w:t>i</w:t>
      </w:r>
      <w:r>
        <w:rPr>
          <w:spacing w:val="-3"/>
          <w:szCs w:val="22"/>
        </w:rPr>
        <w:t>v</w:t>
      </w:r>
      <w:r>
        <w:rPr>
          <w:szCs w:val="22"/>
        </w:rPr>
        <w:t>ă s</w:t>
      </w:r>
      <w:r>
        <w:rPr>
          <w:spacing w:val="1"/>
          <w:szCs w:val="22"/>
        </w:rPr>
        <w:t>t</w:t>
      </w:r>
      <w:r>
        <w:rPr>
          <w:spacing w:val="-3"/>
          <w:szCs w:val="22"/>
        </w:rPr>
        <w:t>a</w:t>
      </w:r>
      <w:r>
        <w:rPr>
          <w:spacing w:val="1"/>
          <w:szCs w:val="22"/>
        </w:rPr>
        <w:t>t</w:t>
      </w:r>
      <w:r>
        <w:rPr>
          <w:spacing w:val="-2"/>
          <w:szCs w:val="22"/>
        </w:rPr>
        <w:t>i</w:t>
      </w:r>
      <w:r>
        <w:rPr>
          <w:szCs w:val="22"/>
        </w:rPr>
        <w:t>s</w:t>
      </w:r>
      <w:r>
        <w:rPr>
          <w:spacing w:val="-2"/>
          <w:szCs w:val="22"/>
        </w:rPr>
        <w:t>t</w:t>
      </w:r>
      <w:r>
        <w:rPr>
          <w:spacing w:val="1"/>
          <w:szCs w:val="22"/>
        </w:rPr>
        <w:t>i</w:t>
      </w:r>
      <w:r>
        <w:rPr>
          <w:szCs w:val="22"/>
        </w:rPr>
        <w:t>c</w:t>
      </w:r>
      <w:r>
        <w:rPr>
          <w:spacing w:val="-2"/>
          <w:szCs w:val="22"/>
        </w:rPr>
        <w:t xml:space="preserve"> </w:t>
      </w:r>
      <w:r>
        <w:rPr>
          <w:szCs w:val="22"/>
        </w:rPr>
        <w:t xml:space="preserve">a </w:t>
      </w:r>
      <w:r>
        <w:rPr>
          <w:spacing w:val="-2"/>
          <w:szCs w:val="22"/>
        </w:rPr>
        <w:t>r</w:t>
      </w:r>
      <w:r>
        <w:rPr>
          <w:spacing w:val="1"/>
          <w:szCs w:val="22"/>
        </w:rPr>
        <w:t>i</w:t>
      </w:r>
      <w:r>
        <w:rPr>
          <w:szCs w:val="22"/>
        </w:rPr>
        <w:t>s</w:t>
      </w:r>
      <w:r>
        <w:rPr>
          <w:spacing w:val="-3"/>
          <w:szCs w:val="22"/>
        </w:rPr>
        <w:t>c</w:t>
      </w:r>
      <w:r>
        <w:rPr>
          <w:szCs w:val="22"/>
        </w:rPr>
        <w:t>u</w:t>
      </w:r>
      <w:r>
        <w:rPr>
          <w:spacing w:val="1"/>
          <w:szCs w:val="22"/>
        </w:rPr>
        <w:t>l</w:t>
      </w:r>
      <w:r>
        <w:rPr>
          <w:szCs w:val="22"/>
        </w:rPr>
        <w:t>ui</w:t>
      </w:r>
      <w:r>
        <w:rPr>
          <w:spacing w:val="-2"/>
          <w:szCs w:val="22"/>
        </w:rPr>
        <w:t xml:space="preserve"> </w:t>
      </w:r>
      <w:r>
        <w:rPr>
          <w:szCs w:val="22"/>
        </w:rPr>
        <w:t xml:space="preserve">de </w:t>
      </w:r>
      <w:r>
        <w:rPr>
          <w:spacing w:val="-3"/>
          <w:szCs w:val="22"/>
        </w:rPr>
        <w:t>e</w:t>
      </w:r>
      <w:r>
        <w:rPr>
          <w:szCs w:val="22"/>
        </w:rPr>
        <w:t>șec</w:t>
      </w:r>
      <w:r>
        <w:rPr>
          <w:spacing w:val="-2"/>
          <w:szCs w:val="22"/>
        </w:rPr>
        <w:t xml:space="preserve"> </w:t>
      </w:r>
      <w:r>
        <w:rPr>
          <w:spacing w:val="1"/>
          <w:szCs w:val="22"/>
        </w:rPr>
        <w:t>l</w:t>
      </w:r>
      <w:r>
        <w:rPr>
          <w:szCs w:val="22"/>
        </w:rPr>
        <w:t xml:space="preserve">a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pacing w:val="-2"/>
          <w:szCs w:val="22"/>
        </w:rPr>
        <w:t>l</w:t>
      </w:r>
      <w:r>
        <w:rPr>
          <w:szCs w:val="22"/>
        </w:rPr>
        <w:t>a p</w:t>
      </w:r>
      <w:r>
        <w:rPr>
          <w:spacing w:val="-3"/>
          <w:szCs w:val="22"/>
        </w:rPr>
        <w:t>a</w:t>
      </w:r>
      <w:r>
        <w:rPr>
          <w:szCs w:val="22"/>
        </w:rPr>
        <w:t>c</w:t>
      </w:r>
      <w:r>
        <w:rPr>
          <w:spacing w:val="1"/>
          <w:szCs w:val="22"/>
        </w:rPr>
        <w:t>i</w:t>
      </w:r>
      <w:r>
        <w:rPr>
          <w:spacing w:val="-3"/>
          <w:szCs w:val="22"/>
        </w:rPr>
        <w:t>e</w:t>
      </w:r>
      <w:r>
        <w:rPr>
          <w:szCs w:val="22"/>
        </w:rPr>
        <w:t>n</w:t>
      </w:r>
      <w:r>
        <w:rPr>
          <w:spacing w:val="-2"/>
          <w:szCs w:val="22"/>
        </w:rPr>
        <w:t>ț</w:t>
      </w:r>
      <w:r>
        <w:rPr>
          <w:spacing w:val="1"/>
          <w:szCs w:val="22"/>
        </w:rPr>
        <w:t>i</w:t>
      </w:r>
      <w:r>
        <w:rPr>
          <w:szCs w:val="22"/>
        </w:rPr>
        <w:t>i</w:t>
      </w:r>
      <w:r>
        <w:rPr>
          <w:spacing w:val="-2"/>
          <w:szCs w:val="22"/>
        </w:rPr>
        <w:t xml:space="preserve"> </w:t>
      </w:r>
      <w:r>
        <w:rPr>
          <w:spacing w:val="1"/>
          <w:szCs w:val="22"/>
        </w:rPr>
        <w:t>t</w:t>
      </w:r>
      <w:r>
        <w:rPr>
          <w:spacing w:val="-2"/>
          <w:szCs w:val="22"/>
        </w:rPr>
        <w:t>r</w:t>
      </w:r>
      <w:r>
        <w:rPr>
          <w:szCs w:val="22"/>
        </w:rPr>
        <w:t>a</w:t>
      </w:r>
      <w:r>
        <w:rPr>
          <w:spacing w:val="1"/>
          <w:szCs w:val="22"/>
        </w:rPr>
        <w:t>t</w:t>
      </w:r>
      <w:r>
        <w:rPr>
          <w:spacing w:val="-3"/>
          <w:szCs w:val="22"/>
        </w:rPr>
        <w:t>a</w:t>
      </w:r>
      <w:r>
        <w:rPr>
          <w:spacing w:val="-2"/>
          <w:szCs w:val="22"/>
        </w:rPr>
        <w:t>ț</w:t>
      </w:r>
      <w:r>
        <w:rPr>
          <w:szCs w:val="22"/>
        </w:rPr>
        <w:t>i</w:t>
      </w:r>
      <w:r>
        <w:rPr>
          <w:spacing w:val="-2"/>
          <w:szCs w:val="22"/>
        </w:rPr>
        <w:t xml:space="preserve"> </w:t>
      </w:r>
      <w:r>
        <w:rPr>
          <w:szCs w:val="22"/>
        </w:rPr>
        <w:t xml:space="preserve">cu </w:t>
      </w:r>
      <w:r>
        <w:rPr>
          <w:rFonts w:eastAsia="MS Mincho"/>
          <w:spacing w:val="-1"/>
          <w:szCs w:val="22"/>
          <w:lang w:eastAsia="en-US" w:bidi="ar-SA"/>
        </w:rPr>
        <w:t>adalimumab</w:t>
      </w:r>
      <w:r>
        <w:rPr>
          <w:szCs w:val="22"/>
        </w:rPr>
        <w:t xml:space="preserve"> 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cu</w:t>
      </w:r>
      <w:r>
        <w:rPr>
          <w:spacing w:val="-3"/>
          <w:szCs w:val="22"/>
        </w:rPr>
        <w:t xml:space="preserve"> </w:t>
      </w:r>
      <w:r>
        <w:rPr>
          <w:szCs w:val="22"/>
        </w:rPr>
        <w:t>pac</w:t>
      </w:r>
      <w:r>
        <w:rPr>
          <w:spacing w:val="-2"/>
          <w:szCs w:val="22"/>
        </w:rPr>
        <w:t>i</w:t>
      </w:r>
      <w:r>
        <w:rPr>
          <w:szCs w:val="22"/>
        </w:rPr>
        <w:t>en</w:t>
      </w:r>
      <w:r>
        <w:rPr>
          <w:spacing w:val="-2"/>
          <w:szCs w:val="22"/>
        </w:rPr>
        <w:t>ț</w:t>
      </w:r>
      <w:r>
        <w:rPr>
          <w:spacing w:val="1"/>
          <w:szCs w:val="22"/>
        </w:rPr>
        <w:t>i</w:t>
      </w:r>
      <w:r>
        <w:rPr>
          <w:szCs w:val="22"/>
        </w:rPr>
        <w:t>i</w:t>
      </w:r>
      <w:r>
        <w:rPr>
          <w:spacing w:val="-2"/>
          <w:szCs w:val="22"/>
        </w:rPr>
        <w:t xml:space="preserve"> </w:t>
      </w:r>
      <w:r>
        <w:rPr>
          <w:szCs w:val="22"/>
        </w:rPr>
        <w:t>c</w:t>
      </w:r>
      <w:r>
        <w:rPr>
          <w:spacing w:val="-3"/>
          <w:szCs w:val="22"/>
        </w:rPr>
        <w:t>a</w:t>
      </w:r>
      <w:r>
        <w:rPr>
          <w:szCs w:val="22"/>
        </w:rPr>
        <w:t>re au</w:t>
      </w:r>
      <w:r>
        <w:rPr>
          <w:spacing w:val="-3"/>
          <w:szCs w:val="22"/>
        </w:rPr>
        <w:t xml:space="preserve"> </w:t>
      </w:r>
      <w:r>
        <w:rPr>
          <w:szCs w:val="22"/>
        </w:rPr>
        <w:t>p</w:t>
      </w:r>
      <w:r>
        <w:rPr>
          <w:spacing w:val="-2"/>
          <w:szCs w:val="22"/>
        </w:rPr>
        <w:t>r</w:t>
      </w:r>
      <w:r>
        <w:rPr>
          <w:spacing w:val="1"/>
          <w:szCs w:val="22"/>
        </w:rPr>
        <w:t>i</w:t>
      </w:r>
      <w:r>
        <w:rPr>
          <w:spacing w:val="-4"/>
          <w:szCs w:val="22"/>
        </w:rPr>
        <w:t>m</w:t>
      </w:r>
      <w:r>
        <w:rPr>
          <w:spacing w:val="1"/>
          <w:szCs w:val="22"/>
        </w:rPr>
        <w:t>i</w:t>
      </w:r>
      <w:r>
        <w:rPr>
          <w:szCs w:val="22"/>
        </w:rPr>
        <w:t>t</w:t>
      </w:r>
      <w:r>
        <w:rPr>
          <w:spacing w:val="1"/>
          <w:szCs w:val="22"/>
        </w:rPr>
        <w:t xml:space="preserve"> </w:t>
      </w:r>
      <w:r>
        <w:rPr>
          <w:szCs w:val="22"/>
        </w:rPr>
        <w:t>p</w:t>
      </w:r>
      <w:r>
        <w:rPr>
          <w:spacing w:val="-2"/>
          <w:szCs w:val="22"/>
        </w:rPr>
        <w:t>l</w:t>
      </w:r>
      <w:r>
        <w:rPr>
          <w:szCs w:val="22"/>
        </w:rPr>
        <w:t>a</w:t>
      </w:r>
      <w:r>
        <w:rPr>
          <w:spacing w:val="-3"/>
          <w:szCs w:val="22"/>
        </w:rPr>
        <w:t>c</w:t>
      </w:r>
      <w:r>
        <w:rPr>
          <w:szCs w:val="22"/>
        </w:rPr>
        <w:t>ebo (</w:t>
      </w:r>
      <w:r>
        <w:rPr>
          <w:spacing w:val="-3"/>
          <w:szCs w:val="22"/>
        </w:rPr>
        <w:t>v</w:t>
      </w:r>
      <w:r>
        <w:rPr>
          <w:szCs w:val="22"/>
        </w:rPr>
        <w:t>e</w:t>
      </w:r>
      <w:r>
        <w:rPr>
          <w:spacing w:val="-3"/>
          <w:szCs w:val="22"/>
        </w:rPr>
        <w:t>z</w:t>
      </w:r>
      <w:r>
        <w:rPr>
          <w:szCs w:val="22"/>
        </w:rPr>
        <w:t>i</w:t>
      </w:r>
      <w:r>
        <w:rPr>
          <w:spacing w:val="1"/>
          <w:szCs w:val="22"/>
        </w:rPr>
        <w:t xml:space="preserve"> t</w:t>
      </w:r>
      <w:r>
        <w:rPr>
          <w:spacing w:val="-3"/>
          <w:szCs w:val="22"/>
        </w:rPr>
        <w:t>a</w:t>
      </w:r>
      <w:r>
        <w:rPr>
          <w:szCs w:val="22"/>
        </w:rPr>
        <w:t>be</w:t>
      </w:r>
      <w:r>
        <w:rPr>
          <w:spacing w:val="-2"/>
          <w:szCs w:val="22"/>
        </w:rPr>
        <w:t>l</w:t>
      </w:r>
      <w:r>
        <w:rPr>
          <w:szCs w:val="22"/>
        </w:rPr>
        <w:t xml:space="preserve">ul </w:t>
      </w:r>
      <w:r>
        <w:rPr>
          <w:rFonts w:eastAsia="MS Mincho"/>
          <w:szCs w:val="22"/>
          <w:lang w:eastAsia="en-US" w:bidi="ar-SA"/>
        </w:rPr>
        <w:t>24</w:t>
      </w:r>
      <w:r>
        <w:rPr>
          <w:szCs w:val="22"/>
        </w:rPr>
        <w:t xml:space="preserve">). </w:t>
      </w:r>
      <w:r>
        <w:rPr>
          <w:spacing w:val="-2"/>
          <w:szCs w:val="22"/>
        </w:rPr>
        <w:t>A</w:t>
      </w:r>
      <w:r>
        <w:rPr>
          <w:spacing w:val="-4"/>
          <w:szCs w:val="22"/>
        </w:rPr>
        <w:t>m</w:t>
      </w:r>
      <w:r>
        <w:rPr>
          <w:szCs w:val="22"/>
        </w:rPr>
        <w:t>be</w:t>
      </w:r>
      <w:r>
        <w:rPr>
          <w:spacing w:val="1"/>
          <w:szCs w:val="22"/>
        </w:rPr>
        <w:t>l</w:t>
      </w:r>
      <w:r>
        <w:rPr>
          <w:szCs w:val="22"/>
        </w:rPr>
        <w:t xml:space="preserve">e </w:t>
      </w:r>
      <w:r>
        <w:rPr>
          <w:spacing w:val="-2"/>
          <w:szCs w:val="22"/>
        </w:rPr>
        <w:t>s</w:t>
      </w:r>
      <w:r>
        <w:rPr>
          <w:spacing w:val="1"/>
          <w:szCs w:val="22"/>
        </w:rPr>
        <w:t>t</w:t>
      </w:r>
      <w:r>
        <w:rPr>
          <w:szCs w:val="22"/>
        </w:rPr>
        <w:t>u</w:t>
      </w:r>
      <w:r>
        <w:rPr>
          <w:spacing w:val="-3"/>
          <w:szCs w:val="22"/>
        </w:rPr>
        <w:t>d</w:t>
      </w:r>
      <w:r>
        <w:rPr>
          <w:spacing w:val="1"/>
          <w:szCs w:val="22"/>
        </w:rPr>
        <w:t>i</w:t>
      </w:r>
      <w:r>
        <w:rPr>
          <w:szCs w:val="22"/>
        </w:rPr>
        <w:t>i</w:t>
      </w:r>
      <w:r>
        <w:rPr>
          <w:spacing w:val="1"/>
          <w:szCs w:val="22"/>
        </w:rPr>
        <w:t xml:space="preserve"> </w:t>
      </w:r>
      <w:r>
        <w:rPr>
          <w:spacing w:val="-3"/>
          <w:szCs w:val="22"/>
        </w:rPr>
        <w:t>a</w:t>
      </w:r>
      <w:r>
        <w:rPr>
          <w:szCs w:val="22"/>
        </w:rPr>
        <w:t>u de</w:t>
      </w:r>
      <w:r>
        <w:rPr>
          <w:spacing w:val="-4"/>
          <w:szCs w:val="22"/>
        </w:rPr>
        <w:t>m</w:t>
      </w:r>
      <w:r>
        <w:rPr>
          <w:szCs w:val="22"/>
        </w:rPr>
        <w:t>ons</w:t>
      </w:r>
      <w:r>
        <w:rPr>
          <w:spacing w:val="1"/>
          <w:szCs w:val="22"/>
        </w:rPr>
        <w:t>t</w:t>
      </w:r>
      <w:r>
        <w:rPr>
          <w:spacing w:val="-2"/>
          <w:szCs w:val="22"/>
        </w:rPr>
        <w:t>r</w:t>
      </w:r>
      <w:r>
        <w:rPr>
          <w:szCs w:val="22"/>
        </w:rPr>
        <w:t>at</w:t>
      </w:r>
      <w:r>
        <w:rPr>
          <w:spacing w:val="-2"/>
          <w:szCs w:val="22"/>
        </w:rPr>
        <w:t xml:space="preserve"> </w:t>
      </w:r>
      <w:r>
        <w:rPr>
          <w:szCs w:val="22"/>
        </w:rPr>
        <w:t xml:space="preserve">un </w:t>
      </w:r>
      <w:r>
        <w:rPr>
          <w:spacing w:val="-3"/>
          <w:szCs w:val="22"/>
        </w:rPr>
        <w:t>e</w:t>
      </w:r>
      <w:r>
        <w:rPr>
          <w:szCs w:val="22"/>
        </w:rPr>
        <w:t>fe</w:t>
      </w:r>
      <w:r>
        <w:rPr>
          <w:spacing w:val="-3"/>
          <w:szCs w:val="22"/>
        </w:rPr>
        <w:t>c</w:t>
      </w:r>
      <w:r>
        <w:rPr>
          <w:szCs w:val="22"/>
        </w:rPr>
        <w:t>t</w:t>
      </w:r>
      <w:r>
        <w:rPr>
          <w:spacing w:val="1"/>
          <w:szCs w:val="22"/>
        </w:rPr>
        <w:t xml:space="preserve"> </w:t>
      </w:r>
      <w:r>
        <w:rPr>
          <w:szCs w:val="22"/>
        </w:rPr>
        <w:t>p</w:t>
      </w:r>
      <w:r>
        <w:rPr>
          <w:spacing w:val="-2"/>
          <w:szCs w:val="22"/>
        </w:rPr>
        <w:t>r</w:t>
      </w:r>
      <w:r>
        <w:rPr>
          <w:szCs w:val="22"/>
        </w:rPr>
        <w:t>ec</w:t>
      </w:r>
      <w:r>
        <w:rPr>
          <w:spacing w:val="-3"/>
          <w:szCs w:val="22"/>
        </w:rPr>
        <w:t>o</w:t>
      </w:r>
      <w:r>
        <w:rPr>
          <w:szCs w:val="22"/>
        </w:rPr>
        <w:t xml:space="preserve">ce </w:t>
      </w:r>
      <w:r>
        <w:rPr>
          <w:spacing w:val="-2"/>
          <w:szCs w:val="22"/>
        </w:rPr>
        <w:t>ș</w:t>
      </w:r>
      <w:r>
        <w:rPr>
          <w:szCs w:val="22"/>
        </w:rPr>
        <w:t>i</w:t>
      </w:r>
      <w:r>
        <w:rPr>
          <w:spacing w:val="1"/>
          <w:szCs w:val="22"/>
        </w:rPr>
        <w:t xml:space="preserve"> </w:t>
      </w:r>
      <w:r>
        <w:rPr>
          <w:szCs w:val="22"/>
        </w:rPr>
        <w:t>s</w:t>
      </w:r>
      <w:r>
        <w:rPr>
          <w:spacing w:val="-3"/>
          <w:szCs w:val="22"/>
        </w:rPr>
        <w:t>u</w:t>
      </w:r>
      <w:r>
        <w:rPr>
          <w:szCs w:val="22"/>
        </w:rPr>
        <w:t>s</w:t>
      </w:r>
      <w:r>
        <w:rPr>
          <w:spacing w:val="1"/>
          <w:szCs w:val="22"/>
        </w:rPr>
        <w:t>ț</w:t>
      </w:r>
      <w:r>
        <w:rPr>
          <w:spacing w:val="-2"/>
          <w:szCs w:val="22"/>
        </w:rPr>
        <w:t>i</w:t>
      </w:r>
      <w:r>
        <w:rPr>
          <w:szCs w:val="22"/>
        </w:rPr>
        <w:t>nut</w:t>
      </w:r>
      <w:r>
        <w:rPr>
          <w:spacing w:val="-2"/>
          <w:szCs w:val="22"/>
        </w:rPr>
        <w:t xml:space="preserve"> </w:t>
      </w:r>
      <w:r>
        <w:rPr>
          <w:szCs w:val="22"/>
        </w:rPr>
        <w:t>al</w:t>
      </w:r>
      <w:r>
        <w:rPr>
          <w:spacing w:val="1"/>
          <w:szCs w:val="22"/>
        </w:rPr>
        <w:t xml:space="preserve"> </w:t>
      </w:r>
      <w:r>
        <w:rPr>
          <w:rFonts w:eastAsia="MS Mincho"/>
          <w:spacing w:val="-1"/>
          <w:szCs w:val="22"/>
          <w:lang w:eastAsia="en-US" w:bidi="ar-SA"/>
        </w:rPr>
        <w:t>adalimumab</w:t>
      </w:r>
      <w:r>
        <w:rPr>
          <w:spacing w:val="-2"/>
          <w:szCs w:val="22"/>
        </w:rPr>
        <w:t xml:space="preserve"> </w:t>
      </w:r>
      <w:r>
        <w:rPr>
          <w:szCs w:val="22"/>
        </w:rPr>
        <w:t>asu</w:t>
      </w:r>
      <w:r>
        <w:rPr>
          <w:spacing w:val="-3"/>
          <w:szCs w:val="22"/>
        </w:rPr>
        <w:t>p</w:t>
      </w:r>
      <w:r>
        <w:rPr>
          <w:szCs w:val="22"/>
        </w:rPr>
        <w:t>ra</w:t>
      </w:r>
      <w:r>
        <w:rPr>
          <w:spacing w:val="-2"/>
          <w:szCs w:val="22"/>
        </w:rPr>
        <w:t xml:space="preserve"> </w:t>
      </w:r>
      <w:r>
        <w:rPr>
          <w:szCs w:val="22"/>
        </w:rPr>
        <w:t>ra</w:t>
      </w:r>
      <w:r>
        <w:rPr>
          <w:spacing w:val="-2"/>
          <w:szCs w:val="22"/>
        </w:rPr>
        <w:t>t</w:t>
      </w:r>
      <w:r>
        <w:rPr>
          <w:spacing w:val="-3"/>
          <w:szCs w:val="22"/>
        </w:rPr>
        <w:t>e</w:t>
      </w:r>
      <w:r>
        <w:rPr>
          <w:szCs w:val="22"/>
        </w:rPr>
        <w:t>i</w:t>
      </w:r>
      <w:r>
        <w:rPr>
          <w:spacing w:val="1"/>
          <w:szCs w:val="22"/>
        </w:rPr>
        <w:t xml:space="preserve"> </w:t>
      </w:r>
      <w:r>
        <w:rPr>
          <w:szCs w:val="22"/>
        </w:rPr>
        <w:t xml:space="preserve">de </w:t>
      </w:r>
      <w:r>
        <w:rPr>
          <w:spacing w:val="-3"/>
          <w:szCs w:val="22"/>
        </w:rPr>
        <w:t>e</w:t>
      </w:r>
      <w:r>
        <w:rPr>
          <w:szCs w:val="22"/>
        </w:rPr>
        <w:t>șec</w:t>
      </w:r>
      <w:r>
        <w:rPr>
          <w:spacing w:val="-2"/>
          <w:szCs w:val="22"/>
        </w:rPr>
        <w:t xml:space="preserve"> </w:t>
      </w:r>
      <w:r>
        <w:rPr>
          <w:spacing w:val="1"/>
          <w:szCs w:val="22"/>
        </w:rPr>
        <w:t>l</w:t>
      </w:r>
      <w:r>
        <w:rPr>
          <w:szCs w:val="22"/>
        </w:rPr>
        <w:t xml:space="preserve">a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ent</w:t>
      </w:r>
      <w:r>
        <w:rPr>
          <w:spacing w:val="1"/>
          <w:szCs w:val="22"/>
        </w:rPr>
        <w:t xml:space="preserve"> </w:t>
      </w:r>
      <w:r>
        <w:rPr>
          <w:szCs w:val="22"/>
        </w:rPr>
        <w:t>co</w:t>
      </w:r>
      <w:r>
        <w:rPr>
          <w:spacing w:val="-4"/>
          <w:szCs w:val="22"/>
        </w:rPr>
        <w:t>m</w:t>
      </w:r>
      <w:r>
        <w:rPr>
          <w:szCs w:val="22"/>
        </w:rPr>
        <w:t>par</w:t>
      </w:r>
      <w:r>
        <w:rPr>
          <w:spacing w:val="-3"/>
          <w:szCs w:val="22"/>
        </w:rPr>
        <w:t>a</w:t>
      </w:r>
      <w:r>
        <w:rPr>
          <w:spacing w:val="1"/>
          <w:szCs w:val="22"/>
        </w:rPr>
        <w:t>ti</w:t>
      </w:r>
      <w:r>
        <w:rPr>
          <w:szCs w:val="22"/>
        </w:rPr>
        <w:t>v</w:t>
      </w:r>
      <w:r>
        <w:rPr>
          <w:spacing w:val="-3"/>
          <w:szCs w:val="22"/>
        </w:rPr>
        <w:t xml:space="preserve"> </w:t>
      </w:r>
      <w:r>
        <w:rPr>
          <w:szCs w:val="22"/>
        </w:rPr>
        <w:t xml:space="preserve">cu </w:t>
      </w:r>
      <w:r>
        <w:rPr>
          <w:spacing w:val="-3"/>
          <w:szCs w:val="22"/>
        </w:rPr>
        <w:t>p</w:t>
      </w:r>
      <w:r>
        <w:rPr>
          <w:spacing w:val="-2"/>
          <w:szCs w:val="22"/>
        </w:rPr>
        <w:t>l</w:t>
      </w:r>
      <w:r>
        <w:rPr>
          <w:szCs w:val="22"/>
        </w:rPr>
        <w:t>acebo</w:t>
      </w:r>
      <w:r>
        <w:rPr>
          <w:spacing w:val="-3"/>
          <w:szCs w:val="22"/>
        </w:rPr>
        <w:t xml:space="preserve"> </w:t>
      </w:r>
      <w:r>
        <w:rPr>
          <w:szCs w:val="22"/>
        </w:rPr>
        <w:t>(</w:t>
      </w:r>
      <w:r>
        <w:rPr>
          <w:spacing w:val="-3"/>
          <w:szCs w:val="22"/>
        </w:rPr>
        <w:t>v</w:t>
      </w:r>
      <w:r>
        <w:rPr>
          <w:szCs w:val="22"/>
        </w:rPr>
        <w:t>e</w:t>
      </w:r>
      <w:r>
        <w:rPr>
          <w:spacing w:val="-3"/>
          <w:szCs w:val="22"/>
        </w:rPr>
        <w:t>z</w:t>
      </w:r>
      <w:r>
        <w:rPr>
          <w:szCs w:val="22"/>
        </w:rPr>
        <w:t>i</w:t>
      </w:r>
      <w:r>
        <w:rPr>
          <w:spacing w:val="1"/>
          <w:szCs w:val="22"/>
        </w:rPr>
        <w:t xml:space="preserve"> </w:t>
      </w:r>
      <w:r>
        <w:rPr>
          <w:szCs w:val="22"/>
        </w:rPr>
        <w:t>f</w:t>
      </w:r>
      <w:r>
        <w:rPr>
          <w:spacing w:val="1"/>
          <w:szCs w:val="22"/>
        </w:rPr>
        <w:t>i</w:t>
      </w:r>
      <w:r>
        <w:rPr>
          <w:spacing w:val="-3"/>
          <w:szCs w:val="22"/>
        </w:rPr>
        <w:t>g</w:t>
      </w:r>
      <w:r>
        <w:rPr>
          <w:szCs w:val="22"/>
        </w:rPr>
        <w:t>ura</w:t>
      </w:r>
      <w:r>
        <w:rPr>
          <w:spacing w:val="-2"/>
          <w:szCs w:val="22"/>
        </w:rPr>
        <w:t xml:space="preserve"> </w:t>
      </w:r>
      <w:r>
        <w:rPr>
          <w:szCs w:val="22"/>
        </w:rPr>
        <w:t>2).</w:t>
      </w:r>
    </w:p>
    <w:p w14:paraId="5BA75168" w14:textId="77777777" w:rsidR="00C04CAD" w:rsidRDefault="00C04CAD">
      <w:pPr>
        <w:autoSpaceDE w:val="0"/>
        <w:autoSpaceDN w:val="0"/>
        <w:adjustRightInd w:val="0"/>
        <w:spacing w:line="240" w:lineRule="auto"/>
        <w:rPr>
          <w:szCs w:val="22"/>
        </w:rPr>
      </w:pPr>
    </w:p>
    <w:p w14:paraId="3CEAF340" w14:textId="77777777" w:rsidR="00C04CAD" w:rsidRDefault="00060E34">
      <w:pPr>
        <w:autoSpaceDE w:val="0"/>
        <w:autoSpaceDN w:val="0"/>
        <w:adjustRightInd w:val="0"/>
        <w:spacing w:line="240" w:lineRule="auto"/>
        <w:rPr>
          <w:b/>
        </w:rPr>
      </w:pPr>
      <w:r>
        <w:rPr>
          <w:b/>
          <w:bCs/>
          <w:spacing w:val="-1"/>
        </w:rPr>
        <w:t>T</w:t>
      </w:r>
      <w:r>
        <w:rPr>
          <w:b/>
        </w:rPr>
        <w:t>a</w:t>
      </w:r>
      <w:r>
        <w:rPr>
          <w:b/>
          <w:spacing w:val="-1"/>
        </w:rPr>
        <w:t>b</w:t>
      </w:r>
      <w:r>
        <w:rPr>
          <w:b/>
        </w:rPr>
        <w:t>elul</w:t>
      </w:r>
      <w:r>
        <w:rPr>
          <w:b/>
          <w:spacing w:val="1"/>
        </w:rPr>
        <w:t xml:space="preserve"> </w:t>
      </w:r>
      <w:r>
        <w:rPr>
          <w:b/>
        </w:rPr>
        <w:t xml:space="preserve">24. </w:t>
      </w:r>
      <w:r>
        <w:rPr>
          <w:b/>
          <w:spacing w:val="-1"/>
        </w:rPr>
        <w:t>T</w:t>
      </w:r>
      <w:r>
        <w:rPr>
          <w:b/>
          <w:spacing w:val="1"/>
        </w:rPr>
        <w:t>i</w:t>
      </w:r>
      <w:r>
        <w:rPr>
          <w:b/>
        </w:rPr>
        <w:t>m</w:t>
      </w:r>
      <w:r>
        <w:rPr>
          <w:b/>
          <w:spacing w:val="-1"/>
        </w:rPr>
        <w:t>p</w:t>
      </w:r>
      <w:r>
        <w:rPr>
          <w:b/>
          <w:spacing w:val="-3"/>
        </w:rPr>
        <w:t>u</w:t>
      </w:r>
      <w:r>
        <w:rPr>
          <w:b/>
        </w:rPr>
        <w:t>l</w:t>
      </w:r>
      <w:r>
        <w:rPr>
          <w:b/>
          <w:spacing w:val="1"/>
        </w:rPr>
        <w:t xml:space="preserve"> </w:t>
      </w:r>
      <w:r>
        <w:rPr>
          <w:b/>
          <w:spacing w:val="-1"/>
        </w:rPr>
        <w:t>p</w:t>
      </w:r>
      <w:r>
        <w:rPr>
          <w:b/>
        </w:rPr>
        <w:t>â</w:t>
      </w:r>
      <w:r>
        <w:rPr>
          <w:b/>
          <w:spacing w:val="-1"/>
        </w:rPr>
        <w:t>n</w:t>
      </w:r>
      <w:r>
        <w:rPr>
          <w:b/>
        </w:rPr>
        <w:t>ă</w:t>
      </w:r>
      <w:r>
        <w:rPr>
          <w:b/>
          <w:spacing w:val="-3"/>
        </w:rPr>
        <w:t xml:space="preserve"> </w:t>
      </w:r>
      <w:r>
        <w:rPr>
          <w:b/>
          <w:spacing w:val="1"/>
        </w:rPr>
        <w:t>l</w:t>
      </w:r>
      <w:r>
        <w:rPr>
          <w:b/>
        </w:rPr>
        <w:t>a a</w:t>
      </w:r>
      <w:r>
        <w:rPr>
          <w:b/>
          <w:spacing w:val="-1"/>
        </w:rPr>
        <w:t>p</w:t>
      </w:r>
      <w:r>
        <w:rPr>
          <w:b/>
          <w:spacing w:val="-3"/>
        </w:rPr>
        <w:t>a</w:t>
      </w:r>
      <w:r>
        <w:rPr>
          <w:b/>
        </w:rPr>
        <w:t>r</w:t>
      </w:r>
      <w:r>
        <w:rPr>
          <w:b/>
          <w:spacing w:val="-2"/>
        </w:rPr>
        <w:t>i</w:t>
      </w:r>
      <w:r>
        <w:rPr>
          <w:b/>
        </w:rPr>
        <w:t>ţ</w:t>
      </w:r>
      <w:r>
        <w:rPr>
          <w:b/>
          <w:spacing w:val="1"/>
        </w:rPr>
        <w:t>i</w:t>
      </w:r>
      <w:r>
        <w:rPr>
          <w:b/>
        </w:rPr>
        <w:t>a</w:t>
      </w:r>
      <w:r>
        <w:rPr>
          <w:b/>
          <w:spacing w:val="-3"/>
        </w:rPr>
        <w:t xml:space="preserve"> e</w:t>
      </w:r>
      <w:r>
        <w:rPr>
          <w:b/>
        </w:rPr>
        <w:t>şec</w:t>
      </w:r>
      <w:r>
        <w:rPr>
          <w:b/>
          <w:spacing w:val="-1"/>
        </w:rPr>
        <w:t>u</w:t>
      </w:r>
      <w:r>
        <w:rPr>
          <w:b/>
          <w:spacing w:val="-2"/>
        </w:rPr>
        <w:t>l</w:t>
      </w:r>
      <w:r>
        <w:rPr>
          <w:b/>
          <w:spacing w:val="-1"/>
        </w:rPr>
        <w:t>u</w:t>
      </w:r>
      <w:r>
        <w:rPr>
          <w:b/>
        </w:rPr>
        <w:t>i</w:t>
      </w:r>
      <w:r>
        <w:rPr>
          <w:b/>
          <w:spacing w:val="-2"/>
        </w:rPr>
        <w:t xml:space="preserve"> </w:t>
      </w:r>
      <w:r>
        <w:rPr>
          <w:b/>
          <w:spacing w:val="1"/>
        </w:rPr>
        <w:t>l</w:t>
      </w:r>
      <w:r>
        <w:rPr>
          <w:b/>
        </w:rPr>
        <w:t xml:space="preserve">a </w:t>
      </w:r>
      <w:r>
        <w:rPr>
          <w:b/>
          <w:spacing w:val="-2"/>
        </w:rPr>
        <w:t>t</w:t>
      </w:r>
      <w:r>
        <w:rPr>
          <w:b/>
        </w:rPr>
        <w:t>rat</w:t>
      </w:r>
      <w:r>
        <w:rPr>
          <w:b/>
          <w:spacing w:val="-3"/>
        </w:rPr>
        <w:t>a</w:t>
      </w:r>
      <w:r>
        <w:rPr>
          <w:b/>
        </w:rPr>
        <w:t>me</w:t>
      </w:r>
      <w:r>
        <w:rPr>
          <w:b/>
          <w:spacing w:val="-3"/>
        </w:rPr>
        <w:t>n</w:t>
      </w:r>
      <w:r>
        <w:rPr>
          <w:b/>
        </w:rPr>
        <w:t>t</w:t>
      </w:r>
      <w:r>
        <w:rPr>
          <w:b/>
          <w:spacing w:val="-2"/>
        </w:rPr>
        <w:t xml:space="preserve"> </w:t>
      </w:r>
      <w:r>
        <w:rPr>
          <w:b/>
          <w:spacing w:val="1"/>
        </w:rPr>
        <w:t>î</w:t>
      </w:r>
      <w:r>
        <w:rPr>
          <w:b/>
        </w:rPr>
        <w:t>n</w:t>
      </w:r>
      <w:r>
        <w:rPr>
          <w:b/>
          <w:spacing w:val="-1"/>
        </w:rPr>
        <w:t xml:space="preserve"> S</w:t>
      </w:r>
      <w:r>
        <w:rPr>
          <w:b/>
          <w:spacing w:val="-2"/>
        </w:rPr>
        <w:t>t</w:t>
      </w:r>
      <w:r>
        <w:rPr>
          <w:b/>
          <w:spacing w:val="-1"/>
        </w:rPr>
        <w:t>ud</w:t>
      </w:r>
      <w:r>
        <w:rPr>
          <w:b/>
          <w:spacing w:val="1"/>
        </w:rPr>
        <w:t>i</w:t>
      </w:r>
      <w:r>
        <w:rPr>
          <w:b/>
          <w:spacing w:val="-2"/>
        </w:rPr>
        <w:t>i</w:t>
      </w:r>
      <w:r>
        <w:rPr>
          <w:b/>
          <w:spacing w:val="1"/>
        </w:rPr>
        <w:t>l</w:t>
      </w:r>
      <w:r>
        <w:rPr>
          <w:b/>
        </w:rPr>
        <w:t xml:space="preserve">e </w:t>
      </w:r>
      <w:r>
        <w:rPr>
          <w:b/>
          <w:spacing w:val="-1"/>
        </w:rPr>
        <w:t>U</w:t>
      </w:r>
      <w:r>
        <w:rPr>
          <w:b/>
        </w:rPr>
        <w:t>V</w:t>
      </w:r>
      <w:r>
        <w:rPr>
          <w:b/>
          <w:spacing w:val="-1"/>
        </w:rPr>
        <w:t xml:space="preserve"> </w:t>
      </w:r>
      <w:r>
        <w:rPr>
          <w:b/>
        </w:rPr>
        <w:t xml:space="preserve">I </w:t>
      </w:r>
      <w:r>
        <w:rPr>
          <w:b/>
          <w:spacing w:val="-2"/>
        </w:rPr>
        <w:t>ş</w:t>
      </w:r>
      <w:r>
        <w:rPr>
          <w:b/>
        </w:rPr>
        <w:t>i</w:t>
      </w:r>
      <w:r>
        <w:rPr>
          <w:b/>
          <w:spacing w:val="1"/>
        </w:rPr>
        <w:t xml:space="preserve"> </w:t>
      </w:r>
      <w:r>
        <w:rPr>
          <w:b/>
          <w:spacing w:val="-1"/>
        </w:rPr>
        <w:t>U</w:t>
      </w:r>
      <w:r>
        <w:rPr>
          <w:b/>
        </w:rPr>
        <w:t>V</w:t>
      </w:r>
      <w:r>
        <w:rPr>
          <w:b/>
          <w:spacing w:val="-1"/>
        </w:rPr>
        <w:t xml:space="preserve"> </w:t>
      </w:r>
      <w:r>
        <w:rPr>
          <w:b/>
        </w:rPr>
        <w:t>II</w:t>
      </w:r>
    </w:p>
    <w:p w14:paraId="1C82AA61" w14:textId="77777777" w:rsidR="00C04CAD" w:rsidRDefault="00C04CAD">
      <w:pPr>
        <w:autoSpaceDE w:val="0"/>
        <w:autoSpaceDN w:val="0"/>
        <w:adjustRightInd w:val="0"/>
        <w:spacing w:line="240" w:lineRule="auto"/>
      </w:pPr>
    </w:p>
    <w:tbl>
      <w:tblPr>
        <w:tblW w:w="502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717"/>
        <w:gridCol w:w="1098"/>
        <w:gridCol w:w="1548"/>
        <w:gridCol w:w="759"/>
        <w:gridCol w:w="1160"/>
        <w:gridCol w:w="1360"/>
      </w:tblGrid>
      <w:tr w:rsidR="00C04CAD" w14:paraId="7AB82695" w14:textId="77777777">
        <w:trPr>
          <w:cantSplit/>
          <w:trHeight w:val="868"/>
          <w:tblHeader/>
        </w:trPr>
        <w:tc>
          <w:tcPr>
            <w:tcW w:w="1352" w:type="pct"/>
            <w:tcBorders>
              <w:bottom w:val="single" w:sz="4" w:space="0" w:color="auto"/>
            </w:tcBorders>
          </w:tcPr>
          <w:p w14:paraId="5BCF13B1" w14:textId="77777777" w:rsidR="00C04CAD" w:rsidRDefault="00060E34">
            <w:pPr>
              <w:tabs>
                <w:tab w:val="clear" w:pos="567"/>
              </w:tabs>
              <w:kinsoku w:val="0"/>
              <w:overflowPunct w:val="0"/>
              <w:autoSpaceDE w:val="0"/>
              <w:autoSpaceDN w:val="0"/>
              <w:adjustRightInd w:val="0"/>
              <w:spacing w:line="240" w:lineRule="auto"/>
              <w:rPr>
                <w:b/>
                <w:bCs/>
                <w:spacing w:val="-1"/>
              </w:rPr>
            </w:pPr>
            <w:r>
              <w:rPr>
                <w:b/>
                <w:bCs/>
                <w:spacing w:val="-1"/>
              </w:rPr>
              <w:t>Analiză</w:t>
            </w:r>
          </w:p>
          <w:p w14:paraId="32335FF1" w14:textId="77777777" w:rsidR="00C04CAD" w:rsidRDefault="00060E34">
            <w:pPr>
              <w:tabs>
                <w:tab w:val="clear" w:pos="567"/>
              </w:tabs>
              <w:kinsoku w:val="0"/>
              <w:overflowPunct w:val="0"/>
              <w:autoSpaceDE w:val="0"/>
              <w:autoSpaceDN w:val="0"/>
              <w:adjustRightInd w:val="0"/>
              <w:spacing w:line="240" w:lineRule="auto"/>
            </w:pPr>
            <w:r>
              <w:rPr>
                <w:rFonts w:eastAsia="MS Mincho"/>
                <w:b/>
                <w:bCs/>
                <w:spacing w:val="-1"/>
                <w:szCs w:val="24"/>
                <w:lang w:eastAsia="en-US" w:bidi="ar-SA"/>
              </w:rPr>
              <w:t>Tratament</w:t>
            </w:r>
          </w:p>
        </w:tc>
        <w:tc>
          <w:tcPr>
            <w:tcW w:w="394" w:type="pct"/>
            <w:tcBorders>
              <w:bottom w:val="single" w:sz="4" w:space="0" w:color="auto"/>
            </w:tcBorders>
          </w:tcPr>
          <w:p w14:paraId="77F476F1" w14:textId="77777777" w:rsidR="00C04CAD" w:rsidRDefault="00060E34">
            <w:pPr>
              <w:tabs>
                <w:tab w:val="clear" w:pos="567"/>
              </w:tabs>
              <w:kinsoku w:val="0"/>
              <w:overflowPunct w:val="0"/>
              <w:autoSpaceDE w:val="0"/>
              <w:autoSpaceDN w:val="0"/>
              <w:adjustRightInd w:val="0"/>
              <w:spacing w:line="240" w:lineRule="auto"/>
              <w:ind w:left="-9"/>
            </w:pPr>
            <w:r>
              <w:rPr>
                <w:b/>
                <w:bCs/>
                <w:spacing w:val="-1"/>
              </w:rPr>
              <w:t>N</w:t>
            </w:r>
          </w:p>
        </w:tc>
        <w:tc>
          <w:tcPr>
            <w:tcW w:w="603" w:type="pct"/>
            <w:tcBorders>
              <w:bottom w:val="single" w:sz="4" w:space="0" w:color="auto"/>
            </w:tcBorders>
          </w:tcPr>
          <w:p w14:paraId="7883E5F2" w14:textId="77777777" w:rsidR="00C04CAD" w:rsidRDefault="00060E34">
            <w:pPr>
              <w:tabs>
                <w:tab w:val="clear" w:pos="567"/>
              </w:tabs>
              <w:kinsoku w:val="0"/>
              <w:overflowPunct w:val="0"/>
              <w:autoSpaceDE w:val="0"/>
              <w:autoSpaceDN w:val="0"/>
              <w:adjustRightInd w:val="0"/>
              <w:spacing w:line="240" w:lineRule="auto"/>
              <w:ind w:left="125" w:hanging="566"/>
              <w:jc w:val="center"/>
              <w:rPr>
                <w:b/>
                <w:bCs/>
              </w:rPr>
            </w:pPr>
            <w:r>
              <w:rPr>
                <w:b/>
                <w:bCs/>
                <w:spacing w:val="-1"/>
              </w:rPr>
              <w:t>E</w:t>
            </w:r>
            <w:r>
              <w:rPr>
                <w:b/>
                <w:bCs/>
              </w:rPr>
              <w:t xml:space="preserve">şec </w:t>
            </w:r>
          </w:p>
          <w:p w14:paraId="7719726A" w14:textId="77777777" w:rsidR="00C04CAD" w:rsidRDefault="00060E34">
            <w:pPr>
              <w:tabs>
                <w:tab w:val="clear" w:pos="567"/>
              </w:tabs>
              <w:kinsoku w:val="0"/>
              <w:overflowPunct w:val="0"/>
              <w:autoSpaceDE w:val="0"/>
              <w:autoSpaceDN w:val="0"/>
              <w:adjustRightInd w:val="0"/>
              <w:spacing w:line="240" w:lineRule="auto"/>
              <w:ind w:left="125" w:hanging="425"/>
              <w:jc w:val="center"/>
            </w:pPr>
            <w:r>
              <w:rPr>
                <w:b/>
                <w:bCs/>
              </w:rPr>
              <w:t>N (%)</w:t>
            </w:r>
          </w:p>
        </w:tc>
        <w:tc>
          <w:tcPr>
            <w:tcW w:w="850" w:type="pct"/>
            <w:tcBorders>
              <w:bottom w:val="single" w:sz="4" w:space="0" w:color="auto"/>
            </w:tcBorders>
          </w:tcPr>
          <w:p w14:paraId="2647564E" w14:textId="77777777" w:rsidR="00C04CAD" w:rsidRDefault="00060E34">
            <w:pPr>
              <w:tabs>
                <w:tab w:val="clear" w:pos="567"/>
              </w:tabs>
              <w:kinsoku w:val="0"/>
              <w:overflowPunct w:val="0"/>
              <w:autoSpaceDE w:val="0"/>
              <w:autoSpaceDN w:val="0"/>
              <w:adjustRightInd w:val="0"/>
              <w:spacing w:line="240" w:lineRule="auto"/>
            </w:pPr>
            <w:r>
              <w:rPr>
                <w:b/>
                <w:bCs/>
                <w:spacing w:val="-1"/>
              </w:rPr>
              <w:t>T</w:t>
            </w:r>
            <w:r>
              <w:rPr>
                <w:b/>
                <w:bCs/>
                <w:spacing w:val="1"/>
              </w:rPr>
              <w:t>i</w:t>
            </w:r>
            <w:r>
              <w:rPr>
                <w:b/>
                <w:bCs/>
              </w:rPr>
              <w:t>mp</w:t>
            </w:r>
            <w:r>
              <w:rPr>
                <w:b/>
                <w:bCs/>
                <w:spacing w:val="-3"/>
              </w:rPr>
              <w:t xml:space="preserve"> </w:t>
            </w:r>
            <w:r>
              <w:rPr>
                <w:b/>
                <w:bCs/>
              </w:rPr>
              <w:t>me</w:t>
            </w:r>
            <w:r>
              <w:rPr>
                <w:b/>
                <w:bCs/>
                <w:spacing w:val="-3"/>
              </w:rPr>
              <w:t>d</w:t>
            </w:r>
            <w:r>
              <w:rPr>
                <w:b/>
                <w:bCs/>
                <w:spacing w:val="1"/>
              </w:rPr>
              <w:t>i</w:t>
            </w:r>
            <w:r>
              <w:rPr>
                <w:b/>
                <w:bCs/>
              </w:rPr>
              <w:t xml:space="preserve">u </w:t>
            </w:r>
            <w:r>
              <w:rPr>
                <w:b/>
                <w:bCs/>
                <w:spacing w:val="-1"/>
              </w:rPr>
              <w:t>p</w:t>
            </w:r>
            <w:r>
              <w:rPr>
                <w:b/>
                <w:bCs/>
              </w:rPr>
              <w:t>â</w:t>
            </w:r>
            <w:r>
              <w:rPr>
                <w:b/>
                <w:bCs/>
                <w:spacing w:val="-1"/>
              </w:rPr>
              <w:t>n</w:t>
            </w:r>
            <w:r>
              <w:rPr>
                <w:b/>
                <w:bCs/>
              </w:rPr>
              <w:t xml:space="preserve">ă </w:t>
            </w:r>
            <w:r>
              <w:rPr>
                <w:b/>
                <w:bCs/>
                <w:spacing w:val="1"/>
              </w:rPr>
              <w:t>l</w:t>
            </w:r>
            <w:r>
              <w:rPr>
                <w:b/>
                <w:bCs/>
              </w:rPr>
              <w:t>a</w:t>
            </w:r>
            <w:r>
              <w:rPr>
                <w:b/>
                <w:bCs/>
                <w:spacing w:val="-3"/>
              </w:rPr>
              <w:t xml:space="preserve"> </w:t>
            </w:r>
            <w:r>
              <w:rPr>
                <w:b/>
                <w:bCs/>
              </w:rPr>
              <w:t>eşec</w:t>
            </w:r>
          </w:p>
          <w:p w14:paraId="19C6A350" w14:textId="77777777" w:rsidR="00C04CAD" w:rsidRDefault="00060E34">
            <w:pPr>
              <w:tabs>
                <w:tab w:val="clear" w:pos="567"/>
              </w:tabs>
              <w:kinsoku w:val="0"/>
              <w:overflowPunct w:val="0"/>
              <w:autoSpaceDE w:val="0"/>
              <w:autoSpaceDN w:val="0"/>
              <w:adjustRightInd w:val="0"/>
              <w:spacing w:line="240" w:lineRule="auto"/>
            </w:pPr>
            <w:r>
              <w:rPr>
                <w:b/>
                <w:bCs/>
              </w:rPr>
              <w:t>(</w:t>
            </w:r>
            <w:r>
              <w:rPr>
                <w:b/>
                <w:bCs/>
                <w:spacing w:val="1"/>
              </w:rPr>
              <w:t>l</w:t>
            </w:r>
            <w:r>
              <w:rPr>
                <w:b/>
                <w:bCs/>
                <w:spacing w:val="-1"/>
              </w:rPr>
              <w:t>u</w:t>
            </w:r>
            <w:r>
              <w:rPr>
                <w:b/>
                <w:bCs/>
                <w:spacing w:val="-3"/>
              </w:rPr>
              <w:t>n</w:t>
            </w:r>
            <w:r>
              <w:rPr>
                <w:b/>
                <w:bCs/>
                <w:spacing w:val="1"/>
              </w:rPr>
              <w:t>i)</w:t>
            </w:r>
          </w:p>
        </w:tc>
        <w:tc>
          <w:tcPr>
            <w:tcW w:w="417" w:type="pct"/>
            <w:tcBorders>
              <w:bottom w:val="single" w:sz="4" w:space="0" w:color="auto"/>
            </w:tcBorders>
          </w:tcPr>
          <w:p w14:paraId="7473F7A5" w14:textId="77777777" w:rsidR="00C04CAD" w:rsidRDefault="00060E34">
            <w:pPr>
              <w:tabs>
                <w:tab w:val="clear" w:pos="567"/>
              </w:tabs>
              <w:kinsoku w:val="0"/>
              <w:overflowPunct w:val="0"/>
              <w:autoSpaceDE w:val="0"/>
              <w:autoSpaceDN w:val="0"/>
              <w:adjustRightInd w:val="0"/>
              <w:spacing w:line="240" w:lineRule="auto"/>
            </w:pPr>
            <w:r>
              <w:rPr>
                <w:b/>
                <w:bCs/>
                <w:spacing w:val="-1"/>
              </w:rPr>
              <w:t>S</w:t>
            </w:r>
            <w:r>
              <w:rPr>
                <w:b/>
                <w:bCs/>
                <w:spacing w:val="-3"/>
              </w:rPr>
              <w:t>R</w:t>
            </w:r>
            <w:r>
              <w:rPr>
                <w:b/>
                <w:bCs/>
                <w:spacing w:val="-3"/>
                <w:vertAlign w:val="superscript"/>
              </w:rPr>
              <w:t>a</w:t>
            </w:r>
          </w:p>
        </w:tc>
        <w:tc>
          <w:tcPr>
            <w:tcW w:w="637" w:type="pct"/>
            <w:tcBorders>
              <w:bottom w:val="single" w:sz="4" w:space="0" w:color="auto"/>
            </w:tcBorders>
          </w:tcPr>
          <w:p w14:paraId="1FF06F00" w14:textId="77777777" w:rsidR="00C04CAD" w:rsidRDefault="00060E34">
            <w:pPr>
              <w:tabs>
                <w:tab w:val="clear" w:pos="567"/>
              </w:tabs>
              <w:kinsoku w:val="0"/>
              <w:overflowPunct w:val="0"/>
              <w:autoSpaceDE w:val="0"/>
              <w:autoSpaceDN w:val="0"/>
              <w:adjustRightInd w:val="0"/>
              <w:spacing w:line="240" w:lineRule="auto"/>
              <w:rPr>
                <w:b/>
                <w:bCs/>
              </w:rPr>
            </w:pPr>
            <w:r>
              <w:rPr>
                <w:rFonts w:eastAsia="MS Mincho"/>
                <w:b/>
                <w:bCs/>
                <w:szCs w:val="24"/>
                <w:lang w:eastAsia="en-US" w:bidi="ar-SA"/>
              </w:rPr>
              <w:t>I</w:t>
            </w:r>
            <w:r>
              <w:rPr>
                <w:rFonts w:eastAsia="MS Mincho"/>
                <w:b/>
                <w:bCs/>
                <w:spacing w:val="1"/>
                <w:szCs w:val="24"/>
                <w:lang w:eastAsia="en-US" w:bidi="ar-SA"/>
              </w:rPr>
              <w:t>Î</w:t>
            </w:r>
            <w:r>
              <w:rPr>
                <w:b/>
                <w:bCs/>
                <w:spacing w:val="-1"/>
              </w:rPr>
              <w:t xml:space="preserve"> </w:t>
            </w:r>
            <w:r>
              <w:rPr>
                <w:b/>
                <w:bCs/>
              </w:rPr>
              <w:t>95%</w:t>
            </w:r>
            <w:r>
              <w:rPr>
                <w:b/>
                <w:bCs/>
                <w:spacing w:val="-1"/>
              </w:rPr>
              <w:t xml:space="preserve"> p</w:t>
            </w:r>
            <w:r>
              <w:rPr>
                <w:b/>
                <w:bCs/>
              </w:rPr>
              <w:t>e</w:t>
            </w:r>
            <w:r>
              <w:rPr>
                <w:b/>
                <w:bCs/>
                <w:spacing w:val="-1"/>
              </w:rPr>
              <w:t>n</w:t>
            </w:r>
            <w:r>
              <w:rPr>
                <w:b/>
                <w:bCs/>
              </w:rPr>
              <w:t xml:space="preserve">tru </w:t>
            </w:r>
          </w:p>
          <w:p w14:paraId="65DF28CA" w14:textId="77777777" w:rsidR="00C04CAD" w:rsidRDefault="00060E34">
            <w:pPr>
              <w:tabs>
                <w:tab w:val="clear" w:pos="567"/>
              </w:tabs>
              <w:kinsoku w:val="0"/>
              <w:overflowPunct w:val="0"/>
              <w:autoSpaceDE w:val="0"/>
              <w:autoSpaceDN w:val="0"/>
              <w:adjustRightInd w:val="0"/>
              <w:spacing w:line="240" w:lineRule="auto"/>
            </w:pPr>
            <w:r>
              <w:rPr>
                <w:b/>
                <w:bCs/>
                <w:spacing w:val="-1"/>
              </w:rPr>
              <w:t>SR</w:t>
            </w:r>
            <w:r>
              <w:rPr>
                <w:b/>
                <w:bCs/>
                <w:spacing w:val="-1"/>
                <w:vertAlign w:val="superscript"/>
              </w:rPr>
              <w:t>a</w:t>
            </w:r>
          </w:p>
        </w:tc>
        <w:tc>
          <w:tcPr>
            <w:tcW w:w="747" w:type="pct"/>
            <w:tcBorders>
              <w:bottom w:val="single" w:sz="4" w:space="0" w:color="auto"/>
            </w:tcBorders>
          </w:tcPr>
          <w:p w14:paraId="3D2CCCC3" w14:textId="77777777" w:rsidR="00C04CAD" w:rsidRDefault="00060E34">
            <w:pPr>
              <w:tabs>
                <w:tab w:val="clear" w:pos="567"/>
              </w:tabs>
              <w:kinsoku w:val="0"/>
              <w:overflowPunct w:val="0"/>
              <w:autoSpaceDE w:val="0"/>
              <w:autoSpaceDN w:val="0"/>
              <w:adjustRightInd w:val="0"/>
              <w:spacing w:line="240" w:lineRule="auto"/>
              <w:jc w:val="center"/>
            </w:pPr>
            <w:r>
              <w:rPr>
                <w:b/>
                <w:bCs/>
              </w:rPr>
              <w:t xml:space="preserve">Valoare </w:t>
            </w:r>
            <w:r>
              <w:rPr>
                <w:b/>
                <w:bCs/>
                <w:i/>
              </w:rPr>
              <w:t>p</w:t>
            </w:r>
            <w:r>
              <w:rPr>
                <w:b/>
                <w:bCs/>
                <w:vertAlign w:val="superscript"/>
              </w:rPr>
              <w:t>b</w:t>
            </w:r>
          </w:p>
        </w:tc>
      </w:tr>
      <w:tr w:rsidR="00C04CAD" w14:paraId="5F04FD73" w14:textId="77777777">
        <w:trPr>
          <w:trHeight w:val="282"/>
        </w:trPr>
        <w:tc>
          <w:tcPr>
            <w:tcW w:w="5000" w:type="pct"/>
            <w:gridSpan w:val="7"/>
            <w:tcBorders>
              <w:bottom w:val="nil"/>
            </w:tcBorders>
          </w:tcPr>
          <w:p w14:paraId="05AD28DB" w14:textId="77777777" w:rsidR="00C04CAD" w:rsidRDefault="00060E34">
            <w:pPr>
              <w:tabs>
                <w:tab w:val="clear" w:pos="567"/>
              </w:tabs>
              <w:kinsoku w:val="0"/>
              <w:overflowPunct w:val="0"/>
              <w:autoSpaceDE w:val="0"/>
              <w:autoSpaceDN w:val="0"/>
              <w:adjustRightInd w:val="0"/>
              <w:spacing w:line="240" w:lineRule="auto"/>
            </w:pPr>
            <w:r>
              <w:rPr>
                <w:b/>
                <w:bCs/>
                <w:spacing w:val="-1"/>
              </w:rPr>
              <w:t>T</w:t>
            </w:r>
            <w:r>
              <w:rPr>
                <w:b/>
                <w:bCs/>
                <w:spacing w:val="1"/>
              </w:rPr>
              <w:t>i</w:t>
            </w:r>
            <w:r>
              <w:rPr>
                <w:b/>
                <w:bCs/>
              </w:rPr>
              <w:t>m</w:t>
            </w:r>
            <w:r>
              <w:rPr>
                <w:b/>
                <w:bCs/>
                <w:spacing w:val="-1"/>
              </w:rPr>
              <w:t>p</w:t>
            </w:r>
            <w:r>
              <w:rPr>
                <w:b/>
                <w:bCs/>
                <w:spacing w:val="-3"/>
              </w:rPr>
              <w:t>u</w:t>
            </w:r>
            <w:r>
              <w:rPr>
                <w:b/>
                <w:bCs/>
              </w:rPr>
              <w:t>l</w:t>
            </w:r>
            <w:r>
              <w:rPr>
                <w:b/>
                <w:bCs/>
                <w:spacing w:val="1"/>
              </w:rPr>
              <w:t xml:space="preserve"> </w:t>
            </w:r>
            <w:r>
              <w:rPr>
                <w:b/>
                <w:bCs/>
                <w:spacing w:val="-1"/>
              </w:rPr>
              <w:t>p</w:t>
            </w:r>
            <w:r>
              <w:rPr>
                <w:b/>
                <w:bCs/>
              </w:rPr>
              <w:t>â</w:t>
            </w:r>
            <w:r>
              <w:rPr>
                <w:b/>
                <w:bCs/>
                <w:spacing w:val="-1"/>
              </w:rPr>
              <w:t>n</w:t>
            </w:r>
            <w:r>
              <w:rPr>
                <w:b/>
                <w:bCs/>
              </w:rPr>
              <w:t>ă</w:t>
            </w:r>
            <w:r>
              <w:rPr>
                <w:b/>
                <w:bCs/>
                <w:spacing w:val="-3"/>
              </w:rPr>
              <w:t xml:space="preserve"> </w:t>
            </w:r>
            <w:r>
              <w:rPr>
                <w:b/>
                <w:bCs/>
                <w:spacing w:val="1"/>
              </w:rPr>
              <w:t>l</w:t>
            </w:r>
            <w:r>
              <w:rPr>
                <w:b/>
                <w:bCs/>
              </w:rPr>
              <w:t>a a</w:t>
            </w:r>
            <w:r>
              <w:rPr>
                <w:b/>
                <w:bCs/>
                <w:spacing w:val="-1"/>
              </w:rPr>
              <w:t>p</w:t>
            </w:r>
            <w:r>
              <w:rPr>
                <w:b/>
                <w:bCs/>
                <w:spacing w:val="-3"/>
              </w:rPr>
              <w:t>a</w:t>
            </w:r>
            <w:r>
              <w:rPr>
                <w:b/>
                <w:bCs/>
              </w:rPr>
              <w:t>r</w:t>
            </w:r>
            <w:r>
              <w:rPr>
                <w:b/>
                <w:bCs/>
                <w:spacing w:val="-2"/>
              </w:rPr>
              <w:t>i</w:t>
            </w:r>
            <w:r>
              <w:rPr>
                <w:b/>
                <w:bCs/>
              </w:rPr>
              <w:t>ţ</w:t>
            </w:r>
            <w:r>
              <w:rPr>
                <w:b/>
                <w:bCs/>
                <w:spacing w:val="1"/>
              </w:rPr>
              <w:t>i</w:t>
            </w:r>
            <w:r>
              <w:rPr>
                <w:b/>
                <w:bCs/>
              </w:rPr>
              <w:t>a</w:t>
            </w:r>
            <w:r>
              <w:rPr>
                <w:b/>
                <w:bCs/>
                <w:spacing w:val="-3"/>
              </w:rPr>
              <w:t xml:space="preserve"> e</w:t>
            </w:r>
            <w:r>
              <w:rPr>
                <w:b/>
                <w:bCs/>
              </w:rPr>
              <w:t>şec</w:t>
            </w:r>
            <w:r>
              <w:rPr>
                <w:b/>
                <w:bCs/>
                <w:spacing w:val="-1"/>
              </w:rPr>
              <w:t>u</w:t>
            </w:r>
            <w:r>
              <w:rPr>
                <w:b/>
                <w:bCs/>
                <w:spacing w:val="-2"/>
              </w:rPr>
              <w:t>l</w:t>
            </w:r>
            <w:r>
              <w:rPr>
                <w:b/>
                <w:bCs/>
                <w:spacing w:val="-1"/>
              </w:rPr>
              <w:t>u</w:t>
            </w:r>
            <w:r>
              <w:rPr>
                <w:b/>
                <w:bCs/>
              </w:rPr>
              <w:t>i</w:t>
            </w:r>
            <w:r>
              <w:rPr>
                <w:b/>
                <w:bCs/>
                <w:spacing w:val="-2"/>
              </w:rPr>
              <w:t xml:space="preserve"> </w:t>
            </w:r>
            <w:r>
              <w:rPr>
                <w:b/>
                <w:bCs/>
                <w:spacing w:val="1"/>
              </w:rPr>
              <w:t>l</w:t>
            </w:r>
            <w:r>
              <w:rPr>
                <w:b/>
                <w:bCs/>
              </w:rPr>
              <w:t xml:space="preserve">a </w:t>
            </w:r>
            <w:r>
              <w:rPr>
                <w:b/>
                <w:bCs/>
                <w:spacing w:val="-2"/>
              </w:rPr>
              <w:t>t</w:t>
            </w:r>
            <w:r>
              <w:rPr>
                <w:b/>
                <w:bCs/>
              </w:rPr>
              <w:t>rat</w:t>
            </w:r>
            <w:r>
              <w:rPr>
                <w:b/>
                <w:bCs/>
                <w:spacing w:val="-3"/>
              </w:rPr>
              <w:t>a</w:t>
            </w:r>
            <w:r>
              <w:rPr>
                <w:b/>
                <w:bCs/>
              </w:rPr>
              <w:t>me</w:t>
            </w:r>
            <w:r>
              <w:rPr>
                <w:b/>
                <w:bCs/>
                <w:spacing w:val="-3"/>
              </w:rPr>
              <w:t>n</w:t>
            </w:r>
            <w:r>
              <w:rPr>
                <w:b/>
                <w:bCs/>
              </w:rPr>
              <w:t>t</w:t>
            </w:r>
            <w:r>
              <w:rPr>
                <w:b/>
                <w:bCs/>
                <w:spacing w:val="-2"/>
              </w:rPr>
              <w:t xml:space="preserve"> </w:t>
            </w:r>
            <w:r>
              <w:rPr>
                <w:b/>
                <w:bCs/>
                <w:spacing w:val="1"/>
              </w:rPr>
              <w:t>î</w:t>
            </w:r>
            <w:r>
              <w:rPr>
                <w:b/>
                <w:bCs/>
              </w:rPr>
              <w:t>n</w:t>
            </w:r>
            <w:r>
              <w:rPr>
                <w:b/>
                <w:bCs/>
                <w:spacing w:val="-1"/>
              </w:rPr>
              <w:t xml:space="preserve"> </w:t>
            </w:r>
            <w:r>
              <w:rPr>
                <w:b/>
                <w:bCs/>
              </w:rPr>
              <w:t>s</w:t>
            </w:r>
            <w:r>
              <w:rPr>
                <w:b/>
                <w:bCs/>
                <w:spacing w:val="-3"/>
              </w:rPr>
              <w:t>ă</w:t>
            </w:r>
            <w:r>
              <w:rPr>
                <w:b/>
                <w:bCs/>
                <w:spacing w:val="-1"/>
              </w:rPr>
              <w:t>p</w:t>
            </w:r>
            <w:r>
              <w:rPr>
                <w:b/>
                <w:bCs/>
              </w:rPr>
              <w:t>tămâ</w:t>
            </w:r>
            <w:r>
              <w:rPr>
                <w:b/>
                <w:bCs/>
                <w:spacing w:val="-3"/>
              </w:rPr>
              <w:t>n</w:t>
            </w:r>
            <w:r>
              <w:rPr>
                <w:b/>
                <w:bCs/>
              </w:rPr>
              <w:t>a 6 sau</w:t>
            </w:r>
            <w:r>
              <w:rPr>
                <w:b/>
                <w:bCs/>
                <w:spacing w:val="-3"/>
              </w:rPr>
              <w:t xml:space="preserve"> </w:t>
            </w:r>
            <w:r>
              <w:rPr>
                <w:b/>
                <w:bCs/>
                <w:spacing w:val="-1"/>
              </w:rPr>
              <w:t>dup</w:t>
            </w:r>
            <w:r>
              <w:rPr>
                <w:b/>
                <w:bCs/>
              </w:rPr>
              <w:t xml:space="preserve">ă, </w:t>
            </w:r>
            <w:r>
              <w:rPr>
                <w:b/>
                <w:bCs/>
                <w:spacing w:val="1"/>
              </w:rPr>
              <w:t>î</w:t>
            </w:r>
            <w:r>
              <w:rPr>
                <w:b/>
                <w:bCs/>
              </w:rPr>
              <w:t>n</w:t>
            </w:r>
            <w:r>
              <w:rPr>
                <w:b/>
                <w:bCs/>
                <w:spacing w:val="-3"/>
              </w:rPr>
              <w:t xml:space="preserve"> </w:t>
            </w:r>
            <w:r>
              <w:rPr>
                <w:b/>
                <w:bCs/>
                <w:spacing w:val="-1"/>
              </w:rPr>
              <w:t>S</w:t>
            </w:r>
            <w:r>
              <w:rPr>
                <w:b/>
                <w:bCs/>
                <w:spacing w:val="-2"/>
              </w:rPr>
              <w:t>t</w:t>
            </w:r>
            <w:r>
              <w:rPr>
                <w:b/>
                <w:bCs/>
                <w:spacing w:val="-1"/>
              </w:rPr>
              <w:t>ud</w:t>
            </w:r>
            <w:r>
              <w:rPr>
                <w:b/>
                <w:bCs/>
                <w:spacing w:val="1"/>
              </w:rPr>
              <w:t>i</w:t>
            </w:r>
            <w:r>
              <w:rPr>
                <w:b/>
                <w:bCs/>
                <w:spacing w:val="-1"/>
              </w:rPr>
              <w:t>u</w:t>
            </w:r>
            <w:r>
              <w:rPr>
                <w:b/>
                <w:bCs/>
              </w:rPr>
              <w:t>l</w:t>
            </w:r>
            <w:r>
              <w:rPr>
                <w:b/>
                <w:bCs/>
                <w:spacing w:val="1"/>
              </w:rPr>
              <w:t xml:space="preserve"> </w:t>
            </w:r>
            <w:r>
              <w:rPr>
                <w:b/>
                <w:bCs/>
                <w:spacing w:val="-2"/>
              </w:rPr>
              <w:t>U</w:t>
            </w:r>
            <w:r>
              <w:rPr>
                <w:b/>
                <w:bCs/>
              </w:rPr>
              <w:t>V I</w:t>
            </w:r>
          </w:p>
        </w:tc>
      </w:tr>
      <w:tr w:rsidR="00C04CAD" w14:paraId="47DFE72F" w14:textId="77777777">
        <w:trPr>
          <w:trHeight w:val="238"/>
        </w:trPr>
        <w:tc>
          <w:tcPr>
            <w:tcW w:w="1352" w:type="pct"/>
            <w:tcBorders>
              <w:top w:val="nil"/>
              <w:right w:val="nil"/>
            </w:tcBorders>
          </w:tcPr>
          <w:p w14:paraId="5D7BFED7" w14:textId="77777777" w:rsidR="00C04CAD" w:rsidRDefault="00060E34">
            <w:pPr>
              <w:tabs>
                <w:tab w:val="clear" w:pos="567"/>
              </w:tabs>
              <w:kinsoku w:val="0"/>
              <w:overflowPunct w:val="0"/>
              <w:autoSpaceDE w:val="0"/>
              <w:autoSpaceDN w:val="0"/>
              <w:adjustRightInd w:val="0"/>
              <w:spacing w:line="240" w:lineRule="auto"/>
            </w:pPr>
            <w:r>
              <w:rPr>
                <w:spacing w:val="-1"/>
              </w:rPr>
              <w:t>A</w:t>
            </w:r>
            <w:r>
              <w:t>na</w:t>
            </w:r>
            <w:r>
              <w:rPr>
                <w:spacing w:val="1"/>
              </w:rPr>
              <w:t>li</w:t>
            </w:r>
            <w:r>
              <w:rPr>
                <w:spacing w:val="-3"/>
              </w:rPr>
              <w:t>z</w:t>
            </w:r>
            <w:r>
              <w:t xml:space="preserve">ă </w:t>
            </w:r>
            <w:r>
              <w:rPr>
                <w:spacing w:val="-3"/>
              </w:rPr>
              <w:t>p</w:t>
            </w:r>
            <w:r>
              <w:t>r</w:t>
            </w:r>
            <w:r>
              <w:rPr>
                <w:spacing w:val="1"/>
              </w:rPr>
              <w:t>i</w:t>
            </w:r>
            <w:r>
              <w:rPr>
                <w:spacing w:val="-4"/>
              </w:rPr>
              <w:t>m</w:t>
            </w:r>
            <w:r>
              <w:t>ară</w:t>
            </w:r>
            <w:r>
              <w:rPr>
                <w:spacing w:val="-2"/>
              </w:rPr>
              <w:t xml:space="preserve"> </w:t>
            </w:r>
            <w:r>
              <w:t>(</w:t>
            </w:r>
            <w:r>
              <w:rPr>
                <w:spacing w:val="-4"/>
              </w:rPr>
              <w:t>I</w:t>
            </w:r>
            <w:r>
              <w:rPr>
                <w:spacing w:val="1"/>
              </w:rPr>
              <w:t>TT</w:t>
            </w:r>
            <w:r>
              <w:t>)</w:t>
            </w:r>
          </w:p>
        </w:tc>
        <w:tc>
          <w:tcPr>
            <w:tcW w:w="394" w:type="pct"/>
            <w:tcBorders>
              <w:top w:val="nil"/>
              <w:left w:val="nil"/>
              <w:right w:val="nil"/>
            </w:tcBorders>
          </w:tcPr>
          <w:p w14:paraId="78EC64AE" w14:textId="77777777" w:rsidR="00C04CAD" w:rsidRDefault="00C04CAD">
            <w:pPr>
              <w:tabs>
                <w:tab w:val="clear" w:pos="567"/>
              </w:tabs>
              <w:kinsoku w:val="0"/>
              <w:overflowPunct w:val="0"/>
              <w:autoSpaceDE w:val="0"/>
              <w:autoSpaceDN w:val="0"/>
              <w:adjustRightInd w:val="0"/>
              <w:spacing w:line="240" w:lineRule="auto"/>
            </w:pPr>
          </w:p>
        </w:tc>
        <w:tc>
          <w:tcPr>
            <w:tcW w:w="603" w:type="pct"/>
            <w:tcBorders>
              <w:top w:val="nil"/>
              <w:left w:val="nil"/>
              <w:right w:val="nil"/>
            </w:tcBorders>
          </w:tcPr>
          <w:p w14:paraId="1FDF5A9A" w14:textId="77777777" w:rsidR="00C04CAD" w:rsidRDefault="00C04CAD">
            <w:pPr>
              <w:tabs>
                <w:tab w:val="clear" w:pos="567"/>
              </w:tabs>
              <w:kinsoku w:val="0"/>
              <w:overflowPunct w:val="0"/>
              <w:autoSpaceDE w:val="0"/>
              <w:autoSpaceDN w:val="0"/>
              <w:adjustRightInd w:val="0"/>
              <w:spacing w:line="240" w:lineRule="auto"/>
            </w:pPr>
          </w:p>
        </w:tc>
        <w:tc>
          <w:tcPr>
            <w:tcW w:w="850" w:type="pct"/>
            <w:tcBorders>
              <w:top w:val="nil"/>
              <w:left w:val="nil"/>
              <w:right w:val="nil"/>
            </w:tcBorders>
          </w:tcPr>
          <w:p w14:paraId="56A3954B" w14:textId="77777777" w:rsidR="00C04CAD" w:rsidRDefault="00C04CAD">
            <w:pPr>
              <w:tabs>
                <w:tab w:val="clear" w:pos="567"/>
              </w:tabs>
              <w:kinsoku w:val="0"/>
              <w:overflowPunct w:val="0"/>
              <w:autoSpaceDE w:val="0"/>
              <w:autoSpaceDN w:val="0"/>
              <w:adjustRightInd w:val="0"/>
              <w:spacing w:line="240" w:lineRule="auto"/>
            </w:pPr>
          </w:p>
        </w:tc>
        <w:tc>
          <w:tcPr>
            <w:tcW w:w="417" w:type="pct"/>
            <w:tcBorders>
              <w:top w:val="nil"/>
              <w:left w:val="nil"/>
              <w:right w:val="nil"/>
            </w:tcBorders>
          </w:tcPr>
          <w:p w14:paraId="5CA345CC" w14:textId="77777777" w:rsidR="00C04CAD" w:rsidRDefault="00C04CAD">
            <w:pPr>
              <w:tabs>
                <w:tab w:val="clear" w:pos="567"/>
              </w:tabs>
              <w:kinsoku w:val="0"/>
              <w:overflowPunct w:val="0"/>
              <w:autoSpaceDE w:val="0"/>
              <w:autoSpaceDN w:val="0"/>
              <w:adjustRightInd w:val="0"/>
              <w:spacing w:line="240" w:lineRule="auto"/>
            </w:pPr>
          </w:p>
        </w:tc>
        <w:tc>
          <w:tcPr>
            <w:tcW w:w="637" w:type="pct"/>
            <w:tcBorders>
              <w:top w:val="nil"/>
              <w:left w:val="nil"/>
              <w:right w:val="nil"/>
            </w:tcBorders>
          </w:tcPr>
          <w:p w14:paraId="7EB97DFE" w14:textId="77777777" w:rsidR="00C04CAD" w:rsidRDefault="00C04CAD">
            <w:pPr>
              <w:tabs>
                <w:tab w:val="clear" w:pos="567"/>
              </w:tabs>
              <w:kinsoku w:val="0"/>
              <w:overflowPunct w:val="0"/>
              <w:autoSpaceDE w:val="0"/>
              <w:autoSpaceDN w:val="0"/>
              <w:adjustRightInd w:val="0"/>
              <w:spacing w:line="240" w:lineRule="auto"/>
            </w:pPr>
          </w:p>
        </w:tc>
        <w:tc>
          <w:tcPr>
            <w:tcW w:w="747" w:type="pct"/>
            <w:tcBorders>
              <w:top w:val="nil"/>
              <w:left w:val="nil"/>
            </w:tcBorders>
          </w:tcPr>
          <w:p w14:paraId="2D238624" w14:textId="77777777" w:rsidR="00C04CAD" w:rsidRDefault="00C04CAD">
            <w:pPr>
              <w:tabs>
                <w:tab w:val="clear" w:pos="567"/>
              </w:tabs>
              <w:kinsoku w:val="0"/>
              <w:overflowPunct w:val="0"/>
              <w:autoSpaceDE w:val="0"/>
              <w:autoSpaceDN w:val="0"/>
              <w:adjustRightInd w:val="0"/>
              <w:spacing w:line="240" w:lineRule="auto"/>
            </w:pPr>
          </w:p>
          <w:p w14:paraId="46DDD923" w14:textId="77777777" w:rsidR="00C04CAD" w:rsidRDefault="00C04CAD">
            <w:pPr>
              <w:tabs>
                <w:tab w:val="clear" w:pos="567"/>
              </w:tabs>
              <w:kinsoku w:val="0"/>
              <w:overflowPunct w:val="0"/>
              <w:autoSpaceDE w:val="0"/>
              <w:autoSpaceDN w:val="0"/>
              <w:adjustRightInd w:val="0"/>
              <w:spacing w:line="240" w:lineRule="auto"/>
            </w:pPr>
          </w:p>
        </w:tc>
      </w:tr>
      <w:tr w:rsidR="00C04CAD" w14:paraId="27025911" w14:textId="77777777">
        <w:trPr>
          <w:trHeight w:val="293"/>
        </w:trPr>
        <w:tc>
          <w:tcPr>
            <w:tcW w:w="1352" w:type="pct"/>
          </w:tcPr>
          <w:p w14:paraId="73B4DD3F" w14:textId="77777777" w:rsidR="00C04CAD" w:rsidRDefault="00060E34">
            <w:pPr>
              <w:tabs>
                <w:tab w:val="clear" w:pos="567"/>
              </w:tabs>
              <w:kinsoku w:val="0"/>
              <w:overflowPunct w:val="0"/>
              <w:autoSpaceDE w:val="0"/>
              <w:autoSpaceDN w:val="0"/>
              <w:adjustRightInd w:val="0"/>
              <w:spacing w:line="240" w:lineRule="auto"/>
              <w:ind w:right="278"/>
            </w:pPr>
            <w:r>
              <w:t>Placebo</w:t>
            </w:r>
          </w:p>
        </w:tc>
        <w:tc>
          <w:tcPr>
            <w:tcW w:w="394" w:type="pct"/>
          </w:tcPr>
          <w:p w14:paraId="7C98BEA8" w14:textId="77777777" w:rsidR="00C04CAD" w:rsidRDefault="00060E34">
            <w:pPr>
              <w:tabs>
                <w:tab w:val="clear" w:pos="567"/>
              </w:tabs>
              <w:kinsoku w:val="0"/>
              <w:overflowPunct w:val="0"/>
              <w:autoSpaceDE w:val="0"/>
              <w:autoSpaceDN w:val="0"/>
              <w:adjustRightInd w:val="0"/>
              <w:spacing w:line="240" w:lineRule="auto"/>
              <w:jc w:val="center"/>
            </w:pPr>
            <w:r>
              <w:t>107</w:t>
            </w:r>
          </w:p>
        </w:tc>
        <w:tc>
          <w:tcPr>
            <w:tcW w:w="603" w:type="pct"/>
          </w:tcPr>
          <w:p w14:paraId="0AD72E24" w14:textId="77777777" w:rsidR="00C04CAD" w:rsidRDefault="00060E34">
            <w:pPr>
              <w:tabs>
                <w:tab w:val="clear" w:pos="567"/>
              </w:tabs>
              <w:kinsoku w:val="0"/>
              <w:overflowPunct w:val="0"/>
              <w:autoSpaceDE w:val="0"/>
              <w:autoSpaceDN w:val="0"/>
              <w:adjustRightInd w:val="0"/>
              <w:spacing w:line="240" w:lineRule="auto"/>
              <w:jc w:val="center"/>
            </w:pPr>
            <w:r>
              <w:t>84 (78,5)</w:t>
            </w:r>
          </w:p>
        </w:tc>
        <w:tc>
          <w:tcPr>
            <w:tcW w:w="850" w:type="pct"/>
          </w:tcPr>
          <w:p w14:paraId="7C11DF56" w14:textId="77777777" w:rsidR="00C04CAD" w:rsidRDefault="00060E34">
            <w:pPr>
              <w:tabs>
                <w:tab w:val="clear" w:pos="567"/>
              </w:tabs>
              <w:kinsoku w:val="0"/>
              <w:overflowPunct w:val="0"/>
              <w:autoSpaceDE w:val="0"/>
              <w:autoSpaceDN w:val="0"/>
              <w:adjustRightInd w:val="0"/>
              <w:spacing w:line="240" w:lineRule="auto"/>
              <w:jc w:val="center"/>
            </w:pPr>
            <w:r>
              <w:t>3,0</w:t>
            </w:r>
          </w:p>
        </w:tc>
        <w:tc>
          <w:tcPr>
            <w:tcW w:w="417" w:type="pct"/>
          </w:tcPr>
          <w:p w14:paraId="54B1D24A" w14:textId="77777777" w:rsidR="00C04CAD" w:rsidRDefault="00060E34">
            <w:pPr>
              <w:tabs>
                <w:tab w:val="clear" w:pos="567"/>
              </w:tabs>
              <w:kinsoku w:val="0"/>
              <w:overflowPunct w:val="0"/>
              <w:autoSpaceDE w:val="0"/>
              <w:autoSpaceDN w:val="0"/>
              <w:adjustRightInd w:val="0"/>
              <w:spacing w:line="240" w:lineRule="auto"/>
              <w:jc w:val="center"/>
            </w:pPr>
            <w:r>
              <w:t>--</w:t>
            </w:r>
          </w:p>
        </w:tc>
        <w:tc>
          <w:tcPr>
            <w:tcW w:w="637" w:type="pct"/>
          </w:tcPr>
          <w:p w14:paraId="44DD3806" w14:textId="77777777" w:rsidR="00C04CAD" w:rsidRDefault="00060E34">
            <w:pPr>
              <w:tabs>
                <w:tab w:val="clear" w:pos="567"/>
              </w:tabs>
              <w:kinsoku w:val="0"/>
              <w:overflowPunct w:val="0"/>
              <w:autoSpaceDE w:val="0"/>
              <w:autoSpaceDN w:val="0"/>
              <w:adjustRightInd w:val="0"/>
              <w:spacing w:line="240" w:lineRule="auto"/>
              <w:jc w:val="center"/>
            </w:pPr>
            <w:r>
              <w:t>--</w:t>
            </w:r>
          </w:p>
        </w:tc>
        <w:tc>
          <w:tcPr>
            <w:tcW w:w="747" w:type="pct"/>
          </w:tcPr>
          <w:p w14:paraId="75BB2188" w14:textId="77777777" w:rsidR="00C04CAD" w:rsidRDefault="00060E34">
            <w:pPr>
              <w:tabs>
                <w:tab w:val="clear" w:pos="567"/>
              </w:tabs>
              <w:kinsoku w:val="0"/>
              <w:overflowPunct w:val="0"/>
              <w:autoSpaceDE w:val="0"/>
              <w:autoSpaceDN w:val="0"/>
              <w:adjustRightInd w:val="0"/>
              <w:spacing w:line="240" w:lineRule="auto"/>
              <w:ind w:left="251"/>
              <w:jc w:val="center"/>
            </w:pPr>
            <w:r>
              <w:t>--</w:t>
            </w:r>
          </w:p>
        </w:tc>
      </w:tr>
      <w:tr w:rsidR="00C04CAD" w14:paraId="056DFBCB" w14:textId="77777777">
        <w:trPr>
          <w:trHeight w:val="282"/>
        </w:trPr>
        <w:tc>
          <w:tcPr>
            <w:tcW w:w="1352" w:type="pct"/>
            <w:tcBorders>
              <w:bottom w:val="single" w:sz="4" w:space="0" w:color="auto"/>
            </w:tcBorders>
          </w:tcPr>
          <w:p w14:paraId="201FA1FE" w14:textId="77777777" w:rsidR="00C04CAD" w:rsidRDefault="00060E34">
            <w:pPr>
              <w:tabs>
                <w:tab w:val="clear" w:pos="567"/>
              </w:tabs>
              <w:kinsoku w:val="0"/>
              <w:overflowPunct w:val="0"/>
              <w:autoSpaceDE w:val="0"/>
              <w:autoSpaceDN w:val="0"/>
              <w:adjustRightInd w:val="0"/>
              <w:spacing w:line="240" w:lineRule="auto"/>
              <w:ind w:right="278"/>
            </w:pPr>
            <w:r>
              <w:t>Adalimumab</w:t>
            </w:r>
          </w:p>
        </w:tc>
        <w:tc>
          <w:tcPr>
            <w:tcW w:w="394" w:type="pct"/>
            <w:tcBorders>
              <w:bottom w:val="single" w:sz="4" w:space="0" w:color="auto"/>
            </w:tcBorders>
          </w:tcPr>
          <w:p w14:paraId="78964551" w14:textId="77777777" w:rsidR="00C04CAD" w:rsidRDefault="00060E34">
            <w:pPr>
              <w:tabs>
                <w:tab w:val="clear" w:pos="567"/>
              </w:tabs>
              <w:kinsoku w:val="0"/>
              <w:overflowPunct w:val="0"/>
              <w:autoSpaceDE w:val="0"/>
              <w:autoSpaceDN w:val="0"/>
              <w:adjustRightInd w:val="0"/>
              <w:spacing w:line="240" w:lineRule="auto"/>
              <w:jc w:val="center"/>
            </w:pPr>
            <w:r>
              <w:t>110</w:t>
            </w:r>
          </w:p>
        </w:tc>
        <w:tc>
          <w:tcPr>
            <w:tcW w:w="603" w:type="pct"/>
            <w:tcBorders>
              <w:bottom w:val="single" w:sz="4" w:space="0" w:color="auto"/>
            </w:tcBorders>
          </w:tcPr>
          <w:p w14:paraId="37EE2F89" w14:textId="77777777" w:rsidR="00C04CAD" w:rsidRDefault="00060E34">
            <w:pPr>
              <w:tabs>
                <w:tab w:val="clear" w:pos="567"/>
              </w:tabs>
              <w:kinsoku w:val="0"/>
              <w:overflowPunct w:val="0"/>
              <w:autoSpaceDE w:val="0"/>
              <w:autoSpaceDN w:val="0"/>
              <w:adjustRightInd w:val="0"/>
              <w:spacing w:line="240" w:lineRule="auto"/>
              <w:jc w:val="center"/>
            </w:pPr>
            <w:r>
              <w:t>60 (54,5)</w:t>
            </w:r>
          </w:p>
        </w:tc>
        <w:tc>
          <w:tcPr>
            <w:tcW w:w="850" w:type="pct"/>
            <w:tcBorders>
              <w:bottom w:val="single" w:sz="4" w:space="0" w:color="auto"/>
            </w:tcBorders>
          </w:tcPr>
          <w:p w14:paraId="47A25F07" w14:textId="77777777" w:rsidR="00C04CAD" w:rsidRDefault="00060E34">
            <w:pPr>
              <w:tabs>
                <w:tab w:val="clear" w:pos="567"/>
              </w:tabs>
              <w:kinsoku w:val="0"/>
              <w:overflowPunct w:val="0"/>
              <w:autoSpaceDE w:val="0"/>
              <w:autoSpaceDN w:val="0"/>
              <w:adjustRightInd w:val="0"/>
              <w:spacing w:line="240" w:lineRule="auto"/>
              <w:jc w:val="center"/>
            </w:pPr>
            <w:r>
              <w:t>5,6</w:t>
            </w:r>
          </w:p>
        </w:tc>
        <w:tc>
          <w:tcPr>
            <w:tcW w:w="417" w:type="pct"/>
            <w:tcBorders>
              <w:bottom w:val="single" w:sz="4" w:space="0" w:color="auto"/>
            </w:tcBorders>
          </w:tcPr>
          <w:p w14:paraId="3B247B97" w14:textId="77777777" w:rsidR="00C04CAD" w:rsidRDefault="00060E34">
            <w:pPr>
              <w:tabs>
                <w:tab w:val="clear" w:pos="567"/>
              </w:tabs>
              <w:kinsoku w:val="0"/>
              <w:overflowPunct w:val="0"/>
              <w:autoSpaceDE w:val="0"/>
              <w:autoSpaceDN w:val="0"/>
              <w:adjustRightInd w:val="0"/>
              <w:spacing w:line="240" w:lineRule="auto"/>
              <w:jc w:val="center"/>
            </w:pPr>
            <w:r>
              <w:t>0,50</w:t>
            </w:r>
          </w:p>
        </w:tc>
        <w:tc>
          <w:tcPr>
            <w:tcW w:w="637" w:type="pct"/>
            <w:tcBorders>
              <w:bottom w:val="single" w:sz="4" w:space="0" w:color="auto"/>
            </w:tcBorders>
          </w:tcPr>
          <w:p w14:paraId="01A626DA" w14:textId="77777777" w:rsidR="00C04CAD" w:rsidRDefault="00060E34">
            <w:pPr>
              <w:tabs>
                <w:tab w:val="clear" w:pos="567"/>
              </w:tabs>
              <w:kinsoku w:val="0"/>
              <w:overflowPunct w:val="0"/>
              <w:autoSpaceDE w:val="0"/>
              <w:autoSpaceDN w:val="0"/>
              <w:adjustRightInd w:val="0"/>
              <w:spacing w:line="240" w:lineRule="auto"/>
              <w:ind w:right="-142"/>
              <w:jc w:val="center"/>
            </w:pPr>
            <w:r>
              <w:t>0,36- 0,70</w:t>
            </w:r>
          </w:p>
        </w:tc>
        <w:tc>
          <w:tcPr>
            <w:tcW w:w="747" w:type="pct"/>
            <w:tcBorders>
              <w:bottom w:val="single" w:sz="4" w:space="0" w:color="auto"/>
            </w:tcBorders>
          </w:tcPr>
          <w:p w14:paraId="5E2D2840" w14:textId="77777777" w:rsidR="00C04CAD" w:rsidRDefault="00060E34">
            <w:pPr>
              <w:tabs>
                <w:tab w:val="clear" w:pos="567"/>
              </w:tabs>
              <w:kinsoku w:val="0"/>
              <w:overflowPunct w:val="0"/>
              <w:autoSpaceDE w:val="0"/>
              <w:autoSpaceDN w:val="0"/>
              <w:adjustRightInd w:val="0"/>
              <w:spacing w:line="240" w:lineRule="auto"/>
              <w:ind w:left="109"/>
              <w:jc w:val="center"/>
            </w:pPr>
            <w:r>
              <w:t>&lt; 0,001</w:t>
            </w:r>
          </w:p>
        </w:tc>
      </w:tr>
      <w:tr w:rsidR="00C04CAD" w14:paraId="18DACB36" w14:textId="77777777">
        <w:trPr>
          <w:trHeight w:val="262"/>
        </w:trPr>
        <w:tc>
          <w:tcPr>
            <w:tcW w:w="5000" w:type="pct"/>
            <w:gridSpan w:val="7"/>
            <w:tcBorders>
              <w:bottom w:val="nil"/>
            </w:tcBorders>
          </w:tcPr>
          <w:p w14:paraId="67613FD5" w14:textId="77777777" w:rsidR="00C04CAD" w:rsidRDefault="00060E34">
            <w:pPr>
              <w:keepNext/>
              <w:tabs>
                <w:tab w:val="clear" w:pos="567"/>
              </w:tabs>
              <w:kinsoku w:val="0"/>
              <w:overflowPunct w:val="0"/>
              <w:autoSpaceDE w:val="0"/>
              <w:autoSpaceDN w:val="0"/>
              <w:adjustRightInd w:val="0"/>
              <w:spacing w:line="240" w:lineRule="auto"/>
              <w:rPr>
                <w:b/>
              </w:rPr>
            </w:pPr>
            <w:r>
              <w:rPr>
                <w:b/>
                <w:spacing w:val="-1"/>
              </w:rPr>
              <w:t>T</w:t>
            </w:r>
            <w:r>
              <w:rPr>
                <w:b/>
                <w:spacing w:val="1"/>
              </w:rPr>
              <w:t>i</w:t>
            </w:r>
            <w:r>
              <w:rPr>
                <w:b/>
              </w:rPr>
              <w:t>m</w:t>
            </w:r>
            <w:r>
              <w:rPr>
                <w:b/>
                <w:spacing w:val="-1"/>
              </w:rPr>
              <w:t>p</w:t>
            </w:r>
            <w:r>
              <w:rPr>
                <w:b/>
                <w:spacing w:val="-3"/>
              </w:rPr>
              <w:t>u</w:t>
            </w:r>
            <w:r>
              <w:rPr>
                <w:b/>
              </w:rPr>
              <w:t>l</w:t>
            </w:r>
            <w:r>
              <w:rPr>
                <w:b/>
                <w:spacing w:val="1"/>
              </w:rPr>
              <w:t xml:space="preserve"> </w:t>
            </w:r>
            <w:r>
              <w:rPr>
                <w:b/>
                <w:spacing w:val="-1"/>
              </w:rPr>
              <w:t>p</w:t>
            </w:r>
            <w:r>
              <w:rPr>
                <w:b/>
              </w:rPr>
              <w:t>â</w:t>
            </w:r>
            <w:r>
              <w:rPr>
                <w:b/>
                <w:spacing w:val="-1"/>
              </w:rPr>
              <w:t>n</w:t>
            </w:r>
            <w:r>
              <w:rPr>
                <w:b/>
              </w:rPr>
              <w:t>ă</w:t>
            </w:r>
            <w:r>
              <w:rPr>
                <w:b/>
                <w:spacing w:val="-3"/>
              </w:rPr>
              <w:t xml:space="preserve"> </w:t>
            </w:r>
            <w:r>
              <w:rPr>
                <w:b/>
                <w:spacing w:val="1"/>
              </w:rPr>
              <w:t>l</w:t>
            </w:r>
            <w:r>
              <w:rPr>
                <w:b/>
              </w:rPr>
              <w:t>a a</w:t>
            </w:r>
            <w:r>
              <w:rPr>
                <w:b/>
                <w:spacing w:val="-1"/>
              </w:rPr>
              <w:t>p</w:t>
            </w:r>
            <w:r>
              <w:rPr>
                <w:b/>
                <w:spacing w:val="-3"/>
              </w:rPr>
              <w:t>a</w:t>
            </w:r>
            <w:r>
              <w:rPr>
                <w:b/>
              </w:rPr>
              <w:t>r</w:t>
            </w:r>
            <w:r>
              <w:rPr>
                <w:b/>
                <w:spacing w:val="-2"/>
              </w:rPr>
              <w:t>i</w:t>
            </w:r>
            <w:r>
              <w:rPr>
                <w:b/>
              </w:rPr>
              <w:t>ţ</w:t>
            </w:r>
            <w:r>
              <w:rPr>
                <w:b/>
                <w:spacing w:val="1"/>
              </w:rPr>
              <w:t>i</w:t>
            </w:r>
            <w:r>
              <w:rPr>
                <w:b/>
              </w:rPr>
              <w:t>a</w:t>
            </w:r>
            <w:r>
              <w:rPr>
                <w:b/>
                <w:spacing w:val="-3"/>
              </w:rPr>
              <w:t xml:space="preserve"> e</w:t>
            </w:r>
            <w:r>
              <w:rPr>
                <w:b/>
              </w:rPr>
              <w:t>şec</w:t>
            </w:r>
            <w:r>
              <w:rPr>
                <w:b/>
                <w:spacing w:val="-1"/>
              </w:rPr>
              <w:t>u</w:t>
            </w:r>
            <w:r>
              <w:rPr>
                <w:b/>
                <w:spacing w:val="-2"/>
              </w:rPr>
              <w:t>l</w:t>
            </w:r>
            <w:r>
              <w:rPr>
                <w:b/>
                <w:spacing w:val="-1"/>
              </w:rPr>
              <w:t>u</w:t>
            </w:r>
            <w:r>
              <w:rPr>
                <w:b/>
              </w:rPr>
              <w:t>i</w:t>
            </w:r>
            <w:r>
              <w:rPr>
                <w:b/>
                <w:spacing w:val="-2"/>
              </w:rPr>
              <w:t xml:space="preserve"> </w:t>
            </w:r>
            <w:r>
              <w:rPr>
                <w:b/>
                <w:spacing w:val="1"/>
              </w:rPr>
              <w:t>l</w:t>
            </w:r>
            <w:r>
              <w:rPr>
                <w:b/>
              </w:rPr>
              <w:t xml:space="preserve">a </w:t>
            </w:r>
            <w:r>
              <w:rPr>
                <w:b/>
                <w:spacing w:val="-2"/>
              </w:rPr>
              <w:t>t</w:t>
            </w:r>
            <w:r>
              <w:rPr>
                <w:b/>
              </w:rPr>
              <w:t>rat</w:t>
            </w:r>
            <w:r>
              <w:rPr>
                <w:b/>
                <w:spacing w:val="-3"/>
              </w:rPr>
              <w:t>a</w:t>
            </w:r>
            <w:r>
              <w:rPr>
                <w:b/>
              </w:rPr>
              <w:t>me</w:t>
            </w:r>
            <w:r>
              <w:rPr>
                <w:b/>
                <w:spacing w:val="-3"/>
              </w:rPr>
              <w:t>n</w:t>
            </w:r>
            <w:r>
              <w:rPr>
                <w:b/>
              </w:rPr>
              <w:t>t</w:t>
            </w:r>
            <w:r>
              <w:rPr>
                <w:b/>
                <w:spacing w:val="-2"/>
              </w:rPr>
              <w:t xml:space="preserve"> </w:t>
            </w:r>
            <w:r>
              <w:rPr>
                <w:b/>
                <w:spacing w:val="1"/>
              </w:rPr>
              <w:t>î</w:t>
            </w:r>
            <w:r>
              <w:rPr>
                <w:b/>
              </w:rPr>
              <w:t>n</w:t>
            </w:r>
            <w:r>
              <w:rPr>
                <w:b/>
                <w:spacing w:val="-1"/>
              </w:rPr>
              <w:t xml:space="preserve"> </w:t>
            </w:r>
            <w:r>
              <w:rPr>
                <w:b/>
              </w:rPr>
              <w:t>s</w:t>
            </w:r>
            <w:r>
              <w:rPr>
                <w:b/>
                <w:spacing w:val="-3"/>
              </w:rPr>
              <w:t>ă</w:t>
            </w:r>
            <w:r>
              <w:rPr>
                <w:b/>
                <w:spacing w:val="-1"/>
              </w:rPr>
              <w:t>p</w:t>
            </w:r>
            <w:r>
              <w:rPr>
                <w:b/>
              </w:rPr>
              <w:t>tămâ</w:t>
            </w:r>
            <w:r>
              <w:rPr>
                <w:b/>
                <w:spacing w:val="-3"/>
              </w:rPr>
              <w:t>n</w:t>
            </w:r>
            <w:r>
              <w:rPr>
                <w:b/>
              </w:rPr>
              <w:t>a 2 sau</w:t>
            </w:r>
            <w:r>
              <w:rPr>
                <w:b/>
                <w:spacing w:val="-3"/>
              </w:rPr>
              <w:t xml:space="preserve"> </w:t>
            </w:r>
            <w:r>
              <w:rPr>
                <w:b/>
                <w:spacing w:val="-1"/>
              </w:rPr>
              <w:t>dup</w:t>
            </w:r>
            <w:r>
              <w:rPr>
                <w:b/>
              </w:rPr>
              <w:t xml:space="preserve">ă, </w:t>
            </w:r>
            <w:r>
              <w:rPr>
                <w:b/>
                <w:spacing w:val="1"/>
              </w:rPr>
              <w:t>î</w:t>
            </w:r>
            <w:r>
              <w:rPr>
                <w:b/>
              </w:rPr>
              <w:t>n</w:t>
            </w:r>
            <w:r>
              <w:rPr>
                <w:b/>
                <w:spacing w:val="-3"/>
              </w:rPr>
              <w:t xml:space="preserve"> </w:t>
            </w:r>
            <w:r>
              <w:rPr>
                <w:b/>
                <w:spacing w:val="-1"/>
              </w:rPr>
              <w:t>S</w:t>
            </w:r>
            <w:r>
              <w:rPr>
                <w:b/>
                <w:spacing w:val="-2"/>
              </w:rPr>
              <w:t>t</w:t>
            </w:r>
            <w:r>
              <w:rPr>
                <w:b/>
                <w:spacing w:val="-1"/>
              </w:rPr>
              <w:t>ud</w:t>
            </w:r>
            <w:r>
              <w:rPr>
                <w:b/>
                <w:spacing w:val="1"/>
              </w:rPr>
              <w:t>i</w:t>
            </w:r>
            <w:r>
              <w:rPr>
                <w:b/>
                <w:spacing w:val="-1"/>
              </w:rPr>
              <w:t>u</w:t>
            </w:r>
            <w:r>
              <w:rPr>
                <w:b/>
              </w:rPr>
              <w:t>l</w:t>
            </w:r>
            <w:r>
              <w:rPr>
                <w:b/>
                <w:spacing w:val="1"/>
              </w:rPr>
              <w:t xml:space="preserve"> </w:t>
            </w:r>
            <w:r>
              <w:rPr>
                <w:b/>
                <w:spacing w:val="-1"/>
              </w:rPr>
              <w:t>U</w:t>
            </w:r>
            <w:r>
              <w:rPr>
                <w:b/>
              </w:rPr>
              <w:t>V</w:t>
            </w:r>
            <w:r>
              <w:rPr>
                <w:b/>
                <w:bCs/>
              </w:rPr>
              <w:t xml:space="preserve"> II</w:t>
            </w:r>
          </w:p>
        </w:tc>
      </w:tr>
      <w:tr w:rsidR="00C04CAD" w14:paraId="786368C5" w14:textId="77777777">
        <w:trPr>
          <w:trHeight w:val="293"/>
        </w:trPr>
        <w:tc>
          <w:tcPr>
            <w:tcW w:w="1352" w:type="pct"/>
            <w:tcBorders>
              <w:top w:val="nil"/>
              <w:right w:val="nil"/>
            </w:tcBorders>
          </w:tcPr>
          <w:p w14:paraId="1CB2A19F" w14:textId="77777777" w:rsidR="00C04CAD" w:rsidRDefault="00060E34">
            <w:pPr>
              <w:keepNext/>
              <w:tabs>
                <w:tab w:val="clear" w:pos="567"/>
              </w:tabs>
              <w:kinsoku w:val="0"/>
              <w:overflowPunct w:val="0"/>
              <w:autoSpaceDE w:val="0"/>
              <w:autoSpaceDN w:val="0"/>
              <w:adjustRightInd w:val="0"/>
              <w:spacing w:line="240" w:lineRule="auto"/>
            </w:pPr>
            <w:r>
              <w:rPr>
                <w:spacing w:val="-1"/>
              </w:rPr>
              <w:t>A</w:t>
            </w:r>
            <w:r>
              <w:t>na</w:t>
            </w:r>
            <w:r>
              <w:rPr>
                <w:spacing w:val="1"/>
              </w:rPr>
              <w:t>li</w:t>
            </w:r>
            <w:r>
              <w:rPr>
                <w:spacing w:val="-3"/>
              </w:rPr>
              <w:t>z</w:t>
            </w:r>
            <w:r>
              <w:t xml:space="preserve">ă </w:t>
            </w:r>
            <w:r>
              <w:rPr>
                <w:spacing w:val="-3"/>
              </w:rPr>
              <w:t>p</w:t>
            </w:r>
            <w:r>
              <w:t>r</w:t>
            </w:r>
            <w:r>
              <w:rPr>
                <w:spacing w:val="1"/>
              </w:rPr>
              <w:t>i</w:t>
            </w:r>
            <w:r>
              <w:rPr>
                <w:spacing w:val="-4"/>
              </w:rPr>
              <w:t>m</w:t>
            </w:r>
            <w:r>
              <w:t>ară</w:t>
            </w:r>
            <w:r>
              <w:rPr>
                <w:spacing w:val="-2"/>
              </w:rPr>
              <w:t xml:space="preserve"> </w:t>
            </w:r>
            <w:r>
              <w:t>(</w:t>
            </w:r>
            <w:r>
              <w:rPr>
                <w:spacing w:val="-4"/>
              </w:rPr>
              <w:t>I</w:t>
            </w:r>
            <w:r>
              <w:rPr>
                <w:spacing w:val="1"/>
              </w:rPr>
              <w:t>TT</w:t>
            </w:r>
            <w:r>
              <w:t>)</w:t>
            </w:r>
          </w:p>
        </w:tc>
        <w:tc>
          <w:tcPr>
            <w:tcW w:w="394" w:type="pct"/>
            <w:tcBorders>
              <w:top w:val="nil"/>
              <w:left w:val="nil"/>
              <w:right w:val="nil"/>
            </w:tcBorders>
          </w:tcPr>
          <w:p w14:paraId="0BEF23C9" w14:textId="77777777" w:rsidR="00C04CAD" w:rsidRDefault="00C04CAD">
            <w:pPr>
              <w:keepNext/>
              <w:tabs>
                <w:tab w:val="clear" w:pos="567"/>
              </w:tabs>
              <w:kinsoku w:val="0"/>
              <w:overflowPunct w:val="0"/>
              <w:autoSpaceDE w:val="0"/>
              <w:autoSpaceDN w:val="0"/>
              <w:adjustRightInd w:val="0"/>
              <w:spacing w:line="240" w:lineRule="auto"/>
            </w:pPr>
          </w:p>
        </w:tc>
        <w:tc>
          <w:tcPr>
            <w:tcW w:w="603" w:type="pct"/>
            <w:tcBorders>
              <w:top w:val="nil"/>
              <w:left w:val="nil"/>
              <w:right w:val="nil"/>
            </w:tcBorders>
          </w:tcPr>
          <w:p w14:paraId="703C9362" w14:textId="77777777" w:rsidR="00C04CAD" w:rsidRDefault="00C04CAD">
            <w:pPr>
              <w:keepNext/>
              <w:tabs>
                <w:tab w:val="clear" w:pos="567"/>
              </w:tabs>
              <w:kinsoku w:val="0"/>
              <w:overflowPunct w:val="0"/>
              <w:autoSpaceDE w:val="0"/>
              <w:autoSpaceDN w:val="0"/>
              <w:adjustRightInd w:val="0"/>
              <w:spacing w:line="240" w:lineRule="auto"/>
            </w:pPr>
          </w:p>
        </w:tc>
        <w:tc>
          <w:tcPr>
            <w:tcW w:w="850" w:type="pct"/>
            <w:tcBorders>
              <w:top w:val="nil"/>
              <w:left w:val="nil"/>
              <w:right w:val="nil"/>
            </w:tcBorders>
          </w:tcPr>
          <w:p w14:paraId="5EEF0DBC" w14:textId="77777777" w:rsidR="00C04CAD" w:rsidRDefault="00C04CAD">
            <w:pPr>
              <w:keepNext/>
              <w:tabs>
                <w:tab w:val="clear" w:pos="567"/>
              </w:tabs>
              <w:kinsoku w:val="0"/>
              <w:overflowPunct w:val="0"/>
              <w:autoSpaceDE w:val="0"/>
              <w:autoSpaceDN w:val="0"/>
              <w:adjustRightInd w:val="0"/>
              <w:spacing w:line="240" w:lineRule="auto"/>
            </w:pPr>
          </w:p>
        </w:tc>
        <w:tc>
          <w:tcPr>
            <w:tcW w:w="417" w:type="pct"/>
            <w:tcBorders>
              <w:top w:val="nil"/>
              <w:left w:val="nil"/>
              <w:right w:val="nil"/>
            </w:tcBorders>
          </w:tcPr>
          <w:p w14:paraId="13EEDE4F" w14:textId="77777777" w:rsidR="00C04CAD" w:rsidRDefault="00C04CAD">
            <w:pPr>
              <w:keepNext/>
              <w:tabs>
                <w:tab w:val="clear" w:pos="567"/>
              </w:tabs>
              <w:kinsoku w:val="0"/>
              <w:overflowPunct w:val="0"/>
              <w:autoSpaceDE w:val="0"/>
              <w:autoSpaceDN w:val="0"/>
              <w:adjustRightInd w:val="0"/>
              <w:spacing w:line="240" w:lineRule="auto"/>
            </w:pPr>
          </w:p>
        </w:tc>
        <w:tc>
          <w:tcPr>
            <w:tcW w:w="637" w:type="pct"/>
            <w:tcBorders>
              <w:top w:val="nil"/>
              <w:left w:val="nil"/>
              <w:right w:val="nil"/>
            </w:tcBorders>
          </w:tcPr>
          <w:p w14:paraId="4DD33D96" w14:textId="77777777" w:rsidR="00C04CAD" w:rsidRDefault="00C04CAD">
            <w:pPr>
              <w:keepNext/>
              <w:tabs>
                <w:tab w:val="clear" w:pos="567"/>
              </w:tabs>
              <w:kinsoku w:val="0"/>
              <w:overflowPunct w:val="0"/>
              <w:autoSpaceDE w:val="0"/>
              <w:autoSpaceDN w:val="0"/>
              <w:adjustRightInd w:val="0"/>
              <w:spacing w:line="240" w:lineRule="auto"/>
            </w:pPr>
          </w:p>
        </w:tc>
        <w:tc>
          <w:tcPr>
            <w:tcW w:w="747" w:type="pct"/>
            <w:tcBorders>
              <w:top w:val="nil"/>
              <w:left w:val="nil"/>
            </w:tcBorders>
          </w:tcPr>
          <w:p w14:paraId="3BEE88DF" w14:textId="77777777" w:rsidR="00C04CAD" w:rsidRDefault="00C04CAD">
            <w:pPr>
              <w:keepNext/>
              <w:tabs>
                <w:tab w:val="clear" w:pos="567"/>
              </w:tabs>
              <w:kinsoku w:val="0"/>
              <w:overflowPunct w:val="0"/>
              <w:autoSpaceDE w:val="0"/>
              <w:autoSpaceDN w:val="0"/>
              <w:adjustRightInd w:val="0"/>
              <w:spacing w:line="240" w:lineRule="auto"/>
            </w:pPr>
          </w:p>
          <w:p w14:paraId="4905A3A2" w14:textId="77777777" w:rsidR="00C04CAD" w:rsidRDefault="00C04CAD">
            <w:pPr>
              <w:keepNext/>
              <w:tabs>
                <w:tab w:val="clear" w:pos="567"/>
              </w:tabs>
              <w:kinsoku w:val="0"/>
              <w:overflowPunct w:val="0"/>
              <w:autoSpaceDE w:val="0"/>
              <w:autoSpaceDN w:val="0"/>
              <w:adjustRightInd w:val="0"/>
              <w:spacing w:line="240" w:lineRule="auto"/>
            </w:pPr>
          </w:p>
        </w:tc>
      </w:tr>
      <w:tr w:rsidR="00C04CAD" w14:paraId="0AF16D1C" w14:textId="77777777">
        <w:trPr>
          <w:trHeight w:val="282"/>
        </w:trPr>
        <w:tc>
          <w:tcPr>
            <w:tcW w:w="1352" w:type="pct"/>
          </w:tcPr>
          <w:p w14:paraId="18B7557D" w14:textId="77777777" w:rsidR="00C04CAD" w:rsidRDefault="00060E34">
            <w:pPr>
              <w:keepNext/>
              <w:tabs>
                <w:tab w:val="clear" w:pos="567"/>
              </w:tabs>
              <w:kinsoku w:val="0"/>
              <w:overflowPunct w:val="0"/>
              <w:autoSpaceDE w:val="0"/>
              <w:autoSpaceDN w:val="0"/>
              <w:adjustRightInd w:val="0"/>
              <w:spacing w:line="240" w:lineRule="auto"/>
              <w:ind w:right="278"/>
            </w:pPr>
            <w:r>
              <w:t>Placebo</w:t>
            </w:r>
          </w:p>
        </w:tc>
        <w:tc>
          <w:tcPr>
            <w:tcW w:w="394" w:type="pct"/>
          </w:tcPr>
          <w:p w14:paraId="4C576311" w14:textId="77777777" w:rsidR="00C04CAD" w:rsidRDefault="00060E34">
            <w:pPr>
              <w:keepNext/>
              <w:tabs>
                <w:tab w:val="clear" w:pos="567"/>
              </w:tabs>
              <w:kinsoku w:val="0"/>
              <w:overflowPunct w:val="0"/>
              <w:autoSpaceDE w:val="0"/>
              <w:autoSpaceDN w:val="0"/>
              <w:adjustRightInd w:val="0"/>
              <w:spacing w:line="240" w:lineRule="auto"/>
              <w:jc w:val="center"/>
            </w:pPr>
            <w:r>
              <w:t>111</w:t>
            </w:r>
          </w:p>
        </w:tc>
        <w:tc>
          <w:tcPr>
            <w:tcW w:w="603" w:type="pct"/>
          </w:tcPr>
          <w:p w14:paraId="4F806807" w14:textId="77777777" w:rsidR="00C04CAD" w:rsidRDefault="00060E34">
            <w:pPr>
              <w:keepNext/>
              <w:tabs>
                <w:tab w:val="clear" w:pos="567"/>
              </w:tabs>
              <w:kinsoku w:val="0"/>
              <w:overflowPunct w:val="0"/>
              <w:autoSpaceDE w:val="0"/>
              <w:autoSpaceDN w:val="0"/>
              <w:adjustRightInd w:val="0"/>
              <w:spacing w:line="240" w:lineRule="auto"/>
              <w:jc w:val="center"/>
            </w:pPr>
            <w:r>
              <w:t>61 (55,0)</w:t>
            </w:r>
          </w:p>
        </w:tc>
        <w:tc>
          <w:tcPr>
            <w:tcW w:w="850" w:type="pct"/>
          </w:tcPr>
          <w:p w14:paraId="0C23C11E" w14:textId="77777777" w:rsidR="00C04CAD" w:rsidRDefault="00060E34">
            <w:pPr>
              <w:keepNext/>
              <w:tabs>
                <w:tab w:val="clear" w:pos="567"/>
              </w:tabs>
              <w:kinsoku w:val="0"/>
              <w:overflowPunct w:val="0"/>
              <w:autoSpaceDE w:val="0"/>
              <w:autoSpaceDN w:val="0"/>
              <w:adjustRightInd w:val="0"/>
              <w:spacing w:line="240" w:lineRule="auto"/>
              <w:jc w:val="center"/>
            </w:pPr>
            <w:r>
              <w:t>8.3</w:t>
            </w:r>
          </w:p>
        </w:tc>
        <w:tc>
          <w:tcPr>
            <w:tcW w:w="417" w:type="pct"/>
          </w:tcPr>
          <w:p w14:paraId="52B456F1" w14:textId="77777777" w:rsidR="00C04CAD" w:rsidRDefault="00060E34">
            <w:pPr>
              <w:keepNext/>
              <w:tabs>
                <w:tab w:val="clear" w:pos="567"/>
              </w:tabs>
              <w:kinsoku w:val="0"/>
              <w:overflowPunct w:val="0"/>
              <w:autoSpaceDE w:val="0"/>
              <w:autoSpaceDN w:val="0"/>
              <w:adjustRightInd w:val="0"/>
              <w:spacing w:line="240" w:lineRule="auto"/>
              <w:jc w:val="center"/>
            </w:pPr>
            <w:r>
              <w:t>--</w:t>
            </w:r>
          </w:p>
        </w:tc>
        <w:tc>
          <w:tcPr>
            <w:tcW w:w="637" w:type="pct"/>
          </w:tcPr>
          <w:p w14:paraId="6B783A7C" w14:textId="77777777" w:rsidR="00C04CAD" w:rsidRDefault="00060E34">
            <w:pPr>
              <w:keepNext/>
              <w:tabs>
                <w:tab w:val="clear" w:pos="567"/>
              </w:tabs>
              <w:kinsoku w:val="0"/>
              <w:overflowPunct w:val="0"/>
              <w:autoSpaceDE w:val="0"/>
              <w:autoSpaceDN w:val="0"/>
              <w:adjustRightInd w:val="0"/>
              <w:spacing w:line="240" w:lineRule="auto"/>
              <w:jc w:val="center"/>
            </w:pPr>
            <w:r>
              <w:t>--</w:t>
            </w:r>
          </w:p>
        </w:tc>
        <w:tc>
          <w:tcPr>
            <w:tcW w:w="747" w:type="pct"/>
          </w:tcPr>
          <w:p w14:paraId="7E688634" w14:textId="77777777" w:rsidR="00C04CAD" w:rsidRDefault="00060E34">
            <w:pPr>
              <w:keepNext/>
              <w:tabs>
                <w:tab w:val="clear" w:pos="567"/>
              </w:tabs>
              <w:kinsoku w:val="0"/>
              <w:overflowPunct w:val="0"/>
              <w:autoSpaceDE w:val="0"/>
              <w:autoSpaceDN w:val="0"/>
              <w:adjustRightInd w:val="0"/>
              <w:spacing w:line="240" w:lineRule="auto"/>
              <w:ind w:left="251"/>
              <w:jc w:val="center"/>
            </w:pPr>
            <w:r>
              <w:t>--</w:t>
            </w:r>
          </w:p>
        </w:tc>
      </w:tr>
      <w:tr w:rsidR="00C04CAD" w14:paraId="498DBD29" w14:textId="77777777">
        <w:trPr>
          <w:trHeight w:val="293"/>
        </w:trPr>
        <w:tc>
          <w:tcPr>
            <w:tcW w:w="1352" w:type="pct"/>
          </w:tcPr>
          <w:p w14:paraId="6AF37428" w14:textId="77777777" w:rsidR="00C04CAD" w:rsidRDefault="00060E34">
            <w:pPr>
              <w:keepNext/>
              <w:tabs>
                <w:tab w:val="clear" w:pos="567"/>
              </w:tabs>
              <w:kinsoku w:val="0"/>
              <w:overflowPunct w:val="0"/>
              <w:autoSpaceDE w:val="0"/>
              <w:autoSpaceDN w:val="0"/>
              <w:adjustRightInd w:val="0"/>
              <w:spacing w:line="240" w:lineRule="auto"/>
              <w:ind w:right="278"/>
            </w:pPr>
            <w:r>
              <w:t>Adalimumab</w:t>
            </w:r>
          </w:p>
        </w:tc>
        <w:tc>
          <w:tcPr>
            <w:tcW w:w="394" w:type="pct"/>
          </w:tcPr>
          <w:p w14:paraId="18BC0A16" w14:textId="77777777" w:rsidR="00C04CAD" w:rsidRDefault="00060E34">
            <w:pPr>
              <w:keepNext/>
              <w:tabs>
                <w:tab w:val="clear" w:pos="567"/>
              </w:tabs>
              <w:kinsoku w:val="0"/>
              <w:overflowPunct w:val="0"/>
              <w:autoSpaceDE w:val="0"/>
              <w:autoSpaceDN w:val="0"/>
              <w:adjustRightInd w:val="0"/>
              <w:spacing w:line="240" w:lineRule="auto"/>
              <w:jc w:val="center"/>
            </w:pPr>
            <w:r>
              <w:t>115</w:t>
            </w:r>
          </w:p>
        </w:tc>
        <w:tc>
          <w:tcPr>
            <w:tcW w:w="603" w:type="pct"/>
          </w:tcPr>
          <w:p w14:paraId="00DBA2AC" w14:textId="77777777" w:rsidR="00C04CAD" w:rsidRDefault="00060E34">
            <w:pPr>
              <w:keepNext/>
              <w:tabs>
                <w:tab w:val="clear" w:pos="567"/>
              </w:tabs>
              <w:kinsoku w:val="0"/>
              <w:overflowPunct w:val="0"/>
              <w:autoSpaceDE w:val="0"/>
              <w:autoSpaceDN w:val="0"/>
              <w:adjustRightInd w:val="0"/>
              <w:spacing w:line="240" w:lineRule="auto"/>
              <w:jc w:val="center"/>
            </w:pPr>
            <w:r>
              <w:t>45 (39,1)</w:t>
            </w:r>
          </w:p>
        </w:tc>
        <w:tc>
          <w:tcPr>
            <w:tcW w:w="850" w:type="pct"/>
          </w:tcPr>
          <w:p w14:paraId="04FC4833" w14:textId="77777777" w:rsidR="00C04CAD" w:rsidRDefault="00060E34">
            <w:pPr>
              <w:keepNext/>
              <w:tabs>
                <w:tab w:val="clear" w:pos="567"/>
              </w:tabs>
              <w:kinsoku w:val="0"/>
              <w:overflowPunct w:val="0"/>
              <w:autoSpaceDE w:val="0"/>
              <w:autoSpaceDN w:val="0"/>
              <w:adjustRightInd w:val="0"/>
              <w:spacing w:line="240" w:lineRule="auto"/>
              <w:jc w:val="center"/>
            </w:pPr>
            <w:r>
              <w:t>NE</w:t>
            </w:r>
            <w:r>
              <w:rPr>
                <w:spacing w:val="1"/>
                <w:vertAlign w:val="superscript"/>
              </w:rPr>
              <w:t>c</w:t>
            </w:r>
          </w:p>
        </w:tc>
        <w:tc>
          <w:tcPr>
            <w:tcW w:w="417" w:type="pct"/>
          </w:tcPr>
          <w:p w14:paraId="5D6A8A58" w14:textId="77777777" w:rsidR="00C04CAD" w:rsidRDefault="00060E34">
            <w:pPr>
              <w:keepNext/>
              <w:tabs>
                <w:tab w:val="clear" w:pos="567"/>
              </w:tabs>
              <w:kinsoku w:val="0"/>
              <w:overflowPunct w:val="0"/>
              <w:autoSpaceDE w:val="0"/>
              <w:autoSpaceDN w:val="0"/>
              <w:adjustRightInd w:val="0"/>
              <w:spacing w:line="240" w:lineRule="auto"/>
              <w:jc w:val="center"/>
            </w:pPr>
            <w:r>
              <w:t>0,57</w:t>
            </w:r>
          </w:p>
        </w:tc>
        <w:tc>
          <w:tcPr>
            <w:tcW w:w="637" w:type="pct"/>
          </w:tcPr>
          <w:p w14:paraId="5B4A31AF" w14:textId="77777777" w:rsidR="00C04CAD" w:rsidRDefault="00060E34">
            <w:pPr>
              <w:keepNext/>
              <w:tabs>
                <w:tab w:val="clear" w:pos="567"/>
              </w:tabs>
              <w:kinsoku w:val="0"/>
              <w:overflowPunct w:val="0"/>
              <w:autoSpaceDE w:val="0"/>
              <w:autoSpaceDN w:val="0"/>
              <w:adjustRightInd w:val="0"/>
              <w:spacing w:line="240" w:lineRule="auto"/>
              <w:ind w:right="-142"/>
              <w:jc w:val="center"/>
            </w:pPr>
            <w:r>
              <w:t>0,39- 0,84</w:t>
            </w:r>
          </w:p>
        </w:tc>
        <w:tc>
          <w:tcPr>
            <w:tcW w:w="747" w:type="pct"/>
          </w:tcPr>
          <w:p w14:paraId="4860EDC0" w14:textId="77777777" w:rsidR="00C04CAD" w:rsidRDefault="00060E34">
            <w:pPr>
              <w:keepNext/>
              <w:tabs>
                <w:tab w:val="clear" w:pos="567"/>
              </w:tabs>
              <w:kinsoku w:val="0"/>
              <w:overflowPunct w:val="0"/>
              <w:autoSpaceDE w:val="0"/>
              <w:autoSpaceDN w:val="0"/>
              <w:adjustRightInd w:val="0"/>
              <w:spacing w:line="240" w:lineRule="auto"/>
              <w:jc w:val="center"/>
            </w:pPr>
            <w:r>
              <w:t>0,004</w:t>
            </w:r>
          </w:p>
        </w:tc>
      </w:tr>
    </w:tbl>
    <w:p w14:paraId="5D9EA2A3" w14:textId="77777777" w:rsidR="00C04CAD" w:rsidRDefault="00060E34">
      <w:pPr>
        <w:keepNext/>
        <w:tabs>
          <w:tab w:val="clear" w:pos="567"/>
        </w:tabs>
        <w:kinsoku w:val="0"/>
        <w:overflowPunct w:val="0"/>
        <w:autoSpaceDE w:val="0"/>
        <w:autoSpaceDN w:val="0"/>
        <w:adjustRightInd w:val="0"/>
        <w:spacing w:line="240" w:lineRule="auto"/>
        <w:rPr>
          <w:sz w:val="20"/>
        </w:rPr>
      </w:pPr>
      <w:r>
        <w:rPr>
          <w:spacing w:val="-1"/>
          <w:sz w:val="20"/>
        </w:rPr>
        <w:t>N</w:t>
      </w:r>
      <w:r>
        <w:rPr>
          <w:sz w:val="20"/>
        </w:rPr>
        <w:t>o</w:t>
      </w:r>
      <w:r>
        <w:rPr>
          <w:spacing w:val="1"/>
          <w:sz w:val="20"/>
        </w:rPr>
        <w:t>t</w:t>
      </w:r>
      <w:r>
        <w:rPr>
          <w:sz w:val="20"/>
        </w:rPr>
        <w:t>ă:</w:t>
      </w:r>
      <w:r>
        <w:rPr>
          <w:spacing w:val="1"/>
          <w:sz w:val="20"/>
        </w:rPr>
        <w:t xml:space="preserve"> </w:t>
      </w:r>
      <w:r>
        <w:rPr>
          <w:spacing w:val="-3"/>
          <w:sz w:val="20"/>
        </w:rPr>
        <w:t>E</w:t>
      </w:r>
      <w:r>
        <w:rPr>
          <w:sz w:val="20"/>
        </w:rPr>
        <w:t>şe</w:t>
      </w:r>
      <w:r>
        <w:rPr>
          <w:spacing w:val="-3"/>
          <w:sz w:val="20"/>
        </w:rPr>
        <w:t>c</w:t>
      </w:r>
      <w:r>
        <w:rPr>
          <w:sz w:val="20"/>
        </w:rPr>
        <w:t>ul</w:t>
      </w:r>
      <w:r>
        <w:rPr>
          <w:spacing w:val="-2"/>
          <w:sz w:val="20"/>
        </w:rPr>
        <w:t xml:space="preserve"> </w:t>
      </w:r>
      <w:r>
        <w:rPr>
          <w:spacing w:val="1"/>
          <w:sz w:val="20"/>
        </w:rPr>
        <w:t>l</w:t>
      </w:r>
      <w:r>
        <w:rPr>
          <w:sz w:val="20"/>
        </w:rPr>
        <w:t>a</w:t>
      </w:r>
      <w:r>
        <w:rPr>
          <w:spacing w:val="-2"/>
          <w:sz w:val="20"/>
        </w:rPr>
        <w:t xml:space="preserve"> </w:t>
      </w:r>
      <w:r>
        <w:rPr>
          <w:spacing w:val="1"/>
          <w:sz w:val="20"/>
        </w:rPr>
        <w:t>t</w:t>
      </w:r>
      <w:r>
        <w:rPr>
          <w:sz w:val="20"/>
        </w:rPr>
        <w:t>r</w:t>
      </w:r>
      <w:r>
        <w:rPr>
          <w:spacing w:val="-3"/>
          <w:sz w:val="20"/>
        </w:rPr>
        <w:t>a</w:t>
      </w:r>
      <w:r>
        <w:rPr>
          <w:spacing w:val="1"/>
          <w:sz w:val="20"/>
        </w:rPr>
        <w:t>t</w:t>
      </w:r>
      <w:r>
        <w:rPr>
          <w:sz w:val="20"/>
        </w:rPr>
        <w:t>a</w:t>
      </w:r>
      <w:r>
        <w:rPr>
          <w:spacing w:val="-4"/>
          <w:sz w:val="20"/>
        </w:rPr>
        <w:t>m</w:t>
      </w:r>
      <w:r>
        <w:rPr>
          <w:sz w:val="20"/>
        </w:rPr>
        <w:t>ent</w:t>
      </w:r>
      <w:r>
        <w:rPr>
          <w:spacing w:val="-2"/>
          <w:sz w:val="20"/>
        </w:rPr>
        <w:t xml:space="preserve"> î</w:t>
      </w:r>
      <w:r>
        <w:rPr>
          <w:sz w:val="20"/>
        </w:rPr>
        <w:t xml:space="preserve">n </w:t>
      </w:r>
      <w:r>
        <w:rPr>
          <w:rFonts w:eastAsia="MS Mincho"/>
          <w:spacing w:val="-1"/>
          <w:sz w:val="20"/>
          <w:lang w:eastAsia="en-US" w:bidi="ar-SA"/>
        </w:rPr>
        <w:t>s</w:t>
      </w:r>
      <w:r>
        <w:rPr>
          <w:rFonts w:eastAsia="MS Mincho"/>
          <w:sz w:val="20"/>
          <w:lang w:eastAsia="en-US" w:bidi="ar-SA"/>
        </w:rPr>
        <w:t>ăp</w:t>
      </w:r>
      <w:r>
        <w:rPr>
          <w:rFonts w:eastAsia="MS Mincho"/>
          <w:spacing w:val="-2"/>
          <w:sz w:val="20"/>
          <w:lang w:eastAsia="en-US" w:bidi="ar-SA"/>
        </w:rPr>
        <w:t>t</w:t>
      </w:r>
      <w:r>
        <w:rPr>
          <w:rFonts w:eastAsia="MS Mincho"/>
          <w:sz w:val="20"/>
          <w:lang w:eastAsia="en-US" w:bidi="ar-SA"/>
        </w:rPr>
        <w:t>ă</w:t>
      </w:r>
      <w:r>
        <w:rPr>
          <w:rFonts w:eastAsia="MS Mincho"/>
          <w:spacing w:val="-4"/>
          <w:sz w:val="20"/>
          <w:lang w:eastAsia="en-US" w:bidi="ar-SA"/>
        </w:rPr>
        <w:t>m</w:t>
      </w:r>
      <w:r>
        <w:rPr>
          <w:rFonts w:eastAsia="MS Mincho"/>
          <w:sz w:val="20"/>
          <w:lang w:eastAsia="en-US" w:bidi="ar-SA"/>
        </w:rPr>
        <w:t>âna</w:t>
      </w:r>
      <w:r>
        <w:rPr>
          <w:sz w:val="20"/>
        </w:rPr>
        <w:t xml:space="preserve"> 6 sau </w:t>
      </w:r>
      <w:r>
        <w:rPr>
          <w:spacing w:val="-3"/>
          <w:sz w:val="20"/>
        </w:rPr>
        <w:t>d</w:t>
      </w:r>
      <w:r>
        <w:rPr>
          <w:sz w:val="20"/>
        </w:rPr>
        <w:t>upă</w:t>
      </w:r>
      <w:r>
        <w:rPr>
          <w:spacing w:val="-2"/>
          <w:sz w:val="20"/>
        </w:rPr>
        <w:t xml:space="preserve"> </w:t>
      </w:r>
      <w:r>
        <w:rPr>
          <w:sz w:val="20"/>
        </w:rPr>
        <w:t>(</w:t>
      </w:r>
      <w:r>
        <w:rPr>
          <w:spacing w:val="-1"/>
          <w:sz w:val="20"/>
        </w:rPr>
        <w:t>S</w:t>
      </w:r>
      <w:r>
        <w:rPr>
          <w:spacing w:val="-2"/>
          <w:sz w:val="20"/>
        </w:rPr>
        <w:t>t</w:t>
      </w:r>
      <w:r>
        <w:rPr>
          <w:sz w:val="20"/>
        </w:rPr>
        <w:t>ud</w:t>
      </w:r>
      <w:r>
        <w:rPr>
          <w:spacing w:val="1"/>
          <w:sz w:val="20"/>
        </w:rPr>
        <w:t>i</w:t>
      </w:r>
      <w:r>
        <w:rPr>
          <w:spacing w:val="-3"/>
          <w:sz w:val="20"/>
        </w:rPr>
        <w:t>u</w:t>
      </w:r>
      <w:r>
        <w:rPr>
          <w:sz w:val="20"/>
        </w:rPr>
        <w:t>l</w:t>
      </w:r>
      <w:r>
        <w:rPr>
          <w:spacing w:val="1"/>
          <w:sz w:val="20"/>
        </w:rPr>
        <w:t xml:space="preserve"> </w:t>
      </w:r>
      <w:r>
        <w:rPr>
          <w:spacing w:val="-1"/>
          <w:sz w:val="20"/>
        </w:rPr>
        <w:t>U</w:t>
      </w:r>
      <w:r>
        <w:rPr>
          <w:sz w:val="20"/>
        </w:rPr>
        <w:t>V</w:t>
      </w:r>
      <w:r>
        <w:rPr>
          <w:spacing w:val="1"/>
          <w:sz w:val="20"/>
        </w:rPr>
        <w:t xml:space="preserve"> </w:t>
      </w:r>
      <w:r>
        <w:rPr>
          <w:spacing w:val="-4"/>
          <w:sz w:val="20"/>
        </w:rPr>
        <w:t>I</w:t>
      </w:r>
      <w:r>
        <w:rPr>
          <w:sz w:val="20"/>
        </w:rPr>
        <w:t>), sau</w:t>
      </w:r>
      <w:r>
        <w:rPr>
          <w:spacing w:val="-3"/>
          <w:sz w:val="20"/>
        </w:rPr>
        <w:t xml:space="preserve"> </w:t>
      </w:r>
      <w:r>
        <w:rPr>
          <w:spacing w:val="1"/>
          <w:sz w:val="20"/>
        </w:rPr>
        <w:t>î</w:t>
      </w:r>
      <w:r>
        <w:rPr>
          <w:sz w:val="20"/>
        </w:rPr>
        <w:t xml:space="preserve">n </w:t>
      </w:r>
      <w:r>
        <w:rPr>
          <w:rFonts w:eastAsia="MS Mincho"/>
          <w:spacing w:val="-1"/>
          <w:sz w:val="20"/>
          <w:lang w:eastAsia="en-US" w:bidi="ar-SA"/>
        </w:rPr>
        <w:t>s</w:t>
      </w:r>
      <w:r>
        <w:rPr>
          <w:rFonts w:eastAsia="MS Mincho"/>
          <w:spacing w:val="-3"/>
          <w:sz w:val="20"/>
          <w:lang w:eastAsia="en-US" w:bidi="ar-SA"/>
        </w:rPr>
        <w:t>ă</w:t>
      </w:r>
      <w:r>
        <w:rPr>
          <w:rFonts w:eastAsia="MS Mincho"/>
          <w:sz w:val="20"/>
          <w:lang w:eastAsia="en-US" w:bidi="ar-SA"/>
        </w:rPr>
        <w:t>p</w:t>
      </w:r>
      <w:r>
        <w:rPr>
          <w:rFonts w:eastAsia="MS Mincho"/>
          <w:spacing w:val="1"/>
          <w:sz w:val="20"/>
          <w:lang w:eastAsia="en-US" w:bidi="ar-SA"/>
        </w:rPr>
        <w:t>t</w:t>
      </w:r>
      <w:r>
        <w:rPr>
          <w:rFonts w:eastAsia="MS Mincho"/>
          <w:sz w:val="20"/>
          <w:lang w:eastAsia="en-US" w:bidi="ar-SA"/>
        </w:rPr>
        <w:t>ă</w:t>
      </w:r>
      <w:r>
        <w:rPr>
          <w:rFonts w:eastAsia="MS Mincho"/>
          <w:spacing w:val="-4"/>
          <w:sz w:val="20"/>
          <w:lang w:eastAsia="en-US" w:bidi="ar-SA"/>
        </w:rPr>
        <w:t>m</w:t>
      </w:r>
      <w:r>
        <w:rPr>
          <w:rFonts w:eastAsia="MS Mincho"/>
          <w:sz w:val="20"/>
          <w:lang w:eastAsia="en-US" w:bidi="ar-SA"/>
        </w:rPr>
        <w:t>âna</w:t>
      </w:r>
      <w:r>
        <w:rPr>
          <w:sz w:val="20"/>
        </w:rPr>
        <w:t xml:space="preserve"> 2 </w:t>
      </w:r>
      <w:r>
        <w:rPr>
          <w:spacing w:val="-2"/>
          <w:sz w:val="20"/>
        </w:rPr>
        <w:t>s</w:t>
      </w:r>
      <w:r>
        <w:rPr>
          <w:sz w:val="20"/>
        </w:rPr>
        <w:t>au du</w:t>
      </w:r>
      <w:r>
        <w:rPr>
          <w:spacing w:val="-3"/>
          <w:sz w:val="20"/>
        </w:rPr>
        <w:t>p</w:t>
      </w:r>
      <w:r>
        <w:rPr>
          <w:sz w:val="20"/>
        </w:rPr>
        <w:t>ă (</w:t>
      </w:r>
      <w:r>
        <w:rPr>
          <w:spacing w:val="-1"/>
          <w:sz w:val="20"/>
        </w:rPr>
        <w:t>S</w:t>
      </w:r>
      <w:r>
        <w:rPr>
          <w:spacing w:val="1"/>
          <w:sz w:val="20"/>
        </w:rPr>
        <w:t>t</w:t>
      </w:r>
      <w:r>
        <w:rPr>
          <w:sz w:val="20"/>
        </w:rPr>
        <w:t>u</w:t>
      </w:r>
      <w:r>
        <w:rPr>
          <w:spacing w:val="-3"/>
          <w:sz w:val="20"/>
        </w:rPr>
        <w:t>d</w:t>
      </w:r>
      <w:r>
        <w:rPr>
          <w:spacing w:val="1"/>
          <w:sz w:val="20"/>
        </w:rPr>
        <w:t>i</w:t>
      </w:r>
      <w:r>
        <w:rPr>
          <w:spacing w:val="-3"/>
          <w:sz w:val="20"/>
        </w:rPr>
        <w:t>u</w:t>
      </w:r>
      <w:r>
        <w:rPr>
          <w:sz w:val="20"/>
        </w:rPr>
        <w:t>l</w:t>
      </w:r>
      <w:r>
        <w:rPr>
          <w:spacing w:val="1"/>
          <w:sz w:val="20"/>
        </w:rPr>
        <w:t xml:space="preserve"> </w:t>
      </w:r>
      <w:r>
        <w:rPr>
          <w:spacing w:val="-1"/>
          <w:sz w:val="20"/>
        </w:rPr>
        <w:t>U</w:t>
      </w:r>
      <w:r>
        <w:rPr>
          <w:sz w:val="20"/>
        </w:rPr>
        <w:t>V</w:t>
      </w:r>
      <w:r>
        <w:rPr>
          <w:spacing w:val="1"/>
          <w:sz w:val="20"/>
        </w:rPr>
        <w:t xml:space="preserve"> </w:t>
      </w:r>
      <w:r>
        <w:rPr>
          <w:spacing w:val="-2"/>
          <w:sz w:val="20"/>
        </w:rPr>
        <w:t>I</w:t>
      </w:r>
      <w:r>
        <w:rPr>
          <w:spacing w:val="-4"/>
          <w:sz w:val="20"/>
        </w:rPr>
        <w:t>I</w:t>
      </w:r>
      <w:r>
        <w:rPr>
          <w:sz w:val="20"/>
        </w:rPr>
        <w:t>), a fo</w:t>
      </w:r>
      <w:r>
        <w:rPr>
          <w:spacing w:val="-2"/>
          <w:sz w:val="20"/>
        </w:rPr>
        <w:t>s</w:t>
      </w:r>
      <w:r>
        <w:rPr>
          <w:sz w:val="20"/>
        </w:rPr>
        <w:t>t</w:t>
      </w:r>
      <w:r>
        <w:rPr>
          <w:spacing w:val="1"/>
          <w:sz w:val="20"/>
        </w:rPr>
        <w:t xml:space="preserve"> </w:t>
      </w:r>
      <w:r>
        <w:rPr>
          <w:spacing w:val="-2"/>
          <w:sz w:val="20"/>
        </w:rPr>
        <w:t>î</w:t>
      </w:r>
      <w:r>
        <w:rPr>
          <w:sz w:val="20"/>
        </w:rPr>
        <w:t>nre</w:t>
      </w:r>
      <w:r>
        <w:rPr>
          <w:spacing w:val="-5"/>
          <w:sz w:val="20"/>
        </w:rPr>
        <w:t>g</w:t>
      </w:r>
      <w:r>
        <w:rPr>
          <w:spacing w:val="1"/>
          <w:sz w:val="20"/>
        </w:rPr>
        <w:t>i</w:t>
      </w:r>
      <w:r>
        <w:rPr>
          <w:sz w:val="20"/>
        </w:rPr>
        <w:t>s</w:t>
      </w:r>
      <w:r>
        <w:rPr>
          <w:spacing w:val="-2"/>
          <w:sz w:val="20"/>
        </w:rPr>
        <w:t>t</w:t>
      </w:r>
      <w:r>
        <w:rPr>
          <w:sz w:val="20"/>
        </w:rPr>
        <w:t>r</w:t>
      </w:r>
      <w:r>
        <w:rPr>
          <w:spacing w:val="-3"/>
          <w:sz w:val="20"/>
        </w:rPr>
        <w:t>a</w:t>
      </w:r>
      <w:r>
        <w:rPr>
          <w:sz w:val="20"/>
        </w:rPr>
        <w:t>t</w:t>
      </w:r>
      <w:r>
        <w:rPr>
          <w:spacing w:val="1"/>
          <w:sz w:val="20"/>
        </w:rPr>
        <w:t xml:space="preserve"> </w:t>
      </w:r>
      <w:r>
        <w:rPr>
          <w:sz w:val="20"/>
        </w:rPr>
        <w:t>ca</w:t>
      </w:r>
      <w:r>
        <w:rPr>
          <w:spacing w:val="-2"/>
          <w:sz w:val="20"/>
        </w:rPr>
        <w:t xml:space="preserve"> </w:t>
      </w:r>
      <w:r>
        <w:rPr>
          <w:sz w:val="20"/>
        </w:rPr>
        <w:t>e</w:t>
      </w:r>
      <w:r>
        <w:rPr>
          <w:spacing w:val="-3"/>
          <w:sz w:val="20"/>
        </w:rPr>
        <w:t>v</w:t>
      </w:r>
      <w:r>
        <w:rPr>
          <w:sz w:val="20"/>
        </w:rPr>
        <w:t>en</w:t>
      </w:r>
      <w:r>
        <w:rPr>
          <w:spacing w:val="1"/>
          <w:sz w:val="20"/>
        </w:rPr>
        <w:t>i</w:t>
      </w:r>
      <w:r>
        <w:rPr>
          <w:spacing w:val="-4"/>
          <w:sz w:val="20"/>
        </w:rPr>
        <w:t>m</w:t>
      </w:r>
      <w:r>
        <w:rPr>
          <w:sz w:val="20"/>
        </w:rPr>
        <w:t>en</w:t>
      </w:r>
      <w:r>
        <w:rPr>
          <w:spacing w:val="1"/>
          <w:sz w:val="20"/>
        </w:rPr>
        <w:t>t</w:t>
      </w:r>
      <w:r>
        <w:rPr>
          <w:sz w:val="20"/>
        </w:rPr>
        <w:t xml:space="preserve">. </w:t>
      </w:r>
      <w:r>
        <w:rPr>
          <w:spacing w:val="-4"/>
          <w:sz w:val="20"/>
        </w:rPr>
        <w:t>Î</w:t>
      </w:r>
      <w:r>
        <w:rPr>
          <w:sz w:val="20"/>
        </w:rPr>
        <w:t>n</w:t>
      </w:r>
      <w:r>
        <w:rPr>
          <w:spacing w:val="1"/>
          <w:sz w:val="20"/>
        </w:rPr>
        <w:t>t</w:t>
      </w:r>
      <w:r>
        <w:rPr>
          <w:sz w:val="20"/>
        </w:rPr>
        <w:t>rer</w:t>
      </w:r>
      <w:r>
        <w:rPr>
          <w:spacing w:val="-3"/>
          <w:sz w:val="20"/>
        </w:rPr>
        <w:t>u</w:t>
      </w:r>
      <w:r>
        <w:rPr>
          <w:sz w:val="20"/>
        </w:rPr>
        <w:t>per</w:t>
      </w:r>
      <w:r>
        <w:rPr>
          <w:spacing w:val="-2"/>
          <w:sz w:val="20"/>
        </w:rPr>
        <w:t>i</w:t>
      </w:r>
      <w:r>
        <w:rPr>
          <w:spacing w:val="1"/>
          <w:sz w:val="20"/>
        </w:rPr>
        <w:t>l</w:t>
      </w:r>
      <w:r>
        <w:rPr>
          <w:sz w:val="20"/>
        </w:rPr>
        <w:t>e</w:t>
      </w:r>
      <w:r>
        <w:rPr>
          <w:spacing w:val="-2"/>
          <w:sz w:val="20"/>
        </w:rPr>
        <w:t xml:space="preserve"> </w:t>
      </w:r>
      <w:r>
        <w:rPr>
          <w:spacing w:val="1"/>
          <w:sz w:val="20"/>
        </w:rPr>
        <w:t>t</w:t>
      </w:r>
      <w:r>
        <w:rPr>
          <w:spacing w:val="-2"/>
          <w:sz w:val="20"/>
        </w:rPr>
        <w:t>r</w:t>
      </w:r>
      <w:r>
        <w:rPr>
          <w:sz w:val="20"/>
        </w:rPr>
        <w:t>a</w:t>
      </w:r>
      <w:r>
        <w:rPr>
          <w:spacing w:val="-2"/>
          <w:sz w:val="20"/>
        </w:rPr>
        <w:t>t</w:t>
      </w:r>
      <w:r>
        <w:rPr>
          <w:sz w:val="20"/>
        </w:rPr>
        <w:t>a</w:t>
      </w:r>
      <w:r>
        <w:rPr>
          <w:spacing w:val="-4"/>
          <w:sz w:val="20"/>
        </w:rPr>
        <w:t>m</w:t>
      </w:r>
      <w:r>
        <w:rPr>
          <w:sz w:val="20"/>
        </w:rPr>
        <w:t>en</w:t>
      </w:r>
      <w:r>
        <w:rPr>
          <w:spacing w:val="1"/>
          <w:sz w:val="20"/>
        </w:rPr>
        <w:t>t</w:t>
      </w:r>
      <w:r>
        <w:rPr>
          <w:sz w:val="20"/>
        </w:rPr>
        <w:t>u</w:t>
      </w:r>
      <w:r>
        <w:rPr>
          <w:spacing w:val="1"/>
          <w:sz w:val="20"/>
        </w:rPr>
        <w:t>l</w:t>
      </w:r>
      <w:r>
        <w:rPr>
          <w:spacing w:val="-3"/>
          <w:sz w:val="20"/>
        </w:rPr>
        <w:t>u</w:t>
      </w:r>
      <w:r>
        <w:rPr>
          <w:sz w:val="20"/>
        </w:rPr>
        <w:t>i d</w:t>
      </w:r>
      <w:r>
        <w:rPr>
          <w:spacing w:val="-2"/>
          <w:sz w:val="20"/>
        </w:rPr>
        <w:t>i</w:t>
      </w:r>
      <w:r>
        <w:rPr>
          <w:sz w:val="20"/>
        </w:rPr>
        <w:t>n a</w:t>
      </w:r>
      <w:r>
        <w:rPr>
          <w:spacing w:val="-2"/>
          <w:sz w:val="20"/>
        </w:rPr>
        <w:t>l</w:t>
      </w:r>
      <w:r>
        <w:rPr>
          <w:spacing w:val="1"/>
          <w:sz w:val="20"/>
        </w:rPr>
        <w:t>t</w:t>
      </w:r>
      <w:r>
        <w:rPr>
          <w:sz w:val="20"/>
        </w:rPr>
        <w:t>e</w:t>
      </w:r>
      <w:r>
        <w:rPr>
          <w:spacing w:val="-2"/>
          <w:sz w:val="20"/>
        </w:rPr>
        <w:t xml:space="preserve"> </w:t>
      </w:r>
      <w:r>
        <w:rPr>
          <w:sz w:val="20"/>
        </w:rPr>
        <w:t>cau</w:t>
      </w:r>
      <w:r>
        <w:rPr>
          <w:spacing w:val="-3"/>
          <w:sz w:val="20"/>
        </w:rPr>
        <w:t>z</w:t>
      </w:r>
      <w:r>
        <w:rPr>
          <w:sz w:val="20"/>
        </w:rPr>
        <w:t xml:space="preserve">e </w:t>
      </w:r>
      <w:r>
        <w:rPr>
          <w:spacing w:val="1"/>
          <w:sz w:val="20"/>
        </w:rPr>
        <w:t>î</w:t>
      </w:r>
      <w:r>
        <w:rPr>
          <w:sz w:val="20"/>
        </w:rPr>
        <w:t>n</w:t>
      </w:r>
      <w:r>
        <w:rPr>
          <w:spacing w:val="-3"/>
          <w:sz w:val="20"/>
        </w:rPr>
        <w:t xml:space="preserve"> </w:t>
      </w:r>
      <w:r>
        <w:rPr>
          <w:sz w:val="20"/>
        </w:rPr>
        <w:t>af</w:t>
      </w:r>
      <w:r>
        <w:rPr>
          <w:spacing w:val="-3"/>
          <w:sz w:val="20"/>
        </w:rPr>
        <w:t>a</w:t>
      </w:r>
      <w:r>
        <w:rPr>
          <w:sz w:val="20"/>
        </w:rPr>
        <w:t xml:space="preserve">ră </w:t>
      </w:r>
      <w:r>
        <w:rPr>
          <w:spacing w:val="-3"/>
          <w:sz w:val="20"/>
        </w:rPr>
        <w:t>d</w:t>
      </w:r>
      <w:r>
        <w:rPr>
          <w:sz w:val="20"/>
        </w:rPr>
        <w:t>e eşec</w:t>
      </w:r>
      <w:r>
        <w:rPr>
          <w:spacing w:val="-2"/>
          <w:sz w:val="20"/>
        </w:rPr>
        <w:t xml:space="preserve"> </w:t>
      </w:r>
      <w:r>
        <w:rPr>
          <w:spacing w:val="1"/>
          <w:sz w:val="20"/>
        </w:rPr>
        <w:t>l</w:t>
      </w:r>
      <w:r>
        <w:rPr>
          <w:sz w:val="20"/>
        </w:rPr>
        <w:t>a</w:t>
      </w:r>
      <w:r>
        <w:rPr>
          <w:spacing w:val="-2"/>
          <w:sz w:val="20"/>
        </w:rPr>
        <w:t xml:space="preserve"> </w:t>
      </w:r>
      <w:r>
        <w:rPr>
          <w:spacing w:val="1"/>
          <w:sz w:val="20"/>
        </w:rPr>
        <w:t>t</w:t>
      </w:r>
      <w:r>
        <w:rPr>
          <w:spacing w:val="-2"/>
          <w:sz w:val="20"/>
        </w:rPr>
        <w:t>r</w:t>
      </w:r>
      <w:r>
        <w:rPr>
          <w:sz w:val="20"/>
        </w:rPr>
        <w:t>a</w:t>
      </w:r>
      <w:r>
        <w:rPr>
          <w:spacing w:val="1"/>
          <w:sz w:val="20"/>
        </w:rPr>
        <w:t>t</w:t>
      </w:r>
      <w:r>
        <w:rPr>
          <w:sz w:val="20"/>
        </w:rPr>
        <w:t>a</w:t>
      </w:r>
      <w:r>
        <w:rPr>
          <w:spacing w:val="-4"/>
          <w:sz w:val="20"/>
        </w:rPr>
        <w:t>m</w:t>
      </w:r>
      <w:r>
        <w:rPr>
          <w:sz w:val="20"/>
        </w:rPr>
        <w:t>ent</w:t>
      </w:r>
      <w:r>
        <w:rPr>
          <w:spacing w:val="1"/>
          <w:sz w:val="20"/>
        </w:rPr>
        <w:t xml:space="preserve"> </w:t>
      </w:r>
      <w:r>
        <w:rPr>
          <w:spacing w:val="-3"/>
          <w:sz w:val="20"/>
        </w:rPr>
        <w:t>n</w:t>
      </w:r>
      <w:r>
        <w:rPr>
          <w:sz w:val="20"/>
        </w:rPr>
        <w:t>u au</w:t>
      </w:r>
      <w:r>
        <w:rPr>
          <w:spacing w:val="-3"/>
          <w:sz w:val="20"/>
        </w:rPr>
        <w:t xml:space="preserve"> </w:t>
      </w:r>
      <w:r>
        <w:rPr>
          <w:sz w:val="20"/>
        </w:rPr>
        <w:t>fo</w:t>
      </w:r>
      <w:r>
        <w:rPr>
          <w:spacing w:val="-2"/>
          <w:sz w:val="20"/>
        </w:rPr>
        <w:t>s</w:t>
      </w:r>
      <w:r>
        <w:rPr>
          <w:sz w:val="20"/>
        </w:rPr>
        <w:t>t</w:t>
      </w:r>
      <w:r>
        <w:rPr>
          <w:spacing w:val="-2"/>
          <w:sz w:val="20"/>
        </w:rPr>
        <w:t xml:space="preserve"> </w:t>
      </w:r>
      <w:r>
        <w:rPr>
          <w:spacing w:val="1"/>
          <w:sz w:val="20"/>
        </w:rPr>
        <w:t>î</w:t>
      </w:r>
      <w:r>
        <w:rPr>
          <w:sz w:val="20"/>
        </w:rPr>
        <w:t>nre</w:t>
      </w:r>
      <w:r>
        <w:rPr>
          <w:spacing w:val="-3"/>
          <w:sz w:val="20"/>
        </w:rPr>
        <w:t>g</w:t>
      </w:r>
      <w:r>
        <w:rPr>
          <w:spacing w:val="1"/>
          <w:sz w:val="20"/>
        </w:rPr>
        <w:t>i</w:t>
      </w:r>
      <w:r>
        <w:rPr>
          <w:spacing w:val="-2"/>
          <w:sz w:val="20"/>
        </w:rPr>
        <w:t>s</w:t>
      </w:r>
      <w:r>
        <w:rPr>
          <w:spacing w:val="1"/>
          <w:sz w:val="20"/>
        </w:rPr>
        <w:t>t</w:t>
      </w:r>
      <w:r>
        <w:rPr>
          <w:spacing w:val="-2"/>
          <w:sz w:val="20"/>
        </w:rPr>
        <w:t>r</w:t>
      </w:r>
      <w:r>
        <w:rPr>
          <w:sz w:val="20"/>
        </w:rPr>
        <w:t>a</w:t>
      </w:r>
      <w:r>
        <w:rPr>
          <w:spacing w:val="-2"/>
          <w:sz w:val="20"/>
        </w:rPr>
        <w:t>t</w:t>
      </w:r>
      <w:r>
        <w:rPr>
          <w:sz w:val="20"/>
        </w:rPr>
        <w:t xml:space="preserve">e </w:t>
      </w:r>
      <w:r>
        <w:rPr>
          <w:spacing w:val="-2"/>
          <w:sz w:val="20"/>
        </w:rPr>
        <w:t>l</w:t>
      </w:r>
      <w:r>
        <w:rPr>
          <w:sz w:val="20"/>
        </w:rPr>
        <w:t xml:space="preserve">a </w:t>
      </w:r>
      <w:r>
        <w:rPr>
          <w:spacing w:val="-4"/>
          <w:sz w:val="20"/>
        </w:rPr>
        <w:t>m</w:t>
      </w:r>
      <w:r>
        <w:rPr>
          <w:spacing w:val="2"/>
          <w:sz w:val="20"/>
        </w:rPr>
        <w:t>o</w:t>
      </w:r>
      <w:r>
        <w:rPr>
          <w:spacing w:val="-4"/>
          <w:sz w:val="20"/>
        </w:rPr>
        <w:t>m</w:t>
      </w:r>
      <w:r>
        <w:rPr>
          <w:sz w:val="20"/>
        </w:rPr>
        <w:t>en</w:t>
      </w:r>
      <w:r>
        <w:rPr>
          <w:spacing w:val="1"/>
          <w:sz w:val="20"/>
        </w:rPr>
        <w:t>t</w:t>
      </w:r>
      <w:r>
        <w:rPr>
          <w:sz w:val="20"/>
        </w:rPr>
        <w:t>ul</w:t>
      </w:r>
      <w:r>
        <w:rPr>
          <w:spacing w:val="-2"/>
          <w:sz w:val="20"/>
        </w:rPr>
        <w:t xml:space="preserve"> </w:t>
      </w:r>
      <w:r>
        <w:rPr>
          <w:spacing w:val="1"/>
          <w:sz w:val="20"/>
        </w:rPr>
        <w:t>î</w:t>
      </w:r>
      <w:r>
        <w:rPr>
          <w:sz w:val="20"/>
        </w:rPr>
        <w:t>n</w:t>
      </w:r>
      <w:r>
        <w:rPr>
          <w:spacing w:val="-2"/>
          <w:sz w:val="20"/>
        </w:rPr>
        <w:t>t</w:t>
      </w:r>
      <w:r>
        <w:rPr>
          <w:sz w:val="20"/>
        </w:rPr>
        <w:t>rer</w:t>
      </w:r>
      <w:r>
        <w:rPr>
          <w:spacing w:val="-3"/>
          <w:sz w:val="20"/>
        </w:rPr>
        <w:t>u</w:t>
      </w:r>
      <w:r>
        <w:rPr>
          <w:sz w:val="20"/>
        </w:rPr>
        <w:t>pe</w:t>
      </w:r>
      <w:r>
        <w:rPr>
          <w:spacing w:val="-2"/>
          <w:sz w:val="20"/>
        </w:rPr>
        <w:t>r</w:t>
      </w:r>
      <w:r>
        <w:rPr>
          <w:spacing w:val="1"/>
          <w:sz w:val="20"/>
        </w:rPr>
        <w:t>i</w:t>
      </w:r>
      <w:r>
        <w:rPr>
          <w:sz w:val="20"/>
        </w:rPr>
        <w:t>i</w:t>
      </w:r>
      <w:r>
        <w:rPr>
          <w:spacing w:val="-2"/>
          <w:sz w:val="20"/>
        </w:rPr>
        <w:t xml:space="preserve"> t</w:t>
      </w:r>
      <w:r>
        <w:rPr>
          <w:sz w:val="20"/>
        </w:rPr>
        <w:t>ra</w:t>
      </w:r>
      <w:r>
        <w:rPr>
          <w:spacing w:val="-2"/>
          <w:sz w:val="20"/>
        </w:rPr>
        <w:t>t</w:t>
      </w:r>
      <w:r>
        <w:rPr>
          <w:sz w:val="20"/>
        </w:rPr>
        <w:t>a</w:t>
      </w:r>
      <w:r>
        <w:rPr>
          <w:spacing w:val="-4"/>
          <w:sz w:val="20"/>
        </w:rPr>
        <w:t>m</w:t>
      </w:r>
      <w:r>
        <w:rPr>
          <w:sz w:val="20"/>
        </w:rPr>
        <w:t>en</w:t>
      </w:r>
      <w:r>
        <w:rPr>
          <w:spacing w:val="1"/>
          <w:sz w:val="20"/>
        </w:rPr>
        <w:t>t</w:t>
      </w:r>
      <w:r>
        <w:rPr>
          <w:sz w:val="20"/>
        </w:rPr>
        <w:t>u</w:t>
      </w:r>
      <w:r>
        <w:rPr>
          <w:spacing w:val="1"/>
          <w:sz w:val="20"/>
        </w:rPr>
        <w:t>l</w:t>
      </w:r>
      <w:r>
        <w:rPr>
          <w:spacing w:val="-3"/>
          <w:sz w:val="20"/>
        </w:rPr>
        <w:t>u</w:t>
      </w:r>
      <w:r>
        <w:rPr>
          <w:spacing w:val="1"/>
          <w:sz w:val="20"/>
        </w:rPr>
        <w:t>i</w:t>
      </w:r>
      <w:r>
        <w:rPr>
          <w:sz w:val="20"/>
        </w:rPr>
        <w:t>.</w:t>
      </w:r>
    </w:p>
    <w:p w14:paraId="29D231C4" w14:textId="77777777" w:rsidR="00C04CAD" w:rsidRDefault="00060E34">
      <w:pPr>
        <w:keepNext/>
        <w:kinsoku w:val="0"/>
        <w:overflowPunct w:val="0"/>
        <w:autoSpaceDE w:val="0"/>
        <w:autoSpaceDN w:val="0"/>
        <w:adjustRightInd w:val="0"/>
        <w:spacing w:line="240" w:lineRule="auto"/>
        <w:ind w:left="227" w:hanging="227"/>
        <w:rPr>
          <w:sz w:val="20"/>
        </w:rPr>
      </w:pPr>
      <w:r>
        <w:rPr>
          <w:spacing w:val="-1"/>
          <w:sz w:val="20"/>
          <w:vertAlign w:val="superscript"/>
        </w:rPr>
        <w:t>a</w:t>
      </w:r>
      <w:r>
        <w:rPr>
          <w:spacing w:val="-1"/>
          <w:sz w:val="20"/>
        </w:rPr>
        <w:tab/>
        <w:t>S</w:t>
      </w:r>
      <w:r>
        <w:rPr>
          <w:sz w:val="20"/>
        </w:rPr>
        <w:t>R</w:t>
      </w:r>
      <w:r>
        <w:rPr>
          <w:spacing w:val="-1"/>
          <w:sz w:val="20"/>
        </w:rPr>
        <w:t xml:space="preserve"> </w:t>
      </w:r>
      <w:r>
        <w:rPr>
          <w:sz w:val="20"/>
        </w:rPr>
        <w:t>pen</w:t>
      </w:r>
      <w:r>
        <w:rPr>
          <w:spacing w:val="-2"/>
          <w:sz w:val="20"/>
        </w:rPr>
        <w:t>t</w:t>
      </w:r>
      <w:r>
        <w:rPr>
          <w:sz w:val="20"/>
        </w:rPr>
        <w:t>ru a</w:t>
      </w:r>
      <w:r>
        <w:rPr>
          <w:spacing w:val="-3"/>
          <w:sz w:val="20"/>
        </w:rPr>
        <w:t>d</w:t>
      </w:r>
      <w:r>
        <w:rPr>
          <w:sz w:val="20"/>
        </w:rPr>
        <w:t>a</w:t>
      </w:r>
      <w:r>
        <w:rPr>
          <w:spacing w:val="-2"/>
          <w:sz w:val="20"/>
        </w:rPr>
        <w:t>l</w:t>
      </w:r>
      <w:r>
        <w:rPr>
          <w:spacing w:val="1"/>
          <w:sz w:val="20"/>
        </w:rPr>
        <w:t>i</w:t>
      </w:r>
      <w:r>
        <w:rPr>
          <w:spacing w:val="-4"/>
          <w:sz w:val="20"/>
        </w:rPr>
        <w:t>m</w:t>
      </w:r>
      <w:r>
        <w:rPr>
          <w:spacing w:val="2"/>
          <w:sz w:val="20"/>
        </w:rPr>
        <w:t>u</w:t>
      </w:r>
      <w:r>
        <w:rPr>
          <w:spacing w:val="-4"/>
          <w:sz w:val="20"/>
        </w:rPr>
        <w:t>m</w:t>
      </w:r>
      <w:r>
        <w:rPr>
          <w:sz w:val="20"/>
        </w:rPr>
        <w:t>ab co</w:t>
      </w:r>
      <w:r>
        <w:rPr>
          <w:spacing w:val="-4"/>
          <w:sz w:val="20"/>
        </w:rPr>
        <w:t>m</w:t>
      </w:r>
      <w:r>
        <w:rPr>
          <w:sz w:val="20"/>
        </w:rPr>
        <w:t>para</w:t>
      </w:r>
      <w:r>
        <w:rPr>
          <w:spacing w:val="1"/>
          <w:sz w:val="20"/>
        </w:rPr>
        <w:t>ti</w:t>
      </w:r>
      <w:r>
        <w:rPr>
          <w:sz w:val="20"/>
        </w:rPr>
        <w:t>v</w:t>
      </w:r>
      <w:r>
        <w:rPr>
          <w:spacing w:val="-3"/>
          <w:sz w:val="20"/>
        </w:rPr>
        <w:t xml:space="preserve"> </w:t>
      </w:r>
      <w:r>
        <w:rPr>
          <w:sz w:val="20"/>
        </w:rPr>
        <w:t xml:space="preserve">cu </w:t>
      </w:r>
      <w:r>
        <w:rPr>
          <w:spacing w:val="-3"/>
          <w:sz w:val="20"/>
        </w:rPr>
        <w:t>p</w:t>
      </w:r>
      <w:r>
        <w:rPr>
          <w:spacing w:val="1"/>
          <w:sz w:val="20"/>
        </w:rPr>
        <w:t>l</w:t>
      </w:r>
      <w:r>
        <w:rPr>
          <w:sz w:val="20"/>
        </w:rPr>
        <w:t>ac</w:t>
      </w:r>
      <w:r>
        <w:rPr>
          <w:spacing w:val="-3"/>
          <w:sz w:val="20"/>
        </w:rPr>
        <w:t>e</w:t>
      </w:r>
      <w:r>
        <w:rPr>
          <w:sz w:val="20"/>
        </w:rPr>
        <w:t xml:space="preserve">bo </w:t>
      </w:r>
      <w:r>
        <w:rPr>
          <w:spacing w:val="-3"/>
          <w:sz w:val="20"/>
        </w:rPr>
        <w:t>a</w:t>
      </w:r>
      <w:r>
        <w:rPr>
          <w:sz w:val="20"/>
        </w:rPr>
        <w:t>l</w:t>
      </w:r>
      <w:r>
        <w:rPr>
          <w:spacing w:val="1"/>
          <w:sz w:val="20"/>
        </w:rPr>
        <w:t xml:space="preserve"> </w:t>
      </w:r>
      <w:r>
        <w:rPr>
          <w:sz w:val="20"/>
        </w:rPr>
        <w:t>s</w:t>
      </w:r>
      <w:r>
        <w:rPr>
          <w:spacing w:val="-3"/>
          <w:sz w:val="20"/>
        </w:rPr>
        <w:t>c</w:t>
      </w:r>
      <w:r>
        <w:rPr>
          <w:sz w:val="20"/>
        </w:rPr>
        <w:t>ă</w:t>
      </w:r>
      <w:r>
        <w:rPr>
          <w:spacing w:val="-3"/>
          <w:sz w:val="20"/>
        </w:rPr>
        <w:t>d</w:t>
      </w:r>
      <w:r>
        <w:rPr>
          <w:sz w:val="20"/>
        </w:rPr>
        <w:t>er</w:t>
      </w:r>
      <w:r>
        <w:rPr>
          <w:spacing w:val="-2"/>
          <w:sz w:val="20"/>
        </w:rPr>
        <w:t>i</w:t>
      </w:r>
      <w:r>
        <w:rPr>
          <w:sz w:val="20"/>
        </w:rPr>
        <w:t>i</w:t>
      </w:r>
      <w:r>
        <w:rPr>
          <w:spacing w:val="1"/>
          <w:sz w:val="20"/>
        </w:rPr>
        <w:t xml:space="preserve"> </w:t>
      </w:r>
      <w:r>
        <w:rPr>
          <w:spacing w:val="-3"/>
          <w:sz w:val="20"/>
        </w:rPr>
        <w:t>p</w:t>
      </w:r>
      <w:r>
        <w:rPr>
          <w:sz w:val="20"/>
        </w:rPr>
        <w:t>rop</w:t>
      </w:r>
      <w:r>
        <w:rPr>
          <w:spacing w:val="-3"/>
          <w:sz w:val="20"/>
        </w:rPr>
        <w:t>o</w:t>
      </w:r>
      <w:r>
        <w:rPr>
          <w:sz w:val="20"/>
        </w:rPr>
        <w:t>r</w:t>
      </w:r>
      <w:r>
        <w:rPr>
          <w:spacing w:val="-2"/>
          <w:sz w:val="20"/>
        </w:rPr>
        <w:t>ţ</w:t>
      </w:r>
      <w:r>
        <w:rPr>
          <w:spacing w:val="1"/>
          <w:sz w:val="20"/>
        </w:rPr>
        <w:t>i</w:t>
      </w:r>
      <w:r>
        <w:rPr>
          <w:sz w:val="20"/>
        </w:rPr>
        <w:t>on</w:t>
      </w:r>
      <w:r>
        <w:rPr>
          <w:spacing w:val="-3"/>
          <w:sz w:val="20"/>
        </w:rPr>
        <w:t>a</w:t>
      </w:r>
      <w:r>
        <w:rPr>
          <w:spacing w:val="1"/>
          <w:sz w:val="20"/>
        </w:rPr>
        <w:t>l</w:t>
      </w:r>
      <w:r>
        <w:rPr>
          <w:sz w:val="20"/>
        </w:rPr>
        <w:t>e a</w:t>
      </w:r>
      <w:r>
        <w:rPr>
          <w:spacing w:val="-2"/>
          <w:sz w:val="20"/>
        </w:rPr>
        <w:t xml:space="preserve"> r</w:t>
      </w:r>
      <w:r>
        <w:rPr>
          <w:spacing w:val="1"/>
          <w:sz w:val="20"/>
        </w:rPr>
        <w:t>i</w:t>
      </w:r>
      <w:r>
        <w:rPr>
          <w:sz w:val="20"/>
        </w:rPr>
        <w:t>sc</w:t>
      </w:r>
      <w:r>
        <w:rPr>
          <w:spacing w:val="-3"/>
          <w:sz w:val="20"/>
        </w:rPr>
        <w:t>u</w:t>
      </w:r>
      <w:r>
        <w:rPr>
          <w:spacing w:val="1"/>
          <w:sz w:val="20"/>
        </w:rPr>
        <w:t>l</w:t>
      </w:r>
      <w:r>
        <w:rPr>
          <w:spacing w:val="-3"/>
          <w:sz w:val="20"/>
        </w:rPr>
        <w:t>u</w:t>
      </w:r>
      <w:r>
        <w:rPr>
          <w:sz w:val="20"/>
        </w:rPr>
        <w:t>i</w:t>
      </w:r>
      <w:r>
        <w:rPr>
          <w:spacing w:val="-2"/>
          <w:sz w:val="20"/>
        </w:rPr>
        <w:t xml:space="preserve"> </w:t>
      </w:r>
      <w:r>
        <w:rPr>
          <w:sz w:val="20"/>
        </w:rPr>
        <w:t>a</w:t>
      </w:r>
      <w:r>
        <w:rPr>
          <w:spacing w:val="-3"/>
          <w:sz w:val="20"/>
        </w:rPr>
        <w:t>v</w:t>
      </w:r>
      <w:r>
        <w:rPr>
          <w:sz w:val="20"/>
        </w:rPr>
        <w:t>ând ca fa</w:t>
      </w:r>
      <w:r>
        <w:rPr>
          <w:spacing w:val="-3"/>
          <w:sz w:val="20"/>
        </w:rPr>
        <w:t>c</w:t>
      </w:r>
      <w:r>
        <w:rPr>
          <w:spacing w:val="1"/>
          <w:sz w:val="20"/>
        </w:rPr>
        <w:t>t</w:t>
      </w:r>
      <w:r>
        <w:rPr>
          <w:sz w:val="20"/>
        </w:rPr>
        <w:t>or</w:t>
      </w:r>
      <w:r>
        <w:rPr>
          <w:spacing w:val="-2"/>
          <w:sz w:val="20"/>
        </w:rPr>
        <w:t xml:space="preserve"> </w:t>
      </w:r>
      <w:r>
        <w:rPr>
          <w:spacing w:val="1"/>
          <w:sz w:val="20"/>
        </w:rPr>
        <w:t>t</w:t>
      </w:r>
      <w:r>
        <w:rPr>
          <w:spacing w:val="-2"/>
          <w:sz w:val="20"/>
        </w:rPr>
        <w:t>r</w:t>
      </w:r>
      <w:r>
        <w:rPr>
          <w:sz w:val="20"/>
        </w:rPr>
        <w:t>a</w:t>
      </w:r>
      <w:r>
        <w:rPr>
          <w:spacing w:val="1"/>
          <w:sz w:val="20"/>
        </w:rPr>
        <w:t>t</w:t>
      </w:r>
      <w:r>
        <w:rPr>
          <w:sz w:val="20"/>
        </w:rPr>
        <w:t>a</w:t>
      </w:r>
      <w:r>
        <w:rPr>
          <w:spacing w:val="-4"/>
          <w:sz w:val="20"/>
        </w:rPr>
        <w:t>m</w:t>
      </w:r>
      <w:r>
        <w:rPr>
          <w:sz w:val="20"/>
        </w:rPr>
        <w:t>en</w:t>
      </w:r>
      <w:r>
        <w:rPr>
          <w:spacing w:val="1"/>
          <w:sz w:val="20"/>
        </w:rPr>
        <w:t>t</w:t>
      </w:r>
      <w:r>
        <w:rPr>
          <w:spacing w:val="-3"/>
          <w:sz w:val="20"/>
        </w:rPr>
        <w:t>u</w:t>
      </w:r>
      <w:r>
        <w:rPr>
          <w:sz w:val="20"/>
        </w:rPr>
        <w:t>l.</w:t>
      </w:r>
    </w:p>
    <w:p w14:paraId="7FCBEAEA" w14:textId="77777777" w:rsidR="00C04CAD" w:rsidRDefault="00060E34">
      <w:pPr>
        <w:kinsoku w:val="0"/>
        <w:overflowPunct w:val="0"/>
        <w:autoSpaceDE w:val="0"/>
        <w:autoSpaceDN w:val="0"/>
        <w:adjustRightInd w:val="0"/>
        <w:spacing w:line="240" w:lineRule="auto"/>
        <w:ind w:left="227" w:hanging="227"/>
        <w:rPr>
          <w:sz w:val="20"/>
        </w:rPr>
      </w:pPr>
      <w:r>
        <w:rPr>
          <w:spacing w:val="1"/>
          <w:sz w:val="20"/>
          <w:vertAlign w:val="superscript"/>
        </w:rPr>
        <w:t>b</w:t>
      </w:r>
      <w:r>
        <w:rPr>
          <w:spacing w:val="1"/>
          <w:sz w:val="20"/>
        </w:rPr>
        <w:tab/>
        <w:t>V</w:t>
      </w:r>
      <w:r>
        <w:rPr>
          <w:spacing w:val="-2"/>
          <w:sz w:val="20"/>
        </w:rPr>
        <w:t>a</w:t>
      </w:r>
      <w:r>
        <w:rPr>
          <w:spacing w:val="1"/>
          <w:sz w:val="20"/>
        </w:rPr>
        <w:t>l</w:t>
      </w:r>
      <w:r>
        <w:rPr>
          <w:sz w:val="20"/>
        </w:rPr>
        <w:t>o</w:t>
      </w:r>
      <w:r>
        <w:rPr>
          <w:spacing w:val="-2"/>
          <w:sz w:val="20"/>
        </w:rPr>
        <w:t>a</w:t>
      </w:r>
      <w:r>
        <w:rPr>
          <w:sz w:val="20"/>
        </w:rPr>
        <w:t xml:space="preserve">re </w:t>
      </w:r>
      <w:r>
        <w:rPr>
          <w:i/>
          <w:sz w:val="20"/>
        </w:rPr>
        <w:t xml:space="preserve">p </w:t>
      </w:r>
      <w:r>
        <w:rPr>
          <w:spacing w:val="-3"/>
          <w:sz w:val="20"/>
        </w:rPr>
        <w:t>d</w:t>
      </w:r>
      <w:r>
        <w:rPr>
          <w:spacing w:val="1"/>
          <w:sz w:val="20"/>
        </w:rPr>
        <w:t>i</w:t>
      </w:r>
      <w:r>
        <w:rPr>
          <w:sz w:val="20"/>
        </w:rPr>
        <w:t>n</w:t>
      </w:r>
      <w:r>
        <w:rPr>
          <w:spacing w:val="-3"/>
          <w:sz w:val="20"/>
        </w:rPr>
        <w:t xml:space="preserve"> </w:t>
      </w:r>
      <w:r>
        <w:rPr>
          <w:spacing w:val="1"/>
          <w:sz w:val="20"/>
        </w:rPr>
        <w:t>t</w:t>
      </w:r>
      <w:r>
        <w:rPr>
          <w:sz w:val="20"/>
        </w:rPr>
        <w:t>e</w:t>
      </w:r>
      <w:r>
        <w:rPr>
          <w:spacing w:val="-2"/>
          <w:sz w:val="20"/>
        </w:rPr>
        <w:t>s</w:t>
      </w:r>
      <w:r>
        <w:rPr>
          <w:spacing w:val="1"/>
          <w:sz w:val="20"/>
        </w:rPr>
        <w:t>t</w:t>
      </w:r>
      <w:r>
        <w:rPr>
          <w:spacing w:val="-3"/>
          <w:sz w:val="20"/>
        </w:rPr>
        <w:t>u</w:t>
      </w:r>
      <w:r>
        <w:rPr>
          <w:sz w:val="20"/>
        </w:rPr>
        <w:t>l</w:t>
      </w:r>
      <w:r>
        <w:rPr>
          <w:spacing w:val="1"/>
          <w:sz w:val="20"/>
        </w:rPr>
        <w:t xml:space="preserve"> </w:t>
      </w:r>
      <w:r>
        <w:rPr>
          <w:sz w:val="20"/>
        </w:rPr>
        <w:t>de</w:t>
      </w:r>
      <w:r>
        <w:rPr>
          <w:spacing w:val="-2"/>
          <w:sz w:val="20"/>
        </w:rPr>
        <w:t xml:space="preserve"> </w:t>
      </w:r>
      <w:r>
        <w:rPr>
          <w:spacing w:val="1"/>
          <w:sz w:val="20"/>
        </w:rPr>
        <w:t>ti</w:t>
      </w:r>
      <w:r>
        <w:rPr>
          <w:sz w:val="20"/>
        </w:rPr>
        <w:t>p</w:t>
      </w:r>
      <w:r>
        <w:rPr>
          <w:spacing w:val="-3"/>
          <w:sz w:val="20"/>
        </w:rPr>
        <w:t xml:space="preserve"> </w:t>
      </w:r>
      <w:r>
        <w:rPr>
          <w:spacing w:val="-2"/>
          <w:sz w:val="20"/>
        </w:rPr>
        <w:t>l</w:t>
      </w:r>
      <w:r>
        <w:rPr>
          <w:sz w:val="20"/>
        </w:rPr>
        <w:t>og</w:t>
      </w:r>
      <w:r>
        <w:rPr>
          <w:spacing w:val="-3"/>
          <w:sz w:val="20"/>
        </w:rPr>
        <w:t xml:space="preserve"> </w:t>
      </w:r>
      <w:r>
        <w:rPr>
          <w:sz w:val="20"/>
        </w:rPr>
        <w:t>ran</w:t>
      </w:r>
      <w:r>
        <w:rPr>
          <w:spacing w:val="-3"/>
          <w:sz w:val="20"/>
        </w:rPr>
        <w:t>k.</w:t>
      </w:r>
    </w:p>
    <w:p w14:paraId="4D00147C" w14:textId="77777777" w:rsidR="00C04CAD" w:rsidRDefault="00060E34">
      <w:pPr>
        <w:kinsoku w:val="0"/>
        <w:overflowPunct w:val="0"/>
        <w:autoSpaceDE w:val="0"/>
        <w:autoSpaceDN w:val="0"/>
        <w:adjustRightInd w:val="0"/>
        <w:spacing w:line="240" w:lineRule="auto"/>
        <w:ind w:left="227" w:hanging="227"/>
        <w:rPr>
          <w:sz w:val="20"/>
        </w:rPr>
      </w:pPr>
      <w:r>
        <w:rPr>
          <w:spacing w:val="1"/>
          <w:sz w:val="20"/>
          <w:vertAlign w:val="superscript"/>
        </w:rPr>
        <w:t>c</w:t>
      </w:r>
      <w:r>
        <w:rPr>
          <w:spacing w:val="-1"/>
          <w:sz w:val="20"/>
        </w:rPr>
        <w:tab/>
        <w:t>N</w:t>
      </w:r>
      <w:r>
        <w:rPr>
          <w:sz w:val="20"/>
        </w:rPr>
        <w:t>E</w:t>
      </w:r>
      <w:r>
        <w:rPr>
          <w:spacing w:val="-1"/>
          <w:sz w:val="20"/>
        </w:rPr>
        <w:t xml:space="preserve"> </w:t>
      </w:r>
      <w:r>
        <w:rPr>
          <w:sz w:val="20"/>
        </w:rPr>
        <w:t>= nu p</w:t>
      </w:r>
      <w:r>
        <w:rPr>
          <w:spacing w:val="-3"/>
          <w:sz w:val="20"/>
        </w:rPr>
        <w:t>o</w:t>
      </w:r>
      <w:r>
        <w:rPr>
          <w:sz w:val="20"/>
        </w:rPr>
        <w:t>t</w:t>
      </w:r>
      <w:r>
        <w:rPr>
          <w:spacing w:val="1"/>
          <w:sz w:val="20"/>
        </w:rPr>
        <w:t xml:space="preserve"> </w:t>
      </w:r>
      <w:r>
        <w:rPr>
          <w:spacing w:val="-2"/>
          <w:sz w:val="20"/>
        </w:rPr>
        <w:t>f</w:t>
      </w:r>
      <w:r>
        <w:rPr>
          <w:sz w:val="20"/>
        </w:rPr>
        <w:t>i</w:t>
      </w:r>
      <w:r>
        <w:rPr>
          <w:spacing w:val="1"/>
          <w:sz w:val="20"/>
        </w:rPr>
        <w:t xml:space="preserve"> </w:t>
      </w:r>
      <w:r>
        <w:rPr>
          <w:sz w:val="20"/>
        </w:rPr>
        <w:t>e</w:t>
      </w:r>
      <w:r>
        <w:rPr>
          <w:spacing w:val="-2"/>
          <w:sz w:val="20"/>
        </w:rPr>
        <w:t>s</w:t>
      </w:r>
      <w:r>
        <w:rPr>
          <w:spacing w:val="1"/>
          <w:sz w:val="20"/>
        </w:rPr>
        <w:t>ti</w:t>
      </w:r>
      <w:r>
        <w:rPr>
          <w:spacing w:val="-4"/>
          <w:sz w:val="20"/>
        </w:rPr>
        <w:t>m</w:t>
      </w:r>
      <w:r>
        <w:rPr>
          <w:sz w:val="20"/>
        </w:rPr>
        <w:t>a</w:t>
      </w:r>
      <w:r>
        <w:rPr>
          <w:spacing w:val="1"/>
          <w:sz w:val="20"/>
        </w:rPr>
        <w:t>t</w:t>
      </w:r>
      <w:r>
        <w:rPr>
          <w:sz w:val="20"/>
        </w:rPr>
        <w:t>e.</w:t>
      </w:r>
      <w:r>
        <w:rPr>
          <w:spacing w:val="-3"/>
          <w:sz w:val="20"/>
        </w:rPr>
        <w:t xml:space="preserve"> </w:t>
      </w:r>
      <w:r>
        <w:rPr>
          <w:spacing w:val="-2"/>
          <w:sz w:val="20"/>
        </w:rPr>
        <w:t>M</w:t>
      </w:r>
      <w:r>
        <w:rPr>
          <w:sz w:val="20"/>
        </w:rPr>
        <w:t>ai</w:t>
      </w:r>
      <w:r>
        <w:rPr>
          <w:spacing w:val="1"/>
          <w:sz w:val="20"/>
        </w:rPr>
        <w:t xml:space="preserve"> </w:t>
      </w:r>
      <w:r>
        <w:rPr>
          <w:sz w:val="20"/>
        </w:rPr>
        <w:t>p</w:t>
      </w:r>
      <w:r>
        <w:rPr>
          <w:spacing w:val="-3"/>
          <w:sz w:val="20"/>
        </w:rPr>
        <w:t>u</w:t>
      </w:r>
      <w:r>
        <w:rPr>
          <w:spacing w:val="1"/>
          <w:sz w:val="20"/>
        </w:rPr>
        <w:t>ți</w:t>
      </w:r>
      <w:r>
        <w:rPr>
          <w:sz w:val="20"/>
        </w:rPr>
        <w:t>n</w:t>
      </w:r>
      <w:r>
        <w:rPr>
          <w:spacing w:val="-3"/>
          <w:sz w:val="20"/>
        </w:rPr>
        <w:t xml:space="preserve"> </w:t>
      </w:r>
      <w:r>
        <w:rPr>
          <w:sz w:val="20"/>
        </w:rPr>
        <w:t>de</w:t>
      </w:r>
      <w:r>
        <w:rPr>
          <w:spacing w:val="-2"/>
          <w:sz w:val="20"/>
        </w:rPr>
        <w:t xml:space="preserve"> </w:t>
      </w:r>
      <w:r>
        <w:rPr>
          <w:spacing w:val="1"/>
          <w:sz w:val="20"/>
        </w:rPr>
        <w:t>j</w:t>
      </w:r>
      <w:r>
        <w:rPr>
          <w:sz w:val="20"/>
        </w:rPr>
        <w:t>u</w:t>
      </w:r>
      <w:r>
        <w:rPr>
          <w:spacing w:val="-4"/>
          <w:sz w:val="20"/>
        </w:rPr>
        <w:t>m</w:t>
      </w:r>
      <w:r>
        <w:rPr>
          <w:sz w:val="20"/>
        </w:rPr>
        <w:t>ă</w:t>
      </w:r>
      <w:r>
        <w:rPr>
          <w:spacing w:val="1"/>
          <w:sz w:val="20"/>
        </w:rPr>
        <w:t>t</w:t>
      </w:r>
      <w:r>
        <w:rPr>
          <w:sz w:val="20"/>
        </w:rPr>
        <w:t>a</w:t>
      </w:r>
      <w:r>
        <w:rPr>
          <w:spacing w:val="1"/>
          <w:sz w:val="20"/>
        </w:rPr>
        <w:t>t</w:t>
      </w:r>
      <w:r>
        <w:rPr>
          <w:sz w:val="20"/>
        </w:rPr>
        <w:t>e</w:t>
      </w:r>
      <w:r>
        <w:rPr>
          <w:spacing w:val="-2"/>
          <w:sz w:val="20"/>
        </w:rPr>
        <w:t xml:space="preserve"> </w:t>
      </w:r>
      <w:r>
        <w:rPr>
          <w:sz w:val="20"/>
        </w:rPr>
        <w:t>d</w:t>
      </w:r>
      <w:r>
        <w:rPr>
          <w:spacing w:val="1"/>
          <w:sz w:val="20"/>
        </w:rPr>
        <w:t>i</w:t>
      </w:r>
      <w:r>
        <w:rPr>
          <w:sz w:val="20"/>
        </w:rPr>
        <w:t>n</w:t>
      </w:r>
      <w:r>
        <w:rPr>
          <w:spacing w:val="-3"/>
          <w:sz w:val="20"/>
        </w:rPr>
        <w:t xml:space="preserve"> </w:t>
      </w:r>
      <w:r>
        <w:rPr>
          <w:sz w:val="20"/>
        </w:rPr>
        <w:t>su</w:t>
      </w:r>
      <w:r>
        <w:rPr>
          <w:spacing w:val="-3"/>
          <w:sz w:val="20"/>
        </w:rPr>
        <w:t>b</w:t>
      </w:r>
      <w:r>
        <w:rPr>
          <w:spacing w:val="1"/>
          <w:sz w:val="20"/>
        </w:rPr>
        <w:t>i</w:t>
      </w:r>
      <w:r>
        <w:rPr>
          <w:sz w:val="20"/>
        </w:rPr>
        <w:t>e</w:t>
      </w:r>
      <w:r>
        <w:rPr>
          <w:spacing w:val="-3"/>
          <w:sz w:val="20"/>
        </w:rPr>
        <w:t>c</w:t>
      </w:r>
      <w:r>
        <w:rPr>
          <w:spacing w:val="1"/>
          <w:sz w:val="20"/>
        </w:rPr>
        <w:t>ț</w:t>
      </w:r>
      <w:r>
        <w:rPr>
          <w:spacing w:val="-2"/>
          <w:sz w:val="20"/>
        </w:rPr>
        <w:t>i</w:t>
      </w:r>
      <w:r>
        <w:rPr>
          <w:sz w:val="20"/>
        </w:rPr>
        <w:t>i</w:t>
      </w:r>
      <w:r>
        <w:rPr>
          <w:spacing w:val="1"/>
          <w:sz w:val="20"/>
        </w:rPr>
        <w:t xml:space="preserve"> </w:t>
      </w:r>
      <w:r>
        <w:rPr>
          <w:sz w:val="20"/>
        </w:rPr>
        <w:t>cu</w:t>
      </w:r>
      <w:r>
        <w:rPr>
          <w:spacing w:val="-3"/>
          <w:sz w:val="20"/>
        </w:rPr>
        <w:t xml:space="preserve"> </w:t>
      </w:r>
      <w:r>
        <w:rPr>
          <w:sz w:val="20"/>
        </w:rPr>
        <w:t>r</w:t>
      </w:r>
      <w:r>
        <w:rPr>
          <w:spacing w:val="-2"/>
          <w:sz w:val="20"/>
        </w:rPr>
        <w:t>i</w:t>
      </w:r>
      <w:r>
        <w:rPr>
          <w:sz w:val="20"/>
        </w:rPr>
        <w:t>sc a</w:t>
      </w:r>
      <w:r>
        <w:rPr>
          <w:spacing w:val="-2"/>
          <w:sz w:val="20"/>
        </w:rPr>
        <w:t xml:space="preserve"> </w:t>
      </w:r>
      <w:r>
        <w:rPr>
          <w:sz w:val="20"/>
        </w:rPr>
        <w:t>a</w:t>
      </w:r>
      <w:r>
        <w:rPr>
          <w:spacing w:val="-3"/>
          <w:sz w:val="20"/>
        </w:rPr>
        <w:t>v</w:t>
      </w:r>
      <w:r>
        <w:rPr>
          <w:sz w:val="20"/>
        </w:rPr>
        <w:t>ut</w:t>
      </w:r>
      <w:r>
        <w:rPr>
          <w:spacing w:val="1"/>
          <w:sz w:val="20"/>
        </w:rPr>
        <w:t xml:space="preserve"> </w:t>
      </w:r>
      <w:r>
        <w:rPr>
          <w:sz w:val="20"/>
        </w:rPr>
        <w:t>un e</w:t>
      </w:r>
      <w:r>
        <w:rPr>
          <w:spacing w:val="-3"/>
          <w:sz w:val="20"/>
        </w:rPr>
        <w:t>v</w:t>
      </w:r>
      <w:r>
        <w:rPr>
          <w:sz w:val="20"/>
        </w:rPr>
        <w:t>e</w:t>
      </w:r>
      <w:r>
        <w:rPr>
          <w:spacing w:val="-3"/>
          <w:sz w:val="20"/>
        </w:rPr>
        <w:t>n</w:t>
      </w:r>
      <w:r>
        <w:rPr>
          <w:spacing w:val="1"/>
          <w:sz w:val="20"/>
        </w:rPr>
        <w:t>i</w:t>
      </w:r>
      <w:r>
        <w:rPr>
          <w:spacing w:val="-4"/>
          <w:sz w:val="20"/>
        </w:rPr>
        <w:t>m</w:t>
      </w:r>
      <w:r>
        <w:rPr>
          <w:sz w:val="20"/>
        </w:rPr>
        <w:t>en</w:t>
      </w:r>
      <w:r>
        <w:rPr>
          <w:spacing w:val="1"/>
          <w:sz w:val="20"/>
        </w:rPr>
        <w:t>t</w:t>
      </w:r>
      <w:r>
        <w:rPr>
          <w:sz w:val="20"/>
        </w:rPr>
        <w:t>.</w:t>
      </w:r>
    </w:p>
    <w:p w14:paraId="171EAE18" w14:textId="77777777" w:rsidR="00C04CAD" w:rsidRDefault="00C04CAD">
      <w:pPr>
        <w:pStyle w:val="Heading1"/>
        <w:widowControl/>
        <w:kinsoku w:val="0"/>
        <w:overflowPunct w:val="0"/>
        <w:ind w:left="0"/>
        <w:rPr>
          <w:b w:val="0"/>
          <w:spacing w:val="-1"/>
          <w:lang w:val="ro-RO"/>
        </w:rPr>
      </w:pPr>
    </w:p>
    <w:p w14:paraId="0F09886B" w14:textId="77777777" w:rsidR="00C04CAD" w:rsidRDefault="00060E34">
      <w:pPr>
        <w:keepNext/>
        <w:autoSpaceDE w:val="0"/>
        <w:autoSpaceDN w:val="0"/>
        <w:adjustRightInd w:val="0"/>
        <w:spacing w:line="240" w:lineRule="auto"/>
      </w:pPr>
      <w:r>
        <w:rPr>
          <w:b/>
          <w:spacing w:val="-1"/>
        </w:rPr>
        <w:t>F</w:t>
      </w:r>
      <w:r>
        <w:rPr>
          <w:b/>
          <w:spacing w:val="1"/>
        </w:rPr>
        <w:t>i</w:t>
      </w:r>
      <w:r>
        <w:rPr>
          <w:b/>
        </w:rPr>
        <w:t>g</w:t>
      </w:r>
      <w:r>
        <w:rPr>
          <w:b/>
          <w:spacing w:val="-1"/>
        </w:rPr>
        <w:t>u</w:t>
      </w:r>
      <w:r>
        <w:rPr>
          <w:b/>
        </w:rPr>
        <w:t xml:space="preserve">ra </w:t>
      </w:r>
      <w:r>
        <w:rPr>
          <w:b/>
          <w:spacing w:val="-3"/>
        </w:rPr>
        <w:t>2</w:t>
      </w:r>
      <w:r>
        <w:rPr>
          <w:b/>
        </w:rPr>
        <w:t>.</w:t>
      </w:r>
      <w:r>
        <w:rPr>
          <w:b/>
          <w:spacing w:val="1"/>
        </w:rPr>
        <w:t xml:space="preserve"> </w:t>
      </w:r>
      <w:r>
        <w:rPr>
          <w:b/>
          <w:spacing w:val="-1"/>
        </w:rPr>
        <w:t>Cu</w:t>
      </w:r>
      <w:r>
        <w:rPr>
          <w:b/>
        </w:rPr>
        <w:t>r</w:t>
      </w:r>
      <w:r>
        <w:rPr>
          <w:b/>
          <w:spacing w:val="-1"/>
        </w:rPr>
        <w:t>b</w:t>
      </w:r>
      <w:r>
        <w:rPr>
          <w:b/>
          <w:spacing w:val="-3"/>
        </w:rPr>
        <w:t>e</w:t>
      </w:r>
      <w:r>
        <w:rPr>
          <w:b/>
          <w:spacing w:val="1"/>
        </w:rPr>
        <w:t>l</w:t>
      </w:r>
      <w:r>
        <w:rPr>
          <w:b/>
        </w:rPr>
        <w:t>e</w:t>
      </w:r>
      <w:r>
        <w:rPr>
          <w:b/>
          <w:spacing w:val="-2"/>
        </w:rPr>
        <w:t xml:space="preserve"> </w:t>
      </w:r>
      <w:r>
        <w:rPr>
          <w:b/>
          <w:spacing w:val="1"/>
        </w:rPr>
        <w:t>K</w:t>
      </w:r>
      <w:r>
        <w:rPr>
          <w:b/>
        </w:rPr>
        <w:t>a</w:t>
      </w:r>
      <w:r>
        <w:rPr>
          <w:b/>
          <w:spacing w:val="-3"/>
        </w:rPr>
        <w:t>p</w:t>
      </w:r>
      <w:r>
        <w:rPr>
          <w:b/>
          <w:spacing w:val="1"/>
        </w:rPr>
        <w:t>l</w:t>
      </w:r>
      <w:r>
        <w:rPr>
          <w:b/>
        </w:rPr>
        <w:t>a</w:t>
      </w:r>
      <w:r>
        <w:rPr>
          <w:b/>
          <w:spacing w:val="-3"/>
        </w:rPr>
        <w:t>n</w:t>
      </w:r>
      <w:r>
        <w:rPr>
          <w:b/>
        </w:rPr>
        <w:t>-M</w:t>
      </w:r>
      <w:r>
        <w:rPr>
          <w:b/>
          <w:spacing w:val="-3"/>
        </w:rPr>
        <w:t>e</w:t>
      </w:r>
      <w:r>
        <w:rPr>
          <w:b/>
          <w:spacing w:val="1"/>
        </w:rPr>
        <w:t>i</w:t>
      </w:r>
      <w:r>
        <w:rPr>
          <w:b/>
        </w:rPr>
        <w:t>er</w:t>
      </w:r>
      <w:r>
        <w:rPr>
          <w:b/>
          <w:spacing w:val="-2"/>
        </w:rPr>
        <w:t xml:space="preserve"> </w:t>
      </w:r>
      <w:r>
        <w:rPr>
          <w:b/>
        </w:rPr>
        <w:t>s</w:t>
      </w:r>
      <w:r>
        <w:rPr>
          <w:b/>
          <w:spacing w:val="-1"/>
        </w:rPr>
        <w:t>u</w:t>
      </w:r>
      <w:r>
        <w:rPr>
          <w:b/>
          <w:spacing w:val="-2"/>
        </w:rPr>
        <w:t>m</w:t>
      </w:r>
      <w:r>
        <w:rPr>
          <w:b/>
        </w:rPr>
        <w:t>ar</w:t>
      </w:r>
      <w:r>
        <w:rPr>
          <w:b/>
          <w:spacing w:val="1"/>
        </w:rPr>
        <w:t>i</w:t>
      </w:r>
      <w:r>
        <w:rPr>
          <w:b/>
          <w:spacing w:val="-3"/>
        </w:rPr>
        <w:t>z</w:t>
      </w:r>
      <w:r>
        <w:rPr>
          <w:b/>
        </w:rPr>
        <w:t>â</w:t>
      </w:r>
      <w:r>
        <w:rPr>
          <w:b/>
          <w:spacing w:val="-1"/>
        </w:rPr>
        <w:t>n</w:t>
      </w:r>
      <w:r>
        <w:rPr>
          <w:b/>
        </w:rPr>
        <w:t>d</w:t>
      </w:r>
      <w:r>
        <w:rPr>
          <w:b/>
          <w:spacing w:val="-3"/>
        </w:rPr>
        <w:t xml:space="preserve"> </w:t>
      </w:r>
      <w:r>
        <w:rPr>
          <w:b/>
        </w:rPr>
        <w:t>t</w:t>
      </w:r>
      <w:r>
        <w:rPr>
          <w:b/>
          <w:spacing w:val="-2"/>
        </w:rPr>
        <w:t>i</w:t>
      </w:r>
      <w:r>
        <w:rPr>
          <w:b/>
        </w:rPr>
        <w:t>m</w:t>
      </w:r>
      <w:r>
        <w:rPr>
          <w:b/>
          <w:spacing w:val="-1"/>
        </w:rPr>
        <w:t>p</w:t>
      </w:r>
      <w:r>
        <w:rPr>
          <w:b/>
          <w:spacing w:val="-3"/>
        </w:rPr>
        <w:t>u</w:t>
      </w:r>
      <w:r>
        <w:rPr>
          <w:b/>
        </w:rPr>
        <w:t>l</w:t>
      </w:r>
      <w:r>
        <w:rPr>
          <w:b/>
          <w:spacing w:val="1"/>
        </w:rPr>
        <w:t xml:space="preserve"> </w:t>
      </w:r>
      <w:r>
        <w:rPr>
          <w:b/>
          <w:spacing w:val="-1"/>
        </w:rPr>
        <w:t>p</w:t>
      </w:r>
      <w:r>
        <w:rPr>
          <w:b/>
        </w:rPr>
        <w:t>â</w:t>
      </w:r>
      <w:r>
        <w:rPr>
          <w:b/>
          <w:spacing w:val="-1"/>
        </w:rPr>
        <w:t>n</w:t>
      </w:r>
      <w:r>
        <w:rPr>
          <w:b/>
        </w:rPr>
        <w:t>ă</w:t>
      </w:r>
      <w:r>
        <w:rPr>
          <w:b/>
          <w:spacing w:val="-3"/>
        </w:rPr>
        <w:t xml:space="preserve"> </w:t>
      </w:r>
      <w:r>
        <w:rPr>
          <w:b/>
          <w:spacing w:val="1"/>
        </w:rPr>
        <w:t>l</w:t>
      </w:r>
      <w:r>
        <w:rPr>
          <w:b/>
        </w:rPr>
        <w:t>a e</w:t>
      </w:r>
      <w:r>
        <w:rPr>
          <w:b/>
          <w:spacing w:val="-2"/>
        </w:rPr>
        <w:t>ș</w:t>
      </w:r>
      <w:r>
        <w:rPr>
          <w:b/>
        </w:rPr>
        <w:t>ecul</w:t>
      </w:r>
      <w:r>
        <w:rPr>
          <w:b/>
          <w:spacing w:val="-2"/>
        </w:rPr>
        <w:t xml:space="preserve"> </w:t>
      </w:r>
      <w:r>
        <w:rPr>
          <w:b/>
          <w:spacing w:val="1"/>
        </w:rPr>
        <w:t>l</w:t>
      </w:r>
      <w:r>
        <w:rPr>
          <w:b/>
        </w:rPr>
        <w:t xml:space="preserve">a </w:t>
      </w:r>
      <w:r>
        <w:rPr>
          <w:b/>
          <w:spacing w:val="-2"/>
        </w:rPr>
        <w:t>t</w:t>
      </w:r>
      <w:r>
        <w:rPr>
          <w:b/>
        </w:rPr>
        <w:t>ra</w:t>
      </w:r>
      <w:r>
        <w:rPr>
          <w:b/>
          <w:spacing w:val="-2"/>
        </w:rPr>
        <w:t>t</w:t>
      </w:r>
      <w:r>
        <w:rPr>
          <w:b/>
        </w:rPr>
        <w:t>ame</w:t>
      </w:r>
      <w:r>
        <w:rPr>
          <w:b/>
          <w:spacing w:val="-3"/>
        </w:rPr>
        <w:t>n</w:t>
      </w:r>
      <w:r>
        <w:rPr>
          <w:b/>
        </w:rPr>
        <w:t>t</w:t>
      </w:r>
      <w:r>
        <w:rPr>
          <w:b/>
          <w:spacing w:val="1"/>
        </w:rPr>
        <w:t xml:space="preserve"> î</w:t>
      </w:r>
      <w:r>
        <w:rPr>
          <w:b/>
        </w:rPr>
        <w:t>n</w:t>
      </w:r>
      <w:r>
        <w:rPr>
          <w:b/>
          <w:spacing w:val="-1"/>
        </w:rPr>
        <w:t xml:space="preserve"> s</w:t>
      </w:r>
      <w:r>
        <w:rPr>
          <w:b/>
        </w:rPr>
        <w:t>ă</w:t>
      </w:r>
      <w:r>
        <w:rPr>
          <w:b/>
          <w:spacing w:val="-3"/>
        </w:rPr>
        <w:t>p</w:t>
      </w:r>
      <w:r>
        <w:rPr>
          <w:b/>
        </w:rPr>
        <w:t>t</w:t>
      </w:r>
      <w:r>
        <w:rPr>
          <w:b/>
          <w:spacing w:val="-3"/>
        </w:rPr>
        <w:t>ă</w:t>
      </w:r>
      <w:r>
        <w:rPr>
          <w:b/>
        </w:rPr>
        <w:t>mâ</w:t>
      </w:r>
      <w:r>
        <w:rPr>
          <w:b/>
          <w:spacing w:val="-1"/>
        </w:rPr>
        <w:t>n</w:t>
      </w:r>
      <w:r>
        <w:rPr>
          <w:b/>
        </w:rPr>
        <w:t>a 6 sau</w:t>
      </w:r>
      <w:r>
        <w:rPr>
          <w:b/>
          <w:spacing w:val="-1"/>
        </w:rPr>
        <w:t xml:space="preserve"> dup</w:t>
      </w:r>
      <w:r>
        <w:rPr>
          <w:b/>
        </w:rPr>
        <w:t>ă (</w:t>
      </w:r>
      <w:r>
        <w:rPr>
          <w:b/>
          <w:spacing w:val="-3"/>
        </w:rPr>
        <w:t>S</w:t>
      </w:r>
      <w:r>
        <w:rPr>
          <w:b/>
        </w:rPr>
        <w:t>t</w:t>
      </w:r>
      <w:r>
        <w:rPr>
          <w:b/>
          <w:spacing w:val="-1"/>
        </w:rPr>
        <w:t>ud</w:t>
      </w:r>
      <w:r>
        <w:rPr>
          <w:b/>
          <w:spacing w:val="1"/>
        </w:rPr>
        <w:t>i</w:t>
      </w:r>
      <w:r>
        <w:rPr>
          <w:b/>
          <w:spacing w:val="-3"/>
        </w:rPr>
        <w:t>u</w:t>
      </w:r>
      <w:r>
        <w:rPr>
          <w:b/>
        </w:rPr>
        <w:t>l</w:t>
      </w:r>
      <w:r>
        <w:rPr>
          <w:b/>
          <w:spacing w:val="1"/>
        </w:rPr>
        <w:t xml:space="preserve"> </w:t>
      </w:r>
      <w:r>
        <w:rPr>
          <w:b/>
          <w:spacing w:val="-1"/>
        </w:rPr>
        <w:t>U</w:t>
      </w:r>
      <w:r>
        <w:rPr>
          <w:b/>
        </w:rPr>
        <w:t>V</w:t>
      </w:r>
      <w:r>
        <w:rPr>
          <w:b/>
          <w:spacing w:val="-1"/>
        </w:rPr>
        <w:t xml:space="preserve"> I</w:t>
      </w:r>
      <w:r>
        <w:rPr>
          <w:b/>
        </w:rPr>
        <w:t>)</w:t>
      </w:r>
      <w:r>
        <w:rPr>
          <w:b/>
          <w:spacing w:val="-2"/>
        </w:rPr>
        <w:t xml:space="preserve"> </w:t>
      </w:r>
      <w:r>
        <w:rPr>
          <w:b/>
        </w:rPr>
        <w:t>sau</w:t>
      </w:r>
      <w:r>
        <w:rPr>
          <w:b/>
          <w:spacing w:val="-1"/>
        </w:rPr>
        <w:t xml:space="preserve"> </w:t>
      </w:r>
      <w:r>
        <w:rPr>
          <w:b/>
          <w:spacing w:val="1"/>
        </w:rPr>
        <w:t>î</w:t>
      </w:r>
      <w:r>
        <w:rPr>
          <w:b/>
        </w:rPr>
        <w:t>n</w:t>
      </w:r>
      <w:r>
        <w:rPr>
          <w:b/>
          <w:spacing w:val="-1"/>
        </w:rPr>
        <w:t xml:space="preserve"> s</w:t>
      </w:r>
      <w:r>
        <w:rPr>
          <w:b/>
        </w:rPr>
        <w:t>ă</w:t>
      </w:r>
      <w:r>
        <w:rPr>
          <w:b/>
          <w:spacing w:val="-3"/>
        </w:rPr>
        <w:t>p</w:t>
      </w:r>
      <w:r>
        <w:rPr>
          <w:b/>
        </w:rPr>
        <w:t>t</w:t>
      </w:r>
      <w:r>
        <w:rPr>
          <w:b/>
          <w:spacing w:val="-3"/>
        </w:rPr>
        <w:t>ă</w:t>
      </w:r>
      <w:r>
        <w:rPr>
          <w:b/>
        </w:rPr>
        <w:t>mâ</w:t>
      </w:r>
      <w:r>
        <w:rPr>
          <w:b/>
          <w:spacing w:val="-1"/>
        </w:rPr>
        <w:t>n</w:t>
      </w:r>
      <w:r>
        <w:rPr>
          <w:b/>
        </w:rPr>
        <w:t>a 2</w:t>
      </w:r>
      <w:r>
        <w:rPr>
          <w:b/>
          <w:spacing w:val="-3"/>
        </w:rPr>
        <w:t xml:space="preserve"> </w:t>
      </w:r>
      <w:r>
        <w:rPr>
          <w:b/>
        </w:rPr>
        <w:t>sau</w:t>
      </w:r>
      <w:r>
        <w:rPr>
          <w:b/>
          <w:spacing w:val="-1"/>
        </w:rPr>
        <w:t xml:space="preserve"> </w:t>
      </w:r>
      <w:r>
        <w:rPr>
          <w:b/>
          <w:spacing w:val="-3"/>
        </w:rPr>
        <w:t>d</w:t>
      </w:r>
      <w:r>
        <w:rPr>
          <w:b/>
          <w:spacing w:val="-1"/>
        </w:rPr>
        <w:t>up</w:t>
      </w:r>
      <w:r>
        <w:rPr>
          <w:b/>
        </w:rPr>
        <w:t>ă (</w:t>
      </w:r>
      <w:r>
        <w:rPr>
          <w:b/>
          <w:spacing w:val="-1"/>
        </w:rPr>
        <w:t>S</w:t>
      </w:r>
      <w:r>
        <w:rPr>
          <w:b/>
        </w:rPr>
        <w:t>t</w:t>
      </w:r>
      <w:r>
        <w:rPr>
          <w:b/>
          <w:spacing w:val="-1"/>
        </w:rPr>
        <w:t>u</w:t>
      </w:r>
      <w:r>
        <w:rPr>
          <w:b/>
          <w:spacing w:val="-3"/>
        </w:rPr>
        <w:t>d</w:t>
      </w:r>
      <w:r>
        <w:rPr>
          <w:b/>
          <w:spacing w:val="1"/>
        </w:rPr>
        <w:t>i</w:t>
      </w:r>
      <w:r>
        <w:rPr>
          <w:b/>
          <w:spacing w:val="-1"/>
        </w:rPr>
        <w:t>u</w:t>
      </w:r>
      <w:r>
        <w:rPr>
          <w:b/>
        </w:rPr>
        <w:t>l</w:t>
      </w:r>
      <w:r>
        <w:rPr>
          <w:b/>
          <w:spacing w:val="1"/>
        </w:rPr>
        <w:t xml:space="preserve"> </w:t>
      </w:r>
      <w:r>
        <w:rPr>
          <w:b/>
          <w:spacing w:val="-1"/>
        </w:rPr>
        <w:t>U</w:t>
      </w:r>
      <w:r>
        <w:rPr>
          <w:b/>
        </w:rPr>
        <w:t>V</w:t>
      </w:r>
      <w:r>
        <w:rPr>
          <w:b/>
          <w:spacing w:val="-1"/>
        </w:rPr>
        <w:t xml:space="preserve"> </w:t>
      </w:r>
      <w:r>
        <w:rPr>
          <w:b/>
          <w:spacing w:val="-2"/>
        </w:rPr>
        <w:t>I</w:t>
      </w:r>
      <w:r>
        <w:rPr>
          <w:b/>
        </w:rPr>
        <w:t>I)</w:t>
      </w:r>
    </w:p>
    <w:p w14:paraId="7BC31F19" w14:textId="77777777" w:rsidR="00C04CAD" w:rsidRDefault="00C04CAD">
      <w:pPr>
        <w:keepNext/>
        <w:autoSpaceDE w:val="0"/>
        <w:autoSpaceDN w:val="0"/>
        <w:adjustRightInd w:val="0"/>
        <w:spacing w:line="240" w:lineRule="auto"/>
      </w:pPr>
    </w:p>
    <w:p w14:paraId="078D050F"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noProof/>
          <w:szCs w:val="22"/>
          <w:lang w:val="en-US" w:eastAsia="zh-CN" w:bidi="ar-SA"/>
        </w:rPr>
        <w:drawing>
          <wp:inline distT="0" distB="0" distL="0" distR="0" wp14:anchorId="39D698E1" wp14:editId="2C09FD68">
            <wp:extent cx="5746115" cy="2296160"/>
            <wp:effectExtent l="0" t="0" r="0" b="0"/>
            <wp:docPr id="5" name="Picture 64"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4" descr="A graph with numbers and line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46115" cy="2296160"/>
                    </a:xfrm>
                    <a:prstGeom prst="rect">
                      <a:avLst/>
                    </a:prstGeom>
                    <a:noFill/>
                    <a:ln>
                      <a:noFill/>
                    </a:ln>
                  </pic:spPr>
                </pic:pic>
              </a:graphicData>
            </a:graphic>
          </wp:inline>
        </w:drawing>
      </w:r>
    </w:p>
    <w:p w14:paraId="4807D768" w14:textId="77777777" w:rsidR="00C04CAD" w:rsidRDefault="00060E34">
      <w:pPr>
        <w:tabs>
          <w:tab w:val="clear" w:pos="567"/>
          <w:tab w:val="left" w:pos="3207"/>
        </w:tabs>
        <w:autoSpaceDE w:val="0"/>
        <w:autoSpaceDN w:val="0"/>
        <w:adjustRightInd w:val="0"/>
        <w:spacing w:line="240" w:lineRule="auto"/>
        <w:rPr>
          <w:rFonts w:eastAsia="MS Mincho"/>
          <w:szCs w:val="22"/>
          <w:lang w:eastAsia="en-US" w:bidi="ar-SA"/>
        </w:rPr>
      </w:pPr>
      <w:r>
        <w:rPr>
          <w:rFonts w:eastAsia="MS Mincho"/>
          <w:noProof/>
          <w:szCs w:val="22"/>
          <w:lang w:val="en-US" w:eastAsia="zh-CN" w:bidi="ar-SA"/>
        </w:rPr>
        <w:drawing>
          <wp:inline distT="0" distB="0" distL="0" distR="0" wp14:anchorId="25B8F3E3" wp14:editId="7CF70865">
            <wp:extent cx="5756275" cy="187325"/>
            <wp:effectExtent l="0" t="0" r="0" b="0"/>
            <wp:docPr id="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756275" cy="187325"/>
                    </a:xfrm>
                    <a:prstGeom prst="rect">
                      <a:avLst/>
                    </a:prstGeom>
                    <a:noFill/>
                    <a:ln>
                      <a:noFill/>
                    </a:ln>
                  </pic:spPr>
                </pic:pic>
              </a:graphicData>
            </a:graphic>
          </wp:inline>
        </w:drawing>
      </w:r>
    </w:p>
    <w:p w14:paraId="6FDF8B24" w14:textId="77777777" w:rsidR="00C04CAD" w:rsidRDefault="00C04CAD">
      <w:pPr>
        <w:autoSpaceDE w:val="0"/>
        <w:autoSpaceDN w:val="0"/>
        <w:adjustRightInd w:val="0"/>
        <w:spacing w:line="240" w:lineRule="auto"/>
        <w:rPr>
          <w:szCs w:val="22"/>
        </w:rPr>
      </w:pPr>
    </w:p>
    <w:p w14:paraId="6DE9E687"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noProof/>
          <w:sz w:val="24"/>
          <w:szCs w:val="24"/>
          <w:lang w:val="en-US" w:eastAsia="zh-CN" w:bidi="ar-SA"/>
        </w:rPr>
        <w:lastRenderedPageBreak/>
        <w:drawing>
          <wp:inline distT="0" distB="0" distL="0" distR="0" wp14:anchorId="6255A52F" wp14:editId="0AAEEF8B">
            <wp:extent cx="5746115" cy="2483485"/>
            <wp:effectExtent l="0" t="0" r="0" b="0"/>
            <wp:docPr id="7" name="Picture 62" descr="A graph of a grow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2" descr="A graph of a growth&#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746115" cy="2483485"/>
                    </a:xfrm>
                    <a:prstGeom prst="rect">
                      <a:avLst/>
                    </a:prstGeom>
                    <a:noFill/>
                    <a:ln>
                      <a:noFill/>
                    </a:ln>
                  </pic:spPr>
                </pic:pic>
              </a:graphicData>
            </a:graphic>
          </wp:inline>
        </w:drawing>
      </w:r>
    </w:p>
    <w:p w14:paraId="413DAC06" w14:textId="77777777" w:rsidR="00C04CAD" w:rsidRDefault="00060E34">
      <w:pPr>
        <w:tabs>
          <w:tab w:val="clear" w:pos="567"/>
        </w:tabs>
        <w:kinsoku w:val="0"/>
        <w:overflowPunct w:val="0"/>
        <w:autoSpaceDE w:val="0"/>
        <w:autoSpaceDN w:val="0"/>
        <w:adjustRightInd w:val="0"/>
        <w:spacing w:line="240" w:lineRule="auto"/>
        <w:rPr>
          <w:sz w:val="20"/>
        </w:rPr>
      </w:pPr>
      <w:r>
        <w:rPr>
          <w:spacing w:val="-1"/>
          <w:sz w:val="20"/>
        </w:rPr>
        <w:t>N</w:t>
      </w:r>
      <w:r>
        <w:rPr>
          <w:sz w:val="20"/>
        </w:rPr>
        <w:t>o</w:t>
      </w:r>
      <w:r>
        <w:rPr>
          <w:spacing w:val="1"/>
          <w:sz w:val="20"/>
        </w:rPr>
        <w:t>t</w:t>
      </w:r>
      <w:r>
        <w:rPr>
          <w:sz w:val="20"/>
        </w:rPr>
        <w:t>ă:</w:t>
      </w:r>
      <w:r>
        <w:rPr>
          <w:spacing w:val="1"/>
          <w:sz w:val="20"/>
        </w:rPr>
        <w:t xml:space="preserve"> </w:t>
      </w:r>
      <w:r>
        <w:rPr>
          <w:spacing w:val="-3"/>
          <w:sz w:val="20"/>
        </w:rPr>
        <w:t>P</w:t>
      </w:r>
      <w:r>
        <w:rPr>
          <w:sz w:val="20"/>
        </w:rPr>
        <w:t xml:space="preserve"># = </w:t>
      </w:r>
      <w:r>
        <w:rPr>
          <w:spacing w:val="-3"/>
          <w:sz w:val="20"/>
        </w:rPr>
        <w:t>P</w:t>
      </w:r>
      <w:r>
        <w:rPr>
          <w:spacing w:val="1"/>
          <w:sz w:val="20"/>
        </w:rPr>
        <w:t>l</w:t>
      </w:r>
      <w:r>
        <w:rPr>
          <w:sz w:val="20"/>
        </w:rPr>
        <w:t>a</w:t>
      </w:r>
      <w:r>
        <w:rPr>
          <w:spacing w:val="-3"/>
          <w:sz w:val="20"/>
        </w:rPr>
        <w:t>c</w:t>
      </w:r>
      <w:r>
        <w:rPr>
          <w:sz w:val="20"/>
        </w:rPr>
        <w:t>ebo (</w:t>
      </w:r>
      <w:r>
        <w:rPr>
          <w:spacing w:val="-1"/>
          <w:sz w:val="20"/>
        </w:rPr>
        <w:t>N</w:t>
      </w:r>
      <w:r>
        <w:rPr>
          <w:sz w:val="20"/>
        </w:rPr>
        <w:t>u</w:t>
      </w:r>
      <w:r>
        <w:rPr>
          <w:spacing w:val="-4"/>
          <w:sz w:val="20"/>
        </w:rPr>
        <w:t>m</w:t>
      </w:r>
      <w:r>
        <w:rPr>
          <w:sz w:val="20"/>
        </w:rPr>
        <w:t>ăr</w:t>
      </w:r>
      <w:r>
        <w:rPr>
          <w:spacing w:val="-2"/>
          <w:sz w:val="20"/>
        </w:rPr>
        <w:t xml:space="preserve"> </w:t>
      </w:r>
      <w:r>
        <w:rPr>
          <w:sz w:val="20"/>
        </w:rPr>
        <w:t>al</w:t>
      </w:r>
      <w:r>
        <w:rPr>
          <w:spacing w:val="1"/>
          <w:sz w:val="20"/>
        </w:rPr>
        <w:t xml:space="preserve"> </w:t>
      </w:r>
      <w:r>
        <w:rPr>
          <w:spacing w:val="-1"/>
          <w:sz w:val="20"/>
        </w:rPr>
        <w:t>E</w:t>
      </w:r>
      <w:r>
        <w:rPr>
          <w:spacing w:val="-3"/>
          <w:sz w:val="20"/>
        </w:rPr>
        <w:t>v</w:t>
      </w:r>
      <w:r>
        <w:rPr>
          <w:sz w:val="20"/>
        </w:rPr>
        <w:t>en</w:t>
      </w:r>
      <w:r>
        <w:rPr>
          <w:spacing w:val="1"/>
          <w:sz w:val="20"/>
        </w:rPr>
        <w:t>i</w:t>
      </w:r>
      <w:r>
        <w:rPr>
          <w:spacing w:val="-4"/>
          <w:sz w:val="20"/>
        </w:rPr>
        <w:t>m</w:t>
      </w:r>
      <w:r>
        <w:rPr>
          <w:sz w:val="20"/>
        </w:rPr>
        <w:t>en</w:t>
      </w:r>
      <w:r>
        <w:rPr>
          <w:spacing w:val="1"/>
          <w:sz w:val="20"/>
        </w:rPr>
        <w:t>t</w:t>
      </w:r>
      <w:r>
        <w:rPr>
          <w:spacing w:val="-3"/>
          <w:sz w:val="20"/>
        </w:rPr>
        <w:t>e</w:t>
      </w:r>
      <w:r>
        <w:rPr>
          <w:spacing w:val="1"/>
          <w:sz w:val="20"/>
        </w:rPr>
        <w:t>l</w:t>
      </w:r>
      <w:r>
        <w:rPr>
          <w:sz w:val="20"/>
        </w:rPr>
        <w:t>o</w:t>
      </w:r>
      <w:r>
        <w:rPr>
          <w:spacing w:val="-2"/>
          <w:sz w:val="20"/>
        </w:rPr>
        <w:t>r</w:t>
      </w:r>
      <w:r>
        <w:rPr>
          <w:spacing w:val="1"/>
          <w:sz w:val="20"/>
        </w:rPr>
        <w:t>/</w:t>
      </w:r>
      <w:r>
        <w:rPr>
          <w:spacing w:val="-2"/>
          <w:sz w:val="20"/>
        </w:rPr>
        <w:t>N</w:t>
      </w:r>
      <w:r>
        <w:rPr>
          <w:sz w:val="20"/>
        </w:rPr>
        <w:t>u</w:t>
      </w:r>
      <w:r>
        <w:rPr>
          <w:spacing w:val="-4"/>
          <w:sz w:val="20"/>
        </w:rPr>
        <w:t>m</w:t>
      </w:r>
      <w:r>
        <w:rPr>
          <w:sz w:val="20"/>
        </w:rPr>
        <w:t>ăr</w:t>
      </w:r>
      <w:r>
        <w:rPr>
          <w:spacing w:val="1"/>
          <w:sz w:val="20"/>
        </w:rPr>
        <w:t xml:space="preserve"> l</w:t>
      </w:r>
      <w:r>
        <w:rPr>
          <w:sz w:val="20"/>
        </w:rPr>
        <w:t>a</w:t>
      </w:r>
      <w:r>
        <w:rPr>
          <w:spacing w:val="-2"/>
          <w:sz w:val="20"/>
        </w:rPr>
        <w:t xml:space="preserve"> </w:t>
      </w:r>
      <w:r>
        <w:rPr>
          <w:spacing w:val="-1"/>
          <w:sz w:val="20"/>
        </w:rPr>
        <w:t>R</w:t>
      </w:r>
      <w:r>
        <w:rPr>
          <w:spacing w:val="1"/>
          <w:sz w:val="20"/>
        </w:rPr>
        <w:t>i</w:t>
      </w:r>
      <w:r>
        <w:rPr>
          <w:sz w:val="20"/>
        </w:rPr>
        <w:t>s</w:t>
      </w:r>
      <w:r>
        <w:rPr>
          <w:spacing w:val="-3"/>
          <w:sz w:val="20"/>
        </w:rPr>
        <w:t>c</w:t>
      </w:r>
      <w:r>
        <w:rPr>
          <w:sz w:val="20"/>
        </w:rPr>
        <w:t>);</w:t>
      </w:r>
      <w:r>
        <w:rPr>
          <w:spacing w:val="1"/>
          <w:sz w:val="20"/>
        </w:rPr>
        <w:t xml:space="preserve"> </w:t>
      </w:r>
      <w:r>
        <w:rPr>
          <w:spacing w:val="-1"/>
          <w:sz w:val="20"/>
        </w:rPr>
        <w:t>A</w:t>
      </w:r>
      <w:r>
        <w:rPr>
          <w:sz w:val="20"/>
        </w:rPr>
        <w:t>#</w:t>
      </w:r>
      <w:r>
        <w:rPr>
          <w:spacing w:val="-3"/>
          <w:sz w:val="20"/>
        </w:rPr>
        <w:t xml:space="preserve"> </w:t>
      </w:r>
      <w:r>
        <w:rPr>
          <w:sz w:val="20"/>
        </w:rPr>
        <w:t xml:space="preserve">= </w:t>
      </w:r>
      <w:r>
        <w:rPr>
          <w:rFonts w:eastAsia="MS Mincho"/>
          <w:spacing w:val="-2"/>
          <w:sz w:val="20"/>
          <w:lang w:eastAsia="en-US" w:bidi="ar-SA"/>
        </w:rPr>
        <w:t>Adalimumab</w:t>
      </w:r>
      <w:r>
        <w:rPr>
          <w:spacing w:val="-1"/>
          <w:sz w:val="20"/>
        </w:rPr>
        <w:t xml:space="preserve"> </w:t>
      </w:r>
      <w:r>
        <w:rPr>
          <w:sz w:val="20"/>
        </w:rPr>
        <w:t>(</w:t>
      </w:r>
      <w:r>
        <w:rPr>
          <w:spacing w:val="-1"/>
          <w:sz w:val="20"/>
        </w:rPr>
        <w:t>N</w:t>
      </w:r>
      <w:r>
        <w:rPr>
          <w:spacing w:val="2"/>
          <w:sz w:val="20"/>
        </w:rPr>
        <w:t>u</w:t>
      </w:r>
      <w:r>
        <w:rPr>
          <w:spacing w:val="-4"/>
          <w:sz w:val="20"/>
        </w:rPr>
        <w:t>m</w:t>
      </w:r>
      <w:r>
        <w:rPr>
          <w:sz w:val="20"/>
        </w:rPr>
        <w:t>ăr</w:t>
      </w:r>
      <w:r>
        <w:rPr>
          <w:spacing w:val="1"/>
          <w:sz w:val="20"/>
        </w:rPr>
        <w:t xml:space="preserve"> </w:t>
      </w:r>
      <w:r>
        <w:rPr>
          <w:sz w:val="20"/>
        </w:rPr>
        <w:t xml:space="preserve">al </w:t>
      </w:r>
      <w:r>
        <w:rPr>
          <w:spacing w:val="-1"/>
          <w:sz w:val="20"/>
        </w:rPr>
        <w:t>E</w:t>
      </w:r>
      <w:r>
        <w:rPr>
          <w:spacing w:val="-3"/>
          <w:sz w:val="20"/>
        </w:rPr>
        <w:t>v</w:t>
      </w:r>
      <w:r>
        <w:rPr>
          <w:sz w:val="20"/>
        </w:rPr>
        <w:t>en</w:t>
      </w:r>
      <w:r>
        <w:rPr>
          <w:spacing w:val="1"/>
          <w:sz w:val="20"/>
        </w:rPr>
        <w:t>i</w:t>
      </w:r>
      <w:r>
        <w:rPr>
          <w:spacing w:val="-4"/>
          <w:sz w:val="20"/>
        </w:rPr>
        <w:t>m</w:t>
      </w:r>
      <w:r>
        <w:rPr>
          <w:sz w:val="20"/>
        </w:rPr>
        <w:t>en</w:t>
      </w:r>
      <w:r>
        <w:rPr>
          <w:spacing w:val="1"/>
          <w:sz w:val="20"/>
        </w:rPr>
        <w:t>t</w:t>
      </w:r>
      <w:r>
        <w:rPr>
          <w:sz w:val="20"/>
        </w:rPr>
        <w:t>e</w:t>
      </w:r>
      <w:r>
        <w:rPr>
          <w:spacing w:val="1"/>
          <w:sz w:val="20"/>
        </w:rPr>
        <w:t>l</w:t>
      </w:r>
      <w:r>
        <w:rPr>
          <w:sz w:val="20"/>
        </w:rPr>
        <w:t>o</w:t>
      </w:r>
      <w:r>
        <w:rPr>
          <w:spacing w:val="-2"/>
          <w:sz w:val="20"/>
        </w:rPr>
        <w:t>r</w:t>
      </w:r>
      <w:r>
        <w:rPr>
          <w:spacing w:val="1"/>
          <w:sz w:val="20"/>
        </w:rPr>
        <w:t>/</w:t>
      </w:r>
      <w:r>
        <w:rPr>
          <w:spacing w:val="-1"/>
          <w:sz w:val="20"/>
        </w:rPr>
        <w:t>N</w:t>
      </w:r>
      <w:r>
        <w:rPr>
          <w:sz w:val="20"/>
        </w:rPr>
        <w:t>u</w:t>
      </w:r>
      <w:r>
        <w:rPr>
          <w:spacing w:val="-4"/>
          <w:sz w:val="20"/>
        </w:rPr>
        <w:t>m</w:t>
      </w:r>
      <w:r>
        <w:rPr>
          <w:sz w:val="20"/>
        </w:rPr>
        <w:t>ăr</w:t>
      </w:r>
      <w:r>
        <w:rPr>
          <w:spacing w:val="1"/>
          <w:sz w:val="20"/>
        </w:rPr>
        <w:t xml:space="preserve"> l</w:t>
      </w:r>
      <w:r>
        <w:rPr>
          <w:sz w:val="20"/>
        </w:rPr>
        <w:t xml:space="preserve">a </w:t>
      </w:r>
      <w:r>
        <w:rPr>
          <w:spacing w:val="-4"/>
          <w:sz w:val="20"/>
        </w:rPr>
        <w:t>R</w:t>
      </w:r>
      <w:r>
        <w:rPr>
          <w:spacing w:val="-2"/>
          <w:sz w:val="20"/>
        </w:rPr>
        <w:t>i</w:t>
      </w:r>
      <w:r>
        <w:rPr>
          <w:sz w:val="20"/>
        </w:rPr>
        <w:t>sc).</w:t>
      </w:r>
    </w:p>
    <w:p w14:paraId="75FD3A11" w14:textId="77777777" w:rsidR="00C04CAD" w:rsidRDefault="00C04CAD">
      <w:pPr>
        <w:autoSpaceDE w:val="0"/>
        <w:autoSpaceDN w:val="0"/>
        <w:adjustRightInd w:val="0"/>
        <w:spacing w:line="240" w:lineRule="auto"/>
      </w:pPr>
    </w:p>
    <w:p w14:paraId="0EA9A0DB" w14:textId="77777777" w:rsidR="00C04CAD" w:rsidRDefault="00060E34">
      <w:pPr>
        <w:tabs>
          <w:tab w:val="clear" w:pos="567"/>
        </w:tabs>
        <w:kinsoku w:val="0"/>
        <w:overflowPunct w:val="0"/>
        <w:autoSpaceDE w:val="0"/>
        <w:autoSpaceDN w:val="0"/>
        <w:adjustRightInd w:val="0"/>
        <w:spacing w:line="240" w:lineRule="auto"/>
      </w:pPr>
      <w:r>
        <w:rPr>
          <w:spacing w:val="-4"/>
        </w:rPr>
        <w:t>Î</w:t>
      </w:r>
      <w:r>
        <w:t xml:space="preserve">n </w:t>
      </w:r>
      <w:r>
        <w:rPr>
          <w:spacing w:val="-1"/>
        </w:rPr>
        <w:t>S</w:t>
      </w:r>
      <w:r>
        <w:rPr>
          <w:spacing w:val="1"/>
        </w:rPr>
        <w:t>t</w:t>
      </w:r>
      <w:r>
        <w:t>ud</w:t>
      </w:r>
      <w:r>
        <w:rPr>
          <w:spacing w:val="1"/>
        </w:rPr>
        <w:t>i</w:t>
      </w:r>
      <w:r>
        <w:t>ul</w:t>
      </w:r>
      <w:r>
        <w:rPr>
          <w:spacing w:val="1"/>
        </w:rPr>
        <w:t xml:space="preserve"> </w:t>
      </w:r>
      <w:r>
        <w:rPr>
          <w:spacing w:val="-1"/>
        </w:rPr>
        <w:t>U</w:t>
      </w:r>
      <w:r>
        <w:t>V</w:t>
      </w:r>
      <w:r>
        <w:rPr>
          <w:spacing w:val="-1"/>
        </w:rPr>
        <w:t xml:space="preserve"> </w:t>
      </w:r>
      <w:r>
        <w:t>I</w:t>
      </w:r>
      <w:r>
        <w:rPr>
          <w:spacing w:val="-4"/>
        </w:rPr>
        <w:t xml:space="preserve"> </w:t>
      </w:r>
      <w:r>
        <w:rPr>
          <w:spacing w:val="3"/>
        </w:rPr>
        <w:t>s</w:t>
      </w:r>
      <w:r>
        <w:rPr>
          <w:spacing w:val="-4"/>
        </w:rPr>
        <w:t>-</w:t>
      </w:r>
      <w:r>
        <w:t>au obser</w:t>
      </w:r>
      <w:r>
        <w:rPr>
          <w:spacing w:val="-3"/>
        </w:rPr>
        <w:t>v</w:t>
      </w:r>
      <w:r>
        <w:t>a</w:t>
      </w:r>
      <w:r>
        <w:rPr>
          <w:spacing w:val="1"/>
        </w:rPr>
        <w:t>t</w:t>
      </w:r>
      <w:r>
        <w:t>, p</w:t>
      </w:r>
      <w:r>
        <w:rPr>
          <w:spacing w:val="-3"/>
        </w:rPr>
        <w:t>e</w:t>
      </w:r>
      <w:r>
        <w:t>n</w:t>
      </w:r>
      <w:r>
        <w:rPr>
          <w:spacing w:val="-2"/>
        </w:rPr>
        <w:t>t</w:t>
      </w:r>
      <w:r>
        <w:t xml:space="preserve">ru </w:t>
      </w:r>
      <w:r>
        <w:rPr>
          <w:spacing w:val="-2"/>
        </w:rPr>
        <w:t>f</w:t>
      </w:r>
      <w:r>
        <w:rPr>
          <w:spacing w:val="1"/>
        </w:rPr>
        <w:t>i</w:t>
      </w:r>
      <w:r>
        <w:rPr>
          <w:spacing w:val="-3"/>
        </w:rPr>
        <w:t>e</w:t>
      </w:r>
      <w:r>
        <w:t>ca</w:t>
      </w:r>
      <w:r>
        <w:rPr>
          <w:spacing w:val="-2"/>
        </w:rPr>
        <w:t>r</w:t>
      </w:r>
      <w:r>
        <w:t>e co</w:t>
      </w:r>
      <w:r>
        <w:rPr>
          <w:spacing w:val="-4"/>
        </w:rPr>
        <w:t>m</w:t>
      </w:r>
      <w:r>
        <w:t>pone</w:t>
      </w:r>
      <w:r>
        <w:rPr>
          <w:spacing w:val="-3"/>
        </w:rPr>
        <w:t>n</w:t>
      </w:r>
      <w:r>
        <w:rPr>
          <w:spacing w:val="1"/>
        </w:rPr>
        <w:t>t</w:t>
      </w:r>
      <w:r>
        <w:t>ă a</w:t>
      </w:r>
      <w:r>
        <w:rPr>
          <w:spacing w:val="-2"/>
        </w:rPr>
        <w:t xml:space="preserve"> </w:t>
      </w:r>
      <w:r>
        <w:t>eș</w:t>
      </w:r>
      <w:r>
        <w:rPr>
          <w:spacing w:val="-3"/>
        </w:rPr>
        <w:t>e</w:t>
      </w:r>
      <w:r>
        <w:t>cu</w:t>
      </w:r>
      <w:r>
        <w:rPr>
          <w:spacing w:val="1"/>
        </w:rPr>
        <w:t>l</w:t>
      </w:r>
      <w:r>
        <w:rPr>
          <w:spacing w:val="-3"/>
        </w:rPr>
        <w:t>u</w:t>
      </w:r>
      <w:r>
        <w:t>i</w:t>
      </w:r>
      <w:r>
        <w:rPr>
          <w:spacing w:val="-2"/>
        </w:rPr>
        <w:t xml:space="preserve"> </w:t>
      </w:r>
      <w:r>
        <w:rPr>
          <w:spacing w:val="1"/>
        </w:rPr>
        <w:t>l</w:t>
      </w:r>
      <w:r>
        <w:t xml:space="preserve">a </w:t>
      </w:r>
      <w:r>
        <w:rPr>
          <w:spacing w:val="-2"/>
        </w:rPr>
        <w:t>t</w:t>
      </w:r>
      <w:r>
        <w:t>r</w:t>
      </w:r>
      <w:r>
        <w:rPr>
          <w:spacing w:val="-3"/>
        </w:rPr>
        <w:t>a</w:t>
      </w:r>
      <w:r>
        <w:rPr>
          <w:spacing w:val="1"/>
        </w:rPr>
        <w:t>t</w:t>
      </w:r>
      <w:r>
        <w:t>a</w:t>
      </w:r>
      <w:r>
        <w:rPr>
          <w:spacing w:val="-4"/>
        </w:rPr>
        <w:t>m</w:t>
      </w:r>
      <w:r>
        <w:t>en</w:t>
      </w:r>
      <w:r>
        <w:rPr>
          <w:spacing w:val="1"/>
        </w:rPr>
        <w:t>t</w:t>
      </w:r>
      <w:r>
        <w:t xml:space="preserve">, </w:t>
      </w:r>
      <w:r>
        <w:rPr>
          <w:spacing w:val="-3"/>
        </w:rPr>
        <w:t>d</w:t>
      </w:r>
      <w:r>
        <w:rPr>
          <w:spacing w:val="1"/>
        </w:rPr>
        <w:t>i</w:t>
      </w:r>
      <w:r>
        <w:t>f</w:t>
      </w:r>
      <w:r>
        <w:rPr>
          <w:spacing w:val="-3"/>
        </w:rPr>
        <w:t>e</w:t>
      </w:r>
      <w:r>
        <w:t>re</w:t>
      </w:r>
      <w:r>
        <w:rPr>
          <w:spacing w:val="-3"/>
        </w:rPr>
        <w:t>n</w:t>
      </w:r>
      <w:r>
        <w:rPr>
          <w:spacing w:val="1"/>
        </w:rPr>
        <w:t>ţ</w:t>
      </w:r>
      <w:r>
        <w:t>e se</w:t>
      </w:r>
      <w:r>
        <w:rPr>
          <w:spacing w:val="-4"/>
        </w:rPr>
        <w:t>m</w:t>
      </w:r>
      <w:r>
        <w:t>n</w:t>
      </w:r>
      <w:r>
        <w:rPr>
          <w:spacing w:val="1"/>
        </w:rPr>
        <w:t>i</w:t>
      </w:r>
      <w:r>
        <w:t>f</w:t>
      </w:r>
      <w:r>
        <w:rPr>
          <w:spacing w:val="1"/>
        </w:rPr>
        <w:t>i</w:t>
      </w:r>
      <w:r>
        <w:rPr>
          <w:spacing w:val="-3"/>
        </w:rPr>
        <w:t>c</w:t>
      </w:r>
      <w:r>
        <w:t>a</w:t>
      </w:r>
      <w:r>
        <w:rPr>
          <w:spacing w:val="-2"/>
        </w:rPr>
        <w:t>t</w:t>
      </w:r>
      <w:r>
        <w:rPr>
          <w:spacing w:val="1"/>
        </w:rPr>
        <w:t>i</w:t>
      </w:r>
      <w:r>
        <w:rPr>
          <w:spacing w:val="-3"/>
        </w:rPr>
        <w:t>v</w:t>
      </w:r>
      <w:r>
        <w:t>e s</w:t>
      </w:r>
      <w:r>
        <w:rPr>
          <w:spacing w:val="1"/>
        </w:rPr>
        <w:t>t</w:t>
      </w:r>
      <w:r>
        <w:rPr>
          <w:spacing w:val="-3"/>
        </w:rPr>
        <w:t>a</w:t>
      </w:r>
      <w:r>
        <w:rPr>
          <w:spacing w:val="1"/>
        </w:rPr>
        <w:t>t</w:t>
      </w:r>
      <w:r>
        <w:rPr>
          <w:spacing w:val="-2"/>
        </w:rPr>
        <w:t>i</w:t>
      </w:r>
      <w:r>
        <w:t>s</w:t>
      </w:r>
      <w:r>
        <w:rPr>
          <w:spacing w:val="-2"/>
        </w:rPr>
        <w:t>t</w:t>
      </w:r>
      <w:r>
        <w:rPr>
          <w:spacing w:val="1"/>
        </w:rPr>
        <w:t>i</w:t>
      </w:r>
      <w:r>
        <w:t>c</w:t>
      </w:r>
      <w:r>
        <w:rPr>
          <w:spacing w:val="-2"/>
        </w:rPr>
        <w:t xml:space="preserve"> </w:t>
      </w:r>
      <w:r>
        <w:rPr>
          <w:spacing w:val="1"/>
        </w:rPr>
        <w:t>î</w:t>
      </w:r>
      <w:r>
        <w:t>n</w:t>
      </w:r>
      <w:r>
        <w:rPr>
          <w:spacing w:val="-3"/>
        </w:rPr>
        <w:t xml:space="preserve"> </w:t>
      </w:r>
      <w:r>
        <w:t>f</w:t>
      </w:r>
      <w:r>
        <w:rPr>
          <w:spacing w:val="-3"/>
        </w:rPr>
        <w:t>av</w:t>
      </w:r>
      <w:r>
        <w:t>oarea a</w:t>
      </w:r>
      <w:r>
        <w:rPr>
          <w:spacing w:val="-3"/>
        </w:rPr>
        <w:t>d</w:t>
      </w:r>
      <w:r>
        <w:t>a</w:t>
      </w:r>
      <w:r>
        <w:rPr>
          <w:spacing w:val="-2"/>
        </w:rPr>
        <w:t>l</w:t>
      </w:r>
      <w:r>
        <w:rPr>
          <w:spacing w:val="1"/>
        </w:rPr>
        <w:t>i</w:t>
      </w:r>
      <w:r>
        <w:rPr>
          <w:spacing w:val="-4"/>
        </w:rPr>
        <w:t>m</w:t>
      </w:r>
      <w:r>
        <w:rPr>
          <w:spacing w:val="2"/>
        </w:rPr>
        <w:t>u</w:t>
      </w:r>
      <w:r>
        <w:rPr>
          <w:spacing w:val="-4"/>
        </w:rPr>
        <w:t>m</w:t>
      </w:r>
      <w:r>
        <w:t>ab co</w:t>
      </w:r>
      <w:r>
        <w:rPr>
          <w:spacing w:val="-4"/>
        </w:rPr>
        <w:t>m</w:t>
      </w:r>
      <w:r>
        <w:t>para</w:t>
      </w:r>
      <w:r>
        <w:rPr>
          <w:spacing w:val="1"/>
        </w:rPr>
        <w:t>ti</w:t>
      </w:r>
      <w:r>
        <w:t>v</w:t>
      </w:r>
      <w:r>
        <w:rPr>
          <w:spacing w:val="-3"/>
        </w:rPr>
        <w:t xml:space="preserve"> </w:t>
      </w:r>
      <w:r>
        <w:t xml:space="preserve">cu </w:t>
      </w:r>
      <w:r>
        <w:rPr>
          <w:spacing w:val="-3"/>
        </w:rPr>
        <w:t>p</w:t>
      </w:r>
      <w:r>
        <w:rPr>
          <w:spacing w:val="1"/>
        </w:rPr>
        <w:t>l</w:t>
      </w:r>
      <w:r>
        <w:t>a</w:t>
      </w:r>
      <w:r>
        <w:rPr>
          <w:spacing w:val="-3"/>
        </w:rPr>
        <w:t>c</w:t>
      </w:r>
      <w:r>
        <w:t xml:space="preserve">ebo. </w:t>
      </w:r>
      <w:r>
        <w:rPr>
          <w:spacing w:val="-4"/>
        </w:rPr>
        <w:t>Î</w:t>
      </w:r>
      <w:r>
        <w:t xml:space="preserve">n </w:t>
      </w:r>
      <w:r>
        <w:rPr>
          <w:spacing w:val="-1"/>
        </w:rPr>
        <w:t>S</w:t>
      </w:r>
      <w:r>
        <w:rPr>
          <w:spacing w:val="1"/>
        </w:rPr>
        <w:t>t</w:t>
      </w:r>
      <w:r>
        <w:t>ud</w:t>
      </w:r>
      <w:r>
        <w:rPr>
          <w:spacing w:val="-2"/>
        </w:rPr>
        <w:t>i</w:t>
      </w:r>
      <w:r>
        <w:t>ul</w:t>
      </w:r>
      <w:r>
        <w:rPr>
          <w:spacing w:val="-2"/>
        </w:rPr>
        <w:t xml:space="preserve"> </w:t>
      </w:r>
      <w:r>
        <w:rPr>
          <w:spacing w:val="-1"/>
        </w:rPr>
        <w:t>U</w:t>
      </w:r>
      <w:r>
        <w:t>V</w:t>
      </w:r>
      <w:r>
        <w:rPr>
          <w:spacing w:val="1"/>
        </w:rPr>
        <w:t xml:space="preserve"> </w:t>
      </w:r>
      <w:r>
        <w:rPr>
          <w:spacing w:val="-2"/>
        </w:rPr>
        <w:t>I</w:t>
      </w:r>
      <w:r>
        <w:rPr>
          <w:spacing w:val="-4"/>
        </w:rPr>
        <w:t>I</w:t>
      </w:r>
      <w:r>
        <w:t xml:space="preserve">, </w:t>
      </w:r>
      <w:r>
        <w:rPr>
          <w:spacing w:val="1"/>
        </w:rPr>
        <w:t>s</w:t>
      </w:r>
      <w:r>
        <w:rPr>
          <w:spacing w:val="-4"/>
        </w:rPr>
        <w:t>-</w:t>
      </w:r>
      <w:r>
        <w:t>au o</w:t>
      </w:r>
      <w:r>
        <w:rPr>
          <w:spacing w:val="-1"/>
        </w:rPr>
        <w:t>b</w:t>
      </w:r>
      <w:r>
        <w:t>ser</w:t>
      </w:r>
      <w:r>
        <w:rPr>
          <w:spacing w:val="-3"/>
        </w:rPr>
        <w:t>v</w:t>
      </w:r>
      <w:r>
        <w:t>at d</w:t>
      </w:r>
      <w:r>
        <w:rPr>
          <w:spacing w:val="1"/>
        </w:rPr>
        <w:t>i</w:t>
      </w:r>
      <w:r>
        <w:t>f</w:t>
      </w:r>
      <w:r>
        <w:rPr>
          <w:spacing w:val="-3"/>
        </w:rPr>
        <w:t>e</w:t>
      </w:r>
      <w:r>
        <w:t>re</w:t>
      </w:r>
      <w:r>
        <w:rPr>
          <w:spacing w:val="-3"/>
        </w:rPr>
        <w:t>n</w:t>
      </w:r>
      <w:r>
        <w:rPr>
          <w:spacing w:val="1"/>
        </w:rPr>
        <w:t>ț</w:t>
      </w:r>
      <w:r>
        <w:t>e</w:t>
      </w:r>
      <w:r>
        <w:rPr>
          <w:spacing w:val="-2"/>
        </w:rPr>
        <w:t xml:space="preserve"> </w:t>
      </w:r>
      <w:r>
        <w:t>se</w:t>
      </w:r>
      <w:r>
        <w:rPr>
          <w:spacing w:val="-4"/>
        </w:rPr>
        <w:t>m</w:t>
      </w:r>
      <w:r>
        <w:t>n</w:t>
      </w:r>
      <w:r>
        <w:rPr>
          <w:spacing w:val="1"/>
        </w:rPr>
        <w:t>i</w:t>
      </w:r>
      <w:r>
        <w:t>f</w:t>
      </w:r>
      <w:r>
        <w:rPr>
          <w:spacing w:val="-2"/>
        </w:rPr>
        <w:t>i</w:t>
      </w:r>
      <w:r>
        <w:t>c</w:t>
      </w:r>
      <w:r>
        <w:rPr>
          <w:spacing w:val="-3"/>
        </w:rPr>
        <w:t>a</w:t>
      </w:r>
      <w:r>
        <w:rPr>
          <w:spacing w:val="1"/>
        </w:rPr>
        <w:t>ti</w:t>
      </w:r>
      <w:r>
        <w:rPr>
          <w:spacing w:val="-3"/>
        </w:rPr>
        <w:t>v</w:t>
      </w:r>
      <w:r>
        <w:t>e s</w:t>
      </w:r>
      <w:r>
        <w:rPr>
          <w:spacing w:val="-2"/>
        </w:rPr>
        <w:t>t</w:t>
      </w:r>
      <w:r>
        <w:t>a</w:t>
      </w:r>
      <w:r>
        <w:rPr>
          <w:spacing w:val="-2"/>
        </w:rPr>
        <w:t>ti</w:t>
      </w:r>
      <w:r>
        <w:t>s</w:t>
      </w:r>
      <w:r>
        <w:rPr>
          <w:spacing w:val="1"/>
        </w:rPr>
        <w:t>t</w:t>
      </w:r>
      <w:r>
        <w:rPr>
          <w:spacing w:val="-2"/>
        </w:rPr>
        <w:t>i</w:t>
      </w:r>
      <w:r>
        <w:t>c do</w:t>
      </w:r>
      <w:r>
        <w:rPr>
          <w:spacing w:val="-3"/>
        </w:rPr>
        <w:t>a</w:t>
      </w:r>
      <w:r>
        <w:t>r</w:t>
      </w:r>
      <w:r>
        <w:rPr>
          <w:spacing w:val="1"/>
        </w:rPr>
        <w:t xml:space="preserve"> </w:t>
      </w:r>
      <w:r>
        <w:t>p</w:t>
      </w:r>
      <w:r>
        <w:rPr>
          <w:spacing w:val="-3"/>
        </w:rPr>
        <w:t>e</w:t>
      </w:r>
      <w:r>
        <w:t>n</w:t>
      </w:r>
      <w:r>
        <w:rPr>
          <w:spacing w:val="-2"/>
        </w:rPr>
        <w:t>t</w:t>
      </w:r>
      <w:r>
        <w:t>ru a</w:t>
      </w:r>
      <w:r>
        <w:rPr>
          <w:spacing w:val="-3"/>
        </w:rPr>
        <w:t>c</w:t>
      </w:r>
      <w:r>
        <w:t>u</w:t>
      </w:r>
      <w:r>
        <w:rPr>
          <w:spacing w:val="-2"/>
        </w:rPr>
        <w:t>i</w:t>
      </w:r>
      <w:r>
        <w:rPr>
          <w:spacing w:val="1"/>
        </w:rPr>
        <w:t>t</w:t>
      </w:r>
      <w:r>
        <w:rPr>
          <w:spacing w:val="-3"/>
        </w:rPr>
        <w:t>a</w:t>
      </w:r>
      <w:r>
        <w:rPr>
          <w:spacing w:val="1"/>
        </w:rPr>
        <w:t>t</w:t>
      </w:r>
      <w:r>
        <w:t xml:space="preserve">ea </w:t>
      </w:r>
      <w:r>
        <w:rPr>
          <w:spacing w:val="-3"/>
        </w:rPr>
        <w:t>v</w:t>
      </w:r>
      <w:r>
        <w:rPr>
          <w:spacing w:val="-2"/>
        </w:rPr>
        <w:t>i</w:t>
      </w:r>
      <w:r>
        <w:rPr>
          <w:spacing w:val="-3"/>
        </w:rPr>
        <w:t>z</w:t>
      </w:r>
      <w:r>
        <w:t>ua</w:t>
      </w:r>
      <w:r>
        <w:rPr>
          <w:spacing w:val="1"/>
        </w:rPr>
        <w:t>l</w:t>
      </w:r>
      <w:r>
        <w:t>ă, d</w:t>
      </w:r>
      <w:r>
        <w:rPr>
          <w:spacing w:val="-3"/>
        </w:rPr>
        <w:t>a</w:t>
      </w:r>
      <w:r>
        <w:t>r</w:t>
      </w:r>
      <w:r>
        <w:rPr>
          <w:spacing w:val="1"/>
        </w:rPr>
        <w:t xml:space="preserve"> </w:t>
      </w:r>
      <w:r>
        <w:t>c</w:t>
      </w:r>
      <w:r>
        <w:rPr>
          <w:spacing w:val="-3"/>
        </w:rPr>
        <w:t>e</w:t>
      </w:r>
      <w:r>
        <w:rPr>
          <w:spacing w:val="1"/>
        </w:rPr>
        <w:t>l</w:t>
      </w:r>
      <w:r>
        <w:rPr>
          <w:spacing w:val="-3"/>
        </w:rPr>
        <w:t>e</w:t>
      </w:r>
      <w:r>
        <w:rPr>
          <w:spacing w:val="1"/>
        </w:rPr>
        <w:t>l</w:t>
      </w:r>
      <w:r>
        <w:rPr>
          <w:spacing w:val="-3"/>
        </w:rPr>
        <w:t>a</w:t>
      </w:r>
      <w:r>
        <w:rPr>
          <w:spacing w:val="1"/>
        </w:rPr>
        <w:t>lt</w:t>
      </w:r>
      <w:r>
        <w:t>e</w:t>
      </w:r>
      <w:r>
        <w:rPr>
          <w:spacing w:val="-2"/>
        </w:rPr>
        <w:t xml:space="preserve"> </w:t>
      </w:r>
      <w:r>
        <w:t>co</w:t>
      </w:r>
      <w:r>
        <w:rPr>
          <w:spacing w:val="-4"/>
        </w:rPr>
        <w:t>m</w:t>
      </w:r>
      <w:r>
        <w:t>ponen</w:t>
      </w:r>
      <w:r>
        <w:rPr>
          <w:spacing w:val="1"/>
        </w:rPr>
        <w:t>t</w:t>
      </w:r>
      <w:r>
        <w:t>e</w:t>
      </w:r>
      <w:r>
        <w:rPr>
          <w:spacing w:val="-2"/>
        </w:rPr>
        <w:t xml:space="preserve"> </w:t>
      </w:r>
      <w:r>
        <w:t xml:space="preserve">au </w:t>
      </w:r>
      <w:r>
        <w:rPr>
          <w:spacing w:val="-2"/>
        </w:rPr>
        <w:t>f</w:t>
      </w:r>
      <w:r>
        <w:t>ost</w:t>
      </w:r>
      <w:r>
        <w:rPr>
          <w:spacing w:val="-2"/>
        </w:rPr>
        <w:t xml:space="preserve"> </w:t>
      </w:r>
      <w:r>
        <w:t>d</w:t>
      </w:r>
      <w:r>
        <w:rPr>
          <w:spacing w:val="1"/>
        </w:rPr>
        <w:t>i</w:t>
      </w:r>
      <w:r>
        <w:t>n punct</w:t>
      </w:r>
      <w:r>
        <w:rPr>
          <w:spacing w:val="-2"/>
        </w:rPr>
        <w:t xml:space="preserve"> </w:t>
      </w:r>
      <w:r>
        <w:t xml:space="preserve">de </w:t>
      </w:r>
      <w:r>
        <w:rPr>
          <w:spacing w:val="-3"/>
        </w:rPr>
        <w:t>v</w:t>
      </w:r>
      <w:r>
        <w:t>ede</w:t>
      </w:r>
      <w:r>
        <w:rPr>
          <w:spacing w:val="-2"/>
        </w:rPr>
        <w:t>r</w:t>
      </w:r>
      <w:r>
        <w:t>e nu</w:t>
      </w:r>
      <w:r>
        <w:rPr>
          <w:spacing w:val="-4"/>
        </w:rPr>
        <w:t>m</w:t>
      </w:r>
      <w:r>
        <w:t>er</w:t>
      </w:r>
      <w:r>
        <w:rPr>
          <w:spacing w:val="1"/>
        </w:rPr>
        <w:t>i</w:t>
      </w:r>
      <w:r>
        <w:t>c</w:t>
      </w:r>
      <w:r>
        <w:rPr>
          <w:spacing w:val="-2"/>
        </w:rPr>
        <w:t xml:space="preserve"> </w:t>
      </w:r>
      <w:r>
        <w:rPr>
          <w:spacing w:val="1"/>
        </w:rPr>
        <w:t>î</w:t>
      </w:r>
      <w:r>
        <w:t>n</w:t>
      </w:r>
      <w:r>
        <w:rPr>
          <w:spacing w:val="-3"/>
        </w:rPr>
        <w:t xml:space="preserve"> </w:t>
      </w:r>
      <w:r>
        <w:t>fa</w:t>
      </w:r>
      <w:r>
        <w:rPr>
          <w:spacing w:val="-3"/>
        </w:rPr>
        <w:t>v</w:t>
      </w:r>
      <w:r>
        <w:t>oar</w:t>
      </w:r>
      <w:r>
        <w:rPr>
          <w:spacing w:val="-3"/>
        </w:rPr>
        <w:t>e</w:t>
      </w:r>
      <w:r>
        <w:t>a ad</w:t>
      </w:r>
      <w:r>
        <w:rPr>
          <w:spacing w:val="-3"/>
        </w:rPr>
        <w:t>a</w:t>
      </w:r>
      <w:r>
        <w:rPr>
          <w:spacing w:val="1"/>
        </w:rPr>
        <w:t>li</w:t>
      </w:r>
      <w:r>
        <w:rPr>
          <w:spacing w:val="-4"/>
        </w:rPr>
        <w:t>m</w:t>
      </w:r>
      <w:r>
        <w:rPr>
          <w:spacing w:val="-1"/>
        </w:rPr>
        <w:t>u</w:t>
      </w:r>
      <w:r>
        <w:rPr>
          <w:spacing w:val="-4"/>
        </w:rPr>
        <w:t>m</w:t>
      </w:r>
      <w:r>
        <w:t>ab.</w:t>
      </w:r>
    </w:p>
    <w:p w14:paraId="1C8C9CA5" w14:textId="77777777" w:rsidR="00C04CAD" w:rsidRDefault="00C04CAD">
      <w:pPr>
        <w:tabs>
          <w:tab w:val="clear" w:pos="567"/>
        </w:tabs>
        <w:kinsoku w:val="0"/>
        <w:overflowPunct w:val="0"/>
        <w:autoSpaceDE w:val="0"/>
        <w:autoSpaceDN w:val="0"/>
        <w:adjustRightInd w:val="0"/>
        <w:spacing w:line="240" w:lineRule="auto"/>
      </w:pPr>
    </w:p>
    <w:p w14:paraId="59622A6D" w14:textId="77777777" w:rsidR="00C04CAD" w:rsidRDefault="00060E34">
      <w:pPr>
        <w:tabs>
          <w:tab w:val="clear" w:pos="567"/>
        </w:tabs>
        <w:autoSpaceDE w:val="0"/>
        <w:autoSpaceDN w:val="0"/>
        <w:adjustRightInd w:val="0"/>
        <w:spacing w:line="240" w:lineRule="auto"/>
      </w:pPr>
      <w:r>
        <w:t>Din cei 424 subiecți incluși în faza de extensie ne-controlată pe termen lung a Studiilor UV I și UV II, 60 subiecți au fost considerați neeligibili (de exemplu din cauza deviațiilor sau din cauza complicațiilor secundare retinopatiei diabetice, din cauza intervenției chirurgicale de cataractă sau vitrectomiei) și au fost excluși din analiza primară privind eficacitatea. Din cei 364 de pacienți rămași, 269 (74%) pacienți evaluabili au atins 78 săptămâni de tratament deschis cu adalimumab. Pe baza evaluării datelor observate, 216 (80,3%) au fost în stare de repaus a bolii (fără leziuni inflamatorii active, celularitatea CA de grad ≤ 0,5 +, a CV ≤ 0,5 +) utilizând concomitent corticosteroizi în doze ≤ 7,5 mg pe zi iar 178 (66,2%) au fost în stare de repaus fără utilizare de corticosteroizi. În săptămâna 78 AVCO a fost fie îmbunătățită, fie menținută (deteriorare &lt; 5 litere) la 88,6% din cazuri. Datele după Săptămâna 78 au fost în general în concordanță cu aceste rezultate, dar numărul de subiecți înrolați a scăzut după această dată. În general, dintre pacienții care au întrerupt studiul, 18% au întrerupt tratamentul din cauza reacțiilor adverse și 8% din cauza răspunsului insuficient la tratamentul cu adalimumab.</w:t>
      </w:r>
    </w:p>
    <w:p w14:paraId="26027230" w14:textId="77777777" w:rsidR="00C04CAD" w:rsidRDefault="00C04CAD">
      <w:pPr>
        <w:tabs>
          <w:tab w:val="clear" w:pos="567"/>
        </w:tabs>
        <w:kinsoku w:val="0"/>
        <w:overflowPunct w:val="0"/>
        <w:autoSpaceDE w:val="0"/>
        <w:autoSpaceDN w:val="0"/>
        <w:adjustRightInd w:val="0"/>
        <w:spacing w:line="240" w:lineRule="auto"/>
      </w:pPr>
    </w:p>
    <w:p w14:paraId="46E36611" w14:textId="77777777" w:rsidR="00C04CAD" w:rsidRDefault="00060E34">
      <w:pPr>
        <w:keepNext/>
        <w:tabs>
          <w:tab w:val="clear" w:pos="567"/>
        </w:tabs>
        <w:kinsoku w:val="0"/>
        <w:overflowPunct w:val="0"/>
        <w:autoSpaceDE w:val="0"/>
        <w:autoSpaceDN w:val="0"/>
        <w:adjustRightInd w:val="0"/>
        <w:spacing w:line="240" w:lineRule="auto"/>
      </w:pPr>
      <w:r>
        <w:rPr>
          <w:i/>
          <w:spacing w:val="-1"/>
          <w:u w:val="single"/>
        </w:rPr>
        <w:t>C</w:t>
      </w:r>
      <w:r>
        <w:rPr>
          <w:i/>
          <w:u w:val="single"/>
        </w:rPr>
        <w:t>a</w:t>
      </w:r>
      <w:r>
        <w:rPr>
          <w:i/>
          <w:spacing w:val="1"/>
          <w:u w:val="single"/>
        </w:rPr>
        <w:t>l</w:t>
      </w:r>
      <w:r>
        <w:rPr>
          <w:i/>
          <w:spacing w:val="-2"/>
          <w:u w:val="single"/>
        </w:rPr>
        <w:t>i</w:t>
      </w:r>
      <w:r>
        <w:rPr>
          <w:i/>
          <w:spacing w:val="1"/>
          <w:u w:val="single"/>
        </w:rPr>
        <w:t>t</w:t>
      </w:r>
      <w:r>
        <w:rPr>
          <w:i/>
          <w:u w:val="single"/>
        </w:rPr>
        <w:t>a</w:t>
      </w:r>
      <w:r>
        <w:rPr>
          <w:i/>
          <w:spacing w:val="-2"/>
          <w:u w:val="single"/>
        </w:rPr>
        <w:t>t</w:t>
      </w:r>
      <w:r>
        <w:rPr>
          <w:i/>
          <w:u w:val="single"/>
        </w:rPr>
        <w:t>ea</w:t>
      </w:r>
      <w:r>
        <w:rPr>
          <w:i/>
          <w:spacing w:val="-1"/>
          <w:u w:val="single"/>
        </w:rPr>
        <w:t xml:space="preserve"> </w:t>
      </w:r>
      <w:r>
        <w:rPr>
          <w:i/>
          <w:spacing w:val="-3"/>
          <w:u w:val="single"/>
        </w:rPr>
        <w:t>v</w:t>
      </w:r>
      <w:r>
        <w:rPr>
          <w:i/>
          <w:spacing w:val="1"/>
          <w:u w:val="single"/>
        </w:rPr>
        <w:t>i</w:t>
      </w:r>
      <w:r>
        <w:rPr>
          <w:i/>
          <w:spacing w:val="-3"/>
          <w:u w:val="single"/>
        </w:rPr>
        <w:t>e</w:t>
      </w:r>
      <w:r>
        <w:rPr>
          <w:i/>
          <w:spacing w:val="1"/>
          <w:u w:val="single"/>
        </w:rPr>
        <w:t>ţ</w:t>
      </w:r>
      <w:r>
        <w:rPr>
          <w:i/>
          <w:spacing w:val="-2"/>
          <w:u w:val="single"/>
        </w:rPr>
        <w:t>i</w:t>
      </w:r>
      <w:r>
        <w:rPr>
          <w:i/>
          <w:u w:val="single"/>
        </w:rPr>
        <w:t>i</w:t>
      </w:r>
    </w:p>
    <w:p w14:paraId="1CCF70B8" w14:textId="77777777" w:rsidR="00C04CAD" w:rsidRDefault="00C04CAD">
      <w:pPr>
        <w:keepNext/>
        <w:tabs>
          <w:tab w:val="clear" w:pos="567"/>
        </w:tabs>
        <w:kinsoku w:val="0"/>
        <w:overflowPunct w:val="0"/>
        <w:autoSpaceDE w:val="0"/>
        <w:autoSpaceDN w:val="0"/>
        <w:adjustRightInd w:val="0"/>
        <w:spacing w:line="240" w:lineRule="auto"/>
      </w:pPr>
    </w:p>
    <w:p w14:paraId="5D2414D0" w14:textId="77777777" w:rsidR="00C04CAD" w:rsidRDefault="00060E34">
      <w:pPr>
        <w:tabs>
          <w:tab w:val="clear" w:pos="567"/>
        </w:tabs>
        <w:kinsoku w:val="0"/>
        <w:overflowPunct w:val="0"/>
        <w:autoSpaceDE w:val="0"/>
        <w:autoSpaceDN w:val="0"/>
        <w:adjustRightInd w:val="0"/>
        <w:spacing w:line="240" w:lineRule="auto"/>
      </w:pPr>
      <w:r>
        <w:rPr>
          <w:spacing w:val="-1"/>
        </w:rPr>
        <w:t>R</w:t>
      </w:r>
      <w:r>
        <w:t>e</w:t>
      </w:r>
      <w:r>
        <w:rPr>
          <w:spacing w:val="-3"/>
        </w:rPr>
        <w:t>z</w:t>
      </w:r>
      <w:r>
        <w:t>u</w:t>
      </w:r>
      <w:r>
        <w:rPr>
          <w:spacing w:val="1"/>
        </w:rPr>
        <w:t>lt</w:t>
      </w:r>
      <w:r>
        <w:rPr>
          <w:spacing w:val="-3"/>
        </w:rPr>
        <w:t>a</w:t>
      </w:r>
      <w:r>
        <w:rPr>
          <w:spacing w:val="1"/>
        </w:rPr>
        <w:t>t</w:t>
      </w:r>
      <w:r>
        <w:t>e</w:t>
      </w:r>
      <w:r>
        <w:rPr>
          <w:spacing w:val="-2"/>
        </w:rPr>
        <w:t>l</w:t>
      </w:r>
      <w:r>
        <w:t xml:space="preserve">e </w:t>
      </w:r>
      <w:r>
        <w:rPr>
          <w:spacing w:val="-2"/>
        </w:rPr>
        <w:t>r</w:t>
      </w:r>
      <w:r>
        <w:t>apo</w:t>
      </w:r>
      <w:r>
        <w:rPr>
          <w:spacing w:val="-2"/>
        </w:rPr>
        <w:t>r</w:t>
      </w:r>
      <w:r>
        <w:rPr>
          <w:spacing w:val="1"/>
        </w:rPr>
        <w:t>t</w:t>
      </w:r>
      <w:r>
        <w:rPr>
          <w:spacing w:val="-3"/>
        </w:rPr>
        <w:t>a</w:t>
      </w:r>
      <w:r>
        <w:rPr>
          <w:spacing w:val="1"/>
        </w:rPr>
        <w:t>t</w:t>
      </w:r>
      <w:r>
        <w:t xml:space="preserve">e </w:t>
      </w:r>
      <w:r>
        <w:rPr>
          <w:spacing w:val="-3"/>
        </w:rPr>
        <w:t>d</w:t>
      </w:r>
      <w:r>
        <w:t>e c</w:t>
      </w:r>
      <w:r>
        <w:rPr>
          <w:spacing w:val="-3"/>
        </w:rPr>
        <w:t>ă</w:t>
      </w:r>
      <w:r>
        <w:rPr>
          <w:spacing w:val="-2"/>
        </w:rPr>
        <w:t>t</w:t>
      </w:r>
      <w:r>
        <w:t>re p</w:t>
      </w:r>
      <w:r>
        <w:rPr>
          <w:spacing w:val="-3"/>
        </w:rPr>
        <w:t>a</w:t>
      </w:r>
      <w:r>
        <w:t>c</w:t>
      </w:r>
      <w:r>
        <w:rPr>
          <w:spacing w:val="1"/>
        </w:rPr>
        <w:t>i</w:t>
      </w:r>
      <w:r>
        <w:rPr>
          <w:spacing w:val="-3"/>
        </w:rPr>
        <w:t>e</w:t>
      </w:r>
      <w:r>
        <w:t>n</w:t>
      </w:r>
      <w:r>
        <w:rPr>
          <w:spacing w:val="-2"/>
        </w:rPr>
        <w:t>ţ</w:t>
      </w:r>
      <w:r>
        <w:t>i</w:t>
      </w:r>
      <w:r>
        <w:rPr>
          <w:spacing w:val="1"/>
        </w:rPr>
        <w:t xml:space="preserve"> </w:t>
      </w:r>
      <w:r>
        <w:t>cu</w:t>
      </w:r>
      <w:r>
        <w:rPr>
          <w:spacing w:val="-3"/>
        </w:rPr>
        <w:t xml:space="preserve"> </w:t>
      </w:r>
      <w:r>
        <w:t>p</w:t>
      </w:r>
      <w:r>
        <w:rPr>
          <w:spacing w:val="-2"/>
        </w:rPr>
        <w:t>r</w:t>
      </w:r>
      <w:r>
        <w:rPr>
          <w:spacing w:val="1"/>
        </w:rPr>
        <w:t>i</w:t>
      </w:r>
      <w:r>
        <w:rPr>
          <w:spacing w:val="-3"/>
        </w:rPr>
        <w:t>v</w:t>
      </w:r>
      <w:r>
        <w:rPr>
          <w:spacing w:val="1"/>
        </w:rPr>
        <w:t>i</w:t>
      </w:r>
      <w:r>
        <w:t>re</w:t>
      </w:r>
      <w:r>
        <w:rPr>
          <w:spacing w:val="-2"/>
        </w:rPr>
        <w:t xml:space="preserve"> </w:t>
      </w:r>
      <w:r>
        <w:rPr>
          <w:spacing w:val="1"/>
        </w:rPr>
        <w:t>l</w:t>
      </w:r>
      <w:r>
        <w:t xml:space="preserve">a </w:t>
      </w:r>
      <w:r>
        <w:rPr>
          <w:spacing w:val="-2"/>
        </w:rPr>
        <w:t>f</w:t>
      </w:r>
      <w:r>
        <w:t>u</w:t>
      </w:r>
      <w:r>
        <w:rPr>
          <w:spacing w:val="-3"/>
        </w:rPr>
        <w:t>n</w:t>
      </w:r>
      <w:r>
        <w:t>c</w:t>
      </w:r>
      <w:r>
        <w:rPr>
          <w:spacing w:val="1"/>
        </w:rPr>
        <w:t>ț</w:t>
      </w:r>
      <w:r>
        <w:rPr>
          <w:spacing w:val="-2"/>
        </w:rPr>
        <w:t>i</w:t>
      </w:r>
      <w:r>
        <w:t xml:space="preserve">a </w:t>
      </w:r>
      <w:r>
        <w:rPr>
          <w:spacing w:val="-3"/>
        </w:rPr>
        <w:t>v</w:t>
      </w:r>
      <w:r>
        <w:rPr>
          <w:spacing w:val="1"/>
        </w:rPr>
        <w:t>i</w:t>
      </w:r>
      <w:r>
        <w:rPr>
          <w:spacing w:val="-3"/>
        </w:rPr>
        <w:t>z</w:t>
      </w:r>
      <w:r>
        <w:t>ua</w:t>
      </w:r>
      <w:r>
        <w:rPr>
          <w:spacing w:val="1"/>
        </w:rPr>
        <w:t>l</w:t>
      </w:r>
      <w:r>
        <w:t xml:space="preserve">ă </w:t>
      </w:r>
      <w:r>
        <w:rPr>
          <w:spacing w:val="-3"/>
        </w:rPr>
        <w:t>a</w:t>
      </w:r>
      <w:r>
        <w:t>u f</w:t>
      </w:r>
      <w:r>
        <w:rPr>
          <w:spacing w:val="-3"/>
        </w:rPr>
        <w:t>o</w:t>
      </w:r>
      <w:r>
        <w:t>st</w:t>
      </w:r>
      <w:r>
        <w:rPr>
          <w:spacing w:val="1"/>
        </w:rPr>
        <w:t xml:space="preserve"> </w:t>
      </w:r>
      <w:r>
        <w:rPr>
          <w:spacing w:val="-4"/>
        </w:rPr>
        <w:t>m</w:t>
      </w:r>
      <w:r>
        <w:t>ăsu</w:t>
      </w:r>
      <w:r>
        <w:rPr>
          <w:spacing w:val="-2"/>
        </w:rPr>
        <w:t>r</w:t>
      </w:r>
      <w:r>
        <w:t>a</w:t>
      </w:r>
      <w:r>
        <w:rPr>
          <w:spacing w:val="-2"/>
        </w:rPr>
        <w:t>t</w:t>
      </w:r>
      <w:r>
        <w:t xml:space="preserve">e, </w:t>
      </w:r>
      <w:r>
        <w:rPr>
          <w:spacing w:val="1"/>
        </w:rPr>
        <w:t>î</w:t>
      </w:r>
      <w:r>
        <w:t>n</w:t>
      </w:r>
      <w:r>
        <w:rPr>
          <w:spacing w:val="-3"/>
        </w:rPr>
        <w:t xml:space="preserve"> </w:t>
      </w:r>
      <w:r>
        <w:t>a</w:t>
      </w:r>
      <w:r>
        <w:rPr>
          <w:spacing w:val="-4"/>
        </w:rPr>
        <w:t>m</w:t>
      </w:r>
      <w:r>
        <w:t>be</w:t>
      </w:r>
      <w:r>
        <w:rPr>
          <w:spacing w:val="1"/>
        </w:rPr>
        <w:t>l</w:t>
      </w:r>
      <w:r>
        <w:t xml:space="preserve">e </w:t>
      </w:r>
      <w:r>
        <w:rPr>
          <w:spacing w:val="-2"/>
        </w:rPr>
        <w:t>s</w:t>
      </w:r>
      <w:r>
        <w:rPr>
          <w:spacing w:val="1"/>
        </w:rPr>
        <w:t>t</w:t>
      </w:r>
      <w:r>
        <w:t>ud</w:t>
      </w:r>
      <w:r>
        <w:rPr>
          <w:spacing w:val="-2"/>
        </w:rPr>
        <w:t>i</w:t>
      </w:r>
      <w:r>
        <w:t>i c</w:t>
      </w:r>
      <w:r>
        <w:rPr>
          <w:spacing w:val="1"/>
        </w:rPr>
        <w:t>l</w:t>
      </w:r>
      <w:r>
        <w:rPr>
          <w:spacing w:val="-2"/>
        </w:rPr>
        <w:t>i</w:t>
      </w:r>
      <w:r>
        <w:t>n</w:t>
      </w:r>
      <w:r>
        <w:rPr>
          <w:spacing w:val="1"/>
        </w:rPr>
        <w:t>i</w:t>
      </w:r>
      <w:r>
        <w:rPr>
          <w:spacing w:val="-3"/>
        </w:rPr>
        <w:t>c</w:t>
      </w:r>
      <w:r>
        <w:t>e, f</w:t>
      </w:r>
      <w:r>
        <w:rPr>
          <w:spacing w:val="-3"/>
        </w:rPr>
        <w:t>o</w:t>
      </w:r>
      <w:r>
        <w:rPr>
          <w:spacing w:val="1"/>
        </w:rPr>
        <w:t>l</w:t>
      </w:r>
      <w:r>
        <w:rPr>
          <w:spacing w:val="-3"/>
        </w:rPr>
        <w:t>o</w:t>
      </w:r>
      <w:r>
        <w:t>s</w:t>
      </w:r>
      <w:r>
        <w:rPr>
          <w:spacing w:val="1"/>
        </w:rPr>
        <w:t>i</w:t>
      </w:r>
      <w:r>
        <w:t>n</w:t>
      </w:r>
      <w:r>
        <w:rPr>
          <w:spacing w:val="-3"/>
        </w:rPr>
        <w:t>d</w:t>
      </w:r>
      <w:r>
        <w:rPr>
          <w:spacing w:val="-1"/>
        </w:rPr>
        <w:t>u</w:t>
      </w:r>
      <w:r>
        <w:rPr>
          <w:spacing w:val="-4"/>
        </w:rPr>
        <w:t>-</w:t>
      </w:r>
      <w:r>
        <w:t>se ches</w:t>
      </w:r>
      <w:r>
        <w:rPr>
          <w:spacing w:val="-2"/>
        </w:rPr>
        <w:t>ti</w:t>
      </w:r>
      <w:r>
        <w:rPr>
          <w:spacing w:val="-1"/>
        </w:rPr>
        <w:t>o</w:t>
      </w:r>
      <w:r>
        <w:t>nar</w:t>
      </w:r>
      <w:r>
        <w:rPr>
          <w:spacing w:val="-3"/>
        </w:rPr>
        <w:t>u</w:t>
      </w:r>
      <w:r>
        <w:t>l</w:t>
      </w:r>
      <w:r>
        <w:rPr>
          <w:spacing w:val="1"/>
        </w:rPr>
        <w:t xml:space="preserve"> </w:t>
      </w:r>
      <w:r>
        <w:rPr>
          <w:spacing w:val="-1"/>
        </w:rPr>
        <w:t>NE</w:t>
      </w:r>
      <w:r>
        <w:t>I</w:t>
      </w:r>
      <w:r>
        <w:rPr>
          <w:spacing w:val="-4"/>
        </w:rPr>
        <w:t xml:space="preserve"> </w:t>
      </w:r>
      <w:r>
        <w:rPr>
          <w:spacing w:val="1"/>
        </w:rPr>
        <w:t>V</w:t>
      </w:r>
      <w:r>
        <w:rPr>
          <w:spacing w:val="-1"/>
        </w:rPr>
        <w:t>F</w:t>
      </w:r>
      <w:r>
        <w:rPr>
          <w:spacing w:val="1"/>
        </w:rPr>
        <w:t>Q</w:t>
      </w:r>
      <w:r>
        <w:rPr>
          <w:spacing w:val="-4"/>
        </w:rPr>
        <w:t>-</w:t>
      </w:r>
      <w:r>
        <w:t>25.</w:t>
      </w:r>
      <w:r>
        <w:rPr>
          <w:spacing w:val="2"/>
        </w:rPr>
        <w:t xml:space="preserve"> </w:t>
      </w:r>
      <w:r>
        <w:rPr>
          <w:spacing w:val="-4"/>
        </w:rPr>
        <w:t>Î</w:t>
      </w:r>
      <w:r>
        <w:t xml:space="preserve">n </w:t>
      </w:r>
      <w:r>
        <w:rPr>
          <w:spacing w:val="-1"/>
        </w:rPr>
        <w:t>S</w:t>
      </w:r>
      <w:r>
        <w:rPr>
          <w:spacing w:val="1"/>
        </w:rPr>
        <w:t>t</w:t>
      </w:r>
      <w:r>
        <w:t>ud</w:t>
      </w:r>
      <w:r>
        <w:rPr>
          <w:spacing w:val="1"/>
        </w:rPr>
        <w:t>i</w:t>
      </w:r>
      <w:r>
        <w:t>ul</w:t>
      </w:r>
      <w:r>
        <w:rPr>
          <w:spacing w:val="1"/>
        </w:rPr>
        <w:t xml:space="preserve"> </w:t>
      </w:r>
      <w:r>
        <w:rPr>
          <w:spacing w:val="-4"/>
        </w:rPr>
        <w:t>U</w:t>
      </w:r>
      <w:r>
        <w:t>V</w:t>
      </w:r>
      <w:r>
        <w:rPr>
          <w:spacing w:val="1"/>
        </w:rPr>
        <w:t xml:space="preserve"> </w:t>
      </w:r>
      <w:r>
        <w:rPr>
          <w:spacing w:val="-4"/>
        </w:rPr>
        <w:t>I</w:t>
      </w:r>
      <w:r>
        <w:t>,</w:t>
      </w:r>
      <w:r>
        <w:rPr>
          <w:spacing w:val="2"/>
        </w:rPr>
        <w:t xml:space="preserve"> </w:t>
      </w:r>
      <w:r>
        <w:rPr>
          <w:spacing w:val="-4"/>
        </w:rPr>
        <w:t>m</w:t>
      </w:r>
      <w:r>
        <w:t>a</w:t>
      </w:r>
      <w:r>
        <w:rPr>
          <w:spacing w:val="3"/>
        </w:rPr>
        <w:t>j</w:t>
      </w:r>
      <w:r>
        <w:rPr>
          <w:spacing w:val="-3"/>
        </w:rPr>
        <w:t>o</w:t>
      </w:r>
      <w:r>
        <w:t>r</w:t>
      </w:r>
      <w:r>
        <w:rPr>
          <w:spacing w:val="-2"/>
        </w:rPr>
        <w:t>i</w:t>
      </w:r>
      <w:r>
        <w:rPr>
          <w:spacing w:val="1"/>
        </w:rPr>
        <w:t>t</w:t>
      </w:r>
      <w:r>
        <w:rPr>
          <w:spacing w:val="-3"/>
        </w:rPr>
        <w:t>a</w:t>
      </w:r>
      <w:r>
        <w:rPr>
          <w:spacing w:val="1"/>
        </w:rPr>
        <w:t>t</w:t>
      </w:r>
      <w:r>
        <w:t>ea</w:t>
      </w:r>
      <w:r>
        <w:rPr>
          <w:spacing w:val="-2"/>
        </w:rPr>
        <w:t xml:space="preserve"> </w:t>
      </w:r>
      <w:r>
        <w:t>su</w:t>
      </w:r>
      <w:r>
        <w:rPr>
          <w:spacing w:val="-3"/>
        </w:rPr>
        <w:t>b</w:t>
      </w:r>
      <w:r>
        <w:rPr>
          <w:spacing w:val="-2"/>
        </w:rPr>
        <w:t>s</w:t>
      </w:r>
      <w:r>
        <w:t>cor</w:t>
      </w:r>
      <w:r>
        <w:rPr>
          <w:spacing w:val="-3"/>
        </w:rPr>
        <w:t>u</w:t>
      </w:r>
      <w:r>
        <w:t>r</w:t>
      </w:r>
      <w:r>
        <w:rPr>
          <w:spacing w:val="-2"/>
        </w:rPr>
        <w:t>i</w:t>
      </w:r>
      <w:r>
        <w:rPr>
          <w:spacing w:val="1"/>
        </w:rPr>
        <w:t>l</w:t>
      </w:r>
      <w:r>
        <w:t>or</w:t>
      </w:r>
      <w:r>
        <w:rPr>
          <w:spacing w:val="-2"/>
        </w:rPr>
        <w:t xml:space="preserve"> </w:t>
      </w:r>
      <w:r>
        <w:t xml:space="preserve">au </w:t>
      </w:r>
      <w:r>
        <w:rPr>
          <w:spacing w:val="-2"/>
        </w:rPr>
        <w:t>f</w:t>
      </w:r>
      <w:r>
        <w:t>ost</w:t>
      </w:r>
      <w:r>
        <w:rPr>
          <w:spacing w:val="-2"/>
        </w:rPr>
        <w:t xml:space="preserve"> </w:t>
      </w:r>
      <w:r>
        <w:rPr>
          <w:spacing w:val="1"/>
        </w:rPr>
        <w:t>î</w:t>
      </w:r>
      <w:r>
        <w:t>n fa</w:t>
      </w:r>
      <w:r>
        <w:rPr>
          <w:spacing w:val="-3"/>
        </w:rPr>
        <w:t>v</w:t>
      </w:r>
      <w:r>
        <w:t>oar</w:t>
      </w:r>
      <w:r>
        <w:rPr>
          <w:spacing w:val="-3"/>
        </w:rPr>
        <w:t>e</w:t>
      </w:r>
      <w:r>
        <w:t xml:space="preserve">a </w:t>
      </w:r>
      <w:r>
        <w:rPr>
          <w:rFonts w:eastAsia="MS Mincho"/>
          <w:bCs/>
          <w:spacing w:val="1"/>
          <w:szCs w:val="22"/>
          <w:lang w:eastAsia="en-US" w:bidi="ar-SA"/>
        </w:rPr>
        <w:t>adalimumab</w:t>
      </w:r>
      <w:r>
        <w:t xml:space="preserve"> d</w:t>
      </w:r>
      <w:r>
        <w:rPr>
          <w:spacing w:val="1"/>
        </w:rPr>
        <w:t>i</w:t>
      </w:r>
      <w:r>
        <w:t>n</w:t>
      </w:r>
      <w:r>
        <w:rPr>
          <w:spacing w:val="-3"/>
        </w:rPr>
        <w:t xml:space="preserve"> </w:t>
      </w:r>
      <w:r>
        <w:t>pun</w:t>
      </w:r>
      <w:r>
        <w:rPr>
          <w:spacing w:val="-3"/>
        </w:rPr>
        <w:t>c</w:t>
      </w:r>
      <w:r>
        <w:t>t</w:t>
      </w:r>
      <w:r>
        <w:rPr>
          <w:spacing w:val="-2"/>
        </w:rPr>
        <w:t xml:space="preserve"> </w:t>
      </w:r>
      <w:r>
        <w:t xml:space="preserve">de </w:t>
      </w:r>
      <w:r>
        <w:rPr>
          <w:spacing w:val="-3"/>
        </w:rPr>
        <w:t>v</w:t>
      </w:r>
      <w:r>
        <w:t>edere</w:t>
      </w:r>
      <w:r>
        <w:rPr>
          <w:spacing w:val="-2"/>
        </w:rPr>
        <w:t xml:space="preserve"> </w:t>
      </w:r>
      <w:r>
        <w:t>nu</w:t>
      </w:r>
      <w:r>
        <w:rPr>
          <w:spacing w:val="-4"/>
        </w:rPr>
        <w:t>m</w:t>
      </w:r>
      <w:r>
        <w:t>er</w:t>
      </w:r>
      <w:r>
        <w:rPr>
          <w:spacing w:val="1"/>
        </w:rPr>
        <w:t>i</w:t>
      </w:r>
      <w:r>
        <w:t xml:space="preserve">c, </w:t>
      </w:r>
      <w:r>
        <w:rPr>
          <w:spacing w:val="-3"/>
        </w:rPr>
        <w:t>c</w:t>
      </w:r>
      <w:r>
        <w:t>u d</w:t>
      </w:r>
      <w:r>
        <w:rPr>
          <w:spacing w:val="-2"/>
        </w:rPr>
        <w:t>i</w:t>
      </w:r>
      <w:r>
        <w:t>f</w:t>
      </w:r>
      <w:r>
        <w:rPr>
          <w:spacing w:val="-3"/>
        </w:rPr>
        <w:t>e</w:t>
      </w:r>
      <w:r>
        <w:rPr>
          <w:spacing w:val="-2"/>
        </w:rPr>
        <w:t>r</w:t>
      </w:r>
      <w:r>
        <w:t>en</w:t>
      </w:r>
      <w:r>
        <w:rPr>
          <w:spacing w:val="1"/>
        </w:rPr>
        <w:t>ț</w:t>
      </w:r>
      <w:r>
        <w:t xml:space="preserve">e </w:t>
      </w:r>
      <w:r>
        <w:rPr>
          <w:spacing w:val="-4"/>
        </w:rPr>
        <w:t>m</w:t>
      </w:r>
      <w:r>
        <w:t>ed</w:t>
      </w:r>
      <w:r>
        <w:rPr>
          <w:spacing w:val="-2"/>
        </w:rPr>
        <w:t>i</w:t>
      </w:r>
      <w:r>
        <w:t>i</w:t>
      </w:r>
      <w:r>
        <w:rPr>
          <w:spacing w:val="1"/>
        </w:rPr>
        <w:t xml:space="preserve"> </w:t>
      </w:r>
      <w:r>
        <w:t>se</w:t>
      </w:r>
      <w:r>
        <w:rPr>
          <w:spacing w:val="-4"/>
        </w:rPr>
        <w:t>m</w:t>
      </w:r>
      <w:r>
        <w:t>n</w:t>
      </w:r>
      <w:r>
        <w:rPr>
          <w:spacing w:val="1"/>
        </w:rPr>
        <w:t>i</w:t>
      </w:r>
      <w:r>
        <w:rPr>
          <w:spacing w:val="-2"/>
        </w:rPr>
        <w:t>f</w:t>
      </w:r>
      <w:r>
        <w:rPr>
          <w:spacing w:val="1"/>
        </w:rPr>
        <w:t>i</w:t>
      </w:r>
      <w:r>
        <w:t>c</w:t>
      </w:r>
      <w:r>
        <w:rPr>
          <w:spacing w:val="-3"/>
        </w:rPr>
        <w:t>a</w:t>
      </w:r>
      <w:r>
        <w:rPr>
          <w:spacing w:val="1"/>
        </w:rPr>
        <w:t>ti</w:t>
      </w:r>
      <w:r>
        <w:rPr>
          <w:spacing w:val="-3"/>
        </w:rPr>
        <w:t>v</w:t>
      </w:r>
      <w:r>
        <w:t xml:space="preserve">e </w:t>
      </w:r>
      <w:r>
        <w:rPr>
          <w:spacing w:val="-2"/>
        </w:rPr>
        <w:t>st</w:t>
      </w:r>
      <w:r>
        <w:t>a</w:t>
      </w:r>
      <w:r>
        <w:rPr>
          <w:spacing w:val="1"/>
        </w:rPr>
        <w:t>t</w:t>
      </w:r>
      <w:r>
        <w:rPr>
          <w:spacing w:val="-2"/>
        </w:rPr>
        <w:t>i</w:t>
      </w:r>
      <w:r>
        <w:t>s</w:t>
      </w:r>
      <w:r>
        <w:rPr>
          <w:spacing w:val="-2"/>
        </w:rPr>
        <w:t>t</w:t>
      </w:r>
      <w:r>
        <w:rPr>
          <w:spacing w:val="1"/>
        </w:rPr>
        <w:t>i</w:t>
      </w:r>
      <w:r>
        <w:t xml:space="preserve">c </w:t>
      </w:r>
      <w:r>
        <w:rPr>
          <w:spacing w:val="-3"/>
        </w:rPr>
        <w:t>p</w:t>
      </w:r>
      <w:r>
        <w:t>en</w:t>
      </w:r>
      <w:r>
        <w:rPr>
          <w:spacing w:val="-2"/>
        </w:rPr>
        <w:t>t</w:t>
      </w:r>
      <w:r>
        <w:t>ru acu</w:t>
      </w:r>
      <w:r>
        <w:rPr>
          <w:spacing w:val="-2"/>
        </w:rPr>
        <w:t>i</w:t>
      </w:r>
      <w:r>
        <w:rPr>
          <w:spacing w:val="1"/>
        </w:rPr>
        <w:t>t</w:t>
      </w:r>
      <w:r>
        <w:rPr>
          <w:spacing w:val="-3"/>
        </w:rPr>
        <w:t>a</w:t>
      </w:r>
      <w:r>
        <w:rPr>
          <w:spacing w:val="1"/>
        </w:rPr>
        <w:t>t</w:t>
      </w:r>
      <w:r>
        <w:t xml:space="preserve">ea </w:t>
      </w:r>
      <w:r>
        <w:rPr>
          <w:spacing w:val="-3"/>
        </w:rPr>
        <w:t>v</w:t>
      </w:r>
      <w:r>
        <w:rPr>
          <w:spacing w:val="1"/>
        </w:rPr>
        <w:t>i</w:t>
      </w:r>
      <w:r>
        <w:rPr>
          <w:spacing w:val="-3"/>
        </w:rPr>
        <w:t>z</w:t>
      </w:r>
      <w:r>
        <w:t>ua</w:t>
      </w:r>
      <w:r>
        <w:rPr>
          <w:spacing w:val="-2"/>
        </w:rPr>
        <w:t>l</w:t>
      </w:r>
      <w:r>
        <w:t xml:space="preserve">ă </w:t>
      </w:r>
      <w:r>
        <w:rPr>
          <w:spacing w:val="1"/>
        </w:rPr>
        <w:t>î</w:t>
      </w:r>
      <w:r>
        <w:t>n</w:t>
      </w:r>
      <w:r>
        <w:rPr>
          <w:spacing w:val="-3"/>
        </w:rPr>
        <w:t xml:space="preserve"> g</w:t>
      </w:r>
      <w:r>
        <w:t>ener</w:t>
      </w:r>
      <w:r>
        <w:rPr>
          <w:spacing w:val="-3"/>
        </w:rPr>
        <w:t>a</w:t>
      </w:r>
      <w:r>
        <w:rPr>
          <w:spacing w:val="1"/>
        </w:rPr>
        <w:t>l</w:t>
      </w:r>
      <w:r>
        <w:t>,</w:t>
      </w:r>
      <w:r>
        <w:rPr>
          <w:spacing w:val="-3"/>
        </w:rPr>
        <w:t xml:space="preserve"> </w:t>
      </w:r>
      <w:r>
        <w:t>dur</w:t>
      </w:r>
      <w:r>
        <w:rPr>
          <w:spacing w:val="-3"/>
        </w:rPr>
        <w:t>e</w:t>
      </w:r>
      <w:r>
        <w:t>rea</w:t>
      </w:r>
      <w:r>
        <w:rPr>
          <w:spacing w:val="-2"/>
        </w:rPr>
        <w:t xml:space="preserve"> </w:t>
      </w:r>
      <w:r>
        <w:t>oc</w:t>
      </w:r>
      <w:r>
        <w:rPr>
          <w:spacing w:val="-3"/>
        </w:rPr>
        <w:t>u</w:t>
      </w:r>
      <w:r>
        <w:rPr>
          <w:spacing w:val="1"/>
        </w:rPr>
        <w:t>l</w:t>
      </w:r>
      <w:r>
        <w:t>a</w:t>
      </w:r>
      <w:r>
        <w:rPr>
          <w:spacing w:val="-2"/>
        </w:rPr>
        <w:t>r</w:t>
      </w:r>
      <w:r>
        <w:t xml:space="preserve">ă, </w:t>
      </w:r>
      <w:r>
        <w:rPr>
          <w:spacing w:val="-3"/>
        </w:rPr>
        <w:t>v</w:t>
      </w:r>
      <w:r>
        <w:t>ede</w:t>
      </w:r>
      <w:r>
        <w:rPr>
          <w:spacing w:val="-2"/>
        </w:rPr>
        <w:t>r</w:t>
      </w:r>
      <w:r>
        <w:t xml:space="preserve">ea </w:t>
      </w:r>
      <w:r>
        <w:rPr>
          <w:spacing w:val="-3"/>
        </w:rPr>
        <w:t>d</w:t>
      </w:r>
      <w:r>
        <w:t>e ap</w:t>
      </w:r>
      <w:r>
        <w:rPr>
          <w:spacing w:val="-2"/>
        </w:rPr>
        <w:t>r</w:t>
      </w:r>
      <w:r>
        <w:t>oape,</w:t>
      </w:r>
      <w:r>
        <w:rPr>
          <w:spacing w:val="-3"/>
        </w:rPr>
        <w:t xml:space="preserve"> </w:t>
      </w:r>
      <w:r>
        <w:t>să</w:t>
      </w:r>
      <w:r>
        <w:rPr>
          <w:spacing w:val="-3"/>
        </w:rPr>
        <w:t>n</w:t>
      </w:r>
      <w:r>
        <w:t>ă</w:t>
      </w:r>
      <w:r>
        <w:rPr>
          <w:spacing w:val="1"/>
        </w:rPr>
        <w:t>t</w:t>
      </w:r>
      <w:r>
        <w:rPr>
          <w:spacing w:val="-3"/>
        </w:rPr>
        <w:t>a</w:t>
      </w:r>
      <w:r>
        <w:rPr>
          <w:spacing w:val="1"/>
        </w:rPr>
        <w:t>t</w:t>
      </w:r>
      <w:r>
        <w:rPr>
          <w:spacing w:val="-3"/>
        </w:rPr>
        <w:t>e</w:t>
      </w:r>
      <w:r>
        <w:t xml:space="preserve">a </w:t>
      </w:r>
      <w:r>
        <w:rPr>
          <w:spacing w:val="-4"/>
        </w:rPr>
        <w:t>m</w:t>
      </w:r>
      <w:r>
        <w:rPr>
          <w:spacing w:val="1"/>
        </w:rPr>
        <w:t>i</w:t>
      </w:r>
      <w:r>
        <w:t>n</w:t>
      </w:r>
      <w:r>
        <w:rPr>
          <w:spacing w:val="1"/>
        </w:rPr>
        <w:t>t</w:t>
      </w:r>
      <w:r>
        <w:t>a</w:t>
      </w:r>
      <w:r>
        <w:rPr>
          <w:spacing w:val="-2"/>
        </w:rPr>
        <w:t>l</w:t>
      </w:r>
      <w:r>
        <w:t>ă și</w:t>
      </w:r>
      <w:r>
        <w:rPr>
          <w:spacing w:val="-2"/>
        </w:rPr>
        <w:t xml:space="preserve"> </w:t>
      </w:r>
      <w:r>
        <w:t>sc</w:t>
      </w:r>
      <w:r>
        <w:rPr>
          <w:spacing w:val="-3"/>
        </w:rPr>
        <w:t>o</w:t>
      </w:r>
      <w:r>
        <w:t>rul</w:t>
      </w:r>
      <w:r>
        <w:rPr>
          <w:spacing w:val="-2"/>
        </w:rPr>
        <w:t xml:space="preserve"> </w:t>
      </w:r>
      <w:r>
        <w:rPr>
          <w:spacing w:val="1"/>
        </w:rPr>
        <w:t>t</w:t>
      </w:r>
      <w:r>
        <w:rPr>
          <w:spacing w:val="-3"/>
        </w:rPr>
        <w:t>o</w:t>
      </w:r>
      <w:r>
        <w:rPr>
          <w:spacing w:val="1"/>
        </w:rPr>
        <w:t>t</w:t>
      </w:r>
      <w:r>
        <w:t>al</w:t>
      </w:r>
      <w:r>
        <w:rPr>
          <w:spacing w:val="-2"/>
        </w:rPr>
        <w:t xml:space="preserve"> </w:t>
      </w:r>
      <w:r>
        <w:t>ș</w:t>
      </w:r>
      <w:r>
        <w:rPr>
          <w:spacing w:val="1"/>
        </w:rPr>
        <w:t>i</w:t>
      </w:r>
      <w:r>
        <w:t>,</w:t>
      </w:r>
      <w:r>
        <w:rPr>
          <w:spacing w:val="-3"/>
        </w:rPr>
        <w:t xml:space="preserve"> </w:t>
      </w:r>
      <w:r>
        <w:rPr>
          <w:spacing w:val="1"/>
        </w:rPr>
        <w:t>î</w:t>
      </w:r>
      <w:r>
        <w:t xml:space="preserve">n </w:t>
      </w:r>
      <w:r>
        <w:rPr>
          <w:spacing w:val="-1"/>
        </w:rPr>
        <w:t>S</w:t>
      </w:r>
      <w:r>
        <w:rPr>
          <w:spacing w:val="1"/>
        </w:rPr>
        <w:t>t</w:t>
      </w:r>
      <w:r>
        <w:t>ud</w:t>
      </w:r>
      <w:r>
        <w:rPr>
          <w:spacing w:val="-2"/>
        </w:rPr>
        <w:t>i</w:t>
      </w:r>
      <w:r>
        <w:t>ul</w:t>
      </w:r>
      <w:r>
        <w:rPr>
          <w:spacing w:val="1"/>
        </w:rPr>
        <w:t xml:space="preserve"> </w:t>
      </w:r>
      <w:r>
        <w:rPr>
          <w:spacing w:val="-4"/>
        </w:rPr>
        <w:t>U</w:t>
      </w:r>
      <w:r>
        <w:t>V</w:t>
      </w:r>
      <w:r>
        <w:rPr>
          <w:spacing w:val="1"/>
        </w:rPr>
        <w:t xml:space="preserve"> </w:t>
      </w:r>
      <w:r>
        <w:rPr>
          <w:spacing w:val="-2"/>
        </w:rPr>
        <w:t>I</w:t>
      </w:r>
      <w:r>
        <w:rPr>
          <w:spacing w:val="-4"/>
        </w:rPr>
        <w:t>I</w:t>
      </w:r>
      <w:r>
        <w:t>, pen</w:t>
      </w:r>
      <w:r>
        <w:rPr>
          <w:spacing w:val="1"/>
        </w:rPr>
        <w:t>t</w:t>
      </w:r>
      <w:r>
        <w:t>ru a</w:t>
      </w:r>
      <w:r>
        <w:rPr>
          <w:spacing w:val="-3"/>
        </w:rPr>
        <w:t>c</w:t>
      </w:r>
      <w:r>
        <w:t>u</w:t>
      </w:r>
      <w:r>
        <w:rPr>
          <w:spacing w:val="-2"/>
        </w:rPr>
        <w:t>it</w:t>
      </w:r>
      <w:r>
        <w:t>a</w:t>
      </w:r>
      <w:r>
        <w:rPr>
          <w:spacing w:val="1"/>
        </w:rPr>
        <w:t>t</w:t>
      </w:r>
      <w:r>
        <w:t>ea</w:t>
      </w:r>
      <w:r>
        <w:rPr>
          <w:spacing w:val="-2"/>
        </w:rPr>
        <w:t xml:space="preserve"> </w:t>
      </w:r>
      <w:r>
        <w:rPr>
          <w:spacing w:val="-3"/>
        </w:rPr>
        <w:t>v</w:t>
      </w:r>
      <w:r>
        <w:rPr>
          <w:spacing w:val="1"/>
        </w:rPr>
        <w:t>i</w:t>
      </w:r>
      <w:r>
        <w:rPr>
          <w:spacing w:val="-3"/>
        </w:rPr>
        <w:t>z</w:t>
      </w:r>
      <w:r>
        <w:t>ua</w:t>
      </w:r>
      <w:r>
        <w:rPr>
          <w:spacing w:val="1"/>
        </w:rPr>
        <w:t>l</w:t>
      </w:r>
      <w:r>
        <w:t xml:space="preserve">ă </w:t>
      </w:r>
      <w:r>
        <w:rPr>
          <w:spacing w:val="-2"/>
        </w:rPr>
        <w:t>î</w:t>
      </w:r>
      <w:r>
        <w:t xml:space="preserve">n </w:t>
      </w:r>
      <w:r>
        <w:rPr>
          <w:spacing w:val="-3"/>
        </w:rPr>
        <w:t>g</w:t>
      </w:r>
      <w:r>
        <w:t>ener</w:t>
      </w:r>
      <w:r>
        <w:rPr>
          <w:spacing w:val="-3"/>
        </w:rPr>
        <w:t>a</w:t>
      </w:r>
      <w:r>
        <w:t>l</w:t>
      </w:r>
      <w:r>
        <w:rPr>
          <w:spacing w:val="1"/>
        </w:rPr>
        <w:t xml:space="preserve"> </w:t>
      </w:r>
      <w:r>
        <w:rPr>
          <w:spacing w:val="-2"/>
        </w:rPr>
        <w:t>ș</w:t>
      </w:r>
      <w:r>
        <w:t>i</w:t>
      </w:r>
      <w:r>
        <w:rPr>
          <w:spacing w:val="1"/>
        </w:rPr>
        <w:t xml:space="preserve"> </w:t>
      </w:r>
      <w:r>
        <w:rPr>
          <w:spacing w:val="-2"/>
        </w:rPr>
        <w:t>s</w:t>
      </w:r>
      <w:r>
        <w:rPr>
          <w:spacing w:val="-3"/>
        </w:rPr>
        <w:t>ă</w:t>
      </w:r>
      <w:r>
        <w:t>nă</w:t>
      </w:r>
      <w:r>
        <w:rPr>
          <w:spacing w:val="1"/>
        </w:rPr>
        <w:t>t</w:t>
      </w:r>
      <w:r>
        <w:rPr>
          <w:spacing w:val="-3"/>
        </w:rPr>
        <w:t>a</w:t>
      </w:r>
      <w:r>
        <w:rPr>
          <w:spacing w:val="1"/>
        </w:rPr>
        <w:t>t</w:t>
      </w:r>
      <w:r>
        <w:t>ea</w:t>
      </w:r>
      <w:r>
        <w:rPr>
          <w:spacing w:val="-2"/>
        </w:rPr>
        <w:t xml:space="preserve"> </w:t>
      </w:r>
      <w:r>
        <w:rPr>
          <w:spacing w:val="-4"/>
        </w:rPr>
        <w:t>m</w:t>
      </w:r>
      <w:r>
        <w:rPr>
          <w:spacing w:val="1"/>
        </w:rPr>
        <w:t>i</w:t>
      </w:r>
      <w:r>
        <w:t>n</w:t>
      </w:r>
      <w:r>
        <w:rPr>
          <w:spacing w:val="1"/>
        </w:rPr>
        <w:t>t</w:t>
      </w:r>
      <w:r>
        <w:t>a</w:t>
      </w:r>
      <w:r>
        <w:rPr>
          <w:spacing w:val="-2"/>
        </w:rPr>
        <w:t>l</w:t>
      </w:r>
      <w:r>
        <w:t xml:space="preserve">ă. </w:t>
      </w:r>
      <w:r>
        <w:rPr>
          <w:spacing w:val="-4"/>
        </w:rPr>
        <w:t>Î</w:t>
      </w:r>
      <w:r>
        <w:t xml:space="preserve">n </w:t>
      </w:r>
      <w:r>
        <w:rPr>
          <w:spacing w:val="-1"/>
        </w:rPr>
        <w:t>S</w:t>
      </w:r>
      <w:r>
        <w:rPr>
          <w:spacing w:val="1"/>
        </w:rPr>
        <w:t>t</w:t>
      </w:r>
      <w:r>
        <w:t>ud</w:t>
      </w:r>
      <w:r>
        <w:rPr>
          <w:spacing w:val="1"/>
        </w:rPr>
        <w:t>i</w:t>
      </w:r>
      <w:r>
        <w:rPr>
          <w:spacing w:val="-3"/>
        </w:rPr>
        <w:t>u</w:t>
      </w:r>
      <w:r>
        <w:t>l</w:t>
      </w:r>
      <w:r>
        <w:rPr>
          <w:spacing w:val="-2"/>
        </w:rPr>
        <w:t xml:space="preserve"> </w:t>
      </w:r>
      <w:r>
        <w:rPr>
          <w:spacing w:val="-1"/>
        </w:rPr>
        <w:t>U</w:t>
      </w:r>
      <w:r>
        <w:t>V</w:t>
      </w:r>
      <w:r>
        <w:rPr>
          <w:spacing w:val="1"/>
        </w:rPr>
        <w:t xml:space="preserve"> </w:t>
      </w:r>
      <w:r>
        <w:rPr>
          <w:spacing w:val="-4"/>
        </w:rPr>
        <w:t>I</w:t>
      </w:r>
      <w:r>
        <w:t>, efec</w:t>
      </w:r>
      <w:r>
        <w:rPr>
          <w:spacing w:val="-2"/>
        </w:rPr>
        <w:t>t</w:t>
      </w:r>
      <w:r>
        <w:t>e</w:t>
      </w:r>
      <w:r>
        <w:rPr>
          <w:spacing w:val="1"/>
        </w:rPr>
        <w:t>l</w:t>
      </w:r>
      <w:r>
        <w:t>e</w:t>
      </w:r>
      <w:r>
        <w:rPr>
          <w:spacing w:val="-2"/>
        </w:rPr>
        <w:t xml:space="preserve"> </w:t>
      </w:r>
      <w:r>
        <w:rPr>
          <w:spacing w:val="1"/>
        </w:rPr>
        <w:t>l</w:t>
      </w:r>
      <w:r>
        <w:t>e</w:t>
      </w:r>
      <w:r>
        <w:rPr>
          <w:spacing w:val="-3"/>
        </w:rPr>
        <w:t>g</w:t>
      </w:r>
      <w:r>
        <w:t>a</w:t>
      </w:r>
      <w:r>
        <w:rPr>
          <w:spacing w:val="-2"/>
        </w:rPr>
        <w:t>t</w:t>
      </w:r>
      <w:r>
        <w:t>e de ac</w:t>
      </w:r>
      <w:r>
        <w:rPr>
          <w:spacing w:val="-3"/>
        </w:rPr>
        <w:t>u</w:t>
      </w:r>
      <w:r>
        <w:rPr>
          <w:spacing w:val="1"/>
        </w:rPr>
        <w:t>i</w:t>
      </w:r>
      <w:r>
        <w:rPr>
          <w:spacing w:val="-2"/>
        </w:rPr>
        <w:t>t</w:t>
      </w:r>
      <w:r>
        <w:t>a</w:t>
      </w:r>
      <w:r>
        <w:rPr>
          <w:spacing w:val="-2"/>
        </w:rPr>
        <w:t>t</w:t>
      </w:r>
      <w:r>
        <w:t xml:space="preserve">ea </w:t>
      </w:r>
      <w:r>
        <w:rPr>
          <w:spacing w:val="-3"/>
        </w:rPr>
        <w:t>v</w:t>
      </w:r>
      <w:r>
        <w:rPr>
          <w:spacing w:val="1"/>
        </w:rPr>
        <w:t>i</w:t>
      </w:r>
      <w:r>
        <w:rPr>
          <w:spacing w:val="-3"/>
        </w:rPr>
        <w:t>z</w:t>
      </w:r>
      <w:r>
        <w:t>ua</w:t>
      </w:r>
      <w:r>
        <w:rPr>
          <w:spacing w:val="1"/>
        </w:rPr>
        <w:t>l</w:t>
      </w:r>
      <w:r>
        <w:t>ă</w:t>
      </w:r>
      <w:r>
        <w:rPr>
          <w:spacing w:val="-2"/>
        </w:rPr>
        <w:t xml:space="preserve"> </w:t>
      </w:r>
      <w:r>
        <w:t>nu au</w:t>
      </w:r>
      <w:r>
        <w:rPr>
          <w:spacing w:val="-3"/>
        </w:rPr>
        <w:t xml:space="preserve"> </w:t>
      </w:r>
      <w:r>
        <w:rPr>
          <w:spacing w:val="-2"/>
        </w:rPr>
        <w:t>f</w:t>
      </w:r>
      <w:r>
        <w:t>ost</w:t>
      </w:r>
      <w:r>
        <w:rPr>
          <w:spacing w:val="-2"/>
        </w:rPr>
        <w:t xml:space="preserve"> </w:t>
      </w:r>
      <w:r>
        <w:rPr>
          <w:spacing w:val="1"/>
        </w:rPr>
        <w:t>î</w:t>
      </w:r>
      <w:r>
        <w:t xml:space="preserve">n </w:t>
      </w:r>
      <w:r>
        <w:rPr>
          <w:spacing w:val="-2"/>
        </w:rPr>
        <w:t>f</w:t>
      </w:r>
      <w:r>
        <w:t>a</w:t>
      </w:r>
      <w:r>
        <w:rPr>
          <w:spacing w:val="-3"/>
        </w:rPr>
        <w:t>v</w:t>
      </w:r>
      <w:r>
        <w:t xml:space="preserve">oarea </w:t>
      </w:r>
      <w:r>
        <w:rPr>
          <w:rFonts w:eastAsia="MS Mincho"/>
          <w:bCs/>
          <w:spacing w:val="1"/>
          <w:szCs w:val="22"/>
          <w:lang w:eastAsia="en-US" w:bidi="ar-SA"/>
        </w:rPr>
        <w:t>adalimumab</w:t>
      </w:r>
      <w:r>
        <w:rPr>
          <w:spacing w:val="-2"/>
        </w:rPr>
        <w:t xml:space="preserve"> </w:t>
      </w:r>
      <w:r>
        <w:t>d</w:t>
      </w:r>
      <w:r>
        <w:rPr>
          <w:spacing w:val="1"/>
        </w:rPr>
        <w:t>i</w:t>
      </w:r>
      <w:r>
        <w:t>n</w:t>
      </w:r>
      <w:r>
        <w:rPr>
          <w:spacing w:val="-3"/>
        </w:rPr>
        <w:t xml:space="preserve"> </w:t>
      </w:r>
      <w:r>
        <w:t>punct</w:t>
      </w:r>
      <w:r>
        <w:rPr>
          <w:spacing w:val="-2"/>
        </w:rPr>
        <w:t xml:space="preserve"> </w:t>
      </w:r>
      <w:r>
        <w:t xml:space="preserve">de </w:t>
      </w:r>
      <w:r>
        <w:rPr>
          <w:spacing w:val="-3"/>
        </w:rPr>
        <w:t>v</w:t>
      </w:r>
      <w:r>
        <w:t>ede</w:t>
      </w:r>
      <w:r>
        <w:rPr>
          <w:spacing w:val="-2"/>
        </w:rPr>
        <w:t>r</w:t>
      </w:r>
      <w:r>
        <w:t>e nu</w:t>
      </w:r>
      <w:r>
        <w:rPr>
          <w:spacing w:val="-4"/>
        </w:rPr>
        <w:t>m</w:t>
      </w:r>
      <w:r>
        <w:t>er</w:t>
      </w:r>
      <w:r>
        <w:rPr>
          <w:spacing w:val="1"/>
        </w:rPr>
        <w:t>i</w:t>
      </w:r>
      <w:r>
        <w:t>c</w:t>
      </w:r>
      <w:r>
        <w:rPr>
          <w:spacing w:val="-2"/>
        </w:rPr>
        <w:t xml:space="preserve"> </w:t>
      </w:r>
      <w:r>
        <w:t>p</w:t>
      </w:r>
      <w:r>
        <w:rPr>
          <w:spacing w:val="-3"/>
        </w:rPr>
        <w:t>e</w:t>
      </w:r>
      <w:r>
        <w:t>n</w:t>
      </w:r>
      <w:r>
        <w:rPr>
          <w:spacing w:val="1"/>
        </w:rPr>
        <w:t>t</w:t>
      </w:r>
      <w:r>
        <w:t xml:space="preserve">ru </w:t>
      </w:r>
      <w:r>
        <w:rPr>
          <w:spacing w:val="-3"/>
        </w:rPr>
        <w:t>v</w:t>
      </w:r>
      <w:r>
        <w:t>ed</w:t>
      </w:r>
      <w:r>
        <w:rPr>
          <w:spacing w:val="-3"/>
        </w:rPr>
        <w:t>e</w:t>
      </w:r>
      <w:r>
        <w:t>rea cro</w:t>
      </w:r>
      <w:r>
        <w:rPr>
          <w:spacing w:val="-4"/>
        </w:rPr>
        <w:t>m</w:t>
      </w:r>
      <w:r>
        <w:t>a</w:t>
      </w:r>
      <w:r>
        <w:rPr>
          <w:spacing w:val="1"/>
        </w:rPr>
        <w:t>ti</w:t>
      </w:r>
      <w:r>
        <w:rPr>
          <w:spacing w:val="-3"/>
        </w:rPr>
        <w:t>c</w:t>
      </w:r>
      <w:r>
        <w:t xml:space="preserve">ă </w:t>
      </w:r>
      <w:r>
        <w:rPr>
          <w:spacing w:val="-2"/>
        </w:rPr>
        <w:t>ș</w:t>
      </w:r>
      <w:r>
        <w:rPr>
          <w:spacing w:val="1"/>
        </w:rPr>
        <w:t>i</w:t>
      </w:r>
      <w:r>
        <w:t xml:space="preserve">, </w:t>
      </w:r>
      <w:r>
        <w:rPr>
          <w:spacing w:val="1"/>
        </w:rPr>
        <w:t>î</w:t>
      </w:r>
      <w:r>
        <w:t>n</w:t>
      </w:r>
      <w:r>
        <w:rPr>
          <w:spacing w:val="-3"/>
        </w:rPr>
        <w:t xml:space="preserve"> </w:t>
      </w:r>
      <w:r>
        <w:rPr>
          <w:spacing w:val="-1"/>
        </w:rPr>
        <w:t>S</w:t>
      </w:r>
      <w:r>
        <w:rPr>
          <w:spacing w:val="1"/>
        </w:rPr>
        <w:t>t</w:t>
      </w:r>
      <w:r>
        <w:t>u</w:t>
      </w:r>
      <w:r>
        <w:rPr>
          <w:spacing w:val="-3"/>
        </w:rPr>
        <w:t>d</w:t>
      </w:r>
      <w:r>
        <w:rPr>
          <w:spacing w:val="1"/>
        </w:rPr>
        <w:t>i</w:t>
      </w:r>
      <w:r>
        <w:rPr>
          <w:spacing w:val="-3"/>
        </w:rPr>
        <w:t>u</w:t>
      </w:r>
      <w:r>
        <w:t>l</w:t>
      </w:r>
      <w:r>
        <w:rPr>
          <w:spacing w:val="1"/>
        </w:rPr>
        <w:t xml:space="preserve"> </w:t>
      </w:r>
      <w:r>
        <w:rPr>
          <w:spacing w:val="-1"/>
        </w:rPr>
        <w:t>U</w:t>
      </w:r>
      <w:r>
        <w:t>V</w:t>
      </w:r>
      <w:r>
        <w:rPr>
          <w:spacing w:val="-1"/>
        </w:rPr>
        <w:t xml:space="preserve"> </w:t>
      </w:r>
      <w:r>
        <w:rPr>
          <w:spacing w:val="-2"/>
        </w:rPr>
        <w:t>II</w:t>
      </w:r>
      <w:r>
        <w:t>, pen</w:t>
      </w:r>
      <w:r>
        <w:rPr>
          <w:spacing w:val="1"/>
        </w:rPr>
        <w:t>t</w:t>
      </w:r>
      <w:r>
        <w:t xml:space="preserve">ru </w:t>
      </w:r>
      <w:r>
        <w:rPr>
          <w:spacing w:val="-3"/>
        </w:rPr>
        <w:t>v</w:t>
      </w:r>
      <w:r>
        <w:t>ede</w:t>
      </w:r>
      <w:r>
        <w:rPr>
          <w:spacing w:val="-2"/>
        </w:rPr>
        <w:t>r</w:t>
      </w:r>
      <w:r>
        <w:t>ea</w:t>
      </w:r>
      <w:r>
        <w:rPr>
          <w:spacing w:val="-2"/>
        </w:rPr>
        <w:t xml:space="preserve"> </w:t>
      </w:r>
      <w:r>
        <w:t>cro</w:t>
      </w:r>
      <w:r>
        <w:rPr>
          <w:spacing w:val="-4"/>
        </w:rPr>
        <w:t>m</w:t>
      </w:r>
      <w:r>
        <w:t>a</w:t>
      </w:r>
      <w:r>
        <w:rPr>
          <w:spacing w:val="1"/>
        </w:rPr>
        <w:t>t</w:t>
      </w:r>
      <w:r>
        <w:rPr>
          <w:spacing w:val="-2"/>
        </w:rPr>
        <w:t>i</w:t>
      </w:r>
      <w:r>
        <w:rPr>
          <w:spacing w:val="-3"/>
        </w:rPr>
        <w:t>c</w:t>
      </w:r>
      <w:r>
        <w:t xml:space="preserve">ă, </w:t>
      </w:r>
      <w:r>
        <w:rPr>
          <w:spacing w:val="-3"/>
        </w:rPr>
        <w:t>v</w:t>
      </w:r>
      <w:r>
        <w:t xml:space="preserve">edere </w:t>
      </w:r>
      <w:r>
        <w:rPr>
          <w:spacing w:val="-3"/>
        </w:rPr>
        <w:t>p</w:t>
      </w:r>
      <w:r>
        <w:t>e</w:t>
      </w:r>
      <w:r>
        <w:rPr>
          <w:spacing w:val="-2"/>
        </w:rPr>
        <w:t>r</w:t>
      </w:r>
      <w:r>
        <w:rPr>
          <w:spacing w:val="1"/>
        </w:rPr>
        <w:t>i</w:t>
      </w:r>
      <w:r>
        <w:rPr>
          <w:spacing w:val="-2"/>
        </w:rPr>
        <w:t>f</w:t>
      </w:r>
      <w:r>
        <w:t>e</w:t>
      </w:r>
      <w:r>
        <w:rPr>
          <w:spacing w:val="-2"/>
        </w:rPr>
        <w:t>r</w:t>
      </w:r>
      <w:r>
        <w:rPr>
          <w:spacing w:val="1"/>
        </w:rPr>
        <w:t>i</w:t>
      </w:r>
      <w:r>
        <w:t>că</w:t>
      </w:r>
      <w:r>
        <w:rPr>
          <w:spacing w:val="-2"/>
        </w:rPr>
        <w:t xml:space="preserve"> </w:t>
      </w:r>
      <w:r>
        <w:t>şi</w:t>
      </w:r>
      <w:r>
        <w:rPr>
          <w:spacing w:val="1"/>
        </w:rPr>
        <w:t xml:space="preserve"> </w:t>
      </w:r>
      <w:r>
        <w:rPr>
          <w:spacing w:val="-3"/>
        </w:rPr>
        <w:t>v</w:t>
      </w:r>
      <w:r>
        <w:t>ed</w:t>
      </w:r>
      <w:r>
        <w:rPr>
          <w:spacing w:val="-3"/>
        </w:rPr>
        <w:t>e</w:t>
      </w:r>
      <w:r>
        <w:rPr>
          <w:spacing w:val="-2"/>
        </w:rPr>
        <w:t>r</w:t>
      </w:r>
      <w:r>
        <w:t>ea de</w:t>
      </w:r>
      <w:r>
        <w:rPr>
          <w:spacing w:val="-2"/>
        </w:rPr>
        <w:t xml:space="preserve"> </w:t>
      </w:r>
      <w:r>
        <w:t>apr</w:t>
      </w:r>
      <w:r>
        <w:rPr>
          <w:spacing w:val="-3"/>
        </w:rPr>
        <w:t>o</w:t>
      </w:r>
      <w:r>
        <w:t>ape.</w:t>
      </w:r>
    </w:p>
    <w:p w14:paraId="4C3F64D3" w14:textId="77777777" w:rsidR="00C04CAD" w:rsidRDefault="00C04CAD">
      <w:pPr>
        <w:tabs>
          <w:tab w:val="clear" w:pos="567"/>
        </w:tabs>
        <w:kinsoku w:val="0"/>
        <w:overflowPunct w:val="0"/>
        <w:autoSpaceDE w:val="0"/>
        <w:autoSpaceDN w:val="0"/>
        <w:adjustRightInd w:val="0"/>
        <w:spacing w:line="240" w:lineRule="auto"/>
      </w:pPr>
    </w:p>
    <w:p w14:paraId="370BD6C2" w14:textId="77777777" w:rsidR="00C04CAD" w:rsidRDefault="00060E34">
      <w:pPr>
        <w:keepNext/>
        <w:tabs>
          <w:tab w:val="clear" w:pos="567"/>
        </w:tabs>
        <w:kinsoku w:val="0"/>
        <w:overflowPunct w:val="0"/>
        <w:autoSpaceDE w:val="0"/>
        <w:autoSpaceDN w:val="0"/>
        <w:adjustRightInd w:val="0"/>
        <w:spacing w:line="240" w:lineRule="auto"/>
        <w:rPr>
          <w:u w:val="single"/>
        </w:rPr>
      </w:pPr>
      <w:r>
        <w:rPr>
          <w:u w:val="single"/>
        </w:rPr>
        <w:t>Imunogenitate</w:t>
      </w:r>
    </w:p>
    <w:p w14:paraId="5C3A9DBA" w14:textId="77777777" w:rsidR="00C04CAD" w:rsidRDefault="00C04CAD">
      <w:pPr>
        <w:keepNext/>
        <w:tabs>
          <w:tab w:val="clear" w:pos="567"/>
        </w:tabs>
        <w:kinsoku w:val="0"/>
        <w:overflowPunct w:val="0"/>
        <w:autoSpaceDE w:val="0"/>
        <w:autoSpaceDN w:val="0"/>
        <w:adjustRightInd w:val="0"/>
        <w:spacing w:line="240" w:lineRule="auto"/>
      </w:pPr>
    </w:p>
    <w:p w14:paraId="4FC1CCD3" w14:textId="77777777" w:rsidR="00C04CAD" w:rsidRDefault="00060E34">
      <w:pPr>
        <w:tabs>
          <w:tab w:val="clear" w:pos="567"/>
        </w:tabs>
        <w:kinsoku w:val="0"/>
        <w:overflowPunct w:val="0"/>
        <w:autoSpaceDE w:val="0"/>
        <w:autoSpaceDN w:val="0"/>
        <w:adjustRightInd w:val="0"/>
        <w:spacing w:line="240" w:lineRule="auto"/>
      </w:pPr>
      <w:r>
        <w:t>În timpul tratamentului cu adalimumab pot apărea anticorpi anti-adalimumab. Formarea anticorpilor anti-adalimumab este asociată cu creşterea clearance-ului şi reducerea eficacităţii adalimumabului. Aparent nu există o legătură între prezența anticorpilor anti-adalimumab şi apariția evenimentelor adverse.</w:t>
      </w:r>
    </w:p>
    <w:p w14:paraId="58DB95D7" w14:textId="77777777" w:rsidR="00C04CAD" w:rsidRDefault="00C04CAD">
      <w:pPr>
        <w:tabs>
          <w:tab w:val="clear" w:pos="567"/>
        </w:tabs>
        <w:autoSpaceDE w:val="0"/>
        <w:autoSpaceDN w:val="0"/>
        <w:adjustRightInd w:val="0"/>
        <w:spacing w:line="240" w:lineRule="auto"/>
      </w:pPr>
    </w:p>
    <w:p w14:paraId="7B10351D"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w:t>
      </w:r>
    </w:p>
    <w:p w14:paraId="37D29BD6"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25B135CA"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Artrită juvenilă idiopatică (AJI) </w:t>
      </w:r>
    </w:p>
    <w:p w14:paraId="1A694015"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52CC13DC"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Artrită juvenilă idiopatică forma poliarticulară (AJIp) </w:t>
      </w:r>
    </w:p>
    <w:p w14:paraId="7A22BB88"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21813DBB"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MS Mincho"/>
          <w:color w:val="000000"/>
          <w:szCs w:val="22"/>
          <w:lang w:eastAsia="ja-JP" w:bidi="ar-SA"/>
        </w:rPr>
        <w:t>Siguranţa şi eficacitatea adalimumabului la copii cu artrită juvenilă idiopatică forma poliarticulară activă sau în curs, care au avut o varietate de debut a AJI (cel mai frecvent poliartrită cu factor reumatoid negativ sau pozitiv şi oligoartrită extinsă), au fost evaluate în două studii (AJIp I şi II).</w:t>
      </w:r>
    </w:p>
    <w:p w14:paraId="7629E301"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3FF6A6C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AJIp I</w:t>
      </w:r>
    </w:p>
    <w:p w14:paraId="74692596"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0D3F105"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Au fost studiate siguranţa şi eficacitatea administrării adalimumabului într-un studiu clinic multicentric, randomizat, dublu-orb, cu grupuri paralele la 171 copii (cu vârsta 4-17 ani) cu AJI forma poliarticulară. În faza de preincludere deschisă (OL LI) pacienţii au fost împărţiţi în două grupuri, grupul care a primit tratament cu MTX (metotrexat) şi grupul fără tratament concomitent cu MTX. Pacienţii din grupul fără tratament concomitent cu MTX fie nu primiseră anterior MTX, fie au întrerupt tratamentul cu MTX cu cel puţin două săptămâni anterior administrării medicamentului de studiu. Pacienţii au primit doza nemodificată de medicamente antiinflamatoare nesteroidiene (AINS) şi/sau prednison (≤0,2 mg/kg/zi sau maxim 10 mg/zi). În faza OL LI, toţi pacienţii au primit adalimumab 24 mg/m</w:t>
      </w:r>
      <w:r>
        <w:rPr>
          <w:rFonts w:eastAsia="MS Mincho"/>
          <w:color w:val="000000"/>
          <w:szCs w:val="22"/>
          <w:vertAlign w:val="superscript"/>
          <w:lang w:eastAsia="ja-JP" w:bidi="ar-SA"/>
        </w:rPr>
        <w:t>2</w:t>
      </w:r>
      <w:r>
        <w:rPr>
          <w:rFonts w:eastAsia="MS Mincho"/>
          <w:color w:val="000000"/>
          <w:szCs w:val="22"/>
          <w:lang w:eastAsia="ja-JP" w:bidi="ar-SA"/>
        </w:rPr>
        <w:t xml:space="preserve">până la doza maximă de 40 mg la două săptămâni, timp de 16 săptămâni. Clasificarea pacienţilor în funcţie de vârstă şi doza minimă, mediană şi maximă administrată în timpul fazei OL LI este prezentată în tabelul 25. </w:t>
      </w:r>
    </w:p>
    <w:p w14:paraId="5DD1F44D" w14:textId="77777777" w:rsidR="00C04CAD" w:rsidRDefault="00C04CAD">
      <w:pPr>
        <w:tabs>
          <w:tab w:val="clear" w:pos="567"/>
        </w:tabs>
        <w:autoSpaceDE w:val="0"/>
        <w:autoSpaceDN w:val="0"/>
        <w:adjustRightInd w:val="0"/>
        <w:spacing w:line="240" w:lineRule="auto"/>
        <w:rPr>
          <w:rFonts w:eastAsia="MS Mincho"/>
          <w:b/>
          <w:bCs/>
          <w:color w:val="000000"/>
          <w:szCs w:val="22"/>
          <w:lang w:eastAsia="ja-JP" w:bidi="ar-SA"/>
        </w:rPr>
      </w:pPr>
    </w:p>
    <w:p w14:paraId="5A96239C" w14:textId="77777777" w:rsidR="00C04CAD" w:rsidRDefault="00060E34">
      <w:pPr>
        <w:tabs>
          <w:tab w:val="clear" w:pos="567"/>
        </w:tabs>
        <w:autoSpaceDE w:val="0"/>
        <w:autoSpaceDN w:val="0"/>
        <w:adjustRightInd w:val="0"/>
        <w:spacing w:line="240" w:lineRule="auto"/>
        <w:rPr>
          <w:rFonts w:eastAsia="PMingLiU"/>
          <w:b/>
          <w:szCs w:val="22"/>
          <w:lang w:eastAsia="en-GB" w:bidi="ar-SA"/>
        </w:rPr>
      </w:pPr>
      <w:r>
        <w:rPr>
          <w:rFonts w:eastAsia="MS Mincho"/>
          <w:b/>
          <w:bCs/>
          <w:color w:val="000000"/>
          <w:szCs w:val="22"/>
          <w:lang w:eastAsia="ja-JP" w:bidi="ar-SA"/>
        </w:rPr>
        <w:t>Tabelul 25. Clasificarea pacienţilor în funcţie de vârstă şi doza de adalimumab primită în timpul fazei OL LI</w:t>
      </w:r>
    </w:p>
    <w:p w14:paraId="4CE103B8"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6"/>
        <w:gridCol w:w="3024"/>
        <w:gridCol w:w="3024"/>
      </w:tblGrid>
      <w:tr w:rsidR="00C04CAD" w14:paraId="69B19E50" w14:textId="77777777">
        <w:trPr>
          <w:trHeight w:val="293"/>
        </w:trPr>
        <w:tc>
          <w:tcPr>
            <w:tcW w:w="2916" w:type="dxa"/>
          </w:tcPr>
          <w:p w14:paraId="6F5880D5"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b/>
                <w:bCs/>
                <w:szCs w:val="22"/>
              </w:rPr>
              <w:t xml:space="preserve">Grup de vârstă </w:t>
            </w:r>
          </w:p>
        </w:tc>
        <w:tc>
          <w:tcPr>
            <w:tcW w:w="3024" w:type="dxa"/>
          </w:tcPr>
          <w:p w14:paraId="31536729" w14:textId="77777777" w:rsidR="00C04CAD" w:rsidRDefault="00060E34">
            <w:pPr>
              <w:pStyle w:val="Default"/>
              <w:jc w:val="center"/>
              <w:rPr>
                <w:rFonts w:eastAsia="PMingLiU"/>
                <w:szCs w:val="22"/>
                <w:lang w:val="ro-RO" w:eastAsia="en-GB"/>
              </w:rPr>
            </w:pPr>
            <w:r>
              <w:rPr>
                <w:b/>
                <w:bCs/>
                <w:sz w:val="22"/>
                <w:szCs w:val="22"/>
                <w:lang w:val="ro-RO"/>
              </w:rPr>
              <w:t>Număr de pacienţi la faza iniţială n (%)</w:t>
            </w:r>
          </w:p>
        </w:tc>
        <w:tc>
          <w:tcPr>
            <w:tcW w:w="3024" w:type="dxa"/>
          </w:tcPr>
          <w:p w14:paraId="67A96C6E"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b/>
                <w:bCs/>
                <w:szCs w:val="22"/>
              </w:rPr>
              <w:t xml:space="preserve">Doza minimă, mediană şi maximă </w:t>
            </w:r>
          </w:p>
        </w:tc>
      </w:tr>
      <w:tr w:rsidR="00C04CAD" w14:paraId="070250B0" w14:textId="77777777">
        <w:trPr>
          <w:trHeight w:val="147"/>
        </w:trPr>
        <w:tc>
          <w:tcPr>
            <w:tcW w:w="2916" w:type="dxa"/>
          </w:tcPr>
          <w:p w14:paraId="5E13418C"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4–7 ani </w:t>
            </w:r>
          </w:p>
        </w:tc>
        <w:tc>
          <w:tcPr>
            <w:tcW w:w="3024" w:type="dxa"/>
          </w:tcPr>
          <w:p w14:paraId="23C67393"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31 (18,1) </w:t>
            </w:r>
          </w:p>
        </w:tc>
        <w:tc>
          <w:tcPr>
            <w:tcW w:w="3024" w:type="dxa"/>
          </w:tcPr>
          <w:p w14:paraId="0F4C8E78"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10, 20 şi 25 mg </w:t>
            </w:r>
          </w:p>
        </w:tc>
      </w:tr>
      <w:tr w:rsidR="00C04CAD" w14:paraId="219B5697" w14:textId="77777777">
        <w:trPr>
          <w:trHeight w:val="147"/>
        </w:trPr>
        <w:tc>
          <w:tcPr>
            <w:tcW w:w="2916" w:type="dxa"/>
          </w:tcPr>
          <w:p w14:paraId="7EDE212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8–12 ani </w:t>
            </w:r>
          </w:p>
        </w:tc>
        <w:tc>
          <w:tcPr>
            <w:tcW w:w="3024" w:type="dxa"/>
          </w:tcPr>
          <w:p w14:paraId="2AAB2F10"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71 (41,5) </w:t>
            </w:r>
          </w:p>
        </w:tc>
        <w:tc>
          <w:tcPr>
            <w:tcW w:w="3024" w:type="dxa"/>
          </w:tcPr>
          <w:p w14:paraId="04393462"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20, 25 şi 40 mg </w:t>
            </w:r>
          </w:p>
        </w:tc>
      </w:tr>
      <w:tr w:rsidR="00C04CAD" w14:paraId="3240877C" w14:textId="77777777">
        <w:trPr>
          <w:trHeight w:val="147"/>
        </w:trPr>
        <w:tc>
          <w:tcPr>
            <w:tcW w:w="2916" w:type="dxa"/>
          </w:tcPr>
          <w:p w14:paraId="5F55A12A"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13–17 ani </w:t>
            </w:r>
          </w:p>
        </w:tc>
        <w:tc>
          <w:tcPr>
            <w:tcW w:w="3024" w:type="dxa"/>
          </w:tcPr>
          <w:p w14:paraId="7314BEF1"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69 (40,4) </w:t>
            </w:r>
          </w:p>
        </w:tc>
        <w:tc>
          <w:tcPr>
            <w:tcW w:w="3024" w:type="dxa"/>
          </w:tcPr>
          <w:p w14:paraId="7DEE18F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25, 40 şi 40 mg </w:t>
            </w:r>
          </w:p>
        </w:tc>
      </w:tr>
    </w:tbl>
    <w:p w14:paraId="709A6C19" w14:textId="77777777" w:rsidR="00C04CAD" w:rsidRDefault="00C04CAD">
      <w:pPr>
        <w:spacing w:line="240" w:lineRule="auto"/>
        <w:rPr>
          <w:rFonts w:eastAsia="PMingLiU"/>
          <w:szCs w:val="22"/>
          <w:lang w:eastAsia="en-US" w:bidi="ar-SA"/>
        </w:rPr>
      </w:pPr>
    </w:p>
    <w:p w14:paraId="6F31E2EE" w14:textId="77777777" w:rsidR="00C04CAD" w:rsidRDefault="00060E34">
      <w:pPr>
        <w:spacing w:line="240" w:lineRule="auto"/>
        <w:rPr>
          <w:rFonts w:eastAsia="PMingLiU"/>
          <w:szCs w:val="22"/>
          <w:lang w:eastAsia="en-US" w:bidi="ar-SA"/>
        </w:rPr>
      </w:pPr>
      <w:r>
        <w:rPr>
          <w:szCs w:val="22"/>
        </w:rPr>
        <w:t>Pacienţii care au avut răspuns ACR pediatric 30 în Săptămâna 16 au îndeplinit condiţiile să fie randomizaţi în faza dublu orb (DO) şi au primit fie adalimumab 24 mg/m</w:t>
      </w:r>
      <w:r>
        <w:rPr>
          <w:szCs w:val="22"/>
          <w:vertAlign w:val="superscript"/>
        </w:rPr>
        <w:t>2</w:t>
      </w:r>
      <w:r>
        <w:rPr>
          <w:szCs w:val="22"/>
        </w:rPr>
        <w:t>până la doza maximă de 40 mg, fie placebo, o dată la două săptămâni, timp de 32 săptămâni suplimentare, sau până la reactivarea bolii. Criteriile care definesc reactivarea bolii sunt înrăutăţirea cu ≥ 30% de la faza iniţială a ≥ 3 din 6 criterii ale scorului ACR pediatric, ≥ 2 articulaţii active şi o îmbunătăţire cu &gt; 30% a cel mult 1 din 6 criterii. După 32 săptămâni sau după reactivarea bolii, pacienţii au îndeplinit condiţiile să fie înrolaţi în faza deschisă prelungită.</w:t>
      </w:r>
    </w:p>
    <w:p w14:paraId="67DBBB5F" w14:textId="77777777" w:rsidR="00C04CAD" w:rsidRDefault="00C04CAD">
      <w:pPr>
        <w:spacing w:line="240" w:lineRule="auto"/>
        <w:rPr>
          <w:rFonts w:eastAsia="PMingLiU"/>
          <w:szCs w:val="22"/>
          <w:lang w:eastAsia="en-US" w:bidi="ar-SA"/>
        </w:rPr>
      </w:pPr>
    </w:p>
    <w:p w14:paraId="73B00F8A" w14:textId="77777777" w:rsidR="00C04CAD" w:rsidRDefault="00060E34">
      <w:pPr>
        <w:tabs>
          <w:tab w:val="clear" w:pos="567"/>
        </w:tabs>
        <w:autoSpaceDE w:val="0"/>
        <w:autoSpaceDN w:val="0"/>
        <w:adjustRightInd w:val="0"/>
        <w:spacing w:line="240" w:lineRule="auto"/>
        <w:rPr>
          <w:rFonts w:eastAsia="PMingLiU"/>
          <w:b/>
          <w:color w:val="000000"/>
          <w:szCs w:val="22"/>
          <w:lang w:eastAsia="en-GB" w:bidi="ar-SA"/>
        </w:rPr>
      </w:pPr>
      <w:r>
        <w:rPr>
          <w:rFonts w:eastAsia="PMingLiU"/>
          <w:b/>
          <w:color w:val="000000"/>
          <w:szCs w:val="22"/>
          <w:lang w:eastAsia="en-GB" w:bidi="ar-SA"/>
        </w:rPr>
        <w:t>Tabelul 26. Răspunsul ACR pediatric 30 din studiul AJI forma poliarticulară</w:t>
      </w:r>
    </w:p>
    <w:p w14:paraId="44510DC7"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9"/>
        <w:gridCol w:w="1927"/>
        <w:gridCol w:w="1646"/>
        <w:gridCol w:w="1701"/>
        <w:gridCol w:w="1701"/>
      </w:tblGrid>
      <w:tr w:rsidR="00C04CAD" w14:paraId="355CECD3" w14:textId="77777777">
        <w:trPr>
          <w:trHeight w:val="149"/>
        </w:trPr>
        <w:tc>
          <w:tcPr>
            <w:tcW w:w="1989" w:type="dxa"/>
          </w:tcPr>
          <w:p w14:paraId="748A73D1"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Stadiu </w:t>
            </w:r>
          </w:p>
        </w:tc>
        <w:tc>
          <w:tcPr>
            <w:tcW w:w="3573" w:type="dxa"/>
            <w:gridSpan w:val="2"/>
          </w:tcPr>
          <w:p w14:paraId="7E8A01AC"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 xml:space="preserve">MTX </w:t>
            </w:r>
          </w:p>
        </w:tc>
        <w:tc>
          <w:tcPr>
            <w:tcW w:w="3402" w:type="dxa"/>
            <w:gridSpan w:val="2"/>
          </w:tcPr>
          <w:p w14:paraId="0F6F214B"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 xml:space="preserve">Fără MTX </w:t>
            </w:r>
          </w:p>
        </w:tc>
      </w:tr>
      <w:tr w:rsidR="00C04CAD" w14:paraId="2606D171" w14:textId="77777777">
        <w:trPr>
          <w:trHeight w:val="149"/>
        </w:trPr>
        <w:tc>
          <w:tcPr>
            <w:tcW w:w="8964" w:type="dxa"/>
            <w:gridSpan w:val="5"/>
          </w:tcPr>
          <w:p w14:paraId="48F6256E"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Fază </w:t>
            </w:r>
          </w:p>
        </w:tc>
      </w:tr>
      <w:tr w:rsidR="00C04CAD" w14:paraId="0B336D55" w14:textId="77777777">
        <w:trPr>
          <w:trHeight w:val="147"/>
        </w:trPr>
        <w:tc>
          <w:tcPr>
            <w:tcW w:w="1989" w:type="dxa"/>
          </w:tcPr>
          <w:p w14:paraId="6E9DA5C7"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OL-LI 16 săptămâni </w:t>
            </w:r>
          </w:p>
        </w:tc>
        <w:tc>
          <w:tcPr>
            <w:tcW w:w="3573" w:type="dxa"/>
            <w:gridSpan w:val="2"/>
          </w:tcPr>
          <w:p w14:paraId="30EDB94E"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c>
        <w:tc>
          <w:tcPr>
            <w:tcW w:w="3402" w:type="dxa"/>
            <w:gridSpan w:val="2"/>
          </w:tcPr>
          <w:p w14:paraId="2AEAC279"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c>
      </w:tr>
      <w:tr w:rsidR="00C04CAD" w14:paraId="4C3D7D8C" w14:textId="77777777">
        <w:trPr>
          <w:trHeight w:val="283"/>
        </w:trPr>
        <w:tc>
          <w:tcPr>
            <w:tcW w:w="1989" w:type="dxa"/>
          </w:tcPr>
          <w:p w14:paraId="4EF61365"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ACR pediatric 30 (n/N) </w:t>
            </w:r>
          </w:p>
        </w:tc>
        <w:tc>
          <w:tcPr>
            <w:tcW w:w="3573" w:type="dxa"/>
            <w:gridSpan w:val="2"/>
          </w:tcPr>
          <w:p w14:paraId="5152E86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94,1% (80/85) </w:t>
            </w:r>
          </w:p>
        </w:tc>
        <w:tc>
          <w:tcPr>
            <w:tcW w:w="3402" w:type="dxa"/>
            <w:gridSpan w:val="2"/>
          </w:tcPr>
          <w:p w14:paraId="74AA81AB"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74,4% (64/86) </w:t>
            </w:r>
          </w:p>
        </w:tc>
      </w:tr>
      <w:tr w:rsidR="00C04CAD" w14:paraId="02683776" w14:textId="77777777">
        <w:trPr>
          <w:trHeight w:val="147"/>
        </w:trPr>
        <w:tc>
          <w:tcPr>
            <w:tcW w:w="8964" w:type="dxa"/>
            <w:gridSpan w:val="5"/>
          </w:tcPr>
          <w:p w14:paraId="6E064A95" w14:textId="77777777" w:rsidR="00C04CAD" w:rsidRDefault="00060E34">
            <w:pPr>
              <w:pStyle w:val="Default"/>
              <w:rPr>
                <w:rFonts w:eastAsia="PMingLiU"/>
                <w:szCs w:val="22"/>
                <w:lang w:val="ro-RO" w:eastAsia="en-GB"/>
              </w:rPr>
            </w:pPr>
            <w:r>
              <w:rPr>
                <w:sz w:val="22"/>
                <w:szCs w:val="22"/>
                <w:lang w:val="ro-RO"/>
              </w:rPr>
              <w:t xml:space="preserve">Rezultatele eficacităţii </w:t>
            </w:r>
          </w:p>
        </w:tc>
      </w:tr>
      <w:tr w:rsidR="00C04CAD" w14:paraId="2D021F0F" w14:textId="77777777">
        <w:trPr>
          <w:trHeight w:val="283"/>
        </w:trPr>
        <w:tc>
          <w:tcPr>
            <w:tcW w:w="1989" w:type="dxa"/>
          </w:tcPr>
          <w:p w14:paraId="73244AC2"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Dublu orb 32 săptămâni </w:t>
            </w:r>
          </w:p>
        </w:tc>
        <w:tc>
          <w:tcPr>
            <w:tcW w:w="1927" w:type="dxa"/>
          </w:tcPr>
          <w:p w14:paraId="5254EAB7" w14:textId="77777777" w:rsidR="00C04CAD" w:rsidRDefault="00060E34">
            <w:pPr>
              <w:pStyle w:val="Default"/>
              <w:jc w:val="center"/>
              <w:rPr>
                <w:sz w:val="22"/>
                <w:szCs w:val="22"/>
                <w:lang w:val="ro-RO"/>
              </w:rPr>
            </w:pPr>
            <w:r>
              <w:rPr>
                <w:sz w:val="22"/>
                <w:szCs w:val="22"/>
                <w:lang w:val="ro-RO"/>
              </w:rPr>
              <w:t>Adalimumab/MTX</w:t>
            </w:r>
          </w:p>
          <w:p w14:paraId="1EBD512A"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(N=38)</w:t>
            </w:r>
          </w:p>
        </w:tc>
        <w:tc>
          <w:tcPr>
            <w:tcW w:w="1646" w:type="dxa"/>
          </w:tcPr>
          <w:p w14:paraId="5FDF7433" w14:textId="77777777" w:rsidR="00C04CAD" w:rsidRDefault="00060E34">
            <w:pPr>
              <w:pStyle w:val="Default"/>
              <w:jc w:val="center"/>
              <w:rPr>
                <w:sz w:val="22"/>
                <w:szCs w:val="22"/>
                <w:lang w:val="ro-RO"/>
              </w:rPr>
            </w:pPr>
            <w:r>
              <w:rPr>
                <w:sz w:val="22"/>
                <w:szCs w:val="22"/>
                <w:lang w:val="ro-RO"/>
              </w:rPr>
              <w:t>Placebo/MTX</w:t>
            </w:r>
          </w:p>
          <w:p w14:paraId="1A79AE5C"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(N=37)</w:t>
            </w:r>
          </w:p>
        </w:tc>
        <w:tc>
          <w:tcPr>
            <w:tcW w:w="1701" w:type="dxa"/>
          </w:tcPr>
          <w:p w14:paraId="4922AD21" w14:textId="77777777" w:rsidR="00C04CAD" w:rsidRDefault="00060E34">
            <w:pPr>
              <w:pStyle w:val="Default"/>
              <w:jc w:val="center"/>
              <w:rPr>
                <w:sz w:val="22"/>
                <w:szCs w:val="22"/>
                <w:lang w:val="ro-RO"/>
              </w:rPr>
            </w:pPr>
            <w:r>
              <w:rPr>
                <w:sz w:val="22"/>
                <w:szCs w:val="22"/>
                <w:lang w:val="ro-RO"/>
              </w:rPr>
              <w:t>Adalimumab</w:t>
            </w:r>
          </w:p>
          <w:p w14:paraId="52589D2F"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(N=30)</w:t>
            </w:r>
          </w:p>
        </w:tc>
        <w:tc>
          <w:tcPr>
            <w:tcW w:w="1701" w:type="dxa"/>
          </w:tcPr>
          <w:p w14:paraId="2C92F7E1" w14:textId="77777777" w:rsidR="00C04CAD" w:rsidRDefault="00060E34">
            <w:pPr>
              <w:pStyle w:val="Default"/>
              <w:jc w:val="center"/>
              <w:rPr>
                <w:sz w:val="22"/>
                <w:szCs w:val="22"/>
                <w:lang w:val="ro-RO"/>
              </w:rPr>
            </w:pPr>
            <w:r>
              <w:rPr>
                <w:sz w:val="22"/>
                <w:szCs w:val="22"/>
                <w:lang w:val="ro-RO"/>
              </w:rPr>
              <w:t>Placebo</w:t>
            </w:r>
          </w:p>
          <w:p w14:paraId="1D3C4A7B"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(N=28)</w:t>
            </w:r>
          </w:p>
        </w:tc>
      </w:tr>
      <w:tr w:rsidR="00C04CAD" w14:paraId="23CD37C7" w14:textId="77777777">
        <w:trPr>
          <w:trHeight w:val="426"/>
        </w:trPr>
        <w:tc>
          <w:tcPr>
            <w:tcW w:w="1989" w:type="dxa"/>
          </w:tcPr>
          <w:p w14:paraId="456E5C23"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Reactivarea bolii la sfârşitul celor 32 săptămâni</w:t>
            </w:r>
            <w:r>
              <w:rPr>
                <w:szCs w:val="14"/>
                <w:vertAlign w:val="superscript"/>
              </w:rPr>
              <w:t>a</w:t>
            </w:r>
            <w:r>
              <w:rPr>
                <w:szCs w:val="22"/>
              </w:rPr>
              <w:t xml:space="preserve">(n/N) </w:t>
            </w:r>
          </w:p>
        </w:tc>
        <w:tc>
          <w:tcPr>
            <w:tcW w:w="1927" w:type="dxa"/>
          </w:tcPr>
          <w:p w14:paraId="35D194D0"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36,8% (14/38) </w:t>
            </w:r>
          </w:p>
        </w:tc>
        <w:tc>
          <w:tcPr>
            <w:tcW w:w="1646" w:type="dxa"/>
          </w:tcPr>
          <w:p w14:paraId="4446D132"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64,9% (24/37)</w:t>
            </w:r>
            <w:r>
              <w:rPr>
                <w:szCs w:val="22"/>
                <w:vertAlign w:val="superscript"/>
              </w:rPr>
              <w:t>b</w:t>
            </w:r>
          </w:p>
        </w:tc>
        <w:tc>
          <w:tcPr>
            <w:tcW w:w="1701" w:type="dxa"/>
          </w:tcPr>
          <w:p w14:paraId="6BD438A3"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43,3% (13/30) </w:t>
            </w:r>
          </w:p>
        </w:tc>
        <w:tc>
          <w:tcPr>
            <w:tcW w:w="1701" w:type="dxa"/>
          </w:tcPr>
          <w:p w14:paraId="478DBE60" w14:textId="77777777" w:rsidR="00C04CAD" w:rsidRDefault="00060E34">
            <w:pPr>
              <w:pStyle w:val="Default"/>
              <w:rPr>
                <w:rFonts w:eastAsia="PMingLiU"/>
                <w:szCs w:val="22"/>
                <w:lang w:val="ro-RO" w:eastAsia="en-GB"/>
              </w:rPr>
            </w:pPr>
            <w:r>
              <w:rPr>
                <w:sz w:val="22"/>
                <w:szCs w:val="22"/>
                <w:lang w:val="ro-RO"/>
              </w:rPr>
              <w:t>71,4% (20/28)</w:t>
            </w:r>
            <w:r>
              <w:rPr>
                <w:sz w:val="22"/>
                <w:szCs w:val="22"/>
                <w:vertAlign w:val="superscript"/>
                <w:lang w:val="ro-RO"/>
              </w:rPr>
              <w:t>c</w:t>
            </w:r>
          </w:p>
        </w:tc>
      </w:tr>
      <w:tr w:rsidR="00C04CAD" w14:paraId="18DD795A" w14:textId="77777777">
        <w:trPr>
          <w:trHeight w:val="70"/>
        </w:trPr>
        <w:tc>
          <w:tcPr>
            <w:tcW w:w="1989" w:type="dxa"/>
          </w:tcPr>
          <w:p w14:paraId="12E18B0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Timp median până la reactivarea bolii </w:t>
            </w:r>
          </w:p>
        </w:tc>
        <w:tc>
          <w:tcPr>
            <w:tcW w:w="1927" w:type="dxa"/>
          </w:tcPr>
          <w:p w14:paraId="719FA58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&gt; 32 săptămâni </w:t>
            </w:r>
          </w:p>
        </w:tc>
        <w:tc>
          <w:tcPr>
            <w:tcW w:w="1646" w:type="dxa"/>
          </w:tcPr>
          <w:p w14:paraId="149DC393"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20 săptămâni </w:t>
            </w:r>
          </w:p>
        </w:tc>
        <w:tc>
          <w:tcPr>
            <w:tcW w:w="1701" w:type="dxa"/>
          </w:tcPr>
          <w:p w14:paraId="03649361"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&gt; 32 săptămâni </w:t>
            </w:r>
          </w:p>
        </w:tc>
        <w:tc>
          <w:tcPr>
            <w:tcW w:w="1701" w:type="dxa"/>
          </w:tcPr>
          <w:p w14:paraId="4476B3D3"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14 săptămâni </w:t>
            </w:r>
          </w:p>
        </w:tc>
      </w:tr>
    </w:tbl>
    <w:p w14:paraId="0385210E" w14:textId="77777777" w:rsidR="00C04CAD" w:rsidRDefault="00060E34">
      <w:pPr>
        <w:tabs>
          <w:tab w:val="clear" w:pos="567"/>
        </w:tabs>
        <w:autoSpaceDE w:val="0"/>
        <w:autoSpaceDN w:val="0"/>
        <w:adjustRightInd w:val="0"/>
        <w:spacing w:line="240" w:lineRule="auto"/>
        <w:rPr>
          <w:rFonts w:eastAsia="PMingLiU"/>
          <w:sz w:val="16"/>
          <w:lang w:eastAsia="en-GB" w:bidi="ar-SA"/>
        </w:rPr>
      </w:pPr>
      <w:r>
        <w:rPr>
          <w:rFonts w:eastAsia="PMingLiU"/>
          <w:sz w:val="20"/>
          <w:vertAlign w:val="superscript"/>
          <w:lang w:eastAsia="en-GB" w:bidi="ar-SA"/>
        </w:rPr>
        <w:t>a</w:t>
      </w:r>
      <w:r>
        <w:rPr>
          <w:rFonts w:eastAsia="PMingLiU"/>
          <w:sz w:val="20"/>
          <w:lang w:eastAsia="en-GB" w:bidi="ar-SA"/>
        </w:rPr>
        <w:t xml:space="preserve"> </w:t>
      </w:r>
      <w:r>
        <w:rPr>
          <w:rFonts w:eastAsia="PMingLiU"/>
          <w:color w:val="000000"/>
          <w:sz w:val="20"/>
          <w:lang w:eastAsia="en-GB" w:bidi="ar-SA"/>
        </w:rPr>
        <w:t xml:space="preserve">Răspuns ACR pediatric 30/50/70 în Săptămâna 48 semnificativ mai mare faţă de cel al pacienţilor din grupul tratat cu </w:t>
      </w:r>
      <w:r>
        <w:rPr>
          <w:rFonts w:eastAsia="PMingLiU"/>
          <w:color w:val="000000"/>
          <w:sz w:val="20"/>
          <w:szCs w:val="22"/>
          <w:lang w:eastAsia="en-GB" w:bidi="ar-SA"/>
        </w:rPr>
        <w:t>placebo.</w:t>
      </w:r>
      <w:r>
        <w:rPr>
          <w:rFonts w:eastAsia="PMingLiU"/>
          <w:sz w:val="16"/>
          <w:lang w:eastAsia="en-GB" w:bidi="ar-SA"/>
        </w:rPr>
        <w:t xml:space="preserve"> </w:t>
      </w:r>
    </w:p>
    <w:p w14:paraId="2551C1C5"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p</w:t>
      </w:r>
      <w:r>
        <w:rPr>
          <w:rFonts w:eastAsia="PMingLiU"/>
          <w:sz w:val="20"/>
          <w:lang w:eastAsia="en-US" w:bidi="ar-SA"/>
        </w:rPr>
        <w:t> </w:t>
      </w:r>
      <w:r>
        <w:rPr>
          <w:rFonts w:eastAsia="PMingLiU"/>
          <w:sz w:val="20"/>
          <w:lang w:eastAsia="en-GB" w:bidi="ar-SA"/>
        </w:rPr>
        <w:t>=</w:t>
      </w:r>
      <w:r>
        <w:rPr>
          <w:rFonts w:eastAsia="PMingLiU"/>
          <w:sz w:val="20"/>
          <w:lang w:eastAsia="en-US" w:bidi="ar-SA"/>
        </w:rPr>
        <w:t> </w:t>
      </w:r>
      <w:r>
        <w:rPr>
          <w:rFonts w:eastAsia="PMingLiU"/>
          <w:sz w:val="20"/>
          <w:lang w:eastAsia="en-GB" w:bidi="ar-SA"/>
        </w:rPr>
        <w:t xml:space="preserve">0,015 </w:t>
      </w:r>
    </w:p>
    <w:p w14:paraId="4C83786F" w14:textId="77777777" w:rsidR="00C04CAD" w:rsidRDefault="00060E34">
      <w:pPr>
        <w:spacing w:line="240" w:lineRule="auto"/>
        <w:rPr>
          <w:rFonts w:eastAsia="PMingLiU"/>
          <w:sz w:val="20"/>
          <w:lang w:eastAsia="en-US" w:bidi="ar-SA"/>
        </w:rPr>
      </w:pPr>
      <w:r>
        <w:rPr>
          <w:rFonts w:eastAsia="PMingLiU"/>
          <w:sz w:val="20"/>
          <w:vertAlign w:val="superscript"/>
          <w:lang w:eastAsia="en-GB" w:bidi="ar-SA"/>
        </w:rPr>
        <w:t>c</w:t>
      </w:r>
      <w:r>
        <w:rPr>
          <w:rFonts w:eastAsia="PMingLiU"/>
          <w:sz w:val="20"/>
          <w:lang w:eastAsia="en-GB" w:bidi="ar-SA"/>
        </w:rPr>
        <w:t xml:space="preserve"> p</w:t>
      </w:r>
      <w:r>
        <w:rPr>
          <w:rFonts w:eastAsia="PMingLiU"/>
          <w:sz w:val="20"/>
          <w:lang w:eastAsia="en-US" w:bidi="ar-SA"/>
        </w:rPr>
        <w:t> </w:t>
      </w:r>
      <w:r>
        <w:rPr>
          <w:rFonts w:eastAsia="PMingLiU"/>
          <w:sz w:val="20"/>
          <w:lang w:eastAsia="en-GB" w:bidi="ar-SA"/>
        </w:rPr>
        <w:t>=</w:t>
      </w:r>
      <w:r>
        <w:rPr>
          <w:rFonts w:eastAsia="PMingLiU"/>
          <w:sz w:val="20"/>
          <w:lang w:eastAsia="en-US" w:bidi="ar-SA"/>
        </w:rPr>
        <w:t> </w:t>
      </w:r>
      <w:r>
        <w:rPr>
          <w:rFonts w:eastAsia="PMingLiU"/>
          <w:sz w:val="20"/>
          <w:lang w:eastAsia="en-GB" w:bidi="ar-SA"/>
        </w:rPr>
        <w:t>0,031</w:t>
      </w:r>
    </w:p>
    <w:p w14:paraId="6AB01A4E"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00EE1654"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Printre pacienţii care au răspuns în săptămâna 16 (n=144), răspunsul ACR pediatric 30/50/70/90 s-a menţinut până la şase ani, în faza deschisă, la pacienţii care au primit adalimumab pe parcursul studiului. În total 19 subiecţi, dintre care 11 din grupul de vârstă între 4 şi 12 ani la momentul iniţierii şi 8 din grupul de vârstă între 13 şi 17 ani la momentul iniţierii, au fost trataţi o perioadă de 6 ani sau mai mult.</w:t>
      </w:r>
    </w:p>
    <w:p w14:paraId="48DB4EE2"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06E210D"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general, răspunsurile au fost mai bune şi mai puţini pacienţi au dezvoltat anticorpi atunci când au utilizat tratament cu adalimumab asociat cu MTX, în comparaţie cu adalimumab în monoterapie. Luând în considerare aceste rezultate, se recomandă utilizarea adalimumab în asociere cu MTX şi utilizarea adalimumab în monoterapie la pacienţii pentru care utilizarea MTX nu este recomandată (vezi pct. 4.2). </w:t>
      </w:r>
    </w:p>
    <w:p w14:paraId="3BF6B2B6"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232B26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AIJp II </w:t>
      </w:r>
    </w:p>
    <w:p w14:paraId="6DF3F648"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33C1D9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Siguranţa şi eficacitatea adalimumabului au fost evaluate într-un studiu multicentric deschis la 32 copii (cu vârsta între 2 şi 4 ani, sau cu vârsta de 4 ani şi peste şi cu greutatea &lt; 15 kg) cu AJI forma poliarticulară activă moderată până la severă. Pacienţilor li s-a administrat adalimumab 24 mg/m</w:t>
      </w:r>
      <w:r>
        <w:rPr>
          <w:rFonts w:eastAsia="MS Mincho"/>
          <w:color w:val="000000"/>
          <w:szCs w:val="22"/>
          <w:vertAlign w:val="superscript"/>
          <w:lang w:eastAsia="ja-JP" w:bidi="ar-SA"/>
        </w:rPr>
        <w:t>2</w:t>
      </w:r>
      <w:r>
        <w:rPr>
          <w:rFonts w:eastAsia="MS Mincho"/>
          <w:color w:val="000000"/>
          <w:szCs w:val="22"/>
          <w:lang w:eastAsia="ja-JP" w:bidi="ar-SA"/>
        </w:rPr>
        <w:t>suprafaţă corporală (SC) până la maxim 20 mg la două săptămâni ca doză unică, injecţie subcutanată timp de cel puţin 24 de săptămâni. În timpul studiului majoritatea pacienţilor a utilizat concomitent MTX, mai puţini raportând că au utilizat corticosteroizi sau AINS.</w:t>
      </w:r>
    </w:p>
    <w:p w14:paraId="74474CB7"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E57112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săptămâna 12 şi săptămâna 24, răspunsul PedACR30 a fost 93,5% şi respectiv 90%, utilizând datele observate. Procentul pacienţilor cu PedACR50/70/90 în săptămâna 12 şi săptămâna 24 a fost 90,3%/61,3%/38,7% şi respectiv 83,3%/73,3%/36,7%. Printre cei care au răspuns (ACR pediatric 30) în săptămâna 24 (n = 27 din 30 de pacienți), în faza extinsă deschisă, la pacienții cărora li s-a administrat adalimumab în toată această perioadă de timp, răspunsurile ACR pediatrice 30 s-au menținut timp de până la 60 de săptămâni. În general, 20 pacienţi au fost tratați timp de 60 săptămâni sau mai mult. </w:t>
      </w:r>
    </w:p>
    <w:p w14:paraId="1D39C4A2"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4C394EFF"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Artrită asociată entezitei </w:t>
      </w:r>
    </w:p>
    <w:p w14:paraId="4D9865CD"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6A86492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Siguranţa şi eficacitatea adalimumabului au fost evaluate într-un studiu multicentric, randomizat, dublu-orb la 46 pacienţi copii (cu vârsta de 6 ani până la 17 ani) cu artrită asociată entezitei moderată. Pacienţii au fost randomizaţi să li se administreze o dată la două săptămâni timp de 12 săptămâni, fie adalimumab 24 mg/m</w:t>
      </w:r>
      <w:r>
        <w:rPr>
          <w:rFonts w:eastAsia="MS Mincho"/>
          <w:color w:val="000000"/>
          <w:szCs w:val="22"/>
          <w:vertAlign w:val="superscript"/>
          <w:lang w:eastAsia="ja-JP" w:bidi="ar-SA"/>
        </w:rPr>
        <w:t>2</w:t>
      </w:r>
      <w:r>
        <w:rPr>
          <w:rFonts w:eastAsia="MS Mincho"/>
          <w:color w:val="000000"/>
          <w:szCs w:val="22"/>
          <w:lang w:eastAsia="ja-JP" w:bidi="ar-SA"/>
        </w:rPr>
        <w:t xml:space="preserve"> suprafaţă corporală (SC) până la maxim 40 mg, fie placebo. Perioada dublu-orb a fost urmată de o perioadă deschisă timp în care pacienţii au utilizat adalimumab 24 mg/m</w:t>
      </w:r>
      <w:r>
        <w:rPr>
          <w:rFonts w:eastAsia="MS Mincho"/>
          <w:color w:val="000000"/>
          <w:szCs w:val="22"/>
          <w:vertAlign w:val="superscript"/>
          <w:lang w:eastAsia="ja-JP" w:bidi="ar-SA"/>
        </w:rPr>
        <w:t>2</w:t>
      </w:r>
      <w:r>
        <w:rPr>
          <w:rFonts w:eastAsia="MS Mincho"/>
          <w:color w:val="000000"/>
          <w:szCs w:val="22"/>
          <w:lang w:eastAsia="ja-JP" w:bidi="ar-SA"/>
        </w:rPr>
        <w:t xml:space="preserve">suprafaţă corporală (SC) până la maxim 40 mg o dată la două săptămâni timp de încă 192 săptămâni. Criteriul final principal a fost modificat procentual de la Faza inițială până în Săptămâna 12 în ceea ce priveşte numărul articulaţiilor active cu artrită (tumefacţie nedatorată deformării sau articulaţiilor care şi-au pierdut mobilitatea plus durere şi/sau sensibilitate la atingere), care a fost obţinută cu o scădere procentuală medie de -62,6% (modificare mediană procentuală de -88,9%) la grupul tratat cuadalimumab, comparativ cu -11,6% (modificare mediană procentuală de -50,0%) la pacienţii care au primit placebo. Îmbunătăţirea numărului de articulaţii active cu artrită s-a menţinut pe întreaga perioadă deschisă până în Săptămâna 156 pentru 26 din 31 de pacienți (84%) din grupul tratat cu adalimumab care au rămas în studiu. Deşi nu este semnificativ statistic, majoritatea pacienţilor au demonstrat o îmbunătăţire clinică a criteriilor finale secundare cum sunt numărul de localizări a entezitei, numărul de articulaţii dureroase, numărul articulaţiilor umflate, răspunsul PedACR 50 şi răspunsul PedACR 70. </w:t>
      </w:r>
    </w:p>
    <w:p w14:paraId="3CB15BA6"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7B15BA28"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Psoriazis în plăci la copii și adolescenți </w:t>
      </w:r>
    </w:p>
    <w:p w14:paraId="0B937BFB"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340811F1"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Eficacitatea adalimumabului a fost evaluată într-un studiu randomizat, dublu-orb, controlat la 114 pacienți copii și adolescenți cu vârsta începând de la 4 ani, cu psoriazis în plăci cronic, sever (definit printr-un Scor de evaluare globală a medicului (PGA) ≥ 4 sau &gt; 20% interesare a suprafeţei corporale (BSA) sau &gt; 10% interesare BSA cu leziuni foarte groase, sau Indicele de severitate şi extindere a psoriazisului (PASI) ≥ 20 sau PASI ≥ 10 cu interesare facială, genitală sau palmară/plantară relevantă clinic) care nu au răspuns corespunzător la tratament topic și helioterapie sau fototerapie. </w:t>
      </w:r>
    </w:p>
    <w:p w14:paraId="34A52883" w14:textId="77777777" w:rsidR="00C04CAD" w:rsidRDefault="00C04CAD">
      <w:pPr>
        <w:spacing w:line="240" w:lineRule="auto"/>
        <w:rPr>
          <w:rFonts w:eastAsia="MS Mincho"/>
          <w:color w:val="000000"/>
          <w:szCs w:val="22"/>
          <w:lang w:eastAsia="ja-JP" w:bidi="ar-SA"/>
        </w:rPr>
      </w:pPr>
    </w:p>
    <w:p w14:paraId="3F0FFAE3" w14:textId="77777777" w:rsidR="00C04CAD" w:rsidRDefault="00060E34">
      <w:pPr>
        <w:spacing w:line="240" w:lineRule="auto"/>
        <w:rPr>
          <w:rFonts w:eastAsia="MS Mincho"/>
          <w:color w:val="000000"/>
          <w:szCs w:val="22"/>
          <w:lang w:eastAsia="ja-JP" w:bidi="ar-SA"/>
        </w:rPr>
      </w:pPr>
      <w:r>
        <w:rPr>
          <w:rFonts w:eastAsia="MS Mincho"/>
          <w:color w:val="000000"/>
          <w:szCs w:val="22"/>
          <w:lang w:eastAsia="ja-JP" w:bidi="ar-SA"/>
        </w:rPr>
        <w:t>Pacienților li s-a administrat adalimumab 0,8 mg/kg o dată la două săptămâni (până la 40 mg), 0,4 mg/kg o dată la două săptămâni (până la 20 mg), sau metotrexat 0,1 – 0,4 mg/kg săptămânal (până la 25 mg). În săptămâna 16, mai mulți pacienți randomizați la adalimumab 0,8 mg/kg au avut răspuns pozitiv de eficacitate (de exemplu PASI 75) decât cei randomizați la 0,4 mg/kg o dată la două săptămâni sau MTX.</w:t>
      </w:r>
    </w:p>
    <w:p w14:paraId="6318B360" w14:textId="77777777" w:rsidR="00C04CAD" w:rsidRDefault="00C04CAD">
      <w:pPr>
        <w:tabs>
          <w:tab w:val="clear" w:pos="567"/>
        </w:tabs>
        <w:autoSpaceDE w:val="0"/>
        <w:autoSpaceDN w:val="0"/>
        <w:adjustRightInd w:val="0"/>
        <w:spacing w:line="240" w:lineRule="auto"/>
        <w:rPr>
          <w:rFonts w:eastAsia="PMingLiU"/>
          <w:szCs w:val="22"/>
          <w:u w:val="single"/>
          <w:lang w:eastAsia="en-GB" w:bidi="ar-SA"/>
        </w:rPr>
      </w:pPr>
    </w:p>
    <w:p w14:paraId="45A64CB5" w14:textId="77777777" w:rsidR="00C04CAD" w:rsidRDefault="00060E34">
      <w:pPr>
        <w:keepNext/>
        <w:tabs>
          <w:tab w:val="clear" w:pos="567"/>
        </w:tabs>
        <w:autoSpaceDE w:val="0"/>
        <w:autoSpaceDN w:val="0"/>
        <w:adjustRightInd w:val="0"/>
        <w:spacing w:line="240" w:lineRule="auto"/>
        <w:rPr>
          <w:b/>
          <w:color w:val="000000"/>
          <w:szCs w:val="22"/>
          <w:lang w:eastAsia="en-US" w:bidi="ar-SA"/>
        </w:rPr>
      </w:pPr>
      <w:r>
        <w:rPr>
          <w:rFonts w:eastAsia="MS Mincho"/>
          <w:b/>
          <w:bCs/>
          <w:color w:val="000000"/>
          <w:szCs w:val="22"/>
          <w:lang w:eastAsia="en-GB" w:bidi="ar-SA"/>
        </w:rPr>
        <w:t>Tabelul</w:t>
      </w:r>
      <w:r>
        <w:rPr>
          <w:rFonts w:eastAsia="MS Mincho"/>
          <w:color w:val="000000"/>
          <w:szCs w:val="22"/>
          <w:lang w:eastAsia="ja-JP" w:bidi="ar-SA"/>
        </w:rPr>
        <w:t> </w:t>
      </w:r>
      <w:r>
        <w:rPr>
          <w:rFonts w:eastAsia="MS Mincho"/>
          <w:b/>
          <w:bCs/>
          <w:color w:val="000000"/>
          <w:szCs w:val="22"/>
          <w:lang w:eastAsia="en-GB" w:bidi="ar-SA"/>
        </w:rPr>
        <w:t xml:space="preserve">27. </w:t>
      </w:r>
      <w:r>
        <w:rPr>
          <w:b/>
          <w:color w:val="000000"/>
          <w:szCs w:val="22"/>
          <w:lang w:eastAsia="en-US" w:bidi="ar-SA"/>
        </w:rPr>
        <w:t xml:space="preserve">Rezultate </w:t>
      </w:r>
      <w:r>
        <w:rPr>
          <w:b/>
          <w:bCs/>
          <w:szCs w:val="22"/>
        </w:rPr>
        <w:t>privind eficacitatea</w:t>
      </w:r>
      <w:r>
        <w:rPr>
          <w:b/>
          <w:color w:val="000000"/>
          <w:szCs w:val="22"/>
          <w:lang w:eastAsia="en-US" w:bidi="ar-SA"/>
        </w:rPr>
        <w:t xml:space="preserve"> la 16 săptămâni pentru psoriazis în plăci la copii și adolescenți</w:t>
      </w:r>
    </w:p>
    <w:p w14:paraId="17D985A3" w14:textId="77777777" w:rsidR="00C04CAD" w:rsidRDefault="00C04CAD">
      <w:pPr>
        <w:keepNext/>
        <w:tabs>
          <w:tab w:val="clear" w:pos="567"/>
        </w:tabs>
        <w:autoSpaceDE w:val="0"/>
        <w:autoSpaceDN w:val="0"/>
        <w:adjustRightInd w:val="0"/>
        <w:spacing w:line="240" w:lineRule="auto"/>
        <w:rPr>
          <w:rFonts w:eastAsia="PMingLiU"/>
          <w:szCs w:val="22"/>
          <w:lang w:eastAsia="en-US"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2694"/>
        <w:gridCol w:w="2976"/>
      </w:tblGrid>
      <w:tr w:rsidR="00C04CAD" w14:paraId="395802EF" w14:textId="77777777">
        <w:trPr>
          <w:trHeight w:val="437"/>
        </w:trPr>
        <w:tc>
          <w:tcPr>
            <w:tcW w:w="3294" w:type="dxa"/>
          </w:tcPr>
          <w:p w14:paraId="0EE87571"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2694" w:type="dxa"/>
          </w:tcPr>
          <w:p w14:paraId="06EE1E83"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MTX</w:t>
            </w:r>
            <w:r>
              <w:rPr>
                <w:rFonts w:eastAsia="PMingLiU"/>
                <w:b/>
                <w:bCs/>
                <w:szCs w:val="22"/>
                <w:vertAlign w:val="superscript"/>
                <w:lang w:eastAsia="en-GB" w:bidi="ar-SA"/>
              </w:rPr>
              <w:t>a</w:t>
            </w:r>
          </w:p>
          <w:p w14:paraId="78152C60"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rFonts w:eastAsia="PMingLiU"/>
                <w:b/>
                <w:bCs/>
                <w:szCs w:val="22"/>
                <w:lang w:eastAsia="en-GB" w:bidi="ar-SA"/>
              </w:rPr>
              <w:t>N = 37</w:t>
            </w:r>
          </w:p>
        </w:tc>
        <w:tc>
          <w:tcPr>
            <w:tcW w:w="2976" w:type="dxa"/>
          </w:tcPr>
          <w:p w14:paraId="5F546632"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b/>
                <w:color w:val="000000"/>
                <w:szCs w:val="22"/>
                <w:lang w:eastAsia="en-US" w:bidi="ar-SA"/>
              </w:rPr>
              <w:t>Adalimumab</w:t>
            </w:r>
            <w:r>
              <w:rPr>
                <w:rFonts w:eastAsia="PMingLiU"/>
                <w:b/>
                <w:bCs/>
                <w:szCs w:val="22"/>
                <w:lang w:eastAsia="en-GB" w:bidi="ar-SA"/>
              </w:rPr>
              <w:t xml:space="preserve"> 0,8</w:t>
            </w:r>
            <w:r>
              <w:rPr>
                <w:rFonts w:eastAsia="PMingLiU"/>
                <w:color w:val="000000"/>
                <w:szCs w:val="22"/>
                <w:lang w:eastAsia="en-US" w:bidi="ar-SA"/>
              </w:rPr>
              <w:t> </w:t>
            </w:r>
            <w:r>
              <w:rPr>
                <w:rFonts w:eastAsia="PMingLiU"/>
                <w:b/>
                <w:bCs/>
                <w:szCs w:val="22"/>
                <w:lang w:eastAsia="en-GB" w:bidi="ar-SA"/>
              </w:rPr>
              <w:t>mg/kg o dată la două săptămâni</w:t>
            </w:r>
          </w:p>
          <w:p w14:paraId="43E167CD"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rFonts w:eastAsia="PMingLiU"/>
                <w:b/>
                <w:bCs/>
                <w:szCs w:val="22"/>
                <w:lang w:eastAsia="en-GB" w:bidi="ar-SA"/>
              </w:rPr>
              <w:t>N</w:t>
            </w:r>
            <w:r>
              <w:rPr>
                <w:rFonts w:eastAsia="PMingLiU"/>
                <w:b/>
                <w:szCs w:val="22"/>
                <w:lang w:eastAsia="en-US" w:bidi="ar-SA"/>
              </w:rPr>
              <w:t> </w:t>
            </w:r>
            <w:r>
              <w:rPr>
                <w:rFonts w:eastAsia="PMingLiU"/>
                <w:b/>
                <w:bCs/>
                <w:szCs w:val="22"/>
                <w:lang w:eastAsia="en-GB" w:bidi="ar-SA"/>
              </w:rPr>
              <w:t>=</w:t>
            </w:r>
            <w:r>
              <w:rPr>
                <w:rFonts w:eastAsia="PMingLiU"/>
                <w:b/>
                <w:szCs w:val="22"/>
                <w:lang w:eastAsia="en-US" w:bidi="ar-SA"/>
              </w:rPr>
              <w:t> </w:t>
            </w:r>
            <w:r>
              <w:rPr>
                <w:rFonts w:eastAsia="PMingLiU"/>
                <w:b/>
                <w:bCs/>
                <w:szCs w:val="22"/>
                <w:lang w:eastAsia="en-GB" w:bidi="ar-SA"/>
              </w:rPr>
              <w:t>38</w:t>
            </w:r>
          </w:p>
        </w:tc>
      </w:tr>
      <w:tr w:rsidR="00C04CAD" w14:paraId="1B347130" w14:textId="77777777">
        <w:trPr>
          <w:trHeight w:val="162"/>
        </w:trPr>
        <w:tc>
          <w:tcPr>
            <w:tcW w:w="3294" w:type="dxa"/>
          </w:tcPr>
          <w:p w14:paraId="00754E0A"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t>PASI 75</w:t>
            </w:r>
            <w:r>
              <w:rPr>
                <w:vertAlign w:val="superscript"/>
              </w:rPr>
              <w:t>b</w:t>
            </w:r>
          </w:p>
        </w:tc>
        <w:tc>
          <w:tcPr>
            <w:tcW w:w="2694" w:type="dxa"/>
          </w:tcPr>
          <w:p w14:paraId="2F3F867D"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12 (32,4%) </w:t>
            </w:r>
          </w:p>
        </w:tc>
        <w:tc>
          <w:tcPr>
            <w:tcW w:w="2976" w:type="dxa"/>
          </w:tcPr>
          <w:p w14:paraId="33172D5F"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22 (57,9%) </w:t>
            </w:r>
          </w:p>
        </w:tc>
      </w:tr>
      <w:tr w:rsidR="00C04CAD" w14:paraId="199399C8" w14:textId="77777777">
        <w:trPr>
          <w:trHeight w:val="162"/>
        </w:trPr>
        <w:tc>
          <w:tcPr>
            <w:tcW w:w="3294" w:type="dxa"/>
            <w:tcBorders>
              <w:bottom w:val="single" w:sz="4" w:space="0" w:color="auto"/>
            </w:tcBorders>
          </w:tcPr>
          <w:p w14:paraId="45E70E33"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t>PGA: Normal/minim</w:t>
            </w:r>
            <w:r>
              <w:rPr>
                <w:vertAlign w:val="superscript"/>
              </w:rPr>
              <w:t>c</w:t>
            </w:r>
          </w:p>
        </w:tc>
        <w:tc>
          <w:tcPr>
            <w:tcW w:w="2694" w:type="dxa"/>
            <w:tcBorders>
              <w:bottom w:val="single" w:sz="4" w:space="0" w:color="auto"/>
            </w:tcBorders>
          </w:tcPr>
          <w:p w14:paraId="4C188EDC"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15 (40,5%) </w:t>
            </w:r>
          </w:p>
        </w:tc>
        <w:tc>
          <w:tcPr>
            <w:tcW w:w="2976" w:type="dxa"/>
            <w:tcBorders>
              <w:bottom w:val="single" w:sz="4" w:space="0" w:color="auto"/>
            </w:tcBorders>
          </w:tcPr>
          <w:p w14:paraId="652D6549"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23 (60,5%) </w:t>
            </w:r>
          </w:p>
        </w:tc>
      </w:tr>
    </w:tbl>
    <w:p w14:paraId="4E7F5596" w14:textId="77777777" w:rsidR="00C04CAD" w:rsidRDefault="00060E34">
      <w:pPr>
        <w:keepNext/>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vertAlign w:val="superscript"/>
          <w:lang w:eastAsia="ja-JP" w:bidi="ar-SA"/>
        </w:rPr>
        <w:t xml:space="preserve">a </w:t>
      </w:r>
      <w:r>
        <w:rPr>
          <w:rFonts w:eastAsia="MS Mincho"/>
          <w:color w:val="000000"/>
          <w:sz w:val="20"/>
          <w:lang w:eastAsia="ja-JP" w:bidi="ar-SA"/>
        </w:rPr>
        <w:t xml:space="preserve">MTX = metotrexat </w:t>
      </w:r>
    </w:p>
    <w:p w14:paraId="060343B9" w14:textId="77777777" w:rsidR="00C04CAD" w:rsidRDefault="00060E34">
      <w:pPr>
        <w:keepNext/>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vertAlign w:val="superscript"/>
          <w:lang w:eastAsia="ja-JP" w:bidi="ar-SA"/>
        </w:rPr>
        <w:t xml:space="preserve">b </w:t>
      </w:r>
      <w:r>
        <w:rPr>
          <w:rFonts w:eastAsia="MS Mincho"/>
          <w:color w:val="000000"/>
          <w:sz w:val="20"/>
          <w:lang w:eastAsia="ja-JP" w:bidi="ar-SA"/>
        </w:rPr>
        <w:t xml:space="preserve">P = 0,027, </w:t>
      </w:r>
      <w:r>
        <w:rPr>
          <w:color w:val="000000"/>
          <w:sz w:val="20"/>
          <w:lang w:eastAsia="ja-JP" w:bidi="ar-SA"/>
        </w:rPr>
        <w:t>adalimumab</w:t>
      </w:r>
      <w:r>
        <w:rPr>
          <w:rFonts w:eastAsia="MS Mincho"/>
          <w:color w:val="000000"/>
          <w:sz w:val="20"/>
          <w:lang w:eastAsia="ja-JP" w:bidi="ar-SA"/>
        </w:rPr>
        <w:t xml:space="preserve"> 0,8 mg/kg comparativ cu MTX </w:t>
      </w:r>
    </w:p>
    <w:p w14:paraId="4649B6B8" w14:textId="77777777" w:rsidR="00C04CAD" w:rsidRDefault="00060E34">
      <w:pPr>
        <w:tabs>
          <w:tab w:val="clear" w:pos="567"/>
        </w:tabs>
        <w:autoSpaceDE w:val="0"/>
        <w:autoSpaceDN w:val="0"/>
        <w:adjustRightInd w:val="0"/>
        <w:spacing w:line="240" w:lineRule="auto"/>
        <w:rPr>
          <w:rFonts w:eastAsia="PMingLiU"/>
          <w:szCs w:val="22"/>
          <w:lang w:eastAsia="en-US" w:bidi="ar-SA"/>
        </w:rPr>
      </w:pPr>
      <w:r>
        <w:rPr>
          <w:rFonts w:eastAsia="PMingLiU"/>
          <w:sz w:val="20"/>
          <w:vertAlign w:val="superscript"/>
          <w:lang w:eastAsia="en-US" w:bidi="ar-SA"/>
        </w:rPr>
        <w:t xml:space="preserve">c </w:t>
      </w:r>
      <w:r>
        <w:rPr>
          <w:rFonts w:eastAsia="PMingLiU"/>
          <w:sz w:val="20"/>
          <w:lang w:eastAsia="en-US" w:bidi="ar-SA"/>
        </w:rPr>
        <w:t xml:space="preserve">P = 0,083, </w:t>
      </w:r>
      <w:r>
        <w:rPr>
          <w:color w:val="000000"/>
          <w:sz w:val="20"/>
          <w:lang w:eastAsia="en-US" w:bidi="ar-SA"/>
        </w:rPr>
        <w:t>adalimumab</w:t>
      </w:r>
      <w:r>
        <w:rPr>
          <w:rFonts w:eastAsia="PMingLiU"/>
          <w:sz w:val="20"/>
          <w:lang w:eastAsia="en-US" w:bidi="ar-SA"/>
        </w:rPr>
        <w:t xml:space="preserve"> 0,8</w:t>
      </w:r>
      <w:r>
        <w:rPr>
          <w:rFonts w:eastAsia="PMingLiU"/>
          <w:color w:val="000000"/>
          <w:szCs w:val="22"/>
          <w:lang w:eastAsia="en-US" w:bidi="ar-SA"/>
        </w:rPr>
        <w:t> </w:t>
      </w:r>
      <w:r>
        <w:rPr>
          <w:rFonts w:eastAsia="PMingLiU"/>
          <w:sz w:val="20"/>
          <w:lang w:eastAsia="en-US" w:bidi="ar-SA"/>
        </w:rPr>
        <w:t>mg/kg comparativ cu MTX</w:t>
      </w:r>
    </w:p>
    <w:p w14:paraId="14F3989F" w14:textId="77777777" w:rsidR="00C04CAD" w:rsidRDefault="00C04CAD">
      <w:pPr>
        <w:tabs>
          <w:tab w:val="clear" w:pos="567"/>
        </w:tabs>
        <w:autoSpaceDE w:val="0"/>
        <w:autoSpaceDN w:val="0"/>
        <w:adjustRightInd w:val="0"/>
        <w:spacing w:line="240" w:lineRule="auto"/>
        <w:rPr>
          <w:rFonts w:eastAsia="PMingLiU"/>
          <w:szCs w:val="22"/>
          <w:lang w:eastAsia="en-US" w:bidi="ar-SA"/>
        </w:rPr>
      </w:pPr>
    </w:p>
    <w:p w14:paraId="6032D531"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au obținut PASI 75 și PGA normal sau minim au întrerupt tratamentul timp de până la 36 săptămâni și au fost monitorizați pentru pierderea controlului asupra bolii (adică o agravare a PGA cu cel puțin 2 grade). Pacienții au primit apoi tratament cu adalimumab 0,8 mg/kg o dată la două săptămâni pentru încă 16 săptămâni și ratele de răspuns observate în timpul reluării tratamentului au fost similare cu cele din perioada dublu-orb anterioară: răspuns PASI 75 de 78,9% (15 din 19 subiecți) și PGA normal sau minim de 52,6% (10 din 19 subiecți).</w:t>
      </w:r>
    </w:p>
    <w:p w14:paraId="192992F1"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AF6EEBB" w14:textId="77777777" w:rsidR="00C04CAD" w:rsidRDefault="00060E34">
      <w:pPr>
        <w:keepLines/>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În perioada deschisă a studiului, răspunsurile PASI 75 și PGA normal sau minim au fost menținute timp de până la încă 52 săptămâni fără noi semnale privind siguranţa.</w:t>
      </w:r>
    </w:p>
    <w:p w14:paraId="1E316B34"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8EA79B0"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Hidradenită supurativă la adolescenți </w:t>
      </w:r>
    </w:p>
    <w:p w14:paraId="064B3FF0"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0FE09C5A"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Nu s-a desfășurat niciun studiu clinic cu adalimumab la pacienți adolescenți cu HS. Eficacitatea utilizării adalimumabului în tratamentul pacienților adolescenți cu HS a fost stabilită pe baza eficacităţii demonstrate și a relației expunere-răspuns la pacienții adulți cu HS și pe baza probabilităţii ca evoluția bolii, fiziopatologia și efectele medicamentului să fie substanțial similare cu cele ale pacienților adulți la aceleași niveluri de expunere. Siguranța dozei de adalimumab recomandată la populația de adolescenți cu HS se bazează pe profilul de siguranță al adalimumabului în toate indicațiile, atât la pacienții adulți cât și la pacienții adolescenți la doze similare sau la doze administrate cu o frecvență mai mare (vezi pct. 5.2).</w:t>
      </w:r>
    </w:p>
    <w:p w14:paraId="36DAEB1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7795BED" w14:textId="77777777" w:rsidR="00C04CAD" w:rsidRDefault="00060E34">
      <w:pPr>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Boală Crohn la copii şi adolescenţi</w:t>
      </w:r>
    </w:p>
    <w:p w14:paraId="55C837A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D0C40CE"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Adalimumabul a fost evaluat într-un studiu clinic multicentric, randomizat, dublu-orb conceput pentru a evalua eficacitatea şi siguranţa tratamentului de inducţie şi de întreţinere cu doze în funcţie de greutatea corporală (&lt;40 kg sau ≥ 40 kg) la 192 copii şi adolescenţi cu vârste cuprinse între 6 şi 17 ani (inclusiv), cu boală Crohn (BC) moderată până la severă, definită ca Index de Activitate a Bolii Crohn la copii (IABC) scor &gt; 30. Trebuie ca pacienţii să nu fi răspuns la tratamentul convenţional (inclusiv un corticosteroid şi/sau un imunomodulator) pentru BC. Pacienţii trebuie să fi pierdut anterior răspunsul sau să aibă intoleranţă la infliximab.</w:t>
      </w:r>
    </w:p>
    <w:p w14:paraId="5A1F2D0C"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9101C44" w14:textId="77777777" w:rsidR="00C04CAD" w:rsidRDefault="00060E34">
      <w:pPr>
        <w:spacing w:line="240" w:lineRule="auto"/>
        <w:rPr>
          <w:rFonts w:eastAsia="MS Mincho"/>
          <w:color w:val="000000"/>
          <w:szCs w:val="22"/>
          <w:lang w:eastAsia="ja-JP" w:bidi="ar-SA"/>
        </w:rPr>
      </w:pPr>
      <w:r>
        <w:rPr>
          <w:rFonts w:eastAsia="MS Mincho"/>
          <w:color w:val="000000"/>
          <w:szCs w:val="22"/>
          <w:lang w:eastAsia="ja-JP" w:bidi="ar-SA"/>
        </w:rPr>
        <w:t xml:space="preserve">Toţi pacienţii au primit tratament de inducţie deschis, cu o doză în funcţie de greutatea lor corporală iniţială: 160 mg în săptămâna 0 şi 80 mg în săptămâna 2 pentru pacienţii ≥ 40 kg şi 80 mg şi, respectiv, 40 mg pentru pacienţii &lt; 40 kg. </w:t>
      </w:r>
    </w:p>
    <w:p w14:paraId="7A196704" w14:textId="77777777" w:rsidR="00C04CAD" w:rsidRDefault="00C04CAD">
      <w:pPr>
        <w:spacing w:line="240" w:lineRule="auto"/>
        <w:rPr>
          <w:rFonts w:eastAsia="MS Mincho"/>
          <w:color w:val="000000"/>
          <w:szCs w:val="22"/>
          <w:lang w:eastAsia="ja-JP" w:bidi="ar-SA"/>
        </w:rPr>
      </w:pPr>
    </w:p>
    <w:p w14:paraId="3B9210A5" w14:textId="77777777" w:rsidR="00C04CAD" w:rsidRDefault="00060E34">
      <w:pPr>
        <w:spacing w:line="240" w:lineRule="auto"/>
        <w:rPr>
          <w:rFonts w:eastAsia="PMingLiU"/>
          <w:color w:val="000000"/>
          <w:szCs w:val="22"/>
          <w:lang w:eastAsia="en-GB" w:bidi="ar-SA"/>
        </w:rPr>
      </w:pPr>
      <w:r>
        <w:rPr>
          <w:rFonts w:eastAsia="MS Mincho"/>
          <w:color w:val="000000"/>
          <w:szCs w:val="22"/>
          <w:lang w:eastAsia="ja-JP" w:bidi="ar-SA"/>
        </w:rPr>
        <w:t>În săptămâna 4, pacienţii au fost randomizaţi 1:1 în funcţie de greutatea corporală avută la timpulrespectiv pentru a primi fie doza redusă, fie doza standard de întreţinere, cum sunt prezentate în tabelul 28.</w:t>
      </w:r>
    </w:p>
    <w:p w14:paraId="6D955E15" w14:textId="77777777" w:rsidR="00C04CAD" w:rsidRDefault="00C04CAD">
      <w:pPr>
        <w:tabs>
          <w:tab w:val="clear" w:pos="567"/>
        </w:tabs>
        <w:autoSpaceDE w:val="0"/>
        <w:autoSpaceDN w:val="0"/>
        <w:adjustRightInd w:val="0"/>
        <w:spacing w:line="240" w:lineRule="auto"/>
        <w:rPr>
          <w:rFonts w:eastAsia="PMingLiU"/>
          <w:b/>
          <w:bCs/>
          <w:color w:val="000000"/>
          <w:szCs w:val="22"/>
          <w:lang w:eastAsia="en-GB" w:bidi="ar-SA"/>
        </w:rPr>
      </w:pPr>
    </w:p>
    <w:p w14:paraId="16474B29" w14:textId="77777777" w:rsidR="00C04CAD" w:rsidRDefault="00060E34">
      <w:pPr>
        <w:keepNext/>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Tabelul 28. Tratament de întreţinere</w:t>
      </w:r>
    </w:p>
    <w:p w14:paraId="481B1D5D" w14:textId="77777777" w:rsidR="00C04CAD" w:rsidRDefault="00C04CAD">
      <w:pPr>
        <w:keepNext/>
        <w:spacing w:line="240" w:lineRule="auto"/>
        <w:rPr>
          <w:rFonts w:eastAsia="PMingLiU"/>
          <w:szCs w:val="22"/>
          <w:lang w:eastAsia="en-US" w:bidi="ar-SA"/>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3"/>
        <w:gridCol w:w="2986"/>
        <w:gridCol w:w="2984"/>
      </w:tblGrid>
      <w:tr w:rsidR="00C04CAD" w14:paraId="7A7CE9C6" w14:textId="77777777">
        <w:trPr>
          <w:trHeight w:val="293"/>
          <w:jc w:val="center"/>
        </w:trPr>
        <w:tc>
          <w:tcPr>
            <w:tcW w:w="1647" w:type="pct"/>
          </w:tcPr>
          <w:p w14:paraId="53425ED6" w14:textId="77777777" w:rsidR="00C04CAD" w:rsidRDefault="00060E34">
            <w:pPr>
              <w:tabs>
                <w:tab w:val="clear" w:pos="567"/>
              </w:tabs>
              <w:autoSpaceDE w:val="0"/>
              <w:autoSpaceDN w:val="0"/>
              <w:adjustRightInd w:val="0"/>
              <w:spacing w:line="240" w:lineRule="auto"/>
              <w:rPr>
                <w:rFonts w:eastAsia="PMingLiU"/>
                <w:b/>
                <w:bCs/>
                <w:color w:val="000000"/>
                <w:szCs w:val="22"/>
                <w:lang w:eastAsia="en-GB" w:bidi="ar-SA"/>
              </w:rPr>
            </w:pPr>
            <w:r>
              <w:rPr>
                <w:b/>
                <w:bCs/>
              </w:rPr>
              <w:t>Greutatea pacientului</w:t>
            </w:r>
          </w:p>
        </w:tc>
        <w:tc>
          <w:tcPr>
            <w:tcW w:w="1677" w:type="pct"/>
          </w:tcPr>
          <w:p w14:paraId="343D20B8"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Doză redusă </w:t>
            </w:r>
          </w:p>
        </w:tc>
        <w:tc>
          <w:tcPr>
            <w:tcW w:w="1677" w:type="pct"/>
          </w:tcPr>
          <w:p w14:paraId="281CF8AE"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Doză standard </w:t>
            </w:r>
          </w:p>
        </w:tc>
      </w:tr>
      <w:tr w:rsidR="00C04CAD" w14:paraId="3D6842C7" w14:textId="77777777">
        <w:trPr>
          <w:trHeight w:val="283"/>
          <w:jc w:val="center"/>
        </w:trPr>
        <w:tc>
          <w:tcPr>
            <w:tcW w:w="1647" w:type="pct"/>
          </w:tcPr>
          <w:p w14:paraId="25214479"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&lt; 40 kg </w:t>
            </w:r>
          </w:p>
        </w:tc>
        <w:tc>
          <w:tcPr>
            <w:tcW w:w="1677" w:type="pct"/>
          </w:tcPr>
          <w:p w14:paraId="084C8D08"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10 mg la două săptămâni </w:t>
            </w:r>
          </w:p>
        </w:tc>
        <w:tc>
          <w:tcPr>
            <w:tcW w:w="1677" w:type="pct"/>
          </w:tcPr>
          <w:p w14:paraId="7BCB32C9"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20 mg la două săptămâni </w:t>
            </w:r>
          </w:p>
        </w:tc>
      </w:tr>
      <w:tr w:rsidR="00C04CAD" w14:paraId="1CD1FBB4" w14:textId="77777777">
        <w:trPr>
          <w:trHeight w:val="283"/>
          <w:jc w:val="center"/>
        </w:trPr>
        <w:tc>
          <w:tcPr>
            <w:tcW w:w="1647" w:type="pct"/>
          </w:tcPr>
          <w:p w14:paraId="63D6AC9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 40 kg </w:t>
            </w:r>
          </w:p>
        </w:tc>
        <w:tc>
          <w:tcPr>
            <w:tcW w:w="1677" w:type="pct"/>
          </w:tcPr>
          <w:p w14:paraId="3DA76CE7"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20 mg la două săptămâni </w:t>
            </w:r>
          </w:p>
        </w:tc>
        <w:tc>
          <w:tcPr>
            <w:tcW w:w="1677" w:type="pct"/>
          </w:tcPr>
          <w:p w14:paraId="5B09AA2A"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40 mg la două săptămâni </w:t>
            </w:r>
          </w:p>
        </w:tc>
      </w:tr>
    </w:tbl>
    <w:p w14:paraId="3EB1F831" w14:textId="77777777" w:rsidR="00C04CAD" w:rsidRDefault="00C04CAD">
      <w:pPr>
        <w:spacing w:line="240" w:lineRule="auto"/>
        <w:rPr>
          <w:rFonts w:eastAsia="PMingLiU"/>
          <w:szCs w:val="22"/>
          <w:lang w:eastAsia="en-US" w:bidi="ar-SA"/>
        </w:rPr>
      </w:pPr>
    </w:p>
    <w:p w14:paraId="4C8B346F" w14:textId="77777777" w:rsidR="00C04CAD" w:rsidRDefault="00060E34">
      <w:pPr>
        <w:tabs>
          <w:tab w:val="clear" w:pos="567"/>
        </w:tabs>
        <w:autoSpaceDE w:val="0"/>
        <w:autoSpaceDN w:val="0"/>
        <w:adjustRightInd w:val="0"/>
        <w:spacing w:line="240" w:lineRule="auto"/>
        <w:rPr>
          <w:rFonts w:eastAsia="MS Mincho"/>
          <w:i/>
          <w:iCs/>
          <w:color w:val="000000"/>
          <w:szCs w:val="22"/>
          <w:u w:val="single"/>
          <w:lang w:eastAsia="ja-JP" w:bidi="ar-SA"/>
        </w:rPr>
      </w:pPr>
      <w:r>
        <w:rPr>
          <w:rFonts w:eastAsia="MS Mincho"/>
          <w:i/>
          <w:iCs/>
          <w:color w:val="000000"/>
          <w:szCs w:val="22"/>
          <w:u w:val="single"/>
          <w:lang w:eastAsia="ja-JP" w:bidi="ar-SA"/>
        </w:rPr>
        <w:t>Rezultatele eficacităţii</w:t>
      </w:r>
    </w:p>
    <w:p w14:paraId="13676ED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214639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Criteriul principal final de evaluare a fost remisia clinică în săptămâna 26, definită ca scorul IABC ≤ 10.</w:t>
      </w:r>
    </w:p>
    <w:p w14:paraId="633D226B"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B5E542A"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MS Mincho"/>
          <w:color w:val="000000"/>
          <w:szCs w:val="22"/>
          <w:lang w:eastAsia="ja-JP" w:bidi="ar-SA"/>
        </w:rPr>
        <w:t>Remisia clinică şi răspunsul clinic (definit ca reducere a scorului IABC cu cel puţin 15 puncte faţă de valoarea iniţială) sunt prezentate în tabelul 29. Ratele de întrerupere a corticosteroizilor sau a medicamentelor imunomodulatoare sunt prezentate în tabelul 30.</w:t>
      </w:r>
    </w:p>
    <w:p w14:paraId="2CCFB251" w14:textId="77777777" w:rsidR="00C04CAD" w:rsidRDefault="00C04CAD">
      <w:pPr>
        <w:spacing w:line="240" w:lineRule="auto"/>
        <w:rPr>
          <w:rFonts w:eastAsia="PMingLiU"/>
          <w:szCs w:val="22"/>
          <w:lang w:eastAsia="en-US" w:bidi="ar-SA"/>
        </w:rPr>
      </w:pPr>
    </w:p>
    <w:p w14:paraId="36F885D9" w14:textId="77777777" w:rsidR="00C04CAD" w:rsidRDefault="00060E34">
      <w:pPr>
        <w:tabs>
          <w:tab w:val="clear" w:pos="567"/>
        </w:tabs>
        <w:autoSpaceDE w:val="0"/>
        <w:autoSpaceDN w:val="0"/>
        <w:adjustRightInd w:val="0"/>
        <w:spacing w:line="240" w:lineRule="auto"/>
        <w:rPr>
          <w:rFonts w:eastAsia="PMingLiU"/>
          <w:b/>
          <w:bCs/>
          <w:color w:val="000000"/>
          <w:szCs w:val="22"/>
          <w:lang w:eastAsia="en-GB" w:bidi="ar-SA"/>
        </w:rPr>
      </w:pPr>
      <w:r>
        <w:rPr>
          <w:rFonts w:eastAsia="PMingLiU"/>
          <w:b/>
          <w:bCs/>
          <w:color w:val="000000"/>
          <w:szCs w:val="22"/>
          <w:lang w:eastAsia="en-GB" w:bidi="ar-SA"/>
        </w:rPr>
        <w:t>Tabelul 29. Studiu BC la copii – Remisia clinică şi răspunsul IABC</w:t>
      </w:r>
    </w:p>
    <w:p w14:paraId="7733A70D"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C04CAD" w14:paraId="72CD6B17" w14:textId="77777777">
        <w:trPr>
          <w:trHeight w:val="437"/>
        </w:trPr>
        <w:tc>
          <w:tcPr>
            <w:tcW w:w="2586" w:type="dxa"/>
          </w:tcPr>
          <w:p w14:paraId="139C9A08"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c>
          <w:tcPr>
            <w:tcW w:w="2268" w:type="dxa"/>
          </w:tcPr>
          <w:p w14:paraId="79CDE591" w14:textId="77777777" w:rsidR="00C04CAD" w:rsidRDefault="00060E34">
            <w:pPr>
              <w:pStyle w:val="Default"/>
              <w:jc w:val="center"/>
              <w:rPr>
                <w:sz w:val="22"/>
                <w:szCs w:val="22"/>
                <w:lang w:val="ro-RO"/>
              </w:rPr>
            </w:pPr>
            <w:r>
              <w:rPr>
                <w:b/>
                <w:bCs/>
                <w:sz w:val="22"/>
                <w:szCs w:val="22"/>
                <w:lang w:val="ro-RO"/>
              </w:rPr>
              <w:t>Doză standard</w:t>
            </w:r>
          </w:p>
          <w:p w14:paraId="6AECE283" w14:textId="77777777" w:rsidR="00C04CAD" w:rsidRDefault="00060E34">
            <w:pPr>
              <w:pStyle w:val="Default"/>
              <w:tabs>
                <w:tab w:val="left" w:pos="567"/>
              </w:tabs>
              <w:jc w:val="center"/>
              <w:rPr>
                <w:b/>
                <w:bCs/>
                <w:sz w:val="22"/>
                <w:szCs w:val="22"/>
                <w:lang w:val="ro-RO"/>
              </w:rPr>
            </w:pPr>
            <w:r>
              <w:rPr>
                <w:b/>
                <w:bCs/>
                <w:sz w:val="22"/>
                <w:szCs w:val="22"/>
                <w:lang w:val="ro-RO"/>
              </w:rPr>
              <w:t xml:space="preserve">40/20 mg la două săptămâni </w:t>
            </w:r>
          </w:p>
          <w:p w14:paraId="1CBA98BA" w14:textId="77777777" w:rsidR="00C04CAD" w:rsidRDefault="00060E34">
            <w:pPr>
              <w:pStyle w:val="Default"/>
              <w:tabs>
                <w:tab w:val="left" w:pos="567"/>
              </w:tabs>
              <w:jc w:val="center"/>
              <w:rPr>
                <w:rFonts w:eastAsia="PMingLiU"/>
                <w:szCs w:val="22"/>
                <w:lang w:val="ro-RO" w:eastAsia="en-GB"/>
              </w:rPr>
            </w:pPr>
            <w:r>
              <w:rPr>
                <w:b/>
                <w:bCs/>
                <w:sz w:val="22"/>
                <w:szCs w:val="22"/>
                <w:lang w:val="ro-RO"/>
              </w:rPr>
              <w:t>N = 93</w:t>
            </w:r>
          </w:p>
        </w:tc>
        <w:tc>
          <w:tcPr>
            <w:tcW w:w="2268" w:type="dxa"/>
          </w:tcPr>
          <w:p w14:paraId="3D81E905" w14:textId="77777777" w:rsidR="00C04CAD" w:rsidRDefault="00060E34">
            <w:pPr>
              <w:pStyle w:val="Default"/>
              <w:tabs>
                <w:tab w:val="left" w:pos="567"/>
              </w:tabs>
              <w:jc w:val="center"/>
              <w:rPr>
                <w:sz w:val="22"/>
                <w:szCs w:val="22"/>
                <w:lang w:val="ro-RO"/>
              </w:rPr>
            </w:pPr>
            <w:r>
              <w:rPr>
                <w:b/>
                <w:bCs/>
                <w:sz w:val="22"/>
                <w:szCs w:val="22"/>
                <w:lang w:val="ro-RO"/>
              </w:rPr>
              <w:t>Doză redusă</w:t>
            </w:r>
          </w:p>
          <w:p w14:paraId="3BD5294D" w14:textId="77777777" w:rsidR="00C04CAD" w:rsidRDefault="00060E34">
            <w:pPr>
              <w:pStyle w:val="Default"/>
              <w:tabs>
                <w:tab w:val="left" w:pos="567"/>
              </w:tabs>
              <w:jc w:val="center"/>
              <w:rPr>
                <w:b/>
                <w:bCs/>
                <w:sz w:val="22"/>
                <w:szCs w:val="22"/>
                <w:lang w:val="ro-RO"/>
              </w:rPr>
            </w:pPr>
            <w:r>
              <w:rPr>
                <w:b/>
                <w:bCs/>
                <w:sz w:val="22"/>
                <w:szCs w:val="22"/>
                <w:lang w:val="ro-RO"/>
              </w:rPr>
              <w:t xml:space="preserve">20/10 mg la două săptămâni </w:t>
            </w:r>
          </w:p>
          <w:p w14:paraId="7B9E498F" w14:textId="77777777" w:rsidR="00C04CAD" w:rsidRDefault="00060E34">
            <w:pPr>
              <w:pStyle w:val="Default"/>
              <w:tabs>
                <w:tab w:val="left" w:pos="567"/>
              </w:tabs>
              <w:jc w:val="center"/>
              <w:rPr>
                <w:rFonts w:eastAsia="PMingLiU"/>
                <w:szCs w:val="22"/>
                <w:lang w:val="ro-RO" w:eastAsia="en-GB"/>
              </w:rPr>
            </w:pPr>
            <w:r>
              <w:rPr>
                <w:b/>
                <w:bCs/>
                <w:sz w:val="22"/>
                <w:szCs w:val="22"/>
                <w:lang w:val="ro-RO"/>
              </w:rPr>
              <w:t>N = 95</w:t>
            </w:r>
          </w:p>
        </w:tc>
        <w:tc>
          <w:tcPr>
            <w:tcW w:w="1842" w:type="dxa"/>
          </w:tcPr>
          <w:p w14:paraId="0278E3F2"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Valoare p*</w:t>
            </w:r>
          </w:p>
        </w:tc>
      </w:tr>
      <w:tr w:rsidR="00C04CAD" w14:paraId="0021F148" w14:textId="77777777">
        <w:trPr>
          <w:trHeight w:val="149"/>
        </w:trPr>
        <w:tc>
          <w:tcPr>
            <w:tcW w:w="8964" w:type="dxa"/>
            <w:gridSpan w:val="4"/>
          </w:tcPr>
          <w:p w14:paraId="4D9249B1"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Săptămâna 26</w:t>
            </w:r>
          </w:p>
        </w:tc>
      </w:tr>
      <w:tr w:rsidR="00C04CAD" w14:paraId="49014942" w14:textId="77777777">
        <w:trPr>
          <w:trHeight w:val="147"/>
        </w:trPr>
        <w:tc>
          <w:tcPr>
            <w:tcW w:w="2586" w:type="dxa"/>
          </w:tcPr>
          <w:p w14:paraId="313212C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Remisie clinică </w:t>
            </w:r>
          </w:p>
        </w:tc>
        <w:tc>
          <w:tcPr>
            <w:tcW w:w="2268" w:type="dxa"/>
          </w:tcPr>
          <w:p w14:paraId="69080C6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38,7% </w:t>
            </w:r>
          </w:p>
        </w:tc>
        <w:tc>
          <w:tcPr>
            <w:tcW w:w="2268" w:type="dxa"/>
          </w:tcPr>
          <w:p w14:paraId="74D1A48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28,4% </w:t>
            </w:r>
          </w:p>
        </w:tc>
        <w:tc>
          <w:tcPr>
            <w:tcW w:w="1842" w:type="dxa"/>
          </w:tcPr>
          <w:p w14:paraId="29A20E0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0,075 </w:t>
            </w:r>
          </w:p>
        </w:tc>
      </w:tr>
      <w:tr w:rsidR="00C04CAD" w14:paraId="4311B9BD" w14:textId="77777777">
        <w:trPr>
          <w:trHeight w:val="147"/>
        </w:trPr>
        <w:tc>
          <w:tcPr>
            <w:tcW w:w="2586" w:type="dxa"/>
          </w:tcPr>
          <w:p w14:paraId="5164489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Răspuns clinic </w:t>
            </w:r>
          </w:p>
        </w:tc>
        <w:tc>
          <w:tcPr>
            <w:tcW w:w="2268" w:type="dxa"/>
          </w:tcPr>
          <w:p w14:paraId="0F4173A5"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59,1% </w:t>
            </w:r>
          </w:p>
        </w:tc>
        <w:tc>
          <w:tcPr>
            <w:tcW w:w="2268" w:type="dxa"/>
          </w:tcPr>
          <w:p w14:paraId="5CFE298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48,4% </w:t>
            </w:r>
          </w:p>
        </w:tc>
        <w:tc>
          <w:tcPr>
            <w:tcW w:w="1842" w:type="dxa"/>
          </w:tcPr>
          <w:p w14:paraId="1D8CF14C"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0,073 </w:t>
            </w:r>
          </w:p>
        </w:tc>
      </w:tr>
      <w:tr w:rsidR="00C04CAD" w14:paraId="5CBA2A8C" w14:textId="77777777">
        <w:trPr>
          <w:trHeight w:val="149"/>
        </w:trPr>
        <w:tc>
          <w:tcPr>
            <w:tcW w:w="8964" w:type="dxa"/>
            <w:gridSpan w:val="4"/>
          </w:tcPr>
          <w:p w14:paraId="1A0F6C4B"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Săptămâna 52</w:t>
            </w:r>
          </w:p>
        </w:tc>
      </w:tr>
      <w:tr w:rsidR="00C04CAD" w14:paraId="19B7A3FD" w14:textId="77777777">
        <w:trPr>
          <w:trHeight w:val="147"/>
        </w:trPr>
        <w:tc>
          <w:tcPr>
            <w:tcW w:w="2586" w:type="dxa"/>
          </w:tcPr>
          <w:p w14:paraId="6CFF2AA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Remisie clinică </w:t>
            </w:r>
          </w:p>
        </w:tc>
        <w:tc>
          <w:tcPr>
            <w:tcW w:w="2268" w:type="dxa"/>
          </w:tcPr>
          <w:p w14:paraId="1413404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33,3% </w:t>
            </w:r>
          </w:p>
        </w:tc>
        <w:tc>
          <w:tcPr>
            <w:tcW w:w="2268" w:type="dxa"/>
          </w:tcPr>
          <w:p w14:paraId="41968D55"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23,2% </w:t>
            </w:r>
          </w:p>
        </w:tc>
        <w:tc>
          <w:tcPr>
            <w:tcW w:w="1842" w:type="dxa"/>
          </w:tcPr>
          <w:p w14:paraId="47B8DB0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0,100 </w:t>
            </w:r>
          </w:p>
        </w:tc>
      </w:tr>
      <w:tr w:rsidR="00C04CAD" w14:paraId="797A2889" w14:textId="77777777">
        <w:trPr>
          <w:trHeight w:val="147"/>
        </w:trPr>
        <w:tc>
          <w:tcPr>
            <w:tcW w:w="2586" w:type="dxa"/>
            <w:tcBorders>
              <w:bottom w:val="single" w:sz="4" w:space="0" w:color="auto"/>
            </w:tcBorders>
          </w:tcPr>
          <w:p w14:paraId="351AF1D5"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Răspuns clinic </w:t>
            </w:r>
          </w:p>
        </w:tc>
        <w:tc>
          <w:tcPr>
            <w:tcW w:w="2268" w:type="dxa"/>
            <w:tcBorders>
              <w:bottom w:val="single" w:sz="4" w:space="0" w:color="auto"/>
            </w:tcBorders>
          </w:tcPr>
          <w:p w14:paraId="65BC58CF"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41,9% </w:t>
            </w:r>
          </w:p>
        </w:tc>
        <w:tc>
          <w:tcPr>
            <w:tcW w:w="2268" w:type="dxa"/>
            <w:tcBorders>
              <w:bottom w:val="single" w:sz="4" w:space="0" w:color="auto"/>
            </w:tcBorders>
          </w:tcPr>
          <w:p w14:paraId="05A7F4A4"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28,4% </w:t>
            </w:r>
          </w:p>
        </w:tc>
        <w:tc>
          <w:tcPr>
            <w:tcW w:w="1842" w:type="dxa"/>
            <w:tcBorders>
              <w:bottom w:val="single" w:sz="4" w:space="0" w:color="auto"/>
            </w:tcBorders>
          </w:tcPr>
          <w:p w14:paraId="1760D93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0,038 </w:t>
            </w:r>
          </w:p>
        </w:tc>
      </w:tr>
    </w:tbl>
    <w:p w14:paraId="5E71FEE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color w:val="000000"/>
          <w:sz w:val="20"/>
          <w:lang w:eastAsia="en-GB" w:bidi="ar-SA"/>
        </w:rPr>
        <w:t>* valoare p pentru comparaţia doză standard versus doză redusă</w:t>
      </w:r>
    </w:p>
    <w:p w14:paraId="564C32B0" w14:textId="77777777" w:rsidR="00C04CAD" w:rsidRDefault="00C04CAD">
      <w:pPr>
        <w:keepNext/>
        <w:spacing w:line="240" w:lineRule="auto"/>
        <w:rPr>
          <w:rFonts w:eastAsia="PMingLiU"/>
          <w:szCs w:val="22"/>
          <w:lang w:eastAsia="en-US" w:bidi="ar-SA"/>
        </w:rPr>
      </w:pPr>
    </w:p>
    <w:p w14:paraId="44417D2D" w14:textId="77777777" w:rsidR="00C04CAD" w:rsidRDefault="00060E34">
      <w:pPr>
        <w:keepNext/>
        <w:keepLines/>
        <w:tabs>
          <w:tab w:val="clear" w:pos="567"/>
        </w:tabs>
        <w:autoSpaceDE w:val="0"/>
        <w:autoSpaceDN w:val="0"/>
        <w:adjustRightInd w:val="0"/>
        <w:spacing w:line="240" w:lineRule="auto"/>
        <w:rPr>
          <w:rFonts w:eastAsia="PMingLiU"/>
          <w:b/>
          <w:bCs/>
          <w:color w:val="000000"/>
          <w:szCs w:val="22"/>
          <w:lang w:eastAsia="en-GB" w:bidi="ar-SA"/>
        </w:rPr>
      </w:pPr>
      <w:r>
        <w:rPr>
          <w:rFonts w:eastAsia="PMingLiU"/>
          <w:b/>
          <w:bCs/>
          <w:color w:val="000000"/>
          <w:szCs w:val="22"/>
          <w:lang w:eastAsia="en-GB" w:bidi="ar-SA"/>
        </w:rPr>
        <w:t>Tabelul 30. Studiu BC la copii – Întreruperea corticosteroizilor sau a medicamentelor imunomodulatoare şi remisia fistulei</w:t>
      </w:r>
    </w:p>
    <w:p w14:paraId="1F6C0F20" w14:textId="77777777" w:rsidR="00C04CAD" w:rsidRDefault="00C04CAD">
      <w:pPr>
        <w:keepNext/>
        <w:keepLines/>
        <w:spacing w:line="240" w:lineRule="auto"/>
        <w:rPr>
          <w:rFonts w:eastAsia="PMingLiU"/>
          <w:szCs w:val="22"/>
          <w:lang w:eastAsia="en-US" w:bidi="ar-SA"/>
        </w:rPr>
      </w:pPr>
    </w:p>
    <w:tbl>
      <w:tblPr>
        <w:tblW w:w="90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2126"/>
        <w:gridCol w:w="2126"/>
        <w:gridCol w:w="1701"/>
      </w:tblGrid>
      <w:tr w:rsidR="00C04CAD" w14:paraId="01D423EF" w14:textId="77777777">
        <w:trPr>
          <w:trHeight w:val="300"/>
        </w:trPr>
        <w:tc>
          <w:tcPr>
            <w:tcW w:w="3061" w:type="dxa"/>
            <w:tcBorders>
              <w:top w:val="single" w:sz="4" w:space="0" w:color="auto"/>
            </w:tcBorders>
          </w:tcPr>
          <w:p w14:paraId="0F8D080F" w14:textId="77777777" w:rsidR="00C04CAD" w:rsidRDefault="00C04CAD">
            <w:pPr>
              <w:keepNext/>
              <w:keepLines/>
              <w:tabs>
                <w:tab w:val="clear" w:pos="567"/>
              </w:tabs>
              <w:autoSpaceDE w:val="0"/>
              <w:autoSpaceDN w:val="0"/>
              <w:adjustRightInd w:val="0"/>
              <w:spacing w:line="240" w:lineRule="auto"/>
              <w:rPr>
                <w:rFonts w:eastAsia="PMingLiU"/>
                <w:color w:val="000000"/>
                <w:szCs w:val="22"/>
                <w:lang w:eastAsia="en-GB" w:bidi="ar-SA"/>
              </w:rPr>
            </w:pPr>
          </w:p>
        </w:tc>
        <w:tc>
          <w:tcPr>
            <w:tcW w:w="2126" w:type="dxa"/>
            <w:tcBorders>
              <w:top w:val="single" w:sz="4" w:space="0" w:color="auto"/>
            </w:tcBorders>
          </w:tcPr>
          <w:p w14:paraId="307ADB3A" w14:textId="77777777" w:rsidR="00C04CAD" w:rsidRDefault="00060E34">
            <w:pPr>
              <w:pStyle w:val="Default"/>
              <w:jc w:val="center"/>
              <w:rPr>
                <w:sz w:val="22"/>
                <w:szCs w:val="22"/>
                <w:lang w:val="ro-RO"/>
              </w:rPr>
            </w:pPr>
            <w:r>
              <w:rPr>
                <w:b/>
                <w:bCs/>
                <w:sz w:val="22"/>
                <w:szCs w:val="22"/>
                <w:lang w:val="ro-RO"/>
              </w:rPr>
              <w:t>Doză standard</w:t>
            </w:r>
          </w:p>
          <w:p w14:paraId="74390740"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40/20 mg la două săptămâni</w:t>
            </w:r>
          </w:p>
        </w:tc>
        <w:tc>
          <w:tcPr>
            <w:tcW w:w="2126" w:type="dxa"/>
            <w:tcBorders>
              <w:top w:val="single" w:sz="4" w:space="0" w:color="auto"/>
            </w:tcBorders>
          </w:tcPr>
          <w:p w14:paraId="4AD81185" w14:textId="77777777" w:rsidR="00C04CAD" w:rsidRDefault="00060E34">
            <w:pPr>
              <w:pStyle w:val="Default"/>
              <w:jc w:val="center"/>
              <w:rPr>
                <w:sz w:val="22"/>
                <w:szCs w:val="22"/>
                <w:lang w:val="ro-RO"/>
              </w:rPr>
            </w:pPr>
            <w:r>
              <w:rPr>
                <w:b/>
                <w:bCs/>
                <w:sz w:val="22"/>
                <w:szCs w:val="22"/>
                <w:lang w:val="ro-RO"/>
              </w:rPr>
              <w:t>Doză redusă</w:t>
            </w:r>
          </w:p>
          <w:p w14:paraId="5E24EB1D"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20/10 mg la două săptămâni</w:t>
            </w:r>
          </w:p>
        </w:tc>
        <w:tc>
          <w:tcPr>
            <w:tcW w:w="1701" w:type="dxa"/>
            <w:tcBorders>
              <w:top w:val="single" w:sz="4" w:space="0" w:color="auto"/>
            </w:tcBorders>
          </w:tcPr>
          <w:p w14:paraId="495CA28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Valoare p</w:t>
            </w:r>
            <w:r>
              <w:rPr>
                <w:b/>
                <w:bCs/>
                <w:szCs w:val="22"/>
                <w:vertAlign w:val="superscript"/>
              </w:rPr>
              <w:t>1</w:t>
            </w:r>
          </w:p>
        </w:tc>
      </w:tr>
      <w:tr w:rsidR="00C04CAD" w14:paraId="6ADC1A6C" w14:textId="77777777">
        <w:trPr>
          <w:trHeight w:val="149"/>
        </w:trPr>
        <w:tc>
          <w:tcPr>
            <w:tcW w:w="3061" w:type="dxa"/>
          </w:tcPr>
          <w:p w14:paraId="42734A36"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Întreruperea corticosteroizilor</w:t>
            </w:r>
          </w:p>
        </w:tc>
        <w:tc>
          <w:tcPr>
            <w:tcW w:w="2126" w:type="dxa"/>
          </w:tcPr>
          <w:p w14:paraId="5BF2D0E9"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33</w:t>
            </w:r>
          </w:p>
        </w:tc>
        <w:tc>
          <w:tcPr>
            <w:tcW w:w="2126" w:type="dxa"/>
          </w:tcPr>
          <w:p w14:paraId="0D455C94"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38</w:t>
            </w:r>
          </w:p>
        </w:tc>
        <w:tc>
          <w:tcPr>
            <w:tcW w:w="1701" w:type="dxa"/>
          </w:tcPr>
          <w:p w14:paraId="38FD5CC1"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1A4F5347" w14:textId="77777777">
        <w:trPr>
          <w:trHeight w:val="147"/>
        </w:trPr>
        <w:tc>
          <w:tcPr>
            <w:tcW w:w="3061" w:type="dxa"/>
          </w:tcPr>
          <w:p w14:paraId="18EE97EC"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26 </w:t>
            </w:r>
          </w:p>
        </w:tc>
        <w:tc>
          <w:tcPr>
            <w:tcW w:w="2126" w:type="dxa"/>
          </w:tcPr>
          <w:p w14:paraId="144707C9"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84,8% </w:t>
            </w:r>
          </w:p>
        </w:tc>
        <w:tc>
          <w:tcPr>
            <w:tcW w:w="2126" w:type="dxa"/>
          </w:tcPr>
          <w:p w14:paraId="040275B3"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65,8% </w:t>
            </w:r>
          </w:p>
        </w:tc>
        <w:tc>
          <w:tcPr>
            <w:tcW w:w="1701" w:type="dxa"/>
          </w:tcPr>
          <w:p w14:paraId="6D6A190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0,066 </w:t>
            </w:r>
          </w:p>
        </w:tc>
      </w:tr>
      <w:tr w:rsidR="00C04CAD" w14:paraId="10D00BEC" w14:textId="77777777">
        <w:trPr>
          <w:trHeight w:val="147"/>
        </w:trPr>
        <w:tc>
          <w:tcPr>
            <w:tcW w:w="3061" w:type="dxa"/>
          </w:tcPr>
          <w:p w14:paraId="703A7892"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0E307892"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69,7% </w:t>
            </w:r>
          </w:p>
        </w:tc>
        <w:tc>
          <w:tcPr>
            <w:tcW w:w="2126" w:type="dxa"/>
          </w:tcPr>
          <w:p w14:paraId="748E3282"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60,5% </w:t>
            </w:r>
          </w:p>
        </w:tc>
        <w:tc>
          <w:tcPr>
            <w:tcW w:w="1701" w:type="dxa"/>
          </w:tcPr>
          <w:p w14:paraId="0E348B4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0,420 </w:t>
            </w:r>
          </w:p>
        </w:tc>
      </w:tr>
      <w:tr w:rsidR="00C04CAD" w14:paraId="35091FE5" w14:textId="77777777">
        <w:trPr>
          <w:trHeight w:val="156"/>
        </w:trPr>
        <w:tc>
          <w:tcPr>
            <w:tcW w:w="3061" w:type="dxa"/>
          </w:tcPr>
          <w:p w14:paraId="18660A25"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Întreruperea medicamentelor imunomodulatoare</w:t>
            </w:r>
            <w:r>
              <w:rPr>
                <w:rFonts w:eastAsia="PMingLiU"/>
                <w:b/>
                <w:bCs/>
                <w:color w:val="000000"/>
                <w:szCs w:val="22"/>
                <w:vertAlign w:val="superscript"/>
                <w:lang w:eastAsia="en-GB" w:bidi="ar-SA"/>
              </w:rPr>
              <w:t>2</w:t>
            </w:r>
          </w:p>
        </w:tc>
        <w:tc>
          <w:tcPr>
            <w:tcW w:w="2126" w:type="dxa"/>
          </w:tcPr>
          <w:p w14:paraId="1D9FE3C4"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60</w:t>
            </w:r>
          </w:p>
        </w:tc>
        <w:tc>
          <w:tcPr>
            <w:tcW w:w="2126" w:type="dxa"/>
          </w:tcPr>
          <w:p w14:paraId="19F1A422"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57</w:t>
            </w:r>
          </w:p>
        </w:tc>
        <w:tc>
          <w:tcPr>
            <w:tcW w:w="1701" w:type="dxa"/>
          </w:tcPr>
          <w:p w14:paraId="66325C3B"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39DD7C68" w14:textId="77777777">
        <w:trPr>
          <w:trHeight w:val="147"/>
        </w:trPr>
        <w:tc>
          <w:tcPr>
            <w:tcW w:w="3061" w:type="dxa"/>
          </w:tcPr>
          <w:p w14:paraId="3A19739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7D73B10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30,0% </w:t>
            </w:r>
          </w:p>
        </w:tc>
        <w:tc>
          <w:tcPr>
            <w:tcW w:w="2126" w:type="dxa"/>
          </w:tcPr>
          <w:p w14:paraId="5A5A751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29,8% </w:t>
            </w:r>
          </w:p>
        </w:tc>
        <w:tc>
          <w:tcPr>
            <w:tcW w:w="1701" w:type="dxa"/>
          </w:tcPr>
          <w:p w14:paraId="5B49D0D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0,983 </w:t>
            </w:r>
          </w:p>
        </w:tc>
      </w:tr>
      <w:tr w:rsidR="00C04CAD" w14:paraId="088CE61B" w14:textId="77777777">
        <w:trPr>
          <w:trHeight w:val="156"/>
        </w:trPr>
        <w:tc>
          <w:tcPr>
            <w:tcW w:w="3061" w:type="dxa"/>
          </w:tcPr>
          <w:p w14:paraId="00FA7362"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Remisia fistulei</w:t>
            </w:r>
            <w:r>
              <w:rPr>
                <w:rFonts w:eastAsia="PMingLiU"/>
                <w:b/>
                <w:bCs/>
                <w:color w:val="000000"/>
                <w:szCs w:val="22"/>
                <w:vertAlign w:val="superscript"/>
                <w:lang w:eastAsia="en-GB" w:bidi="ar-SA"/>
              </w:rPr>
              <w:t>3</w:t>
            </w:r>
          </w:p>
        </w:tc>
        <w:tc>
          <w:tcPr>
            <w:tcW w:w="2126" w:type="dxa"/>
          </w:tcPr>
          <w:p w14:paraId="232922A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15</w:t>
            </w:r>
          </w:p>
        </w:tc>
        <w:tc>
          <w:tcPr>
            <w:tcW w:w="2126" w:type="dxa"/>
          </w:tcPr>
          <w:p w14:paraId="7C237FB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21</w:t>
            </w:r>
          </w:p>
        </w:tc>
        <w:tc>
          <w:tcPr>
            <w:tcW w:w="1701" w:type="dxa"/>
          </w:tcPr>
          <w:p w14:paraId="78E872E6"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5F3B6D8C" w14:textId="77777777">
        <w:trPr>
          <w:trHeight w:val="147"/>
        </w:trPr>
        <w:tc>
          <w:tcPr>
            <w:tcW w:w="3061" w:type="dxa"/>
          </w:tcPr>
          <w:p w14:paraId="206459BA"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26 </w:t>
            </w:r>
          </w:p>
        </w:tc>
        <w:tc>
          <w:tcPr>
            <w:tcW w:w="2126" w:type="dxa"/>
          </w:tcPr>
          <w:p w14:paraId="44D2E5B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46,7% </w:t>
            </w:r>
          </w:p>
        </w:tc>
        <w:tc>
          <w:tcPr>
            <w:tcW w:w="2126" w:type="dxa"/>
          </w:tcPr>
          <w:p w14:paraId="69C3CA0A"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38,1% </w:t>
            </w:r>
          </w:p>
        </w:tc>
        <w:tc>
          <w:tcPr>
            <w:tcW w:w="1701" w:type="dxa"/>
          </w:tcPr>
          <w:p w14:paraId="172AC7B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0,608 </w:t>
            </w:r>
          </w:p>
        </w:tc>
      </w:tr>
      <w:tr w:rsidR="00C04CAD" w14:paraId="576AC00E" w14:textId="77777777">
        <w:trPr>
          <w:trHeight w:val="147"/>
        </w:trPr>
        <w:tc>
          <w:tcPr>
            <w:tcW w:w="3061" w:type="dxa"/>
          </w:tcPr>
          <w:p w14:paraId="05E6800F"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76CB7E03"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40% </w:t>
            </w:r>
          </w:p>
        </w:tc>
        <w:tc>
          <w:tcPr>
            <w:tcW w:w="2126" w:type="dxa"/>
          </w:tcPr>
          <w:p w14:paraId="77AE2CA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23,8% </w:t>
            </w:r>
          </w:p>
        </w:tc>
        <w:tc>
          <w:tcPr>
            <w:tcW w:w="1701" w:type="dxa"/>
          </w:tcPr>
          <w:p w14:paraId="6FF2F9EC"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0,303 </w:t>
            </w:r>
          </w:p>
        </w:tc>
      </w:tr>
    </w:tbl>
    <w:p w14:paraId="3556B386" w14:textId="77777777" w:rsidR="00C04CAD" w:rsidRDefault="00060E34">
      <w:pPr>
        <w:tabs>
          <w:tab w:val="clear" w:pos="567"/>
        </w:tabs>
        <w:autoSpaceDE w:val="0"/>
        <w:autoSpaceDN w:val="0"/>
        <w:adjustRightInd w:val="0"/>
        <w:spacing w:line="240" w:lineRule="auto"/>
        <w:rPr>
          <w:rFonts w:eastAsia="PMingLiU"/>
          <w:color w:val="000000"/>
          <w:sz w:val="20"/>
          <w:lang w:eastAsia="en-GB" w:bidi="ar-SA"/>
        </w:rPr>
      </w:pPr>
      <w:r>
        <w:rPr>
          <w:rFonts w:eastAsia="PMingLiU"/>
          <w:color w:val="000000"/>
          <w:sz w:val="20"/>
          <w:vertAlign w:val="superscript"/>
          <w:lang w:eastAsia="en-GB" w:bidi="ar-SA"/>
        </w:rPr>
        <w:t>1</w:t>
      </w:r>
      <w:r>
        <w:rPr>
          <w:rFonts w:eastAsia="PMingLiU"/>
          <w:color w:val="000000"/>
          <w:sz w:val="20"/>
          <w:lang w:eastAsia="en-GB" w:bidi="ar-SA"/>
        </w:rPr>
        <w:t>valoarea p pentru comparaţia doză standard versus doză redusă.</w:t>
      </w:r>
    </w:p>
    <w:p w14:paraId="5A31FEBC" w14:textId="77777777" w:rsidR="00C04CAD" w:rsidRDefault="00060E34">
      <w:pPr>
        <w:tabs>
          <w:tab w:val="clear" w:pos="567"/>
        </w:tabs>
        <w:autoSpaceDE w:val="0"/>
        <w:autoSpaceDN w:val="0"/>
        <w:adjustRightInd w:val="0"/>
        <w:spacing w:line="240" w:lineRule="auto"/>
        <w:rPr>
          <w:rFonts w:eastAsia="PMingLiU"/>
          <w:color w:val="000000"/>
          <w:sz w:val="20"/>
          <w:lang w:eastAsia="en-GB" w:bidi="ar-SA"/>
        </w:rPr>
      </w:pPr>
      <w:r>
        <w:rPr>
          <w:rFonts w:eastAsia="PMingLiU"/>
          <w:color w:val="000000"/>
          <w:sz w:val="20"/>
          <w:vertAlign w:val="superscript"/>
          <w:lang w:eastAsia="en-GB" w:bidi="ar-SA"/>
        </w:rPr>
        <w:t>2</w:t>
      </w:r>
      <w:r>
        <w:rPr>
          <w:rFonts w:eastAsia="PMingLiU"/>
          <w:color w:val="000000"/>
          <w:sz w:val="20"/>
          <w:lang w:eastAsia="en-GB" w:bidi="ar-SA"/>
        </w:rPr>
        <w:t>Tratamentul cu medicamente imunosupresante trebuie întrerupt în sau după Săptămâna 26, numai la recomandarea investigatorului dacă pacientul a întrunit criteriile de răspuns clinic.</w:t>
      </w:r>
    </w:p>
    <w:p w14:paraId="4B065115" w14:textId="77777777" w:rsidR="00C04CAD" w:rsidRDefault="00060E34">
      <w:pPr>
        <w:spacing w:line="240" w:lineRule="auto"/>
        <w:rPr>
          <w:rFonts w:eastAsia="PMingLiU"/>
          <w:sz w:val="20"/>
          <w:lang w:eastAsia="en-US" w:bidi="ar-SA"/>
        </w:rPr>
      </w:pPr>
      <w:r>
        <w:rPr>
          <w:rFonts w:eastAsia="PMingLiU"/>
          <w:color w:val="000000"/>
          <w:sz w:val="20"/>
          <w:vertAlign w:val="superscript"/>
          <w:lang w:eastAsia="en-GB" w:bidi="ar-SA"/>
        </w:rPr>
        <w:t>3</w:t>
      </w:r>
      <w:r>
        <w:rPr>
          <w:rFonts w:eastAsia="PMingLiU"/>
          <w:color w:val="000000"/>
          <w:sz w:val="20"/>
          <w:lang w:eastAsia="en-GB" w:bidi="ar-SA"/>
        </w:rPr>
        <w:t>definit ca închidere a tuturor fistulelor care au fost drenate la momentul iniţial la cel puţin 2 vizite consecutive post-iniţiale</w:t>
      </w:r>
    </w:p>
    <w:p w14:paraId="4C6163DA" w14:textId="77777777" w:rsidR="00C04CAD" w:rsidRDefault="00C04CAD">
      <w:pPr>
        <w:spacing w:line="240" w:lineRule="auto"/>
        <w:rPr>
          <w:rFonts w:eastAsia="PMingLiU"/>
          <w:szCs w:val="22"/>
          <w:lang w:eastAsia="en-US" w:bidi="ar-SA"/>
        </w:rPr>
      </w:pPr>
    </w:p>
    <w:p w14:paraId="4F407823"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Creşteri semnificative statistic (ameliorare) faţă de valorile iniţiale în săptămâna 26 şi 52 ale Indicelui de Masă Corporală şi vitezei de creştere în înălţime au fost observate la ambele grupuri de tratament. </w:t>
      </w:r>
    </w:p>
    <w:p w14:paraId="774DBDA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C72129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Ameliorări statistice şi clinice semnificative faţă de valorile iniţiale au fost de asemenea observate în ambele grupuri de tratament pentru parametrii calităţii vieţii (inclusiv IMPACT III).</w:t>
      </w:r>
    </w:p>
    <w:p w14:paraId="3F41654F"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AD851CE"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O sută de pacienţi (n=100) din studiul BC la copii şi adolescenţi au continuat într-un studiu deschis de extensie pe termen lung. După 5 ani de tratament cu adalimumab, 74,0% (37/50) din 50 pacienţi rămaşi în studiu au continuat să fie în remisie clinică şi 92,0% (46/50) din pacienţi au continuat să aibă un răspuns clinic conform IABC. </w:t>
      </w:r>
    </w:p>
    <w:p w14:paraId="67C717F6"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BEF272F"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Colita ulcerativă la copii și adolescenți </w:t>
      </w:r>
    </w:p>
    <w:p w14:paraId="00BF28B8"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4089CAE0"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Siguranța și eficacitatea adalimumabului au fost evaluate într-un studiu multicentric, randomizat, dublu-orb, la 93 de pacienți copii și adolescenți cu vârsta cuprinsă între 5 și 17 ani cu colită ulcerativă moderată până la severă (scor Mayo de 6 până la 12 cu subscor endoscopic de 2 până la 3 puncte, confirmat prin endoscopie citită central), care nu au avut un răspuns adecvat sau care au prezentat intoleranță la tratamentul convențional. Aproximativ 16% dintre pacienții din studiu nu au răspuns la tratamentul anti-TNF anterior. Pacienților cărora li s-au administrat corticosteroizi la înscriere li s-a permis să reducă tratamentul cu corticosteroizi după săptămâna 4.</w:t>
      </w:r>
    </w:p>
    <w:p w14:paraId="0138B76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7E119B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În perioada de inducție a studiului, 77 de pacienți au fost randomizați în raport de 3:2 pentru a primi tratament cu adalimumab în regim dublu-orb la o doză de inducție de 2,4 mg/kg (maximum 160 mg) în săptămâna 0 și săptămâna 1 și de 1,2 mg/kg (maximum 80 mg) în săptămâna 2; sau o doză de inducție de 2,4 mg/kg (maximum 160 mg) în săptămâna 0, placebo în săptămâna 1, și de 1,2 mg/kg (maximum 80 mg) în săptămâna 2. Ambele grupuri au primit 0,6 mg/kg (maximum 40 mg) în săptămâna 4 și săptămâna 6. După o modificare a designului studiului, ceilalți 16 pacienți care s-au înscris în perioada de inducție au primit tratament în regim deschis cu adalimumab la o doză de inducție de 2,4 mg/kg (maximum 160 mg) în săptămâna 0 și săptămâna 1 și de 1,2 mg/kg (maximum 80 mg) în săptămâna 2.</w:t>
      </w:r>
    </w:p>
    <w:p w14:paraId="11A5B618"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D475F8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săptămâna 8, 62 de pacienți care au avut un răspuns clinic conform scorului parțial Mayo (PMS; definit ca o scădere a PMS ≥ 2 puncte și ≥ 30% față de valoarea inițială) au fost randomizați în mod egal pentru a primi tratament de întreținere în regim dublu-orb cu adalimumab la o doză de 0,6 mg/kg (maximum 40 mg) în fiecare săptămână sau o doză de întreținere de 0,6 mg/kg (maximum 40 mg) la două săptămâni. Înainte de modificarea designului studiului, încă 12 pacienți care au avut un răspuns clinic conform PMS au fost randomizați pentru a primi placebo, dar nu au fost incluși în analiza de confirmare a eficacității. </w:t>
      </w:r>
    </w:p>
    <w:p w14:paraId="5629A433"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68D1BA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Reactivarea bolii a fost definită ca o creștere a PMS de cel puțin 3 puncte (la pacienții cu PMS de 0 până la 2 în Săptămâna 8), de cel puțin 2 puncte (la pacienții cu PMS de 3 până la 4 în Săptămâna 8) sau de cel puțin 1 punct (la pacienții cu PMS de 5 până la 6 în Săptămâna 8).</w:t>
      </w:r>
    </w:p>
    <w:p w14:paraId="3E6AE1C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564A91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au îndeplinit criteriile pentru reactivarea bolii în sau după săptămâna 12 au fost randomizați pentru a primi o doză de re-inducție de 2,4 mg/kg (maximum 160 mg) sau o doză de 0,6 mg/kg (maximum 40 mg) și au continuat să primească ulterior doza de întreținere respectivă.</w:t>
      </w:r>
    </w:p>
    <w:p w14:paraId="21B8E09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C8C7132" w14:textId="77777777" w:rsidR="00C04CAD" w:rsidRDefault="00060E34">
      <w:pPr>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Rezultatele privind eficacitatea</w:t>
      </w:r>
    </w:p>
    <w:p w14:paraId="42DF666D"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F694695"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Criteriile finale primare colective de evaluare ale studiului au fost remisia clinică conform PMS (definită ca PMS ≤ 2 și niciun subscor individual &gt; 1) în săptămâna 8 și remisia clinică conform FMS (scorul complet Mayo) (definită ca un scor Mayo ≤ 2 și niciun subscor individual &gt; 1) în săptămâna 52 la pacienții care au obținut un răspuns clinic conform PMS în săptămâna 8.</w:t>
      </w:r>
    </w:p>
    <w:p w14:paraId="54C5739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5EFF07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MS Mincho"/>
          <w:color w:val="000000"/>
          <w:szCs w:val="22"/>
          <w:lang w:eastAsia="ja-JP" w:bidi="ar-SA"/>
        </w:rPr>
        <w:t>Ratele de remisie clinică conform PMS în săptămâna 8 pentru pacienții din fiecare grup cu doză de inducție de adalimumab în regim dublu-orb sunt prezentate în tabelul 31.</w:t>
      </w:r>
    </w:p>
    <w:p w14:paraId="50E92786"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1B9E2A28" w14:textId="77777777" w:rsidR="00C04CAD" w:rsidRDefault="00060E34">
      <w:pPr>
        <w:keepNext/>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 xml:space="preserve">Tabelul 31. </w:t>
      </w:r>
      <w:r>
        <w:rPr>
          <w:b/>
          <w:bCs/>
          <w:szCs w:val="22"/>
        </w:rPr>
        <w:t>Remisia clinică conform PMS la 8 săptămâni</w:t>
      </w:r>
    </w:p>
    <w:p w14:paraId="1DC3F848" w14:textId="77777777" w:rsidR="00C04CAD" w:rsidRDefault="00C04CAD">
      <w:pPr>
        <w:keepNext/>
        <w:tabs>
          <w:tab w:val="clear" w:pos="567"/>
        </w:tabs>
        <w:autoSpaceDE w:val="0"/>
        <w:autoSpaceDN w:val="0"/>
        <w:adjustRightInd w:val="0"/>
        <w:spacing w:line="240" w:lineRule="auto"/>
        <w:rPr>
          <w:rFonts w:eastAsia="PMingLiU"/>
          <w:i/>
          <w:iCs/>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C04CAD" w14:paraId="0DEE5B8A" w14:textId="77777777">
        <w:trPr>
          <w:cantSplit/>
        </w:trPr>
        <w:tc>
          <w:tcPr>
            <w:tcW w:w="2912" w:type="dxa"/>
          </w:tcPr>
          <w:p w14:paraId="02189B08"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05003037" w14:textId="77777777" w:rsidR="00C04CAD" w:rsidRDefault="00060E34">
            <w:pPr>
              <w:pStyle w:val="Default"/>
              <w:tabs>
                <w:tab w:val="left" w:pos="567"/>
              </w:tabs>
              <w:jc w:val="center"/>
              <w:rPr>
                <w:sz w:val="22"/>
                <w:szCs w:val="22"/>
                <w:lang w:val="ro-RO"/>
              </w:rPr>
            </w:pPr>
            <w:r>
              <w:rPr>
                <w:b/>
                <w:bCs/>
                <w:sz w:val="22"/>
                <w:szCs w:val="22"/>
                <w:lang w:val="ro-RO"/>
              </w:rPr>
              <w:t>Adalimumab</w:t>
            </w:r>
            <w:r>
              <w:rPr>
                <w:b/>
                <w:bCs/>
                <w:sz w:val="22"/>
                <w:szCs w:val="22"/>
                <w:vertAlign w:val="superscript"/>
                <w:lang w:val="ro-RO"/>
              </w:rPr>
              <w:t>a</w:t>
            </w:r>
          </w:p>
          <w:p w14:paraId="73466B32" w14:textId="77777777" w:rsidR="00C04CAD" w:rsidRDefault="00060E34">
            <w:pPr>
              <w:pStyle w:val="Default"/>
              <w:tabs>
                <w:tab w:val="left" w:pos="567"/>
              </w:tabs>
              <w:jc w:val="center"/>
              <w:rPr>
                <w:sz w:val="22"/>
                <w:szCs w:val="22"/>
                <w:lang w:val="ro-RO"/>
              </w:rPr>
            </w:pPr>
            <w:r>
              <w:rPr>
                <w:b/>
                <w:bCs/>
                <w:sz w:val="22"/>
                <w:szCs w:val="22"/>
                <w:lang w:val="ro-RO"/>
              </w:rPr>
              <w:t>Maximum 160 mg în săptămâna 0/Placebo în Săptămâna 1</w:t>
            </w:r>
          </w:p>
          <w:p w14:paraId="6F8B5D5B"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N=30</w:t>
            </w:r>
          </w:p>
        </w:tc>
        <w:tc>
          <w:tcPr>
            <w:tcW w:w="3021" w:type="dxa"/>
          </w:tcPr>
          <w:p w14:paraId="508954E2" w14:textId="77777777" w:rsidR="00C04CAD" w:rsidRDefault="00060E34">
            <w:pPr>
              <w:pStyle w:val="Default"/>
              <w:jc w:val="center"/>
              <w:rPr>
                <w:sz w:val="14"/>
                <w:szCs w:val="14"/>
                <w:lang w:val="ro-RO"/>
              </w:rPr>
            </w:pPr>
            <w:r>
              <w:rPr>
                <w:b/>
                <w:bCs/>
                <w:sz w:val="22"/>
                <w:szCs w:val="22"/>
                <w:lang w:val="ro-RO"/>
              </w:rPr>
              <w:t>Adalimumab</w:t>
            </w:r>
            <w:r>
              <w:rPr>
                <w:b/>
                <w:bCs/>
                <w:sz w:val="22"/>
                <w:szCs w:val="22"/>
                <w:vertAlign w:val="superscript"/>
                <w:lang w:val="ro-RO"/>
              </w:rPr>
              <w:t>b, c</w:t>
            </w:r>
          </w:p>
          <w:p w14:paraId="3F8A4070" w14:textId="77777777" w:rsidR="00C04CAD" w:rsidRDefault="00060E34">
            <w:pPr>
              <w:pStyle w:val="Default"/>
              <w:jc w:val="center"/>
              <w:rPr>
                <w:sz w:val="22"/>
                <w:szCs w:val="22"/>
                <w:lang w:val="ro-RO"/>
              </w:rPr>
            </w:pPr>
            <w:r>
              <w:rPr>
                <w:b/>
                <w:bCs/>
                <w:sz w:val="22"/>
                <w:szCs w:val="22"/>
                <w:lang w:val="ro-RO"/>
              </w:rPr>
              <w:t>Maximum 160 mg în săptămâna 0 și săptămâna 1</w:t>
            </w:r>
          </w:p>
          <w:p w14:paraId="35D6D677"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N=47</w:t>
            </w:r>
          </w:p>
        </w:tc>
      </w:tr>
      <w:tr w:rsidR="00C04CAD" w14:paraId="3A18BC0D" w14:textId="77777777">
        <w:tc>
          <w:tcPr>
            <w:tcW w:w="2912" w:type="dxa"/>
          </w:tcPr>
          <w:p w14:paraId="0C3A7B7A"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Remisie clinică </w:t>
            </w:r>
          </w:p>
        </w:tc>
        <w:tc>
          <w:tcPr>
            <w:tcW w:w="3020" w:type="dxa"/>
          </w:tcPr>
          <w:p w14:paraId="3A9FAF98"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13/30 (43,3%) </w:t>
            </w:r>
          </w:p>
        </w:tc>
        <w:tc>
          <w:tcPr>
            <w:tcW w:w="3021" w:type="dxa"/>
          </w:tcPr>
          <w:p w14:paraId="1B201D82"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28/47 (59,6%) </w:t>
            </w:r>
          </w:p>
        </w:tc>
      </w:tr>
      <w:tr w:rsidR="00C04CAD" w14:paraId="30B6C1C9" w14:textId="77777777">
        <w:tc>
          <w:tcPr>
            <w:tcW w:w="8953" w:type="dxa"/>
            <w:gridSpan w:val="3"/>
          </w:tcPr>
          <w:p w14:paraId="61F2FE8F"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 xml:space="preserve">a </w:t>
            </w:r>
            <w:r>
              <w:rPr>
                <w:rFonts w:eastAsia="PMingLiU"/>
                <w:sz w:val="20"/>
                <w:lang w:eastAsia="en-GB" w:bidi="ar-SA"/>
              </w:rPr>
              <w:t>A</w:t>
            </w:r>
            <w:r>
              <w:rPr>
                <w:rFonts w:eastAsia="PMingLiU"/>
                <w:color w:val="000000"/>
                <w:sz w:val="20"/>
                <w:lang w:eastAsia="en-GB" w:bidi="ar-SA"/>
              </w:rPr>
              <w:t>dalimumab</w:t>
            </w:r>
            <w:r>
              <w:rPr>
                <w:rFonts w:eastAsia="PMingLiU"/>
                <w:sz w:val="20"/>
                <w:lang w:eastAsia="en-GB" w:bidi="ar-SA"/>
              </w:rPr>
              <w:t xml:space="preserve"> 2.4 mg/kg (maximum 160 mg) în săptămâna 0, placebo în săptămâna 1 și 1,2 mg/kg (maximum 80 mg) în săptămâna 2</w:t>
            </w:r>
          </w:p>
          <w:p w14:paraId="421CAADC"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 mg/kg (maximum 160 mg) în săptămâna 0 și săptămâna 1 și 1,2 mg/kg (maximum 80 mg) în săptămâna 2</w:t>
            </w:r>
          </w:p>
          <w:p w14:paraId="60D39DE0"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Fără a include doza de inducție în regim deschis de adalimumab de 2,4 mg/kg (maximum 160 mg) în săptămâna 0 și săptămâna 1 și de 1,2 mg/kg (maximum 80 mg) în săptămâna 2</w:t>
            </w:r>
          </w:p>
          <w:p w14:paraId="315C800E"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1: ambele grupuri cu doză de inducție au primit 0,6 mg/kg (maximum 40 mg) în săptămâna 4 și săptămâna 6</w:t>
            </w:r>
          </w:p>
          <w:p w14:paraId="44A95F38" w14:textId="77777777" w:rsidR="00C04CAD" w:rsidRDefault="00060E34">
            <w:pPr>
              <w:tabs>
                <w:tab w:val="clear" w:pos="567"/>
              </w:tabs>
              <w:autoSpaceDE w:val="0"/>
              <w:autoSpaceDN w:val="0"/>
              <w:adjustRightInd w:val="0"/>
              <w:spacing w:line="240" w:lineRule="auto"/>
              <w:rPr>
                <w:szCs w:val="22"/>
              </w:rPr>
            </w:pPr>
            <w:r>
              <w:rPr>
                <w:rFonts w:eastAsia="PMingLiU"/>
                <w:sz w:val="20"/>
                <w:lang w:eastAsia="en-GB" w:bidi="ar-SA"/>
              </w:rPr>
              <w:t>Nota 2: s-a considerat că pacienții cu valori lipsă în săptămâna 8 nu au îndeplinit criteriul final de evaluare</w:t>
            </w:r>
          </w:p>
        </w:tc>
      </w:tr>
    </w:tbl>
    <w:p w14:paraId="6E34F8B5"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01363CE8" w14:textId="77777777" w:rsidR="00C04CAD" w:rsidRDefault="00060E34">
      <w:pPr>
        <w:tabs>
          <w:tab w:val="clear" w:pos="567"/>
        </w:tabs>
        <w:autoSpaceDE w:val="0"/>
        <w:autoSpaceDN w:val="0"/>
        <w:adjustRightInd w:val="0"/>
        <w:spacing w:line="240" w:lineRule="auto"/>
        <w:rPr>
          <w:rFonts w:eastAsia="PMingLiU"/>
          <w:i/>
          <w:iCs/>
          <w:szCs w:val="22"/>
          <w:lang w:eastAsia="en-GB" w:bidi="ar-SA"/>
        </w:rPr>
      </w:pPr>
      <w:r>
        <w:rPr>
          <w:rFonts w:eastAsia="PMingLiU"/>
          <w:szCs w:val="22"/>
          <w:lang w:eastAsia="en-GB" w:bidi="ar-SA"/>
        </w:rPr>
        <w:t>În Săptămâna 52, remisia clinică conform FMS la pacienții care au avut un răspuns în săptămâna 8, răspunsul clinic conform FMS (definit ca o scădere a scorului Mayo ≥ 3 puncte și ≥ 30% față de valoarea inițială) la pacienții care au avut un răspuns în Săptămâna 8, vindecarea mucoasei conform FMS (definită ca un scor endoscopic Mayo ≤ 1) la pacienții care au avut un răspuns în săptămâna 8, remisia clinică conform FMS la pacienții în remisie în săptămâna 8 și proporția subiecților în remisie fără corticosteroizi conform FMS la pacienții care au avut un răspuns în săptămâna 8 au fost evaluate la pacienții care au primit doze de întreținere de adalimumab în regim dublu-orb de maximum 40 mg la două săptămâni (0,6 mg/kg) și de maximum 40 mg în fiecare săptămână (0,6 mg/kg) (tabelul 32).</w:t>
      </w:r>
    </w:p>
    <w:p w14:paraId="18CB3B38" w14:textId="77777777" w:rsidR="00C04CAD" w:rsidRDefault="00C04CAD">
      <w:pPr>
        <w:tabs>
          <w:tab w:val="clear" w:pos="567"/>
        </w:tabs>
        <w:autoSpaceDE w:val="0"/>
        <w:autoSpaceDN w:val="0"/>
        <w:adjustRightInd w:val="0"/>
        <w:spacing w:line="240" w:lineRule="auto"/>
        <w:rPr>
          <w:rFonts w:eastAsia="PMingLiU"/>
          <w:i/>
          <w:iCs/>
          <w:szCs w:val="22"/>
          <w:lang w:eastAsia="en-GB" w:bidi="ar-SA"/>
        </w:rPr>
      </w:pPr>
    </w:p>
    <w:p w14:paraId="47AB89E5" w14:textId="77777777" w:rsidR="00C04CAD" w:rsidRDefault="00060E34">
      <w:pPr>
        <w:keepNext/>
        <w:keepLines/>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Tabelul 32. Rezultatele privind eficacitatea la 52 de săptămâni</w:t>
      </w:r>
    </w:p>
    <w:p w14:paraId="1AD5DE2A" w14:textId="77777777" w:rsidR="00C04CAD" w:rsidRDefault="00C04CAD">
      <w:pPr>
        <w:keepNext/>
        <w:keepLines/>
        <w:tabs>
          <w:tab w:val="clear" w:pos="567"/>
        </w:tabs>
        <w:autoSpaceDE w:val="0"/>
        <w:autoSpaceDN w:val="0"/>
        <w:adjustRightInd w:val="0"/>
        <w:spacing w:line="240" w:lineRule="auto"/>
        <w:rPr>
          <w:rFonts w:eastAsia="PMingLiU"/>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13"/>
        <w:gridCol w:w="3021"/>
      </w:tblGrid>
      <w:tr w:rsidR="00C04CAD" w14:paraId="4B6E0CEA" w14:textId="77777777">
        <w:trPr>
          <w:tblHeader/>
        </w:trPr>
        <w:tc>
          <w:tcPr>
            <w:tcW w:w="3119" w:type="dxa"/>
          </w:tcPr>
          <w:p w14:paraId="19B8A376" w14:textId="77777777" w:rsidR="00C04CAD" w:rsidRDefault="00C04CAD">
            <w:pPr>
              <w:keepNext/>
              <w:keepLines/>
              <w:tabs>
                <w:tab w:val="clear" w:pos="567"/>
              </w:tabs>
              <w:autoSpaceDE w:val="0"/>
              <w:autoSpaceDN w:val="0"/>
              <w:adjustRightInd w:val="0"/>
              <w:spacing w:line="240" w:lineRule="auto"/>
              <w:rPr>
                <w:rFonts w:eastAsia="PMingLiU"/>
                <w:szCs w:val="22"/>
                <w:lang w:eastAsia="en-GB" w:bidi="ar-SA"/>
              </w:rPr>
            </w:pPr>
          </w:p>
        </w:tc>
        <w:tc>
          <w:tcPr>
            <w:tcW w:w="2813" w:type="dxa"/>
          </w:tcPr>
          <w:p w14:paraId="5B63B42A"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a</w:t>
            </w:r>
          </w:p>
          <w:p w14:paraId="1B03A858" w14:textId="77777777" w:rsidR="00C04CAD" w:rsidRDefault="00060E34">
            <w:pPr>
              <w:keepNext/>
              <w:keepLines/>
              <w:tabs>
                <w:tab w:val="clear" w:pos="567"/>
              </w:tabs>
              <w:autoSpaceDE w:val="0"/>
              <w:autoSpaceDN w:val="0"/>
              <w:adjustRightInd w:val="0"/>
              <w:spacing w:line="240" w:lineRule="auto"/>
              <w:jc w:val="center"/>
              <w:rPr>
                <w:szCs w:val="22"/>
              </w:rPr>
            </w:pPr>
            <w:r>
              <w:rPr>
                <w:rFonts w:eastAsia="PMingLiU"/>
                <w:b/>
                <w:bCs/>
                <w:szCs w:val="22"/>
                <w:lang w:eastAsia="en-GB" w:bidi="ar-SA"/>
              </w:rPr>
              <w:t xml:space="preserve">Maximum of 40 mg </w:t>
            </w:r>
            <w:r>
              <w:rPr>
                <w:b/>
                <w:bCs/>
                <w:szCs w:val="22"/>
              </w:rPr>
              <w:t xml:space="preserve">la două săptămâni </w:t>
            </w:r>
          </w:p>
          <w:p w14:paraId="765DFFD2"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N=31</w:t>
            </w:r>
          </w:p>
        </w:tc>
        <w:tc>
          <w:tcPr>
            <w:tcW w:w="3021" w:type="dxa"/>
          </w:tcPr>
          <w:p w14:paraId="0F2C22EA"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Adalimumab</w:t>
            </w:r>
            <w:r>
              <w:rPr>
                <w:rFonts w:eastAsia="PMingLiU"/>
                <w:b/>
                <w:bCs/>
                <w:szCs w:val="22"/>
                <w:vertAlign w:val="superscript"/>
                <w:lang w:eastAsia="en-GB" w:bidi="ar-SA"/>
              </w:rPr>
              <w:t>b</w:t>
            </w:r>
          </w:p>
          <w:p w14:paraId="2B4415CB"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of 40 mg în fiecare săptămână</w:t>
            </w:r>
          </w:p>
          <w:p w14:paraId="6E04DBB8"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N=31</w:t>
            </w:r>
          </w:p>
        </w:tc>
      </w:tr>
      <w:tr w:rsidR="00C04CAD" w14:paraId="229000A5" w14:textId="77777777">
        <w:tc>
          <w:tcPr>
            <w:tcW w:w="3119" w:type="dxa"/>
          </w:tcPr>
          <w:p w14:paraId="57F25C93" w14:textId="77777777" w:rsidR="00C04CAD" w:rsidRDefault="00060E34">
            <w:pPr>
              <w:keepNext/>
              <w:keepLines/>
              <w:tabs>
                <w:tab w:val="clear" w:pos="567"/>
              </w:tabs>
              <w:autoSpaceDE w:val="0"/>
              <w:autoSpaceDN w:val="0"/>
              <w:adjustRightInd w:val="0"/>
              <w:spacing w:line="240" w:lineRule="auto"/>
              <w:rPr>
                <w:rFonts w:eastAsia="PMingLiU"/>
                <w:szCs w:val="22"/>
                <w:lang w:eastAsia="en-GB" w:bidi="ar-SA"/>
              </w:rPr>
            </w:pPr>
            <w:r>
              <w:rPr>
                <w:szCs w:val="22"/>
              </w:rPr>
              <w:t xml:space="preserve">Remisie clinică la pacienţii care au avut un răspuns conform PMS în săptămâna 8 </w:t>
            </w:r>
          </w:p>
        </w:tc>
        <w:tc>
          <w:tcPr>
            <w:tcW w:w="2813" w:type="dxa"/>
          </w:tcPr>
          <w:p w14:paraId="07D65F01"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9/31 (29,0%) </w:t>
            </w:r>
          </w:p>
        </w:tc>
        <w:tc>
          <w:tcPr>
            <w:tcW w:w="3021" w:type="dxa"/>
          </w:tcPr>
          <w:p w14:paraId="4607568C"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14/31 (45,2%) </w:t>
            </w:r>
          </w:p>
        </w:tc>
      </w:tr>
      <w:tr w:rsidR="00C04CAD" w14:paraId="09EED7FC" w14:textId="77777777">
        <w:tc>
          <w:tcPr>
            <w:tcW w:w="3119" w:type="dxa"/>
          </w:tcPr>
          <w:p w14:paraId="09756DDF"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clinic la pacienții care au avut un răspuns conform PMS în săptămâna 8 </w:t>
            </w:r>
          </w:p>
        </w:tc>
        <w:tc>
          <w:tcPr>
            <w:tcW w:w="2813" w:type="dxa"/>
          </w:tcPr>
          <w:p w14:paraId="7904B2C4"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19/31 (61,3%) </w:t>
            </w:r>
          </w:p>
        </w:tc>
        <w:tc>
          <w:tcPr>
            <w:tcW w:w="3021" w:type="dxa"/>
          </w:tcPr>
          <w:p w14:paraId="444AF03B"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21/31 (67,7%) </w:t>
            </w:r>
          </w:p>
        </w:tc>
      </w:tr>
      <w:tr w:rsidR="00C04CAD" w14:paraId="7ED51116" w14:textId="77777777">
        <w:tc>
          <w:tcPr>
            <w:tcW w:w="3119" w:type="dxa"/>
          </w:tcPr>
          <w:p w14:paraId="2AE09C24"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Vindecarea mucoasei la pacienții care au avut un răspuns conform PMS în săptămâna 8 </w:t>
            </w:r>
          </w:p>
        </w:tc>
        <w:tc>
          <w:tcPr>
            <w:tcW w:w="2813" w:type="dxa"/>
          </w:tcPr>
          <w:p w14:paraId="05D2D06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12/31 (38,7%) </w:t>
            </w:r>
          </w:p>
        </w:tc>
        <w:tc>
          <w:tcPr>
            <w:tcW w:w="3021" w:type="dxa"/>
          </w:tcPr>
          <w:p w14:paraId="039178D4"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16/31 (51,6%) </w:t>
            </w:r>
          </w:p>
        </w:tc>
      </w:tr>
      <w:tr w:rsidR="00C04CAD" w14:paraId="163D0673" w14:textId="77777777">
        <w:tc>
          <w:tcPr>
            <w:tcW w:w="3119" w:type="dxa"/>
          </w:tcPr>
          <w:p w14:paraId="4EFD826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Remisie clinică la pacienții în remisie conform PMS în săptămâna 8 </w:t>
            </w:r>
          </w:p>
        </w:tc>
        <w:tc>
          <w:tcPr>
            <w:tcW w:w="2813" w:type="dxa"/>
          </w:tcPr>
          <w:p w14:paraId="6E80D513"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9/21 (42,9%) </w:t>
            </w:r>
          </w:p>
        </w:tc>
        <w:tc>
          <w:tcPr>
            <w:tcW w:w="3021" w:type="dxa"/>
          </w:tcPr>
          <w:p w14:paraId="5F7B3F6C"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10/22 (45,5%) </w:t>
            </w:r>
          </w:p>
        </w:tc>
      </w:tr>
      <w:tr w:rsidR="00C04CAD" w14:paraId="3C14D119" w14:textId="77777777">
        <w:tc>
          <w:tcPr>
            <w:tcW w:w="3119" w:type="dxa"/>
          </w:tcPr>
          <w:p w14:paraId="3E2D390D" w14:textId="77777777" w:rsidR="00C04CAD" w:rsidRDefault="00060E34">
            <w:pPr>
              <w:keepNext/>
              <w:keepLines/>
              <w:tabs>
                <w:tab w:val="clear" w:pos="567"/>
              </w:tabs>
              <w:autoSpaceDE w:val="0"/>
              <w:autoSpaceDN w:val="0"/>
              <w:adjustRightInd w:val="0"/>
              <w:spacing w:line="240" w:lineRule="auto"/>
              <w:rPr>
                <w:rFonts w:eastAsia="PMingLiU"/>
                <w:szCs w:val="22"/>
                <w:lang w:eastAsia="en-GB" w:bidi="ar-SA"/>
              </w:rPr>
            </w:pPr>
            <w:r>
              <w:rPr>
                <w:szCs w:val="22"/>
              </w:rPr>
              <w:t>Remisie fără corticosteroizi la pacienții care au avut un răspuns conform PMS în săptămâna 8</w:t>
            </w:r>
            <w:r>
              <w:rPr>
                <w:szCs w:val="22"/>
                <w:vertAlign w:val="superscript"/>
              </w:rPr>
              <w:t>c</w:t>
            </w:r>
          </w:p>
        </w:tc>
        <w:tc>
          <w:tcPr>
            <w:tcW w:w="2813" w:type="dxa"/>
          </w:tcPr>
          <w:p w14:paraId="67F2884E"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4/13 (30,8%) </w:t>
            </w:r>
          </w:p>
        </w:tc>
        <w:tc>
          <w:tcPr>
            <w:tcW w:w="3021" w:type="dxa"/>
          </w:tcPr>
          <w:p w14:paraId="5E63F758"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5/16 (31,3%) </w:t>
            </w:r>
          </w:p>
        </w:tc>
      </w:tr>
      <w:tr w:rsidR="00C04CAD" w14:paraId="7253094B" w14:textId="77777777">
        <w:tc>
          <w:tcPr>
            <w:tcW w:w="8953" w:type="dxa"/>
            <w:gridSpan w:val="3"/>
          </w:tcPr>
          <w:p w14:paraId="05A675AA"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a</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 mg/kg (maximum 40 mg) la două săptămâni</w:t>
            </w:r>
          </w:p>
          <w:p w14:paraId="5DFCBC78"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 mg/kg (maximum 40 mg) în fiecare săptămână</w:t>
            </w:r>
          </w:p>
          <w:p w14:paraId="43D72CE6"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La pacienții cărora li s-au administrat concomitent corticosteroizi la momentul inițial</w:t>
            </w:r>
          </w:p>
          <w:p w14:paraId="30E23D36" w14:textId="77777777" w:rsidR="00C04CAD" w:rsidRDefault="00060E34">
            <w:pPr>
              <w:keepNext/>
              <w:keepLines/>
              <w:tabs>
                <w:tab w:val="clear" w:pos="567"/>
              </w:tabs>
              <w:autoSpaceDE w:val="0"/>
              <w:autoSpaceDN w:val="0"/>
              <w:adjustRightInd w:val="0"/>
              <w:spacing w:line="240" w:lineRule="auto"/>
              <w:rPr>
                <w:szCs w:val="22"/>
              </w:rPr>
            </w:pPr>
            <w:r>
              <w:rPr>
                <w:rFonts w:eastAsia="PMingLiU"/>
                <w:sz w:val="20"/>
                <w:lang w:eastAsia="en-GB" w:bidi="ar-SA"/>
              </w:rPr>
              <w:t>Notă: s-a considerat că pacienții cu valori lipsă în săptămâna 52 sau care au fost randomizați pentru a primi tratament de re-inducție sau de întreținere nu au avut un răspuns conform criteriilor finale de evaluare pentru săptămâna 52</w:t>
            </w:r>
          </w:p>
        </w:tc>
      </w:tr>
    </w:tbl>
    <w:p w14:paraId="769889CA"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54EAFAD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Criteriile de evaluare exploratorie suplimentare privind eficacitatea au inclus răspunsul clinic conform Indexului de activitate al colitei ulcerative la copii și adolescenți (PUCAI) (definit ca o scădere a PUCAI ≥ 20 de puncte față de valoarea inițială) și remisia clinică conform PUCAI (definită ca PUCAI &lt; 10) în săptămâna 8 și săptămâna 52 (tabelul 33).</w:t>
      </w:r>
    </w:p>
    <w:p w14:paraId="55A64965" w14:textId="77777777" w:rsidR="00C04CAD" w:rsidRDefault="00C04CAD">
      <w:pPr>
        <w:tabs>
          <w:tab w:val="clear" w:pos="567"/>
        </w:tabs>
        <w:autoSpaceDE w:val="0"/>
        <w:autoSpaceDN w:val="0"/>
        <w:adjustRightInd w:val="0"/>
        <w:spacing w:line="240" w:lineRule="auto"/>
        <w:rPr>
          <w:rFonts w:eastAsia="PMingLiU"/>
          <w:b/>
          <w:bCs/>
          <w:szCs w:val="22"/>
          <w:lang w:eastAsia="en-GB" w:bidi="ar-SA"/>
        </w:rPr>
      </w:pPr>
    </w:p>
    <w:p w14:paraId="675A9D7A" w14:textId="77777777" w:rsidR="00C04CAD" w:rsidRDefault="00060E34">
      <w:pPr>
        <w:keepNext/>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Tabelul 33. Rezultatele privind criteriile de evaluare exploratorie conform PUCAI</w:t>
      </w:r>
    </w:p>
    <w:p w14:paraId="1A583FD8"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C04CAD" w14:paraId="48AF935D" w14:textId="77777777">
        <w:tc>
          <w:tcPr>
            <w:tcW w:w="2912" w:type="dxa"/>
          </w:tcPr>
          <w:p w14:paraId="4695F1DF"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6041" w:type="dxa"/>
            <w:gridSpan w:val="2"/>
          </w:tcPr>
          <w:p w14:paraId="016CDEE4"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8</w:t>
            </w:r>
          </w:p>
        </w:tc>
      </w:tr>
      <w:tr w:rsidR="00C04CAD" w14:paraId="6E5CD221" w14:textId="77777777">
        <w:tc>
          <w:tcPr>
            <w:tcW w:w="2912" w:type="dxa"/>
          </w:tcPr>
          <w:p w14:paraId="12B53C04"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4DCC339A"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a</w:t>
            </w:r>
          </w:p>
          <w:p w14:paraId="2DE48618"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160 mg în</w:t>
            </w:r>
          </w:p>
          <w:p w14:paraId="32F916D1"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0 / Placebo în săptămâna 1</w:t>
            </w:r>
          </w:p>
          <w:p w14:paraId="18ED3070"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N=30</w:t>
            </w:r>
          </w:p>
        </w:tc>
        <w:tc>
          <w:tcPr>
            <w:tcW w:w="3021" w:type="dxa"/>
          </w:tcPr>
          <w:p w14:paraId="5E67EA5D" w14:textId="77777777" w:rsidR="00C04CAD" w:rsidRDefault="00060E34">
            <w:pPr>
              <w:keepNext/>
              <w:tabs>
                <w:tab w:val="clear" w:pos="567"/>
              </w:tabs>
              <w:autoSpaceDE w:val="0"/>
              <w:autoSpaceDN w:val="0"/>
              <w:adjustRightInd w:val="0"/>
              <w:spacing w:line="240" w:lineRule="auto"/>
              <w:jc w:val="center"/>
              <w:rPr>
                <w:rFonts w:eastAsia="PMingLiU"/>
                <w:b/>
                <w:bCs/>
                <w:szCs w:val="22"/>
                <w:vertAlign w:val="superscript"/>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b,c</w:t>
            </w:r>
          </w:p>
          <w:p w14:paraId="5396DC08"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160 mg în</w:t>
            </w:r>
          </w:p>
          <w:p w14:paraId="5D840E79"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0 și săptămâna 1</w:t>
            </w:r>
          </w:p>
          <w:p w14:paraId="2E2C238E"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N=47</w:t>
            </w:r>
          </w:p>
        </w:tc>
      </w:tr>
      <w:tr w:rsidR="00C04CAD" w14:paraId="411DE36B" w14:textId="77777777">
        <w:tc>
          <w:tcPr>
            <w:tcW w:w="2912" w:type="dxa"/>
          </w:tcPr>
          <w:p w14:paraId="79F62A21"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Remisie clinică conform PUCAI </w:t>
            </w:r>
          </w:p>
        </w:tc>
        <w:tc>
          <w:tcPr>
            <w:tcW w:w="3020" w:type="dxa"/>
          </w:tcPr>
          <w:p w14:paraId="73BB34CA"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10/30 (33,3%) </w:t>
            </w:r>
          </w:p>
        </w:tc>
        <w:tc>
          <w:tcPr>
            <w:tcW w:w="3021" w:type="dxa"/>
          </w:tcPr>
          <w:p w14:paraId="6FE50C83"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22/47 (46,8%) </w:t>
            </w:r>
          </w:p>
        </w:tc>
      </w:tr>
      <w:tr w:rsidR="00C04CAD" w14:paraId="67F15CBE" w14:textId="77777777">
        <w:tc>
          <w:tcPr>
            <w:tcW w:w="2912" w:type="dxa"/>
          </w:tcPr>
          <w:p w14:paraId="32AA5404"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clinic conform PUCAI </w:t>
            </w:r>
          </w:p>
        </w:tc>
        <w:tc>
          <w:tcPr>
            <w:tcW w:w="3020" w:type="dxa"/>
          </w:tcPr>
          <w:p w14:paraId="4B65F69E"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15/30 (50,0%) </w:t>
            </w:r>
          </w:p>
        </w:tc>
        <w:tc>
          <w:tcPr>
            <w:tcW w:w="3021" w:type="dxa"/>
          </w:tcPr>
          <w:p w14:paraId="21B2EB1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32/47 (68,1%) </w:t>
            </w:r>
          </w:p>
        </w:tc>
      </w:tr>
      <w:tr w:rsidR="00C04CAD" w14:paraId="20BE9F48" w14:textId="77777777">
        <w:tc>
          <w:tcPr>
            <w:tcW w:w="2912" w:type="dxa"/>
          </w:tcPr>
          <w:p w14:paraId="317FD63E"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6041" w:type="dxa"/>
            <w:gridSpan w:val="2"/>
          </w:tcPr>
          <w:p w14:paraId="104ACD9C"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b/>
                <w:bCs/>
                <w:szCs w:val="22"/>
                <w:lang w:eastAsia="en-IN" w:bidi="ar-SA"/>
              </w:rPr>
              <w:t>Săptămâna 52</w:t>
            </w:r>
          </w:p>
        </w:tc>
      </w:tr>
      <w:tr w:rsidR="00C04CAD" w14:paraId="17E11B5C" w14:textId="77777777">
        <w:tc>
          <w:tcPr>
            <w:tcW w:w="2912" w:type="dxa"/>
          </w:tcPr>
          <w:p w14:paraId="4BF15D2E"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05908741"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d</w:t>
            </w:r>
          </w:p>
          <w:p w14:paraId="14A17E6A"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 xml:space="preserve">Maximum 40 mg </w:t>
            </w:r>
          </w:p>
          <w:p w14:paraId="127B6C05" w14:textId="77777777" w:rsidR="00C04CAD" w:rsidRDefault="00060E34">
            <w:pPr>
              <w:pStyle w:val="Default"/>
              <w:keepNext/>
              <w:jc w:val="center"/>
              <w:rPr>
                <w:sz w:val="22"/>
                <w:szCs w:val="22"/>
                <w:lang w:val="ro-RO"/>
              </w:rPr>
            </w:pPr>
            <w:r>
              <w:rPr>
                <w:b/>
                <w:bCs/>
                <w:sz w:val="22"/>
                <w:szCs w:val="22"/>
                <w:lang w:val="ro-RO"/>
              </w:rPr>
              <w:t xml:space="preserve">la două săptămâni </w:t>
            </w:r>
          </w:p>
          <w:p w14:paraId="23EBC88C"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N=31</w:t>
            </w:r>
          </w:p>
        </w:tc>
        <w:tc>
          <w:tcPr>
            <w:tcW w:w="3021" w:type="dxa"/>
          </w:tcPr>
          <w:p w14:paraId="27795656"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e</w:t>
            </w:r>
          </w:p>
          <w:p w14:paraId="74F1F2E9"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40 mg în fiecare săptămână</w:t>
            </w:r>
          </w:p>
          <w:p w14:paraId="0100D467"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N=31</w:t>
            </w:r>
          </w:p>
        </w:tc>
      </w:tr>
      <w:tr w:rsidR="00C04CAD" w14:paraId="1F622216" w14:textId="77777777">
        <w:tc>
          <w:tcPr>
            <w:tcW w:w="2912" w:type="dxa"/>
          </w:tcPr>
          <w:p w14:paraId="31E344C8"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Remisie clinică conform PUCAI la pacienții care au avut un răspuns conform PMS în săptămâna 8 </w:t>
            </w:r>
          </w:p>
        </w:tc>
        <w:tc>
          <w:tcPr>
            <w:tcW w:w="3020" w:type="dxa"/>
          </w:tcPr>
          <w:p w14:paraId="76D28003"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14/31 (45,2%) </w:t>
            </w:r>
          </w:p>
        </w:tc>
        <w:tc>
          <w:tcPr>
            <w:tcW w:w="3021" w:type="dxa"/>
          </w:tcPr>
          <w:p w14:paraId="0485E300"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18/31 (58,1%) </w:t>
            </w:r>
          </w:p>
        </w:tc>
      </w:tr>
      <w:tr w:rsidR="00C04CAD" w14:paraId="5471D8F9" w14:textId="77777777">
        <w:tc>
          <w:tcPr>
            <w:tcW w:w="2912" w:type="dxa"/>
          </w:tcPr>
          <w:p w14:paraId="12C26A7B"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Răspuns clinic conform PUCAI la pacienții care au avut un răspuns conform PMS în săptămâna 8 </w:t>
            </w:r>
          </w:p>
        </w:tc>
        <w:tc>
          <w:tcPr>
            <w:tcW w:w="3020" w:type="dxa"/>
          </w:tcPr>
          <w:p w14:paraId="477BA4E9"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18/31 (58,1%) </w:t>
            </w:r>
          </w:p>
        </w:tc>
        <w:tc>
          <w:tcPr>
            <w:tcW w:w="3021" w:type="dxa"/>
          </w:tcPr>
          <w:p w14:paraId="6D724945"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16/31 (51,6%) </w:t>
            </w:r>
          </w:p>
        </w:tc>
      </w:tr>
      <w:tr w:rsidR="00C04CAD" w14:paraId="3179480C" w14:textId="77777777">
        <w:tc>
          <w:tcPr>
            <w:tcW w:w="8953" w:type="dxa"/>
            <w:gridSpan w:val="3"/>
          </w:tcPr>
          <w:p w14:paraId="2E9D9A81"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a</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w:t>
            </w:r>
            <w:r>
              <w:rPr>
                <w:rFonts w:eastAsia="PMingLiU"/>
                <w:szCs w:val="22"/>
                <w:lang w:eastAsia="en-GB" w:bidi="ar-SA"/>
              </w:rPr>
              <w:t> </w:t>
            </w:r>
            <w:r>
              <w:rPr>
                <w:rFonts w:eastAsia="PMingLiU"/>
                <w:sz w:val="20"/>
                <w:lang w:eastAsia="en-GB" w:bidi="ar-SA"/>
              </w:rPr>
              <w:t>mg/kg (maximum 160</w:t>
            </w:r>
            <w:r>
              <w:rPr>
                <w:rFonts w:eastAsia="PMingLiU"/>
                <w:szCs w:val="22"/>
                <w:lang w:eastAsia="en-GB" w:bidi="ar-SA"/>
              </w:rPr>
              <w:t> </w:t>
            </w:r>
            <w:r>
              <w:rPr>
                <w:rFonts w:eastAsia="PMingLiU"/>
                <w:sz w:val="20"/>
                <w:lang w:eastAsia="en-GB" w:bidi="ar-SA"/>
              </w:rPr>
              <w:t>mg) în săptămâna 0, placebo în săptămâna 1 și 1,2 mg/kg (maximum 80 mg) în săptămâna 2</w:t>
            </w:r>
          </w:p>
          <w:p w14:paraId="6F3D1CBB"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w:t>
            </w:r>
            <w:r>
              <w:rPr>
                <w:rFonts w:eastAsia="PMingLiU"/>
                <w:szCs w:val="22"/>
                <w:lang w:eastAsia="en-GB" w:bidi="ar-SA"/>
              </w:rPr>
              <w:t> </w:t>
            </w:r>
            <w:r>
              <w:rPr>
                <w:rFonts w:eastAsia="PMingLiU"/>
                <w:sz w:val="20"/>
                <w:lang w:eastAsia="en-GB" w:bidi="ar-SA"/>
              </w:rPr>
              <w:t>mg/kg (maximum 160</w:t>
            </w:r>
            <w:r>
              <w:rPr>
                <w:rFonts w:eastAsia="PMingLiU"/>
                <w:szCs w:val="22"/>
                <w:lang w:eastAsia="en-GB" w:bidi="ar-SA"/>
              </w:rPr>
              <w:t> </w:t>
            </w:r>
            <w:r>
              <w:rPr>
                <w:rFonts w:eastAsia="PMingLiU"/>
                <w:sz w:val="20"/>
                <w:lang w:eastAsia="en-GB" w:bidi="ar-SA"/>
              </w:rPr>
              <w:t>mg) în săptămâna 0 și săptămâna 1 și 1,2 mg/kg (maximum 80 mg) în săptămâna 2</w:t>
            </w:r>
          </w:p>
          <w:p w14:paraId="168411EB"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Fără a include doza de inducție în regim deschis de adalimumab de 2,4 mg/kg (maximum 160 mg) în săptămâna 0 și săptămâna 1 și de 1,2 mg/kg (maximum 80 mg) în săptămâna 2</w:t>
            </w:r>
          </w:p>
          <w:p w14:paraId="63B03212"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d</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w:t>
            </w:r>
            <w:r>
              <w:rPr>
                <w:rFonts w:eastAsia="PMingLiU"/>
                <w:szCs w:val="22"/>
                <w:lang w:eastAsia="en-GB" w:bidi="ar-SA"/>
              </w:rPr>
              <w:t> </w:t>
            </w:r>
            <w:r>
              <w:rPr>
                <w:rFonts w:eastAsia="PMingLiU"/>
                <w:sz w:val="20"/>
                <w:lang w:eastAsia="en-GB" w:bidi="ar-SA"/>
              </w:rPr>
              <w:t>mg/kg (maximum 40</w:t>
            </w:r>
            <w:r>
              <w:rPr>
                <w:rFonts w:eastAsia="PMingLiU"/>
                <w:szCs w:val="22"/>
                <w:lang w:eastAsia="en-GB" w:bidi="ar-SA"/>
              </w:rPr>
              <w:t> </w:t>
            </w:r>
            <w:r>
              <w:rPr>
                <w:rFonts w:eastAsia="PMingLiU"/>
                <w:sz w:val="20"/>
                <w:lang w:eastAsia="en-GB" w:bidi="ar-SA"/>
              </w:rPr>
              <w:t>mg) la două săptămâni</w:t>
            </w:r>
          </w:p>
          <w:p w14:paraId="797DC43D"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e</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w:t>
            </w:r>
            <w:r>
              <w:rPr>
                <w:rFonts w:eastAsia="PMingLiU"/>
                <w:szCs w:val="22"/>
                <w:lang w:eastAsia="en-GB" w:bidi="ar-SA"/>
              </w:rPr>
              <w:t> </w:t>
            </w:r>
            <w:r>
              <w:rPr>
                <w:rFonts w:eastAsia="PMingLiU"/>
                <w:sz w:val="20"/>
                <w:lang w:eastAsia="en-GB" w:bidi="ar-SA"/>
              </w:rPr>
              <w:t>mg/kg (maximum 40</w:t>
            </w:r>
            <w:r>
              <w:rPr>
                <w:rFonts w:eastAsia="PMingLiU"/>
                <w:szCs w:val="22"/>
                <w:lang w:eastAsia="en-GB" w:bidi="ar-SA"/>
              </w:rPr>
              <w:t> </w:t>
            </w:r>
            <w:r>
              <w:rPr>
                <w:rFonts w:eastAsia="PMingLiU"/>
                <w:sz w:val="20"/>
                <w:lang w:eastAsia="en-GB" w:bidi="ar-SA"/>
              </w:rPr>
              <w:t>mg) în fiecare săptămână</w:t>
            </w:r>
          </w:p>
          <w:p w14:paraId="68DE40FC" w14:textId="77777777" w:rsidR="00C04CAD" w:rsidRDefault="00060E34">
            <w:pPr>
              <w:keepNext/>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1: ambele grupuri cu doză de inducție au primit 0,6 mg/kg (maximum 40 mg) în săptămâna 4 și săptămâna 6</w:t>
            </w:r>
          </w:p>
          <w:p w14:paraId="316FE1E2" w14:textId="77777777" w:rsidR="00C04CAD" w:rsidRDefault="00060E34">
            <w:pPr>
              <w:keepNext/>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2: s-a considerat că pacienții cu valori lipsă în săptămâna 8 nu au îndeplinit criteriile finale de evaluare</w:t>
            </w:r>
          </w:p>
          <w:p w14:paraId="2C3968E1" w14:textId="77777777" w:rsidR="00C04CAD" w:rsidRDefault="00060E34">
            <w:pPr>
              <w:tabs>
                <w:tab w:val="clear" w:pos="567"/>
              </w:tabs>
              <w:autoSpaceDE w:val="0"/>
              <w:autoSpaceDN w:val="0"/>
              <w:adjustRightInd w:val="0"/>
              <w:spacing w:line="240" w:lineRule="auto"/>
              <w:rPr>
                <w:szCs w:val="22"/>
              </w:rPr>
            </w:pPr>
            <w:r>
              <w:rPr>
                <w:rFonts w:eastAsia="PMingLiU"/>
                <w:sz w:val="20"/>
                <w:lang w:eastAsia="en-GB" w:bidi="ar-SA"/>
              </w:rPr>
              <w:t>Nota 3: s-a considerat că pacienții cu valori lipsă în săptămâna 52 sau care au fost randomizați pentru a primi tratament de re-inducție sau de întreținere nu au avut un răspuns conform criteriilor finale de evaluare pentru săptămâna 52</w:t>
            </w:r>
          </w:p>
        </w:tc>
      </w:tr>
    </w:tbl>
    <w:p w14:paraId="14CDB2B4"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324D5BAA"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PMingLiU"/>
          <w:szCs w:val="22"/>
          <w:lang w:eastAsia="en-GB" w:bidi="ar-SA"/>
        </w:rPr>
        <w:t>Dintre pacienții tratați cu adalimumab care au primit tratament de re-inducție în timpul perioadei de întreținere, 2/6 (33%) au obținut un răspuns clinic conform FMS în săptămâna 52.</w:t>
      </w:r>
    </w:p>
    <w:p w14:paraId="5CC24C0B"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24EC202F"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Calitatea vieții </w:t>
      </w:r>
    </w:p>
    <w:p w14:paraId="119B6AEB"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261638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S-au observat ameliorări semnificative din punct de vedere clinic față de valoarea inițială pentru IMPACT III și pentru scorurile WPAI (Scăderea productivității muncii și limitarea activităților) la grupurile tratate cu adalimumab.</w:t>
      </w:r>
    </w:p>
    <w:p w14:paraId="3D35228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A7AEDD0"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S-au observat creșteri (ameliorări) semnificative din punct de vedere clinic față de valoarea inițială ale vitezei de creștere în înălțime la grupurile tratate cu adalimumab și creșteri (ameliorări) semnificative din punct de vedere clinic față de valoarea inițială ale indicelui de masă corporală la subiecții cărora li s-a administrat o doză mare de întreținere de maximum 40 mg (0,6 mg/kg) în fiecare săptămână.</w:t>
      </w:r>
    </w:p>
    <w:p w14:paraId="19020AB3"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E612919" w14:textId="77777777" w:rsidR="00C04CAD" w:rsidRDefault="00060E34">
      <w:pPr>
        <w:keepNext/>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Uveită la copii</w:t>
      </w:r>
    </w:p>
    <w:p w14:paraId="7072AD7F"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7A76E66E"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Siguranța și eficacitatea adalimumabului au fost evaluate într-un studiu controlat, dublu orb, randomizat, la 90 pacienți copii cu vârsta de la 2 până la &lt; 18 ani cu AJI activă asociată cu uveită anterioară noninfecțioasă care nu au răspuns la tratamentul cu metotrexat timp de cel puțin 12 săptămâni. Pacienții au primit fie placebo, fie adalimumab 20 mg (dacă aveau &lt; 30 kg) sau adalimumab 40 mg (dacă aveau ≥ 30 kg) la două săptămâni asociat cu doza lor inițială de metotrexat.</w:t>
      </w:r>
    </w:p>
    <w:p w14:paraId="3E730F8F"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F28B5B1"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Obiectivul primar a fost „timpul până la apariția eșecului la tratament”. Criteriile care au caracterizat eșecul la tratament au fost agravarea sau non-ameliorarea susținută a inflamației oculare, ameliorarea parțială cu dezvoltarea de comorbidități oculare susținute sau agravarea comorbidităților oculare, utilizarea neautorizată a medicamentelor concomitente și oprirea tratamentului pe o perioadă lungă de timp.</w:t>
      </w:r>
    </w:p>
    <w:p w14:paraId="37CF31D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2B836EA"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Răspuns clinic </w:t>
      </w:r>
    </w:p>
    <w:p w14:paraId="101F63C3" w14:textId="77777777" w:rsidR="00C04CAD" w:rsidRDefault="00C04CAD">
      <w:pPr>
        <w:keepNext/>
        <w:tabs>
          <w:tab w:val="clear" w:pos="567"/>
        </w:tabs>
        <w:spacing w:line="240" w:lineRule="auto"/>
        <w:rPr>
          <w:rFonts w:eastAsia="MS Mincho"/>
          <w:color w:val="000000"/>
          <w:szCs w:val="22"/>
          <w:lang w:eastAsia="ja-JP" w:bidi="ar-SA"/>
        </w:rPr>
      </w:pPr>
    </w:p>
    <w:p w14:paraId="1F42DE86" w14:textId="77777777" w:rsidR="00C04CAD" w:rsidRDefault="00060E34">
      <w:pPr>
        <w:tabs>
          <w:tab w:val="clear" w:pos="567"/>
        </w:tabs>
        <w:spacing w:line="240" w:lineRule="auto"/>
        <w:rPr>
          <w:rFonts w:eastAsia="PMingLiU"/>
          <w:bCs/>
          <w:lang w:eastAsia="en-US" w:bidi="ar-SA"/>
        </w:rPr>
      </w:pPr>
      <w:r>
        <w:rPr>
          <w:rFonts w:eastAsia="MS Mincho"/>
          <w:color w:val="000000"/>
          <w:szCs w:val="22"/>
          <w:lang w:eastAsia="ja-JP" w:bidi="ar-SA"/>
        </w:rPr>
        <w:t>Adalimumabul a întârziat semnificativ timpul până la apariția eșecului la tratament comparativ cu placebo (vezi figura 3, p &lt; 0,0001 din testul de tip log rank). Timpul median până la apariția eșecului la tratament a fost de 24,1 săptămâni pentru subiecții tratați cu placebo, în timp ce la subiecții tratați cu adalimumab, timpul median până la apariția eșecului la tratament nu a putut fi estimat deoarece mai puțin de jumătate dintre acești subiecți au prezentat eșec la tratament. Adalimumabul a scăzut semnificativ riscul de eșec la tratament, cu 75% față de placebo, după cum este demonstrat de rata de risc (SR = 0,25 [IÎ 95%: 0,12; 0,49]).</w:t>
      </w:r>
    </w:p>
    <w:p w14:paraId="635F745F" w14:textId="77777777" w:rsidR="00C04CAD" w:rsidRDefault="00C04CAD">
      <w:pPr>
        <w:tabs>
          <w:tab w:val="clear" w:pos="567"/>
        </w:tabs>
        <w:spacing w:line="240" w:lineRule="auto"/>
        <w:rPr>
          <w:rFonts w:eastAsia="PMingLiU"/>
          <w:bCs/>
          <w:lang w:eastAsia="en-US" w:bidi="ar-SA"/>
        </w:rPr>
      </w:pPr>
    </w:p>
    <w:p w14:paraId="60005B78" w14:textId="77777777" w:rsidR="00C04CAD" w:rsidRDefault="00060E34">
      <w:pPr>
        <w:keepNext/>
        <w:tabs>
          <w:tab w:val="clear" w:pos="567"/>
        </w:tabs>
        <w:spacing w:line="240" w:lineRule="auto"/>
        <w:rPr>
          <w:rFonts w:eastAsia="PMingLiU"/>
          <w:szCs w:val="22"/>
          <w:lang w:eastAsia="en-US" w:bidi="ar-SA"/>
        </w:rPr>
      </w:pPr>
      <w:r>
        <w:rPr>
          <w:rFonts w:eastAsia="PMingLiU"/>
          <w:b/>
          <w:szCs w:val="22"/>
          <w:lang w:eastAsia="en-US" w:bidi="ar-SA"/>
        </w:rPr>
        <w:t>Figura 3. Curbele Kaplan-Meier sumarizând timpul până la eșec la tratament în studiul privind uveita la copii</w:t>
      </w:r>
    </w:p>
    <w:p w14:paraId="08C1E735" w14:textId="77777777" w:rsidR="00C04CAD" w:rsidRDefault="00C04CAD">
      <w:pPr>
        <w:keepNext/>
        <w:tabs>
          <w:tab w:val="clear" w:pos="567"/>
        </w:tabs>
        <w:autoSpaceDE w:val="0"/>
        <w:autoSpaceDN w:val="0"/>
        <w:adjustRightInd w:val="0"/>
        <w:spacing w:line="240" w:lineRule="auto"/>
        <w:rPr>
          <w:rFonts w:eastAsia="PMingLiU"/>
          <w:b/>
          <w:szCs w:val="22"/>
          <w:lang w:eastAsia="en-US" w:bidi="ar-SA"/>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C04CAD" w14:paraId="71F20145" w14:textId="77777777">
        <w:trPr>
          <w:cantSplit/>
          <w:trHeight w:val="3806"/>
        </w:trPr>
        <w:tc>
          <w:tcPr>
            <w:tcW w:w="468" w:type="dxa"/>
            <w:textDirection w:val="btLr"/>
            <w:vAlign w:val="bottom"/>
          </w:tcPr>
          <w:p w14:paraId="11CFA337" w14:textId="77777777" w:rsidR="00C04CAD" w:rsidRDefault="00060E34">
            <w:pPr>
              <w:keepNext/>
              <w:suppressAutoHyphens/>
              <w:spacing w:line="240" w:lineRule="auto"/>
              <w:ind w:left="113" w:right="113"/>
              <w:jc w:val="center"/>
              <w:rPr>
                <w:b/>
                <w:szCs w:val="22"/>
                <w:lang w:eastAsia="en-US" w:bidi="ar-SA"/>
              </w:rPr>
            </w:pPr>
            <w:r>
              <w:rPr>
                <w:b/>
                <w:szCs w:val="22"/>
                <w:lang w:eastAsia="en-US" w:bidi="ar-SA"/>
              </w:rPr>
              <w:t>PROBABILITATEA DE EŞEC LA TRATAMENT</w:t>
            </w:r>
          </w:p>
        </w:tc>
        <w:tc>
          <w:tcPr>
            <w:tcW w:w="8820" w:type="dxa"/>
            <w:gridSpan w:val="5"/>
            <w:vAlign w:val="bottom"/>
          </w:tcPr>
          <w:p w14:paraId="65B528FB" w14:textId="77777777" w:rsidR="00C04CAD" w:rsidRDefault="00060E34">
            <w:pPr>
              <w:keepNext/>
              <w:suppressAutoHyphens/>
              <w:spacing w:line="240" w:lineRule="auto"/>
              <w:rPr>
                <w:szCs w:val="22"/>
                <w:lang w:eastAsia="en-US" w:bidi="ar-SA"/>
              </w:rPr>
            </w:pPr>
            <w:r>
              <w:rPr>
                <w:noProof/>
                <w:szCs w:val="22"/>
                <w:lang w:val="en-US" w:eastAsia="zh-CN" w:bidi="ar-SA"/>
              </w:rPr>
              <w:drawing>
                <wp:inline distT="0" distB="0" distL="0" distR="0" wp14:anchorId="74285773" wp14:editId="4AAFBA35">
                  <wp:extent cx="5486400" cy="4572000"/>
                  <wp:effectExtent l="0" t="0" r="0" b="0"/>
                  <wp:docPr id="8" name="Picture 61"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1" descr="Humira PED UV KM Curve REVISED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C04CAD" w14:paraId="7C074CDF" w14:textId="77777777">
        <w:tc>
          <w:tcPr>
            <w:tcW w:w="468" w:type="dxa"/>
          </w:tcPr>
          <w:p w14:paraId="6C2796F8" w14:textId="77777777" w:rsidR="00C04CAD" w:rsidRDefault="00C04CAD">
            <w:pPr>
              <w:keepNext/>
              <w:suppressAutoHyphens/>
              <w:spacing w:line="240" w:lineRule="auto"/>
              <w:rPr>
                <w:szCs w:val="22"/>
                <w:lang w:eastAsia="en-US" w:bidi="ar-SA"/>
              </w:rPr>
            </w:pPr>
          </w:p>
        </w:tc>
        <w:tc>
          <w:tcPr>
            <w:tcW w:w="8820" w:type="dxa"/>
            <w:gridSpan w:val="5"/>
          </w:tcPr>
          <w:p w14:paraId="45D79F4E" w14:textId="77777777" w:rsidR="00C04CAD" w:rsidRDefault="00060E34">
            <w:pPr>
              <w:keepNext/>
              <w:suppressAutoHyphens/>
              <w:spacing w:line="240" w:lineRule="auto"/>
              <w:jc w:val="center"/>
              <w:rPr>
                <w:b/>
                <w:szCs w:val="22"/>
                <w:lang w:eastAsia="en-US" w:bidi="ar-SA"/>
              </w:rPr>
            </w:pPr>
            <w:r>
              <w:rPr>
                <w:b/>
                <w:szCs w:val="22"/>
                <w:lang w:eastAsia="en-US" w:bidi="ar-SA"/>
              </w:rPr>
              <w:t>TIMP (SĂPTĂMÂNI)</w:t>
            </w:r>
          </w:p>
        </w:tc>
      </w:tr>
      <w:tr w:rsidR="00C04CAD" w14:paraId="77683737" w14:textId="77777777">
        <w:tc>
          <w:tcPr>
            <w:tcW w:w="468" w:type="dxa"/>
          </w:tcPr>
          <w:p w14:paraId="3F1D098A" w14:textId="77777777" w:rsidR="00C04CAD" w:rsidRDefault="00C04CAD">
            <w:pPr>
              <w:keepNext/>
              <w:suppressAutoHyphens/>
              <w:spacing w:line="240" w:lineRule="auto"/>
              <w:rPr>
                <w:szCs w:val="22"/>
                <w:lang w:eastAsia="en-US" w:bidi="ar-SA"/>
              </w:rPr>
            </w:pPr>
          </w:p>
        </w:tc>
        <w:tc>
          <w:tcPr>
            <w:tcW w:w="3510" w:type="dxa"/>
          </w:tcPr>
          <w:p w14:paraId="5803B6CB" w14:textId="77777777" w:rsidR="00C04CAD" w:rsidRDefault="00060E34">
            <w:pPr>
              <w:keepNext/>
              <w:suppressAutoHyphens/>
              <w:spacing w:line="240" w:lineRule="auto"/>
              <w:rPr>
                <w:szCs w:val="22"/>
                <w:lang w:eastAsia="en-US" w:bidi="ar-SA"/>
              </w:rPr>
            </w:pPr>
            <w:r>
              <w:rPr>
                <w:szCs w:val="22"/>
                <w:lang w:eastAsia="en-US" w:bidi="ar-SA"/>
              </w:rPr>
              <w:t>Tratament</w:t>
            </w:r>
          </w:p>
        </w:tc>
        <w:tc>
          <w:tcPr>
            <w:tcW w:w="1170" w:type="dxa"/>
            <w:vAlign w:val="bottom"/>
          </w:tcPr>
          <w:p w14:paraId="21886469" w14:textId="77777777" w:rsidR="00C04CAD" w:rsidRDefault="00060E34">
            <w:pPr>
              <w:keepNext/>
              <w:suppressAutoHyphens/>
              <w:spacing w:line="240" w:lineRule="auto"/>
              <w:jc w:val="center"/>
              <w:rPr>
                <w:szCs w:val="22"/>
                <w:lang w:eastAsia="en-US" w:bidi="ar-SA"/>
              </w:rPr>
            </w:pPr>
            <w:r>
              <w:rPr>
                <w:noProof/>
                <w:szCs w:val="22"/>
                <w:lang w:val="en-US" w:eastAsia="zh-CN" w:bidi="ar-SA"/>
              </w:rPr>
              <w:drawing>
                <wp:inline distT="0" distB="0" distL="0" distR="0" wp14:anchorId="52875E97" wp14:editId="2E44B0CE">
                  <wp:extent cx="467360" cy="187325"/>
                  <wp:effectExtent l="0" t="0" r="0" b="0"/>
                  <wp:docPr id="9" name="Picture 6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0"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67360" cy="187325"/>
                          </a:xfrm>
                          <a:prstGeom prst="rect">
                            <a:avLst/>
                          </a:prstGeom>
                          <a:noFill/>
                          <a:ln>
                            <a:noFill/>
                          </a:ln>
                        </pic:spPr>
                      </pic:pic>
                    </a:graphicData>
                  </a:graphic>
                </wp:inline>
              </w:drawing>
            </w:r>
          </w:p>
        </w:tc>
        <w:tc>
          <w:tcPr>
            <w:tcW w:w="1350" w:type="dxa"/>
          </w:tcPr>
          <w:p w14:paraId="0880E1BF" w14:textId="77777777" w:rsidR="00C04CAD" w:rsidRDefault="00060E34">
            <w:pPr>
              <w:keepNext/>
              <w:suppressAutoHyphens/>
              <w:spacing w:line="240" w:lineRule="auto"/>
              <w:rPr>
                <w:szCs w:val="22"/>
                <w:lang w:eastAsia="en-US" w:bidi="ar-SA"/>
              </w:rPr>
            </w:pPr>
            <w:r>
              <w:rPr>
                <w:szCs w:val="22"/>
                <w:lang w:eastAsia="en-US" w:bidi="ar-SA"/>
              </w:rPr>
              <w:t>Placebo</w:t>
            </w:r>
          </w:p>
        </w:tc>
        <w:tc>
          <w:tcPr>
            <w:tcW w:w="900" w:type="dxa"/>
            <w:vAlign w:val="center"/>
          </w:tcPr>
          <w:p w14:paraId="53610872" w14:textId="77777777" w:rsidR="00C04CAD" w:rsidRDefault="00060E34">
            <w:pPr>
              <w:keepNext/>
              <w:suppressAutoHyphens/>
              <w:spacing w:line="240" w:lineRule="auto"/>
              <w:rPr>
                <w:szCs w:val="22"/>
                <w:lang w:eastAsia="en-US" w:bidi="ar-SA"/>
              </w:rPr>
            </w:pPr>
            <w:r>
              <w:rPr>
                <w:noProof/>
                <w:szCs w:val="22"/>
                <w:lang w:val="en-US" w:eastAsia="zh-CN" w:bidi="ar-SA"/>
              </w:rPr>
              <w:drawing>
                <wp:inline distT="0" distB="0" distL="0" distR="0" wp14:anchorId="1C3FA289" wp14:editId="504B1120">
                  <wp:extent cx="447040" cy="73025"/>
                  <wp:effectExtent l="0" t="0" r="0" b="0"/>
                  <wp:docPr id="10" name="Picture 5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9" descr="Humira PED UV KM Curv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47040" cy="73025"/>
                          </a:xfrm>
                          <a:prstGeom prst="rect">
                            <a:avLst/>
                          </a:prstGeom>
                          <a:noFill/>
                          <a:ln>
                            <a:noFill/>
                          </a:ln>
                        </pic:spPr>
                      </pic:pic>
                    </a:graphicData>
                  </a:graphic>
                </wp:inline>
              </w:drawing>
            </w:r>
          </w:p>
        </w:tc>
        <w:tc>
          <w:tcPr>
            <w:tcW w:w="1890" w:type="dxa"/>
          </w:tcPr>
          <w:p w14:paraId="4C8DCFC3" w14:textId="77777777" w:rsidR="00C04CAD" w:rsidRDefault="00060E34">
            <w:pPr>
              <w:keepNext/>
              <w:suppressAutoHyphens/>
              <w:spacing w:line="240" w:lineRule="auto"/>
              <w:rPr>
                <w:szCs w:val="22"/>
                <w:lang w:eastAsia="en-US" w:bidi="ar-SA"/>
              </w:rPr>
            </w:pPr>
            <w:r>
              <w:rPr>
                <w:szCs w:val="22"/>
                <w:lang w:eastAsia="en-US" w:bidi="ar-SA"/>
              </w:rPr>
              <w:t>Adalimumab</w:t>
            </w:r>
          </w:p>
        </w:tc>
      </w:tr>
      <w:tr w:rsidR="00C04CAD" w14:paraId="3B8AF0D0" w14:textId="77777777">
        <w:tc>
          <w:tcPr>
            <w:tcW w:w="468" w:type="dxa"/>
          </w:tcPr>
          <w:p w14:paraId="741B2ED7" w14:textId="77777777" w:rsidR="00C04CAD" w:rsidRDefault="00C04CAD">
            <w:pPr>
              <w:suppressAutoHyphens/>
              <w:spacing w:line="240" w:lineRule="auto"/>
              <w:rPr>
                <w:szCs w:val="22"/>
                <w:lang w:eastAsia="en-US" w:bidi="ar-SA"/>
              </w:rPr>
            </w:pPr>
          </w:p>
        </w:tc>
        <w:tc>
          <w:tcPr>
            <w:tcW w:w="8820" w:type="dxa"/>
            <w:gridSpan w:val="5"/>
          </w:tcPr>
          <w:p w14:paraId="51E0E3AB" w14:textId="77777777" w:rsidR="00C04CAD" w:rsidRDefault="00060E34">
            <w:pPr>
              <w:suppressAutoHyphens/>
              <w:spacing w:line="240" w:lineRule="auto"/>
              <w:rPr>
                <w:szCs w:val="22"/>
                <w:lang w:eastAsia="en-US" w:bidi="ar-SA"/>
              </w:rPr>
            </w:pPr>
            <w:r>
              <w:rPr>
                <w:szCs w:val="22"/>
                <w:lang w:eastAsia="en-US" w:bidi="ar-SA"/>
              </w:rPr>
              <w:t>Notă: P = Placebo (numărul celor care prezintă risc); H = Adalimumab (numărul celor care prezintă risc).</w:t>
            </w:r>
          </w:p>
        </w:tc>
      </w:tr>
    </w:tbl>
    <w:p w14:paraId="5C451F4C" w14:textId="77777777" w:rsidR="00C04CAD" w:rsidRDefault="00C04CAD">
      <w:pPr>
        <w:numPr>
          <w:ilvl w:val="12"/>
          <w:numId w:val="0"/>
        </w:numPr>
        <w:spacing w:line="240" w:lineRule="auto"/>
        <w:ind w:right="-2"/>
      </w:pPr>
    </w:p>
    <w:p w14:paraId="62CE883D" w14:textId="77777777" w:rsidR="00C04CAD" w:rsidRDefault="00060E34">
      <w:pPr>
        <w:keepNext/>
        <w:numPr>
          <w:ilvl w:val="1"/>
          <w:numId w:val="7"/>
        </w:numPr>
        <w:spacing w:line="240" w:lineRule="auto"/>
        <w:outlineLvl w:val="0"/>
      </w:pPr>
      <w:r>
        <w:rPr>
          <w:b/>
        </w:rPr>
        <w:t>Proprietăți farmacocinetice</w:t>
      </w:r>
    </w:p>
    <w:p w14:paraId="284D8000" w14:textId="77777777" w:rsidR="00C04CAD" w:rsidRDefault="00C04CAD">
      <w:pPr>
        <w:keepNext/>
        <w:spacing w:line="240" w:lineRule="auto"/>
        <w:ind w:left="567" w:hanging="567"/>
        <w:outlineLvl w:val="0"/>
        <w:rPr>
          <w:b/>
        </w:rPr>
      </w:pPr>
    </w:p>
    <w:p w14:paraId="403452CC" w14:textId="77777777" w:rsidR="00C04CAD" w:rsidRDefault="00060E34">
      <w:pPr>
        <w:keepNext/>
        <w:numPr>
          <w:ilvl w:val="12"/>
          <w:numId w:val="0"/>
        </w:numPr>
        <w:spacing w:line="240" w:lineRule="auto"/>
        <w:ind w:right="-2"/>
        <w:rPr>
          <w:u w:val="single"/>
        </w:rPr>
      </w:pPr>
      <w:r>
        <w:rPr>
          <w:u w:val="single"/>
        </w:rPr>
        <w:t>Absorbție și distribuție</w:t>
      </w:r>
    </w:p>
    <w:p w14:paraId="32592AEF" w14:textId="77777777" w:rsidR="00C04CAD" w:rsidRDefault="00C04CAD">
      <w:pPr>
        <w:keepNext/>
        <w:numPr>
          <w:ilvl w:val="12"/>
          <w:numId w:val="0"/>
        </w:numPr>
        <w:spacing w:line="240" w:lineRule="auto"/>
        <w:ind w:right="-2"/>
        <w:rPr>
          <w:u w:val="single"/>
        </w:rPr>
      </w:pPr>
    </w:p>
    <w:p w14:paraId="21D0EFF6" w14:textId="77777777" w:rsidR="00C04CAD" w:rsidRDefault="00060E34">
      <w:pPr>
        <w:tabs>
          <w:tab w:val="clear" w:pos="567"/>
        </w:tabs>
        <w:kinsoku w:val="0"/>
        <w:overflowPunct w:val="0"/>
        <w:autoSpaceDE w:val="0"/>
        <w:autoSpaceDN w:val="0"/>
        <w:adjustRightInd w:val="0"/>
        <w:spacing w:line="240" w:lineRule="auto"/>
      </w:pPr>
      <w:r>
        <w:rPr>
          <w:spacing w:val="-1"/>
        </w:rPr>
        <w:t>D</w:t>
      </w:r>
      <w:r>
        <w:t>upă ad</w:t>
      </w:r>
      <w:r>
        <w:rPr>
          <w:spacing w:val="-4"/>
        </w:rPr>
        <w:t>m</w:t>
      </w:r>
      <w:r>
        <w:rPr>
          <w:spacing w:val="1"/>
        </w:rPr>
        <w:t>i</w:t>
      </w:r>
      <w:r>
        <w:t>n</w:t>
      </w:r>
      <w:r>
        <w:rPr>
          <w:spacing w:val="1"/>
        </w:rPr>
        <w:t>i</w:t>
      </w:r>
      <w:r>
        <w:rPr>
          <w:spacing w:val="-2"/>
        </w:rPr>
        <w:t>s</w:t>
      </w:r>
      <w:r>
        <w:rPr>
          <w:spacing w:val="1"/>
        </w:rPr>
        <w:t>t</w:t>
      </w:r>
      <w:r>
        <w:rPr>
          <w:spacing w:val="-2"/>
        </w:rPr>
        <w:t>r</w:t>
      </w:r>
      <w:r>
        <w:t>ar</w:t>
      </w:r>
      <w:r>
        <w:rPr>
          <w:spacing w:val="-3"/>
        </w:rPr>
        <w:t>e</w:t>
      </w:r>
      <w:r>
        <w:t>a su</w:t>
      </w:r>
      <w:r>
        <w:rPr>
          <w:spacing w:val="-3"/>
        </w:rPr>
        <w:t>b</w:t>
      </w:r>
      <w:r>
        <w:t>cu</w:t>
      </w:r>
      <w:r>
        <w:rPr>
          <w:spacing w:val="-2"/>
        </w:rPr>
        <w:t>t</w:t>
      </w:r>
      <w:r>
        <w:rPr>
          <w:spacing w:val="-3"/>
        </w:rPr>
        <w:t>a</w:t>
      </w:r>
      <w:r>
        <w:t>na</w:t>
      </w:r>
      <w:r>
        <w:rPr>
          <w:spacing w:val="1"/>
        </w:rPr>
        <w:t>t</w:t>
      </w:r>
      <w:r>
        <w:t>ă</w:t>
      </w:r>
      <w:r>
        <w:rPr>
          <w:spacing w:val="-2"/>
        </w:rPr>
        <w:t xml:space="preserve"> </w:t>
      </w:r>
      <w:r>
        <w:t>a un</w:t>
      </w:r>
      <w:r>
        <w:rPr>
          <w:spacing w:val="-3"/>
        </w:rPr>
        <w:t>e</w:t>
      </w:r>
      <w:r>
        <w:t>i</w:t>
      </w:r>
      <w:r>
        <w:rPr>
          <w:spacing w:val="1"/>
        </w:rPr>
        <w:t xml:space="preserve"> </w:t>
      </w:r>
      <w:r>
        <w:t>do</w:t>
      </w:r>
      <w:r>
        <w:rPr>
          <w:spacing w:val="-3"/>
        </w:rPr>
        <w:t>z</w:t>
      </w:r>
      <w:r>
        <w:t>e u</w:t>
      </w:r>
      <w:r>
        <w:rPr>
          <w:spacing w:val="-3"/>
        </w:rPr>
        <w:t>n</w:t>
      </w:r>
      <w:r>
        <w:rPr>
          <w:spacing w:val="1"/>
        </w:rPr>
        <w:t>i</w:t>
      </w:r>
      <w:r>
        <w:rPr>
          <w:spacing w:val="-3"/>
        </w:rPr>
        <w:t>c</w:t>
      </w:r>
      <w:r>
        <w:t xml:space="preserve">e de </w:t>
      </w:r>
      <w:r>
        <w:rPr>
          <w:spacing w:val="-3"/>
        </w:rPr>
        <w:t>4</w:t>
      </w:r>
      <w:r>
        <w:t>0 </w:t>
      </w:r>
      <w:r>
        <w:rPr>
          <w:spacing w:val="-2"/>
        </w:rPr>
        <w:t>m</w:t>
      </w:r>
      <w:r>
        <w:rPr>
          <w:spacing w:val="-3"/>
        </w:rPr>
        <w:t>g</w:t>
      </w:r>
      <w:r>
        <w:t>, absorb</w:t>
      </w:r>
      <w:r>
        <w:rPr>
          <w:spacing w:val="-2"/>
        </w:rPr>
        <w:t>ţ</w:t>
      </w:r>
      <w:r>
        <w:rPr>
          <w:spacing w:val="1"/>
        </w:rPr>
        <w:t>i</w:t>
      </w:r>
      <w:r>
        <w:t>a</w:t>
      </w:r>
      <w:r>
        <w:rPr>
          <w:spacing w:val="-2"/>
        </w:rPr>
        <w:t xml:space="preserve"> </w:t>
      </w:r>
      <w:r>
        <w:t>şi</w:t>
      </w:r>
      <w:r>
        <w:rPr>
          <w:spacing w:val="1"/>
        </w:rPr>
        <w:t xml:space="preserve"> </w:t>
      </w:r>
      <w:r>
        <w:rPr>
          <w:spacing w:val="-3"/>
        </w:rPr>
        <w:t>d</w:t>
      </w:r>
      <w:r>
        <w:rPr>
          <w:spacing w:val="1"/>
        </w:rPr>
        <w:t>i</w:t>
      </w:r>
      <w:r>
        <w:rPr>
          <w:spacing w:val="-2"/>
        </w:rPr>
        <w:t>s</w:t>
      </w:r>
      <w:r>
        <w:rPr>
          <w:spacing w:val="1"/>
        </w:rPr>
        <w:t>t</w:t>
      </w:r>
      <w:r>
        <w:rPr>
          <w:spacing w:val="-2"/>
        </w:rPr>
        <w:t>r</w:t>
      </w:r>
      <w:r>
        <w:rPr>
          <w:spacing w:val="1"/>
        </w:rPr>
        <w:t>i</w:t>
      </w:r>
      <w:r>
        <w:t>b</w:t>
      </w:r>
      <w:r>
        <w:rPr>
          <w:spacing w:val="-3"/>
        </w:rPr>
        <w:t>u</w:t>
      </w:r>
      <w:r>
        <w:rPr>
          <w:spacing w:val="1"/>
        </w:rPr>
        <w:t>ţ</w:t>
      </w:r>
      <w:r>
        <w:rPr>
          <w:spacing w:val="-2"/>
        </w:rPr>
        <w:t>i</w:t>
      </w:r>
      <w:r>
        <w:t>a ad</w:t>
      </w:r>
      <w:r>
        <w:rPr>
          <w:spacing w:val="-3"/>
        </w:rPr>
        <w:t>a</w:t>
      </w:r>
      <w:r>
        <w:rPr>
          <w:spacing w:val="1"/>
        </w:rPr>
        <w:t>li</w:t>
      </w:r>
      <w:r>
        <w:rPr>
          <w:spacing w:val="-4"/>
        </w:rPr>
        <w:t>m</w:t>
      </w:r>
      <w:r>
        <w:t>u</w:t>
      </w:r>
      <w:r>
        <w:rPr>
          <w:spacing w:val="-4"/>
        </w:rPr>
        <w:t>m</w:t>
      </w:r>
      <w:r>
        <w:t xml:space="preserve">ab a fost </w:t>
      </w:r>
      <w:r>
        <w:rPr>
          <w:spacing w:val="1"/>
        </w:rPr>
        <w:t>l</w:t>
      </w:r>
      <w:r>
        <w:t>e</w:t>
      </w:r>
      <w:r>
        <w:rPr>
          <w:spacing w:val="-3"/>
        </w:rPr>
        <w:t>n</w:t>
      </w:r>
      <w:r>
        <w:rPr>
          <w:spacing w:val="1"/>
        </w:rPr>
        <w:t>t</w:t>
      </w:r>
      <w:r>
        <w:t>ă, cu</w:t>
      </w:r>
      <w:r>
        <w:rPr>
          <w:spacing w:val="-3"/>
        </w:rPr>
        <w:t xml:space="preserve"> </w:t>
      </w:r>
      <w:r>
        <w:t>a</w:t>
      </w:r>
      <w:r>
        <w:rPr>
          <w:spacing w:val="-2"/>
        </w:rPr>
        <w:t>t</w:t>
      </w:r>
      <w:r>
        <w:rPr>
          <w:spacing w:val="1"/>
        </w:rPr>
        <w:t>i</w:t>
      </w:r>
      <w:r>
        <w:t>n</w:t>
      </w:r>
      <w:r>
        <w:rPr>
          <w:spacing w:val="-3"/>
        </w:rPr>
        <w:t>g</w:t>
      </w:r>
      <w:r>
        <w:t>er</w:t>
      </w:r>
      <w:r>
        <w:rPr>
          <w:spacing w:val="-3"/>
        </w:rPr>
        <w:t>e</w:t>
      </w:r>
      <w:r>
        <w:t>a co</w:t>
      </w:r>
      <w:r>
        <w:rPr>
          <w:spacing w:val="-3"/>
        </w:rPr>
        <w:t>n</w:t>
      </w:r>
      <w:r>
        <w:t>ce</w:t>
      </w:r>
      <w:r>
        <w:rPr>
          <w:spacing w:val="-3"/>
        </w:rPr>
        <w:t>n</w:t>
      </w:r>
      <w:r>
        <w:rPr>
          <w:spacing w:val="1"/>
        </w:rPr>
        <w:t>t</w:t>
      </w:r>
      <w:r>
        <w:rPr>
          <w:spacing w:val="-2"/>
        </w:rPr>
        <w:t>r</w:t>
      </w:r>
      <w:r>
        <w:t>a</w:t>
      </w:r>
      <w:r>
        <w:rPr>
          <w:spacing w:val="1"/>
        </w:rPr>
        <w:t>ţ</w:t>
      </w:r>
      <w:r>
        <w:rPr>
          <w:spacing w:val="-2"/>
        </w:rPr>
        <w:t>i</w:t>
      </w:r>
      <w:r>
        <w:rPr>
          <w:spacing w:val="1"/>
        </w:rPr>
        <w:t>i</w:t>
      </w:r>
      <w:r>
        <w:rPr>
          <w:spacing w:val="-2"/>
        </w:rPr>
        <w:t>l</w:t>
      </w:r>
      <w:r>
        <w:t>or</w:t>
      </w:r>
      <w:r>
        <w:rPr>
          <w:spacing w:val="1"/>
        </w:rPr>
        <w:t xml:space="preserve"> </w:t>
      </w:r>
      <w:r>
        <w:rPr>
          <w:spacing w:val="-3"/>
        </w:rPr>
        <w:t>p</w:t>
      </w:r>
      <w:r>
        <w:rPr>
          <w:spacing w:val="1"/>
        </w:rPr>
        <w:t>l</w:t>
      </w:r>
      <w:r>
        <w:t>as</w:t>
      </w:r>
      <w:r>
        <w:rPr>
          <w:spacing w:val="-4"/>
        </w:rPr>
        <w:t>m</w:t>
      </w:r>
      <w:r>
        <w:t>a</w:t>
      </w:r>
      <w:r>
        <w:rPr>
          <w:spacing w:val="-2"/>
        </w:rPr>
        <w:t>t</w:t>
      </w:r>
      <w:r>
        <w:rPr>
          <w:spacing w:val="1"/>
        </w:rPr>
        <w:t>i</w:t>
      </w:r>
      <w:r>
        <w:t xml:space="preserve">ce </w:t>
      </w:r>
      <w:r>
        <w:rPr>
          <w:spacing w:val="-4"/>
        </w:rPr>
        <w:t>m</w:t>
      </w:r>
      <w:r>
        <w:t>ax</w:t>
      </w:r>
      <w:r>
        <w:rPr>
          <w:spacing w:val="1"/>
        </w:rPr>
        <w:t>i</w:t>
      </w:r>
      <w:r>
        <w:rPr>
          <w:spacing w:val="-4"/>
        </w:rPr>
        <w:t>m</w:t>
      </w:r>
      <w:r>
        <w:t>e după a</w:t>
      </w:r>
      <w:r>
        <w:rPr>
          <w:spacing w:val="-3"/>
        </w:rPr>
        <w:t>p</w:t>
      </w:r>
      <w:r>
        <w:t>ro</w:t>
      </w:r>
      <w:r>
        <w:rPr>
          <w:spacing w:val="-3"/>
        </w:rPr>
        <w:t>x</w:t>
      </w:r>
      <w:r>
        <w:rPr>
          <w:spacing w:val="1"/>
        </w:rPr>
        <w:t>i</w:t>
      </w:r>
      <w:r>
        <w:rPr>
          <w:spacing w:val="-4"/>
        </w:rPr>
        <w:t>m</w:t>
      </w:r>
      <w:r>
        <w:t>a</w:t>
      </w:r>
      <w:r>
        <w:rPr>
          <w:spacing w:val="1"/>
        </w:rPr>
        <w:t>ti</w:t>
      </w:r>
      <w:r>
        <w:t>v</w:t>
      </w:r>
      <w:r>
        <w:rPr>
          <w:spacing w:val="-3"/>
        </w:rPr>
        <w:t xml:space="preserve"> </w:t>
      </w:r>
      <w:r>
        <w:t xml:space="preserve">5 </w:t>
      </w:r>
      <w:r>
        <w:rPr>
          <w:spacing w:val="-3"/>
        </w:rPr>
        <w:t>z</w:t>
      </w:r>
      <w:r>
        <w:rPr>
          <w:spacing w:val="1"/>
        </w:rPr>
        <w:t>il</w:t>
      </w:r>
      <w:r>
        <w:t>e de</w:t>
      </w:r>
      <w:r>
        <w:rPr>
          <w:spacing w:val="-2"/>
        </w:rPr>
        <w:t xml:space="preserve"> </w:t>
      </w:r>
      <w:r>
        <w:rPr>
          <w:spacing w:val="1"/>
        </w:rPr>
        <w:t>l</w:t>
      </w:r>
      <w:r>
        <w:t>a</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 xml:space="preserve">re. </w:t>
      </w:r>
      <w:r>
        <w:rPr>
          <w:spacing w:val="-1"/>
        </w:rPr>
        <w:t>B</w:t>
      </w:r>
      <w:r>
        <w:rPr>
          <w:spacing w:val="1"/>
        </w:rPr>
        <w:t>i</w:t>
      </w:r>
      <w:r>
        <w:t>od</w:t>
      </w:r>
      <w:r>
        <w:rPr>
          <w:spacing w:val="-2"/>
        </w:rPr>
        <w:t>i</w:t>
      </w:r>
      <w:r>
        <w:t>spo</w:t>
      </w:r>
      <w:r>
        <w:rPr>
          <w:spacing w:val="-3"/>
        </w:rPr>
        <w:t>n</w:t>
      </w:r>
      <w:r>
        <w:rPr>
          <w:spacing w:val="1"/>
        </w:rPr>
        <w:t>i</w:t>
      </w:r>
      <w:r>
        <w:t>b</w:t>
      </w:r>
      <w:r>
        <w:rPr>
          <w:spacing w:val="-2"/>
        </w:rPr>
        <w:t>i</w:t>
      </w:r>
      <w:r>
        <w:rPr>
          <w:spacing w:val="1"/>
        </w:rPr>
        <w:t>l</w:t>
      </w:r>
      <w:r>
        <w:rPr>
          <w:spacing w:val="-2"/>
        </w:rPr>
        <w:t>i</w:t>
      </w:r>
      <w:r>
        <w:rPr>
          <w:spacing w:val="1"/>
        </w:rPr>
        <w:t>t</w:t>
      </w:r>
      <w:r>
        <w:rPr>
          <w:spacing w:val="-3"/>
        </w:rPr>
        <w:t>a</w:t>
      </w:r>
      <w:r>
        <w:rPr>
          <w:spacing w:val="1"/>
        </w:rPr>
        <w:t>t</w:t>
      </w:r>
      <w:r>
        <w:t>ea</w:t>
      </w:r>
      <w:r>
        <w:rPr>
          <w:spacing w:val="-2"/>
        </w:rPr>
        <w:t xml:space="preserve"> </w:t>
      </w:r>
      <w:r>
        <w:t>abs</w:t>
      </w:r>
      <w:r>
        <w:rPr>
          <w:spacing w:val="-3"/>
        </w:rPr>
        <w:t>o</w:t>
      </w:r>
      <w:r>
        <w:rPr>
          <w:spacing w:val="1"/>
        </w:rPr>
        <w:t>l</w:t>
      </w:r>
      <w:r>
        <w:rPr>
          <w:spacing w:val="-3"/>
        </w:rPr>
        <w:t>u</w:t>
      </w:r>
      <w:r>
        <w:rPr>
          <w:spacing w:val="-2"/>
        </w:rPr>
        <w:t>t</w:t>
      </w:r>
      <w:r>
        <w:t xml:space="preserve">ă </w:t>
      </w:r>
      <w:r>
        <w:rPr>
          <w:spacing w:val="-4"/>
        </w:rPr>
        <w:t>m</w:t>
      </w:r>
      <w:r>
        <w:t>ed</w:t>
      </w:r>
      <w:r>
        <w:rPr>
          <w:spacing w:val="1"/>
        </w:rPr>
        <w:t>i</w:t>
      </w:r>
      <w:r>
        <w:t>e a a</w:t>
      </w:r>
      <w:r>
        <w:rPr>
          <w:spacing w:val="-3"/>
        </w:rPr>
        <w:t>d</w:t>
      </w:r>
      <w:r>
        <w:t>a</w:t>
      </w:r>
      <w:r>
        <w:rPr>
          <w:spacing w:val="-2"/>
        </w:rPr>
        <w:t>l</w:t>
      </w:r>
      <w:r>
        <w:rPr>
          <w:spacing w:val="1"/>
        </w:rPr>
        <w:t>i</w:t>
      </w:r>
      <w:r>
        <w:rPr>
          <w:spacing w:val="-4"/>
        </w:rPr>
        <w:t>m</w:t>
      </w:r>
      <w:r>
        <w:rPr>
          <w:spacing w:val="2"/>
        </w:rPr>
        <w:t>u</w:t>
      </w:r>
      <w:r>
        <w:rPr>
          <w:spacing w:val="-4"/>
        </w:rPr>
        <w:t>m</w:t>
      </w:r>
      <w:r>
        <w:t>ab es</w:t>
      </w:r>
      <w:r>
        <w:rPr>
          <w:spacing w:val="-2"/>
        </w:rPr>
        <w:t>ti</w:t>
      </w:r>
      <w:r>
        <w:rPr>
          <w:spacing w:val="-4"/>
        </w:rPr>
        <w:t>m</w:t>
      </w:r>
      <w:r>
        <w:t>a</w:t>
      </w:r>
      <w:r>
        <w:rPr>
          <w:spacing w:val="1"/>
        </w:rPr>
        <w:t>t</w:t>
      </w:r>
      <w:r>
        <w:t>ă d</w:t>
      </w:r>
      <w:r>
        <w:rPr>
          <w:spacing w:val="1"/>
        </w:rPr>
        <w:t>i</w:t>
      </w:r>
      <w:r>
        <w:t xml:space="preserve">n </w:t>
      </w:r>
      <w:r>
        <w:rPr>
          <w:spacing w:val="-2"/>
        </w:rPr>
        <w:t>t</w:t>
      </w:r>
      <w:r>
        <w:t>r</w:t>
      </w:r>
      <w:r>
        <w:rPr>
          <w:spacing w:val="-3"/>
        </w:rPr>
        <w:t>e</w:t>
      </w:r>
      <w:r>
        <w:t>i</w:t>
      </w:r>
      <w:r>
        <w:rPr>
          <w:spacing w:val="1"/>
        </w:rPr>
        <w:t xml:space="preserve"> </w:t>
      </w:r>
      <w:r>
        <w:rPr>
          <w:spacing w:val="-2"/>
        </w:rPr>
        <w:t>s</w:t>
      </w:r>
      <w:r>
        <w:rPr>
          <w:spacing w:val="1"/>
        </w:rPr>
        <w:t>t</w:t>
      </w:r>
      <w:r>
        <w:t>ud</w:t>
      </w:r>
      <w:r>
        <w:rPr>
          <w:spacing w:val="-2"/>
        </w:rPr>
        <w:t>i</w:t>
      </w:r>
      <w:r>
        <w:t>i</w:t>
      </w:r>
      <w:r>
        <w:rPr>
          <w:spacing w:val="-2"/>
        </w:rPr>
        <w:t xml:space="preserve"> efectuate cu medicamentul de referință </w:t>
      </w:r>
      <w:r>
        <w:rPr>
          <w:spacing w:val="1"/>
        </w:rPr>
        <w:t>î</w:t>
      </w:r>
      <w:r>
        <w:t xml:space="preserve">n </w:t>
      </w:r>
      <w:r>
        <w:rPr>
          <w:spacing w:val="-3"/>
        </w:rPr>
        <w:t>u</w:t>
      </w:r>
      <w:r>
        <w:t>r</w:t>
      </w:r>
      <w:r>
        <w:rPr>
          <w:spacing w:val="-4"/>
        </w:rPr>
        <w:t>m</w:t>
      </w:r>
      <w:r>
        <w:t>a ad</w:t>
      </w:r>
      <w:r>
        <w:rPr>
          <w:spacing w:val="-4"/>
        </w:rPr>
        <w:t>m</w:t>
      </w:r>
      <w:r>
        <w:rPr>
          <w:spacing w:val="1"/>
        </w:rPr>
        <w:t>i</w:t>
      </w:r>
      <w:r>
        <w:t>n</w:t>
      </w:r>
      <w:r>
        <w:rPr>
          <w:spacing w:val="1"/>
        </w:rPr>
        <w:t>i</w:t>
      </w:r>
      <w:r>
        <w:t>s</w:t>
      </w:r>
      <w:r>
        <w:rPr>
          <w:spacing w:val="-2"/>
        </w:rPr>
        <w:t>t</w:t>
      </w:r>
      <w:r>
        <w:t>ră</w:t>
      </w:r>
      <w:r>
        <w:rPr>
          <w:spacing w:val="-2"/>
        </w:rPr>
        <w:t>ri</w:t>
      </w:r>
      <w:r>
        <w:t>i</w:t>
      </w:r>
      <w:r>
        <w:rPr>
          <w:spacing w:val="1"/>
        </w:rPr>
        <w:t xml:space="preserve"> </w:t>
      </w:r>
      <w:r>
        <w:t>un</w:t>
      </w:r>
      <w:r>
        <w:rPr>
          <w:spacing w:val="-3"/>
        </w:rPr>
        <w:t>e</w:t>
      </w:r>
      <w:r>
        <w:t>i do</w:t>
      </w:r>
      <w:r>
        <w:rPr>
          <w:spacing w:val="-3"/>
        </w:rPr>
        <w:t>z</w:t>
      </w:r>
      <w:r>
        <w:t>e un</w:t>
      </w:r>
      <w:r>
        <w:rPr>
          <w:spacing w:val="1"/>
        </w:rPr>
        <w:t>i</w:t>
      </w:r>
      <w:r>
        <w:rPr>
          <w:spacing w:val="-3"/>
        </w:rPr>
        <w:t>c</w:t>
      </w:r>
      <w:r>
        <w:t>e su</w:t>
      </w:r>
      <w:r>
        <w:rPr>
          <w:spacing w:val="-3"/>
        </w:rPr>
        <w:t>b</w:t>
      </w:r>
      <w:r>
        <w:t>cu</w:t>
      </w:r>
      <w:r>
        <w:rPr>
          <w:spacing w:val="-2"/>
        </w:rPr>
        <w:t>t</w:t>
      </w:r>
      <w:r>
        <w:t>an</w:t>
      </w:r>
      <w:r>
        <w:rPr>
          <w:spacing w:val="-3"/>
        </w:rPr>
        <w:t>a</w:t>
      </w:r>
      <w:r>
        <w:rPr>
          <w:spacing w:val="1"/>
        </w:rPr>
        <w:t>t</w:t>
      </w:r>
      <w:r>
        <w:t>e de</w:t>
      </w:r>
      <w:r>
        <w:rPr>
          <w:spacing w:val="-5"/>
        </w:rPr>
        <w:t xml:space="preserve"> </w:t>
      </w:r>
      <w:r>
        <w:t>40 </w:t>
      </w:r>
      <w:r>
        <w:rPr>
          <w:spacing w:val="-2"/>
        </w:rPr>
        <w:t>m</w:t>
      </w:r>
      <w:r>
        <w:rPr>
          <w:spacing w:val="-3"/>
        </w:rPr>
        <w:t>g</w:t>
      </w:r>
      <w:r>
        <w:t>, a fost</w:t>
      </w:r>
      <w:r>
        <w:rPr>
          <w:spacing w:val="-2"/>
        </w:rPr>
        <w:t xml:space="preserve"> </w:t>
      </w:r>
      <w:r>
        <w:t>de 6</w:t>
      </w:r>
      <w:r>
        <w:rPr>
          <w:spacing w:val="-3"/>
        </w:rPr>
        <w:t>4</w:t>
      </w:r>
      <w:r>
        <w:t xml:space="preserve">%. </w:t>
      </w:r>
      <w:r>
        <w:rPr>
          <w:spacing w:val="-1"/>
        </w:rPr>
        <w:t>D</w:t>
      </w:r>
      <w:r>
        <w:t>u</w:t>
      </w:r>
      <w:r>
        <w:rPr>
          <w:spacing w:val="-3"/>
        </w:rPr>
        <w:t>p</w:t>
      </w:r>
      <w:r>
        <w:t>ă</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 xml:space="preserve">rea </w:t>
      </w:r>
      <w:r>
        <w:rPr>
          <w:spacing w:val="-3"/>
        </w:rPr>
        <w:t>d</w:t>
      </w:r>
      <w:r>
        <w:t>e do</w:t>
      </w:r>
      <w:r>
        <w:rPr>
          <w:spacing w:val="-3"/>
        </w:rPr>
        <w:t>z</w:t>
      </w:r>
      <w:r>
        <w:t>e u</w:t>
      </w:r>
      <w:r>
        <w:rPr>
          <w:spacing w:val="-3"/>
        </w:rPr>
        <w:t>n</w:t>
      </w:r>
      <w:r>
        <w:rPr>
          <w:spacing w:val="1"/>
        </w:rPr>
        <w:t>i</w:t>
      </w:r>
      <w:r>
        <w:rPr>
          <w:spacing w:val="-3"/>
        </w:rPr>
        <w:t>c</w:t>
      </w:r>
      <w:r>
        <w:t xml:space="preserve">e </w:t>
      </w:r>
      <w:r>
        <w:rPr>
          <w:spacing w:val="1"/>
        </w:rPr>
        <w:t>i</w:t>
      </w:r>
      <w:r>
        <w:rPr>
          <w:spacing w:val="-3"/>
        </w:rPr>
        <w:t>n</w:t>
      </w:r>
      <w:r>
        <w:rPr>
          <w:spacing w:val="1"/>
        </w:rPr>
        <w:t>t</w:t>
      </w:r>
      <w:r>
        <w:t>ra</w:t>
      </w:r>
      <w:r>
        <w:rPr>
          <w:spacing w:val="-3"/>
        </w:rPr>
        <w:t>v</w:t>
      </w:r>
      <w:r>
        <w:t>en</w:t>
      </w:r>
      <w:r>
        <w:rPr>
          <w:spacing w:val="-3"/>
        </w:rPr>
        <w:t>o</w:t>
      </w:r>
      <w:r>
        <w:t xml:space="preserve">ase </w:t>
      </w:r>
      <w:r>
        <w:rPr>
          <w:spacing w:val="-3"/>
        </w:rPr>
        <w:t>v</w:t>
      </w:r>
      <w:r>
        <w:t>ar</w:t>
      </w:r>
      <w:r>
        <w:rPr>
          <w:spacing w:val="1"/>
        </w:rPr>
        <w:t>ii</w:t>
      </w:r>
      <w:r>
        <w:t>nd</w:t>
      </w:r>
      <w:r>
        <w:rPr>
          <w:spacing w:val="-3"/>
        </w:rPr>
        <w:t xml:space="preserve"> </w:t>
      </w:r>
      <w:r>
        <w:rPr>
          <w:spacing w:val="1"/>
        </w:rPr>
        <w:t>î</w:t>
      </w:r>
      <w:r>
        <w:rPr>
          <w:spacing w:val="-3"/>
        </w:rPr>
        <w:t>n</w:t>
      </w:r>
      <w:r>
        <w:rPr>
          <w:spacing w:val="1"/>
        </w:rPr>
        <w:t>t</w:t>
      </w:r>
      <w:r>
        <w:t>re</w:t>
      </w:r>
      <w:r>
        <w:rPr>
          <w:spacing w:val="-2"/>
        </w:rPr>
        <w:t xml:space="preserve"> </w:t>
      </w:r>
      <w:r>
        <w:t xml:space="preserve">0,25 </w:t>
      </w:r>
      <w:r>
        <w:rPr>
          <w:spacing w:val="-2"/>
        </w:rPr>
        <w:t>ş</w:t>
      </w:r>
      <w:r>
        <w:t>i</w:t>
      </w:r>
      <w:r>
        <w:rPr>
          <w:spacing w:val="1"/>
        </w:rPr>
        <w:t xml:space="preserve"> </w:t>
      </w:r>
      <w:r>
        <w:t>10 </w:t>
      </w:r>
      <w:r>
        <w:rPr>
          <w:spacing w:val="-4"/>
        </w:rPr>
        <w:t>m</w:t>
      </w:r>
      <w:r>
        <w:rPr>
          <w:spacing w:val="-3"/>
        </w:rPr>
        <w:t>g</w:t>
      </w:r>
      <w:r>
        <w:rPr>
          <w:spacing w:val="1"/>
        </w:rPr>
        <w:t>/</w:t>
      </w:r>
      <w:r>
        <w:t>k</w:t>
      </w:r>
      <w:r>
        <w:rPr>
          <w:spacing w:val="-3"/>
        </w:rPr>
        <w:t>g</w:t>
      </w:r>
      <w:r>
        <w:t>, concen</w:t>
      </w:r>
      <w:r>
        <w:rPr>
          <w:spacing w:val="-2"/>
        </w:rPr>
        <w:t>t</w:t>
      </w:r>
      <w:r>
        <w:t>r</w:t>
      </w:r>
      <w:r>
        <w:rPr>
          <w:spacing w:val="-3"/>
        </w:rPr>
        <w:t>a</w:t>
      </w:r>
      <w:r>
        <w:rPr>
          <w:spacing w:val="1"/>
        </w:rPr>
        <w:t>ţ</w:t>
      </w:r>
      <w:r>
        <w:rPr>
          <w:spacing w:val="-2"/>
        </w:rPr>
        <w:t>i</w:t>
      </w:r>
      <w:r>
        <w:rPr>
          <w:spacing w:val="1"/>
        </w:rPr>
        <w:t>i</w:t>
      </w:r>
      <w:r>
        <w:rPr>
          <w:spacing w:val="-2"/>
        </w:rPr>
        <w:t>l</w:t>
      </w:r>
      <w:r>
        <w:t>e au</w:t>
      </w:r>
      <w:r>
        <w:rPr>
          <w:spacing w:val="-3"/>
        </w:rPr>
        <w:t xml:space="preserve"> </w:t>
      </w:r>
      <w:r>
        <w:t>fo</w:t>
      </w:r>
      <w:r>
        <w:rPr>
          <w:spacing w:val="-2"/>
        </w:rPr>
        <w:t>s</w:t>
      </w:r>
      <w:r>
        <w:t>t</w:t>
      </w:r>
      <w:r>
        <w:rPr>
          <w:spacing w:val="1"/>
        </w:rPr>
        <w:t xml:space="preserve"> </w:t>
      </w:r>
      <w:r>
        <w:t>p</w:t>
      </w:r>
      <w:r>
        <w:rPr>
          <w:spacing w:val="-2"/>
        </w:rPr>
        <w:t>r</w:t>
      </w:r>
      <w:r>
        <w:t>opor</w:t>
      </w:r>
      <w:r>
        <w:rPr>
          <w:spacing w:val="-2"/>
        </w:rPr>
        <w:t>ţ</w:t>
      </w:r>
      <w:r>
        <w:rPr>
          <w:spacing w:val="1"/>
        </w:rPr>
        <w:t>i</w:t>
      </w:r>
      <w:r>
        <w:t>o</w:t>
      </w:r>
      <w:r>
        <w:rPr>
          <w:spacing w:val="-3"/>
        </w:rPr>
        <w:t>n</w:t>
      </w:r>
      <w:r>
        <w:t>a</w:t>
      </w:r>
      <w:r>
        <w:rPr>
          <w:spacing w:val="1"/>
        </w:rPr>
        <w:t>l</w:t>
      </w:r>
      <w:r>
        <w:t>e</w:t>
      </w:r>
      <w:r>
        <w:rPr>
          <w:spacing w:val="-2"/>
        </w:rPr>
        <w:t xml:space="preserve"> </w:t>
      </w:r>
      <w:r>
        <w:t>cu do</w:t>
      </w:r>
      <w:r>
        <w:rPr>
          <w:spacing w:val="-3"/>
        </w:rPr>
        <w:t>z</w:t>
      </w:r>
      <w:r>
        <w:t xml:space="preserve">a. </w:t>
      </w:r>
      <w:r>
        <w:rPr>
          <w:spacing w:val="-1"/>
        </w:rPr>
        <w:t>D</w:t>
      </w:r>
      <w:r>
        <w:t>u</w:t>
      </w:r>
      <w:r>
        <w:rPr>
          <w:spacing w:val="-3"/>
        </w:rPr>
        <w:t>p</w:t>
      </w:r>
      <w:r>
        <w:t>ă</w:t>
      </w:r>
      <w:r>
        <w:rPr>
          <w:spacing w:val="-2"/>
        </w:rPr>
        <w:t xml:space="preserve"> </w:t>
      </w:r>
      <w:r>
        <w:t>do</w:t>
      </w:r>
      <w:r>
        <w:rPr>
          <w:spacing w:val="-3"/>
        </w:rPr>
        <w:t>z</w:t>
      </w:r>
      <w:r>
        <w:t>e de 0,5 </w:t>
      </w:r>
      <w:r>
        <w:rPr>
          <w:spacing w:val="-4"/>
        </w:rPr>
        <w:t>m</w:t>
      </w:r>
      <w:r>
        <w:rPr>
          <w:spacing w:val="-3"/>
        </w:rPr>
        <w:t>g</w:t>
      </w:r>
      <w:r>
        <w:rPr>
          <w:spacing w:val="1"/>
        </w:rPr>
        <w:t>/</w:t>
      </w:r>
      <w:r>
        <w:t>kg (~40 </w:t>
      </w:r>
      <w:r>
        <w:rPr>
          <w:spacing w:val="-4"/>
        </w:rPr>
        <w:t>m</w:t>
      </w:r>
      <w:r>
        <w:rPr>
          <w:spacing w:val="-3"/>
        </w:rPr>
        <w:t>g</w:t>
      </w:r>
      <w:r>
        <w:t>), c</w:t>
      </w:r>
      <w:r>
        <w:rPr>
          <w:spacing w:val="1"/>
        </w:rPr>
        <w:t>l</w:t>
      </w:r>
      <w:r>
        <w:t>e</w:t>
      </w:r>
      <w:r>
        <w:rPr>
          <w:spacing w:val="-3"/>
        </w:rPr>
        <w:t>a</w:t>
      </w:r>
      <w:r>
        <w:t>ran</w:t>
      </w:r>
      <w:r>
        <w:rPr>
          <w:spacing w:val="-2"/>
        </w:rPr>
        <w:t>c</w:t>
      </w:r>
      <w:r>
        <w:t>e</w:t>
      </w:r>
      <w:r>
        <w:rPr>
          <w:spacing w:val="-4"/>
        </w:rPr>
        <w:t>-</w:t>
      </w:r>
      <w:r>
        <w:t>ul</w:t>
      </w:r>
      <w:r>
        <w:rPr>
          <w:spacing w:val="1"/>
        </w:rPr>
        <w:t xml:space="preserve"> </w:t>
      </w:r>
      <w:r>
        <w:t xml:space="preserve">a </w:t>
      </w:r>
      <w:r>
        <w:rPr>
          <w:spacing w:val="-3"/>
        </w:rPr>
        <w:t>v</w:t>
      </w:r>
      <w:r>
        <w:t>ar</w:t>
      </w:r>
      <w:r>
        <w:rPr>
          <w:spacing w:val="1"/>
        </w:rPr>
        <w:t>i</w:t>
      </w:r>
      <w:r>
        <w:rPr>
          <w:spacing w:val="-3"/>
        </w:rPr>
        <w:t>a</w:t>
      </w:r>
      <w:r>
        <w:t>t</w:t>
      </w:r>
      <w:r>
        <w:rPr>
          <w:spacing w:val="1"/>
        </w:rPr>
        <w:t xml:space="preserve"> </w:t>
      </w:r>
      <w:r>
        <w:rPr>
          <w:spacing w:val="-2"/>
        </w:rPr>
        <w:t>î</w:t>
      </w:r>
      <w:r>
        <w:t>n</w:t>
      </w:r>
      <w:r>
        <w:rPr>
          <w:spacing w:val="-2"/>
        </w:rPr>
        <w:t>t</w:t>
      </w:r>
      <w:r>
        <w:t>re 11</w:t>
      </w:r>
      <w:r>
        <w:rPr>
          <w:spacing w:val="-3"/>
        </w:rPr>
        <w:t xml:space="preserve"> </w:t>
      </w:r>
      <w:r>
        <w:t>şi</w:t>
      </w:r>
      <w:r>
        <w:rPr>
          <w:spacing w:val="-2"/>
        </w:rPr>
        <w:t xml:space="preserve"> </w:t>
      </w:r>
      <w:r>
        <w:t>15 </w:t>
      </w:r>
      <w:r>
        <w:rPr>
          <w:spacing w:val="-4"/>
        </w:rPr>
        <w:t>m</w:t>
      </w:r>
      <w:r>
        <w:rPr>
          <w:spacing w:val="1"/>
        </w:rPr>
        <w:t>l/</w:t>
      </w:r>
      <w:r>
        <w:t>or</w:t>
      </w:r>
      <w:r>
        <w:rPr>
          <w:spacing w:val="-3"/>
        </w:rPr>
        <w:t>ă</w:t>
      </w:r>
      <w:r>
        <w:t xml:space="preserve">, </w:t>
      </w:r>
      <w:r>
        <w:rPr>
          <w:spacing w:val="-3"/>
        </w:rPr>
        <w:t>v</w:t>
      </w:r>
      <w:r>
        <w:t>o</w:t>
      </w:r>
      <w:r>
        <w:rPr>
          <w:spacing w:val="1"/>
        </w:rPr>
        <w:t>l</w:t>
      </w:r>
      <w:r>
        <w:t>u</w:t>
      </w:r>
      <w:r>
        <w:rPr>
          <w:spacing w:val="-4"/>
        </w:rPr>
        <w:t>m</w:t>
      </w:r>
      <w:r>
        <w:t>ul</w:t>
      </w:r>
      <w:r>
        <w:rPr>
          <w:spacing w:val="1"/>
        </w:rPr>
        <w:t xml:space="preserve"> </w:t>
      </w:r>
      <w:r>
        <w:t xml:space="preserve">de </w:t>
      </w:r>
      <w:r>
        <w:rPr>
          <w:spacing w:val="-3"/>
        </w:rPr>
        <w:t>d</w:t>
      </w:r>
      <w:r>
        <w:rPr>
          <w:spacing w:val="1"/>
        </w:rPr>
        <w:t>i</w:t>
      </w:r>
      <w:r>
        <w:t>s</w:t>
      </w:r>
      <w:r>
        <w:rPr>
          <w:spacing w:val="-2"/>
        </w:rPr>
        <w:t>t</w:t>
      </w:r>
      <w:r>
        <w:t>r</w:t>
      </w:r>
      <w:r>
        <w:rPr>
          <w:spacing w:val="-2"/>
        </w:rPr>
        <w:t>i</w:t>
      </w:r>
      <w:r>
        <w:t>bu</w:t>
      </w:r>
      <w:r>
        <w:rPr>
          <w:spacing w:val="-2"/>
        </w:rPr>
        <w:t>ţ</w:t>
      </w:r>
      <w:r>
        <w:rPr>
          <w:spacing w:val="1"/>
        </w:rPr>
        <w:t>i</w:t>
      </w:r>
      <w:r>
        <w:t>e</w:t>
      </w:r>
      <w:r>
        <w:rPr>
          <w:spacing w:val="-2"/>
        </w:rPr>
        <w:t xml:space="preserve"> </w:t>
      </w:r>
      <w:r>
        <w:t>(</w:t>
      </w:r>
      <w:r>
        <w:rPr>
          <w:spacing w:val="-1"/>
        </w:rPr>
        <w:t>V</w:t>
      </w:r>
      <w:r>
        <w:rPr>
          <w:vertAlign w:val="subscript"/>
        </w:rPr>
        <w:t>s</w:t>
      </w:r>
      <w:r>
        <w:rPr>
          <w:spacing w:val="-2"/>
          <w:vertAlign w:val="subscript"/>
        </w:rPr>
        <w:t>s</w:t>
      </w:r>
      <w:r>
        <w:t>)</w:t>
      </w:r>
      <w:r>
        <w:rPr>
          <w:spacing w:val="-2"/>
        </w:rPr>
        <w:t xml:space="preserve"> </w:t>
      </w:r>
      <w:r>
        <w:t xml:space="preserve">a </w:t>
      </w:r>
      <w:r>
        <w:rPr>
          <w:spacing w:val="-3"/>
        </w:rPr>
        <w:t>v</w:t>
      </w:r>
      <w:r>
        <w:t>ar</w:t>
      </w:r>
      <w:r>
        <w:rPr>
          <w:spacing w:val="1"/>
        </w:rPr>
        <w:t>i</w:t>
      </w:r>
      <w:r>
        <w:rPr>
          <w:spacing w:val="-3"/>
        </w:rPr>
        <w:t>a</w:t>
      </w:r>
      <w:r>
        <w:t>t</w:t>
      </w:r>
      <w:r>
        <w:rPr>
          <w:spacing w:val="1"/>
        </w:rPr>
        <w:t xml:space="preserve"> î</w:t>
      </w:r>
      <w:r>
        <w:rPr>
          <w:spacing w:val="-3"/>
        </w:rPr>
        <w:t>n</w:t>
      </w:r>
      <w:r>
        <w:rPr>
          <w:spacing w:val="1"/>
        </w:rPr>
        <w:t>t</w:t>
      </w:r>
      <w:r>
        <w:rPr>
          <w:spacing w:val="-2"/>
        </w:rPr>
        <w:t>r</w:t>
      </w:r>
      <w:r>
        <w:t xml:space="preserve">e 5 </w:t>
      </w:r>
      <w:r>
        <w:rPr>
          <w:spacing w:val="-2"/>
        </w:rPr>
        <w:t>ş</w:t>
      </w:r>
      <w:r>
        <w:t>i</w:t>
      </w:r>
      <w:r>
        <w:rPr>
          <w:spacing w:val="1"/>
        </w:rPr>
        <w:t xml:space="preserve"> </w:t>
      </w:r>
      <w:r>
        <w:t xml:space="preserve">6 </w:t>
      </w:r>
      <w:r>
        <w:rPr>
          <w:spacing w:val="1"/>
        </w:rPr>
        <w:t>l</w:t>
      </w:r>
      <w:r>
        <w:rPr>
          <w:spacing w:val="-2"/>
        </w:rPr>
        <w:t>i</w:t>
      </w:r>
      <w:r>
        <w:rPr>
          <w:spacing w:val="1"/>
        </w:rPr>
        <w:t>t</w:t>
      </w:r>
      <w:r>
        <w:rPr>
          <w:spacing w:val="-2"/>
        </w:rPr>
        <w:t>r</w:t>
      </w:r>
      <w:r>
        <w:rPr>
          <w:spacing w:val="1"/>
        </w:rPr>
        <w:t>i</w:t>
      </w:r>
      <w:r>
        <w:t xml:space="preserve">, </w:t>
      </w:r>
      <w:r>
        <w:rPr>
          <w:spacing w:val="-2"/>
        </w:rPr>
        <w:t>i</w:t>
      </w:r>
      <w:r>
        <w:t>ar</w:t>
      </w:r>
      <w:r>
        <w:rPr>
          <w:spacing w:val="-2"/>
        </w:rPr>
        <w:t xml:space="preserve"> </w:t>
      </w:r>
      <w:r>
        <w:rPr>
          <w:spacing w:val="1"/>
        </w:rPr>
        <w:t>ti</w:t>
      </w:r>
      <w:r>
        <w:rPr>
          <w:spacing w:val="-4"/>
        </w:rPr>
        <w:t>m</w:t>
      </w:r>
      <w:r>
        <w:t>pul</w:t>
      </w:r>
      <w:r>
        <w:rPr>
          <w:spacing w:val="1"/>
        </w:rPr>
        <w:t xml:space="preserve"> </w:t>
      </w:r>
      <w:r>
        <w:t>de</w:t>
      </w:r>
      <w:r>
        <w:rPr>
          <w:spacing w:val="-2"/>
        </w:rPr>
        <w:t xml:space="preserve"> </w:t>
      </w:r>
      <w:r>
        <w:rPr>
          <w:spacing w:val="1"/>
        </w:rPr>
        <w:t>î</w:t>
      </w:r>
      <w:r>
        <w:rPr>
          <w:spacing w:val="-3"/>
        </w:rPr>
        <w:t>n</w:t>
      </w:r>
      <w:r>
        <w:rPr>
          <w:spacing w:val="1"/>
        </w:rPr>
        <w:t>j</w:t>
      </w:r>
      <w:r>
        <w:t>u</w:t>
      </w:r>
      <w:r>
        <w:rPr>
          <w:spacing w:val="-4"/>
        </w:rPr>
        <w:t>m</w:t>
      </w:r>
      <w:r>
        <w:t>ă</w:t>
      </w:r>
      <w:r>
        <w:rPr>
          <w:spacing w:val="1"/>
        </w:rPr>
        <w:t>t</w:t>
      </w:r>
      <w:r>
        <w:t>ă</w:t>
      </w:r>
      <w:r>
        <w:rPr>
          <w:spacing w:val="-2"/>
        </w:rPr>
        <w:t>ţ</w:t>
      </w:r>
      <w:r>
        <w:rPr>
          <w:spacing w:val="1"/>
        </w:rPr>
        <w:t>i</w:t>
      </w:r>
      <w:r>
        <w:t xml:space="preserve">re </w:t>
      </w:r>
      <w:r>
        <w:rPr>
          <w:spacing w:val="-4"/>
        </w:rPr>
        <w:t>m</w:t>
      </w:r>
      <w:r>
        <w:t>ed</w:t>
      </w:r>
      <w:r>
        <w:rPr>
          <w:spacing w:val="1"/>
        </w:rPr>
        <w:t>i</w:t>
      </w:r>
      <w:r>
        <w:t xml:space="preserve">u </w:t>
      </w:r>
      <w:r>
        <w:rPr>
          <w:spacing w:val="-3"/>
        </w:rPr>
        <w:t>d</w:t>
      </w:r>
      <w:r>
        <w:t xml:space="preserve">e </w:t>
      </w:r>
      <w:r>
        <w:rPr>
          <w:spacing w:val="-2"/>
        </w:rPr>
        <w:t>f</w:t>
      </w:r>
      <w:r>
        <w:t>a</w:t>
      </w:r>
      <w:r>
        <w:rPr>
          <w:spacing w:val="-3"/>
        </w:rPr>
        <w:t>z</w:t>
      </w:r>
      <w:r>
        <w:t xml:space="preserve">ă </w:t>
      </w:r>
      <w:r>
        <w:rPr>
          <w:spacing w:val="1"/>
        </w:rPr>
        <w:t>t</w:t>
      </w:r>
      <w:r>
        <w:rPr>
          <w:spacing w:val="-3"/>
        </w:rPr>
        <w:t>e</w:t>
      </w:r>
      <w:r>
        <w:t>r</w:t>
      </w:r>
      <w:r>
        <w:rPr>
          <w:spacing w:val="-4"/>
        </w:rPr>
        <w:t>m</w:t>
      </w:r>
      <w:r>
        <w:rPr>
          <w:spacing w:val="1"/>
        </w:rPr>
        <w:t>i</w:t>
      </w:r>
      <w:r>
        <w:t>na</w:t>
      </w:r>
      <w:r>
        <w:rPr>
          <w:spacing w:val="1"/>
        </w:rPr>
        <w:t>l</w:t>
      </w:r>
      <w:r>
        <w:t>ă</w:t>
      </w:r>
      <w:r>
        <w:rPr>
          <w:spacing w:val="-2"/>
        </w:rPr>
        <w:t xml:space="preserve"> </w:t>
      </w:r>
      <w:r>
        <w:t>a fo</w:t>
      </w:r>
      <w:r>
        <w:rPr>
          <w:spacing w:val="-2"/>
        </w:rPr>
        <w:t>s</w:t>
      </w:r>
      <w:r>
        <w:t>t</w:t>
      </w:r>
      <w:r>
        <w:rPr>
          <w:spacing w:val="1"/>
        </w:rPr>
        <w:t xml:space="preserve"> </w:t>
      </w:r>
      <w:r>
        <w:rPr>
          <w:spacing w:val="-3"/>
        </w:rPr>
        <w:t>d</w:t>
      </w:r>
      <w:r>
        <w:t>e a</w:t>
      </w:r>
      <w:r>
        <w:rPr>
          <w:spacing w:val="-3"/>
        </w:rPr>
        <w:t>p</w:t>
      </w:r>
      <w:r>
        <w:t>rox</w:t>
      </w:r>
      <w:r>
        <w:rPr>
          <w:spacing w:val="1"/>
        </w:rPr>
        <w:t>i</w:t>
      </w:r>
      <w:r>
        <w:rPr>
          <w:spacing w:val="-4"/>
        </w:rPr>
        <w:t>m</w:t>
      </w:r>
      <w:r>
        <w:t>a</w:t>
      </w:r>
      <w:r>
        <w:rPr>
          <w:spacing w:val="1"/>
        </w:rPr>
        <w:t>ti</w:t>
      </w:r>
      <w:r>
        <w:t>v</w:t>
      </w:r>
      <w:r>
        <w:rPr>
          <w:spacing w:val="-3"/>
        </w:rPr>
        <w:t xml:space="preserve"> </w:t>
      </w:r>
      <w:r>
        <w:t>do</w:t>
      </w:r>
      <w:r>
        <w:rPr>
          <w:spacing w:val="-3"/>
        </w:rPr>
        <w:t>u</w:t>
      </w:r>
      <w:r>
        <w:t>ă</w:t>
      </w:r>
      <w:r>
        <w:rPr>
          <w:spacing w:val="-2"/>
        </w:rPr>
        <w:t xml:space="preserve"> </w:t>
      </w:r>
      <w:r>
        <w:t>săp</w:t>
      </w:r>
      <w:r>
        <w:rPr>
          <w:spacing w:val="-2"/>
        </w:rPr>
        <w:t>t</w:t>
      </w:r>
      <w:r>
        <w:t>ă</w:t>
      </w:r>
      <w:r>
        <w:rPr>
          <w:spacing w:val="-4"/>
        </w:rPr>
        <w:t>m</w:t>
      </w:r>
      <w:r>
        <w:t>ân</w:t>
      </w:r>
      <w:r>
        <w:rPr>
          <w:spacing w:val="1"/>
        </w:rPr>
        <w:t>i</w:t>
      </w:r>
      <w:r>
        <w:t xml:space="preserve">. </w:t>
      </w:r>
      <w:r>
        <w:rPr>
          <w:spacing w:val="-1"/>
        </w:rPr>
        <w:t>C</w:t>
      </w:r>
      <w:r>
        <w:t>oncen</w:t>
      </w:r>
      <w:r>
        <w:rPr>
          <w:spacing w:val="-2"/>
        </w:rPr>
        <w:t>t</w:t>
      </w:r>
      <w:r>
        <w:t>r</w:t>
      </w:r>
      <w:r>
        <w:rPr>
          <w:spacing w:val="-3"/>
        </w:rPr>
        <w:t>a</w:t>
      </w:r>
      <w:r>
        <w:rPr>
          <w:spacing w:val="1"/>
        </w:rPr>
        <w:t>ţ</w:t>
      </w:r>
      <w:r>
        <w:rPr>
          <w:spacing w:val="-2"/>
        </w:rPr>
        <w:t>i</w:t>
      </w:r>
      <w:r>
        <w:rPr>
          <w:spacing w:val="1"/>
        </w:rPr>
        <w:t>i</w:t>
      </w:r>
      <w:r>
        <w:rPr>
          <w:spacing w:val="-2"/>
        </w:rPr>
        <w:t>l</w:t>
      </w:r>
      <w:r>
        <w:t>e de</w:t>
      </w:r>
      <w:r>
        <w:rPr>
          <w:spacing w:val="-2"/>
        </w:rPr>
        <w:t xml:space="preserve"> </w:t>
      </w:r>
      <w:r>
        <w:t>ad</w:t>
      </w:r>
      <w:r>
        <w:rPr>
          <w:spacing w:val="-3"/>
        </w:rPr>
        <w:t>a</w:t>
      </w:r>
      <w:r>
        <w:rPr>
          <w:spacing w:val="1"/>
        </w:rPr>
        <w:t>li</w:t>
      </w:r>
      <w:r>
        <w:rPr>
          <w:spacing w:val="-4"/>
        </w:rPr>
        <w:t>m</w:t>
      </w:r>
      <w:r>
        <w:t>u</w:t>
      </w:r>
      <w:r>
        <w:rPr>
          <w:spacing w:val="-2"/>
        </w:rPr>
        <w:t>m</w:t>
      </w:r>
      <w:r>
        <w:t>ab d</w:t>
      </w:r>
      <w:r>
        <w:rPr>
          <w:spacing w:val="1"/>
        </w:rPr>
        <w:t>i</w:t>
      </w:r>
      <w:r>
        <w:t>n</w:t>
      </w:r>
      <w:r>
        <w:rPr>
          <w:spacing w:val="-3"/>
        </w:rPr>
        <w:t xml:space="preserve"> </w:t>
      </w:r>
      <w:r>
        <w:rPr>
          <w:spacing w:val="-2"/>
        </w:rPr>
        <w:t>l</w:t>
      </w:r>
      <w:r>
        <w:rPr>
          <w:spacing w:val="1"/>
        </w:rPr>
        <w:t>i</w:t>
      </w:r>
      <w:r>
        <w:t>c</w:t>
      </w:r>
      <w:r>
        <w:rPr>
          <w:spacing w:val="-3"/>
        </w:rPr>
        <w:t>h</w:t>
      </w:r>
      <w:r>
        <w:rPr>
          <w:spacing w:val="1"/>
        </w:rPr>
        <w:t>i</w:t>
      </w:r>
      <w:r>
        <w:t>dul</w:t>
      </w:r>
      <w:r>
        <w:rPr>
          <w:spacing w:val="-2"/>
        </w:rPr>
        <w:t xml:space="preserve"> </w:t>
      </w:r>
      <w:r>
        <w:t>s</w:t>
      </w:r>
      <w:r>
        <w:rPr>
          <w:spacing w:val="-2"/>
        </w:rPr>
        <w:t>i</w:t>
      </w:r>
      <w:r>
        <w:t>no</w:t>
      </w:r>
      <w:r>
        <w:rPr>
          <w:spacing w:val="-3"/>
        </w:rPr>
        <w:t>v</w:t>
      </w:r>
      <w:r>
        <w:rPr>
          <w:spacing w:val="1"/>
        </w:rPr>
        <w:t>i</w:t>
      </w:r>
      <w:r>
        <w:t>al</w:t>
      </w:r>
      <w:r>
        <w:rPr>
          <w:spacing w:val="-2"/>
        </w:rPr>
        <w:t xml:space="preserve"> </w:t>
      </w:r>
      <w:r>
        <w:rPr>
          <w:spacing w:val="1"/>
        </w:rPr>
        <w:t>l</w:t>
      </w:r>
      <w:r>
        <w:t>a</w:t>
      </w:r>
      <w:r>
        <w:rPr>
          <w:spacing w:val="-2"/>
        </w:rPr>
        <w:t xml:space="preserve"> </w:t>
      </w:r>
      <w:r>
        <w:rPr>
          <w:spacing w:val="-4"/>
        </w:rPr>
        <w:t>m</w:t>
      </w:r>
      <w:r>
        <w:t>ai</w:t>
      </w:r>
      <w:r>
        <w:rPr>
          <w:spacing w:val="3"/>
        </w:rPr>
        <w:t xml:space="preserve"> </w:t>
      </w:r>
      <w:r>
        <w:rPr>
          <w:spacing w:val="-4"/>
        </w:rPr>
        <w:t>m</w:t>
      </w:r>
      <w:r>
        <w:t>u</w:t>
      </w:r>
      <w:r>
        <w:rPr>
          <w:spacing w:val="1"/>
        </w:rPr>
        <w:t>lţ</w:t>
      </w:r>
      <w:r>
        <w:t>i</w:t>
      </w:r>
      <w:r>
        <w:rPr>
          <w:spacing w:val="1"/>
        </w:rPr>
        <w:t xml:space="preserve"> </w:t>
      </w:r>
      <w:r>
        <w:rPr>
          <w:spacing w:val="-3"/>
        </w:rPr>
        <w:t>p</w:t>
      </w:r>
      <w:r>
        <w:t>ac</w:t>
      </w:r>
      <w:r>
        <w:rPr>
          <w:spacing w:val="-2"/>
        </w:rPr>
        <w:t>i</w:t>
      </w:r>
      <w:r>
        <w:t>en</w:t>
      </w:r>
      <w:r>
        <w:rPr>
          <w:spacing w:val="-2"/>
        </w:rPr>
        <w:t>ţ</w:t>
      </w:r>
      <w:r>
        <w:t>i</w:t>
      </w:r>
      <w:r>
        <w:rPr>
          <w:spacing w:val="1"/>
        </w:rPr>
        <w:t xml:space="preserve"> </w:t>
      </w:r>
      <w:r>
        <w:rPr>
          <w:spacing w:val="-3"/>
        </w:rPr>
        <w:t>c</w:t>
      </w:r>
      <w:r>
        <w:t>u po</w:t>
      </w:r>
      <w:r>
        <w:rPr>
          <w:spacing w:val="-2"/>
        </w:rPr>
        <w:t>l</w:t>
      </w:r>
      <w:r>
        <w:rPr>
          <w:spacing w:val="1"/>
        </w:rPr>
        <w:t>i</w:t>
      </w:r>
      <w:r>
        <w:rPr>
          <w:spacing w:val="-3"/>
        </w:rPr>
        <w:t>a</w:t>
      </w:r>
      <w:r>
        <w:rPr>
          <w:spacing w:val="-2"/>
        </w:rPr>
        <w:t>r</w:t>
      </w:r>
      <w:r>
        <w:rPr>
          <w:spacing w:val="1"/>
        </w:rPr>
        <w:t>t</w:t>
      </w:r>
      <w:r>
        <w:rPr>
          <w:spacing w:val="-2"/>
        </w:rPr>
        <w:t>r</w:t>
      </w:r>
      <w:r>
        <w:rPr>
          <w:spacing w:val="1"/>
        </w:rPr>
        <w:t>it</w:t>
      </w:r>
      <w:r>
        <w:t>ă</w:t>
      </w:r>
      <w:r>
        <w:rPr>
          <w:spacing w:val="-2"/>
        </w:rPr>
        <w:t xml:space="preserve"> </w:t>
      </w:r>
      <w:r>
        <w:t>reu</w:t>
      </w:r>
      <w:r>
        <w:rPr>
          <w:spacing w:val="-4"/>
        </w:rPr>
        <w:t>m</w:t>
      </w:r>
      <w:r>
        <w:t>a</w:t>
      </w:r>
      <w:r>
        <w:rPr>
          <w:spacing w:val="1"/>
        </w:rPr>
        <w:t>t</w:t>
      </w:r>
      <w:r>
        <w:rPr>
          <w:spacing w:val="-3"/>
        </w:rPr>
        <w:t>o</w:t>
      </w:r>
      <w:r>
        <w:rPr>
          <w:spacing w:val="1"/>
        </w:rPr>
        <w:t>i</w:t>
      </w:r>
      <w:r>
        <w:t xml:space="preserve">dă a </w:t>
      </w:r>
      <w:r>
        <w:rPr>
          <w:spacing w:val="-3"/>
        </w:rPr>
        <w:t>v</w:t>
      </w:r>
      <w:r>
        <w:t>ar</w:t>
      </w:r>
      <w:r>
        <w:rPr>
          <w:spacing w:val="1"/>
        </w:rPr>
        <w:t>i</w:t>
      </w:r>
      <w:r>
        <w:t>at</w:t>
      </w:r>
      <w:r>
        <w:rPr>
          <w:spacing w:val="-2"/>
        </w:rPr>
        <w:t xml:space="preserve"> </w:t>
      </w:r>
      <w:r>
        <w:rPr>
          <w:spacing w:val="1"/>
        </w:rPr>
        <w:t>î</w:t>
      </w:r>
      <w:r>
        <w:rPr>
          <w:spacing w:val="-3"/>
        </w:rPr>
        <w:t>n</w:t>
      </w:r>
      <w:r>
        <w:rPr>
          <w:spacing w:val="1"/>
        </w:rPr>
        <w:t>t</w:t>
      </w:r>
      <w:r>
        <w:t>re</w:t>
      </w:r>
      <w:r>
        <w:rPr>
          <w:spacing w:val="-2"/>
        </w:rPr>
        <w:t xml:space="preserve"> </w:t>
      </w:r>
      <w:r>
        <w:t>3</w:t>
      </w:r>
      <w:r>
        <w:rPr>
          <w:spacing w:val="-1"/>
        </w:rPr>
        <w:t>1</w:t>
      </w:r>
      <w:r>
        <w:rPr>
          <w:spacing w:val="-4"/>
        </w:rPr>
        <w:noBreakHyphen/>
      </w:r>
      <w:r>
        <w:t>96%</w:t>
      </w:r>
      <w:r>
        <w:rPr>
          <w:spacing w:val="1"/>
        </w:rPr>
        <w:t xml:space="preserve"> </w:t>
      </w:r>
      <w:r>
        <w:t>d</w:t>
      </w:r>
      <w:r>
        <w:rPr>
          <w:spacing w:val="1"/>
        </w:rPr>
        <w:t>i</w:t>
      </w:r>
      <w:r>
        <w:t>n</w:t>
      </w:r>
      <w:r>
        <w:rPr>
          <w:spacing w:val="-3"/>
        </w:rPr>
        <w:t xml:space="preserve"> </w:t>
      </w:r>
      <w:r>
        <w:t>co</w:t>
      </w:r>
      <w:r>
        <w:rPr>
          <w:spacing w:val="-3"/>
        </w:rPr>
        <w:t>n</w:t>
      </w:r>
      <w:r>
        <w:t>cen</w:t>
      </w:r>
      <w:r>
        <w:rPr>
          <w:spacing w:val="-2"/>
        </w:rPr>
        <w:t>t</w:t>
      </w:r>
      <w:r>
        <w:t>r</w:t>
      </w:r>
      <w:r>
        <w:rPr>
          <w:spacing w:val="-3"/>
        </w:rPr>
        <w:t>a</w:t>
      </w:r>
      <w:r>
        <w:rPr>
          <w:spacing w:val="1"/>
        </w:rPr>
        <w:t>ţ</w:t>
      </w:r>
      <w:r>
        <w:rPr>
          <w:spacing w:val="-2"/>
        </w:rPr>
        <w:t>i</w:t>
      </w:r>
      <w:r>
        <w:rPr>
          <w:spacing w:val="1"/>
        </w:rPr>
        <w:t>i</w:t>
      </w:r>
      <w:r>
        <w:rPr>
          <w:spacing w:val="-2"/>
        </w:rPr>
        <w:t>l</w:t>
      </w:r>
      <w:r>
        <w:t>e p</w:t>
      </w:r>
      <w:r>
        <w:rPr>
          <w:spacing w:val="-2"/>
        </w:rPr>
        <w:t>l</w:t>
      </w:r>
      <w:r>
        <w:t>as</w:t>
      </w:r>
      <w:r>
        <w:rPr>
          <w:spacing w:val="-4"/>
        </w:rPr>
        <w:t>m</w:t>
      </w:r>
      <w:r>
        <w:t>a</w:t>
      </w:r>
      <w:r>
        <w:rPr>
          <w:spacing w:val="1"/>
        </w:rPr>
        <w:t>ti</w:t>
      </w:r>
      <w:r>
        <w:rPr>
          <w:spacing w:val="-3"/>
        </w:rPr>
        <w:t>c</w:t>
      </w:r>
      <w:r>
        <w:t>e.</w:t>
      </w:r>
    </w:p>
    <w:p w14:paraId="679281BD" w14:textId="77777777" w:rsidR="00C04CAD" w:rsidRDefault="00C04CAD">
      <w:pPr>
        <w:tabs>
          <w:tab w:val="clear" w:pos="567"/>
        </w:tabs>
        <w:kinsoku w:val="0"/>
        <w:overflowPunct w:val="0"/>
        <w:autoSpaceDE w:val="0"/>
        <w:autoSpaceDN w:val="0"/>
        <w:adjustRightInd w:val="0"/>
        <w:spacing w:line="240" w:lineRule="auto"/>
      </w:pPr>
    </w:p>
    <w:p w14:paraId="7A881389" w14:textId="77777777" w:rsidR="00C04CAD" w:rsidRDefault="00060E34">
      <w:pPr>
        <w:tabs>
          <w:tab w:val="clear" w:pos="567"/>
        </w:tabs>
        <w:kinsoku w:val="0"/>
        <w:overflowPunct w:val="0"/>
        <w:autoSpaceDE w:val="0"/>
        <w:autoSpaceDN w:val="0"/>
        <w:adjustRightInd w:val="0"/>
        <w:spacing w:line="240" w:lineRule="auto"/>
      </w:pPr>
      <w:r>
        <w:rPr>
          <w:spacing w:val="-1"/>
        </w:rPr>
        <w:t>D</w:t>
      </w:r>
      <w:r>
        <w:t>upă ad</w:t>
      </w:r>
      <w:r>
        <w:rPr>
          <w:spacing w:val="-4"/>
        </w:rPr>
        <w:t>m</w:t>
      </w:r>
      <w:r>
        <w:rPr>
          <w:spacing w:val="1"/>
        </w:rPr>
        <w:t>i</w:t>
      </w:r>
      <w:r>
        <w:t>n</w:t>
      </w:r>
      <w:r>
        <w:rPr>
          <w:spacing w:val="1"/>
        </w:rPr>
        <w:t>i</w:t>
      </w:r>
      <w:r>
        <w:rPr>
          <w:spacing w:val="-2"/>
        </w:rPr>
        <w:t>s</w:t>
      </w:r>
      <w:r>
        <w:rPr>
          <w:spacing w:val="1"/>
        </w:rPr>
        <w:t>t</w:t>
      </w:r>
      <w:r>
        <w:rPr>
          <w:spacing w:val="-2"/>
        </w:rPr>
        <w:t>r</w:t>
      </w:r>
      <w:r>
        <w:t>ar</w:t>
      </w:r>
      <w:r>
        <w:rPr>
          <w:spacing w:val="-3"/>
        </w:rPr>
        <w:t>e</w:t>
      </w:r>
      <w:r>
        <w:t>a su</w:t>
      </w:r>
      <w:r>
        <w:rPr>
          <w:spacing w:val="-3"/>
        </w:rPr>
        <w:t>b</w:t>
      </w:r>
      <w:r>
        <w:t>cu</w:t>
      </w:r>
      <w:r>
        <w:rPr>
          <w:spacing w:val="-2"/>
        </w:rPr>
        <w:t>t</w:t>
      </w:r>
      <w:r>
        <w:rPr>
          <w:spacing w:val="-3"/>
        </w:rPr>
        <w:t>a</w:t>
      </w:r>
      <w:r>
        <w:t>na</w:t>
      </w:r>
      <w:r>
        <w:rPr>
          <w:spacing w:val="1"/>
        </w:rPr>
        <w:t>t</w:t>
      </w:r>
      <w:r>
        <w:t>ă</w:t>
      </w:r>
      <w:r>
        <w:rPr>
          <w:spacing w:val="-2"/>
        </w:rPr>
        <w:t xml:space="preserve"> </w:t>
      </w:r>
      <w:r>
        <w:t>a 40 </w:t>
      </w:r>
      <w:r>
        <w:rPr>
          <w:spacing w:val="-4"/>
        </w:rPr>
        <w:t>m</w:t>
      </w:r>
      <w:r>
        <w:t>g</w:t>
      </w:r>
      <w:r>
        <w:rPr>
          <w:spacing w:val="-3"/>
        </w:rPr>
        <w:t xml:space="preserve"> </w:t>
      </w:r>
      <w:r>
        <w:t>ada</w:t>
      </w:r>
      <w:r>
        <w:rPr>
          <w:spacing w:val="1"/>
        </w:rPr>
        <w:t>li</w:t>
      </w:r>
      <w:r>
        <w:rPr>
          <w:spacing w:val="-4"/>
        </w:rPr>
        <w:t>m</w:t>
      </w:r>
      <w:r>
        <w:t>u</w:t>
      </w:r>
      <w:r>
        <w:rPr>
          <w:spacing w:val="-4"/>
        </w:rPr>
        <w:t>m</w:t>
      </w:r>
      <w:r>
        <w:t xml:space="preserve">ab </w:t>
      </w:r>
      <w:r>
        <w:rPr>
          <w:spacing w:val="1"/>
        </w:rPr>
        <w:t>l</w:t>
      </w:r>
      <w:r>
        <w:t>a două</w:t>
      </w:r>
      <w:r>
        <w:rPr>
          <w:spacing w:val="-2"/>
        </w:rPr>
        <w:t xml:space="preserve"> </w:t>
      </w:r>
      <w:r>
        <w:t>să</w:t>
      </w:r>
      <w:r>
        <w:rPr>
          <w:spacing w:val="-3"/>
        </w:rPr>
        <w:t>p</w:t>
      </w:r>
      <w:r>
        <w:rPr>
          <w:spacing w:val="1"/>
        </w:rPr>
        <w:t>t</w:t>
      </w:r>
      <w:r>
        <w:t>ă</w:t>
      </w:r>
      <w:r>
        <w:rPr>
          <w:spacing w:val="-4"/>
        </w:rPr>
        <w:t>m</w:t>
      </w:r>
      <w:r>
        <w:t>ân</w:t>
      </w:r>
      <w:r>
        <w:rPr>
          <w:spacing w:val="1"/>
        </w:rPr>
        <w:t>i</w:t>
      </w:r>
      <w:r>
        <w:t xml:space="preserve">, </w:t>
      </w:r>
      <w:r>
        <w:rPr>
          <w:spacing w:val="-2"/>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ad</w:t>
      </w:r>
      <w:r>
        <w:rPr>
          <w:spacing w:val="-3"/>
        </w:rPr>
        <w:t>u</w:t>
      </w:r>
      <w:r>
        <w:rPr>
          <w:spacing w:val="1"/>
        </w:rPr>
        <w:t>l</w:t>
      </w:r>
      <w:r>
        <w:rPr>
          <w:spacing w:val="-2"/>
        </w:rPr>
        <w:t>ţ</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w:t>
      </w:r>
      <w:r>
        <w:rPr>
          <w:spacing w:val="-2"/>
        </w:rPr>
        <w:t>t</w:t>
      </w:r>
      <w:r>
        <w:t>ă reu</w:t>
      </w:r>
      <w:r>
        <w:rPr>
          <w:spacing w:val="-4"/>
        </w:rPr>
        <w:t>m</w:t>
      </w:r>
      <w:r>
        <w:t>a</w:t>
      </w:r>
      <w:r>
        <w:rPr>
          <w:spacing w:val="1"/>
        </w:rPr>
        <w:t>t</w:t>
      </w:r>
      <w:r>
        <w:t>o</w:t>
      </w:r>
      <w:r>
        <w:rPr>
          <w:spacing w:val="1"/>
        </w:rPr>
        <w:t>i</w:t>
      </w:r>
      <w:r>
        <w:rPr>
          <w:spacing w:val="-3"/>
        </w:rPr>
        <w:t>d</w:t>
      </w:r>
      <w:r>
        <w:t>ă, (</w:t>
      </w:r>
      <w:r>
        <w:rPr>
          <w:spacing w:val="-1"/>
        </w:rPr>
        <w:t>PR</w:t>
      </w:r>
      <w:r>
        <w:t>),</w:t>
      </w:r>
      <w:r>
        <w:rPr>
          <w:spacing w:val="-3"/>
        </w:rPr>
        <w:t xml:space="preserve"> </w:t>
      </w:r>
      <w:r>
        <w:rPr>
          <w:spacing w:val="-4"/>
        </w:rPr>
        <w:t>m</w:t>
      </w:r>
      <w:r>
        <w:t>ed</w:t>
      </w:r>
      <w:r>
        <w:rPr>
          <w:spacing w:val="1"/>
        </w:rPr>
        <w:t>i</w:t>
      </w:r>
      <w:r>
        <w:t xml:space="preserve">a </w:t>
      </w:r>
      <w:r>
        <w:rPr>
          <w:spacing w:val="-3"/>
        </w:rPr>
        <w:t>c</w:t>
      </w:r>
      <w:r>
        <w:t>once</w:t>
      </w:r>
      <w:r>
        <w:rPr>
          <w:spacing w:val="-3"/>
        </w:rPr>
        <w:t>n</w:t>
      </w:r>
      <w:r>
        <w:rPr>
          <w:spacing w:val="1"/>
        </w:rPr>
        <w:t>t</w:t>
      </w:r>
      <w:r>
        <w:t>r</w:t>
      </w:r>
      <w:r>
        <w:rPr>
          <w:spacing w:val="-3"/>
        </w:rPr>
        <w:t>a</w:t>
      </w:r>
      <w:r>
        <w:rPr>
          <w:spacing w:val="1"/>
        </w:rPr>
        <w:t>ţ</w:t>
      </w:r>
      <w:r>
        <w:rPr>
          <w:spacing w:val="-2"/>
        </w:rPr>
        <w:t>ii</w:t>
      </w:r>
      <w:r>
        <w:rPr>
          <w:spacing w:val="1"/>
        </w:rPr>
        <w:t>l</w:t>
      </w:r>
      <w:r>
        <w:t>or</w:t>
      </w:r>
      <w:r>
        <w:rPr>
          <w:spacing w:val="-2"/>
        </w:rPr>
        <w:t xml:space="preserve"> </w:t>
      </w:r>
      <w:r>
        <w:rPr>
          <w:spacing w:val="1"/>
        </w:rPr>
        <w:t>î</w:t>
      </w:r>
      <w:r>
        <w:t>n</w:t>
      </w:r>
      <w:r>
        <w:rPr>
          <w:spacing w:val="-3"/>
        </w:rPr>
        <w:t>a</w:t>
      </w:r>
      <w:r>
        <w:rPr>
          <w:spacing w:val="1"/>
        </w:rPr>
        <w:t>i</w:t>
      </w:r>
      <w:r>
        <w:t>n</w:t>
      </w:r>
      <w:r>
        <w:rPr>
          <w:spacing w:val="-2"/>
        </w:rPr>
        <w:t>t</w:t>
      </w:r>
      <w:r>
        <w:t>e de</w:t>
      </w:r>
      <w:r>
        <w:rPr>
          <w:spacing w:val="-2"/>
        </w:rPr>
        <w:t xml:space="preserve"> </w:t>
      </w:r>
      <w:r>
        <w:t>u</w:t>
      </w:r>
      <w:r>
        <w:rPr>
          <w:spacing w:val="-2"/>
        </w:rPr>
        <w:t>r</w:t>
      </w:r>
      <w:r>
        <w:rPr>
          <w:spacing w:val="-4"/>
        </w:rPr>
        <w:t>m</w:t>
      </w:r>
      <w:r>
        <w:t>ă</w:t>
      </w:r>
      <w:r>
        <w:rPr>
          <w:spacing w:val="1"/>
        </w:rPr>
        <w:t>t</w:t>
      </w:r>
      <w:r>
        <w:t xml:space="preserve">oarea </w:t>
      </w:r>
      <w:r>
        <w:rPr>
          <w:spacing w:val="-3"/>
        </w:rPr>
        <w:t>d</w:t>
      </w:r>
      <w:r>
        <w:t>o</w:t>
      </w:r>
      <w:r>
        <w:rPr>
          <w:spacing w:val="-3"/>
        </w:rPr>
        <w:t>z</w:t>
      </w:r>
      <w:r>
        <w:t xml:space="preserve">ă, </w:t>
      </w:r>
      <w:r>
        <w:rPr>
          <w:spacing w:val="1"/>
        </w:rPr>
        <w:t>l</w:t>
      </w:r>
      <w:r>
        <w:t>a</w:t>
      </w:r>
      <w:r>
        <w:rPr>
          <w:spacing w:val="-2"/>
        </w:rPr>
        <w:t xml:space="preserve"> </w:t>
      </w:r>
      <w:r>
        <w:t>s</w:t>
      </w:r>
      <w:r>
        <w:rPr>
          <w:spacing w:val="1"/>
        </w:rPr>
        <w:t>t</w:t>
      </w:r>
      <w:r>
        <w:rPr>
          <w:spacing w:val="-2"/>
        </w:rPr>
        <w:t>a</w:t>
      </w:r>
      <w:r>
        <w:t>rea</w:t>
      </w:r>
      <w:r>
        <w:rPr>
          <w:spacing w:val="-2"/>
        </w:rPr>
        <w:t xml:space="preserve"> </w:t>
      </w:r>
      <w:r>
        <w:t>de</w:t>
      </w:r>
      <w:r>
        <w:rPr>
          <w:spacing w:val="-2"/>
        </w:rPr>
        <w:t xml:space="preserve"> </w:t>
      </w:r>
      <w:r>
        <w:t>ech</w:t>
      </w:r>
      <w:r>
        <w:rPr>
          <w:spacing w:val="-2"/>
        </w:rPr>
        <w:t>i</w:t>
      </w:r>
      <w:r>
        <w:rPr>
          <w:spacing w:val="1"/>
        </w:rPr>
        <w:t>l</w:t>
      </w:r>
      <w:r>
        <w:rPr>
          <w:spacing w:val="-2"/>
        </w:rPr>
        <w:t>i</w:t>
      </w:r>
      <w:r>
        <w:t>bru,</w:t>
      </w:r>
      <w:r>
        <w:rPr>
          <w:spacing w:val="-3"/>
        </w:rPr>
        <w:t xml:space="preserve"> </w:t>
      </w:r>
      <w:r>
        <w:t>a f</w:t>
      </w:r>
      <w:r>
        <w:rPr>
          <w:spacing w:val="-3"/>
        </w:rPr>
        <w:t>o</w:t>
      </w:r>
      <w:r>
        <w:t>st</w:t>
      </w:r>
      <w:r>
        <w:rPr>
          <w:spacing w:val="1"/>
        </w:rPr>
        <w:t xml:space="preserve"> </w:t>
      </w:r>
      <w:r>
        <w:rPr>
          <w:spacing w:val="-3"/>
        </w:rPr>
        <w:t>d</w:t>
      </w:r>
      <w:r>
        <w:t>e apro</w:t>
      </w:r>
      <w:r>
        <w:rPr>
          <w:spacing w:val="-3"/>
        </w:rPr>
        <w:t>x</w:t>
      </w:r>
      <w:r>
        <w:rPr>
          <w:spacing w:val="1"/>
        </w:rPr>
        <w:t>i</w:t>
      </w:r>
      <w:r>
        <w:rPr>
          <w:spacing w:val="-4"/>
        </w:rPr>
        <w:t>m</w:t>
      </w:r>
      <w:r>
        <w:t>a</w:t>
      </w:r>
      <w:r>
        <w:rPr>
          <w:spacing w:val="1"/>
        </w:rPr>
        <w:t>ti</w:t>
      </w:r>
      <w:r>
        <w:t>v</w:t>
      </w:r>
      <w:r>
        <w:rPr>
          <w:spacing w:val="-3"/>
        </w:rPr>
        <w:t xml:space="preserve"> </w:t>
      </w:r>
      <w:r>
        <w:t>5 </w:t>
      </w:r>
      <w:r>
        <w:rPr>
          <w:spacing w:val="-3"/>
        </w:rPr>
        <w:t>µg</w:t>
      </w:r>
      <w:r>
        <w:rPr>
          <w:spacing w:val="3"/>
        </w:rPr>
        <w:t>/</w:t>
      </w:r>
      <w:r>
        <w:rPr>
          <w:spacing w:val="-4"/>
        </w:rPr>
        <w:t>m</w:t>
      </w:r>
      <w:r>
        <w:t>l</w:t>
      </w:r>
      <w:r>
        <w:rPr>
          <w:spacing w:val="1"/>
        </w:rPr>
        <w:t xml:space="preserve"> </w:t>
      </w:r>
      <w:r>
        <w:t>(f</w:t>
      </w:r>
      <w:r>
        <w:rPr>
          <w:spacing w:val="-3"/>
        </w:rPr>
        <w:t>ă</w:t>
      </w:r>
      <w:r>
        <w:t>ră</w:t>
      </w:r>
      <w:r>
        <w:rPr>
          <w:spacing w:val="-2"/>
        </w:rPr>
        <w:t xml:space="preserve"> </w:t>
      </w:r>
      <w:r>
        <w:t>ad</w:t>
      </w:r>
      <w:r>
        <w:rPr>
          <w:spacing w:val="-4"/>
        </w:rPr>
        <w:t>m</w:t>
      </w:r>
      <w:r>
        <w:rPr>
          <w:spacing w:val="1"/>
        </w:rPr>
        <w:t>i</w:t>
      </w:r>
      <w:r>
        <w:t>n</w:t>
      </w:r>
      <w:r>
        <w:rPr>
          <w:spacing w:val="1"/>
        </w:rPr>
        <w:t>i</w:t>
      </w:r>
      <w:r>
        <w:t>s</w:t>
      </w:r>
      <w:r>
        <w:rPr>
          <w:spacing w:val="-2"/>
        </w:rPr>
        <w:t>t</w:t>
      </w:r>
      <w:r>
        <w:t>ra</w:t>
      </w:r>
      <w:r>
        <w:rPr>
          <w:spacing w:val="-2"/>
        </w:rPr>
        <w:t>r</w:t>
      </w:r>
      <w:r>
        <w:t>ea</w:t>
      </w:r>
      <w:r>
        <w:rPr>
          <w:spacing w:val="-2"/>
        </w:rPr>
        <w:t xml:space="preserve"> </w:t>
      </w:r>
      <w:r>
        <w:t>conco</w:t>
      </w:r>
      <w:r>
        <w:rPr>
          <w:spacing w:val="-4"/>
        </w:rPr>
        <w:t>m</w:t>
      </w:r>
      <w:r>
        <w:rPr>
          <w:spacing w:val="1"/>
        </w:rPr>
        <w:t>it</w:t>
      </w:r>
      <w:r>
        <w:rPr>
          <w:spacing w:val="-3"/>
        </w:rPr>
        <w:t>e</w:t>
      </w:r>
      <w:r>
        <w:t>n</w:t>
      </w:r>
      <w:r>
        <w:rPr>
          <w:spacing w:val="1"/>
        </w:rPr>
        <w:t>t</w:t>
      </w:r>
      <w:r>
        <w:t>ă</w:t>
      </w:r>
      <w:r>
        <w:rPr>
          <w:spacing w:val="-2"/>
        </w:rPr>
        <w:t xml:space="preserve"> </w:t>
      </w:r>
      <w:r>
        <w:t xml:space="preserve">de </w:t>
      </w:r>
      <w:r>
        <w:rPr>
          <w:spacing w:val="-4"/>
        </w:rPr>
        <w:t>m</w:t>
      </w:r>
      <w:r>
        <w:t>e</w:t>
      </w:r>
      <w:r>
        <w:rPr>
          <w:spacing w:val="1"/>
        </w:rPr>
        <w:t>t</w:t>
      </w:r>
      <w:r>
        <w:t>o</w:t>
      </w:r>
      <w:r>
        <w:rPr>
          <w:spacing w:val="1"/>
        </w:rPr>
        <w:t>t</w:t>
      </w:r>
      <w:r>
        <w:rPr>
          <w:spacing w:val="-2"/>
        </w:rPr>
        <w:t>r</w:t>
      </w:r>
      <w:r>
        <w:t>ex</w:t>
      </w:r>
      <w:r>
        <w:rPr>
          <w:spacing w:val="-3"/>
        </w:rPr>
        <w:t>a</w:t>
      </w:r>
      <w:r>
        <w:rPr>
          <w:spacing w:val="1"/>
        </w:rPr>
        <w:t>t</w:t>
      </w:r>
      <w:r>
        <w:t>)</w:t>
      </w:r>
      <w:r>
        <w:rPr>
          <w:spacing w:val="-2"/>
        </w:rPr>
        <w:t xml:space="preserve"> </w:t>
      </w:r>
      <w:r>
        <w:t>şi</w:t>
      </w:r>
      <w:r>
        <w:rPr>
          <w:spacing w:val="-2"/>
        </w:rPr>
        <w:t xml:space="preserve"> </w:t>
      </w:r>
      <w:r>
        <w:t>res</w:t>
      </w:r>
      <w:r>
        <w:rPr>
          <w:spacing w:val="-3"/>
        </w:rPr>
        <w:t>p</w:t>
      </w:r>
      <w:r>
        <w:t>e</w:t>
      </w:r>
      <w:r>
        <w:rPr>
          <w:spacing w:val="-3"/>
        </w:rPr>
        <w:t>c</w:t>
      </w:r>
      <w:r>
        <w:rPr>
          <w:spacing w:val="1"/>
        </w:rPr>
        <w:t>ti</w:t>
      </w:r>
      <w:r>
        <w:t>v</w:t>
      </w:r>
      <w:r>
        <w:rPr>
          <w:spacing w:val="-3"/>
        </w:rPr>
        <w:t xml:space="preserve"> </w:t>
      </w:r>
      <w:r>
        <w:t>de 8 pâ</w:t>
      </w:r>
      <w:r>
        <w:rPr>
          <w:spacing w:val="-3"/>
        </w:rPr>
        <w:t>n</w:t>
      </w:r>
      <w:r>
        <w:t xml:space="preserve">ă </w:t>
      </w:r>
      <w:r>
        <w:rPr>
          <w:spacing w:val="-2"/>
        </w:rPr>
        <w:t>l</w:t>
      </w:r>
      <w:r>
        <w:t>a 9 </w:t>
      </w:r>
      <w:r>
        <w:rPr>
          <w:spacing w:val="-3"/>
        </w:rPr>
        <w:t>µg</w:t>
      </w:r>
      <w:r>
        <w:rPr>
          <w:spacing w:val="3"/>
        </w:rPr>
        <w:t>/</w:t>
      </w:r>
      <w:r>
        <w:rPr>
          <w:spacing w:val="-4"/>
        </w:rPr>
        <w:t>m</w:t>
      </w:r>
      <w:r>
        <w:t>l</w:t>
      </w:r>
      <w:r>
        <w:rPr>
          <w:spacing w:val="1"/>
        </w:rPr>
        <w:t xml:space="preserve"> </w:t>
      </w:r>
      <w:r>
        <w:t>(cu ad</w:t>
      </w:r>
      <w:r>
        <w:rPr>
          <w:spacing w:val="-4"/>
        </w:rPr>
        <w:t>m</w:t>
      </w:r>
      <w:r>
        <w:rPr>
          <w:spacing w:val="1"/>
        </w:rPr>
        <w:t>i</w:t>
      </w:r>
      <w:r>
        <w:t>n</w:t>
      </w:r>
      <w:r>
        <w:rPr>
          <w:spacing w:val="1"/>
        </w:rPr>
        <w:t>i</w:t>
      </w:r>
      <w:r>
        <w:rPr>
          <w:spacing w:val="-2"/>
        </w:rPr>
        <w:t>s</w:t>
      </w:r>
      <w:r>
        <w:rPr>
          <w:spacing w:val="1"/>
        </w:rPr>
        <w:t>t</w:t>
      </w:r>
      <w:r>
        <w:rPr>
          <w:spacing w:val="-2"/>
        </w:rPr>
        <w:t>r</w:t>
      </w:r>
      <w:r>
        <w:t>a</w:t>
      </w:r>
      <w:r>
        <w:rPr>
          <w:spacing w:val="-2"/>
        </w:rPr>
        <w:t>r</w:t>
      </w:r>
      <w:r>
        <w:t>ea c</w:t>
      </w:r>
      <w:r>
        <w:rPr>
          <w:spacing w:val="-3"/>
        </w:rPr>
        <w:t>o</w:t>
      </w:r>
      <w:r>
        <w:t>nco</w:t>
      </w:r>
      <w:r>
        <w:rPr>
          <w:spacing w:val="-4"/>
        </w:rPr>
        <w:t>m</w:t>
      </w:r>
      <w:r>
        <w:rPr>
          <w:spacing w:val="1"/>
        </w:rPr>
        <w:t>it</w:t>
      </w:r>
      <w:r>
        <w:t>en</w:t>
      </w:r>
      <w:r>
        <w:rPr>
          <w:spacing w:val="-2"/>
        </w:rPr>
        <w:t>t</w:t>
      </w:r>
      <w:r>
        <w:t xml:space="preserve">ă de </w:t>
      </w:r>
      <w:r>
        <w:rPr>
          <w:spacing w:val="-4"/>
        </w:rPr>
        <w:t>m</w:t>
      </w:r>
      <w:r>
        <w:t>e</w:t>
      </w:r>
      <w:r>
        <w:rPr>
          <w:spacing w:val="1"/>
        </w:rPr>
        <w:t>t</w:t>
      </w:r>
      <w:r>
        <w:rPr>
          <w:spacing w:val="-3"/>
        </w:rPr>
        <w:t>o</w:t>
      </w:r>
      <w:r>
        <w:rPr>
          <w:spacing w:val="1"/>
        </w:rPr>
        <w:t>t</w:t>
      </w:r>
      <w:r>
        <w:t>r</w:t>
      </w:r>
      <w:r>
        <w:rPr>
          <w:spacing w:val="-3"/>
        </w:rPr>
        <w:t>e</w:t>
      </w:r>
      <w:r>
        <w:t>xa</w:t>
      </w:r>
      <w:r>
        <w:rPr>
          <w:spacing w:val="-2"/>
        </w:rPr>
        <w:t>t</w:t>
      </w:r>
      <w:r>
        <w:t>).</w:t>
      </w:r>
      <w:r>
        <w:rPr>
          <w:spacing w:val="-3"/>
        </w:rPr>
        <w:t xml:space="preserve"> </w:t>
      </w:r>
      <w:r>
        <w:rPr>
          <w:spacing w:val="-1"/>
        </w:rPr>
        <w:t>C</w:t>
      </w:r>
      <w:r>
        <w:t>oncen</w:t>
      </w:r>
      <w:r>
        <w:rPr>
          <w:spacing w:val="-2"/>
        </w:rPr>
        <w:t>t</w:t>
      </w:r>
      <w:r>
        <w:t>r</w:t>
      </w:r>
      <w:r>
        <w:rPr>
          <w:spacing w:val="-3"/>
        </w:rPr>
        <w:t>a</w:t>
      </w:r>
      <w:r>
        <w:rPr>
          <w:spacing w:val="1"/>
        </w:rPr>
        <w:t>ţ</w:t>
      </w:r>
      <w:r>
        <w:rPr>
          <w:spacing w:val="-2"/>
        </w:rPr>
        <w:t>i</w:t>
      </w:r>
      <w:r>
        <w:rPr>
          <w:spacing w:val="1"/>
        </w:rPr>
        <w:t>i</w:t>
      </w:r>
      <w:r>
        <w:rPr>
          <w:spacing w:val="-2"/>
        </w:rPr>
        <w:t>l</w:t>
      </w:r>
      <w:r>
        <w:t>e p</w:t>
      </w:r>
      <w:r>
        <w:rPr>
          <w:spacing w:val="-2"/>
        </w:rPr>
        <w:t>l</w:t>
      </w:r>
      <w:r>
        <w:t>as</w:t>
      </w:r>
      <w:r>
        <w:rPr>
          <w:spacing w:val="-4"/>
        </w:rPr>
        <w:t>m</w:t>
      </w:r>
      <w:r>
        <w:t>a</w:t>
      </w:r>
      <w:r>
        <w:rPr>
          <w:spacing w:val="1"/>
        </w:rPr>
        <w:t>ti</w:t>
      </w:r>
      <w:r>
        <w:rPr>
          <w:spacing w:val="-3"/>
        </w:rPr>
        <w:t>c</w:t>
      </w:r>
      <w:r>
        <w:t xml:space="preserve">e </w:t>
      </w:r>
      <w:r>
        <w:rPr>
          <w:spacing w:val="-2"/>
        </w:rPr>
        <w:t>î</w:t>
      </w:r>
      <w:r>
        <w:t>na</w:t>
      </w:r>
      <w:r>
        <w:rPr>
          <w:spacing w:val="1"/>
        </w:rPr>
        <w:t>i</w:t>
      </w:r>
      <w:r>
        <w:rPr>
          <w:spacing w:val="-3"/>
        </w:rPr>
        <w:t>n</w:t>
      </w:r>
      <w:r>
        <w:rPr>
          <w:spacing w:val="1"/>
        </w:rPr>
        <w:t>t</w:t>
      </w:r>
      <w:r>
        <w:t xml:space="preserve">e </w:t>
      </w:r>
      <w:r>
        <w:rPr>
          <w:spacing w:val="-3"/>
        </w:rPr>
        <w:t>d</w:t>
      </w:r>
      <w:r>
        <w:t>e ur</w:t>
      </w:r>
      <w:r>
        <w:rPr>
          <w:spacing w:val="-4"/>
        </w:rPr>
        <w:t>m</w:t>
      </w:r>
      <w:r>
        <w:t>ă</w:t>
      </w:r>
      <w:r>
        <w:rPr>
          <w:spacing w:val="1"/>
        </w:rPr>
        <w:t>t</w:t>
      </w:r>
      <w:r>
        <w:t>o</w:t>
      </w:r>
      <w:r>
        <w:rPr>
          <w:spacing w:val="-3"/>
        </w:rPr>
        <w:t>a</w:t>
      </w:r>
      <w:r>
        <w:t>rea do</w:t>
      </w:r>
      <w:r>
        <w:rPr>
          <w:spacing w:val="-3"/>
        </w:rPr>
        <w:t>z</w:t>
      </w:r>
      <w:r>
        <w:t>ă de ad</w:t>
      </w:r>
      <w:r>
        <w:rPr>
          <w:spacing w:val="-3"/>
        </w:rPr>
        <w:t>a</w:t>
      </w:r>
      <w:r>
        <w:rPr>
          <w:spacing w:val="1"/>
        </w:rPr>
        <w:t>li</w:t>
      </w:r>
      <w:r>
        <w:rPr>
          <w:spacing w:val="-4"/>
        </w:rPr>
        <w:t>m</w:t>
      </w:r>
      <w:r>
        <w:t>u</w:t>
      </w:r>
      <w:r>
        <w:rPr>
          <w:spacing w:val="-4"/>
        </w:rPr>
        <w:t>m</w:t>
      </w:r>
      <w:r>
        <w:t xml:space="preserve">ab </w:t>
      </w:r>
      <w:r>
        <w:rPr>
          <w:spacing w:val="1"/>
        </w:rPr>
        <w:t>l</w:t>
      </w:r>
      <w:r>
        <w:t>a s</w:t>
      </w:r>
      <w:r>
        <w:rPr>
          <w:spacing w:val="-2"/>
        </w:rPr>
        <w:t>t</w:t>
      </w:r>
      <w:r>
        <w:t>a</w:t>
      </w:r>
      <w:r>
        <w:rPr>
          <w:spacing w:val="-2"/>
        </w:rPr>
        <w:t>r</w:t>
      </w:r>
      <w:r>
        <w:t>ea de</w:t>
      </w:r>
      <w:r>
        <w:rPr>
          <w:spacing w:val="-2"/>
        </w:rPr>
        <w:t xml:space="preserve"> </w:t>
      </w:r>
      <w:r>
        <w:t>ec</w:t>
      </w:r>
      <w:r>
        <w:rPr>
          <w:spacing w:val="-3"/>
        </w:rPr>
        <w:t>h</w:t>
      </w:r>
      <w:r>
        <w:rPr>
          <w:spacing w:val="1"/>
        </w:rPr>
        <w:t>i</w:t>
      </w:r>
      <w:r>
        <w:rPr>
          <w:spacing w:val="-2"/>
        </w:rPr>
        <w:t>l</w:t>
      </w:r>
      <w:r>
        <w:rPr>
          <w:spacing w:val="1"/>
        </w:rPr>
        <w:t>i</w:t>
      </w:r>
      <w:r>
        <w:t>bru</w:t>
      </w:r>
      <w:r>
        <w:rPr>
          <w:spacing w:val="-3"/>
        </w:rPr>
        <w:t xml:space="preserve"> </w:t>
      </w:r>
      <w:r>
        <w:t xml:space="preserve">au </w:t>
      </w:r>
      <w:r>
        <w:rPr>
          <w:spacing w:val="-3"/>
        </w:rPr>
        <w:t>c</w:t>
      </w:r>
      <w:r>
        <w:t>re</w:t>
      </w:r>
      <w:r>
        <w:rPr>
          <w:spacing w:val="-2"/>
        </w:rPr>
        <w:t>s</w:t>
      </w:r>
      <w:r>
        <w:t>cut</w:t>
      </w:r>
      <w:r>
        <w:rPr>
          <w:spacing w:val="-2"/>
        </w:rPr>
        <w:t xml:space="preserve"> </w:t>
      </w:r>
      <w:r>
        <w:rPr>
          <w:spacing w:val="-3"/>
        </w:rPr>
        <w:t>a</w:t>
      </w:r>
      <w:r>
        <w:t>proa</w:t>
      </w:r>
      <w:r>
        <w:rPr>
          <w:spacing w:val="-3"/>
        </w:rPr>
        <w:t>p</w:t>
      </w:r>
      <w:r>
        <w:t>e pr</w:t>
      </w:r>
      <w:r>
        <w:rPr>
          <w:spacing w:val="-3"/>
        </w:rPr>
        <w:t>o</w:t>
      </w:r>
      <w:r>
        <w:t>po</w:t>
      </w:r>
      <w:r>
        <w:rPr>
          <w:spacing w:val="-2"/>
        </w:rPr>
        <w:t>r</w:t>
      </w:r>
      <w:r>
        <w:rPr>
          <w:spacing w:val="1"/>
        </w:rPr>
        <w:t>ţi</w:t>
      </w:r>
      <w:r>
        <w:rPr>
          <w:spacing w:val="-3"/>
        </w:rPr>
        <w:t>o</w:t>
      </w:r>
      <w:r>
        <w:t>nal</w:t>
      </w:r>
      <w:r>
        <w:rPr>
          <w:spacing w:val="-2"/>
        </w:rPr>
        <w:t xml:space="preserve"> </w:t>
      </w:r>
      <w:r>
        <w:t>cu do</w:t>
      </w:r>
      <w:r>
        <w:rPr>
          <w:spacing w:val="-5"/>
        </w:rPr>
        <w:t>z</w:t>
      </w:r>
      <w:r>
        <w:t>a, după</w:t>
      </w:r>
      <w:r>
        <w:rPr>
          <w:spacing w:val="-2"/>
        </w:rPr>
        <w:t xml:space="preserve"> </w:t>
      </w:r>
      <w:r>
        <w:t>ad</w:t>
      </w:r>
      <w:r>
        <w:rPr>
          <w:spacing w:val="-4"/>
        </w:rPr>
        <w:t>m</w:t>
      </w:r>
      <w:r>
        <w:rPr>
          <w:spacing w:val="1"/>
        </w:rPr>
        <w:t>i</w:t>
      </w:r>
      <w:r>
        <w:t>n</w:t>
      </w:r>
      <w:r>
        <w:rPr>
          <w:spacing w:val="1"/>
        </w:rPr>
        <w:t>i</w:t>
      </w:r>
      <w:r>
        <w:rPr>
          <w:spacing w:val="-2"/>
        </w:rPr>
        <w:t>s</w:t>
      </w:r>
      <w:r>
        <w:rPr>
          <w:spacing w:val="1"/>
        </w:rPr>
        <w:t>t</w:t>
      </w:r>
      <w:r>
        <w:t>r</w:t>
      </w:r>
      <w:r>
        <w:rPr>
          <w:spacing w:val="-3"/>
        </w:rPr>
        <w:t>a</w:t>
      </w:r>
      <w:r>
        <w:t>rea subc</w:t>
      </w:r>
      <w:r>
        <w:rPr>
          <w:spacing w:val="-3"/>
        </w:rPr>
        <w:t>u</w:t>
      </w:r>
      <w:r>
        <w:rPr>
          <w:spacing w:val="1"/>
        </w:rPr>
        <w:t>t</w:t>
      </w:r>
      <w:r>
        <w:t>an</w:t>
      </w:r>
      <w:r>
        <w:rPr>
          <w:spacing w:val="-3"/>
        </w:rPr>
        <w:t>a</w:t>
      </w:r>
      <w:r>
        <w:rPr>
          <w:spacing w:val="1"/>
        </w:rPr>
        <w:t>t</w:t>
      </w:r>
      <w:r>
        <w:t>ă</w:t>
      </w:r>
      <w:r>
        <w:rPr>
          <w:spacing w:val="-2"/>
        </w:rPr>
        <w:t xml:space="preserve"> </w:t>
      </w:r>
      <w:r>
        <w:t xml:space="preserve">a 20, </w:t>
      </w:r>
      <w:r>
        <w:rPr>
          <w:spacing w:val="-3"/>
        </w:rPr>
        <w:t>4</w:t>
      </w:r>
      <w:r>
        <w:t xml:space="preserve">0 </w:t>
      </w:r>
      <w:r>
        <w:rPr>
          <w:spacing w:val="-2"/>
        </w:rPr>
        <w:t>ş</w:t>
      </w:r>
      <w:r>
        <w:t>i</w:t>
      </w:r>
      <w:r>
        <w:rPr>
          <w:spacing w:val="1"/>
        </w:rPr>
        <w:t xml:space="preserve"> </w:t>
      </w:r>
      <w:r>
        <w:t>80</w:t>
      </w:r>
      <w:r>
        <w:rPr>
          <w:spacing w:val="-3"/>
        </w:rPr>
        <w:t> </w:t>
      </w:r>
      <w:r>
        <w:rPr>
          <w:spacing w:val="-2"/>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âni</w:t>
      </w:r>
      <w:r>
        <w:rPr>
          <w:spacing w:val="1"/>
        </w:rPr>
        <w:t xml:space="preserve"> </w:t>
      </w:r>
      <w:r>
        <w:rPr>
          <w:spacing w:val="-2"/>
        </w:rPr>
        <w:t>ş</w:t>
      </w:r>
      <w:r>
        <w:t>i</w:t>
      </w:r>
      <w:r>
        <w:rPr>
          <w:spacing w:val="1"/>
        </w:rPr>
        <w:t xml:space="preserve"> </w:t>
      </w:r>
      <w:r>
        <w:rPr>
          <w:spacing w:val="-2"/>
        </w:rPr>
        <w:t>s</w:t>
      </w:r>
      <w:r>
        <w:rPr>
          <w:spacing w:val="-3"/>
        </w:rPr>
        <w:t>ă</w:t>
      </w:r>
      <w:r>
        <w:t>p</w:t>
      </w:r>
      <w:r>
        <w:rPr>
          <w:spacing w:val="1"/>
        </w:rPr>
        <w:t>t</w:t>
      </w:r>
      <w:r>
        <w:t>ă</w:t>
      </w:r>
      <w:r>
        <w:rPr>
          <w:spacing w:val="-4"/>
        </w:rPr>
        <w:t>m</w:t>
      </w:r>
      <w:r>
        <w:t>âna</w:t>
      </w:r>
      <w:r>
        <w:rPr>
          <w:spacing w:val="1"/>
        </w:rPr>
        <w:t>l</w:t>
      </w:r>
      <w:r>
        <w:t>.</w:t>
      </w:r>
    </w:p>
    <w:p w14:paraId="516273D7" w14:textId="77777777" w:rsidR="00C04CAD" w:rsidRDefault="00C04CAD">
      <w:pPr>
        <w:tabs>
          <w:tab w:val="clear" w:pos="567"/>
        </w:tabs>
        <w:kinsoku w:val="0"/>
        <w:overflowPunct w:val="0"/>
        <w:autoSpaceDE w:val="0"/>
        <w:autoSpaceDN w:val="0"/>
        <w:adjustRightInd w:val="0"/>
        <w:spacing w:line="240" w:lineRule="auto"/>
      </w:pPr>
    </w:p>
    <w:p w14:paraId="4902EFB9" w14:textId="77777777" w:rsidR="00C04CAD" w:rsidRDefault="00060E34">
      <w:pPr>
        <w:tabs>
          <w:tab w:val="clear" w:pos="567"/>
        </w:tabs>
        <w:kinsoku w:val="0"/>
        <w:overflowPunct w:val="0"/>
        <w:autoSpaceDE w:val="0"/>
        <w:autoSpaceDN w:val="0"/>
        <w:adjustRightInd w:val="0"/>
        <w:spacing w:line="240" w:lineRule="auto"/>
      </w:pPr>
      <w:r>
        <w:rPr>
          <w:spacing w:val="-1"/>
        </w:rPr>
        <w:t>D</w:t>
      </w:r>
      <w:r>
        <w:t>upă</w:t>
      </w:r>
      <w:r>
        <w:rPr>
          <w:spacing w:val="-1"/>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ar</w:t>
      </w:r>
      <w:r>
        <w:rPr>
          <w:spacing w:val="-3"/>
        </w:rPr>
        <w:t>e</w:t>
      </w:r>
      <w:r>
        <w:t>a su</w:t>
      </w:r>
      <w:r>
        <w:rPr>
          <w:spacing w:val="-3"/>
        </w:rPr>
        <w:t>b</w:t>
      </w:r>
      <w:r>
        <w:t>cu</w:t>
      </w:r>
      <w:r>
        <w:rPr>
          <w:spacing w:val="-2"/>
        </w:rPr>
        <w:t>t</w:t>
      </w:r>
      <w:r>
        <w:rPr>
          <w:spacing w:val="-3"/>
        </w:rPr>
        <w:t>a</w:t>
      </w:r>
      <w:r>
        <w:t>na</w:t>
      </w:r>
      <w:r>
        <w:rPr>
          <w:spacing w:val="1"/>
        </w:rPr>
        <w:t>t</w:t>
      </w:r>
      <w:r>
        <w:t>ă</w:t>
      </w:r>
      <w:r>
        <w:rPr>
          <w:spacing w:val="-2"/>
        </w:rPr>
        <w:t xml:space="preserve"> </w:t>
      </w:r>
      <w:r>
        <w:t>a 24 </w:t>
      </w:r>
      <w:r>
        <w:rPr>
          <w:spacing w:val="-4"/>
        </w:rPr>
        <w:t>m</w:t>
      </w:r>
      <w:r>
        <w:rPr>
          <w:spacing w:val="-3"/>
        </w:rPr>
        <w:t>g</w:t>
      </w:r>
      <w:r>
        <w:rPr>
          <w:spacing w:val="3"/>
        </w:rPr>
        <w:t>/</w:t>
      </w:r>
      <w:r>
        <w:rPr>
          <w:spacing w:val="-4"/>
        </w:rPr>
        <w:t>m</w:t>
      </w:r>
      <w:r>
        <w:rPr>
          <w:vertAlign w:val="superscript"/>
        </w:rPr>
        <w:t>2</w:t>
      </w:r>
      <w:r>
        <w:t xml:space="preserve"> (</w:t>
      </w:r>
      <w:r>
        <w:rPr>
          <w:spacing w:val="-3"/>
        </w:rPr>
        <w:t>d</w:t>
      </w:r>
      <w:r>
        <w:t>o</w:t>
      </w:r>
      <w:r>
        <w:rPr>
          <w:spacing w:val="-3"/>
        </w:rPr>
        <w:t>z</w:t>
      </w:r>
      <w:r>
        <w:t xml:space="preserve">a </w:t>
      </w:r>
      <w:r>
        <w:rPr>
          <w:spacing w:val="-4"/>
        </w:rPr>
        <w:t>m</w:t>
      </w:r>
      <w:r>
        <w:t>ax</w:t>
      </w:r>
      <w:r>
        <w:rPr>
          <w:spacing w:val="3"/>
        </w:rPr>
        <w:t>i</w:t>
      </w:r>
      <w:r>
        <w:rPr>
          <w:spacing w:val="-4"/>
        </w:rPr>
        <w:t>m</w:t>
      </w:r>
      <w:r>
        <w:t>ă de 40 </w:t>
      </w:r>
      <w:r>
        <w:rPr>
          <w:spacing w:val="-2"/>
        </w:rPr>
        <w:t>m</w:t>
      </w:r>
      <w:r>
        <w:rPr>
          <w:spacing w:val="-3"/>
        </w:rPr>
        <w:t>g</w:t>
      </w:r>
      <w:r>
        <w:t>)</w:t>
      </w:r>
      <w:r>
        <w:rPr>
          <w:spacing w:val="1"/>
        </w:rPr>
        <w:t xml:space="preserve"> l</w:t>
      </w:r>
      <w:r>
        <w:t xml:space="preserve">a </w:t>
      </w:r>
      <w:r>
        <w:rPr>
          <w:spacing w:val="-3"/>
        </w:rPr>
        <w:t>d</w:t>
      </w:r>
      <w:r>
        <w:t>ouă s</w:t>
      </w:r>
      <w:r>
        <w:rPr>
          <w:spacing w:val="-3"/>
        </w:rPr>
        <w:t>ă</w:t>
      </w:r>
      <w:r>
        <w:t>p</w:t>
      </w:r>
      <w:r>
        <w:rPr>
          <w:spacing w:val="1"/>
        </w:rPr>
        <w:t>t</w:t>
      </w:r>
      <w:r>
        <w:t>ă</w:t>
      </w:r>
      <w:r>
        <w:rPr>
          <w:spacing w:val="-4"/>
        </w:rPr>
        <w:t>m</w:t>
      </w:r>
      <w:r>
        <w:t>âni</w:t>
      </w:r>
      <w:r>
        <w:rPr>
          <w:spacing w:val="-2"/>
        </w:rPr>
        <w:t xml:space="preserve"> </w:t>
      </w:r>
      <w:r>
        <w:rPr>
          <w:spacing w:val="1"/>
        </w:rPr>
        <w:t>l</w:t>
      </w:r>
      <w:r>
        <w:t>a pac</w:t>
      </w:r>
      <w:r>
        <w:rPr>
          <w:spacing w:val="-2"/>
        </w:rPr>
        <w:t>i</w:t>
      </w:r>
      <w:r>
        <w:t>en</w:t>
      </w:r>
      <w:r>
        <w:rPr>
          <w:spacing w:val="-2"/>
        </w:rPr>
        <w:t>ţ</w:t>
      </w:r>
      <w:r>
        <w:rPr>
          <w:spacing w:val="1"/>
        </w:rPr>
        <w:t>i</w:t>
      </w:r>
      <w:r>
        <w:t>i</w:t>
      </w:r>
      <w:r>
        <w:rPr>
          <w:spacing w:val="-2"/>
        </w:rPr>
        <w:t xml:space="preserve"> </w:t>
      </w:r>
      <w:r>
        <w:t>cu</w:t>
      </w:r>
      <w:r>
        <w:rPr>
          <w:spacing w:val="-1"/>
        </w:rPr>
        <w:t xml:space="preserve"> </w:t>
      </w:r>
      <w:r>
        <w:rPr>
          <w:spacing w:val="-3"/>
        </w:rPr>
        <w:t>a</w:t>
      </w:r>
      <w:r>
        <w:t>r</w:t>
      </w:r>
      <w:r>
        <w:rPr>
          <w:spacing w:val="-2"/>
        </w:rPr>
        <w:t>t</w:t>
      </w:r>
      <w:r>
        <w:t>r</w:t>
      </w:r>
      <w:r>
        <w:rPr>
          <w:spacing w:val="-2"/>
        </w:rPr>
        <w:t>i</w:t>
      </w:r>
      <w:r>
        <w:rPr>
          <w:spacing w:val="1"/>
        </w:rPr>
        <w:t>t</w:t>
      </w:r>
      <w:r>
        <w:t>ă</w:t>
      </w:r>
      <w:r>
        <w:rPr>
          <w:spacing w:val="-2"/>
        </w:rPr>
        <w:t xml:space="preserve"> </w:t>
      </w:r>
      <w:r>
        <w:rPr>
          <w:spacing w:val="1"/>
        </w:rPr>
        <w:t>j</w:t>
      </w:r>
      <w:r>
        <w:t>u</w:t>
      </w:r>
      <w:r>
        <w:rPr>
          <w:spacing w:val="-3"/>
        </w:rPr>
        <w:t>v</w:t>
      </w:r>
      <w:r>
        <w:t>en</w:t>
      </w:r>
      <w:r>
        <w:rPr>
          <w:spacing w:val="-2"/>
        </w:rPr>
        <w:t>i</w:t>
      </w:r>
      <w:r>
        <w:rPr>
          <w:spacing w:val="1"/>
        </w:rPr>
        <w:t>l</w:t>
      </w:r>
      <w:r>
        <w:t>ă</w:t>
      </w:r>
      <w:r>
        <w:rPr>
          <w:spacing w:val="-2"/>
        </w:rPr>
        <w:t xml:space="preserve"> </w:t>
      </w:r>
      <w:r>
        <w:rPr>
          <w:spacing w:val="1"/>
        </w:rPr>
        <w:t>i</w:t>
      </w:r>
      <w:r>
        <w:t>d</w:t>
      </w:r>
      <w:r>
        <w:rPr>
          <w:spacing w:val="1"/>
        </w:rPr>
        <w:t>i</w:t>
      </w:r>
      <w:r>
        <w:rPr>
          <w:spacing w:val="-3"/>
        </w:rPr>
        <w:t>o</w:t>
      </w:r>
      <w:r>
        <w:t>pa</w:t>
      </w:r>
      <w:r>
        <w:rPr>
          <w:spacing w:val="-2"/>
        </w:rPr>
        <w:t>t</w:t>
      </w:r>
      <w:r>
        <w:rPr>
          <w:spacing w:val="1"/>
        </w:rPr>
        <w:t>i</w:t>
      </w:r>
      <w:r>
        <w:rPr>
          <w:spacing w:val="-3"/>
        </w:rPr>
        <w:t>c</w:t>
      </w:r>
      <w:r>
        <w:t>ă f</w:t>
      </w:r>
      <w:r>
        <w:rPr>
          <w:spacing w:val="-3"/>
        </w:rPr>
        <w:t>o</w:t>
      </w:r>
      <w:r>
        <w:t>r</w:t>
      </w:r>
      <w:r>
        <w:rPr>
          <w:spacing w:val="-4"/>
        </w:rPr>
        <w:t>m</w:t>
      </w:r>
      <w:r>
        <w:t>a po</w:t>
      </w:r>
      <w:r>
        <w:rPr>
          <w:spacing w:val="1"/>
        </w:rPr>
        <w:t>l</w:t>
      </w:r>
      <w:r>
        <w:rPr>
          <w:spacing w:val="-2"/>
        </w:rPr>
        <w:t>i</w:t>
      </w:r>
      <w:r>
        <w:t>a</w:t>
      </w:r>
      <w:r>
        <w:rPr>
          <w:spacing w:val="-2"/>
        </w:rPr>
        <w:t>r</w:t>
      </w:r>
      <w:r>
        <w:rPr>
          <w:spacing w:val="1"/>
        </w:rPr>
        <w:t>ti</w:t>
      </w:r>
      <w:r>
        <w:rPr>
          <w:spacing w:val="-3"/>
        </w:rPr>
        <w:t>c</w:t>
      </w:r>
      <w:r>
        <w:t>u</w:t>
      </w:r>
      <w:r>
        <w:rPr>
          <w:spacing w:val="-2"/>
        </w:rPr>
        <w:t>l</w:t>
      </w:r>
      <w:r>
        <w:t xml:space="preserve">ară </w:t>
      </w:r>
      <w:r>
        <w:rPr>
          <w:spacing w:val="-3"/>
        </w:rPr>
        <w:t>c</w:t>
      </w:r>
      <w:r>
        <w:t>a</w:t>
      </w:r>
      <w:r>
        <w:rPr>
          <w:spacing w:val="-2"/>
        </w:rPr>
        <w:t>r</w:t>
      </w:r>
      <w:r>
        <w:t>e a</w:t>
      </w:r>
      <w:r>
        <w:rPr>
          <w:spacing w:val="-3"/>
        </w:rPr>
        <w:t>v</w:t>
      </w:r>
      <w:r>
        <w:t xml:space="preserve">eau </w:t>
      </w:r>
      <w:r>
        <w:rPr>
          <w:spacing w:val="-3"/>
        </w:rPr>
        <w:t>v</w:t>
      </w:r>
      <w:r>
        <w:t>âr</w:t>
      </w:r>
      <w:r>
        <w:rPr>
          <w:spacing w:val="-2"/>
        </w:rPr>
        <w:t>s</w:t>
      </w:r>
      <w:r>
        <w:rPr>
          <w:spacing w:val="1"/>
        </w:rPr>
        <w:t>t</w:t>
      </w:r>
      <w:r>
        <w:t>a</w:t>
      </w:r>
      <w:r>
        <w:rPr>
          <w:spacing w:val="-2"/>
        </w:rPr>
        <w:t xml:space="preserve"> </w:t>
      </w:r>
      <w:r>
        <w:rPr>
          <w:spacing w:val="1"/>
        </w:rPr>
        <w:t>î</w:t>
      </w:r>
      <w:r>
        <w:t>n</w:t>
      </w:r>
      <w:r>
        <w:rPr>
          <w:spacing w:val="-2"/>
        </w:rPr>
        <w:t>t</w:t>
      </w:r>
      <w:r>
        <w:t>re</w:t>
      </w:r>
      <w:r>
        <w:rPr>
          <w:spacing w:val="-2"/>
        </w:rPr>
        <w:t xml:space="preserve"> </w:t>
      </w:r>
      <w:r>
        <w:t>4 şi</w:t>
      </w:r>
      <w:r>
        <w:rPr>
          <w:spacing w:val="1"/>
        </w:rPr>
        <w:t xml:space="preserve"> </w:t>
      </w:r>
      <w:r>
        <w:rPr>
          <w:spacing w:val="-3"/>
        </w:rPr>
        <w:t>1</w:t>
      </w:r>
      <w:r>
        <w:t>7 a</w:t>
      </w:r>
      <w:r>
        <w:rPr>
          <w:spacing w:val="-3"/>
        </w:rPr>
        <w:t>n</w:t>
      </w:r>
      <w:r>
        <w:rPr>
          <w:spacing w:val="1"/>
        </w:rPr>
        <w:t>i</w:t>
      </w:r>
      <w:r>
        <w:t xml:space="preserve">, </w:t>
      </w:r>
      <w:r>
        <w:rPr>
          <w:spacing w:val="-4"/>
        </w:rPr>
        <w:t>m</w:t>
      </w:r>
      <w:r>
        <w:t>ed</w:t>
      </w:r>
      <w:r>
        <w:rPr>
          <w:spacing w:val="1"/>
        </w:rPr>
        <w:t>i</w:t>
      </w:r>
      <w:r>
        <w:t>a conce</w:t>
      </w:r>
      <w:r>
        <w:rPr>
          <w:spacing w:val="-3"/>
        </w:rPr>
        <w:t>n</w:t>
      </w:r>
      <w:r>
        <w:rPr>
          <w:spacing w:val="1"/>
        </w:rPr>
        <w:t>t</w:t>
      </w:r>
      <w:r>
        <w:rPr>
          <w:spacing w:val="-2"/>
        </w:rPr>
        <w:t>r</w:t>
      </w:r>
      <w:r>
        <w:t>a</w:t>
      </w:r>
      <w:r>
        <w:rPr>
          <w:spacing w:val="-2"/>
        </w:rPr>
        <w:t>ţ</w:t>
      </w:r>
      <w:r>
        <w:rPr>
          <w:spacing w:val="1"/>
        </w:rPr>
        <w:t>i</w:t>
      </w:r>
      <w:r>
        <w:rPr>
          <w:spacing w:val="-2"/>
        </w:rPr>
        <w:t>i</w:t>
      </w:r>
      <w:r>
        <w:rPr>
          <w:spacing w:val="1"/>
        </w:rPr>
        <w:t>l</w:t>
      </w:r>
      <w:r>
        <w:t>or</w:t>
      </w:r>
      <w:r>
        <w:rPr>
          <w:spacing w:val="-2"/>
        </w:rPr>
        <w:t xml:space="preserve"> </w:t>
      </w:r>
      <w:r>
        <w:t>s</w:t>
      </w:r>
      <w:r>
        <w:rPr>
          <w:spacing w:val="-3"/>
        </w:rPr>
        <w:t>e</w:t>
      </w:r>
      <w:r>
        <w:t>r</w:t>
      </w:r>
      <w:r>
        <w:rPr>
          <w:spacing w:val="-2"/>
        </w:rPr>
        <w:t>i</w:t>
      </w:r>
      <w:r>
        <w:t xml:space="preserve">ce </w:t>
      </w:r>
      <w:r>
        <w:rPr>
          <w:spacing w:val="-3"/>
        </w:rPr>
        <w:t>a</w:t>
      </w:r>
      <w:r>
        <w:rPr>
          <w:spacing w:val="1"/>
        </w:rPr>
        <w:t>l</w:t>
      </w:r>
      <w:r>
        <w:t xml:space="preserve">e </w:t>
      </w:r>
      <w:r>
        <w:rPr>
          <w:spacing w:val="-3"/>
        </w:rPr>
        <w:t>ad</w:t>
      </w:r>
      <w:r>
        <w:t>a</w:t>
      </w:r>
      <w:r>
        <w:rPr>
          <w:spacing w:val="1"/>
        </w:rPr>
        <w:t>li</w:t>
      </w:r>
      <w:r>
        <w:rPr>
          <w:spacing w:val="-4"/>
        </w:rPr>
        <w:t>m</w:t>
      </w:r>
      <w:r>
        <w:t>u</w:t>
      </w:r>
      <w:r>
        <w:rPr>
          <w:spacing w:val="-4"/>
        </w:rPr>
        <w:t>m</w:t>
      </w:r>
      <w:r>
        <w:t xml:space="preserve">ab, </w:t>
      </w:r>
      <w:r>
        <w:rPr>
          <w:spacing w:val="-2"/>
        </w:rPr>
        <w:t>l</w:t>
      </w:r>
      <w:r>
        <w:t xml:space="preserve">a </w:t>
      </w:r>
      <w:r>
        <w:rPr>
          <w:spacing w:val="-2"/>
        </w:rPr>
        <w:t>s</w:t>
      </w:r>
      <w:r>
        <w:rPr>
          <w:spacing w:val="1"/>
        </w:rPr>
        <w:t>t</w:t>
      </w:r>
      <w:r>
        <w:rPr>
          <w:spacing w:val="-3"/>
        </w:rPr>
        <w:t>a</w:t>
      </w:r>
      <w:r>
        <w:t xml:space="preserve">rea </w:t>
      </w:r>
      <w:r>
        <w:rPr>
          <w:spacing w:val="-3"/>
        </w:rPr>
        <w:t>d</w:t>
      </w:r>
      <w:r>
        <w:t>e</w:t>
      </w:r>
      <w:r>
        <w:rPr>
          <w:spacing w:val="-2"/>
        </w:rPr>
        <w:t xml:space="preserve"> </w:t>
      </w:r>
      <w:r>
        <w:t>ech</w:t>
      </w:r>
      <w:r>
        <w:rPr>
          <w:spacing w:val="-2"/>
        </w:rPr>
        <w:t>i</w:t>
      </w:r>
      <w:r>
        <w:rPr>
          <w:spacing w:val="1"/>
        </w:rPr>
        <w:t>l</w:t>
      </w:r>
      <w:r>
        <w:rPr>
          <w:spacing w:val="-2"/>
        </w:rPr>
        <w:t>i</w:t>
      </w:r>
      <w:r>
        <w:t>bru,</w:t>
      </w:r>
      <w:r>
        <w:rPr>
          <w:spacing w:val="-3"/>
        </w:rPr>
        <w:t xml:space="preserve"> </w:t>
      </w:r>
      <w:r>
        <w:t>(</w:t>
      </w:r>
      <w:r>
        <w:rPr>
          <w:spacing w:val="-3"/>
        </w:rPr>
        <w:t>v</w:t>
      </w:r>
      <w:r>
        <w:t>a</w:t>
      </w:r>
      <w:r>
        <w:rPr>
          <w:spacing w:val="1"/>
        </w:rPr>
        <w:t>l</w:t>
      </w:r>
      <w:r>
        <w:t>o</w:t>
      </w:r>
      <w:r>
        <w:rPr>
          <w:spacing w:val="-2"/>
        </w:rPr>
        <w:t>r</w:t>
      </w:r>
      <w:r>
        <w:t>i</w:t>
      </w:r>
      <w:r>
        <w:rPr>
          <w:spacing w:val="1"/>
        </w:rPr>
        <w:t xml:space="preserve"> </w:t>
      </w:r>
      <w:r>
        <w:rPr>
          <w:spacing w:val="-4"/>
        </w:rPr>
        <w:t>m</w:t>
      </w:r>
      <w:r>
        <w:t>ăsur</w:t>
      </w:r>
      <w:r>
        <w:rPr>
          <w:spacing w:val="-3"/>
        </w:rPr>
        <w:t>a</w:t>
      </w:r>
      <w:r>
        <w:rPr>
          <w:spacing w:val="1"/>
        </w:rPr>
        <w:t>t</w:t>
      </w:r>
      <w:r>
        <w:t>e</w:t>
      </w:r>
      <w:r>
        <w:rPr>
          <w:spacing w:val="-2"/>
        </w:rPr>
        <w:t xml:space="preserve"> </w:t>
      </w:r>
      <w:r>
        <w:t>d</w:t>
      </w:r>
      <w:r>
        <w:rPr>
          <w:spacing w:val="1"/>
        </w:rPr>
        <w:t>i</w:t>
      </w:r>
      <w:r>
        <w:t xml:space="preserve">n </w:t>
      </w:r>
      <w:r>
        <w:rPr>
          <w:spacing w:val="-2"/>
        </w:rPr>
        <w:t>s</w:t>
      </w:r>
      <w:r>
        <w:t>ăp</w:t>
      </w:r>
      <w:r>
        <w:rPr>
          <w:spacing w:val="-2"/>
        </w:rPr>
        <w:t>t</w:t>
      </w:r>
      <w:r>
        <w:t>ă</w:t>
      </w:r>
      <w:r>
        <w:rPr>
          <w:spacing w:val="-4"/>
        </w:rPr>
        <w:t>m</w:t>
      </w:r>
      <w:r>
        <w:t>âna 20 până</w:t>
      </w:r>
      <w:r>
        <w:rPr>
          <w:spacing w:val="-2"/>
        </w:rPr>
        <w:t xml:space="preserve"> </w:t>
      </w:r>
      <w:r>
        <w:rPr>
          <w:spacing w:val="1"/>
        </w:rPr>
        <w:t>î</w:t>
      </w:r>
      <w:r>
        <w:t>n s</w:t>
      </w:r>
      <w:r>
        <w:rPr>
          <w:spacing w:val="-3"/>
        </w:rPr>
        <w:t>ă</w:t>
      </w:r>
      <w:r>
        <w:t>p</w:t>
      </w:r>
      <w:r>
        <w:rPr>
          <w:spacing w:val="1"/>
        </w:rPr>
        <w:t>t</w:t>
      </w:r>
      <w:r>
        <w:t>ă</w:t>
      </w:r>
      <w:r>
        <w:rPr>
          <w:spacing w:val="-4"/>
        </w:rPr>
        <w:t>m</w:t>
      </w:r>
      <w:r>
        <w:t>âna 4</w:t>
      </w:r>
      <w:r>
        <w:rPr>
          <w:spacing w:val="-3"/>
        </w:rPr>
        <w:t>8</w:t>
      </w:r>
      <w:r>
        <w:t>)</w:t>
      </w:r>
      <w:r>
        <w:rPr>
          <w:spacing w:val="1"/>
        </w:rPr>
        <w:t xml:space="preserve"> </w:t>
      </w:r>
      <w:r>
        <w:t>a</w:t>
      </w:r>
      <w:r>
        <w:rPr>
          <w:spacing w:val="-2"/>
        </w:rPr>
        <w:t xml:space="preserve"> </w:t>
      </w:r>
      <w:r>
        <w:t>fo</w:t>
      </w:r>
      <w:r>
        <w:rPr>
          <w:spacing w:val="-2"/>
        </w:rPr>
        <w:t>s</w:t>
      </w:r>
      <w:r>
        <w:t>t</w:t>
      </w:r>
      <w:r>
        <w:rPr>
          <w:spacing w:val="1"/>
        </w:rPr>
        <w:t xml:space="preserve"> </w:t>
      </w:r>
      <w:r>
        <w:t>de 5</w:t>
      </w:r>
      <w:r>
        <w:rPr>
          <w:spacing w:val="-3"/>
        </w:rPr>
        <w:t>,</w:t>
      </w:r>
      <w:r>
        <w:t>6</w:t>
      </w:r>
      <w:r>
        <w:rPr>
          <w:spacing w:val="1"/>
        </w:rPr>
        <w:t>±</w:t>
      </w:r>
      <w:r>
        <w:rPr>
          <w:spacing w:val="-3"/>
        </w:rPr>
        <w:t>5</w:t>
      </w:r>
      <w:r>
        <w:t>,6 </w:t>
      </w:r>
      <w:r>
        <w:rPr>
          <w:spacing w:val="-3"/>
        </w:rPr>
        <w:t>µg</w:t>
      </w:r>
      <w:r>
        <w:rPr>
          <w:spacing w:val="3"/>
        </w:rPr>
        <w:t>/</w:t>
      </w:r>
      <w:r>
        <w:rPr>
          <w:spacing w:val="-4"/>
        </w:rPr>
        <w:t>m</w:t>
      </w:r>
      <w:r>
        <w:t>l</w:t>
      </w:r>
      <w:r>
        <w:rPr>
          <w:spacing w:val="1"/>
        </w:rPr>
        <w:t xml:space="preserve"> </w:t>
      </w:r>
      <w:r>
        <w:t>(</w:t>
      </w:r>
      <w:r>
        <w:rPr>
          <w:spacing w:val="-1"/>
        </w:rPr>
        <w:t>C</w:t>
      </w:r>
      <w:r>
        <w:t>V</w:t>
      </w:r>
      <w:r>
        <w:rPr>
          <w:spacing w:val="1"/>
        </w:rPr>
        <w:t xml:space="preserve"> </w:t>
      </w:r>
      <w:r>
        <w:t>1</w:t>
      </w:r>
      <w:r>
        <w:rPr>
          <w:spacing w:val="-3"/>
        </w:rPr>
        <w:t>02</w:t>
      </w:r>
      <w:r>
        <w:t>%)</w:t>
      </w:r>
      <w:r>
        <w:rPr>
          <w:spacing w:val="-2"/>
        </w:rPr>
        <w:t xml:space="preserve"> </w:t>
      </w:r>
      <w:r>
        <w:rPr>
          <w:spacing w:val="1"/>
        </w:rPr>
        <w:t>î</w:t>
      </w:r>
      <w:r>
        <w:t xml:space="preserve">n </w:t>
      </w:r>
      <w:r>
        <w:rPr>
          <w:spacing w:val="-3"/>
        </w:rPr>
        <w:t>c</w:t>
      </w:r>
      <w:r>
        <w:t>a</w:t>
      </w:r>
      <w:r>
        <w:rPr>
          <w:spacing w:val="-3"/>
        </w:rPr>
        <w:t>z</w:t>
      </w:r>
      <w:r>
        <w:t>ul</w:t>
      </w:r>
      <w:r>
        <w:rPr>
          <w:spacing w:val="1"/>
        </w:rPr>
        <w:t xml:space="preserve"> î</w:t>
      </w:r>
      <w:r>
        <w:t>n</w:t>
      </w:r>
      <w:r>
        <w:rPr>
          <w:spacing w:val="-3"/>
        </w:rPr>
        <w:t xml:space="preserve"> </w:t>
      </w:r>
      <w:r>
        <w:t>c</w:t>
      </w:r>
      <w:r>
        <w:rPr>
          <w:spacing w:val="-3"/>
        </w:rPr>
        <w:t>a</w:t>
      </w:r>
      <w:r>
        <w:t>re s</w:t>
      </w:r>
      <w:r>
        <w:rPr>
          <w:spacing w:val="-4"/>
        </w:rPr>
        <w:t>-</w:t>
      </w:r>
      <w:r>
        <w:t>a u</w:t>
      </w:r>
      <w:r>
        <w:rPr>
          <w:spacing w:val="1"/>
        </w:rPr>
        <w:t>t</w:t>
      </w:r>
      <w:r>
        <w:rPr>
          <w:spacing w:val="-2"/>
        </w:rPr>
        <w:t>i</w:t>
      </w:r>
      <w:r>
        <w:rPr>
          <w:spacing w:val="1"/>
        </w:rPr>
        <w:t>l</w:t>
      </w:r>
      <w:r>
        <w:rPr>
          <w:spacing w:val="-2"/>
        </w:rPr>
        <w:t>i</w:t>
      </w:r>
      <w:r>
        <w:rPr>
          <w:spacing w:val="-3"/>
        </w:rPr>
        <w:t>z</w:t>
      </w:r>
      <w:r>
        <w:t>at</w:t>
      </w:r>
      <w:r>
        <w:rPr>
          <w:spacing w:val="1"/>
        </w:rPr>
        <w:t xml:space="preserve"> </w:t>
      </w:r>
      <w:r>
        <w:t>ad</w:t>
      </w:r>
      <w:r>
        <w:rPr>
          <w:spacing w:val="-3"/>
        </w:rPr>
        <w:t>a</w:t>
      </w:r>
      <w:r>
        <w:rPr>
          <w:spacing w:val="1"/>
        </w:rPr>
        <w:t>li</w:t>
      </w:r>
      <w:r>
        <w:rPr>
          <w:spacing w:val="-4"/>
        </w:rPr>
        <w:t>m</w:t>
      </w:r>
      <w:r>
        <w:t>u</w:t>
      </w:r>
      <w:r>
        <w:rPr>
          <w:spacing w:val="-4"/>
        </w:rPr>
        <w:t>m</w:t>
      </w:r>
      <w:r>
        <w:t xml:space="preserve">ab fără </w:t>
      </w:r>
      <w:r>
        <w:rPr>
          <w:spacing w:val="-4"/>
        </w:rPr>
        <w:t>m</w:t>
      </w:r>
      <w:r>
        <w:t>e</w:t>
      </w:r>
      <w:r>
        <w:rPr>
          <w:spacing w:val="1"/>
        </w:rPr>
        <w:t>t</w:t>
      </w:r>
      <w:r>
        <w:t>o</w:t>
      </w:r>
      <w:r>
        <w:rPr>
          <w:spacing w:val="1"/>
        </w:rPr>
        <w:t>t</w:t>
      </w:r>
      <w:r>
        <w:t>rex</w:t>
      </w:r>
      <w:r>
        <w:rPr>
          <w:spacing w:val="-3"/>
        </w:rPr>
        <w:t>a</w:t>
      </w:r>
      <w:r>
        <w:rPr>
          <w:spacing w:val="1"/>
        </w:rPr>
        <w:t>t</w:t>
      </w:r>
      <w:r>
        <w:t>,</w:t>
      </w:r>
      <w:r>
        <w:rPr>
          <w:spacing w:val="-3"/>
        </w:rPr>
        <w:t xml:space="preserve"> </w:t>
      </w:r>
      <w:r>
        <w:t>şi</w:t>
      </w:r>
      <w:r>
        <w:rPr>
          <w:spacing w:val="1"/>
        </w:rPr>
        <w:t xml:space="preserve"> </w:t>
      </w:r>
      <w:r>
        <w:rPr>
          <w:spacing w:val="-3"/>
        </w:rPr>
        <w:t>d</w:t>
      </w:r>
      <w:r>
        <w:t>e 10,</w:t>
      </w:r>
      <w:r>
        <w:rPr>
          <w:spacing w:val="-3"/>
        </w:rPr>
        <w:t>9</w:t>
      </w:r>
      <w:r>
        <w:rPr>
          <w:spacing w:val="1"/>
        </w:rPr>
        <w:t>±</w:t>
      </w:r>
      <w:r>
        <w:t>5,2</w:t>
      </w:r>
      <w:r>
        <w:rPr>
          <w:spacing w:val="-3"/>
        </w:rPr>
        <w:t> </w:t>
      </w:r>
      <w:r>
        <w:t>µ</w:t>
      </w:r>
      <w:r>
        <w:rPr>
          <w:spacing w:val="-3"/>
        </w:rPr>
        <w:t>g</w:t>
      </w:r>
      <w:r>
        <w:rPr>
          <w:spacing w:val="1"/>
        </w:rPr>
        <w:t>/</w:t>
      </w:r>
      <w:r>
        <w:rPr>
          <w:spacing w:val="-4"/>
        </w:rPr>
        <w:t>m</w:t>
      </w:r>
      <w:r>
        <w:t>l</w:t>
      </w:r>
      <w:r>
        <w:rPr>
          <w:spacing w:val="1"/>
        </w:rPr>
        <w:t xml:space="preserve"> </w:t>
      </w:r>
      <w:r>
        <w:t>(</w:t>
      </w:r>
      <w:r>
        <w:rPr>
          <w:spacing w:val="-1"/>
        </w:rPr>
        <w:t>C</w:t>
      </w:r>
      <w:r>
        <w:t>V</w:t>
      </w:r>
      <w:r>
        <w:rPr>
          <w:spacing w:val="1"/>
        </w:rPr>
        <w:t xml:space="preserve"> </w:t>
      </w:r>
      <w:r>
        <w:t>47,</w:t>
      </w:r>
      <w:r>
        <w:rPr>
          <w:spacing w:val="-3"/>
        </w:rPr>
        <w:t>7</w:t>
      </w:r>
      <w:r>
        <w:t>%)</w:t>
      </w:r>
      <w:r>
        <w:rPr>
          <w:spacing w:val="-2"/>
        </w:rPr>
        <w:t xml:space="preserve"> </w:t>
      </w:r>
      <w:r>
        <w:rPr>
          <w:spacing w:val="1"/>
        </w:rPr>
        <w:t>î</w:t>
      </w:r>
      <w:r>
        <w:t xml:space="preserve">n </w:t>
      </w:r>
      <w:r>
        <w:rPr>
          <w:spacing w:val="-3"/>
        </w:rPr>
        <w:t>c</w:t>
      </w:r>
      <w:r>
        <w:t>a</w:t>
      </w:r>
      <w:r>
        <w:rPr>
          <w:spacing w:val="-3"/>
        </w:rPr>
        <w:t>z</w:t>
      </w:r>
      <w:r>
        <w:t>ul</w:t>
      </w:r>
      <w:r>
        <w:rPr>
          <w:spacing w:val="-2"/>
        </w:rPr>
        <w:t xml:space="preserve"> </w:t>
      </w:r>
      <w:r>
        <w:t>u</w:t>
      </w:r>
      <w:r>
        <w:rPr>
          <w:spacing w:val="1"/>
        </w:rPr>
        <w:t>t</w:t>
      </w:r>
      <w:r>
        <w:rPr>
          <w:spacing w:val="-2"/>
        </w:rPr>
        <w:t>i</w:t>
      </w:r>
      <w:r>
        <w:rPr>
          <w:spacing w:val="1"/>
        </w:rPr>
        <w:t>li</w:t>
      </w:r>
      <w:r>
        <w:rPr>
          <w:spacing w:val="-3"/>
        </w:rPr>
        <w:t>z</w:t>
      </w:r>
      <w:r>
        <w:t>ă</w:t>
      </w:r>
      <w:r>
        <w:rPr>
          <w:spacing w:val="-2"/>
        </w:rPr>
        <w:t>ri</w:t>
      </w:r>
      <w:r>
        <w:t>i</w:t>
      </w:r>
      <w:r>
        <w:rPr>
          <w:spacing w:val="1"/>
        </w:rPr>
        <w:t xml:space="preserve"> </w:t>
      </w:r>
      <w:r>
        <w:t>co</w:t>
      </w:r>
      <w:r>
        <w:rPr>
          <w:spacing w:val="-3"/>
        </w:rPr>
        <w:t>n</w:t>
      </w:r>
      <w:r>
        <w:t>co</w:t>
      </w:r>
      <w:r>
        <w:rPr>
          <w:spacing w:val="-4"/>
        </w:rPr>
        <w:t>m</w:t>
      </w:r>
      <w:r>
        <w:rPr>
          <w:spacing w:val="1"/>
        </w:rPr>
        <w:t>it</w:t>
      </w:r>
      <w:r>
        <w:t>en</w:t>
      </w:r>
      <w:r>
        <w:rPr>
          <w:spacing w:val="-2"/>
        </w:rPr>
        <w:t>t</w:t>
      </w:r>
      <w:r>
        <w:t xml:space="preserve">e a </w:t>
      </w:r>
      <w:r>
        <w:rPr>
          <w:spacing w:val="-4"/>
        </w:rPr>
        <w:t>m</w:t>
      </w:r>
      <w:r>
        <w:t>e</w:t>
      </w:r>
      <w:r>
        <w:rPr>
          <w:spacing w:val="1"/>
        </w:rPr>
        <w:t>t</w:t>
      </w:r>
      <w:r>
        <w:rPr>
          <w:spacing w:val="-3"/>
        </w:rPr>
        <w:t>o</w:t>
      </w:r>
      <w:r>
        <w:rPr>
          <w:spacing w:val="1"/>
        </w:rPr>
        <w:t>t</w:t>
      </w:r>
      <w:r>
        <w:t>re</w:t>
      </w:r>
      <w:r>
        <w:rPr>
          <w:spacing w:val="-3"/>
        </w:rPr>
        <w:t>x</w:t>
      </w:r>
      <w:r>
        <w:t>a</w:t>
      </w:r>
      <w:r>
        <w:rPr>
          <w:spacing w:val="1"/>
        </w:rPr>
        <w:t>t</w:t>
      </w:r>
      <w:r>
        <w:rPr>
          <w:spacing w:val="-3"/>
        </w:rPr>
        <w:t>u</w:t>
      </w:r>
      <w:r>
        <w:rPr>
          <w:spacing w:val="1"/>
        </w:rPr>
        <w:t>l</w:t>
      </w:r>
      <w:r>
        <w:rPr>
          <w:spacing w:val="-3"/>
        </w:rPr>
        <w:t>u</w:t>
      </w:r>
      <w:r>
        <w:rPr>
          <w:spacing w:val="1"/>
        </w:rPr>
        <w:t>i</w:t>
      </w:r>
      <w:r>
        <w:t>.</w:t>
      </w:r>
    </w:p>
    <w:p w14:paraId="10B36646" w14:textId="77777777" w:rsidR="00C04CAD" w:rsidRDefault="00C04CAD">
      <w:pPr>
        <w:tabs>
          <w:tab w:val="clear" w:pos="567"/>
        </w:tabs>
        <w:kinsoku w:val="0"/>
        <w:overflowPunct w:val="0"/>
        <w:autoSpaceDE w:val="0"/>
        <w:autoSpaceDN w:val="0"/>
        <w:adjustRightInd w:val="0"/>
        <w:spacing w:line="240" w:lineRule="auto"/>
      </w:pPr>
    </w:p>
    <w:p w14:paraId="4D674BA5"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 xml:space="preserve">cu </w:t>
      </w:r>
      <w:r>
        <w:rPr>
          <w:spacing w:val="-4"/>
        </w:rPr>
        <w:t>A</w:t>
      </w:r>
      <w:r>
        <w:rPr>
          <w:spacing w:val="2"/>
        </w:rPr>
        <w:t>J</w:t>
      </w:r>
      <w:r>
        <w:t>I</w:t>
      </w:r>
      <w:r>
        <w:rPr>
          <w:spacing w:val="-4"/>
        </w:rPr>
        <w:t xml:space="preserve"> </w:t>
      </w:r>
      <w:r>
        <w:t>po</w:t>
      </w:r>
      <w:r>
        <w:rPr>
          <w:spacing w:val="1"/>
        </w:rPr>
        <w:t>l</w:t>
      </w:r>
      <w:r>
        <w:rPr>
          <w:spacing w:val="-2"/>
        </w:rPr>
        <w:t>i</w:t>
      </w:r>
      <w:r>
        <w:t>a</w:t>
      </w:r>
      <w:r>
        <w:rPr>
          <w:spacing w:val="-2"/>
        </w:rPr>
        <w:t>r</w:t>
      </w:r>
      <w:r>
        <w:rPr>
          <w:spacing w:val="1"/>
        </w:rPr>
        <w:t>t</w:t>
      </w:r>
      <w:r>
        <w:rPr>
          <w:spacing w:val="-2"/>
        </w:rPr>
        <w:t>i</w:t>
      </w:r>
      <w:r>
        <w:t>cu</w:t>
      </w:r>
      <w:r>
        <w:rPr>
          <w:spacing w:val="1"/>
        </w:rPr>
        <w:t>l</w:t>
      </w:r>
      <w:r>
        <w:rPr>
          <w:spacing w:val="-2"/>
        </w:rPr>
        <w:t>a</w:t>
      </w:r>
      <w:r>
        <w:t xml:space="preserve">ră </w:t>
      </w:r>
      <w:r>
        <w:rPr>
          <w:spacing w:val="-3"/>
        </w:rPr>
        <w:t>c</w:t>
      </w:r>
      <w:r>
        <w:t>a</w:t>
      </w:r>
      <w:r>
        <w:rPr>
          <w:spacing w:val="-2"/>
        </w:rPr>
        <w:t>r</w:t>
      </w:r>
      <w:r>
        <w:t>e a</w:t>
      </w:r>
      <w:r>
        <w:rPr>
          <w:spacing w:val="-3"/>
        </w:rPr>
        <w:t>v</w:t>
      </w:r>
      <w:r>
        <w:t xml:space="preserve">eau </w:t>
      </w:r>
      <w:r>
        <w:rPr>
          <w:spacing w:val="-3"/>
        </w:rPr>
        <w:t>v</w:t>
      </w:r>
      <w:r>
        <w:t>âr</w:t>
      </w:r>
      <w:r>
        <w:rPr>
          <w:spacing w:val="-2"/>
        </w:rPr>
        <w:t>s</w:t>
      </w:r>
      <w:r>
        <w:rPr>
          <w:spacing w:val="1"/>
        </w:rPr>
        <w:t>t</w:t>
      </w:r>
      <w:r>
        <w:t>a</w:t>
      </w:r>
      <w:r>
        <w:rPr>
          <w:spacing w:val="-2"/>
        </w:rPr>
        <w:t xml:space="preserve"> </w:t>
      </w:r>
      <w:r>
        <w:rPr>
          <w:spacing w:val="1"/>
        </w:rPr>
        <w:t>î</w:t>
      </w:r>
      <w:r>
        <w:t>n</w:t>
      </w:r>
      <w:r>
        <w:rPr>
          <w:spacing w:val="-2"/>
        </w:rPr>
        <w:t>t</w:t>
      </w:r>
      <w:r>
        <w:t xml:space="preserve">re 2 </w:t>
      </w:r>
      <w:r>
        <w:rPr>
          <w:spacing w:val="-3"/>
        </w:rPr>
        <w:t>p</w:t>
      </w:r>
      <w:r>
        <w:t>ână</w:t>
      </w:r>
      <w:r>
        <w:rPr>
          <w:spacing w:val="-2"/>
        </w:rPr>
        <w:t xml:space="preserve"> </w:t>
      </w:r>
      <w:r>
        <w:rPr>
          <w:spacing w:val="1"/>
        </w:rPr>
        <w:t>l</w:t>
      </w:r>
      <w:r>
        <w:t>a &lt; 4</w:t>
      </w:r>
      <w:r>
        <w:rPr>
          <w:spacing w:val="-3"/>
        </w:rPr>
        <w:t xml:space="preserve"> </w:t>
      </w:r>
      <w:r>
        <w:t>ani</w:t>
      </w:r>
      <w:r>
        <w:rPr>
          <w:spacing w:val="-2"/>
        </w:rPr>
        <w:t xml:space="preserve"> </w:t>
      </w:r>
      <w:r>
        <w:t>sau</w:t>
      </w:r>
      <w:r>
        <w:rPr>
          <w:spacing w:val="-3"/>
        </w:rPr>
        <w:t xml:space="preserve"> </w:t>
      </w:r>
      <w:r>
        <w:t xml:space="preserve">cu </w:t>
      </w:r>
      <w:r>
        <w:rPr>
          <w:spacing w:val="-3"/>
        </w:rPr>
        <w:t>v</w:t>
      </w:r>
      <w:r>
        <w:t>â</w:t>
      </w:r>
      <w:r>
        <w:rPr>
          <w:spacing w:val="-2"/>
        </w:rPr>
        <w:t>r</w:t>
      </w:r>
      <w:r>
        <w:t>s</w:t>
      </w:r>
      <w:r>
        <w:rPr>
          <w:spacing w:val="1"/>
        </w:rPr>
        <w:t>t</w:t>
      </w:r>
      <w:r>
        <w:t xml:space="preserve">a </w:t>
      </w:r>
      <w:r>
        <w:rPr>
          <w:spacing w:val="-3"/>
        </w:rPr>
        <w:t>d</w:t>
      </w:r>
      <w:r>
        <w:t xml:space="preserve">e 4 </w:t>
      </w:r>
      <w:r>
        <w:rPr>
          <w:spacing w:val="-3"/>
        </w:rPr>
        <w:t>a</w:t>
      </w:r>
      <w:r>
        <w:t>ni</w:t>
      </w:r>
      <w:r>
        <w:rPr>
          <w:spacing w:val="1"/>
        </w:rPr>
        <w:t xml:space="preserve"> </w:t>
      </w:r>
      <w:r>
        <w:rPr>
          <w:spacing w:val="-2"/>
        </w:rPr>
        <w:t>ş</w:t>
      </w:r>
      <w:r>
        <w:t>i</w:t>
      </w:r>
      <w:r>
        <w:rPr>
          <w:spacing w:val="1"/>
        </w:rPr>
        <w:t xml:space="preserve"> </w:t>
      </w:r>
      <w:r>
        <w:rPr>
          <w:spacing w:val="-3"/>
        </w:rPr>
        <w:t>p</w:t>
      </w:r>
      <w:r>
        <w:t>es</w:t>
      </w:r>
      <w:r>
        <w:rPr>
          <w:spacing w:val="-2"/>
        </w:rPr>
        <w:t>t</w:t>
      </w:r>
      <w:r>
        <w:t>e şi</w:t>
      </w:r>
      <w:r>
        <w:rPr>
          <w:spacing w:val="1"/>
        </w:rPr>
        <w:t xml:space="preserve"> </w:t>
      </w:r>
      <w:r>
        <w:t xml:space="preserve">cu </w:t>
      </w:r>
      <w:r>
        <w:rPr>
          <w:spacing w:val="-3"/>
        </w:rPr>
        <w:t>g</w:t>
      </w:r>
      <w:r>
        <w:t>r</w:t>
      </w:r>
      <w:r>
        <w:rPr>
          <w:spacing w:val="-3"/>
        </w:rPr>
        <w:t>e</w:t>
      </w:r>
      <w:r>
        <w:t>u</w:t>
      </w:r>
      <w:r>
        <w:rPr>
          <w:spacing w:val="1"/>
        </w:rPr>
        <w:t>t</w:t>
      </w:r>
      <w:r>
        <w:rPr>
          <w:spacing w:val="-3"/>
        </w:rPr>
        <w:t>a</w:t>
      </w:r>
      <w:r>
        <w:rPr>
          <w:spacing w:val="1"/>
        </w:rPr>
        <w:t>t</w:t>
      </w:r>
      <w:r>
        <w:rPr>
          <w:spacing w:val="-3"/>
        </w:rPr>
        <w:t>e</w:t>
      </w:r>
      <w:r>
        <w:t>a &lt;15 </w:t>
      </w:r>
      <w:r>
        <w:rPr>
          <w:spacing w:val="-3"/>
        </w:rPr>
        <w:t>k</w:t>
      </w:r>
      <w:r>
        <w:t>g</w:t>
      </w:r>
      <w:r>
        <w:rPr>
          <w:spacing w:val="-3"/>
        </w:rPr>
        <w:t xml:space="preserve"> </w:t>
      </w:r>
      <w:r>
        <w:t>do</w:t>
      </w:r>
      <w:r>
        <w:rPr>
          <w:spacing w:val="-3"/>
        </w:rPr>
        <w:t>z</w:t>
      </w:r>
      <w:r>
        <w:t>a de ad</w:t>
      </w:r>
      <w:r>
        <w:rPr>
          <w:spacing w:val="-3"/>
        </w:rPr>
        <w:t>a</w:t>
      </w:r>
      <w:r>
        <w:rPr>
          <w:spacing w:val="1"/>
        </w:rPr>
        <w:t>li</w:t>
      </w:r>
      <w:r>
        <w:rPr>
          <w:spacing w:val="-4"/>
        </w:rPr>
        <w:t>m</w:t>
      </w:r>
      <w:r>
        <w:t>u</w:t>
      </w:r>
      <w:r>
        <w:rPr>
          <w:spacing w:val="-4"/>
        </w:rPr>
        <w:t>m</w:t>
      </w:r>
      <w:r>
        <w:t>ab 24 </w:t>
      </w:r>
      <w:r>
        <w:rPr>
          <w:spacing w:val="-2"/>
        </w:rPr>
        <w:t>m</w:t>
      </w:r>
      <w:r>
        <w:rPr>
          <w:spacing w:val="-3"/>
        </w:rPr>
        <w:t>g</w:t>
      </w:r>
      <w:r>
        <w:rPr>
          <w:spacing w:val="3"/>
        </w:rPr>
        <w:t>/</w:t>
      </w:r>
      <w:r>
        <w:rPr>
          <w:spacing w:val="-4"/>
        </w:rPr>
        <w:t>m</w:t>
      </w:r>
      <w:r>
        <w:rPr>
          <w:vertAlign w:val="superscript"/>
        </w:rPr>
        <w:t>2</w:t>
      </w:r>
      <w:r>
        <w:t>,</w:t>
      </w:r>
      <w:r>
        <w:rPr>
          <w:spacing w:val="2"/>
        </w:rPr>
        <w:t xml:space="preserve"> </w:t>
      </w:r>
      <w:r>
        <w:t>conc</w:t>
      </w:r>
      <w:r>
        <w:rPr>
          <w:spacing w:val="-3"/>
        </w:rPr>
        <w:t>e</w:t>
      </w:r>
      <w:r>
        <w:t>n</w:t>
      </w:r>
      <w:r>
        <w:rPr>
          <w:spacing w:val="-2"/>
        </w:rPr>
        <w:t>t</w:t>
      </w:r>
      <w:r>
        <w:t>ra</w:t>
      </w:r>
      <w:r>
        <w:rPr>
          <w:spacing w:val="-2"/>
        </w:rPr>
        <w:t>ţ</w:t>
      </w:r>
      <w:r>
        <w:rPr>
          <w:spacing w:val="1"/>
        </w:rPr>
        <w:t>i</w:t>
      </w:r>
      <w:r>
        <w:rPr>
          <w:spacing w:val="-2"/>
        </w:rPr>
        <w:t>i</w:t>
      </w:r>
      <w:r>
        <w:rPr>
          <w:spacing w:val="1"/>
        </w:rPr>
        <w:t>l</w:t>
      </w:r>
      <w:r>
        <w:t xml:space="preserve">e </w:t>
      </w:r>
      <w:r>
        <w:rPr>
          <w:spacing w:val="-3"/>
        </w:rPr>
        <w:t>p</w:t>
      </w:r>
      <w:r>
        <w:rPr>
          <w:spacing w:val="1"/>
        </w:rPr>
        <w:t>l</w:t>
      </w:r>
      <w:r>
        <w:rPr>
          <w:spacing w:val="-3"/>
        </w:rPr>
        <w:t>a</w:t>
      </w:r>
      <w:r>
        <w:t>s</w:t>
      </w:r>
      <w:r>
        <w:rPr>
          <w:spacing w:val="-4"/>
        </w:rPr>
        <w:t>m</w:t>
      </w:r>
      <w:r>
        <w:t>a</w:t>
      </w:r>
      <w:r>
        <w:rPr>
          <w:spacing w:val="1"/>
        </w:rPr>
        <w:t>ti</w:t>
      </w:r>
      <w:r>
        <w:t>ce</w:t>
      </w:r>
      <w:r>
        <w:rPr>
          <w:spacing w:val="-2"/>
        </w:rPr>
        <w:t xml:space="preserve"> </w:t>
      </w:r>
      <w:r>
        <w:rPr>
          <w:spacing w:val="-4"/>
        </w:rPr>
        <w:t>m</w:t>
      </w:r>
      <w:r>
        <w:t>ed</w:t>
      </w:r>
      <w:r>
        <w:rPr>
          <w:spacing w:val="1"/>
        </w:rPr>
        <w:t>i</w:t>
      </w:r>
      <w:r>
        <w:t>i</w:t>
      </w:r>
      <w:r>
        <w:rPr>
          <w:spacing w:val="1"/>
        </w:rPr>
        <w:t xml:space="preserve"> l</w:t>
      </w:r>
      <w:r>
        <w:t>a</w:t>
      </w:r>
      <w:r>
        <w:rPr>
          <w:spacing w:val="-2"/>
        </w:rPr>
        <w:t xml:space="preserve"> </w:t>
      </w:r>
      <w:r>
        <w:t>s</w:t>
      </w:r>
      <w:r>
        <w:rPr>
          <w:spacing w:val="1"/>
        </w:rPr>
        <w:t>t</w:t>
      </w:r>
      <w:r>
        <w:rPr>
          <w:spacing w:val="-3"/>
        </w:rPr>
        <w:t>a</w:t>
      </w:r>
      <w:r>
        <w:t>rea</w:t>
      </w:r>
      <w:r>
        <w:rPr>
          <w:spacing w:val="-2"/>
        </w:rPr>
        <w:t xml:space="preserve"> </w:t>
      </w:r>
      <w:r>
        <w:t>de ech</w:t>
      </w:r>
      <w:r>
        <w:rPr>
          <w:spacing w:val="-2"/>
        </w:rPr>
        <w:t>i</w:t>
      </w:r>
      <w:r>
        <w:rPr>
          <w:spacing w:val="1"/>
        </w:rPr>
        <w:t>l</w:t>
      </w:r>
      <w:r>
        <w:rPr>
          <w:spacing w:val="-2"/>
        </w:rPr>
        <w:t>i</w:t>
      </w:r>
      <w:r>
        <w:t>bru</w:t>
      </w:r>
      <w:r>
        <w:rPr>
          <w:spacing w:val="-3"/>
        </w:rPr>
        <w:t xml:space="preserve"> </w:t>
      </w:r>
      <w:r>
        <w:t>a ad</w:t>
      </w:r>
      <w:r>
        <w:rPr>
          <w:spacing w:val="-3"/>
        </w:rPr>
        <w:t>a</w:t>
      </w:r>
      <w:r>
        <w:rPr>
          <w:spacing w:val="1"/>
        </w:rPr>
        <w:t>li</w:t>
      </w:r>
      <w:r>
        <w:rPr>
          <w:spacing w:val="-4"/>
        </w:rPr>
        <w:t>m</w:t>
      </w:r>
      <w:r>
        <w:t>u</w:t>
      </w:r>
      <w:r>
        <w:rPr>
          <w:spacing w:val="-4"/>
        </w:rPr>
        <w:t>m</w:t>
      </w:r>
      <w:r>
        <w:t>ab au fost</w:t>
      </w:r>
      <w:r>
        <w:rPr>
          <w:spacing w:val="-2"/>
        </w:rPr>
        <w:t xml:space="preserve"> </w:t>
      </w:r>
      <w:r>
        <w:t>de 6</w:t>
      </w:r>
      <w:r>
        <w:rPr>
          <w:spacing w:val="-3"/>
        </w:rPr>
        <w:t xml:space="preserve">,0 </w:t>
      </w:r>
      <w:r>
        <w:t>±</w:t>
      </w:r>
      <w:r>
        <w:rPr>
          <w:spacing w:val="1"/>
        </w:rPr>
        <w:t xml:space="preserve"> </w:t>
      </w:r>
      <w:r>
        <w:t>6</w:t>
      </w:r>
      <w:r>
        <w:rPr>
          <w:spacing w:val="-3"/>
        </w:rPr>
        <w:t>,</w:t>
      </w:r>
      <w:r>
        <w:t>1 µ</w:t>
      </w:r>
      <w:r>
        <w:rPr>
          <w:spacing w:val="-3"/>
        </w:rPr>
        <w:t>g</w:t>
      </w:r>
      <w:r>
        <w:rPr>
          <w:spacing w:val="1"/>
        </w:rPr>
        <w:t>/</w:t>
      </w:r>
      <w:r>
        <w:rPr>
          <w:spacing w:val="-4"/>
        </w:rPr>
        <w:t>m</w:t>
      </w:r>
      <w:r>
        <w:t>l</w:t>
      </w:r>
      <w:r>
        <w:rPr>
          <w:spacing w:val="1"/>
        </w:rPr>
        <w:t xml:space="preserve"> </w:t>
      </w:r>
      <w:r>
        <w:t>(10</w:t>
      </w:r>
      <w:r>
        <w:rPr>
          <w:spacing w:val="-3"/>
        </w:rPr>
        <w:t>1</w:t>
      </w:r>
      <w:r>
        <w:t>%</w:t>
      </w:r>
      <w:r>
        <w:rPr>
          <w:spacing w:val="-2"/>
        </w:rPr>
        <w:t xml:space="preserve"> </w:t>
      </w:r>
      <w:r>
        <w:rPr>
          <w:spacing w:val="-1"/>
        </w:rPr>
        <w:t>C</w:t>
      </w:r>
      <w:r>
        <w:rPr>
          <w:spacing w:val="1"/>
        </w:rPr>
        <w:t>V</w:t>
      </w:r>
      <w:r>
        <w:t>)</w:t>
      </w:r>
      <w:r>
        <w:rPr>
          <w:spacing w:val="1"/>
        </w:rPr>
        <w:t xml:space="preserve"> </w:t>
      </w:r>
      <w:r>
        <w:rPr>
          <w:spacing w:val="-2"/>
        </w:rPr>
        <w:t>î</w:t>
      </w:r>
      <w:r>
        <w:t>n ca</w:t>
      </w:r>
      <w:r>
        <w:rPr>
          <w:spacing w:val="-3"/>
        </w:rPr>
        <w:t>z</w:t>
      </w:r>
      <w:r>
        <w:t>ul</w:t>
      </w:r>
      <w:r>
        <w:rPr>
          <w:spacing w:val="-2"/>
        </w:rPr>
        <w:t xml:space="preserve"> </w:t>
      </w:r>
      <w:r>
        <w:rPr>
          <w:spacing w:val="1"/>
        </w:rPr>
        <w:t>î</w:t>
      </w:r>
      <w:r>
        <w:t xml:space="preserve">n </w:t>
      </w:r>
      <w:r>
        <w:rPr>
          <w:spacing w:val="-3"/>
        </w:rPr>
        <w:t>c</w:t>
      </w:r>
      <w:r>
        <w:t>a</w:t>
      </w:r>
      <w:r>
        <w:rPr>
          <w:spacing w:val="-2"/>
        </w:rPr>
        <w:t>r</w:t>
      </w:r>
      <w:r>
        <w:t>e ad</w:t>
      </w:r>
      <w:r>
        <w:rPr>
          <w:spacing w:val="-3"/>
        </w:rPr>
        <w:t>a</w:t>
      </w:r>
      <w:r>
        <w:rPr>
          <w:spacing w:val="-2"/>
        </w:rPr>
        <w:t>l</w:t>
      </w:r>
      <w:r>
        <w:rPr>
          <w:spacing w:val="1"/>
        </w:rPr>
        <w:t>i</w:t>
      </w:r>
      <w:r>
        <w:rPr>
          <w:spacing w:val="-4"/>
        </w:rPr>
        <w:t>m</w:t>
      </w:r>
      <w:r>
        <w:rPr>
          <w:spacing w:val="2"/>
        </w:rPr>
        <w:t>u</w:t>
      </w:r>
      <w:r>
        <w:rPr>
          <w:spacing w:val="-4"/>
        </w:rPr>
        <w:t>m</w:t>
      </w:r>
      <w:r>
        <w:t>ab a fo</w:t>
      </w:r>
      <w:r>
        <w:rPr>
          <w:spacing w:val="-2"/>
        </w:rPr>
        <w:t>s</w:t>
      </w:r>
      <w:r>
        <w:t>t ad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t>f</w:t>
      </w:r>
      <w:r>
        <w:rPr>
          <w:spacing w:val="-3"/>
        </w:rPr>
        <w:t>ă</w:t>
      </w:r>
      <w:r>
        <w:t xml:space="preserve">ră </w:t>
      </w:r>
      <w:r>
        <w:rPr>
          <w:spacing w:val="-4"/>
        </w:rPr>
        <w:t>m</w:t>
      </w:r>
      <w:r>
        <w:t>e</w:t>
      </w:r>
      <w:r>
        <w:rPr>
          <w:spacing w:val="1"/>
        </w:rPr>
        <w:t>t</w:t>
      </w:r>
      <w:r>
        <w:rPr>
          <w:spacing w:val="-3"/>
        </w:rPr>
        <w:t>o</w:t>
      </w:r>
      <w:r>
        <w:rPr>
          <w:spacing w:val="1"/>
        </w:rPr>
        <w:t>t</w:t>
      </w:r>
      <w:r>
        <w:t>re</w:t>
      </w:r>
      <w:r>
        <w:rPr>
          <w:spacing w:val="-3"/>
        </w:rPr>
        <w:t>x</w:t>
      </w:r>
      <w:r>
        <w:t>at</w:t>
      </w:r>
      <w:r>
        <w:rPr>
          <w:spacing w:val="-2"/>
        </w:rPr>
        <w:t xml:space="preserve"> </w:t>
      </w:r>
      <w:r>
        <w:t>şi</w:t>
      </w:r>
      <w:r>
        <w:rPr>
          <w:spacing w:val="1"/>
        </w:rPr>
        <w:t xml:space="preserve"> </w:t>
      </w:r>
      <w:r>
        <w:t>de</w:t>
      </w:r>
      <w:r>
        <w:rPr>
          <w:spacing w:val="-2"/>
        </w:rPr>
        <w:t xml:space="preserve"> </w:t>
      </w:r>
      <w:r>
        <w:t>7,9</w:t>
      </w:r>
      <w:r>
        <w:rPr>
          <w:spacing w:val="-3"/>
        </w:rPr>
        <w:t xml:space="preserve"> </w:t>
      </w:r>
      <w:r>
        <w:t>±</w:t>
      </w:r>
      <w:r>
        <w:rPr>
          <w:spacing w:val="1"/>
        </w:rPr>
        <w:t xml:space="preserve"> </w:t>
      </w:r>
      <w:r>
        <w:t>5,6 µ</w:t>
      </w:r>
      <w:r>
        <w:rPr>
          <w:spacing w:val="-3"/>
        </w:rPr>
        <w:t>g</w:t>
      </w:r>
      <w:r>
        <w:rPr>
          <w:spacing w:val="1"/>
        </w:rPr>
        <w:t>/</w:t>
      </w:r>
      <w:r>
        <w:rPr>
          <w:spacing w:val="-4"/>
        </w:rPr>
        <w:t>m</w:t>
      </w:r>
      <w:r>
        <w:t>l</w:t>
      </w:r>
      <w:r>
        <w:rPr>
          <w:spacing w:val="1"/>
        </w:rPr>
        <w:t xml:space="preserve"> </w:t>
      </w:r>
      <w:r>
        <w:t>(71,</w:t>
      </w:r>
      <w:r>
        <w:rPr>
          <w:spacing w:val="-3"/>
        </w:rPr>
        <w:t>2</w:t>
      </w:r>
      <w:r>
        <w:t>%</w:t>
      </w:r>
      <w:r>
        <w:rPr>
          <w:spacing w:val="-2"/>
        </w:rPr>
        <w:t xml:space="preserve"> </w:t>
      </w:r>
      <w:r>
        <w:rPr>
          <w:spacing w:val="-1"/>
        </w:rPr>
        <w:t>C</w:t>
      </w:r>
      <w:r>
        <w:rPr>
          <w:spacing w:val="1"/>
        </w:rPr>
        <w:t>V</w:t>
      </w:r>
      <w:r>
        <w:t>)</w:t>
      </w:r>
      <w:r>
        <w:rPr>
          <w:spacing w:val="1"/>
        </w:rPr>
        <w:t xml:space="preserve"> </w:t>
      </w:r>
      <w:r>
        <w:rPr>
          <w:spacing w:val="-2"/>
        </w:rPr>
        <w:t>î</w:t>
      </w:r>
      <w:r>
        <w:t>n ca</w:t>
      </w:r>
      <w:r>
        <w:rPr>
          <w:spacing w:val="-3"/>
        </w:rPr>
        <w:t>z</w:t>
      </w:r>
      <w:r>
        <w:t>ul</w:t>
      </w:r>
      <w:r>
        <w:rPr>
          <w:spacing w:val="-2"/>
        </w:rPr>
        <w:t xml:space="preserve"> </w:t>
      </w:r>
      <w:r>
        <w:rPr>
          <w:spacing w:val="1"/>
        </w:rPr>
        <w:t>î</w:t>
      </w:r>
      <w:r>
        <w:t xml:space="preserve">n </w:t>
      </w:r>
      <w:r>
        <w:rPr>
          <w:spacing w:val="-3"/>
        </w:rPr>
        <w:t>c</w:t>
      </w:r>
      <w:r>
        <w:t>a</w:t>
      </w:r>
      <w:r>
        <w:rPr>
          <w:spacing w:val="-2"/>
        </w:rPr>
        <w:t>r</w:t>
      </w:r>
      <w:r>
        <w:t>e s</w:t>
      </w:r>
      <w:r>
        <w:rPr>
          <w:spacing w:val="-4"/>
        </w:rPr>
        <w:t>-</w:t>
      </w:r>
      <w:r>
        <w:t>a u</w:t>
      </w:r>
      <w:r>
        <w:rPr>
          <w:spacing w:val="1"/>
        </w:rPr>
        <w:t>t</w:t>
      </w:r>
      <w:r>
        <w:rPr>
          <w:spacing w:val="-2"/>
        </w:rPr>
        <w:t>i</w:t>
      </w:r>
      <w:r>
        <w:rPr>
          <w:spacing w:val="1"/>
        </w:rPr>
        <w:t>li</w:t>
      </w:r>
      <w:r>
        <w:rPr>
          <w:spacing w:val="-3"/>
        </w:rPr>
        <w:t>z</w:t>
      </w:r>
      <w:r>
        <w:t>at</w:t>
      </w:r>
      <w:r>
        <w:rPr>
          <w:spacing w:val="-2"/>
        </w:rPr>
        <w:t xml:space="preserve"> </w:t>
      </w:r>
      <w:r>
        <w:t>c</w:t>
      </w:r>
      <w:r>
        <w:rPr>
          <w:spacing w:val="-1"/>
        </w:rPr>
        <w:t>o</w:t>
      </w:r>
      <w:r>
        <w:t>n</w:t>
      </w:r>
      <w:r>
        <w:rPr>
          <w:spacing w:val="-3"/>
        </w:rPr>
        <w:t>c</w:t>
      </w:r>
      <w:r>
        <w:t>o</w:t>
      </w:r>
      <w:r>
        <w:rPr>
          <w:spacing w:val="-4"/>
        </w:rPr>
        <w:t>m</w:t>
      </w:r>
      <w:r>
        <w:rPr>
          <w:spacing w:val="1"/>
        </w:rPr>
        <w:t>it</w:t>
      </w:r>
      <w:r>
        <w:t xml:space="preserve">ent </w:t>
      </w:r>
      <w:r>
        <w:rPr>
          <w:spacing w:val="-4"/>
        </w:rPr>
        <w:t>m</w:t>
      </w:r>
      <w:r>
        <w:t>e</w:t>
      </w:r>
      <w:r>
        <w:rPr>
          <w:spacing w:val="1"/>
        </w:rPr>
        <w:t>t</w:t>
      </w:r>
      <w:r>
        <w:t>o</w:t>
      </w:r>
      <w:r>
        <w:rPr>
          <w:spacing w:val="1"/>
        </w:rPr>
        <w:t>t</w:t>
      </w:r>
      <w:r>
        <w:t>rex</w:t>
      </w:r>
      <w:r>
        <w:rPr>
          <w:spacing w:val="-3"/>
        </w:rPr>
        <w:t>a</w:t>
      </w:r>
      <w:r>
        <w:rPr>
          <w:spacing w:val="1"/>
        </w:rPr>
        <w:t>t.</w:t>
      </w:r>
    </w:p>
    <w:p w14:paraId="0ECDC5F9" w14:textId="77777777" w:rsidR="00C04CAD" w:rsidRDefault="00C04CAD">
      <w:pPr>
        <w:tabs>
          <w:tab w:val="clear" w:pos="567"/>
        </w:tabs>
        <w:kinsoku w:val="0"/>
        <w:overflowPunct w:val="0"/>
        <w:autoSpaceDE w:val="0"/>
        <w:autoSpaceDN w:val="0"/>
        <w:adjustRightInd w:val="0"/>
        <w:spacing w:line="240" w:lineRule="auto"/>
      </w:pPr>
    </w:p>
    <w:p w14:paraId="07308A72" w14:textId="77777777" w:rsidR="00C04CAD" w:rsidRDefault="00060E34">
      <w:pPr>
        <w:tabs>
          <w:tab w:val="clear" w:pos="567"/>
        </w:tabs>
        <w:kinsoku w:val="0"/>
        <w:overflowPunct w:val="0"/>
        <w:autoSpaceDE w:val="0"/>
        <w:autoSpaceDN w:val="0"/>
        <w:adjustRightInd w:val="0"/>
        <w:spacing w:line="240" w:lineRule="auto"/>
      </w:pPr>
      <w:r>
        <w:rPr>
          <w:spacing w:val="-1"/>
        </w:rPr>
        <w:t>D</w:t>
      </w:r>
      <w:r>
        <w:t>upă ad</w:t>
      </w:r>
      <w:r>
        <w:rPr>
          <w:spacing w:val="-4"/>
        </w:rPr>
        <w:t>m</w:t>
      </w:r>
      <w:r>
        <w:rPr>
          <w:spacing w:val="1"/>
        </w:rPr>
        <w:t>i</w:t>
      </w:r>
      <w:r>
        <w:t>n</w:t>
      </w:r>
      <w:r>
        <w:rPr>
          <w:spacing w:val="1"/>
        </w:rPr>
        <w:t>i</w:t>
      </w:r>
      <w:r>
        <w:rPr>
          <w:spacing w:val="-2"/>
        </w:rPr>
        <w:t>s</w:t>
      </w:r>
      <w:r>
        <w:rPr>
          <w:spacing w:val="1"/>
        </w:rPr>
        <w:t>t</w:t>
      </w:r>
      <w:r>
        <w:rPr>
          <w:spacing w:val="-2"/>
        </w:rPr>
        <w:t>r</w:t>
      </w:r>
      <w:r>
        <w:t>ar</w:t>
      </w:r>
      <w:r>
        <w:rPr>
          <w:spacing w:val="-3"/>
        </w:rPr>
        <w:t>e</w:t>
      </w:r>
      <w:r>
        <w:t>a a 24</w:t>
      </w:r>
      <w:r>
        <w:rPr>
          <w:spacing w:val="-3"/>
        </w:rPr>
        <w:t> </w:t>
      </w:r>
      <w:r>
        <w:rPr>
          <w:spacing w:val="-2"/>
        </w:rPr>
        <w:t>m</w:t>
      </w:r>
      <w:r>
        <w:rPr>
          <w:spacing w:val="-3"/>
        </w:rPr>
        <w:t>g</w:t>
      </w:r>
      <w:r>
        <w:rPr>
          <w:spacing w:val="3"/>
        </w:rPr>
        <w:t>/</w:t>
      </w:r>
      <w:r>
        <w:rPr>
          <w:spacing w:val="-4"/>
        </w:rPr>
        <w:t>m</w:t>
      </w:r>
      <w:r>
        <w:rPr>
          <w:vertAlign w:val="superscript"/>
        </w:rPr>
        <w:t>2</w:t>
      </w:r>
      <w:r>
        <w:t xml:space="preserve"> (</w:t>
      </w:r>
      <w:r>
        <w:rPr>
          <w:spacing w:val="-4"/>
        </w:rPr>
        <w:t>m</w:t>
      </w:r>
      <w:r>
        <w:t>ax</w:t>
      </w:r>
      <w:r>
        <w:rPr>
          <w:spacing w:val="1"/>
        </w:rPr>
        <w:t>i</w:t>
      </w:r>
      <w:r>
        <w:t>m</w:t>
      </w:r>
      <w:r>
        <w:rPr>
          <w:spacing w:val="-4"/>
        </w:rPr>
        <w:t xml:space="preserve"> </w:t>
      </w:r>
      <w:r>
        <w:t>40 </w:t>
      </w:r>
      <w:r>
        <w:rPr>
          <w:spacing w:val="-2"/>
        </w:rPr>
        <w:t>m</w:t>
      </w:r>
      <w:r>
        <w:rPr>
          <w:spacing w:val="-3"/>
        </w:rPr>
        <w:t>g</w:t>
      </w:r>
      <w:r>
        <w:t>)</w:t>
      </w:r>
      <w:r>
        <w:rPr>
          <w:spacing w:val="1"/>
        </w:rPr>
        <w:t xml:space="preserve"> </w:t>
      </w:r>
      <w:r>
        <w:t>subcu</w:t>
      </w:r>
      <w:r>
        <w:rPr>
          <w:spacing w:val="-2"/>
        </w:rPr>
        <w:t>t</w:t>
      </w:r>
      <w:r>
        <w:t>an</w:t>
      </w:r>
      <w:r>
        <w:rPr>
          <w:spacing w:val="-3"/>
        </w:rPr>
        <w:t>a</w:t>
      </w:r>
      <w:r>
        <w:t>t</w:t>
      </w:r>
      <w:r>
        <w:rPr>
          <w:spacing w:val="1"/>
        </w:rPr>
        <w:t xml:space="preserve"> </w:t>
      </w:r>
      <w:r>
        <w:t>o d</w:t>
      </w:r>
      <w:r>
        <w:rPr>
          <w:spacing w:val="-3"/>
        </w:rPr>
        <w:t>a</w:t>
      </w:r>
      <w:r>
        <w:rPr>
          <w:spacing w:val="1"/>
        </w:rPr>
        <w:t>t</w:t>
      </w:r>
      <w:r>
        <w:t>ă</w:t>
      </w:r>
      <w:r>
        <w:rPr>
          <w:spacing w:val="-2"/>
        </w:rPr>
        <w:t xml:space="preserve"> </w:t>
      </w:r>
      <w:r>
        <w:rPr>
          <w:spacing w:val="1"/>
        </w:rPr>
        <w:t>l</w:t>
      </w:r>
      <w:r>
        <w:t xml:space="preserve">a </w:t>
      </w:r>
      <w:r>
        <w:rPr>
          <w:spacing w:val="-3"/>
        </w:rPr>
        <w:t>d</w:t>
      </w:r>
      <w:r>
        <w:t>o</w:t>
      </w:r>
      <w:r>
        <w:rPr>
          <w:spacing w:val="-3"/>
        </w:rPr>
        <w:t>u</w:t>
      </w:r>
      <w:r>
        <w:t>ă să</w:t>
      </w:r>
      <w:r>
        <w:rPr>
          <w:spacing w:val="-3"/>
        </w:rPr>
        <w:t>p</w:t>
      </w:r>
      <w:r>
        <w:rPr>
          <w:spacing w:val="1"/>
        </w:rPr>
        <w:t>t</w:t>
      </w:r>
      <w:r>
        <w:t>ă</w:t>
      </w:r>
      <w:r>
        <w:rPr>
          <w:spacing w:val="-4"/>
        </w:rPr>
        <w:t>m</w:t>
      </w:r>
      <w:r>
        <w:t>âni</w:t>
      </w:r>
      <w:r>
        <w:rPr>
          <w:spacing w:val="1"/>
        </w:rPr>
        <w:t xml:space="preserve"> </w:t>
      </w:r>
      <w:r>
        <w:rPr>
          <w:spacing w:val="-2"/>
        </w:rPr>
        <w:t>l</w:t>
      </w:r>
      <w:r>
        <w:t>a pac</w:t>
      </w:r>
      <w:r>
        <w:rPr>
          <w:spacing w:val="-2"/>
        </w:rPr>
        <w:t>i</w:t>
      </w:r>
      <w:r>
        <w:t>en</w:t>
      </w:r>
      <w:r>
        <w:rPr>
          <w:spacing w:val="-2"/>
        </w:rPr>
        <w:t>ţ</w:t>
      </w:r>
      <w:r>
        <w:rPr>
          <w:spacing w:val="1"/>
        </w:rPr>
        <w:t>i</w:t>
      </w:r>
      <w:r>
        <w:t>i</w:t>
      </w:r>
      <w:r>
        <w:rPr>
          <w:spacing w:val="-2"/>
        </w:rPr>
        <w:t xml:space="preserve"> </w:t>
      </w:r>
      <w:r>
        <w:t xml:space="preserve">cu </w:t>
      </w:r>
      <w:r>
        <w:rPr>
          <w:spacing w:val="-3"/>
        </w:rPr>
        <w:t>a</w:t>
      </w:r>
      <w:r>
        <w:t>r</w:t>
      </w:r>
      <w:r>
        <w:rPr>
          <w:spacing w:val="-2"/>
        </w:rPr>
        <w:t>t</w:t>
      </w:r>
      <w:r>
        <w:t>r</w:t>
      </w:r>
      <w:r>
        <w:rPr>
          <w:spacing w:val="-2"/>
        </w:rPr>
        <w:t>i</w:t>
      </w:r>
      <w:r>
        <w:rPr>
          <w:spacing w:val="1"/>
        </w:rPr>
        <w:t>t</w:t>
      </w:r>
      <w:r>
        <w:t>ă</w:t>
      </w:r>
      <w:r>
        <w:rPr>
          <w:spacing w:val="-2"/>
        </w:rPr>
        <w:t xml:space="preserve"> </w:t>
      </w:r>
      <w:r>
        <w:t>aso</w:t>
      </w:r>
      <w:r>
        <w:rPr>
          <w:spacing w:val="-3"/>
        </w:rPr>
        <w:t>c</w:t>
      </w:r>
      <w:r>
        <w:rPr>
          <w:spacing w:val="1"/>
        </w:rPr>
        <w:t>i</w:t>
      </w:r>
      <w:r>
        <w:rPr>
          <w:spacing w:val="-3"/>
        </w:rPr>
        <w:t>a</w:t>
      </w:r>
      <w:r>
        <w:rPr>
          <w:spacing w:val="1"/>
        </w:rPr>
        <w:t>t</w:t>
      </w:r>
      <w:r>
        <w:t>ă</w:t>
      </w:r>
      <w:r>
        <w:rPr>
          <w:spacing w:val="-2"/>
        </w:rPr>
        <w:t xml:space="preserve"> </w:t>
      </w:r>
      <w:r>
        <w:t>en</w:t>
      </w:r>
      <w:r>
        <w:rPr>
          <w:spacing w:val="1"/>
        </w:rPr>
        <w:t>t</w:t>
      </w:r>
      <w:r>
        <w:t>e</w:t>
      </w:r>
      <w:r>
        <w:rPr>
          <w:spacing w:val="-3"/>
        </w:rPr>
        <w:t>z</w:t>
      </w:r>
      <w:r>
        <w:rPr>
          <w:spacing w:val="-2"/>
        </w:rPr>
        <w:t>i</w:t>
      </w:r>
      <w:r>
        <w:rPr>
          <w:spacing w:val="1"/>
        </w:rPr>
        <w:t>t</w:t>
      </w:r>
      <w:r>
        <w:rPr>
          <w:spacing w:val="-3"/>
        </w:rPr>
        <w:t>e</w:t>
      </w:r>
      <w:r>
        <w:t>i</w:t>
      </w:r>
      <w:r>
        <w:rPr>
          <w:spacing w:val="1"/>
        </w:rPr>
        <w:t xml:space="preserve"> </w:t>
      </w:r>
      <w:r>
        <w:t>c</w:t>
      </w:r>
      <w:r>
        <w:rPr>
          <w:spacing w:val="-3"/>
        </w:rPr>
        <w:t>a</w:t>
      </w:r>
      <w:r>
        <w:t>re a</w:t>
      </w:r>
      <w:r>
        <w:rPr>
          <w:spacing w:val="-3"/>
        </w:rPr>
        <w:t>v</w:t>
      </w:r>
      <w:r>
        <w:t xml:space="preserve">eau </w:t>
      </w:r>
      <w:r>
        <w:rPr>
          <w:spacing w:val="-3"/>
        </w:rPr>
        <w:t>v</w:t>
      </w:r>
      <w:r>
        <w:t>â</w:t>
      </w:r>
      <w:r>
        <w:rPr>
          <w:spacing w:val="-2"/>
        </w:rPr>
        <w:t>r</w:t>
      </w:r>
      <w:r>
        <w:t>s</w:t>
      </w:r>
      <w:r>
        <w:rPr>
          <w:spacing w:val="-2"/>
        </w:rPr>
        <w:t>t</w:t>
      </w:r>
      <w:r>
        <w:t>a</w:t>
      </w:r>
      <w:r>
        <w:rPr>
          <w:spacing w:val="-2"/>
        </w:rPr>
        <w:t xml:space="preserve"> </w:t>
      </w:r>
      <w:r>
        <w:t>de 6 a</w:t>
      </w:r>
      <w:r>
        <w:rPr>
          <w:spacing w:val="-3"/>
        </w:rPr>
        <w:t>n</w:t>
      </w:r>
      <w:r>
        <w:t>i</w:t>
      </w:r>
      <w:r>
        <w:rPr>
          <w:spacing w:val="1"/>
        </w:rPr>
        <w:t xml:space="preserve"> </w:t>
      </w:r>
      <w:r>
        <w:t>p</w:t>
      </w:r>
      <w:r>
        <w:rPr>
          <w:spacing w:val="-3"/>
        </w:rPr>
        <w:t>a</w:t>
      </w:r>
      <w:r>
        <w:t xml:space="preserve">nă </w:t>
      </w:r>
      <w:r>
        <w:rPr>
          <w:spacing w:val="-2"/>
        </w:rPr>
        <w:t>l</w:t>
      </w:r>
      <w:r>
        <w:t>a 17</w:t>
      </w:r>
      <w:r>
        <w:rPr>
          <w:spacing w:val="-3"/>
        </w:rPr>
        <w:t xml:space="preserve"> </w:t>
      </w:r>
      <w:r>
        <w:t>an</w:t>
      </w:r>
      <w:r>
        <w:rPr>
          <w:spacing w:val="1"/>
        </w:rPr>
        <w:t>i</w:t>
      </w:r>
      <w:r>
        <w:t>,</w:t>
      </w:r>
      <w:r>
        <w:rPr>
          <w:spacing w:val="-3"/>
        </w:rPr>
        <w:t xml:space="preserve"> </w:t>
      </w:r>
      <w:r>
        <w:t>co</w:t>
      </w:r>
      <w:r>
        <w:rPr>
          <w:spacing w:val="-3"/>
        </w:rPr>
        <w:t>n</w:t>
      </w:r>
      <w:r>
        <w:t>cen</w:t>
      </w:r>
      <w:r>
        <w:rPr>
          <w:spacing w:val="-2"/>
        </w:rPr>
        <w:t>t</w:t>
      </w:r>
      <w:r>
        <w:t>r</w:t>
      </w:r>
      <w:r>
        <w:rPr>
          <w:spacing w:val="-3"/>
        </w:rPr>
        <w:t>a</w:t>
      </w:r>
      <w:r>
        <w:rPr>
          <w:spacing w:val="1"/>
        </w:rPr>
        <w:t>ţ</w:t>
      </w:r>
      <w:r>
        <w:rPr>
          <w:spacing w:val="-2"/>
        </w:rPr>
        <w:t>i</w:t>
      </w:r>
      <w:r>
        <w:rPr>
          <w:spacing w:val="1"/>
        </w:rPr>
        <w:t>il</w:t>
      </w:r>
      <w:r>
        <w:rPr>
          <w:spacing w:val="-3"/>
        </w:rPr>
        <w:t>o</w:t>
      </w:r>
      <w:r>
        <w:t>r</w:t>
      </w:r>
      <w:r>
        <w:rPr>
          <w:spacing w:val="1"/>
        </w:rPr>
        <w:t xml:space="preserve"> </w:t>
      </w:r>
      <w:r>
        <w:rPr>
          <w:spacing w:val="-2"/>
        </w:rPr>
        <w:t>s</w:t>
      </w:r>
      <w:r>
        <w:t>e</w:t>
      </w:r>
      <w:r>
        <w:rPr>
          <w:spacing w:val="-2"/>
        </w:rPr>
        <w:t>r</w:t>
      </w:r>
      <w:r>
        <w:rPr>
          <w:spacing w:val="1"/>
        </w:rPr>
        <w:t>i</w:t>
      </w:r>
      <w:r>
        <w:t xml:space="preserve">ce </w:t>
      </w:r>
      <w:r>
        <w:rPr>
          <w:spacing w:val="-4"/>
        </w:rPr>
        <w:t>m</w:t>
      </w:r>
      <w:r>
        <w:t>ed</w:t>
      </w:r>
      <w:r>
        <w:rPr>
          <w:spacing w:val="1"/>
        </w:rPr>
        <w:t>i</w:t>
      </w:r>
      <w:r>
        <w:t>i</w:t>
      </w:r>
      <w:r>
        <w:rPr>
          <w:spacing w:val="1"/>
        </w:rPr>
        <w:t xml:space="preserve"> l</w:t>
      </w:r>
      <w:r>
        <w:t>a</w:t>
      </w:r>
      <w:r>
        <w:rPr>
          <w:spacing w:val="-2"/>
        </w:rPr>
        <w:t xml:space="preserve"> </w:t>
      </w:r>
      <w:r>
        <w:t>s</w:t>
      </w:r>
      <w:r>
        <w:rPr>
          <w:spacing w:val="1"/>
        </w:rPr>
        <w:t>t</w:t>
      </w:r>
      <w:r>
        <w:rPr>
          <w:spacing w:val="-3"/>
        </w:rPr>
        <w:t>a</w:t>
      </w:r>
      <w:r>
        <w:t>rea</w:t>
      </w:r>
      <w:r>
        <w:rPr>
          <w:spacing w:val="-2"/>
        </w:rPr>
        <w:t xml:space="preserve"> </w:t>
      </w:r>
      <w:r>
        <w:t xml:space="preserve">de </w:t>
      </w:r>
      <w:r>
        <w:rPr>
          <w:spacing w:val="-3"/>
        </w:rPr>
        <w:t>e</w:t>
      </w:r>
      <w:r>
        <w:t>ch</w:t>
      </w:r>
      <w:r>
        <w:rPr>
          <w:spacing w:val="-2"/>
        </w:rPr>
        <w:t>il</w:t>
      </w:r>
      <w:r>
        <w:rPr>
          <w:spacing w:val="1"/>
        </w:rPr>
        <w:t>i</w:t>
      </w:r>
      <w:r>
        <w:t>bru</w:t>
      </w:r>
      <w:r>
        <w:rPr>
          <w:spacing w:val="-3"/>
        </w:rPr>
        <w:t xml:space="preserve"> </w:t>
      </w:r>
      <w:r>
        <w:t>a</w:t>
      </w:r>
      <w:r>
        <w:rPr>
          <w:spacing w:val="1"/>
        </w:rPr>
        <w:t>l</w:t>
      </w:r>
      <w:r>
        <w:t>e</w:t>
      </w:r>
      <w:r>
        <w:rPr>
          <w:spacing w:val="-2"/>
        </w:rPr>
        <w:t xml:space="preserve"> </w:t>
      </w:r>
      <w:r>
        <w:t>ad</w:t>
      </w:r>
      <w:r>
        <w:rPr>
          <w:spacing w:val="-3"/>
        </w:rPr>
        <w:t>a</w:t>
      </w:r>
      <w:r>
        <w:rPr>
          <w:spacing w:val="1"/>
        </w:rPr>
        <w:t>li</w:t>
      </w:r>
      <w:r>
        <w:rPr>
          <w:spacing w:val="-4"/>
        </w:rPr>
        <w:t>m</w:t>
      </w:r>
      <w:r>
        <w:t>u</w:t>
      </w:r>
      <w:r>
        <w:rPr>
          <w:spacing w:val="-4"/>
        </w:rPr>
        <w:t>m</w:t>
      </w:r>
      <w:r>
        <w:t>ab (</w:t>
      </w:r>
      <w:r>
        <w:rPr>
          <w:spacing w:val="-3"/>
        </w:rPr>
        <w:t>v</w:t>
      </w:r>
      <w:r>
        <w:t>a</w:t>
      </w:r>
      <w:r>
        <w:rPr>
          <w:spacing w:val="1"/>
        </w:rPr>
        <w:t>l</w:t>
      </w:r>
      <w:r>
        <w:t>ori</w:t>
      </w:r>
      <w:r>
        <w:rPr>
          <w:spacing w:val="1"/>
        </w:rPr>
        <w:t xml:space="preserve"> </w:t>
      </w:r>
      <w:r>
        <w:rPr>
          <w:spacing w:val="-4"/>
        </w:rPr>
        <w:t>m</w:t>
      </w:r>
      <w:r>
        <w:t>ăsura</w:t>
      </w:r>
      <w:r>
        <w:rPr>
          <w:spacing w:val="-2"/>
        </w:rPr>
        <w:t>t</w:t>
      </w:r>
      <w:r>
        <w:t xml:space="preserve">e </w:t>
      </w:r>
      <w:r>
        <w:rPr>
          <w:spacing w:val="-2"/>
        </w:rPr>
        <w:t>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24)</w:t>
      </w:r>
      <w:r>
        <w:rPr>
          <w:spacing w:val="-2"/>
        </w:rPr>
        <w:t xml:space="preserve"> </w:t>
      </w:r>
      <w:r>
        <w:t xml:space="preserve">au </w:t>
      </w:r>
      <w:r>
        <w:rPr>
          <w:spacing w:val="-2"/>
        </w:rPr>
        <w:t>f</w:t>
      </w:r>
      <w:r>
        <w:t>ost</w:t>
      </w:r>
      <w:r>
        <w:rPr>
          <w:spacing w:val="1"/>
        </w:rPr>
        <w:t xml:space="preserve"> </w:t>
      </w:r>
      <w:r>
        <w:rPr>
          <w:spacing w:val="-3"/>
        </w:rPr>
        <w:t>d</w:t>
      </w:r>
      <w:r>
        <w:t>e 8,8 ±</w:t>
      </w:r>
      <w:r>
        <w:rPr>
          <w:spacing w:val="1"/>
        </w:rPr>
        <w:t xml:space="preserve"> </w:t>
      </w:r>
      <w:r>
        <w:rPr>
          <w:spacing w:val="-3"/>
        </w:rPr>
        <w:t>6</w:t>
      </w:r>
      <w:r>
        <w:t>,6 </w:t>
      </w:r>
      <w:r>
        <w:rPr>
          <w:spacing w:val="-1"/>
        </w:rPr>
        <w:t>μ</w:t>
      </w:r>
      <w:r>
        <w:rPr>
          <w:spacing w:val="-3"/>
        </w:rPr>
        <w:t>g</w:t>
      </w:r>
      <w:r>
        <w:rPr>
          <w:spacing w:val="1"/>
        </w:rPr>
        <w:t>/</w:t>
      </w:r>
      <w:r>
        <w:rPr>
          <w:spacing w:val="-4"/>
        </w:rPr>
        <w:t>m</w:t>
      </w:r>
      <w:r>
        <w:t>l</w:t>
      </w:r>
      <w:r>
        <w:rPr>
          <w:spacing w:val="1"/>
        </w:rPr>
        <w:t xml:space="preserve"> </w:t>
      </w:r>
      <w:r>
        <w:t>a</w:t>
      </w:r>
      <w:r>
        <w:rPr>
          <w:spacing w:val="1"/>
        </w:rPr>
        <w:t>t</w:t>
      </w:r>
      <w:r>
        <w:t>un</w:t>
      </w:r>
      <w:r>
        <w:rPr>
          <w:spacing w:val="-3"/>
        </w:rPr>
        <w:t>c</w:t>
      </w:r>
      <w:r>
        <w:t>i</w:t>
      </w:r>
      <w:r>
        <w:rPr>
          <w:spacing w:val="1"/>
        </w:rPr>
        <w:t xml:space="preserve"> </w:t>
      </w:r>
      <w:r>
        <w:t>câ</w:t>
      </w:r>
      <w:r>
        <w:rPr>
          <w:spacing w:val="-3"/>
        </w:rPr>
        <w:t>n</w:t>
      </w:r>
      <w:r>
        <w:t>d</w:t>
      </w:r>
      <w:r>
        <w:rPr>
          <w:spacing w:val="-3"/>
        </w:rPr>
        <w:t xml:space="preserve"> </w:t>
      </w:r>
      <w:r>
        <w:t>ada</w:t>
      </w:r>
      <w:r>
        <w:rPr>
          <w:spacing w:val="-2"/>
        </w:rPr>
        <w:t>l</w:t>
      </w:r>
      <w:r>
        <w:rPr>
          <w:spacing w:val="1"/>
        </w:rPr>
        <w:t>i</w:t>
      </w:r>
      <w:r>
        <w:rPr>
          <w:spacing w:val="-4"/>
        </w:rPr>
        <w:t>m</w:t>
      </w:r>
      <w:r>
        <w:rPr>
          <w:spacing w:val="2"/>
        </w:rPr>
        <w:t>u</w:t>
      </w:r>
      <w:r>
        <w:rPr>
          <w:spacing w:val="-4"/>
        </w:rPr>
        <w:t>m</w:t>
      </w:r>
      <w:r>
        <w:t>ab s</w:t>
      </w:r>
      <w:r>
        <w:rPr>
          <w:spacing w:val="-4"/>
        </w:rPr>
        <w:t>-</w:t>
      </w:r>
      <w:r>
        <w:t>a a</w:t>
      </w:r>
      <w:r>
        <w:rPr>
          <w:spacing w:val="2"/>
        </w:rP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t>f</w:t>
      </w:r>
      <w:r>
        <w:rPr>
          <w:spacing w:val="-3"/>
        </w:rPr>
        <w:t>ă</w:t>
      </w:r>
      <w:r>
        <w:t xml:space="preserve">ră </w:t>
      </w:r>
      <w:r>
        <w:rPr>
          <w:spacing w:val="-4"/>
        </w:rPr>
        <w:t>m</w:t>
      </w:r>
      <w:r>
        <w:t>e</w:t>
      </w:r>
      <w:r>
        <w:rPr>
          <w:spacing w:val="1"/>
        </w:rPr>
        <w:t>t</w:t>
      </w:r>
      <w:r>
        <w:t>o</w:t>
      </w:r>
      <w:r>
        <w:rPr>
          <w:spacing w:val="-2"/>
        </w:rPr>
        <w:t>t</w:t>
      </w:r>
      <w:r>
        <w:t>re</w:t>
      </w:r>
      <w:r>
        <w:rPr>
          <w:spacing w:val="-3"/>
        </w:rPr>
        <w:t>x</w:t>
      </w:r>
      <w:r>
        <w:t>at</w:t>
      </w:r>
      <w:r>
        <w:rPr>
          <w:spacing w:val="-2"/>
        </w:rPr>
        <w:t xml:space="preserve"> </w:t>
      </w:r>
      <w:r>
        <w:t>şi</w:t>
      </w:r>
      <w:r>
        <w:rPr>
          <w:spacing w:val="1"/>
        </w:rPr>
        <w:t xml:space="preserve"> </w:t>
      </w:r>
      <w:r>
        <w:rPr>
          <w:spacing w:val="-3"/>
        </w:rPr>
        <w:t>d</w:t>
      </w:r>
      <w:r>
        <w:t>e 11,8</w:t>
      </w:r>
      <w:r>
        <w:rPr>
          <w:spacing w:val="-3"/>
        </w:rPr>
        <w:t xml:space="preserve"> </w:t>
      </w:r>
      <w:r>
        <w:t>±</w:t>
      </w:r>
      <w:r>
        <w:rPr>
          <w:spacing w:val="1"/>
        </w:rPr>
        <w:t xml:space="preserve"> </w:t>
      </w:r>
      <w:r>
        <w:t>4,3 </w:t>
      </w:r>
      <w:r>
        <w:rPr>
          <w:spacing w:val="-1"/>
        </w:rPr>
        <w:t>μ</w:t>
      </w:r>
      <w:r>
        <w:rPr>
          <w:spacing w:val="-3"/>
        </w:rPr>
        <w:t>g</w:t>
      </w:r>
      <w:r>
        <w:rPr>
          <w:spacing w:val="1"/>
        </w:rPr>
        <w:t>/</w:t>
      </w:r>
      <w:r>
        <w:rPr>
          <w:spacing w:val="-4"/>
        </w:rPr>
        <w:t>m</w:t>
      </w:r>
      <w:r>
        <w:t>l</w:t>
      </w:r>
      <w:r>
        <w:rPr>
          <w:spacing w:val="1"/>
        </w:rPr>
        <w:t xml:space="preserve"> </w:t>
      </w:r>
      <w:r>
        <w:t>a</w:t>
      </w:r>
      <w:r>
        <w:rPr>
          <w:spacing w:val="1"/>
        </w:rPr>
        <w:t>t</w:t>
      </w:r>
      <w:r>
        <w:t>u</w:t>
      </w:r>
      <w:r>
        <w:rPr>
          <w:spacing w:val="-3"/>
        </w:rPr>
        <w:t>n</w:t>
      </w:r>
      <w:r>
        <w:t>ci când s</w:t>
      </w:r>
      <w:r>
        <w:rPr>
          <w:spacing w:val="-4"/>
        </w:rPr>
        <w:t>-</w:t>
      </w:r>
      <w:r>
        <w:t>a ad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t>co</w:t>
      </w:r>
      <w:r>
        <w:rPr>
          <w:spacing w:val="-3"/>
        </w:rPr>
        <w:t>n</w:t>
      </w:r>
      <w:r>
        <w:t>c</w:t>
      </w:r>
      <w:r>
        <w:rPr>
          <w:spacing w:val="-3"/>
        </w:rPr>
        <w:t>o</w:t>
      </w:r>
      <w:r>
        <w:rPr>
          <w:spacing w:val="-4"/>
        </w:rPr>
        <w:t>m</w:t>
      </w:r>
      <w:r>
        <w:rPr>
          <w:spacing w:val="1"/>
        </w:rPr>
        <w:t>it</w:t>
      </w:r>
      <w:r>
        <w:t>ent</w:t>
      </w:r>
      <w:r>
        <w:rPr>
          <w:spacing w:val="1"/>
        </w:rPr>
        <w:t xml:space="preserve"> </w:t>
      </w:r>
      <w:r>
        <w:t xml:space="preserve">cu </w:t>
      </w:r>
      <w:r>
        <w:rPr>
          <w:spacing w:val="-4"/>
        </w:rPr>
        <w:t>m</w:t>
      </w:r>
      <w:r>
        <w:t>e</w:t>
      </w:r>
      <w:r>
        <w:rPr>
          <w:spacing w:val="1"/>
        </w:rPr>
        <w:t>t</w:t>
      </w:r>
      <w:r>
        <w:rPr>
          <w:spacing w:val="-3"/>
        </w:rPr>
        <w:t>o</w:t>
      </w:r>
      <w:r>
        <w:rPr>
          <w:spacing w:val="1"/>
        </w:rPr>
        <w:t>t</w:t>
      </w:r>
      <w:r>
        <w:t>r</w:t>
      </w:r>
      <w:r>
        <w:rPr>
          <w:spacing w:val="-3"/>
        </w:rPr>
        <w:t>e</w:t>
      </w:r>
      <w:r>
        <w:t>xa</w:t>
      </w:r>
      <w:r>
        <w:rPr>
          <w:spacing w:val="1"/>
        </w:rPr>
        <w:t>t</w:t>
      </w:r>
      <w:r>
        <w:t>.</w:t>
      </w:r>
    </w:p>
    <w:p w14:paraId="6C3BF899" w14:textId="77777777" w:rsidR="00C04CAD" w:rsidRDefault="00C04CAD">
      <w:pPr>
        <w:tabs>
          <w:tab w:val="clear" w:pos="567"/>
        </w:tabs>
        <w:kinsoku w:val="0"/>
        <w:overflowPunct w:val="0"/>
        <w:autoSpaceDE w:val="0"/>
        <w:autoSpaceDN w:val="0"/>
        <w:adjustRightInd w:val="0"/>
        <w:spacing w:line="240" w:lineRule="auto"/>
        <w:rPr>
          <w:spacing w:val="-1"/>
        </w:rPr>
      </w:pPr>
    </w:p>
    <w:p w14:paraId="53BD06D5" w14:textId="77777777" w:rsidR="00C04CAD" w:rsidRDefault="00060E34">
      <w:pPr>
        <w:tabs>
          <w:tab w:val="clear" w:pos="567"/>
        </w:tabs>
        <w:kinsoku w:val="0"/>
        <w:overflowPunct w:val="0"/>
        <w:autoSpaceDE w:val="0"/>
        <w:autoSpaceDN w:val="0"/>
        <w:adjustRightInd w:val="0"/>
        <w:spacing w:line="240" w:lineRule="auto"/>
        <w:rPr>
          <w:szCs w:val="24"/>
        </w:rPr>
      </w:pPr>
      <w:r>
        <w:rPr>
          <w:spacing w:val="-1"/>
        </w:rPr>
        <w:t xml:space="preserve">După administrarea subcutanată a </w:t>
      </w:r>
      <w:r>
        <w:t>40 </w:t>
      </w:r>
      <w:r>
        <w:rPr>
          <w:spacing w:val="-4"/>
        </w:rPr>
        <w:t>m</w:t>
      </w:r>
      <w:r>
        <w:rPr>
          <w:spacing w:val="-3"/>
        </w:rPr>
        <w:t>g adalimumab la fiecare două săptămâni la pacienți adulți cu spondiloartrită axială non-radiografică, concentrația medie (</w:t>
      </w:r>
      <w:r>
        <w:rPr>
          <w:szCs w:val="24"/>
        </w:rPr>
        <w:t>±DS) de platou la săptămâna 68 a fost de 8,0 ± 4,6 </w:t>
      </w:r>
      <w:r>
        <w:rPr>
          <w:rFonts w:ascii="Symbol" w:hAnsi="Symbol"/>
          <w:szCs w:val="24"/>
        </w:rPr>
        <w:t></w:t>
      </w:r>
      <w:r>
        <w:rPr>
          <w:szCs w:val="24"/>
        </w:rPr>
        <w:t>g/ml.</w:t>
      </w:r>
    </w:p>
    <w:p w14:paraId="15BBFFF5" w14:textId="77777777" w:rsidR="00C04CAD" w:rsidRDefault="00C04CAD">
      <w:pPr>
        <w:tabs>
          <w:tab w:val="clear" w:pos="567"/>
        </w:tabs>
        <w:kinsoku w:val="0"/>
        <w:overflowPunct w:val="0"/>
        <w:autoSpaceDE w:val="0"/>
        <w:autoSpaceDN w:val="0"/>
        <w:adjustRightInd w:val="0"/>
        <w:spacing w:line="240" w:lineRule="auto"/>
        <w:rPr>
          <w:spacing w:val="-1"/>
        </w:rPr>
      </w:pPr>
    </w:p>
    <w:p w14:paraId="68572707"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ț</w:t>
      </w:r>
      <w:r>
        <w:rPr>
          <w:spacing w:val="-2"/>
        </w:rPr>
        <w:t>i</w:t>
      </w:r>
      <w:r>
        <w:t>i ad</w:t>
      </w:r>
      <w:r>
        <w:rPr>
          <w:spacing w:val="-3"/>
        </w:rPr>
        <w:t>u</w:t>
      </w:r>
      <w:r>
        <w:rPr>
          <w:spacing w:val="-2"/>
        </w:rPr>
        <w:t>l</w:t>
      </w:r>
      <w:r>
        <w:rPr>
          <w:spacing w:val="1"/>
        </w:rPr>
        <w:t>ţ</w:t>
      </w:r>
      <w:r>
        <w:t>i</w:t>
      </w:r>
      <w:r>
        <w:rPr>
          <w:spacing w:val="1"/>
        </w:rPr>
        <w:t xml:space="preserve"> </w:t>
      </w:r>
      <w:r>
        <w:rPr>
          <w:spacing w:val="-2"/>
        </w:rPr>
        <w:t>c</w:t>
      </w:r>
      <w:r>
        <w:t>u ps</w:t>
      </w:r>
      <w:r>
        <w:rPr>
          <w:spacing w:val="-3"/>
        </w:rPr>
        <w:t>o</w:t>
      </w:r>
      <w:r>
        <w:t>r</w:t>
      </w:r>
      <w:r>
        <w:rPr>
          <w:spacing w:val="-2"/>
        </w:rPr>
        <w:t>iaz</w:t>
      </w:r>
      <w:r>
        <w:rPr>
          <w:spacing w:val="1"/>
        </w:rPr>
        <w:t>i</w:t>
      </w:r>
      <w:r>
        <w:t xml:space="preserve">s, </w:t>
      </w:r>
      <w:r>
        <w:rPr>
          <w:spacing w:val="-4"/>
        </w:rPr>
        <w:t>m</w:t>
      </w:r>
      <w:r>
        <w:t>ed</w:t>
      </w:r>
      <w:r>
        <w:rPr>
          <w:spacing w:val="1"/>
        </w:rPr>
        <w:t>i</w:t>
      </w:r>
      <w:r>
        <w:t xml:space="preserve">a </w:t>
      </w:r>
      <w:r>
        <w:rPr>
          <w:spacing w:val="1"/>
        </w:rPr>
        <w:t>l</w:t>
      </w:r>
      <w:r>
        <w:t>a</w:t>
      </w:r>
      <w:r>
        <w:rPr>
          <w:spacing w:val="-2"/>
        </w:rPr>
        <w:t xml:space="preserve"> </w:t>
      </w:r>
      <w:r>
        <w:t>s</w:t>
      </w:r>
      <w:r>
        <w:rPr>
          <w:spacing w:val="-2"/>
        </w:rPr>
        <w:t>t</w:t>
      </w:r>
      <w:r>
        <w:t>ar</w:t>
      </w:r>
      <w:r>
        <w:rPr>
          <w:spacing w:val="-3"/>
        </w:rPr>
        <w:t>e</w:t>
      </w:r>
      <w:r>
        <w:t>a de</w:t>
      </w:r>
      <w:r>
        <w:rPr>
          <w:spacing w:val="-3"/>
        </w:rPr>
        <w:t xml:space="preserve"> </w:t>
      </w:r>
      <w:r>
        <w:t>ec</w:t>
      </w:r>
      <w:r>
        <w:rPr>
          <w:spacing w:val="-3"/>
        </w:rPr>
        <w:t>h</w:t>
      </w:r>
      <w:r>
        <w:rPr>
          <w:spacing w:val="1"/>
        </w:rPr>
        <w:t>i</w:t>
      </w:r>
      <w:r>
        <w:rPr>
          <w:spacing w:val="-2"/>
        </w:rPr>
        <w:t>l</w:t>
      </w:r>
      <w:r>
        <w:rPr>
          <w:spacing w:val="1"/>
        </w:rPr>
        <w:t>i</w:t>
      </w:r>
      <w:r>
        <w:t>bru</w:t>
      </w:r>
      <w:r>
        <w:rPr>
          <w:spacing w:val="-3"/>
        </w:rPr>
        <w:t xml:space="preserve"> </w:t>
      </w:r>
      <w:r>
        <w:t>a co</w:t>
      </w:r>
      <w:r>
        <w:rPr>
          <w:spacing w:val="-3"/>
        </w:rPr>
        <w:t>n</w:t>
      </w:r>
      <w:r>
        <w:t>ce</w:t>
      </w:r>
      <w:r>
        <w:rPr>
          <w:spacing w:val="-3"/>
        </w:rPr>
        <w:t>n</w:t>
      </w:r>
      <w:r>
        <w:rPr>
          <w:spacing w:val="1"/>
        </w:rPr>
        <w:t>t</w:t>
      </w:r>
      <w:r>
        <w:rPr>
          <w:spacing w:val="-2"/>
        </w:rPr>
        <w:t>r</w:t>
      </w:r>
      <w:r>
        <w:t>a</w:t>
      </w:r>
      <w:r>
        <w:rPr>
          <w:spacing w:val="-2"/>
        </w:rPr>
        <w:t>ț</w:t>
      </w:r>
      <w:r>
        <w:rPr>
          <w:spacing w:val="1"/>
        </w:rPr>
        <w:t>i</w:t>
      </w:r>
      <w:r>
        <w:t>ei</w:t>
      </w:r>
      <w:r>
        <w:rPr>
          <w:spacing w:val="-2"/>
        </w:rPr>
        <w:t xml:space="preserve"> </w:t>
      </w:r>
      <w:r>
        <w:rPr>
          <w:spacing w:val="-4"/>
        </w:rPr>
        <w:t>m</w:t>
      </w:r>
      <w:r>
        <w:rPr>
          <w:spacing w:val="1"/>
        </w:rPr>
        <w:t>i</w:t>
      </w:r>
      <w:r>
        <w:t>n</w:t>
      </w:r>
      <w:r>
        <w:rPr>
          <w:spacing w:val="1"/>
        </w:rPr>
        <w:t>i</w:t>
      </w:r>
      <w:r>
        <w:rPr>
          <w:spacing w:val="-4"/>
        </w:rPr>
        <w:t>m</w:t>
      </w:r>
      <w:r>
        <w:t>e</w:t>
      </w:r>
      <w:r>
        <w:rPr>
          <w:spacing w:val="2"/>
        </w:rPr>
        <w:t xml:space="preserve"> </w:t>
      </w:r>
      <w:r>
        <w:t>a fo</w:t>
      </w:r>
      <w:r>
        <w:rPr>
          <w:spacing w:val="-2"/>
        </w:rPr>
        <w:t>s</w:t>
      </w:r>
      <w:r>
        <w:t>t</w:t>
      </w:r>
      <w:r>
        <w:rPr>
          <w:spacing w:val="1"/>
        </w:rPr>
        <w:t xml:space="preserve"> </w:t>
      </w:r>
      <w:r>
        <w:rPr>
          <w:spacing w:val="-3"/>
        </w:rPr>
        <w:t>d</w:t>
      </w:r>
      <w:r>
        <w:t>e 5 </w:t>
      </w:r>
      <w:r>
        <w:rPr>
          <w:spacing w:val="-1"/>
        </w:rPr>
        <w:t>μ</w:t>
      </w:r>
      <w:r>
        <w:rPr>
          <w:spacing w:val="-3"/>
        </w:rPr>
        <w:t>g</w:t>
      </w:r>
      <w:r>
        <w:rPr>
          <w:spacing w:val="1"/>
        </w:rPr>
        <w:t>/</w:t>
      </w:r>
      <w:r>
        <w:rPr>
          <w:spacing w:val="-4"/>
        </w:rPr>
        <w:t>m</w:t>
      </w:r>
      <w:r>
        <w:t>l</w:t>
      </w:r>
      <w:r>
        <w:rPr>
          <w:spacing w:val="1"/>
        </w:rPr>
        <w:t xml:space="preserve"> î</w:t>
      </w:r>
      <w:r>
        <w:t xml:space="preserve">n </w:t>
      </w:r>
      <w:r>
        <w:rPr>
          <w:spacing w:val="1"/>
        </w:rPr>
        <w:t>ti</w:t>
      </w:r>
      <w:r>
        <w:rPr>
          <w:spacing w:val="-4"/>
        </w:rPr>
        <w:t>m</w:t>
      </w:r>
      <w:r>
        <w:t>pul</w:t>
      </w:r>
      <w:r>
        <w:rPr>
          <w:spacing w:val="1"/>
        </w:rPr>
        <w:t xml:space="preserve"> </w:t>
      </w:r>
      <w:r>
        <w:rPr>
          <w:spacing w:val="-2"/>
        </w:rPr>
        <w:t>t</w:t>
      </w:r>
      <w: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t>cu</w:t>
      </w:r>
      <w:r>
        <w:rPr>
          <w:spacing w:val="-3"/>
        </w:rPr>
        <w:t xml:space="preserve"> </w:t>
      </w:r>
      <w:r>
        <w:t>ad</w:t>
      </w:r>
      <w:r>
        <w:rPr>
          <w:spacing w:val="-3"/>
        </w:rPr>
        <w:t>a</w:t>
      </w:r>
      <w:r>
        <w:rPr>
          <w:spacing w:val="1"/>
        </w:rPr>
        <w:t>li</w:t>
      </w:r>
      <w:r>
        <w:rPr>
          <w:spacing w:val="-4"/>
        </w:rPr>
        <w:t>m</w:t>
      </w:r>
      <w:r>
        <w:t>u</w:t>
      </w:r>
      <w:r>
        <w:rPr>
          <w:spacing w:val="-4"/>
        </w:rPr>
        <w:t>m</w:t>
      </w:r>
      <w:r>
        <w:t>ab 40</w:t>
      </w:r>
      <w:r>
        <w:rPr>
          <w:spacing w:val="2"/>
        </w:rPr>
        <w:t> </w:t>
      </w:r>
      <w:r>
        <w:rPr>
          <w:spacing w:val="-2"/>
        </w:rPr>
        <w:t>m</w:t>
      </w:r>
      <w:r>
        <w:t>g</w:t>
      </w:r>
      <w:r>
        <w:rPr>
          <w:spacing w:val="-3"/>
        </w:rPr>
        <w:t xml:space="preserve"> </w:t>
      </w:r>
      <w:r>
        <w:t>o da</w:t>
      </w:r>
      <w:r>
        <w:rPr>
          <w:spacing w:val="1"/>
        </w:rPr>
        <w:t>t</w:t>
      </w:r>
      <w:r>
        <w:t>ă</w:t>
      </w:r>
      <w:r>
        <w:rPr>
          <w:spacing w:val="-2"/>
        </w:rPr>
        <w:t xml:space="preserve"> </w:t>
      </w:r>
      <w:r>
        <w:rPr>
          <w:spacing w:val="1"/>
        </w:rPr>
        <w:t>l</w:t>
      </w:r>
      <w:r>
        <w:t xml:space="preserve">a </w:t>
      </w:r>
      <w:r>
        <w:rPr>
          <w:spacing w:val="-3"/>
        </w:rPr>
        <w:t>d</w:t>
      </w:r>
      <w:r>
        <w:t>ouă s</w:t>
      </w:r>
      <w:r>
        <w:rPr>
          <w:spacing w:val="-3"/>
        </w:rPr>
        <w:t>ă</w:t>
      </w:r>
      <w:r>
        <w:t>p</w:t>
      </w:r>
      <w:r>
        <w:rPr>
          <w:spacing w:val="1"/>
        </w:rPr>
        <w:t>t</w:t>
      </w:r>
      <w:r>
        <w:t>ă</w:t>
      </w:r>
      <w:r>
        <w:rPr>
          <w:spacing w:val="-4"/>
        </w:rPr>
        <w:t>m</w:t>
      </w:r>
      <w:r>
        <w:t>âni</w:t>
      </w:r>
      <w:r>
        <w:rPr>
          <w:spacing w:val="-2"/>
        </w:rPr>
        <w:t xml:space="preserve"> </w:t>
      </w:r>
      <w:r>
        <w:rPr>
          <w:spacing w:val="1"/>
        </w:rPr>
        <w:t>î</w:t>
      </w:r>
      <w:r>
        <w:t xml:space="preserve">n </w:t>
      </w:r>
      <w:r>
        <w:rPr>
          <w:spacing w:val="-4"/>
        </w:rPr>
        <w:t>m</w:t>
      </w:r>
      <w:r>
        <w:t>ono</w:t>
      </w:r>
      <w:r>
        <w:rPr>
          <w:spacing w:val="1"/>
        </w:rPr>
        <w:t>t</w:t>
      </w:r>
      <w:r>
        <w:t>e</w:t>
      </w:r>
      <w:r>
        <w:rPr>
          <w:spacing w:val="-2"/>
        </w:rPr>
        <w:t>r</w:t>
      </w:r>
      <w:r>
        <w:rPr>
          <w:spacing w:val="-3"/>
        </w:rPr>
        <w:t>a</w:t>
      </w:r>
      <w:r>
        <w:t>p</w:t>
      </w:r>
      <w:r>
        <w:rPr>
          <w:spacing w:val="1"/>
        </w:rPr>
        <w:t>i</w:t>
      </w:r>
      <w:r>
        <w:t>e.</w:t>
      </w:r>
    </w:p>
    <w:p w14:paraId="72812D41" w14:textId="77777777" w:rsidR="00C04CAD" w:rsidRDefault="00C04CAD">
      <w:pPr>
        <w:tabs>
          <w:tab w:val="clear" w:pos="567"/>
        </w:tabs>
        <w:kinsoku w:val="0"/>
        <w:overflowPunct w:val="0"/>
        <w:autoSpaceDE w:val="0"/>
        <w:autoSpaceDN w:val="0"/>
        <w:adjustRightInd w:val="0"/>
        <w:spacing w:line="240" w:lineRule="auto"/>
      </w:pPr>
    </w:p>
    <w:p w14:paraId="60B1FE2A" w14:textId="77777777" w:rsidR="00C04CAD" w:rsidRDefault="00060E34">
      <w:pPr>
        <w:tabs>
          <w:tab w:val="clear" w:pos="567"/>
        </w:tabs>
        <w:kinsoku w:val="0"/>
        <w:overflowPunct w:val="0"/>
        <w:autoSpaceDE w:val="0"/>
        <w:autoSpaceDN w:val="0"/>
        <w:adjustRightInd w:val="0"/>
        <w:spacing w:line="240" w:lineRule="auto"/>
      </w:pPr>
      <w:r>
        <w:rPr>
          <w:spacing w:val="-1"/>
        </w:rPr>
        <w:t>D</w:t>
      </w:r>
      <w:r>
        <w:t>upă ad</w:t>
      </w:r>
      <w:r>
        <w:rPr>
          <w:spacing w:val="-4"/>
        </w:rPr>
        <w:t>m</w:t>
      </w:r>
      <w:r>
        <w:rPr>
          <w:spacing w:val="1"/>
        </w:rPr>
        <w:t>i</w:t>
      </w:r>
      <w:r>
        <w:t>n</w:t>
      </w:r>
      <w:r>
        <w:rPr>
          <w:spacing w:val="1"/>
        </w:rPr>
        <w:t>i</w:t>
      </w:r>
      <w:r>
        <w:rPr>
          <w:spacing w:val="-2"/>
        </w:rPr>
        <w:t>s</w:t>
      </w:r>
      <w:r>
        <w:rPr>
          <w:spacing w:val="1"/>
        </w:rPr>
        <w:t>t</w:t>
      </w:r>
      <w:r>
        <w:rPr>
          <w:spacing w:val="-2"/>
        </w:rPr>
        <w:t>r</w:t>
      </w:r>
      <w:r>
        <w:t>ar</w:t>
      </w:r>
      <w:r>
        <w:rPr>
          <w:spacing w:val="-3"/>
        </w:rPr>
        <w:t>e</w:t>
      </w:r>
      <w:r>
        <w:t>a su</w:t>
      </w:r>
      <w:r>
        <w:rPr>
          <w:spacing w:val="-3"/>
        </w:rPr>
        <w:t>b</w:t>
      </w:r>
      <w:r>
        <w:t>cu</w:t>
      </w:r>
      <w:r>
        <w:rPr>
          <w:spacing w:val="-2"/>
        </w:rPr>
        <w:t>t</w:t>
      </w:r>
      <w:r>
        <w:rPr>
          <w:spacing w:val="-3"/>
        </w:rPr>
        <w:t>a</w:t>
      </w:r>
      <w:r>
        <w:t>na</w:t>
      </w:r>
      <w:r>
        <w:rPr>
          <w:spacing w:val="1"/>
        </w:rPr>
        <w:t>t</w:t>
      </w:r>
      <w:r>
        <w:t>ă</w:t>
      </w:r>
      <w:r>
        <w:rPr>
          <w:spacing w:val="-2"/>
        </w:rPr>
        <w:t xml:space="preserve"> </w:t>
      </w:r>
      <w:r>
        <w:t>a 0,8 </w:t>
      </w:r>
      <w:r>
        <w:rPr>
          <w:spacing w:val="-4"/>
        </w:rPr>
        <w:t>m</w:t>
      </w:r>
      <w:r>
        <w:rPr>
          <w:spacing w:val="-3"/>
        </w:rPr>
        <w:t>g</w:t>
      </w:r>
      <w:r>
        <w:rPr>
          <w:spacing w:val="1"/>
        </w:rPr>
        <w:t>/</w:t>
      </w:r>
      <w:r>
        <w:t>kg</w:t>
      </w:r>
      <w:r>
        <w:rPr>
          <w:spacing w:val="-3"/>
        </w:rPr>
        <w:t xml:space="preserve"> </w:t>
      </w:r>
      <w:r>
        <w:t>(</w:t>
      </w:r>
      <w:r>
        <w:rPr>
          <w:spacing w:val="-4"/>
        </w:rPr>
        <w:t>m</w:t>
      </w:r>
      <w:r>
        <w:t>ax</w:t>
      </w:r>
      <w:r>
        <w:rPr>
          <w:spacing w:val="1"/>
        </w:rPr>
        <w:t>i</w:t>
      </w:r>
      <w:r>
        <w:t>m</w:t>
      </w:r>
      <w:r>
        <w:rPr>
          <w:spacing w:val="-4"/>
        </w:rPr>
        <w:t xml:space="preserve"> </w:t>
      </w:r>
      <w:r>
        <w:t>40 </w:t>
      </w:r>
      <w:r>
        <w:rPr>
          <w:spacing w:val="-2"/>
        </w:rPr>
        <w:t>m</w:t>
      </w:r>
      <w:r>
        <w:rPr>
          <w:spacing w:val="-3"/>
        </w:rPr>
        <w:t>g</w:t>
      </w:r>
      <w:r>
        <w:t>)</w:t>
      </w:r>
      <w:r>
        <w:rPr>
          <w:spacing w:val="1"/>
        </w:rPr>
        <w:t xml:space="preserve"> </w:t>
      </w:r>
      <w:r>
        <w:t>o da</w:t>
      </w:r>
      <w:r>
        <w:rPr>
          <w:spacing w:val="1"/>
        </w:rPr>
        <w:t>t</w:t>
      </w:r>
      <w:r>
        <w:t>ă</w:t>
      </w:r>
      <w:r>
        <w:rPr>
          <w:spacing w:val="-2"/>
        </w:rPr>
        <w:t xml:space="preserve"> </w:t>
      </w:r>
      <w:r>
        <w:rPr>
          <w:spacing w:val="1"/>
        </w:rPr>
        <w:t>l</w:t>
      </w:r>
      <w:r>
        <w:t>a d</w:t>
      </w:r>
      <w:r>
        <w:rPr>
          <w:spacing w:val="-3"/>
        </w:rPr>
        <w:t>o</w:t>
      </w:r>
      <w:r>
        <w:t>uă</w:t>
      </w:r>
      <w:r>
        <w:rPr>
          <w:spacing w:val="-2"/>
        </w:rPr>
        <w:t xml:space="preserve"> </w:t>
      </w:r>
      <w:r>
        <w:t>săp</w:t>
      </w:r>
      <w:r>
        <w:rPr>
          <w:spacing w:val="-2"/>
        </w:rPr>
        <w:t>t</w:t>
      </w:r>
      <w:r>
        <w:t>ă</w:t>
      </w:r>
      <w:r>
        <w:rPr>
          <w:spacing w:val="-4"/>
        </w:rPr>
        <w:t>m</w:t>
      </w:r>
      <w:r>
        <w:t>âni</w:t>
      </w:r>
      <w:r>
        <w:rPr>
          <w:spacing w:val="1"/>
        </w:rPr>
        <w:t xml:space="preserve"> l</w:t>
      </w:r>
      <w:r>
        <w:t>a</w:t>
      </w:r>
      <w:r>
        <w:rPr>
          <w:spacing w:val="-2"/>
        </w:rPr>
        <w:t xml:space="preserve"> </w:t>
      </w:r>
      <w:r>
        <w:t>co</w:t>
      </w:r>
      <w:r>
        <w:rPr>
          <w:spacing w:val="-3"/>
        </w:rPr>
        <w:t>p</w:t>
      </w:r>
      <w:r>
        <w:rPr>
          <w:spacing w:val="1"/>
        </w:rPr>
        <w:t xml:space="preserve">ii </w:t>
      </w:r>
      <w:r>
        <w:t>și</w:t>
      </w:r>
      <w:r>
        <w:rPr>
          <w:spacing w:val="1"/>
        </w:rPr>
        <w:t xml:space="preserve"> </w:t>
      </w:r>
      <w:r>
        <w:t>a</w:t>
      </w:r>
      <w:r>
        <w:rPr>
          <w:spacing w:val="-3"/>
        </w:rPr>
        <w:t>d</w:t>
      </w:r>
      <w:r>
        <w:t>o</w:t>
      </w:r>
      <w:r>
        <w:rPr>
          <w:spacing w:val="1"/>
        </w:rPr>
        <w:t>l</w:t>
      </w:r>
      <w:r>
        <w:rPr>
          <w:spacing w:val="-3"/>
        </w:rPr>
        <w:t>e</w:t>
      </w:r>
      <w:r>
        <w:t>sc</w:t>
      </w:r>
      <w:r>
        <w:rPr>
          <w:spacing w:val="-3"/>
        </w:rPr>
        <w:t>e</w:t>
      </w:r>
      <w:r>
        <w:t>n</w:t>
      </w:r>
      <w:r>
        <w:rPr>
          <w:spacing w:val="-2"/>
        </w:rPr>
        <w:t>ț</w:t>
      </w:r>
      <w:r>
        <w:t>i</w:t>
      </w:r>
      <w:r>
        <w:rPr>
          <w:spacing w:val="1"/>
        </w:rPr>
        <w:t xml:space="preserve"> </w:t>
      </w:r>
      <w:r>
        <w:t xml:space="preserve">cu </w:t>
      </w:r>
      <w:r>
        <w:rPr>
          <w:spacing w:val="-3"/>
        </w:rPr>
        <w:t>p</w:t>
      </w:r>
      <w:r>
        <w:t>so</w:t>
      </w:r>
      <w:r>
        <w:rPr>
          <w:spacing w:val="-2"/>
        </w:rPr>
        <w:t>r</w:t>
      </w:r>
      <w:r>
        <w:rPr>
          <w:spacing w:val="1"/>
        </w:rPr>
        <w:t>i</w:t>
      </w:r>
      <w:r>
        <w:t>a</w:t>
      </w:r>
      <w:r>
        <w:rPr>
          <w:spacing w:val="-3"/>
        </w:rPr>
        <w:t>z</w:t>
      </w:r>
      <w:r>
        <w:rPr>
          <w:spacing w:val="1"/>
        </w:rPr>
        <w:t>i</w:t>
      </w:r>
      <w:r>
        <w:t>s</w:t>
      </w:r>
      <w:r>
        <w:rPr>
          <w:spacing w:val="-2"/>
        </w:rPr>
        <w:t xml:space="preserve"> î</w:t>
      </w:r>
      <w:r>
        <w:t>n p</w:t>
      </w:r>
      <w:r>
        <w:rPr>
          <w:spacing w:val="1"/>
        </w:rPr>
        <w:t>l</w:t>
      </w:r>
      <w:r>
        <w:rPr>
          <w:spacing w:val="-3"/>
        </w:rPr>
        <w:t>ă</w:t>
      </w:r>
      <w:r>
        <w:t>ci</w:t>
      </w:r>
      <w:r>
        <w:rPr>
          <w:spacing w:val="1"/>
        </w:rPr>
        <w:t xml:space="preserve"> </w:t>
      </w:r>
      <w:r>
        <w:rPr>
          <w:spacing w:val="-3"/>
        </w:rPr>
        <w:t>c</w:t>
      </w:r>
      <w:r>
        <w:t>ro</w:t>
      </w:r>
      <w:r>
        <w:rPr>
          <w:spacing w:val="-3"/>
        </w:rPr>
        <w:t>n</w:t>
      </w:r>
      <w:r>
        <w:rPr>
          <w:spacing w:val="1"/>
        </w:rPr>
        <w:t>i</w:t>
      </w:r>
      <w:r>
        <w:t xml:space="preserve">c, </w:t>
      </w:r>
      <w:r>
        <w:rPr>
          <w:spacing w:val="-4"/>
        </w:rPr>
        <w:t>m</w:t>
      </w:r>
      <w:r>
        <w:t>ed</w:t>
      </w:r>
      <w:r>
        <w:rPr>
          <w:spacing w:val="1"/>
        </w:rPr>
        <w:t>i</w:t>
      </w:r>
      <w:r>
        <w:t>a</w:t>
      </w:r>
      <w:r>
        <w:rPr>
          <w:spacing w:val="-2"/>
        </w:rPr>
        <w:t xml:space="preserve"> </w:t>
      </w:r>
      <w:r>
        <w:t>±</w:t>
      </w:r>
      <w:r>
        <w:rPr>
          <w:spacing w:val="1"/>
        </w:rPr>
        <w:t xml:space="preserve"> </w:t>
      </w:r>
      <w:r>
        <w:rPr>
          <w:spacing w:val="-1"/>
        </w:rPr>
        <w:t>D</w:t>
      </w:r>
      <w:r>
        <w:t>S</w:t>
      </w:r>
      <w:r>
        <w:rPr>
          <w:spacing w:val="-3"/>
        </w:rPr>
        <w:t xml:space="preserve"> </w:t>
      </w:r>
      <w:r>
        <w:rPr>
          <w:spacing w:val="1"/>
        </w:rPr>
        <w:t>l</w:t>
      </w:r>
      <w:r>
        <w:t xml:space="preserve">a </w:t>
      </w:r>
      <w:r>
        <w:rPr>
          <w:spacing w:val="-2"/>
        </w:rPr>
        <w:t>s</w:t>
      </w:r>
      <w:r>
        <w:rPr>
          <w:spacing w:val="1"/>
        </w:rPr>
        <w:t>t</w:t>
      </w:r>
      <w:r>
        <w:rPr>
          <w:spacing w:val="-3"/>
        </w:rPr>
        <w:t>a</w:t>
      </w:r>
      <w:r>
        <w:t xml:space="preserve">rea </w:t>
      </w:r>
      <w:r>
        <w:rPr>
          <w:spacing w:val="-3"/>
        </w:rPr>
        <w:t>d</w:t>
      </w:r>
      <w:r>
        <w:t>e e</w:t>
      </w:r>
      <w:r>
        <w:rPr>
          <w:spacing w:val="-3"/>
        </w:rPr>
        <w:t>c</w:t>
      </w:r>
      <w:r>
        <w:t>h</w:t>
      </w:r>
      <w:r>
        <w:rPr>
          <w:spacing w:val="-2"/>
        </w:rPr>
        <w:t>i</w:t>
      </w:r>
      <w:r>
        <w:rPr>
          <w:spacing w:val="1"/>
        </w:rPr>
        <w:t>li</w:t>
      </w:r>
      <w:r>
        <w:rPr>
          <w:spacing w:val="-3"/>
        </w:rPr>
        <w:t>b</w:t>
      </w:r>
      <w:r>
        <w:t>ru a</w:t>
      </w:r>
      <w:r>
        <w:rPr>
          <w:spacing w:val="-2"/>
        </w:rPr>
        <w:t xml:space="preserve"> </w:t>
      </w:r>
      <w:r>
        <w:t>con</w:t>
      </w:r>
      <w:r>
        <w:rPr>
          <w:spacing w:val="-3"/>
        </w:rPr>
        <w:t>c</w:t>
      </w:r>
      <w:r>
        <w:t>en</w:t>
      </w:r>
      <w:r>
        <w:rPr>
          <w:spacing w:val="1"/>
        </w:rPr>
        <w:t>t</w:t>
      </w:r>
      <w:r>
        <w:rPr>
          <w:spacing w:val="-2"/>
        </w:rPr>
        <w:t>r</w:t>
      </w:r>
      <w:r>
        <w:t>a</w:t>
      </w:r>
      <w:r>
        <w:rPr>
          <w:spacing w:val="-2"/>
        </w:rPr>
        <w:t>ț</w:t>
      </w:r>
      <w:r>
        <w:rPr>
          <w:spacing w:val="1"/>
        </w:rPr>
        <w:t>i</w:t>
      </w:r>
      <w:r>
        <w:rPr>
          <w:spacing w:val="-3"/>
        </w:rPr>
        <w:t>e</w:t>
      </w:r>
      <w:r>
        <w:t>i</w:t>
      </w:r>
      <w:r>
        <w:rPr>
          <w:spacing w:val="1"/>
        </w:rPr>
        <w:t xml:space="preserve"> </w:t>
      </w:r>
      <w:r>
        <w:rPr>
          <w:spacing w:val="-4"/>
        </w:rPr>
        <w:t>m</w:t>
      </w:r>
      <w:r>
        <w:rPr>
          <w:spacing w:val="1"/>
        </w:rPr>
        <w:t>i</w:t>
      </w:r>
      <w:r>
        <w:t>n</w:t>
      </w:r>
      <w:r>
        <w:rPr>
          <w:spacing w:val="1"/>
        </w:rPr>
        <w:t>i</w:t>
      </w:r>
      <w:r>
        <w:rPr>
          <w:spacing w:val="-4"/>
        </w:rPr>
        <w:t>m</w:t>
      </w:r>
      <w:r>
        <w:t>e de ada</w:t>
      </w:r>
      <w:r>
        <w:rPr>
          <w:spacing w:val="-2"/>
        </w:rPr>
        <w:t>l</w:t>
      </w:r>
      <w:r>
        <w:rPr>
          <w:spacing w:val="1"/>
        </w:rPr>
        <w:t>i</w:t>
      </w:r>
      <w:r>
        <w:rPr>
          <w:spacing w:val="-4"/>
        </w:rPr>
        <w:t>m</w:t>
      </w:r>
      <w:r>
        <w:rPr>
          <w:spacing w:val="2"/>
        </w:rPr>
        <w:t>u</w:t>
      </w:r>
      <w:r>
        <w:rPr>
          <w:spacing w:val="-4"/>
        </w:rPr>
        <w:t>m</w:t>
      </w:r>
      <w:r>
        <w:t>ab a fo</w:t>
      </w:r>
      <w:r>
        <w:rPr>
          <w:spacing w:val="-2"/>
        </w:rPr>
        <w:t>s</w:t>
      </w:r>
      <w:r>
        <w:t>t</w:t>
      </w:r>
      <w:r>
        <w:rPr>
          <w:spacing w:val="1"/>
        </w:rPr>
        <w:t xml:space="preserve"> </w:t>
      </w:r>
      <w:r>
        <w:t>de</w:t>
      </w:r>
      <w:r>
        <w:rPr>
          <w:spacing w:val="-2"/>
        </w:rPr>
        <w:t xml:space="preserve"> </w:t>
      </w:r>
      <w:r>
        <w:t>ap</w:t>
      </w:r>
      <w:r>
        <w:rPr>
          <w:spacing w:val="-2"/>
        </w:rPr>
        <w:t>r</w:t>
      </w:r>
      <w:r>
        <w:t>o</w:t>
      </w:r>
      <w:r>
        <w:rPr>
          <w:spacing w:val="-3"/>
        </w:rPr>
        <w:t>x</w:t>
      </w:r>
      <w:r>
        <w:rPr>
          <w:spacing w:val="1"/>
        </w:rPr>
        <w:t>i</w:t>
      </w:r>
      <w:r>
        <w:rPr>
          <w:spacing w:val="-4"/>
        </w:rPr>
        <w:t>m</w:t>
      </w:r>
      <w:r>
        <w:t>a</w:t>
      </w:r>
      <w:r>
        <w:rPr>
          <w:spacing w:val="1"/>
        </w:rPr>
        <w:t>ti</w:t>
      </w:r>
      <w:r>
        <w:t>v</w:t>
      </w:r>
      <w:r>
        <w:rPr>
          <w:spacing w:val="-3"/>
        </w:rPr>
        <w:t xml:space="preserve"> </w:t>
      </w:r>
      <w:r>
        <w:t>7,4 ±</w:t>
      </w:r>
      <w:r>
        <w:rPr>
          <w:spacing w:val="1"/>
        </w:rPr>
        <w:t xml:space="preserve"> </w:t>
      </w:r>
      <w:r>
        <w:t>5</w:t>
      </w:r>
      <w:r>
        <w:rPr>
          <w:spacing w:val="-3"/>
        </w:rPr>
        <w:t>,</w:t>
      </w:r>
      <w:r>
        <w:t>8 µ</w:t>
      </w:r>
      <w:r>
        <w:rPr>
          <w:spacing w:val="-3"/>
        </w:rPr>
        <w:t>g</w:t>
      </w:r>
      <w:r>
        <w:rPr>
          <w:spacing w:val="1"/>
        </w:rPr>
        <w:t>/</w:t>
      </w:r>
      <w:r>
        <w:rPr>
          <w:spacing w:val="-4"/>
        </w:rPr>
        <w:t>m</w:t>
      </w:r>
      <w:r>
        <w:t>l</w:t>
      </w:r>
      <w:r>
        <w:rPr>
          <w:spacing w:val="1"/>
        </w:rPr>
        <w:t xml:space="preserve"> </w:t>
      </w:r>
      <w:r>
        <w:t>(7</w:t>
      </w:r>
      <w:r>
        <w:rPr>
          <w:spacing w:val="-3"/>
        </w:rPr>
        <w:t>9</w:t>
      </w:r>
      <w:r>
        <w:t>%</w:t>
      </w:r>
      <w:r>
        <w:rPr>
          <w:spacing w:val="1"/>
        </w:rPr>
        <w:t xml:space="preserve"> </w:t>
      </w:r>
      <w:r>
        <w:rPr>
          <w:spacing w:val="-1"/>
        </w:rPr>
        <w:t>CV</w:t>
      </w:r>
      <w:r>
        <w:t>).</w:t>
      </w:r>
    </w:p>
    <w:p w14:paraId="27706C4C" w14:textId="77777777" w:rsidR="00C04CAD" w:rsidRDefault="00C04CAD">
      <w:pPr>
        <w:tabs>
          <w:tab w:val="clear" w:pos="567"/>
        </w:tabs>
        <w:kinsoku w:val="0"/>
        <w:overflowPunct w:val="0"/>
        <w:autoSpaceDE w:val="0"/>
        <w:autoSpaceDN w:val="0"/>
        <w:adjustRightInd w:val="0"/>
        <w:spacing w:line="240" w:lineRule="auto"/>
      </w:pPr>
    </w:p>
    <w:p w14:paraId="1EF76DB0" w14:textId="77777777" w:rsidR="00C04CAD" w:rsidRDefault="00060E34">
      <w:pPr>
        <w:tabs>
          <w:tab w:val="clear" w:pos="567"/>
        </w:tabs>
        <w:kinsoku w:val="0"/>
        <w:overflowPunct w:val="0"/>
        <w:autoSpaceDE w:val="0"/>
        <w:autoSpaceDN w:val="0"/>
        <w:adjustRightInd w:val="0"/>
        <w:spacing w:line="240" w:lineRule="auto"/>
      </w:pPr>
      <w:r>
        <w:rPr>
          <w:spacing w:val="-1"/>
        </w:rPr>
        <w:t>P</w:t>
      </w:r>
      <w:r>
        <w:t>ac</w:t>
      </w:r>
      <w:r>
        <w:rPr>
          <w:spacing w:val="1"/>
        </w:rPr>
        <w:t>i</w:t>
      </w:r>
      <w:r>
        <w:rPr>
          <w:spacing w:val="-3"/>
        </w:rPr>
        <w:t>e</w:t>
      </w:r>
      <w:r>
        <w:t>n</w:t>
      </w:r>
      <w:r>
        <w:rPr>
          <w:spacing w:val="-2"/>
        </w:rPr>
        <w:t>ţ</w:t>
      </w:r>
      <w:r>
        <w:rPr>
          <w:spacing w:val="1"/>
        </w:rPr>
        <w:t>i</w:t>
      </w:r>
      <w:r>
        <w:t>i</w:t>
      </w:r>
      <w:r>
        <w:rPr>
          <w:spacing w:val="-2"/>
        </w:rPr>
        <w:t xml:space="preserve"> adulți </w:t>
      </w:r>
      <w:r>
        <w:t xml:space="preserve">cu </w:t>
      </w:r>
      <w:r>
        <w:rPr>
          <w:spacing w:val="-3"/>
        </w:rPr>
        <w:t>h</w:t>
      </w:r>
      <w:r>
        <w:rPr>
          <w:spacing w:val="1"/>
        </w:rPr>
        <w:t>i</w:t>
      </w:r>
      <w:r>
        <w:t>dr</w:t>
      </w:r>
      <w:r>
        <w:rPr>
          <w:spacing w:val="-3"/>
        </w:rPr>
        <w:t>o</w:t>
      </w:r>
      <w:r>
        <w:t>sad</w:t>
      </w:r>
      <w:r>
        <w:rPr>
          <w:spacing w:val="-3"/>
        </w:rPr>
        <w:t>e</w:t>
      </w:r>
      <w:r>
        <w:t>n</w:t>
      </w:r>
      <w:r>
        <w:rPr>
          <w:spacing w:val="-2"/>
        </w:rPr>
        <w:t>i</w:t>
      </w:r>
      <w:r>
        <w:rPr>
          <w:spacing w:val="1"/>
        </w:rPr>
        <w:t>t</w:t>
      </w:r>
      <w:r>
        <w:t xml:space="preserve">ă </w:t>
      </w:r>
      <w:r>
        <w:rPr>
          <w:spacing w:val="-2"/>
        </w:rPr>
        <w:t>s</w:t>
      </w:r>
      <w:r>
        <w:t>upur</w:t>
      </w:r>
      <w:r>
        <w:rPr>
          <w:spacing w:val="-3"/>
        </w:rPr>
        <w:t>a</w:t>
      </w:r>
      <w:r>
        <w:rPr>
          <w:spacing w:val="1"/>
        </w:rPr>
        <w:t>ti</w:t>
      </w:r>
      <w:r>
        <w:rPr>
          <w:spacing w:val="-3"/>
        </w:rPr>
        <w:t>v</w:t>
      </w:r>
      <w:r>
        <w:t xml:space="preserve">ă </w:t>
      </w:r>
      <w:r>
        <w:rPr>
          <w:spacing w:val="-3"/>
        </w:rPr>
        <w:t>c</w:t>
      </w:r>
      <w:r>
        <w:t>are</w:t>
      </w:r>
      <w:r>
        <w:rPr>
          <w:spacing w:val="-2"/>
        </w:rPr>
        <w:t xml:space="preserve"> </w:t>
      </w:r>
      <w:r>
        <w:t xml:space="preserve">au </w:t>
      </w:r>
      <w:r>
        <w:rPr>
          <w:spacing w:val="-3"/>
        </w:rPr>
        <w:t>p</w:t>
      </w:r>
      <w:r>
        <w:t>r</w:t>
      </w:r>
      <w:r>
        <w:rPr>
          <w:spacing w:val="1"/>
        </w:rPr>
        <w:t>i</w:t>
      </w:r>
      <w:r>
        <w:rPr>
          <w:spacing w:val="-4"/>
        </w:rPr>
        <w:t>m</w:t>
      </w:r>
      <w:r>
        <w:rPr>
          <w:spacing w:val="1"/>
        </w:rPr>
        <w:t>i</w:t>
      </w:r>
      <w:r>
        <w:t>t</w:t>
      </w:r>
      <w:r>
        <w:rPr>
          <w:spacing w:val="1"/>
        </w:rPr>
        <w:t xml:space="preserve"> </w:t>
      </w:r>
      <w:r>
        <w:t xml:space="preserve">o </w:t>
      </w:r>
      <w:r>
        <w:rPr>
          <w:spacing w:val="-3"/>
        </w:rPr>
        <w:t>d</w:t>
      </w:r>
      <w:r>
        <w:t>o</w:t>
      </w:r>
      <w:r>
        <w:rPr>
          <w:spacing w:val="-3"/>
        </w:rPr>
        <w:t>z</w:t>
      </w:r>
      <w:r>
        <w:t>ă de 160 </w:t>
      </w:r>
      <w:r>
        <w:rPr>
          <w:spacing w:val="-4"/>
        </w:rPr>
        <w:t>m</w:t>
      </w:r>
      <w:r>
        <w:t>g</w:t>
      </w:r>
      <w:r>
        <w:rPr>
          <w:spacing w:val="-3"/>
        </w:rPr>
        <w:t xml:space="preserve"> </w:t>
      </w:r>
      <w:r>
        <w:rPr>
          <w:rFonts w:eastAsia="MS Mincho"/>
          <w:spacing w:val="-1"/>
          <w:szCs w:val="22"/>
          <w:lang w:eastAsia="en-US" w:bidi="ar-SA"/>
        </w:rPr>
        <w:t>adalimumab</w:t>
      </w:r>
      <w:r>
        <w:t xml:space="preserve"> </w:t>
      </w:r>
      <w:r>
        <w:rPr>
          <w:spacing w:val="1"/>
        </w:rPr>
        <w:t>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w:t>
      </w:r>
      <w:r>
        <w:rPr>
          <w:spacing w:val="-3"/>
        </w:rPr>
        <w:t>u</w:t>
      </w:r>
      <w:r>
        <w:t>r</w:t>
      </w:r>
      <w:r>
        <w:rPr>
          <w:spacing w:val="-4"/>
        </w:rPr>
        <w:t>m</w:t>
      </w:r>
      <w:r>
        <w:t>a</w:t>
      </w:r>
      <w:r>
        <w:rPr>
          <w:spacing w:val="1"/>
        </w:rPr>
        <w:t>t</w:t>
      </w:r>
      <w:r>
        <w:t>ă de 80 </w:t>
      </w:r>
      <w:r>
        <w:rPr>
          <w:spacing w:val="-4"/>
        </w:rPr>
        <w:t>m</w:t>
      </w:r>
      <w:r>
        <w:t>g</w:t>
      </w:r>
      <w:r>
        <w:rPr>
          <w:spacing w:val="-3"/>
        </w:rPr>
        <w:t xml:space="preserve"> </w:t>
      </w:r>
      <w:r>
        <w:rPr>
          <w:spacing w:val="1"/>
        </w:rPr>
        <w:t>î</w:t>
      </w:r>
      <w:r>
        <w:t xml:space="preserve">n </w:t>
      </w:r>
      <w:r>
        <w:rPr>
          <w:rFonts w:eastAsia="MS Mincho"/>
          <w:szCs w:val="22"/>
          <w:lang w:eastAsia="en-US" w:bidi="ar-SA"/>
        </w:rPr>
        <w:t>săp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3"/>
        </w:rPr>
        <w:t>a</w:t>
      </w:r>
      <w:r>
        <w:t>u a</w:t>
      </w:r>
      <w:r>
        <w:rPr>
          <w:spacing w:val="-2"/>
        </w:rPr>
        <w:t>t</w:t>
      </w:r>
      <w:r>
        <w:rPr>
          <w:spacing w:val="1"/>
        </w:rPr>
        <w:t>i</w:t>
      </w:r>
      <w:r>
        <w:t xml:space="preserve">ns </w:t>
      </w:r>
      <w:r>
        <w:rPr>
          <w:spacing w:val="-3"/>
        </w:rPr>
        <w:t>c</w:t>
      </w:r>
      <w:r>
        <w:t>onc</w:t>
      </w:r>
      <w:r>
        <w:rPr>
          <w:spacing w:val="-3"/>
        </w:rPr>
        <w:t>e</w:t>
      </w:r>
      <w:r>
        <w:t>n</w:t>
      </w:r>
      <w:r>
        <w:rPr>
          <w:spacing w:val="-2"/>
        </w:rPr>
        <w:t>t</w:t>
      </w:r>
      <w:r>
        <w:t>ra</w:t>
      </w:r>
      <w:r>
        <w:rPr>
          <w:spacing w:val="-2"/>
        </w:rPr>
        <w:t>ţi</w:t>
      </w:r>
      <w:r>
        <w:t>i</w:t>
      </w:r>
      <w:r>
        <w:rPr>
          <w:spacing w:val="1"/>
        </w:rPr>
        <w:t xml:space="preserve"> </w:t>
      </w:r>
      <w:r>
        <w:t>s</w:t>
      </w:r>
      <w:r>
        <w:rPr>
          <w:spacing w:val="-3"/>
        </w:rPr>
        <w:t>e</w:t>
      </w:r>
      <w:r>
        <w:t>r</w:t>
      </w:r>
      <w:r>
        <w:rPr>
          <w:spacing w:val="-2"/>
        </w:rPr>
        <w:t>i</w:t>
      </w:r>
      <w:r>
        <w:t xml:space="preserve">ce </w:t>
      </w:r>
      <w:r>
        <w:rPr>
          <w:spacing w:val="-3"/>
        </w:rPr>
        <w:t>a</w:t>
      </w:r>
      <w:r>
        <w:rPr>
          <w:spacing w:val="-2"/>
        </w:rPr>
        <w:t>l</w:t>
      </w:r>
      <w:r>
        <w:t>e ad</w:t>
      </w:r>
      <w:r>
        <w:rPr>
          <w:spacing w:val="-3"/>
        </w:rPr>
        <w:t>a</w:t>
      </w:r>
      <w:r>
        <w:rPr>
          <w:spacing w:val="1"/>
        </w:rPr>
        <w:t>li</w:t>
      </w:r>
      <w:r>
        <w:rPr>
          <w:spacing w:val="-4"/>
        </w:rPr>
        <w:t>m</w:t>
      </w:r>
      <w:r>
        <w:t>u</w:t>
      </w:r>
      <w:r>
        <w:rPr>
          <w:spacing w:val="-4"/>
        </w:rPr>
        <w:t>m</w:t>
      </w:r>
      <w:r>
        <w:t>ab de apro</w:t>
      </w:r>
      <w:r>
        <w:rPr>
          <w:spacing w:val="-3"/>
        </w:rPr>
        <w:t>x</w:t>
      </w:r>
      <w:r>
        <w:rPr>
          <w:spacing w:val="1"/>
        </w:rPr>
        <w:t>i</w:t>
      </w:r>
      <w:r>
        <w:rPr>
          <w:spacing w:val="-4"/>
        </w:rPr>
        <w:t>m</w:t>
      </w:r>
      <w:r>
        <w:t>at</w:t>
      </w:r>
      <w:r>
        <w:rPr>
          <w:spacing w:val="1"/>
        </w:rPr>
        <w:t>i</w:t>
      </w:r>
      <w:r>
        <w:t>v</w:t>
      </w:r>
      <w:r>
        <w:rPr>
          <w:spacing w:val="-3"/>
        </w:rPr>
        <w:t xml:space="preserve"> </w:t>
      </w:r>
      <w:r>
        <w:t>7 </w:t>
      </w:r>
      <w:r>
        <w:rPr>
          <w:spacing w:val="-1"/>
        </w:rPr>
        <w:t>μ</w:t>
      </w:r>
      <w:r>
        <w:rPr>
          <w:spacing w:val="-3"/>
        </w:rPr>
        <w:t>g</w:t>
      </w:r>
      <w:r>
        <w:rPr>
          <w:spacing w:val="3"/>
        </w:rPr>
        <w:t>/</w:t>
      </w:r>
      <w:r>
        <w:rPr>
          <w:spacing w:val="-4"/>
        </w:rPr>
        <w:t>m</w:t>
      </w:r>
      <w:r>
        <w:t>l</w:t>
      </w:r>
      <w:r>
        <w:rPr>
          <w:spacing w:val="1"/>
        </w:rPr>
        <w:t xml:space="preserve"> </w:t>
      </w:r>
      <w:r>
        <w:t xml:space="preserve">până </w:t>
      </w:r>
      <w:r>
        <w:rPr>
          <w:spacing w:val="-2"/>
        </w:rPr>
        <w:t>l</w:t>
      </w:r>
      <w:r>
        <w:t>a 8 </w:t>
      </w:r>
      <w:r>
        <w:rPr>
          <w:spacing w:val="-1"/>
        </w:rPr>
        <w:t>μ</w:t>
      </w:r>
      <w:r>
        <w:rPr>
          <w:spacing w:val="-3"/>
        </w:rPr>
        <w:t>g</w:t>
      </w:r>
      <w:r>
        <w:rPr>
          <w:spacing w:val="3"/>
        </w:rPr>
        <w:t>/</w:t>
      </w:r>
      <w:r>
        <w:rPr>
          <w:spacing w:val="-4"/>
        </w:rPr>
        <w:t>m</w:t>
      </w:r>
      <w:r>
        <w:t>l</w:t>
      </w:r>
      <w:r>
        <w:rPr>
          <w:spacing w:val="1"/>
        </w:rPr>
        <w:t xml:space="preserve"> î</w:t>
      </w:r>
      <w:r>
        <w:t xml:space="preserve">n </w:t>
      </w:r>
      <w:r>
        <w:rPr>
          <w:rFonts w:eastAsia="MS Mincho"/>
          <w:spacing w:val="-1"/>
          <w:szCs w:val="22"/>
          <w:lang w:eastAsia="en-US" w:bidi="ar-SA"/>
        </w:rPr>
        <w:t>s</w:t>
      </w:r>
      <w:r>
        <w:rPr>
          <w:rFonts w:eastAsia="MS Mincho"/>
          <w:szCs w:val="22"/>
          <w:lang w:eastAsia="en-US" w:bidi="ar-SA"/>
        </w:rPr>
        <w:t>ă</w:t>
      </w:r>
      <w:r>
        <w:rPr>
          <w:rFonts w:eastAsia="MS Mincho"/>
          <w:spacing w:val="-3"/>
          <w:szCs w:val="22"/>
          <w:lang w:eastAsia="en-US" w:bidi="ar-SA"/>
        </w:rPr>
        <w:t>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2"/>
        </w:rPr>
        <w:t>ş</w:t>
      </w:r>
      <w:r>
        <w:t>i</w:t>
      </w:r>
      <w:r>
        <w:rPr>
          <w:spacing w:val="-2"/>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 </w:t>
      </w:r>
      <w:r>
        <w:rPr>
          <w:spacing w:val="-4"/>
        </w:rPr>
        <w:t>Î</w:t>
      </w:r>
      <w:r>
        <w:t xml:space="preserve">n </w:t>
      </w:r>
      <w:r>
        <w:rPr>
          <w:spacing w:val="1"/>
        </w:rPr>
        <w:t>ti</w:t>
      </w:r>
      <w:r>
        <w:rPr>
          <w:spacing w:val="-4"/>
        </w:rPr>
        <w:t>m</w:t>
      </w:r>
      <w:r>
        <w:t>pul</w:t>
      </w:r>
      <w:r>
        <w:rPr>
          <w:spacing w:val="1"/>
        </w:rPr>
        <w:t xml:space="preserve"> </w:t>
      </w:r>
      <w:r>
        <w:rPr>
          <w:spacing w:val="-2"/>
        </w:rPr>
        <w:t>t</w:t>
      </w:r>
      <w:r>
        <w:t>ra</w:t>
      </w:r>
      <w:r>
        <w:rPr>
          <w:spacing w:val="-2"/>
        </w:rPr>
        <w:t>t</w:t>
      </w:r>
      <w:r>
        <w:t>a</w:t>
      </w:r>
      <w:r>
        <w:rPr>
          <w:spacing w:val="-4"/>
        </w:rPr>
        <w:t>m</w:t>
      </w:r>
      <w:r>
        <w:t>en</w:t>
      </w:r>
      <w:r>
        <w:rPr>
          <w:spacing w:val="1"/>
        </w:rPr>
        <w:t>t</w:t>
      </w:r>
      <w:r>
        <w:t>u</w:t>
      </w:r>
      <w:r>
        <w:rPr>
          <w:spacing w:val="1"/>
        </w:rPr>
        <w:t>l</w:t>
      </w:r>
      <w:r>
        <w:t>ui</w:t>
      </w:r>
      <w:r>
        <w:rPr>
          <w:spacing w:val="-2"/>
        </w:rPr>
        <w:t xml:space="preserve"> </w:t>
      </w:r>
      <w:r>
        <w:t xml:space="preserve">cu </w:t>
      </w:r>
      <w:r>
        <w:rPr>
          <w:spacing w:val="-3"/>
        </w:rPr>
        <w:t>a</w:t>
      </w:r>
      <w:r>
        <w:t>da</w:t>
      </w:r>
      <w:r>
        <w:rPr>
          <w:spacing w:val="-2"/>
        </w:rPr>
        <w:t>l</w:t>
      </w:r>
      <w:r>
        <w:rPr>
          <w:spacing w:val="1"/>
        </w:rPr>
        <w:t>i</w:t>
      </w:r>
      <w:r>
        <w:rPr>
          <w:spacing w:val="-4"/>
        </w:rPr>
        <w:t>m</w:t>
      </w:r>
      <w:r>
        <w:rPr>
          <w:spacing w:val="2"/>
        </w:rPr>
        <w:t>u</w:t>
      </w:r>
      <w:r>
        <w:rPr>
          <w:spacing w:val="-4"/>
        </w:rPr>
        <w:t>m</w:t>
      </w:r>
      <w:r>
        <w:t>ab 40 </w:t>
      </w:r>
      <w:r>
        <w:rPr>
          <w:spacing w:val="-2"/>
        </w:rPr>
        <w:t>m</w:t>
      </w:r>
      <w:r>
        <w:t>g</w:t>
      </w:r>
      <w:r>
        <w:rPr>
          <w:spacing w:val="-3"/>
        </w:rPr>
        <w:t xml:space="preserve"> </w:t>
      </w:r>
      <w:r>
        <w:t>săp</w:t>
      </w:r>
      <w:r>
        <w:rPr>
          <w:spacing w:val="1"/>
        </w:rPr>
        <w:t>t</w:t>
      </w:r>
      <w:r>
        <w:t>ă</w:t>
      </w:r>
      <w:r>
        <w:rPr>
          <w:spacing w:val="-4"/>
        </w:rPr>
        <w:t>m</w:t>
      </w:r>
      <w:r>
        <w:t>âna</w:t>
      </w:r>
      <w:r>
        <w:rPr>
          <w:spacing w:val="1"/>
        </w:rPr>
        <w:t>l</w:t>
      </w:r>
      <w:r>
        <w:t xml:space="preserve">, </w:t>
      </w:r>
      <w:r>
        <w:rPr>
          <w:spacing w:val="-4"/>
        </w:rPr>
        <w:t>m</w:t>
      </w:r>
      <w:r>
        <w:t>ed</w:t>
      </w:r>
      <w:r>
        <w:rPr>
          <w:spacing w:val="1"/>
        </w:rPr>
        <w:t>i</w:t>
      </w:r>
      <w:r>
        <w:t xml:space="preserve">a </w:t>
      </w:r>
      <w:r>
        <w:rPr>
          <w:spacing w:val="1"/>
        </w:rPr>
        <w:t>l</w:t>
      </w:r>
      <w:r>
        <w:t xml:space="preserve">a </w:t>
      </w:r>
      <w:r>
        <w:rPr>
          <w:spacing w:val="-2"/>
        </w:rPr>
        <w:t>s</w:t>
      </w:r>
      <w:r>
        <w:rPr>
          <w:spacing w:val="1"/>
        </w:rPr>
        <w:t>t</w:t>
      </w:r>
      <w:r>
        <w:rPr>
          <w:spacing w:val="-3"/>
        </w:rPr>
        <w:t>a</w:t>
      </w:r>
      <w:r>
        <w:t>rea</w:t>
      </w:r>
      <w:r>
        <w:rPr>
          <w:spacing w:val="-2"/>
        </w:rPr>
        <w:t xml:space="preserve"> </w:t>
      </w:r>
      <w:r>
        <w:t xml:space="preserve">de </w:t>
      </w:r>
      <w:r>
        <w:rPr>
          <w:spacing w:val="-3"/>
        </w:rPr>
        <w:t>e</w:t>
      </w:r>
      <w:r>
        <w:t>ch</w:t>
      </w:r>
      <w:r>
        <w:rPr>
          <w:spacing w:val="-2"/>
        </w:rPr>
        <w:t>i</w:t>
      </w:r>
      <w:r>
        <w:rPr>
          <w:spacing w:val="1"/>
        </w:rPr>
        <w:t>li</w:t>
      </w:r>
      <w:r>
        <w:rPr>
          <w:spacing w:val="-3"/>
        </w:rPr>
        <w:t>b</w:t>
      </w:r>
      <w:r>
        <w:t>ru</w:t>
      </w:r>
      <w:r>
        <w:rPr>
          <w:spacing w:val="-3"/>
        </w:rPr>
        <w:t xml:space="preserve"> </w:t>
      </w:r>
      <w:r>
        <w:t>a con</w:t>
      </w:r>
      <w:r>
        <w:rPr>
          <w:spacing w:val="-3"/>
        </w:rPr>
        <w:t>c</w:t>
      </w:r>
      <w:r>
        <w:t>en</w:t>
      </w:r>
      <w:r>
        <w:rPr>
          <w:spacing w:val="-2"/>
        </w:rPr>
        <w:t>t</w:t>
      </w:r>
      <w:r>
        <w:t>r</w:t>
      </w:r>
      <w:r>
        <w:rPr>
          <w:spacing w:val="-3"/>
        </w:rPr>
        <w:t>a</w:t>
      </w:r>
      <w:r>
        <w:rPr>
          <w:spacing w:val="1"/>
        </w:rPr>
        <w:t>ţ</w:t>
      </w:r>
      <w:r>
        <w:rPr>
          <w:spacing w:val="-2"/>
        </w:rPr>
        <w:t>i</w:t>
      </w:r>
      <w:r>
        <w:t>ei</w:t>
      </w:r>
      <w:r>
        <w:rPr>
          <w:spacing w:val="1"/>
        </w:rPr>
        <w:t xml:space="preserve"> </w:t>
      </w:r>
      <w:r>
        <w:rPr>
          <w:spacing w:val="-4"/>
        </w:rPr>
        <w:t>m</w:t>
      </w:r>
      <w:r>
        <w:rPr>
          <w:spacing w:val="1"/>
        </w:rPr>
        <w:t>i</w:t>
      </w:r>
      <w:r>
        <w:t>n</w:t>
      </w:r>
      <w:r>
        <w:rPr>
          <w:spacing w:val="1"/>
        </w:rPr>
        <w:t>i</w:t>
      </w:r>
      <w:r>
        <w:rPr>
          <w:spacing w:val="-4"/>
        </w:rPr>
        <w:t>m</w:t>
      </w:r>
      <w:r>
        <w:t>e d</w:t>
      </w:r>
      <w:r>
        <w:rPr>
          <w:spacing w:val="1"/>
        </w:rPr>
        <w:t>i</w:t>
      </w:r>
      <w:r>
        <w:t>n</w:t>
      </w:r>
      <w:r>
        <w:rPr>
          <w:spacing w:val="-3"/>
        </w:rPr>
        <w:t xml:space="preserve">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12</w:t>
      </w:r>
      <w:r>
        <w:rPr>
          <w:spacing w:val="-3"/>
        </w:rPr>
        <w:t xml:space="preserve"> </w:t>
      </w:r>
      <w:r>
        <w:t>până</w:t>
      </w:r>
      <w:r>
        <w:rPr>
          <w:spacing w:val="-2"/>
        </w:rPr>
        <w:t xml:space="preserve"> </w:t>
      </w:r>
      <w:r>
        <w:rPr>
          <w:spacing w:val="1"/>
        </w:rPr>
        <w:t>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36 a f</w:t>
      </w:r>
      <w:r>
        <w:rPr>
          <w:spacing w:val="-3"/>
        </w:rPr>
        <w:t>o</w:t>
      </w:r>
      <w:r>
        <w:t>st</w:t>
      </w:r>
      <w:r>
        <w:rPr>
          <w:spacing w:val="1"/>
        </w:rPr>
        <w:t xml:space="preserve"> </w:t>
      </w:r>
      <w:r>
        <w:rPr>
          <w:spacing w:val="-3"/>
        </w:rPr>
        <w:t>d</w:t>
      </w:r>
      <w:r>
        <w:t>e apro</w:t>
      </w:r>
      <w:r>
        <w:rPr>
          <w:spacing w:val="-3"/>
        </w:rPr>
        <w:t>x</w:t>
      </w:r>
      <w:r>
        <w:rPr>
          <w:spacing w:val="1"/>
        </w:rPr>
        <w:t>i</w:t>
      </w:r>
      <w:r>
        <w:rPr>
          <w:spacing w:val="-4"/>
        </w:rPr>
        <w:t>m</w:t>
      </w:r>
      <w:r>
        <w:t>a</w:t>
      </w:r>
      <w:r>
        <w:rPr>
          <w:spacing w:val="1"/>
        </w:rPr>
        <w:t>ti</w:t>
      </w:r>
      <w:r>
        <w:t>v</w:t>
      </w:r>
      <w:r>
        <w:rPr>
          <w:spacing w:val="-3"/>
        </w:rPr>
        <w:t xml:space="preserve"> </w:t>
      </w:r>
      <w:r>
        <w:t>8 </w:t>
      </w:r>
      <w:r>
        <w:rPr>
          <w:spacing w:val="-1"/>
        </w:rPr>
        <w:t>μ</w:t>
      </w:r>
      <w:r>
        <w:rPr>
          <w:spacing w:val="-3"/>
        </w:rPr>
        <w:t>g</w:t>
      </w:r>
      <w:r>
        <w:rPr>
          <w:spacing w:val="1"/>
        </w:rPr>
        <w:t>/</w:t>
      </w:r>
      <w:r>
        <w:rPr>
          <w:spacing w:val="-4"/>
        </w:rPr>
        <w:t>m</w:t>
      </w:r>
      <w:r>
        <w:t xml:space="preserve">l până </w:t>
      </w:r>
      <w:r>
        <w:rPr>
          <w:spacing w:val="-2"/>
        </w:rPr>
        <w:t>l</w:t>
      </w:r>
      <w:r>
        <w:t>a 10 </w:t>
      </w:r>
      <w:r>
        <w:rPr>
          <w:spacing w:val="-1"/>
        </w:rPr>
        <w:t>μ</w:t>
      </w:r>
      <w:r>
        <w:rPr>
          <w:spacing w:val="-3"/>
        </w:rPr>
        <w:t>g</w:t>
      </w:r>
      <w:r>
        <w:rPr>
          <w:spacing w:val="1"/>
        </w:rPr>
        <w:t>/</w:t>
      </w:r>
      <w:r>
        <w:rPr>
          <w:spacing w:val="-4"/>
        </w:rPr>
        <w:t>m</w:t>
      </w:r>
      <w:r>
        <w:rPr>
          <w:spacing w:val="1"/>
        </w:rPr>
        <w:t>l</w:t>
      </w:r>
      <w:r>
        <w:t>.</w:t>
      </w:r>
    </w:p>
    <w:p w14:paraId="1537B6C2" w14:textId="77777777" w:rsidR="00C04CAD" w:rsidRDefault="00C04CAD">
      <w:pPr>
        <w:tabs>
          <w:tab w:val="clear" w:pos="567"/>
        </w:tabs>
        <w:kinsoku w:val="0"/>
        <w:overflowPunct w:val="0"/>
        <w:autoSpaceDE w:val="0"/>
        <w:autoSpaceDN w:val="0"/>
        <w:adjustRightInd w:val="0"/>
        <w:spacing w:line="240" w:lineRule="auto"/>
      </w:pPr>
    </w:p>
    <w:p w14:paraId="156ADE56" w14:textId="77777777" w:rsidR="00C04CAD" w:rsidRDefault="00060E34">
      <w:pPr>
        <w:tabs>
          <w:tab w:val="clear" w:pos="567"/>
        </w:tabs>
        <w:kinsoku w:val="0"/>
        <w:overflowPunct w:val="0"/>
        <w:autoSpaceDE w:val="0"/>
        <w:autoSpaceDN w:val="0"/>
        <w:adjustRightInd w:val="0"/>
        <w:spacing w:line="240" w:lineRule="auto"/>
        <w:rPr>
          <w:szCs w:val="22"/>
        </w:rPr>
      </w:pPr>
      <w:r>
        <w:t xml:space="preserve">Expunerea la adalimumab a pacienților adolescenți cu HS a fost </w:t>
      </w:r>
      <w:r>
        <w:rPr>
          <w:szCs w:val="22"/>
        </w:rPr>
        <w:t>stabilită cu ajutorul modelării și simulării farmacocinetice populaționale pe baza indicatorilor farmacocinetici la pacienți copii în alte indicații (psoriazis la copii, artrită juvenilă idiopatică, boală Crohn la copii și artrită asociată entezitei)</w:t>
      </w:r>
      <w:r>
        <w:t xml:space="preserve">. </w:t>
      </w:r>
      <w:r>
        <w:rPr>
          <w:szCs w:val="22"/>
        </w:rPr>
        <w:t>La pacienții adolescenți cu HS doza recomandată este de 40 mg la două săptămâni. Deoarece expunerea la adalimumab poate fi influențată de greutate, adolescenții care au greutate mai mare și care nu au un răspuns corespunzător pot să beneficieze de doza recomandată la adulți de 40 mg săptămânal.</w:t>
      </w:r>
    </w:p>
    <w:p w14:paraId="3FE04303" w14:textId="77777777" w:rsidR="00C04CAD" w:rsidRDefault="00C04CAD">
      <w:pPr>
        <w:tabs>
          <w:tab w:val="clear" w:pos="567"/>
        </w:tabs>
        <w:kinsoku w:val="0"/>
        <w:overflowPunct w:val="0"/>
        <w:autoSpaceDE w:val="0"/>
        <w:autoSpaceDN w:val="0"/>
        <w:adjustRightInd w:val="0"/>
        <w:spacing w:line="240" w:lineRule="auto"/>
      </w:pPr>
    </w:p>
    <w:p w14:paraId="1977A5A8"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cu</w:t>
      </w:r>
      <w:r>
        <w:rPr>
          <w:spacing w:val="-3"/>
        </w:rPr>
        <w:t xml:space="preserve"> </w:t>
      </w:r>
      <w:r>
        <w:t>bo</w:t>
      </w:r>
      <w:r>
        <w:rPr>
          <w:spacing w:val="-3"/>
        </w:rPr>
        <w:t>a</w:t>
      </w:r>
      <w:r>
        <w:rPr>
          <w:spacing w:val="1"/>
        </w:rPr>
        <w:t>l</w:t>
      </w:r>
      <w:r>
        <w:t xml:space="preserve">a </w:t>
      </w:r>
      <w:r>
        <w:rPr>
          <w:spacing w:val="-1"/>
        </w:rPr>
        <w:t>C</w:t>
      </w:r>
      <w:r>
        <w:t>r</w:t>
      </w:r>
      <w:r>
        <w:rPr>
          <w:spacing w:val="-3"/>
        </w:rPr>
        <w:t>o</w:t>
      </w:r>
      <w:r>
        <w:t>h</w:t>
      </w:r>
      <w:r>
        <w:rPr>
          <w:spacing w:val="-3"/>
        </w:rPr>
        <w:t>n</w:t>
      </w:r>
      <w:r>
        <w:t xml:space="preserve">, se </w:t>
      </w:r>
      <w:r>
        <w:rPr>
          <w:spacing w:val="-3"/>
        </w:rPr>
        <w:t>a</w:t>
      </w:r>
      <w:r>
        <w:rPr>
          <w:spacing w:val="1"/>
        </w:rPr>
        <w:t>ti</w:t>
      </w:r>
      <w:r>
        <w:t>ng</w:t>
      </w:r>
      <w:r>
        <w:rPr>
          <w:spacing w:val="-3"/>
        </w:rPr>
        <w:t xml:space="preserve"> </w:t>
      </w:r>
      <w:r>
        <w:t>co</w:t>
      </w:r>
      <w:r>
        <w:rPr>
          <w:spacing w:val="-3"/>
        </w:rPr>
        <w:t>n</w:t>
      </w:r>
      <w:r>
        <w:t>ce</w:t>
      </w:r>
      <w:r>
        <w:rPr>
          <w:spacing w:val="-3"/>
        </w:rPr>
        <w:t>n</w:t>
      </w:r>
      <w:r>
        <w:rPr>
          <w:spacing w:val="1"/>
        </w:rPr>
        <w:t>t</w:t>
      </w:r>
      <w:r>
        <w:t>r</w:t>
      </w:r>
      <w:r>
        <w:rPr>
          <w:spacing w:val="-3"/>
        </w:rPr>
        <w:t>a</w:t>
      </w:r>
      <w:r>
        <w:rPr>
          <w:spacing w:val="1"/>
        </w:rPr>
        <w:t>ţ</w:t>
      </w:r>
      <w:r>
        <w:rPr>
          <w:spacing w:val="-2"/>
        </w:rPr>
        <w:t>i</w:t>
      </w:r>
      <w:r>
        <w:t>i</w:t>
      </w:r>
      <w:r>
        <w:rPr>
          <w:spacing w:val="1"/>
        </w:rPr>
        <w:t xml:space="preserve"> </w:t>
      </w:r>
      <w:r>
        <w:rPr>
          <w:spacing w:val="-3"/>
        </w:rPr>
        <w:t>p</w:t>
      </w:r>
      <w:r>
        <w:rPr>
          <w:spacing w:val="1"/>
        </w:rPr>
        <w:t>l</w:t>
      </w:r>
      <w:r>
        <w:t>a</w:t>
      </w:r>
      <w:r>
        <w:rPr>
          <w:spacing w:val="-2"/>
        </w:rPr>
        <w:t>s</w:t>
      </w:r>
      <w:r>
        <w:rPr>
          <w:spacing w:val="-4"/>
        </w:rPr>
        <w:t>m</w:t>
      </w:r>
      <w:r>
        <w:t>a</w:t>
      </w:r>
      <w:r>
        <w:rPr>
          <w:spacing w:val="1"/>
        </w:rPr>
        <w:t>ti</w:t>
      </w:r>
      <w:r>
        <w:t>ce de</w:t>
      </w:r>
      <w:r>
        <w:rPr>
          <w:spacing w:val="-2"/>
        </w:rPr>
        <w:t xml:space="preserve"> </w:t>
      </w:r>
      <w:r>
        <w:t>ad</w:t>
      </w:r>
      <w:r>
        <w:rPr>
          <w:spacing w:val="-3"/>
        </w:rPr>
        <w:t>a</w:t>
      </w:r>
      <w:r>
        <w:rPr>
          <w:spacing w:val="1"/>
        </w:rPr>
        <w:t>li</w:t>
      </w:r>
      <w:r>
        <w:rPr>
          <w:spacing w:val="-4"/>
        </w:rPr>
        <w:t>m</w:t>
      </w:r>
      <w:r>
        <w:t>u</w:t>
      </w:r>
      <w:r>
        <w:rPr>
          <w:spacing w:val="-4"/>
        </w:rPr>
        <w:t>m</w:t>
      </w:r>
      <w:r>
        <w:t xml:space="preserve">ab </w:t>
      </w:r>
      <w:r>
        <w:rPr>
          <w:spacing w:val="1"/>
        </w:rPr>
        <w:t>î</w:t>
      </w:r>
      <w:r>
        <w:t>na</w:t>
      </w:r>
      <w:r>
        <w:rPr>
          <w:spacing w:val="-2"/>
        </w:rPr>
        <w:t>i</w:t>
      </w:r>
      <w:r>
        <w:t>n</w:t>
      </w:r>
      <w:r>
        <w:rPr>
          <w:spacing w:val="1"/>
        </w:rPr>
        <w:t>t</w:t>
      </w:r>
      <w:r>
        <w:t>ea</w:t>
      </w:r>
      <w:r>
        <w:rPr>
          <w:spacing w:val="-2"/>
        </w:rPr>
        <w:t xml:space="preserve"> </w:t>
      </w:r>
      <w:r>
        <w:t>ur</w:t>
      </w:r>
      <w:r>
        <w:rPr>
          <w:spacing w:val="-4"/>
        </w:rPr>
        <w:t>m</w:t>
      </w:r>
      <w:r>
        <w:t>ă</w:t>
      </w:r>
      <w:r>
        <w:rPr>
          <w:spacing w:val="1"/>
        </w:rPr>
        <w:t>t</w:t>
      </w:r>
      <w:r>
        <w:t>o</w:t>
      </w:r>
      <w:r>
        <w:rPr>
          <w:spacing w:val="-3"/>
        </w:rPr>
        <w:t>a</w:t>
      </w:r>
      <w:r>
        <w:t>rei</w:t>
      </w:r>
      <w:r>
        <w:rPr>
          <w:spacing w:val="-2"/>
        </w:rPr>
        <w:t xml:space="preserve"> </w:t>
      </w:r>
      <w:r>
        <w:t>do</w:t>
      </w:r>
      <w:r>
        <w:rPr>
          <w:spacing w:val="-3"/>
        </w:rPr>
        <w:t>z</w:t>
      </w:r>
      <w:r>
        <w:t>e de a</w:t>
      </w:r>
      <w:r>
        <w:rPr>
          <w:spacing w:val="-3"/>
        </w:rPr>
        <w:t>p</w:t>
      </w:r>
      <w:r>
        <w:t>rox</w:t>
      </w:r>
      <w:r>
        <w:rPr>
          <w:spacing w:val="1"/>
        </w:rPr>
        <w:t>i</w:t>
      </w:r>
      <w:r>
        <w:rPr>
          <w:spacing w:val="-4"/>
        </w:rPr>
        <w:t>m</w:t>
      </w:r>
      <w:r>
        <w:t>a</w:t>
      </w:r>
      <w:r>
        <w:rPr>
          <w:spacing w:val="1"/>
        </w:rPr>
        <w:t>ti</w:t>
      </w:r>
      <w:r>
        <w:t>v</w:t>
      </w:r>
      <w:r>
        <w:rPr>
          <w:spacing w:val="-3"/>
        </w:rPr>
        <w:t xml:space="preserve"> </w:t>
      </w:r>
      <w:r>
        <w:t>5,5 </w:t>
      </w:r>
      <w:r>
        <w:rPr>
          <w:spacing w:val="-3"/>
        </w:rPr>
        <w:t>µg</w:t>
      </w:r>
      <w:r>
        <w:rPr>
          <w:spacing w:val="1"/>
        </w:rPr>
        <w:t>/</w:t>
      </w:r>
      <w:r>
        <w:rPr>
          <w:spacing w:val="-4"/>
        </w:rPr>
        <w:t>m</w:t>
      </w:r>
      <w:r>
        <w:t>l</w:t>
      </w:r>
      <w:r>
        <w:rPr>
          <w:spacing w:val="1"/>
        </w:rPr>
        <w:t>î</w:t>
      </w:r>
      <w:r>
        <w:t xml:space="preserve">n </w:t>
      </w:r>
      <w:r>
        <w:rPr>
          <w:spacing w:val="1"/>
        </w:rPr>
        <w:t>ti</w:t>
      </w:r>
      <w:r>
        <w:rPr>
          <w:spacing w:val="-4"/>
        </w:rPr>
        <w:t>m</w:t>
      </w:r>
      <w:r>
        <w:t>pul</w:t>
      </w:r>
      <w:r>
        <w:rPr>
          <w:spacing w:val="1"/>
        </w:rPr>
        <w:t xml:space="preserve"> </w:t>
      </w:r>
      <w:r>
        <w:t>p</w:t>
      </w:r>
      <w:r>
        <w:rPr>
          <w:spacing w:val="-3"/>
        </w:rPr>
        <w:t>e</w:t>
      </w:r>
      <w:r>
        <w:t>r</w:t>
      </w:r>
      <w:r>
        <w:rPr>
          <w:spacing w:val="-2"/>
        </w:rPr>
        <w:t>i</w:t>
      </w:r>
      <w:r>
        <w:t>oad</w:t>
      </w:r>
      <w:r>
        <w:rPr>
          <w:spacing w:val="-3"/>
        </w:rPr>
        <w:t>e</w:t>
      </w:r>
      <w:r>
        <w:t>i</w:t>
      </w:r>
      <w:r>
        <w:rPr>
          <w:spacing w:val="1"/>
        </w:rPr>
        <w:t xml:space="preserve"> </w:t>
      </w:r>
      <w:r>
        <w:t>de</w:t>
      </w:r>
      <w:r>
        <w:rPr>
          <w:spacing w:val="-2"/>
        </w:rPr>
        <w:t xml:space="preserve"> </w:t>
      </w:r>
      <w:r>
        <w:rPr>
          <w:spacing w:val="1"/>
        </w:rPr>
        <w:t>i</w:t>
      </w:r>
      <w:r>
        <w:rPr>
          <w:spacing w:val="-3"/>
        </w:rPr>
        <w:t>n</w:t>
      </w:r>
      <w:r>
        <w:rPr>
          <w:spacing w:val="1"/>
        </w:rPr>
        <w:t>i</w:t>
      </w:r>
      <w:r>
        <w:rPr>
          <w:spacing w:val="-2"/>
        </w:rPr>
        <w:t>ţ</w:t>
      </w:r>
      <w:r>
        <w:rPr>
          <w:spacing w:val="1"/>
        </w:rPr>
        <w:t>i</w:t>
      </w:r>
      <w:r>
        <w:rPr>
          <w:spacing w:val="-3"/>
        </w:rPr>
        <w:t>e</w:t>
      </w:r>
      <w:r>
        <w:rPr>
          <w:spacing w:val="-2"/>
        </w:rPr>
        <w:t>r</w:t>
      </w:r>
      <w:r>
        <w:t xml:space="preserve">e </w:t>
      </w:r>
      <w:r>
        <w:rPr>
          <w:spacing w:val="1"/>
        </w:rPr>
        <w:t>l</w:t>
      </w:r>
      <w:r>
        <w:t xml:space="preserve">a </w:t>
      </w:r>
      <w:r>
        <w:rPr>
          <w:spacing w:val="-3"/>
        </w:rPr>
        <w:t>d</w:t>
      </w:r>
      <w:r>
        <w:t>o</w:t>
      </w:r>
      <w:r>
        <w:rPr>
          <w:spacing w:val="-3"/>
        </w:rPr>
        <w:t>z</w:t>
      </w:r>
      <w:r>
        <w:t xml:space="preserve">a de </w:t>
      </w:r>
      <w:r>
        <w:rPr>
          <w:spacing w:val="-2"/>
        </w:rPr>
        <w:t>î</w:t>
      </w:r>
      <w:r>
        <w:t>nc</w:t>
      </w:r>
      <w:r>
        <w:rPr>
          <w:spacing w:val="-3"/>
        </w:rPr>
        <w:t>ă</w:t>
      </w:r>
      <w:r>
        <w:t>rc</w:t>
      </w:r>
      <w:r>
        <w:rPr>
          <w:spacing w:val="-3"/>
        </w:rPr>
        <w:t>a</w:t>
      </w:r>
      <w:r>
        <w:t xml:space="preserve">re </w:t>
      </w:r>
      <w:r>
        <w:rPr>
          <w:rFonts w:eastAsia="MS Mincho"/>
          <w:spacing w:val="-1"/>
          <w:szCs w:val="22"/>
          <w:lang w:eastAsia="en-US" w:bidi="ar-SA"/>
        </w:rPr>
        <w:t>adalimumab</w:t>
      </w:r>
      <w:r>
        <w:rPr>
          <w:spacing w:val="-2"/>
        </w:rPr>
        <w:t xml:space="preserve"> </w:t>
      </w:r>
      <w:r>
        <w:t>80 </w:t>
      </w:r>
      <w:r>
        <w:rPr>
          <w:spacing w:val="-4"/>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w:t>
      </w:r>
      <w:r>
        <w:rPr>
          <w:spacing w:val="-3"/>
        </w:rPr>
        <w:t>u</w:t>
      </w:r>
      <w:r>
        <w:t>r</w:t>
      </w:r>
      <w:r>
        <w:rPr>
          <w:spacing w:val="-4"/>
        </w:rPr>
        <w:t>m</w:t>
      </w:r>
      <w:r>
        <w:t>a</w:t>
      </w:r>
      <w:r>
        <w:rPr>
          <w:spacing w:val="1"/>
        </w:rPr>
        <w:t>t</w:t>
      </w:r>
      <w:r>
        <w:t xml:space="preserve">ă de </w:t>
      </w:r>
      <w:r>
        <w:rPr>
          <w:rFonts w:eastAsia="MS Mincho"/>
          <w:spacing w:val="-1"/>
          <w:szCs w:val="22"/>
          <w:lang w:eastAsia="en-US" w:bidi="ar-SA"/>
        </w:rPr>
        <w:t>adalimumab</w:t>
      </w:r>
      <w:r>
        <w:t xml:space="preserve"> 40 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w:t>
      </w:r>
      <w:r>
        <w:rPr>
          <w:spacing w:val="-1"/>
        </w:rPr>
        <w:t>L</w:t>
      </w:r>
      <w:r>
        <w:t>a do</w:t>
      </w:r>
      <w:r>
        <w:rPr>
          <w:spacing w:val="-3"/>
        </w:rPr>
        <w:t>z</w:t>
      </w:r>
      <w:r>
        <w:t>a de</w:t>
      </w:r>
      <w:r>
        <w:rPr>
          <w:spacing w:val="-2"/>
        </w:rPr>
        <w:t xml:space="preserve"> </w:t>
      </w:r>
      <w:r>
        <w:rPr>
          <w:spacing w:val="1"/>
        </w:rPr>
        <w:t>î</w:t>
      </w:r>
      <w:r>
        <w:t>nc</w:t>
      </w:r>
      <w:r>
        <w:rPr>
          <w:spacing w:val="-3"/>
        </w:rPr>
        <w:t>ă</w:t>
      </w:r>
      <w:r>
        <w:t>r</w:t>
      </w:r>
      <w:r>
        <w:rPr>
          <w:spacing w:val="-3"/>
        </w:rPr>
        <w:t>c</w:t>
      </w:r>
      <w:r>
        <w:t xml:space="preserve">are </w:t>
      </w:r>
      <w:r>
        <w:rPr>
          <w:rFonts w:eastAsia="MS Mincho"/>
          <w:spacing w:val="-1"/>
          <w:szCs w:val="22"/>
          <w:lang w:eastAsia="en-US" w:bidi="ar-SA"/>
        </w:rPr>
        <w:t>adalimumab</w:t>
      </w:r>
      <w:r>
        <w:rPr>
          <w:spacing w:val="-2"/>
        </w:rPr>
        <w:t xml:space="preserve"> </w:t>
      </w:r>
      <w:r>
        <w:t>160 </w:t>
      </w:r>
      <w:r>
        <w:rPr>
          <w:spacing w:val="-4"/>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 </w:t>
      </w:r>
      <w:r>
        <w:rPr>
          <w:spacing w:val="-3"/>
        </w:rPr>
        <w:t>u</w:t>
      </w:r>
      <w:r>
        <w:t>r</w:t>
      </w:r>
      <w:r>
        <w:rPr>
          <w:spacing w:val="-4"/>
        </w:rPr>
        <w:t>m</w:t>
      </w:r>
      <w:r>
        <w:t>a</w:t>
      </w:r>
      <w:r>
        <w:rPr>
          <w:spacing w:val="1"/>
        </w:rPr>
        <w:t>t</w:t>
      </w:r>
      <w:r>
        <w:t xml:space="preserve">ă de </w:t>
      </w:r>
      <w:r>
        <w:rPr>
          <w:rFonts w:eastAsia="MS Mincho"/>
          <w:spacing w:val="-1"/>
          <w:szCs w:val="22"/>
          <w:lang w:eastAsia="en-US" w:bidi="ar-SA"/>
        </w:rPr>
        <w:t>adalimumab</w:t>
      </w:r>
      <w:r>
        <w:t xml:space="preserve"> 80 </w:t>
      </w:r>
      <w:r>
        <w:rPr>
          <w:spacing w:val="-2"/>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2, se </w:t>
      </w:r>
      <w:r>
        <w:rPr>
          <w:spacing w:val="-3"/>
        </w:rPr>
        <w:t>a</w:t>
      </w:r>
      <w:r>
        <w:rPr>
          <w:spacing w:val="1"/>
        </w:rPr>
        <w:t>ti</w:t>
      </w:r>
      <w:r>
        <w:t>ng</w:t>
      </w:r>
      <w:r>
        <w:rPr>
          <w:spacing w:val="-3"/>
        </w:rPr>
        <w:t xml:space="preserve"> </w:t>
      </w:r>
      <w:r>
        <w:t>co</w:t>
      </w:r>
      <w:r>
        <w:rPr>
          <w:spacing w:val="-3"/>
        </w:rPr>
        <w:t>n</w:t>
      </w:r>
      <w:r>
        <w:t>ce</w:t>
      </w:r>
      <w:r>
        <w:rPr>
          <w:spacing w:val="-3"/>
        </w:rPr>
        <w:t>n</w:t>
      </w:r>
      <w:r>
        <w:rPr>
          <w:spacing w:val="1"/>
        </w:rPr>
        <w:t>t</w:t>
      </w:r>
      <w:r>
        <w:t>r</w:t>
      </w:r>
      <w:r>
        <w:rPr>
          <w:spacing w:val="-3"/>
        </w:rPr>
        <w:t>a</w:t>
      </w:r>
      <w:r>
        <w:rPr>
          <w:spacing w:val="1"/>
        </w:rPr>
        <w:t>ţ</w:t>
      </w:r>
      <w:r>
        <w:rPr>
          <w:spacing w:val="-2"/>
        </w:rPr>
        <w:t>i</w:t>
      </w:r>
      <w:r>
        <w:t>i</w:t>
      </w:r>
      <w:r>
        <w:rPr>
          <w:spacing w:val="1"/>
        </w:rPr>
        <w:t xml:space="preserve"> </w:t>
      </w:r>
      <w:r>
        <w:rPr>
          <w:spacing w:val="-3"/>
        </w:rPr>
        <w:t>p</w:t>
      </w:r>
      <w:r>
        <w:rPr>
          <w:spacing w:val="1"/>
        </w:rPr>
        <w:t>l</w:t>
      </w:r>
      <w:r>
        <w:t>a</w:t>
      </w:r>
      <w:r>
        <w:rPr>
          <w:spacing w:val="-2"/>
        </w:rPr>
        <w:t>s</w:t>
      </w:r>
      <w:r>
        <w:rPr>
          <w:spacing w:val="-4"/>
        </w:rPr>
        <w:t>m</w:t>
      </w:r>
      <w:r>
        <w:t>a</w:t>
      </w:r>
      <w:r>
        <w:rPr>
          <w:spacing w:val="1"/>
        </w:rPr>
        <w:t>ti</w:t>
      </w:r>
      <w:r>
        <w:t>ce de ada</w:t>
      </w:r>
      <w:r>
        <w:rPr>
          <w:spacing w:val="-2"/>
        </w:rPr>
        <w:t>l</w:t>
      </w:r>
      <w:r>
        <w:rPr>
          <w:spacing w:val="1"/>
        </w:rPr>
        <w:t>i</w:t>
      </w:r>
      <w:r>
        <w:rPr>
          <w:spacing w:val="-4"/>
        </w:rPr>
        <w:t>m</w:t>
      </w:r>
      <w:r>
        <w:rPr>
          <w:spacing w:val="2"/>
        </w:rPr>
        <w:t>u</w:t>
      </w:r>
      <w:r>
        <w:rPr>
          <w:spacing w:val="-4"/>
        </w:rPr>
        <w:t>m</w:t>
      </w:r>
      <w:r>
        <w:t xml:space="preserve">ab </w:t>
      </w:r>
      <w:r>
        <w:rPr>
          <w:spacing w:val="1"/>
        </w:rPr>
        <w:t>î</w:t>
      </w:r>
      <w:r>
        <w:t>na</w:t>
      </w:r>
      <w:r>
        <w:rPr>
          <w:spacing w:val="-2"/>
        </w:rPr>
        <w:t>i</w:t>
      </w:r>
      <w:r>
        <w:t>n</w:t>
      </w:r>
      <w:r>
        <w:rPr>
          <w:spacing w:val="1"/>
        </w:rPr>
        <w:t>t</w:t>
      </w:r>
      <w:r>
        <w:rPr>
          <w:spacing w:val="-3"/>
        </w:rPr>
        <w:t>e</w:t>
      </w:r>
      <w:r>
        <w:t xml:space="preserve">a </w:t>
      </w:r>
      <w:r>
        <w:rPr>
          <w:spacing w:val="-3"/>
        </w:rPr>
        <w:t>u</w:t>
      </w:r>
      <w:r>
        <w:t>r</w:t>
      </w:r>
      <w:r>
        <w:rPr>
          <w:spacing w:val="-4"/>
        </w:rPr>
        <w:t>m</w:t>
      </w:r>
      <w:r>
        <w:t>ă</w:t>
      </w:r>
      <w:r>
        <w:rPr>
          <w:spacing w:val="1"/>
        </w:rPr>
        <w:t>t</w:t>
      </w:r>
      <w:r>
        <w:t>oar</w:t>
      </w:r>
      <w:r>
        <w:rPr>
          <w:spacing w:val="-3"/>
        </w:rPr>
        <w:t>e</w:t>
      </w:r>
      <w:r>
        <w:t>i</w:t>
      </w:r>
      <w:r>
        <w:rPr>
          <w:spacing w:val="1"/>
        </w:rPr>
        <w:t xml:space="preserve"> </w:t>
      </w:r>
      <w:r>
        <w:t>do</w:t>
      </w:r>
      <w:r>
        <w:rPr>
          <w:spacing w:val="-3"/>
        </w:rPr>
        <w:t>z</w:t>
      </w:r>
      <w:r>
        <w:t>e de</w:t>
      </w:r>
      <w:r>
        <w:rPr>
          <w:spacing w:val="-2"/>
        </w:rPr>
        <w:t xml:space="preserve"> </w:t>
      </w:r>
      <w:r>
        <w:t>ap</w:t>
      </w:r>
      <w:r>
        <w:rPr>
          <w:spacing w:val="-2"/>
        </w:rPr>
        <w:t>r</w:t>
      </w:r>
      <w:r>
        <w:t>ox</w:t>
      </w:r>
      <w:r>
        <w:rPr>
          <w:spacing w:val="1"/>
        </w:rPr>
        <w:t>i</w:t>
      </w:r>
      <w:r>
        <w:rPr>
          <w:spacing w:val="-4"/>
        </w:rPr>
        <w:t>m</w:t>
      </w:r>
      <w:r>
        <w:t>a</w:t>
      </w:r>
      <w:r>
        <w:rPr>
          <w:spacing w:val="1"/>
        </w:rPr>
        <w:t>ti</w:t>
      </w:r>
      <w:r>
        <w:t>v</w:t>
      </w:r>
      <w:r>
        <w:rPr>
          <w:spacing w:val="-3"/>
        </w:rPr>
        <w:t xml:space="preserve"> 1</w:t>
      </w:r>
      <w:r>
        <w:t>2 </w:t>
      </w:r>
      <w:r>
        <w:rPr>
          <w:spacing w:val="-3"/>
        </w:rPr>
        <w:t>µg</w:t>
      </w:r>
      <w:r>
        <w:rPr>
          <w:spacing w:val="3"/>
        </w:rPr>
        <w:t>/</w:t>
      </w:r>
      <w:r>
        <w:rPr>
          <w:spacing w:val="-4"/>
        </w:rPr>
        <w:t>m</w:t>
      </w:r>
      <w:r>
        <w:t>l</w:t>
      </w:r>
      <w:r>
        <w:rPr>
          <w:spacing w:val="1"/>
        </w:rPr>
        <w:t xml:space="preserve"> î</w:t>
      </w:r>
      <w:r>
        <w:t xml:space="preserve">n </w:t>
      </w:r>
      <w:r>
        <w:rPr>
          <w:spacing w:val="1"/>
        </w:rPr>
        <w:t>ti</w:t>
      </w:r>
      <w:r>
        <w:rPr>
          <w:spacing w:val="-4"/>
        </w:rPr>
        <w:t>m</w:t>
      </w:r>
      <w:r>
        <w:t>pul</w:t>
      </w:r>
      <w:r>
        <w:rPr>
          <w:spacing w:val="1"/>
        </w:rPr>
        <w:t xml:space="preserve"> </w:t>
      </w:r>
      <w:r>
        <w:t>p</w:t>
      </w:r>
      <w:r>
        <w:rPr>
          <w:spacing w:val="-3"/>
        </w:rPr>
        <w:t>e</w:t>
      </w:r>
      <w:r>
        <w:t>r</w:t>
      </w:r>
      <w:r>
        <w:rPr>
          <w:spacing w:val="1"/>
        </w:rPr>
        <w:t>i</w:t>
      </w:r>
      <w:r>
        <w:rPr>
          <w:spacing w:val="-3"/>
        </w:rPr>
        <w:t>o</w:t>
      </w:r>
      <w:r>
        <w:t>ad</w:t>
      </w:r>
      <w:r>
        <w:rPr>
          <w:spacing w:val="-3"/>
        </w:rPr>
        <w:t>e</w:t>
      </w:r>
      <w:r>
        <w:t>i</w:t>
      </w:r>
      <w:r>
        <w:rPr>
          <w:spacing w:val="-2"/>
        </w:rPr>
        <w:t xml:space="preserve"> </w:t>
      </w:r>
      <w:r>
        <w:t xml:space="preserve">de </w:t>
      </w:r>
      <w:r>
        <w:rPr>
          <w:spacing w:val="1"/>
        </w:rPr>
        <w:t>i</w:t>
      </w:r>
      <w:r>
        <w:rPr>
          <w:spacing w:val="-3"/>
        </w:rPr>
        <w:t>n</w:t>
      </w:r>
      <w:r>
        <w:rPr>
          <w:spacing w:val="1"/>
        </w:rPr>
        <w:t>i</w:t>
      </w:r>
      <w:r>
        <w:rPr>
          <w:spacing w:val="-2"/>
        </w:rPr>
        <w:t>ţ</w:t>
      </w:r>
      <w:r>
        <w:rPr>
          <w:spacing w:val="1"/>
        </w:rPr>
        <w:t>i</w:t>
      </w:r>
      <w:r>
        <w:rPr>
          <w:spacing w:val="-3"/>
        </w:rPr>
        <w:t>e</w:t>
      </w:r>
      <w:r>
        <w:t xml:space="preserve">re. </w:t>
      </w:r>
      <w:r>
        <w:rPr>
          <w:spacing w:val="-1"/>
        </w:rPr>
        <w:t>S</w:t>
      </w:r>
      <w:r>
        <w:rPr>
          <w:spacing w:val="-4"/>
        </w:rPr>
        <w:t>-</w:t>
      </w:r>
      <w:r>
        <w:t>a obser</w:t>
      </w:r>
      <w:r>
        <w:rPr>
          <w:spacing w:val="-3"/>
        </w:rPr>
        <w:t>v</w:t>
      </w:r>
      <w:r>
        <w:t>at</w:t>
      </w:r>
      <w:r>
        <w:rPr>
          <w:spacing w:val="-2"/>
        </w:rPr>
        <w:t xml:space="preserve"> </w:t>
      </w:r>
      <w:r>
        <w:rPr>
          <w:spacing w:val="1"/>
        </w:rPr>
        <w:t>l</w:t>
      </w:r>
      <w:r>
        <w:t>a</w:t>
      </w:r>
      <w:r>
        <w:rPr>
          <w:spacing w:val="-2"/>
        </w:rPr>
        <w:t xml:space="preserve"> </w:t>
      </w:r>
      <w:r>
        <w:t>pa</w:t>
      </w:r>
      <w:r>
        <w:rPr>
          <w:spacing w:val="-3"/>
        </w:rPr>
        <w:t>c</w:t>
      </w:r>
      <w:r>
        <w:rPr>
          <w:spacing w:val="1"/>
        </w:rPr>
        <w:t>i</w:t>
      </w:r>
      <w:r>
        <w:t>e</w:t>
      </w:r>
      <w:r>
        <w:rPr>
          <w:spacing w:val="-3"/>
        </w:rPr>
        <w:t>n</w:t>
      </w:r>
      <w:r>
        <w:rPr>
          <w:spacing w:val="1"/>
        </w:rPr>
        <w:t>ţ</w:t>
      </w:r>
      <w:r>
        <w:rPr>
          <w:spacing w:val="-2"/>
        </w:rPr>
        <w:t>i</w:t>
      </w:r>
      <w:r>
        <w:t>i</w:t>
      </w:r>
      <w:r>
        <w:rPr>
          <w:spacing w:val="1"/>
        </w:rPr>
        <w:t xml:space="preserve"> </w:t>
      </w:r>
      <w:r>
        <w:t>cu</w:t>
      </w:r>
      <w:r>
        <w:rPr>
          <w:spacing w:val="-3"/>
        </w:rPr>
        <w:t xml:space="preserve"> </w:t>
      </w:r>
      <w:r>
        <w:t>bo</w:t>
      </w:r>
      <w:r>
        <w:rPr>
          <w:spacing w:val="-3"/>
        </w:rPr>
        <w:t>a</w:t>
      </w:r>
      <w:r>
        <w:rPr>
          <w:spacing w:val="1"/>
        </w:rPr>
        <w:t>l</w:t>
      </w:r>
      <w:r>
        <w:t xml:space="preserve">ă </w:t>
      </w:r>
      <w:r>
        <w:rPr>
          <w:spacing w:val="-1"/>
        </w:rPr>
        <w:t>C</w:t>
      </w:r>
      <w:r>
        <w:t>r</w:t>
      </w:r>
      <w:r>
        <w:rPr>
          <w:spacing w:val="-3"/>
        </w:rPr>
        <w:t>o</w:t>
      </w:r>
      <w:r>
        <w:t>hn c</w:t>
      </w:r>
      <w:r>
        <w:rPr>
          <w:spacing w:val="-3"/>
        </w:rPr>
        <w:t>a</w:t>
      </w:r>
      <w:r>
        <w:t>re</w:t>
      </w:r>
      <w:r>
        <w:rPr>
          <w:spacing w:val="-2"/>
        </w:rPr>
        <w:t xml:space="preserve"> </w:t>
      </w:r>
      <w:r>
        <w:t>au p</w:t>
      </w:r>
      <w:r>
        <w:rPr>
          <w:spacing w:val="-2"/>
        </w:rPr>
        <w:t>r</w:t>
      </w:r>
      <w:r>
        <w:rPr>
          <w:spacing w:val="1"/>
        </w:rPr>
        <w:t>i</w:t>
      </w:r>
      <w:r>
        <w:rPr>
          <w:spacing w:val="-4"/>
        </w:rPr>
        <w:t>m</w:t>
      </w:r>
      <w:r>
        <w:rPr>
          <w:spacing w:val="1"/>
        </w:rPr>
        <w:t>i</w:t>
      </w:r>
      <w:r>
        <w:t>t</w:t>
      </w:r>
      <w:r>
        <w:rPr>
          <w:spacing w:val="1"/>
        </w:rPr>
        <w:t xml:space="preserve"> </w:t>
      </w:r>
      <w:r>
        <w:t xml:space="preserve">o </w:t>
      </w:r>
      <w:r>
        <w:rPr>
          <w:spacing w:val="-3"/>
        </w:rPr>
        <w:t>d</w:t>
      </w:r>
      <w:r>
        <w:t>o</w:t>
      </w:r>
      <w:r>
        <w:rPr>
          <w:spacing w:val="-3"/>
        </w:rPr>
        <w:t>z</w:t>
      </w:r>
      <w:r>
        <w:t xml:space="preserve">ă de </w:t>
      </w:r>
      <w:r>
        <w:rPr>
          <w:spacing w:val="1"/>
        </w:rPr>
        <w:t>î</w:t>
      </w:r>
      <w:r>
        <w:rPr>
          <w:spacing w:val="-3"/>
        </w:rPr>
        <w:t>n</w:t>
      </w:r>
      <w:r>
        <w:rPr>
          <w:spacing w:val="1"/>
        </w:rPr>
        <w:t>t</w:t>
      </w:r>
      <w:r>
        <w:t>r</w:t>
      </w:r>
      <w:r>
        <w:rPr>
          <w:spacing w:val="-3"/>
        </w:rPr>
        <w:t>e</w:t>
      </w:r>
      <w:r>
        <w:rPr>
          <w:spacing w:val="1"/>
        </w:rPr>
        <w:t>ţ</w:t>
      </w:r>
      <w:r>
        <w:rPr>
          <w:spacing w:val="-2"/>
        </w:rPr>
        <w:t>i</w:t>
      </w:r>
      <w:r>
        <w:t>ne</w:t>
      </w:r>
      <w:r>
        <w:rPr>
          <w:spacing w:val="-2"/>
        </w:rPr>
        <w:t>r</w:t>
      </w:r>
      <w:r>
        <w:t xml:space="preserve">e </w:t>
      </w:r>
      <w:r>
        <w:rPr>
          <w:rFonts w:eastAsia="MS Mincho"/>
          <w:spacing w:val="-1"/>
          <w:szCs w:val="22"/>
          <w:lang w:eastAsia="en-US" w:bidi="ar-SA"/>
        </w:rPr>
        <w:t>adalimumab</w:t>
      </w:r>
      <w:r>
        <w:t xml:space="preserve"> </w:t>
      </w:r>
      <w:r>
        <w:rPr>
          <w:spacing w:val="-3"/>
        </w:rPr>
        <w:t>4</w:t>
      </w:r>
      <w:r>
        <w:t>0 </w:t>
      </w:r>
      <w:r>
        <w:rPr>
          <w:spacing w:val="-2"/>
        </w:rPr>
        <w:t>m</w:t>
      </w:r>
      <w:r>
        <w:t>g</w:t>
      </w:r>
      <w:r>
        <w:rPr>
          <w:spacing w:val="-3"/>
        </w:rPr>
        <w:t xml:space="preserve"> </w:t>
      </w:r>
      <w:r>
        <w:rPr>
          <w:spacing w:val="1"/>
        </w:rPr>
        <w:t>l</w:t>
      </w:r>
      <w:r>
        <w:t>a două săp</w:t>
      </w:r>
      <w:r>
        <w:rPr>
          <w:spacing w:val="-2"/>
        </w:rPr>
        <w:t>t</w:t>
      </w:r>
      <w:r>
        <w:t>ă</w:t>
      </w:r>
      <w:r>
        <w:rPr>
          <w:spacing w:val="-4"/>
        </w:rPr>
        <w:t>m</w:t>
      </w:r>
      <w:r>
        <w:t>ân</w:t>
      </w:r>
      <w:r>
        <w:rPr>
          <w:spacing w:val="1"/>
        </w:rPr>
        <w:t>i</w:t>
      </w:r>
      <w:r>
        <w:t xml:space="preserve">, o </w:t>
      </w:r>
      <w:r>
        <w:rPr>
          <w:spacing w:val="-4"/>
        </w:rPr>
        <w:t>m</w:t>
      </w:r>
      <w:r>
        <w:t>ed</w:t>
      </w:r>
      <w:r>
        <w:rPr>
          <w:spacing w:val="1"/>
        </w:rPr>
        <w:t>i</w:t>
      </w:r>
      <w:r>
        <w:t>e a</w:t>
      </w:r>
      <w:r>
        <w:rPr>
          <w:spacing w:val="-2"/>
        </w:rPr>
        <w:t xml:space="preserve"> </w:t>
      </w:r>
      <w:r>
        <w:t>conc</w:t>
      </w:r>
      <w:r>
        <w:rPr>
          <w:spacing w:val="-3"/>
        </w:rPr>
        <w:t>e</w:t>
      </w:r>
      <w:r>
        <w:t>n</w:t>
      </w:r>
      <w:r>
        <w:rPr>
          <w:spacing w:val="1"/>
        </w:rPr>
        <w:t>t</w:t>
      </w:r>
      <w:r>
        <w:t>r</w:t>
      </w:r>
      <w:r>
        <w:rPr>
          <w:spacing w:val="-3"/>
        </w:rPr>
        <w:t>a</w:t>
      </w:r>
      <w:r>
        <w:rPr>
          <w:spacing w:val="-2"/>
        </w:rPr>
        <w:t>ţ</w:t>
      </w:r>
      <w:r>
        <w:rPr>
          <w:spacing w:val="1"/>
        </w:rPr>
        <w:t>i</w:t>
      </w:r>
      <w:r>
        <w:rPr>
          <w:spacing w:val="-2"/>
        </w:rPr>
        <w:t>i</w:t>
      </w:r>
      <w:r>
        <w:rPr>
          <w:spacing w:val="1"/>
        </w:rPr>
        <w:t>l</w:t>
      </w:r>
      <w:r>
        <w:t>or</w:t>
      </w:r>
      <w:r>
        <w:rPr>
          <w:spacing w:val="-2"/>
        </w:rPr>
        <w:t xml:space="preserve"> </w:t>
      </w:r>
      <w:r>
        <w:rPr>
          <w:spacing w:val="1"/>
        </w:rPr>
        <w:t>î</w:t>
      </w:r>
      <w:r>
        <w:t>n</w:t>
      </w:r>
      <w:r>
        <w:rPr>
          <w:spacing w:val="-3"/>
        </w:rPr>
        <w:t>a</w:t>
      </w:r>
      <w:r>
        <w:rPr>
          <w:spacing w:val="1"/>
        </w:rPr>
        <w:t>i</w:t>
      </w:r>
      <w:r>
        <w:rPr>
          <w:spacing w:val="-3"/>
        </w:rPr>
        <w:t>n</w:t>
      </w:r>
      <w:r>
        <w:rPr>
          <w:spacing w:val="1"/>
        </w:rPr>
        <w:t>t</w:t>
      </w:r>
      <w:r>
        <w:t>e de</w:t>
      </w:r>
      <w:r>
        <w:rPr>
          <w:spacing w:val="-2"/>
        </w:rPr>
        <w:t xml:space="preserve"> </w:t>
      </w:r>
      <w:r>
        <w:t>ur</w:t>
      </w:r>
      <w:r>
        <w:rPr>
          <w:spacing w:val="-4"/>
        </w:rPr>
        <w:t>m</w:t>
      </w:r>
      <w:r>
        <w:t>ă</w:t>
      </w:r>
      <w:r>
        <w:rPr>
          <w:spacing w:val="1"/>
        </w:rPr>
        <w:t>t</w:t>
      </w:r>
      <w:r>
        <w:rPr>
          <w:spacing w:val="-3"/>
        </w:rPr>
        <w:t>o</w:t>
      </w:r>
      <w:r>
        <w:t>area</w:t>
      </w:r>
      <w:r>
        <w:rPr>
          <w:spacing w:val="-2"/>
        </w:rPr>
        <w:t xml:space="preserve"> </w:t>
      </w:r>
      <w:r>
        <w:t>do</w:t>
      </w:r>
      <w:r>
        <w:rPr>
          <w:spacing w:val="-3"/>
        </w:rPr>
        <w:t>z</w:t>
      </w:r>
      <w:r>
        <w:t xml:space="preserve">ă, </w:t>
      </w:r>
      <w:r>
        <w:rPr>
          <w:spacing w:val="1"/>
        </w:rPr>
        <w:t>l</w:t>
      </w:r>
      <w:r>
        <w:t>a</w:t>
      </w:r>
      <w:r>
        <w:rPr>
          <w:spacing w:val="-2"/>
        </w:rPr>
        <w:t xml:space="preserve"> </w:t>
      </w:r>
      <w:r>
        <w:t>s</w:t>
      </w:r>
      <w:r>
        <w:rPr>
          <w:spacing w:val="-2"/>
        </w:rPr>
        <w:t>t</w:t>
      </w:r>
      <w:r>
        <w:t>ar</w:t>
      </w:r>
      <w:r>
        <w:rPr>
          <w:spacing w:val="-3"/>
        </w:rPr>
        <w:t>e</w:t>
      </w:r>
      <w:r>
        <w:t>a de</w:t>
      </w:r>
      <w:r>
        <w:rPr>
          <w:spacing w:val="-2"/>
        </w:rPr>
        <w:t xml:space="preserve"> </w:t>
      </w:r>
      <w:r>
        <w:t>ec</w:t>
      </w:r>
      <w:r>
        <w:rPr>
          <w:spacing w:val="-3"/>
        </w:rPr>
        <w:t>h</w:t>
      </w:r>
      <w:r>
        <w:rPr>
          <w:spacing w:val="1"/>
        </w:rPr>
        <w:t>i</w:t>
      </w:r>
      <w:r>
        <w:rPr>
          <w:spacing w:val="-2"/>
        </w:rPr>
        <w:t>l</w:t>
      </w:r>
      <w:r>
        <w:rPr>
          <w:spacing w:val="1"/>
        </w:rPr>
        <w:t>i</w:t>
      </w:r>
      <w:r>
        <w:t>bru,</w:t>
      </w:r>
      <w:r>
        <w:rPr>
          <w:spacing w:val="-3"/>
        </w:rPr>
        <w:t xml:space="preserve"> </w:t>
      </w:r>
      <w:r>
        <w:t xml:space="preserve">de </w:t>
      </w:r>
      <w:r>
        <w:rPr>
          <w:spacing w:val="-3"/>
        </w:rPr>
        <w:t>a</w:t>
      </w:r>
      <w:r>
        <w:t>pro</w:t>
      </w:r>
      <w:r>
        <w:rPr>
          <w:spacing w:val="-3"/>
        </w:rPr>
        <w:t>x</w:t>
      </w:r>
      <w:r>
        <w:rPr>
          <w:spacing w:val="1"/>
        </w:rPr>
        <w:t>i</w:t>
      </w:r>
      <w:r>
        <w:rPr>
          <w:spacing w:val="-4"/>
        </w:rPr>
        <w:t>m</w:t>
      </w:r>
      <w:r>
        <w:t>a</w:t>
      </w:r>
      <w:r>
        <w:rPr>
          <w:spacing w:val="1"/>
        </w:rPr>
        <w:t>ti</w:t>
      </w:r>
      <w:r>
        <w:t>v 7 </w:t>
      </w:r>
      <w:r>
        <w:rPr>
          <w:spacing w:val="-3"/>
        </w:rPr>
        <w:t>µg</w:t>
      </w:r>
      <w:r>
        <w:rPr>
          <w:spacing w:val="3"/>
        </w:rPr>
        <w:t>/</w:t>
      </w:r>
      <w:r>
        <w:rPr>
          <w:spacing w:val="-4"/>
        </w:rPr>
        <w:t>m</w:t>
      </w:r>
      <w:r>
        <w:rPr>
          <w:spacing w:val="1"/>
        </w:rPr>
        <w:t>l</w:t>
      </w:r>
      <w:r>
        <w:t>.</w:t>
      </w:r>
    </w:p>
    <w:p w14:paraId="1E1AD029" w14:textId="77777777" w:rsidR="00C04CAD" w:rsidRDefault="00C04CAD">
      <w:pPr>
        <w:numPr>
          <w:ilvl w:val="12"/>
          <w:numId w:val="0"/>
        </w:numPr>
        <w:spacing w:line="240" w:lineRule="auto"/>
        <w:ind w:right="-2"/>
        <w:rPr>
          <w:u w:val="single"/>
        </w:rPr>
      </w:pPr>
    </w:p>
    <w:p w14:paraId="05B07C3B"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co</w:t>
      </w:r>
      <w:r>
        <w:rPr>
          <w:spacing w:val="-3"/>
        </w:rPr>
        <w:t>p</w:t>
      </w:r>
      <w:r>
        <w:rPr>
          <w:spacing w:val="-2"/>
        </w:rPr>
        <w:t>i</w:t>
      </w:r>
      <w:r>
        <w:t>i</w:t>
      </w:r>
      <w:r>
        <w:rPr>
          <w:spacing w:val="1"/>
        </w:rPr>
        <w:t xml:space="preserve"> </w:t>
      </w:r>
      <w:r>
        <w:t>şi</w:t>
      </w:r>
      <w:r>
        <w:rPr>
          <w:spacing w:val="-2"/>
        </w:rPr>
        <w:t xml:space="preserve"> </w:t>
      </w:r>
      <w:r>
        <w:t>ad</w:t>
      </w:r>
      <w:r>
        <w:rPr>
          <w:spacing w:val="-3"/>
        </w:rPr>
        <w:t>o</w:t>
      </w:r>
      <w:r>
        <w:rPr>
          <w:spacing w:val="1"/>
        </w:rPr>
        <w:t>l</w:t>
      </w:r>
      <w:r>
        <w:t>e</w:t>
      </w:r>
      <w:r>
        <w:rPr>
          <w:spacing w:val="-2"/>
        </w:rPr>
        <w:t>s</w:t>
      </w:r>
      <w:r>
        <w:rPr>
          <w:spacing w:val="-3"/>
        </w:rPr>
        <w:t>c</w:t>
      </w:r>
      <w:r>
        <w:t>en</w:t>
      </w:r>
      <w:r>
        <w:rPr>
          <w:spacing w:val="-2"/>
        </w:rPr>
        <w:t>ţ</w:t>
      </w:r>
      <w:r>
        <w:t>i</w:t>
      </w:r>
      <w:r>
        <w:rPr>
          <w:spacing w:val="1"/>
        </w:rPr>
        <w:t xml:space="preserve"> </w:t>
      </w:r>
      <w:r>
        <w:t>cu b</w:t>
      </w:r>
      <w:r>
        <w:rPr>
          <w:spacing w:val="-3"/>
        </w:rPr>
        <w:t>o</w:t>
      </w:r>
      <w:r>
        <w:t>a</w:t>
      </w:r>
      <w:r>
        <w:rPr>
          <w:spacing w:val="-2"/>
        </w:rPr>
        <w:t>l</w:t>
      </w:r>
      <w:r>
        <w:t xml:space="preserve">ă </w:t>
      </w:r>
      <w:r>
        <w:rPr>
          <w:spacing w:val="-1"/>
        </w:rPr>
        <w:t>C</w:t>
      </w:r>
      <w:r>
        <w:t>ro</w:t>
      </w:r>
      <w:r>
        <w:rPr>
          <w:spacing w:val="-3"/>
        </w:rPr>
        <w:t>h</w:t>
      </w:r>
      <w:r>
        <w:t xml:space="preserve">n </w:t>
      </w:r>
      <w:r>
        <w:rPr>
          <w:spacing w:val="-4"/>
        </w:rPr>
        <w:t>m</w:t>
      </w:r>
      <w:r>
        <w:t>oder</w:t>
      </w:r>
      <w:r>
        <w:rPr>
          <w:spacing w:val="-3"/>
        </w:rPr>
        <w:t>a</w:t>
      </w:r>
      <w:r>
        <w:rPr>
          <w:spacing w:val="1"/>
        </w:rPr>
        <w:t>t</w:t>
      </w:r>
      <w:r>
        <w:t>ă p</w:t>
      </w:r>
      <w:r>
        <w:rPr>
          <w:spacing w:val="-3"/>
        </w:rPr>
        <w:t>â</w:t>
      </w:r>
      <w:r>
        <w:t xml:space="preserve">nă </w:t>
      </w:r>
      <w:r>
        <w:rPr>
          <w:spacing w:val="-2"/>
        </w:rPr>
        <w:t>l</w:t>
      </w:r>
      <w:r>
        <w:t xml:space="preserve">a </w:t>
      </w:r>
      <w:r>
        <w:rPr>
          <w:spacing w:val="-2"/>
        </w:rPr>
        <w:t>s</w:t>
      </w:r>
      <w:r>
        <w:t>e</w:t>
      </w:r>
      <w:r>
        <w:rPr>
          <w:spacing w:val="-3"/>
        </w:rPr>
        <w:t>v</w:t>
      </w:r>
      <w:r>
        <w:t>eră, do</w:t>
      </w:r>
      <w:r>
        <w:rPr>
          <w:spacing w:val="-3"/>
        </w:rPr>
        <w:t>z</w:t>
      </w:r>
      <w:r>
        <w:t>a de</w:t>
      </w:r>
      <w:r>
        <w:rPr>
          <w:spacing w:val="-2"/>
        </w:rPr>
        <w:t xml:space="preserve"> i</w:t>
      </w:r>
      <w:r>
        <w:t>nduc</w:t>
      </w:r>
      <w:r>
        <w:rPr>
          <w:spacing w:val="-2"/>
        </w:rPr>
        <w:t>ţ</w:t>
      </w:r>
      <w:r>
        <w:rPr>
          <w:spacing w:val="1"/>
        </w:rPr>
        <w:t>i</w:t>
      </w:r>
      <w:r>
        <w:t xml:space="preserve">e </w:t>
      </w:r>
      <w:r>
        <w:rPr>
          <w:spacing w:val="-3"/>
        </w:rPr>
        <w:t>d</w:t>
      </w:r>
      <w:r>
        <w:t xml:space="preserve">e </w:t>
      </w:r>
      <w:r>
        <w:rPr>
          <w:spacing w:val="-2"/>
        </w:rPr>
        <w:t>t</w:t>
      </w:r>
      <w:r>
        <w:rPr>
          <w:spacing w:val="1"/>
        </w:rPr>
        <w:t>i</w:t>
      </w:r>
      <w:r>
        <w:t>p desc</w:t>
      </w:r>
      <w:r>
        <w:rPr>
          <w:spacing w:val="-3"/>
        </w:rPr>
        <w:t>h</w:t>
      </w:r>
      <w:r>
        <w:rPr>
          <w:spacing w:val="1"/>
        </w:rPr>
        <w:t>i</w:t>
      </w:r>
      <w:r>
        <w:t xml:space="preserve">s </w:t>
      </w:r>
      <w:r>
        <w:rPr>
          <w:spacing w:val="-3"/>
        </w:rPr>
        <w:t>d</w:t>
      </w:r>
      <w:r>
        <w:t>e a</w:t>
      </w:r>
      <w:r>
        <w:rPr>
          <w:spacing w:val="-3"/>
        </w:rPr>
        <w:t>d</w:t>
      </w:r>
      <w:r>
        <w:t>a</w:t>
      </w:r>
      <w:r>
        <w:rPr>
          <w:spacing w:val="-2"/>
        </w:rPr>
        <w:t>l</w:t>
      </w:r>
      <w:r>
        <w:rPr>
          <w:spacing w:val="1"/>
        </w:rPr>
        <w:t>i</w:t>
      </w:r>
      <w:r>
        <w:rPr>
          <w:spacing w:val="-4"/>
        </w:rPr>
        <w:t>m</w:t>
      </w:r>
      <w:r>
        <w:rPr>
          <w:spacing w:val="2"/>
        </w:rPr>
        <w:t>u</w:t>
      </w:r>
      <w:r>
        <w:rPr>
          <w:spacing w:val="-4"/>
        </w:rPr>
        <w:t>m</w:t>
      </w:r>
      <w:r>
        <w:t>ab a f</w:t>
      </w:r>
      <w:r>
        <w:rPr>
          <w:spacing w:val="-3"/>
        </w:rPr>
        <w:t>o</w:t>
      </w:r>
      <w:r>
        <w:t>st</w:t>
      </w:r>
      <w:r>
        <w:rPr>
          <w:spacing w:val="1"/>
        </w:rPr>
        <w:t xml:space="preserve"> </w:t>
      </w:r>
      <w:r>
        <w:t>de</w:t>
      </w:r>
      <w:r>
        <w:rPr>
          <w:spacing w:val="-2"/>
        </w:rPr>
        <w:t xml:space="preserve"> </w:t>
      </w:r>
      <w:r>
        <w:t>16</w:t>
      </w:r>
      <w:r>
        <w:rPr>
          <w:spacing w:val="-3"/>
        </w:rPr>
        <w:t>0</w:t>
      </w:r>
      <w:r>
        <w:rPr>
          <w:spacing w:val="1"/>
        </w:rPr>
        <w:t>/</w:t>
      </w:r>
      <w:r>
        <w:t>80 </w:t>
      </w:r>
      <w:r>
        <w:rPr>
          <w:spacing w:val="-4"/>
        </w:rPr>
        <w:t>m</w:t>
      </w:r>
      <w:r>
        <w:t>g</w:t>
      </w:r>
      <w:r>
        <w:rPr>
          <w:spacing w:val="-3"/>
        </w:rPr>
        <w:t xml:space="preserve"> </w:t>
      </w:r>
      <w:r>
        <w:t>sau 80</w:t>
      </w:r>
      <w:r>
        <w:rPr>
          <w:spacing w:val="1"/>
        </w:rPr>
        <w:t>/</w:t>
      </w:r>
      <w:r>
        <w:t>40</w:t>
      </w:r>
      <w:r>
        <w:rPr>
          <w:spacing w:val="-3"/>
        </w:rPr>
        <w:t> </w:t>
      </w:r>
      <w:r>
        <w:rPr>
          <w:spacing w:val="-2"/>
        </w:rPr>
        <w:t>m</w:t>
      </w:r>
      <w:r>
        <w:t>g</w:t>
      </w:r>
      <w:r>
        <w:rPr>
          <w:spacing w:val="-3"/>
        </w:rPr>
        <w:t xml:space="preserve"> </w:t>
      </w:r>
      <w:r>
        <w:rPr>
          <w:spacing w:val="1"/>
        </w:rPr>
        <w:t>î</w:t>
      </w:r>
      <w:r>
        <w:t>n săp</w:t>
      </w:r>
      <w:r>
        <w:rPr>
          <w:spacing w:val="1"/>
        </w:rPr>
        <w:t>t</w:t>
      </w:r>
      <w:r>
        <w:t>ă</w:t>
      </w:r>
      <w:r>
        <w:rPr>
          <w:spacing w:val="-4"/>
        </w:rPr>
        <w:t>m</w:t>
      </w:r>
      <w:r>
        <w:t>ân</w:t>
      </w:r>
      <w:r>
        <w:rPr>
          <w:spacing w:val="-2"/>
        </w:rPr>
        <w:t>i</w:t>
      </w:r>
      <w:r>
        <w:rPr>
          <w:spacing w:val="1"/>
        </w:rPr>
        <w:t>l</w:t>
      </w:r>
      <w:r>
        <w:t>e 0</w:t>
      </w:r>
      <w:r>
        <w:rPr>
          <w:spacing w:val="-3"/>
        </w:rPr>
        <w:t xml:space="preserve"> </w:t>
      </w:r>
      <w:r>
        <w:t>şi</w:t>
      </w:r>
      <w:r>
        <w:rPr>
          <w:spacing w:val="-2"/>
        </w:rPr>
        <w:t xml:space="preserve"> </w:t>
      </w:r>
      <w:r>
        <w:t>res</w:t>
      </w:r>
      <w:r>
        <w:rPr>
          <w:spacing w:val="-3"/>
        </w:rPr>
        <w:t>p</w:t>
      </w:r>
      <w:r>
        <w:t>ec</w:t>
      </w:r>
      <w:r>
        <w:rPr>
          <w:spacing w:val="-2"/>
        </w:rPr>
        <w:t>t</w:t>
      </w:r>
      <w:r>
        <w:rPr>
          <w:spacing w:val="1"/>
        </w:rPr>
        <w:t>i</w:t>
      </w:r>
      <w:r>
        <w:t>v</w:t>
      </w:r>
      <w:r>
        <w:rPr>
          <w:spacing w:val="-3"/>
        </w:rPr>
        <w:t xml:space="preserve"> </w:t>
      </w:r>
      <w:r>
        <w:t xml:space="preserve">2, </w:t>
      </w:r>
      <w:r>
        <w:rPr>
          <w:spacing w:val="1"/>
        </w:rPr>
        <w:t>î</w:t>
      </w:r>
      <w:r>
        <w:t xml:space="preserve">n </w:t>
      </w:r>
      <w:r>
        <w:rPr>
          <w:spacing w:val="-2"/>
        </w:rPr>
        <w:t>f</w:t>
      </w:r>
      <w:r>
        <w:t>un</w:t>
      </w:r>
      <w:r>
        <w:rPr>
          <w:spacing w:val="-3"/>
        </w:rPr>
        <w:t>c</w:t>
      </w:r>
      <w:r>
        <w:rPr>
          <w:spacing w:val="1"/>
        </w:rPr>
        <w:t>ţ</w:t>
      </w:r>
      <w:r>
        <w:rPr>
          <w:spacing w:val="-2"/>
        </w:rPr>
        <w:t>i</w:t>
      </w:r>
      <w:r>
        <w:t xml:space="preserve">e de </w:t>
      </w:r>
      <w:r>
        <w:rPr>
          <w:spacing w:val="-3"/>
        </w:rPr>
        <w:t>g</w:t>
      </w:r>
      <w:r>
        <w:t>reu</w:t>
      </w:r>
      <w:r>
        <w:rPr>
          <w:spacing w:val="1"/>
        </w:rPr>
        <w:t>t</w:t>
      </w:r>
      <w:r>
        <w:t>a</w:t>
      </w:r>
      <w:r>
        <w:rPr>
          <w:spacing w:val="-2"/>
        </w:rPr>
        <w:t>t</w:t>
      </w:r>
      <w:r>
        <w:t xml:space="preserve">ea </w:t>
      </w:r>
      <w:r>
        <w:rPr>
          <w:spacing w:val="-3"/>
        </w:rPr>
        <w:t>c</w:t>
      </w:r>
      <w:r>
        <w:t>orp</w:t>
      </w:r>
      <w:r>
        <w:rPr>
          <w:spacing w:val="-3"/>
        </w:rPr>
        <w:t>o</w:t>
      </w:r>
      <w:r>
        <w:t>r</w:t>
      </w:r>
      <w:r>
        <w:rPr>
          <w:spacing w:val="-3"/>
        </w:rPr>
        <w:t>a</w:t>
      </w:r>
      <w:r>
        <w:rPr>
          <w:spacing w:val="1"/>
        </w:rPr>
        <w:t>l</w:t>
      </w:r>
      <w:r>
        <w:t xml:space="preserve">ă </w:t>
      </w:r>
      <w:r>
        <w:rPr>
          <w:spacing w:val="-3"/>
        </w:rPr>
        <w:t>c</w:t>
      </w:r>
      <w:r>
        <w:t xml:space="preserve">u </w:t>
      </w:r>
      <w:r>
        <w:rPr>
          <w:spacing w:val="-2"/>
        </w:rPr>
        <w:t>l</w:t>
      </w:r>
      <w:r>
        <w:rPr>
          <w:spacing w:val="1"/>
        </w:rPr>
        <w:t>i</w:t>
      </w:r>
      <w:r>
        <w:rPr>
          <w:spacing w:val="-4"/>
        </w:rPr>
        <w:t>m</w:t>
      </w:r>
      <w:r>
        <w:rPr>
          <w:spacing w:val="1"/>
        </w:rPr>
        <w:t>i</w:t>
      </w:r>
      <w:r>
        <w:rPr>
          <w:spacing w:val="-2"/>
        </w:rPr>
        <w:t>t</w:t>
      </w:r>
      <w:r>
        <w:t>a de 40 </w:t>
      </w:r>
      <w:r>
        <w:rPr>
          <w:spacing w:val="-3"/>
        </w:rPr>
        <w:t>kg</w:t>
      </w:r>
      <w:r>
        <w:t>.</w:t>
      </w:r>
      <w:r>
        <w:rPr>
          <w:spacing w:val="2"/>
        </w:rPr>
        <w:t xml:space="preserve"> </w:t>
      </w:r>
      <w:r>
        <w:rPr>
          <w:spacing w:val="-4"/>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4,</w:t>
      </w:r>
      <w:r>
        <w:rPr>
          <w:spacing w:val="-3"/>
        </w:rPr>
        <w:t xml:space="preserve"> </w:t>
      </w:r>
      <w:r>
        <w:t>pac</w:t>
      </w:r>
      <w:r>
        <w:rPr>
          <w:spacing w:val="-2"/>
        </w:rPr>
        <w:t>i</w:t>
      </w:r>
      <w:r>
        <w:t>en</w:t>
      </w:r>
      <w:r>
        <w:rPr>
          <w:spacing w:val="-2"/>
        </w:rPr>
        <w:t>ţ</w:t>
      </w:r>
      <w:r>
        <w:rPr>
          <w:spacing w:val="1"/>
        </w:rPr>
        <w:t>i</w:t>
      </w:r>
      <w:r>
        <w:t>i</w:t>
      </w:r>
      <w:r>
        <w:rPr>
          <w:spacing w:val="-2"/>
        </w:rPr>
        <w:t xml:space="preserve"> </w:t>
      </w:r>
      <w:r>
        <w:t>au</w:t>
      </w:r>
      <w:r>
        <w:rPr>
          <w:spacing w:val="-3"/>
        </w:rPr>
        <w:t xml:space="preserve"> </w:t>
      </w:r>
      <w:r>
        <w:t>fo</w:t>
      </w:r>
      <w:r>
        <w:rPr>
          <w:spacing w:val="-2"/>
        </w:rPr>
        <w:t>s</w:t>
      </w:r>
      <w:r>
        <w:t>t</w:t>
      </w:r>
      <w:r>
        <w:rPr>
          <w:spacing w:val="1"/>
        </w:rPr>
        <w:t xml:space="preserve"> </w:t>
      </w:r>
      <w:r>
        <w:t>r</w:t>
      </w:r>
      <w:r>
        <w:rPr>
          <w:spacing w:val="-3"/>
        </w:rPr>
        <w:t>a</w:t>
      </w:r>
      <w:r>
        <w:t>ndo</w:t>
      </w:r>
      <w:r>
        <w:rPr>
          <w:spacing w:val="-4"/>
        </w:rPr>
        <w:t>m</w:t>
      </w:r>
      <w:r>
        <w:rPr>
          <w:spacing w:val="1"/>
        </w:rPr>
        <w:t>i</w:t>
      </w:r>
      <w:r>
        <w:rPr>
          <w:spacing w:val="-3"/>
        </w:rPr>
        <w:t>z</w:t>
      </w:r>
      <w:r>
        <w:t>a</w:t>
      </w:r>
      <w:r>
        <w:rPr>
          <w:spacing w:val="1"/>
        </w:rPr>
        <w:t>ţ</w:t>
      </w:r>
      <w:r>
        <w:t>i</w:t>
      </w:r>
      <w:r>
        <w:rPr>
          <w:spacing w:val="1"/>
        </w:rPr>
        <w:t xml:space="preserve"> </w:t>
      </w:r>
      <w:r>
        <w:rPr>
          <w:spacing w:val="-3"/>
        </w:rPr>
        <w:t>1</w:t>
      </w:r>
      <w:r>
        <w:rPr>
          <w:spacing w:val="1"/>
        </w:rPr>
        <w:t>:</w:t>
      </w:r>
      <w:r>
        <w:t>1</w:t>
      </w:r>
      <w:r>
        <w:rPr>
          <w:spacing w:val="-3"/>
        </w:rPr>
        <w:t xml:space="preserve"> </w:t>
      </w:r>
      <w:r>
        <w:rPr>
          <w:spacing w:val="1"/>
        </w:rPr>
        <w:t>î</w:t>
      </w:r>
      <w:r>
        <w:t xml:space="preserve">n </w:t>
      </w:r>
      <w:r>
        <w:rPr>
          <w:spacing w:val="-3"/>
        </w:rPr>
        <w:t>g</w:t>
      </w:r>
      <w:r>
        <w:t>rupu</w:t>
      </w:r>
      <w:r>
        <w:rPr>
          <w:spacing w:val="-2"/>
        </w:rPr>
        <w:t>r</w:t>
      </w:r>
      <w:r>
        <w:t>i</w:t>
      </w:r>
      <w:r>
        <w:rPr>
          <w:spacing w:val="1"/>
        </w:rPr>
        <w:t xml:space="preserve"> </w:t>
      </w:r>
      <w:r>
        <w:rPr>
          <w:spacing w:val="-3"/>
        </w:rPr>
        <w:t>d</w:t>
      </w:r>
      <w:r>
        <w:t xml:space="preserve">e </w:t>
      </w:r>
      <w:r>
        <w:rPr>
          <w:spacing w:val="1"/>
        </w:rPr>
        <w:t>t</w:t>
      </w:r>
      <w:r>
        <w:t>r</w:t>
      </w:r>
      <w:r>
        <w:rPr>
          <w:spacing w:val="-3"/>
        </w:rPr>
        <w:t>a</w:t>
      </w:r>
      <w:r>
        <w:rPr>
          <w:spacing w:val="1"/>
        </w:rPr>
        <w:t>t</w:t>
      </w:r>
      <w:r>
        <w:t>a</w:t>
      </w:r>
      <w:r>
        <w:rPr>
          <w:spacing w:val="-4"/>
        </w:rPr>
        <w:t>m</w:t>
      </w:r>
      <w:r>
        <w:t>ent</w:t>
      </w:r>
      <w:r>
        <w:rPr>
          <w:spacing w:val="1"/>
        </w:rPr>
        <w:t xml:space="preserve"> </w:t>
      </w:r>
      <w:r>
        <w:t>de</w:t>
      </w:r>
      <w:r>
        <w:rPr>
          <w:spacing w:val="-2"/>
        </w:rPr>
        <w:t xml:space="preserve"> </w:t>
      </w:r>
      <w:r>
        <w:rPr>
          <w:spacing w:val="1"/>
        </w:rPr>
        <w:t>î</w:t>
      </w:r>
      <w:r>
        <w:rPr>
          <w:spacing w:val="-3"/>
        </w:rPr>
        <w:t>n</w:t>
      </w:r>
      <w:r>
        <w:rPr>
          <w:spacing w:val="1"/>
        </w:rPr>
        <w:t>t</w:t>
      </w:r>
      <w:r>
        <w:t>r</w:t>
      </w:r>
      <w:r>
        <w:rPr>
          <w:spacing w:val="-3"/>
        </w:rPr>
        <w:t>e</w:t>
      </w:r>
      <w:r>
        <w:t>ț</w:t>
      </w:r>
      <w:r>
        <w:rPr>
          <w:spacing w:val="-2"/>
        </w:rPr>
        <w:t>i</w:t>
      </w:r>
      <w:r>
        <w:t>ne</w:t>
      </w:r>
      <w:r>
        <w:rPr>
          <w:spacing w:val="-2"/>
        </w:rPr>
        <w:t>r</w:t>
      </w:r>
      <w:r>
        <w:t xml:space="preserve">e </w:t>
      </w:r>
      <w:r>
        <w:rPr>
          <w:spacing w:val="1"/>
        </w:rPr>
        <w:t>î</w:t>
      </w:r>
      <w:r>
        <w:t>n</w:t>
      </w:r>
      <w:r>
        <w:rPr>
          <w:spacing w:val="-3"/>
        </w:rPr>
        <w:t xml:space="preserve"> </w:t>
      </w:r>
      <w:r>
        <w:rPr>
          <w:spacing w:val="-2"/>
        </w:rPr>
        <w:t>f</w:t>
      </w:r>
      <w:r>
        <w:t>unc</w:t>
      </w:r>
      <w:r>
        <w:rPr>
          <w:spacing w:val="-2"/>
        </w:rPr>
        <w:t>ţ</w:t>
      </w:r>
      <w:r>
        <w:rPr>
          <w:spacing w:val="1"/>
        </w:rPr>
        <w:t>i</w:t>
      </w:r>
      <w:r>
        <w:t xml:space="preserve">e </w:t>
      </w:r>
      <w:r>
        <w:rPr>
          <w:spacing w:val="-3"/>
        </w:rPr>
        <w:t>d</w:t>
      </w:r>
      <w:r>
        <w:t xml:space="preserve">e </w:t>
      </w:r>
      <w:r>
        <w:rPr>
          <w:spacing w:val="-3"/>
        </w:rPr>
        <w:t>g</w:t>
      </w:r>
      <w:r>
        <w:t>reu</w:t>
      </w:r>
      <w:r>
        <w:rPr>
          <w:spacing w:val="-2"/>
        </w:rPr>
        <w:t>t</w:t>
      </w:r>
      <w:r>
        <w:t>a</w:t>
      </w:r>
      <w:r>
        <w:rPr>
          <w:spacing w:val="1"/>
        </w:rPr>
        <w:t>t</w:t>
      </w:r>
      <w:r>
        <w:rPr>
          <w:spacing w:val="-3"/>
        </w:rPr>
        <w:t>e</w:t>
      </w:r>
      <w:r>
        <w:t>a c</w:t>
      </w:r>
      <w:r>
        <w:rPr>
          <w:spacing w:val="-3"/>
        </w:rPr>
        <w:t>o</w:t>
      </w:r>
      <w:r>
        <w:t>rp</w:t>
      </w:r>
      <w:r>
        <w:rPr>
          <w:spacing w:val="-3"/>
        </w:rPr>
        <w:t>o</w:t>
      </w:r>
      <w:r>
        <w:t>ra</w:t>
      </w:r>
      <w:r>
        <w:rPr>
          <w:spacing w:val="-2"/>
        </w:rPr>
        <w:t>l</w:t>
      </w:r>
      <w:r>
        <w:t>ă, f</w:t>
      </w:r>
      <w:r>
        <w:rPr>
          <w:spacing w:val="-2"/>
        </w:rPr>
        <w:t>i</w:t>
      </w:r>
      <w:r>
        <w:t xml:space="preserve">e </w:t>
      </w:r>
      <w:r>
        <w:rPr>
          <w:spacing w:val="-2"/>
        </w:rPr>
        <w:t>l</w:t>
      </w:r>
      <w:r>
        <w:t>a do</w:t>
      </w:r>
      <w:r>
        <w:rPr>
          <w:spacing w:val="-3"/>
        </w:rPr>
        <w:t>z</w:t>
      </w:r>
      <w:r>
        <w:t xml:space="preserve">a </w:t>
      </w:r>
      <w:r>
        <w:rPr>
          <w:spacing w:val="-2"/>
        </w:rPr>
        <w:t>s</w:t>
      </w:r>
      <w:r>
        <w:rPr>
          <w:spacing w:val="1"/>
        </w:rPr>
        <w:t>t</w:t>
      </w:r>
      <w:r>
        <w:t>an</w:t>
      </w:r>
      <w:r>
        <w:rPr>
          <w:spacing w:val="-3"/>
        </w:rPr>
        <w:t>d</w:t>
      </w:r>
      <w:r>
        <w:t>ard</w:t>
      </w:r>
      <w:r>
        <w:rPr>
          <w:spacing w:val="-3"/>
        </w:rPr>
        <w:t xml:space="preserve"> </w:t>
      </w:r>
      <w:r>
        <w:t>(4</w:t>
      </w:r>
      <w:r>
        <w:rPr>
          <w:spacing w:val="-3"/>
        </w:rPr>
        <w:t>0</w:t>
      </w:r>
      <w:r>
        <w:rPr>
          <w:spacing w:val="1"/>
        </w:rPr>
        <w:t>/</w:t>
      </w:r>
      <w:r>
        <w:rPr>
          <w:spacing w:val="-3"/>
        </w:rPr>
        <w:t>2</w:t>
      </w:r>
      <w:r>
        <w:t>0 </w:t>
      </w:r>
      <w:r>
        <w:rPr>
          <w:spacing w:val="-2"/>
        </w:rPr>
        <w:t>m</w:t>
      </w:r>
      <w:r>
        <w:t>g</w:t>
      </w:r>
      <w:r>
        <w:rPr>
          <w:spacing w:val="-3"/>
        </w:rPr>
        <w:t xml:space="preserve"> </w:t>
      </w:r>
      <w:r>
        <w:rPr>
          <w:spacing w:val="1"/>
        </w:rPr>
        <w:t>l</w:t>
      </w:r>
      <w:r>
        <w:t>a două săp</w:t>
      </w:r>
      <w:r>
        <w:rPr>
          <w:spacing w:val="-2"/>
        </w:rPr>
        <w:t>t</w:t>
      </w:r>
      <w:r>
        <w:t>ă</w:t>
      </w:r>
      <w:r>
        <w:rPr>
          <w:spacing w:val="-4"/>
        </w:rPr>
        <w:t>m</w:t>
      </w:r>
      <w:r>
        <w:t>ân</w:t>
      </w:r>
      <w:r>
        <w:rPr>
          <w:spacing w:val="1"/>
        </w:rPr>
        <w:t>i</w:t>
      </w:r>
      <w:r>
        <w:t>)</w:t>
      </w:r>
      <w:r>
        <w:rPr>
          <w:spacing w:val="1"/>
        </w:rPr>
        <w:t xml:space="preserve"> </w:t>
      </w:r>
      <w:r>
        <w:rPr>
          <w:spacing w:val="-2"/>
        </w:rPr>
        <w:t>f</w:t>
      </w:r>
      <w:r>
        <w:rPr>
          <w:spacing w:val="1"/>
        </w:rPr>
        <w:t>i</w:t>
      </w:r>
      <w:r>
        <w:t>e</w:t>
      </w:r>
      <w:r>
        <w:rPr>
          <w:spacing w:val="-2"/>
        </w:rPr>
        <w:t xml:space="preserve"> </w:t>
      </w:r>
      <w:r>
        <w:rPr>
          <w:spacing w:val="1"/>
        </w:rPr>
        <w:t>l</w:t>
      </w:r>
      <w:r>
        <w:t xml:space="preserve">a </w:t>
      </w:r>
      <w:r>
        <w:rPr>
          <w:spacing w:val="-3"/>
        </w:rPr>
        <w:t>d</w:t>
      </w:r>
      <w:r>
        <w:t>o</w:t>
      </w:r>
      <w:r>
        <w:rPr>
          <w:spacing w:val="-3"/>
        </w:rPr>
        <w:t>z</w:t>
      </w:r>
      <w:r>
        <w:t>a red</w:t>
      </w:r>
      <w:r>
        <w:rPr>
          <w:spacing w:val="-3"/>
        </w:rPr>
        <w:t>u</w:t>
      </w:r>
      <w:r>
        <w:t>să (</w:t>
      </w:r>
      <w:r>
        <w:rPr>
          <w:spacing w:val="-3"/>
        </w:rPr>
        <w:t>2</w:t>
      </w:r>
      <w:r>
        <w:t>0</w:t>
      </w:r>
      <w:r>
        <w:rPr>
          <w:spacing w:val="1"/>
        </w:rPr>
        <w:t>/</w:t>
      </w:r>
      <w:r>
        <w:t>10 </w:t>
      </w:r>
      <w:r>
        <w:rPr>
          <w:spacing w:val="-4"/>
        </w:rPr>
        <w:t>m</w:t>
      </w:r>
      <w:r>
        <w:t>g</w:t>
      </w:r>
      <w:r>
        <w:rPr>
          <w:spacing w:val="-3"/>
        </w:rPr>
        <w:t xml:space="preserve"> </w:t>
      </w:r>
      <w:r>
        <w:rPr>
          <w:spacing w:val="1"/>
        </w:rPr>
        <w:t>l</w:t>
      </w:r>
      <w:r>
        <w:t>a două</w:t>
      </w:r>
      <w:r>
        <w:rPr>
          <w:spacing w:val="-2"/>
        </w:rPr>
        <w:t xml:space="preserve"> </w:t>
      </w:r>
      <w:r>
        <w:t>să</w:t>
      </w:r>
      <w:r>
        <w:rPr>
          <w:spacing w:val="-3"/>
        </w:rPr>
        <w:t>p</w:t>
      </w:r>
      <w:r>
        <w:rPr>
          <w:spacing w:val="1"/>
        </w:rPr>
        <w:t>t</w:t>
      </w:r>
      <w:r>
        <w:rPr>
          <w:spacing w:val="-3"/>
        </w:rPr>
        <w:t>ă</w:t>
      </w:r>
      <w:r>
        <w:rPr>
          <w:spacing w:val="-4"/>
        </w:rPr>
        <w:t>m</w:t>
      </w:r>
      <w:r>
        <w:t>ân</w:t>
      </w:r>
      <w:r>
        <w:rPr>
          <w:spacing w:val="1"/>
        </w:rPr>
        <w:t>i</w:t>
      </w:r>
      <w:r>
        <w:t>). Me</w:t>
      </w:r>
      <w:r>
        <w:rPr>
          <w:spacing w:val="-3"/>
        </w:rPr>
        <w:t>d</w:t>
      </w:r>
      <w:r>
        <w:rPr>
          <w:spacing w:val="1"/>
        </w:rPr>
        <w:t>i</w:t>
      </w:r>
      <w:r>
        <w:t>a</w:t>
      </w:r>
      <w:r>
        <w:rPr>
          <w:spacing w:val="-2"/>
        </w:rPr>
        <w:t xml:space="preserve"> </w:t>
      </w:r>
      <w:r>
        <w:t>(±</w:t>
      </w:r>
      <w:r>
        <w:rPr>
          <w:spacing w:val="1"/>
        </w:rPr>
        <w:t xml:space="preserve"> </w:t>
      </w:r>
      <w:r>
        <w:rPr>
          <w:spacing w:val="-1"/>
        </w:rPr>
        <w:t>D</w:t>
      </w:r>
      <w:r>
        <w:rPr>
          <w:spacing w:val="-3"/>
        </w:rPr>
        <w:t>S</w:t>
      </w:r>
      <w:r>
        <w:t>)</w:t>
      </w:r>
      <w:r>
        <w:rPr>
          <w:spacing w:val="1"/>
        </w:rPr>
        <w:t xml:space="preserve"> </w:t>
      </w:r>
      <w:r>
        <w:t>co</w:t>
      </w:r>
      <w:r>
        <w:rPr>
          <w:spacing w:val="-3"/>
        </w:rPr>
        <w:t>n</w:t>
      </w:r>
      <w:r>
        <w:t>c</w:t>
      </w:r>
      <w:r>
        <w:rPr>
          <w:spacing w:val="-3"/>
        </w:rPr>
        <w:t>e</w:t>
      </w:r>
      <w:r>
        <w:t>n</w:t>
      </w:r>
      <w:r>
        <w:rPr>
          <w:spacing w:val="1"/>
        </w:rPr>
        <w:t>t</w:t>
      </w:r>
      <w:r>
        <w:t>r</w:t>
      </w:r>
      <w:r>
        <w:rPr>
          <w:spacing w:val="-3"/>
        </w:rPr>
        <w:t>a</w:t>
      </w:r>
      <w:r>
        <w:rPr>
          <w:spacing w:val="-2"/>
        </w:rPr>
        <w:t>ţ</w:t>
      </w:r>
      <w:r>
        <w:rPr>
          <w:spacing w:val="1"/>
        </w:rPr>
        <w:t>i</w:t>
      </w:r>
      <w:r>
        <w:rPr>
          <w:spacing w:val="-2"/>
        </w:rPr>
        <w:t>i</w:t>
      </w:r>
      <w:r>
        <w:rPr>
          <w:spacing w:val="1"/>
        </w:rPr>
        <w:t>l</w:t>
      </w:r>
      <w:r>
        <w:t>or</w:t>
      </w:r>
      <w:r>
        <w:rPr>
          <w:spacing w:val="-2"/>
        </w:rPr>
        <w:t xml:space="preserve"> </w:t>
      </w:r>
      <w:r>
        <w:t>se</w:t>
      </w:r>
      <w:r>
        <w:rPr>
          <w:spacing w:val="-2"/>
        </w:rPr>
        <w:t>r</w:t>
      </w:r>
      <w:r>
        <w:rPr>
          <w:spacing w:val="1"/>
        </w:rPr>
        <w:t>i</w:t>
      </w:r>
      <w:r>
        <w:rPr>
          <w:spacing w:val="-3"/>
        </w:rPr>
        <w:t>c</w:t>
      </w:r>
      <w:r>
        <w:t xml:space="preserve">e </w:t>
      </w:r>
      <w:r>
        <w:rPr>
          <w:spacing w:val="-4"/>
        </w:rPr>
        <w:t>m</w:t>
      </w:r>
      <w:r>
        <w:rPr>
          <w:spacing w:val="1"/>
        </w:rPr>
        <w:t>i</w:t>
      </w:r>
      <w:r>
        <w:t>n</w:t>
      </w:r>
      <w:r>
        <w:rPr>
          <w:spacing w:val="1"/>
        </w:rPr>
        <w:t>i</w:t>
      </w:r>
      <w:r>
        <w:rPr>
          <w:spacing w:val="-4"/>
        </w:rPr>
        <w:t>m</w:t>
      </w:r>
      <w:r>
        <w:t>e de ada</w:t>
      </w:r>
      <w:r>
        <w:rPr>
          <w:spacing w:val="1"/>
        </w:rPr>
        <w:t>li</w:t>
      </w:r>
      <w:r>
        <w:rPr>
          <w:spacing w:val="-4"/>
        </w:rPr>
        <w:t>m</w:t>
      </w:r>
      <w:r>
        <w:t>u</w:t>
      </w:r>
      <w:r>
        <w:rPr>
          <w:spacing w:val="-4"/>
        </w:rPr>
        <w:t>m</w:t>
      </w:r>
      <w:r>
        <w:t>ab a</w:t>
      </w:r>
      <w:r>
        <w:rPr>
          <w:spacing w:val="1"/>
        </w:rPr>
        <w:t>t</w:t>
      </w:r>
      <w:r>
        <w:rPr>
          <w:spacing w:val="-2"/>
        </w:rPr>
        <w:t>i</w:t>
      </w:r>
      <w:r>
        <w:t xml:space="preserve">nse </w:t>
      </w:r>
      <w:r>
        <w:rPr>
          <w:spacing w:val="-2"/>
        </w:rPr>
        <w:t>î</w:t>
      </w:r>
      <w:r>
        <w:t>n să</w:t>
      </w:r>
      <w:r>
        <w:rPr>
          <w:spacing w:val="-3"/>
        </w:rPr>
        <w:t>p</w:t>
      </w:r>
      <w:r>
        <w:rPr>
          <w:spacing w:val="1"/>
        </w:rPr>
        <w:t>t</w:t>
      </w:r>
      <w:r>
        <w:t>ă</w:t>
      </w:r>
      <w:r>
        <w:rPr>
          <w:spacing w:val="-4"/>
        </w:rPr>
        <w:t>m</w:t>
      </w:r>
      <w:r>
        <w:t>âna 4 a</w:t>
      </w:r>
      <w:r>
        <w:rPr>
          <w:spacing w:val="-2"/>
        </w:rPr>
        <w:t xml:space="preserve"> </w:t>
      </w:r>
      <w:r>
        <w:t>fo</w:t>
      </w:r>
      <w:r>
        <w:rPr>
          <w:spacing w:val="-2"/>
        </w:rPr>
        <w:t>s</w:t>
      </w:r>
      <w:r>
        <w:t>t</w:t>
      </w:r>
      <w:r>
        <w:rPr>
          <w:spacing w:val="1"/>
        </w:rPr>
        <w:t xml:space="preserve"> </w:t>
      </w:r>
      <w:r>
        <w:rPr>
          <w:spacing w:val="-3"/>
        </w:rPr>
        <w:t>1</w:t>
      </w:r>
      <w:r>
        <w:t>5,7 ±</w:t>
      </w:r>
      <w:r>
        <w:rPr>
          <w:spacing w:val="1"/>
        </w:rPr>
        <w:t xml:space="preserve"> </w:t>
      </w:r>
      <w:r>
        <w:rPr>
          <w:spacing w:val="-3"/>
        </w:rPr>
        <w:t>6</w:t>
      </w:r>
      <w:r>
        <w:t>,6 </w:t>
      </w:r>
      <w:r>
        <w:rPr>
          <w:spacing w:val="-3"/>
        </w:rPr>
        <w:t>µg</w:t>
      </w:r>
      <w:r>
        <w:rPr>
          <w:spacing w:val="3"/>
        </w:rPr>
        <w:t>/</w:t>
      </w:r>
      <w:r>
        <w:rPr>
          <w:spacing w:val="-4"/>
        </w:rPr>
        <w:t>m</w:t>
      </w:r>
      <w:r>
        <w:t>l</w:t>
      </w:r>
      <w:r>
        <w:rPr>
          <w:spacing w:val="1"/>
        </w:rPr>
        <w:t xml:space="preserve"> </w:t>
      </w:r>
      <w:r>
        <w:t>pen</w:t>
      </w:r>
      <w:r>
        <w:rPr>
          <w:spacing w:val="-2"/>
        </w:rPr>
        <w:t>t</w:t>
      </w:r>
      <w:r>
        <w:t>ru p</w:t>
      </w:r>
      <w:r>
        <w:rPr>
          <w:spacing w:val="-3"/>
        </w:rPr>
        <w:t>a</w:t>
      </w:r>
      <w:r>
        <w:t>c</w:t>
      </w:r>
      <w:r>
        <w:rPr>
          <w:spacing w:val="-2"/>
        </w:rPr>
        <w:t>i</w:t>
      </w:r>
      <w:r>
        <w:t>en</w:t>
      </w:r>
      <w:r>
        <w:rPr>
          <w:spacing w:val="-2"/>
        </w:rPr>
        <w:t>ţ</w:t>
      </w:r>
      <w:r>
        <w:rPr>
          <w:spacing w:val="1"/>
        </w:rPr>
        <w:t>i</w:t>
      </w:r>
      <w:r>
        <w:t>i</w:t>
      </w:r>
      <w:r>
        <w:rPr>
          <w:spacing w:val="1"/>
        </w:rPr>
        <w:t xml:space="preserve"> </w:t>
      </w:r>
      <w:r>
        <w:rPr>
          <w:spacing w:val="-3"/>
        </w:rPr>
        <w:t>c</w:t>
      </w:r>
      <w:r>
        <w:t xml:space="preserve">u </w:t>
      </w:r>
      <w:r>
        <w:rPr>
          <w:spacing w:val="-3"/>
        </w:rPr>
        <w:t>g</w:t>
      </w:r>
      <w:r>
        <w:t>reu</w:t>
      </w:r>
      <w:r>
        <w:rPr>
          <w:spacing w:val="-2"/>
        </w:rPr>
        <w:t>t</w:t>
      </w:r>
      <w:r>
        <w:t>a</w:t>
      </w:r>
      <w:r>
        <w:rPr>
          <w:spacing w:val="1"/>
        </w:rPr>
        <w:t>t</w:t>
      </w:r>
      <w:r>
        <w:rPr>
          <w:spacing w:val="-3"/>
        </w:rPr>
        <w:t>e</w:t>
      </w:r>
      <w:r>
        <w:t>a</w:t>
      </w:r>
      <w:r>
        <w:rPr>
          <w:spacing w:val="-2"/>
        </w:rPr>
        <w:t xml:space="preserve"> </w:t>
      </w:r>
      <w:r>
        <w:t>≥ 40 </w:t>
      </w:r>
      <w:r>
        <w:rPr>
          <w:spacing w:val="-3"/>
        </w:rPr>
        <w:t>k</w:t>
      </w:r>
      <w:r>
        <w:t>g</w:t>
      </w:r>
      <w:r>
        <w:rPr>
          <w:spacing w:val="-3"/>
        </w:rPr>
        <w:t xml:space="preserve"> </w:t>
      </w:r>
      <w:r>
        <w:t>(160</w:t>
      </w:r>
      <w:r>
        <w:rPr>
          <w:spacing w:val="1"/>
        </w:rPr>
        <w:t>/</w:t>
      </w:r>
      <w:r>
        <w:t>80 </w:t>
      </w:r>
      <w:r>
        <w:rPr>
          <w:spacing w:val="-4"/>
        </w:rPr>
        <w:t>m</w:t>
      </w:r>
      <w:r>
        <w:rPr>
          <w:spacing w:val="-3"/>
        </w:rPr>
        <w:t>g</w:t>
      </w:r>
      <w:r>
        <w:t>)</w:t>
      </w:r>
      <w:r>
        <w:rPr>
          <w:spacing w:val="1"/>
        </w:rPr>
        <w:t xml:space="preserve"> </w:t>
      </w:r>
      <w:r>
        <w:t>şi</w:t>
      </w:r>
      <w:r>
        <w:rPr>
          <w:spacing w:val="1"/>
        </w:rPr>
        <w:t xml:space="preserve"> </w:t>
      </w:r>
      <w:r>
        <w:t>10,6</w:t>
      </w:r>
      <w:r>
        <w:rPr>
          <w:spacing w:val="-3"/>
        </w:rPr>
        <w:t> </w:t>
      </w:r>
      <w:r>
        <w:t>±</w:t>
      </w:r>
      <w:r>
        <w:rPr>
          <w:spacing w:val="1"/>
        </w:rPr>
        <w:t> </w:t>
      </w:r>
      <w:r>
        <w:t>6,1 </w:t>
      </w:r>
      <w:r>
        <w:rPr>
          <w:spacing w:val="-3"/>
        </w:rPr>
        <w:t>µg</w:t>
      </w:r>
      <w:r>
        <w:rPr>
          <w:spacing w:val="1"/>
        </w:rPr>
        <w:t>/</w:t>
      </w:r>
      <w:r>
        <w:rPr>
          <w:spacing w:val="-4"/>
        </w:rPr>
        <w:t>m</w:t>
      </w:r>
      <w:r>
        <w:t>l</w:t>
      </w:r>
      <w:r>
        <w:rPr>
          <w:spacing w:val="1"/>
        </w:rPr>
        <w:t xml:space="preserve"> </w:t>
      </w:r>
      <w:r>
        <w:t>pen</w:t>
      </w:r>
      <w:r>
        <w:rPr>
          <w:spacing w:val="1"/>
        </w:rPr>
        <w:t>t</w:t>
      </w:r>
      <w:r>
        <w:t xml:space="preserve">ru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t xml:space="preserve">cu </w:t>
      </w:r>
      <w:r>
        <w:rPr>
          <w:spacing w:val="-3"/>
        </w:rPr>
        <w:t>g</w:t>
      </w:r>
      <w:r>
        <w:t>re</w:t>
      </w:r>
      <w:r>
        <w:rPr>
          <w:spacing w:val="-3"/>
        </w:rPr>
        <w:t>u</w:t>
      </w:r>
      <w:r>
        <w:rPr>
          <w:spacing w:val="1"/>
        </w:rPr>
        <w:t>t</w:t>
      </w:r>
      <w:r>
        <w:rPr>
          <w:spacing w:val="-3"/>
        </w:rPr>
        <w:t>a</w:t>
      </w:r>
      <w:r>
        <w:rPr>
          <w:spacing w:val="1"/>
        </w:rPr>
        <w:t>t</w:t>
      </w:r>
      <w:r>
        <w:t>ea</w:t>
      </w:r>
      <w:r>
        <w:rPr>
          <w:spacing w:val="-2"/>
        </w:rPr>
        <w:t xml:space="preserve"> </w:t>
      </w:r>
      <w:r>
        <w:t>&lt;40 </w:t>
      </w:r>
      <w:r>
        <w:rPr>
          <w:spacing w:val="-3"/>
        </w:rPr>
        <w:t>k</w:t>
      </w:r>
      <w:r>
        <w:t>g</w:t>
      </w:r>
      <w:r>
        <w:rPr>
          <w:spacing w:val="-3"/>
        </w:rPr>
        <w:t xml:space="preserve"> </w:t>
      </w:r>
      <w:r>
        <w:t>(80</w:t>
      </w:r>
      <w:r>
        <w:rPr>
          <w:spacing w:val="1"/>
        </w:rPr>
        <w:t>/</w:t>
      </w:r>
      <w:r>
        <w:rPr>
          <w:spacing w:val="-3"/>
        </w:rPr>
        <w:t>4</w:t>
      </w:r>
      <w:r>
        <w:t>0 </w:t>
      </w:r>
      <w:r>
        <w:rPr>
          <w:spacing w:val="-2"/>
        </w:rPr>
        <w:t>m</w:t>
      </w:r>
      <w:r>
        <w:rPr>
          <w:spacing w:val="-3"/>
        </w:rPr>
        <w:t>g</w:t>
      </w:r>
      <w:r>
        <w:t>).</w:t>
      </w:r>
    </w:p>
    <w:p w14:paraId="5E9A93E9" w14:textId="77777777" w:rsidR="00C04CAD" w:rsidRDefault="00C04CAD">
      <w:pPr>
        <w:tabs>
          <w:tab w:val="clear" w:pos="567"/>
        </w:tabs>
        <w:kinsoku w:val="0"/>
        <w:overflowPunct w:val="0"/>
        <w:autoSpaceDE w:val="0"/>
        <w:autoSpaceDN w:val="0"/>
        <w:adjustRightInd w:val="0"/>
        <w:spacing w:line="240" w:lineRule="auto"/>
      </w:pPr>
    </w:p>
    <w:p w14:paraId="6B293F7D"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P</w:t>
      </w:r>
      <w:r>
        <w:rPr>
          <w:szCs w:val="22"/>
        </w:rPr>
        <w:t>en</w:t>
      </w:r>
      <w:r>
        <w:rPr>
          <w:spacing w:val="1"/>
          <w:szCs w:val="22"/>
        </w:rPr>
        <w:t>t</w:t>
      </w:r>
      <w:r>
        <w:rPr>
          <w:spacing w:val="-2"/>
          <w:szCs w:val="22"/>
        </w:rPr>
        <w:t>r</w:t>
      </w:r>
      <w:r>
        <w:rPr>
          <w:szCs w:val="22"/>
        </w:rPr>
        <w:t>u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 xml:space="preserve">e au </w:t>
      </w:r>
      <w:r>
        <w:rPr>
          <w:spacing w:val="-4"/>
          <w:szCs w:val="22"/>
        </w:rPr>
        <w:t>m</w:t>
      </w:r>
      <w:r>
        <w:rPr>
          <w:szCs w:val="22"/>
        </w:rPr>
        <w:t>en</w:t>
      </w:r>
      <w:r>
        <w:rPr>
          <w:spacing w:val="1"/>
          <w:szCs w:val="22"/>
        </w:rPr>
        <w:t>ţi</w:t>
      </w:r>
      <w:r>
        <w:rPr>
          <w:spacing w:val="-3"/>
          <w:szCs w:val="22"/>
        </w:rPr>
        <w:t>n</w:t>
      </w:r>
      <w:r>
        <w:rPr>
          <w:szCs w:val="22"/>
        </w:rPr>
        <w:t>ut</w:t>
      </w:r>
      <w:r>
        <w:rPr>
          <w:spacing w:val="-2"/>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pacing w:val="-2"/>
          <w:szCs w:val="22"/>
        </w:rPr>
        <w:t>r</w:t>
      </w:r>
      <w:r>
        <w:rPr>
          <w:szCs w:val="22"/>
        </w:rPr>
        <w:t>ando</w:t>
      </w:r>
      <w:r>
        <w:rPr>
          <w:spacing w:val="-4"/>
          <w:szCs w:val="22"/>
        </w:rPr>
        <w:t>m</w:t>
      </w:r>
      <w:r>
        <w:rPr>
          <w:spacing w:val="1"/>
          <w:szCs w:val="22"/>
        </w:rPr>
        <w:t>i</w:t>
      </w:r>
      <w:r>
        <w:rPr>
          <w:spacing w:val="-3"/>
          <w:szCs w:val="22"/>
        </w:rPr>
        <w:t>z</w:t>
      </w:r>
      <w:r>
        <w:rPr>
          <w:szCs w:val="22"/>
        </w:rPr>
        <w:t>a</w:t>
      </w:r>
      <w:r>
        <w:rPr>
          <w:spacing w:val="1"/>
          <w:szCs w:val="22"/>
        </w:rPr>
        <w:t>t</w:t>
      </w:r>
      <w:r>
        <w:rPr>
          <w:szCs w:val="22"/>
        </w:rPr>
        <w:t xml:space="preserve">, </w:t>
      </w:r>
      <w:r>
        <w:rPr>
          <w:spacing w:val="-4"/>
          <w:szCs w:val="22"/>
        </w:rPr>
        <w:t>m</w:t>
      </w:r>
      <w:r>
        <w:rPr>
          <w:szCs w:val="22"/>
        </w:rPr>
        <w:t>ed</w:t>
      </w:r>
      <w:r>
        <w:rPr>
          <w:spacing w:val="1"/>
          <w:szCs w:val="22"/>
        </w:rPr>
        <w:t>i</w:t>
      </w:r>
      <w:r>
        <w:rPr>
          <w:szCs w:val="22"/>
        </w:rPr>
        <w:t>a</w:t>
      </w:r>
      <w:r>
        <w:rPr>
          <w:spacing w:val="-2"/>
          <w:szCs w:val="22"/>
        </w:rPr>
        <w:t xml:space="preserve"> </w:t>
      </w:r>
      <w:r>
        <w:rPr>
          <w:szCs w:val="22"/>
        </w:rPr>
        <w:t>(±</w:t>
      </w:r>
      <w:r>
        <w:rPr>
          <w:spacing w:val="1"/>
          <w:szCs w:val="22"/>
        </w:rPr>
        <w:t xml:space="preserve"> </w:t>
      </w:r>
      <w:r>
        <w:rPr>
          <w:spacing w:val="-1"/>
          <w:szCs w:val="22"/>
        </w:rPr>
        <w:t>D</w:t>
      </w:r>
      <w:r>
        <w:rPr>
          <w:spacing w:val="-3"/>
          <w:szCs w:val="22"/>
        </w:rPr>
        <w:t>S</w:t>
      </w:r>
      <w:r>
        <w:rPr>
          <w:szCs w:val="22"/>
        </w:rPr>
        <w:t>)</w:t>
      </w:r>
      <w:r>
        <w:rPr>
          <w:spacing w:val="1"/>
          <w:szCs w:val="22"/>
        </w:rPr>
        <w:t xml:space="preserve"> </w:t>
      </w:r>
      <w:r>
        <w:rPr>
          <w:szCs w:val="22"/>
        </w:rPr>
        <w:t>co</w:t>
      </w:r>
      <w:r>
        <w:rPr>
          <w:spacing w:val="-3"/>
          <w:szCs w:val="22"/>
        </w:rPr>
        <w:t>n</w:t>
      </w:r>
      <w:r>
        <w:rPr>
          <w:szCs w:val="22"/>
        </w:rPr>
        <w:t>ce</w:t>
      </w:r>
      <w:r>
        <w:rPr>
          <w:spacing w:val="-3"/>
          <w:szCs w:val="22"/>
        </w:rPr>
        <w:t>n</w:t>
      </w:r>
      <w:r>
        <w:rPr>
          <w:spacing w:val="1"/>
          <w:szCs w:val="22"/>
        </w:rPr>
        <w:t>t</w:t>
      </w:r>
      <w:r>
        <w:rPr>
          <w:szCs w:val="22"/>
        </w:rPr>
        <w:t>r</w:t>
      </w:r>
      <w:r>
        <w:rPr>
          <w:spacing w:val="-3"/>
          <w:szCs w:val="22"/>
        </w:rPr>
        <w:t>a</w:t>
      </w:r>
      <w:r>
        <w:rPr>
          <w:spacing w:val="-2"/>
          <w:szCs w:val="22"/>
        </w:rPr>
        <w:t>ţ</w:t>
      </w:r>
      <w:r>
        <w:rPr>
          <w:spacing w:val="1"/>
          <w:szCs w:val="22"/>
        </w:rPr>
        <w:t>i</w:t>
      </w:r>
      <w:r>
        <w:rPr>
          <w:spacing w:val="-2"/>
          <w:szCs w:val="22"/>
        </w:rPr>
        <w:t>i</w:t>
      </w:r>
      <w:r>
        <w:rPr>
          <w:spacing w:val="1"/>
          <w:szCs w:val="22"/>
        </w:rPr>
        <w:t>l</w:t>
      </w:r>
      <w:r>
        <w:rPr>
          <w:szCs w:val="22"/>
        </w:rPr>
        <w:t>or</w:t>
      </w:r>
      <w:r>
        <w:rPr>
          <w:spacing w:val="1"/>
          <w:szCs w:val="22"/>
        </w:rPr>
        <w:t xml:space="preserve"> </w:t>
      </w:r>
      <w:r>
        <w:rPr>
          <w:spacing w:val="-4"/>
          <w:szCs w:val="22"/>
        </w:rPr>
        <w:t>m</w:t>
      </w:r>
      <w:r>
        <w:rPr>
          <w:spacing w:val="1"/>
          <w:szCs w:val="22"/>
        </w:rPr>
        <w:t>i</w:t>
      </w:r>
      <w:r>
        <w:rPr>
          <w:szCs w:val="22"/>
        </w:rPr>
        <w:t>n</w:t>
      </w:r>
      <w:r>
        <w:rPr>
          <w:spacing w:val="1"/>
          <w:szCs w:val="22"/>
        </w:rPr>
        <w:t>i</w:t>
      </w:r>
      <w:r>
        <w:rPr>
          <w:spacing w:val="-4"/>
          <w:szCs w:val="22"/>
        </w:rPr>
        <w:t>m</w:t>
      </w:r>
      <w:r>
        <w:rPr>
          <w:szCs w:val="22"/>
        </w:rPr>
        <w:t>e de 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 xml:space="preserve">ab </w:t>
      </w:r>
      <w:r>
        <w:rPr>
          <w:spacing w:val="1"/>
          <w:szCs w:val="22"/>
        </w:rPr>
        <w:t>î</w:t>
      </w:r>
      <w:r>
        <w:rPr>
          <w:szCs w:val="22"/>
        </w:rPr>
        <w:t>n s</w:t>
      </w:r>
      <w:r>
        <w:rPr>
          <w:spacing w:val="-3"/>
          <w:szCs w:val="22"/>
        </w:rPr>
        <w:t>ă</w:t>
      </w:r>
      <w:r>
        <w:rPr>
          <w:szCs w:val="22"/>
        </w:rPr>
        <w:t>p</w:t>
      </w:r>
      <w:r>
        <w:rPr>
          <w:spacing w:val="1"/>
          <w:szCs w:val="22"/>
        </w:rPr>
        <w:t>t</w:t>
      </w:r>
      <w:r>
        <w:rPr>
          <w:szCs w:val="22"/>
        </w:rPr>
        <w:t>ă</w:t>
      </w:r>
      <w:r>
        <w:rPr>
          <w:spacing w:val="-4"/>
          <w:szCs w:val="22"/>
        </w:rPr>
        <w:t>m</w:t>
      </w:r>
      <w:r>
        <w:rPr>
          <w:szCs w:val="22"/>
        </w:rPr>
        <w:t>âna</w:t>
      </w:r>
      <w:r>
        <w:rPr>
          <w:spacing w:val="-2"/>
          <w:szCs w:val="22"/>
        </w:rPr>
        <w:t xml:space="preserve"> </w:t>
      </w:r>
      <w:r>
        <w:rPr>
          <w:szCs w:val="22"/>
        </w:rPr>
        <w:t>52 a f</w:t>
      </w:r>
      <w:r>
        <w:rPr>
          <w:spacing w:val="-3"/>
          <w:szCs w:val="22"/>
        </w:rPr>
        <w:t>o</w:t>
      </w:r>
      <w:r>
        <w:rPr>
          <w:szCs w:val="22"/>
        </w:rPr>
        <w:t>st</w:t>
      </w:r>
      <w:r>
        <w:rPr>
          <w:spacing w:val="-2"/>
          <w:szCs w:val="22"/>
        </w:rPr>
        <w:t xml:space="preserve"> </w:t>
      </w:r>
      <w:r>
        <w:rPr>
          <w:szCs w:val="22"/>
        </w:rPr>
        <w:t>9,5</w:t>
      </w:r>
      <w:r>
        <w:rPr>
          <w:spacing w:val="-3"/>
          <w:szCs w:val="22"/>
        </w:rPr>
        <w:t xml:space="preserve"> </w:t>
      </w:r>
      <w:r>
        <w:rPr>
          <w:szCs w:val="22"/>
        </w:rPr>
        <w:t>±</w:t>
      </w:r>
      <w:r>
        <w:rPr>
          <w:spacing w:val="1"/>
          <w:szCs w:val="22"/>
        </w:rPr>
        <w:t xml:space="preserve"> </w:t>
      </w:r>
      <w:r>
        <w:rPr>
          <w:szCs w:val="22"/>
        </w:rPr>
        <w:t>5,6 </w:t>
      </w:r>
      <w:r>
        <w:rPr>
          <w:spacing w:val="-3"/>
          <w:szCs w:val="22"/>
        </w:rPr>
        <w:t>µg</w:t>
      </w:r>
      <w:r>
        <w:rPr>
          <w:spacing w:val="1"/>
          <w:szCs w:val="22"/>
        </w:rPr>
        <w:t>/</w:t>
      </w:r>
      <w:r>
        <w:rPr>
          <w:spacing w:val="-4"/>
          <w:szCs w:val="22"/>
        </w:rPr>
        <w:t>m</w:t>
      </w:r>
      <w:r>
        <w:rPr>
          <w:szCs w:val="22"/>
        </w:rPr>
        <w:t>l</w:t>
      </w:r>
      <w:r>
        <w:rPr>
          <w:spacing w:val="1"/>
          <w:szCs w:val="22"/>
        </w:rPr>
        <w:t xml:space="preserve"> </w:t>
      </w:r>
      <w:r>
        <w:rPr>
          <w:szCs w:val="22"/>
        </w:rPr>
        <w:t>pen</w:t>
      </w:r>
      <w:r>
        <w:rPr>
          <w:spacing w:val="1"/>
          <w:szCs w:val="22"/>
        </w:rPr>
        <w:t>t</w:t>
      </w:r>
      <w:r>
        <w:rPr>
          <w:szCs w:val="22"/>
        </w:rPr>
        <w:t xml:space="preserve">ru </w:t>
      </w:r>
      <w:r>
        <w:rPr>
          <w:spacing w:val="-3"/>
          <w:szCs w:val="22"/>
        </w:rPr>
        <w:t>g</w:t>
      </w:r>
      <w:r>
        <w:rPr>
          <w:szCs w:val="22"/>
        </w:rPr>
        <w:t>ru</w:t>
      </w:r>
      <w:r>
        <w:rPr>
          <w:spacing w:val="-3"/>
          <w:szCs w:val="22"/>
        </w:rPr>
        <w:t>p</w:t>
      </w:r>
      <w:r>
        <w:rPr>
          <w:szCs w:val="22"/>
        </w:rPr>
        <w:t>ul</w:t>
      </w:r>
      <w:r>
        <w:rPr>
          <w:spacing w:val="1"/>
          <w:szCs w:val="22"/>
        </w:rPr>
        <w:t xml:space="preserve"> </w:t>
      </w:r>
      <w:r>
        <w:rPr>
          <w:spacing w:val="-3"/>
          <w:szCs w:val="22"/>
        </w:rPr>
        <w:t>c</w:t>
      </w:r>
      <w:r>
        <w:rPr>
          <w:szCs w:val="22"/>
        </w:rPr>
        <w:t>u do</w:t>
      </w:r>
      <w:r>
        <w:rPr>
          <w:spacing w:val="-3"/>
          <w:szCs w:val="22"/>
        </w:rPr>
        <w:t>z</w:t>
      </w:r>
      <w:r>
        <w:rPr>
          <w:szCs w:val="22"/>
        </w:rPr>
        <w:t xml:space="preserve">ă </w:t>
      </w:r>
      <w:r>
        <w:rPr>
          <w:spacing w:val="-2"/>
          <w:szCs w:val="22"/>
        </w:rPr>
        <w:t>s</w:t>
      </w:r>
      <w:r>
        <w:rPr>
          <w:spacing w:val="1"/>
          <w:szCs w:val="22"/>
        </w:rPr>
        <w:t>t</w:t>
      </w:r>
      <w:r>
        <w:rPr>
          <w:szCs w:val="22"/>
        </w:rPr>
        <w:t>an</w:t>
      </w:r>
      <w:r>
        <w:rPr>
          <w:spacing w:val="-3"/>
          <w:szCs w:val="22"/>
        </w:rPr>
        <w:t>d</w:t>
      </w:r>
      <w:r>
        <w:rPr>
          <w:szCs w:val="22"/>
        </w:rPr>
        <w:t>a</w:t>
      </w:r>
      <w:r>
        <w:rPr>
          <w:spacing w:val="-2"/>
          <w:szCs w:val="22"/>
        </w:rPr>
        <w:t>r</w:t>
      </w:r>
      <w:r>
        <w:rPr>
          <w:szCs w:val="22"/>
        </w:rPr>
        <w:t>d şi</w:t>
      </w:r>
      <w:r>
        <w:rPr>
          <w:spacing w:val="1"/>
          <w:szCs w:val="22"/>
        </w:rPr>
        <w:t xml:space="preserve"> </w:t>
      </w:r>
      <w:r>
        <w:rPr>
          <w:szCs w:val="22"/>
        </w:rPr>
        <w:t>3</w:t>
      </w:r>
      <w:r>
        <w:rPr>
          <w:spacing w:val="-3"/>
          <w:szCs w:val="22"/>
        </w:rPr>
        <w:t>,</w:t>
      </w:r>
      <w:r>
        <w:rPr>
          <w:szCs w:val="22"/>
        </w:rPr>
        <w:t>5 ±</w:t>
      </w:r>
      <w:r>
        <w:rPr>
          <w:spacing w:val="-1"/>
          <w:szCs w:val="22"/>
        </w:rPr>
        <w:t xml:space="preserve"> </w:t>
      </w:r>
      <w:r>
        <w:rPr>
          <w:szCs w:val="22"/>
        </w:rPr>
        <w:t>2,2 </w:t>
      </w:r>
      <w:r>
        <w:rPr>
          <w:spacing w:val="-3"/>
          <w:szCs w:val="22"/>
        </w:rPr>
        <w:t>µg</w:t>
      </w:r>
      <w:r>
        <w:rPr>
          <w:spacing w:val="1"/>
          <w:szCs w:val="22"/>
        </w:rPr>
        <w:t>/</w:t>
      </w:r>
      <w:r>
        <w:rPr>
          <w:spacing w:val="-4"/>
          <w:szCs w:val="22"/>
        </w:rPr>
        <w:t>m</w:t>
      </w:r>
      <w:r>
        <w:rPr>
          <w:szCs w:val="22"/>
        </w:rPr>
        <w:t>l pen</w:t>
      </w:r>
      <w:r>
        <w:rPr>
          <w:spacing w:val="-2"/>
          <w:szCs w:val="22"/>
        </w:rPr>
        <w:t>t</w:t>
      </w:r>
      <w:r>
        <w:rPr>
          <w:szCs w:val="22"/>
        </w:rPr>
        <w:t xml:space="preserve">ru </w:t>
      </w:r>
      <w:r>
        <w:rPr>
          <w:spacing w:val="-3"/>
          <w:szCs w:val="22"/>
        </w:rPr>
        <w:t>g</w:t>
      </w:r>
      <w:r>
        <w:rPr>
          <w:szCs w:val="22"/>
        </w:rPr>
        <w:t>rup</w:t>
      </w:r>
      <w:r>
        <w:rPr>
          <w:spacing w:val="-3"/>
          <w:szCs w:val="22"/>
        </w:rPr>
        <w:t>u</w:t>
      </w:r>
      <w:r>
        <w:rPr>
          <w:szCs w:val="22"/>
        </w:rPr>
        <w:t>l</w:t>
      </w:r>
      <w:r>
        <w:rPr>
          <w:spacing w:val="1"/>
          <w:szCs w:val="22"/>
        </w:rPr>
        <w:t xml:space="preserve"> </w:t>
      </w:r>
      <w:r>
        <w:rPr>
          <w:szCs w:val="22"/>
        </w:rPr>
        <w:t xml:space="preserve">cu </w:t>
      </w:r>
      <w:r>
        <w:rPr>
          <w:spacing w:val="-3"/>
          <w:szCs w:val="22"/>
        </w:rPr>
        <w:t>d</w:t>
      </w:r>
      <w:r>
        <w:rPr>
          <w:szCs w:val="22"/>
        </w:rPr>
        <w:t>o</w:t>
      </w:r>
      <w:r>
        <w:rPr>
          <w:spacing w:val="-3"/>
          <w:szCs w:val="22"/>
        </w:rPr>
        <w:t>z</w:t>
      </w:r>
      <w:r>
        <w:rPr>
          <w:szCs w:val="22"/>
        </w:rPr>
        <w:t>ă red</w:t>
      </w:r>
      <w:r>
        <w:rPr>
          <w:spacing w:val="-3"/>
          <w:szCs w:val="22"/>
        </w:rPr>
        <w:t>u</w:t>
      </w:r>
      <w:r>
        <w:rPr>
          <w:spacing w:val="-2"/>
          <w:szCs w:val="22"/>
        </w:rPr>
        <w:t>s</w:t>
      </w:r>
      <w:r>
        <w:rPr>
          <w:szCs w:val="22"/>
        </w:rPr>
        <w:t xml:space="preserve">ă. </w:t>
      </w:r>
      <w:r>
        <w:rPr>
          <w:spacing w:val="-1"/>
          <w:szCs w:val="22"/>
        </w:rPr>
        <w:t>C</w:t>
      </w:r>
      <w:r>
        <w:rPr>
          <w:szCs w:val="22"/>
        </w:rPr>
        <w:t>once</w:t>
      </w:r>
      <w:r>
        <w:rPr>
          <w:spacing w:val="-3"/>
          <w:szCs w:val="22"/>
        </w:rPr>
        <w:t>n</w:t>
      </w:r>
      <w:r>
        <w:rPr>
          <w:spacing w:val="1"/>
          <w:szCs w:val="22"/>
        </w:rPr>
        <w:t>t</w:t>
      </w:r>
      <w:r>
        <w:rPr>
          <w:spacing w:val="-2"/>
          <w:szCs w:val="22"/>
        </w:rPr>
        <w:t>r</w:t>
      </w:r>
      <w:r>
        <w:rPr>
          <w:szCs w:val="22"/>
        </w:rPr>
        <w:t>a</w:t>
      </w:r>
      <w:r>
        <w:rPr>
          <w:spacing w:val="-2"/>
          <w:szCs w:val="22"/>
        </w:rPr>
        <w:t>ţ</w:t>
      </w:r>
      <w:r>
        <w:rPr>
          <w:spacing w:val="1"/>
          <w:szCs w:val="22"/>
        </w:rPr>
        <w:t>i</w:t>
      </w:r>
      <w:r>
        <w:rPr>
          <w:spacing w:val="-2"/>
          <w:szCs w:val="22"/>
        </w:rPr>
        <w:t>i</w:t>
      </w:r>
      <w:r>
        <w:rPr>
          <w:spacing w:val="1"/>
          <w:szCs w:val="22"/>
        </w:rPr>
        <w:t>l</w:t>
      </w:r>
      <w:r>
        <w:rPr>
          <w:szCs w:val="22"/>
        </w:rPr>
        <w:t xml:space="preserve">e </w:t>
      </w:r>
      <w:r>
        <w:rPr>
          <w:spacing w:val="-4"/>
          <w:szCs w:val="22"/>
        </w:rPr>
        <w:t>m</w:t>
      </w:r>
      <w:r>
        <w:rPr>
          <w:szCs w:val="22"/>
        </w:rPr>
        <w:t>ed</w:t>
      </w:r>
      <w:r>
        <w:rPr>
          <w:spacing w:val="1"/>
          <w:szCs w:val="22"/>
        </w:rPr>
        <w:t>i</w:t>
      </w:r>
      <w:r>
        <w:rPr>
          <w:szCs w:val="22"/>
        </w:rPr>
        <w:t>i</w:t>
      </w:r>
      <w:r>
        <w:rPr>
          <w:spacing w:val="-2"/>
          <w:szCs w:val="22"/>
        </w:rPr>
        <w:t xml:space="preserve"> </w:t>
      </w:r>
      <w:r>
        <w:rPr>
          <w:spacing w:val="-4"/>
          <w:szCs w:val="22"/>
        </w:rPr>
        <w:t>m</w:t>
      </w:r>
      <w:r>
        <w:rPr>
          <w:spacing w:val="1"/>
          <w:szCs w:val="22"/>
        </w:rPr>
        <w:t>i</w:t>
      </w:r>
      <w:r>
        <w:rPr>
          <w:szCs w:val="22"/>
        </w:rPr>
        <w:t>n</w:t>
      </w:r>
      <w:r>
        <w:rPr>
          <w:spacing w:val="1"/>
          <w:szCs w:val="22"/>
        </w:rPr>
        <w:t>i</w:t>
      </w:r>
      <w:r>
        <w:rPr>
          <w:spacing w:val="-4"/>
          <w:szCs w:val="22"/>
        </w:rPr>
        <w:t>m</w:t>
      </w:r>
      <w:r>
        <w:rPr>
          <w:szCs w:val="22"/>
        </w:rPr>
        <w:t>e au fo</w:t>
      </w:r>
      <w:r>
        <w:rPr>
          <w:spacing w:val="-2"/>
          <w:szCs w:val="22"/>
        </w:rPr>
        <w:t>s</w:t>
      </w:r>
      <w:r>
        <w:rPr>
          <w:szCs w:val="22"/>
        </w:rPr>
        <w:t>t</w:t>
      </w:r>
      <w:r>
        <w:rPr>
          <w:spacing w:val="1"/>
          <w:szCs w:val="22"/>
        </w:rPr>
        <w:t xml:space="preserve"> </w:t>
      </w:r>
      <w:r>
        <w:rPr>
          <w:spacing w:val="-4"/>
          <w:szCs w:val="22"/>
        </w:rPr>
        <w:t>m</w:t>
      </w:r>
      <w:r>
        <w:rPr>
          <w:szCs w:val="22"/>
        </w:rPr>
        <w:t>en</w:t>
      </w:r>
      <w:r>
        <w:rPr>
          <w:spacing w:val="1"/>
          <w:szCs w:val="22"/>
        </w:rPr>
        <w:t>ţi</w:t>
      </w:r>
      <w:r>
        <w:rPr>
          <w:szCs w:val="22"/>
        </w:rPr>
        <w:t>n</w:t>
      </w:r>
      <w:r>
        <w:rPr>
          <w:spacing w:val="-3"/>
          <w:szCs w:val="22"/>
        </w:rPr>
        <w:t>u</w:t>
      </w:r>
      <w:r>
        <w:rPr>
          <w:spacing w:val="1"/>
          <w:szCs w:val="22"/>
        </w:rPr>
        <w:t>t</w:t>
      </w:r>
      <w:r>
        <w:rPr>
          <w:szCs w:val="22"/>
        </w:rPr>
        <w:t>e</w:t>
      </w:r>
      <w:r>
        <w:rPr>
          <w:spacing w:val="-2"/>
          <w:szCs w:val="22"/>
        </w:rPr>
        <w:t xml:space="preserve"> </w:t>
      </w:r>
      <w:r>
        <w:rPr>
          <w:spacing w:val="1"/>
          <w:szCs w:val="22"/>
        </w:rPr>
        <w:t>l</w:t>
      </w:r>
      <w:r>
        <w:rPr>
          <w:szCs w:val="22"/>
        </w:rPr>
        <w:t xml:space="preserve">a </w:t>
      </w:r>
      <w:r>
        <w:rPr>
          <w:spacing w:val="-3"/>
          <w:szCs w:val="22"/>
        </w:rPr>
        <w:t>pa</w:t>
      </w:r>
      <w:r>
        <w:rPr>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pacing w:val="-3"/>
          <w:szCs w:val="22"/>
        </w:rPr>
        <w:t>c</w:t>
      </w:r>
      <w:r>
        <w:rPr>
          <w:szCs w:val="22"/>
        </w:rPr>
        <w:t>are</w:t>
      </w:r>
      <w:r>
        <w:rPr>
          <w:spacing w:val="-2"/>
          <w:szCs w:val="22"/>
        </w:rPr>
        <w:t xml:space="preserve"> </w:t>
      </w:r>
      <w:r>
        <w:rPr>
          <w:szCs w:val="22"/>
        </w:rPr>
        <w:t>au con</w:t>
      </w:r>
      <w:r>
        <w:rPr>
          <w:spacing w:val="-2"/>
          <w:szCs w:val="22"/>
        </w:rPr>
        <w:t>t</w:t>
      </w:r>
      <w:r>
        <w:rPr>
          <w:spacing w:val="1"/>
          <w:szCs w:val="22"/>
        </w:rPr>
        <w:t>i</w:t>
      </w:r>
      <w:r>
        <w:rPr>
          <w:szCs w:val="22"/>
        </w:rPr>
        <w:t>nu</w:t>
      </w:r>
      <w:r>
        <w:rPr>
          <w:spacing w:val="-3"/>
          <w:szCs w:val="22"/>
        </w:rPr>
        <w:t>a</w:t>
      </w:r>
      <w:r>
        <w:rPr>
          <w:szCs w:val="22"/>
        </w:rPr>
        <w:t>t</w:t>
      </w:r>
      <w:r>
        <w:rPr>
          <w:spacing w:val="1"/>
          <w:szCs w:val="22"/>
        </w:rPr>
        <w:t xml:space="preserve"> </w:t>
      </w:r>
      <w:r>
        <w:rPr>
          <w:spacing w:val="-2"/>
          <w:szCs w:val="22"/>
        </w:rPr>
        <w:t>s</w:t>
      </w:r>
      <w:r>
        <w:rPr>
          <w:szCs w:val="22"/>
        </w:rPr>
        <w:t>ă p</w:t>
      </w:r>
      <w:r>
        <w:rPr>
          <w:spacing w:val="-2"/>
          <w:szCs w:val="22"/>
        </w:rPr>
        <w:t>r</w:t>
      </w:r>
      <w:r>
        <w:rPr>
          <w:spacing w:val="1"/>
          <w:szCs w:val="22"/>
        </w:rPr>
        <w:t>i</w:t>
      </w:r>
      <w:r>
        <w:rPr>
          <w:spacing w:val="-4"/>
          <w:szCs w:val="22"/>
        </w:rPr>
        <w:t>m</w:t>
      </w:r>
      <w:r>
        <w:rPr>
          <w:szCs w:val="22"/>
        </w:rPr>
        <w:t>ească</w:t>
      </w:r>
      <w:r>
        <w:rPr>
          <w:spacing w:val="-2"/>
          <w:szCs w:val="22"/>
        </w:rPr>
        <w:t xml:space="preserve"> </w:t>
      </w:r>
      <w:r>
        <w:rPr>
          <w:spacing w:val="1"/>
          <w:szCs w:val="22"/>
        </w:rPr>
        <w:t>t</w:t>
      </w:r>
      <w:r>
        <w:rPr>
          <w:szCs w:val="22"/>
        </w:rPr>
        <w:t>r</w:t>
      </w:r>
      <w:r>
        <w:rPr>
          <w:spacing w:val="-3"/>
          <w:szCs w:val="22"/>
        </w:rPr>
        <w:t>a</w:t>
      </w:r>
      <w:r>
        <w:rPr>
          <w:spacing w:val="1"/>
          <w:szCs w:val="22"/>
        </w:rPr>
        <w:t>t</w:t>
      </w:r>
      <w:r>
        <w:rPr>
          <w:spacing w:val="-3"/>
          <w:szCs w:val="22"/>
        </w:rPr>
        <w:t>a</w:t>
      </w:r>
      <w:r>
        <w:rPr>
          <w:spacing w:val="-4"/>
          <w:szCs w:val="22"/>
        </w:rPr>
        <w:t>m</w:t>
      </w:r>
      <w:r>
        <w:rPr>
          <w:szCs w:val="22"/>
        </w:rPr>
        <w:t>ent</w:t>
      </w:r>
      <w:r>
        <w:rPr>
          <w:spacing w:val="1"/>
          <w:szCs w:val="22"/>
        </w:rPr>
        <w:t xml:space="preserve"> </w:t>
      </w:r>
      <w:r>
        <w:rPr>
          <w:szCs w:val="22"/>
        </w:rPr>
        <w:t>cu ad</w:t>
      </w:r>
      <w:r>
        <w:rPr>
          <w:spacing w:val="-3"/>
          <w:szCs w:val="22"/>
        </w:rPr>
        <w:t>a</w:t>
      </w:r>
      <w:r>
        <w:rPr>
          <w:spacing w:val="1"/>
          <w:szCs w:val="22"/>
        </w:rPr>
        <w:t>li</w:t>
      </w:r>
      <w:r>
        <w:rPr>
          <w:spacing w:val="-4"/>
          <w:szCs w:val="22"/>
        </w:rPr>
        <w:t>m</w:t>
      </w:r>
      <w:r>
        <w:rPr>
          <w:szCs w:val="22"/>
        </w:rPr>
        <w:t>u</w:t>
      </w:r>
      <w:r>
        <w:rPr>
          <w:spacing w:val="-4"/>
          <w:szCs w:val="22"/>
        </w:rPr>
        <w:t>m</w:t>
      </w:r>
      <w:r>
        <w:rPr>
          <w:szCs w:val="22"/>
        </w:rPr>
        <w:t>ab o da</w:t>
      </w:r>
      <w:r>
        <w:rPr>
          <w:spacing w:val="1"/>
          <w:szCs w:val="22"/>
        </w:rPr>
        <w:t>t</w:t>
      </w:r>
      <w:r>
        <w:rPr>
          <w:szCs w:val="22"/>
        </w:rPr>
        <w:t>ă</w:t>
      </w:r>
      <w:r>
        <w:rPr>
          <w:spacing w:val="-2"/>
          <w:szCs w:val="22"/>
        </w:rPr>
        <w:t xml:space="preserve"> </w:t>
      </w:r>
      <w:r>
        <w:rPr>
          <w:spacing w:val="1"/>
          <w:szCs w:val="22"/>
        </w:rPr>
        <w:t>l</w:t>
      </w:r>
      <w:r>
        <w:rPr>
          <w:szCs w:val="22"/>
        </w:rPr>
        <w:t>a do</w:t>
      </w:r>
      <w:r>
        <w:rPr>
          <w:spacing w:val="-3"/>
          <w:szCs w:val="22"/>
        </w:rPr>
        <w:t>u</w:t>
      </w:r>
      <w:r>
        <w:rPr>
          <w:szCs w:val="22"/>
        </w:rPr>
        <w:t xml:space="preserve">ă </w:t>
      </w:r>
      <w:r>
        <w:rPr>
          <w:spacing w:val="-2"/>
          <w:szCs w:val="22"/>
        </w:rPr>
        <w:t>s</w:t>
      </w:r>
      <w:r>
        <w:rPr>
          <w:szCs w:val="22"/>
        </w:rPr>
        <w:t>ăp</w:t>
      </w:r>
      <w:r>
        <w:rPr>
          <w:spacing w:val="-2"/>
          <w:szCs w:val="22"/>
        </w:rPr>
        <w:t>t</w:t>
      </w:r>
      <w:r>
        <w:rPr>
          <w:szCs w:val="22"/>
        </w:rPr>
        <w:t>ă</w:t>
      </w:r>
      <w:r>
        <w:rPr>
          <w:spacing w:val="-4"/>
          <w:szCs w:val="22"/>
        </w:rPr>
        <w:t>m</w:t>
      </w:r>
      <w:r>
        <w:rPr>
          <w:szCs w:val="22"/>
        </w:rPr>
        <w:t>âni</w:t>
      </w:r>
      <w:r>
        <w:rPr>
          <w:spacing w:val="1"/>
          <w:szCs w:val="22"/>
        </w:rPr>
        <w:t xml:space="preserve"> ti</w:t>
      </w:r>
      <w:r>
        <w:rPr>
          <w:spacing w:val="-4"/>
          <w:szCs w:val="22"/>
        </w:rPr>
        <w:t>m</w:t>
      </w:r>
      <w:r>
        <w:rPr>
          <w:szCs w:val="22"/>
        </w:rPr>
        <w:t>p de</w:t>
      </w:r>
      <w:r>
        <w:rPr>
          <w:spacing w:val="-2"/>
          <w:szCs w:val="22"/>
        </w:rPr>
        <w:t xml:space="preserve"> </w:t>
      </w:r>
      <w:r>
        <w:rPr>
          <w:szCs w:val="22"/>
        </w:rPr>
        <w:t>52 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rPr>
          <w:szCs w:val="22"/>
        </w:rPr>
        <w:t xml:space="preserve">. </w:t>
      </w:r>
      <w:r>
        <w:rPr>
          <w:spacing w:val="-1"/>
          <w:szCs w:val="22"/>
        </w:rPr>
        <w:t>P</w:t>
      </w:r>
      <w:r>
        <w:rPr>
          <w:szCs w:val="22"/>
        </w:rPr>
        <w:t>en</w:t>
      </w:r>
      <w:r>
        <w:rPr>
          <w:spacing w:val="1"/>
          <w:szCs w:val="22"/>
        </w:rPr>
        <w:t>t</w:t>
      </w:r>
      <w:r>
        <w:rPr>
          <w:spacing w:val="-2"/>
          <w:szCs w:val="22"/>
        </w:rPr>
        <w:t>r</w:t>
      </w:r>
      <w:r>
        <w:rPr>
          <w:szCs w:val="22"/>
        </w:rPr>
        <w:t>u p</w:t>
      </w:r>
      <w:r>
        <w:rPr>
          <w:spacing w:val="-3"/>
          <w:szCs w:val="22"/>
        </w:rPr>
        <w:t>a</w:t>
      </w:r>
      <w:r>
        <w:rPr>
          <w:szCs w:val="22"/>
        </w:rPr>
        <w:t>c</w:t>
      </w:r>
      <w:r>
        <w:rPr>
          <w:spacing w:val="1"/>
          <w:szCs w:val="22"/>
        </w:rPr>
        <w:t>i</w:t>
      </w:r>
      <w:r>
        <w:rPr>
          <w:spacing w:val="-3"/>
          <w:szCs w:val="22"/>
        </w:rPr>
        <w:t>e</w:t>
      </w:r>
      <w:r>
        <w:rPr>
          <w:szCs w:val="22"/>
        </w:rPr>
        <w:t>n</w:t>
      </w:r>
      <w:r>
        <w:rPr>
          <w:spacing w:val="-2"/>
          <w:szCs w:val="22"/>
        </w:rPr>
        <w:t>ţ</w:t>
      </w:r>
      <w:r>
        <w:rPr>
          <w:spacing w:val="1"/>
          <w:szCs w:val="22"/>
        </w:rPr>
        <w:t>i</w:t>
      </w:r>
      <w:r>
        <w:rPr>
          <w:szCs w:val="22"/>
        </w:rPr>
        <w:t>i</w:t>
      </w:r>
      <w:r>
        <w:rPr>
          <w:spacing w:val="-2"/>
          <w:szCs w:val="22"/>
        </w:rPr>
        <w:t xml:space="preserve"> </w:t>
      </w:r>
      <w:r>
        <w:rPr>
          <w:szCs w:val="22"/>
        </w:rPr>
        <w:t>ca</w:t>
      </w:r>
      <w:r>
        <w:rPr>
          <w:spacing w:val="-2"/>
          <w:szCs w:val="22"/>
        </w:rPr>
        <w:t>r</w:t>
      </w:r>
      <w:r>
        <w:rPr>
          <w:szCs w:val="22"/>
        </w:rPr>
        <w:t>e au</w:t>
      </w:r>
      <w:r>
        <w:rPr>
          <w:spacing w:val="-3"/>
          <w:szCs w:val="22"/>
        </w:rPr>
        <w:t xml:space="preserve"> </w:t>
      </w:r>
      <w:r>
        <w:rPr>
          <w:szCs w:val="22"/>
        </w:rPr>
        <w:t>cr</w:t>
      </w:r>
      <w:r>
        <w:rPr>
          <w:spacing w:val="-3"/>
          <w:szCs w:val="22"/>
        </w:rPr>
        <w:t>e</w:t>
      </w:r>
      <w:r>
        <w:rPr>
          <w:szCs w:val="22"/>
        </w:rPr>
        <w:t>scut</w:t>
      </w:r>
      <w:r>
        <w:rPr>
          <w:spacing w:val="-2"/>
          <w:szCs w:val="22"/>
        </w:rPr>
        <w:t xml:space="preserve"> </w:t>
      </w:r>
      <w:r>
        <w:rPr>
          <w:szCs w:val="22"/>
        </w:rPr>
        <w:t>do</w:t>
      </w:r>
      <w:r>
        <w:rPr>
          <w:spacing w:val="-3"/>
          <w:szCs w:val="22"/>
        </w:rPr>
        <w:t>z</w:t>
      </w:r>
      <w:r>
        <w:rPr>
          <w:szCs w:val="22"/>
        </w:rPr>
        <w:t>a de</w:t>
      </w:r>
      <w:r>
        <w:rPr>
          <w:spacing w:val="-2"/>
          <w:szCs w:val="22"/>
        </w:rPr>
        <w:t xml:space="preserve"> </w:t>
      </w:r>
      <w:r>
        <w:rPr>
          <w:spacing w:val="1"/>
          <w:szCs w:val="22"/>
        </w:rPr>
        <w:t>l</w:t>
      </w:r>
      <w:r>
        <w:rPr>
          <w:szCs w:val="22"/>
        </w:rPr>
        <w:t xml:space="preserve">a o </w:t>
      </w:r>
      <w:r>
        <w:rPr>
          <w:spacing w:val="-3"/>
          <w:szCs w:val="22"/>
        </w:rPr>
        <w:t>d</w:t>
      </w:r>
      <w:r>
        <w:rPr>
          <w:szCs w:val="22"/>
        </w:rPr>
        <w:t>a</w:t>
      </w:r>
      <w:r>
        <w:rPr>
          <w:spacing w:val="1"/>
          <w:szCs w:val="22"/>
        </w:rPr>
        <w:t>t</w:t>
      </w:r>
      <w:r>
        <w:rPr>
          <w:szCs w:val="22"/>
        </w:rPr>
        <w:t>ă</w:t>
      </w:r>
      <w:r>
        <w:rPr>
          <w:spacing w:val="-2"/>
          <w:szCs w:val="22"/>
        </w:rPr>
        <w:t xml:space="preserve"> </w:t>
      </w:r>
      <w:r>
        <w:rPr>
          <w:spacing w:val="1"/>
          <w:szCs w:val="22"/>
        </w:rPr>
        <w:t>l</w:t>
      </w:r>
      <w:r>
        <w:rPr>
          <w:szCs w:val="22"/>
        </w:rPr>
        <w:t>a</w:t>
      </w:r>
      <w:r>
        <w:rPr>
          <w:spacing w:val="-2"/>
          <w:szCs w:val="22"/>
        </w:rPr>
        <w:t xml:space="preserve"> </w:t>
      </w:r>
      <w:r>
        <w:rPr>
          <w:szCs w:val="22"/>
        </w:rPr>
        <w:t>d</w:t>
      </w:r>
      <w:r>
        <w:rPr>
          <w:spacing w:val="-3"/>
          <w:szCs w:val="22"/>
        </w:rPr>
        <w:t>o</w:t>
      </w:r>
      <w:r>
        <w:rPr>
          <w:szCs w:val="22"/>
        </w:rPr>
        <w:t>uă să</w:t>
      </w:r>
      <w:r>
        <w:rPr>
          <w:spacing w:val="-3"/>
          <w:szCs w:val="22"/>
        </w:rPr>
        <w:t>p</w:t>
      </w:r>
      <w:r>
        <w:rPr>
          <w:spacing w:val="1"/>
          <w:szCs w:val="22"/>
        </w:rPr>
        <w:t>t</w:t>
      </w:r>
      <w:r>
        <w:rPr>
          <w:szCs w:val="22"/>
        </w:rPr>
        <w:t>ă</w:t>
      </w:r>
      <w:r>
        <w:rPr>
          <w:spacing w:val="-4"/>
          <w:szCs w:val="22"/>
        </w:rPr>
        <w:t>m</w:t>
      </w:r>
      <w:r>
        <w:rPr>
          <w:szCs w:val="22"/>
        </w:rPr>
        <w:t>âni</w:t>
      </w:r>
      <w:r>
        <w:rPr>
          <w:spacing w:val="-2"/>
          <w:szCs w:val="22"/>
        </w:rPr>
        <w:t xml:space="preserve"> </w:t>
      </w:r>
      <w:r>
        <w:rPr>
          <w:spacing w:val="1"/>
          <w:szCs w:val="22"/>
        </w:rPr>
        <w:t>l</w:t>
      </w:r>
      <w:r>
        <w:rPr>
          <w:szCs w:val="22"/>
        </w:rPr>
        <w:t>a do</w:t>
      </w:r>
      <w:r>
        <w:rPr>
          <w:spacing w:val="-3"/>
          <w:szCs w:val="22"/>
        </w:rPr>
        <w:t>z</w:t>
      </w:r>
      <w:r>
        <w:rPr>
          <w:szCs w:val="22"/>
        </w:rPr>
        <w:t xml:space="preserve">a </w:t>
      </w:r>
      <w:r>
        <w:rPr>
          <w:spacing w:val="-2"/>
          <w:szCs w:val="22"/>
        </w:rPr>
        <w:t>s</w:t>
      </w:r>
      <w:r>
        <w:rPr>
          <w:szCs w:val="22"/>
        </w:rPr>
        <w:t>ăp</w:t>
      </w:r>
      <w:r>
        <w:rPr>
          <w:spacing w:val="-2"/>
          <w:szCs w:val="22"/>
        </w:rPr>
        <w:t>t</w:t>
      </w:r>
      <w:r>
        <w:rPr>
          <w:spacing w:val="-3"/>
          <w:szCs w:val="22"/>
        </w:rPr>
        <w:t>ă</w:t>
      </w:r>
      <w:r>
        <w:rPr>
          <w:spacing w:val="-4"/>
          <w:szCs w:val="22"/>
        </w:rPr>
        <w:t>m</w:t>
      </w:r>
      <w:r>
        <w:rPr>
          <w:szCs w:val="22"/>
        </w:rPr>
        <w:t>âna</w:t>
      </w:r>
      <w:r>
        <w:rPr>
          <w:spacing w:val="1"/>
          <w:szCs w:val="22"/>
        </w:rPr>
        <w:t>l</w:t>
      </w:r>
      <w:r>
        <w:rPr>
          <w:szCs w:val="22"/>
        </w:rPr>
        <w:t xml:space="preserve">ă, </w:t>
      </w:r>
      <w:r>
        <w:rPr>
          <w:spacing w:val="-4"/>
          <w:szCs w:val="22"/>
        </w:rPr>
        <w:t>m</w:t>
      </w:r>
      <w:r>
        <w:rPr>
          <w:szCs w:val="22"/>
        </w:rPr>
        <w:t>ed</w:t>
      </w:r>
      <w:r>
        <w:rPr>
          <w:spacing w:val="1"/>
          <w:szCs w:val="22"/>
        </w:rPr>
        <w:t>i</w:t>
      </w:r>
      <w:r>
        <w:rPr>
          <w:szCs w:val="22"/>
        </w:rPr>
        <w:t xml:space="preserve">a </w:t>
      </w:r>
      <w:r>
        <w:rPr>
          <w:spacing w:val="-2"/>
          <w:szCs w:val="22"/>
        </w:rPr>
        <w:t>(</w:t>
      </w:r>
      <w:r>
        <w:rPr>
          <w:szCs w:val="22"/>
        </w:rPr>
        <w:t>±</w:t>
      </w:r>
      <w:r>
        <w:rPr>
          <w:spacing w:val="1"/>
          <w:szCs w:val="22"/>
        </w:rPr>
        <w:t xml:space="preserve"> </w:t>
      </w:r>
      <w:r>
        <w:rPr>
          <w:spacing w:val="-1"/>
          <w:szCs w:val="22"/>
        </w:rPr>
        <w:t>DS</w:t>
      </w:r>
      <w:r>
        <w:rPr>
          <w:szCs w:val="22"/>
        </w:rPr>
        <w:t>) conce</w:t>
      </w:r>
      <w:r>
        <w:rPr>
          <w:spacing w:val="-3"/>
          <w:szCs w:val="22"/>
        </w:rPr>
        <w:t>n</w:t>
      </w:r>
      <w:r>
        <w:rPr>
          <w:spacing w:val="1"/>
          <w:szCs w:val="22"/>
        </w:rPr>
        <w:t>t</w:t>
      </w:r>
      <w:r>
        <w:rPr>
          <w:spacing w:val="-2"/>
          <w:szCs w:val="22"/>
        </w:rPr>
        <w:t>r</w:t>
      </w:r>
      <w:r>
        <w:rPr>
          <w:szCs w:val="22"/>
        </w:rPr>
        <w:t>a</w:t>
      </w:r>
      <w:r>
        <w:rPr>
          <w:spacing w:val="-2"/>
          <w:szCs w:val="22"/>
        </w:rPr>
        <w:t>ţ</w:t>
      </w:r>
      <w:r>
        <w:rPr>
          <w:spacing w:val="1"/>
          <w:szCs w:val="22"/>
        </w:rPr>
        <w:t>i</w:t>
      </w:r>
      <w:r>
        <w:rPr>
          <w:spacing w:val="-2"/>
          <w:szCs w:val="22"/>
        </w:rPr>
        <w:t>i</w:t>
      </w:r>
      <w:r>
        <w:rPr>
          <w:spacing w:val="1"/>
          <w:szCs w:val="22"/>
        </w:rPr>
        <w:t>l</w:t>
      </w:r>
      <w:r>
        <w:rPr>
          <w:szCs w:val="22"/>
        </w:rPr>
        <w:t>or</w:t>
      </w:r>
      <w:r>
        <w:rPr>
          <w:spacing w:val="-2"/>
          <w:szCs w:val="22"/>
        </w:rPr>
        <w:t xml:space="preserve"> </w:t>
      </w:r>
      <w:r>
        <w:rPr>
          <w:szCs w:val="22"/>
        </w:rPr>
        <w:t>s</w:t>
      </w:r>
      <w:r>
        <w:rPr>
          <w:spacing w:val="-3"/>
          <w:szCs w:val="22"/>
        </w:rPr>
        <w:t>e</w:t>
      </w:r>
      <w:r>
        <w:rPr>
          <w:szCs w:val="22"/>
        </w:rPr>
        <w:t>r</w:t>
      </w:r>
      <w:r>
        <w:rPr>
          <w:spacing w:val="-2"/>
          <w:szCs w:val="22"/>
        </w:rPr>
        <w:t>i</w:t>
      </w:r>
      <w:r>
        <w:rPr>
          <w:szCs w:val="22"/>
        </w:rPr>
        <w:t xml:space="preserve">ce </w:t>
      </w:r>
      <w:r>
        <w:rPr>
          <w:spacing w:val="-3"/>
          <w:szCs w:val="22"/>
        </w:rPr>
        <w:t>a</w:t>
      </w:r>
      <w:r>
        <w:rPr>
          <w:spacing w:val="1"/>
          <w:szCs w:val="22"/>
        </w:rPr>
        <w:t>l</w:t>
      </w:r>
      <w:r>
        <w:rPr>
          <w:szCs w:val="22"/>
        </w:rPr>
        <w:t xml:space="preserve">e </w:t>
      </w:r>
      <w:r>
        <w:rPr>
          <w:spacing w:val="-3"/>
          <w:szCs w:val="22"/>
        </w:rPr>
        <w:t>ad</w:t>
      </w:r>
      <w:r>
        <w:rPr>
          <w:szCs w:val="22"/>
        </w:rPr>
        <w:t>a</w:t>
      </w:r>
      <w:r>
        <w:rPr>
          <w:spacing w:val="1"/>
          <w:szCs w:val="22"/>
        </w:rPr>
        <w:t>li</w:t>
      </w:r>
      <w:r>
        <w:rPr>
          <w:spacing w:val="-4"/>
          <w:szCs w:val="22"/>
        </w:rPr>
        <w:t>m</w:t>
      </w:r>
      <w:r>
        <w:rPr>
          <w:szCs w:val="22"/>
        </w:rPr>
        <w:t>u</w:t>
      </w:r>
      <w:r>
        <w:rPr>
          <w:spacing w:val="-4"/>
          <w:szCs w:val="22"/>
        </w:rPr>
        <w:t>m</w:t>
      </w:r>
      <w:r>
        <w:rPr>
          <w:szCs w:val="22"/>
        </w:rPr>
        <w:t xml:space="preserve">ab </w:t>
      </w:r>
      <w:r>
        <w:rPr>
          <w:spacing w:val="1"/>
          <w:szCs w:val="22"/>
        </w:rPr>
        <w:t>î</w:t>
      </w:r>
      <w:r>
        <w:rPr>
          <w:szCs w:val="22"/>
        </w:rPr>
        <w:t>n să</w:t>
      </w:r>
      <w:r>
        <w:rPr>
          <w:spacing w:val="-3"/>
          <w:szCs w:val="22"/>
        </w:rPr>
        <w:t>p</w:t>
      </w:r>
      <w:r>
        <w:rPr>
          <w:spacing w:val="1"/>
          <w:szCs w:val="22"/>
        </w:rPr>
        <w:t>t</w:t>
      </w:r>
      <w:r>
        <w:rPr>
          <w:szCs w:val="22"/>
        </w:rPr>
        <w:t>ă</w:t>
      </w:r>
      <w:r>
        <w:rPr>
          <w:spacing w:val="-4"/>
          <w:szCs w:val="22"/>
        </w:rPr>
        <w:t>m</w:t>
      </w:r>
      <w:r>
        <w:rPr>
          <w:szCs w:val="22"/>
        </w:rPr>
        <w:t>âna 52</w:t>
      </w:r>
      <w:r>
        <w:rPr>
          <w:spacing w:val="-3"/>
          <w:szCs w:val="22"/>
        </w:rPr>
        <w:t xml:space="preserve"> </w:t>
      </w:r>
      <w:r>
        <w:rPr>
          <w:szCs w:val="22"/>
        </w:rPr>
        <w:t>au f</w:t>
      </w:r>
      <w:r>
        <w:rPr>
          <w:spacing w:val="-3"/>
          <w:szCs w:val="22"/>
        </w:rPr>
        <w:t>o</w:t>
      </w:r>
      <w:r>
        <w:rPr>
          <w:szCs w:val="22"/>
        </w:rPr>
        <w:t>st</w:t>
      </w:r>
      <w:r>
        <w:rPr>
          <w:spacing w:val="1"/>
          <w:szCs w:val="22"/>
        </w:rPr>
        <w:t xml:space="preserve"> </w:t>
      </w:r>
      <w:r>
        <w:rPr>
          <w:szCs w:val="22"/>
        </w:rPr>
        <w:t>1</w:t>
      </w:r>
      <w:r>
        <w:rPr>
          <w:spacing w:val="-3"/>
          <w:szCs w:val="22"/>
        </w:rPr>
        <w:t>5</w:t>
      </w:r>
      <w:r>
        <w:rPr>
          <w:szCs w:val="22"/>
        </w:rPr>
        <w:t>,3 ±</w:t>
      </w:r>
      <w:r>
        <w:rPr>
          <w:spacing w:val="-1"/>
          <w:szCs w:val="22"/>
        </w:rPr>
        <w:t xml:space="preserve"> </w:t>
      </w:r>
      <w:r>
        <w:rPr>
          <w:szCs w:val="22"/>
        </w:rPr>
        <w:t>11,4 </w:t>
      </w:r>
      <w:r>
        <w:rPr>
          <w:spacing w:val="-3"/>
          <w:szCs w:val="22"/>
        </w:rPr>
        <w:t>µg</w:t>
      </w:r>
      <w:r>
        <w:rPr>
          <w:spacing w:val="1"/>
          <w:szCs w:val="22"/>
        </w:rPr>
        <w:t>/</w:t>
      </w:r>
      <w:r>
        <w:rPr>
          <w:spacing w:val="-4"/>
          <w:szCs w:val="22"/>
        </w:rPr>
        <w:t>m</w:t>
      </w:r>
      <w:r>
        <w:rPr>
          <w:szCs w:val="22"/>
        </w:rPr>
        <w:t>l (4</w:t>
      </w:r>
      <w:r>
        <w:rPr>
          <w:spacing w:val="-3"/>
          <w:szCs w:val="22"/>
        </w:rPr>
        <w:t>0</w:t>
      </w:r>
      <w:r>
        <w:rPr>
          <w:spacing w:val="1"/>
          <w:szCs w:val="22"/>
        </w:rPr>
        <w:t>/</w:t>
      </w:r>
      <w:r>
        <w:rPr>
          <w:szCs w:val="22"/>
        </w:rPr>
        <w:t>20 </w:t>
      </w:r>
      <w:r>
        <w:rPr>
          <w:spacing w:val="-4"/>
          <w:szCs w:val="22"/>
        </w:rPr>
        <w:t>m</w:t>
      </w:r>
      <w:r>
        <w:rPr>
          <w:spacing w:val="-3"/>
          <w:szCs w:val="22"/>
        </w:rPr>
        <w:t>g</w:t>
      </w:r>
      <w:r>
        <w:rPr>
          <w:szCs w:val="22"/>
        </w:rPr>
        <w:t>, săp</w:t>
      </w:r>
      <w:r>
        <w:rPr>
          <w:spacing w:val="-2"/>
          <w:szCs w:val="22"/>
        </w:rPr>
        <w:t>t</w:t>
      </w:r>
      <w:r>
        <w:rPr>
          <w:szCs w:val="22"/>
        </w:rPr>
        <w:t>ă</w:t>
      </w:r>
      <w:r>
        <w:rPr>
          <w:spacing w:val="-4"/>
          <w:szCs w:val="22"/>
        </w:rPr>
        <w:t>m</w:t>
      </w:r>
      <w:r>
        <w:rPr>
          <w:szCs w:val="22"/>
        </w:rPr>
        <w:t>âna</w:t>
      </w:r>
      <w:r>
        <w:rPr>
          <w:spacing w:val="1"/>
          <w:szCs w:val="22"/>
        </w:rPr>
        <w:t>l</w:t>
      </w:r>
      <w:r>
        <w:rPr>
          <w:szCs w:val="22"/>
        </w:rPr>
        <w:t>)</w:t>
      </w:r>
      <w:r>
        <w:rPr>
          <w:spacing w:val="-2"/>
          <w:szCs w:val="22"/>
        </w:rPr>
        <w:t xml:space="preserve"> </w:t>
      </w:r>
      <w:r>
        <w:rPr>
          <w:szCs w:val="22"/>
        </w:rPr>
        <w:t>şi</w:t>
      </w:r>
      <w:r>
        <w:rPr>
          <w:spacing w:val="1"/>
          <w:szCs w:val="22"/>
        </w:rPr>
        <w:t xml:space="preserve"> </w:t>
      </w:r>
      <w:r>
        <w:rPr>
          <w:spacing w:val="-3"/>
          <w:szCs w:val="22"/>
        </w:rPr>
        <w:t>d</w:t>
      </w:r>
      <w:r>
        <w:rPr>
          <w:szCs w:val="22"/>
        </w:rPr>
        <w:t>e 6,7</w:t>
      </w:r>
      <w:r>
        <w:rPr>
          <w:spacing w:val="-3"/>
          <w:szCs w:val="22"/>
        </w:rPr>
        <w:t xml:space="preserve"> </w:t>
      </w:r>
      <w:r>
        <w:rPr>
          <w:szCs w:val="22"/>
        </w:rPr>
        <w:t>±</w:t>
      </w:r>
      <w:r>
        <w:rPr>
          <w:spacing w:val="1"/>
          <w:szCs w:val="22"/>
        </w:rPr>
        <w:t xml:space="preserve"> </w:t>
      </w:r>
      <w:r>
        <w:rPr>
          <w:szCs w:val="22"/>
        </w:rPr>
        <w:t>3,5</w:t>
      </w:r>
      <w:r>
        <w:rPr>
          <w:spacing w:val="-3"/>
          <w:szCs w:val="22"/>
        </w:rPr>
        <w:t> µg</w:t>
      </w:r>
      <w:r>
        <w:rPr>
          <w:spacing w:val="3"/>
          <w:szCs w:val="22"/>
        </w:rPr>
        <w:t>/</w:t>
      </w:r>
      <w:r>
        <w:rPr>
          <w:spacing w:val="-4"/>
          <w:szCs w:val="22"/>
        </w:rPr>
        <w:t>m</w:t>
      </w:r>
      <w:r>
        <w:rPr>
          <w:szCs w:val="22"/>
        </w:rPr>
        <w:t>l</w:t>
      </w:r>
      <w:r>
        <w:rPr>
          <w:spacing w:val="1"/>
          <w:szCs w:val="22"/>
        </w:rPr>
        <w:t xml:space="preserve"> </w:t>
      </w:r>
      <w:r>
        <w:rPr>
          <w:szCs w:val="22"/>
        </w:rPr>
        <w:t>(20</w:t>
      </w:r>
      <w:r>
        <w:rPr>
          <w:spacing w:val="1"/>
          <w:szCs w:val="22"/>
        </w:rPr>
        <w:t>/</w:t>
      </w:r>
      <w:r>
        <w:rPr>
          <w:spacing w:val="-3"/>
          <w:szCs w:val="22"/>
        </w:rPr>
        <w:t>1</w:t>
      </w:r>
      <w:r>
        <w:rPr>
          <w:szCs w:val="22"/>
        </w:rPr>
        <w:t>0 </w:t>
      </w:r>
      <w:r>
        <w:rPr>
          <w:spacing w:val="-4"/>
          <w:szCs w:val="22"/>
        </w:rPr>
        <w:t>m</w:t>
      </w:r>
      <w:r>
        <w:rPr>
          <w:spacing w:val="-3"/>
          <w:szCs w:val="22"/>
        </w:rPr>
        <w:t>g</w:t>
      </w:r>
      <w:r>
        <w:rPr>
          <w:szCs w:val="22"/>
        </w:rPr>
        <w:t>, săp</w:t>
      </w:r>
      <w:r>
        <w:rPr>
          <w:spacing w:val="1"/>
          <w:szCs w:val="22"/>
        </w:rPr>
        <w:t>t</w:t>
      </w:r>
      <w:r>
        <w:rPr>
          <w:szCs w:val="22"/>
        </w:rPr>
        <w:t>ă</w:t>
      </w:r>
      <w:r>
        <w:rPr>
          <w:spacing w:val="-4"/>
          <w:szCs w:val="22"/>
        </w:rPr>
        <w:t>m</w:t>
      </w:r>
      <w:r>
        <w:rPr>
          <w:szCs w:val="22"/>
        </w:rPr>
        <w:t>âna</w:t>
      </w:r>
      <w:r>
        <w:rPr>
          <w:spacing w:val="1"/>
          <w:szCs w:val="22"/>
        </w:rPr>
        <w:t>l</w:t>
      </w:r>
      <w:r>
        <w:rPr>
          <w:szCs w:val="22"/>
        </w:rPr>
        <w:t>).</w:t>
      </w:r>
    </w:p>
    <w:p w14:paraId="28758331" w14:textId="77777777" w:rsidR="00C04CAD" w:rsidRDefault="00C04CAD">
      <w:pPr>
        <w:tabs>
          <w:tab w:val="clear" w:pos="567"/>
        </w:tabs>
        <w:kinsoku w:val="0"/>
        <w:overflowPunct w:val="0"/>
        <w:autoSpaceDE w:val="0"/>
        <w:autoSpaceDN w:val="0"/>
        <w:adjustRightInd w:val="0"/>
        <w:spacing w:line="240" w:lineRule="auto"/>
        <w:rPr>
          <w:szCs w:val="22"/>
        </w:rPr>
      </w:pPr>
    </w:p>
    <w:p w14:paraId="3F36AE1E" w14:textId="77777777" w:rsidR="00C04CAD" w:rsidRDefault="00060E34">
      <w:pPr>
        <w:tabs>
          <w:tab w:val="clear" w:pos="567"/>
        </w:tabs>
        <w:kinsoku w:val="0"/>
        <w:overflowPunct w:val="0"/>
        <w:autoSpaceDE w:val="0"/>
        <w:autoSpaceDN w:val="0"/>
        <w:adjustRightInd w:val="0"/>
        <w:spacing w:line="240" w:lineRule="auto"/>
        <w:rPr>
          <w:szCs w:val="22"/>
        </w:rPr>
      </w:pPr>
      <w:r>
        <w:rPr>
          <w:spacing w:val="-4"/>
          <w:szCs w:val="22"/>
        </w:rPr>
        <w:t>Î</w:t>
      </w:r>
      <w:r>
        <w:rPr>
          <w:szCs w:val="22"/>
        </w:rPr>
        <w:t xml:space="preserve">n </w:t>
      </w:r>
      <w:r>
        <w:rPr>
          <w:spacing w:val="1"/>
          <w:szCs w:val="22"/>
        </w:rPr>
        <w:t>t</w:t>
      </w:r>
      <w:r>
        <w:rPr>
          <w:spacing w:val="3"/>
          <w:szCs w:val="22"/>
        </w:rPr>
        <w:t>i</w:t>
      </w:r>
      <w:r>
        <w:rPr>
          <w:spacing w:val="-4"/>
          <w:szCs w:val="22"/>
        </w:rPr>
        <w:t>m</w:t>
      </w:r>
      <w:r>
        <w:rPr>
          <w:szCs w:val="22"/>
        </w:rPr>
        <w:t>pul</w:t>
      </w:r>
      <w:r>
        <w:rPr>
          <w:spacing w:val="1"/>
          <w:szCs w:val="22"/>
        </w:rPr>
        <w:t xml:space="preserve"> </w:t>
      </w:r>
      <w:r>
        <w:rPr>
          <w:szCs w:val="22"/>
        </w:rPr>
        <w:t>pe</w:t>
      </w:r>
      <w:r>
        <w:rPr>
          <w:spacing w:val="-2"/>
          <w:szCs w:val="22"/>
        </w:rPr>
        <w:t>r</w:t>
      </w:r>
      <w:r>
        <w:rPr>
          <w:spacing w:val="1"/>
          <w:szCs w:val="22"/>
        </w:rPr>
        <w:t>i</w:t>
      </w:r>
      <w:r>
        <w:rPr>
          <w:szCs w:val="22"/>
        </w:rPr>
        <w:t>o</w:t>
      </w:r>
      <w:r>
        <w:rPr>
          <w:spacing w:val="-3"/>
          <w:szCs w:val="22"/>
        </w:rPr>
        <w:t>a</w:t>
      </w:r>
      <w:r>
        <w:rPr>
          <w:szCs w:val="22"/>
        </w:rPr>
        <w:t>dei</w:t>
      </w:r>
      <w:r>
        <w:rPr>
          <w:spacing w:val="-2"/>
          <w:szCs w:val="22"/>
        </w:rPr>
        <w:t xml:space="preserve"> </w:t>
      </w:r>
      <w:r>
        <w:rPr>
          <w:szCs w:val="22"/>
        </w:rPr>
        <w:t>de</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pacing w:val="-3"/>
          <w:szCs w:val="22"/>
        </w:rPr>
        <w:t>e</w:t>
      </w:r>
      <w:r>
        <w:rPr>
          <w:szCs w:val="22"/>
        </w:rPr>
        <w:t>re a</w:t>
      </w:r>
      <w:r>
        <w:rPr>
          <w:spacing w:val="-2"/>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pacing w:val="1"/>
          <w:szCs w:val="22"/>
        </w:rPr>
        <w:t>l</w:t>
      </w:r>
      <w:r>
        <w:rPr>
          <w:szCs w:val="22"/>
        </w:rPr>
        <w:t>u</w:t>
      </w:r>
      <w:r>
        <w:rPr>
          <w:spacing w:val="-2"/>
          <w:szCs w:val="22"/>
        </w:rPr>
        <w:t>i</w:t>
      </w:r>
      <w:r>
        <w:rPr>
          <w:szCs w:val="22"/>
        </w:rPr>
        <w:t xml:space="preserve">, </w:t>
      </w:r>
      <w:r>
        <w:rPr>
          <w:spacing w:val="1"/>
          <w:szCs w:val="22"/>
        </w:rPr>
        <w:t>l</w:t>
      </w:r>
      <w:r>
        <w:rPr>
          <w:szCs w:val="22"/>
        </w:rPr>
        <w:t>a</w:t>
      </w:r>
      <w:r>
        <w:rPr>
          <w:spacing w:val="-2"/>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co</w:t>
      </w:r>
      <w:r>
        <w:rPr>
          <w:spacing w:val="-2"/>
          <w:szCs w:val="22"/>
        </w:rPr>
        <w:t>l</w:t>
      </w:r>
      <w:r>
        <w:rPr>
          <w:spacing w:val="1"/>
          <w:szCs w:val="22"/>
        </w:rPr>
        <w:t>i</w:t>
      </w:r>
      <w:r>
        <w:rPr>
          <w:spacing w:val="-2"/>
          <w:szCs w:val="22"/>
        </w:rPr>
        <w:t>t</w:t>
      </w:r>
      <w:r>
        <w:rPr>
          <w:szCs w:val="22"/>
        </w:rPr>
        <w:t>ă u</w:t>
      </w:r>
      <w:r>
        <w:rPr>
          <w:spacing w:val="-2"/>
          <w:szCs w:val="22"/>
        </w:rPr>
        <w:t>l</w:t>
      </w:r>
      <w:r>
        <w:rPr>
          <w:szCs w:val="22"/>
        </w:rPr>
        <w:t>ce</w:t>
      </w:r>
      <w:r>
        <w:rPr>
          <w:spacing w:val="-2"/>
          <w:szCs w:val="22"/>
        </w:rPr>
        <w:t>r</w:t>
      </w:r>
      <w:r>
        <w:rPr>
          <w:szCs w:val="22"/>
        </w:rPr>
        <w:t>a</w:t>
      </w:r>
      <w:r>
        <w:rPr>
          <w:spacing w:val="-2"/>
          <w:szCs w:val="22"/>
        </w:rPr>
        <w:t>t</w:t>
      </w:r>
      <w:r>
        <w:rPr>
          <w:spacing w:val="1"/>
          <w:szCs w:val="22"/>
        </w:rPr>
        <w:t>i</w:t>
      </w:r>
      <w:r>
        <w:rPr>
          <w:spacing w:val="-3"/>
          <w:szCs w:val="22"/>
        </w:rPr>
        <w:t>v</w:t>
      </w:r>
      <w:r>
        <w:rPr>
          <w:szCs w:val="22"/>
        </w:rPr>
        <w:t>ă, o d</w:t>
      </w:r>
      <w:r>
        <w:rPr>
          <w:spacing w:val="-3"/>
          <w:szCs w:val="22"/>
        </w:rPr>
        <w:t>oz</w:t>
      </w:r>
      <w:r>
        <w:rPr>
          <w:szCs w:val="22"/>
        </w:rPr>
        <w:t xml:space="preserve">ă de </w:t>
      </w:r>
      <w:r>
        <w:rPr>
          <w:spacing w:val="1"/>
          <w:szCs w:val="22"/>
        </w:rPr>
        <w:t>î</w:t>
      </w:r>
      <w:r>
        <w:rPr>
          <w:szCs w:val="22"/>
        </w:rPr>
        <w:t>n</w:t>
      </w:r>
      <w:r>
        <w:rPr>
          <w:spacing w:val="-3"/>
          <w:szCs w:val="22"/>
        </w:rPr>
        <w:t>c</w:t>
      </w:r>
      <w:r>
        <w:rPr>
          <w:szCs w:val="22"/>
        </w:rPr>
        <w:t>ăr</w:t>
      </w:r>
      <w:r>
        <w:rPr>
          <w:spacing w:val="-3"/>
          <w:szCs w:val="22"/>
        </w:rPr>
        <w:t>c</w:t>
      </w:r>
      <w:r>
        <w:rPr>
          <w:szCs w:val="22"/>
        </w:rPr>
        <w:t xml:space="preserve">are </w:t>
      </w:r>
      <w:r>
        <w:rPr>
          <w:rFonts w:eastAsia="MS Mincho"/>
          <w:spacing w:val="-1"/>
          <w:szCs w:val="22"/>
          <w:lang w:eastAsia="en-US" w:bidi="ar-SA"/>
        </w:rPr>
        <w:t>adalimumab</w:t>
      </w:r>
      <w:r>
        <w:rPr>
          <w:szCs w:val="22"/>
        </w:rPr>
        <w:t xml:space="preserve"> 160 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0 ur</w:t>
      </w:r>
      <w:r>
        <w:rPr>
          <w:spacing w:val="-4"/>
          <w:szCs w:val="22"/>
        </w:rPr>
        <w:t>m</w:t>
      </w:r>
      <w:r>
        <w:rPr>
          <w:szCs w:val="22"/>
        </w:rPr>
        <w:t>a</w:t>
      </w:r>
      <w:r>
        <w:rPr>
          <w:spacing w:val="1"/>
          <w:szCs w:val="22"/>
        </w:rPr>
        <w:t>t</w:t>
      </w:r>
      <w:r>
        <w:rPr>
          <w:szCs w:val="22"/>
        </w:rPr>
        <w:t>ă</w:t>
      </w:r>
      <w:r>
        <w:rPr>
          <w:spacing w:val="-2"/>
          <w:szCs w:val="22"/>
        </w:rPr>
        <w:t xml:space="preserve"> </w:t>
      </w:r>
      <w:r>
        <w:rPr>
          <w:szCs w:val="22"/>
        </w:rPr>
        <w:t xml:space="preserve">de </w:t>
      </w:r>
      <w:r>
        <w:rPr>
          <w:rFonts w:eastAsia="MS Mincho"/>
          <w:spacing w:val="-1"/>
          <w:szCs w:val="22"/>
          <w:lang w:eastAsia="en-US" w:bidi="ar-SA"/>
        </w:rPr>
        <w:t>adalimumab</w:t>
      </w:r>
      <w:r>
        <w:rPr>
          <w:szCs w:val="22"/>
        </w:rPr>
        <w:t xml:space="preserve"> 80</w:t>
      </w:r>
      <w:r>
        <w:rPr>
          <w:spacing w:val="-3"/>
          <w:szCs w:val="22"/>
        </w:rPr>
        <w:t> </w:t>
      </w:r>
      <w:r>
        <w:rPr>
          <w:spacing w:val="-2"/>
          <w:szCs w:val="22"/>
        </w:rPr>
        <w:t>m</w:t>
      </w:r>
      <w:r>
        <w:rPr>
          <w:szCs w:val="22"/>
        </w:rPr>
        <w:t>g</w:t>
      </w:r>
      <w:r>
        <w:rPr>
          <w:spacing w:val="-3"/>
          <w:szCs w:val="22"/>
        </w:rPr>
        <w:t xml:space="preserve"> </w:t>
      </w:r>
      <w:r>
        <w:rPr>
          <w:spacing w:val="1"/>
          <w:szCs w:val="22"/>
        </w:rPr>
        <w:t>î</w:t>
      </w:r>
      <w:r>
        <w:rPr>
          <w:szCs w:val="22"/>
        </w:rP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rPr>
          <w:szCs w:val="22"/>
        </w:rPr>
        <w:t xml:space="preserve"> 2 a </w:t>
      </w:r>
      <w:r>
        <w:rPr>
          <w:spacing w:val="-3"/>
          <w:szCs w:val="22"/>
        </w:rPr>
        <w:t>d</w:t>
      </w:r>
      <w:r>
        <w:rPr>
          <w:szCs w:val="22"/>
        </w:rPr>
        <w:t>e</w:t>
      </w:r>
      <w:r>
        <w:rPr>
          <w:spacing w:val="-2"/>
          <w:szCs w:val="22"/>
        </w:rPr>
        <w:t>t</w:t>
      </w:r>
      <w:r>
        <w:rPr>
          <w:szCs w:val="22"/>
        </w:rPr>
        <w:t>e</w:t>
      </w:r>
      <w:r>
        <w:rPr>
          <w:spacing w:val="-2"/>
          <w:szCs w:val="22"/>
        </w:rPr>
        <w:t>r</w:t>
      </w:r>
      <w:r>
        <w:rPr>
          <w:spacing w:val="-4"/>
          <w:szCs w:val="22"/>
        </w:rPr>
        <w:t>m</w:t>
      </w:r>
      <w:r>
        <w:rPr>
          <w:spacing w:val="1"/>
          <w:szCs w:val="22"/>
        </w:rPr>
        <w:t>i</w:t>
      </w:r>
      <w:r>
        <w:rPr>
          <w:szCs w:val="22"/>
        </w:rPr>
        <w:t>nat</w:t>
      </w:r>
      <w:r>
        <w:rPr>
          <w:spacing w:val="1"/>
          <w:szCs w:val="22"/>
        </w:rPr>
        <w:t xml:space="preserve"> </w:t>
      </w:r>
      <w:r>
        <w:rPr>
          <w:szCs w:val="22"/>
        </w:rPr>
        <w:t>con</w:t>
      </w:r>
      <w:r>
        <w:rPr>
          <w:spacing w:val="-3"/>
          <w:szCs w:val="22"/>
        </w:rPr>
        <w:t>c</w:t>
      </w:r>
      <w:r>
        <w:rPr>
          <w:szCs w:val="22"/>
        </w:rPr>
        <w:t>en</w:t>
      </w:r>
      <w:r>
        <w:rPr>
          <w:spacing w:val="-2"/>
          <w:szCs w:val="22"/>
        </w:rPr>
        <w:t>t</w:t>
      </w:r>
      <w:r>
        <w:rPr>
          <w:szCs w:val="22"/>
        </w:rPr>
        <w:t>r</w:t>
      </w:r>
      <w:r>
        <w:rPr>
          <w:spacing w:val="-3"/>
          <w:szCs w:val="22"/>
        </w:rPr>
        <w:t>a</w:t>
      </w:r>
      <w:r>
        <w:rPr>
          <w:spacing w:val="1"/>
          <w:szCs w:val="22"/>
        </w:rPr>
        <w:t>ţ</w:t>
      </w:r>
      <w:r>
        <w:rPr>
          <w:spacing w:val="-2"/>
          <w:szCs w:val="22"/>
        </w:rPr>
        <w:t>i</w:t>
      </w:r>
      <w:r>
        <w:rPr>
          <w:szCs w:val="22"/>
        </w:rPr>
        <w:t>i p</w:t>
      </w:r>
      <w:r>
        <w:rPr>
          <w:spacing w:val="1"/>
          <w:szCs w:val="22"/>
        </w:rPr>
        <w:t>l</w:t>
      </w:r>
      <w:r>
        <w:rPr>
          <w:szCs w:val="22"/>
        </w:rPr>
        <w:t>as</w:t>
      </w:r>
      <w:r>
        <w:rPr>
          <w:spacing w:val="-4"/>
          <w:szCs w:val="22"/>
        </w:rPr>
        <w:t>m</w:t>
      </w:r>
      <w:r>
        <w:rPr>
          <w:szCs w:val="22"/>
        </w:rPr>
        <w:t>a</w:t>
      </w:r>
      <w:r>
        <w:rPr>
          <w:spacing w:val="1"/>
          <w:szCs w:val="22"/>
        </w:rPr>
        <w:t>t</w:t>
      </w:r>
      <w:r>
        <w:rPr>
          <w:spacing w:val="-2"/>
          <w:szCs w:val="22"/>
        </w:rPr>
        <w:t>i</w:t>
      </w:r>
      <w:r>
        <w:rPr>
          <w:szCs w:val="22"/>
        </w:rPr>
        <w:t xml:space="preserve">ce </w:t>
      </w:r>
      <w:r>
        <w:rPr>
          <w:spacing w:val="-4"/>
          <w:szCs w:val="22"/>
        </w:rPr>
        <w:t>m</w:t>
      </w:r>
      <w:r>
        <w:rPr>
          <w:spacing w:val="1"/>
          <w:szCs w:val="22"/>
        </w:rPr>
        <w:t>i</w:t>
      </w:r>
      <w:r>
        <w:rPr>
          <w:szCs w:val="22"/>
        </w:rPr>
        <w:t>n</w:t>
      </w:r>
      <w:r>
        <w:rPr>
          <w:spacing w:val="1"/>
          <w:szCs w:val="22"/>
        </w:rPr>
        <w:t>i</w:t>
      </w:r>
      <w:r>
        <w:rPr>
          <w:spacing w:val="-4"/>
          <w:szCs w:val="22"/>
        </w:rPr>
        <w:t>m</w:t>
      </w:r>
      <w:r>
        <w:rPr>
          <w:szCs w:val="22"/>
        </w:rPr>
        <w:t>e a</w:t>
      </w:r>
      <w:r>
        <w:rPr>
          <w:spacing w:val="1"/>
          <w:szCs w:val="22"/>
        </w:rPr>
        <w:t>l</w:t>
      </w:r>
      <w:r>
        <w:rPr>
          <w:szCs w:val="22"/>
        </w:rPr>
        <w:t>e</w:t>
      </w:r>
      <w:r>
        <w:rPr>
          <w:spacing w:val="-2"/>
          <w:szCs w:val="22"/>
        </w:rPr>
        <w:t xml:space="preserve"> </w:t>
      </w:r>
      <w:r>
        <w:rPr>
          <w:szCs w:val="22"/>
        </w:rPr>
        <w:t>ad</w:t>
      </w:r>
      <w:r>
        <w:rPr>
          <w:spacing w:val="-3"/>
          <w:szCs w:val="22"/>
        </w:rPr>
        <w:t>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de apro</w:t>
      </w:r>
      <w:r>
        <w:rPr>
          <w:spacing w:val="-3"/>
          <w:szCs w:val="22"/>
        </w:rPr>
        <w:t>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12</w:t>
      </w:r>
      <w:r>
        <w:rPr>
          <w:spacing w:val="-3"/>
          <w:szCs w:val="22"/>
        </w:rPr>
        <w:t> </w:t>
      </w:r>
      <w:r>
        <w:rPr>
          <w:spacing w:val="-3"/>
        </w:rPr>
        <w:t>µg</w:t>
      </w:r>
      <w:r>
        <w:rPr>
          <w:spacing w:val="3"/>
          <w:szCs w:val="22"/>
        </w:rPr>
        <w:t>/</w:t>
      </w:r>
      <w:r>
        <w:rPr>
          <w:spacing w:val="-4"/>
          <w:szCs w:val="22"/>
        </w:rPr>
        <w:t>m</w:t>
      </w:r>
      <w:r>
        <w:rPr>
          <w:spacing w:val="1"/>
          <w:szCs w:val="22"/>
        </w:rPr>
        <w:t>l</w:t>
      </w:r>
      <w:r>
        <w:rPr>
          <w:szCs w:val="22"/>
        </w:rPr>
        <w:t xml:space="preserve">. </w:t>
      </w: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 xml:space="preserve">cu </w:t>
      </w:r>
      <w:r>
        <w:rPr>
          <w:spacing w:val="-3"/>
          <w:szCs w:val="22"/>
        </w:rPr>
        <w:t>c</w:t>
      </w:r>
      <w:r>
        <w:rPr>
          <w:szCs w:val="22"/>
        </w:rPr>
        <w:t>o</w:t>
      </w:r>
      <w:r>
        <w:rPr>
          <w:spacing w:val="-2"/>
          <w:szCs w:val="22"/>
        </w:rPr>
        <w:t>l</w:t>
      </w:r>
      <w:r>
        <w:rPr>
          <w:spacing w:val="1"/>
          <w:szCs w:val="22"/>
        </w:rPr>
        <w:t>i</w:t>
      </w:r>
      <w:r>
        <w:rPr>
          <w:spacing w:val="-2"/>
          <w:szCs w:val="22"/>
        </w:rPr>
        <w:t>t</w:t>
      </w:r>
      <w:r>
        <w:rPr>
          <w:szCs w:val="22"/>
        </w:rPr>
        <w:t>ă 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ă c</w:t>
      </w:r>
      <w:r>
        <w:rPr>
          <w:spacing w:val="-3"/>
          <w:szCs w:val="22"/>
        </w:rPr>
        <w:t>ă</w:t>
      </w:r>
      <w:r>
        <w:rPr>
          <w:szCs w:val="22"/>
        </w:rPr>
        <w:t>ro</w:t>
      </w:r>
      <w:r>
        <w:rPr>
          <w:spacing w:val="-2"/>
          <w:szCs w:val="22"/>
        </w:rPr>
        <w:t>r</w:t>
      </w:r>
      <w:r>
        <w:rPr>
          <w:szCs w:val="22"/>
        </w:rPr>
        <w:t xml:space="preserve">a </w:t>
      </w:r>
      <w:r>
        <w:rPr>
          <w:spacing w:val="-2"/>
          <w:szCs w:val="22"/>
        </w:rPr>
        <w:t>l</w:t>
      </w:r>
      <w:r>
        <w:rPr>
          <w:szCs w:val="22"/>
        </w:rPr>
        <w:t>i</w:t>
      </w:r>
      <w:r>
        <w:rPr>
          <w:spacing w:val="1"/>
          <w:szCs w:val="22"/>
        </w:rPr>
        <w:t xml:space="preserve"> </w:t>
      </w:r>
      <w:r>
        <w:rPr>
          <w:szCs w:val="22"/>
        </w:rPr>
        <w:t>s</w:t>
      </w:r>
      <w:r>
        <w:rPr>
          <w:spacing w:val="-4"/>
          <w:szCs w:val="22"/>
        </w:rPr>
        <w:t>-</w:t>
      </w:r>
      <w:r>
        <w:rPr>
          <w:szCs w:val="22"/>
        </w:rPr>
        <w:t>a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zCs w:val="22"/>
        </w:rPr>
        <w:t>t</w:t>
      </w:r>
      <w:r>
        <w:rPr>
          <w:spacing w:val="1"/>
          <w:szCs w:val="22"/>
        </w:rPr>
        <w:t xml:space="preserve"> </w:t>
      </w:r>
      <w:r>
        <w:rPr>
          <w:szCs w:val="22"/>
        </w:rPr>
        <w:t xml:space="preserve">o </w:t>
      </w:r>
      <w:r>
        <w:rPr>
          <w:spacing w:val="-3"/>
          <w:szCs w:val="22"/>
        </w:rPr>
        <w:t>d</w:t>
      </w:r>
      <w:r>
        <w:rPr>
          <w:szCs w:val="22"/>
        </w:rPr>
        <w:t>o</w:t>
      </w:r>
      <w:r>
        <w:rPr>
          <w:spacing w:val="-3"/>
          <w:szCs w:val="22"/>
        </w:rPr>
        <w:t>z</w:t>
      </w:r>
      <w:r>
        <w:rPr>
          <w:szCs w:val="22"/>
        </w:rPr>
        <w:t xml:space="preserve">ă de </w:t>
      </w:r>
      <w:r>
        <w:rPr>
          <w:spacing w:val="1"/>
          <w:szCs w:val="22"/>
        </w:rPr>
        <w:t>î</w:t>
      </w:r>
      <w:r>
        <w:rPr>
          <w:spacing w:val="-3"/>
          <w:szCs w:val="22"/>
        </w:rPr>
        <w:t>n</w:t>
      </w:r>
      <w:r>
        <w:rPr>
          <w:spacing w:val="1"/>
          <w:szCs w:val="22"/>
        </w:rPr>
        <w:t>t</w:t>
      </w:r>
      <w:r>
        <w:rPr>
          <w:spacing w:val="-2"/>
          <w:szCs w:val="22"/>
        </w:rPr>
        <w:t>r</w:t>
      </w:r>
      <w:r>
        <w:rPr>
          <w:szCs w:val="22"/>
        </w:rPr>
        <w:t>e</w:t>
      </w:r>
      <w:r>
        <w:rPr>
          <w:spacing w:val="-2"/>
          <w:szCs w:val="22"/>
        </w:rPr>
        <w:t>ţ</w:t>
      </w:r>
      <w:r>
        <w:rPr>
          <w:spacing w:val="1"/>
          <w:szCs w:val="22"/>
        </w:rPr>
        <w:t>i</w:t>
      </w:r>
      <w:r>
        <w:rPr>
          <w:szCs w:val="22"/>
        </w:rPr>
        <w:t>n</w:t>
      </w:r>
      <w:r>
        <w:rPr>
          <w:spacing w:val="-3"/>
          <w:szCs w:val="22"/>
        </w:rPr>
        <w:t>e</w:t>
      </w:r>
      <w:r>
        <w:rPr>
          <w:szCs w:val="22"/>
        </w:rPr>
        <w:t>re</w:t>
      </w:r>
      <w:r>
        <w:rPr>
          <w:spacing w:val="-2"/>
          <w:szCs w:val="22"/>
        </w:rPr>
        <w:t xml:space="preserve"> </w:t>
      </w:r>
      <w:r>
        <w:rPr>
          <w:rFonts w:eastAsia="MS Mincho"/>
          <w:spacing w:val="-1"/>
          <w:szCs w:val="22"/>
          <w:lang w:eastAsia="en-US" w:bidi="ar-SA"/>
        </w:rPr>
        <w:t>adalimumab</w:t>
      </w:r>
      <w:r>
        <w:rPr>
          <w:szCs w:val="22"/>
        </w:rPr>
        <w:t xml:space="preserve"> 40 </w:t>
      </w:r>
      <w:r>
        <w:rPr>
          <w:spacing w:val="-2"/>
          <w:szCs w:val="22"/>
        </w:rPr>
        <w:t>m</w:t>
      </w:r>
      <w:r>
        <w:rPr>
          <w:szCs w:val="22"/>
        </w:rPr>
        <w:t>g</w:t>
      </w:r>
      <w:r>
        <w:rPr>
          <w:spacing w:val="-3"/>
          <w:szCs w:val="22"/>
        </w:rPr>
        <w:t xml:space="preserve"> </w:t>
      </w:r>
      <w:r>
        <w:rPr>
          <w:spacing w:val="1"/>
          <w:szCs w:val="22"/>
        </w:rPr>
        <w:t>l</w:t>
      </w:r>
      <w:r>
        <w:rPr>
          <w:szCs w:val="22"/>
        </w:rPr>
        <w:t>a două</w:t>
      </w:r>
      <w:r>
        <w:rPr>
          <w:spacing w:val="-2"/>
          <w:szCs w:val="22"/>
        </w:rPr>
        <w:t xml:space="preserve"> </w:t>
      </w:r>
      <w:r>
        <w:rPr>
          <w:szCs w:val="22"/>
        </w:rPr>
        <w:t>să</w:t>
      </w:r>
      <w:r>
        <w:rPr>
          <w:spacing w:val="-3"/>
          <w:szCs w:val="22"/>
        </w:rPr>
        <w:t>p</w:t>
      </w:r>
      <w:r>
        <w:rPr>
          <w:spacing w:val="-2"/>
          <w:szCs w:val="22"/>
        </w:rPr>
        <w:t>t</w:t>
      </w:r>
      <w:r>
        <w:rPr>
          <w:szCs w:val="22"/>
        </w:rPr>
        <w:t>ă</w:t>
      </w:r>
      <w:r>
        <w:rPr>
          <w:spacing w:val="-4"/>
          <w:szCs w:val="22"/>
        </w:rPr>
        <w:t>m</w:t>
      </w:r>
      <w:r>
        <w:rPr>
          <w:szCs w:val="22"/>
        </w:rPr>
        <w:t>ân</w:t>
      </w:r>
      <w:r>
        <w:rPr>
          <w:spacing w:val="1"/>
          <w:szCs w:val="22"/>
        </w:rPr>
        <w:t>i</w:t>
      </w:r>
      <w:r>
        <w:rPr>
          <w:szCs w:val="22"/>
        </w:rPr>
        <w:t>, s</w:t>
      </w:r>
      <w:r>
        <w:rPr>
          <w:spacing w:val="-4"/>
          <w:szCs w:val="22"/>
        </w:rPr>
        <w:t>-</w:t>
      </w:r>
      <w:r>
        <w:rPr>
          <w:szCs w:val="22"/>
        </w:rPr>
        <w:t>au obser</w:t>
      </w:r>
      <w:r>
        <w:rPr>
          <w:spacing w:val="-3"/>
          <w:szCs w:val="22"/>
        </w:rPr>
        <w:t>v</w:t>
      </w:r>
      <w:r>
        <w:rPr>
          <w:szCs w:val="22"/>
        </w:rPr>
        <w:t>at</w:t>
      </w:r>
      <w:r>
        <w:rPr>
          <w:spacing w:val="-2"/>
          <w:szCs w:val="22"/>
        </w:rPr>
        <w:t xml:space="preserve"> </w:t>
      </w:r>
      <w:r>
        <w:rPr>
          <w:szCs w:val="22"/>
        </w:rPr>
        <w:t>con</w:t>
      </w:r>
      <w:r>
        <w:rPr>
          <w:spacing w:val="-3"/>
          <w:szCs w:val="22"/>
        </w:rPr>
        <w:t>c</w:t>
      </w:r>
      <w:r>
        <w:rPr>
          <w:szCs w:val="22"/>
        </w:rPr>
        <w:t>en</w:t>
      </w:r>
      <w:r>
        <w:rPr>
          <w:spacing w:val="-2"/>
          <w:szCs w:val="22"/>
        </w:rPr>
        <w:t>t</w:t>
      </w:r>
      <w:r>
        <w:rPr>
          <w:szCs w:val="22"/>
        </w:rPr>
        <w:t>r</w:t>
      </w:r>
      <w:r>
        <w:rPr>
          <w:spacing w:val="-3"/>
          <w:szCs w:val="22"/>
        </w:rPr>
        <w:t>a</w:t>
      </w:r>
      <w:r>
        <w:rPr>
          <w:spacing w:val="1"/>
          <w:szCs w:val="22"/>
        </w:rPr>
        <w:t>ţ</w:t>
      </w:r>
      <w:r>
        <w:rPr>
          <w:spacing w:val="-2"/>
          <w:szCs w:val="22"/>
        </w:rPr>
        <w:t>i</w:t>
      </w:r>
      <w:r>
        <w:rPr>
          <w:szCs w:val="22"/>
        </w:rPr>
        <w:t>i</w:t>
      </w:r>
      <w:r>
        <w:rPr>
          <w:spacing w:val="1"/>
          <w:szCs w:val="22"/>
        </w:rPr>
        <w:t xml:space="preserve"> </w:t>
      </w:r>
      <w:r>
        <w:rPr>
          <w:spacing w:val="-4"/>
          <w:szCs w:val="22"/>
        </w:rPr>
        <w:t>m</w:t>
      </w:r>
      <w:r>
        <w:rPr>
          <w:spacing w:val="1"/>
          <w:szCs w:val="22"/>
        </w:rPr>
        <w:t>i</w:t>
      </w:r>
      <w:r>
        <w:rPr>
          <w:szCs w:val="22"/>
        </w:rPr>
        <w:t>n</w:t>
      </w:r>
      <w:r>
        <w:rPr>
          <w:spacing w:val="-2"/>
          <w:szCs w:val="22"/>
        </w:rPr>
        <w:t>i</w:t>
      </w:r>
      <w:r>
        <w:rPr>
          <w:spacing w:val="-4"/>
          <w:szCs w:val="22"/>
        </w:rPr>
        <w:t>m</w:t>
      </w:r>
      <w:r>
        <w:rPr>
          <w:szCs w:val="22"/>
        </w:rPr>
        <w:t xml:space="preserve">e </w:t>
      </w:r>
      <w:r>
        <w:rPr>
          <w:spacing w:val="1"/>
          <w:szCs w:val="22"/>
        </w:rPr>
        <w:t>l</w:t>
      </w:r>
      <w:r>
        <w:rPr>
          <w:szCs w:val="22"/>
        </w:rPr>
        <w:t>a s</w:t>
      </w:r>
      <w:r>
        <w:rPr>
          <w:spacing w:val="1"/>
          <w:szCs w:val="22"/>
        </w:rPr>
        <w:t>t</w:t>
      </w:r>
      <w:r>
        <w:rPr>
          <w:spacing w:val="-3"/>
          <w:szCs w:val="22"/>
        </w:rPr>
        <w:t>a</w:t>
      </w:r>
      <w:r>
        <w:rPr>
          <w:szCs w:val="22"/>
        </w:rPr>
        <w:t>rea</w:t>
      </w:r>
      <w:r>
        <w:rPr>
          <w:spacing w:val="-2"/>
          <w:szCs w:val="22"/>
        </w:rPr>
        <w:t xml:space="preserve"> </w:t>
      </w:r>
      <w:r>
        <w:rPr>
          <w:szCs w:val="22"/>
        </w:rPr>
        <w:t xml:space="preserve">de </w:t>
      </w:r>
      <w:r>
        <w:rPr>
          <w:spacing w:val="-3"/>
          <w:szCs w:val="22"/>
        </w:rPr>
        <w:t>e</w:t>
      </w:r>
      <w:r>
        <w:rPr>
          <w:szCs w:val="22"/>
        </w:rPr>
        <w:t>ch</w:t>
      </w:r>
      <w:r>
        <w:rPr>
          <w:spacing w:val="-2"/>
          <w:szCs w:val="22"/>
        </w:rPr>
        <w:t>i</w:t>
      </w:r>
      <w:r>
        <w:rPr>
          <w:spacing w:val="1"/>
          <w:szCs w:val="22"/>
        </w:rPr>
        <w:t>li</w:t>
      </w:r>
      <w:r>
        <w:rPr>
          <w:spacing w:val="-3"/>
          <w:szCs w:val="22"/>
        </w:rPr>
        <w:t>b</w:t>
      </w:r>
      <w:r>
        <w:rPr>
          <w:szCs w:val="22"/>
        </w:rPr>
        <w:t xml:space="preserve">ru </w:t>
      </w:r>
      <w:r>
        <w:rPr>
          <w:spacing w:val="-3"/>
          <w:szCs w:val="22"/>
        </w:rPr>
        <w:t>d</w:t>
      </w:r>
      <w:r>
        <w:rPr>
          <w:szCs w:val="22"/>
        </w:rPr>
        <w:t>e</w:t>
      </w:r>
      <w:r>
        <w:rPr>
          <w:spacing w:val="-2"/>
          <w:szCs w:val="22"/>
        </w:rPr>
        <w:t xml:space="preserve"> </w:t>
      </w:r>
      <w:r>
        <w:rPr>
          <w:szCs w:val="22"/>
        </w:rPr>
        <w:t>apro</w:t>
      </w:r>
      <w:r>
        <w:rPr>
          <w:spacing w:val="-3"/>
          <w:szCs w:val="22"/>
        </w:rPr>
        <w:t>x</w:t>
      </w:r>
      <w:r>
        <w:rPr>
          <w:spacing w:val="1"/>
          <w:szCs w:val="22"/>
        </w:rPr>
        <w:t>i</w:t>
      </w:r>
      <w:r>
        <w:rPr>
          <w:spacing w:val="-4"/>
          <w:szCs w:val="22"/>
        </w:rPr>
        <w:t>m</w:t>
      </w:r>
      <w:r>
        <w:rPr>
          <w:szCs w:val="22"/>
        </w:rPr>
        <w:t>a</w:t>
      </w:r>
      <w:r>
        <w:rPr>
          <w:spacing w:val="1"/>
          <w:szCs w:val="22"/>
        </w:rPr>
        <w:t>ti</w:t>
      </w:r>
      <w:r>
        <w:rPr>
          <w:szCs w:val="22"/>
        </w:rPr>
        <w:t>v</w:t>
      </w:r>
      <w:r>
        <w:rPr>
          <w:spacing w:val="-3"/>
          <w:szCs w:val="22"/>
        </w:rPr>
        <w:t xml:space="preserve"> </w:t>
      </w:r>
      <w:r>
        <w:rPr>
          <w:szCs w:val="22"/>
        </w:rPr>
        <w:t>8 </w:t>
      </w:r>
      <w:r>
        <w:rPr>
          <w:spacing w:val="-4"/>
          <w:szCs w:val="22"/>
        </w:rPr>
        <w:t>m</w:t>
      </w:r>
      <w:r>
        <w:rPr>
          <w:spacing w:val="1"/>
          <w:szCs w:val="22"/>
        </w:rPr>
        <w:t>i</w:t>
      </w:r>
      <w:r>
        <w:rPr>
          <w:szCs w:val="22"/>
        </w:rPr>
        <w:t>cro</w:t>
      </w:r>
      <w:r>
        <w:rPr>
          <w:spacing w:val="-3"/>
          <w:szCs w:val="22"/>
        </w:rPr>
        <w:t>g</w:t>
      </w:r>
      <w:r>
        <w:rPr>
          <w:szCs w:val="22"/>
        </w:rPr>
        <w:t>ra</w:t>
      </w:r>
      <w:r>
        <w:rPr>
          <w:spacing w:val="-4"/>
          <w:szCs w:val="22"/>
        </w:rPr>
        <w:t>m</w:t>
      </w:r>
      <w:r>
        <w:rPr>
          <w:szCs w:val="22"/>
        </w:rPr>
        <w:t>e</w:t>
      </w:r>
      <w:r>
        <w:rPr>
          <w:spacing w:val="1"/>
          <w:szCs w:val="22"/>
        </w:rPr>
        <w:t>/</w:t>
      </w:r>
      <w:r>
        <w:rPr>
          <w:spacing w:val="-4"/>
          <w:szCs w:val="22"/>
        </w:rPr>
        <w:t>m</w:t>
      </w:r>
      <w:r>
        <w:rPr>
          <w:spacing w:val="1"/>
          <w:szCs w:val="22"/>
        </w:rPr>
        <w:t>l</w:t>
      </w:r>
      <w:r>
        <w:rPr>
          <w:szCs w:val="22"/>
        </w:rPr>
        <w:t>.</w:t>
      </w:r>
    </w:p>
    <w:p w14:paraId="2FC27B08" w14:textId="77777777" w:rsidR="00C04CAD" w:rsidRDefault="00C04CAD">
      <w:pPr>
        <w:tabs>
          <w:tab w:val="clear" w:pos="567"/>
        </w:tabs>
        <w:kinsoku w:val="0"/>
        <w:overflowPunct w:val="0"/>
        <w:autoSpaceDE w:val="0"/>
        <w:autoSpaceDN w:val="0"/>
        <w:adjustRightInd w:val="0"/>
        <w:spacing w:line="240" w:lineRule="auto"/>
        <w:rPr>
          <w:szCs w:val="22"/>
        </w:rPr>
      </w:pPr>
    </w:p>
    <w:p w14:paraId="52F6BC5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După administrarea subcutanată a unei doze în funcție de greutatea corporală de 0,6 mg/kg (maximum 40 mg) la două săptămâni la copii și adolescenți cu colită ulcerativă, media concentrațiilor serice ale adalimumabului, la starea de echilibru, a fost de 5,01 ± 3,28 μg/ml în săptămâna 52. Pentru pacienții cărora li s-a administrat o doză de 0,6 mg/kg (maximum 40 mg) în fiecare săptămână, media concentrațiilor serice ale adalimumabului, la starea de echilibru, (± SD) a fost de 15,7±5,60 μg/ml în săptămâna 52.</w:t>
      </w:r>
    </w:p>
    <w:p w14:paraId="5EA45F06" w14:textId="77777777" w:rsidR="00C04CAD" w:rsidRDefault="00C04CAD">
      <w:pPr>
        <w:tabs>
          <w:tab w:val="clear" w:pos="567"/>
        </w:tabs>
        <w:kinsoku w:val="0"/>
        <w:overflowPunct w:val="0"/>
        <w:autoSpaceDE w:val="0"/>
        <w:autoSpaceDN w:val="0"/>
        <w:adjustRightInd w:val="0"/>
        <w:spacing w:line="240" w:lineRule="auto"/>
      </w:pPr>
    </w:p>
    <w:p w14:paraId="62DE47F6"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adulți </w:t>
      </w:r>
      <w:r>
        <w:t>cu</w:t>
      </w:r>
      <w:r>
        <w:rPr>
          <w:spacing w:val="-3"/>
        </w:rPr>
        <w:t xml:space="preserve"> </w:t>
      </w:r>
      <w:r>
        <w:t>u</w:t>
      </w:r>
      <w:r>
        <w:rPr>
          <w:spacing w:val="-3"/>
        </w:rPr>
        <w:t>v</w:t>
      </w:r>
      <w:r>
        <w:t>e</w:t>
      </w:r>
      <w:r>
        <w:rPr>
          <w:spacing w:val="1"/>
        </w:rPr>
        <w:t>it</w:t>
      </w:r>
      <w:r>
        <w:t>ă,</w:t>
      </w:r>
      <w:r>
        <w:rPr>
          <w:spacing w:val="-3"/>
        </w:rPr>
        <w:t xml:space="preserve"> </w:t>
      </w:r>
      <w:r>
        <w:t>o d</w:t>
      </w:r>
      <w:r>
        <w:rPr>
          <w:spacing w:val="-3"/>
        </w:rPr>
        <w:t>oz</w:t>
      </w:r>
      <w:r>
        <w:t xml:space="preserve">ă de </w:t>
      </w:r>
      <w:r>
        <w:rPr>
          <w:spacing w:val="1"/>
        </w:rPr>
        <w:t>î</w:t>
      </w:r>
      <w:r>
        <w:t>n</w:t>
      </w:r>
      <w:r>
        <w:rPr>
          <w:spacing w:val="-3"/>
        </w:rPr>
        <w:t>c</w:t>
      </w:r>
      <w:r>
        <w:t>ăr</w:t>
      </w:r>
      <w:r>
        <w:rPr>
          <w:spacing w:val="-3"/>
        </w:rPr>
        <w:t>c</w:t>
      </w:r>
      <w:r>
        <w:t>are</w:t>
      </w:r>
      <w:r>
        <w:rPr>
          <w:spacing w:val="-2"/>
        </w:rPr>
        <w:t xml:space="preserve"> </w:t>
      </w:r>
      <w:r>
        <w:t xml:space="preserve">de </w:t>
      </w:r>
      <w:r>
        <w:rPr>
          <w:spacing w:val="-3"/>
        </w:rPr>
        <w:t>a</w:t>
      </w:r>
      <w:r>
        <w:t>da</w:t>
      </w:r>
      <w:r>
        <w:rPr>
          <w:spacing w:val="-2"/>
        </w:rPr>
        <w:t>l</w:t>
      </w:r>
      <w:r>
        <w:rPr>
          <w:spacing w:val="1"/>
        </w:rPr>
        <w:t>i</w:t>
      </w:r>
      <w:r>
        <w:rPr>
          <w:spacing w:val="-4"/>
        </w:rPr>
        <w:t>m</w:t>
      </w:r>
      <w:r>
        <w:t>u</w:t>
      </w:r>
      <w:r>
        <w:rPr>
          <w:spacing w:val="-4"/>
        </w:rPr>
        <w:t>m</w:t>
      </w:r>
      <w:r>
        <w:t>ab 80</w:t>
      </w:r>
      <w:r>
        <w:rPr>
          <w:spacing w:val="2"/>
        </w:rPr>
        <w:t> </w:t>
      </w:r>
      <w:r>
        <w:rPr>
          <w:spacing w:val="-4"/>
        </w:rPr>
        <w:t>m</w:t>
      </w:r>
      <w:r>
        <w:t>g</w:t>
      </w:r>
      <w:r>
        <w:rPr>
          <w:spacing w:val="-3"/>
        </w:rPr>
        <w:t xml:space="preserve"> </w:t>
      </w:r>
      <w:r>
        <w:rPr>
          <w:spacing w:val="1"/>
        </w:rPr>
        <w:t>î</w:t>
      </w:r>
      <w:r>
        <w:t xml:space="preserve">n </w:t>
      </w:r>
      <w:r>
        <w:rPr>
          <w:rFonts w:eastAsia="MS Mincho"/>
          <w:spacing w:val="-1"/>
          <w:szCs w:val="22"/>
          <w:lang w:eastAsia="en-US" w:bidi="ar-SA"/>
        </w:rPr>
        <w:t>s</w:t>
      </w:r>
      <w:r>
        <w:rPr>
          <w:rFonts w:eastAsia="MS Mincho"/>
          <w:szCs w:val="22"/>
          <w:lang w:eastAsia="en-US" w:bidi="ar-SA"/>
        </w:rPr>
        <w:t>ăp</w:t>
      </w:r>
      <w:r>
        <w:rPr>
          <w:rFonts w:eastAsia="MS Mincho"/>
          <w:spacing w:val="1"/>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0</w:t>
      </w:r>
      <w:r>
        <w:rPr>
          <w:spacing w:val="-3"/>
        </w:rPr>
        <w:t xml:space="preserve"> </w:t>
      </w:r>
      <w:r>
        <w:t>ur</w:t>
      </w:r>
      <w:r>
        <w:rPr>
          <w:spacing w:val="-4"/>
        </w:rPr>
        <w:t>m</w:t>
      </w:r>
      <w:r>
        <w:t>a</w:t>
      </w:r>
      <w:r>
        <w:rPr>
          <w:spacing w:val="1"/>
        </w:rPr>
        <w:t>t</w:t>
      </w:r>
      <w:r>
        <w:t>ă de ada</w:t>
      </w:r>
      <w:r>
        <w:rPr>
          <w:spacing w:val="-2"/>
        </w:rPr>
        <w:t>l</w:t>
      </w:r>
      <w:r>
        <w:rPr>
          <w:spacing w:val="1"/>
        </w:rPr>
        <w:t>i</w:t>
      </w:r>
      <w:r>
        <w:rPr>
          <w:spacing w:val="-4"/>
        </w:rPr>
        <w:t>m</w:t>
      </w:r>
      <w:r>
        <w:rPr>
          <w:spacing w:val="2"/>
        </w:rPr>
        <w:t>u</w:t>
      </w:r>
      <w:r>
        <w:rPr>
          <w:spacing w:val="-4"/>
        </w:rPr>
        <w:t>m</w:t>
      </w:r>
      <w:r>
        <w:t>ab 40 </w:t>
      </w:r>
      <w:r>
        <w:rPr>
          <w:spacing w:val="-2"/>
        </w:rPr>
        <w:t>m</w:t>
      </w:r>
      <w:r>
        <w:t>g</w:t>
      </w:r>
      <w:r>
        <w:rPr>
          <w:spacing w:val="-3"/>
        </w:rPr>
        <w:t xml:space="preserve"> </w:t>
      </w:r>
      <w:r>
        <w:rPr>
          <w:spacing w:val="1"/>
        </w:rPr>
        <w:t>l</w:t>
      </w:r>
      <w:r>
        <w:t>a două</w:t>
      </w:r>
      <w:r>
        <w:rPr>
          <w:spacing w:val="-2"/>
        </w:rPr>
        <w:t xml:space="preserve"> </w:t>
      </w:r>
      <w:r>
        <w:t>săp</w:t>
      </w:r>
      <w:r>
        <w:rPr>
          <w:spacing w:val="-2"/>
        </w:rPr>
        <w:t>t</w:t>
      </w:r>
      <w:r>
        <w:t>ă</w:t>
      </w:r>
      <w:r>
        <w:rPr>
          <w:spacing w:val="-4"/>
        </w:rPr>
        <w:t>m</w:t>
      </w:r>
      <w:r>
        <w:t>âni</w:t>
      </w:r>
      <w:r>
        <w:rPr>
          <w:spacing w:val="1"/>
        </w:rPr>
        <w:t xml:space="preserve"> î</w:t>
      </w:r>
      <w:r>
        <w:t xml:space="preserve">n </w:t>
      </w:r>
      <w:r>
        <w:rPr>
          <w:rFonts w:eastAsia="MS Mincho"/>
          <w:spacing w:val="-3"/>
          <w:szCs w:val="22"/>
          <w:lang w:eastAsia="en-US" w:bidi="ar-SA"/>
        </w:rPr>
        <w:t>s</w:t>
      </w:r>
      <w:r>
        <w:rPr>
          <w:rFonts w:eastAsia="MS Mincho"/>
          <w:szCs w:val="22"/>
          <w:lang w:eastAsia="en-US" w:bidi="ar-SA"/>
        </w:rPr>
        <w:t>ăp</w:t>
      </w:r>
      <w:r>
        <w:rPr>
          <w:rFonts w:eastAsia="MS Mincho"/>
          <w:spacing w:val="-2"/>
          <w:szCs w:val="22"/>
          <w:lang w:eastAsia="en-US" w:bidi="ar-SA"/>
        </w:rPr>
        <w:t>t</w:t>
      </w:r>
      <w:r>
        <w:rPr>
          <w:rFonts w:eastAsia="MS Mincho"/>
          <w:szCs w:val="22"/>
          <w:lang w:eastAsia="en-US" w:bidi="ar-SA"/>
        </w:rPr>
        <w:t>ă</w:t>
      </w:r>
      <w:r>
        <w:rPr>
          <w:rFonts w:eastAsia="MS Mincho"/>
          <w:spacing w:val="-4"/>
          <w:szCs w:val="22"/>
          <w:lang w:eastAsia="en-US" w:bidi="ar-SA"/>
        </w:rPr>
        <w:t>m</w:t>
      </w:r>
      <w:r>
        <w:rPr>
          <w:rFonts w:eastAsia="MS Mincho"/>
          <w:szCs w:val="22"/>
          <w:lang w:eastAsia="en-US" w:bidi="ar-SA"/>
        </w:rPr>
        <w:t>âna</w:t>
      </w:r>
      <w:r>
        <w:t xml:space="preserve"> 1, a a</w:t>
      </w:r>
      <w:r>
        <w:rPr>
          <w:spacing w:val="-3"/>
        </w:rPr>
        <w:t>v</w:t>
      </w:r>
      <w:r>
        <w:t>ut</w:t>
      </w:r>
      <w:r>
        <w:rPr>
          <w:spacing w:val="1"/>
        </w:rPr>
        <w:t xml:space="preserve"> </w:t>
      </w:r>
      <w:r>
        <w:t>ca</w:t>
      </w:r>
      <w:r>
        <w:rPr>
          <w:spacing w:val="-2"/>
        </w:rPr>
        <w:t xml:space="preserve"> </w:t>
      </w:r>
      <w:r>
        <w:t>re</w:t>
      </w:r>
      <w:r>
        <w:rPr>
          <w:spacing w:val="-3"/>
        </w:rPr>
        <w:t>z</w:t>
      </w:r>
      <w:r>
        <w:t>u</w:t>
      </w:r>
      <w:r>
        <w:rPr>
          <w:spacing w:val="-2"/>
        </w:rPr>
        <w:t>l</w:t>
      </w:r>
      <w:r>
        <w:rPr>
          <w:spacing w:val="1"/>
        </w:rPr>
        <w:t>t</w:t>
      </w:r>
      <w:r>
        <w:rPr>
          <w:spacing w:val="-3"/>
        </w:rPr>
        <w:t>a</w:t>
      </w:r>
      <w:r>
        <w:t>t</w:t>
      </w:r>
      <w:r>
        <w:rPr>
          <w:spacing w:val="1"/>
        </w:rPr>
        <w:t xml:space="preserve"> </w:t>
      </w:r>
      <w:r>
        <w:t>co</w:t>
      </w:r>
      <w:r>
        <w:rPr>
          <w:spacing w:val="-3"/>
        </w:rPr>
        <w:t>n</w:t>
      </w:r>
      <w:r>
        <w:t>ce</w:t>
      </w:r>
      <w:r>
        <w:rPr>
          <w:spacing w:val="-3"/>
        </w:rPr>
        <w:t>n</w:t>
      </w:r>
      <w:r>
        <w:rPr>
          <w:spacing w:val="1"/>
        </w:rPr>
        <w:t>t</w:t>
      </w:r>
      <w:r>
        <w:t>r</w:t>
      </w:r>
      <w:r>
        <w:rPr>
          <w:spacing w:val="-3"/>
        </w:rPr>
        <w:t>a</w:t>
      </w:r>
      <w:r>
        <w:rPr>
          <w:spacing w:val="1"/>
        </w:rPr>
        <w:t>ţ</w:t>
      </w:r>
      <w:r>
        <w:rPr>
          <w:spacing w:val="-2"/>
        </w:rPr>
        <w:t>i</w:t>
      </w:r>
      <w:r>
        <w:t>i</w:t>
      </w:r>
      <w:r>
        <w:rPr>
          <w:spacing w:val="1"/>
        </w:rPr>
        <w:t xml:space="preserve"> </w:t>
      </w:r>
      <w:r>
        <w:rPr>
          <w:spacing w:val="-4"/>
        </w:rPr>
        <w:t>m</w:t>
      </w:r>
      <w:r>
        <w:rPr>
          <w:spacing w:val="1"/>
        </w:rPr>
        <w:t>i</w:t>
      </w:r>
      <w:r>
        <w:t>n</w:t>
      </w:r>
      <w:r>
        <w:rPr>
          <w:spacing w:val="1"/>
        </w:rPr>
        <w:t>i</w:t>
      </w:r>
      <w:r>
        <w:rPr>
          <w:spacing w:val="-4"/>
        </w:rPr>
        <w:t>m</w:t>
      </w:r>
      <w:r>
        <w:t xml:space="preserve">e </w:t>
      </w:r>
      <w:r>
        <w:rPr>
          <w:spacing w:val="1"/>
        </w:rPr>
        <w:t>l</w:t>
      </w:r>
      <w:r>
        <w:t>a s</w:t>
      </w:r>
      <w:r>
        <w:rPr>
          <w:spacing w:val="-2"/>
        </w:rPr>
        <w:t>t</w:t>
      </w:r>
      <w:r>
        <w:t>a</w:t>
      </w:r>
      <w:r>
        <w:rPr>
          <w:spacing w:val="-2"/>
        </w:rPr>
        <w:t>r</w:t>
      </w:r>
      <w:r>
        <w:t>ea de ec</w:t>
      </w:r>
      <w:r>
        <w:rPr>
          <w:spacing w:val="-3"/>
        </w:rPr>
        <w:t>h</w:t>
      </w:r>
      <w:r>
        <w:rPr>
          <w:spacing w:val="1"/>
        </w:rPr>
        <w:t>i</w:t>
      </w:r>
      <w:r>
        <w:rPr>
          <w:spacing w:val="-2"/>
        </w:rPr>
        <w:t>l</w:t>
      </w:r>
      <w:r>
        <w:rPr>
          <w:spacing w:val="1"/>
        </w:rPr>
        <w:t>i</w:t>
      </w:r>
      <w:r>
        <w:rPr>
          <w:spacing w:val="-3"/>
        </w:rPr>
        <w:t>b</w:t>
      </w:r>
      <w:r>
        <w:t>ru de</w:t>
      </w:r>
      <w:r>
        <w:rPr>
          <w:spacing w:val="-2"/>
        </w:rPr>
        <w:t xml:space="preserve"> </w:t>
      </w:r>
      <w:r>
        <w:t>apr</w:t>
      </w:r>
      <w:r>
        <w:rPr>
          <w:spacing w:val="-3"/>
        </w:rPr>
        <w:t>o</w:t>
      </w:r>
      <w:r>
        <w:t>x</w:t>
      </w:r>
      <w:r>
        <w:rPr>
          <w:spacing w:val="1"/>
        </w:rPr>
        <w:t>i</w:t>
      </w:r>
      <w:r>
        <w:rPr>
          <w:spacing w:val="-4"/>
        </w:rPr>
        <w:t>m</w:t>
      </w:r>
      <w:r>
        <w:t>a</w:t>
      </w:r>
      <w:r>
        <w:rPr>
          <w:spacing w:val="1"/>
        </w:rPr>
        <w:t>ti</w:t>
      </w:r>
      <w:r>
        <w:t>v</w:t>
      </w:r>
      <w:r>
        <w:rPr>
          <w:spacing w:val="-3"/>
        </w:rPr>
        <w:t xml:space="preserve"> </w:t>
      </w:r>
      <w:r>
        <w:t>8 până</w:t>
      </w:r>
      <w:r>
        <w:rPr>
          <w:spacing w:val="-2"/>
        </w:rPr>
        <w:t xml:space="preserve"> </w:t>
      </w:r>
      <w:r>
        <w:rPr>
          <w:spacing w:val="1"/>
        </w:rPr>
        <w:t>l</w:t>
      </w:r>
      <w:r>
        <w:t xml:space="preserve">a </w:t>
      </w:r>
      <w:r>
        <w:rPr>
          <w:spacing w:val="-3"/>
        </w:rPr>
        <w:t>1</w:t>
      </w:r>
      <w:r>
        <w:t>0 </w:t>
      </w:r>
      <w:r>
        <w:rPr>
          <w:spacing w:val="-3"/>
        </w:rPr>
        <w:t>µg</w:t>
      </w:r>
      <w:r>
        <w:rPr>
          <w:spacing w:val="3"/>
        </w:rPr>
        <w:t>/</w:t>
      </w:r>
      <w:r>
        <w:rPr>
          <w:spacing w:val="-4"/>
        </w:rPr>
        <w:t>m</w:t>
      </w:r>
      <w:r>
        <w:rPr>
          <w:spacing w:val="1"/>
        </w:rPr>
        <w:t>l</w:t>
      </w:r>
      <w:r>
        <w:t>.</w:t>
      </w:r>
    </w:p>
    <w:p w14:paraId="047B9FF5" w14:textId="77777777" w:rsidR="00C04CAD" w:rsidRDefault="00C04CAD">
      <w:pPr>
        <w:tabs>
          <w:tab w:val="clear" w:pos="567"/>
        </w:tabs>
        <w:kinsoku w:val="0"/>
        <w:overflowPunct w:val="0"/>
        <w:autoSpaceDE w:val="0"/>
        <w:autoSpaceDN w:val="0"/>
        <w:adjustRightInd w:val="0"/>
        <w:spacing w:line="240" w:lineRule="auto"/>
        <w:rPr>
          <w:szCs w:val="22"/>
        </w:rPr>
      </w:pPr>
    </w:p>
    <w:p w14:paraId="15B42996" w14:textId="77777777" w:rsidR="00C04CAD" w:rsidRDefault="00060E34">
      <w:pPr>
        <w:tabs>
          <w:tab w:val="clear" w:pos="567"/>
        </w:tabs>
        <w:kinsoku w:val="0"/>
        <w:overflowPunct w:val="0"/>
        <w:autoSpaceDE w:val="0"/>
        <w:autoSpaceDN w:val="0"/>
        <w:adjustRightInd w:val="0"/>
        <w:spacing w:line="240" w:lineRule="auto"/>
      </w:pPr>
      <w:r>
        <w:rPr>
          <w:szCs w:val="22"/>
        </w:rPr>
        <w:t>Expunerea la adalimumab a pacienților copii și adolescenți cu uveită a fost stabilită</w:t>
      </w:r>
      <w:r>
        <w:t xml:space="preserve"> </w:t>
      </w:r>
      <w:r>
        <w:rPr>
          <w:szCs w:val="22"/>
        </w:rPr>
        <w:t xml:space="preserve">cu ajutorul modelării și simulării farmacocinetice populaționale pe baza indicatorilor farmacocinetici la pacienți pediatrici în alte indicații (psoriazis la copii, artrită juvenilă idiopatică, boală Crohn la copii și artrită asociată entezitei). Nu sunt disponibile date clinice privind expunerea în cazul utilizării unei doze de încărcare la copii cu vârsta &lt; 6 ani. </w:t>
      </w:r>
      <w:r>
        <w:rPr>
          <w:bCs/>
          <w:szCs w:val="22"/>
        </w:rPr>
        <w:t>Datele anticipate privind expunerile indică faptul că, în absența metotrexatului, doza de încărcare poate duce la o creștere inițială a expunerii sistemice.</w:t>
      </w:r>
    </w:p>
    <w:p w14:paraId="3BAC2015" w14:textId="77777777" w:rsidR="00C04CAD" w:rsidRDefault="00C04CAD">
      <w:pPr>
        <w:tabs>
          <w:tab w:val="clear" w:pos="567"/>
        </w:tabs>
        <w:kinsoku w:val="0"/>
        <w:overflowPunct w:val="0"/>
        <w:autoSpaceDE w:val="0"/>
        <w:autoSpaceDN w:val="0"/>
        <w:adjustRightInd w:val="0"/>
        <w:spacing w:line="240" w:lineRule="auto"/>
        <w:rPr>
          <w:szCs w:val="22"/>
        </w:rPr>
      </w:pPr>
    </w:p>
    <w:p w14:paraId="55578F2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Populația farmacocinetică și modelarea și simularea farmacocinetică/farmacodinamică au estimat o expunere și eficacitate a adalimumabului la pacienții tratați cu o doză de 80 mg la două săptămâni comparabile cu valorile observate la pacienții tratați cu o doză de 40 mg în fiecare săptămână (inclusiv pacienți adulți cu AR, HS, CU, BC sau Ps, pacienți adolescenți cu HS și pacienți copii și adolescenți cu greutatea ≥ 40 kg cu BC și CU). </w:t>
      </w:r>
    </w:p>
    <w:p w14:paraId="1B1AEC76" w14:textId="77777777" w:rsidR="00C04CAD" w:rsidRDefault="00C04CAD">
      <w:pPr>
        <w:tabs>
          <w:tab w:val="clear" w:pos="567"/>
        </w:tabs>
        <w:kinsoku w:val="0"/>
        <w:overflowPunct w:val="0"/>
        <w:autoSpaceDE w:val="0"/>
        <w:autoSpaceDN w:val="0"/>
        <w:adjustRightInd w:val="0"/>
        <w:spacing w:line="240" w:lineRule="auto"/>
        <w:rPr>
          <w:szCs w:val="22"/>
        </w:rPr>
      </w:pPr>
    </w:p>
    <w:p w14:paraId="72EE2DE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Relația expunere-răspuns la copii și adolescenți</w:t>
      </w:r>
    </w:p>
    <w:p w14:paraId="3664CCBE" w14:textId="77777777" w:rsidR="00C04CAD" w:rsidRDefault="00C04CAD">
      <w:pPr>
        <w:tabs>
          <w:tab w:val="clear" w:pos="567"/>
        </w:tabs>
        <w:kinsoku w:val="0"/>
        <w:overflowPunct w:val="0"/>
        <w:autoSpaceDE w:val="0"/>
        <w:autoSpaceDN w:val="0"/>
        <w:adjustRightInd w:val="0"/>
        <w:spacing w:line="240" w:lineRule="auto"/>
        <w:rPr>
          <w:szCs w:val="22"/>
        </w:rPr>
      </w:pPr>
    </w:p>
    <w:p w14:paraId="540F616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Pe baza datelor din studiile clinice efectuate la pacienții cu AJI (AJIp și AAE), s-a stabilit o relație expunere-răspuns între concentrațiile plasmatice și răspunsul ACR 50 pediatric. Concentrația plasmatică aparentă a adalimumab care determină jumătate din probabilitatea maximă de răspuns ACR50 pediatric (EC50) a fost de 3 μg/ml (95% IÎ: 1-6 μg/ml).</w:t>
      </w:r>
    </w:p>
    <w:p w14:paraId="6D177D3C" w14:textId="77777777" w:rsidR="00C04CAD" w:rsidRDefault="00C04CAD">
      <w:pPr>
        <w:tabs>
          <w:tab w:val="clear" w:pos="567"/>
        </w:tabs>
        <w:kinsoku w:val="0"/>
        <w:overflowPunct w:val="0"/>
        <w:autoSpaceDE w:val="0"/>
        <w:autoSpaceDN w:val="0"/>
        <w:adjustRightInd w:val="0"/>
        <w:spacing w:line="240" w:lineRule="auto"/>
        <w:rPr>
          <w:szCs w:val="22"/>
        </w:rPr>
      </w:pPr>
    </w:p>
    <w:p w14:paraId="392C4D1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Relațiile expunere-răspuns între concentrația de adalimumab și eficacitate la pacienții copii și adolescenți cu psoriazis în plăci cronic sever a fost stabilită pentru PASI 75 și respectiv PGA normal sau minim. PASI 75 și PGA normal sau minim au crescut cu creșterea concentrației de adalimumab, ambele cu o EC50 aparentă similară de aproximativ 4,5 μg/ml (IÎ 95% 0,4-47,6 și respectiv 1,9-10,5).</w:t>
      </w:r>
    </w:p>
    <w:p w14:paraId="7395A97E" w14:textId="77777777" w:rsidR="00C04CAD" w:rsidRDefault="00C04CAD">
      <w:pPr>
        <w:tabs>
          <w:tab w:val="clear" w:pos="567"/>
        </w:tabs>
        <w:kinsoku w:val="0"/>
        <w:overflowPunct w:val="0"/>
        <w:autoSpaceDE w:val="0"/>
        <w:autoSpaceDN w:val="0"/>
        <w:adjustRightInd w:val="0"/>
        <w:spacing w:line="240" w:lineRule="auto"/>
        <w:rPr>
          <w:szCs w:val="22"/>
        </w:rPr>
      </w:pPr>
    </w:p>
    <w:p w14:paraId="4F942D93"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Eliminare</w:t>
      </w:r>
    </w:p>
    <w:p w14:paraId="02A54256" w14:textId="77777777" w:rsidR="00C04CAD" w:rsidRDefault="00C04CAD">
      <w:pPr>
        <w:keepNext/>
        <w:tabs>
          <w:tab w:val="clear" w:pos="567"/>
        </w:tabs>
        <w:kinsoku w:val="0"/>
        <w:overflowPunct w:val="0"/>
        <w:autoSpaceDE w:val="0"/>
        <w:autoSpaceDN w:val="0"/>
        <w:adjustRightInd w:val="0"/>
        <w:spacing w:line="240" w:lineRule="auto"/>
        <w:rPr>
          <w:szCs w:val="22"/>
        </w:rPr>
      </w:pPr>
    </w:p>
    <w:p w14:paraId="18EEA03B"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A</w:t>
      </w:r>
      <w:r>
        <w:rPr>
          <w:szCs w:val="22"/>
        </w:rPr>
        <w:t>na</w:t>
      </w:r>
      <w:r>
        <w:rPr>
          <w:spacing w:val="1"/>
          <w:szCs w:val="22"/>
        </w:rPr>
        <w:t>li</w:t>
      </w:r>
      <w:r>
        <w:rPr>
          <w:spacing w:val="-3"/>
          <w:szCs w:val="22"/>
        </w:rPr>
        <w:t>z</w:t>
      </w:r>
      <w:r>
        <w:rPr>
          <w:szCs w:val="22"/>
        </w:rPr>
        <w:t>e</w:t>
      </w:r>
      <w:r>
        <w:rPr>
          <w:spacing w:val="-2"/>
          <w:szCs w:val="22"/>
        </w:rPr>
        <w:t>l</w:t>
      </w:r>
      <w:r>
        <w:rPr>
          <w:szCs w:val="22"/>
        </w:rPr>
        <w:t xml:space="preserve">e </w:t>
      </w:r>
      <w:r>
        <w:rPr>
          <w:spacing w:val="-2"/>
          <w:szCs w:val="22"/>
        </w:rPr>
        <w:t>f</w:t>
      </w:r>
      <w:r>
        <w:rPr>
          <w:szCs w:val="22"/>
        </w:rPr>
        <w:t>ar</w:t>
      </w:r>
      <w:r>
        <w:rPr>
          <w:spacing w:val="-4"/>
          <w:szCs w:val="22"/>
        </w:rPr>
        <w:t>m</w:t>
      </w:r>
      <w:r>
        <w:rPr>
          <w:szCs w:val="22"/>
        </w:rPr>
        <w:t>acoc</w:t>
      </w:r>
      <w:r>
        <w:rPr>
          <w:spacing w:val="-2"/>
          <w:szCs w:val="22"/>
        </w:rPr>
        <w:t>i</w:t>
      </w:r>
      <w:r>
        <w:rPr>
          <w:szCs w:val="22"/>
        </w:rPr>
        <w:t>ne</w:t>
      </w:r>
      <w:r>
        <w:rPr>
          <w:spacing w:val="-2"/>
          <w:szCs w:val="22"/>
        </w:rPr>
        <w:t>t</w:t>
      </w:r>
      <w:r>
        <w:rPr>
          <w:spacing w:val="1"/>
          <w:szCs w:val="22"/>
        </w:rPr>
        <w:t>i</w:t>
      </w:r>
      <w:r>
        <w:rPr>
          <w:spacing w:val="-3"/>
          <w:szCs w:val="22"/>
        </w:rPr>
        <w:t>c</w:t>
      </w:r>
      <w:r>
        <w:rPr>
          <w:szCs w:val="22"/>
        </w:rPr>
        <w:t>e</w:t>
      </w:r>
      <w:r>
        <w:rPr>
          <w:spacing w:val="-2"/>
          <w:szCs w:val="22"/>
        </w:rPr>
        <w:t xml:space="preserve"> </w:t>
      </w:r>
      <w:r>
        <w:rPr>
          <w:szCs w:val="22"/>
        </w:rPr>
        <w:t>po</w:t>
      </w:r>
      <w:r>
        <w:rPr>
          <w:spacing w:val="-1"/>
          <w:szCs w:val="22"/>
        </w:rPr>
        <w:t>p</w:t>
      </w:r>
      <w:r>
        <w:rPr>
          <w:szCs w:val="22"/>
        </w:rPr>
        <w:t>u</w:t>
      </w:r>
      <w:r>
        <w:rPr>
          <w:spacing w:val="1"/>
          <w:szCs w:val="22"/>
        </w:rPr>
        <w:t>l</w:t>
      </w:r>
      <w:r>
        <w:rPr>
          <w:spacing w:val="-3"/>
          <w:szCs w:val="22"/>
        </w:rPr>
        <w:t>a</w:t>
      </w:r>
      <w:r>
        <w:rPr>
          <w:spacing w:val="-2"/>
          <w:szCs w:val="22"/>
        </w:rPr>
        <w:t>ţ</w:t>
      </w:r>
      <w:r>
        <w:rPr>
          <w:spacing w:val="1"/>
          <w:szCs w:val="22"/>
        </w:rPr>
        <w:t>i</w:t>
      </w:r>
      <w:r>
        <w:rPr>
          <w:szCs w:val="22"/>
        </w:rPr>
        <w:t>on</w:t>
      </w:r>
      <w:r>
        <w:rPr>
          <w:spacing w:val="-3"/>
          <w:szCs w:val="22"/>
        </w:rPr>
        <w:t>a</w:t>
      </w:r>
      <w:r>
        <w:rPr>
          <w:spacing w:val="1"/>
          <w:szCs w:val="22"/>
        </w:rPr>
        <w:t>l</w:t>
      </w:r>
      <w:r>
        <w:rPr>
          <w:szCs w:val="22"/>
        </w:rPr>
        <w:t xml:space="preserve">e </w:t>
      </w:r>
      <w:r>
        <w:rPr>
          <w:spacing w:val="-3"/>
          <w:szCs w:val="22"/>
        </w:rPr>
        <w:t>c</w:t>
      </w:r>
      <w:r>
        <w:rPr>
          <w:szCs w:val="22"/>
        </w:rPr>
        <w:t>u d</w:t>
      </w:r>
      <w:r>
        <w:rPr>
          <w:spacing w:val="-3"/>
          <w:szCs w:val="22"/>
        </w:rPr>
        <w:t>a</w:t>
      </w:r>
      <w:r>
        <w:rPr>
          <w:spacing w:val="1"/>
          <w:szCs w:val="22"/>
        </w:rPr>
        <w:t>t</w:t>
      </w:r>
      <w:r>
        <w:rPr>
          <w:szCs w:val="22"/>
        </w:rPr>
        <w:t xml:space="preserve">e </w:t>
      </w:r>
      <w:r>
        <w:rPr>
          <w:spacing w:val="-3"/>
          <w:szCs w:val="22"/>
        </w:rPr>
        <w:t>d</w:t>
      </w:r>
      <w:r>
        <w:rPr>
          <w:szCs w:val="22"/>
        </w:rPr>
        <w:t xml:space="preserve">e </w:t>
      </w:r>
      <w:r>
        <w:rPr>
          <w:spacing w:val="1"/>
          <w:szCs w:val="22"/>
        </w:rPr>
        <w:t>l</w:t>
      </w:r>
      <w:r>
        <w:rPr>
          <w:szCs w:val="22"/>
        </w:rPr>
        <w:t>a</w:t>
      </w:r>
      <w:r>
        <w:rPr>
          <w:spacing w:val="-5"/>
          <w:szCs w:val="22"/>
        </w:rPr>
        <w:t xml:space="preserve"> </w:t>
      </w:r>
      <w:r>
        <w:rPr>
          <w:szCs w:val="22"/>
        </w:rPr>
        <w:t>pes</w:t>
      </w:r>
      <w:r>
        <w:rPr>
          <w:spacing w:val="-2"/>
          <w:szCs w:val="22"/>
        </w:rPr>
        <w:t>t</w:t>
      </w:r>
      <w:r>
        <w:rPr>
          <w:szCs w:val="22"/>
        </w:rPr>
        <w:t>e 1300</w:t>
      </w:r>
      <w:r>
        <w:rPr>
          <w:spacing w:val="-3"/>
          <w:szCs w:val="22"/>
        </w:rPr>
        <w:t xml:space="preserve"> </w:t>
      </w:r>
      <w:r>
        <w:rPr>
          <w:szCs w:val="22"/>
        </w:rPr>
        <w:t>pa</w:t>
      </w:r>
      <w:r>
        <w:rPr>
          <w:spacing w:val="-3"/>
          <w:szCs w:val="22"/>
        </w:rPr>
        <w:t>c</w:t>
      </w:r>
      <w:r>
        <w:rPr>
          <w:spacing w:val="1"/>
          <w:szCs w:val="22"/>
        </w:rPr>
        <w:t>i</w:t>
      </w:r>
      <w:r>
        <w:rPr>
          <w:szCs w:val="22"/>
        </w:rPr>
        <w:t>e</w:t>
      </w:r>
      <w:r>
        <w:rPr>
          <w:spacing w:val="-3"/>
          <w:szCs w:val="22"/>
        </w:rPr>
        <w:t>n</w:t>
      </w:r>
      <w:r>
        <w:rPr>
          <w:spacing w:val="1"/>
          <w:szCs w:val="22"/>
        </w:rPr>
        <w:t>ţ</w:t>
      </w:r>
      <w:r>
        <w:rPr>
          <w:szCs w:val="22"/>
        </w:rPr>
        <w:t>i</w:t>
      </w:r>
      <w:r>
        <w:rPr>
          <w:spacing w:val="-2"/>
          <w:szCs w:val="22"/>
        </w:rPr>
        <w:t xml:space="preserve"> </w:t>
      </w:r>
      <w:r>
        <w:rPr>
          <w:szCs w:val="22"/>
        </w:rPr>
        <w:t>au de</w:t>
      </w:r>
      <w:r>
        <w:rPr>
          <w:spacing w:val="-3"/>
          <w:szCs w:val="22"/>
        </w:rPr>
        <w:t>zv</w:t>
      </w:r>
      <w:r>
        <w:rPr>
          <w:szCs w:val="22"/>
        </w:rPr>
        <w:t>ă</w:t>
      </w:r>
      <w:r>
        <w:rPr>
          <w:spacing w:val="1"/>
          <w:szCs w:val="22"/>
        </w:rPr>
        <w:t>l</w:t>
      </w:r>
      <w:r>
        <w:rPr>
          <w:spacing w:val="-3"/>
          <w:szCs w:val="22"/>
        </w:rPr>
        <w:t>u</w:t>
      </w:r>
      <w:r>
        <w:rPr>
          <w:spacing w:val="1"/>
          <w:szCs w:val="22"/>
        </w:rPr>
        <w:t>i</w:t>
      </w:r>
      <w:r>
        <w:rPr>
          <w:szCs w:val="22"/>
        </w:rPr>
        <w:t>t</w:t>
      </w:r>
      <w:r>
        <w:rPr>
          <w:spacing w:val="1"/>
          <w:szCs w:val="22"/>
        </w:rPr>
        <w:t xml:space="preserve"> </w:t>
      </w:r>
      <w:r>
        <w:rPr>
          <w:szCs w:val="22"/>
        </w:rPr>
        <w:t>o</w:t>
      </w:r>
      <w:r>
        <w:rPr>
          <w:spacing w:val="-3"/>
          <w:szCs w:val="22"/>
        </w:rPr>
        <w:t xml:space="preserve"> </w:t>
      </w:r>
      <w:r>
        <w:rPr>
          <w:spacing w:val="1"/>
          <w:szCs w:val="22"/>
        </w:rPr>
        <w:t>t</w:t>
      </w:r>
      <w:r>
        <w:rPr>
          <w:szCs w:val="22"/>
        </w:rPr>
        <w:t>e</w:t>
      </w:r>
      <w:r>
        <w:rPr>
          <w:spacing w:val="-3"/>
          <w:szCs w:val="22"/>
        </w:rPr>
        <w:t>n</w:t>
      </w:r>
      <w:r>
        <w:rPr>
          <w:szCs w:val="22"/>
        </w:rPr>
        <w:t>d</w:t>
      </w:r>
      <w:r>
        <w:rPr>
          <w:spacing w:val="1"/>
          <w:szCs w:val="22"/>
        </w:rPr>
        <w:t>i</w:t>
      </w:r>
      <w:r>
        <w:rPr>
          <w:spacing w:val="-3"/>
          <w:szCs w:val="22"/>
        </w:rPr>
        <w:t>n</w:t>
      </w:r>
      <w:r>
        <w:rPr>
          <w:spacing w:val="1"/>
          <w:szCs w:val="22"/>
        </w:rPr>
        <w:t>ţ</w:t>
      </w:r>
      <w:r>
        <w:rPr>
          <w:szCs w:val="22"/>
        </w:rPr>
        <w:t xml:space="preserve">ă </w:t>
      </w:r>
      <w:r>
        <w:rPr>
          <w:spacing w:val="-3"/>
          <w:szCs w:val="22"/>
        </w:rPr>
        <w:t>c</w:t>
      </w:r>
      <w:r>
        <w:rPr>
          <w:szCs w:val="22"/>
        </w:rPr>
        <w:t>ă</w:t>
      </w:r>
      <w:r>
        <w:rPr>
          <w:spacing w:val="-2"/>
          <w:szCs w:val="22"/>
        </w:rPr>
        <w:t>t</w:t>
      </w:r>
      <w:r>
        <w:rPr>
          <w:szCs w:val="22"/>
        </w:rPr>
        <w:t>re un c</w:t>
      </w:r>
      <w:r>
        <w:rPr>
          <w:spacing w:val="-2"/>
          <w:szCs w:val="22"/>
        </w:rPr>
        <w:t>l</w:t>
      </w:r>
      <w:r>
        <w:rPr>
          <w:szCs w:val="22"/>
        </w:rPr>
        <w:t>ea</w:t>
      </w:r>
      <w:r>
        <w:rPr>
          <w:spacing w:val="-2"/>
          <w:szCs w:val="22"/>
        </w:rPr>
        <w:t>r</w:t>
      </w:r>
      <w:r>
        <w:rPr>
          <w:szCs w:val="22"/>
        </w:rPr>
        <w:t>ance</w:t>
      </w:r>
      <w:r>
        <w:rPr>
          <w:spacing w:val="-2"/>
          <w:szCs w:val="22"/>
        </w:rPr>
        <w:t xml:space="preserve"> </w:t>
      </w:r>
      <w:r>
        <w:rPr>
          <w:szCs w:val="22"/>
        </w:rPr>
        <w:t>ap</w:t>
      </w:r>
      <w:r>
        <w:rPr>
          <w:spacing w:val="-3"/>
          <w:szCs w:val="22"/>
        </w:rPr>
        <w:t>a</w:t>
      </w:r>
      <w:r>
        <w:rPr>
          <w:szCs w:val="22"/>
        </w:rPr>
        <w:t>re</w:t>
      </w:r>
      <w:r>
        <w:rPr>
          <w:spacing w:val="-3"/>
          <w:szCs w:val="22"/>
        </w:rPr>
        <w:t>n</w:t>
      </w:r>
      <w:r>
        <w:rPr>
          <w:szCs w:val="22"/>
        </w:rPr>
        <w:t>t</w:t>
      </w:r>
      <w:r>
        <w:rPr>
          <w:spacing w:val="1"/>
          <w:szCs w:val="22"/>
        </w:rPr>
        <w:t xml:space="preserve"> </w:t>
      </w:r>
      <w:r>
        <w:rPr>
          <w:spacing w:val="-4"/>
          <w:szCs w:val="22"/>
        </w:rPr>
        <w:t>m</w:t>
      </w:r>
      <w:r>
        <w:rPr>
          <w:szCs w:val="22"/>
        </w:rPr>
        <w:t>ai</w:t>
      </w:r>
      <w:r>
        <w:rPr>
          <w:spacing w:val="1"/>
          <w:szCs w:val="22"/>
        </w:rPr>
        <w:t xml:space="preserve"> </w:t>
      </w:r>
      <w:r>
        <w:rPr>
          <w:spacing w:val="-2"/>
          <w:szCs w:val="22"/>
        </w:rPr>
        <w:t>m</w:t>
      </w:r>
      <w:r>
        <w:rPr>
          <w:szCs w:val="22"/>
        </w:rPr>
        <w:t xml:space="preserve">are </w:t>
      </w:r>
      <w:r>
        <w:rPr>
          <w:spacing w:val="-3"/>
          <w:szCs w:val="22"/>
        </w:rPr>
        <w:t>a</w:t>
      </w:r>
      <w:r>
        <w:rPr>
          <w:szCs w:val="22"/>
        </w:rPr>
        <w:t>l</w:t>
      </w:r>
      <w:r>
        <w:rPr>
          <w:spacing w:val="1"/>
          <w:szCs w:val="22"/>
        </w:rPr>
        <w:t xml:space="preserve">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 oda</w:t>
      </w:r>
      <w:r>
        <w:rPr>
          <w:spacing w:val="-2"/>
          <w:szCs w:val="22"/>
        </w:rPr>
        <w:t>t</w:t>
      </w:r>
      <w:r>
        <w:rPr>
          <w:szCs w:val="22"/>
        </w:rPr>
        <w:t>ă cu</w:t>
      </w:r>
      <w:r>
        <w:rPr>
          <w:spacing w:val="-3"/>
          <w:szCs w:val="22"/>
        </w:rPr>
        <w:t xml:space="preserve"> </w:t>
      </w:r>
      <w:r>
        <w:rPr>
          <w:szCs w:val="22"/>
        </w:rPr>
        <w:t>cre</w:t>
      </w:r>
      <w:r>
        <w:rPr>
          <w:spacing w:val="-2"/>
          <w:szCs w:val="22"/>
        </w:rPr>
        <w:t>ş</w:t>
      </w:r>
      <w:r>
        <w:rPr>
          <w:spacing w:val="1"/>
          <w:szCs w:val="22"/>
        </w:rPr>
        <w:t>t</w:t>
      </w:r>
      <w:r>
        <w:rPr>
          <w:spacing w:val="-3"/>
          <w:szCs w:val="22"/>
        </w:rPr>
        <w:t>e</w:t>
      </w:r>
      <w:r>
        <w:rPr>
          <w:szCs w:val="22"/>
        </w:rPr>
        <w:t>rea</w:t>
      </w:r>
      <w:r>
        <w:rPr>
          <w:spacing w:val="-2"/>
          <w:szCs w:val="22"/>
        </w:rPr>
        <w:t xml:space="preserve"> </w:t>
      </w:r>
      <w:r>
        <w:rPr>
          <w:spacing w:val="-3"/>
          <w:szCs w:val="22"/>
        </w:rPr>
        <w:t>g</w:t>
      </w:r>
      <w:r>
        <w:rPr>
          <w:szCs w:val="22"/>
        </w:rPr>
        <w:t>reu</w:t>
      </w:r>
      <w:r>
        <w:rPr>
          <w:spacing w:val="1"/>
          <w:szCs w:val="22"/>
        </w:rPr>
        <w:t>t</w:t>
      </w:r>
      <w:r>
        <w:rPr>
          <w:spacing w:val="-3"/>
          <w:szCs w:val="22"/>
        </w:rPr>
        <w:t>ă</w:t>
      </w:r>
      <w:r>
        <w:rPr>
          <w:spacing w:val="-2"/>
          <w:szCs w:val="22"/>
        </w:rPr>
        <w:t>ţ</w:t>
      </w:r>
      <w:r>
        <w:rPr>
          <w:spacing w:val="1"/>
          <w:szCs w:val="22"/>
        </w:rPr>
        <w:t>i</w:t>
      </w:r>
      <w:r>
        <w:rPr>
          <w:szCs w:val="22"/>
        </w:rPr>
        <w:t>i</w:t>
      </w:r>
      <w:r>
        <w:rPr>
          <w:spacing w:val="1"/>
          <w:szCs w:val="22"/>
        </w:rPr>
        <w:t xml:space="preserve"> </w:t>
      </w:r>
      <w:r>
        <w:rPr>
          <w:spacing w:val="-3"/>
          <w:szCs w:val="22"/>
        </w:rPr>
        <w:t>c</w:t>
      </w:r>
      <w:r>
        <w:rPr>
          <w:szCs w:val="22"/>
        </w:rPr>
        <w:t>orp</w:t>
      </w:r>
      <w:r>
        <w:rPr>
          <w:spacing w:val="-3"/>
          <w:szCs w:val="22"/>
        </w:rPr>
        <w:t>o</w:t>
      </w:r>
      <w:r>
        <w:rPr>
          <w:szCs w:val="22"/>
        </w:rPr>
        <w:t>r</w:t>
      </w:r>
      <w:r>
        <w:rPr>
          <w:spacing w:val="-3"/>
          <w:szCs w:val="22"/>
        </w:rPr>
        <w:t>a</w:t>
      </w:r>
      <w:r>
        <w:rPr>
          <w:spacing w:val="-2"/>
          <w:szCs w:val="22"/>
        </w:rPr>
        <w:t>l</w:t>
      </w:r>
      <w:r>
        <w:rPr>
          <w:szCs w:val="22"/>
        </w:rPr>
        <w:t xml:space="preserve">e. </w:t>
      </w:r>
      <w:r>
        <w:rPr>
          <w:spacing w:val="-1"/>
          <w:szCs w:val="22"/>
        </w:rPr>
        <w:t>D</w:t>
      </w:r>
      <w:r>
        <w:rPr>
          <w:szCs w:val="22"/>
        </w:rPr>
        <w:t xml:space="preserve">upă </w:t>
      </w:r>
      <w:r>
        <w:rPr>
          <w:spacing w:val="-3"/>
          <w:szCs w:val="22"/>
        </w:rPr>
        <w:t>a</w:t>
      </w:r>
      <w:r>
        <w:rPr>
          <w:spacing w:val="1"/>
          <w:szCs w:val="22"/>
        </w:rPr>
        <w:t>j</w:t>
      </w:r>
      <w:r>
        <w:rPr>
          <w:szCs w:val="22"/>
        </w:rPr>
        <w:t>u</w:t>
      </w:r>
      <w:r>
        <w:rPr>
          <w:spacing w:val="-2"/>
          <w:szCs w:val="22"/>
        </w:rPr>
        <w:t>s</w:t>
      </w:r>
      <w:r>
        <w:rPr>
          <w:spacing w:val="1"/>
          <w:szCs w:val="22"/>
        </w:rPr>
        <w:t>t</w:t>
      </w:r>
      <w:r>
        <w:rPr>
          <w:spacing w:val="-3"/>
          <w:szCs w:val="22"/>
        </w:rPr>
        <w:t>a</w:t>
      </w:r>
      <w:r>
        <w:rPr>
          <w:szCs w:val="22"/>
        </w:rPr>
        <w:t>rea do</w:t>
      </w:r>
      <w:r>
        <w:rPr>
          <w:spacing w:val="-3"/>
          <w:szCs w:val="22"/>
        </w:rPr>
        <w:t>z</w:t>
      </w:r>
      <w:r>
        <w:rPr>
          <w:szCs w:val="22"/>
        </w:rPr>
        <w:t>ei</w:t>
      </w:r>
      <w:r>
        <w:rPr>
          <w:spacing w:val="1"/>
          <w:szCs w:val="22"/>
        </w:rPr>
        <w:t xml:space="preserve"> î</w:t>
      </w:r>
      <w:r>
        <w:rPr>
          <w:szCs w:val="22"/>
        </w:rPr>
        <w:t>n</w:t>
      </w:r>
      <w:r>
        <w:rPr>
          <w:spacing w:val="-3"/>
          <w:szCs w:val="22"/>
        </w:rPr>
        <w:t xml:space="preserve"> </w:t>
      </w:r>
      <w:r>
        <w:rPr>
          <w:szCs w:val="22"/>
        </w:rPr>
        <w:t>fun</w:t>
      </w:r>
      <w:r>
        <w:rPr>
          <w:spacing w:val="-3"/>
          <w:szCs w:val="22"/>
        </w:rPr>
        <w:t>c</w:t>
      </w:r>
      <w:r>
        <w:rPr>
          <w:spacing w:val="-2"/>
          <w:szCs w:val="22"/>
        </w:rPr>
        <w:t>ţ</w:t>
      </w:r>
      <w:r>
        <w:rPr>
          <w:spacing w:val="1"/>
          <w:szCs w:val="22"/>
        </w:rPr>
        <w:t>i</w:t>
      </w:r>
      <w:r>
        <w:rPr>
          <w:szCs w:val="22"/>
        </w:rPr>
        <w:t>e de</w:t>
      </w:r>
      <w:r>
        <w:rPr>
          <w:spacing w:val="-2"/>
          <w:szCs w:val="22"/>
        </w:rPr>
        <w:t xml:space="preserve"> </w:t>
      </w:r>
      <w:r>
        <w:rPr>
          <w:szCs w:val="22"/>
        </w:rPr>
        <w:t>d</w:t>
      </w:r>
      <w:r>
        <w:rPr>
          <w:spacing w:val="-2"/>
          <w:szCs w:val="22"/>
        </w:rPr>
        <w:t>i</w:t>
      </w:r>
      <w:r>
        <w:rPr>
          <w:szCs w:val="22"/>
        </w:rPr>
        <w:t>fe</w:t>
      </w:r>
      <w:r>
        <w:rPr>
          <w:spacing w:val="-2"/>
          <w:szCs w:val="22"/>
        </w:rPr>
        <w:t>r</w:t>
      </w:r>
      <w:r>
        <w:rPr>
          <w:szCs w:val="22"/>
        </w:rPr>
        <w:t>en</w:t>
      </w:r>
      <w:r>
        <w:rPr>
          <w:spacing w:val="-2"/>
          <w:szCs w:val="22"/>
        </w:rPr>
        <w:t>ţ</w:t>
      </w:r>
      <w:r>
        <w:rPr>
          <w:szCs w:val="22"/>
        </w:rPr>
        <w:t>e</w:t>
      </w:r>
      <w:r>
        <w:rPr>
          <w:spacing w:val="1"/>
          <w:szCs w:val="22"/>
        </w:rPr>
        <w:t>l</w:t>
      </w:r>
      <w:r>
        <w:rPr>
          <w:szCs w:val="22"/>
        </w:rPr>
        <w:t xml:space="preserve">e </w:t>
      </w:r>
      <w:r>
        <w:rPr>
          <w:spacing w:val="-3"/>
          <w:szCs w:val="22"/>
        </w:rPr>
        <w:t>d</w:t>
      </w:r>
      <w:r>
        <w:rPr>
          <w:szCs w:val="22"/>
        </w:rPr>
        <w:t xml:space="preserve">e </w:t>
      </w:r>
      <w:r>
        <w:rPr>
          <w:spacing w:val="-3"/>
          <w:szCs w:val="22"/>
        </w:rPr>
        <w:t>g</w:t>
      </w:r>
      <w:r>
        <w:rPr>
          <w:szCs w:val="22"/>
        </w:rPr>
        <w:t>reu</w:t>
      </w:r>
      <w:r>
        <w:rPr>
          <w:spacing w:val="-2"/>
          <w:szCs w:val="22"/>
        </w:rPr>
        <w:t>t</w:t>
      </w:r>
      <w:r>
        <w:rPr>
          <w:szCs w:val="22"/>
        </w:rPr>
        <w:t>a</w:t>
      </w:r>
      <w:r>
        <w:rPr>
          <w:spacing w:val="-2"/>
          <w:szCs w:val="22"/>
        </w:rPr>
        <w:t>t</w:t>
      </w:r>
      <w:r>
        <w:rPr>
          <w:szCs w:val="22"/>
        </w:rPr>
        <w:t xml:space="preserve">e, </w:t>
      </w:r>
      <w:r>
        <w:rPr>
          <w:rFonts w:eastAsia="MS Mincho"/>
          <w:szCs w:val="22"/>
          <w:lang w:eastAsia="en-US" w:bidi="ar-SA"/>
        </w:rPr>
        <w:t>s</w:t>
      </w:r>
      <w:r>
        <w:rPr>
          <w:rFonts w:eastAsia="MS Mincho"/>
          <w:spacing w:val="-3"/>
          <w:szCs w:val="22"/>
          <w:lang w:eastAsia="en-US" w:bidi="ar-SA"/>
        </w:rPr>
        <w:t>e</w:t>
      </w:r>
      <w:r>
        <w:rPr>
          <w:rFonts w:eastAsia="MS Mincho"/>
          <w:szCs w:val="22"/>
          <w:lang w:eastAsia="en-US" w:bidi="ar-SA"/>
        </w:rPr>
        <w:t>xul</w:t>
      </w:r>
      <w:r>
        <w:rPr>
          <w:szCs w:val="22"/>
        </w:rPr>
        <w:t xml:space="preserve"> şi</w:t>
      </w:r>
      <w:r>
        <w:rPr>
          <w:spacing w:val="-2"/>
          <w:szCs w:val="22"/>
        </w:rPr>
        <w:t xml:space="preserve"> </w:t>
      </w:r>
      <w:r>
        <w:rPr>
          <w:rFonts w:eastAsia="MS Mincho"/>
          <w:spacing w:val="-3"/>
          <w:szCs w:val="22"/>
          <w:lang w:eastAsia="en-US" w:bidi="ar-SA"/>
        </w:rPr>
        <w:t>v</w:t>
      </w:r>
      <w:r>
        <w:rPr>
          <w:rFonts w:eastAsia="MS Mincho"/>
          <w:szCs w:val="22"/>
          <w:lang w:eastAsia="en-US" w:bidi="ar-SA"/>
        </w:rPr>
        <w:t>ârs</w:t>
      </w:r>
      <w:r>
        <w:rPr>
          <w:rFonts w:eastAsia="MS Mincho"/>
          <w:spacing w:val="-2"/>
          <w:szCs w:val="22"/>
          <w:lang w:eastAsia="en-US" w:bidi="ar-SA"/>
        </w:rPr>
        <w:t>ta</w:t>
      </w:r>
      <w:r>
        <w:rPr>
          <w:szCs w:val="22"/>
        </w:rPr>
        <w:t xml:space="preserve"> au p</w:t>
      </w:r>
      <w:r>
        <w:rPr>
          <w:spacing w:val="-3"/>
          <w:szCs w:val="22"/>
        </w:rPr>
        <w:t>ă</w:t>
      </w:r>
      <w:r>
        <w:rPr>
          <w:szCs w:val="22"/>
        </w:rPr>
        <w:t>r</w:t>
      </w:r>
      <w:r>
        <w:rPr>
          <w:spacing w:val="-3"/>
          <w:szCs w:val="22"/>
        </w:rPr>
        <w:t>u</w:t>
      </w:r>
      <w:r>
        <w:rPr>
          <w:szCs w:val="22"/>
        </w:rPr>
        <w:t>t</w:t>
      </w:r>
      <w:r>
        <w:rPr>
          <w:spacing w:val="1"/>
          <w:szCs w:val="22"/>
        </w:rPr>
        <w:t xml:space="preserve"> </w:t>
      </w:r>
      <w:r>
        <w:rPr>
          <w:szCs w:val="22"/>
        </w:rPr>
        <w:t>să</w:t>
      </w:r>
      <w:r>
        <w:rPr>
          <w:spacing w:val="-2"/>
          <w:szCs w:val="22"/>
        </w:rPr>
        <w:t xml:space="preserve"> </w:t>
      </w:r>
      <w:r>
        <w:rPr>
          <w:szCs w:val="22"/>
        </w:rPr>
        <w:t>a</w:t>
      </w:r>
      <w:r>
        <w:rPr>
          <w:spacing w:val="1"/>
          <w:szCs w:val="22"/>
        </w:rPr>
        <w:t>i</w:t>
      </w:r>
      <w:r>
        <w:rPr>
          <w:spacing w:val="-3"/>
          <w:szCs w:val="22"/>
        </w:rPr>
        <w:t>b</w:t>
      </w:r>
      <w:r>
        <w:rPr>
          <w:szCs w:val="22"/>
        </w:rPr>
        <w:t xml:space="preserve">ă un </w:t>
      </w:r>
      <w:r>
        <w:rPr>
          <w:spacing w:val="-3"/>
          <w:szCs w:val="22"/>
        </w:rPr>
        <w:t>e</w:t>
      </w:r>
      <w:r>
        <w:rPr>
          <w:szCs w:val="22"/>
        </w:rPr>
        <w:t>f</w:t>
      </w:r>
      <w:r>
        <w:rPr>
          <w:spacing w:val="-2"/>
          <w:szCs w:val="22"/>
        </w:rPr>
        <w:t>e</w:t>
      </w:r>
      <w:r>
        <w:rPr>
          <w:szCs w:val="22"/>
        </w:rPr>
        <w:t>ct</w:t>
      </w:r>
      <w:r>
        <w:rPr>
          <w:spacing w:val="-2"/>
          <w:szCs w:val="22"/>
        </w:rPr>
        <w:t xml:space="preserve"> </w:t>
      </w:r>
      <w:r>
        <w:rPr>
          <w:spacing w:val="-4"/>
          <w:szCs w:val="22"/>
        </w:rPr>
        <w:t>m</w:t>
      </w:r>
      <w:r>
        <w:rPr>
          <w:spacing w:val="1"/>
          <w:szCs w:val="22"/>
        </w:rPr>
        <w:t>i</w:t>
      </w:r>
      <w:r>
        <w:rPr>
          <w:szCs w:val="22"/>
        </w:rPr>
        <w:t>n</w:t>
      </w:r>
      <w:r>
        <w:rPr>
          <w:spacing w:val="1"/>
          <w:szCs w:val="22"/>
        </w:rPr>
        <w:t>i</w:t>
      </w:r>
      <w:r>
        <w:rPr>
          <w:szCs w:val="22"/>
        </w:rPr>
        <w:t>m</w:t>
      </w:r>
      <w:r>
        <w:rPr>
          <w:spacing w:val="-4"/>
          <w:szCs w:val="22"/>
        </w:rPr>
        <w:t xml:space="preserve"> </w:t>
      </w:r>
      <w:r>
        <w:rPr>
          <w:szCs w:val="22"/>
        </w:rPr>
        <w:t>asupra c</w:t>
      </w:r>
      <w:r>
        <w:rPr>
          <w:spacing w:val="1"/>
          <w:szCs w:val="22"/>
        </w:rPr>
        <w:t>l</w:t>
      </w:r>
      <w:r>
        <w:rPr>
          <w:szCs w:val="22"/>
        </w:rPr>
        <w:t>e</w:t>
      </w:r>
      <w:r>
        <w:rPr>
          <w:spacing w:val="-3"/>
          <w:szCs w:val="22"/>
        </w:rPr>
        <w:t>a</w:t>
      </w:r>
      <w:r>
        <w:rPr>
          <w:szCs w:val="22"/>
        </w:rPr>
        <w:t>ra</w:t>
      </w:r>
      <w:r>
        <w:rPr>
          <w:spacing w:val="-3"/>
          <w:szCs w:val="22"/>
        </w:rPr>
        <w:t>n</w:t>
      </w:r>
      <w:r>
        <w:rPr>
          <w:szCs w:val="22"/>
        </w:rPr>
        <w:t>ce</w:t>
      </w:r>
      <w:r>
        <w:rPr>
          <w:spacing w:val="-5"/>
          <w:szCs w:val="22"/>
        </w:rPr>
        <w:noBreakHyphen/>
      </w:r>
      <w:r>
        <w:rPr>
          <w:szCs w:val="22"/>
        </w:rPr>
        <w:t>u</w:t>
      </w:r>
      <w:r>
        <w:rPr>
          <w:spacing w:val="1"/>
          <w:szCs w:val="22"/>
        </w:rPr>
        <w:t>l</w:t>
      </w:r>
      <w:r>
        <w:rPr>
          <w:szCs w:val="22"/>
        </w:rPr>
        <w:t>ui</w:t>
      </w:r>
      <w:r>
        <w:rPr>
          <w:spacing w:val="1"/>
          <w:szCs w:val="22"/>
        </w:rPr>
        <w:t xml:space="preserve"> </w:t>
      </w:r>
      <w:r>
        <w:rPr>
          <w:szCs w:val="22"/>
        </w:rPr>
        <w:t>de</w:t>
      </w:r>
      <w:r>
        <w:rPr>
          <w:spacing w:val="-2"/>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2"/>
          <w:szCs w:val="22"/>
        </w:rPr>
        <w:t>m</w:t>
      </w:r>
      <w:r>
        <w:rPr>
          <w:szCs w:val="22"/>
        </w:rPr>
        <w:t xml:space="preserve">ab. </w:t>
      </w:r>
      <w:r>
        <w:rPr>
          <w:spacing w:val="-1"/>
          <w:szCs w:val="22"/>
        </w:rPr>
        <w:t>N</w:t>
      </w:r>
      <w:r>
        <w:rPr>
          <w:spacing w:val="1"/>
          <w:szCs w:val="22"/>
        </w:rPr>
        <w:t>i</w:t>
      </w:r>
      <w:r>
        <w:rPr>
          <w:spacing w:val="-3"/>
          <w:szCs w:val="22"/>
        </w:rPr>
        <w:t>v</w:t>
      </w:r>
      <w:r>
        <w:rPr>
          <w:szCs w:val="22"/>
        </w:rPr>
        <w:t>e</w:t>
      </w:r>
      <w:r>
        <w:rPr>
          <w:spacing w:val="1"/>
          <w:szCs w:val="22"/>
        </w:rPr>
        <w:t>l</w:t>
      </w:r>
      <w:r>
        <w:rPr>
          <w:spacing w:val="-3"/>
          <w:szCs w:val="22"/>
        </w:rPr>
        <w:t>u</w:t>
      </w:r>
      <w:r>
        <w:rPr>
          <w:szCs w:val="22"/>
        </w:rPr>
        <w:t>r</w:t>
      </w:r>
      <w:r>
        <w:rPr>
          <w:spacing w:val="-2"/>
          <w:szCs w:val="22"/>
        </w:rPr>
        <w:t>i</w:t>
      </w:r>
      <w:r>
        <w:rPr>
          <w:spacing w:val="1"/>
          <w:szCs w:val="22"/>
        </w:rPr>
        <w:t>l</w:t>
      </w:r>
      <w:r>
        <w:rPr>
          <w:szCs w:val="22"/>
        </w:rPr>
        <w:t xml:space="preserve">e </w:t>
      </w:r>
      <w:r>
        <w:rPr>
          <w:spacing w:val="-3"/>
          <w:szCs w:val="22"/>
        </w:rPr>
        <w:t>c</w:t>
      </w:r>
      <w:r>
        <w:rPr>
          <w:szCs w:val="22"/>
        </w:rPr>
        <w:t>once</w:t>
      </w:r>
      <w:r>
        <w:rPr>
          <w:spacing w:val="-3"/>
          <w:szCs w:val="22"/>
        </w:rPr>
        <w:t>n</w:t>
      </w:r>
      <w:r>
        <w:rPr>
          <w:spacing w:val="1"/>
          <w:szCs w:val="22"/>
        </w:rPr>
        <w:t>t</w:t>
      </w:r>
      <w:r>
        <w:rPr>
          <w:spacing w:val="-2"/>
          <w:szCs w:val="22"/>
        </w:rPr>
        <w:t>r</w:t>
      </w:r>
      <w:r>
        <w:rPr>
          <w:szCs w:val="22"/>
        </w:rPr>
        <w:t>a</w:t>
      </w:r>
      <w:r>
        <w:rPr>
          <w:spacing w:val="-2"/>
          <w:szCs w:val="22"/>
        </w:rPr>
        <w:t>ţ</w:t>
      </w:r>
      <w:r>
        <w:rPr>
          <w:spacing w:val="1"/>
          <w:szCs w:val="22"/>
        </w:rPr>
        <w:t>i</w:t>
      </w:r>
      <w:r>
        <w:rPr>
          <w:spacing w:val="-2"/>
          <w:szCs w:val="22"/>
        </w:rPr>
        <w:t>il</w:t>
      </w:r>
      <w:r>
        <w:rPr>
          <w:szCs w:val="22"/>
        </w:rPr>
        <w:t>or</w:t>
      </w:r>
      <w:r>
        <w:rPr>
          <w:spacing w:val="1"/>
          <w:szCs w:val="22"/>
        </w:rPr>
        <w:t xml:space="preserve"> </w:t>
      </w:r>
      <w:r>
        <w:rPr>
          <w:szCs w:val="22"/>
        </w:rPr>
        <w:t>p</w:t>
      </w:r>
      <w:r>
        <w:rPr>
          <w:spacing w:val="-2"/>
          <w:szCs w:val="22"/>
        </w:rPr>
        <w:t>l</w:t>
      </w:r>
      <w:r>
        <w:rPr>
          <w:szCs w:val="22"/>
        </w:rPr>
        <w:t>as</w:t>
      </w:r>
      <w:r>
        <w:rPr>
          <w:spacing w:val="-4"/>
          <w:szCs w:val="22"/>
        </w:rPr>
        <w:t>m</w:t>
      </w:r>
      <w:r>
        <w:rPr>
          <w:szCs w:val="22"/>
        </w:rPr>
        <w:t>a</w:t>
      </w:r>
      <w:r>
        <w:rPr>
          <w:spacing w:val="1"/>
          <w:szCs w:val="22"/>
        </w:rPr>
        <w:t>ti</w:t>
      </w:r>
      <w:r>
        <w:rPr>
          <w:spacing w:val="-3"/>
          <w:szCs w:val="22"/>
        </w:rPr>
        <w:t>c</w:t>
      </w:r>
      <w:r>
        <w:rPr>
          <w:szCs w:val="22"/>
        </w:rPr>
        <w:t>e de</w:t>
      </w:r>
      <w:r>
        <w:rPr>
          <w:spacing w:val="-2"/>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2"/>
          <w:szCs w:val="22"/>
        </w:rPr>
        <w:t>m</w:t>
      </w:r>
      <w:r>
        <w:rPr>
          <w:szCs w:val="22"/>
        </w:rPr>
        <w:t xml:space="preserve">ab </w:t>
      </w:r>
      <w:r>
        <w:rPr>
          <w:spacing w:val="-2"/>
          <w:szCs w:val="22"/>
        </w:rPr>
        <w:t>l</w:t>
      </w:r>
      <w:r>
        <w:rPr>
          <w:spacing w:val="1"/>
          <w:szCs w:val="22"/>
        </w:rPr>
        <w:t>i</w:t>
      </w:r>
      <w:r>
        <w:rPr>
          <w:szCs w:val="22"/>
        </w:rPr>
        <w:t>b</w:t>
      </w:r>
      <w:r>
        <w:rPr>
          <w:spacing w:val="-3"/>
          <w:szCs w:val="22"/>
        </w:rPr>
        <w:t>e</w:t>
      </w:r>
      <w:r>
        <w:rPr>
          <w:szCs w:val="22"/>
        </w:rPr>
        <w:t>r</w:t>
      </w:r>
      <w:r>
        <w:rPr>
          <w:spacing w:val="1"/>
          <w:szCs w:val="22"/>
        </w:rPr>
        <w:t xml:space="preserve"> </w:t>
      </w:r>
      <w:r>
        <w:rPr>
          <w:szCs w:val="22"/>
        </w:rPr>
        <w:t>(</w:t>
      </w:r>
      <w:r>
        <w:rPr>
          <w:spacing w:val="-3"/>
          <w:szCs w:val="22"/>
        </w:rPr>
        <w:t>n</w:t>
      </w:r>
      <w:r>
        <w:rPr>
          <w:szCs w:val="22"/>
        </w:rPr>
        <w:t>e</w:t>
      </w:r>
      <w:r>
        <w:rPr>
          <w:spacing w:val="1"/>
          <w:szCs w:val="22"/>
        </w:rPr>
        <w:t>l</w:t>
      </w:r>
      <w:r>
        <w:rPr>
          <w:szCs w:val="22"/>
        </w:rPr>
        <w:t>e</w:t>
      </w:r>
      <w:r>
        <w:rPr>
          <w:spacing w:val="-3"/>
          <w:szCs w:val="22"/>
        </w:rPr>
        <w:t>g</w:t>
      </w:r>
      <w:r>
        <w:rPr>
          <w:szCs w:val="22"/>
        </w:rPr>
        <w:t>at</w:t>
      </w:r>
      <w:r>
        <w:rPr>
          <w:spacing w:val="-2"/>
          <w:szCs w:val="22"/>
        </w:rPr>
        <w:t xml:space="preserve"> </w:t>
      </w:r>
      <w:r>
        <w:rPr>
          <w:szCs w:val="22"/>
        </w:rPr>
        <w:t>de an</w:t>
      </w:r>
      <w:r>
        <w:rPr>
          <w:spacing w:val="-2"/>
          <w:szCs w:val="22"/>
        </w:rPr>
        <w:t>t</w:t>
      </w:r>
      <w:r>
        <w:rPr>
          <w:spacing w:val="1"/>
          <w:szCs w:val="22"/>
        </w:rPr>
        <w:t>i</w:t>
      </w:r>
      <w:r>
        <w:rPr>
          <w:szCs w:val="22"/>
        </w:rPr>
        <w:t>co</w:t>
      </w:r>
      <w:r>
        <w:rPr>
          <w:spacing w:val="-2"/>
          <w:szCs w:val="22"/>
        </w:rPr>
        <w:t>r</w:t>
      </w:r>
      <w:r>
        <w:rPr>
          <w:szCs w:val="22"/>
        </w:rPr>
        <w:t>p</w:t>
      </w:r>
      <w:r>
        <w:rPr>
          <w:spacing w:val="-2"/>
          <w:szCs w:val="22"/>
        </w:rPr>
        <w:t>i</w:t>
      </w:r>
      <w:r>
        <w:rPr>
          <w:szCs w:val="22"/>
        </w:rPr>
        <w:t>i</w:t>
      </w:r>
      <w:r>
        <w:rPr>
          <w:spacing w:val="1"/>
          <w:szCs w:val="22"/>
        </w:rPr>
        <w:t xml:space="preserve"> </w:t>
      </w:r>
      <w:r>
        <w:rPr>
          <w:szCs w:val="22"/>
        </w:rPr>
        <w:t>a</w:t>
      </w:r>
      <w:r>
        <w:rPr>
          <w:spacing w:val="-3"/>
          <w:szCs w:val="22"/>
        </w:rPr>
        <w:t>n</w:t>
      </w:r>
      <w:r>
        <w:rPr>
          <w:spacing w:val="1"/>
          <w:szCs w:val="22"/>
        </w:rPr>
        <w:t>ti</w:t>
      </w:r>
      <w:r>
        <w:rPr>
          <w:spacing w:val="-4"/>
          <w:szCs w:val="22"/>
        </w:rPr>
        <w:t>-</w:t>
      </w:r>
      <w:r>
        <w:rPr>
          <w:szCs w:val="22"/>
        </w:rPr>
        <w:t>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 xml:space="preserve">ab, </w:t>
      </w:r>
      <w:r>
        <w:rPr>
          <w:spacing w:val="-2"/>
          <w:szCs w:val="22"/>
        </w:rPr>
        <w:t>AAA</w:t>
      </w:r>
      <w:r>
        <w:rPr>
          <w:szCs w:val="22"/>
        </w:rPr>
        <w:t>)</w:t>
      </w:r>
      <w:r>
        <w:rPr>
          <w:spacing w:val="1"/>
          <w:szCs w:val="22"/>
        </w:rPr>
        <w:t xml:space="preserve"> </w:t>
      </w:r>
      <w:r>
        <w:rPr>
          <w:szCs w:val="22"/>
        </w:rPr>
        <w:t>s</w:t>
      </w:r>
      <w:r>
        <w:rPr>
          <w:spacing w:val="-4"/>
          <w:szCs w:val="22"/>
        </w:rPr>
        <w:t>-</w:t>
      </w:r>
      <w:r>
        <w:rPr>
          <w:szCs w:val="22"/>
        </w:rPr>
        <w:t>a cons</w:t>
      </w:r>
      <w:r>
        <w:rPr>
          <w:spacing w:val="1"/>
          <w:szCs w:val="22"/>
        </w:rPr>
        <w:t>t</w:t>
      </w:r>
      <w:r>
        <w:rPr>
          <w:spacing w:val="-3"/>
          <w:szCs w:val="22"/>
        </w:rPr>
        <w:t>a</w:t>
      </w:r>
      <w:r>
        <w:rPr>
          <w:spacing w:val="1"/>
          <w:szCs w:val="22"/>
        </w:rPr>
        <w:t>t</w:t>
      </w:r>
      <w:r>
        <w:rPr>
          <w:szCs w:val="22"/>
        </w:rPr>
        <w:t>at</w:t>
      </w:r>
      <w:r>
        <w:rPr>
          <w:spacing w:val="-2"/>
          <w:szCs w:val="22"/>
        </w:rPr>
        <w:t xml:space="preserve"> </w:t>
      </w:r>
      <w:r>
        <w:rPr>
          <w:szCs w:val="22"/>
        </w:rPr>
        <w:t xml:space="preserve">a </w:t>
      </w:r>
      <w:r>
        <w:rPr>
          <w:spacing w:val="-2"/>
          <w:szCs w:val="22"/>
        </w:rPr>
        <w:t>f</w:t>
      </w:r>
      <w:r>
        <w:rPr>
          <w:szCs w:val="22"/>
        </w:rPr>
        <w:t>i</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pacing w:val="1"/>
          <w:szCs w:val="22"/>
        </w:rPr>
        <w:t>i</w:t>
      </w:r>
      <w:r>
        <w:rPr>
          <w:szCs w:val="22"/>
        </w:rPr>
        <w:t>ci</w:t>
      </w:r>
      <w:r>
        <w:rPr>
          <w:spacing w:val="1"/>
          <w:szCs w:val="22"/>
        </w:rPr>
        <w:t xml:space="preserve"> </w:t>
      </w:r>
      <w:r>
        <w:rPr>
          <w:spacing w:val="-2"/>
          <w:szCs w:val="22"/>
        </w:rPr>
        <w:t>l</w:t>
      </w:r>
      <w:r>
        <w:rPr>
          <w:szCs w:val="22"/>
        </w:rPr>
        <w:t>a pa</w:t>
      </w:r>
      <w:r>
        <w:rPr>
          <w:spacing w:val="-3"/>
          <w:szCs w:val="22"/>
        </w:rPr>
        <w:t>c</w:t>
      </w:r>
      <w:r>
        <w:rPr>
          <w:spacing w:val="1"/>
          <w:szCs w:val="22"/>
        </w:rPr>
        <w:t>i</w:t>
      </w:r>
      <w:r>
        <w:rPr>
          <w:szCs w:val="22"/>
        </w:rPr>
        <w:t>e</w:t>
      </w:r>
      <w:r>
        <w:rPr>
          <w:spacing w:val="-3"/>
          <w:szCs w:val="22"/>
        </w:rPr>
        <w:t>n</w:t>
      </w:r>
      <w:r>
        <w:rPr>
          <w:spacing w:val="-2"/>
          <w:szCs w:val="22"/>
        </w:rPr>
        <w:t>ţ</w:t>
      </w:r>
      <w:r>
        <w:rPr>
          <w:spacing w:val="1"/>
          <w:szCs w:val="22"/>
        </w:rPr>
        <w:t>i</w:t>
      </w:r>
      <w:r>
        <w:rPr>
          <w:szCs w:val="22"/>
        </w:rPr>
        <w:t>i</w:t>
      </w:r>
      <w:r>
        <w:rPr>
          <w:spacing w:val="1"/>
          <w:szCs w:val="22"/>
        </w:rPr>
        <w:t xml:space="preserve"> </w:t>
      </w:r>
      <w:r>
        <w:rPr>
          <w:spacing w:val="-3"/>
          <w:szCs w:val="22"/>
        </w:rPr>
        <w:t>c</w:t>
      </w:r>
      <w:r>
        <w:rPr>
          <w:szCs w:val="22"/>
        </w:rPr>
        <w:t xml:space="preserve">u </w:t>
      </w:r>
      <w:r>
        <w:rPr>
          <w:spacing w:val="-1"/>
          <w:szCs w:val="22"/>
        </w:rPr>
        <w:t>AA</w:t>
      </w:r>
      <w:r>
        <w:rPr>
          <w:szCs w:val="22"/>
        </w:rPr>
        <w:t>A</w:t>
      </w:r>
      <w:r>
        <w:rPr>
          <w:spacing w:val="-1"/>
          <w:szCs w:val="22"/>
        </w:rPr>
        <w:t xml:space="preserve"> </w:t>
      </w:r>
      <w:r>
        <w:rPr>
          <w:spacing w:val="-4"/>
          <w:szCs w:val="22"/>
        </w:rPr>
        <w:t>m</w:t>
      </w:r>
      <w:r>
        <w:rPr>
          <w:szCs w:val="22"/>
        </w:rPr>
        <w:t>ăsurab</w:t>
      </w:r>
      <w:r>
        <w:rPr>
          <w:spacing w:val="1"/>
          <w:szCs w:val="22"/>
        </w:rPr>
        <w:t>i</w:t>
      </w:r>
      <w:r>
        <w:rPr>
          <w:spacing w:val="-2"/>
          <w:szCs w:val="22"/>
        </w:rPr>
        <w:t>l</w:t>
      </w:r>
      <w:r>
        <w:rPr>
          <w:spacing w:val="1"/>
          <w:szCs w:val="22"/>
        </w:rPr>
        <w:t>i</w:t>
      </w:r>
      <w:r>
        <w:rPr>
          <w:szCs w:val="22"/>
        </w:rPr>
        <w:t>.</w:t>
      </w:r>
    </w:p>
    <w:p w14:paraId="1585B9C0" w14:textId="77777777" w:rsidR="00C04CAD" w:rsidRDefault="00C04CAD">
      <w:pPr>
        <w:tabs>
          <w:tab w:val="clear" w:pos="567"/>
        </w:tabs>
        <w:kinsoku w:val="0"/>
        <w:overflowPunct w:val="0"/>
        <w:autoSpaceDE w:val="0"/>
        <w:autoSpaceDN w:val="0"/>
        <w:adjustRightInd w:val="0"/>
        <w:spacing w:line="240" w:lineRule="auto"/>
        <w:rPr>
          <w:szCs w:val="22"/>
          <w:u w:val="single"/>
        </w:rPr>
      </w:pPr>
    </w:p>
    <w:p w14:paraId="4633BBB6"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spacing w:val="-4"/>
          <w:szCs w:val="22"/>
          <w:u w:val="single"/>
        </w:rPr>
        <w:t>I</w:t>
      </w:r>
      <w:r>
        <w:rPr>
          <w:szCs w:val="22"/>
          <w:u w:val="single"/>
        </w:rPr>
        <w:t>nsuf</w:t>
      </w:r>
      <w:r>
        <w:rPr>
          <w:spacing w:val="1"/>
          <w:szCs w:val="22"/>
          <w:u w:val="single"/>
        </w:rPr>
        <w:t>i</w:t>
      </w:r>
      <w:r>
        <w:rPr>
          <w:szCs w:val="22"/>
          <w:u w:val="single"/>
        </w:rPr>
        <w:t>c</w:t>
      </w:r>
      <w:r>
        <w:rPr>
          <w:spacing w:val="1"/>
          <w:szCs w:val="22"/>
          <w:u w:val="single"/>
        </w:rPr>
        <w:t>i</w:t>
      </w:r>
      <w:r>
        <w:rPr>
          <w:szCs w:val="22"/>
          <w:u w:val="single"/>
        </w:rPr>
        <w:t>e</w:t>
      </w:r>
      <w:r>
        <w:rPr>
          <w:spacing w:val="-3"/>
          <w:szCs w:val="22"/>
          <w:u w:val="single"/>
        </w:rPr>
        <w:t>n</w:t>
      </w:r>
      <w:r>
        <w:rPr>
          <w:spacing w:val="1"/>
          <w:szCs w:val="22"/>
          <w:u w:val="single"/>
        </w:rPr>
        <w:t>ţ</w:t>
      </w:r>
      <w:r>
        <w:rPr>
          <w:szCs w:val="22"/>
          <w:u w:val="single"/>
        </w:rPr>
        <w:t>ă hepatic</w:t>
      </w:r>
      <w:r>
        <w:rPr>
          <w:spacing w:val="1"/>
          <w:szCs w:val="22"/>
          <w:u w:val="single"/>
        </w:rPr>
        <w:t>ă</w:t>
      </w:r>
      <w:r>
        <w:rPr>
          <w:szCs w:val="22"/>
          <w:u w:val="single"/>
        </w:rPr>
        <w:t xml:space="preserve"> </w:t>
      </w:r>
      <w:r>
        <w:rPr>
          <w:spacing w:val="-2"/>
          <w:szCs w:val="22"/>
          <w:u w:val="single"/>
        </w:rPr>
        <w:t>s</w:t>
      </w:r>
      <w:r>
        <w:rPr>
          <w:szCs w:val="22"/>
          <w:u w:val="single"/>
        </w:rPr>
        <w:t xml:space="preserve">au </w:t>
      </w:r>
      <w:r>
        <w:rPr>
          <w:spacing w:val="-2"/>
          <w:szCs w:val="22"/>
          <w:u w:val="single"/>
        </w:rPr>
        <w:t>r</w:t>
      </w:r>
      <w:r>
        <w:rPr>
          <w:spacing w:val="-3"/>
          <w:szCs w:val="22"/>
          <w:u w:val="single"/>
        </w:rPr>
        <w:t>e</w:t>
      </w:r>
      <w:r>
        <w:rPr>
          <w:szCs w:val="22"/>
          <w:u w:val="single"/>
        </w:rPr>
        <w:t>na</w:t>
      </w:r>
      <w:r>
        <w:rPr>
          <w:spacing w:val="1"/>
          <w:szCs w:val="22"/>
          <w:u w:val="single"/>
        </w:rPr>
        <w:t>l</w:t>
      </w:r>
      <w:r>
        <w:rPr>
          <w:szCs w:val="22"/>
          <w:u w:val="single"/>
        </w:rPr>
        <w:t>ă</w:t>
      </w:r>
    </w:p>
    <w:p w14:paraId="49B52177" w14:textId="77777777" w:rsidR="00C04CAD" w:rsidRDefault="00C04CAD">
      <w:pPr>
        <w:keepNext/>
        <w:tabs>
          <w:tab w:val="clear" w:pos="567"/>
        </w:tabs>
        <w:kinsoku w:val="0"/>
        <w:overflowPunct w:val="0"/>
        <w:autoSpaceDE w:val="0"/>
        <w:autoSpaceDN w:val="0"/>
        <w:adjustRightInd w:val="0"/>
        <w:spacing w:line="240" w:lineRule="auto"/>
        <w:rPr>
          <w:szCs w:val="22"/>
        </w:rPr>
      </w:pPr>
    </w:p>
    <w:p w14:paraId="44D19EBB" w14:textId="77777777" w:rsidR="00C04CAD" w:rsidRDefault="00060E34">
      <w:pPr>
        <w:numPr>
          <w:ilvl w:val="12"/>
          <w:numId w:val="0"/>
        </w:numPr>
        <w:spacing w:line="240" w:lineRule="auto"/>
        <w:ind w:right="-2"/>
        <w:rPr>
          <w:szCs w:val="22"/>
          <w:u w:val="single"/>
        </w:rPr>
      </w:pPr>
      <w:r>
        <w:rPr>
          <w:rFonts w:eastAsia="MS Mincho"/>
          <w:spacing w:val="-1"/>
          <w:szCs w:val="22"/>
          <w:lang w:eastAsia="en-US" w:bidi="ar-SA"/>
        </w:rPr>
        <w:t>Adalimumab</w:t>
      </w:r>
      <w:r>
        <w:rPr>
          <w:szCs w:val="22"/>
        </w:rPr>
        <w:t xml:space="preserve"> nu a f</w:t>
      </w:r>
      <w:r>
        <w:rPr>
          <w:spacing w:val="-3"/>
          <w:szCs w:val="22"/>
        </w:rPr>
        <w:t>o</w:t>
      </w:r>
      <w:r>
        <w:rPr>
          <w:szCs w:val="22"/>
        </w:rPr>
        <w:t>st</w:t>
      </w:r>
      <w:r>
        <w:rPr>
          <w:spacing w:val="-2"/>
          <w:szCs w:val="22"/>
        </w:rPr>
        <w:t xml:space="preserve"> </w:t>
      </w:r>
      <w:r>
        <w:rPr>
          <w:szCs w:val="22"/>
        </w:rPr>
        <w:t>s</w:t>
      </w:r>
      <w:r>
        <w:rPr>
          <w:spacing w:val="1"/>
          <w:szCs w:val="22"/>
        </w:rPr>
        <w:t>t</w:t>
      </w:r>
      <w:r>
        <w:rPr>
          <w:spacing w:val="-3"/>
          <w:szCs w:val="22"/>
        </w:rPr>
        <w:t>u</w:t>
      </w:r>
      <w:r>
        <w:rPr>
          <w:szCs w:val="22"/>
        </w:rPr>
        <w:t>d</w:t>
      </w:r>
      <w:r>
        <w:rPr>
          <w:spacing w:val="1"/>
          <w:szCs w:val="22"/>
        </w:rPr>
        <w:t>i</w:t>
      </w:r>
      <w:r>
        <w:rPr>
          <w:spacing w:val="-3"/>
          <w:szCs w:val="22"/>
        </w:rPr>
        <w:t>a</w:t>
      </w:r>
      <w:r>
        <w:rPr>
          <w:szCs w:val="22"/>
        </w:rPr>
        <w:t>t</w:t>
      </w:r>
      <w:r>
        <w:rPr>
          <w:spacing w:val="-2"/>
          <w:szCs w:val="22"/>
        </w:rPr>
        <w:t xml:space="preserve"> </w:t>
      </w:r>
      <w:r>
        <w:rPr>
          <w:spacing w:val="1"/>
          <w:szCs w:val="22"/>
        </w:rPr>
        <w:t>l</w:t>
      </w:r>
      <w:r>
        <w:rPr>
          <w:szCs w:val="22"/>
        </w:rPr>
        <w:t>a</w:t>
      </w:r>
      <w:r>
        <w:rPr>
          <w:spacing w:val="-2"/>
          <w:szCs w:val="22"/>
        </w:rPr>
        <w:t xml:space="preserve"> </w:t>
      </w:r>
      <w:r>
        <w:rPr>
          <w:szCs w:val="22"/>
        </w:rPr>
        <w:t>pac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cu</w:t>
      </w:r>
      <w:r>
        <w:rPr>
          <w:spacing w:val="-3"/>
          <w:szCs w:val="22"/>
        </w:rPr>
        <w:t xml:space="preserve"> </w:t>
      </w:r>
      <w:r>
        <w:rPr>
          <w:spacing w:val="1"/>
          <w:szCs w:val="22"/>
        </w:rPr>
        <w:t>i</w:t>
      </w:r>
      <w:r>
        <w:rPr>
          <w:szCs w:val="22"/>
        </w:rPr>
        <w:t>ns</w:t>
      </w:r>
      <w:r>
        <w:rPr>
          <w:spacing w:val="-3"/>
          <w:szCs w:val="22"/>
        </w:rPr>
        <w:t>u</w:t>
      </w:r>
      <w:r>
        <w:rPr>
          <w:szCs w:val="22"/>
        </w:rPr>
        <w:t>f</w:t>
      </w:r>
      <w:r>
        <w:rPr>
          <w:spacing w:val="-2"/>
          <w:szCs w:val="22"/>
        </w:rPr>
        <w:t>i</w:t>
      </w:r>
      <w:r>
        <w:rPr>
          <w:szCs w:val="22"/>
        </w:rPr>
        <w:t>c</w:t>
      </w:r>
      <w:r>
        <w:rPr>
          <w:spacing w:val="1"/>
          <w:szCs w:val="22"/>
        </w:rPr>
        <w:t>i</w:t>
      </w:r>
      <w:r>
        <w:rPr>
          <w:spacing w:val="-3"/>
          <w:szCs w:val="22"/>
        </w:rPr>
        <w:t>e</w:t>
      </w:r>
      <w:r>
        <w:rPr>
          <w:szCs w:val="22"/>
        </w:rPr>
        <w:t>n</w:t>
      </w:r>
      <w:r>
        <w:rPr>
          <w:spacing w:val="1"/>
          <w:szCs w:val="22"/>
        </w:rPr>
        <w:t>ţ</w:t>
      </w:r>
      <w:r>
        <w:rPr>
          <w:szCs w:val="22"/>
        </w:rPr>
        <w:t>ă</w:t>
      </w:r>
      <w:r>
        <w:rPr>
          <w:spacing w:val="-2"/>
          <w:szCs w:val="22"/>
        </w:rPr>
        <w:t xml:space="preserve"> </w:t>
      </w:r>
      <w:r>
        <w:rPr>
          <w:szCs w:val="22"/>
        </w:rPr>
        <w:t>h</w:t>
      </w:r>
      <w:r>
        <w:rPr>
          <w:spacing w:val="-3"/>
          <w:szCs w:val="22"/>
        </w:rPr>
        <w:t>e</w:t>
      </w:r>
      <w:r>
        <w:rPr>
          <w:szCs w:val="22"/>
        </w:rPr>
        <w:t>pa</w:t>
      </w:r>
      <w:r>
        <w:rPr>
          <w:spacing w:val="-2"/>
          <w:szCs w:val="22"/>
        </w:rPr>
        <w:t>t</w:t>
      </w:r>
      <w:r>
        <w:rPr>
          <w:spacing w:val="1"/>
          <w:szCs w:val="22"/>
        </w:rPr>
        <w:t>i</w:t>
      </w:r>
      <w:r>
        <w:rPr>
          <w:szCs w:val="22"/>
        </w:rPr>
        <w:t>că</w:t>
      </w:r>
      <w:r>
        <w:rPr>
          <w:spacing w:val="-2"/>
          <w:szCs w:val="22"/>
        </w:rPr>
        <w:t xml:space="preserve"> </w:t>
      </w:r>
      <w:r>
        <w:rPr>
          <w:szCs w:val="22"/>
        </w:rPr>
        <w:t>sau</w:t>
      </w:r>
      <w:r>
        <w:rPr>
          <w:spacing w:val="-3"/>
          <w:szCs w:val="22"/>
        </w:rPr>
        <w:t xml:space="preserve"> </w:t>
      </w:r>
      <w:r>
        <w:rPr>
          <w:szCs w:val="22"/>
        </w:rPr>
        <w:t>ren</w:t>
      </w:r>
      <w:r>
        <w:rPr>
          <w:spacing w:val="-3"/>
          <w:szCs w:val="22"/>
        </w:rPr>
        <w:t>a</w:t>
      </w:r>
      <w:r>
        <w:rPr>
          <w:spacing w:val="1"/>
          <w:szCs w:val="22"/>
        </w:rPr>
        <w:t>l</w:t>
      </w:r>
      <w:r>
        <w:rPr>
          <w:szCs w:val="22"/>
        </w:rPr>
        <w:t>ă.</w:t>
      </w:r>
    </w:p>
    <w:p w14:paraId="38C3573B" w14:textId="77777777" w:rsidR="00C04CAD" w:rsidRDefault="00C04CAD">
      <w:pPr>
        <w:numPr>
          <w:ilvl w:val="12"/>
          <w:numId w:val="0"/>
        </w:numPr>
        <w:spacing w:line="240" w:lineRule="auto"/>
        <w:ind w:right="-2"/>
      </w:pPr>
    </w:p>
    <w:p w14:paraId="38F65078" w14:textId="77777777" w:rsidR="00C04CAD" w:rsidRDefault="00060E34">
      <w:pPr>
        <w:keepNext/>
        <w:numPr>
          <w:ilvl w:val="1"/>
          <w:numId w:val="7"/>
        </w:numPr>
        <w:spacing w:line="240" w:lineRule="auto"/>
        <w:outlineLvl w:val="0"/>
        <w:rPr>
          <w:szCs w:val="22"/>
        </w:rPr>
      </w:pPr>
      <w:r>
        <w:rPr>
          <w:b/>
          <w:szCs w:val="22"/>
        </w:rPr>
        <w:t>Date preclinice de siguranță</w:t>
      </w:r>
    </w:p>
    <w:p w14:paraId="5C79E3DC" w14:textId="77777777" w:rsidR="00C04CAD" w:rsidRDefault="00C04CAD">
      <w:pPr>
        <w:keepNext/>
        <w:spacing w:line="240" w:lineRule="auto"/>
        <w:rPr>
          <w:szCs w:val="22"/>
        </w:rPr>
      </w:pPr>
    </w:p>
    <w:p w14:paraId="4B2747B6"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a</w:t>
      </w:r>
      <w:r>
        <w:rPr>
          <w:spacing w:val="1"/>
          <w:szCs w:val="22"/>
        </w:rPr>
        <w:t>t</w:t>
      </w:r>
      <w:r>
        <w:rPr>
          <w:szCs w:val="22"/>
        </w:rPr>
        <w:t>e</w:t>
      </w:r>
      <w:r>
        <w:rPr>
          <w:spacing w:val="-2"/>
          <w:szCs w:val="22"/>
        </w:rPr>
        <w:t>l</w:t>
      </w:r>
      <w:r>
        <w:rPr>
          <w:szCs w:val="22"/>
        </w:rPr>
        <w:t>e no</w:t>
      </w:r>
      <w:r>
        <w:rPr>
          <w:spacing w:val="-1"/>
          <w:szCs w:val="22"/>
        </w:rPr>
        <w:t>n</w:t>
      </w:r>
      <w:r>
        <w:rPr>
          <w:spacing w:val="-4"/>
          <w:szCs w:val="22"/>
        </w:rPr>
        <w:t>-</w:t>
      </w:r>
      <w:r>
        <w:rPr>
          <w:szCs w:val="22"/>
        </w:rPr>
        <w:t>c</w:t>
      </w:r>
      <w:r>
        <w:rPr>
          <w:spacing w:val="1"/>
          <w:szCs w:val="22"/>
        </w:rPr>
        <w:t>li</w:t>
      </w:r>
      <w:r>
        <w:rPr>
          <w:spacing w:val="-3"/>
          <w:szCs w:val="22"/>
        </w:rPr>
        <w:t>n</w:t>
      </w:r>
      <w:r>
        <w:rPr>
          <w:spacing w:val="1"/>
          <w:szCs w:val="22"/>
        </w:rPr>
        <w:t>i</w:t>
      </w:r>
      <w:r>
        <w:rPr>
          <w:spacing w:val="-3"/>
          <w:szCs w:val="22"/>
        </w:rPr>
        <w:t>c</w:t>
      </w:r>
      <w:r>
        <w:rPr>
          <w:szCs w:val="22"/>
        </w:rPr>
        <w:t>e d</w:t>
      </w:r>
      <w:r>
        <w:rPr>
          <w:spacing w:val="1"/>
          <w:szCs w:val="22"/>
        </w:rPr>
        <w:t>i</w:t>
      </w:r>
      <w:r>
        <w:rPr>
          <w:szCs w:val="22"/>
        </w:rPr>
        <w:t>n</w:t>
      </w:r>
      <w:r>
        <w:rPr>
          <w:spacing w:val="-3"/>
          <w:szCs w:val="22"/>
        </w:rPr>
        <w:t xml:space="preserve"> </w:t>
      </w:r>
      <w:r>
        <w:rPr>
          <w:szCs w:val="22"/>
        </w:rPr>
        <w:t>s</w:t>
      </w:r>
      <w:r>
        <w:rPr>
          <w:spacing w:val="-2"/>
          <w:szCs w:val="22"/>
        </w:rPr>
        <w:t>t</w:t>
      </w:r>
      <w:r>
        <w:rPr>
          <w:szCs w:val="22"/>
        </w:rPr>
        <w:t>ud</w:t>
      </w:r>
      <w:r>
        <w:rPr>
          <w:spacing w:val="-2"/>
          <w:szCs w:val="22"/>
        </w:rPr>
        <w:t>i</w:t>
      </w:r>
      <w:r>
        <w:rPr>
          <w:szCs w:val="22"/>
        </w:rPr>
        <w:t>i</w:t>
      </w:r>
      <w:r>
        <w:rPr>
          <w:spacing w:val="1"/>
          <w:szCs w:val="22"/>
        </w:rPr>
        <w:t xml:space="preserve"> </w:t>
      </w:r>
      <w:r>
        <w:rPr>
          <w:szCs w:val="22"/>
        </w:rPr>
        <w:t>de</w:t>
      </w:r>
      <w:r>
        <w:rPr>
          <w:spacing w:val="-2"/>
          <w:szCs w:val="22"/>
        </w:rPr>
        <w:t xml:space="preserve"> </w:t>
      </w:r>
      <w:r>
        <w:rPr>
          <w:spacing w:val="1"/>
          <w:szCs w:val="22"/>
        </w:rPr>
        <w:t>t</w:t>
      </w:r>
      <w:r>
        <w:rPr>
          <w:szCs w:val="22"/>
        </w:rPr>
        <w:t>o</w:t>
      </w:r>
      <w:r>
        <w:rPr>
          <w:spacing w:val="-3"/>
          <w:szCs w:val="22"/>
        </w:rPr>
        <w:t>x</w:t>
      </w:r>
      <w:r>
        <w:rPr>
          <w:spacing w:val="1"/>
          <w:szCs w:val="22"/>
        </w:rPr>
        <w:t>i</w:t>
      </w:r>
      <w:r>
        <w:rPr>
          <w:szCs w:val="22"/>
        </w:rPr>
        <w:t>c</w:t>
      </w:r>
      <w:r>
        <w:rPr>
          <w:spacing w:val="-2"/>
          <w:szCs w:val="22"/>
        </w:rPr>
        <w:t>i</w:t>
      </w:r>
      <w:r>
        <w:rPr>
          <w:spacing w:val="1"/>
          <w:szCs w:val="22"/>
        </w:rPr>
        <w:t>t</w:t>
      </w:r>
      <w:r>
        <w:rPr>
          <w:spacing w:val="-3"/>
          <w:szCs w:val="22"/>
        </w:rPr>
        <w:t>a</w:t>
      </w:r>
      <w:r>
        <w:rPr>
          <w:spacing w:val="1"/>
          <w:szCs w:val="22"/>
        </w:rPr>
        <w:t>t</w:t>
      </w:r>
      <w:r>
        <w:rPr>
          <w:szCs w:val="22"/>
        </w:rPr>
        <w:t>e d</w:t>
      </w:r>
      <w:r>
        <w:rPr>
          <w:spacing w:val="-3"/>
          <w:szCs w:val="22"/>
        </w:rPr>
        <w:t>u</w:t>
      </w:r>
      <w:r>
        <w:rPr>
          <w:szCs w:val="22"/>
        </w:rPr>
        <w:t>pă do</w:t>
      </w:r>
      <w:r>
        <w:rPr>
          <w:spacing w:val="-3"/>
          <w:szCs w:val="22"/>
        </w:rPr>
        <w:t>z</w:t>
      </w:r>
      <w:r>
        <w:rPr>
          <w:szCs w:val="22"/>
        </w:rPr>
        <w:t>ă u</w:t>
      </w:r>
      <w:r>
        <w:rPr>
          <w:spacing w:val="-3"/>
          <w:szCs w:val="22"/>
        </w:rPr>
        <w:t>n</w:t>
      </w:r>
      <w:r>
        <w:rPr>
          <w:spacing w:val="1"/>
          <w:szCs w:val="22"/>
        </w:rPr>
        <w:t>i</w:t>
      </w:r>
      <w:r>
        <w:rPr>
          <w:szCs w:val="22"/>
        </w:rPr>
        <w:t xml:space="preserve">că, </w:t>
      </w:r>
      <w:r>
        <w:rPr>
          <w:spacing w:val="-3"/>
          <w:szCs w:val="22"/>
        </w:rPr>
        <w:t>d</w:t>
      </w:r>
      <w:r>
        <w:rPr>
          <w:szCs w:val="22"/>
        </w:rPr>
        <w:t xml:space="preserve">e </w:t>
      </w:r>
      <w:r>
        <w:rPr>
          <w:spacing w:val="-2"/>
          <w:szCs w:val="22"/>
        </w:rPr>
        <w:t>t</w:t>
      </w:r>
      <w:r>
        <w:rPr>
          <w:szCs w:val="22"/>
        </w:rPr>
        <w:t>ox</w:t>
      </w:r>
      <w:r>
        <w:rPr>
          <w:spacing w:val="-2"/>
          <w:szCs w:val="22"/>
        </w:rPr>
        <w:t>i</w:t>
      </w:r>
      <w:r>
        <w:rPr>
          <w:szCs w:val="22"/>
        </w:rPr>
        <w:t>c</w:t>
      </w:r>
      <w:r>
        <w:rPr>
          <w:spacing w:val="-2"/>
          <w:szCs w:val="22"/>
        </w:rPr>
        <w:t>i</w:t>
      </w:r>
      <w:r>
        <w:rPr>
          <w:spacing w:val="1"/>
          <w:szCs w:val="22"/>
        </w:rPr>
        <w:t>t</w:t>
      </w:r>
      <w:r>
        <w:rPr>
          <w:szCs w:val="22"/>
        </w:rPr>
        <w:t>a</w:t>
      </w:r>
      <w:r>
        <w:rPr>
          <w:spacing w:val="-2"/>
          <w:szCs w:val="22"/>
        </w:rPr>
        <w:t>t</w:t>
      </w:r>
      <w:r>
        <w:rPr>
          <w:szCs w:val="22"/>
        </w:rPr>
        <w:t>e du</w:t>
      </w:r>
      <w:r>
        <w:rPr>
          <w:spacing w:val="-3"/>
          <w:szCs w:val="22"/>
        </w:rPr>
        <w:t>p</w:t>
      </w:r>
      <w:r>
        <w:rPr>
          <w:szCs w:val="22"/>
        </w:rPr>
        <w:t>ă do</w:t>
      </w:r>
      <w:r>
        <w:rPr>
          <w:spacing w:val="-3"/>
          <w:szCs w:val="22"/>
        </w:rPr>
        <w:t>z</w:t>
      </w:r>
      <w:r>
        <w:rPr>
          <w:szCs w:val="22"/>
        </w:rPr>
        <w:t>e</w:t>
      </w:r>
      <w:r>
        <w:rPr>
          <w:spacing w:val="-2"/>
          <w:szCs w:val="22"/>
        </w:rPr>
        <w:t xml:space="preserve"> </w:t>
      </w:r>
      <w:r>
        <w:rPr>
          <w:szCs w:val="22"/>
        </w:rPr>
        <w:t>rep</w:t>
      </w:r>
      <w:r>
        <w:rPr>
          <w:spacing w:val="-3"/>
          <w:szCs w:val="22"/>
        </w:rPr>
        <w:t>e</w:t>
      </w:r>
      <w:r>
        <w:rPr>
          <w:spacing w:val="1"/>
          <w:szCs w:val="22"/>
        </w:rPr>
        <w:t>t</w:t>
      </w:r>
      <w:r>
        <w:rPr>
          <w:spacing w:val="-3"/>
          <w:szCs w:val="22"/>
        </w:rPr>
        <w:t>a</w:t>
      </w:r>
      <w:r>
        <w:rPr>
          <w:spacing w:val="1"/>
          <w:szCs w:val="22"/>
        </w:rPr>
        <w:t>t</w:t>
      </w:r>
      <w:r>
        <w:rPr>
          <w:szCs w:val="22"/>
        </w:rPr>
        <w:t xml:space="preserve">e </w:t>
      </w:r>
      <w:r>
        <w:rPr>
          <w:spacing w:val="-2"/>
          <w:szCs w:val="22"/>
        </w:rPr>
        <w:t>ş</w:t>
      </w:r>
      <w:r>
        <w:rPr>
          <w:szCs w:val="22"/>
        </w:rPr>
        <w:t>i</w:t>
      </w:r>
      <w:r>
        <w:rPr>
          <w:spacing w:val="1"/>
          <w:szCs w:val="22"/>
        </w:rPr>
        <w:t xml:space="preserve"> </w:t>
      </w:r>
      <w:r>
        <w:rPr>
          <w:szCs w:val="22"/>
        </w:rPr>
        <w:t xml:space="preserve">de </w:t>
      </w:r>
      <w:r>
        <w:rPr>
          <w:spacing w:val="-3"/>
          <w:szCs w:val="22"/>
        </w:rPr>
        <w:t>g</w:t>
      </w:r>
      <w:r>
        <w:rPr>
          <w:szCs w:val="22"/>
        </w:rPr>
        <w:t>eno</w:t>
      </w:r>
      <w:r>
        <w:rPr>
          <w:spacing w:val="1"/>
          <w:szCs w:val="22"/>
        </w:rPr>
        <w:t>t</w:t>
      </w:r>
      <w:r>
        <w:rPr>
          <w:szCs w:val="22"/>
        </w:rPr>
        <w:t>ox</w:t>
      </w:r>
      <w:r>
        <w:rPr>
          <w:spacing w:val="1"/>
          <w:szCs w:val="22"/>
        </w:rPr>
        <w:t>i</w:t>
      </w:r>
      <w:r>
        <w:rPr>
          <w:spacing w:val="-3"/>
          <w:szCs w:val="22"/>
        </w:rPr>
        <w:t>c</w:t>
      </w:r>
      <w:r>
        <w:rPr>
          <w:spacing w:val="-2"/>
          <w:szCs w:val="22"/>
        </w:rPr>
        <w:t>i</w:t>
      </w:r>
      <w:r>
        <w:rPr>
          <w:spacing w:val="1"/>
          <w:szCs w:val="22"/>
        </w:rPr>
        <w:t>t</w:t>
      </w:r>
      <w:r>
        <w:rPr>
          <w:szCs w:val="22"/>
        </w:rPr>
        <w:t>a</w:t>
      </w:r>
      <w:r>
        <w:rPr>
          <w:spacing w:val="-2"/>
          <w:szCs w:val="22"/>
        </w:rPr>
        <w:t>t</w:t>
      </w:r>
      <w:r>
        <w:rPr>
          <w:szCs w:val="22"/>
        </w:rPr>
        <w:t>e, nu</w:t>
      </w:r>
      <w:r>
        <w:rPr>
          <w:spacing w:val="-3"/>
          <w:szCs w:val="22"/>
        </w:rPr>
        <w:t xml:space="preserve"> </w:t>
      </w:r>
      <w:r>
        <w:rPr>
          <w:szCs w:val="22"/>
        </w:rPr>
        <w:t>au e</w:t>
      </w:r>
      <w:r>
        <w:rPr>
          <w:spacing w:val="-3"/>
          <w:szCs w:val="22"/>
        </w:rPr>
        <w:t>v</w:t>
      </w:r>
      <w:r>
        <w:rPr>
          <w:spacing w:val="1"/>
          <w:szCs w:val="22"/>
        </w:rPr>
        <w:t>i</w:t>
      </w:r>
      <w:r>
        <w:rPr>
          <w:szCs w:val="22"/>
        </w:rPr>
        <w:t>d</w:t>
      </w:r>
      <w:r>
        <w:rPr>
          <w:spacing w:val="-3"/>
          <w:szCs w:val="22"/>
        </w:rPr>
        <w:t>e</w:t>
      </w:r>
      <w:r>
        <w:rPr>
          <w:szCs w:val="22"/>
        </w:rPr>
        <w:t>n</w:t>
      </w:r>
      <w:r>
        <w:rPr>
          <w:spacing w:val="1"/>
          <w:szCs w:val="22"/>
        </w:rPr>
        <w:t>ţ</w:t>
      </w:r>
      <w:r>
        <w:rPr>
          <w:spacing w:val="-2"/>
          <w:szCs w:val="22"/>
        </w:rPr>
        <w:t>i</w:t>
      </w:r>
      <w:r>
        <w:rPr>
          <w:szCs w:val="22"/>
        </w:rPr>
        <w:t>at</w:t>
      </w:r>
      <w:r>
        <w:rPr>
          <w:spacing w:val="1"/>
          <w:szCs w:val="22"/>
        </w:rPr>
        <w:t xml:space="preserve"> </w:t>
      </w:r>
      <w:r>
        <w:rPr>
          <w:spacing w:val="-3"/>
          <w:szCs w:val="22"/>
        </w:rPr>
        <w:t>n</w:t>
      </w:r>
      <w:r>
        <w:rPr>
          <w:spacing w:val="1"/>
          <w:szCs w:val="22"/>
        </w:rPr>
        <w:t>i</w:t>
      </w:r>
      <w:r>
        <w:rPr>
          <w:spacing w:val="-3"/>
          <w:szCs w:val="22"/>
        </w:rPr>
        <w:t>c</w:t>
      </w:r>
      <w:r>
        <w:rPr>
          <w:szCs w:val="22"/>
        </w:rPr>
        <w:t>i</w:t>
      </w:r>
      <w:r>
        <w:rPr>
          <w:spacing w:val="1"/>
          <w:szCs w:val="22"/>
        </w:rPr>
        <w:t xml:space="preserve"> </w:t>
      </w:r>
      <w:r>
        <w:rPr>
          <w:szCs w:val="22"/>
        </w:rPr>
        <w:t>un</w:t>
      </w:r>
      <w:r>
        <w:rPr>
          <w:spacing w:val="-3"/>
          <w:szCs w:val="22"/>
        </w:rPr>
        <w:t xml:space="preserve"> </w:t>
      </w:r>
      <w:r>
        <w:rPr>
          <w:szCs w:val="22"/>
        </w:rPr>
        <w:t>r</w:t>
      </w:r>
      <w:r>
        <w:rPr>
          <w:spacing w:val="1"/>
          <w:szCs w:val="22"/>
        </w:rPr>
        <w:t>i</w:t>
      </w:r>
      <w:r>
        <w:rPr>
          <w:spacing w:val="-2"/>
          <w:szCs w:val="22"/>
        </w:rPr>
        <w:t>s</w:t>
      </w:r>
      <w:r>
        <w:rPr>
          <w:szCs w:val="22"/>
        </w:rPr>
        <w:t>c s</w:t>
      </w:r>
      <w:r>
        <w:rPr>
          <w:spacing w:val="-3"/>
          <w:szCs w:val="22"/>
        </w:rPr>
        <w:t>p</w:t>
      </w:r>
      <w:r>
        <w:rPr>
          <w:szCs w:val="22"/>
        </w:rPr>
        <w:t>e</w:t>
      </w:r>
      <w:r>
        <w:rPr>
          <w:spacing w:val="-3"/>
          <w:szCs w:val="22"/>
        </w:rPr>
        <w:t>c</w:t>
      </w:r>
      <w:r>
        <w:rPr>
          <w:spacing w:val="1"/>
          <w:szCs w:val="22"/>
        </w:rPr>
        <w:t>i</w:t>
      </w:r>
      <w:r>
        <w:rPr>
          <w:szCs w:val="22"/>
        </w:rPr>
        <w:t>al</w:t>
      </w:r>
      <w:r>
        <w:rPr>
          <w:spacing w:val="-2"/>
          <w:szCs w:val="22"/>
        </w:rPr>
        <w:t xml:space="preserve"> </w:t>
      </w:r>
      <w:r>
        <w:rPr>
          <w:spacing w:val="1"/>
          <w:szCs w:val="22"/>
        </w:rPr>
        <w:t>l</w:t>
      </w:r>
      <w:r>
        <w:rPr>
          <w:szCs w:val="22"/>
        </w:rPr>
        <w:t>a</w:t>
      </w:r>
      <w:r>
        <w:rPr>
          <w:spacing w:val="-2"/>
          <w:szCs w:val="22"/>
        </w:rPr>
        <w:t xml:space="preserve"> </w:t>
      </w:r>
      <w:r>
        <w:rPr>
          <w:szCs w:val="22"/>
        </w:rPr>
        <w:t>o</w:t>
      </w:r>
      <w:r>
        <w:rPr>
          <w:spacing w:val="-4"/>
          <w:szCs w:val="22"/>
        </w:rPr>
        <w:t>m.</w:t>
      </w:r>
    </w:p>
    <w:p w14:paraId="3CF6F453" w14:textId="77777777" w:rsidR="00C04CAD" w:rsidRDefault="00C04CAD">
      <w:pPr>
        <w:tabs>
          <w:tab w:val="clear" w:pos="567"/>
        </w:tabs>
        <w:kinsoku w:val="0"/>
        <w:overflowPunct w:val="0"/>
        <w:autoSpaceDE w:val="0"/>
        <w:autoSpaceDN w:val="0"/>
        <w:adjustRightInd w:val="0"/>
        <w:spacing w:line="240" w:lineRule="auto"/>
        <w:rPr>
          <w:szCs w:val="22"/>
        </w:rPr>
      </w:pPr>
    </w:p>
    <w:p w14:paraId="6907DA82" w14:textId="77777777" w:rsidR="00C04CAD" w:rsidRDefault="00060E34">
      <w:pPr>
        <w:spacing w:line="240" w:lineRule="auto"/>
        <w:rPr>
          <w:szCs w:val="22"/>
        </w:rPr>
      </w:pPr>
      <w:r>
        <w:rPr>
          <w:spacing w:val="-1"/>
          <w:szCs w:val="22"/>
        </w:rPr>
        <w:t>U</w:t>
      </w:r>
      <w:r>
        <w:rPr>
          <w:szCs w:val="22"/>
        </w:rPr>
        <w:t>n s</w:t>
      </w:r>
      <w:r>
        <w:rPr>
          <w:spacing w:val="1"/>
          <w:szCs w:val="22"/>
        </w:rPr>
        <w:t>t</w:t>
      </w:r>
      <w:r>
        <w:rPr>
          <w:szCs w:val="22"/>
        </w:rPr>
        <w:t>u</w:t>
      </w:r>
      <w:r>
        <w:rPr>
          <w:spacing w:val="-3"/>
          <w:szCs w:val="22"/>
        </w:rPr>
        <w:t>d</w:t>
      </w:r>
      <w:r>
        <w:rPr>
          <w:spacing w:val="1"/>
          <w:szCs w:val="22"/>
        </w:rPr>
        <w:t>i</w:t>
      </w:r>
      <w:r>
        <w:rPr>
          <w:szCs w:val="22"/>
        </w:rPr>
        <w:t>u de</w:t>
      </w:r>
      <w:r>
        <w:rPr>
          <w:spacing w:val="-2"/>
          <w:szCs w:val="22"/>
        </w:rPr>
        <w:t xml:space="preserve"> </w:t>
      </w:r>
      <w:r>
        <w:rPr>
          <w:spacing w:val="1"/>
          <w:szCs w:val="22"/>
        </w:rPr>
        <w:t>t</w:t>
      </w:r>
      <w:r>
        <w:rPr>
          <w:szCs w:val="22"/>
        </w:rPr>
        <w:t>o</w:t>
      </w:r>
      <w:r>
        <w:rPr>
          <w:spacing w:val="-3"/>
          <w:szCs w:val="22"/>
        </w:rPr>
        <w:t>x</w:t>
      </w:r>
      <w:r>
        <w:rPr>
          <w:spacing w:val="1"/>
          <w:szCs w:val="22"/>
        </w:rPr>
        <w:t>i</w:t>
      </w:r>
      <w:r>
        <w:rPr>
          <w:spacing w:val="-3"/>
          <w:szCs w:val="22"/>
        </w:rPr>
        <w:t>c</w:t>
      </w:r>
      <w:r>
        <w:rPr>
          <w:spacing w:val="1"/>
          <w:szCs w:val="22"/>
        </w:rPr>
        <w:t>i</w:t>
      </w:r>
      <w:r>
        <w:rPr>
          <w:spacing w:val="-2"/>
          <w:szCs w:val="22"/>
        </w:rPr>
        <w:t>t</w:t>
      </w:r>
      <w:r>
        <w:rPr>
          <w:szCs w:val="22"/>
        </w:rPr>
        <w:t>a</w:t>
      </w:r>
      <w:r>
        <w:rPr>
          <w:spacing w:val="1"/>
          <w:szCs w:val="22"/>
        </w:rPr>
        <w:t>t</w:t>
      </w:r>
      <w:r>
        <w:rPr>
          <w:szCs w:val="22"/>
        </w:rPr>
        <w:t>e</w:t>
      </w:r>
      <w:r>
        <w:rPr>
          <w:spacing w:val="-2"/>
          <w:szCs w:val="22"/>
        </w:rPr>
        <w:t xml:space="preserve"> </w:t>
      </w:r>
      <w:r>
        <w:rPr>
          <w:szCs w:val="22"/>
        </w:rPr>
        <w:t>as</w:t>
      </w:r>
      <w:r>
        <w:rPr>
          <w:spacing w:val="-3"/>
          <w:szCs w:val="22"/>
        </w:rPr>
        <w:t>up</w:t>
      </w:r>
      <w:r>
        <w:rPr>
          <w:szCs w:val="22"/>
        </w:rPr>
        <w:t>ra de</w:t>
      </w:r>
      <w:r>
        <w:rPr>
          <w:spacing w:val="-3"/>
          <w:szCs w:val="22"/>
        </w:rPr>
        <w:t>zv</w:t>
      </w:r>
      <w:r>
        <w:rPr>
          <w:szCs w:val="22"/>
        </w:rPr>
        <w:t>o</w:t>
      </w:r>
      <w:r>
        <w:rPr>
          <w:spacing w:val="1"/>
          <w:szCs w:val="22"/>
        </w:rPr>
        <w:t>lt</w:t>
      </w:r>
      <w:r>
        <w:rPr>
          <w:spacing w:val="-3"/>
          <w:szCs w:val="22"/>
        </w:rPr>
        <w:t>ă</w:t>
      </w:r>
      <w:r>
        <w:rPr>
          <w:szCs w:val="22"/>
        </w:rPr>
        <w:t>r</w:t>
      </w:r>
      <w:r>
        <w:rPr>
          <w:spacing w:val="-2"/>
          <w:szCs w:val="22"/>
        </w:rPr>
        <w:t>i</w:t>
      </w:r>
      <w:r>
        <w:rPr>
          <w:szCs w:val="22"/>
        </w:rPr>
        <w:t>i</w:t>
      </w:r>
      <w:r>
        <w:rPr>
          <w:spacing w:val="1"/>
          <w:szCs w:val="22"/>
        </w:rPr>
        <w:t xml:space="preserve"> </w:t>
      </w:r>
      <w:r>
        <w:rPr>
          <w:szCs w:val="22"/>
        </w:rPr>
        <w:t>e</w:t>
      </w:r>
      <w:r>
        <w:rPr>
          <w:spacing w:val="-4"/>
          <w:szCs w:val="22"/>
        </w:rPr>
        <w:t>m</w:t>
      </w:r>
      <w:r>
        <w:rPr>
          <w:szCs w:val="22"/>
        </w:rPr>
        <w:t>br</w:t>
      </w:r>
      <w:r>
        <w:rPr>
          <w:spacing w:val="1"/>
          <w:szCs w:val="22"/>
        </w:rPr>
        <w:t>i</w:t>
      </w:r>
      <w:r>
        <w:rPr>
          <w:szCs w:val="22"/>
        </w:rPr>
        <w:t>o</w:t>
      </w:r>
      <w:r>
        <w:rPr>
          <w:spacing w:val="-4"/>
          <w:szCs w:val="22"/>
        </w:rPr>
        <w:t>-</w:t>
      </w:r>
      <w:r>
        <w:rPr>
          <w:szCs w:val="22"/>
        </w:rPr>
        <w:t>fe</w:t>
      </w:r>
      <w:r>
        <w:rPr>
          <w:spacing w:val="1"/>
          <w:szCs w:val="22"/>
        </w:rPr>
        <w:t>t</w:t>
      </w:r>
      <w:r>
        <w:rPr>
          <w:spacing w:val="-3"/>
          <w:szCs w:val="22"/>
        </w:rPr>
        <w:t>a</w:t>
      </w:r>
      <w:r>
        <w:rPr>
          <w:spacing w:val="1"/>
          <w:szCs w:val="22"/>
        </w:rPr>
        <w:t>l</w:t>
      </w:r>
      <w:r>
        <w:rPr>
          <w:spacing w:val="-3"/>
          <w:szCs w:val="22"/>
        </w:rPr>
        <w:t>e</w:t>
      </w:r>
      <w:r>
        <w:rPr>
          <w:spacing w:val="1"/>
          <w:szCs w:val="22"/>
        </w:rPr>
        <w:t>/</w:t>
      </w:r>
      <w:r>
        <w:rPr>
          <w:szCs w:val="22"/>
        </w:rPr>
        <w:t>e</w:t>
      </w:r>
      <w:r>
        <w:rPr>
          <w:spacing w:val="-3"/>
          <w:szCs w:val="22"/>
        </w:rPr>
        <w:t>v</w:t>
      </w:r>
      <w:r>
        <w:rPr>
          <w:szCs w:val="22"/>
        </w:rPr>
        <w:t>o</w:t>
      </w:r>
      <w:r>
        <w:rPr>
          <w:spacing w:val="1"/>
          <w:szCs w:val="22"/>
        </w:rPr>
        <w:t>l</w:t>
      </w:r>
      <w:r>
        <w:rPr>
          <w:szCs w:val="22"/>
        </w:rPr>
        <w:t>u</w:t>
      </w:r>
      <w:r>
        <w:rPr>
          <w:spacing w:val="-2"/>
          <w:szCs w:val="22"/>
        </w:rPr>
        <w:t>ţ</w:t>
      </w:r>
      <w:r>
        <w:rPr>
          <w:spacing w:val="1"/>
          <w:szCs w:val="22"/>
        </w:rPr>
        <w:t>i</w:t>
      </w:r>
      <w:r>
        <w:rPr>
          <w:spacing w:val="-3"/>
          <w:szCs w:val="22"/>
        </w:rPr>
        <w:t>e</w:t>
      </w:r>
      <w:r>
        <w:rPr>
          <w:szCs w:val="22"/>
        </w:rPr>
        <w:t>i</w:t>
      </w:r>
      <w:r>
        <w:rPr>
          <w:spacing w:val="1"/>
          <w:szCs w:val="22"/>
        </w:rPr>
        <w:t xml:space="preserve"> </w:t>
      </w:r>
      <w:r>
        <w:rPr>
          <w:szCs w:val="22"/>
        </w:rPr>
        <w:t>p</w:t>
      </w:r>
      <w:r>
        <w:rPr>
          <w:spacing w:val="-3"/>
          <w:szCs w:val="22"/>
        </w:rPr>
        <w:t>e</w:t>
      </w:r>
      <w:r>
        <w:rPr>
          <w:szCs w:val="22"/>
        </w:rPr>
        <w:t>r</w:t>
      </w:r>
      <w:r>
        <w:rPr>
          <w:spacing w:val="1"/>
          <w:szCs w:val="22"/>
        </w:rPr>
        <w:t>i</w:t>
      </w:r>
      <w:r>
        <w:rPr>
          <w:spacing w:val="-3"/>
          <w:szCs w:val="22"/>
        </w:rPr>
        <w:t>n</w:t>
      </w:r>
      <w:r>
        <w:rPr>
          <w:szCs w:val="22"/>
        </w:rPr>
        <w:t>a</w:t>
      </w:r>
      <w:r>
        <w:rPr>
          <w:spacing w:val="-2"/>
          <w:szCs w:val="22"/>
        </w:rPr>
        <w:t>t</w:t>
      </w:r>
      <w:r>
        <w:rPr>
          <w:szCs w:val="22"/>
        </w:rPr>
        <w:t>a</w:t>
      </w:r>
      <w:r>
        <w:rPr>
          <w:spacing w:val="1"/>
          <w:szCs w:val="22"/>
        </w:rPr>
        <w:t>l</w:t>
      </w:r>
      <w:r>
        <w:rPr>
          <w:szCs w:val="22"/>
        </w:rPr>
        <w:t>e</w:t>
      </w:r>
      <w:r>
        <w:rPr>
          <w:spacing w:val="-2"/>
          <w:szCs w:val="22"/>
        </w:rPr>
        <w:t xml:space="preserve"> </w:t>
      </w:r>
      <w:r>
        <w:rPr>
          <w:szCs w:val="22"/>
        </w:rPr>
        <w:t xml:space="preserve">a </w:t>
      </w:r>
      <w:r>
        <w:rPr>
          <w:spacing w:val="-2"/>
          <w:szCs w:val="22"/>
        </w:rPr>
        <w:t>f</w:t>
      </w:r>
      <w:r>
        <w:rPr>
          <w:szCs w:val="22"/>
        </w:rPr>
        <w:t>ost</w:t>
      </w:r>
      <w:r>
        <w:rPr>
          <w:spacing w:val="-2"/>
          <w:szCs w:val="22"/>
        </w:rPr>
        <w:t xml:space="preserve"> </w:t>
      </w:r>
      <w:r>
        <w:rPr>
          <w:spacing w:val="-3"/>
          <w:szCs w:val="22"/>
        </w:rPr>
        <w:t>e</w:t>
      </w:r>
      <w:r>
        <w:rPr>
          <w:szCs w:val="22"/>
        </w:rPr>
        <w:t>fe</w:t>
      </w:r>
      <w:r>
        <w:rPr>
          <w:spacing w:val="-3"/>
          <w:szCs w:val="22"/>
        </w:rPr>
        <w:t>c</w:t>
      </w:r>
      <w:r>
        <w:rPr>
          <w:spacing w:val="1"/>
          <w:szCs w:val="22"/>
        </w:rPr>
        <w:t>t</w:t>
      </w:r>
      <w:r>
        <w:rPr>
          <w:szCs w:val="22"/>
        </w:rPr>
        <w:t>u</w:t>
      </w:r>
      <w:r>
        <w:rPr>
          <w:spacing w:val="-3"/>
          <w:szCs w:val="22"/>
        </w:rPr>
        <w:t>a</w:t>
      </w:r>
      <w:r>
        <w:rPr>
          <w:szCs w:val="22"/>
        </w:rPr>
        <w:t>t</w:t>
      </w:r>
      <w:r>
        <w:rPr>
          <w:spacing w:val="1"/>
          <w:szCs w:val="22"/>
        </w:rPr>
        <w:t xml:space="preserve"> </w:t>
      </w:r>
      <w:r>
        <w:rPr>
          <w:spacing w:val="-2"/>
          <w:szCs w:val="22"/>
        </w:rPr>
        <w:t>l</w:t>
      </w:r>
      <w:r>
        <w:rPr>
          <w:szCs w:val="22"/>
        </w:rPr>
        <w:t xml:space="preserve">a </w:t>
      </w:r>
      <w:r>
        <w:rPr>
          <w:spacing w:val="-4"/>
          <w:szCs w:val="22"/>
        </w:rPr>
        <w:t>m</w:t>
      </w:r>
      <w:r>
        <w:rPr>
          <w:szCs w:val="22"/>
        </w:rPr>
        <w:t>a</w:t>
      </w:r>
      <w:r>
        <w:rPr>
          <w:spacing w:val="1"/>
          <w:szCs w:val="22"/>
        </w:rPr>
        <w:t>i</w:t>
      </w:r>
      <w:r>
        <w:rPr>
          <w:spacing w:val="-4"/>
          <w:szCs w:val="22"/>
        </w:rPr>
        <w:t>m</w:t>
      </w:r>
      <w:r>
        <w:rPr>
          <w:szCs w:val="22"/>
        </w:rPr>
        <w:t>u</w:t>
      </w:r>
      <w:r>
        <w:rPr>
          <w:spacing w:val="1"/>
          <w:szCs w:val="22"/>
        </w:rPr>
        <w:t>ţ</w:t>
      </w:r>
      <w:r>
        <w:rPr>
          <w:szCs w:val="22"/>
        </w:rPr>
        <w:t>e c</w:t>
      </w:r>
      <w:r>
        <w:rPr>
          <w:spacing w:val="-3"/>
          <w:szCs w:val="22"/>
        </w:rPr>
        <w:t>y</w:t>
      </w:r>
      <w:r>
        <w:rPr>
          <w:szCs w:val="22"/>
        </w:rPr>
        <w:t>n</w:t>
      </w:r>
      <w:r>
        <w:rPr>
          <w:spacing w:val="2"/>
          <w:szCs w:val="22"/>
        </w:rPr>
        <w:t>o</w:t>
      </w:r>
      <w:r>
        <w:rPr>
          <w:spacing w:val="-4"/>
          <w:szCs w:val="22"/>
        </w:rPr>
        <w:t>m</w:t>
      </w:r>
      <w:r>
        <w:rPr>
          <w:szCs w:val="22"/>
        </w:rPr>
        <w:t>o</w:t>
      </w:r>
      <w:r>
        <w:rPr>
          <w:spacing w:val="1"/>
          <w:szCs w:val="22"/>
        </w:rPr>
        <w:t>l</w:t>
      </w:r>
      <w:r>
        <w:rPr>
          <w:szCs w:val="22"/>
        </w:rPr>
        <w:t>o</w:t>
      </w:r>
      <w:r>
        <w:rPr>
          <w:spacing w:val="-3"/>
          <w:szCs w:val="22"/>
        </w:rPr>
        <w:t>g</w:t>
      </w:r>
      <w:r>
        <w:rPr>
          <w:szCs w:val="22"/>
        </w:rPr>
        <w:t>ous cu do</w:t>
      </w:r>
      <w:r>
        <w:rPr>
          <w:spacing w:val="-3"/>
          <w:szCs w:val="22"/>
        </w:rPr>
        <w:t>z</w:t>
      </w:r>
      <w:r>
        <w:rPr>
          <w:szCs w:val="22"/>
        </w:rPr>
        <w:t>e de</w:t>
      </w:r>
      <w:r>
        <w:rPr>
          <w:spacing w:val="-2"/>
          <w:szCs w:val="22"/>
        </w:rPr>
        <w:t xml:space="preserve"> </w:t>
      </w:r>
      <w:r>
        <w:rPr>
          <w:spacing w:val="-3"/>
          <w:szCs w:val="22"/>
        </w:rPr>
        <w:t>0</w:t>
      </w:r>
      <w:r>
        <w:rPr>
          <w:szCs w:val="22"/>
        </w:rPr>
        <w:t>, 30 şi</w:t>
      </w:r>
      <w:r>
        <w:rPr>
          <w:spacing w:val="-2"/>
          <w:szCs w:val="22"/>
        </w:rPr>
        <w:t xml:space="preserve"> </w:t>
      </w:r>
      <w:r>
        <w:rPr>
          <w:szCs w:val="22"/>
        </w:rPr>
        <w:t>100 </w:t>
      </w:r>
      <w:r>
        <w:rPr>
          <w:spacing w:val="-4"/>
          <w:szCs w:val="22"/>
        </w:rPr>
        <w:t>m</w:t>
      </w:r>
      <w:r>
        <w:rPr>
          <w:spacing w:val="-3"/>
          <w:szCs w:val="22"/>
        </w:rPr>
        <w:t>g</w:t>
      </w:r>
      <w:r>
        <w:rPr>
          <w:spacing w:val="1"/>
          <w:szCs w:val="22"/>
        </w:rPr>
        <w:t>/</w:t>
      </w:r>
      <w:r>
        <w:rPr>
          <w:szCs w:val="22"/>
        </w:rPr>
        <w:t>kg</w:t>
      </w:r>
      <w:r>
        <w:rPr>
          <w:spacing w:val="-3"/>
          <w:szCs w:val="22"/>
        </w:rPr>
        <w:t xml:space="preserve"> </w:t>
      </w:r>
      <w:r>
        <w:rPr>
          <w:szCs w:val="22"/>
        </w:rPr>
        <w:t>(</w:t>
      </w:r>
      <w:r>
        <w:rPr>
          <w:spacing w:val="2"/>
          <w:szCs w:val="22"/>
        </w:rPr>
        <w:t>9</w:t>
      </w:r>
      <w:r>
        <w:rPr>
          <w:spacing w:val="-4"/>
          <w:szCs w:val="22"/>
        </w:rPr>
        <w:noBreakHyphen/>
      </w:r>
      <w:r>
        <w:rPr>
          <w:szCs w:val="22"/>
        </w:rPr>
        <w:t>17</w:t>
      </w:r>
      <w:r>
        <w:rPr>
          <w:spacing w:val="2"/>
          <w:szCs w:val="22"/>
        </w:rPr>
        <w:t xml:space="preserve"> </w:t>
      </w:r>
      <w:r>
        <w:rPr>
          <w:spacing w:val="-4"/>
          <w:szCs w:val="22"/>
        </w:rPr>
        <w:t>m</w:t>
      </w:r>
      <w:r>
        <w:rPr>
          <w:szCs w:val="22"/>
        </w:rPr>
        <w:t>a</w:t>
      </w:r>
      <w:r>
        <w:rPr>
          <w:spacing w:val="1"/>
          <w:szCs w:val="22"/>
        </w:rPr>
        <w:t>i</w:t>
      </w:r>
      <w:r>
        <w:rPr>
          <w:spacing w:val="-4"/>
          <w:szCs w:val="22"/>
        </w:rPr>
        <w:t>m</w:t>
      </w:r>
      <w:r>
        <w:rPr>
          <w:szCs w:val="22"/>
        </w:rPr>
        <w:t>u</w:t>
      </w:r>
      <w:r>
        <w:rPr>
          <w:spacing w:val="1"/>
          <w:szCs w:val="22"/>
        </w:rPr>
        <w:t>ţ</w:t>
      </w:r>
      <w:r>
        <w:rPr>
          <w:szCs w:val="22"/>
        </w:rPr>
        <w:t>e</w:t>
      </w:r>
      <w:r>
        <w:rPr>
          <w:spacing w:val="1"/>
          <w:szCs w:val="22"/>
        </w:rPr>
        <w:t>/</w:t>
      </w:r>
      <w:r>
        <w:rPr>
          <w:spacing w:val="-3"/>
          <w:szCs w:val="22"/>
        </w:rPr>
        <w:t>g</w:t>
      </w:r>
      <w:r>
        <w:rPr>
          <w:szCs w:val="22"/>
        </w:rPr>
        <w:t>rup)</w:t>
      </w:r>
      <w:r>
        <w:rPr>
          <w:spacing w:val="1"/>
          <w:szCs w:val="22"/>
        </w:rPr>
        <w:t xml:space="preserve"> </w:t>
      </w:r>
      <w:r>
        <w:rPr>
          <w:spacing w:val="-2"/>
          <w:szCs w:val="22"/>
        </w:rPr>
        <w:t>ş</w:t>
      </w:r>
      <w:r>
        <w:rPr>
          <w:szCs w:val="22"/>
        </w:rPr>
        <w:t>i</w:t>
      </w:r>
      <w:r>
        <w:rPr>
          <w:spacing w:val="1"/>
          <w:szCs w:val="22"/>
        </w:rPr>
        <w:t xml:space="preserve"> </w:t>
      </w:r>
      <w:r>
        <w:rPr>
          <w:szCs w:val="22"/>
        </w:rPr>
        <w:t>nu a</w:t>
      </w:r>
      <w:r>
        <w:rPr>
          <w:spacing w:val="-2"/>
          <w:szCs w:val="22"/>
        </w:rPr>
        <w:t xml:space="preserve"> </w:t>
      </w:r>
      <w:r>
        <w:rPr>
          <w:szCs w:val="22"/>
        </w:rPr>
        <w:t>e</w:t>
      </w:r>
      <w:r>
        <w:rPr>
          <w:spacing w:val="-3"/>
          <w:szCs w:val="22"/>
        </w:rPr>
        <w:t>v</w:t>
      </w:r>
      <w:r>
        <w:rPr>
          <w:spacing w:val="1"/>
          <w:szCs w:val="22"/>
        </w:rPr>
        <w:t>i</w:t>
      </w:r>
      <w:r>
        <w:rPr>
          <w:szCs w:val="22"/>
        </w:rPr>
        <w:t>de</w:t>
      </w:r>
      <w:r>
        <w:rPr>
          <w:spacing w:val="-3"/>
          <w:szCs w:val="22"/>
        </w:rPr>
        <w:t>n</w:t>
      </w:r>
      <w:r>
        <w:rPr>
          <w:spacing w:val="1"/>
          <w:szCs w:val="22"/>
        </w:rPr>
        <w:t>ţ</w:t>
      </w:r>
      <w:r>
        <w:rPr>
          <w:spacing w:val="-2"/>
          <w:szCs w:val="22"/>
        </w:rPr>
        <w:t>i</w:t>
      </w:r>
      <w:r>
        <w:rPr>
          <w:szCs w:val="22"/>
        </w:rPr>
        <w:t>at</w:t>
      </w:r>
      <w:r>
        <w:rPr>
          <w:spacing w:val="1"/>
          <w:szCs w:val="22"/>
        </w:rPr>
        <w:t xml:space="preserve"> </w:t>
      </w:r>
      <w:r>
        <w:rPr>
          <w:spacing w:val="-2"/>
          <w:szCs w:val="22"/>
        </w:rPr>
        <w:t>l</w:t>
      </w:r>
      <w:r>
        <w:rPr>
          <w:szCs w:val="22"/>
        </w:rPr>
        <w:t>e</w:t>
      </w:r>
      <w:r>
        <w:rPr>
          <w:spacing w:val="-3"/>
          <w:szCs w:val="22"/>
        </w:rPr>
        <w:t>z</w:t>
      </w:r>
      <w:r>
        <w:rPr>
          <w:spacing w:val="1"/>
          <w:szCs w:val="22"/>
        </w:rPr>
        <w:t>i</w:t>
      </w:r>
      <w:r>
        <w:rPr>
          <w:szCs w:val="22"/>
        </w:rPr>
        <w:t>uni</w:t>
      </w:r>
      <w:r>
        <w:rPr>
          <w:spacing w:val="-2"/>
          <w:szCs w:val="22"/>
        </w:rPr>
        <w:t xml:space="preserve"> </w:t>
      </w:r>
      <w:r>
        <w:rPr>
          <w:szCs w:val="22"/>
        </w:rPr>
        <w:t>a</w:t>
      </w:r>
      <w:r>
        <w:rPr>
          <w:spacing w:val="-2"/>
          <w:szCs w:val="22"/>
        </w:rPr>
        <w:t>l</w:t>
      </w:r>
      <w:r>
        <w:rPr>
          <w:szCs w:val="22"/>
        </w:rPr>
        <w:t xml:space="preserve">e </w:t>
      </w:r>
      <w:r>
        <w:rPr>
          <w:spacing w:val="-2"/>
          <w:szCs w:val="22"/>
        </w:rPr>
        <w:t>f</w:t>
      </w:r>
      <w:r>
        <w:rPr>
          <w:szCs w:val="22"/>
        </w:rPr>
        <w:t>e</w:t>
      </w:r>
      <w:r>
        <w:rPr>
          <w:spacing w:val="-2"/>
          <w:szCs w:val="22"/>
        </w:rPr>
        <w:t>ţ</w:t>
      </w:r>
      <w:r>
        <w:rPr>
          <w:spacing w:val="1"/>
          <w:szCs w:val="22"/>
        </w:rPr>
        <w:t>il</w:t>
      </w:r>
      <w:r>
        <w:rPr>
          <w:spacing w:val="-3"/>
          <w:szCs w:val="22"/>
        </w:rPr>
        <w:t>o</w:t>
      </w:r>
      <w:r>
        <w:rPr>
          <w:szCs w:val="22"/>
        </w:rPr>
        <w:t>r da</w:t>
      </w:r>
      <w:r>
        <w:rPr>
          <w:spacing w:val="1"/>
          <w:szCs w:val="22"/>
        </w:rPr>
        <w:t>t</w:t>
      </w:r>
      <w:r>
        <w:rPr>
          <w:spacing w:val="-3"/>
          <w:szCs w:val="22"/>
        </w:rPr>
        <w:t>o</w:t>
      </w:r>
      <w:r>
        <w:rPr>
          <w:szCs w:val="22"/>
        </w:rPr>
        <w:t>ra</w:t>
      </w:r>
      <w:r>
        <w:rPr>
          <w:spacing w:val="-2"/>
          <w:szCs w:val="22"/>
        </w:rPr>
        <w:t>t</w:t>
      </w:r>
      <w:r>
        <w:rPr>
          <w:szCs w:val="22"/>
        </w:rPr>
        <w:t>e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ră</w:t>
      </w:r>
      <w:r>
        <w:rPr>
          <w:spacing w:val="-2"/>
          <w:szCs w:val="22"/>
        </w:rPr>
        <w:t>r</w:t>
      </w:r>
      <w:r>
        <w:rPr>
          <w:spacing w:val="1"/>
          <w:szCs w:val="22"/>
        </w:rPr>
        <w:t>i</w:t>
      </w:r>
      <w:r>
        <w:rPr>
          <w:szCs w:val="22"/>
        </w:rPr>
        <w:t>i</w:t>
      </w:r>
      <w:r>
        <w:rPr>
          <w:spacing w:val="-2"/>
          <w:szCs w:val="22"/>
        </w:rPr>
        <w:t xml:space="preserve"> </w:t>
      </w:r>
      <w:r>
        <w:rPr>
          <w:szCs w:val="22"/>
        </w:rPr>
        <w:t>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 xml:space="preserve">ab. </w:t>
      </w:r>
      <w:r>
        <w:rPr>
          <w:spacing w:val="-1"/>
          <w:szCs w:val="22"/>
        </w:rPr>
        <w:t>N</w:t>
      </w:r>
      <w:r>
        <w:rPr>
          <w:spacing w:val="1"/>
          <w:szCs w:val="22"/>
        </w:rPr>
        <w:t>i</w:t>
      </w:r>
      <w:r>
        <w:rPr>
          <w:szCs w:val="22"/>
        </w:rPr>
        <w:t>ci</w:t>
      </w:r>
      <w:r>
        <w:rPr>
          <w:spacing w:val="1"/>
          <w:szCs w:val="22"/>
        </w:rPr>
        <w:t xml:space="preserve"> </w:t>
      </w:r>
      <w:r>
        <w:rPr>
          <w:szCs w:val="22"/>
        </w:rPr>
        <w:t>s</w:t>
      </w:r>
      <w:r>
        <w:rPr>
          <w:spacing w:val="1"/>
          <w:szCs w:val="22"/>
        </w:rPr>
        <w:t>t</w:t>
      </w:r>
      <w:r>
        <w:rPr>
          <w:spacing w:val="-3"/>
          <w:szCs w:val="22"/>
        </w:rPr>
        <w:t>u</w:t>
      </w:r>
      <w:r>
        <w:rPr>
          <w:szCs w:val="22"/>
        </w:rPr>
        <w:t>d</w:t>
      </w:r>
      <w:r>
        <w:rPr>
          <w:spacing w:val="-2"/>
          <w:szCs w:val="22"/>
        </w:rPr>
        <w:t>i</w:t>
      </w:r>
      <w:r>
        <w:rPr>
          <w:spacing w:val="1"/>
          <w:szCs w:val="22"/>
        </w:rPr>
        <w:t>i</w:t>
      </w:r>
      <w:r>
        <w:rPr>
          <w:spacing w:val="-2"/>
          <w:szCs w:val="22"/>
        </w:rPr>
        <w:t>l</w:t>
      </w:r>
      <w:r>
        <w:rPr>
          <w:szCs w:val="22"/>
        </w:rPr>
        <w:t xml:space="preserve">e de </w:t>
      </w:r>
      <w:r>
        <w:rPr>
          <w:spacing w:val="-3"/>
          <w:szCs w:val="22"/>
        </w:rPr>
        <w:t>c</w:t>
      </w:r>
      <w:r>
        <w:rPr>
          <w:szCs w:val="22"/>
        </w:rPr>
        <w:t>a</w:t>
      </w:r>
      <w:r>
        <w:rPr>
          <w:spacing w:val="-2"/>
          <w:szCs w:val="22"/>
        </w:rPr>
        <w:t>r</w:t>
      </w:r>
      <w:r>
        <w:rPr>
          <w:szCs w:val="22"/>
        </w:rPr>
        <w:t>c</w:t>
      </w:r>
      <w:r>
        <w:rPr>
          <w:spacing w:val="1"/>
          <w:szCs w:val="22"/>
        </w:rPr>
        <w:t>i</w:t>
      </w:r>
      <w:r>
        <w:rPr>
          <w:szCs w:val="22"/>
        </w:rPr>
        <w:t>no</w:t>
      </w:r>
      <w:r>
        <w:rPr>
          <w:spacing w:val="-3"/>
          <w:szCs w:val="22"/>
        </w:rPr>
        <w:t>g</w:t>
      </w:r>
      <w:r>
        <w:rPr>
          <w:szCs w:val="22"/>
        </w:rPr>
        <w:t>en</w:t>
      </w:r>
      <w:r>
        <w:rPr>
          <w:spacing w:val="-2"/>
          <w:szCs w:val="22"/>
        </w:rPr>
        <w:t>i</w:t>
      </w:r>
      <w:r>
        <w:rPr>
          <w:szCs w:val="22"/>
        </w:rPr>
        <w:t>c</w:t>
      </w:r>
      <w:r>
        <w:rPr>
          <w:spacing w:val="-2"/>
          <w:szCs w:val="22"/>
        </w:rPr>
        <w:t>i</w:t>
      </w:r>
      <w:r>
        <w:rPr>
          <w:spacing w:val="1"/>
          <w:szCs w:val="22"/>
        </w:rPr>
        <w:t>t</w:t>
      </w:r>
      <w:r>
        <w:rPr>
          <w:spacing w:val="-3"/>
          <w:szCs w:val="22"/>
        </w:rPr>
        <w:t>a</w:t>
      </w:r>
      <w:r>
        <w:rPr>
          <w:spacing w:val="1"/>
          <w:szCs w:val="22"/>
        </w:rPr>
        <w:t>t</w:t>
      </w:r>
      <w:r>
        <w:rPr>
          <w:szCs w:val="22"/>
        </w:rPr>
        <w:t xml:space="preserve">e </w:t>
      </w:r>
      <w:r>
        <w:rPr>
          <w:spacing w:val="-2"/>
          <w:szCs w:val="22"/>
        </w:rPr>
        <w:t>ş</w:t>
      </w:r>
      <w:r>
        <w:rPr>
          <w:szCs w:val="22"/>
        </w:rPr>
        <w:t>i</w:t>
      </w:r>
      <w:r>
        <w:rPr>
          <w:spacing w:val="1"/>
          <w:szCs w:val="22"/>
        </w:rPr>
        <w:t xml:space="preserve"> </w:t>
      </w:r>
      <w:r>
        <w:rPr>
          <w:spacing w:val="-3"/>
          <w:szCs w:val="22"/>
        </w:rPr>
        <w:t>n</w:t>
      </w:r>
      <w:r>
        <w:rPr>
          <w:spacing w:val="1"/>
          <w:szCs w:val="22"/>
        </w:rPr>
        <w:t>i</w:t>
      </w:r>
      <w:r>
        <w:rPr>
          <w:szCs w:val="22"/>
        </w:rPr>
        <w:t>ci</w:t>
      </w:r>
      <w:r>
        <w:rPr>
          <w:spacing w:val="-2"/>
          <w:szCs w:val="22"/>
        </w:rPr>
        <w:t xml:space="preserve"> </w:t>
      </w:r>
      <w:r>
        <w:rPr>
          <w:szCs w:val="22"/>
        </w:rPr>
        <w:t>o e</w:t>
      </w:r>
      <w:r>
        <w:rPr>
          <w:spacing w:val="-3"/>
          <w:szCs w:val="22"/>
        </w:rPr>
        <w:t>v</w:t>
      </w:r>
      <w:r>
        <w:rPr>
          <w:szCs w:val="22"/>
        </w:rPr>
        <w:t>a</w:t>
      </w:r>
      <w:r>
        <w:rPr>
          <w:spacing w:val="-2"/>
          <w:szCs w:val="22"/>
        </w:rPr>
        <w:t>l</w:t>
      </w:r>
      <w:r>
        <w:rPr>
          <w:szCs w:val="22"/>
        </w:rPr>
        <w:t>uare</w:t>
      </w:r>
      <w:r>
        <w:rPr>
          <w:spacing w:val="-2"/>
          <w:szCs w:val="22"/>
        </w:rPr>
        <w:t xml:space="preserve"> </w:t>
      </w:r>
      <w:r>
        <w:rPr>
          <w:szCs w:val="22"/>
        </w:rPr>
        <w:t>s</w:t>
      </w:r>
      <w:r>
        <w:rPr>
          <w:spacing w:val="-2"/>
          <w:szCs w:val="22"/>
        </w:rPr>
        <w:t>t</w:t>
      </w:r>
      <w:r>
        <w:rPr>
          <w:szCs w:val="22"/>
        </w:rPr>
        <w:t>and</w:t>
      </w:r>
      <w:r>
        <w:rPr>
          <w:spacing w:val="-3"/>
          <w:szCs w:val="22"/>
        </w:rPr>
        <w:t>a</w:t>
      </w:r>
      <w:r>
        <w:rPr>
          <w:szCs w:val="22"/>
        </w:rPr>
        <w:t>rd a fe</w:t>
      </w:r>
      <w:r>
        <w:rPr>
          <w:spacing w:val="-2"/>
          <w:szCs w:val="22"/>
        </w:rPr>
        <w:t>r</w:t>
      </w:r>
      <w:r>
        <w:rPr>
          <w:spacing w:val="1"/>
          <w:szCs w:val="22"/>
        </w:rPr>
        <w:t>t</w:t>
      </w:r>
      <w:r>
        <w:rPr>
          <w:spacing w:val="-2"/>
          <w:szCs w:val="22"/>
        </w:rPr>
        <w:t>i</w:t>
      </w:r>
      <w:r>
        <w:rPr>
          <w:spacing w:val="1"/>
          <w:szCs w:val="22"/>
        </w:rPr>
        <w:t>l</w:t>
      </w:r>
      <w:r>
        <w:rPr>
          <w:spacing w:val="-2"/>
          <w:szCs w:val="22"/>
        </w:rPr>
        <w:t>i</w:t>
      </w:r>
      <w:r>
        <w:rPr>
          <w:spacing w:val="1"/>
          <w:szCs w:val="22"/>
        </w:rPr>
        <w:t>t</w:t>
      </w:r>
      <w:r>
        <w:rPr>
          <w:spacing w:val="-3"/>
          <w:szCs w:val="22"/>
        </w:rPr>
        <w:t>ă</w:t>
      </w:r>
      <w:r>
        <w:rPr>
          <w:spacing w:val="1"/>
          <w:szCs w:val="22"/>
        </w:rPr>
        <w:t>ţ</w:t>
      </w:r>
      <w:r>
        <w:rPr>
          <w:spacing w:val="-2"/>
          <w:szCs w:val="22"/>
        </w:rPr>
        <w:t>i</w:t>
      </w:r>
      <w:r>
        <w:rPr>
          <w:szCs w:val="22"/>
        </w:rPr>
        <w:t>i</w:t>
      </w:r>
      <w:r>
        <w:rPr>
          <w:spacing w:val="1"/>
          <w:szCs w:val="22"/>
        </w:rPr>
        <w:t xml:space="preserve"> </w:t>
      </w:r>
      <w:r>
        <w:rPr>
          <w:spacing w:val="-2"/>
          <w:szCs w:val="22"/>
        </w:rPr>
        <w:t>ş</w:t>
      </w:r>
      <w:r>
        <w:rPr>
          <w:szCs w:val="22"/>
        </w:rPr>
        <w:t>i</w:t>
      </w:r>
      <w:r>
        <w:rPr>
          <w:spacing w:val="1"/>
          <w:szCs w:val="22"/>
        </w:rPr>
        <w:t xml:space="preserve"> </w:t>
      </w:r>
      <w:r>
        <w:rPr>
          <w:szCs w:val="22"/>
        </w:rPr>
        <w:t>a</w:t>
      </w:r>
      <w:r>
        <w:rPr>
          <w:spacing w:val="-2"/>
          <w:szCs w:val="22"/>
        </w:rPr>
        <w:t xml:space="preserve"> </w:t>
      </w:r>
      <w:r>
        <w:rPr>
          <w:spacing w:val="1"/>
          <w:szCs w:val="22"/>
        </w:rPr>
        <w:t>t</w:t>
      </w:r>
      <w:r>
        <w:rPr>
          <w:szCs w:val="22"/>
        </w:rPr>
        <w:t>o</w:t>
      </w:r>
      <w:r>
        <w:rPr>
          <w:spacing w:val="-3"/>
          <w:szCs w:val="22"/>
        </w:rPr>
        <w:t>x</w:t>
      </w:r>
      <w:r>
        <w:rPr>
          <w:spacing w:val="1"/>
          <w:szCs w:val="22"/>
        </w:rPr>
        <w:t>i</w:t>
      </w:r>
      <w:r>
        <w:rPr>
          <w:szCs w:val="22"/>
        </w:rPr>
        <w:t>c</w:t>
      </w:r>
      <w:r>
        <w:rPr>
          <w:spacing w:val="-2"/>
          <w:szCs w:val="22"/>
        </w:rPr>
        <w:t>i</w:t>
      </w:r>
      <w:r>
        <w:rPr>
          <w:spacing w:val="1"/>
          <w:szCs w:val="22"/>
        </w:rPr>
        <w:t>t</w:t>
      </w:r>
      <w:r>
        <w:rPr>
          <w:spacing w:val="-3"/>
          <w:szCs w:val="22"/>
        </w:rPr>
        <w:t>ă</w:t>
      </w:r>
      <w:r>
        <w:rPr>
          <w:spacing w:val="1"/>
          <w:szCs w:val="22"/>
        </w:rPr>
        <w:t>ţ</w:t>
      </w:r>
      <w:r>
        <w:rPr>
          <w:spacing w:val="-2"/>
          <w:szCs w:val="22"/>
        </w:rPr>
        <w:t>i</w:t>
      </w:r>
      <w:r>
        <w:rPr>
          <w:szCs w:val="22"/>
        </w:rPr>
        <w:t>i</w:t>
      </w:r>
      <w:r>
        <w:rPr>
          <w:spacing w:val="1"/>
          <w:szCs w:val="22"/>
        </w:rPr>
        <w:t xml:space="preserve"> </w:t>
      </w:r>
      <w:r>
        <w:rPr>
          <w:szCs w:val="22"/>
        </w:rPr>
        <w:t>p</w:t>
      </w:r>
      <w:r>
        <w:rPr>
          <w:spacing w:val="-3"/>
          <w:szCs w:val="22"/>
        </w:rPr>
        <w:t>o</w:t>
      </w:r>
      <w:r>
        <w:rPr>
          <w:spacing w:val="-2"/>
          <w:szCs w:val="22"/>
        </w:rPr>
        <w:t>s</w:t>
      </w:r>
      <w:r>
        <w:rPr>
          <w:spacing w:val="1"/>
          <w:szCs w:val="22"/>
        </w:rPr>
        <w:t>t</w:t>
      </w:r>
      <w:r>
        <w:rPr>
          <w:szCs w:val="22"/>
        </w:rPr>
        <w:t>n</w:t>
      </w:r>
      <w:r>
        <w:rPr>
          <w:spacing w:val="-3"/>
          <w:szCs w:val="22"/>
        </w:rPr>
        <w:t>a</w:t>
      </w:r>
      <w:r>
        <w:rPr>
          <w:spacing w:val="1"/>
          <w:szCs w:val="22"/>
        </w:rPr>
        <w:t>t</w:t>
      </w:r>
      <w:r>
        <w:rPr>
          <w:szCs w:val="22"/>
        </w:rPr>
        <w:t>a</w:t>
      </w:r>
      <w:r>
        <w:rPr>
          <w:spacing w:val="-2"/>
          <w:szCs w:val="22"/>
        </w:rPr>
        <w:t>l</w:t>
      </w:r>
      <w:r>
        <w:rPr>
          <w:szCs w:val="22"/>
        </w:rPr>
        <w:t xml:space="preserve">e nu </w:t>
      </w:r>
      <w:r>
        <w:rPr>
          <w:spacing w:val="-3"/>
          <w:szCs w:val="22"/>
        </w:rPr>
        <w:t>a</w:t>
      </w:r>
      <w:r>
        <w:rPr>
          <w:szCs w:val="22"/>
        </w:rPr>
        <w:t>u f</w:t>
      </w:r>
      <w:r>
        <w:rPr>
          <w:spacing w:val="-3"/>
          <w:szCs w:val="22"/>
        </w:rPr>
        <w:t>o</w:t>
      </w:r>
      <w:r>
        <w:rPr>
          <w:szCs w:val="22"/>
        </w:rPr>
        <w:t>st</w:t>
      </w:r>
      <w:r>
        <w:rPr>
          <w:spacing w:val="-2"/>
          <w:szCs w:val="22"/>
        </w:rPr>
        <w:t xml:space="preserve"> </w:t>
      </w:r>
      <w:r>
        <w:rPr>
          <w:szCs w:val="22"/>
        </w:rPr>
        <w:t>ef</w:t>
      </w:r>
      <w:r>
        <w:rPr>
          <w:spacing w:val="-3"/>
          <w:szCs w:val="22"/>
        </w:rPr>
        <w:t>e</w:t>
      </w:r>
      <w:r>
        <w:rPr>
          <w:szCs w:val="22"/>
        </w:rPr>
        <w:t>c</w:t>
      </w:r>
      <w:r>
        <w:rPr>
          <w:spacing w:val="1"/>
          <w:szCs w:val="22"/>
        </w:rPr>
        <w:t>t</w:t>
      </w:r>
      <w:r>
        <w:rPr>
          <w:spacing w:val="-3"/>
          <w:szCs w:val="22"/>
        </w:rPr>
        <w:t>u</w:t>
      </w:r>
      <w:r>
        <w:rPr>
          <w:szCs w:val="22"/>
        </w:rPr>
        <w:t>a</w:t>
      </w:r>
      <w:r>
        <w:rPr>
          <w:spacing w:val="-2"/>
          <w:szCs w:val="22"/>
        </w:rPr>
        <w:t>t</w:t>
      </w:r>
      <w:r>
        <w:rPr>
          <w:szCs w:val="22"/>
        </w:rPr>
        <w:t>e</w:t>
      </w:r>
      <w:r>
        <w:rPr>
          <w:spacing w:val="-2"/>
          <w:szCs w:val="22"/>
        </w:rPr>
        <w:t xml:space="preserve"> </w:t>
      </w:r>
      <w:r>
        <w:rPr>
          <w:szCs w:val="22"/>
        </w:rPr>
        <w:t>cu ad</w:t>
      </w:r>
      <w:r>
        <w:rPr>
          <w:spacing w:val="-3"/>
          <w:szCs w:val="22"/>
        </w:rPr>
        <w:t>a</w:t>
      </w:r>
      <w:r>
        <w:rPr>
          <w:spacing w:val="1"/>
          <w:szCs w:val="22"/>
        </w:rPr>
        <w:t>li</w:t>
      </w:r>
      <w:r>
        <w:rPr>
          <w:spacing w:val="-4"/>
          <w:szCs w:val="22"/>
        </w:rPr>
        <w:t>m</w:t>
      </w:r>
      <w:r>
        <w:rPr>
          <w:szCs w:val="22"/>
        </w:rPr>
        <w:t>u</w:t>
      </w:r>
      <w:r>
        <w:rPr>
          <w:spacing w:val="-4"/>
          <w:szCs w:val="22"/>
        </w:rPr>
        <w:t>m</w:t>
      </w:r>
      <w:r>
        <w:rPr>
          <w:szCs w:val="22"/>
        </w:rPr>
        <w:t>ab d</w:t>
      </w:r>
      <w:r>
        <w:rPr>
          <w:spacing w:val="1"/>
          <w:szCs w:val="22"/>
        </w:rPr>
        <w:t>i</w:t>
      </w:r>
      <w:r>
        <w:rPr>
          <w:szCs w:val="22"/>
        </w:rPr>
        <w:t>n cau</w:t>
      </w:r>
      <w:r>
        <w:rPr>
          <w:spacing w:val="-3"/>
          <w:szCs w:val="22"/>
        </w:rPr>
        <w:t>z</w:t>
      </w:r>
      <w:r>
        <w:rPr>
          <w:szCs w:val="22"/>
        </w:rPr>
        <w:t xml:space="preserve">a </w:t>
      </w:r>
      <w:r>
        <w:rPr>
          <w:spacing w:val="-2"/>
          <w:szCs w:val="22"/>
        </w:rPr>
        <w:t>li</w:t>
      </w:r>
      <w:r>
        <w:rPr>
          <w:szCs w:val="22"/>
        </w:rPr>
        <w:t>psei</w:t>
      </w:r>
      <w:r>
        <w:rPr>
          <w:spacing w:val="-2"/>
          <w:szCs w:val="22"/>
        </w:rPr>
        <w:t xml:space="preserve"> </w:t>
      </w:r>
      <w:r>
        <w:rPr>
          <w:szCs w:val="22"/>
        </w:rPr>
        <w:t>unor</w:t>
      </w:r>
      <w:r>
        <w:rPr>
          <w:spacing w:val="1"/>
          <w:szCs w:val="22"/>
        </w:rPr>
        <w:t xml:space="preserve"> </w:t>
      </w:r>
      <w:r>
        <w:rPr>
          <w:spacing w:val="-4"/>
          <w:szCs w:val="22"/>
        </w:rPr>
        <w:t>m</w:t>
      </w:r>
      <w:r>
        <w:rPr>
          <w:szCs w:val="22"/>
        </w:rPr>
        <w:t>ode</w:t>
      </w:r>
      <w:r>
        <w:rPr>
          <w:spacing w:val="-2"/>
          <w:szCs w:val="22"/>
        </w:rPr>
        <w:t>l</w:t>
      </w:r>
      <w:r>
        <w:rPr>
          <w:szCs w:val="22"/>
        </w:rPr>
        <w:t>e cor</w:t>
      </w:r>
      <w:r>
        <w:rPr>
          <w:spacing w:val="-3"/>
          <w:szCs w:val="22"/>
        </w:rPr>
        <w:t>e</w:t>
      </w:r>
      <w:r>
        <w:rPr>
          <w:szCs w:val="22"/>
        </w:rPr>
        <w:t>spun</w:t>
      </w:r>
      <w:r>
        <w:rPr>
          <w:spacing w:val="-3"/>
          <w:szCs w:val="22"/>
        </w:rPr>
        <w:t>z</w:t>
      </w:r>
      <w:r>
        <w:rPr>
          <w:szCs w:val="22"/>
        </w:rPr>
        <w:t>ă</w:t>
      </w:r>
      <w:r>
        <w:rPr>
          <w:spacing w:val="1"/>
          <w:szCs w:val="22"/>
        </w:rPr>
        <w:t>t</w:t>
      </w:r>
      <w:r>
        <w:rPr>
          <w:spacing w:val="-3"/>
          <w:szCs w:val="22"/>
        </w:rPr>
        <w:t>o</w:t>
      </w:r>
      <w:r>
        <w:rPr>
          <w:szCs w:val="22"/>
        </w:rPr>
        <w:t>are</w:t>
      </w:r>
      <w:r>
        <w:rPr>
          <w:spacing w:val="-2"/>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un</w:t>
      </w:r>
      <w:r>
        <w:rPr>
          <w:spacing w:val="-3"/>
          <w:szCs w:val="22"/>
        </w:rPr>
        <w:t xml:space="preserve"> </w:t>
      </w:r>
      <w:r>
        <w:rPr>
          <w:szCs w:val="22"/>
        </w:rPr>
        <w:t>an</w:t>
      </w:r>
      <w:r>
        <w:rPr>
          <w:spacing w:val="-2"/>
          <w:szCs w:val="22"/>
        </w:rPr>
        <w:t>t</w:t>
      </w:r>
      <w:r>
        <w:rPr>
          <w:spacing w:val="1"/>
          <w:szCs w:val="22"/>
        </w:rPr>
        <w:t>i</w:t>
      </w:r>
      <w:r>
        <w:rPr>
          <w:szCs w:val="22"/>
        </w:rPr>
        <w:t>co</w:t>
      </w:r>
      <w:r>
        <w:rPr>
          <w:spacing w:val="-2"/>
          <w:szCs w:val="22"/>
        </w:rPr>
        <w:t>r</w:t>
      </w:r>
      <w:r>
        <w:rPr>
          <w:szCs w:val="22"/>
        </w:rPr>
        <w:t>p cu</w:t>
      </w:r>
      <w:r>
        <w:rPr>
          <w:spacing w:val="-3"/>
          <w:szCs w:val="22"/>
        </w:rPr>
        <w:t xml:space="preserve"> </w:t>
      </w:r>
      <w:r>
        <w:rPr>
          <w:szCs w:val="22"/>
        </w:rPr>
        <w:t>re</w:t>
      </w:r>
      <w:r>
        <w:rPr>
          <w:spacing w:val="-3"/>
          <w:szCs w:val="22"/>
        </w:rPr>
        <w:t>a</w:t>
      </w:r>
      <w:r>
        <w:rPr>
          <w:szCs w:val="22"/>
        </w:rPr>
        <w:t>c</w:t>
      </w:r>
      <w:r>
        <w:rPr>
          <w:spacing w:val="-2"/>
          <w:szCs w:val="22"/>
        </w:rPr>
        <w:t>t</w:t>
      </w:r>
      <w:r>
        <w:rPr>
          <w:spacing w:val="1"/>
          <w:szCs w:val="22"/>
        </w:rPr>
        <w:t>i</w:t>
      </w:r>
      <w:r>
        <w:rPr>
          <w:spacing w:val="-3"/>
          <w:szCs w:val="22"/>
        </w:rPr>
        <w:t>v</w:t>
      </w:r>
      <w:r>
        <w:rPr>
          <w:spacing w:val="1"/>
          <w:szCs w:val="22"/>
        </w:rPr>
        <w:t>it</w:t>
      </w:r>
      <w:r>
        <w:rPr>
          <w:spacing w:val="-3"/>
          <w:szCs w:val="22"/>
        </w:rPr>
        <w:t>a</w:t>
      </w:r>
      <w:r>
        <w:rPr>
          <w:spacing w:val="1"/>
          <w:szCs w:val="22"/>
        </w:rPr>
        <w:t>t</w:t>
      </w:r>
      <w:r>
        <w:rPr>
          <w:szCs w:val="22"/>
        </w:rPr>
        <w:t>e</w:t>
      </w:r>
      <w:r>
        <w:rPr>
          <w:spacing w:val="-2"/>
          <w:szCs w:val="22"/>
        </w:rPr>
        <w:t xml:space="preserve"> </w:t>
      </w:r>
      <w:r>
        <w:rPr>
          <w:spacing w:val="1"/>
          <w:szCs w:val="22"/>
        </w:rPr>
        <w:t>î</w:t>
      </w:r>
      <w:r>
        <w:rPr>
          <w:szCs w:val="22"/>
        </w:rPr>
        <w:t>n</w:t>
      </w:r>
      <w:r>
        <w:rPr>
          <w:spacing w:val="-3"/>
          <w:szCs w:val="22"/>
        </w:rPr>
        <w:t>c</w:t>
      </w:r>
      <w:r>
        <w:rPr>
          <w:spacing w:val="-2"/>
          <w:szCs w:val="22"/>
        </w:rPr>
        <w:t>r</w:t>
      </w:r>
      <w:r>
        <w:rPr>
          <w:szCs w:val="22"/>
        </w:rPr>
        <w:t>uc</w:t>
      </w:r>
      <w:r>
        <w:rPr>
          <w:spacing w:val="1"/>
          <w:szCs w:val="22"/>
        </w:rPr>
        <w:t>i</w:t>
      </w:r>
      <w:r>
        <w:rPr>
          <w:spacing w:val="-2"/>
          <w:szCs w:val="22"/>
        </w:rPr>
        <w:t>ş</w:t>
      </w:r>
      <w:r>
        <w:rPr>
          <w:szCs w:val="22"/>
        </w:rPr>
        <w:t>a</w:t>
      </w:r>
      <w:r>
        <w:rPr>
          <w:spacing w:val="1"/>
          <w:szCs w:val="22"/>
        </w:rPr>
        <w:t>t</w:t>
      </w:r>
      <w:r>
        <w:rPr>
          <w:szCs w:val="22"/>
        </w:rPr>
        <w:t>ă</w:t>
      </w:r>
      <w:r>
        <w:rPr>
          <w:spacing w:val="-2"/>
          <w:szCs w:val="22"/>
        </w:rPr>
        <w:t xml:space="preserve"> l</w:t>
      </w:r>
      <w:r>
        <w:rPr>
          <w:spacing w:val="1"/>
          <w:szCs w:val="22"/>
        </w:rPr>
        <w:t>i</w:t>
      </w:r>
      <w:r>
        <w:rPr>
          <w:spacing w:val="-4"/>
          <w:szCs w:val="22"/>
        </w:rPr>
        <w:t>m</w:t>
      </w:r>
      <w:r>
        <w:rPr>
          <w:spacing w:val="1"/>
          <w:szCs w:val="22"/>
        </w:rPr>
        <w:t>it</w:t>
      </w:r>
      <w:r>
        <w:rPr>
          <w:szCs w:val="22"/>
        </w:rPr>
        <w:t>a</w:t>
      </w:r>
      <w:r>
        <w:rPr>
          <w:spacing w:val="-2"/>
          <w:szCs w:val="22"/>
        </w:rPr>
        <w:t>t</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pacing w:val="-1"/>
          <w:szCs w:val="22"/>
        </w:rPr>
        <w:t>N</w:t>
      </w:r>
      <w:r>
        <w:rPr>
          <w:spacing w:val="-3"/>
          <w:szCs w:val="22"/>
        </w:rPr>
        <w:t>F</w:t>
      </w:r>
      <w:r>
        <w:rPr>
          <w:spacing w:val="-4"/>
          <w:szCs w:val="22"/>
        </w:rPr>
        <w:t>-</w:t>
      </w:r>
      <w:r>
        <w:rPr>
          <w:szCs w:val="22"/>
        </w:rPr>
        <w:t>ul</w:t>
      </w:r>
      <w:r>
        <w:rPr>
          <w:spacing w:val="1"/>
          <w:szCs w:val="22"/>
        </w:rPr>
        <w:t xml:space="preserve"> </w:t>
      </w:r>
      <w:r>
        <w:rPr>
          <w:szCs w:val="22"/>
        </w:rPr>
        <w:t>ro</w:t>
      </w:r>
      <w:r>
        <w:rPr>
          <w:spacing w:val="-3"/>
          <w:szCs w:val="22"/>
        </w:rPr>
        <w:t>z</w:t>
      </w:r>
      <w:r>
        <w:rPr>
          <w:szCs w:val="22"/>
        </w:rPr>
        <w:t>ă</w:t>
      </w:r>
      <w:r>
        <w:rPr>
          <w:spacing w:val="1"/>
          <w:szCs w:val="22"/>
        </w:rPr>
        <w:t>t</w:t>
      </w:r>
      <w:r>
        <w:rPr>
          <w:szCs w:val="22"/>
        </w:rPr>
        <w:t>oar</w:t>
      </w:r>
      <w:r>
        <w:rPr>
          <w:spacing w:val="-3"/>
          <w:szCs w:val="22"/>
        </w:rPr>
        <w:t>e</w:t>
      </w:r>
      <w:r>
        <w:rPr>
          <w:spacing w:val="1"/>
          <w:szCs w:val="22"/>
        </w:rPr>
        <w:t>l</w:t>
      </w:r>
      <w:r>
        <w:rPr>
          <w:szCs w:val="22"/>
        </w:rPr>
        <w:t>or</w:t>
      </w:r>
      <w:r>
        <w:rPr>
          <w:spacing w:val="-2"/>
          <w:szCs w:val="22"/>
        </w:rPr>
        <w:t xml:space="preserve"> </w:t>
      </w:r>
      <w:r>
        <w:rPr>
          <w:szCs w:val="22"/>
        </w:rPr>
        <w:t>şi d</w:t>
      </w:r>
      <w:r>
        <w:rPr>
          <w:spacing w:val="1"/>
          <w:szCs w:val="22"/>
        </w:rPr>
        <w:t>i</w:t>
      </w:r>
      <w:r>
        <w:rPr>
          <w:szCs w:val="22"/>
        </w:rPr>
        <w:t xml:space="preserve">n </w:t>
      </w:r>
      <w:r>
        <w:rPr>
          <w:spacing w:val="-3"/>
          <w:szCs w:val="22"/>
        </w:rPr>
        <w:t>c</w:t>
      </w:r>
      <w:r>
        <w:rPr>
          <w:szCs w:val="22"/>
        </w:rPr>
        <w:t>au</w:t>
      </w:r>
      <w:r>
        <w:rPr>
          <w:spacing w:val="-3"/>
          <w:szCs w:val="22"/>
        </w:rPr>
        <w:t>z</w:t>
      </w:r>
      <w:r>
        <w:rPr>
          <w:szCs w:val="22"/>
        </w:rPr>
        <w:t>a pre</w:t>
      </w:r>
      <w:r>
        <w:rPr>
          <w:spacing w:val="-3"/>
          <w:szCs w:val="22"/>
        </w:rPr>
        <w:t>z</w:t>
      </w:r>
      <w:r>
        <w:rPr>
          <w:szCs w:val="22"/>
        </w:rPr>
        <w:t>e</w:t>
      </w:r>
      <w:r>
        <w:rPr>
          <w:spacing w:val="-3"/>
          <w:szCs w:val="22"/>
        </w:rPr>
        <w:t>n</w:t>
      </w:r>
      <w:r>
        <w:rPr>
          <w:spacing w:val="1"/>
          <w:szCs w:val="22"/>
        </w:rPr>
        <w:t>ţ</w:t>
      </w:r>
      <w:r>
        <w:rPr>
          <w:spacing w:val="-3"/>
          <w:szCs w:val="22"/>
        </w:rPr>
        <w:t>e</w:t>
      </w:r>
      <w:r>
        <w:rPr>
          <w:szCs w:val="22"/>
        </w:rPr>
        <w:t>i</w:t>
      </w:r>
      <w:r>
        <w:rPr>
          <w:spacing w:val="1"/>
          <w:szCs w:val="22"/>
        </w:rPr>
        <w:t xml:space="preserve"> </w:t>
      </w:r>
      <w:r>
        <w:rPr>
          <w:szCs w:val="22"/>
        </w:rPr>
        <w:t>un</w:t>
      </w:r>
      <w:r>
        <w:rPr>
          <w:spacing w:val="-3"/>
          <w:szCs w:val="22"/>
        </w:rPr>
        <w:t>o</w:t>
      </w:r>
      <w:r>
        <w:rPr>
          <w:szCs w:val="22"/>
        </w:rPr>
        <w:t>r</w:t>
      </w:r>
      <w:r>
        <w:rPr>
          <w:spacing w:val="1"/>
          <w:szCs w:val="22"/>
        </w:rPr>
        <w:t xml:space="preserve"> </w:t>
      </w:r>
      <w:r>
        <w:rPr>
          <w:szCs w:val="22"/>
        </w:rPr>
        <w:t>a</w:t>
      </w:r>
      <w:r>
        <w:rPr>
          <w:spacing w:val="-3"/>
          <w:szCs w:val="22"/>
        </w:rPr>
        <w:t>n</w:t>
      </w:r>
      <w:r>
        <w:rPr>
          <w:spacing w:val="1"/>
          <w:szCs w:val="22"/>
        </w:rPr>
        <w:t>ti</w:t>
      </w:r>
      <w:r>
        <w:rPr>
          <w:spacing w:val="-3"/>
          <w:szCs w:val="22"/>
        </w:rPr>
        <w:t>c</w:t>
      </w:r>
      <w:r>
        <w:rPr>
          <w:szCs w:val="22"/>
        </w:rPr>
        <w:t>or</w:t>
      </w:r>
      <w:r>
        <w:rPr>
          <w:spacing w:val="-3"/>
          <w:szCs w:val="22"/>
        </w:rPr>
        <w:t>p</w:t>
      </w:r>
      <w:r>
        <w:rPr>
          <w:szCs w:val="22"/>
        </w:rPr>
        <w:t>i</w:t>
      </w:r>
      <w:r>
        <w:rPr>
          <w:spacing w:val="1"/>
          <w:szCs w:val="22"/>
        </w:rPr>
        <w:t xml:space="preserve"> </w:t>
      </w:r>
      <w:r>
        <w:rPr>
          <w:szCs w:val="22"/>
        </w:rPr>
        <w:t>ne</w:t>
      </w:r>
      <w:r>
        <w:rPr>
          <w:spacing w:val="-3"/>
          <w:szCs w:val="22"/>
        </w:rPr>
        <w:t>u</w:t>
      </w:r>
      <w:r>
        <w:rPr>
          <w:spacing w:val="1"/>
          <w:szCs w:val="22"/>
        </w:rPr>
        <w:t>t</w:t>
      </w:r>
      <w:r>
        <w:rPr>
          <w:spacing w:val="-2"/>
          <w:szCs w:val="22"/>
        </w:rPr>
        <w:t>r</w:t>
      </w:r>
      <w:r>
        <w:rPr>
          <w:szCs w:val="22"/>
        </w:rPr>
        <w:t>a</w:t>
      </w:r>
      <w:r>
        <w:rPr>
          <w:spacing w:val="-2"/>
          <w:szCs w:val="22"/>
        </w:rPr>
        <w:t>l</w:t>
      </w:r>
      <w:r>
        <w:rPr>
          <w:spacing w:val="1"/>
          <w:szCs w:val="22"/>
        </w:rPr>
        <w:t>i</w:t>
      </w:r>
      <w:r>
        <w:rPr>
          <w:spacing w:val="-3"/>
          <w:szCs w:val="22"/>
        </w:rPr>
        <w:t>z</w:t>
      </w:r>
      <w:r>
        <w:rPr>
          <w:szCs w:val="22"/>
        </w:rPr>
        <w:t>an</w:t>
      </w:r>
      <w:r>
        <w:rPr>
          <w:spacing w:val="-2"/>
          <w:szCs w:val="22"/>
        </w:rPr>
        <w:t>ţ</w:t>
      </w:r>
      <w:r>
        <w:rPr>
          <w:szCs w:val="22"/>
        </w:rPr>
        <w:t>i</w:t>
      </w:r>
      <w:r>
        <w:rPr>
          <w:spacing w:val="1"/>
          <w:szCs w:val="22"/>
        </w:rPr>
        <w:t xml:space="preserve"> </w:t>
      </w:r>
      <w:r>
        <w:rPr>
          <w:spacing w:val="-2"/>
          <w:szCs w:val="22"/>
        </w:rPr>
        <w:t>l</w:t>
      </w:r>
      <w:r>
        <w:rPr>
          <w:szCs w:val="22"/>
        </w:rPr>
        <w:t>a ro</w:t>
      </w:r>
      <w:r>
        <w:rPr>
          <w:spacing w:val="-3"/>
          <w:szCs w:val="22"/>
        </w:rPr>
        <w:t>z</w:t>
      </w:r>
      <w:r>
        <w:rPr>
          <w:szCs w:val="22"/>
        </w:rPr>
        <w:t>ă</w:t>
      </w:r>
      <w:r>
        <w:rPr>
          <w:spacing w:val="-2"/>
          <w:szCs w:val="22"/>
        </w:rPr>
        <w:t>t</w:t>
      </w:r>
      <w:r>
        <w:rPr>
          <w:szCs w:val="22"/>
        </w:rPr>
        <w:t>oare.</w:t>
      </w:r>
    </w:p>
    <w:p w14:paraId="6D569C91" w14:textId="77777777" w:rsidR="00C04CAD" w:rsidRDefault="00C04CAD">
      <w:pPr>
        <w:spacing w:line="240" w:lineRule="auto"/>
        <w:rPr>
          <w:szCs w:val="22"/>
        </w:rPr>
      </w:pPr>
    </w:p>
    <w:p w14:paraId="2EC163BC" w14:textId="77777777" w:rsidR="00C04CAD" w:rsidRDefault="00C04CAD">
      <w:pPr>
        <w:spacing w:line="240" w:lineRule="auto"/>
        <w:rPr>
          <w:szCs w:val="22"/>
        </w:rPr>
      </w:pPr>
    </w:p>
    <w:p w14:paraId="4C1BDCEB" w14:textId="77777777" w:rsidR="00C04CAD" w:rsidRDefault="00060E34">
      <w:pPr>
        <w:keepNext/>
        <w:numPr>
          <w:ilvl w:val="0"/>
          <w:numId w:val="7"/>
        </w:numPr>
        <w:suppressAutoHyphens/>
        <w:spacing w:line="240" w:lineRule="auto"/>
        <w:rPr>
          <w:szCs w:val="22"/>
        </w:rPr>
      </w:pPr>
      <w:r>
        <w:rPr>
          <w:b/>
          <w:szCs w:val="22"/>
        </w:rPr>
        <w:t>PROPRIETĂȚI FARMACEUTICE</w:t>
      </w:r>
    </w:p>
    <w:p w14:paraId="63F6F0FF" w14:textId="77777777" w:rsidR="00C04CAD" w:rsidRDefault="00C04CAD">
      <w:pPr>
        <w:keepNext/>
        <w:spacing w:line="240" w:lineRule="auto"/>
        <w:rPr>
          <w:szCs w:val="22"/>
        </w:rPr>
      </w:pPr>
    </w:p>
    <w:p w14:paraId="1388475F" w14:textId="77777777" w:rsidR="00C04CAD" w:rsidRDefault="00060E34">
      <w:pPr>
        <w:keepNext/>
        <w:numPr>
          <w:ilvl w:val="1"/>
          <w:numId w:val="7"/>
        </w:numPr>
        <w:spacing w:line="240" w:lineRule="auto"/>
        <w:outlineLvl w:val="0"/>
        <w:rPr>
          <w:rFonts w:eastAsia="MS Mincho"/>
          <w:szCs w:val="22"/>
          <w:lang w:eastAsia="en-US" w:bidi="ar-SA"/>
        </w:rPr>
      </w:pPr>
      <w:r>
        <w:rPr>
          <w:b/>
          <w:szCs w:val="22"/>
        </w:rPr>
        <w:t>Lista excipienților</w:t>
      </w:r>
    </w:p>
    <w:p w14:paraId="6E26CE17" w14:textId="77777777" w:rsidR="00C04CAD" w:rsidRDefault="00C04CAD">
      <w:pPr>
        <w:keepNext/>
        <w:spacing w:line="240" w:lineRule="auto"/>
        <w:rPr>
          <w:i/>
          <w:szCs w:val="22"/>
        </w:rPr>
      </w:pPr>
    </w:p>
    <w:p w14:paraId="61BD4C9A"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acetic glacial</w:t>
      </w:r>
    </w:p>
    <w:p w14:paraId="3630A0B7"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Sucroză</w:t>
      </w:r>
    </w:p>
    <w:p w14:paraId="02924E1F" w14:textId="77777777" w:rsidR="00C04CAD" w:rsidRDefault="00060E34">
      <w:pPr>
        <w:tabs>
          <w:tab w:val="clear" w:pos="567"/>
        </w:tabs>
        <w:kinsoku w:val="0"/>
        <w:overflowPunct w:val="0"/>
        <w:autoSpaceDE w:val="0"/>
        <w:autoSpaceDN w:val="0"/>
        <w:adjustRightInd w:val="0"/>
        <w:spacing w:line="240" w:lineRule="auto"/>
      </w:pPr>
      <w:r>
        <w:t>Polisorbat80</w:t>
      </w:r>
    </w:p>
    <w:p w14:paraId="41CBB33C"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Hidroxid de sodiu (pentru ajustarea pH-ului)</w:t>
      </w:r>
    </w:p>
    <w:p w14:paraId="3EA7D293" w14:textId="77777777" w:rsidR="00C04CAD" w:rsidRDefault="00060E34">
      <w:pPr>
        <w:spacing w:line="240" w:lineRule="auto"/>
      </w:pPr>
      <w:r>
        <w:t>Apă pentru preparate injectabile</w:t>
      </w:r>
    </w:p>
    <w:p w14:paraId="474630B6" w14:textId="77777777" w:rsidR="00C04CAD" w:rsidRDefault="00C04CAD">
      <w:pPr>
        <w:spacing w:line="240" w:lineRule="auto"/>
      </w:pPr>
    </w:p>
    <w:p w14:paraId="6AC791C1" w14:textId="77777777" w:rsidR="00C04CAD" w:rsidRDefault="00060E34">
      <w:pPr>
        <w:keepNext/>
        <w:numPr>
          <w:ilvl w:val="1"/>
          <w:numId w:val="7"/>
        </w:numPr>
        <w:spacing w:line="240" w:lineRule="auto"/>
        <w:outlineLvl w:val="0"/>
        <w:rPr>
          <w:szCs w:val="22"/>
        </w:rPr>
      </w:pPr>
      <w:r>
        <w:rPr>
          <w:b/>
        </w:rPr>
        <w:t>Incompatibilități</w:t>
      </w:r>
    </w:p>
    <w:p w14:paraId="052F7893" w14:textId="77777777" w:rsidR="00C04CAD" w:rsidRDefault="00C04CAD">
      <w:pPr>
        <w:keepNext/>
        <w:spacing w:line="240" w:lineRule="auto"/>
        <w:rPr>
          <w:szCs w:val="22"/>
        </w:rPr>
      </w:pPr>
    </w:p>
    <w:p w14:paraId="093162C4" w14:textId="77777777" w:rsidR="00C04CAD" w:rsidRDefault="00060E34">
      <w:pPr>
        <w:spacing w:line="240" w:lineRule="auto"/>
      </w:pPr>
      <w:r>
        <w:t>În absența studiilor de compatibilitate, acest medicament nu trebuie amestecat cu alte medicamente.</w:t>
      </w:r>
    </w:p>
    <w:p w14:paraId="46A6B7FE" w14:textId="77777777" w:rsidR="00C04CAD" w:rsidRDefault="00C04CAD">
      <w:pPr>
        <w:spacing w:line="240" w:lineRule="auto"/>
      </w:pPr>
    </w:p>
    <w:p w14:paraId="04ED6D5C" w14:textId="77777777" w:rsidR="00C04CAD" w:rsidRDefault="00060E34">
      <w:pPr>
        <w:keepNext/>
        <w:numPr>
          <w:ilvl w:val="1"/>
          <w:numId w:val="7"/>
        </w:numPr>
        <w:spacing w:line="240" w:lineRule="auto"/>
        <w:outlineLvl w:val="0"/>
      </w:pPr>
      <w:r>
        <w:rPr>
          <w:b/>
        </w:rPr>
        <w:t>Perioada de valabilitate</w:t>
      </w:r>
    </w:p>
    <w:p w14:paraId="23890CFC" w14:textId="77777777" w:rsidR="00C04CAD" w:rsidRDefault="00C04CAD">
      <w:pPr>
        <w:keepNext/>
        <w:spacing w:line="240" w:lineRule="auto"/>
      </w:pPr>
    </w:p>
    <w:p w14:paraId="5BC3D99D" w14:textId="77777777" w:rsidR="00C04CAD" w:rsidRDefault="00060E34">
      <w:pPr>
        <w:spacing w:line="240" w:lineRule="auto"/>
      </w:pPr>
      <w:r>
        <w:t>3 ani</w:t>
      </w:r>
    </w:p>
    <w:p w14:paraId="0380537A" w14:textId="77777777" w:rsidR="00C04CAD" w:rsidRDefault="00C04CAD">
      <w:pPr>
        <w:spacing w:line="240" w:lineRule="auto"/>
      </w:pPr>
    </w:p>
    <w:p w14:paraId="6D0F10F6" w14:textId="77777777" w:rsidR="00C04CAD" w:rsidRDefault="00060E34">
      <w:pPr>
        <w:keepNext/>
        <w:numPr>
          <w:ilvl w:val="1"/>
          <w:numId w:val="7"/>
        </w:numPr>
        <w:spacing w:line="240" w:lineRule="auto"/>
        <w:outlineLvl w:val="0"/>
      </w:pPr>
      <w:r>
        <w:rPr>
          <w:b/>
        </w:rPr>
        <w:t>Precauții speciale pentru păstrare</w:t>
      </w:r>
    </w:p>
    <w:p w14:paraId="760A9C8F" w14:textId="77777777" w:rsidR="00C04CAD" w:rsidRDefault="00C04CAD">
      <w:pPr>
        <w:keepNext/>
        <w:spacing w:line="240" w:lineRule="auto"/>
        <w:ind w:left="567" w:hanging="567"/>
        <w:outlineLvl w:val="0"/>
      </w:pPr>
    </w:p>
    <w:p w14:paraId="10250912"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A se păstra la frigider (2°C–8°C). </w:t>
      </w:r>
    </w:p>
    <w:p w14:paraId="77D9B966"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A nu se congela. </w:t>
      </w:r>
    </w:p>
    <w:p w14:paraId="76AA714B" w14:textId="77777777" w:rsidR="00C04CAD" w:rsidRDefault="00060E34">
      <w:pPr>
        <w:tabs>
          <w:tab w:val="clear" w:pos="567"/>
        </w:tabs>
        <w:kinsoku w:val="0"/>
        <w:overflowPunct w:val="0"/>
        <w:autoSpaceDE w:val="0"/>
        <w:autoSpaceDN w:val="0"/>
        <w:adjustRightInd w:val="0"/>
        <w:spacing w:line="240" w:lineRule="auto"/>
      </w:pPr>
      <w:r>
        <w:t xml:space="preserve">A se păstra </w:t>
      </w:r>
      <w:r>
        <w:rPr>
          <w:rFonts w:eastAsia="MS Mincho"/>
          <w:szCs w:val="22"/>
          <w:lang w:eastAsia="en-US" w:bidi="ar-SA"/>
        </w:rPr>
        <w:t xml:space="preserve">seringa preumplută sau pen-ul preumplut </w:t>
      </w:r>
      <w:r>
        <w:t>în ambalajul original pentru a fi protejate de lumină.</w:t>
      </w:r>
    </w:p>
    <w:p w14:paraId="03C9322D" w14:textId="77777777" w:rsidR="00C04CAD" w:rsidRDefault="00C04CAD">
      <w:pPr>
        <w:tabs>
          <w:tab w:val="clear" w:pos="567"/>
        </w:tabs>
        <w:kinsoku w:val="0"/>
        <w:overflowPunct w:val="0"/>
        <w:autoSpaceDE w:val="0"/>
        <w:autoSpaceDN w:val="0"/>
        <w:adjustRightInd w:val="0"/>
        <w:spacing w:line="240" w:lineRule="auto"/>
      </w:pPr>
    </w:p>
    <w:p w14:paraId="5896996D" w14:textId="77777777" w:rsidR="00C04CAD" w:rsidRDefault="00060E34">
      <w:pPr>
        <w:spacing w:line="240" w:lineRule="auto"/>
      </w:pPr>
      <w:r>
        <w:rPr>
          <w:spacing w:val="-1"/>
        </w:rPr>
        <w:t>S</w:t>
      </w:r>
      <w:r>
        <w:t>er</w:t>
      </w:r>
      <w:r>
        <w:rPr>
          <w:spacing w:val="1"/>
        </w:rPr>
        <w:t>i</w:t>
      </w:r>
      <w:r>
        <w:t>n</w:t>
      </w:r>
      <w:r>
        <w:rPr>
          <w:spacing w:val="-3"/>
        </w:rPr>
        <w:t>g</w:t>
      </w:r>
      <w:r>
        <w:t xml:space="preserve">a </w:t>
      </w:r>
      <w:r>
        <w:rPr>
          <w:spacing w:val="-3"/>
        </w:rPr>
        <w:t>preumplută</w:t>
      </w:r>
      <w:r>
        <w:t xml:space="preserve"> </w:t>
      </w:r>
      <w:r>
        <w:rPr>
          <w:rFonts w:eastAsia="MS Mincho"/>
          <w:spacing w:val="-1"/>
          <w:szCs w:val="22"/>
          <w:lang w:eastAsia="en-US" w:bidi="ar-SA"/>
        </w:rPr>
        <w:t>sau penul preumplut</w:t>
      </w:r>
      <w:r>
        <w:t xml:space="preserve"> se </w:t>
      </w:r>
      <w:r>
        <w:rPr>
          <w:rFonts w:eastAsia="MS Mincho"/>
          <w:szCs w:val="22"/>
          <w:lang w:eastAsia="en-US" w:bidi="ar-SA"/>
        </w:rPr>
        <w:t>p</w:t>
      </w:r>
      <w:r>
        <w:rPr>
          <w:rFonts w:eastAsia="MS Mincho"/>
          <w:spacing w:val="-3"/>
          <w:szCs w:val="22"/>
          <w:lang w:eastAsia="en-US" w:bidi="ar-SA"/>
        </w:rPr>
        <w:t>o</w:t>
      </w:r>
      <w:r>
        <w:rPr>
          <w:rFonts w:eastAsia="MS Mincho"/>
          <w:spacing w:val="-2"/>
          <w:szCs w:val="22"/>
          <w:lang w:eastAsia="en-US" w:bidi="ar-SA"/>
        </w:rPr>
        <w:t>t</w:t>
      </w:r>
      <w:r>
        <w:t xml:space="preserve"> pă</w:t>
      </w:r>
      <w:r>
        <w:rPr>
          <w:spacing w:val="-2"/>
        </w:rPr>
        <w:t>s</w:t>
      </w:r>
      <w:r>
        <w:rPr>
          <w:spacing w:val="1"/>
        </w:rPr>
        <w:t>t</w:t>
      </w:r>
      <w:r>
        <w:rPr>
          <w:spacing w:val="-2"/>
        </w:rPr>
        <w:t>r</w:t>
      </w:r>
      <w:r>
        <w:t xml:space="preserve">a </w:t>
      </w:r>
      <w:r>
        <w:rPr>
          <w:spacing w:val="-2"/>
        </w:rPr>
        <w:t>l</w:t>
      </w:r>
      <w:r>
        <w:t xml:space="preserve">a </w:t>
      </w:r>
      <w:r>
        <w:rPr>
          <w:spacing w:val="-2"/>
        </w:rPr>
        <w:t>t</w:t>
      </w:r>
      <w:r>
        <w:t>e</w:t>
      </w:r>
      <w:r>
        <w:rPr>
          <w:spacing w:val="-4"/>
        </w:rPr>
        <w:t>m</w:t>
      </w:r>
      <w:r>
        <w:t>per</w:t>
      </w:r>
      <w:r>
        <w:rPr>
          <w:spacing w:val="-3"/>
        </w:rPr>
        <w:t>a</w:t>
      </w:r>
      <w:r>
        <w:rPr>
          <w:spacing w:val="1"/>
        </w:rPr>
        <w:t>t</w:t>
      </w:r>
      <w:r>
        <w:t>u</w:t>
      </w:r>
      <w:r>
        <w:rPr>
          <w:spacing w:val="-2"/>
        </w:rPr>
        <w:t>r</w:t>
      </w:r>
      <w:r>
        <w:t>i</w:t>
      </w:r>
      <w:r>
        <w:rPr>
          <w:spacing w:val="1"/>
        </w:rPr>
        <w:t xml:space="preserve"> </w:t>
      </w:r>
      <w:r>
        <w:t xml:space="preserve">de </w:t>
      </w:r>
      <w:r>
        <w:rPr>
          <w:spacing w:val="-3"/>
        </w:rPr>
        <w:t>p</w:t>
      </w:r>
      <w:r>
        <w:t>ână</w:t>
      </w:r>
      <w:r>
        <w:rPr>
          <w:spacing w:val="-2"/>
        </w:rPr>
        <w:t xml:space="preserve"> </w:t>
      </w:r>
      <w:r>
        <w:rPr>
          <w:spacing w:val="1"/>
        </w:rPr>
        <w:t>l</w:t>
      </w:r>
      <w:r>
        <w:t xml:space="preserve">a </w:t>
      </w:r>
      <w:r>
        <w:rPr>
          <w:rFonts w:eastAsia="MS Mincho"/>
          <w:spacing w:val="-4"/>
          <w:szCs w:val="22"/>
          <w:lang w:eastAsia="en-US" w:bidi="ar-SA"/>
        </w:rPr>
        <w:t>m</w:t>
      </w:r>
      <w:r>
        <w:rPr>
          <w:rFonts w:eastAsia="MS Mincho"/>
          <w:szCs w:val="22"/>
          <w:lang w:eastAsia="en-US" w:bidi="ar-SA"/>
        </w:rPr>
        <w:t>ax</w:t>
      </w:r>
      <w:r>
        <w:rPr>
          <w:rFonts w:eastAsia="MS Mincho"/>
          <w:spacing w:val="1"/>
          <w:szCs w:val="22"/>
          <w:lang w:eastAsia="en-US" w:bidi="ar-SA"/>
        </w:rPr>
        <w:t>i</w:t>
      </w:r>
      <w:r>
        <w:rPr>
          <w:rFonts w:eastAsia="MS Mincho"/>
          <w:szCs w:val="22"/>
          <w:lang w:eastAsia="en-US" w:bidi="ar-SA"/>
        </w:rPr>
        <w:t>mum</w:t>
      </w:r>
      <w:r>
        <w:rPr>
          <w:spacing w:val="-4"/>
        </w:rPr>
        <w:t xml:space="preserve"> </w:t>
      </w:r>
      <w:r>
        <w:t>25</w:t>
      </w:r>
      <w:r>
        <w:rPr>
          <w:spacing w:val="-2"/>
        </w:rPr>
        <w:t>°</w:t>
      </w:r>
      <w:r>
        <w:t>C</w:t>
      </w:r>
      <w:r>
        <w:rPr>
          <w:spacing w:val="1"/>
        </w:rPr>
        <w:t xml:space="preserve"> </w:t>
      </w:r>
      <w:r>
        <w:t>pen</w:t>
      </w:r>
      <w:r>
        <w:rPr>
          <w:spacing w:val="-2"/>
        </w:rPr>
        <w:t>t</w:t>
      </w:r>
      <w:r>
        <w:t xml:space="preserve">ru o </w:t>
      </w:r>
      <w:r>
        <w:rPr>
          <w:spacing w:val="-3"/>
        </w:rPr>
        <w:t>p</w:t>
      </w:r>
      <w:r>
        <w:t>e</w:t>
      </w:r>
      <w:r>
        <w:rPr>
          <w:spacing w:val="-2"/>
        </w:rPr>
        <w:t>r</w:t>
      </w:r>
      <w:r>
        <w:rPr>
          <w:spacing w:val="1"/>
        </w:rPr>
        <w:t>i</w:t>
      </w:r>
      <w:r>
        <w:t>oa</w:t>
      </w:r>
      <w:r>
        <w:rPr>
          <w:spacing w:val="-3"/>
        </w:rPr>
        <w:t>d</w:t>
      </w:r>
      <w:r>
        <w:t>ă de pâ</w:t>
      </w:r>
      <w:r>
        <w:rPr>
          <w:spacing w:val="-3"/>
        </w:rPr>
        <w:t>n</w:t>
      </w:r>
      <w:r>
        <w:t xml:space="preserve">ă </w:t>
      </w:r>
      <w:r>
        <w:rPr>
          <w:spacing w:val="1"/>
        </w:rPr>
        <w:t>l</w:t>
      </w:r>
      <w:r>
        <w:rPr>
          <w:spacing w:val="-3"/>
        </w:rPr>
        <w:t>a</w:t>
      </w:r>
      <w:r>
        <w:t xml:space="preserve">14 </w:t>
      </w:r>
      <w:r>
        <w:rPr>
          <w:spacing w:val="-3"/>
        </w:rPr>
        <w:t>z</w:t>
      </w:r>
      <w:r>
        <w:rPr>
          <w:spacing w:val="1"/>
        </w:rPr>
        <w:t>i</w:t>
      </w:r>
      <w:r>
        <w:rPr>
          <w:spacing w:val="-2"/>
        </w:rPr>
        <w:t>l</w:t>
      </w:r>
      <w:r>
        <w:t xml:space="preserve">e. </w:t>
      </w:r>
      <w:r>
        <w:rPr>
          <w:spacing w:val="-1"/>
        </w:rPr>
        <w:t>S</w:t>
      </w:r>
      <w:r>
        <w:t>e</w:t>
      </w:r>
      <w:r>
        <w:rPr>
          <w:spacing w:val="-2"/>
        </w:rPr>
        <w:t>r</w:t>
      </w:r>
      <w:r>
        <w:rPr>
          <w:spacing w:val="1"/>
        </w:rPr>
        <w:t>i</w:t>
      </w:r>
      <w:r>
        <w:t>n</w:t>
      </w:r>
      <w:r>
        <w:rPr>
          <w:spacing w:val="-3"/>
        </w:rPr>
        <w:t>g</w:t>
      </w:r>
      <w:r>
        <w:t xml:space="preserve">a </w:t>
      </w:r>
      <w:r>
        <w:rPr>
          <w:rFonts w:eastAsia="MS Mincho"/>
          <w:szCs w:val="22"/>
          <w:lang w:eastAsia="en-US" w:bidi="ar-SA"/>
        </w:rPr>
        <w:t xml:space="preserve">preumplută sau penul preumplut </w:t>
      </w:r>
      <w:r>
        <w:rPr>
          <w:spacing w:val="-2"/>
        </w:rPr>
        <w:t>tr</w:t>
      </w:r>
      <w:r>
        <w:t>ebu</w:t>
      </w:r>
      <w:r>
        <w:rPr>
          <w:spacing w:val="1"/>
        </w:rPr>
        <w:t>i</w:t>
      </w:r>
      <w:r>
        <w:t>e</w:t>
      </w:r>
      <w:r>
        <w:rPr>
          <w:spacing w:val="-2"/>
        </w:rPr>
        <w:t xml:space="preserve"> </w:t>
      </w:r>
      <w:r>
        <w:rPr>
          <w:rFonts w:eastAsia="MS Mincho"/>
          <w:szCs w:val="22"/>
          <w:lang w:eastAsia="en-US" w:bidi="ar-SA"/>
        </w:rPr>
        <w:t>pr</w:t>
      </w:r>
      <w:r>
        <w:rPr>
          <w:rFonts w:eastAsia="MS Mincho"/>
          <w:spacing w:val="-3"/>
          <w:szCs w:val="22"/>
          <w:lang w:eastAsia="en-US" w:bidi="ar-SA"/>
        </w:rPr>
        <w:t>o</w:t>
      </w:r>
      <w:r>
        <w:rPr>
          <w:rFonts w:eastAsia="MS Mincho"/>
          <w:spacing w:val="1"/>
          <w:szCs w:val="22"/>
          <w:lang w:eastAsia="en-US" w:bidi="ar-SA"/>
        </w:rPr>
        <w:t>t</w:t>
      </w:r>
      <w:r>
        <w:rPr>
          <w:rFonts w:eastAsia="MS Mincho"/>
          <w:spacing w:val="-3"/>
          <w:szCs w:val="22"/>
          <w:lang w:eastAsia="en-US" w:bidi="ar-SA"/>
        </w:rPr>
        <w:t>e</w:t>
      </w:r>
      <w:r>
        <w:rPr>
          <w:rFonts w:eastAsia="MS Mincho"/>
          <w:spacing w:val="1"/>
          <w:szCs w:val="22"/>
          <w:lang w:eastAsia="en-US" w:bidi="ar-SA"/>
        </w:rPr>
        <w:t>j</w:t>
      </w:r>
      <w:r>
        <w:rPr>
          <w:rFonts w:eastAsia="MS Mincho"/>
          <w:spacing w:val="-3"/>
          <w:szCs w:val="22"/>
          <w:lang w:eastAsia="en-US" w:bidi="ar-SA"/>
        </w:rPr>
        <w:t>a</w:t>
      </w:r>
      <w:r>
        <w:rPr>
          <w:rFonts w:eastAsia="MS Mincho"/>
          <w:spacing w:val="1"/>
          <w:szCs w:val="22"/>
          <w:lang w:eastAsia="en-US" w:bidi="ar-SA"/>
        </w:rPr>
        <w:t>te</w:t>
      </w:r>
      <w:r>
        <w:t xml:space="preserve"> de</w:t>
      </w:r>
      <w:r>
        <w:rPr>
          <w:spacing w:val="-2"/>
        </w:rPr>
        <w:t xml:space="preserve"> </w:t>
      </w:r>
      <w:r>
        <w:rPr>
          <w:spacing w:val="1"/>
        </w:rPr>
        <w:t>l</w:t>
      </w:r>
      <w:r>
        <w:t>u</w:t>
      </w:r>
      <w:r>
        <w:rPr>
          <w:spacing w:val="-4"/>
        </w:rPr>
        <w:t>m</w:t>
      </w:r>
      <w:r>
        <w:rPr>
          <w:spacing w:val="1"/>
        </w:rPr>
        <w:t>i</w:t>
      </w:r>
      <w:r>
        <w:t xml:space="preserve">nă </w:t>
      </w:r>
      <w:r>
        <w:rPr>
          <w:spacing w:val="-2"/>
        </w:rPr>
        <w:t>ş</w:t>
      </w:r>
      <w:r>
        <w:t>i</w:t>
      </w:r>
      <w:r>
        <w:rPr>
          <w:spacing w:val="-2"/>
        </w:rPr>
        <w:t xml:space="preserve"> </w:t>
      </w:r>
      <w:r>
        <w:rPr>
          <w:rFonts w:eastAsia="MS Mincho"/>
          <w:szCs w:val="22"/>
          <w:lang w:eastAsia="en-US" w:bidi="ar-SA"/>
        </w:rPr>
        <w:t>aru</w:t>
      </w:r>
      <w:r>
        <w:rPr>
          <w:rFonts w:eastAsia="MS Mincho"/>
          <w:spacing w:val="-3"/>
          <w:szCs w:val="22"/>
          <w:lang w:eastAsia="en-US" w:bidi="ar-SA"/>
        </w:rPr>
        <w:t>n</w:t>
      </w:r>
      <w:r>
        <w:rPr>
          <w:rFonts w:eastAsia="MS Mincho"/>
          <w:szCs w:val="22"/>
          <w:lang w:eastAsia="en-US" w:bidi="ar-SA"/>
        </w:rPr>
        <w:t>cate</w:t>
      </w:r>
      <w:r>
        <w:t xml:space="preserve"> d</w:t>
      </w:r>
      <w:r>
        <w:rPr>
          <w:spacing w:val="-3"/>
        </w:rPr>
        <w:t>a</w:t>
      </w:r>
      <w:r>
        <w:t>că nu</w:t>
      </w:r>
      <w:r>
        <w:rPr>
          <w:spacing w:val="-3"/>
        </w:rPr>
        <w:t xml:space="preserve"> </w:t>
      </w:r>
      <w:r>
        <w:t xml:space="preserve">se </w:t>
      </w:r>
      <w:r>
        <w:rPr>
          <w:spacing w:val="-3"/>
        </w:rPr>
        <w:t>u</w:t>
      </w:r>
      <w:r>
        <w:rPr>
          <w:spacing w:val="1"/>
        </w:rPr>
        <w:t>t</w:t>
      </w:r>
      <w:r>
        <w:rPr>
          <w:spacing w:val="-2"/>
        </w:rPr>
        <w:t>i</w:t>
      </w:r>
      <w:r>
        <w:rPr>
          <w:spacing w:val="1"/>
        </w:rPr>
        <w:t>li</w:t>
      </w:r>
      <w:r>
        <w:rPr>
          <w:spacing w:val="-3"/>
        </w:rPr>
        <w:t>ze</w:t>
      </w:r>
      <w:r>
        <w:t>a</w:t>
      </w:r>
      <w:r>
        <w:rPr>
          <w:spacing w:val="-3"/>
        </w:rPr>
        <w:t>z</w:t>
      </w:r>
      <w:r>
        <w:t xml:space="preserve">ă </w:t>
      </w:r>
      <w:r>
        <w:rPr>
          <w:spacing w:val="1"/>
        </w:rPr>
        <w:t>î</w:t>
      </w:r>
      <w:r>
        <w:t>n p</w:t>
      </w:r>
      <w:r>
        <w:rPr>
          <w:spacing w:val="-3"/>
        </w:rPr>
        <w:t>e</w:t>
      </w:r>
      <w:r>
        <w:t>r</w:t>
      </w:r>
      <w:r>
        <w:rPr>
          <w:spacing w:val="1"/>
        </w:rPr>
        <w:t>i</w:t>
      </w:r>
      <w:r>
        <w:rPr>
          <w:spacing w:val="-3"/>
        </w:rPr>
        <w:t>o</w:t>
      </w:r>
      <w:r>
        <w:t xml:space="preserve">ada </w:t>
      </w:r>
      <w:r>
        <w:rPr>
          <w:spacing w:val="-3"/>
        </w:rPr>
        <w:t>d</w:t>
      </w:r>
      <w:r>
        <w:t xml:space="preserve">e 14 </w:t>
      </w:r>
      <w:r>
        <w:rPr>
          <w:spacing w:val="-3"/>
        </w:rPr>
        <w:t>z</w:t>
      </w:r>
      <w:r>
        <w:rPr>
          <w:spacing w:val="1"/>
        </w:rPr>
        <w:t>il</w:t>
      </w:r>
      <w:r>
        <w:t>e.</w:t>
      </w:r>
    </w:p>
    <w:p w14:paraId="2488C377" w14:textId="77777777" w:rsidR="00C04CAD" w:rsidRDefault="00C04CAD">
      <w:pPr>
        <w:spacing w:line="240" w:lineRule="auto"/>
      </w:pPr>
    </w:p>
    <w:p w14:paraId="2DBF700B" w14:textId="77777777" w:rsidR="00C04CAD" w:rsidRDefault="00060E34">
      <w:pPr>
        <w:keepNext/>
        <w:numPr>
          <w:ilvl w:val="1"/>
          <w:numId w:val="7"/>
        </w:numPr>
        <w:tabs>
          <w:tab w:val="clear" w:pos="567"/>
        </w:tabs>
        <w:spacing w:line="240" w:lineRule="auto"/>
        <w:ind w:left="567" w:hanging="567"/>
        <w:outlineLvl w:val="0"/>
        <w:rPr>
          <w:b/>
          <w:bCs/>
          <w:szCs w:val="22"/>
        </w:rPr>
      </w:pPr>
      <w:r>
        <w:rPr>
          <w:b/>
          <w:szCs w:val="22"/>
        </w:rPr>
        <w:t>Natura și conținutul ambalajului și echipamente speciale pentru utilizare, administrare sau implantare</w:t>
      </w:r>
    </w:p>
    <w:p w14:paraId="243A183C" w14:textId="77777777" w:rsidR="00C04CAD" w:rsidRDefault="00C04CAD">
      <w:pPr>
        <w:keepNext/>
        <w:spacing w:line="240" w:lineRule="auto"/>
        <w:outlineLvl w:val="0"/>
        <w:rPr>
          <w:b/>
          <w:szCs w:val="22"/>
        </w:rPr>
      </w:pPr>
    </w:p>
    <w:p w14:paraId="63C07F26"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rFonts w:eastAsia="MS Mincho"/>
          <w:szCs w:val="22"/>
          <w:u w:val="single"/>
          <w:lang w:eastAsia="en-US" w:bidi="ar-SA"/>
        </w:rPr>
        <w:t>AMGEVITA 20</w:t>
      </w:r>
      <w:r>
        <w:rPr>
          <w:szCs w:val="22"/>
          <w:u w:val="single"/>
        </w:rPr>
        <w:t> mg soluţie injectabilă în seringă preumplută</w:t>
      </w:r>
    </w:p>
    <w:p w14:paraId="6ADACE56" w14:textId="77777777" w:rsidR="00C04CAD" w:rsidRDefault="00C04CAD">
      <w:pPr>
        <w:keepNext/>
        <w:tabs>
          <w:tab w:val="clear" w:pos="567"/>
        </w:tabs>
        <w:kinsoku w:val="0"/>
        <w:overflowPunct w:val="0"/>
        <w:autoSpaceDE w:val="0"/>
        <w:autoSpaceDN w:val="0"/>
        <w:adjustRightInd w:val="0"/>
        <w:spacing w:line="240" w:lineRule="auto"/>
        <w:rPr>
          <w:rFonts w:eastAsia="MS Mincho"/>
          <w:szCs w:val="22"/>
          <w:u w:val="single"/>
          <w:lang w:eastAsia="en-US" w:bidi="ar-SA"/>
        </w:rPr>
      </w:pPr>
    </w:p>
    <w:p w14:paraId="672AAAE8"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 xml:space="preserve">0,4 ml soluţie în seringă preumplută </w:t>
      </w:r>
      <w:r>
        <w:rPr>
          <w:szCs w:val="22"/>
        </w:rPr>
        <w:t xml:space="preserve">(sticlă de tip I) cu un piston (din cauciuc bromobutilic) şi un ac </w:t>
      </w:r>
      <w:r>
        <w:rPr>
          <w:rFonts w:eastAsia="MS Mincho"/>
          <w:szCs w:val="22"/>
          <w:lang w:eastAsia="en-US" w:bidi="ar-SA"/>
        </w:rPr>
        <w:t xml:space="preserve">din oţel inoxidabil </w:t>
      </w:r>
      <w:r>
        <w:rPr>
          <w:szCs w:val="22"/>
        </w:rPr>
        <w:t>cu un capac pentru ac (elastomer termoplastic).</w:t>
      </w:r>
    </w:p>
    <w:p w14:paraId="6AEB753F"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65FDF276"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Mărime de ambalaj cu</w:t>
      </w:r>
      <w:r>
        <w:rPr>
          <w:szCs w:val="22"/>
        </w:rPr>
        <w:t xml:space="preserve"> 1 seringă preumplută</w:t>
      </w:r>
      <w:r>
        <w:rPr>
          <w:rFonts w:eastAsia="MS Mincho"/>
          <w:szCs w:val="22"/>
          <w:lang w:eastAsia="en-US" w:bidi="ar-SA"/>
        </w:rPr>
        <w:t>.</w:t>
      </w:r>
    </w:p>
    <w:p w14:paraId="5A4B8D61"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1F7BAD63" w14:textId="77777777" w:rsidR="00C04CAD" w:rsidRDefault="00060E34">
      <w:pPr>
        <w:keepNext/>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40 mg soluţie injectabilă în seringă preumplută</w:t>
      </w:r>
    </w:p>
    <w:p w14:paraId="66B77F10" w14:textId="77777777" w:rsidR="00C04CAD" w:rsidRDefault="00C04CAD">
      <w:pPr>
        <w:keepNext/>
        <w:tabs>
          <w:tab w:val="clear" w:pos="567"/>
        </w:tabs>
        <w:kinsoku w:val="0"/>
        <w:overflowPunct w:val="0"/>
        <w:autoSpaceDE w:val="0"/>
        <w:autoSpaceDN w:val="0"/>
        <w:adjustRightInd w:val="0"/>
        <w:spacing w:line="240" w:lineRule="auto"/>
        <w:rPr>
          <w:rFonts w:eastAsia="MS Mincho"/>
          <w:szCs w:val="22"/>
          <w:u w:val="single"/>
          <w:lang w:eastAsia="en-US" w:bidi="ar-SA"/>
        </w:rPr>
      </w:pPr>
    </w:p>
    <w:p w14:paraId="28926952"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szCs w:val="22"/>
        </w:rPr>
        <w:t xml:space="preserve">0,8 ml soluţie </w:t>
      </w:r>
      <w:r>
        <w:rPr>
          <w:rFonts w:eastAsia="MS Mincho"/>
          <w:szCs w:val="22"/>
          <w:lang w:eastAsia="en-US" w:bidi="ar-SA"/>
        </w:rPr>
        <w:t xml:space="preserve">în seringă preumplută (sticlă de tip I) cu un piston (din cauciuc bromobutilic) şi un ac din oţel inoxidabil cu </w:t>
      </w:r>
      <w:r>
        <w:rPr>
          <w:szCs w:val="22"/>
        </w:rPr>
        <w:t xml:space="preserve">un </w:t>
      </w:r>
      <w:r>
        <w:rPr>
          <w:rFonts w:eastAsia="MS Mincho"/>
          <w:szCs w:val="22"/>
          <w:lang w:eastAsia="en-US" w:bidi="ar-SA"/>
        </w:rPr>
        <w:t>capac pentru ac (elastomer termoplastic).</w:t>
      </w:r>
    </w:p>
    <w:p w14:paraId="13DF46D5"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77AD1D43"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Mărime de ambalaj</w:t>
      </w:r>
      <w:r>
        <w:rPr>
          <w:szCs w:val="22"/>
        </w:rPr>
        <w:t xml:space="preserve"> cu </w:t>
      </w:r>
      <w:r>
        <w:rPr>
          <w:rFonts w:eastAsia="MS Mincho"/>
          <w:szCs w:val="22"/>
          <w:lang w:eastAsia="en-US" w:bidi="ar-SA"/>
        </w:rPr>
        <w:t>1, 2, 4 sau ambalaj multiplu de 6 (3 cutii a câte 2) seringi preumplute</w:t>
      </w:r>
      <w:r>
        <w:rPr>
          <w:szCs w:val="22"/>
        </w:rPr>
        <w:t>.</w:t>
      </w:r>
    </w:p>
    <w:p w14:paraId="474882E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Este posibil ca nu toate mărimile de ambalaj să fie comercializate.</w:t>
      </w:r>
    </w:p>
    <w:p w14:paraId="43D2E9F4" w14:textId="77777777" w:rsidR="00C04CAD" w:rsidRDefault="00C04CAD">
      <w:pPr>
        <w:tabs>
          <w:tab w:val="clear" w:pos="567"/>
        </w:tabs>
        <w:kinsoku w:val="0"/>
        <w:overflowPunct w:val="0"/>
        <w:autoSpaceDE w:val="0"/>
        <w:autoSpaceDN w:val="0"/>
        <w:adjustRightInd w:val="0"/>
        <w:spacing w:line="240" w:lineRule="auto"/>
        <w:rPr>
          <w:szCs w:val="22"/>
        </w:rPr>
      </w:pPr>
    </w:p>
    <w:p w14:paraId="0D661028" w14:textId="77777777" w:rsidR="00C04CAD" w:rsidRDefault="00060E34">
      <w:pPr>
        <w:tabs>
          <w:tab w:val="clear" w:pos="567"/>
        </w:tabs>
        <w:kinsoku w:val="0"/>
        <w:overflowPunct w:val="0"/>
        <w:autoSpaceDE w:val="0"/>
        <w:autoSpaceDN w:val="0"/>
        <w:adjustRightInd w:val="0"/>
        <w:spacing w:line="240" w:lineRule="auto"/>
        <w:rPr>
          <w:rFonts w:eastAsia="MS Mincho"/>
          <w:spacing w:val="1"/>
          <w:szCs w:val="22"/>
          <w:u w:val="single"/>
          <w:lang w:eastAsia="en-US" w:bidi="ar-SA"/>
        </w:rPr>
      </w:pPr>
      <w:r>
        <w:rPr>
          <w:rFonts w:eastAsia="MS Mincho"/>
          <w:spacing w:val="-1"/>
          <w:szCs w:val="22"/>
          <w:u w:val="single"/>
          <w:lang w:eastAsia="en-US" w:bidi="ar-SA"/>
        </w:rPr>
        <w:t>AMGEVITA</w:t>
      </w:r>
      <w:r>
        <w:rPr>
          <w:rFonts w:eastAsia="MS Mincho"/>
          <w:szCs w:val="22"/>
          <w:u w:val="single"/>
          <w:lang w:eastAsia="en-US" w:bidi="ar-SA"/>
        </w:rPr>
        <w:t xml:space="preserve"> 40 </w:t>
      </w:r>
      <w:r>
        <w:rPr>
          <w:rFonts w:eastAsia="MS Mincho"/>
          <w:spacing w:val="-2"/>
          <w:szCs w:val="22"/>
          <w:u w:val="single"/>
          <w:lang w:eastAsia="en-US" w:bidi="ar-SA"/>
        </w:rPr>
        <w:t>m</w:t>
      </w:r>
      <w:r>
        <w:rPr>
          <w:rFonts w:eastAsia="MS Mincho"/>
          <w:szCs w:val="22"/>
          <w:u w:val="single"/>
          <w:lang w:eastAsia="en-US" w:bidi="ar-SA"/>
        </w:rPr>
        <w:t>g</w:t>
      </w:r>
      <w:r>
        <w:rPr>
          <w:rFonts w:eastAsia="MS Mincho"/>
          <w:spacing w:val="-3"/>
          <w:szCs w:val="22"/>
          <w:u w:val="single"/>
          <w:lang w:eastAsia="en-US" w:bidi="ar-SA"/>
        </w:rPr>
        <w:t xml:space="preserve"> </w:t>
      </w:r>
      <w:r>
        <w:rPr>
          <w:rFonts w:eastAsia="MS Mincho"/>
          <w:szCs w:val="22"/>
          <w:u w:val="single"/>
          <w:lang w:eastAsia="en-US" w:bidi="ar-SA"/>
        </w:rPr>
        <w:t>so</w:t>
      </w:r>
      <w:r>
        <w:rPr>
          <w:rFonts w:eastAsia="MS Mincho"/>
          <w:spacing w:val="1"/>
          <w:szCs w:val="22"/>
          <w:u w:val="single"/>
          <w:lang w:eastAsia="en-US" w:bidi="ar-SA"/>
        </w:rPr>
        <w:t>l</w:t>
      </w:r>
      <w:r>
        <w:rPr>
          <w:rFonts w:eastAsia="MS Mincho"/>
          <w:szCs w:val="22"/>
          <w:u w:val="single"/>
          <w:lang w:eastAsia="en-US" w:bidi="ar-SA"/>
        </w:rPr>
        <w:t>u</w:t>
      </w:r>
      <w:r>
        <w:rPr>
          <w:rFonts w:eastAsia="MS Mincho"/>
          <w:spacing w:val="-2"/>
          <w:szCs w:val="22"/>
          <w:u w:val="single"/>
          <w:lang w:eastAsia="en-US" w:bidi="ar-SA"/>
        </w:rPr>
        <w:t>ţ</w:t>
      </w:r>
      <w:r>
        <w:rPr>
          <w:rFonts w:eastAsia="MS Mincho"/>
          <w:spacing w:val="1"/>
          <w:szCs w:val="22"/>
          <w:u w:val="single"/>
          <w:lang w:eastAsia="en-US" w:bidi="ar-SA"/>
        </w:rPr>
        <w:t>i</w:t>
      </w:r>
      <w:r>
        <w:rPr>
          <w:rFonts w:eastAsia="MS Mincho"/>
          <w:szCs w:val="22"/>
          <w:u w:val="single"/>
          <w:lang w:eastAsia="en-US" w:bidi="ar-SA"/>
        </w:rPr>
        <w:t>e</w:t>
      </w:r>
      <w:r>
        <w:rPr>
          <w:rFonts w:eastAsia="MS Mincho"/>
          <w:spacing w:val="-2"/>
          <w:szCs w:val="22"/>
          <w:u w:val="single"/>
          <w:lang w:eastAsia="en-US" w:bidi="ar-SA"/>
        </w:rPr>
        <w:t xml:space="preserve"> </w:t>
      </w:r>
      <w:r>
        <w:rPr>
          <w:rFonts w:eastAsia="MS Mincho"/>
          <w:spacing w:val="1"/>
          <w:szCs w:val="22"/>
          <w:u w:val="single"/>
          <w:lang w:eastAsia="en-US" w:bidi="ar-SA"/>
        </w:rPr>
        <w:t>i</w:t>
      </w:r>
      <w:r>
        <w:rPr>
          <w:rFonts w:eastAsia="MS Mincho"/>
          <w:spacing w:val="-3"/>
          <w:szCs w:val="22"/>
          <w:u w:val="single"/>
          <w:lang w:eastAsia="en-US" w:bidi="ar-SA"/>
        </w:rPr>
        <w:t>n</w:t>
      </w:r>
      <w:r>
        <w:rPr>
          <w:rFonts w:eastAsia="MS Mincho"/>
          <w:spacing w:val="1"/>
          <w:szCs w:val="22"/>
          <w:u w:val="single"/>
          <w:lang w:eastAsia="en-US" w:bidi="ar-SA"/>
        </w:rPr>
        <w:t>j</w:t>
      </w:r>
      <w:r>
        <w:rPr>
          <w:rFonts w:eastAsia="MS Mincho"/>
          <w:szCs w:val="22"/>
          <w:u w:val="single"/>
          <w:lang w:eastAsia="en-US" w:bidi="ar-SA"/>
        </w:rPr>
        <w:t>e</w:t>
      </w:r>
      <w:r>
        <w:rPr>
          <w:rFonts w:eastAsia="MS Mincho"/>
          <w:spacing w:val="-3"/>
          <w:szCs w:val="22"/>
          <w:u w:val="single"/>
          <w:lang w:eastAsia="en-US" w:bidi="ar-SA"/>
        </w:rPr>
        <w:t>c</w:t>
      </w:r>
      <w:r>
        <w:rPr>
          <w:rFonts w:eastAsia="MS Mincho"/>
          <w:spacing w:val="1"/>
          <w:szCs w:val="22"/>
          <w:u w:val="single"/>
          <w:lang w:eastAsia="en-US" w:bidi="ar-SA"/>
        </w:rPr>
        <w:t>t</w:t>
      </w:r>
      <w:r>
        <w:rPr>
          <w:rFonts w:eastAsia="MS Mincho"/>
          <w:szCs w:val="22"/>
          <w:u w:val="single"/>
          <w:lang w:eastAsia="en-US" w:bidi="ar-SA"/>
        </w:rPr>
        <w:t>a</w:t>
      </w:r>
      <w:r>
        <w:rPr>
          <w:rFonts w:eastAsia="MS Mincho"/>
          <w:spacing w:val="-3"/>
          <w:szCs w:val="22"/>
          <w:u w:val="single"/>
          <w:lang w:eastAsia="en-US" w:bidi="ar-SA"/>
        </w:rPr>
        <w:t>b</w:t>
      </w:r>
      <w:r>
        <w:rPr>
          <w:rFonts w:eastAsia="MS Mincho"/>
          <w:spacing w:val="1"/>
          <w:szCs w:val="22"/>
          <w:u w:val="single"/>
          <w:lang w:eastAsia="en-US" w:bidi="ar-SA"/>
        </w:rPr>
        <w:t>il</w:t>
      </w:r>
      <w:r>
        <w:rPr>
          <w:rFonts w:eastAsia="MS Mincho"/>
          <w:szCs w:val="22"/>
          <w:u w:val="single"/>
          <w:lang w:eastAsia="en-US" w:bidi="ar-SA"/>
        </w:rPr>
        <w:t>ă</w:t>
      </w:r>
      <w:r>
        <w:rPr>
          <w:rFonts w:eastAsia="MS Mincho"/>
          <w:spacing w:val="-2"/>
          <w:szCs w:val="22"/>
          <w:u w:val="single"/>
          <w:lang w:eastAsia="en-US" w:bidi="ar-SA"/>
        </w:rPr>
        <w:t xml:space="preserve"> </w:t>
      </w:r>
      <w:r>
        <w:rPr>
          <w:rFonts w:eastAsia="MS Mincho"/>
          <w:spacing w:val="1"/>
          <w:szCs w:val="22"/>
          <w:u w:val="single"/>
          <w:lang w:eastAsia="en-US" w:bidi="ar-SA"/>
        </w:rPr>
        <w:t>î</w:t>
      </w:r>
      <w:r>
        <w:rPr>
          <w:rFonts w:eastAsia="MS Mincho"/>
          <w:szCs w:val="22"/>
          <w:u w:val="single"/>
          <w:lang w:eastAsia="en-US" w:bidi="ar-SA"/>
        </w:rPr>
        <w:t>n</w:t>
      </w:r>
      <w:r>
        <w:rPr>
          <w:rFonts w:eastAsia="MS Mincho"/>
          <w:spacing w:val="-3"/>
          <w:szCs w:val="22"/>
          <w:u w:val="single"/>
          <w:lang w:eastAsia="en-US" w:bidi="ar-SA"/>
        </w:rPr>
        <w:t xml:space="preserve"> </w:t>
      </w:r>
      <w:r>
        <w:rPr>
          <w:rFonts w:eastAsia="MS Mincho"/>
          <w:szCs w:val="22"/>
          <w:u w:val="single"/>
          <w:lang w:eastAsia="en-US" w:bidi="ar-SA"/>
        </w:rPr>
        <w:t>pen preumplut</w:t>
      </w:r>
    </w:p>
    <w:p w14:paraId="1F869232" w14:textId="77777777" w:rsidR="00C04CAD" w:rsidRDefault="00C04CAD">
      <w:pPr>
        <w:tabs>
          <w:tab w:val="clear" w:pos="567"/>
        </w:tabs>
        <w:kinsoku w:val="0"/>
        <w:overflowPunct w:val="0"/>
        <w:autoSpaceDE w:val="0"/>
        <w:autoSpaceDN w:val="0"/>
        <w:adjustRightInd w:val="0"/>
        <w:spacing w:line="240" w:lineRule="auto"/>
        <w:rPr>
          <w:rFonts w:eastAsia="MS Mincho"/>
          <w:szCs w:val="22"/>
          <w:u w:val="single"/>
          <w:lang w:eastAsia="en-US" w:bidi="ar-SA"/>
        </w:rPr>
      </w:pPr>
    </w:p>
    <w:p w14:paraId="08A33C78"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0,8 ml soluţie injectabilă în pen preumplut pentru utilizare de către pacient care conţine o seringă preumplută (sticlă de tip I). Penul este un dispozitiv de injecție mecanică portabil de unică folosinţă. Capacul acului penului preumplut conţine cauciuc sintetic.</w:t>
      </w:r>
    </w:p>
    <w:p w14:paraId="795372D3"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11690171"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Mărime de ambalaj cu 1, 2, 4 sau ambalaj multiplu de 6 (3 cutii a câte 2) penuri preumplute.</w:t>
      </w:r>
    </w:p>
    <w:p w14:paraId="0468F80A" w14:textId="77777777" w:rsidR="00C04CAD" w:rsidRDefault="00060E34">
      <w:pPr>
        <w:spacing w:line="240" w:lineRule="auto"/>
        <w:rPr>
          <w:szCs w:val="22"/>
        </w:rPr>
      </w:pPr>
      <w:r>
        <w:rPr>
          <w:rFonts w:eastAsia="MS Mincho"/>
          <w:spacing w:val="-1"/>
          <w:szCs w:val="22"/>
          <w:lang w:eastAsia="en-US" w:bidi="ar-SA"/>
        </w:rPr>
        <w:t>E</w:t>
      </w:r>
      <w:r>
        <w:rPr>
          <w:rFonts w:eastAsia="MS Mincho"/>
          <w:szCs w:val="22"/>
          <w:lang w:eastAsia="en-US" w:bidi="ar-SA"/>
        </w:rPr>
        <w:t>s</w:t>
      </w:r>
      <w:r>
        <w:rPr>
          <w:rFonts w:eastAsia="MS Mincho"/>
          <w:spacing w:val="1"/>
          <w:szCs w:val="22"/>
          <w:lang w:eastAsia="en-US" w:bidi="ar-SA"/>
        </w:rPr>
        <w:t>t</w:t>
      </w:r>
      <w:r>
        <w:rPr>
          <w:rFonts w:eastAsia="MS Mincho"/>
          <w:szCs w:val="22"/>
          <w:lang w:eastAsia="en-US" w:bidi="ar-SA"/>
        </w:rPr>
        <w:t xml:space="preserve">e </w:t>
      </w:r>
      <w:r>
        <w:rPr>
          <w:rFonts w:eastAsia="MS Mincho"/>
          <w:spacing w:val="-3"/>
          <w:szCs w:val="22"/>
          <w:lang w:eastAsia="en-US" w:bidi="ar-SA"/>
        </w:rPr>
        <w:t>p</w:t>
      </w:r>
      <w:r>
        <w:rPr>
          <w:rFonts w:eastAsia="MS Mincho"/>
          <w:szCs w:val="22"/>
          <w:lang w:eastAsia="en-US" w:bidi="ar-SA"/>
        </w:rPr>
        <w:t>os</w:t>
      </w:r>
      <w:r>
        <w:rPr>
          <w:rFonts w:eastAsia="MS Mincho"/>
          <w:spacing w:val="-2"/>
          <w:szCs w:val="22"/>
          <w:lang w:eastAsia="en-US" w:bidi="ar-SA"/>
        </w:rPr>
        <w:t>i</w:t>
      </w:r>
      <w:r>
        <w:rPr>
          <w:rFonts w:eastAsia="MS Mincho"/>
          <w:szCs w:val="22"/>
          <w:lang w:eastAsia="en-US" w:bidi="ar-SA"/>
        </w:rPr>
        <w:t>b</w:t>
      </w:r>
      <w:r>
        <w:rPr>
          <w:rFonts w:eastAsia="MS Mincho"/>
          <w:spacing w:val="-2"/>
          <w:szCs w:val="22"/>
          <w:lang w:eastAsia="en-US" w:bidi="ar-SA"/>
        </w:rPr>
        <w:t>i</w:t>
      </w:r>
      <w:r>
        <w:rPr>
          <w:rFonts w:eastAsia="MS Mincho"/>
          <w:szCs w:val="22"/>
          <w:lang w:eastAsia="en-US" w:bidi="ar-SA"/>
        </w:rPr>
        <w:t>l</w:t>
      </w:r>
      <w:r>
        <w:rPr>
          <w:rFonts w:eastAsia="MS Mincho"/>
          <w:spacing w:val="1"/>
          <w:szCs w:val="22"/>
          <w:lang w:eastAsia="en-US" w:bidi="ar-SA"/>
        </w:rPr>
        <w:t xml:space="preserve"> </w:t>
      </w:r>
      <w:r>
        <w:rPr>
          <w:rFonts w:eastAsia="MS Mincho"/>
          <w:szCs w:val="22"/>
          <w:lang w:eastAsia="en-US" w:bidi="ar-SA"/>
        </w:rPr>
        <w:t>ca</w:t>
      </w:r>
      <w:r>
        <w:rPr>
          <w:rFonts w:eastAsia="MS Mincho"/>
          <w:spacing w:val="-2"/>
          <w:szCs w:val="22"/>
          <w:lang w:eastAsia="en-US" w:bidi="ar-SA"/>
        </w:rPr>
        <w:t xml:space="preserve"> </w:t>
      </w:r>
      <w:r>
        <w:rPr>
          <w:rFonts w:eastAsia="MS Mincho"/>
          <w:szCs w:val="22"/>
          <w:lang w:eastAsia="en-US" w:bidi="ar-SA"/>
        </w:rPr>
        <w:t xml:space="preserve">nu </w:t>
      </w:r>
      <w:r>
        <w:rPr>
          <w:rFonts w:eastAsia="MS Mincho"/>
          <w:spacing w:val="-2"/>
          <w:szCs w:val="22"/>
          <w:lang w:eastAsia="en-US" w:bidi="ar-SA"/>
        </w:rPr>
        <w:t>t</w:t>
      </w:r>
      <w:r>
        <w:rPr>
          <w:rFonts w:eastAsia="MS Mincho"/>
          <w:szCs w:val="22"/>
          <w:lang w:eastAsia="en-US" w:bidi="ar-SA"/>
        </w:rPr>
        <w:t>oa</w:t>
      </w:r>
      <w:r>
        <w:rPr>
          <w:rFonts w:eastAsia="MS Mincho"/>
          <w:spacing w:val="-2"/>
          <w:szCs w:val="22"/>
          <w:lang w:eastAsia="en-US" w:bidi="ar-SA"/>
        </w:rPr>
        <w:t>t</w:t>
      </w:r>
      <w:r>
        <w:rPr>
          <w:rFonts w:eastAsia="MS Mincho"/>
          <w:szCs w:val="22"/>
          <w:lang w:eastAsia="en-US" w:bidi="ar-SA"/>
        </w:rPr>
        <w:t xml:space="preserve">e </w:t>
      </w:r>
      <w:r>
        <w:rPr>
          <w:rFonts w:eastAsia="MS Mincho"/>
          <w:spacing w:val="-4"/>
          <w:szCs w:val="22"/>
          <w:lang w:eastAsia="en-US" w:bidi="ar-SA"/>
        </w:rPr>
        <w:t>m</w:t>
      </w:r>
      <w:r>
        <w:rPr>
          <w:rFonts w:eastAsia="MS Mincho"/>
          <w:szCs w:val="22"/>
          <w:lang w:eastAsia="en-US" w:bidi="ar-SA"/>
        </w:rPr>
        <w:t>ăr</w:t>
      </w:r>
      <w:r>
        <w:rPr>
          <w:rFonts w:eastAsia="MS Mincho"/>
          <w:spacing w:val="1"/>
          <w:szCs w:val="22"/>
          <w:lang w:eastAsia="en-US" w:bidi="ar-SA"/>
        </w:rPr>
        <w:t>i</w:t>
      </w:r>
      <w:r>
        <w:rPr>
          <w:rFonts w:eastAsia="MS Mincho"/>
          <w:spacing w:val="-4"/>
          <w:szCs w:val="22"/>
          <w:lang w:eastAsia="en-US" w:bidi="ar-SA"/>
        </w:rPr>
        <w:t>m</w:t>
      </w:r>
      <w:r>
        <w:rPr>
          <w:rFonts w:eastAsia="MS Mincho"/>
          <w:spacing w:val="1"/>
          <w:szCs w:val="22"/>
          <w:lang w:eastAsia="en-US" w:bidi="ar-SA"/>
        </w:rPr>
        <w:t>il</w:t>
      </w:r>
      <w:r>
        <w:rPr>
          <w:rFonts w:eastAsia="MS Mincho"/>
          <w:szCs w:val="22"/>
          <w:lang w:eastAsia="en-US" w:bidi="ar-SA"/>
        </w:rPr>
        <w:t>e de</w:t>
      </w:r>
      <w:r>
        <w:rPr>
          <w:rFonts w:eastAsia="MS Mincho"/>
          <w:spacing w:val="-2"/>
          <w:szCs w:val="22"/>
          <w:lang w:eastAsia="en-US" w:bidi="ar-SA"/>
        </w:rPr>
        <w:t xml:space="preserve"> </w:t>
      </w:r>
      <w:r>
        <w:rPr>
          <w:rFonts w:eastAsia="MS Mincho"/>
          <w:szCs w:val="22"/>
          <w:lang w:eastAsia="en-US" w:bidi="ar-SA"/>
        </w:rPr>
        <w:t>a</w:t>
      </w:r>
      <w:r>
        <w:rPr>
          <w:rFonts w:eastAsia="MS Mincho"/>
          <w:spacing w:val="-4"/>
          <w:szCs w:val="22"/>
          <w:lang w:eastAsia="en-US" w:bidi="ar-SA"/>
        </w:rPr>
        <w:t>m</w:t>
      </w:r>
      <w:r>
        <w:rPr>
          <w:rFonts w:eastAsia="MS Mincho"/>
          <w:szCs w:val="22"/>
          <w:lang w:eastAsia="en-US" w:bidi="ar-SA"/>
        </w:rPr>
        <w:t>ba</w:t>
      </w:r>
      <w:r>
        <w:rPr>
          <w:rFonts w:eastAsia="MS Mincho"/>
          <w:spacing w:val="1"/>
          <w:szCs w:val="22"/>
          <w:lang w:eastAsia="en-US" w:bidi="ar-SA"/>
        </w:rPr>
        <w:t>l</w:t>
      </w:r>
      <w:r>
        <w:rPr>
          <w:rFonts w:eastAsia="MS Mincho"/>
          <w:spacing w:val="-3"/>
          <w:szCs w:val="22"/>
          <w:lang w:eastAsia="en-US" w:bidi="ar-SA"/>
        </w:rPr>
        <w:t>a</w:t>
      </w:r>
      <w:r>
        <w:rPr>
          <w:rFonts w:eastAsia="MS Mincho"/>
          <w:szCs w:val="22"/>
          <w:lang w:eastAsia="en-US" w:bidi="ar-SA"/>
        </w:rPr>
        <w:t>j</w:t>
      </w:r>
      <w:r>
        <w:rPr>
          <w:rFonts w:eastAsia="MS Mincho"/>
          <w:spacing w:val="3"/>
          <w:szCs w:val="22"/>
          <w:lang w:eastAsia="en-US" w:bidi="ar-SA"/>
        </w:rPr>
        <w:t xml:space="preserve"> </w:t>
      </w:r>
      <w:r>
        <w:rPr>
          <w:rFonts w:eastAsia="MS Mincho"/>
          <w:spacing w:val="-2"/>
          <w:szCs w:val="22"/>
          <w:lang w:eastAsia="en-US" w:bidi="ar-SA"/>
        </w:rPr>
        <w:t>s</w:t>
      </w:r>
      <w:r>
        <w:rPr>
          <w:rFonts w:eastAsia="MS Mincho"/>
          <w:szCs w:val="22"/>
          <w:lang w:eastAsia="en-US" w:bidi="ar-SA"/>
        </w:rPr>
        <w:t xml:space="preserve">ă </w:t>
      </w:r>
      <w:r>
        <w:rPr>
          <w:rFonts w:eastAsia="MS Mincho"/>
          <w:spacing w:val="-2"/>
          <w:szCs w:val="22"/>
          <w:lang w:eastAsia="en-US" w:bidi="ar-SA"/>
        </w:rPr>
        <w:t>f</w:t>
      </w:r>
      <w:r>
        <w:rPr>
          <w:rFonts w:eastAsia="MS Mincho"/>
          <w:spacing w:val="1"/>
          <w:szCs w:val="22"/>
          <w:lang w:eastAsia="en-US" w:bidi="ar-SA"/>
        </w:rPr>
        <w:t>i</w:t>
      </w:r>
      <w:r>
        <w:rPr>
          <w:rFonts w:eastAsia="MS Mincho"/>
          <w:szCs w:val="22"/>
          <w:lang w:eastAsia="en-US" w:bidi="ar-SA"/>
        </w:rPr>
        <w:t>e</w:t>
      </w:r>
      <w:r>
        <w:rPr>
          <w:rFonts w:eastAsia="MS Mincho"/>
          <w:spacing w:val="-2"/>
          <w:szCs w:val="22"/>
          <w:lang w:eastAsia="en-US" w:bidi="ar-SA"/>
        </w:rPr>
        <w:t xml:space="preserve"> </w:t>
      </w:r>
      <w:r>
        <w:rPr>
          <w:rFonts w:eastAsia="MS Mincho"/>
          <w:szCs w:val="22"/>
          <w:lang w:eastAsia="en-US" w:bidi="ar-SA"/>
        </w:rPr>
        <w:t>co</w:t>
      </w:r>
      <w:r>
        <w:rPr>
          <w:rFonts w:eastAsia="MS Mincho"/>
          <w:spacing w:val="-2"/>
          <w:szCs w:val="22"/>
          <w:lang w:eastAsia="en-US" w:bidi="ar-SA"/>
        </w:rPr>
        <w:t>m</w:t>
      </w:r>
      <w:r>
        <w:rPr>
          <w:rFonts w:eastAsia="MS Mincho"/>
          <w:szCs w:val="22"/>
          <w:lang w:eastAsia="en-US" w:bidi="ar-SA"/>
        </w:rPr>
        <w:t>er</w:t>
      </w:r>
      <w:r>
        <w:rPr>
          <w:rFonts w:eastAsia="MS Mincho"/>
          <w:spacing w:val="-3"/>
          <w:szCs w:val="22"/>
          <w:lang w:eastAsia="en-US" w:bidi="ar-SA"/>
        </w:rPr>
        <w:t>c</w:t>
      </w:r>
      <w:r>
        <w:rPr>
          <w:rFonts w:eastAsia="MS Mincho"/>
          <w:spacing w:val="1"/>
          <w:szCs w:val="22"/>
          <w:lang w:eastAsia="en-US" w:bidi="ar-SA"/>
        </w:rPr>
        <w:t>i</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3"/>
          <w:szCs w:val="22"/>
          <w:lang w:eastAsia="en-US" w:bidi="ar-SA"/>
        </w:rPr>
        <w:t>z</w:t>
      </w:r>
      <w:r>
        <w:rPr>
          <w:rFonts w:eastAsia="MS Mincho"/>
          <w:szCs w:val="22"/>
          <w:lang w:eastAsia="en-US" w:bidi="ar-SA"/>
        </w:rPr>
        <w:t>a</w:t>
      </w:r>
      <w:r>
        <w:rPr>
          <w:rFonts w:eastAsia="MS Mincho"/>
          <w:spacing w:val="1"/>
          <w:szCs w:val="22"/>
          <w:lang w:eastAsia="en-US" w:bidi="ar-SA"/>
        </w:rPr>
        <w:t>t</w:t>
      </w:r>
      <w:r>
        <w:rPr>
          <w:rFonts w:eastAsia="MS Mincho"/>
          <w:spacing w:val="-3"/>
          <w:szCs w:val="22"/>
          <w:lang w:eastAsia="en-US" w:bidi="ar-SA"/>
        </w:rPr>
        <w:t>e</w:t>
      </w:r>
      <w:r>
        <w:rPr>
          <w:rFonts w:eastAsia="MS Mincho"/>
          <w:szCs w:val="22"/>
          <w:lang w:eastAsia="en-US" w:bidi="ar-SA"/>
        </w:rPr>
        <w:t>.</w:t>
      </w:r>
    </w:p>
    <w:p w14:paraId="4A003CA6" w14:textId="77777777" w:rsidR="00C04CAD" w:rsidRDefault="00C04CAD">
      <w:pPr>
        <w:spacing w:line="240" w:lineRule="auto"/>
        <w:rPr>
          <w:szCs w:val="22"/>
        </w:rPr>
      </w:pPr>
    </w:p>
    <w:p w14:paraId="06237BCF" w14:textId="77777777" w:rsidR="00C04CAD" w:rsidRDefault="00060E34">
      <w:pPr>
        <w:keepNext/>
        <w:numPr>
          <w:ilvl w:val="1"/>
          <w:numId w:val="7"/>
        </w:numPr>
        <w:spacing w:line="240" w:lineRule="auto"/>
        <w:outlineLvl w:val="0"/>
      </w:pPr>
      <w:bookmarkStart w:id="7" w:name="OLE_LINK1"/>
      <w:r>
        <w:rPr>
          <w:b/>
        </w:rPr>
        <w:t>Precauții speciale pentru eliminarea reziduurilor şi alte instrucțiuni de manipulare</w:t>
      </w:r>
    </w:p>
    <w:p w14:paraId="1A515CF6" w14:textId="77777777" w:rsidR="00C04CAD" w:rsidRDefault="00C04CAD">
      <w:pPr>
        <w:keepNext/>
        <w:spacing w:line="240" w:lineRule="auto"/>
      </w:pPr>
    </w:p>
    <w:p w14:paraId="3E681C03" w14:textId="77777777" w:rsidR="00C04CAD" w:rsidRDefault="00060E34">
      <w:pPr>
        <w:spacing w:line="240" w:lineRule="auto"/>
      </w:pPr>
      <w:r>
        <w:t>Orice medicament neutilizat sau material rezidual trebuie eliminat în conformitate cu reglementările locale.</w:t>
      </w:r>
    </w:p>
    <w:bookmarkEnd w:id="7"/>
    <w:p w14:paraId="3B078657" w14:textId="77777777" w:rsidR="00C04CAD" w:rsidRDefault="00C04CAD">
      <w:pPr>
        <w:spacing w:line="240" w:lineRule="auto"/>
      </w:pPr>
    </w:p>
    <w:p w14:paraId="2AB99CFC" w14:textId="77777777" w:rsidR="00C04CAD" w:rsidRDefault="00C04CAD">
      <w:pPr>
        <w:spacing w:line="240" w:lineRule="auto"/>
      </w:pPr>
    </w:p>
    <w:p w14:paraId="2DC8402C" w14:textId="77777777" w:rsidR="00C04CAD" w:rsidRDefault="00060E34">
      <w:pPr>
        <w:keepNext/>
        <w:numPr>
          <w:ilvl w:val="0"/>
          <w:numId w:val="7"/>
        </w:numPr>
        <w:spacing w:line="240" w:lineRule="auto"/>
        <w:rPr>
          <w:szCs w:val="22"/>
        </w:rPr>
      </w:pPr>
      <w:r>
        <w:rPr>
          <w:b/>
          <w:szCs w:val="22"/>
        </w:rPr>
        <w:t>DEȚINĂTORUL AUTORIZAȚIEI DE PUNERE PE PIAȚĂ</w:t>
      </w:r>
    </w:p>
    <w:p w14:paraId="76529C8A" w14:textId="77777777" w:rsidR="00C04CAD" w:rsidRDefault="00C04CAD">
      <w:pPr>
        <w:keepNext/>
        <w:spacing w:line="240" w:lineRule="auto"/>
        <w:rPr>
          <w:szCs w:val="22"/>
        </w:rPr>
      </w:pPr>
    </w:p>
    <w:p w14:paraId="5A4C620D"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3F5A79BE"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0CFD52E1"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6D6147F2" w14:textId="77777777" w:rsidR="00C04CAD" w:rsidRDefault="00060E34">
      <w:pPr>
        <w:spacing w:line="240" w:lineRule="auto"/>
        <w:rPr>
          <w:szCs w:val="22"/>
        </w:rPr>
      </w:pPr>
      <w:r>
        <w:rPr>
          <w:rFonts w:eastAsia="MS Mincho"/>
          <w:szCs w:val="22"/>
          <w:lang w:eastAsia="en-US" w:bidi="ar-SA"/>
        </w:rPr>
        <w:t>Olanda</w:t>
      </w:r>
    </w:p>
    <w:p w14:paraId="4811F052" w14:textId="77777777" w:rsidR="00C04CAD" w:rsidRDefault="00C04CAD">
      <w:pPr>
        <w:spacing w:line="240" w:lineRule="auto"/>
        <w:rPr>
          <w:szCs w:val="22"/>
        </w:rPr>
      </w:pPr>
    </w:p>
    <w:p w14:paraId="733D58B8" w14:textId="77777777" w:rsidR="00C04CAD" w:rsidRDefault="00C04CAD">
      <w:pPr>
        <w:spacing w:line="240" w:lineRule="auto"/>
        <w:rPr>
          <w:szCs w:val="22"/>
        </w:rPr>
      </w:pPr>
    </w:p>
    <w:p w14:paraId="1381905E" w14:textId="77777777" w:rsidR="00C04CAD" w:rsidRDefault="00060E34">
      <w:pPr>
        <w:keepNext/>
        <w:numPr>
          <w:ilvl w:val="0"/>
          <w:numId w:val="7"/>
        </w:numPr>
        <w:spacing w:line="240" w:lineRule="auto"/>
        <w:rPr>
          <w:b/>
          <w:bCs/>
        </w:rPr>
      </w:pPr>
      <w:r>
        <w:rPr>
          <w:b/>
        </w:rPr>
        <w:t xml:space="preserve">NUMĂRUL(ELE) AUTORIZAȚIEI DE PUNERE PE PIAȚĂ </w:t>
      </w:r>
    </w:p>
    <w:p w14:paraId="6C8C33FF" w14:textId="77777777" w:rsidR="00C04CAD" w:rsidRDefault="00C04CAD">
      <w:pPr>
        <w:keepNext/>
        <w:spacing w:line="240" w:lineRule="auto"/>
      </w:pPr>
    </w:p>
    <w:p w14:paraId="59B3B346" w14:textId="77777777" w:rsidR="00C04CAD" w:rsidRDefault="00060E34">
      <w:pPr>
        <w:pStyle w:val="Default"/>
        <w:rPr>
          <w:sz w:val="22"/>
          <w:szCs w:val="22"/>
          <w:u w:val="single"/>
          <w:lang w:val="ro-RO"/>
        </w:rPr>
      </w:pPr>
      <w:r>
        <w:rPr>
          <w:sz w:val="22"/>
          <w:szCs w:val="22"/>
          <w:u w:val="single"/>
          <w:lang w:val="ro-RO" w:eastAsia="en-GB"/>
        </w:rPr>
        <w:t xml:space="preserve">AMGEVITA 20 mg </w:t>
      </w:r>
      <w:r>
        <w:rPr>
          <w:sz w:val="22"/>
          <w:szCs w:val="22"/>
          <w:u w:val="single"/>
          <w:lang w:val="ro-RO"/>
        </w:rPr>
        <w:t>soluţie injectabilă în seringă preumplută</w:t>
      </w:r>
    </w:p>
    <w:p w14:paraId="5DF16529" w14:textId="77777777" w:rsidR="00C04CAD" w:rsidRDefault="00C04CAD">
      <w:pPr>
        <w:pStyle w:val="Default"/>
        <w:rPr>
          <w:sz w:val="22"/>
          <w:szCs w:val="22"/>
          <w:u w:val="single"/>
          <w:lang w:val="ro-RO" w:eastAsia="en-GB"/>
        </w:rPr>
      </w:pPr>
    </w:p>
    <w:p w14:paraId="10C2C2D8" w14:textId="77777777" w:rsidR="00C04CAD" w:rsidRDefault="00060E34">
      <w:pPr>
        <w:spacing w:line="240" w:lineRule="auto"/>
        <w:rPr>
          <w:rFonts w:eastAsia="MS Mincho"/>
          <w:szCs w:val="22"/>
          <w:lang w:eastAsia="en-US" w:bidi="ar-SA"/>
        </w:rPr>
      </w:pPr>
      <w:r>
        <w:rPr>
          <w:color w:val="000000"/>
          <w:szCs w:val="22"/>
        </w:rPr>
        <w:t xml:space="preserve">EU/1/16/1164/001 – </w:t>
      </w:r>
      <w:r>
        <w:rPr>
          <w:rFonts w:eastAsia="MS Mincho"/>
          <w:szCs w:val="22"/>
          <w:lang w:eastAsia="en-US" w:bidi="ar-SA"/>
        </w:rPr>
        <w:t>1 seringă preumplută</w:t>
      </w:r>
    </w:p>
    <w:p w14:paraId="1AB98FFE" w14:textId="77777777" w:rsidR="00C04CAD" w:rsidRDefault="00C04CAD">
      <w:pPr>
        <w:spacing w:line="240" w:lineRule="auto"/>
        <w:rPr>
          <w:color w:val="000000"/>
          <w:szCs w:val="22"/>
        </w:rPr>
      </w:pPr>
    </w:p>
    <w:p w14:paraId="5BD5CD9A" w14:textId="77777777" w:rsidR="00C04CAD" w:rsidRDefault="00060E34">
      <w:pPr>
        <w:pStyle w:val="Default"/>
        <w:keepNext/>
        <w:rPr>
          <w:sz w:val="22"/>
          <w:szCs w:val="22"/>
          <w:u w:val="single"/>
          <w:lang w:val="ro-RO"/>
        </w:rPr>
      </w:pPr>
      <w:r>
        <w:rPr>
          <w:sz w:val="22"/>
          <w:szCs w:val="22"/>
          <w:u w:val="single"/>
          <w:lang w:val="ro-RO" w:eastAsia="en-GB"/>
        </w:rPr>
        <w:t xml:space="preserve">AMGEVITA 40 mg </w:t>
      </w:r>
      <w:r>
        <w:rPr>
          <w:sz w:val="22"/>
          <w:szCs w:val="22"/>
          <w:u w:val="single"/>
          <w:lang w:val="ro-RO"/>
        </w:rPr>
        <w:t>soluţie injectabilă în seringă preumplută</w:t>
      </w:r>
    </w:p>
    <w:p w14:paraId="343D6DFA" w14:textId="77777777" w:rsidR="00C04CAD" w:rsidRDefault="00C04CAD">
      <w:pPr>
        <w:pStyle w:val="Default"/>
        <w:keepNext/>
        <w:rPr>
          <w:sz w:val="22"/>
          <w:szCs w:val="22"/>
          <w:u w:val="single"/>
          <w:lang w:val="ro-RO" w:eastAsia="en-GB"/>
        </w:rPr>
      </w:pPr>
    </w:p>
    <w:p w14:paraId="33B0F247" w14:textId="77777777" w:rsidR="00C04CAD" w:rsidRDefault="00060E34">
      <w:pPr>
        <w:keepNext/>
        <w:spacing w:line="240" w:lineRule="auto"/>
        <w:rPr>
          <w:color w:val="000000"/>
          <w:szCs w:val="22"/>
        </w:rPr>
      </w:pPr>
      <w:r>
        <w:rPr>
          <w:color w:val="000000"/>
          <w:szCs w:val="22"/>
        </w:rPr>
        <w:t xml:space="preserve">EU/1/16/1164/002 – </w:t>
      </w:r>
      <w:r>
        <w:rPr>
          <w:rFonts w:eastAsia="MS Mincho"/>
          <w:szCs w:val="22"/>
          <w:lang w:eastAsia="en-US" w:bidi="ar-SA"/>
        </w:rPr>
        <w:t>1 seringă preumplută</w:t>
      </w:r>
    </w:p>
    <w:p w14:paraId="264B5B32" w14:textId="77777777" w:rsidR="00C04CAD" w:rsidRDefault="00060E34">
      <w:pPr>
        <w:keepNext/>
        <w:spacing w:line="240" w:lineRule="auto"/>
        <w:rPr>
          <w:color w:val="000000"/>
          <w:szCs w:val="22"/>
        </w:rPr>
      </w:pPr>
      <w:r>
        <w:rPr>
          <w:color w:val="000000"/>
          <w:szCs w:val="22"/>
        </w:rPr>
        <w:t xml:space="preserve">EU/1/16/1164/003 – 2 </w:t>
      </w:r>
      <w:r>
        <w:rPr>
          <w:rFonts w:eastAsia="MS Mincho"/>
          <w:szCs w:val="22"/>
          <w:lang w:eastAsia="en-US" w:bidi="ar-SA"/>
        </w:rPr>
        <w:t>seringi preumplute</w:t>
      </w:r>
    </w:p>
    <w:p w14:paraId="33F658FE" w14:textId="77777777" w:rsidR="00C04CAD" w:rsidRDefault="00060E34">
      <w:pPr>
        <w:keepNext/>
        <w:spacing w:line="240" w:lineRule="auto"/>
        <w:rPr>
          <w:color w:val="000000"/>
          <w:szCs w:val="22"/>
        </w:rPr>
      </w:pPr>
      <w:r>
        <w:rPr>
          <w:color w:val="000000"/>
          <w:szCs w:val="22"/>
        </w:rPr>
        <w:t xml:space="preserve">EU/1/16/1164/004 – 4 </w:t>
      </w:r>
      <w:r>
        <w:rPr>
          <w:rFonts w:eastAsia="MS Mincho"/>
          <w:szCs w:val="22"/>
          <w:lang w:eastAsia="en-US" w:bidi="ar-SA"/>
        </w:rPr>
        <w:t>seringi preumplute</w:t>
      </w:r>
    </w:p>
    <w:p w14:paraId="0CC0DB39" w14:textId="77777777" w:rsidR="00C04CAD" w:rsidRDefault="00060E34">
      <w:pPr>
        <w:spacing w:line="240" w:lineRule="auto"/>
        <w:rPr>
          <w:rFonts w:eastAsia="MS Mincho"/>
          <w:szCs w:val="22"/>
          <w:lang w:eastAsia="en-US" w:bidi="ar-SA"/>
        </w:rPr>
      </w:pPr>
      <w:r>
        <w:rPr>
          <w:color w:val="000000"/>
          <w:szCs w:val="22"/>
        </w:rPr>
        <w:t xml:space="preserve">EU/1/16/1164/005 – 6(3x2) </w:t>
      </w:r>
      <w:r>
        <w:rPr>
          <w:rFonts w:eastAsia="MS Mincho"/>
          <w:szCs w:val="22"/>
          <w:lang w:eastAsia="en-US" w:bidi="ar-SA"/>
        </w:rPr>
        <w:t>seringi preumplute, ambalaj multiplu</w:t>
      </w:r>
    </w:p>
    <w:p w14:paraId="5DA6D01A" w14:textId="77777777" w:rsidR="00C04CAD" w:rsidRDefault="00C04CAD">
      <w:pPr>
        <w:spacing w:line="240" w:lineRule="auto"/>
        <w:rPr>
          <w:color w:val="000000"/>
          <w:szCs w:val="22"/>
        </w:rPr>
      </w:pPr>
    </w:p>
    <w:p w14:paraId="638A70B3" w14:textId="77777777" w:rsidR="00C04CAD" w:rsidRDefault="00060E34">
      <w:pPr>
        <w:pStyle w:val="Default"/>
        <w:keepNext/>
        <w:rPr>
          <w:color w:val="auto"/>
          <w:sz w:val="22"/>
          <w:szCs w:val="22"/>
          <w:u w:val="single"/>
          <w:lang w:val="ro-RO" w:eastAsia="en-GB"/>
        </w:rPr>
      </w:pPr>
      <w:r>
        <w:rPr>
          <w:sz w:val="22"/>
          <w:szCs w:val="22"/>
          <w:u w:val="single"/>
          <w:lang w:val="ro-RO" w:eastAsia="en-GB"/>
        </w:rPr>
        <w:t>AMGEVITA</w:t>
      </w:r>
      <w:r>
        <w:rPr>
          <w:color w:val="auto"/>
          <w:sz w:val="22"/>
          <w:szCs w:val="22"/>
          <w:u w:val="single"/>
          <w:lang w:val="ro-RO" w:eastAsia="en-GB"/>
        </w:rPr>
        <w:t xml:space="preserve"> 40</w:t>
      </w:r>
      <w:r>
        <w:rPr>
          <w:color w:val="auto"/>
          <w:sz w:val="22"/>
          <w:szCs w:val="22"/>
          <w:u w:val="single"/>
          <w:lang w:val="ro-RO"/>
        </w:rPr>
        <w:t> </w:t>
      </w:r>
      <w:r>
        <w:rPr>
          <w:color w:val="auto"/>
          <w:sz w:val="22"/>
          <w:szCs w:val="22"/>
          <w:u w:val="single"/>
          <w:lang w:val="ro-RO" w:eastAsia="en-GB"/>
        </w:rPr>
        <w:t xml:space="preserve">mg </w:t>
      </w:r>
      <w:r>
        <w:rPr>
          <w:sz w:val="22"/>
          <w:szCs w:val="22"/>
          <w:u w:val="single"/>
          <w:lang w:val="ro-RO"/>
        </w:rPr>
        <w:t xml:space="preserve">soluţie injectabilă în </w:t>
      </w:r>
      <w:r>
        <w:rPr>
          <w:color w:val="auto"/>
          <w:sz w:val="22"/>
          <w:szCs w:val="22"/>
          <w:u w:val="single"/>
          <w:lang w:val="ro-RO" w:eastAsia="en-GB"/>
        </w:rPr>
        <w:t xml:space="preserve">pen </w:t>
      </w:r>
      <w:r>
        <w:rPr>
          <w:sz w:val="22"/>
          <w:szCs w:val="22"/>
          <w:u w:val="single"/>
          <w:lang w:val="ro-RO"/>
        </w:rPr>
        <w:t>preumplut</w:t>
      </w:r>
    </w:p>
    <w:p w14:paraId="51127B83" w14:textId="77777777" w:rsidR="00C04CAD" w:rsidRDefault="00C04CAD">
      <w:pPr>
        <w:pStyle w:val="Default"/>
        <w:keepNext/>
        <w:rPr>
          <w:color w:val="auto"/>
          <w:sz w:val="22"/>
          <w:szCs w:val="22"/>
          <w:u w:val="single"/>
          <w:lang w:val="ro-RO" w:eastAsia="en-GB"/>
        </w:rPr>
      </w:pPr>
    </w:p>
    <w:p w14:paraId="4D192D6D" w14:textId="77777777" w:rsidR="00C04CAD" w:rsidRDefault="00060E34">
      <w:pPr>
        <w:keepNext/>
        <w:spacing w:line="240" w:lineRule="auto"/>
        <w:rPr>
          <w:color w:val="000000"/>
          <w:szCs w:val="22"/>
        </w:rPr>
      </w:pPr>
      <w:r>
        <w:rPr>
          <w:color w:val="000000"/>
          <w:szCs w:val="22"/>
        </w:rPr>
        <w:t xml:space="preserve">EU/1/16/1164/006 – 1 </w:t>
      </w:r>
      <w:r>
        <w:rPr>
          <w:szCs w:val="22"/>
          <w:lang w:eastAsia="en-GB"/>
        </w:rPr>
        <w:t xml:space="preserve">pen </w:t>
      </w:r>
      <w:r>
        <w:rPr>
          <w:szCs w:val="22"/>
        </w:rPr>
        <w:t>preumplut</w:t>
      </w:r>
    </w:p>
    <w:p w14:paraId="59F08A75" w14:textId="77777777" w:rsidR="00C04CAD" w:rsidRDefault="00060E34">
      <w:pPr>
        <w:keepNext/>
        <w:spacing w:line="240" w:lineRule="auto"/>
        <w:rPr>
          <w:color w:val="000000"/>
          <w:szCs w:val="22"/>
        </w:rPr>
      </w:pPr>
      <w:r>
        <w:rPr>
          <w:color w:val="000000"/>
          <w:szCs w:val="22"/>
        </w:rPr>
        <w:t xml:space="preserve">EU/1/16/1164/007 – 2 </w:t>
      </w:r>
      <w:r>
        <w:rPr>
          <w:szCs w:val="22"/>
          <w:lang w:eastAsia="en-GB"/>
        </w:rPr>
        <w:t xml:space="preserve">penuri </w:t>
      </w:r>
      <w:r>
        <w:rPr>
          <w:szCs w:val="22"/>
        </w:rPr>
        <w:t>preumplute</w:t>
      </w:r>
    </w:p>
    <w:p w14:paraId="7BFC9EDD" w14:textId="77777777" w:rsidR="00C04CAD" w:rsidRDefault="00060E34">
      <w:pPr>
        <w:keepNext/>
        <w:spacing w:line="240" w:lineRule="auto"/>
        <w:rPr>
          <w:color w:val="000000"/>
          <w:szCs w:val="22"/>
        </w:rPr>
      </w:pPr>
      <w:r>
        <w:rPr>
          <w:color w:val="000000"/>
          <w:szCs w:val="22"/>
        </w:rPr>
        <w:t xml:space="preserve">EU/1/16/1164/008 – 4 </w:t>
      </w:r>
      <w:r>
        <w:rPr>
          <w:szCs w:val="22"/>
          <w:lang w:eastAsia="en-GB"/>
        </w:rPr>
        <w:t xml:space="preserve">penuri </w:t>
      </w:r>
      <w:r>
        <w:rPr>
          <w:szCs w:val="22"/>
        </w:rPr>
        <w:t>preumplute</w:t>
      </w:r>
    </w:p>
    <w:p w14:paraId="256787DC" w14:textId="77777777" w:rsidR="00C04CAD" w:rsidRDefault="00060E34">
      <w:pPr>
        <w:spacing w:line="240" w:lineRule="auto"/>
        <w:rPr>
          <w:szCs w:val="22"/>
        </w:rPr>
      </w:pPr>
      <w:r>
        <w:rPr>
          <w:color w:val="000000"/>
          <w:szCs w:val="22"/>
        </w:rPr>
        <w:t xml:space="preserve">EU/1/16/1164/009 – 6(3x2) </w:t>
      </w:r>
      <w:r>
        <w:rPr>
          <w:szCs w:val="22"/>
          <w:lang w:eastAsia="en-GB"/>
        </w:rPr>
        <w:t xml:space="preserve">penuri </w:t>
      </w:r>
      <w:r>
        <w:rPr>
          <w:szCs w:val="22"/>
        </w:rPr>
        <w:t>preumplute, ambalaj multiplu</w:t>
      </w:r>
    </w:p>
    <w:p w14:paraId="0FD3DB44" w14:textId="77777777" w:rsidR="00C04CAD" w:rsidRDefault="00C04CAD">
      <w:pPr>
        <w:spacing w:line="240" w:lineRule="auto"/>
      </w:pPr>
    </w:p>
    <w:p w14:paraId="4D8F7919" w14:textId="77777777" w:rsidR="00C04CAD" w:rsidRDefault="00C04CAD">
      <w:pPr>
        <w:spacing w:line="240" w:lineRule="auto"/>
      </w:pPr>
    </w:p>
    <w:p w14:paraId="1425932B" w14:textId="77777777" w:rsidR="00C04CAD" w:rsidRDefault="00060E34">
      <w:pPr>
        <w:keepNext/>
        <w:numPr>
          <w:ilvl w:val="0"/>
          <w:numId w:val="7"/>
        </w:numPr>
        <w:spacing w:line="240" w:lineRule="auto"/>
      </w:pPr>
      <w:r>
        <w:rPr>
          <w:b/>
        </w:rPr>
        <w:t>DATA PRIMEI AUTORIZĂRI SAU A REÎNNOIRII AUTORIZAȚIEI</w:t>
      </w:r>
    </w:p>
    <w:p w14:paraId="008B9F5C" w14:textId="77777777" w:rsidR="00C04CAD" w:rsidRDefault="00C04CAD">
      <w:pPr>
        <w:keepNext/>
        <w:spacing w:line="240" w:lineRule="auto"/>
        <w:rPr>
          <w:i/>
        </w:rPr>
      </w:pPr>
    </w:p>
    <w:p w14:paraId="076D2B85" w14:textId="77777777" w:rsidR="00C04CAD" w:rsidRDefault="00060E34">
      <w:pPr>
        <w:keepNext/>
        <w:spacing w:line="240" w:lineRule="auto"/>
      </w:pPr>
      <w:r>
        <w:t>Data primei autorizări: 22 martie 2017</w:t>
      </w:r>
    </w:p>
    <w:p w14:paraId="022B4F69" w14:textId="77777777" w:rsidR="00C04CAD" w:rsidRDefault="00060E34">
      <w:pPr>
        <w:keepNext/>
        <w:spacing w:line="240" w:lineRule="auto"/>
      </w:pPr>
      <w:r>
        <w:t xml:space="preserve">Data ultimei reînnoiri a autorizației: </w:t>
      </w:r>
      <w:r>
        <w:rPr>
          <w:color w:val="000000"/>
          <w:szCs w:val="22"/>
          <w:lang w:eastAsia="en-GB"/>
        </w:rPr>
        <w:t>9 decembrie 2021</w:t>
      </w:r>
    </w:p>
    <w:p w14:paraId="52920FB3" w14:textId="77777777" w:rsidR="00C04CAD" w:rsidRDefault="00C04CAD">
      <w:pPr>
        <w:keepNext/>
        <w:spacing w:line="240" w:lineRule="auto"/>
      </w:pPr>
    </w:p>
    <w:p w14:paraId="48713017" w14:textId="77777777" w:rsidR="00C04CAD" w:rsidRDefault="00C04CAD">
      <w:pPr>
        <w:spacing w:line="240" w:lineRule="auto"/>
      </w:pPr>
    </w:p>
    <w:p w14:paraId="394EC44A" w14:textId="77777777" w:rsidR="00C04CAD" w:rsidRDefault="00060E34">
      <w:pPr>
        <w:keepNext/>
        <w:numPr>
          <w:ilvl w:val="0"/>
          <w:numId w:val="7"/>
        </w:numPr>
        <w:spacing w:line="240" w:lineRule="auto"/>
      </w:pPr>
      <w:r>
        <w:rPr>
          <w:b/>
        </w:rPr>
        <w:t>DATA REVIZUIRII TEXTULUI</w:t>
      </w:r>
    </w:p>
    <w:p w14:paraId="1DCD0DDF" w14:textId="77777777" w:rsidR="00C04CAD" w:rsidRDefault="00C04CAD">
      <w:pPr>
        <w:keepNext/>
        <w:spacing w:line="240" w:lineRule="auto"/>
      </w:pPr>
    </w:p>
    <w:p w14:paraId="5E99E652" w14:textId="77777777" w:rsidR="00C04CAD" w:rsidRDefault="00C04CAD">
      <w:pPr>
        <w:keepNext/>
        <w:numPr>
          <w:ilvl w:val="12"/>
          <w:numId w:val="0"/>
        </w:numPr>
        <w:spacing w:line="240" w:lineRule="auto"/>
      </w:pPr>
    </w:p>
    <w:p w14:paraId="5125CE7A" w14:textId="77777777" w:rsidR="00C04CAD" w:rsidRDefault="00060E34">
      <w:pPr>
        <w:numPr>
          <w:ilvl w:val="12"/>
          <w:numId w:val="0"/>
        </w:numPr>
        <w:spacing w:line="240" w:lineRule="auto"/>
        <w:ind w:right="-2"/>
        <w:rPr>
          <w:rStyle w:val="Hyperlink"/>
          <w:color w:val="auto"/>
          <w:szCs w:val="22"/>
          <w:u w:val="none"/>
        </w:rPr>
      </w:pPr>
      <w:r>
        <w:t xml:space="preserve">Informații detaliate privind acest medicament sunt disponibile pe site-ul Agenției Europene pentru Medicamente </w:t>
      </w:r>
      <w:hyperlink r:id="rId20" w:history="1">
        <w:r>
          <w:rPr>
            <w:rStyle w:val="Hyperlink"/>
            <w:szCs w:val="22"/>
          </w:rPr>
          <w:t>http://www.ema.europa.eu</w:t>
        </w:r>
      </w:hyperlink>
      <w:r>
        <w:rPr>
          <w:rStyle w:val="Hyperlink"/>
          <w:color w:val="auto"/>
          <w:szCs w:val="22"/>
          <w:u w:val="none"/>
        </w:rPr>
        <w:t>.</w:t>
      </w:r>
    </w:p>
    <w:p w14:paraId="326EED5F" w14:textId="77777777" w:rsidR="00C04CAD" w:rsidRDefault="00C04CAD">
      <w:pPr>
        <w:numPr>
          <w:ilvl w:val="12"/>
          <w:numId w:val="0"/>
        </w:numPr>
        <w:spacing w:line="240" w:lineRule="auto"/>
        <w:ind w:right="-2"/>
        <w:rPr>
          <w:rStyle w:val="Hyperlink"/>
          <w:color w:val="auto"/>
          <w:szCs w:val="22"/>
          <w:u w:val="none"/>
        </w:rPr>
      </w:pPr>
    </w:p>
    <w:p w14:paraId="64952130" w14:textId="77777777" w:rsidR="00C04CAD" w:rsidRDefault="00C04CAD">
      <w:pPr>
        <w:numPr>
          <w:ilvl w:val="12"/>
          <w:numId w:val="0"/>
        </w:numPr>
        <w:spacing w:line="240" w:lineRule="auto"/>
        <w:ind w:right="-2"/>
        <w:rPr>
          <w:rStyle w:val="Hyperlink"/>
          <w:color w:val="auto"/>
          <w:szCs w:val="22"/>
          <w:u w:val="none"/>
        </w:rPr>
      </w:pPr>
    </w:p>
    <w:p w14:paraId="482719CF" w14:textId="77777777" w:rsidR="00C04CAD" w:rsidRDefault="00060E34">
      <w:pPr>
        <w:keepNext/>
        <w:suppressAutoHyphens/>
        <w:spacing w:line="240" w:lineRule="auto"/>
        <w:rPr>
          <w:szCs w:val="22"/>
        </w:rPr>
      </w:pPr>
      <w:r>
        <w:rPr>
          <w:szCs w:val="22"/>
        </w:rPr>
        <w:br w:type="page"/>
      </w:r>
    </w:p>
    <w:p w14:paraId="1F15FF34" w14:textId="77777777" w:rsidR="00C04CAD" w:rsidRDefault="00060E34">
      <w:pPr>
        <w:keepNext/>
        <w:numPr>
          <w:ilvl w:val="0"/>
          <w:numId w:val="14"/>
        </w:numPr>
        <w:suppressAutoHyphens/>
        <w:spacing w:line="240" w:lineRule="auto"/>
        <w:rPr>
          <w:szCs w:val="22"/>
        </w:rPr>
      </w:pPr>
      <w:r>
        <w:rPr>
          <w:b/>
          <w:szCs w:val="22"/>
        </w:rPr>
        <w:t>DENUMIREA COMERCIALĂ A MEDICAMENTULUI</w:t>
      </w:r>
    </w:p>
    <w:p w14:paraId="29EC4209" w14:textId="77777777" w:rsidR="00C04CAD" w:rsidRDefault="00C04CAD">
      <w:pPr>
        <w:keepNext/>
        <w:spacing w:line="240" w:lineRule="auto"/>
        <w:rPr>
          <w:iCs/>
          <w:szCs w:val="22"/>
        </w:rPr>
      </w:pPr>
    </w:p>
    <w:p w14:paraId="67AE2C6F"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20 mg soluţie injectabilă în seringă preumplută.</w:t>
      </w:r>
    </w:p>
    <w:p w14:paraId="1FEB7E03" w14:textId="77777777" w:rsidR="00C04CAD" w:rsidRDefault="00060E34">
      <w:pPr>
        <w:tabs>
          <w:tab w:val="clear" w:pos="567"/>
        </w:tabs>
        <w:kinsoku w:val="0"/>
        <w:overflowPunct w:val="0"/>
        <w:autoSpaceDE w:val="0"/>
        <w:autoSpaceDN w:val="0"/>
        <w:adjustRightInd w:val="0"/>
        <w:spacing w:line="240" w:lineRule="auto"/>
        <w:rPr>
          <w:szCs w:val="22"/>
        </w:rPr>
      </w:pPr>
      <w:r>
        <w:t>AMGEVITA</w:t>
      </w:r>
      <w:r>
        <w:rPr>
          <w:szCs w:val="22"/>
        </w:rPr>
        <w:t xml:space="preserve"> 40 mg soluţie injectabilă în seringă preumplută.</w:t>
      </w:r>
    </w:p>
    <w:p w14:paraId="284DEAD8"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80 mg soluţie injectabilă în seringă preumplută.</w:t>
      </w:r>
    </w:p>
    <w:p w14:paraId="50372B52"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40 mg soluţie injectabilă în pen preumplut.</w:t>
      </w:r>
    </w:p>
    <w:p w14:paraId="6F85D43C"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AMGEVITA 80 mg soluţie injectabilă în pen preumplut.</w:t>
      </w:r>
    </w:p>
    <w:p w14:paraId="7C2BEDC4" w14:textId="77777777" w:rsidR="00C04CAD" w:rsidRDefault="00C04CAD">
      <w:pPr>
        <w:spacing w:line="240" w:lineRule="auto"/>
        <w:rPr>
          <w:szCs w:val="22"/>
        </w:rPr>
      </w:pPr>
    </w:p>
    <w:p w14:paraId="3C4D6EAA" w14:textId="77777777" w:rsidR="00C04CAD" w:rsidRDefault="00C04CAD">
      <w:pPr>
        <w:spacing w:line="240" w:lineRule="auto"/>
        <w:rPr>
          <w:iCs/>
          <w:szCs w:val="22"/>
        </w:rPr>
      </w:pPr>
    </w:p>
    <w:p w14:paraId="019B5058" w14:textId="77777777" w:rsidR="00C04CAD" w:rsidRDefault="00060E34">
      <w:pPr>
        <w:keepNext/>
        <w:numPr>
          <w:ilvl w:val="0"/>
          <w:numId w:val="14"/>
        </w:numPr>
        <w:suppressAutoHyphens/>
        <w:spacing w:line="240" w:lineRule="auto"/>
        <w:ind w:left="567" w:hanging="567"/>
        <w:rPr>
          <w:szCs w:val="22"/>
        </w:rPr>
      </w:pPr>
      <w:r>
        <w:rPr>
          <w:b/>
          <w:szCs w:val="22"/>
        </w:rPr>
        <w:t>COMPOZIȚIA CALITATIVĂ ȘI CANTITATIVĂ</w:t>
      </w:r>
    </w:p>
    <w:p w14:paraId="3E65F89D" w14:textId="77777777" w:rsidR="00C04CAD" w:rsidRDefault="00C04CAD">
      <w:pPr>
        <w:keepNext/>
        <w:spacing w:line="240" w:lineRule="auto"/>
        <w:rPr>
          <w:szCs w:val="22"/>
        </w:rPr>
      </w:pPr>
    </w:p>
    <w:p w14:paraId="68FF8529" w14:textId="77777777" w:rsidR="00C04CAD" w:rsidRDefault="00060E34">
      <w:pPr>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20 mg soluţie injectabilă în seringă preumplută</w:t>
      </w:r>
    </w:p>
    <w:p w14:paraId="2DA4714E" w14:textId="77777777" w:rsidR="00C04CAD" w:rsidRDefault="00C04CAD">
      <w:pPr>
        <w:tabs>
          <w:tab w:val="clear" w:pos="567"/>
        </w:tabs>
        <w:kinsoku w:val="0"/>
        <w:overflowPunct w:val="0"/>
        <w:autoSpaceDE w:val="0"/>
        <w:autoSpaceDN w:val="0"/>
        <w:adjustRightInd w:val="0"/>
        <w:spacing w:line="240" w:lineRule="auto"/>
        <w:rPr>
          <w:rFonts w:eastAsia="MS Mincho"/>
          <w:szCs w:val="22"/>
          <w:u w:val="single"/>
          <w:lang w:eastAsia="en-US" w:bidi="ar-SA"/>
        </w:rPr>
      </w:pPr>
    </w:p>
    <w:p w14:paraId="189B7709" w14:textId="77777777" w:rsidR="00C04CAD" w:rsidRDefault="00060E34">
      <w:pPr>
        <w:spacing w:line="240" w:lineRule="auto"/>
        <w:rPr>
          <w:szCs w:val="22"/>
        </w:rPr>
      </w:pPr>
      <w:r>
        <w:rPr>
          <w:szCs w:val="22"/>
        </w:rPr>
        <w:t xml:space="preserve">Fiecare seringă preumplută conţine adalimumab </w:t>
      </w:r>
      <w:r>
        <w:rPr>
          <w:rFonts w:eastAsia="MS Mincho"/>
          <w:szCs w:val="22"/>
          <w:lang w:eastAsia="en-US" w:bidi="ar-SA"/>
        </w:rPr>
        <w:t>20 mg în 0,2 ml soluţie (</w:t>
      </w:r>
      <w:r>
        <w:rPr>
          <w:rFonts w:eastAsia="MS Mincho"/>
          <w:szCs w:val="22"/>
          <w:lang w:eastAsia="en-GB" w:bidi="ar-SA"/>
        </w:rPr>
        <w:t>100 mg/ml)</w:t>
      </w:r>
      <w:r>
        <w:rPr>
          <w:rFonts w:eastAsia="MS Mincho"/>
          <w:szCs w:val="22"/>
          <w:lang w:eastAsia="en-US" w:bidi="ar-SA"/>
        </w:rPr>
        <w:t>.</w:t>
      </w:r>
    </w:p>
    <w:p w14:paraId="1F324281" w14:textId="77777777" w:rsidR="00C04CAD" w:rsidRDefault="00C04CAD">
      <w:pPr>
        <w:spacing w:line="240" w:lineRule="auto"/>
        <w:rPr>
          <w:rFonts w:eastAsia="MS Mincho"/>
          <w:szCs w:val="22"/>
          <w:lang w:eastAsia="en-US" w:bidi="ar-SA"/>
        </w:rPr>
      </w:pPr>
    </w:p>
    <w:p w14:paraId="662E051C" w14:textId="77777777" w:rsidR="00C04CAD" w:rsidRDefault="00060E34">
      <w:pPr>
        <w:kinsoku w:val="0"/>
        <w:overflowPunct w:val="0"/>
        <w:spacing w:line="240" w:lineRule="auto"/>
        <w:rPr>
          <w:szCs w:val="22"/>
          <w:u w:val="single"/>
        </w:rPr>
      </w:pPr>
      <w:r>
        <w:rPr>
          <w:szCs w:val="22"/>
          <w:u w:val="single"/>
        </w:rPr>
        <w:t>AMGEVITA 40 mg soluţie injectabilă în seringă preumplută</w:t>
      </w:r>
    </w:p>
    <w:p w14:paraId="0E86F07F" w14:textId="77777777" w:rsidR="00C04CAD" w:rsidRDefault="00C04CAD">
      <w:pPr>
        <w:kinsoku w:val="0"/>
        <w:overflowPunct w:val="0"/>
        <w:spacing w:line="240" w:lineRule="auto"/>
        <w:rPr>
          <w:szCs w:val="22"/>
          <w:u w:val="single"/>
        </w:rPr>
      </w:pPr>
    </w:p>
    <w:p w14:paraId="69C4EC22" w14:textId="77777777" w:rsidR="00C04CAD" w:rsidRDefault="00060E34">
      <w:pPr>
        <w:kinsoku w:val="0"/>
        <w:overflowPunct w:val="0"/>
        <w:spacing w:line="240" w:lineRule="auto"/>
        <w:rPr>
          <w:szCs w:val="22"/>
        </w:rPr>
      </w:pPr>
      <w:r>
        <w:rPr>
          <w:szCs w:val="22"/>
        </w:rPr>
        <w:t>Fiecare seringă preumplută conţine adalimumab 40 mg în 0,4 ml soluţie (</w:t>
      </w:r>
      <w:r>
        <w:rPr>
          <w:szCs w:val="22"/>
          <w:lang w:eastAsia="en-GB"/>
        </w:rPr>
        <w:t>100 mg/ml)</w:t>
      </w:r>
      <w:r>
        <w:rPr>
          <w:szCs w:val="22"/>
        </w:rPr>
        <w:t>.</w:t>
      </w:r>
    </w:p>
    <w:p w14:paraId="42A3D6CD" w14:textId="77777777" w:rsidR="00C04CAD" w:rsidRDefault="00C04CAD">
      <w:pPr>
        <w:kinsoku w:val="0"/>
        <w:overflowPunct w:val="0"/>
        <w:spacing w:line="240" w:lineRule="auto"/>
        <w:rPr>
          <w:szCs w:val="22"/>
        </w:rPr>
      </w:pPr>
    </w:p>
    <w:p w14:paraId="22745961" w14:textId="77777777" w:rsidR="00C04CAD" w:rsidRDefault="00060E34">
      <w:pPr>
        <w:kinsoku w:val="0"/>
        <w:overflowPunct w:val="0"/>
        <w:spacing w:line="240" w:lineRule="auto"/>
        <w:rPr>
          <w:szCs w:val="22"/>
          <w:u w:val="single"/>
        </w:rPr>
      </w:pPr>
      <w:r>
        <w:rPr>
          <w:szCs w:val="22"/>
          <w:u w:val="single"/>
        </w:rPr>
        <w:t>AMGEVITA 80 mg soluţie injectabilă în seringă preumplută</w:t>
      </w:r>
    </w:p>
    <w:p w14:paraId="6495AF16" w14:textId="77777777" w:rsidR="00C04CAD" w:rsidRDefault="00C04CAD">
      <w:pPr>
        <w:kinsoku w:val="0"/>
        <w:overflowPunct w:val="0"/>
        <w:spacing w:line="240" w:lineRule="auto"/>
        <w:rPr>
          <w:szCs w:val="22"/>
          <w:u w:val="single"/>
        </w:rPr>
      </w:pPr>
    </w:p>
    <w:p w14:paraId="5D6AB875" w14:textId="77777777" w:rsidR="00C04CAD" w:rsidRDefault="00060E34">
      <w:pPr>
        <w:kinsoku w:val="0"/>
        <w:overflowPunct w:val="0"/>
        <w:spacing w:line="240" w:lineRule="auto"/>
        <w:rPr>
          <w:szCs w:val="22"/>
        </w:rPr>
      </w:pPr>
      <w:r>
        <w:rPr>
          <w:szCs w:val="22"/>
        </w:rPr>
        <w:t>Fiecare seringă preumplută conţine adalimumab 80 mg în 0,8 ml soluţie (</w:t>
      </w:r>
      <w:r>
        <w:rPr>
          <w:szCs w:val="22"/>
          <w:lang w:eastAsia="en-GB"/>
        </w:rPr>
        <w:t>100 mg/ml)</w:t>
      </w:r>
      <w:r>
        <w:rPr>
          <w:szCs w:val="22"/>
        </w:rPr>
        <w:t>.</w:t>
      </w:r>
    </w:p>
    <w:p w14:paraId="623335B2" w14:textId="77777777" w:rsidR="00C04CAD" w:rsidRDefault="00C04CAD">
      <w:pPr>
        <w:kinsoku w:val="0"/>
        <w:overflowPunct w:val="0"/>
        <w:spacing w:line="240" w:lineRule="auto"/>
        <w:rPr>
          <w:szCs w:val="22"/>
        </w:rPr>
      </w:pPr>
    </w:p>
    <w:p w14:paraId="619FDBA8" w14:textId="77777777" w:rsidR="00C04CAD" w:rsidRDefault="00060E34">
      <w:pPr>
        <w:pStyle w:val="BodyText"/>
        <w:kinsoku w:val="0"/>
        <w:overflowPunct w:val="0"/>
        <w:rPr>
          <w:i w:val="0"/>
          <w:color w:val="auto"/>
          <w:szCs w:val="22"/>
          <w:u w:val="single"/>
        </w:rPr>
      </w:pPr>
      <w:r>
        <w:rPr>
          <w:i w:val="0"/>
          <w:color w:val="auto"/>
          <w:szCs w:val="22"/>
          <w:u w:val="single"/>
        </w:rPr>
        <w:t>AMGEVITA 40 mg soluţie injectabilă în pen preumplut</w:t>
      </w:r>
    </w:p>
    <w:p w14:paraId="4CBAAEBF" w14:textId="77777777" w:rsidR="00C04CAD" w:rsidRDefault="00C04CAD">
      <w:pPr>
        <w:pStyle w:val="BodyText"/>
        <w:kinsoku w:val="0"/>
        <w:overflowPunct w:val="0"/>
        <w:rPr>
          <w:i w:val="0"/>
          <w:color w:val="auto"/>
          <w:szCs w:val="22"/>
          <w:u w:val="single"/>
        </w:rPr>
      </w:pPr>
    </w:p>
    <w:p w14:paraId="30CEB2C0" w14:textId="77777777" w:rsidR="00C04CAD" w:rsidRDefault="00060E34">
      <w:pPr>
        <w:kinsoku w:val="0"/>
        <w:overflowPunct w:val="0"/>
        <w:spacing w:line="240" w:lineRule="auto"/>
        <w:rPr>
          <w:szCs w:val="22"/>
        </w:rPr>
      </w:pPr>
      <w:r>
        <w:rPr>
          <w:szCs w:val="22"/>
        </w:rPr>
        <w:t>Fiecare pen preumplut conţine adalimumab 40 mg în 0,4 ml soluţie (</w:t>
      </w:r>
      <w:r>
        <w:rPr>
          <w:szCs w:val="22"/>
          <w:lang w:eastAsia="en-GB"/>
        </w:rPr>
        <w:t>100 mg/ml)</w:t>
      </w:r>
      <w:r>
        <w:rPr>
          <w:szCs w:val="22"/>
        </w:rPr>
        <w:t>.</w:t>
      </w:r>
    </w:p>
    <w:p w14:paraId="04AC2FAB" w14:textId="77777777" w:rsidR="00C04CAD" w:rsidRDefault="00C04CAD">
      <w:pPr>
        <w:kinsoku w:val="0"/>
        <w:overflowPunct w:val="0"/>
        <w:spacing w:line="240" w:lineRule="auto"/>
        <w:rPr>
          <w:szCs w:val="22"/>
        </w:rPr>
      </w:pPr>
    </w:p>
    <w:p w14:paraId="5CAD6446" w14:textId="77777777" w:rsidR="00C04CAD" w:rsidRDefault="00060E34">
      <w:pPr>
        <w:pStyle w:val="BodyText"/>
        <w:kinsoku w:val="0"/>
        <w:overflowPunct w:val="0"/>
        <w:rPr>
          <w:i w:val="0"/>
          <w:color w:val="auto"/>
          <w:szCs w:val="22"/>
          <w:u w:val="single"/>
        </w:rPr>
      </w:pPr>
      <w:r>
        <w:rPr>
          <w:i w:val="0"/>
          <w:color w:val="auto"/>
          <w:szCs w:val="22"/>
          <w:u w:val="single"/>
        </w:rPr>
        <w:t>AMGEVITA 80 mg soluţie injectabilă în pen preumplut</w:t>
      </w:r>
    </w:p>
    <w:p w14:paraId="02ECB144" w14:textId="77777777" w:rsidR="00C04CAD" w:rsidRDefault="00C04CAD">
      <w:pPr>
        <w:pStyle w:val="BodyText"/>
        <w:kinsoku w:val="0"/>
        <w:overflowPunct w:val="0"/>
        <w:rPr>
          <w:i w:val="0"/>
          <w:color w:val="auto"/>
          <w:szCs w:val="22"/>
          <w:u w:val="single"/>
        </w:rPr>
      </w:pPr>
    </w:p>
    <w:p w14:paraId="4D593D64" w14:textId="77777777" w:rsidR="00C04CAD" w:rsidRDefault="00060E34">
      <w:pPr>
        <w:kinsoku w:val="0"/>
        <w:overflowPunct w:val="0"/>
        <w:spacing w:line="240" w:lineRule="auto"/>
        <w:rPr>
          <w:szCs w:val="22"/>
        </w:rPr>
      </w:pPr>
      <w:r>
        <w:rPr>
          <w:szCs w:val="22"/>
        </w:rPr>
        <w:t>Fiecare pen preumplut conţine adalimumab 80 mg în 0,8 ml soluţie (</w:t>
      </w:r>
      <w:r>
        <w:rPr>
          <w:szCs w:val="22"/>
          <w:lang w:eastAsia="en-GB"/>
        </w:rPr>
        <w:t>100 mg/ml)</w:t>
      </w:r>
      <w:r>
        <w:rPr>
          <w:szCs w:val="22"/>
        </w:rPr>
        <w:t>.</w:t>
      </w:r>
    </w:p>
    <w:p w14:paraId="73950E4D" w14:textId="77777777" w:rsidR="00C04CAD" w:rsidRDefault="00C04CAD">
      <w:pPr>
        <w:kinsoku w:val="0"/>
        <w:overflowPunct w:val="0"/>
        <w:spacing w:line="240" w:lineRule="auto"/>
        <w:rPr>
          <w:szCs w:val="22"/>
        </w:rPr>
      </w:pPr>
    </w:p>
    <w:p w14:paraId="3852A32C" w14:textId="77777777" w:rsidR="00C04CAD" w:rsidRDefault="00060E34">
      <w:pPr>
        <w:pStyle w:val="BodyText"/>
        <w:kinsoku w:val="0"/>
        <w:overflowPunct w:val="0"/>
        <w:rPr>
          <w:i w:val="0"/>
          <w:color w:val="auto"/>
          <w:szCs w:val="22"/>
        </w:rPr>
      </w:pPr>
      <w:r>
        <w:rPr>
          <w:i w:val="0"/>
          <w:color w:val="auto"/>
          <w:szCs w:val="22"/>
        </w:rPr>
        <w:t>Adalimumab este un anticorp monoclonal uman recombinant produs pe celulele ovariene de hamster chinezesc.</w:t>
      </w:r>
    </w:p>
    <w:p w14:paraId="554AAAEC" w14:textId="77777777" w:rsidR="00C04CAD" w:rsidRDefault="00C04CAD">
      <w:pPr>
        <w:kinsoku w:val="0"/>
        <w:overflowPunct w:val="0"/>
        <w:spacing w:line="240" w:lineRule="auto"/>
        <w:rPr>
          <w:i/>
          <w:szCs w:val="22"/>
        </w:rPr>
      </w:pPr>
    </w:p>
    <w:p w14:paraId="2C8BF4B4" w14:textId="77777777" w:rsidR="00C04CAD" w:rsidRDefault="00060E34">
      <w:pPr>
        <w:pStyle w:val="BodyText"/>
        <w:kinsoku w:val="0"/>
        <w:overflowPunct w:val="0"/>
        <w:rPr>
          <w:color w:val="auto"/>
          <w:szCs w:val="22"/>
        </w:rPr>
      </w:pPr>
      <w:r>
        <w:rPr>
          <w:i w:val="0"/>
          <w:color w:val="auto"/>
          <w:szCs w:val="22"/>
        </w:rPr>
        <w:t>Pentru lista tuturor excipienţilor, vezi pct. 6.1</w:t>
      </w:r>
      <w:r>
        <w:rPr>
          <w:color w:val="auto"/>
          <w:szCs w:val="22"/>
        </w:rPr>
        <w:t>.</w:t>
      </w:r>
    </w:p>
    <w:p w14:paraId="1037767C" w14:textId="77777777" w:rsidR="00C04CAD" w:rsidRDefault="00C04CAD">
      <w:pPr>
        <w:spacing w:line="240" w:lineRule="auto"/>
        <w:rPr>
          <w:szCs w:val="22"/>
        </w:rPr>
      </w:pPr>
    </w:p>
    <w:p w14:paraId="3AC92566" w14:textId="77777777" w:rsidR="00C04CAD" w:rsidRDefault="00C04CAD">
      <w:pPr>
        <w:spacing w:line="240" w:lineRule="auto"/>
        <w:rPr>
          <w:szCs w:val="22"/>
        </w:rPr>
      </w:pPr>
    </w:p>
    <w:p w14:paraId="51AC964A" w14:textId="77777777" w:rsidR="00C04CAD" w:rsidRDefault="00060E34">
      <w:pPr>
        <w:keepNext/>
        <w:numPr>
          <w:ilvl w:val="0"/>
          <w:numId w:val="14"/>
        </w:numPr>
        <w:suppressAutoHyphens/>
        <w:spacing w:line="240" w:lineRule="auto"/>
        <w:ind w:left="567" w:hanging="567"/>
        <w:rPr>
          <w:b/>
          <w:bCs/>
          <w:caps/>
          <w:szCs w:val="22"/>
        </w:rPr>
      </w:pPr>
      <w:r>
        <w:rPr>
          <w:b/>
          <w:szCs w:val="22"/>
        </w:rPr>
        <w:t>FORMA FARMACEUTICĂ</w:t>
      </w:r>
    </w:p>
    <w:p w14:paraId="650E85B9" w14:textId="77777777" w:rsidR="00C04CAD" w:rsidRDefault="00C04CAD">
      <w:pPr>
        <w:keepNext/>
        <w:spacing w:line="240" w:lineRule="auto"/>
        <w:rPr>
          <w:szCs w:val="22"/>
        </w:rPr>
      </w:pPr>
    </w:p>
    <w:p w14:paraId="792CF92C" w14:textId="77777777" w:rsidR="00C04CAD" w:rsidRDefault="00060E34">
      <w:pPr>
        <w:pStyle w:val="BodyText"/>
        <w:kinsoku w:val="0"/>
        <w:overflowPunct w:val="0"/>
        <w:rPr>
          <w:i w:val="0"/>
          <w:color w:val="auto"/>
          <w:szCs w:val="22"/>
        </w:rPr>
      </w:pPr>
      <w:r>
        <w:rPr>
          <w:rFonts w:eastAsia="MS Mincho"/>
          <w:i w:val="0"/>
          <w:color w:val="auto"/>
          <w:szCs w:val="22"/>
          <w:lang w:eastAsia="en-US" w:bidi="ar-SA"/>
        </w:rPr>
        <w:t>Soluţie injectabilă (injec</w:t>
      </w:r>
      <w:r>
        <w:rPr>
          <w:i w:val="0"/>
          <w:color w:val="auto"/>
          <w:szCs w:val="22"/>
        </w:rPr>
        <w:t>ție).</w:t>
      </w:r>
    </w:p>
    <w:p w14:paraId="4D600D90" w14:textId="77777777" w:rsidR="00C04CAD" w:rsidRDefault="00C04CAD">
      <w:pPr>
        <w:pStyle w:val="BodyText"/>
        <w:kinsoku w:val="0"/>
        <w:overflowPunct w:val="0"/>
        <w:rPr>
          <w:i w:val="0"/>
          <w:color w:val="auto"/>
          <w:szCs w:val="22"/>
        </w:rPr>
      </w:pPr>
    </w:p>
    <w:p w14:paraId="78F51B76" w14:textId="77777777" w:rsidR="00C04CAD" w:rsidRDefault="00060E34">
      <w:pPr>
        <w:pStyle w:val="BodyText"/>
        <w:kinsoku w:val="0"/>
        <w:overflowPunct w:val="0"/>
        <w:rPr>
          <w:i w:val="0"/>
          <w:color w:val="auto"/>
          <w:szCs w:val="22"/>
        </w:rPr>
      </w:pPr>
      <w:r>
        <w:rPr>
          <w:i w:val="0"/>
          <w:color w:val="auto"/>
          <w:szCs w:val="22"/>
        </w:rPr>
        <w:t>Soluţie injectabilă (injecţie) în pen preumplut (SureClick)</w:t>
      </w:r>
    </w:p>
    <w:p w14:paraId="6E2B6903" w14:textId="77777777" w:rsidR="00C04CAD" w:rsidRDefault="00C04CAD">
      <w:pPr>
        <w:pStyle w:val="BodyText"/>
        <w:kinsoku w:val="0"/>
        <w:overflowPunct w:val="0"/>
        <w:rPr>
          <w:i w:val="0"/>
          <w:color w:val="auto"/>
          <w:szCs w:val="22"/>
        </w:rPr>
      </w:pPr>
    </w:p>
    <w:p w14:paraId="12688EB4" w14:textId="77777777" w:rsidR="00C04CAD" w:rsidRDefault="00060E34">
      <w:pPr>
        <w:spacing w:line="240" w:lineRule="auto"/>
        <w:rPr>
          <w:szCs w:val="22"/>
        </w:rPr>
      </w:pPr>
      <w:r>
        <w:rPr>
          <w:szCs w:val="22"/>
        </w:rPr>
        <w:t>Soluţie limpede şi incoloră până la uşor gălbuie.</w:t>
      </w:r>
    </w:p>
    <w:p w14:paraId="5037578C" w14:textId="77777777" w:rsidR="00C04CAD" w:rsidRDefault="00C04CAD">
      <w:pPr>
        <w:spacing w:line="240" w:lineRule="auto"/>
        <w:rPr>
          <w:szCs w:val="22"/>
        </w:rPr>
      </w:pPr>
    </w:p>
    <w:p w14:paraId="76266CA0" w14:textId="77777777" w:rsidR="00C04CAD" w:rsidRDefault="00C04CAD">
      <w:pPr>
        <w:spacing w:line="240" w:lineRule="auto"/>
        <w:rPr>
          <w:szCs w:val="22"/>
        </w:rPr>
      </w:pPr>
    </w:p>
    <w:p w14:paraId="3B221D01" w14:textId="77777777" w:rsidR="00C04CAD" w:rsidRDefault="00060E34">
      <w:pPr>
        <w:keepNext/>
        <w:numPr>
          <w:ilvl w:val="0"/>
          <w:numId w:val="14"/>
        </w:numPr>
        <w:suppressAutoHyphens/>
        <w:spacing w:line="240" w:lineRule="auto"/>
        <w:ind w:left="567" w:hanging="567"/>
        <w:rPr>
          <w:b/>
          <w:bCs/>
          <w:caps/>
          <w:szCs w:val="22"/>
        </w:rPr>
      </w:pPr>
      <w:r>
        <w:rPr>
          <w:b/>
          <w:szCs w:val="22"/>
        </w:rPr>
        <w:t>DATE CLINICE</w:t>
      </w:r>
    </w:p>
    <w:p w14:paraId="26BF71FA" w14:textId="77777777" w:rsidR="00C04CAD" w:rsidRDefault="00C04CAD">
      <w:pPr>
        <w:keepNext/>
        <w:spacing w:line="240" w:lineRule="auto"/>
        <w:rPr>
          <w:szCs w:val="22"/>
        </w:rPr>
      </w:pPr>
    </w:p>
    <w:p w14:paraId="198449A8" w14:textId="77777777" w:rsidR="00C04CAD" w:rsidRDefault="00060E34">
      <w:pPr>
        <w:keepNext/>
        <w:numPr>
          <w:ilvl w:val="1"/>
          <w:numId w:val="14"/>
        </w:numPr>
        <w:spacing w:line="240" w:lineRule="auto"/>
        <w:ind w:left="567" w:hanging="567"/>
        <w:outlineLvl w:val="0"/>
        <w:rPr>
          <w:szCs w:val="22"/>
        </w:rPr>
      </w:pPr>
      <w:r>
        <w:rPr>
          <w:b/>
          <w:szCs w:val="22"/>
        </w:rPr>
        <w:t>Indicații terapeutice</w:t>
      </w:r>
    </w:p>
    <w:p w14:paraId="030A709A" w14:textId="77777777" w:rsidR="00C04CAD" w:rsidRDefault="00C04CAD">
      <w:pPr>
        <w:keepNext/>
        <w:spacing w:line="240" w:lineRule="auto"/>
        <w:rPr>
          <w:szCs w:val="22"/>
        </w:rPr>
      </w:pPr>
    </w:p>
    <w:p w14:paraId="428E6AC2" w14:textId="77777777" w:rsidR="00C04CAD" w:rsidRDefault="00060E34">
      <w:pPr>
        <w:pStyle w:val="BodyText"/>
        <w:kinsoku w:val="0"/>
        <w:overflowPunct w:val="0"/>
        <w:rPr>
          <w:i w:val="0"/>
          <w:color w:val="auto"/>
          <w:szCs w:val="22"/>
          <w:u w:val="single"/>
        </w:rPr>
      </w:pPr>
      <w:r>
        <w:rPr>
          <w:i w:val="0"/>
          <w:color w:val="auto"/>
          <w:szCs w:val="22"/>
          <w:u w:val="single"/>
        </w:rPr>
        <w:t>Poliartrită reumatoidă</w:t>
      </w:r>
    </w:p>
    <w:p w14:paraId="6CA271C3" w14:textId="77777777" w:rsidR="00C04CAD" w:rsidRDefault="00C04CAD">
      <w:pPr>
        <w:kinsoku w:val="0"/>
        <w:overflowPunct w:val="0"/>
        <w:spacing w:line="240" w:lineRule="auto"/>
        <w:rPr>
          <w:szCs w:val="22"/>
        </w:rPr>
      </w:pPr>
    </w:p>
    <w:p w14:paraId="2EF33C27" w14:textId="77777777" w:rsidR="00C04CAD" w:rsidRDefault="00060E34">
      <w:pPr>
        <w:pStyle w:val="BodyText"/>
        <w:kinsoku w:val="0"/>
        <w:overflowPunct w:val="0"/>
        <w:rPr>
          <w:i w:val="0"/>
          <w:color w:val="auto"/>
          <w:szCs w:val="22"/>
        </w:rPr>
      </w:pPr>
      <w:r>
        <w:rPr>
          <w:i w:val="0"/>
          <w:color w:val="auto"/>
          <w:szCs w:val="22"/>
        </w:rPr>
        <w:t>AMGEVITA în asociere cu metotrexat este indicat în:</w:t>
      </w:r>
    </w:p>
    <w:p w14:paraId="445776D0" w14:textId="77777777" w:rsidR="00C04CAD" w:rsidRDefault="00060E34">
      <w:pPr>
        <w:pStyle w:val="BodyText"/>
        <w:numPr>
          <w:ilvl w:val="0"/>
          <w:numId w:val="8"/>
        </w:numPr>
        <w:tabs>
          <w:tab w:val="left" w:pos="567"/>
        </w:tabs>
        <w:kinsoku w:val="0"/>
        <w:overflowPunct w:val="0"/>
        <w:autoSpaceDE w:val="0"/>
        <w:autoSpaceDN w:val="0"/>
        <w:adjustRightInd w:val="0"/>
        <w:ind w:left="567"/>
        <w:rPr>
          <w:i w:val="0"/>
          <w:color w:val="auto"/>
          <w:szCs w:val="22"/>
        </w:rPr>
      </w:pPr>
      <w:r>
        <w:rPr>
          <w:i w:val="0"/>
          <w:color w:val="auto"/>
          <w:szCs w:val="22"/>
        </w:rPr>
        <w:t>tratamentul poliartritei reumatoide active, moderată până la severă, la pacienţii adulţi, atunci când răspunsul la medicamentele anti-reumatice modificatoare de boală (MARMB), inclusiv metotrexat, este inadecvat.</w:t>
      </w:r>
    </w:p>
    <w:p w14:paraId="6A75F0D0" w14:textId="77777777" w:rsidR="00C04CAD" w:rsidRDefault="00060E34">
      <w:pPr>
        <w:pStyle w:val="BodyText"/>
        <w:numPr>
          <w:ilvl w:val="0"/>
          <w:numId w:val="8"/>
        </w:numPr>
        <w:tabs>
          <w:tab w:val="left" w:pos="567"/>
        </w:tabs>
        <w:kinsoku w:val="0"/>
        <w:overflowPunct w:val="0"/>
        <w:autoSpaceDE w:val="0"/>
        <w:autoSpaceDN w:val="0"/>
        <w:adjustRightInd w:val="0"/>
        <w:ind w:left="567"/>
        <w:rPr>
          <w:i w:val="0"/>
          <w:color w:val="auto"/>
          <w:szCs w:val="22"/>
        </w:rPr>
      </w:pPr>
      <w:r>
        <w:rPr>
          <w:i w:val="0"/>
          <w:color w:val="auto"/>
          <w:szCs w:val="22"/>
        </w:rPr>
        <w:t>tratamentul poliartritei reumatoide active, severe şi progresive, la pacienţii adulţi netrataţi anterior cu metotrexat.</w:t>
      </w:r>
    </w:p>
    <w:p w14:paraId="49A440F1" w14:textId="77777777" w:rsidR="00C04CAD" w:rsidRDefault="00C04CAD">
      <w:pPr>
        <w:kinsoku w:val="0"/>
        <w:overflowPunct w:val="0"/>
        <w:spacing w:line="240" w:lineRule="auto"/>
        <w:rPr>
          <w:szCs w:val="22"/>
        </w:rPr>
      </w:pPr>
    </w:p>
    <w:p w14:paraId="3D5C2E2D" w14:textId="77777777" w:rsidR="00C04CAD" w:rsidRDefault="00060E34">
      <w:pPr>
        <w:pStyle w:val="BodyText"/>
        <w:kinsoku w:val="0"/>
        <w:overflowPunct w:val="0"/>
        <w:rPr>
          <w:i w:val="0"/>
          <w:color w:val="auto"/>
          <w:szCs w:val="22"/>
        </w:rPr>
      </w:pPr>
      <w:r>
        <w:rPr>
          <w:i w:val="0"/>
          <w:color w:val="auto"/>
          <w:szCs w:val="22"/>
        </w:rPr>
        <w:t xml:space="preserve">AMGEVITA poate fi administrat în monoterapie în caz de intoleranţă la metotrexat sau atunci când tratamentul continuu cu metotrexat este inadecvat. </w:t>
      </w:r>
    </w:p>
    <w:p w14:paraId="146438E9" w14:textId="77777777" w:rsidR="00C04CAD" w:rsidRDefault="00C04CAD">
      <w:pPr>
        <w:kinsoku w:val="0"/>
        <w:overflowPunct w:val="0"/>
        <w:spacing w:line="240" w:lineRule="auto"/>
        <w:rPr>
          <w:szCs w:val="22"/>
        </w:rPr>
      </w:pPr>
    </w:p>
    <w:p w14:paraId="63E7FDD6" w14:textId="77777777" w:rsidR="00C04CAD" w:rsidRDefault="00060E34">
      <w:pPr>
        <w:spacing w:line="240" w:lineRule="auto"/>
        <w:rPr>
          <w:color w:val="000000"/>
          <w:szCs w:val="22"/>
        </w:rPr>
      </w:pPr>
      <w:r>
        <w:rPr>
          <w:szCs w:val="22"/>
        </w:rPr>
        <w:t>S-a demonstrat că AMGEVITA reduce rata progresiei distrucţiei articulare evidenţiată radiologic şi ameliorează funcţionalitatea articulară, atunci când este administrat în asociere cu metotrexat.</w:t>
      </w:r>
    </w:p>
    <w:p w14:paraId="5601E79D" w14:textId="77777777" w:rsidR="00C04CAD" w:rsidRDefault="00C04CAD">
      <w:pPr>
        <w:spacing w:line="240" w:lineRule="auto"/>
        <w:rPr>
          <w:szCs w:val="22"/>
        </w:rPr>
      </w:pPr>
    </w:p>
    <w:p w14:paraId="221F48F4" w14:textId="77777777" w:rsidR="00C04CAD" w:rsidRDefault="00060E34">
      <w:pPr>
        <w:keepNext/>
        <w:kinsoku w:val="0"/>
        <w:overflowPunct w:val="0"/>
        <w:spacing w:line="240" w:lineRule="auto"/>
        <w:rPr>
          <w:u w:val="single"/>
        </w:rPr>
      </w:pPr>
      <w:r>
        <w:rPr>
          <w:u w:val="single"/>
        </w:rPr>
        <w:t>Artrită juvenilă idiopatică</w:t>
      </w:r>
    </w:p>
    <w:p w14:paraId="253E8718" w14:textId="77777777" w:rsidR="00C04CAD" w:rsidRDefault="00C04CAD">
      <w:pPr>
        <w:keepNext/>
        <w:kinsoku w:val="0"/>
        <w:overflowPunct w:val="0"/>
        <w:spacing w:line="240" w:lineRule="auto"/>
        <w:rPr>
          <w:u w:val="single"/>
        </w:rPr>
      </w:pPr>
    </w:p>
    <w:p w14:paraId="6AD15E03" w14:textId="77777777" w:rsidR="00C04CAD" w:rsidRDefault="00060E34">
      <w:pPr>
        <w:keepNext/>
        <w:kinsoku w:val="0"/>
        <w:overflowPunct w:val="0"/>
        <w:spacing w:line="240" w:lineRule="auto"/>
        <w:rPr>
          <w:i/>
        </w:rPr>
      </w:pPr>
      <w:r>
        <w:rPr>
          <w:i/>
        </w:rPr>
        <w:t>Artrită juvenilă idiopatică, forma poliarticulară</w:t>
      </w:r>
    </w:p>
    <w:p w14:paraId="7D107F10" w14:textId="77777777" w:rsidR="00C04CAD" w:rsidRDefault="00C04CAD">
      <w:pPr>
        <w:keepNext/>
        <w:kinsoku w:val="0"/>
        <w:overflowPunct w:val="0"/>
        <w:spacing w:line="240" w:lineRule="auto"/>
      </w:pPr>
    </w:p>
    <w:p w14:paraId="7CE79141" w14:textId="77777777" w:rsidR="00C04CAD" w:rsidRDefault="00060E34">
      <w:pPr>
        <w:spacing w:line="240" w:lineRule="auto"/>
      </w:pPr>
      <w:r>
        <w:t>AMGEVITA în asociere cu metotrexat este indicat în tratamentul artritei juvenile idiopatice acute forma poliarticulară, la pacienţii cu vârsta de 2 ani şi peste, atunci când răspunsul la unul sau mai multe MARMB a fost inadecvat. AMGEVITA poate fi administrat în monoterapie în caz de intoleranţă la metotrexat sau atunci când tratamentul continuu cu metotrexat este inadecvat (vezi pct. 5.1 pentru eficacitatea în monoterapie). Nu a fost studiată utilizarea adalimumab la pacienţii cu vârsta sub 2 ani.</w:t>
      </w:r>
    </w:p>
    <w:p w14:paraId="5ABC61F9" w14:textId="77777777" w:rsidR="00C04CAD" w:rsidRDefault="00C04CAD">
      <w:pPr>
        <w:spacing w:line="240" w:lineRule="auto"/>
      </w:pPr>
    </w:p>
    <w:p w14:paraId="080774F0" w14:textId="77777777" w:rsidR="00C04CAD" w:rsidRDefault="00060E34">
      <w:pPr>
        <w:kinsoku w:val="0"/>
        <w:overflowPunct w:val="0"/>
        <w:spacing w:line="240" w:lineRule="auto"/>
      </w:pPr>
      <w:r>
        <w:rPr>
          <w:i/>
        </w:rPr>
        <w:t>Artrită asociată entezitei</w:t>
      </w:r>
    </w:p>
    <w:p w14:paraId="211DC8BF" w14:textId="77777777" w:rsidR="00C04CAD" w:rsidRDefault="00C04CAD">
      <w:pPr>
        <w:kinsoku w:val="0"/>
        <w:overflowPunct w:val="0"/>
        <w:spacing w:line="240" w:lineRule="auto"/>
      </w:pPr>
    </w:p>
    <w:p w14:paraId="0EAB0BA6" w14:textId="77777777" w:rsidR="00C04CAD" w:rsidRDefault="00060E34">
      <w:pPr>
        <w:pStyle w:val="BodyText"/>
        <w:kinsoku w:val="0"/>
        <w:overflowPunct w:val="0"/>
        <w:rPr>
          <w:i w:val="0"/>
          <w:color w:val="auto"/>
        </w:rPr>
      </w:pPr>
      <w:r>
        <w:rPr>
          <w:i w:val="0"/>
          <w:color w:val="auto"/>
        </w:rPr>
        <w:t>AMGEVITA este indicat în tratamentul artritei asociată entezitei la pacienţi cu vârsta de 6 ani şi peste, care nu au avut un răspuns adecvat la tratamentul convenţional sau care au intoleranţă la acest tratament (vezi pct. 5.1).</w:t>
      </w:r>
    </w:p>
    <w:p w14:paraId="52EAA4FD" w14:textId="77777777" w:rsidR="00C04CAD" w:rsidRDefault="00C04CAD">
      <w:pPr>
        <w:spacing w:line="240" w:lineRule="auto"/>
      </w:pPr>
    </w:p>
    <w:p w14:paraId="0EC854E8" w14:textId="77777777" w:rsidR="00C04CAD" w:rsidRDefault="00060E34">
      <w:pPr>
        <w:pStyle w:val="BodyText"/>
        <w:kinsoku w:val="0"/>
        <w:overflowPunct w:val="0"/>
        <w:rPr>
          <w:i w:val="0"/>
          <w:color w:val="auto"/>
        </w:rPr>
      </w:pPr>
      <w:r>
        <w:rPr>
          <w:i w:val="0"/>
          <w:color w:val="auto"/>
          <w:u w:val="single"/>
        </w:rPr>
        <w:t>Spondiloartrită axială</w:t>
      </w:r>
    </w:p>
    <w:p w14:paraId="366DF756" w14:textId="77777777" w:rsidR="00C04CAD" w:rsidRDefault="00C04CAD">
      <w:pPr>
        <w:kinsoku w:val="0"/>
        <w:overflowPunct w:val="0"/>
        <w:spacing w:line="240" w:lineRule="auto"/>
      </w:pPr>
    </w:p>
    <w:p w14:paraId="33B67AC8" w14:textId="77777777" w:rsidR="00C04CAD" w:rsidRDefault="00060E34">
      <w:pPr>
        <w:kinsoku w:val="0"/>
        <w:overflowPunct w:val="0"/>
        <w:spacing w:line="240" w:lineRule="auto"/>
      </w:pPr>
      <w:r>
        <w:rPr>
          <w:i/>
        </w:rPr>
        <w:t>Spondilită anchilozantă (SA</w:t>
      </w:r>
      <w:r>
        <w:t>)</w:t>
      </w:r>
    </w:p>
    <w:p w14:paraId="7A910AA4" w14:textId="77777777" w:rsidR="00C04CAD" w:rsidRDefault="00C04CAD">
      <w:pPr>
        <w:kinsoku w:val="0"/>
        <w:overflowPunct w:val="0"/>
        <w:spacing w:line="240" w:lineRule="auto"/>
      </w:pPr>
    </w:p>
    <w:p w14:paraId="29523A6D" w14:textId="77777777" w:rsidR="00C04CAD" w:rsidRDefault="00060E34">
      <w:pPr>
        <w:pStyle w:val="BodyText"/>
        <w:kinsoku w:val="0"/>
        <w:overflowPunct w:val="0"/>
        <w:rPr>
          <w:i w:val="0"/>
          <w:color w:val="auto"/>
        </w:rPr>
      </w:pPr>
      <w:r>
        <w:rPr>
          <w:i w:val="0"/>
          <w:color w:val="auto"/>
        </w:rPr>
        <w:t>AMGEVITA este indicat în tratamentul spondilitei anchilozante active severe, la pacienţi adulţi, atunci când răspunsul la tratamentul convenţional este inadecvat.</w:t>
      </w:r>
    </w:p>
    <w:p w14:paraId="52984362" w14:textId="77777777" w:rsidR="00C04CAD" w:rsidRDefault="00C04CAD">
      <w:pPr>
        <w:kinsoku w:val="0"/>
        <w:overflowPunct w:val="0"/>
        <w:spacing w:line="240" w:lineRule="auto"/>
      </w:pPr>
    </w:p>
    <w:p w14:paraId="365DF3FF" w14:textId="77777777" w:rsidR="00C04CAD" w:rsidRDefault="00060E34">
      <w:pPr>
        <w:kinsoku w:val="0"/>
        <w:overflowPunct w:val="0"/>
        <w:spacing w:line="240" w:lineRule="auto"/>
      </w:pPr>
      <w:r>
        <w:rPr>
          <w:i/>
        </w:rPr>
        <w:t>Spondiloartrită axială fără dovadă radiologică a spondilitei anchilozante</w:t>
      </w:r>
    </w:p>
    <w:p w14:paraId="4D665EF8" w14:textId="77777777" w:rsidR="00C04CAD" w:rsidRDefault="00C04CAD">
      <w:pPr>
        <w:kinsoku w:val="0"/>
        <w:overflowPunct w:val="0"/>
        <w:spacing w:line="240" w:lineRule="auto"/>
      </w:pPr>
    </w:p>
    <w:p w14:paraId="6B56280F" w14:textId="77777777" w:rsidR="00C04CAD" w:rsidRDefault="00060E34">
      <w:pPr>
        <w:pStyle w:val="BodyText"/>
        <w:kinsoku w:val="0"/>
        <w:overflowPunct w:val="0"/>
        <w:rPr>
          <w:i w:val="0"/>
          <w:color w:val="auto"/>
        </w:rPr>
      </w:pPr>
      <w:r>
        <w:rPr>
          <w:i w:val="0"/>
          <w:color w:val="auto"/>
        </w:rPr>
        <w:t>AMGEVITA este indicat în tratamentul adulţilor cu spondiloartrită axială severă fără dovadă radiologică a spondilitei anchilozante dar cu semne obiective de inflamaţie evidențiate prin valori crescute ale PCR şi/sau prin RMN, care au avut un răspuns inadecvat sau intoleranţă la antiinflamatoarele nesteroidiene.</w:t>
      </w:r>
    </w:p>
    <w:p w14:paraId="634BAABA" w14:textId="77777777" w:rsidR="00C04CAD" w:rsidRDefault="00C04CAD">
      <w:pPr>
        <w:spacing w:line="240" w:lineRule="auto"/>
      </w:pPr>
    </w:p>
    <w:p w14:paraId="68E19555" w14:textId="77777777" w:rsidR="00C04CAD" w:rsidRDefault="00060E34">
      <w:pPr>
        <w:pStyle w:val="BodyText"/>
        <w:kinsoku w:val="0"/>
        <w:overflowPunct w:val="0"/>
        <w:rPr>
          <w:i w:val="0"/>
          <w:color w:val="auto"/>
        </w:rPr>
      </w:pPr>
      <w:r>
        <w:rPr>
          <w:i w:val="0"/>
          <w:color w:val="auto"/>
          <w:u w:val="single"/>
        </w:rPr>
        <w:t>Artrită psoriazică</w:t>
      </w:r>
    </w:p>
    <w:p w14:paraId="312AD012" w14:textId="77777777" w:rsidR="00C04CAD" w:rsidRDefault="00C04CAD">
      <w:pPr>
        <w:kinsoku w:val="0"/>
        <w:overflowPunct w:val="0"/>
        <w:spacing w:line="240" w:lineRule="auto"/>
      </w:pPr>
    </w:p>
    <w:p w14:paraId="527D157C" w14:textId="77777777" w:rsidR="00C04CAD" w:rsidRDefault="00060E34">
      <w:pPr>
        <w:spacing w:line="240" w:lineRule="auto"/>
      </w:pPr>
      <w:r>
        <w:t>AMGEVITA este indicat în tratamentul artritei psoriazice active şi progresive, la pacienţii adulţi, atunci când răspunsul la MARMB este inadecvat. La pacienţii cu subtipul de boală poliarticulară simetrică s-a demonstrat prin folosirea razelor X că AMGEVITA reduce rata de progresie a afectării articulaţiilor periferice (vezi pct. 5.1) şi îmbunătăţeşte activitatea fizică.</w:t>
      </w:r>
    </w:p>
    <w:p w14:paraId="23AE12CF" w14:textId="77777777" w:rsidR="00C04CAD" w:rsidRDefault="00C04CAD">
      <w:pPr>
        <w:spacing w:line="240" w:lineRule="auto"/>
      </w:pPr>
    </w:p>
    <w:p w14:paraId="68146417" w14:textId="77777777" w:rsidR="00C04CAD" w:rsidRDefault="00060E34">
      <w:pPr>
        <w:pStyle w:val="BodyText"/>
        <w:kinsoku w:val="0"/>
        <w:overflowPunct w:val="0"/>
        <w:rPr>
          <w:i w:val="0"/>
          <w:color w:val="auto"/>
        </w:rPr>
      </w:pPr>
      <w:r>
        <w:rPr>
          <w:i w:val="0"/>
          <w:color w:val="auto"/>
          <w:u w:val="single"/>
        </w:rPr>
        <w:t>Psoriazis</w:t>
      </w:r>
    </w:p>
    <w:p w14:paraId="7150BED6" w14:textId="77777777" w:rsidR="00C04CAD" w:rsidRDefault="00C04CAD">
      <w:pPr>
        <w:kinsoku w:val="0"/>
        <w:overflowPunct w:val="0"/>
        <w:spacing w:line="240" w:lineRule="auto"/>
      </w:pPr>
    </w:p>
    <w:p w14:paraId="41B61AF1" w14:textId="77777777" w:rsidR="00C04CAD" w:rsidRDefault="00060E34">
      <w:pPr>
        <w:pStyle w:val="BodyText"/>
        <w:kinsoku w:val="0"/>
        <w:overflowPunct w:val="0"/>
        <w:rPr>
          <w:i w:val="0"/>
          <w:color w:val="auto"/>
        </w:rPr>
      </w:pPr>
      <w:r>
        <w:rPr>
          <w:i w:val="0"/>
          <w:color w:val="auto"/>
        </w:rPr>
        <w:t>AMGEVITA este indicat în tratamentul psoriazisului în plăci cronic, moderat până la sever, la pacienţi adulţi care sunt eligibili pentru tratamentul sistemic.</w:t>
      </w:r>
    </w:p>
    <w:p w14:paraId="02346B7E" w14:textId="77777777" w:rsidR="00C04CAD" w:rsidRDefault="00C04CAD">
      <w:pPr>
        <w:kinsoku w:val="0"/>
        <w:overflowPunct w:val="0"/>
        <w:spacing w:line="240" w:lineRule="auto"/>
      </w:pPr>
    </w:p>
    <w:p w14:paraId="300C6F61" w14:textId="77777777" w:rsidR="00C04CAD" w:rsidRDefault="00060E34">
      <w:pPr>
        <w:pStyle w:val="BodyText"/>
        <w:kinsoku w:val="0"/>
        <w:overflowPunct w:val="0"/>
        <w:rPr>
          <w:color w:val="auto"/>
        </w:rPr>
      </w:pPr>
      <w:r>
        <w:rPr>
          <w:color w:val="auto"/>
          <w:u w:val="single"/>
        </w:rPr>
        <w:t>Psoriazis în plăci la copii și adolescenți</w:t>
      </w:r>
    </w:p>
    <w:p w14:paraId="6819B554" w14:textId="77777777" w:rsidR="00C04CAD" w:rsidRDefault="00C04CAD">
      <w:pPr>
        <w:kinsoku w:val="0"/>
        <w:overflowPunct w:val="0"/>
        <w:spacing w:line="240" w:lineRule="auto"/>
      </w:pPr>
    </w:p>
    <w:p w14:paraId="3D4E473C" w14:textId="77777777" w:rsidR="00C04CAD" w:rsidRDefault="00060E34">
      <w:pPr>
        <w:spacing w:line="240" w:lineRule="auto"/>
      </w:pPr>
      <w:r>
        <w:t>AMGEVITA este indicat pentru tratamentul psoriazisului în plăci cronic sever la copii și adolescenți cu vârsta începând de la 4 ani care nu au răspuns corespunzător sau care nu au fost eligibili pentru tratamentul topic și fototerapii.</w:t>
      </w:r>
    </w:p>
    <w:p w14:paraId="7F0F9BF7" w14:textId="77777777" w:rsidR="00C04CAD" w:rsidRDefault="00C04CAD">
      <w:pPr>
        <w:spacing w:line="240" w:lineRule="auto"/>
      </w:pPr>
    </w:p>
    <w:p w14:paraId="14DF4466" w14:textId="77777777" w:rsidR="00C04CAD" w:rsidRDefault="00060E34">
      <w:pPr>
        <w:pStyle w:val="BodyText"/>
        <w:keepNext/>
        <w:kinsoku w:val="0"/>
        <w:overflowPunct w:val="0"/>
        <w:rPr>
          <w:i w:val="0"/>
          <w:color w:val="auto"/>
        </w:rPr>
      </w:pPr>
      <w:r>
        <w:rPr>
          <w:i w:val="0"/>
          <w:color w:val="auto"/>
          <w:u w:val="single"/>
        </w:rPr>
        <w:t>Hidrosadenită supurativă (HS)</w:t>
      </w:r>
    </w:p>
    <w:p w14:paraId="544FC5A9" w14:textId="77777777" w:rsidR="00C04CAD" w:rsidRDefault="00C04CAD">
      <w:pPr>
        <w:keepNext/>
        <w:kinsoku w:val="0"/>
        <w:overflowPunct w:val="0"/>
        <w:spacing w:line="240" w:lineRule="auto"/>
      </w:pPr>
    </w:p>
    <w:p w14:paraId="135EBE9C" w14:textId="77777777" w:rsidR="00C04CAD" w:rsidRDefault="00060E34">
      <w:pPr>
        <w:pStyle w:val="BodyText"/>
        <w:kinsoku w:val="0"/>
        <w:overflowPunct w:val="0"/>
        <w:rPr>
          <w:i w:val="0"/>
          <w:color w:val="auto"/>
        </w:rPr>
      </w:pPr>
      <w:r>
        <w:rPr>
          <w:i w:val="0"/>
          <w:color w:val="auto"/>
        </w:rPr>
        <w:t xml:space="preserve">AMGEVITA este indicat pentru tratamentul hidrosadenitei supurative (acnee inversa) active, moderată până la severă la pacienţii adulţi și adolescenți de la </w:t>
      </w:r>
      <w:r>
        <w:rPr>
          <w:bCs/>
          <w:i w:val="0"/>
          <w:color w:val="auto"/>
          <w:szCs w:val="22"/>
        </w:rPr>
        <w:t>vârsta de</w:t>
      </w:r>
      <w:r>
        <w:rPr>
          <w:i w:val="0"/>
          <w:color w:val="auto"/>
        </w:rPr>
        <w:t xml:space="preserve"> 12 ani care nu au răspuns corespunzător la tratamentul sistemic convenţional pentru HS (vezi pct. 5.1 și 5.2).</w:t>
      </w:r>
    </w:p>
    <w:p w14:paraId="34C334D3" w14:textId="77777777" w:rsidR="00C04CAD" w:rsidRDefault="00C04CAD">
      <w:pPr>
        <w:kinsoku w:val="0"/>
        <w:overflowPunct w:val="0"/>
        <w:spacing w:line="240" w:lineRule="auto"/>
      </w:pPr>
    </w:p>
    <w:p w14:paraId="3FCE4770" w14:textId="77777777" w:rsidR="00C04CAD" w:rsidRDefault="00060E34">
      <w:pPr>
        <w:pStyle w:val="BodyText"/>
        <w:keepNext/>
        <w:kinsoku w:val="0"/>
        <w:overflowPunct w:val="0"/>
        <w:rPr>
          <w:i w:val="0"/>
          <w:color w:val="auto"/>
        </w:rPr>
      </w:pPr>
      <w:r>
        <w:rPr>
          <w:i w:val="0"/>
          <w:color w:val="auto"/>
          <w:u w:val="single"/>
        </w:rPr>
        <w:t>Boală Crohn</w:t>
      </w:r>
    </w:p>
    <w:p w14:paraId="679763C9" w14:textId="77777777" w:rsidR="00C04CAD" w:rsidRDefault="00C04CAD">
      <w:pPr>
        <w:keepNext/>
        <w:kinsoku w:val="0"/>
        <w:overflowPunct w:val="0"/>
        <w:spacing w:line="240" w:lineRule="auto"/>
      </w:pPr>
    </w:p>
    <w:p w14:paraId="35DBF687" w14:textId="77777777" w:rsidR="00C04CAD" w:rsidRDefault="00060E34">
      <w:pPr>
        <w:pStyle w:val="BodyText"/>
        <w:kinsoku w:val="0"/>
        <w:overflowPunct w:val="0"/>
        <w:rPr>
          <w:i w:val="0"/>
          <w:color w:val="auto"/>
        </w:rPr>
      </w:pPr>
      <w:r>
        <w:rPr>
          <w:i w:val="0"/>
          <w:color w:val="auto"/>
        </w:rPr>
        <w:t>AMGEVITA este indicat în tratamentul bolii Crohn active, forma moderată până la severă, la pacienţii adulţi care nu au răspuns la un tratament corespunzător şi complet cu medicamente corticosteroidiene şi/sau imunosupresoare sau la pacienţii care au intoleranţă la acest tratament sau cărora le este contraindicat.</w:t>
      </w:r>
    </w:p>
    <w:p w14:paraId="528D7115" w14:textId="77777777" w:rsidR="00C04CAD" w:rsidRDefault="00C04CAD">
      <w:pPr>
        <w:kinsoku w:val="0"/>
        <w:overflowPunct w:val="0"/>
        <w:spacing w:line="240" w:lineRule="auto"/>
      </w:pPr>
    </w:p>
    <w:p w14:paraId="17381CE1" w14:textId="77777777" w:rsidR="00C04CAD" w:rsidRDefault="00060E34">
      <w:pPr>
        <w:pStyle w:val="BodyText"/>
        <w:kinsoku w:val="0"/>
        <w:overflowPunct w:val="0"/>
        <w:rPr>
          <w:i w:val="0"/>
          <w:color w:val="auto"/>
        </w:rPr>
      </w:pPr>
      <w:r>
        <w:rPr>
          <w:i w:val="0"/>
          <w:color w:val="auto"/>
          <w:u w:val="single"/>
        </w:rPr>
        <w:t>Boală Crohn la copii și adolescenți</w:t>
      </w:r>
    </w:p>
    <w:p w14:paraId="5EB8ACF1" w14:textId="77777777" w:rsidR="00C04CAD" w:rsidRDefault="00C04CAD">
      <w:pPr>
        <w:kinsoku w:val="0"/>
        <w:overflowPunct w:val="0"/>
        <w:spacing w:line="240" w:lineRule="auto"/>
      </w:pPr>
    </w:p>
    <w:p w14:paraId="6DCF8525" w14:textId="77777777" w:rsidR="00C04CAD" w:rsidRDefault="00060E34">
      <w:pPr>
        <w:pStyle w:val="BodyText"/>
        <w:kinsoku w:val="0"/>
        <w:overflowPunct w:val="0"/>
        <w:rPr>
          <w:i w:val="0"/>
          <w:color w:val="auto"/>
        </w:rPr>
      </w:pPr>
      <w:r>
        <w:rPr>
          <w:i w:val="0"/>
          <w:color w:val="auto"/>
        </w:rPr>
        <w:t>AMGEVITA este indicat pentru tratamentul bolii Crohn active, forma moderată până la severă, la copii (de la vârsta de 6 ani) atunci când nu au răspuns la tratamentul convenţional, inclusiv la tratamentul nutriţional iniţial şi la medicamente corticosteroidiene şi/sau imunosupresoare, sau la pacienţii care au intoleranţă la aceste tratamente sau cărora le sunt contraindicate.</w:t>
      </w:r>
    </w:p>
    <w:p w14:paraId="4D33D659" w14:textId="77777777" w:rsidR="00C04CAD" w:rsidRDefault="00C04CAD">
      <w:pPr>
        <w:kinsoku w:val="0"/>
        <w:overflowPunct w:val="0"/>
        <w:spacing w:line="240" w:lineRule="auto"/>
      </w:pPr>
    </w:p>
    <w:p w14:paraId="58B3028D" w14:textId="77777777" w:rsidR="00C04CAD" w:rsidRDefault="00060E34">
      <w:pPr>
        <w:pStyle w:val="BodyText"/>
        <w:kinsoku w:val="0"/>
        <w:overflowPunct w:val="0"/>
        <w:rPr>
          <w:i w:val="0"/>
          <w:color w:val="auto"/>
        </w:rPr>
      </w:pPr>
      <w:r>
        <w:rPr>
          <w:i w:val="0"/>
          <w:color w:val="auto"/>
          <w:u w:val="single"/>
        </w:rPr>
        <w:t>Colită ulcerativă</w:t>
      </w:r>
    </w:p>
    <w:p w14:paraId="6675BC7A" w14:textId="77777777" w:rsidR="00C04CAD" w:rsidRDefault="00C04CAD">
      <w:pPr>
        <w:kinsoku w:val="0"/>
        <w:overflowPunct w:val="0"/>
        <w:spacing w:line="240" w:lineRule="auto"/>
      </w:pPr>
    </w:p>
    <w:p w14:paraId="4DCC8BAE" w14:textId="77777777" w:rsidR="00C04CAD" w:rsidRDefault="00060E34">
      <w:pPr>
        <w:pStyle w:val="BodyText"/>
        <w:kinsoku w:val="0"/>
        <w:overflowPunct w:val="0"/>
        <w:rPr>
          <w:i w:val="0"/>
          <w:color w:val="auto"/>
          <w:u w:val="single"/>
        </w:rPr>
      </w:pPr>
      <w:r>
        <w:rPr>
          <w:i w:val="0"/>
          <w:color w:val="auto"/>
        </w:rPr>
        <w:t>AMGEVITA este indicat în tratamentul colitei ulcerative active, forma moderată până la severă, la pacienţii adulţi care nu au avut un răspuns adecvat la tratamentul convenţional, inclusiv la corticosteroizi şi 6</w:t>
      </w:r>
      <w:r>
        <w:rPr>
          <w:i w:val="0"/>
          <w:color w:val="auto"/>
        </w:rPr>
        <w:noBreakHyphen/>
        <w:t>mercaptopurină (6-MP) sau azatioprină (AZA) sau care au intoleranţă la aceste tratamente sau cărora aceste tratamente le sunt contraindicate.</w:t>
      </w:r>
    </w:p>
    <w:p w14:paraId="3B17799D" w14:textId="77777777" w:rsidR="00C04CAD" w:rsidRDefault="00C04CAD">
      <w:pPr>
        <w:pStyle w:val="BodyText"/>
        <w:kinsoku w:val="0"/>
        <w:overflowPunct w:val="0"/>
        <w:rPr>
          <w:i w:val="0"/>
          <w:color w:val="auto"/>
          <w:u w:val="single"/>
        </w:rPr>
      </w:pPr>
    </w:p>
    <w:p w14:paraId="0EA148FD"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Colită ulcerativă la copii și adolescenți</w:t>
      </w:r>
    </w:p>
    <w:p w14:paraId="5C79DA4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9B8348E" w14:textId="77777777" w:rsidR="00C04CAD" w:rsidRDefault="00060E34">
      <w:pPr>
        <w:pStyle w:val="BodyText"/>
        <w:kinsoku w:val="0"/>
        <w:overflowPunct w:val="0"/>
        <w:rPr>
          <w:i w:val="0"/>
          <w:color w:val="auto"/>
        </w:rPr>
      </w:pPr>
      <w:r>
        <w:rPr>
          <w:rFonts w:eastAsia="MS Mincho"/>
          <w:i w:val="0"/>
          <w:color w:val="000000"/>
          <w:szCs w:val="22"/>
          <w:lang w:eastAsia="ja-JP" w:bidi="ar-SA"/>
        </w:rPr>
        <w:t>AMGEVITA este indicat în tratamentul colitei ulcerative active, forma moderată până la severă, la pacienții copii și adolescenți (de la vârsta de 6 ani) care nu au avut un răspuns adecvat la tratamentul convențional, inclusiv la corticosteroizi și/sau 6-mercaptopurină (6-MP) sau azatioprină (AZA), sau care au intoleranță la aceste tratamente sau cărora aceste tratamente le sunt contraindicate din motive medicale.</w:t>
      </w:r>
    </w:p>
    <w:p w14:paraId="3AC5061A" w14:textId="77777777" w:rsidR="00C04CAD" w:rsidRDefault="00C04CAD">
      <w:pPr>
        <w:pStyle w:val="BodyText"/>
        <w:kinsoku w:val="0"/>
        <w:overflowPunct w:val="0"/>
        <w:rPr>
          <w:i w:val="0"/>
          <w:color w:val="auto"/>
        </w:rPr>
      </w:pPr>
    </w:p>
    <w:p w14:paraId="3387D71B" w14:textId="77777777" w:rsidR="00C04CAD" w:rsidRDefault="00060E34">
      <w:pPr>
        <w:pStyle w:val="BodyText"/>
        <w:kinsoku w:val="0"/>
        <w:overflowPunct w:val="0"/>
        <w:rPr>
          <w:i w:val="0"/>
          <w:color w:val="auto"/>
        </w:rPr>
      </w:pPr>
      <w:r>
        <w:rPr>
          <w:i w:val="0"/>
          <w:color w:val="auto"/>
          <w:u w:val="single"/>
        </w:rPr>
        <w:t>Uveită</w:t>
      </w:r>
    </w:p>
    <w:p w14:paraId="7D540178" w14:textId="77777777" w:rsidR="00C04CAD" w:rsidRDefault="00C04CAD">
      <w:pPr>
        <w:kinsoku w:val="0"/>
        <w:overflowPunct w:val="0"/>
        <w:spacing w:line="240" w:lineRule="auto"/>
      </w:pPr>
    </w:p>
    <w:p w14:paraId="1AC9508E" w14:textId="77777777" w:rsidR="00C04CAD" w:rsidRDefault="00060E34">
      <w:pPr>
        <w:pStyle w:val="BodyText"/>
        <w:kinsoku w:val="0"/>
        <w:overflowPunct w:val="0"/>
        <w:rPr>
          <w:i w:val="0"/>
          <w:color w:val="auto"/>
        </w:rPr>
      </w:pPr>
      <w:r>
        <w:rPr>
          <w:i w:val="0"/>
          <w:color w:val="auto"/>
        </w:rPr>
        <w:t>AMGEVITA este indicat pentru tratamentul uveitei non-infecțioase, intermediare, posterioare şi panuveitei la pacienții adulți care nu au avut un răspuns adecvat la corticosteroizi, la pacienții care necesită scăderea progresivă a dozelor de corticosteroizi sau pentru care nu este potrivit tratamentul cu corticosteroizi.</w:t>
      </w:r>
    </w:p>
    <w:p w14:paraId="38242A15" w14:textId="77777777" w:rsidR="00C04CAD" w:rsidRDefault="00C04CAD">
      <w:pPr>
        <w:pStyle w:val="BodyText"/>
        <w:kinsoku w:val="0"/>
        <w:overflowPunct w:val="0"/>
        <w:rPr>
          <w:i w:val="0"/>
          <w:color w:val="auto"/>
        </w:rPr>
      </w:pPr>
    </w:p>
    <w:p w14:paraId="5E6F40F1" w14:textId="77777777" w:rsidR="00C04CAD" w:rsidRDefault="00060E34">
      <w:pPr>
        <w:pStyle w:val="BodyText"/>
        <w:kinsoku w:val="0"/>
        <w:overflowPunct w:val="0"/>
        <w:rPr>
          <w:i w:val="0"/>
          <w:color w:val="auto"/>
          <w:u w:val="single"/>
        </w:rPr>
      </w:pPr>
      <w:r>
        <w:rPr>
          <w:i w:val="0"/>
          <w:color w:val="auto"/>
          <w:u w:val="single"/>
        </w:rPr>
        <w:t>Uveită la copii și adolescenți</w:t>
      </w:r>
    </w:p>
    <w:p w14:paraId="6D1B4B2B" w14:textId="77777777" w:rsidR="00C04CAD" w:rsidRDefault="00C04CAD">
      <w:pPr>
        <w:pStyle w:val="BodyText"/>
        <w:kinsoku w:val="0"/>
        <w:overflowPunct w:val="0"/>
        <w:rPr>
          <w:i w:val="0"/>
          <w:color w:val="auto"/>
        </w:rPr>
      </w:pPr>
    </w:p>
    <w:p w14:paraId="4B1FA6DC" w14:textId="77777777" w:rsidR="00C04CAD" w:rsidRDefault="00060E34">
      <w:pPr>
        <w:pStyle w:val="BodyText"/>
        <w:kinsoku w:val="0"/>
        <w:overflowPunct w:val="0"/>
        <w:rPr>
          <w:i w:val="0"/>
          <w:color w:val="auto"/>
        </w:rPr>
      </w:pPr>
      <w:r>
        <w:rPr>
          <w:i w:val="0"/>
          <w:color w:val="auto"/>
        </w:rPr>
        <w:t xml:space="preserve">AMGEVITA este indicat pentru tratamentul uveitei anterioare non-infecțioase </w:t>
      </w:r>
      <w:r>
        <w:rPr>
          <w:i w:val="0"/>
          <w:color w:val="000000"/>
        </w:rPr>
        <w:t>cronice la</w:t>
      </w:r>
      <w:r>
        <w:rPr>
          <w:color w:val="000000"/>
        </w:rPr>
        <w:t xml:space="preserve"> </w:t>
      </w:r>
      <w:r>
        <w:rPr>
          <w:i w:val="0"/>
          <w:color w:val="000000"/>
        </w:rPr>
        <w:t xml:space="preserve">copii cu vârsta de la 2 ani </w:t>
      </w:r>
      <w:r>
        <w:rPr>
          <w:i w:val="0"/>
          <w:color w:val="auto"/>
        </w:rPr>
        <w:t xml:space="preserve">care nu au avut un răspuns adecvat sau au intoleranță la tratamentul convenţional sau pentru care tratamentul convenţional este inadecvat. </w:t>
      </w:r>
    </w:p>
    <w:p w14:paraId="185111AD" w14:textId="77777777" w:rsidR="00C04CAD" w:rsidRDefault="00C04CAD">
      <w:pPr>
        <w:spacing w:line="240" w:lineRule="auto"/>
        <w:rPr>
          <w:szCs w:val="22"/>
        </w:rPr>
      </w:pPr>
    </w:p>
    <w:p w14:paraId="791FE5D2" w14:textId="77777777" w:rsidR="00C04CAD" w:rsidRDefault="00060E34">
      <w:pPr>
        <w:keepNext/>
        <w:numPr>
          <w:ilvl w:val="1"/>
          <w:numId w:val="14"/>
        </w:numPr>
        <w:spacing w:line="240" w:lineRule="auto"/>
        <w:ind w:left="567" w:hanging="567"/>
        <w:outlineLvl w:val="0"/>
        <w:rPr>
          <w:szCs w:val="22"/>
        </w:rPr>
      </w:pPr>
      <w:r>
        <w:rPr>
          <w:b/>
          <w:szCs w:val="22"/>
        </w:rPr>
        <w:t>Doze și mod de administrare</w:t>
      </w:r>
    </w:p>
    <w:p w14:paraId="57C0B089" w14:textId="77777777" w:rsidR="00C04CAD" w:rsidRDefault="00C04CAD">
      <w:pPr>
        <w:keepNext/>
        <w:spacing w:line="240" w:lineRule="auto"/>
        <w:rPr>
          <w:szCs w:val="22"/>
        </w:rPr>
      </w:pPr>
    </w:p>
    <w:p w14:paraId="16414C5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Tratamentul cu </w:t>
      </w:r>
      <w:r>
        <w:rPr>
          <w:rFonts w:eastAsia="MS Mincho"/>
          <w:szCs w:val="22"/>
          <w:lang w:eastAsia="en-US" w:bidi="ar-SA"/>
        </w:rPr>
        <w:t>AMGEVITA</w:t>
      </w:r>
      <w:r>
        <w:rPr>
          <w:szCs w:val="22"/>
        </w:rPr>
        <w:t xml:space="preserve"> trebuie iniţiat şi supravegheat de medici specialişti cu experienţă în diagnosticarea şi tratamentul afecţiunilor pentru care este indicat </w:t>
      </w:r>
      <w:r>
        <w:rPr>
          <w:rFonts w:eastAsia="MS Mincho"/>
          <w:szCs w:val="22"/>
          <w:lang w:eastAsia="en-US" w:bidi="ar-SA"/>
        </w:rPr>
        <w:t>AMGEVITA.</w:t>
      </w:r>
      <w:r>
        <w:t xml:space="preserve"> Înainte de iniţierea tratamentului cu AMGEVITA, medicii oftalmologi sunt sfătuiţi să se consulte cu un astfel de medic specialist cu experienţă în aceste cazuri (vezi pct. 4.4).</w:t>
      </w:r>
      <w:r>
        <w:rPr>
          <w:rFonts w:eastAsia="MS Mincho"/>
          <w:szCs w:val="22"/>
          <w:lang w:eastAsia="en-US" w:bidi="ar-SA"/>
        </w:rPr>
        <w:t xml:space="preserve"> Pacienţii trataţi cu AMGEVITA</w:t>
      </w:r>
      <w:r>
        <w:rPr>
          <w:szCs w:val="22"/>
        </w:rPr>
        <w:t xml:space="preserve"> trebuie să primească un card de aten</w:t>
      </w:r>
      <w:r>
        <w:rPr>
          <w:rFonts w:eastAsia="MS Mincho"/>
          <w:szCs w:val="22"/>
          <w:lang w:eastAsia="en-US" w:bidi="ar-SA"/>
        </w:rPr>
        <w:t>ţionare</w:t>
      </w:r>
      <w:r>
        <w:rPr>
          <w:szCs w:val="22"/>
        </w:rPr>
        <w:t xml:space="preserve"> special.</w:t>
      </w:r>
    </w:p>
    <w:p w14:paraId="621B6865" w14:textId="77777777" w:rsidR="00C04CAD" w:rsidRDefault="00C04CAD">
      <w:pPr>
        <w:tabs>
          <w:tab w:val="clear" w:pos="567"/>
        </w:tabs>
        <w:kinsoku w:val="0"/>
        <w:overflowPunct w:val="0"/>
        <w:autoSpaceDE w:val="0"/>
        <w:autoSpaceDN w:val="0"/>
        <w:adjustRightInd w:val="0"/>
        <w:spacing w:line="240" w:lineRule="auto"/>
        <w:rPr>
          <w:szCs w:val="22"/>
        </w:rPr>
      </w:pPr>
    </w:p>
    <w:p w14:paraId="5080D80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După instruirea corespunzătoare asupra tehnicii de injectare, pacienţii pot să-şi autoadministreze </w:t>
      </w:r>
      <w:r>
        <w:rPr>
          <w:rFonts w:eastAsia="MS Mincho"/>
          <w:szCs w:val="22"/>
          <w:lang w:eastAsia="en-US" w:bidi="ar-SA"/>
        </w:rPr>
        <w:t>AMGEVITA</w:t>
      </w:r>
      <w:r>
        <w:rPr>
          <w:szCs w:val="22"/>
        </w:rPr>
        <w:t xml:space="preserve"> dacă medicul lor consideră că acest lucru este adecvat şi dacă se asigură supravegherea medicală în funcţie de necesităţi.</w:t>
      </w:r>
    </w:p>
    <w:p w14:paraId="79EBC573" w14:textId="77777777" w:rsidR="00C04CAD" w:rsidRDefault="00C04CAD">
      <w:pPr>
        <w:tabs>
          <w:tab w:val="clear" w:pos="567"/>
        </w:tabs>
        <w:kinsoku w:val="0"/>
        <w:overflowPunct w:val="0"/>
        <w:autoSpaceDE w:val="0"/>
        <w:autoSpaceDN w:val="0"/>
        <w:adjustRightInd w:val="0"/>
        <w:spacing w:line="240" w:lineRule="auto"/>
        <w:rPr>
          <w:szCs w:val="22"/>
        </w:rPr>
      </w:pPr>
    </w:p>
    <w:p w14:paraId="6502CF3A" w14:textId="77777777" w:rsidR="00C04CAD" w:rsidRDefault="00060E34">
      <w:pPr>
        <w:spacing w:line="240" w:lineRule="auto"/>
        <w:rPr>
          <w:szCs w:val="22"/>
          <w:u w:val="single"/>
        </w:rPr>
      </w:pPr>
      <w:r>
        <w:rPr>
          <w:szCs w:val="22"/>
        </w:rPr>
        <w:t xml:space="preserve">În timpul tratamentului cu </w:t>
      </w:r>
      <w:r>
        <w:rPr>
          <w:rFonts w:eastAsia="MS Mincho"/>
          <w:szCs w:val="22"/>
          <w:lang w:eastAsia="en-US" w:bidi="ar-SA"/>
        </w:rPr>
        <w:t>AMGEVITA</w:t>
      </w:r>
      <w:r>
        <w:rPr>
          <w:szCs w:val="22"/>
        </w:rPr>
        <w:t>, terapiile concomitente (de exemplu medicamentele corticosteroidiene şi/sau imunomodulatoare) trebuie ajustate.</w:t>
      </w:r>
    </w:p>
    <w:p w14:paraId="37D4C70D" w14:textId="77777777" w:rsidR="00C04CAD" w:rsidRDefault="00C04CAD">
      <w:pPr>
        <w:keepNext/>
        <w:spacing w:line="240" w:lineRule="auto"/>
        <w:rPr>
          <w:szCs w:val="22"/>
          <w:u w:val="single"/>
        </w:rPr>
      </w:pPr>
    </w:p>
    <w:p w14:paraId="78E51589" w14:textId="77777777" w:rsidR="00C04CAD" w:rsidRDefault="00060E34">
      <w:pPr>
        <w:keepNext/>
        <w:spacing w:line="240" w:lineRule="auto"/>
        <w:rPr>
          <w:szCs w:val="22"/>
          <w:u w:val="single"/>
        </w:rPr>
      </w:pPr>
      <w:r>
        <w:rPr>
          <w:szCs w:val="22"/>
          <w:u w:val="single"/>
        </w:rPr>
        <w:t>Doze</w:t>
      </w:r>
    </w:p>
    <w:p w14:paraId="0778247B" w14:textId="77777777" w:rsidR="00C04CAD" w:rsidRDefault="00C04CAD">
      <w:pPr>
        <w:keepNext/>
        <w:spacing w:line="240" w:lineRule="auto"/>
        <w:rPr>
          <w:szCs w:val="22"/>
        </w:rPr>
      </w:pPr>
    </w:p>
    <w:p w14:paraId="271C31F7" w14:textId="77777777" w:rsidR="00C04CAD" w:rsidRDefault="00060E34">
      <w:pPr>
        <w:kinsoku w:val="0"/>
        <w:overflowPunct w:val="0"/>
        <w:spacing w:line="240" w:lineRule="auto"/>
        <w:rPr>
          <w:szCs w:val="22"/>
        </w:rPr>
      </w:pPr>
      <w:r>
        <w:rPr>
          <w:i/>
          <w:szCs w:val="22"/>
        </w:rPr>
        <w:t>Poliartrită reumatoidă</w:t>
      </w:r>
    </w:p>
    <w:p w14:paraId="7FB59BCE" w14:textId="77777777" w:rsidR="00C04CAD" w:rsidRDefault="00C04CAD">
      <w:pPr>
        <w:kinsoku w:val="0"/>
        <w:overflowPunct w:val="0"/>
        <w:spacing w:line="240" w:lineRule="auto"/>
        <w:rPr>
          <w:szCs w:val="22"/>
        </w:rPr>
      </w:pPr>
    </w:p>
    <w:p w14:paraId="75272E2F" w14:textId="77777777" w:rsidR="00C04CAD" w:rsidRDefault="00060E34">
      <w:pPr>
        <w:pStyle w:val="BodyText"/>
        <w:kinsoku w:val="0"/>
        <w:overflowPunct w:val="0"/>
        <w:rPr>
          <w:i w:val="0"/>
          <w:color w:val="auto"/>
          <w:szCs w:val="22"/>
        </w:rPr>
      </w:pPr>
      <w:r>
        <w:rPr>
          <w:i w:val="0"/>
          <w:color w:val="auto"/>
          <w:szCs w:val="22"/>
        </w:rPr>
        <w:t>Doza de AMGEVITA recomandată pentru pacienţii adulţi cu poliartrită reumatoidă este de 40 mg adalimumab, administrată o dată la două săptămâni, ca doză unică, printr-o injecţie subcutanată. Tratamentul cu metotrexat trebuie continuat pe durata tratamentului cu AMGEVITA.</w:t>
      </w:r>
    </w:p>
    <w:p w14:paraId="7B23C71E" w14:textId="77777777" w:rsidR="00C04CAD" w:rsidRDefault="00C04CAD">
      <w:pPr>
        <w:kinsoku w:val="0"/>
        <w:overflowPunct w:val="0"/>
        <w:spacing w:line="240" w:lineRule="auto"/>
        <w:rPr>
          <w:szCs w:val="22"/>
        </w:rPr>
      </w:pPr>
    </w:p>
    <w:p w14:paraId="269AC874" w14:textId="77777777" w:rsidR="00C04CAD" w:rsidRDefault="00060E34">
      <w:pPr>
        <w:pStyle w:val="BodyText"/>
        <w:kinsoku w:val="0"/>
        <w:overflowPunct w:val="0"/>
        <w:rPr>
          <w:i w:val="0"/>
          <w:color w:val="auto"/>
          <w:szCs w:val="22"/>
        </w:rPr>
      </w:pPr>
      <w:r>
        <w:rPr>
          <w:i w:val="0"/>
          <w:color w:val="auto"/>
          <w:szCs w:val="22"/>
        </w:rPr>
        <w:t>Tratamentul cu glucocorticoizi, salicilaţi, medicamente antiinflamatoare nesteroidiene sau analgezice poate fi continuat pe durata tratamentului cu AMGEVITA. În ceea ce priveşte asocierea cu medicamente antireumatice modificatoare de boală, în afară de metotrexat, vezi pct. 4.4 şi 5.1.</w:t>
      </w:r>
    </w:p>
    <w:p w14:paraId="1B08DC0A" w14:textId="77777777" w:rsidR="00C04CAD" w:rsidRDefault="00C04CAD">
      <w:pPr>
        <w:kinsoku w:val="0"/>
        <w:overflowPunct w:val="0"/>
        <w:spacing w:line="240" w:lineRule="auto"/>
        <w:rPr>
          <w:szCs w:val="22"/>
        </w:rPr>
      </w:pPr>
    </w:p>
    <w:p w14:paraId="3DEE3390" w14:textId="77777777" w:rsidR="00C04CAD" w:rsidRDefault="00060E34">
      <w:pPr>
        <w:pStyle w:val="BodyText"/>
        <w:kinsoku w:val="0"/>
        <w:overflowPunct w:val="0"/>
        <w:rPr>
          <w:i w:val="0"/>
          <w:color w:val="auto"/>
          <w:szCs w:val="22"/>
        </w:rPr>
      </w:pPr>
      <w:r>
        <w:rPr>
          <w:i w:val="0"/>
          <w:color w:val="auto"/>
          <w:szCs w:val="22"/>
        </w:rPr>
        <w:t>Atunci când este utilizat în monoterapie, unii pacienţi care prezintă o diminuare a răspunsului la AMGEVITA 40 mg administrată o dată la două săptămâni, pot beneficia de creşterea dozei de adalimumab la 40 mg, o dată pe săptămână sau 80 mg o dată la două săptămâni.</w:t>
      </w:r>
    </w:p>
    <w:p w14:paraId="763D0389" w14:textId="77777777" w:rsidR="00C04CAD" w:rsidRDefault="00C04CAD">
      <w:pPr>
        <w:kinsoku w:val="0"/>
        <w:overflowPunct w:val="0"/>
        <w:spacing w:line="240" w:lineRule="auto"/>
      </w:pPr>
    </w:p>
    <w:p w14:paraId="1DBD9203" w14:textId="77777777" w:rsidR="00C04CAD" w:rsidRDefault="00060E34">
      <w:pPr>
        <w:pStyle w:val="BodyText"/>
        <w:kinsoku w:val="0"/>
        <w:overflowPunct w:val="0"/>
        <w:rPr>
          <w:i w:val="0"/>
          <w:color w:val="auto"/>
        </w:rPr>
      </w:pPr>
      <w:r>
        <w:rPr>
          <w:i w:val="0"/>
          <w:color w:val="auto"/>
        </w:rPr>
        <w:t>Datele disponibile despre adalimumab sugerează că răspunsul clinic este obţinut, de obicei, în cursul a 12 săptămâni de tratament. Continuarea tratamentului trebuie reevaluată în cazul unui pacient care nu răspunde la tratament în cursul acestei perioade.</w:t>
      </w:r>
    </w:p>
    <w:p w14:paraId="0C973EA8" w14:textId="77777777" w:rsidR="00C04CAD" w:rsidRDefault="00C04CAD">
      <w:pPr>
        <w:pStyle w:val="BodyText"/>
        <w:kinsoku w:val="0"/>
        <w:overflowPunct w:val="0"/>
        <w:rPr>
          <w:i w:val="0"/>
          <w:color w:val="auto"/>
        </w:rPr>
      </w:pPr>
    </w:p>
    <w:p w14:paraId="214B6409"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64497F2A" w14:textId="77777777" w:rsidR="00C04CAD" w:rsidRDefault="00C04CAD">
      <w:pPr>
        <w:pStyle w:val="BodyText"/>
        <w:kinsoku w:val="0"/>
        <w:overflowPunct w:val="0"/>
        <w:rPr>
          <w:i w:val="0"/>
          <w:color w:val="auto"/>
        </w:rPr>
      </w:pPr>
    </w:p>
    <w:p w14:paraId="72A05C8D" w14:textId="77777777" w:rsidR="00C04CAD" w:rsidRDefault="00060E34">
      <w:pPr>
        <w:kinsoku w:val="0"/>
        <w:overflowPunct w:val="0"/>
        <w:spacing w:line="240" w:lineRule="auto"/>
        <w:rPr>
          <w:u w:val="single"/>
        </w:rPr>
      </w:pPr>
      <w:r>
        <w:rPr>
          <w:i/>
          <w:u w:val="single"/>
        </w:rPr>
        <w:t>Întreruperea administrării</w:t>
      </w:r>
    </w:p>
    <w:p w14:paraId="0D0B7574" w14:textId="77777777" w:rsidR="00C04CAD" w:rsidRDefault="00C04CAD">
      <w:pPr>
        <w:kinsoku w:val="0"/>
        <w:overflowPunct w:val="0"/>
        <w:spacing w:line="240" w:lineRule="auto"/>
      </w:pPr>
    </w:p>
    <w:p w14:paraId="0BA589BB" w14:textId="77777777" w:rsidR="00C04CAD" w:rsidRDefault="00060E34">
      <w:pPr>
        <w:pStyle w:val="BodyText"/>
        <w:kinsoku w:val="0"/>
        <w:overflowPunct w:val="0"/>
        <w:rPr>
          <w:i w:val="0"/>
          <w:color w:val="auto"/>
        </w:rPr>
      </w:pPr>
      <w:r>
        <w:rPr>
          <w:i w:val="0"/>
          <w:color w:val="auto"/>
        </w:rPr>
        <w:t>Întreruperea administrării dozei poate fi necesară, de exemplu înainte de intervenţii chirurgicale sau dacă apare o infecţie gravă.</w:t>
      </w:r>
    </w:p>
    <w:p w14:paraId="68A19350" w14:textId="77777777" w:rsidR="00C04CAD" w:rsidRDefault="00C04CAD">
      <w:pPr>
        <w:kinsoku w:val="0"/>
        <w:overflowPunct w:val="0"/>
        <w:spacing w:line="240" w:lineRule="auto"/>
      </w:pPr>
    </w:p>
    <w:p w14:paraId="199D4FBD" w14:textId="77777777" w:rsidR="00C04CAD" w:rsidRDefault="00060E34">
      <w:pPr>
        <w:pStyle w:val="BodyText"/>
        <w:kinsoku w:val="0"/>
        <w:overflowPunct w:val="0"/>
        <w:rPr>
          <w:i w:val="0"/>
          <w:color w:val="auto"/>
        </w:rPr>
      </w:pPr>
      <w:r>
        <w:rPr>
          <w:i w:val="0"/>
          <w:color w:val="auto"/>
        </w:rPr>
        <w:t>Datele disponibile sugerează că reintroducerea tratamentului cu adalimumab după o întrerupere de 70 zile sau mai lungă, determină un răspuns clinic de aceeaşi amploare şi un profil de siguranţă similar cu cel observat înainte de întreruperea administrării.</w:t>
      </w:r>
    </w:p>
    <w:p w14:paraId="4308B9CF" w14:textId="77777777" w:rsidR="00C04CAD" w:rsidRDefault="00C04CAD">
      <w:pPr>
        <w:kinsoku w:val="0"/>
        <w:overflowPunct w:val="0"/>
        <w:spacing w:line="240" w:lineRule="auto"/>
      </w:pPr>
    </w:p>
    <w:p w14:paraId="40CD2439" w14:textId="77777777" w:rsidR="00C04CAD" w:rsidRDefault="00060E34">
      <w:pPr>
        <w:kinsoku w:val="0"/>
        <w:overflowPunct w:val="0"/>
        <w:spacing w:line="240" w:lineRule="auto"/>
        <w:rPr>
          <w:i/>
        </w:rPr>
      </w:pPr>
      <w:r>
        <w:rPr>
          <w:i/>
        </w:rPr>
        <w:t>Spondilită anchilozantă, spondiloartrită axială fără dovadă radiologică a spondilitei anchilozante şi artrită psoriazică</w:t>
      </w:r>
    </w:p>
    <w:p w14:paraId="18F3795F" w14:textId="77777777" w:rsidR="00C04CAD" w:rsidRDefault="00C04CAD">
      <w:pPr>
        <w:kinsoku w:val="0"/>
        <w:overflowPunct w:val="0"/>
        <w:spacing w:line="240" w:lineRule="auto"/>
      </w:pPr>
    </w:p>
    <w:p w14:paraId="4F84031C" w14:textId="77777777" w:rsidR="00C04CAD" w:rsidRDefault="00060E34">
      <w:pPr>
        <w:pStyle w:val="BodyText"/>
        <w:kinsoku w:val="0"/>
        <w:overflowPunct w:val="0"/>
        <w:rPr>
          <w:i w:val="0"/>
          <w:color w:val="auto"/>
        </w:rPr>
      </w:pPr>
      <w:r>
        <w:rPr>
          <w:i w:val="0"/>
          <w:color w:val="auto"/>
        </w:rPr>
        <w:t>Doza de AMGEVITA recomandată pentru pacienţii cu spondilită anchilozantă, spondiloartrită axială fără dovadă radiologică a spondilitei anchilozante şi pentru pacienţii cu artrită psoriazică este de 40 mg adalimumab administrată o dată la două săptămâni, ca doză unică, printr-o injecţie subcutanată.</w:t>
      </w:r>
    </w:p>
    <w:p w14:paraId="16781B99" w14:textId="77777777" w:rsidR="00C04CAD" w:rsidRDefault="00C04CAD">
      <w:pPr>
        <w:pStyle w:val="BodyText"/>
        <w:kinsoku w:val="0"/>
        <w:overflowPunct w:val="0"/>
        <w:rPr>
          <w:i w:val="0"/>
          <w:color w:val="auto"/>
        </w:rPr>
      </w:pPr>
    </w:p>
    <w:p w14:paraId="18C76891" w14:textId="77777777" w:rsidR="00C04CAD" w:rsidRDefault="00060E34">
      <w:pPr>
        <w:pStyle w:val="BodyText"/>
        <w:kinsoku w:val="0"/>
        <w:overflowPunct w:val="0"/>
        <w:rPr>
          <w:i w:val="0"/>
          <w:color w:val="auto"/>
        </w:rPr>
      </w:pPr>
      <w:r>
        <w:rPr>
          <w:i w:val="0"/>
          <w:color w:val="auto"/>
        </w:rPr>
        <w:t>Datele disponibile sugerează că răspunsul clinic este obţinut, de obicei, în cursul a 12 săptămâni de tratament. Continuarea tratamentului trebuie reevaluată în cazul unui pacient care nu răspunde la tratament în cursul acestei perioade.</w:t>
      </w:r>
    </w:p>
    <w:p w14:paraId="35034E0E" w14:textId="77777777" w:rsidR="00C04CAD" w:rsidRDefault="00C04CAD">
      <w:pPr>
        <w:keepNext/>
        <w:spacing w:line="240" w:lineRule="auto"/>
      </w:pPr>
    </w:p>
    <w:p w14:paraId="5AD63E95" w14:textId="77777777" w:rsidR="00C04CAD" w:rsidRDefault="00060E34">
      <w:pPr>
        <w:kinsoku w:val="0"/>
        <w:overflowPunct w:val="0"/>
        <w:spacing w:line="240" w:lineRule="auto"/>
      </w:pPr>
      <w:r>
        <w:rPr>
          <w:i/>
        </w:rPr>
        <w:t>Psoriazis</w:t>
      </w:r>
    </w:p>
    <w:p w14:paraId="682BCF9D" w14:textId="77777777" w:rsidR="00C04CAD" w:rsidRDefault="00C04CAD">
      <w:pPr>
        <w:kinsoku w:val="0"/>
        <w:overflowPunct w:val="0"/>
        <w:spacing w:line="240" w:lineRule="auto"/>
      </w:pPr>
    </w:p>
    <w:p w14:paraId="73C8B30B" w14:textId="77777777" w:rsidR="00C04CAD" w:rsidRDefault="00060E34">
      <w:pPr>
        <w:pStyle w:val="BodyText"/>
        <w:kinsoku w:val="0"/>
        <w:overflowPunct w:val="0"/>
        <w:rPr>
          <w:i w:val="0"/>
          <w:color w:val="auto"/>
        </w:rPr>
      </w:pPr>
      <w:r>
        <w:rPr>
          <w:i w:val="0"/>
          <w:color w:val="auto"/>
        </w:rPr>
        <w:t>Doza de AMGEVITA recomandată la adulţi este de 80 mg administrată subcutanat ca doză iniţială, urmată de 40 mg administrate subcutanat, la fiecare două săptămâni începând la o săptămână după doza iniţială.</w:t>
      </w:r>
    </w:p>
    <w:p w14:paraId="7589943F" w14:textId="77777777" w:rsidR="00C04CAD" w:rsidRDefault="00C04CAD">
      <w:pPr>
        <w:kinsoku w:val="0"/>
        <w:overflowPunct w:val="0"/>
        <w:spacing w:line="240" w:lineRule="auto"/>
      </w:pPr>
    </w:p>
    <w:p w14:paraId="3A091A6A" w14:textId="77777777" w:rsidR="00C04CAD" w:rsidRDefault="00060E34">
      <w:pPr>
        <w:pStyle w:val="BodyText"/>
        <w:kinsoku w:val="0"/>
        <w:overflowPunct w:val="0"/>
        <w:rPr>
          <w:i w:val="0"/>
          <w:color w:val="auto"/>
        </w:rPr>
      </w:pPr>
      <w:r>
        <w:rPr>
          <w:i w:val="0"/>
          <w:color w:val="auto"/>
        </w:rPr>
        <w:t>Continuarea tratamentului peste 16 săptămâni trebuie reevaluată atent în cazul unui pacient care nu răspunde la tratament în cursul acestei perioade.</w:t>
      </w:r>
    </w:p>
    <w:p w14:paraId="0A473325" w14:textId="77777777" w:rsidR="00C04CAD" w:rsidRDefault="00C04CAD">
      <w:pPr>
        <w:kinsoku w:val="0"/>
        <w:overflowPunct w:val="0"/>
        <w:spacing w:line="240" w:lineRule="auto"/>
      </w:pPr>
    </w:p>
    <w:p w14:paraId="6881D5BA" w14:textId="77777777" w:rsidR="00C04CAD" w:rsidRDefault="00060E34">
      <w:pPr>
        <w:pStyle w:val="BodyText"/>
        <w:kinsoku w:val="0"/>
        <w:overflowPunct w:val="0"/>
        <w:rPr>
          <w:i w:val="0"/>
          <w:color w:val="auto"/>
        </w:rPr>
      </w:pPr>
      <w:r>
        <w:rPr>
          <w:i w:val="0"/>
          <w:color w:val="auto"/>
        </w:rPr>
        <w:t xml:space="preserve">După 16 săptămâni, pacienţii care nu au avut un răspuns adecvat la </w:t>
      </w:r>
      <w:r>
        <w:rPr>
          <w:i w:val="0"/>
          <w:color w:val="auto"/>
          <w:szCs w:val="22"/>
        </w:rPr>
        <w:t>AMGEVITA 40 mg administrată o dată la două săptămâni</w:t>
      </w:r>
      <w:r>
        <w:rPr>
          <w:i w:val="0"/>
          <w:color w:val="auto"/>
        </w:rPr>
        <w:t xml:space="preserve"> pot beneficia de o creştere a dozei la 40 mg săptămânal sau </w:t>
      </w:r>
      <w:r>
        <w:rPr>
          <w:i w:val="0"/>
          <w:color w:val="auto"/>
          <w:szCs w:val="22"/>
        </w:rPr>
        <w:t>80 mg o dată la două săptămâni</w:t>
      </w:r>
      <w:r>
        <w:rPr>
          <w:i w:val="0"/>
          <w:color w:val="auto"/>
        </w:rPr>
        <w:t xml:space="preserve">. Beneficiile şi riscurile continuării tratamentului cu 40 mg administrat săptămânal sau 80 mg o dată la </w:t>
      </w:r>
      <w:r>
        <w:rPr>
          <w:i w:val="0"/>
          <w:color w:val="auto"/>
          <w:szCs w:val="22"/>
        </w:rPr>
        <w:t>două săptămâni</w:t>
      </w:r>
      <w:r>
        <w:rPr>
          <w:i w:val="0"/>
          <w:color w:val="auto"/>
        </w:rPr>
        <w:t xml:space="preserve"> trebuie reevaluate atent în cazul unui pacient care nu răspunde adecvat după creşterea dozei (vezi pct. 5.1). Dacă se obţine un răspuns adecvat la doza de 40 mg săptămânal sau </w:t>
      </w:r>
      <w:r>
        <w:rPr>
          <w:i w:val="0"/>
          <w:color w:val="auto"/>
          <w:szCs w:val="22"/>
        </w:rPr>
        <w:t>80 mg o dată la două săptămâni</w:t>
      </w:r>
      <w:r>
        <w:rPr>
          <w:i w:val="0"/>
          <w:color w:val="auto"/>
        </w:rPr>
        <w:t>, doza poate fi scăzută ulterior la 40 mg la două săptămâni.</w:t>
      </w:r>
    </w:p>
    <w:p w14:paraId="57F11EC1" w14:textId="77777777" w:rsidR="00C04CAD" w:rsidRDefault="00C04CAD">
      <w:pPr>
        <w:pStyle w:val="BodyText"/>
        <w:kinsoku w:val="0"/>
        <w:overflowPunct w:val="0"/>
        <w:rPr>
          <w:i w:val="0"/>
          <w:color w:val="auto"/>
        </w:rPr>
      </w:pPr>
    </w:p>
    <w:p w14:paraId="5835B850"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1FECCBFA" w14:textId="77777777" w:rsidR="00C04CAD" w:rsidRDefault="00C04CAD">
      <w:pPr>
        <w:keepNext/>
        <w:spacing w:line="240" w:lineRule="auto"/>
        <w:rPr>
          <w:i/>
        </w:rPr>
      </w:pPr>
    </w:p>
    <w:p w14:paraId="5A59F369" w14:textId="77777777" w:rsidR="00C04CAD" w:rsidRDefault="00060E34">
      <w:pPr>
        <w:kinsoku w:val="0"/>
        <w:overflowPunct w:val="0"/>
        <w:spacing w:line="240" w:lineRule="auto"/>
      </w:pPr>
      <w:r>
        <w:rPr>
          <w:i/>
        </w:rPr>
        <w:t>Hidrosadenită supurativă</w:t>
      </w:r>
    </w:p>
    <w:p w14:paraId="47DBE8D2" w14:textId="77777777" w:rsidR="00C04CAD" w:rsidRDefault="00C04CAD">
      <w:pPr>
        <w:kinsoku w:val="0"/>
        <w:overflowPunct w:val="0"/>
        <w:spacing w:line="240" w:lineRule="auto"/>
      </w:pPr>
    </w:p>
    <w:p w14:paraId="5A7FACC9" w14:textId="77777777" w:rsidR="00C04CAD" w:rsidRDefault="00060E34">
      <w:pPr>
        <w:pStyle w:val="BodyText"/>
        <w:kinsoku w:val="0"/>
        <w:overflowPunct w:val="0"/>
        <w:rPr>
          <w:i w:val="0"/>
          <w:color w:val="auto"/>
        </w:rPr>
      </w:pPr>
      <w:r>
        <w:rPr>
          <w:i w:val="0"/>
          <w:color w:val="auto"/>
        </w:rPr>
        <w:t xml:space="preserve">Doza recomandată de AMGEVITA la pacienţii adulţi cu hidrosadenită supurativă (HS) este iniţial de 160 mg în Ziua 1 (administrată sub formă de două injecţii a 80 mg într-o zi sau sub formă de o injecţie a 80 mg pe zi, două zile consecutive), urmată de 80 mg două săptămâni mai târziu în Ziua 15. Două săptămâni mai târziu (Ziua 29) se continuă cu o doză de 40 mg în fiecare săptămână sau </w:t>
      </w:r>
      <w:r>
        <w:rPr>
          <w:i w:val="0"/>
          <w:color w:val="auto"/>
          <w:szCs w:val="22"/>
        </w:rPr>
        <w:t>80 mg o dată la două săptămâni</w:t>
      </w:r>
      <w:r>
        <w:rPr>
          <w:i w:val="0"/>
          <w:color w:val="auto"/>
        </w:rPr>
        <w:t>. Dacă este necesar se poate continua tratamentul cu antibiotice în timpul tratamentului cu AMGEVITA. Se recomandă ca în timpul tratamentului cu AMGEVITA, pacienţii să spele zilnic leziunile de HS cu un antiseptic local.</w:t>
      </w:r>
    </w:p>
    <w:p w14:paraId="6F147575" w14:textId="77777777" w:rsidR="00C04CAD" w:rsidRDefault="00C04CAD">
      <w:pPr>
        <w:kinsoku w:val="0"/>
        <w:overflowPunct w:val="0"/>
        <w:spacing w:line="240" w:lineRule="auto"/>
      </w:pPr>
    </w:p>
    <w:p w14:paraId="7EEAEC8E" w14:textId="77777777" w:rsidR="00C04CAD" w:rsidRDefault="00060E34">
      <w:pPr>
        <w:pStyle w:val="BodyText"/>
        <w:kinsoku w:val="0"/>
        <w:overflowPunct w:val="0"/>
        <w:rPr>
          <w:i w:val="0"/>
          <w:color w:val="auto"/>
        </w:rPr>
      </w:pPr>
      <w:r>
        <w:rPr>
          <w:i w:val="0"/>
          <w:color w:val="auto"/>
        </w:rPr>
        <w:t>Continuarea tratamentului după 12 săptămâni trebuie reconsiderată atent la pacienţii care nu au nicio ameliorare în timpul acestei perioade de timp.</w:t>
      </w:r>
    </w:p>
    <w:p w14:paraId="158208E3" w14:textId="77777777" w:rsidR="00C04CAD" w:rsidRDefault="00C04CAD">
      <w:pPr>
        <w:kinsoku w:val="0"/>
        <w:overflowPunct w:val="0"/>
        <w:spacing w:line="240" w:lineRule="auto"/>
      </w:pPr>
    </w:p>
    <w:p w14:paraId="389BA556" w14:textId="77777777" w:rsidR="00C04CAD" w:rsidRDefault="00060E34">
      <w:pPr>
        <w:pStyle w:val="BodyText"/>
        <w:kinsoku w:val="0"/>
        <w:overflowPunct w:val="0"/>
        <w:rPr>
          <w:i w:val="0"/>
          <w:color w:val="auto"/>
        </w:rPr>
      </w:pPr>
      <w:r>
        <w:rPr>
          <w:i w:val="0"/>
          <w:color w:val="auto"/>
        </w:rPr>
        <w:t xml:space="preserve">Dacă trebuie întrerupt tratamentul, se poate reintroduce AMGEVITA 40 mg în fiecare săptămână sau </w:t>
      </w:r>
      <w:r>
        <w:rPr>
          <w:i w:val="0"/>
          <w:color w:val="auto"/>
          <w:szCs w:val="22"/>
        </w:rPr>
        <w:t>80 mg o dată la două săptămâni</w:t>
      </w:r>
      <w:r>
        <w:rPr>
          <w:i w:val="0"/>
          <w:color w:val="auto"/>
        </w:rPr>
        <w:t xml:space="preserve"> (vezi pct. 5.1).</w:t>
      </w:r>
    </w:p>
    <w:p w14:paraId="4622A8E9" w14:textId="77777777" w:rsidR="00C04CAD" w:rsidRDefault="00C04CAD">
      <w:pPr>
        <w:kinsoku w:val="0"/>
        <w:overflowPunct w:val="0"/>
        <w:spacing w:line="240" w:lineRule="auto"/>
      </w:pPr>
    </w:p>
    <w:p w14:paraId="3AB6D63A" w14:textId="77777777" w:rsidR="00C04CAD" w:rsidRDefault="00060E34">
      <w:pPr>
        <w:pStyle w:val="BodyText"/>
        <w:kinsoku w:val="0"/>
        <w:overflowPunct w:val="0"/>
        <w:rPr>
          <w:i w:val="0"/>
          <w:color w:val="auto"/>
        </w:rPr>
      </w:pPr>
      <w:r>
        <w:rPr>
          <w:i w:val="0"/>
          <w:color w:val="auto"/>
        </w:rPr>
        <w:t>Beneficiul şi riscul pe termen lung al tratamentului trebuie să fie re-evaluat periodic (vezi pct 5.1).</w:t>
      </w:r>
    </w:p>
    <w:p w14:paraId="134531E9" w14:textId="77777777" w:rsidR="00C04CAD" w:rsidRDefault="00C04CAD">
      <w:pPr>
        <w:pStyle w:val="BodyText"/>
        <w:kinsoku w:val="0"/>
        <w:overflowPunct w:val="0"/>
        <w:rPr>
          <w:i w:val="0"/>
          <w:color w:val="auto"/>
        </w:rPr>
      </w:pPr>
    </w:p>
    <w:p w14:paraId="60986C05"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5274D461" w14:textId="77777777" w:rsidR="00C04CAD" w:rsidRDefault="00C04CAD">
      <w:pPr>
        <w:pStyle w:val="BodyText"/>
        <w:kinsoku w:val="0"/>
        <w:overflowPunct w:val="0"/>
        <w:rPr>
          <w:color w:val="auto"/>
        </w:rPr>
      </w:pPr>
    </w:p>
    <w:p w14:paraId="670481E6" w14:textId="77777777" w:rsidR="00C04CAD" w:rsidRDefault="00060E34">
      <w:pPr>
        <w:kinsoku w:val="0"/>
        <w:overflowPunct w:val="0"/>
        <w:spacing w:line="240" w:lineRule="auto"/>
      </w:pPr>
      <w:r>
        <w:rPr>
          <w:i/>
        </w:rPr>
        <w:t>Boală Crohn</w:t>
      </w:r>
    </w:p>
    <w:p w14:paraId="32F84DA4" w14:textId="77777777" w:rsidR="00C04CAD" w:rsidRDefault="00C04CAD">
      <w:pPr>
        <w:kinsoku w:val="0"/>
        <w:overflowPunct w:val="0"/>
        <w:spacing w:line="240" w:lineRule="auto"/>
      </w:pPr>
    </w:p>
    <w:p w14:paraId="7AC7546E" w14:textId="77777777" w:rsidR="00C04CAD" w:rsidRDefault="00060E34">
      <w:pPr>
        <w:pStyle w:val="BodyText"/>
        <w:kinsoku w:val="0"/>
        <w:overflowPunct w:val="0"/>
        <w:rPr>
          <w:i w:val="0"/>
          <w:color w:val="auto"/>
        </w:rPr>
      </w:pPr>
      <w:r>
        <w:rPr>
          <w:i w:val="0"/>
          <w:color w:val="auto"/>
        </w:rPr>
        <w:t>La iniţierea tratamentului, doza de AMGEVITA recomandată pentru pacienţii adulţi cu boala Crohn activă moderată până la severă este de 80 mg în săptămâna 0 urmată de 40 mg în săptămâna 2. În cazul în care este necesar un răspuns mai rapid la tratament, se poate utiliza doza de 160 mg în săptămâna 0 (administrată sub forma a două injecţii de 80 mg într-o zi sau două o injecţiei de 80 mg pe zi, două zile consecutiv), urmată de 80 mg în săptămâna 2, cu atenţionarea că riscul apariţiei reacţiilor adverse este mai mare la iniţierea tratamentului.</w:t>
      </w:r>
    </w:p>
    <w:p w14:paraId="4BFF0795" w14:textId="77777777" w:rsidR="00C04CAD" w:rsidRDefault="00C04CAD">
      <w:pPr>
        <w:kinsoku w:val="0"/>
        <w:overflowPunct w:val="0"/>
        <w:spacing w:line="240" w:lineRule="auto"/>
      </w:pPr>
    </w:p>
    <w:p w14:paraId="11D2B048" w14:textId="77777777" w:rsidR="00C04CAD" w:rsidRDefault="00060E34">
      <w:pPr>
        <w:pStyle w:val="BodyText"/>
        <w:kinsoku w:val="0"/>
        <w:overflowPunct w:val="0"/>
        <w:rPr>
          <w:i w:val="0"/>
          <w:color w:val="auto"/>
        </w:rPr>
      </w:pPr>
      <w:r>
        <w:rPr>
          <w:i w:val="0"/>
          <w:color w:val="auto"/>
        </w:rPr>
        <w:t>După iniţierea tratamentului, doza recomandată este de 40 mg la două săptămâni sub forma injecţiei subcutanate. Altă variantă, dacă un pacient a întrerupt tratamentul cu AMGEVITA şi semnele şi simptomele bolii au reapărut, AMGEVITA se poate readministra. Experienţa privind readministrarea după mai mult de 8 săptămâni de la ultima doză este limitată.</w:t>
      </w:r>
    </w:p>
    <w:p w14:paraId="5AC162C4" w14:textId="77777777" w:rsidR="00C04CAD" w:rsidRDefault="00C04CAD">
      <w:pPr>
        <w:kinsoku w:val="0"/>
        <w:overflowPunct w:val="0"/>
        <w:spacing w:line="240" w:lineRule="auto"/>
      </w:pPr>
    </w:p>
    <w:p w14:paraId="47F6E447" w14:textId="77777777" w:rsidR="00C04CAD" w:rsidRDefault="00060E34">
      <w:pPr>
        <w:pStyle w:val="BodyText"/>
        <w:kinsoku w:val="0"/>
        <w:overflowPunct w:val="0"/>
        <w:rPr>
          <w:i w:val="0"/>
          <w:color w:val="auto"/>
        </w:rPr>
      </w:pPr>
      <w:r>
        <w:rPr>
          <w:i w:val="0"/>
          <w:color w:val="auto"/>
        </w:rPr>
        <w:t>În timpul tratamentului de întreţinere, medicamentele corticosteroidiene se întrerup progresiv conform ghidurilor de practică medicală.</w:t>
      </w:r>
    </w:p>
    <w:p w14:paraId="65A040EC" w14:textId="77777777" w:rsidR="00C04CAD" w:rsidRDefault="00C04CAD">
      <w:pPr>
        <w:kinsoku w:val="0"/>
        <w:overflowPunct w:val="0"/>
        <w:spacing w:line="240" w:lineRule="auto"/>
      </w:pPr>
    </w:p>
    <w:p w14:paraId="4FE7825D" w14:textId="77777777" w:rsidR="00C04CAD" w:rsidRDefault="00060E34">
      <w:pPr>
        <w:pStyle w:val="BodyText"/>
        <w:kinsoku w:val="0"/>
        <w:overflowPunct w:val="0"/>
        <w:rPr>
          <w:i w:val="0"/>
          <w:color w:val="auto"/>
        </w:rPr>
      </w:pPr>
      <w:r>
        <w:rPr>
          <w:i w:val="0"/>
          <w:color w:val="auto"/>
        </w:rPr>
        <w:t xml:space="preserve">Unii pacienţi care au avut un răspuns redus la tratamentul cu AMGEVITA </w:t>
      </w:r>
      <w:r>
        <w:rPr>
          <w:i w:val="0"/>
          <w:color w:val="auto"/>
          <w:szCs w:val="22"/>
        </w:rPr>
        <w:t>40 mg administrat o dată la două săptămâni</w:t>
      </w:r>
      <w:r>
        <w:rPr>
          <w:i w:val="0"/>
          <w:color w:val="auto"/>
        </w:rPr>
        <w:t xml:space="preserve"> pot beneficia de o creştere a dozei de AMGEVITA la 40 mg săptămânal sau </w:t>
      </w:r>
      <w:r>
        <w:rPr>
          <w:i w:val="0"/>
          <w:color w:val="auto"/>
          <w:szCs w:val="22"/>
        </w:rPr>
        <w:t>80 mg o dată la două săptămâni</w:t>
      </w:r>
      <w:r>
        <w:rPr>
          <w:i w:val="0"/>
          <w:color w:val="auto"/>
        </w:rPr>
        <w:t>.</w:t>
      </w:r>
    </w:p>
    <w:p w14:paraId="7F810173" w14:textId="77777777" w:rsidR="00C04CAD" w:rsidRDefault="00C04CAD">
      <w:pPr>
        <w:pStyle w:val="BodyText"/>
        <w:kinsoku w:val="0"/>
        <w:overflowPunct w:val="0"/>
        <w:rPr>
          <w:i w:val="0"/>
          <w:color w:val="auto"/>
        </w:rPr>
      </w:pPr>
    </w:p>
    <w:p w14:paraId="1321868D" w14:textId="77777777" w:rsidR="00C04CAD" w:rsidRDefault="00060E34">
      <w:pPr>
        <w:pStyle w:val="BodyText"/>
        <w:kinsoku w:val="0"/>
        <w:overflowPunct w:val="0"/>
        <w:rPr>
          <w:i w:val="0"/>
          <w:color w:val="auto"/>
        </w:rPr>
      </w:pPr>
      <w:r>
        <w:rPr>
          <w:i w:val="0"/>
          <w:color w:val="auto"/>
        </w:rPr>
        <w:t>Unii pacienţi care nu au răspuns la tratament până în săptămâna 4 pot beneficia de un tratament continuu de întreţinere până în săptămâna 12. Continuarea tratamentului trebuie reconsiderată atent la pacienţii care nu au răspuns în timpul acestei perioade de timp.</w:t>
      </w:r>
    </w:p>
    <w:p w14:paraId="083386C0" w14:textId="77777777" w:rsidR="00C04CAD" w:rsidRDefault="00C04CAD">
      <w:pPr>
        <w:pStyle w:val="BodyText"/>
        <w:kinsoku w:val="0"/>
        <w:overflowPunct w:val="0"/>
        <w:rPr>
          <w:i w:val="0"/>
          <w:color w:val="auto"/>
        </w:rPr>
      </w:pPr>
    </w:p>
    <w:p w14:paraId="3BC517B7"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132BA884" w14:textId="77777777" w:rsidR="00C04CAD" w:rsidRDefault="00C04CAD">
      <w:pPr>
        <w:pStyle w:val="BodyText"/>
        <w:kinsoku w:val="0"/>
        <w:overflowPunct w:val="0"/>
        <w:rPr>
          <w:color w:val="auto"/>
        </w:rPr>
      </w:pPr>
    </w:p>
    <w:p w14:paraId="0CEC8C0D" w14:textId="77777777" w:rsidR="00C04CAD" w:rsidRDefault="00060E34">
      <w:pPr>
        <w:kinsoku w:val="0"/>
        <w:overflowPunct w:val="0"/>
        <w:spacing w:line="240" w:lineRule="auto"/>
      </w:pPr>
      <w:r>
        <w:rPr>
          <w:i/>
        </w:rPr>
        <w:t>Colită ulcerativă</w:t>
      </w:r>
    </w:p>
    <w:p w14:paraId="69C575C2" w14:textId="77777777" w:rsidR="00C04CAD" w:rsidRDefault="00C04CAD">
      <w:pPr>
        <w:kinsoku w:val="0"/>
        <w:overflowPunct w:val="0"/>
        <w:spacing w:line="240" w:lineRule="auto"/>
      </w:pPr>
    </w:p>
    <w:p w14:paraId="574385AB" w14:textId="77777777" w:rsidR="00C04CAD" w:rsidRDefault="00060E34">
      <w:pPr>
        <w:pStyle w:val="BodyText"/>
        <w:kinsoku w:val="0"/>
        <w:overflowPunct w:val="0"/>
        <w:rPr>
          <w:i w:val="0"/>
          <w:color w:val="auto"/>
        </w:rPr>
      </w:pPr>
      <w:r>
        <w:rPr>
          <w:i w:val="0"/>
          <w:color w:val="auto"/>
        </w:rPr>
        <w:t>Dozele de AMGEVITA recomandate în faza de inducţie pentru pacienţii adulţi cu colită ulcerativă forma moderată până la severă, sunt de 160 mg în săptămâna 0 (administrată sub forma a două injecţii de 80 mg într-o zi sau o injecţie de 80 mg pe zi, timp de două zile consecutive) şi 80 mg în săptămâna 2. După iniţierea tratamentului, doza recomandată este de 40 mg la două săptămâni prin injecţii subcutanate.</w:t>
      </w:r>
    </w:p>
    <w:p w14:paraId="546BC411" w14:textId="77777777" w:rsidR="00C04CAD" w:rsidRDefault="00C04CAD">
      <w:pPr>
        <w:kinsoku w:val="0"/>
        <w:overflowPunct w:val="0"/>
        <w:spacing w:line="240" w:lineRule="auto"/>
      </w:pPr>
    </w:p>
    <w:p w14:paraId="454D9CF0" w14:textId="77777777" w:rsidR="00C04CAD" w:rsidRDefault="00060E34">
      <w:pPr>
        <w:pStyle w:val="BodyText"/>
        <w:kinsoku w:val="0"/>
        <w:overflowPunct w:val="0"/>
        <w:rPr>
          <w:i w:val="0"/>
          <w:color w:val="auto"/>
        </w:rPr>
      </w:pPr>
      <w:r>
        <w:rPr>
          <w:i w:val="0"/>
          <w:color w:val="auto"/>
        </w:rPr>
        <w:t>În timpul tratamentului de întreţinere, se poate reduce doza de corticosteroizi conform ghidurilor de practică medicală.</w:t>
      </w:r>
    </w:p>
    <w:p w14:paraId="4D8A7815" w14:textId="77777777" w:rsidR="00C04CAD" w:rsidRDefault="00C04CAD">
      <w:pPr>
        <w:kinsoku w:val="0"/>
        <w:overflowPunct w:val="0"/>
        <w:spacing w:line="240" w:lineRule="auto"/>
      </w:pPr>
    </w:p>
    <w:p w14:paraId="542D8FC0" w14:textId="77777777" w:rsidR="00C04CAD" w:rsidRDefault="00060E34">
      <w:pPr>
        <w:pStyle w:val="BodyText"/>
        <w:kinsoku w:val="0"/>
        <w:overflowPunct w:val="0"/>
        <w:rPr>
          <w:i w:val="0"/>
          <w:color w:val="auto"/>
        </w:rPr>
      </w:pPr>
      <w:r>
        <w:rPr>
          <w:i w:val="0"/>
          <w:color w:val="auto"/>
        </w:rPr>
        <w:t xml:space="preserve">Unii pacienţi care au avut un răspuns insuficient la tratamentul cu AMGEVITA </w:t>
      </w:r>
      <w:r>
        <w:rPr>
          <w:i w:val="0"/>
          <w:color w:val="auto"/>
          <w:szCs w:val="22"/>
        </w:rPr>
        <w:t>40 mg administrat o dată la două săptămâni</w:t>
      </w:r>
      <w:r>
        <w:rPr>
          <w:i w:val="0"/>
          <w:color w:val="auto"/>
        </w:rPr>
        <w:t xml:space="preserve"> pot beneficia de o creştere a dozei de AMGEVITA la 40 mg săptămânal sau </w:t>
      </w:r>
      <w:r>
        <w:rPr>
          <w:i w:val="0"/>
          <w:color w:val="auto"/>
          <w:szCs w:val="22"/>
        </w:rPr>
        <w:t>80 mg o dată la două săptămâni</w:t>
      </w:r>
      <w:r>
        <w:rPr>
          <w:i w:val="0"/>
          <w:color w:val="auto"/>
        </w:rPr>
        <w:t>.</w:t>
      </w:r>
    </w:p>
    <w:p w14:paraId="72F09595" w14:textId="77777777" w:rsidR="00C04CAD" w:rsidRDefault="00C04CAD">
      <w:pPr>
        <w:kinsoku w:val="0"/>
        <w:overflowPunct w:val="0"/>
        <w:spacing w:line="240" w:lineRule="auto"/>
      </w:pPr>
    </w:p>
    <w:p w14:paraId="12A7775B" w14:textId="77777777" w:rsidR="00C04CAD" w:rsidRDefault="00060E34">
      <w:pPr>
        <w:pStyle w:val="BodyText"/>
        <w:kinsoku w:val="0"/>
        <w:overflowPunct w:val="0"/>
        <w:rPr>
          <w:i w:val="0"/>
          <w:color w:val="auto"/>
        </w:rPr>
      </w:pPr>
      <w:r>
        <w:rPr>
          <w:i w:val="0"/>
          <w:color w:val="auto"/>
        </w:rPr>
        <w:t>Datele disponibile sugerează că răspunsul clinic se obţine de obicei în 2-8 săptămâni de tratament. Tratamentul cu AMGEVITA nu trebuie continuat la pacienţii care nu au răspuns la tratament în timpul acestei perioade.</w:t>
      </w:r>
    </w:p>
    <w:p w14:paraId="3D9AAC36" w14:textId="77777777" w:rsidR="00C04CAD" w:rsidRDefault="00C04CAD">
      <w:pPr>
        <w:pStyle w:val="BodyText"/>
        <w:kinsoku w:val="0"/>
        <w:overflowPunct w:val="0"/>
        <w:rPr>
          <w:i w:val="0"/>
          <w:color w:val="auto"/>
        </w:rPr>
      </w:pPr>
    </w:p>
    <w:p w14:paraId="71CD5866"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6DC53784" w14:textId="77777777" w:rsidR="00C04CAD" w:rsidRDefault="00C04CAD">
      <w:pPr>
        <w:keepNext/>
        <w:spacing w:line="240" w:lineRule="auto"/>
      </w:pPr>
    </w:p>
    <w:p w14:paraId="41EFA389" w14:textId="77777777" w:rsidR="00C04CAD" w:rsidRDefault="00060E34">
      <w:pPr>
        <w:keepNext/>
        <w:kinsoku w:val="0"/>
        <w:overflowPunct w:val="0"/>
        <w:spacing w:line="240" w:lineRule="auto"/>
      </w:pPr>
      <w:r>
        <w:rPr>
          <w:i/>
        </w:rPr>
        <w:t>Uveită</w:t>
      </w:r>
    </w:p>
    <w:p w14:paraId="21619DDB" w14:textId="77777777" w:rsidR="00C04CAD" w:rsidRDefault="00C04CAD">
      <w:pPr>
        <w:keepNext/>
        <w:kinsoku w:val="0"/>
        <w:overflowPunct w:val="0"/>
        <w:spacing w:line="240" w:lineRule="auto"/>
      </w:pPr>
    </w:p>
    <w:p w14:paraId="38F1A14B" w14:textId="77777777" w:rsidR="00C04CAD" w:rsidRDefault="00060E34">
      <w:pPr>
        <w:pStyle w:val="BodyText"/>
        <w:kinsoku w:val="0"/>
        <w:overflowPunct w:val="0"/>
        <w:rPr>
          <w:i w:val="0"/>
          <w:color w:val="auto"/>
        </w:rPr>
      </w:pPr>
      <w:r>
        <w:rPr>
          <w:i w:val="0"/>
          <w:color w:val="auto"/>
        </w:rPr>
        <w:t>Doza de AMGEVITA iniţială recomandată pentru pacienții adulți cu uveită este de 80 mg, urmată de o doză de 40 mg administrată o dată la două săptămâni începând cu prima săptămână după doza inițială. Experiența legată de inițierea tratamentului cu adalimumab în monoterapie este limitată. Tratamentul cu AMGEVITA poate fi inițiat în asociere cu corticosteroizi și/sau cu alte medicamente imunomodulatoare non</w:t>
      </w:r>
      <w:r>
        <w:rPr>
          <w:i w:val="0"/>
          <w:color w:val="auto"/>
        </w:rPr>
        <w:noBreakHyphen/>
        <w:t>biologice. Doza de corticosteroizi administrată concomitent poate fi scăzută treptat, în conformitate cu practica clinică, după două săptămâni de la iniţierea tratamentului cu AMGEVITA.</w:t>
      </w:r>
    </w:p>
    <w:p w14:paraId="28C57FB5" w14:textId="77777777" w:rsidR="00C04CAD" w:rsidRDefault="00C04CAD">
      <w:pPr>
        <w:kinsoku w:val="0"/>
        <w:overflowPunct w:val="0"/>
        <w:spacing w:line="240" w:lineRule="auto"/>
      </w:pPr>
    </w:p>
    <w:p w14:paraId="3BC104D7" w14:textId="77777777" w:rsidR="00C04CAD" w:rsidRDefault="00060E34">
      <w:pPr>
        <w:pStyle w:val="BodyText"/>
        <w:kinsoku w:val="0"/>
        <w:overflowPunct w:val="0"/>
        <w:rPr>
          <w:i w:val="0"/>
          <w:color w:val="auto"/>
        </w:rPr>
      </w:pPr>
      <w:r>
        <w:rPr>
          <w:i w:val="0"/>
          <w:color w:val="auto"/>
        </w:rPr>
        <w:t>Se recomandă ca beneficiile și riscurile continuării tratamentului pe termen lung să fie evaluate anual (vezi pct. 5.1).</w:t>
      </w:r>
    </w:p>
    <w:p w14:paraId="76E38DE2" w14:textId="77777777" w:rsidR="00C04CAD" w:rsidRDefault="00C04CAD">
      <w:pPr>
        <w:pStyle w:val="BodyText"/>
        <w:kinsoku w:val="0"/>
        <w:overflowPunct w:val="0"/>
        <w:rPr>
          <w:i w:val="0"/>
          <w:color w:val="auto"/>
        </w:rPr>
      </w:pPr>
    </w:p>
    <w:p w14:paraId="12C718E1"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7B123A4A" w14:textId="77777777" w:rsidR="00C04CAD" w:rsidRDefault="00C04CAD">
      <w:pPr>
        <w:pStyle w:val="BodyText"/>
        <w:kinsoku w:val="0"/>
        <w:overflowPunct w:val="0"/>
        <w:rPr>
          <w:color w:val="auto"/>
        </w:rPr>
      </w:pPr>
    </w:p>
    <w:p w14:paraId="05531ED3" w14:textId="77777777" w:rsidR="00C04CAD" w:rsidRDefault="00060E34">
      <w:pPr>
        <w:tabs>
          <w:tab w:val="clear" w:pos="567"/>
        </w:tabs>
        <w:kinsoku w:val="0"/>
        <w:overflowPunct w:val="0"/>
        <w:autoSpaceDE w:val="0"/>
        <w:autoSpaceDN w:val="0"/>
        <w:adjustRightInd w:val="0"/>
        <w:spacing w:line="240" w:lineRule="auto"/>
        <w:rPr>
          <w:u w:val="single"/>
        </w:rPr>
      </w:pPr>
      <w:r>
        <w:rPr>
          <w:u w:val="single"/>
        </w:rPr>
        <w:t>Grupe speciale de pacienți</w:t>
      </w:r>
    </w:p>
    <w:p w14:paraId="60D23488" w14:textId="77777777" w:rsidR="00C04CAD" w:rsidRDefault="00C04CAD">
      <w:pPr>
        <w:tabs>
          <w:tab w:val="clear" w:pos="567"/>
        </w:tabs>
        <w:kinsoku w:val="0"/>
        <w:overflowPunct w:val="0"/>
        <w:autoSpaceDE w:val="0"/>
        <w:autoSpaceDN w:val="0"/>
        <w:adjustRightInd w:val="0"/>
        <w:spacing w:line="240" w:lineRule="auto"/>
        <w:rPr>
          <w:u w:val="single"/>
        </w:rPr>
      </w:pPr>
    </w:p>
    <w:p w14:paraId="7B3621DD" w14:textId="77777777" w:rsidR="00C04CAD" w:rsidRDefault="00060E34">
      <w:pPr>
        <w:tabs>
          <w:tab w:val="clear" w:pos="567"/>
        </w:tabs>
        <w:kinsoku w:val="0"/>
        <w:overflowPunct w:val="0"/>
        <w:autoSpaceDE w:val="0"/>
        <w:autoSpaceDN w:val="0"/>
        <w:adjustRightInd w:val="0"/>
        <w:spacing w:line="240" w:lineRule="auto"/>
        <w:rPr>
          <w:i/>
        </w:rPr>
      </w:pPr>
      <w:r>
        <w:rPr>
          <w:i/>
        </w:rPr>
        <w:t>Vârstnici</w:t>
      </w:r>
    </w:p>
    <w:p w14:paraId="66BE2108" w14:textId="77777777" w:rsidR="00C04CAD" w:rsidRDefault="00C04CAD">
      <w:pPr>
        <w:tabs>
          <w:tab w:val="clear" w:pos="567"/>
        </w:tabs>
        <w:kinsoku w:val="0"/>
        <w:overflowPunct w:val="0"/>
        <w:autoSpaceDE w:val="0"/>
        <w:autoSpaceDN w:val="0"/>
        <w:adjustRightInd w:val="0"/>
        <w:spacing w:line="240" w:lineRule="auto"/>
      </w:pPr>
    </w:p>
    <w:p w14:paraId="27061297" w14:textId="77777777" w:rsidR="00C04CAD" w:rsidRDefault="00060E34">
      <w:pPr>
        <w:tabs>
          <w:tab w:val="clear" w:pos="567"/>
        </w:tabs>
        <w:kinsoku w:val="0"/>
        <w:overflowPunct w:val="0"/>
        <w:autoSpaceDE w:val="0"/>
        <w:autoSpaceDN w:val="0"/>
        <w:adjustRightInd w:val="0"/>
        <w:spacing w:line="240" w:lineRule="auto"/>
      </w:pPr>
      <w:r>
        <w:t>Nu este necesară ajustarea dozei.</w:t>
      </w:r>
    </w:p>
    <w:p w14:paraId="2F03E6CD" w14:textId="77777777" w:rsidR="00C04CAD" w:rsidRDefault="00C04CAD">
      <w:pPr>
        <w:tabs>
          <w:tab w:val="clear" w:pos="567"/>
        </w:tabs>
        <w:kinsoku w:val="0"/>
        <w:overflowPunct w:val="0"/>
        <w:autoSpaceDE w:val="0"/>
        <w:autoSpaceDN w:val="0"/>
        <w:adjustRightInd w:val="0"/>
        <w:spacing w:line="240" w:lineRule="auto"/>
        <w:rPr>
          <w:u w:val="single"/>
        </w:rPr>
      </w:pPr>
    </w:p>
    <w:p w14:paraId="43BA05F0" w14:textId="77777777" w:rsidR="00C04CAD" w:rsidRDefault="00060E34">
      <w:pPr>
        <w:keepNext/>
        <w:tabs>
          <w:tab w:val="clear" w:pos="567"/>
        </w:tabs>
        <w:kinsoku w:val="0"/>
        <w:overflowPunct w:val="0"/>
        <w:autoSpaceDE w:val="0"/>
        <w:autoSpaceDN w:val="0"/>
        <w:adjustRightInd w:val="0"/>
        <w:spacing w:line="240" w:lineRule="auto"/>
        <w:rPr>
          <w:i/>
        </w:rPr>
      </w:pPr>
      <w:r>
        <w:rPr>
          <w:i/>
        </w:rPr>
        <w:t>Insuficienţă renală şi/sau hepatică</w:t>
      </w:r>
    </w:p>
    <w:p w14:paraId="52829C42" w14:textId="77777777" w:rsidR="00C04CAD" w:rsidRDefault="00C04CAD">
      <w:pPr>
        <w:keepNext/>
        <w:tabs>
          <w:tab w:val="clear" w:pos="567"/>
        </w:tabs>
        <w:kinsoku w:val="0"/>
        <w:overflowPunct w:val="0"/>
        <w:autoSpaceDE w:val="0"/>
        <w:autoSpaceDN w:val="0"/>
        <w:adjustRightInd w:val="0"/>
        <w:spacing w:line="240" w:lineRule="auto"/>
      </w:pPr>
    </w:p>
    <w:p w14:paraId="77B1622B" w14:textId="77777777" w:rsidR="00C04CAD" w:rsidRDefault="00060E34">
      <w:pPr>
        <w:keepNext/>
        <w:spacing w:line="240" w:lineRule="auto"/>
        <w:rPr>
          <w:szCs w:val="22"/>
        </w:rPr>
      </w:pPr>
      <w:r>
        <w:rPr>
          <w:rFonts w:eastAsia="MS Mincho"/>
          <w:szCs w:val="22"/>
          <w:lang w:eastAsia="en-US" w:bidi="ar-SA"/>
        </w:rPr>
        <w:t>Adalimumab</w:t>
      </w:r>
      <w:r>
        <w:rPr>
          <w:szCs w:val="22"/>
        </w:rPr>
        <w:t xml:space="preserve"> nu a fost studiat în cadrul acestor populaţii de pacienţi. Nu se </w:t>
      </w:r>
      <w:r>
        <w:rPr>
          <w:rFonts w:eastAsia="MS Mincho"/>
          <w:szCs w:val="22"/>
          <w:lang w:eastAsia="en-US" w:bidi="ar-SA"/>
        </w:rPr>
        <w:t>poate</w:t>
      </w:r>
      <w:r>
        <w:rPr>
          <w:szCs w:val="22"/>
        </w:rPr>
        <w:t xml:space="preserve"> face </w:t>
      </w:r>
      <w:r>
        <w:rPr>
          <w:rFonts w:eastAsia="MS Mincho"/>
          <w:szCs w:val="22"/>
          <w:lang w:eastAsia="en-US" w:bidi="ar-SA"/>
        </w:rPr>
        <w:t>nicio recomandare</w:t>
      </w:r>
      <w:r>
        <w:rPr>
          <w:szCs w:val="22"/>
        </w:rPr>
        <w:t xml:space="preserve"> asupra dozei.</w:t>
      </w:r>
    </w:p>
    <w:p w14:paraId="6B1015C9" w14:textId="77777777" w:rsidR="00C04CAD" w:rsidRDefault="00C04CAD">
      <w:pPr>
        <w:spacing w:line="240" w:lineRule="auto"/>
        <w:rPr>
          <w:szCs w:val="22"/>
        </w:rPr>
      </w:pPr>
    </w:p>
    <w:p w14:paraId="6320BE1F" w14:textId="77777777" w:rsidR="00C04CAD" w:rsidRDefault="00060E34">
      <w:pPr>
        <w:pStyle w:val="BodyText"/>
        <w:keepNext/>
        <w:kinsoku w:val="0"/>
        <w:overflowPunct w:val="0"/>
        <w:rPr>
          <w:color w:val="auto"/>
          <w:szCs w:val="22"/>
        </w:rPr>
      </w:pPr>
      <w:r>
        <w:rPr>
          <w:color w:val="auto"/>
          <w:szCs w:val="22"/>
        </w:rPr>
        <w:t>Copii şi adolescenţi</w:t>
      </w:r>
    </w:p>
    <w:p w14:paraId="7A2AA012" w14:textId="77777777" w:rsidR="00C04CAD" w:rsidRDefault="00C04CAD">
      <w:pPr>
        <w:kinsoku w:val="0"/>
        <w:overflowPunct w:val="0"/>
        <w:spacing w:line="240" w:lineRule="auto"/>
      </w:pPr>
    </w:p>
    <w:p w14:paraId="504BD98F" w14:textId="77777777" w:rsidR="00C04CAD" w:rsidRDefault="00060E34">
      <w:pPr>
        <w:kinsoku w:val="0"/>
        <w:overflowPunct w:val="0"/>
        <w:spacing w:line="240" w:lineRule="auto"/>
        <w:rPr>
          <w:iCs/>
          <w:szCs w:val="22"/>
          <w:u w:val="single"/>
        </w:rPr>
      </w:pPr>
      <w:r>
        <w:rPr>
          <w:i/>
          <w:u w:val="single"/>
        </w:rPr>
        <w:t>Artrită juvenilă idiopatică</w:t>
      </w:r>
    </w:p>
    <w:p w14:paraId="08E62915" w14:textId="77777777" w:rsidR="00C04CAD" w:rsidRDefault="00C04CAD">
      <w:pPr>
        <w:keepNext/>
        <w:spacing w:line="240" w:lineRule="auto"/>
      </w:pPr>
    </w:p>
    <w:p w14:paraId="00C2ADD9" w14:textId="77777777" w:rsidR="00C04CAD" w:rsidRDefault="00060E34">
      <w:pPr>
        <w:tabs>
          <w:tab w:val="clear" w:pos="567"/>
        </w:tabs>
        <w:kinsoku w:val="0"/>
        <w:overflowPunct w:val="0"/>
        <w:autoSpaceDE w:val="0"/>
        <w:autoSpaceDN w:val="0"/>
        <w:adjustRightInd w:val="0"/>
        <w:spacing w:line="240" w:lineRule="auto"/>
      </w:pPr>
      <w:r>
        <w:t xml:space="preserve">Artrită juvenilă idiopatică forma poliarticulară </w:t>
      </w:r>
      <w:r>
        <w:rPr>
          <w:rFonts w:eastAsia="MS Mincho"/>
          <w:iCs/>
          <w:szCs w:val="22"/>
          <w:lang w:eastAsia="en-US" w:bidi="ar-SA"/>
        </w:rPr>
        <w:t xml:space="preserve">de </w:t>
      </w:r>
      <w:r>
        <w:t xml:space="preserve">la vârsta de 2 ani </w:t>
      </w:r>
    </w:p>
    <w:p w14:paraId="47941F8B" w14:textId="77777777" w:rsidR="00C04CAD" w:rsidRDefault="00C04CAD">
      <w:pPr>
        <w:tabs>
          <w:tab w:val="clear" w:pos="567"/>
        </w:tabs>
        <w:kinsoku w:val="0"/>
        <w:overflowPunct w:val="0"/>
        <w:autoSpaceDE w:val="0"/>
        <w:autoSpaceDN w:val="0"/>
        <w:adjustRightInd w:val="0"/>
        <w:spacing w:line="240" w:lineRule="auto"/>
      </w:pPr>
    </w:p>
    <w:p w14:paraId="188AFCCE" w14:textId="77777777" w:rsidR="00C04CAD" w:rsidRDefault="00060E34">
      <w:pPr>
        <w:keepNext/>
        <w:spacing w:line="240" w:lineRule="auto"/>
        <w:rPr>
          <w:szCs w:val="22"/>
        </w:rPr>
      </w:pPr>
      <w:r>
        <w:rPr>
          <w:szCs w:val="22"/>
        </w:rPr>
        <w:t xml:space="preserve">Doza de </w:t>
      </w:r>
      <w:r>
        <w:rPr>
          <w:rFonts w:eastAsia="MS Mincho"/>
          <w:szCs w:val="22"/>
          <w:lang w:eastAsia="en-US" w:bidi="ar-SA"/>
        </w:rPr>
        <w:t>AMGEVITA</w:t>
      </w:r>
      <w:r>
        <w:rPr>
          <w:szCs w:val="22"/>
        </w:rPr>
        <w:t xml:space="preserve"> recomandată pentru pacienţii cu artrită juvenilă idiopatică forma poliarticulară de la vârsta de 2 ani se bazează pe suprafaţa corporală (tabelul 1). AMGEVITA se administrează injectabil subcutanat la două săptămâni. </w:t>
      </w:r>
    </w:p>
    <w:p w14:paraId="27111998" w14:textId="77777777" w:rsidR="00C04CAD" w:rsidRDefault="00C04CAD">
      <w:pPr>
        <w:keepNext/>
        <w:spacing w:line="240" w:lineRule="auto"/>
      </w:pPr>
    </w:p>
    <w:p w14:paraId="560F9CE1" w14:textId="77777777" w:rsidR="00C04CAD" w:rsidRDefault="00060E34">
      <w:pPr>
        <w:suppressAutoHyphens/>
        <w:spacing w:line="240" w:lineRule="auto"/>
        <w:rPr>
          <w:b/>
          <w:szCs w:val="22"/>
        </w:rPr>
      </w:pPr>
      <w:r>
        <w:rPr>
          <w:b/>
          <w:szCs w:val="22"/>
        </w:rPr>
        <w:t xml:space="preserve">Tabelul 1. Doza de AMGEVITA pentru pacienții cu artrită juvenilă idiopatică forma poliarticulară </w:t>
      </w:r>
    </w:p>
    <w:p w14:paraId="30025A93" w14:textId="77777777" w:rsidR="00C04CAD" w:rsidRDefault="00C04CAD">
      <w:pPr>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33AD4DF6" w14:textId="77777777">
        <w:trPr>
          <w:tblHeader/>
        </w:trPr>
        <w:tc>
          <w:tcPr>
            <w:tcW w:w="2241" w:type="pct"/>
          </w:tcPr>
          <w:p w14:paraId="65599663"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38EB3DC4"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2C55C77A" w14:textId="77777777">
        <w:trPr>
          <w:tblHeader/>
        </w:trPr>
        <w:tc>
          <w:tcPr>
            <w:tcW w:w="2241" w:type="pct"/>
          </w:tcPr>
          <w:p w14:paraId="1A94B454"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10 kg până la &lt; 30 kg</w:t>
            </w:r>
          </w:p>
        </w:tc>
        <w:tc>
          <w:tcPr>
            <w:tcW w:w="2759" w:type="pct"/>
          </w:tcPr>
          <w:p w14:paraId="55D6CBD0"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20 mg la două săptămâni</w:t>
            </w:r>
          </w:p>
        </w:tc>
      </w:tr>
      <w:tr w:rsidR="00C04CAD" w14:paraId="71686213" w14:textId="77777777">
        <w:trPr>
          <w:tblHeader/>
        </w:trPr>
        <w:tc>
          <w:tcPr>
            <w:tcW w:w="2241" w:type="pct"/>
          </w:tcPr>
          <w:p w14:paraId="71D24FC9"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2C4BC243"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40 mg la două săptămâni</w:t>
            </w:r>
          </w:p>
        </w:tc>
      </w:tr>
    </w:tbl>
    <w:p w14:paraId="4C8755A8" w14:textId="77777777" w:rsidR="00C04CAD" w:rsidRDefault="00C04CAD">
      <w:pPr>
        <w:tabs>
          <w:tab w:val="clear" w:pos="567"/>
        </w:tabs>
        <w:kinsoku w:val="0"/>
        <w:overflowPunct w:val="0"/>
        <w:autoSpaceDE w:val="0"/>
        <w:autoSpaceDN w:val="0"/>
        <w:adjustRightInd w:val="0"/>
        <w:spacing w:line="240" w:lineRule="auto"/>
      </w:pPr>
    </w:p>
    <w:p w14:paraId="7EEDF774"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Datele clinice disponibile sugerează că răspunsul</w:t>
      </w:r>
      <w:r>
        <w:t xml:space="preserve"> clinic este obţinut, de regulă, în cursul a 12 săptămâni de tratament. Continuarea tratamentului trebuie reevaluată atent în cazul pacienţilor care nu răspund la tratament în timpul acestei perioade.</w:t>
      </w:r>
    </w:p>
    <w:p w14:paraId="0A3B0CCA" w14:textId="77777777" w:rsidR="00C04CAD" w:rsidRDefault="00C04CAD">
      <w:pPr>
        <w:tabs>
          <w:tab w:val="clear" w:pos="567"/>
        </w:tabs>
        <w:kinsoku w:val="0"/>
        <w:overflowPunct w:val="0"/>
        <w:autoSpaceDE w:val="0"/>
        <w:autoSpaceDN w:val="0"/>
        <w:adjustRightInd w:val="0"/>
        <w:spacing w:line="240" w:lineRule="auto"/>
      </w:pPr>
    </w:p>
    <w:p w14:paraId="16664760" w14:textId="77777777" w:rsidR="00C04CAD" w:rsidRDefault="00060E34">
      <w:pPr>
        <w:tabs>
          <w:tab w:val="clear" w:pos="567"/>
        </w:tabs>
        <w:kinsoku w:val="0"/>
        <w:overflowPunct w:val="0"/>
        <w:autoSpaceDE w:val="0"/>
        <w:autoSpaceDN w:val="0"/>
        <w:adjustRightInd w:val="0"/>
        <w:spacing w:line="240" w:lineRule="auto"/>
      </w:pPr>
      <w:r>
        <w:t xml:space="preserve">Pentru această indicaţie, nu există date relevante privind utilizarea </w:t>
      </w:r>
      <w:r>
        <w:rPr>
          <w:rFonts w:eastAsia="MS Mincho"/>
          <w:szCs w:val="22"/>
          <w:lang w:eastAsia="en-US" w:bidi="ar-SA"/>
        </w:rPr>
        <w:t>adalimumab</w:t>
      </w:r>
      <w:r>
        <w:t xml:space="preserve"> la pacienţi cu vârsta mai mică de 2 ani.</w:t>
      </w:r>
    </w:p>
    <w:p w14:paraId="6CCCE4DF" w14:textId="77777777" w:rsidR="00C04CAD" w:rsidRDefault="00C04CAD">
      <w:pPr>
        <w:tabs>
          <w:tab w:val="clear" w:pos="567"/>
        </w:tabs>
        <w:kinsoku w:val="0"/>
        <w:overflowPunct w:val="0"/>
        <w:autoSpaceDE w:val="0"/>
        <w:autoSpaceDN w:val="0"/>
        <w:adjustRightInd w:val="0"/>
        <w:spacing w:line="240" w:lineRule="auto"/>
      </w:pPr>
    </w:p>
    <w:p w14:paraId="0B75254B"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28245F7A" w14:textId="77777777" w:rsidR="00C04CAD" w:rsidRDefault="00C04CAD">
      <w:pPr>
        <w:tabs>
          <w:tab w:val="clear" w:pos="567"/>
        </w:tabs>
        <w:kinsoku w:val="0"/>
        <w:overflowPunct w:val="0"/>
        <w:autoSpaceDE w:val="0"/>
        <w:autoSpaceDN w:val="0"/>
        <w:adjustRightInd w:val="0"/>
        <w:spacing w:line="240" w:lineRule="auto"/>
      </w:pPr>
    </w:p>
    <w:p w14:paraId="166F8BC3" w14:textId="77777777" w:rsidR="00C04CAD" w:rsidRDefault="00060E34">
      <w:pPr>
        <w:keepNext/>
        <w:tabs>
          <w:tab w:val="clear" w:pos="567"/>
        </w:tabs>
        <w:kinsoku w:val="0"/>
        <w:overflowPunct w:val="0"/>
        <w:autoSpaceDE w:val="0"/>
        <w:autoSpaceDN w:val="0"/>
        <w:adjustRightInd w:val="0"/>
        <w:spacing w:line="240" w:lineRule="auto"/>
      </w:pPr>
      <w:r>
        <w:rPr>
          <w:i/>
        </w:rPr>
        <w:t>Artrită asociată entezitei</w:t>
      </w:r>
    </w:p>
    <w:p w14:paraId="50517368" w14:textId="77777777" w:rsidR="00C04CAD" w:rsidRDefault="00C04CAD">
      <w:pPr>
        <w:keepNext/>
        <w:tabs>
          <w:tab w:val="clear" w:pos="567"/>
        </w:tabs>
        <w:kinsoku w:val="0"/>
        <w:overflowPunct w:val="0"/>
        <w:autoSpaceDE w:val="0"/>
        <w:autoSpaceDN w:val="0"/>
        <w:adjustRightInd w:val="0"/>
        <w:spacing w:line="240" w:lineRule="auto"/>
      </w:pPr>
    </w:p>
    <w:p w14:paraId="5FC54621" w14:textId="77777777" w:rsidR="00C04CAD" w:rsidRDefault="00060E34">
      <w:pPr>
        <w:tabs>
          <w:tab w:val="clear" w:pos="567"/>
        </w:tabs>
        <w:kinsoku w:val="0"/>
        <w:overflowPunct w:val="0"/>
        <w:autoSpaceDE w:val="0"/>
        <w:autoSpaceDN w:val="0"/>
        <w:adjustRightInd w:val="0"/>
        <w:spacing w:line="240" w:lineRule="auto"/>
      </w:pPr>
      <w:r>
        <w:t xml:space="preserve">Doza de </w:t>
      </w:r>
      <w:r>
        <w:rPr>
          <w:rFonts w:eastAsia="MS Mincho"/>
          <w:szCs w:val="22"/>
          <w:lang w:eastAsia="en-US" w:bidi="ar-SA"/>
        </w:rPr>
        <w:t>AMGEVITA</w:t>
      </w:r>
      <w:r>
        <w:t xml:space="preserve"> recomandată pentru pacienţii cu artrită asociată entezitei de la vârsta de 6 ani se bazează pe greutate corporală (tabelul 2). AMGEVITA se administrează o dată la două săptămâni prin injecţie subcutanată. </w:t>
      </w:r>
    </w:p>
    <w:p w14:paraId="2E2048AA" w14:textId="77777777" w:rsidR="00C04CAD" w:rsidRDefault="00C04CAD">
      <w:pPr>
        <w:tabs>
          <w:tab w:val="clear" w:pos="567"/>
        </w:tabs>
        <w:kinsoku w:val="0"/>
        <w:overflowPunct w:val="0"/>
        <w:autoSpaceDE w:val="0"/>
        <w:autoSpaceDN w:val="0"/>
        <w:adjustRightInd w:val="0"/>
        <w:spacing w:line="240" w:lineRule="auto"/>
      </w:pPr>
    </w:p>
    <w:p w14:paraId="27907215" w14:textId="77777777" w:rsidR="00C04CAD" w:rsidRDefault="00060E34">
      <w:pPr>
        <w:keepNext/>
        <w:tabs>
          <w:tab w:val="clear" w:pos="567"/>
        </w:tabs>
        <w:kinsoku w:val="0"/>
        <w:overflowPunct w:val="0"/>
        <w:autoSpaceDE w:val="0"/>
        <w:autoSpaceDN w:val="0"/>
        <w:adjustRightInd w:val="0"/>
        <w:spacing w:line="240" w:lineRule="auto"/>
      </w:pPr>
      <w:r>
        <w:rPr>
          <w:b/>
          <w:szCs w:val="22"/>
        </w:rPr>
        <w:t>Tabelul 2. Doza de AMGEVITA pentru pacienții cu artrită asociată entezitei</w:t>
      </w:r>
    </w:p>
    <w:p w14:paraId="6B755EAD" w14:textId="77777777" w:rsidR="00C04CAD" w:rsidRDefault="00C04CAD">
      <w:pPr>
        <w:keepNext/>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5CDEAD7C" w14:textId="77777777">
        <w:trPr>
          <w:tblHeader/>
        </w:trPr>
        <w:tc>
          <w:tcPr>
            <w:tcW w:w="2241" w:type="pct"/>
          </w:tcPr>
          <w:p w14:paraId="10BE04E4"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64CE63FC"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4CE96D76" w14:textId="77777777">
        <w:trPr>
          <w:tblHeader/>
        </w:trPr>
        <w:tc>
          <w:tcPr>
            <w:tcW w:w="2241" w:type="pct"/>
          </w:tcPr>
          <w:p w14:paraId="65B2604F"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15 kg până la &lt; 30 kg</w:t>
            </w:r>
          </w:p>
        </w:tc>
        <w:tc>
          <w:tcPr>
            <w:tcW w:w="2759" w:type="pct"/>
          </w:tcPr>
          <w:p w14:paraId="0725B6FB"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20 mg la două săptămâni</w:t>
            </w:r>
          </w:p>
        </w:tc>
      </w:tr>
      <w:tr w:rsidR="00C04CAD" w14:paraId="21B669A9" w14:textId="77777777">
        <w:trPr>
          <w:tblHeader/>
        </w:trPr>
        <w:tc>
          <w:tcPr>
            <w:tcW w:w="2241" w:type="pct"/>
          </w:tcPr>
          <w:p w14:paraId="32191D23"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087F9651"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40 mg la două săptămâni</w:t>
            </w:r>
          </w:p>
        </w:tc>
      </w:tr>
    </w:tbl>
    <w:p w14:paraId="6E002FC4" w14:textId="77777777" w:rsidR="00C04CAD" w:rsidRDefault="00C04CAD">
      <w:pPr>
        <w:tabs>
          <w:tab w:val="clear" w:pos="567"/>
        </w:tabs>
        <w:kinsoku w:val="0"/>
        <w:overflowPunct w:val="0"/>
        <w:autoSpaceDE w:val="0"/>
        <w:autoSpaceDN w:val="0"/>
        <w:adjustRightInd w:val="0"/>
        <w:spacing w:line="240" w:lineRule="auto"/>
      </w:pPr>
    </w:p>
    <w:p w14:paraId="183554F6"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Adalimumab</w:t>
      </w:r>
      <w:r>
        <w:t xml:space="preserve"> nu a fost studiat la pacienţii cu artrită asociată entezitei cu vârsta mai mică de 6 ani.</w:t>
      </w:r>
    </w:p>
    <w:p w14:paraId="5109246D" w14:textId="77777777" w:rsidR="00C04CAD" w:rsidRDefault="00C04CAD">
      <w:pPr>
        <w:tabs>
          <w:tab w:val="clear" w:pos="567"/>
        </w:tabs>
        <w:kinsoku w:val="0"/>
        <w:overflowPunct w:val="0"/>
        <w:autoSpaceDE w:val="0"/>
        <w:autoSpaceDN w:val="0"/>
        <w:adjustRightInd w:val="0"/>
        <w:spacing w:line="240" w:lineRule="auto"/>
      </w:pPr>
    </w:p>
    <w:p w14:paraId="66C7593D"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08B76BBB" w14:textId="77777777" w:rsidR="00C04CAD" w:rsidRDefault="00C04CAD">
      <w:pPr>
        <w:tabs>
          <w:tab w:val="clear" w:pos="567"/>
        </w:tabs>
        <w:kinsoku w:val="0"/>
        <w:overflowPunct w:val="0"/>
        <w:autoSpaceDE w:val="0"/>
        <w:autoSpaceDN w:val="0"/>
        <w:adjustRightInd w:val="0"/>
        <w:spacing w:line="240" w:lineRule="auto"/>
      </w:pPr>
    </w:p>
    <w:p w14:paraId="7FAC8DFE"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Artrita psoriazică şi spondiloartrita axială inclusiv spondilita anchilozantă </w:t>
      </w:r>
    </w:p>
    <w:p w14:paraId="19D037CC"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63F93D96" w14:textId="77777777" w:rsidR="00C04CAD" w:rsidRDefault="00060E34">
      <w:pPr>
        <w:tabs>
          <w:tab w:val="clear" w:pos="567"/>
        </w:tabs>
        <w:kinsoku w:val="0"/>
        <w:overflowPunct w:val="0"/>
        <w:autoSpaceDE w:val="0"/>
        <w:autoSpaceDN w:val="0"/>
        <w:adjustRightInd w:val="0"/>
        <w:spacing w:line="240" w:lineRule="auto"/>
      </w:pPr>
      <w:r>
        <w:rPr>
          <w:rFonts w:eastAsia="MS Mincho"/>
          <w:color w:val="000000"/>
          <w:szCs w:val="22"/>
          <w:lang w:eastAsia="ja-JP" w:bidi="ar-SA"/>
        </w:rPr>
        <w:t>Pentru indicaţiile spondilită anchilozantă şi artrită psoriazică nu există date relevante privind utilizarea adalimumabului la copii și adolescenți.</w:t>
      </w:r>
    </w:p>
    <w:p w14:paraId="6BBC9156" w14:textId="77777777" w:rsidR="00C04CAD" w:rsidRDefault="00C04CAD">
      <w:pPr>
        <w:tabs>
          <w:tab w:val="clear" w:pos="567"/>
        </w:tabs>
        <w:kinsoku w:val="0"/>
        <w:overflowPunct w:val="0"/>
        <w:autoSpaceDE w:val="0"/>
        <w:autoSpaceDN w:val="0"/>
        <w:adjustRightInd w:val="0"/>
        <w:spacing w:line="240" w:lineRule="auto"/>
      </w:pPr>
    </w:p>
    <w:p w14:paraId="3C207505" w14:textId="77777777" w:rsidR="00C04CAD" w:rsidRDefault="00060E34">
      <w:pPr>
        <w:keepNext/>
        <w:tabs>
          <w:tab w:val="clear" w:pos="567"/>
        </w:tabs>
        <w:kinsoku w:val="0"/>
        <w:overflowPunct w:val="0"/>
        <w:autoSpaceDE w:val="0"/>
        <w:autoSpaceDN w:val="0"/>
        <w:adjustRightInd w:val="0"/>
        <w:spacing w:line="240" w:lineRule="auto"/>
      </w:pPr>
      <w:r>
        <w:rPr>
          <w:i/>
        </w:rPr>
        <w:t>Psoriazis în plăci la copii și adolescenți</w:t>
      </w:r>
    </w:p>
    <w:p w14:paraId="4436267F" w14:textId="77777777" w:rsidR="00C04CAD" w:rsidRDefault="00C04CAD">
      <w:pPr>
        <w:keepNext/>
        <w:tabs>
          <w:tab w:val="clear" w:pos="567"/>
        </w:tabs>
        <w:kinsoku w:val="0"/>
        <w:overflowPunct w:val="0"/>
        <w:autoSpaceDE w:val="0"/>
        <w:autoSpaceDN w:val="0"/>
        <w:adjustRightInd w:val="0"/>
        <w:spacing w:line="240" w:lineRule="auto"/>
      </w:pPr>
    </w:p>
    <w:p w14:paraId="6C6F9C44" w14:textId="77777777" w:rsidR="00C04CAD" w:rsidRDefault="00060E34">
      <w:pPr>
        <w:tabs>
          <w:tab w:val="clear" w:pos="567"/>
        </w:tabs>
        <w:kinsoku w:val="0"/>
        <w:overflowPunct w:val="0"/>
        <w:autoSpaceDE w:val="0"/>
        <w:autoSpaceDN w:val="0"/>
        <w:adjustRightInd w:val="0"/>
        <w:spacing w:line="240" w:lineRule="auto"/>
      </w:pPr>
      <w:r>
        <w:t xml:space="preserve">Doza de </w:t>
      </w:r>
      <w:r>
        <w:rPr>
          <w:rFonts w:eastAsia="MS Mincho"/>
          <w:szCs w:val="22"/>
          <w:lang w:eastAsia="en-US" w:bidi="ar-SA"/>
        </w:rPr>
        <w:t>AMGEVITA</w:t>
      </w:r>
      <w:r>
        <w:t xml:space="preserve"> recomandată pentru pacienții cu psoriazis în plăci, cu vârsta cuprinsă între 4 și 17 ani se bazează pe greutatea corporală (tabelul 3). AMGEVITA se administrează prin injecţie subcutanată. </w:t>
      </w:r>
    </w:p>
    <w:p w14:paraId="10CADD82" w14:textId="77777777" w:rsidR="00C04CAD" w:rsidRDefault="00C04CAD">
      <w:pPr>
        <w:tabs>
          <w:tab w:val="clear" w:pos="567"/>
        </w:tabs>
        <w:kinsoku w:val="0"/>
        <w:overflowPunct w:val="0"/>
        <w:autoSpaceDE w:val="0"/>
        <w:autoSpaceDN w:val="0"/>
        <w:adjustRightInd w:val="0"/>
        <w:spacing w:line="240" w:lineRule="auto"/>
      </w:pPr>
    </w:p>
    <w:p w14:paraId="51A080FE" w14:textId="77777777" w:rsidR="00C04CAD" w:rsidRDefault="00060E34">
      <w:pPr>
        <w:keepNext/>
        <w:suppressAutoHyphens/>
        <w:spacing w:line="240" w:lineRule="auto"/>
        <w:rPr>
          <w:b/>
          <w:szCs w:val="22"/>
        </w:rPr>
      </w:pPr>
      <w:r>
        <w:rPr>
          <w:b/>
          <w:szCs w:val="22"/>
        </w:rPr>
        <w:t xml:space="preserve">Tabelul 3. AMGEVITA Doza pentru psoriazisul în plăci la copii și adolescenți </w:t>
      </w:r>
    </w:p>
    <w:p w14:paraId="15817607" w14:textId="77777777" w:rsidR="00C04CAD" w:rsidRDefault="00C04CAD">
      <w:pPr>
        <w:keepNext/>
        <w:suppressAutoHyphens/>
        <w:spacing w:line="240" w:lineRule="auto"/>
        <w:rPr>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C04CAD" w14:paraId="3AE7C668" w14:textId="77777777">
        <w:trPr>
          <w:tblHeader/>
        </w:trPr>
        <w:tc>
          <w:tcPr>
            <w:tcW w:w="2241" w:type="pct"/>
          </w:tcPr>
          <w:p w14:paraId="2299B7A5"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Greutatea pacientului</w:t>
            </w:r>
          </w:p>
        </w:tc>
        <w:tc>
          <w:tcPr>
            <w:tcW w:w="2759" w:type="pct"/>
          </w:tcPr>
          <w:p w14:paraId="7E270B41" w14:textId="77777777" w:rsidR="00C04CAD" w:rsidRDefault="00060E34">
            <w:pPr>
              <w:keepNext/>
              <w:tabs>
                <w:tab w:val="clear" w:pos="567"/>
              </w:tabs>
              <w:spacing w:line="240" w:lineRule="auto"/>
              <w:rPr>
                <w:rFonts w:eastAsia="Calibri"/>
                <w:b/>
                <w:szCs w:val="22"/>
                <w:lang w:eastAsia="ja-JP"/>
              </w:rPr>
            </w:pPr>
            <w:r>
              <w:rPr>
                <w:rFonts w:eastAsia="Calibri"/>
                <w:b/>
                <w:szCs w:val="22"/>
                <w:lang w:eastAsia="ja-JP"/>
              </w:rPr>
              <w:t>Doză</w:t>
            </w:r>
          </w:p>
        </w:tc>
      </w:tr>
      <w:tr w:rsidR="00C04CAD" w14:paraId="08E8B788" w14:textId="77777777">
        <w:trPr>
          <w:tblHeader/>
        </w:trPr>
        <w:tc>
          <w:tcPr>
            <w:tcW w:w="2241" w:type="pct"/>
          </w:tcPr>
          <w:p w14:paraId="68B35F1E"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15 kg până la &lt; 30 kg</w:t>
            </w:r>
          </w:p>
        </w:tc>
        <w:tc>
          <w:tcPr>
            <w:tcW w:w="2759" w:type="pct"/>
          </w:tcPr>
          <w:p w14:paraId="4454EBD9"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Doza inițială de 20 mg, urmată de o doză de 20 mg administrată la două săptămâni, începând la o săptămână după doza inițială.</w:t>
            </w:r>
          </w:p>
        </w:tc>
      </w:tr>
      <w:tr w:rsidR="00C04CAD" w14:paraId="2D399F56" w14:textId="77777777">
        <w:trPr>
          <w:tblHeader/>
        </w:trPr>
        <w:tc>
          <w:tcPr>
            <w:tcW w:w="2241" w:type="pct"/>
          </w:tcPr>
          <w:p w14:paraId="62D58BC2" w14:textId="77777777" w:rsidR="00C04CAD" w:rsidRDefault="00060E34">
            <w:pPr>
              <w:keepNext/>
              <w:tabs>
                <w:tab w:val="clear" w:pos="567"/>
              </w:tabs>
              <w:spacing w:line="240" w:lineRule="auto"/>
              <w:rPr>
                <w:rFonts w:eastAsia="Calibri"/>
                <w:b/>
                <w:szCs w:val="22"/>
                <w:lang w:eastAsia="ja-JP"/>
              </w:rPr>
            </w:pPr>
            <w:r>
              <w:rPr>
                <w:rFonts w:eastAsia="Calibri"/>
                <w:szCs w:val="22"/>
                <w:lang w:eastAsia="ja-JP"/>
              </w:rPr>
              <w:t>≥ 30 kg</w:t>
            </w:r>
          </w:p>
        </w:tc>
        <w:tc>
          <w:tcPr>
            <w:tcW w:w="2759" w:type="pct"/>
          </w:tcPr>
          <w:p w14:paraId="355F89E3" w14:textId="77777777" w:rsidR="00C04CAD" w:rsidRDefault="00060E34">
            <w:pPr>
              <w:suppressAutoHyphens/>
              <w:spacing w:line="240" w:lineRule="auto"/>
              <w:rPr>
                <w:b/>
                <w:szCs w:val="22"/>
              </w:rPr>
            </w:pPr>
            <w:r>
              <w:rPr>
                <w:rFonts w:eastAsia="Calibri"/>
                <w:szCs w:val="22"/>
                <w:lang w:eastAsia="ja-JP"/>
              </w:rPr>
              <w:t>Doza inițială de 40 mg, urmată de o doză de 40 mg administrată la două săptămâni, începând la o săptămână după doza inițială</w:t>
            </w:r>
          </w:p>
        </w:tc>
      </w:tr>
    </w:tbl>
    <w:p w14:paraId="16A25FDD" w14:textId="77777777" w:rsidR="00C04CAD" w:rsidRDefault="00C04CAD">
      <w:pPr>
        <w:tabs>
          <w:tab w:val="clear" w:pos="567"/>
        </w:tabs>
        <w:autoSpaceDE w:val="0"/>
        <w:autoSpaceDN w:val="0"/>
        <w:adjustRightInd w:val="0"/>
        <w:spacing w:line="240" w:lineRule="auto"/>
        <w:rPr>
          <w:color w:val="000000"/>
          <w:szCs w:val="22"/>
        </w:rPr>
      </w:pPr>
    </w:p>
    <w:p w14:paraId="6E446EE9" w14:textId="77777777" w:rsidR="00C04CAD" w:rsidRDefault="00060E34">
      <w:pPr>
        <w:tabs>
          <w:tab w:val="clear" w:pos="567"/>
        </w:tabs>
        <w:kinsoku w:val="0"/>
        <w:overflowPunct w:val="0"/>
        <w:autoSpaceDE w:val="0"/>
        <w:autoSpaceDN w:val="0"/>
        <w:adjustRightInd w:val="0"/>
        <w:spacing w:line="240" w:lineRule="auto"/>
        <w:rPr>
          <w:color w:val="000000"/>
          <w:szCs w:val="22"/>
        </w:rPr>
      </w:pPr>
      <w:r>
        <w:rPr>
          <w:color w:val="000000"/>
          <w:szCs w:val="22"/>
        </w:rPr>
        <w:t xml:space="preserve">Trebuie evaluată cu atenție continuarea tratamentului pe o durată mai mare de 16 săptămâni dacă pacienții nu răspund la tratament în acest interval de timp. </w:t>
      </w:r>
    </w:p>
    <w:p w14:paraId="525FC160" w14:textId="77777777" w:rsidR="00C04CAD" w:rsidRDefault="00C04CAD">
      <w:pPr>
        <w:tabs>
          <w:tab w:val="clear" w:pos="567"/>
        </w:tabs>
        <w:kinsoku w:val="0"/>
        <w:overflowPunct w:val="0"/>
        <w:autoSpaceDE w:val="0"/>
        <w:autoSpaceDN w:val="0"/>
        <w:adjustRightInd w:val="0"/>
        <w:spacing w:line="240" w:lineRule="auto"/>
      </w:pPr>
    </w:p>
    <w:p w14:paraId="3E8A6CE5" w14:textId="77777777" w:rsidR="00C04CAD" w:rsidRDefault="00060E34">
      <w:pPr>
        <w:tabs>
          <w:tab w:val="clear" w:pos="567"/>
        </w:tabs>
        <w:kinsoku w:val="0"/>
        <w:overflowPunct w:val="0"/>
        <w:autoSpaceDE w:val="0"/>
        <w:autoSpaceDN w:val="0"/>
        <w:adjustRightInd w:val="0"/>
        <w:spacing w:line="240" w:lineRule="auto"/>
      </w:pPr>
      <w:r>
        <w:t xml:space="preserve">Dacă este indicată reluarea tratamentului cu </w:t>
      </w:r>
      <w:r>
        <w:rPr>
          <w:rFonts w:eastAsia="MS Mincho"/>
          <w:szCs w:val="22"/>
          <w:lang w:eastAsia="en-US" w:bidi="ar-SA"/>
        </w:rPr>
        <w:t>AMGEVITA</w:t>
      </w:r>
      <w:r>
        <w:t>, trebuie urmate recomandările de mai sus referitoare la doză și la durata tratamentului.</w:t>
      </w:r>
    </w:p>
    <w:p w14:paraId="5F80720B" w14:textId="77777777" w:rsidR="00C04CAD" w:rsidRDefault="00C04CAD">
      <w:pPr>
        <w:tabs>
          <w:tab w:val="clear" w:pos="567"/>
        </w:tabs>
        <w:kinsoku w:val="0"/>
        <w:overflowPunct w:val="0"/>
        <w:autoSpaceDE w:val="0"/>
        <w:autoSpaceDN w:val="0"/>
        <w:adjustRightInd w:val="0"/>
        <w:spacing w:line="240" w:lineRule="auto"/>
      </w:pPr>
    </w:p>
    <w:p w14:paraId="5DA3FC91" w14:textId="77777777" w:rsidR="00C04CAD" w:rsidRDefault="00060E34">
      <w:pPr>
        <w:tabs>
          <w:tab w:val="clear" w:pos="567"/>
        </w:tabs>
        <w:kinsoku w:val="0"/>
        <w:overflowPunct w:val="0"/>
        <w:autoSpaceDE w:val="0"/>
        <w:autoSpaceDN w:val="0"/>
        <w:adjustRightInd w:val="0"/>
        <w:spacing w:line="240" w:lineRule="auto"/>
      </w:pPr>
      <w:r>
        <w:t xml:space="preserve">Siguranța </w:t>
      </w:r>
      <w:r>
        <w:rPr>
          <w:rFonts w:eastAsia="MS Mincho"/>
          <w:szCs w:val="22"/>
          <w:lang w:eastAsia="en-US" w:bidi="ar-SA"/>
        </w:rPr>
        <w:t>adalimumab</w:t>
      </w:r>
      <w:r>
        <w:t xml:space="preserve"> la pacienți copii și adolescenți cu psoriazis în plăci a fost evaluată pentru o perioadă medie de 13 luni.</w:t>
      </w:r>
    </w:p>
    <w:p w14:paraId="771D2814" w14:textId="77777777" w:rsidR="00C04CAD" w:rsidRDefault="00C04CAD">
      <w:pPr>
        <w:tabs>
          <w:tab w:val="clear" w:pos="567"/>
        </w:tabs>
        <w:kinsoku w:val="0"/>
        <w:overflowPunct w:val="0"/>
        <w:autoSpaceDE w:val="0"/>
        <w:autoSpaceDN w:val="0"/>
        <w:adjustRightInd w:val="0"/>
        <w:spacing w:line="240" w:lineRule="auto"/>
      </w:pPr>
    </w:p>
    <w:p w14:paraId="34978C90" w14:textId="77777777" w:rsidR="00C04CAD" w:rsidRDefault="00060E34">
      <w:pPr>
        <w:tabs>
          <w:tab w:val="clear" w:pos="567"/>
        </w:tabs>
        <w:kinsoku w:val="0"/>
        <w:overflowPunct w:val="0"/>
        <w:autoSpaceDE w:val="0"/>
        <w:autoSpaceDN w:val="0"/>
        <w:adjustRightInd w:val="0"/>
        <w:spacing w:line="240" w:lineRule="auto"/>
      </w:pPr>
      <w:r>
        <w:t xml:space="preserve">Pentru această indicaţie, nu există date relevante privind utilizarea </w:t>
      </w:r>
      <w:r>
        <w:rPr>
          <w:rFonts w:eastAsia="MS Mincho"/>
          <w:szCs w:val="22"/>
          <w:lang w:eastAsia="en-US" w:bidi="ar-SA"/>
        </w:rPr>
        <w:t>adalimumab</w:t>
      </w:r>
      <w:r>
        <w:t xml:space="preserve"> la copii cu vârsta mai mică de 4 ani.</w:t>
      </w:r>
    </w:p>
    <w:p w14:paraId="34F84F8C" w14:textId="77777777" w:rsidR="00C04CAD" w:rsidRDefault="00C04CAD">
      <w:pPr>
        <w:tabs>
          <w:tab w:val="clear" w:pos="567"/>
        </w:tabs>
        <w:kinsoku w:val="0"/>
        <w:overflowPunct w:val="0"/>
        <w:autoSpaceDE w:val="0"/>
        <w:autoSpaceDN w:val="0"/>
        <w:adjustRightInd w:val="0"/>
        <w:spacing w:line="240" w:lineRule="auto"/>
      </w:pPr>
    </w:p>
    <w:p w14:paraId="35108288"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556C589F" w14:textId="77777777" w:rsidR="00C04CAD" w:rsidRDefault="00C04CAD">
      <w:pPr>
        <w:tabs>
          <w:tab w:val="clear" w:pos="567"/>
        </w:tabs>
        <w:kinsoku w:val="0"/>
        <w:overflowPunct w:val="0"/>
        <w:autoSpaceDE w:val="0"/>
        <w:autoSpaceDN w:val="0"/>
        <w:adjustRightInd w:val="0"/>
        <w:spacing w:line="240" w:lineRule="auto"/>
      </w:pPr>
    </w:p>
    <w:p w14:paraId="3890B4F6" w14:textId="77777777" w:rsidR="00C04CAD" w:rsidRDefault="00060E34">
      <w:pPr>
        <w:tabs>
          <w:tab w:val="clear" w:pos="567"/>
        </w:tabs>
        <w:kinsoku w:val="0"/>
        <w:overflowPunct w:val="0"/>
        <w:autoSpaceDE w:val="0"/>
        <w:autoSpaceDN w:val="0"/>
        <w:adjustRightInd w:val="0"/>
        <w:spacing w:line="240" w:lineRule="auto"/>
      </w:pPr>
      <w:r>
        <w:rPr>
          <w:i/>
        </w:rPr>
        <w:t>Hidrosadenită supurativă</w:t>
      </w:r>
      <w:r>
        <w:t xml:space="preserve"> </w:t>
      </w:r>
      <w:r>
        <w:rPr>
          <w:i/>
        </w:rPr>
        <w:t>la adolescenți (de la vârsta de 12 ani, cu greutatea de cel puțin 30 kg)</w:t>
      </w:r>
    </w:p>
    <w:p w14:paraId="227B1C1C" w14:textId="77777777" w:rsidR="00C04CAD" w:rsidRDefault="00C04CAD">
      <w:pPr>
        <w:tabs>
          <w:tab w:val="clear" w:pos="567"/>
        </w:tabs>
        <w:kinsoku w:val="0"/>
        <w:overflowPunct w:val="0"/>
        <w:autoSpaceDE w:val="0"/>
        <w:autoSpaceDN w:val="0"/>
        <w:adjustRightInd w:val="0"/>
        <w:spacing w:line="240" w:lineRule="auto"/>
      </w:pPr>
    </w:p>
    <w:p w14:paraId="67F2105F" w14:textId="77777777" w:rsidR="00C04CAD" w:rsidRDefault="00060E34">
      <w:pPr>
        <w:tabs>
          <w:tab w:val="clear" w:pos="567"/>
        </w:tabs>
        <w:kinsoku w:val="0"/>
        <w:overflowPunct w:val="0"/>
        <w:autoSpaceDE w:val="0"/>
        <w:autoSpaceDN w:val="0"/>
        <w:adjustRightInd w:val="0"/>
        <w:spacing w:line="240" w:lineRule="auto"/>
      </w:pPr>
      <w:r>
        <w:t xml:space="preserve">Nu s-au </w:t>
      </w:r>
      <w:r>
        <w:rPr>
          <w:szCs w:val="22"/>
        </w:rPr>
        <w:t>desfășurat</w:t>
      </w:r>
      <w:r>
        <w:t xml:space="preserve"> studii clinice cu adalimumab la pacienți adolescenți cu HS. Doza de AMGEVITA la acești pacienți a fost stabilită conform modelării și simulării farmacocinetice (vezi pct. 5.2). </w:t>
      </w:r>
    </w:p>
    <w:p w14:paraId="4C6B012D" w14:textId="77777777" w:rsidR="00C04CAD" w:rsidRDefault="00C04CAD">
      <w:pPr>
        <w:tabs>
          <w:tab w:val="clear" w:pos="567"/>
        </w:tabs>
        <w:kinsoku w:val="0"/>
        <w:overflowPunct w:val="0"/>
        <w:autoSpaceDE w:val="0"/>
        <w:autoSpaceDN w:val="0"/>
        <w:adjustRightInd w:val="0"/>
        <w:spacing w:line="240" w:lineRule="auto"/>
      </w:pPr>
    </w:p>
    <w:p w14:paraId="4018EE12" w14:textId="77777777" w:rsidR="00C04CAD" w:rsidRDefault="00060E34">
      <w:pPr>
        <w:tabs>
          <w:tab w:val="clear" w:pos="567"/>
        </w:tabs>
        <w:kinsoku w:val="0"/>
        <w:overflowPunct w:val="0"/>
        <w:autoSpaceDE w:val="0"/>
        <w:autoSpaceDN w:val="0"/>
        <w:adjustRightInd w:val="0"/>
        <w:spacing w:line="240" w:lineRule="auto"/>
      </w:pPr>
      <w:r>
        <w:t>Doza de AMGEVITA recomandată este de 80 mg în săptămâna 0, urmată de 40 mg la două săptămâni începând cu săptămâna 1 prin injecție subcutanată.</w:t>
      </w:r>
    </w:p>
    <w:p w14:paraId="1771F066" w14:textId="77777777" w:rsidR="00C04CAD" w:rsidRDefault="00C04CAD">
      <w:pPr>
        <w:tabs>
          <w:tab w:val="clear" w:pos="567"/>
        </w:tabs>
        <w:kinsoku w:val="0"/>
        <w:overflowPunct w:val="0"/>
        <w:autoSpaceDE w:val="0"/>
        <w:autoSpaceDN w:val="0"/>
        <w:adjustRightInd w:val="0"/>
        <w:spacing w:line="240" w:lineRule="auto"/>
      </w:pPr>
    </w:p>
    <w:p w14:paraId="092033F4" w14:textId="77777777" w:rsidR="00C04CAD" w:rsidRDefault="00060E34">
      <w:pPr>
        <w:tabs>
          <w:tab w:val="clear" w:pos="567"/>
        </w:tabs>
        <w:kinsoku w:val="0"/>
        <w:overflowPunct w:val="0"/>
        <w:autoSpaceDE w:val="0"/>
        <w:autoSpaceDN w:val="0"/>
        <w:adjustRightInd w:val="0"/>
        <w:spacing w:line="240" w:lineRule="auto"/>
      </w:pPr>
      <w:r>
        <w:t xml:space="preserve">La pacienții adolescenți </w:t>
      </w:r>
      <w:r>
        <w:rPr>
          <w:szCs w:val="22"/>
        </w:rPr>
        <w:t xml:space="preserve">care nu au răspuns corespunzător la </w:t>
      </w:r>
      <w:r>
        <w:t>AMGEVITA 40 mg la două săptămâni, se poate lua în considerare o creștere a dozei la 40 mg săptămânal sau 80 mg la două săptămâni.</w:t>
      </w:r>
    </w:p>
    <w:p w14:paraId="3375C247" w14:textId="77777777" w:rsidR="00C04CAD" w:rsidRDefault="00C04CAD">
      <w:pPr>
        <w:tabs>
          <w:tab w:val="clear" w:pos="567"/>
        </w:tabs>
        <w:kinsoku w:val="0"/>
        <w:overflowPunct w:val="0"/>
        <w:autoSpaceDE w:val="0"/>
        <w:autoSpaceDN w:val="0"/>
        <w:adjustRightInd w:val="0"/>
        <w:spacing w:line="240" w:lineRule="auto"/>
      </w:pPr>
    </w:p>
    <w:p w14:paraId="47AADED5" w14:textId="77777777" w:rsidR="00C04CAD" w:rsidRDefault="00060E34">
      <w:pPr>
        <w:tabs>
          <w:tab w:val="clear" w:pos="567"/>
        </w:tabs>
        <w:kinsoku w:val="0"/>
        <w:overflowPunct w:val="0"/>
        <w:autoSpaceDE w:val="0"/>
        <w:autoSpaceDN w:val="0"/>
        <w:adjustRightInd w:val="0"/>
        <w:spacing w:line="240" w:lineRule="auto"/>
      </w:pPr>
      <w:r>
        <w:rPr>
          <w:szCs w:val="22"/>
        </w:rPr>
        <w:t xml:space="preserve">Dacă este necesar se poate continua tratamentul cu antibiotice în timpul tratamentului cu </w:t>
      </w:r>
      <w:r>
        <w:t xml:space="preserve">AMGEVITA. Se recomandă ca în timpul tratamentului cu AMGEVITA </w:t>
      </w:r>
      <w:r>
        <w:rPr>
          <w:szCs w:val="22"/>
        </w:rPr>
        <w:t>pacienţii să spele zilnic leziunile de HS cu un antiseptic local</w:t>
      </w:r>
      <w:r>
        <w:t>.</w:t>
      </w:r>
    </w:p>
    <w:p w14:paraId="01335E56" w14:textId="77777777" w:rsidR="00C04CAD" w:rsidRDefault="00C04CAD">
      <w:pPr>
        <w:tabs>
          <w:tab w:val="clear" w:pos="567"/>
        </w:tabs>
        <w:kinsoku w:val="0"/>
        <w:overflowPunct w:val="0"/>
        <w:autoSpaceDE w:val="0"/>
        <w:autoSpaceDN w:val="0"/>
        <w:adjustRightInd w:val="0"/>
        <w:spacing w:line="240" w:lineRule="auto"/>
      </w:pPr>
    </w:p>
    <w:p w14:paraId="2AB6AB43" w14:textId="77777777" w:rsidR="00C04CAD" w:rsidRDefault="00060E34">
      <w:pPr>
        <w:tabs>
          <w:tab w:val="clear" w:pos="567"/>
        </w:tabs>
        <w:kinsoku w:val="0"/>
        <w:overflowPunct w:val="0"/>
        <w:autoSpaceDE w:val="0"/>
        <w:autoSpaceDN w:val="0"/>
        <w:adjustRightInd w:val="0"/>
        <w:spacing w:line="240" w:lineRule="auto"/>
      </w:pPr>
      <w:r>
        <w:t xml:space="preserve">Continuarea tratamentului după 12 săptămâni trebuie reconsiderată atent la </w:t>
      </w:r>
      <w:r>
        <w:rPr>
          <w:szCs w:val="22"/>
        </w:rPr>
        <w:t xml:space="preserve">pacienţii </w:t>
      </w:r>
      <w:r>
        <w:t>care nu au nicio ameliorare în timpul acestei perioade de timp.</w:t>
      </w:r>
    </w:p>
    <w:p w14:paraId="3CD4EEA6" w14:textId="77777777" w:rsidR="00C04CAD" w:rsidRDefault="00C04CAD">
      <w:pPr>
        <w:tabs>
          <w:tab w:val="clear" w:pos="567"/>
        </w:tabs>
        <w:kinsoku w:val="0"/>
        <w:overflowPunct w:val="0"/>
        <w:autoSpaceDE w:val="0"/>
        <w:autoSpaceDN w:val="0"/>
        <w:adjustRightInd w:val="0"/>
        <w:spacing w:line="240" w:lineRule="auto"/>
      </w:pPr>
    </w:p>
    <w:p w14:paraId="4FD43C52" w14:textId="77777777" w:rsidR="00C04CAD" w:rsidRDefault="00060E34">
      <w:pPr>
        <w:tabs>
          <w:tab w:val="clear" w:pos="567"/>
        </w:tabs>
        <w:kinsoku w:val="0"/>
        <w:overflowPunct w:val="0"/>
        <w:autoSpaceDE w:val="0"/>
        <w:autoSpaceDN w:val="0"/>
        <w:adjustRightInd w:val="0"/>
        <w:spacing w:line="240" w:lineRule="auto"/>
      </w:pPr>
      <w:r>
        <w:rPr>
          <w:szCs w:val="22"/>
        </w:rPr>
        <w:t xml:space="preserve">Dacă este necesară întreruperea tratamentului cu </w:t>
      </w:r>
      <w:r>
        <w:t xml:space="preserve">AMGEVITA, </w:t>
      </w:r>
      <w:r>
        <w:rPr>
          <w:szCs w:val="22"/>
        </w:rPr>
        <w:t>acesta poate fi reluat ulterior, dacă este cazul</w:t>
      </w:r>
      <w:r>
        <w:t>.</w:t>
      </w:r>
    </w:p>
    <w:p w14:paraId="1C1AE810" w14:textId="77777777" w:rsidR="00C04CAD" w:rsidRDefault="00C04CAD">
      <w:pPr>
        <w:tabs>
          <w:tab w:val="clear" w:pos="567"/>
        </w:tabs>
        <w:kinsoku w:val="0"/>
        <w:overflowPunct w:val="0"/>
        <w:autoSpaceDE w:val="0"/>
        <w:autoSpaceDN w:val="0"/>
        <w:adjustRightInd w:val="0"/>
        <w:spacing w:line="240" w:lineRule="auto"/>
      </w:pPr>
    </w:p>
    <w:p w14:paraId="4F457239" w14:textId="77777777" w:rsidR="00C04CAD" w:rsidRDefault="00060E34">
      <w:pPr>
        <w:tabs>
          <w:tab w:val="clear" w:pos="567"/>
        </w:tabs>
        <w:kinsoku w:val="0"/>
        <w:overflowPunct w:val="0"/>
        <w:autoSpaceDE w:val="0"/>
        <w:autoSpaceDN w:val="0"/>
        <w:adjustRightInd w:val="0"/>
        <w:spacing w:line="240" w:lineRule="auto"/>
      </w:pPr>
      <w:r>
        <w:t xml:space="preserve">Beneficiul și riscul </w:t>
      </w:r>
      <w:r>
        <w:rPr>
          <w:szCs w:val="22"/>
        </w:rPr>
        <w:t>continuării pe termen lung al tratamentului trebuie să fie evaluate periodic (vezi datele pentru adulți la pct 5.1)</w:t>
      </w:r>
      <w:r>
        <w:t>.</w:t>
      </w:r>
    </w:p>
    <w:p w14:paraId="363BC854" w14:textId="77777777" w:rsidR="00C04CAD" w:rsidRDefault="00C04CAD">
      <w:pPr>
        <w:tabs>
          <w:tab w:val="clear" w:pos="567"/>
        </w:tabs>
        <w:kinsoku w:val="0"/>
        <w:overflowPunct w:val="0"/>
        <w:autoSpaceDE w:val="0"/>
        <w:autoSpaceDN w:val="0"/>
        <w:adjustRightInd w:val="0"/>
        <w:spacing w:line="240" w:lineRule="auto"/>
      </w:pPr>
    </w:p>
    <w:p w14:paraId="2E810D44" w14:textId="77777777" w:rsidR="00C04CAD" w:rsidRDefault="00060E34">
      <w:pPr>
        <w:tabs>
          <w:tab w:val="clear" w:pos="567"/>
        </w:tabs>
        <w:kinsoku w:val="0"/>
        <w:overflowPunct w:val="0"/>
        <w:autoSpaceDE w:val="0"/>
        <w:autoSpaceDN w:val="0"/>
        <w:adjustRightInd w:val="0"/>
        <w:spacing w:line="240" w:lineRule="auto"/>
      </w:pPr>
      <w:r>
        <w:rPr>
          <w:szCs w:val="22"/>
        </w:rPr>
        <w:t xml:space="preserve">Pentru copiii cu vârsta mai mică de 12 ani, utilizarea </w:t>
      </w:r>
      <w:r>
        <w:t xml:space="preserve">AMGEVITA </w:t>
      </w:r>
      <w:r>
        <w:rPr>
          <w:szCs w:val="22"/>
        </w:rPr>
        <w:t>nu este relevantă pentru această indicație</w:t>
      </w:r>
      <w:r>
        <w:t>.</w:t>
      </w:r>
    </w:p>
    <w:p w14:paraId="27E6BFDF" w14:textId="77777777" w:rsidR="00C04CAD" w:rsidRDefault="00C04CAD">
      <w:pPr>
        <w:tabs>
          <w:tab w:val="clear" w:pos="567"/>
        </w:tabs>
        <w:kinsoku w:val="0"/>
        <w:overflowPunct w:val="0"/>
        <w:autoSpaceDE w:val="0"/>
        <w:autoSpaceDN w:val="0"/>
        <w:adjustRightInd w:val="0"/>
        <w:spacing w:line="240" w:lineRule="auto"/>
      </w:pPr>
    </w:p>
    <w:p w14:paraId="5A5BA381"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089C6F5F" w14:textId="77777777" w:rsidR="00C04CAD" w:rsidRDefault="00C04CAD">
      <w:pPr>
        <w:tabs>
          <w:tab w:val="clear" w:pos="567"/>
        </w:tabs>
        <w:kinsoku w:val="0"/>
        <w:overflowPunct w:val="0"/>
        <w:autoSpaceDE w:val="0"/>
        <w:autoSpaceDN w:val="0"/>
        <w:adjustRightInd w:val="0"/>
        <w:spacing w:line="240" w:lineRule="auto"/>
      </w:pPr>
    </w:p>
    <w:p w14:paraId="74694B60" w14:textId="77777777" w:rsidR="00C04CAD" w:rsidRDefault="00060E34">
      <w:pPr>
        <w:keepNext/>
        <w:kinsoku w:val="0"/>
        <w:overflowPunct w:val="0"/>
        <w:spacing w:line="240" w:lineRule="auto"/>
      </w:pPr>
      <w:r>
        <w:rPr>
          <w:i/>
          <w:iCs/>
          <w:szCs w:val="22"/>
        </w:rPr>
        <w:t>Boal</w:t>
      </w:r>
      <w:r>
        <w:rPr>
          <w:i/>
          <w:szCs w:val="22"/>
        </w:rPr>
        <w:t>ă</w:t>
      </w:r>
      <w:r>
        <w:rPr>
          <w:i/>
        </w:rPr>
        <w:t xml:space="preserve"> Crohn la copii și adolescenți</w:t>
      </w:r>
    </w:p>
    <w:p w14:paraId="067DA71A" w14:textId="77777777" w:rsidR="00C04CAD" w:rsidRDefault="00C04CAD">
      <w:pPr>
        <w:keepNext/>
        <w:kinsoku w:val="0"/>
        <w:overflowPunct w:val="0"/>
        <w:spacing w:line="240" w:lineRule="auto"/>
      </w:pPr>
    </w:p>
    <w:p w14:paraId="1D80426D" w14:textId="77777777" w:rsidR="00C04CAD" w:rsidRDefault="00060E34">
      <w:pPr>
        <w:pStyle w:val="BodyText"/>
        <w:kinsoku w:val="0"/>
        <w:overflowPunct w:val="0"/>
        <w:rPr>
          <w:i w:val="0"/>
          <w:color w:val="auto"/>
        </w:rPr>
      </w:pPr>
      <w:r>
        <w:rPr>
          <w:i w:val="0"/>
          <w:color w:val="auto"/>
        </w:rPr>
        <w:t xml:space="preserve">Doza de AMGEVITA recomandată pentru inducție pentru pacienții cu boală Crohn cu vârsta între 6 și 17 ani se bazează pe greutatea corporală (tabelul 4). AMGEVITA se administrează prin injecție subcutanată. </w:t>
      </w:r>
    </w:p>
    <w:p w14:paraId="5C8108FE" w14:textId="77777777" w:rsidR="00C04CAD" w:rsidRDefault="00C04CAD">
      <w:pPr>
        <w:pStyle w:val="BodyText"/>
        <w:kinsoku w:val="0"/>
        <w:overflowPunct w:val="0"/>
        <w:rPr>
          <w:i w:val="0"/>
          <w:color w:val="auto"/>
        </w:rPr>
      </w:pPr>
    </w:p>
    <w:p w14:paraId="5D42D75B" w14:textId="77777777" w:rsidR="00C04CAD" w:rsidRDefault="00060E34">
      <w:pPr>
        <w:keepNext/>
        <w:suppressAutoHyphens/>
        <w:spacing w:line="240" w:lineRule="auto"/>
        <w:rPr>
          <w:b/>
          <w:szCs w:val="22"/>
        </w:rPr>
      </w:pPr>
      <w:r>
        <w:rPr>
          <w:b/>
          <w:szCs w:val="22"/>
        </w:rPr>
        <w:t>Tabelul 4. AMGEVITA Doza pentru boala Crohn la pacienţi copii şi adolescenţi</w:t>
      </w:r>
    </w:p>
    <w:p w14:paraId="684CAB27" w14:textId="77777777" w:rsidR="00C04CAD" w:rsidRDefault="00C04CAD">
      <w:pPr>
        <w:keepNext/>
        <w:suppressAutoHyphens/>
        <w:spacing w:line="240" w:lineRule="auto"/>
        <w:rPr>
          <w:szCs w:val="24"/>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00"/>
        <w:gridCol w:w="5662"/>
        <w:gridCol w:w="1893"/>
      </w:tblGrid>
      <w:tr w:rsidR="00C04CAD" w14:paraId="3F32114E" w14:textId="77777777">
        <w:trPr>
          <w:tblHeader/>
        </w:trPr>
        <w:tc>
          <w:tcPr>
            <w:tcW w:w="828" w:type="pct"/>
            <w:tcBorders>
              <w:top w:val="single" w:sz="6" w:space="0" w:color="000000"/>
              <w:left w:val="single" w:sz="6" w:space="0" w:color="000000"/>
              <w:bottom w:val="single" w:sz="6" w:space="0" w:color="000000"/>
              <w:right w:val="single" w:sz="6" w:space="0" w:color="000000"/>
            </w:tcBorders>
          </w:tcPr>
          <w:p w14:paraId="604EE2FD" w14:textId="77777777" w:rsidR="00C04CAD" w:rsidRDefault="00060E34">
            <w:pPr>
              <w:suppressAutoHyphens/>
              <w:spacing w:line="240" w:lineRule="auto"/>
              <w:rPr>
                <w:szCs w:val="24"/>
              </w:rPr>
            </w:pPr>
            <w:r>
              <w:rPr>
                <w:b/>
                <w:szCs w:val="24"/>
              </w:rPr>
              <w:t>Greutatea pacientului</w:t>
            </w:r>
          </w:p>
        </w:tc>
        <w:tc>
          <w:tcPr>
            <w:tcW w:w="0" w:type="auto"/>
            <w:tcBorders>
              <w:top w:val="single" w:sz="6" w:space="0" w:color="000000"/>
              <w:left w:val="single" w:sz="6" w:space="0" w:color="000000"/>
              <w:bottom w:val="single" w:sz="6" w:space="0" w:color="000000"/>
              <w:right w:val="single" w:sz="6" w:space="0" w:color="000000"/>
            </w:tcBorders>
          </w:tcPr>
          <w:p w14:paraId="4D66EC5C" w14:textId="77777777" w:rsidR="00C04CAD" w:rsidRDefault="00060E34">
            <w:pPr>
              <w:suppressAutoHyphens/>
              <w:spacing w:line="240" w:lineRule="auto"/>
              <w:rPr>
                <w:szCs w:val="24"/>
              </w:rPr>
            </w:pPr>
            <w:r>
              <w:rPr>
                <w:b/>
                <w:szCs w:val="24"/>
              </w:rPr>
              <w:t>Doza de inducție</w:t>
            </w:r>
          </w:p>
        </w:tc>
        <w:tc>
          <w:tcPr>
            <w:tcW w:w="0" w:type="auto"/>
            <w:tcBorders>
              <w:top w:val="single" w:sz="6" w:space="0" w:color="000000"/>
              <w:left w:val="single" w:sz="6" w:space="0" w:color="000000"/>
              <w:bottom w:val="single" w:sz="6" w:space="0" w:color="000000"/>
              <w:right w:val="single" w:sz="6" w:space="0" w:color="000000"/>
            </w:tcBorders>
          </w:tcPr>
          <w:p w14:paraId="00866735" w14:textId="77777777" w:rsidR="00C04CAD" w:rsidRDefault="00060E34">
            <w:pPr>
              <w:suppressAutoHyphens/>
              <w:spacing w:line="240" w:lineRule="auto"/>
              <w:rPr>
                <w:szCs w:val="24"/>
              </w:rPr>
            </w:pPr>
            <w:r>
              <w:rPr>
                <w:b/>
                <w:szCs w:val="24"/>
              </w:rPr>
              <w:t>Doza de întreținere începând cu săptămâna 4</w:t>
            </w:r>
          </w:p>
        </w:tc>
      </w:tr>
      <w:tr w:rsidR="00C04CAD" w14:paraId="406E3030" w14:textId="77777777">
        <w:tc>
          <w:tcPr>
            <w:tcW w:w="828" w:type="pct"/>
            <w:tcBorders>
              <w:top w:val="single" w:sz="6" w:space="0" w:color="000000"/>
              <w:left w:val="single" w:sz="6" w:space="0" w:color="000000"/>
              <w:bottom w:val="single" w:sz="6" w:space="0" w:color="000000"/>
              <w:right w:val="single" w:sz="6" w:space="0" w:color="000000"/>
            </w:tcBorders>
          </w:tcPr>
          <w:p w14:paraId="7ECEA7E3" w14:textId="77777777" w:rsidR="00C04CAD" w:rsidRDefault="00060E34">
            <w:pPr>
              <w:suppressAutoHyphens/>
              <w:spacing w:line="240" w:lineRule="auto"/>
              <w:jc w:val="center"/>
              <w:rPr>
                <w:szCs w:val="24"/>
              </w:rPr>
            </w:pPr>
            <w:r>
              <w:rPr>
                <w:szCs w:val="24"/>
              </w:rPr>
              <w:t>&lt; 40 kg</w:t>
            </w:r>
          </w:p>
        </w:tc>
        <w:tc>
          <w:tcPr>
            <w:tcW w:w="0" w:type="auto"/>
            <w:tcBorders>
              <w:top w:val="single" w:sz="6" w:space="0" w:color="000000"/>
              <w:left w:val="single" w:sz="6" w:space="0" w:color="000000"/>
              <w:bottom w:val="single" w:sz="6" w:space="0" w:color="000000"/>
              <w:right w:val="single" w:sz="6" w:space="0" w:color="000000"/>
            </w:tcBorders>
          </w:tcPr>
          <w:p w14:paraId="590BB0DD" w14:textId="77777777" w:rsidR="00C04CAD" w:rsidRDefault="00060E34">
            <w:pPr>
              <w:numPr>
                <w:ilvl w:val="0"/>
                <w:numId w:val="9"/>
              </w:numPr>
              <w:tabs>
                <w:tab w:val="clear" w:pos="567"/>
              </w:tabs>
              <w:suppressAutoHyphens/>
              <w:spacing w:line="240" w:lineRule="auto"/>
              <w:ind w:left="307" w:hanging="180"/>
              <w:rPr>
                <w:szCs w:val="22"/>
              </w:rPr>
            </w:pPr>
            <w:r>
              <w:rPr>
                <w:szCs w:val="22"/>
              </w:rPr>
              <w:t>40 mg la săptămâna 0 și 20 mg la săptămâna 2</w:t>
            </w:r>
          </w:p>
          <w:p w14:paraId="308D02CD" w14:textId="77777777" w:rsidR="00C04CAD" w:rsidRDefault="00C04CAD">
            <w:pPr>
              <w:tabs>
                <w:tab w:val="clear" w:pos="567"/>
              </w:tabs>
              <w:spacing w:line="240" w:lineRule="auto"/>
              <w:ind w:left="337"/>
              <w:rPr>
                <w:szCs w:val="22"/>
              </w:rPr>
            </w:pPr>
          </w:p>
          <w:p w14:paraId="2CB13742" w14:textId="77777777" w:rsidR="00C04CAD" w:rsidRDefault="00060E34">
            <w:pPr>
              <w:tabs>
                <w:tab w:val="clear" w:pos="567"/>
              </w:tabs>
              <w:spacing w:line="240" w:lineRule="auto"/>
              <w:ind w:left="150"/>
              <w:rPr>
                <w:szCs w:val="22"/>
              </w:rPr>
            </w:pPr>
            <w:r>
              <w:rPr>
                <w:szCs w:val="22"/>
              </w:rPr>
              <w:t>În cazul în care este necesar un răspuns mai rapid la tratament și luând în considerare riscul mai mare de reacții adverse în cazul utilizării unor doze de inducție mai mari, poate fi utilizată următoarea doză</w:t>
            </w:r>
            <w:r>
              <w:rPr>
                <w:iCs/>
                <w:szCs w:val="22"/>
              </w:rPr>
              <w:t>:</w:t>
            </w:r>
          </w:p>
          <w:p w14:paraId="25A1AF14" w14:textId="77777777" w:rsidR="00C04CAD" w:rsidRDefault="00060E34">
            <w:pPr>
              <w:numPr>
                <w:ilvl w:val="0"/>
                <w:numId w:val="10"/>
              </w:numPr>
              <w:tabs>
                <w:tab w:val="clear" w:pos="567"/>
              </w:tabs>
              <w:suppressAutoHyphens/>
              <w:spacing w:line="240" w:lineRule="auto"/>
              <w:ind w:left="307" w:hanging="180"/>
              <w:rPr>
                <w:iCs/>
                <w:szCs w:val="22"/>
              </w:rPr>
            </w:pPr>
            <w:r>
              <w:rPr>
                <w:szCs w:val="22"/>
              </w:rPr>
              <w:t>80 mg la săptămâna 0 și 40 mg la săptămâna 2</w:t>
            </w:r>
          </w:p>
        </w:tc>
        <w:tc>
          <w:tcPr>
            <w:tcW w:w="0" w:type="auto"/>
            <w:tcBorders>
              <w:top w:val="single" w:sz="6" w:space="0" w:color="000000"/>
              <w:left w:val="single" w:sz="6" w:space="0" w:color="000000"/>
              <w:bottom w:val="single" w:sz="6" w:space="0" w:color="000000"/>
              <w:right w:val="single" w:sz="6" w:space="0" w:color="000000"/>
            </w:tcBorders>
          </w:tcPr>
          <w:p w14:paraId="46C64C69" w14:textId="77777777" w:rsidR="00C04CAD" w:rsidRDefault="00060E34">
            <w:pPr>
              <w:tabs>
                <w:tab w:val="clear" w:pos="567"/>
              </w:tabs>
              <w:spacing w:line="240" w:lineRule="auto"/>
              <w:ind w:left="16"/>
              <w:jc w:val="center"/>
              <w:rPr>
                <w:szCs w:val="24"/>
              </w:rPr>
            </w:pPr>
            <w:r>
              <w:rPr>
                <w:szCs w:val="24"/>
              </w:rPr>
              <w:t>20 mg la două săptămâni</w:t>
            </w:r>
          </w:p>
        </w:tc>
      </w:tr>
      <w:tr w:rsidR="00C04CAD" w14:paraId="74EED4EC" w14:textId="77777777">
        <w:tc>
          <w:tcPr>
            <w:tcW w:w="828" w:type="pct"/>
            <w:tcBorders>
              <w:top w:val="single" w:sz="6" w:space="0" w:color="000000"/>
              <w:left w:val="single" w:sz="6" w:space="0" w:color="000000"/>
              <w:bottom w:val="single" w:sz="6" w:space="0" w:color="000000"/>
              <w:right w:val="single" w:sz="6" w:space="0" w:color="000000"/>
            </w:tcBorders>
          </w:tcPr>
          <w:p w14:paraId="5E3B6552" w14:textId="77777777" w:rsidR="00C04CAD" w:rsidRDefault="00060E34">
            <w:pPr>
              <w:suppressAutoHyphens/>
              <w:spacing w:line="240" w:lineRule="auto"/>
              <w:jc w:val="center"/>
              <w:rPr>
                <w:szCs w:val="24"/>
              </w:rPr>
            </w:pPr>
            <w:r>
              <w:rPr>
                <w:szCs w:val="24"/>
              </w:rPr>
              <w:t>≥ 40 kg</w:t>
            </w:r>
          </w:p>
        </w:tc>
        <w:tc>
          <w:tcPr>
            <w:tcW w:w="0" w:type="auto"/>
            <w:tcBorders>
              <w:top w:val="single" w:sz="6" w:space="0" w:color="000000"/>
              <w:left w:val="single" w:sz="6" w:space="0" w:color="000000"/>
              <w:bottom w:val="single" w:sz="6" w:space="0" w:color="000000"/>
              <w:right w:val="single" w:sz="6" w:space="0" w:color="000000"/>
            </w:tcBorders>
          </w:tcPr>
          <w:p w14:paraId="27AAEA5C" w14:textId="77777777" w:rsidR="00C04CAD" w:rsidRDefault="00060E34">
            <w:pPr>
              <w:numPr>
                <w:ilvl w:val="0"/>
                <w:numId w:val="11"/>
              </w:numPr>
              <w:tabs>
                <w:tab w:val="clear" w:pos="567"/>
              </w:tabs>
              <w:suppressAutoHyphens/>
              <w:spacing w:line="240" w:lineRule="auto"/>
              <w:ind w:left="307" w:hanging="175"/>
              <w:rPr>
                <w:szCs w:val="22"/>
              </w:rPr>
            </w:pPr>
            <w:r>
              <w:rPr>
                <w:szCs w:val="22"/>
              </w:rPr>
              <w:t>80 mg la săptămâna 0 și 40 mg la săptămâna 2</w:t>
            </w:r>
          </w:p>
          <w:p w14:paraId="62ED90A7" w14:textId="77777777" w:rsidR="00C04CAD" w:rsidRDefault="00C04CAD">
            <w:pPr>
              <w:tabs>
                <w:tab w:val="clear" w:pos="567"/>
              </w:tabs>
              <w:spacing w:line="240" w:lineRule="auto"/>
              <w:rPr>
                <w:szCs w:val="22"/>
              </w:rPr>
            </w:pPr>
          </w:p>
          <w:p w14:paraId="4ED35093" w14:textId="77777777" w:rsidR="00C04CAD" w:rsidRDefault="00060E34">
            <w:pPr>
              <w:tabs>
                <w:tab w:val="clear" w:pos="567"/>
              </w:tabs>
              <w:spacing w:line="240" w:lineRule="auto"/>
              <w:ind w:left="150"/>
              <w:rPr>
                <w:szCs w:val="22"/>
              </w:rPr>
            </w:pPr>
            <w:r>
              <w:rPr>
                <w:szCs w:val="22"/>
              </w:rPr>
              <w:t>În cazul în care este necesar un răspuns mai rapid la tratament și luând în considerare riscul mai mare de reacții adverse în cazul utilizării unor doze de inducție mai mari, poate fi utilizată următoarea doză</w:t>
            </w:r>
            <w:r>
              <w:rPr>
                <w:iCs/>
                <w:szCs w:val="22"/>
              </w:rPr>
              <w:t>:</w:t>
            </w:r>
          </w:p>
          <w:p w14:paraId="1BC7058D" w14:textId="77777777" w:rsidR="00C04CAD" w:rsidRDefault="00060E34">
            <w:pPr>
              <w:numPr>
                <w:ilvl w:val="0"/>
                <w:numId w:val="12"/>
              </w:numPr>
              <w:tabs>
                <w:tab w:val="clear" w:pos="567"/>
              </w:tabs>
              <w:suppressAutoHyphens/>
              <w:spacing w:line="240" w:lineRule="auto"/>
              <w:ind w:left="314" w:hanging="187"/>
              <w:rPr>
                <w:szCs w:val="22"/>
              </w:rPr>
            </w:pPr>
            <w:r>
              <w:rPr>
                <w:szCs w:val="22"/>
              </w:rPr>
              <w:t>160 mg la săptămâna 0 și 80 mg la săptămâna 2</w:t>
            </w:r>
          </w:p>
        </w:tc>
        <w:tc>
          <w:tcPr>
            <w:tcW w:w="0" w:type="auto"/>
            <w:tcBorders>
              <w:top w:val="single" w:sz="6" w:space="0" w:color="000000"/>
              <w:left w:val="single" w:sz="6" w:space="0" w:color="000000"/>
              <w:bottom w:val="single" w:sz="6" w:space="0" w:color="000000"/>
              <w:right w:val="single" w:sz="6" w:space="0" w:color="000000"/>
            </w:tcBorders>
          </w:tcPr>
          <w:p w14:paraId="3D2CA626" w14:textId="77777777" w:rsidR="00C04CAD" w:rsidRDefault="00060E34">
            <w:pPr>
              <w:tabs>
                <w:tab w:val="clear" w:pos="567"/>
              </w:tabs>
              <w:spacing w:line="240" w:lineRule="auto"/>
              <w:ind w:left="16"/>
              <w:jc w:val="center"/>
              <w:rPr>
                <w:szCs w:val="24"/>
              </w:rPr>
            </w:pPr>
            <w:r>
              <w:rPr>
                <w:szCs w:val="24"/>
              </w:rPr>
              <w:t>40 mg la două săptămâni</w:t>
            </w:r>
          </w:p>
        </w:tc>
      </w:tr>
    </w:tbl>
    <w:p w14:paraId="096B48C4" w14:textId="77777777" w:rsidR="00C04CAD" w:rsidRDefault="00C04CAD">
      <w:pPr>
        <w:keepNext/>
        <w:suppressAutoHyphens/>
        <w:spacing w:line="240" w:lineRule="auto"/>
        <w:rPr>
          <w:szCs w:val="24"/>
        </w:rPr>
      </w:pPr>
    </w:p>
    <w:p w14:paraId="73D33163" w14:textId="77777777" w:rsidR="00C04CAD" w:rsidRDefault="00060E34">
      <w:pPr>
        <w:keepNext/>
        <w:suppressAutoHyphens/>
        <w:spacing w:line="240" w:lineRule="auto"/>
        <w:rPr>
          <w:szCs w:val="24"/>
        </w:rPr>
      </w:pPr>
      <w:r>
        <w:rPr>
          <w:szCs w:val="24"/>
        </w:rPr>
        <w:t>Pacienții cu un răspuns insuficient la tratament pot beneficia de creșterea dozei:</w:t>
      </w:r>
    </w:p>
    <w:p w14:paraId="081A86EC" w14:textId="77777777" w:rsidR="00C04CAD" w:rsidRDefault="00060E34">
      <w:pPr>
        <w:keepNext/>
        <w:numPr>
          <w:ilvl w:val="0"/>
          <w:numId w:val="12"/>
        </w:numPr>
        <w:tabs>
          <w:tab w:val="clear" w:pos="567"/>
          <w:tab w:val="left" w:pos="540"/>
        </w:tabs>
        <w:suppressAutoHyphens/>
        <w:spacing w:line="240" w:lineRule="auto"/>
        <w:ind w:left="567" w:hanging="567"/>
        <w:rPr>
          <w:szCs w:val="24"/>
        </w:rPr>
      </w:pPr>
      <w:r>
        <w:rPr>
          <w:szCs w:val="24"/>
        </w:rPr>
        <w:t>&lt; 40 kg: 20 mg în fiecare săptămână</w:t>
      </w:r>
    </w:p>
    <w:p w14:paraId="7CB6CB32" w14:textId="77777777" w:rsidR="00C04CAD" w:rsidRDefault="00060E34">
      <w:pPr>
        <w:keepNext/>
        <w:numPr>
          <w:ilvl w:val="0"/>
          <w:numId w:val="12"/>
        </w:numPr>
        <w:tabs>
          <w:tab w:val="clear" w:pos="567"/>
          <w:tab w:val="left" w:pos="540"/>
        </w:tabs>
        <w:suppressAutoHyphens/>
        <w:spacing w:line="240" w:lineRule="auto"/>
        <w:ind w:left="567" w:hanging="567"/>
        <w:rPr>
          <w:szCs w:val="24"/>
        </w:rPr>
      </w:pPr>
      <w:r>
        <w:rPr>
          <w:szCs w:val="24"/>
        </w:rPr>
        <w:t xml:space="preserve">≥ 40 kg: 40 mg în fiecare săptămână sau </w:t>
      </w:r>
      <w:r>
        <w:rPr>
          <w:szCs w:val="22"/>
        </w:rPr>
        <w:t>80 mg o dată la două săptămâni</w:t>
      </w:r>
    </w:p>
    <w:p w14:paraId="0B9E379A" w14:textId="77777777" w:rsidR="00C04CAD" w:rsidRDefault="00C04CAD">
      <w:pPr>
        <w:pStyle w:val="BodyText"/>
        <w:kinsoku w:val="0"/>
        <w:overflowPunct w:val="0"/>
        <w:rPr>
          <w:i w:val="0"/>
          <w:color w:val="auto"/>
        </w:rPr>
      </w:pPr>
    </w:p>
    <w:p w14:paraId="4FC7BAED" w14:textId="77777777" w:rsidR="00C04CAD" w:rsidRDefault="00060E34">
      <w:pPr>
        <w:pStyle w:val="BodyText"/>
        <w:kinsoku w:val="0"/>
        <w:overflowPunct w:val="0"/>
        <w:rPr>
          <w:i w:val="0"/>
          <w:color w:val="auto"/>
        </w:rPr>
      </w:pPr>
      <w:r>
        <w:rPr>
          <w:i w:val="0"/>
          <w:color w:val="auto"/>
        </w:rPr>
        <w:t>Continuarea tratamentului trebuie atent evaluată la pacienţii care nu răspund la tratament până în săptămâna 12.</w:t>
      </w:r>
    </w:p>
    <w:p w14:paraId="3C5B07D7" w14:textId="77777777" w:rsidR="00C04CAD" w:rsidRDefault="00C04CAD">
      <w:pPr>
        <w:kinsoku w:val="0"/>
        <w:overflowPunct w:val="0"/>
        <w:spacing w:line="240" w:lineRule="auto"/>
      </w:pPr>
    </w:p>
    <w:p w14:paraId="0B48929C" w14:textId="77777777" w:rsidR="00C04CAD" w:rsidRDefault="00060E34">
      <w:pPr>
        <w:pStyle w:val="BodyText"/>
        <w:kinsoku w:val="0"/>
        <w:overflowPunct w:val="0"/>
        <w:rPr>
          <w:color w:val="auto"/>
        </w:rPr>
      </w:pPr>
      <w:r>
        <w:rPr>
          <w:i w:val="0"/>
          <w:color w:val="auto"/>
        </w:rPr>
        <w:t>Pentru această indicaţie nu există date relevante privind utilizarea adalimumab la copii cu vârsta mai mică de 6 ani</w:t>
      </w:r>
      <w:r>
        <w:rPr>
          <w:color w:val="auto"/>
        </w:rPr>
        <w:t>.</w:t>
      </w:r>
    </w:p>
    <w:p w14:paraId="7A2D136E" w14:textId="77777777" w:rsidR="00C04CAD" w:rsidRDefault="00C04CAD">
      <w:pPr>
        <w:pStyle w:val="BodyText"/>
        <w:kinsoku w:val="0"/>
        <w:overflowPunct w:val="0"/>
        <w:rPr>
          <w:color w:val="auto"/>
        </w:rPr>
      </w:pPr>
    </w:p>
    <w:p w14:paraId="2E4F5BF9"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3588206C" w14:textId="77777777" w:rsidR="00C04CAD" w:rsidRDefault="00C04CAD">
      <w:pPr>
        <w:pStyle w:val="BodyText"/>
        <w:kinsoku w:val="0"/>
        <w:overflowPunct w:val="0"/>
        <w:rPr>
          <w:color w:val="auto"/>
        </w:rPr>
      </w:pPr>
    </w:p>
    <w:p w14:paraId="42509538"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Colita ulcerativă la copii și adolescenți </w:t>
      </w:r>
    </w:p>
    <w:p w14:paraId="287951D9"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5145B6C4"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Doza de AMGEVITA recomandată pentru pacienții cu vârsta cuprinsă între 6 și 17 ani cu colită ulcerativă se stabilește în funcție de greutatea corporală (tabelul 5). AMGEVITA se administrează prin injecție subcutanată.</w:t>
      </w:r>
    </w:p>
    <w:p w14:paraId="7A815B3C"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F960B6D" w14:textId="77777777" w:rsidR="00C04CAD" w:rsidRDefault="00060E34">
      <w:pPr>
        <w:keepNext/>
        <w:suppressAutoHyphens/>
        <w:spacing w:line="240" w:lineRule="auto"/>
        <w:rPr>
          <w:b/>
          <w:szCs w:val="22"/>
          <w:lang w:eastAsia="en-US" w:bidi="ar-SA"/>
        </w:rPr>
      </w:pPr>
      <w:r>
        <w:rPr>
          <w:b/>
          <w:szCs w:val="22"/>
          <w:lang w:eastAsia="en-US" w:bidi="ar-SA"/>
        </w:rPr>
        <w:t>Tabelul 5. Doza de AMGEVITA pentru pacienții copii și adolescenți cu colită ulcerativă</w:t>
      </w:r>
    </w:p>
    <w:p w14:paraId="4A412D8A" w14:textId="77777777" w:rsidR="00C04CAD" w:rsidRDefault="00C04CAD">
      <w:pPr>
        <w:keepNext/>
        <w:tabs>
          <w:tab w:val="clear" w:pos="567"/>
          <w:tab w:val="left" w:pos="720"/>
        </w:tabs>
        <w:autoSpaceDE w:val="0"/>
        <w:autoSpaceDN w:val="0"/>
        <w:adjustRightInd w:val="0"/>
        <w:spacing w:line="240" w:lineRule="auto"/>
        <w:rPr>
          <w:rFonts w:eastAsia="PMingLiU"/>
          <w:iCs/>
          <w:szCs w:val="22"/>
          <w:lang w:eastAsia="en-GB" w:bidi="ar-SA"/>
        </w:rPr>
      </w:pPr>
    </w:p>
    <w:tbl>
      <w:tblPr>
        <w:tblW w:w="5000" w:type="pct"/>
        <w:tblInd w:w="85" w:type="dxa"/>
        <w:tblBorders>
          <w:top w:val="outset" w:sz="6" w:space="0" w:color="auto"/>
          <w:left w:val="outset" w:sz="6" w:space="0" w:color="auto"/>
          <w:bottom w:val="outset" w:sz="6" w:space="0" w:color="auto"/>
          <w:right w:val="outset" w:sz="6" w:space="0" w:color="auto"/>
        </w:tblBorders>
        <w:tblLayout w:type="fixed"/>
        <w:tblCellMar>
          <w:top w:w="15" w:type="dxa"/>
          <w:left w:w="85" w:type="dxa"/>
          <w:bottom w:w="15" w:type="dxa"/>
          <w:right w:w="85" w:type="dxa"/>
        </w:tblCellMar>
        <w:tblLook w:val="04A0" w:firstRow="1" w:lastRow="0" w:firstColumn="1" w:lastColumn="0" w:noHBand="0" w:noVBand="1"/>
      </w:tblPr>
      <w:tblGrid>
        <w:gridCol w:w="1277"/>
        <w:gridCol w:w="6152"/>
        <w:gridCol w:w="1626"/>
      </w:tblGrid>
      <w:tr w:rsidR="00C04CAD" w14:paraId="2FB02FB5" w14:textId="77777777">
        <w:trPr>
          <w:cantSplit/>
          <w:tblHeader/>
        </w:trPr>
        <w:tc>
          <w:tcPr>
            <w:tcW w:w="705" w:type="pct"/>
            <w:tcBorders>
              <w:top w:val="single" w:sz="6" w:space="0" w:color="000000"/>
              <w:left w:val="single" w:sz="6" w:space="0" w:color="000000"/>
              <w:bottom w:val="single" w:sz="6" w:space="0" w:color="000000"/>
              <w:right w:val="single" w:sz="6" w:space="0" w:color="000000"/>
            </w:tcBorders>
          </w:tcPr>
          <w:p w14:paraId="417CD1E9" w14:textId="77777777" w:rsidR="00C04CAD" w:rsidRDefault="00060E34">
            <w:pPr>
              <w:keepNext/>
              <w:suppressAutoHyphens/>
              <w:spacing w:line="240" w:lineRule="auto"/>
              <w:rPr>
                <w:szCs w:val="24"/>
                <w:lang w:eastAsia="en-US" w:bidi="ar-SA"/>
              </w:rPr>
            </w:pPr>
            <w:r>
              <w:rPr>
                <w:b/>
                <w:bCs/>
                <w:szCs w:val="22"/>
              </w:rPr>
              <w:t xml:space="preserve">Greutatea pacientului </w:t>
            </w:r>
          </w:p>
        </w:tc>
        <w:tc>
          <w:tcPr>
            <w:tcW w:w="3397" w:type="pct"/>
            <w:tcBorders>
              <w:top w:val="single" w:sz="6" w:space="0" w:color="000000"/>
              <w:left w:val="single" w:sz="6" w:space="0" w:color="000000"/>
              <w:bottom w:val="single" w:sz="6" w:space="0" w:color="000000"/>
              <w:right w:val="single" w:sz="6" w:space="0" w:color="000000"/>
            </w:tcBorders>
          </w:tcPr>
          <w:p w14:paraId="6C8DBC1F" w14:textId="77777777" w:rsidR="00C04CAD" w:rsidRDefault="00060E34">
            <w:pPr>
              <w:keepNext/>
              <w:suppressAutoHyphens/>
              <w:spacing w:line="240" w:lineRule="auto"/>
              <w:rPr>
                <w:szCs w:val="24"/>
                <w:lang w:eastAsia="en-US" w:bidi="ar-SA"/>
              </w:rPr>
            </w:pPr>
            <w:r>
              <w:rPr>
                <w:b/>
                <w:bCs/>
                <w:szCs w:val="22"/>
              </w:rPr>
              <w:t xml:space="preserve">Doza de inducție </w:t>
            </w:r>
          </w:p>
        </w:tc>
        <w:tc>
          <w:tcPr>
            <w:tcW w:w="899" w:type="pct"/>
            <w:tcBorders>
              <w:top w:val="single" w:sz="6" w:space="0" w:color="000000"/>
              <w:left w:val="single" w:sz="6" w:space="0" w:color="000000"/>
              <w:bottom w:val="single" w:sz="6" w:space="0" w:color="000000"/>
              <w:right w:val="single" w:sz="6" w:space="0" w:color="000000"/>
            </w:tcBorders>
          </w:tcPr>
          <w:p w14:paraId="1476E15C" w14:textId="77777777" w:rsidR="00C04CAD" w:rsidRDefault="00060E34">
            <w:pPr>
              <w:keepNext/>
              <w:suppressAutoHyphens/>
              <w:spacing w:line="240" w:lineRule="auto"/>
              <w:rPr>
                <w:szCs w:val="24"/>
                <w:lang w:eastAsia="en-US" w:bidi="ar-SA"/>
              </w:rPr>
            </w:pPr>
            <w:r>
              <w:rPr>
                <w:b/>
                <w:bCs/>
                <w:szCs w:val="22"/>
              </w:rPr>
              <w:t xml:space="preserve">Doza de întreținere începând cu săptămâna 4* </w:t>
            </w:r>
          </w:p>
        </w:tc>
      </w:tr>
      <w:tr w:rsidR="00C04CAD" w14:paraId="3806EBA9" w14:textId="77777777">
        <w:trPr>
          <w:cantSplit/>
        </w:trPr>
        <w:tc>
          <w:tcPr>
            <w:tcW w:w="705" w:type="pct"/>
            <w:tcBorders>
              <w:top w:val="single" w:sz="6" w:space="0" w:color="000000"/>
              <w:left w:val="single" w:sz="6" w:space="0" w:color="000000"/>
              <w:bottom w:val="single" w:sz="6" w:space="0" w:color="000000"/>
              <w:right w:val="single" w:sz="6" w:space="0" w:color="000000"/>
            </w:tcBorders>
          </w:tcPr>
          <w:p w14:paraId="15230FD1" w14:textId="77777777" w:rsidR="00C04CAD" w:rsidRDefault="00060E34">
            <w:pPr>
              <w:suppressAutoHyphens/>
              <w:spacing w:line="240" w:lineRule="auto"/>
              <w:jc w:val="center"/>
              <w:rPr>
                <w:szCs w:val="24"/>
                <w:lang w:eastAsia="en-US" w:bidi="ar-SA"/>
              </w:rPr>
            </w:pPr>
            <w:r>
              <w:rPr>
                <w:szCs w:val="24"/>
                <w:lang w:eastAsia="en-US" w:bidi="ar-SA"/>
              </w:rPr>
              <w:t>&lt; 40 kg</w:t>
            </w:r>
          </w:p>
        </w:tc>
        <w:tc>
          <w:tcPr>
            <w:tcW w:w="3397" w:type="pct"/>
            <w:tcBorders>
              <w:top w:val="single" w:sz="6" w:space="0" w:color="000000"/>
              <w:left w:val="single" w:sz="6" w:space="0" w:color="000000"/>
              <w:bottom w:val="single" w:sz="6" w:space="0" w:color="000000"/>
              <w:right w:val="single" w:sz="6" w:space="0" w:color="000000"/>
            </w:tcBorders>
          </w:tcPr>
          <w:p w14:paraId="7D228F53" w14:textId="77777777" w:rsidR="00C04CAD" w:rsidRDefault="00060E34">
            <w:pPr>
              <w:numPr>
                <w:ilvl w:val="0"/>
                <w:numId w:val="10"/>
              </w:numPr>
              <w:tabs>
                <w:tab w:val="clear" w:pos="567"/>
              </w:tabs>
              <w:suppressAutoHyphens/>
              <w:spacing w:line="240" w:lineRule="auto"/>
              <w:ind w:left="567" w:hanging="567"/>
              <w:rPr>
                <w:iCs/>
                <w:szCs w:val="22"/>
                <w:lang w:eastAsia="en-US" w:bidi="ar-SA"/>
              </w:rPr>
            </w:pPr>
            <w:r>
              <w:rPr>
                <w:iCs/>
                <w:szCs w:val="22"/>
                <w:lang w:eastAsia="en-US" w:bidi="ar-SA"/>
              </w:rPr>
              <w:t>80</w:t>
            </w:r>
            <w:r>
              <w:rPr>
                <w:lang w:eastAsia="en-US" w:bidi="ar-SA"/>
              </w:rPr>
              <w:t> </w:t>
            </w:r>
            <w:r>
              <w:rPr>
                <w:iCs/>
                <w:szCs w:val="22"/>
                <w:lang w:eastAsia="en-US" w:bidi="ar-SA"/>
              </w:rPr>
              <w:t>mg în săptămâna 0 (administrată sub formă de o injecție a 80 mg într-o zi) și</w:t>
            </w:r>
          </w:p>
          <w:p w14:paraId="31E17184" w14:textId="77777777" w:rsidR="00C04CAD" w:rsidRDefault="00060E34">
            <w:pPr>
              <w:numPr>
                <w:ilvl w:val="0"/>
                <w:numId w:val="10"/>
              </w:numPr>
              <w:tabs>
                <w:tab w:val="clear" w:pos="567"/>
              </w:tabs>
              <w:suppressAutoHyphens/>
              <w:spacing w:line="240" w:lineRule="auto"/>
              <w:ind w:left="567" w:hanging="567"/>
              <w:rPr>
                <w:iCs/>
                <w:szCs w:val="22"/>
                <w:lang w:eastAsia="en-US" w:bidi="ar-SA"/>
              </w:rPr>
            </w:pPr>
            <w:r>
              <w:rPr>
                <w:iCs/>
                <w:szCs w:val="22"/>
                <w:lang w:eastAsia="en-US" w:bidi="ar-SA"/>
              </w:rPr>
              <w:t>40</w:t>
            </w:r>
            <w:r>
              <w:rPr>
                <w:lang w:eastAsia="en-US" w:bidi="ar-SA"/>
              </w:rPr>
              <w:t> </w:t>
            </w:r>
            <w:r>
              <w:rPr>
                <w:iCs/>
                <w:szCs w:val="22"/>
                <w:lang w:eastAsia="en-US" w:bidi="ar-SA"/>
              </w:rPr>
              <w:t>mg în săptămâna 2 (administrată sub formă de o injecție a 40 mg)</w:t>
            </w:r>
          </w:p>
        </w:tc>
        <w:tc>
          <w:tcPr>
            <w:tcW w:w="899" w:type="pct"/>
            <w:tcBorders>
              <w:top w:val="single" w:sz="6" w:space="0" w:color="000000"/>
              <w:left w:val="single" w:sz="6" w:space="0" w:color="000000"/>
              <w:bottom w:val="single" w:sz="6" w:space="0" w:color="000000"/>
              <w:right w:val="single" w:sz="6" w:space="0" w:color="000000"/>
            </w:tcBorders>
          </w:tcPr>
          <w:p w14:paraId="30CCB34A" w14:textId="77777777" w:rsidR="00C04CAD" w:rsidRDefault="00060E34">
            <w:pPr>
              <w:spacing w:line="240" w:lineRule="auto"/>
              <w:jc w:val="center"/>
              <w:rPr>
                <w:lang w:eastAsia="en-US" w:bidi="ar-SA"/>
              </w:rPr>
            </w:pPr>
            <w:r>
              <w:rPr>
                <w:lang w:eastAsia="en-US" w:bidi="ar-SA"/>
              </w:rPr>
              <w:t xml:space="preserve">40 mg </w:t>
            </w:r>
            <w:r>
              <w:t>la două săptămâni</w:t>
            </w:r>
          </w:p>
        </w:tc>
      </w:tr>
      <w:tr w:rsidR="00C04CAD" w14:paraId="2A291357" w14:textId="77777777">
        <w:trPr>
          <w:cantSplit/>
        </w:trPr>
        <w:tc>
          <w:tcPr>
            <w:tcW w:w="705" w:type="pct"/>
            <w:tcBorders>
              <w:top w:val="single" w:sz="6" w:space="0" w:color="000000"/>
              <w:left w:val="single" w:sz="6" w:space="0" w:color="000000"/>
              <w:bottom w:val="single" w:sz="6" w:space="0" w:color="000000"/>
              <w:right w:val="single" w:sz="6" w:space="0" w:color="000000"/>
            </w:tcBorders>
          </w:tcPr>
          <w:p w14:paraId="7C8B7AB2" w14:textId="77777777" w:rsidR="00C04CAD" w:rsidRDefault="00060E34">
            <w:pPr>
              <w:suppressAutoHyphens/>
              <w:spacing w:line="240" w:lineRule="auto"/>
              <w:jc w:val="center"/>
              <w:rPr>
                <w:szCs w:val="24"/>
                <w:lang w:eastAsia="en-US" w:bidi="ar-SA"/>
              </w:rPr>
            </w:pPr>
            <w:r>
              <w:rPr>
                <w:szCs w:val="24"/>
                <w:lang w:eastAsia="en-US" w:bidi="ar-SA"/>
              </w:rPr>
              <w:t>≥ 40 kg</w:t>
            </w:r>
          </w:p>
        </w:tc>
        <w:tc>
          <w:tcPr>
            <w:tcW w:w="3397" w:type="pct"/>
            <w:tcBorders>
              <w:top w:val="single" w:sz="6" w:space="0" w:color="000000"/>
              <w:left w:val="single" w:sz="6" w:space="0" w:color="000000"/>
              <w:bottom w:val="single" w:sz="6" w:space="0" w:color="000000"/>
              <w:right w:val="single" w:sz="6" w:space="0" w:color="000000"/>
            </w:tcBorders>
          </w:tcPr>
          <w:p w14:paraId="0DEF09BC" w14:textId="77777777" w:rsidR="00C04CAD" w:rsidRDefault="00060E34">
            <w:pPr>
              <w:numPr>
                <w:ilvl w:val="0"/>
                <w:numId w:val="12"/>
              </w:numPr>
              <w:tabs>
                <w:tab w:val="clear" w:pos="567"/>
              </w:tabs>
              <w:suppressAutoHyphens/>
              <w:spacing w:line="240" w:lineRule="auto"/>
              <w:ind w:left="567" w:hanging="567"/>
              <w:rPr>
                <w:szCs w:val="22"/>
                <w:lang w:eastAsia="en-US" w:bidi="ar-SA"/>
              </w:rPr>
            </w:pPr>
            <w:r>
              <w:rPr>
                <w:szCs w:val="22"/>
                <w:lang w:eastAsia="en-US" w:bidi="ar-SA"/>
              </w:rPr>
              <w:t>160</w:t>
            </w:r>
            <w:r>
              <w:rPr>
                <w:lang w:eastAsia="en-US" w:bidi="ar-SA"/>
              </w:rPr>
              <w:t> </w:t>
            </w:r>
            <w:r>
              <w:rPr>
                <w:szCs w:val="22"/>
                <w:lang w:eastAsia="en-US" w:bidi="ar-SA"/>
              </w:rPr>
              <w:t>mg în săptămâna 0 (administrată sub formă de două injecții a 80 mg într-o zi sau o injecție a 80 mg pe zi timp de două zile consecutive) și</w:t>
            </w:r>
          </w:p>
          <w:p w14:paraId="26552992" w14:textId="77777777" w:rsidR="00C04CAD" w:rsidRDefault="00060E34">
            <w:pPr>
              <w:numPr>
                <w:ilvl w:val="0"/>
                <w:numId w:val="12"/>
              </w:numPr>
              <w:tabs>
                <w:tab w:val="clear" w:pos="567"/>
              </w:tabs>
              <w:suppressAutoHyphens/>
              <w:spacing w:line="240" w:lineRule="auto"/>
              <w:ind w:left="567" w:hanging="567"/>
              <w:rPr>
                <w:szCs w:val="22"/>
                <w:lang w:eastAsia="en-US" w:bidi="ar-SA"/>
              </w:rPr>
            </w:pPr>
            <w:r>
              <w:rPr>
                <w:szCs w:val="22"/>
                <w:lang w:eastAsia="en-US" w:bidi="ar-SA"/>
              </w:rPr>
              <w:t>80</w:t>
            </w:r>
            <w:r>
              <w:rPr>
                <w:lang w:eastAsia="en-US" w:bidi="ar-SA"/>
              </w:rPr>
              <w:t> </w:t>
            </w:r>
            <w:r>
              <w:rPr>
                <w:szCs w:val="22"/>
                <w:lang w:eastAsia="en-US" w:bidi="ar-SA"/>
              </w:rPr>
              <w:t>mg în săptămâna 2 (administrată sub formă de o injecție a 80 mg într-o zi)</w:t>
            </w:r>
          </w:p>
        </w:tc>
        <w:tc>
          <w:tcPr>
            <w:tcW w:w="899" w:type="pct"/>
            <w:tcBorders>
              <w:top w:val="single" w:sz="6" w:space="0" w:color="000000"/>
              <w:left w:val="single" w:sz="6" w:space="0" w:color="000000"/>
              <w:bottom w:val="single" w:sz="6" w:space="0" w:color="000000"/>
              <w:right w:val="single" w:sz="6" w:space="0" w:color="000000"/>
            </w:tcBorders>
          </w:tcPr>
          <w:p w14:paraId="2C288954" w14:textId="77777777" w:rsidR="00C04CAD" w:rsidRDefault="00060E34">
            <w:pPr>
              <w:spacing w:line="240" w:lineRule="auto"/>
              <w:jc w:val="center"/>
              <w:rPr>
                <w:lang w:eastAsia="en-US" w:bidi="ar-SA"/>
              </w:rPr>
            </w:pPr>
            <w:r>
              <w:rPr>
                <w:lang w:eastAsia="en-US" w:bidi="ar-SA"/>
              </w:rPr>
              <w:t xml:space="preserve">80 mg </w:t>
            </w:r>
            <w:r>
              <w:t>la două săptămâni</w:t>
            </w:r>
          </w:p>
        </w:tc>
      </w:tr>
    </w:tbl>
    <w:p w14:paraId="04D7B073" w14:textId="77777777" w:rsidR="00C04CAD" w:rsidRDefault="00060E34">
      <w:pPr>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lang w:eastAsia="ja-JP" w:bidi="ar-SA"/>
        </w:rPr>
        <w:t>*</w:t>
      </w:r>
      <w:r>
        <w:rPr>
          <w:sz w:val="20"/>
        </w:rPr>
        <w:t xml:space="preserve"> </w:t>
      </w:r>
      <w:r>
        <w:rPr>
          <w:rFonts w:eastAsia="MS Mincho"/>
          <w:color w:val="000000"/>
          <w:sz w:val="20"/>
          <w:lang w:eastAsia="ja-JP" w:bidi="ar-SA"/>
        </w:rPr>
        <w:t>Pacienții copii și adolescenți care împlinesc vârsta de 18 ani în timpul tratamentului cu AMGEVITA trebuie să continue cu doza de întreținere prescrisă.</w:t>
      </w:r>
    </w:p>
    <w:p w14:paraId="6198D5F6" w14:textId="77777777" w:rsidR="00C04CAD" w:rsidRDefault="00C04CAD">
      <w:pPr>
        <w:pStyle w:val="BodyText"/>
        <w:kinsoku w:val="0"/>
        <w:overflowPunct w:val="0"/>
        <w:rPr>
          <w:color w:val="auto"/>
        </w:rPr>
      </w:pPr>
    </w:p>
    <w:p w14:paraId="3F55225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Continuarea tratamentului peste 8 săptămâni trebuie evaluată cu atenție la pacienții care nu răspund la tratament în această perioadă. </w:t>
      </w:r>
    </w:p>
    <w:p w14:paraId="40128978"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23086BB"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Pentru această indicație, nu există date relevante privind utilizarea AMGEVITA la copii cu vârsta mai mică de 6 ani. </w:t>
      </w:r>
    </w:p>
    <w:p w14:paraId="3AAD6802"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97BF7C9"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13DD9272" w14:textId="77777777" w:rsidR="00C04CAD" w:rsidRDefault="00C04CAD">
      <w:pPr>
        <w:pStyle w:val="BodyText"/>
        <w:kinsoku w:val="0"/>
        <w:overflowPunct w:val="0"/>
        <w:rPr>
          <w:rFonts w:eastAsia="MS Mincho"/>
          <w:i w:val="0"/>
          <w:color w:val="000000"/>
          <w:szCs w:val="22"/>
          <w:lang w:eastAsia="ja-JP" w:bidi="ar-SA"/>
        </w:rPr>
      </w:pPr>
    </w:p>
    <w:p w14:paraId="3647CA46" w14:textId="77777777" w:rsidR="00C04CAD" w:rsidRDefault="00060E34">
      <w:pPr>
        <w:pStyle w:val="BodyText"/>
        <w:kinsoku w:val="0"/>
        <w:overflowPunct w:val="0"/>
        <w:rPr>
          <w:color w:val="auto"/>
        </w:rPr>
      </w:pPr>
      <w:r>
        <w:rPr>
          <w:color w:val="auto"/>
        </w:rPr>
        <w:t>Copii și adolescenți cu uveită</w:t>
      </w:r>
    </w:p>
    <w:p w14:paraId="7B27B55F" w14:textId="77777777" w:rsidR="00C04CAD" w:rsidRDefault="00C04CAD">
      <w:pPr>
        <w:pStyle w:val="BodyText"/>
        <w:kinsoku w:val="0"/>
        <w:overflowPunct w:val="0"/>
        <w:rPr>
          <w:color w:val="auto"/>
        </w:rPr>
      </w:pPr>
    </w:p>
    <w:p w14:paraId="3D65E477" w14:textId="77777777" w:rsidR="00C04CAD" w:rsidRDefault="00060E34">
      <w:pPr>
        <w:pStyle w:val="BodyText"/>
        <w:kinsoku w:val="0"/>
        <w:overflowPunct w:val="0"/>
        <w:rPr>
          <w:i w:val="0"/>
          <w:color w:val="auto"/>
        </w:rPr>
      </w:pPr>
      <w:r>
        <w:rPr>
          <w:i w:val="0"/>
          <w:color w:val="auto"/>
        </w:rPr>
        <w:t xml:space="preserve">Doza de AMGEVITA recomandată la </w:t>
      </w:r>
      <w:r>
        <w:rPr>
          <w:i w:val="0"/>
          <w:color w:val="auto"/>
          <w:szCs w:val="22"/>
        </w:rPr>
        <w:t>pacienții</w:t>
      </w:r>
      <w:r>
        <w:rPr>
          <w:color w:val="auto"/>
          <w:szCs w:val="22"/>
        </w:rPr>
        <w:t xml:space="preserve"> </w:t>
      </w:r>
      <w:r>
        <w:rPr>
          <w:i w:val="0"/>
          <w:color w:val="auto"/>
        </w:rPr>
        <w:t xml:space="preserve">copii cu uveită cu vârsta </w:t>
      </w:r>
      <w:r>
        <w:rPr>
          <w:i w:val="0"/>
          <w:color w:val="auto"/>
          <w:szCs w:val="22"/>
        </w:rPr>
        <w:t>începând</w:t>
      </w:r>
      <w:r>
        <w:rPr>
          <w:color w:val="auto"/>
          <w:szCs w:val="22"/>
        </w:rPr>
        <w:t xml:space="preserve"> </w:t>
      </w:r>
      <w:r>
        <w:rPr>
          <w:i w:val="0"/>
          <w:color w:val="auto"/>
        </w:rPr>
        <w:t xml:space="preserve">de la 2 ani se </w:t>
      </w:r>
      <w:r>
        <w:rPr>
          <w:i w:val="0"/>
          <w:color w:val="auto"/>
          <w:szCs w:val="22"/>
        </w:rPr>
        <w:t>stabilește în funcție</w:t>
      </w:r>
      <w:r>
        <w:rPr>
          <w:i w:val="0"/>
          <w:color w:val="auto"/>
        </w:rPr>
        <w:t xml:space="preserve"> greutatea pacientului (tabelul 6). AMGEVITA se administrează prin </w:t>
      </w:r>
      <w:r>
        <w:rPr>
          <w:i w:val="0"/>
          <w:color w:val="auto"/>
          <w:szCs w:val="22"/>
        </w:rPr>
        <w:t>injecţie</w:t>
      </w:r>
      <w:r>
        <w:rPr>
          <w:color w:val="auto"/>
          <w:szCs w:val="22"/>
        </w:rPr>
        <w:t xml:space="preserve"> </w:t>
      </w:r>
      <w:r>
        <w:rPr>
          <w:i w:val="0"/>
          <w:color w:val="auto"/>
        </w:rPr>
        <w:t>subcutanată.</w:t>
      </w:r>
    </w:p>
    <w:p w14:paraId="08FA72E3" w14:textId="77777777" w:rsidR="00C04CAD" w:rsidRDefault="00C04CAD">
      <w:pPr>
        <w:pStyle w:val="BodyText"/>
        <w:kinsoku w:val="0"/>
        <w:overflowPunct w:val="0"/>
        <w:rPr>
          <w:i w:val="0"/>
          <w:color w:val="auto"/>
        </w:rPr>
      </w:pPr>
    </w:p>
    <w:p w14:paraId="0B163726" w14:textId="77777777" w:rsidR="00C04CAD" w:rsidRDefault="00060E34">
      <w:pPr>
        <w:pStyle w:val="BodyText"/>
        <w:kinsoku w:val="0"/>
        <w:overflowPunct w:val="0"/>
        <w:rPr>
          <w:i w:val="0"/>
          <w:color w:val="auto"/>
        </w:rPr>
      </w:pPr>
      <w:r>
        <w:rPr>
          <w:i w:val="0"/>
          <w:color w:val="auto"/>
        </w:rPr>
        <w:t>La copii și adolescenți cu uveită, nu există date privind utilizarea tratamentului cu</w:t>
      </w:r>
      <w:r>
        <w:rPr>
          <w:color w:val="auto"/>
        </w:rPr>
        <w:t xml:space="preserve"> </w:t>
      </w:r>
      <w:r>
        <w:rPr>
          <w:i w:val="0"/>
          <w:color w:val="auto"/>
        </w:rPr>
        <w:t>AMGEVITA fără tratament asociat cu metotrexat.</w:t>
      </w:r>
    </w:p>
    <w:p w14:paraId="6E4E679F" w14:textId="77777777" w:rsidR="00C04CAD" w:rsidRDefault="00C04CAD">
      <w:pPr>
        <w:pStyle w:val="BodyText"/>
        <w:kinsoku w:val="0"/>
        <w:overflowPunct w:val="0"/>
        <w:rPr>
          <w:i w:val="0"/>
          <w:color w:val="auto"/>
        </w:rPr>
      </w:pPr>
    </w:p>
    <w:p w14:paraId="50EA2F27" w14:textId="77777777" w:rsidR="00C04CAD" w:rsidRDefault="00060E34">
      <w:pPr>
        <w:pStyle w:val="BodyText"/>
        <w:keepNext/>
        <w:keepLines/>
        <w:kinsoku w:val="0"/>
        <w:overflowPunct w:val="0"/>
        <w:rPr>
          <w:b/>
          <w:i w:val="0"/>
          <w:color w:val="auto"/>
          <w:szCs w:val="22"/>
        </w:rPr>
      </w:pPr>
      <w:r>
        <w:rPr>
          <w:b/>
          <w:i w:val="0"/>
          <w:color w:val="auto"/>
          <w:szCs w:val="22"/>
        </w:rPr>
        <w:t>Tabelul 6. Doza de AMGEVITA la pacienţi copii cu uveită</w:t>
      </w:r>
    </w:p>
    <w:p w14:paraId="431FD6B1" w14:textId="77777777" w:rsidR="00C04CAD" w:rsidRDefault="00C04CAD">
      <w:pPr>
        <w:pStyle w:val="BodyText"/>
        <w:keepNext/>
        <w:keepLines/>
        <w:kinsoku w:val="0"/>
        <w:overflowPunct w:val="0"/>
        <w:rPr>
          <w:i w:val="0"/>
          <w:color w:val="auto"/>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C04CAD" w14:paraId="7AB5947D" w14:textId="77777777">
        <w:trPr>
          <w:tblHeader/>
        </w:trPr>
        <w:tc>
          <w:tcPr>
            <w:tcW w:w="4253" w:type="dxa"/>
            <w:tcBorders>
              <w:top w:val="single" w:sz="4" w:space="0" w:color="auto"/>
              <w:left w:val="single" w:sz="4" w:space="0" w:color="auto"/>
              <w:bottom w:val="single" w:sz="4" w:space="0" w:color="auto"/>
              <w:right w:val="single" w:sz="4" w:space="0" w:color="auto"/>
            </w:tcBorders>
          </w:tcPr>
          <w:p w14:paraId="377C10E1" w14:textId="77777777" w:rsidR="00C04CAD" w:rsidRDefault="00060E34">
            <w:pPr>
              <w:keepNext/>
              <w:tabs>
                <w:tab w:val="clear" w:pos="567"/>
                <w:tab w:val="left" w:pos="720"/>
              </w:tabs>
              <w:spacing w:line="240" w:lineRule="auto"/>
              <w:rPr>
                <w:rFonts w:eastAsia="Calibri"/>
                <w:b/>
                <w:szCs w:val="22"/>
                <w:lang w:eastAsia="ja-JP"/>
              </w:rPr>
            </w:pPr>
            <w:r>
              <w:rPr>
                <w:rFonts w:eastAsia="Calibri"/>
                <w:b/>
                <w:szCs w:val="22"/>
                <w:lang w:eastAsia="ja-JP"/>
              </w:rPr>
              <w:t>Greutate pacient</w:t>
            </w:r>
          </w:p>
        </w:tc>
        <w:tc>
          <w:tcPr>
            <w:tcW w:w="5103" w:type="dxa"/>
            <w:tcBorders>
              <w:top w:val="single" w:sz="4" w:space="0" w:color="auto"/>
              <w:left w:val="single" w:sz="4" w:space="0" w:color="auto"/>
              <w:bottom w:val="single" w:sz="4" w:space="0" w:color="auto"/>
              <w:right w:val="single" w:sz="4" w:space="0" w:color="auto"/>
            </w:tcBorders>
          </w:tcPr>
          <w:p w14:paraId="2DA053A4" w14:textId="77777777" w:rsidR="00C04CAD" w:rsidRDefault="00060E34">
            <w:pPr>
              <w:keepNext/>
              <w:tabs>
                <w:tab w:val="clear" w:pos="567"/>
                <w:tab w:val="left" w:pos="720"/>
              </w:tabs>
              <w:spacing w:line="240" w:lineRule="auto"/>
              <w:rPr>
                <w:rFonts w:eastAsia="Calibri"/>
                <w:b/>
                <w:szCs w:val="22"/>
                <w:lang w:eastAsia="ja-JP"/>
              </w:rPr>
            </w:pPr>
            <w:r>
              <w:rPr>
                <w:rFonts w:eastAsia="Calibri"/>
                <w:b/>
                <w:szCs w:val="22"/>
                <w:lang w:eastAsia="ja-JP"/>
              </w:rPr>
              <w:t>Doza</w:t>
            </w:r>
          </w:p>
        </w:tc>
      </w:tr>
      <w:tr w:rsidR="00C04CAD" w14:paraId="732CE9C3" w14:textId="77777777">
        <w:trPr>
          <w:tblHeader/>
        </w:trPr>
        <w:tc>
          <w:tcPr>
            <w:tcW w:w="4253" w:type="dxa"/>
            <w:tcBorders>
              <w:top w:val="single" w:sz="4" w:space="0" w:color="auto"/>
              <w:left w:val="single" w:sz="4" w:space="0" w:color="auto"/>
              <w:bottom w:val="single" w:sz="4" w:space="0" w:color="auto"/>
              <w:right w:val="single" w:sz="4" w:space="0" w:color="auto"/>
            </w:tcBorders>
          </w:tcPr>
          <w:p w14:paraId="230E7E6A" w14:textId="77777777" w:rsidR="00C04CAD" w:rsidRDefault="00060E34">
            <w:pPr>
              <w:keepNext/>
              <w:tabs>
                <w:tab w:val="clear" w:pos="567"/>
                <w:tab w:val="left" w:pos="720"/>
              </w:tabs>
              <w:spacing w:line="240" w:lineRule="auto"/>
              <w:rPr>
                <w:rFonts w:eastAsia="Calibri"/>
                <w:b/>
                <w:szCs w:val="22"/>
                <w:lang w:eastAsia="ja-JP"/>
              </w:rPr>
            </w:pPr>
            <w:r>
              <w:rPr>
                <w:rFonts w:eastAsia="Calibri"/>
                <w:szCs w:val="22"/>
                <w:lang w:eastAsia="ja-JP"/>
              </w:rPr>
              <w:t>&lt; 30 kg</w:t>
            </w:r>
          </w:p>
        </w:tc>
        <w:tc>
          <w:tcPr>
            <w:tcW w:w="5103" w:type="dxa"/>
            <w:tcBorders>
              <w:top w:val="single" w:sz="4" w:space="0" w:color="auto"/>
              <w:left w:val="single" w:sz="4" w:space="0" w:color="auto"/>
              <w:bottom w:val="single" w:sz="4" w:space="0" w:color="auto"/>
              <w:right w:val="single" w:sz="4" w:space="0" w:color="auto"/>
            </w:tcBorders>
          </w:tcPr>
          <w:p w14:paraId="7E147DD9" w14:textId="77777777" w:rsidR="00C04CAD" w:rsidRDefault="00060E34">
            <w:pPr>
              <w:keepNext/>
              <w:tabs>
                <w:tab w:val="clear" w:pos="567"/>
                <w:tab w:val="left" w:pos="720"/>
              </w:tabs>
              <w:spacing w:line="240" w:lineRule="auto"/>
              <w:rPr>
                <w:rFonts w:eastAsia="Calibri"/>
                <w:szCs w:val="22"/>
                <w:lang w:eastAsia="ja-JP"/>
              </w:rPr>
            </w:pPr>
            <w:r>
              <w:rPr>
                <w:szCs w:val="24"/>
              </w:rPr>
              <w:t>20</w:t>
            </w:r>
            <w:r>
              <w:rPr>
                <w:rFonts w:eastAsia="Calibri"/>
                <w:szCs w:val="22"/>
                <w:lang w:eastAsia="ja-JP"/>
              </w:rPr>
              <w:t> </w:t>
            </w:r>
            <w:r>
              <w:rPr>
                <w:szCs w:val="24"/>
              </w:rPr>
              <w:t>mg la două săptămâni</w:t>
            </w:r>
            <w:r>
              <w:rPr>
                <w:rFonts w:eastAsia="Calibri"/>
                <w:szCs w:val="22"/>
                <w:lang w:eastAsia="ja-JP"/>
              </w:rPr>
              <w:t xml:space="preserve"> asociat cu metotrexat</w:t>
            </w:r>
          </w:p>
        </w:tc>
      </w:tr>
      <w:tr w:rsidR="00C04CAD" w14:paraId="6E01C1DE" w14:textId="77777777">
        <w:trPr>
          <w:tblHeader/>
        </w:trPr>
        <w:tc>
          <w:tcPr>
            <w:tcW w:w="4253" w:type="dxa"/>
            <w:tcBorders>
              <w:top w:val="single" w:sz="4" w:space="0" w:color="auto"/>
              <w:left w:val="single" w:sz="4" w:space="0" w:color="auto"/>
              <w:bottom w:val="single" w:sz="4" w:space="0" w:color="auto"/>
              <w:right w:val="single" w:sz="4" w:space="0" w:color="auto"/>
            </w:tcBorders>
          </w:tcPr>
          <w:p w14:paraId="1D10C877" w14:textId="77777777" w:rsidR="00C04CAD" w:rsidRDefault="00060E34">
            <w:pPr>
              <w:keepNext/>
              <w:tabs>
                <w:tab w:val="clear" w:pos="567"/>
                <w:tab w:val="left" w:pos="720"/>
              </w:tabs>
              <w:spacing w:line="240" w:lineRule="auto"/>
              <w:rPr>
                <w:rFonts w:eastAsia="Calibri"/>
                <w:b/>
                <w:szCs w:val="22"/>
                <w:lang w:eastAsia="ja-JP"/>
              </w:rPr>
            </w:pPr>
            <w:r>
              <w:rPr>
                <w:rFonts w:eastAsia="Calibri"/>
                <w:szCs w:val="22"/>
                <w:lang w:eastAsia="ja-JP"/>
              </w:rPr>
              <w:t>≥ 30 kg</w:t>
            </w:r>
          </w:p>
        </w:tc>
        <w:tc>
          <w:tcPr>
            <w:tcW w:w="5103" w:type="dxa"/>
            <w:tcBorders>
              <w:top w:val="single" w:sz="4" w:space="0" w:color="auto"/>
              <w:left w:val="single" w:sz="4" w:space="0" w:color="auto"/>
              <w:bottom w:val="single" w:sz="4" w:space="0" w:color="auto"/>
              <w:right w:val="single" w:sz="4" w:space="0" w:color="auto"/>
            </w:tcBorders>
          </w:tcPr>
          <w:p w14:paraId="27E742FE" w14:textId="77777777" w:rsidR="00C04CAD" w:rsidRDefault="00060E34">
            <w:pPr>
              <w:suppressAutoHyphens/>
              <w:spacing w:line="240" w:lineRule="auto"/>
              <w:rPr>
                <w:szCs w:val="22"/>
              </w:rPr>
            </w:pPr>
            <w:r>
              <w:rPr>
                <w:szCs w:val="24"/>
              </w:rPr>
              <w:t>40</w:t>
            </w:r>
            <w:r>
              <w:rPr>
                <w:rFonts w:eastAsia="Calibri"/>
                <w:szCs w:val="22"/>
                <w:lang w:eastAsia="ja-JP"/>
              </w:rPr>
              <w:t> </w:t>
            </w:r>
            <w:r>
              <w:rPr>
                <w:szCs w:val="24"/>
              </w:rPr>
              <w:t>mg la două săptămâni</w:t>
            </w:r>
            <w:r>
              <w:rPr>
                <w:szCs w:val="22"/>
              </w:rPr>
              <w:t xml:space="preserve"> </w:t>
            </w:r>
            <w:r>
              <w:rPr>
                <w:rFonts w:eastAsia="Calibri"/>
                <w:szCs w:val="22"/>
                <w:lang w:eastAsia="ja-JP"/>
              </w:rPr>
              <w:t xml:space="preserve">asociat cu </w:t>
            </w:r>
            <w:r>
              <w:rPr>
                <w:szCs w:val="22"/>
              </w:rPr>
              <w:t>metotrexat</w:t>
            </w:r>
          </w:p>
        </w:tc>
      </w:tr>
    </w:tbl>
    <w:p w14:paraId="5477594F" w14:textId="77777777" w:rsidR="00C04CAD" w:rsidRDefault="00C04CAD">
      <w:pPr>
        <w:kinsoku w:val="0"/>
        <w:overflowPunct w:val="0"/>
        <w:spacing w:line="240" w:lineRule="auto"/>
      </w:pPr>
    </w:p>
    <w:p w14:paraId="01AA08B0" w14:textId="77777777" w:rsidR="00C04CAD" w:rsidRDefault="00060E34">
      <w:pPr>
        <w:kinsoku w:val="0"/>
        <w:overflowPunct w:val="0"/>
        <w:spacing w:line="240" w:lineRule="auto"/>
      </w:pPr>
      <w:r>
        <w:t xml:space="preserve">Atunci când se inițiază tratamentul cu AMGEVITA, o doză de încărcare de 40 mg la pacienții cu greutatea &lt; 30 kg sau 80 mg la pacienții cu greutatea ≥ 30 kg poate fi administrată cu o săptămână înainte de începerea tratamentului de menținere. </w:t>
      </w:r>
      <w:r>
        <w:rPr>
          <w:szCs w:val="24"/>
        </w:rPr>
        <w:t xml:space="preserve">Nu sunt disponibile date clinice privind utilizarea unei doze de încărcare cu </w:t>
      </w:r>
      <w:r>
        <w:t>AMGEVITA la copii cu vârsta &lt; 6 ani (vezi pct. 5.2).</w:t>
      </w:r>
    </w:p>
    <w:p w14:paraId="731C0B5F" w14:textId="77777777" w:rsidR="00C04CAD" w:rsidRDefault="00C04CAD">
      <w:pPr>
        <w:kinsoku w:val="0"/>
        <w:overflowPunct w:val="0"/>
        <w:spacing w:line="240" w:lineRule="auto"/>
      </w:pPr>
    </w:p>
    <w:p w14:paraId="15ED27A3" w14:textId="77777777" w:rsidR="00C04CAD" w:rsidRDefault="00060E34">
      <w:pPr>
        <w:kinsoku w:val="0"/>
        <w:overflowPunct w:val="0"/>
        <w:spacing w:line="240" w:lineRule="auto"/>
      </w:pPr>
      <w:r>
        <w:t>Pentru această indicație, utilizarea medicamentului AMGEVITA la copii cu vârsta mai mică de 2 ani nu este relevantă.</w:t>
      </w:r>
    </w:p>
    <w:p w14:paraId="46165B6D" w14:textId="77777777" w:rsidR="00C04CAD" w:rsidRDefault="00C04CAD">
      <w:pPr>
        <w:kinsoku w:val="0"/>
        <w:overflowPunct w:val="0"/>
        <w:spacing w:line="240" w:lineRule="auto"/>
      </w:pPr>
    </w:p>
    <w:p w14:paraId="62BE3BD0" w14:textId="77777777" w:rsidR="00C04CAD" w:rsidRDefault="00060E34">
      <w:pPr>
        <w:kinsoku w:val="0"/>
        <w:overflowPunct w:val="0"/>
        <w:spacing w:line="240" w:lineRule="auto"/>
      </w:pPr>
      <w:r>
        <w:t>Se recomandă ca beneficiul și riscul continuării tratamentului pe termen lung să fie evaluate anual (vezi pct. 5.1).</w:t>
      </w:r>
    </w:p>
    <w:p w14:paraId="370984E3" w14:textId="77777777" w:rsidR="00C04CAD" w:rsidRDefault="00C04CAD">
      <w:pPr>
        <w:kinsoku w:val="0"/>
        <w:overflowPunct w:val="0"/>
        <w:spacing w:line="240" w:lineRule="auto"/>
      </w:pPr>
    </w:p>
    <w:p w14:paraId="033BC8A4" w14:textId="77777777" w:rsidR="00C04CAD" w:rsidRDefault="00060E34">
      <w:pPr>
        <w:pStyle w:val="BodyText"/>
        <w:kinsoku w:val="0"/>
        <w:overflowPunct w:val="0"/>
        <w:rPr>
          <w:i w:val="0"/>
          <w:color w:val="auto"/>
        </w:rPr>
      </w:pPr>
      <w:r>
        <w:rPr>
          <w:i w:val="0"/>
          <w:color w:val="auto"/>
        </w:rPr>
        <w:t>AMGEVITA poate fi disponibil în diferite concentrații și/sau prezentări, în funcție de necesitățile individuale de tratament.</w:t>
      </w:r>
    </w:p>
    <w:p w14:paraId="278CFCB1" w14:textId="77777777" w:rsidR="00C04CAD" w:rsidRDefault="00C04CAD">
      <w:pPr>
        <w:kinsoku w:val="0"/>
        <w:overflowPunct w:val="0"/>
        <w:spacing w:line="240" w:lineRule="auto"/>
      </w:pPr>
    </w:p>
    <w:p w14:paraId="66C6E639" w14:textId="77777777" w:rsidR="00C04CAD" w:rsidRDefault="00060E34">
      <w:pPr>
        <w:pStyle w:val="BodyText"/>
        <w:kinsoku w:val="0"/>
        <w:overflowPunct w:val="0"/>
        <w:rPr>
          <w:i w:val="0"/>
          <w:color w:val="auto"/>
        </w:rPr>
      </w:pPr>
      <w:r>
        <w:rPr>
          <w:i w:val="0"/>
          <w:color w:val="auto"/>
          <w:u w:val="single"/>
        </w:rPr>
        <w:t>Mod de administrare</w:t>
      </w:r>
    </w:p>
    <w:p w14:paraId="777AF3F7" w14:textId="77777777" w:rsidR="00C04CAD" w:rsidRDefault="00C04CAD">
      <w:pPr>
        <w:kinsoku w:val="0"/>
        <w:overflowPunct w:val="0"/>
        <w:spacing w:line="240" w:lineRule="auto"/>
      </w:pPr>
    </w:p>
    <w:p w14:paraId="42EE5413" w14:textId="77777777" w:rsidR="00C04CAD" w:rsidRDefault="00060E34">
      <w:pPr>
        <w:pStyle w:val="BodyText"/>
        <w:kinsoku w:val="0"/>
        <w:overflowPunct w:val="0"/>
        <w:rPr>
          <w:i w:val="0"/>
          <w:color w:val="auto"/>
        </w:rPr>
      </w:pPr>
      <w:r>
        <w:rPr>
          <w:i w:val="0"/>
          <w:color w:val="auto"/>
        </w:rPr>
        <w:t>AMGEVITA se administrează prin injecție subcutanată. Instrucţiuni complete privind administrarea sunt disponibile în prospect.</w:t>
      </w:r>
    </w:p>
    <w:p w14:paraId="4C1C34CB" w14:textId="77777777" w:rsidR="00C04CAD" w:rsidRDefault="00C04CAD">
      <w:pPr>
        <w:pStyle w:val="BodyText"/>
        <w:kinsoku w:val="0"/>
        <w:overflowPunct w:val="0"/>
        <w:rPr>
          <w:i w:val="0"/>
          <w:color w:val="auto"/>
        </w:rPr>
      </w:pPr>
    </w:p>
    <w:p w14:paraId="71222C0E" w14:textId="77777777" w:rsidR="00C04CAD" w:rsidRDefault="00060E34">
      <w:pPr>
        <w:keepNext/>
        <w:numPr>
          <w:ilvl w:val="1"/>
          <w:numId w:val="14"/>
        </w:numPr>
        <w:spacing w:line="240" w:lineRule="auto"/>
        <w:ind w:left="567" w:hanging="567"/>
        <w:outlineLvl w:val="0"/>
        <w:rPr>
          <w:szCs w:val="22"/>
        </w:rPr>
      </w:pPr>
      <w:r>
        <w:rPr>
          <w:b/>
        </w:rPr>
        <w:t>Contraindicații</w:t>
      </w:r>
    </w:p>
    <w:p w14:paraId="47010CE5" w14:textId="77777777" w:rsidR="00C04CAD" w:rsidRDefault="00C04CAD">
      <w:pPr>
        <w:keepNext/>
        <w:spacing w:line="240" w:lineRule="auto"/>
      </w:pPr>
    </w:p>
    <w:p w14:paraId="0E58981E" w14:textId="77777777" w:rsidR="00C04CAD" w:rsidRDefault="00060E34">
      <w:pPr>
        <w:pStyle w:val="BodyText"/>
        <w:kinsoku w:val="0"/>
        <w:overflowPunct w:val="0"/>
        <w:rPr>
          <w:i w:val="0"/>
          <w:color w:val="auto"/>
        </w:rPr>
      </w:pPr>
      <w:r>
        <w:rPr>
          <w:i w:val="0"/>
          <w:color w:val="auto"/>
        </w:rPr>
        <w:t>Hipersensibilitate la substanţa activă sau la oricare dintre excipienţii enumeraţi la pct. 6.1.</w:t>
      </w:r>
    </w:p>
    <w:p w14:paraId="77D07217" w14:textId="77777777" w:rsidR="00C04CAD" w:rsidRDefault="00C04CAD">
      <w:pPr>
        <w:pStyle w:val="BodyText"/>
        <w:kinsoku w:val="0"/>
        <w:overflowPunct w:val="0"/>
        <w:rPr>
          <w:i w:val="0"/>
          <w:color w:val="auto"/>
        </w:rPr>
      </w:pPr>
    </w:p>
    <w:p w14:paraId="12B5C93B" w14:textId="77777777" w:rsidR="00C04CAD" w:rsidRDefault="00060E34">
      <w:pPr>
        <w:pStyle w:val="BodyText"/>
        <w:kinsoku w:val="0"/>
        <w:overflowPunct w:val="0"/>
        <w:rPr>
          <w:i w:val="0"/>
          <w:color w:val="auto"/>
        </w:rPr>
      </w:pPr>
      <w:r>
        <w:rPr>
          <w:i w:val="0"/>
          <w:color w:val="auto"/>
        </w:rPr>
        <w:t xml:space="preserve">Tuberculoză activă sau alte infecţii severe cum sunt stări septice şi infecţii oportuniste (vezi pct. 4.4). </w:t>
      </w:r>
    </w:p>
    <w:p w14:paraId="62F58D0F" w14:textId="77777777" w:rsidR="00C04CAD" w:rsidRDefault="00C04CAD">
      <w:pPr>
        <w:pStyle w:val="BodyText"/>
        <w:kinsoku w:val="0"/>
        <w:overflowPunct w:val="0"/>
        <w:rPr>
          <w:i w:val="0"/>
          <w:color w:val="auto"/>
        </w:rPr>
      </w:pPr>
    </w:p>
    <w:p w14:paraId="0131743C" w14:textId="77777777" w:rsidR="00C04CAD" w:rsidRDefault="00060E34">
      <w:pPr>
        <w:pStyle w:val="BodyText"/>
        <w:kinsoku w:val="0"/>
        <w:overflowPunct w:val="0"/>
        <w:rPr>
          <w:i w:val="0"/>
          <w:color w:val="auto"/>
        </w:rPr>
      </w:pPr>
      <w:r>
        <w:rPr>
          <w:i w:val="0"/>
          <w:color w:val="auto"/>
        </w:rPr>
        <w:t>Insuficienţă cardiacă moderată până la severă (clasa III/IV NYHA) (vezi pct. 4.4).</w:t>
      </w:r>
    </w:p>
    <w:p w14:paraId="6144D7F8" w14:textId="77777777" w:rsidR="00C04CAD" w:rsidRDefault="00C04CAD">
      <w:pPr>
        <w:spacing w:line="240" w:lineRule="auto"/>
      </w:pPr>
    </w:p>
    <w:p w14:paraId="291E2B73" w14:textId="77777777" w:rsidR="00C04CAD" w:rsidRDefault="00060E34">
      <w:pPr>
        <w:keepNext/>
        <w:numPr>
          <w:ilvl w:val="1"/>
          <w:numId w:val="14"/>
        </w:numPr>
        <w:spacing w:line="240" w:lineRule="auto"/>
        <w:ind w:left="567" w:hanging="567"/>
        <w:outlineLvl w:val="0"/>
      </w:pPr>
      <w:r>
        <w:rPr>
          <w:b/>
        </w:rPr>
        <w:t>Atenționări și precauții speciale pentru utilizare</w:t>
      </w:r>
    </w:p>
    <w:p w14:paraId="05759E5E" w14:textId="77777777" w:rsidR="00C04CAD" w:rsidRDefault="00C04CAD">
      <w:pPr>
        <w:keepNext/>
        <w:spacing w:line="240" w:lineRule="auto"/>
        <w:ind w:left="567" w:hanging="567"/>
        <w:rPr>
          <w:b/>
        </w:rPr>
      </w:pPr>
    </w:p>
    <w:p w14:paraId="0C49297C" w14:textId="77777777" w:rsidR="00C04CAD" w:rsidRDefault="00060E34">
      <w:pPr>
        <w:keepNext/>
        <w:spacing w:line="240" w:lineRule="auto"/>
        <w:ind w:left="567" w:hanging="567"/>
        <w:rPr>
          <w:u w:val="single"/>
        </w:rPr>
      </w:pPr>
      <w:r>
        <w:rPr>
          <w:u w:val="single"/>
        </w:rPr>
        <w:t>Trasabilitate</w:t>
      </w:r>
    </w:p>
    <w:p w14:paraId="6DC92966" w14:textId="77777777" w:rsidR="00C04CAD" w:rsidRDefault="00C04CAD">
      <w:pPr>
        <w:keepNext/>
        <w:spacing w:line="240" w:lineRule="auto"/>
        <w:ind w:left="567" w:hanging="567"/>
        <w:rPr>
          <w:b/>
        </w:rPr>
      </w:pPr>
    </w:p>
    <w:p w14:paraId="59462677" w14:textId="77777777" w:rsidR="00C04CAD" w:rsidRDefault="00060E34">
      <w:pPr>
        <w:pStyle w:val="BodyText"/>
        <w:kinsoku w:val="0"/>
        <w:overflowPunct w:val="0"/>
        <w:rPr>
          <w:i w:val="0"/>
          <w:color w:val="auto"/>
        </w:rPr>
      </w:pPr>
      <w:r>
        <w:rPr>
          <w:i w:val="0"/>
          <w:color w:val="auto"/>
        </w:rPr>
        <w:t>Denumirea și numărul lotului medicamentului administrat trebuie să fie înregistrate în mod clar în vederea îmbunătățirii trasabilității medicamentelor biologice.</w:t>
      </w:r>
    </w:p>
    <w:p w14:paraId="733E792C" w14:textId="77777777" w:rsidR="00C04CAD" w:rsidRDefault="00C04CAD">
      <w:pPr>
        <w:kinsoku w:val="0"/>
        <w:overflowPunct w:val="0"/>
        <w:spacing w:line="240" w:lineRule="auto"/>
      </w:pPr>
    </w:p>
    <w:p w14:paraId="3EBB73F0" w14:textId="77777777" w:rsidR="00C04CAD" w:rsidRDefault="00060E34">
      <w:pPr>
        <w:pStyle w:val="BodyText"/>
        <w:kinsoku w:val="0"/>
        <w:overflowPunct w:val="0"/>
        <w:rPr>
          <w:i w:val="0"/>
          <w:color w:val="auto"/>
        </w:rPr>
      </w:pPr>
      <w:r>
        <w:rPr>
          <w:i w:val="0"/>
          <w:color w:val="auto"/>
          <w:u w:val="single"/>
        </w:rPr>
        <w:t>Infecţii</w:t>
      </w:r>
    </w:p>
    <w:p w14:paraId="385B87D8" w14:textId="77777777" w:rsidR="00C04CAD" w:rsidRDefault="00C04CAD">
      <w:pPr>
        <w:kinsoku w:val="0"/>
        <w:overflowPunct w:val="0"/>
        <w:spacing w:line="240" w:lineRule="auto"/>
        <w:rPr>
          <w:szCs w:val="22"/>
        </w:rPr>
      </w:pPr>
    </w:p>
    <w:p w14:paraId="2A773227" w14:textId="77777777" w:rsidR="00C04CAD" w:rsidRDefault="00060E34">
      <w:pPr>
        <w:pStyle w:val="BodyText"/>
        <w:kinsoku w:val="0"/>
        <w:overflowPunct w:val="0"/>
        <w:rPr>
          <w:i w:val="0"/>
          <w:color w:val="auto"/>
          <w:szCs w:val="22"/>
        </w:rPr>
      </w:pPr>
      <w:r>
        <w:rPr>
          <w:i w:val="0"/>
          <w:color w:val="auto"/>
          <w:szCs w:val="22"/>
        </w:rPr>
        <w:t>Pacienţii care utilizează antagonişti TNF au un risc crescut de apariţie a infecţiilor grave. Alterarea funcţiei pulmonare creşte riscul de apariţie a infecţiilor. Prin urmare, pacienţii trebuie monitorizaţi atent în vederea detectării infecţiilor, inclusiv a tuberculozei, înainte, în timpul şi după tratamentul cu AMGEVITA. Deoarece eliminarea adalimumabului poate dura până la patru luni, monitorizarea trebuie continuată pe întreg parcursul acestei perioade.</w:t>
      </w:r>
    </w:p>
    <w:p w14:paraId="39CBBCFD" w14:textId="77777777" w:rsidR="00C04CAD" w:rsidRDefault="00C04CAD">
      <w:pPr>
        <w:kinsoku w:val="0"/>
        <w:overflowPunct w:val="0"/>
        <w:spacing w:line="240" w:lineRule="auto"/>
        <w:rPr>
          <w:szCs w:val="22"/>
        </w:rPr>
      </w:pPr>
    </w:p>
    <w:p w14:paraId="581DFFF0" w14:textId="77777777" w:rsidR="00C04CAD" w:rsidRDefault="00060E34">
      <w:pPr>
        <w:pStyle w:val="BodyText"/>
        <w:kinsoku w:val="0"/>
        <w:overflowPunct w:val="0"/>
        <w:rPr>
          <w:i w:val="0"/>
          <w:color w:val="auto"/>
          <w:szCs w:val="22"/>
        </w:rPr>
      </w:pPr>
      <w:r>
        <w:rPr>
          <w:i w:val="0"/>
          <w:color w:val="auto"/>
          <w:szCs w:val="22"/>
        </w:rPr>
        <w:t>Tratamentul cu AMGEVITA nu trebuie iniţiat în cazul pacienţilor cu infecţii active, inclusiv infecţii cronice sau localizate, până când acestea nu sunt controlate. Înainte de începerea tratamentului cu AMGEVITA, trebuie luate în considerare riscul şi beneficiile tratamentului în cazul pacienţilor care au fost expuşi la tuberculoză şi a pacienţilor care au călătorit în zone cu risc crescut de tuberculoză sau zone endemice de micoze, cum ar fi histoplasmoză, coccidioidomicoză sau blastomicoză (vezi Alte Infecţii oportuniste).</w:t>
      </w:r>
    </w:p>
    <w:p w14:paraId="11F085B6" w14:textId="77777777" w:rsidR="00C04CAD" w:rsidRDefault="00C04CAD">
      <w:pPr>
        <w:kinsoku w:val="0"/>
        <w:overflowPunct w:val="0"/>
        <w:spacing w:line="240" w:lineRule="auto"/>
        <w:rPr>
          <w:szCs w:val="22"/>
        </w:rPr>
      </w:pPr>
    </w:p>
    <w:p w14:paraId="534663B1" w14:textId="77777777" w:rsidR="00C04CAD" w:rsidRDefault="00060E34">
      <w:pPr>
        <w:pStyle w:val="BodyText"/>
        <w:kinsoku w:val="0"/>
        <w:overflowPunct w:val="0"/>
        <w:rPr>
          <w:i w:val="0"/>
          <w:color w:val="auto"/>
          <w:szCs w:val="22"/>
        </w:rPr>
      </w:pPr>
      <w:r>
        <w:rPr>
          <w:i w:val="0"/>
          <w:color w:val="auto"/>
          <w:szCs w:val="22"/>
        </w:rPr>
        <w:t>Pacienţii care dezvoltă o nouă infecţie pe durata tratamentului cu AMGEVITA trebuie monitorizaţi atent şi supuşi unei evaluări complete a diagnosticului. Administrarea AMGEVITA trebuie întreruptă dacă un pacient prezintă o nouă infecţie gravă sau sepsis şi trebuie început un tratament adecvat antimicrobian sau antimicotic, până când infecţia este controlată. Este necesară prudenţă din partea medicilor atunci când trebuie să se ia în considerare recomandarea tratamentului cu AMGEVITA la pacienţii cu antecedente de infecţii recidivante sau cu boli de fond care pot predispune la infecţii, inclusiv utilizarea concomitentă a medicamentelor imunosupresoare.</w:t>
      </w:r>
    </w:p>
    <w:p w14:paraId="4E6B6F91" w14:textId="77777777" w:rsidR="00C04CAD" w:rsidRDefault="00C04CAD">
      <w:pPr>
        <w:kinsoku w:val="0"/>
        <w:overflowPunct w:val="0"/>
        <w:spacing w:line="240" w:lineRule="auto"/>
        <w:rPr>
          <w:szCs w:val="22"/>
        </w:rPr>
      </w:pPr>
    </w:p>
    <w:p w14:paraId="0AA3E798" w14:textId="77777777" w:rsidR="00C04CAD" w:rsidRDefault="00060E34">
      <w:pPr>
        <w:keepNext/>
        <w:kinsoku w:val="0"/>
        <w:overflowPunct w:val="0"/>
        <w:spacing w:line="240" w:lineRule="auto"/>
        <w:rPr>
          <w:i/>
          <w:szCs w:val="22"/>
        </w:rPr>
      </w:pPr>
      <w:r>
        <w:rPr>
          <w:i/>
          <w:szCs w:val="22"/>
        </w:rPr>
        <w:t xml:space="preserve">Infecţii </w:t>
      </w:r>
      <w:r>
        <w:rPr>
          <w:i/>
          <w:iCs/>
          <w:szCs w:val="22"/>
        </w:rPr>
        <w:t>grave</w:t>
      </w:r>
    </w:p>
    <w:p w14:paraId="4CF8647F" w14:textId="77777777" w:rsidR="00C04CAD" w:rsidRDefault="00C04CAD">
      <w:pPr>
        <w:keepNext/>
        <w:kinsoku w:val="0"/>
        <w:overflowPunct w:val="0"/>
        <w:spacing w:line="240" w:lineRule="auto"/>
        <w:rPr>
          <w:szCs w:val="22"/>
        </w:rPr>
      </w:pPr>
    </w:p>
    <w:p w14:paraId="70343167" w14:textId="77777777" w:rsidR="00C04CAD" w:rsidRDefault="00060E34">
      <w:pPr>
        <w:pStyle w:val="BodyText"/>
        <w:kinsoku w:val="0"/>
        <w:overflowPunct w:val="0"/>
        <w:rPr>
          <w:color w:val="auto"/>
          <w:szCs w:val="22"/>
        </w:rPr>
      </w:pPr>
      <w:r>
        <w:rPr>
          <w:i w:val="0"/>
          <w:color w:val="auto"/>
          <w:szCs w:val="22"/>
        </w:rPr>
        <w:t>S-au raportat infecţii grave, inclusiv sepsis cauzat de infecţii bacteriene, micobacteriene, infecţii micotice invazive, parazitare, virale, sau alte infecţii oportuniste cum sunt listerioza, legioneloza şi pneomocistoza, la pacienţii care utilizează adalimumab.</w:t>
      </w:r>
    </w:p>
    <w:p w14:paraId="1D583162" w14:textId="77777777" w:rsidR="00C04CAD" w:rsidRDefault="00C04CAD">
      <w:pPr>
        <w:kinsoku w:val="0"/>
        <w:overflowPunct w:val="0"/>
        <w:spacing w:line="240" w:lineRule="auto"/>
      </w:pPr>
    </w:p>
    <w:p w14:paraId="5B6B44E8" w14:textId="77777777" w:rsidR="00C04CAD" w:rsidRDefault="00060E34">
      <w:pPr>
        <w:spacing w:line="240" w:lineRule="auto"/>
      </w:pPr>
      <w:r>
        <w:t>Alte infecţii grave raportate în studii clinice sunt pneumonia, pielonefrita, artrita septică şi septicemia. S-au raportat spitalizări sau decese ca urmare a infecţiilor.</w:t>
      </w:r>
    </w:p>
    <w:p w14:paraId="3D3F5CFC" w14:textId="77777777" w:rsidR="00C04CAD" w:rsidRDefault="00C04CAD">
      <w:pPr>
        <w:spacing w:line="240" w:lineRule="auto"/>
      </w:pPr>
    </w:p>
    <w:p w14:paraId="42DF0E2E" w14:textId="77777777" w:rsidR="00C04CAD" w:rsidRDefault="00060E34">
      <w:pPr>
        <w:keepNext/>
        <w:tabs>
          <w:tab w:val="clear" w:pos="567"/>
        </w:tabs>
        <w:kinsoku w:val="0"/>
        <w:overflowPunct w:val="0"/>
        <w:autoSpaceDE w:val="0"/>
        <w:autoSpaceDN w:val="0"/>
        <w:adjustRightInd w:val="0"/>
        <w:spacing w:line="240" w:lineRule="auto"/>
      </w:pPr>
      <w:r>
        <w:rPr>
          <w:i/>
        </w:rPr>
        <w:t>Tuberculoză</w:t>
      </w:r>
    </w:p>
    <w:p w14:paraId="022FE45D" w14:textId="77777777" w:rsidR="00C04CAD" w:rsidRDefault="00C04CAD">
      <w:pPr>
        <w:keepNext/>
        <w:tabs>
          <w:tab w:val="clear" w:pos="567"/>
        </w:tabs>
        <w:kinsoku w:val="0"/>
        <w:overflowPunct w:val="0"/>
        <w:autoSpaceDE w:val="0"/>
        <w:autoSpaceDN w:val="0"/>
        <w:adjustRightInd w:val="0"/>
        <w:spacing w:line="240" w:lineRule="auto"/>
      </w:pPr>
    </w:p>
    <w:p w14:paraId="02587B9C" w14:textId="77777777" w:rsidR="00C04CAD" w:rsidRDefault="00060E34">
      <w:pPr>
        <w:tabs>
          <w:tab w:val="clear" w:pos="567"/>
        </w:tabs>
        <w:kinsoku w:val="0"/>
        <w:overflowPunct w:val="0"/>
        <w:autoSpaceDE w:val="0"/>
        <w:autoSpaceDN w:val="0"/>
        <w:adjustRightInd w:val="0"/>
        <w:spacing w:line="240" w:lineRule="auto"/>
      </w:pPr>
      <w:r>
        <w:t xml:space="preserve">Au fost raportate cazuri de tuberculoză, inclusiv reactivarea şi debutul tuberculozei la pacienţii care utilizează </w:t>
      </w:r>
      <w:r>
        <w:rPr>
          <w:rFonts w:eastAsia="MS Mincho"/>
          <w:szCs w:val="22"/>
          <w:lang w:eastAsia="en-US" w:bidi="ar-SA"/>
        </w:rPr>
        <w:t>adalimumab</w:t>
      </w:r>
      <w:r>
        <w:t>. Raportările includ cazuri de tuberculoză pulmonară şi extrapulmonară (ca de exemplu forma diseminată).</w:t>
      </w:r>
    </w:p>
    <w:p w14:paraId="178ACF84" w14:textId="77777777" w:rsidR="00C04CAD" w:rsidRDefault="00C04CAD">
      <w:pPr>
        <w:tabs>
          <w:tab w:val="clear" w:pos="567"/>
        </w:tabs>
        <w:kinsoku w:val="0"/>
        <w:overflowPunct w:val="0"/>
        <w:autoSpaceDE w:val="0"/>
        <w:autoSpaceDN w:val="0"/>
        <w:adjustRightInd w:val="0"/>
        <w:spacing w:line="240" w:lineRule="auto"/>
      </w:pPr>
    </w:p>
    <w:p w14:paraId="4347BC23" w14:textId="77777777" w:rsidR="00C04CAD" w:rsidRDefault="00060E34">
      <w:pPr>
        <w:tabs>
          <w:tab w:val="clear" w:pos="567"/>
        </w:tabs>
        <w:kinsoku w:val="0"/>
        <w:overflowPunct w:val="0"/>
        <w:autoSpaceDE w:val="0"/>
        <w:autoSpaceDN w:val="0"/>
        <w:adjustRightInd w:val="0"/>
        <w:spacing w:line="240" w:lineRule="auto"/>
      </w:pPr>
      <w:r>
        <w:t xml:space="preserve">Înainte de iniţierea tratamentului cu </w:t>
      </w:r>
      <w:r>
        <w:rPr>
          <w:rFonts w:eastAsia="MS Mincho"/>
          <w:szCs w:val="22"/>
          <w:lang w:eastAsia="en-US" w:bidi="ar-SA"/>
        </w:rPr>
        <w:t>AMGEVITA</w:t>
      </w:r>
      <w:r>
        <w:t xml:space="preserve">, toţi pacienţii trebuie evaluaţi pentru depistarea tuberculozei active şi inactive (latente). Această evaluare trebuie să includă un control medical detaliat al pacienţilor, care să cuprindă antecedente privind tuberculoza sau un posibil contact anterior cu persoane cu tuberculoză activă, precum şi tratament imunosupresor anterior şi/sau prezent. Testele de screening adecvate (de exemplu intradermoreacţia la tuberculină şi radiografia toracică) trebuie efectuate la toţi pacienţii (se pot aplica recomandări locale). Este recomandat ca efectuarea acestor teste şi rezultatele să fie înregistrate pe “Cardul de </w:t>
      </w:r>
      <w:r>
        <w:rPr>
          <w:szCs w:val="22"/>
        </w:rPr>
        <w:t>avertizare al pacientului</w:t>
      </w:r>
      <w:r>
        <w:t xml:space="preserve">”. Se reaminteşte medicilor care prescriu acest medicament, riscul apariţiei rezultatelor fals negative ale intradermoreacţiei la tuberculină, mai ales la pacienţii </w:t>
      </w:r>
      <w:r>
        <w:rPr>
          <w:rFonts w:eastAsia="MS Mincho"/>
          <w:szCs w:val="22"/>
          <w:lang w:eastAsia="en-US" w:bidi="ar-SA"/>
        </w:rPr>
        <w:t>cu boală severă</w:t>
      </w:r>
      <w:r>
        <w:t xml:space="preserve"> sau cu imunitatea compromisă.</w:t>
      </w:r>
    </w:p>
    <w:p w14:paraId="32095DFB" w14:textId="77777777" w:rsidR="00C04CAD" w:rsidRDefault="00C04CAD">
      <w:pPr>
        <w:tabs>
          <w:tab w:val="clear" w:pos="567"/>
        </w:tabs>
        <w:kinsoku w:val="0"/>
        <w:overflowPunct w:val="0"/>
        <w:autoSpaceDE w:val="0"/>
        <w:autoSpaceDN w:val="0"/>
        <w:adjustRightInd w:val="0"/>
        <w:spacing w:line="240" w:lineRule="auto"/>
      </w:pPr>
    </w:p>
    <w:p w14:paraId="2C673097" w14:textId="77777777" w:rsidR="00C04CAD" w:rsidRDefault="00060E34">
      <w:pPr>
        <w:tabs>
          <w:tab w:val="clear" w:pos="567"/>
        </w:tabs>
        <w:kinsoku w:val="0"/>
        <w:overflowPunct w:val="0"/>
        <w:autoSpaceDE w:val="0"/>
        <w:autoSpaceDN w:val="0"/>
        <w:adjustRightInd w:val="0"/>
        <w:spacing w:line="240" w:lineRule="auto"/>
      </w:pPr>
      <w:r>
        <w:t xml:space="preserve">Dacă este diagnosticată tuberculoza activă, tratamentul cu </w:t>
      </w:r>
      <w:r>
        <w:rPr>
          <w:rFonts w:eastAsia="MS Mincho"/>
          <w:szCs w:val="22"/>
          <w:lang w:eastAsia="en-US" w:bidi="ar-SA"/>
        </w:rPr>
        <w:t>AMGEVITA</w:t>
      </w:r>
      <w:r>
        <w:t xml:space="preserve"> nu trebuie iniţiat (vezi pct. 4.3).</w:t>
      </w:r>
    </w:p>
    <w:p w14:paraId="0DBFD27F" w14:textId="77777777" w:rsidR="00C04CAD" w:rsidRDefault="00C04CAD">
      <w:pPr>
        <w:tabs>
          <w:tab w:val="clear" w:pos="567"/>
        </w:tabs>
        <w:kinsoku w:val="0"/>
        <w:overflowPunct w:val="0"/>
        <w:autoSpaceDE w:val="0"/>
        <w:autoSpaceDN w:val="0"/>
        <w:adjustRightInd w:val="0"/>
        <w:spacing w:line="240" w:lineRule="auto"/>
      </w:pPr>
    </w:p>
    <w:p w14:paraId="12FB0A1C" w14:textId="77777777" w:rsidR="00C04CAD" w:rsidRDefault="00060E34">
      <w:pPr>
        <w:tabs>
          <w:tab w:val="clear" w:pos="567"/>
        </w:tabs>
        <w:kinsoku w:val="0"/>
        <w:overflowPunct w:val="0"/>
        <w:autoSpaceDE w:val="0"/>
        <w:autoSpaceDN w:val="0"/>
        <w:adjustRightInd w:val="0"/>
        <w:spacing w:line="240" w:lineRule="auto"/>
      </w:pPr>
      <w:r>
        <w:t>În toate situaţiile descrise în continuare, trebuie analizat cu atenţie raportul beneficiu/risc al tratamentului.</w:t>
      </w:r>
    </w:p>
    <w:p w14:paraId="43BFA1F3" w14:textId="77777777" w:rsidR="00C04CAD" w:rsidRDefault="00C04CAD">
      <w:pPr>
        <w:tabs>
          <w:tab w:val="clear" w:pos="567"/>
        </w:tabs>
        <w:kinsoku w:val="0"/>
        <w:overflowPunct w:val="0"/>
        <w:autoSpaceDE w:val="0"/>
        <w:autoSpaceDN w:val="0"/>
        <w:adjustRightInd w:val="0"/>
        <w:spacing w:line="240" w:lineRule="auto"/>
      </w:pPr>
    </w:p>
    <w:p w14:paraId="29B4AF96" w14:textId="77777777" w:rsidR="00C04CAD" w:rsidRDefault="00060E34">
      <w:pPr>
        <w:tabs>
          <w:tab w:val="clear" w:pos="567"/>
        </w:tabs>
        <w:kinsoku w:val="0"/>
        <w:overflowPunct w:val="0"/>
        <w:autoSpaceDE w:val="0"/>
        <w:autoSpaceDN w:val="0"/>
        <w:adjustRightInd w:val="0"/>
        <w:spacing w:line="240" w:lineRule="auto"/>
      </w:pPr>
      <w:r>
        <w:t>Dacă este suspectată tuberculoza latentă, trebuie consultat un medic specialist în tratamentul tuberculozei.</w:t>
      </w:r>
    </w:p>
    <w:p w14:paraId="13C0CBD6" w14:textId="77777777" w:rsidR="00C04CAD" w:rsidRDefault="00C04CAD">
      <w:pPr>
        <w:tabs>
          <w:tab w:val="clear" w:pos="567"/>
        </w:tabs>
        <w:kinsoku w:val="0"/>
        <w:overflowPunct w:val="0"/>
        <w:autoSpaceDE w:val="0"/>
        <w:autoSpaceDN w:val="0"/>
        <w:adjustRightInd w:val="0"/>
        <w:spacing w:line="240" w:lineRule="auto"/>
      </w:pPr>
    </w:p>
    <w:p w14:paraId="66588903" w14:textId="77777777" w:rsidR="00C04CAD" w:rsidRDefault="00060E34">
      <w:pPr>
        <w:tabs>
          <w:tab w:val="clear" w:pos="567"/>
        </w:tabs>
        <w:kinsoku w:val="0"/>
        <w:overflowPunct w:val="0"/>
        <w:autoSpaceDE w:val="0"/>
        <w:autoSpaceDN w:val="0"/>
        <w:adjustRightInd w:val="0"/>
        <w:spacing w:line="240" w:lineRule="auto"/>
      </w:pPr>
      <w:r>
        <w:t xml:space="preserve">Dacă este diagnosticată tuberculoza latentă, înainte de începerea tratamentului cu </w:t>
      </w:r>
      <w:r>
        <w:rPr>
          <w:rFonts w:eastAsia="MS Mincho"/>
          <w:szCs w:val="22"/>
          <w:lang w:eastAsia="en-US" w:bidi="ar-SA"/>
        </w:rPr>
        <w:t>AMGEVITA</w:t>
      </w:r>
      <w:r>
        <w:t xml:space="preserve"> trebuie iniţiat un tratament corespunzător pentru tuberculoza latentă, folosind profilaxia antituberculoasă, conform recomandărilor locale.</w:t>
      </w:r>
    </w:p>
    <w:p w14:paraId="6D8D21BC" w14:textId="77777777" w:rsidR="00C04CAD" w:rsidRDefault="00C04CAD">
      <w:pPr>
        <w:tabs>
          <w:tab w:val="clear" w:pos="567"/>
        </w:tabs>
        <w:kinsoku w:val="0"/>
        <w:overflowPunct w:val="0"/>
        <w:autoSpaceDE w:val="0"/>
        <w:autoSpaceDN w:val="0"/>
        <w:adjustRightInd w:val="0"/>
        <w:spacing w:line="240" w:lineRule="auto"/>
      </w:pPr>
    </w:p>
    <w:p w14:paraId="5A542DD8" w14:textId="77777777" w:rsidR="00C04CAD" w:rsidRDefault="00060E34">
      <w:pPr>
        <w:tabs>
          <w:tab w:val="clear" w:pos="567"/>
        </w:tabs>
        <w:kinsoku w:val="0"/>
        <w:overflowPunct w:val="0"/>
        <w:autoSpaceDE w:val="0"/>
        <w:autoSpaceDN w:val="0"/>
        <w:adjustRightInd w:val="0"/>
        <w:spacing w:line="240" w:lineRule="auto"/>
      </w:pPr>
      <w:r>
        <w:t xml:space="preserve">Utilizarea tratamentului profilactic antituberculos trebuie de asemenea luată în considerare înainte de iniţierea tratamentului cu </w:t>
      </w:r>
      <w:r>
        <w:rPr>
          <w:rFonts w:eastAsia="MS Mincho"/>
          <w:szCs w:val="22"/>
          <w:lang w:eastAsia="en-US" w:bidi="ar-SA"/>
        </w:rPr>
        <w:t>AMGEVITA</w:t>
      </w:r>
      <w:r>
        <w:t xml:space="preserve"> la pacienţii cu mai mulţi factori de risc sau cu factori de risc semnificativi pentru tuberculoză, chiar dacă testul pentru tuberculoză este negativ, precum şi la pacienţii cu antecedente de tuberculoză latentă sau activă pentru care nu se poate confirma o perioadă corespunzătoare de tratament.</w:t>
      </w:r>
    </w:p>
    <w:p w14:paraId="6A6F9DBE" w14:textId="77777777" w:rsidR="00C04CAD" w:rsidRDefault="00C04CAD">
      <w:pPr>
        <w:tabs>
          <w:tab w:val="clear" w:pos="567"/>
        </w:tabs>
        <w:kinsoku w:val="0"/>
        <w:overflowPunct w:val="0"/>
        <w:autoSpaceDE w:val="0"/>
        <w:autoSpaceDN w:val="0"/>
        <w:adjustRightInd w:val="0"/>
        <w:spacing w:line="240" w:lineRule="auto"/>
      </w:pPr>
    </w:p>
    <w:p w14:paraId="57037FE7" w14:textId="77777777" w:rsidR="00C04CAD" w:rsidRDefault="00060E34">
      <w:pPr>
        <w:tabs>
          <w:tab w:val="clear" w:pos="567"/>
        </w:tabs>
        <w:kinsoku w:val="0"/>
        <w:overflowPunct w:val="0"/>
        <w:autoSpaceDE w:val="0"/>
        <w:autoSpaceDN w:val="0"/>
        <w:adjustRightInd w:val="0"/>
        <w:spacing w:line="240" w:lineRule="auto"/>
      </w:pPr>
      <w:r>
        <w:t xml:space="preserve">Chiar dacă s-a efectuat tratament profilactic pentru tuberculoză, au apărut cazuri de tuberculoză reactivată la pacienţii trataţi cu </w:t>
      </w:r>
      <w:r>
        <w:rPr>
          <w:rFonts w:eastAsia="MS Mincho"/>
          <w:szCs w:val="22"/>
          <w:lang w:eastAsia="en-US" w:bidi="ar-SA"/>
        </w:rPr>
        <w:t>adalimumab</w:t>
      </w:r>
      <w:r>
        <w:t xml:space="preserve">. Unii pacienţi care au fost trataţi cu succes pentru tuberculoza activă, au dezvoltat din nou tuberculoză în timpul tratamentului cu </w:t>
      </w:r>
      <w:r>
        <w:rPr>
          <w:rFonts w:eastAsia="MS Mincho"/>
          <w:szCs w:val="22"/>
          <w:lang w:eastAsia="en-US" w:bidi="ar-SA"/>
        </w:rPr>
        <w:t>adalimumab</w:t>
      </w:r>
      <w:r>
        <w:t>.</w:t>
      </w:r>
    </w:p>
    <w:p w14:paraId="3C4EA0C0" w14:textId="77777777" w:rsidR="00C04CAD" w:rsidRDefault="00C04CAD">
      <w:pPr>
        <w:tabs>
          <w:tab w:val="clear" w:pos="567"/>
        </w:tabs>
        <w:kinsoku w:val="0"/>
        <w:overflowPunct w:val="0"/>
        <w:autoSpaceDE w:val="0"/>
        <w:autoSpaceDN w:val="0"/>
        <w:adjustRightInd w:val="0"/>
        <w:spacing w:line="240" w:lineRule="auto"/>
        <w:rPr>
          <w:szCs w:val="22"/>
        </w:rPr>
      </w:pPr>
    </w:p>
    <w:p w14:paraId="2F79CBCE" w14:textId="77777777" w:rsidR="00C04CAD" w:rsidRDefault="00060E34">
      <w:pPr>
        <w:spacing w:line="240" w:lineRule="auto"/>
        <w:rPr>
          <w:szCs w:val="22"/>
        </w:rPr>
      </w:pPr>
      <w:r>
        <w:rPr>
          <w:szCs w:val="22"/>
        </w:rPr>
        <w:t xml:space="preserve">Pacienţii trebuie sfătuiţi să solicite consult medical dacă în timpul sau după tratamentul cu </w:t>
      </w:r>
      <w:r>
        <w:rPr>
          <w:rFonts w:eastAsia="MS Mincho"/>
          <w:szCs w:val="22"/>
          <w:lang w:eastAsia="en-US" w:bidi="ar-SA"/>
        </w:rPr>
        <w:t>AMGEVITA</w:t>
      </w:r>
      <w:r>
        <w:rPr>
          <w:szCs w:val="22"/>
        </w:rPr>
        <w:t xml:space="preserve"> apar semne/simptome care sugerează infecţia tuberculoasă (de exemplu tuse persistentă, astenie/scădere ponderală, subfebrilitate, apatie).</w:t>
      </w:r>
    </w:p>
    <w:p w14:paraId="6E8C6072" w14:textId="77777777" w:rsidR="00C04CAD" w:rsidRDefault="00C04CAD">
      <w:pPr>
        <w:spacing w:line="240" w:lineRule="auto"/>
      </w:pPr>
    </w:p>
    <w:p w14:paraId="1A5CE19D" w14:textId="77777777" w:rsidR="00C04CAD" w:rsidRDefault="00060E34">
      <w:pPr>
        <w:keepNext/>
        <w:kinsoku w:val="0"/>
        <w:overflowPunct w:val="0"/>
        <w:spacing w:line="240" w:lineRule="auto"/>
      </w:pPr>
      <w:r>
        <w:rPr>
          <w:i/>
        </w:rPr>
        <w:t>Alte infecţii oportuniste</w:t>
      </w:r>
    </w:p>
    <w:p w14:paraId="78480299" w14:textId="77777777" w:rsidR="00C04CAD" w:rsidRDefault="00C04CAD">
      <w:pPr>
        <w:keepNext/>
        <w:kinsoku w:val="0"/>
        <w:overflowPunct w:val="0"/>
        <w:spacing w:line="240" w:lineRule="auto"/>
      </w:pPr>
    </w:p>
    <w:p w14:paraId="7D989B1E" w14:textId="77777777" w:rsidR="00C04CAD" w:rsidRDefault="00060E34">
      <w:pPr>
        <w:pStyle w:val="BodyText"/>
        <w:kinsoku w:val="0"/>
        <w:overflowPunct w:val="0"/>
        <w:rPr>
          <w:i w:val="0"/>
          <w:color w:val="auto"/>
        </w:rPr>
      </w:pPr>
      <w:r>
        <w:rPr>
          <w:i w:val="0"/>
          <w:color w:val="auto"/>
        </w:rPr>
        <w:t>Au fost raportate infecţii oportuniste, inclusiv infecţii micotice invazive, la pacienţii care utilizează adalimumab. Aceste infecţii nu sunt întotdeauna recunoscute la pacienţii care utilizează antagonişti TNF şi acest lucru a dus la întârzieri în administrarea tratamentului adecvat, uneori având ca rezultat decesul.</w:t>
      </w:r>
    </w:p>
    <w:p w14:paraId="6283D1B2" w14:textId="77777777" w:rsidR="00C04CAD" w:rsidRDefault="00C04CAD">
      <w:pPr>
        <w:kinsoku w:val="0"/>
        <w:overflowPunct w:val="0"/>
        <w:spacing w:line="240" w:lineRule="auto"/>
      </w:pPr>
    </w:p>
    <w:p w14:paraId="761086FB" w14:textId="77777777" w:rsidR="00C04CAD" w:rsidRDefault="00060E34">
      <w:pPr>
        <w:spacing w:line="240" w:lineRule="auto"/>
      </w:pPr>
      <w:r>
        <w:t>Trebuie suspectată o infecţie micotică invazivă în cazul pacienţilor care prezintă semne şi simptome cum sunt febră, stare de rău, pierdere în greutate, transpiraţii, tuse, dispnee şi/sau infiltrate pulmonare sau alte boli sistemice grave însoţite sau nu de şoc şi trebuie întrerupt imediat tratamentul cu AMGEVITA. La aceşti pacienţi, diagnosticarea şi administrarea unui tratament empiric cu antimicotice trebuie să se facă în urma consultului unui medic cu expertiză în îngrijirea pacienţilor cu infecţii micotice invazive.</w:t>
      </w:r>
    </w:p>
    <w:p w14:paraId="73174BE8" w14:textId="77777777" w:rsidR="00C04CAD" w:rsidRDefault="00C04CAD">
      <w:pPr>
        <w:spacing w:line="240" w:lineRule="auto"/>
        <w:rPr>
          <w:szCs w:val="22"/>
        </w:rPr>
      </w:pPr>
    </w:p>
    <w:p w14:paraId="5FC805E1" w14:textId="77777777" w:rsidR="00C04CAD" w:rsidRDefault="00060E34">
      <w:pPr>
        <w:pStyle w:val="BodyText"/>
        <w:kinsoku w:val="0"/>
        <w:overflowPunct w:val="0"/>
        <w:rPr>
          <w:i w:val="0"/>
          <w:color w:val="auto"/>
          <w:szCs w:val="22"/>
        </w:rPr>
      </w:pPr>
      <w:r>
        <w:rPr>
          <w:i w:val="0"/>
          <w:color w:val="auto"/>
          <w:szCs w:val="22"/>
          <w:u w:val="single"/>
        </w:rPr>
        <w:t>Reactivarea hepatitei B</w:t>
      </w:r>
    </w:p>
    <w:p w14:paraId="179679A8" w14:textId="77777777" w:rsidR="00C04CAD" w:rsidRDefault="00C04CAD">
      <w:pPr>
        <w:kinsoku w:val="0"/>
        <w:overflowPunct w:val="0"/>
        <w:spacing w:line="240" w:lineRule="auto"/>
        <w:rPr>
          <w:szCs w:val="22"/>
        </w:rPr>
      </w:pPr>
    </w:p>
    <w:p w14:paraId="02C5F19C" w14:textId="77777777" w:rsidR="00C04CAD" w:rsidRDefault="00060E34">
      <w:pPr>
        <w:pStyle w:val="BodyText"/>
        <w:kinsoku w:val="0"/>
        <w:overflowPunct w:val="0"/>
        <w:rPr>
          <w:i w:val="0"/>
          <w:color w:val="auto"/>
          <w:szCs w:val="22"/>
        </w:rPr>
      </w:pPr>
      <w:r>
        <w:rPr>
          <w:i w:val="0"/>
          <w:color w:val="auto"/>
          <w:szCs w:val="22"/>
        </w:rPr>
        <w:t>Reactivarea hepatitei B are loc la pacienţii cărora li se administrează antagonişti de TNF, inclusiv adalimumab şi care sunt purtători cronici ai acestui virus (de exemplu antigen de suprafaţă pozitiv). Unele cazuri au avut o evoluţie letală. Înaintea iniţierii tratamentului cu AMGEVITA, pacienţii trebuie testaţi din punct de vedere a prezenţei infecţiei VHB. Pentru pacienţii cu test pozitiv pentru infecţia cu hepatită B, se recomandă consultul unui medic specialist cu experienţă în tratamentul hepatitei B.</w:t>
      </w:r>
    </w:p>
    <w:p w14:paraId="7ED29D66" w14:textId="77777777" w:rsidR="00C04CAD" w:rsidRDefault="00C04CAD">
      <w:pPr>
        <w:kinsoku w:val="0"/>
        <w:overflowPunct w:val="0"/>
        <w:spacing w:line="240" w:lineRule="auto"/>
        <w:rPr>
          <w:szCs w:val="22"/>
        </w:rPr>
      </w:pPr>
    </w:p>
    <w:p w14:paraId="70ED46F1" w14:textId="77777777" w:rsidR="00C04CAD" w:rsidRDefault="00060E34">
      <w:pPr>
        <w:spacing w:line="240" w:lineRule="auto"/>
        <w:rPr>
          <w:szCs w:val="22"/>
        </w:rPr>
      </w:pPr>
      <w:r>
        <w:rPr>
          <w:szCs w:val="22"/>
        </w:rPr>
        <w:t>Purtătorii VHB care necesită tratament cu AMGEVITA trebuie atent monitorizaţi în ceea ce priveşte semnele şi simptomele infecţiei active cu VHB în timpul tratamentului şi câteva luni după terminarea terapiei. Nu sunt disponibile date corespunzătoare privind prevenirea reactivării VHB la pacienţii purtători de VHB care primesc tratament antiviral concomitent cu tratamentul cu antagonişti de TNF. Administrarea AMGEVITA trebuie întreruptă la pacienţii la care apare reactivarea hepatitei B şi trebuie iniţiat un tratament eficace antiviral cu tratament de susţinere adecvat.</w:t>
      </w:r>
    </w:p>
    <w:p w14:paraId="59C78A41" w14:textId="77777777" w:rsidR="00C04CAD" w:rsidRDefault="00C04CAD">
      <w:pPr>
        <w:spacing w:line="240" w:lineRule="auto"/>
        <w:rPr>
          <w:szCs w:val="22"/>
        </w:rPr>
      </w:pPr>
    </w:p>
    <w:p w14:paraId="570FBF72" w14:textId="77777777" w:rsidR="00C04CAD" w:rsidRDefault="00060E34">
      <w:pPr>
        <w:pStyle w:val="BodyText"/>
        <w:keepNext/>
        <w:kinsoku w:val="0"/>
        <w:overflowPunct w:val="0"/>
        <w:rPr>
          <w:i w:val="0"/>
          <w:color w:val="auto"/>
          <w:szCs w:val="22"/>
        </w:rPr>
      </w:pPr>
      <w:r>
        <w:rPr>
          <w:i w:val="0"/>
          <w:color w:val="auto"/>
          <w:szCs w:val="22"/>
          <w:u w:val="single"/>
        </w:rPr>
        <w:t>Evenimente neurologice</w:t>
      </w:r>
    </w:p>
    <w:p w14:paraId="12305E78" w14:textId="77777777" w:rsidR="00C04CAD" w:rsidRDefault="00C04CAD">
      <w:pPr>
        <w:kinsoku w:val="0"/>
        <w:overflowPunct w:val="0"/>
        <w:spacing w:line="240" w:lineRule="auto"/>
        <w:rPr>
          <w:szCs w:val="22"/>
        </w:rPr>
      </w:pPr>
    </w:p>
    <w:p w14:paraId="64A4E434" w14:textId="77777777" w:rsidR="00C04CAD" w:rsidRDefault="00060E34">
      <w:pPr>
        <w:spacing w:line="240" w:lineRule="auto"/>
        <w:rPr>
          <w:szCs w:val="22"/>
        </w:rPr>
      </w:pPr>
      <w:r>
        <w:rPr>
          <w:szCs w:val="22"/>
        </w:rPr>
        <w:t>Antagoniştii TNF (factor de necroză tumorală), printre care şi adalimumab, au fost asociaţi în situaţii rare cu debutul sau exacerbarea simptomelor clinice şi/sau a parametrilor radiologici de boală demielinizantă a sistemului nervos central, inclusiv a sclerozei multiple şi nevritei optice şi de boală demielinizantă periferică, inclusiv a sindromului Guillain-Barré. Medicii care prescriu tratamentul cu AMGEVITA trebuie să fie prudenţi în cazul pacienţilor cu afecţiuni demielinizante ale sistemului nervos central sau periferic, pre-existente sau cu debut recent; în cazul în care apare oricare dintre aceste afecţiuni trebuie luată în considerare întreruperea tratamentului cu AMGEVITA. Există o asociere cunoscută între uveita intermediară și bolile demielinizante ale sistemului nervos central. La pacienții cu uveită intermediară non-infecţioasă, înainte de începerea tratamentului și, în mod regulat, în timpul tratamentului cu AMGEVITA, trebuie efectuată evaluare neurologică pentru a putea detecta bolile demielinizante ale sistemului nervos central pre-existente sau în curs de apariţie.</w:t>
      </w:r>
    </w:p>
    <w:p w14:paraId="24D38B17" w14:textId="77777777" w:rsidR="00C04CAD" w:rsidRDefault="00C04CAD">
      <w:pPr>
        <w:spacing w:line="240" w:lineRule="auto"/>
        <w:rPr>
          <w:szCs w:val="22"/>
        </w:rPr>
      </w:pPr>
    </w:p>
    <w:p w14:paraId="628BAFEB" w14:textId="77777777" w:rsidR="00C04CAD" w:rsidRDefault="00060E34">
      <w:pPr>
        <w:pStyle w:val="BodyText"/>
        <w:keepNext/>
        <w:kinsoku w:val="0"/>
        <w:overflowPunct w:val="0"/>
        <w:rPr>
          <w:i w:val="0"/>
          <w:color w:val="auto"/>
        </w:rPr>
      </w:pPr>
      <w:r>
        <w:rPr>
          <w:i w:val="0"/>
          <w:color w:val="auto"/>
          <w:u w:val="single"/>
        </w:rPr>
        <w:t>Reacţii alergice</w:t>
      </w:r>
    </w:p>
    <w:p w14:paraId="23E8BDEA" w14:textId="77777777" w:rsidR="00C04CAD" w:rsidRDefault="00C04CAD">
      <w:pPr>
        <w:keepNext/>
        <w:kinsoku w:val="0"/>
        <w:overflowPunct w:val="0"/>
        <w:spacing w:line="240" w:lineRule="auto"/>
      </w:pPr>
    </w:p>
    <w:p w14:paraId="32CA70EE" w14:textId="77777777" w:rsidR="00C04CAD" w:rsidRDefault="00060E34">
      <w:pPr>
        <w:pStyle w:val="BodyText"/>
        <w:kinsoku w:val="0"/>
        <w:overflowPunct w:val="0"/>
        <w:rPr>
          <w:i w:val="0"/>
          <w:color w:val="auto"/>
        </w:rPr>
      </w:pPr>
      <w:r>
        <w:rPr>
          <w:i w:val="0"/>
          <w:color w:val="auto"/>
        </w:rPr>
        <w:t>În timpul studiilor clinice, au fost raportate rar reacţii alergice grave asociate cu utilizarea adalimumab. În timpul studiilor clinice, reacţiile alergice non-grave asociate tratamentului cu adalimumab au fost raportate ca fiind mai puţin frecvente. După administrarea adalimumab, au fost raportate reacţii alergice grave, inclusiv anafilaxie. Dacă apare o reacţie anafilactică sau altă reacţie alergică gravă, administrarea de AMGEVITA trebuie întreruptă imediat şi trebuie iniţiat un tratament corespunzător.</w:t>
      </w:r>
    </w:p>
    <w:p w14:paraId="1B5B39C6" w14:textId="77777777" w:rsidR="00C04CAD" w:rsidRDefault="00C04CAD">
      <w:pPr>
        <w:kinsoku w:val="0"/>
        <w:overflowPunct w:val="0"/>
        <w:spacing w:line="240" w:lineRule="auto"/>
        <w:rPr>
          <w:szCs w:val="22"/>
        </w:rPr>
      </w:pPr>
    </w:p>
    <w:p w14:paraId="15C41635" w14:textId="77777777" w:rsidR="00C04CAD" w:rsidRDefault="00060E34">
      <w:pPr>
        <w:keepNext/>
        <w:tabs>
          <w:tab w:val="clear" w:pos="567"/>
        </w:tabs>
        <w:kinsoku w:val="0"/>
        <w:overflowPunct w:val="0"/>
        <w:autoSpaceDE w:val="0"/>
        <w:autoSpaceDN w:val="0"/>
        <w:adjustRightInd w:val="0"/>
        <w:spacing w:line="240" w:lineRule="auto"/>
      </w:pPr>
      <w:r>
        <w:rPr>
          <w:u w:val="single"/>
        </w:rPr>
        <w:t>Imunosupresie</w:t>
      </w:r>
    </w:p>
    <w:p w14:paraId="1E94A85A" w14:textId="77777777" w:rsidR="00C04CAD" w:rsidRDefault="00C04CAD">
      <w:pPr>
        <w:keepNext/>
        <w:tabs>
          <w:tab w:val="clear" w:pos="567"/>
        </w:tabs>
        <w:kinsoku w:val="0"/>
        <w:overflowPunct w:val="0"/>
        <w:autoSpaceDE w:val="0"/>
        <w:autoSpaceDN w:val="0"/>
        <w:adjustRightInd w:val="0"/>
        <w:spacing w:line="240" w:lineRule="auto"/>
      </w:pPr>
    </w:p>
    <w:p w14:paraId="480B47E8" w14:textId="77777777" w:rsidR="00C04CAD" w:rsidRDefault="00060E34">
      <w:pPr>
        <w:tabs>
          <w:tab w:val="clear" w:pos="567"/>
        </w:tabs>
        <w:kinsoku w:val="0"/>
        <w:overflowPunct w:val="0"/>
        <w:autoSpaceDE w:val="0"/>
        <w:autoSpaceDN w:val="0"/>
        <w:adjustRightInd w:val="0"/>
        <w:spacing w:line="240" w:lineRule="auto"/>
      </w:pPr>
      <w:r>
        <w:t xml:space="preserve">În cadrul unui studiu în care au fost incluşi 64 pacienţi cu poliartrită reumatoidă care au fost trataţi cu </w:t>
      </w:r>
      <w:r>
        <w:rPr>
          <w:rFonts w:eastAsia="MS Mincho"/>
          <w:szCs w:val="22"/>
          <w:lang w:eastAsia="en-US" w:bidi="ar-SA"/>
        </w:rPr>
        <w:t>adalimumab</w:t>
      </w:r>
      <w:r>
        <w:t>, nu s-au evidenţiat scăderea hipersensibilităţii de tip întârziat, scăderea nivelurilor de imunoglobuline sau modificarea numărului de celule T, B, NK efectoare, de monocite/macrofage şi de neutrofile.</w:t>
      </w:r>
    </w:p>
    <w:p w14:paraId="73D2667F" w14:textId="77777777" w:rsidR="00C04CAD" w:rsidRDefault="00C04CAD">
      <w:pPr>
        <w:tabs>
          <w:tab w:val="clear" w:pos="567"/>
        </w:tabs>
        <w:kinsoku w:val="0"/>
        <w:overflowPunct w:val="0"/>
        <w:autoSpaceDE w:val="0"/>
        <w:autoSpaceDN w:val="0"/>
        <w:adjustRightInd w:val="0"/>
        <w:spacing w:line="240" w:lineRule="auto"/>
      </w:pPr>
    </w:p>
    <w:p w14:paraId="69B30075" w14:textId="77777777" w:rsidR="00C04CAD" w:rsidRDefault="00060E34">
      <w:pPr>
        <w:tabs>
          <w:tab w:val="clear" w:pos="567"/>
        </w:tabs>
        <w:kinsoku w:val="0"/>
        <w:overflowPunct w:val="0"/>
        <w:autoSpaceDE w:val="0"/>
        <w:autoSpaceDN w:val="0"/>
        <w:adjustRightInd w:val="0"/>
        <w:spacing w:line="240" w:lineRule="auto"/>
      </w:pPr>
      <w:r>
        <w:rPr>
          <w:u w:val="single"/>
        </w:rPr>
        <w:t>Afecţiuni maligne şi limfoproliferative</w:t>
      </w:r>
    </w:p>
    <w:p w14:paraId="13257F1E" w14:textId="77777777" w:rsidR="00C04CAD" w:rsidRDefault="00C04CAD">
      <w:pPr>
        <w:tabs>
          <w:tab w:val="clear" w:pos="567"/>
        </w:tabs>
        <w:kinsoku w:val="0"/>
        <w:overflowPunct w:val="0"/>
        <w:autoSpaceDE w:val="0"/>
        <w:autoSpaceDN w:val="0"/>
        <w:adjustRightInd w:val="0"/>
        <w:spacing w:line="240" w:lineRule="auto"/>
      </w:pPr>
    </w:p>
    <w:p w14:paraId="208A69FB" w14:textId="77777777" w:rsidR="00C04CAD" w:rsidRDefault="00060E34">
      <w:pPr>
        <w:tabs>
          <w:tab w:val="clear" w:pos="567"/>
        </w:tabs>
        <w:kinsoku w:val="0"/>
        <w:overflowPunct w:val="0"/>
        <w:autoSpaceDE w:val="0"/>
        <w:autoSpaceDN w:val="0"/>
        <w:adjustRightInd w:val="0"/>
        <w:spacing w:line="240" w:lineRule="auto"/>
      </w:pPr>
      <w:r>
        <w:t xml:space="preserve">În </w:t>
      </w:r>
      <w:r>
        <w:rPr>
          <w:rFonts w:eastAsia="MS Mincho"/>
          <w:szCs w:val="22"/>
          <w:lang w:eastAsia="en-US" w:bidi="ar-SA"/>
        </w:rPr>
        <w:t>grupul</w:t>
      </w:r>
      <w:r>
        <w:t xml:space="preserve"> de control </w:t>
      </w:r>
      <w:r>
        <w:rPr>
          <w:rFonts w:eastAsia="MS Mincho"/>
          <w:szCs w:val="22"/>
          <w:lang w:eastAsia="en-US" w:bidi="ar-SA"/>
        </w:rPr>
        <w:t>pentru adalimumab din cadrul</w:t>
      </w:r>
      <w:r>
        <w:t xml:space="preserve"> studiilor clinice privind antagoniştii TNF au fost raportate mai multe cazuri de afecţiuni maligne inclusiv limfom în cazul pacienţilor care au primit antagonişti TNF comparativ cu pacienţii din grupul de control. Totuşi, incidenţa a fost rară. În observaţiile de după punere pe piaţă, s-au raportat cazuri de leucemie la pacienţii trataţi cu antagonişti TNF. Există o creştere a riscului iniţial privind apariţia limfoamelor </w:t>
      </w:r>
      <w:r>
        <w:rPr>
          <w:rFonts w:eastAsia="MS Mincho"/>
          <w:szCs w:val="22"/>
          <w:lang w:eastAsia="en-US" w:bidi="ar-SA"/>
        </w:rPr>
        <w:t xml:space="preserve">şi a leucemiei </w:t>
      </w:r>
      <w:r>
        <w:t>la pacienţii cu poliartrită reumatoidă cu boală inflamatorie foarte activă şi de lungă durată, care complică estimarea gradului de risc. Pe baza cunoştinţelor actuale, nu poate fi exclus riscul apariţiei limfoamelor, leucemiei şi a altor afecţiuni maligne la pacienţii trataţi cu antagonişti TNF.</w:t>
      </w:r>
    </w:p>
    <w:p w14:paraId="791091FB" w14:textId="77777777" w:rsidR="00C04CAD" w:rsidRDefault="00C04CAD">
      <w:pPr>
        <w:tabs>
          <w:tab w:val="clear" w:pos="567"/>
        </w:tabs>
        <w:kinsoku w:val="0"/>
        <w:overflowPunct w:val="0"/>
        <w:autoSpaceDE w:val="0"/>
        <w:autoSpaceDN w:val="0"/>
        <w:adjustRightInd w:val="0"/>
        <w:spacing w:line="240" w:lineRule="auto"/>
      </w:pPr>
    </w:p>
    <w:p w14:paraId="0BBD352F" w14:textId="77777777" w:rsidR="00C04CAD" w:rsidRDefault="00060E34">
      <w:pPr>
        <w:tabs>
          <w:tab w:val="clear" w:pos="567"/>
        </w:tabs>
        <w:kinsoku w:val="0"/>
        <w:overflowPunct w:val="0"/>
        <w:autoSpaceDE w:val="0"/>
        <w:autoSpaceDN w:val="0"/>
        <w:adjustRightInd w:val="0"/>
        <w:spacing w:line="240" w:lineRule="auto"/>
      </w:pPr>
      <w:r>
        <w:t xml:space="preserve">După punerea pe piaţă, s-au raportat afecţiuni maligne, unele letale, la copii, adolescenţi şi </w:t>
      </w:r>
      <w:r>
        <w:rPr>
          <w:rFonts w:eastAsia="MS Mincho"/>
          <w:szCs w:val="22"/>
          <w:lang w:eastAsia="en-US" w:bidi="ar-SA"/>
        </w:rPr>
        <w:t xml:space="preserve">adulţi </w:t>
      </w:r>
      <w:r>
        <w:t>tineri (cu vârsta de până la 22 ani) trataţi cu antagonişti TNF (tratament iniţiat la vârsta ≤ 18 ani), inclusiv cu adalimumab. Aproximativ jumătate dintre aceste cazuri au fost limfoame. Celelalte cazuri au reprezentat o varietate de afecţiuni maligne şi au inclus afecţiuni maligne rare, de obicei asociate cu imunosupresia. Nu poate fi exclus riscul apariţiei afecţiunilor maligne la copiii şi adolescenţii trataţi cu antagonişti TNF.</w:t>
      </w:r>
    </w:p>
    <w:p w14:paraId="74AE0E3C" w14:textId="77777777" w:rsidR="00C04CAD" w:rsidRDefault="00C04CAD">
      <w:pPr>
        <w:tabs>
          <w:tab w:val="clear" w:pos="567"/>
        </w:tabs>
        <w:kinsoku w:val="0"/>
        <w:overflowPunct w:val="0"/>
        <w:autoSpaceDE w:val="0"/>
        <w:autoSpaceDN w:val="0"/>
        <w:adjustRightInd w:val="0"/>
        <w:spacing w:line="240" w:lineRule="auto"/>
      </w:pPr>
    </w:p>
    <w:p w14:paraId="5464FC8C" w14:textId="77777777" w:rsidR="00C04CAD" w:rsidRDefault="00060E34">
      <w:pPr>
        <w:tabs>
          <w:tab w:val="clear" w:pos="567"/>
        </w:tabs>
        <w:kinsoku w:val="0"/>
        <w:overflowPunct w:val="0"/>
        <w:autoSpaceDE w:val="0"/>
        <w:autoSpaceDN w:val="0"/>
        <w:adjustRightInd w:val="0"/>
        <w:spacing w:line="240" w:lineRule="auto"/>
      </w:pPr>
      <w:r>
        <w:t xml:space="preserve">După punerea pe piaţă au fost identificate cazuri rare de limfom hepatosplenic cu celule T la pacienţii trataţi cu adalimumab. Acest tip rar de limfom cu celule T este o afecţiune cu evoluţie gravă şi de obicei este letală. Unele dintre aceste limfoame </w:t>
      </w:r>
      <w:r>
        <w:rPr>
          <w:rFonts w:eastAsia="MS Mincho"/>
          <w:szCs w:val="22"/>
          <w:lang w:eastAsia="en-US" w:bidi="ar-SA"/>
        </w:rPr>
        <w:t xml:space="preserve">hepatosplenice </w:t>
      </w:r>
      <w:r>
        <w:t xml:space="preserve">cu celule T apărute în timpul tratamentului cu </w:t>
      </w:r>
      <w:r>
        <w:rPr>
          <w:rFonts w:eastAsia="MS Mincho"/>
          <w:szCs w:val="22"/>
          <w:lang w:eastAsia="en-US" w:bidi="ar-SA"/>
        </w:rPr>
        <w:t>adalimumab</w:t>
      </w:r>
      <w:r>
        <w:t xml:space="preserve"> s-au întâlnit la pacienţii tineri cărora li se administrează concomitent tratament cu azatioprină sau 6</w:t>
      </w:r>
      <w:r>
        <w:noBreakHyphen/>
        <w:t>mercaptopurină utilizate pentru tratamentul afecţiunilor inflamatorii intestinale. Trebuie luat în considerare cu atenţie riscul potenţial în cazul utilizării concomitente a azatioprinei sau a 6</w:t>
      </w:r>
      <w:r>
        <w:noBreakHyphen/>
        <w:t xml:space="preserve">mercaptopurinei cu </w:t>
      </w:r>
      <w:r>
        <w:rPr>
          <w:rFonts w:eastAsia="MS Mincho"/>
          <w:szCs w:val="22"/>
          <w:lang w:eastAsia="en-US" w:bidi="ar-SA"/>
        </w:rPr>
        <w:t>AMGEVITA</w:t>
      </w:r>
      <w:r>
        <w:t xml:space="preserve">. Nu poate fi exclus riscul de apariţie a limfomului hepatosplenic cu celule T la pacienţii trataţi cu </w:t>
      </w:r>
      <w:r>
        <w:rPr>
          <w:rFonts w:eastAsia="MS Mincho"/>
          <w:szCs w:val="22"/>
          <w:lang w:eastAsia="en-US" w:bidi="ar-SA"/>
        </w:rPr>
        <w:t>AMGEVITA</w:t>
      </w:r>
      <w:r>
        <w:t xml:space="preserve"> (vezi pct. 4.8).</w:t>
      </w:r>
    </w:p>
    <w:p w14:paraId="41395E4D" w14:textId="77777777" w:rsidR="00C04CAD" w:rsidRDefault="00C04CAD">
      <w:pPr>
        <w:tabs>
          <w:tab w:val="clear" w:pos="567"/>
        </w:tabs>
        <w:kinsoku w:val="0"/>
        <w:overflowPunct w:val="0"/>
        <w:autoSpaceDE w:val="0"/>
        <w:autoSpaceDN w:val="0"/>
        <w:adjustRightInd w:val="0"/>
        <w:spacing w:line="240" w:lineRule="auto"/>
      </w:pPr>
    </w:p>
    <w:p w14:paraId="50E388D6" w14:textId="77777777" w:rsidR="00C04CAD" w:rsidRDefault="00060E34">
      <w:pPr>
        <w:tabs>
          <w:tab w:val="clear" w:pos="567"/>
        </w:tabs>
        <w:kinsoku w:val="0"/>
        <w:overflowPunct w:val="0"/>
        <w:autoSpaceDE w:val="0"/>
        <w:autoSpaceDN w:val="0"/>
        <w:adjustRightInd w:val="0"/>
        <w:spacing w:line="240" w:lineRule="auto"/>
      </w:pPr>
      <w:r>
        <w:t xml:space="preserve">Nu au fost derulate studii clinice care să includă pacienţi cu afecţiuni maligne în antecedente sau pacienţi care au continuat tratamentul cu </w:t>
      </w:r>
      <w:r>
        <w:rPr>
          <w:rFonts w:eastAsia="MS Mincho"/>
          <w:szCs w:val="22"/>
          <w:lang w:eastAsia="en-US" w:bidi="ar-SA"/>
        </w:rPr>
        <w:t>adalimumab</w:t>
      </w:r>
      <w:r>
        <w:t xml:space="preserve"> după apariţia de boli maligne în timpul acestui tratament. Astfel, trebuie luate precauţii suplimentare atunci când se ia în considerare iniţierea tratamentului cu </w:t>
      </w:r>
      <w:r>
        <w:rPr>
          <w:rFonts w:eastAsia="MS Mincho"/>
          <w:szCs w:val="22"/>
          <w:lang w:eastAsia="en-US" w:bidi="ar-SA"/>
        </w:rPr>
        <w:t>AMGEVITA</w:t>
      </w:r>
      <w:r>
        <w:t xml:space="preserve"> la aceşti pacienţi (vezi pct. 4.8).</w:t>
      </w:r>
    </w:p>
    <w:p w14:paraId="440563EA" w14:textId="77777777" w:rsidR="00C04CAD" w:rsidRDefault="00C04CAD">
      <w:pPr>
        <w:tabs>
          <w:tab w:val="clear" w:pos="567"/>
        </w:tabs>
        <w:kinsoku w:val="0"/>
        <w:overflowPunct w:val="0"/>
        <w:autoSpaceDE w:val="0"/>
        <w:autoSpaceDN w:val="0"/>
        <w:adjustRightInd w:val="0"/>
        <w:spacing w:line="240" w:lineRule="auto"/>
      </w:pPr>
    </w:p>
    <w:p w14:paraId="1DD6F09C" w14:textId="77777777" w:rsidR="00C04CAD" w:rsidRDefault="00060E34">
      <w:pPr>
        <w:tabs>
          <w:tab w:val="clear" w:pos="567"/>
        </w:tabs>
        <w:kinsoku w:val="0"/>
        <w:overflowPunct w:val="0"/>
        <w:autoSpaceDE w:val="0"/>
        <w:autoSpaceDN w:val="0"/>
        <w:adjustRightInd w:val="0"/>
        <w:spacing w:line="240" w:lineRule="auto"/>
      </w:pPr>
      <w:r>
        <w:t xml:space="preserve">Înainte de începerea tratamentului </w:t>
      </w:r>
      <w:r>
        <w:rPr>
          <w:rFonts w:eastAsia="MS Mincho"/>
          <w:szCs w:val="22"/>
          <w:lang w:eastAsia="en-US" w:bidi="ar-SA"/>
        </w:rPr>
        <w:t xml:space="preserve">sau în timpul tratamentului </w:t>
      </w:r>
      <w:r>
        <w:t xml:space="preserve">cu </w:t>
      </w:r>
      <w:r>
        <w:rPr>
          <w:rFonts w:eastAsia="MS Mincho"/>
          <w:szCs w:val="22"/>
          <w:lang w:eastAsia="en-US" w:bidi="ar-SA"/>
        </w:rPr>
        <w:t>AMGEVITA</w:t>
      </w:r>
      <w:r>
        <w:t>, toţi pacienţii şi mai ales pacienţii cu antecedente medicale de tratament imunosupresor intens sau pacienţii cu psoriazis care au urmat un tratament PUVA, trebuie examinaţi pentru depistarea unui eventual cancer cutanat de tip ne-melanom. S-au raportat, de asemenea, cazuri de melanom şi carcinom cu celule Merkel la pacienţii care au utilizat un tratament cu medicamente anti-TNF, inclusiv adalimumab (vezi pct. 4.8).</w:t>
      </w:r>
    </w:p>
    <w:p w14:paraId="59D95A07" w14:textId="77777777" w:rsidR="00C04CAD" w:rsidRDefault="00C04CAD">
      <w:pPr>
        <w:tabs>
          <w:tab w:val="clear" w:pos="567"/>
        </w:tabs>
        <w:kinsoku w:val="0"/>
        <w:overflowPunct w:val="0"/>
        <w:autoSpaceDE w:val="0"/>
        <w:autoSpaceDN w:val="0"/>
        <w:adjustRightInd w:val="0"/>
        <w:spacing w:line="240" w:lineRule="auto"/>
      </w:pPr>
    </w:p>
    <w:p w14:paraId="025F91B8" w14:textId="77777777" w:rsidR="00C04CAD" w:rsidRDefault="00060E34">
      <w:pPr>
        <w:tabs>
          <w:tab w:val="clear" w:pos="567"/>
        </w:tabs>
        <w:kinsoku w:val="0"/>
        <w:overflowPunct w:val="0"/>
        <w:autoSpaceDE w:val="0"/>
        <w:autoSpaceDN w:val="0"/>
        <w:adjustRightInd w:val="0"/>
        <w:spacing w:line="240" w:lineRule="auto"/>
      </w:pPr>
      <w:r>
        <w:t>Într-un studiu clinic de tatonare evaluând utilizarea altui medicament anti-TNF, infliximab, au fost raportate la pacienţii trataţi cu infliximab comparativ cu un grup control, cazuri de boli pulmonare obstructive cronice (BPOC) moderate până la severe, mai multe cazuri de afecţiuni maligne, mai ales la nivelul plămânului, capului sau gâtului. Toţi pacienţii aveau un istoric de fumat intens. De aceea, trebuie avută grijă atunci când se utilizează antagonişti TNF la pacienţii BPOC precum şi la pacienţii cu risc crescut pentru afecţiunile maligne cauzate de fumatul intens.</w:t>
      </w:r>
    </w:p>
    <w:p w14:paraId="2765E4C9" w14:textId="77777777" w:rsidR="00C04CAD" w:rsidRDefault="00C04CAD">
      <w:pPr>
        <w:tabs>
          <w:tab w:val="clear" w:pos="567"/>
        </w:tabs>
        <w:kinsoku w:val="0"/>
        <w:overflowPunct w:val="0"/>
        <w:autoSpaceDE w:val="0"/>
        <w:autoSpaceDN w:val="0"/>
        <w:adjustRightInd w:val="0"/>
        <w:spacing w:line="240" w:lineRule="auto"/>
        <w:rPr>
          <w:szCs w:val="22"/>
        </w:rPr>
      </w:pPr>
    </w:p>
    <w:p w14:paraId="0B06BB8E" w14:textId="77777777" w:rsidR="00C04CAD" w:rsidRDefault="00060E34">
      <w:pPr>
        <w:pStyle w:val="BodyText"/>
        <w:kinsoku w:val="0"/>
        <w:overflowPunct w:val="0"/>
        <w:rPr>
          <w:i w:val="0"/>
          <w:color w:val="auto"/>
          <w:szCs w:val="22"/>
        </w:rPr>
      </w:pPr>
      <w:r>
        <w:rPr>
          <w:i w:val="0"/>
          <w:color w:val="auto"/>
          <w:szCs w:val="22"/>
        </w:rPr>
        <w:t xml:space="preserve">Din datele actuale, nu se cunoaşte dacă tratamentul cu adalimumab influenţează riscul de apariţie a displaziei sau a cancerului de colon. Toţi pacienţii cu colită ulcerativă care au un risc crescut pentru displazie sau carcinom de colon (de exemplu, pacienţi cu colită ulcerativă prezentă de un timp îndelungat sau colangită sclerozantă primară), sau care au avut anterior </w:t>
      </w:r>
      <w:r>
        <w:rPr>
          <w:rFonts w:eastAsia="MS Mincho"/>
          <w:i w:val="0"/>
          <w:color w:val="auto"/>
          <w:szCs w:val="22"/>
          <w:lang w:eastAsia="en-US" w:bidi="ar-SA"/>
        </w:rPr>
        <w:t>antecedente</w:t>
      </w:r>
      <w:r>
        <w:rPr>
          <w:i w:val="0"/>
          <w:color w:val="auto"/>
          <w:szCs w:val="22"/>
        </w:rPr>
        <w:t xml:space="preserve"> de displazie sau carcinom de colon, trebuie testaţi pentru displazie la intervale regulate de timp înainte de tratament şi pe durata bolii. Această evaluare trebuie să includă colonoscopie şi biopsie conform recomandărilor locale.</w:t>
      </w:r>
    </w:p>
    <w:p w14:paraId="1C55FA79" w14:textId="77777777" w:rsidR="00C04CAD" w:rsidRDefault="00C04CAD">
      <w:pPr>
        <w:pStyle w:val="BodyText"/>
        <w:kinsoku w:val="0"/>
        <w:overflowPunct w:val="0"/>
        <w:rPr>
          <w:color w:val="auto"/>
          <w:szCs w:val="22"/>
        </w:rPr>
      </w:pPr>
    </w:p>
    <w:p w14:paraId="2976BD2A" w14:textId="77777777" w:rsidR="00C04CAD" w:rsidRDefault="00060E34">
      <w:pPr>
        <w:keepNext/>
        <w:tabs>
          <w:tab w:val="clear" w:pos="567"/>
        </w:tabs>
        <w:kinsoku w:val="0"/>
        <w:overflowPunct w:val="0"/>
        <w:autoSpaceDE w:val="0"/>
        <w:autoSpaceDN w:val="0"/>
        <w:adjustRightInd w:val="0"/>
        <w:spacing w:line="240" w:lineRule="auto"/>
      </w:pPr>
      <w:r>
        <w:rPr>
          <w:u w:val="single"/>
        </w:rPr>
        <w:t>Reacţii hematologice</w:t>
      </w:r>
    </w:p>
    <w:p w14:paraId="4B43B97E" w14:textId="77777777" w:rsidR="00C04CAD" w:rsidRDefault="00C04CAD">
      <w:pPr>
        <w:keepNext/>
        <w:tabs>
          <w:tab w:val="clear" w:pos="567"/>
        </w:tabs>
        <w:kinsoku w:val="0"/>
        <w:overflowPunct w:val="0"/>
        <w:autoSpaceDE w:val="0"/>
        <w:autoSpaceDN w:val="0"/>
        <w:adjustRightInd w:val="0"/>
        <w:spacing w:line="240" w:lineRule="auto"/>
      </w:pPr>
    </w:p>
    <w:p w14:paraId="002FEA53" w14:textId="77777777" w:rsidR="00C04CAD" w:rsidRDefault="00060E34">
      <w:pPr>
        <w:tabs>
          <w:tab w:val="clear" w:pos="567"/>
        </w:tabs>
        <w:kinsoku w:val="0"/>
        <w:overflowPunct w:val="0"/>
        <w:autoSpaceDE w:val="0"/>
        <w:autoSpaceDN w:val="0"/>
        <w:adjustRightInd w:val="0"/>
        <w:spacing w:line="240" w:lineRule="auto"/>
      </w:pPr>
      <w:r>
        <w:t xml:space="preserve">Au fost raportate cazuri rare de pancitopenie, inclusiv anemie aplastică în cazul tratamentului cu antagonişti de TNF. În cazul folosirii </w:t>
      </w:r>
      <w:r>
        <w:rPr>
          <w:rFonts w:eastAsia="MS Mincho"/>
          <w:szCs w:val="22"/>
          <w:lang w:eastAsia="en-US" w:bidi="ar-SA"/>
        </w:rPr>
        <w:t>adalimumab</w:t>
      </w:r>
      <w:r>
        <w:t xml:space="preserve"> au fost raportate reacţii adverse la nivelul sistemului hematologic, inclusiv citopenie semnificativă clinic (de exemplu trombocitopenie, leucopenie). Toţi pacienţii care primesc </w:t>
      </w:r>
      <w:r>
        <w:rPr>
          <w:rFonts w:eastAsia="MS Mincho"/>
          <w:szCs w:val="22"/>
          <w:lang w:eastAsia="en-US" w:bidi="ar-SA"/>
        </w:rPr>
        <w:t>AMGEVITA</w:t>
      </w:r>
      <w:r>
        <w:t xml:space="preserve"> trebuie atenţionaţi să solicite imediat consult medical dacă apar semne şi simptome care sugerează tulburări hematologice (de exemplu febră persistentă, echimoze, sângerare, paloare). Întreruperea tratamentului cu </w:t>
      </w:r>
      <w:r>
        <w:rPr>
          <w:rFonts w:eastAsia="MS Mincho"/>
          <w:szCs w:val="22"/>
          <w:lang w:eastAsia="en-US" w:bidi="ar-SA"/>
        </w:rPr>
        <w:t>AMGEVITA</w:t>
      </w:r>
      <w:r>
        <w:t xml:space="preserve"> trebuie luat în considerare în cazul pacienţilor care au tulburări hematologice semnificative.</w:t>
      </w:r>
    </w:p>
    <w:p w14:paraId="493D1392" w14:textId="77777777" w:rsidR="00C04CAD" w:rsidRDefault="00C04CAD">
      <w:pPr>
        <w:tabs>
          <w:tab w:val="clear" w:pos="567"/>
        </w:tabs>
        <w:kinsoku w:val="0"/>
        <w:overflowPunct w:val="0"/>
        <w:autoSpaceDE w:val="0"/>
        <w:autoSpaceDN w:val="0"/>
        <w:adjustRightInd w:val="0"/>
        <w:spacing w:line="240" w:lineRule="auto"/>
      </w:pPr>
    </w:p>
    <w:p w14:paraId="4724A254" w14:textId="77777777" w:rsidR="00C04CAD" w:rsidRDefault="00060E34">
      <w:pPr>
        <w:keepNext/>
        <w:tabs>
          <w:tab w:val="clear" w:pos="567"/>
        </w:tabs>
        <w:kinsoku w:val="0"/>
        <w:overflowPunct w:val="0"/>
        <w:autoSpaceDE w:val="0"/>
        <w:autoSpaceDN w:val="0"/>
        <w:adjustRightInd w:val="0"/>
        <w:spacing w:line="240" w:lineRule="auto"/>
      </w:pPr>
      <w:r>
        <w:rPr>
          <w:u w:val="single"/>
        </w:rPr>
        <w:t>Vaccinări</w:t>
      </w:r>
    </w:p>
    <w:p w14:paraId="63745405" w14:textId="77777777" w:rsidR="00C04CAD" w:rsidRDefault="00C04CAD">
      <w:pPr>
        <w:keepNext/>
        <w:tabs>
          <w:tab w:val="clear" w:pos="567"/>
        </w:tabs>
        <w:kinsoku w:val="0"/>
        <w:overflowPunct w:val="0"/>
        <w:autoSpaceDE w:val="0"/>
        <w:autoSpaceDN w:val="0"/>
        <w:adjustRightInd w:val="0"/>
        <w:spacing w:line="240" w:lineRule="auto"/>
      </w:pPr>
    </w:p>
    <w:p w14:paraId="00C8260D" w14:textId="77777777" w:rsidR="00C04CAD" w:rsidRDefault="00060E34">
      <w:pPr>
        <w:tabs>
          <w:tab w:val="clear" w:pos="567"/>
        </w:tabs>
        <w:kinsoku w:val="0"/>
        <w:overflowPunct w:val="0"/>
        <w:autoSpaceDE w:val="0"/>
        <w:autoSpaceDN w:val="0"/>
        <w:adjustRightInd w:val="0"/>
        <w:spacing w:line="240" w:lineRule="auto"/>
      </w:pPr>
      <w:r>
        <w:t xml:space="preserve">Într-un studiu la 226 subiecţi adulţi cu artrită reumatoidă care au fost trataţi cu adalimumab sau cu placebo, au fost observate răspunsuri similare la vaccinul pneumococic standard valent-23 şi la vaccinul trivalent gripal. Nu sunt date disponibile privind transmiterea secundară a infecţiei de către vaccinurile cu virus viu la pacienţii care primesc </w:t>
      </w:r>
      <w:r>
        <w:rPr>
          <w:rFonts w:eastAsia="MS Mincho"/>
          <w:szCs w:val="22"/>
          <w:lang w:eastAsia="en-US" w:bidi="ar-SA"/>
        </w:rPr>
        <w:t>adalimumab</w:t>
      </w:r>
      <w:r>
        <w:t>.</w:t>
      </w:r>
    </w:p>
    <w:p w14:paraId="19687939" w14:textId="77777777" w:rsidR="00C04CAD" w:rsidRDefault="00C04CAD">
      <w:pPr>
        <w:tabs>
          <w:tab w:val="clear" w:pos="567"/>
        </w:tabs>
        <w:kinsoku w:val="0"/>
        <w:overflowPunct w:val="0"/>
        <w:autoSpaceDE w:val="0"/>
        <w:autoSpaceDN w:val="0"/>
        <w:adjustRightInd w:val="0"/>
        <w:spacing w:line="240" w:lineRule="auto"/>
      </w:pPr>
    </w:p>
    <w:p w14:paraId="57FF3189" w14:textId="77777777" w:rsidR="00C04CAD" w:rsidRDefault="00060E34">
      <w:pPr>
        <w:tabs>
          <w:tab w:val="clear" w:pos="567"/>
        </w:tabs>
        <w:kinsoku w:val="0"/>
        <w:overflowPunct w:val="0"/>
        <w:autoSpaceDE w:val="0"/>
        <w:autoSpaceDN w:val="0"/>
        <w:adjustRightInd w:val="0"/>
        <w:spacing w:line="240" w:lineRule="auto"/>
      </w:pPr>
      <w:r>
        <w:t xml:space="preserve">Se recomandă ca pacienţii copii și adolescenți, dacă este posibil, să fie aduşi la zi cu imunizările, în concordanţă cu recomandările actuale privind imunizarea, înainte de începerea tratamentului cu </w:t>
      </w:r>
      <w:r>
        <w:rPr>
          <w:rFonts w:eastAsia="MS Mincho"/>
          <w:szCs w:val="22"/>
          <w:lang w:eastAsia="en-US" w:bidi="ar-SA"/>
        </w:rPr>
        <w:t>AMGEVITA</w:t>
      </w:r>
      <w:r>
        <w:t>.</w:t>
      </w:r>
    </w:p>
    <w:p w14:paraId="741C3217" w14:textId="77777777" w:rsidR="00C04CAD" w:rsidRDefault="00C04CAD">
      <w:pPr>
        <w:tabs>
          <w:tab w:val="clear" w:pos="567"/>
        </w:tabs>
        <w:kinsoku w:val="0"/>
        <w:overflowPunct w:val="0"/>
        <w:autoSpaceDE w:val="0"/>
        <w:autoSpaceDN w:val="0"/>
        <w:adjustRightInd w:val="0"/>
        <w:spacing w:line="240" w:lineRule="auto"/>
        <w:rPr>
          <w:szCs w:val="22"/>
        </w:rPr>
      </w:pPr>
    </w:p>
    <w:p w14:paraId="78BA924A" w14:textId="77777777" w:rsidR="00C04CAD" w:rsidRDefault="00060E34">
      <w:pPr>
        <w:pStyle w:val="BodyText"/>
        <w:kinsoku w:val="0"/>
        <w:overflowPunct w:val="0"/>
        <w:rPr>
          <w:i w:val="0"/>
          <w:color w:val="auto"/>
          <w:szCs w:val="22"/>
        </w:rPr>
      </w:pPr>
      <w:r>
        <w:rPr>
          <w:i w:val="0"/>
          <w:color w:val="auto"/>
          <w:szCs w:val="22"/>
        </w:rPr>
        <w:t xml:space="preserve">Pacienţii trataţi cu </w:t>
      </w:r>
      <w:r>
        <w:rPr>
          <w:rFonts w:eastAsia="MS Mincho"/>
          <w:i w:val="0"/>
          <w:color w:val="auto"/>
          <w:szCs w:val="22"/>
          <w:lang w:eastAsia="en-US" w:bidi="ar-SA"/>
        </w:rPr>
        <w:t>AMGEVITA</w:t>
      </w:r>
      <w:r>
        <w:rPr>
          <w:i w:val="0"/>
          <w:color w:val="auto"/>
          <w:szCs w:val="22"/>
        </w:rPr>
        <w:t xml:space="preserve"> pot primi vaccinările curente, cu excepţia vaccinurilor cu virus viu. La sugarii care au fost expuşi in utero la </w:t>
      </w:r>
      <w:r>
        <w:rPr>
          <w:rFonts w:eastAsia="MS Mincho"/>
          <w:i w:val="0"/>
          <w:color w:val="auto"/>
          <w:szCs w:val="22"/>
          <w:lang w:eastAsia="en-US" w:bidi="ar-SA"/>
        </w:rPr>
        <w:t>AMGEVITA</w:t>
      </w:r>
      <w:r>
        <w:rPr>
          <w:i w:val="0"/>
          <w:color w:val="auto"/>
          <w:szCs w:val="22"/>
        </w:rPr>
        <w:t xml:space="preserve">, nu este recomandată administrarea de vaccinuri cu virus </w:t>
      </w:r>
      <w:r>
        <w:rPr>
          <w:i w:val="0"/>
          <w:color w:val="000000"/>
          <w:szCs w:val="22"/>
        </w:rPr>
        <w:t>viu (de exemplu vaccinul BCG)</w:t>
      </w:r>
      <w:r>
        <w:rPr>
          <w:color w:val="000000"/>
          <w:szCs w:val="22"/>
        </w:rPr>
        <w:t xml:space="preserve"> </w:t>
      </w:r>
      <w:r>
        <w:rPr>
          <w:i w:val="0"/>
          <w:color w:val="auto"/>
          <w:szCs w:val="22"/>
        </w:rPr>
        <w:t xml:space="preserve">timp de 5 luni de la ultima doză de </w:t>
      </w:r>
      <w:r>
        <w:rPr>
          <w:rFonts w:eastAsia="MS Mincho"/>
          <w:i w:val="0"/>
          <w:color w:val="auto"/>
          <w:szCs w:val="22"/>
          <w:lang w:eastAsia="en-US" w:bidi="ar-SA"/>
        </w:rPr>
        <w:t>AMGEVITA</w:t>
      </w:r>
      <w:r>
        <w:rPr>
          <w:i w:val="0"/>
          <w:color w:val="auto"/>
          <w:szCs w:val="22"/>
        </w:rPr>
        <w:t xml:space="preserve"> administrată mamei în timpul sarcinii.</w:t>
      </w:r>
    </w:p>
    <w:p w14:paraId="288B1D7E" w14:textId="77777777" w:rsidR="00C04CAD" w:rsidRDefault="00C04CAD">
      <w:pPr>
        <w:pStyle w:val="BodyText"/>
        <w:kinsoku w:val="0"/>
        <w:overflowPunct w:val="0"/>
        <w:rPr>
          <w:color w:val="auto"/>
          <w:szCs w:val="22"/>
        </w:rPr>
      </w:pPr>
    </w:p>
    <w:p w14:paraId="7BF720F1" w14:textId="77777777" w:rsidR="00C04CAD" w:rsidRDefault="00060E34">
      <w:pPr>
        <w:keepNext/>
        <w:tabs>
          <w:tab w:val="clear" w:pos="567"/>
        </w:tabs>
        <w:kinsoku w:val="0"/>
        <w:overflowPunct w:val="0"/>
        <w:autoSpaceDE w:val="0"/>
        <w:autoSpaceDN w:val="0"/>
        <w:adjustRightInd w:val="0"/>
        <w:spacing w:line="240" w:lineRule="auto"/>
      </w:pPr>
      <w:r>
        <w:rPr>
          <w:u w:val="single"/>
        </w:rPr>
        <w:t>Insuficienţă cardiacă congestivă</w:t>
      </w:r>
    </w:p>
    <w:p w14:paraId="52B7CA44" w14:textId="77777777" w:rsidR="00C04CAD" w:rsidRDefault="00C04CAD">
      <w:pPr>
        <w:keepNext/>
        <w:tabs>
          <w:tab w:val="clear" w:pos="567"/>
        </w:tabs>
        <w:kinsoku w:val="0"/>
        <w:overflowPunct w:val="0"/>
        <w:autoSpaceDE w:val="0"/>
        <w:autoSpaceDN w:val="0"/>
        <w:adjustRightInd w:val="0"/>
        <w:spacing w:line="240" w:lineRule="auto"/>
        <w:rPr>
          <w:szCs w:val="22"/>
        </w:rPr>
      </w:pPr>
    </w:p>
    <w:p w14:paraId="6FD77156"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Într-un studiu clinic utilizând alt antagonist TNF, a fost observată agravarea insuficienţei cardiace congestive şi creşterea mortalităţii determinate de insuficienţa cardiacă congestivă. Au fost raportate, de asemenea, cazuri de agravare a insuficienţei cardiace congestive la pacienţii care au primit tratament cu </w:t>
      </w:r>
      <w:r>
        <w:rPr>
          <w:rFonts w:eastAsia="MS Mincho"/>
          <w:szCs w:val="22"/>
          <w:lang w:eastAsia="en-US" w:bidi="ar-SA"/>
        </w:rPr>
        <w:t>adalimumab. AMGEVITA</w:t>
      </w:r>
      <w:r>
        <w:rPr>
          <w:szCs w:val="22"/>
        </w:rPr>
        <w:t xml:space="preserve"> trebuie utilizat cu prudenţă la pacienţii cu insuficienţă cardiacă uşoară (clasa I/II NYHA). </w:t>
      </w:r>
      <w:r>
        <w:rPr>
          <w:rFonts w:eastAsia="MS Mincho"/>
          <w:szCs w:val="22"/>
          <w:lang w:eastAsia="en-US" w:bidi="ar-SA"/>
        </w:rPr>
        <w:t>AMGEVITA</w:t>
      </w:r>
      <w:r>
        <w:rPr>
          <w:szCs w:val="22"/>
        </w:rPr>
        <w:t xml:space="preserve"> este contraindicat în cazul insuficienţei cardiace moderate/severe (vezi pct. 4.3). Tratamentul cu </w:t>
      </w:r>
      <w:r>
        <w:rPr>
          <w:rFonts w:eastAsia="MS Mincho"/>
          <w:szCs w:val="22"/>
          <w:lang w:eastAsia="en-US" w:bidi="ar-SA"/>
        </w:rPr>
        <w:t>AMGEVITA</w:t>
      </w:r>
      <w:r>
        <w:rPr>
          <w:szCs w:val="22"/>
        </w:rPr>
        <w:t xml:space="preserve"> trebuie întrerupt la pacienţii la care apar simptome noi de insuficienţă cardiacă congestivă sau se agravează cele pre-existente.</w:t>
      </w:r>
    </w:p>
    <w:p w14:paraId="3723D9E4" w14:textId="77777777" w:rsidR="00C04CAD" w:rsidRDefault="00C04CAD">
      <w:pPr>
        <w:tabs>
          <w:tab w:val="clear" w:pos="567"/>
        </w:tabs>
        <w:kinsoku w:val="0"/>
        <w:overflowPunct w:val="0"/>
        <w:autoSpaceDE w:val="0"/>
        <w:autoSpaceDN w:val="0"/>
        <w:adjustRightInd w:val="0"/>
        <w:spacing w:line="240" w:lineRule="auto"/>
      </w:pPr>
    </w:p>
    <w:p w14:paraId="756ADE29" w14:textId="77777777" w:rsidR="00C04CAD" w:rsidRDefault="00060E34">
      <w:pPr>
        <w:keepNext/>
        <w:tabs>
          <w:tab w:val="clear" w:pos="567"/>
        </w:tabs>
        <w:kinsoku w:val="0"/>
        <w:overflowPunct w:val="0"/>
        <w:autoSpaceDE w:val="0"/>
        <w:autoSpaceDN w:val="0"/>
        <w:adjustRightInd w:val="0"/>
        <w:spacing w:line="240" w:lineRule="auto"/>
      </w:pPr>
      <w:r>
        <w:rPr>
          <w:u w:val="single"/>
        </w:rPr>
        <w:t>Reacţii autoimune</w:t>
      </w:r>
    </w:p>
    <w:p w14:paraId="1FD9BF09" w14:textId="77777777" w:rsidR="00C04CAD" w:rsidRDefault="00C04CAD">
      <w:pPr>
        <w:keepNext/>
        <w:tabs>
          <w:tab w:val="clear" w:pos="567"/>
        </w:tabs>
        <w:kinsoku w:val="0"/>
        <w:overflowPunct w:val="0"/>
        <w:autoSpaceDE w:val="0"/>
        <w:autoSpaceDN w:val="0"/>
        <w:adjustRightInd w:val="0"/>
        <w:spacing w:line="240" w:lineRule="auto"/>
      </w:pPr>
    </w:p>
    <w:p w14:paraId="7F8284B9" w14:textId="77777777" w:rsidR="00C04CAD" w:rsidRDefault="00060E34">
      <w:pPr>
        <w:pStyle w:val="BodyText"/>
        <w:kinsoku w:val="0"/>
        <w:overflowPunct w:val="0"/>
        <w:rPr>
          <w:i w:val="0"/>
          <w:color w:val="auto"/>
          <w:szCs w:val="22"/>
        </w:rPr>
      </w:pPr>
      <w:r>
        <w:rPr>
          <w:i w:val="0"/>
          <w:color w:val="auto"/>
          <w:szCs w:val="22"/>
        </w:rPr>
        <w:t xml:space="preserve">Tratamentul cu </w:t>
      </w:r>
      <w:r>
        <w:rPr>
          <w:rFonts w:eastAsia="MS Mincho"/>
          <w:i w:val="0"/>
          <w:color w:val="auto"/>
          <w:szCs w:val="22"/>
          <w:lang w:eastAsia="en-US" w:bidi="ar-SA"/>
        </w:rPr>
        <w:t>AMGEVITA</w:t>
      </w:r>
      <w:r>
        <w:rPr>
          <w:i w:val="0"/>
          <w:color w:val="auto"/>
          <w:szCs w:val="22"/>
        </w:rPr>
        <w:t xml:space="preserve"> poate determina formarea de anticorpi autoimuni. Impactul tratamentului pe termen lung cu </w:t>
      </w:r>
      <w:r>
        <w:rPr>
          <w:rFonts w:eastAsia="MS Mincho"/>
          <w:i w:val="0"/>
          <w:color w:val="auto"/>
          <w:szCs w:val="22"/>
          <w:lang w:eastAsia="en-US" w:bidi="ar-SA"/>
        </w:rPr>
        <w:t>AMGEVITA</w:t>
      </w:r>
      <w:r>
        <w:rPr>
          <w:i w:val="0"/>
          <w:color w:val="auto"/>
          <w:szCs w:val="22"/>
        </w:rPr>
        <w:t xml:space="preserve"> privind dezvoltarea bolilor autoimune nu este cunoscut. Nu trebuie continuat tratamentul cu </w:t>
      </w:r>
      <w:r>
        <w:rPr>
          <w:rFonts w:eastAsia="MS Mincho"/>
          <w:i w:val="0"/>
          <w:color w:val="auto"/>
          <w:szCs w:val="22"/>
          <w:lang w:eastAsia="en-US" w:bidi="ar-SA"/>
        </w:rPr>
        <w:t>AMGEVITA</w:t>
      </w:r>
      <w:r>
        <w:rPr>
          <w:i w:val="0"/>
          <w:color w:val="auto"/>
          <w:szCs w:val="22"/>
        </w:rPr>
        <w:t xml:space="preserve"> dacă la pacient apar semne sugestive pentru sindromul asemănător lupusului ca urmare a tratamentului cu </w:t>
      </w:r>
      <w:r>
        <w:rPr>
          <w:rFonts w:eastAsia="MS Mincho"/>
          <w:i w:val="0"/>
          <w:color w:val="auto"/>
          <w:szCs w:val="22"/>
          <w:lang w:eastAsia="en-US" w:bidi="ar-SA"/>
        </w:rPr>
        <w:t>AMGEVITA</w:t>
      </w:r>
      <w:r>
        <w:rPr>
          <w:i w:val="0"/>
          <w:color w:val="auto"/>
          <w:szCs w:val="22"/>
        </w:rPr>
        <w:t xml:space="preserve"> şi este pozitiv pentru anticorpii anti ADN dublu </w:t>
      </w:r>
      <w:r>
        <w:rPr>
          <w:rFonts w:eastAsia="MS Mincho"/>
          <w:i w:val="0"/>
          <w:color w:val="auto"/>
          <w:szCs w:val="22"/>
          <w:lang w:eastAsia="en-US" w:bidi="ar-SA"/>
        </w:rPr>
        <w:t>catenar</w:t>
      </w:r>
      <w:r>
        <w:rPr>
          <w:i w:val="0"/>
          <w:color w:val="auto"/>
          <w:szCs w:val="22"/>
        </w:rPr>
        <w:t xml:space="preserve"> (vezi pct. 4.8).</w:t>
      </w:r>
    </w:p>
    <w:p w14:paraId="4D2A9FD9" w14:textId="77777777" w:rsidR="00C04CAD" w:rsidRDefault="00C04CAD">
      <w:pPr>
        <w:pStyle w:val="BodyText"/>
        <w:kinsoku w:val="0"/>
        <w:overflowPunct w:val="0"/>
        <w:rPr>
          <w:color w:val="auto"/>
          <w:szCs w:val="22"/>
        </w:rPr>
      </w:pPr>
    </w:p>
    <w:p w14:paraId="77431E5F" w14:textId="77777777" w:rsidR="00C04CAD" w:rsidRDefault="00060E34">
      <w:pPr>
        <w:pStyle w:val="BodyText"/>
        <w:kinsoku w:val="0"/>
        <w:overflowPunct w:val="0"/>
        <w:rPr>
          <w:i w:val="0"/>
          <w:color w:val="auto"/>
        </w:rPr>
      </w:pPr>
      <w:r>
        <w:rPr>
          <w:i w:val="0"/>
          <w:color w:val="auto"/>
          <w:u w:val="single"/>
        </w:rPr>
        <w:t>Administrarea simultană de MARMB-uri biologice sau antagonişti TNF</w:t>
      </w:r>
    </w:p>
    <w:p w14:paraId="64F11AD8" w14:textId="77777777" w:rsidR="00C04CAD" w:rsidRDefault="00C04CAD">
      <w:pPr>
        <w:kinsoku w:val="0"/>
        <w:overflowPunct w:val="0"/>
        <w:spacing w:line="240" w:lineRule="auto"/>
      </w:pPr>
    </w:p>
    <w:p w14:paraId="109FC5E2" w14:textId="77777777" w:rsidR="00C04CAD" w:rsidRDefault="00060E34">
      <w:pPr>
        <w:pStyle w:val="BodyText"/>
        <w:kinsoku w:val="0"/>
        <w:overflowPunct w:val="0"/>
        <w:rPr>
          <w:i w:val="0"/>
          <w:color w:val="auto"/>
        </w:rPr>
      </w:pPr>
      <w:r>
        <w:rPr>
          <w:i w:val="0"/>
          <w:color w:val="auto"/>
        </w:rPr>
        <w:t>În cadrul studiilor clinice în care s-au folosit simultan anakinra şi un alt antagonist TNF, etanercept, au fost raportate infecţii grave fără evidenţierea unor beneficii clinice suplimentare comparativ cu administrarea de etanercept în monoterapie. Din cauza tipului de reacţii adverse întâlnite în cazul administrării terapiei simultane de etanercept şi anakinra, toxicitate similară poate rezulta, de asemenea, şi în cazul administrării concomitente de anakinra şi un alt antagonist de TNF. De aceea, nu este recomandată asocierea de AMGEVITA şi anakinra (vezi pct. 4.5).</w:t>
      </w:r>
    </w:p>
    <w:p w14:paraId="5C773AC7" w14:textId="77777777" w:rsidR="00C04CAD" w:rsidRDefault="00C04CAD">
      <w:pPr>
        <w:kinsoku w:val="0"/>
        <w:overflowPunct w:val="0"/>
        <w:spacing w:line="240" w:lineRule="auto"/>
      </w:pPr>
    </w:p>
    <w:p w14:paraId="6516CFAA" w14:textId="77777777" w:rsidR="00C04CAD" w:rsidRDefault="00060E34">
      <w:pPr>
        <w:pStyle w:val="BodyText"/>
        <w:kinsoku w:val="0"/>
        <w:overflowPunct w:val="0"/>
        <w:rPr>
          <w:i w:val="0"/>
          <w:color w:val="auto"/>
        </w:rPr>
      </w:pPr>
      <w:r>
        <w:rPr>
          <w:i w:val="0"/>
          <w:color w:val="auto"/>
        </w:rPr>
        <w:t>Nu este recomandată administrarea simultană a AMGEVITA cu alte MARMB (de exemplu anakinra şi abatacept) sau alţi antagonişti TNF, din cauza creşterii riscului de apariţie a infecţiilor, inclusiv a infecţiilor grave şi a altor potenţiale interacţiuni farmacologice. (vezi pct. 4.5).</w:t>
      </w:r>
    </w:p>
    <w:p w14:paraId="372991C3" w14:textId="77777777" w:rsidR="00C04CAD" w:rsidRDefault="00C04CAD">
      <w:pPr>
        <w:pStyle w:val="BodyText"/>
        <w:kinsoku w:val="0"/>
        <w:overflowPunct w:val="0"/>
        <w:rPr>
          <w:color w:val="auto"/>
        </w:rPr>
      </w:pPr>
    </w:p>
    <w:p w14:paraId="50C9B9FC" w14:textId="77777777" w:rsidR="00C04CAD" w:rsidRDefault="00060E34">
      <w:pPr>
        <w:tabs>
          <w:tab w:val="clear" w:pos="567"/>
        </w:tabs>
        <w:kinsoku w:val="0"/>
        <w:overflowPunct w:val="0"/>
        <w:autoSpaceDE w:val="0"/>
        <w:autoSpaceDN w:val="0"/>
        <w:adjustRightInd w:val="0"/>
        <w:spacing w:line="240" w:lineRule="auto"/>
      </w:pPr>
      <w:r>
        <w:rPr>
          <w:u w:val="single"/>
        </w:rPr>
        <w:t>Chirurgie</w:t>
      </w:r>
    </w:p>
    <w:p w14:paraId="65F0D1B6" w14:textId="77777777" w:rsidR="00C04CAD" w:rsidRDefault="00C04CAD">
      <w:pPr>
        <w:tabs>
          <w:tab w:val="clear" w:pos="567"/>
        </w:tabs>
        <w:kinsoku w:val="0"/>
        <w:overflowPunct w:val="0"/>
        <w:autoSpaceDE w:val="0"/>
        <w:autoSpaceDN w:val="0"/>
        <w:adjustRightInd w:val="0"/>
        <w:spacing w:line="240" w:lineRule="auto"/>
      </w:pPr>
    </w:p>
    <w:p w14:paraId="62AA12CC" w14:textId="77777777" w:rsidR="00C04CAD" w:rsidRDefault="00060E34">
      <w:pPr>
        <w:tabs>
          <w:tab w:val="clear" w:pos="567"/>
        </w:tabs>
        <w:kinsoku w:val="0"/>
        <w:overflowPunct w:val="0"/>
        <w:autoSpaceDE w:val="0"/>
        <w:autoSpaceDN w:val="0"/>
        <w:adjustRightInd w:val="0"/>
        <w:spacing w:line="240" w:lineRule="auto"/>
      </w:pPr>
      <w:r>
        <w:t xml:space="preserve">Există experienţă limitată cu privire la siguranţa procedurilor chirurgicale la pacienţii trataţi cu </w:t>
      </w:r>
      <w:r>
        <w:rPr>
          <w:rFonts w:eastAsia="MS Mincho"/>
          <w:szCs w:val="22"/>
          <w:lang w:eastAsia="en-US" w:bidi="ar-SA"/>
        </w:rPr>
        <w:t>adalimumab</w:t>
      </w:r>
      <w:r>
        <w:t xml:space="preserve">. Dacă se intenţionează să se efectueze o intervenţie chirurgicală, trebuie luat în considerare timpul de înjumătăţire lung al adalimumab. În cazul în care un pacient necesită intervenţie chirurgicală în timpul tratamentului cu </w:t>
      </w:r>
      <w:r>
        <w:rPr>
          <w:rFonts w:eastAsia="MS Mincho"/>
          <w:szCs w:val="22"/>
          <w:lang w:eastAsia="en-US" w:bidi="ar-SA"/>
        </w:rPr>
        <w:t>AMGEVITA</w:t>
      </w:r>
      <w:r>
        <w:t xml:space="preserve">, trebuie monitorizat atent în vederea depistării infecţiilor şi trebuie luate măsuri corespunzătoare. Există experienţă limitată privind siguranţa la pacienţii la care se efectuează artroplastie şi sunt în tratament cu </w:t>
      </w:r>
      <w:r>
        <w:rPr>
          <w:rFonts w:eastAsia="MS Mincho"/>
          <w:szCs w:val="22"/>
          <w:lang w:eastAsia="en-US" w:bidi="ar-SA"/>
        </w:rPr>
        <w:t>adalimumab</w:t>
      </w:r>
      <w:r>
        <w:t>.</w:t>
      </w:r>
    </w:p>
    <w:p w14:paraId="31A01A97" w14:textId="77777777" w:rsidR="00C04CAD" w:rsidRDefault="00C04CAD">
      <w:pPr>
        <w:tabs>
          <w:tab w:val="clear" w:pos="567"/>
        </w:tabs>
        <w:kinsoku w:val="0"/>
        <w:overflowPunct w:val="0"/>
        <w:autoSpaceDE w:val="0"/>
        <w:autoSpaceDN w:val="0"/>
        <w:adjustRightInd w:val="0"/>
        <w:spacing w:line="240" w:lineRule="auto"/>
        <w:rPr>
          <w:szCs w:val="22"/>
        </w:rPr>
      </w:pPr>
    </w:p>
    <w:p w14:paraId="6628DDB5"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Ocluzie intestinală</w:t>
      </w:r>
    </w:p>
    <w:p w14:paraId="48CE5433" w14:textId="77777777" w:rsidR="00C04CAD" w:rsidRDefault="00C04CAD">
      <w:pPr>
        <w:keepNext/>
        <w:tabs>
          <w:tab w:val="clear" w:pos="567"/>
        </w:tabs>
        <w:kinsoku w:val="0"/>
        <w:overflowPunct w:val="0"/>
        <w:autoSpaceDE w:val="0"/>
        <w:autoSpaceDN w:val="0"/>
        <w:adjustRightInd w:val="0"/>
        <w:spacing w:line="240" w:lineRule="auto"/>
        <w:rPr>
          <w:szCs w:val="22"/>
        </w:rPr>
      </w:pPr>
    </w:p>
    <w:p w14:paraId="2E811480" w14:textId="77777777" w:rsidR="00C04CAD" w:rsidRDefault="00060E34">
      <w:pPr>
        <w:pStyle w:val="BodyText"/>
        <w:kinsoku w:val="0"/>
        <w:overflowPunct w:val="0"/>
        <w:rPr>
          <w:i w:val="0"/>
          <w:color w:val="auto"/>
          <w:szCs w:val="22"/>
        </w:rPr>
      </w:pPr>
      <w:r>
        <w:rPr>
          <w:i w:val="0"/>
          <w:color w:val="auto"/>
          <w:szCs w:val="22"/>
        </w:rPr>
        <w:t xml:space="preserve">Eşecul tratamentului bolii Crohn poate indica prezenţa unei stricturi fibroase fixe care necesită tratament chirurgical. Datele disponibile până acum arată că tratamentul cu </w:t>
      </w:r>
      <w:r>
        <w:rPr>
          <w:rFonts w:eastAsia="MS Mincho"/>
          <w:i w:val="0"/>
          <w:color w:val="auto"/>
          <w:szCs w:val="22"/>
          <w:lang w:eastAsia="en-US" w:bidi="ar-SA"/>
        </w:rPr>
        <w:t>adalimumab</w:t>
      </w:r>
      <w:r>
        <w:rPr>
          <w:i w:val="0"/>
          <w:color w:val="auto"/>
          <w:szCs w:val="22"/>
        </w:rPr>
        <w:t xml:space="preserve"> nu agravează sau nu determină apariţia stricturilor.</w:t>
      </w:r>
    </w:p>
    <w:p w14:paraId="28FC4286" w14:textId="77777777" w:rsidR="00C04CAD" w:rsidRDefault="00C04CAD">
      <w:pPr>
        <w:pStyle w:val="BodyText"/>
        <w:kinsoku w:val="0"/>
        <w:overflowPunct w:val="0"/>
        <w:rPr>
          <w:color w:val="auto"/>
          <w:szCs w:val="22"/>
        </w:rPr>
      </w:pPr>
    </w:p>
    <w:p w14:paraId="7090E837" w14:textId="77777777" w:rsidR="00C04CAD" w:rsidRDefault="00060E34">
      <w:pPr>
        <w:keepNext/>
        <w:keepLines/>
        <w:tabs>
          <w:tab w:val="clear" w:pos="567"/>
        </w:tabs>
        <w:kinsoku w:val="0"/>
        <w:overflowPunct w:val="0"/>
        <w:autoSpaceDE w:val="0"/>
        <w:autoSpaceDN w:val="0"/>
        <w:adjustRightInd w:val="0"/>
        <w:spacing w:line="240" w:lineRule="auto"/>
        <w:rPr>
          <w:szCs w:val="22"/>
        </w:rPr>
      </w:pPr>
      <w:r>
        <w:rPr>
          <w:szCs w:val="22"/>
          <w:u w:val="single"/>
        </w:rPr>
        <w:t>Vârstnici</w:t>
      </w:r>
    </w:p>
    <w:p w14:paraId="02298882" w14:textId="77777777" w:rsidR="00C04CAD" w:rsidRDefault="00C04CAD">
      <w:pPr>
        <w:keepNext/>
        <w:keepLines/>
        <w:tabs>
          <w:tab w:val="clear" w:pos="567"/>
        </w:tabs>
        <w:kinsoku w:val="0"/>
        <w:overflowPunct w:val="0"/>
        <w:autoSpaceDE w:val="0"/>
        <w:autoSpaceDN w:val="0"/>
        <w:adjustRightInd w:val="0"/>
        <w:spacing w:line="240" w:lineRule="auto"/>
        <w:rPr>
          <w:szCs w:val="22"/>
        </w:rPr>
      </w:pPr>
    </w:p>
    <w:p w14:paraId="0E66A6E4" w14:textId="77777777" w:rsidR="00C04CAD" w:rsidRDefault="00060E34">
      <w:pPr>
        <w:pStyle w:val="BodyText"/>
        <w:kinsoku w:val="0"/>
        <w:overflowPunct w:val="0"/>
        <w:rPr>
          <w:i w:val="0"/>
          <w:color w:val="auto"/>
          <w:szCs w:val="22"/>
        </w:rPr>
      </w:pPr>
      <w:r>
        <w:rPr>
          <w:i w:val="0"/>
          <w:color w:val="auto"/>
          <w:szCs w:val="22"/>
        </w:rPr>
        <w:t xml:space="preserve">La pacienţii cu vârsta peste 65 ani trataţi cu </w:t>
      </w:r>
      <w:r>
        <w:rPr>
          <w:rFonts w:eastAsia="MS Mincho"/>
          <w:i w:val="0"/>
          <w:color w:val="auto"/>
          <w:szCs w:val="22"/>
          <w:lang w:eastAsia="en-US" w:bidi="ar-SA"/>
        </w:rPr>
        <w:t>adalimumab</w:t>
      </w:r>
      <w:r>
        <w:rPr>
          <w:i w:val="0"/>
          <w:color w:val="auto"/>
          <w:szCs w:val="22"/>
        </w:rPr>
        <w:t xml:space="preserve">, frecvenţa infecţiilor </w:t>
      </w:r>
      <w:r>
        <w:rPr>
          <w:rFonts w:eastAsia="MS Mincho"/>
          <w:i w:val="0"/>
          <w:color w:val="auto"/>
          <w:szCs w:val="22"/>
          <w:lang w:eastAsia="en-US" w:bidi="ar-SA"/>
        </w:rPr>
        <w:t>grave</w:t>
      </w:r>
      <w:r>
        <w:rPr>
          <w:i w:val="0"/>
          <w:color w:val="auto"/>
          <w:szCs w:val="22"/>
        </w:rPr>
        <w:t xml:space="preserve"> a fost mai mare (3,7%) decât la pacienţii cu vârsta sub 65 ani (1,5%). Unele dintre cazuri au avut evoluţie letală. Este necesară atenţie deosebită în ceea ce priveşte riscul de infecţie atunci când se tratează vârstnici.</w:t>
      </w:r>
    </w:p>
    <w:p w14:paraId="131D2D22" w14:textId="77777777" w:rsidR="00C04CAD" w:rsidRDefault="00C04CAD">
      <w:pPr>
        <w:pStyle w:val="BodyText"/>
        <w:kinsoku w:val="0"/>
        <w:overflowPunct w:val="0"/>
        <w:rPr>
          <w:color w:val="auto"/>
          <w:szCs w:val="22"/>
        </w:rPr>
      </w:pPr>
    </w:p>
    <w:p w14:paraId="61593396"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Copii şi adolescenţi</w:t>
      </w:r>
    </w:p>
    <w:p w14:paraId="361CF136" w14:textId="77777777" w:rsidR="00C04CAD" w:rsidRDefault="00C04CAD">
      <w:pPr>
        <w:tabs>
          <w:tab w:val="clear" w:pos="567"/>
        </w:tabs>
        <w:kinsoku w:val="0"/>
        <w:overflowPunct w:val="0"/>
        <w:autoSpaceDE w:val="0"/>
        <w:autoSpaceDN w:val="0"/>
        <w:adjustRightInd w:val="0"/>
        <w:spacing w:line="240" w:lineRule="auto"/>
        <w:rPr>
          <w:szCs w:val="22"/>
        </w:rPr>
      </w:pPr>
    </w:p>
    <w:p w14:paraId="0F5E77CA" w14:textId="77777777" w:rsidR="00C04CAD" w:rsidRDefault="00060E34">
      <w:pPr>
        <w:pStyle w:val="BodyText"/>
        <w:kinsoku w:val="0"/>
        <w:overflowPunct w:val="0"/>
        <w:rPr>
          <w:i w:val="0"/>
          <w:color w:val="auto"/>
          <w:szCs w:val="22"/>
        </w:rPr>
      </w:pPr>
      <w:r>
        <w:rPr>
          <w:i w:val="0"/>
          <w:color w:val="auto"/>
          <w:szCs w:val="22"/>
        </w:rPr>
        <w:t>Vezi pct. Vaccinări de mai sus.</w:t>
      </w:r>
    </w:p>
    <w:p w14:paraId="36264BB0" w14:textId="77777777" w:rsidR="00C04CAD" w:rsidRDefault="00C04CAD">
      <w:pPr>
        <w:pStyle w:val="BodyText"/>
        <w:kinsoku w:val="0"/>
        <w:overflowPunct w:val="0"/>
        <w:rPr>
          <w:i w:val="0"/>
          <w:color w:val="auto"/>
          <w:szCs w:val="22"/>
        </w:rPr>
      </w:pPr>
    </w:p>
    <w:p w14:paraId="76326777" w14:textId="77777777" w:rsidR="00C04CAD" w:rsidRDefault="00060E34">
      <w:pPr>
        <w:pStyle w:val="BodyText"/>
        <w:keepNext/>
        <w:kinsoku w:val="0"/>
        <w:overflowPunct w:val="0"/>
        <w:rPr>
          <w:i w:val="0"/>
          <w:color w:val="auto"/>
          <w:szCs w:val="22"/>
          <w:u w:val="single"/>
        </w:rPr>
      </w:pPr>
      <w:r>
        <w:rPr>
          <w:i w:val="0"/>
          <w:color w:val="auto"/>
          <w:szCs w:val="22"/>
          <w:u w:val="single"/>
        </w:rPr>
        <w:t>Conţinut de sodiu</w:t>
      </w:r>
    </w:p>
    <w:p w14:paraId="06B839D8" w14:textId="77777777" w:rsidR="00C04CAD" w:rsidRDefault="00C04CAD">
      <w:pPr>
        <w:pStyle w:val="BodyText"/>
        <w:keepNext/>
        <w:kinsoku w:val="0"/>
        <w:overflowPunct w:val="0"/>
        <w:rPr>
          <w:i w:val="0"/>
          <w:color w:val="auto"/>
          <w:szCs w:val="22"/>
        </w:rPr>
      </w:pPr>
    </w:p>
    <w:p w14:paraId="648FBF73" w14:textId="77777777" w:rsidR="00C04CAD" w:rsidRDefault="00060E34">
      <w:pPr>
        <w:pStyle w:val="BodyText"/>
        <w:kinsoku w:val="0"/>
        <w:overflowPunct w:val="0"/>
        <w:rPr>
          <w:i w:val="0"/>
          <w:color w:val="auto"/>
          <w:szCs w:val="22"/>
        </w:rPr>
      </w:pPr>
      <w:r>
        <w:rPr>
          <w:i w:val="0"/>
          <w:color w:val="auto"/>
          <w:szCs w:val="22"/>
        </w:rPr>
        <w:t>Acest medicament conține sodiu mai puțin de 1 mmol (23 mg) per doză de 0,8 ml, adică practic „nu conţine sodiu”.</w:t>
      </w:r>
    </w:p>
    <w:p w14:paraId="79B09084" w14:textId="77777777" w:rsidR="00C04CAD" w:rsidRDefault="00C04CAD">
      <w:pPr>
        <w:pStyle w:val="BodyText"/>
        <w:kinsoku w:val="0"/>
        <w:overflowPunct w:val="0"/>
        <w:rPr>
          <w:color w:val="auto"/>
          <w:szCs w:val="22"/>
        </w:rPr>
      </w:pPr>
    </w:p>
    <w:p w14:paraId="05A50DD2" w14:textId="77777777" w:rsidR="00C04CAD" w:rsidRDefault="00060E34">
      <w:pPr>
        <w:keepNext/>
        <w:numPr>
          <w:ilvl w:val="1"/>
          <w:numId w:val="14"/>
        </w:numPr>
        <w:spacing w:line="240" w:lineRule="auto"/>
        <w:ind w:left="567" w:hanging="567"/>
        <w:outlineLvl w:val="0"/>
        <w:rPr>
          <w:szCs w:val="22"/>
        </w:rPr>
      </w:pPr>
      <w:r>
        <w:rPr>
          <w:b/>
          <w:szCs w:val="22"/>
        </w:rPr>
        <w:t>Interacțiuni cu alte medicamente și alte forme de interacțiune</w:t>
      </w:r>
    </w:p>
    <w:p w14:paraId="280FDA20" w14:textId="77777777" w:rsidR="00C04CAD" w:rsidRDefault="00C04CAD">
      <w:pPr>
        <w:keepNext/>
        <w:spacing w:line="240" w:lineRule="auto"/>
        <w:rPr>
          <w:szCs w:val="22"/>
        </w:rPr>
      </w:pPr>
    </w:p>
    <w:p w14:paraId="032FD73E"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Adalimumab</w:t>
      </w:r>
      <w:r>
        <w:rPr>
          <w:szCs w:val="22"/>
        </w:rPr>
        <w:t xml:space="preserve"> a fost studiat la pacienţi cu poliartrită reumatoidă, artrită juvenilă idiopatică forma poliarticulară şi artrită psoriazică cărora li se administra </w:t>
      </w:r>
      <w:r>
        <w:rPr>
          <w:rFonts w:eastAsia="MS Mincho"/>
          <w:szCs w:val="22"/>
          <w:lang w:eastAsia="en-US" w:bidi="ar-SA"/>
        </w:rPr>
        <w:t>adalimumab</w:t>
      </w:r>
      <w:r>
        <w:rPr>
          <w:szCs w:val="22"/>
        </w:rPr>
        <w:t xml:space="preserve"> în monoterapie, cât şi la pacienţi care luau concomitent metotrexat. Formarea de anticorpi a fost mai scăzută atunci când </w:t>
      </w:r>
      <w:r>
        <w:rPr>
          <w:rFonts w:eastAsia="MS Mincho"/>
          <w:szCs w:val="22"/>
          <w:lang w:eastAsia="en-US" w:bidi="ar-SA"/>
        </w:rPr>
        <w:t>adalimumab</w:t>
      </w:r>
      <w:r>
        <w:rPr>
          <w:szCs w:val="22"/>
        </w:rPr>
        <w:t xml:space="preserve"> a fost administrată împreună cu metotrexat, comparativ cu utilizarea </w:t>
      </w:r>
      <w:r>
        <w:rPr>
          <w:rFonts w:eastAsia="MS Mincho"/>
          <w:szCs w:val="22"/>
          <w:lang w:eastAsia="en-US" w:bidi="ar-SA"/>
        </w:rPr>
        <w:t>adalimumab</w:t>
      </w:r>
      <w:r>
        <w:rPr>
          <w:szCs w:val="22"/>
        </w:rPr>
        <w:t xml:space="preserve"> în monoterapie. Administrarea </w:t>
      </w:r>
      <w:r>
        <w:rPr>
          <w:rFonts w:eastAsia="MS Mincho"/>
          <w:szCs w:val="22"/>
          <w:lang w:eastAsia="en-US" w:bidi="ar-SA"/>
        </w:rPr>
        <w:t>adalimumab</w:t>
      </w:r>
      <w:r>
        <w:rPr>
          <w:szCs w:val="22"/>
        </w:rPr>
        <w:t xml:space="preserve"> fără metotrexat a determinat creşterea formării de anticorpi, creşterea clearance-ului şi reducerea eficacităţii adalimumab (vezi pct. 5.1).</w:t>
      </w:r>
    </w:p>
    <w:p w14:paraId="5D61224A" w14:textId="77777777" w:rsidR="00C04CAD" w:rsidRDefault="00C04CAD">
      <w:pPr>
        <w:tabs>
          <w:tab w:val="clear" w:pos="567"/>
        </w:tabs>
        <w:kinsoku w:val="0"/>
        <w:overflowPunct w:val="0"/>
        <w:autoSpaceDE w:val="0"/>
        <w:autoSpaceDN w:val="0"/>
        <w:adjustRightInd w:val="0"/>
        <w:spacing w:line="240" w:lineRule="auto"/>
        <w:rPr>
          <w:szCs w:val="22"/>
        </w:rPr>
      </w:pPr>
    </w:p>
    <w:p w14:paraId="726D56A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Administrarea simultană de </w:t>
      </w:r>
      <w:r>
        <w:rPr>
          <w:rFonts w:eastAsia="MS Mincho"/>
          <w:szCs w:val="22"/>
          <w:lang w:eastAsia="en-US" w:bidi="ar-SA"/>
        </w:rPr>
        <w:t>AMGEVITA</w:t>
      </w:r>
      <w:r>
        <w:rPr>
          <w:szCs w:val="22"/>
        </w:rPr>
        <w:t xml:space="preserve"> cu anakinra nu este recomandată (vezi pct. 4.4 “Administrarea simultană de MARMB biologice sau antagonişti TNF”).</w:t>
      </w:r>
    </w:p>
    <w:p w14:paraId="67A18F51" w14:textId="77777777" w:rsidR="00C04CAD" w:rsidRDefault="00C04CAD">
      <w:pPr>
        <w:tabs>
          <w:tab w:val="clear" w:pos="567"/>
        </w:tabs>
        <w:kinsoku w:val="0"/>
        <w:overflowPunct w:val="0"/>
        <w:autoSpaceDE w:val="0"/>
        <w:autoSpaceDN w:val="0"/>
        <w:adjustRightInd w:val="0"/>
        <w:spacing w:line="240" w:lineRule="auto"/>
      </w:pPr>
    </w:p>
    <w:p w14:paraId="3C040A0A" w14:textId="77777777" w:rsidR="00C04CAD" w:rsidRDefault="00060E34">
      <w:pPr>
        <w:tabs>
          <w:tab w:val="clear" w:pos="567"/>
        </w:tabs>
        <w:kinsoku w:val="0"/>
        <w:overflowPunct w:val="0"/>
        <w:autoSpaceDE w:val="0"/>
        <w:autoSpaceDN w:val="0"/>
        <w:adjustRightInd w:val="0"/>
        <w:spacing w:line="240" w:lineRule="auto"/>
      </w:pPr>
      <w:r>
        <w:t xml:space="preserve">Administrarea simultană de </w:t>
      </w:r>
      <w:r>
        <w:rPr>
          <w:rFonts w:eastAsia="MS Mincho"/>
          <w:szCs w:val="22"/>
          <w:lang w:eastAsia="en-US" w:bidi="ar-SA"/>
        </w:rPr>
        <w:t>AMGEVITA</w:t>
      </w:r>
      <w:r>
        <w:t xml:space="preserve"> cu abatacept nu este recomandată (vezi pct. 4.4 </w:t>
      </w:r>
      <w:r>
        <w:rPr>
          <w:szCs w:val="22"/>
        </w:rPr>
        <w:t>“Administrarea simultană de MARMB biologice sau antagonişti TNF”).</w:t>
      </w:r>
    </w:p>
    <w:p w14:paraId="020205E4" w14:textId="77777777" w:rsidR="00C04CAD" w:rsidRDefault="00C04CAD">
      <w:pPr>
        <w:spacing w:line="240" w:lineRule="auto"/>
      </w:pPr>
    </w:p>
    <w:p w14:paraId="22A8B0A8" w14:textId="77777777" w:rsidR="00C04CAD" w:rsidRDefault="00060E34">
      <w:pPr>
        <w:keepNext/>
        <w:numPr>
          <w:ilvl w:val="1"/>
          <w:numId w:val="14"/>
        </w:numPr>
        <w:spacing w:line="240" w:lineRule="auto"/>
        <w:ind w:left="567" w:hanging="567"/>
        <w:outlineLvl w:val="0"/>
        <w:rPr>
          <w:szCs w:val="22"/>
        </w:rPr>
      </w:pPr>
      <w:r>
        <w:rPr>
          <w:b/>
        </w:rPr>
        <w:t>Fertilitatea, sarcina și alăptarea</w:t>
      </w:r>
    </w:p>
    <w:p w14:paraId="3C8DD2AF" w14:textId="77777777" w:rsidR="00C04CAD" w:rsidRDefault="00C04CAD">
      <w:pPr>
        <w:keepNext/>
        <w:spacing w:line="240" w:lineRule="auto"/>
      </w:pPr>
    </w:p>
    <w:p w14:paraId="27D85027" w14:textId="77777777" w:rsidR="00C04CAD" w:rsidRDefault="00060E34">
      <w:pPr>
        <w:keepNext/>
        <w:tabs>
          <w:tab w:val="clear" w:pos="567"/>
        </w:tabs>
        <w:kinsoku w:val="0"/>
        <w:overflowPunct w:val="0"/>
        <w:autoSpaceDE w:val="0"/>
        <w:autoSpaceDN w:val="0"/>
        <w:adjustRightInd w:val="0"/>
        <w:spacing w:line="240" w:lineRule="auto"/>
      </w:pPr>
      <w:r>
        <w:rPr>
          <w:u w:val="single"/>
        </w:rPr>
        <w:t>Femeile cu potenţial fertil</w:t>
      </w:r>
    </w:p>
    <w:p w14:paraId="3087B412" w14:textId="77777777" w:rsidR="00C04CAD" w:rsidRDefault="00C04CAD">
      <w:pPr>
        <w:keepNext/>
        <w:tabs>
          <w:tab w:val="clear" w:pos="567"/>
        </w:tabs>
        <w:kinsoku w:val="0"/>
        <w:overflowPunct w:val="0"/>
        <w:autoSpaceDE w:val="0"/>
        <w:autoSpaceDN w:val="0"/>
        <w:adjustRightInd w:val="0"/>
        <w:spacing w:line="240" w:lineRule="auto"/>
      </w:pPr>
    </w:p>
    <w:p w14:paraId="6113F074" w14:textId="77777777" w:rsidR="00C04CAD" w:rsidRDefault="00060E34">
      <w:pPr>
        <w:tabs>
          <w:tab w:val="clear" w:pos="567"/>
        </w:tabs>
        <w:kinsoku w:val="0"/>
        <w:overflowPunct w:val="0"/>
        <w:autoSpaceDE w:val="0"/>
        <w:autoSpaceDN w:val="0"/>
        <w:adjustRightInd w:val="0"/>
        <w:spacing w:line="240" w:lineRule="auto"/>
      </w:pPr>
      <w:r>
        <w:t xml:space="preserve">Femeile cu potenţial fertil </w:t>
      </w:r>
      <w:r>
        <w:rPr>
          <w:szCs w:val="22"/>
        </w:rPr>
        <w:t xml:space="preserve">trebuie să ia în considerare utilizarea </w:t>
      </w:r>
      <w:r>
        <w:t xml:space="preserve">mijloacelor contraceptive adecvate pentru a preveni apariţia sarcinii şi să continue utilizarea acestora pe o perioadă de cel puţin cinci luni de la </w:t>
      </w:r>
      <w:r>
        <w:rPr>
          <w:rFonts w:eastAsia="MS Mincho"/>
          <w:szCs w:val="22"/>
          <w:lang w:eastAsia="en-US" w:bidi="ar-SA"/>
        </w:rPr>
        <w:t>ultimul tratament cu AMGEVITA</w:t>
      </w:r>
      <w:r>
        <w:t>.</w:t>
      </w:r>
    </w:p>
    <w:p w14:paraId="54FC6AC8" w14:textId="77777777" w:rsidR="00C04CAD" w:rsidRDefault="00C04CAD">
      <w:pPr>
        <w:spacing w:line="240" w:lineRule="auto"/>
      </w:pPr>
    </w:p>
    <w:p w14:paraId="72994FEC" w14:textId="77777777" w:rsidR="00C04CAD" w:rsidRDefault="00060E34">
      <w:pPr>
        <w:spacing w:line="240" w:lineRule="auto"/>
      </w:pPr>
      <w:r>
        <w:rPr>
          <w:u w:val="single"/>
        </w:rPr>
        <w:t>Sarcina</w:t>
      </w:r>
    </w:p>
    <w:p w14:paraId="7E9C05B2" w14:textId="77777777" w:rsidR="00C04CAD" w:rsidRDefault="00C04CAD">
      <w:pPr>
        <w:spacing w:line="240" w:lineRule="auto"/>
      </w:pPr>
    </w:p>
    <w:p w14:paraId="42936C55" w14:textId="77777777" w:rsidR="00C04CAD" w:rsidRDefault="00060E34">
      <w:pPr>
        <w:pStyle w:val="EMEANormal"/>
        <w:rPr>
          <w:szCs w:val="22"/>
          <w:lang w:val="ro-RO"/>
        </w:rPr>
      </w:pPr>
      <w:r>
        <w:rPr>
          <w:szCs w:val="22"/>
          <w:lang w:val="ro-RO"/>
        </w:rPr>
        <w:t>Un număr mare (aproximativ 2 100) de cazuri colectate prospectiv, cu rezultate cunoscute, de sarcini la gravide expuse la adalimumab finalizate cu nașterea unui făt viu, inclusiv mai mult de 1 500 de sarcini la gravide expuse în primul trimestru, nu a indicat o creștere a ratei de apariție a malformațiilor la nou-născut.</w:t>
      </w:r>
    </w:p>
    <w:p w14:paraId="2CAFDDA9" w14:textId="77777777" w:rsidR="00C04CAD" w:rsidRDefault="00C04CAD">
      <w:pPr>
        <w:pStyle w:val="EMEANormal"/>
        <w:rPr>
          <w:szCs w:val="22"/>
          <w:lang w:val="ro-RO"/>
        </w:rPr>
      </w:pPr>
    </w:p>
    <w:p w14:paraId="71D75BA2" w14:textId="77777777" w:rsidR="00C04CAD" w:rsidRDefault="00060E34">
      <w:pPr>
        <w:pStyle w:val="EMEANormal"/>
        <w:rPr>
          <w:lang w:val="ro-RO"/>
        </w:rPr>
      </w:pPr>
      <w:r>
        <w:rPr>
          <w:szCs w:val="22"/>
          <w:lang w:val="ro-RO"/>
        </w:rPr>
        <w:t>Într-un registru de cohortă prospectiv, au fost înscrise 257 de gravide cu poliartrită reumatoidă (PR) sau boală Crohn (BC) tratate cu adalimumab cel puțin în perioada primului trimestru și 120 de femei cu PR sau BC care nu au fost tratate cu adalimumab. Obiectivul primar a fost prevalența malformațiilor congenitale majore la naștere. Proporția sarcinilor care s-au finalizat cu cel puțin un copil născut viu cu o malformație congenitală majoră la naștere la femeile cu PR tratate cu adalimumab a fost de 6/69 (8,7%) și de 5/74 (6,8%) la femeile cu PR netratate (1,31 valoarea RR neajustată, 95% IÎ 0,38-4,52) și de 16/152 (10,5%) la femeile cu BC tratate cu adalimumab și de 3/32 (9,4%) la la femeile cu BC netratate (1,14 valoarea riscului relativ [RR] neajustată, 95% IÎ 0,31-4,16). Valoarea RR ajustată (calculând diferențele față de momentul inițial) a fost de 1,10 (95% IÎ 0,45-2,73) pentru ambele afecțiuni PR și BC. Pentru obiectivele secundare, avorturi spontane, malformații congenitale minore la naștere, naștere prematură, greutate la naștere și infecții grave sau oportuniste, nu au existat diferențe clare între gravidele tratate cu adalimumab și cele netratate și nu s-au raportat cazuri de nou-născuți morți la naștere sau cancere. Interpretarea datelor poate fi influențată de limitările metodologice ale registrului, inclusiv dimensiunea mică a eșantionului și modelul non</w:t>
      </w:r>
      <w:r>
        <w:rPr>
          <w:szCs w:val="22"/>
          <w:lang w:val="ro-RO"/>
        </w:rPr>
        <w:noBreakHyphen/>
        <w:t>randomizat.</w:t>
      </w:r>
    </w:p>
    <w:p w14:paraId="6DE33B60" w14:textId="77777777" w:rsidR="00C04CAD" w:rsidRDefault="00C04CAD">
      <w:pPr>
        <w:tabs>
          <w:tab w:val="clear" w:pos="567"/>
        </w:tabs>
        <w:kinsoku w:val="0"/>
        <w:overflowPunct w:val="0"/>
        <w:autoSpaceDE w:val="0"/>
        <w:autoSpaceDN w:val="0"/>
        <w:adjustRightInd w:val="0"/>
        <w:spacing w:line="240" w:lineRule="auto"/>
      </w:pPr>
    </w:p>
    <w:p w14:paraId="4169D6DF" w14:textId="77777777" w:rsidR="00C04CAD" w:rsidRDefault="00060E34">
      <w:pPr>
        <w:tabs>
          <w:tab w:val="clear" w:pos="567"/>
        </w:tabs>
        <w:kinsoku w:val="0"/>
        <w:overflowPunct w:val="0"/>
        <w:autoSpaceDE w:val="0"/>
        <w:autoSpaceDN w:val="0"/>
        <w:adjustRightInd w:val="0"/>
        <w:spacing w:line="240" w:lineRule="auto"/>
      </w:pPr>
      <w:r>
        <w:t>Într-un studiu privind toxicitatea asupra dezvoltării, efectuat la maimuţe, nu au existat semne de toxicitate maternă, de embriotoxicitate sau de teratogeneză. Nu sunt disponibile date preclinice despre toxicitatea postnatală a adalimumab (vezi pct. 5.3).</w:t>
      </w:r>
    </w:p>
    <w:p w14:paraId="146512BD" w14:textId="77777777" w:rsidR="00C04CAD" w:rsidRDefault="00C04CAD">
      <w:pPr>
        <w:tabs>
          <w:tab w:val="clear" w:pos="567"/>
        </w:tabs>
        <w:kinsoku w:val="0"/>
        <w:overflowPunct w:val="0"/>
        <w:autoSpaceDE w:val="0"/>
        <w:autoSpaceDN w:val="0"/>
        <w:adjustRightInd w:val="0"/>
        <w:spacing w:line="240" w:lineRule="auto"/>
      </w:pPr>
    </w:p>
    <w:p w14:paraId="048C9B74" w14:textId="77777777" w:rsidR="00C04CAD" w:rsidRDefault="00060E34">
      <w:pPr>
        <w:tabs>
          <w:tab w:val="clear" w:pos="567"/>
        </w:tabs>
        <w:kinsoku w:val="0"/>
        <w:overflowPunct w:val="0"/>
        <w:autoSpaceDE w:val="0"/>
        <w:autoSpaceDN w:val="0"/>
        <w:adjustRightInd w:val="0"/>
        <w:spacing w:line="240" w:lineRule="auto"/>
      </w:pPr>
      <w:r>
        <w:t xml:space="preserve">Administrarea de adalimumab în timpul sarcinii poate afecta răspunsul imun normal al nou-născutului din cauza acţiunii medicamentului de inhibare a TNFα. </w:t>
      </w:r>
      <w:r>
        <w:rPr>
          <w:szCs w:val="22"/>
        </w:rPr>
        <w:t xml:space="preserve">În timpul sarcinii, </w:t>
      </w:r>
      <w:r>
        <w:rPr>
          <w:rFonts w:eastAsia="MS Mincho"/>
          <w:szCs w:val="22"/>
          <w:lang w:eastAsia="en-US" w:bidi="ar-SA"/>
        </w:rPr>
        <w:t>AMGEVITA</w:t>
      </w:r>
      <w:r>
        <w:rPr>
          <w:szCs w:val="22"/>
        </w:rPr>
        <w:t xml:space="preserve"> se poate utiliza numai dacă este absolut necesar.</w:t>
      </w:r>
    </w:p>
    <w:p w14:paraId="21346CDC" w14:textId="77777777" w:rsidR="00C04CAD" w:rsidRDefault="00C04CAD">
      <w:pPr>
        <w:tabs>
          <w:tab w:val="clear" w:pos="567"/>
        </w:tabs>
        <w:kinsoku w:val="0"/>
        <w:overflowPunct w:val="0"/>
        <w:autoSpaceDE w:val="0"/>
        <w:autoSpaceDN w:val="0"/>
        <w:adjustRightInd w:val="0"/>
        <w:spacing w:line="240" w:lineRule="auto"/>
        <w:rPr>
          <w:szCs w:val="22"/>
        </w:rPr>
      </w:pPr>
    </w:p>
    <w:p w14:paraId="734104D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Adalimumab poate traversa bariera placentară şi este prezent în serul nou născuţilor femeilor care au utilizat adalimumab în timpul sarcinii. În consecinţă, aceşti sugari pot prezenta un risc crescut de infecţii. La sugarii care au fost expuşi </w:t>
      </w:r>
      <w:r>
        <w:rPr>
          <w:i/>
          <w:szCs w:val="22"/>
        </w:rPr>
        <w:t>in utero</w:t>
      </w:r>
      <w:r>
        <w:rPr>
          <w:szCs w:val="22"/>
        </w:rPr>
        <w:t xml:space="preserve"> la adalimumab, nu se recomandă administrarea de vaccinuri vii (de exemplu vaccinul BCG)</w:t>
      </w:r>
      <w:r>
        <w:rPr>
          <w:i/>
          <w:szCs w:val="22"/>
        </w:rPr>
        <w:t xml:space="preserve"> </w:t>
      </w:r>
      <w:r>
        <w:rPr>
          <w:szCs w:val="22"/>
        </w:rPr>
        <w:t>timp de 5 luni de la ultima doză de adalimumab administrată mamei în timpul sarcinii.</w:t>
      </w:r>
    </w:p>
    <w:p w14:paraId="2063B2E7" w14:textId="77777777" w:rsidR="00C04CAD" w:rsidRDefault="00C04CAD">
      <w:pPr>
        <w:spacing w:line="240" w:lineRule="auto"/>
        <w:rPr>
          <w:szCs w:val="22"/>
        </w:rPr>
      </w:pPr>
    </w:p>
    <w:p w14:paraId="2BD31911" w14:textId="77777777" w:rsidR="00C04CAD" w:rsidRDefault="00060E34">
      <w:pPr>
        <w:keepNext/>
        <w:spacing w:line="240" w:lineRule="auto"/>
        <w:rPr>
          <w:szCs w:val="22"/>
        </w:rPr>
      </w:pPr>
      <w:r>
        <w:rPr>
          <w:szCs w:val="22"/>
          <w:u w:val="single"/>
        </w:rPr>
        <w:t>Alăptarea</w:t>
      </w:r>
    </w:p>
    <w:p w14:paraId="5C757026" w14:textId="77777777" w:rsidR="00C04CAD" w:rsidRDefault="00C04CAD">
      <w:pPr>
        <w:keepNext/>
        <w:spacing w:line="240" w:lineRule="auto"/>
        <w:rPr>
          <w:szCs w:val="22"/>
        </w:rPr>
      </w:pPr>
    </w:p>
    <w:p w14:paraId="205C4CE1" w14:textId="77777777" w:rsidR="00C04CAD" w:rsidRDefault="00060E34">
      <w:pPr>
        <w:spacing w:line="240" w:lineRule="auto"/>
        <w:rPr>
          <w:szCs w:val="22"/>
        </w:rPr>
      </w:pPr>
      <w:r>
        <w:rPr>
          <w:szCs w:val="22"/>
        </w:rPr>
        <w:t xml:space="preserve">Informații limitate din literatura publicată indică faptul că adalimumab este excretat în laptele matern în concentrații foarte mici, cu prezența adalimumab în laptele uman la concentrații de 0,1% până la 1% din concentrația prezentă în serul matern. Administrate pe cale orală, proteinele imunoglobulinei G sunt supuse proteolizei intestinale și au o biodisponibilitate redusă. Nu sunt anticipate efecte asupra nou-născuților/copiilor alăptați. În consecință, </w:t>
      </w:r>
      <w:r>
        <w:rPr>
          <w:rFonts w:eastAsia="MS Mincho"/>
          <w:szCs w:val="22"/>
          <w:lang w:eastAsia="en-US" w:bidi="ar-SA"/>
        </w:rPr>
        <w:t>AMGEVITA</w:t>
      </w:r>
      <w:r>
        <w:rPr>
          <w:szCs w:val="22"/>
        </w:rPr>
        <w:t xml:space="preserve"> poate fi utilizat în timpul alăptării.</w:t>
      </w:r>
    </w:p>
    <w:p w14:paraId="0FFE1CDF" w14:textId="77777777" w:rsidR="00C04CAD" w:rsidRDefault="00C04CAD">
      <w:pPr>
        <w:spacing w:line="240" w:lineRule="auto"/>
        <w:rPr>
          <w:szCs w:val="22"/>
        </w:rPr>
      </w:pPr>
    </w:p>
    <w:p w14:paraId="22A65547" w14:textId="77777777" w:rsidR="00C04CAD" w:rsidRDefault="00060E34">
      <w:pPr>
        <w:keepNext/>
        <w:spacing w:line="240" w:lineRule="auto"/>
        <w:rPr>
          <w:szCs w:val="22"/>
        </w:rPr>
      </w:pPr>
      <w:r>
        <w:rPr>
          <w:szCs w:val="22"/>
          <w:u w:val="single"/>
        </w:rPr>
        <w:t>Fertilitatea</w:t>
      </w:r>
    </w:p>
    <w:p w14:paraId="62225C75" w14:textId="77777777" w:rsidR="00C04CAD" w:rsidRDefault="00C04CAD">
      <w:pPr>
        <w:keepNext/>
        <w:spacing w:line="240" w:lineRule="auto"/>
        <w:rPr>
          <w:szCs w:val="22"/>
        </w:rPr>
      </w:pPr>
    </w:p>
    <w:p w14:paraId="5B41E246" w14:textId="77777777" w:rsidR="00C04CAD" w:rsidRDefault="00060E34">
      <w:pPr>
        <w:spacing w:line="240" w:lineRule="auto"/>
        <w:rPr>
          <w:szCs w:val="22"/>
        </w:rPr>
      </w:pPr>
      <w:r>
        <w:rPr>
          <w:szCs w:val="22"/>
        </w:rPr>
        <w:t>Nu sunt disponibile date preclinice privind fertilitatea.</w:t>
      </w:r>
    </w:p>
    <w:p w14:paraId="0992753E" w14:textId="77777777" w:rsidR="00C04CAD" w:rsidRDefault="00C04CAD">
      <w:pPr>
        <w:spacing w:line="240" w:lineRule="auto"/>
      </w:pPr>
    </w:p>
    <w:p w14:paraId="52A88EE2" w14:textId="77777777" w:rsidR="00C04CAD" w:rsidRDefault="00060E34">
      <w:pPr>
        <w:keepNext/>
        <w:numPr>
          <w:ilvl w:val="1"/>
          <w:numId w:val="14"/>
        </w:numPr>
        <w:spacing w:line="240" w:lineRule="auto"/>
        <w:ind w:left="567" w:hanging="567"/>
        <w:outlineLvl w:val="0"/>
      </w:pPr>
      <w:r>
        <w:rPr>
          <w:b/>
        </w:rPr>
        <w:t>Efecte asupra capacității de a conduce vehicule și de a folosi utilaje</w:t>
      </w:r>
    </w:p>
    <w:p w14:paraId="277E5942" w14:textId="77777777" w:rsidR="00C04CAD" w:rsidRDefault="00C04CAD">
      <w:pPr>
        <w:keepNext/>
        <w:spacing w:line="240" w:lineRule="auto"/>
      </w:pPr>
    </w:p>
    <w:p w14:paraId="3532F4B2"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AMGEVITA</w:t>
      </w:r>
      <w:r>
        <w:t xml:space="preserve"> poate influenţa în mică măsură capacitatea de a conduce vehicule şi de a folosi utilaje. După administrarea de </w:t>
      </w:r>
      <w:r>
        <w:rPr>
          <w:rFonts w:eastAsia="MS Mincho"/>
          <w:szCs w:val="22"/>
          <w:lang w:eastAsia="en-US" w:bidi="ar-SA"/>
        </w:rPr>
        <w:t>AMGEVITA</w:t>
      </w:r>
      <w:r>
        <w:t xml:space="preserve"> pot să apară vertij şi tulburări de vedere (vezi pct. 4.8).</w:t>
      </w:r>
    </w:p>
    <w:p w14:paraId="7EE22195" w14:textId="77777777" w:rsidR="00C04CAD" w:rsidRDefault="00C04CAD">
      <w:pPr>
        <w:spacing w:line="240" w:lineRule="auto"/>
      </w:pPr>
    </w:p>
    <w:p w14:paraId="442F57ED" w14:textId="77777777" w:rsidR="00C04CAD" w:rsidRDefault="00060E34">
      <w:pPr>
        <w:keepNext/>
        <w:numPr>
          <w:ilvl w:val="1"/>
          <w:numId w:val="14"/>
        </w:numPr>
        <w:spacing w:line="240" w:lineRule="auto"/>
        <w:ind w:left="567" w:hanging="567"/>
        <w:outlineLvl w:val="0"/>
      </w:pPr>
      <w:r>
        <w:rPr>
          <w:b/>
        </w:rPr>
        <w:t>Reacții adverse</w:t>
      </w:r>
    </w:p>
    <w:p w14:paraId="674CF03E" w14:textId="77777777" w:rsidR="00C04CAD" w:rsidRDefault="00C04CAD">
      <w:pPr>
        <w:keepNext/>
        <w:autoSpaceDE w:val="0"/>
        <w:autoSpaceDN w:val="0"/>
        <w:adjustRightInd w:val="0"/>
        <w:spacing w:line="240" w:lineRule="auto"/>
        <w:jc w:val="both"/>
      </w:pPr>
    </w:p>
    <w:p w14:paraId="0DA96FDD" w14:textId="77777777" w:rsidR="00C04CAD" w:rsidRDefault="00060E34">
      <w:pPr>
        <w:keepNext/>
        <w:tabs>
          <w:tab w:val="clear" w:pos="567"/>
        </w:tabs>
        <w:kinsoku w:val="0"/>
        <w:overflowPunct w:val="0"/>
        <w:autoSpaceDE w:val="0"/>
        <w:autoSpaceDN w:val="0"/>
        <w:adjustRightInd w:val="0"/>
        <w:spacing w:line="240" w:lineRule="auto"/>
      </w:pPr>
      <w:r>
        <w:rPr>
          <w:u w:val="single"/>
        </w:rPr>
        <w:t>Rezumatul profilului de siguranţă</w:t>
      </w:r>
    </w:p>
    <w:p w14:paraId="383535FF" w14:textId="77777777" w:rsidR="00C04CAD" w:rsidRDefault="00C04CAD">
      <w:pPr>
        <w:tabs>
          <w:tab w:val="clear" w:pos="567"/>
        </w:tabs>
        <w:kinsoku w:val="0"/>
        <w:overflowPunct w:val="0"/>
        <w:autoSpaceDE w:val="0"/>
        <w:autoSpaceDN w:val="0"/>
        <w:adjustRightInd w:val="0"/>
        <w:spacing w:line="240" w:lineRule="auto"/>
      </w:pPr>
    </w:p>
    <w:p w14:paraId="6C6540C4"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Adalimumab</w:t>
      </w:r>
      <w:r>
        <w:t xml:space="preserve"> a fost studiat la 9 506 pacienţi în cadrul unor studii clinice pivot placebo-controlate şi deschise o perioadă de până la 60 luni sau peste. Aceste studii au inclus pacienţi cu poliartrită reumatoidă de lungă durată sau cu instalare recentă, artrită reumatoidă juvenilă idiopatică (artrită juvenilă idiopatică forma poliarticulară şi artrită asociată entezitei), precum şi pacienţi cu spondiloartrită axială (spondilită anchilozantă şi spondiloartrită axială fără dovadă radiologică a spondilitei anchilozante), artrită psoriazică, boală Crohn, colită ulcerativă, psoriazis, hidrosadenită supurativă şi uveită. În studii controlate pivot au fost implicaţi 6 089 pacienţi care au primit </w:t>
      </w:r>
      <w:r>
        <w:rPr>
          <w:rFonts w:eastAsia="MS Mincho"/>
          <w:szCs w:val="22"/>
          <w:lang w:eastAsia="en-US" w:bidi="ar-SA"/>
        </w:rPr>
        <w:t>adalimumab</w:t>
      </w:r>
      <w:r>
        <w:t xml:space="preserve"> şi 3 801 pacienţi care au primit placebo sau un comparator activ în perioada de control.</w:t>
      </w:r>
    </w:p>
    <w:p w14:paraId="037283D6" w14:textId="77777777" w:rsidR="00C04CAD" w:rsidRDefault="00C04CAD">
      <w:pPr>
        <w:tabs>
          <w:tab w:val="clear" w:pos="567"/>
        </w:tabs>
        <w:kinsoku w:val="0"/>
        <w:overflowPunct w:val="0"/>
        <w:autoSpaceDE w:val="0"/>
        <w:autoSpaceDN w:val="0"/>
        <w:adjustRightInd w:val="0"/>
        <w:spacing w:line="240" w:lineRule="auto"/>
      </w:pPr>
    </w:p>
    <w:p w14:paraId="5B385A1E" w14:textId="77777777" w:rsidR="00C04CAD" w:rsidRDefault="00060E34">
      <w:pPr>
        <w:tabs>
          <w:tab w:val="clear" w:pos="567"/>
        </w:tabs>
        <w:kinsoku w:val="0"/>
        <w:overflowPunct w:val="0"/>
        <w:autoSpaceDE w:val="0"/>
        <w:autoSpaceDN w:val="0"/>
        <w:adjustRightInd w:val="0"/>
        <w:spacing w:line="240" w:lineRule="auto"/>
      </w:pPr>
      <w:r>
        <w:t xml:space="preserve">Procentul pacienţilor care au întrerupt tratamentul din cauza evenimentelor adverse în perioada controlată dublu-orb din cadrul studiilor pivot a fost de 5,9% pentru pacienţii care au primit </w:t>
      </w:r>
      <w:r>
        <w:rPr>
          <w:rFonts w:eastAsia="MS Mincho"/>
          <w:szCs w:val="22"/>
          <w:lang w:eastAsia="en-US" w:bidi="ar-SA"/>
        </w:rPr>
        <w:t>adalimumab</w:t>
      </w:r>
      <w:r>
        <w:t xml:space="preserve"> şi 5,4% pentru grupul de control.</w:t>
      </w:r>
    </w:p>
    <w:p w14:paraId="1BE625A4" w14:textId="77777777" w:rsidR="00C04CAD" w:rsidRDefault="00C04CAD">
      <w:pPr>
        <w:tabs>
          <w:tab w:val="clear" w:pos="567"/>
        </w:tabs>
        <w:kinsoku w:val="0"/>
        <w:overflowPunct w:val="0"/>
        <w:autoSpaceDE w:val="0"/>
        <w:autoSpaceDN w:val="0"/>
        <w:adjustRightInd w:val="0"/>
        <w:spacing w:line="240" w:lineRule="auto"/>
      </w:pPr>
    </w:p>
    <w:p w14:paraId="673EB7E7" w14:textId="77777777" w:rsidR="00C04CAD" w:rsidRDefault="00060E34">
      <w:pPr>
        <w:tabs>
          <w:tab w:val="clear" w:pos="567"/>
        </w:tabs>
        <w:kinsoku w:val="0"/>
        <w:overflowPunct w:val="0"/>
        <w:autoSpaceDE w:val="0"/>
        <w:autoSpaceDN w:val="0"/>
        <w:adjustRightInd w:val="0"/>
        <w:spacing w:line="240" w:lineRule="auto"/>
      </w:pPr>
      <w:r>
        <w:t>Cele mai frecvente reacţii adverse raportate sunt infecţiile (cum sunt rinofaringită, infecţii ale tractului respirator superior şi sinuzită), reacţii la locul de injecţie (eritem, prurit, hemoragie, durere sau edem) cefalee şi durere musculoscheletică.</w:t>
      </w:r>
    </w:p>
    <w:p w14:paraId="6C220304" w14:textId="77777777" w:rsidR="00C04CAD" w:rsidRDefault="00C04CAD">
      <w:pPr>
        <w:tabs>
          <w:tab w:val="clear" w:pos="567"/>
        </w:tabs>
        <w:kinsoku w:val="0"/>
        <w:overflowPunct w:val="0"/>
        <w:autoSpaceDE w:val="0"/>
        <w:autoSpaceDN w:val="0"/>
        <w:adjustRightInd w:val="0"/>
        <w:spacing w:line="240" w:lineRule="auto"/>
      </w:pPr>
    </w:p>
    <w:p w14:paraId="6FDA9215"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S-au raportat reacţii adverse grave la </w:t>
      </w:r>
      <w:r>
        <w:rPr>
          <w:rFonts w:eastAsia="MS Mincho"/>
          <w:szCs w:val="22"/>
          <w:lang w:eastAsia="en-US" w:bidi="ar-SA"/>
        </w:rPr>
        <w:t>adalimumab</w:t>
      </w:r>
      <w:r>
        <w:t xml:space="preserve">. Antagonişti TNF, cum este </w:t>
      </w:r>
      <w:r>
        <w:rPr>
          <w:rFonts w:eastAsia="MS Mincho"/>
          <w:szCs w:val="22"/>
          <w:lang w:eastAsia="en-US" w:bidi="ar-SA"/>
        </w:rPr>
        <w:t>AMGEVITA</w:t>
      </w:r>
      <w:r>
        <w:t xml:space="preserve">, afectează sistemul imunitar şi utilizarea lor poate să afecteze apărarea organismului împotriva infecţiilor şi a cancerului. </w:t>
      </w:r>
    </w:p>
    <w:p w14:paraId="2F23238B"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72176555" w14:textId="77777777" w:rsidR="00C04CAD" w:rsidRDefault="00060E34">
      <w:pPr>
        <w:tabs>
          <w:tab w:val="clear" w:pos="567"/>
        </w:tabs>
        <w:kinsoku w:val="0"/>
        <w:overflowPunct w:val="0"/>
        <w:autoSpaceDE w:val="0"/>
        <w:autoSpaceDN w:val="0"/>
        <w:adjustRightInd w:val="0"/>
        <w:spacing w:line="240" w:lineRule="auto"/>
      </w:pPr>
      <w:r>
        <w:t>S</w:t>
      </w:r>
      <w:r>
        <w:noBreakHyphen/>
        <w:t xml:space="preserve">au raportat de asemenea la </w:t>
      </w:r>
      <w:r>
        <w:rPr>
          <w:rFonts w:eastAsia="MS Mincho"/>
          <w:szCs w:val="22"/>
          <w:lang w:eastAsia="en-US" w:bidi="ar-SA"/>
        </w:rPr>
        <w:t>adalimumab</w:t>
      </w:r>
      <w:r>
        <w:t xml:space="preserve">, infecţii </w:t>
      </w:r>
      <w:r>
        <w:rPr>
          <w:rFonts w:eastAsia="MS Mincho"/>
          <w:szCs w:val="22"/>
          <w:lang w:eastAsia="en-US" w:bidi="ar-SA"/>
        </w:rPr>
        <w:t>care pun viaţa în pericol</w:t>
      </w:r>
      <w:r>
        <w:t xml:space="preserve"> sau letale (inclusiv sepsis, infecţii oportuniste şi TB), reactivarea hepatitei B (VHB) şi variate malignităţi (inclusiv leucemie, limfom şi limfom hepatosplenic cu celule T (LHSCT)).</w:t>
      </w:r>
    </w:p>
    <w:p w14:paraId="069765EB" w14:textId="77777777" w:rsidR="00C04CAD" w:rsidRDefault="00C04CAD">
      <w:pPr>
        <w:tabs>
          <w:tab w:val="clear" w:pos="567"/>
        </w:tabs>
        <w:kinsoku w:val="0"/>
        <w:overflowPunct w:val="0"/>
        <w:autoSpaceDE w:val="0"/>
        <w:autoSpaceDN w:val="0"/>
        <w:adjustRightInd w:val="0"/>
        <w:spacing w:line="240" w:lineRule="auto"/>
      </w:pPr>
    </w:p>
    <w:p w14:paraId="792D9B8B" w14:textId="77777777" w:rsidR="00C04CAD" w:rsidRDefault="00060E34">
      <w:pPr>
        <w:tabs>
          <w:tab w:val="clear" w:pos="567"/>
        </w:tabs>
        <w:kinsoku w:val="0"/>
        <w:overflowPunct w:val="0"/>
        <w:autoSpaceDE w:val="0"/>
        <w:autoSpaceDN w:val="0"/>
        <w:adjustRightInd w:val="0"/>
        <w:spacing w:line="240" w:lineRule="auto"/>
      </w:pPr>
      <w:r>
        <w:t>S-au raportat de asemenea reacţii grave hematologice, neurologice şi autoimune. Acestea includ cazuri rare de pancitopenie, anemie aplastică, evenimente de demielinizare centrală şi periferică şi cazuri de lupus eritematos sistemic, manifestări asociate lupusului şi sindrom Stevens-Johnson.</w:t>
      </w:r>
    </w:p>
    <w:p w14:paraId="65B52605" w14:textId="77777777" w:rsidR="00C04CAD" w:rsidRDefault="00C04CAD">
      <w:pPr>
        <w:autoSpaceDE w:val="0"/>
        <w:autoSpaceDN w:val="0"/>
        <w:adjustRightInd w:val="0"/>
        <w:spacing w:line="240" w:lineRule="auto"/>
        <w:jc w:val="both"/>
      </w:pPr>
    </w:p>
    <w:p w14:paraId="718077D6" w14:textId="77777777" w:rsidR="00C04CAD" w:rsidRDefault="00060E34">
      <w:pPr>
        <w:keepNext/>
        <w:autoSpaceDE w:val="0"/>
        <w:autoSpaceDN w:val="0"/>
        <w:adjustRightInd w:val="0"/>
        <w:spacing w:line="240" w:lineRule="auto"/>
        <w:jc w:val="both"/>
      </w:pPr>
      <w:r>
        <w:rPr>
          <w:u w:val="single"/>
        </w:rPr>
        <w:t>Copii și adolescenți</w:t>
      </w:r>
    </w:p>
    <w:p w14:paraId="68824DC4" w14:textId="77777777" w:rsidR="00C04CAD" w:rsidRDefault="00C04CAD">
      <w:pPr>
        <w:keepNext/>
        <w:autoSpaceDE w:val="0"/>
        <w:autoSpaceDN w:val="0"/>
        <w:adjustRightInd w:val="0"/>
        <w:spacing w:line="240" w:lineRule="auto"/>
        <w:jc w:val="both"/>
      </w:pPr>
    </w:p>
    <w:p w14:paraId="69EE5050" w14:textId="77777777" w:rsidR="00C04CAD" w:rsidRDefault="00060E34">
      <w:pPr>
        <w:autoSpaceDE w:val="0"/>
        <w:autoSpaceDN w:val="0"/>
        <w:adjustRightInd w:val="0"/>
        <w:spacing w:line="240" w:lineRule="auto"/>
        <w:jc w:val="both"/>
        <w:rPr>
          <w:szCs w:val="22"/>
        </w:rPr>
      </w:pPr>
      <w:r>
        <w:rPr>
          <w:szCs w:val="22"/>
        </w:rPr>
        <w:t xml:space="preserve">În general, evenimentele adverse la copiii </w:t>
      </w:r>
      <w:r>
        <w:rPr>
          <w:rFonts w:eastAsia="MS Mincho"/>
          <w:szCs w:val="22"/>
          <w:lang w:eastAsia="en-US" w:bidi="ar-SA"/>
        </w:rPr>
        <w:t>şi adolescenţi</w:t>
      </w:r>
      <w:r>
        <w:rPr>
          <w:szCs w:val="22"/>
        </w:rPr>
        <w:t xml:space="preserve"> au fost asemănătoare, ca frecvenţă şi tip, cu cele întâlnite la adulţi.</w:t>
      </w:r>
    </w:p>
    <w:p w14:paraId="768BED6B" w14:textId="77777777" w:rsidR="00C04CAD" w:rsidRDefault="00C04CAD">
      <w:pPr>
        <w:autoSpaceDE w:val="0"/>
        <w:autoSpaceDN w:val="0"/>
        <w:adjustRightInd w:val="0"/>
        <w:spacing w:line="240" w:lineRule="auto"/>
        <w:jc w:val="both"/>
        <w:rPr>
          <w:szCs w:val="22"/>
        </w:rPr>
      </w:pPr>
    </w:p>
    <w:p w14:paraId="71201256"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Lista în format tabelar a reacțiilor adverse</w:t>
      </w:r>
    </w:p>
    <w:p w14:paraId="766C5FCE" w14:textId="77777777" w:rsidR="00C04CAD" w:rsidRDefault="00C04CAD">
      <w:pPr>
        <w:keepNext/>
        <w:tabs>
          <w:tab w:val="clear" w:pos="567"/>
        </w:tabs>
        <w:kinsoku w:val="0"/>
        <w:overflowPunct w:val="0"/>
        <w:autoSpaceDE w:val="0"/>
        <w:autoSpaceDN w:val="0"/>
        <w:adjustRightInd w:val="0"/>
        <w:spacing w:line="240" w:lineRule="auto"/>
        <w:rPr>
          <w:szCs w:val="22"/>
        </w:rPr>
      </w:pPr>
    </w:p>
    <w:p w14:paraId="36A457B3" w14:textId="77777777" w:rsidR="00C04CAD" w:rsidRDefault="00060E34">
      <w:pPr>
        <w:autoSpaceDE w:val="0"/>
        <w:autoSpaceDN w:val="0"/>
        <w:adjustRightInd w:val="0"/>
        <w:spacing w:line="240" w:lineRule="auto"/>
        <w:jc w:val="both"/>
        <w:rPr>
          <w:szCs w:val="22"/>
        </w:rPr>
      </w:pPr>
      <w:r>
        <w:rPr>
          <w:szCs w:val="22"/>
        </w:rPr>
        <w:t>Următoarea listă cu reacţii adverse are la bază experienţa din studiile clinice şi de după punerea pe piaţă şi este prezentată în funcţie de sistemele şi organele afectate, precum şi de frecvenţă în tabelul</w:t>
      </w:r>
      <w:r>
        <w:rPr>
          <w:rFonts w:eastAsia="MS Mincho"/>
          <w:szCs w:val="22"/>
          <w:lang w:eastAsia="en-US" w:bidi="ar-SA"/>
        </w:rPr>
        <w:t> 7</w:t>
      </w:r>
      <w:r>
        <w:rPr>
          <w:szCs w:val="22"/>
        </w:rPr>
        <w:t xml:space="preserve">: foarte frecvente (≥1/10); frecvente (≥1/100 şi &lt;1/10); mai puţin frecvente (≥1/1 000 şi &lt;1/100), rare (≥1/10 000 şi &lt;1/1 000) şi cu frecvenţă necunoscută (nu poate fi estimată din datele disponibile). În cadrul fiecărui grup </w:t>
      </w:r>
      <w:r>
        <w:rPr>
          <w:rFonts w:eastAsia="MS Mincho"/>
          <w:szCs w:val="22"/>
          <w:lang w:eastAsia="en-US" w:bidi="ar-SA"/>
        </w:rPr>
        <w:t>de frecvenţă</w:t>
      </w:r>
      <w:r>
        <w:rPr>
          <w:szCs w:val="22"/>
        </w:rPr>
        <w:t>, efectele adverse sunt menţionate în ordinea descrescândă a gravităţii. Au fost incluse şi reacţiile adverse cu frecvenţa cea mai mare observate în timpul utilizării medicamentului pentru diferite indicaţii. În coloana „Clasificare pe aparate, sisteme şi organe” apare un asterisc (*) dacă se găsesc informaţii suplimentare şi în capitolele 4.3, 4.4 şi 4.8.</w:t>
      </w:r>
    </w:p>
    <w:p w14:paraId="59C53D3A" w14:textId="77777777" w:rsidR="00C04CAD" w:rsidRDefault="00C04CAD">
      <w:pPr>
        <w:autoSpaceDE w:val="0"/>
        <w:autoSpaceDN w:val="0"/>
        <w:adjustRightInd w:val="0"/>
        <w:spacing w:line="240" w:lineRule="auto"/>
        <w:jc w:val="both"/>
        <w:rPr>
          <w:sz w:val="24"/>
        </w:rPr>
      </w:pPr>
    </w:p>
    <w:p w14:paraId="7ECAB3AE" w14:textId="77777777" w:rsidR="00C04CAD" w:rsidRDefault="00060E34">
      <w:pPr>
        <w:keepNext/>
        <w:autoSpaceDE w:val="0"/>
        <w:autoSpaceDN w:val="0"/>
        <w:adjustRightInd w:val="0"/>
        <w:spacing w:line="240" w:lineRule="auto"/>
        <w:jc w:val="both"/>
        <w:rPr>
          <w:sz w:val="24"/>
        </w:rPr>
      </w:pPr>
      <w:r>
        <w:rPr>
          <w:b/>
        </w:rPr>
        <w:t>Tabelul 7. Reacţii adverse</w:t>
      </w:r>
    </w:p>
    <w:p w14:paraId="415C23B4" w14:textId="77777777" w:rsidR="00C04CAD" w:rsidRDefault="00C04CAD">
      <w:pPr>
        <w:keepNext/>
        <w:autoSpaceDE w:val="0"/>
        <w:autoSpaceDN w:val="0"/>
        <w:adjustRightInd w:val="0"/>
        <w:spacing w:line="240" w:lineRule="auto"/>
        <w:jc w:val="both"/>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4"/>
        <w:gridCol w:w="1854"/>
        <w:gridCol w:w="4615"/>
      </w:tblGrid>
      <w:tr w:rsidR="00C04CAD" w14:paraId="369B2732" w14:textId="77777777">
        <w:trPr>
          <w:cantSplit/>
          <w:trHeight w:val="451"/>
          <w:tblHeader/>
        </w:trPr>
        <w:tc>
          <w:tcPr>
            <w:tcW w:w="2484" w:type="dxa"/>
            <w:vAlign w:val="center"/>
          </w:tcPr>
          <w:p w14:paraId="06D29639" w14:textId="77777777" w:rsidR="00C04CAD" w:rsidRDefault="00060E34">
            <w:pPr>
              <w:keepNext/>
              <w:tabs>
                <w:tab w:val="clear" w:pos="567"/>
              </w:tabs>
              <w:kinsoku w:val="0"/>
              <w:overflowPunct w:val="0"/>
              <w:autoSpaceDE w:val="0"/>
              <w:autoSpaceDN w:val="0"/>
              <w:adjustRightInd w:val="0"/>
              <w:spacing w:line="240" w:lineRule="auto"/>
            </w:pPr>
            <w:r>
              <w:rPr>
                <w:b/>
              </w:rPr>
              <w:t>Clasificare pe aparate, sisteme şi organe</w:t>
            </w:r>
          </w:p>
        </w:tc>
        <w:tc>
          <w:tcPr>
            <w:tcW w:w="1854" w:type="dxa"/>
            <w:vAlign w:val="center"/>
          </w:tcPr>
          <w:p w14:paraId="57D9B66A" w14:textId="77777777" w:rsidR="00C04CAD" w:rsidRDefault="00060E34">
            <w:pPr>
              <w:keepNext/>
              <w:tabs>
                <w:tab w:val="clear" w:pos="567"/>
              </w:tabs>
              <w:kinsoku w:val="0"/>
              <w:overflowPunct w:val="0"/>
              <w:autoSpaceDE w:val="0"/>
              <w:autoSpaceDN w:val="0"/>
              <w:adjustRightInd w:val="0"/>
              <w:spacing w:line="240" w:lineRule="auto"/>
            </w:pPr>
            <w:r>
              <w:rPr>
                <w:b/>
              </w:rPr>
              <w:t>Frecvenţă</w:t>
            </w:r>
          </w:p>
        </w:tc>
        <w:tc>
          <w:tcPr>
            <w:tcW w:w="4615" w:type="dxa"/>
            <w:vAlign w:val="center"/>
          </w:tcPr>
          <w:p w14:paraId="5637D2B4" w14:textId="77777777" w:rsidR="00C04CAD" w:rsidRDefault="00060E34">
            <w:pPr>
              <w:keepNext/>
              <w:tabs>
                <w:tab w:val="clear" w:pos="567"/>
              </w:tabs>
              <w:kinsoku w:val="0"/>
              <w:overflowPunct w:val="0"/>
              <w:autoSpaceDE w:val="0"/>
              <w:autoSpaceDN w:val="0"/>
              <w:adjustRightInd w:val="0"/>
              <w:spacing w:line="240" w:lineRule="auto"/>
            </w:pPr>
            <w:r>
              <w:rPr>
                <w:b/>
              </w:rPr>
              <w:t>Reacţii adverse</w:t>
            </w:r>
          </w:p>
        </w:tc>
      </w:tr>
      <w:tr w:rsidR="00C04CAD" w14:paraId="70EEAA76" w14:textId="77777777">
        <w:trPr>
          <w:cantSplit/>
        </w:trPr>
        <w:tc>
          <w:tcPr>
            <w:tcW w:w="2484" w:type="dxa"/>
          </w:tcPr>
          <w:p w14:paraId="793B80E7" w14:textId="77777777" w:rsidR="00C04CAD" w:rsidRDefault="00060E34">
            <w:pPr>
              <w:tabs>
                <w:tab w:val="clear" w:pos="567"/>
              </w:tabs>
              <w:kinsoku w:val="0"/>
              <w:overflowPunct w:val="0"/>
              <w:autoSpaceDE w:val="0"/>
              <w:autoSpaceDN w:val="0"/>
              <w:adjustRightInd w:val="0"/>
              <w:spacing w:line="240" w:lineRule="auto"/>
            </w:pPr>
            <w:r>
              <w:t>Infecţii şi infestări*</w:t>
            </w:r>
          </w:p>
        </w:tc>
        <w:tc>
          <w:tcPr>
            <w:tcW w:w="1854" w:type="dxa"/>
          </w:tcPr>
          <w:p w14:paraId="7ACD12A7" w14:textId="77777777" w:rsidR="00C04CAD" w:rsidRDefault="00060E34">
            <w:pPr>
              <w:tabs>
                <w:tab w:val="clear" w:pos="567"/>
              </w:tabs>
              <w:kinsoku w:val="0"/>
              <w:overflowPunct w:val="0"/>
              <w:autoSpaceDE w:val="0"/>
              <w:autoSpaceDN w:val="0"/>
              <w:adjustRightInd w:val="0"/>
              <w:spacing w:line="240" w:lineRule="auto"/>
            </w:pPr>
            <w:r>
              <w:t>Foarte frecvente</w:t>
            </w:r>
          </w:p>
          <w:p w14:paraId="285190DF" w14:textId="77777777" w:rsidR="00C04CAD" w:rsidRDefault="00C04CAD">
            <w:pPr>
              <w:tabs>
                <w:tab w:val="clear" w:pos="567"/>
              </w:tabs>
              <w:kinsoku w:val="0"/>
              <w:overflowPunct w:val="0"/>
              <w:autoSpaceDE w:val="0"/>
              <w:autoSpaceDN w:val="0"/>
              <w:adjustRightInd w:val="0"/>
              <w:spacing w:line="240" w:lineRule="auto"/>
            </w:pPr>
          </w:p>
          <w:p w14:paraId="5C2F8CC2" w14:textId="77777777" w:rsidR="00C04CAD" w:rsidRDefault="00C04CAD">
            <w:pPr>
              <w:tabs>
                <w:tab w:val="clear" w:pos="567"/>
              </w:tabs>
              <w:kinsoku w:val="0"/>
              <w:overflowPunct w:val="0"/>
              <w:autoSpaceDE w:val="0"/>
              <w:autoSpaceDN w:val="0"/>
              <w:adjustRightInd w:val="0"/>
              <w:spacing w:line="240" w:lineRule="auto"/>
            </w:pPr>
          </w:p>
          <w:p w14:paraId="2737CED6" w14:textId="77777777" w:rsidR="00C04CAD" w:rsidRDefault="00C04CAD">
            <w:pPr>
              <w:tabs>
                <w:tab w:val="clear" w:pos="567"/>
              </w:tabs>
              <w:kinsoku w:val="0"/>
              <w:overflowPunct w:val="0"/>
              <w:autoSpaceDE w:val="0"/>
              <w:autoSpaceDN w:val="0"/>
              <w:adjustRightInd w:val="0"/>
              <w:spacing w:line="240" w:lineRule="auto"/>
            </w:pPr>
          </w:p>
          <w:p w14:paraId="2306B1D9" w14:textId="77777777" w:rsidR="00C04CAD" w:rsidRDefault="00C04CAD">
            <w:pPr>
              <w:tabs>
                <w:tab w:val="clear" w:pos="567"/>
              </w:tabs>
              <w:kinsoku w:val="0"/>
              <w:overflowPunct w:val="0"/>
              <w:autoSpaceDE w:val="0"/>
              <w:autoSpaceDN w:val="0"/>
              <w:adjustRightInd w:val="0"/>
              <w:spacing w:line="240" w:lineRule="auto"/>
            </w:pPr>
          </w:p>
          <w:p w14:paraId="52E19DF5" w14:textId="77777777" w:rsidR="00C04CAD" w:rsidRDefault="00060E34">
            <w:pPr>
              <w:tabs>
                <w:tab w:val="clear" w:pos="567"/>
              </w:tabs>
              <w:kinsoku w:val="0"/>
              <w:overflowPunct w:val="0"/>
              <w:autoSpaceDE w:val="0"/>
              <w:autoSpaceDN w:val="0"/>
              <w:adjustRightInd w:val="0"/>
              <w:spacing w:line="240" w:lineRule="auto"/>
            </w:pPr>
            <w:r>
              <w:t xml:space="preserve">Frecvente </w:t>
            </w:r>
          </w:p>
          <w:p w14:paraId="3475AED3" w14:textId="77777777" w:rsidR="00C04CAD" w:rsidRDefault="00C04CAD">
            <w:pPr>
              <w:tabs>
                <w:tab w:val="clear" w:pos="567"/>
              </w:tabs>
              <w:kinsoku w:val="0"/>
              <w:overflowPunct w:val="0"/>
              <w:autoSpaceDE w:val="0"/>
              <w:autoSpaceDN w:val="0"/>
              <w:adjustRightInd w:val="0"/>
              <w:spacing w:line="240" w:lineRule="auto"/>
            </w:pPr>
          </w:p>
          <w:p w14:paraId="21C0A0EE" w14:textId="77777777" w:rsidR="00C04CAD" w:rsidRDefault="00C04CAD">
            <w:pPr>
              <w:tabs>
                <w:tab w:val="clear" w:pos="567"/>
              </w:tabs>
              <w:kinsoku w:val="0"/>
              <w:overflowPunct w:val="0"/>
              <w:autoSpaceDE w:val="0"/>
              <w:autoSpaceDN w:val="0"/>
              <w:adjustRightInd w:val="0"/>
              <w:spacing w:line="240" w:lineRule="auto"/>
            </w:pPr>
          </w:p>
          <w:p w14:paraId="75EAA0DA" w14:textId="77777777" w:rsidR="00C04CAD" w:rsidRDefault="00C04CAD">
            <w:pPr>
              <w:tabs>
                <w:tab w:val="clear" w:pos="567"/>
              </w:tabs>
              <w:kinsoku w:val="0"/>
              <w:overflowPunct w:val="0"/>
              <w:autoSpaceDE w:val="0"/>
              <w:autoSpaceDN w:val="0"/>
              <w:adjustRightInd w:val="0"/>
              <w:spacing w:line="240" w:lineRule="auto"/>
            </w:pPr>
          </w:p>
          <w:p w14:paraId="4529B598" w14:textId="77777777" w:rsidR="00C04CAD" w:rsidRDefault="00C04CAD">
            <w:pPr>
              <w:tabs>
                <w:tab w:val="clear" w:pos="567"/>
              </w:tabs>
              <w:kinsoku w:val="0"/>
              <w:overflowPunct w:val="0"/>
              <w:autoSpaceDE w:val="0"/>
              <w:autoSpaceDN w:val="0"/>
              <w:adjustRightInd w:val="0"/>
              <w:spacing w:line="240" w:lineRule="auto"/>
            </w:pPr>
          </w:p>
          <w:p w14:paraId="6C285F5C" w14:textId="77777777" w:rsidR="00C04CAD" w:rsidRDefault="00C04CAD">
            <w:pPr>
              <w:tabs>
                <w:tab w:val="clear" w:pos="567"/>
              </w:tabs>
              <w:kinsoku w:val="0"/>
              <w:overflowPunct w:val="0"/>
              <w:autoSpaceDE w:val="0"/>
              <w:autoSpaceDN w:val="0"/>
              <w:adjustRightInd w:val="0"/>
              <w:spacing w:line="240" w:lineRule="auto"/>
            </w:pPr>
          </w:p>
          <w:p w14:paraId="63DF2FC6" w14:textId="77777777" w:rsidR="00C04CAD" w:rsidRDefault="00C04CAD">
            <w:pPr>
              <w:tabs>
                <w:tab w:val="clear" w:pos="567"/>
              </w:tabs>
              <w:kinsoku w:val="0"/>
              <w:overflowPunct w:val="0"/>
              <w:autoSpaceDE w:val="0"/>
              <w:autoSpaceDN w:val="0"/>
              <w:adjustRightInd w:val="0"/>
              <w:spacing w:line="240" w:lineRule="auto"/>
            </w:pPr>
          </w:p>
          <w:p w14:paraId="0438B9BE" w14:textId="77777777" w:rsidR="00C04CAD" w:rsidRDefault="00C04CAD">
            <w:pPr>
              <w:tabs>
                <w:tab w:val="clear" w:pos="567"/>
              </w:tabs>
              <w:kinsoku w:val="0"/>
              <w:overflowPunct w:val="0"/>
              <w:autoSpaceDE w:val="0"/>
              <w:autoSpaceDN w:val="0"/>
              <w:adjustRightInd w:val="0"/>
              <w:spacing w:line="240" w:lineRule="auto"/>
            </w:pPr>
          </w:p>
          <w:p w14:paraId="0F3A5657" w14:textId="77777777" w:rsidR="00C04CAD" w:rsidRDefault="00C04CAD">
            <w:pPr>
              <w:tabs>
                <w:tab w:val="clear" w:pos="567"/>
              </w:tabs>
              <w:kinsoku w:val="0"/>
              <w:overflowPunct w:val="0"/>
              <w:autoSpaceDE w:val="0"/>
              <w:autoSpaceDN w:val="0"/>
              <w:adjustRightInd w:val="0"/>
              <w:spacing w:line="240" w:lineRule="auto"/>
            </w:pPr>
          </w:p>
          <w:p w14:paraId="4C0EF071" w14:textId="77777777" w:rsidR="00C04CAD" w:rsidRDefault="00C04CAD">
            <w:pPr>
              <w:tabs>
                <w:tab w:val="clear" w:pos="567"/>
              </w:tabs>
              <w:kinsoku w:val="0"/>
              <w:overflowPunct w:val="0"/>
              <w:autoSpaceDE w:val="0"/>
              <w:autoSpaceDN w:val="0"/>
              <w:adjustRightInd w:val="0"/>
              <w:spacing w:line="240" w:lineRule="auto"/>
            </w:pPr>
          </w:p>
          <w:p w14:paraId="742AF8AA" w14:textId="77777777" w:rsidR="00C04CAD" w:rsidRDefault="00C04CAD">
            <w:pPr>
              <w:tabs>
                <w:tab w:val="clear" w:pos="567"/>
              </w:tabs>
              <w:kinsoku w:val="0"/>
              <w:overflowPunct w:val="0"/>
              <w:autoSpaceDE w:val="0"/>
              <w:autoSpaceDN w:val="0"/>
              <w:adjustRightInd w:val="0"/>
              <w:spacing w:line="240" w:lineRule="auto"/>
            </w:pPr>
          </w:p>
          <w:p w14:paraId="2F9274E4" w14:textId="77777777" w:rsidR="00C04CAD" w:rsidRDefault="00C04CAD">
            <w:pPr>
              <w:tabs>
                <w:tab w:val="clear" w:pos="567"/>
              </w:tabs>
              <w:kinsoku w:val="0"/>
              <w:overflowPunct w:val="0"/>
              <w:autoSpaceDE w:val="0"/>
              <w:autoSpaceDN w:val="0"/>
              <w:adjustRightInd w:val="0"/>
              <w:spacing w:line="240" w:lineRule="auto"/>
            </w:pPr>
          </w:p>
          <w:p w14:paraId="209B0E4B" w14:textId="77777777" w:rsidR="00C04CAD" w:rsidRDefault="00C04CAD">
            <w:pPr>
              <w:tabs>
                <w:tab w:val="clear" w:pos="567"/>
              </w:tabs>
              <w:kinsoku w:val="0"/>
              <w:overflowPunct w:val="0"/>
              <w:autoSpaceDE w:val="0"/>
              <w:autoSpaceDN w:val="0"/>
              <w:adjustRightInd w:val="0"/>
              <w:spacing w:line="240" w:lineRule="auto"/>
            </w:pPr>
          </w:p>
          <w:p w14:paraId="77802750" w14:textId="77777777" w:rsidR="00C04CAD" w:rsidRDefault="00C04CAD">
            <w:pPr>
              <w:tabs>
                <w:tab w:val="clear" w:pos="567"/>
              </w:tabs>
              <w:kinsoku w:val="0"/>
              <w:overflowPunct w:val="0"/>
              <w:autoSpaceDE w:val="0"/>
              <w:autoSpaceDN w:val="0"/>
              <w:adjustRightInd w:val="0"/>
              <w:spacing w:line="240" w:lineRule="auto"/>
            </w:pPr>
          </w:p>
          <w:p w14:paraId="0A7120A0" w14:textId="77777777" w:rsidR="00C04CAD" w:rsidRDefault="00C04CAD">
            <w:pPr>
              <w:tabs>
                <w:tab w:val="clear" w:pos="567"/>
              </w:tabs>
              <w:kinsoku w:val="0"/>
              <w:overflowPunct w:val="0"/>
              <w:autoSpaceDE w:val="0"/>
              <w:autoSpaceDN w:val="0"/>
              <w:adjustRightInd w:val="0"/>
              <w:spacing w:line="240" w:lineRule="auto"/>
            </w:pPr>
          </w:p>
          <w:p w14:paraId="30FD57A4"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p w14:paraId="02180D4B" w14:textId="77777777" w:rsidR="00C04CAD" w:rsidRDefault="00C04CAD">
            <w:pPr>
              <w:tabs>
                <w:tab w:val="clear" w:pos="567"/>
              </w:tabs>
              <w:kinsoku w:val="0"/>
              <w:overflowPunct w:val="0"/>
              <w:autoSpaceDE w:val="0"/>
              <w:autoSpaceDN w:val="0"/>
              <w:adjustRightInd w:val="0"/>
              <w:spacing w:line="240" w:lineRule="auto"/>
            </w:pPr>
          </w:p>
          <w:p w14:paraId="6FC29A22" w14:textId="77777777" w:rsidR="00C04CAD" w:rsidRDefault="00C04CAD">
            <w:pPr>
              <w:tabs>
                <w:tab w:val="clear" w:pos="567"/>
              </w:tabs>
              <w:kinsoku w:val="0"/>
              <w:overflowPunct w:val="0"/>
              <w:autoSpaceDE w:val="0"/>
              <w:autoSpaceDN w:val="0"/>
              <w:adjustRightInd w:val="0"/>
              <w:spacing w:line="240" w:lineRule="auto"/>
            </w:pPr>
          </w:p>
          <w:p w14:paraId="17A00AC9" w14:textId="77777777" w:rsidR="00C04CAD" w:rsidRDefault="00C04CAD">
            <w:pPr>
              <w:tabs>
                <w:tab w:val="clear" w:pos="567"/>
              </w:tabs>
              <w:kinsoku w:val="0"/>
              <w:overflowPunct w:val="0"/>
              <w:autoSpaceDE w:val="0"/>
              <w:autoSpaceDN w:val="0"/>
              <w:adjustRightInd w:val="0"/>
              <w:spacing w:line="240" w:lineRule="auto"/>
            </w:pPr>
          </w:p>
          <w:p w14:paraId="71CA71F2"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7E824234" w14:textId="77777777" w:rsidR="00C04CAD" w:rsidRDefault="00060E34">
            <w:pPr>
              <w:tabs>
                <w:tab w:val="clear" w:pos="567"/>
              </w:tabs>
              <w:kinsoku w:val="0"/>
              <w:overflowPunct w:val="0"/>
              <w:autoSpaceDE w:val="0"/>
              <w:autoSpaceDN w:val="0"/>
              <w:adjustRightInd w:val="0"/>
              <w:spacing w:line="240" w:lineRule="auto"/>
            </w:pPr>
            <w:r>
              <w:t>infecţii ale tractului respirator (inclusiv infecţii ale tractului respirator inferior şi superior, pneumonie, sinuzită, faringită, rinofaringită şi pneumonie cu virusul herpetic)</w:t>
            </w:r>
          </w:p>
          <w:p w14:paraId="6632B74E" w14:textId="77777777" w:rsidR="00C04CAD" w:rsidRDefault="00C04CAD">
            <w:pPr>
              <w:tabs>
                <w:tab w:val="clear" w:pos="567"/>
              </w:tabs>
              <w:kinsoku w:val="0"/>
              <w:overflowPunct w:val="0"/>
              <w:autoSpaceDE w:val="0"/>
              <w:autoSpaceDN w:val="0"/>
              <w:adjustRightInd w:val="0"/>
              <w:spacing w:line="240" w:lineRule="auto"/>
            </w:pPr>
          </w:p>
          <w:p w14:paraId="42AF1343" w14:textId="77777777" w:rsidR="00C04CAD" w:rsidRDefault="00060E34">
            <w:pPr>
              <w:tabs>
                <w:tab w:val="clear" w:pos="567"/>
              </w:tabs>
              <w:kinsoku w:val="0"/>
              <w:overflowPunct w:val="0"/>
              <w:autoSpaceDE w:val="0"/>
              <w:autoSpaceDN w:val="0"/>
              <w:adjustRightInd w:val="0"/>
              <w:spacing w:line="240" w:lineRule="auto"/>
            </w:pPr>
            <w:r>
              <w:t>infecţii generalizate (inclusiv sepsis, candidoză şi gripă),</w:t>
            </w:r>
          </w:p>
          <w:p w14:paraId="5182C8B5" w14:textId="77777777" w:rsidR="00C04CAD" w:rsidRDefault="00060E34">
            <w:pPr>
              <w:tabs>
                <w:tab w:val="clear" w:pos="567"/>
              </w:tabs>
              <w:kinsoku w:val="0"/>
              <w:overflowPunct w:val="0"/>
              <w:autoSpaceDE w:val="0"/>
              <w:autoSpaceDN w:val="0"/>
              <w:adjustRightInd w:val="0"/>
              <w:spacing w:line="240" w:lineRule="auto"/>
            </w:pPr>
            <w:r>
              <w:t>infecţii intestinale (inclusiv gastroenterită virală), infecţii cutanate şi ale ţesuturilor moi (inclusiv paronichie, celulită, impetigo, fasciită necrozantă şi herpes zoster),</w:t>
            </w:r>
          </w:p>
          <w:p w14:paraId="215A99A7" w14:textId="77777777" w:rsidR="00C04CAD" w:rsidRDefault="00060E34">
            <w:pPr>
              <w:tabs>
                <w:tab w:val="clear" w:pos="567"/>
              </w:tabs>
              <w:kinsoku w:val="0"/>
              <w:overflowPunct w:val="0"/>
              <w:autoSpaceDE w:val="0"/>
              <w:autoSpaceDN w:val="0"/>
              <w:adjustRightInd w:val="0"/>
              <w:spacing w:line="240" w:lineRule="auto"/>
            </w:pPr>
            <w:r>
              <w:t>infecţii ale urechii,</w:t>
            </w:r>
          </w:p>
          <w:p w14:paraId="2BC5639A" w14:textId="77777777" w:rsidR="00C04CAD" w:rsidRDefault="00060E34">
            <w:pPr>
              <w:tabs>
                <w:tab w:val="clear" w:pos="567"/>
              </w:tabs>
              <w:kinsoku w:val="0"/>
              <w:overflowPunct w:val="0"/>
              <w:autoSpaceDE w:val="0"/>
              <w:autoSpaceDN w:val="0"/>
              <w:adjustRightInd w:val="0"/>
              <w:spacing w:line="240" w:lineRule="auto"/>
            </w:pPr>
            <w:r>
              <w:t>infecţii ale cavităţii bucale (inclusiv herpes simplex, herpes bucal şi infecţii dentare),</w:t>
            </w:r>
          </w:p>
          <w:p w14:paraId="4E8ACCCF" w14:textId="77777777" w:rsidR="00C04CAD" w:rsidRDefault="00060E34">
            <w:pPr>
              <w:tabs>
                <w:tab w:val="clear" w:pos="567"/>
              </w:tabs>
              <w:kinsoku w:val="0"/>
              <w:overflowPunct w:val="0"/>
              <w:autoSpaceDE w:val="0"/>
              <w:autoSpaceDN w:val="0"/>
              <w:adjustRightInd w:val="0"/>
              <w:spacing w:line="240" w:lineRule="auto"/>
            </w:pPr>
            <w:r>
              <w:t>infecţii ale tractului genital (inclusiv vulvovaginită micotică),</w:t>
            </w:r>
          </w:p>
          <w:p w14:paraId="3DDFEE13" w14:textId="77777777" w:rsidR="00C04CAD" w:rsidRDefault="00060E34">
            <w:pPr>
              <w:tabs>
                <w:tab w:val="clear" w:pos="567"/>
              </w:tabs>
              <w:kinsoku w:val="0"/>
              <w:overflowPunct w:val="0"/>
              <w:autoSpaceDE w:val="0"/>
              <w:autoSpaceDN w:val="0"/>
              <w:adjustRightInd w:val="0"/>
              <w:spacing w:line="240" w:lineRule="auto"/>
            </w:pPr>
            <w:r>
              <w:t>infecţii ale tractului urinar (inclusiv pielonefrită),</w:t>
            </w:r>
          </w:p>
          <w:p w14:paraId="52BD36AD" w14:textId="77777777" w:rsidR="00C04CAD" w:rsidRDefault="00060E34">
            <w:pPr>
              <w:tabs>
                <w:tab w:val="clear" w:pos="567"/>
              </w:tabs>
              <w:kinsoku w:val="0"/>
              <w:overflowPunct w:val="0"/>
              <w:autoSpaceDE w:val="0"/>
              <w:autoSpaceDN w:val="0"/>
              <w:adjustRightInd w:val="0"/>
              <w:spacing w:line="240" w:lineRule="auto"/>
            </w:pPr>
            <w:r>
              <w:t>infecţii micotice,</w:t>
            </w:r>
          </w:p>
          <w:p w14:paraId="3FE77AA4" w14:textId="77777777" w:rsidR="00C04CAD" w:rsidRDefault="00060E34">
            <w:pPr>
              <w:tabs>
                <w:tab w:val="clear" w:pos="567"/>
              </w:tabs>
              <w:kinsoku w:val="0"/>
              <w:overflowPunct w:val="0"/>
              <w:autoSpaceDE w:val="0"/>
              <w:autoSpaceDN w:val="0"/>
              <w:adjustRightInd w:val="0"/>
              <w:spacing w:line="240" w:lineRule="auto"/>
            </w:pPr>
            <w:r>
              <w:t>infecţii articulare</w:t>
            </w:r>
          </w:p>
          <w:p w14:paraId="2E58BFB8" w14:textId="77777777" w:rsidR="00C04CAD" w:rsidRDefault="00C04CAD">
            <w:pPr>
              <w:tabs>
                <w:tab w:val="clear" w:pos="567"/>
              </w:tabs>
              <w:kinsoku w:val="0"/>
              <w:overflowPunct w:val="0"/>
              <w:autoSpaceDE w:val="0"/>
              <w:autoSpaceDN w:val="0"/>
              <w:adjustRightInd w:val="0"/>
              <w:spacing w:line="240" w:lineRule="auto"/>
            </w:pPr>
          </w:p>
          <w:p w14:paraId="1DBFBD07" w14:textId="77777777" w:rsidR="00C04CAD" w:rsidRDefault="00060E34">
            <w:pPr>
              <w:tabs>
                <w:tab w:val="clear" w:pos="567"/>
              </w:tabs>
              <w:kinsoku w:val="0"/>
              <w:overflowPunct w:val="0"/>
              <w:autoSpaceDE w:val="0"/>
              <w:autoSpaceDN w:val="0"/>
              <w:adjustRightInd w:val="0"/>
              <w:spacing w:line="240" w:lineRule="auto"/>
            </w:pPr>
            <w:r>
              <w:t>infecţii neurologice (inclusiv meningită virală), infecţii oportuniste şi tuberculoză (inclusiv coccidioidomicoză, histoplasmoză şi infecţii cu micobacterium avium complex),</w:t>
            </w:r>
          </w:p>
          <w:p w14:paraId="5FC37E72" w14:textId="77777777" w:rsidR="00C04CAD" w:rsidRDefault="00060E34">
            <w:pPr>
              <w:tabs>
                <w:tab w:val="clear" w:pos="567"/>
              </w:tabs>
              <w:kinsoku w:val="0"/>
              <w:overflowPunct w:val="0"/>
              <w:autoSpaceDE w:val="0"/>
              <w:autoSpaceDN w:val="0"/>
              <w:adjustRightInd w:val="0"/>
              <w:spacing w:line="240" w:lineRule="auto"/>
            </w:pPr>
            <w:r>
              <w:t>infecţii bacteriene,</w:t>
            </w:r>
          </w:p>
          <w:p w14:paraId="69D6D180" w14:textId="77777777" w:rsidR="00C04CAD" w:rsidRDefault="00060E34">
            <w:pPr>
              <w:tabs>
                <w:tab w:val="clear" w:pos="567"/>
              </w:tabs>
              <w:kinsoku w:val="0"/>
              <w:overflowPunct w:val="0"/>
              <w:autoSpaceDE w:val="0"/>
              <w:autoSpaceDN w:val="0"/>
              <w:adjustRightInd w:val="0"/>
              <w:spacing w:line="240" w:lineRule="auto"/>
            </w:pPr>
            <w:r>
              <w:t>infecţii oculare,</w:t>
            </w:r>
          </w:p>
          <w:p w14:paraId="712FFF87" w14:textId="77777777" w:rsidR="00C04CAD" w:rsidRDefault="00060E34">
            <w:pPr>
              <w:tabs>
                <w:tab w:val="clear" w:pos="567"/>
              </w:tabs>
              <w:kinsoku w:val="0"/>
              <w:overflowPunct w:val="0"/>
              <w:autoSpaceDE w:val="0"/>
              <w:autoSpaceDN w:val="0"/>
              <w:adjustRightInd w:val="0"/>
              <w:spacing w:line="240" w:lineRule="auto"/>
            </w:pPr>
            <w:r>
              <w:t>diverticulită</w:t>
            </w:r>
            <w:r>
              <w:rPr>
                <w:vertAlign w:val="superscript"/>
              </w:rPr>
              <w:t>1)</w:t>
            </w:r>
          </w:p>
          <w:p w14:paraId="596ACAB0" w14:textId="77777777" w:rsidR="00C04CAD" w:rsidRDefault="00C04CAD">
            <w:pPr>
              <w:tabs>
                <w:tab w:val="clear" w:pos="567"/>
              </w:tabs>
              <w:kinsoku w:val="0"/>
              <w:overflowPunct w:val="0"/>
              <w:autoSpaceDE w:val="0"/>
              <w:autoSpaceDN w:val="0"/>
              <w:adjustRightInd w:val="0"/>
              <w:spacing w:line="240" w:lineRule="auto"/>
            </w:pPr>
          </w:p>
        </w:tc>
      </w:tr>
      <w:tr w:rsidR="00C04CAD" w14:paraId="4D132C3E" w14:textId="77777777">
        <w:trPr>
          <w:cantSplit/>
        </w:trPr>
        <w:tc>
          <w:tcPr>
            <w:tcW w:w="2484" w:type="dxa"/>
          </w:tcPr>
          <w:p w14:paraId="0F0E599F" w14:textId="77777777" w:rsidR="00C04CAD" w:rsidRDefault="00060E34">
            <w:pPr>
              <w:tabs>
                <w:tab w:val="clear" w:pos="567"/>
              </w:tabs>
              <w:kinsoku w:val="0"/>
              <w:overflowPunct w:val="0"/>
              <w:autoSpaceDE w:val="0"/>
              <w:autoSpaceDN w:val="0"/>
              <w:adjustRightInd w:val="0"/>
              <w:spacing w:line="240" w:lineRule="auto"/>
            </w:pPr>
            <w:r>
              <w:t>Tumori maligne, benigne şi nespecificate (inclusiv chisturi şi polipi)*</w:t>
            </w:r>
          </w:p>
        </w:tc>
        <w:tc>
          <w:tcPr>
            <w:tcW w:w="1854" w:type="dxa"/>
          </w:tcPr>
          <w:p w14:paraId="3490D9D7" w14:textId="77777777" w:rsidR="00C04CAD" w:rsidRDefault="00060E34">
            <w:pPr>
              <w:tabs>
                <w:tab w:val="clear" w:pos="567"/>
              </w:tabs>
              <w:kinsoku w:val="0"/>
              <w:overflowPunct w:val="0"/>
              <w:autoSpaceDE w:val="0"/>
              <w:autoSpaceDN w:val="0"/>
              <w:adjustRightInd w:val="0"/>
              <w:spacing w:line="240" w:lineRule="auto"/>
            </w:pPr>
            <w:r>
              <w:t>Frecvente</w:t>
            </w:r>
          </w:p>
          <w:p w14:paraId="3401E5F9" w14:textId="77777777" w:rsidR="00C04CAD" w:rsidRDefault="00C04CAD">
            <w:pPr>
              <w:tabs>
                <w:tab w:val="clear" w:pos="567"/>
              </w:tabs>
              <w:kinsoku w:val="0"/>
              <w:overflowPunct w:val="0"/>
              <w:autoSpaceDE w:val="0"/>
              <w:autoSpaceDN w:val="0"/>
              <w:adjustRightInd w:val="0"/>
              <w:spacing w:line="240" w:lineRule="auto"/>
            </w:pPr>
          </w:p>
          <w:p w14:paraId="47E04544" w14:textId="77777777" w:rsidR="00C04CAD" w:rsidRDefault="00C04CAD">
            <w:pPr>
              <w:tabs>
                <w:tab w:val="clear" w:pos="567"/>
              </w:tabs>
              <w:kinsoku w:val="0"/>
              <w:overflowPunct w:val="0"/>
              <w:autoSpaceDE w:val="0"/>
              <w:autoSpaceDN w:val="0"/>
              <w:adjustRightInd w:val="0"/>
              <w:spacing w:line="240" w:lineRule="auto"/>
            </w:pPr>
          </w:p>
          <w:p w14:paraId="01CE2A4F" w14:textId="77777777" w:rsidR="00C04CAD" w:rsidRDefault="00C04CAD">
            <w:pPr>
              <w:tabs>
                <w:tab w:val="clear" w:pos="567"/>
              </w:tabs>
              <w:kinsoku w:val="0"/>
              <w:overflowPunct w:val="0"/>
              <w:autoSpaceDE w:val="0"/>
              <w:autoSpaceDN w:val="0"/>
              <w:adjustRightInd w:val="0"/>
              <w:spacing w:line="240" w:lineRule="auto"/>
            </w:pPr>
          </w:p>
          <w:p w14:paraId="5D39BBB0" w14:textId="77777777" w:rsidR="00C04CAD" w:rsidRDefault="00C04CAD">
            <w:pPr>
              <w:tabs>
                <w:tab w:val="clear" w:pos="567"/>
              </w:tabs>
              <w:kinsoku w:val="0"/>
              <w:overflowPunct w:val="0"/>
              <w:autoSpaceDE w:val="0"/>
              <w:autoSpaceDN w:val="0"/>
              <w:adjustRightInd w:val="0"/>
              <w:spacing w:line="240" w:lineRule="auto"/>
            </w:pPr>
          </w:p>
          <w:p w14:paraId="0AE2487A"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Mai puţin</w:t>
            </w:r>
          </w:p>
          <w:p w14:paraId="26032C44" w14:textId="77777777" w:rsidR="00C04CAD" w:rsidRDefault="00060E34">
            <w:pPr>
              <w:tabs>
                <w:tab w:val="clear" w:pos="567"/>
              </w:tabs>
              <w:kinsoku w:val="0"/>
              <w:overflowPunct w:val="0"/>
              <w:autoSpaceDE w:val="0"/>
              <w:autoSpaceDN w:val="0"/>
              <w:adjustRightInd w:val="0"/>
              <w:spacing w:line="240" w:lineRule="auto"/>
            </w:pPr>
            <w:r>
              <w:rPr>
                <w:rFonts w:eastAsia="TimesNewRomanPSMT"/>
              </w:rPr>
              <w:t>frecvente</w:t>
            </w:r>
          </w:p>
          <w:p w14:paraId="62C5EC2A" w14:textId="77777777" w:rsidR="00C04CAD" w:rsidRDefault="00C04CAD">
            <w:pPr>
              <w:tabs>
                <w:tab w:val="clear" w:pos="567"/>
              </w:tabs>
              <w:kinsoku w:val="0"/>
              <w:overflowPunct w:val="0"/>
              <w:autoSpaceDE w:val="0"/>
              <w:autoSpaceDN w:val="0"/>
              <w:adjustRightInd w:val="0"/>
              <w:spacing w:line="240" w:lineRule="auto"/>
            </w:pPr>
          </w:p>
          <w:p w14:paraId="5E0201B0" w14:textId="77777777" w:rsidR="00C04CAD" w:rsidRDefault="00C04CAD">
            <w:pPr>
              <w:tabs>
                <w:tab w:val="clear" w:pos="567"/>
              </w:tabs>
              <w:kinsoku w:val="0"/>
              <w:overflowPunct w:val="0"/>
              <w:autoSpaceDE w:val="0"/>
              <w:autoSpaceDN w:val="0"/>
              <w:adjustRightInd w:val="0"/>
              <w:spacing w:line="240" w:lineRule="auto"/>
            </w:pPr>
          </w:p>
          <w:p w14:paraId="0E07B580" w14:textId="77777777" w:rsidR="00C04CAD" w:rsidRDefault="00C04CAD">
            <w:pPr>
              <w:tabs>
                <w:tab w:val="clear" w:pos="567"/>
              </w:tabs>
              <w:kinsoku w:val="0"/>
              <w:overflowPunct w:val="0"/>
              <w:autoSpaceDE w:val="0"/>
              <w:autoSpaceDN w:val="0"/>
              <w:adjustRightInd w:val="0"/>
              <w:spacing w:line="240" w:lineRule="auto"/>
            </w:pPr>
          </w:p>
          <w:p w14:paraId="58CAACF1" w14:textId="77777777" w:rsidR="00C04CAD" w:rsidRDefault="00C04CAD">
            <w:pPr>
              <w:tabs>
                <w:tab w:val="clear" w:pos="567"/>
              </w:tabs>
              <w:kinsoku w:val="0"/>
              <w:overflowPunct w:val="0"/>
              <w:autoSpaceDE w:val="0"/>
              <w:autoSpaceDN w:val="0"/>
              <w:adjustRightInd w:val="0"/>
              <w:spacing w:line="240" w:lineRule="auto"/>
            </w:pPr>
          </w:p>
          <w:p w14:paraId="7259714A" w14:textId="77777777" w:rsidR="00C04CAD" w:rsidRDefault="00060E34">
            <w:pPr>
              <w:tabs>
                <w:tab w:val="clear" w:pos="567"/>
              </w:tabs>
              <w:kinsoku w:val="0"/>
              <w:overflowPunct w:val="0"/>
              <w:autoSpaceDE w:val="0"/>
              <w:autoSpaceDN w:val="0"/>
              <w:adjustRightInd w:val="0"/>
              <w:spacing w:line="240" w:lineRule="auto"/>
            </w:pPr>
            <w:r>
              <w:t>Rare</w:t>
            </w:r>
          </w:p>
          <w:p w14:paraId="6C5C189E" w14:textId="77777777" w:rsidR="00C04CAD" w:rsidRDefault="00C04CAD">
            <w:pPr>
              <w:tabs>
                <w:tab w:val="clear" w:pos="567"/>
              </w:tabs>
              <w:kinsoku w:val="0"/>
              <w:overflowPunct w:val="0"/>
              <w:autoSpaceDE w:val="0"/>
              <w:autoSpaceDN w:val="0"/>
              <w:adjustRightInd w:val="0"/>
              <w:spacing w:line="240" w:lineRule="auto"/>
            </w:pPr>
          </w:p>
          <w:p w14:paraId="2429659A" w14:textId="77777777" w:rsidR="00C04CAD" w:rsidRDefault="00C04CAD">
            <w:pPr>
              <w:tabs>
                <w:tab w:val="clear" w:pos="567"/>
              </w:tabs>
              <w:kinsoku w:val="0"/>
              <w:overflowPunct w:val="0"/>
              <w:autoSpaceDE w:val="0"/>
              <w:autoSpaceDN w:val="0"/>
              <w:adjustRightInd w:val="0"/>
              <w:spacing w:line="240" w:lineRule="auto"/>
            </w:pPr>
          </w:p>
          <w:p w14:paraId="632B96B1" w14:textId="77777777" w:rsidR="00C04CAD" w:rsidRDefault="00060E34">
            <w:pPr>
              <w:tabs>
                <w:tab w:val="clear" w:pos="567"/>
              </w:tabs>
              <w:kinsoku w:val="0"/>
              <w:overflowPunct w:val="0"/>
              <w:autoSpaceDE w:val="0"/>
              <w:autoSpaceDN w:val="0"/>
              <w:adjustRightInd w:val="0"/>
              <w:spacing w:line="240" w:lineRule="auto"/>
            </w:pPr>
            <w:r>
              <w:t>Necunoscută</w:t>
            </w:r>
          </w:p>
        </w:tc>
        <w:tc>
          <w:tcPr>
            <w:tcW w:w="4615" w:type="dxa"/>
          </w:tcPr>
          <w:p w14:paraId="1A40E4A9" w14:textId="77777777" w:rsidR="00C04CAD" w:rsidRDefault="00060E34">
            <w:pPr>
              <w:tabs>
                <w:tab w:val="clear" w:pos="567"/>
              </w:tabs>
              <w:kinsoku w:val="0"/>
              <w:overflowPunct w:val="0"/>
              <w:autoSpaceDE w:val="0"/>
              <w:autoSpaceDN w:val="0"/>
              <w:adjustRightInd w:val="0"/>
              <w:spacing w:line="240" w:lineRule="auto"/>
            </w:pPr>
            <w:r>
              <w:t>cancer cutanat cu excepţia melanomului (inclusiv carcinom cu celule bazale şi carcinom cu celule scuamoase),</w:t>
            </w:r>
          </w:p>
          <w:p w14:paraId="4690F180" w14:textId="77777777" w:rsidR="00C04CAD" w:rsidRDefault="00060E34">
            <w:pPr>
              <w:tabs>
                <w:tab w:val="clear" w:pos="567"/>
              </w:tabs>
              <w:kinsoku w:val="0"/>
              <w:overflowPunct w:val="0"/>
              <w:autoSpaceDE w:val="0"/>
              <w:autoSpaceDN w:val="0"/>
              <w:adjustRightInd w:val="0"/>
              <w:spacing w:line="240" w:lineRule="auto"/>
            </w:pPr>
            <w:r>
              <w:t>tumori benigne</w:t>
            </w:r>
          </w:p>
          <w:p w14:paraId="418D87A1" w14:textId="77777777" w:rsidR="00C04CAD" w:rsidRDefault="00C04CAD">
            <w:pPr>
              <w:tabs>
                <w:tab w:val="clear" w:pos="567"/>
              </w:tabs>
              <w:kinsoku w:val="0"/>
              <w:overflowPunct w:val="0"/>
              <w:autoSpaceDE w:val="0"/>
              <w:autoSpaceDN w:val="0"/>
              <w:adjustRightInd w:val="0"/>
              <w:spacing w:line="240" w:lineRule="auto"/>
            </w:pPr>
          </w:p>
          <w:p w14:paraId="6D98F3F1" w14:textId="77777777" w:rsidR="00C04CAD" w:rsidRDefault="00060E34">
            <w:pPr>
              <w:tabs>
                <w:tab w:val="clear" w:pos="567"/>
              </w:tabs>
              <w:kinsoku w:val="0"/>
              <w:overflowPunct w:val="0"/>
              <w:autoSpaceDE w:val="0"/>
              <w:autoSpaceDN w:val="0"/>
              <w:adjustRightInd w:val="0"/>
              <w:spacing w:line="240" w:lineRule="auto"/>
            </w:pPr>
            <w:r>
              <w:t>limfom**,</w:t>
            </w:r>
          </w:p>
          <w:p w14:paraId="1FD35732" w14:textId="77777777" w:rsidR="00C04CAD" w:rsidRDefault="00060E34">
            <w:pPr>
              <w:tabs>
                <w:tab w:val="clear" w:pos="567"/>
              </w:tabs>
              <w:kinsoku w:val="0"/>
              <w:overflowPunct w:val="0"/>
              <w:autoSpaceDE w:val="0"/>
              <w:autoSpaceDN w:val="0"/>
              <w:adjustRightInd w:val="0"/>
              <w:spacing w:line="240" w:lineRule="auto"/>
            </w:pPr>
            <w:r>
              <w:t xml:space="preserve">tumori maligne solide ale organelor (inclusiv cancer de sân, cancer pulmonar şi cancer tiroidian), </w:t>
            </w:r>
          </w:p>
          <w:p w14:paraId="09C4C959" w14:textId="77777777" w:rsidR="00C04CAD" w:rsidRDefault="00060E34">
            <w:pPr>
              <w:tabs>
                <w:tab w:val="clear" w:pos="567"/>
              </w:tabs>
              <w:kinsoku w:val="0"/>
              <w:overflowPunct w:val="0"/>
              <w:autoSpaceDE w:val="0"/>
              <w:autoSpaceDN w:val="0"/>
              <w:adjustRightInd w:val="0"/>
              <w:spacing w:line="240" w:lineRule="auto"/>
            </w:pPr>
            <w:r>
              <w:t>melanom**</w:t>
            </w:r>
          </w:p>
          <w:p w14:paraId="5D6D06F0" w14:textId="77777777" w:rsidR="00C04CAD" w:rsidRDefault="00C04CAD">
            <w:pPr>
              <w:tabs>
                <w:tab w:val="clear" w:pos="567"/>
              </w:tabs>
              <w:kinsoku w:val="0"/>
              <w:overflowPunct w:val="0"/>
              <w:autoSpaceDE w:val="0"/>
              <w:autoSpaceDN w:val="0"/>
              <w:adjustRightInd w:val="0"/>
              <w:spacing w:line="240" w:lineRule="auto"/>
            </w:pPr>
          </w:p>
          <w:p w14:paraId="3AB01A73" w14:textId="77777777" w:rsidR="00C04CAD" w:rsidRDefault="00060E34">
            <w:pPr>
              <w:tabs>
                <w:tab w:val="clear" w:pos="567"/>
              </w:tabs>
              <w:kinsoku w:val="0"/>
              <w:overflowPunct w:val="0"/>
              <w:autoSpaceDE w:val="0"/>
              <w:autoSpaceDN w:val="0"/>
              <w:adjustRightInd w:val="0"/>
              <w:spacing w:line="240" w:lineRule="auto"/>
            </w:pPr>
            <w:r>
              <w:t>leucemie</w:t>
            </w:r>
            <w:r>
              <w:rPr>
                <w:vertAlign w:val="superscript"/>
              </w:rPr>
              <w:t>1)</w:t>
            </w:r>
          </w:p>
          <w:p w14:paraId="10F391E2" w14:textId="77777777" w:rsidR="00C04CAD" w:rsidRDefault="00C04CAD">
            <w:pPr>
              <w:tabs>
                <w:tab w:val="clear" w:pos="567"/>
              </w:tabs>
              <w:kinsoku w:val="0"/>
              <w:overflowPunct w:val="0"/>
              <w:autoSpaceDE w:val="0"/>
              <w:autoSpaceDN w:val="0"/>
              <w:adjustRightInd w:val="0"/>
              <w:spacing w:line="240" w:lineRule="auto"/>
            </w:pPr>
          </w:p>
          <w:p w14:paraId="6B30585A" w14:textId="77777777" w:rsidR="00C04CAD" w:rsidRDefault="00C04CAD">
            <w:pPr>
              <w:tabs>
                <w:tab w:val="clear" w:pos="567"/>
              </w:tabs>
              <w:kinsoku w:val="0"/>
              <w:overflowPunct w:val="0"/>
              <w:autoSpaceDE w:val="0"/>
              <w:autoSpaceDN w:val="0"/>
              <w:adjustRightInd w:val="0"/>
              <w:spacing w:line="240" w:lineRule="auto"/>
            </w:pPr>
          </w:p>
          <w:p w14:paraId="38BA58F3" w14:textId="77777777" w:rsidR="00C04CAD" w:rsidRDefault="00060E34">
            <w:pPr>
              <w:tabs>
                <w:tab w:val="clear" w:pos="567"/>
              </w:tabs>
              <w:kinsoku w:val="0"/>
              <w:overflowPunct w:val="0"/>
              <w:autoSpaceDE w:val="0"/>
              <w:autoSpaceDN w:val="0"/>
              <w:adjustRightInd w:val="0"/>
              <w:spacing w:line="240" w:lineRule="auto"/>
            </w:pPr>
            <w:r>
              <w:t>limfom hepatosplenic cu celule T</w:t>
            </w:r>
            <w:r>
              <w:rPr>
                <w:vertAlign w:val="superscript"/>
              </w:rPr>
              <w:t>1)</w:t>
            </w:r>
            <w:r>
              <w:t xml:space="preserve">, </w:t>
            </w:r>
          </w:p>
          <w:p w14:paraId="5FF33D9D" w14:textId="77777777" w:rsidR="00C04CAD" w:rsidRDefault="00060E34">
            <w:pPr>
              <w:tabs>
                <w:tab w:val="clear" w:pos="567"/>
              </w:tabs>
              <w:kinsoku w:val="0"/>
              <w:overflowPunct w:val="0"/>
              <w:autoSpaceDE w:val="0"/>
              <w:autoSpaceDN w:val="0"/>
              <w:adjustRightInd w:val="0"/>
              <w:spacing w:line="240" w:lineRule="auto"/>
            </w:pPr>
            <w:r>
              <w:t>carcinom cu celule Merkel (carcinom neuroendocrin cutanat)</w:t>
            </w:r>
            <w:r>
              <w:rPr>
                <w:vertAlign w:val="superscript"/>
              </w:rPr>
              <w:t>1)</w:t>
            </w:r>
            <w:r>
              <w:t>,</w:t>
            </w:r>
          </w:p>
          <w:p w14:paraId="118F99FD" w14:textId="77777777" w:rsidR="00C04CAD" w:rsidRDefault="00060E34">
            <w:pPr>
              <w:tabs>
                <w:tab w:val="clear" w:pos="567"/>
              </w:tabs>
              <w:kinsoku w:val="0"/>
              <w:overflowPunct w:val="0"/>
              <w:autoSpaceDE w:val="0"/>
              <w:autoSpaceDN w:val="0"/>
              <w:adjustRightInd w:val="0"/>
              <w:spacing w:line="240" w:lineRule="auto"/>
            </w:pPr>
            <w:r>
              <w:t>Sarcom Kaposi</w:t>
            </w:r>
          </w:p>
        </w:tc>
      </w:tr>
      <w:tr w:rsidR="00C04CAD" w14:paraId="5671D558" w14:textId="77777777">
        <w:trPr>
          <w:cantSplit/>
        </w:trPr>
        <w:tc>
          <w:tcPr>
            <w:tcW w:w="2484" w:type="dxa"/>
          </w:tcPr>
          <w:p w14:paraId="73951C3D" w14:textId="77777777" w:rsidR="00C04CAD" w:rsidRDefault="00060E34">
            <w:pPr>
              <w:tabs>
                <w:tab w:val="clear" w:pos="567"/>
              </w:tabs>
              <w:kinsoku w:val="0"/>
              <w:overflowPunct w:val="0"/>
              <w:autoSpaceDE w:val="0"/>
              <w:autoSpaceDN w:val="0"/>
              <w:adjustRightInd w:val="0"/>
              <w:spacing w:line="240" w:lineRule="auto"/>
            </w:pPr>
            <w:r>
              <w:t>Tulburări hematologice şi limfatice*</w:t>
            </w:r>
          </w:p>
        </w:tc>
        <w:tc>
          <w:tcPr>
            <w:tcW w:w="1854" w:type="dxa"/>
          </w:tcPr>
          <w:p w14:paraId="3A694892" w14:textId="77777777" w:rsidR="00C04CAD" w:rsidRDefault="00060E34">
            <w:pPr>
              <w:tabs>
                <w:tab w:val="clear" w:pos="567"/>
              </w:tabs>
              <w:kinsoku w:val="0"/>
              <w:overflowPunct w:val="0"/>
              <w:autoSpaceDE w:val="0"/>
              <w:autoSpaceDN w:val="0"/>
              <w:adjustRightInd w:val="0"/>
              <w:spacing w:line="240" w:lineRule="auto"/>
            </w:pPr>
            <w:r>
              <w:t>Foarte frecvente</w:t>
            </w:r>
          </w:p>
          <w:p w14:paraId="7411DEFB" w14:textId="77777777" w:rsidR="00C04CAD" w:rsidRDefault="00C04CAD">
            <w:pPr>
              <w:tabs>
                <w:tab w:val="clear" w:pos="567"/>
              </w:tabs>
              <w:kinsoku w:val="0"/>
              <w:overflowPunct w:val="0"/>
              <w:autoSpaceDE w:val="0"/>
              <w:autoSpaceDN w:val="0"/>
              <w:adjustRightInd w:val="0"/>
              <w:spacing w:line="240" w:lineRule="auto"/>
            </w:pPr>
          </w:p>
          <w:p w14:paraId="6CA42A22" w14:textId="77777777" w:rsidR="00C04CAD" w:rsidRDefault="00C04CAD">
            <w:pPr>
              <w:tabs>
                <w:tab w:val="clear" w:pos="567"/>
              </w:tabs>
              <w:kinsoku w:val="0"/>
              <w:overflowPunct w:val="0"/>
              <w:autoSpaceDE w:val="0"/>
              <w:autoSpaceDN w:val="0"/>
              <w:adjustRightInd w:val="0"/>
              <w:spacing w:line="240" w:lineRule="auto"/>
            </w:pPr>
          </w:p>
          <w:p w14:paraId="70F14A5E" w14:textId="77777777" w:rsidR="00C04CAD" w:rsidRDefault="00C04CAD">
            <w:pPr>
              <w:tabs>
                <w:tab w:val="clear" w:pos="567"/>
              </w:tabs>
              <w:kinsoku w:val="0"/>
              <w:overflowPunct w:val="0"/>
              <w:autoSpaceDE w:val="0"/>
              <w:autoSpaceDN w:val="0"/>
              <w:adjustRightInd w:val="0"/>
              <w:spacing w:line="240" w:lineRule="auto"/>
            </w:pPr>
          </w:p>
          <w:p w14:paraId="73BEE744" w14:textId="77777777" w:rsidR="00C04CAD" w:rsidRDefault="00C04CAD">
            <w:pPr>
              <w:tabs>
                <w:tab w:val="clear" w:pos="567"/>
              </w:tabs>
              <w:kinsoku w:val="0"/>
              <w:overflowPunct w:val="0"/>
              <w:autoSpaceDE w:val="0"/>
              <w:autoSpaceDN w:val="0"/>
              <w:adjustRightInd w:val="0"/>
              <w:spacing w:line="240" w:lineRule="auto"/>
            </w:pPr>
          </w:p>
          <w:p w14:paraId="7DBB03ED" w14:textId="77777777" w:rsidR="00C04CAD" w:rsidRDefault="00060E34">
            <w:pPr>
              <w:tabs>
                <w:tab w:val="clear" w:pos="567"/>
              </w:tabs>
              <w:kinsoku w:val="0"/>
              <w:overflowPunct w:val="0"/>
              <w:autoSpaceDE w:val="0"/>
              <w:autoSpaceDN w:val="0"/>
              <w:adjustRightInd w:val="0"/>
              <w:spacing w:line="240" w:lineRule="auto"/>
            </w:pPr>
            <w:r>
              <w:t>Frecvente</w:t>
            </w:r>
          </w:p>
          <w:p w14:paraId="0A928E6A" w14:textId="77777777" w:rsidR="00C04CAD" w:rsidRDefault="00C04CAD">
            <w:pPr>
              <w:tabs>
                <w:tab w:val="clear" w:pos="567"/>
              </w:tabs>
              <w:kinsoku w:val="0"/>
              <w:overflowPunct w:val="0"/>
              <w:autoSpaceDE w:val="0"/>
              <w:autoSpaceDN w:val="0"/>
              <w:adjustRightInd w:val="0"/>
              <w:spacing w:line="240" w:lineRule="auto"/>
            </w:pPr>
          </w:p>
          <w:p w14:paraId="336E40F7" w14:textId="77777777" w:rsidR="00C04CAD" w:rsidRDefault="00C04CAD">
            <w:pPr>
              <w:tabs>
                <w:tab w:val="clear" w:pos="567"/>
              </w:tabs>
              <w:kinsoku w:val="0"/>
              <w:overflowPunct w:val="0"/>
              <w:autoSpaceDE w:val="0"/>
              <w:autoSpaceDN w:val="0"/>
              <w:adjustRightInd w:val="0"/>
              <w:spacing w:line="240" w:lineRule="auto"/>
            </w:pPr>
          </w:p>
          <w:p w14:paraId="27BF1002" w14:textId="77777777" w:rsidR="00C04CAD" w:rsidRDefault="00060E34">
            <w:pPr>
              <w:tabs>
                <w:tab w:val="clear" w:pos="567"/>
              </w:tabs>
              <w:kinsoku w:val="0"/>
              <w:overflowPunct w:val="0"/>
              <w:autoSpaceDE w:val="0"/>
              <w:autoSpaceDN w:val="0"/>
              <w:adjustRightInd w:val="0"/>
              <w:spacing w:line="240" w:lineRule="auto"/>
            </w:pPr>
            <w:r>
              <w:t>Mai puţin</w:t>
            </w:r>
          </w:p>
          <w:p w14:paraId="67D5F31E" w14:textId="77777777" w:rsidR="00C04CAD" w:rsidRDefault="00060E34">
            <w:pPr>
              <w:tabs>
                <w:tab w:val="clear" w:pos="567"/>
              </w:tabs>
              <w:kinsoku w:val="0"/>
              <w:overflowPunct w:val="0"/>
              <w:autoSpaceDE w:val="0"/>
              <w:autoSpaceDN w:val="0"/>
              <w:adjustRightInd w:val="0"/>
              <w:spacing w:line="240" w:lineRule="auto"/>
            </w:pPr>
            <w:r>
              <w:t xml:space="preserve">frecvente </w:t>
            </w:r>
          </w:p>
          <w:p w14:paraId="15DCB04D" w14:textId="77777777" w:rsidR="00C04CAD" w:rsidRDefault="00C04CAD">
            <w:pPr>
              <w:tabs>
                <w:tab w:val="clear" w:pos="567"/>
              </w:tabs>
              <w:kinsoku w:val="0"/>
              <w:overflowPunct w:val="0"/>
              <w:autoSpaceDE w:val="0"/>
              <w:autoSpaceDN w:val="0"/>
              <w:adjustRightInd w:val="0"/>
              <w:spacing w:line="240" w:lineRule="auto"/>
            </w:pPr>
          </w:p>
          <w:p w14:paraId="4E642AC0" w14:textId="77777777" w:rsidR="00C04CAD" w:rsidRDefault="00060E34">
            <w:pPr>
              <w:tabs>
                <w:tab w:val="clear" w:pos="567"/>
              </w:tabs>
              <w:kinsoku w:val="0"/>
              <w:overflowPunct w:val="0"/>
              <w:autoSpaceDE w:val="0"/>
              <w:autoSpaceDN w:val="0"/>
              <w:adjustRightInd w:val="0"/>
              <w:spacing w:line="240" w:lineRule="auto"/>
            </w:pPr>
            <w:r>
              <w:t xml:space="preserve">Rare </w:t>
            </w:r>
          </w:p>
        </w:tc>
        <w:tc>
          <w:tcPr>
            <w:tcW w:w="4615" w:type="dxa"/>
          </w:tcPr>
          <w:p w14:paraId="73C8EB1A" w14:textId="77777777" w:rsidR="00C04CAD" w:rsidRDefault="00060E34">
            <w:pPr>
              <w:tabs>
                <w:tab w:val="clear" w:pos="567"/>
              </w:tabs>
              <w:kinsoku w:val="0"/>
              <w:overflowPunct w:val="0"/>
              <w:autoSpaceDE w:val="0"/>
              <w:autoSpaceDN w:val="0"/>
              <w:adjustRightInd w:val="0"/>
              <w:spacing w:line="240" w:lineRule="auto"/>
            </w:pPr>
            <w:r>
              <w:t>leucopenie, (inclusiv neutropenie şi agranulocitoză),</w:t>
            </w:r>
          </w:p>
          <w:p w14:paraId="7DF03F19" w14:textId="77777777" w:rsidR="00C04CAD" w:rsidRDefault="00060E34">
            <w:pPr>
              <w:tabs>
                <w:tab w:val="clear" w:pos="567"/>
              </w:tabs>
              <w:kinsoku w:val="0"/>
              <w:overflowPunct w:val="0"/>
              <w:autoSpaceDE w:val="0"/>
              <w:autoSpaceDN w:val="0"/>
              <w:adjustRightInd w:val="0"/>
              <w:spacing w:line="240" w:lineRule="auto"/>
            </w:pPr>
            <w:r>
              <w:t>anemie</w:t>
            </w:r>
          </w:p>
          <w:p w14:paraId="04B1AFA0" w14:textId="77777777" w:rsidR="00C04CAD" w:rsidRDefault="00C04CAD">
            <w:pPr>
              <w:tabs>
                <w:tab w:val="clear" w:pos="567"/>
              </w:tabs>
              <w:kinsoku w:val="0"/>
              <w:overflowPunct w:val="0"/>
              <w:autoSpaceDE w:val="0"/>
              <w:autoSpaceDN w:val="0"/>
              <w:adjustRightInd w:val="0"/>
              <w:spacing w:line="240" w:lineRule="auto"/>
            </w:pPr>
          </w:p>
          <w:p w14:paraId="2FAB453F" w14:textId="77777777" w:rsidR="00C04CAD" w:rsidRDefault="00C04CAD">
            <w:pPr>
              <w:tabs>
                <w:tab w:val="clear" w:pos="567"/>
              </w:tabs>
              <w:kinsoku w:val="0"/>
              <w:overflowPunct w:val="0"/>
              <w:autoSpaceDE w:val="0"/>
              <w:autoSpaceDN w:val="0"/>
              <w:adjustRightInd w:val="0"/>
              <w:spacing w:line="240" w:lineRule="auto"/>
            </w:pPr>
          </w:p>
          <w:p w14:paraId="588C5D99" w14:textId="77777777" w:rsidR="00C04CAD" w:rsidRDefault="00060E34">
            <w:pPr>
              <w:tabs>
                <w:tab w:val="clear" w:pos="567"/>
              </w:tabs>
              <w:kinsoku w:val="0"/>
              <w:overflowPunct w:val="0"/>
              <w:autoSpaceDE w:val="0"/>
              <w:autoSpaceDN w:val="0"/>
              <w:adjustRightInd w:val="0"/>
              <w:spacing w:line="240" w:lineRule="auto"/>
            </w:pPr>
            <w:r>
              <w:t>leucocitoză,</w:t>
            </w:r>
          </w:p>
          <w:p w14:paraId="1BEF9D03" w14:textId="77777777" w:rsidR="00C04CAD" w:rsidRDefault="00060E34">
            <w:pPr>
              <w:tabs>
                <w:tab w:val="clear" w:pos="567"/>
              </w:tabs>
              <w:kinsoku w:val="0"/>
              <w:overflowPunct w:val="0"/>
              <w:autoSpaceDE w:val="0"/>
              <w:autoSpaceDN w:val="0"/>
              <w:adjustRightInd w:val="0"/>
              <w:spacing w:line="240" w:lineRule="auto"/>
            </w:pPr>
            <w:r>
              <w:t>trombocitopenie</w:t>
            </w:r>
          </w:p>
          <w:p w14:paraId="52673B2E" w14:textId="77777777" w:rsidR="00C04CAD" w:rsidRDefault="00C04CAD">
            <w:pPr>
              <w:tabs>
                <w:tab w:val="clear" w:pos="567"/>
              </w:tabs>
              <w:kinsoku w:val="0"/>
              <w:overflowPunct w:val="0"/>
              <w:autoSpaceDE w:val="0"/>
              <w:autoSpaceDN w:val="0"/>
              <w:adjustRightInd w:val="0"/>
              <w:spacing w:line="240" w:lineRule="auto"/>
            </w:pPr>
          </w:p>
          <w:p w14:paraId="5D562B4D" w14:textId="77777777" w:rsidR="00C04CAD" w:rsidRDefault="00060E34">
            <w:pPr>
              <w:tabs>
                <w:tab w:val="clear" w:pos="567"/>
              </w:tabs>
              <w:kinsoku w:val="0"/>
              <w:overflowPunct w:val="0"/>
              <w:autoSpaceDE w:val="0"/>
              <w:autoSpaceDN w:val="0"/>
              <w:adjustRightInd w:val="0"/>
              <w:spacing w:line="240" w:lineRule="auto"/>
            </w:pPr>
            <w:r>
              <w:t>purpură trombocitopenică idiopatică</w:t>
            </w:r>
          </w:p>
          <w:p w14:paraId="4DC80FC6" w14:textId="77777777" w:rsidR="00C04CAD" w:rsidRDefault="00C04CAD">
            <w:pPr>
              <w:tabs>
                <w:tab w:val="clear" w:pos="567"/>
              </w:tabs>
              <w:kinsoku w:val="0"/>
              <w:overflowPunct w:val="0"/>
              <w:autoSpaceDE w:val="0"/>
              <w:autoSpaceDN w:val="0"/>
              <w:adjustRightInd w:val="0"/>
              <w:spacing w:line="240" w:lineRule="auto"/>
            </w:pPr>
          </w:p>
          <w:p w14:paraId="0F1200DD" w14:textId="77777777" w:rsidR="00C04CAD" w:rsidRDefault="00C04CAD">
            <w:pPr>
              <w:tabs>
                <w:tab w:val="clear" w:pos="567"/>
              </w:tabs>
              <w:kinsoku w:val="0"/>
              <w:overflowPunct w:val="0"/>
              <w:autoSpaceDE w:val="0"/>
              <w:autoSpaceDN w:val="0"/>
              <w:adjustRightInd w:val="0"/>
              <w:spacing w:line="240" w:lineRule="auto"/>
            </w:pPr>
          </w:p>
          <w:p w14:paraId="40B7E145" w14:textId="77777777" w:rsidR="00C04CAD" w:rsidRDefault="00060E34">
            <w:pPr>
              <w:tabs>
                <w:tab w:val="clear" w:pos="567"/>
              </w:tabs>
              <w:kinsoku w:val="0"/>
              <w:overflowPunct w:val="0"/>
              <w:autoSpaceDE w:val="0"/>
              <w:autoSpaceDN w:val="0"/>
              <w:adjustRightInd w:val="0"/>
              <w:spacing w:line="240" w:lineRule="auto"/>
            </w:pPr>
            <w:r>
              <w:t xml:space="preserve">pancitopenie </w:t>
            </w:r>
          </w:p>
          <w:p w14:paraId="6949FCBD" w14:textId="77777777" w:rsidR="00C04CAD" w:rsidRDefault="00C04CAD">
            <w:pPr>
              <w:tabs>
                <w:tab w:val="clear" w:pos="567"/>
              </w:tabs>
              <w:kinsoku w:val="0"/>
              <w:overflowPunct w:val="0"/>
              <w:autoSpaceDE w:val="0"/>
              <w:autoSpaceDN w:val="0"/>
              <w:adjustRightInd w:val="0"/>
              <w:spacing w:line="240" w:lineRule="auto"/>
            </w:pPr>
          </w:p>
        </w:tc>
      </w:tr>
      <w:tr w:rsidR="00C04CAD" w14:paraId="3A0DEE81" w14:textId="77777777">
        <w:trPr>
          <w:cantSplit/>
        </w:trPr>
        <w:tc>
          <w:tcPr>
            <w:tcW w:w="2484" w:type="dxa"/>
          </w:tcPr>
          <w:p w14:paraId="68128661" w14:textId="77777777" w:rsidR="00C04CAD" w:rsidRDefault="00060E34">
            <w:pPr>
              <w:tabs>
                <w:tab w:val="clear" w:pos="567"/>
              </w:tabs>
              <w:kinsoku w:val="0"/>
              <w:overflowPunct w:val="0"/>
              <w:autoSpaceDE w:val="0"/>
              <w:autoSpaceDN w:val="0"/>
              <w:adjustRightInd w:val="0"/>
              <w:spacing w:line="240" w:lineRule="auto"/>
            </w:pPr>
            <w:r>
              <w:t>Tulburări ale sistemului</w:t>
            </w:r>
          </w:p>
          <w:p w14:paraId="29BA2948" w14:textId="77777777" w:rsidR="00C04CAD" w:rsidRDefault="00060E34">
            <w:pPr>
              <w:tabs>
                <w:tab w:val="clear" w:pos="567"/>
              </w:tabs>
              <w:kinsoku w:val="0"/>
              <w:overflowPunct w:val="0"/>
              <w:autoSpaceDE w:val="0"/>
              <w:autoSpaceDN w:val="0"/>
              <w:adjustRightInd w:val="0"/>
              <w:spacing w:line="240" w:lineRule="auto"/>
            </w:pPr>
            <w:r>
              <w:t>imunitar*</w:t>
            </w:r>
          </w:p>
        </w:tc>
        <w:tc>
          <w:tcPr>
            <w:tcW w:w="1854" w:type="dxa"/>
          </w:tcPr>
          <w:p w14:paraId="65CE742A" w14:textId="77777777" w:rsidR="00C04CAD" w:rsidRDefault="00060E34">
            <w:pPr>
              <w:tabs>
                <w:tab w:val="clear" w:pos="567"/>
              </w:tabs>
              <w:kinsoku w:val="0"/>
              <w:overflowPunct w:val="0"/>
              <w:autoSpaceDE w:val="0"/>
              <w:autoSpaceDN w:val="0"/>
              <w:adjustRightInd w:val="0"/>
              <w:spacing w:line="240" w:lineRule="auto"/>
            </w:pPr>
            <w:r>
              <w:t>Frecvente</w:t>
            </w:r>
          </w:p>
          <w:p w14:paraId="3C4B5443" w14:textId="77777777" w:rsidR="00C04CAD" w:rsidRDefault="00C04CAD">
            <w:pPr>
              <w:tabs>
                <w:tab w:val="clear" w:pos="567"/>
              </w:tabs>
              <w:kinsoku w:val="0"/>
              <w:overflowPunct w:val="0"/>
              <w:autoSpaceDE w:val="0"/>
              <w:autoSpaceDN w:val="0"/>
              <w:adjustRightInd w:val="0"/>
              <w:spacing w:line="240" w:lineRule="auto"/>
            </w:pPr>
          </w:p>
          <w:p w14:paraId="30EC627C" w14:textId="77777777" w:rsidR="00C04CAD" w:rsidRDefault="00C04CAD">
            <w:pPr>
              <w:tabs>
                <w:tab w:val="clear" w:pos="567"/>
              </w:tabs>
              <w:kinsoku w:val="0"/>
              <w:overflowPunct w:val="0"/>
              <w:autoSpaceDE w:val="0"/>
              <w:autoSpaceDN w:val="0"/>
              <w:adjustRightInd w:val="0"/>
              <w:spacing w:line="240" w:lineRule="auto"/>
            </w:pPr>
          </w:p>
          <w:p w14:paraId="778B0835" w14:textId="77777777" w:rsidR="00C04CAD" w:rsidRDefault="00060E34">
            <w:pPr>
              <w:tabs>
                <w:tab w:val="clear" w:pos="567"/>
              </w:tabs>
              <w:kinsoku w:val="0"/>
              <w:overflowPunct w:val="0"/>
              <w:autoSpaceDE w:val="0"/>
              <w:autoSpaceDN w:val="0"/>
              <w:adjustRightInd w:val="0"/>
              <w:spacing w:line="240" w:lineRule="auto"/>
            </w:pPr>
            <w:r>
              <w:t>Mai puţin frecvente</w:t>
            </w:r>
          </w:p>
          <w:p w14:paraId="2BC6DF4D" w14:textId="77777777" w:rsidR="00C04CAD" w:rsidRDefault="00C04CAD">
            <w:pPr>
              <w:tabs>
                <w:tab w:val="clear" w:pos="567"/>
              </w:tabs>
              <w:kinsoku w:val="0"/>
              <w:overflowPunct w:val="0"/>
              <w:autoSpaceDE w:val="0"/>
              <w:autoSpaceDN w:val="0"/>
              <w:adjustRightInd w:val="0"/>
              <w:spacing w:line="240" w:lineRule="auto"/>
            </w:pPr>
          </w:p>
          <w:p w14:paraId="0771652B" w14:textId="77777777" w:rsidR="00C04CAD" w:rsidRDefault="00C04CAD">
            <w:pPr>
              <w:tabs>
                <w:tab w:val="clear" w:pos="567"/>
              </w:tabs>
              <w:kinsoku w:val="0"/>
              <w:overflowPunct w:val="0"/>
              <w:autoSpaceDE w:val="0"/>
              <w:autoSpaceDN w:val="0"/>
              <w:adjustRightInd w:val="0"/>
              <w:spacing w:line="240" w:lineRule="auto"/>
            </w:pPr>
          </w:p>
          <w:p w14:paraId="2442CE15" w14:textId="77777777" w:rsidR="00C04CAD" w:rsidRDefault="00060E34">
            <w:pPr>
              <w:tabs>
                <w:tab w:val="clear" w:pos="567"/>
              </w:tabs>
              <w:kinsoku w:val="0"/>
              <w:overflowPunct w:val="0"/>
              <w:autoSpaceDE w:val="0"/>
              <w:autoSpaceDN w:val="0"/>
              <w:adjustRightInd w:val="0"/>
              <w:spacing w:line="240" w:lineRule="auto"/>
            </w:pPr>
            <w:r>
              <w:t xml:space="preserve">Rare </w:t>
            </w:r>
          </w:p>
        </w:tc>
        <w:tc>
          <w:tcPr>
            <w:tcW w:w="4615" w:type="dxa"/>
          </w:tcPr>
          <w:p w14:paraId="31E8BC98" w14:textId="77777777" w:rsidR="00C04CAD" w:rsidRDefault="00060E34">
            <w:pPr>
              <w:tabs>
                <w:tab w:val="clear" w:pos="567"/>
              </w:tabs>
              <w:kinsoku w:val="0"/>
              <w:overflowPunct w:val="0"/>
              <w:autoSpaceDE w:val="0"/>
              <w:autoSpaceDN w:val="0"/>
              <w:adjustRightInd w:val="0"/>
              <w:spacing w:line="240" w:lineRule="auto"/>
            </w:pPr>
            <w:r>
              <w:t>hipersensibilitate,</w:t>
            </w:r>
          </w:p>
          <w:p w14:paraId="4897D934" w14:textId="77777777" w:rsidR="00C04CAD" w:rsidRDefault="00060E34">
            <w:pPr>
              <w:tabs>
                <w:tab w:val="clear" w:pos="567"/>
              </w:tabs>
              <w:kinsoku w:val="0"/>
              <w:overflowPunct w:val="0"/>
              <w:autoSpaceDE w:val="0"/>
              <w:autoSpaceDN w:val="0"/>
              <w:adjustRightInd w:val="0"/>
              <w:spacing w:line="240" w:lineRule="auto"/>
            </w:pPr>
            <w:r>
              <w:t>alergii (inclusiv alergie sezonieră)</w:t>
            </w:r>
          </w:p>
          <w:p w14:paraId="04746C65" w14:textId="77777777" w:rsidR="00C04CAD" w:rsidRDefault="00C04CAD">
            <w:pPr>
              <w:tabs>
                <w:tab w:val="clear" w:pos="567"/>
              </w:tabs>
              <w:kinsoku w:val="0"/>
              <w:overflowPunct w:val="0"/>
              <w:autoSpaceDE w:val="0"/>
              <w:autoSpaceDN w:val="0"/>
              <w:adjustRightInd w:val="0"/>
              <w:spacing w:line="240" w:lineRule="auto"/>
            </w:pPr>
          </w:p>
          <w:p w14:paraId="016F23A1" w14:textId="77777777" w:rsidR="00C04CAD" w:rsidRDefault="00060E34">
            <w:pPr>
              <w:tabs>
                <w:tab w:val="clear" w:pos="567"/>
              </w:tabs>
              <w:kinsoku w:val="0"/>
              <w:overflowPunct w:val="0"/>
              <w:autoSpaceDE w:val="0"/>
              <w:autoSpaceDN w:val="0"/>
              <w:adjustRightInd w:val="0"/>
              <w:spacing w:line="240" w:lineRule="auto"/>
            </w:pPr>
            <w:r>
              <w:t>sarcoidoză</w:t>
            </w:r>
            <w:r>
              <w:rPr>
                <w:vertAlign w:val="superscript"/>
              </w:rPr>
              <w:t>1)</w:t>
            </w:r>
            <w:r>
              <w:t>,</w:t>
            </w:r>
          </w:p>
          <w:p w14:paraId="1FB68F2A" w14:textId="77777777" w:rsidR="00C04CAD" w:rsidRDefault="00060E34">
            <w:pPr>
              <w:tabs>
                <w:tab w:val="clear" w:pos="567"/>
              </w:tabs>
              <w:kinsoku w:val="0"/>
              <w:overflowPunct w:val="0"/>
              <w:autoSpaceDE w:val="0"/>
              <w:autoSpaceDN w:val="0"/>
              <w:adjustRightInd w:val="0"/>
              <w:spacing w:line="240" w:lineRule="auto"/>
            </w:pPr>
            <w:r>
              <w:t>vasculită</w:t>
            </w:r>
          </w:p>
          <w:p w14:paraId="399EF029" w14:textId="77777777" w:rsidR="00C04CAD" w:rsidRDefault="00C04CAD">
            <w:pPr>
              <w:tabs>
                <w:tab w:val="clear" w:pos="567"/>
              </w:tabs>
              <w:kinsoku w:val="0"/>
              <w:overflowPunct w:val="0"/>
              <w:autoSpaceDE w:val="0"/>
              <w:autoSpaceDN w:val="0"/>
              <w:adjustRightInd w:val="0"/>
              <w:spacing w:line="240" w:lineRule="auto"/>
            </w:pPr>
          </w:p>
          <w:p w14:paraId="21703930" w14:textId="77777777" w:rsidR="00C04CAD" w:rsidRDefault="00C04CAD">
            <w:pPr>
              <w:tabs>
                <w:tab w:val="clear" w:pos="567"/>
              </w:tabs>
              <w:kinsoku w:val="0"/>
              <w:overflowPunct w:val="0"/>
              <w:autoSpaceDE w:val="0"/>
              <w:autoSpaceDN w:val="0"/>
              <w:adjustRightInd w:val="0"/>
              <w:spacing w:line="240" w:lineRule="auto"/>
            </w:pPr>
          </w:p>
          <w:p w14:paraId="694EB1F7" w14:textId="77777777" w:rsidR="00C04CAD" w:rsidRDefault="00060E34">
            <w:pPr>
              <w:tabs>
                <w:tab w:val="clear" w:pos="567"/>
              </w:tabs>
              <w:kinsoku w:val="0"/>
              <w:overflowPunct w:val="0"/>
              <w:autoSpaceDE w:val="0"/>
              <w:autoSpaceDN w:val="0"/>
              <w:adjustRightInd w:val="0"/>
              <w:spacing w:line="240" w:lineRule="auto"/>
            </w:pPr>
            <w:r>
              <w:t>anafilaxie</w:t>
            </w:r>
            <w:r>
              <w:rPr>
                <w:vertAlign w:val="superscript"/>
              </w:rPr>
              <w:t>1)</w:t>
            </w:r>
          </w:p>
          <w:p w14:paraId="0B0E2E2B" w14:textId="77777777" w:rsidR="00C04CAD" w:rsidRDefault="00C04CAD">
            <w:pPr>
              <w:tabs>
                <w:tab w:val="clear" w:pos="567"/>
              </w:tabs>
              <w:kinsoku w:val="0"/>
              <w:overflowPunct w:val="0"/>
              <w:autoSpaceDE w:val="0"/>
              <w:autoSpaceDN w:val="0"/>
              <w:adjustRightInd w:val="0"/>
              <w:spacing w:line="240" w:lineRule="auto"/>
            </w:pPr>
          </w:p>
        </w:tc>
      </w:tr>
      <w:tr w:rsidR="00C04CAD" w14:paraId="6CA85568" w14:textId="77777777">
        <w:trPr>
          <w:cantSplit/>
        </w:trPr>
        <w:tc>
          <w:tcPr>
            <w:tcW w:w="2484" w:type="dxa"/>
          </w:tcPr>
          <w:p w14:paraId="43839E4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Tulburări metabolice şi de nutriţie</w:t>
            </w:r>
          </w:p>
        </w:tc>
        <w:tc>
          <w:tcPr>
            <w:tcW w:w="1854" w:type="dxa"/>
          </w:tcPr>
          <w:p w14:paraId="2B5B2A3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Foarte frecvente</w:t>
            </w:r>
          </w:p>
          <w:p w14:paraId="636E2F9A" w14:textId="77777777" w:rsidR="00C04CAD" w:rsidRDefault="00C04CAD">
            <w:pPr>
              <w:tabs>
                <w:tab w:val="clear" w:pos="567"/>
              </w:tabs>
              <w:kinsoku w:val="0"/>
              <w:overflowPunct w:val="0"/>
              <w:autoSpaceDE w:val="0"/>
              <w:autoSpaceDN w:val="0"/>
              <w:adjustRightInd w:val="0"/>
              <w:spacing w:line="240" w:lineRule="auto"/>
              <w:rPr>
                <w:szCs w:val="22"/>
              </w:rPr>
            </w:pPr>
          </w:p>
          <w:p w14:paraId="152521A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Frecvente </w:t>
            </w:r>
          </w:p>
          <w:p w14:paraId="4C89D7EB" w14:textId="77777777" w:rsidR="00C04CAD" w:rsidRDefault="00C04CAD">
            <w:pPr>
              <w:tabs>
                <w:tab w:val="clear" w:pos="567"/>
              </w:tabs>
              <w:kinsoku w:val="0"/>
              <w:overflowPunct w:val="0"/>
              <w:autoSpaceDE w:val="0"/>
              <w:autoSpaceDN w:val="0"/>
              <w:adjustRightInd w:val="0"/>
              <w:spacing w:line="240" w:lineRule="auto"/>
              <w:rPr>
                <w:szCs w:val="22"/>
              </w:rPr>
            </w:pPr>
          </w:p>
          <w:p w14:paraId="5F2D25B1" w14:textId="77777777" w:rsidR="00C04CAD" w:rsidRDefault="00C04CAD">
            <w:pPr>
              <w:tabs>
                <w:tab w:val="clear" w:pos="567"/>
              </w:tabs>
              <w:kinsoku w:val="0"/>
              <w:overflowPunct w:val="0"/>
              <w:autoSpaceDE w:val="0"/>
              <w:autoSpaceDN w:val="0"/>
              <w:adjustRightInd w:val="0"/>
              <w:spacing w:line="240" w:lineRule="auto"/>
              <w:rPr>
                <w:szCs w:val="22"/>
              </w:rPr>
            </w:pPr>
          </w:p>
          <w:p w14:paraId="620BD08A" w14:textId="77777777" w:rsidR="00C04CAD" w:rsidRDefault="00C04CAD">
            <w:pPr>
              <w:tabs>
                <w:tab w:val="clear" w:pos="567"/>
              </w:tabs>
              <w:kinsoku w:val="0"/>
              <w:overflowPunct w:val="0"/>
              <w:autoSpaceDE w:val="0"/>
              <w:autoSpaceDN w:val="0"/>
              <w:adjustRightInd w:val="0"/>
              <w:spacing w:line="240" w:lineRule="auto"/>
              <w:rPr>
                <w:szCs w:val="22"/>
              </w:rPr>
            </w:pPr>
          </w:p>
          <w:p w14:paraId="7A4C24C8" w14:textId="77777777" w:rsidR="00C04CAD" w:rsidRDefault="00C04CAD">
            <w:pPr>
              <w:tabs>
                <w:tab w:val="clear" w:pos="567"/>
              </w:tabs>
              <w:kinsoku w:val="0"/>
              <w:overflowPunct w:val="0"/>
              <w:autoSpaceDE w:val="0"/>
              <w:autoSpaceDN w:val="0"/>
              <w:adjustRightInd w:val="0"/>
              <w:spacing w:line="240" w:lineRule="auto"/>
              <w:rPr>
                <w:szCs w:val="22"/>
              </w:rPr>
            </w:pPr>
          </w:p>
          <w:p w14:paraId="562C0703" w14:textId="77777777" w:rsidR="00C04CAD" w:rsidRDefault="00C04CAD">
            <w:pPr>
              <w:tabs>
                <w:tab w:val="clear" w:pos="567"/>
              </w:tabs>
              <w:kinsoku w:val="0"/>
              <w:overflowPunct w:val="0"/>
              <w:autoSpaceDE w:val="0"/>
              <w:autoSpaceDN w:val="0"/>
              <w:adjustRightInd w:val="0"/>
              <w:spacing w:line="240" w:lineRule="auto"/>
              <w:rPr>
                <w:szCs w:val="22"/>
              </w:rPr>
            </w:pPr>
          </w:p>
          <w:p w14:paraId="7215EFC1" w14:textId="77777777" w:rsidR="00C04CAD" w:rsidRDefault="00C04CAD">
            <w:pPr>
              <w:tabs>
                <w:tab w:val="clear" w:pos="567"/>
              </w:tabs>
              <w:kinsoku w:val="0"/>
              <w:overflowPunct w:val="0"/>
              <w:autoSpaceDE w:val="0"/>
              <w:autoSpaceDN w:val="0"/>
              <w:adjustRightInd w:val="0"/>
              <w:spacing w:line="240" w:lineRule="auto"/>
              <w:rPr>
                <w:szCs w:val="22"/>
              </w:rPr>
            </w:pPr>
          </w:p>
        </w:tc>
        <w:tc>
          <w:tcPr>
            <w:tcW w:w="4615" w:type="dxa"/>
          </w:tcPr>
          <w:p w14:paraId="4E9BAE0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creşterea lipidelor serice,</w:t>
            </w:r>
          </w:p>
          <w:p w14:paraId="456F55F9" w14:textId="77777777" w:rsidR="00C04CAD" w:rsidRDefault="00C04CAD">
            <w:pPr>
              <w:tabs>
                <w:tab w:val="clear" w:pos="567"/>
              </w:tabs>
              <w:kinsoku w:val="0"/>
              <w:overflowPunct w:val="0"/>
              <w:autoSpaceDE w:val="0"/>
              <w:autoSpaceDN w:val="0"/>
              <w:adjustRightInd w:val="0"/>
              <w:spacing w:line="240" w:lineRule="auto"/>
              <w:rPr>
                <w:szCs w:val="22"/>
              </w:rPr>
            </w:pPr>
          </w:p>
          <w:p w14:paraId="5B4203BA"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rPr>
              <w:t>hipokaliemie</w:t>
            </w:r>
            <w:r>
              <w:rPr>
                <w:szCs w:val="22"/>
              </w:rPr>
              <w:t>,</w:t>
            </w:r>
          </w:p>
          <w:p w14:paraId="0E95E159"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creşterea acidului uric,</w:t>
            </w:r>
          </w:p>
          <w:p w14:paraId="26F2C09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modificări ale concentraţiei serice a sodiului, hipocalcemie,</w:t>
            </w:r>
          </w:p>
          <w:p w14:paraId="49D32F9B"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hiperglicemie,</w:t>
            </w:r>
          </w:p>
          <w:p w14:paraId="45D6237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hipofosfatemie,</w:t>
            </w:r>
          </w:p>
          <w:p w14:paraId="431BD4D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deshidratare </w:t>
            </w:r>
          </w:p>
          <w:p w14:paraId="1DC01312" w14:textId="77777777" w:rsidR="00C04CAD" w:rsidRDefault="00C04CAD">
            <w:pPr>
              <w:tabs>
                <w:tab w:val="clear" w:pos="567"/>
              </w:tabs>
              <w:kinsoku w:val="0"/>
              <w:overflowPunct w:val="0"/>
              <w:autoSpaceDE w:val="0"/>
              <w:autoSpaceDN w:val="0"/>
              <w:adjustRightInd w:val="0"/>
              <w:spacing w:line="240" w:lineRule="auto"/>
              <w:rPr>
                <w:szCs w:val="22"/>
              </w:rPr>
            </w:pPr>
          </w:p>
        </w:tc>
      </w:tr>
      <w:tr w:rsidR="00C04CAD" w14:paraId="667B1EB8" w14:textId="77777777">
        <w:trPr>
          <w:cantSplit/>
        </w:trPr>
        <w:tc>
          <w:tcPr>
            <w:tcW w:w="2484" w:type="dxa"/>
          </w:tcPr>
          <w:p w14:paraId="10E155A5" w14:textId="77777777" w:rsidR="00C04CAD" w:rsidRDefault="00060E34">
            <w:pPr>
              <w:keepNext/>
              <w:keepLines/>
              <w:tabs>
                <w:tab w:val="clear" w:pos="567"/>
              </w:tabs>
              <w:kinsoku w:val="0"/>
              <w:overflowPunct w:val="0"/>
              <w:autoSpaceDE w:val="0"/>
              <w:autoSpaceDN w:val="0"/>
              <w:adjustRightInd w:val="0"/>
              <w:spacing w:line="240" w:lineRule="auto"/>
            </w:pPr>
            <w:r>
              <w:t>Tulburări psihice</w:t>
            </w:r>
          </w:p>
        </w:tc>
        <w:tc>
          <w:tcPr>
            <w:tcW w:w="1854" w:type="dxa"/>
          </w:tcPr>
          <w:p w14:paraId="2F9F4CEB" w14:textId="77777777" w:rsidR="00C04CAD" w:rsidRDefault="00060E34">
            <w:pPr>
              <w:keepNext/>
              <w:keepLines/>
              <w:tabs>
                <w:tab w:val="clear" w:pos="567"/>
              </w:tabs>
              <w:kinsoku w:val="0"/>
              <w:overflowPunct w:val="0"/>
              <w:autoSpaceDE w:val="0"/>
              <w:autoSpaceDN w:val="0"/>
              <w:adjustRightInd w:val="0"/>
              <w:spacing w:line="240" w:lineRule="auto"/>
            </w:pPr>
            <w:r>
              <w:t xml:space="preserve">Frecvente </w:t>
            </w:r>
          </w:p>
          <w:p w14:paraId="0D56B322" w14:textId="77777777" w:rsidR="00C04CAD" w:rsidRDefault="00C04CAD">
            <w:pPr>
              <w:keepNext/>
              <w:keepLines/>
              <w:tabs>
                <w:tab w:val="clear" w:pos="567"/>
              </w:tabs>
              <w:kinsoku w:val="0"/>
              <w:overflowPunct w:val="0"/>
              <w:autoSpaceDE w:val="0"/>
              <w:autoSpaceDN w:val="0"/>
              <w:adjustRightInd w:val="0"/>
              <w:spacing w:line="240" w:lineRule="auto"/>
            </w:pPr>
          </w:p>
          <w:p w14:paraId="5222D812" w14:textId="77777777" w:rsidR="00C04CAD" w:rsidRDefault="00C04CAD">
            <w:pPr>
              <w:keepNext/>
              <w:keepLines/>
              <w:tabs>
                <w:tab w:val="clear" w:pos="567"/>
              </w:tabs>
              <w:kinsoku w:val="0"/>
              <w:overflowPunct w:val="0"/>
              <w:autoSpaceDE w:val="0"/>
              <w:autoSpaceDN w:val="0"/>
              <w:adjustRightInd w:val="0"/>
              <w:spacing w:line="240" w:lineRule="auto"/>
            </w:pPr>
          </w:p>
        </w:tc>
        <w:tc>
          <w:tcPr>
            <w:tcW w:w="4615" w:type="dxa"/>
          </w:tcPr>
          <w:p w14:paraId="1DC817A3" w14:textId="77777777" w:rsidR="00C04CAD" w:rsidRDefault="00060E34">
            <w:pPr>
              <w:keepNext/>
              <w:keepLines/>
              <w:tabs>
                <w:tab w:val="clear" w:pos="567"/>
              </w:tabs>
              <w:kinsoku w:val="0"/>
              <w:overflowPunct w:val="0"/>
              <w:autoSpaceDE w:val="0"/>
              <w:autoSpaceDN w:val="0"/>
              <w:adjustRightInd w:val="0"/>
              <w:spacing w:line="240" w:lineRule="auto"/>
            </w:pPr>
            <w:r>
              <w:t>alterarea dispoziţiei (inclusiv depresie),</w:t>
            </w:r>
          </w:p>
          <w:p w14:paraId="203F8DAD" w14:textId="77777777" w:rsidR="00C04CAD" w:rsidRDefault="00060E34">
            <w:pPr>
              <w:keepNext/>
              <w:keepLines/>
              <w:tabs>
                <w:tab w:val="clear" w:pos="567"/>
              </w:tabs>
              <w:kinsoku w:val="0"/>
              <w:overflowPunct w:val="0"/>
              <w:autoSpaceDE w:val="0"/>
              <w:autoSpaceDN w:val="0"/>
              <w:adjustRightInd w:val="0"/>
              <w:spacing w:line="240" w:lineRule="auto"/>
            </w:pPr>
            <w:r>
              <w:t>anxietate,</w:t>
            </w:r>
          </w:p>
          <w:p w14:paraId="412AE7EF" w14:textId="77777777" w:rsidR="00C04CAD" w:rsidRDefault="00060E34">
            <w:pPr>
              <w:keepNext/>
              <w:keepLines/>
              <w:tabs>
                <w:tab w:val="clear" w:pos="567"/>
              </w:tabs>
              <w:kinsoku w:val="0"/>
              <w:overflowPunct w:val="0"/>
              <w:autoSpaceDE w:val="0"/>
              <w:autoSpaceDN w:val="0"/>
              <w:adjustRightInd w:val="0"/>
              <w:spacing w:line="240" w:lineRule="auto"/>
            </w:pPr>
            <w:r>
              <w:t xml:space="preserve">insomnie </w:t>
            </w:r>
          </w:p>
          <w:p w14:paraId="26109D9C" w14:textId="77777777" w:rsidR="00C04CAD" w:rsidRDefault="00C04CAD">
            <w:pPr>
              <w:keepNext/>
              <w:keepLines/>
              <w:tabs>
                <w:tab w:val="clear" w:pos="567"/>
              </w:tabs>
              <w:kinsoku w:val="0"/>
              <w:overflowPunct w:val="0"/>
              <w:autoSpaceDE w:val="0"/>
              <w:autoSpaceDN w:val="0"/>
              <w:adjustRightInd w:val="0"/>
              <w:spacing w:line="240" w:lineRule="auto"/>
            </w:pPr>
          </w:p>
        </w:tc>
      </w:tr>
      <w:tr w:rsidR="00C04CAD" w14:paraId="1DFA6759" w14:textId="77777777">
        <w:trPr>
          <w:cantSplit/>
        </w:trPr>
        <w:tc>
          <w:tcPr>
            <w:tcW w:w="2484" w:type="dxa"/>
          </w:tcPr>
          <w:p w14:paraId="1C5669C3" w14:textId="77777777" w:rsidR="00C04CAD" w:rsidRDefault="00060E34">
            <w:pPr>
              <w:tabs>
                <w:tab w:val="clear" w:pos="567"/>
              </w:tabs>
              <w:kinsoku w:val="0"/>
              <w:overflowPunct w:val="0"/>
              <w:autoSpaceDE w:val="0"/>
              <w:autoSpaceDN w:val="0"/>
              <w:adjustRightInd w:val="0"/>
              <w:spacing w:line="240" w:lineRule="auto"/>
            </w:pPr>
            <w:r>
              <w:t>Tulburări ale sistemului</w:t>
            </w:r>
          </w:p>
          <w:p w14:paraId="3A242D6A" w14:textId="77777777" w:rsidR="00C04CAD" w:rsidRDefault="00060E34">
            <w:pPr>
              <w:tabs>
                <w:tab w:val="clear" w:pos="567"/>
              </w:tabs>
              <w:kinsoku w:val="0"/>
              <w:overflowPunct w:val="0"/>
              <w:autoSpaceDE w:val="0"/>
              <w:autoSpaceDN w:val="0"/>
              <w:adjustRightInd w:val="0"/>
              <w:spacing w:line="240" w:lineRule="auto"/>
            </w:pPr>
            <w:r>
              <w:t>nervos*</w:t>
            </w:r>
          </w:p>
        </w:tc>
        <w:tc>
          <w:tcPr>
            <w:tcW w:w="1854" w:type="dxa"/>
          </w:tcPr>
          <w:p w14:paraId="18EF119A" w14:textId="77777777" w:rsidR="00C04CAD" w:rsidRDefault="00060E34">
            <w:pPr>
              <w:tabs>
                <w:tab w:val="clear" w:pos="567"/>
              </w:tabs>
              <w:kinsoku w:val="0"/>
              <w:overflowPunct w:val="0"/>
              <w:autoSpaceDE w:val="0"/>
              <w:autoSpaceDN w:val="0"/>
              <w:adjustRightInd w:val="0"/>
              <w:spacing w:line="240" w:lineRule="auto"/>
            </w:pPr>
            <w:r>
              <w:t>Foarte frecvente</w:t>
            </w:r>
          </w:p>
          <w:p w14:paraId="26830F79" w14:textId="77777777" w:rsidR="00C04CAD" w:rsidRDefault="00C04CAD">
            <w:pPr>
              <w:tabs>
                <w:tab w:val="clear" w:pos="567"/>
              </w:tabs>
              <w:kinsoku w:val="0"/>
              <w:overflowPunct w:val="0"/>
              <w:autoSpaceDE w:val="0"/>
              <w:autoSpaceDN w:val="0"/>
              <w:adjustRightInd w:val="0"/>
              <w:spacing w:line="240" w:lineRule="auto"/>
            </w:pPr>
          </w:p>
          <w:p w14:paraId="0CF55639" w14:textId="77777777" w:rsidR="00C04CAD" w:rsidRDefault="00060E34">
            <w:pPr>
              <w:tabs>
                <w:tab w:val="clear" w:pos="567"/>
              </w:tabs>
              <w:kinsoku w:val="0"/>
              <w:overflowPunct w:val="0"/>
              <w:autoSpaceDE w:val="0"/>
              <w:autoSpaceDN w:val="0"/>
              <w:adjustRightInd w:val="0"/>
              <w:spacing w:line="240" w:lineRule="auto"/>
            </w:pPr>
            <w:r>
              <w:t>Frecvente</w:t>
            </w:r>
          </w:p>
          <w:p w14:paraId="3AF98433" w14:textId="77777777" w:rsidR="00C04CAD" w:rsidRDefault="00C04CAD">
            <w:pPr>
              <w:tabs>
                <w:tab w:val="clear" w:pos="567"/>
              </w:tabs>
              <w:kinsoku w:val="0"/>
              <w:overflowPunct w:val="0"/>
              <w:autoSpaceDE w:val="0"/>
              <w:autoSpaceDN w:val="0"/>
              <w:adjustRightInd w:val="0"/>
              <w:spacing w:line="240" w:lineRule="auto"/>
            </w:pPr>
          </w:p>
          <w:p w14:paraId="11517AE9" w14:textId="77777777" w:rsidR="00C04CAD" w:rsidRDefault="00C04CAD">
            <w:pPr>
              <w:tabs>
                <w:tab w:val="clear" w:pos="567"/>
              </w:tabs>
              <w:kinsoku w:val="0"/>
              <w:overflowPunct w:val="0"/>
              <w:autoSpaceDE w:val="0"/>
              <w:autoSpaceDN w:val="0"/>
              <w:adjustRightInd w:val="0"/>
              <w:spacing w:line="240" w:lineRule="auto"/>
            </w:pPr>
          </w:p>
          <w:p w14:paraId="7DE50313" w14:textId="77777777" w:rsidR="00C04CAD" w:rsidRDefault="00C04CAD">
            <w:pPr>
              <w:tabs>
                <w:tab w:val="clear" w:pos="567"/>
              </w:tabs>
              <w:kinsoku w:val="0"/>
              <w:overflowPunct w:val="0"/>
              <w:autoSpaceDE w:val="0"/>
              <w:autoSpaceDN w:val="0"/>
              <w:adjustRightInd w:val="0"/>
              <w:spacing w:line="240" w:lineRule="auto"/>
            </w:pPr>
          </w:p>
          <w:p w14:paraId="55B3E637" w14:textId="77777777" w:rsidR="00C04CAD" w:rsidRDefault="00C04CAD">
            <w:pPr>
              <w:tabs>
                <w:tab w:val="clear" w:pos="567"/>
              </w:tabs>
              <w:kinsoku w:val="0"/>
              <w:overflowPunct w:val="0"/>
              <w:autoSpaceDE w:val="0"/>
              <w:autoSpaceDN w:val="0"/>
              <w:adjustRightInd w:val="0"/>
              <w:spacing w:line="240" w:lineRule="auto"/>
            </w:pPr>
          </w:p>
          <w:p w14:paraId="71939EA0" w14:textId="77777777" w:rsidR="00C04CAD" w:rsidRDefault="00060E34">
            <w:pPr>
              <w:tabs>
                <w:tab w:val="clear" w:pos="567"/>
              </w:tabs>
              <w:kinsoku w:val="0"/>
              <w:overflowPunct w:val="0"/>
              <w:autoSpaceDE w:val="0"/>
              <w:autoSpaceDN w:val="0"/>
              <w:adjustRightInd w:val="0"/>
              <w:spacing w:line="240" w:lineRule="auto"/>
            </w:pPr>
            <w:r>
              <w:t>Mai puţin frecvente</w:t>
            </w:r>
          </w:p>
          <w:p w14:paraId="47394760" w14:textId="77777777" w:rsidR="00C04CAD" w:rsidRDefault="00C04CAD">
            <w:pPr>
              <w:tabs>
                <w:tab w:val="clear" w:pos="567"/>
              </w:tabs>
              <w:kinsoku w:val="0"/>
              <w:overflowPunct w:val="0"/>
              <w:autoSpaceDE w:val="0"/>
              <w:autoSpaceDN w:val="0"/>
              <w:adjustRightInd w:val="0"/>
              <w:spacing w:line="240" w:lineRule="auto"/>
            </w:pPr>
          </w:p>
          <w:p w14:paraId="7B741366" w14:textId="77777777" w:rsidR="00C04CAD" w:rsidRDefault="00C04CAD">
            <w:pPr>
              <w:tabs>
                <w:tab w:val="clear" w:pos="567"/>
              </w:tabs>
              <w:kinsoku w:val="0"/>
              <w:overflowPunct w:val="0"/>
              <w:autoSpaceDE w:val="0"/>
              <w:autoSpaceDN w:val="0"/>
              <w:adjustRightInd w:val="0"/>
              <w:spacing w:line="240" w:lineRule="auto"/>
            </w:pPr>
          </w:p>
          <w:p w14:paraId="2F1934FB" w14:textId="77777777" w:rsidR="00C04CAD" w:rsidRDefault="00060E34">
            <w:pPr>
              <w:tabs>
                <w:tab w:val="clear" w:pos="567"/>
              </w:tabs>
              <w:kinsoku w:val="0"/>
              <w:overflowPunct w:val="0"/>
              <w:autoSpaceDE w:val="0"/>
              <w:autoSpaceDN w:val="0"/>
              <w:adjustRightInd w:val="0"/>
              <w:spacing w:line="240" w:lineRule="auto"/>
            </w:pPr>
            <w:r>
              <w:t>Rare</w:t>
            </w:r>
          </w:p>
          <w:p w14:paraId="75123DA6" w14:textId="77777777" w:rsidR="00C04CAD" w:rsidRDefault="00C04CAD">
            <w:pPr>
              <w:tabs>
                <w:tab w:val="clear" w:pos="567"/>
              </w:tabs>
              <w:kinsoku w:val="0"/>
              <w:overflowPunct w:val="0"/>
              <w:autoSpaceDE w:val="0"/>
              <w:autoSpaceDN w:val="0"/>
              <w:adjustRightInd w:val="0"/>
              <w:spacing w:line="240" w:lineRule="auto"/>
            </w:pPr>
          </w:p>
          <w:p w14:paraId="57D3F98C" w14:textId="77777777" w:rsidR="00C04CAD" w:rsidRDefault="00C04CAD">
            <w:pPr>
              <w:tabs>
                <w:tab w:val="clear" w:pos="567"/>
              </w:tabs>
              <w:kinsoku w:val="0"/>
              <w:overflowPunct w:val="0"/>
              <w:autoSpaceDE w:val="0"/>
              <w:autoSpaceDN w:val="0"/>
              <w:adjustRightInd w:val="0"/>
              <w:spacing w:line="240" w:lineRule="auto"/>
            </w:pPr>
          </w:p>
          <w:p w14:paraId="7A194D97"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37C2A2FA" w14:textId="77777777" w:rsidR="00C04CAD" w:rsidRDefault="00060E34">
            <w:pPr>
              <w:tabs>
                <w:tab w:val="clear" w:pos="567"/>
              </w:tabs>
              <w:kinsoku w:val="0"/>
              <w:overflowPunct w:val="0"/>
              <w:autoSpaceDE w:val="0"/>
              <w:autoSpaceDN w:val="0"/>
              <w:adjustRightInd w:val="0"/>
              <w:spacing w:line="240" w:lineRule="auto"/>
            </w:pPr>
            <w:r>
              <w:t>cefalee</w:t>
            </w:r>
          </w:p>
          <w:p w14:paraId="40F313E2" w14:textId="77777777" w:rsidR="00C04CAD" w:rsidRDefault="00C04CAD">
            <w:pPr>
              <w:tabs>
                <w:tab w:val="clear" w:pos="567"/>
              </w:tabs>
              <w:kinsoku w:val="0"/>
              <w:overflowPunct w:val="0"/>
              <w:autoSpaceDE w:val="0"/>
              <w:autoSpaceDN w:val="0"/>
              <w:adjustRightInd w:val="0"/>
              <w:spacing w:line="240" w:lineRule="auto"/>
            </w:pPr>
          </w:p>
          <w:p w14:paraId="484E8E62" w14:textId="77777777" w:rsidR="00C04CAD" w:rsidRDefault="00060E34">
            <w:pPr>
              <w:tabs>
                <w:tab w:val="clear" w:pos="567"/>
              </w:tabs>
              <w:kinsoku w:val="0"/>
              <w:overflowPunct w:val="0"/>
              <w:autoSpaceDE w:val="0"/>
              <w:autoSpaceDN w:val="0"/>
              <w:adjustRightInd w:val="0"/>
              <w:spacing w:line="240" w:lineRule="auto"/>
            </w:pPr>
            <w:r>
              <w:t>parestezie (inclusiv hipoestezie),</w:t>
            </w:r>
          </w:p>
          <w:p w14:paraId="08B911CF" w14:textId="77777777" w:rsidR="00C04CAD" w:rsidRDefault="00060E34">
            <w:pPr>
              <w:tabs>
                <w:tab w:val="clear" w:pos="567"/>
              </w:tabs>
              <w:kinsoku w:val="0"/>
              <w:overflowPunct w:val="0"/>
              <w:autoSpaceDE w:val="0"/>
              <w:autoSpaceDN w:val="0"/>
              <w:adjustRightInd w:val="0"/>
              <w:spacing w:line="240" w:lineRule="auto"/>
            </w:pPr>
            <w:r>
              <w:t>migrenă,</w:t>
            </w:r>
          </w:p>
          <w:p w14:paraId="3EECDB43" w14:textId="77777777" w:rsidR="00C04CAD" w:rsidRDefault="00060E34">
            <w:pPr>
              <w:tabs>
                <w:tab w:val="clear" w:pos="567"/>
              </w:tabs>
              <w:kinsoku w:val="0"/>
              <w:overflowPunct w:val="0"/>
              <w:autoSpaceDE w:val="0"/>
              <w:autoSpaceDN w:val="0"/>
              <w:adjustRightInd w:val="0"/>
              <w:spacing w:line="240" w:lineRule="auto"/>
            </w:pPr>
            <w:r>
              <w:t>compresie radiculară</w:t>
            </w:r>
          </w:p>
          <w:p w14:paraId="1FA46180" w14:textId="77777777" w:rsidR="00C04CAD" w:rsidRDefault="00C04CAD">
            <w:pPr>
              <w:tabs>
                <w:tab w:val="clear" w:pos="567"/>
              </w:tabs>
              <w:kinsoku w:val="0"/>
              <w:overflowPunct w:val="0"/>
              <w:autoSpaceDE w:val="0"/>
              <w:autoSpaceDN w:val="0"/>
              <w:adjustRightInd w:val="0"/>
              <w:spacing w:line="240" w:lineRule="auto"/>
            </w:pPr>
          </w:p>
          <w:p w14:paraId="003D1BE8" w14:textId="77777777" w:rsidR="00C04CAD" w:rsidRDefault="00C04CAD">
            <w:pPr>
              <w:tabs>
                <w:tab w:val="clear" w:pos="567"/>
              </w:tabs>
              <w:kinsoku w:val="0"/>
              <w:overflowPunct w:val="0"/>
              <w:autoSpaceDE w:val="0"/>
              <w:autoSpaceDN w:val="0"/>
              <w:adjustRightInd w:val="0"/>
              <w:spacing w:line="240" w:lineRule="auto"/>
            </w:pPr>
          </w:p>
          <w:p w14:paraId="436453CB" w14:textId="77777777" w:rsidR="00C04CAD" w:rsidRDefault="00060E34">
            <w:pPr>
              <w:tabs>
                <w:tab w:val="clear" w:pos="567"/>
              </w:tabs>
              <w:kinsoku w:val="0"/>
              <w:overflowPunct w:val="0"/>
              <w:autoSpaceDE w:val="0"/>
              <w:autoSpaceDN w:val="0"/>
              <w:adjustRightInd w:val="0"/>
              <w:spacing w:line="240" w:lineRule="auto"/>
            </w:pPr>
            <w:r>
              <w:t>accident cerebrovascular</w:t>
            </w:r>
            <w:r>
              <w:rPr>
                <w:vertAlign w:val="superscript"/>
              </w:rPr>
              <w:t>1)</w:t>
            </w:r>
            <w:r>
              <w:t>,</w:t>
            </w:r>
          </w:p>
          <w:p w14:paraId="7AEF7BA5" w14:textId="77777777" w:rsidR="00C04CAD" w:rsidRDefault="00060E34">
            <w:pPr>
              <w:tabs>
                <w:tab w:val="clear" w:pos="567"/>
              </w:tabs>
              <w:kinsoku w:val="0"/>
              <w:overflowPunct w:val="0"/>
              <w:autoSpaceDE w:val="0"/>
              <w:autoSpaceDN w:val="0"/>
              <w:adjustRightInd w:val="0"/>
              <w:spacing w:line="240" w:lineRule="auto"/>
            </w:pPr>
            <w:r>
              <w:t>tremor,</w:t>
            </w:r>
          </w:p>
          <w:p w14:paraId="50675C8E" w14:textId="77777777" w:rsidR="00C04CAD" w:rsidRDefault="00060E34">
            <w:pPr>
              <w:tabs>
                <w:tab w:val="clear" w:pos="567"/>
              </w:tabs>
              <w:kinsoku w:val="0"/>
              <w:overflowPunct w:val="0"/>
              <w:autoSpaceDE w:val="0"/>
              <w:autoSpaceDN w:val="0"/>
              <w:adjustRightInd w:val="0"/>
              <w:spacing w:line="240" w:lineRule="auto"/>
            </w:pPr>
            <w:r>
              <w:t>neuropatie</w:t>
            </w:r>
          </w:p>
          <w:p w14:paraId="285697EB" w14:textId="77777777" w:rsidR="00C04CAD" w:rsidRDefault="00C04CAD">
            <w:pPr>
              <w:tabs>
                <w:tab w:val="clear" w:pos="567"/>
              </w:tabs>
              <w:kinsoku w:val="0"/>
              <w:overflowPunct w:val="0"/>
              <w:autoSpaceDE w:val="0"/>
              <w:autoSpaceDN w:val="0"/>
              <w:adjustRightInd w:val="0"/>
              <w:spacing w:line="240" w:lineRule="auto"/>
            </w:pPr>
          </w:p>
          <w:p w14:paraId="1D0ECE2B" w14:textId="77777777" w:rsidR="00C04CAD" w:rsidRDefault="00060E34">
            <w:pPr>
              <w:tabs>
                <w:tab w:val="clear" w:pos="567"/>
              </w:tabs>
              <w:kinsoku w:val="0"/>
              <w:overflowPunct w:val="0"/>
              <w:autoSpaceDE w:val="0"/>
              <w:autoSpaceDN w:val="0"/>
              <w:adjustRightInd w:val="0"/>
              <w:spacing w:line="240" w:lineRule="auto"/>
            </w:pPr>
            <w:r>
              <w:t>scleroză multiplă,</w:t>
            </w:r>
          </w:p>
          <w:p w14:paraId="5C07F926" w14:textId="77777777" w:rsidR="00C04CAD" w:rsidRDefault="00060E34">
            <w:pPr>
              <w:tabs>
                <w:tab w:val="clear" w:pos="567"/>
              </w:tabs>
              <w:kinsoku w:val="0"/>
              <w:overflowPunct w:val="0"/>
              <w:autoSpaceDE w:val="0"/>
              <w:autoSpaceDN w:val="0"/>
              <w:adjustRightInd w:val="0"/>
              <w:spacing w:line="240" w:lineRule="auto"/>
            </w:pPr>
            <w:r>
              <w:t>tulburări de demielinizare (de exemplu nevrită optică, sindrom Guillain-Barré)</w:t>
            </w:r>
            <w:r>
              <w:rPr>
                <w:vertAlign w:val="superscript"/>
              </w:rPr>
              <w:t>1)</w:t>
            </w:r>
          </w:p>
          <w:p w14:paraId="38EE031E" w14:textId="77777777" w:rsidR="00C04CAD" w:rsidRDefault="00C04CAD">
            <w:pPr>
              <w:tabs>
                <w:tab w:val="clear" w:pos="567"/>
              </w:tabs>
              <w:kinsoku w:val="0"/>
              <w:overflowPunct w:val="0"/>
              <w:autoSpaceDE w:val="0"/>
              <w:autoSpaceDN w:val="0"/>
              <w:adjustRightInd w:val="0"/>
              <w:spacing w:line="240" w:lineRule="auto"/>
            </w:pPr>
          </w:p>
        </w:tc>
      </w:tr>
      <w:tr w:rsidR="00C04CAD" w14:paraId="257A313D" w14:textId="77777777">
        <w:trPr>
          <w:cantSplit/>
        </w:trPr>
        <w:tc>
          <w:tcPr>
            <w:tcW w:w="2484" w:type="dxa"/>
          </w:tcPr>
          <w:p w14:paraId="2A5B85D1" w14:textId="77777777" w:rsidR="00C04CAD" w:rsidRDefault="00060E34">
            <w:pPr>
              <w:tabs>
                <w:tab w:val="clear" w:pos="567"/>
              </w:tabs>
              <w:kinsoku w:val="0"/>
              <w:overflowPunct w:val="0"/>
              <w:autoSpaceDE w:val="0"/>
              <w:autoSpaceDN w:val="0"/>
              <w:adjustRightInd w:val="0"/>
              <w:spacing w:line="240" w:lineRule="auto"/>
            </w:pPr>
            <w:r>
              <w:t>Tulburări oculare</w:t>
            </w:r>
          </w:p>
        </w:tc>
        <w:tc>
          <w:tcPr>
            <w:tcW w:w="1854" w:type="dxa"/>
          </w:tcPr>
          <w:p w14:paraId="14297D84" w14:textId="77777777" w:rsidR="00C04CAD" w:rsidRDefault="00060E34">
            <w:pPr>
              <w:tabs>
                <w:tab w:val="clear" w:pos="567"/>
              </w:tabs>
              <w:kinsoku w:val="0"/>
              <w:overflowPunct w:val="0"/>
              <w:autoSpaceDE w:val="0"/>
              <w:autoSpaceDN w:val="0"/>
              <w:adjustRightInd w:val="0"/>
              <w:spacing w:line="240" w:lineRule="auto"/>
            </w:pPr>
            <w:r>
              <w:t>Frecvente</w:t>
            </w:r>
          </w:p>
          <w:p w14:paraId="16C0FB96" w14:textId="77777777" w:rsidR="00C04CAD" w:rsidRDefault="00C04CAD">
            <w:pPr>
              <w:tabs>
                <w:tab w:val="clear" w:pos="567"/>
              </w:tabs>
              <w:kinsoku w:val="0"/>
              <w:overflowPunct w:val="0"/>
              <w:autoSpaceDE w:val="0"/>
              <w:autoSpaceDN w:val="0"/>
              <w:adjustRightInd w:val="0"/>
              <w:spacing w:line="240" w:lineRule="auto"/>
            </w:pPr>
          </w:p>
          <w:p w14:paraId="048059AD" w14:textId="77777777" w:rsidR="00C04CAD" w:rsidRDefault="00C04CAD">
            <w:pPr>
              <w:tabs>
                <w:tab w:val="clear" w:pos="567"/>
              </w:tabs>
              <w:kinsoku w:val="0"/>
              <w:overflowPunct w:val="0"/>
              <w:autoSpaceDE w:val="0"/>
              <w:autoSpaceDN w:val="0"/>
              <w:adjustRightInd w:val="0"/>
              <w:spacing w:line="240" w:lineRule="auto"/>
            </w:pPr>
          </w:p>
          <w:p w14:paraId="4AFCED75" w14:textId="77777777" w:rsidR="00C04CAD" w:rsidRDefault="00C04CAD">
            <w:pPr>
              <w:tabs>
                <w:tab w:val="clear" w:pos="567"/>
              </w:tabs>
              <w:kinsoku w:val="0"/>
              <w:overflowPunct w:val="0"/>
              <w:autoSpaceDE w:val="0"/>
              <w:autoSpaceDN w:val="0"/>
              <w:adjustRightInd w:val="0"/>
              <w:spacing w:line="240" w:lineRule="auto"/>
            </w:pPr>
          </w:p>
          <w:p w14:paraId="642E7067" w14:textId="77777777" w:rsidR="00C04CAD" w:rsidRDefault="00C04CAD">
            <w:pPr>
              <w:tabs>
                <w:tab w:val="clear" w:pos="567"/>
              </w:tabs>
              <w:kinsoku w:val="0"/>
              <w:overflowPunct w:val="0"/>
              <w:autoSpaceDE w:val="0"/>
              <w:autoSpaceDN w:val="0"/>
              <w:adjustRightInd w:val="0"/>
              <w:spacing w:line="240" w:lineRule="auto"/>
            </w:pPr>
          </w:p>
          <w:p w14:paraId="649B0385"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p w14:paraId="29E2F8EF"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0374A6B8" w14:textId="77777777" w:rsidR="00C04CAD" w:rsidRDefault="00060E34">
            <w:pPr>
              <w:tabs>
                <w:tab w:val="clear" w:pos="567"/>
              </w:tabs>
              <w:kinsoku w:val="0"/>
              <w:overflowPunct w:val="0"/>
              <w:autoSpaceDE w:val="0"/>
              <w:autoSpaceDN w:val="0"/>
              <w:adjustRightInd w:val="0"/>
              <w:spacing w:line="240" w:lineRule="auto"/>
            </w:pPr>
            <w:r>
              <w:t>tulburări de vedere,</w:t>
            </w:r>
          </w:p>
          <w:p w14:paraId="2D2C95AB" w14:textId="77777777" w:rsidR="00C04CAD" w:rsidRDefault="00060E34">
            <w:pPr>
              <w:tabs>
                <w:tab w:val="clear" w:pos="567"/>
              </w:tabs>
              <w:kinsoku w:val="0"/>
              <w:overflowPunct w:val="0"/>
              <w:autoSpaceDE w:val="0"/>
              <w:autoSpaceDN w:val="0"/>
              <w:adjustRightInd w:val="0"/>
              <w:spacing w:line="240" w:lineRule="auto"/>
            </w:pPr>
            <w:r>
              <w:t>conjunctivită,</w:t>
            </w:r>
          </w:p>
          <w:p w14:paraId="22769D23" w14:textId="77777777" w:rsidR="00C04CAD" w:rsidRDefault="00060E34">
            <w:pPr>
              <w:tabs>
                <w:tab w:val="clear" w:pos="567"/>
              </w:tabs>
              <w:kinsoku w:val="0"/>
              <w:overflowPunct w:val="0"/>
              <w:autoSpaceDE w:val="0"/>
              <w:autoSpaceDN w:val="0"/>
              <w:adjustRightInd w:val="0"/>
              <w:spacing w:line="240" w:lineRule="auto"/>
            </w:pPr>
            <w:r>
              <w:t>blefarită,</w:t>
            </w:r>
          </w:p>
          <w:p w14:paraId="3B76FD4A" w14:textId="77777777" w:rsidR="00C04CAD" w:rsidRDefault="00060E34">
            <w:pPr>
              <w:tabs>
                <w:tab w:val="clear" w:pos="567"/>
              </w:tabs>
              <w:kinsoku w:val="0"/>
              <w:overflowPunct w:val="0"/>
              <w:autoSpaceDE w:val="0"/>
              <w:autoSpaceDN w:val="0"/>
              <w:adjustRightInd w:val="0"/>
              <w:spacing w:line="240" w:lineRule="auto"/>
            </w:pPr>
            <w:r>
              <w:t>inflamaţii ale ochiului</w:t>
            </w:r>
          </w:p>
          <w:p w14:paraId="5EDFD4DA" w14:textId="77777777" w:rsidR="00C04CAD" w:rsidRDefault="00C04CAD">
            <w:pPr>
              <w:tabs>
                <w:tab w:val="clear" w:pos="567"/>
              </w:tabs>
              <w:kinsoku w:val="0"/>
              <w:overflowPunct w:val="0"/>
              <w:autoSpaceDE w:val="0"/>
              <w:autoSpaceDN w:val="0"/>
              <w:adjustRightInd w:val="0"/>
              <w:spacing w:line="240" w:lineRule="auto"/>
            </w:pPr>
          </w:p>
          <w:p w14:paraId="4BF58849" w14:textId="77777777" w:rsidR="00C04CAD" w:rsidRDefault="00060E34">
            <w:pPr>
              <w:tabs>
                <w:tab w:val="clear" w:pos="567"/>
              </w:tabs>
              <w:kinsoku w:val="0"/>
              <w:overflowPunct w:val="0"/>
              <w:autoSpaceDE w:val="0"/>
              <w:autoSpaceDN w:val="0"/>
              <w:adjustRightInd w:val="0"/>
              <w:spacing w:line="240" w:lineRule="auto"/>
            </w:pPr>
            <w:r>
              <w:t xml:space="preserve">diplopie </w:t>
            </w:r>
          </w:p>
        </w:tc>
      </w:tr>
      <w:tr w:rsidR="00C04CAD" w14:paraId="182D0F7B" w14:textId="77777777">
        <w:trPr>
          <w:cantSplit/>
        </w:trPr>
        <w:tc>
          <w:tcPr>
            <w:tcW w:w="2484" w:type="dxa"/>
          </w:tcPr>
          <w:p w14:paraId="5BBFA708" w14:textId="77777777" w:rsidR="00C04CAD" w:rsidRDefault="00060E34">
            <w:pPr>
              <w:tabs>
                <w:tab w:val="clear" w:pos="567"/>
              </w:tabs>
              <w:kinsoku w:val="0"/>
              <w:overflowPunct w:val="0"/>
              <w:autoSpaceDE w:val="0"/>
              <w:autoSpaceDN w:val="0"/>
              <w:adjustRightInd w:val="0"/>
              <w:spacing w:line="240" w:lineRule="auto"/>
            </w:pPr>
            <w:r>
              <w:t>Tulburări acustice şi vestibulare</w:t>
            </w:r>
          </w:p>
        </w:tc>
        <w:tc>
          <w:tcPr>
            <w:tcW w:w="1854" w:type="dxa"/>
          </w:tcPr>
          <w:p w14:paraId="6277CEBF" w14:textId="77777777" w:rsidR="00C04CAD" w:rsidRDefault="00060E34">
            <w:pPr>
              <w:tabs>
                <w:tab w:val="clear" w:pos="567"/>
              </w:tabs>
              <w:kinsoku w:val="0"/>
              <w:overflowPunct w:val="0"/>
              <w:autoSpaceDE w:val="0"/>
              <w:autoSpaceDN w:val="0"/>
              <w:adjustRightInd w:val="0"/>
              <w:spacing w:line="240" w:lineRule="auto"/>
            </w:pPr>
            <w:r>
              <w:t>Frecvente</w:t>
            </w:r>
          </w:p>
          <w:p w14:paraId="2943645B" w14:textId="77777777" w:rsidR="00C04CAD" w:rsidRDefault="00C04CAD">
            <w:pPr>
              <w:tabs>
                <w:tab w:val="clear" w:pos="567"/>
              </w:tabs>
              <w:kinsoku w:val="0"/>
              <w:overflowPunct w:val="0"/>
              <w:autoSpaceDE w:val="0"/>
              <w:autoSpaceDN w:val="0"/>
              <w:adjustRightInd w:val="0"/>
              <w:spacing w:line="240" w:lineRule="auto"/>
            </w:pPr>
          </w:p>
          <w:p w14:paraId="196DD146"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p w14:paraId="25023895"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614170E9" w14:textId="77777777" w:rsidR="00C04CAD" w:rsidRDefault="00060E34">
            <w:pPr>
              <w:tabs>
                <w:tab w:val="clear" w:pos="567"/>
              </w:tabs>
              <w:kinsoku w:val="0"/>
              <w:overflowPunct w:val="0"/>
              <w:autoSpaceDE w:val="0"/>
              <w:autoSpaceDN w:val="0"/>
              <w:adjustRightInd w:val="0"/>
              <w:spacing w:line="240" w:lineRule="auto"/>
            </w:pPr>
            <w:r>
              <w:t>vertij</w:t>
            </w:r>
          </w:p>
          <w:p w14:paraId="2695911C" w14:textId="77777777" w:rsidR="00C04CAD" w:rsidRDefault="00C04CAD">
            <w:pPr>
              <w:tabs>
                <w:tab w:val="clear" w:pos="567"/>
              </w:tabs>
              <w:kinsoku w:val="0"/>
              <w:overflowPunct w:val="0"/>
              <w:autoSpaceDE w:val="0"/>
              <w:autoSpaceDN w:val="0"/>
              <w:adjustRightInd w:val="0"/>
              <w:spacing w:line="240" w:lineRule="auto"/>
            </w:pPr>
          </w:p>
          <w:p w14:paraId="52EC9951" w14:textId="77777777" w:rsidR="00C04CAD" w:rsidRDefault="00060E34">
            <w:pPr>
              <w:tabs>
                <w:tab w:val="clear" w:pos="567"/>
              </w:tabs>
              <w:kinsoku w:val="0"/>
              <w:overflowPunct w:val="0"/>
              <w:autoSpaceDE w:val="0"/>
              <w:autoSpaceDN w:val="0"/>
              <w:adjustRightInd w:val="0"/>
              <w:spacing w:line="240" w:lineRule="auto"/>
            </w:pPr>
            <w:r>
              <w:t>surditate,</w:t>
            </w:r>
          </w:p>
          <w:p w14:paraId="59C29077" w14:textId="77777777" w:rsidR="00C04CAD" w:rsidRDefault="00060E34">
            <w:pPr>
              <w:tabs>
                <w:tab w:val="clear" w:pos="567"/>
              </w:tabs>
              <w:kinsoku w:val="0"/>
              <w:overflowPunct w:val="0"/>
              <w:autoSpaceDE w:val="0"/>
              <w:autoSpaceDN w:val="0"/>
              <w:adjustRightInd w:val="0"/>
              <w:spacing w:line="240" w:lineRule="auto"/>
            </w:pPr>
            <w:r>
              <w:t xml:space="preserve">tinitus </w:t>
            </w:r>
          </w:p>
        </w:tc>
      </w:tr>
      <w:tr w:rsidR="00C04CAD" w14:paraId="3E1A2D7B" w14:textId="77777777">
        <w:trPr>
          <w:cantSplit/>
        </w:trPr>
        <w:tc>
          <w:tcPr>
            <w:tcW w:w="2484" w:type="dxa"/>
          </w:tcPr>
          <w:p w14:paraId="13B7AAE4" w14:textId="77777777" w:rsidR="00C04CAD" w:rsidRDefault="00060E34">
            <w:pPr>
              <w:keepNext/>
              <w:tabs>
                <w:tab w:val="clear" w:pos="567"/>
              </w:tabs>
              <w:kinsoku w:val="0"/>
              <w:overflowPunct w:val="0"/>
              <w:autoSpaceDE w:val="0"/>
              <w:autoSpaceDN w:val="0"/>
              <w:adjustRightInd w:val="0"/>
              <w:spacing w:line="240" w:lineRule="auto"/>
            </w:pPr>
            <w:r>
              <w:t>Tulburări cardiace*</w:t>
            </w:r>
          </w:p>
        </w:tc>
        <w:tc>
          <w:tcPr>
            <w:tcW w:w="1854" w:type="dxa"/>
          </w:tcPr>
          <w:p w14:paraId="0823B211" w14:textId="77777777" w:rsidR="00C04CAD" w:rsidRDefault="00060E34">
            <w:pPr>
              <w:keepNext/>
              <w:tabs>
                <w:tab w:val="clear" w:pos="567"/>
              </w:tabs>
              <w:kinsoku w:val="0"/>
              <w:overflowPunct w:val="0"/>
              <w:autoSpaceDE w:val="0"/>
              <w:autoSpaceDN w:val="0"/>
              <w:adjustRightInd w:val="0"/>
              <w:spacing w:line="240" w:lineRule="auto"/>
            </w:pPr>
            <w:r>
              <w:t>Frecvente</w:t>
            </w:r>
          </w:p>
          <w:p w14:paraId="5C72E35B" w14:textId="77777777" w:rsidR="00C04CAD" w:rsidRDefault="00C04CAD">
            <w:pPr>
              <w:keepNext/>
              <w:tabs>
                <w:tab w:val="clear" w:pos="567"/>
              </w:tabs>
              <w:kinsoku w:val="0"/>
              <w:overflowPunct w:val="0"/>
              <w:autoSpaceDE w:val="0"/>
              <w:autoSpaceDN w:val="0"/>
              <w:adjustRightInd w:val="0"/>
              <w:spacing w:line="240" w:lineRule="auto"/>
            </w:pPr>
          </w:p>
          <w:p w14:paraId="3E890834" w14:textId="77777777" w:rsidR="00C04CAD" w:rsidRDefault="00060E34">
            <w:pPr>
              <w:keepNext/>
              <w:tabs>
                <w:tab w:val="clear" w:pos="567"/>
              </w:tabs>
              <w:kinsoku w:val="0"/>
              <w:overflowPunct w:val="0"/>
              <w:autoSpaceDE w:val="0"/>
              <w:autoSpaceDN w:val="0"/>
              <w:adjustRightInd w:val="0"/>
              <w:spacing w:line="240" w:lineRule="auto"/>
            </w:pPr>
            <w:r>
              <w:t>Mai puţin frecvente</w:t>
            </w:r>
          </w:p>
          <w:p w14:paraId="2A0C8D2E" w14:textId="77777777" w:rsidR="00C04CAD" w:rsidRDefault="00C04CAD">
            <w:pPr>
              <w:keepNext/>
              <w:tabs>
                <w:tab w:val="clear" w:pos="567"/>
              </w:tabs>
              <w:kinsoku w:val="0"/>
              <w:overflowPunct w:val="0"/>
              <w:autoSpaceDE w:val="0"/>
              <w:autoSpaceDN w:val="0"/>
              <w:adjustRightInd w:val="0"/>
              <w:spacing w:line="240" w:lineRule="auto"/>
            </w:pPr>
          </w:p>
          <w:p w14:paraId="3E90F2D4" w14:textId="77777777" w:rsidR="00C04CAD" w:rsidRDefault="00C04CAD">
            <w:pPr>
              <w:keepNext/>
              <w:tabs>
                <w:tab w:val="clear" w:pos="567"/>
              </w:tabs>
              <w:kinsoku w:val="0"/>
              <w:overflowPunct w:val="0"/>
              <w:autoSpaceDE w:val="0"/>
              <w:autoSpaceDN w:val="0"/>
              <w:adjustRightInd w:val="0"/>
              <w:spacing w:line="240" w:lineRule="auto"/>
            </w:pPr>
          </w:p>
          <w:p w14:paraId="59C0960A" w14:textId="77777777" w:rsidR="00C04CAD" w:rsidRDefault="00060E34">
            <w:pPr>
              <w:keepNext/>
              <w:tabs>
                <w:tab w:val="clear" w:pos="567"/>
              </w:tabs>
              <w:kinsoku w:val="0"/>
              <w:overflowPunct w:val="0"/>
              <w:autoSpaceDE w:val="0"/>
              <w:autoSpaceDN w:val="0"/>
              <w:adjustRightInd w:val="0"/>
              <w:spacing w:line="240" w:lineRule="auto"/>
            </w:pPr>
            <w:r>
              <w:t>Rare</w:t>
            </w:r>
          </w:p>
          <w:p w14:paraId="4C48F478" w14:textId="77777777" w:rsidR="00C04CAD" w:rsidRDefault="00C04CAD">
            <w:pPr>
              <w:keepNext/>
              <w:tabs>
                <w:tab w:val="clear" w:pos="567"/>
              </w:tabs>
              <w:kinsoku w:val="0"/>
              <w:overflowPunct w:val="0"/>
              <w:autoSpaceDE w:val="0"/>
              <w:autoSpaceDN w:val="0"/>
              <w:adjustRightInd w:val="0"/>
              <w:spacing w:line="240" w:lineRule="auto"/>
            </w:pPr>
          </w:p>
        </w:tc>
        <w:tc>
          <w:tcPr>
            <w:tcW w:w="4615" w:type="dxa"/>
          </w:tcPr>
          <w:p w14:paraId="25D77C95" w14:textId="77777777" w:rsidR="00C04CAD" w:rsidRDefault="00060E34">
            <w:pPr>
              <w:keepNext/>
              <w:tabs>
                <w:tab w:val="clear" w:pos="567"/>
              </w:tabs>
              <w:kinsoku w:val="0"/>
              <w:overflowPunct w:val="0"/>
              <w:autoSpaceDE w:val="0"/>
              <w:autoSpaceDN w:val="0"/>
              <w:adjustRightInd w:val="0"/>
              <w:spacing w:line="240" w:lineRule="auto"/>
            </w:pPr>
            <w:r>
              <w:t>tahicardie</w:t>
            </w:r>
          </w:p>
          <w:p w14:paraId="56D32390" w14:textId="77777777" w:rsidR="00C04CAD" w:rsidRDefault="00C04CAD">
            <w:pPr>
              <w:keepNext/>
              <w:tabs>
                <w:tab w:val="clear" w:pos="567"/>
              </w:tabs>
              <w:kinsoku w:val="0"/>
              <w:overflowPunct w:val="0"/>
              <w:autoSpaceDE w:val="0"/>
              <w:autoSpaceDN w:val="0"/>
              <w:adjustRightInd w:val="0"/>
              <w:spacing w:line="240" w:lineRule="auto"/>
            </w:pPr>
          </w:p>
          <w:p w14:paraId="7D08376E" w14:textId="77777777" w:rsidR="00C04CAD" w:rsidRDefault="00060E34">
            <w:pPr>
              <w:keepNext/>
              <w:tabs>
                <w:tab w:val="clear" w:pos="567"/>
              </w:tabs>
              <w:kinsoku w:val="0"/>
              <w:overflowPunct w:val="0"/>
              <w:autoSpaceDE w:val="0"/>
              <w:autoSpaceDN w:val="0"/>
              <w:adjustRightInd w:val="0"/>
              <w:spacing w:line="240" w:lineRule="auto"/>
            </w:pPr>
            <w:r>
              <w:t>infarct miocardic</w:t>
            </w:r>
            <w:r>
              <w:rPr>
                <w:vertAlign w:val="superscript"/>
              </w:rPr>
              <w:t>1)</w:t>
            </w:r>
            <w:r>
              <w:t>,</w:t>
            </w:r>
          </w:p>
          <w:p w14:paraId="3F437B49" w14:textId="77777777" w:rsidR="00C04CAD" w:rsidRDefault="00060E34">
            <w:pPr>
              <w:keepNext/>
              <w:tabs>
                <w:tab w:val="clear" w:pos="567"/>
              </w:tabs>
              <w:kinsoku w:val="0"/>
              <w:overflowPunct w:val="0"/>
              <w:autoSpaceDE w:val="0"/>
              <w:autoSpaceDN w:val="0"/>
              <w:adjustRightInd w:val="0"/>
              <w:spacing w:line="240" w:lineRule="auto"/>
            </w:pPr>
            <w:r>
              <w:t>aritmie,</w:t>
            </w:r>
          </w:p>
          <w:p w14:paraId="1ADD70F8" w14:textId="77777777" w:rsidR="00C04CAD" w:rsidRDefault="00060E34">
            <w:pPr>
              <w:keepNext/>
              <w:tabs>
                <w:tab w:val="clear" w:pos="567"/>
              </w:tabs>
              <w:kinsoku w:val="0"/>
              <w:overflowPunct w:val="0"/>
              <w:autoSpaceDE w:val="0"/>
              <w:autoSpaceDN w:val="0"/>
              <w:adjustRightInd w:val="0"/>
              <w:spacing w:line="240" w:lineRule="auto"/>
            </w:pPr>
            <w:r>
              <w:t>insuficienţă cardiacă congestivă</w:t>
            </w:r>
          </w:p>
          <w:p w14:paraId="3C439E94" w14:textId="77777777" w:rsidR="00C04CAD" w:rsidRDefault="00C04CAD">
            <w:pPr>
              <w:keepNext/>
              <w:tabs>
                <w:tab w:val="clear" w:pos="567"/>
              </w:tabs>
              <w:kinsoku w:val="0"/>
              <w:overflowPunct w:val="0"/>
              <w:autoSpaceDE w:val="0"/>
              <w:autoSpaceDN w:val="0"/>
              <w:adjustRightInd w:val="0"/>
              <w:spacing w:line="240" w:lineRule="auto"/>
            </w:pPr>
          </w:p>
          <w:p w14:paraId="09276E5C" w14:textId="77777777" w:rsidR="00C04CAD" w:rsidRDefault="00060E34">
            <w:pPr>
              <w:keepNext/>
              <w:tabs>
                <w:tab w:val="clear" w:pos="567"/>
              </w:tabs>
              <w:kinsoku w:val="0"/>
              <w:overflowPunct w:val="0"/>
              <w:autoSpaceDE w:val="0"/>
              <w:autoSpaceDN w:val="0"/>
              <w:adjustRightInd w:val="0"/>
              <w:spacing w:line="240" w:lineRule="auto"/>
            </w:pPr>
            <w:r>
              <w:t xml:space="preserve">stop cardiac </w:t>
            </w:r>
          </w:p>
          <w:p w14:paraId="48C163B0" w14:textId="77777777" w:rsidR="00C04CAD" w:rsidRDefault="00C04CAD">
            <w:pPr>
              <w:keepNext/>
              <w:tabs>
                <w:tab w:val="clear" w:pos="567"/>
              </w:tabs>
              <w:kinsoku w:val="0"/>
              <w:overflowPunct w:val="0"/>
              <w:autoSpaceDE w:val="0"/>
              <w:autoSpaceDN w:val="0"/>
              <w:adjustRightInd w:val="0"/>
              <w:spacing w:line="240" w:lineRule="auto"/>
            </w:pPr>
          </w:p>
        </w:tc>
      </w:tr>
      <w:tr w:rsidR="00C04CAD" w14:paraId="41D6B090" w14:textId="77777777">
        <w:trPr>
          <w:cantSplit/>
        </w:trPr>
        <w:tc>
          <w:tcPr>
            <w:tcW w:w="2484" w:type="dxa"/>
          </w:tcPr>
          <w:p w14:paraId="0D4F99A9" w14:textId="77777777" w:rsidR="00C04CAD" w:rsidRDefault="00060E34">
            <w:pPr>
              <w:tabs>
                <w:tab w:val="clear" w:pos="567"/>
              </w:tabs>
              <w:kinsoku w:val="0"/>
              <w:overflowPunct w:val="0"/>
              <w:autoSpaceDE w:val="0"/>
              <w:autoSpaceDN w:val="0"/>
              <w:adjustRightInd w:val="0"/>
              <w:spacing w:line="240" w:lineRule="auto"/>
            </w:pPr>
            <w:r>
              <w:t>Tulburări vasculare</w:t>
            </w:r>
          </w:p>
        </w:tc>
        <w:tc>
          <w:tcPr>
            <w:tcW w:w="1854" w:type="dxa"/>
          </w:tcPr>
          <w:p w14:paraId="41C690EE" w14:textId="77777777" w:rsidR="00C04CAD" w:rsidRDefault="00060E34">
            <w:pPr>
              <w:tabs>
                <w:tab w:val="clear" w:pos="567"/>
              </w:tabs>
              <w:kinsoku w:val="0"/>
              <w:overflowPunct w:val="0"/>
              <w:autoSpaceDE w:val="0"/>
              <w:autoSpaceDN w:val="0"/>
              <w:adjustRightInd w:val="0"/>
              <w:spacing w:line="240" w:lineRule="auto"/>
            </w:pPr>
            <w:r>
              <w:t>Frecvente</w:t>
            </w:r>
          </w:p>
          <w:p w14:paraId="79B2DE90" w14:textId="77777777" w:rsidR="00C04CAD" w:rsidRDefault="00C04CAD">
            <w:pPr>
              <w:tabs>
                <w:tab w:val="clear" w:pos="567"/>
              </w:tabs>
              <w:kinsoku w:val="0"/>
              <w:overflowPunct w:val="0"/>
              <w:autoSpaceDE w:val="0"/>
              <w:autoSpaceDN w:val="0"/>
              <w:adjustRightInd w:val="0"/>
              <w:spacing w:line="240" w:lineRule="auto"/>
            </w:pPr>
          </w:p>
          <w:p w14:paraId="5E112DED" w14:textId="77777777" w:rsidR="00C04CAD" w:rsidRDefault="00C04CAD">
            <w:pPr>
              <w:tabs>
                <w:tab w:val="clear" w:pos="567"/>
              </w:tabs>
              <w:kinsoku w:val="0"/>
              <w:overflowPunct w:val="0"/>
              <w:autoSpaceDE w:val="0"/>
              <w:autoSpaceDN w:val="0"/>
              <w:adjustRightInd w:val="0"/>
              <w:spacing w:line="240" w:lineRule="auto"/>
            </w:pPr>
          </w:p>
          <w:p w14:paraId="541BC16D" w14:textId="77777777" w:rsidR="00C04CAD" w:rsidRDefault="00C04CAD">
            <w:pPr>
              <w:tabs>
                <w:tab w:val="clear" w:pos="567"/>
              </w:tabs>
              <w:kinsoku w:val="0"/>
              <w:overflowPunct w:val="0"/>
              <w:autoSpaceDE w:val="0"/>
              <w:autoSpaceDN w:val="0"/>
              <w:adjustRightInd w:val="0"/>
              <w:spacing w:line="240" w:lineRule="auto"/>
            </w:pPr>
          </w:p>
          <w:p w14:paraId="47D854C1"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p w14:paraId="51384801" w14:textId="77777777" w:rsidR="00C04CAD" w:rsidRDefault="00C04CAD">
            <w:pPr>
              <w:tabs>
                <w:tab w:val="clear" w:pos="567"/>
              </w:tabs>
              <w:kinsoku w:val="0"/>
              <w:overflowPunct w:val="0"/>
              <w:autoSpaceDE w:val="0"/>
              <w:autoSpaceDN w:val="0"/>
              <w:adjustRightInd w:val="0"/>
              <w:spacing w:line="240" w:lineRule="auto"/>
            </w:pPr>
          </w:p>
          <w:p w14:paraId="772F2AAC"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6785004B" w14:textId="77777777" w:rsidR="00C04CAD" w:rsidRDefault="00060E34">
            <w:pPr>
              <w:tabs>
                <w:tab w:val="clear" w:pos="567"/>
              </w:tabs>
              <w:kinsoku w:val="0"/>
              <w:overflowPunct w:val="0"/>
              <w:autoSpaceDE w:val="0"/>
              <w:autoSpaceDN w:val="0"/>
              <w:adjustRightInd w:val="0"/>
              <w:spacing w:line="240" w:lineRule="auto"/>
            </w:pPr>
            <w:r>
              <w:t>hipertensiune arterială,</w:t>
            </w:r>
          </w:p>
          <w:p w14:paraId="7469282A" w14:textId="77777777" w:rsidR="00C04CAD" w:rsidRDefault="00060E34">
            <w:pPr>
              <w:tabs>
                <w:tab w:val="clear" w:pos="567"/>
              </w:tabs>
              <w:kinsoku w:val="0"/>
              <w:overflowPunct w:val="0"/>
              <w:autoSpaceDE w:val="0"/>
              <w:autoSpaceDN w:val="0"/>
              <w:adjustRightInd w:val="0"/>
              <w:spacing w:line="240" w:lineRule="auto"/>
            </w:pPr>
            <w:r>
              <w:t>hiperemie facială,</w:t>
            </w:r>
          </w:p>
          <w:p w14:paraId="0136DB2F" w14:textId="77777777" w:rsidR="00C04CAD" w:rsidRDefault="00060E34">
            <w:pPr>
              <w:tabs>
                <w:tab w:val="clear" w:pos="567"/>
              </w:tabs>
              <w:kinsoku w:val="0"/>
              <w:overflowPunct w:val="0"/>
              <w:autoSpaceDE w:val="0"/>
              <w:autoSpaceDN w:val="0"/>
              <w:adjustRightInd w:val="0"/>
              <w:spacing w:line="240" w:lineRule="auto"/>
            </w:pPr>
            <w:r>
              <w:t>hematom</w:t>
            </w:r>
          </w:p>
          <w:p w14:paraId="30833A5F" w14:textId="77777777" w:rsidR="00C04CAD" w:rsidRDefault="00C04CAD">
            <w:pPr>
              <w:tabs>
                <w:tab w:val="clear" w:pos="567"/>
              </w:tabs>
              <w:kinsoku w:val="0"/>
              <w:overflowPunct w:val="0"/>
              <w:autoSpaceDE w:val="0"/>
              <w:autoSpaceDN w:val="0"/>
              <w:adjustRightInd w:val="0"/>
              <w:spacing w:line="240" w:lineRule="auto"/>
            </w:pPr>
          </w:p>
          <w:p w14:paraId="35630D01" w14:textId="77777777" w:rsidR="00C04CAD" w:rsidRDefault="00060E34">
            <w:pPr>
              <w:tabs>
                <w:tab w:val="clear" w:pos="567"/>
              </w:tabs>
              <w:kinsoku w:val="0"/>
              <w:overflowPunct w:val="0"/>
              <w:autoSpaceDE w:val="0"/>
              <w:autoSpaceDN w:val="0"/>
              <w:adjustRightInd w:val="0"/>
              <w:spacing w:line="240" w:lineRule="auto"/>
            </w:pPr>
            <w:r>
              <w:t>anevrism aortic,</w:t>
            </w:r>
          </w:p>
          <w:p w14:paraId="33F6B113" w14:textId="77777777" w:rsidR="00C04CAD" w:rsidRDefault="00060E34">
            <w:pPr>
              <w:tabs>
                <w:tab w:val="clear" w:pos="567"/>
              </w:tabs>
              <w:kinsoku w:val="0"/>
              <w:overflowPunct w:val="0"/>
              <w:autoSpaceDE w:val="0"/>
              <w:autoSpaceDN w:val="0"/>
              <w:adjustRightInd w:val="0"/>
              <w:spacing w:line="240" w:lineRule="auto"/>
            </w:pPr>
            <w:r>
              <w:t>obstrucţii arteriale,</w:t>
            </w:r>
          </w:p>
          <w:p w14:paraId="19F3EFA2" w14:textId="77777777" w:rsidR="00C04CAD" w:rsidRDefault="00060E34">
            <w:pPr>
              <w:tabs>
                <w:tab w:val="clear" w:pos="567"/>
              </w:tabs>
              <w:kinsoku w:val="0"/>
              <w:overflowPunct w:val="0"/>
              <w:autoSpaceDE w:val="0"/>
              <w:autoSpaceDN w:val="0"/>
              <w:adjustRightInd w:val="0"/>
              <w:spacing w:line="240" w:lineRule="auto"/>
            </w:pPr>
            <w:r>
              <w:t xml:space="preserve">tromboflebită </w:t>
            </w:r>
          </w:p>
          <w:p w14:paraId="3E3CE980" w14:textId="77777777" w:rsidR="00C04CAD" w:rsidRDefault="00C04CAD">
            <w:pPr>
              <w:tabs>
                <w:tab w:val="clear" w:pos="567"/>
              </w:tabs>
              <w:kinsoku w:val="0"/>
              <w:overflowPunct w:val="0"/>
              <w:autoSpaceDE w:val="0"/>
              <w:autoSpaceDN w:val="0"/>
              <w:adjustRightInd w:val="0"/>
              <w:spacing w:line="240" w:lineRule="auto"/>
            </w:pPr>
          </w:p>
        </w:tc>
      </w:tr>
      <w:tr w:rsidR="00C04CAD" w14:paraId="093A7EE6" w14:textId="77777777">
        <w:trPr>
          <w:cantSplit/>
        </w:trPr>
        <w:tc>
          <w:tcPr>
            <w:tcW w:w="2484" w:type="dxa"/>
          </w:tcPr>
          <w:p w14:paraId="64404EB7" w14:textId="77777777" w:rsidR="00C04CAD" w:rsidRDefault="00060E34">
            <w:pPr>
              <w:tabs>
                <w:tab w:val="clear" w:pos="567"/>
              </w:tabs>
              <w:autoSpaceDE w:val="0"/>
              <w:autoSpaceDN w:val="0"/>
              <w:adjustRightInd w:val="0"/>
              <w:spacing w:line="240" w:lineRule="auto"/>
            </w:pPr>
            <w:r>
              <w:rPr>
                <w:rFonts w:eastAsia="TimesNewRomanPSMT"/>
              </w:rPr>
              <w:t>Tulburări respiratorii, toracice şi mediastinale*</w:t>
            </w:r>
          </w:p>
        </w:tc>
        <w:tc>
          <w:tcPr>
            <w:tcW w:w="1854" w:type="dxa"/>
          </w:tcPr>
          <w:p w14:paraId="1218AA7C" w14:textId="77777777" w:rsidR="00C04CAD" w:rsidRDefault="00060E34">
            <w:pPr>
              <w:tabs>
                <w:tab w:val="clear" w:pos="567"/>
              </w:tabs>
              <w:kinsoku w:val="0"/>
              <w:overflowPunct w:val="0"/>
              <w:autoSpaceDE w:val="0"/>
              <w:autoSpaceDN w:val="0"/>
              <w:adjustRightInd w:val="0"/>
              <w:spacing w:line="240" w:lineRule="auto"/>
            </w:pPr>
            <w:r>
              <w:t>Frecvente</w:t>
            </w:r>
          </w:p>
          <w:p w14:paraId="57510F04" w14:textId="77777777" w:rsidR="00C04CAD" w:rsidRDefault="00C04CAD">
            <w:pPr>
              <w:tabs>
                <w:tab w:val="clear" w:pos="567"/>
              </w:tabs>
              <w:kinsoku w:val="0"/>
              <w:overflowPunct w:val="0"/>
              <w:autoSpaceDE w:val="0"/>
              <w:autoSpaceDN w:val="0"/>
              <w:adjustRightInd w:val="0"/>
              <w:spacing w:line="240" w:lineRule="auto"/>
            </w:pPr>
          </w:p>
          <w:p w14:paraId="5BBA0097" w14:textId="77777777" w:rsidR="00C04CAD" w:rsidRDefault="00C04CAD">
            <w:pPr>
              <w:tabs>
                <w:tab w:val="clear" w:pos="567"/>
              </w:tabs>
              <w:kinsoku w:val="0"/>
              <w:overflowPunct w:val="0"/>
              <w:autoSpaceDE w:val="0"/>
              <w:autoSpaceDN w:val="0"/>
              <w:adjustRightInd w:val="0"/>
              <w:spacing w:line="240" w:lineRule="auto"/>
            </w:pPr>
          </w:p>
          <w:p w14:paraId="09B58F87" w14:textId="77777777" w:rsidR="00C04CAD" w:rsidRDefault="00C04CAD">
            <w:pPr>
              <w:tabs>
                <w:tab w:val="clear" w:pos="567"/>
              </w:tabs>
              <w:autoSpaceDE w:val="0"/>
              <w:autoSpaceDN w:val="0"/>
              <w:adjustRightInd w:val="0"/>
              <w:spacing w:line="240" w:lineRule="auto"/>
              <w:rPr>
                <w:rFonts w:eastAsia="TimesNewRomanPSMT"/>
              </w:rPr>
            </w:pPr>
          </w:p>
          <w:p w14:paraId="154FEC63"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Mai puţin</w:t>
            </w:r>
          </w:p>
          <w:p w14:paraId="362C4A3D"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frecvente</w:t>
            </w:r>
          </w:p>
          <w:p w14:paraId="5C28C972"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23C4F89A"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5681EBC8" w14:textId="77777777" w:rsidR="00C04CAD" w:rsidRDefault="00C04CAD">
            <w:pPr>
              <w:tabs>
                <w:tab w:val="clear" w:pos="567"/>
              </w:tabs>
              <w:kinsoku w:val="0"/>
              <w:overflowPunct w:val="0"/>
              <w:autoSpaceDE w:val="0"/>
              <w:autoSpaceDN w:val="0"/>
              <w:adjustRightInd w:val="0"/>
              <w:spacing w:line="240" w:lineRule="auto"/>
              <w:rPr>
                <w:rFonts w:eastAsia="TimesNewRomanPSMT"/>
              </w:rPr>
            </w:pPr>
          </w:p>
          <w:p w14:paraId="513F4E91" w14:textId="77777777" w:rsidR="00C04CAD" w:rsidRDefault="00C04CAD">
            <w:pPr>
              <w:tabs>
                <w:tab w:val="clear" w:pos="567"/>
              </w:tabs>
              <w:kinsoku w:val="0"/>
              <w:overflowPunct w:val="0"/>
              <w:autoSpaceDE w:val="0"/>
              <w:autoSpaceDN w:val="0"/>
              <w:adjustRightInd w:val="0"/>
              <w:spacing w:line="240" w:lineRule="auto"/>
            </w:pPr>
          </w:p>
          <w:p w14:paraId="04B5F4A2" w14:textId="77777777" w:rsidR="00C04CAD" w:rsidRDefault="00060E34">
            <w:pPr>
              <w:tabs>
                <w:tab w:val="clear" w:pos="567"/>
              </w:tabs>
              <w:kinsoku w:val="0"/>
              <w:overflowPunct w:val="0"/>
              <w:autoSpaceDE w:val="0"/>
              <w:autoSpaceDN w:val="0"/>
              <w:adjustRightInd w:val="0"/>
              <w:spacing w:line="240" w:lineRule="auto"/>
            </w:pPr>
            <w:r>
              <w:t>Rare</w:t>
            </w:r>
          </w:p>
          <w:p w14:paraId="5376AA2A"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0A6AF9C2"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astm bronşic,</w:t>
            </w:r>
          </w:p>
          <w:p w14:paraId="44FC3B8D"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dispnee,</w:t>
            </w:r>
          </w:p>
          <w:p w14:paraId="1B857348"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tuse</w:t>
            </w:r>
          </w:p>
          <w:p w14:paraId="69A44993" w14:textId="77777777" w:rsidR="00C04CAD" w:rsidRDefault="00C04CAD">
            <w:pPr>
              <w:tabs>
                <w:tab w:val="clear" w:pos="567"/>
              </w:tabs>
              <w:autoSpaceDE w:val="0"/>
              <w:autoSpaceDN w:val="0"/>
              <w:adjustRightInd w:val="0"/>
              <w:spacing w:line="240" w:lineRule="auto"/>
            </w:pPr>
          </w:p>
          <w:p w14:paraId="5EA783FD" w14:textId="77777777" w:rsidR="00C04CAD" w:rsidRDefault="00060E34">
            <w:pPr>
              <w:tabs>
                <w:tab w:val="clear" w:pos="567"/>
              </w:tabs>
              <w:autoSpaceDE w:val="0"/>
              <w:autoSpaceDN w:val="0"/>
              <w:adjustRightInd w:val="0"/>
              <w:spacing w:line="240" w:lineRule="auto"/>
            </w:pPr>
            <w:r>
              <w:t>embolism pulmonar</w:t>
            </w:r>
            <w:r>
              <w:rPr>
                <w:vertAlign w:val="superscript"/>
              </w:rPr>
              <w:t>1)</w:t>
            </w:r>
            <w:r>
              <w:t>,</w:t>
            </w:r>
          </w:p>
          <w:p w14:paraId="5B7F56DA"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pneumonie interstiţială,</w:t>
            </w:r>
          </w:p>
          <w:p w14:paraId="3F33D026" w14:textId="77777777" w:rsidR="00C04CAD" w:rsidRDefault="00060E34">
            <w:pPr>
              <w:tabs>
                <w:tab w:val="clear" w:pos="567"/>
              </w:tabs>
              <w:autoSpaceDE w:val="0"/>
              <w:autoSpaceDN w:val="0"/>
              <w:adjustRightInd w:val="0"/>
              <w:spacing w:line="240" w:lineRule="auto"/>
              <w:rPr>
                <w:rFonts w:eastAsia="TimesNewRomanPSMT"/>
              </w:rPr>
            </w:pPr>
            <w:r>
              <w:rPr>
                <w:rFonts w:eastAsia="TimesNewRomanPSMT"/>
              </w:rPr>
              <w:t>bronhopneumonie cronică obstructivă,</w:t>
            </w:r>
          </w:p>
          <w:p w14:paraId="41C50B4F" w14:textId="77777777" w:rsidR="00C04CAD" w:rsidRDefault="00060E34">
            <w:pPr>
              <w:tabs>
                <w:tab w:val="clear" w:pos="567"/>
              </w:tabs>
              <w:autoSpaceDE w:val="0"/>
              <w:autoSpaceDN w:val="0"/>
              <w:adjustRightInd w:val="0"/>
              <w:spacing w:line="240" w:lineRule="auto"/>
            </w:pPr>
            <w:r>
              <w:t>pneumopatie,</w:t>
            </w:r>
          </w:p>
          <w:p w14:paraId="3F4FB6CF" w14:textId="77777777" w:rsidR="00C04CAD" w:rsidRDefault="00060E34">
            <w:pPr>
              <w:tabs>
                <w:tab w:val="clear" w:pos="567"/>
              </w:tabs>
              <w:kinsoku w:val="0"/>
              <w:overflowPunct w:val="0"/>
              <w:autoSpaceDE w:val="0"/>
              <w:autoSpaceDN w:val="0"/>
              <w:adjustRightInd w:val="0"/>
              <w:spacing w:line="240" w:lineRule="auto"/>
              <w:rPr>
                <w:vertAlign w:val="superscript"/>
              </w:rPr>
            </w:pPr>
            <w:r>
              <w:rPr>
                <w:rFonts w:eastAsia="TimesNewRomanPSMT"/>
              </w:rPr>
              <w:t>revărsat pleura</w:t>
            </w:r>
            <w:r>
              <w:t>l</w:t>
            </w:r>
            <w:r>
              <w:rPr>
                <w:vertAlign w:val="superscript"/>
              </w:rPr>
              <w:t>1)</w:t>
            </w:r>
          </w:p>
          <w:p w14:paraId="7024E642" w14:textId="77777777" w:rsidR="00C04CAD" w:rsidRDefault="00C04CAD">
            <w:pPr>
              <w:tabs>
                <w:tab w:val="clear" w:pos="567"/>
              </w:tabs>
              <w:kinsoku w:val="0"/>
              <w:overflowPunct w:val="0"/>
              <w:autoSpaceDE w:val="0"/>
              <w:autoSpaceDN w:val="0"/>
              <w:adjustRightInd w:val="0"/>
              <w:spacing w:line="240" w:lineRule="auto"/>
            </w:pPr>
          </w:p>
          <w:p w14:paraId="52A2619E" w14:textId="77777777" w:rsidR="00C04CAD" w:rsidRDefault="00060E34">
            <w:pPr>
              <w:tabs>
                <w:tab w:val="clear" w:pos="567"/>
              </w:tabs>
              <w:kinsoku w:val="0"/>
              <w:overflowPunct w:val="0"/>
              <w:autoSpaceDE w:val="0"/>
              <w:autoSpaceDN w:val="0"/>
              <w:adjustRightInd w:val="0"/>
              <w:spacing w:line="240" w:lineRule="auto"/>
              <w:rPr>
                <w:rFonts w:eastAsia="TimesNewRomanPSMT"/>
              </w:rPr>
            </w:pPr>
            <w:r>
              <w:rPr>
                <w:rFonts w:eastAsia="TimesNewRomanPSMT"/>
              </w:rPr>
              <w:t>fibroză pulmonară</w:t>
            </w:r>
            <w:r>
              <w:rPr>
                <w:rFonts w:eastAsia="TimesNewRomanPSMT"/>
                <w:vertAlign w:val="superscript"/>
              </w:rPr>
              <w:t>1)</w:t>
            </w:r>
          </w:p>
          <w:p w14:paraId="3A87DD1D" w14:textId="77777777" w:rsidR="00C04CAD" w:rsidRDefault="00C04CAD">
            <w:pPr>
              <w:tabs>
                <w:tab w:val="clear" w:pos="567"/>
              </w:tabs>
              <w:kinsoku w:val="0"/>
              <w:overflowPunct w:val="0"/>
              <w:autoSpaceDE w:val="0"/>
              <w:autoSpaceDN w:val="0"/>
              <w:adjustRightInd w:val="0"/>
              <w:spacing w:line="240" w:lineRule="auto"/>
            </w:pPr>
          </w:p>
        </w:tc>
      </w:tr>
      <w:tr w:rsidR="00C04CAD" w14:paraId="738BE691" w14:textId="77777777">
        <w:trPr>
          <w:cantSplit/>
        </w:trPr>
        <w:tc>
          <w:tcPr>
            <w:tcW w:w="2484" w:type="dxa"/>
          </w:tcPr>
          <w:p w14:paraId="2422FD78" w14:textId="77777777" w:rsidR="00C04CAD" w:rsidRDefault="00060E34">
            <w:pPr>
              <w:tabs>
                <w:tab w:val="clear" w:pos="567"/>
              </w:tabs>
              <w:kinsoku w:val="0"/>
              <w:overflowPunct w:val="0"/>
              <w:autoSpaceDE w:val="0"/>
              <w:autoSpaceDN w:val="0"/>
              <w:adjustRightInd w:val="0"/>
              <w:spacing w:line="240" w:lineRule="auto"/>
            </w:pPr>
            <w:r>
              <w:t>Tulburări gastro</w:t>
            </w:r>
            <w:r>
              <w:noBreakHyphen/>
              <w:t>intestinale</w:t>
            </w:r>
          </w:p>
        </w:tc>
        <w:tc>
          <w:tcPr>
            <w:tcW w:w="1854" w:type="dxa"/>
          </w:tcPr>
          <w:p w14:paraId="6D62BC1C" w14:textId="77777777" w:rsidR="00C04CAD" w:rsidRDefault="00060E34">
            <w:pPr>
              <w:tabs>
                <w:tab w:val="clear" w:pos="567"/>
              </w:tabs>
              <w:kinsoku w:val="0"/>
              <w:overflowPunct w:val="0"/>
              <w:autoSpaceDE w:val="0"/>
              <w:autoSpaceDN w:val="0"/>
              <w:adjustRightInd w:val="0"/>
              <w:spacing w:line="240" w:lineRule="auto"/>
            </w:pPr>
            <w:r>
              <w:t>Foarte frecvente</w:t>
            </w:r>
          </w:p>
          <w:p w14:paraId="7FD75E00" w14:textId="77777777" w:rsidR="00C04CAD" w:rsidRDefault="00C04CAD">
            <w:pPr>
              <w:tabs>
                <w:tab w:val="clear" w:pos="567"/>
              </w:tabs>
              <w:kinsoku w:val="0"/>
              <w:overflowPunct w:val="0"/>
              <w:autoSpaceDE w:val="0"/>
              <w:autoSpaceDN w:val="0"/>
              <w:adjustRightInd w:val="0"/>
              <w:spacing w:line="240" w:lineRule="auto"/>
            </w:pPr>
          </w:p>
          <w:p w14:paraId="043E327F" w14:textId="77777777" w:rsidR="00C04CAD" w:rsidRDefault="00C04CAD">
            <w:pPr>
              <w:tabs>
                <w:tab w:val="clear" w:pos="567"/>
              </w:tabs>
              <w:kinsoku w:val="0"/>
              <w:overflowPunct w:val="0"/>
              <w:autoSpaceDE w:val="0"/>
              <w:autoSpaceDN w:val="0"/>
              <w:adjustRightInd w:val="0"/>
              <w:spacing w:line="240" w:lineRule="auto"/>
            </w:pPr>
          </w:p>
          <w:p w14:paraId="6123D56D" w14:textId="77777777" w:rsidR="00C04CAD" w:rsidRDefault="00060E34">
            <w:pPr>
              <w:tabs>
                <w:tab w:val="clear" w:pos="567"/>
              </w:tabs>
              <w:kinsoku w:val="0"/>
              <w:overflowPunct w:val="0"/>
              <w:autoSpaceDE w:val="0"/>
              <w:autoSpaceDN w:val="0"/>
              <w:adjustRightInd w:val="0"/>
              <w:spacing w:line="240" w:lineRule="auto"/>
            </w:pPr>
            <w:r>
              <w:t>Frecvente</w:t>
            </w:r>
          </w:p>
          <w:p w14:paraId="36BFA5A4" w14:textId="77777777" w:rsidR="00C04CAD" w:rsidRDefault="00C04CAD">
            <w:pPr>
              <w:tabs>
                <w:tab w:val="clear" w:pos="567"/>
              </w:tabs>
              <w:kinsoku w:val="0"/>
              <w:overflowPunct w:val="0"/>
              <w:autoSpaceDE w:val="0"/>
              <w:autoSpaceDN w:val="0"/>
              <w:adjustRightInd w:val="0"/>
              <w:spacing w:line="240" w:lineRule="auto"/>
            </w:pPr>
          </w:p>
          <w:p w14:paraId="714265C2" w14:textId="77777777" w:rsidR="00C04CAD" w:rsidRDefault="00C04CAD">
            <w:pPr>
              <w:tabs>
                <w:tab w:val="clear" w:pos="567"/>
              </w:tabs>
              <w:kinsoku w:val="0"/>
              <w:overflowPunct w:val="0"/>
              <w:autoSpaceDE w:val="0"/>
              <w:autoSpaceDN w:val="0"/>
              <w:adjustRightInd w:val="0"/>
              <w:spacing w:line="240" w:lineRule="auto"/>
            </w:pPr>
          </w:p>
          <w:p w14:paraId="1B46B3DF" w14:textId="77777777" w:rsidR="00C04CAD" w:rsidRDefault="00C04CAD">
            <w:pPr>
              <w:tabs>
                <w:tab w:val="clear" w:pos="567"/>
              </w:tabs>
              <w:kinsoku w:val="0"/>
              <w:overflowPunct w:val="0"/>
              <w:autoSpaceDE w:val="0"/>
              <w:autoSpaceDN w:val="0"/>
              <w:adjustRightInd w:val="0"/>
              <w:spacing w:line="240" w:lineRule="auto"/>
            </w:pPr>
          </w:p>
          <w:p w14:paraId="026F372D" w14:textId="77777777" w:rsidR="00C04CAD" w:rsidRDefault="00C04CAD">
            <w:pPr>
              <w:tabs>
                <w:tab w:val="clear" w:pos="567"/>
              </w:tabs>
              <w:kinsoku w:val="0"/>
              <w:overflowPunct w:val="0"/>
              <w:autoSpaceDE w:val="0"/>
              <w:autoSpaceDN w:val="0"/>
              <w:adjustRightInd w:val="0"/>
              <w:spacing w:line="240" w:lineRule="auto"/>
            </w:pPr>
          </w:p>
          <w:p w14:paraId="7FA45F8F" w14:textId="77777777" w:rsidR="00C04CAD" w:rsidRDefault="00060E34">
            <w:pPr>
              <w:tabs>
                <w:tab w:val="clear" w:pos="567"/>
              </w:tabs>
              <w:kinsoku w:val="0"/>
              <w:overflowPunct w:val="0"/>
              <w:autoSpaceDE w:val="0"/>
              <w:autoSpaceDN w:val="0"/>
              <w:adjustRightInd w:val="0"/>
              <w:spacing w:line="240" w:lineRule="auto"/>
            </w:pPr>
            <w:r>
              <w:t>Mai puţin frecvente</w:t>
            </w:r>
          </w:p>
          <w:p w14:paraId="5FF2E337" w14:textId="77777777" w:rsidR="00C04CAD" w:rsidRDefault="00C04CAD">
            <w:pPr>
              <w:tabs>
                <w:tab w:val="clear" w:pos="567"/>
              </w:tabs>
              <w:kinsoku w:val="0"/>
              <w:overflowPunct w:val="0"/>
              <w:autoSpaceDE w:val="0"/>
              <w:autoSpaceDN w:val="0"/>
              <w:adjustRightInd w:val="0"/>
              <w:spacing w:line="240" w:lineRule="auto"/>
            </w:pPr>
          </w:p>
          <w:p w14:paraId="0403A5E7" w14:textId="77777777" w:rsidR="00C04CAD" w:rsidRDefault="00C04CAD">
            <w:pPr>
              <w:tabs>
                <w:tab w:val="clear" w:pos="567"/>
              </w:tabs>
              <w:kinsoku w:val="0"/>
              <w:overflowPunct w:val="0"/>
              <w:autoSpaceDE w:val="0"/>
              <w:autoSpaceDN w:val="0"/>
              <w:adjustRightInd w:val="0"/>
              <w:spacing w:line="240" w:lineRule="auto"/>
            </w:pPr>
          </w:p>
          <w:p w14:paraId="1B003822" w14:textId="77777777" w:rsidR="00C04CAD" w:rsidRDefault="00060E34">
            <w:pPr>
              <w:tabs>
                <w:tab w:val="clear" w:pos="567"/>
              </w:tabs>
              <w:kinsoku w:val="0"/>
              <w:overflowPunct w:val="0"/>
              <w:autoSpaceDE w:val="0"/>
              <w:autoSpaceDN w:val="0"/>
              <w:adjustRightInd w:val="0"/>
              <w:spacing w:line="240" w:lineRule="auto"/>
            </w:pPr>
            <w:r>
              <w:t xml:space="preserve">Rare </w:t>
            </w:r>
          </w:p>
          <w:p w14:paraId="72762014"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38B99428" w14:textId="77777777" w:rsidR="00C04CAD" w:rsidRDefault="00060E34">
            <w:pPr>
              <w:tabs>
                <w:tab w:val="clear" w:pos="567"/>
              </w:tabs>
              <w:kinsoku w:val="0"/>
              <w:overflowPunct w:val="0"/>
              <w:autoSpaceDE w:val="0"/>
              <w:autoSpaceDN w:val="0"/>
              <w:adjustRightInd w:val="0"/>
              <w:spacing w:line="240" w:lineRule="auto"/>
            </w:pPr>
            <w:r>
              <w:t>dureri abdominale,</w:t>
            </w:r>
          </w:p>
          <w:p w14:paraId="427583CB" w14:textId="77777777" w:rsidR="00C04CAD" w:rsidRDefault="00060E34">
            <w:pPr>
              <w:tabs>
                <w:tab w:val="clear" w:pos="567"/>
              </w:tabs>
              <w:kinsoku w:val="0"/>
              <w:overflowPunct w:val="0"/>
              <w:autoSpaceDE w:val="0"/>
              <w:autoSpaceDN w:val="0"/>
              <w:adjustRightInd w:val="0"/>
              <w:spacing w:line="240" w:lineRule="auto"/>
            </w:pPr>
            <w:r>
              <w:t>greaţă şi vărsături,</w:t>
            </w:r>
          </w:p>
          <w:p w14:paraId="314DE49B" w14:textId="77777777" w:rsidR="00C04CAD" w:rsidRDefault="00C04CAD">
            <w:pPr>
              <w:tabs>
                <w:tab w:val="clear" w:pos="567"/>
              </w:tabs>
              <w:kinsoku w:val="0"/>
              <w:overflowPunct w:val="0"/>
              <w:autoSpaceDE w:val="0"/>
              <w:autoSpaceDN w:val="0"/>
              <w:adjustRightInd w:val="0"/>
              <w:spacing w:line="240" w:lineRule="auto"/>
            </w:pPr>
          </w:p>
          <w:p w14:paraId="1447CA54" w14:textId="77777777" w:rsidR="00C04CAD" w:rsidRDefault="00060E34">
            <w:pPr>
              <w:tabs>
                <w:tab w:val="clear" w:pos="567"/>
              </w:tabs>
              <w:kinsoku w:val="0"/>
              <w:overflowPunct w:val="0"/>
              <w:autoSpaceDE w:val="0"/>
              <w:autoSpaceDN w:val="0"/>
              <w:adjustRightInd w:val="0"/>
              <w:spacing w:line="240" w:lineRule="auto"/>
            </w:pPr>
            <w:r>
              <w:t>hemoragie gastro-intestinală,</w:t>
            </w:r>
          </w:p>
          <w:p w14:paraId="2129BEF3" w14:textId="77777777" w:rsidR="00C04CAD" w:rsidRDefault="00060E34">
            <w:pPr>
              <w:tabs>
                <w:tab w:val="clear" w:pos="567"/>
              </w:tabs>
              <w:kinsoku w:val="0"/>
              <w:overflowPunct w:val="0"/>
              <w:autoSpaceDE w:val="0"/>
              <w:autoSpaceDN w:val="0"/>
              <w:adjustRightInd w:val="0"/>
              <w:spacing w:line="240" w:lineRule="auto"/>
            </w:pPr>
            <w:r>
              <w:t>dispepsie,</w:t>
            </w:r>
          </w:p>
          <w:p w14:paraId="598F4039" w14:textId="77777777" w:rsidR="00C04CAD" w:rsidRDefault="00060E34">
            <w:pPr>
              <w:tabs>
                <w:tab w:val="clear" w:pos="567"/>
              </w:tabs>
              <w:kinsoku w:val="0"/>
              <w:overflowPunct w:val="0"/>
              <w:autoSpaceDE w:val="0"/>
              <w:autoSpaceDN w:val="0"/>
              <w:adjustRightInd w:val="0"/>
              <w:spacing w:line="240" w:lineRule="auto"/>
            </w:pPr>
            <w:r>
              <w:t>boală de reflux gastroesofagian,</w:t>
            </w:r>
          </w:p>
          <w:p w14:paraId="679FC3A4" w14:textId="77777777" w:rsidR="00C04CAD" w:rsidRDefault="00060E34">
            <w:pPr>
              <w:tabs>
                <w:tab w:val="clear" w:pos="567"/>
              </w:tabs>
              <w:kinsoku w:val="0"/>
              <w:overflowPunct w:val="0"/>
              <w:autoSpaceDE w:val="0"/>
              <w:autoSpaceDN w:val="0"/>
              <w:adjustRightInd w:val="0"/>
              <w:spacing w:line="240" w:lineRule="auto"/>
            </w:pPr>
            <w:r>
              <w:t>sindrom sicca</w:t>
            </w:r>
          </w:p>
          <w:p w14:paraId="77214ADC" w14:textId="77777777" w:rsidR="00C04CAD" w:rsidRDefault="00C04CAD">
            <w:pPr>
              <w:tabs>
                <w:tab w:val="clear" w:pos="567"/>
              </w:tabs>
              <w:kinsoku w:val="0"/>
              <w:overflowPunct w:val="0"/>
              <w:autoSpaceDE w:val="0"/>
              <w:autoSpaceDN w:val="0"/>
              <w:adjustRightInd w:val="0"/>
              <w:spacing w:line="240" w:lineRule="auto"/>
            </w:pPr>
          </w:p>
          <w:p w14:paraId="5341C36C" w14:textId="77777777" w:rsidR="00C04CAD" w:rsidRDefault="00060E34">
            <w:pPr>
              <w:tabs>
                <w:tab w:val="clear" w:pos="567"/>
              </w:tabs>
              <w:kinsoku w:val="0"/>
              <w:overflowPunct w:val="0"/>
              <w:autoSpaceDE w:val="0"/>
              <w:autoSpaceDN w:val="0"/>
              <w:adjustRightInd w:val="0"/>
              <w:spacing w:line="240" w:lineRule="auto"/>
            </w:pPr>
            <w:r>
              <w:t>pancreatită,</w:t>
            </w:r>
          </w:p>
          <w:p w14:paraId="1CF2D67C" w14:textId="77777777" w:rsidR="00C04CAD" w:rsidRDefault="00060E34">
            <w:pPr>
              <w:tabs>
                <w:tab w:val="clear" w:pos="567"/>
              </w:tabs>
              <w:kinsoku w:val="0"/>
              <w:overflowPunct w:val="0"/>
              <w:autoSpaceDE w:val="0"/>
              <w:autoSpaceDN w:val="0"/>
              <w:adjustRightInd w:val="0"/>
              <w:spacing w:line="240" w:lineRule="auto"/>
            </w:pPr>
            <w:r>
              <w:t>disfagie,</w:t>
            </w:r>
          </w:p>
          <w:p w14:paraId="2B1B1B21" w14:textId="77777777" w:rsidR="00C04CAD" w:rsidRDefault="00060E34">
            <w:pPr>
              <w:tabs>
                <w:tab w:val="clear" w:pos="567"/>
              </w:tabs>
              <w:kinsoku w:val="0"/>
              <w:overflowPunct w:val="0"/>
              <w:autoSpaceDE w:val="0"/>
              <w:autoSpaceDN w:val="0"/>
              <w:adjustRightInd w:val="0"/>
              <w:spacing w:line="240" w:lineRule="auto"/>
            </w:pPr>
            <w:r>
              <w:t>edem facial</w:t>
            </w:r>
          </w:p>
          <w:p w14:paraId="49EC90C9" w14:textId="77777777" w:rsidR="00C04CAD" w:rsidRDefault="00C04CAD">
            <w:pPr>
              <w:tabs>
                <w:tab w:val="clear" w:pos="567"/>
              </w:tabs>
              <w:kinsoku w:val="0"/>
              <w:overflowPunct w:val="0"/>
              <w:autoSpaceDE w:val="0"/>
              <w:autoSpaceDN w:val="0"/>
              <w:adjustRightInd w:val="0"/>
              <w:spacing w:line="240" w:lineRule="auto"/>
            </w:pPr>
          </w:p>
          <w:p w14:paraId="137B5A05" w14:textId="77777777" w:rsidR="00C04CAD" w:rsidRDefault="00060E34">
            <w:pPr>
              <w:tabs>
                <w:tab w:val="clear" w:pos="567"/>
              </w:tabs>
              <w:kinsoku w:val="0"/>
              <w:overflowPunct w:val="0"/>
              <w:autoSpaceDE w:val="0"/>
              <w:autoSpaceDN w:val="0"/>
              <w:adjustRightInd w:val="0"/>
              <w:spacing w:line="240" w:lineRule="auto"/>
            </w:pPr>
            <w:r>
              <w:t>perforaţie intestinală</w:t>
            </w:r>
            <w:r>
              <w:rPr>
                <w:vertAlign w:val="superscript"/>
              </w:rPr>
              <w:t>1)</w:t>
            </w:r>
          </w:p>
          <w:p w14:paraId="7E3933FA" w14:textId="77777777" w:rsidR="00C04CAD" w:rsidRDefault="00C04CAD">
            <w:pPr>
              <w:tabs>
                <w:tab w:val="clear" w:pos="567"/>
              </w:tabs>
              <w:kinsoku w:val="0"/>
              <w:overflowPunct w:val="0"/>
              <w:autoSpaceDE w:val="0"/>
              <w:autoSpaceDN w:val="0"/>
              <w:adjustRightInd w:val="0"/>
              <w:spacing w:line="240" w:lineRule="auto"/>
            </w:pPr>
          </w:p>
        </w:tc>
      </w:tr>
      <w:tr w:rsidR="00C04CAD" w14:paraId="0A3D9B6E" w14:textId="77777777">
        <w:trPr>
          <w:cantSplit/>
        </w:trPr>
        <w:tc>
          <w:tcPr>
            <w:tcW w:w="2484" w:type="dxa"/>
          </w:tcPr>
          <w:p w14:paraId="5919467B" w14:textId="77777777" w:rsidR="00C04CAD" w:rsidRDefault="00060E34">
            <w:pPr>
              <w:tabs>
                <w:tab w:val="clear" w:pos="567"/>
              </w:tabs>
              <w:kinsoku w:val="0"/>
              <w:overflowPunct w:val="0"/>
              <w:autoSpaceDE w:val="0"/>
              <w:autoSpaceDN w:val="0"/>
              <w:adjustRightInd w:val="0"/>
              <w:spacing w:line="240" w:lineRule="auto"/>
            </w:pPr>
            <w:r>
              <w:t>Tulburări hepato-biliare*</w:t>
            </w:r>
          </w:p>
        </w:tc>
        <w:tc>
          <w:tcPr>
            <w:tcW w:w="1854" w:type="dxa"/>
          </w:tcPr>
          <w:p w14:paraId="39B1B5A0" w14:textId="77777777" w:rsidR="00C04CAD" w:rsidRDefault="00060E34">
            <w:pPr>
              <w:tabs>
                <w:tab w:val="clear" w:pos="567"/>
              </w:tabs>
              <w:kinsoku w:val="0"/>
              <w:overflowPunct w:val="0"/>
              <w:autoSpaceDE w:val="0"/>
              <w:autoSpaceDN w:val="0"/>
              <w:adjustRightInd w:val="0"/>
              <w:spacing w:line="240" w:lineRule="auto"/>
            </w:pPr>
            <w:r>
              <w:t>Foarte frecvente</w:t>
            </w:r>
          </w:p>
          <w:p w14:paraId="719185E7" w14:textId="77777777" w:rsidR="00C04CAD" w:rsidRDefault="00C04CAD">
            <w:pPr>
              <w:tabs>
                <w:tab w:val="clear" w:pos="567"/>
              </w:tabs>
              <w:kinsoku w:val="0"/>
              <w:overflowPunct w:val="0"/>
              <w:autoSpaceDE w:val="0"/>
              <w:autoSpaceDN w:val="0"/>
              <w:adjustRightInd w:val="0"/>
              <w:spacing w:line="240" w:lineRule="auto"/>
            </w:pPr>
          </w:p>
          <w:p w14:paraId="76CAD365" w14:textId="77777777" w:rsidR="00C04CAD" w:rsidRDefault="00060E34">
            <w:pPr>
              <w:tabs>
                <w:tab w:val="clear" w:pos="567"/>
              </w:tabs>
              <w:kinsoku w:val="0"/>
              <w:overflowPunct w:val="0"/>
              <w:autoSpaceDE w:val="0"/>
              <w:autoSpaceDN w:val="0"/>
              <w:adjustRightInd w:val="0"/>
              <w:spacing w:line="240" w:lineRule="auto"/>
            </w:pPr>
            <w:r>
              <w:t>Mai puţin frecvente</w:t>
            </w:r>
          </w:p>
          <w:p w14:paraId="5E1CB9DC" w14:textId="77777777" w:rsidR="00C04CAD" w:rsidRDefault="00C04CAD">
            <w:pPr>
              <w:tabs>
                <w:tab w:val="clear" w:pos="567"/>
              </w:tabs>
              <w:kinsoku w:val="0"/>
              <w:overflowPunct w:val="0"/>
              <w:autoSpaceDE w:val="0"/>
              <w:autoSpaceDN w:val="0"/>
              <w:adjustRightInd w:val="0"/>
              <w:spacing w:line="240" w:lineRule="auto"/>
            </w:pPr>
          </w:p>
          <w:p w14:paraId="0F13039E" w14:textId="77777777" w:rsidR="00C04CAD" w:rsidRDefault="00C04CAD">
            <w:pPr>
              <w:tabs>
                <w:tab w:val="clear" w:pos="567"/>
              </w:tabs>
              <w:kinsoku w:val="0"/>
              <w:overflowPunct w:val="0"/>
              <w:autoSpaceDE w:val="0"/>
              <w:autoSpaceDN w:val="0"/>
              <w:adjustRightInd w:val="0"/>
              <w:spacing w:line="240" w:lineRule="auto"/>
            </w:pPr>
          </w:p>
          <w:p w14:paraId="677E7DF1" w14:textId="77777777" w:rsidR="00C04CAD" w:rsidRDefault="00060E34">
            <w:pPr>
              <w:tabs>
                <w:tab w:val="clear" w:pos="567"/>
              </w:tabs>
              <w:kinsoku w:val="0"/>
              <w:overflowPunct w:val="0"/>
              <w:autoSpaceDE w:val="0"/>
              <w:autoSpaceDN w:val="0"/>
              <w:adjustRightInd w:val="0"/>
              <w:spacing w:line="240" w:lineRule="auto"/>
            </w:pPr>
            <w:r>
              <w:t>Rare</w:t>
            </w:r>
          </w:p>
          <w:p w14:paraId="7AB27391" w14:textId="77777777" w:rsidR="00C04CAD" w:rsidRDefault="00C04CAD">
            <w:pPr>
              <w:tabs>
                <w:tab w:val="clear" w:pos="567"/>
              </w:tabs>
              <w:kinsoku w:val="0"/>
              <w:overflowPunct w:val="0"/>
              <w:autoSpaceDE w:val="0"/>
              <w:autoSpaceDN w:val="0"/>
              <w:adjustRightInd w:val="0"/>
              <w:spacing w:line="240" w:lineRule="auto"/>
            </w:pPr>
          </w:p>
          <w:p w14:paraId="2B088CE5" w14:textId="77777777" w:rsidR="00C04CAD" w:rsidRDefault="00C04CAD">
            <w:pPr>
              <w:tabs>
                <w:tab w:val="clear" w:pos="567"/>
              </w:tabs>
              <w:kinsoku w:val="0"/>
              <w:overflowPunct w:val="0"/>
              <w:autoSpaceDE w:val="0"/>
              <w:autoSpaceDN w:val="0"/>
              <w:adjustRightInd w:val="0"/>
              <w:spacing w:line="240" w:lineRule="auto"/>
            </w:pPr>
          </w:p>
          <w:p w14:paraId="0211F38E" w14:textId="77777777" w:rsidR="00C04CAD" w:rsidRDefault="00C04CAD">
            <w:pPr>
              <w:tabs>
                <w:tab w:val="clear" w:pos="567"/>
              </w:tabs>
              <w:kinsoku w:val="0"/>
              <w:overflowPunct w:val="0"/>
              <w:autoSpaceDE w:val="0"/>
              <w:autoSpaceDN w:val="0"/>
              <w:adjustRightInd w:val="0"/>
              <w:spacing w:line="240" w:lineRule="auto"/>
            </w:pPr>
          </w:p>
          <w:p w14:paraId="05B93135" w14:textId="77777777" w:rsidR="00C04CAD" w:rsidRDefault="00060E34">
            <w:pPr>
              <w:tabs>
                <w:tab w:val="clear" w:pos="567"/>
              </w:tabs>
              <w:kinsoku w:val="0"/>
              <w:overflowPunct w:val="0"/>
              <w:autoSpaceDE w:val="0"/>
              <w:autoSpaceDN w:val="0"/>
              <w:adjustRightInd w:val="0"/>
              <w:spacing w:line="240" w:lineRule="auto"/>
            </w:pPr>
            <w:r>
              <w:t>Necunoscută</w:t>
            </w:r>
          </w:p>
        </w:tc>
        <w:tc>
          <w:tcPr>
            <w:tcW w:w="4615" w:type="dxa"/>
          </w:tcPr>
          <w:p w14:paraId="2CA16E96" w14:textId="77777777" w:rsidR="00C04CAD" w:rsidRDefault="00060E34">
            <w:pPr>
              <w:tabs>
                <w:tab w:val="clear" w:pos="567"/>
              </w:tabs>
              <w:kinsoku w:val="0"/>
              <w:overflowPunct w:val="0"/>
              <w:autoSpaceDE w:val="0"/>
              <w:autoSpaceDN w:val="0"/>
              <w:adjustRightInd w:val="0"/>
              <w:spacing w:line="240" w:lineRule="auto"/>
            </w:pPr>
            <w:r>
              <w:t>creşterea enzimelor hepatice serice</w:t>
            </w:r>
          </w:p>
          <w:p w14:paraId="481C4108" w14:textId="77777777" w:rsidR="00C04CAD" w:rsidRDefault="00C04CAD">
            <w:pPr>
              <w:tabs>
                <w:tab w:val="clear" w:pos="567"/>
              </w:tabs>
              <w:kinsoku w:val="0"/>
              <w:overflowPunct w:val="0"/>
              <w:autoSpaceDE w:val="0"/>
              <w:autoSpaceDN w:val="0"/>
              <w:adjustRightInd w:val="0"/>
              <w:spacing w:line="240" w:lineRule="auto"/>
            </w:pPr>
          </w:p>
          <w:p w14:paraId="7EF7A49C" w14:textId="77777777" w:rsidR="00C04CAD" w:rsidRDefault="00060E34">
            <w:pPr>
              <w:tabs>
                <w:tab w:val="clear" w:pos="567"/>
              </w:tabs>
              <w:kinsoku w:val="0"/>
              <w:overflowPunct w:val="0"/>
              <w:autoSpaceDE w:val="0"/>
              <w:autoSpaceDN w:val="0"/>
              <w:adjustRightInd w:val="0"/>
              <w:spacing w:line="240" w:lineRule="auto"/>
            </w:pPr>
            <w:r>
              <w:t>colecistită şi colelitiază,</w:t>
            </w:r>
          </w:p>
          <w:p w14:paraId="7D72EEF4" w14:textId="77777777" w:rsidR="00C04CAD" w:rsidRDefault="00060E34">
            <w:pPr>
              <w:tabs>
                <w:tab w:val="clear" w:pos="567"/>
              </w:tabs>
              <w:kinsoku w:val="0"/>
              <w:overflowPunct w:val="0"/>
              <w:autoSpaceDE w:val="0"/>
              <w:autoSpaceDN w:val="0"/>
              <w:adjustRightInd w:val="0"/>
              <w:spacing w:line="240" w:lineRule="auto"/>
            </w:pPr>
            <w:r>
              <w:t>steatoză hepatică,</w:t>
            </w:r>
          </w:p>
          <w:p w14:paraId="3D45F144" w14:textId="77777777" w:rsidR="00C04CAD" w:rsidRDefault="00060E34">
            <w:pPr>
              <w:tabs>
                <w:tab w:val="clear" w:pos="567"/>
              </w:tabs>
              <w:kinsoku w:val="0"/>
              <w:overflowPunct w:val="0"/>
              <w:autoSpaceDE w:val="0"/>
              <w:autoSpaceDN w:val="0"/>
              <w:adjustRightInd w:val="0"/>
              <w:spacing w:line="240" w:lineRule="auto"/>
            </w:pPr>
            <w:r>
              <w:t>creşterea bilirubinei serice</w:t>
            </w:r>
          </w:p>
          <w:p w14:paraId="3F458376" w14:textId="77777777" w:rsidR="00C04CAD" w:rsidRDefault="00C04CAD">
            <w:pPr>
              <w:tabs>
                <w:tab w:val="clear" w:pos="567"/>
              </w:tabs>
              <w:kinsoku w:val="0"/>
              <w:overflowPunct w:val="0"/>
              <w:autoSpaceDE w:val="0"/>
              <w:autoSpaceDN w:val="0"/>
              <w:adjustRightInd w:val="0"/>
              <w:spacing w:line="240" w:lineRule="auto"/>
            </w:pPr>
          </w:p>
          <w:p w14:paraId="68D123D3" w14:textId="77777777" w:rsidR="00C04CAD" w:rsidRDefault="00060E34">
            <w:pPr>
              <w:tabs>
                <w:tab w:val="clear" w:pos="567"/>
              </w:tabs>
              <w:kinsoku w:val="0"/>
              <w:overflowPunct w:val="0"/>
              <w:autoSpaceDE w:val="0"/>
              <w:autoSpaceDN w:val="0"/>
              <w:adjustRightInd w:val="0"/>
              <w:spacing w:line="240" w:lineRule="auto"/>
            </w:pPr>
            <w:r>
              <w:t>hepatită,</w:t>
            </w:r>
          </w:p>
          <w:p w14:paraId="3A584D50" w14:textId="77777777" w:rsidR="00C04CAD" w:rsidRDefault="00060E34">
            <w:pPr>
              <w:tabs>
                <w:tab w:val="clear" w:pos="567"/>
              </w:tabs>
              <w:kinsoku w:val="0"/>
              <w:overflowPunct w:val="0"/>
              <w:autoSpaceDE w:val="0"/>
              <w:autoSpaceDN w:val="0"/>
              <w:adjustRightInd w:val="0"/>
              <w:spacing w:line="240" w:lineRule="auto"/>
            </w:pPr>
            <w:r>
              <w:t>reactivare a hepatitei B</w:t>
            </w:r>
            <w:r>
              <w:rPr>
                <w:vertAlign w:val="superscript"/>
              </w:rPr>
              <w:t>1)</w:t>
            </w:r>
            <w:r>
              <w:t>,</w:t>
            </w:r>
          </w:p>
          <w:p w14:paraId="689AD2F9" w14:textId="77777777" w:rsidR="00C04CAD" w:rsidRDefault="00060E34">
            <w:pPr>
              <w:tabs>
                <w:tab w:val="clear" w:pos="567"/>
              </w:tabs>
              <w:kinsoku w:val="0"/>
              <w:overflowPunct w:val="0"/>
              <w:autoSpaceDE w:val="0"/>
              <w:autoSpaceDN w:val="0"/>
              <w:adjustRightInd w:val="0"/>
              <w:spacing w:line="240" w:lineRule="auto"/>
            </w:pPr>
            <w:r>
              <w:t>hepatită autoimună</w:t>
            </w:r>
            <w:r>
              <w:rPr>
                <w:vertAlign w:val="superscript"/>
              </w:rPr>
              <w:t>1)</w:t>
            </w:r>
          </w:p>
          <w:p w14:paraId="169C7D4A" w14:textId="77777777" w:rsidR="00C04CAD" w:rsidRDefault="00C04CAD">
            <w:pPr>
              <w:tabs>
                <w:tab w:val="clear" w:pos="567"/>
              </w:tabs>
              <w:kinsoku w:val="0"/>
              <w:overflowPunct w:val="0"/>
              <w:autoSpaceDE w:val="0"/>
              <w:autoSpaceDN w:val="0"/>
              <w:adjustRightInd w:val="0"/>
              <w:spacing w:line="240" w:lineRule="auto"/>
            </w:pPr>
          </w:p>
          <w:p w14:paraId="0C7F49C4" w14:textId="77777777" w:rsidR="00C04CAD" w:rsidRDefault="00060E34">
            <w:pPr>
              <w:tabs>
                <w:tab w:val="clear" w:pos="567"/>
              </w:tabs>
              <w:kinsoku w:val="0"/>
              <w:overflowPunct w:val="0"/>
              <w:autoSpaceDE w:val="0"/>
              <w:autoSpaceDN w:val="0"/>
              <w:adjustRightInd w:val="0"/>
              <w:spacing w:line="240" w:lineRule="auto"/>
            </w:pPr>
            <w:r>
              <w:t>insuficienţă hepatică</w:t>
            </w:r>
            <w:r>
              <w:rPr>
                <w:vertAlign w:val="superscript"/>
              </w:rPr>
              <w:t>1)</w:t>
            </w:r>
          </w:p>
        </w:tc>
      </w:tr>
      <w:tr w:rsidR="00C04CAD" w14:paraId="4650AC35" w14:textId="77777777">
        <w:trPr>
          <w:cantSplit/>
        </w:trPr>
        <w:tc>
          <w:tcPr>
            <w:tcW w:w="2484" w:type="dxa"/>
          </w:tcPr>
          <w:p w14:paraId="7880796A" w14:textId="77777777" w:rsidR="00C04CAD" w:rsidRDefault="00060E34">
            <w:pPr>
              <w:tabs>
                <w:tab w:val="clear" w:pos="567"/>
              </w:tabs>
              <w:kinsoku w:val="0"/>
              <w:overflowPunct w:val="0"/>
              <w:autoSpaceDE w:val="0"/>
              <w:autoSpaceDN w:val="0"/>
              <w:adjustRightInd w:val="0"/>
              <w:spacing w:line="240" w:lineRule="auto"/>
            </w:pPr>
            <w:r>
              <w:t>Tulburări cutanate şi ale ţesutului subcutanat</w:t>
            </w:r>
          </w:p>
        </w:tc>
        <w:tc>
          <w:tcPr>
            <w:tcW w:w="1854" w:type="dxa"/>
          </w:tcPr>
          <w:p w14:paraId="73BEC905" w14:textId="77777777" w:rsidR="00C04CAD" w:rsidRDefault="00060E34">
            <w:pPr>
              <w:tabs>
                <w:tab w:val="clear" w:pos="567"/>
              </w:tabs>
              <w:kinsoku w:val="0"/>
              <w:overflowPunct w:val="0"/>
              <w:autoSpaceDE w:val="0"/>
              <w:autoSpaceDN w:val="0"/>
              <w:adjustRightInd w:val="0"/>
              <w:spacing w:line="240" w:lineRule="auto"/>
            </w:pPr>
            <w:r>
              <w:t>Foarte frecvente</w:t>
            </w:r>
          </w:p>
          <w:p w14:paraId="7932CC35" w14:textId="77777777" w:rsidR="00C04CAD" w:rsidRDefault="00C04CAD">
            <w:pPr>
              <w:tabs>
                <w:tab w:val="clear" w:pos="567"/>
              </w:tabs>
              <w:kinsoku w:val="0"/>
              <w:overflowPunct w:val="0"/>
              <w:autoSpaceDE w:val="0"/>
              <w:autoSpaceDN w:val="0"/>
              <w:adjustRightInd w:val="0"/>
              <w:spacing w:line="240" w:lineRule="auto"/>
            </w:pPr>
          </w:p>
          <w:p w14:paraId="2CD11626" w14:textId="77777777" w:rsidR="00C04CAD" w:rsidRDefault="00C04CAD">
            <w:pPr>
              <w:tabs>
                <w:tab w:val="clear" w:pos="567"/>
              </w:tabs>
              <w:kinsoku w:val="0"/>
              <w:overflowPunct w:val="0"/>
              <w:autoSpaceDE w:val="0"/>
              <w:autoSpaceDN w:val="0"/>
              <w:adjustRightInd w:val="0"/>
              <w:spacing w:line="240" w:lineRule="auto"/>
            </w:pPr>
          </w:p>
          <w:p w14:paraId="6C4B843F" w14:textId="77777777" w:rsidR="00C04CAD" w:rsidRDefault="00060E34">
            <w:pPr>
              <w:tabs>
                <w:tab w:val="clear" w:pos="567"/>
              </w:tabs>
              <w:kinsoku w:val="0"/>
              <w:overflowPunct w:val="0"/>
              <w:autoSpaceDE w:val="0"/>
              <w:autoSpaceDN w:val="0"/>
              <w:adjustRightInd w:val="0"/>
              <w:spacing w:line="240" w:lineRule="auto"/>
            </w:pPr>
            <w:r>
              <w:t>Frecvente</w:t>
            </w:r>
          </w:p>
          <w:p w14:paraId="281D59ED" w14:textId="77777777" w:rsidR="00C04CAD" w:rsidRDefault="00C04CAD">
            <w:pPr>
              <w:tabs>
                <w:tab w:val="clear" w:pos="567"/>
              </w:tabs>
              <w:kinsoku w:val="0"/>
              <w:overflowPunct w:val="0"/>
              <w:autoSpaceDE w:val="0"/>
              <w:autoSpaceDN w:val="0"/>
              <w:adjustRightInd w:val="0"/>
              <w:spacing w:line="240" w:lineRule="auto"/>
            </w:pPr>
          </w:p>
          <w:p w14:paraId="090FA873" w14:textId="77777777" w:rsidR="00C04CAD" w:rsidRDefault="00C04CAD">
            <w:pPr>
              <w:tabs>
                <w:tab w:val="clear" w:pos="567"/>
              </w:tabs>
              <w:kinsoku w:val="0"/>
              <w:overflowPunct w:val="0"/>
              <w:autoSpaceDE w:val="0"/>
              <w:autoSpaceDN w:val="0"/>
              <w:adjustRightInd w:val="0"/>
              <w:spacing w:line="240" w:lineRule="auto"/>
            </w:pPr>
          </w:p>
          <w:p w14:paraId="38BE04F7" w14:textId="77777777" w:rsidR="00C04CAD" w:rsidRDefault="00C04CAD">
            <w:pPr>
              <w:tabs>
                <w:tab w:val="clear" w:pos="567"/>
              </w:tabs>
              <w:kinsoku w:val="0"/>
              <w:overflowPunct w:val="0"/>
              <w:autoSpaceDE w:val="0"/>
              <w:autoSpaceDN w:val="0"/>
              <w:adjustRightInd w:val="0"/>
              <w:spacing w:line="240" w:lineRule="auto"/>
            </w:pPr>
          </w:p>
          <w:p w14:paraId="6CD1529E" w14:textId="77777777" w:rsidR="00C04CAD" w:rsidRDefault="00C04CAD">
            <w:pPr>
              <w:tabs>
                <w:tab w:val="clear" w:pos="567"/>
              </w:tabs>
              <w:kinsoku w:val="0"/>
              <w:overflowPunct w:val="0"/>
              <w:autoSpaceDE w:val="0"/>
              <w:autoSpaceDN w:val="0"/>
              <w:adjustRightInd w:val="0"/>
              <w:spacing w:line="240" w:lineRule="auto"/>
            </w:pPr>
          </w:p>
          <w:p w14:paraId="355B5DE7" w14:textId="77777777" w:rsidR="00C04CAD" w:rsidRDefault="00C04CAD">
            <w:pPr>
              <w:tabs>
                <w:tab w:val="clear" w:pos="567"/>
              </w:tabs>
              <w:kinsoku w:val="0"/>
              <w:overflowPunct w:val="0"/>
              <w:autoSpaceDE w:val="0"/>
              <w:autoSpaceDN w:val="0"/>
              <w:adjustRightInd w:val="0"/>
              <w:spacing w:line="240" w:lineRule="auto"/>
            </w:pPr>
          </w:p>
          <w:p w14:paraId="0D2E2CFB" w14:textId="77777777" w:rsidR="00C04CAD" w:rsidRDefault="00C04CAD">
            <w:pPr>
              <w:tabs>
                <w:tab w:val="clear" w:pos="567"/>
              </w:tabs>
              <w:kinsoku w:val="0"/>
              <w:overflowPunct w:val="0"/>
              <w:autoSpaceDE w:val="0"/>
              <w:autoSpaceDN w:val="0"/>
              <w:adjustRightInd w:val="0"/>
              <w:spacing w:line="240" w:lineRule="auto"/>
            </w:pPr>
          </w:p>
          <w:p w14:paraId="3F80464A" w14:textId="77777777" w:rsidR="00C04CAD" w:rsidRDefault="00C04CAD">
            <w:pPr>
              <w:tabs>
                <w:tab w:val="clear" w:pos="567"/>
              </w:tabs>
              <w:kinsoku w:val="0"/>
              <w:overflowPunct w:val="0"/>
              <w:autoSpaceDE w:val="0"/>
              <w:autoSpaceDN w:val="0"/>
              <w:adjustRightInd w:val="0"/>
              <w:spacing w:line="240" w:lineRule="auto"/>
            </w:pPr>
          </w:p>
          <w:p w14:paraId="37156C0F" w14:textId="77777777" w:rsidR="00C04CAD" w:rsidRDefault="00C04CAD">
            <w:pPr>
              <w:tabs>
                <w:tab w:val="clear" w:pos="567"/>
              </w:tabs>
              <w:kinsoku w:val="0"/>
              <w:overflowPunct w:val="0"/>
              <w:autoSpaceDE w:val="0"/>
              <w:autoSpaceDN w:val="0"/>
              <w:adjustRightInd w:val="0"/>
              <w:spacing w:line="240" w:lineRule="auto"/>
            </w:pPr>
          </w:p>
          <w:p w14:paraId="4BDF59DC" w14:textId="77777777" w:rsidR="00C04CAD" w:rsidRDefault="00C04CAD">
            <w:pPr>
              <w:tabs>
                <w:tab w:val="clear" w:pos="567"/>
              </w:tabs>
              <w:kinsoku w:val="0"/>
              <w:overflowPunct w:val="0"/>
              <w:autoSpaceDE w:val="0"/>
              <w:autoSpaceDN w:val="0"/>
              <w:adjustRightInd w:val="0"/>
              <w:spacing w:line="240" w:lineRule="auto"/>
            </w:pPr>
          </w:p>
          <w:p w14:paraId="528721AA"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p w14:paraId="2523614F" w14:textId="77777777" w:rsidR="00C04CAD" w:rsidRDefault="00C04CAD">
            <w:pPr>
              <w:tabs>
                <w:tab w:val="clear" w:pos="567"/>
              </w:tabs>
              <w:kinsoku w:val="0"/>
              <w:overflowPunct w:val="0"/>
              <w:autoSpaceDE w:val="0"/>
              <w:autoSpaceDN w:val="0"/>
              <w:adjustRightInd w:val="0"/>
              <w:spacing w:line="240" w:lineRule="auto"/>
            </w:pPr>
          </w:p>
          <w:p w14:paraId="5958D26A" w14:textId="77777777" w:rsidR="00C04CAD" w:rsidRDefault="00C04CAD">
            <w:pPr>
              <w:tabs>
                <w:tab w:val="clear" w:pos="567"/>
              </w:tabs>
              <w:kinsoku w:val="0"/>
              <w:overflowPunct w:val="0"/>
              <w:autoSpaceDE w:val="0"/>
              <w:autoSpaceDN w:val="0"/>
              <w:adjustRightInd w:val="0"/>
              <w:spacing w:line="240" w:lineRule="auto"/>
            </w:pPr>
          </w:p>
          <w:p w14:paraId="3F8D079F" w14:textId="77777777" w:rsidR="00C04CAD" w:rsidRDefault="00060E34">
            <w:pPr>
              <w:tabs>
                <w:tab w:val="clear" w:pos="567"/>
              </w:tabs>
              <w:kinsoku w:val="0"/>
              <w:overflowPunct w:val="0"/>
              <w:autoSpaceDE w:val="0"/>
              <w:autoSpaceDN w:val="0"/>
              <w:adjustRightInd w:val="0"/>
              <w:spacing w:line="240" w:lineRule="auto"/>
            </w:pPr>
            <w:r>
              <w:t>Rare</w:t>
            </w:r>
          </w:p>
          <w:p w14:paraId="206A33CF" w14:textId="77777777" w:rsidR="00C04CAD" w:rsidRDefault="00C04CAD">
            <w:pPr>
              <w:tabs>
                <w:tab w:val="clear" w:pos="567"/>
              </w:tabs>
              <w:kinsoku w:val="0"/>
              <w:overflowPunct w:val="0"/>
              <w:autoSpaceDE w:val="0"/>
              <w:autoSpaceDN w:val="0"/>
              <w:adjustRightInd w:val="0"/>
              <w:spacing w:line="240" w:lineRule="auto"/>
            </w:pPr>
          </w:p>
          <w:p w14:paraId="255245E5" w14:textId="77777777" w:rsidR="00C04CAD" w:rsidRDefault="00C04CAD">
            <w:pPr>
              <w:tabs>
                <w:tab w:val="clear" w:pos="567"/>
              </w:tabs>
              <w:kinsoku w:val="0"/>
              <w:overflowPunct w:val="0"/>
              <w:autoSpaceDE w:val="0"/>
              <w:autoSpaceDN w:val="0"/>
              <w:adjustRightInd w:val="0"/>
              <w:spacing w:line="240" w:lineRule="auto"/>
            </w:pPr>
          </w:p>
          <w:p w14:paraId="605036C9" w14:textId="77777777" w:rsidR="00C04CAD" w:rsidRDefault="00C04CAD">
            <w:pPr>
              <w:tabs>
                <w:tab w:val="clear" w:pos="567"/>
              </w:tabs>
              <w:kinsoku w:val="0"/>
              <w:overflowPunct w:val="0"/>
              <w:autoSpaceDE w:val="0"/>
              <w:autoSpaceDN w:val="0"/>
              <w:adjustRightInd w:val="0"/>
              <w:spacing w:line="240" w:lineRule="auto"/>
            </w:pPr>
          </w:p>
          <w:p w14:paraId="005299A3" w14:textId="77777777" w:rsidR="00C04CAD" w:rsidRDefault="00C04CAD">
            <w:pPr>
              <w:tabs>
                <w:tab w:val="clear" w:pos="567"/>
              </w:tabs>
              <w:kinsoku w:val="0"/>
              <w:overflowPunct w:val="0"/>
              <w:autoSpaceDE w:val="0"/>
              <w:autoSpaceDN w:val="0"/>
              <w:adjustRightInd w:val="0"/>
              <w:spacing w:line="240" w:lineRule="auto"/>
            </w:pPr>
          </w:p>
          <w:p w14:paraId="7BDCA2CE" w14:textId="77777777" w:rsidR="00C04CAD" w:rsidRDefault="00C04CAD">
            <w:pPr>
              <w:tabs>
                <w:tab w:val="clear" w:pos="567"/>
              </w:tabs>
              <w:kinsoku w:val="0"/>
              <w:overflowPunct w:val="0"/>
              <w:autoSpaceDE w:val="0"/>
              <w:autoSpaceDN w:val="0"/>
              <w:adjustRightInd w:val="0"/>
              <w:spacing w:line="240" w:lineRule="auto"/>
            </w:pPr>
          </w:p>
          <w:p w14:paraId="5A5EB990" w14:textId="77777777" w:rsidR="00C04CAD" w:rsidRDefault="00060E34">
            <w:pPr>
              <w:tabs>
                <w:tab w:val="clear" w:pos="567"/>
              </w:tabs>
              <w:kinsoku w:val="0"/>
              <w:overflowPunct w:val="0"/>
              <w:autoSpaceDE w:val="0"/>
              <w:autoSpaceDN w:val="0"/>
              <w:adjustRightInd w:val="0"/>
              <w:spacing w:line="240" w:lineRule="auto"/>
            </w:pPr>
            <w:r>
              <w:t xml:space="preserve">Cu frecvenţă necunoscută </w:t>
            </w:r>
          </w:p>
          <w:p w14:paraId="7F01B3C8"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7F5B0420" w14:textId="77777777" w:rsidR="00C04CAD" w:rsidRDefault="00060E34">
            <w:pPr>
              <w:tabs>
                <w:tab w:val="clear" w:pos="567"/>
              </w:tabs>
              <w:kinsoku w:val="0"/>
              <w:overflowPunct w:val="0"/>
              <w:autoSpaceDE w:val="0"/>
              <w:autoSpaceDN w:val="0"/>
              <w:adjustRightInd w:val="0"/>
              <w:spacing w:line="240" w:lineRule="auto"/>
            </w:pPr>
            <w:r>
              <w:t>erupţie cutanată (inclusiv erupţie cutanată exfoliativă),</w:t>
            </w:r>
          </w:p>
          <w:p w14:paraId="61BA4538" w14:textId="77777777" w:rsidR="00C04CAD" w:rsidRDefault="00C04CAD">
            <w:pPr>
              <w:tabs>
                <w:tab w:val="clear" w:pos="567"/>
              </w:tabs>
              <w:kinsoku w:val="0"/>
              <w:overflowPunct w:val="0"/>
              <w:autoSpaceDE w:val="0"/>
              <w:autoSpaceDN w:val="0"/>
              <w:adjustRightInd w:val="0"/>
              <w:spacing w:line="240" w:lineRule="auto"/>
            </w:pPr>
          </w:p>
          <w:p w14:paraId="41FE7073" w14:textId="77777777" w:rsidR="00C04CAD" w:rsidRDefault="00060E34">
            <w:pPr>
              <w:tabs>
                <w:tab w:val="clear" w:pos="567"/>
              </w:tabs>
              <w:kinsoku w:val="0"/>
              <w:overflowPunct w:val="0"/>
              <w:autoSpaceDE w:val="0"/>
              <w:autoSpaceDN w:val="0"/>
              <w:adjustRightInd w:val="0"/>
              <w:spacing w:line="240" w:lineRule="auto"/>
            </w:pPr>
            <w:r>
              <w:t>apariţia de leziuni noi sau agravarea psoriazisului (inclusiv psoriazis pustulos palmoplantar)</w:t>
            </w:r>
            <w:r>
              <w:rPr>
                <w:vertAlign w:val="superscript"/>
              </w:rPr>
              <w:t>1)</w:t>
            </w:r>
            <w:r>
              <w:t>,</w:t>
            </w:r>
          </w:p>
          <w:p w14:paraId="592CD653" w14:textId="77777777" w:rsidR="00C04CAD" w:rsidRDefault="00060E34">
            <w:pPr>
              <w:tabs>
                <w:tab w:val="clear" w:pos="567"/>
              </w:tabs>
              <w:kinsoku w:val="0"/>
              <w:overflowPunct w:val="0"/>
              <w:autoSpaceDE w:val="0"/>
              <w:autoSpaceDN w:val="0"/>
              <w:adjustRightInd w:val="0"/>
              <w:spacing w:line="240" w:lineRule="auto"/>
            </w:pPr>
            <w:r>
              <w:t>urticarie,</w:t>
            </w:r>
          </w:p>
          <w:p w14:paraId="2827133B" w14:textId="77777777" w:rsidR="00C04CAD" w:rsidRDefault="00060E34">
            <w:pPr>
              <w:tabs>
                <w:tab w:val="clear" w:pos="567"/>
              </w:tabs>
              <w:kinsoku w:val="0"/>
              <w:overflowPunct w:val="0"/>
              <w:autoSpaceDE w:val="0"/>
              <w:autoSpaceDN w:val="0"/>
              <w:adjustRightInd w:val="0"/>
              <w:spacing w:line="240" w:lineRule="auto"/>
            </w:pPr>
            <w:r>
              <w:t>vânătăi (inclusiv purpură),</w:t>
            </w:r>
          </w:p>
          <w:p w14:paraId="7E19998B" w14:textId="77777777" w:rsidR="00C04CAD" w:rsidRDefault="00060E34">
            <w:pPr>
              <w:tabs>
                <w:tab w:val="clear" w:pos="567"/>
              </w:tabs>
              <w:kinsoku w:val="0"/>
              <w:overflowPunct w:val="0"/>
              <w:autoSpaceDE w:val="0"/>
              <w:autoSpaceDN w:val="0"/>
              <w:adjustRightInd w:val="0"/>
              <w:spacing w:line="240" w:lineRule="auto"/>
            </w:pPr>
            <w:r>
              <w:t>dermatită (inclusiv eczemă),</w:t>
            </w:r>
          </w:p>
          <w:p w14:paraId="372464E7" w14:textId="77777777" w:rsidR="00C04CAD" w:rsidRDefault="00060E34">
            <w:pPr>
              <w:tabs>
                <w:tab w:val="clear" w:pos="567"/>
              </w:tabs>
              <w:kinsoku w:val="0"/>
              <w:overflowPunct w:val="0"/>
              <w:autoSpaceDE w:val="0"/>
              <w:autoSpaceDN w:val="0"/>
              <w:adjustRightInd w:val="0"/>
              <w:spacing w:line="240" w:lineRule="auto"/>
            </w:pPr>
            <w:r>
              <w:t>onicoclazie,</w:t>
            </w:r>
          </w:p>
          <w:p w14:paraId="0A3FD20E" w14:textId="77777777" w:rsidR="00C04CAD" w:rsidRDefault="00060E34">
            <w:pPr>
              <w:tabs>
                <w:tab w:val="clear" w:pos="567"/>
              </w:tabs>
              <w:kinsoku w:val="0"/>
              <w:overflowPunct w:val="0"/>
              <w:autoSpaceDE w:val="0"/>
              <w:autoSpaceDN w:val="0"/>
              <w:adjustRightInd w:val="0"/>
              <w:spacing w:line="240" w:lineRule="auto"/>
            </w:pPr>
            <w:r>
              <w:t>hiperhidroză,</w:t>
            </w:r>
          </w:p>
          <w:p w14:paraId="4D6A1849" w14:textId="77777777" w:rsidR="00C04CAD" w:rsidRDefault="00060E34">
            <w:pPr>
              <w:tabs>
                <w:tab w:val="clear" w:pos="567"/>
              </w:tabs>
              <w:kinsoku w:val="0"/>
              <w:overflowPunct w:val="0"/>
              <w:autoSpaceDE w:val="0"/>
              <w:autoSpaceDN w:val="0"/>
              <w:adjustRightInd w:val="0"/>
              <w:spacing w:line="240" w:lineRule="auto"/>
            </w:pPr>
            <w:r>
              <w:t>alopecie</w:t>
            </w:r>
            <w:r>
              <w:rPr>
                <w:vertAlign w:val="superscript"/>
              </w:rPr>
              <w:t>1)</w:t>
            </w:r>
            <w:r>
              <w:t>,</w:t>
            </w:r>
          </w:p>
          <w:p w14:paraId="7A328102" w14:textId="77777777" w:rsidR="00C04CAD" w:rsidRDefault="00060E34">
            <w:pPr>
              <w:tabs>
                <w:tab w:val="clear" w:pos="567"/>
              </w:tabs>
              <w:kinsoku w:val="0"/>
              <w:overflowPunct w:val="0"/>
              <w:autoSpaceDE w:val="0"/>
              <w:autoSpaceDN w:val="0"/>
              <w:adjustRightInd w:val="0"/>
              <w:spacing w:line="240" w:lineRule="auto"/>
            </w:pPr>
            <w:r>
              <w:t>prurit</w:t>
            </w:r>
          </w:p>
          <w:p w14:paraId="7E8C176B" w14:textId="77777777" w:rsidR="00C04CAD" w:rsidRDefault="00C04CAD">
            <w:pPr>
              <w:tabs>
                <w:tab w:val="clear" w:pos="567"/>
              </w:tabs>
              <w:kinsoku w:val="0"/>
              <w:overflowPunct w:val="0"/>
              <w:autoSpaceDE w:val="0"/>
              <w:autoSpaceDN w:val="0"/>
              <w:adjustRightInd w:val="0"/>
              <w:spacing w:line="240" w:lineRule="auto"/>
            </w:pPr>
          </w:p>
          <w:p w14:paraId="5F6B6113" w14:textId="77777777" w:rsidR="00C04CAD" w:rsidRDefault="00060E34">
            <w:pPr>
              <w:tabs>
                <w:tab w:val="clear" w:pos="567"/>
              </w:tabs>
              <w:kinsoku w:val="0"/>
              <w:overflowPunct w:val="0"/>
              <w:autoSpaceDE w:val="0"/>
              <w:autoSpaceDN w:val="0"/>
              <w:adjustRightInd w:val="0"/>
              <w:spacing w:line="240" w:lineRule="auto"/>
            </w:pPr>
            <w:r>
              <w:t>transpiraţii nocturne,</w:t>
            </w:r>
          </w:p>
          <w:p w14:paraId="357803D3" w14:textId="77777777" w:rsidR="00C04CAD" w:rsidRDefault="00060E34">
            <w:pPr>
              <w:tabs>
                <w:tab w:val="clear" w:pos="567"/>
              </w:tabs>
              <w:kinsoku w:val="0"/>
              <w:overflowPunct w:val="0"/>
              <w:autoSpaceDE w:val="0"/>
              <w:autoSpaceDN w:val="0"/>
              <w:adjustRightInd w:val="0"/>
              <w:spacing w:line="240" w:lineRule="auto"/>
            </w:pPr>
            <w:r>
              <w:t xml:space="preserve">răni </w:t>
            </w:r>
          </w:p>
          <w:p w14:paraId="58377B09" w14:textId="77777777" w:rsidR="00C04CAD" w:rsidRDefault="00C04CAD">
            <w:pPr>
              <w:tabs>
                <w:tab w:val="clear" w:pos="567"/>
              </w:tabs>
              <w:kinsoku w:val="0"/>
              <w:overflowPunct w:val="0"/>
              <w:autoSpaceDE w:val="0"/>
              <w:autoSpaceDN w:val="0"/>
              <w:adjustRightInd w:val="0"/>
              <w:spacing w:line="240" w:lineRule="auto"/>
            </w:pPr>
          </w:p>
          <w:p w14:paraId="6377E9C0" w14:textId="77777777" w:rsidR="00C04CAD" w:rsidRDefault="00C04CAD">
            <w:pPr>
              <w:tabs>
                <w:tab w:val="clear" w:pos="567"/>
              </w:tabs>
              <w:kinsoku w:val="0"/>
              <w:overflowPunct w:val="0"/>
              <w:autoSpaceDE w:val="0"/>
              <w:autoSpaceDN w:val="0"/>
              <w:adjustRightInd w:val="0"/>
              <w:spacing w:line="240" w:lineRule="auto"/>
            </w:pPr>
          </w:p>
          <w:p w14:paraId="0A4F50A8" w14:textId="77777777" w:rsidR="00C04CAD" w:rsidRDefault="00060E34">
            <w:pPr>
              <w:tabs>
                <w:tab w:val="clear" w:pos="567"/>
              </w:tabs>
              <w:kinsoku w:val="0"/>
              <w:overflowPunct w:val="0"/>
              <w:autoSpaceDE w:val="0"/>
              <w:autoSpaceDN w:val="0"/>
              <w:adjustRightInd w:val="0"/>
              <w:spacing w:line="240" w:lineRule="auto"/>
            </w:pPr>
            <w:r>
              <w:t>eritem polimorf</w:t>
            </w:r>
            <w:r>
              <w:rPr>
                <w:vertAlign w:val="superscript"/>
              </w:rPr>
              <w:t>1)</w:t>
            </w:r>
            <w:r>
              <w:t>,</w:t>
            </w:r>
          </w:p>
          <w:p w14:paraId="1FD5F1B5" w14:textId="77777777" w:rsidR="00C04CAD" w:rsidRDefault="00060E34">
            <w:pPr>
              <w:tabs>
                <w:tab w:val="clear" w:pos="567"/>
              </w:tabs>
              <w:kinsoku w:val="0"/>
              <w:overflowPunct w:val="0"/>
              <w:autoSpaceDE w:val="0"/>
              <w:autoSpaceDN w:val="0"/>
              <w:adjustRightInd w:val="0"/>
              <w:spacing w:line="240" w:lineRule="auto"/>
            </w:pPr>
            <w:r>
              <w:t>sindrom Stevens Johnson</w:t>
            </w:r>
            <w:r>
              <w:rPr>
                <w:vertAlign w:val="superscript"/>
              </w:rPr>
              <w:t>1)</w:t>
            </w:r>
            <w:r>
              <w:t>,</w:t>
            </w:r>
          </w:p>
          <w:p w14:paraId="6DA67AD4" w14:textId="77777777" w:rsidR="00C04CAD" w:rsidRDefault="00060E34">
            <w:pPr>
              <w:tabs>
                <w:tab w:val="clear" w:pos="567"/>
              </w:tabs>
              <w:kinsoku w:val="0"/>
              <w:overflowPunct w:val="0"/>
              <w:autoSpaceDE w:val="0"/>
              <w:autoSpaceDN w:val="0"/>
              <w:adjustRightInd w:val="0"/>
              <w:spacing w:line="240" w:lineRule="auto"/>
            </w:pPr>
            <w:r>
              <w:t>edem angioneurotic</w:t>
            </w:r>
            <w:r>
              <w:rPr>
                <w:vertAlign w:val="superscript"/>
              </w:rPr>
              <w:t>1)</w:t>
            </w:r>
            <w:r>
              <w:t>,</w:t>
            </w:r>
          </w:p>
          <w:p w14:paraId="26C2FB32" w14:textId="77777777" w:rsidR="00C04CAD" w:rsidRDefault="00060E34">
            <w:pPr>
              <w:tabs>
                <w:tab w:val="clear" w:pos="567"/>
              </w:tabs>
              <w:kinsoku w:val="0"/>
              <w:overflowPunct w:val="0"/>
              <w:autoSpaceDE w:val="0"/>
              <w:autoSpaceDN w:val="0"/>
              <w:adjustRightInd w:val="0"/>
              <w:spacing w:line="240" w:lineRule="auto"/>
              <w:rPr>
                <w:vertAlign w:val="superscript"/>
              </w:rPr>
            </w:pPr>
            <w:r>
              <w:t>vasculită cutanată</w:t>
            </w:r>
            <w:r>
              <w:rPr>
                <w:vertAlign w:val="superscript"/>
              </w:rPr>
              <w:t>1)</w:t>
            </w:r>
            <w:r>
              <w:t>,</w:t>
            </w:r>
          </w:p>
          <w:p w14:paraId="212B8176" w14:textId="77777777" w:rsidR="00C04CAD" w:rsidRDefault="00060E34">
            <w:pPr>
              <w:tabs>
                <w:tab w:val="clear" w:pos="567"/>
              </w:tabs>
              <w:kinsoku w:val="0"/>
              <w:overflowPunct w:val="0"/>
              <w:autoSpaceDE w:val="0"/>
              <w:autoSpaceDN w:val="0"/>
              <w:adjustRightInd w:val="0"/>
              <w:spacing w:line="240" w:lineRule="auto"/>
              <w:rPr>
                <w:vertAlign w:val="superscript"/>
              </w:rPr>
            </w:pPr>
            <w:r>
              <w:rPr>
                <w:szCs w:val="22"/>
              </w:rPr>
              <w:t>reacția cutanată de tip lichenoid</w:t>
            </w:r>
            <w:r>
              <w:rPr>
                <w:szCs w:val="22"/>
                <w:vertAlign w:val="superscript"/>
              </w:rPr>
              <w:t>1)</w:t>
            </w:r>
          </w:p>
          <w:p w14:paraId="1D124C9C" w14:textId="77777777" w:rsidR="00C04CAD" w:rsidRDefault="00C04CAD">
            <w:pPr>
              <w:tabs>
                <w:tab w:val="clear" w:pos="567"/>
              </w:tabs>
              <w:kinsoku w:val="0"/>
              <w:overflowPunct w:val="0"/>
              <w:autoSpaceDE w:val="0"/>
              <w:autoSpaceDN w:val="0"/>
              <w:adjustRightInd w:val="0"/>
              <w:spacing w:line="240" w:lineRule="auto"/>
            </w:pPr>
          </w:p>
          <w:p w14:paraId="6211ADC0" w14:textId="77777777" w:rsidR="00C04CAD" w:rsidRDefault="00060E34">
            <w:pPr>
              <w:tabs>
                <w:tab w:val="clear" w:pos="567"/>
              </w:tabs>
              <w:kinsoku w:val="0"/>
              <w:overflowPunct w:val="0"/>
              <w:autoSpaceDE w:val="0"/>
              <w:autoSpaceDN w:val="0"/>
              <w:adjustRightInd w:val="0"/>
              <w:spacing w:line="240" w:lineRule="auto"/>
            </w:pPr>
            <w:r>
              <w:t>agravare a simptomelor dermatomiozitei</w:t>
            </w:r>
            <w:r>
              <w:rPr>
                <w:vertAlign w:val="superscript"/>
              </w:rPr>
              <w:t>1)</w:t>
            </w:r>
          </w:p>
          <w:p w14:paraId="5B43779D" w14:textId="77777777" w:rsidR="00C04CAD" w:rsidRDefault="00C04CAD">
            <w:pPr>
              <w:tabs>
                <w:tab w:val="clear" w:pos="567"/>
              </w:tabs>
              <w:kinsoku w:val="0"/>
              <w:overflowPunct w:val="0"/>
              <w:autoSpaceDE w:val="0"/>
              <w:autoSpaceDN w:val="0"/>
              <w:adjustRightInd w:val="0"/>
              <w:spacing w:line="240" w:lineRule="auto"/>
            </w:pPr>
          </w:p>
        </w:tc>
      </w:tr>
      <w:tr w:rsidR="00C04CAD" w14:paraId="58E40BD8" w14:textId="77777777">
        <w:trPr>
          <w:cantSplit/>
        </w:trPr>
        <w:tc>
          <w:tcPr>
            <w:tcW w:w="2484" w:type="dxa"/>
          </w:tcPr>
          <w:p w14:paraId="1FEB55DB" w14:textId="77777777" w:rsidR="00C04CAD" w:rsidRDefault="00060E34">
            <w:pPr>
              <w:tabs>
                <w:tab w:val="clear" w:pos="567"/>
              </w:tabs>
              <w:kinsoku w:val="0"/>
              <w:overflowPunct w:val="0"/>
              <w:autoSpaceDE w:val="0"/>
              <w:autoSpaceDN w:val="0"/>
              <w:adjustRightInd w:val="0"/>
              <w:spacing w:line="240" w:lineRule="auto"/>
            </w:pPr>
            <w:r>
              <w:t>Tulburări musculo</w:t>
            </w:r>
            <w:r>
              <w:noBreakHyphen/>
              <w:t>scheletice şi ale ţesutului conjunctiv</w:t>
            </w:r>
          </w:p>
        </w:tc>
        <w:tc>
          <w:tcPr>
            <w:tcW w:w="1854" w:type="dxa"/>
          </w:tcPr>
          <w:p w14:paraId="22497BEA" w14:textId="77777777" w:rsidR="00C04CAD" w:rsidRDefault="00060E34">
            <w:pPr>
              <w:tabs>
                <w:tab w:val="clear" w:pos="567"/>
              </w:tabs>
              <w:kinsoku w:val="0"/>
              <w:overflowPunct w:val="0"/>
              <w:autoSpaceDE w:val="0"/>
              <w:autoSpaceDN w:val="0"/>
              <w:adjustRightInd w:val="0"/>
              <w:spacing w:line="240" w:lineRule="auto"/>
            </w:pPr>
            <w:r>
              <w:t>Foarte frecvente</w:t>
            </w:r>
          </w:p>
          <w:p w14:paraId="7823932D" w14:textId="77777777" w:rsidR="00C04CAD" w:rsidRDefault="00C04CAD">
            <w:pPr>
              <w:tabs>
                <w:tab w:val="clear" w:pos="567"/>
              </w:tabs>
              <w:kinsoku w:val="0"/>
              <w:overflowPunct w:val="0"/>
              <w:autoSpaceDE w:val="0"/>
              <w:autoSpaceDN w:val="0"/>
              <w:adjustRightInd w:val="0"/>
              <w:spacing w:line="240" w:lineRule="auto"/>
            </w:pPr>
          </w:p>
          <w:p w14:paraId="07D21705" w14:textId="77777777" w:rsidR="00C04CAD" w:rsidRDefault="00060E34">
            <w:pPr>
              <w:tabs>
                <w:tab w:val="clear" w:pos="567"/>
              </w:tabs>
              <w:kinsoku w:val="0"/>
              <w:overflowPunct w:val="0"/>
              <w:autoSpaceDE w:val="0"/>
              <w:autoSpaceDN w:val="0"/>
              <w:adjustRightInd w:val="0"/>
              <w:spacing w:line="240" w:lineRule="auto"/>
            </w:pPr>
            <w:r>
              <w:t>Frecvente</w:t>
            </w:r>
          </w:p>
          <w:p w14:paraId="21C9BD10" w14:textId="77777777" w:rsidR="00C04CAD" w:rsidRDefault="00C04CAD">
            <w:pPr>
              <w:tabs>
                <w:tab w:val="clear" w:pos="567"/>
              </w:tabs>
              <w:kinsoku w:val="0"/>
              <w:overflowPunct w:val="0"/>
              <w:autoSpaceDE w:val="0"/>
              <w:autoSpaceDN w:val="0"/>
              <w:adjustRightInd w:val="0"/>
              <w:spacing w:line="240" w:lineRule="auto"/>
            </w:pPr>
          </w:p>
          <w:p w14:paraId="5366C2A9" w14:textId="77777777" w:rsidR="00C04CAD" w:rsidRDefault="00C04CAD">
            <w:pPr>
              <w:tabs>
                <w:tab w:val="clear" w:pos="567"/>
              </w:tabs>
              <w:kinsoku w:val="0"/>
              <w:overflowPunct w:val="0"/>
              <w:autoSpaceDE w:val="0"/>
              <w:autoSpaceDN w:val="0"/>
              <w:adjustRightInd w:val="0"/>
              <w:spacing w:line="240" w:lineRule="auto"/>
            </w:pPr>
          </w:p>
          <w:p w14:paraId="2846C1E9" w14:textId="77777777" w:rsidR="00C04CAD" w:rsidRDefault="00060E34">
            <w:pPr>
              <w:tabs>
                <w:tab w:val="clear" w:pos="567"/>
              </w:tabs>
              <w:kinsoku w:val="0"/>
              <w:overflowPunct w:val="0"/>
              <w:autoSpaceDE w:val="0"/>
              <w:autoSpaceDN w:val="0"/>
              <w:adjustRightInd w:val="0"/>
              <w:spacing w:line="240" w:lineRule="auto"/>
            </w:pPr>
            <w:r>
              <w:t>Mai puţin frecvente</w:t>
            </w:r>
          </w:p>
          <w:p w14:paraId="3D89CC6E" w14:textId="77777777" w:rsidR="00C04CAD" w:rsidRDefault="00C04CAD">
            <w:pPr>
              <w:tabs>
                <w:tab w:val="clear" w:pos="567"/>
              </w:tabs>
              <w:kinsoku w:val="0"/>
              <w:overflowPunct w:val="0"/>
              <w:autoSpaceDE w:val="0"/>
              <w:autoSpaceDN w:val="0"/>
              <w:adjustRightInd w:val="0"/>
              <w:spacing w:line="240" w:lineRule="auto"/>
            </w:pPr>
          </w:p>
          <w:p w14:paraId="6A74680F" w14:textId="77777777" w:rsidR="00C04CAD" w:rsidRDefault="00C04CAD">
            <w:pPr>
              <w:tabs>
                <w:tab w:val="clear" w:pos="567"/>
              </w:tabs>
              <w:kinsoku w:val="0"/>
              <w:overflowPunct w:val="0"/>
              <w:autoSpaceDE w:val="0"/>
              <w:autoSpaceDN w:val="0"/>
              <w:adjustRightInd w:val="0"/>
              <w:spacing w:line="240" w:lineRule="auto"/>
            </w:pPr>
          </w:p>
          <w:p w14:paraId="0EC8E7F6" w14:textId="77777777" w:rsidR="00C04CAD" w:rsidRDefault="00060E34">
            <w:pPr>
              <w:tabs>
                <w:tab w:val="clear" w:pos="567"/>
              </w:tabs>
              <w:kinsoku w:val="0"/>
              <w:overflowPunct w:val="0"/>
              <w:autoSpaceDE w:val="0"/>
              <w:autoSpaceDN w:val="0"/>
              <w:adjustRightInd w:val="0"/>
              <w:spacing w:line="240" w:lineRule="auto"/>
            </w:pPr>
            <w:r>
              <w:t>Rare</w:t>
            </w:r>
          </w:p>
          <w:p w14:paraId="4C777A0B"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1E91E23F" w14:textId="77777777" w:rsidR="00C04CAD" w:rsidRDefault="00060E34">
            <w:pPr>
              <w:tabs>
                <w:tab w:val="clear" w:pos="567"/>
              </w:tabs>
              <w:kinsoku w:val="0"/>
              <w:overflowPunct w:val="0"/>
              <w:autoSpaceDE w:val="0"/>
              <w:autoSpaceDN w:val="0"/>
              <w:adjustRightInd w:val="0"/>
              <w:spacing w:line="240" w:lineRule="auto"/>
            </w:pPr>
            <w:r>
              <w:t>dureri musculo-scheletice</w:t>
            </w:r>
          </w:p>
          <w:p w14:paraId="5DA15417" w14:textId="77777777" w:rsidR="00C04CAD" w:rsidRDefault="00C04CAD">
            <w:pPr>
              <w:tabs>
                <w:tab w:val="clear" w:pos="567"/>
              </w:tabs>
              <w:kinsoku w:val="0"/>
              <w:overflowPunct w:val="0"/>
              <w:autoSpaceDE w:val="0"/>
              <w:autoSpaceDN w:val="0"/>
              <w:adjustRightInd w:val="0"/>
              <w:spacing w:line="240" w:lineRule="auto"/>
            </w:pPr>
          </w:p>
          <w:p w14:paraId="1123E1F5" w14:textId="77777777" w:rsidR="00C04CAD" w:rsidRDefault="00060E34">
            <w:pPr>
              <w:tabs>
                <w:tab w:val="clear" w:pos="567"/>
              </w:tabs>
              <w:kinsoku w:val="0"/>
              <w:overflowPunct w:val="0"/>
              <w:autoSpaceDE w:val="0"/>
              <w:autoSpaceDN w:val="0"/>
              <w:adjustRightInd w:val="0"/>
              <w:spacing w:line="240" w:lineRule="auto"/>
            </w:pPr>
            <w:r>
              <w:t>spasme musculare (inclusiv creşterea creatin fosfochinazei serice)</w:t>
            </w:r>
          </w:p>
          <w:p w14:paraId="28A02130" w14:textId="77777777" w:rsidR="00C04CAD" w:rsidRDefault="00C04CAD">
            <w:pPr>
              <w:tabs>
                <w:tab w:val="clear" w:pos="567"/>
              </w:tabs>
              <w:kinsoku w:val="0"/>
              <w:overflowPunct w:val="0"/>
              <w:autoSpaceDE w:val="0"/>
              <w:autoSpaceDN w:val="0"/>
              <w:adjustRightInd w:val="0"/>
              <w:spacing w:line="240" w:lineRule="auto"/>
            </w:pPr>
          </w:p>
          <w:p w14:paraId="2225F639" w14:textId="77777777" w:rsidR="00C04CAD" w:rsidRDefault="00060E34">
            <w:pPr>
              <w:tabs>
                <w:tab w:val="clear" w:pos="567"/>
              </w:tabs>
              <w:kinsoku w:val="0"/>
              <w:overflowPunct w:val="0"/>
              <w:autoSpaceDE w:val="0"/>
              <w:autoSpaceDN w:val="0"/>
              <w:adjustRightInd w:val="0"/>
              <w:spacing w:line="240" w:lineRule="auto"/>
            </w:pPr>
            <w:r>
              <w:t>rabdomioliză,</w:t>
            </w:r>
          </w:p>
          <w:p w14:paraId="25639CA2" w14:textId="77777777" w:rsidR="00C04CAD" w:rsidRDefault="00060E34">
            <w:pPr>
              <w:tabs>
                <w:tab w:val="clear" w:pos="567"/>
              </w:tabs>
              <w:kinsoku w:val="0"/>
              <w:overflowPunct w:val="0"/>
              <w:autoSpaceDE w:val="0"/>
              <w:autoSpaceDN w:val="0"/>
              <w:adjustRightInd w:val="0"/>
              <w:spacing w:line="240" w:lineRule="auto"/>
            </w:pPr>
            <w:r>
              <w:t xml:space="preserve">lupus eritematos sistemic </w:t>
            </w:r>
          </w:p>
          <w:p w14:paraId="797CC7F8" w14:textId="77777777" w:rsidR="00C04CAD" w:rsidRDefault="00C04CAD">
            <w:pPr>
              <w:tabs>
                <w:tab w:val="clear" w:pos="567"/>
              </w:tabs>
              <w:kinsoku w:val="0"/>
              <w:overflowPunct w:val="0"/>
              <w:autoSpaceDE w:val="0"/>
              <w:autoSpaceDN w:val="0"/>
              <w:adjustRightInd w:val="0"/>
              <w:spacing w:line="240" w:lineRule="auto"/>
            </w:pPr>
          </w:p>
          <w:p w14:paraId="43105C1F" w14:textId="77777777" w:rsidR="00C04CAD" w:rsidRDefault="00C04CAD">
            <w:pPr>
              <w:tabs>
                <w:tab w:val="clear" w:pos="567"/>
              </w:tabs>
              <w:kinsoku w:val="0"/>
              <w:overflowPunct w:val="0"/>
              <w:autoSpaceDE w:val="0"/>
              <w:autoSpaceDN w:val="0"/>
              <w:adjustRightInd w:val="0"/>
              <w:spacing w:line="240" w:lineRule="auto"/>
            </w:pPr>
          </w:p>
          <w:p w14:paraId="65AAE1CF" w14:textId="77777777" w:rsidR="00C04CAD" w:rsidRDefault="00060E34">
            <w:pPr>
              <w:tabs>
                <w:tab w:val="clear" w:pos="567"/>
              </w:tabs>
              <w:kinsoku w:val="0"/>
              <w:overflowPunct w:val="0"/>
              <w:autoSpaceDE w:val="0"/>
              <w:autoSpaceDN w:val="0"/>
              <w:adjustRightInd w:val="0"/>
              <w:spacing w:line="240" w:lineRule="auto"/>
              <w:rPr>
                <w:vertAlign w:val="superscript"/>
              </w:rPr>
            </w:pPr>
            <w:r>
              <w:t>sindrom asemănător lupusului</w:t>
            </w:r>
            <w:r>
              <w:rPr>
                <w:vertAlign w:val="superscript"/>
              </w:rPr>
              <w:t>1)</w:t>
            </w:r>
          </w:p>
          <w:p w14:paraId="67A5A627" w14:textId="77777777" w:rsidR="00C04CAD" w:rsidRDefault="00C04CAD">
            <w:pPr>
              <w:tabs>
                <w:tab w:val="clear" w:pos="567"/>
              </w:tabs>
              <w:kinsoku w:val="0"/>
              <w:overflowPunct w:val="0"/>
              <w:autoSpaceDE w:val="0"/>
              <w:autoSpaceDN w:val="0"/>
              <w:adjustRightInd w:val="0"/>
              <w:spacing w:line="240" w:lineRule="auto"/>
            </w:pPr>
          </w:p>
        </w:tc>
      </w:tr>
      <w:tr w:rsidR="00C04CAD" w14:paraId="6ABC16C4" w14:textId="77777777">
        <w:trPr>
          <w:cantSplit/>
        </w:trPr>
        <w:tc>
          <w:tcPr>
            <w:tcW w:w="2484" w:type="dxa"/>
          </w:tcPr>
          <w:p w14:paraId="3FA749F7" w14:textId="77777777" w:rsidR="00C04CAD" w:rsidRDefault="00060E34">
            <w:pPr>
              <w:tabs>
                <w:tab w:val="clear" w:pos="567"/>
              </w:tabs>
              <w:kinsoku w:val="0"/>
              <w:overflowPunct w:val="0"/>
              <w:autoSpaceDE w:val="0"/>
              <w:autoSpaceDN w:val="0"/>
              <w:adjustRightInd w:val="0"/>
              <w:spacing w:line="240" w:lineRule="auto"/>
            </w:pPr>
            <w:r>
              <w:t>Tulburări renale şi ale căilor urinare</w:t>
            </w:r>
          </w:p>
        </w:tc>
        <w:tc>
          <w:tcPr>
            <w:tcW w:w="1854" w:type="dxa"/>
          </w:tcPr>
          <w:p w14:paraId="0FCD632C" w14:textId="77777777" w:rsidR="00C04CAD" w:rsidRDefault="00060E34">
            <w:pPr>
              <w:tabs>
                <w:tab w:val="clear" w:pos="567"/>
              </w:tabs>
              <w:kinsoku w:val="0"/>
              <w:overflowPunct w:val="0"/>
              <w:autoSpaceDE w:val="0"/>
              <w:autoSpaceDN w:val="0"/>
              <w:adjustRightInd w:val="0"/>
              <w:spacing w:line="240" w:lineRule="auto"/>
            </w:pPr>
            <w:r>
              <w:t>Frecvente</w:t>
            </w:r>
          </w:p>
          <w:p w14:paraId="55624BAD" w14:textId="77777777" w:rsidR="00C04CAD" w:rsidRDefault="00C04CAD">
            <w:pPr>
              <w:tabs>
                <w:tab w:val="clear" w:pos="567"/>
              </w:tabs>
              <w:kinsoku w:val="0"/>
              <w:overflowPunct w:val="0"/>
              <w:autoSpaceDE w:val="0"/>
              <w:autoSpaceDN w:val="0"/>
              <w:adjustRightInd w:val="0"/>
              <w:spacing w:line="240" w:lineRule="auto"/>
            </w:pPr>
          </w:p>
          <w:p w14:paraId="36FE0AA2" w14:textId="77777777" w:rsidR="00C04CAD" w:rsidRDefault="00C04CAD">
            <w:pPr>
              <w:tabs>
                <w:tab w:val="clear" w:pos="567"/>
              </w:tabs>
              <w:kinsoku w:val="0"/>
              <w:overflowPunct w:val="0"/>
              <w:autoSpaceDE w:val="0"/>
              <w:autoSpaceDN w:val="0"/>
              <w:adjustRightInd w:val="0"/>
              <w:spacing w:line="240" w:lineRule="auto"/>
            </w:pPr>
          </w:p>
          <w:p w14:paraId="4AEABA13" w14:textId="77777777" w:rsidR="00C04CAD" w:rsidRDefault="00C04CAD">
            <w:pPr>
              <w:tabs>
                <w:tab w:val="clear" w:pos="567"/>
              </w:tabs>
              <w:kinsoku w:val="0"/>
              <w:overflowPunct w:val="0"/>
              <w:autoSpaceDE w:val="0"/>
              <w:autoSpaceDN w:val="0"/>
              <w:adjustRightInd w:val="0"/>
              <w:spacing w:line="240" w:lineRule="auto"/>
            </w:pPr>
          </w:p>
          <w:p w14:paraId="29F140D9"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tc>
        <w:tc>
          <w:tcPr>
            <w:tcW w:w="4615" w:type="dxa"/>
          </w:tcPr>
          <w:p w14:paraId="2751856C" w14:textId="77777777" w:rsidR="00C04CAD" w:rsidRDefault="00060E34">
            <w:pPr>
              <w:tabs>
                <w:tab w:val="clear" w:pos="567"/>
              </w:tabs>
              <w:kinsoku w:val="0"/>
              <w:overflowPunct w:val="0"/>
              <w:autoSpaceDE w:val="0"/>
              <w:autoSpaceDN w:val="0"/>
              <w:adjustRightInd w:val="0"/>
              <w:spacing w:line="240" w:lineRule="auto"/>
            </w:pPr>
            <w:r>
              <w:t>insuficienţă renală,</w:t>
            </w:r>
          </w:p>
          <w:p w14:paraId="7D7849BC" w14:textId="77777777" w:rsidR="00C04CAD" w:rsidRDefault="00060E34">
            <w:pPr>
              <w:tabs>
                <w:tab w:val="clear" w:pos="567"/>
              </w:tabs>
              <w:kinsoku w:val="0"/>
              <w:overflowPunct w:val="0"/>
              <w:autoSpaceDE w:val="0"/>
              <w:autoSpaceDN w:val="0"/>
              <w:adjustRightInd w:val="0"/>
              <w:spacing w:line="240" w:lineRule="auto"/>
            </w:pPr>
            <w:r>
              <w:t xml:space="preserve">hematurie </w:t>
            </w:r>
          </w:p>
          <w:p w14:paraId="0AB1B8C5" w14:textId="77777777" w:rsidR="00C04CAD" w:rsidRDefault="00C04CAD">
            <w:pPr>
              <w:tabs>
                <w:tab w:val="clear" w:pos="567"/>
              </w:tabs>
              <w:kinsoku w:val="0"/>
              <w:overflowPunct w:val="0"/>
              <w:autoSpaceDE w:val="0"/>
              <w:autoSpaceDN w:val="0"/>
              <w:adjustRightInd w:val="0"/>
              <w:spacing w:line="240" w:lineRule="auto"/>
            </w:pPr>
          </w:p>
          <w:p w14:paraId="5F0A20A0" w14:textId="77777777" w:rsidR="00C04CAD" w:rsidRDefault="00C04CAD">
            <w:pPr>
              <w:tabs>
                <w:tab w:val="clear" w:pos="567"/>
              </w:tabs>
              <w:kinsoku w:val="0"/>
              <w:overflowPunct w:val="0"/>
              <w:autoSpaceDE w:val="0"/>
              <w:autoSpaceDN w:val="0"/>
              <w:adjustRightInd w:val="0"/>
              <w:spacing w:line="240" w:lineRule="auto"/>
            </w:pPr>
          </w:p>
          <w:p w14:paraId="229289C5" w14:textId="77777777" w:rsidR="00C04CAD" w:rsidRDefault="00060E34">
            <w:pPr>
              <w:tabs>
                <w:tab w:val="clear" w:pos="567"/>
              </w:tabs>
              <w:kinsoku w:val="0"/>
              <w:overflowPunct w:val="0"/>
              <w:autoSpaceDE w:val="0"/>
              <w:autoSpaceDN w:val="0"/>
              <w:adjustRightInd w:val="0"/>
              <w:spacing w:line="240" w:lineRule="auto"/>
            </w:pPr>
            <w:r>
              <w:t xml:space="preserve">nicturie </w:t>
            </w:r>
          </w:p>
        </w:tc>
      </w:tr>
      <w:tr w:rsidR="00C04CAD" w14:paraId="17BCBBD3" w14:textId="77777777">
        <w:trPr>
          <w:cantSplit/>
        </w:trPr>
        <w:tc>
          <w:tcPr>
            <w:tcW w:w="2484" w:type="dxa"/>
          </w:tcPr>
          <w:p w14:paraId="4CC252FD" w14:textId="77777777" w:rsidR="00C04CAD" w:rsidRDefault="00060E34">
            <w:pPr>
              <w:tabs>
                <w:tab w:val="clear" w:pos="567"/>
              </w:tabs>
              <w:kinsoku w:val="0"/>
              <w:overflowPunct w:val="0"/>
              <w:autoSpaceDE w:val="0"/>
              <w:autoSpaceDN w:val="0"/>
              <w:adjustRightInd w:val="0"/>
              <w:spacing w:line="240" w:lineRule="auto"/>
            </w:pPr>
            <w:r>
              <w:t>Tulburări ale aparatului genital şi sânului</w:t>
            </w:r>
          </w:p>
        </w:tc>
        <w:tc>
          <w:tcPr>
            <w:tcW w:w="1854" w:type="dxa"/>
          </w:tcPr>
          <w:p w14:paraId="55F6A26E" w14:textId="77777777" w:rsidR="00C04CAD" w:rsidRDefault="00060E34">
            <w:pPr>
              <w:tabs>
                <w:tab w:val="clear" w:pos="567"/>
              </w:tabs>
              <w:kinsoku w:val="0"/>
              <w:overflowPunct w:val="0"/>
              <w:autoSpaceDE w:val="0"/>
              <w:autoSpaceDN w:val="0"/>
              <w:adjustRightInd w:val="0"/>
              <w:spacing w:line="240" w:lineRule="auto"/>
            </w:pPr>
            <w:r>
              <w:t>Mai puţin</w:t>
            </w:r>
          </w:p>
          <w:p w14:paraId="71C22CBA" w14:textId="77777777" w:rsidR="00C04CAD" w:rsidRDefault="00060E34">
            <w:pPr>
              <w:tabs>
                <w:tab w:val="clear" w:pos="567"/>
              </w:tabs>
              <w:kinsoku w:val="0"/>
              <w:overflowPunct w:val="0"/>
              <w:autoSpaceDE w:val="0"/>
              <w:autoSpaceDN w:val="0"/>
              <w:adjustRightInd w:val="0"/>
              <w:spacing w:line="240" w:lineRule="auto"/>
            </w:pPr>
            <w:r>
              <w:t>frecvente</w:t>
            </w:r>
          </w:p>
          <w:p w14:paraId="413AC272" w14:textId="77777777" w:rsidR="00C04CAD" w:rsidRDefault="00C04CAD">
            <w:pPr>
              <w:tabs>
                <w:tab w:val="clear" w:pos="567"/>
              </w:tabs>
              <w:kinsoku w:val="0"/>
              <w:overflowPunct w:val="0"/>
              <w:autoSpaceDE w:val="0"/>
              <w:autoSpaceDN w:val="0"/>
              <w:adjustRightInd w:val="0"/>
              <w:spacing w:line="240" w:lineRule="auto"/>
            </w:pPr>
          </w:p>
        </w:tc>
        <w:tc>
          <w:tcPr>
            <w:tcW w:w="4615" w:type="dxa"/>
          </w:tcPr>
          <w:p w14:paraId="06427864" w14:textId="77777777" w:rsidR="00C04CAD" w:rsidRDefault="00060E34">
            <w:pPr>
              <w:tabs>
                <w:tab w:val="clear" w:pos="567"/>
              </w:tabs>
              <w:kinsoku w:val="0"/>
              <w:overflowPunct w:val="0"/>
              <w:autoSpaceDE w:val="0"/>
              <w:autoSpaceDN w:val="0"/>
              <w:adjustRightInd w:val="0"/>
              <w:spacing w:line="240" w:lineRule="auto"/>
            </w:pPr>
            <w:r>
              <w:t>tulburări de erecţie</w:t>
            </w:r>
          </w:p>
          <w:p w14:paraId="3F115A29" w14:textId="77777777" w:rsidR="00C04CAD" w:rsidRDefault="00C04CAD">
            <w:pPr>
              <w:tabs>
                <w:tab w:val="clear" w:pos="567"/>
              </w:tabs>
              <w:kinsoku w:val="0"/>
              <w:overflowPunct w:val="0"/>
              <w:autoSpaceDE w:val="0"/>
              <w:autoSpaceDN w:val="0"/>
              <w:adjustRightInd w:val="0"/>
              <w:spacing w:line="240" w:lineRule="auto"/>
            </w:pPr>
          </w:p>
        </w:tc>
      </w:tr>
      <w:tr w:rsidR="00C04CAD" w14:paraId="6A6509D8" w14:textId="77777777">
        <w:trPr>
          <w:cantSplit/>
        </w:trPr>
        <w:tc>
          <w:tcPr>
            <w:tcW w:w="2484" w:type="dxa"/>
          </w:tcPr>
          <w:p w14:paraId="3E7E5AD4" w14:textId="77777777" w:rsidR="00C04CAD" w:rsidRDefault="00060E34">
            <w:pPr>
              <w:tabs>
                <w:tab w:val="clear" w:pos="567"/>
              </w:tabs>
              <w:kinsoku w:val="0"/>
              <w:overflowPunct w:val="0"/>
              <w:autoSpaceDE w:val="0"/>
              <w:autoSpaceDN w:val="0"/>
              <w:adjustRightInd w:val="0"/>
              <w:spacing w:line="240" w:lineRule="auto"/>
            </w:pPr>
            <w:r>
              <w:t>Tulburări generale şi la nivelul locului de administrare*</w:t>
            </w:r>
          </w:p>
        </w:tc>
        <w:tc>
          <w:tcPr>
            <w:tcW w:w="1854" w:type="dxa"/>
          </w:tcPr>
          <w:p w14:paraId="106F544E" w14:textId="77777777" w:rsidR="00C04CAD" w:rsidRDefault="00060E34">
            <w:pPr>
              <w:tabs>
                <w:tab w:val="clear" w:pos="567"/>
              </w:tabs>
              <w:kinsoku w:val="0"/>
              <w:overflowPunct w:val="0"/>
              <w:autoSpaceDE w:val="0"/>
              <w:autoSpaceDN w:val="0"/>
              <w:adjustRightInd w:val="0"/>
              <w:spacing w:line="240" w:lineRule="auto"/>
            </w:pPr>
            <w:r>
              <w:t>Foarte frecvente</w:t>
            </w:r>
          </w:p>
          <w:p w14:paraId="1A01ED49" w14:textId="77777777" w:rsidR="00C04CAD" w:rsidRDefault="00C04CAD">
            <w:pPr>
              <w:tabs>
                <w:tab w:val="clear" w:pos="567"/>
              </w:tabs>
              <w:kinsoku w:val="0"/>
              <w:overflowPunct w:val="0"/>
              <w:autoSpaceDE w:val="0"/>
              <w:autoSpaceDN w:val="0"/>
              <w:adjustRightInd w:val="0"/>
              <w:spacing w:line="240" w:lineRule="auto"/>
            </w:pPr>
          </w:p>
          <w:p w14:paraId="56F8BECB" w14:textId="77777777" w:rsidR="00C04CAD" w:rsidRDefault="00C04CAD">
            <w:pPr>
              <w:tabs>
                <w:tab w:val="clear" w:pos="567"/>
              </w:tabs>
              <w:kinsoku w:val="0"/>
              <w:overflowPunct w:val="0"/>
              <w:autoSpaceDE w:val="0"/>
              <w:autoSpaceDN w:val="0"/>
              <w:adjustRightInd w:val="0"/>
              <w:spacing w:line="240" w:lineRule="auto"/>
            </w:pPr>
          </w:p>
          <w:p w14:paraId="1FBC5135" w14:textId="77777777" w:rsidR="00C04CAD" w:rsidRDefault="00060E34">
            <w:pPr>
              <w:tabs>
                <w:tab w:val="clear" w:pos="567"/>
              </w:tabs>
              <w:kinsoku w:val="0"/>
              <w:overflowPunct w:val="0"/>
              <w:autoSpaceDE w:val="0"/>
              <w:autoSpaceDN w:val="0"/>
              <w:adjustRightInd w:val="0"/>
              <w:spacing w:line="240" w:lineRule="auto"/>
            </w:pPr>
            <w:r>
              <w:t>Frecvente</w:t>
            </w:r>
          </w:p>
          <w:p w14:paraId="16842178" w14:textId="77777777" w:rsidR="00C04CAD" w:rsidRDefault="00C04CAD">
            <w:pPr>
              <w:tabs>
                <w:tab w:val="clear" w:pos="567"/>
              </w:tabs>
              <w:kinsoku w:val="0"/>
              <w:overflowPunct w:val="0"/>
              <w:autoSpaceDE w:val="0"/>
              <w:autoSpaceDN w:val="0"/>
              <w:adjustRightInd w:val="0"/>
              <w:spacing w:line="240" w:lineRule="auto"/>
            </w:pPr>
          </w:p>
          <w:p w14:paraId="6604A972" w14:textId="77777777" w:rsidR="00C04CAD" w:rsidRDefault="00C04CAD">
            <w:pPr>
              <w:tabs>
                <w:tab w:val="clear" w:pos="567"/>
              </w:tabs>
              <w:kinsoku w:val="0"/>
              <w:overflowPunct w:val="0"/>
              <w:autoSpaceDE w:val="0"/>
              <w:autoSpaceDN w:val="0"/>
              <w:adjustRightInd w:val="0"/>
              <w:spacing w:line="240" w:lineRule="auto"/>
            </w:pPr>
          </w:p>
          <w:p w14:paraId="5BE564BC" w14:textId="77777777" w:rsidR="00C04CAD" w:rsidRDefault="00C04CAD">
            <w:pPr>
              <w:tabs>
                <w:tab w:val="clear" w:pos="567"/>
              </w:tabs>
              <w:kinsoku w:val="0"/>
              <w:overflowPunct w:val="0"/>
              <w:autoSpaceDE w:val="0"/>
              <w:autoSpaceDN w:val="0"/>
              <w:adjustRightInd w:val="0"/>
              <w:spacing w:line="240" w:lineRule="auto"/>
            </w:pPr>
          </w:p>
          <w:p w14:paraId="0A5676D6" w14:textId="77777777" w:rsidR="00C04CAD" w:rsidRDefault="00060E34">
            <w:pPr>
              <w:tabs>
                <w:tab w:val="clear" w:pos="567"/>
              </w:tabs>
              <w:kinsoku w:val="0"/>
              <w:overflowPunct w:val="0"/>
              <w:autoSpaceDE w:val="0"/>
              <w:autoSpaceDN w:val="0"/>
              <w:adjustRightInd w:val="0"/>
              <w:spacing w:line="240" w:lineRule="auto"/>
            </w:pPr>
            <w:r>
              <w:t xml:space="preserve">Mai puţin frecvente </w:t>
            </w:r>
          </w:p>
        </w:tc>
        <w:tc>
          <w:tcPr>
            <w:tcW w:w="4615" w:type="dxa"/>
          </w:tcPr>
          <w:p w14:paraId="3219B0DB" w14:textId="77777777" w:rsidR="00C04CAD" w:rsidRDefault="00060E34">
            <w:pPr>
              <w:tabs>
                <w:tab w:val="clear" w:pos="567"/>
              </w:tabs>
              <w:kinsoku w:val="0"/>
              <w:overflowPunct w:val="0"/>
              <w:autoSpaceDE w:val="0"/>
              <w:autoSpaceDN w:val="0"/>
              <w:adjustRightInd w:val="0"/>
              <w:spacing w:line="240" w:lineRule="auto"/>
            </w:pPr>
            <w:r>
              <w:t>reacţie la locul injectării (inclusiv eritem la locul injectării)</w:t>
            </w:r>
          </w:p>
          <w:p w14:paraId="1EA2957B" w14:textId="77777777" w:rsidR="00C04CAD" w:rsidRDefault="00C04CAD">
            <w:pPr>
              <w:tabs>
                <w:tab w:val="clear" w:pos="567"/>
              </w:tabs>
              <w:kinsoku w:val="0"/>
              <w:overflowPunct w:val="0"/>
              <w:autoSpaceDE w:val="0"/>
              <w:autoSpaceDN w:val="0"/>
              <w:adjustRightInd w:val="0"/>
              <w:spacing w:line="240" w:lineRule="auto"/>
            </w:pPr>
          </w:p>
          <w:p w14:paraId="5E4D53F1" w14:textId="77777777" w:rsidR="00C04CAD" w:rsidRDefault="00060E34">
            <w:pPr>
              <w:tabs>
                <w:tab w:val="clear" w:pos="567"/>
              </w:tabs>
              <w:kinsoku w:val="0"/>
              <w:overflowPunct w:val="0"/>
              <w:autoSpaceDE w:val="0"/>
              <w:autoSpaceDN w:val="0"/>
              <w:adjustRightInd w:val="0"/>
              <w:spacing w:line="240" w:lineRule="auto"/>
            </w:pPr>
            <w:r>
              <w:t>dureri la nivelul toracelui,</w:t>
            </w:r>
          </w:p>
          <w:p w14:paraId="579A3099" w14:textId="77777777" w:rsidR="00C04CAD" w:rsidRDefault="00060E34">
            <w:pPr>
              <w:tabs>
                <w:tab w:val="clear" w:pos="567"/>
              </w:tabs>
              <w:kinsoku w:val="0"/>
              <w:overflowPunct w:val="0"/>
              <w:autoSpaceDE w:val="0"/>
              <w:autoSpaceDN w:val="0"/>
              <w:adjustRightInd w:val="0"/>
              <w:spacing w:line="240" w:lineRule="auto"/>
            </w:pPr>
            <w:r>
              <w:t>edem,</w:t>
            </w:r>
          </w:p>
          <w:p w14:paraId="51473493" w14:textId="77777777" w:rsidR="00C04CAD" w:rsidRDefault="00060E34">
            <w:pPr>
              <w:tabs>
                <w:tab w:val="clear" w:pos="567"/>
              </w:tabs>
              <w:kinsoku w:val="0"/>
              <w:overflowPunct w:val="0"/>
              <w:autoSpaceDE w:val="0"/>
              <w:autoSpaceDN w:val="0"/>
              <w:adjustRightInd w:val="0"/>
              <w:spacing w:line="240" w:lineRule="auto"/>
            </w:pPr>
            <w:r>
              <w:t>febră</w:t>
            </w:r>
            <w:r>
              <w:rPr>
                <w:vertAlign w:val="superscript"/>
              </w:rPr>
              <w:t>1)</w:t>
            </w:r>
          </w:p>
          <w:p w14:paraId="33B8C0D2" w14:textId="77777777" w:rsidR="00C04CAD" w:rsidRDefault="00C04CAD">
            <w:pPr>
              <w:tabs>
                <w:tab w:val="clear" w:pos="567"/>
              </w:tabs>
              <w:kinsoku w:val="0"/>
              <w:overflowPunct w:val="0"/>
              <w:autoSpaceDE w:val="0"/>
              <w:autoSpaceDN w:val="0"/>
              <w:adjustRightInd w:val="0"/>
              <w:spacing w:line="240" w:lineRule="auto"/>
            </w:pPr>
          </w:p>
          <w:p w14:paraId="51CA14D3" w14:textId="77777777" w:rsidR="00C04CAD" w:rsidRDefault="00060E34">
            <w:pPr>
              <w:tabs>
                <w:tab w:val="clear" w:pos="567"/>
              </w:tabs>
              <w:kinsoku w:val="0"/>
              <w:overflowPunct w:val="0"/>
              <w:autoSpaceDE w:val="0"/>
              <w:autoSpaceDN w:val="0"/>
              <w:adjustRightInd w:val="0"/>
              <w:spacing w:line="240" w:lineRule="auto"/>
            </w:pPr>
            <w:r>
              <w:t xml:space="preserve">inflamaţie </w:t>
            </w:r>
          </w:p>
          <w:p w14:paraId="508DC901" w14:textId="77777777" w:rsidR="00C04CAD" w:rsidRDefault="00C04CAD">
            <w:pPr>
              <w:tabs>
                <w:tab w:val="clear" w:pos="567"/>
              </w:tabs>
              <w:kinsoku w:val="0"/>
              <w:overflowPunct w:val="0"/>
              <w:autoSpaceDE w:val="0"/>
              <w:autoSpaceDN w:val="0"/>
              <w:adjustRightInd w:val="0"/>
              <w:spacing w:line="240" w:lineRule="auto"/>
            </w:pPr>
          </w:p>
        </w:tc>
      </w:tr>
      <w:tr w:rsidR="00C04CAD" w14:paraId="5CA087E7" w14:textId="77777777">
        <w:trPr>
          <w:cantSplit/>
        </w:trPr>
        <w:tc>
          <w:tcPr>
            <w:tcW w:w="2484" w:type="dxa"/>
            <w:vMerge w:val="restart"/>
          </w:tcPr>
          <w:p w14:paraId="4137A58B" w14:textId="77777777" w:rsidR="00C04CAD" w:rsidRDefault="00060E34">
            <w:pPr>
              <w:tabs>
                <w:tab w:val="clear" w:pos="567"/>
              </w:tabs>
              <w:kinsoku w:val="0"/>
              <w:overflowPunct w:val="0"/>
              <w:autoSpaceDE w:val="0"/>
              <w:autoSpaceDN w:val="0"/>
              <w:adjustRightInd w:val="0"/>
              <w:spacing w:line="240" w:lineRule="auto"/>
            </w:pPr>
            <w:r>
              <w:t>Investigaţii diagnostice*</w:t>
            </w:r>
          </w:p>
        </w:tc>
        <w:tc>
          <w:tcPr>
            <w:tcW w:w="1854" w:type="dxa"/>
          </w:tcPr>
          <w:p w14:paraId="0ED6ABED" w14:textId="77777777" w:rsidR="00C04CAD" w:rsidRDefault="00060E34">
            <w:pPr>
              <w:tabs>
                <w:tab w:val="clear" w:pos="567"/>
              </w:tabs>
              <w:kinsoku w:val="0"/>
              <w:overflowPunct w:val="0"/>
              <w:autoSpaceDE w:val="0"/>
              <w:autoSpaceDN w:val="0"/>
              <w:adjustRightInd w:val="0"/>
              <w:spacing w:line="240" w:lineRule="auto"/>
            </w:pPr>
            <w:r>
              <w:t>Frecvente</w:t>
            </w:r>
          </w:p>
        </w:tc>
        <w:tc>
          <w:tcPr>
            <w:tcW w:w="4615" w:type="dxa"/>
          </w:tcPr>
          <w:p w14:paraId="5C8E6230" w14:textId="77777777" w:rsidR="00C04CAD" w:rsidRDefault="00060E34">
            <w:pPr>
              <w:tabs>
                <w:tab w:val="clear" w:pos="567"/>
              </w:tabs>
              <w:kinsoku w:val="0"/>
              <w:overflowPunct w:val="0"/>
              <w:autoSpaceDE w:val="0"/>
              <w:autoSpaceDN w:val="0"/>
              <w:adjustRightInd w:val="0"/>
              <w:spacing w:line="240" w:lineRule="auto"/>
            </w:pPr>
            <w:r>
              <w:t>tulburări ale coagulării şi ale sângerării (inclusiv prelungirea timpului de tromboplastină parţială activată),</w:t>
            </w:r>
          </w:p>
          <w:p w14:paraId="5D59A307" w14:textId="77777777" w:rsidR="00C04CAD" w:rsidRDefault="00060E34">
            <w:pPr>
              <w:tabs>
                <w:tab w:val="clear" w:pos="567"/>
              </w:tabs>
              <w:kinsoku w:val="0"/>
              <w:overflowPunct w:val="0"/>
              <w:autoSpaceDE w:val="0"/>
              <w:autoSpaceDN w:val="0"/>
              <w:adjustRightInd w:val="0"/>
              <w:spacing w:line="240" w:lineRule="auto"/>
            </w:pPr>
            <w:r>
              <w:t>test pozitiv pentru autoanticorpi (inclusiv anticorpi anti ADN dublu catenar),</w:t>
            </w:r>
          </w:p>
          <w:p w14:paraId="52D02A58" w14:textId="77777777" w:rsidR="00C04CAD" w:rsidRDefault="00060E34">
            <w:pPr>
              <w:tabs>
                <w:tab w:val="clear" w:pos="567"/>
              </w:tabs>
              <w:kinsoku w:val="0"/>
              <w:overflowPunct w:val="0"/>
              <w:autoSpaceDE w:val="0"/>
              <w:autoSpaceDN w:val="0"/>
              <w:adjustRightInd w:val="0"/>
              <w:spacing w:line="240" w:lineRule="auto"/>
            </w:pPr>
            <w:r>
              <w:t>creşterea lactat dehidrogenazei serice</w:t>
            </w:r>
          </w:p>
          <w:p w14:paraId="16F553E7" w14:textId="77777777" w:rsidR="00C04CAD" w:rsidRDefault="00C04CAD">
            <w:pPr>
              <w:tabs>
                <w:tab w:val="clear" w:pos="567"/>
              </w:tabs>
              <w:kinsoku w:val="0"/>
              <w:overflowPunct w:val="0"/>
              <w:autoSpaceDE w:val="0"/>
              <w:autoSpaceDN w:val="0"/>
              <w:adjustRightInd w:val="0"/>
              <w:spacing w:line="240" w:lineRule="auto"/>
            </w:pPr>
          </w:p>
        </w:tc>
      </w:tr>
      <w:tr w:rsidR="00C04CAD" w14:paraId="62F56189" w14:textId="77777777">
        <w:trPr>
          <w:cantSplit/>
        </w:trPr>
        <w:tc>
          <w:tcPr>
            <w:tcW w:w="2484" w:type="dxa"/>
            <w:vMerge/>
          </w:tcPr>
          <w:p w14:paraId="158A9199" w14:textId="77777777" w:rsidR="00C04CAD" w:rsidRDefault="00C04CAD">
            <w:pPr>
              <w:tabs>
                <w:tab w:val="clear" w:pos="567"/>
              </w:tabs>
              <w:kinsoku w:val="0"/>
              <w:overflowPunct w:val="0"/>
              <w:autoSpaceDE w:val="0"/>
              <w:autoSpaceDN w:val="0"/>
              <w:adjustRightInd w:val="0"/>
              <w:spacing w:line="240" w:lineRule="auto"/>
            </w:pPr>
          </w:p>
        </w:tc>
        <w:tc>
          <w:tcPr>
            <w:tcW w:w="1854" w:type="dxa"/>
          </w:tcPr>
          <w:p w14:paraId="0000448C" w14:textId="77777777" w:rsidR="00C04CAD" w:rsidRDefault="00060E34">
            <w:pPr>
              <w:tabs>
                <w:tab w:val="clear" w:pos="567"/>
              </w:tabs>
              <w:kinsoku w:val="0"/>
              <w:overflowPunct w:val="0"/>
              <w:autoSpaceDE w:val="0"/>
              <w:autoSpaceDN w:val="0"/>
              <w:adjustRightInd w:val="0"/>
              <w:spacing w:line="240" w:lineRule="auto"/>
            </w:pPr>
            <w:r>
              <w:t>Cu frecvență necunoscută</w:t>
            </w:r>
          </w:p>
        </w:tc>
        <w:tc>
          <w:tcPr>
            <w:tcW w:w="4615" w:type="dxa"/>
          </w:tcPr>
          <w:p w14:paraId="2552578C" w14:textId="77777777" w:rsidR="00C04CAD" w:rsidRDefault="00060E34">
            <w:pPr>
              <w:tabs>
                <w:tab w:val="clear" w:pos="567"/>
              </w:tabs>
              <w:kinsoku w:val="0"/>
              <w:overflowPunct w:val="0"/>
              <w:autoSpaceDE w:val="0"/>
              <w:autoSpaceDN w:val="0"/>
              <w:adjustRightInd w:val="0"/>
              <w:spacing w:line="240" w:lineRule="auto"/>
            </w:pPr>
            <w:r>
              <w:t>Creștere în greutate</w:t>
            </w:r>
            <w:r>
              <w:rPr>
                <w:vertAlign w:val="superscript"/>
              </w:rPr>
              <w:t>2)</w:t>
            </w:r>
          </w:p>
        </w:tc>
      </w:tr>
      <w:tr w:rsidR="00C04CAD" w14:paraId="3CA02967" w14:textId="77777777">
        <w:trPr>
          <w:cantSplit/>
        </w:trPr>
        <w:tc>
          <w:tcPr>
            <w:tcW w:w="2484" w:type="dxa"/>
          </w:tcPr>
          <w:p w14:paraId="7AABBDED" w14:textId="77777777" w:rsidR="00C04CAD" w:rsidRDefault="00060E34">
            <w:pPr>
              <w:tabs>
                <w:tab w:val="clear" w:pos="567"/>
              </w:tabs>
              <w:kinsoku w:val="0"/>
              <w:overflowPunct w:val="0"/>
              <w:autoSpaceDE w:val="0"/>
              <w:autoSpaceDN w:val="0"/>
              <w:adjustRightInd w:val="0"/>
              <w:spacing w:line="240" w:lineRule="auto"/>
            </w:pPr>
            <w:r>
              <w:t>Leziuni, intoxicaţii şi complicaţii legate de procedură</w:t>
            </w:r>
          </w:p>
        </w:tc>
        <w:tc>
          <w:tcPr>
            <w:tcW w:w="1854" w:type="dxa"/>
          </w:tcPr>
          <w:p w14:paraId="29A2224A" w14:textId="77777777" w:rsidR="00C04CAD" w:rsidRDefault="00060E34">
            <w:pPr>
              <w:tabs>
                <w:tab w:val="clear" w:pos="567"/>
              </w:tabs>
              <w:kinsoku w:val="0"/>
              <w:overflowPunct w:val="0"/>
              <w:autoSpaceDE w:val="0"/>
              <w:autoSpaceDN w:val="0"/>
              <w:adjustRightInd w:val="0"/>
              <w:spacing w:line="240" w:lineRule="auto"/>
            </w:pPr>
            <w:r>
              <w:t>Frecvente</w:t>
            </w:r>
          </w:p>
        </w:tc>
        <w:tc>
          <w:tcPr>
            <w:tcW w:w="4615" w:type="dxa"/>
          </w:tcPr>
          <w:p w14:paraId="4C0A27A8" w14:textId="77777777" w:rsidR="00C04CAD" w:rsidRDefault="00060E34">
            <w:pPr>
              <w:tabs>
                <w:tab w:val="clear" w:pos="567"/>
              </w:tabs>
              <w:kinsoku w:val="0"/>
              <w:overflowPunct w:val="0"/>
              <w:autoSpaceDE w:val="0"/>
              <w:autoSpaceDN w:val="0"/>
              <w:adjustRightInd w:val="0"/>
              <w:spacing w:line="240" w:lineRule="auto"/>
            </w:pPr>
            <w:r>
              <w:t>tulburări ale vindecării</w:t>
            </w:r>
          </w:p>
        </w:tc>
      </w:tr>
    </w:tbl>
    <w:p w14:paraId="6761384C" w14:textId="77777777" w:rsidR="00C04CAD" w:rsidRDefault="00060E34">
      <w:pPr>
        <w:tabs>
          <w:tab w:val="clear" w:pos="567"/>
        </w:tabs>
        <w:kinsoku w:val="0"/>
        <w:overflowPunct w:val="0"/>
        <w:autoSpaceDE w:val="0"/>
        <w:autoSpaceDN w:val="0"/>
        <w:adjustRightInd w:val="0"/>
        <w:spacing w:line="240" w:lineRule="auto"/>
        <w:rPr>
          <w:sz w:val="20"/>
        </w:rPr>
      </w:pPr>
      <w:r>
        <w:rPr>
          <w:sz w:val="20"/>
        </w:rPr>
        <w:t>* informaţii suplimentare se găsesc şi în capitolele 4.3, 4.4 şi 4.8</w:t>
      </w:r>
    </w:p>
    <w:p w14:paraId="17B99A52" w14:textId="77777777" w:rsidR="00C04CAD" w:rsidRDefault="00060E34">
      <w:pPr>
        <w:tabs>
          <w:tab w:val="clear" w:pos="567"/>
        </w:tabs>
        <w:kinsoku w:val="0"/>
        <w:overflowPunct w:val="0"/>
        <w:autoSpaceDE w:val="0"/>
        <w:autoSpaceDN w:val="0"/>
        <w:adjustRightInd w:val="0"/>
        <w:spacing w:line="240" w:lineRule="auto"/>
        <w:rPr>
          <w:sz w:val="20"/>
        </w:rPr>
      </w:pPr>
      <w:r>
        <w:rPr>
          <w:sz w:val="20"/>
        </w:rPr>
        <w:t>** inclusiv studii deschise extinse</w:t>
      </w:r>
    </w:p>
    <w:p w14:paraId="4662060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1)</w:t>
      </w:r>
      <w:r>
        <w:rPr>
          <w:sz w:val="20"/>
        </w:rPr>
        <w:t xml:space="preserve"> Inclusiv datele din raportările spontane.</w:t>
      </w:r>
    </w:p>
    <w:p w14:paraId="398EAE10" w14:textId="77777777" w:rsidR="00C04CAD" w:rsidRDefault="00060E34">
      <w:pPr>
        <w:tabs>
          <w:tab w:val="clear" w:pos="567"/>
        </w:tabs>
        <w:kinsoku w:val="0"/>
        <w:overflowPunct w:val="0"/>
        <w:autoSpaceDE w:val="0"/>
        <w:autoSpaceDN w:val="0"/>
        <w:adjustRightInd w:val="0"/>
        <w:spacing w:line="240" w:lineRule="auto"/>
        <w:rPr>
          <w:sz w:val="20"/>
        </w:rPr>
      </w:pPr>
      <w:r>
        <w:rPr>
          <w:rFonts w:eastAsia="MS Mincho"/>
          <w:color w:val="000000"/>
          <w:sz w:val="20"/>
          <w:vertAlign w:val="superscript"/>
          <w:lang w:eastAsia="ja-JP" w:bidi="ar-SA"/>
        </w:rPr>
        <w:t>2)</w:t>
      </w:r>
      <w:r>
        <w:rPr>
          <w:rFonts w:eastAsia="MS Mincho"/>
          <w:color w:val="000000"/>
          <w:sz w:val="20"/>
          <w:lang w:eastAsia="ja-JP" w:bidi="ar-SA"/>
        </w:rPr>
        <w:t xml:space="preserve"> În cazul administrării de adalimumab pentru indicațiile aprobate la adulți, modificarea greutății corporale medii în raport cu valorile inițiale a variat între 0,3 kg și 1,0 kg, comparativ cu (minus) -0,4 kg - 0,4 kg pentru placebo, pe o perioadă de tratament de 4-6 luni. De asemenea, a fost observată o creștere în greutate de 5-6 kg în studiile de extensie de lungă durată, cu expuneri medii de aproximativ 1-2 ani, fără grup de control, în special la pacienții cu boala Crohn și colită ulcerativă. Mecanismul acestui efect nu a fost elucidat, însă poate fi asociat cu efectul antiinflamator al adalimumabului.</w:t>
      </w:r>
    </w:p>
    <w:p w14:paraId="31B85C07" w14:textId="77777777" w:rsidR="00C04CAD" w:rsidRDefault="00C04CAD">
      <w:pPr>
        <w:autoSpaceDE w:val="0"/>
        <w:autoSpaceDN w:val="0"/>
        <w:adjustRightInd w:val="0"/>
        <w:spacing w:line="240" w:lineRule="auto"/>
        <w:jc w:val="both"/>
      </w:pPr>
    </w:p>
    <w:p w14:paraId="08AF4593" w14:textId="77777777" w:rsidR="00C04CAD" w:rsidRDefault="00060E34">
      <w:pPr>
        <w:tabs>
          <w:tab w:val="clear" w:pos="567"/>
        </w:tabs>
        <w:kinsoku w:val="0"/>
        <w:overflowPunct w:val="0"/>
        <w:autoSpaceDE w:val="0"/>
        <w:autoSpaceDN w:val="0"/>
        <w:adjustRightInd w:val="0"/>
        <w:spacing w:line="240" w:lineRule="auto"/>
      </w:pPr>
      <w:r>
        <w:rPr>
          <w:u w:val="single"/>
        </w:rPr>
        <w:t>Hidrosadenită supurativă</w:t>
      </w:r>
    </w:p>
    <w:p w14:paraId="470CC163" w14:textId="77777777" w:rsidR="00C04CAD" w:rsidRDefault="00C04CAD">
      <w:pPr>
        <w:tabs>
          <w:tab w:val="clear" w:pos="567"/>
        </w:tabs>
        <w:kinsoku w:val="0"/>
        <w:overflowPunct w:val="0"/>
        <w:autoSpaceDE w:val="0"/>
        <w:autoSpaceDN w:val="0"/>
        <w:adjustRightInd w:val="0"/>
        <w:spacing w:line="240" w:lineRule="auto"/>
      </w:pPr>
    </w:p>
    <w:p w14:paraId="4F63DA84" w14:textId="77777777" w:rsidR="00C04CAD" w:rsidRDefault="00060E34">
      <w:pPr>
        <w:tabs>
          <w:tab w:val="clear" w:pos="567"/>
        </w:tabs>
        <w:kinsoku w:val="0"/>
        <w:overflowPunct w:val="0"/>
        <w:autoSpaceDE w:val="0"/>
        <w:autoSpaceDN w:val="0"/>
        <w:adjustRightInd w:val="0"/>
        <w:spacing w:line="240" w:lineRule="auto"/>
      </w:pPr>
      <w:r>
        <w:t xml:space="preserve">Profilul de siguranţă pentru pacienţii cu HS cu tratament săptămânal cu </w:t>
      </w:r>
      <w:r>
        <w:rPr>
          <w:rFonts w:eastAsia="MS Mincho"/>
          <w:szCs w:val="22"/>
          <w:lang w:eastAsia="en-US" w:bidi="ar-SA"/>
        </w:rPr>
        <w:t>adalimumab</w:t>
      </w:r>
      <w:r>
        <w:t xml:space="preserve"> a fost în concordanţă cu profilul de siguranţă cunoscut al </w:t>
      </w:r>
      <w:r>
        <w:rPr>
          <w:rFonts w:eastAsia="MS Mincho"/>
          <w:szCs w:val="22"/>
          <w:lang w:eastAsia="en-US" w:bidi="ar-SA"/>
        </w:rPr>
        <w:t>adalimumabului</w:t>
      </w:r>
      <w:r>
        <w:t>.</w:t>
      </w:r>
    </w:p>
    <w:p w14:paraId="44C2D4D7" w14:textId="77777777" w:rsidR="00C04CAD" w:rsidRDefault="00C04CAD">
      <w:pPr>
        <w:tabs>
          <w:tab w:val="clear" w:pos="567"/>
        </w:tabs>
        <w:kinsoku w:val="0"/>
        <w:overflowPunct w:val="0"/>
        <w:autoSpaceDE w:val="0"/>
        <w:autoSpaceDN w:val="0"/>
        <w:adjustRightInd w:val="0"/>
        <w:spacing w:line="240" w:lineRule="auto"/>
        <w:rPr>
          <w:u w:val="single"/>
        </w:rPr>
      </w:pPr>
    </w:p>
    <w:p w14:paraId="016C229D" w14:textId="77777777" w:rsidR="00C04CAD" w:rsidRDefault="00060E34">
      <w:pPr>
        <w:keepNext/>
        <w:tabs>
          <w:tab w:val="clear" w:pos="567"/>
        </w:tabs>
        <w:kinsoku w:val="0"/>
        <w:overflowPunct w:val="0"/>
        <w:autoSpaceDE w:val="0"/>
        <w:autoSpaceDN w:val="0"/>
        <w:adjustRightInd w:val="0"/>
        <w:spacing w:line="240" w:lineRule="auto"/>
      </w:pPr>
      <w:r>
        <w:rPr>
          <w:u w:val="single"/>
        </w:rPr>
        <w:t>Uveită</w:t>
      </w:r>
    </w:p>
    <w:p w14:paraId="2C7880BB" w14:textId="77777777" w:rsidR="00C04CAD" w:rsidRDefault="00C04CAD">
      <w:pPr>
        <w:keepNext/>
        <w:tabs>
          <w:tab w:val="clear" w:pos="567"/>
        </w:tabs>
        <w:kinsoku w:val="0"/>
        <w:overflowPunct w:val="0"/>
        <w:autoSpaceDE w:val="0"/>
        <w:autoSpaceDN w:val="0"/>
        <w:adjustRightInd w:val="0"/>
        <w:spacing w:line="240" w:lineRule="auto"/>
      </w:pPr>
    </w:p>
    <w:p w14:paraId="25EF5968" w14:textId="77777777" w:rsidR="00C04CAD" w:rsidRDefault="00060E34">
      <w:pPr>
        <w:tabs>
          <w:tab w:val="clear" w:pos="567"/>
        </w:tabs>
        <w:kinsoku w:val="0"/>
        <w:overflowPunct w:val="0"/>
        <w:autoSpaceDE w:val="0"/>
        <w:autoSpaceDN w:val="0"/>
        <w:adjustRightInd w:val="0"/>
        <w:spacing w:line="240" w:lineRule="auto"/>
      </w:pPr>
      <w:r>
        <w:t xml:space="preserve">Profilul de siguranţă pentru pacienţii cu uveită trataţi cu </w:t>
      </w:r>
      <w:r>
        <w:rPr>
          <w:rFonts w:eastAsia="MS Mincho"/>
          <w:szCs w:val="22"/>
          <w:lang w:eastAsia="en-US" w:bidi="ar-SA"/>
        </w:rPr>
        <w:t>adalimumab</w:t>
      </w:r>
      <w:r>
        <w:t xml:space="preserve"> o dată la două săptămâni a fost în concordanţă cu profilul de siguranţă cunoscut al </w:t>
      </w:r>
      <w:r>
        <w:rPr>
          <w:rFonts w:eastAsia="MS Mincho"/>
          <w:szCs w:val="22"/>
          <w:lang w:eastAsia="en-US" w:bidi="ar-SA"/>
        </w:rPr>
        <w:t>adalimumabului</w:t>
      </w:r>
      <w:r>
        <w:t>.</w:t>
      </w:r>
    </w:p>
    <w:p w14:paraId="6A45B718" w14:textId="77777777" w:rsidR="00C04CAD" w:rsidRDefault="00C04CAD">
      <w:pPr>
        <w:tabs>
          <w:tab w:val="clear" w:pos="567"/>
        </w:tabs>
        <w:kinsoku w:val="0"/>
        <w:overflowPunct w:val="0"/>
        <w:autoSpaceDE w:val="0"/>
        <w:autoSpaceDN w:val="0"/>
        <w:adjustRightInd w:val="0"/>
        <w:spacing w:line="240" w:lineRule="auto"/>
      </w:pPr>
    </w:p>
    <w:p w14:paraId="0F8E00C8" w14:textId="77777777" w:rsidR="00C04CAD" w:rsidRDefault="00060E34">
      <w:pPr>
        <w:keepNext/>
        <w:tabs>
          <w:tab w:val="clear" w:pos="567"/>
        </w:tabs>
        <w:kinsoku w:val="0"/>
        <w:overflowPunct w:val="0"/>
        <w:autoSpaceDE w:val="0"/>
        <w:autoSpaceDN w:val="0"/>
        <w:adjustRightInd w:val="0"/>
        <w:spacing w:line="240" w:lineRule="auto"/>
      </w:pPr>
      <w:r>
        <w:rPr>
          <w:u w:val="single"/>
        </w:rPr>
        <w:t>Descrierea reacţiilor adverse selectate</w:t>
      </w:r>
    </w:p>
    <w:p w14:paraId="55C0A769" w14:textId="77777777" w:rsidR="00C04CAD" w:rsidRDefault="00C04CAD">
      <w:pPr>
        <w:keepNext/>
        <w:autoSpaceDE w:val="0"/>
        <w:autoSpaceDN w:val="0"/>
        <w:adjustRightInd w:val="0"/>
        <w:spacing w:line="240" w:lineRule="auto"/>
        <w:jc w:val="both"/>
      </w:pPr>
    </w:p>
    <w:p w14:paraId="5AE34E2B" w14:textId="77777777" w:rsidR="00C04CAD" w:rsidRDefault="00060E34">
      <w:pPr>
        <w:keepNext/>
        <w:tabs>
          <w:tab w:val="clear" w:pos="567"/>
        </w:tabs>
        <w:kinsoku w:val="0"/>
        <w:overflowPunct w:val="0"/>
        <w:autoSpaceDE w:val="0"/>
        <w:autoSpaceDN w:val="0"/>
        <w:adjustRightInd w:val="0"/>
        <w:spacing w:line="240" w:lineRule="auto"/>
      </w:pPr>
      <w:r>
        <w:rPr>
          <w:i/>
        </w:rPr>
        <w:t>Reacţii la locul injectării</w:t>
      </w:r>
    </w:p>
    <w:p w14:paraId="5D3ABE75" w14:textId="77777777" w:rsidR="00C04CAD" w:rsidRDefault="00C04CAD">
      <w:pPr>
        <w:keepNext/>
        <w:tabs>
          <w:tab w:val="clear" w:pos="567"/>
        </w:tabs>
        <w:kinsoku w:val="0"/>
        <w:overflowPunct w:val="0"/>
        <w:autoSpaceDE w:val="0"/>
        <w:autoSpaceDN w:val="0"/>
        <w:adjustRightInd w:val="0"/>
        <w:spacing w:line="240" w:lineRule="auto"/>
      </w:pPr>
    </w:p>
    <w:p w14:paraId="31A96B7E" w14:textId="77777777" w:rsidR="00C04CAD" w:rsidRDefault="00060E34">
      <w:pPr>
        <w:tabs>
          <w:tab w:val="clear" w:pos="567"/>
        </w:tabs>
        <w:kinsoku w:val="0"/>
        <w:overflowPunct w:val="0"/>
        <w:autoSpaceDE w:val="0"/>
        <w:autoSpaceDN w:val="0"/>
        <w:adjustRightInd w:val="0"/>
        <w:spacing w:line="240" w:lineRule="auto"/>
      </w:pPr>
      <w:r>
        <w:t xml:space="preserve">În studiile clinice pivot placebo controlate la copii, adolescenţi şi adulţi, 12,9% dintre pacienţii trataţi cu </w:t>
      </w:r>
      <w:r>
        <w:rPr>
          <w:rFonts w:eastAsia="MS Mincho"/>
          <w:szCs w:val="22"/>
          <w:lang w:eastAsia="en-US" w:bidi="ar-SA"/>
        </w:rPr>
        <w:t>adalimumab</w:t>
      </w:r>
      <w:r>
        <w:t xml:space="preserve"> au prezentat reacţii la locul injectării (eritem şi/sau prurit, hemoragie, durere sau tumefacţie), comparativ cu 7,2% din pacienţi cărora li s-a administrat placebo sau comparator activ. În general, reacţiile la locul injecţiei nu au necesitat întreruperea administrării medicamentului.</w:t>
      </w:r>
    </w:p>
    <w:p w14:paraId="4B8D8435" w14:textId="77777777" w:rsidR="00C04CAD" w:rsidRDefault="00C04CAD">
      <w:pPr>
        <w:tabs>
          <w:tab w:val="clear" w:pos="567"/>
        </w:tabs>
        <w:kinsoku w:val="0"/>
        <w:overflowPunct w:val="0"/>
        <w:autoSpaceDE w:val="0"/>
        <w:autoSpaceDN w:val="0"/>
        <w:adjustRightInd w:val="0"/>
        <w:spacing w:line="240" w:lineRule="auto"/>
        <w:rPr>
          <w:szCs w:val="22"/>
        </w:rPr>
      </w:pPr>
    </w:p>
    <w:p w14:paraId="0F15D161" w14:textId="77777777" w:rsidR="00C04CAD" w:rsidRDefault="00060E34">
      <w:pPr>
        <w:keepNext/>
        <w:tabs>
          <w:tab w:val="clear" w:pos="567"/>
        </w:tabs>
        <w:kinsoku w:val="0"/>
        <w:overflowPunct w:val="0"/>
        <w:autoSpaceDE w:val="0"/>
        <w:autoSpaceDN w:val="0"/>
        <w:adjustRightInd w:val="0"/>
        <w:spacing w:line="240" w:lineRule="auto"/>
        <w:rPr>
          <w:rFonts w:eastAsia="MS Mincho"/>
          <w:szCs w:val="22"/>
          <w:lang w:eastAsia="en-US" w:bidi="ar-SA"/>
        </w:rPr>
      </w:pPr>
      <w:r>
        <w:rPr>
          <w:i/>
          <w:szCs w:val="22"/>
        </w:rPr>
        <w:t>Infecţii</w:t>
      </w:r>
    </w:p>
    <w:p w14:paraId="530E2DD6" w14:textId="77777777" w:rsidR="00C04CAD" w:rsidRDefault="00C04CAD">
      <w:pPr>
        <w:keepNext/>
        <w:tabs>
          <w:tab w:val="clear" w:pos="567"/>
        </w:tabs>
        <w:kinsoku w:val="0"/>
        <w:overflowPunct w:val="0"/>
        <w:autoSpaceDE w:val="0"/>
        <w:autoSpaceDN w:val="0"/>
        <w:adjustRightInd w:val="0"/>
        <w:spacing w:line="240" w:lineRule="auto"/>
        <w:rPr>
          <w:szCs w:val="22"/>
        </w:rPr>
      </w:pPr>
    </w:p>
    <w:p w14:paraId="62013C0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studiile clinice pivot controlate la copii, adolescenţi şi adulţi, rata infecţiilor a fost de 1,51 per an</w:t>
      </w:r>
      <w:r>
        <w:rPr>
          <w:szCs w:val="22"/>
        </w:rPr>
        <w:noBreakHyphen/>
        <w:t xml:space="preserve">pacient de tratament la pacienţii trataţi cu </w:t>
      </w:r>
      <w:r>
        <w:rPr>
          <w:rFonts w:eastAsia="MS Mincho"/>
          <w:szCs w:val="22"/>
          <w:lang w:eastAsia="en-US" w:bidi="ar-SA"/>
        </w:rPr>
        <w:t>adalimumab</w:t>
      </w:r>
      <w:r>
        <w:rPr>
          <w:szCs w:val="22"/>
        </w:rPr>
        <w:t xml:space="preserve"> şi de 1,46 per an-pacient de tratament la pacienţii trataţi cu placebo şi comparator activ. Infecţiile au fost reprezentate în primul rând de infecţii ale rinofaringelui, infecţii ale tractului respirator superior şi sinuzită. Majoritatea pacienţilor au continuat tratamentul cu </w:t>
      </w:r>
      <w:r>
        <w:rPr>
          <w:rFonts w:eastAsia="MS Mincho"/>
          <w:szCs w:val="22"/>
          <w:lang w:eastAsia="en-US" w:bidi="ar-SA"/>
        </w:rPr>
        <w:t>adalimumab</w:t>
      </w:r>
      <w:r>
        <w:rPr>
          <w:szCs w:val="22"/>
        </w:rPr>
        <w:t xml:space="preserve"> după vindecarea infecţiilor.</w:t>
      </w:r>
    </w:p>
    <w:p w14:paraId="6469288B" w14:textId="77777777" w:rsidR="00C04CAD" w:rsidRDefault="00C04CAD">
      <w:pPr>
        <w:tabs>
          <w:tab w:val="clear" w:pos="567"/>
        </w:tabs>
        <w:kinsoku w:val="0"/>
        <w:overflowPunct w:val="0"/>
        <w:autoSpaceDE w:val="0"/>
        <w:autoSpaceDN w:val="0"/>
        <w:adjustRightInd w:val="0"/>
        <w:spacing w:line="240" w:lineRule="auto"/>
        <w:rPr>
          <w:szCs w:val="22"/>
        </w:rPr>
      </w:pPr>
    </w:p>
    <w:p w14:paraId="31453F54"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Incidenţa infecţiilor grave a fost de 0,04 per an-pacient în cazul pacienţilor trataţi cu </w:t>
      </w:r>
      <w:r>
        <w:rPr>
          <w:rFonts w:eastAsia="MS Mincho"/>
          <w:szCs w:val="22"/>
          <w:lang w:eastAsia="en-US" w:bidi="ar-SA"/>
        </w:rPr>
        <w:t>adalimumab</w:t>
      </w:r>
      <w:r>
        <w:rPr>
          <w:szCs w:val="22"/>
        </w:rPr>
        <w:t xml:space="preserve"> şi de 0,03 per an-pacient de tratament în cazul pacienţilor trataţi cu placebo şi comparator activ.</w:t>
      </w:r>
    </w:p>
    <w:p w14:paraId="489B4365" w14:textId="77777777" w:rsidR="00C04CAD" w:rsidRDefault="00C04CAD">
      <w:pPr>
        <w:tabs>
          <w:tab w:val="clear" w:pos="567"/>
        </w:tabs>
        <w:kinsoku w:val="0"/>
        <w:overflowPunct w:val="0"/>
        <w:autoSpaceDE w:val="0"/>
        <w:autoSpaceDN w:val="0"/>
        <w:adjustRightInd w:val="0"/>
        <w:spacing w:line="240" w:lineRule="auto"/>
        <w:rPr>
          <w:szCs w:val="22"/>
        </w:rPr>
      </w:pPr>
    </w:p>
    <w:p w14:paraId="07755748" w14:textId="77777777" w:rsidR="00C04CAD" w:rsidRDefault="00060E34">
      <w:pPr>
        <w:autoSpaceDE w:val="0"/>
        <w:autoSpaceDN w:val="0"/>
        <w:adjustRightInd w:val="0"/>
        <w:spacing w:line="240" w:lineRule="auto"/>
        <w:jc w:val="both"/>
        <w:rPr>
          <w:szCs w:val="22"/>
        </w:rPr>
      </w:pPr>
      <w:r>
        <w:rPr>
          <w:szCs w:val="22"/>
        </w:rPr>
        <w:t xml:space="preserve">În studiile clinice controlate şi deschise la copii, adolescenţi şi adulţi în care s-a folosit </w:t>
      </w:r>
      <w:r>
        <w:rPr>
          <w:rFonts w:eastAsia="MS Mincho"/>
          <w:szCs w:val="22"/>
          <w:lang w:eastAsia="en-US" w:bidi="ar-SA"/>
        </w:rPr>
        <w:t>adalimumab</w:t>
      </w:r>
      <w:r>
        <w:rPr>
          <w:szCs w:val="22"/>
        </w:rPr>
        <w:t>, au fost raportate infecţii grave (inclusiv infecţii letale, care au apărut rar), incluzând tuberculoza (inclusiv tuberculoză miliară şi localizări extra-pulmonare) şi infecţii oportuniste invazive (de exemplu histoplasmoză diseminată sau extrapulmonară, blastomicoză, coccidioidomicoză, pneumocistoză, candidoză, aspergiloză şi listerioză). Cele mai multe cazuri de tuberculoză au apărut în primele opt luni după începerea tratamentului şi poate reflecta recrudescenţa unei boli latente.</w:t>
      </w:r>
    </w:p>
    <w:p w14:paraId="3BA2139D" w14:textId="77777777" w:rsidR="00C04CAD" w:rsidRDefault="00C04CAD">
      <w:pPr>
        <w:autoSpaceDE w:val="0"/>
        <w:autoSpaceDN w:val="0"/>
        <w:adjustRightInd w:val="0"/>
        <w:spacing w:line="240" w:lineRule="auto"/>
        <w:jc w:val="both"/>
        <w:rPr>
          <w:szCs w:val="22"/>
        </w:rPr>
      </w:pPr>
    </w:p>
    <w:p w14:paraId="53D73930"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Afecţiuni maligne şi limfoproliferative</w:t>
      </w:r>
    </w:p>
    <w:p w14:paraId="02B9C766" w14:textId="77777777" w:rsidR="00C04CAD" w:rsidRDefault="00C04CAD">
      <w:pPr>
        <w:tabs>
          <w:tab w:val="clear" w:pos="567"/>
        </w:tabs>
        <w:kinsoku w:val="0"/>
        <w:overflowPunct w:val="0"/>
        <w:autoSpaceDE w:val="0"/>
        <w:autoSpaceDN w:val="0"/>
        <w:adjustRightInd w:val="0"/>
        <w:spacing w:line="240" w:lineRule="auto"/>
        <w:rPr>
          <w:szCs w:val="22"/>
        </w:rPr>
      </w:pPr>
    </w:p>
    <w:p w14:paraId="2C23492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Nu s-a observat nicio afecţiune malignă în timpul studiilor clinice cu </w:t>
      </w:r>
      <w:r>
        <w:rPr>
          <w:rFonts w:eastAsia="MS Mincho"/>
          <w:szCs w:val="22"/>
          <w:lang w:eastAsia="en-US" w:bidi="ar-SA"/>
        </w:rPr>
        <w:t>adalimumab</w:t>
      </w:r>
      <w:r>
        <w:rPr>
          <w:szCs w:val="22"/>
        </w:rPr>
        <w:t xml:space="preserve"> la 249 pacienţi copii și adolescenți cu artrită reumatoidă juvenilă idiopatică (artrită juvenilă idiopatică forma poliarticulară şi artrită asociată entezitei) cu o expunere de 655,6 ani-pacienţi. În plus, în studiile cu </w:t>
      </w:r>
      <w:r>
        <w:rPr>
          <w:rFonts w:eastAsia="MS Mincho"/>
          <w:szCs w:val="22"/>
          <w:lang w:eastAsia="en-US" w:bidi="ar-SA"/>
        </w:rPr>
        <w:t>adalimumab</w:t>
      </w:r>
      <w:r>
        <w:rPr>
          <w:szCs w:val="22"/>
        </w:rPr>
        <w:t xml:space="preserve"> la pacienţi copii și adolescenți cu boală Crohn, nu s-a observat nicio afecţiune malignă la 192 pacienţi copii și adolescenți cu o expunere de </w:t>
      </w:r>
      <w:r>
        <w:rPr>
          <w:rFonts w:eastAsia="MS Mincho"/>
          <w:szCs w:val="22"/>
          <w:lang w:eastAsia="en-US" w:bidi="ar-SA"/>
        </w:rPr>
        <w:t>498,1</w:t>
      </w:r>
      <w:r>
        <w:rPr>
          <w:szCs w:val="22"/>
        </w:rPr>
        <w:t xml:space="preserve"> ani-pacienţi. Într-un studiu cu </w:t>
      </w:r>
      <w:r>
        <w:rPr>
          <w:rFonts w:eastAsia="MS Mincho"/>
          <w:szCs w:val="22"/>
          <w:lang w:eastAsia="en-US" w:bidi="ar-SA"/>
        </w:rPr>
        <w:t>adalimumab</w:t>
      </w:r>
      <w:r>
        <w:rPr>
          <w:szCs w:val="22"/>
        </w:rPr>
        <w:t xml:space="preserve"> la pacienţi copii și adolescenți cu psoriazis cronic în plăci nu s-a observat nicio afecţiune malignă la cei 77 pacienți copii și adolescenți cu o expunere de 80,0 ani-pacienți.</w:t>
      </w:r>
      <w:r>
        <w:t xml:space="preserve"> </w:t>
      </w:r>
      <w:r>
        <w:rPr>
          <w:szCs w:val="22"/>
        </w:rPr>
        <w:t xml:space="preserve">Nu s-a observat nicio afecțiune malignă la 93 de pacienți copii și adolescenți cu o expunere de 65,3 ani-pacient în timpul unui studiu clinic cu adalimumab la pacienți copii și adolescenți cu colită ulcerativă. În timpul unui studiu cu </w:t>
      </w:r>
      <w:r>
        <w:rPr>
          <w:rFonts w:eastAsia="MS Mincho"/>
          <w:szCs w:val="22"/>
          <w:lang w:eastAsia="en-US" w:bidi="ar-SA"/>
        </w:rPr>
        <w:t>adalimumab</w:t>
      </w:r>
      <w:r>
        <w:rPr>
          <w:szCs w:val="22"/>
        </w:rPr>
        <w:t xml:space="preserve"> la pacienţi pediatrici cu uveită, la un număr de 60 pacienți pediatrici cu o expunere de 58,4 ani-pacienți nu s-a constatat nicio afecțiune malignă.</w:t>
      </w:r>
    </w:p>
    <w:p w14:paraId="60BB3B3C" w14:textId="77777777" w:rsidR="00C04CAD" w:rsidRDefault="00C04CAD">
      <w:pPr>
        <w:tabs>
          <w:tab w:val="clear" w:pos="567"/>
        </w:tabs>
        <w:kinsoku w:val="0"/>
        <w:overflowPunct w:val="0"/>
        <w:autoSpaceDE w:val="0"/>
        <w:autoSpaceDN w:val="0"/>
        <w:adjustRightInd w:val="0"/>
        <w:spacing w:line="240" w:lineRule="auto"/>
        <w:rPr>
          <w:szCs w:val="22"/>
        </w:rPr>
      </w:pPr>
    </w:p>
    <w:p w14:paraId="09DC4F4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Pe parcursul etapelor controlate din studiile pivot cu </w:t>
      </w:r>
      <w:r>
        <w:rPr>
          <w:rFonts w:eastAsia="MS Mincho"/>
          <w:szCs w:val="22"/>
          <w:lang w:eastAsia="en-US" w:bidi="ar-SA"/>
        </w:rPr>
        <w:t>adalimumab cu o durată de cel puţin 12 săptămâni</w:t>
      </w:r>
      <w:r>
        <w:rPr>
          <w:szCs w:val="22"/>
        </w:rPr>
        <w:t xml:space="preserve"> la pacienţii</w:t>
      </w:r>
      <w:r>
        <w:rPr>
          <w:rFonts w:eastAsia="MS Mincho"/>
          <w:szCs w:val="22"/>
          <w:lang w:eastAsia="en-US" w:bidi="ar-SA"/>
        </w:rPr>
        <w:t xml:space="preserve"> adulţi</w:t>
      </w:r>
      <w:r>
        <w:rPr>
          <w:szCs w:val="22"/>
        </w:rPr>
        <w:t xml:space="preserve"> cu artrită reumatoidă activă moderată până la severă, cu spondilită anchilozantă, spondiloartrită axială fără dovadă radiologică a spondilitei anchilozante, artrită psoriazică, psoriazis, hidrosadenită supurativă, boală Crohn, colită ulcerativă şi uveită, s-au observat afecţiunile maligne altele decât limfomul şi cancerul cutanat de tip ne-melanom în proporţie de 6,8 (4,4</w:t>
      </w:r>
      <w:r>
        <w:rPr>
          <w:szCs w:val="22"/>
        </w:rPr>
        <w:noBreakHyphen/>
        <w:t xml:space="preserve">10,5) per 1 000 ani–pacienţi dintre 5 291 pacienţi trataţi cu </w:t>
      </w:r>
      <w:r>
        <w:rPr>
          <w:rFonts w:eastAsia="MS Mincho"/>
          <w:szCs w:val="22"/>
          <w:lang w:eastAsia="en-US" w:bidi="ar-SA"/>
        </w:rPr>
        <w:t>adalimumab</w:t>
      </w:r>
      <w:r>
        <w:rPr>
          <w:szCs w:val="22"/>
        </w:rPr>
        <w:t xml:space="preserve"> (interval de siguranţă 95%), </w:t>
      </w:r>
      <w:r>
        <w:rPr>
          <w:i/>
          <w:iCs/>
          <w:szCs w:val="22"/>
        </w:rPr>
        <w:t xml:space="preserve">versus </w:t>
      </w:r>
      <w:r>
        <w:rPr>
          <w:szCs w:val="22"/>
        </w:rPr>
        <w:t>o proporţie de 6,3 (3,4</w:t>
      </w:r>
      <w:r>
        <w:rPr>
          <w:szCs w:val="22"/>
        </w:rPr>
        <w:noBreakHyphen/>
        <w:t xml:space="preserve">11,8) per 1 000 ani-pacienţi dintre 3 444 pacienţi din grupul control (durata medie de tratament a fost de 4,0 luni pentru </w:t>
      </w:r>
      <w:r>
        <w:rPr>
          <w:rFonts w:eastAsia="MS Mincho"/>
          <w:szCs w:val="22"/>
          <w:lang w:eastAsia="en-US" w:bidi="ar-SA"/>
        </w:rPr>
        <w:t>adalimumab</w:t>
      </w:r>
      <w:r>
        <w:rPr>
          <w:szCs w:val="22"/>
        </w:rPr>
        <w:t xml:space="preserve"> şi 3,8 luni pentru pacienţii grupului control). Proporţia de cancer cutanat de tip ne</w:t>
      </w:r>
      <w:r>
        <w:rPr>
          <w:szCs w:val="22"/>
        </w:rPr>
        <w:noBreakHyphen/>
        <w:t>melanom a fost de 8,8 (6,0</w:t>
      </w:r>
      <w:r>
        <w:rPr>
          <w:szCs w:val="22"/>
        </w:rPr>
        <w:noBreakHyphen/>
        <w:t xml:space="preserve">13,0) per 1 000 de ani-pacienţi dintre pacienţii trataţi cu </w:t>
      </w:r>
      <w:r>
        <w:rPr>
          <w:rFonts w:eastAsia="MS Mincho"/>
          <w:szCs w:val="22"/>
          <w:lang w:eastAsia="en-US" w:bidi="ar-SA"/>
        </w:rPr>
        <w:t>adalimumab</w:t>
      </w:r>
      <w:r>
        <w:rPr>
          <w:szCs w:val="22"/>
        </w:rPr>
        <w:t xml:space="preserve"> (interval de siguranţă 95%) şi de 3,2 (1,3</w:t>
      </w:r>
      <w:r>
        <w:rPr>
          <w:szCs w:val="22"/>
        </w:rPr>
        <w:noBreakHyphen/>
        <w:t>7,6) per 1 000 ani-pacienţi dintre</w:t>
      </w:r>
      <w:r>
        <w:t xml:space="preserve"> </w:t>
      </w:r>
      <w:r>
        <w:rPr>
          <w:szCs w:val="22"/>
        </w:rPr>
        <w:t>pacienţii grupului control. Dintre aceste cancere cutanate, carcinoamele cu celule scuamoase au avut o proporţie de 2,7 (1,4</w:t>
      </w:r>
      <w:r>
        <w:rPr>
          <w:szCs w:val="22"/>
        </w:rPr>
        <w:noBreakHyphen/>
        <w:t xml:space="preserve">5,4) per 1 000 ani-pacienţi dintre pacienţii trataţi cu </w:t>
      </w:r>
      <w:r>
        <w:rPr>
          <w:rFonts w:eastAsia="MS Mincho"/>
          <w:szCs w:val="22"/>
          <w:lang w:eastAsia="en-US" w:bidi="ar-SA"/>
        </w:rPr>
        <w:t>adalimumab</w:t>
      </w:r>
      <w:r>
        <w:rPr>
          <w:szCs w:val="22"/>
        </w:rPr>
        <w:t xml:space="preserve"> (interval de siguranţă 95%) şi 0,6 (0,1</w:t>
      </w:r>
      <w:r>
        <w:rPr>
          <w:szCs w:val="22"/>
        </w:rPr>
        <w:noBreakHyphen/>
        <w:t>4,5) per 1 000 ani</w:t>
      </w:r>
      <w:r>
        <w:rPr>
          <w:szCs w:val="22"/>
        </w:rPr>
        <w:noBreakHyphen/>
        <w:t>pacienţi dintre pacienţii grupului control. Procentul limfoamelor (interval de siguranţă 95%) a fost de 0,7 (0,2</w:t>
      </w:r>
      <w:r>
        <w:rPr>
          <w:szCs w:val="22"/>
        </w:rPr>
        <w:noBreakHyphen/>
        <w:t xml:space="preserve">2,7) per 1 000 ani-pacienţi dintre pacienţii trataţi cu </w:t>
      </w:r>
      <w:r>
        <w:rPr>
          <w:rFonts w:eastAsia="MS Mincho"/>
          <w:szCs w:val="22"/>
          <w:lang w:eastAsia="en-US" w:bidi="ar-SA"/>
        </w:rPr>
        <w:t>adalimumab</w:t>
      </w:r>
      <w:r>
        <w:rPr>
          <w:szCs w:val="22"/>
        </w:rPr>
        <w:t xml:space="preserve"> şi de 0,6 (0,1</w:t>
      </w:r>
      <w:r>
        <w:rPr>
          <w:szCs w:val="22"/>
        </w:rPr>
        <w:noBreakHyphen/>
        <w:t>4,5) per 1 000 ani</w:t>
      </w:r>
      <w:r>
        <w:rPr>
          <w:szCs w:val="22"/>
        </w:rPr>
        <w:noBreakHyphen/>
        <w:t>pacienţi dintre pacienţii grupului control.</w:t>
      </w:r>
    </w:p>
    <w:p w14:paraId="63D93E03" w14:textId="77777777" w:rsidR="00C04CAD" w:rsidRDefault="00C04CAD">
      <w:pPr>
        <w:tabs>
          <w:tab w:val="clear" w:pos="567"/>
        </w:tabs>
        <w:kinsoku w:val="0"/>
        <w:overflowPunct w:val="0"/>
        <w:autoSpaceDE w:val="0"/>
        <w:autoSpaceDN w:val="0"/>
        <w:adjustRightInd w:val="0"/>
        <w:spacing w:line="240" w:lineRule="auto"/>
        <w:rPr>
          <w:szCs w:val="22"/>
        </w:rPr>
      </w:pPr>
    </w:p>
    <w:p w14:paraId="202CEB4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Combinând etapele controlate ale acestor studii şi studiile de tip extins, deschise, în desfăşurare şi finalizate cu o durată medie de aproximativ 3,3 ani, incluzând 6 427 pacienţi şi peste 26 439 ani-pacienţi de tratament, s-a observat o rată de apariţie a afecţiunilor maligne, altele decât limfom şi cancerul cutanat de tip ne-melanom, de aproximativ 8,5 per 1 000 ani-pacienţi. Rata de apariţie a cancerului cutanat de tip ne-melanom este de aproximativ 9,6 per 1 000 ani-pacienţi şi rata de apariţie a limfomului de aproximativ 1,3 per 1 000 ani-pacienţi.</w:t>
      </w:r>
    </w:p>
    <w:p w14:paraId="764AFC19" w14:textId="77777777" w:rsidR="00C04CAD" w:rsidRDefault="00C04CAD">
      <w:pPr>
        <w:tabs>
          <w:tab w:val="clear" w:pos="567"/>
        </w:tabs>
        <w:kinsoku w:val="0"/>
        <w:overflowPunct w:val="0"/>
        <w:autoSpaceDE w:val="0"/>
        <w:autoSpaceDN w:val="0"/>
        <w:adjustRightInd w:val="0"/>
        <w:spacing w:line="240" w:lineRule="auto"/>
        <w:rPr>
          <w:szCs w:val="22"/>
        </w:rPr>
      </w:pPr>
    </w:p>
    <w:p w14:paraId="35B64E35"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experienţa de după punerea pe piaţă, începând cu ianuarie 2003 până în decembrie 2010, mai ales la pacienţii cu artrită reumatoidă, a fost raportată spontan o rată a afecţiunilor maligne de aproximativ 2,7 per 1 000 ani tratament-pacienţi. Rata raportată spontan pentru cancerul cutanat de tip ne-melanom şi cea pentru limfom au fost de aproximativ 0,2 şi respectiv 0,3 per 1 000 ani tratament-pacienţi (vezi pct. 4.4).</w:t>
      </w:r>
    </w:p>
    <w:p w14:paraId="2DE31C4D" w14:textId="77777777" w:rsidR="00C04CAD" w:rsidRDefault="00C04CAD">
      <w:pPr>
        <w:tabs>
          <w:tab w:val="clear" w:pos="567"/>
        </w:tabs>
        <w:kinsoku w:val="0"/>
        <w:overflowPunct w:val="0"/>
        <w:autoSpaceDE w:val="0"/>
        <w:autoSpaceDN w:val="0"/>
        <w:adjustRightInd w:val="0"/>
        <w:spacing w:line="240" w:lineRule="auto"/>
        <w:rPr>
          <w:szCs w:val="22"/>
        </w:rPr>
      </w:pPr>
    </w:p>
    <w:p w14:paraId="7CC16FA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După punerea pe piaţă au fost raportate cazuri rare de limfom hepatosplenic cu celule T la pacienţii trataţi cu adalimumab (vezi pct. 4.4).</w:t>
      </w:r>
    </w:p>
    <w:p w14:paraId="23E5C7B8" w14:textId="77777777" w:rsidR="00C04CAD" w:rsidRDefault="00C04CAD">
      <w:pPr>
        <w:tabs>
          <w:tab w:val="clear" w:pos="567"/>
        </w:tabs>
        <w:kinsoku w:val="0"/>
        <w:overflowPunct w:val="0"/>
        <w:autoSpaceDE w:val="0"/>
        <w:autoSpaceDN w:val="0"/>
        <w:adjustRightInd w:val="0"/>
        <w:spacing w:line="240" w:lineRule="auto"/>
        <w:rPr>
          <w:szCs w:val="22"/>
        </w:rPr>
      </w:pPr>
    </w:p>
    <w:p w14:paraId="412B942B" w14:textId="77777777" w:rsidR="00C04CAD" w:rsidRDefault="00060E34">
      <w:pPr>
        <w:keepNext/>
        <w:tabs>
          <w:tab w:val="clear" w:pos="567"/>
        </w:tabs>
        <w:kinsoku w:val="0"/>
        <w:overflowPunct w:val="0"/>
        <w:autoSpaceDE w:val="0"/>
        <w:autoSpaceDN w:val="0"/>
        <w:adjustRightInd w:val="0"/>
        <w:spacing w:line="240" w:lineRule="auto"/>
        <w:rPr>
          <w:szCs w:val="22"/>
        </w:rPr>
      </w:pPr>
      <w:r>
        <w:rPr>
          <w:i/>
          <w:szCs w:val="22"/>
        </w:rPr>
        <w:t>Autoanticorpi</w:t>
      </w:r>
    </w:p>
    <w:p w14:paraId="3FE0038C" w14:textId="77777777" w:rsidR="00C04CAD" w:rsidRDefault="00C04CAD">
      <w:pPr>
        <w:tabs>
          <w:tab w:val="clear" w:pos="567"/>
        </w:tabs>
        <w:kinsoku w:val="0"/>
        <w:overflowPunct w:val="0"/>
        <w:autoSpaceDE w:val="0"/>
        <w:autoSpaceDN w:val="0"/>
        <w:adjustRightInd w:val="0"/>
        <w:spacing w:line="240" w:lineRule="auto"/>
        <w:rPr>
          <w:szCs w:val="22"/>
        </w:rPr>
      </w:pPr>
    </w:p>
    <w:p w14:paraId="0FF4E81B" w14:textId="77777777" w:rsidR="00C04CAD" w:rsidRDefault="00060E34">
      <w:pPr>
        <w:autoSpaceDE w:val="0"/>
        <w:autoSpaceDN w:val="0"/>
        <w:adjustRightInd w:val="0"/>
        <w:spacing w:line="240" w:lineRule="auto"/>
        <w:jc w:val="both"/>
        <w:rPr>
          <w:szCs w:val="22"/>
        </w:rPr>
      </w:pPr>
      <w:r>
        <w:rPr>
          <w:szCs w:val="22"/>
        </w:rPr>
        <w:t xml:space="preserve">În cadrul studiilor I-V, pacienţilor li s-au prelevat probe de ser pentru testare repetată în vederea depistării autoanticorpilor pentru poliartrita reumatoidă. În cadrul acestor studii, la 11,9% din pacienţii trataţi cu </w:t>
      </w:r>
      <w:r>
        <w:rPr>
          <w:rFonts w:eastAsia="MS Mincho"/>
          <w:szCs w:val="22"/>
          <w:lang w:eastAsia="en-US" w:bidi="ar-SA"/>
        </w:rPr>
        <w:t>adalimumab</w:t>
      </w:r>
      <w:r>
        <w:rPr>
          <w:szCs w:val="22"/>
        </w:rPr>
        <w:t xml:space="preserve"> şi la 8,1% din pacienţii care au primit placebo şi comparator activ, care iniţial au avut titrul negativ pentru anticorpii anti-nucleari, s-au semnalat titruri pozitive în </w:t>
      </w:r>
      <w:r>
        <w:rPr>
          <w:rFonts w:eastAsia="MS Mincho"/>
          <w:szCs w:val="22"/>
          <w:lang w:eastAsia="en-US" w:bidi="ar-SA"/>
        </w:rPr>
        <w:t>săptămâna</w:t>
      </w:r>
      <w:r>
        <w:rPr>
          <w:szCs w:val="22"/>
        </w:rPr>
        <w:t xml:space="preserve"> 24. Doi pacienţi din cei 3 441 trataţi cu </w:t>
      </w:r>
      <w:r>
        <w:rPr>
          <w:rFonts w:eastAsia="MS Mincho"/>
          <w:szCs w:val="22"/>
          <w:lang w:eastAsia="en-US" w:bidi="ar-SA"/>
        </w:rPr>
        <w:t>adalimumab</w:t>
      </w:r>
      <w:r>
        <w:rPr>
          <w:szCs w:val="22"/>
        </w:rPr>
        <w:t xml:space="preserve"> în toate studiile clinice privind poliartrita reumatoidă şi artrita psoriazică au manifestat semne clinice care sugerau un sindrom recent instalat similar lupusului. Starea pacienţilor s-a ameliorat în urma întreruperii tratamentului. Nici un pacient nu a prezentat nefrită lupică sau simptome care să reflecte afectarea sistemului nervos central.</w:t>
      </w:r>
    </w:p>
    <w:p w14:paraId="417909E8" w14:textId="77777777" w:rsidR="00C04CAD" w:rsidRDefault="00C04CAD">
      <w:pPr>
        <w:autoSpaceDE w:val="0"/>
        <w:autoSpaceDN w:val="0"/>
        <w:adjustRightInd w:val="0"/>
        <w:spacing w:line="240" w:lineRule="auto"/>
        <w:jc w:val="both"/>
        <w:rPr>
          <w:sz w:val="24"/>
        </w:rPr>
      </w:pPr>
    </w:p>
    <w:p w14:paraId="5B7DE8AA" w14:textId="77777777" w:rsidR="00C04CAD" w:rsidRDefault="00060E34">
      <w:pPr>
        <w:tabs>
          <w:tab w:val="clear" w:pos="567"/>
        </w:tabs>
        <w:kinsoku w:val="0"/>
        <w:overflowPunct w:val="0"/>
        <w:autoSpaceDE w:val="0"/>
        <w:autoSpaceDN w:val="0"/>
        <w:adjustRightInd w:val="0"/>
        <w:spacing w:line="240" w:lineRule="auto"/>
      </w:pPr>
      <w:r>
        <w:rPr>
          <w:i/>
        </w:rPr>
        <w:t>Tulburări hepato-biliare</w:t>
      </w:r>
    </w:p>
    <w:p w14:paraId="0853A45E" w14:textId="77777777" w:rsidR="00C04CAD" w:rsidRDefault="00C04CAD">
      <w:pPr>
        <w:tabs>
          <w:tab w:val="clear" w:pos="567"/>
        </w:tabs>
        <w:kinsoku w:val="0"/>
        <w:overflowPunct w:val="0"/>
        <w:autoSpaceDE w:val="0"/>
        <w:autoSpaceDN w:val="0"/>
        <w:adjustRightInd w:val="0"/>
        <w:spacing w:line="240" w:lineRule="auto"/>
      </w:pPr>
    </w:p>
    <w:p w14:paraId="0BD55F20" w14:textId="77777777" w:rsidR="00C04CAD" w:rsidRDefault="00060E34">
      <w:pPr>
        <w:tabs>
          <w:tab w:val="clear" w:pos="567"/>
        </w:tabs>
        <w:kinsoku w:val="0"/>
        <w:overflowPunct w:val="0"/>
        <w:autoSpaceDE w:val="0"/>
        <w:autoSpaceDN w:val="0"/>
        <w:adjustRightInd w:val="0"/>
        <w:spacing w:line="240" w:lineRule="auto"/>
      </w:pPr>
      <w:r>
        <w:t xml:space="preserve">În studiile controlate de </w:t>
      </w:r>
      <w:r>
        <w:rPr>
          <w:rFonts w:eastAsia="MS Mincho"/>
          <w:szCs w:val="22"/>
          <w:lang w:eastAsia="en-US" w:bidi="ar-SA"/>
        </w:rPr>
        <w:t>fază</w:t>
      </w:r>
      <w:r>
        <w:t xml:space="preserve"> 3 cu </w:t>
      </w:r>
      <w:r>
        <w:rPr>
          <w:rFonts w:eastAsia="MS Mincho"/>
          <w:szCs w:val="22"/>
          <w:lang w:eastAsia="en-US" w:bidi="ar-SA"/>
        </w:rPr>
        <w:t>adalimumab</w:t>
      </w:r>
      <w:r>
        <w:t xml:space="preserve">, la pacienţi cu poliartrita reumatoidă şi cu artrită psoriazică, cu o durată a perioadei de control variind între 4 şi 104 săptămâni, creşterea ALT ≥ 3 </w:t>
      </w:r>
      <w:r>
        <w:rPr>
          <w:szCs w:val="22"/>
          <w:lang w:eastAsia="en-GB"/>
        </w:rPr>
        <w:t>×</w:t>
      </w:r>
      <w:r>
        <w:t xml:space="preserve"> LSN s-a întâlnit la 3,7% dintre pacienţii trataţi cu </w:t>
      </w:r>
      <w:r>
        <w:rPr>
          <w:rFonts w:eastAsia="MS Mincho"/>
          <w:szCs w:val="22"/>
          <w:lang w:eastAsia="en-US" w:bidi="ar-SA"/>
        </w:rPr>
        <w:t>adalimumab</w:t>
      </w:r>
      <w:r>
        <w:t xml:space="preserve"> şi 1,6% la pacienţii din grupul control.</w:t>
      </w:r>
    </w:p>
    <w:p w14:paraId="13AF1237" w14:textId="77777777" w:rsidR="00C04CAD" w:rsidRDefault="00C04CAD">
      <w:pPr>
        <w:tabs>
          <w:tab w:val="clear" w:pos="567"/>
        </w:tabs>
        <w:kinsoku w:val="0"/>
        <w:overflowPunct w:val="0"/>
        <w:autoSpaceDE w:val="0"/>
        <w:autoSpaceDN w:val="0"/>
        <w:adjustRightInd w:val="0"/>
        <w:spacing w:line="240" w:lineRule="auto"/>
      </w:pPr>
    </w:p>
    <w:p w14:paraId="3E5A7550" w14:textId="77777777" w:rsidR="00C04CAD" w:rsidRDefault="00060E34">
      <w:pPr>
        <w:tabs>
          <w:tab w:val="clear" w:pos="567"/>
        </w:tabs>
        <w:kinsoku w:val="0"/>
        <w:overflowPunct w:val="0"/>
        <w:autoSpaceDE w:val="0"/>
        <w:autoSpaceDN w:val="0"/>
        <w:adjustRightInd w:val="0"/>
        <w:spacing w:line="240" w:lineRule="auto"/>
      </w:pPr>
      <w:r>
        <w:t xml:space="preserve">În studiile controlate de </w:t>
      </w:r>
      <w:r>
        <w:rPr>
          <w:rFonts w:eastAsia="MS Mincho"/>
          <w:szCs w:val="22"/>
          <w:lang w:eastAsia="en-US" w:bidi="ar-SA"/>
        </w:rPr>
        <w:t>fază</w:t>
      </w:r>
      <w:r>
        <w:t xml:space="preserve"> 3 cu </w:t>
      </w:r>
      <w:r>
        <w:rPr>
          <w:rFonts w:eastAsia="MS Mincho"/>
          <w:szCs w:val="22"/>
          <w:lang w:eastAsia="en-US" w:bidi="ar-SA"/>
        </w:rPr>
        <w:t>adalimumab</w:t>
      </w:r>
      <w:r>
        <w:t xml:space="preserve"> efectuate la pacienţi cu artrită juvenilă idiopatică forma poliarticulară cu vârsta de la 4 ani la 17 ani şi la pacienţi cu artrită asociată entezitei cu vârsta de la 6 ani la 17 ani, creşterea ALT ≥ 3 </w:t>
      </w:r>
      <w:r>
        <w:rPr>
          <w:szCs w:val="22"/>
          <w:lang w:eastAsia="en-GB"/>
        </w:rPr>
        <w:t>×</w:t>
      </w:r>
      <w:r>
        <w:t xml:space="preserve"> LSN s-a întâlnit la 6,1% dintre pacienţii trataţi cu </w:t>
      </w:r>
      <w:r>
        <w:rPr>
          <w:rFonts w:eastAsia="MS Mincho"/>
          <w:szCs w:val="22"/>
          <w:lang w:eastAsia="en-US" w:bidi="ar-SA"/>
        </w:rPr>
        <w:t>adalimumab</w:t>
      </w:r>
      <w:r>
        <w:t xml:space="preserve"> şi 1,3% la pacienţii din grupul de control. Cele mai multe creșteri ale ALT au avut loc atunci când s-a utilizat concomitent metotrexat. Nicio creştere a ALT ≥ 3 </w:t>
      </w:r>
      <w:r>
        <w:rPr>
          <w:szCs w:val="22"/>
          <w:lang w:eastAsia="en-GB"/>
        </w:rPr>
        <w:t>×</w:t>
      </w:r>
      <w:r>
        <w:t xml:space="preserve"> LSN nu a avut loc în studiul de </w:t>
      </w:r>
      <w:r>
        <w:rPr>
          <w:rFonts w:eastAsia="MS Mincho"/>
          <w:szCs w:val="22"/>
          <w:lang w:eastAsia="en-US" w:bidi="ar-SA"/>
        </w:rPr>
        <w:t>fază</w:t>
      </w:r>
      <w:r>
        <w:t xml:space="preserve"> 3 cu </w:t>
      </w:r>
      <w:r>
        <w:rPr>
          <w:rFonts w:eastAsia="MS Mincho"/>
          <w:szCs w:val="22"/>
          <w:lang w:eastAsia="en-US" w:bidi="ar-SA"/>
        </w:rPr>
        <w:t>adalimumab</w:t>
      </w:r>
      <w:r>
        <w:t xml:space="preserve"> la pacienții cu artrită juvenilă idiopatică forma poliarticulară care aveau vârsta de 2 ani până la &lt;4 ani.</w:t>
      </w:r>
    </w:p>
    <w:p w14:paraId="2F5353C8" w14:textId="77777777" w:rsidR="00C04CAD" w:rsidRDefault="00C04CAD">
      <w:pPr>
        <w:tabs>
          <w:tab w:val="clear" w:pos="567"/>
        </w:tabs>
        <w:kinsoku w:val="0"/>
        <w:overflowPunct w:val="0"/>
        <w:autoSpaceDE w:val="0"/>
        <w:autoSpaceDN w:val="0"/>
        <w:adjustRightInd w:val="0"/>
        <w:spacing w:line="240" w:lineRule="auto"/>
      </w:pPr>
    </w:p>
    <w:p w14:paraId="2AC1F1B4" w14:textId="77777777" w:rsidR="00C04CAD" w:rsidRDefault="00060E34">
      <w:pPr>
        <w:tabs>
          <w:tab w:val="clear" w:pos="567"/>
        </w:tabs>
        <w:kinsoku w:val="0"/>
        <w:overflowPunct w:val="0"/>
        <w:autoSpaceDE w:val="0"/>
        <w:autoSpaceDN w:val="0"/>
        <w:adjustRightInd w:val="0"/>
        <w:spacing w:line="240" w:lineRule="auto"/>
      </w:pPr>
      <w:r>
        <w:t xml:space="preserve">În studiile controlate de </w:t>
      </w:r>
      <w:r>
        <w:rPr>
          <w:rFonts w:eastAsia="MS Mincho"/>
          <w:szCs w:val="22"/>
          <w:lang w:eastAsia="en-US" w:bidi="ar-SA"/>
        </w:rPr>
        <w:t>fază</w:t>
      </w:r>
      <w:r>
        <w:t xml:space="preserve"> 3 cu </w:t>
      </w:r>
      <w:r>
        <w:rPr>
          <w:rFonts w:eastAsia="MS Mincho"/>
          <w:szCs w:val="22"/>
          <w:lang w:eastAsia="en-US" w:bidi="ar-SA"/>
        </w:rPr>
        <w:t>adalimumab</w:t>
      </w:r>
      <w:r>
        <w:t xml:space="preserve">, la pacienţi cu boală Crohn şi colită ulcerativă, cu o durată a perioadei de control variind între 4 la 52 săptămâni, creşterea ALT ≥ 3 </w:t>
      </w:r>
      <w:r>
        <w:rPr>
          <w:szCs w:val="22"/>
          <w:lang w:eastAsia="en-GB"/>
        </w:rPr>
        <w:t>×</w:t>
      </w:r>
      <w:r>
        <w:t xml:space="preserve"> LSN s-a întâlnit la 0,9% dintre pacienţii trataţi cu </w:t>
      </w:r>
      <w:r>
        <w:rPr>
          <w:rFonts w:eastAsia="MS Mincho"/>
          <w:szCs w:val="22"/>
          <w:lang w:eastAsia="en-US" w:bidi="ar-SA"/>
        </w:rPr>
        <w:t>adalimumab</w:t>
      </w:r>
      <w:r>
        <w:t xml:space="preserve"> şi 0,9% la pacienţii din grupul control.</w:t>
      </w:r>
    </w:p>
    <w:p w14:paraId="6D625C42" w14:textId="77777777" w:rsidR="00C04CAD" w:rsidRDefault="00C04CAD">
      <w:pPr>
        <w:tabs>
          <w:tab w:val="clear" w:pos="567"/>
        </w:tabs>
        <w:kinsoku w:val="0"/>
        <w:overflowPunct w:val="0"/>
        <w:autoSpaceDE w:val="0"/>
        <w:autoSpaceDN w:val="0"/>
        <w:adjustRightInd w:val="0"/>
        <w:spacing w:line="240" w:lineRule="auto"/>
      </w:pPr>
    </w:p>
    <w:p w14:paraId="717A2FF5" w14:textId="77777777" w:rsidR="00C04CAD" w:rsidRDefault="00060E34">
      <w:pPr>
        <w:tabs>
          <w:tab w:val="clear" w:pos="567"/>
        </w:tabs>
        <w:kinsoku w:val="0"/>
        <w:overflowPunct w:val="0"/>
        <w:autoSpaceDE w:val="0"/>
        <w:autoSpaceDN w:val="0"/>
        <w:adjustRightInd w:val="0"/>
        <w:spacing w:line="240" w:lineRule="auto"/>
      </w:pPr>
      <w:r>
        <w:t xml:space="preserve">În studiile controlate de </w:t>
      </w:r>
      <w:r>
        <w:rPr>
          <w:rFonts w:eastAsia="MS Mincho"/>
          <w:szCs w:val="22"/>
          <w:lang w:eastAsia="en-US" w:bidi="ar-SA"/>
        </w:rPr>
        <w:t>fază</w:t>
      </w:r>
      <w:r>
        <w:t xml:space="preserve"> 3 cu </w:t>
      </w:r>
      <w:r>
        <w:rPr>
          <w:rFonts w:eastAsia="MS Mincho"/>
          <w:szCs w:val="22"/>
          <w:lang w:eastAsia="en-US" w:bidi="ar-SA"/>
        </w:rPr>
        <w:t>adalimumab</w:t>
      </w:r>
      <w:r>
        <w:t>, efectuate la pacienţi copii</w:t>
      </w:r>
      <w:r>
        <w:rPr>
          <w:rFonts w:eastAsia="MS Mincho"/>
          <w:szCs w:val="22"/>
          <w:lang w:eastAsia="en-US" w:bidi="ar-SA"/>
        </w:rPr>
        <w:t xml:space="preserve"> şi adolescenţi</w:t>
      </w:r>
      <w:r>
        <w:t xml:space="preserve"> cu boală Crohn, studii care au evaluat eficacitatea şi siguranţa a două scheme de tratament de întreţinere ajustate în funcţie de greutate care au urmat tratamentului de inducţie ajustat în funcţie de greutate, pe o perioadă de până la 52 săptămâni, s-a observat creşterea </w:t>
      </w:r>
      <w:r>
        <w:rPr>
          <w:rFonts w:eastAsia="MS Mincho"/>
          <w:szCs w:val="22"/>
          <w:lang w:eastAsia="en-US" w:bidi="ar-SA"/>
        </w:rPr>
        <w:t xml:space="preserve">ALT </w:t>
      </w:r>
      <w:r>
        <w:t>≥ 3 x LSN la 2,6% (5/192) dintre toţi pacienţii din care 4 au primit concomitent imunosupresoare la iniţierea tratamentului.</w:t>
      </w:r>
    </w:p>
    <w:p w14:paraId="778EBE11" w14:textId="77777777" w:rsidR="00C04CAD" w:rsidRDefault="00C04CAD">
      <w:pPr>
        <w:tabs>
          <w:tab w:val="clear" w:pos="567"/>
        </w:tabs>
        <w:kinsoku w:val="0"/>
        <w:overflowPunct w:val="0"/>
        <w:autoSpaceDE w:val="0"/>
        <w:autoSpaceDN w:val="0"/>
        <w:adjustRightInd w:val="0"/>
        <w:spacing w:line="240" w:lineRule="auto"/>
      </w:pPr>
    </w:p>
    <w:p w14:paraId="3A1E79F4" w14:textId="77777777" w:rsidR="00C04CAD" w:rsidRDefault="00060E34">
      <w:pPr>
        <w:tabs>
          <w:tab w:val="clear" w:pos="567"/>
        </w:tabs>
        <w:kinsoku w:val="0"/>
        <w:overflowPunct w:val="0"/>
        <w:autoSpaceDE w:val="0"/>
        <w:autoSpaceDN w:val="0"/>
        <w:adjustRightInd w:val="0"/>
        <w:spacing w:line="240" w:lineRule="auto"/>
      </w:pPr>
      <w:r>
        <w:t xml:space="preserve">În studiile controlate de </w:t>
      </w:r>
      <w:r>
        <w:rPr>
          <w:rFonts w:eastAsia="MS Mincho"/>
          <w:szCs w:val="22"/>
          <w:lang w:eastAsia="en-US" w:bidi="ar-SA"/>
        </w:rPr>
        <w:t>fază</w:t>
      </w:r>
      <w:r>
        <w:t xml:space="preserve"> 3 cu </w:t>
      </w:r>
      <w:r>
        <w:rPr>
          <w:rFonts w:eastAsia="MS Mincho"/>
          <w:szCs w:val="22"/>
          <w:lang w:eastAsia="en-US" w:bidi="ar-SA"/>
        </w:rPr>
        <w:t>adalimumab</w:t>
      </w:r>
      <w:r>
        <w:t xml:space="preserve"> efectuate la pacienţi cu psoriazis în plăci, cu o durată a perioadei de control variind între 12 şi 24 săptămâni, creşterea ALT ≥ 3 </w:t>
      </w:r>
      <w:r>
        <w:rPr>
          <w:szCs w:val="22"/>
          <w:lang w:eastAsia="en-GB"/>
        </w:rPr>
        <w:t>×</w:t>
      </w:r>
      <w:r>
        <w:t xml:space="preserve"> LSN s-a întâlnit la 1,8% dintre pacienţii trataţi cu </w:t>
      </w:r>
      <w:r>
        <w:rPr>
          <w:rFonts w:eastAsia="MS Mincho"/>
          <w:szCs w:val="22"/>
          <w:lang w:eastAsia="en-US" w:bidi="ar-SA"/>
        </w:rPr>
        <w:t>adalimumab</w:t>
      </w:r>
      <w:r>
        <w:t xml:space="preserve"> şi la 1,8% dintre pacienţii din grupul de control.</w:t>
      </w:r>
    </w:p>
    <w:p w14:paraId="3E394F25" w14:textId="77777777" w:rsidR="00C04CAD" w:rsidRDefault="00C04CAD">
      <w:pPr>
        <w:tabs>
          <w:tab w:val="clear" w:pos="567"/>
        </w:tabs>
        <w:kinsoku w:val="0"/>
        <w:overflowPunct w:val="0"/>
        <w:autoSpaceDE w:val="0"/>
        <w:autoSpaceDN w:val="0"/>
        <w:adjustRightInd w:val="0"/>
        <w:spacing w:line="240" w:lineRule="auto"/>
        <w:rPr>
          <w:szCs w:val="22"/>
        </w:rPr>
      </w:pPr>
    </w:p>
    <w:p w14:paraId="379E1F8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Nicio creştere a ALT ≥ 3 </w:t>
      </w:r>
      <w:r>
        <w:rPr>
          <w:szCs w:val="22"/>
          <w:lang w:eastAsia="en-GB"/>
        </w:rPr>
        <w:t>×</w:t>
      </w:r>
      <w:r>
        <w:rPr>
          <w:szCs w:val="22"/>
        </w:rPr>
        <w:t xml:space="preserve"> LSN nu a avut loc în studiul de </w:t>
      </w:r>
      <w:r>
        <w:rPr>
          <w:rFonts w:eastAsia="MS Mincho"/>
          <w:szCs w:val="22"/>
          <w:lang w:eastAsia="en-US" w:bidi="ar-SA"/>
        </w:rPr>
        <w:t>fază</w:t>
      </w:r>
      <w:r>
        <w:rPr>
          <w:szCs w:val="22"/>
        </w:rPr>
        <w:t xml:space="preserve"> 3 cu </w:t>
      </w:r>
      <w:r>
        <w:rPr>
          <w:rFonts w:eastAsia="MS Mincho"/>
          <w:szCs w:val="22"/>
          <w:lang w:eastAsia="en-US" w:bidi="ar-SA"/>
        </w:rPr>
        <w:t>adalimumab</w:t>
      </w:r>
      <w:r>
        <w:rPr>
          <w:szCs w:val="22"/>
        </w:rPr>
        <w:t xml:space="preserve"> la pacienții copii și adolescenți cu psoriazis în plăci.</w:t>
      </w:r>
    </w:p>
    <w:p w14:paraId="482D2749" w14:textId="77777777" w:rsidR="00C04CAD" w:rsidRDefault="00C04CAD">
      <w:pPr>
        <w:tabs>
          <w:tab w:val="clear" w:pos="567"/>
        </w:tabs>
        <w:kinsoku w:val="0"/>
        <w:overflowPunct w:val="0"/>
        <w:autoSpaceDE w:val="0"/>
        <w:autoSpaceDN w:val="0"/>
        <w:adjustRightInd w:val="0"/>
        <w:spacing w:line="240" w:lineRule="auto"/>
        <w:rPr>
          <w:szCs w:val="22"/>
        </w:rPr>
      </w:pPr>
    </w:p>
    <w:p w14:paraId="0748E4C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studiile controlate cu </w:t>
      </w:r>
      <w:r>
        <w:rPr>
          <w:rFonts w:eastAsia="MS Mincho"/>
          <w:szCs w:val="22"/>
          <w:lang w:eastAsia="en-US" w:bidi="ar-SA"/>
        </w:rPr>
        <w:t>adalimumab</w:t>
      </w:r>
      <w:r>
        <w:rPr>
          <w:szCs w:val="22"/>
        </w:rPr>
        <w:t xml:space="preserve"> (doze iniţiale de 160 mg în </w:t>
      </w:r>
      <w:r>
        <w:rPr>
          <w:rFonts w:eastAsia="MS Mincho"/>
          <w:szCs w:val="22"/>
          <w:lang w:eastAsia="en-US" w:bidi="ar-SA"/>
        </w:rPr>
        <w:t>săptămâna</w:t>
      </w:r>
      <w:r>
        <w:rPr>
          <w:szCs w:val="22"/>
        </w:rPr>
        <w:t xml:space="preserve"> 0 şi 80 mg în </w:t>
      </w:r>
      <w:r>
        <w:rPr>
          <w:rFonts w:eastAsia="MS Mincho"/>
          <w:szCs w:val="22"/>
          <w:lang w:eastAsia="en-US" w:bidi="ar-SA"/>
        </w:rPr>
        <w:t>săptămâna</w:t>
      </w:r>
      <w:r>
        <w:rPr>
          <w:szCs w:val="22"/>
        </w:rPr>
        <w:t xml:space="preserve"> 2, urmate de 40 mg o dată la două săptămâni din </w:t>
      </w:r>
      <w:r>
        <w:rPr>
          <w:rFonts w:eastAsia="MS Mincho"/>
          <w:szCs w:val="22"/>
          <w:lang w:eastAsia="en-US" w:bidi="ar-SA"/>
        </w:rPr>
        <w:t>săptămâna</w:t>
      </w:r>
      <w:r>
        <w:rPr>
          <w:szCs w:val="22"/>
        </w:rPr>
        <w:t xml:space="preserve"> 4), la pacienţi cu hidrosadenită supurativă cu o durată a perioadei de control variind între 12 şi 16 săptămâni, creşterea ALT ≥ 3 </w:t>
      </w:r>
      <w:r>
        <w:rPr>
          <w:szCs w:val="22"/>
          <w:lang w:eastAsia="en-GB"/>
        </w:rPr>
        <w:t>×</w:t>
      </w:r>
      <w:r>
        <w:rPr>
          <w:szCs w:val="22"/>
        </w:rPr>
        <w:t xml:space="preserve"> LSN s-a întâlnit la 0,3% dintre pacienţii trataţi cu </w:t>
      </w:r>
      <w:r>
        <w:rPr>
          <w:rFonts w:eastAsia="MS Mincho"/>
          <w:szCs w:val="22"/>
          <w:lang w:eastAsia="en-US" w:bidi="ar-SA"/>
        </w:rPr>
        <w:t>adalimumab</w:t>
      </w:r>
      <w:r>
        <w:rPr>
          <w:szCs w:val="22"/>
        </w:rPr>
        <w:t xml:space="preserve"> şi la 0,6% dintre pacienţii din grupul control.</w:t>
      </w:r>
    </w:p>
    <w:p w14:paraId="127E58AE" w14:textId="77777777" w:rsidR="00C04CAD" w:rsidRDefault="00C04CAD">
      <w:pPr>
        <w:tabs>
          <w:tab w:val="clear" w:pos="567"/>
        </w:tabs>
        <w:kinsoku w:val="0"/>
        <w:overflowPunct w:val="0"/>
        <w:autoSpaceDE w:val="0"/>
        <w:autoSpaceDN w:val="0"/>
        <w:adjustRightInd w:val="0"/>
        <w:spacing w:line="240" w:lineRule="auto"/>
        <w:rPr>
          <w:szCs w:val="22"/>
        </w:rPr>
      </w:pPr>
    </w:p>
    <w:p w14:paraId="141CB446"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studiile controlate cu </w:t>
      </w:r>
      <w:r>
        <w:rPr>
          <w:rFonts w:eastAsia="MS Mincho"/>
          <w:szCs w:val="22"/>
          <w:lang w:eastAsia="en-US" w:bidi="ar-SA"/>
        </w:rPr>
        <w:t>adalimumab</w:t>
      </w:r>
      <w:r>
        <w:rPr>
          <w:szCs w:val="22"/>
        </w:rPr>
        <w:t xml:space="preserve"> cu durată de până la 80 săptămâni (doze iniţiale de 80 mg în săptămâna 0, urmate de 40 mg la două săptămâni începând cu săptămâna 1) la pacienţii adulți cu uveită trataţi cu </w:t>
      </w:r>
      <w:r>
        <w:rPr>
          <w:rFonts w:eastAsia="MS Mincho"/>
          <w:szCs w:val="22"/>
          <w:lang w:eastAsia="en-US" w:bidi="ar-SA"/>
        </w:rPr>
        <w:t>adalimumab</w:t>
      </w:r>
      <w:r>
        <w:rPr>
          <w:szCs w:val="22"/>
        </w:rPr>
        <w:t xml:space="preserve"> expunerea mediană a fost de 166,5 zile şi respectiv de 105,0 zile la pacienţii din grupul control, iar creşterea ALT ≥ 3 </w:t>
      </w:r>
      <w:r>
        <w:rPr>
          <w:szCs w:val="22"/>
          <w:lang w:eastAsia="en-GB"/>
        </w:rPr>
        <w:t>×</w:t>
      </w:r>
      <w:r>
        <w:rPr>
          <w:szCs w:val="22"/>
        </w:rPr>
        <w:t xml:space="preserve"> LSN s-a întâlnit la 2,4% dintre pacienţii trataţi cu </w:t>
      </w:r>
      <w:r>
        <w:rPr>
          <w:rFonts w:eastAsia="MS Mincho"/>
          <w:szCs w:val="22"/>
          <w:lang w:eastAsia="en-US" w:bidi="ar-SA"/>
        </w:rPr>
        <w:t>adalimumab</w:t>
      </w:r>
      <w:r>
        <w:rPr>
          <w:szCs w:val="22"/>
        </w:rPr>
        <w:t xml:space="preserve"> şi la 2,4% dintre pacienţii din grupul control.</w:t>
      </w:r>
    </w:p>
    <w:p w14:paraId="2C3CA996" w14:textId="77777777" w:rsidR="00C04CAD" w:rsidRDefault="00C04CAD">
      <w:pPr>
        <w:tabs>
          <w:tab w:val="clear" w:pos="567"/>
        </w:tabs>
        <w:kinsoku w:val="0"/>
        <w:overflowPunct w:val="0"/>
        <w:autoSpaceDE w:val="0"/>
        <w:autoSpaceDN w:val="0"/>
        <w:adjustRightInd w:val="0"/>
        <w:spacing w:line="240" w:lineRule="auto"/>
        <w:rPr>
          <w:szCs w:val="22"/>
        </w:rPr>
      </w:pPr>
    </w:p>
    <w:p w14:paraId="2E42B64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studiul controlat de fază 3 cu adalimumab, la pacienți copii și adolescenți cu colită ulcerativă (N = 93), care a evaluat eficacitatea și siguranța unei doze de întreținere de 0,6 mg/kg (maximum 40 mg) la două săptămâni (N = 31) și ale unei doze de întreținere de 0,6 mg/kg (maximum 40 mg) în fiecare săptămână (N = 32), după administrarea dozei de inducție, stabilite în funcție de greutatea corporală, de 2,4 mg/kg (maximum 160 mg) în Săptămâna 0 și Săptămâna 1 și de 1,2 mg/kg (maximum 80 mg) în Săptămâna 2 (N = 63) sau a unei doze de inducție de 2,4 mg/kg (maximum 160 mg) în Săptămâna 0, placebo în Săptămâna 1, și de 1,2 mg/kg (maximum 80 mg) în Săptămâna 2 (N = 30), s-a observat creșterea ALT ≥ 3 </w:t>
      </w:r>
      <w:r>
        <w:rPr>
          <w:szCs w:val="22"/>
          <w:lang w:eastAsia="en-GB"/>
        </w:rPr>
        <w:t>×</w:t>
      </w:r>
      <w:r>
        <w:rPr>
          <w:szCs w:val="22"/>
        </w:rPr>
        <w:t> LSN la 1,1% (1/93) dintre pacienți.</w:t>
      </w:r>
    </w:p>
    <w:p w14:paraId="5056E8DA" w14:textId="77777777" w:rsidR="00C04CAD" w:rsidRDefault="00C04CAD">
      <w:pPr>
        <w:tabs>
          <w:tab w:val="clear" w:pos="567"/>
        </w:tabs>
        <w:kinsoku w:val="0"/>
        <w:overflowPunct w:val="0"/>
        <w:autoSpaceDE w:val="0"/>
        <w:autoSpaceDN w:val="0"/>
        <w:adjustRightInd w:val="0"/>
        <w:spacing w:line="240" w:lineRule="auto"/>
        <w:rPr>
          <w:szCs w:val="22"/>
        </w:rPr>
      </w:pPr>
    </w:p>
    <w:p w14:paraId="312FDC19" w14:textId="77777777" w:rsidR="00C04CAD" w:rsidRDefault="00060E34">
      <w:pPr>
        <w:autoSpaceDE w:val="0"/>
        <w:autoSpaceDN w:val="0"/>
        <w:adjustRightInd w:val="0"/>
        <w:spacing w:line="240" w:lineRule="auto"/>
        <w:rPr>
          <w:szCs w:val="22"/>
        </w:rPr>
      </w:pPr>
      <w:r>
        <w:rPr>
          <w:szCs w:val="22"/>
        </w:rPr>
        <w:t>În studiile clinice pentru toate indicaţiile, pacienţii cu valori crescute ale ALT au fost asimptomatici şi, în cele mai multe cazuri, acestea au fost tranzitorii şi au dispărut pe parcursul continuării tratamentului. Cu toate acestea, după punerea pe piaţă a medicamentului, la pacienţii care au primit adalimumab s-au raportat, de asemenea, cazuri de insuficienţă hepatică, precum şi afecţiuni hepatice mai puţin severe, care pot preceda insuficienţa hepatică, cum ar fi hepatita, inclusiv hepatita autoimună.</w:t>
      </w:r>
    </w:p>
    <w:p w14:paraId="141B69F3" w14:textId="77777777" w:rsidR="00C04CAD" w:rsidRDefault="00C04CAD">
      <w:pPr>
        <w:autoSpaceDE w:val="0"/>
        <w:autoSpaceDN w:val="0"/>
        <w:adjustRightInd w:val="0"/>
        <w:spacing w:line="240" w:lineRule="auto"/>
        <w:jc w:val="both"/>
        <w:rPr>
          <w:szCs w:val="22"/>
        </w:rPr>
      </w:pPr>
    </w:p>
    <w:p w14:paraId="7ABC51F6"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Tratament concomitent cu azatioprină/6-mercaptopurină</w:t>
      </w:r>
    </w:p>
    <w:p w14:paraId="25A13D89" w14:textId="77777777" w:rsidR="00C04CAD" w:rsidRDefault="00C04CAD">
      <w:pPr>
        <w:keepNext/>
        <w:tabs>
          <w:tab w:val="clear" w:pos="567"/>
        </w:tabs>
        <w:kinsoku w:val="0"/>
        <w:overflowPunct w:val="0"/>
        <w:autoSpaceDE w:val="0"/>
        <w:autoSpaceDN w:val="0"/>
        <w:adjustRightInd w:val="0"/>
        <w:spacing w:line="240" w:lineRule="auto"/>
        <w:rPr>
          <w:szCs w:val="22"/>
        </w:rPr>
      </w:pPr>
    </w:p>
    <w:p w14:paraId="35C26B4A" w14:textId="77777777" w:rsidR="00C04CAD" w:rsidRDefault="00060E34">
      <w:pPr>
        <w:autoSpaceDE w:val="0"/>
        <w:autoSpaceDN w:val="0"/>
        <w:adjustRightInd w:val="0"/>
        <w:spacing w:line="240" w:lineRule="auto"/>
        <w:jc w:val="both"/>
        <w:rPr>
          <w:szCs w:val="22"/>
        </w:rPr>
      </w:pPr>
      <w:r>
        <w:rPr>
          <w:szCs w:val="22"/>
        </w:rPr>
        <w:t xml:space="preserve">În studiile clinice privind boala Crohn la adulţi, s-a observat o incidenţă mai mare a reacţiilor adverse legate de malignitate şi de infecţii </w:t>
      </w:r>
      <w:r>
        <w:rPr>
          <w:rFonts w:eastAsia="MS Mincho"/>
          <w:szCs w:val="22"/>
          <w:lang w:eastAsia="en-US" w:bidi="ar-SA"/>
        </w:rPr>
        <w:t>grave</w:t>
      </w:r>
      <w:r>
        <w:rPr>
          <w:szCs w:val="22"/>
        </w:rPr>
        <w:t xml:space="preserve"> atunci când se utilizează concomitent </w:t>
      </w:r>
      <w:r>
        <w:rPr>
          <w:rFonts w:eastAsia="MS Mincho"/>
          <w:szCs w:val="22"/>
          <w:lang w:eastAsia="en-US" w:bidi="ar-SA"/>
        </w:rPr>
        <w:t>adalimumab</w:t>
      </w:r>
      <w:r>
        <w:rPr>
          <w:szCs w:val="22"/>
        </w:rPr>
        <w:t xml:space="preserve"> şi azatioprină/6</w:t>
      </w:r>
      <w:r>
        <w:rPr>
          <w:szCs w:val="22"/>
        </w:rPr>
        <w:noBreakHyphen/>
        <w:t xml:space="preserve">mercaptopurină în comparaţie cu utilizarea </w:t>
      </w:r>
      <w:r>
        <w:rPr>
          <w:rFonts w:eastAsia="MS Mincho"/>
          <w:szCs w:val="22"/>
          <w:lang w:eastAsia="en-US" w:bidi="ar-SA"/>
        </w:rPr>
        <w:t>adalimumab</w:t>
      </w:r>
      <w:r>
        <w:rPr>
          <w:szCs w:val="22"/>
        </w:rPr>
        <w:t xml:space="preserve"> în monoterapie.</w:t>
      </w:r>
    </w:p>
    <w:p w14:paraId="7E9ACA66" w14:textId="77777777" w:rsidR="00C04CAD" w:rsidRDefault="00C04CAD">
      <w:pPr>
        <w:autoSpaceDE w:val="0"/>
        <w:autoSpaceDN w:val="0"/>
        <w:adjustRightInd w:val="0"/>
        <w:spacing w:line="240" w:lineRule="auto"/>
        <w:jc w:val="both"/>
        <w:rPr>
          <w:szCs w:val="22"/>
        </w:rPr>
      </w:pPr>
    </w:p>
    <w:p w14:paraId="1353A710" w14:textId="77777777" w:rsidR="00C04CAD" w:rsidRDefault="00060E34">
      <w:pPr>
        <w:autoSpaceDE w:val="0"/>
        <w:autoSpaceDN w:val="0"/>
        <w:adjustRightInd w:val="0"/>
        <w:spacing w:line="240" w:lineRule="auto"/>
        <w:rPr>
          <w:szCs w:val="22"/>
          <w:u w:val="single"/>
        </w:rPr>
      </w:pPr>
      <w:r>
        <w:rPr>
          <w:szCs w:val="22"/>
          <w:u w:val="single"/>
        </w:rPr>
        <w:t>Raportarea reacțiilor adverse suspectate</w:t>
      </w:r>
    </w:p>
    <w:p w14:paraId="0B3CDBF8" w14:textId="77777777" w:rsidR="00C04CAD" w:rsidRDefault="00C04CAD">
      <w:pPr>
        <w:autoSpaceDE w:val="0"/>
        <w:autoSpaceDN w:val="0"/>
        <w:adjustRightInd w:val="0"/>
        <w:spacing w:line="240" w:lineRule="auto"/>
        <w:rPr>
          <w:rFonts w:eastAsia="MS Mincho"/>
          <w:szCs w:val="22"/>
          <w:u w:val="single"/>
          <w:lang w:eastAsia="en-US" w:bidi="ar-SA"/>
        </w:rPr>
      </w:pPr>
    </w:p>
    <w:p w14:paraId="38CF73B0" w14:textId="77777777" w:rsidR="00C04CAD" w:rsidRDefault="00060E34">
      <w:pPr>
        <w:autoSpaceDE w:val="0"/>
        <w:autoSpaceDN w:val="0"/>
        <w:adjustRightInd w:val="0"/>
        <w:spacing w:line="240" w:lineRule="auto"/>
      </w:pPr>
      <w:r>
        <w:t xml:space="preserve">Este importantă raportarea reacțiilor adverse suspectate după autorizarea medicamentului. Acest lucru permite monitorizarea continuă a raportului beneficiu/risc al medicamentului. Profesioniștii din domeniul sănătății sunt rugați să raporteze orice reacție adversă suspectată prin intermediul </w:t>
      </w:r>
      <w:r>
        <w:rPr>
          <w:highlight w:val="lightGray"/>
        </w:rPr>
        <w:t xml:space="preserve">sistemului național de raportare, astfel cum este menționat în </w:t>
      </w:r>
      <w:hyperlink r:id="rId21">
        <w:r>
          <w:rPr>
            <w:rStyle w:val="Hyperlink"/>
            <w:highlight w:val="lightGray"/>
            <w:shd w:val="clear" w:color="auto" w:fill="D0CECE"/>
          </w:rPr>
          <w:t>Anexa V</w:t>
        </w:r>
      </w:hyperlink>
      <w:r>
        <w:t>.</w:t>
      </w:r>
    </w:p>
    <w:p w14:paraId="0996026E" w14:textId="77777777" w:rsidR="00C04CAD" w:rsidRDefault="00C04CAD">
      <w:pPr>
        <w:spacing w:line="240" w:lineRule="auto"/>
      </w:pPr>
    </w:p>
    <w:p w14:paraId="5AE7E11E" w14:textId="77777777" w:rsidR="00C04CAD" w:rsidRDefault="00060E34">
      <w:pPr>
        <w:keepNext/>
        <w:numPr>
          <w:ilvl w:val="1"/>
          <w:numId w:val="14"/>
        </w:numPr>
        <w:spacing w:line="240" w:lineRule="auto"/>
        <w:ind w:left="567" w:hanging="567"/>
        <w:outlineLvl w:val="0"/>
      </w:pPr>
      <w:r>
        <w:rPr>
          <w:b/>
        </w:rPr>
        <w:t>Supradozaj</w:t>
      </w:r>
    </w:p>
    <w:p w14:paraId="0CB42DB8" w14:textId="77777777" w:rsidR="00C04CAD" w:rsidRDefault="00C04CAD">
      <w:pPr>
        <w:spacing w:line="240" w:lineRule="auto"/>
      </w:pPr>
    </w:p>
    <w:p w14:paraId="774A9BF2" w14:textId="77777777" w:rsidR="00C04CAD" w:rsidRDefault="00060E34">
      <w:pPr>
        <w:tabs>
          <w:tab w:val="clear" w:pos="567"/>
        </w:tabs>
        <w:kinsoku w:val="0"/>
        <w:overflowPunct w:val="0"/>
        <w:autoSpaceDE w:val="0"/>
        <w:autoSpaceDN w:val="0"/>
        <w:adjustRightInd w:val="0"/>
        <w:spacing w:line="240" w:lineRule="auto"/>
      </w:pPr>
      <w:r>
        <w:t>În studiile clinice nu a fost observată o toxicitate care să determine limitarea dozei. Cea mai mare doză evaluată a fost multiplul de 10 mg/kg a dozei de adalimumab administrat intravenos, doză mai mare de aproximativ 15 ori faţă de doza recomandată.</w:t>
      </w:r>
    </w:p>
    <w:p w14:paraId="044D8449" w14:textId="77777777" w:rsidR="00C04CAD" w:rsidRDefault="00C04CAD">
      <w:pPr>
        <w:spacing w:line="240" w:lineRule="auto"/>
      </w:pPr>
    </w:p>
    <w:p w14:paraId="2CD89141" w14:textId="77777777" w:rsidR="00C04CAD" w:rsidRDefault="00C04CAD">
      <w:pPr>
        <w:spacing w:line="240" w:lineRule="auto"/>
      </w:pPr>
    </w:p>
    <w:p w14:paraId="0B492EF4" w14:textId="77777777" w:rsidR="00C04CAD" w:rsidRDefault="00060E34">
      <w:pPr>
        <w:keepNext/>
        <w:numPr>
          <w:ilvl w:val="0"/>
          <w:numId w:val="14"/>
        </w:numPr>
        <w:suppressAutoHyphens/>
        <w:spacing w:line="240" w:lineRule="auto"/>
        <w:rPr>
          <w:szCs w:val="22"/>
        </w:rPr>
      </w:pPr>
      <w:r>
        <w:rPr>
          <w:b/>
          <w:szCs w:val="22"/>
        </w:rPr>
        <w:t>PROPRIETĂȚI FARMACOLOGICE</w:t>
      </w:r>
    </w:p>
    <w:p w14:paraId="119AECEF" w14:textId="77777777" w:rsidR="00C04CAD" w:rsidRDefault="00C04CAD">
      <w:pPr>
        <w:keepNext/>
        <w:spacing w:line="240" w:lineRule="auto"/>
        <w:rPr>
          <w:szCs w:val="22"/>
        </w:rPr>
      </w:pPr>
    </w:p>
    <w:p w14:paraId="7F803954" w14:textId="77777777" w:rsidR="00C04CAD" w:rsidRDefault="00060E34">
      <w:pPr>
        <w:keepNext/>
        <w:numPr>
          <w:ilvl w:val="1"/>
          <w:numId w:val="14"/>
        </w:numPr>
        <w:spacing w:line="240" w:lineRule="auto"/>
        <w:ind w:left="567" w:hanging="567"/>
        <w:outlineLvl w:val="0"/>
        <w:rPr>
          <w:szCs w:val="22"/>
        </w:rPr>
      </w:pPr>
      <w:r>
        <w:rPr>
          <w:b/>
          <w:szCs w:val="22"/>
        </w:rPr>
        <w:t>Proprietăți farmacodinamice</w:t>
      </w:r>
    </w:p>
    <w:p w14:paraId="752447AB" w14:textId="77777777" w:rsidR="00C04CAD" w:rsidRDefault="00C04CAD">
      <w:pPr>
        <w:keepNext/>
        <w:spacing w:line="240" w:lineRule="auto"/>
        <w:rPr>
          <w:szCs w:val="22"/>
        </w:rPr>
      </w:pPr>
    </w:p>
    <w:p w14:paraId="0BDE6A94" w14:textId="77777777" w:rsidR="00C04CAD" w:rsidRDefault="00060E34">
      <w:pPr>
        <w:spacing w:line="240" w:lineRule="auto"/>
        <w:outlineLvl w:val="0"/>
        <w:rPr>
          <w:szCs w:val="22"/>
        </w:rPr>
      </w:pPr>
      <w:r>
        <w:rPr>
          <w:szCs w:val="22"/>
        </w:rPr>
        <w:t>Grupa farmacoterapeutică: Imunosupresoare, inhibitori ai factorului de necroză tumorală alfa (TNF-α), codul ATC: L04AB04</w:t>
      </w:r>
    </w:p>
    <w:p w14:paraId="6EAB6231" w14:textId="77777777" w:rsidR="00C04CAD" w:rsidRDefault="00C04CAD">
      <w:pPr>
        <w:spacing w:line="240" w:lineRule="auto"/>
        <w:rPr>
          <w:szCs w:val="22"/>
        </w:rPr>
      </w:pPr>
    </w:p>
    <w:p w14:paraId="3FE2D502" w14:textId="77777777" w:rsidR="00C04CAD" w:rsidRDefault="00060E34">
      <w:pPr>
        <w:autoSpaceDE w:val="0"/>
        <w:autoSpaceDN w:val="0"/>
        <w:adjustRightInd w:val="0"/>
        <w:spacing w:line="240" w:lineRule="auto"/>
        <w:rPr>
          <w:szCs w:val="22"/>
        </w:rPr>
      </w:pPr>
      <w:r>
        <w:rPr>
          <w:szCs w:val="22"/>
        </w:rPr>
        <w:t>AMGEVITA este un medicament biosimilar. Informații detaliate sunt disponibile pe site-ul Agenției Europene pentru Medicamente</w:t>
      </w:r>
      <w:r>
        <w:t xml:space="preserve"> </w:t>
      </w:r>
      <w:hyperlink r:id="rId22">
        <w:r w:rsidR="00C04CAD">
          <w:rPr>
            <w:rStyle w:val="Hyperlink"/>
          </w:rPr>
          <w:t>http://www.ema.europa.eu</w:t>
        </w:r>
      </w:hyperlink>
      <w:r>
        <w:t>.</w:t>
      </w:r>
    </w:p>
    <w:p w14:paraId="7C127415" w14:textId="77777777" w:rsidR="00C04CAD" w:rsidRDefault="00C04CAD">
      <w:pPr>
        <w:autoSpaceDE w:val="0"/>
        <w:autoSpaceDN w:val="0"/>
        <w:adjustRightInd w:val="0"/>
        <w:spacing w:line="240" w:lineRule="auto"/>
        <w:rPr>
          <w:b/>
          <w:szCs w:val="22"/>
        </w:rPr>
      </w:pPr>
    </w:p>
    <w:p w14:paraId="6AFC38F8" w14:textId="77777777" w:rsidR="00C04CAD" w:rsidRDefault="00060E34">
      <w:pPr>
        <w:keepNext/>
        <w:autoSpaceDE w:val="0"/>
        <w:autoSpaceDN w:val="0"/>
        <w:adjustRightInd w:val="0"/>
        <w:spacing w:line="240" w:lineRule="auto"/>
      </w:pPr>
      <w:r>
        <w:rPr>
          <w:u w:val="single"/>
        </w:rPr>
        <w:t>Mecanism de acțiune</w:t>
      </w:r>
    </w:p>
    <w:p w14:paraId="69227F4C" w14:textId="77777777" w:rsidR="00C04CAD" w:rsidRDefault="00C04CAD">
      <w:pPr>
        <w:keepNext/>
        <w:autoSpaceDE w:val="0"/>
        <w:autoSpaceDN w:val="0"/>
        <w:adjustRightInd w:val="0"/>
        <w:spacing w:line="240" w:lineRule="auto"/>
      </w:pPr>
    </w:p>
    <w:p w14:paraId="6B7A7487" w14:textId="77777777" w:rsidR="00C04CAD" w:rsidRDefault="00060E34">
      <w:pPr>
        <w:tabs>
          <w:tab w:val="clear" w:pos="567"/>
        </w:tabs>
        <w:kinsoku w:val="0"/>
        <w:overflowPunct w:val="0"/>
        <w:autoSpaceDE w:val="0"/>
        <w:autoSpaceDN w:val="0"/>
        <w:adjustRightInd w:val="0"/>
        <w:spacing w:line="240" w:lineRule="auto"/>
      </w:pPr>
      <w:r>
        <w:t>Adalimumab se leagă specific de TNF şi neutralizează funcţia biologică a TNF blocând interacţiunea acestuia cu receptorii TNF p55 şi p75 de pe suprafaţa celulei.</w:t>
      </w:r>
    </w:p>
    <w:p w14:paraId="53D54ACA" w14:textId="77777777" w:rsidR="00C04CAD" w:rsidRDefault="00C04CAD">
      <w:pPr>
        <w:tabs>
          <w:tab w:val="clear" w:pos="567"/>
        </w:tabs>
        <w:kinsoku w:val="0"/>
        <w:overflowPunct w:val="0"/>
        <w:autoSpaceDE w:val="0"/>
        <w:autoSpaceDN w:val="0"/>
        <w:adjustRightInd w:val="0"/>
        <w:spacing w:line="240" w:lineRule="auto"/>
      </w:pPr>
    </w:p>
    <w:p w14:paraId="38A30904" w14:textId="77777777" w:rsidR="00C04CAD" w:rsidRDefault="00060E34">
      <w:pPr>
        <w:tabs>
          <w:tab w:val="clear" w:pos="567"/>
        </w:tabs>
        <w:kinsoku w:val="0"/>
        <w:overflowPunct w:val="0"/>
        <w:autoSpaceDE w:val="0"/>
        <w:autoSpaceDN w:val="0"/>
        <w:adjustRightInd w:val="0"/>
        <w:spacing w:line="240" w:lineRule="auto"/>
      </w:pPr>
      <w:r>
        <w:t>De asemenea, adalimumab modulează reacţiile biologice induse sau reglate de TNF, inclusiv modificările nivelurilor moleculelor de aderenţă răspunzătoare de migrarea leucocitelor (ELAM-1, VCAM-1 şi ICAM-1 cu un CI50</w:t>
      </w:r>
      <w:r>
        <w:rPr>
          <w:position w:val="-3"/>
        </w:rPr>
        <w:t xml:space="preserve"> </w:t>
      </w:r>
      <w:r>
        <w:t>de 0,1</w:t>
      </w:r>
      <w:r>
        <w:noBreakHyphen/>
        <w:t>0,2 nM).</w:t>
      </w:r>
    </w:p>
    <w:p w14:paraId="619DABED" w14:textId="77777777" w:rsidR="00C04CAD" w:rsidRDefault="00C04CAD">
      <w:pPr>
        <w:autoSpaceDE w:val="0"/>
        <w:autoSpaceDN w:val="0"/>
        <w:adjustRightInd w:val="0"/>
        <w:spacing w:line="240" w:lineRule="auto"/>
        <w:rPr>
          <w:szCs w:val="22"/>
        </w:rPr>
      </w:pPr>
    </w:p>
    <w:p w14:paraId="78D99C41" w14:textId="77777777" w:rsidR="00C04CAD" w:rsidRDefault="00060E34">
      <w:pPr>
        <w:keepNext/>
        <w:keepLines/>
        <w:autoSpaceDE w:val="0"/>
        <w:autoSpaceDN w:val="0"/>
        <w:adjustRightInd w:val="0"/>
        <w:spacing w:line="240" w:lineRule="auto"/>
        <w:rPr>
          <w:szCs w:val="22"/>
        </w:rPr>
      </w:pPr>
      <w:r>
        <w:rPr>
          <w:szCs w:val="22"/>
          <w:u w:val="single"/>
        </w:rPr>
        <w:t>Efecte farmacodinamice</w:t>
      </w:r>
    </w:p>
    <w:p w14:paraId="4F4C5ECD" w14:textId="77777777" w:rsidR="00C04CAD" w:rsidRDefault="00C04CAD">
      <w:pPr>
        <w:keepNext/>
        <w:keepLines/>
        <w:autoSpaceDE w:val="0"/>
        <w:autoSpaceDN w:val="0"/>
        <w:adjustRightInd w:val="0"/>
        <w:spacing w:line="240" w:lineRule="auto"/>
        <w:rPr>
          <w:szCs w:val="22"/>
        </w:rPr>
      </w:pPr>
    </w:p>
    <w:p w14:paraId="3FDDBB9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La pacienţii cu poliartrită reumatoidă, după tratamentul cu </w:t>
      </w:r>
      <w:r>
        <w:rPr>
          <w:rFonts w:eastAsia="MS Mincho"/>
          <w:szCs w:val="22"/>
          <w:lang w:eastAsia="en-US" w:bidi="ar-SA"/>
        </w:rPr>
        <w:t>adalimumab</w:t>
      </w:r>
      <w:r>
        <w:rPr>
          <w:szCs w:val="22"/>
        </w:rPr>
        <w:t xml:space="preserve">, a fost constatată o scădere rapidă a nivelurilor reactanţilor de fază acută a inflamaţiei (proteina C reactivă (PCR) şi viteza de sedimentare a hematiilor (VSH)) şi a citokinelor plasmatice (IL-6), comparativ cu nivelurile iniţiale. Concentraţiile serice ale metaloproteinazelor matriceale (MMP-1 şi MMP-3) care determină remodelarea ţesuturilor răspunzătoare de distrugerea cartilajului au fost, de asemenea, scăzute după administrarea de </w:t>
      </w:r>
      <w:r>
        <w:rPr>
          <w:rFonts w:eastAsia="MS Mincho"/>
          <w:szCs w:val="22"/>
          <w:lang w:eastAsia="en-US" w:bidi="ar-SA"/>
        </w:rPr>
        <w:t>adalimumab</w:t>
      </w:r>
      <w:r>
        <w:rPr>
          <w:szCs w:val="22"/>
        </w:rPr>
        <w:t xml:space="preserve">. Pacienţii trataţi cu </w:t>
      </w:r>
      <w:r>
        <w:rPr>
          <w:rFonts w:eastAsia="MS Mincho"/>
          <w:szCs w:val="22"/>
          <w:lang w:eastAsia="en-US" w:bidi="ar-SA"/>
        </w:rPr>
        <w:t>adalimumab</w:t>
      </w:r>
      <w:r>
        <w:rPr>
          <w:szCs w:val="22"/>
        </w:rPr>
        <w:t xml:space="preserve"> au manifestat, de obicei, o ameliorare a semnelor hematologice ale inflamaţiei cronice.</w:t>
      </w:r>
    </w:p>
    <w:p w14:paraId="3873210B" w14:textId="77777777" w:rsidR="00C04CAD" w:rsidRDefault="00C04CAD">
      <w:pPr>
        <w:tabs>
          <w:tab w:val="clear" w:pos="567"/>
        </w:tabs>
        <w:kinsoku w:val="0"/>
        <w:overflowPunct w:val="0"/>
        <w:autoSpaceDE w:val="0"/>
        <w:autoSpaceDN w:val="0"/>
        <w:adjustRightInd w:val="0"/>
        <w:spacing w:line="240" w:lineRule="auto"/>
        <w:rPr>
          <w:szCs w:val="22"/>
        </w:rPr>
      </w:pPr>
    </w:p>
    <w:p w14:paraId="33C786E0" w14:textId="77777777" w:rsidR="00C04CAD" w:rsidRDefault="00060E34">
      <w:pPr>
        <w:autoSpaceDE w:val="0"/>
        <w:autoSpaceDN w:val="0"/>
        <w:adjustRightInd w:val="0"/>
        <w:spacing w:line="240" w:lineRule="auto"/>
        <w:rPr>
          <w:szCs w:val="22"/>
        </w:rPr>
      </w:pPr>
      <w:r>
        <w:rPr>
          <w:szCs w:val="22"/>
        </w:rPr>
        <w:t xml:space="preserve">La pacienţii cu artrită juvenilă idiopatică forma poliarticulară, boală Crohn, colită ulcerativă şi hidrosadenită supurativă s-a observat o scădere rapidă a valorilor PCR după tratamentul cu </w:t>
      </w:r>
      <w:r>
        <w:rPr>
          <w:rFonts w:eastAsia="MS Mincho"/>
          <w:szCs w:val="22"/>
          <w:lang w:eastAsia="en-US" w:bidi="ar-SA"/>
        </w:rPr>
        <w:t>adalimumab</w:t>
      </w:r>
      <w:r>
        <w:rPr>
          <w:szCs w:val="22"/>
        </w:rPr>
        <w:t>. La pacienţii cu boală Crohn, a fost observată o scădere a numărului de celule care exprimă markerii inflamaţiei la nivelul colonului, inclusiv o scădere semnificativă a exprimării TNFα. La pacienţii trataţi cu adalimumab, studiile endoscopice pe mucoasa intestinală au pus în evidenţă dovezi ale vindecării mucoasei.</w:t>
      </w:r>
    </w:p>
    <w:p w14:paraId="088E1E17" w14:textId="77777777" w:rsidR="00C04CAD" w:rsidRDefault="00C04CAD">
      <w:pPr>
        <w:autoSpaceDE w:val="0"/>
        <w:autoSpaceDN w:val="0"/>
        <w:adjustRightInd w:val="0"/>
        <w:spacing w:line="240" w:lineRule="auto"/>
        <w:rPr>
          <w:szCs w:val="22"/>
        </w:rPr>
      </w:pPr>
    </w:p>
    <w:p w14:paraId="4F24FC3F" w14:textId="77777777" w:rsidR="00C04CAD" w:rsidRDefault="00060E34">
      <w:pPr>
        <w:keepNext/>
        <w:autoSpaceDE w:val="0"/>
        <w:autoSpaceDN w:val="0"/>
        <w:adjustRightInd w:val="0"/>
        <w:spacing w:line="240" w:lineRule="auto"/>
        <w:rPr>
          <w:szCs w:val="22"/>
        </w:rPr>
      </w:pPr>
      <w:r>
        <w:rPr>
          <w:szCs w:val="22"/>
          <w:u w:val="single"/>
        </w:rPr>
        <w:t>Eficacitate și siguranță clinică</w:t>
      </w:r>
    </w:p>
    <w:p w14:paraId="58EDD6F3" w14:textId="77777777" w:rsidR="00C04CAD" w:rsidRDefault="00C04CAD">
      <w:pPr>
        <w:keepNext/>
        <w:autoSpaceDE w:val="0"/>
        <w:autoSpaceDN w:val="0"/>
        <w:adjustRightInd w:val="0"/>
        <w:spacing w:line="240" w:lineRule="auto"/>
        <w:rPr>
          <w:szCs w:val="22"/>
        </w:rPr>
      </w:pPr>
    </w:p>
    <w:p w14:paraId="375C0EDB" w14:textId="77777777" w:rsidR="00C04CAD" w:rsidRDefault="00060E34">
      <w:pPr>
        <w:keepNext/>
        <w:tabs>
          <w:tab w:val="clear" w:pos="567"/>
        </w:tabs>
        <w:kinsoku w:val="0"/>
        <w:overflowPunct w:val="0"/>
        <w:autoSpaceDE w:val="0"/>
        <w:autoSpaceDN w:val="0"/>
        <w:adjustRightInd w:val="0"/>
        <w:spacing w:line="240" w:lineRule="auto"/>
        <w:rPr>
          <w:szCs w:val="22"/>
        </w:rPr>
      </w:pPr>
      <w:r>
        <w:rPr>
          <w:i/>
          <w:szCs w:val="22"/>
        </w:rPr>
        <w:t>Poliartrită reumatoidă</w:t>
      </w:r>
    </w:p>
    <w:p w14:paraId="61B2B495" w14:textId="77777777" w:rsidR="00C04CAD" w:rsidRDefault="00C04CAD">
      <w:pPr>
        <w:tabs>
          <w:tab w:val="clear" w:pos="567"/>
        </w:tabs>
        <w:kinsoku w:val="0"/>
        <w:overflowPunct w:val="0"/>
        <w:autoSpaceDE w:val="0"/>
        <w:autoSpaceDN w:val="0"/>
        <w:adjustRightInd w:val="0"/>
        <w:spacing w:line="240" w:lineRule="auto"/>
        <w:rPr>
          <w:szCs w:val="22"/>
        </w:rPr>
      </w:pPr>
    </w:p>
    <w:p w14:paraId="1FC6ADD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Administrarea </w:t>
      </w:r>
      <w:r>
        <w:rPr>
          <w:rFonts w:eastAsia="MS Mincho"/>
          <w:szCs w:val="22"/>
          <w:lang w:eastAsia="en-US" w:bidi="ar-SA"/>
        </w:rPr>
        <w:t>adalimumab</w:t>
      </w:r>
      <w:r>
        <w:rPr>
          <w:szCs w:val="22"/>
        </w:rPr>
        <w:t xml:space="preserve"> a fost evaluată la peste 3 000 pacienţi în toate studiile clinice efectuate pentru poliartrita reumatoidă. Eficacitatea şi siguranţa </w:t>
      </w:r>
      <w:r>
        <w:rPr>
          <w:rFonts w:eastAsia="MS Mincho"/>
          <w:szCs w:val="22"/>
          <w:lang w:eastAsia="en-US" w:bidi="ar-SA"/>
        </w:rPr>
        <w:t>adalimumab</w:t>
      </w:r>
      <w:r>
        <w:rPr>
          <w:szCs w:val="22"/>
        </w:rPr>
        <w:t xml:space="preserve"> au fost evaluate în cadrul a cinci studii clinice randomizate, dublu-orb, bine controlate. Unii pacienţi au fost trataţi o perioadă de până la 120 luni.</w:t>
      </w:r>
    </w:p>
    <w:p w14:paraId="2407F8A9" w14:textId="77777777" w:rsidR="00C04CAD" w:rsidRDefault="00C04CAD">
      <w:pPr>
        <w:tabs>
          <w:tab w:val="clear" w:pos="567"/>
        </w:tabs>
        <w:kinsoku w:val="0"/>
        <w:overflowPunct w:val="0"/>
        <w:autoSpaceDE w:val="0"/>
        <w:autoSpaceDN w:val="0"/>
        <w:adjustRightInd w:val="0"/>
        <w:spacing w:line="240" w:lineRule="auto"/>
        <w:rPr>
          <w:szCs w:val="22"/>
        </w:rPr>
      </w:pPr>
    </w:p>
    <w:p w14:paraId="60DB1FEB"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Studiul PR I au fost evaluaţi 271 pacienţi, cu vârsta ≥18 ani, cu poliartrită reumatoidă activă moderată până la severă, la care tratamentul cu cel puţin un medicament antireumatic modificator de boală nu a dat rezultate, şi la care administrarea de metotrexat în doze săptămânale de 12,5</w:t>
      </w:r>
      <w:r>
        <w:rPr>
          <w:szCs w:val="22"/>
        </w:rPr>
        <w:noBreakHyphen/>
        <w:t>25 mg (10 mg dacă manifestau intoleranţă la metotrexat) nu a fost suficient de eficace şi la care doza de metotrexat a rămas constantă la 10</w:t>
      </w:r>
      <w:r>
        <w:rPr>
          <w:szCs w:val="22"/>
        </w:rPr>
        <w:noBreakHyphen/>
        <w:t xml:space="preserve">25 mg săptămânal. Au fost administrate doze de 20, 40 sau 80 mg </w:t>
      </w:r>
      <w:r>
        <w:rPr>
          <w:rFonts w:eastAsia="MS Mincho"/>
          <w:szCs w:val="22"/>
          <w:lang w:eastAsia="en-US" w:bidi="ar-SA"/>
        </w:rPr>
        <w:t>adalimumab</w:t>
      </w:r>
      <w:r>
        <w:rPr>
          <w:szCs w:val="22"/>
        </w:rPr>
        <w:t xml:space="preserve"> sau placebo, din două în două săptămâni, timp de 24 săptămâni.</w:t>
      </w:r>
    </w:p>
    <w:p w14:paraId="516460DF" w14:textId="77777777" w:rsidR="00C04CAD" w:rsidRDefault="00C04CAD">
      <w:pPr>
        <w:tabs>
          <w:tab w:val="clear" w:pos="567"/>
        </w:tabs>
        <w:kinsoku w:val="0"/>
        <w:overflowPunct w:val="0"/>
        <w:autoSpaceDE w:val="0"/>
        <w:autoSpaceDN w:val="0"/>
        <w:adjustRightInd w:val="0"/>
        <w:spacing w:line="240" w:lineRule="auto"/>
        <w:rPr>
          <w:szCs w:val="22"/>
        </w:rPr>
      </w:pPr>
    </w:p>
    <w:p w14:paraId="12E5377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Studiul PR II au fost evaluaţi 544 pacienţi, cu vârsta ≥18 ani, cu poliartrită reumatoidă activă moderată până la severă, la care tratamentul cu cel puţin un medicament antireumatic modificator de boală nu a dat rezultate. Doze de 20 sau 40 mg </w:t>
      </w:r>
      <w:r>
        <w:rPr>
          <w:rFonts w:eastAsia="MS Mincho"/>
          <w:szCs w:val="22"/>
          <w:lang w:eastAsia="en-US" w:bidi="ar-SA"/>
        </w:rPr>
        <w:t>adalimumab</w:t>
      </w:r>
      <w:r>
        <w:rPr>
          <w:szCs w:val="22"/>
        </w:rPr>
        <w:t xml:space="preserve"> administrate</w:t>
      </w:r>
      <w:r>
        <w:rPr>
          <w:rFonts w:eastAsia="MS Mincho"/>
          <w:szCs w:val="22"/>
          <w:lang w:eastAsia="en-US" w:bidi="ar-SA"/>
        </w:rPr>
        <w:t xml:space="preserve"> subcutanat</w:t>
      </w:r>
      <w:r>
        <w:rPr>
          <w:szCs w:val="22"/>
        </w:rPr>
        <w:t xml:space="preserve"> fie din două în două săptămâni, cu administrare de placebo în săptămânile alternative, fie săptămânal, timp de 26 săptămâni; placebo a fost administrat săptămânal pe aceeaşi perioadă. Nu a fost permis nici un alt medicament antireumatic modificator de boală.</w:t>
      </w:r>
    </w:p>
    <w:p w14:paraId="7E8C70CA" w14:textId="77777777" w:rsidR="00C04CAD" w:rsidRDefault="00C04CAD">
      <w:pPr>
        <w:tabs>
          <w:tab w:val="clear" w:pos="567"/>
        </w:tabs>
        <w:kinsoku w:val="0"/>
        <w:overflowPunct w:val="0"/>
        <w:autoSpaceDE w:val="0"/>
        <w:autoSpaceDN w:val="0"/>
        <w:adjustRightInd w:val="0"/>
        <w:spacing w:line="240" w:lineRule="auto"/>
        <w:rPr>
          <w:szCs w:val="22"/>
        </w:rPr>
      </w:pPr>
    </w:p>
    <w:p w14:paraId="6CD002E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Studiul PR III au fost evaluaţi 619 pacienţi cu vârsta ≥18 ani, cu poliartrită reumatoidă activă moderată până la severă, care nu au răspuns suficient la metotrexat în doză de 12,5</w:t>
      </w:r>
      <w:r>
        <w:rPr>
          <w:szCs w:val="22"/>
        </w:rPr>
        <w:noBreakHyphen/>
        <w:t>25 mg sau care manifestau intoleranţă la metotrexat în doză de 10 mg săptămânal. În cadrul acestui studiu au existat trei grupuri. În primul grup s-au administrat injecţii cu placebo, săptămânal, timp de 52 săptămâni. În cel de</w:t>
      </w:r>
      <w:r>
        <w:rPr>
          <w:szCs w:val="22"/>
        </w:rPr>
        <w:noBreakHyphen/>
        <w:t xml:space="preserve">al doilea grup s-a administrat </w:t>
      </w:r>
      <w:r>
        <w:rPr>
          <w:rFonts w:eastAsia="MS Mincho"/>
          <w:szCs w:val="22"/>
          <w:lang w:eastAsia="en-US" w:bidi="ar-SA"/>
        </w:rPr>
        <w:t>adalimumab</w:t>
      </w:r>
      <w:r>
        <w:rPr>
          <w:szCs w:val="22"/>
        </w:rPr>
        <w:t xml:space="preserve"> în doză de 20 mg, săptămânal, timp de 52 săptămâni. În cel de</w:t>
      </w:r>
      <w:r>
        <w:rPr>
          <w:szCs w:val="22"/>
        </w:rPr>
        <w:noBreakHyphen/>
        <w:t xml:space="preserve">al treilea grup s-a administrat </w:t>
      </w:r>
      <w:r>
        <w:rPr>
          <w:rFonts w:eastAsia="MS Mincho"/>
          <w:szCs w:val="22"/>
          <w:lang w:eastAsia="en-US" w:bidi="ar-SA"/>
        </w:rPr>
        <w:t>adalimumab</w:t>
      </w:r>
      <w:r>
        <w:rPr>
          <w:szCs w:val="22"/>
        </w:rPr>
        <w:t xml:space="preserve"> în doză de 40 mg, din două în două săptămâni, cu administrare de placebo în săptămânile alternative. După terminarea primelor 52 săptămâni, 457 pacienţii au fost înrolaţi într-o fază de extensie deschisă, în care s-a administrat </w:t>
      </w:r>
      <w:r>
        <w:rPr>
          <w:rFonts w:eastAsia="MS Mincho"/>
          <w:szCs w:val="22"/>
          <w:lang w:eastAsia="en-US" w:bidi="ar-SA"/>
        </w:rPr>
        <w:t>adalimumab/MTX</w:t>
      </w:r>
      <w:r>
        <w:rPr>
          <w:szCs w:val="22"/>
        </w:rPr>
        <w:t xml:space="preserve"> în doză de 40 mg din două în două săptămâni pe o perioadă de până la 10 ani.</w:t>
      </w:r>
    </w:p>
    <w:p w14:paraId="030CF639" w14:textId="77777777" w:rsidR="00C04CAD" w:rsidRDefault="00C04CAD">
      <w:pPr>
        <w:tabs>
          <w:tab w:val="clear" w:pos="567"/>
        </w:tabs>
        <w:kinsoku w:val="0"/>
        <w:overflowPunct w:val="0"/>
        <w:autoSpaceDE w:val="0"/>
        <w:autoSpaceDN w:val="0"/>
        <w:adjustRightInd w:val="0"/>
        <w:spacing w:line="240" w:lineRule="auto"/>
        <w:rPr>
          <w:szCs w:val="22"/>
        </w:rPr>
      </w:pPr>
    </w:p>
    <w:p w14:paraId="234E9E2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Studiul PR IV a evaluat în primul rând siguranţa medicamentului la 636 pacienţi cu vârsta ≥18 ani, cu poliartrită reumatoidă activă, moderată până la severă. Au fost admişi în studiu fie pacienţi care nu mai fuseseră niciodată trataţi cu medicamente antireumatice modificatoare de boală, fie pacienţi care şi-au continuat tratamentul antireumatic pre-existent, cu condiţia ca acesta să fie menţinut pe o perioadă de minim 28 zile. Aceste tratamente au constat în administrarea de metotrexat, leflunomidă,</w:t>
      </w:r>
      <w:r>
        <w:t xml:space="preserve"> </w:t>
      </w:r>
      <w:r>
        <w:rPr>
          <w:szCs w:val="22"/>
        </w:rPr>
        <w:t xml:space="preserve">hidroxiclorochină, sulfasalazină şi/sau săruri de aur. Pacienţii au fost randomizaţi cu </w:t>
      </w:r>
      <w:r>
        <w:rPr>
          <w:rFonts w:eastAsia="MS Mincho"/>
          <w:szCs w:val="22"/>
          <w:lang w:eastAsia="en-US" w:bidi="ar-SA"/>
        </w:rPr>
        <w:t>adalimumab sau placebo</w:t>
      </w:r>
      <w:r>
        <w:rPr>
          <w:szCs w:val="22"/>
        </w:rPr>
        <w:t xml:space="preserve"> în doză de 40 mg din două în două săptămâni, timp de 24 săptămâni.</w:t>
      </w:r>
    </w:p>
    <w:p w14:paraId="1A154563" w14:textId="77777777" w:rsidR="00C04CAD" w:rsidRDefault="00C04CAD">
      <w:pPr>
        <w:tabs>
          <w:tab w:val="clear" w:pos="567"/>
        </w:tabs>
        <w:kinsoku w:val="0"/>
        <w:overflowPunct w:val="0"/>
        <w:autoSpaceDE w:val="0"/>
        <w:autoSpaceDN w:val="0"/>
        <w:adjustRightInd w:val="0"/>
        <w:spacing w:line="240" w:lineRule="auto"/>
        <w:rPr>
          <w:szCs w:val="22"/>
        </w:rPr>
      </w:pPr>
    </w:p>
    <w:p w14:paraId="3D13B8F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Studiul PR V au fost evaluaţi 799 pacienţi adulţi, cu poliartrită reumatoidă activă precoce moderată până la severă (durata medie a bolii mai mică de 9 luni), pacienţi netrataţi anterior cu metotrexat. Acest studiu a evaluat eficacitatea tratamentului în ceea ce priveşte reducerea semnelor şi simptomelor precum şi rata progresiei deteriorărilor articulare în cazul utilizării </w:t>
      </w:r>
      <w:r>
        <w:rPr>
          <w:rFonts w:eastAsia="MS Mincho"/>
          <w:szCs w:val="22"/>
          <w:lang w:eastAsia="en-US" w:bidi="ar-SA"/>
        </w:rPr>
        <w:t>adalimumab</w:t>
      </w:r>
      <w:r>
        <w:rPr>
          <w:szCs w:val="22"/>
        </w:rPr>
        <w:t xml:space="preserve"> 40 mg administrat la două săptămâni/terapie concomitentă cu metotrexat,</w:t>
      </w:r>
      <w:r>
        <w:rPr>
          <w:rFonts w:eastAsia="MS Mincho"/>
          <w:szCs w:val="22"/>
          <w:lang w:eastAsia="en-US" w:bidi="ar-SA"/>
        </w:rPr>
        <w:t xml:space="preserve"> adalimumab</w:t>
      </w:r>
      <w:r>
        <w:rPr>
          <w:szCs w:val="22"/>
        </w:rPr>
        <w:t xml:space="preserve"> 40 mg la două săptămâni administrat în monoterapie şi metotrexat în monoterapie, timp de 104 săptămâni. La finalizarea primelor 104 săptămâni, 497 pacienți au fost înrolați într-o fază de extensie deschisă în care s-a administrat </w:t>
      </w:r>
      <w:r>
        <w:rPr>
          <w:rFonts w:eastAsia="MS Mincho"/>
          <w:szCs w:val="22"/>
          <w:lang w:eastAsia="en-US" w:bidi="ar-SA"/>
        </w:rPr>
        <w:t>adalimumab</w:t>
      </w:r>
      <w:r>
        <w:rPr>
          <w:szCs w:val="22"/>
        </w:rPr>
        <w:t xml:space="preserve"> 40 mg la două săptămâni pentru o periodă de până la 10 ani.</w:t>
      </w:r>
    </w:p>
    <w:p w14:paraId="38AA9E16" w14:textId="77777777" w:rsidR="00C04CAD" w:rsidRDefault="00C04CAD">
      <w:pPr>
        <w:tabs>
          <w:tab w:val="clear" w:pos="567"/>
        </w:tabs>
        <w:kinsoku w:val="0"/>
        <w:overflowPunct w:val="0"/>
        <w:autoSpaceDE w:val="0"/>
        <w:autoSpaceDN w:val="0"/>
        <w:adjustRightInd w:val="0"/>
        <w:spacing w:line="240" w:lineRule="auto"/>
        <w:rPr>
          <w:szCs w:val="22"/>
        </w:rPr>
      </w:pPr>
    </w:p>
    <w:p w14:paraId="047F961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Obiectivul principal final al studiilor PR I, II şi III şi obiectivul secundar final al studiului PR IV, a fost procentul de pacienţi care au prezentat un răspuns ACR 20 în </w:t>
      </w:r>
      <w:r>
        <w:rPr>
          <w:rFonts w:eastAsia="MS Mincho"/>
          <w:szCs w:val="22"/>
          <w:lang w:eastAsia="en-US" w:bidi="ar-SA"/>
        </w:rPr>
        <w:t>săptămâna</w:t>
      </w:r>
      <w:r>
        <w:rPr>
          <w:szCs w:val="22"/>
        </w:rPr>
        <w:t xml:space="preserve"> 24 sau 26. Obiectivul principal final al studiului PR V a fost procentul de pacienţi care au obţinut un răspuns ACR 50 în </w:t>
      </w:r>
      <w:r>
        <w:rPr>
          <w:rFonts w:eastAsia="MS Mincho"/>
          <w:szCs w:val="22"/>
          <w:lang w:eastAsia="en-US" w:bidi="ar-SA"/>
        </w:rPr>
        <w:t>săptămâna</w:t>
      </w:r>
      <w:r>
        <w:rPr>
          <w:szCs w:val="22"/>
        </w:rPr>
        <w:t xml:space="preserve"> 52. Studiile PR III şi V au avut un obiectiv final suplimentar la 52 săptămâni şi anume întârzierea progresiei bolii (evidenţiată cu ajutorul parametrilor examinării radiologice). Studiul PR III a mai avut ca obiectiv primar final şi modificarea calităţii vieţii</w:t>
      </w:r>
      <w:r>
        <w:t>.</w:t>
      </w:r>
    </w:p>
    <w:p w14:paraId="2DAE0A56" w14:textId="77777777" w:rsidR="00C04CAD" w:rsidRDefault="00C04CAD">
      <w:pPr>
        <w:tabs>
          <w:tab w:val="clear" w:pos="567"/>
        </w:tabs>
        <w:kinsoku w:val="0"/>
        <w:overflowPunct w:val="0"/>
        <w:autoSpaceDE w:val="0"/>
        <w:autoSpaceDN w:val="0"/>
        <w:adjustRightInd w:val="0"/>
        <w:spacing w:line="240" w:lineRule="auto"/>
      </w:pPr>
    </w:p>
    <w:p w14:paraId="08CF4323" w14:textId="77777777" w:rsidR="00C04CAD" w:rsidRDefault="00060E34">
      <w:pPr>
        <w:tabs>
          <w:tab w:val="clear" w:pos="567"/>
        </w:tabs>
        <w:kinsoku w:val="0"/>
        <w:overflowPunct w:val="0"/>
        <w:autoSpaceDE w:val="0"/>
        <w:autoSpaceDN w:val="0"/>
        <w:adjustRightInd w:val="0"/>
        <w:spacing w:line="240" w:lineRule="auto"/>
        <w:rPr>
          <w:u w:val="single"/>
        </w:rPr>
      </w:pPr>
      <w:r>
        <w:rPr>
          <w:i/>
          <w:u w:val="single"/>
        </w:rPr>
        <w:t>Răspuns ACR</w:t>
      </w:r>
    </w:p>
    <w:p w14:paraId="124F4A8B" w14:textId="77777777" w:rsidR="00C04CAD" w:rsidRDefault="00C04CAD">
      <w:pPr>
        <w:tabs>
          <w:tab w:val="clear" w:pos="567"/>
        </w:tabs>
        <w:kinsoku w:val="0"/>
        <w:overflowPunct w:val="0"/>
        <w:autoSpaceDE w:val="0"/>
        <w:autoSpaceDN w:val="0"/>
        <w:adjustRightInd w:val="0"/>
        <w:spacing w:line="240" w:lineRule="auto"/>
      </w:pPr>
    </w:p>
    <w:p w14:paraId="06EB6C26" w14:textId="77777777" w:rsidR="00C04CAD" w:rsidRDefault="00060E34">
      <w:pPr>
        <w:autoSpaceDE w:val="0"/>
        <w:autoSpaceDN w:val="0"/>
        <w:adjustRightInd w:val="0"/>
        <w:spacing w:line="240" w:lineRule="auto"/>
      </w:pPr>
      <w:r>
        <w:t xml:space="preserve">Procentul de pacienţi trataţi cu </w:t>
      </w:r>
      <w:r>
        <w:rPr>
          <w:rFonts w:eastAsia="MS Mincho"/>
          <w:szCs w:val="22"/>
          <w:lang w:eastAsia="en-US" w:bidi="ar-SA"/>
        </w:rPr>
        <w:t>adalimumab</w:t>
      </w:r>
      <w:r>
        <w:t xml:space="preserve"> care au obţinut un răspuns ACR 20, 50 şi 70 a fost consecvent în studiile PR I, II şi III. Răspunsul terapeutic la doza de 40 mg administrată din două în două săptămâni este prezentat în tabelul</w:t>
      </w:r>
      <w:r>
        <w:rPr>
          <w:rFonts w:eastAsia="MS Mincho"/>
          <w:szCs w:val="22"/>
          <w:lang w:eastAsia="en-US" w:bidi="ar-SA"/>
        </w:rPr>
        <w:t> 8</w:t>
      </w:r>
      <w:r>
        <w:t>.</w:t>
      </w:r>
    </w:p>
    <w:p w14:paraId="10A0A362" w14:textId="77777777" w:rsidR="00C04CAD" w:rsidRDefault="00C04CAD">
      <w:pPr>
        <w:autoSpaceDE w:val="0"/>
        <w:autoSpaceDN w:val="0"/>
        <w:adjustRightInd w:val="0"/>
        <w:spacing w:line="240" w:lineRule="auto"/>
      </w:pPr>
    </w:p>
    <w:p w14:paraId="7DA89534" w14:textId="77777777" w:rsidR="00C04CAD" w:rsidRDefault="00060E34">
      <w:pPr>
        <w:autoSpaceDE w:val="0"/>
        <w:autoSpaceDN w:val="0"/>
        <w:adjustRightInd w:val="0"/>
        <w:spacing w:line="240" w:lineRule="auto"/>
        <w:rPr>
          <w:b/>
        </w:rPr>
      </w:pPr>
      <w:r>
        <w:rPr>
          <w:b/>
        </w:rPr>
        <w:t>Tabelul</w:t>
      </w:r>
      <w:r>
        <w:rPr>
          <w:rFonts w:eastAsia="MS Mincho"/>
          <w:b/>
          <w:szCs w:val="22"/>
          <w:lang w:eastAsia="en-US" w:bidi="ar-SA"/>
        </w:rPr>
        <w:t> 8.</w:t>
      </w:r>
      <w:r>
        <w:rPr>
          <w:b/>
        </w:rPr>
        <w:t xml:space="preserve"> Răspunsul ACR în cadrul studiilor placebo controlate (procentul de pacienţi)</w:t>
      </w:r>
    </w:p>
    <w:p w14:paraId="4770EB58" w14:textId="77777777" w:rsidR="00C04CAD" w:rsidRDefault="00C04CAD">
      <w:pPr>
        <w:autoSpaceDE w:val="0"/>
        <w:autoSpaceDN w:val="0"/>
        <w:adjustRightInd w:val="0"/>
        <w:spacing w:line="240" w:lineRule="auto"/>
        <w:rPr>
          <w:b/>
        </w:rPr>
      </w:pPr>
    </w:p>
    <w:tbl>
      <w:tblPr>
        <w:tblW w:w="9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2"/>
        <w:gridCol w:w="952"/>
        <w:gridCol w:w="1738"/>
        <w:gridCol w:w="1026"/>
        <w:gridCol w:w="1696"/>
        <w:gridCol w:w="891"/>
        <w:gridCol w:w="1673"/>
      </w:tblGrid>
      <w:tr w:rsidR="00C04CAD" w14:paraId="313A61AE" w14:textId="77777777">
        <w:trPr>
          <w:trHeight w:hRule="exact" w:val="377"/>
          <w:tblHeader/>
        </w:trPr>
        <w:tc>
          <w:tcPr>
            <w:tcW w:w="1382" w:type="dxa"/>
            <w:vMerge w:val="restart"/>
          </w:tcPr>
          <w:p w14:paraId="520167C2" w14:textId="77777777" w:rsidR="00C04CAD" w:rsidRDefault="00060E34">
            <w:pPr>
              <w:keepNext/>
              <w:tabs>
                <w:tab w:val="clear" w:pos="567"/>
              </w:tabs>
              <w:kinsoku w:val="0"/>
              <w:overflowPunct w:val="0"/>
              <w:autoSpaceDE w:val="0"/>
              <w:autoSpaceDN w:val="0"/>
              <w:adjustRightInd w:val="0"/>
              <w:spacing w:line="240" w:lineRule="auto"/>
              <w:ind w:left="139"/>
            </w:pPr>
            <w:r>
              <w:rPr>
                <w:rFonts w:eastAsia="MS Mincho"/>
                <w:b/>
                <w:bCs/>
                <w:szCs w:val="22"/>
                <w:lang w:eastAsia="en-US" w:bidi="ar-SA"/>
              </w:rPr>
              <w:t>Răspuns</w:t>
            </w:r>
          </w:p>
        </w:tc>
        <w:tc>
          <w:tcPr>
            <w:tcW w:w="2690" w:type="dxa"/>
            <w:gridSpan w:val="2"/>
          </w:tcPr>
          <w:p w14:paraId="1AF660AF" w14:textId="77777777" w:rsidR="00C04CAD" w:rsidRDefault="00060E34">
            <w:pPr>
              <w:keepNext/>
              <w:tabs>
                <w:tab w:val="clear" w:pos="567"/>
              </w:tabs>
              <w:kinsoku w:val="0"/>
              <w:overflowPunct w:val="0"/>
              <w:autoSpaceDE w:val="0"/>
              <w:autoSpaceDN w:val="0"/>
              <w:adjustRightInd w:val="0"/>
              <w:spacing w:line="240" w:lineRule="auto"/>
              <w:jc w:val="center"/>
            </w:pPr>
            <w:r>
              <w:rPr>
                <w:b/>
              </w:rPr>
              <w:t>Studiul PR I</w:t>
            </w:r>
            <w:r>
              <w:rPr>
                <w:b/>
                <w:vertAlign w:val="superscript"/>
              </w:rPr>
              <w:t>a</w:t>
            </w:r>
            <w:r>
              <w:rPr>
                <w:b/>
              </w:rPr>
              <w:t>**</w:t>
            </w:r>
          </w:p>
        </w:tc>
        <w:tc>
          <w:tcPr>
            <w:tcW w:w="2722" w:type="dxa"/>
            <w:gridSpan w:val="2"/>
          </w:tcPr>
          <w:p w14:paraId="78E7DFEE" w14:textId="77777777" w:rsidR="00C04CAD" w:rsidRDefault="00060E34">
            <w:pPr>
              <w:keepNext/>
              <w:tabs>
                <w:tab w:val="clear" w:pos="567"/>
              </w:tabs>
              <w:kinsoku w:val="0"/>
              <w:overflowPunct w:val="0"/>
              <w:autoSpaceDE w:val="0"/>
              <w:autoSpaceDN w:val="0"/>
              <w:adjustRightInd w:val="0"/>
              <w:spacing w:line="240" w:lineRule="auto"/>
              <w:jc w:val="center"/>
            </w:pPr>
            <w:r>
              <w:rPr>
                <w:b/>
              </w:rPr>
              <w:t>Studiul PR II</w:t>
            </w:r>
            <w:r>
              <w:rPr>
                <w:b/>
                <w:vertAlign w:val="superscript"/>
              </w:rPr>
              <w:t>a</w:t>
            </w:r>
            <w:r>
              <w:rPr>
                <w:b/>
              </w:rPr>
              <w:t>**</w:t>
            </w:r>
          </w:p>
        </w:tc>
        <w:tc>
          <w:tcPr>
            <w:tcW w:w="2564" w:type="dxa"/>
            <w:gridSpan w:val="2"/>
          </w:tcPr>
          <w:p w14:paraId="72869CCD" w14:textId="77777777" w:rsidR="00C04CAD" w:rsidRDefault="00060E34">
            <w:pPr>
              <w:keepNext/>
              <w:tabs>
                <w:tab w:val="clear" w:pos="567"/>
              </w:tabs>
              <w:kinsoku w:val="0"/>
              <w:overflowPunct w:val="0"/>
              <w:autoSpaceDE w:val="0"/>
              <w:autoSpaceDN w:val="0"/>
              <w:adjustRightInd w:val="0"/>
              <w:spacing w:line="240" w:lineRule="auto"/>
              <w:jc w:val="center"/>
            </w:pPr>
            <w:r>
              <w:rPr>
                <w:b/>
              </w:rPr>
              <w:t>Studiul PR III</w:t>
            </w:r>
            <w:r>
              <w:rPr>
                <w:b/>
                <w:vertAlign w:val="superscript"/>
              </w:rPr>
              <w:t>a</w:t>
            </w:r>
            <w:r>
              <w:rPr>
                <w:b/>
              </w:rPr>
              <w:t>**</w:t>
            </w:r>
          </w:p>
        </w:tc>
      </w:tr>
      <w:tr w:rsidR="00C04CAD" w14:paraId="275E4E94" w14:textId="77777777">
        <w:trPr>
          <w:trHeight w:hRule="exact" w:val="775"/>
          <w:tblHeader/>
        </w:trPr>
        <w:tc>
          <w:tcPr>
            <w:tcW w:w="1382" w:type="dxa"/>
            <w:vMerge/>
            <w:tcBorders>
              <w:bottom w:val="single" w:sz="4" w:space="0" w:color="auto"/>
            </w:tcBorders>
          </w:tcPr>
          <w:p w14:paraId="27C217C5" w14:textId="77777777" w:rsidR="00C04CAD" w:rsidRDefault="00C04CAD">
            <w:pPr>
              <w:keepNext/>
              <w:tabs>
                <w:tab w:val="clear" w:pos="567"/>
              </w:tabs>
              <w:kinsoku w:val="0"/>
              <w:overflowPunct w:val="0"/>
              <w:autoSpaceDE w:val="0"/>
              <w:autoSpaceDN w:val="0"/>
              <w:adjustRightInd w:val="0"/>
              <w:spacing w:line="240" w:lineRule="auto"/>
              <w:ind w:left="524"/>
            </w:pPr>
          </w:p>
        </w:tc>
        <w:tc>
          <w:tcPr>
            <w:tcW w:w="952" w:type="dxa"/>
            <w:tcBorders>
              <w:bottom w:val="single" w:sz="4" w:space="0" w:color="auto"/>
            </w:tcBorders>
          </w:tcPr>
          <w:p w14:paraId="5C16A5F3"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Placebo/ MTX</w:t>
            </w:r>
            <w:r>
              <w:rPr>
                <w:b/>
                <w:vertAlign w:val="superscript"/>
              </w:rPr>
              <w:t>c</w:t>
            </w:r>
            <w:r>
              <w:rPr>
                <w:b/>
              </w:rPr>
              <w:t xml:space="preserve"> n=60</w:t>
            </w:r>
          </w:p>
        </w:tc>
        <w:tc>
          <w:tcPr>
            <w:tcW w:w="1738" w:type="dxa"/>
            <w:tcBorders>
              <w:bottom w:val="single" w:sz="4" w:space="0" w:color="auto"/>
            </w:tcBorders>
          </w:tcPr>
          <w:p w14:paraId="6BE93CC2" w14:textId="77777777" w:rsidR="00C04CAD" w:rsidRDefault="00060E34">
            <w:pPr>
              <w:keepNext/>
              <w:tabs>
                <w:tab w:val="clear" w:pos="567"/>
              </w:tabs>
              <w:kinsoku w:val="0"/>
              <w:overflowPunct w:val="0"/>
              <w:autoSpaceDE w:val="0"/>
              <w:autoSpaceDN w:val="0"/>
              <w:adjustRightInd w:val="0"/>
              <w:spacing w:line="240" w:lineRule="auto"/>
              <w:jc w:val="center"/>
              <w:rPr>
                <w:b/>
              </w:rPr>
            </w:pPr>
            <w:r>
              <w:rPr>
                <w:rFonts w:eastAsia="MS Mincho"/>
                <w:b/>
                <w:szCs w:val="22"/>
                <w:lang w:eastAsia="en-US" w:bidi="ar-SA"/>
              </w:rPr>
              <w:t>Adalimumab</w:t>
            </w:r>
            <w:r>
              <w:rPr>
                <w:rFonts w:eastAsia="MS Mincho"/>
                <w:b/>
                <w:szCs w:val="22"/>
                <w:vertAlign w:val="superscript"/>
                <w:lang w:eastAsia="en-US" w:bidi="ar-SA"/>
              </w:rPr>
              <w:t>b</w:t>
            </w:r>
            <w:r>
              <w:rPr>
                <w:b/>
              </w:rPr>
              <w:t>/ MTX</w:t>
            </w:r>
            <w:r>
              <w:rPr>
                <w:b/>
                <w:vertAlign w:val="superscript"/>
              </w:rPr>
              <w:t>c</w:t>
            </w:r>
          </w:p>
          <w:p w14:paraId="6DCCC460"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n=63</w:t>
            </w:r>
          </w:p>
        </w:tc>
        <w:tc>
          <w:tcPr>
            <w:tcW w:w="1026" w:type="dxa"/>
            <w:tcBorders>
              <w:bottom w:val="single" w:sz="4" w:space="0" w:color="auto"/>
            </w:tcBorders>
          </w:tcPr>
          <w:p w14:paraId="63969846"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Placebo n=110</w:t>
            </w:r>
          </w:p>
        </w:tc>
        <w:tc>
          <w:tcPr>
            <w:tcW w:w="1696" w:type="dxa"/>
            <w:tcBorders>
              <w:bottom w:val="single" w:sz="4" w:space="0" w:color="auto"/>
            </w:tcBorders>
          </w:tcPr>
          <w:p w14:paraId="235CA9F2" w14:textId="77777777" w:rsidR="00C04CAD" w:rsidRDefault="00060E34">
            <w:pPr>
              <w:keepNext/>
              <w:tabs>
                <w:tab w:val="clear" w:pos="567"/>
              </w:tabs>
              <w:kinsoku w:val="0"/>
              <w:overflowPunct w:val="0"/>
              <w:autoSpaceDE w:val="0"/>
              <w:autoSpaceDN w:val="0"/>
              <w:adjustRightInd w:val="0"/>
              <w:spacing w:line="240" w:lineRule="auto"/>
              <w:jc w:val="center"/>
              <w:rPr>
                <w:rFonts w:eastAsia="MS Mincho"/>
                <w:b/>
                <w:szCs w:val="22"/>
                <w:lang w:eastAsia="en-US" w:bidi="ar-SA"/>
              </w:rPr>
            </w:pPr>
            <w:r>
              <w:rPr>
                <w:rFonts w:eastAsia="MS Mincho"/>
                <w:b/>
                <w:szCs w:val="22"/>
                <w:lang w:eastAsia="en-US" w:bidi="ar-SA"/>
              </w:rPr>
              <w:t>Adalimumab</w:t>
            </w:r>
            <w:r>
              <w:rPr>
                <w:rFonts w:eastAsia="MS Mincho"/>
                <w:b/>
                <w:szCs w:val="22"/>
                <w:vertAlign w:val="superscript"/>
                <w:lang w:eastAsia="en-US" w:bidi="ar-SA"/>
              </w:rPr>
              <w:t>b</w:t>
            </w:r>
          </w:p>
          <w:p w14:paraId="34F06DB3"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n=113</w:t>
            </w:r>
          </w:p>
        </w:tc>
        <w:tc>
          <w:tcPr>
            <w:tcW w:w="891" w:type="dxa"/>
            <w:tcBorders>
              <w:bottom w:val="single" w:sz="4" w:space="0" w:color="auto"/>
            </w:tcBorders>
          </w:tcPr>
          <w:p w14:paraId="06AD3C21"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Placebo/ MTX</w:t>
            </w:r>
            <w:r>
              <w:rPr>
                <w:b/>
                <w:vertAlign w:val="superscript"/>
              </w:rPr>
              <w:t>c</w:t>
            </w:r>
            <w:r>
              <w:rPr>
                <w:b/>
              </w:rPr>
              <w:t xml:space="preserve"> n=200</w:t>
            </w:r>
          </w:p>
        </w:tc>
        <w:tc>
          <w:tcPr>
            <w:tcW w:w="1673" w:type="dxa"/>
            <w:tcBorders>
              <w:bottom w:val="single" w:sz="4" w:space="0" w:color="auto"/>
            </w:tcBorders>
          </w:tcPr>
          <w:p w14:paraId="3EE87822" w14:textId="77777777" w:rsidR="00C04CAD" w:rsidRDefault="00060E34">
            <w:pPr>
              <w:keepNext/>
              <w:tabs>
                <w:tab w:val="clear" w:pos="567"/>
              </w:tabs>
              <w:kinsoku w:val="0"/>
              <w:overflowPunct w:val="0"/>
              <w:autoSpaceDE w:val="0"/>
              <w:autoSpaceDN w:val="0"/>
              <w:adjustRightInd w:val="0"/>
              <w:spacing w:line="240" w:lineRule="auto"/>
              <w:jc w:val="center"/>
              <w:rPr>
                <w:b/>
              </w:rPr>
            </w:pPr>
            <w:r>
              <w:rPr>
                <w:rFonts w:eastAsia="MS Mincho"/>
                <w:b/>
                <w:szCs w:val="22"/>
                <w:lang w:eastAsia="en-US" w:bidi="ar-SA"/>
              </w:rPr>
              <w:t>Adalimumab</w:t>
            </w:r>
            <w:r>
              <w:rPr>
                <w:rFonts w:eastAsia="MS Mincho"/>
                <w:b/>
                <w:szCs w:val="22"/>
                <w:vertAlign w:val="superscript"/>
                <w:lang w:eastAsia="en-US" w:bidi="ar-SA"/>
              </w:rPr>
              <w:t>b</w:t>
            </w:r>
            <w:r>
              <w:rPr>
                <w:b/>
              </w:rPr>
              <w:t>/ MTX</w:t>
            </w:r>
            <w:r>
              <w:rPr>
                <w:b/>
                <w:vertAlign w:val="superscript"/>
              </w:rPr>
              <w:t>c</w:t>
            </w:r>
          </w:p>
          <w:p w14:paraId="77558864"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n=207</w:t>
            </w:r>
          </w:p>
        </w:tc>
      </w:tr>
      <w:tr w:rsidR="00C04CAD" w14:paraId="744F150A" w14:textId="77777777">
        <w:trPr>
          <w:trHeight w:hRule="exact" w:val="265"/>
        </w:trPr>
        <w:tc>
          <w:tcPr>
            <w:tcW w:w="1382" w:type="dxa"/>
            <w:tcBorders>
              <w:right w:val="nil"/>
            </w:tcBorders>
          </w:tcPr>
          <w:p w14:paraId="67F94D1E" w14:textId="77777777" w:rsidR="00C04CAD" w:rsidRDefault="00060E34">
            <w:pPr>
              <w:tabs>
                <w:tab w:val="clear" w:pos="567"/>
              </w:tabs>
              <w:kinsoku w:val="0"/>
              <w:overflowPunct w:val="0"/>
              <w:autoSpaceDE w:val="0"/>
              <w:autoSpaceDN w:val="0"/>
              <w:adjustRightInd w:val="0"/>
              <w:spacing w:line="240" w:lineRule="auto"/>
            </w:pPr>
            <w:r>
              <w:t>ACR 20</w:t>
            </w:r>
          </w:p>
        </w:tc>
        <w:tc>
          <w:tcPr>
            <w:tcW w:w="952" w:type="dxa"/>
            <w:tcBorders>
              <w:left w:val="nil"/>
              <w:right w:val="nil"/>
            </w:tcBorders>
          </w:tcPr>
          <w:p w14:paraId="6210716E" w14:textId="77777777" w:rsidR="00C04CAD" w:rsidRDefault="00C04CAD">
            <w:pPr>
              <w:tabs>
                <w:tab w:val="clear" w:pos="567"/>
              </w:tabs>
              <w:kinsoku w:val="0"/>
              <w:overflowPunct w:val="0"/>
              <w:autoSpaceDE w:val="0"/>
              <w:autoSpaceDN w:val="0"/>
              <w:adjustRightInd w:val="0"/>
              <w:spacing w:line="240" w:lineRule="auto"/>
              <w:jc w:val="center"/>
            </w:pPr>
          </w:p>
        </w:tc>
        <w:tc>
          <w:tcPr>
            <w:tcW w:w="1738" w:type="dxa"/>
            <w:tcBorders>
              <w:left w:val="nil"/>
              <w:right w:val="nil"/>
            </w:tcBorders>
          </w:tcPr>
          <w:p w14:paraId="2BDC7AA1" w14:textId="77777777" w:rsidR="00C04CAD" w:rsidRDefault="00C04CAD">
            <w:pPr>
              <w:tabs>
                <w:tab w:val="clear" w:pos="567"/>
              </w:tabs>
              <w:kinsoku w:val="0"/>
              <w:overflowPunct w:val="0"/>
              <w:autoSpaceDE w:val="0"/>
              <w:autoSpaceDN w:val="0"/>
              <w:adjustRightInd w:val="0"/>
              <w:spacing w:line="240" w:lineRule="auto"/>
              <w:jc w:val="center"/>
            </w:pPr>
          </w:p>
        </w:tc>
        <w:tc>
          <w:tcPr>
            <w:tcW w:w="1026" w:type="dxa"/>
            <w:tcBorders>
              <w:left w:val="nil"/>
              <w:right w:val="nil"/>
            </w:tcBorders>
          </w:tcPr>
          <w:p w14:paraId="44593B05" w14:textId="77777777" w:rsidR="00C04CAD" w:rsidRDefault="00C04CAD">
            <w:pPr>
              <w:tabs>
                <w:tab w:val="clear" w:pos="567"/>
              </w:tabs>
              <w:kinsoku w:val="0"/>
              <w:overflowPunct w:val="0"/>
              <w:autoSpaceDE w:val="0"/>
              <w:autoSpaceDN w:val="0"/>
              <w:adjustRightInd w:val="0"/>
              <w:spacing w:line="240" w:lineRule="auto"/>
              <w:jc w:val="center"/>
            </w:pPr>
          </w:p>
        </w:tc>
        <w:tc>
          <w:tcPr>
            <w:tcW w:w="1696" w:type="dxa"/>
            <w:tcBorders>
              <w:left w:val="nil"/>
              <w:right w:val="nil"/>
            </w:tcBorders>
          </w:tcPr>
          <w:p w14:paraId="2E3A0210" w14:textId="77777777" w:rsidR="00C04CAD" w:rsidRDefault="00C04CAD">
            <w:pPr>
              <w:tabs>
                <w:tab w:val="clear" w:pos="567"/>
              </w:tabs>
              <w:kinsoku w:val="0"/>
              <w:overflowPunct w:val="0"/>
              <w:autoSpaceDE w:val="0"/>
              <w:autoSpaceDN w:val="0"/>
              <w:adjustRightInd w:val="0"/>
              <w:spacing w:line="240" w:lineRule="auto"/>
              <w:jc w:val="center"/>
            </w:pPr>
          </w:p>
        </w:tc>
        <w:tc>
          <w:tcPr>
            <w:tcW w:w="891" w:type="dxa"/>
            <w:tcBorders>
              <w:left w:val="nil"/>
              <w:right w:val="nil"/>
            </w:tcBorders>
          </w:tcPr>
          <w:p w14:paraId="026DF216" w14:textId="77777777" w:rsidR="00C04CAD" w:rsidRDefault="00C04CAD">
            <w:pPr>
              <w:tabs>
                <w:tab w:val="clear" w:pos="567"/>
              </w:tabs>
              <w:kinsoku w:val="0"/>
              <w:overflowPunct w:val="0"/>
              <w:autoSpaceDE w:val="0"/>
              <w:autoSpaceDN w:val="0"/>
              <w:adjustRightInd w:val="0"/>
              <w:spacing w:line="240" w:lineRule="auto"/>
              <w:jc w:val="center"/>
            </w:pPr>
          </w:p>
        </w:tc>
        <w:tc>
          <w:tcPr>
            <w:tcW w:w="1673" w:type="dxa"/>
            <w:tcBorders>
              <w:left w:val="nil"/>
            </w:tcBorders>
          </w:tcPr>
          <w:p w14:paraId="4EECFA67" w14:textId="77777777" w:rsidR="00C04CAD" w:rsidRDefault="00C04CAD">
            <w:pPr>
              <w:tabs>
                <w:tab w:val="clear" w:pos="567"/>
              </w:tabs>
              <w:kinsoku w:val="0"/>
              <w:overflowPunct w:val="0"/>
              <w:autoSpaceDE w:val="0"/>
              <w:autoSpaceDN w:val="0"/>
              <w:adjustRightInd w:val="0"/>
              <w:spacing w:line="240" w:lineRule="auto"/>
              <w:jc w:val="center"/>
            </w:pPr>
          </w:p>
        </w:tc>
      </w:tr>
      <w:tr w:rsidR="00C04CAD" w14:paraId="6BD88605" w14:textId="77777777">
        <w:trPr>
          <w:trHeight w:val="243"/>
        </w:trPr>
        <w:tc>
          <w:tcPr>
            <w:tcW w:w="1382" w:type="dxa"/>
          </w:tcPr>
          <w:p w14:paraId="18E70663" w14:textId="77777777" w:rsidR="00C04CAD" w:rsidRDefault="00060E34">
            <w:pPr>
              <w:kinsoku w:val="0"/>
              <w:overflowPunct w:val="0"/>
              <w:autoSpaceDE w:val="0"/>
              <w:autoSpaceDN w:val="0"/>
              <w:adjustRightInd w:val="0"/>
              <w:spacing w:line="240" w:lineRule="auto"/>
              <w:ind w:left="561"/>
              <w:jc w:val="center"/>
            </w:pPr>
            <w:r>
              <w:t>6 luni</w:t>
            </w:r>
          </w:p>
        </w:tc>
        <w:tc>
          <w:tcPr>
            <w:tcW w:w="952" w:type="dxa"/>
          </w:tcPr>
          <w:p w14:paraId="71ECD137" w14:textId="77777777" w:rsidR="00C04CAD" w:rsidRDefault="00060E34">
            <w:pPr>
              <w:tabs>
                <w:tab w:val="clear" w:pos="567"/>
              </w:tabs>
              <w:kinsoku w:val="0"/>
              <w:overflowPunct w:val="0"/>
              <w:autoSpaceDE w:val="0"/>
              <w:autoSpaceDN w:val="0"/>
              <w:adjustRightInd w:val="0"/>
              <w:spacing w:line="240" w:lineRule="auto"/>
              <w:jc w:val="center"/>
            </w:pPr>
            <w:r>
              <w:t>13,3%</w:t>
            </w:r>
          </w:p>
        </w:tc>
        <w:tc>
          <w:tcPr>
            <w:tcW w:w="1738" w:type="dxa"/>
          </w:tcPr>
          <w:p w14:paraId="25230F3D" w14:textId="77777777" w:rsidR="00C04CAD" w:rsidRDefault="00060E34">
            <w:pPr>
              <w:tabs>
                <w:tab w:val="clear" w:pos="567"/>
              </w:tabs>
              <w:kinsoku w:val="0"/>
              <w:overflowPunct w:val="0"/>
              <w:autoSpaceDE w:val="0"/>
              <w:autoSpaceDN w:val="0"/>
              <w:adjustRightInd w:val="0"/>
              <w:spacing w:line="240" w:lineRule="auto"/>
              <w:jc w:val="center"/>
            </w:pPr>
            <w:r>
              <w:t>65,1%</w:t>
            </w:r>
          </w:p>
        </w:tc>
        <w:tc>
          <w:tcPr>
            <w:tcW w:w="1026" w:type="dxa"/>
          </w:tcPr>
          <w:p w14:paraId="4D0C4C22" w14:textId="77777777" w:rsidR="00C04CAD" w:rsidRDefault="00060E34">
            <w:pPr>
              <w:tabs>
                <w:tab w:val="clear" w:pos="567"/>
              </w:tabs>
              <w:kinsoku w:val="0"/>
              <w:overflowPunct w:val="0"/>
              <w:autoSpaceDE w:val="0"/>
              <w:autoSpaceDN w:val="0"/>
              <w:adjustRightInd w:val="0"/>
              <w:spacing w:line="240" w:lineRule="auto"/>
              <w:jc w:val="center"/>
            </w:pPr>
            <w:r>
              <w:t>19,1%</w:t>
            </w:r>
          </w:p>
        </w:tc>
        <w:tc>
          <w:tcPr>
            <w:tcW w:w="1696" w:type="dxa"/>
          </w:tcPr>
          <w:p w14:paraId="6BD19E4C" w14:textId="77777777" w:rsidR="00C04CAD" w:rsidRDefault="00060E34">
            <w:pPr>
              <w:tabs>
                <w:tab w:val="clear" w:pos="567"/>
              </w:tabs>
              <w:kinsoku w:val="0"/>
              <w:overflowPunct w:val="0"/>
              <w:autoSpaceDE w:val="0"/>
              <w:autoSpaceDN w:val="0"/>
              <w:adjustRightInd w:val="0"/>
              <w:spacing w:line="240" w:lineRule="auto"/>
              <w:jc w:val="center"/>
            </w:pPr>
            <w:r>
              <w:t>46,0%</w:t>
            </w:r>
          </w:p>
        </w:tc>
        <w:tc>
          <w:tcPr>
            <w:tcW w:w="891" w:type="dxa"/>
          </w:tcPr>
          <w:p w14:paraId="63B2C3AA" w14:textId="77777777" w:rsidR="00C04CAD" w:rsidRDefault="00060E34">
            <w:pPr>
              <w:tabs>
                <w:tab w:val="clear" w:pos="567"/>
              </w:tabs>
              <w:kinsoku w:val="0"/>
              <w:overflowPunct w:val="0"/>
              <w:autoSpaceDE w:val="0"/>
              <w:autoSpaceDN w:val="0"/>
              <w:adjustRightInd w:val="0"/>
              <w:spacing w:line="240" w:lineRule="auto"/>
              <w:jc w:val="center"/>
            </w:pPr>
            <w:r>
              <w:t>29,5%</w:t>
            </w:r>
          </w:p>
        </w:tc>
        <w:tc>
          <w:tcPr>
            <w:tcW w:w="1673" w:type="dxa"/>
          </w:tcPr>
          <w:p w14:paraId="5C094CEA" w14:textId="77777777" w:rsidR="00C04CAD" w:rsidRDefault="00060E34">
            <w:pPr>
              <w:tabs>
                <w:tab w:val="clear" w:pos="567"/>
              </w:tabs>
              <w:kinsoku w:val="0"/>
              <w:overflowPunct w:val="0"/>
              <w:autoSpaceDE w:val="0"/>
              <w:autoSpaceDN w:val="0"/>
              <w:adjustRightInd w:val="0"/>
              <w:spacing w:line="240" w:lineRule="auto"/>
              <w:jc w:val="center"/>
            </w:pPr>
            <w:r>
              <w:t>63,3%</w:t>
            </w:r>
          </w:p>
        </w:tc>
      </w:tr>
      <w:tr w:rsidR="00C04CAD" w14:paraId="598DA58D" w14:textId="77777777">
        <w:trPr>
          <w:trHeight w:hRule="exact" w:val="253"/>
        </w:trPr>
        <w:tc>
          <w:tcPr>
            <w:tcW w:w="1382" w:type="dxa"/>
            <w:tcBorders>
              <w:bottom w:val="single" w:sz="4" w:space="0" w:color="auto"/>
            </w:tcBorders>
          </w:tcPr>
          <w:p w14:paraId="6C9A65ED" w14:textId="77777777" w:rsidR="00C04CAD" w:rsidRDefault="00060E34">
            <w:pPr>
              <w:tabs>
                <w:tab w:val="clear" w:pos="567"/>
              </w:tabs>
              <w:kinsoku w:val="0"/>
              <w:overflowPunct w:val="0"/>
              <w:autoSpaceDE w:val="0"/>
              <w:autoSpaceDN w:val="0"/>
              <w:adjustRightInd w:val="0"/>
              <w:spacing w:line="240" w:lineRule="auto"/>
              <w:ind w:left="561"/>
              <w:jc w:val="center"/>
            </w:pPr>
            <w:r>
              <w:t>12 luni</w:t>
            </w:r>
          </w:p>
        </w:tc>
        <w:tc>
          <w:tcPr>
            <w:tcW w:w="952" w:type="dxa"/>
            <w:tcBorders>
              <w:bottom w:val="single" w:sz="4" w:space="0" w:color="auto"/>
            </w:tcBorders>
          </w:tcPr>
          <w:p w14:paraId="7A451587"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738" w:type="dxa"/>
            <w:tcBorders>
              <w:bottom w:val="single" w:sz="4" w:space="0" w:color="auto"/>
            </w:tcBorders>
          </w:tcPr>
          <w:p w14:paraId="4757D38E"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026" w:type="dxa"/>
            <w:tcBorders>
              <w:bottom w:val="single" w:sz="4" w:space="0" w:color="auto"/>
            </w:tcBorders>
          </w:tcPr>
          <w:p w14:paraId="0F5BBDA3"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696" w:type="dxa"/>
            <w:tcBorders>
              <w:bottom w:val="single" w:sz="4" w:space="0" w:color="auto"/>
            </w:tcBorders>
          </w:tcPr>
          <w:p w14:paraId="4D86E1E4"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891" w:type="dxa"/>
            <w:tcBorders>
              <w:bottom w:val="single" w:sz="4" w:space="0" w:color="auto"/>
            </w:tcBorders>
          </w:tcPr>
          <w:p w14:paraId="4A94D333" w14:textId="77777777" w:rsidR="00C04CAD" w:rsidRDefault="00060E34">
            <w:pPr>
              <w:tabs>
                <w:tab w:val="clear" w:pos="567"/>
              </w:tabs>
              <w:kinsoku w:val="0"/>
              <w:overflowPunct w:val="0"/>
              <w:autoSpaceDE w:val="0"/>
              <w:autoSpaceDN w:val="0"/>
              <w:adjustRightInd w:val="0"/>
              <w:spacing w:line="240" w:lineRule="auto"/>
              <w:jc w:val="center"/>
            </w:pPr>
            <w:r>
              <w:t>24,0%</w:t>
            </w:r>
          </w:p>
        </w:tc>
        <w:tc>
          <w:tcPr>
            <w:tcW w:w="1673" w:type="dxa"/>
            <w:tcBorders>
              <w:bottom w:val="single" w:sz="4" w:space="0" w:color="auto"/>
            </w:tcBorders>
          </w:tcPr>
          <w:p w14:paraId="4A773088" w14:textId="77777777" w:rsidR="00C04CAD" w:rsidRDefault="00060E34">
            <w:pPr>
              <w:tabs>
                <w:tab w:val="clear" w:pos="567"/>
              </w:tabs>
              <w:kinsoku w:val="0"/>
              <w:overflowPunct w:val="0"/>
              <w:autoSpaceDE w:val="0"/>
              <w:autoSpaceDN w:val="0"/>
              <w:adjustRightInd w:val="0"/>
              <w:spacing w:line="240" w:lineRule="auto"/>
              <w:jc w:val="center"/>
            </w:pPr>
            <w:r>
              <w:t>58,9%</w:t>
            </w:r>
          </w:p>
        </w:tc>
      </w:tr>
      <w:tr w:rsidR="00C04CAD" w14:paraId="36F36669" w14:textId="77777777">
        <w:trPr>
          <w:trHeight w:hRule="exact" w:val="252"/>
        </w:trPr>
        <w:tc>
          <w:tcPr>
            <w:tcW w:w="1382" w:type="dxa"/>
            <w:tcBorders>
              <w:right w:val="nil"/>
            </w:tcBorders>
          </w:tcPr>
          <w:p w14:paraId="2A14EB64" w14:textId="77777777" w:rsidR="00C04CAD" w:rsidRDefault="00060E34">
            <w:pPr>
              <w:keepNext/>
              <w:tabs>
                <w:tab w:val="clear" w:pos="567"/>
              </w:tabs>
              <w:kinsoku w:val="0"/>
              <w:overflowPunct w:val="0"/>
              <w:autoSpaceDE w:val="0"/>
              <w:autoSpaceDN w:val="0"/>
              <w:adjustRightInd w:val="0"/>
              <w:spacing w:line="240" w:lineRule="auto"/>
            </w:pPr>
            <w:r>
              <w:t>ACR 50</w:t>
            </w:r>
          </w:p>
        </w:tc>
        <w:tc>
          <w:tcPr>
            <w:tcW w:w="952" w:type="dxa"/>
            <w:tcBorders>
              <w:left w:val="nil"/>
              <w:right w:val="nil"/>
            </w:tcBorders>
          </w:tcPr>
          <w:p w14:paraId="7F9714A5" w14:textId="77777777" w:rsidR="00C04CAD" w:rsidRDefault="00C04CAD">
            <w:pPr>
              <w:keepNext/>
              <w:tabs>
                <w:tab w:val="clear" w:pos="567"/>
              </w:tabs>
              <w:autoSpaceDE w:val="0"/>
              <w:autoSpaceDN w:val="0"/>
              <w:adjustRightInd w:val="0"/>
              <w:spacing w:line="240" w:lineRule="auto"/>
              <w:jc w:val="center"/>
            </w:pPr>
          </w:p>
        </w:tc>
        <w:tc>
          <w:tcPr>
            <w:tcW w:w="1738" w:type="dxa"/>
            <w:tcBorders>
              <w:left w:val="nil"/>
              <w:right w:val="nil"/>
            </w:tcBorders>
          </w:tcPr>
          <w:p w14:paraId="61FFFC6B" w14:textId="77777777" w:rsidR="00C04CAD" w:rsidRDefault="00C04CAD">
            <w:pPr>
              <w:keepNext/>
              <w:tabs>
                <w:tab w:val="clear" w:pos="567"/>
              </w:tabs>
              <w:autoSpaceDE w:val="0"/>
              <w:autoSpaceDN w:val="0"/>
              <w:adjustRightInd w:val="0"/>
              <w:spacing w:line="240" w:lineRule="auto"/>
              <w:jc w:val="center"/>
            </w:pPr>
          </w:p>
        </w:tc>
        <w:tc>
          <w:tcPr>
            <w:tcW w:w="1026" w:type="dxa"/>
            <w:tcBorders>
              <w:left w:val="nil"/>
              <w:right w:val="nil"/>
            </w:tcBorders>
          </w:tcPr>
          <w:p w14:paraId="34838617" w14:textId="77777777" w:rsidR="00C04CAD" w:rsidRDefault="00C04CAD">
            <w:pPr>
              <w:keepNext/>
              <w:tabs>
                <w:tab w:val="clear" w:pos="567"/>
              </w:tabs>
              <w:autoSpaceDE w:val="0"/>
              <w:autoSpaceDN w:val="0"/>
              <w:adjustRightInd w:val="0"/>
              <w:spacing w:line="240" w:lineRule="auto"/>
              <w:jc w:val="center"/>
            </w:pPr>
          </w:p>
        </w:tc>
        <w:tc>
          <w:tcPr>
            <w:tcW w:w="1696" w:type="dxa"/>
            <w:tcBorders>
              <w:left w:val="nil"/>
              <w:right w:val="nil"/>
            </w:tcBorders>
          </w:tcPr>
          <w:p w14:paraId="34BBE571" w14:textId="77777777" w:rsidR="00C04CAD" w:rsidRDefault="00C04CAD">
            <w:pPr>
              <w:keepNext/>
              <w:tabs>
                <w:tab w:val="clear" w:pos="567"/>
              </w:tabs>
              <w:autoSpaceDE w:val="0"/>
              <w:autoSpaceDN w:val="0"/>
              <w:adjustRightInd w:val="0"/>
              <w:spacing w:line="240" w:lineRule="auto"/>
              <w:jc w:val="center"/>
            </w:pPr>
          </w:p>
        </w:tc>
        <w:tc>
          <w:tcPr>
            <w:tcW w:w="891" w:type="dxa"/>
            <w:tcBorders>
              <w:left w:val="nil"/>
              <w:right w:val="nil"/>
            </w:tcBorders>
          </w:tcPr>
          <w:p w14:paraId="275DE5A9" w14:textId="77777777" w:rsidR="00C04CAD" w:rsidRDefault="00C04CAD">
            <w:pPr>
              <w:keepNext/>
              <w:tabs>
                <w:tab w:val="clear" w:pos="567"/>
              </w:tabs>
              <w:autoSpaceDE w:val="0"/>
              <w:autoSpaceDN w:val="0"/>
              <w:adjustRightInd w:val="0"/>
              <w:spacing w:line="240" w:lineRule="auto"/>
              <w:jc w:val="center"/>
            </w:pPr>
          </w:p>
        </w:tc>
        <w:tc>
          <w:tcPr>
            <w:tcW w:w="1673" w:type="dxa"/>
            <w:tcBorders>
              <w:left w:val="nil"/>
            </w:tcBorders>
          </w:tcPr>
          <w:p w14:paraId="5840546B" w14:textId="77777777" w:rsidR="00C04CAD" w:rsidRDefault="00C04CAD">
            <w:pPr>
              <w:keepNext/>
              <w:tabs>
                <w:tab w:val="clear" w:pos="567"/>
              </w:tabs>
              <w:autoSpaceDE w:val="0"/>
              <w:autoSpaceDN w:val="0"/>
              <w:adjustRightInd w:val="0"/>
              <w:spacing w:line="240" w:lineRule="auto"/>
              <w:jc w:val="center"/>
            </w:pPr>
          </w:p>
        </w:tc>
      </w:tr>
      <w:tr w:rsidR="00C04CAD" w14:paraId="399A55B2" w14:textId="77777777">
        <w:trPr>
          <w:trHeight w:hRule="exact" w:val="253"/>
        </w:trPr>
        <w:tc>
          <w:tcPr>
            <w:tcW w:w="1382" w:type="dxa"/>
          </w:tcPr>
          <w:p w14:paraId="32ACA64F" w14:textId="77777777" w:rsidR="00C04CAD" w:rsidRDefault="00060E34">
            <w:pPr>
              <w:keepNext/>
              <w:tabs>
                <w:tab w:val="clear" w:pos="567"/>
              </w:tabs>
              <w:kinsoku w:val="0"/>
              <w:overflowPunct w:val="0"/>
              <w:autoSpaceDE w:val="0"/>
              <w:autoSpaceDN w:val="0"/>
              <w:adjustRightInd w:val="0"/>
              <w:spacing w:line="240" w:lineRule="auto"/>
              <w:ind w:left="561"/>
              <w:jc w:val="center"/>
            </w:pPr>
            <w:r>
              <w:t>6 luni</w:t>
            </w:r>
          </w:p>
        </w:tc>
        <w:tc>
          <w:tcPr>
            <w:tcW w:w="952" w:type="dxa"/>
          </w:tcPr>
          <w:p w14:paraId="2474E836" w14:textId="77777777" w:rsidR="00C04CAD" w:rsidRDefault="00060E34">
            <w:pPr>
              <w:keepNext/>
              <w:tabs>
                <w:tab w:val="clear" w:pos="567"/>
              </w:tabs>
              <w:kinsoku w:val="0"/>
              <w:overflowPunct w:val="0"/>
              <w:autoSpaceDE w:val="0"/>
              <w:autoSpaceDN w:val="0"/>
              <w:adjustRightInd w:val="0"/>
              <w:spacing w:line="240" w:lineRule="auto"/>
              <w:jc w:val="center"/>
            </w:pPr>
            <w:r>
              <w:t>6,7%</w:t>
            </w:r>
          </w:p>
        </w:tc>
        <w:tc>
          <w:tcPr>
            <w:tcW w:w="1738" w:type="dxa"/>
          </w:tcPr>
          <w:p w14:paraId="33FD2C58" w14:textId="77777777" w:rsidR="00C04CAD" w:rsidRDefault="00060E34">
            <w:pPr>
              <w:keepNext/>
              <w:tabs>
                <w:tab w:val="clear" w:pos="567"/>
              </w:tabs>
              <w:kinsoku w:val="0"/>
              <w:overflowPunct w:val="0"/>
              <w:autoSpaceDE w:val="0"/>
              <w:autoSpaceDN w:val="0"/>
              <w:adjustRightInd w:val="0"/>
              <w:spacing w:line="240" w:lineRule="auto"/>
              <w:jc w:val="center"/>
            </w:pPr>
            <w:r>
              <w:t>52,4%</w:t>
            </w:r>
          </w:p>
        </w:tc>
        <w:tc>
          <w:tcPr>
            <w:tcW w:w="1026" w:type="dxa"/>
          </w:tcPr>
          <w:p w14:paraId="129B05D0" w14:textId="77777777" w:rsidR="00C04CAD" w:rsidRDefault="00060E34">
            <w:pPr>
              <w:keepNext/>
              <w:tabs>
                <w:tab w:val="clear" w:pos="567"/>
              </w:tabs>
              <w:kinsoku w:val="0"/>
              <w:overflowPunct w:val="0"/>
              <w:autoSpaceDE w:val="0"/>
              <w:autoSpaceDN w:val="0"/>
              <w:adjustRightInd w:val="0"/>
              <w:spacing w:line="240" w:lineRule="auto"/>
              <w:jc w:val="center"/>
            </w:pPr>
            <w:r>
              <w:t>8,2%</w:t>
            </w:r>
          </w:p>
        </w:tc>
        <w:tc>
          <w:tcPr>
            <w:tcW w:w="1696" w:type="dxa"/>
          </w:tcPr>
          <w:p w14:paraId="603AA7DF" w14:textId="77777777" w:rsidR="00C04CAD" w:rsidRDefault="00060E34">
            <w:pPr>
              <w:keepNext/>
              <w:tabs>
                <w:tab w:val="clear" w:pos="567"/>
              </w:tabs>
              <w:kinsoku w:val="0"/>
              <w:overflowPunct w:val="0"/>
              <w:autoSpaceDE w:val="0"/>
              <w:autoSpaceDN w:val="0"/>
              <w:adjustRightInd w:val="0"/>
              <w:spacing w:line="240" w:lineRule="auto"/>
              <w:jc w:val="center"/>
            </w:pPr>
            <w:r>
              <w:t>22,1%</w:t>
            </w:r>
          </w:p>
        </w:tc>
        <w:tc>
          <w:tcPr>
            <w:tcW w:w="891" w:type="dxa"/>
          </w:tcPr>
          <w:p w14:paraId="4546EF67" w14:textId="77777777" w:rsidR="00C04CAD" w:rsidRDefault="00060E34">
            <w:pPr>
              <w:keepNext/>
              <w:tabs>
                <w:tab w:val="clear" w:pos="567"/>
              </w:tabs>
              <w:kinsoku w:val="0"/>
              <w:overflowPunct w:val="0"/>
              <w:autoSpaceDE w:val="0"/>
              <w:autoSpaceDN w:val="0"/>
              <w:adjustRightInd w:val="0"/>
              <w:spacing w:line="240" w:lineRule="auto"/>
              <w:jc w:val="center"/>
            </w:pPr>
            <w:r>
              <w:t>9,5%</w:t>
            </w:r>
          </w:p>
        </w:tc>
        <w:tc>
          <w:tcPr>
            <w:tcW w:w="1673" w:type="dxa"/>
          </w:tcPr>
          <w:p w14:paraId="4D5B10A5" w14:textId="77777777" w:rsidR="00C04CAD" w:rsidRDefault="00060E34">
            <w:pPr>
              <w:keepNext/>
              <w:tabs>
                <w:tab w:val="clear" w:pos="567"/>
              </w:tabs>
              <w:kinsoku w:val="0"/>
              <w:overflowPunct w:val="0"/>
              <w:autoSpaceDE w:val="0"/>
              <w:autoSpaceDN w:val="0"/>
              <w:adjustRightInd w:val="0"/>
              <w:spacing w:line="240" w:lineRule="auto"/>
              <w:jc w:val="center"/>
            </w:pPr>
            <w:r>
              <w:t>39,1%</w:t>
            </w:r>
          </w:p>
        </w:tc>
      </w:tr>
      <w:tr w:rsidR="00C04CAD" w14:paraId="390F85DD" w14:textId="77777777">
        <w:trPr>
          <w:trHeight w:hRule="exact" w:val="253"/>
        </w:trPr>
        <w:tc>
          <w:tcPr>
            <w:tcW w:w="1382" w:type="dxa"/>
            <w:tcBorders>
              <w:bottom w:val="single" w:sz="4" w:space="0" w:color="auto"/>
            </w:tcBorders>
          </w:tcPr>
          <w:p w14:paraId="70D659A4" w14:textId="77777777" w:rsidR="00C04CAD" w:rsidRDefault="00060E34">
            <w:pPr>
              <w:keepNext/>
              <w:tabs>
                <w:tab w:val="clear" w:pos="567"/>
              </w:tabs>
              <w:kinsoku w:val="0"/>
              <w:overflowPunct w:val="0"/>
              <w:autoSpaceDE w:val="0"/>
              <w:autoSpaceDN w:val="0"/>
              <w:adjustRightInd w:val="0"/>
              <w:spacing w:line="240" w:lineRule="auto"/>
              <w:ind w:left="561"/>
              <w:jc w:val="center"/>
            </w:pPr>
            <w:r>
              <w:t>12 luni</w:t>
            </w:r>
          </w:p>
        </w:tc>
        <w:tc>
          <w:tcPr>
            <w:tcW w:w="952" w:type="dxa"/>
            <w:tcBorders>
              <w:bottom w:val="single" w:sz="4" w:space="0" w:color="auto"/>
            </w:tcBorders>
          </w:tcPr>
          <w:p w14:paraId="6A39C975" w14:textId="77777777" w:rsidR="00C04CAD" w:rsidRDefault="00060E34">
            <w:pPr>
              <w:keepNext/>
              <w:tabs>
                <w:tab w:val="clear" w:pos="567"/>
              </w:tabs>
              <w:kinsoku w:val="0"/>
              <w:overflowPunct w:val="0"/>
              <w:autoSpaceDE w:val="0"/>
              <w:autoSpaceDN w:val="0"/>
              <w:adjustRightInd w:val="0"/>
              <w:spacing w:line="240" w:lineRule="auto"/>
              <w:jc w:val="center"/>
            </w:pPr>
            <w:r>
              <w:t>NA</w:t>
            </w:r>
          </w:p>
        </w:tc>
        <w:tc>
          <w:tcPr>
            <w:tcW w:w="1738" w:type="dxa"/>
            <w:tcBorders>
              <w:bottom w:val="single" w:sz="4" w:space="0" w:color="auto"/>
            </w:tcBorders>
          </w:tcPr>
          <w:p w14:paraId="45F28876" w14:textId="77777777" w:rsidR="00C04CAD" w:rsidRDefault="00060E34">
            <w:pPr>
              <w:keepNext/>
              <w:tabs>
                <w:tab w:val="clear" w:pos="567"/>
              </w:tabs>
              <w:kinsoku w:val="0"/>
              <w:overflowPunct w:val="0"/>
              <w:autoSpaceDE w:val="0"/>
              <w:autoSpaceDN w:val="0"/>
              <w:adjustRightInd w:val="0"/>
              <w:spacing w:line="240" w:lineRule="auto"/>
              <w:jc w:val="center"/>
            </w:pPr>
            <w:r>
              <w:t>NA</w:t>
            </w:r>
          </w:p>
        </w:tc>
        <w:tc>
          <w:tcPr>
            <w:tcW w:w="1026" w:type="dxa"/>
            <w:tcBorders>
              <w:bottom w:val="single" w:sz="4" w:space="0" w:color="auto"/>
            </w:tcBorders>
          </w:tcPr>
          <w:p w14:paraId="0469F37C" w14:textId="77777777" w:rsidR="00C04CAD" w:rsidRDefault="00060E34">
            <w:pPr>
              <w:keepNext/>
              <w:tabs>
                <w:tab w:val="clear" w:pos="567"/>
              </w:tabs>
              <w:kinsoku w:val="0"/>
              <w:overflowPunct w:val="0"/>
              <w:autoSpaceDE w:val="0"/>
              <w:autoSpaceDN w:val="0"/>
              <w:adjustRightInd w:val="0"/>
              <w:spacing w:line="240" w:lineRule="auto"/>
              <w:jc w:val="center"/>
            </w:pPr>
            <w:r>
              <w:t>NA</w:t>
            </w:r>
          </w:p>
        </w:tc>
        <w:tc>
          <w:tcPr>
            <w:tcW w:w="1696" w:type="dxa"/>
            <w:tcBorders>
              <w:bottom w:val="single" w:sz="4" w:space="0" w:color="auto"/>
            </w:tcBorders>
          </w:tcPr>
          <w:p w14:paraId="6FAE7CA3" w14:textId="77777777" w:rsidR="00C04CAD" w:rsidRDefault="00060E34">
            <w:pPr>
              <w:keepNext/>
              <w:tabs>
                <w:tab w:val="clear" w:pos="567"/>
              </w:tabs>
              <w:kinsoku w:val="0"/>
              <w:overflowPunct w:val="0"/>
              <w:autoSpaceDE w:val="0"/>
              <w:autoSpaceDN w:val="0"/>
              <w:adjustRightInd w:val="0"/>
              <w:spacing w:line="240" w:lineRule="auto"/>
              <w:jc w:val="center"/>
            </w:pPr>
            <w:r>
              <w:t>NA</w:t>
            </w:r>
          </w:p>
        </w:tc>
        <w:tc>
          <w:tcPr>
            <w:tcW w:w="891" w:type="dxa"/>
            <w:tcBorders>
              <w:bottom w:val="single" w:sz="4" w:space="0" w:color="auto"/>
            </w:tcBorders>
          </w:tcPr>
          <w:p w14:paraId="13F079F2" w14:textId="77777777" w:rsidR="00C04CAD" w:rsidRDefault="00060E34">
            <w:pPr>
              <w:keepNext/>
              <w:tabs>
                <w:tab w:val="clear" w:pos="567"/>
              </w:tabs>
              <w:kinsoku w:val="0"/>
              <w:overflowPunct w:val="0"/>
              <w:autoSpaceDE w:val="0"/>
              <w:autoSpaceDN w:val="0"/>
              <w:adjustRightInd w:val="0"/>
              <w:spacing w:line="240" w:lineRule="auto"/>
              <w:jc w:val="center"/>
            </w:pPr>
            <w:r>
              <w:t>9,5%</w:t>
            </w:r>
          </w:p>
        </w:tc>
        <w:tc>
          <w:tcPr>
            <w:tcW w:w="1673" w:type="dxa"/>
            <w:tcBorders>
              <w:bottom w:val="single" w:sz="4" w:space="0" w:color="auto"/>
            </w:tcBorders>
          </w:tcPr>
          <w:p w14:paraId="0B82EECB" w14:textId="77777777" w:rsidR="00C04CAD" w:rsidRDefault="00060E34">
            <w:pPr>
              <w:keepNext/>
              <w:tabs>
                <w:tab w:val="clear" w:pos="567"/>
              </w:tabs>
              <w:kinsoku w:val="0"/>
              <w:overflowPunct w:val="0"/>
              <w:autoSpaceDE w:val="0"/>
              <w:autoSpaceDN w:val="0"/>
              <w:adjustRightInd w:val="0"/>
              <w:spacing w:line="240" w:lineRule="auto"/>
              <w:jc w:val="center"/>
            </w:pPr>
            <w:r>
              <w:t>41,5%</w:t>
            </w:r>
          </w:p>
        </w:tc>
      </w:tr>
      <w:tr w:rsidR="00C04CAD" w14:paraId="3C2CB0B8" w14:textId="77777777">
        <w:trPr>
          <w:trHeight w:hRule="exact" w:val="253"/>
        </w:trPr>
        <w:tc>
          <w:tcPr>
            <w:tcW w:w="1382" w:type="dxa"/>
            <w:tcBorders>
              <w:right w:val="nil"/>
            </w:tcBorders>
          </w:tcPr>
          <w:p w14:paraId="238F37E5" w14:textId="77777777" w:rsidR="00C04CAD" w:rsidRDefault="00060E34">
            <w:pPr>
              <w:tabs>
                <w:tab w:val="clear" w:pos="567"/>
              </w:tabs>
              <w:kinsoku w:val="0"/>
              <w:overflowPunct w:val="0"/>
              <w:autoSpaceDE w:val="0"/>
              <w:autoSpaceDN w:val="0"/>
              <w:adjustRightInd w:val="0"/>
              <w:spacing w:line="240" w:lineRule="auto"/>
            </w:pPr>
            <w:r>
              <w:t>ACR 70</w:t>
            </w:r>
          </w:p>
        </w:tc>
        <w:tc>
          <w:tcPr>
            <w:tcW w:w="952" w:type="dxa"/>
            <w:tcBorders>
              <w:left w:val="nil"/>
              <w:right w:val="nil"/>
            </w:tcBorders>
          </w:tcPr>
          <w:p w14:paraId="4860000B" w14:textId="77777777" w:rsidR="00C04CAD" w:rsidRDefault="00C04CAD">
            <w:pPr>
              <w:tabs>
                <w:tab w:val="clear" w:pos="567"/>
              </w:tabs>
              <w:autoSpaceDE w:val="0"/>
              <w:autoSpaceDN w:val="0"/>
              <w:adjustRightInd w:val="0"/>
              <w:spacing w:line="240" w:lineRule="auto"/>
              <w:jc w:val="center"/>
            </w:pPr>
          </w:p>
        </w:tc>
        <w:tc>
          <w:tcPr>
            <w:tcW w:w="1738" w:type="dxa"/>
            <w:tcBorders>
              <w:left w:val="nil"/>
              <w:right w:val="nil"/>
            </w:tcBorders>
          </w:tcPr>
          <w:p w14:paraId="25EE7426" w14:textId="77777777" w:rsidR="00C04CAD" w:rsidRDefault="00C04CAD">
            <w:pPr>
              <w:tabs>
                <w:tab w:val="clear" w:pos="567"/>
              </w:tabs>
              <w:autoSpaceDE w:val="0"/>
              <w:autoSpaceDN w:val="0"/>
              <w:adjustRightInd w:val="0"/>
              <w:spacing w:line="240" w:lineRule="auto"/>
              <w:jc w:val="center"/>
            </w:pPr>
          </w:p>
        </w:tc>
        <w:tc>
          <w:tcPr>
            <w:tcW w:w="1026" w:type="dxa"/>
            <w:tcBorders>
              <w:left w:val="nil"/>
              <w:right w:val="nil"/>
            </w:tcBorders>
          </w:tcPr>
          <w:p w14:paraId="47EA9A97" w14:textId="77777777" w:rsidR="00C04CAD" w:rsidRDefault="00C04CAD">
            <w:pPr>
              <w:tabs>
                <w:tab w:val="clear" w:pos="567"/>
              </w:tabs>
              <w:autoSpaceDE w:val="0"/>
              <w:autoSpaceDN w:val="0"/>
              <w:adjustRightInd w:val="0"/>
              <w:spacing w:line="240" w:lineRule="auto"/>
              <w:jc w:val="center"/>
            </w:pPr>
          </w:p>
        </w:tc>
        <w:tc>
          <w:tcPr>
            <w:tcW w:w="1696" w:type="dxa"/>
            <w:tcBorders>
              <w:left w:val="nil"/>
              <w:right w:val="nil"/>
            </w:tcBorders>
          </w:tcPr>
          <w:p w14:paraId="0E3962F5" w14:textId="77777777" w:rsidR="00C04CAD" w:rsidRDefault="00C04CAD">
            <w:pPr>
              <w:tabs>
                <w:tab w:val="clear" w:pos="567"/>
              </w:tabs>
              <w:autoSpaceDE w:val="0"/>
              <w:autoSpaceDN w:val="0"/>
              <w:adjustRightInd w:val="0"/>
              <w:spacing w:line="240" w:lineRule="auto"/>
              <w:jc w:val="center"/>
            </w:pPr>
          </w:p>
        </w:tc>
        <w:tc>
          <w:tcPr>
            <w:tcW w:w="891" w:type="dxa"/>
            <w:tcBorders>
              <w:left w:val="nil"/>
              <w:right w:val="nil"/>
            </w:tcBorders>
          </w:tcPr>
          <w:p w14:paraId="4A960B26" w14:textId="77777777" w:rsidR="00C04CAD" w:rsidRDefault="00C04CAD">
            <w:pPr>
              <w:tabs>
                <w:tab w:val="clear" w:pos="567"/>
              </w:tabs>
              <w:autoSpaceDE w:val="0"/>
              <w:autoSpaceDN w:val="0"/>
              <w:adjustRightInd w:val="0"/>
              <w:spacing w:line="240" w:lineRule="auto"/>
              <w:jc w:val="center"/>
            </w:pPr>
          </w:p>
        </w:tc>
        <w:tc>
          <w:tcPr>
            <w:tcW w:w="1673" w:type="dxa"/>
            <w:tcBorders>
              <w:left w:val="nil"/>
            </w:tcBorders>
          </w:tcPr>
          <w:p w14:paraId="793688D8" w14:textId="77777777" w:rsidR="00C04CAD" w:rsidRDefault="00C04CAD">
            <w:pPr>
              <w:tabs>
                <w:tab w:val="clear" w:pos="567"/>
              </w:tabs>
              <w:autoSpaceDE w:val="0"/>
              <w:autoSpaceDN w:val="0"/>
              <w:adjustRightInd w:val="0"/>
              <w:spacing w:line="240" w:lineRule="auto"/>
              <w:jc w:val="center"/>
            </w:pPr>
          </w:p>
        </w:tc>
      </w:tr>
      <w:tr w:rsidR="00C04CAD" w14:paraId="2924F9E5" w14:textId="77777777">
        <w:trPr>
          <w:trHeight w:hRule="exact" w:val="253"/>
        </w:trPr>
        <w:tc>
          <w:tcPr>
            <w:tcW w:w="1382" w:type="dxa"/>
          </w:tcPr>
          <w:p w14:paraId="19844C34" w14:textId="77777777" w:rsidR="00C04CAD" w:rsidRDefault="00060E34">
            <w:pPr>
              <w:tabs>
                <w:tab w:val="clear" w:pos="567"/>
              </w:tabs>
              <w:kinsoku w:val="0"/>
              <w:overflowPunct w:val="0"/>
              <w:autoSpaceDE w:val="0"/>
              <w:autoSpaceDN w:val="0"/>
              <w:adjustRightInd w:val="0"/>
              <w:spacing w:line="240" w:lineRule="auto"/>
              <w:ind w:left="561"/>
              <w:jc w:val="center"/>
            </w:pPr>
            <w:r>
              <w:t>6 luni</w:t>
            </w:r>
          </w:p>
        </w:tc>
        <w:tc>
          <w:tcPr>
            <w:tcW w:w="952" w:type="dxa"/>
          </w:tcPr>
          <w:p w14:paraId="036C13B4" w14:textId="77777777" w:rsidR="00C04CAD" w:rsidRDefault="00060E34">
            <w:pPr>
              <w:tabs>
                <w:tab w:val="clear" w:pos="567"/>
              </w:tabs>
              <w:kinsoku w:val="0"/>
              <w:overflowPunct w:val="0"/>
              <w:autoSpaceDE w:val="0"/>
              <w:autoSpaceDN w:val="0"/>
              <w:adjustRightInd w:val="0"/>
              <w:spacing w:line="240" w:lineRule="auto"/>
              <w:jc w:val="center"/>
            </w:pPr>
            <w:r>
              <w:t>3,3%</w:t>
            </w:r>
          </w:p>
        </w:tc>
        <w:tc>
          <w:tcPr>
            <w:tcW w:w="1738" w:type="dxa"/>
          </w:tcPr>
          <w:p w14:paraId="643C8554" w14:textId="77777777" w:rsidR="00C04CAD" w:rsidRDefault="00060E34">
            <w:pPr>
              <w:tabs>
                <w:tab w:val="clear" w:pos="567"/>
              </w:tabs>
              <w:kinsoku w:val="0"/>
              <w:overflowPunct w:val="0"/>
              <w:autoSpaceDE w:val="0"/>
              <w:autoSpaceDN w:val="0"/>
              <w:adjustRightInd w:val="0"/>
              <w:spacing w:line="240" w:lineRule="auto"/>
              <w:jc w:val="center"/>
            </w:pPr>
            <w:r>
              <w:t>23,8%</w:t>
            </w:r>
          </w:p>
        </w:tc>
        <w:tc>
          <w:tcPr>
            <w:tcW w:w="1026" w:type="dxa"/>
          </w:tcPr>
          <w:p w14:paraId="00D3D66A" w14:textId="77777777" w:rsidR="00C04CAD" w:rsidRDefault="00060E34">
            <w:pPr>
              <w:tabs>
                <w:tab w:val="clear" w:pos="567"/>
              </w:tabs>
              <w:kinsoku w:val="0"/>
              <w:overflowPunct w:val="0"/>
              <w:autoSpaceDE w:val="0"/>
              <w:autoSpaceDN w:val="0"/>
              <w:adjustRightInd w:val="0"/>
              <w:spacing w:line="240" w:lineRule="auto"/>
              <w:jc w:val="center"/>
            </w:pPr>
            <w:r>
              <w:t>1,8%</w:t>
            </w:r>
          </w:p>
        </w:tc>
        <w:tc>
          <w:tcPr>
            <w:tcW w:w="1696" w:type="dxa"/>
          </w:tcPr>
          <w:p w14:paraId="59D54D63" w14:textId="77777777" w:rsidR="00C04CAD" w:rsidRDefault="00060E34">
            <w:pPr>
              <w:tabs>
                <w:tab w:val="clear" w:pos="567"/>
              </w:tabs>
              <w:kinsoku w:val="0"/>
              <w:overflowPunct w:val="0"/>
              <w:autoSpaceDE w:val="0"/>
              <w:autoSpaceDN w:val="0"/>
              <w:adjustRightInd w:val="0"/>
              <w:spacing w:line="240" w:lineRule="auto"/>
              <w:jc w:val="center"/>
            </w:pPr>
            <w:r>
              <w:t>12,4%</w:t>
            </w:r>
          </w:p>
        </w:tc>
        <w:tc>
          <w:tcPr>
            <w:tcW w:w="891" w:type="dxa"/>
          </w:tcPr>
          <w:p w14:paraId="6706C799" w14:textId="77777777" w:rsidR="00C04CAD" w:rsidRDefault="00060E34">
            <w:pPr>
              <w:tabs>
                <w:tab w:val="clear" w:pos="567"/>
              </w:tabs>
              <w:kinsoku w:val="0"/>
              <w:overflowPunct w:val="0"/>
              <w:autoSpaceDE w:val="0"/>
              <w:autoSpaceDN w:val="0"/>
              <w:adjustRightInd w:val="0"/>
              <w:spacing w:line="240" w:lineRule="auto"/>
              <w:jc w:val="center"/>
            </w:pPr>
            <w:r>
              <w:t>2,5%</w:t>
            </w:r>
          </w:p>
        </w:tc>
        <w:tc>
          <w:tcPr>
            <w:tcW w:w="1673" w:type="dxa"/>
          </w:tcPr>
          <w:p w14:paraId="0A242ED3" w14:textId="77777777" w:rsidR="00C04CAD" w:rsidRDefault="00060E34">
            <w:pPr>
              <w:tabs>
                <w:tab w:val="clear" w:pos="567"/>
              </w:tabs>
              <w:kinsoku w:val="0"/>
              <w:overflowPunct w:val="0"/>
              <w:autoSpaceDE w:val="0"/>
              <w:autoSpaceDN w:val="0"/>
              <w:adjustRightInd w:val="0"/>
              <w:spacing w:line="240" w:lineRule="auto"/>
              <w:jc w:val="center"/>
            </w:pPr>
            <w:r>
              <w:t>20,8%</w:t>
            </w:r>
          </w:p>
        </w:tc>
      </w:tr>
      <w:tr w:rsidR="00C04CAD" w14:paraId="4AB72BBE" w14:textId="77777777">
        <w:trPr>
          <w:trHeight w:hRule="exact" w:val="253"/>
        </w:trPr>
        <w:tc>
          <w:tcPr>
            <w:tcW w:w="1382" w:type="dxa"/>
          </w:tcPr>
          <w:p w14:paraId="0A93843C" w14:textId="77777777" w:rsidR="00C04CAD" w:rsidRDefault="00060E34">
            <w:pPr>
              <w:tabs>
                <w:tab w:val="clear" w:pos="567"/>
              </w:tabs>
              <w:kinsoku w:val="0"/>
              <w:overflowPunct w:val="0"/>
              <w:autoSpaceDE w:val="0"/>
              <w:autoSpaceDN w:val="0"/>
              <w:adjustRightInd w:val="0"/>
              <w:spacing w:line="240" w:lineRule="auto"/>
              <w:ind w:left="561"/>
              <w:jc w:val="center"/>
            </w:pPr>
            <w:r>
              <w:t>12 luni</w:t>
            </w:r>
          </w:p>
        </w:tc>
        <w:tc>
          <w:tcPr>
            <w:tcW w:w="952" w:type="dxa"/>
          </w:tcPr>
          <w:p w14:paraId="5844B48F"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738" w:type="dxa"/>
          </w:tcPr>
          <w:p w14:paraId="5ECFA5B8"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026" w:type="dxa"/>
          </w:tcPr>
          <w:p w14:paraId="5F156087"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1696" w:type="dxa"/>
          </w:tcPr>
          <w:p w14:paraId="52250F55" w14:textId="77777777" w:rsidR="00C04CAD" w:rsidRDefault="00060E34">
            <w:pPr>
              <w:tabs>
                <w:tab w:val="clear" w:pos="567"/>
              </w:tabs>
              <w:kinsoku w:val="0"/>
              <w:overflowPunct w:val="0"/>
              <w:autoSpaceDE w:val="0"/>
              <w:autoSpaceDN w:val="0"/>
              <w:adjustRightInd w:val="0"/>
              <w:spacing w:line="240" w:lineRule="auto"/>
              <w:jc w:val="center"/>
            </w:pPr>
            <w:r>
              <w:t>NA</w:t>
            </w:r>
          </w:p>
        </w:tc>
        <w:tc>
          <w:tcPr>
            <w:tcW w:w="891" w:type="dxa"/>
          </w:tcPr>
          <w:p w14:paraId="72CA061E" w14:textId="77777777" w:rsidR="00C04CAD" w:rsidRDefault="00060E34">
            <w:pPr>
              <w:tabs>
                <w:tab w:val="clear" w:pos="567"/>
              </w:tabs>
              <w:kinsoku w:val="0"/>
              <w:overflowPunct w:val="0"/>
              <w:autoSpaceDE w:val="0"/>
              <w:autoSpaceDN w:val="0"/>
              <w:adjustRightInd w:val="0"/>
              <w:spacing w:line="240" w:lineRule="auto"/>
              <w:jc w:val="center"/>
            </w:pPr>
            <w:r>
              <w:t>4,5%</w:t>
            </w:r>
          </w:p>
        </w:tc>
        <w:tc>
          <w:tcPr>
            <w:tcW w:w="1673" w:type="dxa"/>
          </w:tcPr>
          <w:p w14:paraId="4B59AFB9" w14:textId="77777777" w:rsidR="00C04CAD" w:rsidRDefault="00060E34">
            <w:pPr>
              <w:tabs>
                <w:tab w:val="clear" w:pos="567"/>
              </w:tabs>
              <w:kinsoku w:val="0"/>
              <w:overflowPunct w:val="0"/>
              <w:autoSpaceDE w:val="0"/>
              <w:autoSpaceDN w:val="0"/>
              <w:adjustRightInd w:val="0"/>
              <w:spacing w:line="240" w:lineRule="auto"/>
              <w:jc w:val="center"/>
            </w:pPr>
            <w:r>
              <w:t>23,2%</w:t>
            </w:r>
          </w:p>
        </w:tc>
      </w:tr>
    </w:tbl>
    <w:p w14:paraId="7015E233" w14:textId="77777777" w:rsidR="00C04CAD" w:rsidRDefault="00060E34">
      <w:pPr>
        <w:kinsoku w:val="0"/>
        <w:overflowPunct w:val="0"/>
        <w:autoSpaceDE w:val="0"/>
        <w:autoSpaceDN w:val="0"/>
        <w:adjustRightInd w:val="0"/>
        <w:spacing w:line="240" w:lineRule="auto"/>
        <w:ind w:left="284" w:hanging="284"/>
        <w:rPr>
          <w:sz w:val="20"/>
        </w:rPr>
      </w:pPr>
      <w:r>
        <w:rPr>
          <w:sz w:val="20"/>
          <w:vertAlign w:val="superscript"/>
        </w:rPr>
        <w:t>a</w:t>
      </w:r>
      <w:r>
        <w:rPr>
          <w:sz w:val="20"/>
        </w:rPr>
        <w:tab/>
        <w:t>Studiul PR I la 24 săptămâni, studiul PR II la 26 săptămâni, şi studiul PR III la 24 şi 52 săptămâni</w:t>
      </w:r>
    </w:p>
    <w:p w14:paraId="1293B7FD" w14:textId="77777777" w:rsidR="00C04CAD" w:rsidRDefault="00060E34">
      <w:pPr>
        <w:tabs>
          <w:tab w:val="clear" w:pos="567"/>
          <w:tab w:val="left" w:pos="679"/>
        </w:tabs>
        <w:kinsoku w:val="0"/>
        <w:overflowPunct w:val="0"/>
        <w:autoSpaceDE w:val="0"/>
        <w:autoSpaceDN w:val="0"/>
        <w:adjustRightInd w:val="0"/>
        <w:spacing w:line="240" w:lineRule="auto"/>
        <w:ind w:left="284" w:hanging="284"/>
        <w:rPr>
          <w:sz w:val="20"/>
        </w:rPr>
      </w:pPr>
      <w:r>
        <w:rPr>
          <w:sz w:val="20"/>
          <w:vertAlign w:val="superscript"/>
        </w:rPr>
        <w:t>b</w:t>
      </w:r>
      <w:r>
        <w:rPr>
          <w:sz w:val="20"/>
        </w:rPr>
        <w:tab/>
        <w:t xml:space="preserve">40 mg </w:t>
      </w:r>
      <w:r>
        <w:rPr>
          <w:rFonts w:eastAsia="MS Mincho"/>
          <w:sz w:val="20"/>
          <w:lang w:eastAsia="en-US" w:bidi="ar-SA"/>
        </w:rPr>
        <w:t>adalimumab</w:t>
      </w:r>
      <w:r>
        <w:rPr>
          <w:sz w:val="20"/>
        </w:rPr>
        <w:t xml:space="preserve"> administrate din două în două săptămâni</w:t>
      </w:r>
    </w:p>
    <w:p w14:paraId="48062952" w14:textId="77777777" w:rsidR="00C04CAD" w:rsidRDefault="00060E34">
      <w:pPr>
        <w:tabs>
          <w:tab w:val="clear" w:pos="567"/>
          <w:tab w:val="left" w:pos="679"/>
        </w:tabs>
        <w:kinsoku w:val="0"/>
        <w:overflowPunct w:val="0"/>
        <w:autoSpaceDE w:val="0"/>
        <w:autoSpaceDN w:val="0"/>
        <w:adjustRightInd w:val="0"/>
        <w:spacing w:line="240" w:lineRule="auto"/>
        <w:ind w:left="284" w:hanging="284"/>
        <w:rPr>
          <w:sz w:val="20"/>
        </w:rPr>
      </w:pPr>
      <w:r>
        <w:rPr>
          <w:position w:val="10"/>
          <w:sz w:val="20"/>
          <w:vertAlign w:val="superscript"/>
        </w:rPr>
        <w:t>c</w:t>
      </w:r>
      <w:r>
        <w:rPr>
          <w:position w:val="10"/>
          <w:sz w:val="20"/>
        </w:rPr>
        <w:tab/>
      </w:r>
      <w:r>
        <w:rPr>
          <w:sz w:val="20"/>
        </w:rPr>
        <w:t>MTX=metotrexat</w:t>
      </w:r>
    </w:p>
    <w:p w14:paraId="2F6C0269"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**p &lt;0,01, </w:t>
      </w:r>
      <w:r>
        <w:rPr>
          <w:rFonts w:eastAsia="MS Mincho"/>
          <w:sz w:val="20"/>
          <w:lang w:eastAsia="en-US" w:bidi="ar-SA"/>
        </w:rPr>
        <w:t>adalimumab</w:t>
      </w:r>
      <w:r>
        <w:rPr>
          <w:sz w:val="20"/>
        </w:rPr>
        <w:t xml:space="preserve"> faţă de placebo</w:t>
      </w:r>
    </w:p>
    <w:p w14:paraId="5DA544E5" w14:textId="77777777" w:rsidR="00C04CAD" w:rsidRDefault="00C04CAD">
      <w:pPr>
        <w:autoSpaceDE w:val="0"/>
        <w:autoSpaceDN w:val="0"/>
        <w:adjustRightInd w:val="0"/>
        <w:spacing w:line="240" w:lineRule="auto"/>
        <w:rPr>
          <w:b/>
        </w:rPr>
      </w:pPr>
    </w:p>
    <w:p w14:paraId="2850DB5C" w14:textId="77777777" w:rsidR="00C04CAD" w:rsidRDefault="00060E34">
      <w:pPr>
        <w:tabs>
          <w:tab w:val="clear" w:pos="567"/>
        </w:tabs>
        <w:kinsoku w:val="0"/>
        <w:overflowPunct w:val="0"/>
        <w:autoSpaceDE w:val="0"/>
        <w:autoSpaceDN w:val="0"/>
        <w:adjustRightInd w:val="0"/>
        <w:spacing w:line="240" w:lineRule="auto"/>
      </w:pPr>
      <w:r>
        <w:t>În studiile PR I</w:t>
      </w:r>
      <w:r>
        <w:noBreakHyphen/>
        <w:t xml:space="preserve">IV, toate componentele individuale ale criteriilor răspunsului ACR (număr de articulaţii dureroase şi tumefiate, evaluarea medicilor şi pacienţilor referitoare la activitatea bolii şi la durere, valorile indicelui de incapacitate (HAQ) şi valorile </w:t>
      </w:r>
      <w:r>
        <w:rPr>
          <w:rFonts w:eastAsia="MS Mincho"/>
          <w:szCs w:val="22"/>
          <w:lang w:eastAsia="en-US" w:bidi="ar-SA"/>
        </w:rPr>
        <w:t>PCR</w:t>
      </w:r>
      <w:r>
        <w:t xml:space="preserve"> (mg/dl)) au fost ameliorate după 24 sau 26 săptămâni comparativ cu placebo. În studiul PR III, aceste ameliorări s-au menţinut pe o durată de 52 săptămâni.</w:t>
      </w:r>
    </w:p>
    <w:p w14:paraId="40FC2DEA" w14:textId="77777777" w:rsidR="00C04CAD" w:rsidRDefault="00C04CAD">
      <w:pPr>
        <w:tabs>
          <w:tab w:val="clear" w:pos="567"/>
        </w:tabs>
        <w:kinsoku w:val="0"/>
        <w:overflowPunct w:val="0"/>
        <w:autoSpaceDE w:val="0"/>
        <w:autoSpaceDN w:val="0"/>
        <w:adjustRightInd w:val="0"/>
        <w:spacing w:line="240" w:lineRule="auto"/>
      </w:pPr>
    </w:p>
    <w:p w14:paraId="257A4D84" w14:textId="77777777" w:rsidR="00C04CAD" w:rsidRDefault="00060E34">
      <w:pPr>
        <w:tabs>
          <w:tab w:val="clear" w:pos="567"/>
        </w:tabs>
        <w:kinsoku w:val="0"/>
        <w:overflowPunct w:val="0"/>
        <w:autoSpaceDE w:val="0"/>
        <w:autoSpaceDN w:val="0"/>
        <w:adjustRightInd w:val="0"/>
        <w:spacing w:line="240" w:lineRule="auto"/>
      </w:pPr>
      <w:r>
        <w:t xml:space="preserve">În faza de extensie deschisă a unui studiu III pentru PR, majoritatea pacienţilor care au avut răspuns conform criteriilor ACR, atunci când au fost evaluaţi, au menţinut răspunsul timp de până la 10 ani. Din 207 pacienţi care au fost randomizaţi cu </w:t>
      </w:r>
      <w:r>
        <w:rPr>
          <w:rFonts w:eastAsia="MS Mincho"/>
          <w:szCs w:val="22"/>
          <w:lang w:eastAsia="en-US" w:bidi="ar-SA"/>
        </w:rPr>
        <w:t>adalimumab</w:t>
      </w:r>
      <w:r>
        <w:t xml:space="preserve"> 40 mg la două săptămâni, 114 pacienţi au continuat </w:t>
      </w:r>
      <w:r>
        <w:rPr>
          <w:rFonts w:eastAsia="MS Mincho"/>
          <w:szCs w:val="22"/>
          <w:lang w:eastAsia="en-US" w:bidi="ar-SA"/>
        </w:rPr>
        <w:t>adalimumab</w:t>
      </w:r>
      <w:r>
        <w:t xml:space="preserve"> 40 mg la două săptămâni, timp de 5 ani. Dintre aceştia, 86 pacienţi (75,4%) au avut răspuns conform criteriilor ACR 20; 72 pacienţi (63,2%) au avut răspuns conform criteriilor ACR 50 şi 41 pacienţi (36%) au avut răspuns conform criteriilor ACR 70. Din 207 pacienţi, 81 pacienţi au continuat </w:t>
      </w:r>
      <w:r>
        <w:rPr>
          <w:rFonts w:eastAsia="MS Mincho"/>
          <w:szCs w:val="22"/>
          <w:lang w:eastAsia="en-US" w:bidi="ar-SA"/>
        </w:rPr>
        <w:t>adalimumab</w:t>
      </w:r>
      <w:r>
        <w:t xml:space="preserve"> 40 mg la două săptămâni, timp de 10 ani. Dintre aceştia, 64 pacienţi (79,0%) au avut răspuns conform criteriilor ACR 20; 56 pacienţi (69,1%) au avut răspuns conform criteriilor ACR 50 şi 43 pacienţi (53,1%) au avut răspuns conform criteriilor ACR 70.</w:t>
      </w:r>
    </w:p>
    <w:p w14:paraId="5FFC7CD2" w14:textId="77777777" w:rsidR="00C04CAD" w:rsidRDefault="00C04CAD">
      <w:pPr>
        <w:tabs>
          <w:tab w:val="clear" w:pos="567"/>
        </w:tabs>
        <w:kinsoku w:val="0"/>
        <w:overflowPunct w:val="0"/>
        <w:autoSpaceDE w:val="0"/>
        <w:autoSpaceDN w:val="0"/>
        <w:adjustRightInd w:val="0"/>
        <w:spacing w:line="240" w:lineRule="auto"/>
      </w:pPr>
    </w:p>
    <w:p w14:paraId="744D6325" w14:textId="77777777" w:rsidR="00C04CAD" w:rsidRDefault="00060E34">
      <w:pPr>
        <w:tabs>
          <w:tab w:val="clear" w:pos="567"/>
        </w:tabs>
        <w:kinsoku w:val="0"/>
        <w:overflowPunct w:val="0"/>
        <w:autoSpaceDE w:val="0"/>
        <w:autoSpaceDN w:val="0"/>
        <w:adjustRightInd w:val="0"/>
        <w:spacing w:line="240" w:lineRule="auto"/>
      </w:pPr>
      <w:r>
        <w:t xml:space="preserve">În studiul PR IV, răspunsul ACR 20 la pacienţii trataţi cu </w:t>
      </w:r>
      <w:r>
        <w:rPr>
          <w:rFonts w:eastAsia="MS Mincho"/>
          <w:szCs w:val="22"/>
          <w:lang w:eastAsia="en-US" w:bidi="ar-SA"/>
        </w:rPr>
        <w:t>adalimumab</w:t>
      </w:r>
      <w:r>
        <w:t xml:space="preserve"> şi tratamentul standard a fost, din punct de vedere statistic, semnificativ mai bun decât în cazul pacienţilor trataţi cu placebo şi tratamentul standard (p &lt;0,001).</w:t>
      </w:r>
    </w:p>
    <w:p w14:paraId="57E180FF" w14:textId="77777777" w:rsidR="00C04CAD" w:rsidRDefault="00C04CAD">
      <w:pPr>
        <w:tabs>
          <w:tab w:val="clear" w:pos="567"/>
        </w:tabs>
        <w:kinsoku w:val="0"/>
        <w:overflowPunct w:val="0"/>
        <w:autoSpaceDE w:val="0"/>
        <w:autoSpaceDN w:val="0"/>
        <w:adjustRightInd w:val="0"/>
        <w:spacing w:line="240" w:lineRule="auto"/>
        <w:rPr>
          <w:szCs w:val="22"/>
        </w:rPr>
      </w:pPr>
    </w:p>
    <w:p w14:paraId="011E888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studiile PR I</w:t>
      </w:r>
      <w:r>
        <w:rPr>
          <w:szCs w:val="22"/>
        </w:rPr>
        <w:noBreakHyphen/>
        <w:t xml:space="preserve">IV, pacienţii trataţi cu </w:t>
      </w:r>
      <w:r>
        <w:rPr>
          <w:rFonts w:eastAsia="MS Mincho"/>
          <w:szCs w:val="22"/>
          <w:lang w:eastAsia="en-US" w:bidi="ar-SA"/>
        </w:rPr>
        <w:t>adalimumab</w:t>
      </w:r>
      <w:r>
        <w:rPr>
          <w:szCs w:val="22"/>
        </w:rPr>
        <w:t xml:space="preserve"> atinseseră deja atât răspuns ACR 20, cât şi ACR 50, semnificative din punct de vedere statistic comparativ cu placebo, după numai una sau două săptămâni de la iniţierea tratamentului.</w:t>
      </w:r>
    </w:p>
    <w:p w14:paraId="0B68B7B4" w14:textId="77777777" w:rsidR="00C04CAD" w:rsidRDefault="00C04CAD">
      <w:pPr>
        <w:tabs>
          <w:tab w:val="clear" w:pos="567"/>
        </w:tabs>
        <w:kinsoku w:val="0"/>
        <w:overflowPunct w:val="0"/>
        <w:autoSpaceDE w:val="0"/>
        <w:autoSpaceDN w:val="0"/>
        <w:adjustRightInd w:val="0"/>
        <w:spacing w:line="240" w:lineRule="auto"/>
        <w:rPr>
          <w:szCs w:val="22"/>
        </w:rPr>
      </w:pPr>
    </w:p>
    <w:p w14:paraId="4B5C3641" w14:textId="77777777" w:rsidR="00C04CAD" w:rsidRDefault="00060E34">
      <w:pPr>
        <w:autoSpaceDE w:val="0"/>
        <w:autoSpaceDN w:val="0"/>
        <w:adjustRightInd w:val="0"/>
        <w:spacing w:line="240" w:lineRule="auto"/>
        <w:rPr>
          <w:szCs w:val="22"/>
        </w:rPr>
      </w:pPr>
      <w:r>
        <w:rPr>
          <w:szCs w:val="22"/>
        </w:rPr>
        <w:t xml:space="preserve">În studiul PR V, în </w:t>
      </w:r>
      <w:r>
        <w:rPr>
          <w:rFonts w:eastAsia="MS Mincho"/>
          <w:szCs w:val="22"/>
          <w:lang w:eastAsia="en-US" w:bidi="ar-SA"/>
        </w:rPr>
        <w:t>săptămâna</w:t>
      </w:r>
      <w:r>
        <w:rPr>
          <w:szCs w:val="22"/>
        </w:rPr>
        <w:t xml:space="preserve"> 52, la pacienţii cu poliartrită reumatoidă precoce, netrataţi anterior cu metotrexat, tratamentul concomitent cu </w:t>
      </w:r>
      <w:r>
        <w:rPr>
          <w:rFonts w:eastAsia="MS Mincho"/>
          <w:szCs w:val="22"/>
          <w:lang w:eastAsia="en-US" w:bidi="ar-SA"/>
        </w:rPr>
        <w:t>adalimumab</w:t>
      </w:r>
      <w:r>
        <w:rPr>
          <w:szCs w:val="22"/>
        </w:rPr>
        <w:t xml:space="preserve"> şi metotrexat a dus la atingerea unui răspuns ACR mai rapid şi semnificativ mai mare decât în cazul folosirii metotrexat în monoterapie şi </w:t>
      </w:r>
      <w:r>
        <w:rPr>
          <w:rFonts w:eastAsia="MS Mincho"/>
          <w:szCs w:val="22"/>
          <w:lang w:eastAsia="en-US" w:bidi="ar-SA"/>
        </w:rPr>
        <w:t>adalimumab</w:t>
      </w:r>
      <w:r>
        <w:rPr>
          <w:szCs w:val="22"/>
        </w:rPr>
        <w:t xml:space="preserve"> în monoterapie. Răspunsurile au fost menţinute până în </w:t>
      </w:r>
      <w:r>
        <w:rPr>
          <w:rFonts w:eastAsia="MS Mincho"/>
          <w:szCs w:val="22"/>
          <w:lang w:eastAsia="en-US" w:bidi="ar-SA"/>
        </w:rPr>
        <w:t>săptămâna</w:t>
      </w:r>
      <w:r>
        <w:rPr>
          <w:szCs w:val="22"/>
        </w:rPr>
        <w:t xml:space="preserve"> 104 (vezi tabelul 9).</w:t>
      </w:r>
    </w:p>
    <w:p w14:paraId="2B9A33FE" w14:textId="77777777" w:rsidR="00C04CAD" w:rsidRDefault="00C04CAD">
      <w:pPr>
        <w:autoSpaceDE w:val="0"/>
        <w:autoSpaceDN w:val="0"/>
        <w:adjustRightInd w:val="0"/>
        <w:spacing w:line="240" w:lineRule="auto"/>
        <w:rPr>
          <w:szCs w:val="22"/>
        </w:rPr>
      </w:pPr>
    </w:p>
    <w:p w14:paraId="55C9674C" w14:textId="77777777" w:rsidR="00C04CAD" w:rsidRDefault="00060E34">
      <w:pPr>
        <w:keepNext/>
        <w:tabs>
          <w:tab w:val="clear" w:pos="567"/>
        </w:tabs>
        <w:kinsoku w:val="0"/>
        <w:overflowPunct w:val="0"/>
        <w:autoSpaceDE w:val="0"/>
        <w:autoSpaceDN w:val="0"/>
        <w:adjustRightInd w:val="0"/>
        <w:spacing w:line="240" w:lineRule="auto"/>
        <w:outlineLvl w:val="0"/>
      </w:pPr>
      <w:r>
        <w:rPr>
          <w:b/>
        </w:rPr>
        <w:t>Tabelu</w:t>
      </w:r>
      <w:r>
        <w:rPr>
          <w:b/>
          <w:bCs/>
        </w:rPr>
        <w:t xml:space="preserve">l 9. </w:t>
      </w:r>
      <w:r>
        <w:rPr>
          <w:b/>
        </w:rPr>
        <w:t xml:space="preserve">Răspunsul ACR în cadrul studiului PR V </w:t>
      </w:r>
      <w:r>
        <w:rPr>
          <w:rFonts w:eastAsia="MS Mincho"/>
          <w:b/>
          <w:bCs/>
          <w:szCs w:val="22"/>
          <w:lang w:eastAsia="en-US" w:bidi="ar-SA"/>
        </w:rPr>
        <w:t>(procentul</w:t>
      </w:r>
      <w:r>
        <w:rPr>
          <w:b/>
        </w:rPr>
        <w:t xml:space="preserve"> de pacienţi)</w:t>
      </w:r>
    </w:p>
    <w:p w14:paraId="2A8CA826" w14:textId="77777777" w:rsidR="00C04CAD" w:rsidRDefault="00C04CAD">
      <w:pPr>
        <w:keepNext/>
        <w:autoSpaceDE w:val="0"/>
        <w:autoSpaceDN w:val="0"/>
        <w:adjustRightInd w:val="0"/>
        <w:spacing w:line="240" w:lineRule="auto"/>
      </w:pPr>
    </w:p>
    <w:tbl>
      <w:tblPr>
        <w:tblW w:w="9285" w:type="dxa"/>
        <w:tblInd w:w="5" w:type="dxa"/>
        <w:tblLayout w:type="fixed"/>
        <w:tblCellMar>
          <w:left w:w="0" w:type="dxa"/>
          <w:right w:w="0" w:type="dxa"/>
        </w:tblCellMar>
        <w:tblLook w:val="04A0" w:firstRow="1" w:lastRow="0" w:firstColumn="1" w:lastColumn="0" w:noHBand="0" w:noVBand="1"/>
      </w:tblPr>
      <w:tblGrid>
        <w:gridCol w:w="1833"/>
        <w:gridCol w:w="1005"/>
        <w:gridCol w:w="1547"/>
        <w:gridCol w:w="1679"/>
        <w:gridCol w:w="1080"/>
        <w:gridCol w:w="1164"/>
        <w:gridCol w:w="977"/>
      </w:tblGrid>
      <w:tr w:rsidR="00C04CAD" w14:paraId="32AE275B" w14:textId="77777777">
        <w:trPr>
          <w:trHeight w:hRule="exact" w:val="888"/>
          <w:tblHeader/>
        </w:trPr>
        <w:tc>
          <w:tcPr>
            <w:tcW w:w="1833" w:type="dxa"/>
            <w:tcBorders>
              <w:top w:val="single" w:sz="4" w:space="0" w:color="000000"/>
              <w:left w:val="single" w:sz="4" w:space="0" w:color="000000"/>
              <w:bottom w:val="single" w:sz="4" w:space="0" w:color="000000"/>
              <w:right w:val="single" w:sz="4" w:space="0" w:color="000000"/>
            </w:tcBorders>
          </w:tcPr>
          <w:p w14:paraId="711B95F7" w14:textId="77777777" w:rsidR="00C04CAD" w:rsidRDefault="00060E34">
            <w:pPr>
              <w:keepNext/>
              <w:tabs>
                <w:tab w:val="clear" w:pos="567"/>
              </w:tabs>
              <w:kinsoku w:val="0"/>
              <w:overflowPunct w:val="0"/>
              <w:autoSpaceDE w:val="0"/>
              <w:autoSpaceDN w:val="0"/>
              <w:adjustRightInd w:val="0"/>
              <w:spacing w:line="240" w:lineRule="auto"/>
              <w:ind w:left="102"/>
            </w:pPr>
            <w:r>
              <w:rPr>
                <w:b/>
              </w:rPr>
              <w:t>Răspuns</w:t>
            </w:r>
          </w:p>
        </w:tc>
        <w:tc>
          <w:tcPr>
            <w:tcW w:w="1005" w:type="dxa"/>
            <w:tcBorders>
              <w:top w:val="single" w:sz="4" w:space="0" w:color="000000"/>
              <w:left w:val="single" w:sz="4" w:space="0" w:color="000000"/>
              <w:bottom w:val="single" w:sz="4" w:space="0" w:color="000000"/>
              <w:right w:val="single" w:sz="4" w:space="0" w:color="000000"/>
            </w:tcBorders>
          </w:tcPr>
          <w:p w14:paraId="4A550E9B"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MTX</w:t>
            </w:r>
          </w:p>
          <w:p w14:paraId="3C1E1D1C"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n=257</w:t>
            </w:r>
          </w:p>
        </w:tc>
        <w:tc>
          <w:tcPr>
            <w:tcW w:w="1547" w:type="dxa"/>
            <w:tcBorders>
              <w:top w:val="single" w:sz="4" w:space="0" w:color="000000"/>
              <w:left w:val="single" w:sz="4" w:space="0" w:color="000000"/>
              <w:bottom w:val="single" w:sz="4" w:space="0" w:color="000000"/>
              <w:right w:val="single" w:sz="4" w:space="0" w:color="000000"/>
            </w:tcBorders>
          </w:tcPr>
          <w:p w14:paraId="6A4F9BFA" w14:textId="77777777" w:rsidR="00C04CAD" w:rsidRDefault="00060E34">
            <w:pPr>
              <w:keepNext/>
              <w:tabs>
                <w:tab w:val="clear" w:pos="567"/>
              </w:tabs>
              <w:kinsoku w:val="0"/>
              <w:overflowPunct w:val="0"/>
              <w:autoSpaceDE w:val="0"/>
              <w:autoSpaceDN w:val="0"/>
              <w:adjustRightInd w:val="0"/>
              <w:spacing w:line="240" w:lineRule="auto"/>
              <w:ind w:left="102"/>
              <w:jc w:val="center"/>
              <w:rPr>
                <w:b/>
              </w:rPr>
            </w:pPr>
            <w:r>
              <w:rPr>
                <w:b/>
              </w:rPr>
              <w:t>Adalimumab</w:t>
            </w:r>
          </w:p>
          <w:p w14:paraId="0B1FB9BD" w14:textId="77777777" w:rsidR="00C04CAD" w:rsidRDefault="00060E34">
            <w:pPr>
              <w:keepNext/>
              <w:tabs>
                <w:tab w:val="clear" w:pos="567"/>
              </w:tabs>
              <w:kinsoku w:val="0"/>
              <w:overflowPunct w:val="0"/>
              <w:autoSpaceDE w:val="0"/>
              <w:autoSpaceDN w:val="0"/>
              <w:adjustRightInd w:val="0"/>
              <w:spacing w:line="240" w:lineRule="auto"/>
              <w:ind w:left="102"/>
              <w:jc w:val="center"/>
              <w:rPr>
                <w:b/>
              </w:rPr>
            </w:pPr>
            <w:r>
              <w:rPr>
                <w:b/>
                <w:bCs/>
                <w:szCs w:val="22"/>
              </w:rPr>
              <w:t>n</w:t>
            </w:r>
            <w:r>
              <w:rPr>
                <w:b/>
              </w:rPr>
              <w:t>=274</w:t>
            </w:r>
          </w:p>
        </w:tc>
        <w:tc>
          <w:tcPr>
            <w:tcW w:w="1679" w:type="dxa"/>
            <w:tcBorders>
              <w:top w:val="single" w:sz="4" w:space="0" w:color="000000"/>
              <w:left w:val="single" w:sz="4" w:space="0" w:color="000000"/>
              <w:bottom w:val="single" w:sz="4" w:space="0" w:color="000000"/>
              <w:right w:val="single" w:sz="4" w:space="0" w:color="000000"/>
            </w:tcBorders>
          </w:tcPr>
          <w:p w14:paraId="5B253B0F" w14:textId="77777777" w:rsidR="00C04CAD" w:rsidRDefault="00060E34">
            <w:pPr>
              <w:keepNext/>
              <w:tabs>
                <w:tab w:val="clear" w:pos="567"/>
              </w:tabs>
              <w:kinsoku w:val="0"/>
              <w:overflowPunct w:val="0"/>
              <w:autoSpaceDE w:val="0"/>
              <w:autoSpaceDN w:val="0"/>
              <w:adjustRightInd w:val="0"/>
              <w:spacing w:line="240" w:lineRule="auto"/>
              <w:ind w:left="102"/>
              <w:jc w:val="center"/>
              <w:rPr>
                <w:b/>
                <w:szCs w:val="22"/>
              </w:rPr>
            </w:pPr>
            <w:r>
              <w:rPr>
                <w:rFonts w:eastAsia="MS Mincho"/>
                <w:b/>
                <w:szCs w:val="22"/>
                <w:lang w:eastAsia="en-US" w:bidi="ar-SA"/>
              </w:rPr>
              <w:t>Adalimumab</w:t>
            </w:r>
            <w:r>
              <w:rPr>
                <w:b/>
                <w:szCs w:val="22"/>
              </w:rPr>
              <w:t>/ MTX</w:t>
            </w:r>
          </w:p>
          <w:p w14:paraId="3E579F84" w14:textId="77777777" w:rsidR="00C04CAD" w:rsidRDefault="00060E34">
            <w:pPr>
              <w:keepNext/>
              <w:tabs>
                <w:tab w:val="clear" w:pos="567"/>
              </w:tabs>
              <w:kinsoku w:val="0"/>
              <w:overflowPunct w:val="0"/>
              <w:autoSpaceDE w:val="0"/>
              <w:autoSpaceDN w:val="0"/>
              <w:adjustRightInd w:val="0"/>
              <w:spacing w:line="240" w:lineRule="auto"/>
              <w:ind w:left="102"/>
              <w:jc w:val="center"/>
              <w:rPr>
                <w:b/>
                <w:szCs w:val="22"/>
              </w:rPr>
            </w:pPr>
            <w:r>
              <w:rPr>
                <w:b/>
                <w:szCs w:val="22"/>
              </w:rPr>
              <w:t>n=268</w:t>
            </w:r>
          </w:p>
        </w:tc>
        <w:tc>
          <w:tcPr>
            <w:tcW w:w="1080" w:type="dxa"/>
            <w:tcBorders>
              <w:top w:val="single" w:sz="4" w:space="0" w:color="000000"/>
              <w:left w:val="single" w:sz="4" w:space="0" w:color="000000"/>
              <w:bottom w:val="single" w:sz="4" w:space="0" w:color="000000"/>
              <w:right w:val="single" w:sz="4" w:space="0" w:color="000000"/>
            </w:tcBorders>
          </w:tcPr>
          <w:p w14:paraId="428F6877" w14:textId="77777777" w:rsidR="00C04CAD" w:rsidRDefault="00060E34">
            <w:pPr>
              <w:keepNext/>
              <w:tabs>
                <w:tab w:val="clear" w:pos="567"/>
              </w:tabs>
              <w:kinsoku w:val="0"/>
              <w:overflowPunct w:val="0"/>
              <w:autoSpaceDE w:val="0"/>
              <w:autoSpaceDN w:val="0"/>
              <w:adjustRightInd w:val="0"/>
              <w:spacing w:line="240" w:lineRule="auto"/>
              <w:ind w:left="102"/>
              <w:jc w:val="center"/>
              <w:rPr>
                <w:b/>
              </w:rPr>
            </w:pPr>
            <w:r>
              <w:rPr>
                <w:b/>
              </w:rPr>
              <w:t>valoare</w:t>
            </w:r>
          </w:p>
          <w:p w14:paraId="12A76B16"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p-</w:t>
            </w:r>
            <w:r>
              <w:rPr>
                <w:b/>
                <w:vertAlign w:val="superscript"/>
              </w:rPr>
              <w:t>a</w:t>
            </w:r>
          </w:p>
        </w:tc>
        <w:tc>
          <w:tcPr>
            <w:tcW w:w="1164" w:type="dxa"/>
            <w:tcBorders>
              <w:top w:val="single" w:sz="4" w:space="0" w:color="000000"/>
              <w:left w:val="single" w:sz="4" w:space="0" w:color="000000"/>
              <w:bottom w:val="single" w:sz="4" w:space="0" w:color="000000"/>
              <w:right w:val="single" w:sz="4" w:space="0" w:color="000000"/>
            </w:tcBorders>
          </w:tcPr>
          <w:p w14:paraId="3BC3D3E7" w14:textId="77777777" w:rsidR="00C04CAD" w:rsidRDefault="00060E34">
            <w:pPr>
              <w:keepNext/>
              <w:tabs>
                <w:tab w:val="clear" w:pos="567"/>
              </w:tabs>
              <w:kinsoku w:val="0"/>
              <w:overflowPunct w:val="0"/>
              <w:autoSpaceDE w:val="0"/>
              <w:autoSpaceDN w:val="0"/>
              <w:adjustRightInd w:val="0"/>
              <w:spacing w:line="240" w:lineRule="auto"/>
              <w:ind w:left="102"/>
              <w:jc w:val="center"/>
              <w:rPr>
                <w:b/>
              </w:rPr>
            </w:pPr>
            <w:r>
              <w:rPr>
                <w:b/>
              </w:rPr>
              <w:t>valoare</w:t>
            </w:r>
          </w:p>
          <w:p w14:paraId="62A52580" w14:textId="77777777" w:rsidR="00C04CAD" w:rsidRDefault="00060E34">
            <w:pPr>
              <w:keepNext/>
              <w:tabs>
                <w:tab w:val="clear" w:pos="567"/>
              </w:tabs>
              <w:kinsoku w:val="0"/>
              <w:overflowPunct w:val="0"/>
              <w:autoSpaceDE w:val="0"/>
              <w:autoSpaceDN w:val="0"/>
              <w:adjustRightInd w:val="0"/>
              <w:spacing w:line="240" w:lineRule="auto"/>
              <w:ind w:left="102"/>
              <w:jc w:val="center"/>
              <w:rPr>
                <w:vertAlign w:val="superscript"/>
              </w:rPr>
            </w:pPr>
            <w:r>
              <w:rPr>
                <w:b/>
              </w:rPr>
              <w:t>p-</w:t>
            </w:r>
            <w:r>
              <w:rPr>
                <w:b/>
                <w:vertAlign w:val="superscript"/>
              </w:rPr>
              <w:t>b</w:t>
            </w:r>
          </w:p>
        </w:tc>
        <w:tc>
          <w:tcPr>
            <w:tcW w:w="977" w:type="dxa"/>
            <w:tcBorders>
              <w:top w:val="single" w:sz="4" w:space="0" w:color="000000"/>
              <w:left w:val="single" w:sz="4" w:space="0" w:color="000000"/>
              <w:bottom w:val="single" w:sz="4" w:space="0" w:color="000000"/>
              <w:right w:val="single" w:sz="4" w:space="0" w:color="000000"/>
            </w:tcBorders>
          </w:tcPr>
          <w:p w14:paraId="749C7E82"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valoare p-</w:t>
            </w:r>
            <w:r>
              <w:rPr>
                <w:b/>
                <w:vertAlign w:val="superscript"/>
              </w:rPr>
              <w:t>c</w:t>
            </w:r>
          </w:p>
        </w:tc>
      </w:tr>
      <w:tr w:rsidR="00C04CAD" w14:paraId="12DC05E3" w14:textId="77777777">
        <w:trPr>
          <w:trHeight w:hRule="exact" w:val="264"/>
        </w:trPr>
        <w:tc>
          <w:tcPr>
            <w:tcW w:w="1833" w:type="dxa"/>
            <w:tcBorders>
              <w:top w:val="single" w:sz="4" w:space="0" w:color="000000"/>
              <w:left w:val="single" w:sz="4" w:space="0" w:color="000000"/>
              <w:bottom w:val="single" w:sz="4" w:space="0" w:color="000000"/>
            </w:tcBorders>
          </w:tcPr>
          <w:p w14:paraId="5E2897B6" w14:textId="77777777" w:rsidR="00C04CAD" w:rsidRDefault="00060E34">
            <w:pPr>
              <w:tabs>
                <w:tab w:val="clear" w:pos="567"/>
              </w:tabs>
              <w:kinsoku w:val="0"/>
              <w:overflowPunct w:val="0"/>
              <w:autoSpaceDE w:val="0"/>
              <w:autoSpaceDN w:val="0"/>
              <w:adjustRightInd w:val="0"/>
              <w:spacing w:line="240" w:lineRule="auto"/>
              <w:ind w:left="102"/>
            </w:pPr>
            <w:r>
              <w:t>ACR 20</w:t>
            </w:r>
          </w:p>
        </w:tc>
        <w:tc>
          <w:tcPr>
            <w:tcW w:w="1005" w:type="dxa"/>
            <w:tcBorders>
              <w:top w:val="single" w:sz="4" w:space="0" w:color="000000"/>
              <w:bottom w:val="single" w:sz="4" w:space="0" w:color="000000"/>
            </w:tcBorders>
          </w:tcPr>
          <w:p w14:paraId="56511029" w14:textId="77777777" w:rsidR="00C04CAD" w:rsidRDefault="00C04CAD">
            <w:pPr>
              <w:tabs>
                <w:tab w:val="clear" w:pos="567"/>
              </w:tabs>
              <w:autoSpaceDE w:val="0"/>
              <w:autoSpaceDN w:val="0"/>
              <w:adjustRightInd w:val="0"/>
              <w:spacing w:line="240" w:lineRule="auto"/>
            </w:pPr>
          </w:p>
        </w:tc>
        <w:tc>
          <w:tcPr>
            <w:tcW w:w="1547" w:type="dxa"/>
            <w:tcBorders>
              <w:top w:val="single" w:sz="4" w:space="0" w:color="000000"/>
              <w:bottom w:val="single" w:sz="4" w:space="0" w:color="000000"/>
            </w:tcBorders>
          </w:tcPr>
          <w:p w14:paraId="7EE5D613" w14:textId="77777777" w:rsidR="00C04CAD" w:rsidRDefault="00C04CAD">
            <w:pPr>
              <w:tabs>
                <w:tab w:val="clear" w:pos="567"/>
              </w:tabs>
              <w:autoSpaceDE w:val="0"/>
              <w:autoSpaceDN w:val="0"/>
              <w:adjustRightInd w:val="0"/>
              <w:spacing w:line="240" w:lineRule="auto"/>
            </w:pPr>
          </w:p>
        </w:tc>
        <w:tc>
          <w:tcPr>
            <w:tcW w:w="1679" w:type="dxa"/>
            <w:tcBorders>
              <w:top w:val="single" w:sz="4" w:space="0" w:color="000000"/>
              <w:bottom w:val="single" w:sz="4" w:space="0" w:color="000000"/>
            </w:tcBorders>
          </w:tcPr>
          <w:p w14:paraId="5252874B" w14:textId="77777777" w:rsidR="00C04CAD" w:rsidRDefault="00C04CAD">
            <w:pPr>
              <w:tabs>
                <w:tab w:val="clear" w:pos="567"/>
              </w:tabs>
              <w:autoSpaceDE w:val="0"/>
              <w:autoSpaceDN w:val="0"/>
              <w:adjustRightInd w:val="0"/>
              <w:spacing w:line="240" w:lineRule="auto"/>
              <w:rPr>
                <w:szCs w:val="22"/>
              </w:rPr>
            </w:pPr>
          </w:p>
        </w:tc>
        <w:tc>
          <w:tcPr>
            <w:tcW w:w="1080" w:type="dxa"/>
            <w:tcBorders>
              <w:top w:val="single" w:sz="4" w:space="0" w:color="000000"/>
              <w:bottom w:val="single" w:sz="4" w:space="0" w:color="000000"/>
            </w:tcBorders>
          </w:tcPr>
          <w:p w14:paraId="431D33C5" w14:textId="77777777" w:rsidR="00C04CAD" w:rsidRDefault="00C04CAD">
            <w:pPr>
              <w:tabs>
                <w:tab w:val="clear" w:pos="567"/>
              </w:tabs>
              <w:autoSpaceDE w:val="0"/>
              <w:autoSpaceDN w:val="0"/>
              <w:adjustRightInd w:val="0"/>
              <w:spacing w:line="240" w:lineRule="auto"/>
            </w:pPr>
          </w:p>
        </w:tc>
        <w:tc>
          <w:tcPr>
            <w:tcW w:w="1164" w:type="dxa"/>
            <w:tcBorders>
              <w:top w:val="single" w:sz="4" w:space="0" w:color="000000"/>
              <w:bottom w:val="single" w:sz="4" w:space="0" w:color="000000"/>
            </w:tcBorders>
          </w:tcPr>
          <w:p w14:paraId="5257D924" w14:textId="77777777" w:rsidR="00C04CAD" w:rsidRDefault="00C04CAD">
            <w:pPr>
              <w:tabs>
                <w:tab w:val="clear" w:pos="567"/>
              </w:tabs>
              <w:autoSpaceDE w:val="0"/>
              <w:autoSpaceDN w:val="0"/>
              <w:adjustRightInd w:val="0"/>
              <w:spacing w:line="240" w:lineRule="auto"/>
            </w:pPr>
          </w:p>
        </w:tc>
        <w:tc>
          <w:tcPr>
            <w:tcW w:w="977" w:type="dxa"/>
            <w:tcBorders>
              <w:top w:val="single" w:sz="4" w:space="0" w:color="000000"/>
              <w:bottom w:val="single" w:sz="4" w:space="0" w:color="000000"/>
              <w:right w:val="single" w:sz="4" w:space="0" w:color="000000"/>
            </w:tcBorders>
          </w:tcPr>
          <w:p w14:paraId="0F322C59" w14:textId="77777777" w:rsidR="00C04CAD" w:rsidRDefault="00C04CAD">
            <w:pPr>
              <w:tabs>
                <w:tab w:val="clear" w:pos="567"/>
              </w:tabs>
              <w:autoSpaceDE w:val="0"/>
              <w:autoSpaceDN w:val="0"/>
              <w:adjustRightInd w:val="0"/>
              <w:spacing w:line="240" w:lineRule="auto"/>
            </w:pPr>
          </w:p>
        </w:tc>
      </w:tr>
      <w:tr w:rsidR="00C04CAD" w14:paraId="1DA4F968" w14:textId="77777777">
        <w:trPr>
          <w:trHeight w:hRule="exact" w:val="262"/>
        </w:trPr>
        <w:tc>
          <w:tcPr>
            <w:tcW w:w="1833" w:type="dxa"/>
            <w:tcBorders>
              <w:top w:val="single" w:sz="4" w:space="0" w:color="000000"/>
              <w:left w:val="single" w:sz="4" w:space="0" w:color="000000"/>
              <w:bottom w:val="single" w:sz="4" w:space="0" w:color="000000"/>
              <w:right w:val="single" w:sz="4" w:space="0" w:color="000000"/>
            </w:tcBorders>
          </w:tcPr>
          <w:p w14:paraId="1DDA87BF" w14:textId="77777777" w:rsidR="00C04CAD" w:rsidRDefault="00060E34">
            <w:pPr>
              <w:tabs>
                <w:tab w:val="clear" w:pos="567"/>
              </w:tabs>
              <w:kinsoku w:val="0"/>
              <w:overflowPunct w:val="0"/>
              <w:autoSpaceDE w:val="0"/>
              <w:autoSpaceDN w:val="0"/>
              <w:adjustRightInd w:val="0"/>
              <w:spacing w:line="240" w:lineRule="auto"/>
              <w:ind w:left="102"/>
              <w:jc w:val="center"/>
            </w:pPr>
            <w:r>
              <w:t>Săptămâna 52</w:t>
            </w:r>
          </w:p>
        </w:tc>
        <w:tc>
          <w:tcPr>
            <w:tcW w:w="1005" w:type="dxa"/>
            <w:tcBorders>
              <w:top w:val="single" w:sz="4" w:space="0" w:color="000000"/>
              <w:left w:val="single" w:sz="4" w:space="0" w:color="000000"/>
              <w:bottom w:val="single" w:sz="4" w:space="0" w:color="000000"/>
              <w:right w:val="single" w:sz="4" w:space="0" w:color="000000"/>
            </w:tcBorders>
          </w:tcPr>
          <w:p w14:paraId="6396594A" w14:textId="77777777" w:rsidR="00C04CAD" w:rsidRDefault="00060E34">
            <w:pPr>
              <w:tabs>
                <w:tab w:val="clear" w:pos="567"/>
              </w:tabs>
              <w:kinsoku w:val="0"/>
              <w:overflowPunct w:val="0"/>
              <w:autoSpaceDE w:val="0"/>
              <w:autoSpaceDN w:val="0"/>
              <w:adjustRightInd w:val="0"/>
              <w:spacing w:line="240" w:lineRule="auto"/>
              <w:ind w:left="102"/>
              <w:jc w:val="center"/>
            </w:pPr>
            <w:r>
              <w:t>62,6%</w:t>
            </w:r>
          </w:p>
        </w:tc>
        <w:tc>
          <w:tcPr>
            <w:tcW w:w="1547" w:type="dxa"/>
            <w:tcBorders>
              <w:top w:val="single" w:sz="4" w:space="0" w:color="000000"/>
              <w:left w:val="single" w:sz="4" w:space="0" w:color="000000"/>
              <w:bottom w:val="single" w:sz="4" w:space="0" w:color="000000"/>
              <w:right w:val="single" w:sz="4" w:space="0" w:color="000000"/>
            </w:tcBorders>
          </w:tcPr>
          <w:p w14:paraId="19EC60D9" w14:textId="77777777" w:rsidR="00C04CAD" w:rsidRDefault="00060E34">
            <w:pPr>
              <w:tabs>
                <w:tab w:val="clear" w:pos="567"/>
              </w:tabs>
              <w:kinsoku w:val="0"/>
              <w:overflowPunct w:val="0"/>
              <w:autoSpaceDE w:val="0"/>
              <w:autoSpaceDN w:val="0"/>
              <w:adjustRightInd w:val="0"/>
              <w:spacing w:line="240" w:lineRule="auto"/>
              <w:ind w:left="102"/>
              <w:jc w:val="center"/>
            </w:pPr>
            <w:r>
              <w:t>54,4%</w:t>
            </w:r>
          </w:p>
        </w:tc>
        <w:tc>
          <w:tcPr>
            <w:tcW w:w="1679" w:type="dxa"/>
            <w:tcBorders>
              <w:top w:val="single" w:sz="4" w:space="0" w:color="000000"/>
              <w:left w:val="single" w:sz="4" w:space="0" w:color="000000"/>
              <w:bottom w:val="single" w:sz="4" w:space="0" w:color="000000"/>
              <w:right w:val="single" w:sz="4" w:space="0" w:color="000000"/>
            </w:tcBorders>
          </w:tcPr>
          <w:p w14:paraId="1C4C2D11"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72,8%</w:t>
            </w:r>
          </w:p>
        </w:tc>
        <w:tc>
          <w:tcPr>
            <w:tcW w:w="1080" w:type="dxa"/>
            <w:tcBorders>
              <w:top w:val="single" w:sz="4" w:space="0" w:color="000000"/>
              <w:left w:val="single" w:sz="4" w:space="0" w:color="000000"/>
              <w:bottom w:val="single" w:sz="4" w:space="0" w:color="000000"/>
              <w:right w:val="single" w:sz="4" w:space="0" w:color="000000"/>
            </w:tcBorders>
          </w:tcPr>
          <w:p w14:paraId="31699C8D" w14:textId="77777777" w:rsidR="00C04CAD" w:rsidRDefault="00060E34">
            <w:pPr>
              <w:tabs>
                <w:tab w:val="clear" w:pos="567"/>
              </w:tabs>
              <w:kinsoku w:val="0"/>
              <w:overflowPunct w:val="0"/>
              <w:autoSpaceDE w:val="0"/>
              <w:autoSpaceDN w:val="0"/>
              <w:adjustRightInd w:val="0"/>
              <w:spacing w:line="240" w:lineRule="auto"/>
              <w:ind w:left="99"/>
              <w:jc w:val="center"/>
            </w:pPr>
            <w:r>
              <w:t>0,013</w:t>
            </w:r>
          </w:p>
        </w:tc>
        <w:tc>
          <w:tcPr>
            <w:tcW w:w="1164" w:type="dxa"/>
            <w:tcBorders>
              <w:top w:val="single" w:sz="4" w:space="0" w:color="000000"/>
              <w:left w:val="single" w:sz="4" w:space="0" w:color="000000"/>
              <w:bottom w:val="single" w:sz="4" w:space="0" w:color="000000"/>
              <w:right w:val="single" w:sz="4" w:space="0" w:color="000000"/>
            </w:tcBorders>
          </w:tcPr>
          <w:p w14:paraId="3BA7899E"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25573550" w14:textId="77777777" w:rsidR="00C04CAD" w:rsidRDefault="00060E34">
            <w:pPr>
              <w:tabs>
                <w:tab w:val="clear" w:pos="567"/>
              </w:tabs>
              <w:kinsoku w:val="0"/>
              <w:overflowPunct w:val="0"/>
              <w:autoSpaceDE w:val="0"/>
              <w:autoSpaceDN w:val="0"/>
              <w:adjustRightInd w:val="0"/>
              <w:spacing w:line="240" w:lineRule="auto"/>
              <w:ind w:left="99"/>
              <w:jc w:val="center"/>
            </w:pPr>
            <w:r>
              <w:t>0,043</w:t>
            </w:r>
          </w:p>
        </w:tc>
      </w:tr>
      <w:tr w:rsidR="00C04CAD" w14:paraId="6BA75CFC" w14:textId="77777777">
        <w:trPr>
          <w:trHeight w:hRule="exact" w:val="264"/>
        </w:trPr>
        <w:tc>
          <w:tcPr>
            <w:tcW w:w="1833" w:type="dxa"/>
            <w:tcBorders>
              <w:top w:val="single" w:sz="4" w:space="0" w:color="000000"/>
              <w:left w:val="single" w:sz="4" w:space="0" w:color="000000"/>
              <w:bottom w:val="single" w:sz="4" w:space="0" w:color="000000"/>
              <w:right w:val="single" w:sz="4" w:space="0" w:color="000000"/>
            </w:tcBorders>
          </w:tcPr>
          <w:p w14:paraId="5D00DF39" w14:textId="77777777" w:rsidR="00C04CAD" w:rsidRDefault="00060E34">
            <w:pPr>
              <w:tabs>
                <w:tab w:val="clear" w:pos="567"/>
              </w:tabs>
              <w:kinsoku w:val="0"/>
              <w:overflowPunct w:val="0"/>
              <w:autoSpaceDE w:val="0"/>
              <w:autoSpaceDN w:val="0"/>
              <w:adjustRightInd w:val="0"/>
              <w:spacing w:line="240" w:lineRule="auto"/>
              <w:ind w:left="102"/>
              <w:jc w:val="center"/>
            </w:pPr>
            <w:r>
              <w:t>Săptămâna 104</w:t>
            </w:r>
          </w:p>
        </w:tc>
        <w:tc>
          <w:tcPr>
            <w:tcW w:w="1005" w:type="dxa"/>
            <w:tcBorders>
              <w:top w:val="single" w:sz="4" w:space="0" w:color="000000"/>
              <w:left w:val="single" w:sz="4" w:space="0" w:color="000000"/>
              <w:bottom w:val="single" w:sz="4" w:space="0" w:color="000000"/>
              <w:right w:val="single" w:sz="4" w:space="0" w:color="000000"/>
            </w:tcBorders>
          </w:tcPr>
          <w:p w14:paraId="058082C0" w14:textId="77777777" w:rsidR="00C04CAD" w:rsidRDefault="00060E34">
            <w:pPr>
              <w:tabs>
                <w:tab w:val="clear" w:pos="567"/>
              </w:tabs>
              <w:kinsoku w:val="0"/>
              <w:overflowPunct w:val="0"/>
              <w:autoSpaceDE w:val="0"/>
              <w:autoSpaceDN w:val="0"/>
              <w:adjustRightInd w:val="0"/>
              <w:spacing w:line="240" w:lineRule="auto"/>
              <w:ind w:left="102"/>
              <w:jc w:val="center"/>
            </w:pPr>
            <w:r>
              <w:t>56,0%</w:t>
            </w:r>
          </w:p>
        </w:tc>
        <w:tc>
          <w:tcPr>
            <w:tcW w:w="1547" w:type="dxa"/>
            <w:tcBorders>
              <w:top w:val="single" w:sz="4" w:space="0" w:color="000000"/>
              <w:left w:val="single" w:sz="4" w:space="0" w:color="000000"/>
              <w:bottom w:val="single" w:sz="4" w:space="0" w:color="000000"/>
              <w:right w:val="single" w:sz="4" w:space="0" w:color="000000"/>
            </w:tcBorders>
          </w:tcPr>
          <w:p w14:paraId="2E24A896" w14:textId="77777777" w:rsidR="00C04CAD" w:rsidRDefault="00060E34">
            <w:pPr>
              <w:tabs>
                <w:tab w:val="clear" w:pos="567"/>
              </w:tabs>
              <w:kinsoku w:val="0"/>
              <w:overflowPunct w:val="0"/>
              <w:autoSpaceDE w:val="0"/>
              <w:autoSpaceDN w:val="0"/>
              <w:adjustRightInd w:val="0"/>
              <w:spacing w:line="240" w:lineRule="auto"/>
              <w:ind w:left="102"/>
              <w:jc w:val="center"/>
            </w:pPr>
            <w:r>
              <w:t>49,3%</w:t>
            </w:r>
          </w:p>
        </w:tc>
        <w:tc>
          <w:tcPr>
            <w:tcW w:w="1679" w:type="dxa"/>
            <w:tcBorders>
              <w:top w:val="single" w:sz="4" w:space="0" w:color="000000"/>
              <w:left w:val="single" w:sz="4" w:space="0" w:color="000000"/>
              <w:bottom w:val="single" w:sz="4" w:space="0" w:color="000000"/>
              <w:right w:val="single" w:sz="4" w:space="0" w:color="000000"/>
            </w:tcBorders>
          </w:tcPr>
          <w:p w14:paraId="4F645C1B"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69,4%</w:t>
            </w:r>
          </w:p>
        </w:tc>
        <w:tc>
          <w:tcPr>
            <w:tcW w:w="1080" w:type="dxa"/>
            <w:tcBorders>
              <w:top w:val="single" w:sz="4" w:space="0" w:color="000000"/>
              <w:left w:val="single" w:sz="4" w:space="0" w:color="000000"/>
              <w:bottom w:val="single" w:sz="4" w:space="0" w:color="000000"/>
              <w:right w:val="single" w:sz="4" w:space="0" w:color="000000"/>
            </w:tcBorders>
          </w:tcPr>
          <w:p w14:paraId="582E5AF0" w14:textId="77777777" w:rsidR="00C04CAD" w:rsidRDefault="00060E34">
            <w:pPr>
              <w:tabs>
                <w:tab w:val="clear" w:pos="567"/>
              </w:tabs>
              <w:kinsoku w:val="0"/>
              <w:overflowPunct w:val="0"/>
              <w:autoSpaceDE w:val="0"/>
              <w:autoSpaceDN w:val="0"/>
              <w:adjustRightInd w:val="0"/>
              <w:spacing w:line="240" w:lineRule="auto"/>
              <w:ind w:left="99"/>
              <w:jc w:val="center"/>
            </w:pPr>
            <w:r>
              <w:t>0,002</w:t>
            </w:r>
          </w:p>
        </w:tc>
        <w:tc>
          <w:tcPr>
            <w:tcW w:w="1164" w:type="dxa"/>
            <w:tcBorders>
              <w:top w:val="single" w:sz="4" w:space="0" w:color="000000"/>
              <w:left w:val="single" w:sz="4" w:space="0" w:color="000000"/>
              <w:bottom w:val="single" w:sz="4" w:space="0" w:color="000000"/>
              <w:right w:val="single" w:sz="4" w:space="0" w:color="000000"/>
            </w:tcBorders>
          </w:tcPr>
          <w:p w14:paraId="05638EF2"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576F80A7" w14:textId="77777777" w:rsidR="00C04CAD" w:rsidRDefault="00060E34">
            <w:pPr>
              <w:tabs>
                <w:tab w:val="clear" w:pos="567"/>
              </w:tabs>
              <w:kinsoku w:val="0"/>
              <w:overflowPunct w:val="0"/>
              <w:autoSpaceDE w:val="0"/>
              <w:autoSpaceDN w:val="0"/>
              <w:adjustRightInd w:val="0"/>
              <w:spacing w:line="240" w:lineRule="auto"/>
              <w:ind w:left="99"/>
              <w:jc w:val="center"/>
            </w:pPr>
            <w:r>
              <w:t>0,140</w:t>
            </w:r>
          </w:p>
        </w:tc>
      </w:tr>
      <w:tr w:rsidR="00C04CAD" w14:paraId="28F4B5D7" w14:textId="77777777">
        <w:trPr>
          <w:trHeight w:hRule="exact" w:val="262"/>
        </w:trPr>
        <w:tc>
          <w:tcPr>
            <w:tcW w:w="1833" w:type="dxa"/>
            <w:tcBorders>
              <w:top w:val="single" w:sz="4" w:space="0" w:color="000000"/>
              <w:left w:val="single" w:sz="4" w:space="0" w:color="000000"/>
              <w:bottom w:val="single" w:sz="4" w:space="0" w:color="000000"/>
            </w:tcBorders>
          </w:tcPr>
          <w:p w14:paraId="0EA712FB" w14:textId="77777777" w:rsidR="00C04CAD" w:rsidRDefault="00060E34">
            <w:pPr>
              <w:tabs>
                <w:tab w:val="clear" w:pos="567"/>
              </w:tabs>
              <w:kinsoku w:val="0"/>
              <w:overflowPunct w:val="0"/>
              <w:autoSpaceDE w:val="0"/>
              <w:autoSpaceDN w:val="0"/>
              <w:adjustRightInd w:val="0"/>
              <w:spacing w:line="240" w:lineRule="auto"/>
              <w:ind w:left="102"/>
            </w:pPr>
            <w:r>
              <w:t>ACR 50</w:t>
            </w:r>
          </w:p>
        </w:tc>
        <w:tc>
          <w:tcPr>
            <w:tcW w:w="1005" w:type="dxa"/>
            <w:tcBorders>
              <w:top w:val="single" w:sz="4" w:space="0" w:color="000000"/>
              <w:bottom w:val="single" w:sz="4" w:space="0" w:color="000000"/>
            </w:tcBorders>
          </w:tcPr>
          <w:p w14:paraId="3A8FDC29" w14:textId="77777777" w:rsidR="00C04CAD" w:rsidRDefault="00C04CAD">
            <w:pPr>
              <w:tabs>
                <w:tab w:val="clear" w:pos="567"/>
              </w:tabs>
              <w:autoSpaceDE w:val="0"/>
              <w:autoSpaceDN w:val="0"/>
              <w:adjustRightInd w:val="0"/>
              <w:spacing w:line="240" w:lineRule="auto"/>
              <w:jc w:val="center"/>
            </w:pPr>
          </w:p>
        </w:tc>
        <w:tc>
          <w:tcPr>
            <w:tcW w:w="1547" w:type="dxa"/>
            <w:tcBorders>
              <w:top w:val="single" w:sz="4" w:space="0" w:color="000000"/>
              <w:bottom w:val="single" w:sz="4" w:space="0" w:color="000000"/>
            </w:tcBorders>
          </w:tcPr>
          <w:p w14:paraId="3BFDD47B" w14:textId="77777777" w:rsidR="00C04CAD" w:rsidRDefault="00C04CAD">
            <w:pPr>
              <w:tabs>
                <w:tab w:val="clear" w:pos="567"/>
              </w:tabs>
              <w:autoSpaceDE w:val="0"/>
              <w:autoSpaceDN w:val="0"/>
              <w:adjustRightInd w:val="0"/>
              <w:spacing w:line="240" w:lineRule="auto"/>
              <w:jc w:val="center"/>
            </w:pPr>
          </w:p>
        </w:tc>
        <w:tc>
          <w:tcPr>
            <w:tcW w:w="1679" w:type="dxa"/>
            <w:tcBorders>
              <w:top w:val="single" w:sz="4" w:space="0" w:color="000000"/>
              <w:bottom w:val="single" w:sz="4" w:space="0" w:color="000000"/>
            </w:tcBorders>
          </w:tcPr>
          <w:p w14:paraId="13CD4662" w14:textId="77777777" w:rsidR="00C04CAD" w:rsidRDefault="00C04CAD">
            <w:pPr>
              <w:tabs>
                <w:tab w:val="clear" w:pos="567"/>
              </w:tabs>
              <w:autoSpaceDE w:val="0"/>
              <w:autoSpaceDN w:val="0"/>
              <w:adjustRightInd w:val="0"/>
              <w:spacing w:line="240" w:lineRule="auto"/>
              <w:jc w:val="center"/>
              <w:rPr>
                <w:szCs w:val="22"/>
              </w:rPr>
            </w:pPr>
          </w:p>
        </w:tc>
        <w:tc>
          <w:tcPr>
            <w:tcW w:w="1080" w:type="dxa"/>
            <w:tcBorders>
              <w:top w:val="single" w:sz="4" w:space="0" w:color="000000"/>
              <w:bottom w:val="single" w:sz="4" w:space="0" w:color="000000"/>
            </w:tcBorders>
          </w:tcPr>
          <w:p w14:paraId="4511CCF5" w14:textId="77777777" w:rsidR="00C04CAD" w:rsidRDefault="00C04CAD">
            <w:pPr>
              <w:tabs>
                <w:tab w:val="clear" w:pos="567"/>
              </w:tabs>
              <w:autoSpaceDE w:val="0"/>
              <w:autoSpaceDN w:val="0"/>
              <w:adjustRightInd w:val="0"/>
              <w:spacing w:line="240" w:lineRule="auto"/>
              <w:jc w:val="center"/>
            </w:pPr>
          </w:p>
        </w:tc>
        <w:tc>
          <w:tcPr>
            <w:tcW w:w="1164" w:type="dxa"/>
            <w:tcBorders>
              <w:top w:val="single" w:sz="4" w:space="0" w:color="000000"/>
              <w:bottom w:val="single" w:sz="4" w:space="0" w:color="000000"/>
            </w:tcBorders>
          </w:tcPr>
          <w:p w14:paraId="56F0A50D" w14:textId="77777777" w:rsidR="00C04CAD" w:rsidRDefault="00C04CAD">
            <w:pPr>
              <w:tabs>
                <w:tab w:val="clear" w:pos="567"/>
              </w:tabs>
              <w:autoSpaceDE w:val="0"/>
              <w:autoSpaceDN w:val="0"/>
              <w:adjustRightInd w:val="0"/>
              <w:spacing w:line="240" w:lineRule="auto"/>
              <w:jc w:val="center"/>
            </w:pPr>
          </w:p>
        </w:tc>
        <w:tc>
          <w:tcPr>
            <w:tcW w:w="977" w:type="dxa"/>
            <w:tcBorders>
              <w:top w:val="single" w:sz="4" w:space="0" w:color="000000"/>
              <w:bottom w:val="single" w:sz="4" w:space="0" w:color="000000"/>
              <w:right w:val="single" w:sz="4" w:space="0" w:color="000000"/>
            </w:tcBorders>
          </w:tcPr>
          <w:p w14:paraId="68F8B997" w14:textId="77777777" w:rsidR="00C04CAD" w:rsidRDefault="00C04CAD">
            <w:pPr>
              <w:tabs>
                <w:tab w:val="clear" w:pos="567"/>
              </w:tabs>
              <w:autoSpaceDE w:val="0"/>
              <w:autoSpaceDN w:val="0"/>
              <w:adjustRightInd w:val="0"/>
              <w:spacing w:line="240" w:lineRule="auto"/>
              <w:jc w:val="center"/>
            </w:pPr>
          </w:p>
        </w:tc>
      </w:tr>
      <w:tr w:rsidR="00C04CAD" w14:paraId="53400B39" w14:textId="77777777">
        <w:trPr>
          <w:trHeight w:hRule="exact" w:val="264"/>
        </w:trPr>
        <w:tc>
          <w:tcPr>
            <w:tcW w:w="1833" w:type="dxa"/>
            <w:tcBorders>
              <w:top w:val="single" w:sz="4" w:space="0" w:color="000000"/>
              <w:left w:val="single" w:sz="4" w:space="0" w:color="000000"/>
              <w:bottom w:val="single" w:sz="4" w:space="0" w:color="000000"/>
              <w:right w:val="single" w:sz="4" w:space="0" w:color="000000"/>
            </w:tcBorders>
          </w:tcPr>
          <w:p w14:paraId="4EF0C6BB" w14:textId="77777777" w:rsidR="00C04CAD" w:rsidRDefault="00060E34">
            <w:pPr>
              <w:tabs>
                <w:tab w:val="clear" w:pos="567"/>
              </w:tabs>
              <w:kinsoku w:val="0"/>
              <w:overflowPunct w:val="0"/>
              <w:autoSpaceDE w:val="0"/>
              <w:autoSpaceDN w:val="0"/>
              <w:adjustRightInd w:val="0"/>
              <w:spacing w:line="240" w:lineRule="auto"/>
              <w:ind w:left="102"/>
              <w:jc w:val="center"/>
            </w:pPr>
            <w:r>
              <w:t>Săptămâna 52</w:t>
            </w:r>
          </w:p>
        </w:tc>
        <w:tc>
          <w:tcPr>
            <w:tcW w:w="1005" w:type="dxa"/>
            <w:tcBorders>
              <w:top w:val="single" w:sz="4" w:space="0" w:color="000000"/>
              <w:left w:val="single" w:sz="4" w:space="0" w:color="000000"/>
              <w:bottom w:val="single" w:sz="4" w:space="0" w:color="000000"/>
              <w:right w:val="single" w:sz="4" w:space="0" w:color="000000"/>
            </w:tcBorders>
          </w:tcPr>
          <w:p w14:paraId="0604D4AB" w14:textId="77777777" w:rsidR="00C04CAD" w:rsidRDefault="00060E34">
            <w:pPr>
              <w:tabs>
                <w:tab w:val="clear" w:pos="567"/>
              </w:tabs>
              <w:kinsoku w:val="0"/>
              <w:overflowPunct w:val="0"/>
              <w:autoSpaceDE w:val="0"/>
              <w:autoSpaceDN w:val="0"/>
              <w:adjustRightInd w:val="0"/>
              <w:spacing w:line="240" w:lineRule="auto"/>
              <w:ind w:left="102"/>
              <w:jc w:val="center"/>
            </w:pPr>
            <w:r>
              <w:t>45,9%</w:t>
            </w:r>
          </w:p>
        </w:tc>
        <w:tc>
          <w:tcPr>
            <w:tcW w:w="1547" w:type="dxa"/>
            <w:tcBorders>
              <w:top w:val="single" w:sz="4" w:space="0" w:color="000000"/>
              <w:left w:val="single" w:sz="4" w:space="0" w:color="000000"/>
              <w:bottom w:val="single" w:sz="4" w:space="0" w:color="000000"/>
              <w:right w:val="single" w:sz="4" w:space="0" w:color="000000"/>
            </w:tcBorders>
          </w:tcPr>
          <w:p w14:paraId="025F6AB5" w14:textId="77777777" w:rsidR="00C04CAD" w:rsidRDefault="00060E34">
            <w:pPr>
              <w:tabs>
                <w:tab w:val="clear" w:pos="567"/>
              </w:tabs>
              <w:kinsoku w:val="0"/>
              <w:overflowPunct w:val="0"/>
              <w:autoSpaceDE w:val="0"/>
              <w:autoSpaceDN w:val="0"/>
              <w:adjustRightInd w:val="0"/>
              <w:spacing w:line="240" w:lineRule="auto"/>
              <w:ind w:left="102"/>
              <w:jc w:val="center"/>
            </w:pPr>
            <w:r>
              <w:t>41,2%</w:t>
            </w:r>
          </w:p>
        </w:tc>
        <w:tc>
          <w:tcPr>
            <w:tcW w:w="1679" w:type="dxa"/>
            <w:tcBorders>
              <w:top w:val="single" w:sz="4" w:space="0" w:color="000000"/>
              <w:left w:val="single" w:sz="4" w:space="0" w:color="000000"/>
              <w:bottom w:val="single" w:sz="4" w:space="0" w:color="000000"/>
              <w:right w:val="single" w:sz="4" w:space="0" w:color="000000"/>
            </w:tcBorders>
          </w:tcPr>
          <w:p w14:paraId="218D5947"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61,6%</w:t>
            </w:r>
          </w:p>
        </w:tc>
        <w:tc>
          <w:tcPr>
            <w:tcW w:w="1080" w:type="dxa"/>
            <w:tcBorders>
              <w:top w:val="single" w:sz="4" w:space="0" w:color="000000"/>
              <w:left w:val="single" w:sz="4" w:space="0" w:color="000000"/>
              <w:bottom w:val="single" w:sz="4" w:space="0" w:color="000000"/>
              <w:right w:val="single" w:sz="4" w:space="0" w:color="000000"/>
            </w:tcBorders>
          </w:tcPr>
          <w:p w14:paraId="46A6C320"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000000"/>
              <w:right w:val="single" w:sz="4" w:space="0" w:color="000000"/>
            </w:tcBorders>
          </w:tcPr>
          <w:p w14:paraId="0698744D"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21B26100" w14:textId="77777777" w:rsidR="00C04CAD" w:rsidRDefault="00060E34">
            <w:pPr>
              <w:tabs>
                <w:tab w:val="clear" w:pos="567"/>
              </w:tabs>
              <w:kinsoku w:val="0"/>
              <w:overflowPunct w:val="0"/>
              <w:autoSpaceDE w:val="0"/>
              <w:autoSpaceDN w:val="0"/>
              <w:adjustRightInd w:val="0"/>
              <w:spacing w:line="240" w:lineRule="auto"/>
              <w:ind w:left="99"/>
              <w:jc w:val="center"/>
            </w:pPr>
            <w:r>
              <w:t>0,317</w:t>
            </w:r>
          </w:p>
        </w:tc>
      </w:tr>
      <w:tr w:rsidR="00C04CAD" w14:paraId="200B8EA0" w14:textId="77777777">
        <w:trPr>
          <w:trHeight w:hRule="exact" w:val="262"/>
        </w:trPr>
        <w:tc>
          <w:tcPr>
            <w:tcW w:w="1833" w:type="dxa"/>
            <w:tcBorders>
              <w:top w:val="single" w:sz="4" w:space="0" w:color="000000"/>
              <w:left w:val="single" w:sz="4" w:space="0" w:color="000000"/>
              <w:bottom w:val="single" w:sz="4" w:space="0" w:color="000000"/>
              <w:right w:val="single" w:sz="4" w:space="0" w:color="000000"/>
            </w:tcBorders>
          </w:tcPr>
          <w:p w14:paraId="5AFB7BD2" w14:textId="77777777" w:rsidR="00C04CAD" w:rsidRDefault="00060E34">
            <w:pPr>
              <w:tabs>
                <w:tab w:val="clear" w:pos="567"/>
              </w:tabs>
              <w:kinsoku w:val="0"/>
              <w:overflowPunct w:val="0"/>
              <w:autoSpaceDE w:val="0"/>
              <w:autoSpaceDN w:val="0"/>
              <w:adjustRightInd w:val="0"/>
              <w:spacing w:line="240" w:lineRule="auto"/>
              <w:ind w:left="102"/>
              <w:jc w:val="center"/>
            </w:pPr>
            <w:r>
              <w:t>Săptămâna 104</w:t>
            </w:r>
          </w:p>
        </w:tc>
        <w:tc>
          <w:tcPr>
            <w:tcW w:w="1005" w:type="dxa"/>
            <w:tcBorders>
              <w:top w:val="single" w:sz="4" w:space="0" w:color="000000"/>
              <w:left w:val="single" w:sz="4" w:space="0" w:color="000000"/>
              <w:bottom w:val="single" w:sz="4" w:space="0" w:color="000000"/>
              <w:right w:val="single" w:sz="4" w:space="0" w:color="000000"/>
            </w:tcBorders>
          </w:tcPr>
          <w:p w14:paraId="7CCA19A0" w14:textId="77777777" w:rsidR="00C04CAD" w:rsidRDefault="00060E34">
            <w:pPr>
              <w:tabs>
                <w:tab w:val="clear" w:pos="567"/>
              </w:tabs>
              <w:kinsoku w:val="0"/>
              <w:overflowPunct w:val="0"/>
              <w:autoSpaceDE w:val="0"/>
              <w:autoSpaceDN w:val="0"/>
              <w:adjustRightInd w:val="0"/>
              <w:spacing w:line="240" w:lineRule="auto"/>
              <w:ind w:left="102"/>
              <w:jc w:val="center"/>
            </w:pPr>
            <w:r>
              <w:t>42,8%</w:t>
            </w:r>
          </w:p>
        </w:tc>
        <w:tc>
          <w:tcPr>
            <w:tcW w:w="1547" w:type="dxa"/>
            <w:tcBorders>
              <w:top w:val="single" w:sz="4" w:space="0" w:color="000000"/>
              <w:left w:val="single" w:sz="4" w:space="0" w:color="000000"/>
              <w:bottom w:val="single" w:sz="4" w:space="0" w:color="000000"/>
              <w:right w:val="single" w:sz="4" w:space="0" w:color="000000"/>
            </w:tcBorders>
          </w:tcPr>
          <w:p w14:paraId="7046165E" w14:textId="77777777" w:rsidR="00C04CAD" w:rsidRDefault="00060E34">
            <w:pPr>
              <w:tabs>
                <w:tab w:val="clear" w:pos="567"/>
              </w:tabs>
              <w:kinsoku w:val="0"/>
              <w:overflowPunct w:val="0"/>
              <w:autoSpaceDE w:val="0"/>
              <w:autoSpaceDN w:val="0"/>
              <w:adjustRightInd w:val="0"/>
              <w:spacing w:line="240" w:lineRule="auto"/>
              <w:ind w:left="102"/>
              <w:jc w:val="center"/>
            </w:pPr>
            <w:r>
              <w:t>36,9%</w:t>
            </w:r>
          </w:p>
        </w:tc>
        <w:tc>
          <w:tcPr>
            <w:tcW w:w="1679" w:type="dxa"/>
            <w:tcBorders>
              <w:top w:val="single" w:sz="4" w:space="0" w:color="000000"/>
              <w:left w:val="single" w:sz="4" w:space="0" w:color="000000"/>
              <w:bottom w:val="single" w:sz="4" w:space="0" w:color="000000"/>
              <w:right w:val="single" w:sz="4" w:space="0" w:color="000000"/>
            </w:tcBorders>
          </w:tcPr>
          <w:p w14:paraId="4BD50F1B"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59,0%</w:t>
            </w:r>
          </w:p>
        </w:tc>
        <w:tc>
          <w:tcPr>
            <w:tcW w:w="1080" w:type="dxa"/>
            <w:tcBorders>
              <w:top w:val="single" w:sz="4" w:space="0" w:color="000000"/>
              <w:left w:val="single" w:sz="4" w:space="0" w:color="000000"/>
              <w:bottom w:val="single" w:sz="4" w:space="0" w:color="000000"/>
              <w:right w:val="single" w:sz="4" w:space="0" w:color="000000"/>
            </w:tcBorders>
          </w:tcPr>
          <w:p w14:paraId="47B15B7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000000"/>
              <w:right w:val="single" w:sz="4" w:space="0" w:color="000000"/>
            </w:tcBorders>
          </w:tcPr>
          <w:p w14:paraId="7A0FE50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000000"/>
              <w:right w:val="single" w:sz="4" w:space="0" w:color="000000"/>
            </w:tcBorders>
          </w:tcPr>
          <w:p w14:paraId="4ED36D0E" w14:textId="77777777" w:rsidR="00C04CAD" w:rsidRDefault="00060E34">
            <w:pPr>
              <w:tabs>
                <w:tab w:val="clear" w:pos="567"/>
              </w:tabs>
              <w:kinsoku w:val="0"/>
              <w:overflowPunct w:val="0"/>
              <w:autoSpaceDE w:val="0"/>
              <w:autoSpaceDN w:val="0"/>
              <w:adjustRightInd w:val="0"/>
              <w:spacing w:line="240" w:lineRule="auto"/>
              <w:ind w:left="99"/>
              <w:jc w:val="center"/>
            </w:pPr>
            <w:r>
              <w:t>0,162</w:t>
            </w:r>
          </w:p>
        </w:tc>
      </w:tr>
      <w:tr w:rsidR="00C04CAD" w14:paraId="6139501A" w14:textId="77777777">
        <w:trPr>
          <w:trHeight w:hRule="exact" w:val="264"/>
        </w:trPr>
        <w:tc>
          <w:tcPr>
            <w:tcW w:w="1833" w:type="dxa"/>
            <w:tcBorders>
              <w:top w:val="single" w:sz="4" w:space="0" w:color="000000"/>
              <w:left w:val="single" w:sz="4" w:space="0" w:color="000000"/>
              <w:bottom w:val="single" w:sz="4" w:space="0" w:color="auto"/>
            </w:tcBorders>
          </w:tcPr>
          <w:p w14:paraId="766B501C" w14:textId="77777777" w:rsidR="00C04CAD" w:rsidRDefault="00060E34">
            <w:pPr>
              <w:tabs>
                <w:tab w:val="clear" w:pos="567"/>
              </w:tabs>
              <w:kinsoku w:val="0"/>
              <w:overflowPunct w:val="0"/>
              <w:autoSpaceDE w:val="0"/>
              <w:autoSpaceDN w:val="0"/>
              <w:adjustRightInd w:val="0"/>
              <w:spacing w:line="240" w:lineRule="auto"/>
              <w:ind w:left="102"/>
            </w:pPr>
            <w:r>
              <w:t>ACR 70</w:t>
            </w:r>
          </w:p>
        </w:tc>
        <w:tc>
          <w:tcPr>
            <w:tcW w:w="1005" w:type="dxa"/>
            <w:tcBorders>
              <w:top w:val="single" w:sz="4" w:space="0" w:color="000000"/>
              <w:bottom w:val="single" w:sz="4" w:space="0" w:color="auto"/>
            </w:tcBorders>
          </w:tcPr>
          <w:p w14:paraId="0DED4706" w14:textId="77777777" w:rsidR="00C04CAD" w:rsidRDefault="00C04CAD">
            <w:pPr>
              <w:tabs>
                <w:tab w:val="clear" w:pos="567"/>
              </w:tabs>
              <w:autoSpaceDE w:val="0"/>
              <w:autoSpaceDN w:val="0"/>
              <w:adjustRightInd w:val="0"/>
              <w:spacing w:line="240" w:lineRule="auto"/>
              <w:jc w:val="center"/>
            </w:pPr>
          </w:p>
        </w:tc>
        <w:tc>
          <w:tcPr>
            <w:tcW w:w="1547" w:type="dxa"/>
            <w:tcBorders>
              <w:top w:val="single" w:sz="4" w:space="0" w:color="000000"/>
              <w:bottom w:val="single" w:sz="4" w:space="0" w:color="auto"/>
            </w:tcBorders>
          </w:tcPr>
          <w:p w14:paraId="62CA669A" w14:textId="77777777" w:rsidR="00C04CAD" w:rsidRDefault="00C04CAD">
            <w:pPr>
              <w:tabs>
                <w:tab w:val="clear" w:pos="567"/>
              </w:tabs>
              <w:autoSpaceDE w:val="0"/>
              <w:autoSpaceDN w:val="0"/>
              <w:adjustRightInd w:val="0"/>
              <w:spacing w:line="240" w:lineRule="auto"/>
              <w:jc w:val="center"/>
            </w:pPr>
          </w:p>
        </w:tc>
        <w:tc>
          <w:tcPr>
            <w:tcW w:w="1679" w:type="dxa"/>
            <w:tcBorders>
              <w:top w:val="single" w:sz="4" w:space="0" w:color="000000"/>
              <w:bottom w:val="single" w:sz="4" w:space="0" w:color="auto"/>
            </w:tcBorders>
          </w:tcPr>
          <w:p w14:paraId="09CF0F58" w14:textId="77777777" w:rsidR="00C04CAD" w:rsidRDefault="00C04CAD">
            <w:pPr>
              <w:tabs>
                <w:tab w:val="clear" w:pos="567"/>
              </w:tabs>
              <w:autoSpaceDE w:val="0"/>
              <w:autoSpaceDN w:val="0"/>
              <w:adjustRightInd w:val="0"/>
              <w:spacing w:line="240" w:lineRule="auto"/>
              <w:jc w:val="center"/>
              <w:rPr>
                <w:szCs w:val="22"/>
              </w:rPr>
            </w:pPr>
          </w:p>
        </w:tc>
        <w:tc>
          <w:tcPr>
            <w:tcW w:w="1080" w:type="dxa"/>
            <w:tcBorders>
              <w:top w:val="single" w:sz="4" w:space="0" w:color="000000"/>
              <w:bottom w:val="single" w:sz="4" w:space="0" w:color="auto"/>
            </w:tcBorders>
          </w:tcPr>
          <w:p w14:paraId="678C5DEF" w14:textId="77777777" w:rsidR="00C04CAD" w:rsidRDefault="00C04CAD">
            <w:pPr>
              <w:tabs>
                <w:tab w:val="clear" w:pos="567"/>
              </w:tabs>
              <w:autoSpaceDE w:val="0"/>
              <w:autoSpaceDN w:val="0"/>
              <w:adjustRightInd w:val="0"/>
              <w:spacing w:line="240" w:lineRule="auto"/>
              <w:jc w:val="center"/>
            </w:pPr>
          </w:p>
        </w:tc>
        <w:tc>
          <w:tcPr>
            <w:tcW w:w="1164" w:type="dxa"/>
            <w:tcBorders>
              <w:top w:val="single" w:sz="4" w:space="0" w:color="000000"/>
              <w:bottom w:val="single" w:sz="4" w:space="0" w:color="auto"/>
            </w:tcBorders>
          </w:tcPr>
          <w:p w14:paraId="0EFC9828" w14:textId="77777777" w:rsidR="00C04CAD" w:rsidRDefault="00C04CAD">
            <w:pPr>
              <w:tabs>
                <w:tab w:val="clear" w:pos="567"/>
              </w:tabs>
              <w:autoSpaceDE w:val="0"/>
              <w:autoSpaceDN w:val="0"/>
              <w:adjustRightInd w:val="0"/>
              <w:spacing w:line="240" w:lineRule="auto"/>
              <w:jc w:val="center"/>
            </w:pPr>
          </w:p>
        </w:tc>
        <w:tc>
          <w:tcPr>
            <w:tcW w:w="977" w:type="dxa"/>
            <w:tcBorders>
              <w:top w:val="single" w:sz="4" w:space="0" w:color="000000"/>
              <w:bottom w:val="single" w:sz="4" w:space="0" w:color="auto"/>
              <w:right w:val="single" w:sz="4" w:space="0" w:color="000000"/>
            </w:tcBorders>
          </w:tcPr>
          <w:p w14:paraId="0B65F374" w14:textId="77777777" w:rsidR="00C04CAD" w:rsidRDefault="00C04CAD">
            <w:pPr>
              <w:tabs>
                <w:tab w:val="clear" w:pos="567"/>
              </w:tabs>
              <w:autoSpaceDE w:val="0"/>
              <w:autoSpaceDN w:val="0"/>
              <w:adjustRightInd w:val="0"/>
              <w:spacing w:line="240" w:lineRule="auto"/>
              <w:jc w:val="center"/>
            </w:pPr>
          </w:p>
        </w:tc>
      </w:tr>
      <w:tr w:rsidR="00C04CAD" w14:paraId="68AA5B41" w14:textId="77777777">
        <w:trPr>
          <w:trHeight w:hRule="exact" w:val="264"/>
        </w:trPr>
        <w:tc>
          <w:tcPr>
            <w:tcW w:w="1833" w:type="dxa"/>
            <w:tcBorders>
              <w:top w:val="single" w:sz="4" w:space="0" w:color="auto"/>
              <w:left w:val="single" w:sz="4" w:space="0" w:color="auto"/>
              <w:bottom w:val="single" w:sz="4" w:space="0" w:color="000000"/>
              <w:right w:val="single" w:sz="4" w:space="0" w:color="000000"/>
            </w:tcBorders>
          </w:tcPr>
          <w:p w14:paraId="6EC2E0AA" w14:textId="77777777" w:rsidR="00C04CAD" w:rsidRDefault="00060E34">
            <w:pPr>
              <w:tabs>
                <w:tab w:val="clear" w:pos="567"/>
              </w:tabs>
              <w:kinsoku w:val="0"/>
              <w:overflowPunct w:val="0"/>
              <w:autoSpaceDE w:val="0"/>
              <w:autoSpaceDN w:val="0"/>
              <w:adjustRightInd w:val="0"/>
              <w:spacing w:line="240" w:lineRule="auto"/>
              <w:ind w:left="102"/>
              <w:jc w:val="center"/>
            </w:pPr>
            <w:r>
              <w:t>Săptămâna 52</w:t>
            </w:r>
          </w:p>
        </w:tc>
        <w:tc>
          <w:tcPr>
            <w:tcW w:w="1005" w:type="dxa"/>
            <w:tcBorders>
              <w:top w:val="single" w:sz="4" w:space="0" w:color="auto"/>
              <w:left w:val="single" w:sz="4" w:space="0" w:color="000000"/>
              <w:bottom w:val="single" w:sz="4" w:space="0" w:color="000000"/>
              <w:right w:val="single" w:sz="4" w:space="0" w:color="000000"/>
            </w:tcBorders>
          </w:tcPr>
          <w:p w14:paraId="4531D730" w14:textId="77777777" w:rsidR="00C04CAD" w:rsidRDefault="00060E34">
            <w:pPr>
              <w:tabs>
                <w:tab w:val="clear" w:pos="567"/>
              </w:tabs>
              <w:kinsoku w:val="0"/>
              <w:overflowPunct w:val="0"/>
              <w:autoSpaceDE w:val="0"/>
              <w:autoSpaceDN w:val="0"/>
              <w:adjustRightInd w:val="0"/>
              <w:spacing w:line="240" w:lineRule="auto"/>
              <w:ind w:left="102"/>
              <w:jc w:val="center"/>
            </w:pPr>
            <w:r>
              <w:t>27,2%</w:t>
            </w:r>
          </w:p>
        </w:tc>
        <w:tc>
          <w:tcPr>
            <w:tcW w:w="1547" w:type="dxa"/>
            <w:tcBorders>
              <w:top w:val="single" w:sz="4" w:space="0" w:color="auto"/>
              <w:left w:val="single" w:sz="4" w:space="0" w:color="000000"/>
              <w:bottom w:val="single" w:sz="4" w:space="0" w:color="000000"/>
              <w:right w:val="single" w:sz="4" w:space="0" w:color="000000"/>
            </w:tcBorders>
          </w:tcPr>
          <w:p w14:paraId="241928FA" w14:textId="77777777" w:rsidR="00C04CAD" w:rsidRDefault="00060E34">
            <w:pPr>
              <w:tabs>
                <w:tab w:val="clear" w:pos="567"/>
              </w:tabs>
              <w:kinsoku w:val="0"/>
              <w:overflowPunct w:val="0"/>
              <w:autoSpaceDE w:val="0"/>
              <w:autoSpaceDN w:val="0"/>
              <w:adjustRightInd w:val="0"/>
              <w:spacing w:line="240" w:lineRule="auto"/>
              <w:ind w:left="102"/>
              <w:jc w:val="center"/>
            </w:pPr>
            <w:r>
              <w:t>25,9%</w:t>
            </w:r>
          </w:p>
        </w:tc>
        <w:tc>
          <w:tcPr>
            <w:tcW w:w="1679" w:type="dxa"/>
            <w:tcBorders>
              <w:top w:val="single" w:sz="4" w:space="0" w:color="auto"/>
              <w:left w:val="single" w:sz="4" w:space="0" w:color="000000"/>
              <w:bottom w:val="single" w:sz="4" w:space="0" w:color="000000"/>
              <w:right w:val="single" w:sz="4" w:space="0" w:color="000000"/>
            </w:tcBorders>
          </w:tcPr>
          <w:p w14:paraId="7445BECE"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45,5%</w:t>
            </w:r>
          </w:p>
        </w:tc>
        <w:tc>
          <w:tcPr>
            <w:tcW w:w="1080" w:type="dxa"/>
            <w:tcBorders>
              <w:top w:val="single" w:sz="4" w:space="0" w:color="auto"/>
              <w:left w:val="single" w:sz="4" w:space="0" w:color="000000"/>
              <w:bottom w:val="single" w:sz="4" w:space="0" w:color="000000"/>
              <w:right w:val="single" w:sz="4" w:space="0" w:color="000000"/>
            </w:tcBorders>
          </w:tcPr>
          <w:p w14:paraId="32B5E9AF"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auto"/>
              <w:left w:val="single" w:sz="4" w:space="0" w:color="000000"/>
              <w:bottom w:val="single" w:sz="4" w:space="0" w:color="000000"/>
              <w:right w:val="single" w:sz="4" w:space="0" w:color="000000"/>
            </w:tcBorders>
          </w:tcPr>
          <w:p w14:paraId="07D2BA5D"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auto"/>
              <w:left w:val="single" w:sz="4" w:space="0" w:color="000000"/>
              <w:bottom w:val="single" w:sz="4" w:space="0" w:color="000000"/>
              <w:right w:val="single" w:sz="4" w:space="0" w:color="auto"/>
            </w:tcBorders>
          </w:tcPr>
          <w:p w14:paraId="3A4448D1" w14:textId="77777777" w:rsidR="00C04CAD" w:rsidRDefault="00060E34">
            <w:pPr>
              <w:tabs>
                <w:tab w:val="clear" w:pos="567"/>
              </w:tabs>
              <w:kinsoku w:val="0"/>
              <w:overflowPunct w:val="0"/>
              <w:autoSpaceDE w:val="0"/>
              <w:autoSpaceDN w:val="0"/>
              <w:adjustRightInd w:val="0"/>
              <w:spacing w:line="240" w:lineRule="auto"/>
              <w:ind w:left="99"/>
              <w:jc w:val="center"/>
            </w:pPr>
            <w:r>
              <w:t>0,656</w:t>
            </w:r>
          </w:p>
        </w:tc>
      </w:tr>
      <w:tr w:rsidR="00C04CAD" w14:paraId="48D75091" w14:textId="77777777">
        <w:trPr>
          <w:trHeight w:hRule="exact" w:val="262"/>
        </w:trPr>
        <w:tc>
          <w:tcPr>
            <w:tcW w:w="1833" w:type="dxa"/>
            <w:tcBorders>
              <w:top w:val="single" w:sz="4" w:space="0" w:color="000000"/>
              <w:left w:val="single" w:sz="4" w:space="0" w:color="auto"/>
              <w:bottom w:val="single" w:sz="4" w:space="0" w:color="auto"/>
              <w:right w:val="single" w:sz="4" w:space="0" w:color="000000"/>
            </w:tcBorders>
          </w:tcPr>
          <w:p w14:paraId="6A7BCAF1" w14:textId="77777777" w:rsidR="00C04CAD" w:rsidRDefault="00060E34">
            <w:pPr>
              <w:tabs>
                <w:tab w:val="clear" w:pos="567"/>
              </w:tabs>
              <w:kinsoku w:val="0"/>
              <w:overflowPunct w:val="0"/>
              <w:autoSpaceDE w:val="0"/>
              <w:autoSpaceDN w:val="0"/>
              <w:adjustRightInd w:val="0"/>
              <w:spacing w:line="240" w:lineRule="auto"/>
              <w:ind w:left="102"/>
              <w:jc w:val="center"/>
            </w:pPr>
            <w:r>
              <w:t>Săptămâna 104</w:t>
            </w:r>
          </w:p>
        </w:tc>
        <w:tc>
          <w:tcPr>
            <w:tcW w:w="1005" w:type="dxa"/>
            <w:tcBorders>
              <w:top w:val="single" w:sz="4" w:space="0" w:color="000000"/>
              <w:left w:val="single" w:sz="4" w:space="0" w:color="000000"/>
              <w:bottom w:val="single" w:sz="4" w:space="0" w:color="auto"/>
              <w:right w:val="single" w:sz="4" w:space="0" w:color="000000"/>
            </w:tcBorders>
          </w:tcPr>
          <w:p w14:paraId="2A2562D5" w14:textId="77777777" w:rsidR="00C04CAD" w:rsidRDefault="00060E34">
            <w:pPr>
              <w:tabs>
                <w:tab w:val="clear" w:pos="567"/>
              </w:tabs>
              <w:kinsoku w:val="0"/>
              <w:overflowPunct w:val="0"/>
              <w:autoSpaceDE w:val="0"/>
              <w:autoSpaceDN w:val="0"/>
              <w:adjustRightInd w:val="0"/>
              <w:spacing w:line="240" w:lineRule="auto"/>
              <w:ind w:left="102"/>
              <w:jc w:val="center"/>
            </w:pPr>
            <w:r>
              <w:t>28,4%</w:t>
            </w:r>
          </w:p>
        </w:tc>
        <w:tc>
          <w:tcPr>
            <w:tcW w:w="1547" w:type="dxa"/>
            <w:tcBorders>
              <w:top w:val="single" w:sz="4" w:space="0" w:color="000000"/>
              <w:left w:val="single" w:sz="4" w:space="0" w:color="000000"/>
              <w:bottom w:val="single" w:sz="4" w:space="0" w:color="auto"/>
              <w:right w:val="single" w:sz="4" w:space="0" w:color="000000"/>
            </w:tcBorders>
          </w:tcPr>
          <w:p w14:paraId="774D52B4" w14:textId="77777777" w:rsidR="00C04CAD" w:rsidRDefault="00060E34">
            <w:pPr>
              <w:tabs>
                <w:tab w:val="clear" w:pos="567"/>
              </w:tabs>
              <w:kinsoku w:val="0"/>
              <w:overflowPunct w:val="0"/>
              <w:autoSpaceDE w:val="0"/>
              <w:autoSpaceDN w:val="0"/>
              <w:adjustRightInd w:val="0"/>
              <w:spacing w:line="240" w:lineRule="auto"/>
              <w:ind w:left="102"/>
              <w:jc w:val="center"/>
            </w:pPr>
            <w:r>
              <w:t>28,1%</w:t>
            </w:r>
          </w:p>
        </w:tc>
        <w:tc>
          <w:tcPr>
            <w:tcW w:w="1679" w:type="dxa"/>
            <w:tcBorders>
              <w:top w:val="single" w:sz="4" w:space="0" w:color="000000"/>
              <w:left w:val="single" w:sz="4" w:space="0" w:color="000000"/>
              <w:bottom w:val="single" w:sz="4" w:space="0" w:color="auto"/>
              <w:right w:val="single" w:sz="4" w:space="0" w:color="000000"/>
            </w:tcBorders>
          </w:tcPr>
          <w:p w14:paraId="6C6AAE9C"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46,6%</w:t>
            </w:r>
          </w:p>
        </w:tc>
        <w:tc>
          <w:tcPr>
            <w:tcW w:w="1080" w:type="dxa"/>
            <w:tcBorders>
              <w:top w:val="single" w:sz="4" w:space="0" w:color="000000"/>
              <w:left w:val="single" w:sz="4" w:space="0" w:color="000000"/>
              <w:bottom w:val="single" w:sz="4" w:space="0" w:color="auto"/>
              <w:right w:val="single" w:sz="4" w:space="0" w:color="000000"/>
            </w:tcBorders>
          </w:tcPr>
          <w:p w14:paraId="53B9942D"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1164" w:type="dxa"/>
            <w:tcBorders>
              <w:top w:val="single" w:sz="4" w:space="0" w:color="000000"/>
              <w:left w:val="single" w:sz="4" w:space="0" w:color="000000"/>
              <w:bottom w:val="single" w:sz="4" w:space="0" w:color="auto"/>
              <w:right w:val="single" w:sz="4" w:space="0" w:color="000000"/>
            </w:tcBorders>
          </w:tcPr>
          <w:p w14:paraId="117665C8" w14:textId="77777777" w:rsidR="00C04CAD" w:rsidRDefault="00060E34">
            <w:pPr>
              <w:tabs>
                <w:tab w:val="clear" w:pos="567"/>
              </w:tabs>
              <w:kinsoku w:val="0"/>
              <w:overflowPunct w:val="0"/>
              <w:autoSpaceDE w:val="0"/>
              <w:autoSpaceDN w:val="0"/>
              <w:adjustRightInd w:val="0"/>
              <w:spacing w:line="240" w:lineRule="auto"/>
              <w:ind w:left="99"/>
              <w:jc w:val="center"/>
            </w:pPr>
            <w:r>
              <w:t>&lt;0,001</w:t>
            </w:r>
          </w:p>
        </w:tc>
        <w:tc>
          <w:tcPr>
            <w:tcW w:w="977" w:type="dxa"/>
            <w:tcBorders>
              <w:top w:val="single" w:sz="4" w:space="0" w:color="000000"/>
              <w:left w:val="single" w:sz="4" w:space="0" w:color="000000"/>
              <w:bottom w:val="single" w:sz="4" w:space="0" w:color="auto"/>
              <w:right w:val="single" w:sz="4" w:space="0" w:color="auto"/>
            </w:tcBorders>
          </w:tcPr>
          <w:p w14:paraId="062B5E8F" w14:textId="77777777" w:rsidR="00C04CAD" w:rsidRDefault="00060E34">
            <w:pPr>
              <w:tabs>
                <w:tab w:val="clear" w:pos="567"/>
              </w:tabs>
              <w:kinsoku w:val="0"/>
              <w:overflowPunct w:val="0"/>
              <w:autoSpaceDE w:val="0"/>
              <w:autoSpaceDN w:val="0"/>
              <w:adjustRightInd w:val="0"/>
              <w:spacing w:line="240" w:lineRule="auto"/>
              <w:ind w:left="99"/>
              <w:jc w:val="center"/>
            </w:pPr>
            <w:r>
              <w:t>0,864</w:t>
            </w:r>
          </w:p>
        </w:tc>
      </w:tr>
      <w:tr w:rsidR="00C04CAD" w14:paraId="3A991CDB" w14:textId="77777777">
        <w:trPr>
          <w:trHeight w:hRule="exact" w:val="1423"/>
        </w:trPr>
        <w:tc>
          <w:tcPr>
            <w:tcW w:w="9285" w:type="dxa"/>
            <w:gridSpan w:val="7"/>
            <w:tcBorders>
              <w:top w:val="single" w:sz="4" w:space="0" w:color="auto"/>
            </w:tcBorders>
          </w:tcPr>
          <w:p w14:paraId="073AA27F" w14:textId="77777777" w:rsidR="00C04CAD" w:rsidRDefault="00060E34">
            <w:pPr>
              <w:numPr>
                <w:ilvl w:val="0"/>
                <w:numId w:val="15"/>
              </w:numPr>
              <w:tabs>
                <w:tab w:val="clear" w:pos="567"/>
                <w:tab w:val="left" w:pos="236"/>
              </w:tabs>
              <w:kinsoku w:val="0"/>
              <w:overflowPunct w:val="0"/>
              <w:autoSpaceDE w:val="0"/>
              <w:autoSpaceDN w:val="0"/>
              <w:adjustRightInd w:val="0"/>
              <w:spacing w:line="240" w:lineRule="auto"/>
              <w:ind w:left="227" w:hanging="227"/>
              <w:rPr>
                <w:sz w:val="20"/>
              </w:rPr>
            </w:pPr>
            <w:r>
              <w:rPr>
                <w:sz w:val="20"/>
              </w:rPr>
              <w:t xml:space="preserve">valoarea p este obţinută prin compararea perechilor metotrexat monoterapie şi combinaţia </w:t>
            </w:r>
            <w:r>
              <w:rPr>
                <w:rFonts w:eastAsia="MS Mincho"/>
                <w:sz w:val="20"/>
                <w:lang w:eastAsia="en-US" w:bidi="ar-SA"/>
              </w:rPr>
              <w:t>adalimumab</w:t>
            </w:r>
            <w:r>
              <w:rPr>
                <w:sz w:val="20"/>
              </w:rPr>
              <w:t>/metotrexat, folosindu-se testul U, Mann-Whitney</w:t>
            </w:r>
          </w:p>
          <w:p w14:paraId="6F78911D" w14:textId="77777777" w:rsidR="00C04CAD" w:rsidRDefault="00060E34">
            <w:pPr>
              <w:numPr>
                <w:ilvl w:val="0"/>
                <w:numId w:val="15"/>
              </w:numPr>
              <w:tabs>
                <w:tab w:val="clear" w:pos="567"/>
                <w:tab w:val="left" w:pos="243"/>
              </w:tabs>
              <w:kinsoku w:val="0"/>
              <w:overflowPunct w:val="0"/>
              <w:autoSpaceDE w:val="0"/>
              <w:autoSpaceDN w:val="0"/>
              <w:adjustRightInd w:val="0"/>
              <w:spacing w:line="240" w:lineRule="auto"/>
              <w:ind w:left="227" w:hanging="227"/>
              <w:rPr>
                <w:sz w:val="20"/>
              </w:rPr>
            </w:pPr>
            <w:r>
              <w:rPr>
                <w:sz w:val="20"/>
              </w:rPr>
              <w:t xml:space="preserve">valoarea p este obţinută prin compararea perechilor </w:t>
            </w:r>
            <w:r>
              <w:rPr>
                <w:rFonts w:eastAsia="MS Mincho"/>
                <w:sz w:val="20"/>
                <w:lang w:eastAsia="en-US" w:bidi="ar-SA"/>
              </w:rPr>
              <w:t>adalimumab</w:t>
            </w:r>
            <w:r>
              <w:rPr>
                <w:sz w:val="20"/>
              </w:rPr>
              <w:t xml:space="preserve"> monoterapie şi combinaţia </w:t>
            </w:r>
            <w:r>
              <w:rPr>
                <w:rFonts w:eastAsia="MS Mincho"/>
                <w:sz w:val="20"/>
                <w:lang w:eastAsia="en-US" w:bidi="ar-SA"/>
              </w:rPr>
              <w:t>adalimumab</w:t>
            </w:r>
            <w:r>
              <w:rPr>
                <w:sz w:val="20"/>
              </w:rPr>
              <w:t>/metotrexat, folosindu-se testul U, Mann-Whitney</w:t>
            </w:r>
          </w:p>
          <w:p w14:paraId="7F640177" w14:textId="77777777" w:rsidR="00C04CAD" w:rsidRDefault="00060E34">
            <w:pPr>
              <w:numPr>
                <w:ilvl w:val="0"/>
                <w:numId w:val="15"/>
              </w:numPr>
              <w:tabs>
                <w:tab w:val="clear" w:pos="567"/>
                <w:tab w:val="left" w:pos="236"/>
              </w:tabs>
              <w:kinsoku w:val="0"/>
              <w:overflowPunct w:val="0"/>
              <w:autoSpaceDE w:val="0"/>
              <w:autoSpaceDN w:val="0"/>
              <w:adjustRightInd w:val="0"/>
              <w:spacing w:line="240" w:lineRule="auto"/>
              <w:ind w:left="227" w:hanging="227"/>
              <w:rPr>
                <w:sz w:val="20"/>
              </w:rPr>
            </w:pPr>
            <w:r>
              <w:rPr>
                <w:sz w:val="20"/>
              </w:rPr>
              <w:t xml:space="preserve">valoarea p este obţinută prin compararea perechilor </w:t>
            </w:r>
            <w:r>
              <w:rPr>
                <w:rFonts w:eastAsia="MS Mincho"/>
                <w:sz w:val="20"/>
                <w:lang w:eastAsia="en-US" w:bidi="ar-SA"/>
              </w:rPr>
              <w:t>adalimumab</w:t>
            </w:r>
            <w:r>
              <w:rPr>
                <w:sz w:val="20"/>
              </w:rPr>
              <w:t xml:space="preserve"> monoterapie şi metotrexat monoterapie folosindu-se testul U, Mann-Whitney</w:t>
            </w:r>
          </w:p>
        </w:tc>
      </w:tr>
    </w:tbl>
    <w:p w14:paraId="1EF4C352" w14:textId="77777777" w:rsidR="00C04CAD" w:rsidRDefault="00C04CAD">
      <w:pPr>
        <w:autoSpaceDE w:val="0"/>
        <w:autoSpaceDN w:val="0"/>
        <w:adjustRightInd w:val="0"/>
        <w:spacing w:line="240" w:lineRule="auto"/>
      </w:pPr>
    </w:p>
    <w:p w14:paraId="2EF5D863" w14:textId="77777777" w:rsidR="00C04CAD" w:rsidRDefault="00060E34">
      <w:pPr>
        <w:tabs>
          <w:tab w:val="clear" w:pos="567"/>
        </w:tabs>
        <w:kinsoku w:val="0"/>
        <w:overflowPunct w:val="0"/>
        <w:autoSpaceDE w:val="0"/>
        <w:autoSpaceDN w:val="0"/>
        <w:adjustRightInd w:val="0"/>
        <w:spacing w:line="240" w:lineRule="auto"/>
      </w:pPr>
      <w:r>
        <w:t xml:space="preserve">În extensia deschisă a studiului PR V, ratele de răspuns ACR urmărite o perioadă de până la 10 ani s-au menținut. Dintre cei 542 pacienți care au fost randomizați pentru </w:t>
      </w:r>
      <w:r>
        <w:rPr>
          <w:rFonts w:eastAsia="MS Mincho"/>
          <w:szCs w:val="22"/>
          <w:lang w:eastAsia="en-US" w:bidi="ar-SA"/>
        </w:rPr>
        <w:t>adalimumab</w:t>
      </w:r>
      <w:r>
        <w:t xml:space="preserve"> 40 mg la două săptămâni, 170 pacienți au continuat tratamentul cu </w:t>
      </w:r>
      <w:r>
        <w:rPr>
          <w:rFonts w:eastAsia="MS Mincho"/>
          <w:szCs w:val="22"/>
          <w:lang w:eastAsia="en-US" w:bidi="ar-SA"/>
        </w:rPr>
        <w:t>adalimumab</w:t>
      </w:r>
      <w:r>
        <w:t xml:space="preserve"> 40 mg la două săptămâni timp de 10 ani. Dintre aceștia, 154 pacienți (90,6%) au avut răspuns ACR 20; 127 pacienți (74,7%) au avut răspuns ACR 50 și 102 pacienți (60,0%) au avut răspuns ACR 70.</w:t>
      </w:r>
    </w:p>
    <w:p w14:paraId="287B1F44" w14:textId="77777777" w:rsidR="00C04CAD" w:rsidRDefault="00C04CAD">
      <w:pPr>
        <w:tabs>
          <w:tab w:val="clear" w:pos="567"/>
        </w:tabs>
        <w:kinsoku w:val="0"/>
        <w:overflowPunct w:val="0"/>
        <w:autoSpaceDE w:val="0"/>
        <w:autoSpaceDN w:val="0"/>
        <w:adjustRightInd w:val="0"/>
        <w:spacing w:line="240" w:lineRule="auto"/>
      </w:pPr>
    </w:p>
    <w:p w14:paraId="166B2A4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săptămâna 52, 42,9% din pacienţii care au primit un tratament concomitent cu </w:t>
      </w:r>
      <w:r>
        <w:rPr>
          <w:rFonts w:eastAsia="MS Mincho"/>
          <w:szCs w:val="22"/>
          <w:lang w:eastAsia="en-US" w:bidi="ar-SA"/>
        </w:rPr>
        <w:t>adalimumab</w:t>
      </w:r>
      <w:r>
        <w:rPr>
          <w:szCs w:val="22"/>
        </w:rPr>
        <w:t xml:space="preserve"> şi metotrexat au obţinut remisiune clinică (DAS28 (PCR) &lt;2,6) comparativ cu 20,6% din pacienţi care au primit metotrexat în monoterapie şi 23,4% din pacienţii care au primit </w:t>
      </w:r>
      <w:r>
        <w:rPr>
          <w:rFonts w:eastAsia="MS Mincho"/>
          <w:szCs w:val="22"/>
          <w:lang w:eastAsia="en-US" w:bidi="ar-SA"/>
        </w:rPr>
        <w:t>adalimumab</w:t>
      </w:r>
      <w:r>
        <w:rPr>
          <w:szCs w:val="22"/>
        </w:rPr>
        <w:t xml:space="preserve"> în monoterapie. Tratamentul concomitent cu </w:t>
      </w:r>
      <w:r>
        <w:rPr>
          <w:rFonts w:eastAsia="MS Mincho"/>
          <w:szCs w:val="22"/>
          <w:lang w:eastAsia="en-US" w:bidi="ar-SA"/>
        </w:rPr>
        <w:t>adalimumab</w:t>
      </w:r>
      <w:r>
        <w:rPr>
          <w:szCs w:val="22"/>
        </w:rPr>
        <w:t xml:space="preserve"> şi metotrexat a fost superior din punct de vedere clinic şi statistic în ceea ce priveşte obţinerea unei remisiuni a bolii la pacienţii cu poliartrită reumatoidă precoce moderată până la severă, comparativ cu tratamentul cu metotrexat (p &lt;0,001) sau </w:t>
      </w:r>
      <w:r>
        <w:rPr>
          <w:rFonts w:eastAsia="MS Mincho"/>
          <w:szCs w:val="22"/>
          <w:lang w:eastAsia="en-US" w:bidi="ar-SA"/>
        </w:rPr>
        <w:t>adalimumab</w:t>
      </w:r>
      <w:r>
        <w:rPr>
          <w:szCs w:val="22"/>
        </w:rPr>
        <w:t xml:space="preserve"> în monoterapie (p &lt;0,001). Răspunsul pentru cele două grupuri de monoterapie a fost similar (p=0,447). </w:t>
      </w:r>
    </w:p>
    <w:p w14:paraId="2840BC15" w14:textId="77777777" w:rsidR="00C04CAD" w:rsidRDefault="00C04CAD">
      <w:pPr>
        <w:tabs>
          <w:tab w:val="clear" w:pos="567"/>
        </w:tabs>
        <w:kinsoku w:val="0"/>
        <w:overflowPunct w:val="0"/>
        <w:autoSpaceDE w:val="0"/>
        <w:autoSpaceDN w:val="0"/>
        <w:adjustRightInd w:val="0"/>
        <w:spacing w:line="240" w:lineRule="auto"/>
        <w:rPr>
          <w:szCs w:val="22"/>
        </w:rPr>
      </w:pPr>
    </w:p>
    <w:p w14:paraId="567C3B8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Dintre cei 342 de subiecți randomizați inițial pentru adalimumab în monoterapie sau la tratament asociat adalimumab/metotrexat </w:t>
      </w:r>
      <w:r>
        <w:t>şi</w:t>
      </w:r>
      <w:r>
        <w:rPr>
          <w:szCs w:val="22"/>
        </w:rPr>
        <w:t xml:space="preserve"> care au intrat în extensia deschisă a studiului, 171 au finalizat 10 ani de tratament cu adalimumab. Dintre aceștia, 109 subiecți (63,7%) au fost raportați ca fiind în remisie la 10 ani.</w:t>
      </w:r>
    </w:p>
    <w:p w14:paraId="7703C7CF" w14:textId="77777777" w:rsidR="00C04CAD" w:rsidRDefault="00C04CAD">
      <w:pPr>
        <w:autoSpaceDE w:val="0"/>
        <w:autoSpaceDN w:val="0"/>
        <w:adjustRightInd w:val="0"/>
        <w:spacing w:line="240" w:lineRule="auto"/>
      </w:pPr>
    </w:p>
    <w:p w14:paraId="67154B61" w14:textId="77777777" w:rsidR="00C04CAD" w:rsidRDefault="00060E34">
      <w:pPr>
        <w:keepNext/>
        <w:tabs>
          <w:tab w:val="clear" w:pos="567"/>
        </w:tabs>
        <w:kinsoku w:val="0"/>
        <w:overflowPunct w:val="0"/>
        <w:autoSpaceDE w:val="0"/>
        <w:autoSpaceDN w:val="0"/>
        <w:adjustRightInd w:val="0"/>
        <w:spacing w:line="240" w:lineRule="auto"/>
      </w:pPr>
      <w:r>
        <w:rPr>
          <w:i/>
          <w:u w:val="single"/>
        </w:rPr>
        <w:t>Răspuns radiografic</w:t>
      </w:r>
    </w:p>
    <w:p w14:paraId="36F9B9C1" w14:textId="77777777" w:rsidR="00C04CAD" w:rsidRDefault="00C04CAD">
      <w:pPr>
        <w:keepNext/>
        <w:tabs>
          <w:tab w:val="clear" w:pos="567"/>
        </w:tabs>
        <w:kinsoku w:val="0"/>
        <w:overflowPunct w:val="0"/>
        <w:autoSpaceDE w:val="0"/>
        <w:autoSpaceDN w:val="0"/>
        <w:adjustRightInd w:val="0"/>
        <w:spacing w:line="240" w:lineRule="auto"/>
      </w:pPr>
    </w:p>
    <w:p w14:paraId="25580213" w14:textId="77777777" w:rsidR="00C04CAD" w:rsidRDefault="00060E34">
      <w:pPr>
        <w:tabs>
          <w:tab w:val="clear" w:pos="567"/>
        </w:tabs>
        <w:kinsoku w:val="0"/>
        <w:overflowPunct w:val="0"/>
        <w:autoSpaceDE w:val="0"/>
        <w:autoSpaceDN w:val="0"/>
        <w:adjustRightInd w:val="0"/>
        <w:spacing w:line="240" w:lineRule="auto"/>
      </w:pPr>
      <w:r>
        <w:t xml:space="preserve">În studiul PR III, în care pacienţii trataţi cu </w:t>
      </w:r>
      <w:r>
        <w:rPr>
          <w:rFonts w:eastAsia="MS Mincho"/>
          <w:szCs w:val="22"/>
          <w:lang w:eastAsia="en-US" w:bidi="ar-SA"/>
        </w:rPr>
        <w:t>adalimumab</w:t>
      </w:r>
      <w:r>
        <w:t xml:space="preserve"> au avut o durată medie a poliartritei reumatoide de aproximativ 11 ani, distrugerea articulară structurală a fost evaluată radiografic şi exprimată ca modificare a Scorului Sharp Total (SST) modificat şi a componentelor sale, a scorului de eroziune şi a scorului de îngustare a spaţiului articular. La 6 şi 12 luni pacienţii care au primit </w:t>
      </w:r>
      <w:r>
        <w:rPr>
          <w:rFonts w:eastAsia="MS Mincho"/>
          <w:szCs w:val="22"/>
          <w:lang w:eastAsia="en-US" w:bidi="ar-SA"/>
        </w:rPr>
        <w:t>adalimumab</w:t>
      </w:r>
      <w:r>
        <w:t xml:space="preserve"> concomitent cu metotrexat au demonstrat o evoluţie radiografică semnificativ mai redusă decât pacienţii care au primit doar metotrexat (vezi tabelul </w:t>
      </w:r>
      <w:r>
        <w:rPr>
          <w:rFonts w:eastAsia="MS Mincho"/>
          <w:szCs w:val="22"/>
          <w:lang w:eastAsia="en-US" w:bidi="ar-SA"/>
        </w:rPr>
        <w:t>10</w:t>
      </w:r>
      <w:r>
        <w:t>).</w:t>
      </w:r>
    </w:p>
    <w:p w14:paraId="3C544807" w14:textId="77777777" w:rsidR="00C04CAD" w:rsidRDefault="00C04CAD">
      <w:pPr>
        <w:tabs>
          <w:tab w:val="clear" w:pos="567"/>
        </w:tabs>
        <w:kinsoku w:val="0"/>
        <w:overflowPunct w:val="0"/>
        <w:autoSpaceDE w:val="0"/>
        <w:autoSpaceDN w:val="0"/>
        <w:adjustRightInd w:val="0"/>
        <w:spacing w:line="240" w:lineRule="auto"/>
        <w:rPr>
          <w:szCs w:val="22"/>
        </w:rPr>
      </w:pPr>
    </w:p>
    <w:p w14:paraId="085C0612" w14:textId="77777777" w:rsidR="00C04CAD" w:rsidRDefault="00060E34">
      <w:pPr>
        <w:autoSpaceDE w:val="0"/>
        <w:autoSpaceDN w:val="0"/>
        <w:adjustRightInd w:val="0"/>
        <w:spacing w:line="240" w:lineRule="auto"/>
        <w:rPr>
          <w:szCs w:val="22"/>
        </w:rPr>
      </w:pPr>
      <w:r>
        <w:rPr>
          <w:szCs w:val="22"/>
        </w:rPr>
        <w:t xml:space="preserve">În faza de extensie deschisă a studiului PR III, la o parte dintre pacienţi, reducerea ratei de progresie a distrugerii structurale este menţinută pe durata a 8 şi 10 ani. Au fost evaluaţi radiografic, la 8 ani, 81 din 207 pacienţi trataţi iniţial cu 40 mg </w:t>
      </w:r>
      <w:r>
        <w:rPr>
          <w:rFonts w:eastAsia="MS Mincho"/>
          <w:szCs w:val="22"/>
          <w:lang w:eastAsia="en-US" w:bidi="ar-SA"/>
        </w:rPr>
        <w:t>adalimumab</w:t>
      </w:r>
      <w:r>
        <w:rPr>
          <w:szCs w:val="22"/>
        </w:rPr>
        <w:t xml:space="preserve"> la două săptămâni. Printre aceştia, 48 pacienţi nu au demonstrat o evoluţie a distrugerii structurale faţă de starea iniţială, exprimată ca modificare în 0,5 sau mai puţin a scorului SSTm. La 10 ani, au fost evaluaţi radiologic 79 din 207 pacienţi trataţi iniţial cu </w:t>
      </w:r>
      <w:r>
        <w:rPr>
          <w:rFonts w:eastAsia="MS Mincho"/>
          <w:szCs w:val="22"/>
          <w:lang w:eastAsia="en-US" w:bidi="ar-SA"/>
        </w:rPr>
        <w:t>adalimumab</w:t>
      </w:r>
      <w:r>
        <w:rPr>
          <w:szCs w:val="22"/>
        </w:rPr>
        <w:t xml:space="preserve"> 40 mg la două săptămâni. Dintre aceştia, 40 de pacienţi nu au arătat nicio evoluţie a distrugerii structurale definită de o schimbare faţă de valoarea iniţială, în SSTm de 0,5 sau mai puţin.</w:t>
      </w:r>
    </w:p>
    <w:p w14:paraId="4D6185A1" w14:textId="77777777" w:rsidR="00C04CAD" w:rsidRDefault="00C04CAD">
      <w:pPr>
        <w:autoSpaceDE w:val="0"/>
        <w:autoSpaceDN w:val="0"/>
        <w:adjustRightInd w:val="0"/>
        <w:spacing w:line="240" w:lineRule="auto"/>
      </w:pPr>
    </w:p>
    <w:p w14:paraId="315047F5" w14:textId="77777777" w:rsidR="00C04CAD" w:rsidRDefault="00060E34">
      <w:pPr>
        <w:keepNext/>
        <w:autoSpaceDE w:val="0"/>
        <w:autoSpaceDN w:val="0"/>
        <w:adjustRightInd w:val="0"/>
        <w:spacing w:line="240" w:lineRule="auto"/>
        <w:rPr>
          <w:b/>
        </w:rPr>
      </w:pPr>
      <w:r>
        <w:rPr>
          <w:b/>
        </w:rPr>
        <w:t>Tabelu</w:t>
      </w:r>
      <w:r>
        <w:rPr>
          <w:b/>
          <w:bCs/>
        </w:rPr>
        <w:t xml:space="preserve">l 10. </w:t>
      </w:r>
      <w:r>
        <w:rPr>
          <w:b/>
        </w:rPr>
        <w:t>Modificări radiografice medii peste 12 luni în cadrul Studiului PR III</w:t>
      </w:r>
    </w:p>
    <w:p w14:paraId="6FE54D01" w14:textId="77777777" w:rsidR="00C04CAD" w:rsidRDefault="00C04CAD">
      <w:pPr>
        <w:keepNext/>
        <w:autoSpaceDE w:val="0"/>
        <w:autoSpaceDN w:val="0"/>
        <w:adjustRightInd w:val="0"/>
        <w:spacing w:line="240" w:lineRule="auto"/>
      </w:pPr>
    </w:p>
    <w:tbl>
      <w:tblPr>
        <w:tblW w:w="5000" w:type="pct"/>
        <w:tblLayout w:type="fixed"/>
        <w:tblCellMar>
          <w:left w:w="0" w:type="dxa"/>
          <w:right w:w="0" w:type="dxa"/>
        </w:tblCellMar>
        <w:tblLook w:val="04A0" w:firstRow="1" w:lastRow="0" w:firstColumn="1" w:lastColumn="0" w:noHBand="0" w:noVBand="1"/>
      </w:tblPr>
      <w:tblGrid>
        <w:gridCol w:w="2060"/>
        <w:gridCol w:w="1356"/>
        <w:gridCol w:w="1716"/>
        <w:gridCol w:w="1910"/>
        <w:gridCol w:w="2019"/>
      </w:tblGrid>
      <w:tr w:rsidR="00C04CAD" w14:paraId="75939568" w14:textId="77777777">
        <w:trPr>
          <w:trHeight w:hRule="exact" w:val="1585"/>
        </w:trPr>
        <w:tc>
          <w:tcPr>
            <w:tcW w:w="1136" w:type="pct"/>
            <w:tcBorders>
              <w:top w:val="single" w:sz="4" w:space="0" w:color="000000"/>
              <w:left w:val="single" w:sz="4" w:space="0" w:color="000000"/>
              <w:bottom w:val="single" w:sz="4" w:space="0" w:color="000000"/>
              <w:right w:val="single" w:sz="4" w:space="0" w:color="000000"/>
            </w:tcBorders>
          </w:tcPr>
          <w:p w14:paraId="4AC818BF" w14:textId="77777777" w:rsidR="00C04CAD" w:rsidRDefault="00C04CAD">
            <w:pPr>
              <w:keepNext/>
              <w:tabs>
                <w:tab w:val="clear" w:pos="567"/>
              </w:tabs>
              <w:autoSpaceDE w:val="0"/>
              <w:autoSpaceDN w:val="0"/>
              <w:adjustRightInd w:val="0"/>
              <w:spacing w:line="240" w:lineRule="auto"/>
            </w:pPr>
          </w:p>
        </w:tc>
        <w:tc>
          <w:tcPr>
            <w:tcW w:w="748" w:type="pct"/>
            <w:tcBorders>
              <w:top w:val="single" w:sz="4" w:space="0" w:color="000000"/>
              <w:left w:val="single" w:sz="4" w:space="0" w:color="000000"/>
              <w:bottom w:val="single" w:sz="4" w:space="0" w:color="000000"/>
              <w:right w:val="single" w:sz="4" w:space="0" w:color="000000"/>
            </w:tcBorders>
          </w:tcPr>
          <w:p w14:paraId="796A3B1D" w14:textId="77777777" w:rsidR="00C04CAD" w:rsidRDefault="00060E34">
            <w:pPr>
              <w:keepNext/>
              <w:tabs>
                <w:tab w:val="clear" w:pos="567"/>
              </w:tabs>
              <w:kinsoku w:val="0"/>
              <w:overflowPunct w:val="0"/>
              <w:autoSpaceDE w:val="0"/>
              <w:autoSpaceDN w:val="0"/>
              <w:adjustRightInd w:val="0"/>
              <w:spacing w:line="240" w:lineRule="auto"/>
              <w:ind w:left="96" w:right="499"/>
              <w:jc w:val="center"/>
            </w:pPr>
            <w:r>
              <w:rPr>
                <w:b/>
              </w:rPr>
              <w:t>Placebo/ MTX</w:t>
            </w:r>
            <w:r>
              <w:rPr>
                <w:b/>
                <w:vertAlign w:val="superscript"/>
              </w:rPr>
              <w:t>a</w:t>
            </w:r>
          </w:p>
        </w:tc>
        <w:tc>
          <w:tcPr>
            <w:tcW w:w="947" w:type="pct"/>
            <w:tcBorders>
              <w:top w:val="single" w:sz="4" w:space="0" w:color="000000"/>
              <w:left w:val="single" w:sz="4" w:space="0" w:color="000000"/>
              <w:bottom w:val="single" w:sz="4" w:space="0" w:color="000000"/>
              <w:right w:val="single" w:sz="4" w:space="0" w:color="000000"/>
            </w:tcBorders>
          </w:tcPr>
          <w:p w14:paraId="7B6ABEAB" w14:textId="77777777" w:rsidR="00C04CAD" w:rsidRDefault="00060E34">
            <w:pPr>
              <w:keepNext/>
              <w:tabs>
                <w:tab w:val="clear" w:pos="567"/>
              </w:tabs>
              <w:kinsoku w:val="0"/>
              <w:overflowPunct w:val="0"/>
              <w:autoSpaceDE w:val="0"/>
              <w:autoSpaceDN w:val="0"/>
              <w:adjustRightInd w:val="0"/>
              <w:spacing w:line="240" w:lineRule="auto"/>
              <w:ind w:left="99" w:right="217"/>
              <w:jc w:val="center"/>
              <w:rPr>
                <w:b/>
              </w:rPr>
            </w:pPr>
            <w:r>
              <w:rPr>
                <w:rFonts w:eastAsia="MS Mincho"/>
                <w:b/>
                <w:szCs w:val="22"/>
                <w:lang w:eastAsia="en-US" w:bidi="ar-SA"/>
              </w:rPr>
              <w:t>Adalimumab</w:t>
            </w:r>
            <w:r>
              <w:rPr>
                <w:b/>
              </w:rPr>
              <w:t>/MTX 40 mg din două în două săptămâni</w:t>
            </w:r>
          </w:p>
        </w:tc>
        <w:tc>
          <w:tcPr>
            <w:tcW w:w="1054" w:type="pct"/>
            <w:tcBorders>
              <w:top w:val="single" w:sz="4" w:space="0" w:color="000000"/>
              <w:left w:val="single" w:sz="4" w:space="0" w:color="000000"/>
              <w:bottom w:val="single" w:sz="4" w:space="0" w:color="000000"/>
              <w:right w:val="single" w:sz="4" w:space="0" w:color="000000"/>
            </w:tcBorders>
          </w:tcPr>
          <w:p w14:paraId="49219F21" w14:textId="77777777" w:rsidR="00C04CAD" w:rsidRDefault="00060E34">
            <w:pPr>
              <w:keepNext/>
              <w:tabs>
                <w:tab w:val="clear" w:pos="567"/>
              </w:tabs>
              <w:kinsoku w:val="0"/>
              <w:overflowPunct w:val="0"/>
              <w:autoSpaceDE w:val="0"/>
              <w:autoSpaceDN w:val="0"/>
              <w:adjustRightInd w:val="0"/>
              <w:spacing w:line="240" w:lineRule="auto"/>
              <w:ind w:left="102" w:right="407"/>
              <w:jc w:val="center"/>
              <w:rPr>
                <w:b/>
              </w:rPr>
            </w:pPr>
            <w:r>
              <w:rPr>
                <w:b/>
              </w:rPr>
              <w:t xml:space="preserve">Placebo/MTX- </w:t>
            </w:r>
            <w:r>
              <w:rPr>
                <w:rFonts w:eastAsia="MS Mincho"/>
                <w:b/>
                <w:szCs w:val="22"/>
                <w:lang w:eastAsia="en-US" w:bidi="ar-SA"/>
              </w:rPr>
              <w:t>Adalimumab</w:t>
            </w:r>
            <w:r>
              <w:rPr>
                <w:b/>
              </w:rPr>
              <w:t>/MTX (Interval</w:t>
            </w:r>
            <w:r>
              <w:rPr>
                <w:b/>
                <w:vertAlign w:val="superscript"/>
              </w:rPr>
              <w:t>b</w:t>
            </w:r>
            <w:r>
              <w:rPr>
                <w:b/>
              </w:rPr>
              <w:t xml:space="preserve"> de </w:t>
            </w:r>
            <w:r>
              <w:rPr>
                <w:rFonts w:eastAsia="MS Mincho"/>
                <w:b/>
                <w:szCs w:val="22"/>
                <w:lang w:eastAsia="en-US" w:bidi="ar-SA"/>
              </w:rPr>
              <w:t>î</w:t>
            </w:r>
            <w:r>
              <w:rPr>
                <w:rFonts w:eastAsia="MS Mincho"/>
                <w:b/>
                <w:bCs/>
                <w:szCs w:val="22"/>
                <w:lang w:eastAsia="en-US" w:bidi="ar-SA"/>
              </w:rPr>
              <w:t>ncredere</w:t>
            </w:r>
            <w:r>
              <w:rPr>
                <w:b/>
              </w:rPr>
              <w:t xml:space="preserve"> 95%)</w:t>
            </w:r>
          </w:p>
        </w:tc>
        <w:tc>
          <w:tcPr>
            <w:tcW w:w="1114" w:type="pct"/>
            <w:tcBorders>
              <w:top w:val="single" w:sz="4" w:space="0" w:color="000000"/>
              <w:left w:val="single" w:sz="4" w:space="0" w:color="000000"/>
              <w:bottom w:val="single" w:sz="4" w:space="0" w:color="000000"/>
              <w:right w:val="single" w:sz="4" w:space="0" w:color="000000"/>
            </w:tcBorders>
          </w:tcPr>
          <w:p w14:paraId="29E29C51"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rPr>
              <w:t>Valoarea p</w:t>
            </w:r>
          </w:p>
        </w:tc>
      </w:tr>
      <w:tr w:rsidR="00C04CAD" w14:paraId="5F3FBE53" w14:textId="77777777">
        <w:trPr>
          <w:trHeight w:hRule="exact" w:val="264"/>
        </w:trPr>
        <w:tc>
          <w:tcPr>
            <w:tcW w:w="1136" w:type="pct"/>
            <w:tcBorders>
              <w:top w:val="single" w:sz="4" w:space="0" w:color="000000"/>
              <w:left w:val="single" w:sz="4" w:space="0" w:color="000000"/>
              <w:bottom w:val="single" w:sz="4" w:space="0" w:color="000000"/>
              <w:right w:val="single" w:sz="4" w:space="0" w:color="000000"/>
            </w:tcBorders>
          </w:tcPr>
          <w:p w14:paraId="39D7A9A6" w14:textId="77777777" w:rsidR="00C04CAD" w:rsidRDefault="00060E34">
            <w:pPr>
              <w:tabs>
                <w:tab w:val="clear" w:pos="567"/>
              </w:tabs>
              <w:kinsoku w:val="0"/>
              <w:overflowPunct w:val="0"/>
              <w:autoSpaceDE w:val="0"/>
              <w:autoSpaceDN w:val="0"/>
              <w:adjustRightInd w:val="0"/>
              <w:spacing w:line="240" w:lineRule="auto"/>
              <w:ind w:left="102"/>
            </w:pPr>
            <w:r>
              <w:t>Scor Sharp Total</w:t>
            </w:r>
          </w:p>
        </w:tc>
        <w:tc>
          <w:tcPr>
            <w:tcW w:w="748" w:type="pct"/>
            <w:tcBorders>
              <w:top w:val="single" w:sz="4" w:space="0" w:color="000000"/>
              <w:left w:val="single" w:sz="4" w:space="0" w:color="000000"/>
              <w:bottom w:val="single" w:sz="4" w:space="0" w:color="000000"/>
              <w:right w:val="single" w:sz="4" w:space="0" w:color="000000"/>
            </w:tcBorders>
          </w:tcPr>
          <w:p w14:paraId="21940A51" w14:textId="77777777" w:rsidR="00C04CAD" w:rsidRDefault="00060E34">
            <w:pPr>
              <w:tabs>
                <w:tab w:val="clear" w:pos="567"/>
              </w:tabs>
              <w:kinsoku w:val="0"/>
              <w:overflowPunct w:val="0"/>
              <w:autoSpaceDE w:val="0"/>
              <w:autoSpaceDN w:val="0"/>
              <w:adjustRightInd w:val="0"/>
              <w:spacing w:line="240" w:lineRule="auto"/>
              <w:ind w:left="99"/>
              <w:jc w:val="center"/>
            </w:pPr>
            <w:r>
              <w:t>2,7</w:t>
            </w:r>
          </w:p>
        </w:tc>
        <w:tc>
          <w:tcPr>
            <w:tcW w:w="947" w:type="pct"/>
            <w:tcBorders>
              <w:top w:val="single" w:sz="4" w:space="0" w:color="000000"/>
              <w:left w:val="single" w:sz="4" w:space="0" w:color="000000"/>
              <w:bottom w:val="single" w:sz="4" w:space="0" w:color="000000"/>
              <w:right w:val="single" w:sz="4" w:space="0" w:color="000000"/>
            </w:tcBorders>
          </w:tcPr>
          <w:p w14:paraId="475C8411" w14:textId="77777777" w:rsidR="00C04CAD" w:rsidRDefault="00060E34">
            <w:pPr>
              <w:tabs>
                <w:tab w:val="clear" w:pos="567"/>
              </w:tabs>
              <w:kinsoku w:val="0"/>
              <w:overflowPunct w:val="0"/>
              <w:autoSpaceDE w:val="0"/>
              <w:autoSpaceDN w:val="0"/>
              <w:adjustRightInd w:val="0"/>
              <w:spacing w:line="240" w:lineRule="auto"/>
              <w:ind w:left="99"/>
              <w:jc w:val="center"/>
            </w:pPr>
            <w:r>
              <w:t>0,1</w:t>
            </w:r>
          </w:p>
        </w:tc>
        <w:tc>
          <w:tcPr>
            <w:tcW w:w="1054" w:type="pct"/>
            <w:tcBorders>
              <w:top w:val="single" w:sz="4" w:space="0" w:color="000000"/>
              <w:left w:val="single" w:sz="4" w:space="0" w:color="000000"/>
              <w:bottom w:val="single" w:sz="4" w:space="0" w:color="000000"/>
              <w:right w:val="single" w:sz="4" w:space="0" w:color="000000"/>
            </w:tcBorders>
          </w:tcPr>
          <w:p w14:paraId="43435452" w14:textId="77777777" w:rsidR="00C04CAD" w:rsidRDefault="00060E34">
            <w:pPr>
              <w:tabs>
                <w:tab w:val="clear" w:pos="567"/>
              </w:tabs>
              <w:kinsoku w:val="0"/>
              <w:overflowPunct w:val="0"/>
              <w:autoSpaceDE w:val="0"/>
              <w:autoSpaceDN w:val="0"/>
              <w:adjustRightInd w:val="0"/>
              <w:spacing w:line="240" w:lineRule="auto"/>
              <w:ind w:left="102"/>
              <w:jc w:val="center"/>
            </w:pPr>
            <w:r>
              <w:t>2,6 (1,4; 3,8)</w:t>
            </w:r>
          </w:p>
        </w:tc>
        <w:tc>
          <w:tcPr>
            <w:tcW w:w="1114" w:type="pct"/>
            <w:tcBorders>
              <w:top w:val="single" w:sz="4" w:space="0" w:color="000000"/>
              <w:left w:val="single" w:sz="4" w:space="0" w:color="000000"/>
              <w:bottom w:val="single" w:sz="4" w:space="0" w:color="000000"/>
              <w:right w:val="single" w:sz="4" w:space="0" w:color="000000"/>
            </w:tcBorders>
          </w:tcPr>
          <w:p w14:paraId="0906A6F5" w14:textId="77777777" w:rsidR="00C04CAD" w:rsidRDefault="00060E34">
            <w:pPr>
              <w:tabs>
                <w:tab w:val="clear" w:pos="567"/>
              </w:tabs>
              <w:kinsoku w:val="0"/>
              <w:overflowPunct w:val="0"/>
              <w:autoSpaceDE w:val="0"/>
              <w:autoSpaceDN w:val="0"/>
              <w:adjustRightInd w:val="0"/>
              <w:spacing w:line="240" w:lineRule="auto"/>
              <w:ind w:left="102"/>
              <w:jc w:val="center"/>
            </w:pPr>
            <w:r>
              <w:t>&lt;0,001</w:t>
            </w:r>
            <w:r>
              <w:rPr>
                <w:vertAlign w:val="superscript"/>
              </w:rPr>
              <w:t>c</w:t>
            </w:r>
          </w:p>
        </w:tc>
      </w:tr>
      <w:tr w:rsidR="00C04CAD" w14:paraId="1B29884F" w14:textId="77777777">
        <w:trPr>
          <w:trHeight w:hRule="exact" w:val="262"/>
        </w:trPr>
        <w:tc>
          <w:tcPr>
            <w:tcW w:w="1136" w:type="pct"/>
            <w:tcBorders>
              <w:top w:val="single" w:sz="4" w:space="0" w:color="000000"/>
              <w:left w:val="single" w:sz="4" w:space="0" w:color="000000"/>
              <w:bottom w:val="single" w:sz="4" w:space="0" w:color="000000"/>
              <w:right w:val="single" w:sz="4" w:space="0" w:color="000000"/>
            </w:tcBorders>
          </w:tcPr>
          <w:p w14:paraId="2B754E45" w14:textId="77777777" w:rsidR="00C04CAD" w:rsidRDefault="00060E34">
            <w:pPr>
              <w:tabs>
                <w:tab w:val="clear" w:pos="567"/>
              </w:tabs>
              <w:kinsoku w:val="0"/>
              <w:overflowPunct w:val="0"/>
              <w:autoSpaceDE w:val="0"/>
              <w:autoSpaceDN w:val="0"/>
              <w:adjustRightInd w:val="0"/>
              <w:spacing w:line="240" w:lineRule="auto"/>
              <w:ind w:left="102"/>
            </w:pPr>
            <w:r>
              <w:t>Scor de uzură</w:t>
            </w:r>
          </w:p>
        </w:tc>
        <w:tc>
          <w:tcPr>
            <w:tcW w:w="748" w:type="pct"/>
            <w:tcBorders>
              <w:top w:val="single" w:sz="4" w:space="0" w:color="000000"/>
              <w:left w:val="single" w:sz="4" w:space="0" w:color="000000"/>
              <w:bottom w:val="single" w:sz="4" w:space="0" w:color="000000"/>
              <w:right w:val="single" w:sz="4" w:space="0" w:color="000000"/>
            </w:tcBorders>
          </w:tcPr>
          <w:p w14:paraId="4E4877EB" w14:textId="77777777" w:rsidR="00C04CAD" w:rsidRDefault="00060E34">
            <w:pPr>
              <w:tabs>
                <w:tab w:val="clear" w:pos="567"/>
              </w:tabs>
              <w:kinsoku w:val="0"/>
              <w:overflowPunct w:val="0"/>
              <w:autoSpaceDE w:val="0"/>
              <w:autoSpaceDN w:val="0"/>
              <w:adjustRightInd w:val="0"/>
              <w:spacing w:line="240" w:lineRule="auto"/>
              <w:ind w:left="99"/>
              <w:jc w:val="center"/>
            </w:pPr>
            <w:r>
              <w:t>1,6</w:t>
            </w:r>
          </w:p>
        </w:tc>
        <w:tc>
          <w:tcPr>
            <w:tcW w:w="947" w:type="pct"/>
            <w:tcBorders>
              <w:top w:val="single" w:sz="4" w:space="0" w:color="000000"/>
              <w:left w:val="single" w:sz="4" w:space="0" w:color="000000"/>
              <w:bottom w:val="single" w:sz="4" w:space="0" w:color="000000"/>
              <w:right w:val="single" w:sz="4" w:space="0" w:color="000000"/>
            </w:tcBorders>
          </w:tcPr>
          <w:p w14:paraId="4D2D5DD1" w14:textId="77777777" w:rsidR="00C04CAD" w:rsidRDefault="00060E34">
            <w:pPr>
              <w:tabs>
                <w:tab w:val="clear" w:pos="567"/>
              </w:tabs>
              <w:kinsoku w:val="0"/>
              <w:overflowPunct w:val="0"/>
              <w:autoSpaceDE w:val="0"/>
              <w:autoSpaceDN w:val="0"/>
              <w:adjustRightInd w:val="0"/>
              <w:spacing w:line="240" w:lineRule="auto"/>
              <w:ind w:left="99"/>
              <w:jc w:val="center"/>
            </w:pPr>
            <w:r>
              <w:t>0,0</w:t>
            </w:r>
          </w:p>
        </w:tc>
        <w:tc>
          <w:tcPr>
            <w:tcW w:w="1054" w:type="pct"/>
            <w:tcBorders>
              <w:top w:val="single" w:sz="4" w:space="0" w:color="000000"/>
              <w:left w:val="single" w:sz="4" w:space="0" w:color="000000"/>
              <w:bottom w:val="single" w:sz="4" w:space="0" w:color="000000"/>
              <w:right w:val="single" w:sz="4" w:space="0" w:color="000000"/>
            </w:tcBorders>
          </w:tcPr>
          <w:p w14:paraId="607506E5" w14:textId="77777777" w:rsidR="00C04CAD" w:rsidRDefault="00060E34">
            <w:pPr>
              <w:tabs>
                <w:tab w:val="clear" w:pos="567"/>
              </w:tabs>
              <w:kinsoku w:val="0"/>
              <w:overflowPunct w:val="0"/>
              <w:autoSpaceDE w:val="0"/>
              <w:autoSpaceDN w:val="0"/>
              <w:adjustRightInd w:val="0"/>
              <w:spacing w:line="240" w:lineRule="auto"/>
              <w:ind w:left="102"/>
              <w:jc w:val="center"/>
            </w:pPr>
            <w:r>
              <w:t>1,6 (0,9; 2,2)</w:t>
            </w:r>
          </w:p>
        </w:tc>
        <w:tc>
          <w:tcPr>
            <w:tcW w:w="1114" w:type="pct"/>
            <w:tcBorders>
              <w:top w:val="single" w:sz="4" w:space="0" w:color="000000"/>
              <w:left w:val="single" w:sz="4" w:space="0" w:color="000000"/>
              <w:bottom w:val="single" w:sz="4" w:space="0" w:color="000000"/>
              <w:right w:val="single" w:sz="4" w:space="0" w:color="000000"/>
            </w:tcBorders>
          </w:tcPr>
          <w:p w14:paraId="04967595" w14:textId="77777777" w:rsidR="00C04CAD" w:rsidRDefault="00060E34">
            <w:pPr>
              <w:tabs>
                <w:tab w:val="clear" w:pos="567"/>
              </w:tabs>
              <w:kinsoku w:val="0"/>
              <w:overflowPunct w:val="0"/>
              <w:autoSpaceDE w:val="0"/>
              <w:autoSpaceDN w:val="0"/>
              <w:adjustRightInd w:val="0"/>
              <w:spacing w:line="240" w:lineRule="auto"/>
              <w:ind w:left="102"/>
              <w:jc w:val="center"/>
            </w:pPr>
            <w:r>
              <w:t>&lt;0,001</w:t>
            </w:r>
          </w:p>
        </w:tc>
      </w:tr>
      <w:tr w:rsidR="00C04CAD" w14:paraId="22134EC4" w14:textId="77777777">
        <w:trPr>
          <w:trHeight w:hRule="exact" w:val="264"/>
        </w:trPr>
        <w:tc>
          <w:tcPr>
            <w:tcW w:w="1136" w:type="pct"/>
            <w:tcBorders>
              <w:top w:val="single" w:sz="4" w:space="0" w:color="000000"/>
              <w:left w:val="single" w:sz="4" w:space="0" w:color="000000"/>
              <w:bottom w:val="single" w:sz="4" w:space="0" w:color="000000"/>
              <w:right w:val="single" w:sz="4" w:space="0" w:color="000000"/>
            </w:tcBorders>
          </w:tcPr>
          <w:p w14:paraId="235EF480" w14:textId="77777777" w:rsidR="00C04CAD" w:rsidRDefault="00060E34">
            <w:pPr>
              <w:tabs>
                <w:tab w:val="clear" w:pos="567"/>
              </w:tabs>
              <w:kinsoku w:val="0"/>
              <w:overflowPunct w:val="0"/>
              <w:autoSpaceDE w:val="0"/>
              <w:autoSpaceDN w:val="0"/>
              <w:adjustRightInd w:val="0"/>
              <w:spacing w:line="240" w:lineRule="auto"/>
              <w:ind w:left="102"/>
            </w:pPr>
            <w:r>
              <w:t>Scor JSN</w:t>
            </w:r>
            <w:r>
              <w:rPr>
                <w:vertAlign w:val="superscript"/>
              </w:rPr>
              <w:t>d</w:t>
            </w:r>
          </w:p>
        </w:tc>
        <w:tc>
          <w:tcPr>
            <w:tcW w:w="748" w:type="pct"/>
            <w:tcBorders>
              <w:top w:val="single" w:sz="4" w:space="0" w:color="000000"/>
              <w:left w:val="single" w:sz="4" w:space="0" w:color="000000"/>
              <w:bottom w:val="single" w:sz="4" w:space="0" w:color="000000"/>
              <w:right w:val="single" w:sz="4" w:space="0" w:color="000000"/>
            </w:tcBorders>
          </w:tcPr>
          <w:p w14:paraId="0CD69604" w14:textId="77777777" w:rsidR="00C04CAD" w:rsidRDefault="00060E34">
            <w:pPr>
              <w:tabs>
                <w:tab w:val="clear" w:pos="567"/>
              </w:tabs>
              <w:kinsoku w:val="0"/>
              <w:overflowPunct w:val="0"/>
              <w:autoSpaceDE w:val="0"/>
              <w:autoSpaceDN w:val="0"/>
              <w:adjustRightInd w:val="0"/>
              <w:spacing w:line="240" w:lineRule="auto"/>
              <w:ind w:left="99"/>
              <w:jc w:val="center"/>
            </w:pPr>
            <w:r>
              <w:t>1,0</w:t>
            </w:r>
          </w:p>
        </w:tc>
        <w:tc>
          <w:tcPr>
            <w:tcW w:w="947" w:type="pct"/>
            <w:tcBorders>
              <w:top w:val="single" w:sz="4" w:space="0" w:color="000000"/>
              <w:left w:val="single" w:sz="4" w:space="0" w:color="000000"/>
              <w:bottom w:val="single" w:sz="4" w:space="0" w:color="000000"/>
              <w:right w:val="single" w:sz="4" w:space="0" w:color="000000"/>
            </w:tcBorders>
          </w:tcPr>
          <w:p w14:paraId="1F45BDD2" w14:textId="77777777" w:rsidR="00C04CAD" w:rsidRDefault="00060E34">
            <w:pPr>
              <w:tabs>
                <w:tab w:val="clear" w:pos="567"/>
              </w:tabs>
              <w:kinsoku w:val="0"/>
              <w:overflowPunct w:val="0"/>
              <w:autoSpaceDE w:val="0"/>
              <w:autoSpaceDN w:val="0"/>
              <w:adjustRightInd w:val="0"/>
              <w:spacing w:line="240" w:lineRule="auto"/>
              <w:ind w:left="99"/>
              <w:jc w:val="center"/>
            </w:pPr>
            <w:r>
              <w:t>0,1</w:t>
            </w:r>
          </w:p>
        </w:tc>
        <w:tc>
          <w:tcPr>
            <w:tcW w:w="1054" w:type="pct"/>
            <w:tcBorders>
              <w:top w:val="single" w:sz="4" w:space="0" w:color="000000"/>
              <w:left w:val="single" w:sz="4" w:space="0" w:color="000000"/>
              <w:bottom w:val="single" w:sz="4" w:space="0" w:color="000000"/>
              <w:right w:val="single" w:sz="4" w:space="0" w:color="000000"/>
            </w:tcBorders>
          </w:tcPr>
          <w:p w14:paraId="518FD4C4" w14:textId="77777777" w:rsidR="00C04CAD" w:rsidRDefault="00060E34">
            <w:pPr>
              <w:tabs>
                <w:tab w:val="clear" w:pos="567"/>
              </w:tabs>
              <w:kinsoku w:val="0"/>
              <w:overflowPunct w:val="0"/>
              <w:autoSpaceDE w:val="0"/>
              <w:autoSpaceDN w:val="0"/>
              <w:adjustRightInd w:val="0"/>
              <w:spacing w:line="240" w:lineRule="auto"/>
              <w:ind w:left="102"/>
              <w:jc w:val="center"/>
            </w:pPr>
            <w:r>
              <w:t>0,9 (0,3; 1,4)</w:t>
            </w:r>
          </w:p>
        </w:tc>
        <w:tc>
          <w:tcPr>
            <w:tcW w:w="1114" w:type="pct"/>
            <w:tcBorders>
              <w:top w:val="single" w:sz="4" w:space="0" w:color="000000"/>
              <w:left w:val="single" w:sz="4" w:space="0" w:color="000000"/>
              <w:bottom w:val="single" w:sz="4" w:space="0" w:color="000000"/>
              <w:right w:val="single" w:sz="4" w:space="0" w:color="000000"/>
            </w:tcBorders>
          </w:tcPr>
          <w:p w14:paraId="15E234E1" w14:textId="77777777" w:rsidR="00C04CAD" w:rsidRDefault="00060E34">
            <w:pPr>
              <w:tabs>
                <w:tab w:val="clear" w:pos="567"/>
              </w:tabs>
              <w:kinsoku w:val="0"/>
              <w:overflowPunct w:val="0"/>
              <w:autoSpaceDE w:val="0"/>
              <w:autoSpaceDN w:val="0"/>
              <w:adjustRightInd w:val="0"/>
              <w:spacing w:line="240" w:lineRule="auto"/>
              <w:ind w:left="102"/>
              <w:jc w:val="center"/>
            </w:pPr>
            <w:r>
              <w:t>0,002</w:t>
            </w:r>
          </w:p>
        </w:tc>
      </w:tr>
    </w:tbl>
    <w:p w14:paraId="59C1836D"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Metotrexat</w:t>
      </w:r>
    </w:p>
    <w:p w14:paraId="6FDBDEB6"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Intervale de </w:t>
      </w:r>
      <w:r>
        <w:rPr>
          <w:rFonts w:eastAsia="MS Mincho"/>
          <w:sz w:val="20"/>
          <w:lang w:eastAsia="en-US" w:bidi="ar-SA"/>
        </w:rPr>
        <w:t>încredere</w:t>
      </w:r>
      <w:r>
        <w:rPr>
          <w:sz w:val="20"/>
        </w:rPr>
        <w:t xml:space="preserve"> de 95% pentru diferenţele de modificare a scorurilor între metotrexat şi </w:t>
      </w:r>
      <w:r>
        <w:rPr>
          <w:rFonts w:eastAsia="MS Mincho"/>
          <w:sz w:val="20"/>
          <w:lang w:eastAsia="en-US" w:bidi="ar-SA"/>
        </w:rPr>
        <w:t>adalimumab</w:t>
      </w:r>
      <w:r>
        <w:rPr>
          <w:sz w:val="20"/>
        </w:rPr>
        <w:t>.</w:t>
      </w:r>
    </w:p>
    <w:p w14:paraId="60FBDE75"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c</w:t>
      </w:r>
      <w:r>
        <w:rPr>
          <w:sz w:val="20"/>
        </w:rPr>
        <w:t xml:space="preserve"> Pe baza analizei scorurilor</w:t>
      </w:r>
    </w:p>
    <w:p w14:paraId="39920F89"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d</w:t>
      </w:r>
      <w:r>
        <w:rPr>
          <w:sz w:val="20"/>
        </w:rPr>
        <w:t xml:space="preserve"> Îngustarea spaţiului articular</w:t>
      </w:r>
    </w:p>
    <w:p w14:paraId="336ADD3A" w14:textId="77777777" w:rsidR="00C04CAD" w:rsidRDefault="00C04CAD">
      <w:pPr>
        <w:autoSpaceDE w:val="0"/>
        <w:autoSpaceDN w:val="0"/>
        <w:adjustRightInd w:val="0"/>
        <w:spacing w:line="240" w:lineRule="auto"/>
      </w:pPr>
    </w:p>
    <w:p w14:paraId="25B5C779" w14:textId="77777777" w:rsidR="00C04CAD" w:rsidRDefault="00060E34">
      <w:pPr>
        <w:autoSpaceDE w:val="0"/>
        <w:autoSpaceDN w:val="0"/>
        <w:adjustRightInd w:val="0"/>
        <w:spacing w:line="240" w:lineRule="auto"/>
      </w:pPr>
      <w:r>
        <w:t>În studiul PR V, distrucţia structurală a articulaţiilor a fost evaluată radiologic şi a fost formulată ca schimbare în Scorul Sharp Total (vezi tabelul 11).</w:t>
      </w:r>
    </w:p>
    <w:p w14:paraId="49B238C9" w14:textId="77777777" w:rsidR="00C04CAD" w:rsidRDefault="00C04CAD">
      <w:pPr>
        <w:autoSpaceDE w:val="0"/>
        <w:autoSpaceDN w:val="0"/>
        <w:adjustRightInd w:val="0"/>
        <w:spacing w:line="240" w:lineRule="auto"/>
      </w:pPr>
    </w:p>
    <w:p w14:paraId="553949F7" w14:textId="77777777" w:rsidR="00C04CAD" w:rsidRDefault="00060E34">
      <w:pPr>
        <w:keepNext/>
        <w:autoSpaceDE w:val="0"/>
        <w:autoSpaceDN w:val="0"/>
        <w:adjustRightInd w:val="0"/>
        <w:spacing w:line="240" w:lineRule="auto"/>
        <w:rPr>
          <w:b/>
        </w:rPr>
      </w:pPr>
      <w:r>
        <w:rPr>
          <w:b/>
        </w:rPr>
        <w:t>Tabelu</w:t>
      </w:r>
      <w:r>
        <w:rPr>
          <w:b/>
          <w:bCs/>
        </w:rPr>
        <w:t xml:space="preserve">l 11. </w:t>
      </w:r>
      <w:r>
        <w:rPr>
          <w:b/>
        </w:rPr>
        <w:t>Modificări medii radiografice în săptămâna 52, în cadrul Studiului PR V</w:t>
      </w:r>
    </w:p>
    <w:p w14:paraId="11D7657F" w14:textId="77777777" w:rsidR="00C04CAD" w:rsidRDefault="00C04CAD">
      <w:pPr>
        <w:keepNext/>
        <w:autoSpaceDE w:val="0"/>
        <w:autoSpaceDN w:val="0"/>
        <w:adjustRightInd w:val="0"/>
        <w:spacing w:line="240" w:lineRule="auto"/>
      </w:pPr>
    </w:p>
    <w:tbl>
      <w:tblPr>
        <w:tblW w:w="5076" w:type="pct"/>
        <w:tblLayout w:type="fixed"/>
        <w:tblCellMar>
          <w:left w:w="0" w:type="dxa"/>
          <w:right w:w="0" w:type="dxa"/>
        </w:tblCellMar>
        <w:tblLook w:val="04A0" w:firstRow="1" w:lastRow="0" w:firstColumn="1" w:lastColumn="0" w:noHBand="0" w:noVBand="1"/>
      </w:tblPr>
      <w:tblGrid>
        <w:gridCol w:w="1456"/>
        <w:gridCol w:w="1503"/>
        <w:gridCol w:w="1490"/>
        <w:gridCol w:w="1641"/>
        <w:gridCol w:w="955"/>
        <w:gridCol w:w="903"/>
        <w:gridCol w:w="1251"/>
      </w:tblGrid>
      <w:tr w:rsidR="00C04CAD" w14:paraId="4B939290" w14:textId="77777777">
        <w:trPr>
          <w:trHeight w:hRule="exact" w:val="1134"/>
        </w:trPr>
        <w:tc>
          <w:tcPr>
            <w:tcW w:w="791" w:type="pct"/>
            <w:tcBorders>
              <w:top w:val="single" w:sz="4" w:space="0" w:color="000000"/>
              <w:left w:val="single" w:sz="4" w:space="0" w:color="000000"/>
              <w:bottom w:val="single" w:sz="4" w:space="0" w:color="000000"/>
              <w:right w:val="single" w:sz="4" w:space="0" w:color="000000"/>
            </w:tcBorders>
          </w:tcPr>
          <w:p w14:paraId="0F5D67AC" w14:textId="77777777" w:rsidR="00C04CAD" w:rsidRDefault="00C04CAD">
            <w:pPr>
              <w:keepNext/>
              <w:tabs>
                <w:tab w:val="clear" w:pos="567"/>
              </w:tabs>
              <w:autoSpaceDE w:val="0"/>
              <w:autoSpaceDN w:val="0"/>
              <w:adjustRightInd w:val="0"/>
              <w:spacing w:line="240" w:lineRule="auto"/>
              <w:rPr>
                <w:sz w:val="24"/>
              </w:rPr>
            </w:pPr>
          </w:p>
        </w:tc>
        <w:tc>
          <w:tcPr>
            <w:tcW w:w="817" w:type="pct"/>
            <w:tcBorders>
              <w:top w:val="single" w:sz="4" w:space="0" w:color="000000"/>
              <w:left w:val="single" w:sz="4" w:space="0" w:color="000000"/>
              <w:bottom w:val="single" w:sz="4" w:space="0" w:color="000000"/>
              <w:right w:val="single" w:sz="4" w:space="0" w:color="000000"/>
            </w:tcBorders>
          </w:tcPr>
          <w:p w14:paraId="0D5EDD3F"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zCs w:val="22"/>
              </w:rPr>
              <w:t>MTX</w:t>
            </w:r>
          </w:p>
          <w:p w14:paraId="0B5A705D"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zCs w:val="22"/>
              </w:rPr>
              <w:t>n=257</w:t>
            </w:r>
          </w:p>
          <w:p w14:paraId="27955549"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zCs w:val="22"/>
              </w:rPr>
              <w:t xml:space="preserve">(95% interval de </w:t>
            </w:r>
            <w:r>
              <w:rPr>
                <w:rFonts w:eastAsia="MS Mincho"/>
                <w:b/>
                <w:szCs w:val="22"/>
                <w:lang w:eastAsia="en-US" w:bidi="ar-SA"/>
              </w:rPr>
              <w:t>î</w:t>
            </w:r>
            <w:r>
              <w:rPr>
                <w:rFonts w:eastAsia="MS Mincho"/>
                <w:b/>
                <w:bCs/>
                <w:szCs w:val="22"/>
                <w:lang w:eastAsia="en-US" w:bidi="ar-SA"/>
              </w:rPr>
              <w:t>ncredere</w:t>
            </w:r>
            <w:r>
              <w:rPr>
                <w:b/>
                <w:szCs w:val="22"/>
              </w:rPr>
              <w:t>)</w:t>
            </w:r>
          </w:p>
        </w:tc>
        <w:tc>
          <w:tcPr>
            <w:tcW w:w="810" w:type="pct"/>
            <w:tcBorders>
              <w:top w:val="single" w:sz="4" w:space="0" w:color="000000"/>
              <w:left w:val="single" w:sz="4" w:space="0" w:color="000000"/>
              <w:bottom w:val="single" w:sz="4" w:space="0" w:color="000000"/>
              <w:right w:val="single" w:sz="4" w:space="0" w:color="000000"/>
            </w:tcBorders>
          </w:tcPr>
          <w:p w14:paraId="26F59F86" w14:textId="77777777" w:rsidR="00C04CAD" w:rsidRDefault="00060E34">
            <w:pPr>
              <w:keepNext/>
              <w:tabs>
                <w:tab w:val="clear" w:pos="567"/>
              </w:tabs>
              <w:kinsoku w:val="0"/>
              <w:overflowPunct w:val="0"/>
              <w:autoSpaceDE w:val="0"/>
              <w:autoSpaceDN w:val="0"/>
              <w:adjustRightInd w:val="0"/>
              <w:spacing w:line="240" w:lineRule="auto"/>
              <w:ind w:left="99"/>
              <w:jc w:val="center"/>
              <w:rPr>
                <w:rFonts w:eastAsia="MS Mincho"/>
                <w:szCs w:val="22"/>
                <w:lang w:eastAsia="en-US" w:bidi="ar-SA"/>
              </w:rPr>
            </w:pPr>
            <w:r>
              <w:rPr>
                <w:rFonts w:eastAsia="MS Mincho"/>
                <w:b/>
                <w:szCs w:val="22"/>
                <w:lang w:eastAsia="en-US" w:bidi="ar-SA"/>
              </w:rPr>
              <w:t>Adalimumab</w:t>
            </w:r>
          </w:p>
          <w:p w14:paraId="37F58E87" w14:textId="77777777" w:rsidR="00C04CAD" w:rsidRDefault="00060E34">
            <w:pPr>
              <w:keepNext/>
              <w:tabs>
                <w:tab w:val="clear" w:pos="567"/>
              </w:tabs>
              <w:kinsoku w:val="0"/>
              <w:overflowPunct w:val="0"/>
              <w:autoSpaceDE w:val="0"/>
              <w:autoSpaceDN w:val="0"/>
              <w:adjustRightInd w:val="0"/>
              <w:spacing w:line="240" w:lineRule="auto"/>
              <w:ind w:left="99"/>
              <w:jc w:val="center"/>
              <w:rPr>
                <w:szCs w:val="22"/>
              </w:rPr>
            </w:pPr>
            <w:r>
              <w:rPr>
                <w:b/>
                <w:szCs w:val="22"/>
              </w:rPr>
              <w:t>n=274</w:t>
            </w:r>
          </w:p>
          <w:p w14:paraId="6269A962" w14:textId="77777777" w:rsidR="00C04CAD" w:rsidRDefault="00060E34">
            <w:pPr>
              <w:keepNext/>
              <w:tabs>
                <w:tab w:val="clear" w:pos="567"/>
              </w:tabs>
              <w:kinsoku w:val="0"/>
              <w:overflowPunct w:val="0"/>
              <w:autoSpaceDE w:val="0"/>
              <w:autoSpaceDN w:val="0"/>
              <w:adjustRightInd w:val="0"/>
              <w:spacing w:line="240" w:lineRule="auto"/>
              <w:ind w:left="99"/>
              <w:jc w:val="center"/>
            </w:pPr>
            <w:r>
              <w:rPr>
                <w:b/>
                <w:szCs w:val="22"/>
              </w:rPr>
              <w:t xml:space="preserve">(95% interval de </w:t>
            </w:r>
            <w:r>
              <w:rPr>
                <w:rFonts w:eastAsia="MS Mincho"/>
                <w:b/>
                <w:szCs w:val="22"/>
                <w:lang w:eastAsia="en-US" w:bidi="ar-SA"/>
              </w:rPr>
              <w:t>î</w:t>
            </w:r>
            <w:r>
              <w:rPr>
                <w:rFonts w:eastAsia="MS Mincho"/>
                <w:b/>
                <w:bCs/>
                <w:szCs w:val="22"/>
                <w:lang w:eastAsia="en-US" w:bidi="ar-SA"/>
              </w:rPr>
              <w:t>ncredere</w:t>
            </w:r>
            <w:r>
              <w:rPr>
                <w:b/>
                <w:szCs w:val="22"/>
              </w:rPr>
              <w:t>)</w:t>
            </w:r>
          </w:p>
        </w:tc>
        <w:tc>
          <w:tcPr>
            <w:tcW w:w="892" w:type="pct"/>
            <w:tcBorders>
              <w:top w:val="single" w:sz="4" w:space="0" w:color="000000"/>
              <w:left w:val="single" w:sz="4" w:space="0" w:color="000000"/>
              <w:bottom w:val="single" w:sz="4" w:space="0" w:color="000000"/>
              <w:right w:val="single" w:sz="4" w:space="0" w:color="000000"/>
            </w:tcBorders>
          </w:tcPr>
          <w:p w14:paraId="0A93F45D"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rFonts w:eastAsia="MS Mincho"/>
                <w:b/>
                <w:szCs w:val="22"/>
                <w:lang w:eastAsia="en-US" w:bidi="ar-SA"/>
              </w:rPr>
              <w:t>Adalimumab</w:t>
            </w:r>
            <w:r>
              <w:rPr>
                <w:b/>
                <w:szCs w:val="22"/>
              </w:rPr>
              <w:t>/</w:t>
            </w:r>
          </w:p>
          <w:p w14:paraId="69124C81" w14:textId="77777777" w:rsidR="00C04CAD" w:rsidRDefault="00060E34">
            <w:pPr>
              <w:keepNext/>
              <w:tabs>
                <w:tab w:val="clear" w:pos="567"/>
              </w:tabs>
              <w:kinsoku w:val="0"/>
              <w:overflowPunct w:val="0"/>
              <w:autoSpaceDE w:val="0"/>
              <w:autoSpaceDN w:val="0"/>
              <w:adjustRightInd w:val="0"/>
              <w:spacing w:line="240" w:lineRule="auto"/>
              <w:ind w:left="102"/>
              <w:jc w:val="center"/>
              <w:rPr>
                <w:szCs w:val="22"/>
              </w:rPr>
            </w:pPr>
            <w:r>
              <w:rPr>
                <w:b/>
                <w:szCs w:val="22"/>
              </w:rPr>
              <w:t>MTX n=268</w:t>
            </w:r>
          </w:p>
          <w:p w14:paraId="7E0DDDF5" w14:textId="77777777" w:rsidR="00C04CAD" w:rsidRDefault="00060E34">
            <w:pPr>
              <w:keepNext/>
              <w:tabs>
                <w:tab w:val="clear" w:pos="567"/>
              </w:tabs>
              <w:kinsoku w:val="0"/>
              <w:overflowPunct w:val="0"/>
              <w:autoSpaceDE w:val="0"/>
              <w:autoSpaceDN w:val="0"/>
              <w:adjustRightInd w:val="0"/>
              <w:spacing w:line="240" w:lineRule="auto"/>
              <w:ind w:left="102"/>
              <w:jc w:val="center"/>
            </w:pPr>
            <w:r>
              <w:rPr>
                <w:b/>
                <w:szCs w:val="22"/>
              </w:rPr>
              <w:t>(</w:t>
            </w:r>
            <w:r>
              <w:rPr>
                <w:rFonts w:eastAsia="MS Mincho"/>
                <w:b/>
                <w:bCs/>
                <w:szCs w:val="22"/>
                <w:lang w:eastAsia="en-US" w:bidi="ar-SA"/>
              </w:rPr>
              <w:t>Interval</w:t>
            </w:r>
            <w:r>
              <w:rPr>
                <w:b/>
                <w:szCs w:val="22"/>
              </w:rPr>
              <w:t xml:space="preserve"> de </w:t>
            </w:r>
            <w:r>
              <w:rPr>
                <w:rFonts w:eastAsia="MS Mincho"/>
                <w:b/>
                <w:szCs w:val="22"/>
                <w:lang w:eastAsia="en-US" w:bidi="ar-SA"/>
              </w:rPr>
              <w:t>î</w:t>
            </w:r>
            <w:r>
              <w:rPr>
                <w:rFonts w:eastAsia="MS Mincho"/>
                <w:b/>
                <w:bCs/>
                <w:szCs w:val="22"/>
                <w:lang w:eastAsia="en-US" w:bidi="ar-SA"/>
              </w:rPr>
              <w:t>ncredere 95%</w:t>
            </w:r>
            <w:r>
              <w:rPr>
                <w:b/>
              </w:rPr>
              <w:t>)</w:t>
            </w:r>
          </w:p>
        </w:tc>
        <w:tc>
          <w:tcPr>
            <w:tcW w:w="519" w:type="pct"/>
            <w:tcBorders>
              <w:top w:val="single" w:sz="4" w:space="0" w:color="000000"/>
              <w:left w:val="single" w:sz="4" w:space="0" w:color="000000"/>
              <w:bottom w:val="single" w:sz="4" w:space="0" w:color="000000"/>
              <w:right w:val="single" w:sz="4" w:space="0" w:color="000000"/>
            </w:tcBorders>
          </w:tcPr>
          <w:p w14:paraId="7508EBD3" w14:textId="77777777" w:rsidR="00C04CAD" w:rsidRDefault="00060E34">
            <w:pPr>
              <w:keepNext/>
              <w:tabs>
                <w:tab w:val="clear" w:pos="567"/>
              </w:tabs>
              <w:kinsoku w:val="0"/>
              <w:overflowPunct w:val="0"/>
              <w:autoSpaceDE w:val="0"/>
              <w:autoSpaceDN w:val="0"/>
              <w:adjustRightInd w:val="0"/>
              <w:spacing w:line="240" w:lineRule="auto"/>
              <w:ind w:left="102" w:right="98"/>
              <w:jc w:val="center"/>
            </w:pPr>
            <w:r>
              <w:rPr>
                <w:b/>
              </w:rPr>
              <w:t>valoare p-</w:t>
            </w:r>
            <w:r>
              <w:rPr>
                <w:b/>
                <w:vertAlign w:val="superscript"/>
              </w:rPr>
              <w:t>a</w:t>
            </w:r>
          </w:p>
        </w:tc>
        <w:tc>
          <w:tcPr>
            <w:tcW w:w="491" w:type="pct"/>
            <w:tcBorders>
              <w:top w:val="single" w:sz="4" w:space="0" w:color="000000"/>
              <w:left w:val="single" w:sz="4" w:space="0" w:color="000000"/>
              <w:bottom w:val="single" w:sz="4" w:space="0" w:color="000000"/>
              <w:right w:val="single" w:sz="4" w:space="0" w:color="000000"/>
            </w:tcBorders>
          </w:tcPr>
          <w:p w14:paraId="724BE62D" w14:textId="77777777" w:rsidR="00C04CAD" w:rsidRDefault="00060E34">
            <w:pPr>
              <w:keepNext/>
              <w:tabs>
                <w:tab w:val="clear" w:pos="567"/>
              </w:tabs>
              <w:kinsoku w:val="0"/>
              <w:overflowPunct w:val="0"/>
              <w:autoSpaceDE w:val="0"/>
              <w:autoSpaceDN w:val="0"/>
              <w:adjustRightInd w:val="0"/>
              <w:spacing w:line="240" w:lineRule="auto"/>
              <w:ind w:left="102" w:right="6"/>
              <w:jc w:val="center"/>
            </w:pPr>
            <w:r>
              <w:rPr>
                <w:b/>
              </w:rPr>
              <w:t>valoare p-</w:t>
            </w:r>
            <w:r>
              <w:rPr>
                <w:b/>
                <w:vertAlign w:val="superscript"/>
              </w:rPr>
              <w:t>b</w:t>
            </w:r>
          </w:p>
        </w:tc>
        <w:tc>
          <w:tcPr>
            <w:tcW w:w="679" w:type="pct"/>
            <w:tcBorders>
              <w:top w:val="single" w:sz="4" w:space="0" w:color="000000"/>
              <w:left w:val="single" w:sz="4" w:space="0" w:color="000000"/>
              <w:bottom w:val="single" w:sz="4" w:space="0" w:color="000000"/>
              <w:right w:val="single" w:sz="4" w:space="0" w:color="000000"/>
            </w:tcBorders>
          </w:tcPr>
          <w:p w14:paraId="64CA352C" w14:textId="77777777" w:rsidR="00C04CAD" w:rsidRDefault="00060E34">
            <w:pPr>
              <w:keepNext/>
              <w:tabs>
                <w:tab w:val="clear" w:pos="567"/>
              </w:tabs>
              <w:kinsoku w:val="0"/>
              <w:overflowPunct w:val="0"/>
              <w:autoSpaceDE w:val="0"/>
              <w:autoSpaceDN w:val="0"/>
              <w:adjustRightInd w:val="0"/>
              <w:spacing w:line="240" w:lineRule="auto"/>
              <w:ind w:left="99"/>
              <w:jc w:val="center"/>
              <w:rPr>
                <w:b/>
              </w:rPr>
            </w:pPr>
            <w:r>
              <w:rPr>
                <w:b/>
              </w:rPr>
              <w:t>valoare</w:t>
            </w:r>
          </w:p>
          <w:p w14:paraId="3C66B752" w14:textId="77777777" w:rsidR="00C04CAD" w:rsidRDefault="00060E34">
            <w:pPr>
              <w:keepNext/>
              <w:tabs>
                <w:tab w:val="clear" w:pos="567"/>
              </w:tabs>
              <w:kinsoku w:val="0"/>
              <w:overflowPunct w:val="0"/>
              <w:autoSpaceDE w:val="0"/>
              <w:autoSpaceDN w:val="0"/>
              <w:adjustRightInd w:val="0"/>
              <w:spacing w:line="240" w:lineRule="auto"/>
              <w:ind w:left="99"/>
              <w:jc w:val="center"/>
            </w:pPr>
            <w:r>
              <w:rPr>
                <w:b/>
              </w:rPr>
              <w:t>p-</w:t>
            </w:r>
            <w:r>
              <w:rPr>
                <w:b/>
                <w:vertAlign w:val="superscript"/>
              </w:rPr>
              <w:t>c</w:t>
            </w:r>
          </w:p>
        </w:tc>
      </w:tr>
      <w:tr w:rsidR="00C04CAD" w14:paraId="5645DA3A" w14:textId="77777777">
        <w:trPr>
          <w:trHeight w:hRule="exact" w:val="495"/>
        </w:trPr>
        <w:tc>
          <w:tcPr>
            <w:tcW w:w="791" w:type="pct"/>
            <w:tcBorders>
              <w:top w:val="single" w:sz="4" w:space="0" w:color="000000"/>
              <w:left w:val="single" w:sz="4" w:space="0" w:color="000000"/>
              <w:bottom w:val="single" w:sz="4" w:space="0" w:color="000000"/>
              <w:right w:val="single" w:sz="4" w:space="0" w:color="000000"/>
            </w:tcBorders>
          </w:tcPr>
          <w:p w14:paraId="776A8CFB" w14:textId="77777777" w:rsidR="00C04CAD" w:rsidRDefault="00060E34">
            <w:pPr>
              <w:keepNext/>
              <w:tabs>
                <w:tab w:val="clear" w:pos="567"/>
              </w:tabs>
              <w:kinsoku w:val="0"/>
              <w:overflowPunct w:val="0"/>
              <w:autoSpaceDE w:val="0"/>
              <w:autoSpaceDN w:val="0"/>
              <w:adjustRightInd w:val="0"/>
              <w:spacing w:line="240" w:lineRule="auto"/>
              <w:ind w:left="102"/>
            </w:pPr>
            <w:r>
              <w:t>Scor Sharp Total</w:t>
            </w:r>
          </w:p>
        </w:tc>
        <w:tc>
          <w:tcPr>
            <w:tcW w:w="817" w:type="pct"/>
            <w:tcBorders>
              <w:top w:val="single" w:sz="4" w:space="0" w:color="000000"/>
              <w:left w:val="single" w:sz="4" w:space="0" w:color="000000"/>
              <w:bottom w:val="single" w:sz="4" w:space="0" w:color="000000"/>
              <w:right w:val="single" w:sz="4" w:space="0" w:color="000000"/>
            </w:tcBorders>
          </w:tcPr>
          <w:p w14:paraId="4DAF5DE3" w14:textId="77777777" w:rsidR="00C04CAD" w:rsidRDefault="00060E34">
            <w:pPr>
              <w:keepNext/>
              <w:tabs>
                <w:tab w:val="clear" w:pos="567"/>
              </w:tabs>
              <w:kinsoku w:val="0"/>
              <w:overflowPunct w:val="0"/>
              <w:autoSpaceDE w:val="0"/>
              <w:autoSpaceDN w:val="0"/>
              <w:adjustRightInd w:val="0"/>
              <w:spacing w:line="240" w:lineRule="auto"/>
              <w:ind w:left="102"/>
              <w:jc w:val="center"/>
            </w:pPr>
            <w:r>
              <w:t>5,7 (4,2-7,3)</w:t>
            </w:r>
          </w:p>
        </w:tc>
        <w:tc>
          <w:tcPr>
            <w:tcW w:w="810" w:type="pct"/>
            <w:tcBorders>
              <w:top w:val="single" w:sz="4" w:space="0" w:color="000000"/>
              <w:left w:val="single" w:sz="4" w:space="0" w:color="000000"/>
              <w:bottom w:val="single" w:sz="4" w:space="0" w:color="000000"/>
              <w:right w:val="single" w:sz="4" w:space="0" w:color="000000"/>
            </w:tcBorders>
          </w:tcPr>
          <w:p w14:paraId="5BB1AC19" w14:textId="77777777" w:rsidR="00C04CAD" w:rsidRDefault="00060E34">
            <w:pPr>
              <w:keepNext/>
              <w:tabs>
                <w:tab w:val="clear" w:pos="567"/>
              </w:tabs>
              <w:kinsoku w:val="0"/>
              <w:overflowPunct w:val="0"/>
              <w:autoSpaceDE w:val="0"/>
              <w:autoSpaceDN w:val="0"/>
              <w:adjustRightInd w:val="0"/>
              <w:spacing w:line="240" w:lineRule="auto"/>
              <w:ind w:left="99"/>
              <w:jc w:val="center"/>
            </w:pPr>
            <w:r>
              <w:t>3,0 (1,7-4,3)</w:t>
            </w:r>
          </w:p>
        </w:tc>
        <w:tc>
          <w:tcPr>
            <w:tcW w:w="892" w:type="pct"/>
            <w:tcBorders>
              <w:top w:val="single" w:sz="4" w:space="0" w:color="000000"/>
              <w:left w:val="single" w:sz="4" w:space="0" w:color="000000"/>
              <w:bottom w:val="single" w:sz="4" w:space="0" w:color="000000"/>
              <w:right w:val="single" w:sz="4" w:space="0" w:color="000000"/>
            </w:tcBorders>
          </w:tcPr>
          <w:p w14:paraId="4A2424BB" w14:textId="77777777" w:rsidR="00C04CAD" w:rsidRDefault="00060E34">
            <w:pPr>
              <w:keepNext/>
              <w:tabs>
                <w:tab w:val="clear" w:pos="567"/>
              </w:tabs>
              <w:kinsoku w:val="0"/>
              <w:overflowPunct w:val="0"/>
              <w:autoSpaceDE w:val="0"/>
              <w:autoSpaceDN w:val="0"/>
              <w:adjustRightInd w:val="0"/>
              <w:spacing w:line="240" w:lineRule="auto"/>
              <w:ind w:left="102"/>
              <w:jc w:val="center"/>
            </w:pPr>
            <w:r>
              <w:t>1,3 (0,5-2,1)</w:t>
            </w:r>
          </w:p>
        </w:tc>
        <w:tc>
          <w:tcPr>
            <w:tcW w:w="519" w:type="pct"/>
            <w:tcBorders>
              <w:top w:val="single" w:sz="4" w:space="0" w:color="000000"/>
              <w:left w:val="single" w:sz="4" w:space="0" w:color="000000"/>
              <w:bottom w:val="single" w:sz="4" w:space="0" w:color="000000"/>
              <w:right w:val="single" w:sz="4" w:space="0" w:color="000000"/>
            </w:tcBorders>
          </w:tcPr>
          <w:p w14:paraId="67A1F81E"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000000"/>
              <w:left w:val="single" w:sz="4" w:space="0" w:color="000000"/>
              <w:bottom w:val="single" w:sz="4" w:space="0" w:color="000000"/>
              <w:right w:val="single" w:sz="4" w:space="0" w:color="000000"/>
            </w:tcBorders>
          </w:tcPr>
          <w:p w14:paraId="4BB87D1A" w14:textId="77777777" w:rsidR="00C04CAD" w:rsidRDefault="00060E34">
            <w:pPr>
              <w:keepNext/>
              <w:tabs>
                <w:tab w:val="clear" w:pos="567"/>
              </w:tabs>
              <w:kinsoku w:val="0"/>
              <w:overflowPunct w:val="0"/>
              <w:autoSpaceDE w:val="0"/>
              <w:autoSpaceDN w:val="0"/>
              <w:adjustRightInd w:val="0"/>
              <w:spacing w:line="240" w:lineRule="auto"/>
              <w:ind w:left="102"/>
              <w:jc w:val="center"/>
            </w:pPr>
            <w:r>
              <w:t>0,0020</w:t>
            </w:r>
          </w:p>
        </w:tc>
        <w:tc>
          <w:tcPr>
            <w:tcW w:w="679" w:type="pct"/>
            <w:tcBorders>
              <w:top w:val="single" w:sz="4" w:space="0" w:color="000000"/>
              <w:left w:val="single" w:sz="4" w:space="0" w:color="000000"/>
              <w:bottom w:val="single" w:sz="4" w:space="0" w:color="000000"/>
              <w:right w:val="single" w:sz="4" w:space="0" w:color="000000"/>
            </w:tcBorders>
          </w:tcPr>
          <w:p w14:paraId="7FA41EFD" w14:textId="77777777" w:rsidR="00C04CAD" w:rsidRDefault="00060E34">
            <w:pPr>
              <w:keepNext/>
              <w:tabs>
                <w:tab w:val="clear" w:pos="567"/>
              </w:tabs>
              <w:kinsoku w:val="0"/>
              <w:overflowPunct w:val="0"/>
              <w:autoSpaceDE w:val="0"/>
              <w:autoSpaceDN w:val="0"/>
              <w:adjustRightInd w:val="0"/>
              <w:spacing w:line="240" w:lineRule="auto"/>
              <w:ind w:left="99"/>
              <w:jc w:val="center"/>
            </w:pPr>
            <w:r>
              <w:t>&lt;0,001</w:t>
            </w:r>
          </w:p>
        </w:tc>
      </w:tr>
      <w:tr w:rsidR="00C04CAD" w14:paraId="5AB41AD0" w14:textId="77777777">
        <w:trPr>
          <w:trHeight w:hRule="exact" w:val="516"/>
        </w:trPr>
        <w:tc>
          <w:tcPr>
            <w:tcW w:w="791" w:type="pct"/>
            <w:tcBorders>
              <w:top w:val="single" w:sz="4" w:space="0" w:color="000000"/>
              <w:left w:val="single" w:sz="4" w:space="0" w:color="000000"/>
              <w:bottom w:val="single" w:sz="4" w:space="0" w:color="auto"/>
              <w:right w:val="single" w:sz="4" w:space="0" w:color="000000"/>
            </w:tcBorders>
          </w:tcPr>
          <w:p w14:paraId="50D1C8E6" w14:textId="77777777" w:rsidR="00C04CAD" w:rsidRDefault="00060E34">
            <w:pPr>
              <w:keepNext/>
              <w:tabs>
                <w:tab w:val="clear" w:pos="567"/>
              </w:tabs>
              <w:kinsoku w:val="0"/>
              <w:overflowPunct w:val="0"/>
              <w:autoSpaceDE w:val="0"/>
              <w:autoSpaceDN w:val="0"/>
              <w:adjustRightInd w:val="0"/>
              <w:spacing w:line="240" w:lineRule="auto"/>
              <w:ind w:left="102"/>
            </w:pPr>
            <w:r>
              <w:t>Scor de</w:t>
            </w:r>
          </w:p>
          <w:p w14:paraId="1B14F3A0" w14:textId="77777777" w:rsidR="00C04CAD" w:rsidRDefault="00060E34">
            <w:pPr>
              <w:keepNext/>
              <w:tabs>
                <w:tab w:val="clear" w:pos="567"/>
              </w:tabs>
              <w:kinsoku w:val="0"/>
              <w:overflowPunct w:val="0"/>
              <w:autoSpaceDE w:val="0"/>
              <w:autoSpaceDN w:val="0"/>
              <w:adjustRightInd w:val="0"/>
              <w:spacing w:line="240" w:lineRule="auto"/>
              <w:ind w:left="102"/>
            </w:pPr>
            <w:r>
              <w:t>eroziune</w:t>
            </w:r>
          </w:p>
        </w:tc>
        <w:tc>
          <w:tcPr>
            <w:tcW w:w="817" w:type="pct"/>
            <w:tcBorders>
              <w:top w:val="single" w:sz="4" w:space="0" w:color="000000"/>
              <w:left w:val="single" w:sz="4" w:space="0" w:color="000000"/>
              <w:bottom w:val="single" w:sz="4" w:space="0" w:color="auto"/>
              <w:right w:val="single" w:sz="4" w:space="0" w:color="000000"/>
            </w:tcBorders>
          </w:tcPr>
          <w:p w14:paraId="0DD31353" w14:textId="77777777" w:rsidR="00C04CAD" w:rsidRDefault="00060E34">
            <w:pPr>
              <w:keepNext/>
              <w:tabs>
                <w:tab w:val="clear" w:pos="567"/>
              </w:tabs>
              <w:kinsoku w:val="0"/>
              <w:overflowPunct w:val="0"/>
              <w:autoSpaceDE w:val="0"/>
              <w:autoSpaceDN w:val="0"/>
              <w:adjustRightInd w:val="0"/>
              <w:spacing w:line="240" w:lineRule="auto"/>
              <w:ind w:left="102"/>
              <w:jc w:val="center"/>
            </w:pPr>
            <w:r>
              <w:t>3,7 (2,7-4,7)</w:t>
            </w:r>
          </w:p>
        </w:tc>
        <w:tc>
          <w:tcPr>
            <w:tcW w:w="810" w:type="pct"/>
            <w:tcBorders>
              <w:top w:val="single" w:sz="4" w:space="0" w:color="000000"/>
              <w:left w:val="single" w:sz="4" w:space="0" w:color="000000"/>
              <w:bottom w:val="single" w:sz="4" w:space="0" w:color="auto"/>
              <w:right w:val="single" w:sz="4" w:space="0" w:color="000000"/>
            </w:tcBorders>
          </w:tcPr>
          <w:p w14:paraId="75991497" w14:textId="77777777" w:rsidR="00C04CAD" w:rsidRDefault="00060E34">
            <w:pPr>
              <w:keepNext/>
              <w:tabs>
                <w:tab w:val="clear" w:pos="567"/>
              </w:tabs>
              <w:kinsoku w:val="0"/>
              <w:overflowPunct w:val="0"/>
              <w:autoSpaceDE w:val="0"/>
              <w:autoSpaceDN w:val="0"/>
              <w:adjustRightInd w:val="0"/>
              <w:spacing w:line="240" w:lineRule="auto"/>
              <w:ind w:left="99"/>
              <w:jc w:val="center"/>
            </w:pPr>
            <w:r>
              <w:t>1,7 (1,0-2,4)</w:t>
            </w:r>
          </w:p>
        </w:tc>
        <w:tc>
          <w:tcPr>
            <w:tcW w:w="892" w:type="pct"/>
            <w:tcBorders>
              <w:top w:val="single" w:sz="4" w:space="0" w:color="000000"/>
              <w:left w:val="single" w:sz="4" w:space="0" w:color="000000"/>
              <w:bottom w:val="single" w:sz="4" w:space="0" w:color="auto"/>
              <w:right w:val="single" w:sz="4" w:space="0" w:color="000000"/>
            </w:tcBorders>
          </w:tcPr>
          <w:p w14:paraId="0CB7E2F7" w14:textId="77777777" w:rsidR="00C04CAD" w:rsidRDefault="00060E34">
            <w:pPr>
              <w:keepNext/>
              <w:tabs>
                <w:tab w:val="clear" w:pos="567"/>
              </w:tabs>
              <w:kinsoku w:val="0"/>
              <w:overflowPunct w:val="0"/>
              <w:autoSpaceDE w:val="0"/>
              <w:autoSpaceDN w:val="0"/>
              <w:adjustRightInd w:val="0"/>
              <w:spacing w:line="240" w:lineRule="auto"/>
              <w:ind w:left="102"/>
              <w:jc w:val="center"/>
            </w:pPr>
            <w:r>
              <w:t>0,8 (0,4-1,2)</w:t>
            </w:r>
          </w:p>
        </w:tc>
        <w:tc>
          <w:tcPr>
            <w:tcW w:w="519" w:type="pct"/>
            <w:tcBorders>
              <w:top w:val="single" w:sz="4" w:space="0" w:color="000000"/>
              <w:left w:val="single" w:sz="4" w:space="0" w:color="000000"/>
              <w:bottom w:val="single" w:sz="4" w:space="0" w:color="auto"/>
              <w:right w:val="single" w:sz="4" w:space="0" w:color="000000"/>
            </w:tcBorders>
          </w:tcPr>
          <w:p w14:paraId="058AC5D2"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000000"/>
              <w:left w:val="single" w:sz="4" w:space="0" w:color="000000"/>
              <w:bottom w:val="single" w:sz="4" w:space="0" w:color="auto"/>
              <w:right w:val="single" w:sz="4" w:space="0" w:color="000000"/>
            </w:tcBorders>
          </w:tcPr>
          <w:p w14:paraId="37D3C396" w14:textId="77777777" w:rsidR="00C04CAD" w:rsidRDefault="00060E34">
            <w:pPr>
              <w:keepNext/>
              <w:tabs>
                <w:tab w:val="clear" w:pos="567"/>
              </w:tabs>
              <w:kinsoku w:val="0"/>
              <w:overflowPunct w:val="0"/>
              <w:autoSpaceDE w:val="0"/>
              <w:autoSpaceDN w:val="0"/>
              <w:adjustRightInd w:val="0"/>
              <w:spacing w:line="240" w:lineRule="auto"/>
              <w:ind w:left="102"/>
              <w:jc w:val="center"/>
            </w:pPr>
            <w:r>
              <w:t>0,0082</w:t>
            </w:r>
          </w:p>
        </w:tc>
        <w:tc>
          <w:tcPr>
            <w:tcW w:w="679" w:type="pct"/>
            <w:tcBorders>
              <w:top w:val="single" w:sz="4" w:space="0" w:color="000000"/>
              <w:left w:val="single" w:sz="4" w:space="0" w:color="000000"/>
              <w:bottom w:val="single" w:sz="4" w:space="0" w:color="auto"/>
              <w:right w:val="single" w:sz="4" w:space="0" w:color="000000"/>
            </w:tcBorders>
          </w:tcPr>
          <w:p w14:paraId="5203111B" w14:textId="77777777" w:rsidR="00C04CAD" w:rsidRDefault="00060E34">
            <w:pPr>
              <w:keepNext/>
              <w:tabs>
                <w:tab w:val="clear" w:pos="567"/>
              </w:tabs>
              <w:kinsoku w:val="0"/>
              <w:overflowPunct w:val="0"/>
              <w:autoSpaceDE w:val="0"/>
              <w:autoSpaceDN w:val="0"/>
              <w:adjustRightInd w:val="0"/>
              <w:spacing w:line="240" w:lineRule="auto"/>
              <w:ind w:left="99"/>
              <w:jc w:val="center"/>
            </w:pPr>
            <w:r>
              <w:t>&lt;0,001</w:t>
            </w:r>
          </w:p>
        </w:tc>
      </w:tr>
      <w:tr w:rsidR="00C04CAD" w14:paraId="5E4A66C9" w14:textId="77777777">
        <w:trPr>
          <w:trHeight w:hRule="exact" w:val="264"/>
        </w:trPr>
        <w:tc>
          <w:tcPr>
            <w:tcW w:w="791" w:type="pct"/>
            <w:tcBorders>
              <w:top w:val="single" w:sz="4" w:space="0" w:color="auto"/>
              <w:left w:val="single" w:sz="4" w:space="0" w:color="auto"/>
              <w:bottom w:val="single" w:sz="4" w:space="0" w:color="auto"/>
              <w:right w:val="single" w:sz="4" w:space="0" w:color="000000"/>
            </w:tcBorders>
          </w:tcPr>
          <w:p w14:paraId="4A758DE1" w14:textId="77777777" w:rsidR="00C04CAD" w:rsidRDefault="00060E34">
            <w:pPr>
              <w:keepNext/>
              <w:tabs>
                <w:tab w:val="clear" w:pos="567"/>
              </w:tabs>
              <w:kinsoku w:val="0"/>
              <w:overflowPunct w:val="0"/>
              <w:autoSpaceDE w:val="0"/>
              <w:autoSpaceDN w:val="0"/>
              <w:adjustRightInd w:val="0"/>
              <w:spacing w:line="240" w:lineRule="auto"/>
              <w:ind w:left="102"/>
            </w:pPr>
            <w:r>
              <w:t>Scor JSN</w:t>
            </w:r>
          </w:p>
        </w:tc>
        <w:tc>
          <w:tcPr>
            <w:tcW w:w="817" w:type="pct"/>
            <w:tcBorders>
              <w:top w:val="single" w:sz="4" w:space="0" w:color="auto"/>
              <w:left w:val="single" w:sz="4" w:space="0" w:color="000000"/>
              <w:bottom w:val="single" w:sz="4" w:space="0" w:color="auto"/>
              <w:right w:val="single" w:sz="4" w:space="0" w:color="000000"/>
            </w:tcBorders>
          </w:tcPr>
          <w:p w14:paraId="1AD0D54B" w14:textId="77777777" w:rsidR="00C04CAD" w:rsidRDefault="00060E34">
            <w:pPr>
              <w:keepNext/>
              <w:tabs>
                <w:tab w:val="clear" w:pos="567"/>
              </w:tabs>
              <w:kinsoku w:val="0"/>
              <w:overflowPunct w:val="0"/>
              <w:autoSpaceDE w:val="0"/>
              <w:autoSpaceDN w:val="0"/>
              <w:adjustRightInd w:val="0"/>
              <w:spacing w:line="240" w:lineRule="auto"/>
              <w:ind w:left="102"/>
              <w:jc w:val="center"/>
            </w:pPr>
            <w:r>
              <w:t>2,0 (1,2-2,8)</w:t>
            </w:r>
          </w:p>
        </w:tc>
        <w:tc>
          <w:tcPr>
            <w:tcW w:w="810" w:type="pct"/>
            <w:tcBorders>
              <w:top w:val="single" w:sz="4" w:space="0" w:color="auto"/>
              <w:left w:val="single" w:sz="4" w:space="0" w:color="000000"/>
              <w:bottom w:val="single" w:sz="4" w:space="0" w:color="auto"/>
              <w:right w:val="single" w:sz="4" w:space="0" w:color="000000"/>
            </w:tcBorders>
          </w:tcPr>
          <w:p w14:paraId="58936EF1" w14:textId="77777777" w:rsidR="00C04CAD" w:rsidRDefault="00060E34">
            <w:pPr>
              <w:keepNext/>
              <w:tabs>
                <w:tab w:val="clear" w:pos="567"/>
              </w:tabs>
              <w:kinsoku w:val="0"/>
              <w:overflowPunct w:val="0"/>
              <w:autoSpaceDE w:val="0"/>
              <w:autoSpaceDN w:val="0"/>
              <w:adjustRightInd w:val="0"/>
              <w:spacing w:line="240" w:lineRule="auto"/>
              <w:ind w:left="99"/>
              <w:jc w:val="center"/>
            </w:pPr>
            <w:r>
              <w:t>1,3 (0,5-2,1)</w:t>
            </w:r>
          </w:p>
        </w:tc>
        <w:tc>
          <w:tcPr>
            <w:tcW w:w="892" w:type="pct"/>
            <w:tcBorders>
              <w:top w:val="single" w:sz="4" w:space="0" w:color="auto"/>
              <w:left w:val="single" w:sz="4" w:space="0" w:color="000000"/>
              <w:bottom w:val="single" w:sz="4" w:space="0" w:color="auto"/>
              <w:right w:val="single" w:sz="4" w:space="0" w:color="000000"/>
            </w:tcBorders>
          </w:tcPr>
          <w:p w14:paraId="2B140572" w14:textId="77777777" w:rsidR="00C04CAD" w:rsidRDefault="00060E34">
            <w:pPr>
              <w:keepNext/>
              <w:tabs>
                <w:tab w:val="clear" w:pos="567"/>
              </w:tabs>
              <w:kinsoku w:val="0"/>
              <w:overflowPunct w:val="0"/>
              <w:autoSpaceDE w:val="0"/>
              <w:autoSpaceDN w:val="0"/>
              <w:adjustRightInd w:val="0"/>
              <w:spacing w:line="240" w:lineRule="auto"/>
              <w:ind w:left="102"/>
              <w:jc w:val="center"/>
            </w:pPr>
            <w:r>
              <w:t>0,5 (0-1,0)</w:t>
            </w:r>
          </w:p>
        </w:tc>
        <w:tc>
          <w:tcPr>
            <w:tcW w:w="519" w:type="pct"/>
            <w:tcBorders>
              <w:top w:val="single" w:sz="4" w:space="0" w:color="auto"/>
              <w:left w:val="single" w:sz="4" w:space="0" w:color="000000"/>
              <w:bottom w:val="single" w:sz="4" w:space="0" w:color="auto"/>
              <w:right w:val="single" w:sz="4" w:space="0" w:color="000000"/>
            </w:tcBorders>
          </w:tcPr>
          <w:p w14:paraId="3A219D7D" w14:textId="77777777" w:rsidR="00C04CAD" w:rsidRDefault="00060E34">
            <w:pPr>
              <w:keepNext/>
              <w:tabs>
                <w:tab w:val="clear" w:pos="567"/>
              </w:tabs>
              <w:kinsoku w:val="0"/>
              <w:overflowPunct w:val="0"/>
              <w:autoSpaceDE w:val="0"/>
              <w:autoSpaceDN w:val="0"/>
              <w:adjustRightInd w:val="0"/>
              <w:spacing w:line="240" w:lineRule="auto"/>
              <w:ind w:left="102"/>
              <w:jc w:val="center"/>
            </w:pPr>
            <w:r>
              <w:t>&lt;0,001</w:t>
            </w:r>
          </w:p>
        </w:tc>
        <w:tc>
          <w:tcPr>
            <w:tcW w:w="491" w:type="pct"/>
            <w:tcBorders>
              <w:top w:val="single" w:sz="4" w:space="0" w:color="auto"/>
              <w:left w:val="single" w:sz="4" w:space="0" w:color="000000"/>
              <w:bottom w:val="single" w:sz="4" w:space="0" w:color="auto"/>
              <w:right w:val="single" w:sz="4" w:space="0" w:color="000000"/>
            </w:tcBorders>
          </w:tcPr>
          <w:p w14:paraId="36A38B4B" w14:textId="77777777" w:rsidR="00C04CAD" w:rsidRDefault="00060E34">
            <w:pPr>
              <w:keepNext/>
              <w:tabs>
                <w:tab w:val="clear" w:pos="567"/>
              </w:tabs>
              <w:kinsoku w:val="0"/>
              <w:overflowPunct w:val="0"/>
              <w:autoSpaceDE w:val="0"/>
              <w:autoSpaceDN w:val="0"/>
              <w:adjustRightInd w:val="0"/>
              <w:spacing w:line="240" w:lineRule="auto"/>
              <w:ind w:left="102"/>
              <w:jc w:val="center"/>
            </w:pPr>
            <w:r>
              <w:t>0,0037</w:t>
            </w:r>
          </w:p>
        </w:tc>
        <w:tc>
          <w:tcPr>
            <w:tcW w:w="679" w:type="pct"/>
            <w:tcBorders>
              <w:top w:val="single" w:sz="4" w:space="0" w:color="auto"/>
              <w:left w:val="single" w:sz="4" w:space="0" w:color="000000"/>
              <w:bottom w:val="single" w:sz="4" w:space="0" w:color="auto"/>
              <w:right w:val="single" w:sz="4" w:space="0" w:color="auto"/>
            </w:tcBorders>
          </w:tcPr>
          <w:p w14:paraId="3B238FA4" w14:textId="77777777" w:rsidR="00C04CAD" w:rsidRDefault="00060E34">
            <w:pPr>
              <w:keepNext/>
              <w:tabs>
                <w:tab w:val="clear" w:pos="567"/>
              </w:tabs>
              <w:kinsoku w:val="0"/>
              <w:overflowPunct w:val="0"/>
              <w:autoSpaceDE w:val="0"/>
              <w:autoSpaceDN w:val="0"/>
              <w:adjustRightInd w:val="0"/>
              <w:spacing w:line="240" w:lineRule="auto"/>
              <w:ind w:left="99"/>
              <w:jc w:val="center"/>
            </w:pPr>
            <w:r>
              <w:t>0,151</w:t>
            </w:r>
          </w:p>
        </w:tc>
      </w:tr>
      <w:tr w:rsidR="00C04CAD" w14:paraId="061F957F" w14:textId="77777777">
        <w:trPr>
          <w:trHeight w:hRule="exact" w:val="1417"/>
        </w:trPr>
        <w:tc>
          <w:tcPr>
            <w:tcW w:w="5000" w:type="pct"/>
            <w:gridSpan w:val="7"/>
            <w:tcBorders>
              <w:top w:val="single" w:sz="4" w:space="0" w:color="auto"/>
            </w:tcBorders>
          </w:tcPr>
          <w:p w14:paraId="67560F8C"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valoarea p este obţinută prin compararea perechilor metotrexat monoterapie şi combinaţia </w:t>
            </w:r>
            <w:r>
              <w:rPr>
                <w:rFonts w:eastAsia="MS Mincho"/>
                <w:sz w:val="20"/>
                <w:lang w:eastAsia="en-US" w:bidi="ar-SA"/>
              </w:rPr>
              <w:t>adalimumab</w:t>
            </w:r>
            <w:r>
              <w:rPr>
                <w:sz w:val="20"/>
              </w:rPr>
              <w:t>/metotrexat, folosindu-se testul U, Mann-Whitney</w:t>
            </w:r>
          </w:p>
          <w:p w14:paraId="6B9F6897"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valoarea p este obţinută prin compararea perechilor </w:t>
            </w:r>
            <w:r>
              <w:rPr>
                <w:rFonts w:eastAsia="MS Mincho"/>
                <w:sz w:val="20"/>
                <w:lang w:eastAsia="en-US" w:bidi="ar-SA"/>
              </w:rPr>
              <w:t>adalimumab</w:t>
            </w:r>
            <w:r>
              <w:rPr>
                <w:sz w:val="20"/>
              </w:rPr>
              <w:t xml:space="preserve"> monoterapie şi combinaţia </w:t>
            </w:r>
            <w:r>
              <w:rPr>
                <w:rFonts w:eastAsia="MS Mincho"/>
                <w:sz w:val="20"/>
                <w:lang w:eastAsia="en-US" w:bidi="ar-SA"/>
              </w:rPr>
              <w:t>adalimumab</w:t>
            </w:r>
            <w:r>
              <w:rPr>
                <w:sz w:val="20"/>
              </w:rPr>
              <w:t>/metotrexat, folosindu-se testul U, Mann-Whitney</w:t>
            </w:r>
          </w:p>
          <w:p w14:paraId="5D7C56EC"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c</w:t>
            </w:r>
            <w:r>
              <w:rPr>
                <w:sz w:val="20"/>
              </w:rPr>
              <w:t xml:space="preserve"> valoarea p este obţinută prin compararea perechilor </w:t>
            </w:r>
            <w:r>
              <w:rPr>
                <w:rFonts w:eastAsia="MS Mincho"/>
                <w:sz w:val="20"/>
                <w:lang w:eastAsia="en-US" w:bidi="ar-SA"/>
              </w:rPr>
              <w:t>adalimumab</w:t>
            </w:r>
            <w:r>
              <w:rPr>
                <w:sz w:val="20"/>
              </w:rPr>
              <w:t xml:space="preserve"> monoterapie şi metotrexat monoterapie folosindu-se testul U, Mann-Whitney</w:t>
            </w:r>
          </w:p>
        </w:tc>
      </w:tr>
    </w:tbl>
    <w:p w14:paraId="04B6E2FC" w14:textId="77777777" w:rsidR="00C04CAD" w:rsidRDefault="00C04CAD">
      <w:pPr>
        <w:autoSpaceDE w:val="0"/>
        <w:autoSpaceDN w:val="0"/>
        <w:adjustRightInd w:val="0"/>
        <w:spacing w:line="240" w:lineRule="auto"/>
      </w:pPr>
    </w:p>
    <w:p w14:paraId="772E99B6" w14:textId="77777777" w:rsidR="00C04CAD" w:rsidRDefault="00060E34">
      <w:pPr>
        <w:tabs>
          <w:tab w:val="clear" w:pos="567"/>
        </w:tabs>
        <w:kinsoku w:val="0"/>
        <w:overflowPunct w:val="0"/>
        <w:autoSpaceDE w:val="0"/>
        <w:autoSpaceDN w:val="0"/>
        <w:adjustRightInd w:val="0"/>
        <w:spacing w:line="240" w:lineRule="auto"/>
        <w:rPr>
          <w:szCs w:val="22"/>
        </w:rPr>
      </w:pPr>
      <w:r>
        <w:t xml:space="preserve">După 52 şi respectiv 104 săptămâni de tratament, procentul pacienţilor la care nu s-a observat progresie </w:t>
      </w:r>
      <w:r>
        <w:rPr>
          <w:szCs w:val="22"/>
        </w:rPr>
        <w:t xml:space="preserve">(modificare faţă de valoarea iniţială a Scorului Sharp Total ≤0,5) a fost semnificativ mai mare în grupul tratat concomitent cu </w:t>
      </w:r>
      <w:r>
        <w:rPr>
          <w:rFonts w:eastAsia="MS Mincho"/>
          <w:szCs w:val="22"/>
          <w:lang w:eastAsia="en-US" w:bidi="ar-SA"/>
        </w:rPr>
        <w:t>adalimumab</w:t>
      </w:r>
      <w:r>
        <w:rPr>
          <w:szCs w:val="22"/>
        </w:rPr>
        <w:t xml:space="preserve"> şi metotrexat (63,8% şi respectiv 61,2%) comparativ cu grupul tratat cu metotrexat în monoterapie (37,4% şi respectiv 33,5%, p &lt;0,001) şi grupul tratat cu </w:t>
      </w:r>
      <w:r>
        <w:rPr>
          <w:rFonts w:eastAsia="MS Mincho"/>
          <w:szCs w:val="22"/>
          <w:lang w:eastAsia="en-US" w:bidi="ar-SA"/>
        </w:rPr>
        <w:t>adalimumab</w:t>
      </w:r>
      <w:r>
        <w:rPr>
          <w:szCs w:val="22"/>
        </w:rPr>
        <w:t xml:space="preserve"> în monoterapie (50,7%, p &lt;0,002 şi respectiv 44,5%, p &lt;0,001).</w:t>
      </w:r>
    </w:p>
    <w:p w14:paraId="51CBD5D9" w14:textId="77777777" w:rsidR="00C04CAD" w:rsidRDefault="00C04CAD">
      <w:pPr>
        <w:tabs>
          <w:tab w:val="clear" w:pos="567"/>
        </w:tabs>
        <w:kinsoku w:val="0"/>
        <w:overflowPunct w:val="0"/>
        <w:autoSpaceDE w:val="0"/>
        <w:autoSpaceDN w:val="0"/>
        <w:adjustRightInd w:val="0"/>
        <w:spacing w:line="240" w:lineRule="auto"/>
        <w:rPr>
          <w:szCs w:val="22"/>
        </w:rPr>
      </w:pPr>
    </w:p>
    <w:p w14:paraId="13D7D40E" w14:textId="77777777" w:rsidR="00C04CAD" w:rsidRDefault="00060E34">
      <w:pPr>
        <w:autoSpaceDE w:val="0"/>
        <w:autoSpaceDN w:val="0"/>
        <w:adjustRightInd w:val="0"/>
        <w:spacing w:line="240" w:lineRule="auto"/>
        <w:rPr>
          <w:szCs w:val="22"/>
        </w:rPr>
      </w:pPr>
      <w:r>
        <w:rPr>
          <w:szCs w:val="22"/>
        </w:rPr>
        <w:t xml:space="preserve">În extensia deschisă a studiului PR V, la pacienții randomizați inițial pentru metotrexat în monoterapie, pentru </w:t>
      </w:r>
      <w:r>
        <w:rPr>
          <w:rFonts w:eastAsia="MS Mincho"/>
          <w:szCs w:val="22"/>
          <w:lang w:eastAsia="en-US" w:bidi="ar-SA"/>
        </w:rPr>
        <w:t>adalimumab</w:t>
      </w:r>
      <w:r>
        <w:rPr>
          <w:szCs w:val="22"/>
        </w:rPr>
        <w:t xml:space="preserve"> în monoterapie și respectiv pentru tratament concomitent cu </w:t>
      </w:r>
      <w:r>
        <w:rPr>
          <w:rFonts w:eastAsia="MS Mincho"/>
          <w:szCs w:val="22"/>
          <w:lang w:eastAsia="en-US" w:bidi="ar-SA"/>
        </w:rPr>
        <w:t>adalimumab</w:t>
      </w:r>
      <w:r>
        <w:rPr>
          <w:szCs w:val="22"/>
        </w:rPr>
        <w:t>/metotrexat, modificarea medie a scorului Sharp total modificat la nivelul anului al 10-lea față de valoarea inițială a fost de 10,8, 9,2 și respectiv 3,9. Proporțiile corespunzătoare de pacienți fără progresie radiografică au fost 31,3%, 23,7% și respectiv 36,7%.</w:t>
      </w:r>
    </w:p>
    <w:p w14:paraId="59EED7FA" w14:textId="77777777" w:rsidR="00C04CAD" w:rsidRDefault="00C04CAD">
      <w:pPr>
        <w:autoSpaceDE w:val="0"/>
        <w:autoSpaceDN w:val="0"/>
        <w:adjustRightInd w:val="0"/>
        <w:spacing w:line="240" w:lineRule="auto"/>
        <w:rPr>
          <w:szCs w:val="22"/>
        </w:rPr>
      </w:pPr>
    </w:p>
    <w:p w14:paraId="3AE0892F" w14:textId="77777777" w:rsidR="00C04CAD" w:rsidRDefault="00060E34">
      <w:pPr>
        <w:keepNext/>
        <w:tabs>
          <w:tab w:val="clear" w:pos="567"/>
        </w:tabs>
        <w:kinsoku w:val="0"/>
        <w:overflowPunct w:val="0"/>
        <w:autoSpaceDE w:val="0"/>
        <w:autoSpaceDN w:val="0"/>
        <w:adjustRightInd w:val="0"/>
        <w:spacing w:line="240" w:lineRule="auto"/>
        <w:rPr>
          <w:szCs w:val="22"/>
        </w:rPr>
      </w:pPr>
      <w:r>
        <w:rPr>
          <w:i/>
          <w:szCs w:val="22"/>
          <w:u w:val="single"/>
        </w:rPr>
        <w:t>Calitatea vieţii şi funcţionalitatea articulară</w:t>
      </w:r>
    </w:p>
    <w:p w14:paraId="52FB911C" w14:textId="77777777" w:rsidR="00C04CAD" w:rsidRDefault="00C04CAD">
      <w:pPr>
        <w:keepNext/>
        <w:tabs>
          <w:tab w:val="clear" w:pos="567"/>
        </w:tabs>
        <w:kinsoku w:val="0"/>
        <w:overflowPunct w:val="0"/>
        <w:autoSpaceDE w:val="0"/>
        <w:autoSpaceDN w:val="0"/>
        <w:adjustRightInd w:val="0"/>
        <w:spacing w:line="240" w:lineRule="auto"/>
        <w:rPr>
          <w:szCs w:val="22"/>
        </w:rPr>
      </w:pPr>
    </w:p>
    <w:p w14:paraId="17FAD27D"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rPr>
        <w:t xml:space="preserve">Calitatea vieţii în funcţie de starea de sănătate şi funcţia motorie au fost evaluate cu ajutorul indicelui de dizabilitate din chestionarul de evaluare a sănătăţii (Health Assessment Questionaire–HAQ) în toate cele patru studii adecvate şi bine controlate şi a fost un obiectiv primar prespecificat la Săptămâna 52 în studiul PR III. Toate dozele/schemele de administrare a </w:t>
      </w:r>
      <w:r>
        <w:rPr>
          <w:rFonts w:eastAsia="MS Mincho"/>
          <w:szCs w:val="22"/>
          <w:lang w:eastAsia="en-US" w:bidi="ar-SA"/>
        </w:rPr>
        <w:t>adalimumab</w:t>
      </w:r>
      <w:r>
        <w:rPr>
          <w:szCs w:val="22"/>
        </w:rPr>
        <w:t xml:space="preserve"> în toate cele patru studii au demonstrat ameliorarea mai mare, semnificativ statistic, a indexului HAQ faţă de situaţia iniţială, în Luna 6, comparativ cu placebo. Aceeaşi situaţie a fost observată în studiul PR III la Săptămâna 52. Rezultatele SF36 (Short Form Health Survay- Sondaj asupra stării de sănătate, forma prescurtată) pentru toate dozele/schemele de administrare a </w:t>
      </w:r>
      <w:r>
        <w:rPr>
          <w:rFonts w:eastAsia="MS Mincho"/>
          <w:szCs w:val="22"/>
          <w:lang w:eastAsia="en-US" w:bidi="ar-SA"/>
        </w:rPr>
        <w:t>adalimumab</w:t>
      </w:r>
      <w:r>
        <w:rPr>
          <w:szCs w:val="22"/>
        </w:rPr>
        <w:t xml:space="preserve"> din cele patru studii susţin observaţiile/rezultatele anterior anunţate cu scoruri semnificative statistic ale evaluării componenţei fizice precum şi cu scoruri semnificative statistic referitoare la durere şi la domeniul vitalităţii pentru doza de 40 mg o dată la 2 săptămâni. În toate cele trei studii în care s-a monitorizat fatigabilitatea (studiile PR I, III, IV), a fost observată o reducere semnificativă statistic a acesteia, aşa cum a fost evaluată prin scorurile de evaluare funcţională a terapiei pentru o boală cronică (FACIT).</w:t>
      </w:r>
    </w:p>
    <w:p w14:paraId="0C69CDCB" w14:textId="77777777" w:rsidR="00C04CAD" w:rsidRDefault="00C04CAD">
      <w:pPr>
        <w:tabs>
          <w:tab w:val="clear" w:pos="567"/>
        </w:tabs>
        <w:kinsoku w:val="0"/>
        <w:overflowPunct w:val="0"/>
        <w:autoSpaceDE w:val="0"/>
        <w:autoSpaceDN w:val="0"/>
        <w:adjustRightInd w:val="0"/>
        <w:spacing w:line="240" w:lineRule="auto"/>
        <w:rPr>
          <w:szCs w:val="22"/>
        </w:rPr>
      </w:pPr>
    </w:p>
    <w:p w14:paraId="5208AA0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studiul PR III, majoritatea pacienţilor care au atins ameliorarea funcţiei motorii şi au continuat tratamentul, au menţinut ameliorarea până în săptămâna 520 (120 luni) de tratament de tip "deschis". Ameliorarea calităţii vieţii a fost măsurată până în săptămâna 156 (36 luni) şi ameliorarea s-a menţinut pe parcursul acestei perioade.</w:t>
      </w:r>
    </w:p>
    <w:p w14:paraId="3170B59A" w14:textId="77777777" w:rsidR="00C04CAD" w:rsidRDefault="00C04CAD">
      <w:pPr>
        <w:tabs>
          <w:tab w:val="clear" w:pos="567"/>
        </w:tabs>
        <w:kinsoku w:val="0"/>
        <w:overflowPunct w:val="0"/>
        <w:autoSpaceDE w:val="0"/>
        <w:autoSpaceDN w:val="0"/>
        <w:adjustRightInd w:val="0"/>
        <w:spacing w:line="240" w:lineRule="auto"/>
        <w:rPr>
          <w:szCs w:val="22"/>
        </w:rPr>
      </w:pPr>
    </w:p>
    <w:p w14:paraId="4BF3989B" w14:textId="77777777" w:rsidR="00C04CAD" w:rsidRDefault="00060E34">
      <w:pPr>
        <w:autoSpaceDE w:val="0"/>
        <w:autoSpaceDN w:val="0"/>
        <w:adjustRightInd w:val="0"/>
        <w:spacing w:line="240" w:lineRule="auto"/>
        <w:rPr>
          <w:szCs w:val="22"/>
        </w:rPr>
      </w:pPr>
      <w:r>
        <w:rPr>
          <w:szCs w:val="22"/>
        </w:rPr>
        <w:t xml:space="preserve">În studiul PR V, îmbunătăţirea indicelui de dizabilitate HAQ şi componenta fizică a SF36 au prezentat o ameliorare mai mare în tratamentul concomitent cu </w:t>
      </w:r>
      <w:r>
        <w:rPr>
          <w:rFonts w:eastAsia="MS Mincho"/>
          <w:szCs w:val="22"/>
          <w:lang w:eastAsia="en-US" w:bidi="ar-SA"/>
        </w:rPr>
        <w:t>adalimumab</w:t>
      </w:r>
      <w:r>
        <w:rPr>
          <w:szCs w:val="22"/>
        </w:rPr>
        <w:t xml:space="preserve"> şi metotrexat comparativ cu tratamentul cu metotrexat şi </w:t>
      </w:r>
      <w:r>
        <w:rPr>
          <w:rFonts w:eastAsia="MS Mincho"/>
          <w:szCs w:val="22"/>
          <w:lang w:eastAsia="en-US" w:bidi="ar-SA"/>
        </w:rPr>
        <w:t>adalimumab</w:t>
      </w:r>
      <w:r>
        <w:rPr>
          <w:szCs w:val="22"/>
        </w:rPr>
        <w:t xml:space="preserve"> în monoterapie în Săptămâna 52, îmbunătăţire care s-a menţinut până în Săptămâna 104 (p &lt;0,001). La cei 250 de subiecți care au finalizat faza de extensie deschisă a studiului, îmbunătățirea funcției fizice a fost menținută pe parcursul perioadei de 10 ani de tratament.</w:t>
      </w:r>
    </w:p>
    <w:p w14:paraId="5B324CF8" w14:textId="77777777" w:rsidR="00C04CAD" w:rsidRDefault="00C04CAD">
      <w:pPr>
        <w:tabs>
          <w:tab w:val="clear" w:pos="567"/>
        </w:tabs>
        <w:kinsoku w:val="0"/>
        <w:overflowPunct w:val="0"/>
        <w:autoSpaceDE w:val="0"/>
        <w:autoSpaceDN w:val="0"/>
        <w:adjustRightInd w:val="0"/>
        <w:spacing w:line="240" w:lineRule="auto"/>
        <w:rPr>
          <w:szCs w:val="22"/>
        </w:rPr>
      </w:pPr>
    </w:p>
    <w:p w14:paraId="33BFBE0E" w14:textId="77777777" w:rsidR="00C04CAD" w:rsidRDefault="00060E34">
      <w:pPr>
        <w:tabs>
          <w:tab w:val="clear" w:pos="567"/>
        </w:tabs>
        <w:kinsoku w:val="0"/>
        <w:overflowPunct w:val="0"/>
        <w:autoSpaceDE w:val="0"/>
        <w:autoSpaceDN w:val="0"/>
        <w:adjustRightInd w:val="0"/>
        <w:spacing w:line="240" w:lineRule="auto"/>
        <w:rPr>
          <w:i/>
          <w:szCs w:val="22"/>
        </w:rPr>
      </w:pPr>
      <w:r>
        <w:rPr>
          <w:i/>
          <w:szCs w:val="22"/>
        </w:rPr>
        <w:t xml:space="preserve">Spondiloartrită axială </w:t>
      </w:r>
    </w:p>
    <w:p w14:paraId="5DEAF181" w14:textId="77777777" w:rsidR="00C04CAD" w:rsidRDefault="00C04CAD">
      <w:pPr>
        <w:tabs>
          <w:tab w:val="clear" w:pos="567"/>
        </w:tabs>
        <w:kinsoku w:val="0"/>
        <w:overflowPunct w:val="0"/>
        <w:autoSpaceDE w:val="0"/>
        <w:autoSpaceDN w:val="0"/>
        <w:adjustRightInd w:val="0"/>
        <w:spacing w:line="240" w:lineRule="auto"/>
        <w:rPr>
          <w:i/>
          <w:szCs w:val="22"/>
        </w:rPr>
      </w:pPr>
    </w:p>
    <w:p w14:paraId="193FDA93" w14:textId="77777777" w:rsidR="00C04CAD" w:rsidRDefault="00060E34">
      <w:pPr>
        <w:tabs>
          <w:tab w:val="clear" w:pos="567"/>
        </w:tabs>
        <w:kinsoku w:val="0"/>
        <w:overflowPunct w:val="0"/>
        <w:autoSpaceDE w:val="0"/>
        <w:autoSpaceDN w:val="0"/>
        <w:adjustRightInd w:val="0"/>
        <w:spacing w:line="240" w:lineRule="auto"/>
        <w:rPr>
          <w:i/>
          <w:szCs w:val="22"/>
          <w:u w:val="single"/>
        </w:rPr>
      </w:pPr>
      <w:r>
        <w:rPr>
          <w:i/>
          <w:szCs w:val="22"/>
          <w:u w:val="single"/>
        </w:rPr>
        <w:t>Spondilită anchilozantă (SA)</w:t>
      </w:r>
    </w:p>
    <w:p w14:paraId="41B104C8" w14:textId="77777777" w:rsidR="00C04CAD" w:rsidRDefault="00C04CAD">
      <w:pPr>
        <w:tabs>
          <w:tab w:val="clear" w:pos="567"/>
        </w:tabs>
        <w:kinsoku w:val="0"/>
        <w:overflowPunct w:val="0"/>
        <w:autoSpaceDE w:val="0"/>
        <w:autoSpaceDN w:val="0"/>
        <w:adjustRightInd w:val="0"/>
        <w:spacing w:line="240" w:lineRule="auto"/>
        <w:rPr>
          <w:szCs w:val="22"/>
        </w:rPr>
      </w:pPr>
    </w:p>
    <w:p w14:paraId="3F113C2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două studii clinice dublu-orb, placebo controlate, cu o durată de 24 săptămâni, au fost trataţi cu </w:t>
      </w:r>
      <w:r>
        <w:rPr>
          <w:rFonts w:eastAsia="MS Mincho"/>
          <w:szCs w:val="22"/>
          <w:lang w:eastAsia="en-US" w:bidi="ar-SA"/>
        </w:rPr>
        <w:t>adalimumab</w:t>
      </w:r>
      <w:r>
        <w:rPr>
          <w:szCs w:val="22"/>
        </w:rPr>
        <w:t xml:space="preserve"> 40 mg din două în două săptămâni, 393 pacienţi cu spondilită anchilozantă activă (scorul mediu iniţial al activităţii bolii [Index Bath de activitate a spondilitei anchilozante (BASDAI)] a fost de 6,3 pentru toate grupurile) care au avut un răspuns necorespunzător la tratamentul obişnuit. 79 pacienţi (20,1%) au fost trataţi concomitent cu medicamente antireumatice modificatoare de boală şi 37 pacienţi (9,4%) au fost trataţi cu glucocorticoizi. Perioada de studiu orb a fost urmată de perioada de studiu deschis, timp în care pacienţii au primit tratament cu </w:t>
      </w:r>
      <w:r>
        <w:rPr>
          <w:rFonts w:eastAsia="MS Mincho"/>
          <w:szCs w:val="22"/>
          <w:lang w:eastAsia="en-US" w:bidi="ar-SA"/>
        </w:rPr>
        <w:t>adalimumab</w:t>
      </w:r>
      <w:r>
        <w:rPr>
          <w:szCs w:val="22"/>
        </w:rPr>
        <w:t xml:space="preserve"> 40 mg administrat subcutanat din două în două săptămâni pentru încă 28 săptămâni. Subiecţii (n=215, 54,7%) care nu au atins ASAS 20 în săptămâna 12, 16 sau 20, au primit adalimumab 40 mg săptămânal de la începutul perioadei de studiu deschis şi s-a considerat ulterior în analiza statistică a studiului dublu orb ca fiind fără răspuns la tratament.</w:t>
      </w:r>
    </w:p>
    <w:p w14:paraId="133D99A9" w14:textId="77777777" w:rsidR="00C04CAD" w:rsidRDefault="00C04CAD">
      <w:pPr>
        <w:tabs>
          <w:tab w:val="clear" w:pos="567"/>
        </w:tabs>
        <w:kinsoku w:val="0"/>
        <w:overflowPunct w:val="0"/>
        <w:autoSpaceDE w:val="0"/>
        <w:autoSpaceDN w:val="0"/>
        <w:adjustRightInd w:val="0"/>
        <w:spacing w:line="240" w:lineRule="auto"/>
        <w:rPr>
          <w:szCs w:val="22"/>
        </w:rPr>
      </w:pPr>
    </w:p>
    <w:p w14:paraId="3D3C94AD" w14:textId="77777777" w:rsidR="00C04CAD" w:rsidRDefault="00060E34">
      <w:pPr>
        <w:autoSpaceDE w:val="0"/>
        <w:autoSpaceDN w:val="0"/>
        <w:adjustRightInd w:val="0"/>
        <w:spacing w:line="240" w:lineRule="auto"/>
        <w:rPr>
          <w:szCs w:val="22"/>
        </w:rPr>
      </w:pPr>
      <w:r>
        <w:rPr>
          <w:szCs w:val="22"/>
        </w:rPr>
        <w:t xml:space="preserve">Într-un studiu SA I mai mare în care au fost înrolaţi 315 pacienţi, rezultatele au arătat o îmbunătăţire semnificativă statistic a semnelor şi simptomelor la pacienţi cu spondilită anchilozantă trataţi cu </w:t>
      </w:r>
      <w:r>
        <w:rPr>
          <w:rFonts w:eastAsia="MS Mincho"/>
          <w:szCs w:val="22"/>
          <w:lang w:eastAsia="en-US" w:bidi="ar-SA"/>
        </w:rPr>
        <w:t>adalimumab</w:t>
      </w:r>
      <w:r>
        <w:rPr>
          <w:szCs w:val="22"/>
        </w:rPr>
        <w:t xml:space="preserve"> comparativ cu placebo. Un răspuns important a fost observat prima dată în </w:t>
      </w:r>
      <w:r>
        <w:rPr>
          <w:rFonts w:eastAsia="MS Mincho"/>
          <w:szCs w:val="22"/>
          <w:lang w:eastAsia="en-US" w:bidi="ar-SA"/>
        </w:rPr>
        <w:t>săptămâna</w:t>
      </w:r>
      <w:r>
        <w:rPr>
          <w:szCs w:val="22"/>
        </w:rPr>
        <w:t xml:space="preserve"> 2 şi s-a menţinut timp de 24 săptămâni (tabelul </w:t>
      </w:r>
      <w:r>
        <w:rPr>
          <w:rFonts w:eastAsia="MS Mincho"/>
          <w:szCs w:val="22"/>
          <w:lang w:eastAsia="en-US" w:bidi="ar-SA"/>
        </w:rPr>
        <w:t>12</w:t>
      </w:r>
      <w:r>
        <w:rPr>
          <w:szCs w:val="22"/>
        </w:rPr>
        <w:t>).</w:t>
      </w:r>
    </w:p>
    <w:p w14:paraId="58209819" w14:textId="77777777" w:rsidR="00C04CAD" w:rsidRDefault="00C04CAD">
      <w:pPr>
        <w:autoSpaceDE w:val="0"/>
        <w:autoSpaceDN w:val="0"/>
        <w:adjustRightInd w:val="0"/>
        <w:spacing w:line="240" w:lineRule="auto"/>
        <w:rPr>
          <w:szCs w:val="22"/>
        </w:rPr>
      </w:pPr>
    </w:p>
    <w:p w14:paraId="7577DC75" w14:textId="77777777" w:rsidR="00C04CAD" w:rsidRDefault="00060E34">
      <w:pPr>
        <w:autoSpaceDE w:val="0"/>
        <w:autoSpaceDN w:val="0"/>
        <w:adjustRightInd w:val="0"/>
        <w:spacing w:line="240" w:lineRule="auto"/>
        <w:rPr>
          <w:b/>
          <w:szCs w:val="22"/>
        </w:rPr>
      </w:pPr>
      <w:r>
        <w:rPr>
          <w:b/>
        </w:rPr>
        <w:t>Tabelul</w:t>
      </w:r>
      <w:r>
        <w:rPr>
          <w:b/>
          <w:bCs/>
        </w:rPr>
        <w:t xml:space="preserve"> </w:t>
      </w:r>
      <w:r>
        <w:rPr>
          <w:b/>
        </w:rPr>
        <w:t xml:space="preserve">12. </w:t>
      </w:r>
      <w:r>
        <w:rPr>
          <w:b/>
          <w:szCs w:val="22"/>
        </w:rPr>
        <w:t xml:space="preserve">Rezultate privind eficacitatea în studiul SA placebo-controlat-Studiul I - </w:t>
      </w:r>
      <w:r>
        <w:rPr>
          <w:b/>
          <w:bCs/>
          <w:szCs w:val="22"/>
        </w:rPr>
        <w:t>r</w:t>
      </w:r>
      <w:r>
        <w:rPr>
          <w:b/>
          <w:szCs w:val="22"/>
        </w:rPr>
        <w:t>educerea semnelor şi simptomelor</w:t>
      </w:r>
    </w:p>
    <w:p w14:paraId="12516B7E" w14:textId="77777777" w:rsidR="00C04CAD" w:rsidRDefault="00C04CAD">
      <w:pPr>
        <w:autoSpaceDE w:val="0"/>
        <w:autoSpaceDN w:val="0"/>
        <w:adjustRightInd w:val="0"/>
        <w:spacing w:line="240" w:lineRule="auto"/>
        <w:rPr>
          <w:szCs w:val="22"/>
        </w:rPr>
      </w:pPr>
    </w:p>
    <w:tbl>
      <w:tblPr>
        <w:tblW w:w="5000" w:type="pct"/>
        <w:tblLayout w:type="fixed"/>
        <w:tblCellMar>
          <w:left w:w="0" w:type="dxa"/>
          <w:right w:w="0" w:type="dxa"/>
        </w:tblCellMar>
        <w:tblLook w:val="04A0" w:firstRow="1" w:lastRow="0" w:firstColumn="1" w:lastColumn="0" w:noHBand="0" w:noVBand="1"/>
      </w:tblPr>
      <w:tblGrid>
        <w:gridCol w:w="2202"/>
        <w:gridCol w:w="3429"/>
        <w:gridCol w:w="3430"/>
      </w:tblGrid>
      <w:tr w:rsidR="00C04CAD" w14:paraId="4DF474AF" w14:textId="77777777">
        <w:trPr>
          <w:trHeight w:hRule="exact" w:val="567"/>
          <w:tblHeader/>
        </w:trPr>
        <w:tc>
          <w:tcPr>
            <w:tcW w:w="1215" w:type="pct"/>
            <w:tcBorders>
              <w:top w:val="single" w:sz="4" w:space="0" w:color="000000"/>
              <w:left w:val="single" w:sz="4" w:space="0" w:color="000000"/>
              <w:bottom w:val="single" w:sz="4" w:space="0" w:color="000000"/>
              <w:right w:val="single" w:sz="4" w:space="0" w:color="000000"/>
            </w:tcBorders>
          </w:tcPr>
          <w:p w14:paraId="58958555" w14:textId="77777777" w:rsidR="00C04CAD" w:rsidRDefault="00060E34">
            <w:pPr>
              <w:tabs>
                <w:tab w:val="clear" w:pos="567"/>
              </w:tabs>
              <w:kinsoku w:val="0"/>
              <w:overflowPunct w:val="0"/>
              <w:autoSpaceDE w:val="0"/>
              <w:autoSpaceDN w:val="0"/>
              <w:adjustRightInd w:val="0"/>
              <w:spacing w:line="240" w:lineRule="auto"/>
              <w:ind w:left="102"/>
            </w:pPr>
            <w:r>
              <w:rPr>
                <w:b/>
              </w:rPr>
              <w:t>Răspuns</w:t>
            </w:r>
          </w:p>
        </w:tc>
        <w:tc>
          <w:tcPr>
            <w:tcW w:w="1892" w:type="pct"/>
            <w:tcBorders>
              <w:top w:val="single" w:sz="4" w:space="0" w:color="000000"/>
              <w:left w:val="single" w:sz="4" w:space="0" w:color="000000"/>
              <w:bottom w:val="single" w:sz="4" w:space="0" w:color="000000"/>
              <w:right w:val="single" w:sz="4" w:space="0" w:color="000000"/>
            </w:tcBorders>
          </w:tcPr>
          <w:p w14:paraId="7B28EF6F" w14:textId="77777777" w:rsidR="00C04CAD" w:rsidRDefault="00060E34">
            <w:pPr>
              <w:tabs>
                <w:tab w:val="clear" w:pos="567"/>
              </w:tabs>
              <w:autoSpaceDE w:val="0"/>
              <w:autoSpaceDN w:val="0"/>
              <w:adjustRightInd w:val="0"/>
              <w:spacing w:line="240" w:lineRule="auto"/>
              <w:jc w:val="center"/>
              <w:rPr>
                <w:b/>
              </w:rPr>
            </w:pPr>
            <w:r>
              <w:rPr>
                <w:b/>
              </w:rPr>
              <w:t xml:space="preserve">Placebo </w:t>
            </w:r>
          </w:p>
          <w:p w14:paraId="6C766231" w14:textId="77777777" w:rsidR="00C04CAD" w:rsidRDefault="00060E34">
            <w:pPr>
              <w:tabs>
                <w:tab w:val="clear" w:pos="567"/>
              </w:tabs>
              <w:autoSpaceDE w:val="0"/>
              <w:autoSpaceDN w:val="0"/>
              <w:adjustRightInd w:val="0"/>
              <w:spacing w:line="240" w:lineRule="auto"/>
              <w:jc w:val="center"/>
            </w:pPr>
            <w:r>
              <w:rPr>
                <w:b/>
              </w:rPr>
              <w:t>N=107</w:t>
            </w:r>
          </w:p>
        </w:tc>
        <w:tc>
          <w:tcPr>
            <w:tcW w:w="1893" w:type="pct"/>
            <w:tcBorders>
              <w:top w:val="single" w:sz="4" w:space="0" w:color="000000"/>
              <w:left w:val="single" w:sz="4" w:space="0" w:color="000000"/>
              <w:bottom w:val="single" w:sz="4" w:space="0" w:color="000000"/>
              <w:right w:val="single" w:sz="4" w:space="0" w:color="000000"/>
            </w:tcBorders>
          </w:tcPr>
          <w:p w14:paraId="14A1EF29" w14:textId="77777777" w:rsidR="00C04CAD" w:rsidRDefault="00060E34">
            <w:pPr>
              <w:tabs>
                <w:tab w:val="clear" w:pos="567"/>
              </w:tabs>
              <w:autoSpaceDE w:val="0"/>
              <w:autoSpaceDN w:val="0"/>
              <w:adjustRightInd w:val="0"/>
              <w:spacing w:line="240" w:lineRule="auto"/>
              <w:jc w:val="center"/>
              <w:rPr>
                <w:rFonts w:eastAsia="MS Mincho"/>
                <w:b/>
                <w:bCs/>
                <w:szCs w:val="22"/>
                <w:lang w:eastAsia="en-US" w:bidi="ar-SA"/>
              </w:rPr>
            </w:pPr>
            <w:r>
              <w:rPr>
                <w:rFonts w:eastAsia="MS Mincho"/>
                <w:b/>
                <w:bCs/>
                <w:szCs w:val="22"/>
                <w:lang w:eastAsia="en-US" w:bidi="ar-SA"/>
              </w:rPr>
              <w:t xml:space="preserve">Adalimumab </w:t>
            </w:r>
          </w:p>
          <w:p w14:paraId="2360A707" w14:textId="77777777" w:rsidR="00C04CAD" w:rsidRDefault="00060E34">
            <w:pPr>
              <w:tabs>
                <w:tab w:val="clear" w:pos="567"/>
              </w:tabs>
              <w:autoSpaceDE w:val="0"/>
              <w:autoSpaceDN w:val="0"/>
              <w:adjustRightInd w:val="0"/>
              <w:spacing w:line="240" w:lineRule="auto"/>
              <w:jc w:val="center"/>
            </w:pPr>
            <w:r>
              <w:rPr>
                <w:b/>
              </w:rPr>
              <w:t>N=208</w:t>
            </w:r>
          </w:p>
        </w:tc>
      </w:tr>
      <w:tr w:rsidR="00C04CAD" w14:paraId="4E1B3762"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362D3FCE" w14:textId="77777777" w:rsidR="00C04CAD" w:rsidRDefault="00060E34">
            <w:pPr>
              <w:tabs>
                <w:tab w:val="clear" w:pos="567"/>
              </w:tabs>
              <w:kinsoku w:val="0"/>
              <w:overflowPunct w:val="0"/>
              <w:autoSpaceDE w:val="0"/>
              <w:autoSpaceDN w:val="0"/>
              <w:adjustRightInd w:val="0"/>
              <w:spacing w:line="240" w:lineRule="auto"/>
              <w:ind w:left="102"/>
            </w:pPr>
            <w:r>
              <w:t>ASAS</w:t>
            </w:r>
            <w:r>
              <w:rPr>
                <w:vertAlign w:val="superscript"/>
              </w:rPr>
              <w:t>a</w:t>
            </w:r>
            <w:r>
              <w:t xml:space="preserve"> 20</w:t>
            </w:r>
          </w:p>
        </w:tc>
        <w:tc>
          <w:tcPr>
            <w:tcW w:w="1892" w:type="pct"/>
            <w:tcBorders>
              <w:top w:val="single" w:sz="4" w:space="0" w:color="000000"/>
              <w:left w:val="single" w:sz="4" w:space="0" w:color="000000"/>
              <w:bottom w:val="single" w:sz="4" w:space="0" w:color="000000"/>
              <w:right w:val="single" w:sz="4" w:space="0" w:color="000000"/>
            </w:tcBorders>
          </w:tcPr>
          <w:p w14:paraId="00F5A0B3" w14:textId="77777777" w:rsidR="00C04CAD" w:rsidRDefault="00C04CAD">
            <w:pPr>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6A22A4DA" w14:textId="77777777" w:rsidR="00C04CAD" w:rsidRDefault="00C04CAD">
            <w:pPr>
              <w:tabs>
                <w:tab w:val="clear" w:pos="567"/>
              </w:tabs>
              <w:autoSpaceDE w:val="0"/>
              <w:autoSpaceDN w:val="0"/>
              <w:adjustRightInd w:val="0"/>
              <w:spacing w:line="240" w:lineRule="auto"/>
              <w:jc w:val="center"/>
            </w:pPr>
          </w:p>
        </w:tc>
      </w:tr>
      <w:tr w:rsidR="00C04CAD" w14:paraId="3E3705AA" w14:textId="77777777">
        <w:trPr>
          <w:trHeight w:hRule="exact" w:val="266"/>
        </w:trPr>
        <w:tc>
          <w:tcPr>
            <w:tcW w:w="1215" w:type="pct"/>
            <w:tcBorders>
              <w:top w:val="single" w:sz="4" w:space="0" w:color="000000"/>
              <w:left w:val="single" w:sz="4" w:space="0" w:color="000000"/>
              <w:bottom w:val="single" w:sz="4" w:space="0" w:color="000000"/>
              <w:right w:val="single" w:sz="4" w:space="0" w:color="000000"/>
            </w:tcBorders>
          </w:tcPr>
          <w:p w14:paraId="05287708" w14:textId="77777777" w:rsidR="00C04CAD" w:rsidRDefault="00060E34">
            <w:pPr>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7C6B2BDE" w14:textId="77777777" w:rsidR="00C04CAD" w:rsidRDefault="00060E34">
            <w:pPr>
              <w:tabs>
                <w:tab w:val="clear" w:pos="567"/>
              </w:tabs>
              <w:kinsoku w:val="0"/>
              <w:overflowPunct w:val="0"/>
              <w:autoSpaceDE w:val="0"/>
              <w:autoSpaceDN w:val="0"/>
              <w:adjustRightInd w:val="0"/>
              <w:spacing w:line="240" w:lineRule="auto"/>
              <w:ind w:left="99"/>
              <w:jc w:val="center"/>
            </w:pPr>
            <w:r>
              <w:t>16%</w:t>
            </w:r>
          </w:p>
        </w:tc>
        <w:tc>
          <w:tcPr>
            <w:tcW w:w="1893" w:type="pct"/>
            <w:tcBorders>
              <w:top w:val="single" w:sz="4" w:space="0" w:color="000000"/>
              <w:left w:val="single" w:sz="4" w:space="0" w:color="000000"/>
              <w:bottom w:val="single" w:sz="4" w:space="0" w:color="000000"/>
              <w:right w:val="single" w:sz="4" w:space="0" w:color="000000"/>
            </w:tcBorders>
          </w:tcPr>
          <w:p w14:paraId="367EEC2B" w14:textId="77777777" w:rsidR="00C04CAD" w:rsidRDefault="00060E34">
            <w:pPr>
              <w:tabs>
                <w:tab w:val="clear" w:pos="567"/>
              </w:tabs>
              <w:kinsoku w:val="0"/>
              <w:overflowPunct w:val="0"/>
              <w:autoSpaceDE w:val="0"/>
              <w:autoSpaceDN w:val="0"/>
              <w:adjustRightInd w:val="0"/>
              <w:spacing w:line="240" w:lineRule="auto"/>
              <w:ind w:left="99"/>
              <w:jc w:val="center"/>
            </w:pPr>
            <w:r>
              <w:t>42%***</w:t>
            </w:r>
          </w:p>
        </w:tc>
      </w:tr>
      <w:tr w:rsidR="00C04CAD" w14:paraId="29EDAF2E"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5FE10EA4" w14:textId="77777777" w:rsidR="00C04CAD" w:rsidRDefault="00060E34">
            <w:pPr>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57FB9925" w14:textId="77777777" w:rsidR="00C04CAD" w:rsidRDefault="00060E34">
            <w:pPr>
              <w:tabs>
                <w:tab w:val="clear" w:pos="567"/>
              </w:tabs>
              <w:kinsoku w:val="0"/>
              <w:overflowPunct w:val="0"/>
              <w:autoSpaceDE w:val="0"/>
              <w:autoSpaceDN w:val="0"/>
              <w:adjustRightInd w:val="0"/>
              <w:spacing w:line="240" w:lineRule="auto"/>
              <w:ind w:left="99"/>
              <w:jc w:val="center"/>
            </w:pPr>
            <w:r>
              <w:t>21%</w:t>
            </w:r>
          </w:p>
        </w:tc>
        <w:tc>
          <w:tcPr>
            <w:tcW w:w="1893" w:type="pct"/>
            <w:tcBorders>
              <w:top w:val="single" w:sz="4" w:space="0" w:color="000000"/>
              <w:left w:val="single" w:sz="4" w:space="0" w:color="000000"/>
              <w:bottom w:val="single" w:sz="4" w:space="0" w:color="000000"/>
              <w:right w:val="single" w:sz="4" w:space="0" w:color="000000"/>
            </w:tcBorders>
          </w:tcPr>
          <w:p w14:paraId="6A2F0C09" w14:textId="77777777" w:rsidR="00C04CAD" w:rsidRDefault="00060E34">
            <w:pPr>
              <w:tabs>
                <w:tab w:val="clear" w:pos="567"/>
              </w:tabs>
              <w:kinsoku w:val="0"/>
              <w:overflowPunct w:val="0"/>
              <w:autoSpaceDE w:val="0"/>
              <w:autoSpaceDN w:val="0"/>
              <w:adjustRightInd w:val="0"/>
              <w:spacing w:line="240" w:lineRule="auto"/>
              <w:ind w:left="99"/>
              <w:jc w:val="center"/>
            </w:pPr>
            <w:r>
              <w:t>58%***</w:t>
            </w:r>
          </w:p>
        </w:tc>
      </w:tr>
      <w:tr w:rsidR="00C04CAD" w14:paraId="16427A7D" w14:textId="77777777">
        <w:trPr>
          <w:trHeight w:hRule="exact" w:val="266"/>
        </w:trPr>
        <w:tc>
          <w:tcPr>
            <w:tcW w:w="1215" w:type="pct"/>
            <w:tcBorders>
              <w:top w:val="single" w:sz="4" w:space="0" w:color="000000"/>
              <w:left w:val="single" w:sz="4" w:space="0" w:color="000000"/>
              <w:bottom w:val="single" w:sz="4" w:space="0" w:color="000000"/>
              <w:right w:val="single" w:sz="4" w:space="0" w:color="000000"/>
            </w:tcBorders>
          </w:tcPr>
          <w:p w14:paraId="1E663F7F"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539E9F10" w14:textId="77777777" w:rsidR="00C04CAD" w:rsidRDefault="00060E34">
            <w:pPr>
              <w:tabs>
                <w:tab w:val="clear" w:pos="567"/>
              </w:tabs>
              <w:kinsoku w:val="0"/>
              <w:overflowPunct w:val="0"/>
              <w:autoSpaceDE w:val="0"/>
              <w:autoSpaceDN w:val="0"/>
              <w:adjustRightInd w:val="0"/>
              <w:spacing w:line="240" w:lineRule="auto"/>
              <w:ind w:left="99"/>
              <w:jc w:val="center"/>
            </w:pPr>
            <w:r>
              <w:t>19%</w:t>
            </w:r>
          </w:p>
        </w:tc>
        <w:tc>
          <w:tcPr>
            <w:tcW w:w="1893" w:type="pct"/>
            <w:tcBorders>
              <w:top w:val="single" w:sz="4" w:space="0" w:color="000000"/>
              <w:left w:val="single" w:sz="4" w:space="0" w:color="000000"/>
              <w:bottom w:val="single" w:sz="4" w:space="0" w:color="000000"/>
              <w:right w:val="single" w:sz="4" w:space="0" w:color="000000"/>
            </w:tcBorders>
          </w:tcPr>
          <w:p w14:paraId="0748FDEF" w14:textId="77777777" w:rsidR="00C04CAD" w:rsidRDefault="00060E34">
            <w:pPr>
              <w:tabs>
                <w:tab w:val="clear" w:pos="567"/>
              </w:tabs>
              <w:kinsoku w:val="0"/>
              <w:overflowPunct w:val="0"/>
              <w:autoSpaceDE w:val="0"/>
              <w:autoSpaceDN w:val="0"/>
              <w:adjustRightInd w:val="0"/>
              <w:spacing w:line="240" w:lineRule="auto"/>
              <w:ind w:left="99"/>
              <w:jc w:val="center"/>
            </w:pPr>
            <w:r>
              <w:t>51%***</w:t>
            </w:r>
          </w:p>
        </w:tc>
      </w:tr>
      <w:tr w:rsidR="00C04CAD" w14:paraId="1D3D9682" w14:textId="77777777">
        <w:trPr>
          <w:trHeight w:hRule="exact" w:val="269"/>
        </w:trPr>
        <w:tc>
          <w:tcPr>
            <w:tcW w:w="1215" w:type="pct"/>
            <w:tcBorders>
              <w:top w:val="single" w:sz="4" w:space="0" w:color="000000"/>
              <w:left w:val="single" w:sz="4" w:space="0" w:color="000000"/>
              <w:bottom w:val="single" w:sz="4" w:space="0" w:color="000000"/>
              <w:right w:val="single" w:sz="4" w:space="0" w:color="000000"/>
            </w:tcBorders>
          </w:tcPr>
          <w:p w14:paraId="0F61DDE3" w14:textId="77777777" w:rsidR="00C04CAD" w:rsidRDefault="00060E34">
            <w:pPr>
              <w:keepNext/>
              <w:keepLines/>
              <w:tabs>
                <w:tab w:val="clear" w:pos="567"/>
              </w:tabs>
              <w:kinsoku w:val="0"/>
              <w:overflowPunct w:val="0"/>
              <w:autoSpaceDE w:val="0"/>
              <w:autoSpaceDN w:val="0"/>
              <w:adjustRightInd w:val="0"/>
              <w:spacing w:line="240" w:lineRule="auto"/>
              <w:ind w:left="102"/>
            </w:pPr>
            <w:r>
              <w:t>ASAS 50</w:t>
            </w:r>
          </w:p>
        </w:tc>
        <w:tc>
          <w:tcPr>
            <w:tcW w:w="1892" w:type="pct"/>
            <w:tcBorders>
              <w:top w:val="single" w:sz="4" w:space="0" w:color="000000"/>
              <w:left w:val="single" w:sz="4" w:space="0" w:color="000000"/>
              <w:bottom w:val="single" w:sz="4" w:space="0" w:color="000000"/>
              <w:right w:val="single" w:sz="4" w:space="0" w:color="000000"/>
            </w:tcBorders>
          </w:tcPr>
          <w:p w14:paraId="388A0417" w14:textId="77777777" w:rsidR="00C04CAD" w:rsidRDefault="00C04CAD">
            <w:pPr>
              <w:keepNext/>
              <w:keepLines/>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21CBA9CB" w14:textId="77777777" w:rsidR="00C04CAD" w:rsidRDefault="00C04CAD">
            <w:pPr>
              <w:keepNext/>
              <w:keepLines/>
              <w:tabs>
                <w:tab w:val="clear" w:pos="567"/>
              </w:tabs>
              <w:autoSpaceDE w:val="0"/>
              <w:autoSpaceDN w:val="0"/>
              <w:adjustRightInd w:val="0"/>
              <w:spacing w:line="240" w:lineRule="auto"/>
              <w:jc w:val="center"/>
            </w:pPr>
          </w:p>
        </w:tc>
      </w:tr>
      <w:tr w:rsidR="00C04CAD" w14:paraId="0CAD7645" w14:textId="77777777">
        <w:trPr>
          <w:trHeight w:hRule="exact" w:val="274"/>
        </w:trPr>
        <w:tc>
          <w:tcPr>
            <w:tcW w:w="1215" w:type="pct"/>
            <w:tcBorders>
              <w:top w:val="single" w:sz="4" w:space="0" w:color="000000"/>
              <w:left w:val="single" w:sz="4" w:space="0" w:color="000000"/>
              <w:bottom w:val="single" w:sz="4" w:space="0" w:color="000000"/>
              <w:right w:val="single" w:sz="4" w:space="0" w:color="000000"/>
            </w:tcBorders>
          </w:tcPr>
          <w:p w14:paraId="5EC3B0D2" w14:textId="77777777" w:rsidR="00C04CAD" w:rsidRDefault="00060E34">
            <w:pPr>
              <w:keepNext/>
              <w:keepLines/>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14635FF4" w14:textId="77777777" w:rsidR="00C04CAD" w:rsidRDefault="00060E34">
            <w:pPr>
              <w:keepNext/>
              <w:keepLines/>
              <w:tabs>
                <w:tab w:val="clear" w:pos="567"/>
              </w:tabs>
              <w:kinsoku w:val="0"/>
              <w:overflowPunct w:val="0"/>
              <w:autoSpaceDE w:val="0"/>
              <w:autoSpaceDN w:val="0"/>
              <w:adjustRightInd w:val="0"/>
              <w:spacing w:line="240" w:lineRule="auto"/>
              <w:ind w:left="99"/>
              <w:jc w:val="center"/>
            </w:pPr>
            <w:r>
              <w:t>3%</w:t>
            </w:r>
          </w:p>
        </w:tc>
        <w:tc>
          <w:tcPr>
            <w:tcW w:w="1893" w:type="pct"/>
            <w:tcBorders>
              <w:top w:val="single" w:sz="4" w:space="0" w:color="000000"/>
              <w:left w:val="single" w:sz="4" w:space="0" w:color="000000"/>
              <w:bottom w:val="single" w:sz="4" w:space="0" w:color="000000"/>
              <w:right w:val="single" w:sz="4" w:space="0" w:color="000000"/>
            </w:tcBorders>
          </w:tcPr>
          <w:p w14:paraId="4364CA30" w14:textId="77777777" w:rsidR="00C04CAD" w:rsidRDefault="00060E34">
            <w:pPr>
              <w:keepNext/>
              <w:keepLines/>
              <w:tabs>
                <w:tab w:val="clear" w:pos="567"/>
              </w:tabs>
              <w:kinsoku w:val="0"/>
              <w:overflowPunct w:val="0"/>
              <w:autoSpaceDE w:val="0"/>
              <w:autoSpaceDN w:val="0"/>
              <w:adjustRightInd w:val="0"/>
              <w:spacing w:line="240" w:lineRule="auto"/>
              <w:ind w:left="99"/>
              <w:jc w:val="center"/>
            </w:pPr>
            <w:r>
              <w:t>16%***</w:t>
            </w:r>
          </w:p>
        </w:tc>
      </w:tr>
      <w:tr w:rsidR="00C04CAD" w14:paraId="50A9EAE3" w14:textId="77777777">
        <w:trPr>
          <w:trHeight w:hRule="exact" w:val="290"/>
        </w:trPr>
        <w:tc>
          <w:tcPr>
            <w:tcW w:w="1215" w:type="pct"/>
            <w:tcBorders>
              <w:top w:val="single" w:sz="4" w:space="0" w:color="000000"/>
              <w:left w:val="single" w:sz="4" w:space="0" w:color="000000"/>
              <w:bottom w:val="single" w:sz="4" w:space="0" w:color="000000"/>
              <w:right w:val="single" w:sz="4" w:space="0" w:color="000000"/>
            </w:tcBorders>
          </w:tcPr>
          <w:p w14:paraId="759EFEF1" w14:textId="77777777" w:rsidR="00C04CAD" w:rsidRDefault="00060E34">
            <w:pPr>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6FA7677F" w14:textId="77777777" w:rsidR="00C04CAD" w:rsidRDefault="00060E34">
            <w:pPr>
              <w:tabs>
                <w:tab w:val="clear" w:pos="567"/>
              </w:tabs>
              <w:kinsoku w:val="0"/>
              <w:overflowPunct w:val="0"/>
              <w:autoSpaceDE w:val="0"/>
              <w:autoSpaceDN w:val="0"/>
              <w:adjustRightInd w:val="0"/>
              <w:spacing w:line="240" w:lineRule="auto"/>
              <w:ind w:left="99"/>
              <w:jc w:val="center"/>
            </w:pPr>
            <w:r>
              <w:t>10%</w:t>
            </w:r>
          </w:p>
        </w:tc>
        <w:tc>
          <w:tcPr>
            <w:tcW w:w="1893" w:type="pct"/>
            <w:tcBorders>
              <w:top w:val="single" w:sz="4" w:space="0" w:color="000000"/>
              <w:left w:val="single" w:sz="4" w:space="0" w:color="000000"/>
              <w:bottom w:val="single" w:sz="4" w:space="0" w:color="000000"/>
              <w:right w:val="single" w:sz="4" w:space="0" w:color="000000"/>
            </w:tcBorders>
          </w:tcPr>
          <w:p w14:paraId="043A6E66" w14:textId="77777777" w:rsidR="00C04CAD" w:rsidRDefault="00060E34">
            <w:pPr>
              <w:tabs>
                <w:tab w:val="clear" w:pos="567"/>
              </w:tabs>
              <w:kinsoku w:val="0"/>
              <w:overflowPunct w:val="0"/>
              <w:autoSpaceDE w:val="0"/>
              <w:autoSpaceDN w:val="0"/>
              <w:adjustRightInd w:val="0"/>
              <w:spacing w:line="240" w:lineRule="auto"/>
              <w:ind w:left="99"/>
              <w:jc w:val="center"/>
            </w:pPr>
            <w:r>
              <w:t>38%***</w:t>
            </w:r>
          </w:p>
        </w:tc>
      </w:tr>
      <w:tr w:rsidR="00C04CAD" w14:paraId="0C923818"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21A4EA46"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4EBC30CF" w14:textId="77777777" w:rsidR="00C04CAD" w:rsidRDefault="00060E34">
            <w:pPr>
              <w:tabs>
                <w:tab w:val="clear" w:pos="567"/>
              </w:tabs>
              <w:kinsoku w:val="0"/>
              <w:overflowPunct w:val="0"/>
              <w:autoSpaceDE w:val="0"/>
              <w:autoSpaceDN w:val="0"/>
              <w:adjustRightInd w:val="0"/>
              <w:spacing w:line="240" w:lineRule="auto"/>
              <w:ind w:left="99"/>
              <w:jc w:val="center"/>
            </w:pPr>
            <w:r>
              <w:t>11%</w:t>
            </w:r>
          </w:p>
        </w:tc>
        <w:tc>
          <w:tcPr>
            <w:tcW w:w="1893" w:type="pct"/>
            <w:tcBorders>
              <w:top w:val="single" w:sz="4" w:space="0" w:color="000000"/>
              <w:left w:val="single" w:sz="4" w:space="0" w:color="000000"/>
              <w:bottom w:val="single" w:sz="4" w:space="0" w:color="000000"/>
              <w:right w:val="single" w:sz="4" w:space="0" w:color="000000"/>
            </w:tcBorders>
          </w:tcPr>
          <w:p w14:paraId="24A94394" w14:textId="77777777" w:rsidR="00C04CAD" w:rsidRDefault="00060E34">
            <w:pPr>
              <w:tabs>
                <w:tab w:val="clear" w:pos="567"/>
              </w:tabs>
              <w:kinsoku w:val="0"/>
              <w:overflowPunct w:val="0"/>
              <w:autoSpaceDE w:val="0"/>
              <w:autoSpaceDN w:val="0"/>
              <w:adjustRightInd w:val="0"/>
              <w:spacing w:line="240" w:lineRule="auto"/>
              <w:ind w:left="99"/>
              <w:jc w:val="center"/>
            </w:pPr>
            <w:r>
              <w:t>35%***</w:t>
            </w:r>
          </w:p>
        </w:tc>
      </w:tr>
      <w:tr w:rsidR="00C04CAD" w14:paraId="21D37CBB" w14:textId="77777777">
        <w:trPr>
          <w:trHeight w:hRule="exact" w:val="300"/>
        </w:trPr>
        <w:tc>
          <w:tcPr>
            <w:tcW w:w="1215" w:type="pct"/>
            <w:tcBorders>
              <w:top w:val="single" w:sz="4" w:space="0" w:color="000000"/>
              <w:left w:val="single" w:sz="4" w:space="0" w:color="000000"/>
              <w:bottom w:val="single" w:sz="4" w:space="0" w:color="000000"/>
              <w:right w:val="single" w:sz="4" w:space="0" w:color="000000"/>
            </w:tcBorders>
          </w:tcPr>
          <w:p w14:paraId="607EB474" w14:textId="77777777" w:rsidR="00C04CAD" w:rsidRDefault="00060E34">
            <w:pPr>
              <w:keepNext/>
              <w:tabs>
                <w:tab w:val="clear" w:pos="567"/>
              </w:tabs>
              <w:kinsoku w:val="0"/>
              <w:overflowPunct w:val="0"/>
              <w:autoSpaceDE w:val="0"/>
              <w:autoSpaceDN w:val="0"/>
              <w:adjustRightInd w:val="0"/>
              <w:spacing w:line="240" w:lineRule="auto"/>
              <w:ind w:left="102"/>
            </w:pPr>
            <w:r>
              <w:t>ASAS 70</w:t>
            </w:r>
          </w:p>
        </w:tc>
        <w:tc>
          <w:tcPr>
            <w:tcW w:w="1892" w:type="pct"/>
            <w:tcBorders>
              <w:top w:val="single" w:sz="4" w:space="0" w:color="000000"/>
              <w:left w:val="single" w:sz="4" w:space="0" w:color="000000"/>
              <w:bottom w:val="single" w:sz="4" w:space="0" w:color="000000"/>
              <w:right w:val="single" w:sz="4" w:space="0" w:color="000000"/>
            </w:tcBorders>
          </w:tcPr>
          <w:p w14:paraId="77DDA7C5" w14:textId="77777777" w:rsidR="00C04CAD" w:rsidRDefault="00C04CAD">
            <w:pPr>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0D7A2469" w14:textId="77777777" w:rsidR="00C04CAD" w:rsidRDefault="00C04CAD">
            <w:pPr>
              <w:tabs>
                <w:tab w:val="clear" w:pos="567"/>
              </w:tabs>
              <w:autoSpaceDE w:val="0"/>
              <w:autoSpaceDN w:val="0"/>
              <w:adjustRightInd w:val="0"/>
              <w:spacing w:line="240" w:lineRule="auto"/>
              <w:jc w:val="center"/>
            </w:pPr>
          </w:p>
        </w:tc>
      </w:tr>
      <w:tr w:rsidR="00C04CAD" w14:paraId="218A5690"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4964C855"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3A6639C6" w14:textId="77777777" w:rsidR="00C04CAD" w:rsidRDefault="00060E34">
            <w:pPr>
              <w:tabs>
                <w:tab w:val="clear" w:pos="567"/>
              </w:tabs>
              <w:kinsoku w:val="0"/>
              <w:overflowPunct w:val="0"/>
              <w:autoSpaceDE w:val="0"/>
              <w:autoSpaceDN w:val="0"/>
              <w:adjustRightInd w:val="0"/>
              <w:spacing w:line="240" w:lineRule="auto"/>
              <w:ind w:left="99"/>
              <w:jc w:val="center"/>
            </w:pPr>
            <w:r>
              <w:t>0%</w:t>
            </w:r>
          </w:p>
        </w:tc>
        <w:tc>
          <w:tcPr>
            <w:tcW w:w="1893" w:type="pct"/>
            <w:tcBorders>
              <w:top w:val="single" w:sz="4" w:space="0" w:color="000000"/>
              <w:left w:val="single" w:sz="4" w:space="0" w:color="000000"/>
              <w:bottom w:val="single" w:sz="4" w:space="0" w:color="000000"/>
              <w:right w:val="single" w:sz="4" w:space="0" w:color="000000"/>
            </w:tcBorders>
          </w:tcPr>
          <w:p w14:paraId="7EC3330C" w14:textId="77777777" w:rsidR="00C04CAD" w:rsidRDefault="00060E34">
            <w:pPr>
              <w:tabs>
                <w:tab w:val="clear" w:pos="567"/>
              </w:tabs>
              <w:kinsoku w:val="0"/>
              <w:overflowPunct w:val="0"/>
              <w:autoSpaceDE w:val="0"/>
              <w:autoSpaceDN w:val="0"/>
              <w:adjustRightInd w:val="0"/>
              <w:spacing w:line="240" w:lineRule="auto"/>
              <w:ind w:left="99"/>
              <w:jc w:val="center"/>
            </w:pPr>
            <w:r>
              <w:t>7%**</w:t>
            </w:r>
          </w:p>
        </w:tc>
      </w:tr>
      <w:tr w:rsidR="00C04CAD" w14:paraId="704F6E38"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532787E3"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2E94E46F" w14:textId="77777777" w:rsidR="00C04CAD" w:rsidRDefault="00060E34">
            <w:pPr>
              <w:tabs>
                <w:tab w:val="clear" w:pos="567"/>
              </w:tabs>
              <w:kinsoku w:val="0"/>
              <w:overflowPunct w:val="0"/>
              <w:autoSpaceDE w:val="0"/>
              <w:autoSpaceDN w:val="0"/>
              <w:adjustRightInd w:val="0"/>
              <w:spacing w:line="240" w:lineRule="auto"/>
              <w:ind w:left="99"/>
              <w:jc w:val="center"/>
            </w:pPr>
            <w:r>
              <w:t>5%</w:t>
            </w:r>
          </w:p>
        </w:tc>
        <w:tc>
          <w:tcPr>
            <w:tcW w:w="1893" w:type="pct"/>
            <w:tcBorders>
              <w:top w:val="single" w:sz="4" w:space="0" w:color="000000"/>
              <w:left w:val="single" w:sz="4" w:space="0" w:color="000000"/>
              <w:bottom w:val="single" w:sz="4" w:space="0" w:color="000000"/>
              <w:right w:val="single" w:sz="4" w:space="0" w:color="000000"/>
            </w:tcBorders>
          </w:tcPr>
          <w:p w14:paraId="210C4F6B" w14:textId="77777777" w:rsidR="00C04CAD" w:rsidRDefault="00060E34">
            <w:pPr>
              <w:tabs>
                <w:tab w:val="clear" w:pos="567"/>
              </w:tabs>
              <w:kinsoku w:val="0"/>
              <w:overflowPunct w:val="0"/>
              <w:autoSpaceDE w:val="0"/>
              <w:autoSpaceDN w:val="0"/>
              <w:adjustRightInd w:val="0"/>
              <w:spacing w:line="240" w:lineRule="auto"/>
              <w:ind w:left="99"/>
              <w:jc w:val="center"/>
            </w:pPr>
            <w:r>
              <w:t>23%***</w:t>
            </w:r>
          </w:p>
        </w:tc>
      </w:tr>
      <w:tr w:rsidR="00C04CAD" w14:paraId="4174D0B7"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32445CF2"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03AE7A79" w14:textId="77777777" w:rsidR="00C04CAD" w:rsidRDefault="00060E34">
            <w:pPr>
              <w:tabs>
                <w:tab w:val="clear" w:pos="567"/>
              </w:tabs>
              <w:kinsoku w:val="0"/>
              <w:overflowPunct w:val="0"/>
              <w:autoSpaceDE w:val="0"/>
              <w:autoSpaceDN w:val="0"/>
              <w:adjustRightInd w:val="0"/>
              <w:spacing w:line="240" w:lineRule="auto"/>
              <w:ind w:left="99"/>
              <w:jc w:val="center"/>
            </w:pPr>
            <w:r>
              <w:t>8%</w:t>
            </w:r>
          </w:p>
        </w:tc>
        <w:tc>
          <w:tcPr>
            <w:tcW w:w="1893" w:type="pct"/>
            <w:tcBorders>
              <w:top w:val="single" w:sz="4" w:space="0" w:color="000000"/>
              <w:left w:val="single" w:sz="4" w:space="0" w:color="000000"/>
              <w:bottom w:val="single" w:sz="4" w:space="0" w:color="000000"/>
              <w:right w:val="single" w:sz="4" w:space="0" w:color="000000"/>
            </w:tcBorders>
          </w:tcPr>
          <w:p w14:paraId="579D1D2B" w14:textId="77777777" w:rsidR="00C04CAD" w:rsidRDefault="00060E34">
            <w:pPr>
              <w:tabs>
                <w:tab w:val="clear" w:pos="567"/>
              </w:tabs>
              <w:kinsoku w:val="0"/>
              <w:overflowPunct w:val="0"/>
              <w:autoSpaceDE w:val="0"/>
              <w:autoSpaceDN w:val="0"/>
              <w:adjustRightInd w:val="0"/>
              <w:spacing w:line="240" w:lineRule="auto"/>
              <w:ind w:left="99"/>
              <w:jc w:val="center"/>
            </w:pPr>
            <w:r>
              <w:t>24%***</w:t>
            </w:r>
          </w:p>
        </w:tc>
      </w:tr>
      <w:tr w:rsidR="00C04CAD" w14:paraId="20872C96"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3977CB02" w14:textId="77777777" w:rsidR="00C04CAD" w:rsidRDefault="00060E34">
            <w:pPr>
              <w:keepNext/>
              <w:tabs>
                <w:tab w:val="clear" w:pos="567"/>
              </w:tabs>
              <w:kinsoku w:val="0"/>
              <w:overflowPunct w:val="0"/>
              <w:autoSpaceDE w:val="0"/>
              <w:autoSpaceDN w:val="0"/>
              <w:adjustRightInd w:val="0"/>
              <w:spacing w:line="240" w:lineRule="auto"/>
              <w:ind w:left="102"/>
            </w:pPr>
            <w:r>
              <w:t>BASDAI</w:t>
            </w:r>
            <w:r>
              <w:rPr>
                <w:vertAlign w:val="superscript"/>
              </w:rPr>
              <w:t>b</w:t>
            </w:r>
            <w:r>
              <w:t xml:space="preserve"> 50</w:t>
            </w:r>
          </w:p>
        </w:tc>
        <w:tc>
          <w:tcPr>
            <w:tcW w:w="1892" w:type="pct"/>
            <w:tcBorders>
              <w:top w:val="single" w:sz="4" w:space="0" w:color="000000"/>
              <w:left w:val="single" w:sz="4" w:space="0" w:color="000000"/>
              <w:bottom w:val="single" w:sz="4" w:space="0" w:color="000000"/>
              <w:right w:val="single" w:sz="4" w:space="0" w:color="000000"/>
            </w:tcBorders>
          </w:tcPr>
          <w:p w14:paraId="43B3CCFD" w14:textId="77777777" w:rsidR="00C04CAD" w:rsidRDefault="00C04CAD">
            <w:pPr>
              <w:keepNext/>
              <w:tabs>
                <w:tab w:val="clear" w:pos="567"/>
              </w:tabs>
              <w:autoSpaceDE w:val="0"/>
              <w:autoSpaceDN w:val="0"/>
              <w:adjustRightInd w:val="0"/>
              <w:spacing w:line="240" w:lineRule="auto"/>
              <w:jc w:val="center"/>
            </w:pPr>
          </w:p>
        </w:tc>
        <w:tc>
          <w:tcPr>
            <w:tcW w:w="1893" w:type="pct"/>
            <w:tcBorders>
              <w:top w:val="single" w:sz="4" w:space="0" w:color="000000"/>
              <w:left w:val="single" w:sz="4" w:space="0" w:color="000000"/>
              <w:bottom w:val="single" w:sz="4" w:space="0" w:color="000000"/>
              <w:right w:val="single" w:sz="4" w:space="0" w:color="000000"/>
            </w:tcBorders>
          </w:tcPr>
          <w:p w14:paraId="63CBE7C4" w14:textId="77777777" w:rsidR="00C04CAD" w:rsidRDefault="00C04CAD">
            <w:pPr>
              <w:keepNext/>
              <w:tabs>
                <w:tab w:val="clear" w:pos="567"/>
              </w:tabs>
              <w:autoSpaceDE w:val="0"/>
              <w:autoSpaceDN w:val="0"/>
              <w:adjustRightInd w:val="0"/>
              <w:spacing w:line="240" w:lineRule="auto"/>
              <w:jc w:val="center"/>
            </w:pPr>
          </w:p>
        </w:tc>
      </w:tr>
      <w:tr w:rsidR="00C04CAD" w14:paraId="10ABF09E"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7CC63CEC" w14:textId="77777777" w:rsidR="00C04CAD" w:rsidRDefault="00060E34">
            <w:pPr>
              <w:keepNext/>
              <w:tabs>
                <w:tab w:val="clear" w:pos="567"/>
              </w:tabs>
              <w:kinsoku w:val="0"/>
              <w:overflowPunct w:val="0"/>
              <w:autoSpaceDE w:val="0"/>
              <w:autoSpaceDN w:val="0"/>
              <w:adjustRightInd w:val="0"/>
              <w:spacing w:line="240" w:lineRule="auto"/>
              <w:ind w:left="819"/>
              <w:jc w:val="center"/>
            </w:pPr>
            <w:r>
              <w:t>Săptămâna 2</w:t>
            </w:r>
          </w:p>
        </w:tc>
        <w:tc>
          <w:tcPr>
            <w:tcW w:w="1892" w:type="pct"/>
            <w:tcBorders>
              <w:top w:val="single" w:sz="4" w:space="0" w:color="000000"/>
              <w:left w:val="single" w:sz="4" w:space="0" w:color="000000"/>
              <w:bottom w:val="single" w:sz="4" w:space="0" w:color="000000"/>
              <w:right w:val="single" w:sz="4" w:space="0" w:color="000000"/>
            </w:tcBorders>
          </w:tcPr>
          <w:p w14:paraId="5C1C200B" w14:textId="77777777" w:rsidR="00C04CAD" w:rsidRDefault="00060E34">
            <w:pPr>
              <w:keepNext/>
              <w:tabs>
                <w:tab w:val="clear" w:pos="567"/>
              </w:tabs>
              <w:kinsoku w:val="0"/>
              <w:overflowPunct w:val="0"/>
              <w:autoSpaceDE w:val="0"/>
              <w:autoSpaceDN w:val="0"/>
              <w:adjustRightInd w:val="0"/>
              <w:spacing w:line="240" w:lineRule="auto"/>
              <w:ind w:left="99"/>
              <w:jc w:val="center"/>
            </w:pPr>
            <w:r>
              <w:t>4%</w:t>
            </w:r>
          </w:p>
        </w:tc>
        <w:tc>
          <w:tcPr>
            <w:tcW w:w="1893" w:type="pct"/>
            <w:tcBorders>
              <w:top w:val="single" w:sz="4" w:space="0" w:color="000000"/>
              <w:left w:val="single" w:sz="4" w:space="0" w:color="000000"/>
              <w:bottom w:val="single" w:sz="4" w:space="0" w:color="000000"/>
              <w:right w:val="single" w:sz="4" w:space="0" w:color="000000"/>
            </w:tcBorders>
          </w:tcPr>
          <w:p w14:paraId="3E063F01" w14:textId="77777777" w:rsidR="00C04CAD" w:rsidRDefault="00060E34">
            <w:pPr>
              <w:keepNext/>
              <w:tabs>
                <w:tab w:val="clear" w:pos="567"/>
              </w:tabs>
              <w:kinsoku w:val="0"/>
              <w:overflowPunct w:val="0"/>
              <w:autoSpaceDE w:val="0"/>
              <w:autoSpaceDN w:val="0"/>
              <w:adjustRightInd w:val="0"/>
              <w:spacing w:line="240" w:lineRule="auto"/>
              <w:ind w:left="99"/>
              <w:jc w:val="center"/>
            </w:pPr>
            <w:r>
              <w:t>20%***</w:t>
            </w:r>
          </w:p>
        </w:tc>
      </w:tr>
      <w:tr w:rsidR="00C04CAD" w14:paraId="68094F46" w14:textId="77777777">
        <w:trPr>
          <w:trHeight w:hRule="exact" w:val="262"/>
        </w:trPr>
        <w:tc>
          <w:tcPr>
            <w:tcW w:w="1215" w:type="pct"/>
            <w:tcBorders>
              <w:top w:val="single" w:sz="4" w:space="0" w:color="000000"/>
              <w:left w:val="single" w:sz="4" w:space="0" w:color="000000"/>
              <w:bottom w:val="single" w:sz="4" w:space="0" w:color="000000"/>
              <w:right w:val="single" w:sz="4" w:space="0" w:color="000000"/>
            </w:tcBorders>
          </w:tcPr>
          <w:p w14:paraId="2F3A9C6A" w14:textId="77777777" w:rsidR="00C04CAD" w:rsidRDefault="00060E34">
            <w:pPr>
              <w:tabs>
                <w:tab w:val="clear" w:pos="567"/>
              </w:tabs>
              <w:kinsoku w:val="0"/>
              <w:overflowPunct w:val="0"/>
              <w:autoSpaceDE w:val="0"/>
              <w:autoSpaceDN w:val="0"/>
              <w:adjustRightInd w:val="0"/>
              <w:spacing w:line="240" w:lineRule="auto"/>
              <w:ind w:left="819"/>
              <w:jc w:val="center"/>
            </w:pPr>
            <w:r>
              <w:t>Săptămâna 12</w:t>
            </w:r>
          </w:p>
        </w:tc>
        <w:tc>
          <w:tcPr>
            <w:tcW w:w="1892" w:type="pct"/>
            <w:tcBorders>
              <w:top w:val="single" w:sz="4" w:space="0" w:color="000000"/>
              <w:left w:val="single" w:sz="4" w:space="0" w:color="000000"/>
              <w:bottom w:val="single" w:sz="4" w:space="0" w:color="000000"/>
              <w:right w:val="single" w:sz="4" w:space="0" w:color="000000"/>
            </w:tcBorders>
          </w:tcPr>
          <w:p w14:paraId="768F5F21" w14:textId="77777777" w:rsidR="00C04CAD" w:rsidRDefault="00060E34">
            <w:pPr>
              <w:tabs>
                <w:tab w:val="clear" w:pos="567"/>
              </w:tabs>
              <w:kinsoku w:val="0"/>
              <w:overflowPunct w:val="0"/>
              <w:autoSpaceDE w:val="0"/>
              <w:autoSpaceDN w:val="0"/>
              <w:adjustRightInd w:val="0"/>
              <w:spacing w:line="240" w:lineRule="auto"/>
              <w:ind w:left="99"/>
              <w:jc w:val="center"/>
            </w:pPr>
            <w:r>
              <w:t>16%</w:t>
            </w:r>
          </w:p>
        </w:tc>
        <w:tc>
          <w:tcPr>
            <w:tcW w:w="1893" w:type="pct"/>
            <w:tcBorders>
              <w:top w:val="single" w:sz="4" w:space="0" w:color="000000"/>
              <w:left w:val="single" w:sz="4" w:space="0" w:color="000000"/>
              <w:bottom w:val="single" w:sz="4" w:space="0" w:color="000000"/>
              <w:right w:val="single" w:sz="4" w:space="0" w:color="000000"/>
            </w:tcBorders>
          </w:tcPr>
          <w:p w14:paraId="75415FE8" w14:textId="77777777" w:rsidR="00C04CAD" w:rsidRDefault="00060E34">
            <w:pPr>
              <w:tabs>
                <w:tab w:val="clear" w:pos="567"/>
              </w:tabs>
              <w:kinsoku w:val="0"/>
              <w:overflowPunct w:val="0"/>
              <w:autoSpaceDE w:val="0"/>
              <w:autoSpaceDN w:val="0"/>
              <w:adjustRightInd w:val="0"/>
              <w:spacing w:line="240" w:lineRule="auto"/>
              <w:ind w:left="99"/>
              <w:jc w:val="center"/>
            </w:pPr>
            <w:r>
              <w:t>45%***</w:t>
            </w:r>
          </w:p>
        </w:tc>
      </w:tr>
      <w:tr w:rsidR="00C04CAD" w14:paraId="4DCE5D96" w14:textId="77777777">
        <w:trPr>
          <w:trHeight w:hRule="exact" w:val="264"/>
        </w:trPr>
        <w:tc>
          <w:tcPr>
            <w:tcW w:w="1215" w:type="pct"/>
            <w:tcBorders>
              <w:top w:val="single" w:sz="4" w:space="0" w:color="000000"/>
              <w:left w:val="single" w:sz="4" w:space="0" w:color="000000"/>
              <w:bottom w:val="single" w:sz="4" w:space="0" w:color="000000"/>
              <w:right w:val="single" w:sz="4" w:space="0" w:color="000000"/>
            </w:tcBorders>
          </w:tcPr>
          <w:p w14:paraId="48332458" w14:textId="77777777" w:rsidR="00C04CAD" w:rsidRDefault="00060E34">
            <w:pPr>
              <w:tabs>
                <w:tab w:val="clear" w:pos="567"/>
              </w:tabs>
              <w:kinsoku w:val="0"/>
              <w:overflowPunct w:val="0"/>
              <w:autoSpaceDE w:val="0"/>
              <w:autoSpaceDN w:val="0"/>
              <w:adjustRightInd w:val="0"/>
              <w:spacing w:line="240" w:lineRule="auto"/>
              <w:ind w:left="819"/>
              <w:jc w:val="center"/>
            </w:pPr>
            <w:r>
              <w:t>Săptămâna 24</w:t>
            </w:r>
          </w:p>
        </w:tc>
        <w:tc>
          <w:tcPr>
            <w:tcW w:w="1892" w:type="pct"/>
            <w:tcBorders>
              <w:top w:val="single" w:sz="4" w:space="0" w:color="000000"/>
              <w:left w:val="single" w:sz="4" w:space="0" w:color="000000"/>
              <w:bottom w:val="single" w:sz="4" w:space="0" w:color="000000"/>
              <w:right w:val="single" w:sz="4" w:space="0" w:color="000000"/>
            </w:tcBorders>
          </w:tcPr>
          <w:p w14:paraId="6D061DBB" w14:textId="77777777" w:rsidR="00C04CAD" w:rsidRDefault="00060E34">
            <w:pPr>
              <w:tabs>
                <w:tab w:val="clear" w:pos="567"/>
              </w:tabs>
              <w:kinsoku w:val="0"/>
              <w:overflowPunct w:val="0"/>
              <w:autoSpaceDE w:val="0"/>
              <w:autoSpaceDN w:val="0"/>
              <w:adjustRightInd w:val="0"/>
              <w:spacing w:line="240" w:lineRule="auto"/>
              <w:ind w:left="99"/>
              <w:jc w:val="center"/>
            </w:pPr>
            <w:r>
              <w:t>15%</w:t>
            </w:r>
          </w:p>
        </w:tc>
        <w:tc>
          <w:tcPr>
            <w:tcW w:w="1893" w:type="pct"/>
            <w:tcBorders>
              <w:top w:val="single" w:sz="4" w:space="0" w:color="000000"/>
              <w:left w:val="single" w:sz="4" w:space="0" w:color="000000"/>
              <w:bottom w:val="single" w:sz="4" w:space="0" w:color="000000"/>
              <w:right w:val="single" w:sz="4" w:space="0" w:color="000000"/>
            </w:tcBorders>
          </w:tcPr>
          <w:p w14:paraId="1EAF8001" w14:textId="77777777" w:rsidR="00C04CAD" w:rsidRDefault="00060E34">
            <w:pPr>
              <w:tabs>
                <w:tab w:val="clear" w:pos="567"/>
              </w:tabs>
              <w:kinsoku w:val="0"/>
              <w:overflowPunct w:val="0"/>
              <w:autoSpaceDE w:val="0"/>
              <w:autoSpaceDN w:val="0"/>
              <w:adjustRightInd w:val="0"/>
              <w:spacing w:line="240" w:lineRule="auto"/>
              <w:ind w:left="99"/>
              <w:jc w:val="center"/>
            </w:pPr>
            <w:r>
              <w:t>42%***</w:t>
            </w:r>
          </w:p>
        </w:tc>
      </w:tr>
    </w:tbl>
    <w:p w14:paraId="00E91851"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 Semnificativ statistic la p &lt;0,001, &lt;0,01 pentru toate comparaţiile între </w:t>
      </w:r>
      <w:r>
        <w:rPr>
          <w:rFonts w:eastAsia="MS Mincho"/>
          <w:sz w:val="20"/>
          <w:lang w:eastAsia="en-US" w:bidi="ar-SA"/>
        </w:rPr>
        <w:t>adalimumab</w:t>
      </w:r>
      <w:r>
        <w:rPr>
          <w:sz w:val="20"/>
        </w:rPr>
        <w:t xml:space="preserve"> şi placebo în săptămânile 2,12 şi 24.</w:t>
      </w:r>
    </w:p>
    <w:p w14:paraId="09568038"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Evaluare în spondilita anchilozantă</w:t>
      </w:r>
    </w:p>
    <w:p w14:paraId="56819EF0"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Index Bath de activitate a spondilitei anchilozante</w:t>
      </w:r>
    </w:p>
    <w:p w14:paraId="45BB442D" w14:textId="77777777" w:rsidR="00C04CAD" w:rsidRDefault="00C04CAD">
      <w:pPr>
        <w:autoSpaceDE w:val="0"/>
        <w:autoSpaceDN w:val="0"/>
        <w:adjustRightInd w:val="0"/>
        <w:spacing w:line="240" w:lineRule="auto"/>
        <w:rPr>
          <w:szCs w:val="22"/>
        </w:rPr>
      </w:pPr>
    </w:p>
    <w:p w14:paraId="3C33528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Pacienţii trataţi cu </w:t>
      </w:r>
      <w:r>
        <w:rPr>
          <w:rFonts w:eastAsia="MS Mincho"/>
          <w:szCs w:val="22"/>
          <w:lang w:eastAsia="en-US" w:bidi="ar-SA"/>
        </w:rPr>
        <w:t>adalimumab</w:t>
      </w:r>
      <w:r>
        <w:rPr>
          <w:szCs w:val="22"/>
        </w:rPr>
        <w:t xml:space="preserve"> au avut SF36 şi indicele din chestionarul de evaluare a stării de sănătate (ASQoL) semnificativ îmbunătăţite în </w:t>
      </w:r>
      <w:r>
        <w:rPr>
          <w:rFonts w:eastAsia="MS Mincho"/>
          <w:szCs w:val="22"/>
          <w:lang w:eastAsia="en-US" w:bidi="ar-SA"/>
        </w:rPr>
        <w:t>săptămâna</w:t>
      </w:r>
      <w:r>
        <w:rPr>
          <w:szCs w:val="22"/>
        </w:rPr>
        <w:t xml:space="preserve"> 12 şi s-a menţinut în </w:t>
      </w:r>
      <w:r>
        <w:rPr>
          <w:rFonts w:eastAsia="MS Mincho"/>
          <w:szCs w:val="22"/>
          <w:lang w:eastAsia="en-US" w:bidi="ar-SA"/>
        </w:rPr>
        <w:t>săptămâna</w:t>
      </w:r>
      <w:r>
        <w:rPr>
          <w:szCs w:val="22"/>
        </w:rPr>
        <w:t xml:space="preserve"> 24.</w:t>
      </w:r>
    </w:p>
    <w:p w14:paraId="17F2F41F" w14:textId="77777777" w:rsidR="00C04CAD" w:rsidRDefault="00C04CAD">
      <w:pPr>
        <w:tabs>
          <w:tab w:val="clear" w:pos="567"/>
        </w:tabs>
        <w:kinsoku w:val="0"/>
        <w:overflowPunct w:val="0"/>
        <w:autoSpaceDE w:val="0"/>
        <w:autoSpaceDN w:val="0"/>
        <w:adjustRightInd w:val="0"/>
        <w:spacing w:line="240" w:lineRule="auto"/>
        <w:rPr>
          <w:szCs w:val="22"/>
        </w:rPr>
      </w:pPr>
    </w:p>
    <w:p w14:paraId="5E8BF744"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Evoluţii similare (nu toate semnificative statistic) au fost observate într-un studiu SA II dublu-orb, randomizat, placebo-controlat la 82 pacienţi adulţi cu spondilită anchilozantă activă.</w:t>
      </w:r>
    </w:p>
    <w:p w14:paraId="3A99D9C6" w14:textId="77777777" w:rsidR="00C04CAD" w:rsidRDefault="00C04CAD">
      <w:pPr>
        <w:tabs>
          <w:tab w:val="clear" w:pos="567"/>
        </w:tabs>
        <w:kinsoku w:val="0"/>
        <w:overflowPunct w:val="0"/>
        <w:autoSpaceDE w:val="0"/>
        <w:autoSpaceDN w:val="0"/>
        <w:adjustRightInd w:val="0"/>
        <w:spacing w:line="240" w:lineRule="auto"/>
        <w:rPr>
          <w:szCs w:val="22"/>
        </w:rPr>
      </w:pPr>
    </w:p>
    <w:p w14:paraId="3B445440" w14:textId="77777777" w:rsidR="00C04CAD" w:rsidRDefault="00060E34">
      <w:pPr>
        <w:tabs>
          <w:tab w:val="clear" w:pos="567"/>
        </w:tabs>
        <w:kinsoku w:val="0"/>
        <w:overflowPunct w:val="0"/>
        <w:autoSpaceDE w:val="0"/>
        <w:autoSpaceDN w:val="0"/>
        <w:adjustRightInd w:val="0"/>
        <w:spacing w:line="240" w:lineRule="auto"/>
        <w:rPr>
          <w:szCs w:val="22"/>
        </w:rPr>
      </w:pPr>
      <w:r>
        <w:rPr>
          <w:i/>
          <w:szCs w:val="22"/>
          <w:u w:val="single"/>
        </w:rPr>
        <w:t>Spondiloartrită axială fără dovadă radiologică a spondilitei anchilozante</w:t>
      </w:r>
    </w:p>
    <w:p w14:paraId="4760F47D" w14:textId="77777777" w:rsidR="00C04CAD" w:rsidRDefault="00C04CAD">
      <w:pPr>
        <w:tabs>
          <w:tab w:val="clear" w:pos="567"/>
        </w:tabs>
        <w:kinsoku w:val="0"/>
        <w:overflowPunct w:val="0"/>
        <w:autoSpaceDE w:val="0"/>
        <w:autoSpaceDN w:val="0"/>
        <w:adjustRightInd w:val="0"/>
        <w:spacing w:line="240" w:lineRule="auto"/>
        <w:rPr>
          <w:szCs w:val="22"/>
        </w:rPr>
      </w:pPr>
    </w:p>
    <w:p w14:paraId="6D90460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Siguranța și eficacitatea adalimumab au fost evaluate în două studii randomizate, dublu-orb, controlate placebo la pacienți cu spondiloartrită axială fără dovadă radiologică (</w:t>
      </w:r>
      <w:r>
        <w:rPr>
          <w:i/>
          <w:color w:val="000000"/>
          <w:szCs w:val="22"/>
        </w:rPr>
        <w:t>non-radiographic axial spondyloarthritis</w:t>
      </w:r>
      <w:r>
        <w:rPr>
          <w:color w:val="000000"/>
          <w:szCs w:val="22"/>
        </w:rPr>
        <w:t xml:space="preserve"> = </w:t>
      </w:r>
      <w:r>
        <w:rPr>
          <w:szCs w:val="22"/>
        </w:rPr>
        <w:t>nr-axSpA). Studiul nr-axSpA I a evaluat pacienții cu nr-axSpA activă. Studiul nr-axSpA II a fost un studiu de întrerupere a tratamentului la pacienții cu nr-axSpA activă care au obținut remisiune în timpul tratamentului deschis cu Adalimumab.</w:t>
      </w:r>
    </w:p>
    <w:p w14:paraId="52DCA7CE" w14:textId="77777777" w:rsidR="00C04CAD" w:rsidRDefault="00C04CAD">
      <w:pPr>
        <w:tabs>
          <w:tab w:val="clear" w:pos="567"/>
        </w:tabs>
        <w:kinsoku w:val="0"/>
        <w:overflowPunct w:val="0"/>
        <w:autoSpaceDE w:val="0"/>
        <w:autoSpaceDN w:val="0"/>
        <w:adjustRightInd w:val="0"/>
        <w:spacing w:line="240" w:lineRule="auto"/>
        <w:rPr>
          <w:szCs w:val="22"/>
        </w:rPr>
      </w:pPr>
    </w:p>
    <w:p w14:paraId="761E7B8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Studiul nr-axSpA I</w:t>
      </w:r>
    </w:p>
    <w:p w14:paraId="0A74CC66" w14:textId="77777777" w:rsidR="00C04CAD" w:rsidRDefault="00C04CAD">
      <w:pPr>
        <w:tabs>
          <w:tab w:val="clear" w:pos="567"/>
        </w:tabs>
        <w:kinsoku w:val="0"/>
        <w:overflowPunct w:val="0"/>
        <w:autoSpaceDE w:val="0"/>
        <w:autoSpaceDN w:val="0"/>
        <w:adjustRightInd w:val="0"/>
        <w:spacing w:line="240" w:lineRule="auto"/>
        <w:rPr>
          <w:szCs w:val="22"/>
        </w:rPr>
      </w:pPr>
    </w:p>
    <w:p w14:paraId="3DD211F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studiul nr-axSpA I, randomizat, dublu orb, placebo controlat, cu o durată de 12 săptămâni, tratamentul cu </w:t>
      </w:r>
      <w:r>
        <w:rPr>
          <w:rFonts w:eastAsia="MS Mincho"/>
          <w:szCs w:val="22"/>
          <w:lang w:eastAsia="en-US" w:bidi="ar-SA"/>
        </w:rPr>
        <w:t>adalimumab</w:t>
      </w:r>
      <w:r>
        <w:rPr>
          <w:szCs w:val="22"/>
        </w:rPr>
        <w:t xml:space="preserve"> 40 mg, administrat din două în două săptămâni, a fost evaluat la 185 pacienţi cu nr-axSpA activă (scorul mediu bazal al activității bolii [Index Bath de activitate a spondilitei anchilozante (BASDAI)] a fost 6,4 pentru pacienţii trataţi cu </w:t>
      </w:r>
      <w:r>
        <w:rPr>
          <w:rFonts w:eastAsia="MS Mincho"/>
          <w:szCs w:val="22"/>
          <w:lang w:eastAsia="en-US" w:bidi="ar-SA"/>
        </w:rPr>
        <w:t>adalimumab</w:t>
      </w:r>
      <w:r>
        <w:rPr>
          <w:szCs w:val="22"/>
        </w:rPr>
        <w:t xml:space="preserve"> şi 6,5 pentru cei la care a fost administrat placebo), care au avut un răspuns inadecvat sau intoleranţă la ≥1 AINS ori o contraindicaţie pentru AINS.</w:t>
      </w:r>
    </w:p>
    <w:p w14:paraId="3F06F676" w14:textId="77777777" w:rsidR="00C04CAD" w:rsidRDefault="00C04CAD">
      <w:pPr>
        <w:tabs>
          <w:tab w:val="clear" w:pos="567"/>
        </w:tabs>
        <w:kinsoku w:val="0"/>
        <w:overflowPunct w:val="0"/>
        <w:autoSpaceDE w:val="0"/>
        <w:autoSpaceDN w:val="0"/>
        <w:adjustRightInd w:val="0"/>
        <w:spacing w:line="240" w:lineRule="auto"/>
        <w:rPr>
          <w:szCs w:val="22"/>
        </w:rPr>
      </w:pPr>
    </w:p>
    <w:p w14:paraId="0929D148" w14:textId="77777777" w:rsidR="00C04CAD" w:rsidRDefault="00060E34">
      <w:pPr>
        <w:autoSpaceDE w:val="0"/>
        <w:autoSpaceDN w:val="0"/>
        <w:adjustRightInd w:val="0"/>
        <w:spacing w:line="240" w:lineRule="auto"/>
        <w:rPr>
          <w:szCs w:val="22"/>
        </w:rPr>
      </w:pPr>
      <w:r>
        <w:rPr>
          <w:szCs w:val="22"/>
        </w:rPr>
        <w:t>33 pacienţi (18%) au fost trataţi concomitent cu medicaţie antireumatică modificatoare de boală şi 146 pacienţi (79%) cu AINS, la momentul iniţial.</w:t>
      </w:r>
      <w:r>
        <w:rPr>
          <w:rFonts w:eastAsia="MS Mincho"/>
          <w:szCs w:val="22"/>
          <w:lang w:eastAsia="en-US" w:bidi="ar-SA"/>
        </w:rPr>
        <w:t xml:space="preserve"> </w:t>
      </w:r>
      <w:r>
        <w:rPr>
          <w:szCs w:val="22"/>
        </w:rPr>
        <w:t xml:space="preserve">Perioada de studiu orb a fost urmată de perioada de extensie deschisă, timp în care pacienţii au fost trataţi cu </w:t>
      </w:r>
      <w:r>
        <w:rPr>
          <w:rFonts w:eastAsia="MS Mincho"/>
          <w:szCs w:val="22"/>
          <w:lang w:eastAsia="en-US" w:bidi="ar-SA"/>
        </w:rPr>
        <w:t>adalimumab</w:t>
      </w:r>
      <w:r>
        <w:rPr>
          <w:szCs w:val="22"/>
        </w:rPr>
        <w:t xml:space="preserve"> 40 mg, administrată subcutanat din două în două săptămâni, până la o perioadă adiţională de până la 144 săptămâni. Rezultatele din săptămâna 12 au arătat o îmbunătăţire semnificativă a semnelor şi simptomelor nr-axSpA activă, la pacienţii trataţi cu </w:t>
      </w:r>
      <w:r>
        <w:rPr>
          <w:rFonts w:eastAsia="MS Mincho"/>
          <w:szCs w:val="22"/>
          <w:lang w:eastAsia="en-US" w:bidi="ar-SA"/>
        </w:rPr>
        <w:t>adalimumab</w:t>
      </w:r>
      <w:r>
        <w:rPr>
          <w:szCs w:val="22"/>
        </w:rPr>
        <w:t xml:space="preserve"> comparativ cu cei cărora le-a fost administrat placebo (tabelul</w:t>
      </w:r>
      <w:r>
        <w:rPr>
          <w:rFonts w:eastAsia="MS Mincho"/>
          <w:szCs w:val="22"/>
          <w:lang w:eastAsia="en-US" w:bidi="ar-SA"/>
        </w:rPr>
        <w:t> 13</w:t>
      </w:r>
      <w:r>
        <w:rPr>
          <w:szCs w:val="22"/>
        </w:rPr>
        <w:t>).</w:t>
      </w:r>
    </w:p>
    <w:p w14:paraId="244E646A" w14:textId="77777777" w:rsidR="00C04CAD" w:rsidRDefault="00C04CAD">
      <w:pPr>
        <w:autoSpaceDE w:val="0"/>
        <w:autoSpaceDN w:val="0"/>
        <w:adjustRightInd w:val="0"/>
        <w:spacing w:line="240" w:lineRule="auto"/>
        <w:rPr>
          <w:sz w:val="24"/>
        </w:rPr>
      </w:pPr>
    </w:p>
    <w:p w14:paraId="6E6F0541" w14:textId="77777777" w:rsidR="00C04CAD" w:rsidRDefault="00060E34">
      <w:pPr>
        <w:keepNext/>
        <w:autoSpaceDE w:val="0"/>
        <w:autoSpaceDN w:val="0"/>
        <w:adjustRightInd w:val="0"/>
        <w:spacing w:line="240" w:lineRule="auto"/>
        <w:rPr>
          <w:b/>
          <w:sz w:val="24"/>
        </w:rPr>
      </w:pPr>
      <w:r>
        <w:rPr>
          <w:b/>
          <w:bCs/>
        </w:rPr>
        <w:t xml:space="preserve">Tabelul 13. </w:t>
      </w:r>
      <w:r>
        <w:rPr>
          <w:b/>
        </w:rPr>
        <w:t xml:space="preserve">Rezultate privind eficacitatea în studiul </w:t>
      </w:r>
      <w:r>
        <w:rPr>
          <w:b/>
          <w:szCs w:val="22"/>
        </w:rPr>
        <w:t>nr-axSpA I</w:t>
      </w:r>
      <w:r>
        <w:rPr>
          <w:b/>
        </w:rPr>
        <w:t xml:space="preserve"> placebo-controlat</w:t>
      </w:r>
    </w:p>
    <w:p w14:paraId="34298B25" w14:textId="77777777" w:rsidR="00C04CAD" w:rsidRDefault="00C04CAD">
      <w:pPr>
        <w:keepNext/>
        <w:autoSpaceDE w:val="0"/>
        <w:autoSpaceDN w:val="0"/>
        <w:adjustRightInd w:val="0"/>
        <w:spacing w:line="240" w:lineRule="auto"/>
        <w:rPr>
          <w:sz w:val="24"/>
        </w:rPr>
      </w:pPr>
    </w:p>
    <w:tbl>
      <w:tblPr>
        <w:tblW w:w="4997" w:type="pct"/>
        <w:tblInd w:w="5" w:type="dxa"/>
        <w:tblLayout w:type="fixed"/>
        <w:tblCellMar>
          <w:left w:w="0" w:type="dxa"/>
          <w:right w:w="0" w:type="dxa"/>
        </w:tblCellMar>
        <w:tblLook w:val="04A0" w:firstRow="1" w:lastRow="0" w:firstColumn="1" w:lastColumn="0" w:noHBand="0" w:noVBand="1"/>
      </w:tblPr>
      <w:tblGrid>
        <w:gridCol w:w="3326"/>
        <w:gridCol w:w="2300"/>
        <w:gridCol w:w="3430"/>
      </w:tblGrid>
      <w:tr w:rsidR="00C04CAD" w14:paraId="01739730" w14:textId="77777777">
        <w:trPr>
          <w:trHeight w:hRule="exact" w:val="516"/>
          <w:tblHeader/>
        </w:trPr>
        <w:tc>
          <w:tcPr>
            <w:tcW w:w="1836" w:type="pct"/>
            <w:tcBorders>
              <w:top w:val="single" w:sz="4" w:space="0" w:color="000000"/>
              <w:left w:val="single" w:sz="4" w:space="0" w:color="000000"/>
              <w:bottom w:val="single" w:sz="4" w:space="0" w:color="000000"/>
              <w:right w:val="single" w:sz="4" w:space="0" w:color="000000"/>
            </w:tcBorders>
          </w:tcPr>
          <w:p w14:paraId="38CBE016" w14:textId="77777777" w:rsidR="00C04CAD" w:rsidRDefault="00060E34">
            <w:pPr>
              <w:keepNext/>
              <w:tabs>
                <w:tab w:val="clear" w:pos="567"/>
              </w:tabs>
              <w:kinsoku w:val="0"/>
              <w:overflowPunct w:val="0"/>
              <w:autoSpaceDE w:val="0"/>
              <w:autoSpaceDN w:val="0"/>
              <w:adjustRightInd w:val="0"/>
              <w:spacing w:line="240" w:lineRule="auto"/>
              <w:ind w:right="556"/>
            </w:pPr>
            <w:r>
              <w:rPr>
                <w:b/>
              </w:rPr>
              <w:t>Dublu-orb răspuns în săptămâna 12</w:t>
            </w:r>
          </w:p>
        </w:tc>
        <w:tc>
          <w:tcPr>
            <w:tcW w:w="1270" w:type="pct"/>
            <w:tcBorders>
              <w:top w:val="single" w:sz="4" w:space="0" w:color="000000"/>
              <w:left w:val="single" w:sz="4" w:space="0" w:color="000000"/>
              <w:bottom w:val="single" w:sz="4" w:space="0" w:color="000000"/>
              <w:right w:val="single" w:sz="4" w:space="0" w:color="000000"/>
            </w:tcBorders>
          </w:tcPr>
          <w:p w14:paraId="00607713" w14:textId="77777777" w:rsidR="00C04CAD" w:rsidRDefault="00060E34">
            <w:pPr>
              <w:keepNext/>
              <w:tabs>
                <w:tab w:val="clear" w:pos="567"/>
              </w:tabs>
              <w:kinsoku w:val="0"/>
              <w:overflowPunct w:val="0"/>
              <w:autoSpaceDE w:val="0"/>
              <w:autoSpaceDN w:val="0"/>
              <w:adjustRightInd w:val="0"/>
              <w:spacing w:line="240" w:lineRule="auto"/>
              <w:ind w:left="843" w:right="525"/>
              <w:jc w:val="center"/>
            </w:pPr>
            <w:r>
              <w:rPr>
                <w:b/>
              </w:rPr>
              <w:t>Placebo N=94</w:t>
            </w:r>
          </w:p>
        </w:tc>
        <w:tc>
          <w:tcPr>
            <w:tcW w:w="1894" w:type="pct"/>
            <w:tcBorders>
              <w:top w:val="single" w:sz="4" w:space="0" w:color="000000"/>
              <w:left w:val="single" w:sz="4" w:space="0" w:color="000000"/>
              <w:bottom w:val="single" w:sz="4" w:space="0" w:color="000000"/>
              <w:right w:val="single" w:sz="4" w:space="0" w:color="000000"/>
            </w:tcBorders>
          </w:tcPr>
          <w:p w14:paraId="0FC4C788" w14:textId="77777777" w:rsidR="00C04CAD" w:rsidRDefault="00060E34">
            <w:pPr>
              <w:keepNext/>
              <w:tabs>
                <w:tab w:val="clear" w:pos="567"/>
              </w:tabs>
              <w:kinsoku w:val="0"/>
              <w:overflowPunct w:val="0"/>
              <w:autoSpaceDE w:val="0"/>
              <w:autoSpaceDN w:val="0"/>
              <w:adjustRightInd w:val="0"/>
              <w:spacing w:line="240" w:lineRule="auto"/>
              <w:ind w:left="843" w:right="525"/>
              <w:jc w:val="center"/>
              <w:rPr>
                <w:b/>
              </w:rPr>
            </w:pPr>
            <w:r>
              <w:rPr>
                <w:b/>
              </w:rPr>
              <w:t>Adalimumab</w:t>
            </w:r>
          </w:p>
          <w:p w14:paraId="0B2765A8" w14:textId="77777777" w:rsidR="00C04CAD" w:rsidRDefault="00060E34">
            <w:pPr>
              <w:keepNext/>
              <w:tabs>
                <w:tab w:val="clear" w:pos="567"/>
              </w:tabs>
              <w:kinsoku w:val="0"/>
              <w:overflowPunct w:val="0"/>
              <w:autoSpaceDE w:val="0"/>
              <w:autoSpaceDN w:val="0"/>
              <w:adjustRightInd w:val="0"/>
              <w:spacing w:line="240" w:lineRule="auto"/>
              <w:ind w:left="843" w:right="525"/>
              <w:jc w:val="center"/>
            </w:pPr>
            <w:r>
              <w:rPr>
                <w:b/>
              </w:rPr>
              <w:t>N=91</w:t>
            </w:r>
          </w:p>
        </w:tc>
      </w:tr>
      <w:tr w:rsidR="00C04CAD" w14:paraId="2849A637"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4A7BB81A" w14:textId="77777777" w:rsidR="00C04CAD" w:rsidRDefault="00060E34">
            <w:pPr>
              <w:keepNext/>
              <w:tabs>
                <w:tab w:val="clear" w:pos="567"/>
              </w:tabs>
              <w:kinsoku w:val="0"/>
              <w:overflowPunct w:val="0"/>
              <w:autoSpaceDE w:val="0"/>
              <w:autoSpaceDN w:val="0"/>
              <w:adjustRightInd w:val="0"/>
              <w:spacing w:line="240" w:lineRule="auto"/>
              <w:ind w:left="102"/>
            </w:pPr>
            <w:r>
              <w:t>ASAS</w:t>
            </w:r>
            <w:r>
              <w:rPr>
                <w:vertAlign w:val="superscript"/>
              </w:rPr>
              <w:t>a</w:t>
            </w:r>
            <w:r>
              <w:t xml:space="preserve"> 40</w:t>
            </w:r>
          </w:p>
        </w:tc>
        <w:tc>
          <w:tcPr>
            <w:tcW w:w="1270" w:type="pct"/>
            <w:tcBorders>
              <w:top w:val="single" w:sz="4" w:space="0" w:color="000000"/>
              <w:left w:val="single" w:sz="4" w:space="0" w:color="000000"/>
              <w:bottom w:val="single" w:sz="4" w:space="0" w:color="000000"/>
              <w:right w:val="single" w:sz="4" w:space="0" w:color="000000"/>
            </w:tcBorders>
          </w:tcPr>
          <w:p w14:paraId="07529B2B" w14:textId="77777777" w:rsidR="00C04CAD" w:rsidRDefault="00060E34">
            <w:pPr>
              <w:keepNext/>
              <w:tabs>
                <w:tab w:val="clear" w:pos="567"/>
              </w:tabs>
              <w:kinsoku w:val="0"/>
              <w:overflowPunct w:val="0"/>
              <w:autoSpaceDE w:val="0"/>
              <w:autoSpaceDN w:val="0"/>
              <w:adjustRightInd w:val="0"/>
              <w:spacing w:line="240" w:lineRule="auto"/>
              <w:ind w:left="102"/>
              <w:jc w:val="center"/>
            </w:pPr>
            <w:r>
              <w:t>15%</w:t>
            </w:r>
          </w:p>
        </w:tc>
        <w:tc>
          <w:tcPr>
            <w:tcW w:w="1894" w:type="pct"/>
            <w:tcBorders>
              <w:top w:val="single" w:sz="4" w:space="0" w:color="000000"/>
              <w:left w:val="single" w:sz="4" w:space="0" w:color="000000"/>
              <w:bottom w:val="single" w:sz="4" w:space="0" w:color="000000"/>
              <w:right w:val="single" w:sz="4" w:space="0" w:color="000000"/>
            </w:tcBorders>
          </w:tcPr>
          <w:p w14:paraId="071769FC" w14:textId="77777777" w:rsidR="00C04CAD" w:rsidRDefault="00060E34">
            <w:pPr>
              <w:keepNext/>
              <w:tabs>
                <w:tab w:val="clear" w:pos="567"/>
              </w:tabs>
              <w:kinsoku w:val="0"/>
              <w:overflowPunct w:val="0"/>
              <w:autoSpaceDE w:val="0"/>
              <w:autoSpaceDN w:val="0"/>
              <w:adjustRightInd w:val="0"/>
              <w:spacing w:line="240" w:lineRule="auto"/>
              <w:ind w:left="102"/>
              <w:jc w:val="center"/>
            </w:pPr>
            <w:r>
              <w:t>36%***</w:t>
            </w:r>
          </w:p>
        </w:tc>
      </w:tr>
      <w:tr w:rsidR="00C04CAD" w14:paraId="3B6583C8" w14:textId="77777777">
        <w:trPr>
          <w:trHeight w:hRule="exact" w:val="271"/>
        </w:trPr>
        <w:tc>
          <w:tcPr>
            <w:tcW w:w="1836" w:type="pct"/>
            <w:tcBorders>
              <w:top w:val="single" w:sz="4" w:space="0" w:color="000000"/>
              <w:left w:val="single" w:sz="4" w:space="0" w:color="000000"/>
              <w:bottom w:val="single" w:sz="4" w:space="0" w:color="000000"/>
              <w:right w:val="single" w:sz="4" w:space="0" w:color="000000"/>
            </w:tcBorders>
          </w:tcPr>
          <w:p w14:paraId="2C7A5244" w14:textId="77777777" w:rsidR="00C04CAD" w:rsidRDefault="00060E34">
            <w:pPr>
              <w:tabs>
                <w:tab w:val="clear" w:pos="567"/>
              </w:tabs>
              <w:kinsoku w:val="0"/>
              <w:overflowPunct w:val="0"/>
              <w:autoSpaceDE w:val="0"/>
              <w:autoSpaceDN w:val="0"/>
              <w:adjustRightInd w:val="0"/>
              <w:spacing w:line="240" w:lineRule="auto"/>
              <w:ind w:left="102"/>
            </w:pPr>
            <w:r>
              <w:t>ASAS 20</w:t>
            </w:r>
          </w:p>
        </w:tc>
        <w:tc>
          <w:tcPr>
            <w:tcW w:w="1270" w:type="pct"/>
            <w:tcBorders>
              <w:top w:val="single" w:sz="4" w:space="0" w:color="000000"/>
              <w:left w:val="single" w:sz="4" w:space="0" w:color="000000"/>
              <w:bottom w:val="single" w:sz="4" w:space="0" w:color="000000"/>
              <w:right w:val="single" w:sz="4" w:space="0" w:color="000000"/>
            </w:tcBorders>
          </w:tcPr>
          <w:p w14:paraId="6BB2BCB6" w14:textId="77777777" w:rsidR="00C04CAD" w:rsidRDefault="00060E34">
            <w:pPr>
              <w:tabs>
                <w:tab w:val="clear" w:pos="567"/>
              </w:tabs>
              <w:kinsoku w:val="0"/>
              <w:overflowPunct w:val="0"/>
              <w:autoSpaceDE w:val="0"/>
              <w:autoSpaceDN w:val="0"/>
              <w:adjustRightInd w:val="0"/>
              <w:spacing w:line="240" w:lineRule="auto"/>
              <w:ind w:left="102"/>
              <w:jc w:val="center"/>
            </w:pPr>
            <w:r>
              <w:t>31%</w:t>
            </w:r>
          </w:p>
        </w:tc>
        <w:tc>
          <w:tcPr>
            <w:tcW w:w="1894" w:type="pct"/>
            <w:tcBorders>
              <w:top w:val="single" w:sz="4" w:space="0" w:color="000000"/>
              <w:left w:val="single" w:sz="4" w:space="0" w:color="000000"/>
              <w:bottom w:val="single" w:sz="4" w:space="0" w:color="000000"/>
              <w:right w:val="single" w:sz="4" w:space="0" w:color="000000"/>
            </w:tcBorders>
          </w:tcPr>
          <w:p w14:paraId="42FE934B" w14:textId="77777777" w:rsidR="00C04CAD" w:rsidRDefault="00060E34">
            <w:pPr>
              <w:tabs>
                <w:tab w:val="clear" w:pos="567"/>
              </w:tabs>
              <w:kinsoku w:val="0"/>
              <w:overflowPunct w:val="0"/>
              <w:autoSpaceDE w:val="0"/>
              <w:autoSpaceDN w:val="0"/>
              <w:adjustRightInd w:val="0"/>
              <w:spacing w:line="240" w:lineRule="auto"/>
              <w:ind w:left="102"/>
              <w:jc w:val="center"/>
            </w:pPr>
            <w:r>
              <w:t>52%**</w:t>
            </w:r>
          </w:p>
        </w:tc>
      </w:tr>
      <w:tr w:rsidR="00C04CAD" w14:paraId="496B08B4" w14:textId="77777777">
        <w:trPr>
          <w:trHeight w:hRule="exact" w:val="298"/>
        </w:trPr>
        <w:tc>
          <w:tcPr>
            <w:tcW w:w="1836" w:type="pct"/>
            <w:tcBorders>
              <w:top w:val="single" w:sz="4" w:space="0" w:color="000000"/>
              <w:left w:val="single" w:sz="4" w:space="0" w:color="000000"/>
              <w:bottom w:val="single" w:sz="4" w:space="0" w:color="000000"/>
              <w:right w:val="single" w:sz="4" w:space="0" w:color="000000"/>
            </w:tcBorders>
          </w:tcPr>
          <w:p w14:paraId="407D59D6" w14:textId="77777777" w:rsidR="00C04CAD" w:rsidRDefault="00060E34">
            <w:pPr>
              <w:tabs>
                <w:tab w:val="clear" w:pos="567"/>
              </w:tabs>
              <w:kinsoku w:val="0"/>
              <w:overflowPunct w:val="0"/>
              <w:autoSpaceDE w:val="0"/>
              <w:autoSpaceDN w:val="0"/>
              <w:adjustRightInd w:val="0"/>
              <w:spacing w:line="240" w:lineRule="auto"/>
              <w:ind w:left="102"/>
            </w:pPr>
            <w:r>
              <w:t>ASAS 5/6</w:t>
            </w:r>
          </w:p>
        </w:tc>
        <w:tc>
          <w:tcPr>
            <w:tcW w:w="1270" w:type="pct"/>
            <w:tcBorders>
              <w:top w:val="single" w:sz="4" w:space="0" w:color="000000"/>
              <w:left w:val="single" w:sz="4" w:space="0" w:color="000000"/>
              <w:bottom w:val="single" w:sz="4" w:space="0" w:color="000000"/>
              <w:right w:val="single" w:sz="4" w:space="0" w:color="000000"/>
            </w:tcBorders>
          </w:tcPr>
          <w:p w14:paraId="23EC39D7" w14:textId="77777777" w:rsidR="00C04CAD" w:rsidRDefault="00060E34">
            <w:pPr>
              <w:tabs>
                <w:tab w:val="clear" w:pos="567"/>
              </w:tabs>
              <w:kinsoku w:val="0"/>
              <w:overflowPunct w:val="0"/>
              <w:autoSpaceDE w:val="0"/>
              <w:autoSpaceDN w:val="0"/>
              <w:adjustRightInd w:val="0"/>
              <w:spacing w:line="240" w:lineRule="auto"/>
              <w:ind w:left="102"/>
              <w:jc w:val="center"/>
            </w:pPr>
            <w:r>
              <w:t>6%</w:t>
            </w:r>
          </w:p>
        </w:tc>
        <w:tc>
          <w:tcPr>
            <w:tcW w:w="1894" w:type="pct"/>
            <w:tcBorders>
              <w:top w:val="single" w:sz="4" w:space="0" w:color="000000"/>
              <w:left w:val="single" w:sz="4" w:space="0" w:color="000000"/>
              <w:bottom w:val="single" w:sz="4" w:space="0" w:color="000000"/>
              <w:right w:val="single" w:sz="4" w:space="0" w:color="000000"/>
            </w:tcBorders>
          </w:tcPr>
          <w:p w14:paraId="3873B171" w14:textId="77777777" w:rsidR="00C04CAD" w:rsidRDefault="00060E34">
            <w:pPr>
              <w:tabs>
                <w:tab w:val="clear" w:pos="567"/>
              </w:tabs>
              <w:kinsoku w:val="0"/>
              <w:overflowPunct w:val="0"/>
              <w:autoSpaceDE w:val="0"/>
              <w:autoSpaceDN w:val="0"/>
              <w:adjustRightInd w:val="0"/>
              <w:spacing w:line="240" w:lineRule="auto"/>
              <w:ind w:left="102"/>
              <w:jc w:val="center"/>
            </w:pPr>
            <w:r>
              <w:t>31%***</w:t>
            </w:r>
          </w:p>
        </w:tc>
      </w:tr>
      <w:tr w:rsidR="00C04CAD" w14:paraId="267BD8E6"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2A39B443" w14:textId="77777777" w:rsidR="00C04CAD" w:rsidRDefault="00060E34">
            <w:pPr>
              <w:tabs>
                <w:tab w:val="clear" w:pos="567"/>
              </w:tabs>
              <w:kinsoku w:val="0"/>
              <w:overflowPunct w:val="0"/>
              <w:autoSpaceDE w:val="0"/>
              <w:autoSpaceDN w:val="0"/>
              <w:adjustRightInd w:val="0"/>
              <w:spacing w:line="240" w:lineRule="auto"/>
              <w:ind w:left="102"/>
            </w:pPr>
            <w:r>
              <w:t>ASAS remisie parţială</w:t>
            </w:r>
          </w:p>
        </w:tc>
        <w:tc>
          <w:tcPr>
            <w:tcW w:w="1270" w:type="pct"/>
            <w:tcBorders>
              <w:top w:val="single" w:sz="4" w:space="0" w:color="000000"/>
              <w:left w:val="single" w:sz="4" w:space="0" w:color="000000"/>
              <w:bottom w:val="single" w:sz="4" w:space="0" w:color="000000"/>
              <w:right w:val="single" w:sz="4" w:space="0" w:color="000000"/>
            </w:tcBorders>
          </w:tcPr>
          <w:p w14:paraId="02C54423" w14:textId="77777777" w:rsidR="00C04CAD" w:rsidRDefault="00060E34">
            <w:pPr>
              <w:tabs>
                <w:tab w:val="clear" w:pos="567"/>
              </w:tabs>
              <w:kinsoku w:val="0"/>
              <w:overflowPunct w:val="0"/>
              <w:autoSpaceDE w:val="0"/>
              <w:autoSpaceDN w:val="0"/>
              <w:adjustRightInd w:val="0"/>
              <w:spacing w:line="240" w:lineRule="auto"/>
              <w:ind w:left="102"/>
              <w:jc w:val="center"/>
            </w:pPr>
            <w:r>
              <w:t>5%</w:t>
            </w:r>
          </w:p>
        </w:tc>
        <w:tc>
          <w:tcPr>
            <w:tcW w:w="1894" w:type="pct"/>
            <w:tcBorders>
              <w:top w:val="single" w:sz="4" w:space="0" w:color="000000"/>
              <w:left w:val="single" w:sz="4" w:space="0" w:color="000000"/>
              <w:bottom w:val="single" w:sz="4" w:space="0" w:color="000000"/>
              <w:right w:val="single" w:sz="4" w:space="0" w:color="000000"/>
            </w:tcBorders>
          </w:tcPr>
          <w:p w14:paraId="64D3A55D" w14:textId="77777777" w:rsidR="00C04CAD" w:rsidRDefault="00060E34">
            <w:pPr>
              <w:tabs>
                <w:tab w:val="clear" w:pos="567"/>
              </w:tabs>
              <w:kinsoku w:val="0"/>
              <w:overflowPunct w:val="0"/>
              <w:autoSpaceDE w:val="0"/>
              <w:autoSpaceDN w:val="0"/>
              <w:adjustRightInd w:val="0"/>
              <w:spacing w:line="240" w:lineRule="auto"/>
              <w:ind w:left="102"/>
              <w:jc w:val="center"/>
            </w:pPr>
            <w:r>
              <w:t>16%*</w:t>
            </w:r>
          </w:p>
        </w:tc>
      </w:tr>
      <w:tr w:rsidR="00C04CAD" w14:paraId="61C61AA5"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783CC08D" w14:textId="77777777" w:rsidR="00C04CAD" w:rsidRDefault="00060E34">
            <w:pPr>
              <w:tabs>
                <w:tab w:val="clear" w:pos="567"/>
              </w:tabs>
              <w:kinsoku w:val="0"/>
              <w:overflowPunct w:val="0"/>
              <w:autoSpaceDE w:val="0"/>
              <w:autoSpaceDN w:val="0"/>
              <w:adjustRightInd w:val="0"/>
              <w:spacing w:line="240" w:lineRule="auto"/>
              <w:ind w:left="102"/>
            </w:pPr>
            <w:r>
              <w:t>BASDAI</w:t>
            </w:r>
            <w:r>
              <w:rPr>
                <w:vertAlign w:val="superscript"/>
              </w:rPr>
              <w:t>b</w:t>
            </w:r>
            <w:r>
              <w:t xml:space="preserve"> 50</w:t>
            </w:r>
          </w:p>
        </w:tc>
        <w:tc>
          <w:tcPr>
            <w:tcW w:w="1270" w:type="pct"/>
            <w:tcBorders>
              <w:top w:val="single" w:sz="4" w:space="0" w:color="000000"/>
              <w:left w:val="single" w:sz="4" w:space="0" w:color="000000"/>
              <w:bottom w:val="single" w:sz="4" w:space="0" w:color="000000"/>
              <w:right w:val="single" w:sz="4" w:space="0" w:color="000000"/>
            </w:tcBorders>
          </w:tcPr>
          <w:p w14:paraId="4DB3C8A0" w14:textId="77777777" w:rsidR="00C04CAD" w:rsidRDefault="00060E34">
            <w:pPr>
              <w:tabs>
                <w:tab w:val="clear" w:pos="567"/>
              </w:tabs>
              <w:kinsoku w:val="0"/>
              <w:overflowPunct w:val="0"/>
              <w:autoSpaceDE w:val="0"/>
              <w:autoSpaceDN w:val="0"/>
              <w:adjustRightInd w:val="0"/>
              <w:spacing w:line="240" w:lineRule="auto"/>
              <w:ind w:left="102"/>
              <w:jc w:val="center"/>
            </w:pPr>
            <w:r>
              <w:t>15%</w:t>
            </w:r>
          </w:p>
        </w:tc>
        <w:tc>
          <w:tcPr>
            <w:tcW w:w="1894" w:type="pct"/>
            <w:tcBorders>
              <w:top w:val="single" w:sz="4" w:space="0" w:color="000000"/>
              <w:left w:val="single" w:sz="4" w:space="0" w:color="000000"/>
              <w:bottom w:val="single" w:sz="4" w:space="0" w:color="000000"/>
              <w:right w:val="single" w:sz="4" w:space="0" w:color="000000"/>
            </w:tcBorders>
          </w:tcPr>
          <w:p w14:paraId="05246F15" w14:textId="77777777" w:rsidR="00C04CAD" w:rsidRDefault="00060E34">
            <w:pPr>
              <w:tabs>
                <w:tab w:val="clear" w:pos="567"/>
              </w:tabs>
              <w:kinsoku w:val="0"/>
              <w:overflowPunct w:val="0"/>
              <w:autoSpaceDE w:val="0"/>
              <w:autoSpaceDN w:val="0"/>
              <w:adjustRightInd w:val="0"/>
              <w:spacing w:line="240" w:lineRule="auto"/>
              <w:ind w:left="102"/>
              <w:jc w:val="center"/>
            </w:pPr>
            <w:r>
              <w:t>35%**</w:t>
            </w:r>
          </w:p>
        </w:tc>
      </w:tr>
      <w:tr w:rsidR="00C04CAD" w14:paraId="3F5928D7"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07F9179E" w14:textId="77777777" w:rsidR="00C04CAD" w:rsidRDefault="00060E34">
            <w:pPr>
              <w:tabs>
                <w:tab w:val="clear" w:pos="567"/>
              </w:tabs>
              <w:kinsoku w:val="0"/>
              <w:overflowPunct w:val="0"/>
              <w:autoSpaceDE w:val="0"/>
              <w:autoSpaceDN w:val="0"/>
              <w:adjustRightInd w:val="0"/>
              <w:spacing w:line="240" w:lineRule="auto"/>
              <w:ind w:left="102"/>
            </w:pPr>
            <w:r>
              <w:t>ASDAS</w:t>
            </w:r>
            <w:r>
              <w:rPr>
                <w:vertAlign w:val="superscript"/>
              </w:rPr>
              <w:t>c,d,e</w:t>
            </w:r>
          </w:p>
        </w:tc>
        <w:tc>
          <w:tcPr>
            <w:tcW w:w="1270" w:type="pct"/>
            <w:tcBorders>
              <w:top w:val="single" w:sz="4" w:space="0" w:color="000000"/>
              <w:left w:val="single" w:sz="4" w:space="0" w:color="000000"/>
              <w:bottom w:val="single" w:sz="4" w:space="0" w:color="000000"/>
              <w:right w:val="single" w:sz="4" w:space="0" w:color="000000"/>
            </w:tcBorders>
          </w:tcPr>
          <w:p w14:paraId="7A0BBC8C" w14:textId="77777777" w:rsidR="00C04CAD" w:rsidRDefault="00060E34">
            <w:pPr>
              <w:tabs>
                <w:tab w:val="clear" w:pos="567"/>
              </w:tabs>
              <w:kinsoku w:val="0"/>
              <w:overflowPunct w:val="0"/>
              <w:autoSpaceDE w:val="0"/>
              <w:autoSpaceDN w:val="0"/>
              <w:adjustRightInd w:val="0"/>
              <w:spacing w:line="240" w:lineRule="auto"/>
              <w:ind w:left="102"/>
              <w:jc w:val="center"/>
            </w:pPr>
            <w:r>
              <w:t>-0,3</w:t>
            </w:r>
          </w:p>
        </w:tc>
        <w:tc>
          <w:tcPr>
            <w:tcW w:w="1894" w:type="pct"/>
            <w:tcBorders>
              <w:top w:val="single" w:sz="4" w:space="0" w:color="000000"/>
              <w:left w:val="single" w:sz="4" w:space="0" w:color="000000"/>
              <w:bottom w:val="single" w:sz="4" w:space="0" w:color="000000"/>
              <w:right w:val="single" w:sz="4" w:space="0" w:color="000000"/>
            </w:tcBorders>
          </w:tcPr>
          <w:p w14:paraId="2F4D30E2" w14:textId="77777777" w:rsidR="00C04CAD" w:rsidRDefault="00060E34">
            <w:pPr>
              <w:tabs>
                <w:tab w:val="clear" w:pos="567"/>
              </w:tabs>
              <w:kinsoku w:val="0"/>
              <w:overflowPunct w:val="0"/>
              <w:autoSpaceDE w:val="0"/>
              <w:autoSpaceDN w:val="0"/>
              <w:adjustRightInd w:val="0"/>
              <w:spacing w:line="240" w:lineRule="auto"/>
              <w:ind w:left="102"/>
              <w:jc w:val="center"/>
            </w:pPr>
            <w:r>
              <w:t>-1,0***</w:t>
            </w:r>
          </w:p>
        </w:tc>
      </w:tr>
      <w:tr w:rsidR="00C04CAD" w14:paraId="1559F9E2"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5A8098AB" w14:textId="77777777" w:rsidR="00C04CAD" w:rsidRDefault="00060E34">
            <w:pPr>
              <w:tabs>
                <w:tab w:val="clear" w:pos="567"/>
              </w:tabs>
              <w:kinsoku w:val="0"/>
              <w:overflowPunct w:val="0"/>
              <w:autoSpaceDE w:val="0"/>
              <w:autoSpaceDN w:val="0"/>
              <w:adjustRightInd w:val="0"/>
              <w:spacing w:line="240" w:lineRule="auto"/>
              <w:ind w:left="102"/>
            </w:pPr>
            <w:r>
              <w:t>ASDAS Boală inactivă</w:t>
            </w:r>
          </w:p>
        </w:tc>
        <w:tc>
          <w:tcPr>
            <w:tcW w:w="1270" w:type="pct"/>
            <w:tcBorders>
              <w:top w:val="single" w:sz="4" w:space="0" w:color="000000"/>
              <w:left w:val="single" w:sz="4" w:space="0" w:color="000000"/>
              <w:bottom w:val="single" w:sz="4" w:space="0" w:color="000000"/>
              <w:right w:val="single" w:sz="4" w:space="0" w:color="000000"/>
            </w:tcBorders>
          </w:tcPr>
          <w:p w14:paraId="126DCCCA" w14:textId="77777777" w:rsidR="00C04CAD" w:rsidRDefault="00060E34">
            <w:pPr>
              <w:tabs>
                <w:tab w:val="clear" w:pos="567"/>
              </w:tabs>
              <w:kinsoku w:val="0"/>
              <w:overflowPunct w:val="0"/>
              <w:autoSpaceDE w:val="0"/>
              <w:autoSpaceDN w:val="0"/>
              <w:adjustRightInd w:val="0"/>
              <w:spacing w:line="240" w:lineRule="auto"/>
              <w:ind w:left="102"/>
              <w:jc w:val="center"/>
            </w:pPr>
            <w:r>
              <w:t>4%</w:t>
            </w:r>
          </w:p>
        </w:tc>
        <w:tc>
          <w:tcPr>
            <w:tcW w:w="1894" w:type="pct"/>
            <w:tcBorders>
              <w:top w:val="single" w:sz="4" w:space="0" w:color="000000"/>
              <w:left w:val="single" w:sz="4" w:space="0" w:color="000000"/>
              <w:bottom w:val="single" w:sz="4" w:space="0" w:color="000000"/>
              <w:right w:val="single" w:sz="4" w:space="0" w:color="000000"/>
            </w:tcBorders>
          </w:tcPr>
          <w:p w14:paraId="19560DBE" w14:textId="77777777" w:rsidR="00C04CAD" w:rsidRDefault="00060E34">
            <w:pPr>
              <w:tabs>
                <w:tab w:val="clear" w:pos="567"/>
              </w:tabs>
              <w:kinsoku w:val="0"/>
              <w:overflowPunct w:val="0"/>
              <w:autoSpaceDE w:val="0"/>
              <w:autoSpaceDN w:val="0"/>
              <w:adjustRightInd w:val="0"/>
              <w:spacing w:line="240" w:lineRule="auto"/>
              <w:ind w:left="102"/>
              <w:jc w:val="center"/>
            </w:pPr>
            <w:r>
              <w:t>24%***</w:t>
            </w:r>
          </w:p>
        </w:tc>
      </w:tr>
      <w:tr w:rsidR="00C04CAD" w14:paraId="34F40091" w14:textId="77777777">
        <w:trPr>
          <w:trHeight w:hRule="exact" w:val="262"/>
        </w:trPr>
        <w:tc>
          <w:tcPr>
            <w:tcW w:w="1836" w:type="pct"/>
            <w:tcBorders>
              <w:top w:val="single" w:sz="4" w:space="0" w:color="000000"/>
              <w:left w:val="single" w:sz="4" w:space="0" w:color="000000"/>
              <w:bottom w:val="single" w:sz="4" w:space="0" w:color="000000"/>
              <w:right w:val="single" w:sz="4" w:space="0" w:color="000000"/>
            </w:tcBorders>
          </w:tcPr>
          <w:p w14:paraId="37D40DFF" w14:textId="77777777" w:rsidR="00C04CAD" w:rsidRDefault="00060E34">
            <w:pPr>
              <w:tabs>
                <w:tab w:val="clear" w:pos="567"/>
              </w:tabs>
              <w:kinsoku w:val="0"/>
              <w:overflowPunct w:val="0"/>
              <w:autoSpaceDE w:val="0"/>
              <w:autoSpaceDN w:val="0"/>
              <w:adjustRightInd w:val="0"/>
              <w:spacing w:line="240" w:lineRule="auto"/>
              <w:ind w:left="102"/>
            </w:pPr>
            <w:r>
              <w:t>hs-PCR</w:t>
            </w:r>
            <w:r>
              <w:rPr>
                <w:vertAlign w:val="superscript"/>
              </w:rPr>
              <w:t>d,f,g</w:t>
            </w:r>
          </w:p>
        </w:tc>
        <w:tc>
          <w:tcPr>
            <w:tcW w:w="1270" w:type="pct"/>
            <w:tcBorders>
              <w:top w:val="single" w:sz="4" w:space="0" w:color="000000"/>
              <w:left w:val="single" w:sz="4" w:space="0" w:color="000000"/>
              <w:bottom w:val="single" w:sz="4" w:space="0" w:color="000000"/>
              <w:right w:val="single" w:sz="4" w:space="0" w:color="000000"/>
            </w:tcBorders>
          </w:tcPr>
          <w:p w14:paraId="5D29C0A2" w14:textId="77777777" w:rsidR="00C04CAD" w:rsidRDefault="00060E34">
            <w:pPr>
              <w:tabs>
                <w:tab w:val="clear" w:pos="567"/>
              </w:tabs>
              <w:kinsoku w:val="0"/>
              <w:overflowPunct w:val="0"/>
              <w:autoSpaceDE w:val="0"/>
              <w:autoSpaceDN w:val="0"/>
              <w:adjustRightInd w:val="0"/>
              <w:spacing w:line="240" w:lineRule="auto"/>
              <w:ind w:left="102"/>
              <w:jc w:val="center"/>
            </w:pPr>
            <w:r>
              <w:t>-0,3</w:t>
            </w:r>
          </w:p>
        </w:tc>
        <w:tc>
          <w:tcPr>
            <w:tcW w:w="1894" w:type="pct"/>
            <w:tcBorders>
              <w:top w:val="single" w:sz="4" w:space="0" w:color="000000"/>
              <w:left w:val="single" w:sz="4" w:space="0" w:color="000000"/>
              <w:bottom w:val="single" w:sz="4" w:space="0" w:color="000000"/>
              <w:right w:val="single" w:sz="4" w:space="0" w:color="000000"/>
            </w:tcBorders>
          </w:tcPr>
          <w:p w14:paraId="25CFEE41" w14:textId="77777777" w:rsidR="00C04CAD" w:rsidRDefault="00060E34">
            <w:pPr>
              <w:tabs>
                <w:tab w:val="clear" w:pos="567"/>
              </w:tabs>
              <w:kinsoku w:val="0"/>
              <w:overflowPunct w:val="0"/>
              <w:autoSpaceDE w:val="0"/>
              <w:autoSpaceDN w:val="0"/>
              <w:adjustRightInd w:val="0"/>
              <w:spacing w:line="240" w:lineRule="auto"/>
              <w:ind w:left="102"/>
              <w:jc w:val="center"/>
            </w:pPr>
            <w:r>
              <w:t>-4,7***</w:t>
            </w:r>
          </w:p>
        </w:tc>
      </w:tr>
      <w:tr w:rsidR="00C04CAD" w14:paraId="616C42EF" w14:textId="77777777">
        <w:trPr>
          <w:trHeight w:hRule="exact" w:val="516"/>
        </w:trPr>
        <w:tc>
          <w:tcPr>
            <w:tcW w:w="1836" w:type="pct"/>
            <w:tcBorders>
              <w:top w:val="single" w:sz="4" w:space="0" w:color="000000"/>
              <w:left w:val="single" w:sz="4" w:space="0" w:color="000000"/>
              <w:bottom w:val="single" w:sz="4" w:space="0" w:color="000000"/>
              <w:right w:val="single" w:sz="4" w:space="0" w:color="000000"/>
            </w:tcBorders>
          </w:tcPr>
          <w:p w14:paraId="0FC6830F" w14:textId="77777777" w:rsidR="00C04CAD" w:rsidRDefault="00060E34">
            <w:pPr>
              <w:tabs>
                <w:tab w:val="clear" w:pos="567"/>
              </w:tabs>
              <w:kinsoku w:val="0"/>
              <w:overflowPunct w:val="0"/>
              <w:autoSpaceDE w:val="0"/>
              <w:autoSpaceDN w:val="0"/>
              <w:adjustRightInd w:val="0"/>
              <w:spacing w:line="240" w:lineRule="auto"/>
              <w:ind w:left="102" w:right="983"/>
            </w:pPr>
            <w:r>
              <w:t>SPARCC</w:t>
            </w:r>
            <w:r>
              <w:rPr>
                <w:vertAlign w:val="superscript"/>
              </w:rPr>
              <w:t>h</w:t>
            </w:r>
            <w:r>
              <w:t xml:space="preserve"> RMN Articulaţii sacroiliace</w:t>
            </w:r>
            <w:r>
              <w:rPr>
                <w:vertAlign w:val="superscript"/>
              </w:rPr>
              <w:t>d,i</w:t>
            </w:r>
          </w:p>
        </w:tc>
        <w:tc>
          <w:tcPr>
            <w:tcW w:w="1270" w:type="pct"/>
            <w:tcBorders>
              <w:top w:val="single" w:sz="4" w:space="0" w:color="000000"/>
              <w:left w:val="single" w:sz="4" w:space="0" w:color="000000"/>
              <w:bottom w:val="single" w:sz="4" w:space="0" w:color="000000"/>
              <w:right w:val="single" w:sz="4" w:space="0" w:color="000000"/>
            </w:tcBorders>
          </w:tcPr>
          <w:p w14:paraId="4D9E9BC2" w14:textId="77777777" w:rsidR="00C04CAD" w:rsidRDefault="00060E34">
            <w:pPr>
              <w:tabs>
                <w:tab w:val="clear" w:pos="567"/>
              </w:tabs>
              <w:kinsoku w:val="0"/>
              <w:overflowPunct w:val="0"/>
              <w:autoSpaceDE w:val="0"/>
              <w:autoSpaceDN w:val="0"/>
              <w:adjustRightInd w:val="0"/>
              <w:spacing w:line="240" w:lineRule="auto"/>
              <w:ind w:left="102"/>
              <w:jc w:val="center"/>
            </w:pPr>
            <w:r>
              <w:t>-0,6</w:t>
            </w:r>
          </w:p>
        </w:tc>
        <w:tc>
          <w:tcPr>
            <w:tcW w:w="1894" w:type="pct"/>
            <w:tcBorders>
              <w:top w:val="single" w:sz="4" w:space="0" w:color="000000"/>
              <w:left w:val="single" w:sz="4" w:space="0" w:color="000000"/>
              <w:bottom w:val="single" w:sz="4" w:space="0" w:color="000000"/>
              <w:right w:val="single" w:sz="4" w:space="0" w:color="000000"/>
            </w:tcBorders>
          </w:tcPr>
          <w:p w14:paraId="58CA3BFD" w14:textId="77777777" w:rsidR="00C04CAD" w:rsidRDefault="00060E34">
            <w:pPr>
              <w:tabs>
                <w:tab w:val="clear" w:pos="567"/>
              </w:tabs>
              <w:kinsoku w:val="0"/>
              <w:overflowPunct w:val="0"/>
              <w:autoSpaceDE w:val="0"/>
              <w:autoSpaceDN w:val="0"/>
              <w:adjustRightInd w:val="0"/>
              <w:spacing w:line="240" w:lineRule="auto"/>
              <w:ind w:left="102"/>
              <w:jc w:val="center"/>
            </w:pPr>
            <w:r>
              <w:t>-3,2**</w:t>
            </w:r>
          </w:p>
        </w:tc>
      </w:tr>
      <w:tr w:rsidR="00C04CAD" w14:paraId="01CAB528" w14:textId="77777777">
        <w:trPr>
          <w:trHeight w:hRule="exact" w:val="264"/>
        </w:trPr>
        <w:tc>
          <w:tcPr>
            <w:tcW w:w="1836" w:type="pct"/>
            <w:tcBorders>
              <w:top w:val="single" w:sz="4" w:space="0" w:color="000000"/>
              <w:left w:val="single" w:sz="4" w:space="0" w:color="000000"/>
              <w:bottom w:val="single" w:sz="4" w:space="0" w:color="000000"/>
              <w:right w:val="single" w:sz="4" w:space="0" w:color="000000"/>
            </w:tcBorders>
          </w:tcPr>
          <w:p w14:paraId="1150A57E" w14:textId="77777777" w:rsidR="00C04CAD" w:rsidRDefault="00060E34">
            <w:pPr>
              <w:tabs>
                <w:tab w:val="clear" w:pos="567"/>
              </w:tabs>
              <w:kinsoku w:val="0"/>
              <w:overflowPunct w:val="0"/>
              <w:autoSpaceDE w:val="0"/>
              <w:autoSpaceDN w:val="0"/>
              <w:adjustRightInd w:val="0"/>
              <w:spacing w:line="240" w:lineRule="auto"/>
              <w:ind w:left="102"/>
            </w:pPr>
            <w:r>
              <w:t>SPARCC RMN Coloană vertebrală</w:t>
            </w:r>
            <w:r>
              <w:rPr>
                <w:vertAlign w:val="superscript"/>
              </w:rPr>
              <w:t>d,j</w:t>
            </w:r>
          </w:p>
        </w:tc>
        <w:tc>
          <w:tcPr>
            <w:tcW w:w="1270" w:type="pct"/>
            <w:tcBorders>
              <w:top w:val="single" w:sz="4" w:space="0" w:color="000000"/>
              <w:left w:val="single" w:sz="4" w:space="0" w:color="000000"/>
              <w:bottom w:val="single" w:sz="4" w:space="0" w:color="000000"/>
              <w:right w:val="single" w:sz="4" w:space="0" w:color="000000"/>
            </w:tcBorders>
          </w:tcPr>
          <w:p w14:paraId="5DE97E01" w14:textId="77777777" w:rsidR="00C04CAD" w:rsidRDefault="00060E34">
            <w:pPr>
              <w:tabs>
                <w:tab w:val="clear" w:pos="567"/>
              </w:tabs>
              <w:kinsoku w:val="0"/>
              <w:overflowPunct w:val="0"/>
              <w:autoSpaceDE w:val="0"/>
              <w:autoSpaceDN w:val="0"/>
              <w:adjustRightInd w:val="0"/>
              <w:spacing w:line="240" w:lineRule="auto"/>
              <w:ind w:left="102"/>
              <w:jc w:val="center"/>
            </w:pPr>
            <w:r>
              <w:t>-0,2</w:t>
            </w:r>
          </w:p>
        </w:tc>
        <w:tc>
          <w:tcPr>
            <w:tcW w:w="1894" w:type="pct"/>
            <w:tcBorders>
              <w:top w:val="single" w:sz="4" w:space="0" w:color="000000"/>
              <w:left w:val="single" w:sz="4" w:space="0" w:color="000000"/>
              <w:bottom w:val="single" w:sz="4" w:space="0" w:color="000000"/>
              <w:right w:val="single" w:sz="4" w:space="0" w:color="000000"/>
            </w:tcBorders>
          </w:tcPr>
          <w:p w14:paraId="6193E525" w14:textId="77777777" w:rsidR="00C04CAD" w:rsidRDefault="00060E34">
            <w:pPr>
              <w:tabs>
                <w:tab w:val="clear" w:pos="567"/>
              </w:tabs>
              <w:kinsoku w:val="0"/>
              <w:overflowPunct w:val="0"/>
              <w:autoSpaceDE w:val="0"/>
              <w:autoSpaceDN w:val="0"/>
              <w:adjustRightInd w:val="0"/>
              <w:spacing w:line="240" w:lineRule="auto"/>
              <w:ind w:left="102"/>
              <w:jc w:val="center"/>
            </w:pPr>
            <w:r>
              <w:t>-1,8**</w:t>
            </w:r>
          </w:p>
        </w:tc>
      </w:tr>
    </w:tbl>
    <w:p w14:paraId="5894648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Evaluăre conform Societăţii internaţionale de SpondiloArtrită</w:t>
      </w:r>
    </w:p>
    <w:p w14:paraId="4FE21E5C"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Index Bath de activitate a spondilitei anchilozante</w:t>
      </w:r>
    </w:p>
    <w:p w14:paraId="30B3958D"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c</w:t>
      </w:r>
      <w:r>
        <w:rPr>
          <w:sz w:val="20"/>
        </w:rPr>
        <w:t xml:space="preserve"> Scor de activitate a spondilitei anchilozante</w:t>
      </w:r>
    </w:p>
    <w:p w14:paraId="747D0BCD"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d</w:t>
      </w:r>
      <w:r>
        <w:rPr>
          <w:sz w:val="20"/>
        </w:rPr>
        <w:t xml:space="preserve"> modificare medie faţă de valoarea iniţială</w:t>
      </w:r>
    </w:p>
    <w:p w14:paraId="7C3A9F8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e</w:t>
      </w:r>
      <w:r>
        <w:rPr>
          <w:sz w:val="20"/>
        </w:rPr>
        <w:t xml:space="preserve"> n=91 placebo şi n=87 </w:t>
      </w:r>
      <w:r>
        <w:rPr>
          <w:rFonts w:eastAsia="MS Mincho"/>
          <w:sz w:val="20"/>
          <w:lang w:eastAsia="en-US" w:bidi="ar-SA"/>
        </w:rPr>
        <w:t>adalimumab</w:t>
      </w:r>
    </w:p>
    <w:p w14:paraId="7007A33C"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f</w:t>
      </w:r>
      <w:r>
        <w:rPr>
          <w:sz w:val="20"/>
        </w:rPr>
        <w:t xml:space="preserve"> Proteina C-Reactivă sensibilitate mare (mg/L)</w:t>
      </w:r>
    </w:p>
    <w:p w14:paraId="700E2BD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g</w:t>
      </w:r>
      <w:r>
        <w:rPr>
          <w:sz w:val="20"/>
        </w:rPr>
        <w:t xml:space="preserve"> n=73 placebo şi n=70 </w:t>
      </w:r>
      <w:r>
        <w:rPr>
          <w:rFonts w:eastAsia="MS Mincho"/>
          <w:sz w:val="20"/>
          <w:lang w:eastAsia="en-US" w:bidi="ar-SA"/>
        </w:rPr>
        <w:t>adalimumab</w:t>
      </w:r>
    </w:p>
    <w:p w14:paraId="6AB56286"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h</w:t>
      </w:r>
      <w:r>
        <w:rPr>
          <w:sz w:val="20"/>
        </w:rPr>
        <w:t xml:space="preserve"> Consorţiul de Cercetare pentru Spondiloartrită din Canada</w:t>
      </w:r>
    </w:p>
    <w:p w14:paraId="4B919328"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i</w:t>
      </w:r>
      <w:r>
        <w:rPr>
          <w:sz w:val="20"/>
        </w:rPr>
        <w:t xml:space="preserve"> n=84 placebo şi </w:t>
      </w:r>
      <w:r>
        <w:rPr>
          <w:rFonts w:eastAsia="MS Mincho"/>
          <w:sz w:val="20"/>
          <w:lang w:eastAsia="en-US" w:bidi="ar-SA"/>
        </w:rPr>
        <w:t>adalimumab</w:t>
      </w:r>
    </w:p>
    <w:p w14:paraId="2AC755A0"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j</w:t>
      </w:r>
      <w:r>
        <w:rPr>
          <w:sz w:val="20"/>
        </w:rPr>
        <w:t xml:space="preserve"> n=82 placebo şi n=85 </w:t>
      </w:r>
      <w:r>
        <w:rPr>
          <w:rFonts w:eastAsia="MS Mincho"/>
          <w:sz w:val="20"/>
          <w:lang w:eastAsia="en-US" w:bidi="ar-SA"/>
        </w:rPr>
        <w:t>adalimumab</w:t>
      </w:r>
    </w:p>
    <w:p w14:paraId="3C2CAAC6"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 *Semnificativ statistic la p &lt;0,001, &lt;0,01 şi respectiv &lt; 0,05 pentru toate comparaţiile între </w:t>
      </w:r>
      <w:r>
        <w:rPr>
          <w:rFonts w:eastAsia="MS Mincho"/>
          <w:sz w:val="20"/>
          <w:lang w:eastAsia="en-US" w:bidi="ar-SA"/>
        </w:rPr>
        <w:t>adalimumab</w:t>
      </w:r>
      <w:r>
        <w:rPr>
          <w:sz w:val="20"/>
        </w:rPr>
        <w:t xml:space="preserve"> şi placebo</w:t>
      </w:r>
    </w:p>
    <w:p w14:paraId="18A04AFE" w14:textId="77777777" w:rsidR="00C04CAD" w:rsidRDefault="00C04CAD">
      <w:pPr>
        <w:autoSpaceDE w:val="0"/>
        <w:autoSpaceDN w:val="0"/>
        <w:adjustRightInd w:val="0"/>
        <w:spacing w:line="240" w:lineRule="auto"/>
        <w:rPr>
          <w:szCs w:val="22"/>
        </w:rPr>
      </w:pPr>
    </w:p>
    <w:p w14:paraId="5869BCA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extensia deschisă, la pacienţii trataţi cu </w:t>
      </w:r>
      <w:r>
        <w:rPr>
          <w:rFonts w:eastAsia="MS Mincho"/>
          <w:szCs w:val="22"/>
          <w:lang w:eastAsia="en-US" w:bidi="ar-SA"/>
        </w:rPr>
        <w:t>adalimumab</w:t>
      </w:r>
      <w:r>
        <w:rPr>
          <w:szCs w:val="22"/>
        </w:rPr>
        <w:t xml:space="preserve"> a fost menținută îmbunătățirea semnelor şi simptomelor până la </w:t>
      </w:r>
      <w:r>
        <w:rPr>
          <w:rFonts w:eastAsia="MS Mincho"/>
          <w:szCs w:val="22"/>
          <w:lang w:eastAsia="en-US" w:bidi="ar-SA"/>
        </w:rPr>
        <w:t>săptămâna</w:t>
      </w:r>
      <w:r>
        <w:rPr>
          <w:szCs w:val="22"/>
        </w:rPr>
        <w:t xml:space="preserve"> 156.</w:t>
      </w:r>
    </w:p>
    <w:p w14:paraId="6B7820D9" w14:textId="77777777" w:rsidR="00C04CAD" w:rsidRDefault="00C04CAD">
      <w:pPr>
        <w:autoSpaceDE w:val="0"/>
        <w:autoSpaceDN w:val="0"/>
        <w:adjustRightInd w:val="0"/>
        <w:spacing w:line="240" w:lineRule="auto"/>
        <w:rPr>
          <w:szCs w:val="22"/>
        </w:rPr>
      </w:pPr>
    </w:p>
    <w:p w14:paraId="7A91032A"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szCs w:val="22"/>
          <w:u w:val="single"/>
        </w:rPr>
        <w:t>Oprirea inflamației</w:t>
      </w:r>
    </w:p>
    <w:p w14:paraId="28335679" w14:textId="77777777" w:rsidR="00C04CAD" w:rsidRDefault="00C04CAD">
      <w:pPr>
        <w:keepNext/>
        <w:tabs>
          <w:tab w:val="clear" w:pos="567"/>
        </w:tabs>
        <w:kinsoku w:val="0"/>
        <w:overflowPunct w:val="0"/>
        <w:autoSpaceDE w:val="0"/>
        <w:autoSpaceDN w:val="0"/>
        <w:adjustRightInd w:val="0"/>
        <w:spacing w:line="240" w:lineRule="auto"/>
        <w:rPr>
          <w:szCs w:val="22"/>
        </w:rPr>
      </w:pPr>
    </w:p>
    <w:p w14:paraId="54892F4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Îmbunătățirea semnificativă a semnelor de inflamaţie, masurată prin hs-PCR și RMN atât la articulaţiile sacroiliace cât şi la coloana vertebrală, a fost menținută la pacienții tratați cu </w:t>
      </w:r>
      <w:r>
        <w:rPr>
          <w:rFonts w:eastAsia="MS Mincho"/>
          <w:szCs w:val="22"/>
          <w:lang w:eastAsia="en-US" w:bidi="ar-SA"/>
        </w:rPr>
        <w:t>adalimumab</w:t>
      </w:r>
      <w:r>
        <w:rPr>
          <w:szCs w:val="22"/>
        </w:rPr>
        <w:t xml:space="preserve"> până la </w:t>
      </w:r>
      <w:r>
        <w:rPr>
          <w:rFonts w:eastAsia="MS Mincho"/>
          <w:szCs w:val="22"/>
          <w:lang w:eastAsia="en-US" w:bidi="ar-SA"/>
        </w:rPr>
        <w:t>săptămâna</w:t>
      </w:r>
      <w:r>
        <w:rPr>
          <w:szCs w:val="22"/>
        </w:rPr>
        <w:t xml:space="preserve"> 156 și respectiv </w:t>
      </w:r>
      <w:r>
        <w:rPr>
          <w:rFonts w:eastAsia="MS Mincho"/>
          <w:szCs w:val="22"/>
          <w:lang w:eastAsia="en-US" w:bidi="ar-SA"/>
        </w:rPr>
        <w:t>săptămâna</w:t>
      </w:r>
      <w:r>
        <w:rPr>
          <w:szCs w:val="22"/>
        </w:rPr>
        <w:t xml:space="preserve"> 104.</w:t>
      </w:r>
    </w:p>
    <w:p w14:paraId="2DE8AAE3" w14:textId="77777777" w:rsidR="00C04CAD" w:rsidRDefault="00C04CAD">
      <w:pPr>
        <w:tabs>
          <w:tab w:val="clear" w:pos="567"/>
        </w:tabs>
        <w:kinsoku w:val="0"/>
        <w:overflowPunct w:val="0"/>
        <w:autoSpaceDE w:val="0"/>
        <w:autoSpaceDN w:val="0"/>
        <w:adjustRightInd w:val="0"/>
        <w:spacing w:line="240" w:lineRule="auto"/>
        <w:rPr>
          <w:szCs w:val="22"/>
        </w:rPr>
      </w:pPr>
    </w:p>
    <w:p w14:paraId="51F0A15A" w14:textId="77777777" w:rsidR="00C04CAD" w:rsidRDefault="00060E34">
      <w:pPr>
        <w:tabs>
          <w:tab w:val="clear" w:pos="567"/>
        </w:tabs>
        <w:kinsoku w:val="0"/>
        <w:overflowPunct w:val="0"/>
        <w:autoSpaceDE w:val="0"/>
        <w:autoSpaceDN w:val="0"/>
        <w:adjustRightInd w:val="0"/>
        <w:spacing w:line="240" w:lineRule="auto"/>
        <w:rPr>
          <w:szCs w:val="22"/>
          <w:u w:val="single"/>
        </w:rPr>
      </w:pPr>
      <w:r>
        <w:rPr>
          <w:szCs w:val="22"/>
          <w:u w:val="single"/>
        </w:rPr>
        <w:t>Calitatea vieții și funcționalitatea articulară</w:t>
      </w:r>
    </w:p>
    <w:p w14:paraId="176AE033" w14:textId="77777777" w:rsidR="00C04CAD" w:rsidRDefault="00C04CAD">
      <w:pPr>
        <w:tabs>
          <w:tab w:val="clear" w:pos="567"/>
        </w:tabs>
        <w:kinsoku w:val="0"/>
        <w:overflowPunct w:val="0"/>
        <w:autoSpaceDE w:val="0"/>
        <w:autoSpaceDN w:val="0"/>
        <w:adjustRightInd w:val="0"/>
        <w:spacing w:line="240" w:lineRule="auto"/>
        <w:rPr>
          <w:szCs w:val="22"/>
        </w:rPr>
      </w:pPr>
    </w:p>
    <w:p w14:paraId="7A27CA95"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Au fost evaluate calitatea vieţii în relaţie cu sănătatea şi starea fizică, utilizând chestionarele HAQ-S şi SF 36. Comparativ cu placebo,</w:t>
      </w:r>
      <w:r>
        <w:rPr>
          <w:rFonts w:eastAsia="MS Mincho"/>
          <w:szCs w:val="22"/>
          <w:lang w:eastAsia="en-US" w:bidi="ar-SA"/>
        </w:rPr>
        <w:t xml:space="preserve"> adalimumab</w:t>
      </w:r>
      <w:r>
        <w:rPr>
          <w:szCs w:val="22"/>
        </w:rPr>
        <w:t xml:space="preserve"> a arătat o îmbunătăţire semnificativ statistică mai mare în scorul total HAQ-S şi scorul componentei fizice SF-36 (SCF) de la momentul iniţial până în săptămâna 12. Îmbunătăţirea calităţii vieţii şi funcţionalitatea articulară s-au menţinut în timpul extensiei deschise până în </w:t>
      </w:r>
      <w:r>
        <w:rPr>
          <w:rFonts w:eastAsia="MS Mincho"/>
          <w:szCs w:val="22"/>
          <w:lang w:eastAsia="en-US" w:bidi="ar-SA"/>
        </w:rPr>
        <w:t>săptămâna</w:t>
      </w:r>
      <w:r>
        <w:rPr>
          <w:szCs w:val="22"/>
        </w:rPr>
        <w:t xml:space="preserve"> 156.</w:t>
      </w:r>
    </w:p>
    <w:p w14:paraId="6393AFF6" w14:textId="77777777" w:rsidR="00C04CAD" w:rsidRDefault="00C04CAD">
      <w:pPr>
        <w:tabs>
          <w:tab w:val="clear" w:pos="567"/>
        </w:tabs>
        <w:kinsoku w:val="0"/>
        <w:overflowPunct w:val="0"/>
        <w:autoSpaceDE w:val="0"/>
        <w:autoSpaceDN w:val="0"/>
        <w:adjustRightInd w:val="0"/>
        <w:spacing w:line="240" w:lineRule="auto"/>
        <w:rPr>
          <w:szCs w:val="22"/>
        </w:rPr>
      </w:pPr>
    </w:p>
    <w:p w14:paraId="33D257B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Studiul nr-axSpA II</w:t>
      </w:r>
    </w:p>
    <w:p w14:paraId="277B0DA6" w14:textId="77777777" w:rsidR="00C04CAD" w:rsidRDefault="00C04CAD">
      <w:pPr>
        <w:tabs>
          <w:tab w:val="clear" w:pos="567"/>
        </w:tabs>
        <w:kinsoku w:val="0"/>
        <w:overflowPunct w:val="0"/>
        <w:autoSpaceDE w:val="0"/>
        <w:autoSpaceDN w:val="0"/>
        <w:adjustRightInd w:val="0"/>
        <w:spacing w:line="240" w:lineRule="auto"/>
        <w:rPr>
          <w:szCs w:val="22"/>
        </w:rPr>
      </w:pPr>
    </w:p>
    <w:p w14:paraId="36C765C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673 pacienţi cu nr-axSpA activă (scorul mediu bazal al activității bolii [Index Bath de activitate a spondilitei anchilozante (BASDAI)] cu valoarea 7.0), care au avut un răspuns inadecvat sau intoleranţă la  ≥ 2 AINS, ori o contraindicaţie pentru AINS au fost evaluaţi în perioada deschisă a studiului nr-axSpA II în care li s-a adnimistrat Adalimumab 40 mg la două săptamâni pentru 28 de săptămâni. Aceşti pacienţi au prezentat de asemenea dovezi obiective ale inflamaţiei la nivelul articulaţiilor sacroiliace sau coloanei vertebrale prin evaluarea RMN sau prin niveluri crescute ale hs-PCR. Pacienţii la care s-a obţinut remisiunea susţinută pentru o perioadă de cel puţin 12 săptămâni (N = 305) (</w:t>
      </w:r>
      <w:r>
        <w:t xml:space="preserve">ASDAS &lt; 1,3 la săptămânile 16, 20, 24 şi 28) ăn timpul perioadei de tratament deschis au fost apoi randomizaţi fie pentru continuarea tratamentului cu Adalimumab 40 mg la două săptămâni </w:t>
      </w:r>
      <w:r>
        <w:rPr>
          <w:szCs w:val="22"/>
        </w:rPr>
        <w:t xml:space="preserve">(N = 152) </w:t>
      </w:r>
      <w:r>
        <w:t xml:space="preserve">sau cu placebo </w:t>
      </w:r>
      <w:r>
        <w:rPr>
          <w:szCs w:val="22"/>
        </w:rPr>
        <w:t>(N = 153) pentru o perioadă suplimentară de 40 de săptămâni într-un studiu dublu orb, controlat placebo (durata totală a studiului fiind de 68 săptămâni). Pacienţilor acutizaţi în timpul perioadei dublu-orb a studiului li s-a permis administrarea Adalimumab 40 mg la două săptămâni ca tratament de salvare, pentru cel puţin 12 săptămâni.</w:t>
      </w:r>
    </w:p>
    <w:p w14:paraId="1A997B23" w14:textId="77777777" w:rsidR="00C04CAD" w:rsidRDefault="00C04CAD">
      <w:pPr>
        <w:tabs>
          <w:tab w:val="clear" w:pos="567"/>
        </w:tabs>
        <w:kinsoku w:val="0"/>
        <w:overflowPunct w:val="0"/>
        <w:autoSpaceDE w:val="0"/>
        <w:autoSpaceDN w:val="0"/>
        <w:adjustRightInd w:val="0"/>
        <w:spacing w:line="240" w:lineRule="auto"/>
        <w:rPr>
          <w:szCs w:val="22"/>
        </w:rPr>
      </w:pPr>
    </w:p>
    <w:p w14:paraId="0D15A564" w14:textId="77777777" w:rsidR="00C04CAD" w:rsidRDefault="00060E34">
      <w:pPr>
        <w:tabs>
          <w:tab w:val="clear" w:pos="567"/>
        </w:tabs>
        <w:kinsoku w:val="0"/>
        <w:overflowPunct w:val="0"/>
        <w:autoSpaceDE w:val="0"/>
        <w:autoSpaceDN w:val="0"/>
        <w:adjustRightInd w:val="0"/>
        <w:spacing w:line="240" w:lineRule="auto"/>
        <w:rPr>
          <w:b/>
        </w:rPr>
      </w:pPr>
      <w:r>
        <w:t xml:space="preserve">Criteriul final principal privind eficacitatea a fost procentul de pacienţi fără acutizare până în săptămâna 68 de studiu. Acutizarea a fost definită ca ASDAS </w:t>
      </w:r>
      <w:r>
        <w:rPr>
          <w:rFonts w:eastAsia="Calibri"/>
          <w:szCs w:val="22"/>
        </w:rPr>
        <w:t>≥ 2,1 în două vizite consecutive la patru săptamâni. Un procent mai mare de pacienţi trataţi cu Adalimumab nu au prezentat acutizarea bolii în timpul perioadei de studiu dublu-orb, în comparaţie cu pacienţii trataţi cu placebo (70,4% versus 47,1%, p </w:t>
      </w:r>
      <w:r>
        <w:rPr>
          <w:szCs w:val="22"/>
        </w:rPr>
        <w:t>&lt; 0,001) (figura 1).</w:t>
      </w:r>
      <w:r>
        <w:rPr>
          <w:rFonts w:eastAsia="Calibri"/>
          <w:szCs w:val="22"/>
        </w:rPr>
        <w:t> </w:t>
      </w:r>
    </w:p>
    <w:p w14:paraId="12769F3C" w14:textId="77777777" w:rsidR="00C04CAD" w:rsidRDefault="00C04CAD">
      <w:pPr>
        <w:tabs>
          <w:tab w:val="clear" w:pos="567"/>
        </w:tabs>
        <w:kinsoku w:val="0"/>
        <w:overflowPunct w:val="0"/>
        <w:autoSpaceDE w:val="0"/>
        <w:autoSpaceDN w:val="0"/>
        <w:adjustRightInd w:val="0"/>
        <w:spacing w:line="240" w:lineRule="auto"/>
        <w:rPr>
          <w:b/>
        </w:rPr>
      </w:pPr>
    </w:p>
    <w:p w14:paraId="6BC77339" w14:textId="77777777" w:rsidR="00C04CAD" w:rsidRDefault="00060E34">
      <w:pPr>
        <w:keepNext/>
        <w:tabs>
          <w:tab w:val="clear" w:pos="567"/>
        </w:tabs>
        <w:kinsoku w:val="0"/>
        <w:overflowPunct w:val="0"/>
        <w:autoSpaceDE w:val="0"/>
        <w:autoSpaceDN w:val="0"/>
        <w:adjustRightInd w:val="0"/>
        <w:spacing w:line="240" w:lineRule="auto"/>
        <w:rPr>
          <w:b/>
        </w:rPr>
      </w:pPr>
      <w:r>
        <w:rPr>
          <w:b/>
        </w:rPr>
        <w:t>Figura 1. Curbele Kaplan-Meier care sumarizează timpul până la acutizare în studiul nr</w:t>
      </w:r>
      <w:r>
        <w:rPr>
          <w:b/>
        </w:rPr>
        <w:noBreakHyphen/>
        <w:t>axSpA II</w:t>
      </w:r>
    </w:p>
    <w:p w14:paraId="5D9C34E9" w14:textId="77777777" w:rsidR="00C04CAD" w:rsidRDefault="00C04CAD">
      <w:pPr>
        <w:keepNext/>
        <w:tabs>
          <w:tab w:val="clear" w:pos="567"/>
        </w:tabs>
        <w:kinsoku w:val="0"/>
        <w:overflowPunct w:val="0"/>
        <w:autoSpaceDE w:val="0"/>
        <w:autoSpaceDN w:val="0"/>
        <w:adjustRightInd w:val="0"/>
        <w:spacing w:line="240" w:lineRule="auto"/>
        <w:rPr>
          <w:b/>
        </w:rPr>
      </w:pPr>
    </w:p>
    <w:tbl>
      <w:tblPr>
        <w:tblW w:w="0" w:type="auto"/>
        <w:tblLook w:val="04A0" w:firstRow="1" w:lastRow="0" w:firstColumn="1" w:lastColumn="0" w:noHBand="0" w:noVBand="1"/>
      </w:tblPr>
      <w:tblGrid>
        <w:gridCol w:w="474"/>
        <w:gridCol w:w="8597"/>
      </w:tblGrid>
      <w:tr w:rsidR="00C04CAD" w14:paraId="3CE69EAE" w14:textId="77777777">
        <w:trPr>
          <w:cantSplit/>
          <w:trHeight w:val="1134"/>
        </w:trPr>
        <w:tc>
          <w:tcPr>
            <w:tcW w:w="930" w:type="dxa"/>
            <w:textDirection w:val="btLr"/>
            <w:vAlign w:val="center"/>
          </w:tcPr>
          <w:p w14:paraId="4CA6BB5D" w14:textId="77777777" w:rsidR="00C04CAD" w:rsidRDefault="00060E34">
            <w:pPr>
              <w:keepNext/>
              <w:suppressAutoHyphens/>
              <w:spacing w:line="240" w:lineRule="auto"/>
              <w:ind w:left="113" w:right="113"/>
              <w:jc w:val="center"/>
              <w:rPr>
                <w:b/>
                <w:szCs w:val="24"/>
              </w:rPr>
            </w:pPr>
            <w:r>
              <w:rPr>
                <w:b/>
                <w:szCs w:val="24"/>
              </w:rPr>
              <w:t xml:space="preserve">     PROBABILITATEA DE ACUTIZARE</w:t>
            </w:r>
          </w:p>
        </w:tc>
        <w:tc>
          <w:tcPr>
            <w:tcW w:w="8646" w:type="dxa"/>
          </w:tcPr>
          <w:p w14:paraId="336ECE21" w14:textId="77777777" w:rsidR="00C04CAD" w:rsidRDefault="00060E34">
            <w:pPr>
              <w:keepNext/>
              <w:suppressAutoHyphens/>
              <w:spacing w:line="240" w:lineRule="auto"/>
              <w:rPr>
                <w:szCs w:val="24"/>
              </w:rPr>
            </w:pPr>
            <w:r>
              <w:rPr>
                <w:noProof/>
                <w:szCs w:val="24"/>
                <w:lang w:val="en-US" w:eastAsia="zh-CN" w:bidi="ar-SA"/>
              </w:rPr>
              <w:drawing>
                <wp:inline distT="0" distB="0" distL="0" distR="0" wp14:anchorId="6ADCCAAB" wp14:editId="675D2F93">
                  <wp:extent cx="5486400" cy="2816225"/>
                  <wp:effectExtent l="0" t="0" r="0" b="0"/>
                  <wp:docPr id="11" name="Picture 58"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8" descr="A graph of a number of pati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86400" cy="2816225"/>
                          </a:xfrm>
                          <a:prstGeom prst="rect">
                            <a:avLst/>
                          </a:prstGeom>
                          <a:noFill/>
                          <a:ln>
                            <a:noFill/>
                          </a:ln>
                        </pic:spPr>
                      </pic:pic>
                    </a:graphicData>
                  </a:graphic>
                </wp:inline>
              </w:drawing>
            </w:r>
          </w:p>
        </w:tc>
      </w:tr>
      <w:tr w:rsidR="00C04CAD" w14:paraId="7C52DC4C" w14:textId="77777777">
        <w:tc>
          <w:tcPr>
            <w:tcW w:w="930" w:type="dxa"/>
          </w:tcPr>
          <w:p w14:paraId="7662591E" w14:textId="77777777" w:rsidR="00C04CAD" w:rsidRDefault="00C04CAD">
            <w:pPr>
              <w:suppressAutoHyphens/>
              <w:spacing w:line="240" w:lineRule="auto"/>
              <w:rPr>
                <w:szCs w:val="24"/>
              </w:rPr>
            </w:pPr>
          </w:p>
        </w:tc>
        <w:tc>
          <w:tcPr>
            <w:tcW w:w="8646" w:type="dxa"/>
            <w:vAlign w:val="center"/>
          </w:tcPr>
          <w:p w14:paraId="3601C0EC" w14:textId="77777777" w:rsidR="00C04CAD" w:rsidRDefault="00060E34">
            <w:pPr>
              <w:suppressAutoHyphens/>
              <w:spacing w:line="240" w:lineRule="auto"/>
              <w:jc w:val="center"/>
              <w:rPr>
                <w:b/>
                <w:szCs w:val="24"/>
              </w:rPr>
            </w:pPr>
            <w:r>
              <w:rPr>
                <w:b/>
                <w:szCs w:val="24"/>
              </w:rPr>
              <w:t>TIMP (SĂPTĂMÂNI)</w:t>
            </w:r>
          </w:p>
        </w:tc>
      </w:tr>
      <w:tr w:rsidR="00C04CAD" w14:paraId="7D4EE63D" w14:textId="77777777">
        <w:tc>
          <w:tcPr>
            <w:tcW w:w="9576" w:type="dxa"/>
            <w:gridSpan w:val="2"/>
          </w:tcPr>
          <w:p w14:paraId="11DA4327" w14:textId="77777777" w:rsidR="00C04CAD" w:rsidRDefault="00060E34">
            <w:pPr>
              <w:suppressAutoHyphens/>
              <w:spacing w:line="240" w:lineRule="auto"/>
              <w:rPr>
                <w:szCs w:val="24"/>
              </w:rPr>
            </w:pPr>
            <w:r>
              <w:rPr>
                <w:szCs w:val="24"/>
              </w:rPr>
              <w:t xml:space="preserve">                        Tratament       </w:t>
            </w:r>
            <w:r>
              <w:rPr>
                <w:noProof/>
              </w:rPr>
              <mc:AlternateContent>
                <mc:Choice Requires="wps">
                  <w:drawing>
                    <wp:inline distT="0" distB="0" distL="0" distR="0" wp14:anchorId="51C5A2D4" wp14:editId="26047A94">
                      <wp:extent cx="381000" cy="635"/>
                      <wp:effectExtent l="23495" t="22225" r="14605" b="15240"/>
                      <wp:docPr id="1133963467" name="Line 197"/>
                      <wp:cNvGraphicFramePr/>
                      <a:graphic xmlns:a="http://schemas.openxmlformats.org/drawingml/2006/main">
                        <a:graphicData uri="http://schemas.microsoft.com/office/word/2010/wordprocessingShape">
                          <wps:wsp>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Line 197"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DHCyNfKAQAAlAMAAA4AAABkcnMvZTJvRG9jLnhtbK1Ty27bMBC8&#10;F+g/ELzXkuz6JVjOIUZ6SdsAbT6ApiiLAMkluLRl/32XlOO0ySWHQgDBfc3uDFebu7M17KQCanAN&#10;ryYlZ8pJaLU7NPz598OXFWcYhWuFAacaflHI77afP20GX6sp9GBaFRiBOKwH3/A+Rl8XBcpeWYET&#10;8MpRsINgRSQzHIo2iIHQrSmmZbkoBgitDyAVInl3Y5BfEcNHAKHrtFQ7kEerXBxRgzIiEiXstUe+&#10;zdN2nZLxZ9ehisw0nJjGfFITuu/TWWw3oj4E4XstryOIj4zwhpMV2lHTG9RORMGOQb+DsloGQOji&#10;RIItRiJZEWJRlW+0+dULrzIXkhr9TXT8f7Dyx+kpMN3SJlSz2Xox+7pYcuaEpZd/1E6xar1MIg0e&#10;a8q9d0/haqGnwv3wHVpKFccImf+5CzbpQMzYOct8ucmszpFJcs5WVVnSA0gKLWbzBF+I+qXSB4zf&#10;FFiWLg03NERGFqdHjGPqS0pq5OBBG0N+URvHhoZPV/PlPFcgGN2maApiOOzvTWAnQZswX6fv2vif&#10;tAS9E9iPeXjBHcSUJ+oAR9eO/Y2jiZMiSYNRmz20lyxN9tNjZU7XxUrb8Ledq19/pu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gxKW9MAAAABAQAADwAAAAAAAAABACAAAAAiAAAAZHJzL2Rvd25y&#10;ZXYueG1sUEsBAhQAFAAAAAgAh07iQDHCyNfKAQAAlAMAAA4AAAAAAAAAAQAgAAAAIgEAAGRycy9l&#10;Mm9Eb2MueG1sUEsFBgAAAAAGAAYAWQEAAF4FAAAAAA==&#10;">
                      <v:fill on="f" focussize="0,0"/>
                      <v:stroke weight="2.25pt" color="#595959" joinstyle="round" dashstyle="1 1"/>
                      <v:imagedata o:title=""/>
                      <o:lock v:ext="edit" aspectratio="f"/>
                      <w10:wrap type="none"/>
                      <w10:anchorlock/>
                    </v:line>
                  </w:pict>
                </mc:Fallback>
              </mc:AlternateContent>
            </w:r>
            <w:r>
              <w:rPr>
                <w:szCs w:val="24"/>
              </w:rPr>
              <w:t xml:space="preserve"> Placebo     </w:t>
            </w:r>
            <w:r>
              <w:rPr>
                <w:noProof/>
              </w:rPr>
              <mc:AlternateContent>
                <mc:Choice Requires="wps">
                  <w:drawing>
                    <wp:inline distT="0" distB="0" distL="0" distR="0" wp14:anchorId="14DF5842" wp14:editId="5749A34F">
                      <wp:extent cx="401320" cy="635"/>
                      <wp:effectExtent l="17780" t="12700" r="9525" b="15240"/>
                      <wp:docPr id="1725985258" name="Line 196"/>
                      <wp:cNvGraphicFramePr/>
                      <a:graphic xmlns:a="http://schemas.openxmlformats.org/drawingml/2006/main">
                        <a:graphicData uri="http://schemas.microsoft.com/office/word/2010/wordprocessingShape">
                          <wps:wsp>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Line 196"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CzFYKzvAEAAHoDAAAOAAAAZHJzL2Uyb0RvYy54bWytU8tu2zAQvBfoPxC8&#10;15KVyI0FyznESC9pG6DtB9AUZREguQSXtuy/75JSnDa95FAIILiv2Z1ZanN/toadVEANruXLRcmZ&#10;chI67Q4t//Xz8dMdZxiF64QBp1p+Ucjvtx8/bEbfqAoGMJ0KjEAcNqNv+RCjb4oC5aCswAV45SjY&#10;Q7AikhkORRfESOjWFFVZrooRQucDSIVI3t0U5DNieA8g9L2WagfyaJWLE2pQRkSihIP2yLd52r5X&#10;Mn7ve1SRmZYT05hPakL3fTqL7UY0hyD8oOU8gnjPCG84WaEdNb1C7UQU7Bj0P1BWywAIfVxIsMVE&#10;JCtCLJblG21+DMKrzIWkRn8VHf8frPx2eg5Md/QSPlf1+q6uatq/E5Y2/6SdYsv1Kok0emwo98E9&#10;h9lCT4X78St0lCqOETL/cx9s0oGYsXOW+XKVWZ0jk+S8LZc3FS1AUmh1Uyf4QjQvlT5g/KLAsnRp&#10;uaEhMrI4PWGcUl9SUiMHj9oY8ovGODYSj3VZl7kCweguRVMQw2H/YAI7CXoJt2X65sZ/pQU4um7q&#10;YhzNlXgnppMCe+guWYDsp5Xkyefnk3b+p52rX3+Z7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v&#10;yc3EzgAAAAEBAAAPAAAAAAAAAAEAIAAAACIAAABkcnMvZG93bnJldi54bWxQSwECFAAUAAAACACH&#10;TuJAsxWCs7wBAAB6AwAADgAAAAAAAAABACAAAAAdAQAAZHJzL2Uyb0RvYy54bWxQSwUGAAAAAAYA&#10;BgBZAQAASwUAAAAA&#10;">
                      <v:fill on="f" focussize="0,0"/>
                      <v:stroke weight="1.5pt" color="#404040" joinstyle="round"/>
                      <v:imagedata o:title=""/>
                      <o:lock v:ext="edit" aspectratio="f"/>
                      <w10:wrap type="none"/>
                      <w10:anchorlock/>
                    </v:line>
                  </w:pict>
                </mc:Fallback>
              </mc:AlternateContent>
            </w:r>
            <w:r>
              <w:rPr>
                <w:szCs w:val="24"/>
              </w:rPr>
              <w:t xml:space="preserve"> Adalimumab     ∆ Analizați</w:t>
            </w:r>
          </w:p>
        </w:tc>
      </w:tr>
    </w:tbl>
    <w:p w14:paraId="56E39F68" w14:textId="77777777" w:rsidR="00C04CAD" w:rsidRDefault="00C04CAD">
      <w:pPr>
        <w:suppressAutoHyphens/>
        <w:spacing w:line="240" w:lineRule="auto"/>
        <w:rPr>
          <w:szCs w:val="24"/>
        </w:rPr>
      </w:pPr>
    </w:p>
    <w:p w14:paraId="75672C53" w14:textId="77777777" w:rsidR="00C04CAD" w:rsidRDefault="00060E34">
      <w:pPr>
        <w:suppressAutoHyphens/>
        <w:spacing w:line="240" w:lineRule="auto"/>
        <w:rPr>
          <w:szCs w:val="24"/>
        </w:rPr>
      </w:pPr>
      <w:r>
        <w:rPr>
          <w:szCs w:val="24"/>
        </w:rPr>
        <w:t>Notă: P = Placebo (număr la risc (acutizați)); A = ADALIMUMAB (număr la risc (acutizați)).</w:t>
      </w:r>
    </w:p>
    <w:p w14:paraId="121C5A4D" w14:textId="77777777" w:rsidR="00C04CAD" w:rsidRDefault="00C04CAD">
      <w:pPr>
        <w:suppressAutoHyphens/>
        <w:spacing w:line="240" w:lineRule="auto"/>
        <w:rPr>
          <w:szCs w:val="24"/>
        </w:rPr>
      </w:pPr>
    </w:p>
    <w:p w14:paraId="64C0F00C" w14:textId="77777777" w:rsidR="00C04CAD" w:rsidRDefault="00060E34">
      <w:pPr>
        <w:suppressAutoHyphens/>
        <w:spacing w:line="240" w:lineRule="auto"/>
      </w:pPr>
      <w:r>
        <w:t xml:space="preserve">Printre cei 68 de pacienți acutizați în grupul alocat întreruperii tratamentului, 65 de pacienți au completat 12 săptămâni de tratament de salvare cu adalimumab, dintre care 37 (56,9%) au obținut din nou remisiunea (ASDAS &lt; 1,3) după 12 săptămâni de la reînceperea tratamentului deschis. </w:t>
      </w:r>
    </w:p>
    <w:p w14:paraId="58C5DF6A" w14:textId="77777777" w:rsidR="00C04CAD" w:rsidRDefault="00C04CAD">
      <w:pPr>
        <w:suppressAutoHyphens/>
        <w:spacing w:line="240" w:lineRule="auto"/>
        <w:rPr>
          <w:szCs w:val="24"/>
        </w:rPr>
      </w:pPr>
    </w:p>
    <w:p w14:paraId="3A18C44B" w14:textId="77777777" w:rsidR="00C04CAD" w:rsidRDefault="00060E34">
      <w:pPr>
        <w:suppressAutoHyphens/>
        <w:spacing w:line="240" w:lineRule="auto"/>
        <w:rPr>
          <w:szCs w:val="24"/>
        </w:rPr>
      </w:pPr>
      <w:r>
        <w:rPr>
          <w:szCs w:val="24"/>
        </w:rPr>
        <w:t xml:space="preserve">Până în săptămâna 68, pacienții care au primit tratament continuu cu adalimumab au demonstrat o îmbunătățire semnificativ statistică a semnelor și simptomelor de nr-axSpA activă comparativ cu pacienții alocați brațului cu întreruperea tratamentului în timpul perioadei dublu-orb a studiului (tabelul 14). </w:t>
      </w:r>
    </w:p>
    <w:p w14:paraId="632F4277" w14:textId="77777777" w:rsidR="00C04CAD" w:rsidRDefault="00C04CAD">
      <w:pPr>
        <w:suppressAutoHyphens/>
        <w:spacing w:line="240" w:lineRule="auto"/>
        <w:rPr>
          <w:szCs w:val="24"/>
        </w:rPr>
      </w:pPr>
    </w:p>
    <w:p w14:paraId="2715CB8A" w14:textId="77777777" w:rsidR="00C04CAD" w:rsidRDefault="00060E34">
      <w:pPr>
        <w:keepNext/>
        <w:suppressAutoHyphens/>
        <w:spacing w:line="240" w:lineRule="auto"/>
        <w:rPr>
          <w:b/>
        </w:rPr>
      </w:pPr>
      <w:r>
        <w:rPr>
          <w:b/>
        </w:rPr>
        <w:t>Tabelul 14. Răspunsul de eficacitate în perioada controlată placebo a studiului nr-axSpA II</w:t>
      </w:r>
    </w:p>
    <w:p w14:paraId="0A2E2DBA" w14:textId="77777777" w:rsidR="00C04CAD" w:rsidRDefault="00C04CAD">
      <w:pPr>
        <w:keepNext/>
        <w:suppressAutoHyphens/>
        <w:spacing w:line="240" w:lineRule="auto"/>
        <w:rPr>
          <w:b/>
        </w:rPr>
      </w:pPr>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88"/>
        <w:gridCol w:w="1682"/>
        <w:gridCol w:w="1822"/>
      </w:tblGrid>
      <w:tr w:rsidR="00C04CAD" w14:paraId="058033C0" w14:textId="77777777">
        <w:trPr>
          <w:tblHeader/>
          <w:jc w:val="center"/>
        </w:trPr>
        <w:tc>
          <w:tcPr>
            <w:tcW w:w="3052" w:type="pct"/>
          </w:tcPr>
          <w:p w14:paraId="289CDBB7" w14:textId="77777777" w:rsidR="00C04CAD" w:rsidRDefault="00060E34">
            <w:pPr>
              <w:keepNext/>
              <w:suppressAutoHyphens/>
              <w:spacing w:line="240" w:lineRule="auto"/>
              <w:rPr>
                <w:b/>
                <w:bCs/>
                <w:szCs w:val="22"/>
              </w:rPr>
            </w:pPr>
            <w:r>
              <w:rPr>
                <w:b/>
                <w:bCs/>
                <w:szCs w:val="22"/>
              </w:rPr>
              <w:t>Răspunsul dublu-orb</w:t>
            </w:r>
          </w:p>
          <w:p w14:paraId="24A5B63A" w14:textId="77777777" w:rsidR="00C04CAD" w:rsidRDefault="00060E34">
            <w:pPr>
              <w:keepNext/>
              <w:suppressAutoHyphens/>
              <w:spacing w:line="240" w:lineRule="auto"/>
              <w:rPr>
                <w:b/>
                <w:bCs/>
                <w:szCs w:val="22"/>
              </w:rPr>
            </w:pPr>
            <w:r>
              <w:rPr>
                <w:b/>
                <w:bCs/>
                <w:szCs w:val="22"/>
              </w:rPr>
              <w:t>la săptămâna 68</w:t>
            </w:r>
          </w:p>
        </w:tc>
        <w:tc>
          <w:tcPr>
            <w:tcW w:w="935" w:type="pct"/>
          </w:tcPr>
          <w:p w14:paraId="044C9223" w14:textId="77777777" w:rsidR="00C04CAD" w:rsidRDefault="00060E34">
            <w:pPr>
              <w:keepNext/>
              <w:suppressAutoHyphens/>
              <w:spacing w:line="240" w:lineRule="auto"/>
              <w:jc w:val="center"/>
              <w:rPr>
                <w:b/>
                <w:bCs/>
                <w:szCs w:val="22"/>
              </w:rPr>
            </w:pPr>
            <w:r>
              <w:rPr>
                <w:b/>
                <w:bCs/>
                <w:szCs w:val="22"/>
              </w:rPr>
              <w:t>Placebo</w:t>
            </w:r>
          </w:p>
          <w:p w14:paraId="088EEBA3" w14:textId="77777777" w:rsidR="00C04CAD" w:rsidRDefault="00060E34">
            <w:pPr>
              <w:keepNext/>
              <w:suppressAutoHyphens/>
              <w:spacing w:line="240" w:lineRule="auto"/>
              <w:jc w:val="center"/>
              <w:rPr>
                <w:b/>
                <w:bCs/>
                <w:szCs w:val="22"/>
              </w:rPr>
            </w:pPr>
            <w:r>
              <w:rPr>
                <w:b/>
                <w:bCs/>
                <w:szCs w:val="22"/>
              </w:rPr>
              <w:t>N = 153</w:t>
            </w:r>
          </w:p>
        </w:tc>
        <w:tc>
          <w:tcPr>
            <w:tcW w:w="1012" w:type="pct"/>
          </w:tcPr>
          <w:p w14:paraId="6DF2720D" w14:textId="77777777" w:rsidR="00C04CAD" w:rsidRDefault="00060E34">
            <w:pPr>
              <w:keepNext/>
              <w:suppressAutoHyphens/>
              <w:spacing w:line="240" w:lineRule="auto"/>
              <w:jc w:val="center"/>
              <w:rPr>
                <w:b/>
                <w:bCs/>
                <w:szCs w:val="22"/>
              </w:rPr>
            </w:pPr>
            <w:r>
              <w:rPr>
                <w:b/>
                <w:bCs/>
                <w:szCs w:val="22"/>
              </w:rPr>
              <w:t>Adalimumab</w:t>
            </w:r>
          </w:p>
          <w:p w14:paraId="090E5283" w14:textId="77777777" w:rsidR="00C04CAD" w:rsidRDefault="00060E34">
            <w:pPr>
              <w:keepNext/>
              <w:suppressAutoHyphens/>
              <w:spacing w:line="240" w:lineRule="auto"/>
              <w:jc w:val="center"/>
              <w:rPr>
                <w:b/>
                <w:bCs/>
                <w:szCs w:val="22"/>
              </w:rPr>
            </w:pPr>
            <w:r>
              <w:rPr>
                <w:b/>
                <w:bCs/>
                <w:szCs w:val="22"/>
              </w:rPr>
              <w:t>N = 152</w:t>
            </w:r>
          </w:p>
        </w:tc>
      </w:tr>
      <w:tr w:rsidR="00C04CAD" w14:paraId="5275B46B" w14:textId="77777777">
        <w:trPr>
          <w:jc w:val="center"/>
        </w:trPr>
        <w:tc>
          <w:tcPr>
            <w:tcW w:w="3052" w:type="pct"/>
          </w:tcPr>
          <w:p w14:paraId="224DFD28" w14:textId="77777777" w:rsidR="00C04CAD" w:rsidRDefault="00060E34">
            <w:pPr>
              <w:keepNext/>
              <w:suppressAutoHyphens/>
              <w:spacing w:line="240" w:lineRule="auto"/>
              <w:rPr>
                <w:szCs w:val="22"/>
              </w:rPr>
            </w:pPr>
            <w:r>
              <w:rPr>
                <w:szCs w:val="22"/>
              </w:rPr>
              <w:t>ASAS</w:t>
            </w:r>
            <w:r>
              <w:rPr>
                <w:szCs w:val="22"/>
                <w:vertAlign w:val="superscript"/>
              </w:rPr>
              <w:t>a,b</w:t>
            </w:r>
            <w:r>
              <w:rPr>
                <w:szCs w:val="22"/>
              </w:rPr>
              <w:t xml:space="preserve"> 20</w:t>
            </w:r>
          </w:p>
        </w:tc>
        <w:tc>
          <w:tcPr>
            <w:tcW w:w="935" w:type="pct"/>
          </w:tcPr>
          <w:p w14:paraId="24F5A80C" w14:textId="77777777" w:rsidR="00C04CAD" w:rsidRDefault="00060E34">
            <w:pPr>
              <w:keepNext/>
              <w:suppressAutoHyphens/>
              <w:spacing w:line="240" w:lineRule="auto"/>
              <w:jc w:val="center"/>
              <w:rPr>
                <w:szCs w:val="22"/>
              </w:rPr>
            </w:pPr>
            <w:r>
              <w:rPr>
                <w:szCs w:val="22"/>
              </w:rPr>
              <w:t>47,1%</w:t>
            </w:r>
          </w:p>
        </w:tc>
        <w:tc>
          <w:tcPr>
            <w:tcW w:w="1012" w:type="pct"/>
          </w:tcPr>
          <w:p w14:paraId="7F3C96E4" w14:textId="77777777" w:rsidR="00C04CAD" w:rsidRDefault="00060E34">
            <w:pPr>
              <w:keepNext/>
              <w:suppressAutoHyphens/>
              <w:spacing w:line="240" w:lineRule="auto"/>
              <w:jc w:val="center"/>
              <w:rPr>
                <w:szCs w:val="22"/>
              </w:rPr>
            </w:pPr>
            <w:r>
              <w:rPr>
                <w:szCs w:val="22"/>
              </w:rPr>
              <w:t>70,4%***</w:t>
            </w:r>
          </w:p>
        </w:tc>
      </w:tr>
      <w:tr w:rsidR="00C04CAD" w14:paraId="2131B685" w14:textId="77777777">
        <w:trPr>
          <w:jc w:val="center"/>
        </w:trPr>
        <w:tc>
          <w:tcPr>
            <w:tcW w:w="3052" w:type="pct"/>
          </w:tcPr>
          <w:p w14:paraId="08975600" w14:textId="77777777" w:rsidR="00C04CAD" w:rsidRDefault="00060E34">
            <w:pPr>
              <w:keepNext/>
              <w:suppressAutoHyphens/>
              <w:spacing w:line="240" w:lineRule="auto"/>
              <w:rPr>
                <w:szCs w:val="22"/>
              </w:rPr>
            </w:pPr>
            <w:r>
              <w:rPr>
                <w:szCs w:val="22"/>
              </w:rPr>
              <w:t>ASAS</w:t>
            </w:r>
            <w:r>
              <w:rPr>
                <w:szCs w:val="22"/>
                <w:vertAlign w:val="superscript"/>
              </w:rPr>
              <w:t>a,b</w:t>
            </w:r>
            <w:r>
              <w:rPr>
                <w:szCs w:val="22"/>
              </w:rPr>
              <w:t xml:space="preserve"> 40</w:t>
            </w:r>
          </w:p>
        </w:tc>
        <w:tc>
          <w:tcPr>
            <w:tcW w:w="935" w:type="pct"/>
          </w:tcPr>
          <w:p w14:paraId="30CAEB68" w14:textId="77777777" w:rsidR="00C04CAD" w:rsidRDefault="00060E34">
            <w:pPr>
              <w:keepNext/>
              <w:suppressAutoHyphens/>
              <w:spacing w:line="240" w:lineRule="auto"/>
              <w:jc w:val="center"/>
              <w:rPr>
                <w:szCs w:val="22"/>
              </w:rPr>
            </w:pPr>
            <w:r>
              <w:rPr>
                <w:szCs w:val="22"/>
              </w:rPr>
              <w:t>45,8%</w:t>
            </w:r>
          </w:p>
        </w:tc>
        <w:tc>
          <w:tcPr>
            <w:tcW w:w="1012" w:type="pct"/>
          </w:tcPr>
          <w:p w14:paraId="73B5D177" w14:textId="77777777" w:rsidR="00C04CAD" w:rsidRDefault="00060E34">
            <w:pPr>
              <w:keepNext/>
              <w:suppressAutoHyphens/>
              <w:spacing w:line="240" w:lineRule="auto"/>
              <w:jc w:val="center"/>
              <w:rPr>
                <w:szCs w:val="22"/>
              </w:rPr>
            </w:pPr>
            <w:r>
              <w:rPr>
                <w:szCs w:val="22"/>
              </w:rPr>
              <w:t>65,8%***</w:t>
            </w:r>
          </w:p>
        </w:tc>
      </w:tr>
      <w:tr w:rsidR="00C04CAD" w14:paraId="0EA8F0A7" w14:textId="77777777">
        <w:trPr>
          <w:jc w:val="center"/>
        </w:trPr>
        <w:tc>
          <w:tcPr>
            <w:tcW w:w="3052" w:type="pct"/>
          </w:tcPr>
          <w:p w14:paraId="0B33E290" w14:textId="77777777" w:rsidR="00C04CAD" w:rsidRDefault="00060E34">
            <w:pPr>
              <w:spacing w:line="240" w:lineRule="auto"/>
              <w:rPr>
                <w:szCs w:val="22"/>
              </w:rPr>
            </w:pPr>
            <w:r>
              <w:rPr>
                <w:szCs w:val="22"/>
              </w:rPr>
              <w:t>ASAS</w:t>
            </w:r>
            <w:r>
              <w:rPr>
                <w:szCs w:val="22"/>
                <w:vertAlign w:val="superscript"/>
              </w:rPr>
              <w:t>a</w:t>
            </w:r>
            <w:r>
              <w:rPr>
                <w:szCs w:val="22"/>
              </w:rPr>
              <w:t xml:space="preserve"> Remisiune Parțială</w:t>
            </w:r>
          </w:p>
        </w:tc>
        <w:tc>
          <w:tcPr>
            <w:tcW w:w="935" w:type="pct"/>
          </w:tcPr>
          <w:p w14:paraId="60876469" w14:textId="77777777" w:rsidR="00C04CAD" w:rsidRDefault="00060E34">
            <w:pPr>
              <w:spacing w:line="240" w:lineRule="auto"/>
              <w:jc w:val="center"/>
              <w:rPr>
                <w:szCs w:val="22"/>
              </w:rPr>
            </w:pPr>
            <w:r>
              <w:rPr>
                <w:szCs w:val="22"/>
              </w:rPr>
              <w:t>26,8%</w:t>
            </w:r>
          </w:p>
        </w:tc>
        <w:tc>
          <w:tcPr>
            <w:tcW w:w="1012" w:type="pct"/>
          </w:tcPr>
          <w:p w14:paraId="4523EF87" w14:textId="77777777" w:rsidR="00C04CAD" w:rsidRDefault="00060E34">
            <w:pPr>
              <w:spacing w:line="240" w:lineRule="auto"/>
              <w:jc w:val="center"/>
              <w:rPr>
                <w:szCs w:val="22"/>
              </w:rPr>
            </w:pPr>
            <w:r>
              <w:rPr>
                <w:szCs w:val="22"/>
              </w:rPr>
              <w:t>42,1%**</w:t>
            </w:r>
          </w:p>
        </w:tc>
      </w:tr>
      <w:tr w:rsidR="00C04CAD" w14:paraId="32481162" w14:textId="77777777">
        <w:trPr>
          <w:jc w:val="center"/>
        </w:trPr>
        <w:tc>
          <w:tcPr>
            <w:tcW w:w="3052" w:type="pct"/>
          </w:tcPr>
          <w:p w14:paraId="0224EBA5" w14:textId="77777777" w:rsidR="00C04CAD" w:rsidRDefault="00060E34">
            <w:pPr>
              <w:keepNext/>
              <w:keepLines/>
              <w:suppressAutoHyphens/>
              <w:spacing w:line="240" w:lineRule="auto"/>
              <w:rPr>
                <w:szCs w:val="22"/>
              </w:rPr>
            </w:pPr>
            <w:r>
              <w:rPr>
                <w:szCs w:val="22"/>
              </w:rPr>
              <w:t>ASDAS</w:t>
            </w:r>
            <w:r>
              <w:rPr>
                <w:szCs w:val="22"/>
                <w:vertAlign w:val="superscript"/>
              </w:rPr>
              <w:t>c</w:t>
            </w:r>
            <w:r>
              <w:rPr>
                <w:szCs w:val="22"/>
              </w:rPr>
              <w:t xml:space="preserve"> Boală Inactivă</w:t>
            </w:r>
          </w:p>
        </w:tc>
        <w:tc>
          <w:tcPr>
            <w:tcW w:w="935" w:type="pct"/>
          </w:tcPr>
          <w:p w14:paraId="5D70DC86" w14:textId="77777777" w:rsidR="00C04CAD" w:rsidRDefault="00060E34">
            <w:pPr>
              <w:keepNext/>
              <w:keepLines/>
              <w:suppressAutoHyphens/>
              <w:spacing w:line="240" w:lineRule="auto"/>
              <w:jc w:val="center"/>
              <w:rPr>
                <w:szCs w:val="22"/>
              </w:rPr>
            </w:pPr>
            <w:r>
              <w:rPr>
                <w:szCs w:val="22"/>
              </w:rPr>
              <w:t>33,3%</w:t>
            </w:r>
          </w:p>
        </w:tc>
        <w:tc>
          <w:tcPr>
            <w:tcW w:w="1012" w:type="pct"/>
          </w:tcPr>
          <w:p w14:paraId="4DC8FABD" w14:textId="77777777" w:rsidR="00C04CAD" w:rsidRDefault="00060E34">
            <w:pPr>
              <w:keepNext/>
              <w:keepLines/>
              <w:suppressAutoHyphens/>
              <w:spacing w:line="240" w:lineRule="auto"/>
              <w:jc w:val="center"/>
              <w:rPr>
                <w:szCs w:val="22"/>
              </w:rPr>
            </w:pPr>
            <w:r>
              <w:rPr>
                <w:szCs w:val="22"/>
              </w:rPr>
              <w:t>57,2%***</w:t>
            </w:r>
          </w:p>
        </w:tc>
      </w:tr>
      <w:tr w:rsidR="00C04CAD" w14:paraId="3AD4962F" w14:textId="77777777">
        <w:trPr>
          <w:jc w:val="center"/>
        </w:trPr>
        <w:tc>
          <w:tcPr>
            <w:tcW w:w="3052" w:type="pct"/>
          </w:tcPr>
          <w:p w14:paraId="11CFA596" w14:textId="77777777" w:rsidR="00C04CAD" w:rsidRDefault="00060E34">
            <w:pPr>
              <w:keepNext/>
              <w:keepLines/>
              <w:suppressAutoHyphens/>
              <w:spacing w:line="240" w:lineRule="auto"/>
              <w:rPr>
                <w:szCs w:val="22"/>
              </w:rPr>
            </w:pPr>
            <w:r>
              <w:rPr>
                <w:szCs w:val="22"/>
              </w:rPr>
              <w:t>Activare Parțială</w:t>
            </w:r>
            <w:r>
              <w:rPr>
                <w:szCs w:val="22"/>
                <w:vertAlign w:val="superscript"/>
              </w:rPr>
              <w:t>d</w:t>
            </w:r>
          </w:p>
        </w:tc>
        <w:tc>
          <w:tcPr>
            <w:tcW w:w="935" w:type="pct"/>
          </w:tcPr>
          <w:p w14:paraId="66101BD2" w14:textId="77777777" w:rsidR="00C04CAD" w:rsidRDefault="00060E34">
            <w:pPr>
              <w:keepNext/>
              <w:keepLines/>
              <w:suppressAutoHyphens/>
              <w:spacing w:line="240" w:lineRule="auto"/>
              <w:jc w:val="center"/>
              <w:rPr>
                <w:szCs w:val="22"/>
              </w:rPr>
            </w:pPr>
            <w:r>
              <w:rPr>
                <w:szCs w:val="22"/>
              </w:rPr>
              <w:t>64,1%</w:t>
            </w:r>
          </w:p>
        </w:tc>
        <w:tc>
          <w:tcPr>
            <w:tcW w:w="1012" w:type="pct"/>
          </w:tcPr>
          <w:p w14:paraId="13082733" w14:textId="77777777" w:rsidR="00C04CAD" w:rsidRDefault="00060E34">
            <w:pPr>
              <w:keepNext/>
              <w:keepLines/>
              <w:suppressAutoHyphens/>
              <w:spacing w:line="240" w:lineRule="auto"/>
              <w:jc w:val="center"/>
              <w:rPr>
                <w:szCs w:val="22"/>
              </w:rPr>
            </w:pPr>
            <w:r>
              <w:rPr>
                <w:szCs w:val="22"/>
              </w:rPr>
              <w:t>40,8%***</w:t>
            </w:r>
          </w:p>
        </w:tc>
      </w:tr>
      <w:tr w:rsidR="00C04CAD" w14:paraId="0549CAE3" w14:textId="77777777">
        <w:trPr>
          <w:jc w:val="center"/>
        </w:trPr>
        <w:tc>
          <w:tcPr>
            <w:tcW w:w="5000" w:type="pct"/>
            <w:gridSpan w:val="3"/>
            <w:tcBorders>
              <w:left w:val="nil"/>
              <w:bottom w:val="nil"/>
              <w:right w:val="nil"/>
            </w:tcBorders>
          </w:tcPr>
          <w:p w14:paraId="08926DEE" w14:textId="77777777" w:rsidR="00C04CAD" w:rsidRDefault="00060E34">
            <w:pPr>
              <w:keepNext/>
              <w:keepLines/>
              <w:tabs>
                <w:tab w:val="clear" w:pos="567"/>
              </w:tabs>
              <w:autoSpaceDE w:val="0"/>
              <w:autoSpaceDN w:val="0"/>
              <w:adjustRightInd w:val="0"/>
              <w:spacing w:line="240" w:lineRule="auto"/>
              <w:rPr>
                <w:sz w:val="20"/>
              </w:rPr>
            </w:pPr>
            <w:r>
              <w:rPr>
                <w:sz w:val="20"/>
                <w:vertAlign w:val="superscript"/>
              </w:rPr>
              <w:t>a</w:t>
            </w:r>
            <w:r>
              <w:rPr>
                <w:sz w:val="20"/>
              </w:rPr>
              <w:t xml:space="preserve"> Evaluarea Societății Internaționale de SpondiloArtrită.</w:t>
            </w:r>
          </w:p>
          <w:p w14:paraId="749009AA" w14:textId="77777777" w:rsidR="00C04CAD" w:rsidRDefault="00060E34">
            <w:pPr>
              <w:keepNext/>
              <w:keepLines/>
              <w:suppressAutoHyphens/>
              <w:spacing w:line="240" w:lineRule="auto"/>
              <w:rPr>
                <w:sz w:val="20"/>
                <w:vertAlign w:val="superscript"/>
              </w:rPr>
            </w:pPr>
            <w:r>
              <w:rPr>
                <w:sz w:val="20"/>
                <w:vertAlign w:val="superscript"/>
              </w:rPr>
              <w:t>b</w:t>
            </w:r>
            <w:r>
              <w:rPr>
                <w:sz w:val="20"/>
              </w:rPr>
              <w:t xml:space="preserve"> Valorile de bază sunt definite ca valorile de bază din brațul deschis când pacienții au boală activă.</w:t>
            </w:r>
          </w:p>
          <w:p w14:paraId="54CFC687" w14:textId="77777777" w:rsidR="00C04CAD" w:rsidRDefault="00060E34">
            <w:pPr>
              <w:keepNext/>
              <w:keepLines/>
              <w:suppressAutoHyphens/>
              <w:spacing w:line="240" w:lineRule="auto"/>
              <w:rPr>
                <w:sz w:val="20"/>
                <w:vertAlign w:val="superscript"/>
              </w:rPr>
            </w:pPr>
            <w:r>
              <w:rPr>
                <w:sz w:val="20"/>
                <w:vertAlign w:val="superscript"/>
              </w:rPr>
              <w:t>c</w:t>
            </w:r>
            <w:r>
              <w:rPr>
                <w:sz w:val="20"/>
              </w:rPr>
              <w:t xml:space="preserve"> Scorul de Activitate al Spondilitei Anchilozante. </w:t>
            </w:r>
          </w:p>
          <w:p w14:paraId="420007FA" w14:textId="77777777" w:rsidR="00C04CAD" w:rsidRDefault="00060E34">
            <w:pPr>
              <w:keepNext/>
              <w:keepLines/>
              <w:tabs>
                <w:tab w:val="clear" w:pos="567"/>
              </w:tabs>
              <w:autoSpaceDE w:val="0"/>
              <w:autoSpaceDN w:val="0"/>
              <w:adjustRightInd w:val="0"/>
              <w:spacing w:line="240" w:lineRule="auto"/>
              <w:rPr>
                <w:sz w:val="20"/>
              </w:rPr>
            </w:pPr>
            <w:r>
              <w:rPr>
                <w:sz w:val="20"/>
                <w:vertAlign w:val="superscript"/>
              </w:rPr>
              <w:t>d</w:t>
            </w:r>
            <w:r>
              <w:rPr>
                <w:sz w:val="20"/>
              </w:rPr>
              <w:t xml:space="preserve"> Activarea Parțială este definită ca </w:t>
            </w:r>
            <w:r>
              <w:rPr>
                <w:rFonts w:eastAsia="Calibri"/>
                <w:sz w:val="20"/>
              </w:rPr>
              <w:t>ASDAS ≥ 1,3 dar &lt; 2,1 în 2 vizite consecutive.</w:t>
            </w:r>
          </w:p>
          <w:p w14:paraId="163EE0FB" w14:textId="77777777" w:rsidR="00C04CAD" w:rsidRDefault="00060E34">
            <w:pPr>
              <w:keepNext/>
              <w:keepLines/>
              <w:suppressAutoHyphens/>
              <w:spacing w:line="240" w:lineRule="auto"/>
              <w:rPr>
                <w:sz w:val="20"/>
              </w:rPr>
            </w:pPr>
            <w:r>
              <w:rPr>
                <w:sz w:val="20"/>
              </w:rPr>
              <w:t>***, ** Semnificativ statistic la p &lt; 0,001 și respectiv p &lt; 0,01, pentru toate comparațiile între Adalimumab și placebo.</w:t>
            </w:r>
          </w:p>
        </w:tc>
      </w:tr>
    </w:tbl>
    <w:p w14:paraId="7AF927CD" w14:textId="77777777" w:rsidR="00C04CAD" w:rsidRDefault="00C04CAD">
      <w:pPr>
        <w:tabs>
          <w:tab w:val="clear" w:pos="567"/>
        </w:tabs>
        <w:autoSpaceDE w:val="0"/>
        <w:autoSpaceDN w:val="0"/>
        <w:adjustRightInd w:val="0"/>
        <w:spacing w:line="240" w:lineRule="auto"/>
        <w:rPr>
          <w:szCs w:val="22"/>
        </w:rPr>
      </w:pPr>
    </w:p>
    <w:p w14:paraId="4378CC4C" w14:textId="77777777" w:rsidR="00C04CAD" w:rsidRDefault="00060E34">
      <w:pPr>
        <w:keepNext/>
        <w:tabs>
          <w:tab w:val="clear" w:pos="567"/>
        </w:tabs>
        <w:kinsoku w:val="0"/>
        <w:overflowPunct w:val="0"/>
        <w:autoSpaceDE w:val="0"/>
        <w:autoSpaceDN w:val="0"/>
        <w:adjustRightInd w:val="0"/>
        <w:spacing w:line="240" w:lineRule="auto"/>
        <w:rPr>
          <w:i/>
          <w:szCs w:val="22"/>
        </w:rPr>
      </w:pPr>
      <w:r>
        <w:rPr>
          <w:i/>
          <w:szCs w:val="22"/>
        </w:rPr>
        <w:t>Artrită psoriazică</w:t>
      </w:r>
    </w:p>
    <w:p w14:paraId="0C425DF3" w14:textId="77777777" w:rsidR="00C04CAD" w:rsidRDefault="00C04CAD">
      <w:pPr>
        <w:keepNext/>
        <w:tabs>
          <w:tab w:val="clear" w:pos="567"/>
        </w:tabs>
        <w:kinsoku w:val="0"/>
        <w:overflowPunct w:val="0"/>
        <w:autoSpaceDE w:val="0"/>
        <w:autoSpaceDN w:val="0"/>
        <w:adjustRightInd w:val="0"/>
        <w:spacing w:line="240" w:lineRule="auto"/>
        <w:rPr>
          <w:szCs w:val="22"/>
        </w:rPr>
      </w:pPr>
    </w:p>
    <w:p w14:paraId="691ADAB0"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rPr>
        <w:t xml:space="preserve">În două studii clinice placebo-controlate, studiile APs I şi II, efectuate la pacienţi cu artrită psoriazică forma moderată până la severă, s-a studiat administrarea a 40 mg </w:t>
      </w:r>
      <w:r>
        <w:rPr>
          <w:rFonts w:eastAsia="MS Mincho"/>
          <w:szCs w:val="22"/>
          <w:lang w:eastAsia="en-US" w:bidi="ar-SA"/>
        </w:rPr>
        <w:t>adalimumab</w:t>
      </w:r>
      <w:r>
        <w:rPr>
          <w:szCs w:val="22"/>
        </w:rPr>
        <w:t xml:space="preserve"> la fiecare două săptămâni. În studiul APs I, cu o durată de 24 săptămâni, au fost trataţi 313 pacienţi adulţi care au avut un răspuns necorespunzător la tratamentul cu medicamente antiinflamatoare nesteroidiene, dintre aceştia aproximativ 50% utilizau metotrexat. În studiul APs II, cu o durată de 12 săptămâni, au fost trataţi 100 pacienţi care au avut un răspuns necorespunzător la tratamentul MARB. La finalul ambelor studii, au fost înrolaţi 383 pacienţi în studiul extins deschis, cărora li s-a administrat </w:t>
      </w:r>
      <w:r>
        <w:rPr>
          <w:rFonts w:eastAsia="MS Mincho"/>
          <w:szCs w:val="22"/>
          <w:lang w:eastAsia="en-US" w:bidi="ar-SA"/>
        </w:rPr>
        <w:t>adalimumab</w:t>
      </w:r>
      <w:r>
        <w:rPr>
          <w:szCs w:val="22"/>
        </w:rPr>
        <w:t xml:space="preserve"> 40 mg la 2 săptămâni.</w:t>
      </w:r>
    </w:p>
    <w:p w14:paraId="4644809B" w14:textId="77777777" w:rsidR="00C04CAD" w:rsidRDefault="00C04CAD">
      <w:pPr>
        <w:tabs>
          <w:tab w:val="clear" w:pos="567"/>
        </w:tabs>
        <w:kinsoku w:val="0"/>
        <w:overflowPunct w:val="0"/>
        <w:autoSpaceDE w:val="0"/>
        <w:autoSpaceDN w:val="0"/>
        <w:adjustRightInd w:val="0"/>
        <w:spacing w:line="240" w:lineRule="auto"/>
        <w:rPr>
          <w:szCs w:val="22"/>
        </w:rPr>
      </w:pPr>
    </w:p>
    <w:p w14:paraId="4D069F03" w14:textId="77777777" w:rsidR="00C04CAD" w:rsidRDefault="00060E34">
      <w:pPr>
        <w:autoSpaceDE w:val="0"/>
        <w:autoSpaceDN w:val="0"/>
        <w:adjustRightInd w:val="0"/>
        <w:spacing w:line="240" w:lineRule="auto"/>
        <w:rPr>
          <w:szCs w:val="22"/>
        </w:rPr>
      </w:pPr>
      <w:r>
        <w:rPr>
          <w:szCs w:val="22"/>
        </w:rPr>
        <w:t xml:space="preserve">Nu există date suficiente în ceea ce priveşte eficacitatea </w:t>
      </w:r>
      <w:r>
        <w:rPr>
          <w:rFonts w:eastAsia="MS Mincho"/>
          <w:szCs w:val="22"/>
          <w:lang w:eastAsia="en-US" w:bidi="ar-SA"/>
        </w:rPr>
        <w:t>adalimumab</w:t>
      </w:r>
      <w:r>
        <w:rPr>
          <w:szCs w:val="22"/>
        </w:rPr>
        <w:t xml:space="preserve"> la pacienţii cu artrită psoriazică asemănătoare spondilitei ankilopoetice, ca urmare a numărului mic de pacienţi evaluaţi.</w:t>
      </w:r>
    </w:p>
    <w:p w14:paraId="120F14BA" w14:textId="77777777" w:rsidR="00C04CAD" w:rsidRDefault="00C04CAD">
      <w:pPr>
        <w:autoSpaceDE w:val="0"/>
        <w:autoSpaceDN w:val="0"/>
        <w:adjustRightInd w:val="0"/>
        <w:spacing w:line="240" w:lineRule="auto"/>
      </w:pPr>
    </w:p>
    <w:p w14:paraId="679AE6DB" w14:textId="77777777" w:rsidR="00C04CAD" w:rsidRDefault="00060E34">
      <w:pPr>
        <w:autoSpaceDE w:val="0"/>
        <w:autoSpaceDN w:val="0"/>
        <w:adjustRightInd w:val="0"/>
        <w:spacing w:line="240" w:lineRule="auto"/>
        <w:rPr>
          <w:b/>
        </w:rPr>
      </w:pPr>
      <w:r>
        <w:rPr>
          <w:b/>
          <w:bCs/>
        </w:rPr>
        <w:t xml:space="preserve">Tabelul 15. </w:t>
      </w:r>
      <w:r>
        <w:rPr>
          <w:b/>
        </w:rPr>
        <w:t>Răspunsul ACR în cadrul studiilor placebo controlate privind artrita psoriazică (procentul de pacienţi)</w:t>
      </w:r>
    </w:p>
    <w:p w14:paraId="3C973DBE" w14:textId="77777777" w:rsidR="00C04CAD" w:rsidRDefault="00C04CAD">
      <w:pPr>
        <w:spacing w:line="240" w:lineRule="auto"/>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701"/>
        <w:gridCol w:w="1701"/>
        <w:gridCol w:w="1701"/>
        <w:gridCol w:w="1559"/>
      </w:tblGrid>
      <w:tr w:rsidR="00C04CAD" w14:paraId="6013005F" w14:textId="77777777">
        <w:trPr>
          <w:trHeight w:val="293"/>
        </w:trPr>
        <w:tc>
          <w:tcPr>
            <w:tcW w:w="2410" w:type="dxa"/>
          </w:tcPr>
          <w:p w14:paraId="1128883B" w14:textId="77777777" w:rsidR="00C04CAD" w:rsidRDefault="00C04CAD">
            <w:pPr>
              <w:keepNext/>
              <w:keepLines/>
              <w:tabs>
                <w:tab w:val="clear" w:pos="567"/>
              </w:tabs>
              <w:autoSpaceDE w:val="0"/>
              <w:autoSpaceDN w:val="0"/>
              <w:adjustRightInd w:val="0"/>
              <w:spacing w:line="240" w:lineRule="auto"/>
              <w:rPr>
                <w:b/>
                <w:bCs/>
                <w:szCs w:val="22"/>
                <w:lang w:eastAsia="en-GB"/>
              </w:rPr>
            </w:pPr>
          </w:p>
        </w:tc>
        <w:tc>
          <w:tcPr>
            <w:tcW w:w="3402" w:type="dxa"/>
            <w:gridSpan w:val="2"/>
          </w:tcPr>
          <w:p w14:paraId="5AFEE99E" w14:textId="77777777" w:rsidR="00C04CAD" w:rsidRDefault="00060E34">
            <w:pPr>
              <w:keepNext/>
              <w:tabs>
                <w:tab w:val="clear" w:pos="567"/>
              </w:tabs>
              <w:kinsoku w:val="0"/>
              <w:overflowPunct w:val="0"/>
              <w:autoSpaceDE w:val="0"/>
              <w:autoSpaceDN w:val="0"/>
              <w:adjustRightInd w:val="0"/>
              <w:spacing w:line="240" w:lineRule="auto"/>
              <w:ind w:left="527"/>
              <w:jc w:val="center"/>
              <w:rPr>
                <w:szCs w:val="22"/>
              </w:rPr>
            </w:pPr>
            <w:r>
              <w:rPr>
                <w:b/>
                <w:szCs w:val="22"/>
              </w:rPr>
              <w:t>Studiul APs I</w:t>
            </w:r>
          </w:p>
        </w:tc>
        <w:tc>
          <w:tcPr>
            <w:tcW w:w="3260" w:type="dxa"/>
            <w:gridSpan w:val="2"/>
          </w:tcPr>
          <w:p w14:paraId="0055365B"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zCs w:val="22"/>
              </w:rPr>
              <w:t>Studiul APs II</w:t>
            </w:r>
          </w:p>
        </w:tc>
      </w:tr>
      <w:tr w:rsidR="00C04CAD" w14:paraId="50694A5C" w14:textId="77777777">
        <w:trPr>
          <w:trHeight w:val="293"/>
        </w:trPr>
        <w:tc>
          <w:tcPr>
            <w:tcW w:w="2410" w:type="dxa"/>
          </w:tcPr>
          <w:p w14:paraId="54022902" w14:textId="77777777" w:rsidR="00C04CAD" w:rsidRDefault="00060E34">
            <w:pPr>
              <w:tabs>
                <w:tab w:val="clear" w:pos="567"/>
              </w:tabs>
              <w:kinsoku w:val="0"/>
              <w:overflowPunct w:val="0"/>
              <w:autoSpaceDE w:val="0"/>
              <w:autoSpaceDN w:val="0"/>
              <w:adjustRightInd w:val="0"/>
              <w:spacing w:line="240" w:lineRule="auto"/>
              <w:ind w:left="102"/>
              <w:rPr>
                <w:b/>
                <w:szCs w:val="22"/>
              </w:rPr>
            </w:pPr>
            <w:r>
              <w:rPr>
                <w:b/>
                <w:szCs w:val="22"/>
              </w:rPr>
              <w:t>Răspuns</w:t>
            </w:r>
          </w:p>
        </w:tc>
        <w:tc>
          <w:tcPr>
            <w:tcW w:w="1701" w:type="dxa"/>
          </w:tcPr>
          <w:p w14:paraId="71EC1A8C" w14:textId="77777777" w:rsidR="00C04CAD" w:rsidRDefault="00060E34">
            <w:pPr>
              <w:tabs>
                <w:tab w:val="clear" w:pos="567"/>
              </w:tabs>
              <w:kinsoku w:val="0"/>
              <w:overflowPunct w:val="0"/>
              <w:autoSpaceDE w:val="0"/>
              <w:autoSpaceDN w:val="0"/>
              <w:adjustRightInd w:val="0"/>
              <w:spacing w:line="240" w:lineRule="auto"/>
              <w:ind w:left="99"/>
              <w:jc w:val="center"/>
              <w:rPr>
                <w:b/>
                <w:szCs w:val="22"/>
              </w:rPr>
            </w:pPr>
            <w:r>
              <w:rPr>
                <w:b/>
                <w:szCs w:val="22"/>
              </w:rPr>
              <w:t>Placebo</w:t>
            </w:r>
          </w:p>
          <w:p w14:paraId="09C3717C" w14:textId="77777777" w:rsidR="00C04CAD" w:rsidRDefault="00060E34">
            <w:pPr>
              <w:tabs>
                <w:tab w:val="clear" w:pos="567"/>
              </w:tabs>
              <w:kinsoku w:val="0"/>
              <w:overflowPunct w:val="0"/>
              <w:autoSpaceDE w:val="0"/>
              <w:autoSpaceDN w:val="0"/>
              <w:adjustRightInd w:val="0"/>
              <w:spacing w:line="240" w:lineRule="auto"/>
              <w:ind w:left="99"/>
              <w:jc w:val="center"/>
              <w:rPr>
                <w:b/>
                <w:szCs w:val="22"/>
              </w:rPr>
            </w:pPr>
            <w:r>
              <w:rPr>
                <w:b/>
                <w:szCs w:val="22"/>
              </w:rPr>
              <w:t>N=162</w:t>
            </w:r>
          </w:p>
        </w:tc>
        <w:tc>
          <w:tcPr>
            <w:tcW w:w="1701" w:type="dxa"/>
          </w:tcPr>
          <w:p w14:paraId="29E56901" w14:textId="77777777" w:rsidR="00C04CAD" w:rsidRDefault="00060E34">
            <w:pPr>
              <w:kinsoku w:val="0"/>
              <w:overflowPunct w:val="0"/>
              <w:autoSpaceDE w:val="0"/>
              <w:autoSpaceDN w:val="0"/>
              <w:adjustRightInd w:val="0"/>
              <w:spacing w:line="240" w:lineRule="auto"/>
              <w:ind w:left="102"/>
              <w:jc w:val="center"/>
              <w:rPr>
                <w:b/>
                <w:szCs w:val="22"/>
              </w:rPr>
            </w:pPr>
            <w:r>
              <w:rPr>
                <w:b/>
                <w:szCs w:val="22"/>
              </w:rPr>
              <w:t>Adalimumab</w:t>
            </w:r>
          </w:p>
          <w:p w14:paraId="60FA25BA"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zCs w:val="22"/>
              </w:rPr>
              <w:t>N=151</w:t>
            </w:r>
          </w:p>
        </w:tc>
        <w:tc>
          <w:tcPr>
            <w:tcW w:w="1701" w:type="dxa"/>
          </w:tcPr>
          <w:p w14:paraId="77862CA7"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zCs w:val="22"/>
              </w:rPr>
              <w:t>Placebo</w:t>
            </w:r>
          </w:p>
          <w:p w14:paraId="716C0BEF"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zCs w:val="22"/>
              </w:rPr>
              <w:t>N=49</w:t>
            </w:r>
          </w:p>
        </w:tc>
        <w:tc>
          <w:tcPr>
            <w:tcW w:w="1559" w:type="dxa"/>
          </w:tcPr>
          <w:p w14:paraId="5912C709" w14:textId="77777777" w:rsidR="00C04CAD" w:rsidRDefault="00060E34">
            <w:pPr>
              <w:tabs>
                <w:tab w:val="clear" w:pos="567"/>
              </w:tabs>
              <w:kinsoku w:val="0"/>
              <w:overflowPunct w:val="0"/>
              <w:autoSpaceDE w:val="0"/>
              <w:autoSpaceDN w:val="0"/>
              <w:adjustRightInd w:val="0"/>
              <w:spacing w:line="240" w:lineRule="auto"/>
              <w:ind w:left="102"/>
              <w:jc w:val="center"/>
              <w:rPr>
                <w:rFonts w:eastAsia="MS Mincho"/>
                <w:b/>
                <w:szCs w:val="22"/>
                <w:lang w:eastAsia="en-US" w:bidi="ar-SA"/>
              </w:rPr>
            </w:pPr>
            <w:r>
              <w:rPr>
                <w:rFonts w:eastAsia="MS Mincho"/>
                <w:b/>
                <w:szCs w:val="22"/>
                <w:lang w:eastAsia="en-US" w:bidi="ar-SA"/>
              </w:rPr>
              <w:t>Adalimumab</w:t>
            </w:r>
          </w:p>
          <w:p w14:paraId="406A7DCF" w14:textId="77777777" w:rsidR="00C04CAD" w:rsidRDefault="00060E34">
            <w:pPr>
              <w:tabs>
                <w:tab w:val="clear" w:pos="567"/>
              </w:tabs>
              <w:kinsoku w:val="0"/>
              <w:overflowPunct w:val="0"/>
              <w:autoSpaceDE w:val="0"/>
              <w:autoSpaceDN w:val="0"/>
              <w:adjustRightInd w:val="0"/>
              <w:spacing w:line="240" w:lineRule="auto"/>
              <w:ind w:left="102"/>
              <w:jc w:val="center"/>
              <w:rPr>
                <w:b/>
                <w:szCs w:val="22"/>
              </w:rPr>
            </w:pPr>
            <w:r>
              <w:rPr>
                <w:b/>
                <w:szCs w:val="22"/>
              </w:rPr>
              <w:t>N=51</w:t>
            </w:r>
          </w:p>
        </w:tc>
      </w:tr>
      <w:tr w:rsidR="00C04CAD" w14:paraId="4B9EDFE7" w14:textId="77777777">
        <w:trPr>
          <w:trHeight w:val="147"/>
        </w:trPr>
        <w:tc>
          <w:tcPr>
            <w:tcW w:w="2410" w:type="dxa"/>
          </w:tcPr>
          <w:p w14:paraId="7256954B"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ACR 20</w:t>
            </w:r>
          </w:p>
        </w:tc>
        <w:tc>
          <w:tcPr>
            <w:tcW w:w="1701" w:type="dxa"/>
          </w:tcPr>
          <w:p w14:paraId="7EAA5155"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701" w:type="dxa"/>
          </w:tcPr>
          <w:p w14:paraId="66FF2A14"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701" w:type="dxa"/>
          </w:tcPr>
          <w:p w14:paraId="65FE3960"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c>
          <w:tcPr>
            <w:tcW w:w="1559" w:type="dxa"/>
          </w:tcPr>
          <w:p w14:paraId="64EBF83B" w14:textId="77777777" w:rsidR="00C04CAD" w:rsidRDefault="00C04CAD">
            <w:pPr>
              <w:keepNext/>
              <w:keepLines/>
              <w:tabs>
                <w:tab w:val="clear" w:pos="567"/>
              </w:tabs>
              <w:autoSpaceDE w:val="0"/>
              <w:autoSpaceDN w:val="0"/>
              <w:adjustRightInd w:val="0"/>
              <w:spacing w:line="240" w:lineRule="auto"/>
              <w:jc w:val="center"/>
              <w:rPr>
                <w:szCs w:val="22"/>
                <w:lang w:eastAsia="en-GB"/>
              </w:rPr>
            </w:pPr>
          </w:p>
        </w:tc>
      </w:tr>
      <w:tr w:rsidR="00C04CAD" w14:paraId="1DB91EAD" w14:textId="77777777">
        <w:trPr>
          <w:trHeight w:val="147"/>
        </w:trPr>
        <w:tc>
          <w:tcPr>
            <w:tcW w:w="2410" w:type="dxa"/>
          </w:tcPr>
          <w:p w14:paraId="29006D0C"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12</w:t>
            </w:r>
          </w:p>
        </w:tc>
        <w:tc>
          <w:tcPr>
            <w:tcW w:w="1701" w:type="dxa"/>
          </w:tcPr>
          <w:p w14:paraId="10642DD1"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14%</w:t>
            </w:r>
          </w:p>
        </w:tc>
        <w:tc>
          <w:tcPr>
            <w:tcW w:w="1701" w:type="dxa"/>
          </w:tcPr>
          <w:p w14:paraId="6E3E7733"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58%***</w:t>
            </w:r>
          </w:p>
        </w:tc>
        <w:tc>
          <w:tcPr>
            <w:tcW w:w="1701" w:type="dxa"/>
          </w:tcPr>
          <w:p w14:paraId="6D6FDC48"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16%</w:t>
            </w:r>
          </w:p>
        </w:tc>
        <w:tc>
          <w:tcPr>
            <w:tcW w:w="1559" w:type="dxa"/>
          </w:tcPr>
          <w:p w14:paraId="7762A0A0"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39%*</w:t>
            </w:r>
          </w:p>
        </w:tc>
      </w:tr>
      <w:tr w:rsidR="00C04CAD" w14:paraId="4108A650" w14:textId="77777777">
        <w:trPr>
          <w:trHeight w:val="147"/>
        </w:trPr>
        <w:tc>
          <w:tcPr>
            <w:tcW w:w="2410" w:type="dxa"/>
          </w:tcPr>
          <w:p w14:paraId="61DA92C2"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24</w:t>
            </w:r>
          </w:p>
        </w:tc>
        <w:tc>
          <w:tcPr>
            <w:tcW w:w="1701" w:type="dxa"/>
          </w:tcPr>
          <w:p w14:paraId="193D1A5C"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15%</w:t>
            </w:r>
          </w:p>
        </w:tc>
        <w:tc>
          <w:tcPr>
            <w:tcW w:w="1701" w:type="dxa"/>
          </w:tcPr>
          <w:p w14:paraId="5828F4E4"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57%***</w:t>
            </w:r>
          </w:p>
        </w:tc>
        <w:tc>
          <w:tcPr>
            <w:tcW w:w="1701" w:type="dxa"/>
          </w:tcPr>
          <w:p w14:paraId="3647B4E2"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N/A</w:t>
            </w:r>
          </w:p>
        </w:tc>
        <w:tc>
          <w:tcPr>
            <w:tcW w:w="1559" w:type="dxa"/>
          </w:tcPr>
          <w:p w14:paraId="77F304B6"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r w:rsidR="00C04CAD" w14:paraId="514BDAE7" w14:textId="77777777">
        <w:trPr>
          <w:trHeight w:val="147"/>
        </w:trPr>
        <w:tc>
          <w:tcPr>
            <w:tcW w:w="2410" w:type="dxa"/>
          </w:tcPr>
          <w:p w14:paraId="03E12FFF" w14:textId="77777777" w:rsidR="00C04CAD" w:rsidRDefault="00060E34">
            <w:pPr>
              <w:tabs>
                <w:tab w:val="clear" w:pos="567"/>
              </w:tabs>
              <w:kinsoku w:val="0"/>
              <w:overflowPunct w:val="0"/>
              <w:autoSpaceDE w:val="0"/>
              <w:autoSpaceDN w:val="0"/>
              <w:adjustRightInd w:val="0"/>
              <w:spacing w:line="240" w:lineRule="auto"/>
              <w:ind w:left="102"/>
              <w:rPr>
                <w:color w:val="000000"/>
                <w:szCs w:val="22"/>
                <w:lang w:eastAsia="en-GB"/>
              </w:rPr>
            </w:pPr>
            <w:r>
              <w:rPr>
                <w:szCs w:val="22"/>
              </w:rPr>
              <w:t>ACR 50</w:t>
            </w:r>
          </w:p>
        </w:tc>
        <w:tc>
          <w:tcPr>
            <w:tcW w:w="1701" w:type="dxa"/>
          </w:tcPr>
          <w:p w14:paraId="70FAF072"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65E74910"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74EACA31"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6E5BC2C4"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r>
      <w:tr w:rsidR="00C04CAD" w14:paraId="75ED0965" w14:textId="77777777">
        <w:trPr>
          <w:trHeight w:val="147"/>
        </w:trPr>
        <w:tc>
          <w:tcPr>
            <w:tcW w:w="2410" w:type="dxa"/>
          </w:tcPr>
          <w:p w14:paraId="6619B9F1"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12</w:t>
            </w:r>
          </w:p>
        </w:tc>
        <w:tc>
          <w:tcPr>
            <w:tcW w:w="1701" w:type="dxa"/>
          </w:tcPr>
          <w:p w14:paraId="03FF2D38"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4%</w:t>
            </w:r>
          </w:p>
        </w:tc>
        <w:tc>
          <w:tcPr>
            <w:tcW w:w="1701" w:type="dxa"/>
          </w:tcPr>
          <w:p w14:paraId="6F766893"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36%***</w:t>
            </w:r>
          </w:p>
        </w:tc>
        <w:tc>
          <w:tcPr>
            <w:tcW w:w="1701" w:type="dxa"/>
          </w:tcPr>
          <w:p w14:paraId="2C96C830"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2%</w:t>
            </w:r>
          </w:p>
        </w:tc>
        <w:tc>
          <w:tcPr>
            <w:tcW w:w="1559" w:type="dxa"/>
          </w:tcPr>
          <w:p w14:paraId="2F8AABC9"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25%***</w:t>
            </w:r>
          </w:p>
        </w:tc>
      </w:tr>
      <w:tr w:rsidR="00C04CAD" w14:paraId="44A5164A" w14:textId="77777777">
        <w:trPr>
          <w:trHeight w:val="147"/>
        </w:trPr>
        <w:tc>
          <w:tcPr>
            <w:tcW w:w="2410" w:type="dxa"/>
          </w:tcPr>
          <w:p w14:paraId="218E5D8E"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24</w:t>
            </w:r>
          </w:p>
        </w:tc>
        <w:tc>
          <w:tcPr>
            <w:tcW w:w="1701" w:type="dxa"/>
          </w:tcPr>
          <w:p w14:paraId="6DA7DFC8"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6%</w:t>
            </w:r>
          </w:p>
        </w:tc>
        <w:tc>
          <w:tcPr>
            <w:tcW w:w="1701" w:type="dxa"/>
          </w:tcPr>
          <w:p w14:paraId="5C40FBA2"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39%***</w:t>
            </w:r>
          </w:p>
        </w:tc>
        <w:tc>
          <w:tcPr>
            <w:tcW w:w="1701" w:type="dxa"/>
          </w:tcPr>
          <w:p w14:paraId="440258FB"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N/A</w:t>
            </w:r>
          </w:p>
        </w:tc>
        <w:tc>
          <w:tcPr>
            <w:tcW w:w="1559" w:type="dxa"/>
          </w:tcPr>
          <w:p w14:paraId="291C7AF0"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r w:rsidR="00C04CAD" w14:paraId="174489AD" w14:textId="77777777">
        <w:trPr>
          <w:trHeight w:val="147"/>
        </w:trPr>
        <w:tc>
          <w:tcPr>
            <w:tcW w:w="2410" w:type="dxa"/>
          </w:tcPr>
          <w:p w14:paraId="0C54EB34"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ACR 70</w:t>
            </w:r>
          </w:p>
        </w:tc>
        <w:tc>
          <w:tcPr>
            <w:tcW w:w="1701" w:type="dxa"/>
          </w:tcPr>
          <w:p w14:paraId="30CFE6F5"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32DC2045"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41CEB3AF"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31D01864" w14:textId="77777777" w:rsidR="00C04CAD" w:rsidRDefault="00C04CAD">
            <w:pPr>
              <w:keepNext/>
              <w:keepLines/>
              <w:tabs>
                <w:tab w:val="clear" w:pos="567"/>
              </w:tabs>
              <w:autoSpaceDE w:val="0"/>
              <w:autoSpaceDN w:val="0"/>
              <w:adjustRightInd w:val="0"/>
              <w:spacing w:line="240" w:lineRule="auto"/>
              <w:jc w:val="center"/>
              <w:rPr>
                <w:color w:val="000000"/>
                <w:szCs w:val="22"/>
                <w:lang w:eastAsia="en-GB"/>
              </w:rPr>
            </w:pPr>
          </w:p>
        </w:tc>
      </w:tr>
      <w:tr w:rsidR="00C04CAD" w14:paraId="6C81D12D" w14:textId="77777777">
        <w:trPr>
          <w:trHeight w:val="147"/>
        </w:trPr>
        <w:tc>
          <w:tcPr>
            <w:tcW w:w="2410" w:type="dxa"/>
          </w:tcPr>
          <w:p w14:paraId="3B62610E"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12</w:t>
            </w:r>
          </w:p>
        </w:tc>
        <w:tc>
          <w:tcPr>
            <w:tcW w:w="1701" w:type="dxa"/>
          </w:tcPr>
          <w:p w14:paraId="48321A32"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w:t>
            </w:r>
          </w:p>
        </w:tc>
        <w:tc>
          <w:tcPr>
            <w:tcW w:w="1701" w:type="dxa"/>
          </w:tcPr>
          <w:p w14:paraId="4523CE46"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20%***</w:t>
            </w:r>
          </w:p>
        </w:tc>
        <w:tc>
          <w:tcPr>
            <w:tcW w:w="1701" w:type="dxa"/>
          </w:tcPr>
          <w:p w14:paraId="09AD32AB"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0%</w:t>
            </w:r>
          </w:p>
        </w:tc>
        <w:tc>
          <w:tcPr>
            <w:tcW w:w="1559" w:type="dxa"/>
          </w:tcPr>
          <w:p w14:paraId="547D786D"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14%*</w:t>
            </w:r>
          </w:p>
        </w:tc>
      </w:tr>
      <w:tr w:rsidR="00C04CAD" w14:paraId="14441644" w14:textId="77777777">
        <w:trPr>
          <w:trHeight w:val="147"/>
        </w:trPr>
        <w:tc>
          <w:tcPr>
            <w:tcW w:w="2410" w:type="dxa"/>
          </w:tcPr>
          <w:p w14:paraId="4B42948C" w14:textId="77777777" w:rsidR="00C04CAD" w:rsidRDefault="00060E34">
            <w:pPr>
              <w:tabs>
                <w:tab w:val="clear" w:pos="567"/>
              </w:tabs>
              <w:kinsoku w:val="0"/>
              <w:overflowPunct w:val="0"/>
              <w:autoSpaceDE w:val="0"/>
              <w:autoSpaceDN w:val="0"/>
              <w:adjustRightInd w:val="0"/>
              <w:spacing w:line="240" w:lineRule="auto"/>
              <w:ind w:left="102"/>
              <w:rPr>
                <w:szCs w:val="22"/>
              </w:rPr>
            </w:pPr>
            <w:r>
              <w:rPr>
                <w:szCs w:val="22"/>
              </w:rPr>
              <w:t>Săptămâna 24</w:t>
            </w:r>
          </w:p>
        </w:tc>
        <w:tc>
          <w:tcPr>
            <w:tcW w:w="1701" w:type="dxa"/>
          </w:tcPr>
          <w:p w14:paraId="54499999"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1%</w:t>
            </w:r>
          </w:p>
        </w:tc>
        <w:tc>
          <w:tcPr>
            <w:tcW w:w="1701" w:type="dxa"/>
          </w:tcPr>
          <w:p w14:paraId="26965B26"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23%***</w:t>
            </w:r>
          </w:p>
        </w:tc>
        <w:tc>
          <w:tcPr>
            <w:tcW w:w="1701" w:type="dxa"/>
          </w:tcPr>
          <w:p w14:paraId="71338F1A" w14:textId="77777777" w:rsidR="00C04CAD" w:rsidRDefault="00060E34">
            <w:pPr>
              <w:tabs>
                <w:tab w:val="clear" w:pos="567"/>
              </w:tabs>
              <w:kinsoku w:val="0"/>
              <w:overflowPunct w:val="0"/>
              <w:autoSpaceDE w:val="0"/>
              <w:autoSpaceDN w:val="0"/>
              <w:adjustRightInd w:val="0"/>
              <w:spacing w:line="240" w:lineRule="auto"/>
              <w:ind w:left="102"/>
              <w:jc w:val="center"/>
              <w:rPr>
                <w:szCs w:val="22"/>
              </w:rPr>
            </w:pPr>
            <w:r>
              <w:rPr>
                <w:szCs w:val="22"/>
              </w:rPr>
              <w:t>N/A</w:t>
            </w:r>
          </w:p>
        </w:tc>
        <w:tc>
          <w:tcPr>
            <w:tcW w:w="1559" w:type="dxa"/>
          </w:tcPr>
          <w:p w14:paraId="6205D187" w14:textId="77777777" w:rsidR="00C04CAD" w:rsidRDefault="00060E34">
            <w:pPr>
              <w:tabs>
                <w:tab w:val="clear" w:pos="567"/>
              </w:tabs>
              <w:kinsoku w:val="0"/>
              <w:overflowPunct w:val="0"/>
              <w:autoSpaceDE w:val="0"/>
              <w:autoSpaceDN w:val="0"/>
              <w:adjustRightInd w:val="0"/>
              <w:spacing w:line="240" w:lineRule="auto"/>
              <w:ind w:left="99"/>
              <w:jc w:val="center"/>
              <w:rPr>
                <w:szCs w:val="22"/>
              </w:rPr>
            </w:pPr>
            <w:r>
              <w:rPr>
                <w:szCs w:val="22"/>
              </w:rPr>
              <w:t>N/A</w:t>
            </w:r>
          </w:p>
        </w:tc>
      </w:tr>
    </w:tbl>
    <w:p w14:paraId="1316E99A"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 p &lt;0,001 pentru toate comparaţiile între </w:t>
      </w:r>
      <w:r>
        <w:rPr>
          <w:sz w:val="20"/>
          <w:lang w:eastAsia="en-US" w:bidi="ar-SA"/>
        </w:rPr>
        <w:t>adalimumab</w:t>
      </w:r>
      <w:r>
        <w:rPr>
          <w:sz w:val="20"/>
        </w:rPr>
        <w:t xml:space="preserve"> şi placebo.</w:t>
      </w:r>
    </w:p>
    <w:p w14:paraId="710C6394" w14:textId="77777777" w:rsidR="00C04CAD" w:rsidRDefault="00060E34">
      <w:pPr>
        <w:tabs>
          <w:tab w:val="clear" w:pos="567"/>
        </w:tabs>
        <w:kinsoku w:val="0"/>
        <w:overflowPunct w:val="0"/>
        <w:autoSpaceDE w:val="0"/>
        <w:autoSpaceDN w:val="0"/>
        <w:adjustRightInd w:val="0"/>
        <w:spacing w:line="240" w:lineRule="auto"/>
        <w:rPr>
          <w:sz w:val="20"/>
          <w:lang w:eastAsia="en-US" w:bidi="ar-SA"/>
        </w:rPr>
      </w:pPr>
      <w:r>
        <w:rPr>
          <w:sz w:val="20"/>
        </w:rPr>
        <w:t xml:space="preserve">* p &lt;0,05 pentru toate comparaţiile între adalimumab şi placebo </w:t>
      </w:r>
    </w:p>
    <w:p w14:paraId="03550C2C" w14:textId="77777777" w:rsidR="00C04CAD" w:rsidRDefault="00060E34">
      <w:pPr>
        <w:tabs>
          <w:tab w:val="clear" w:pos="567"/>
          <w:tab w:val="left" w:pos="851"/>
        </w:tabs>
        <w:spacing w:line="240" w:lineRule="auto"/>
      </w:pPr>
      <w:r>
        <w:rPr>
          <w:sz w:val="20"/>
        </w:rPr>
        <w:t>N/A nu este cazul</w:t>
      </w:r>
    </w:p>
    <w:p w14:paraId="70C09A92" w14:textId="77777777" w:rsidR="00C04CAD" w:rsidRDefault="00C04CAD">
      <w:pPr>
        <w:autoSpaceDE w:val="0"/>
        <w:autoSpaceDN w:val="0"/>
        <w:adjustRightInd w:val="0"/>
        <w:spacing w:line="240" w:lineRule="auto"/>
      </w:pPr>
    </w:p>
    <w:p w14:paraId="27F6C1CA" w14:textId="77777777" w:rsidR="00C04CAD" w:rsidRDefault="00060E34">
      <w:pPr>
        <w:tabs>
          <w:tab w:val="clear" w:pos="567"/>
        </w:tabs>
        <w:kinsoku w:val="0"/>
        <w:overflowPunct w:val="0"/>
        <w:autoSpaceDE w:val="0"/>
        <w:autoSpaceDN w:val="0"/>
        <w:adjustRightInd w:val="0"/>
        <w:spacing w:line="240" w:lineRule="auto"/>
      </w:pPr>
      <w:r>
        <w:t>Răspunsurile ACR în studiul APs I au fost similare cu şi fără tratament concomitent cu metotrexat. Răspunsurile ACR s-au menţinut în studiul extins deschis până la 136 săptămâni.</w:t>
      </w:r>
    </w:p>
    <w:p w14:paraId="40751868" w14:textId="77777777" w:rsidR="00C04CAD" w:rsidRDefault="00C04CAD">
      <w:pPr>
        <w:tabs>
          <w:tab w:val="clear" w:pos="567"/>
        </w:tabs>
        <w:kinsoku w:val="0"/>
        <w:overflowPunct w:val="0"/>
        <w:autoSpaceDE w:val="0"/>
        <w:autoSpaceDN w:val="0"/>
        <w:adjustRightInd w:val="0"/>
        <w:spacing w:line="240" w:lineRule="auto"/>
      </w:pPr>
    </w:p>
    <w:p w14:paraId="67362632" w14:textId="77777777" w:rsidR="00C04CAD" w:rsidRDefault="00060E34">
      <w:pPr>
        <w:tabs>
          <w:tab w:val="clear" w:pos="567"/>
        </w:tabs>
        <w:kinsoku w:val="0"/>
        <w:overflowPunct w:val="0"/>
        <w:autoSpaceDE w:val="0"/>
        <w:autoSpaceDN w:val="0"/>
        <w:adjustRightInd w:val="0"/>
        <w:spacing w:line="240" w:lineRule="auto"/>
      </w:pPr>
      <w:r>
        <w:t xml:space="preserve">În studiile cu privire la artrita psoriazică au fost </w:t>
      </w:r>
      <w:r>
        <w:rPr>
          <w:rFonts w:eastAsia="MS Mincho"/>
          <w:szCs w:val="22"/>
          <w:lang w:eastAsia="en-US" w:bidi="ar-SA"/>
        </w:rPr>
        <w:t>evaluate</w:t>
      </w:r>
      <w:r>
        <w:t xml:space="preserve"> modificările radiologice. S-au efectuat radiografii ale </w:t>
      </w:r>
      <w:r>
        <w:rPr>
          <w:rFonts w:eastAsia="MS Mincho"/>
          <w:szCs w:val="22"/>
          <w:lang w:eastAsia="en-US" w:bidi="ar-SA"/>
        </w:rPr>
        <w:t>mâinilor</w:t>
      </w:r>
      <w:r>
        <w:t xml:space="preserve">, încheieturilor mâinii şi ale picioarelor în faza iniţială şi în </w:t>
      </w:r>
      <w:r>
        <w:rPr>
          <w:rFonts w:eastAsia="MS Mincho"/>
          <w:szCs w:val="22"/>
          <w:lang w:eastAsia="en-US" w:bidi="ar-SA"/>
        </w:rPr>
        <w:t>săptămâna</w:t>
      </w:r>
      <w:r>
        <w:t xml:space="preserve"> 24 în timpul perioadei dublu-orb atunci când pacienţii utilizau </w:t>
      </w:r>
      <w:r>
        <w:rPr>
          <w:rFonts w:eastAsia="MS Mincho"/>
          <w:szCs w:val="22"/>
          <w:lang w:eastAsia="en-US" w:bidi="ar-SA"/>
        </w:rPr>
        <w:t>adalimumab</w:t>
      </w:r>
      <w:r>
        <w:t xml:space="preserve"> sau placebo şi în </w:t>
      </w:r>
      <w:r>
        <w:rPr>
          <w:rFonts w:eastAsia="MS Mincho"/>
          <w:szCs w:val="22"/>
          <w:lang w:eastAsia="en-US" w:bidi="ar-SA"/>
        </w:rPr>
        <w:t>săptămâna</w:t>
      </w:r>
      <w:r>
        <w:t xml:space="preserve"> 48 atunci când toţi pacienţii erau în perioada deschisă cu </w:t>
      </w:r>
      <w:r>
        <w:rPr>
          <w:rFonts w:eastAsia="MS Mincho"/>
          <w:szCs w:val="22"/>
          <w:lang w:eastAsia="en-US" w:bidi="ar-SA"/>
        </w:rPr>
        <w:t>adalimumab</w:t>
      </w:r>
      <w:r>
        <w:t>. A fost utilizat un Scor Sharp Total modificat (SSTm) care a inclus articulaţiile interfalangiene distale (de exemplu, nu este identic cu SST utilizat pentru artrita reumatoidă).</w:t>
      </w:r>
    </w:p>
    <w:p w14:paraId="236432E5" w14:textId="77777777" w:rsidR="00C04CAD" w:rsidRDefault="00C04CAD">
      <w:pPr>
        <w:tabs>
          <w:tab w:val="clear" w:pos="567"/>
        </w:tabs>
        <w:kinsoku w:val="0"/>
        <w:overflowPunct w:val="0"/>
        <w:autoSpaceDE w:val="0"/>
        <w:autoSpaceDN w:val="0"/>
        <w:adjustRightInd w:val="0"/>
        <w:spacing w:line="240" w:lineRule="auto"/>
      </w:pPr>
    </w:p>
    <w:p w14:paraId="56012FCA" w14:textId="77777777" w:rsidR="00C04CAD" w:rsidRDefault="00060E34">
      <w:pPr>
        <w:tabs>
          <w:tab w:val="clear" w:pos="567"/>
        </w:tabs>
        <w:kinsoku w:val="0"/>
        <w:overflowPunct w:val="0"/>
        <w:autoSpaceDE w:val="0"/>
        <w:autoSpaceDN w:val="0"/>
        <w:adjustRightInd w:val="0"/>
        <w:spacing w:line="240" w:lineRule="auto"/>
      </w:pPr>
      <w:r>
        <w:t xml:space="preserve">Tratamentul cu </w:t>
      </w:r>
      <w:r>
        <w:rPr>
          <w:rFonts w:eastAsia="MS Mincho"/>
          <w:szCs w:val="22"/>
          <w:lang w:eastAsia="en-US" w:bidi="ar-SA"/>
        </w:rPr>
        <w:t>adalimumab</w:t>
      </w:r>
      <w:r>
        <w:t xml:space="preserve"> a redus rata progresiei modificărilor articulare periferice comparativ cu administrarea de placebo prin măsurarea schimbărilor de la faza iniţială a scorului SSTm (media±DS) 0,8±2,5 la grupul ce a utilizat placebo (în </w:t>
      </w:r>
      <w:r>
        <w:rPr>
          <w:rFonts w:eastAsia="MS Mincho"/>
          <w:szCs w:val="22"/>
          <w:lang w:eastAsia="en-US" w:bidi="ar-SA"/>
        </w:rPr>
        <w:t>săptămâna</w:t>
      </w:r>
      <w:r>
        <w:t xml:space="preserve"> 24) comparativ cu 0,0±1,9; (p&lt;0,001) la grupul tratat cu </w:t>
      </w:r>
      <w:r>
        <w:rPr>
          <w:rFonts w:eastAsia="MS Mincho"/>
          <w:szCs w:val="22"/>
          <w:lang w:eastAsia="en-US" w:bidi="ar-SA"/>
        </w:rPr>
        <w:t>adalimumab</w:t>
      </w:r>
      <w:r>
        <w:t xml:space="preserve"> (în </w:t>
      </w:r>
      <w:r>
        <w:rPr>
          <w:rFonts w:eastAsia="MS Mincho"/>
          <w:szCs w:val="22"/>
          <w:lang w:eastAsia="en-US" w:bidi="ar-SA"/>
        </w:rPr>
        <w:t>săptămâna</w:t>
      </w:r>
      <w:r>
        <w:t xml:space="preserve"> 48).</w:t>
      </w:r>
    </w:p>
    <w:p w14:paraId="069345DB" w14:textId="77777777" w:rsidR="00C04CAD" w:rsidRDefault="00C04CAD">
      <w:pPr>
        <w:tabs>
          <w:tab w:val="clear" w:pos="567"/>
        </w:tabs>
        <w:kinsoku w:val="0"/>
        <w:overflowPunct w:val="0"/>
        <w:autoSpaceDE w:val="0"/>
        <w:autoSpaceDN w:val="0"/>
        <w:adjustRightInd w:val="0"/>
        <w:spacing w:line="240" w:lineRule="auto"/>
      </w:pPr>
    </w:p>
    <w:p w14:paraId="5AEBA47F" w14:textId="77777777" w:rsidR="00C04CAD" w:rsidRDefault="00060E34">
      <w:pPr>
        <w:tabs>
          <w:tab w:val="clear" w:pos="567"/>
        </w:tabs>
        <w:kinsoku w:val="0"/>
        <w:overflowPunct w:val="0"/>
        <w:autoSpaceDE w:val="0"/>
        <w:autoSpaceDN w:val="0"/>
        <w:adjustRightInd w:val="0"/>
        <w:spacing w:line="240" w:lineRule="auto"/>
      </w:pPr>
      <w:r>
        <w:t xml:space="preserve">Din pacienţii trataţi cu </w:t>
      </w:r>
      <w:r>
        <w:rPr>
          <w:rFonts w:eastAsia="MS Mincho"/>
          <w:szCs w:val="22"/>
          <w:lang w:eastAsia="en-US" w:bidi="ar-SA"/>
        </w:rPr>
        <w:t>adalimumab</w:t>
      </w:r>
      <w:r>
        <w:t xml:space="preserve"> care nu au avut </w:t>
      </w:r>
      <w:r>
        <w:rPr>
          <w:rFonts w:eastAsia="MS Mincho"/>
          <w:szCs w:val="22"/>
          <w:lang w:eastAsia="en-US" w:bidi="ar-SA"/>
        </w:rPr>
        <w:t>progresie din punct de vedere radiologic</w:t>
      </w:r>
      <w:r>
        <w:t xml:space="preserve"> de la </w:t>
      </w:r>
      <w:r>
        <w:rPr>
          <w:rFonts w:eastAsia="MS Mincho"/>
          <w:szCs w:val="22"/>
          <w:lang w:eastAsia="en-US" w:bidi="ar-SA"/>
        </w:rPr>
        <w:t>momentul iniţial</w:t>
      </w:r>
      <w:r>
        <w:t xml:space="preserve"> până în </w:t>
      </w:r>
      <w:r>
        <w:rPr>
          <w:rFonts w:eastAsia="MS Mincho"/>
          <w:szCs w:val="22"/>
          <w:lang w:eastAsia="en-US" w:bidi="ar-SA"/>
        </w:rPr>
        <w:t>săptămâna</w:t>
      </w:r>
      <w:r>
        <w:t xml:space="preserve"> 48 (n=102), 84% au continuat să nu prezinte </w:t>
      </w:r>
      <w:r>
        <w:rPr>
          <w:rFonts w:eastAsia="MS Mincho"/>
          <w:szCs w:val="22"/>
          <w:lang w:eastAsia="en-US" w:bidi="ar-SA"/>
        </w:rPr>
        <w:t>progresie din punct de vedere radiologic</w:t>
      </w:r>
      <w:r>
        <w:t xml:space="preserve"> pe parcursul a 144 săptămâni de tratament.</w:t>
      </w:r>
      <w:r>
        <w:rPr>
          <w:rFonts w:eastAsia="MS Mincho"/>
          <w:szCs w:val="22"/>
          <w:lang w:eastAsia="en-US" w:bidi="ar-SA"/>
        </w:rPr>
        <w:t xml:space="preserve"> </w:t>
      </w:r>
      <w:r>
        <w:t xml:space="preserve">Pacienţii trataţi cu </w:t>
      </w:r>
      <w:r>
        <w:rPr>
          <w:rFonts w:eastAsia="MS Mincho"/>
          <w:szCs w:val="22"/>
          <w:lang w:eastAsia="en-US" w:bidi="ar-SA"/>
        </w:rPr>
        <w:t>adalimumab</w:t>
      </w:r>
      <w:r>
        <w:t xml:space="preserve"> au demonstrat o îmbunătăţire a activităţii fizice semnificativă statistic în </w:t>
      </w:r>
      <w:r>
        <w:rPr>
          <w:rFonts w:eastAsia="MS Mincho"/>
          <w:szCs w:val="22"/>
          <w:lang w:eastAsia="en-US" w:bidi="ar-SA"/>
        </w:rPr>
        <w:t>săptămâna</w:t>
      </w:r>
      <w:r>
        <w:t xml:space="preserve"> 24, conform testelor HAQ şi Chestionarului Short Form Health (SF 36) comparativ cu cei care au utilizat placebo. Îmbunătăţirea activităţii fizice a continuat în timpul extensiei deschise până în </w:t>
      </w:r>
      <w:r>
        <w:rPr>
          <w:rFonts w:eastAsia="MS Mincho"/>
          <w:szCs w:val="22"/>
          <w:lang w:eastAsia="en-US" w:bidi="ar-SA"/>
        </w:rPr>
        <w:t>săptămâna</w:t>
      </w:r>
      <w:r>
        <w:t xml:space="preserve"> 136.</w:t>
      </w:r>
    </w:p>
    <w:p w14:paraId="1D126FFC" w14:textId="77777777" w:rsidR="00C04CAD" w:rsidRDefault="00C04CAD">
      <w:pPr>
        <w:keepNext/>
        <w:tabs>
          <w:tab w:val="clear" w:pos="567"/>
        </w:tabs>
        <w:kinsoku w:val="0"/>
        <w:overflowPunct w:val="0"/>
        <w:autoSpaceDE w:val="0"/>
        <w:autoSpaceDN w:val="0"/>
        <w:adjustRightInd w:val="0"/>
        <w:spacing w:line="240" w:lineRule="auto"/>
      </w:pPr>
    </w:p>
    <w:p w14:paraId="675ED3D6" w14:textId="77777777" w:rsidR="00C04CAD" w:rsidRDefault="00060E34">
      <w:pPr>
        <w:keepNext/>
        <w:tabs>
          <w:tab w:val="clear" w:pos="567"/>
        </w:tabs>
        <w:kinsoku w:val="0"/>
        <w:overflowPunct w:val="0"/>
        <w:autoSpaceDE w:val="0"/>
        <w:autoSpaceDN w:val="0"/>
        <w:adjustRightInd w:val="0"/>
        <w:spacing w:line="240" w:lineRule="auto"/>
        <w:rPr>
          <w:i/>
        </w:rPr>
      </w:pPr>
      <w:r>
        <w:rPr>
          <w:i/>
        </w:rPr>
        <w:t>Psoriazis</w:t>
      </w:r>
    </w:p>
    <w:p w14:paraId="3BF1A8E9" w14:textId="77777777" w:rsidR="00C04CAD" w:rsidRDefault="00C04CAD">
      <w:pPr>
        <w:keepNext/>
        <w:tabs>
          <w:tab w:val="clear" w:pos="567"/>
        </w:tabs>
        <w:kinsoku w:val="0"/>
        <w:overflowPunct w:val="0"/>
        <w:autoSpaceDE w:val="0"/>
        <w:autoSpaceDN w:val="0"/>
        <w:adjustRightInd w:val="0"/>
        <w:spacing w:line="240" w:lineRule="auto"/>
      </w:pPr>
    </w:p>
    <w:p w14:paraId="40E9C943" w14:textId="77777777" w:rsidR="00C04CAD" w:rsidRDefault="00060E34">
      <w:pPr>
        <w:tabs>
          <w:tab w:val="clear" w:pos="567"/>
        </w:tabs>
        <w:kinsoku w:val="0"/>
        <w:overflowPunct w:val="0"/>
        <w:autoSpaceDE w:val="0"/>
        <w:autoSpaceDN w:val="0"/>
        <w:adjustRightInd w:val="0"/>
        <w:spacing w:line="240" w:lineRule="auto"/>
      </w:pPr>
      <w:r>
        <w:t xml:space="preserve">Siguranţa şi eficacitatea tratamentului cu </w:t>
      </w:r>
      <w:r>
        <w:rPr>
          <w:rFonts w:eastAsia="MS Mincho"/>
          <w:szCs w:val="22"/>
          <w:lang w:eastAsia="en-US" w:bidi="ar-SA"/>
        </w:rPr>
        <w:t>adalimumab</w:t>
      </w:r>
      <w:r>
        <w:t xml:space="preserve"> au fost evaluate în studii clinice randomizate, dublu</w:t>
      </w:r>
      <w:r>
        <w:noBreakHyphen/>
        <w:t xml:space="preserve">orb, la pacienţii adulţi cu plăci cronice de psoriazis (cu interesare a BSA (Aria de suprafaţă corporală) ≥10% şi Indicele de Severitate a Suprafeţelor de Psoriazis (PASI) ≥12 sau ≥10) care erau candidaţi la un tratament sistemic sau fototerapie. 73% din pacienţii înrolaţi în Studiile I şi II cu privire la psoriazis au utilizat anterior tratament sistemic sau fototerapie. Siguranța și eficacitatea tratamentului cu </w:t>
      </w:r>
      <w:r>
        <w:rPr>
          <w:rFonts w:eastAsia="MS Mincho"/>
          <w:szCs w:val="22"/>
          <w:lang w:eastAsia="en-US" w:bidi="ar-SA"/>
        </w:rPr>
        <w:t>adalimumab</w:t>
      </w:r>
      <w:r>
        <w:t xml:space="preserve"> au fost evaluate și la pacienți adulți cu placarde cronice moderate până la severe de psoriazis și concomitent psoriazis palmar și/sau plantar care erau candidați la un tratament sistemic într-un studiu clinic randomizat dublu-orb (Studiul III referitor la psoriazis).</w:t>
      </w:r>
    </w:p>
    <w:p w14:paraId="63DAE847" w14:textId="77777777" w:rsidR="00C04CAD" w:rsidRDefault="00C04CAD">
      <w:pPr>
        <w:tabs>
          <w:tab w:val="clear" w:pos="567"/>
        </w:tabs>
        <w:kinsoku w:val="0"/>
        <w:overflowPunct w:val="0"/>
        <w:autoSpaceDE w:val="0"/>
        <w:autoSpaceDN w:val="0"/>
        <w:adjustRightInd w:val="0"/>
        <w:spacing w:line="240" w:lineRule="auto"/>
      </w:pPr>
    </w:p>
    <w:p w14:paraId="600DDCEF" w14:textId="77777777" w:rsidR="00C04CAD" w:rsidRDefault="00060E34">
      <w:pPr>
        <w:tabs>
          <w:tab w:val="clear" w:pos="567"/>
        </w:tabs>
        <w:kinsoku w:val="0"/>
        <w:overflowPunct w:val="0"/>
        <w:autoSpaceDE w:val="0"/>
        <w:autoSpaceDN w:val="0"/>
        <w:adjustRightInd w:val="0"/>
        <w:spacing w:line="240" w:lineRule="auto"/>
      </w:pPr>
      <w:r>
        <w:t xml:space="preserve">Studiul I (REVEAL) cu privire la psoriazis a evaluat 1 212 pacienţi pe parcursul a trei perioade de tratament. În timpul perioadei A, pacienţii au utilizat placebo sau </w:t>
      </w:r>
      <w:r>
        <w:rPr>
          <w:rFonts w:eastAsia="MS Mincho"/>
          <w:szCs w:val="22"/>
          <w:lang w:eastAsia="en-US" w:bidi="ar-SA"/>
        </w:rPr>
        <w:t>adalimumab</w:t>
      </w:r>
      <w:r>
        <w:t xml:space="preserve"> în doza iniţială de 80 mg urmată după o săptămână de la doza iniţială, de 40 mg la două săptămâni. După 16 săptămâni de tratament, pacienţii care au atins cel puţin un PASI 75 (scorul PASI îmbunătăţit cu cel puţin 75% faţă de valoarea iniţială), au intrat în Perioada B şi au utilizat deschis 40 mg </w:t>
      </w:r>
      <w:r>
        <w:rPr>
          <w:rFonts w:eastAsia="MS Mincho"/>
          <w:szCs w:val="22"/>
          <w:lang w:eastAsia="en-US" w:bidi="ar-SA"/>
        </w:rPr>
        <w:t>adalimumab</w:t>
      </w:r>
      <w:r>
        <w:t xml:space="preserve"> la două săptămâni. Pacienţii care au menţinut un răspuns ≥PASI 75 în </w:t>
      </w:r>
      <w:r>
        <w:rPr>
          <w:rFonts w:eastAsia="MS Mincho"/>
          <w:szCs w:val="22"/>
          <w:lang w:eastAsia="en-US" w:bidi="ar-SA"/>
        </w:rPr>
        <w:t>săptămâna</w:t>
      </w:r>
      <w:r>
        <w:t xml:space="preserve"> 33 şi au fost iniţial randomizaţi cu tratament activ în Perioada A, au fost re-randomizaţi în Perioada C să utilizeze 40 mg </w:t>
      </w:r>
      <w:r>
        <w:rPr>
          <w:rFonts w:eastAsia="MS Mincho"/>
          <w:szCs w:val="22"/>
          <w:lang w:eastAsia="en-US" w:bidi="ar-SA"/>
        </w:rPr>
        <w:t>adalimumab</w:t>
      </w:r>
      <w:r>
        <w:t xml:space="preserve"> la două săptămâni sau placebo pentru încă 19 săptămâni. Pentru toate grupele de tratament, scorul mediu iniţial PASI a fost de 18,9 şi scorul iniţial de Evaluarea Medicală Globală (PGA) a fost clasificat de la “moderat” (au fost incluşi 53% din subiecţi), la “sever”(41%) şi la “foarte sever” (6%).</w:t>
      </w:r>
    </w:p>
    <w:p w14:paraId="0EE1A14E" w14:textId="77777777" w:rsidR="00C04CAD" w:rsidRDefault="00C04CAD">
      <w:pPr>
        <w:tabs>
          <w:tab w:val="clear" w:pos="567"/>
        </w:tabs>
        <w:kinsoku w:val="0"/>
        <w:overflowPunct w:val="0"/>
        <w:autoSpaceDE w:val="0"/>
        <w:autoSpaceDN w:val="0"/>
        <w:adjustRightInd w:val="0"/>
        <w:spacing w:line="240" w:lineRule="auto"/>
        <w:rPr>
          <w:szCs w:val="22"/>
        </w:rPr>
      </w:pPr>
    </w:p>
    <w:p w14:paraId="00F5F71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Studiul II (CHAMPION) a comparat eficacitatea şi siguranţa utilizării </w:t>
      </w:r>
      <w:r>
        <w:rPr>
          <w:rFonts w:eastAsia="MS Mincho"/>
          <w:szCs w:val="22"/>
          <w:lang w:eastAsia="en-US" w:bidi="ar-SA"/>
        </w:rPr>
        <w:t>adalimumab</w:t>
      </w:r>
      <w:r>
        <w:rPr>
          <w:szCs w:val="22"/>
        </w:rPr>
        <w:t xml:space="preserve"> la 271 pacienţi faţă de utilizarea metotrexatului şi placebo. Pacienţii au utilizat placebo, o doză iniţială de 7,5 mg metotrexat (MTX) şi apoi doza a crescut până în Săptămâna 12, până la doza maximă de 25 mg, sau o doză iniţială de 80 mg </w:t>
      </w:r>
      <w:r>
        <w:rPr>
          <w:rFonts w:eastAsia="MS Mincho"/>
          <w:szCs w:val="22"/>
          <w:lang w:eastAsia="en-US" w:bidi="ar-SA"/>
        </w:rPr>
        <w:t>adalimumab</w:t>
      </w:r>
      <w:r>
        <w:rPr>
          <w:szCs w:val="22"/>
        </w:rPr>
        <w:t xml:space="preserve"> urmată de 40 mg la două săptămâni (la o săptămână după doza iniţială) timp de 16 săptămâni. Nu sunt date disponibile privind comparaţia </w:t>
      </w:r>
      <w:r>
        <w:rPr>
          <w:rFonts w:eastAsia="MS Mincho"/>
          <w:szCs w:val="22"/>
          <w:lang w:eastAsia="en-US" w:bidi="ar-SA"/>
        </w:rPr>
        <w:t>adalimumab</w:t>
      </w:r>
      <w:r>
        <w:rPr>
          <w:szCs w:val="22"/>
        </w:rPr>
        <w:t xml:space="preserve"> şi MTX peste 16 săptămâni de tratament. Pacienţii care au utilizat MTX şi care au atins un răspuns ≥PASI 50 în săptămâna 8 şi/sau 12 nu au utilizat doze suplimentare crescute. Pentru toate grupele de tratament, scorul mediu iniţial PASI a fost de 19,7 şi scorul iniţial PGA a fost clasificat de la “uşor” (&lt;1%), la “moderat” (48%), la “sever” (46%) şi la “foarte sever” (6%).</w:t>
      </w:r>
    </w:p>
    <w:p w14:paraId="771416D2" w14:textId="77777777" w:rsidR="00C04CAD" w:rsidRDefault="00C04CAD">
      <w:pPr>
        <w:tabs>
          <w:tab w:val="clear" w:pos="567"/>
        </w:tabs>
        <w:kinsoku w:val="0"/>
        <w:overflowPunct w:val="0"/>
        <w:autoSpaceDE w:val="0"/>
        <w:autoSpaceDN w:val="0"/>
        <w:adjustRightInd w:val="0"/>
        <w:spacing w:line="240" w:lineRule="auto"/>
        <w:rPr>
          <w:szCs w:val="22"/>
        </w:rPr>
      </w:pPr>
    </w:p>
    <w:p w14:paraId="58BC79B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Pacienţii care au participat în studiile de fază 2 şi 3 pentru psoriazis au fost eligibili pentru înrolarea într</w:t>
      </w:r>
      <w:r>
        <w:rPr>
          <w:szCs w:val="22"/>
        </w:rPr>
        <w:noBreakHyphen/>
        <w:t xml:space="preserve">un studiu extins, deschis în care </w:t>
      </w:r>
      <w:r>
        <w:rPr>
          <w:rFonts w:eastAsia="MS Mincho"/>
          <w:szCs w:val="22"/>
          <w:lang w:eastAsia="en-US" w:bidi="ar-SA"/>
        </w:rPr>
        <w:t>adalimumab</w:t>
      </w:r>
      <w:r>
        <w:rPr>
          <w:szCs w:val="22"/>
        </w:rPr>
        <w:t xml:space="preserve"> a fost administrat suplimentar pentru încă cel puţin 108 săptămâni.</w:t>
      </w:r>
    </w:p>
    <w:p w14:paraId="5196376C" w14:textId="77777777" w:rsidR="00C04CAD" w:rsidRDefault="00C04CAD">
      <w:pPr>
        <w:tabs>
          <w:tab w:val="clear" w:pos="567"/>
        </w:tabs>
        <w:kinsoku w:val="0"/>
        <w:overflowPunct w:val="0"/>
        <w:autoSpaceDE w:val="0"/>
        <w:autoSpaceDN w:val="0"/>
        <w:adjustRightInd w:val="0"/>
        <w:spacing w:line="240" w:lineRule="auto"/>
        <w:rPr>
          <w:szCs w:val="22"/>
        </w:rPr>
      </w:pPr>
    </w:p>
    <w:p w14:paraId="0AD91130" w14:textId="77777777" w:rsidR="00C04CAD" w:rsidRDefault="00060E34">
      <w:pPr>
        <w:autoSpaceDE w:val="0"/>
        <w:autoSpaceDN w:val="0"/>
        <w:adjustRightInd w:val="0"/>
        <w:spacing w:line="240" w:lineRule="auto"/>
        <w:rPr>
          <w:szCs w:val="22"/>
        </w:rPr>
      </w:pPr>
      <w:r>
        <w:rPr>
          <w:szCs w:val="22"/>
        </w:rPr>
        <w:t xml:space="preserve">În Studiile I şi II cu privire la psoriazis, criteriul final principal a fost procentul pacienţilor care au atins un răspuns PASI 75 de la iniţiere până în săptămâna 16 (vezi tabelele </w:t>
      </w:r>
      <w:r>
        <w:rPr>
          <w:rFonts w:eastAsia="MS Mincho"/>
          <w:szCs w:val="22"/>
          <w:lang w:eastAsia="en-US" w:bidi="ar-SA"/>
        </w:rPr>
        <w:t>16</w:t>
      </w:r>
      <w:r>
        <w:rPr>
          <w:szCs w:val="22"/>
        </w:rPr>
        <w:t xml:space="preserve"> şi </w:t>
      </w:r>
      <w:r>
        <w:rPr>
          <w:rFonts w:eastAsia="MS Mincho"/>
          <w:szCs w:val="22"/>
          <w:lang w:eastAsia="en-US" w:bidi="ar-SA"/>
        </w:rPr>
        <w:t>17</w:t>
      </w:r>
      <w:r>
        <w:rPr>
          <w:szCs w:val="22"/>
        </w:rPr>
        <w:t>).</w:t>
      </w:r>
    </w:p>
    <w:p w14:paraId="447527F1" w14:textId="77777777" w:rsidR="00C04CAD" w:rsidRDefault="00C04CAD">
      <w:pPr>
        <w:autoSpaceDE w:val="0"/>
        <w:autoSpaceDN w:val="0"/>
        <w:adjustRightInd w:val="0"/>
        <w:spacing w:line="240" w:lineRule="auto"/>
      </w:pPr>
    </w:p>
    <w:p w14:paraId="5D8A29A8" w14:textId="77777777" w:rsidR="00C04CAD" w:rsidRDefault="00060E34">
      <w:pPr>
        <w:keepNext/>
        <w:keepLines/>
        <w:autoSpaceDE w:val="0"/>
        <w:autoSpaceDN w:val="0"/>
        <w:adjustRightInd w:val="0"/>
        <w:spacing w:line="240" w:lineRule="auto"/>
        <w:rPr>
          <w:b/>
        </w:rPr>
      </w:pPr>
      <w:r>
        <w:rPr>
          <w:b/>
          <w:bCs/>
        </w:rPr>
        <w:t xml:space="preserve">Tabelul 16. </w:t>
      </w:r>
      <w:r>
        <w:rPr>
          <w:b/>
        </w:rPr>
        <w:t>Studiul I (REVEAL) - Rezultatele privind eficacitatea în săptămâna 16</w:t>
      </w:r>
    </w:p>
    <w:p w14:paraId="186CFB75" w14:textId="77777777" w:rsidR="00C04CAD" w:rsidRDefault="00C04CAD">
      <w:pPr>
        <w:keepNext/>
        <w:keepLines/>
        <w:autoSpaceDE w:val="0"/>
        <w:autoSpaceDN w:val="0"/>
        <w:adjustRightInd w:val="0"/>
        <w:spacing w:line="240" w:lineRule="auto"/>
      </w:pPr>
    </w:p>
    <w:tbl>
      <w:tblPr>
        <w:tblW w:w="5000" w:type="pct"/>
        <w:tblLayout w:type="fixed"/>
        <w:tblCellMar>
          <w:left w:w="0" w:type="dxa"/>
          <w:right w:w="0" w:type="dxa"/>
        </w:tblCellMar>
        <w:tblLook w:val="04A0" w:firstRow="1" w:lastRow="0" w:firstColumn="1" w:lastColumn="0" w:noHBand="0" w:noVBand="1"/>
      </w:tblPr>
      <w:tblGrid>
        <w:gridCol w:w="3018"/>
        <w:gridCol w:w="3017"/>
        <w:gridCol w:w="3026"/>
      </w:tblGrid>
      <w:tr w:rsidR="00C04CAD" w14:paraId="01DD49D3" w14:textId="77777777">
        <w:trPr>
          <w:trHeight w:hRule="exact" w:val="1022"/>
        </w:trPr>
        <w:tc>
          <w:tcPr>
            <w:tcW w:w="1665" w:type="pct"/>
            <w:tcBorders>
              <w:top w:val="single" w:sz="4" w:space="0" w:color="000000"/>
              <w:left w:val="single" w:sz="4" w:space="0" w:color="000000"/>
              <w:bottom w:val="single" w:sz="4" w:space="0" w:color="000000"/>
              <w:right w:val="single" w:sz="4" w:space="0" w:color="000000"/>
            </w:tcBorders>
          </w:tcPr>
          <w:p w14:paraId="27F780C9" w14:textId="77777777" w:rsidR="00C04CAD" w:rsidRDefault="00C04CAD">
            <w:pPr>
              <w:keepNext/>
              <w:keepLines/>
              <w:tabs>
                <w:tab w:val="clear" w:pos="567"/>
              </w:tabs>
              <w:autoSpaceDE w:val="0"/>
              <w:autoSpaceDN w:val="0"/>
              <w:adjustRightInd w:val="0"/>
              <w:spacing w:line="240" w:lineRule="auto"/>
            </w:pPr>
          </w:p>
        </w:tc>
        <w:tc>
          <w:tcPr>
            <w:tcW w:w="1665" w:type="pct"/>
            <w:tcBorders>
              <w:top w:val="single" w:sz="4" w:space="0" w:color="000000"/>
              <w:left w:val="single" w:sz="4" w:space="0" w:color="000000"/>
              <w:bottom w:val="single" w:sz="4" w:space="0" w:color="000000"/>
              <w:right w:val="single" w:sz="4" w:space="0" w:color="000000"/>
            </w:tcBorders>
          </w:tcPr>
          <w:p w14:paraId="5D146B38" w14:textId="77777777" w:rsidR="00C04CAD" w:rsidRDefault="00060E34">
            <w:pPr>
              <w:keepNext/>
              <w:keepLines/>
              <w:tabs>
                <w:tab w:val="clear" w:pos="567"/>
              </w:tabs>
              <w:kinsoku w:val="0"/>
              <w:overflowPunct w:val="0"/>
              <w:autoSpaceDE w:val="0"/>
              <w:autoSpaceDN w:val="0"/>
              <w:adjustRightInd w:val="0"/>
              <w:spacing w:line="240" w:lineRule="auto"/>
              <w:jc w:val="center"/>
              <w:rPr>
                <w:b/>
              </w:rPr>
            </w:pPr>
            <w:r>
              <w:rPr>
                <w:b/>
              </w:rPr>
              <w:t xml:space="preserve">Placebo </w:t>
            </w:r>
          </w:p>
          <w:p w14:paraId="73623921" w14:textId="77777777" w:rsidR="00C04CAD" w:rsidRDefault="00060E34">
            <w:pPr>
              <w:keepNext/>
              <w:keepLines/>
              <w:tabs>
                <w:tab w:val="clear" w:pos="567"/>
              </w:tabs>
              <w:kinsoku w:val="0"/>
              <w:overflowPunct w:val="0"/>
              <w:autoSpaceDE w:val="0"/>
              <w:autoSpaceDN w:val="0"/>
              <w:adjustRightInd w:val="0"/>
              <w:spacing w:line="240" w:lineRule="auto"/>
              <w:jc w:val="center"/>
            </w:pPr>
            <w:r>
              <w:rPr>
                <w:b/>
              </w:rPr>
              <w:t>N=398</w:t>
            </w:r>
          </w:p>
          <w:p w14:paraId="1A369583" w14:textId="77777777" w:rsidR="00C04CAD" w:rsidRDefault="00060E34">
            <w:pPr>
              <w:keepNext/>
              <w:keepLines/>
              <w:tabs>
                <w:tab w:val="clear" w:pos="567"/>
              </w:tabs>
              <w:kinsoku w:val="0"/>
              <w:overflowPunct w:val="0"/>
              <w:autoSpaceDE w:val="0"/>
              <w:autoSpaceDN w:val="0"/>
              <w:adjustRightInd w:val="0"/>
              <w:spacing w:line="240" w:lineRule="auto"/>
              <w:jc w:val="center"/>
            </w:pPr>
            <w:r>
              <w:rPr>
                <w:b/>
              </w:rPr>
              <w:t>n (%)</w:t>
            </w:r>
          </w:p>
        </w:tc>
        <w:tc>
          <w:tcPr>
            <w:tcW w:w="1665" w:type="pct"/>
            <w:tcBorders>
              <w:top w:val="single" w:sz="4" w:space="0" w:color="000000"/>
              <w:left w:val="single" w:sz="4" w:space="0" w:color="000000"/>
              <w:bottom w:val="single" w:sz="4" w:space="0" w:color="000000"/>
              <w:right w:val="single" w:sz="4" w:space="0" w:color="000000"/>
            </w:tcBorders>
          </w:tcPr>
          <w:p w14:paraId="3B127312" w14:textId="77777777" w:rsidR="00C04CAD" w:rsidRDefault="00060E34">
            <w:pPr>
              <w:keepNext/>
              <w:keepLines/>
              <w:tabs>
                <w:tab w:val="clear" w:pos="567"/>
              </w:tabs>
              <w:kinsoku w:val="0"/>
              <w:overflowPunct w:val="0"/>
              <w:autoSpaceDE w:val="0"/>
              <w:autoSpaceDN w:val="0"/>
              <w:adjustRightInd w:val="0"/>
              <w:spacing w:line="240" w:lineRule="auto"/>
              <w:jc w:val="center"/>
            </w:pPr>
            <w:r>
              <w:rPr>
                <w:rFonts w:eastAsia="MS Mincho"/>
                <w:b/>
                <w:szCs w:val="22"/>
                <w:lang w:eastAsia="en-US" w:bidi="ar-SA"/>
              </w:rPr>
              <w:t xml:space="preserve">Adalimumab </w:t>
            </w:r>
            <w:r>
              <w:rPr>
                <w:b/>
              </w:rPr>
              <w:t>40 mg la două săptămâni</w:t>
            </w:r>
          </w:p>
          <w:p w14:paraId="4DD54105" w14:textId="77777777" w:rsidR="00C04CAD" w:rsidRDefault="00060E34">
            <w:pPr>
              <w:keepNext/>
              <w:keepLines/>
              <w:tabs>
                <w:tab w:val="clear" w:pos="567"/>
              </w:tabs>
              <w:kinsoku w:val="0"/>
              <w:overflowPunct w:val="0"/>
              <w:autoSpaceDE w:val="0"/>
              <w:autoSpaceDN w:val="0"/>
              <w:adjustRightInd w:val="0"/>
              <w:spacing w:line="240" w:lineRule="auto"/>
              <w:jc w:val="center"/>
              <w:rPr>
                <w:b/>
              </w:rPr>
            </w:pPr>
            <w:r>
              <w:rPr>
                <w:b/>
              </w:rPr>
              <w:t xml:space="preserve">N=814 </w:t>
            </w:r>
          </w:p>
          <w:p w14:paraId="092C4199" w14:textId="77777777" w:rsidR="00C04CAD" w:rsidRDefault="00060E34">
            <w:pPr>
              <w:keepNext/>
              <w:keepLines/>
              <w:tabs>
                <w:tab w:val="clear" w:pos="567"/>
              </w:tabs>
              <w:kinsoku w:val="0"/>
              <w:overflowPunct w:val="0"/>
              <w:autoSpaceDE w:val="0"/>
              <w:autoSpaceDN w:val="0"/>
              <w:adjustRightInd w:val="0"/>
              <w:spacing w:line="240" w:lineRule="auto"/>
              <w:jc w:val="center"/>
            </w:pPr>
            <w:r>
              <w:rPr>
                <w:b/>
              </w:rPr>
              <w:t>n (%)</w:t>
            </w:r>
          </w:p>
        </w:tc>
      </w:tr>
      <w:tr w:rsidR="00C04CAD" w14:paraId="6F628F2C" w14:textId="77777777">
        <w:trPr>
          <w:trHeight w:hRule="exact" w:val="262"/>
        </w:trPr>
        <w:tc>
          <w:tcPr>
            <w:tcW w:w="1665" w:type="pct"/>
            <w:tcBorders>
              <w:top w:val="single" w:sz="4" w:space="0" w:color="000000"/>
              <w:left w:val="single" w:sz="4" w:space="0" w:color="000000"/>
              <w:bottom w:val="single" w:sz="4" w:space="0" w:color="000000"/>
              <w:right w:val="single" w:sz="4" w:space="0" w:color="000000"/>
            </w:tcBorders>
          </w:tcPr>
          <w:p w14:paraId="2165E2D2" w14:textId="77777777" w:rsidR="00C04CAD" w:rsidRDefault="00060E34">
            <w:pPr>
              <w:keepNext/>
              <w:keepLines/>
              <w:tabs>
                <w:tab w:val="clear" w:pos="567"/>
              </w:tabs>
              <w:kinsoku w:val="0"/>
              <w:overflowPunct w:val="0"/>
              <w:autoSpaceDE w:val="0"/>
              <w:autoSpaceDN w:val="0"/>
              <w:adjustRightInd w:val="0"/>
              <w:spacing w:line="240" w:lineRule="auto"/>
              <w:ind w:left="102"/>
              <w:rPr>
                <w:b/>
              </w:rPr>
            </w:pPr>
            <w:r>
              <w:rPr>
                <w:b/>
              </w:rPr>
              <w:t>≥PASI 75</w:t>
            </w:r>
            <w:r>
              <w:rPr>
                <w:b/>
                <w:vertAlign w:val="superscript"/>
              </w:rPr>
              <w:t>a</w:t>
            </w:r>
          </w:p>
        </w:tc>
        <w:tc>
          <w:tcPr>
            <w:tcW w:w="1665" w:type="pct"/>
            <w:tcBorders>
              <w:top w:val="single" w:sz="4" w:space="0" w:color="000000"/>
              <w:left w:val="single" w:sz="4" w:space="0" w:color="000000"/>
              <w:bottom w:val="single" w:sz="4" w:space="0" w:color="000000"/>
              <w:right w:val="single" w:sz="4" w:space="0" w:color="000000"/>
            </w:tcBorders>
          </w:tcPr>
          <w:p w14:paraId="5CBB4A7C" w14:textId="77777777" w:rsidR="00C04CAD" w:rsidRDefault="00060E34">
            <w:pPr>
              <w:keepNext/>
              <w:keepLines/>
              <w:tabs>
                <w:tab w:val="clear" w:pos="567"/>
              </w:tabs>
              <w:kinsoku w:val="0"/>
              <w:overflowPunct w:val="0"/>
              <w:autoSpaceDE w:val="0"/>
              <w:autoSpaceDN w:val="0"/>
              <w:adjustRightInd w:val="0"/>
              <w:spacing w:line="240" w:lineRule="auto"/>
              <w:jc w:val="center"/>
            </w:pPr>
            <w:r>
              <w:t>26 (6,5)</w:t>
            </w:r>
          </w:p>
        </w:tc>
        <w:tc>
          <w:tcPr>
            <w:tcW w:w="1670" w:type="pct"/>
            <w:tcBorders>
              <w:top w:val="single" w:sz="4" w:space="0" w:color="000000"/>
              <w:left w:val="single" w:sz="4" w:space="0" w:color="000000"/>
              <w:bottom w:val="single" w:sz="4" w:space="0" w:color="000000"/>
              <w:right w:val="single" w:sz="4" w:space="0" w:color="000000"/>
            </w:tcBorders>
          </w:tcPr>
          <w:p w14:paraId="182570BC" w14:textId="77777777" w:rsidR="00C04CAD" w:rsidRDefault="00060E34">
            <w:pPr>
              <w:keepNext/>
              <w:keepLines/>
              <w:tabs>
                <w:tab w:val="clear" w:pos="567"/>
              </w:tabs>
              <w:kinsoku w:val="0"/>
              <w:overflowPunct w:val="0"/>
              <w:autoSpaceDE w:val="0"/>
              <w:autoSpaceDN w:val="0"/>
              <w:adjustRightInd w:val="0"/>
              <w:spacing w:line="240" w:lineRule="auto"/>
              <w:jc w:val="center"/>
            </w:pPr>
            <w:r>
              <w:t>578 (70,9)</w:t>
            </w:r>
            <w:r>
              <w:rPr>
                <w:vertAlign w:val="superscript"/>
              </w:rPr>
              <w:t>b</w:t>
            </w:r>
          </w:p>
        </w:tc>
      </w:tr>
      <w:tr w:rsidR="00C04CAD" w14:paraId="4AEA722D" w14:textId="77777777">
        <w:trPr>
          <w:trHeight w:hRule="exact" w:val="264"/>
        </w:trPr>
        <w:tc>
          <w:tcPr>
            <w:tcW w:w="1665" w:type="pct"/>
            <w:tcBorders>
              <w:top w:val="single" w:sz="4" w:space="0" w:color="000000"/>
              <w:left w:val="single" w:sz="4" w:space="0" w:color="000000"/>
              <w:bottom w:val="single" w:sz="4" w:space="0" w:color="000000"/>
              <w:right w:val="single" w:sz="4" w:space="0" w:color="000000"/>
            </w:tcBorders>
          </w:tcPr>
          <w:p w14:paraId="331B71A3" w14:textId="77777777" w:rsidR="00C04CAD" w:rsidRDefault="00060E34">
            <w:pPr>
              <w:tabs>
                <w:tab w:val="clear" w:pos="567"/>
              </w:tabs>
              <w:kinsoku w:val="0"/>
              <w:overflowPunct w:val="0"/>
              <w:autoSpaceDE w:val="0"/>
              <w:autoSpaceDN w:val="0"/>
              <w:adjustRightInd w:val="0"/>
              <w:spacing w:line="240" w:lineRule="auto"/>
              <w:ind w:left="102"/>
              <w:rPr>
                <w:b/>
              </w:rPr>
            </w:pPr>
            <w:r>
              <w:rPr>
                <w:b/>
              </w:rPr>
              <w:t>PASI 100</w:t>
            </w:r>
          </w:p>
        </w:tc>
        <w:tc>
          <w:tcPr>
            <w:tcW w:w="1665" w:type="pct"/>
            <w:tcBorders>
              <w:top w:val="single" w:sz="4" w:space="0" w:color="000000"/>
              <w:left w:val="single" w:sz="4" w:space="0" w:color="000000"/>
              <w:bottom w:val="single" w:sz="4" w:space="0" w:color="000000"/>
              <w:right w:val="single" w:sz="4" w:space="0" w:color="000000"/>
            </w:tcBorders>
          </w:tcPr>
          <w:p w14:paraId="3EE34E5C" w14:textId="77777777" w:rsidR="00C04CAD" w:rsidRDefault="00060E34">
            <w:pPr>
              <w:tabs>
                <w:tab w:val="clear" w:pos="567"/>
              </w:tabs>
              <w:kinsoku w:val="0"/>
              <w:overflowPunct w:val="0"/>
              <w:autoSpaceDE w:val="0"/>
              <w:autoSpaceDN w:val="0"/>
              <w:adjustRightInd w:val="0"/>
              <w:spacing w:line="240" w:lineRule="auto"/>
              <w:jc w:val="center"/>
            </w:pPr>
            <w:r>
              <w:t>3 (0,8)</w:t>
            </w:r>
          </w:p>
        </w:tc>
        <w:tc>
          <w:tcPr>
            <w:tcW w:w="1670" w:type="pct"/>
            <w:tcBorders>
              <w:top w:val="single" w:sz="4" w:space="0" w:color="000000"/>
              <w:left w:val="single" w:sz="4" w:space="0" w:color="000000"/>
              <w:bottom w:val="single" w:sz="4" w:space="0" w:color="000000"/>
              <w:right w:val="single" w:sz="4" w:space="0" w:color="000000"/>
            </w:tcBorders>
          </w:tcPr>
          <w:p w14:paraId="3141F896" w14:textId="77777777" w:rsidR="00C04CAD" w:rsidRDefault="00060E34">
            <w:pPr>
              <w:tabs>
                <w:tab w:val="clear" w:pos="567"/>
              </w:tabs>
              <w:kinsoku w:val="0"/>
              <w:overflowPunct w:val="0"/>
              <w:autoSpaceDE w:val="0"/>
              <w:autoSpaceDN w:val="0"/>
              <w:adjustRightInd w:val="0"/>
              <w:spacing w:line="240" w:lineRule="auto"/>
              <w:jc w:val="center"/>
            </w:pPr>
            <w:r>
              <w:t>163 (20,0)</w:t>
            </w:r>
            <w:r>
              <w:rPr>
                <w:vertAlign w:val="superscript"/>
              </w:rPr>
              <w:t>b</w:t>
            </w:r>
          </w:p>
        </w:tc>
      </w:tr>
      <w:tr w:rsidR="00C04CAD" w14:paraId="4D6E91E0" w14:textId="77777777">
        <w:trPr>
          <w:trHeight w:hRule="exact" w:val="262"/>
        </w:trPr>
        <w:tc>
          <w:tcPr>
            <w:tcW w:w="1665" w:type="pct"/>
            <w:tcBorders>
              <w:top w:val="single" w:sz="4" w:space="0" w:color="000000"/>
              <w:left w:val="single" w:sz="4" w:space="0" w:color="000000"/>
              <w:bottom w:val="single" w:sz="4" w:space="0" w:color="000000"/>
              <w:right w:val="single" w:sz="4" w:space="0" w:color="000000"/>
            </w:tcBorders>
          </w:tcPr>
          <w:p w14:paraId="1F2B0077" w14:textId="77777777" w:rsidR="00C04CAD" w:rsidRDefault="00060E34">
            <w:pPr>
              <w:tabs>
                <w:tab w:val="clear" w:pos="567"/>
              </w:tabs>
              <w:kinsoku w:val="0"/>
              <w:overflowPunct w:val="0"/>
              <w:autoSpaceDE w:val="0"/>
              <w:autoSpaceDN w:val="0"/>
              <w:adjustRightInd w:val="0"/>
              <w:spacing w:line="240" w:lineRule="auto"/>
              <w:ind w:left="102"/>
              <w:rPr>
                <w:b/>
              </w:rPr>
            </w:pPr>
            <w:r>
              <w:rPr>
                <w:b/>
              </w:rPr>
              <w:t>PGA: Normal/minimal</w:t>
            </w:r>
          </w:p>
        </w:tc>
        <w:tc>
          <w:tcPr>
            <w:tcW w:w="1665" w:type="pct"/>
            <w:tcBorders>
              <w:top w:val="single" w:sz="4" w:space="0" w:color="000000"/>
              <w:left w:val="single" w:sz="4" w:space="0" w:color="000000"/>
              <w:bottom w:val="single" w:sz="4" w:space="0" w:color="000000"/>
              <w:right w:val="single" w:sz="4" w:space="0" w:color="000000"/>
            </w:tcBorders>
          </w:tcPr>
          <w:p w14:paraId="4FBDA015" w14:textId="77777777" w:rsidR="00C04CAD" w:rsidRDefault="00060E34">
            <w:pPr>
              <w:tabs>
                <w:tab w:val="clear" w:pos="567"/>
              </w:tabs>
              <w:kinsoku w:val="0"/>
              <w:overflowPunct w:val="0"/>
              <w:autoSpaceDE w:val="0"/>
              <w:autoSpaceDN w:val="0"/>
              <w:adjustRightInd w:val="0"/>
              <w:spacing w:line="240" w:lineRule="auto"/>
              <w:jc w:val="center"/>
            </w:pPr>
            <w:r>
              <w:t>17 (4,3)</w:t>
            </w:r>
          </w:p>
        </w:tc>
        <w:tc>
          <w:tcPr>
            <w:tcW w:w="1670" w:type="pct"/>
            <w:tcBorders>
              <w:top w:val="single" w:sz="4" w:space="0" w:color="000000"/>
              <w:left w:val="single" w:sz="4" w:space="0" w:color="000000"/>
              <w:bottom w:val="single" w:sz="4" w:space="0" w:color="000000"/>
              <w:right w:val="single" w:sz="4" w:space="0" w:color="000000"/>
            </w:tcBorders>
          </w:tcPr>
          <w:p w14:paraId="38B33114" w14:textId="77777777" w:rsidR="00C04CAD" w:rsidRDefault="00060E34">
            <w:pPr>
              <w:tabs>
                <w:tab w:val="clear" w:pos="567"/>
              </w:tabs>
              <w:kinsoku w:val="0"/>
              <w:overflowPunct w:val="0"/>
              <w:autoSpaceDE w:val="0"/>
              <w:autoSpaceDN w:val="0"/>
              <w:adjustRightInd w:val="0"/>
              <w:spacing w:line="240" w:lineRule="auto"/>
              <w:jc w:val="center"/>
            </w:pPr>
            <w:r>
              <w:t>506 (62,2)</w:t>
            </w:r>
            <w:r>
              <w:rPr>
                <w:vertAlign w:val="superscript"/>
              </w:rPr>
              <w:t>b</w:t>
            </w:r>
          </w:p>
        </w:tc>
      </w:tr>
      <w:tr w:rsidR="00C04CAD" w14:paraId="7CDFFB61" w14:textId="77777777">
        <w:trPr>
          <w:trHeight w:hRule="exact" w:val="523"/>
        </w:trPr>
        <w:tc>
          <w:tcPr>
            <w:tcW w:w="4995" w:type="pct"/>
            <w:gridSpan w:val="3"/>
          </w:tcPr>
          <w:p w14:paraId="25DF0E66"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Procentul pacienţilor care au atins răspunsul PASI 75 a fost calculat ca interval ajustat la valoarea medie</w:t>
            </w:r>
          </w:p>
          <w:p w14:paraId="79383897"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b</w:t>
            </w:r>
            <w:r>
              <w:rPr>
                <w:sz w:val="20"/>
              </w:rPr>
              <w:t xml:space="preserve"> p &lt;0,001, </w:t>
            </w:r>
            <w:r>
              <w:rPr>
                <w:rFonts w:eastAsia="MS Mincho"/>
                <w:sz w:val="20"/>
                <w:lang w:eastAsia="en-US" w:bidi="ar-SA"/>
              </w:rPr>
              <w:t>adalimumab</w:t>
            </w:r>
            <w:r>
              <w:rPr>
                <w:sz w:val="20"/>
              </w:rPr>
              <w:t xml:space="preserve"> </w:t>
            </w:r>
            <w:r>
              <w:rPr>
                <w:i/>
                <w:sz w:val="20"/>
              </w:rPr>
              <w:t>versus</w:t>
            </w:r>
            <w:r>
              <w:rPr>
                <w:sz w:val="20"/>
              </w:rPr>
              <w:t xml:space="preserve"> placebo</w:t>
            </w:r>
          </w:p>
        </w:tc>
      </w:tr>
    </w:tbl>
    <w:p w14:paraId="37BBA243" w14:textId="77777777" w:rsidR="00C04CAD" w:rsidRDefault="00C04CAD">
      <w:pPr>
        <w:autoSpaceDE w:val="0"/>
        <w:autoSpaceDN w:val="0"/>
        <w:adjustRightInd w:val="0"/>
        <w:spacing w:line="240" w:lineRule="auto"/>
      </w:pPr>
    </w:p>
    <w:p w14:paraId="344CBF14" w14:textId="77777777" w:rsidR="00C04CAD" w:rsidRDefault="00060E34">
      <w:pPr>
        <w:keepNext/>
        <w:autoSpaceDE w:val="0"/>
        <w:autoSpaceDN w:val="0"/>
        <w:adjustRightInd w:val="0"/>
        <w:spacing w:line="240" w:lineRule="auto"/>
      </w:pPr>
      <w:r>
        <w:rPr>
          <w:b/>
        </w:rPr>
        <w:t xml:space="preserve">Tabelul </w:t>
      </w:r>
      <w:r>
        <w:rPr>
          <w:b/>
          <w:bCs/>
          <w:szCs w:val="22"/>
        </w:rPr>
        <w:t xml:space="preserve">17. </w:t>
      </w:r>
      <w:r>
        <w:rPr>
          <w:b/>
        </w:rPr>
        <w:t xml:space="preserve">Studiul II (CHAMPION) Rezultatele privind eficacitatea în </w:t>
      </w:r>
      <w:r>
        <w:rPr>
          <w:b/>
          <w:bCs/>
          <w:szCs w:val="22"/>
        </w:rPr>
        <w:t>săptămâna</w:t>
      </w:r>
      <w:r>
        <w:rPr>
          <w:b/>
        </w:rPr>
        <w:t xml:space="preserve"> 16</w:t>
      </w:r>
    </w:p>
    <w:p w14:paraId="7F4B3AD4" w14:textId="77777777" w:rsidR="00C04CAD" w:rsidRDefault="00C04CAD">
      <w:pPr>
        <w:keepNext/>
        <w:autoSpaceDE w:val="0"/>
        <w:autoSpaceDN w:val="0"/>
        <w:adjustRightInd w:val="0"/>
        <w:spacing w:line="240" w:lineRule="auto"/>
      </w:pPr>
    </w:p>
    <w:tbl>
      <w:tblPr>
        <w:tblW w:w="4997" w:type="pct"/>
        <w:tblInd w:w="5" w:type="dxa"/>
        <w:tblLayout w:type="fixed"/>
        <w:tblCellMar>
          <w:left w:w="0" w:type="dxa"/>
          <w:right w:w="0" w:type="dxa"/>
        </w:tblCellMar>
        <w:tblLook w:val="04A0" w:firstRow="1" w:lastRow="0" w:firstColumn="1" w:lastColumn="0" w:noHBand="0" w:noVBand="1"/>
      </w:tblPr>
      <w:tblGrid>
        <w:gridCol w:w="2257"/>
        <w:gridCol w:w="2266"/>
        <w:gridCol w:w="2262"/>
        <w:gridCol w:w="2271"/>
      </w:tblGrid>
      <w:tr w:rsidR="00C04CAD" w14:paraId="09925887" w14:textId="77777777">
        <w:trPr>
          <w:trHeight w:hRule="exact" w:val="1022"/>
        </w:trPr>
        <w:tc>
          <w:tcPr>
            <w:tcW w:w="1246" w:type="pct"/>
            <w:tcBorders>
              <w:top w:val="single" w:sz="4" w:space="0" w:color="000000"/>
              <w:left w:val="single" w:sz="4" w:space="0" w:color="000000"/>
              <w:bottom w:val="single" w:sz="4" w:space="0" w:color="000000"/>
              <w:right w:val="single" w:sz="4" w:space="0" w:color="000000"/>
            </w:tcBorders>
          </w:tcPr>
          <w:p w14:paraId="041CCBAF" w14:textId="77777777" w:rsidR="00C04CAD" w:rsidRDefault="00C04CAD">
            <w:pPr>
              <w:keepNext/>
              <w:tabs>
                <w:tab w:val="clear" w:pos="567"/>
              </w:tabs>
              <w:autoSpaceDE w:val="0"/>
              <w:autoSpaceDN w:val="0"/>
              <w:adjustRightInd w:val="0"/>
              <w:spacing w:line="240" w:lineRule="auto"/>
            </w:pPr>
          </w:p>
        </w:tc>
        <w:tc>
          <w:tcPr>
            <w:tcW w:w="1251" w:type="pct"/>
            <w:tcBorders>
              <w:top w:val="single" w:sz="4" w:space="0" w:color="000000"/>
              <w:left w:val="single" w:sz="4" w:space="0" w:color="000000"/>
              <w:bottom w:val="single" w:sz="4" w:space="0" w:color="000000"/>
              <w:right w:val="single" w:sz="4" w:space="0" w:color="000000"/>
            </w:tcBorders>
          </w:tcPr>
          <w:p w14:paraId="5FBEA501"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Placebo</w:t>
            </w:r>
          </w:p>
          <w:p w14:paraId="2FCD0C8D"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rPr>
              <w:t>N=53</w:t>
            </w:r>
          </w:p>
          <w:p w14:paraId="68675A5B"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 (%)</w:t>
            </w:r>
          </w:p>
        </w:tc>
        <w:tc>
          <w:tcPr>
            <w:tcW w:w="1249" w:type="pct"/>
            <w:tcBorders>
              <w:top w:val="single" w:sz="4" w:space="0" w:color="000000"/>
              <w:left w:val="single" w:sz="4" w:space="0" w:color="000000"/>
              <w:bottom w:val="single" w:sz="4" w:space="0" w:color="000000"/>
              <w:right w:val="single" w:sz="4" w:space="0" w:color="000000"/>
            </w:tcBorders>
          </w:tcPr>
          <w:p w14:paraId="60024CCB"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MTX</w:t>
            </w:r>
          </w:p>
          <w:p w14:paraId="5348EBA0"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rPr>
              <w:t>N=110</w:t>
            </w:r>
          </w:p>
          <w:p w14:paraId="2F8437D6"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 (%)</w:t>
            </w:r>
          </w:p>
        </w:tc>
        <w:tc>
          <w:tcPr>
            <w:tcW w:w="1251" w:type="pct"/>
            <w:tcBorders>
              <w:top w:val="single" w:sz="4" w:space="0" w:color="000000"/>
              <w:left w:val="single" w:sz="4" w:space="0" w:color="000000"/>
              <w:bottom w:val="single" w:sz="4" w:space="0" w:color="000000"/>
              <w:right w:val="single" w:sz="4" w:space="0" w:color="000000"/>
            </w:tcBorders>
          </w:tcPr>
          <w:p w14:paraId="7E5ED6FE"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 xml:space="preserve">40 mg </w:t>
            </w:r>
            <w:r>
              <w:rPr>
                <w:rFonts w:eastAsia="MS Mincho"/>
                <w:b/>
                <w:bCs/>
                <w:szCs w:val="22"/>
                <w:lang w:eastAsia="en-US" w:bidi="ar-SA"/>
              </w:rPr>
              <w:t>AMGEVITA</w:t>
            </w:r>
            <w:r>
              <w:rPr>
                <w:b/>
              </w:rPr>
              <w:t xml:space="preserve"> la</w:t>
            </w:r>
          </w:p>
          <w:p w14:paraId="176ACEB4" w14:textId="77777777" w:rsidR="00C04CAD" w:rsidRDefault="00060E34">
            <w:pPr>
              <w:keepNext/>
              <w:tabs>
                <w:tab w:val="clear" w:pos="567"/>
              </w:tabs>
              <w:kinsoku w:val="0"/>
              <w:overflowPunct w:val="0"/>
              <w:autoSpaceDE w:val="0"/>
              <w:autoSpaceDN w:val="0"/>
              <w:adjustRightInd w:val="0"/>
              <w:spacing w:line="240" w:lineRule="auto"/>
              <w:ind w:left="113"/>
              <w:jc w:val="center"/>
              <w:rPr>
                <w:b/>
              </w:rPr>
            </w:pPr>
            <w:r>
              <w:rPr>
                <w:b/>
              </w:rPr>
              <w:t>două săptămâni</w:t>
            </w:r>
          </w:p>
          <w:p w14:paraId="77888FC0"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N=108</w:t>
            </w:r>
          </w:p>
          <w:p w14:paraId="4CFFBA13"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n (%)</w:t>
            </w:r>
          </w:p>
        </w:tc>
      </w:tr>
      <w:tr w:rsidR="00C04CAD" w14:paraId="44DA2034" w14:textId="77777777">
        <w:trPr>
          <w:trHeight w:hRule="exact" w:val="262"/>
        </w:trPr>
        <w:tc>
          <w:tcPr>
            <w:tcW w:w="1246" w:type="pct"/>
            <w:tcBorders>
              <w:top w:val="single" w:sz="4" w:space="0" w:color="auto"/>
              <w:left w:val="single" w:sz="4" w:space="0" w:color="auto"/>
              <w:bottom w:val="single" w:sz="4" w:space="0" w:color="000000"/>
              <w:right w:val="single" w:sz="4" w:space="0" w:color="000000"/>
            </w:tcBorders>
          </w:tcPr>
          <w:p w14:paraId="4E5ADC8D" w14:textId="77777777" w:rsidR="00C04CAD" w:rsidRDefault="00060E34">
            <w:pPr>
              <w:keepNext/>
              <w:tabs>
                <w:tab w:val="clear" w:pos="567"/>
              </w:tabs>
              <w:kinsoku w:val="0"/>
              <w:overflowPunct w:val="0"/>
              <w:autoSpaceDE w:val="0"/>
              <w:autoSpaceDN w:val="0"/>
              <w:adjustRightInd w:val="0"/>
              <w:spacing w:line="240" w:lineRule="auto"/>
              <w:ind w:left="113"/>
              <w:rPr>
                <w:b/>
              </w:rPr>
            </w:pPr>
            <w:r>
              <w:rPr>
                <w:b/>
              </w:rPr>
              <w:t>≥PASI 75</w:t>
            </w:r>
          </w:p>
        </w:tc>
        <w:tc>
          <w:tcPr>
            <w:tcW w:w="1251" w:type="pct"/>
            <w:tcBorders>
              <w:top w:val="single" w:sz="4" w:space="0" w:color="auto"/>
              <w:left w:val="single" w:sz="4" w:space="0" w:color="000000"/>
              <w:bottom w:val="single" w:sz="4" w:space="0" w:color="000000"/>
              <w:right w:val="single" w:sz="4" w:space="0" w:color="000000"/>
            </w:tcBorders>
          </w:tcPr>
          <w:p w14:paraId="0ECBFF31" w14:textId="77777777" w:rsidR="00C04CAD" w:rsidRDefault="00060E34">
            <w:pPr>
              <w:tabs>
                <w:tab w:val="clear" w:pos="567"/>
              </w:tabs>
              <w:kinsoku w:val="0"/>
              <w:overflowPunct w:val="0"/>
              <w:autoSpaceDE w:val="0"/>
              <w:autoSpaceDN w:val="0"/>
              <w:adjustRightInd w:val="0"/>
              <w:spacing w:line="240" w:lineRule="auto"/>
              <w:ind w:left="113"/>
              <w:jc w:val="center"/>
            </w:pPr>
            <w:r>
              <w:t>10 (18,9)</w:t>
            </w:r>
          </w:p>
        </w:tc>
        <w:tc>
          <w:tcPr>
            <w:tcW w:w="1249" w:type="pct"/>
            <w:tcBorders>
              <w:top w:val="single" w:sz="4" w:space="0" w:color="auto"/>
              <w:left w:val="single" w:sz="4" w:space="0" w:color="000000"/>
              <w:bottom w:val="single" w:sz="4" w:space="0" w:color="000000"/>
              <w:right w:val="single" w:sz="4" w:space="0" w:color="000000"/>
            </w:tcBorders>
          </w:tcPr>
          <w:p w14:paraId="4309B8D7" w14:textId="77777777" w:rsidR="00C04CAD" w:rsidRDefault="00060E34">
            <w:pPr>
              <w:tabs>
                <w:tab w:val="clear" w:pos="567"/>
              </w:tabs>
              <w:kinsoku w:val="0"/>
              <w:overflowPunct w:val="0"/>
              <w:autoSpaceDE w:val="0"/>
              <w:autoSpaceDN w:val="0"/>
              <w:adjustRightInd w:val="0"/>
              <w:spacing w:line="240" w:lineRule="auto"/>
              <w:ind w:left="113"/>
              <w:jc w:val="center"/>
            </w:pPr>
            <w:r>
              <w:t>39 (35,5)</w:t>
            </w:r>
          </w:p>
        </w:tc>
        <w:tc>
          <w:tcPr>
            <w:tcW w:w="1254" w:type="pct"/>
            <w:tcBorders>
              <w:top w:val="single" w:sz="4" w:space="0" w:color="auto"/>
              <w:left w:val="single" w:sz="4" w:space="0" w:color="000000"/>
              <w:bottom w:val="single" w:sz="4" w:space="0" w:color="000000"/>
              <w:right w:val="single" w:sz="4" w:space="0" w:color="auto"/>
            </w:tcBorders>
          </w:tcPr>
          <w:p w14:paraId="6704F93A" w14:textId="77777777" w:rsidR="00C04CAD" w:rsidRDefault="00060E34">
            <w:pPr>
              <w:tabs>
                <w:tab w:val="clear" w:pos="567"/>
              </w:tabs>
              <w:kinsoku w:val="0"/>
              <w:overflowPunct w:val="0"/>
              <w:autoSpaceDE w:val="0"/>
              <w:autoSpaceDN w:val="0"/>
              <w:adjustRightInd w:val="0"/>
              <w:spacing w:line="240" w:lineRule="auto"/>
              <w:ind w:left="113"/>
              <w:jc w:val="center"/>
            </w:pPr>
            <w:r>
              <w:t>86 (79,6)</w:t>
            </w:r>
            <w:r>
              <w:rPr>
                <w:vertAlign w:val="superscript"/>
              </w:rPr>
              <w:t>a</w:t>
            </w:r>
            <w:r>
              <w:t xml:space="preserve">, </w:t>
            </w:r>
            <w:r>
              <w:rPr>
                <w:vertAlign w:val="superscript"/>
              </w:rPr>
              <w:t>b</w:t>
            </w:r>
          </w:p>
        </w:tc>
      </w:tr>
      <w:tr w:rsidR="00C04CAD" w14:paraId="30A88042" w14:textId="77777777">
        <w:trPr>
          <w:trHeight w:hRule="exact" w:val="264"/>
        </w:trPr>
        <w:tc>
          <w:tcPr>
            <w:tcW w:w="1246" w:type="pct"/>
            <w:tcBorders>
              <w:top w:val="single" w:sz="4" w:space="0" w:color="000000"/>
              <w:left w:val="single" w:sz="4" w:space="0" w:color="auto"/>
              <w:bottom w:val="single" w:sz="4" w:space="0" w:color="000000"/>
              <w:right w:val="single" w:sz="4" w:space="0" w:color="000000"/>
            </w:tcBorders>
          </w:tcPr>
          <w:p w14:paraId="7F124793" w14:textId="77777777" w:rsidR="00C04CAD" w:rsidRDefault="00060E34">
            <w:pPr>
              <w:keepNext/>
              <w:tabs>
                <w:tab w:val="clear" w:pos="567"/>
              </w:tabs>
              <w:kinsoku w:val="0"/>
              <w:overflowPunct w:val="0"/>
              <w:autoSpaceDE w:val="0"/>
              <w:autoSpaceDN w:val="0"/>
              <w:adjustRightInd w:val="0"/>
              <w:spacing w:line="240" w:lineRule="auto"/>
              <w:ind w:left="113"/>
              <w:rPr>
                <w:b/>
              </w:rPr>
            </w:pPr>
            <w:r>
              <w:rPr>
                <w:b/>
              </w:rPr>
              <w:t>PASI 100</w:t>
            </w:r>
          </w:p>
        </w:tc>
        <w:tc>
          <w:tcPr>
            <w:tcW w:w="1251" w:type="pct"/>
            <w:tcBorders>
              <w:top w:val="single" w:sz="4" w:space="0" w:color="000000"/>
              <w:left w:val="single" w:sz="4" w:space="0" w:color="000000"/>
              <w:bottom w:val="single" w:sz="4" w:space="0" w:color="000000"/>
              <w:right w:val="single" w:sz="4" w:space="0" w:color="000000"/>
            </w:tcBorders>
          </w:tcPr>
          <w:p w14:paraId="7B50C6B0" w14:textId="77777777" w:rsidR="00C04CAD" w:rsidRDefault="00060E34">
            <w:pPr>
              <w:tabs>
                <w:tab w:val="clear" w:pos="567"/>
              </w:tabs>
              <w:kinsoku w:val="0"/>
              <w:overflowPunct w:val="0"/>
              <w:autoSpaceDE w:val="0"/>
              <w:autoSpaceDN w:val="0"/>
              <w:adjustRightInd w:val="0"/>
              <w:spacing w:line="240" w:lineRule="auto"/>
              <w:ind w:left="113"/>
              <w:jc w:val="center"/>
            </w:pPr>
            <w:r>
              <w:t>1 (1,9)</w:t>
            </w:r>
          </w:p>
        </w:tc>
        <w:tc>
          <w:tcPr>
            <w:tcW w:w="1249" w:type="pct"/>
            <w:tcBorders>
              <w:top w:val="single" w:sz="4" w:space="0" w:color="000000"/>
              <w:left w:val="single" w:sz="4" w:space="0" w:color="000000"/>
              <w:bottom w:val="single" w:sz="4" w:space="0" w:color="000000"/>
              <w:right w:val="single" w:sz="4" w:space="0" w:color="000000"/>
            </w:tcBorders>
          </w:tcPr>
          <w:p w14:paraId="64E34A8B" w14:textId="77777777" w:rsidR="00C04CAD" w:rsidRDefault="00060E34">
            <w:pPr>
              <w:tabs>
                <w:tab w:val="clear" w:pos="567"/>
              </w:tabs>
              <w:kinsoku w:val="0"/>
              <w:overflowPunct w:val="0"/>
              <w:autoSpaceDE w:val="0"/>
              <w:autoSpaceDN w:val="0"/>
              <w:adjustRightInd w:val="0"/>
              <w:spacing w:line="240" w:lineRule="auto"/>
              <w:ind w:left="113"/>
              <w:jc w:val="center"/>
            </w:pPr>
            <w:r>
              <w:t>8 (7,3)</w:t>
            </w:r>
          </w:p>
        </w:tc>
        <w:tc>
          <w:tcPr>
            <w:tcW w:w="1254" w:type="pct"/>
            <w:tcBorders>
              <w:top w:val="single" w:sz="4" w:space="0" w:color="000000"/>
              <w:left w:val="single" w:sz="4" w:space="0" w:color="000000"/>
              <w:bottom w:val="single" w:sz="4" w:space="0" w:color="000000"/>
              <w:right w:val="single" w:sz="4" w:space="0" w:color="auto"/>
            </w:tcBorders>
          </w:tcPr>
          <w:p w14:paraId="7EAF9307" w14:textId="77777777" w:rsidR="00C04CAD" w:rsidRDefault="00060E34">
            <w:pPr>
              <w:tabs>
                <w:tab w:val="clear" w:pos="567"/>
              </w:tabs>
              <w:kinsoku w:val="0"/>
              <w:overflowPunct w:val="0"/>
              <w:autoSpaceDE w:val="0"/>
              <w:autoSpaceDN w:val="0"/>
              <w:adjustRightInd w:val="0"/>
              <w:spacing w:line="240" w:lineRule="auto"/>
              <w:ind w:left="113"/>
              <w:jc w:val="center"/>
            </w:pPr>
            <w:r>
              <w:t>18 (16,7)</w:t>
            </w:r>
            <w:r>
              <w:rPr>
                <w:vertAlign w:val="superscript"/>
              </w:rPr>
              <w:t>c</w:t>
            </w:r>
            <w:r>
              <w:t xml:space="preserve">, </w:t>
            </w:r>
            <w:r>
              <w:rPr>
                <w:vertAlign w:val="superscript"/>
              </w:rPr>
              <w:t>d</w:t>
            </w:r>
          </w:p>
        </w:tc>
      </w:tr>
      <w:tr w:rsidR="00C04CAD" w14:paraId="111B94D1" w14:textId="77777777">
        <w:trPr>
          <w:trHeight w:hRule="exact" w:val="264"/>
        </w:trPr>
        <w:tc>
          <w:tcPr>
            <w:tcW w:w="1246" w:type="pct"/>
            <w:tcBorders>
              <w:top w:val="single" w:sz="4" w:space="0" w:color="000000"/>
              <w:left w:val="single" w:sz="4" w:space="0" w:color="auto"/>
              <w:bottom w:val="single" w:sz="4" w:space="0" w:color="auto"/>
              <w:right w:val="single" w:sz="4" w:space="0" w:color="000000"/>
            </w:tcBorders>
          </w:tcPr>
          <w:p w14:paraId="4B4D429C" w14:textId="77777777" w:rsidR="00C04CAD" w:rsidRDefault="00060E34">
            <w:pPr>
              <w:keepNext/>
              <w:tabs>
                <w:tab w:val="clear" w:pos="567"/>
              </w:tabs>
              <w:kinsoku w:val="0"/>
              <w:overflowPunct w:val="0"/>
              <w:autoSpaceDE w:val="0"/>
              <w:autoSpaceDN w:val="0"/>
              <w:adjustRightInd w:val="0"/>
              <w:spacing w:line="240" w:lineRule="auto"/>
              <w:ind w:left="113"/>
              <w:rPr>
                <w:b/>
              </w:rPr>
            </w:pPr>
            <w:r>
              <w:rPr>
                <w:b/>
              </w:rPr>
              <w:t>PGA: Normal/minimal</w:t>
            </w:r>
          </w:p>
        </w:tc>
        <w:tc>
          <w:tcPr>
            <w:tcW w:w="1251" w:type="pct"/>
            <w:tcBorders>
              <w:top w:val="single" w:sz="4" w:space="0" w:color="000000"/>
              <w:left w:val="single" w:sz="4" w:space="0" w:color="000000"/>
              <w:bottom w:val="single" w:sz="4" w:space="0" w:color="auto"/>
              <w:right w:val="single" w:sz="4" w:space="0" w:color="000000"/>
            </w:tcBorders>
          </w:tcPr>
          <w:p w14:paraId="6E014451" w14:textId="77777777" w:rsidR="00C04CAD" w:rsidRDefault="00060E34">
            <w:pPr>
              <w:tabs>
                <w:tab w:val="clear" w:pos="567"/>
              </w:tabs>
              <w:kinsoku w:val="0"/>
              <w:overflowPunct w:val="0"/>
              <w:autoSpaceDE w:val="0"/>
              <w:autoSpaceDN w:val="0"/>
              <w:adjustRightInd w:val="0"/>
              <w:spacing w:line="240" w:lineRule="auto"/>
              <w:ind w:left="113"/>
              <w:jc w:val="center"/>
            </w:pPr>
            <w:r>
              <w:t>6 (11,3)</w:t>
            </w:r>
          </w:p>
        </w:tc>
        <w:tc>
          <w:tcPr>
            <w:tcW w:w="1249" w:type="pct"/>
            <w:tcBorders>
              <w:top w:val="single" w:sz="4" w:space="0" w:color="000000"/>
              <w:left w:val="single" w:sz="4" w:space="0" w:color="000000"/>
              <w:bottom w:val="single" w:sz="4" w:space="0" w:color="auto"/>
              <w:right w:val="single" w:sz="4" w:space="0" w:color="000000"/>
            </w:tcBorders>
          </w:tcPr>
          <w:p w14:paraId="41A6DBF9" w14:textId="77777777" w:rsidR="00C04CAD" w:rsidRDefault="00060E34">
            <w:pPr>
              <w:tabs>
                <w:tab w:val="clear" w:pos="567"/>
              </w:tabs>
              <w:kinsoku w:val="0"/>
              <w:overflowPunct w:val="0"/>
              <w:autoSpaceDE w:val="0"/>
              <w:autoSpaceDN w:val="0"/>
              <w:adjustRightInd w:val="0"/>
              <w:spacing w:line="240" w:lineRule="auto"/>
              <w:ind w:left="113"/>
              <w:jc w:val="center"/>
            </w:pPr>
            <w:r>
              <w:t>33 (30,0)</w:t>
            </w:r>
          </w:p>
        </w:tc>
        <w:tc>
          <w:tcPr>
            <w:tcW w:w="1254" w:type="pct"/>
            <w:tcBorders>
              <w:top w:val="single" w:sz="4" w:space="0" w:color="000000"/>
              <w:left w:val="single" w:sz="4" w:space="0" w:color="000000"/>
              <w:bottom w:val="single" w:sz="4" w:space="0" w:color="auto"/>
              <w:right w:val="single" w:sz="4" w:space="0" w:color="auto"/>
            </w:tcBorders>
          </w:tcPr>
          <w:p w14:paraId="3951C5BC" w14:textId="77777777" w:rsidR="00C04CAD" w:rsidRDefault="00060E34">
            <w:pPr>
              <w:tabs>
                <w:tab w:val="clear" w:pos="567"/>
              </w:tabs>
              <w:kinsoku w:val="0"/>
              <w:overflowPunct w:val="0"/>
              <w:autoSpaceDE w:val="0"/>
              <w:autoSpaceDN w:val="0"/>
              <w:adjustRightInd w:val="0"/>
              <w:spacing w:line="240" w:lineRule="auto"/>
              <w:ind w:left="113"/>
              <w:jc w:val="center"/>
            </w:pPr>
            <w:r>
              <w:t>79 (73,1)</w:t>
            </w:r>
            <w:r>
              <w:rPr>
                <w:vertAlign w:val="superscript"/>
              </w:rPr>
              <w:t>a</w:t>
            </w:r>
            <w:r>
              <w:t xml:space="preserve">, </w:t>
            </w:r>
            <w:r>
              <w:rPr>
                <w:vertAlign w:val="superscript"/>
              </w:rPr>
              <w:t>b</w:t>
            </w:r>
          </w:p>
        </w:tc>
      </w:tr>
      <w:tr w:rsidR="00C04CAD" w14:paraId="4F4C7A4F" w14:textId="77777777">
        <w:trPr>
          <w:trHeight w:hRule="exact" w:val="978"/>
        </w:trPr>
        <w:tc>
          <w:tcPr>
            <w:tcW w:w="5000" w:type="pct"/>
            <w:gridSpan w:val="4"/>
            <w:tcBorders>
              <w:top w:val="single" w:sz="4" w:space="0" w:color="auto"/>
            </w:tcBorders>
          </w:tcPr>
          <w:p w14:paraId="6A28CF65"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p &lt;0,</w:t>
            </w:r>
            <w:r>
              <w:rPr>
                <w:rFonts w:eastAsia="MS Mincho"/>
                <w:sz w:val="20"/>
                <w:lang w:eastAsia="en-US" w:bidi="ar-SA"/>
              </w:rPr>
              <w:t>001adalimumab</w:t>
            </w:r>
            <w:r>
              <w:rPr>
                <w:sz w:val="20"/>
              </w:rPr>
              <w:t xml:space="preserve"> </w:t>
            </w:r>
            <w:r>
              <w:rPr>
                <w:i/>
                <w:sz w:val="20"/>
              </w:rPr>
              <w:t>versus</w:t>
            </w:r>
            <w:r>
              <w:rPr>
                <w:sz w:val="20"/>
              </w:rPr>
              <w:t xml:space="preserve"> placebo</w:t>
            </w:r>
          </w:p>
          <w:p w14:paraId="3AA93BBF"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b</w:t>
            </w:r>
            <w:r>
              <w:rPr>
                <w:sz w:val="20"/>
              </w:rPr>
              <w:t xml:space="preserve"> p &lt;0,001 </w:t>
            </w:r>
            <w:r>
              <w:rPr>
                <w:rFonts w:eastAsia="MS Mincho"/>
                <w:sz w:val="20"/>
                <w:lang w:eastAsia="en-US" w:bidi="ar-SA"/>
              </w:rPr>
              <w:t>adalimumab</w:t>
            </w:r>
            <w:r>
              <w:rPr>
                <w:sz w:val="20"/>
              </w:rPr>
              <w:t xml:space="preserve"> </w:t>
            </w:r>
            <w:r>
              <w:rPr>
                <w:i/>
                <w:sz w:val="20"/>
              </w:rPr>
              <w:t>versus</w:t>
            </w:r>
            <w:r>
              <w:rPr>
                <w:sz w:val="20"/>
              </w:rPr>
              <w:t xml:space="preserve"> metotrexat</w:t>
            </w:r>
          </w:p>
          <w:p w14:paraId="0965D100"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c</w:t>
            </w:r>
            <w:r>
              <w:rPr>
                <w:sz w:val="20"/>
              </w:rPr>
              <w:t xml:space="preserve"> p &lt;0,01 </w:t>
            </w:r>
            <w:r>
              <w:rPr>
                <w:rFonts w:eastAsia="MS Mincho"/>
                <w:sz w:val="20"/>
                <w:lang w:eastAsia="en-US" w:bidi="ar-SA"/>
              </w:rPr>
              <w:t>adalimumab</w:t>
            </w:r>
            <w:r>
              <w:rPr>
                <w:sz w:val="20"/>
              </w:rPr>
              <w:t xml:space="preserve"> </w:t>
            </w:r>
            <w:r>
              <w:rPr>
                <w:i/>
                <w:sz w:val="20"/>
              </w:rPr>
              <w:t>versus</w:t>
            </w:r>
            <w:r>
              <w:rPr>
                <w:sz w:val="20"/>
              </w:rPr>
              <w:t xml:space="preserve"> placebo</w:t>
            </w:r>
          </w:p>
          <w:p w14:paraId="220FB2D6"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d</w:t>
            </w:r>
            <w:r>
              <w:rPr>
                <w:sz w:val="20"/>
              </w:rPr>
              <w:t xml:space="preserve"> p &lt;0,05 </w:t>
            </w:r>
            <w:r>
              <w:rPr>
                <w:rFonts w:eastAsia="MS Mincho"/>
                <w:sz w:val="20"/>
                <w:lang w:eastAsia="en-US" w:bidi="ar-SA"/>
              </w:rPr>
              <w:t>adalimumab</w:t>
            </w:r>
            <w:r>
              <w:rPr>
                <w:sz w:val="20"/>
              </w:rPr>
              <w:t xml:space="preserve"> </w:t>
            </w:r>
            <w:r>
              <w:rPr>
                <w:i/>
                <w:sz w:val="20"/>
              </w:rPr>
              <w:t>versus</w:t>
            </w:r>
            <w:r>
              <w:rPr>
                <w:sz w:val="20"/>
              </w:rPr>
              <w:t xml:space="preserve"> metotrexat</w:t>
            </w:r>
          </w:p>
        </w:tc>
      </w:tr>
    </w:tbl>
    <w:p w14:paraId="43FCF5E0" w14:textId="77777777" w:rsidR="00C04CAD" w:rsidRDefault="00C04CAD">
      <w:pPr>
        <w:autoSpaceDE w:val="0"/>
        <w:autoSpaceDN w:val="0"/>
        <w:adjustRightInd w:val="0"/>
        <w:spacing w:line="240" w:lineRule="auto"/>
        <w:rPr>
          <w:szCs w:val="22"/>
        </w:rPr>
      </w:pPr>
    </w:p>
    <w:p w14:paraId="5A716FA9"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Studiul I cu privire la psoriazis, 28% din pacienţii care au răspuns PASI 75 şi au fost re-randomizaţi cu placebo în </w:t>
      </w:r>
      <w:r>
        <w:rPr>
          <w:rFonts w:eastAsia="MS Mincho"/>
          <w:szCs w:val="22"/>
          <w:lang w:eastAsia="en-US" w:bidi="ar-SA"/>
        </w:rPr>
        <w:t>săptămâna</w:t>
      </w:r>
      <w:r>
        <w:rPr>
          <w:szCs w:val="22"/>
        </w:rPr>
        <w:t xml:space="preserve"> 33 comparativ cu 5% care au continuat </w:t>
      </w:r>
      <w:r>
        <w:rPr>
          <w:rFonts w:eastAsia="MS Mincho"/>
          <w:szCs w:val="22"/>
          <w:lang w:eastAsia="en-US" w:bidi="ar-SA"/>
        </w:rPr>
        <w:t>adalimumab</w:t>
      </w:r>
      <w:r>
        <w:rPr>
          <w:szCs w:val="22"/>
        </w:rPr>
        <w:t xml:space="preserve">, p &lt;0,001, au fost calificaţi cu “pierderea răspunsului corespunzător” (scorul PASI după </w:t>
      </w:r>
      <w:r>
        <w:rPr>
          <w:rFonts w:eastAsia="MS Mincho"/>
          <w:szCs w:val="22"/>
          <w:lang w:eastAsia="en-US" w:bidi="ar-SA"/>
        </w:rPr>
        <w:t>săptămâna</w:t>
      </w:r>
      <w:r>
        <w:rPr>
          <w:szCs w:val="22"/>
        </w:rPr>
        <w:t xml:space="preserve"> 33 şi în sau înainte de </w:t>
      </w:r>
      <w:r>
        <w:rPr>
          <w:rFonts w:eastAsia="MS Mincho"/>
          <w:szCs w:val="22"/>
          <w:lang w:eastAsia="en-US" w:bidi="ar-SA"/>
        </w:rPr>
        <w:t>săptămâna</w:t>
      </w:r>
      <w:r>
        <w:rPr>
          <w:szCs w:val="22"/>
        </w:rPr>
        <w:t xml:space="preserve"> 52 a avut ca rezultat un răspuns &lt;PASI 50 faţă de valoarea iniţială cu o creştere minimă de 6 puncte a scorului PASI faţă de </w:t>
      </w:r>
      <w:r>
        <w:rPr>
          <w:rFonts w:eastAsia="MS Mincho"/>
          <w:szCs w:val="22"/>
          <w:lang w:eastAsia="en-US" w:bidi="ar-SA"/>
        </w:rPr>
        <w:t>săptămâna</w:t>
      </w:r>
      <w:r>
        <w:rPr>
          <w:szCs w:val="22"/>
        </w:rPr>
        <w:t xml:space="preserve"> 33). 38% (25/66) şi 55% (36/66) din pacienţii care au pierdut răspunsul corespunzător după re-randomizare cu placebo, care apoi au fost înrolaţi în studiul extensiv deschis, au avut răspuns PASI 75 după 12 şi respectiv 24 săptămâni de re-tratament.</w:t>
      </w:r>
    </w:p>
    <w:p w14:paraId="4CD585B4" w14:textId="77777777" w:rsidR="00C04CAD" w:rsidRDefault="00C04CAD">
      <w:pPr>
        <w:tabs>
          <w:tab w:val="clear" w:pos="567"/>
        </w:tabs>
        <w:kinsoku w:val="0"/>
        <w:overflowPunct w:val="0"/>
        <w:autoSpaceDE w:val="0"/>
        <w:autoSpaceDN w:val="0"/>
        <w:adjustRightInd w:val="0"/>
        <w:spacing w:line="240" w:lineRule="auto"/>
        <w:rPr>
          <w:szCs w:val="22"/>
        </w:rPr>
      </w:pPr>
    </w:p>
    <w:p w14:paraId="36772607" w14:textId="77777777" w:rsidR="00C04CAD" w:rsidRDefault="00060E34">
      <w:pPr>
        <w:tabs>
          <w:tab w:val="clear" w:pos="567"/>
        </w:tabs>
        <w:kinsoku w:val="0"/>
        <w:overflowPunct w:val="0"/>
        <w:autoSpaceDE w:val="0"/>
        <w:autoSpaceDN w:val="0"/>
        <w:adjustRightInd w:val="0"/>
        <w:spacing w:line="240" w:lineRule="auto"/>
      </w:pPr>
      <w:r>
        <w:rPr>
          <w:szCs w:val="22"/>
        </w:rPr>
        <w:t xml:space="preserve">În Studiul I cu privire la psoriazis, 233 pacienţii care au prezentat un răspuns PASI 75 în </w:t>
      </w:r>
      <w:r>
        <w:rPr>
          <w:rFonts w:eastAsia="MS Mincho"/>
          <w:szCs w:val="22"/>
          <w:lang w:eastAsia="en-US" w:bidi="ar-SA"/>
        </w:rPr>
        <w:t>săptămâna</w:t>
      </w:r>
      <w:r>
        <w:rPr>
          <w:szCs w:val="22"/>
        </w:rPr>
        <w:t xml:space="preserve"> 16 şi în </w:t>
      </w:r>
      <w:r>
        <w:rPr>
          <w:rFonts w:eastAsia="MS Mincho"/>
          <w:szCs w:val="22"/>
          <w:lang w:eastAsia="en-US" w:bidi="ar-SA"/>
        </w:rPr>
        <w:t>săptămâna</w:t>
      </w:r>
      <w:r>
        <w:rPr>
          <w:szCs w:val="22"/>
        </w:rPr>
        <w:t xml:space="preserve"> 33 au urmat tratament neîntrerupt cu </w:t>
      </w:r>
      <w:r>
        <w:rPr>
          <w:rFonts w:eastAsia="MS Mincho"/>
          <w:szCs w:val="22"/>
          <w:lang w:eastAsia="en-US" w:bidi="ar-SA"/>
        </w:rPr>
        <w:t>adalimumab</w:t>
      </w:r>
      <w:r>
        <w:rPr>
          <w:szCs w:val="22"/>
        </w:rPr>
        <w:t xml:space="preserve"> timp de 52 săptămâni şi au continuat tratamentul cu </w:t>
      </w:r>
      <w:r>
        <w:rPr>
          <w:rFonts w:eastAsia="MS Mincho"/>
          <w:szCs w:val="22"/>
          <w:lang w:eastAsia="en-US" w:bidi="ar-SA"/>
        </w:rPr>
        <w:t>adalimumab</w:t>
      </w:r>
      <w:r>
        <w:rPr>
          <w:szCs w:val="22"/>
        </w:rPr>
        <w:t xml:space="preserve"> într-un studiu de tip extins, deschis. După o perioadă suplimentară de tip deschis de 108 săptămâni de tratament (în total 160 săptămâni), PASI 75 şi scorul minim iniţial PGA la aceşti pacienţi a fost 74,7% şi respectiv</w:t>
      </w:r>
      <w:r>
        <w:t xml:space="preserve"> 59,0%. Într-o analiză în care toţi pacienţii care au fost scoşi din studiu din cauza evenimentelor adverse sau a lipsei de eficacitate sau a căror doză a fost crescută au fost consideraţi non-responsivi, PASI 75 şi scorul minim iniţial PGA la aceşti pacienţi au fost 69,6% şi respectiv 55,7%, după o perioadă suplimentară de tip deschis de 108 săptămâni de tratament (în total 160 săptămâni).</w:t>
      </w:r>
    </w:p>
    <w:p w14:paraId="13FABA01" w14:textId="77777777" w:rsidR="00C04CAD" w:rsidRDefault="00C04CAD">
      <w:pPr>
        <w:tabs>
          <w:tab w:val="clear" w:pos="567"/>
        </w:tabs>
        <w:kinsoku w:val="0"/>
        <w:overflowPunct w:val="0"/>
        <w:autoSpaceDE w:val="0"/>
        <w:autoSpaceDN w:val="0"/>
        <w:adjustRightInd w:val="0"/>
        <w:spacing w:line="240" w:lineRule="auto"/>
      </w:pPr>
    </w:p>
    <w:p w14:paraId="14BE7B94" w14:textId="77777777" w:rsidR="00C04CAD" w:rsidRDefault="00060E34">
      <w:pPr>
        <w:tabs>
          <w:tab w:val="clear" w:pos="567"/>
        </w:tabs>
        <w:kinsoku w:val="0"/>
        <w:overflowPunct w:val="0"/>
        <w:autoSpaceDE w:val="0"/>
        <w:autoSpaceDN w:val="0"/>
        <w:adjustRightInd w:val="0"/>
        <w:spacing w:line="240" w:lineRule="auto"/>
      </w:pPr>
      <w:r>
        <w:t>Într-un studiu de tip extins, deschis, 347 pacienţi care au răspuns la tratament în mod constant, au participat la o evaluare a perioadei de întrerupere şi de reluare a tratamentului. În timpul perioadei de întrerupere a tratamentului, simptomele psoriazisului au revenit de-a lungul perioadei cu un interval de timp mediu între recăderi (scădere a scorului iniţial PGA la “moderat” sau chiar mai grav) de aproximativ 5 luni. Niciunul dintre aceşti pacienţi nu a prezentat rebound în timpul perioadei de întrerupere a tratamentului. 76,5% (218/285) dintre pacienţi care au reluat tratamentul au avut după 16 săptămâni de la reînceperea tratamentului un răspuns PGA “uşor” sau “minim”, indiferent dacă simptomatologia a recidivat în timpul întreruperii tratamentului sau nu (69,1% [123/178] dintre pacienţii a căror simptomatologie a recidivat şi respectiv 88,8% [95/107] dintre pacienţii a căror simptomatologie nu a recidivat în timpul perioadei de întrerupere a tratamentului). S-a observat un profil al siguranţei similar în timpul perioadei de reluare a tratamentului cu cel din perioada de întrerupere a tratamentului.</w:t>
      </w:r>
    </w:p>
    <w:p w14:paraId="6A978D9E" w14:textId="77777777" w:rsidR="00C04CAD" w:rsidRDefault="00C04CAD">
      <w:pPr>
        <w:tabs>
          <w:tab w:val="clear" w:pos="567"/>
        </w:tabs>
        <w:kinsoku w:val="0"/>
        <w:overflowPunct w:val="0"/>
        <w:autoSpaceDE w:val="0"/>
        <w:autoSpaceDN w:val="0"/>
        <w:adjustRightInd w:val="0"/>
        <w:spacing w:line="240" w:lineRule="auto"/>
      </w:pPr>
    </w:p>
    <w:p w14:paraId="5320D0B9" w14:textId="77777777" w:rsidR="00C04CAD" w:rsidRDefault="00060E34">
      <w:pPr>
        <w:tabs>
          <w:tab w:val="clear" w:pos="567"/>
        </w:tabs>
        <w:kinsoku w:val="0"/>
        <w:overflowPunct w:val="0"/>
        <w:autoSpaceDE w:val="0"/>
        <w:autoSpaceDN w:val="0"/>
        <w:adjustRightInd w:val="0"/>
        <w:spacing w:line="240" w:lineRule="auto"/>
      </w:pPr>
      <w:r>
        <w:t xml:space="preserve">A fost demonstrată prin DLQI (Indice Dermatologic privind Calitatea Vieţii) o îmbunătăţire semnificativă în </w:t>
      </w:r>
      <w:r>
        <w:rPr>
          <w:rFonts w:eastAsia="MS Mincho"/>
          <w:szCs w:val="22"/>
          <w:lang w:eastAsia="en-US" w:bidi="ar-SA"/>
        </w:rPr>
        <w:t>săptămâna</w:t>
      </w:r>
      <w:r>
        <w:t xml:space="preserve"> 16 faţă de </w:t>
      </w:r>
      <w:r>
        <w:rPr>
          <w:rFonts w:eastAsia="MS Mincho"/>
          <w:szCs w:val="22"/>
          <w:lang w:eastAsia="en-US" w:bidi="ar-SA"/>
        </w:rPr>
        <w:t>momentul iniţial</w:t>
      </w:r>
      <w:r>
        <w:t>, comparativ cu placebo (Studiul I şi II) şi cu MTX (Studiul II). În Studiul I, îmbunătăţirea scorurilor componentelor fizice şi mentale ale SF-36 a fost de asemenea semnificativă în comparaţie cu placebo.</w:t>
      </w:r>
    </w:p>
    <w:p w14:paraId="2CF41962" w14:textId="77777777" w:rsidR="00C04CAD" w:rsidRDefault="00C04CAD">
      <w:pPr>
        <w:tabs>
          <w:tab w:val="clear" w:pos="567"/>
        </w:tabs>
        <w:kinsoku w:val="0"/>
        <w:overflowPunct w:val="0"/>
        <w:autoSpaceDE w:val="0"/>
        <w:autoSpaceDN w:val="0"/>
        <w:adjustRightInd w:val="0"/>
        <w:spacing w:line="240" w:lineRule="auto"/>
      </w:pPr>
    </w:p>
    <w:p w14:paraId="2B7E85B7" w14:textId="77777777" w:rsidR="00C04CAD" w:rsidRDefault="00060E34">
      <w:pPr>
        <w:tabs>
          <w:tab w:val="clear" w:pos="567"/>
        </w:tabs>
        <w:kinsoku w:val="0"/>
        <w:overflowPunct w:val="0"/>
        <w:autoSpaceDE w:val="0"/>
        <w:autoSpaceDN w:val="0"/>
        <w:adjustRightInd w:val="0"/>
        <w:spacing w:line="240" w:lineRule="auto"/>
      </w:pPr>
      <w:r>
        <w:t>În studiul extins, deschis, 26,4% (92/349 ) şi 37,8% (132/349) dintre pacienţii cărora li s-a crescut doza de la 40 mg la două săptămâni, la 40 mg săptămânal din cauza răspunsului PASI sub 50%, au prezentat răspuns PASI 75 în săptămâna 12 şi respectiv 24.</w:t>
      </w:r>
    </w:p>
    <w:p w14:paraId="2FDC9167" w14:textId="77777777" w:rsidR="00C04CAD" w:rsidRDefault="00C04CAD">
      <w:pPr>
        <w:tabs>
          <w:tab w:val="clear" w:pos="567"/>
        </w:tabs>
        <w:kinsoku w:val="0"/>
        <w:overflowPunct w:val="0"/>
        <w:autoSpaceDE w:val="0"/>
        <w:autoSpaceDN w:val="0"/>
        <w:adjustRightInd w:val="0"/>
        <w:spacing w:line="240" w:lineRule="auto"/>
      </w:pPr>
    </w:p>
    <w:p w14:paraId="3BC2E0AE" w14:textId="77777777" w:rsidR="00C04CAD" w:rsidRDefault="00060E34">
      <w:pPr>
        <w:tabs>
          <w:tab w:val="clear" w:pos="567"/>
        </w:tabs>
        <w:kinsoku w:val="0"/>
        <w:overflowPunct w:val="0"/>
        <w:autoSpaceDE w:val="0"/>
        <w:autoSpaceDN w:val="0"/>
        <w:adjustRightInd w:val="0"/>
        <w:spacing w:line="240" w:lineRule="auto"/>
      </w:pPr>
      <w:r>
        <w:t xml:space="preserve">În Studiul III cu privire la psoriazis (REACH) a fost comparată eficacitatea și siguranța </w:t>
      </w:r>
      <w:r>
        <w:rPr>
          <w:rFonts w:eastAsia="MS Mincho"/>
          <w:szCs w:val="22"/>
          <w:lang w:eastAsia="en-US" w:bidi="ar-SA"/>
        </w:rPr>
        <w:t>adalimumab</w:t>
      </w:r>
      <w:r>
        <w:t xml:space="preserve"> față de placebo la 72</w:t>
      </w:r>
      <w:r>
        <w:rPr>
          <w:color w:val="000000"/>
          <w:szCs w:val="22"/>
          <w:lang w:eastAsia="en-GB"/>
        </w:rPr>
        <w:t> </w:t>
      </w:r>
      <w:r>
        <w:t xml:space="preserve">de pacienți cu placarde cronice moderate până la severe de psoriazis și psoriazis palmar și/sau plantar. Pacienților li s-a administrat o doză inițială de 80 mg </w:t>
      </w:r>
      <w:r>
        <w:rPr>
          <w:rFonts w:eastAsia="MS Mincho"/>
          <w:szCs w:val="22"/>
          <w:lang w:eastAsia="en-US" w:bidi="ar-SA"/>
        </w:rPr>
        <w:t>adalimumab</w:t>
      </w:r>
      <w:r>
        <w:t xml:space="preserve">, urmată de 40 mg la fiecare două săptămâni (începând la o săptămână de la doza iniţială) sau placebo pentru 16 săptămâni. În săptămâna 16, o proporție statistic semnificativ mai mare de pacienți care au utilizat </w:t>
      </w:r>
      <w:r>
        <w:rPr>
          <w:rFonts w:eastAsia="MS Mincho"/>
          <w:szCs w:val="22"/>
          <w:lang w:eastAsia="en-US" w:bidi="ar-SA"/>
        </w:rPr>
        <w:t>adalimumab</w:t>
      </w:r>
      <w:r>
        <w:t xml:space="preserve"> au obținut un răspuns PGA “fără leziuni” sau “cu leziuni minime” pentru mâini și/sau picioare comparativ cu pacienții care au utilizat placebo (30,6%, comparativ cu 4,3% [P = 0</w:t>
      </w:r>
      <w:r>
        <w:rPr>
          <w:rFonts w:eastAsia="MS Mincho"/>
          <w:szCs w:val="22"/>
          <w:lang w:eastAsia="en-US" w:bidi="ar-SA"/>
        </w:rPr>
        <w:t>,</w:t>
      </w:r>
      <w:r>
        <w:t>014]).</w:t>
      </w:r>
    </w:p>
    <w:p w14:paraId="3E3238E5" w14:textId="77777777" w:rsidR="00C04CAD" w:rsidRDefault="00C04CAD">
      <w:pPr>
        <w:tabs>
          <w:tab w:val="clear" w:pos="567"/>
        </w:tabs>
        <w:kinsoku w:val="0"/>
        <w:overflowPunct w:val="0"/>
        <w:autoSpaceDE w:val="0"/>
        <w:autoSpaceDN w:val="0"/>
        <w:adjustRightInd w:val="0"/>
        <w:spacing w:line="240" w:lineRule="auto"/>
        <w:rPr>
          <w:szCs w:val="22"/>
        </w:rPr>
      </w:pPr>
    </w:p>
    <w:p w14:paraId="27BD802F" w14:textId="77777777" w:rsidR="00C04CAD" w:rsidRDefault="00060E34">
      <w:pPr>
        <w:tabs>
          <w:tab w:val="clear" w:pos="567"/>
        </w:tabs>
        <w:kinsoku w:val="0"/>
        <w:overflowPunct w:val="0"/>
        <w:autoSpaceDE w:val="0"/>
        <w:autoSpaceDN w:val="0"/>
        <w:adjustRightInd w:val="0"/>
        <w:spacing w:line="240" w:lineRule="auto"/>
      </w:pPr>
      <w:r>
        <w:t>În studiul IV cu privire la psoriazis a fost comparată eficacitatea și siguranța adalimumab față de placebo la 217 de pacienți adulți cu psoriazis al unghiilor, moderat până la sever. Pacienții au primit o doză inițială de adalimumab de 80 mg urmată de 40 mg la fiecare două săptămâni (începând cu o săptămână după administrarea dozei inițiale) sau placebo timp de 26 săptămâni urmată de tratamentul de tip deschis cu adalimumab pentru încă 26 de săptămâni. Analiza psoriazisului la nivelul unghiilor a inclus Indicele de severitate modificat a psoriazisului unghiilor (</w:t>
      </w:r>
      <w:r>
        <w:rPr>
          <w:szCs w:val="22"/>
        </w:rPr>
        <w:t>Modified Nail Psoriasis Severity Index</w:t>
      </w:r>
      <w:r>
        <w:t xml:space="preserve"> = mNAPSI), Evaluarea globală a medicului pentru psoriazisul unghiilor (</w:t>
      </w:r>
      <w:r>
        <w:rPr>
          <w:szCs w:val="22"/>
        </w:rPr>
        <w:t>Physician’s Global Assessment of Fingernail Psoriasis</w:t>
      </w:r>
      <w:r>
        <w:t xml:space="preserve"> = PGA-F) și Indicele severității psoriazisului unghiilor (</w:t>
      </w:r>
      <w:r>
        <w:rPr>
          <w:szCs w:val="22"/>
        </w:rPr>
        <w:t>Nail Psoriasis Severity Index</w:t>
      </w:r>
      <w:r>
        <w:t xml:space="preserve"> = NAPSI) (a se vedea tabelul 18). Adalimumab a demonstrat un beneficiu terapeutic în cazul pacienților cu psoriazis al unghiilor cu afectare diferită a pielii implicate (SC ≥ 10% (60% dintre pacienți) și SC &lt; 10% și ≥ 5% (40% dintre pacienți)).</w:t>
      </w:r>
    </w:p>
    <w:p w14:paraId="2BEB607E" w14:textId="77777777" w:rsidR="00C04CAD" w:rsidRDefault="00C04CAD">
      <w:pPr>
        <w:tabs>
          <w:tab w:val="clear" w:pos="567"/>
        </w:tabs>
        <w:kinsoku w:val="0"/>
        <w:overflowPunct w:val="0"/>
        <w:autoSpaceDE w:val="0"/>
        <w:autoSpaceDN w:val="0"/>
        <w:adjustRightInd w:val="0"/>
        <w:spacing w:line="240" w:lineRule="auto"/>
      </w:pPr>
    </w:p>
    <w:p w14:paraId="7FE19E4E" w14:textId="77777777" w:rsidR="00C04CAD" w:rsidRDefault="00060E34">
      <w:pPr>
        <w:tabs>
          <w:tab w:val="clear" w:pos="567"/>
        </w:tabs>
        <w:kinsoku w:val="0"/>
        <w:overflowPunct w:val="0"/>
        <w:autoSpaceDE w:val="0"/>
        <w:autoSpaceDN w:val="0"/>
        <w:adjustRightInd w:val="0"/>
        <w:spacing w:line="240" w:lineRule="auto"/>
        <w:rPr>
          <w:b/>
        </w:rPr>
      </w:pPr>
      <w:r>
        <w:rPr>
          <w:b/>
        </w:rPr>
        <w:t>Tabelul 18. Rezultatele eficacității studiului Ps IV la 16, 26 și 52 de săptămâni</w:t>
      </w:r>
    </w:p>
    <w:p w14:paraId="0D83230E" w14:textId="77777777" w:rsidR="00C04CAD" w:rsidRDefault="00C04CAD">
      <w:pPr>
        <w:tabs>
          <w:tab w:val="clear" w:pos="567"/>
        </w:tabs>
        <w:kinsoku w:val="0"/>
        <w:overflowPunct w:val="0"/>
        <w:autoSpaceDE w:val="0"/>
        <w:autoSpaceDN w:val="0"/>
        <w:adjustRightInd w:val="0"/>
        <w:spacing w:line="240" w:lineRule="auto"/>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1073"/>
        <w:gridCol w:w="1501"/>
        <w:gridCol w:w="991"/>
        <w:gridCol w:w="1419"/>
        <w:gridCol w:w="1696"/>
      </w:tblGrid>
      <w:tr w:rsidR="00C04CAD" w14:paraId="2000291D" w14:textId="77777777">
        <w:tc>
          <w:tcPr>
            <w:tcW w:w="1271" w:type="pct"/>
            <w:vMerge w:val="restart"/>
          </w:tcPr>
          <w:p w14:paraId="7AE4885B"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Criteriu final de evaluare</w:t>
            </w:r>
          </w:p>
        </w:tc>
        <w:tc>
          <w:tcPr>
            <w:tcW w:w="1437" w:type="pct"/>
            <w:gridSpan w:val="2"/>
          </w:tcPr>
          <w:p w14:paraId="2C4FF4B6" w14:textId="77777777" w:rsidR="00C04CAD" w:rsidRDefault="00060E34">
            <w:pPr>
              <w:pStyle w:val="gtctablespaceafter"/>
              <w:spacing w:after="0"/>
              <w:jc w:val="center"/>
              <w:rPr>
                <w:b/>
                <w:sz w:val="22"/>
                <w:szCs w:val="22"/>
                <w:lang w:val="ro-RO"/>
              </w:rPr>
            </w:pPr>
            <w:r>
              <w:rPr>
                <w:b/>
                <w:sz w:val="22"/>
                <w:szCs w:val="22"/>
                <w:lang w:val="ro-RO"/>
              </w:rPr>
              <w:t>Săptămâna 16</w:t>
            </w:r>
          </w:p>
          <w:p w14:paraId="126BA217" w14:textId="77777777" w:rsidR="00C04CAD" w:rsidRDefault="00060E34">
            <w:pPr>
              <w:pStyle w:val="In-texttable"/>
              <w:keepNext w:val="0"/>
              <w:suppressAutoHyphens w:val="0"/>
              <w:overflowPunct/>
              <w:autoSpaceDE/>
              <w:autoSpaceDN/>
              <w:adjustRightInd/>
              <w:spacing w:line="240" w:lineRule="auto"/>
              <w:jc w:val="center"/>
              <w:textAlignment w:val="auto"/>
              <w:rPr>
                <w:b/>
                <w:sz w:val="22"/>
                <w:szCs w:val="22"/>
                <w:lang w:val="ro-RO"/>
              </w:rPr>
            </w:pPr>
            <w:r>
              <w:rPr>
                <w:rFonts w:ascii="Times New Roman" w:hAnsi="Times New Roman"/>
                <w:b/>
                <w:sz w:val="22"/>
                <w:szCs w:val="22"/>
                <w:lang w:val="ro-RO"/>
              </w:rPr>
              <w:t>Placebo-controlat</w:t>
            </w:r>
          </w:p>
        </w:tc>
        <w:tc>
          <w:tcPr>
            <w:tcW w:w="1345" w:type="pct"/>
            <w:gridSpan w:val="2"/>
          </w:tcPr>
          <w:p w14:paraId="46361A22" w14:textId="77777777" w:rsidR="00C04CAD" w:rsidRDefault="00060E34">
            <w:pPr>
              <w:pStyle w:val="gtctablespaceafter"/>
              <w:spacing w:after="0"/>
              <w:jc w:val="center"/>
              <w:rPr>
                <w:b/>
                <w:sz w:val="22"/>
                <w:szCs w:val="22"/>
                <w:lang w:val="ro-RO"/>
              </w:rPr>
            </w:pPr>
            <w:r>
              <w:rPr>
                <w:b/>
                <w:sz w:val="22"/>
                <w:szCs w:val="22"/>
                <w:lang w:val="ro-RO"/>
              </w:rPr>
              <w:t>Săptămâna 26</w:t>
            </w:r>
          </w:p>
          <w:p w14:paraId="249552A9" w14:textId="77777777" w:rsidR="00C04CAD" w:rsidRDefault="00060E34">
            <w:pPr>
              <w:pStyle w:val="In-texttable"/>
              <w:keepNext w:val="0"/>
              <w:suppressAutoHyphens w:val="0"/>
              <w:overflowPunct/>
              <w:autoSpaceDE/>
              <w:autoSpaceDN/>
              <w:adjustRightInd/>
              <w:spacing w:line="240" w:lineRule="auto"/>
              <w:jc w:val="center"/>
              <w:textAlignment w:val="auto"/>
              <w:rPr>
                <w:b/>
                <w:sz w:val="22"/>
                <w:szCs w:val="22"/>
                <w:lang w:val="ro-RO"/>
              </w:rPr>
            </w:pPr>
            <w:r>
              <w:rPr>
                <w:rFonts w:ascii="Times New Roman" w:hAnsi="Times New Roman"/>
                <w:b/>
                <w:sz w:val="22"/>
                <w:szCs w:val="22"/>
                <w:lang w:val="ro-RO"/>
              </w:rPr>
              <w:t>Placebo-controlat</w:t>
            </w:r>
          </w:p>
        </w:tc>
        <w:tc>
          <w:tcPr>
            <w:tcW w:w="946" w:type="pct"/>
          </w:tcPr>
          <w:p w14:paraId="0F90DBBD" w14:textId="77777777" w:rsidR="00C04CAD" w:rsidRDefault="00060E34">
            <w:pPr>
              <w:pStyle w:val="gtctablespaceafter"/>
              <w:spacing w:after="0"/>
              <w:jc w:val="center"/>
              <w:rPr>
                <w:b/>
                <w:sz w:val="22"/>
                <w:szCs w:val="22"/>
                <w:lang w:val="ro-RO"/>
              </w:rPr>
            </w:pPr>
            <w:r>
              <w:rPr>
                <w:b/>
                <w:sz w:val="22"/>
                <w:szCs w:val="22"/>
                <w:lang w:val="ro-RO"/>
              </w:rPr>
              <w:t>Săptămâna 52</w:t>
            </w:r>
          </w:p>
          <w:p w14:paraId="434A99EE" w14:textId="77777777" w:rsidR="00C04CAD" w:rsidRDefault="00060E34">
            <w:pPr>
              <w:pStyle w:val="gtctablespaceafter"/>
              <w:spacing w:after="0"/>
              <w:jc w:val="center"/>
              <w:rPr>
                <w:b/>
                <w:sz w:val="22"/>
                <w:szCs w:val="22"/>
                <w:lang w:val="ro-RO"/>
              </w:rPr>
            </w:pPr>
            <w:r>
              <w:rPr>
                <w:b/>
                <w:sz w:val="22"/>
                <w:szCs w:val="22"/>
                <w:lang w:val="ro-RO"/>
              </w:rPr>
              <w:t>Tratament de tip deschis</w:t>
            </w:r>
          </w:p>
        </w:tc>
      </w:tr>
      <w:tr w:rsidR="00C04CAD" w14:paraId="22EC286C" w14:textId="77777777">
        <w:tc>
          <w:tcPr>
            <w:tcW w:w="1271" w:type="pct"/>
            <w:vMerge/>
          </w:tcPr>
          <w:p w14:paraId="4135F55B" w14:textId="77777777" w:rsidR="00C04CAD" w:rsidRDefault="00C04CAD">
            <w:pPr>
              <w:pStyle w:val="gtctablespaceafter"/>
              <w:spacing w:after="0"/>
              <w:rPr>
                <w:sz w:val="22"/>
                <w:szCs w:val="22"/>
                <w:lang w:val="ro-RO"/>
              </w:rPr>
            </w:pPr>
          </w:p>
        </w:tc>
        <w:tc>
          <w:tcPr>
            <w:tcW w:w="599" w:type="pct"/>
          </w:tcPr>
          <w:p w14:paraId="4E128A43" w14:textId="77777777" w:rsidR="00C04CAD" w:rsidRDefault="00060E34">
            <w:pPr>
              <w:pStyle w:val="gtctablespaceafter"/>
              <w:spacing w:after="0"/>
              <w:jc w:val="center"/>
              <w:rPr>
                <w:b/>
                <w:bCs/>
                <w:sz w:val="22"/>
                <w:lang w:val="ro-RO"/>
              </w:rPr>
            </w:pPr>
            <w:r>
              <w:rPr>
                <w:b/>
                <w:bCs/>
                <w:sz w:val="22"/>
                <w:lang w:val="ro-RO"/>
              </w:rPr>
              <w:t>Placebo</w:t>
            </w:r>
          </w:p>
          <w:p w14:paraId="384EFCE3" w14:textId="77777777" w:rsidR="00C04CAD" w:rsidRDefault="00060E34">
            <w:pPr>
              <w:pStyle w:val="gtctablespaceafter"/>
              <w:spacing w:after="0"/>
              <w:jc w:val="center"/>
              <w:rPr>
                <w:sz w:val="22"/>
                <w:szCs w:val="22"/>
                <w:lang w:val="ro-RO"/>
              </w:rPr>
            </w:pPr>
            <w:r>
              <w:rPr>
                <w:b/>
                <w:bCs/>
                <w:sz w:val="22"/>
                <w:lang w:val="ro-RO"/>
              </w:rPr>
              <w:t>N = 108</w:t>
            </w:r>
          </w:p>
        </w:tc>
        <w:tc>
          <w:tcPr>
            <w:tcW w:w="838" w:type="pct"/>
          </w:tcPr>
          <w:p w14:paraId="4948746B" w14:textId="77777777" w:rsidR="00C04CAD" w:rsidRDefault="00060E34">
            <w:pPr>
              <w:pStyle w:val="In-texttable"/>
              <w:keepNext w:val="0"/>
              <w:suppressAutoHyphens w:val="0"/>
              <w:overflowPunct/>
              <w:autoSpaceDE/>
              <w:autoSpaceDN/>
              <w:adjustRightInd/>
              <w:spacing w:line="240" w:lineRule="auto"/>
              <w:jc w:val="center"/>
              <w:textAlignment w:val="auto"/>
              <w:rPr>
                <w:rFonts w:ascii="Times New Roman" w:hAnsi="Times New Roman"/>
                <w:b/>
                <w:bCs/>
                <w:sz w:val="22"/>
                <w:lang w:val="ro-RO"/>
              </w:rPr>
            </w:pPr>
            <w:r>
              <w:rPr>
                <w:rFonts w:ascii="Times New Roman" w:hAnsi="Times New Roman"/>
                <w:b/>
                <w:bCs/>
                <w:sz w:val="22"/>
                <w:szCs w:val="22"/>
                <w:lang w:val="ro-RO"/>
              </w:rPr>
              <w:t xml:space="preserve">Adalimumab </w:t>
            </w:r>
            <w:r>
              <w:rPr>
                <w:rFonts w:ascii="Times New Roman" w:hAnsi="Times New Roman"/>
                <w:b/>
                <w:bCs/>
                <w:sz w:val="22"/>
                <w:lang w:val="ro-RO"/>
              </w:rPr>
              <w:t>40 mg la fiecare 2 săptămâni</w:t>
            </w:r>
          </w:p>
          <w:p w14:paraId="7BA7128C" w14:textId="77777777" w:rsidR="00C04CAD" w:rsidRDefault="00060E34">
            <w:pPr>
              <w:pStyle w:val="In-texttable"/>
              <w:keepNext w:val="0"/>
              <w:suppressAutoHyphens w:val="0"/>
              <w:overflowPunct/>
              <w:autoSpaceDE/>
              <w:autoSpaceDN/>
              <w:adjustRightInd/>
              <w:spacing w:line="240" w:lineRule="auto"/>
              <w:jc w:val="center"/>
              <w:textAlignment w:val="auto"/>
              <w:rPr>
                <w:sz w:val="22"/>
                <w:szCs w:val="22"/>
                <w:lang w:val="ro-RO"/>
              </w:rPr>
            </w:pPr>
            <w:r>
              <w:rPr>
                <w:rFonts w:ascii="Times New Roman" w:hAnsi="Times New Roman"/>
                <w:b/>
                <w:bCs/>
                <w:sz w:val="22"/>
                <w:lang w:val="ro-RO"/>
              </w:rPr>
              <w:t>N = 109</w:t>
            </w:r>
          </w:p>
        </w:tc>
        <w:tc>
          <w:tcPr>
            <w:tcW w:w="553" w:type="pct"/>
          </w:tcPr>
          <w:p w14:paraId="537F715B" w14:textId="77777777" w:rsidR="00C04CAD" w:rsidRDefault="00060E34">
            <w:pPr>
              <w:pStyle w:val="gtctablespaceafter"/>
              <w:spacing w:after="0"/>
              <w:jc w:val="center"/>
              <w:rPr>
                <w:b/>
                <w:bCs/>
                <w:sz w:val="22"/>
                <w:lang w:val="ro-RO"/>
              </w:rPr>
            </w:pPr>
            <w:r>
              <w:rPr>
                <w:b/>
                <w:bCs/>
                <w:sz w:val="22"/>
                <w:lang w:val="ro-RO"/>
              </w:rPr>
              <w:t>Placebo</w:t>
            </w:r>
          </w:p>
          <w:p w14:paraId="5B2C8A7F" w14:textId="77777777" w:rsidR="00C04CAD" w:rsidRDefault="00060E34">
            <w:pPr>
              <w:pStyle w:val="gtctablespaceafter"/>
              <w:spacing w:after="0"/>
              <w:jc w:val="center"/>
              <w:rPr>
                <w:sz w:val="22"/>
                <w:szCs w:val="22"/>
                <w:lang w:val="ro-RO"/>
              </w:rPr>
            </w:pPr>
            <w:r>
              <w:rPr>
                <w:b/>
                <w:bCs/>
                <w:sz w:val="22"/>
                <w:lang w:val="ro-RO"/>
              </w:rPr>
              <w:t>N = 108</w:t>
            </w:r>
          </w:p>
        </w:tc>
        <w:tc>
          <w:tcPr>
            <w:tcW w:w="792" w:type="pct"/>
          </w:tcPr>
          <w:p w14:paraId="56CA0D31" w14:textId="77777777" w:rsidR="00C04CAD" w:rsidRDefault="00060E34">
            <w:pPr>
              <w:pStyle w:val="In-texttable"/>
              <w:keepNext w:val="0"/>
              <w:spacing w:line="240" w:lineRule="auto"/>
              <w:jc w:val="center"/>
              <w:rPr>
                <w:rFonts w:ascii="Times New Roman" w:hAnsi="Times New Roman"/>
                <w:b/>
                <w:bCs/>
                <w:sz w:val="22"/>
                <w:lang w:val="ro-RO"/>
              </w:rPr>
            </w:pPr>
            <w:r>
              <w:rPr>
                <w:rFonts w:ascii="Times New Roman" w:hAnsi="Times New Roman"/>
                <w:b/>
                <w:bCs/>
                <w:sz w:val="22"/>
                <w:lang w:val="ro-RO"/>
              </w:rPr>
              <w:t>Adalimumab</w:t>
            </w:r>
          </w:p>
          <w:p w14:paraId="2068EF96" w14:textId="77777777" w:rsidR="00C04CAD" w:rsidRDefault="00060E34">
            <w:pPr>
              <w:pStyle w:val="gtctablespaceafter"/>
              <w:spacing w:after="0"/>
              <w:jc w:val="center"/>
              <w:rPr>
                <w:b/>
                <w:bCs/>
                <w:sz w:val="22"/>
                <w:lang w:val="ro-RO"/>
              </w:rPr>
            </w:pPr>
            <w:r>
              <w:rPr>
                <w:b/>
                <w:bCs/>
                <w:sz w:val="22"/>
                <w:lang w:val="ro-RO"/>
              </w:rPr>
              <w:t xml:space="preserve">40 mg la fiecare 2 săptămâni </w:t>
            </w:r>
          </w:p>
          <w:p w14:paraId="74BC1EB6" w14:textId="77777777" w:rsidR="00C04CAD" w:rsidRDefault="00060E34">
            <w:pPr>
              <w:pStyle w:val="gtctablespaceafter"/>
              <w:spacing w:after="0"/>
              <w:jc w:val="center"/>
              <w:rPr>
                <w:b/>
                <w:bCs/>
                <w:sz w:val="22"/>
                <w:szCs w:val="22"/>
                <w:lang w:val="ro-RO"/>
              </w:rPr>
            </w:pPr>
            <w:r>
              <w:rPr>
                <w:b/>
                <w:bCs/>
                <w:sz w:val="22"/>
                <w:lang w:val="ro-RO"/>
              </w:rPr>
              <w:t>N = 109</w:t>
            </w:r>
          </w:p>
        </w:tc>
        <w:tc>
          <w:tcPr>
            <w:tcW w:w="946" w:type="pct"/>
          </w:tcPr>
          <w:p w14:paraId="6FF3286C" w14:textId="77777777" w:rsidR="00C04CAD" w:rsidRDefault="00060E34">
            <w:pPr>
              <w:pStyle w:val="In-texttable"/>
              <w:keepNext w:val="0"/>
              <w:spacing w:line="240" w:lineRule="auto"/>
              <w:jc w:val="center"/>
              <w:rPr>
                <w:rFonts w:ascii="Times New Roman" w:hAnsi="Times New Roman"/>
                <w:b/>
                <w:bCs/>
                <w:sz w:val="22"/>
                <w:lang w:val="ro-RO"/>
              </w:rPr>
            </w:pPr>
            <w:r>
              <w:rPr>
                <w:rFonts w:ascii="Times New Roman" w:hAnsi="Times New Roman"/>
                <w:b/>
                <w:bCs/>
                <w:sz w:val="22"/>
                <w:lang w:val="ro-RO"/>
              </w:rPr>
              <w:t>Adalimumab</w:t>
            </w:r>
          </w:p>
          <w:p w14:paraId="5E629E42" w14:textId="77777777" w:rsidR="00C04CAD" w:rsidRDefault="00060E34">
            <w:pPr>
              <w:pStyle w:val="gtctablespaceafter"/>
              <w:spacing w:after="0"/>
              <w:jc w:val="center"/>
              <w:rPr>
                <w:b/>
                <w:bCs/>
                <w:sz w:val="22"/>
                <w:lang w:val="ro-RO"/>
              </w:rPr>
            </w:pPr>
            <w:r>
              <w:rPr>
                <w:b/>
                <w:bCs/>
                <w:sz w:val="22"/>
                <w:lang w:val="ro-RO"/>
              </w:rPr>
              <w:t xml:space="preserve">40 mg la fiecare 2 săptămâni </w:t>
            </w:r>
          </w:p>
          <w:p w14:paraId="085E40E4" w14:textId="77777777" w:rsidR="00C04CAD" w:rsidRDefault="00060E34">
            <w:pPr>
              <w:pStyle w:val="gtctablespaceafter"/>
              <w:spacing w:after="0"/>
              <w:jc w:val="center"/>
              <w:rPr>
                <w:sz w:val="22"/>
                <w:szCs w:val="22"/>
                <w:lang w:val="ro-RO"/>
              </w:rPr>
            </w:pPr>
            <w:r>
              <w:rPr>
                <w:b/>
                <w:bCs/>
                <w:sz w:val="22"/>
                <w:lang w:val="ro-RO"/>
              </w:rPr>
              <w:t>N = 80</w:t>
            </w:r>
          </w:p>
        </w:tc>
      </w:tr>
      <w:tr w:rsidR="00C04CAD" w14:paraId="4EECEC6C" w14:textId="77777777">
        <w:tc>
          <w:tcPr>
            <w:tcW w:w="1271" w:type="pct"/>
          </w:tcPr>
          <w:p w14:paraId="58D7768C" w14:textId="77777777" w:rsidR="00C04CAD" w:rsidRDefault="00060E34">
            <w:pPr>
              <w:pStyle w:val="gtctablespaceafter"/>
              <w:spacing w:after="0"/>
              <w:rPr>
                <w:sz w:val="22"/>
                <w:szCs w:val="22"/>
                <w:lang w:val="ro-RO"/>
              </w:rPr>
            </w:pPr>
            <w:r>
              <w:rPr>
                <w:sz w:val="22"/>
                <w:lang w:val="ro-RO"/>
              </w:rPr>
              <w:t>≥ mNAPSI 75 (%)</w:t>
            </w:r>
          </w:p>
        </w:tc>
        <w:tc>
          <w:tcPr>
            <w:tcW w:w="599" w:type="pct"/>
          </w:tcPr>
          <w:p w14:paraId="5CEBC55B" w14:textId="77777777" w:rsidR="00C04CAD" w:rsidRDefault="00060E34">
            <w:pPr>
              <w:pStyle w:val="gtctablespaceafter"/>
              <w:spacing w:after="0"/>
              <w:jc w:val="center"/>
              <w:rPr>
                <w:sz w:val="22"/>
                <w:szCs w:val="22"/>
                <w:lang w:val="ro-RO"/>
              </w:rPr>
            </w:pPr>
            <w:r>
              <w:rPr>
                <w:sz w:val="22"/>
                <w:szCs w:val="22"/>
                <w:lang w:val="ro-RO"/>
              </w:rPr>
              <w:t>2,9</w:t>
            </w:r>
          </w:p>
        </w:tc>
        <w:tc>
          <w:tcPr>
            <w:tcW w:w="838" w:type="pct"/>
          </w:tcPr>
          <w:p w14:paraId="5BFF0E7F" w14:textId="77777777" w:rsidR="00C04CAD" w:rsidRDefault="00060E34">
            <w:pPr>
              <w:pStyle w:val="gtctablespaceafter"/>
              <w:spacing w:after="0"/>
              <w:jc w:val="center"/>
              <w:rPr>
                <w:sz w:val="22"/>
                <w:szCs w:val="22"/>
                <w:lang w:val="ro-RO"/>
              </w:rPr>
            </w:pPr>
            <w:r>
              <w:rPr>
                <w:sz w:val="22"/>
                <w:szCs w:val="22"/>
                <w:lang w:val="ro-RO"/>
              </w:rPr>
              <w:t>26,0</w:t>
            </w:r>
            <w:r>
              <w:rPr>
                <w:sz w:val="22"/>
                <w:szCs w:val="22"/>
                <w:vertAlign w:val="superscript"/>
                <w:lang w:val="ro-RO"/>
              </w:rPr>
              <w:t>a</w:t>
            </w:r>
          </w:p>
        </w:tc>
        <w:tc>
          <w:tcPr>
            <w:tcW w:w="553" w:type="pct"/>
          </w:tcPr>
          <w:p w14:paraId="62DC0131" w14:textId="77777777" w:rsidR="00C04CAD" w:rsidRDefault="00060E34">
            <w:pPr>
              <w:keepNext/>
              <w:spacing w:line="240" w:lineRule="auto"/>
              <w:jc w:val="center"/>
              <w:rPr>
                <w:szCs w:val="22"/>
              </w:rPr>
            </w:pPr>
            <w:r>
              <w:rPr>
                <w:szCs w:val="22"/>
              </w:rPr>
              <w:t>3,4</w:t>
            </w:r>
          </w:p>
        </w:tc>
        <w:tc>
          <w:tcPr>
            <w:tcW w:w="792" w:type="pct"/>
          </w:tcPr>
          <w:p w14:paraId="2D269396" w14:textId="77777777" w:rsidR="00C04CAD" w:rsidRDefault="00060E34">
            <w:pPr>
              <w:keepNext/>
              <w:spacing w:line="240" w:lineRule="auto"/>
              <w:jc w:val="center"/>
              <w:rPr>
                <w:szCs w:val="22"/>
              </w:rPr>
            </w:pPr>
            <w:r>
              <w:rPr>
                <w:szCs w:val="22"/>
              </w:rPr>
              <w:t>46,6</w:t>
            </w:r>
            <w:r>
              <w:rPr>
                <w:szCs w:val="22"/>
                <w:vertAlign w:val="superscript"/>
              </w:rPr>
              <w:t>a</w:t>
            </w:r>
          </w:p>
        </w:tc>
        <w:tc>
          <w:tcPr>
            <w:tcW w:w="946" w:type="pct"/>
          </w:tcPr>
          <w:p w14:paraId="3BF8B2B7" w14:textId="77777777" w:rsidR="00C04CAD" w:rsidRDefault="00060E34">
            <w:pPr>
              <w:pStyle w:val="gtctablespaceafter"/>
              <w:spacing w:after="0"/>
              <w:jc w:val="center"/>
              <w:rPr>
                <w:sz w:val="22"/>
                <w:szCs w:val="22"/>
                <w:lang w:val="ro-RO"/>
              </w:rPr>
            </w:pPr>
            <w:r>
              <w:rPr>
                <w:sz w:val="22"/>
                <w:szCs w:val="22"/>
                <w:lang w:val="ro-RO"/>
              </w:rPr>
              <w:t>65,0</w:t>
            </w:r>
          </w:p>
        </w:tc>
      </w:tr>
      <w:tr w:rsidR="00C04CAD" w14:paraId="03FDC960" w14:textId="77777777">
        <w:tc>
          <w:tcPr>
            <w:tcW w:w="1271" w:type="pct"/>
          </w:tcPr>
          <w:p w14:paraId="7236D22F"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PGA-F fără leziune/leziune minimă și ≥ 2-grade îmbunătățire (%)</w:t>
            </w:r>
          </w:p>
        </w:tc>
        <w:tc>
          <w:tcPr>
            <w:tcW w:w="599" w:type="pct"/>
          </w:tcPr>
          <w:p w14:paraId="3C2A44F1" w14:textId="77777777" w:rsidR="00C04CAD" w:rsidRDefault="00060E34">
            <w:pPr>
              <w:pStyle w:val="gtctablespaceafter"/>
              <w:spacing w:after="0"/>
              <w:jc w:val="center"/>
              <w:rPr>
                <w:sz w:val="22"/>
                <w:szCs w:val="22"/>
                <w:lang w:val="ro-RO"/>
              </w:rPr>
            </w:pPr>
            <w:r>
              <w:rPr>
                <w:sz w:val="22"/>
                <w:szCs w:val="22"/>
                <w:lang w:val="ro-RO"/>
              </w:rPr>
              <w:t>2,9</w:t>
            </w:r>
          </w:p>
        </w:tc>
        <w:tc>
          <w:tcPr>
            <w:tcW w:w="838" w:type="pct"/>
          </w:tcPr>
          <w:p w14:paraId="3CA3B2BC" w14:textId="77777777" w:rsidR="00C04CAD" w:rsidRDefault="00060E34">
            <w:pPr>
              <w:pStyle w:val="gtctablespaceafter"/>
              <w:spacing w:after="0"/>
              <w:jc w:val="center"/>
              <w:rPr>
                <w:sz w:val="22"/>
                <w:szCs w:val="22"/>
                <w:lang w:val="ro-RO"/>
              </w:rPr>
            </w:pPr>
            <w:r>
              <w:rPr>
                <w:sz w:val="22"/>
                <w:szCs w:val="22"/>
                <w:lang w:val="ro-RO"/>
              </w:rPr>
              <w:t>29,7</w:t>
            </w:r>
            <w:r>
              <w:rPr>
                <w:sz w:val="22"/>
                <w:szCs w:val="22"/>
                <w:vertAlign w:val="superscript"/>
                <w:lang w:val="ro-RO"/>
              </w:rPr>
              <w:t>a</w:t>
            </w:r>
          </w:p>
        </w:tc>
        <w:tc>
          <w:tcPr>
            <w:tcW w:w="553" w:type="pct"/>
          </w:tcPr>
          <w:p w14:paraId="6F0CA053" w14:textId="77777777" w:rsidR="00C04CAD" w:rsidRDefault="00060E34">
            <w:pPr>
              <w:keepNext/>
              <w:spacing w:line="240" w:lineRule="auto"/>
              <w:jc w:val="center"/>
              <w:rPr>
                <w:szCs w:val="22"/>
              </w:rPr>
            </w:pPr>
            <w:r>
              <w:rPr>
                <w:szCs w:val="22"/>
              </w:rPr>
              <w:t>6,9</w:t>
            </w:r>
          </w:p>
        </w:tc>
        <w:tc>
          <w:tcPr>
            <w:tcW w:w="792" w:type="pct"/>
          </w:tcPr>
          <w:p w14:paraId="526F7BAC" w14:textId="77777777" w:rsidR="00C04CAD" w:rsidRDefault="00060E34">
            <w:pPr>
              <w:keepNext/>
              <w:spacing w:line="240" w:lineRule="auto"/>
              <w:jc w:val="center"/>
              <w:rPr>
                <w:szCs w:val="22"/>
              </w:rPr>
            </w:pPr>
            <w:r>
              <w:rPr>
                <w:szCs w:val="22"/>
              </w:rPr>
              <w:t>48,9</w:t>
            </w:r>
            <w:r>
              <w:rPr>
                <w:szCs w:val="22"/>
                <w:vertAlign w:val="superscript"/>
              </w:rPr>
              <w:t>a</w:t>
            </w:r>
          </w:p>
        </w:tc>
        <w:tc>
          <w:tcPr>
            <w:tcW w:w="946" w:type="pct"/>
          </w:tcPr>
          <w:p w14:paraId="19E86880" w14:textId="77777777" w:rsidR="00C04CAD" w:rsidRDefault="00060E34">
            <w:pPr>
              <w:pStyle w:val="gtctablespaceafter"/>
              <w:spacing w:after="0"/>
              <w:jc w:val="center"/>
              <w:rPr>
                <w:sz w:val="22"/>
                <w:szCs w:val="22"/>
                <w:lang w:val="ro-RO"/>
              </w:rPr>
            </w:pPr>
            <w:r>
              <w:rPr>
                <w:sz w:val="22"/>
                <w:szCs w:val="22"/>
                <w:lang w:val="ro-RO"/>
              </w:rPr>
              <w:t>61,3</w:t>
            </w:r>
          </w:p>
        </w:tc>
      </w:tr>
      <w:tr w:rsidR="00C04CAD" w14:paraId="5A2D5BA3" w14:textId="77777777">
        <w:tc>
          <w:tcPr>
            <w:tcW w:w="1271" w:type="pct"/>
          </w:tcPr>
          <w:p w14:paraId="3A23174E" w14:textId="77777777" w:rsidR="00C04CAD" w:rsidRDefault="00060E34">
            <w:pPr>
              <w:pStyle w:val="In-texttable"/>
              <w:keepNext w:val="0"/>
              <w:suppressAutoHyphens w:val="0"/>
              <w:overflowPunct/>
              <w:autoSpaceDE/>
              <w:autoSpaceDN/>
              <w:adjustRightInd/>
              <w:spacing w:line="240" w:lineRule="auto"/>
              <w:textAlignment w:val="auto"/>
              <w:rPr>
                <w:sz w:val="22"/>
                <w:szCs w:val="22"/>
                <w:lang w:val="ro-RO"/>
              </w:rPr>
            </w:pPr>
            <w:r>
              <w:rPr>
                <w:rFonts w:ascii="Times New Roman" w:hAnsi="Times New Roman"/>
                <w:sz w:val="22"/>
                <w:szCs w:val="22"/>
                <w:lang w:val="ro-RO"/>
              </w:rPr>
              <w:t>Modificarea procentului pentru NAPSI total pentru unghii (%)</w:t>
            </w:r>
          </w:p>
        </w:tc>
        <w:tc>
          <w:tcPr>
            <w:tcW w:w="599" w:type="pct"/>
          </w:tcPr>
          <w:p w14:paraId="6F41E459" w14:textId="77777777" w:rsidR="00C04CAD" w:rsidRDefault="00060E34">
            <w:pPr>
              <w:pStyle w:val="gtctablespaceafter"/>
              <w:spacing w:after="0"/>
              <w:jc w:val="center"/>
              <w:rPr>
                <w:sz w:val="22"/>
                <w:szCs w:val="22"/>
                <w:lang w:val="ro-RO"/>
              </w:rPr>
            </w:pPr>
            <w:r>
              <w:rPr>
                <w:sz w:val="22"/>
                <w:szCs w:val="22"/>
                <w:lang w:val="ro-RO"/>
              </w:rPr>
              <w:t>-7,8</w:t>
            </w:r>
          </w:p>
        </w:tc>
        <w:tc>
          <w:tcPr>
            <w:tcW w:w="838" w:type="pct"/>
          </w:tcPr>
          <w:p w14:paraId="4DE22271" w14:textId="77777777" w:rsidR="00C04CAD" w:rsidRDefault="00060E34">
            <w:pPr>
              <w:pStyle w:val="gtctablespaceafter"/>
              <w:spacing w:after="0"/>
              <w:jc w:val="center"/>
              <w:rPr>
                <w:sz w:val="22"/>
                <w:szCs w:val="22"/>
                <w:lang w:val="ro-RO"/>
              </w:rPr>
            </w:pPr>
            <w:r>
              <w:rPr>
                <w:sz w:val="22"/>
                <w:szCs w:val="22"/>
                <w:lang w:val="ro-RO"/>
              </w:rPr>
              <w:t>-44,2</w:t>
            </w:r>
            <w:r>
              <w:rPr>
                <w:sz w:val="22"/>
                <w:szCs w:val="22"/>
                <w:vertAlign w:val="superscript"/>
                <w:lang w:val="ro-RO"/>
              </w:rPr>
              <w:t xml:space="preserve"> a</w:t>
            </w:r>
          </w:p>
        </w:tc>
        <w:tc>
          <w:tcPr>
            <w:tcW w:w="553" w:type="pct"/>
          </w:tcPr>
          <w:p w14:paraId="7750297B" w14:textId="77777777" w:rsidR="00C04CAD" w:rsidRDefault="00060E34">
            <w:pPr>
              <w:keepNext/>
              <w:spacing w:line="240" w:lineRule="auto"/>
              <w:jc w:val="center"/>
              <w:rPr>
                <w:szCs w:val="22"/>
              </w:rPr>
            </w:pPr>
            <w:r>
              <w:rPr>
                <w:szCs w:val="22"/>
              </w:rPr>
              <w:t>-11,5</w:t>
            </w:r>
          </w:p>
        </w:tc>
        <w:tc>
          <w:tcPr>
            <w:tcW w:w="792" w:type="pct"/>
          </w:tcPr>
          <w:p w14:paraId="59544B1E" w14:textId="77777777" w:rsidR="00C04CAD" w:rsidRDefault="00060E34">
            <w:pPr>
              <w:keepNext/>
              <w:spacing w:line="240" w:lineRule="auto"/>
              <w:jc w:val="center"/>
              <w:rPr>
                <w:szCs w:val="22"/>
              </w:rPr>
            </w:pPr>
            <w:r>
              <w:rPr>
                <w:szCs w:val="22"/>
              </w:rPr>
              <w:t>-56,2</w:t>
            </w:r>
            <w:r>
              <w:rPr>
                <w:szCs w:val="22"/>
                <w:vertAlign w:val="superscript"/>
              </w:rPr>
              <w:t>a</w:t>
            </w:r>
          </w:p>
        </w:tc>
        <w:tc>
          <w:tcPr>
            <w:tcW w:w="946" w:type="pct"/>
          </w:tcPr>
          <w:p w14:paraId="11D2AC6C" w14:textId="77777777" w:rsidR="00C04CAD" w:rsidRDefault="00060E34">
            <w:pPr>
              <w:pStyle w:val="gtctablespaceafter"/>
              <w:spacing w:after="0"/>
              <w:jc w:val="center"/>
              <w:rPr>
                <w:sz w:val="22"/>
                <w:szCs w:val="22"/>
                <w:lang w:val="ro-RO"/>
              </w:rPr>
            </w:pPr>
            <w:r>
              <w:rPr>
                <w:sz w:val="22"/>
                <w:szCs w:val="22"/>
                <w:lang w:val="ro-RO"/>
              </w:rPr>
              <w:t>-72,2</w:t>
            </w:r>
          </w:p>
        </w:tc>
      </w:tr>
      <w:tr w:rsidR="00C04CAD" w14:paraId="30E35242" w14:textId="77777777">
        <w:trPr>
          <w:trHeight w:val="325"/>
        </w:trPr>
        <w:tc>
          <w:tcPr>
            <w:tcW w:w="5000" w:type="pct"/>
            <w:gridSpan w:val="6"/>
          </w:tcPr>
          <w:p w14:paraId="19216318" w14:textId="77777777" w:rsidR="00C04CAD" w:rsidRDefault="00060E34">
            <w:pPr>
              <w:pStyle w:val="gtctablespaceafter"/>
              <w:spacing w:after="0"/>
              <w:rPr>
                <w:sz w:val="22"/>
                <w:szCs w:val="22"/>
                <w:lang w:val="ro-RO"/>
              </w:rPr>
            </w:pPr>
            <w:r>
              <w:rPr>
                <w:sz w:val="22"/>
                <w:szCs w:val="22"/>
                <w:vertAlign w:val="superscript"/>
                <w:lang w:val="ro-RO"/>
              </w:rPr>
              <w:t>a</w:t>
            </w:r>
            <w:r>
              <w:rPr>
                <w:sz w:val="22"/>
                <w:szCs w:val="22"/>
                <w:lang w:val="ro-RO"/>
              </w:rPr>
              <w:t xml:space="preserve"> p &lt; 0,001, adalimumab versus placebo </w:t>
            </w:r>
          </w:p>
        </w:tc>
      </w:tr>
    </w:tbl>
    <w:p w14:paraId="1BD76CD8" w14:textId="77777777" w:rsidR="00C04CAD" w:rsidRDefault="00C04CAD">
      <w:pPr>
        <w:tabs>
          <w:tab w:val="clear" w:pos="567"/>
        </w:tabs>
        <w:kinsoku w:val="0"/>
        <w:overflowPunct w:val="0"/>
        <w:autoSpaceDE w:val="0"/>
        <w:autoSpaceDN w:val="0"/>
        <w:adjustRightInd w:val="0"/>
        <w:spacing w:line="240" w:lineRule="auto"/>
      </w:pPr>
    </w:p>
    <w:p w14:paraId="32775D28" w14:textId="77777777" w:rsidR="00C04CAD" w:rsidRDefault="00060E34">
      <w:pPr>
        <w:tabs>
          <w:tab w:val="clear" w:pos="567"/>
        </w:tabs>
        <w:kinsoku w:val="0"/>
        <w:overflowPunct w:val="0"/>
        <w:autoSpaceDE w:val="0"/>
        <w:autoSpaceDN w:val="0"/>
        <w:adjustRightInd w:val="0"/>
        <w:spacing w:line="240" w:lineRule="auto"/>
      </w:pPr>
      <w:r>
        <w:rPr>
          <w:color w:val="222222"/>
        </w:rPr>
        <w:t>Pacienții tratați cu adalimumab au prezentat îmbunătățiri semnificative statistic în săptămâna 26, comparativ cu placebo în DLQI.</w:t>
      </w:r>
    </w:p>
    <w:p w14:paraId="283D9456" w14:textId="77777777" w:rsidR="00C04CAD" w:rsidRDefault="00C04CAD">
      <w:pPr>
        <w:autoSpaceDE w:val="0"/>
        <w:autoSpaceDN w:val="0"/>
        <w:adjustRightInd w:val="0"/>
        <w:spacing w:line="240" w:lineRule="auto"/>
        <w:rPr>
          <w:szCs w:val="22"/>
        </w:rPr>
      </w:pPr>
    </w:p>
    <w:p w14:paraId="5D7061AF"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Hidrosadenită supurativă</w:t>
      </w:r>
    </w:p>
    <w:p w14:paraId="3B606A7D" w14:textId="77777777" w:rsidR="00C04CAD" w:rsidRDefault="00C04CAD">
      <w:pPr>
        <w:tabs>
          <w:tab w:val="clear" w:pos="567"/>
        </w:tabs>
        <w:kinsoku w:val="0"/>
        <w:overflowPunct w:val="0"/>
        <w:autoSpaceDE w:val="0"/>
        <w:autoSpaceDN w:val="0"/>
        <w:adjustRightInd w:val="0"/>
        <w:spacing w:line="240" w:lineRule="auto"/>
        <w:rPr>
          <w:szCs w:val="22"/>
        </w:rPr>
      </w:pPr>
    </w:p>
    <w:p w14:paraId="7CE2172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Eficacitatea şi siguranţa </w:t>
      </w:r>
      <w:r>
        <w:rPr>
          <w:rFonts w:eastAsia="MS Mincho"/>
          <w:szCs w:val="22"/>
          <w:lang w:eastAsia="en-US" w:bidi="ar-SA"/>
        </w:rPr>
        <w:t>adalimumab</w:t>
      </w:r>
      <w:r>
        <w:rPr>
          <w:szCs w:val="22"/>
        </w:rPr>
        <w:t xml:space="preserve"> au fost evaluate în studii randomizate, dublu-orb, comparativ cu placebo şi într-un studiu deschis extins la pacienţi adulţi cu hidrosadenită supurativă (HS) moderată până la severă care au avut intoleranţă, au avut o contraindicaţie sau nu au răspuns corespunzător după o perioadă de cel puţin 3 luni de tratament sistemic cu antibiotice. Pacienţii din studiile HS-I şi HS-II au avut Stadiul II sau III Hurley de boală cu cel puţin 3 abcese sau noduli inflamatori.</w:t>
      </w:r>
    </w:p>
    <w:p w14:paraId="089FE40E" w14:textId="77777777" w:rsidR="00C04CAD" w:rsidRDefault="00C04CAD">
      <w:pPr>
        <w:tabs>
          <w:tab w:val="clear" w:pos="567"/>
        </w:tabs>
        <w:kinsoku w:val="0"/>
        <w:overflowPunct w:val="0"/>
        <w:autoSpaceDE w:val="0"/>
        <w:autoSpaceDN w:val="0"/>
        <w:adjustRightInd w:val="0"/>
        <w:spacing w:line="240" w:lineRule="auto"/>
        <w:rPr>
          <w:szCs w:val="22"/>
        </w:rPr>
      </w:pPr>
    </w:p>
    <w:p w14:paraId="78FCA44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Studiul HS-I (PIONEER I) a evaluat 307 pacienți în 2 perioade de tratament. În Perioada A, pacienţii au primit placebo sau </w:t>
      </w:r>
      <w:r>
        <w:rPr>
          <w:rFonts w:eastAsia="MS Mincho"/>
          <w:szCs w:val="22"/>
          <w:lang w:eastAsia="en-US" w:bidi="ar-SA"/>
        </w:rPr>
        <w:t>adalimumab</w:t>
      </w:r>
      <w:r>
        <w:rPr>
          <w:szCs w:val="22"/>
        </w:rPr>
        <w:t xml:space="preserve"> la o doză inițială de 160 mg în </w:t>
      </w:r>
      <w:r>
        <w:rPr>
          <w:rFonts w:eastAsia="MS Mincho"/>
          <w:szCs w:val="22"/>
          <w:lang w:eastAsia="en-US" w:bidi="ar-SA"/>
        </w:rPr>
        <w:t>săptămâna</w:t>
      </w:r>
      <w:r>
        <w:rPr>
          <w:szCs w:val="22"/>
        </w:rPr>
        <w:t xml:space="preserve"> 0, 80 mg în </w:t>
      </w:r>
      <w:r>
        <w:rPr>
          <w:rFonts w:eastAsia="MS Mincho"/>
          <w:szCs w:val="22"/>
          <w:lang w:eastAsia="en-US" w:bidi="ar-SA"/>
        </w:rPr>
        <w:t>săptămâna</w:t>
      </w:r>
      <w:r>
        <w:rPr>
          <w:szCs w:val="22"/>
        </w:rPr>
        <w:t xml:space="preserve"> 2 și 40 mg în fiecare săptămână începând cu </w:t>
      </w:r>
      <w:r>
        <w:rPr>
          <w:rFonts w:eastAsia="MS Mincho"/>
          <w:szCs w:val="22"/>
          <w:lang w:eastAsia="en-US" w:bidi="ar-SA"/>
        </w:rPr>
        <w:t>săptămâna</w:t>
      </w:r>
      <w:r>
        <w:rPr>
          <w:szCs w:val="22"/>
        </w:rPr>
        <w:t xml:space="preserve"> 4 până în </w:t>
      </w:r>
      <w:r>
        <w:rPr>
          <w:rFonts w:eastAsia="MS Mincho"/>
          <w:szCs w:val="22"/>
          <w:lang w:eastAsia="en-US" w:bidi="ar-SA"/>
        </w:rPr>
        <w:t>săptămâna</w:t>
      </w:r>
      <w:r>
        <w:rPr>
          <w:szCs w:val="22"/>
        </w:rPr>
        <w:t xml:space="preserve"> 11. În timpul studiului nu a fost permisă utilizarea concomitentă de antibiotice. După 12 săptămâni de tratament, pacienţii care au primit </w:t>
      </w:r>
      <w:r>
        <w:rPr>
          <w:rFonts w:eastAsia="MS Mincho"/>
          <w:szCs w:val="22"/>
          <w:lang w:eastAsia="en-US" w:bidi="ar-SA"/>
        </w:rPr>
        <w:t>adalimumab</w:t>
      </w:r>
      <w:r>
        <w:rPr>
          <w:szCs w:val="22"/>
        </w:rPr>
        <w:t xml:space="preserve"> în perioada A au fost re-randomizaţi în Perioada B la 1 din 3 grupuri de tratament (</w:t>
      </w:r>
      <w:r>
        <w:rPr>
          <w:rFonts w:eastAsia="MS Mincho"/>
          <w:szCs w:val="22"/>
          <w:lang w:eastAsia="en-US" w:bidi="ar-SA"/>
        </w:rPr>
        <w:t>adalimumab</w:t>
      </w:r>
      <w:r>
        <w:rPr>
          <w:szCs w:val="22"/>
        </w:rPr>
        <w:t xml:space="preserve"> 40 mg în fiecare săptămână, </w:t>
      </w:r>
      <w:r>
        <w:rPr>
          <w:rFonts w:eastAsia="MS Mincho"/>
          <w:szCs w:val="22"/>
          <w:lang w:eastAsia="en-US" w:bidi="ar-SA"/>
        </w:rPr>
        <w:t>adalimumab</w:t>
      </w:r>
      <w:r>
        <w:rPr>
          <w:szCs w:val="22"/>
        </w:rPr>
        <w:t xml:space="preserve"> 40 mg la două săptămâni sau placebo din </w:t>
      </w:r>
      <w:r>
        <w:rPr>
          <w:rFonts w:eastAsia="MS Mincho"/>
          <w:szCs w:val="22"/>
          <w:lang w:eastAsia="en-US" w:bidi="ar-SA"/>
        </w:rPr>
        <w:t>săptămâna</w:t>
      </w:r>
      <w:r>
        <w:rPr>
          <w:szCs w:val="22"/>
        </w:rPr>
        <w:t xml:space="preserve"> 12 până în </w:t>
      </w:r>
      <w:r>
        <w:rPr>
          <w:rFonts w:eastAsia="MS Mincho"/>
          <w:szCs w:val="22"/>
          <w:lang w:eastAsia="en-US" w:bidi="ar-SA"/>
        </w:rPr>
        <w:t>săptămâna</w:t>
      </w:r>
      <w:r>
        <w:rPr>
          <w:szCs w:val="22"/>
        </w:rPr>
        <w:t xml:space="preserve"> 35). Pacienții care au fost randomizați la placebo în Perioada A au fost desemnaţi să primească </w:t>
      </w:r>
      <w:r>
        <w:rPr>
          <w:rFonts w:eastAsia="MS Mincho"/>
          <w:szCs w:val="22"/>
          <w:lang w:eastAsia="en-US" w:bidi="ar-SA"/>
        </w:rPr>
        <w:t>adalimumab</w:t>
      </w:r>
      <w:r>
        <w:rPr>
          <w:szCs w:val="22"/>
        </w:rPr>
        <w:t xml:space="preserve"> 40 mg în fiecare săptămână, în perioada B.</w:t>
      </w:r>
    </w:p>
    <w:p w14:paraId="0F383F85" w14:textId="77777777" w:rsidR="00C04CAD" w:rsidRDefault="00C04CAD">
      <w:pPr>
        <w:tabs>
          <w:tab w:val="clear" w:pos="567"/>
        </w:tabs>
        <w:kinsoku w:val="0"/>
        <w:overflowPunct w:val="0"/>
        <w:autoSpaceDE w:val="0"/>
        <w:autoSpaceDN w:val="0"/>
        <w:adjustRightInd w:val="0"/>
        <w:spacing w:line="240" w:lineRule="auto"/>
        <w:rPr>
          <w:szCs w:val="22"/>
        </w:rPr>
      </w:pPr>
    </w:p>
    <w:p w14:paraId="7BE99C7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Studiul HS-II (PIONEER II) a evaluat 326 de pacienți în 2 perioade de tratament. În Perioada A, pacienţii au primit placebo sau </w:t>
      </w:r>
      <w:r>
        <w:rPr>
          <w:rFonts w:eastAsia="MS Mincho"/>
          <w:szCs w:val="22"/>
          <w:lang w:eastAsia="en-US" w:bidi="ar-SA"/>
        </w:rPr>
        <w:t>adalimumab</w:t>
      </w:r>
      <w:r>
        <w:rPr>
          <w:szCs w:val="22"/>
        </w:rPr>
        <w:t xml:space="preserve"> la o doză inițială de 160 mg în </w:t>
      </w:r>
      <w:r>
        <w:rPr>
          <w:rFonts w:eastAsia="MS Mincho"/>
          <w:szCs w:val="22"/>
          <w:lang w:eastAsia="en-US" w:bidi="ar-SA"/>
        </w:rPr>
        <w:t>săptămâna</w:t>
      </w:r>
      <w:r>
        <w:rPr>
          <w:szCs w:val="22"/>
        </w:rPr>
        <w:t xml:space="preserve"> 0 și 80 mg în </w:t>
      </w:r>
      <w:r>
        <w:rPr>
          <w:rFonts w:eastAsia="MS Mincho"/>
          <w:szCs w:val="22"/>
          <w:lang w:eastAsia="en-US" w:bidi="ar-SA"/>
        </w:rPr>
        <w:t>săptămâna</w:t>
      </w:r>
      <w:r>
        <w:rPr>
          <w:szCs w:val="22"/>
        </w:rPr>
        <w:t xml:space="preserve"> 2 și 40 mg în fiecare săptămână începând cu </w:t>
      </w:r>
      <w:r>
        <w:rPr>
          <w:rFonts w:eastAsia="MS Mincho"/>
          <w:szCs w:val="22"/>
          <w:lang w:eastAsia="en-US" w:bidi="ar-SA"/>
        </w:rPr>
        <w:t>săptămâna</w:t>
      </w:r>
      <w:r>
        <w:rPr>
          <w:szCs w:val="22"/>
        </w:rPr>
        <w:t xml:space="preserve"> 4 până la </w:t>
      </w:r>
      <w:r>
        <w:rPr>
          <w:rFonts w:eastAsia="MS Mincho"/>
          <w:szCs w:val="22"/>
          <w:lang w:eastAsia="en-US" w:bidi="ar-SA"/>
        </w:rPr>
        <w:t>săptămâna</w:t>
      </w:r>
      <w:r>
        <w:rPr>
          <w:szCs w:val="22"/>
        </w:rPr>
        <w:t xml:space="preserve"> 11. În timpul studiului, 19,3% dintre pacienți au continuat tratamentul iniţial cu antibiotice pe cale orală. După 12 săptămâni de tratament, pacienţii care au primit </w:t>
      </w:r>
      <w:r>
        <w:rPr>
          <w:rFonts w:eastAsia="MS Mincho"/>
          <w:szCs w:val="22"/>
          <w:lang w:eastAsia="en-US" w:bidi="ar-SA"/>
        </w:rPr>
        <w:t>adalimumab</w:t>
      </w:r>
      <w:r>
        <w:rPr>
          <w:szCs w:val="22"/>
        </w:rPr>
        <w:t xml:space="preserve"> în perioada A au fost re-randomizaţi în Perioada B la 1 din 3 grupuri de tratament (</w:t>
      </w:r>
      <w:r>
        <w:rPr>
          <w:rFonts w:eastAsia="MS Mincho"/>
          <w:szCs w:val="22"/>
          <w:lang w:eastAsia="en-US" w:bidi="ar-SA"/>
        </w:rPr>
        <w:t>adalimumab</w:t>
      </w:r>
      <w:r>
        <w:rPr>
          <w:szCs w:val="22"/>
        </w:rPr>
        <w:t xml:space="preserve"> 40 mg în fiecare săptămână, </w:t>
      </w:r>
      <w:r>
        <w:rPr>
          <w:rFonts w:eastAsia="MS Mincho"/>
          <w:szCs w:val="22"/>
          <w:lang w:eastAsia="en-US" w:bidi="ar-SA"/>
        </w:rPr>
        <w:t>adalimumab</w:t>
      </w:r>
      <w:r>
        <w:rPr>
          <w:szCs w:val="22"/>
        </w:rPr>
        <w:t xml:space="preserve"> 40 mg la două săptămâni sau placebo din </w:t>
      </w:r>
      <w:r>
        <w:rPr>
          <w:rFonts w:eastAsia="MS Mincho"/>
          <w:szCs w:val="22"/>
          <w:lang w:eastAsia="en-US" w:bidi="ar-SA"/>
        </w:rPr>
        <w:t>săptămâna</w:t>
      </w:r>
      <w:r>
        <w:rPr>
          <w:szCs w:val="22"/>
        </w:rPr>
        <w:t xml:space="preserve"> 12 până în </w:t>
      </w:r>
      <w:r>
        <w:rPr>
          <w:rFonts w:eastAsia="MS Mincho"/>
          <w:szCs w:val="22"/>
          <w:lang w:eastAsia="en-US" w:bidi="ar-SA"/>
        </w:rPr>
        <w:t>săptămâna</w:t>
      </w:r>
      <w:r>
        <w:rPr>
          <w:szCs w:val="22"/>
        </w:rPr>
        <w:t xml:space="preserve"> 35). Pacienții care au fost randomizați la placebo în Perioada A au fost desemnaţi să primească placebo în Perioada B.</w:t>
      </w:r>
    </w:p>
    <w:p w14:paraId="4C24888D" w14:textId="77777777" w:rsidR="00C04CAD" w:rsidRDefault="00C04CAD">
      <w:pPr>
        <w:tabs>
          <w:tab w:val="clear" w:pos="567"/>
        </w:tabs>
        <w:kinsoku w:val="0"/>
        <w:overflowPunct w:val="0"/>
        <w:autoSpaceDE w:val="0"/>
        <w:autoSpaceDN w:val="0"/>
        <w:adjustRightInd w:val="0"/>
        <w:spacing w:line="240" w:lineRule="auto"/>
        <w:rPr>
          <w:szCs w:val="22"/>
        </w:rPr>
      </w:pPr>
    </w:p>
    <w:p w14:paraId="309764D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Pacienţii participanţi la studiile HS-I și HS-II au fost eligibili pentru a fi înrolaţi într-un studiu deschis extins în care </w:t>
      </w:r>
      <w:r>
        <w:rPr>
          <w:rFonts w:eastAsia="MS Mincho"/>
          <w:szCs w:val="22"/>
          <w:lang w:eastAsia="en-US" w:bidi="ar-SA"/>
        </w:rPr>
        <w:t>adalimumab</w:t>
      </w:r>
      <w:r>
        <w:rPr>
          <w:szCs w:val="22"/>
        </w:rPr>
        <w:t xml:space="preserve"> 40 mg a fost administrat în fiecare săptămână. Expunerea medie la nivelul întregii populații tratate cu adalimumab a fost de 762 zile. Pe parcursul celor 3 studii, pacienții au utilizat zilnic antiseptice topice pentru spălare.</w:t>
      </w:r>
    </w:p>
    <w:p w14:paraId="3B052B62" w14:textId="77777777" w:rsidR="00C04CAD" w:rsidRDefault="00C04CAD">
      <w:pPr>
        <w:tabs>
          <w:tab w:val="clear" w:pos="567"/>
        </w:tabs>
        <w:kinsoku w:val="0"/>
        <w:overflowPunct w:val="0"/>
        <w:autoSpaceDE w:val="0"/>
        <w:autoSpaceDN w:val="0"/>
        <w:adjustRightInd w:val="0"/>
        <w:spacing w:line="240" w:lineRule="auto"/>
        <w:rPr>
          <w:szCs w:val="22"/>
        </w:rPr>
      </w:pPr>
    </w:p>
    <w:p w14:paraId="505E11D0" w14:textId="77777777" w:rsidR="00C04CAD" w:rsidRDefault="00060E34">
      <w:pPr>
        <w:keepNext/>
        <w:tabs>
          <w:tab w:val="clear" w:pos="567"/>
        </w:tabs>
        <w:kinsoku w:val="0"/>
        <w:overflowPunct w:val="0"/>
        <w:autoSpaceDE w:val="0"/>
        <w:autoSpaceDN w:val="0"/>
        <w:adjustRightInd w:val="0"/>
        <w:spacing w:line="240" w:lineRule="auto"/>
        <w:rPr>
          <w:szCs w:val="22"/>
        </w:rPr>
      </w:pPr>
      <w:r>
        <w:rPr>
          <w:i/>
          <w:szCs w:val="22"/>
          <w:u w:val="single"/>
        </w:rPr>
        <w:t>Răspuns clinic</w:t>
      </w:r>
    </w:p>
    <w:p w14:paraId="43DE2FC7" w14:textId="77777777" w:rsidR="00C04CAD" w:rsidRDefault="00C04CAD">
      <w:pPr>
        <w:keepNext/>
        <w:tabs>
          <w:tab w:val="clear" w:pos="567"/>
        </w:tabs>
        <w:kinsoku w:val="0"/>
        <w:overflowPunct w:val="0"/>
        <w:autoSpaceDE w:val="0"/>
        <w:autoSpaceDN w:val="0"/>
        <w:adjustRightInd w:val="0"/>
        <w:spacing w:line="240" w:lineRule="auto"/>
        <w:rPr>
          <w:szCs w:val="22"/>
        </w:rPr>
      </w:pPr>
    </w:p>
    <w:p w14:paraId="3DDBCF9E"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Au fost evaluate reducerea leziunilor inflamatorii și prevenirea agravării abceselor și a drenajului fistulelor cu ajutorul Răspunsului Clinic în Hidrosadenita Supurativă (HiSRC; reducere cu cel puţin 50% a numărului total de abcese şi de noduli inflamatorii, cu nicio creştere a numărului de abcese și nicio creștere a numărului de drenaje ale fistulei faţă de valoarea iniţială).</w:t>
      </w:r>
      <w:r>
        <w:rPr>
          <w:rFonts w:eastAsia="MS Mincho"/>
          <w:szCs w:val="22"/>
          <w:lang w:eastAsia="en-US" w:bidi="ar-SA"/>
        </w:rPr>
        <w:t xml:space="preserve"> </w:t>
      </w:r>
      <w:r>
        <w:rPr>
          <w:szCs w:val="22"/>
        </w:rPr>
        <w:t>Reducerea durerii cutanate cauzate de HS a fost evaluată cu ajutorul unei Scale de Evaluare Numerică la pacienţii care au fost înrolaţi în studiu având un scor iniţial de 3 sau mai mare, pe o scală de 11</w:t>
      </w:r>
      <w:r>
        <w:rPr>
          <w:color w:val="000000"/>
          <w:szCs w:val="22"/>
          <w:lang w:eastAsia="en-GB"/>
        </w:rPr>
        <w:t> </w:t>
      </w:r>
      <w:r>
        <w:rPr>
          <w:szCs w:val="22"/>
        </w:rPr>
        <w:t>puncte.</w:t>
      </w:r>
    </w:p>
    <w:p w14:paraId="34B8B093" w14:textId="77777777" w:rsidR="00C04CAD" w:rsidRDefault="00C04CAD">
      <w:pPr>
        <w:tabs>
          <w:tab w:val="clear" w:pos="567"/>
        </w:tabs>
        <w:kinsoku w:val="0"/>
        <w:overflowPunct w:val="0"/>
        <w:autoSpaceDE w:val="0"/>
        <w:autoSpaceDN w:val="0"/>
        <w:adjustRightInd w:val="0"/>
        <w:spacing w:line="240" w:lineRule="auto"/>
        <w:rPr>
          <w:szCs w:val="22"/>
        </w:rPr>
      </w:pPr>
    </w:p>
    <w:p w14:paraId="2C5AB884" w14:textId="77777777" w:rsidR="00C04CAD" w:rsidRDefault="00060E34">
      <w:pPr>
        <w:autoSpaceDE w:val="0"/>
        <w:autoSpaceDN w:val="0"/>
        <w:adjustRightInd w:val="0"/>
        <w:spacing w:line="240" w:lineRule="auto"/>
        <w:rPr>
          <w:szCs w:val="22"/>
        </w:rPr>
      </w:pPr>
      <w:r>
        <w:rPr>
          <w:szCs w:val="22"/>
        </w:rPr>
        <w:t xml:space="preserve">În săptămâna 12, un procent semnificativ mai mare de pacienți tratați cu </w:t>
      </w:r>
      <w:r>
        <w:rPr>
          <w:rFonts w:eastAsia="MS Mincho"/>
          <w:szCs w:val="22"/>
          <w:lang w:eastAsia="en-US" w:bidi="ar-SA"/>
        </w:rPr>
        <w:t>adalimumab</w:t>
      </w:r>
      <w:r>
        <w:rPr>
          <w:szCs w:val="22"/>
        </w:rPr>
        <w:t xml:space="preserve"> a atins HiSRC comparativ cu placebo. În săptămâna 12, un procent semnificativ mai mare de pacienți din studiul HS-II a înregistrat o scădere semnificativă clinic a durerii cutanate cauzate de HS</w:t>
      </w:r>
      <w:r>
        <w:rPr>
          <w:sz w:val="24"/>
        </w:rPr>
        <w:t xml:space="preserve"> </w:t>
      </w:r>
      <w:r>
        <w:rPr>
          <w:szCs w:val="22"/>
        </w:rPr>
        <w:t xml:space="preserve">(vezi tabelul </w:t>
      </w:r>
      <w:r>
        <w:rPr>
          <w:rFonts w:eastAsia="MS Mincho"/>
          <w:szCs w:val="22"/>
          <w:lang w:eastAsia="en-US" w:bidi="ar-SA"/>
        </w:rPr>
        <w:t>19</w:t>
      </w:r>
      <w:r>
        <w:rPr>
          <w:szCs w:val="22"/>
        </w:rPr>
        <w:t xml:space="preserve">). La pacienţii trataţi cu </w:t>
      </w:r>
      <w:r>
        <w:rPr>
          <w:rFonts w:eastAsia="MS Mincho"/>
          <w:szCs w:val="22"/>
          <w:lang w:eastAsia="en-US" w:bidi="ar-SA"/>
        </w:rPr>
        <w:t>adalimumab</w:t>
      </w:r>
      <w:r>
        <w:rPr>
          <w:szCs w:val="22"/>
        </w:rPr>
        <w:t xml:space="preserve"> s-a redus semnificativ riscul de acutizare a bolii în primele 12 săptămâni de tratament.</w:t>
      </w:r>
    </w:p>
    <w:p w14:paraId="2F6573E0" w14:textId="77777777" w:rsidR="00C04CAD" w:rsidRDefault="00C04CAD">
      <w:pPr>
        <w:autoSpaceDE w:val="0"/>
        <w:autoSpaceDN w:val="0"/>
        <w:adjustRightInd w:val="0"/>
        <w:spacing w:line="240" w:lineRule="auto"/>
        <w:rPr>
          <w:szCs w:val="22"/>
        </w:rPr>
      </w:pPr>
    </w:p>
    <w:p w14:paraId="621B1CA2" w14:textId="77777777" w:rsidR="00C04CAD" w:rsidRDefault="00060E34">
      <w:pPr>
        <w:keepNext/>
        <w:autoSpaceDE w:val="0"/>
        <w:autoSpaceDN w:val="0"/>
        <w:adjustRightInd w:val="0"/>
        <w:spacing w:line="240" w:lineRule="auto"/>
        <w:rPr>
          <w:b/>
          <w:bCs/>
          <w:sz w:val="24"/>
        </w:rPr>
      </w:pPr>
      <w:r>
        <w:rPr>
          <w:b/>
        </w:rPr>
        <w:t>Tabelul 19. Rezultate privind eficacitatea la 12 săptămâni, Studiile I şi II pentru HS</w:t>
      </w:r>
    </w:p>
    <w:p w14:paraId="45265EE6" w14:textId="77777777" w:rsidR="00C04CAD" w:rsidRDefault="00C04CAD">
      <w:pPr>
        <w:keepNext/>
        <w:autoSpaceDE w:val="0"/>
        <w:autoSpaceDN w:val="0"/>
        <w:adjustRightInd w:val="0"/>
        <w:spacing w:line="240" w:lineRule="auto"/>
        <w:rPr>
          <w:sz w:val="24"/>
        </w:rPr>
      </w:pPr>
    </w:p>
    <w:tbl>
      <w:tblPr>
        <w:tblW w:w="4997" w:type="pct"/>
        <w:tblInd w:w="5" w:type="dxa"/>
        <w:tblLayout w:type="fixed"/>
        <w:tblCellMar>
          <w:left w:w="0" w:type="dxa"/>
          <w:right w:w="0" w:type="dxa"/>
        </w:tblCellMar>
        <w:tblLook w:val="04A0" w:firstRow="1" w:lastRow="0" w:firstColumn="1" w:lastColumn="0" w:noHBand="0" w:noVBand="1"/>
      </w:tblPr>
      <w:tblGrid>
        <w:gridCol w:w="2767"/>
        <w:gridCol w:w="1404"/>
        <w:gridCol w:w="1701"/>
        <w:gridCol w:w="1367"/>
        <w:gridCol w:w="1808"/>
        <w:gridCol w:w="9"/>
      </w:tblGrid>
      <w:tr w:rsidR="00C04CAD" w14:paraId="4EC090DE" w14:textId="77777777">
        <w:trPr>
          <w:trHeight w:hRule="exact" w:val="264"/>
        </w:trPr>
        <w:tc>
          <w:tcPr>
            <w:tcW w:w="1528" w:type="pct"/>
            <w:tcBorders>
              <w:top w:val="single" w:sz="4" w:space="0" w:color="000000"/>
              <w:left w:val="single" w:sz="4" w:space="0" w:color="000000"/>
              <w:bottom w:val="single" w:sz="4" w:space="0" w:color="000000"/>
              <w:right w:val="single" w:sz="4" w:space="0" w:color="000000"/>
            </w:tcBorders>
          </w:tcPr>
          <w:p w14:paraId="6C13748B" w14:textId="77777777" w:rsidR="00C04CAD" w:rsidRDefault="00C04CAD">
            <w:pPr>
              <w:keepNext/>
              <w:tabs>
                <w:tab w:val="clear" w:pos="567"/>
              </w:tabs>
              <w:autoSpaceDE w:val="0"/>
              <w:autoSpaceDN w:val="0"/>
              <w:adjustRightInd w:val="0"/>
              <w:spacing w:line="240" w:lineRule="auto"/>
            </w:pPr>
          </w:p>
        </w:tc>
        <w:tc>
          <w:tcPr>
            <w:tcW w:w="1714" w:type="pct"/>
            <w:gridSpan w:val="2"/>
            <w:tcBorders>
              <w:top w:val="single" w:sz="4" w:space="0" w:color="000000"/>
              <w:left w:val="single" w:sz="4" w:space="0" w:color="000000"/>
              <w:bottom w:val="single" w:sz="4" w:space="0" w:color="000000"/>
              <w:right w:val="single" w:sz="4" w:space="0" w:color="000000"/>
            </w:tcBorders>
          </w:tcPr>
          <w:p w14:paraId="416AF447"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zCs w:val="22"/>
              </w:rPr>
              <w:t>HS Studiul I</w:t>
            </w:r>
          </w:p>
        </w:tc>
        <w:tc>
          <w:tcPr>
            <w:tcW w:w="1758" w:type="pct"/>
            <w:gridSpan w:val="3"/>
            <w:tcBorders>
              <w:top w:val="single" w:sz="4" w:space="0" w:color="000000"/>
              <w:left w:val="single" w:sz="4" w:space="0" w:color="000000"/>
              <w:bottom w:val="single" w:sz="4" w:space="0" w:color="000000"/>
              <w:right w:val="single" w:sz="4" w:space="0" w:color="000000"/>
            </w:tcBorders>
          </w:tcPr>
          <w:p w14:paraId="3F2A2454"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b/>
                <w:szCs w:val="22"/>
              </w:rPr>
              <w:t>HS Studiul II</w:t>
            </w:r>
          </w:p>
        </w:tc>
      </w:tr>
      <w:tr w:rsidR="00C04CAD" w14:paraId="4050FBA7" w14:textId="77777777">
        <w:trPr>
          <w:gridAfter w:val="1"/>
          <w:wAfter w:w="5" w:type="pct"/>
          <w:trHeight w:hRule="exact" w:val="516"/>
        </w:trPr>
        <w:tc>
          <w:tcPr>
            <w:tcW w:w="1528" w:type="pct"/>
            <w:tcBorders>
              <w:top w:val="single" w:sz="4" w:space="0" w:color="000000"/>
              <w:left w:val="single" w:sz="4" w:space="0" w:color="000000"/>
              <w:bottom w:val="single" w:sz="4" w:space="0" w:color="000000"/>
              <w:right w:val="single" w:sz="4" w:space="0" w:color="000000"/>
            </w:tcBorders>
          </w:tcPr>
          <w:p w14:paraId="4C827322" w14:textId="77777777" w:rsidR="00C04CAD" w:rsidRDefault="00C04CAD">
            <w:pPr>
              <w:keepNext/>
              <w:tabs>
                <w:tab w:val="clear" w:pos="567"/>
              </w:tabs>
              <w:kinsoku w:val="0"/>
              <w:overflowPunct w:val="0"/>
              <w:autoSpaceDE w:val="0"/>
              <w:autoSpaceDN w:val="0"/>
              <w:adjustRightInd w:val="0"/>
              <w:spacing w:line="240" w:lineRule="auto"/>
              <w:ind w:left="992"/>
            </w:pPr>
          </w:p>
        </w:tc>
        <w:tc>
          <w:tcPr>
            <w:tcW w:w="775" w:type="pct"/>
            <w:tcBorders>
              <w:top w:val="single" w:sz="4" w:space="0" w:color="000000"/>
              <w:left w:val="single" w:sz="4" w:space="0" w:color="000000"/>
              <w:bottom w:val="single" w:sz="4" w:space="0" w:color="000000"/>
              <w:right w:val="single" w:sz="4" w:space="0" w:color="000000"/>
            </w:tcBorders>
          </w:tcPr>
          <w:p w14:paraId="4387BB10" w14:textId="77777777" w:rsidR="00C04CAD" w:rsidRDefault="00C04CAD">
            <w:pPr>
              <w:keepNext/>
              <w:tabs>
                <w:tab w:val="clear" w:pos="567"/>
              </w:tabs>
              <w:kinsoku w:val="0"/>
              <w:overflowPunct w:val="0"/>
              <w:autoSpaceDE w:val="0"/>
              <w:autoSpaceDN w:val="0"/>
              <w:adjustRightInd w:val="0"/>
              <w:spacing w:line="240" w:lineRule="auto"/>
              <w:jc w:val="center"/>
            </w:pPr>
          </w:p>
          <w:p w14:paraId="49203B3D" w14:textId="77777777" w:rsidR="00C04CAD" w:rsidRDefault="00060E34">
            <w:pPr>
              <w:keepNext/>
              <w:tabs>
                <w:tab w:val="clear" w:pos="567"/>
              </w:tabs>
              <w:kinsoku w:val="0"/>
              <w:overflowPunct w:val="0"/>
              <w:autoSpaceDE w:val="0"/>
              <w:autoSpaceDN w:val="0"/>
              <w:adjustRightInd w:val="0"/>
              <w:spacing w:line="240" w:lineRule="auto"/>
              <w:jc w:val="center"/>
            </w:pPr>
            <w:r>
              <w:rPr>
                <w:b/>
              </w:rPr>
              <w:t>Placebo</w:t>
            </w:r>
          </w:p>
        </w:tc>
        <w:tc>
          <w:tcPr>
            <w:tcW w:w="939" w:type="pct"/>
            <w:tcBorders>
              <w:top w:val="single" w:sz="4" w:space="0" w:color="000000"/>
              <w:left w:val="single" w:sz="4" w:space="0" w:color="000000"/>
              <w:bottom w:val="single" w:sz="4" w:space="0" w:color="000000"/>
              <w:right w:val="single" w:sz="4" w:space="0" w:color="000000"/>
            </w:tcBorders>
          </w:tcPr>
          <w:p w14:paraId="748D789C"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zCs w:val="22"/>
                <w:lang w:eastAsia="en-US" w:bidi="ar-SA"/>
              </w:rPr>
              <w:t>Adalimumab</w:t>
            </w:r>
            <w:r>
              <w:rPr>
                <w:b/>
                <w:szCs w:val="22"/>
              </w:rPr>
              <w:t xml:space="preserve"> 40 mg săptămânal</w:t>
            </w:r>
          </w:p>
        </w:tc>
        <w:tc>
          <w:tcPr>
            <w:tcW w:w="755" w:type="pct"/>
            <w:tcBorders>
              <w:top w:val="single" w:sz="4" w:space="0" w:color="000000"/>
              <w:left w:val="single" w:sz="4" w:space="0" w:color="000000"/>
              <w:bottom w:val="single" w:sz="4" w:space="0" w:color="000000"/>
              <w:right w:val="single" w:sz="4" w:space="0" w:color="000000"/>
            </w:tcBorders>
          </w:tcPr>
          <w:p w14:paraId="7258F6A0" w14:textId="77777777" w:rsidR="00C04CAD" w:rsidRDefault="00C04CAD">
            <w:pPr>
              <w:keepNext/>
              <w:tabs>
                <w:tab w:val="clear" w:pos="567"/>
              </w:tabs>
              <w:kinsoku w:val="0"/>
              <w:overflowPunct w:val="0"/>
              <w:autoSpaceDE w:val="0"/>
              <w:autoSpaceDN w:val="0"/>
              <w:adjustRightInd w:val="0"/>
              <w:spacing w:line="240" w:lineRule="auto"/>
              <w:jc w:val="center"/>
            </w:pPr>
          </w:p>
          <w:p w14:paraId="59FA3F00" w14:textId="77777777" w:rsidR="00C04CAD" w:rsidRDefault="00060E34">
            <w:pPr>
              <w:keepNext/>
              <w:tabs>
                <w:tab w:val="clear" w:pos="567"/>
              </w:tabs>
              <w:kinsoku w:val="0"/>
              <w:overflowPunct w:val="0"/>
              <w:autoSpaceDE w:val="0"/>
              <w:autoSpaceDN w:val="0"/>
              <w:adjustRightInd w:val="0"/>
              <w:spacing w:line="240" w:lineRule="auto"/>
              <w:jc w:val="center"/>
            </w:pPr>
            <w:r>
              <w:rPr>
                <w:b/>
              </w:rPr>
              <w:t>Placebo</w:t>
            </w:r>
          </w:p>
        </w:tc>
        <w:tc>
          <w:tcPr>
            <w:tcW w:w="998" w:type="pct"/>
            <w:tcBorders>
              <w:top w:val="single" w:sz="4" w:space="0" w:color="000000"/>
              <w:left w:val="single" w:sz="4" w:space="0" w:color="000000"/>
              <w:bottom w:val="single" w:sz="4" w:space="0" w:color="000000"/>
              <w:right w:val="single" w:sz="4" w:space="0" w:color="000000"/>
            </w:tcBorders>
          </w:tcPr>
          <w:p w14:paraId="704FCBF9"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zCs w:val="22"/>
                <w:lang w:eastAsia="en-US" w:bidi="ar-SA"/>
              </w:rPr>
              <w:t>Adalimumab</w:t>
            </w:r>
            <w:r>
              <w:rPr>
                <w:b/>
                <w:szCs w:val="22"/>
              </w:rPr>
              <w:t xml:space="preserve"> 40 mg săptămânal</w:t>
            </w:r>
          </w:p>
        </w:tc>
      </w:tr>
      <w:tr w:rsidR="00C04CAD" w14:paraId="15EC9092" w14:textId="77777777">
        <w:trPr>
          <w:trHeight w:hRule="exact" w:val="872"/>
        </w:trPr>
        <w:tc>
          <w:tcPr>
            <w:tcW w:w="1528" w:type="pct"/>
            <w:tcBorders>
              <w:top w:val="single" w:sz="4" w:space="0" w:color="000000"/>
              <w:left w:val="single" w:sz="4" w:space="0" w:color="000000"/>
              <w:bottom w:val="single" w:sz="4" w:space="0" w:color="auto"/>
              <w:right w:val="single" w:sz="4" w:space="0" w:color="000000"/>
            </w:tcBorders>
          </w:tcPr>
          <w:p w14:paraId="7DD31A98" w14:textId="77777777" w:rsidR="00C04CAD" w:rsidRDefault="00060E34">
            <w:pPr>
              <w:keepNext/>
              <w:tabs>
                <w:tab w:val="clear" w:pos="567"/>
              </w:tabs>
              <w:kinsoku w:val="0"/>
              <w:overflowPunct w:val="0"/>
              <w:autoSpaceDE w:val="0"/>
              <w:autoSpaceDN w:val="0"/>
              <w:adjustRightInd w:val="0"/>
              <w:spacing w:line="240" w:lineRule="auto"/>
              <w:ind w:left="113"/>
            </w:pPr>
            <w:r>
              <w:t>Răspuns Clinic în</w:t>
            </w:r>
          </w:p>
          <w:p w14:paraId="26B02CC3" w14:textId="77777777" w:rsidR="00C04CAD" w:rsidRDefault="00060E34">
            <w:pPr>
              <w:keepNext/>
              <w:tabs>
                <w:tab w:val="clear" w:pos="567"/>
              </w:tabs>
              <w:kinsoku w:val="0"/>
              <w:overflowPunct w:val="0"/>
              <w:autoSpaceDE w:val="0"/>
              <w:autoSpaceDN w:val="0"/>
              <w:adjustRightInd w:val="0"/>
              <w:spacing w:line="240" w:lineRule="auto"/>
              <w:ind w:left="113"/>
            </w:pPr>
            <w:r>
              <w:rPr>
                <w:i/>
              </w:rPr>
              <w:t>Hidrosadenita Supurativă</w:t>
            </w:r>
            <w:r>
              <w:t xml:space="preserve"> (HiSRC)</w:t>
            </w:r>
            <w:r>
              <w:rPr>
                <w:vertAlign w:val="superscript"/>
              </w:rPr>
              <w:t>a</w:t>
            </w:r>
          </w:p>
        </w:tc>
        <w:tc>
          <w:tcPr>
            <w:tcW w:w="775" w:type="pct"/>
            <w:tcBorders>
              <w:top w:val="single" w:sz="4" w:space="0" w:color="000000"/>
              <w:left w:val="single" w:sz="4" w:space="0" w:color="000000"/>
              <w:bottom w:val="single" w:sz="4" w:space="0" w:color="auto"/>
              <w:right w:val="single" w:sz="4" w:space="0" w:color="000000"/>
            </w:tcBorders>
          </w:tcPr>
          <w:p w14:paraId="4FB1EBE9" w14:textId="77777777" w:rsidR="00C04CAD" w:rsidRDefault="00060E34">
            <w:pPr>
              <w:keepNext/>
              <w:tabs>
                <w:tab w:val="clear" w:pos="567"/>
              </w:tabs>
              <w:kinsoku w:val="0"/>
              <w:overflowPunct w:val="0"/>
              <w:autoSpaceDE w:val="0"/>
              <w:autoSpaceDN w:val="0"/>
              <w:adjustRightInd w:val="0"/>
              <w:spacing w:line="240" w:lineRule="auto"/>
              <w:jc w:val="center"/>
            </w:pPr>
            <w:r>
              <w:t>N = 154</w:t>
            </w:r>
          </w:p>
          <w:p w14:paraId="77B436E3" w14:textId="77777777" w:rsidR="00C04CAD" w:rsidRDefault="00060E34">
            <w:pPr>
              <w:keepNext/>
              <w:tabs>
                <w:tab w:val="clear" w:pos="567"/>
              </w:tabs>
              <w:kinsoku w:val="0"/>
              <w:overflowPunct w:val="0"/>
              <w:autoSpaceDE w:val="0"/>
              <w:autoSpaceDN w:val="0"/>
              <w:adjustRightInd w:val="0"/>
              <w:spacing w:line="240" w:lineRule="auto"/>
              <w:jc w:val="center"/>
            </w:pPr>
            <w:r>
              <w:t>40 (26,0%)</w:t>
            </w:r>
          </w:p>
        </w:tc>
        <w:tc>
          <w:tcPr>
            <w:tcW w:w="939" w:type="pct"/>
            <w:tcBorders>
              <w:top w:val="single" w:sz="4" w:space="0" w:color="000000"/>
              <w:left w:val="single" w:sz="4" w:space="0" w:color="000000"/>
              <w:bottom w:val="single" w:sz="4" w:space="0" w:color="auto"/>
              <w:right w:val="single" w:sz="4" w:space="0" w:color="000000"/>
            </w:tcBorders>
          </w:tcPr>
          <w:p w14:paraId="57AA9C39" w14:textId="77777777" w:rsidR="00C04CAD" w:rsidRDefault="00060E34">
            <w:pPr>
              <w:keepNext/>
              <w:tabs>
                <w:tab w:val="clear" w:pos="567"/>
              </w:tabs>
              <w:kinsoku w:val="0"/>
              <w:overflowPunct w:val="0"/>
              <w:autoSpaceDE w:val="0"/>
              <w:autoSpaceDN w:val="0"/>
              <w:adjustRightInd w:val="0"/>
              <w:spacing w:line="240" w:lineRule="auto"/>
              <w:jc w:val="center"/>
            </w:pPr>
            <w:r>
              <w:t>N = 153</w:t>
            </w:r>
          </w:p>
          <w:p w14:paraId="473816FD" w14:textId="77777777" w:rsidR="00C04CAD" w:rsidRDefault="00060E34">
            <w:pPr>
              <w:keepNext/>
              <w:tabs>
                <w:tab w:val="clear" w:pos="567"/>
              </w:tabs>
              <w:kinsoku w:val="0"/>
              <w:overflowPunct w:val="0"/>
              <w:autoSpaceDE w:val="0"/>
              <w:autoSpaceDN w:val="0"/>
              <w:adjustRightInd w:val="0"/>
              <w:spacing w:line="240" w:lineRule="auto"/>
              <w:jc w:val="center"/>
            </w:pPr>
            <w:r>
              <w:t>64 (41,8%) *</w:t>
            </w:r>
          </w:p>
        </w:tc>
        <w:tc>
          <w:tcPr>
            <w:tcW w:w="755" w:type="pct"/>
            <w:tcBorders>
              <w:top w:val="single" w:sz="4" w:space="0" w:color="000000"/>
              <w:left w:val="single" w:sz="4" w:space="0" w:color="000000"/>
              <w:bottom w:val="single" w:sz="4" w:space="0" w:color="auto"/>
              <w:right w:val="single" w:sz="4" w:space="0" w:color="000000"/>
            </w:tcBorders>
          </w:tcPr>
          <w:p w14:paraId="4DD6D169" w14:textId="77777777" w:rsidR="00C04CAD" w:rsidRDefault="00060E34">
            <w:pPr>
              <w:keepNext/>
              <w:tabs>
                <w:tab w:val="clear" w:pos="567"/>
              </w:tabs>
              <w:kinsoku w:val="0"/>
              <w:overflowPunct w:val="0"/>
              <w:autoSpaceDE w:val="0"/>
              <w:autoSpaceDN w:val="0"/>
              <w:adjustRightInd w:val="0"/>
              <w:spacing w:line="240" w:lineRule="auto"/>
              <w:jc w:val="center"/>
            </w:pPr>
            <w:r>
              <w:t>N=163</w:t>
            </w:r>
          </w:p>
          <w:p w14:paraId="452C7965" w14:textId="77777777" w:rsidR="00C04CAD" w:rsidRDefault="00060E34">
            <w:pPr>
              <w:keepNext/>
              <w:tabs>
                <w:tab w:val="clear" w:pos="567"/>
              </w:tabs>
              <w:kinsoku w:val="0"/>
              <w:overflowPunct w:val="0"/>
              <w:autoSpaceDE w:val="0"/>
              <w:autoSpaceDN w:val="0"/>
              <w:adjustRightInd w:val="0"/>
              <w:spacing w:line="240" w:lineRule="auto"/>
              <w:jc w:val="center"/>
            </w:pPr>
            <w:r>
              <w:t>45 (27,6%)</w:t>
            </w:r>
          </w:p>
        </w:tc>
        <w:tc>
          <w:tcPr>
            <w:tcW w:w="1003" w:type="pct"/>
            <w:gridSpan w:val="2"/>
            <w:tcBorders>
              <w:top w:val="single" w:sz="4" w:space="0" w:color="000000"/>
              <w:left w:val="single" w:sz="4" w:space="0" w:color="000000"/>
              <w:bottom w:val="single" w:sz="4" w:space="0" w:color="auto"/>
              <w:right w:val="single" w:sz="4" w:space="0" w:color="000000"/>
            </w:tcBorders>
          </w:tcPr>
          <w:p w14:paraId="5639DFC5" w14:textId="77777777" w:rsidR="00C04CAD" w:rsidRDefault="00060E34">
            <w:pPr>
              <w:keepNext/>
              <w:tabs>
                <w:tab w:val="clear" w:pos="567"/>
              </w:tabs>
              <w:kinsoku w:val="0"/>
              <w:overflowPunct w:val="0"/>
              <w:autoSpaceDE w:val="0"/>
              <w:autoSpaceDN w:val="0"/>
              <w:adjustRightInd w:val="0"/>
              <w:spacing w:line="240" w:lineRule="auto"/>
              <w:jc w:val="center"/>
            </w:pPr>
            <w:r>
              <w:t>N=163</w:t>
            </w:r>
          </w:p>
          <w:p w14:paraId="054A7EBB" w14:textId="77777777" w:rsidR="00C04CAD" w:rsidRDefault="00060E34">
            <w:pPr>
              <w:keepNext/>
              <w:tabs>
                <w:tab w:val="clear" w:pos="567"/>
              </w:tabs>
              <w:kinsoku w:val="0"/>
              <w:overflowPunct w:val="0"/>
              <w:autoSpaceDE w:val="0"/>
              <w:autoSpaceDN w:val="0"/>
              <w:adjustRightInd w:val="0"/>
              <w:spacing w:line="240" w:lineRule="auto"/>
              <w:jc w:val="center"/>
            </w:pPr>
            <w:r>
              <w:t>96 (58,9%) ***</w:t>
            </w:r>
          </w:p>
        </w:tc>
      </w:tr>
      <w:tr w:rsidR="00C04CAD" w14:paraId="0C214034" w14:textId="77777777">
        <w:trPr>
          <w:trHeight w:hRule="exact" w:val="516"/>
        </w:trPr>
        <w:tc>
          <w:tcPr>
            <w:tcW w:w="1528" w:type="pct"/>
            <w:tcBorders>
              <w:top w:val="single" w:sz="4" w:space="0" w:color="auto"/>
              <w:left w:val="single" w:sz="4" w:space="0" w:color="auto"/>
              <w:bottom w:val="single" w:sz="4" w:space="0" w:color="auto"/>
              <w:right w:val="single" w:sz="4" w:space="0" w:color="000000"/>
            </w:tcBorders>
          </w:tcPr>
          <w:p w14:paraId="2F72F334" w14:textId="77777777" w:rsidR="00C04CAD" w:rsidRDefault="00060E34">
            <w:pPr>
              <w:keepNext/>
              <w:tabs>
                <w:tab w:val="clear" w:pos="567"/>
              </w:tabs>
              <w:kinsoku w:val="0"/>
              <w:overflowPunct w:val="0"/>
              <w:autoSpaceDE w:val="0"/>
              <w:autoSpaceDN w:val="0"/>
              <w:adjustRightInd w:val="0"/>
              <w:spacing w:line="240" w:lineRule="auto"/>
              <w:ind w:left="113"/>
            </w:pPr>
            <w:r>
              <w:t>≥ 30% Reducere a durerii cutanate</w:t>
            </w:r>
            <w:r>
              <w:rPr>
                <w:vertAlign w:val="superscript"/>
              </w:rPr>
              <w:t>b</w:t>
            </w:r>
          </w:p>
        </w:tc>
        <w:tc>
          <w:tcPr>
            <w:tcW w:w="775" w:type="pct"/>
            <w:tcBorders>
              <w:top w:val="single" w:sz="4" w:space="0" w:color="auto"/>
              <w:left w:val="single" w:sz="4" w:space="0" w:color="000000"/>
              <w:bottom w:val="single" w:sz="4" w:space="0" w:color="auto"/>
              <w:right w:val="single" w:sz="4" w:space="0" w:color="000000"/>
            </w:tcBorders>
          </w:tcPr>
          <w:p w14:paraId="67E8D446" w14:textId="77777777" w:rsidR="00C04CAD" w:rsidRDefault="00060E34">
            <w:pPr>
              <w:keepNext/>
              <w:tabs>
                <w:tab w:val="clear" w:pos="567"/>
              </w:tabs>
              <w:kinsoku w:val="0"/>
              <w:overflowPunct w:val="0"/>
              <w:autoSpaceDE w:val="0"/>
              <w:autoSpaceDN w:val="0"/>
              <w:adjustRightInd w:val="0"/>
              <w:spacing w:line="240" w:lineRule="auto"/>
              <w:jc w:val="center"/>
            </w:pPr>
            <w:r>
              <w:t>N = 109</w:t>
            </w:r>
          </w:p>
          <w:p w14:paraId="6A247F15" w14:textId="77777777" w:rsidR="00C04CAD" w:rsidRDefault="00060E34">
            <w:pPr>
              <w:keepNext/>
              <w:tabs>
                <w:tab w:val="clear" w:pos="567"/>
              </w:tabs>
              <w:kinsoku w:val="0"/>
              <w:overflowPunct w:val="0"/>
              <w:autoSpaceDE w:val="0"/>
              <w:autoSpaceDN w:val="0"/>
              <w:adjustRightInd w:val="0"/>
              <w:spacing w:line="240" w:lineRule="auto"/>
              <w:jc w:val="center"/>
            </w:pPr>
            <w:r>
              <w:t>27 (24,8%)</w:t>
            </w:r>
          </w:p>
        </w:tc>
        <w:tc>
          <w:tcPr>
            <w:tcW w:w="939" w:type="pct"/>
            <w:tcBorders>
              <w:top w:val="single" w:sz="4" w:space="0" w:color="auto"/>
              <w:left w:val="single" w:sz="4" w:space="0" w:color="000000"/>
              <w:bottom w:val="single" w:sz="4" w:space="0" w:color="auto"/>
              <w:right w:val="single" w:sz="4" w:space="0" w:color="000000"/>
            </w:tcBorders>
          </w:tcPr>
          <w:p w14:paraId="152C39EC" w14:textId="77777777" w:rsidR="00C04CAD" w:rsidRDefault="00060E34">
            <w:pPr>
              <w:keepNext/>
              <w:tabs>
                <w:tab w:val="clear" w:pos="567"/>
              </w:tabs>
              <w:kinsoku w:val="0"/>
              <w:overflowPunct w:val="0"/>
              <w:autoSpaceDE w:val="0"/>
              <w:autoSpaceDN w:val="0"/>
              <w:adjustRightInd w:val="0"/>
              <w:spacing w:line="240" w:lineRule="auto"/>
              <w:jc w:val="center"/>
            </w:pPr>
            <w:r>
              <w:t>N = 122</w:t>
            </w:r>
          </w:p>
          <w:p w14:paraId="5CB6DEC9" w14:textId="77777777" w:rsidR="00C04CAD" w:rsidRDefault="00060E34">
            <w:pPr>
              <w:keepNext/>
              <w:tabs>
                <w:tab w:val="clear" w:pos="567"/>
              </w:tabs>
              <w:kinsoku w:val="0"/>
              <w:overflowPunct w:val="0"/>
              <w:autoSpaceDE w:val="0"/>
              <w:autoSpaceDN w:val="0"/>
              <w:adjustRightInd w:val="0"/>
              <w:spacing w:line="240" w:lineRule="auto"/>
              <w:jc w:val="center"/>
            </w:pPr>
            <w:r>
              <w:t>34 (27,9%)</w:t>
            </w:r>
          </w:p>
        </w:tc>
        <w:tc>
          <w:tcPr>
            <w:tcW w:w="755" w:type="pct"/>
            <w:tcBorders>
              <w:top w:val="single" w:sz="4" w:space="0" w:color="auto"/>
              <w:left w:val="single" w:sz="4" w:space="0" w:color="000000"/>
              <w:bottom w:val="single" w:sz="4" w:space="0" w:color="auto"/>
              <w:right w:val="single" w:sz="4" w:space="0" w:color="000000"/>
            </w:tcBorders>
          </w:tcPr>
          <w:p w14:paraId="6E8DACDE" w14:textId="77777777" w:rsidR="00C04CAD" w:rsidRDefault="00060E34">
            <w:pPr>
              <w:keepNext/>
              <w:tabs>
                <w:tab w:val="clear" w:pos="567"/>
              </w:tabs>
              <w:kinsoku w:val="0"/>
              <w:overflowPunct w:val="0"/>
              <w:autoSpaceDE w:val="0"/>
              <w:autoSpaceDN w:val="0"/>
              <w:adjustRightInd w:val="0"/>
              <w:spacing w:line="240" w:lineRule="auto"/>
              <w:jc w:val="center"/>
            </w:pPr>
            <w:r>
              <w:t>N=111</w:t>
            </w:r>
          </w:p>
          <w:p w14:paraId="4C2DB769" w14:textId="77777777" w:rsidR="00C04CAD" w:rsidRDefault="00060E34">
            <w:pPr>
              <w:keepNext/>
              <w:tabs>
                <w:tab w:val="clear" w:pos="567"/>
              </w:tabs>
              <w:kinsoku w:val="0"/>
              <w:overflowPunct w:val="0"/>
              <w:autoSpaceDE w:val="0"/>
              <w:autoSpaceDN w:val="0"/>
              <w:adjustRightInd w:val="0"/>
              <w:spacing w:line="240" w:lineRule="auto"/>
              <w:jc w:val="center"/>
            </w:pPr>
            <w:r>
              <w:t>23 (20,7%)</w:t>
            </w:r>
          </w:p>
        </w:tc>
        <w:tc>
          <w:tcPr>
            <w:tcW w:w="1003" w:type="pct"/>
            <w:gridSpan w:val="2"/>
            <w:tcBorders>
              <w:top w:val="single" w:sz="4" w:space="0" w:color="auto"/>
              <w:left w:val="single" w:sz="4" w:space="0" w:color="000000"/>
              <w:bottom w:val="single" w:sz="4" w:space="0" w:color="auto"/>
              <w:right w:val="single" w:sz="4" w:space="0" w:color="auto"/>
            </w:tcBorders>
          </w:tcPr>
          <w:p w14:paraId="10E20D3E" w14:textId="77777777" w:rsidR="00C04CAD" w:rsidRDefault="00060E34">
            <w:pPr>
              <w:keepNext/>
              <w:tabs>
                <w:tab w:val="clear" w:pos="567"/>
              </w:tabs>
              <w:kinsoku w:val="0"/>
              <w:overflowPunct w:val="0"/>
              <w:autoSpaceDE w:val="0"/>
              <w:autoSpaceDN w:val="0"/>
              <w:adjustRightInd w:val="0"/>
              <w:spacing w:line="240" w:lineRule="auto"/>
              <w:jc w:val="center"/>
            </w:pPr>
            <w:r>
              <w:t>N=105</w:t>
            </w:r>
          </w:p>
          <w:p w14:paraId="4B22ABAF" w14:textId="77777777" w:rsidR="00C04CAD" w:rsidRDefault="00060E34">
            <w:pPr>
              <w:keepNext/>
              <w:tabs>
                <w:tab w:val="clear" w:pos="567"/>
              </w:tabs>
              <w:kinsoku w:val="0"/>
              <w:overflowPunct w:val="0"/>
              <w:autoSpaceDE w:val="0"/>
              <w:autoSpaceDN w:val="0"/>
              <w:adjustRightInd w:val="0"/>
              <w:spacing w:line="240" w:lineRule="auto"/>
              <w:jc w:val="center"/>
            </w:pPr>
            <w:r>
              <w:t>48 (45,7%) ***</w:t>
            </w:r>
          </w:p>
        </w:tc>
      </w:tr>
      <w:tr w:rsidR="00C04CAD" w14:paraId="1894C901" w14:textId="77777777">
        <w:trPr>
          <w:trHeight w:hRule="exact" w:val="1006"/>
        </w:trPr>
        <w:tc>
          <w:tcPr>
            <w:tcW w:w="5000" w:type="pct"/>
            <w:gridSpan w:val="6"/>
            <w:tcBorders>
              <w:top w:val="single" w:sz="4" w:space="0" w:color="auto"/>
            </w:tcBorders>
          </w:tcPr>
          <w:p w14:paraId="72A8C662"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w:t>
            </w:r>
            <w:r>
              <w:rPr>
                <w:sz w:val="20"/>
              </w:rPr>
              <w:t xml:space="preserve"> P</w:t>
            </w:r>
            <w:r>
              <w:rPr>
                <w:i/>
                <w:sz w:val="20"/>
              </w:rPr>
              <w:t xml:space="preserve"> </w:t>
            </w:r>
            <w:r>
              <w:rPr>
                <w:sz w:val="20"/>
              </w:rPr>
              <w:t>&lt; 0,05, ***P</w:t>
            </w:r>
            <w:r>
              <w:rPr>
                <w:i/>
                <w:sz w:val="20"/>
              </w:rPr>
              <w:t xml:space="preserve"> </w:t>
            </w:r>
            <w:r>
              <w:rPr>
                <w:sz w:val="20"/>
              </w:rPr>
              <w:t xml:space="preserve">&lt; 0,001, </w:t>
            </w:r>
            <w:r>
              <w:rPr>
                <w:rFonts w:eastAsia="MS Mincho"/>
                <w:sz w:val="20"/>
                <w:lang w:eastAsia="en-US" w:bidi="ar-SA"/>
              </w:rPr>
              <w:t>adalimumab</w:t>
            </w:r>
            <w:r>
              <w:rPr>
                <w:sz w:val="20"/>
              </w:rPr>
              <w:t xml:space="preserve"> comparativ cu placebo</w:t>
            </w:r>
          </w:p>
          <w:p w14:paraId="4FCF7FFB"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Dintre toți pacienții randomizațdo</w:t>
            </w:r>
          </w:p>
          <w:p w14:paraId="666DAD0D"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b</w:t>
            </w:r>
            <w:r>
              <w:rPr>
                <w:sz w:val="20"/>
              </w:rPr>
              <w:t xml:space="preserve"> Dintre paciențni cu un scor iniţial de evaluare a durerii cutanate cauzate de HS ≥ 3, pe Scala de Evaluare Numerică 0 – 10; 0</w:t>
            </w:r>
            <w:r>
              <w:rPr>
                <w:color w:val="000000"/>
                <w:szCs w:val="22"/>
                <w:lang w:eastAsia="en-GB"/>
              </w:rPr>
              <w:t> </w:t>
            </w:r>
            <w:r>
              <w:rPr>
                <w:sz w:val="20"/>
              </w:rPr>
              <w:t>=</w:t>
            </w:r>
            <w:r>
              <w:rPr>
                <w:color w:val="000000"/>
                <w:szCs w:val="22"/>
                <w:lang w:eastAsia="en-GB"/>
              </w:rPr>
              <w:t> </w:t>
            </w:r>
            <w:r>
              <w:rPr>
                <w:sz w:val="20"/>
              </w:rPr>
              <w:t>fără durere cutanată, 10 = cea mai intensă durere cutanată care poate fi imaginată</w:t>
            </w:r>
          </w:p>
        </w:tc>
      </w:tr>
    </w:tbl>
    <w:p w14:paraId="1EEFF9D1" w14:textId="77777777" w:rsidR="00C04CAD" w:rsidRDefault="00C04CAD">
      <w:pPr>
        <w:autoSpaceDE w:val="0"/>
        <w:autoSpaceDN w:val="0"/>
        <w:adjustRightInd w:val="0"/>
        <w:spacing w:line="240" w:lineRule="auto"/>
        <w:rPr>
          <w:szCs w:val="22"/>
        </w:rPr>
      </w:pPr>
    </w:p>
    <w:p w14:paraId="774F813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Tratamentul cu </w:t>
      </w:r>
      <w:r>
        <w:rPr>
          <w:rFonts w:eastAsia="MS Mincho"/>
          <w:szCs w:val="22"/>
          <w:lang w:eastAsia="en-US" w:bidi="ar-SA"/>
        </w:rPr>
        <w:t>adalimumab</w:t>
      </w:r>
      <w:r>
        <w:rPr>
          <w:szCs w:val="22"/>
        </w:rPr>
        <w:t xml:space="preserve"> 40 mg în fiecare săptămână a redus semnificativ riscul de agravare a abceselor şi drenajul fistulelor. În primele 12 săptămâni ale studiilor HS-I și HS-II, procente de aproximativ două ori mai mari de pacienți din grupul placebo au prezentat agravare a abceselor (23,0% comparativ cu respectiv 11,4%) și drenajul fistulelor (30,0 % comparativ cu respectiv 13,9%), comparativ cu cei din grupul </w:t>
      </w:r>
      <w:r>
        <w:rPr>
          <w:rFonts w:eastAsia="MS Mincho"/>
          <w:szCs w:val="22"/>
          <w:lang w:eastAsia="en-US" w:bidi="ar-SA"/>
        </w:rPr>
        <w:t>adalimumab</w:t>
      </w:r>
      <w:r>
        <w:rPr>
          <w:szCs w:val="22"/>
        </w:rPr>
        <w:t>.</w:t>
      </w:r>
    </w:p>
    <w:p w14:paraId="401D2752" w14:textId="77777777" w:rsidR="00C04CAD" w:rsidRDefault="00C04CAD">
      <w:pPr>
        <w:tabs>
          <w:tab w:val="clear" w:pos="567"/>
        </w:tabs>
        <w:kinsoku w:val="0"/>
        <w:overflowPunct w:val="0"/>
        <w:autoSpaceDE w:val="0"/>
        <w:autoSpaceDN w:val="0"/>
        <w:adjustRightInd w:val="0"/>
        <w:spacing w:line="240" w:lineRule="auto"/>
        <w:rPr>
          <w:szCs w:val="22"/>
        </w:rPr>
      </w:pPr>
    </w:p>
    <w:p w14:paraId="397A56D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În săptămâna 12 față de momentul initial s-au demonstrat ameliorări mai importante comparativ cu placebo ale calităţii vieţii legate de sănătatea dermatologică specifică, măsurată prin Indicele Dermatologic privind Calitatea Vieţii (DLQI, Studiile HS-I și HS-II), ale satisfacției globale a pacientului faţă de tratamentul medicamentos, măsurată prin Chestionarul de Satisfacție a pacientului</w:t>
      </w:r>
      <w:r>
        <w:rPr>
          <w:szCs w:val="22"/>
        </w:rPr>
        <w:noBreakHyphen/>
        <w:t>legat de medicamente (TSQM; Studiile HS-I și HS-II), precum și ale sănătăţii fizice, măsurată prin scorul componentei fizice a SF-36 (Studiul HS-I).</w:t>
      </w:r>
    </w:p>
    <w:p w14:paraId="256379F0" w14:textId="77777777" w:rsidR="00C04CAD" w:rsidRDefault="00C04CAD">
      <w:pPr>
        <w:tabs>
          <w:tab w:val="clear" w:pos="567"/>
        </w:tabs>
        <w:kinsoku w:val="0"/>
        <w:overflowPunct w:val="0"/>
        <w:autoSpaceDE w:val="0"/>
        <w:autoSpaceDN w:val="0"/>
        <w:adjustRightInd w:val="0"/>
        <w:spacing w:line="240" w:lineRule="auto"/>
        <w:rPr>
          <w:szCs w:val="22"/>
        </w:rPr>
      </w:pPr>
    </w:p>
    <w:p w14:paraId="7449A641" w14:textId="77777777" w:rsidR="00C04CAD" w:rsidRDefault="00060E34">
      <w:pPr>
        <w:autoSpaceDE w:val="0"/>
        <w:autoSpaceDN w:val="0"/>
        <w:adjustRightInd w:val="0"/>
        <w:spacing w:line="240" w:lineRule="auto"/>
        <w:rPr>
          <w:szCs w:val="22"/>
        </w:rPr>
      </w:pPr>
      <w:r>
        <w:rPr>
          <w:szCs w:val="22"/>
        </w:rPr>
        <w:t xml:space="preserve">La pacienții cu cel puțin un răspuns parțial la </w:t>
      </w:r>
      <w:r>
        <w:rPr>
          <w:rFonts w:eastAsia="MS Mincho"/>
          <w:szCs w:val="22"/>
          <w:lang w:eastAsia="en-US" w:bidi="ar-SA"/>
        </w:rPr>
        <w:t>adalimumab</w:t>
      </w:r>
      <w:r>
        <w:rPr>
          <w:szCs w:val="22"/>
        </w:rPr>
        <w:t xml:space="preserve"> 40 mg pe săptămână în </w:t>
      </w:r>
      <w:r>
        <w:rPr>
          <w:rFonts w:eastAsia="MS Mincho"/>
          <w:szCs w:val="22"/>
          <w:lang w:eastAsia="en-US" w:bidi="ar-SA"/>
        </w:rPr>
        <w:t>săptămâna</w:t>
      </w:r>
      <w:r>
        <w:rPr>
          <w:szCs w:val="22"/>
        </w:rPr>
        <w:t xml:space="preserve"> 12, rata HiSRC în </w:t>
      </w:r>
      <w:r>
        <w:rPr>
          <w:rFonts w:eastAsia="MS Mincho"/>
          <w:szCs w:val="22"/>
          <w:lang w:eastAsia="en-US" w:bidi="ar-SA"/>
        </w:rPr>
        <w:t>săptămâna</w:t>
      </w:r>
      <w:r>
        <w:rPr>
          <w:szCs w:val="22"/>
        </w:rPr>
        <w:t xml:space="preserve"> 36 a fost mai mare la pacienții care au continuat </w:t>
      </w:r>
      <w:r>
        <w:rPr>
          <w:rFonts w:eastAsia="MS Mincho"/>
          <w:szCs w:val="22"/>
          <w:lang w:eastAsia="en-US" w:bidi="ar-SA"/>
        </w:rPr>
        <w:t>adalimumab</w:t>
      </w:r>
      <w:r>
        <w:rPr>
          <w:szCs w:val="22"/>
        </w:rPr>
        <w:t xml:space="preserve"> săptămânal decât la pacienții la care frecvența dozei a fost redusă la o dată la două săptămâni sau la care tratamentul a fost întrerupt (vezi tabelul </w:t>
      </w:r>
      <w:r>
        <w:rPr>
          <w:rFonts w:eastAsia="MS Mincho"/>
          <w:szCs w:val="22"/>
          <w:lang w:eastAsia="en-US" w:bidi="ar-SA"/>
        </w:rPr>
        <w:t>20</w:t>
      </w:r>
      <w:r>
        <w:rPr>
          <w:szCs w:val="22"/>
        </w:rPr>
        <w:t>).</w:t>
      </w:r>
    </w:p>
    <w:p w14:paraId="487C030C" w14:textId="77777777" w:rsidR="00C04CAD" w:rsidRDefault="00C04CAD">
      <w:pPr>
        <w:autoSpaceDE w:val="0"/>
        <w:autoSpaceDN w:val="0"/>
        <w:adjustRightInd w:val="0"/>
        <w:spacing w:line="240" w:lineRule="auto"/>
        <w:rPr>
          <w:szCs w:val="22"/>
        </w:rPr>
      </w:pPr>
    </w:p>
    <w:p w14:paraId="588DD1E1" w14:textId="77777777" w:rsidR="00C04CAD" w:rsidRDefault="00060E34">
      <w:pPr>
        <w:keepNext/>
        <w:tabs>
          <w:tab w:val="clear" w:pos="567"/>
        </w:tabs>
        <w:kinsoku w:val="0"/>
        <w:overflowPunct w:val="0"/>
        <w:autoSpaceDE w:val="0"/>
        <w:autoSpaceDN w:val="0"/>
        <w:adjustRightInd w:val="0"/>
        <w:spacing w:line="240" w:lineRule="auto"/>
        <w:outlineLvl w:val="0"/>
        <w:rPr>
          <w:szCs w:val="22"/>
        </w:rPr>
      </w:pPr>
      <w:r>
        <w:rPr>
          <w:b/>
          <w:szCs w:val="22"/>
        </w:rPr>
        <w:t xml:space="preserve">Tabelul </w:t>
      </w:r>
      <w:r>
        <w:rPr>
          <w:rFonts w:eastAsia="MS Mincho"/>
          <w:b/>
          <w:bCs/>
          <w:szCs w:val="22"/>
          <w:lang w:eastAsia="en-US" w:bidi="ar-SA"/>
        </w:rPr>
        <w:t>20.</w:t>
      </w:r>
      <w:r>
        <w:rPr>
          <w:b/>
          <w:szCs w:val="22"/>
        </w:rPr>
        <w:t xml:space="preserve"> Procentul pacienţilor</w:t>
      </w:r>
      <w:r>
        <w:rPr>
          <w:b/>
          <w:szCs w:val="22"/>
          <w:vertAlign w:val="superscript"/>
        </w:rPr>
        <w:t>a</w:t>
      </w:r>
      <w:r>
        <w:rPr>
          <w:b/>
          <w:szCs w:val="22"/>
        </w:rPr>
        <w:t xml:space="preserve"> care au atins HiSRC</w:t>
      </w:r>
      <w:r>
        <w:rPr>
          <w:b/>
          <w:szCs w:val="22"/>
          <w:vertAlign w:val="superscript"/>
        </w:rPr>
        <w:t>b</w:t>
      </w:r>
      <w:r>
        <w:rPr>
          <w:b/>
          <w:szCs w:val="22"/>
        </w:rPr>
        <w:t xml:space="preserve"> în </w:t>
      </w:r>
      <w:r>
        <w:rPr>
          <w:rFonts w:eastAsia="MS Mincho"/>
          <w:b/>
          <w:bCs/>
          <w:szCs w:val="22"/>
          <w:lang w:eastAsia="en-US" w:bidi="ar-SA"/>
        </w:rPr>
        <w:t>săptămânile</w:t>
      </w:r>
      <w:r>
        <w:rPr>
          <w:b/>
          <w:szCs w:val="22"/>
        </w:rPr>
        <w:t xml:space="preserve"> 24 şi 36 după </w:t>
      </w:r>
    </w:p>
    <w:p w14:paraId="53B97B81" w14:textId="77777777" w:rsidR="00C04CAD" w:rsidRDefault="00060E34">
      <w:pPr>
        <w:keepNext/>
        <w:autoSpaceDE w:val="0"/>
        <w:autoSpaceDN w:val="0"/>
        <w:adjustRightInd w:val="0"/>
        <w:spacing w:line="240" w:lineRule="auto"/>
        <w:rPr>
          <w:b/>
          <w:bCs/>
          <w:szCs w:val="22"/>
        </w:rPr>
      </w:pPr>
      <w:r>
        <w:rPr>
          <w:b/>
          <w:szCs w:val="22"/>
        </w:rPr>
        <w:t xml:space="preserve">schimbarea tratamentului de la </w:t>
      </w:r>
      <w:r>
        <w:rPr>
          <w:rFonts w:eastAsia="MS Mincho"/>
          <w:b/>
          <w:szCs w:val="22"/>
          <w:lang w:eastAsia="en-US" w:bidi="ar-SA"/>
        </w:rPr>
        <w:t>adalimumab</w:t>
      </w:r>
      <w:r>
        <w:rPr>
          <w:b/>
          <w:szCs w:val="22"/>
        </w:rPr>
        <w:t xml:space="preserve"> administrat săptămânal în săptămâna 12</w:t>
      </w:r>
    </w:p>
    <w:p w14:paraId="0DC3EABE" w14:textId="77777777" w:rsidR="00C04CAD" w:rsidRDefault="00C04CAD">
      <w:pPr>
        <w:keepNext/>
        <w:autoSpaceDE w:val="0"/>
        <w:autoSpaceDN w:val="0"/>
        <w:adjustRightInd w:val="0"/>
        <w:spacing w:line="240" w:lineRule="auto"/>
        <w:rPr>
          <w:szCs w:val="22"/>
        </w:rPr>
      </w:pPr>
    </w:p>
    <w:tbl>
      <w:tblPr>
        <w:tblW w:w="9214" w:type="dxa"/>
        <w:tblInd w:w="-5" w:type="dxa"/>
        <w:tblLayout w:type="fixed"/>
        <w:tblCellMar>
          <w:left w:w="0" w:type="dxa"/>
          <w:right w:w="0" w:type="dxa"/>
        </w:tblCellMar>
        <w:tblLook w:val="04A0" w:firstRow="1" w:lastRow="0" w:firstColumn="1" w:lastColumn="0" w:noHBand="0" w:noVBand="1"/>
      </w:tblPr>
      <w:tblGrid>
        <w:gridCol w:w="1995"/>
        <w:gridCol w:w="2126"/>
        <w:gridCol w:w="2552"/>
        <w:gridCol w:w="2541"/>
      </w:tblGrid>
      <w:tr w:rsidR="00C04CAD" w14:paraId="738B3007" w14:textId="77777777">
        <w:trPr>
          <w:trHeight w:hRule="exact" w:val="1049"/>
        </w:trPr>
        <w:tc>
          <w:tcPr>
            <w:tcW w:w="1995" w:type="dxa"/>
            <w:tcBorders>
              <w:top w:val="single" w:sz="4" w:space="0" w:color="000000"/>
              <w:left w:val="single" w:sz="4" w:space="0" w:color="000000"/>
              <w:bottom w:val="single" w:sz="4" w:space="0" w:color="000000"/>
              <w:right w:val="single" w:sz="4" w:space="0" w:color="000000"/>
            </w:tcBorders>
          </w:tcPr>
          <w:p w14:paraId="30113D90" w14:textId="77777777" w:rsidR="00C04CAD" w:rsidRDefault="00C04CAD">
            <w:pPr>
              <w:keepNext/>
              <w:tabs>
                <w:tab w:val="clear" w:pos="567"/>
              </w:tabs>
              <w:autoSpaceDE w:val="0"/>
              <w:autoSpaceDN w:val="0"/>
              <w:adjustRightInd w:val="0"/>
              <w:spacing w:line="240" w:lineRule="auto"/>
            </w:pPr>
          </w:p>
        </w:tc>
        <w:tc>
          <w:tcPr>
            <w:tcW w:w="2126" w:type="dxa"/>
            <w:tcBorders>
              <w:top w:val="single" w:sz="4" w:space="0" w:color="000000"/>
              <w:left w:val="single" w:sz="4" w:space="0" w:color="000000"/>
              <w:bottom w:val="single" w:sz="4" w:space="0" w:color="000000"/>
              <w:right w:val="single" w:sz="4" w:space="0" w:color="000000"/>
            </w:tcBorders>
            <w:vAlign w:val="center"/>
          </w:tcPr>
          <w:p w14:paraId="20737C2E"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 xml:space="preserve">Placebo </w:t>
            </w:r>
          </w:p>
          <w:p w14:paraId="096FB367" w14:textId="77777777" w:rsidR="00C04CAD" w:rsidRDefault="00060E34">
            <w:pPr>
              <w:keepNext/>
              <w:tabs>
                <w:tab w:val="clear" w:pos="567"/>
              </w:tabs>
              <w:kinsoku w:val="0"/>
              <w:overflowPunct w:val="0"/>
              <w:autoSpaceDE w:val="0"/>
              <w:autoSpaceDN w:val="0"/>
              <w:adjustRightInd w:val="0"/>
              <w:spacing w:line="240" w:lineRule="auto"/>
              <w:jc w:val="center"/>
              <w:rPr>
                <w:b/>
              </w:rPr>
            </w:pPr>
            <w:r>
              <w:rPr>
                <w:b/>
              </w:rPr>
              <w:t xml:space="preserve">(întrerupere tratament) </w:t>
            </w:r>
          </w:p>
          <w:p w14:paraId="1D421CDC" w14:textId="77777777" w:rsidR="00C04CAD" w:rsidRDefault="00060E34">
            <w:pPr>
              <w:keepNext/>
              <w:tabs>
                <w:tab w:val="clear" w:pos="567"/>
              </w:tabs>
              <w:kinsoku w:val="0"/>
              <w:overflowPunct w:val="0"/>
              <w:autoSpaceDE w:val="0"/>
              <w:autoSpaceDN w:val="0"/>
              <w:adjustRightInd w:val="0"/>
              <w:spacing w:line="240" w:lineRule="auto"/>
              <w:jc w:val="center"/>
            </w:pPr>
            <w:r>
              <w:rPr>
                <w:b/>
              </w:rPr>
              <w:t>N = 73</w:t>
            </w:r>
          </w:p>
        </w:tc>
        <w:tc>
          <w:tcPr>
            <w:tcW w:w="2552" w:type="dxa"/>
            <w:tcBorders>
              <w:top w:val="single" w:sz="4" w:space="0" w:color="000000"/>
              <w:left w:val="single" w:sz="4" w:space="0" w:color="000000"/>
              <w:bottom w:val="single" w:sz="4" w:space="0" w:color="000000"/>
              <w:right w:val="single" w:sz="4" w:space="0" w:color="000000"/>
            </w:tcBorders>
            <w:vAlign w:val="center"/>
          </w:tcPr>
          <w:p w14:paraId="0C59DE5F"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zCs w:val="22"/>
                <w:lang w:eastAsia="en-US" w:bidi="ar-SA"/>
              </w:rPr>
              <w:t>Adalimumab</w:t>
            </w:r>
            <w:r>
              <w:rPr>
                <w:b/>
                <w:szCs w:val="22"/>
              </w:rPr>
              <w:t xml:space="preserve"> 40 mg o dată la două săptămâni</w:t>
            </w:r>
          </w:p>
          <w:p w14:paraId="6EB489B2" w14:textId="77777777" w:rsidR="00C04CAD" w:rsidRDefault="00060E34">
            <w:pPr>
              <w:keepNext/>
              <w:tabs>
                <w:tab w:val="clear" w:pos="567"/>
              </w:tabs>
              <w:kinsoku w:val="0"/>
              <w:overflowPunct w:val="0"/>
              <w:autoSpaceDE w:val="0"/>
              <w:autoSpaceDN w:val="0"/>
              <w:adjustRightInd w:val="0"/>
              <w:spacing w:line="240" w:lineRule="auto"/>
              <w:jc w:val="center"/>
            </w:pPr>
            <w:r>
              <w:rPr>
                <w:b/>
                <w:szCs w:val="22"/>
              </w:rPr>
              <w:t>N = 70</w:t>
            </w:r>
          </w:p>
        </w:tc>
        <w:tc>
          <w:tcPr>
            <w:tcW w:w="2541" w:type="dxa"/>
            <w:tcBorders>
              <w:top w:val="single" w:sz="4" w:space="0" w:color="000000"/>
              <w:left w:val="single" w:sz="4" w:space="0" w:color="000000"/>
              <w:bottom w:val="single" w:sz="4" w:space="0" w:color="000000"/>
              <w:right w:val="single" w:sz="4" w:space="0" w:color="000000"/>
            </w:tcBorders>
            <w:vAlign w:val="center"/>
          </w:tcPr>
          <w:p w14:paraId="1F1371CB" w14:textId="77777777" w:rsidR="00C04CAD" w:rsidRDefault="00060E34">
            <w:pPr>
              <w:keepNext/>
              <w:tabs>
                <w:tab w:val="clear" w:pos="567"/>
              </w:tabs>
              <w:kinsoku w:val="0"/>
              <w:overflowPunct w:val="0"/>
              <w:autoSpaceDE w:val="0"/>
              <w:autoSpaceDN w:val="0"/>
              <w:adjustRightInd w:val="0"/>
              <w:spacing w:line="240" w:lineRule="auto"/>
              <w:jc w:val="center"/>
              <w:rPr>
                <w:szCs w:val="22"/>
              </w:rPr>
            </w:pPr>
            <w:r>
              <w:rPr>
                <w:rFonts w:eastAsia="MS Mincho"/>
                <w:b/>
                <w:szCs w:val="22"/>
                <w:lang w:eastAsia="en-US" w:bidi="ar-SA"/>
              </w:rPr>
              <w:t>Adalimumab</w:t>
            </w:r>
            <w:r>
              <w:rPr>
                <w:b/>
                <w:szCs w:val="22"/>
              </w:rPr>
              <w:t xml:space="preserve"> 40 mg săptămânal</w:t>
            </w:r>
          </w:p>
          <w:p w14:paraId="48014399" w14:textId="77777777" w:rsidR="00C04CAD" w:rsidRDefault="00060E34">
            <w:pPr>
              <w:keepNext/>
              <w:tabs>
                <w:tab w:val="clear" w:pos="567"/>
              </w:tabs>
              <w:kinsoku w:val="0"/>
              <w:overflowPunct w:val="0"/>
              <w:autoSpaceDE w:val="0"/>
              <w:autoSpaceDN w:val="0"/>
              <w:adjustRightInd w:val="0"/>
              <w:spacing w:line="240" w:lineRule="auto"/>
              <w:jc w:val="center"/>
            </w:pPr>
            <w:r>
              <w:rPr>
                <w:b/>
                <w:szCs w:val="22"/>
              </w:rPr>
              <w:t>N = 70</w:t>
            </w:r>
          </w:p>
        </w:tc>
      </w:tr>
      <w:tr w:rsidR="00C04CAD" w14:paraId="12122A49" w14:textId="77777777">
        <w:trPr>
          <w:trHeight w:hRule="exact" w:val="571"/>
        </w:trPr>
        <w:tc>
          <w:tcPr>
            <w:tcW w:w="1995" w:type="dxa"/>
            <w:tcBorders>
              <w:top w:val="single" w:sz="4" w:space="0" w:color="000000"/>
              <w:left w:val="single" w:sz="4" w:space="0" w:color="000000"/>
              <w:bottom w:val="single" w:sz="4" w:space="0" w:color="auto"/>
              <w:right w:val="single" w:sz="4" w:space="0" w:color="000000"/>
            </w:tcBorders>
          </w:tcPr>
          <w:p w14:paraId="3DBE6884" w14:textId="77777777" w:rsidR="00C04CAD" w:rsidRDefault="00060E34">
            <w:pPr>
              <w:tabs>
                <w:tab w:val="clear" w:pos="567"/>
              </w:tabs>
              <w:kinsoku w:val="0"/>
              <w:overflowPunct w:val="0"/>
              <w:autoSpaceDE w:val="0"/>
              <w:autoSpaceDN w:val="0"/>
              <w:adjustRightInd w:val="0"/>
              <w:spacing w:line="240" w:lineRule="auto"/>
              <w:ind w:left="80"/>
            </w:pPr>
            <w:r>
              <w:t>Săptămâna 24</w:t>
            </w:r>
          </w:p>
        </w:tc>
        <w:tc>
          <w:tcPr>
            <w:tcW w:w="2126" w:type="dxa"/>
            <w:tcBorders>
              <w:top w:val="single" w:sz="4" w:space="0" w:color="000000"/>
              <w:left w:val="single" w:sz="4" w:space="0" w:color="000000"/>
              <w:bottom w:val="single" w:sz="4" w:space="0" w:color="auto"/>
              <w:right w:val="single" w:sz="4" w:space="0" w:color="000000"/>
            </w:tcBorders>
          </w:tcPr>
          <w:p w14:paraId="4CBC600D" w14:textId="77777777" w:rsidR="00C04CAD" w:rsidRDefault="00060E34">
            <w:pPr>
              <w:tabs>
                <w:tab w:val="clear" w:pos="567"/>
              </w:tabs>
              <w:kinsoku w:val="0"/>
              <w:overflowPunct w:val="0"/>
              <w:autoSpaceDE w:val="0"/>
              <w:autoSpaceDN w:val="0"/>
              <w:adjustRightInd w:val="0"/>
              <w:spacing w:line="240" w:lineRule="auto"/>
              <w:jc w:val="center"/>
            </w:pPr>
            <w:r>
              <w:t>24 (32,9%)</w:t>
            </w:r>
          </w:p>
        </w:tc>
        <w:tc>
          <w:tcPr>
            <w:tcW w:w="2552" w:type="dxa"/>
            <w:tcBorders>
              <w:top w:val="single" w:sz="4" w:space="0" w:color="000000"/>
              <w:left w:val="single" w:sz="4" w:space="0" w:color="000000"/>
              <w:bottom w:val="single" w:sz="4" w:space="0" w:color="auto"/>
              <w:right w:val="single" w:sz="4" w:space="0" w:color="000000"/>
            </w:tcBorders>
          </w:tcPr>
          <w:p w14:paraId="71BDB33A" w14:textId="77777777" w:rsidR="00C04CAD" w:rsidRDefault="00060E34">
            <w:pPr>
              <w:tabs>
                <w:tab w:val="clear" w:pos="567"/>
              </w:tabs>
              <w:kinsoku w:val="0"/>
              <w:overflowPunct w:val="0"/>
              <w:autoSpaceDE w:val="0"/>
              <w:autoSpaceDN w:val="0"/>
              <w:adjustRightInd w:val="0"/>
              <w:spacing w:line="240" w:lineRule="auto"/>
              <w:jc w:val="center"/>
            </w:pPr>
            <w:r>
              <w:t>36 (51,4%)</w:t>
            </w:r>
          </w:p>
        </w:tc>
        <w:tc>
          <w:tcPr>
            <w:tcW w:w="2541" w:type="dxa"/>
            <w:tcBorders>
              <w:top w:val="single" w:sz="4" w:space="0" w:color="000000"/>
              <w:left w:val="single" w:sz="4" w:space="0" w:color="000000"/>
              <w:bottom w:val="single" w:sz="4" w:space="0" w:color="auto"/>
              <w:right w:val="single" w:sz="4" w:space="0" w:color="000000"/>
            </w:tcBorders>
          </w:tcPr>
          <w:p w14:paraId="1591B67A" w14:textId="77777777" w:rsidR="00C04CAD" w:rsidRDefault="00060E34">
            <w:pPr>
              <w:tabs>
                <w:tab w:val="clear" w:pos="567"/>
              </w:tabs>
              <w:kinsoku w:val="0"/>
              <w:overflowPunct w:val="0"/>
              <w:autoSpaceDE w:val="0"/>
              <w:autoSpaceDN w:val="0"/>
              <w:adjustRightInd w:val="0"/>
              <w:spacing w:line="240" w:lineRule="auto"/>
              <w:jc w:val="center"/>
            </w:pPr>
            <w:r>
              <w:t>40 (57,1%)</w:t>
            </w:r>
          </w:p>
        </w:tc>
      </w:tr>
      <w:tr w:rsidR="00C04CAD" w14:paraId="6F99265A" w14:textId="77777777">
        <w:trPr>
          <w:trHeight w:hRule="exact" w:val="569"/>
        </w:trPr>
        <w:tc>
          <w:tcPr>
            <w:tcW w:w="1995" w:type="dxa"/>
            <w:tcBorders>
              <w:top w:val="single" w:sz="4" w:space="0" w:color="auto"/>
              <w:left w:val="single" w:sz="4" w:space="0" w:color="auto"/>
              <w:bottom w:val="single" w:sz="4" w:space="0" w:color="auto"/>
              <w:right w:val="single" w:sz="4" w:space="0" w:color="000000"/>
            </w:tcBorders>
          </w:tcPr>
          <w:p w14:paraId="5DECDC54" w14:textId="77777777" w:rsidR="00C04CAD" w:rsidRDefault="00060E34">
            <w:pPr>
              <w:tabs>
                <w:tab w:val="clear" w:pos="567"/>
              </w:tabs>
              <w:kinsoku w:val="0"/>
              <w:overflowPunct w:val="0"/>
              <w:autoSpaceDE w:val="0"/>
              <w:autoSpaceDN w:val="0"/>
              <w:adjustRightInd w:val="0"/>
              <w:spacing w:line="240" w:lineRule="auto"/>
              <w:ind w:left="80"/>
            </w:pPr>
            <w:r>
              <w:t>Săptămâna 36</w:t>
            </w:r>
          </w:p>
        </w:tc>
        <w:tc>
          <w:tcPr>
            <w:tcW w:w="2126" w:type="dxa"/>
            <w:tcBorders>
              <w:top w:val="single" w:sz="4" w:space="0" w:color="auto"/>
              <w:left w:val="single" w:sz="4" w:space="0" w:color="000000"/>
              <w:bottom w:val="single" w:sz="4" w:space="0" w:color="auto"/>
              <w:right w:val="single" w:sz="4" w:space="0" w:color="000000"/>
            </w:tcBorders>
          </w:tcPr>
          <w:p w14:paraId="62CD69FD" w14:textId="77777777" w:rsidR="00C04CAD" w:rsidRDefault="00060E34">
            <w:pPr>
              <w:tabs>
                <w:tab w:val="clear" w:pos="567"/>
              </w:tabs>
              <w:kinsoku w:val="0"/>
              <w:overflowPunct w:val="0"/>
              <w:autoSpaceDE w:val="0"/>
              <w:autoSpaceDN w:val="0"/>
              <w:adjustRightInd w:val="0"/>
              <w:spacing w:line="240" w:lineRule="auto"/>
              <w:jc w:val="center"/>
            </w:pPr>
            <w:r>
              <w:t>22 (30,1%)</w:t>
            </w:r>
          </w:p>
        </w:tc>
        <w:tc>
          <w:tcPr>
            <w:tcW w:w="2552" w:type="dxa"/>
            <w:tcBorders>
              <w:top w:val="single" w:sz="4" w:space="0" w:color="auto"/>
              <w:left w:val="single" w:sz="4" w:space="0" w:color="000000"/>
              <w:bottom w:val="single" w:sz="4" w:space="0" w:color="auto"/>
              <w:right w:val="single" w:sz="4" w:space="0" w:color="000000"/>
            </w:tcBorders>
          </w:tcPr>
          <w:p w14:paraId="7D680931" w14:textId="77777777" w:rsidR="00C04CAD" w:rsidRDefault="00060E34">
            <w:pPr>
              <w:tabs>
                <w:tab w:val="clear" w:pos="567"/>
              </w:tabs>
              <w:kinsoku w:val="0"/>
              <w:overflowPunct w:val="0"/>
              <w:autoSpaceDE w:val="0"/>
              <w:autoSpaceDN w:val="0"/>
              <w:adjustRightInd w:val="0"/>
              <w:spacing w:line="240" w:lineRule="auto"/>
              <w:jc w:val="center"/>
            </w:pPr>
            <w:r>
              <w:t>28 (40,0%)</w:t>
            </w:r>
          </w:p>
        </w:tc>
        <w:tc>
          <w:tcPr>
            <w:tcW w:w="2541" w:type="dxa"/>
            <w:tcBorders>
              <w:top w:val="single" w:sz="4" w:space="0" w:color="auto"/>
              <w:left w:val="single" w:sz="4" w:space="0" w:color="000000"/>
              <w:bottom w:val="single" w:sz="4" w:space="0" w:color="auto"/>
              <w:right w:val="single" w:sz="4" w:space="0" w:color="auto"/>
            </w:tcBorders>
          </w:tcPr>
          <w:p w14:paraId="1B35876D" w14:textId="77777777" w:rsidR="00C04CAD" w:rsidRDefault="00060E34">
            <w:pPr>
              <w:tabs>
                <w:tab w:val="clear" w:pos="567"/>
              </w:tabs>
              <w:kinsoku w:val="0"/>
              <w:overflowPunct w:val="0"/>
              <w:autoSpaceDE w:val="0"/>
              <w:autoSpaceDN w:val="0"/>
              <w:adjustRightInd w:val="0"/>
              <w:spacing w:line="240" w:lineRule="auto"/>
              <w:jc w:val="center"/>
            </w:pPr>
            <w:r>
              <w:t>39 (55,7%)</w:t>
            </w:r>
          </w:p>
        </w:tc>
      </w:tr>
      <w:tr w:rsidR="00C04CAD" w14:paraId="3044A930" w14:textId="77777777">
        <w:trPr>
          <w:trHeight w:hRule="exact" w:val="737"/>
        </w:trPr>
        <w:tc>
          <w:tcPr>
            <w:tcW w:w="9214" w:type="dxa"/>
            <w:gridSpan w:val="4"/>
            <w:tcBorders>
              <w:top w:val="single" w:sz="4" w:space="0" w:color="auto"/>
            </w:tcBorders>
          </w:tcPr>
          <w:p w14:paraId="61614F04" w14:textId="77777777" w:rsidR="00C04CAD" w:rsidRDefault="00060E34">
            <w:pPr>
              <w:tabs>
                <w:tab w:val="clear" w:pos="567"/>
              </w:tabs>
              <w:kinsoku w:val="0"/>
              <w:overflowPunct w:val="0"/>
              <w:autoSpaceDE w:val="0"/>
              <w:autoSpaceDN w:val="0"/>
              <w:adjustRightInd w:val="0"/>
              <w:spacing w:line="240" w:lineRule="auto"/>
              <w:rPr>
                <w:sz w:val="20"/>
              </w:rPr>
            </w:pPr>
            <w:r>
              <w:rPr>
                <w:sz w:val="20"/>
                <w:vertAlign w:val="superscript"/>
              </w:rPr>
              <w:t>a</w:t>
            </w:r>
            <w:r>
              <w:rPr>
                <w:sz w:val="20"/>
              </w:rPr>
              <w:t xml:space="preserve"> Pacienţi cu cel puţin un răspuns parţial la </w:t>
            </w:r>
            <w:r>
              <w:rPr>
                <w:rFonts w:eastAsia="MS Mincho"/>
                <w:sz w:val="20"/>
                <w:lang w:eastAsia="en-US" w:bidi="ar-SA"/>
              </w:rPr>
              <w:t>adalimumab</w:t>
            </w:r>
            <w:r>
              <w:rPr>
                <w:sz w:val="20"/>
              </w:rPr>
              <w:t xml:space="preserve"> 40 mg săptămânal după 12 săptămâni de tratament</w:t>
            </w:r>
          </w:p>
          <w:p w14:paraId="6D214443" w14:textId="77777777" w:rsidR="00C04CAD" w:rsidRDefault="00060E34">
            <w:pPr>
              <w:tabs>
                <w:tab w:val="clear" w:pos="567"/>
              </w:tabs>
              <w:kinsoku w:val="0"/>
              <w:overflowPunct w:val="0"/>
              <w:autoSpaceDE w:val="0"/>
              <w:autoSpaceDN w:val="0"/>
              <w:adjustRightInd w:val="0"/>
              <w:spacing w:line="240" w:lineRule="auto"/>
            </w:pPr>
            <w:r>
              <w:rPr>
                <w:sz w:val="20"/>
                <w:vertAlign w:val="superscript"/>
              </w:rPr>
              <w:t>b</w:t>
            </w:r>
            <w:r>
              <w:rPr>
                <w:sz w:val="20"/>
              </w:rPr>
              <w:t xml:space="preserve"> Pentru pacienţii care au îndeplinit criteriile specifice protocolului pentru pierderea răspunsului sau absenţa oricărei ameliorări s-a solicitat ieşirea din studii şi au fost număraţi ca pacienţi fără răspuns la tratament</w:t>
            </w:r>
          </w:p>
        </w:tc>
      </w:tr>
    </w:tbl>
    <w:p w14:paraId="551B712D" w14:textId="77777777" w:rsidR="00C04CAD" w:rsidRDefault="00C04CAD">
      <w:pPr>
        <w:autoSpaceDE w:val="0"/>
        <w:autoSpaceDN w:val="0"/>
        <w:adjustRightInd w:val="0"/>
        <w:spacing w:line="240" w:lineRule="auto"/>
        <w:rPr>
          <w:sz w:val="24"/>
        </w:rPr>
      </w:pPr>
    </w:p>
    <w:p w14:paraId="18D1A3EA"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În rândul pacienţilor care au răspuns cel putin parțial în </w:t>
      </w:r>
      <w:r>
        <w:rPr>
          <w:rFonts w:eastAsia="MS Mincho"/>
          <w:szCs w:val="22"/>
          <w:lang w:eastAsia="en-US" w:bidi="ar-SA"/>
        </w:rPr>
        <w:t>săptămâna</w:t>
      </w:r>
      <w:r>
        <w:t xml:space="preserve"> 12 și care au primit tratament săptămânal continuu cu </w:t>
      </w:r>
      <w:r>
        <w:rPr>
          <w:rFonts w:eastAsia="MS Mincho"/>
          <w:szCs w:val="22"/>
          <w:lang w:eastAsia="en-US" w:bidi="ar-SA"/>
        </w:rPr>
        <w:t>adalimumab</w:t>
      </w:r>
      <w:r>
        <w:t xml:space="preserve">, rata HiSRC în </w:t>
      </w:r>
      <w:r>
        <w:rPr>
          <w:rFonts w:eastAsia="MS Mincho"/>
          <w:szCs w:val="22"/>
          <w:lang w:eastAsia="en-US" w:bidi="ar-SA"/>
        </w:rPr>
        <w:t>săptămâna</w:t>
      </w:r>
      <w:r>
        <w:t xml:space="preserve"> 48 a fost de 68,3% și în </w:t>
      </w:r>
      <w:r>
        <w:rPr>
          <w:rFonts w:eastAsia="MS Mincho"/>
          <w:szCs w:val="22"/>
          <w:lang w:eastAsia="en-US" w:bidi="ar-SA"/>
        </w:rPr>
        <w:t xml:space="preserve">săptămâna 96 </w:t>
      </w:r>
      <w:r>
        <w:t xml:space="preserve">a fost de 65,1%. </w:t>
      </w:r>
      <w:r>
        <w:rPr>
          <w:rFonts w:eastAsia="MS Mincho"/>
          <w:szCs w:val="22"/>
          <w:lang w:eastAsia="en-US" w:bidi="ar-SA"/>
        </w:rPr>
        <w:t>Tratamentul pe termen mai lung cu adalimumab 40 mg pe săptămână timp de 96 de săptămâni nu a identificat noi aspecte privind siguranța.</w:t>
      </w:r>
    </w:p>
    <w:p w14:paraId="3D8A164F"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7586A76B" w14:textId="77777777" w:rsidR="00C04CAD" w:rsidRDefault="00060E34">
      <w:pPr>
        <w:tabs>
          <w:tab w:val="clear" w:pos="567"/>
        </w:tabs>
        <w:kinsoku w:val="0"/>
        <w:overflowPunct w:val="0"/>
        <w:autoSpaceDE w:val="0"/>
        <w:autoSpaceDN w:val="0"/>
        <w:adjustRightInd w:val="0"/>
        <w:spacing w:line="240" w:lineRule="auto"/>
        <w:rPr>
          <w:szCs w:val="22"/>
        </w:rPr>
      </w:pPr>
      <w:r>
        <w:t xml:space="preserve">Printre pacienţii al căror tratament cu </w:t>
      </w:r>
      <w:r>
        <w:rPr>
          <w:rFonts w:eastAsia="MS Mincho"/>
          <w:szCs w:val="22"/>
          <w:lang w:eastAsia="en-US" w:bidi="ar-SA"/>
        </w:rPr>
        <w:t>adalimumab</w:t>
      </w:r>
      <w:r>
        <w:t xml:space="preserve"> a fost întrerupt în </w:t>
      </w:r>
      <w:r>
        <w:rPr>
          <w:rFonts w:eastAsia="MS Mincho"/>
          <w:szCs w:val="22"/>
          <w:lang w:eastAsia="en-US" w:bidi="ar-SA"/>
        </w:rPr>
        <w:t>săptămâna</w:t>
      </w:r>
      <w:r>
        <w:t xml:space="preserve"> 12 în Studiile HS-I și </w:t>
      </w:r>
      <w:r>
        <w:rPr>
          <w:szCs w:val="22"/>
        </w:rPr>
        <w:t xml:space="preserve">HS-II, la 12 săptămâni după reintroducerea </w:t>
      </w:r>
      <w:r>
        <w:rPr>
          <w:rFonts w:eastAsia="MS Mincho"/>
          <w:szCs w:val="22"/>
          <w:lang w:eastAsia="en-US" w:bidi="ar-SA"/>
        </w:rPr>
        <w:t>adalimumab</w:t>
      </w:r>
      <w:r>
        <w:rPr>
          <w:szCs w:val="22"/>
        </w:rPr>
        <w:t xml:space="preserve"> 40 mg săptămânal rata HiSRC a revenit la niveluri similare cu cele observate înainte de întrerupere (56,0%).</w:t>
      </w:r>
    </w:p>
    <w:p w14:paraId="49D1A217" w14:textId="77777777" w:rsidR="00C04CAD" w:rsidRDefault="00C04CAD">
      <w:pPr>
        <w:tabs>
          <w:tab w:val="clear" w:pos="567"/>
        </w:tabs>
        <w:kinsoku w:val="0"/>
        <w:overflowPunct w:val="0"/>
        <w:autoSpaceDE w:val="0"/>
        <w:autoSpaceDN w:val="0"/>
        <w:adjustRightInd w:val="0"/>
        <w:spacing w:line="240" w:lineRule="auto"/>
        <w:rPr>
          <w:szCs w:val="22"/>
        </w:rPr>
      </w:pPr>
    </w:p>
    <w:p w14:paraId="0A442DB1" w14:textId="77777777" w:rsidR="00C04CAD" w:rsidRDefault="00060E34">
      <w:pPr>
        <w:tabs>
          <w:tab w:val="clear" w:pos="567"/>
        </w:tabs>
        <w:kinsoku w:val="0"/>
        <w:overflowPunct w:val="0"/>
        <w:autoSpaceDE w:val="0"/>
        <w:autoSpaceDN w:val="0"/>
        <w:adjustRightInd w:val="0"/>
        <w:spacing w:line="240" w:lineRule="auto"/>
        <w:rPr>
          <w:i/>
          <w:szCs w:val="22"/>
        </w:rPr>
      </w:pPr>
      <w:r>
        <w:rPr>
          <w:i/>
          <w:szCs w:val="22"/>
        </w:rPr>
        <w:t>Boală Crohn</w:t>
      </w:r>
    </w:p>
    <w:p w14:paraId="749990E7" w14:textId="77777777" w:rsidR="00C04CAD" w:rsidRDefault="00C04CAD">
      <w:pPr>
        <w:tabs>
          <w:tab w:val="clear" w:pos="567"/>
        </w:tabs>
        <w:kinsoku w:val="0"/>
        <w:overflowPunct w:val="0"/>
        <w:autoSpaceDE w:val="0"/>
        <w:autoSpaceDN w:val="0"/>
        <w:adjustRightInd w:val="0"/>
        <w:spacing w:line="240" w:lineRule="auto"/>
        <w:rPr>
          <w:szCs w:val="22"/>
        </w:rPr>
      </w:pPr>
    </w:p>
    <w:p w14:paraId="4258D13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Siguranţa şi eficacitate </w:t>
      </w:r>
      <w:r>
        <w:rPr>
          <w:rFonts w:eastAsia="MS Mincho"/>
          <w:szCs w:val="22"/>
          <w:lang w:eastAsia="en-US" w:bidi="ar-SA"/>
        </w:rPr>
        <w:t>adalimumab</w:t>
      </w:r>
      <w:r>
        <w:rPr>
          <w:szCs w:val="22"/>
        </w:rPr>
        <w:t xml:space="preserve"> au fost evaluate la peste 1 500 pacienţi cu boală Crohn activă moderată până la severă (Index de Activitate a bolii Crohn (IABC) ≥220 şi ≤450) în studii placebo controlate dublu orb, randomizate. Au fost permise doze fixe concomitente de aminosalicilaţi, corticosteroizi şi/sau imunomodulatoare şi 80% din pacienţi au primit în continuare cel puţin unul dintre aceste medicamente.</w:t>
      </w:r>
    </w:p>
    <w:p w14:paraId="645E5EED" w14:textId="77777777" w:rsidR="00C04CAD" w:rsidRDefault="00C04CAD">
      <w:pPr>
        <w:tabs>
          <w:tab w:val="clear" w:pos="567"/>
        </w:tabs>
        <w:kinsoku w:val="0"/>
        <w:overflowPunct w:val="0"/>
        <w:autoSpaceDE w:val="0"/>
        <w:autoSpaceDN w:val="0"/>
        <w:adjustRightInd w:val="0"/>
        <w:spacing w:line="240" w:lineRule="auto"/>
        <w:rPr>
          <w:szCs w:val="22"/>
        </w:rPr>
      </w:pPr>
    </w:p>
    <w:p w14:paraId="136C9C4B"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Inducerea remisiei clinice (definită ca IABC &lt;150) a fost evaluată în două studii, studiul BC I (CLASSIC I) şi studiul BC II (GAIN). La unul din patru grupuri de tratament din studiul BC I, au fost randomizaţi 299 pacienţi fără antagonişti TNF; placebo în săptămâna 0 şi 2, 160 mg </w:t>
      </w:r>
      <w:r>
        <w:rPr>
          <w:rFonts w:eastAsia="MS Mincho"/>
          <w:szCs w:val="22"/>
          <w:lang w:eastAsia="en-US" w:bidi="ar-SA"/>
        </w:rPr>
        <w:t>adalimumab</w:t>
      </w:r>
      <w:r>
        <w:rPr>
          <w:szCs w:val="22"/>
        </w:rPr>
        <w:t xml:space="preserve"> în </w:t>
      </w:r>
      <w:r>
        <w:rPr>
          <w:rFonts w:eastAsia="MS Mincho"/>
          <w:szCs w:val="22"/>
          <w:lang w:eastAsia="en-US" w:bidi="ar-SA"/>
        </w:rPr>
        <w:t>săptămâna</w:t>
      </w:r>
      <w:r>
        <w:rPr>
          <w:szCs w:val="22"/>
        </w:rPr>
        <w:t xml:space="preserve"> 0 şi 80 mg în </w:t>
      </w:r>
      <w:r>
        <w:rPr>
          <w:rFonts w:eastAsia="MS Mincho"/>
          <w:szCs w:val="22"/>
          <w:lang w:eastAsia="en-US" w:bidi="ar-SA"/>
        </w:rPr>
        <w:t>săptămâna</w:t>
      </w:r>
      <w:r>
        <w:rPr>
          <w:szCs w:val="22"/>
        </w:rPr>
        <w:t xml:space="preserve"> 2, 80 mg în </w:t>
      </w:r>
      <w:r>
        <w:rPr>
          <w:rFonts w:eastAsia="MS Mincho"/>
          <w:szCs w:val="22"/>
          <w:lang w:eastAsia="en-US" w:bidi="ar-SA"/>
        </w:rPr>
        <w:t>săptămâna</w:t>
      </w:r>
      <w:r>
        <w:rPr>
          <w:szCs w:val="22"/>
        </w:rPr>
        <w:t xml:space="preserve"> 0 şi 40 mg în </w:t>
      </w:r>
      <w:r>
        <w:rPr>
          <w:rFonts w:eastAsia="MS Mincho"/>
          <w:szCs w:val="22"/>
          <w:lang w:eastAsia="en-US" w:bidi="ar-SA"/>
        </w:rPr>
        <w:t>săptămâna</w:t>
      </w:r>
      <w:r>
        <w:rPr>
          <w:szCs w:val="22"/>
        </w:rPr>
        <w:t xml:space="preserve"> 2 şi 40 mg în </w:t>
      </w:r>
      <w:r>
        <w:rPr>
          <w:rFonts w:eastAsia="MS Mincho"/>
          <w:szCs w:val="22"/>
          <w:lang w:eastAsia="en-US" w:bidi="ar-SA"/>
        </w:rPr>
        <w:t>săptămâna</w:t>
      </w:r>
      <w:r>
        <w:rPr>
          <w:szCs w:val="22"/>
        </w:rPr>
        <w:t xml:space="preserve"> 0 şi 20 mg în </w:t>
      </w:r>
      <w:r>
        <w:rPr>
          <w:rFonts w:eastAsia="MS Mincho"/>
          <w:szCs w:val="22"/>
          <w:lang w:eastAsia="en-US" w:bidi="ar-SA"/>
        </w:rPr>
        <w:t>săptămâna</w:t>
      </w:r>
      <w:r>
        <w:rPr>
          <w:szCs w:val="22"/>
        </w:rPr>
        <w:t xml:space="preserve"> 2. În studiul BC II, 325 pacienţi care nu au răspuns sau au avut intoleranţă la infliximab au fost randomizaţi să primească ori 160 mg </w:t>
      </w:r>
      <w:r>
        <w:rPr>
          <w:rFonts w:eastAsia="MS Mincho"/>
          <w:szCs w:val="22"/>
          <w:lang w:eastAsia="en-US" w:bidi="ar-SA"/>
        </w:rPr>
        <w:t>adalimumab</w:t>
      </w:r>
      <w:r>
        <w:rPr>
          <w:szCs w:val="22"/>
        </w:rPr>
        <w:t xml:space="preserve"> în </w:t>
      </w:r>
      <w:r>
        <w:rPr>
          <w:rFonts w:eastAsia="MS Mincho"/>
          <w:szCs w:val="22"/>
          <w:lang w:eastAsia="en-US" w:bidi="ar-SA"/>
        </w:rPr>
        <w:t>săptămâna</w:t>
      </w:r>
      <w:r>
        <w:rPr>
          <w:szCs w:val="22"/>
        </w:rPr>
        <w:t xml:space="preserve"> 0 şi 80 mg în </w:t>
      </w:r>
      <w:r>
        <w:rPr>
          <w:rFonts w:eastAsia="MS Mincho"/>
          <w:szCs w:val="22"/>
          <w:lang w:eastAsia="en-US" w:bidi="ar-SA"/>
        </w:rPr>
        <w:t>săptămâna</w:t>
      </w:r>
      <w:r>
        <w:rPr>
          <w:szCs w:val="22"/>
        </w:rPr>
        <w:t xml:space="preserve"> 2 sau placebo în </w:t>
      </w:r>
      <w:r>
        <w:rPr>
          <w:rFonts w:eastAsia="MS Mincho"/>
          <w:szCs w:val="22"/>
          <w:lang w:eastAsia="en-US" w:bidi="ar-SA"/>
        </w:rPr>
        <w:t>săptămâna</w:t>
      </w:r>
      <w:r>
        <w:rPr>
          <w:szCs w:val="22"/>
        </w:rPr>
        <w:t xml:space="preserve"> 0 şi 2. Cei care nu au răspuns de la început la tratament au fost excluşi din studiu şi de aceea aceşti pacienţi nu au fost evaluaţi în continuare.</w:t>
      </w:r>
    </w:p>
    <w:p w14:paraId="48B495D4" w14:textId="77777777" w:rsidR="00C04CAD" w:rsidRDefault="00C04CAD">
      <w:pPr>
        <w:tabs>
          <w:tab w:val="clear" w:pos="567"/>
        </w:tabs>
        <w:kinsoku w:val="0"/>
        <w:overflowPunct w:val="0"/>
        <w:autoSpaceDE w:val="0"/>
        <w:autoSpaceDN w:val="0"/>
        <w:adjustRightInd w:val="0"/>
        <w:spacing w:line="240" w:lineRule="auto"/>
        <w:rPr>
          <w:szCs w:val="22"/>
        </w:rPr>
      </w:pPr>
    </w:p>
    <w:p w14:paraId="52E4C2C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studiul BC III a fost evaluată menţinerea remisiei clinice. În studiul BC III, 854 pacienţi au primit deschis 80 mg în </w:t>
      </w:r>
      <w:r>
        <w:rPr>
          <w:rFonts w:eastAsia="MS Mincho"/>
          <w:szCs w:val="22"/>
          <w:lang w:eastAsia="en-US" w:bidi="ar-SA"/>
        </w:rPr>
        <w:t>săptămâna</w:t>
      </w:r>
      <w:r>
        <w:rPr>
          <w:szCs w:val="22"/>
        </w:rPr>
        <w:t xml:space="preserve"> 0 şi 40 mg în </w:t>
      </w:r>
      <w:r>
        <w:rPr>
          <w:rFonts w:eastAsia="MS Mincho"/>
          <w:szCs w:val="22"/>
          <w:lang w:eastAsia="en-US" w:bidi="ar-SA"/>
        </w:rPr>
        <w:t>săptămâna</w:t>
      </w:r>
      <w:r>
        <w:rPr>
          <w:szCs w:val="22"/>
        </w:rPr>
        <w:t xml:space="preserve"> 2. În săptămâna 4, pacienţii au fost randomizaţi cu 40 mg la două săptămâni, 40 mg în fiecare săptămână, sau placebo, cu o durată totală a studiului de 56 săptămâni. Pacienţii cu răspuns clinic (scăderea IABC ≥70) în </w:t>
      </w:r>
      <w:r>
        <w:rPr>
          <w:rFonts w:eastAsia="MS Mincho"/>
          <w:szCs w:val="22"/>
          <w:lang w:eastAsia="en-US" w:bidi="ar-SA"/>
        </w:rPr>
        <w:t>săptămâna</w:t>
      </w:r>
      <w:r>
        <w:rPr>
          <w:szCs w:val="22"/>
        </w:rPr>
        <w:t xml:space="preserve"> 4 au fost stratificaţi şi analizaţi separat de cei care nu au răspuns clinic în </w:t>
      </w:r>
      <w:r>
        <w:rPr>
          <w:rFonts w:eastAsia="MS Mincho"/>
          <w:szCs w:val="22"/>
          <w:lang w:eastAsia="en-US" w:bidi="ar-SA"/>
        </w:rPr>
        <w:t>săptămâna</w:t>
      </w:r>
      <w:r>
        <w:rPr>
          <w:szCs w:val="22"/>
        </w:rPr>
        <w:t xml:space="preserve"> 4. Tratamentul cu corticosteroizi a fost permis după </w:t>
      </w:r>
      <w:r>
        <w:rPr>
          <w:rFonts w:eastAsia="MS Mincho"/>
          <w:szCs w:val="22"/>
          <w:lang w:eastAsia="en-US" w:bidi="ar-SA"/>
        </w:rPr>
        <w:t>săptămâna</w:t>
      </w:r>
      <w:r>
        <w:rPr>
          <w:szCs w:val="22"/>
        </w:rPr>
        <w:t xml:space="preserve"> 8.</w:t>
      </w:r>
    </w:p>
    <w:p w14:paraId="2D112130" w14:textId="77777777" w:rsidR="00C04CAD" w:rsidRDefault="00C04CAD">
      <w:pPr>
        <w:tabs>
          <w:tab w:val="clear" w:pos="567"/>
        </w:tabs>
        <w:kinsoku w:val="0"/>
        <w:overflowPunct w:val="0"/>
        <w:autoSpaceDE w:val="0"/>
        <w:autoSpaceDN w:val="0"/>
        <w:adjustRightInd w:val="0"/>
        <w:spacing w:line="240" w:lineRule="auto"/>
        <w:rPr>
          <w:szCs w:val="22"/>
        </w:rPr>
      </w:pPr>
    </w:p>
    <w:p w14:paraId="05330090" w14:textId="77777777" w:rsidR="00C04CAD" w:rsidRDefault="00060E34">
      <w:pPr>
        <w:autoSpaceDE w:val="0"/>
        <w:autoSpaceDN w:val="0"/>
        <w:adjustRightInd w:val="0"/>
        <w:spacing w:line="240" w:lineRule="auto"/>
        <w:rPr>
          <w:szCs w:val="22"/>
        </w:rPr>
      </w:pPr>
      <w:r>
        <w:rPr>
          <w:szCs w:val="22"/>
        </w:rPr>
        <w:t xml:space="preserve">Inducerea remisiunii şi ratele răspunsului din studiile BC I şi BC II sunt prezentate în tabelul </w:t>
      </w:r>
      <w:r>
        <w:rPr>
          <w:rFonts w:eastAsia="MS Mincho"/>
          <w:szCs w:val="22"/>
          <w:lang w:eastAsia="en-US" w:bidi="ar-SA"/>
        </w:rPr>
        <w:t>21</w:t>
      </w:r>
      <w:r>
        <w:rPr>
          <w:szCs w:val="22"/>
        </w:rPr>
        <w:t>.</w:t>
      </w:r>
    </w:p>
    <w:p w14:paraId="10A94ACA" w14:textId="77777777" w:rsidR="00C04CAD" w:rsidRDefault="00C04CAD">
      <w:pPr>
        <w:autoSpaceDE w:val="0"/>
        <w:autoSpaceDN w:val="0"/>
        <w:adjustRightInd w:val="0"/>
        <w:spacing w:line="240" w:lineRule="auto"/>
        <w:rPr>
          <w:sz w:val="24"/>
        </w:rPr>
      </w:pPr>
    </w:p>
    <w:p w14:paraId="49A6DCE2" w14:textId="77777777" w:rsidR="00C04CAD" w:rsidRDefault="00060E34">
      <w:pPr>
        <w:keepNext/>
        <w:autoSpaceDE w:val="0"/>
        <w:autoSpaceDN w:val="0"/>
        <w:adjustRightInd w:val="0"/>
        <w:spacing w:line="240" w:lineRule="auto"/>
        <w:rPr>
          <w:b/>
          <w:sz w:val="24"/>
        </w:rPr>
      </w:pPr>
      <w:r>
        <w:rPr>
          <w:b/>
          <w:bCs/>
        </w:rPr>
        <w:t xml:space="preserve">Tabelul 21. </w:t>
      </w:r>
      <w:r>
        <w:rPr>
          <w:b/>
        </w:rPr>
        <w:t>Inducerea r</w:t>
      </w:r>
      <w:r>
        <w:rPr>
          <w:b/>
          <w:szCs w:val="22"/>
        </w:rPr>
        <w:t xml:space="preserve">emisiei </w:t>
      </w:r>
      <w:r>
        <w:rPr>
          <w:b/>
        </w:rPr>
        <w:t>c</w:t>
      </w:r>
      <w:r>
        <w:rPr>
          <w:b/>
          <w:szCs w:val="22"/>
        </w:rPr>
        <w:t>linice</w:t>
      </w:r>
      <w:r>
        <w:rPr>
          <w:b/>
        </w:rPr>
        <w:t xml:space="preserve"> şi r</w:t>
      </w:r>
      <w:r>
        <w:rPr>
          <w:b/>
          <w:szCs w:val="22"/>
        </w:rPr>
        <w:t xml:space="preserve">ăspuns </w:t>
      </w:r>
      <w:r>
        <w:rPr>
          <w:b/>
        </w:rPr>
        <w:t>(procentul pacienţilor)</w:t>
      </w:r>
    </w:p>
    <w:p w14:paraId="2174981B" w14:textId="77777777" w:rsidR="00C04CAD" w:rsidRDefault="00C04CAD">
      <w:pPr>
        <w:keepNext/>
        <w:autoSpaceDE w:val="0"/>
        <w:autoSpaceDN w:val="0"/>
        <w:adjustRightInd w:val="0"/>
        <w:spacing w:line="240" w:lineRule="auto"/>
        <w:rPr>
          <w:sz w:val="24"/>
        </w:rPr>
      </w:pPr>
    </w:p>
    <w:tbl>
      <w:tblPr>
        <w:tblW w:w="5000" w:type="pct"/>
        <w:tblLayout w:type="fixed"/>
        <w:tblCellMar>
          <w:left w:w="0" w:type="dxa"/>
          <w:right w:w="0" w:type="dxa"/>
        </w:tblCellMar>
        <w:tblLook w:val="04A0" w:firstRow="1" w:lastRow="0" w:firstColumn="1" w:lastColumn="0" w:noHBand="0" w:noVBand="1"/>
      </w:tblPr>
      <w:tblGrid>
        <w:gridCol w:w="2612"/>
        <w:gridCol w:w="950"/>
        <w:gridCol w:w="1502"/>
        <w:gridCol w:w="1499"/>
        <w:gridCol w:w="1026"/>
        <w:gridCol w:w="1472"/>
      </w:tblGrid>
      <w:tr w:rsidR="00C04CAD" w14:paraId="55DF3126" w14:textId="77777777">
        <w:trPr>
          <w:trHeight w:hRule="exact" w:val="925"/>
        </w:trPr>
        <w:tc>
          <w:tcPr>
            <w:tcW w:w="1442" w:type="pct"/>
            <w:tcBorders>
              <w:top w:val="single" w:sz="4" w:space="0" w:color="000000"/>
              <w:left w:val="single" w:sz="4" w:space="0" w:color="000000"/>
              <w:bottom w:val="single" w:sz="4" w:space="0" w:color="000000"/>
              <w:right w:val="single" w:sz="4" w:space="0" w:color="000000"/>
            </w:tcBorders>
          </w:tcPr>
          <w:p w14:paraId="10FBFAA9" w14:textId="77777777" w:rsidR="00C04CAD" w:rsidRDefault="00C04CAD">
            <w:pPr>
              <w:keepNext/>
              <w:tabs>
                <w:tab w:val="clear" w:pos="567"/>
              </w:tabs>
              <w:autoSpaceDE w:val="0"/>
              <w:autoSpaceDN w:val="0"/>
              <w:adjustRightInd w:val="0"/>
              <w:spacing w:line="240" w:lineRule="auto"/>
            </w:pPr>
          </w:p>
        </w:tc>
        <w:tc>
          <w:tcPr>
            <w:tcW w:w="2180" w:type="pct"/>
            <w:gridSpan w:val="3"/>
            <w:tcBorders>
              <w:top w:val="single" w:sz="4" w:space="0" w:color="000000"/>
              <w:left w:val="single" w:sz="4" w:space="0" w:color="000000"/>
              <w:bottom w:val="single" w:sz="4" w:space="0" w:color="000000"/>
              <w:right w:val="single" w:sz="4" w:space="0" w:color="000000"/>
            </w:tcBorders>
          </w:tcPr>
          <w:p w14:paraId="2DCBD760" w14:textId="77777777" w:rsidR="00C04CAD" w:rsidRDefault="00060E34">
            <w:pPr>
              <w:keepNext/>
              <w:tabs>
                <w:tab w:val="clear" w:pos="567"/>
              </w:tabs>
              <w:kinsoku w:val="0"/>
              <w:overflowPunct w:val="0"/>
              <w:autoSpaceDE w:val="0"/>
              <w:autoSpaceDN w:val="0"/>
              <w:adjustRightInd w:val="0"/>
              <w:spacing w:line="240" w:lineRule="auto"/>
              <w:jc w:val="center"/>
            </w:pPr>
            <w:r>
              <w:rPr>
                <w:b/>
              </w:rPr>
              <w:t>Studiul BC I: Pacienţi care nu au primit infliximab</w:t>
            </w:r>
          </w:p>
        </w:tc>
        <w:tc>
          <w:tcPr>
            <w:tcW w:w="1378" w:type="pct"/>
            <w:gridSpan w:val="2"/>
            <w:tcBorders>
              <w:top w:val="single" w:sz="4" w:space="0" w:color="000000"/>
              <w:left w:val="single" w:sz="4" w:space="0" w:color="000000"/>
              <w:bottom w:val="single" w:sz="4" w:space="0" w:color="000000"/>
              <w:right w:val="single" w:sz="4" w:space="0" w:color="000000"/>
            </w:tcBorders>
          </w:tcPr>
          <w:p w14:paraId="00123746" w14:textId="77777777" w:rsidR="00C04CAD" w:rsidRDefault="00060E34">
            <w:pPr>
              <w:keepNext/>
              <w:tabs>
                <w:tab w:val="clear" w:pos="567"/>
              </w:tabs>
              <w:kinsoku w:val="0"/>
              <w:overflowPunct w:val="0"/>
              <w:autoSpaceDE w:val="0"/>
              <w:autoSpaceDN w:val="0"/>
              <w:adjustRightInd w:val="0"/>
              <w:spacing w:line="240" w:lineRule="auto"/>
              <w:jc w:val="center"/>
            </w:pPr>
            <w:r>
              <w:rPr>
                <w:b/>
              </w:rPr>
              <w:t>Studiul BC II: Pacienţi care au primit anterior infliximab</w:t>
            </w:r>
          </w:p>
        </w:tc>
      </w:tr>
      <w:tr w:rsidR="00C04CAD" w14:paraId="6E80A0F5" w14:textId="77777777">
        <w:trPr>
          <w:trHeight w:hRule="exact" w:val="850"/>
        </w:trPr>
        <w:tc>
          <w:tcPr>
            <w:tcW w:w="1442" w:type="pct"/>
            <w:tcBorders>
              <w:top w:val="single" w:sz="4" w:space="0" w:color="000000"/>
              <w:left w:val="single" w:sz="4" w:space="0" w:color="000000"/>
              <w:bottom w:val="single" w:sz="4" w:space="0" w:color="000000"/>
              <w:right w:val="single" w:sz="4" w:space="0" w:color="000000"/>
            </w:tcBorders>
          </w:tcPr>
          <w:p w14:paraId="6E6D6BE6" w14:textId="77777777" w:rsidR="00C04CAD" w:rsidRDefault="00C04CAD">
            <w:pPr>
              <w:tabs>
                <w:tab w:val="clear" w:pos="567"/>
              </w:tabs>
              <w:autoSpaceDE w:val="0"/>
              <w:autoSpaceDN w:val="0"/>
              <w:adjustRightInd w:val="0"/>
              <w:spacing w:line="240" w:lineRule="auto"/>
            </w:pPr>
          </w:p>
        </w:tc>
        <w:tc>
          <w:tcPr>
            <w:tcW w:w="524" w:type="pct"/>
            <w:tcBorders>
              <w:top w:val="single" w:sz="4" w:space="0" w:color="000000"/>
              <w:left w:val="single" w:sz="4" w:space="0" w:color="000000"/>
              <w:bottom w:val="single" w:sz="4" w:space="0" w:color="000000"/>
              <w:right w:val="single" w:sz="4" w:space="0" w:color="000000"/>
            </w:tcBorders>
          </w:tcPr>
          <w:p w14:paraId="76D15003"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rPr>
              <w:t>Placebo</w:t>
            </w:r>
          </w:p>
          <w:p w14:paraId="56F76DDD"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rPr>
              <w:t>N=74</w:t>
            </w:r>
          </w:p>
        </w:tc>
        <w:tc>
          <w:tcPr>
            <w:tcW w:w="829" w:type="pct"/>
            <w:tcBorders>
              <w:top w:val="single" w:sz="4" w:space="0" w:color="000000"/>
              <w:left w:val="single" w:sz="4" w:space="0" w:color="000000"/>
              <w:bottom w:val="single" w:sz="4" w:space="0" w:color="000000"/>
              <w:right w:val="single" w:sz="4" w:space="0" w:color="000000"/>
            </w:tcBorders>
          </w:tcPr>
          <w:p w14:paraId="6D3E8AFA"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zCs w:val="22"/>
                <w:lang w:eastAsia="en-US" w:bidi="ar-SA"/>
              </w:rPr>
              <w:t>Adalimumab</w:t>
            </w:r>
          </w:p>
          <w:p w14:paraId="136694E8"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80/40 mg</w:t>
            </w:r>
          </w:p>
          <w:p w14:paraId="616B33F6"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zCs w:val="22"/>
              </w:rPr>
              <w:t>N=75</w:t>
            </w:r>
          </w:p>
        </w:tc>
        <w:tc>
          <w:tcPr>
            <w:tcW w:w="827" w:type="pct"/>
            <w:tcBorders>
              <w:top w:val="single" w:sz="4" w:space="0" w:color="000000"/>
              <w:left w:val="single" w:sz="4" w:space="0" w:color="000000"/>
              <w:bottom w:val="single" w:sz="4" w:space="0" w:color="000000"/>
              <w:right w:val="single" w:sz="4" w:space="0" w:color="000000"/>
            </w:tcBorders>
          </w:tcPr>
          <w:p w14:paraId="68B56099"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zCs w:val="22"/>
                <w:lang w:eastAsia="en-US" w:bidi="ar-SA"/>
              </w:rPr>
              <w:t>Adalimumab</w:t>
            </w:r>
          </w:p>
          <w:p w14:paraId="1147AD91"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160/80 mg</w:t>
            </w:r>
          </w:p>
          <w:p w14:paraId="05DA614E"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zCs w:val="22"/>
              </w:rPr>
              <w:t>N=76</w:t>
            </w:r>
          </w:p>
        </w:tc>
        <w:tc>
          <w:tcPr>
            <w:tcW w:w="566" w:type="pct"/>
            <w:tcBorders>
              <w:top w:val="single" w:sz="4" w:space="0" w:color="000000"/>
              <w:left w:val="single" w:sz="4" w:space="0" w:color="000000"/>
              <w:bottom w:val="single" w:sz="4" w:space="0" w:color="000000"/>
              <w:right w:val="single" w:sz="4" w:space="0" w:color="000000"/>
            </w:tcBorders>
          </w:tcPr>
          <w:p w14:paraId="25D3A7B5"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rPr>
              <w:t>Placebo</w:t>
            </w:r>
          </w:p>
          <w:p w14:paraId="43D59156"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rPr>
              <w:t>N=166</w:t>
            </w:r>
          </w:p>
        </w:tc>
        <w:tc>
          <w:tcPr>
            <w:tcW w:w="812" w:type="pct"/>
            <w:tcBorders>
              <w:top w:val="single" w:sz="4" w:space="0" w:color="000000"/>
              <w:left w:val="single" w:sz="4" w:space="0" w:color="000000"/>
              <w:bottom w:val="single" w:sz="4" w:space="0" w:color="000000"/>
              <w:right w:val="single" w:sz="4" w:space="0" w:color="000000"/>
            </w:tcBorders>
          </w:tcPr>
          <w:p w14:paraId="73356E20" w14:textId="77777777" w:rsidR="00C04CAD" w:rsidRDefault="00060E34">
            <w:pPr>
              <w:tabs>
                <w:tab w:val="clear" w:pos="567"/>
              </w:tabs>
              <w:kinsoku w:val="0"/>
              <w:overflowPunct w:val="0"/>
              <w:autoSpaceDE w:val="0"/>
              <w:autoSpaceDN w:val="0"/>
              <w:adjustRightInd w:val="0"/>
              <w:spacing w:line="240" w:lineRule="auto"/>
              <w:ind w:left="113"/>
              <w:jc w:val="center"/>
              <w:rPr>
                <w:rFonts w:eastAsia="MS Mincho"/>
                <w:b/>
                <w:szCs w:val="22"/>
                <w:lang w:eastAsia="en-US" w:bidi="ar-SA"/>
              </w:rPr>
            </w:pPr>
            <w:r>
              <w:rPr>
                <w:rFonts w:eastAsia="MS Mincho"/>
                <w:b/>
                <w:szCs w:val="22"/>
                <w:lang w:eastAsia="en-US" w:bidi="ar-SA"/>
              </w:rPr>
              <w:t>Adalimumab</w:t>
            </w:r>
          </w:p>
          <w:p w14:paraId="63CEB251" w14:textId="77777777" w:rsidR="00C04CAD" w:rsidRDefault="00060E34">
            <w:pPr>
              <w:tabs>
                <w:tab w:val="clear" w:pos="567"/>
              </w:tabs>
              <w:kinsoku w:val="0"/>
              <w:overflowPunct w:val="0"/>
              <w:autoSpaceDE w:val="0"/>
              <w:autoSpaceDN w:val="0"/>
              <w:adjustRightInd w:val="0"/>
              <w:spacing w:line="240" w:lineRule="auto"/>
              <w:ind w:left="113"/>
              <w:jc w:val="center"/>
              <w:rPr>
                <w:b/>
                <w:szCs w:val="22"/>
              </w:rPr>
            </w:pPr>
            <w:r>
              <w:rPr>
                <w:b/>
                <w:szCs w:val="22"/>
              </w:rPr>
              <w:t>160/80 mg</w:t>
            </w:r>
          </w:p>
          <w:p w14:paraId="0B9BAE76" w14:textId="77777777" w:rsidR="00C04CAD" w:rsidRDefault="00060E34">
            <w:pPr>
              <w:tabs>
                <w:tab w:val="clear" w:pos="567"/>
              </w:tabs>
              <w:kinsoku w:val="0"/>
              <w:overflowPunct w:val="0"/>
              <w:autoSpaceDE w:val="0"/>
              <w:autoSpaceDN w:val="0"/>
              <w:adjustRightInd w:val="0"/>
              <w:spacing w:line="240" w:lineRule="auto"/>
              <w:ind w:left="113"/>
              <w:jc w:val="center"/>
              <w:rPr>
                <w:b/>
              </w:rPr>
            </w:pPr>
            <w:r>
              <w:rPr>
                <w:b/>
                <w:szCs w:val="22"/>
              </w:rPr>
              <w:t>N=159</w:t>
            </w:r>
          </w:p>
        </w:tc>
      </w:tr>
      <w:tr w:rsidR="00C04CAD" w14:paraId="5DF6856E" w14:textId="77777777">
        <w:trPr>
          <w:trHeight w:hRule="exact" w:val="264"/>
        </w:trPr>
        <w:tc>
          <w:tcPr>
            <w:tcW w:w="1442" w:type="pct"/>
            <w:tcBorders>
              <w:top w:val="single" w:sz="4" w:space="0" w:color="000000"/>
              <w:left w:val="single" w:sz="4" w:space="0" w:color="000000"/>
              <w:bottom w:val="single" w:sz="4" w:space="0" w:color="000000"/>
              <w:right w:val="single" w:sz="4" w:space="0" w:color="000000"/>
            </w:tcBorders>
          </w:tcPr>
          <w:p w14:paraId="57ABCAC4" w14:textId="77777777" w:rsidR="00C04CAD" w:rsidRDefault="00060E34">
            <w:pPr>
              <w:tabs>
                <w:tab w:val="clear" w:pos="567"/>
              </w:tabs>
              <w:kinsoku w:val="0"/>
              <w:overflowPunct w:val="0"/>
              <w:autoSpaceDE w:val="0"/>
              <w:autoSpaceDN w:val="0"/>
              <w:adjustRightInd w:val="0"/>
              <w:spacing w:line="240" w:lineRule="auto"/>
              <w:ind w:left="113"/>
            </w:pPr>
            <w:r>
              <w:t>Săptămâna 4</w:t>
            </w:r>
          </w:p>
        </w:tc>
        <w:tc>
          <w:tcPr>
            <w:tcW w:w="524" w:type="pct"/>
            <w:tcBorders>
              <w:top w:val="single" w:sz="4" w:space="0" w:color="000000"/>
              <w:left w:val="single" w:sz="4" w:space="0" w:color="000000"/>
              <w:bottom w:val="single" w:sz="4" w:space="0" w:color="000000"/>
              <w:right w:val="single" w:sz="4" w:space="0" w:color="000000"/>
            </w:tcBorders>
          </w:tcPr>
          <w:p w14:paraId="748EB377" w14:textId="77777777" w:rsidR="00C04CAD" w:rsidRDefault="00C04CAD">
            <w:pPr>
              <w:tabs>
                <w:tab w:val="clear" w:pos="567"/>
              </w:tabs>
              <w:autoSpaceDE w:val="0"/>
              <w:autoSpaceDN w:val="0"/>
              <w:adjustRightInd w:val="0"/>
              <w:spacing w:line="240" w:lineRule="auto"/>
              <w:ind w:left="113"/>
              <w:jc w:val="center"/>
            </w:pPr>
          </w:p>
        </w:tc>
        <w:tc>
          <w:tcPr>
            <w:tcW w:w="829" w:type="pct"/>
            <w:tcBorders>
              <w:top w:val="single" w:sz="4" w:space="0" w:color="000000"/>
              <w:left w:val="single" w:sz="4" w:space="0" w:color="000000"/>
              <w:bottom w:val="single" w:sz="4" w:space="0" w:color="000000"/>
              <w:right w:val="single" w:sz="4" w:space="0" w:color="000000"/>
            </w:tcBorders>
          </w:tcPr>
          <w:p w14:paraId="2187DC83" w14:textId="77777777" w:rsidR="00C04CAD" w:rsidRDefault="00C04CAD">
            <w:pPr>
              <w:tabs>
                <w:tab w:val="clear" w:pos="567"/>
              </w:tabs>
              <w:autoSpaceDE w:val="0"/>
              <w:autoSpaceDN w:val="0"/>
              <w:adjustRightInd w:val="0"/>
              <w:spacing w:line="240" w:lineRule="auto"/>
              <w:ind w:left="113"/>
              <w:jc w:val="center"/>
            </w:pPr>
          </w:p>
        </w:tc>
        <w:tc>
          <w:tcPr>
            <w:tcW w:w="827" w:type="pct"/>
            <w:tcBorders>
              <w:top w:val="single" w:sz="4" w:space="0" w:color="000000"/>
              <w:left w:val="single" w:sz="4" w:space="0" w:color="000000"/>
              <w:bottom w:val="single" w:sz="4" w:space="0" w:color="000000"/>
              <w:right w:val="single" w:sz="4" w:space="0" w:color="000000"/>
            </w:tcBorders>
          </w:tcPr>
          <w:p w14:paraId="74233FDD" w14:textId="77777777" w:rsidR="00C04CAD" w:rsidRDefault="00C04CAD">
            <w:pPr>
              <w:tabs>
                <w:tab w:val="clear" w:pos="567"/>
              </w:tabs>
              <w:autoSpaceDE w:val="0"/>
              <w:autoSpaceDN w:val="0"/>
              <w:adjustRightInd w:val="0"/>
              <w:spacing w:line="240" w:lineRule="auto"/>
              <w:ind w:left="113"/>
              <w:jc w:val="center"/>
            </w:pPr>
          </w:p>
        </w:tc>
        <w:tc>
          <w:tcPr>
            <w:tcW w:w="566" w:type="pct"/>
            <w:tcBorders>
              <w:top w:val="single" w:sz="4" w:space="0" w:color="000000"/>
              <w:left w:val="single" w:sz="4" w:space="0" w:color="000000"/>
              <w:bottom w:val="single" w:sz="4" w:space="0" w:color="000000"/>
              <w:right w:val="single" w:sz="4" w:space="0" w:color="000000"/>
            </w:tcBorders>
          </w:tcPr>
          <w:p w14:paraId="0755FCEC" w14:textId="77777777" w:rsidR="00C04CAD" w:rsidRDefault="00C04CAD">
            <w:pPr>
              <w:tabs>
                <w:tab w:val="clear" w:pos="567"/>
              </w:tabs>
              <w:autoSpaceDE w:val="0"/>
              <w:autoSpaceDN w:val="0"/>
              <w:adjustRightInd w:val="0"/>
              <w:spacing w:line="240" w:lineRule="auto"/>
              <w:ind w:left="113"/>
              <w:jc w:val="center"/>
            </w:pPr>
          </w:p>
        </w:tc>
        <w:tc>
          <w:tcPr>
            <w:tcW w:w="812" w:type="pct"/>
            <w:tcBorders>
              <w:top w:val="single" w:sz="4" w:space="0" w:color="000000"/>
              <w:left w:val="single" w:sz="4" w:space="0" w:color="000000"/>
              <w:bottom w:val="single" w:sz="4" w:space="0" w:color="000000"/>
              <w:right w:val="single" w:sz="4" w:space="0" w:color="000000"/>
            </w:tcBorders>
          </w:tcPr>
          <w:p w14:paraId="08D49220" w14:textId="77777777" w:rsidR="00C04CAD" w:rsidRDefault="00C04CAD">
            <w:pPr>
              <w:tabs>
                <w:tab w:val="clear" w:pos="567"/>
              </w:tabs>
              <w:autoSpaceDE w:val="0"/>
              <w:autoSpaceDN w:val="0"/>
              <w:adjustRightInd w:val="0"/>
              <w:spacing w:line="240" w:lineRule="auto"/>
              <w:ind w:left="113"/>
              <w:jc w:val="center"/>
            </w:pPr>
          </w:p>
        </w:tc>
      </w:tr>
      <w:tr w:rsidR="00C04CAD" w14:paraId="7C78594E" w14:textId="77777777">
        <w:trPr>
          <w:trHeight w:hRule="exact" w:val="262"/>
        </w:trPr>
        <w:tc>
          <w:tcPr>
            <w:tcW w:w="1442" w:type="pct"/>
            <w:tcBorders>
              <w:top w:val="single" w:sz="4" w:space="0" w:color="000000"/>
              <w:left w:val="single" w:sz="4" w:space="0" w:color="000000"/>
              <w:bottom w:val="single" w:sz="4" w:space="0" w:color="000000"/>
              <w:right w:val="single" w:sz="4" w:space="0" w:color="000000"/>
            </w:tcBorders>
          </w:tcPr>
          <w:p w14:paraId="5569A274" w14:textId="77777777" w:rsidR="00C04CAD" w:rsidRDefault="00060E34">
            <w:pPr>
              <w:tabs>
                <w:tab w:val="clear" w:pos="567"/>
              </w:tabs>
              <w:kinsoku w:val="0"/>
              <w:overflowPunct w:val="0"/>
              <w:autoSpaceDE w:val="0"/>
              <w:autoSpaceDN w:val="0"/>
              <w:adjustRightInd w:val="0"/>
              <w:spacing w:line="240" w:lineRule="auto"/>
              <w:ind w:left="113"/>
            </w:pPr>
            <w:r>
              <w:t>Remisie clinică</w:t>
            </w:r>
          </w:p>
        </w:tc>
        <w:tc>
          <w:tcPr>
            <w:tcW w:w="524" w:type="pct"/>
            <w:tcBorders>
              <w:top w:val="single" w:sz="4" w:space="0" w:color="000000"/>
              <w:left w:val="single" w:sz="4" w:space="0" w:color="000000"/>
              <w:bottom w:val="single" w:sz="4" w:space="0" w:color="000000"/>
              <w:right w:val="single" w:sz="4" w:space="0" w:color="000000"/>
            </w:tcBorders>
          </w:tcPr>
          <w:p w14:paraId="508A1FA5" w14:textId="77777777" w:rsidR="00C04CAD" w:rsidRDefault="00060E34">
            <w:pPr>
              <w:tabs>
                <w:tab w:val="clear" w:pos="567"/>
              </w:tabs>
              <w:kinsoku w:val="0"/>
              <w:overflowPunct w:val="0"/>
              <w:autoSpaceDE w:val="0"/>
              <w:autoSpaceDN w:val="0"/>
              <w:adjustRightInd w:val="0"/>
              <w:spacing w:line="240" w:lineRule="auto"/>
              <w:ind w:left="113"/>
              <w:jc w:val="center"/>
            </w:pPr>
            <w:r>
              <w:t>12%</w:t>
            </w:r>
          </w:p>
        </w:tc>
        <w:tc>
          <w:tcPr>
            <w:tcW w:w="829" w:type="pct"/>
            <w:tcBorders>
              <w:top w:val="single" w:sz="4" w:space="0" w:color="000000"/>
              <w:left w:val="single" w:sz="4" w:space="0" w:color="000000"/>
              <w:bottom w:val="single" w:sz="4" w:space="0" w:color="000000"/>
              <w:right w:val="single" w:sz="4" w:space="0" w:color="000000"/>
            </w:tcBorders>
          </w:tcPr>
          <w:p w14:paraId="5DECDF2C" w14:textId="77777777" w:rsidR="00C04CAD" w:rsidRDefault="00060E34">
            <w:pPr>
              <w:tabs>
                <w:tab w:val="clear" w:pos="567"/>
              </w:tabs>
              <w:kinsoku w:val="0"/>
              <w:overflowPunct w:val="0"/>
              <w:autoSpaceDE w:val="0"/>
              <w:autoSpaceDN w:val="0"/>
              <w:adjustRightInd w:val="0"/>
              <w:spacing w:line="240" w:lineRule="auto"/>
              <w:ind w:left="113"/>
              <w:jc w:val="center"/>
            </w:pPr>
            <w:r>
              <w:t>24%</w:t>
            </w:r>
          </w:p>
        </w:tc>
        <w:tc>
          <w:tcPr>
            <w:tcW w:w="827" w:type="pct"/>
            <w:tcBorders>
              <w:top w:val="single" w:sz="4" w:space="0" w:color="000000"/>
              <w:left w:val="single" w:sz="4" w:space="0" w:color="000000"/>
              <w:bottom w:val="single" w:sz="4" w:space="0" w:color="000000"/>
              <w:right w:val="single" w:sz="4" w:space="0" w:color="000000"/>
            </w:tcBorders>
          </w:tcPr>
          <w:p w14:paraId="633A79D7" w14:textId="77777777" w:rsidR="00C04CAD" w:rsidRDefault="00060E34">
            <w:pPr>
              <w:tabs>
                <w:tab w:val="clear" w:pos="567"/>
              </w:tabs>
              <w:kinsoku w:val="0"/>
              <w:overflowPunct w:val="0"/>
              <w:autoSpaceDE w:val="0"/>
              <w:autoSpaceDN w:val="0"/>
              <w:adjustRightInd w:val="0"/>
              <w:spacing w:line="240" w:lineRule="auto"/>
              <w:ind w:left="113"/>
              <w:jc w:val="center"/>
            </w:pPr>
            <w:r>
              <w:t>36%*</w:t>
            </w:r>
          </w:p>
        </w:tc>
        <w:tc>
          <w:tcPr>
            <w:tcW w:w="566" w:type="pct"/>
            <w:tcBorders>
              <w:top w:val="single" w:sz="4" w:space="0" w:color="000000"/>
              <w:left w:val="single" w:sz="4" w:space="0" w:color="000000"/>
              <w:bottom w:val="single" w:sz="4" w:space="0" w:color="000000"/>
              <w:right w:val="single" w:sz="4" w:space="0" w:color="000000"/>
            </w:tcBorders>
          </w:tcPr>
          <w:p w14:paraId="55612BA9" w14:textId="77777777" w:rsidR="00C04CAD" w:rsidRDefault="00060E34">
            <w:pPr>
              <w:tabs>
                <w:tab w:val="clear" w:pos="567"/>
              </w:tabs>
              <w:kinsoku w:val="0"/>
              <w:overflowPunct w:val="0"/>
              <w:autoSpaceDE w:val="0"/>
              <w:autoSpaceDN w:val="0"/>
              <w:adjustRightInd w:val="0"/>
              <w:spacing w:line="240" w:lineRule="auto"/>
              <w:ind w:left="113"/>
              <w:jc w:val="center"/>
            </w:pPr>
            <w:r>
              <w:t>7%</w:t>
            </w:r>
          </w:p>
        </w:tc>
        <w:tc>
          <w:tcPr>
            <w:tcW w:w="812" w:type="pct"/>
            <w:tcBorders>
              <w:top w:val="single" w:sz="4" w:space="0" w:color="000000"/>
              <w:left w:val="single" w:sz="4" w:space="0" w:color="000000"/>
              <w:bottom w:val="single" w:sz="4" w:space="0" w:color="000000"/>
              <w:right w:val="single" w:sz="4" w:space="0" w:color="000000"/>
            </w:tcBorders>
          </w:tcPr>
          <w:p w14:paraId="0BD4C438" w14:textId="77777777" w:rsidR="00C04CAD" w:rsidRDefault="00060E34">
            <w:pPr>
              <w:tabs>
                <w:tab w:val="clear" w:pos="567"/>
              </w:tabs>
              <w:kinsoku w:val="0"/>
              <w:overflowPunct w:val="0"/>
              <w:autoSpaceDE w:val="0"/>
              <w:autoSpaceDN w:val="0"/>
              <w:adjustRightInd w:val="0"/>
              <w:spacing w:line="240" w:lineRule="auto"/>
              <w:ind w:left="113"/>
              <w:jc w:val="center"/>
            </w:pPr>
            <w:r>
              <w:t>21%*</w:t>
            </w:r>
          </w:p>
        </w:tc>
      </w:tr>
      <w:tr w:rsidR="00C04CAD" w14:paraId="12064F9B" w14:textId="77777777">
        <w:trPr>
          <w:trHeight w:hRule="exact" w:val="264"/>
        </w:trPr>
        <w:tc>
          <w:tcPr>
            <w:tcW w:w="1442" w:type="pct"/>
            <w:tcBorders>
              <w:top w:val="single" w:sz="4" w:space="0" w:color="000000"/>
              <w:left w:val="single" w:sz="4" w:space="0" w:color="000000"/>
              <w:bottom w:val="single" w:sz="4" w:space="0" w:color="000000"/>
              <w:right w:val="single" w:sz="4" w:space="0" w:color="000000"/>
            </w:tcBorders>
          </w:tcPr>
          <w:p w14:paraId="3006F1AF" w14:textId="77777777" w:rsidR="00C04CAD" w:rsidRDefault="00060E34">
            <w:pPr>
              <w:tabs>
                <w:tab w:val="clear" w:pos="567"/>
              </w:tabs>
              <w:kinsoku w:val="0"/>
              <w:overflowPunct w:val="0"/>
              <w:autoSpaceDE w:val="0"/>
              <w:autoSpaceDN w:val="0"/>
              <w:adjustRightInd w:val="0"/>
              <w:spacing w:line="240" w:lineRule="auto"/>
              <w:ind w:left="113"/>
            </w:pPr>
            <w:r>
              <w:t>Răspuns clinic (CR-100)</w:t>
            </w:r>
          </w:p>
        </w:tc>
        <w:tc>
          <w:tcPr>
            <w:tcW w:w="524" w:type="pct"/>
            <w:tcBorders>
              <w:top w:val="single" w:sz="4" w:space="0" w:color="000000"/>
              <w:left w:val="single" w:sz="4" w:space="0" w:color="000000"/>
              <w:bottom w:val="single" w:sz="4" w:space="0" w:color="000000"/>
              <w:right w:val="single" w:sz="4" w:space="0" w:color="000000"/>
            </w:tcBorders>
          </w:tcPr>
          <w:p w14:paraId="1572933B" w14:textId="77777777" w:rsidR="00C04CAD" w:rsidRDefault="00060E34">
            <w:pPr>
              <w:tabs>
                <w:tab w:val="clear" w:pos="567"/>
              </w:tabs>
              <w:kinsoku w:val="0"/>
              <w:overflowPunct w:val="0"/>
              <w:autoSpaceDE w:val="0"/>
              <w:autoSpaceDN w:val="0"/>
              <w:adjustRightInd w:val="0"/>
              <w:spacing w:line="240" w:lineRule="auto"/>
              <w:ind w:left="113"/>
              <w:jc w:val="center"/>
            </w:pPr>
            <w:r>
              <w:t>24%</w:t>
            </w:r>
          </w:p>
        </w:tc>
        <w:tc>
          <w:tcPr>
            <w:tcW w:w="829" w:type="pct"/>
            <w:tcBorders>
              <w:top w:val="single" w:sz="4" w:space="0" w:color="000000"/>
              <w:left w:val="single" w:sz="4" w:space="0" w:color="000000"/>
              <w:bottom w:val="single" w:sz="4" w:space="0" w:color="000000"/>
              <w:right w:val="single" w:sz="4" w:space="0" w:color="000000"/>
            </w:tcBorders>
          </w:tcPr>
          <w:p w14:paraId="6786EAF0" w14:textId="77777777" w:rsidR="00C04CAD" w:rsidRDefault="00060E34">
            <w:pPr>
              <w:tabs>
                <w:tab w:val="clear" w:pos="567"/>
              </w:tabs>
              <w:kinsoku w:val="0"/>
              <w:overflowPunct w:val="0"/>
              <w:autoSpaceDE w:val="0"/>
              <w:autoSpaceDN w:val="0"/>
              <w:adjustRightInd w:val="0"/>
              <w:spacing w:line="240" w:lineRule="auto"/>
              <w:ind w:left="113"/>
              <w:jc w:val="center"/>
            </w:pPr>
            <w:r>
              <w:t>37%</w:t>
            </w:r>
          </w:p>
        </w:tc>
        <w:tc>
          <w:tcPr>
            <w:tcW w:w="827" w:type="pct"/>
            <w:tcBorders>
              <w:top w:val="single" w:sz="4" w:space="0" w:color="000000"/>
              <w:left w:val="single" w:sz="4" w:space="0" w:color="000000"/>
              <w:bottom w:val="single" w:sz="4" w:space="0" w:color="000000"/>
              <w:right w:val="single" w:sz="4" w:space="0" w:color="000000"/>
            </w:tcBorders>
          </w:tcPr>
          <w:p w14:paraId="3DEFF558" w14:textId="77777777" w:rsidR="00C04CAD" w:rsidRDefault="00060E34">
            <w:pPr>
              <w:tabs>
                <w:tab w:val="clear" w:pos="567"/>
              </w:tabs>
              <w:kinsoku w:val="0"/>
              <w:overflowPunct w:val="0"/>
              <w:autoSpaceDE w:val="0"/>
              <w:autoSpaceDN w:val="0"/>
              <w:adjustRightInd w:val="0"/>
              <w:spacing w:line="240" w:lineRule="auto"/>
              <w:ind w:left="113"/>
              <w:jc w:val="center"/>
            </w:pPr>
            <w:r>
              <w:t>49%**</w:t>
            </w:r>
          </w:p>
        </w:tc>
        <w:tc>
          <w:tcPr>
            <w:tcW w:w="566" w:type="pct"/>
            <w:tcBorders>
              <w:top w:val="single" w:sz="4" w:space="0" w:color="000000"/>
              <w:left w:val="single" w:sz="4" w:space="0" w:color="000000"/>
              <w:bottom w:val="single" w:sz="4" w:space="0" w:color="000000"/>
              <w:right w:val="single" w:sz="4" w:space="0" w:color="000000"/>
            </w:tcBorders>
          </w:tcPr>
          <w:p w14:paraId="39A409FC" w14:textId="77777777" w:rsidR="00C04CAD" w:rsidRDefault="00060E34">
            <w:pPr>
              <w:tabs>
                <w:tab w:val="clear" w:pos="567"/>
              </w:tabs>
              <w:kinsoku w:val="0"/>
              <w:overflowPunct w:val="0"/>
              <w:autoSpaceDE w:val="0"/>
              <w:autoSpaceDN w:val="0"/>
              <w:adjustRightInd w:val="0"/>
              <w:spacing w:line="240" w:lineRule="auto"/>
              <w:ind w:left="113"/>
              <w:jc w:val="center"/>
            </w:pPr>
            <w:r>
              <w:t>25%</w:t>
            </w:r>
          </w:p>
        </w:tc>
        <w:tc>
          <w:tcPr>
            <w:tcW w:w="812" w:type="pct"/>
            <w:tcBorders>
              <w:top w:val="single" w:sz="4" w:space="0" w:color="000000"/>
              <w:left w:val="single" w:sz="4" w:space="0" w:color="000000"/>
              <w:bottom w:val="single" w:sz="4" w:space="0" w:color="000000"/>
              <w:right w:val="single" w:sz="4" w:space="0" w:color="000000"/>
            </w:tcBorders>
          </w:tcPr>
          <w:p w14:paraId="651FDA4B" w14:textId="77777777" w:rsidR="00C04CAD" w:rsidRDefault="00060E34">
            <w:pPr>
              <w:tabs>
                <w:tab w:val="clear" w:pos="567"/>
              </w:tabs>
              <w:kinsoku w:val="0"/>
              <w:overflowPunct w:val="0"/>
              <w:autoSpaceDE w:val="0"/>
              <w:autoSpaceDN w:val="0"/>
              <w:adjustRightInd w:val="0"/>
              <w:spacing w:line="240" w:lineRule="auto"/>
              <w:ind w:left="113"/>
              <w:jc w:val="center"/>
            </w:pPr>
            <w:r>
              <w:t>38%**</w:t>
            </w:r>
          </w:p>
        </w:tc>
      </w:tr>
    </w:tbl>
    <w:p w14:paraId="1728B76A"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Toate valorile p sunt comparaţii pereche ale rapoartelor </w:t>
      </w:r>
      <w:r>
        <w:rPr>
          <w:rFonts w:eastAsia="MS Mincho"/>
          <w:sz w:val="20"/>
          <w:lang w:eastAsia="en-US" w:bidi="ar-SA"/>
        </w:rPr>
        <w:t>adalimumab</w:t>
      </w:r>
      <w:r>
        <w:rPr>
          <w:sz w:val="20"/>
        </w:rPr>
        <w:t xml:space="preserve"> </w:t>
      </w:r>
      <w:r>
        <w:rPr>
          <w:i/>
          <w:sz w:val="20"/>
        </w:rPr>
        <w:t xml:space="preserve">versus </w:t>
      </w:r>
      <w:r>
        <w:rPr>
          <w:sz w:val="20"/>
        </w:rPr>
        <w:t>placebo</w:t>
      </w:r>
    </w:p>
    <w:p w14:paraId="101129A3" w14:textId="77777777" w:rsidR="00C04CAD" w:rsidRDefault="00060E34">
      <w:pPr>
        <w:kinsoku w:val="0"/>
        <w:overflowPunct w:val="0"/>
        <w:autoSpaceDE w:val="0"/>
        <w:autoSpaceDN w:val="0"/>
        <w:adjustRightInd w:val="0"/>
        <w:spacing w:line="240" w:lineRule="auto"/>
        <w:ind w:left="284" w:hanging="284"/>
        <w:rPr>
          <w:sz w:val="20"/>
        </w:rPr>
      </w:pPr>
      <w:r>
        <w:rPr>
          <w:sz w:val="20"/>
        </w:rPr>
        <w:t>*</w:t>
      </w:r>
      <w:r>
        <w:rPr>
          <w:sz w:val="20"/>
        </w:rPr>
        <w:tab/>
        <w:t>p&lt;0,001</w:t>
      </w:r>
    </w:p>
    <w:p w14:paraId="7D771AAB" w14:textId="77777777" w:rsidR="00C04CAD" w:rsidRDefault="00060E34">
      <w:pPr>
        <w:kinsoku w:val="0"/>
        <w:overflowPunct w:val="0"/>
        <w:autoSpaceDE w:val="0"/>
        <w:autoSpaceDN w:val="0"/>
        <w:adjustRightInd w:val="0"/>
        <w:spacing w:line="240" w:lineRule="auto"/>
        <w:ind w:left="284" w:hanging="284"/>
        <w:rPr>
          <w:rFonts w:eastAsia="MS Mincho"/>
          <w:sz w:val="20"/>
          <w:lang w:eastAsia="en-US" w:bidi="ar-SA"/>
        </w:rPr>
      </w:pPr>
      <w:r>
        <w:rPr>
          <w:sz w:val="20"/>
        </w:rPr>
        <w:t>**</w:t>
      </w:r>
      <w:r>
        <w:rPr>
          <w:sz w:val="20"/>
        </w:rPr>
        <w:tab/>
        <w:t>p&lt;0,01</w:t>
      </w:r>
    </w:p>
    <w:p w14:paraId="5D4704C3" w14:textId="77777777" w:rsidR="00C04CAD" w:rsidRDefault="00C04CAD">
      <w:pPr>
        <w:autoSpaceDE w:val="0"/>
        <w:autoSpaceDN w:val="0"/>
        <w:adjustRightInd w:val="0"/>
        <w:spacing w:line="240" w:lineRule="auto"/>
      </w:pPr>
    </w:p>
    <w:p w14:paraId="088E8363" w14:textId="77777777" w:rsidR="00C04CAD" w:rsidRDefault="00060E34">
      <w:pPr>
        <w:tabs>
          <w:tab w:val="clear" w:pos="567"/>
        </w:tabs>
        <w:kinsoku w:val="0"/>
        <w:overflowPunct w:val="0"/>
        <w:autoSpaceDE w:val="0"/>
        <w:autoSpaceDN w:val="0"/>
        <w:adjustRightInd w:val="0"/>
        <w:spacing w:line="240" w:lineRule="auto"/>
      </w:pPr>
      <w:r>
        <w:t>Rate de remisie asemănătoare s-au observat în săptămâna 8 la tratamentele de iniţiere cu 160/80 mg şi 80/40 mg, iar în grupul 160/80 mg au fost notate mai frecvent reacţii adverse.</w:t>
      </w:r>
    </w:p>
    <w:p w14:paraId="5E531892" w14:textId="77777777" w:rsidR="00C04CAD" w:rsidRDefault="00C04CAD">
      <w:pPr>
        <w:tabs>
          <w:tab w:val="clear" w:pos="567"/>
        </w:tabs>
        <w:kinsoku w:val="0"/>
        <w:overflowPunct w:val="0"/>
        <w:autoSpaceDE w:val="0"/>
        <w:autoSpaceDN w:val="0"/>
        <w:adjustRightInd w:val="0"/>
        <w:spacing w:line="240" w:lineRule="auto"/>
      </w:pPr>
    </w:p>
    <w:p w14:paraId="34E28E4E" w14:textId="77777777" w:rsidR="00C04CAD" w:rsidRDefault="00060E34">
      <w:pPr>
        <w:tabs>
          <w:tab w:val="clear" w:pos="567"/>
        </w:tabs>
        <w:kinsoku w:val="0"/>
        <w:overflowPunct w:val="0"/>
        <w:autoSpaceDE w:val="0"/>
        <w:autoSpaceDN w:val="0"/>
        <w:adjustRightInd w:val="0"/>
        <w:spacing w:line="240" w:lineRule="auto"/>
      </w:pPr>
      <w:r>
        <w:t xml:space="preserve">În studiul BC III, în Săptămâna 4, 58% (499/854) din pacienţi au avut răspuns clinic şi au fost evaluaţi în analiza iniţială. Din cei cu răspuns clinic în Săptămâna 4, 48% au fost expuşi anterior unui alt tratament anti TNF. Menţinerea remisiei şi ratele răspunsului clinic sunt prezentate în tabelul </w:t>
      </w:r>
      <w:r>
        <w:rPr>
          <w:rFonts w:eastAsia="MS Mincho"/>
          <w:szCs w:val="22"/>
          <w:lang w:eastAsia="en-US" w:bidi="ar-SA"/>
        </w:rPr>
        <w:t>22</w:t>
      </w:r>
      <w:r>
        <w:t>. Rezultatele remisiei clinice au rămas relativ constante indiferent de expunerea anterioară la antagoniştii TNF.</w:t>
      </w:r>
    </w:p>
    <w:p w14:paraId="727A0413" w14:textId="77777777" w:rsidR="00C04CAD" w:rsidRDefault="00C04CAD">
      <w:pPr>
        <w:tabs>
          <w:tab w:val="clear" w:pos="567"/>
        </w:tabs>
        <w:kinsoku w:val="0"/>
        <w:overflowPunct w:val="0"/>
        <w:autoSpaceDE w:val="0"/>
        <w:autoSpaceDN w:val="0"/>
        <w:adjustRightInd w:val="0"/>
        <w:spacing w:line="240" w:lineRule="auto"/>
      </w:pPr>
    </w:p>
    <w:p w14:paraId="4DFB4084" w14:textId="77777777" w:rsidR="00C04CAD" w:rsidRDefault="00060E34">
      <w:pPr>
        <w:autoSpaceDE w:val="0"/>
        <w:autoSpaceDN w:val="0"/>
        <w:adjustRightInd w:val="0"/>
        <w:spacing w:line="240" w:lineRule="auto"/>
        <w:rPr>
          <w:szCs w:val="22"/>
        </w:rPr>
      </w:pPr>
      <w:r>
        <w:rPr>
          <w:szCs w:val="22"/>
        </w:rPr>
        <w:t>În Săptămâna 56, s-a observat o scădere semnificativă statistic a numărului de spitalizări cauzate de boală şi a numărului de intervenţii chirurgicale la grupul tratat cu adalimumab comparativ cu grupul tratat cu placebo.</w:t>
      </w:r>
    </w:p>
    <w:p w14:paraId="3AE6EC48" w14:textId="77777777" w:rsidR="00C04CAD" w:rsidRDefault="00C04CAD">
      <w:pPr>
        <w:autoSpaceDE w:val="0"/>
        <w:autoSpaceDN w:val="0"/>
        <w:adjustRightInd w:val="0"/>
        <w:spacing w:line="240" w:lineRule="auto"/>
        <w:rPr>
          <w:rFonts w:eastAsia="MS Mincho"/>
          <w:sz w:val="24"/>
          <w:szCs w:val="24"/>
          <w:lang w:eastAsia="en-US" w:bidi="ar-SA"/>
        </w:rPr>
      </w:pPr>
    </w:p>
    <w:p w14:paraId="48036850" w14:textId="77777777" w:rsidR="00C04CAD" w:rsidRDefault="00060E34">
      <w:pPr>
        <w:keepNext/>
        <w:autoSpaceDE w:val="0"/>
        <w:autoSpaceDN w:val="0"/>
        <w:adjustRightInd w:val="0"/>
        <w:spacing w:line="240" w:lineRule="auto"/>
        <w:rPr>
          <w:b/>
        </w:rPr>
      </w:pPr>
      <w:r>
        <w:rPr>
          <w:b/>
          <w:bCs/>
        </w:rPr>
        <w:t xml:space="preserve">Tabelul 22. </w:t>
      </w:r>
      <w:r>
        <w:rPr>
          <w:b/>
        </w:rPr>
        <w:t>Menţinerea r</w:t>
      </w:r>
      <w:r>
        <w:rPr>
          <w:b/>
          <w:szCs w:val="22"/>
        </w:rPr>
        <w:t xml:space="preserve">emisiei </w:t>
      </w:r>
      <w:r>
        <w:rPr>
          <w:b/>
        </w:rPr>
        <w:t>c</w:t>
      </w:r>
      <w:r>
        <w:rPr>
          <w:b/>
          <w:szCs w:val="22"/>
        </w:rPr>
        <w:t>linice</w:t>
      </w:r>
      <w:r>
        <w:rPr>
          <w:b/>
        </w:rPr>
        <w:t xml:space="preserve"> şi a r</w:t>
      </w:r>
      <w:r>
        <w:rPr>
          <w:b/>
          <w:szCs w:val="22"/>
        </w:rPr>
        <w:t>ăspunsul</w:t>
      </w:r>
      <w:r>
        <w:rPr>
          <w:b/>
        </w:rPr>
        <w:t>ui</w:t>
      </w:r>
      <w:r>
        <w:rPr>
          <w:b/>
          <w:szCs w:val="22"/>
        </w:rPr>
        <w:t xml:space="preserve"> </w:t>
      </w:r>
      <w:r>
        <w:rPr>
          <w:b/>
        </w:rPr>
        <w:t>(procentul pacienţilor)</w:t>
      </w:r>
    </w:p>
    <w:p w14:paraId="45C59CF4" w14:textId="77777777" w:rsidR="00C04CAD" w:rsidRDefault="00C04CAD">
      <w:pPr>
        <w:keepNext/>
        <w:autoSpaceDE w:val="0"/>
        <w:autoSpaceDN w:val="0"/>
        <w:adjustRightInd w:val="0"/>
        <w:spacing w:line="240" w:lineRule="auto"/>
      </w:pPr>
    </w:p>
    <w:tbl>
      <w:tblPr>
        <w:tblW w:w="5076" w:type="pct"/>
        <w:tblLayout w:type="fixed"/>
        <w:tblCellMar>
          <w:left w:w="0" w:type="dxa"/>
          <w:right w:w="0" w:type="dxa"/>
        </w:tblCellMar>
        <w:tblLook w:val="04A0" w:firstRow="1" w:lastRow="0" w:firstColumn="1" w:lastColumn="0" w:noHBand="0" w:noVBand="1"/>
      </w:tblPr>
      <w:tblGrid>
        <w:gridCol w:w="3239"/>
        <w:gridCol w:w="1162"/>
        <w:gridCol w:w="2160"/>
        <w:gridCol w:w="2638"/>
      </w:tblGrid>
      <w:tr w:rsidR="00C04CAD" w14:paraId="63A0E94A" w14:textId="77777777">
        <w:trPr>
          <w:trHeight w:hRule="exact" w:val="516"/>
          <w:tblHeader/>
        </w:trPr>
        <w:tc>
          <w:tcPr>
            <w:tcW w:w="1760" w:type="pct"/>
            <w:tcBorders>
              <w:top w:val="single" w:sz="4" w:space="0" w:color="000000"/>
              <w:left w:val="single" w:sz="4" w:space="0" w:color="000000"/>
              <w:bottom w:val="single" w:sz="4" w:space="0" w:color="000000"/>
              <w:right w:val="single" w:sz="4" w:space="0" w:color="000000"/>
            </w:tcBorders>
          </w:tcPr>
          <w:p w14:paraId="492318F4" w14:textId="77777777" w:rsidR="00C04CAD" w:rsidRDefault="00C04CAD">
            <w:pPr>
              <w:tabs>
                <w:tab w:val="clear" w:pos="567"/>
              </w:tabs>
              <w:autoSpaceDE w:val="0"/>
              <w:autoSpaceDN w:val="0"/>
              <w:adjustRightInd w:val="0"/>
              <w:spacing w:line="240" w:lineRule="auto"/>
            </w:pPr>
          </w:p>
        </w:tc>
        <w:tc>
          <w:tcPr>
            <w:tcW w:w="631" w:type="pct"/>
            <w:tcBorders>
              <w:top w:val="single" w:sz="4" w:space="0" w:color="000000"/>
              <w:left w:val="single" w:sz="4" w:space="0" w:color="000000"/>
              <w:bottom w:val="single" w:sz="4" w:space="0" w:color="000000"/>
              <w:right w:val="single" w:sz="4" w:space="0" w:color="000000"/>
            </w:tcBorders>
          </w:tcPr>
          <w:p w14:paraId="62811A16" w14:textId="77777777" w:rsidR="00C04CAD" w:rsidRDefault="00060E34">
            <w:pPr>
              <w:keepNext/>
              <w:tabs>
                <w:tab w:val="clear" w:pos="567"/>
              </w:tabs>
              <w:kinsoku w:val="0"/>
              <w:overflowPunct w:val="0"/>
              <w:autoSpaceDE w:val="0"/>
              <w:autoSpaceDN w:val="0"/>
              <w:adjustRightInd w:val="0"/>
              <w:spacing w:line="240" w:lineRule="auto"/>
              <w:ind w:left="113"/>
              <w:jc w:val="center"/>
            </w:pPr>
            <w:r>
              <w:rPr>
                <w:b/>
              </w:rPr>
              <w:t>Placebo</w:t>
            </w:r>
          </w:p>
        </w:tc>
        <w:tc>
          <w:tcPr>
            <w:tcW w:w="1174" w:type="pct"/>
            <w:tcBorders>
              <w:top w:val="single" w:sz="4" w:space="0" w:color="000000"/>
              <w:left w:val="single" w:sz="4" w:space="0" w:color="000000"/>
              <w:bottom w:val="single" w:sz="4" w:space="0" w:color="000000"/>
              <w:right w:val="single" w:sz="4" w:space="0" w:color="000000"/>
            </w:tcBorders>
          </w:tcPr>
          <w:p w14:paraId="0DD2A8D8" w14:textId="77777777" w:rsidR="00C04CAD" w:rsidRDefault="00060E34">
            <w:pPr>
              <w:tabs>
                <w:tab w:val="clear" w:pos="567"/>
              </w:tabs>
              <w:kinsoku w:val="0"/>
              <w:overflowPunct w:val="0"/>
              <w:autoSpaceDE w:val="0"/>
              <w:autoSpaceDN w:val="0"/>
              <w:adjustRightInd w:val="0"/>
              <w:spacing w:line="240" w:lineRule="auto"/>
              <w:ind w:left="113"/>
              <w:jc w:val="center"/>
              <w:rPr>
                <w:szCs w:val="22"/>
              </w:rPr>
            </w:pPr>
            <w:r>
              <w:rPr>
                <w:rFonts w:eastAsia="MS Mincho"/>
                <w:b/>
                <w:szCs w:val="22"/>
                <w:lang w:eastAsia="en-US" w:bidi="ar-SA"/>
              </w:rPr>
              <w:t xml:space="preserve">Adalimumab </w:t>
            </w:r>
            <w:r>
              <w:rPr>
                <w:b/>
                <w:szCs w:val="22"/>
              </w:rPr>
              <w:t>40 mg la două săptămâni</w:t>
            </w:r>
          </w:p>
        </w:tc>
        <w:tc>
          <w:tcPr>
            <w:tcW w:w="1434" w:type="pct"/>
            <w:tcBorders>
              <w:top w:val="single" w:sz="4" w:space="0" w:color="000000"/>
              <w:left w:val="single" w:sz="4" w:space="0" w:color="000000"/>
              <w:bottom w:val="single" w:sz="4" w:space="0" w:color="000000"/>
              <w:right w:val="single" w:sz="4" w:space="0" w:color="000000"/>
            </w:tcBorders>
          </w:tcPr>
          <w:p w14:paraId="65A41AB1" w14:textId="77777777" w:rsidR="00C04CAD" w:rsidRDefault="00060E34">
            <w:pPr>
              <w:tabs>
                <w:tab w:val="clear" w:pos="567"/>
              </w:tabs>
              <w:kinsoku w:val="0"/>
              <w:overflowPunct w:val="0"/>
              <w:autoSpaceDE w:val="0"/>
              <w:autoSpaceDN w:val="0"/>
              <w:adjustRightInd w:val="0"/>
              <w:spacing w:line="240" w:lineRule="auto"/>
              <w:ind w:left="113"/>
              <w:jc w:val="center"/>
              <w:rPr>
                <w:szCs w:val="22"/>
              </w:rPr>
            </w:pPr>
            <w:r>
              <w:rPr>
                <w:rFonts w:eastAsia="MS Mincho"/>
                <w:b/>
                <w:szCs w:val="22"/>
                <w:lang w:eastAsia="en-US" w:bidi="ar-SA"/>
              </w:rPr>
              <w:t>Adalimumab</w:t>
            </w:r>
            <w:r>
              <w:rPr>
                <w:rFonts w:eastAsia="MS Mincho"/>
                <w:b/>
                <w:bCs/>
                <w:szCs w:val="22"/>
                <w:lang w:eastAsia="en-US" w:bidi="ar-SA"/>
              </w:rPr>
              <w:t>40</w:t>
            </w:r>
            <w:r>
              <w:rPr>
                <w:b/>
                <w:szCs w:val="22"/>
              </w:rPr>
              <w:t xml:space="preserve"> mg săptămânal</w:t>
            </w:r>
          </w:p>
        </w:tc>
      </w:tr>
      <w:tr w:rsidR="00C04CAD" w14:paraId="0F77B26D" w14:textId="77777777">
        <w:trPr>
          <w:trHeight w:hRule="exact" w:val="269"/>
        </w:trPr>
        <w:tc>
          <w:tcPr>
            <w:tcW w:w="1760" w:type="pct"/>
            <w:tcBorders>
              <w:top w:val="single" w:sz="4" w:space="0" w:color="000000"/>
              <w:left w:val="single" w:sz="4" w:space="0" w:color="000000"/>
              <w:bottom w:val="single" w:sz="4" w:space="0" w:color="000000"/>
              <w:right w:val="single" w:sz="4" w:space="0" w:color="000000"/>
            </w:tcBorders>
          </w:tcPr>
          <w:p w14:paraId="2F22B8CA" w14:textId="77777777" w:rsidR="00C04CAD" w:rsidRDefault="00060E34">
            <w:pPr>
              <w:tabs>
                <w:tab w:val="clear" w:pos="567"/>
              </w:tabs>
              <w:kinsoku w:val="0"/>
              <w:overflowPunct w:val="0"/>
              <w:autoSpaceDE w:val="0"/>
              <w:autoSpaceDN w:val="0"/>
              <w:adjustRightInd w:val="0"/>
              <w:spacing w:line="240" w:lineRule="auto"/>
              <w:ind w:left="113"/>
            </w:pPr>
            <w:r>
              <w:rPr>
                <w:b/>
              </w:rPr>
              <w:t>Săptămâna 26</w:t>
            </w:r>
          </w:p>
        </w:tc>
        <w:tc>
          <w:tcPr>
            <w:tcW w:w="631" w:type="pct"/>
            <w:tcBorders>
              <w:top w:val="single" w:sz="4" w:space="0" w:color="000000"/>
              <w:left w:val="single" w:sz="4" w:space="0" w:color="000000"/>
              <w:bottom w:val="single" w:sz="4" w:space="0" w:color="000000"/>
              <w:right w:val="single" w:sz="4" w:space="0" w:color="000000"/>
            </w:tcBorders>
          </w:tcPr>
          <w:p w14:paraId="6217EF5A" w14:textId="77777777" w:rsidR="00C04CAD" w:rsidRDefault="00060E34">
            <w:pPr>
              <w:tabs>
                <w:tab w:val="clear" w:pos="567"/>
              </w:tabs>
              <w:kinsoku w:val="0"/>
              <w:overflowPunct w:val="0"/>
              <w:autoSpaceDE w:val="0"/>
              <w:autoSpaceDN w:val="0"/>
              <w:adjustRightInd w:val="0"/>
              <w:spacing w:line="240" w:lineRule="auto"/>
              <w:ind w:left="113"/>
              <w:jc w:val="center"/>
            </w:pPr>
            <w:r>
              <w:rPr>
                <w:b/>
              </w:rPr>
              <w:t>N=170</w:t>
            </w:r>
          </w:p>
        </w:tc>
        <w:tc>
          <w:tcPr>
            <w:tcW w:w="1174" w:type="pct"/>
            <w:tcBorders>
              <w:top w:val="single" w:sz="4" w:space="0" w:color="000000"/>
              <w:left w:val="single" w:sz="4" w:space="0" w:color="000000"/>
              <w:bottom w:val="single" w:sz="4" w:space="0" w:color="000000"/>
              <w:right w:val="single" w:sz="4" w:space="0" w:color="000000"/>
            </w:tcBorders>
          </w:tcPr>
          <w:p w14:paraId="4B4644F5" w14:textId="77777777" w:rsidR="00C04CAD" w:rsidRDefault="00060E34">
            <w:pPr>
              <w:tabs>
                <w:tab w:val="clear" w:pos="567"/>
              </w:tabs>
              <w:kinsoku w:val="0"/>
              <w:overflowPunct w:val="0"/>
              <w:autoSpaceDE w:val="0"/>
              <w:autoSpaceDN w:val="0"/>
              <w:adjustRightInd w:val="0"/>
              <w:spacing w:line="240" w:lineRule="auto"/>
              <w:ind w:left="113"/>
              <w:jc w:val="center"/>
            </w:pPr>
            <w:r>
              <w:rPr>
                <w:b/>
              </w:rPr>
              <w:t>N=172</w:t>
            </w:r>
          </w:p>
        </w:tc>
        <w:tc>
          <w:tcPr>
            <w:tcW w:w="1434" w:type="pct"/>
            <w:tcBorders>
              <w:top w:val="single" w:sz="4" w:space="0" w:color="000000"/>
              <w:left w:val="single" w:sz="4" w:space="0" w:color="000000"/>
              <w:bottom w:val="single" w:sz="4" w:space="0" w:color="000000"/>
              <w:right w:val="single" w:sz="4" w:space="0" w:color="000000"/>
            </w:tcBorders>
          </w:tcPr>
          <w:p w14:paraId="61D04F1B" w14:textId="77777777" w:rsidR="00C04CAD" w:rsidRDefault="00060E34">
            <w:pPr>
              <w:tabs>
                <w:tab w:val="clear" w:pos="567"/>
              </w:tabs>
              <w:kinsoku w:val="0"/>
              <w:overflowPunct w:val="0"/>
              <w:autoSpaceDE w:val="0"/>
              <w:autoSpaceDN w:val="0"/>
              <w:adjustRightInd w:val="0"/>
              <w:spacing w:line="240" w:lineRule="auto"/>
              <w:ind w:left="113"/>
              <w:jc w:val="center"/>
            </w:pPr>
            <w:r>
              <w:rPr>
                <w:b/>
              </w:rPr>
              <w:t>N=157</w:t>
            </w:r>
          </w:p>
        </w:tc>
      </w:tr>
      <w:tr w:rsidR="00C04CAD" w14:paraId="21B28065" w14:textId="77777777">
        <w:trPr>
          <w:trHeight w:hRule="exact" w:val="370"/>
        </w:trPr>
        <w:tc>
          <w:tcPr>
            <w:tcW w:w="1760" w:type="pct"/>
            <w:tcBorders>
              <w:top w:val="single" w:sz="4" w:space="0" w:color="000000"/>
              <w:left w:val="single" w:sz="4" w:space="0" w:color="000000"/>
              <w:bottom w:val="single" w:sz="4" w:space="0" w:color="000000"/>
              <w:right w:val="single" w:sz="4" w:space="0" w:color="000000"/>
            </w:tcBorders>
          </w:tcPr>
          <w:p w14:paraId="7E04BD7C" w14:textId="77777777" w:rsidR="00C04CAD" w:rsidRDefault="00060E34">
            <w:pPr>
              <w:tabs>
                <w:tab w:val="clear" w:pos="567"/>
              </w:tabs>
              <w:kinsoku w:val="0"/>
              <w:overflowPunct w:val="0"/>
              <w:autoSpaceDE w:val="0"/>
              <w:autoSpaceDN w:val="0"/>
              <w:adjustRightInd w:val="0"/>
              <w:spacing w:line="240" w:lineRule="auto"/>
              <w:ind w:left="113"/>
            </w:pPr>
            <w:r>
              <w:t>Remisie clinică</w:t>
            </w:r>
          </w:p>
        </w:tc>
        <w:tc>
          <w:tcPr>
            <w:tcW w:w="631" w:type="pct"/>
            <w:tcBorders>
              <w:top w:val="single" w:sz="4" w:space="0" w:color="000000"/>
              <w:left w:val="single" w:sz="4" w:space="0" w:color="000000"/>
              <w:bottom w:val="single" w:sz="4" w:space="0" w:color="000000"/>
              <w:right w:val="single" w:sz="4" w:space="0" w:color="000000"/>
            </w:tcBorders>
          </w:tcPr>
          <w:p w14:paraId="16E63F9A" w14:textId="77777777" w:rsidR="00C04CAD" w:rsidRDefault="00060E34">
            <w:pPr>
              <w:tabs>
                <w:tab w:val="clear" w:pos="567"/>
              </w:tabs>
              <w:kinsoku w:val="0"/>
              <w:overflowPunct w:val="0"/>
              <w:autoSpaceDE w:val="0"/>
              <w:autoSpaceDN w:val="0"/>
              <w:adjustRightInd w:val="0"/>
              <w:spacing w:line="240" w:lineRule="auto"/>
              <w:ind w:left="113"/>
              <w:jc w:val="center"/>
            </w:pPr>
            <w:r>
              <w:t>17%</w:t>
            </w:r>
          </w:p>
        </w:tc>
        <w:tc>
          <w:tcPr>
            <w:tcW w:w="1174" w:type="pct"/>
            <w:tcBorders>
              <w:top w:val="single" w:sz="4" w:space="0" w:color="000000"/>
              <w:left w:val="single" w:sz="4" w:space="0" w:color="000000"/>
              <w:bottom w:val="single" w:sz="4" w:space="0" w:color="000000"/>
              <w:right w:val="single" w:sz="4" w:space="0" w:color="000000"/>
            </w:tcBorders>
          </w:tcPr>
          <w:p w14:paraId="1A22ACAC" w14:textId="77777777" w:rsidR="00C04CAD" w:rsidRDefault="00060E34">
            <w:pPr>
              <w:tabs>
                <w:tab w:val="clear" w:pos="567"/>
              </w:tabs>
              <w:kinsoku w:val="0"/>
              <w:overflowPunct w:val="0"/>
              <w:autoSpaceDE w:val="0"/>
              <w:autoSpaceDN w:val="0"/>
              <w:adjustRightInd w:val="0"/>
              <w:spacing w:line="240" w:lineRule="auto"/>
              <w:ind w:left="113"/>
              <w:jc w:val="center"/>
            </w:pPr>
            <w:r>
              <w:t>40%*</w:t>
            </w:r>
          </w:p>
        </w:tc>
        <w:tc>
          <w:tcPr>
            <w:tcW w:w="1434" w:type="pct"/>
            <w:tcBorders>
              <w:top w:val="single" w:sz="4" w:space="0" w:color="000000"/>
              <w:left w:val="single" w:sz="4" w:space="0" w:color="000000"/>
              <w:bottom w:val="single" w:sz="4" w:space="0" w:color="000000"/>
              <w:right w:val="single" w:sz="4" w:space="0" w:color="000000"/>
            </w:tcBorders>
          </w:tcPr>
          <w:p w14:paraId="3F46FF07" w14:textId="77777777" w:rsidR="00C04CAD" w:rsidRDefault="00060E34">
            <w:pPr>
              <w:tabs>
                <w:tab w:val="clear" w:pos="567"/>
              </w:tabs>
              <w:kinsoku w:val="0"/>
              <w:overflowPunct w:val="0"/>
              <w:autoSpaceDE w:val="0"/>
              <w:autoSpaceDN w:val="0"/>
              <w:adjustRightInd w:val="0"/>
              <w:spacing w:line="240" w:lineRule="auto"/>
              <w:ind w:left="113"/>
              <w:jc w:val="center"/>
            </w:pPr>
            <w:r>
              <w:t>47%*</w:t>
            </w:r>
          </w:p>
        </w:tc>
      </w:tr>
      <w:tr w:rsidR="00C04CAD" w14:paraId="7F35BFF4" w14:textId="77777777">
        <w:trPr>
          <w:trHeight w:hRule="exact" w:val="386"/>
        </w:trPr>
        <w:tc>
          <w:tcPr>
            <w:tcW w:w="1760" w:type="pct"/>
            <w:tcBorders>
              <w:top w:val="single" w:sz="4" w:space="0" w:color="000000"/>
              <w:left w:val="single" w:sz="4" w:space="0" w:color="000000"/>
              <w:bottom w:val="single" w:sz="4" w:space="0" w:color="000000"/>
              <w:right w:val="single" w:sz="4" w:space="0" w:color="000000"/>
            </w:tcBorders>
          </w:tcPr>
          <w:p w14:paraId="57F455CB" w14:textId="77777777" w:rsidR="00C04CAD" w:rsidRDefault="00060E34">
            <w:pPr>
              <w:tabs>
                <w:tab w:val="clear" w:pos="567"/>
              </w:tabs>
              <w:kinsoku w:val="0"/>
              <w:overflowPunct w:val="0"/>
              <w:autoSpaceDE w:val="0"/>
              <w:autoSpaceDN w:val="0"/>
              <w:adjustRightInd w:val="0"/>
              <w:spacing w:line="240" w:lineRule="auto"/>
              <w:ind w:left="113"/>
            </w:pPr>
            <w:r>
              <w:t>Răspuns clinic (CR-100)</w:t>
            </w:r>
          </w:p>
        </w:tc>
        <w:tc>
          <w:tcPr>
            <w:tcW w:w="631" w:type="pct"/>
            <w:tcBorders>
              <w:top w:val="single" w:sz="4" w:space="0" w:color="000000"/>
              <w:left w:val="single" w:sz="4" w:space="0" w:color="000000"/>
              <w:bottom w:val="single" w:sz="4" w:space="0" w:color="000000"/>
              <w:right w:val="single" w:sz="4" w:space="0" w:color="000000"/>
            </w:tcBorders>
          </w:tcPr>
          <w:p w14:paraId="538C21F0" w14:textId="77777777" w:rsidR="00C04CAD" w:rsidRDefault="00060E34">
            <w:pPr>
              <w:tabs>
                <w:tab w:val="clear" w:pos="567"/>
              </w:tabs>
              <w:kinsoku w:val="0"/>
              <w:overflowPunct w:val="0"/>
              <w:autoSpaceDE w:val="0"/>
              <w:autoSpaceDN w:val="0"/>
              <w:adjustRightInd w:val="0"/>
              <w:spacing w:line="240" w:lineRule="auto"/>
              <w:ind w:left="113"/>
              <w:jc w:val="center"/>
            </w:pPr>
            <w:r>
              <w:t>27%</w:t>
            </w:r>
          </w:p>
        </w:tc>
        <w:tc>
          <w:tcPr>
            <w:tcW w:w="1174" w:type="pct"/>
            <w:tcBorders>
              <w:top w:val="single" w:sz="4" w:space="0" w:color="000000"/>
              <w:left w:val="single" w:sz="4" w:space="0" w:color="000000"/>
              <w:bottom w:val="single" w:sz="4" w:space="0" w:color="000000"/>
              <w:right w:val="single" w:sz="4" w:space="0" w:color="000000"/>
            </w:tcBorders>
          </w:tcPr>
          <w:p w14:paraId="41FEE22F" w14:textId="77777777" w:rsidR="00C04CAD" w:rsidRDefault="00060E34">
            <w:pPr>
              <w:tabs>
                <w:tab w:val="clear" w:pos="567"/>
              </w:tabs>
              <w:kinsoku w:val="0"/>
              <w:overflowPunct w:val="0"/>
              <w:autoSpaceDE w:val="0"/>
              <w:autoSpaceDN w:val="0"/>
              <w:adjustRightInd w:val="0"/>
              <w:spacing w:line="240" w:lineRule="auto"/>
              <w:ind w:left="113"/>
              <w:jc w:val="center"/>
            </w:pPr>
            <w:r>
              <w:t>52%*</w:t>
            </w:r>
          </w:p>
        </w:tc>
        <w:tc>
          <w:tcPr>
            <w:tcW w:w="1434" w:type="pct"/>
            <w:tcBorders>
              <w:top w:val="single" w:sz="4" w:space="0" w:color="000000"/>
              <w:left w:val="single" w:sz="4" w:space="0" w:color="000000"/>
              <w:bottom w:val="single" w:sz="4" w:space="0" w:color="000000"/>
              <w:right w:val="single" w:sz="4" w:space="0" w:color="000000"/>
            </w:tcBorders>
          </w:tcPr>
          <w:p w14:paraId="6A37F16D" w14:textId="77777777" w:rsidR="00C04CAD" w:rsidRDefault="00060E34">
            <w:pPr>
              <w:tabs>
                <w:tab w:val="clear" w:pos="567"/>
              </w:tabs>
              <w:kinsoku w:val="0"/>
              <w:overflowPunct w:val="0"/>
              <w:autoSpaceDE w:val="0"/>
              <w:autoSpaceDN w:val="0"/>
              <w:adjustRightInd w:val="0"/>
              <w:spacing w:line="240" w:lineRule="auto"/>
              <w:ind w:left="113"/>
              <w:jc w:val="center"/>
            </w:pPr>
            <w:r>
              <w:t>52%*</w:t>
            </w:r>
          </w:p>
        </w:tc>
      </w:tr>
      <w:tr w:rsidR="00C04CAD" w14:paraId="6AB04192" w14:textId="77777777">
        <w:trPr>
          <w:trHeight w:hRule="exact" w:val="516"/>
        </w:trPr>
        <w:tc>
          <w:tcPr>
            <w:tcW w:w="1760" w:type="pct"/>
            <w:tcBorders>
              <w:top w:val="single" w:sz="4" w:space="0" w:color="000000"/>
              <w:left w:val="single" w:sz="4" w:space="0" w:color="000000"/>
              <w:bottom w:val="single" w:sz="4" w:space="0" w:color="000000"/>
              <w:right w:val="single" w:sz="4" w:space="0" w:color="000000"/>
            </w:tcBorders>
          </w:tcPr>
          <w:p w14:paraId="4C120048" w14:textId="77777777" w:rsidR="00C04CAD" w:rsidRDefault="00060E34">
            <w:pPr>
              <w:tabs>
                <w:tab w:val="clear" w:pos="567"/>
              </w:tabs>
              <w:kinsoku w:val="0"/>
              <w:overflowPunct w:val="0"/>
              <w:autoSpaceDE w:val="0"/>
              <w:autoSpaceDN w:val="0"/>
              <w:adjustRightInd w:val="0"/>
              <w:spacing w:line="240" w:lineRule="auto"/>
              <w:ind w:left="113"/>
            </w:pPr>
            <w:r>
              <w:t xml:space="preserve">Pacienţi cu remisie fără steroizi timp de </w:t>
            </w:r>
            <w:r>
              <w:rPr>
                <w:szCs w:val="22"/>
                <w:lang w:eastAsia="en-GB"/>
              </w:rPr>
              <w:t>≥</w:t>
            </w:r>
            <w:r>
              <w:t> 90 zile</w:t>
            </w:r>
            <w:r>
              <w:rPr>
                <w:vertAlign w:val="superscript"/>
              </w:rPr>
              <w:t>a</w:t>
            </w:r>
          </w:p>
        </w:tc>
        <w:tc>
          <w:tcPr>
            <w:tcW w:w="631" w:type="pct"/>
            <w:tcBorders>
              <w:top w:val="single" w:sz="4" w:space="0" w:color="000000"/>
              <w:left w:val="single" w:sz="4" w:space="0" w:color="000000"/>
              <w:bottom w:val="single" w:sz="4" w:space="0" w:color="000000"/>
              <w:right w:val="single" w:sz="4" w:space="0" w:color="000000"/>
            </w:tcBorders>
          </w:tcPr>
          <w:p w14:paraId="69A1A1BF" w14:textId="77777777" w:rsidR="00C04CAD" w:rsidRDefault="00060E34">
            <w:pPr>
              <w:tabs>
                <w:tab w:val="clear" w:pos="567"/>
              </w:tabs>
              <w:kinsoku w:val="0"/>
              <w:overflowPunct w:val="0"/>
              <w:autoSpaceDE w:val="0"/>
              <w:autoSpaceDN w:val="0"/>
              <w:adjustRightInd w:val="0"/>
              <w:spacing w:line="240" w:lineRule="auto"/>
              <w:ind w:left="113"/>
              <w:jc w:val="center"/>
            </w:pPr>
            <w:r>
              <w:t>3% (2/66)</w:t>
            </w:r>
          </w:p>
        </w:tc>
        <w:tc>
          <w:tcPr>
            <w:tcW w:w="1174" w:type="pct"/>
            <w:tcBorders>
              <w:top w:val="single" w:sz="4" w:space="0" w:color="000000"/>
              <w:left w:val="single" w:sz="4" w:space="0" w:color="000000"/>
              <w:bottom w:val="single" w:sz="4" w:space="0" w:color="000000"/>
              <w:right w:val="single" w:sz="4" w:space="0" w:color="000000"/>
            </w:tcBorders>
          </w:tcPr>
          <w:p w14:paraId="78C7032F" w14:textId="77777777" w:rsidR="00C04CAD" w:rsidRDefault="00060E34">
            <w:pPr>
              <w:tabs>
                <w:tab w:val="clear" w:pos="567"/>
              </w:tabs>
              <w:kinsoku w:val="0"/>
              <w:overflowPunct w:val="0"/>
              <w:autoSpaceDE w:val="0"/>
              <w:autoSpaceDN w:val="0"/>
              <w:adjustRightInd w:val="0"/>
              <w:spacing w:line="240" w:lineRule="auto"/>
              <w:ind w:left="113"/>
              <w:jc w:val="center"/>
            </w:pPr>
            <w:r>
              <w:t>19% (11/58)**</w:t>
            </w:r>
          </w:p>
        </w:tc>
        <w:tc>
          <w:tcPr>
            <w:tcW w:w="1434" w:type="pct"/>
            <w:tcBorders>
              <w:top w:val="single" w:sz="4" w:space="0" w:color="000000"/>
              <w:left w:val="single" w:sz="4" w:space="0" w:color="000000"/>
              <w:bottom w:val="single" w:sz="4" w:space="0" w:color="000000"/>
              <w:right w:val="single" w:sz="4" w:space="0" w:color="000000"/>
            </w:tcBorders>
          </w:tcPr>
          <w:p w14:paraId="05D22A5F" w14:textId="77777777" w:rsidR="00C04CAD" w:rsidRDefault="00060E34">
            <w:pPr>
              <w:tabs>
                <w:tab w:val="clear" w:pos="567"/>
              </w:tabs>
              <w:kinsoku w:val="0"/>
              <w:overflowPunct w:val="0"/>
              <w:autoSpaceDE w:val="0"/>
              <w:autoSpaceDN w:val="0"/>
              <w:adjustRightInd w:val="0"/>
              <w:spacing w:line="240" w:lineRule="auto"/>
              <w:ind w:left="113"/>
              <w:jc w:val="center"/>
            </w:pPr>
            <w:r>
              <w:t>15% (11/74)**</w:t>
            </w:r>
          </w:p>
        </w:tc>
      </w:tr>
      <w:tr w:rsidR="00C04CAD" w14:paraId="113C64C5" w14:textId="77777777">
        <w:trPr>
          <w:trHeight w:hRule="exact" w:val="389"/>
        </w:trPr>
        <w:tc>
          <w:tcPr>
            <w:tcW w:w="1760" w:type="pct"/>
            <w:tcBorders>
              <w:top w:val="single" w:sz="4" w:space="0" w:color="000000"/>
              <w:left w:val="single" w:sz="4" w:space="0" w:color="000000"/>
              <w:bottom w:val="single" w:sz="4" w:space="0" w:color="000000"/>
              <w:right w:val="single" w:sz="4" w:space="0" w:color="000000"/>
            </w:tcBorders>
          </w:tcPr>
          <w:p w14:paraId="06D06DB0" w14:textId="77777777" w:rsidR="00C04CAD" w:rsidRDefault="00060E34">
            <w:pPr>
              <w:keepNext/>
              <w:keepLines/>
              <w:tabs>
                <w:tab w:val="clear" w:pos="567"/>
              </w:tabs>
              <w:kinsoku w:val="0"/>
              <w:overflowPunct w:val="0"/>
              <w:autoSpaceDE w:val="0"/>
              <w:autoSpaceDN w:val="0"/>
              <w:adjustRightInd w:val="0"/>
              <w:spacing w:line="240" w:lineRule="auto"/>
              <w:ind w:left="113"/>
            </w:pPr>
            <w:r>
              <w:rPr>
                <w:b/>
              </w:rPr>
              <w:t>Săptămâna 56</w:t>
            </w:r>
          </w:p>
        </w:tc>
        <w:tc>
          <w:tcPr>
            <w:tcW w:w="631" w:type="pct"/>
            <w:tcBorders>
              <w:top w:val="single" w:sz="4" w:space="0" w:color="000000"/>
              <w:left w:val="single" w:sz="4" w:space="0" w:color="000000"/>
              <w:bottom w:val="single" w:sz="4" w:space="0" w:color="000000"/>
              <w:right w:val="single" w:sz="4" w:space="0" w:color="000000"/>
            </w:tcBorders>
          </w:tcPr>
          <w:p w14:paraId="050C9EC8"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rPr>
              <w:t>N=170</w:t>
            </w:r>
          </w:p>
        </w:tc>
        <w:tc>
          <w:tcPr>
            <w:tcW w:w="1174" w:type="pct"/>
            <w:tcBorders>
              <w:top w:val="single" w:sz="4" w:space="0" w:color="000000"/>
              <w:left w:val="single" w:sz="4" w:space="0" w:color="000000"/>
              <w:bottom w:val="single" w:sz="4" w:space="0" w:color="000000"/>
              <w:right w:val="single" w:sz="4" w:space="0" w:color="000000"/>
            </w:tcBorders>
          </w:tcPr>
          <w:p w14:paraId="503407B7"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rPr>
              <w:t>N=172</w:t>
            </w:r>
          </w:p>
        </w:tc>
        <w:tc>
          <w:tcPr>
            <w:tcW w:w="1434" w:type="pct"/>
            <w:tcBorders>
              <w:top w:val="single" w:sz="4" w:space="0" w:color="000000"/>
              <w:left w:val="single" w:sz="4" w:space="0" w:color="000000"/>
              <w:bottom w:val="single" w:sz="4" w:space="0" w:color="000000"/>
              <w:right w:val="single" w:sz="4" w:space="0" w:color="000000"/>
            </w:tcBorders>
          </w:tcPr>
          <w:p w14:paraId="7718E5FF"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rPr>
                <w:b/>
              </w:rPr>
              <w:t>N=157</w:t>
            </w:r>
          </w:p>
        </w:tc>
      </w:tr>
      <w:tr w:rsidR="00C04CAD" w14:paraId="4E8FD27E" w14:textId="77777777">
        <w:trPr>
          <w:trHeight w:hRule="exact" w:val="367"/>
        </w:trPr>
        <w:tc>
          <w:tcPr>
            <w:tcW w:w="1760" w:type="pct"/>
            <w:tcBorders>
              <w:top w:val="single" w:sz="4" w:space="0" w:color="000000"/>
              <w:left w:val="single" w:sz="4" w:space="0" w:color="000000"/>
              <w:bottom w:val="single" w:sz="4" w:space="0" w:color="000000"/>
              <w:right w:val="single" w:sz="4" w:space="0" w:color="000000"/>
            </w:tcBorders>
          </w:tcPr>
          <w:p w14:paraId="54F29A3B" w14:textId="77777777" w:rsidR="00C04CAD" w:rsidRDefault="00060E34">
            <w:pPr>
              <w:keepNext/>
              <w:keepLines/>
              <w:tabs>
                <w:tab w:val="clear" w:pos="567"/>
              </w:tabs>
              <w:kinsoku w:val="0"/>
              <w:overflowPunct w:val="0"/>
              <w:autoSpaceDE w:val="0"/>
              <w:autoSpaceDN w:val="0"/>
              <w:adjustRightInd w:val="0"/>
              <w:spacing w:line="240" w:lineRule="auto"/>
              <w:ind w:left="113"/>
            </w:pPr>
            <w:r>
              <w:t>Remisie clinică</w:t>
            </w:r>
          </w:p>
        </w:tc>
        <w:tc>
          <w:tcPr>
            <w:tcW w:w="631" w:type="pct"/>
            <w:tcBorders>
              <w:top w:val="single" w:sz="4" w:space="0" w:color="000000"/>
              <w:left w:val="single" w:sz="4" w:space="0" w:color="000000"/>
              <w:bottom w:val="single" w:sz="4" w:space="0" w:color="000000"/>
              <w:right w:val="single" w:sz="4" w:space="0" w:color="000000"/>
            </w:tcBorders>
          </w:tcPr>
          <w:p w14:paraId="7A1399E7"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12%</w:t>
            </w:r>
          </w:p>
        </w:tc>
        <w:tc>
          <w:tcPr>
            <w:tcW w:w="1174" w:type="pct"/>
            <w:tcBorders>
              <w:top w:val="single" w:sz="4" w:space="0" w:color="000000"/>
              <w:left w:val="single" w:sz="4" w:space="0" w:color="000000"/>
              <w:bottom w:val="single" w:sz="4" w:space="0" w:color="000000"/>
              <w:right w:val="single" w:sz="4" w:space="0" w:color="000000"/>
            </w:tcBorders>
          </w:tcPr>
          <w:p w14:paraId="5D043644"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36%*</w:t>
            </w:r>
          </w:p>
        </w:tc>
        <w:tc>
          <w:tcPr>
            <w:tcW w:w="1434" w:type="pct"/>
            <w:tcBorders>
              <w:top w:val="single" w:sz="4" w:space="0" w:color="000000"/>
              <w:left w:val="single" w:sz="4" w:space="0" w:color="000000"/>
              <w:bottom w:val="single" w:sz="4" w:space="0" w:color="000000"/>
              <w:right w:val="single" w:sz="4" w:space="0" w:color="000000"/>
            </w:tcBorders>
          </w:tcPr>
          <w:p w14:paraId="05A2B895"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41%*</w:t>
            </w:r>
          </w:p>
        </w:tc>
      </w:tr>
      <w:tr w:rsidR="00C04CAD" w14:paraId="75C2E2A7" w14:textId="77777777">
        <w:trPr>
          <w:trHeight w:hRule="exact" w:val="389"/>
        </w:trPr>
        <w:tc>
          <w:tcPr>
            <w:tcW w:w="1760" w:type="pct"/>
            <w:tcBorders>
              <w:top w:val="single" w:sz="4" w:space="0" w:color="000000"/>
              <w:left w:val="single" w:sz="4" w:space="0" w:color="000000"/>
              <w:bottom w:val="single" w:sz="4" w:space="0" w:color="000000"/>
              <w:right w:val="single" w:sz="4" w:space="0" w:color="000000"/>
            </w:tcBorders>
          </w:tcPr>
          <w:p w14:paraId="7E8B059C" w14:textId="77777777" w:rsidR="00C04CAD" w:rsidRDefault="00060E34">
            <w:pPr>
              <w:keepNext/>
              <w:keepLines/>
              <w:tabs>
                <w:tab w:val="clear" w:pos="567"/>
              </w:tabs>
              <w:kinsoku w:val="0"/>
              <w:overflowPunct w:val="0"/>
              <w:autoSpaceDE w:val="0"/>
              <w:autoSpaceDN w:val="0"/>
              <w:adjustRightInd w:val="0"/>
              <w:spacing w:line="240" w:lineRule="auto"/>
              <w:ind w:left="113"/>
            </w:pPr>
            <w:r>
              <w:t>Răspuns clinic (CR-100)</w:t>
            </w:r>
          </w:p>
        </w:tc>
        <w:tc>
          <w:tcPr>
            <w:tcW w:w="631" w:type="pct"/>
            <w:tcBorders>
              <w:top w:val="single" w:sz="4" w:space="0" w:color="000000"/>
              <w:left w:val="single" w:sz="4" w:space="0" w:color="000000"/>
              <w:bottom w:val="single" w:sz="4" w:space="0" w:color="000000"/>
              <w:right w:val="single" w:sz="4" w:space="0" w:color="000000"/>
            </w:tcBorders>
          </w:tcPr>
          <w:p w14:paraId="366329B5"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17%</w:t>
            </w:r>
          </w:p>
        </w:tc>
        <w:tc>
          <w:tcPr>
            <w:tcW w:w="1174" w:type="pct"/>
            <w:tcBorders>
              <w:top w:val="single" w:sz="4" w:space="0" w:color="000000"/>
              <w:left w:val="single" w:sz="4" w:space="0" w:color="000000"/>
              <w:bottom w:val="single" w:sz="4" w:space="0" w:color="000000"/>
              <w:right w:val="single" w:sz="4" w:space="0" w:color="000000"/>
            </w:tcBorders>
          </w:tcPr>
          <w:p w14:paraId="1543DE4C"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41%*</w:t>
            </w:r>
          </w:p>
        </w:tc>
        <w:tc>
          <w:tcPr>
            <w:tcW w:w="1434" w:type="pct"/>
            <w:tcBorders>
              <w:top w:val="single" w:sz="4" w:space="0" w:color="000000"/>
              <w:left w:val="single" w:sz="4" w:space="0" w:color="000000"/>
              <w:bottom w:val="single" w:sz="4" w:space="0" w:color="000000"/>
              <w:right w:val="single" w:sz="4" w:space="0" w:color="000000"/>
            </w:tcBorders>
          </w:tcPr>
          <w:p w14:paraId="67B3BF68" w14:textId="77777777" w:rsidR="00C04CAD" w:rsidRDefault="00060E34">
            <w:pPr>
              <w:keepNext/>
              <w:keepLines/>
              <w:tabs>
                <w:tab w:val="clear" w:pos="567"/>
              </w:tabs>
              <w:kinsoku w:val="0"/>
              <w:overflowPunct w:val="0"/>
              <w:autoSpaceDE w:val="0"/>
              <w:autoSpaceDN w:val="0"/>
              <w:adjustRightInd w:val="0"/>
              <w:spacing w:line="240" w:lineRule="auto"/>
              <w:ind w:left="113"/>
              <w:jc w:val="center"/>
            </w:pPr>
            <w:r>
              <w:t>48%*</w:t>
            </w:r>
          </w:p>
        </w:tc>
      </w:tr>
      <w:tr w:rsidR="00C04CAD" w14:paraId="01F3A430" w14:textId="77777777">
        <w:trPr>
          <w:trHeight w:hRule="exact" w:val="516"/>
        </w:trPr>
        <w:tc>
          <w:tcPr>
            <w:tcW w:w="1760" w:type="pct"/>
            <w:tcBorders>
              <w:top w:val="single" w:sz="4" w:space="0" w:color="000000"/>
              <w:left w:val="single" w:sz="4" w:space="0" w:color="000000"/>
              <w:bottom w:val="single" w:sz="4" w:space="0" w:color="000000"/>
              <w:right w:val="single" w:sz="4" w:space="0" w:color="000000"/>
            </w:tcBorders>
          </w:tcPr>
          <w:p w14:paraId="507E13C2" w14:textId="77777777" w:rsidR="00C04CAD" w:rsidRDefault="00060E34">
            <w:pPr>
              <w:tabs>
                <w:tab w:val="clear" w:pos="567"/>
              </w:tabs>
              <w:kinsoku w:val="0"/>
              <w:overflowPunct w:val="0"/>
              <w:autoSpaceDE w:val="0"/>
              <w:autoSpaceDN w:val="0"/>
              <w:adjustRightInd w:val="0"/>
              <w:spacing w:line="240" w:lineRule="auto"/>
              <w:ind w:left="113"/>
              <w:rPr>
                <w:vertAlign w:val="superscript"/>
              </w:rPr>
            </w:pPr>
            <w:r>
              <w:t xml:space="preserve">Pacienţi cu remisie fără steroizi timp de </w:t>
            </w:r>
            <w:r>
              <w:rPr>
                <w:szCs w:val="22"/>
                <w:lang w:eastAsia="en-GB"/>
              </w:rPr>
              <w:t>≥</w:t>
            </w:r>
            <w:r>
              <w:t> 90 zile</w:t>
            </w:r>
            <w:r>
              <w:rPr>
                <w:vertAlign w:val="superscript"/>
              </w:rPr>
              <w:t>a</w:t>
            </w:r>
          </w:p>
        </w:tc>
        <w:tc>
          <w:tcPr>
            <w:tcW w:w="631" w:type="pct"/>
            <w:tcBorders>
              <w:top w:val="single" w:sz="4" w:space="0" w:color="000000"/>
              <w:left w:val="single" w:sz="4" w:space="0" w:color="000000"/>
              <w:bottom w:val="single" w:sz="4" w:space="0" w:color="000000"/>
              <w:right w:val="single" w:sz="4" w:space="0" w:color="000000"/>
            </w:tcBorders>
          </w:tcPr>
          <w:p w14:paraId="0FC8D352" w14:textId="77777777" w:rsidR="00C04CAD" w:rsidRDefault="00060E34">
            <w:pPr>
              <w:tabs>
                <w:tab w:val="clear" w:pos="567"/>
              </w:tabs>
              <w:kinsoku w:val="0"/>
              <w:overflowPunct w:val="0"/>
              <w:autoSpaceDE w:val="0"/>
              <w:autoSpaceDN w:val="0"/>
              <w:adjustRightInd w:val="0"/>
              <w:spacing w:line="240" w:lineRule="auto"/>
              <w:ind w:left="113"/>
              <w:jc w:val="center"/>
            </w:pPr>
            <w:r>
              <w:t>5% (3/66)</w:t>
            </w:r>
          </w:p>
        </w:tc>
        <w:tc>
          <w:tcPr>
            <w:tcW w:w="1174" w:type="pct"/>
            <w:tcBorders>
              <w:top w:val="single" w:sz="4" w:space="0" w:color="000000"/>
              <w:left w:val="single" w:sz="4" w:space="0" w:color="000000"/>
              <w:bottom w:val="single" w:sz="4" w:space="0" w:color="000000"/>
              <w:right w:val="single" w:sz="4" w:space="0" w:color="000000"/>
            </w:tcBorders>
          </w:tcPr>
          <w:p w14:paraId="265F9C19" w14:textId="77777777" w:rsidR="00C04CAD" w:rsidRDefault="00060E34">
            <w:pPr>
              <w:tabs>
                <w:tab w:val="clear" w:pos="567"/>
              </w:tabs>
              <w:kinsoku w:val="0"/>
              <w:overflowPunct w:val="0"/>
              <w:autoSpaceDE w:val="0"/>
              <w:autoSpaceDN w:val="0"/>
              <w:adjustRightInd w:val="0"/>
              <w:spacing w:line="240" w:lineRule="auto"/>
              <w:ind w:left="113"/>
              <w:jc w:val="center"/>
            </w:pPr>
            <w:r>
              <w:t>29% (17/58)*</w:t>
            </w:r>
          </w:p>
        </w:tc>
        <w:tc>
          <w:tcPr>
            <w:tcW w:w="1434" w:type="pct"/>
            <w:tcBorders>
              <w:top w:val="single" w:sz="4" w:space="0" w:color="000000"/>
              <w:left w:val="single" w:sz="4" w:space="0" w:color="000000"/>
              <w:bottom w:val="single" w:sz="4" w:space="0" w:color="000000"/>
              <w:right w:val="single" w:sz="4" w:space="0" w:color="000000"/>
            </w:tcBorders>
          </w:tcPr>
          <w:p w14:paraId="3CF44479" w14:textId="77777777" w:rsidR="00C04CAD" w:rsidRDefault="00060E34">
            <w:pPr>
              <w:tabs>
                <w:tab w:val="clear" w:pos="567"/>
              </w:tabs>
              <w:kinsoku w:val="0"/>
              <w:overflowPunct w:val="0"/>
              <w:autoSpaceDE w:val="0"/>
              <w:autoSpaceDN w:val="0"/>
              <w:adjustRightInd w:val="0"/>
              <w:spacing w:line="240" w:lineRule="auto"/>
              <w:ind w:left="113"/>
              <w:jc w:val="center"/>
            </w:pPr>
            <w:r>
              <w:t>20% (15/74)**</w:t>
            </w:r>
          </w:p>
        </w:tc>
      </w:tr>
    </w:tbl>
    <w:p w14:paraId="7AEE6AD3"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rPr>
        <w:t>*</w:t>
      </w:r>
      <w:r>
        <w:rPr>
          <w:sz w:val="20"/>
        </w:rPr>
        <w:tab/>
        <w:t xml:space="preserve">p &lt;0,001 pentru </w:t>
      </w:r>
      <w:r>
        <w:rPr>
          <w:rFonts w:eastAsia="MS Mincho"/>
          <w:sz w:val="20"/>
          <w:lang w:eastAsia="en-US" w:bidi="ar-SA"/>
        </w:rPr>
        <w:t>adalimumab</w:t>
      </w:r>
      <w:r>
        <w:rPr>
          <w:sz w:val="20"/>
        </w:rPr>
        <w:t xml:space="preserve"> </w:t>
      </w:r>
      <w:r>
        <w:rPr>
          <w:i/>
          <w:sz w:val="20"/>
        </w:rPr>
        <w:t xml:space="preserve">versus </w:t>
      </w:r>
      <w:r>
        <w:rPr>
          <w:sz w:val="20"/>
        </w:rPr>
        <w:t>placebo comparaţii pereche ale rapoartelor</w:t>
      </w:r>
    </w:p>
    <w:p w14:paraId="278512FF"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rPr>
        <w:t>**</w:t>
      </w:r>
      <w:r>
        <w:rPr>
          <w:sz w:val="20"/>
        </w:rPr>
        <w:tab/>
        <w:t xml:space="preserve">p &lt;0,02 pentru </w:t>
      </w:r>
      <w:r>
        <w:rPr>
          <w:rFonts w:eastAsia="MS Mincho"/>
          <w:sz w:val="20"/>
          <w:lang w:eastAsia="en-US" w:bidi="ar-SA"/>
        </w:rPr>
        <w:t>adalimumab</w:t>
      </w:r>
      <w:r>
        <w:rPr>
          <w:sz w:val="20"/>
        </w:rPr>
        <w:t xml:space="preserve"> </w:t>
      </w:r>
      <w:r>
        <w:rPr>
          <w:i/>
          <w:sz w:val="20"/>
        </w:rPr>
        <w:t xml:space="preserve">versus </w:t>
      </w:r>
      <w:r>
        <w:rPr>
          <w:sz w:val="20"/>
        </w:rPr>
        <w:t>placebo comparaţii pereche ale rapoartelor</w:t>
      </w:r>
    </w:p>
    <w:p w14:paraId="3736923C" w14:textId="77777777" w:rsidR="00C04CAD" w:rsidRDefault="00060E34">
      <w:pPr>
        <w:tabs>
          <w:tab w:val="clear" w:pos="567"/>
          <w:tab w:val="left" w:pos="426"/>
        </w:tabs>
        <w:kinsoku w:val="0"/>
        <w:overflowPunct w:val="0"/>
        <w:autoSpaceDE w:val="0"/>
        <w:autoSpaceDN w:val="0"/>
        <w:adjustRightInd w:val="0"/>
        <w:spacing w:line="240" w:lineRule="auto"/>
        <w:ind w:left="284" w:hanging="284"/>
        <w:rPr>
          <w:sz w:val="20"/>
        </w:rPr>
      </w:pPr>
      <w:r>
        <w:rPr>
          <w:sz w:val="20"/>
          <w:vertAlign w:val="superscript"/>
        </w:rPr>
        <w:t>a</w:t>
      </w:r>
      <w:r>
        <w:rPr>
          <w:sz w:val="20"/>
        </w:rPr>
        <w:tab/>
        <w:t>Pentru cei care au primit de la început corticosteroizi</w:t>
      </w:r>
    </w:p>
    <w:p w14:paraId="4394DA38" w14:textId="77777777" w:rsidR="00C04CAD" w:rsidRDefault="00C04CAD">
      <w:pPr>
        <w:autoSpaceDE w:val="0"/>
        <w:autoSpaceDN w:val="0"/>
        <w:adjustRightInd w:val="0"/>
        <w:spacing w:line="240" w:lineRule="auto"/>
      </w:pPr>
    </w:p>
    <w:p w14:paraId="408468B1" w14:textId="77777777" w:rsidR="00C04CAD" w:rsidRDefault="00060E34">
      <w:pPr>
        <w:tabs>
          <w:tab w:val="clear" w:pos="567"/>
        </w:tabs>
        <w:kinsoku w:val="0"/>
        <w:overflowPunct w:val="0"/>
        <w:autoSpaceDE w:val="0"/>
        <w:autoSpaceDN w:val="0"/>
        <w:adjustRightInd w:val="0"/>
        <w:spacing w:line="240" w:lineRule="auto"/>
      </w:pPr>
      <w:r>
        <w:rPr>
          <w:rFonts w:eastAsia="MS Mincho"/>
          <w:szCs w:val="22"/>
          <w:lang w:eastAsia="en-US" w:bidi="ar-SA"/>
        </w:rPr>
        <w:t>Dintre</w:t>
      </w:r>
      <w:r>
        <w:t xml:space="preserve"> pacienţii care nu au răspuns în </w:t>
      </w:r>
      <w:r>
        <w:rPr>
          <w:rFonts w:eastAsia="MS Mincho"/>
          <w:szCs w:val="22"/>
          <w:lang w:eastAsia="en-US" w:bidi="ar-SA"/>
        </w:rPr>
        <w:t>săptămâna</w:t>
      </w:r>
      <w:r>
        <w:t xml:space="preserve"> 4, 43% care au primit </w:t>
      </w:r>
      <w:r>
        <w:rPr>
          <w:rFonts w:eastAsia="MS Mincho"/>
          <w:szCs w:val="22"/>
          <w:lang w:eastAsia="en-US" w:bidi="ar-SA"/>
        </w:rPr>
        <w:t>tratament de întreţinere cu adalimumab</w:t>
      </w:r>
      <w:r>
        <w:t xml:space="preserve">, au răspuns până în </w:t>
      </w:r>
      <w:r>
        <w:rPr>
          <w:rFonts w:eastAsia="MS Mincho"/>
          <w:szCs w:val="22"/>
          <w:lang w:eastAsia="en-US" w:bidi="ar-SA"/>
        </w:rPr>
        <w:t>săptămâna</w:t>
      </w:r>
      <w:r>
        <w:t xml:space="preserve"> 12, comparativ cu 30% dintre pacienţii care au primit în continuare placebo. Aceste rezultate arată că unii pacienţi care nu au răspuns până în </w:t>
      </w:r>
      <w:r>
        <w:rPr>
          <w:rFonts w:eastAsia="MS Mincho"/>
          <w:szCs w:val="22"/>
          <w:lang w:eastAsia="en-US" w:bidi="ar-SA"/>
        </w:rPr>
        <w:t>săptămâna</w:t>
      </w:r>
      <w:r>
        <w:t xml:space="preserve"> 4 au beneficiat de continuarea tratamentului până în </w:t>
      </w:r>
      <w:r>
        <w:rPr>
          <w:rFonts w:eastAsia="MS Mincho"/>
          <w:szCs w:val="22"/>
          <w:lang w:eastAsia="en-US" w:bidi="ar-SA"/>
        </w:rPr>
        <w:t>săptămâna</w:t>
      </w:r>
      <w:r>
        <w:t xml:space="preserve"> 12. Continuarea tratamentului după </w:t>
      </w:r>
      <w:r>
        <w:rPr>
          <w:rFonts w:eastAsia="MS Mincho"/>
          <w:szCs w:val="22"/>
          <w:lang w:eastAsia="en-US" w:bidi="ar-SA"/>
        </w:rPr>
        <w:t>săptămâna</w:t>
      </w:r>
      <w:r>
        <w:t xml:space="preserve"> 12 nu a avut ca rezultat un număr semnificativ mai mare de răspunsuri (vezi pct.4.2).</w:t>
      </w:r>
    </w:p>
    <w:p w14:paraId="32B119AE" w14:textId="77777777" w:rsidR="00C04CAD" w:rsidRDefault="00C04CAD">
      <w:pPr>
        <w:tabs>
          <w:tab w:val="clear" w:pos="567"/>
        </w:tabs>
        <w:kinsoku w:val="0"/>
        <w:overflowPunct w:val="0"/>
        <w:autoSpaceDE w:val="0"/>
        <w:autoSpaceDN w:val="0"/>
        <w:adjustRightInd w:val="0"/>
        <w:spacing w:line="240" w:lineRule="auto"/>
      </w:pPr>
    </w:p>
    <w:p w14:paraId="4F32F7B6" w14:textId="77777777" w:rsidR="00C04CAD" w:rsidRDefault="00060E34">
      <w:pPr>
        <w:tabs>
          <w:tab w:val="clear" w:pos="567"/>
        </w:tabs>
        <w:kinsoku w:val="0"/>
        <w:overflowPunct w:val="0"/>
        <w:autoSpaceDE w:val="0"/>
        <w:autoSpaceDN w:val="0"/>
        <w:adjustRightInd w:val="0"/>
        <w:spacing w:line="240" w:lineRule="auto"/>
      </w:pPr>
      <w:r>
        <w:t>117 din 276 pacienţi din studiul BC I şi 272 din 777 pacienţi din studiile BC II şi III, au fost monitorizaţi pe o perioadă de 3 ani de tratament deschis cu adalimumab. 88 şi respectiv 189 pacienţi au continuat să fie în remisie clinică. La 102 şi respectiv 233 pacienţi s-a menţinut răspunsul clinic (CR-100).</w:t>
      </w:r>
    </w:p>
    <w:p w14:paraId="7155D03D" w14:textId="77777777" w:rsidR="00C04CAD" w:rsidRDefault="00C04CAD">
      <w:pPr>
        <w:tabs>
          <w:tab w:val="clear" w:pos="567"/>
        </w:tabs>
        <w:kinsoku w:val="0"/>
        <w:overflowPunct w:val="0"/>
        <w:autoSpaceDE w:val="0"/>
        <w:autoSpaceDN w:val="0"/>
        <w:adjustRightInd w:val="0"/>
        <w:spacing w:line="240" w:lineRule="auto"/>
      </w:pPr>
    </w:p>
    <w:p w14:paraId="0422AD2C" w14:textId="77777777" w:rsidR="00C04CAD" w:rsidRDefault="00060E34">
      <w:pPr>
        <w:tabs>
          <w:tab w:val="clear" w:pos="567"/>
        </w:tabs>
        <w:kinsoku w:val="0"/>
        <w:overflowPunct w:val="0"/>
        <w:autoSpaceDE w:val="0"/>
        <w:autoSpaceDN w:val="0"/>
        <w:adjustRightInd w:val="0"/>
        <w:spacing w:line="240" w:lineRule="auto"/>
      </w:pPr>
      <w:r>
        <w:rPr>
          <w:i/>
          <w:u w:val="single"/>
        </w:rPr>
        <w:t>Calitatea vieţii</w:t>
      </w:r>
    </w:p>
    <w:p w14:paraId="415A31F3" w14:textId="77777777" w:rsidR="00C04CAD" w:rsidRDefault="00C04CAD">
      <w:pPr>
        <w:tabs>
          <w:tab w:val="clear" w:pos="567"/>
        </w:tabs>
        <w:kinsoku w:val="0"/>
        <w:overflowPunct w:val="0"/>
        <w:autoSpaceDE w:val="0"/>
        <w:autoSpaceDN w:val="0"/>
        <w:adjustRightInd w:val="0"/>
        <w:spacing w:line="240" w:lineRule="auto"/>
      </w:pPr>
    </w:p>
    <w:p w14:paraId="3C3AFD43" w14:textId="77777777" w:rsidR="00C04CAD" w:rsidRDefault="00060E34">
      <w:pPr>
        <w:tabs>
          <w:tab w:val="clear" w:pos="567"/>
        </w:tabs>
        <w:kinsoku w:val="0"/>
        <w:overflowPunct w:val="0"/>
        <w:autoSpaceDE w:val="0"/>
        <w:autoSpaceDN w:val="0"/>
        <w:adjustRightInd w:val="0"/>
        <w:spacing w:line="240" w:lineRule="auto"/>
      </w:pPr>
      <w:r>
        <w:t xml:space="preserve">În studiile BC I şi BC II, îmbunătăţirea semnificativă statistic a indicelui total din chestionarul de evaluare a bolii intestinale privind semnele inflamatorii specifice bolii (IBDQ) a fost atinsă în </w:t>
      </w:r>
      <w:r>
        <w:rPr>
          <w:rFonts w:eastAsia="MS Mincho"/>
          <w:szCs w:val="22"/>
          <w:lang w:eastAsia="en-US" w:bidi="ar-SA"/>
        </w:rPr>
        <w:t>săptămâna</w:t>
      </w:r>
      <w:r>
        <w:t xml:space="preserve"> 4 la pacienţii randomizaţi cu </w:t>
      </w:r>
      <w:r>
        <w:rPr>
          <w:rFonts w:eastAsia="MS Mincho"/>
          <w:szCs w:val="22"/>
          <w:lang w:eastAsia="en-US" w:bidi="ar-SA"/>
        </w:rPr>
        <w:t>adalimumab</w:t>
      </w:r>
      <w:r>
        <w:t xml:space="preserve"> 80/40 mg şi 160/80 mg, comparativ cu placebo şi a fost semnalată de asemenea, în studiul BC III, în Săptămâna 26 şi 56 la pacienţii din grupul adalimumab comparativ cu grupul placebo.</w:t>
      </w:r>
    </w:p>
    <w:p w14:paraId="3E12BFD8" w14:textId="77777777" w:rsidR="00C04CAD" w:rsidRDefault="00C04CAD">
      <w:pPr>
        <w:tabs>
          <w:tab w:val="clear" w:pos="567"/>
        </w:tabs>
        <w:kinsoku w:val="0"/>
        <w:overflowPunct w:val="0"/>
        <w:autoSpaceDE w:val="0"/>
        <w:autoSpaceDN w:val="0"/>
        <w:adjustRightInd w:val="0"/>
        <w:spacing w:line="240" w:lineRule="auto"/>
      </w:pPr>
    </w:p>
    <w:p w14:paraId="70568666" w14:textId="77777777" w:rsidR="00C04CAD" w:rsidRDefault="00060E34">
      <w:pPr>
        <w:tabs>
          <w:tab w:val="clear" w:pos="567"/>
        </w:tabs>
        <w:kinsoku w:val="0"/>
        <w:overflowPunct w:val="0"/>
        <w:autoSpaceDE w:val="0"/>
        <w:autoSpaceDN w:val="0"/>
        <w:adjustRightInd w:val="0"/>
        <w:spacing w:line="240" w:lineRule="auto"/>
      </w:pPr>
      <w:r>
        <w:rPr>
          <w:i/>
        </w:rPr>
        <w:t>Colita ulcerativă</w:t>
      </w:r>
    </w:p>
    <w:p w14:paraId="426EFB74" w14:textId="77777777" w:rsidR="00C04CAD" w:rsidRDefault="00C04CAD">
      <w:pPr>
        <w:tabs>
          <w:tab w:val="clear" w:pos="567"/>
        </w:tabs>
        <w:kinsoku w:val="0"/>
        <w:overflowPunct w:val="0"/>
        <w:autoSpaceDE w:val="0"/>
        <w:autoSpaceDN w:val="0"/>
        <w:adjustRightInd w:val="0"/>
        <w:spacing w:line="240" w:lineRule="auto"/>
      </w:pPr>
    </w:p>
    <w:p w14:paraId="36B1697B" w14:textId="77777777" w:rsidR="00C04CAD" w:rsidRDefault="00060E34">
      <w:pPr>
        <w:tabs>
          <w:tab w:val="clear" w:pos="567"/>
        </w:tabs>
        <w:kinsoku w:val="0"/>
        <w:overflowPunct w:val="0"/>
        <w:autoSpaceDE w:val="0"/>
        <w:autoSpaceDN w:val="0"/>
        <w:adjustRightInd w:val="0"/>
        <w:spacing w:line="240" w:lineRule="auto"/>
      </w:pPr>
      <w:r>
        <w:t xml:space="preserve">În studii randomizate, dublu-orb, placebo controlate, au fost evaluate siguranţa şi eficacitatea utilizării dozelor multiple de </w:t>
      </w:r>
      <w:r>
        <w:rPr>
          <w:rFonts w:eastAsia="MS Mincho"/>
          <w:szCs w:val="22"/>
          <w:lang w:eastAsia="en-US" w:bidi="ar-SA"/>
        </w:rPr>
        <w:t>adalimumab</w:t>
      </w:r>
      <w:r>
        <w:t xml:space="preserve"> la pacienţi adulţi cu colită ulcerativă acută forma moderată până la severă (scor Mayo de 6 până la 12 cu subscor endoscopic de 2 până la 3).</w:t>
      </w:r>
    </w:p>
    <w:p w14:paraId="4F287371" w14:textId="77777777" w:rsidR="00C04CAD" w:rsidRDefault="00C04CAD">
      <w:pPr>
        <w:tabs>
          <w:tab w:val="clear" w:pos="567"/>
        </w:tabs>
        <w:kinsoku w:val="0"/>
        <w:overflowPunct w:val="0"/>
        <w:autoSpaceDE w:val="0"/>
        <w:autoSpaceDN w:val="0"/>
        <w:adjustRightInd w:val="0"/>
        <w:spacing w:line="240" w:lineRule="auto"/>
      </w:pPr>
    </w:p>
    <w:p w14:paraId="5DE19522" w14:textId="77777777" w:rsidR="00C04CAD" w:rsidRDefault="00060E34">
      <w:pPr>
        <w:tabs>
          <w:tab w:val="clear" w:pos="567"/>
        </w:tabs>
        <w:kinsoku w:val="0"/>
        <w:overflowPunct w:val="0"/>
        <w:autoSpaceDE w:val="0"/>
        <w:autoSpaceDN w:val="0"/>
        <w:adjustRightInd w:val="0"/>
        <w:spacing w:line="240" w:lineRule="auto"/>
      </w:pPr>
      <w:r>
        <w:t xml:space="preserve">În studiul UC-I, 390 pacienţii randomizaţi care nu au utilizat anterior tratament cu antagonişti TNF, li s-a administrat fie placebo în </w:t>
      </w:r>
      <w:r>
        <w:rPr>
          <w:rFonts w:eastAsia="MS Mincho"/>
          <w:szCs w:val="22"/>
          <w:lang w:eastAsia="en-US" w:bidi="ar-SA"/>
        </w:rPr>
        <w:t>săptămâna</w:t>
      </w:r>
      <w:r>
        <w:t xml:space="preserve"> 0 şi 2, o doză </w:t>
      </w:r>
      <w:r>
        <w:rPr>
          <w:rFonts w:eastAsia="MS Mincho"/>
          <w:szCs w:val="22"/>
          <w:lang w:eastAsia="en-US" w:bidi="ar-SA"/>
        </w:rPr>
        <w:t>adalimumab160</w:t>
      </w:r>
      <w:r>
        <w:t xml:space="preserve"> mg în </w:t>
      </w:r>
      <w:r>
        <w:rPr>
          <w:rFonts w:eastAsia="MS Mincho"/>
          <w:szCs w:val="22"/>
          <w:lang w:eastAsia="en-US" w:bidi="ar-SA"/>
        </w:rPr>
        <w:t>săptămâna</w:t>
      </w:r>
      <w:r>
        <w:t xml:space="preserve"> 0 urmată de 80 mg în </w:t>
      </w:r>
      <w:r>
        <w:rPr>
          <w:rFonts w:eastAsia="MS Mincho"/>
          <w:szCs w:val="22"/>
          <w:lang w:eastAsia="en-US" w:bidi="ar-SA"/>
        </w:rPr>
        <w:t>săptămâna</w:t>
      </w:r>
      <w:r>
        <w:t xml:space="preserve"> 2, fie o doză de </w:t>
      </w:r>
      <w:r>
        <w:rPr>
          <w:rFonts w:eastAsia="MS Mincho"/>
          <w:szCs w:val="22"/>
          <w:lang w:eastAsia="en-US" w:bidi="ar-SA"/>
        </w:rPr>
        <w:t>adalimumab</w:t>
      </w:r>
      <w:r>
        <w:t xml:space="preserve"> 80 mg în </w:t>
      </w:r>
      <w:r>
        <w:rPr>
          <w:rFonts w:eastAsia="MS Mincho"/>
          <w:szCs w:val="22"/>
          <w:lang w:eastAsia="en-US" w:bidi="ar-SA"/>
        </w:rPr>
        <w:t>săptămâna</w:t>
      </w:r>
      <w:r>
        <w:t xml:space="preserve"> 0 urmată de 40 mg în </w:t>
      </w:r>
      <w:r>
        <w:rPr>
          <w:rFonts w:eastAsia="MS Mincho"/>
          <w:szCs w:val="22"/>
          <w:lang w:eastAsia="en-US" w:bidi="ar-SA"/>
        </w:rPr>
        <w:t>săptămâna</w:t>
      </w:r>
      <w:r>
        <w:t xml:space="preserve"> 2. După </w:t>
      </w:r>
      <w:r>
        <w:rPr>
          <w:rFonts w:eastAsia="MS Mincho"/>
          <w:szCs w:val="22"/>
          <w:lang w:eastAsia="en-US" w:bidi="ar-SA"/>
        </w:rPr>
        <w:t>săptămâna</w:t>
      </w:r>
      <w:r>
        <w:t xml:space="preserve"> 2, pacienţii din ambele braţe cu adalimumab au utilizat 40 mg o dată la două săptămâni. Remisia clinică (definită ca scor Mayo ≤2, cu niciun subscor &gt;1) a fost evaluată în săptămâna 8.</w:t>
      </w:r>
    </w:p>
    <w:p w14:paraId="32232673" w14:textId="77777777" w:rsidR="00C04CAD" w:rsidRDefault="00C04CAD">
      <w:pPr>
        <w:tabs>
          <w:tab w:val="clear" w:pos="567"/>
        </w:tabs>
        <w:kinsoku w:val="0"/>
        <w:overflowPunct w:val="0"/>
        <w:autoSpaceDE w:val="0"/>
        <w:autoSpaceDN w:val="0"/>
        <w:adjustRightInd w:val="0"/>
        <w:spacing w:line="240" w:lineRule="auto"/>
      </w:pPr>
    </w:p>
    <w:p w14:paraId="0986CF3D" w14:textId="77777777" w:rsidR="00C04CAD" w:rsidRDefault="00060E34">
      <w:pPr>
        <w:tabs>
          <w:tab w:val="clear" w:pos="567"/>
        </w:tabs>
        <w:kinsoku w:val="0"/>
        <w:overflowPunct w:val="0"/>
        <w:autoSpaceDE w:val="0"/>
        <w:autoSpaceDN w:val="0"/>
        <w:adjustRightInd w:val="0"/>
        <w:spacing w:line="240" w:lineRule="auto"/>
      </w:pPr>
      <w:r>
        <w:t xml:space="preserve">În studiul UC-II, 248 pacienţi au utilizat </w:t>
      </w:r>
      <w:r>
        <w:rPr>
          <w:rFonts w:eastAsia="MS Mincho"/>
          <w:szCs w:val="22"/>
          <w:lang w:eastAsia="en-US" w:bidi="ar-SA"/>
        </w:rPr>
        <w:t>adalimumab</w:t>
      </w:r>
      <w:r>
        <w:t xml:space="preserve"> 160 mg în </w:t>
      </w:r>
      <w:r>
        <w:rPr>
          <w:rFonts w:eastAsia="MS Mincho"/>
          <w:szCs w:val="22"/>
          <w:lang w:eastAsia="en-US" w:bidi="ar-SA"/>
        </w:rPr>
        <w:t>săptămâna</w:t>
      </w:r>
      <w:r>
        <w:t xml:space="preserve"> 0, 80 mg în </w:t>
      </w:r>
      <w:r>
        <w:rPr>
          <w:rFonts w:eastAsia="MS Mincho"/>
          <w:szCs w:val="22"/>
          <w:lang w:eastAsia="en-US" w:bidi="ar-SA"/>
        </w:rPr>
        <w:t>săptămâna</w:t>
      </w:r>
      <w:r>
        <w:t xml:space="preserve"> 2 şi după aceea, 40 mg o dată la două săptămâni şi 246 pacienţi au utilizat placebo. Rezultatele clinice pentru iniţierea remisiei au fost evaluate în </w:t>
      </w:r>
      <w:r>
        <w:rPr>
          <w:rFonts w:eastAsia="MS Mincho"/>
          <w:szCs w:val="22"/>
          <w:lang w:eastAsia="en-US" w:bidi="ar-SA"/>
        </w:rPr>
        <w:t>săptămâna</w:t>
      </w:r>
      <w:r>
        <w:t xml:space="preserve"> 8 şi pentru menţinerea remisiei în </w:t>
      </w:r>
      <w:r>
        <w:rPr>
          <w:rFonts w:eastAsia="MS Mincho"/>
          <w:szCs w:val="22"/>
          <w:lang w:eastAsia="en-US" w:bidi="ar-SA"/>
        </w:rPr>
        <w:t>săptămâna</w:t>
      </w:r>
      <w:r>
        <w:t xml:space="preserve"> 52.</w:t>
      </w:r>
    </w:p>
    <w:p w14:paraId="13C91940" w14:textId="77777777" w:rsidR="00C04CAD" w:rsidRDefault="00C04CAD">
      <w:pPr>
        <w:tabs>
          <w:tab w:val="clear" w:pos="567"/>
        </w:tabs>
        <w:kinsoku w:val="0"/>
        <w:overflowPunct w:val="0"/>
        <w:autoSpaceDE w:val="0"/>
        <w:autoSpaceDN w:val="0"/>
        <w:adjustRightInd w:val="0"/>
        <w:spacing w:line="240" w:lineRule="auto"/>
      </w:pPr>
    </w:p>
    <w:p w14:paraId="24DA67AC" w14:textId="77777777" w:rsidR="00C04CAD" w:rsidRDefault="00060E34">
      <w:pPr>
        <w:tabs>
          <w:tab w:val="clear" w:pos="567"/>
        </w:tabs>
        <w:kinsoku w:val="0"/>
        <w:overflowPunct w:val="0"/>
        <w:autoSpaceDE w:val="0"/>
        <w:autoSpaceDN w:val="0"/>
        <w:adjustRightInd w:val="0"/>
        <w:spacing w:line="240" w:lineRule="auto"/>
      </w:pPr>
      <w:r>
        <w:t xml:space="preserve">În studiul UC-I (18% </w:t>
      </w:r>
      <w:r>
        <w:rPr>
          <w:i/>
        </w:rPr>
        <w:t>versus</w:t>
      </w:r>
      <w:r>
        <w:t xml:space="preserve"> 9% respectiv, p=0,031) şi studiul UC-II (17% </w:t>
      </w:r>
      <w:r>
        <w:rPr>
          <w:i/>
        </w:rPr>
        <w:t>versus</w:t>
      </w:r>
      <w:r>
        <w:t xml:space="preserve"> 9% respectiv, p=0.019), pacienţii cărora li s-a administrat la iniţiere </w:t>
      </w:r>
      <w:r>
        <w:rPr>
          <w:rFonts w:eastAsia="MS Mincho"/>
          <w:szCs w:val="22"/>
          <w:lang w:eastAsia="en-US" w:bidi="ar-SA"/>
        </w:rPr>
        <w:t>adalimumab</w:t>
      </w:r>
      <w:r>
        <w:t xml:space="preserve"> 160/80 mg au obţinut remisie clinică </w:t>
      </w:r>
      <w:r>
        <w:rPr>
          <w:i/>
        </w:rPr>
        <w:t>versus</w:t>
      </w:r>
      <w:r>
        <w:t xml:space="preserve"> placebo în </w:t>
      </w:r>
      <w:r>
        <w:rPr>
          <w:rFonts w:eastAsia="MS Mincho"/>
          <w:szCs w:val="22"/>
          <w:lang w:eastAsia="en-US" w:bidi="ar-SA"/>
        </w:rPr>
        <w:t>săptămâna</w:t>
      </w:r>
      <w:r>
        <w:t xml:space="preserve"> 8 într-un procent mai mare semnificativ statistic. În studiul UC-II, numărul pacienţilor care au utilizat tratament cu </w:t>
      </w:r>
      <w:r>
        <w:rPr>
          <w:rFonts w:eastAsia="MS Mincho"/>
          <w:szCs w:val="22"/>
          <w:lang w:eastAsia="en-US" w:bidi="ar-SA"/>
        </w:rPr>
        <w:t>adalimumab</w:t>
      </w:r>
      <w:r>
        <w:t xml:space="preserve"> 21/41 (51%) şi care erau în remisie în </w:t>
      </w:r>
      <w:r>
        <w:rPr>
          <w:rFonts w:eastAsia="MS Mincho"/>
          <w:szCs w:val="22"/>
          <w:lang w:eastAsia="en-US" w:bidi="ar-SA"/>
        </w:rPr>
        <w:t>săptămâna</w:t>
      </w:r>
      <w:r>
        <w:t xml:space="preserve"> 8, au fost în remisie şi în </w:t>
      </w:r>
      <w:r>
        <w:rPr>
          <w:rFonts w:eastAsia="MS Mincho"/>
          <w:szCs w:val="22"/>
          <w:lang w:eastAsia="en-US" w:bidi="ar-SA"/>
        </w:rPr>
        <w:t>săptămâna</w:t>
      </w:r>
      <w:r>
        <w:t xml:space="preserve"> 52.</w:t>
      </w:r>
    </w:p>
    <w:p w14:paraId="69C7E688" w14:textId="77777777" w:rsidR="00C04CAD" w:rsidRDefault="00C04CAD">
      <w:pPr>
        <w:tabs>
          <w:tab w:val="clear" w:pos="567"/>
        </w:tabs>
        <w:kinsoku w:val="0"/>
        <w:overflowPunct w:val="0"/>
        <w:autoSpaceDE w:val="0"/>
        <w:autoSpaceDN w:val="0"/>
        <w:adjustRightInd w:val="0"/>
        <w:spacing w:line="240" w:lineRule="auto"/>
        <w:rPr>
          <w:szCs w:val="22"/>
        </w:rPr>
      </w:pPr>
    </w:p>
    <w:p w14:paraId="34E3E053"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Rezultatele studiului UC-II pentru populaţia totală sunt prezentate în tabelul </w:t>
      </w:r>
      <w:r>
        <w:rPr>
          <w:rFonts w:eastAsia="MS Mincho"/>
          <w:szCs w:val="22"/>
          <w:lang w:eastAsia="en-US" w:bidi="ar-SA"/>
        </w:rPr>
        <w:t>23</w:t>
      </w:r>
      <w:r>
        <w:rPr>
          <w:szCs w:val="22"/>
        </w:rPr>
        <w:t>.</w:t>
      </w:r>
    </w:p>
    <w:p w14:paraId="25219FBA" w14:textId="77777777" w:rsidR="00C04CAD" w:rsidRDefault="00C04CAD">
      <w:pPr>
        <w:autoSpaceDE w:val="0"/>
        <w:autoSpaceDN w:val="0"/>
        <w:adjustRightInd w:val="0"/>
        <w:spacing w:line="240" w:lineRule="auto"/>
        <w:rPr>
          <w:b/>
          <w:szCs w:val="22"/>
        </w:rPr>
      </w:pPr>
    </w:p>
    <w:p w14:paraId="15F978AA" w14:textId="77777777" w:rsidR="00C04CAD" w:rsidRDefault="00060E34">
      <w:pPr>
        <w:keepNext/>
        <w:keepLines/>
        <w:autoSpaceDE w:val="0"/>
        <w:autoSpaceDN w:val="0"/>
        <w:adjustRightInd w:val="0"/>
        <w:spacing w:line="240" w:lineRule="auto"/>
        <w:rPr>
          <w:b/>
        </w:rPr>
      </w:pPr>
      <w:r>
        <w:rPr>
          <w:b/>
          <w:bCs/>
        </w:rPr>
        <w:t>Tabel</w:t>
      </w:r>
      <w:r>
        <w:rPr>
          <w:b/>
          <w:bCs/>
          <w:szCs w:val="22"/>
        </w:rPr>
        <w:t>ul</w:t>
      </w:r>
      <w:r>
        <w:rPr>
          <w:b/>
          <w:bCs/>
        </w:rPr>
        <w:t xml:space="preserve"> 23. Răspuns, r</w:t>
      </w:r>
      <w:r>
        <w:rPr>
          <w:b/>
          <w:bCs/>
          <w:szCs w:val="22"/>
        </w:rPr>
        <w:t>emisie</w:t>
      </w:r>
      <w:r>
        <w:rPr>
          <w:b/>
        </w:rPr>
        <w:t xml:space="preserve"> şi </w:t>
      </w:r>
      <w:r>
        <w:rPr>
          <w:b/>
          <w:bCs/>
        </w:rPr>
        <w:t>v</w:t>
      </w:r>
      <w:r>
        <w:rPr>
          <w:b/>
          <w:szCs w:val="22"/>
        </w:rPr>
        <w:t>indecarea</w:t>
      </w:r>
      <w:r>
        <w:rPr>
          <w:b/>
        </w:rPr>
        <w:t xml:space="preserve"> mucoasei în Studiul UC-II (procentul pacienţilor)</w:t>
      </w:r>
    </w:p>
    <w:p w14:paraId="1E96E049" w14:textId="77777777" w:rsidR="00C04CAD" w:rsidRDefault="00C04CAD">
      <w:pPr>
        <w:keepNext/>
        <w:keepLines/>
        <w:autoSpaceDE w:val="0"/>
        <w:autoSpaceDN w:val="0"/>
        <w:adjustRightInd w:val="0"/>
        <w:spacing w:line="240" w:lineRule="auto"/>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1567"/>
        <w:gridCol w:w="2277"/>
      </w:tblGrid>
      <w:tr w:rsidR="00C04CAD" w14:paraId="4AC7D6A6" w14:textId="77777777">
        <w:trPr>
          <w:cantSplit/>
          <w:trHeight w:val="607"/>
          <w:tblHeader/>
        </w:trPr>
        <w:tc>
          <w:tcPr>
            <w:tcW w:w="2854" w:type="pct"/>
          </w:tcPr>
          <w:p w14:paraId="1D2711C9" w14:textId="77777777" w:rsidR="00C04CAD" w:rsidRDefault="00C04CAD">
            <w:pPr>
              <w:keepNext/>
              <w:keepLines/>
              <w:tabs>
                <w:tab w:val="clear" w:pos="567"/>
              </w:tabs>
              <w:autoSpaceDE w:val="0"/>
              <w:autoSpaceDN w:val="0"/>
              <w:adjustRightInd w:val="0"/>
              <w:spacing w:line="240" w:lineRule="auto"/>
            </w:pPr>
          </w:p>
        </w:tc>
        <w:tc>
          <w:tcPr>
            <w:tcW w:w="875" w:type="pct"/>
          </w:tcPr>
          <w:p w14:paraId="7EE20782" w14:textId="77777777" w:rsidR="00C04CAD" w:rsidRDefault="00060E34">
            <w:pPr>
              <w:keepNext/>
              <w:keepLines/>
              <w:tabs>
                <w:tab w:val="clear" w:pos="567"/>
              </w:tabs>
              <w:autoSpaceDE w:val="0"/>
              <w:autoSpaceDN w:val="0"/>
              <w:adjustRightInd w:val="0"/>
              <w:spacing w:line="240" w:lineRule="auto"/>
              <w:jc w:val="center"/>
            </w:pPr>
            <w:r>
              <w:rPr>
                <w:b/>
              </w:rPr>
              <w:t>Placebo</w:t>
            </w:r>
          </w:p>
        </w:tc>
        <w:tc>
          <w:tcPr>
            <w:tcW w:w="1271" w:type="pct"/>
          </w:tcPr>
          <w:p w14:paraId="40470EF9" w14:textId="77777777" w:rsidR="00C04CAD" w:rsidRDefault="00060E34">
            <w:pPr>
              <w:keepNext/>
              <w:keepLines/>
              <w:tabs>
                <w:tab w:val="clear" w:pos="567"/>
                <w:tab w:val="left" w:pos="6840"/>
              </w:tabs>
              <w:kinsoku w:val="0"/>
              <w:overflowPunct w:val="0"/>
              <w:autoSpaceDE w:val="0"/>
              <w:autoSpaceDN w:val="0"/>
              <w:adjustRightInd w:val="0"/>
              <w:spacing w:line="240" w:lineRule="auto"/>
              <w:jc w:val="center"/>
              <w:rPr>
                <w:b/>
                <w:bCs/>
              </w:rPr>
            </w:pPr>
            <w:r>
              <w:rPr>
                <w:rFonts w:eastAsia="MS Mincho"/>
                <w:b/>
                <w:szCs w:val="22"/>
                <w:lang w:eastAsia="en-US" w:bidi="ar-SA"/>
              </w:rPr>
              <w:t>Adalimumab</w:t>
            </w:r>
            <w:r>
              <w:rPr>
                <w:b/>
                <w:bCs/>
              </w:rPr>
              <w:t xml:space="preserve"> 40 mg</w:t>
            </w:r>
          </w:p>
          <w:p w14:paraId="01162CF8" w14:textId="77777777" w:rsidR="00C04CAD" w:rsidRDefault="00060E34">
            <w:pPr>
              <w:keepNext/>
              <w:keepLines/>
              <w:tabs>
                <w:tab w:val="clear" w:pos="567"/>
                <w:tab w:val="left" w:pos="6840"/>
              </w:tabs>
              <w:kinsoku w:val="0"/>
              <w:overflowPunct w:val="0"/>
              <w:autoSpaceDE w:val="0"/>
              <w:autoSpaceDN w:val="0"/>
              <w:adjustRightInd w:val="0"/>
              <w:spacing w:line="240" w:lineRule="auto"/>
              <w:jc w:val="center"/>
              <w:rPr>
                <w:sz w:val="24"/>
              </w:rPr>
            </w:pPr>
            <w:r>
              <w:rPr>
                <w:b/>
                <w:bCs/>
              </w:rPr>
              <w:t>la două săptămâni</w:t>
            </w:r>
          </w:p>
        </w:tc>
      </w:tr>
      <w:tr w:rsidR="00C04CAD" w14:paraId="26DE06B9" w14:textId="77777777">
        <w:tc>
          <w:tcPr>
            <w:tcW w:w="2854" w:type="pct"/>
          </w:tcPr>
          <w:p w14:paraId="6F826CC1" w14:textId="77777777" w:rsidR="00C04CAD" w:rsidRDefault="00060E34">
            <w:pPr>
              <w:keepNext/>
              <w:keepLines/>
              <w:tabs>
                <w:tab w:val="clear" w:pos="567"/>
              </w:tabs>
              <w:autoSpaceDE w:val="0"/>
              <w:autoSpaceDN w:val="0"/>
              <w:adjustRightInd w:val="0"/>
              <w:spacing w:line="240" w:lineRule="auto"/>
            </w:pPr>
            <w:r>
              <w:t>Săptămâna 52</w:t>
            </w:r>
          </w:p>
        </w:tc>
        <w:tc>
          <w:tcPr>
            <w:tcW w:w="875" w:type="pct"/>
          </w:tcPr>
          <w:p w14:paraId="7993143B" w14:textId="77777777" w:rsidR="00C04CAD" w:rsidRDefault="00060E34">
            <w:pPr>
              <w:keepNext/>
              <w:keepLines/>
              <w:tabs>
                <w:tab w:val="clear" w:pos="567"/>
              </w:tabs>
              <w:autoSpaceDE w:val="0"/>
              <w:autoSpaceDN w:val="0"/>
              <w:adjustRightInd w:val="0"/>
              <w:spacing w:line="240" w:lineRule="auto"/>
              <w:jc w:val="center"/>
            </w:pPr>
            <w:r>
              <w:rPr>
                <w:b/>
                <w:bCs/>
              </w:rPr>
              <w:t>N=246</w:t>
            </w:r>
          </w:p>
        </w:tc>
        <w:tc>
          <w:tcPr>
            <w:tcW w:w="1271" w:type="pct"/>
          </w:tcPr>
          <w:p w14:paraId="1A7C1FD6" w14:textId="77777777" w:rsidR="00C04CAD" w:rsidRDefault="00060E34">
            <w:pPr>
              <w:keepNext/>
              <w:keepLines/>
              <w:tabs>
                <w:tab w:val="clear" w:pos="567"/>
              </w:tabs>
              <w:autoSpaceDE w:val="0"/>
              <w:autoSpaceDN w:val="0"/>
              <w:adjustRightInd w:val="0"/>
              <w:spacing w:line="240" w:lineRule="auto"/>
              <w:jc w:val="center"/>
            </w:pPr>
            <w:r>
              <w:rPr>
                <w:b/>
              </w:rPr>
              <w:t>N=248</w:t>
            </w:r>
          </w:p>
        </w:tc>
      </w:tr>
      <w:tr w:rsidR="00C04CAD" w14:paraId="0F56B90A" w14:textId="77777777">
        <w:tc>
          <w:tcPr>
            <w:tcW w:w="2854" w:type="pct"/>
          </w:tcPr>
          <w:p w14:paraId="2EB4A09A" w14:textId="77777777" w:rsidR="00C04CAD" w:rsidRDefault="00060E34">
            <w:pPr>
              <w:keepNext/>
              <w:keepLines/>
              <w:tabs>
                <w:tab w:val="clear" w:pos="567"/>
              </w:tabs>
              <w:autoSpaceDE w:val="0"/>
              <w:autoSpaceDN w:val="0"/>
              <w:adjustRightInd w:val="0"/>
              <w:spacing w:line="240" w:lineRule="auto"/>
              <w:ind w:left="113"/>
            </w:pPr>
            <w:r>
              <w:t>Răspuns clinic</w:t>
            </w:r>
          </w:p>
        </w:tc>
        <w:tc>
          <w:tcPr>
            <w:tcW w:w="875" w:type="pct"/>
          </w:tcPr>
          <w:p w14:paraId="62821307" w14:textId="77777777" w:rsidR="00C04CAD" w:rsidRDefault="00060E34">
            <w:pPr>
              <w:keepNext/>
              <w:keepLines/>
              <w:tabs>
                <w:tab w:val="clear" w:pos="567"/>
              </w:tabs>
              <w:autoSpaceDE w:val="0"/>
              <w:autoSpaceDN w:val="0"/>
              <w:adjustRightInd w:val="0"/>
              <w:spacing w:line="240" w:lineRule="auto"/>
              <w:jc w:val="center"/>
            </w:pPr>
            <w:r>
              <w:t>18%</w:t>
            </w:r>
          </w:p>
        </w:tc>
        <w:tc>
          <w:tcPr>
            <w:tcW w:w="1271" w:type="pct"/>
          </w:tcPr>
          <w:p w14:paraId="3320E0A4" w14:textId="77777777" w:rsidR="00C04CAD" w:rsidRDefault="00060E34">
            <w:pPr>
              <w:keepNext/>
              <w:keepLines/>
              <w:tabs>
                <w:tab w:val="clear" w:pos="567"/>
              </w:tabs>
              <w:autoSpaceDE w:val="0"/>
              <w:autoSpaceDN w:val="0"/>
              <w:adjustRightInd w:val="0"/>
              <w:spacing w:line="240" w:lineRule="auto"/>
              <w:jc w:val="center"/>
            </w:pPr>
            <w:r>
              <w:t>30%*</w:t>
            </w:r>
          </w:p>
        </w:tc>
      </w:tr>
      <w:tr w:rsidR="00C04CAD" w14:paraId="72D33BAF" w14:textId="77777777">
        <w:tc>
          <w:tcPr>
            <w:tcW w:w="2854" w:type="pct"/>
          </w:tcPr>
          <w:p w14:paraId="0D0576B9" w14:textId="77777777" w:rsidR="00C04CAD" w:rsidRDefault="00060E34">
            <w:pPr>
              <w:keepNext/>
              <w:keepLines/>
              <w:tabs>
                <w:tab w:val="clear" w:pos="567"/>
              </w:tabs>
              <w:autoSpaceDE w:val="0"/>
              <w:autoSpaceDN w:val="0"/>
              <w:adjustRightInd w:val="0"/>
              <w:spacing w:line="240" w:lineRule="auto"/>
              <w:ind w:left="113"/>
            </w:pPr>
            <w:r>
              <w:t>Remisie clinică</w:t>
            </w:r>
          </w:p>
        </w:tc>
        <w:tc>
          <w:tcPr>
            <w:tcW w:w="875" w:type="pct"/>
          </w:tcPr>
          <w:p w14:paraId="25A852A1" w14:textId="77777777" w:rsidR="00C04CAD" w:rsidRDefault="00060E34">
            <w:pPr>
              <w:keepNext/>
              <w:keepLines/>
              <w:tabs>
                <w:tab w:val="clear" w:pos="567"/>
              </w:tabs>
              <w:autoSpaceDE w:val="0"/>
              <w:autoSpaceDN w:val="0"/>
              <w:adjustRightInd w:val="0"/>
              <w:spacing w:line="240" w:lineRule="auto"/>
              <w:jc w:val="center"/>
            </w:pPr>
            <w:r>
              <w:t>9%</w:t>
            </w:r>
          </w:p>
        </w:tc>
        <w:tc>
          <w:tcPr>
            <w:tcW w:w="1271" w:type="pct"/>
          </w:tcPr>
          <w:p w14:paraId="45769F8A" w14:textId="77777777" w:rsidR="00C04CAD" w:rsidRDefault="00060E34">
            <w:pPr>
              <w:keepNext/>
              <w:keepLines/>
              <w:tabs>
                <w:tab w:val="clear" w:pos="567"/>
              </w:tabs>
              <w:autoSpaceDE w:val="0"/>
              <w:autoSpaceDN w:val="0"/>
              <w:adjustRightInd w:val="0"/>
              <w:spacing w:line="240" w:lineRule="auto"/>
              <w:jc w:val="center"/>
            </w:pPr>
            <w:r>
              <w:t>17%*</w:t>
            </w:r>
          </w:p>
        </w:tc>
      </w:tr>
      <w:tr w:rsidR="00C04CAD" w14:paraId="29FFE77E" w14:textId="77777777">
        <w:trPr>
          <w:trHeight w:val="106"/>
        </w:trPr>
        <w:tc>
          <w:tcPr>
            <w:tcW w:w="2854" w:type="pct"/>
            <w:tcBorders>
              <w:bottom w:val="single" w:sz="4" w:space="0" w:color="auto"/>
            </w:tcBorders>
          </w:tcPr>
          <w:p w14:paraId="2CA59E83" w14:textId="77777777" w:rsidR="00C04CAD" w:rsidRDefault="00060E34">
            <w:pPr>
              <w:keepNext/>
              <w:keepLines/>
              <w:tabs>
                <w:tab w:val="clear" w:pos="567"/>
              </w:tabs>
              <w:autoSpaceDE w:val="0"/>
              <w:autoSpaceDN w:val="0"/>
              <w:adjustRightInd w:val="0"/>
              <w:spacing w:line="240" w:lineRule="auto"/>
              <w:ind w:left="113"/>
            </w:pPr>
            <w:r>
              <w:t>Vindecarea mucoasei</w:t>
            </w:r>
          </w:p>
        </w:tc>
        <w:tc>
          <w:tcPr>
            <w:tcW w:w="875" w:type="pct"/>
            <w:tcBorders>
              <w:bottom w:val="single" w:sz="4" w:space="0" w:color="auto"/>
            </w:tcBorders>
          </w:tcPr>
          <w:p w14:paraId="68BEDDD5" w14:textId="77777777" w:rsidR="00C04CAD" w:rsidRDefault="00060E34">
            <w:pPr>
              <w:keepNext/>
              <w:keepLines/>
              <w:tabs>
                <w:tab w:val="clear" w:pos="567"/>
              </w:tabs>
              <w:autoSpaceDE w:val="0"/>
              <w:autoSpaceDN w:val="0"/>
              <w:adjustRightInd w:val="0"/>
              <w:spacing w:line="240" w:lineRule="auto"/>
              <w:jc w:val="center"/>
            </w:pPr>
            <w:r>
              <w:t>15%</w:t>
            </w:r>
          </w:p>
        </w:tc>
        <w:tc>
          <w:tcPr>
            <w:tcW w:w="1271" w:type="pct"/>
            <w:tcBorders>
              <w:bottom w:val="single" w:sz="4" w:space="0" w:color="auto"/>
            </w:tcBorders>
          </w:tcPr>
          <w:p w14:paraId="7D5110D6" w14:textId="77777777" w:rsidR="00C04CAD" w:rsidRDefault="00060E34">
            <w:pPr>
              <w:keepNext/>
              <w:keepLines/>
              <w:tabs>
                <w:tab w:val="clear" w:pos="567"/>
              </w:tabs>
              <w:autoSpaceDE w:val="0"/>
              <w:autoSpaceDN w:val="0"/>
              <w:adjustRightInd w:val="0"/>
              <w:spacing w:line="240" w:lineRule="auto"/>
              <w:jc w:val="center"/>
            </w:pPr>
            <w:r>
              <w:t>25%*</w:t>
            </w:r>
          </w:p>
        </w:tc>
      </w:tr>
      <w:tr w:rsidR="00C04CAD" w14:paraId="332EB4C7" w14:textId="77777777">
        <w:trPr>
          <w:trHeight w:val="100"/>
        </w:trPr>
        <w:tc>
          <w:tcPr>
            <w:tcW w:w="2854" w:type="pct"/>
            <w:tcBorders>
              <w:bottom w:val="nil"/>
            </w:tcBorders>
            <w:vAlign w:val="center"/>
          </w:tcPr>
          <w:p w14:paraId="59608917" w14:textId="77777777" w:rsidR="00C04CAD" w:rsidRDefault="00060E34">
            <w:pPr>
              <w:tabs>
                <w:tab w:val="clear" w:pos="567"/>
              </w:tabs>
              <w:autoSpaceDE w:val="0"/>
              <w:autoSpaceDN w:val="0"/>
              <w:adjustRightInd w:val="0"/>
              <w:spacing w:line="240" w:lineRule="auto"/>
              <w:ind w:left="113"/>
            </w:pPr>
            <w:r>
              <w:t xml:space="preserve">Remisie fără steroizi pentru ≥ 90 zile </w:t>
            </w:r>
            <w:r>
              <w:rPr>
                <w:vertAlign w:val="superscript"/>
              </w:rPr>
              <w:t>a</w:t>
            </w:r>
          </w:p>
        </w:tc>
        <w:tc>
          <w:tcPr>
            <w:tcW w:w="875" w:type="pct"/>
            <w:tcBorders>
              <w:bottom w:val="nil"/>
            </w:tcBorders>
          </w:tcPr>
          <w:p w14:paraId="677819A9" w14:textId="77777777" w:rsidR="00C04CAD" w:rsidRDefault="00060E34">
            <w:pPr>
              <w:tabs>
                <w:tab w:val="clear" w:pos="567"/>
              </w:tabs>
              <w:autoSpaceDE w:val="0"/>
              <w:autoSpaceDN w:val="0"/>
              <w:adjustRightInd w:val="0"/>
              <w:spacing w:line="240" w:lineRule="auto"/>
              <w:jc w:val="center"/>
            </w:pPr>
            <w:r>
              <w:t>6%</w:t>
            </w:r>
          </w:p>
        </w:tc>
        <w:tc>
          <w:tcPr>
            <w:tcW w:w="1271" w:type="pct"/>
            <w:tcBorders>
              <w:bottom w:val="nil"/>
            </w:tcBorders>
          </w:tcPr>
          <w:p w14:paraId="057D4E3A" w14:textId="77777777" w:rsidR="00C04CAD" w:rsidRDefault="00060E34">
            <w:pPr>
              <w:tabs>
                <w:tab w:val="clear" w:pos="567"/>
              </w:tabs>
              <w:autoSpaceDE w:val="0"/>
              <w:autoSpaceDN w:val="0"/>
              <w:adjustRightInd w:val="0"/>
              <w:spacing w:line="240" w:lineRule="auto"/>
              <w:jc w:val="center"/>
            </w:pPr>
            <w:r>
              <w:t>13%*</w:t>
            </w:r>
          </w:p>
        </w:tc>
      </w:tr>
      <w:tr w:rsidR="00C04CAD" w14:paraId="6FA82794" w14:textId="77777777">
        <w:tc>
          <w:tcPr>
            <w:tcW w:w="2854" w:type="pct"/>
            <w:tcBorders>
              <w:top w:val="nil"/>
            </w:tcBorders>
          </w:tcPr>
          <w:p w14:paraId="21DA087E" w14:textId="77777777" w:rsidR="00C04CAD" w:rsidRDefault="00C04CAD">
            <w:pPr>
              <w:keepNext/>
              <w:keepLines/>
              <w:tabs>
                <w:tab w:val="clear" w:pos="567"/>
              </w:tabs>
              <w:autoSpaceDE w:val="0"/>
              <w:autoSpaceDN w:val="0"/>
              <w:adjustRightInd w:val="0"/>
              <w:spacing w:line="240" w:lineRule="auto"/>
            </w:pPr>
          </w:p>
        </w:tc>
        <w:tc>
          <w:tcPr>
            <w:tcW w:w="875" w:type="pct"/>
            <w:tcBorders>
              <w:top w:val="nil"/>
            </w:tcBorders>
          </w:tcPr>
          <w:p w14:paraId="44848737" w14:textId="77777777" w:rsidR="00C04CAD" w:rsidRDefault="00060E34">
            <w:pPr>
              <w:keepNext/>
              <w:keepLines/>
              <w:tabs>
                <w:tab w:val="clear" w:pos="567"/>
              </w:tabs>
              <w:autoSpaceDE w:val="0"/>
              <w:autoSpaceDN w:val="0"/>
              <w:adjustRightInd w:val="0"/>
              <w:spacing w:line="240" w:lineRule="auto"/>
              <w:jc w:val="center"/>
            </w:pPr>
            <w:r>
              <w:t>(N=140)</w:t>
            </w:r>
          </w:p>
        </w:tc>
        <w:tc>
          <w:tcPr>
            <w:tcW w:w="1271" w:type="pct"/>
            <w:tcBorders>
              <w:top w:val="nil"/>
            </w:tcBorders>
          </w:tcPr>
          <w:p w14:paraId="2B4420B9" w14:textId="77777777" w:rsidR="00C04CAD" w:rsidRDefault="00060E34">
            <w:pPr>
              <w:keepNext/>
              <w:keepLines/>
              <w:tabs>
                <w:tab w:val="clear" w:pos="567"/>
              </w:tabs>
              <w:autoSpaceDE w:val="0"/>
              <w:autoSpaceDN w:val="0"/>
              <w:adjustRightInd w:val="0"/>
              <w:spacing w:line="240" w:lineRule="auto"/>
              <w:jc w:val="center"/>
            </w:pPr>
            <w:r>
              <w:t>(N=150)</w:t>
            </w:r>
          </w:p>
        </w:tc>
      </w:tr>
      <w:tr w:rsidR="00C04CAD" w14:paraId="74D581ED" w14:textId="77777777">
        <w:tc>
          <w:tcPr>
            <w:tcW w:w="2854" w:type="pct"/>
          </w:tcPr>
          <w:p w14:paraId="210358D2" w14:textId="77777777" w:rsidR="00C04CAD" w:rsidRDefault="00060E34">
            <w:pPr>
              <w:tabs>
                <w:tab w:val="clear" w:pos="567"/>
              </w:tabs>
              <w:kinsoku w:val="0"/>
              <w:overflowPunct w:val="0"/>
              <w:autoSpaceDE w:val="0"/>
              <w:autoSpaceDN w:val="0"/>
              <w:adjustRightInd w:val="0"/>
              <w:spacing w:line="240" w:lineRule="auto"/>
            </w:pPr>
            <w:r>
              <w:t>Săptămâna 8 şi 52</w:t>
            </w:r>
          </w:p>
        </w:tc>
        <w:tc>
          <w:tcPr>
            <w:tcW w:w="875" w:type="pct"/>
          </w:tcPr>
          <w:p w14:paraId="1873341A" w14:textId="77777777" w:rsidR="00C04CAD" w:rsidRDefault="00C04CAD">
            <w:pPr>
              <w:tabs>
                <w:tab w:val="clear" w:pos="567"/>
                <w:tab w:val="left" w:pos="3684"/>
                <w:tab w:val="left" w:pos="7961"/>
              </w:tabs>
              <w:kinsoku w:val="0"/>
              <w:overflowPunct w:val="0"/>
              <w:autoSpaceDE w:val="0"/>
              <w:autoSpaceDN w:val="0"/>
              <w:adjustRightInd w:val="0"/>
              <w:spacing w:line="240" w:lineRule="auto"/>
              <w:jc w:val="center"/>
              <w:rPr>
                <w:bCs/>
              </w:rPr>
            </w:pPr>
          </w:p>
        </w:tc>
        <w:tc>
          <w:tcPr>
            <w:tcW w:w="1271" w:type="pct"/>
          </w:tcPr>
          <w:p w14:paraId="16A28BAF" w14:textId="77777777" w:rsidR="00C04CAD" w:rsidRDefault="00C04CAD">
            <w:pPr>
              <w:tabs>
                <w:tab w:val="clear" w:pos="567"/>
                <w:tab w:val="left" w:pos="3684"/>
                <w:tab w:val="left" w:pos="7961"/>
              </w:tabs>
              <w:kinsoku w:val="0"/>
              <w:overflowPunct w:val="0"/>
              <w:autoSpaceDE w:val="0"/>
              <w:autoSpaceDN w:val="0"/>
              <w:adjustRightInd w:val="0"/>
              <w:spacing w:line="240" w:lineRule="auto"/>
              <w:jc w:val="center"/>
              <w:rPr>
                <w:bCs/>
              </w:rPr>
            </w:pPr>
          </w:p>
        </w:tc>
      </w:tr>
      <w:tr w:rsidR="00C04CAD" w14:paraId="0D2D3BD8" w14:textId="77777777">
        <w:tc>
          <w:tcPr>
            <w:tcW w:w="2854" w:type="pct"/>
          </w:tcPr>
          <w:p w14:paraId="3DE65AA2" w14:textId="77777777" w:rsidR="00C04CAD" w:rsidRDefault="00060E34">
            <w:pPr>
              <w:tabs>
                <w:tab w:val="clear" w:pos="567"/>
              </w:tabs>
              <w:autoSpaceDE w:val="0"/>
              <w:autoSpaceDN w:val="0"/>
              <w:adjustRightInd w:val="0"/>
              <w:spacing w:line="240" w:lineRule="auto"/>
              <w:ind w:left="113"/>
            </w:pPr>
            <w:r>
              <w:t>Răspuns susţinut</w:t>
            </w:r>
          </w:p>
        </w:tc>
        <w:tc>
          <w:tcPr>
            <w:tcW w:w="875" w:type="pct"/>
          </w:tcPr>
          <w:p w14:paraId="492FC44E" w14:textId="77777777" w:rsidR="00C04CAD" w:rsidRDefault="00060E34">
            <w:pPr>
              <w:tabs>
                <w:tab w:val="clear" w:pos="567"/>
              </w:tabs>
              <w:autoSpaceDE w:val="0"/>
              <w:autoSpaceDN w:val="0"/>
              <w:adjustRightInd w:val="0"/>
              <w:spacing w:line="240" w:lineRule="auto"/>
              <w:jc w:val="center"/>
            </w:pPr>
            <w:r>
              <w:t>12%</w:t>
            </w:r>
          </w:p>
        </w:tc>
        <w:tc>
          <w:tcPr>
            <w:tcW w:w="1271" w:type="pct"/>
          </w:tcPr>
          <w:p w14:paraId="488ABACE" w14:textId="77777777" w:rsidR="00C04CAD" w:rsidRDefault="00060E34">
            <w:pPr>
              <w:tabs>
                <w:tab w:val="clear" w:pos="567"/>
              </w:tabs>
              <w:autoSpaceDE w:val="0"/>
              <w:autoSpaceDN w:val="0"/>
              <w:adjustRightInd w:val="0"/>
              <w:spacing w:line="240" w:lineRule="auto"/>
              <w:jc w:val="center"/>
            </w:pPr>
            <w:r>
              <w:t>24%**</w:t>
            </w:r>
          </w:p>
        </w:tc>
      </w:tr>
      <w:tr w:rsidR="00C04CAD" w14:paraId="5F134E06" w14:textId="77777777">
        <w:tc>
          <w:tcPr>
            <w:tcW w:w="2854" w:type="pct"/>
          </w:tcPr>
          <w:p w14:paraId="1B5D7A21" w14:textId="77777777" w:rsidR="00C04CAD" w:rsidRDefault="00060E34">
            <w:pPr>
              <w:tabs>
                <w:tab w:val="clear" w:pos="567"/>
              </w:tabs>
              <w:autoSpaceDE w:val="0"/>
              <w:autoSpaceDN w:val="0"/>
              <w:adjustRightInd w:val="0"/>
              <w:spacing w:line="240" w:lineRule="auto"/>
              <w:ind w:left="113"/>
            </w:pPr>
            <w:r>
              <w:t>Remisie susţinută</w:t>
            </w:r>
          </w:p>
        </w:tc>
        <w:tc>
          <w:tcPr>
            <w:tcW w:w="875" w:type="pct"/>
          </w:tcPr>
          <w:p w14:paraId="6C23015A" w14:textId="77777777" w:rsidR="00C04CAD" w:rsidRDefault="00060E34">
            <w:pPr>
              <w:tabs>
                <w:tab w:val="clear" w:pos="567"/>
              </w:tabs>
              <w:autoSpaceDE w:val="0"/>
              <w:autoSpaceDN w:val="0"/>
              <w:adjustRightInd w:val="0"/>
              <w:spacing w:line="240" w:lineRule="auto"/>
              <w:jc w:val="center"/>
            </w:pPr>
            <w:r>
              <w:t>4%</w:t>
            </w:r>
          </w:p>
        </w:tc>
        <w:tc>
          <w:tcPr>
            <w:tcW w:w="1271" w:type="pct"/>
          </w:tcPr>
          <w:p w14:paraId="15F7D0D6" w14:textId="77777777" w:rsidR="00C04CAD" w:rsidRDefault="00060E34">
            <w:pPr>
              <w:tabs>
                <w:tab w:val="clear" w:pos="567"/>
              </w:tabs>
              <w:autoSpaceDE w:val="0"/>
              <w:autoSpaceDN w:val="0"/>
              <w:adjustRightInd w:val="0"/>
              <w:spacing w:line="240" w:lineRule="auto"/>
              <w:jc w:val="center"/>
            </w:pPr>
            <w:r>
              <w:t>8%*</w:t>
            </w:r>
          </w:p>
        </w:tc>
      </w:tr>
      <w:tr w:rsidR="00C04CAD" w14:paraId="0D15BD00" w14:textId="77777777">
        <w:tc>
          <w:tcPr>
            <w:tcW w:w="2854" w:type="pct"/>
          </w:tcPr>
          <w:p w14:paraId="02A5236F" w14:textId="77777777" w:rsidR="00C04CAD" w:rsidRDefault="00060E34">
            <w:pPr>
              <w:tabs>
                <w:tab w:val="clear" w:pos="567"/>
              </w:tabs>
              <w:autoSpaceDE w:val="0"/>
              <w:autoSpaceDN w:val="0"/>
              <w:adjustRightInd w:val="0"/>
              <w:spacing w:line="240" w:lineRule="auto"/>
              <w:ind w:left="113"/>
            </w:pPr>
            <w:r>
              <w:t>Vindecarea mucoasei susţinută</w:t>
            </w:r>
          </w:p>
        </w:tc>
        <w:tc>
          <w:tcPr>
            <w:tcW w:w="875" w:type="pct"/>
          </w:tcPr>
          <w:p w14:paraId="144D1858" w14:textId="77777777" w:rsidR="00C04CAD" w:rsidRDefault="00060E34">
            <w:pPr>
              <w:tabs>
                <w:tab w:val="clear" w:pos="567"/>
              </w:tabs>
              <w:autoSpaceDE w:val="0"/>
              <w:autoSpaceDN w:val="0"/>
              <w:adjustRightInd w:val="0"/>
              <w:spacing w:line="240" w:lineRule="auto"/>
              <w:jc w:val="center"/>
            </w:pPr>
            <w:r>
              <w:t>11%</w:t>
            </w:r>
          </w:p>
        </w:tc>
        <w:tc>
          <w:tcPr>
            <w:tcW w:w="1271" w:type="pct"/>
          </w:tcPr>
          <w:p w14:paraId="6CAB923A" w14:textId="77777777" w:rsidR="00C04CAD" w:rsidRDefault="00060E34">
            <w:pPr>
              <w:tabs>
                <w:tab w:val="clear" w:pos="567"/>
              </w:tabs>
              <w:autoSpaceDE w:val="0"/>
              <w:autoSpaceDN w:val="0"/>
              <w:adjustRightInd w:val="0"/>
              <w:spacing w:line="240" w:lineRule="auto"/>
              <w:jc w:val="center"/>
            </w:pPr>
            <w:r>
              <w:t>19%*</w:t>
            </w:r>
          </w:p>
        </w:tc>
      </w:tr>
    </w:tbl>
    <w:p w14:paraId="16005B48" w14:textId="77777777" w:rsidR="00C04CAD" w:rsidRDefault="00060E34">
      <w:pPr>
        <w:tabs>
          <w:tab w:val="clear" w:pos="567"/>
          <w:tab w:val="left" w:pos="5712"/>
          <w:tab w:val="left" w:pos="7325"/>
        </w:tabs>
        <w:kinsoku w:val="0"/>
        <w:overflowPunct w:val="0"/>
        <w:autoSpaceDE w:val="0"/>
        <w:autoSpaceDN w:val="0"/>
        <w:adjustRightInd w:val="0"/>
        <w:spacing w:line="240" w:lineRule="auto"/>
        <w:rPr>
          <w:sz w:val="20"/>
        </w:rPr>
      </w:pPr>
      <w:r>
        <w:rPr>
          <w:sz w:val="20"/>
        </w:rPr>
        <w:t>Remisia clinică este scor Mayo ≤ 2 cu niciun subscor &gt; 1;</w:t>
      </w:r>
    </w:p>
    <w:p w14:paraId="26BA8810"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Răspunsul clinic reprezintă scăderea scorului Mayo cu </w:t>
      </w:r>
      <w:r>
        <w:rPr>
          <w:rFonts w:eastAsia="MS Mincho"/>
          <w:sz w:val="20"/>
          <w:lang w:eastAsia="ja-JP" w:bidi="ar-SA"/>
        </w:rPr>
        <w:t>≥</w:t>
      </w:r>
      <w:r>
        <w:rPr>
          <w:rFonts w:eastAsia="MS Mincho"/>
          <w:sz w:val="16"/>
          <w:szCs w:val="16"/>
          <w:lang w:eastAsia="ja-JP" w:bidi="ar-SA"/>
        </w:rPr>
        <w:t xml:space="preserve"> </w:t>
      </w:r>
      <w:r>
        <w:rPr>
          <w:sz w:val="20"/>
        </w:rPr>
        <w:t xml:space="preserve">3 puncte şi </w:t>
      </w:r>
      <w:r>
        <w:rPr>
          <w:rFonts w:eastAsia="MS Mincho"/>
          <w:sz w:val="20"/>
          <w:lang w:eastAsia="ja-JP" w:bidi="ar-SA"/>
        </w:rPr>
        <w:t xml:space="preserve">≥ </w:t>
      </w:r>
      <w:r>
        <w:rPr>
          <w:sz w:val="20"/>
        </w:rPr>
        <w:t xml:space="preserve">30% faţă de valoarea iniţială, plus scăderea subscorului de sângerare rectală [SSR] cu ≥1 sau o valoare absolută a SSR de 0 sau 1. </w:t>
      </w:r>
    </w:p>
    <w:p w14:paraId="5D029C69"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*p&lt;0,05 pentru </w:t>
      </w:r>
      <w:r>
        <w:rPr>
          <w:rFonts w:eastAsia="MS Mincho"/>
          <w:sz w:val="20"/>
          <w:lang w:eastAsia="en-US" w:bidi="ar-SA"/>
        </w:rPr>
        <w:t>adalimumab</w:t>
      </w:r>
      <w:r>
        <w:rPr>
          <w:sz w:val="20"/>
        </w:rPr>
        <w:t xml:space="preserve"> </w:t>
      </w:r>
      <w:r>
        <w:rPr>
          <w:i/>
          <w:sz w:val="20"/>
        </w:rPr>
        <w:t xml:space="preserve">versus </w:t>
      </w:r>
      <w:r>
        <w:rPr>
          <w:sz w:val="20"/>
        </w:rPr>
        <w:t>perechilor de comparaţie placebo</w:t>
      </w:r>
    </w:p>
    <w:p w14:paraId="483756BD" w14:textId="77777777" w:rsidR="00C04CAD" w:rsidRDefault="00060E34">
      <w:pPr>
        <w:kinsoku w:val="0"/>
        <w:overflowPunct w:val="0"/>
        <w:autoSpaceDE w:val="0"/>
        <w:autoSpaceDN w:val="0"/>
        <w:adjustRightInd w:val="0"/>
        <w:spacing w:line="240" w:lineRule="auto"/>
        <w:ind w:left="284" w:hanging="284"/>
        <w:rPr>
          <w:sz w:val="20"/>
        </w:rPr>
      </w:pPr>
      <w:r>
        <w:rPr>
          <w:sz w:val="20"/>
        </w:rPr>
        <w:t>**</w:t>
      </w:r>
      <w:r>
        <w:rPr>
          <w:sz w:val="20"/>
        </w:rPr>
        <w:tab/>
        <w:t xml:space="preserve">p&lt;0,001 pentru </w:t>
      </w:r>
      <w:r>
        <w:rPr>
          <w:rFonts w:eastAsia="MS Mincho"/>
          <w:sz w:val="20"/>
          <w:lang w:eastAsia="en-US" w:bidi="ar-SA"/>
        </w:rPr>
        <w:t>adalimumab</w:t>
      </w:r>
      <w:r>
        <w:rPr>
          <w:sz w:val="20"/>
        </w:rPr>
        <w:t xml:space="preserve"> </w:t>
      </w:r>
      <w:r>
        <w:rPr>
          <w:i/>
          <w:sz w:val="20"/>
        </w:rPr>
        <w:t xml:space="preserve">versus </w:t>
      </w:r>
      <w:r>
        <w:rPr>
          <w:sz w:val="20"/>
        </w:rPr>
        <w:t>perechilor de comparație placebo</w:t>
      </w:r>
    </w:p>
    <w:p w14:paraId="0E076E66" w14:textId="77777777" w:rsidR="00C04CAD" w:rsidRDefault="00060E34">
      <w:pPr>
        <w:kinsoku w:val="0"/>
        <w:overflowPunct w:val="0"/>
        <w:autoSpaceDE w:val="0"/>
        <w:autoSpaceDN w:val="0"/>
        <w:adjustRightInd w:val="0"/>
        <w:spacing w:line="240" w:lineRule="auto"/>
        <w:ind w:left="284" w:hanging="284"/>
        <w:rPr>
          <w:sz w:val="20"/>
        </w:rPr>
      </w:pPr>
      <w:r>
        <w:rPr>
          <w:sz w:val="20"/>
          <w:vertAlign w:val="superscript"/>
        </w:rPr>
        <w:t>a</w:t>
      </w:r>
      <w:r>
        <w:rPr>
          <w:sz w:val="20"/>
          <w:vertAlign w:val="superscript"/>
        </w:rPr>
        <w:tab/>
      </w:r>
      <w:r>
        <w:rPr>
          <w:sz w:val="20"/>
        </w:rPr>
        <w:t>Pentru aceia care au utilizat iniţial corticosteroizi</w:t>
      </w:r>
    </w:p>
    <w:p w14:paraId="4E22FB72" w14:textId="77777777" w:rsidR="00C04CAD" w:rsidRDefault="00C04CAD">
      <w:pPr>
        <w:autoSpaceDE w:val="0"/>
        <w:autoSpaceDN w:val="0"/>
        <w:adjustRightInd w:val="0"/>
        <w:spacing w:line="240" w:lineRule="auto"/>
      </w:pPr>
    </w:p>
    <w:p w14:paraId="2F152DB1" w14:textId="77777777" w:rsidR="00C04CAD" w:rsidRDefault="00060E34">
      <w:pPr>
        <w:tabs>
          <w:tab w:val="clear" w:pos="567"/>
        </w:tabs>
        <w:kinsoku w:val="0"/>
        <w:overflowPunct w:val="0"/>
        <w:autoSpaceDE w:val="0"/>
        <w:autoSpaceDN w:val="0"/>
        <w:adjustRightInd w:val="0"/>
        <w:spacing w:line="240" w:lineRule="auto"/>
      </w:pPr>
      <w:r>
        <w:t xml:space="preserve">Dintre acei pacienţi care în săptămâna 8 au avut un răspuns clinic, în </w:t>
      </w:r>
      <w:r>
        <w:rPr>
          <w:rFonts w:eastAsia="MS Mincho"/>
          <w:szCs w:val="22"/>
          <w:lang w:eastAsia="en-US" w:bidi="ar-SA"/>
        </w:rPr>
        <w:t>săptămâna</w:t>
      </w:r>
      <w:r>
        <w:t xml:space="preserve"> 52, 47% au răspuns la tratament, 29% au fost în remisie, 41% au avut mucoasa intestinală vindecată şi 20% au fost în remisie fără steroizi pentru ≥ 90 zile.</w:t>
      </w:r>
    </w:p>
    <w:p w14:paraId="5A869AA5" w14:textId="77777777" w:rsidR="00C04CAD" w:rsidRDefault="00C04CAD">
      <w:pPr>
        <w:tabs>
          <w:tab w:val="clear" w:pos="567"/>
        </w:tabs>
        <w:kinsoku w:val="0"/>
        <w:overflowPunct w:val="0"/>
        <w:autoSpaceDE w:val="0"/>
        <w:autoSpaceDN w:val="0"/>
        <w:adjustRightInd w:val="0"/>
        <w:spacing w:line="240" w:lineRule="auto"/>
      </w:pPr>
    </w:p>
    <w:p w14:paraId="78E78062" w14:textId="77777777" w:rsidR="00C04CAD" w:rsidRDefault="00060E34">
      <w:pPr>
        <w:tabs>
          <w:tab w:val="clear" w:pos="567"/>
        </w:tabs>
        <w:kinsoku w:val="0"/>
        <w:overflowPunct w:val="0"/>
        <w:autoSpaceDE w:val="0"/>
        <w:autoSpaceDN w:val="0"/>
        <w:adjustRightInd w:val="0"/>
        <w:spacing w:line="240" w:lineRule="auto"/>
      </w:pPr>
      <w:r>
        <w:t>În studiul UC-II, aproximativ 40% dintre pacienţi nu au răspuns anterior la tratamentul cu anti-TNF infliximab. Eficacitatea adalimumab la acei pacienţi a fost scăzută comparativ cu cea la pacienţii care nu au utilizat anterior anti-TNF. Din numărul pacienţilor care nu au răspuns anterior la tratamentul cu anti</w:t>
      </w:r>
      <w:r>
        <w:noBreakHyphen/>
        <w:t xml:space="preserve">TNF, 3% a obţinut remisia în </w:t>
      </w:r>
      <w:r>
        <w:rPr>
          <w:rFonts w:eastAsia="MS Mincho"/>
          <w:szCs w:val="22"/>
          <w:lang w:eastAsia="en-US" w:bidi="ar-SA"/>
        </w:rPr>
        <w:t>săptămâna</w:t>
      </w:r>
      <w:r>
        <w:t xml:space="preserve"> 52 în grupul care a utilizat placebo şi 10% în grupul tratat cu adalimumab.</w:t>
      </w:r>
    </w:p>
    <w:p w14:paraId="643524A3" w14:textId="77777777" w:rsidR="00C04CAD" w:rsidRDefault="00C04CAD">
      <w:pPr>
        <w:tabs>
          <w:tab w:val="clear" w:pos="567"/>
        </w:tabs>
        <w:kinsoku w:val="0"/>
        <w:overflowPunct w:val="0"/>
        <w:autoSpaceDE w:val="0"/>
        <w:autoSpaceDN w:val="0"/>
        <w:adjustRightInd w:val="0"/>
        <w:spacing w:line="240" w:lineRule="auto"/>
      </w:pPr>
    </w:p>
    <w:p w14:paraId="65CB76ED" w14:textId="77777777" w:rsidR="00C04CAD" w:rsidRDefault="00060E34">
      <w:pPr>
        <w:tabs>
          <w:tab w:val="clear" w:pos="567"/>
        </w:tabs>
        <w:kinsoku w:val="0"/>
        <w:overflowPunct w:val="0"/>
        <w:autoSpaceDE w:val="0"/>
        <w:autoSpaceDN w:val="0"/>
        <w:adjustRightInd w:val="0"/>
        <w:spacing w:line="240" w:lineRule="auto"/>
      </w:pPr>
      <w:r>
        <w:t>Pacienţii din studiile UC-I şi UC-II au avut opţiunea să fie înrolaţi într-un studiu deschis extins pe termen lung (UC III). După 3 ani de tratament cu adalimumab, 75% (301/402) au continuat să fie în remisie clinică conform scorului parţial Mayo.</w:t>
      </w:r>
    </w:p>
    <w:p w14:paraId="499E49A6" w14:textId="77777777" w:rsidR="00C04CAD" w:rsidRDefault="00C04CAD">
      <w:pPr>
        <w:tabs>
          <w:tab w:val="clear" w:pos="567"/>
        </w:tabs>
        <w:kinsoku w:val="0"/>
        <w:overflowPunct w:val="0"/>
        <w:autoSpaceDE w:val="0"/>
        <w:autoSpaceDN w:val="0"/>
        <w:adjustRightInd w:val="0"/>
        <w:spacing w:line="240" w:lineRule="auto"/>
      </w:pPr>
    </w:p>
    <w:p w14:paraId="587C4031" w14:textId="77777777" w:rsidR="00C04CAD" w:rsidRDefault="00060E34">
      <w:pPr>
        <w:tabs>
          <w:tab w:val="clear" w:pos="567"/>
        </w:tabs>
        <w:kinsoku w:val="0"/>
        <w:overflowPunct w:val="0"/>
        <w:autoSpaceDE w:val="0"/>
        <w:autoSpaceDN w:val="0"/>
        <w:adjustRightInd w:val="0"/>
        <w:spacing w:line="240" w:lineRule="auto"/>
      </w:pPr>
      <w:r>
        <w:rPr>
          <w:i/>
          <w:u w:val="single"/>
        </w:rPr>
        <w:t>Rata spitalizării</w:t>
      </w:r>
    </w:p>
    <w:p w14:paraId="31B77E4E" w14:textId="77777777" w:rsidR="00C04CAD" w:rsidRDefault="00C04CAD">
      <w:pPr>
        <w:tabs>
          <w:tab w:val="clear" w:pos="567"/>
        </w:tabs>
        <w:kinsoku w:val="0"/>
        <w:overflowPunct w:val="0"/>
        <w:autoSpaceDE w:val="0"/>
        <w:autoSpaceDN w:val="0"/>
        <w:adjustRightInd w:val="0"/>
        <w:spacing w:line="240" w:lineRule="auto"/>
      </w:pPr>
    </w:p>
    <w:p w14:paraId="67753C64" w14:textId="77777777" w:rsidR="00C04CAD" w:rsidRDefault="00060E34">
      <w:pPr>
        <w:tabs>
          <w:tab w:val="clear" w:pos="567"/>
        </w:tabs>
        <w:kinsoku w:val="0"/>
        <w:overflowPunct w:val="0"/>
        <w:autoSpaceDE w:val="0"/>
        <w:autoSpaceDN w:val="0"/>
        <w:adjustRightInd w:val="0"/>
        <w:spacing w:line="240" w:lineRule="auto"/>
      </w:pPr>
      <w:r>
        <w:t>Pe perioada a 52 săptămâni, în studiile UC-I şi UC-II, s-au observat rate scăzute ale spitalizării din orice cauze şi legate de CU pentru braţul de pacienţi trataţi cu adalimumab comparativ cu braţul de pacienţi trataţi cu placebo. În grupul pacienţilor trataţi cu adalimumab, numărul spitalizărilor de toate cauzele a fost 0,18 pe an-pacient comparativ cu 0,26 pe an-pacient în grupul de pacienţi trataţi cu placebo şi cifrele corespunzătoare pentru spitalizările legate de CU au fost de 0,12 pe an-pacient comparativ cu 0,22 pe an</w:t>
      </w:r>
      <w:r>
        <w:noBreakHyphen/>
        <w:t>pacient.</w:t>
      </w:r>
    </w:p>
    <w:p w14:paraId="179AC22A" w14:textId="77777777" w:rsidR="00C04CAD" w:rsidRDefault="00C04CAD">
      <w:pPr>
        <w:tabs>
          <w:tab w:val="clear" w:pos="567"/>
        </w:tabs>
        <w:kinsoku w:val="0"/>
        <w:overflowPunct w:val="0"/>
        <w:autoSpaceDE w:val="0"/>
        <w:autoSpaceDN w:val="0"/>
        <w:adjustRightInd w:val="0"/>
        <w:spacing w:line="240" w:lineRule="auto"/>
      </w:pPr>
    </w:p>
    <w:p w14:paraId="27178613" w14:textId="77777777" w:rsidR="00C04CAD" w:rsidRDefault="00060E34">
      <w:pPr>
        <w:keepNext/>
        <w:tabs>
          <w:tab w:val="clear" w:pos="567"/>
        </w:tabs>
        <w:kinsoku w:val="0"/>
        <w:overflowPunct w:val="0"/>
        <w:autoSpaceDE w:val="0"/>
        <w:autoSpaceDN w:val="0"/>
        <w:adjustRightInd w:val="0"/>
        <w:spacing w:line="240" w:lineRule="auto"/>
      </w:pPr>
      <w:r>
        <w:rPr>
          <w:i/>
          <w:u w:val="single"/>
        </w:rPr>
        <w:t>Calitatea vieţii</w:t>
      </w:r>
    </w:p>
    <w:p w14:paraId="4C7F3EF3" w14:textId="77777777" w:rsidR="00C04CAD" w:rsidRDefault="00C04CAD">
      <w:pPr>
        <w:tabs>
          <w:tab w:val="clear" w:pos="567"/>
        </w:tabs>
        <w:kinsoku w:val="0"/>
        <w:overflowPunct w:val="0"/>
        <w:autoSpaceDE w:val="0"/>
        <w:autoSpaceDN w:val="0"/>
        <w:adjustRightInd w:val="0"/>
        <w:spacing w:line="240" w:lineRule="auto"/>
      </w:pPr>
    </w:p>
    <w:p w14:paraId="489EC505" w14:textId="77777777" w:rsidR="00C04CAD" w:rsidRDefault="00060E34">
      <w:pPr>
        <w:tabs>
          <w:tab w:val="clear" w:pos="567"/>
        </w:tabs>
        <w:kinsoku w:val="0"/>
        <w:overflowPunct w:val="0"/>
        <w:autoSpaceDE w:val="0"/>
        <w:autoSpaceDN w:val="0"/>
        <w:adjustRightInd w:val="0"/>
        <w:spacing w:line="240" w:lineRule="auto"/>
      </w:pPr>
      <w:r>
        <w:t>În studiul UC-II, tratamentul cu adalimumab a avut ca rezultat îmbunătăţirea scorului Chestionarului Bolilor Inflamatorii Intestinale (IBDQ).</w:t>
      </w:r>
    </w:p>
    <w:p w14:paraId="0DF93B5E" w14:textId="77777777" w:rsidR="00C04CAD" w:rsidRDefault="00C04CAD">
      <w:pPr>
        <w:tabs>
          <w:tab w:val="clear" w:pos="567"/>
        </w:tabs>
        <w:kinsoku w:val="0"/>
        <w:overflowPunct w:val="0"/>
        <w:autoSpaceDE w:val="0"/>
        <w:autoSpaceDN w:val="0"/>
        <w:adjustRightInd w:val="0"/>
        <w:spacing w:line="240" w:lineRule="auto"/>
        <w:rPr>
          <w:i/>
        </w:rPr>
      </w:pPr>
    </w:p>
    <w:p w14:paraId="2D6743DD" w14:textId="77777777" w:rsidR="00C04CAD" w:rsidRDefault="00060E34">
      <w:pPr>
        <w:tabs>
          <w:tab w:val="clear" w:pos="567"/>
        </w:tabs>
        <w:kinsoku w:val="0"/>
        <w:overflowPunct w:val="0"/>
        <w:autoSpaceDE w:val="0"/>
        <w:autoSpaceDN w:val="0"/>
        <w:adjustRightInd w:val="0"/>
        <w:spacing w:line="240" w:lineRule="auto"/>
      </w:pPr>
      <w:r>
        <w:rPr>
          <w:i/>
        </w:rPr>
        <w:t>Uveită</w:t>
      </w:r>
    </w:p>
    <w:p w14:paraId="6DA35065" w14:textId="77777777" w:rsidR="00C04CAD" w:rsidRDefault="00C04CAD">
      <w:pPr>
        <w:tabs>
          <w:tab w:val="clear" w:pos="567"/>
        </w:tabs>
        <w:kinsoku w:val="0"/>
        <w:overflowPunct w:val="0"/>
        <w:autoSpaceDE w:val="0"/>
        <w:autoSpaceDN w:val="0"/>
        <w:adjustRightInd w:val="0"/>
        <w:spacing w:line="240" w:lineRule="auto"/>
      </w:pPr>
    </w:p>
    <w:p w14:paraId="2D502E1A" w14:textId="77777777" w:rsidR="00C04CAD" w:rsidRDefault="00060E34">
      <w:pPr>
        <w:tabs>
          <w:tab w:val="clear" w:pos="567"/>
        </w:tabs>
        <w:kinsoku w:val="0"/>
        <w:overflowPunct w:val="0"/>
        <w:autoSpaceDE w:val="0"/>
        <w:autoSpaceDN w:val="0"/>
        <w:adjustRightInd w:val="0"/>
        <w:spacing w:line="240" w:lineRule="auto"/>
      </w:pPr>
      <w:r>
        <w:t xml:space="preserve">În două studii randomizate, dublu-orb, placebo controlate (UV I și II) au fost evaluate siguranța și eficacitatea </w:t>
      </w:r>
      <w:r>
        <w:rPr>
          <w:rFonts w:eastAsia="MS Mincho"/>
          <w:szCs w:val="22"/>
          <w:lang w:eastAsia="en-US" w:bidi="ar-SA"/>
        </w:rPr>
        <w:t>adalimumab</w:t>
      </w:r>
      <w:r>
        <w:t xml:space="preserve"> la pacienți adulți cu panuveită posterioară, intermediară, non-infecţioasă, excluzându-se pacienții cu uveită anterioară izolată. Pacienții au primit placebo sau </w:t>
      </w:r>
      <w:r>
        <w:rPr>
          <w:rFonts w:eastAsia="MS Mincho"/>
          <w:szCs w:val="22"/>
          <w:lang w:eastAsia="en-US" w:bidi="ar-SA"/>
        </w:rPr>
        <w:t>adalimumab</w:t>
      </w:r>
      <w:r>
        <w:t xml:space="preserve"> cu o doză inițială de 80 mg, urmată de 40 mg la două săptămâni începând cu prima săptămână după doza inițială. S-a acceptat administrarea concomitentă a unui imunosupresor non-biologic în doze fixe.</w:t>
      </w:r>
    </w:p>
    <w:p w14:paraId="78055536" w14:textId="77777777" w:rsidR="00C04CAD" w:rsidRDefault="00C04CAD">
      <w:pPr>
        <w:tabs>
          <w:tab w:val="clear" w:pos="567"/>
        </w:tabs>
        <w:kinsoku w:val="0"/>
        <w:overflowPunct w:val="0"/>
        <w:autoSpaceDE w:val="0"/>
        <w:autoSpaceDN w:val="0"/>
        <w:adjustRightInd w:val="0"/>
        <w:spacing w:line="240" w:lineRule="auto"/>
      </w:pPr>
    </w:p>
    <w:p w14:paraId="7FA2FA8A" w14:textId="77777777" w:rsidR="00C04CAD" w:rsidRDefault="00060E34">
      <w:pPr>
        <w:tabs>
          <w:tab w:val="clear" w:pos="567"/>
        </w:tabs>
        <w:kinsoku w:val="0"/>
        <w:overflowPunct w:val="0"/>
        <w:autoSpaceDE w:val="0"/>
        <w:autoSpaceDN w:val="0"/>
        <w:adjustRightInd w:val="0"/>
        <w:spacing w:line="240" w:lineRule="auto"/>
      </w:pPr>
      <w:r>
        <w:t>Studiu UV I a evaluat 217 pacienți cu uveită activă chiar dacă au primit tratament cu corticosteroizi (prednison forma de administrare orală în doză de 10 până la 60 mg/zi). Toți pacienții au primit la data înrolării în studiu o doză standardizată de prednison de 60 mg/zi la 2 săptămâni, urmată de un program obligatoriu de scădere a dozei, cu întreruperea completă a tratamentului cu corticosteroizi până în Săptămâna 15.</w:t>
      </w:r>
    </w:p>
    <w:p w14:paraId="2A727F23" w14:textId="77777777" w:rsidR="00C04CAD" w:rsidRDefault="00C04CAD">
      <w:pPr>
        <w:tabs>
          <w:tab w:val="clear" w:pos="567"/>
        </w:tabs>
        <w:kinsoku w:val="0"/>
        <w:overflowPunct w:val="0"/>
        <w:autoSpaceDE w:val="0"/>
        <w:autoSpaceDN w:val="0"/>
        <w:adjustRightInd w:val="0"/>
        <w:spacing w:line="240" w:lineRule="auto"/>
      </w:pPr>
    </w:p>
    <w:p w14:paraId="05843710" w14:textId="77777777" w:rsidR="00C04CAD" w:rsidRDefault="00060E34">
      <w:pPr>
        <w:tabs>
          <w:tab w:val="clear" w:pos="567"/>
        </w:tabs>
        <w:kinsoku w:val="0"/>
        <w:overflowPunct w:val="0"/>
        <w:autoSpaceDE w:val="0"/>
        <w:autoSpaceDN w:val="0"/>
        <w:adjustRightInd w:val="0"/>
        <w:spacing w:line="240" w:lineRule="auto"/>
      </w:pPr>
      <w:r>
        <w:t xml:space="preserve">Studiul UV II a evaluat 226 pacienți cu uveită inactivă care au necesitat la momentul initial tratament cronic cu corticosteroizi (prednison forma de administrare orală 10 până la 35 mg/zi) pentru controlul bolii. Pacienții au urmat ulterior un program obligatoriu de scădere a dozei, cu întreruperea completă a tratamentului cu corticosteroizi până în </w:t>
      </w:r>
      <w:r>
        <w:rPr>
          <w:rFonts w:eastAsia="MS Mincho"/>
          <w:szCs w:val="22"/>
          <w:lang w:eastAsia="en-US" w:bidi="ar-SA"/>
        </w:rPr>
        <w:t>săptămâna</w:t>
      </w:r>
      <w:r>
        <w:t xml:space="preserve"> 19.</w:t>
      </w:r>
    </w:p>
    <w:p w14:paraId="3C411005" w14:textId="77777777" w:rsidR="00C04CAD" w:rsidRDefault="00C04CAD">
      <w:pPr>
        <w:tabs>
          <w:tab w:val="clear" w:pos="567"/>
        </w:tabs>
        <w:kinsoku w:val="0"/>
        <w:overflowPunct w:val="0"/>
        <w:autoSpaceDE w:val="0"/>
        <w:autoSpaceDN w:val="0"/>
        <w:adjustRightInd w:val="0"/>
        <w:spacing w:line="240" w:lineRule="auto"/>
      </w:pPr>
    </w:p>
    <w:p w14:paraId="271053EE" w14:textId="77777777" w:rsidR="00C04CAD" w:rsidRDefault="00060E34">
      <w:pPr>
        <w:tabs>
          <w:tab w:val="clear" w:pos="567"/>
        </w:tabs>
        <w:kinsoku w:val="0"/>
        <w:overflowPunct w:val="0"/>
        <w:autoSpaceDE w:val="0"/>
        <w:autoSpaceDN w:val="0"/>
        <w:adjustRightInd w:val="0"/>
        <w:spacing w:line="240" w:lineRule="auto"/>
      </w:pPr>
      <w:r>
        <w:t>În ambele studii, criteriul final principal privind eficacitatea a fost 'timpul până la apariţia eşecului la tratament'. Eşecul la tratament a fost definit ca fiind rezultatul a mai multor elemente luând în considerare corioretinita inflamatorie şi/sau leziunile vasculare inflamatorii retiniene, celularitatea camerei anterioare (CA), corpului vitros (CV) și acuitatea vizuală optimă corectată (AVCO).</w:t>
      </w:r>
    </w:p>
    <w:p w14:paraId="38708935" w14:textId="77777777" w:rsidR="00C04CAD" w:rsidRDefault="00C04CAD">
      <w:pPr>
        <w:tabs>
          <w:tab w:val="clear" w:pos="567"/>
        </w:tabs>
        <w:kinsoku w:val="0"/>
        <w:overflowPunct w:val="0"/>
        <w:autoSpaceDE w:val="0"/>
        <w:autoSpaceDN w:val="0"/>
        <w:adjustRightInd w:val="0"/>
        <w:spacing w:line="240" w:lineRule="auto"/>
      </w:pPr>
    </w:p>
    <w:p w14:paraId="504C957D" w14:textId="77777777" w:rsidR="00C04CAD" w:rsidRDefault="00060E34">
      <w:pPr>
        <w:tabs>
          <w:tab w:val="clear" w:pos="567"/>
        </w:tabs>
        <w:autoSpaceDE w:val="0"/>
        <w:autoSpaceDN w:val="0"/>
        <w:adjustRightInd w:val="0"/>
        <w:spacing w:line="240" w:lineRule="auto"/>
      </w:pPr>
      <w:r>
        <w:t>Pacienții care au terminat Studiul UV I și UV II au fost eligibili pentru a fi înrolați într-o extensie a unui studiu necontrolat pe termen lung cu o durată planificată inițial de 78 de săptămâni. Pacienților li s-a permis să continue utilizarea medicamentului de studiu după săptămâna 78 până când au putut avea acces la adalimumab.</w:t>
      </w:r>
    </w:p>
    <w:p w14:paraId="250FB115" w14:textId="77777777" w:rsidR="00C04CAD" w:rsidRDefault="00C04CAD">
      <w:pPr>
        <w:tabs>
          <w:tab w:val="clear" w:pos="567"/>
        </w:tabs>
        <w:kinsoku w:val="0"/>
        <w:overflowPunct w:val="0"/>
        <w:autoSpaceDE w:val="0"/>
        <w:autoSpaceDN w:val="0"/>
        <w:adjustRightInd w:val="0"/>
        <w:spacing w:line="240" w:lineRule="auto"/>
      </w:pPr>
    </w:p>
    <w:p w14:paraId="66092FD8" w14:textId="77777777" w:rsidR="00C04CAD" w:rsidRDefault="00060E34">
      <w:pPr>
        <w:keepNext/>
        <w:tabs>
          <w:tab w:val="clear" w:pos="567"/>
        </w:tabs>
        <w:kinsoku w:val="0"/>
        <w:overflowPunct w:val="0"/>
        <w:autoSpaceDE w:val="0"/>
        <w:autoSpaceDN w:val="0"/>
        <w:adjustRightInd w:val="0"/>
        <w:spacing w:line="240" w:lineRule="auto"/>
        <w:rPr>
          <w:szCs w:val="22"/>
        </w:rPr>
      </w:pPr>
      <w:r>
        <w:rPr>
          <w:i/>
          <w:szCs w:val="22"/>
          <w:u w:val="single"/>
        </w:rPr>
        <w:t>Răspuns clinic</w:t>
      </w:r>
    </w:p>
    <w:p w14:paraId="097D5AAC" w14:textId="77777777" w:rsidR="00C04CAD" w:rsidRDefault="00C04CAD">
      <w:pPr>
        <w:keepNext/>
        <w:tabs>
          <w:tab w:val="clear" w:pos="567"/>
        </w:tabs>
        <w:kinsoku w:val="0"/>
        <w:overflowPunct w:val="0"/>
        <w:autoSpaceDE w:val="0"/>
        <w:autoSpaceDN w:val="0"/>
        <w:adjustRightInd w:val="0"/>
        <w:spacing w:line="240" w:lineRule="auto"/>
        <w:rPr>
          <w:szCs w:val="22"/>
        </w:rPr>
      </w:pPr>
    </w:p>
    <w:p w14:paraId="290C2CDC" w14:textId="77777777" w:rsidR="00C04CAD" w:rsidRDefault="00060E34">
      <w:pPr>
        <w:autoSpaceDE w:val="0"/>
        <w:autoSpaceDN w:val="0"/>
        <w:adjustRightInd w:val="0"/>
        <w:spacing w:line="240" w:lineRule="auto"/>
        <w:rPr>
          <w:szCs w:val="22"/>
        </w:rPr>
      </w:pPr>
      <w:r>
        <w:rPr>
          <w:szCs w:val="22"/>
        </w:rPr>
        <w:t xml:space="preserve">Rezultatele din ambele studii au demonstrat o reducere semnificativă statistic a riscului de eșec la tratament la pacienții tratați cu </w:t>
      </w:r>
      <w:r>
        <w:rPr>
          <w:rFonts w:eastAsia="MS Mincho"/>
          <w:szCs w:val="22"/>
          <w:lang w:eastAsia="en-US" w:bidi="ar-SA"/>
        </w:rPr>
        <w:t>adalimumab</w:t>
      </w:r>
      <w:r>
        <w:rPr>
          <w:szCs w:val="22"/>
        </w:rPr>
        <w:t xml:space="preserve"> comparativ cu pacienții care au primit placebo (vezi tabelul </w:t>
      </w:r>
      <w:r>
        <w:rPr>
          <w:rFonts w:eastAsia="MS Mincho"/>
          <w:szCs w:val="22"/>
          <w:lang w:eastAsia="en-US" w:bidi="ar-SA"/>
        </w:rPr>
        <w:t>24</w:t>
      </w:r>
      <w:r>
        <w:rPr>
          <w:szCs w:val="22"/>
        </w:rPr>
        <w:t xml:space="preserve">). Ambele studii au demonstrat un efect precoce și susținut al </w:t>
      </w:r>
      <w:r>
        <w:rPr>
          <w:rFonts w:eastAsia="MS Mincho"/>
          <w:szCs w:val="22"/>
          <w:lang w:eastAsia="en-US" w:bidi="ar-SA"/>
        </w:rPr>
        <w:t>adalimumab</w:t>
      </w:r>
      <w:r>
        <w:rPr>
          <w:szCs w:val="22"/>
        </w:rPr>
        <w:t xml:space="preserve"> asupra ratei de eșec la tratament comparativ cu placebo (vezi figura 2).</w:t>
      </w:r>
    </w:p>
    <w:p w14:paraId="5321CC7C" w14:textId="77777777" w:rsidR="00C04CAD" w:rsidRDefault="00C04CAD">
      <w:pPr>
        <w:autoSpaceDE w:val="0"/>
        <w:autoSpaceDN w:val="0"/>
        <w:adjustRightInd w:val="0"/>
        <w:spacing w:line="240" w:lineRule="auto"/>
        <w:rPr>
          <w:szCs w:val="22"/>
        </w:rPr>
      </w:pPr>
    </w:p>
    <w:p w14:paraId="52AEA5B6" w14:textId="77777777" w:rsidR="00C04CAD" w:rsidRDefault="00060E34">
      <w:pPr>
        <w:autoSpaceDE w:val="0"/>
        <w:autoSpaceDN w:val="0"/>
        <w:adjustRightInd w:val="0"/>
        <w:spacing w:line="240" w:lineRule="auto"/>
        <w:rPr>
          <w:b/>
        </w:rPr>
      </w:pPr>
      <w:r>
        <w:rPr>
          <w:b/>
          <w:bCs/>
        </w:rPr>
        <w:t>T</w:t>
      </w:r>
      <w:r>
        <w:rPr>
          <w:b/>
        </w:rPr>
        <w:t>abelul 24. Timpul până la apariţia eşecului la tratament în Studiile UV I şi UV II</w:t>
      </w:r>
    </w:p>
    <w:p w14:paraId="111809D7" w14:textId="77777777" w:rsidR="00C04CAD" w:rsidRDefault="00C04CAD">
      <w:pPr>
        <w:autoSpaceDE w:val="0"/>
        <w:autoSpaceDN w:val="0"/>
        <w:adjustRightInd w:val="0"/>
        <w:spacing w:line="240" w:lineRule="auto"/>
      </w:pPr>
    </w:p>
    <w:tbl>
      <w:tblPr>
        <w:tblW w:w="502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717"/>
        <w:gridCol w:w="1098"/>
        <w:gridCol w:w="1548"/>
        <w:gridCol w:w="759"/>
        <w:gridCol w:w="1160"/>
        <w:gridCol w:w="1360"/>
      </w:tblGrid>
      <w:tr w:rsidR="00C04CAD" w14:paraId="41803D03" w14:textId="77777777">
        <w:trPr>
          <w:cantSplit/>
          <w:trHeight w:val="868"/>
          <w:tblHeader/>
        </w:trPr>
        <w:tc>
          <w:tcPr>
            <w:tcW w:w="1352" w:type="pct"/>
            <w:tcBorders>
              <w:bottom w:val="single" w:sz="4" w:space="0" w:color="auto"/>
            </w:tcBorders>
          </w:tcPr>
          <w:p w14:paraId="623E44F6" w14:textId="77777777" w:rsidR="00C04CAD" w:rsidRDefault="00060E34">
            <w:pPr>
              <w:tabs>
                <w:tab w:val="clear" w:pos="567"/>
              </w:tabs>
              <w:kinsoku w:val="0"/>
              <w:overflowPunct w:val="0"/>
              <w:autoSpaceDE w:val="0"/>
              <w:autoSpaceDN w:val="0"/>
              <w:adjustRightInd w:val="0"/>
              <w:spacing w:line="240" w:lineRule="auto"/>
              <w:rPr>
                <w:b/>
                <w:bCs/>
              </w:rPr>
            </w:pPr>
            <w:r>
              <w:rPr>
                <w:b/>
                <w:bCs/>
              </w:rPr>
              <w:t>Analiză</w:t>
            </w:r>
          </w:p>
          <w:p w14:paraId="09E872A1" w14:textId="77777777" w:rsidR="00C04CAD" w:rsidRDefault="00060E34">
            <w:pPr>
              <w:tabs>
                <w:tab w:val="clear" w:pos="567"/>
              </w:tabs>
              <w:kinsoku w:val="0"/>
              <w:overflowPunct w:val="0"/>
              <w:autoSpaceDE w:val="0"/>
              <w:autoSpaceDN w:val="0"/>
              <w:adjustRightInd w:val="0"/>
              <w:spacing w:line="240" w:lineRule="auto"/>
            </w:pPr>
            <w:r>
              <w:rPr>
                <w:rFonts w:eastAsia="MS Mincho"/>
                <w:b/>
                <w:bCs/>
                <w:szCs w:val="24"/>
                <w:lang w:eastAsia="en-US" w:bidi="ar-SA"/>
              </w:rPr>
              <w:t>Tratament</w:t>
            </w:r>
          </w:p>
        </w:tc>
        <w:tc>
          <w:tcPr>
            <w:tcW w:w="394" w:type="pct"/>
            <w:tcBorders>
              <w:bottom w:val="single" w:sz="4" w:space="0" w:color="auto"/>
            </w:tcBorders>
          </w:tcPr>
          <w:p w14:paraId="35823520" w14:textId="77777777" w:rsidR="00C04CAD" w:rsidRDefault="00060E34">
            <w:pPr>
              <w:tabs>
                <w:tab w:val="clear" w:pos="567"/>
              </w:tabs>
              <w:kinsoku w:val="0"/>
              <w:overflowPunct w:val="0"/>
              <w:autoSpaceDE w:val="0"/>
              <w:autoSpaceDN w:val="0"/>
              <w:adjustRightInd w:val="0"/>
              <w:spacing w:line="240" w:lineRule="auto"/>
              <w:ind w:left="-9"/>
            </w:pPr>
            <w:r>
              <w:rPr>
                <w:b/>
                <w:bCs/>
              </w:rPr>
              <w:t>N</w:t>
            </w:r>
          </w:p>
        </w:tc>
        <w:tc>
          <w:tcPr>
            <w:tcW w:w="603" w:type="pct"/>
            <w:tcBorders>
              <w:bottom w:val="single" w:sz="4" w:space="0" w:color="auto"/>
            </w:tcBorders>
          </w:tcPr>
          <w:p w14:paraId="5F3CCDA9" w14:textId="77777777" w:rsidR="00C04CAD" w:rsidRDefault="00060E34">
            <w:pPr>
              <w:tabs>
                <w:tab w:val="clear" w:pos="567"/>
              </w:tabs>
              <w:kinsoku w:val="0"/>
              <w:overflowPunct w:val="0"/>
              <w:autoSpaceDE w:val="0"/>
              <w:autoSpaceDN w:val="0"/>
              <w:adjustRightInd w:val="0"/>
              <w:spacing w:line="240" w:lineRule="auto"/>
              <w:ind w:left="125" w:hanging="566"/>
              <w:jc w:val="center"/>
              <w:rPr>
                <w:b/>
                <w:bCs/>
              </w:rPr>
            </w:pPr>
            <w:r>
              <w:rPr>
                <w:b/>
                <w:bCs/>
              </w:rPr>
              <w:t xml:space="preserve">Eşec </w:t>
            </w:r>
          </w:p>
          <w:p w14:paraId="3AAABFB6" w14:textId="77777777" w:rsidR="00C04CAD" w:rsidRDefault="00060E34">
            <w:pPr>
              <w:tabs>
                <w:tab w:val="clear" w:pos="567"/>
              </w:tabs>
              <w:kinsoku w:val="0"/>
              <w:overflowPunct w:val="0"/>
              <w:autoSpaceDE w:val="0"/>
              <w:autoSpaceDN w:val="0"/>
              <w:adjustRightInd w:val="0"/>
              <w:spacing w:line="240" w:lineRule="auto"/>
              <w:ind w:left="125" w:hanging="425"/>
              <w:jc w:val="center"/>
            </w:pPr>
            <w:r>
              <w:rPr>
                <w:b/>
                <w:bCs/>
              </w:rPr>
              <w:t>N (%)</w:t>
            </w:r>
          </w:p>
        </w:tc>
        <w:tc>
          <w:tcPr>
            <w:tcW w:w="850" w:type="pct"/>
            <w:tcBorders>
              <w:bottom w:val="single" w:sz="4" w:space="0" w:color="auto"/>
            </w:tcBorders>
          </w:tcPr>
          <w:p w14:paraId="4389717F" w14:textId="77777777" w:rsidR="00C04CAD" w:rsidRDefault="00060E34">
            <w:pPr>
              <w:tabs>
                <w:tab w:val="clear" w:pos="567"/>
              </w:tabs>
              <w:kinsoku w:val="0"/>
              <w:overflowPunct w:val="0"/>
              <w:autoSpaceDE w:val="0"/>
              <w:autoSpaceDN w:val="0"/>
              <w:adjustRightInd w:val="0"/>
              <w:spacing w:line="240" w:lineRule="auto"/>
            </w:pPr>
            <w:r>
              <w:rPr>
                <w:b/>
                <w:bCs/>
              </w:rPr>
              <w:t>Timp mediu până la eşec</w:t>
            </w:r>
          </w:p>
          <w:p w14:paraId="0AD400D0" w14:textId="77777777" w:rsidR="00C04CAD" w:rsidRDefault="00060E34">
            <w:pPr>
              <w:tabs>
                <w:tab w:val="clear" w:pos="567"/>
              </w:tabs>
              <w:kinsoku w:val="0"/>
              <w:overflowPunct w:val="0"/>
              <w:autoSpaceDE w:val="0"/>
              <w:autoSpaceDN w:val="0"/>
              <w:adjustRightInd w:val="0"/>
              <w:spacing w:line="240" w:lineRule="auto"/>
            </w:pPr>
            <w:r>
              <w:rPr>
                <w:b/>
                <w:bCs/>
              </w:rPr>
              <w:t>(luni)</w:t>
            </w:r>
          </w:p>
        </w:tc>
        <w:tc>
          <w:tcPr>
            <w:tcW w:w="417" w:type="pct"/>
            <w:tcBorders>
              <w:bottom w:val="single" w:sz="4" w:space="0" w:color="auto"/>
            </w:tcBorders>
          </w:tcPr>
          <w:p w14:paraId="022FDFB7" w14:textId="77777777" w:rsidR="00C04CAD" w:rsidRDefault="00060E34">
            <w:pPr>
              <w:tabs>
                <w:tab w:val="clear" w:pos="567"/>
              </w:tabs>
              <w:kinsoku w:val="0"/>
              <w:overflowPunct w:val="0"/>
              <w:autoSpaceDE w:val="0"/>
              <w:autoSpaceDN w:val="0"/>
              <w:adjustRightInd w:val="0"/>
              <w:spacing w:line="240" w:lineRule="auto"/>
            </w:pPr>
            <w:r>
              <w:rPr>
                <w:b/>
                <w:bCs/>
              </w:rPr>
              <w:t>SR</w:t>
            </w:r>
            <w:r>
              <w:rPr>
                <w:b/>
                <w:bCs/>
                <w:vertAlign w:val="superscript"/>
              </w:rPr>
              <w:t>a</w:t>
            </w:r>
          </w:p>
        </w:tc>
        <w:tc>
          <w:tcPr>
            <w:tcW w:w="637" w:type="pct"/>
            <w:tcBorders>
              <w:bottom w:val="single" w:sz="4" w:space="0" w:color="auto"/>
            </w:tcBorders>
          </w:tcPr>
          <w:p w14:paraId="01A63325" w14:textId="77777777" w:rsidR="00C04CAD" w:rsidRDefault="00060E34">
            <w:pPr>
              <w:tabs>
                <w:tab w:val="clear" w:pos="567"/>
              </w:tabs>
              <w:kinsoku w:val="0"/>
              <w:overflowPunct w:val="0"/>
              <w:autoSpaceDE w:val="0"/>
              <w:autoSpaceDN w:val="0"/>
              <w:adjustRightInd w:val="0"/>
              <w:spacing w:line="240" w:lineRule="auto"/>
              <w:rPr>
                <w:b/>
                <w:bCs/>
              </w:rPr>
            </w:pPr>
            <w:r>
              <w:rPr>
                <w:rFonts w:eastAsia="MS Mincho"/>
                <w:b/>
                <w:bCs/>
                <w:szCs w:val="24"/>
                <w:lang w:eastAsia="en-US" w:bidi="ar-SA"/>
              </w:rPr>
              <w:t>IÎ</w:t>
            </w:r>
            <w:r>
              <w:rPr>
                <w:b/>
                <w:bCs/>
              </w:rPr>
              <w:t xml:space="preserve"> 95% pentru </w:t>
            </w:r>
          </w:p>
          <w:p w14:paraId="6004C6BE" w14:textId="77777777" w:rsidR="00C04CAD" w:rsidRDefault="00060E34">
            <w:pPr>
              <w:tabs>
                <w:tab w:val="clear" w:pos="567"/>
              </w:tabs>
              <w:kinsoku w:val="0"/>
              <w:overflowPunct w:val="0"/>
              <w:autoSpaceDE w:val="0"/>
              <w:autoSpaceDN w:val="0"/>
              <w:adjustRightInd w:val="0"/>
              <w:spacing w:line="240" w:lineRule="auto"/>
            </w:pPr>
            <w:r>
              <w:rPr>
                <w:b/>
                <w:bCs/>
              </w:rPr>
              <w:t>SR</w:t>
            </w:r>
            <w:r>
              <w:rPr>
                <w:b/>
                <w:bCs/>
                <w:vertAlign w:val="superscript"/>
              </w:rPr>
              <w:t>a</w:t>
            </w:r>
          </w:p>
        </w:tc>
        <w:tc>
          <w:tcPr>
            <w:tcW w:w="747" w:type="pct"/>
            <w:tcBorders>
              <w:bottom w:val="single" w:sz="4" w:space="0" w:color="auto"/>
            </w:tcBorders>
          </w:tcPr>
          <w:p w14:paraId="32494F9E" w14:textId="77777777" w:rsidR="00C04CAD" w:rsidRDefault="00060E34">
            <w:pPr>
              <w:tabs>
                <w:tab w:val="clear" w:pos="567"/>
              </w:tabs>
              <w:kinsoku w:val="0"/>
              <w:overflowPunct w:val="0"/>
              <w:autoSpaceDE w:val="0"/>
              <w:autoSpaceDN w:val="0"/>
              <w:adjustRightInd w:val="0"/>
              <w:spacing w:line="240" w:lineRule="auto"/>
              <w:jc w:val="center"/>
            </w:pPr>
            <w:r>
              <w:rPr>
                <w:b/>
                <w:bCs/>
              </w:rPr>
              <w:t xml:space="preserve">Valoare </w:t>
            </w:r>
            <w:r>
              <w:rPr>
                <w:b/>
                <w:bCs/>
                <w:i/>
              </w:rPr>
              <w:t>p</w:t>
            </w:r>
            <w:r>
              <w:rPr>
                <w:b/>
                <w:bCs/>
                <w:vertAlign w:val="superscript"/>
              </w:rPr>
              <w:t>b</w:t>
            </w:r>
          </w:p>
        </w:tc>
      </w:tr>
      <w:tr w:rsidR="00C04CAD" w14:paraId="03319DBA" w14:textId="77777777">
        <w:trPr>
          <w:trHeight w:val="282"/>
        </w:trPr>
        <w:tc>
          <w:tcPr>
            <w:tcW w:w="5000" w:type="pct"/>
            <w:gridSpan w:val="7"/>
            <w:tcBorders>
              <w:bottom w:val="nil"/>
            </w:tcBorders>
          </w:tcPr>
          <w:p w14:paraId="6FB1630B" w14:textId="77777777" w:rsidR="00C04CAD" w:rsidRDefault="00060E34">
            <w:pPr>
              <w:tabs>
                <w:tab w:val="clear" w:pos="567"/>
              </w:tabs>
              <w:kinsoku w:val="0"/>
              <w:overflowPunct w:val="0"/>
              <w:autoSpaceDE w:val="0"/>
              <w:autoSpaceDN w:val="0"/>
              <w:adjustRightInd w:val="0"/>
              <w:spacing w:line="240" w:lineRule="auto"/>
            </w:pPr>
            <w:r>
              <w:rPr>
                <w:b/>
                <w:bCs/>
              </w:rPr>
              <w:t>Timpul până la apariţia eşecului la tratament în săptămâna 6 sau după, în Studiul UV I</w:t>
            </w:r>
          </w:p>
        </w:tc>
      </w:tr>
      <w:tr w:rsidR="00C04CAD" w14:paraId="015C9112" w14:textId="77777777">
        <w:trPr>
          <w:trHeight w:val="238"/>
        </w:trPr>
        <w:tc>
          <w:tcPr>
            <w:tcW w:w="1352" w:type="pct"/>
            <w:tcBorders>
              <w:top w:val="nil"/>
              <w:right w:val="nil"/>
            </w:tcBorders>
          </w:tcPr>
          <w:p w14:paraId="217C9E72" w14:textId="77777777" w:rsidR="00C04CAD" w:rsidRDefault="00060E34">
            <w:pPr>
              <w:tabs>
                <w:tab w:val="clear" w:pos="567"/>
              </w:tabs>
              <w:kinsoku w:val="0"/>
              <w:overflowPunct w:val="0"/>
              <w:autoSpaceDE w:val="0"/>
              <w:autoSpaceDN w:val="0"/>
              <w:adjustRightInd w:val="0"/>
              <w:spacing w:line="240" w:lineRule="auto"/>
            </w:pPr>
            <w:r>
              <w:t>Analiză primară (ITT)</w:t>
            </w:r>
          </w:p>
        </w:tc>
        <w:tc>
          <w:tcPr>
            <w:tcW w:w="394" w:type="pct"/>
            <w:tcBorders>
              <w:top w:val="nil"/>
              <w:left w:val="nil"/>
              <w:right w:val="nil"/>
            </w:tcBorders>
          </w:tcPr>
          <w:p w14:paraId="44D745E5" w14:textId="77777777" w:rsidR="00C04CAD" w:rsidRDefault="00C04CAD">
            <w:pPr>
              <w:tabs>
                <w:tab w:val="clear" w:pos="567"/>
              </w:tabs>
              <w:kinsoku w:val="0"/>
              <w:overflowPunct w:val="0"/>
              <w:autoSpaceDE w:val="0"/>
              <w:autoSpaceDN w:val="0"/>
              <w:adjustRightInd w:val="0"/>
              <w:spacing w:line="240" w:lineRule="auto"/>
            </w:pPr>
          </w:p>
        </w:tc>
        <w:tc>
          <w:tcPr>
            <w:tcW w:w="603" w:type="pct"/>
            <w:tcBorders>
              <w:top w:val="nil"/>
              <w:left w:val="nil"/>
              <w:right w:val="nil"/>
            </w:tcBorders>
          </w:tcPr>
          <w:p w14:paraId="11A141CE" w14:textId="77777777" w:rsidR="00C04CAD" w:rsidRDefault="00C04CAD">
            <w:pPr>
              <w:tabs>
                <w:tab w:val="clear" w:pos="567"/>
              </w:tabs>
              <w:kinsoku w:val="0"/>
              <w:overflowPunct w:val="0"/>
              <w:autoSpaceDE w:val="0"/>
              <w:autoSpaceDN w:val="0"/>
              <w:adjustRightInd w:val="0"/>
              <w:spacing w:line="240" w:lineRule="auto"/>
            </w:pPr>
          </w:p>
        </w:tc>
        <w:tc>
          <w:tcPr>
            <w:tcW w:w="850" w:type="pct"/>
            <w:tcBorders>
              <w:top w:val="nil"/>
              <w:left w:val="nil"/>
              <w:right w:val="nil"/>
            </w:tcBorders>
          </w:tcPr>
          <w:p w14:paraId="7266269E" w14:textId="77777777" w:rsidR="00C04CAD" w:rsidRDefault="00C04CAD">
            <w:pPr>
              <w:tabs>
                <w:tab w:val="clear" w:pos="567"/>
              </w:tabs>
              <w:kinsoku w:val="0"/>
              <w:overflowPunct w:val="0"/>
              <w:autoSpaceDE w:val="0"/>
              <w:autoSpaceDN w:val="0"/>
              <w:adjustRightInd w:val="0"/>
              <w:spacing w:line="240" w:lineRule="auto"/>
            </w:pPr>
          </w:p>
        </w:tc>
        <w:tc>
          <w:tcPr>
            <w:tcW w:w="417" w:type="pct"/>
            <w:tcBorders>
              <w:top w:val="nil"/>
              <w:left w:val="nil"/>
              <w:right w:val="nil"/>
            </w:tcBorders>
          </w:tcPr>
          <w:p w14:paraId="53E470BC" w14:textId="77777777" w:rsidR="00C04CAD" w:rsidRDefault="00C04CAD">
            <w:pPr>
              <w:tabs>
                <w:tab w:val="clear" w:pos="567"/>
              </w:tabs>
              <w:kinsoku w:val="0"/>
              <w:overflowPunct w:val="0"/>
              <w:autoSpaceDE w:val="0"/>
              <w:autoSpaceDN w:val="0"/>
              <w:adjustRightInd w:val="0"/>
              <w:spacing w:line="240" w:lineRule="auto"/>
            </w:pPr>
          </w:p>
        </w:tc>
        <w:tc>
          <w:tcPr>
            <w:tcW w:w="637" w:type="pct"/>
            <w:tcBorders>
              <w:top w:val="nil"/>
              <w:left w:val="nil"/>
              <w:right w:val="nil"/>
            </w:tcBorders>
          </w:tcPr>
          <w:p w14:paraId="7DC5C784" w14:textId="77777777" w:rsidR="00C04CAD" w:rsidRDefault="00C04CAD">
            <w:pPr>
              <w:tabs>
                <w:tab w:val="clear" w:pos="567"/>
              </w:tabs>
              <w:kinsoku w:val="0"/>
              <w:overflowPunct w:val="0"/>
              <w:autoSpaceDE w:val="0"/>
              <w:autoSpaceDN w:val="0"/>
              <w:adjustRightInd w:val="0"/>
              <w:spacing w:line="240" w:lineRule="auto"/>
            </w:pPr>
          </w:p>
        </w:tc>
        <w:tc>
          <w:tcPr>
            <w:tcW w:w="747" w:type="pct"/>
            <w:tcBorders>
              <w:top w:val="nil"/>
              <w:left w:val="nil"/>
            </w:tcBorders>
          </w:tcPr>
          <w:p w14:paraId="27841063" w14:textId="77777777" w:rsidR="00C04CAD" w:rsidRDefault="00C04CAD">
            <w:pPr>
              <w:tabs>
                <w:tab w:val="clear" w:pos="567"/>
              </w:tabs>
              <w:kinsoku w:val="0"/>
              <w:overflowPunct w:val="0"/>
              <w:autoSpaceDE w:val="0"/>
              <w:autoSpaceDN w:val="0"/>
              <w:adjustRightInd w:val="0"/>
              <w:spacing w:line="240" w:lineRule="auto"/>
            </w:pPr>
          </w:p>
          <w:p w14:paraId="10755C24" w14:textId="77777777" w:rsidR="00C04CAD" w:rsidRDefault="00C04CAD">
            <w:pPr>
              <w:tabs>
                <w:tab w:val="clear" w:pos="567"/>
              </w:tabs>
              <w:kinsoku w:val="0"/>
              <w:overflowPunct w:val="0"/>
              <w:autoSpaceDE w:val="0"/>
              <w:autoSpaceDN w:val="0"/>
              <w:adjustRightInd w:val="0"/>
              <w:spacing w:line="240" w:lineRule="auto"/>
            </w:pPr>
          </w:p>
        </w:tc>
      </w:tr>
      <w:tr w:rsidR="00C04CAD" w14:paraId="26B4AA6F" w14:textId="77777777">
        <w:trPr>
          <w:trHeight w:val="293"/>
        </w:trPr>
        <w:tc>
          <w:tcPr>
            <w:tcW w:w="1352" w:type="pct"/>
          </w:tcPr>
          <w:p w14:paraId="573617A9" w14:textId="77777777" w:rsidR="00C04CAD" w:rsidRDefault="00060E34">
            <w:pPr>
              <w:tabs>
                <w:tab w:val="clear" w:pos="567"/>
              </w:tabs>
              <w:kinsoku w:val="0"/>
              <w:overflowPunct w:val="0"/>
              <w:autoSpaceDE w:val="0"/>
              <w:autoSpaceDN w:val="0"/>
              <w:adjustRightInd w:val="0"/>
              <w:spacing w:line="240" w:lineRule="auto"/>
              <w:ind w:right="278"/>
            </w:pPr>
            <w:r>
              <w:t>Placebo</w:t>
            </w:r>
          </w:p>
        </w:tc>
        <w:tc>
          <w:tcPr>
            <w:tcW w:w="394" w:type="pct"/>
          </w:tcPr>
          <w:p w14:paraId="51368A1B" w14:textId="77777777" w:rsidR="00C04CAD" w:rsidRDefault="00060E34">
            <w:pPr>
              <w:tabs>
                <w:tab w:val="clear" w:pos="567"/>
              </w:tabs>
              <w:kinsoku w:val="0"/>
              <w:overflowPunct w:val="0"/>
              <w:autoSpaceDE w:val="0"/>
              <w:autoSpaceDN w:val="0"/>
              <w:adjustRightInd w:val="0"/>
              <w:spacing w:line="240" w:lineRule="auto"/>
              <w:jc w:val="center"/>
            </w:pPr>
            <w:r>
              <w:t>107</w:t>
            </w:r>
          </w:p>
        </w:tc>
        <w:tc>
          <w:tcPr>
            <w:tcW w:w="603" w:type="pct"/>
          </w:tcPr>
          <w:p w14:paraId="345D1FB3" w14:textId="77777777" w:rsidR="00C04CAD" w:rsidRDefault="00060E34">
            <w:pPr>
              <w:tabs>
                <w:tab w:val="clear" w:pos="567"/>
              </w:tabs>
              <w:kinsoku w:val="0"/>
              <w:overflowPunct w:val="0"/>
              <w:autoSpaceDE w:val="0"/>
              <w:autoSpaceDN w:val="0"/>
              <w:adjustRightInd w:val="0"/>
              <w:spacing w:line="240" w:lineRule="auto"/>
              <w:jc w:val="center"/>
            </w:pPr>
            <w:r>
              <w:t>84 (78,5)</w:t>
            </w:r>
          </w:p>
        </w:tc>
        <w:tc>
          <w:tcPr>
            <w:tcW w:w="850" w:type="pct"/>
          </w:tcPr>
          <w:p w14:paraId="7395F376" w14:textId="77777777" w:rsidR="00C04CAD" w:rsidRDefault="00060E34">
            <w:pPr>
              <w:tabs>
                <w:tab w:val="clear" w:pos="567"/>
              </w:tabs>
              <w:kinsoku w:val="0"/>
              <w:overflowPunct w:val="0"/>
              <w:autoSpaceDE w:val="0"/>
              <w:autoSpaceDN w:val="0"/>
              <w:adjustRightInd w:val="0"/>
              <w:spacing w:line="240" w:lineRule="auto"/>
              <w:jc w:val="center"/>
            </w:pPr>
            <w:r>
              <w:t>3,0</w:t>
            </w:r>
          </w:p>
        </w:tc>
        <w:tc>
          <w:tcPr>
            <w:tcW w:w="417" w:type="pct"/>
          </w:tcPr>
          <w:p w14:paraId="5AA9E31D" w14:textId="77777777" w:rsidR="00C04CAD" w:rsidRDefault="00060E34">
            <w:pPr>
              <w:tabs>
                <w:tab w:val="clear" w:pos="567"/>
              </w:tabs>
              <w:kinsoku w:val="0"/>
              <w:overflowPunct w:val="0"/>
              <w:autoSpaceDE w:val="0"/>
              <w:autoSpaceDN w:val="0"/>
              <w:adjustRightInd w:val="0"/>
              <w:spacing w:line="240" w:lineRule="auto"/>
              <w:jc w:val="center"/>
            </w:pPr>
            <w:r>
              <w:t>--</w:t>
            </w:r>
          </w:p>
        </w:tc>
        <w:tc>
          <w:tcPr>
            <w:tcW w:w="637" w:type="pct"/>
          </w:tcPr>
          <w:p w14:paraId="427AA315" w14:textId="77777777" w:rsidR="00C04CAD" w:rsidRDefault="00060E34">
            <w:pPr>
              <w:tabs>
                <w:tab w:val="clear" w:pos="567"/>
              </w:tabs>
              <w:kinsoku w:val="0"/>
              <w:overflowPunct w:val="0"/>
              <w:autoSpaceDE w:val="0"/>
              <w:autoSpaceDN w:val="0"/>
              <w:adjustRightInd w:val="0"/>
              <w:spacing w:line="240" w:lineRule="auto"/>
              <w:jc w:val="center"/>
            </w:pPr>
            <w:r>
              <w:t>--</w:t>
            </w:r>
          </w:p>
        </w:tc>
        <w:tc>
          <w:tcPr>
            <w:tcW w:w="747" w:type="pct"/>
          </w:tcPr>
          <w:p w14:paraId="75CF2468" w14:textId="77777777" w:rsidR="00C04CAD" w:rsidRDefault="00060E34">
            <w:pPr>
              <w:tabs>
                <w:tab w:val="clear" w:pos="567"/>
              </w:tabs>
              <w:kinsoku w:val="0"/>
              <w:overflowPunct w:val="0"/>
              <w:autoSpaceDE w:val="0"/>
              <w:autoSpaceDN w:val="0"/>
              <w:adjustRightInd w:val="0"/>
              <w:spacing w:line="240" w:lineRule="auto"/>
              <w:ind w:left="251"/>
              <w:jc w:val="center"/>
            </w:pPr>
            <w:r>
              <w:t>--</w:t>
            </w:r>
          </w:p>
        </w:tc>
      </w:tr>
      <w:tr w:rsidR="00C04CAD" w14:paraId="121D06EC" w14:textId="77777777">
        <w:trPr>
          <w:trHeight w:val="282"/>
        </w:trPr>
        <w:tc>
          <w:tcPr>
            <w:tcW w:w="1352" w:type="pct"/>
            <w:tcBorders>
              <w:bottom w:val="single" w:sz="4" w:space="0" w:color="auto"/>
            </w:tcBorders>
          </w:tcPr>
          <w:p w14:paraId="7BFB3984" w14:textId="77777777" w:rsidR="00C04CAD" w:rsidRDefault="00060E34">
            <w:pPr>
              <w:tabs>
                <w:tab w:val="clear" w:pos="567"/>
              </w:tabs>
              <w:kinsoku w:val="0"/>
              <w:overflowPunct w:val="0"/>
              <w:autoSpaceDE w:val="0"/>
              <w:autoSpaceDN w:val="0"/>
              <w:adjustRightInd w:val="0"/>
              <w:spacing w:line="240" w:lineRule="auto"/>
              <w:ind w:right="278"/>
            </w:pPr>
            <w:r>
              <w:t>Adalimumab</w:t>
            </w:r>
          </w:p>
        </w:tc>
        <w:tc>
          <w:tcPr>
            <w:tcW w:w="394" w:type="pct"/>
            <w:tcBorders>
              <w:bottom w:val="single" w:sz="4" w:space="0" w:color="auto"/>
            </w:tcBorders>
          </w:tcPr>
          <w:p w14:paraId="6FDA6AF2" w14:textId="77777777" w:rsidR="00C04CAD" w:rsidRDefault="00060E34">
            <w:pPr>
              <w:tabs>
                <w:tab w:val="clear" w:pos="567"/>
              </w:tabs>
              <w:kinsoku w:val="0"/>
              <w:overflowPunct w:val="0"/>
              <w:autoSpaceDE w:val="0"/>
              <w:autoSpaceDN w:val="0"/>
              <w:adjustRightInd w:val="0"/>
              <w:spacing w:line="240" w:lineRule="auto"/>
              <w:jc w:val="center"/>
            </w:pPr>
            <w:r>
              <w:t>110</w:t>
            </w:r>
          </w:p>
        </w:tc>
        <w:tc>
          <w:tcPr>
            <w:tcW w:w="603" w:type="pct"/>
            <w:tcBorders>
              <w:bottom w:val="single" w:sz="4" w:space="0" w:color="auto"/>
            </w:tcBorders>
          </w:tcPr>
          <w:p w14:paraId="2945B8A2" w14:textId="77777777" w:rsidR="00C04CAD" w:rsidRDefault="00060E34">
            <w:pPr>
              <w:tabs>
                <w:tab w:val="clear" w:pos="567"/>
              </w:tabs>
              <w:kinsoku w:val="0"/>
              <w:overflowPunct w:val="0"/>
              <w:autoSpaceDE w:val="0"/>
              <w:autoSpaceDN w:val="0"/>
              <w:adjustRightInd w:val="0"/>
              <w:spacing w:line="240" w:lineRule="auto"/>
              <w:jc w:val="center"/>
            </w:pPr>
            <w:r>
              <w:t>60 (54,5)</w:t>
            </w:r>
          </w:p>
        </w:tc>
        <w:tc>
          <w:tcPr>
            <w:tcW w:w="850" w:type="pct"/>
            <w:tcBorders>
              <w:bottom w:val="single" w:sz="4" w:space="0" w:color="auto"/>
            </w:tcBorders>
          </w:tcPr>
          <w:p w14:paraId="72C8D5EC" w14:textId="77777777" w:rsidR="00C04CAD" w:rsidRDefault="00060E34">
            <w:pPr>
              <w:tabs>
                <w:tab w:val="clear" w:pos="567"/>
              </w:tabs>
              <w:kinsoku w:val="0"/>
              <w:overflowPunct w:val="0"/>
              <w:autoSpaceDE w:val="0"/>
              <w:autoSpaceDN w:val="0"/>
              <w:adjustRightInd w:val="0"/>
              <w:spacing w:line="240" w:lineRule="auto"/>
              <w:jc w:val="center"/>
            </w:pPr>
            <w:r>
              <w:t>5,6</w:t>
            </w:r>
          </w:p>
        </w:tc>
        <w:tc>
          <w:tcPr>
            <w:tcW w:w="417" w:type="pct"/>
            <w:tcBorders>
              <w:bottom w:val="single" w:sz="4" w:space="0" w:color="auto"/>
            </w:tcBorders>
          </w:tcPr>
          <w:p w14:paraId="1DC3ABFB" w14:textId="77777777" w:rsidR="00C04CAD" w:rsidRDefault="00060E34">
            <w:pPr>
              <w:tabs>
                <w:tab w:val="clear" w:pos="567"/>
              </w:tabs>
              <w:kinsoku w:val="0"/>
              <w:overflowPunct w:val="0"/>
              <w:autoSpaceDE w:val="0"/>
              <w:autoSpaceDN w:val="0"/>
              <w:adjustRightInd w:val="0"/>
              <w:spacing w:line="240" w:lineRule="auto"/>
              <w:jc w:val="center"/>
            </w:pPr>
            <w:r>
              <w:t>0,50</w:t>
            </w:r>
          </w:p>
        </w:tc>
        <w:tc>
          <w:tcPr>
            <w:tcW w:w="637" w:type="pct"/>
            <w:tcBorders>
              <w:bottom w:val="single" w:sz="4" w:space="0" w:color="auto"/>
            </w:tcBorders>
          </w:tcPr>
          <w:p w14:paraId="76A98FBA" w14:textId="77777777" w:rsidR="00C04CAD" w:rsidRDefault="00060E34">
            <w:pPr>
              <w:tabs>
                <w:tab w:val="clear" w:pos="567"/>
              </w:tabs>
              <w:kinsoku w:val="0"/>
              <w:overflowPunct w:val="0"/>
              <w:autoSpaceDE w:val="0"/>
              <w:autoSpaceDN w:val="0"/>
              <w:adjustRightInd w:val="0"/>
              <w:spacing w:line="240" w:lineRule="auto"/>
              <w:ind w:right="-142"/>
              <w:jc w:val="center"/>
            </w:pPr>
            <w:r>
              <w:t>0,36- 0,70</w:t>
            </w:r>
          </w:p>
        </w:tc>
        <w:tc>
          <w:tcPr>
            <w:tcW w:w="747" w:type="pct"/>
            <w:tcBorders>
              <w:bottom w:val="single" w:sz="4" w:space="0" w:color="auto"/>
            </w:tcBorders>
          </w:tcPr>
          <w:p w14:paraId="61FBC0B7" w14:textId="77777777" w:rsidR="00C04CAD" w:rsidRDefault="00060E34">
            <w:pPr>
              <w:tabs>
                <w:tab w:val="clear" w:pos="567"/>
              </w:tabs>
              <w:kinsoku w:val="0"/>
              <w:overflowPunct w:val="0"/>
              <w:autoSpaceDE w:val="0"/>
              <w:autoSpaceDN w:val="0"/>
              <w:adjustRightInd w:val="0"/>
              <w:spacing w:line="240" w:lineRule="auto"/>
              <w:ind w:left="109"/>
              <w:jc w:val="center"/>
            </w:pPr>
            <w:r>
              <w:t>&lt; 0,001</w:t>
            </w:r>
          </w:p>
        </w:tc>
      </w:tr>
      <w:tr w:rsidR="00C04CAD" w14:paraId="3FAA5C62" w14:textId="77777777">
        <w:trPr>
          <w:trHeight w:val="262"/>
        </w:trPr>
        <w:tc>
          <w:tcPr>
            <w:tcW w:w="5000" w:type="pct"/>
            <w:gridSpan w:val="7"/>
            <w:tcBorders>
              <w:bottom w:val="nil"/>
            </w:tcBorders>
          </w:tcPr>
          <w:p w14:paraId="7E9F486C" w14:textId="77777777" w:rsidR="00C04CAD" w:rsidRDefault="00060E34">
            <w:pPr>
              <w:keepNext/>
              <w:tabs>
                <w:tab w:val="clear" w:pos="567"/>
              </w:tabs>
              <w:kinsoku w:val="0"/>
              <w:overflowPunct w:val="0"/>
              <w:autoSpaceDE w:val="0"/>
              <w:autoSpaceDN w:val="0"/>
              <w:adjustRightInd w:val="0"/>
              <w:spacing w:line="240" w:lineRule="auto"/>
              <w:rPr>
                <w:b/>
              </w:rPr>
            </w:pPr>
            <w:r>
              <w:rPr>
                <w:b/>
              </w:rPr>
              <w:t>Timpul până la apariţia eşecului la tratament în săptămâna 2 sau după, în Studiul UV</w:t>
            </w:r>
            <w:r>
              <w:rPr>
                <w:b/>
                <w:bCs/>
              </w:rPr>
              <w:t xml:space="preserve"> II</w:t>
            </w:r>
          </w:p>
        </w:tc>
      </w:tr>
      <w:tr w:rsidR="00C04CAD" w14:paraId="0BE462E2" w14:textId="77777777">
        <w:trPr>
          <w:trHeight w:val="293"/>
        </w:trPr>
        <w:tc>
          <w:tcPr>
            <w:tcW w:w="1352" w:type="pct"/>
            <w:tcBorders>
              <w:top w:val="nil"/>
              <w:right w:val="nil"/>
            </w:tcBorders>
          </w:tcPr>
          <w:p w14:paraId="05A6ECE7" w14:textId="77777777" w:rsidR="00C04CAD" w:rsidRDefault="00060E34">
            <w:pPr>
              <w:keepNext/>
              <w:tabs>
                <w:tab w:val="clear" w:pos="567"/>
              </w:tabs>
              <w:kinsoku w:val="0"/>
              <w:overflowPunct w:val="0"/>
              <w:autoSpaceDE w:val="0"/>
              <w:autoSpaceDN w:val="0"/>
              <w:adjustRightInd w:val="0"/>
              <w:spacing w:line="240" w:lineRule="auto"/>
            </w:pPr>
            <w:r>
              <w:t>Analiză primară (ITT)</w:t>
            </w:r>
          </w:p>
        </w:tc>
        <w:tc>
          <w:tcPr>
            <w:tcW w:w="394" w:type="pct"/>
            <w:tcBorders>
              <w:top w:val="nil"/>
              <w:left w:val="nil"/>
              <w:right w:val="nil"/>
            </w:tcBorders>
          </w:tcPr>
          <w:p w14:paraId="6FDB1077" w14:textId="77777777" w:rsidR="00C04CAD" w:rsidRDefault="00C04CAD">
            <w:pPr>
              <w:keepNext/>
              <w:tabs>
                <w:tab w:val="clear" w:pos="567"/>
              </w:tabs>
              <w:kinsoku w:val="0"/>
              <w:overflowPunct w:val="0"/>
              <w:autoSpaceDE w:val="0"/>
              <w:autoSpaceDN w:val="0"/>
              <w:adjustRightInd w:val="0"/>
              <w:spacing w:line="240" w:lineRule="auto"/>
            </w:pPr>
          </w:p>
        </w:tc>
        <w:tc>
          <w:tcPr>
            <w:tcW w:w="603" w:type="pct"/>
            <w:tcBorders>
              <w:top w:val="nil"/>
              <w:left w:val="nil"/>
              <w:right w:val="nil"/>
            </w:tcBorders>
          </w:tcPr>
          <w:p w14:paraId="42138810" w14:textId="77777777" w:rsidR="00C04CAD" w:rsidRDefault="00C04CAD">
            <w:pPr>
              <w:keepNext/>
              <w:tabs>
                <w:tab w:val="clear" w:pos="567"/>
              </w:tabs>
              <w:kinsoku w:val="0"/>
              <w:overflowPunct w:val="0"/>
              <w:autoSpaceDE w:val="0"/>
              <w:autoSpaceDN w:val="0"/>
              <w:adjustRightInd w:val="0"/>
              <w:spacing w:line="240" w:lineRule="auto"/>
            </w:pPr>
          </w:p>
        </w:tc>
        <w:tc>
          <w:tcPr>
            <w:tcW w:w="850" w:type="pct"/>
            <w:tcBorders>
              <w:top w:val="nil"/>
              <w:left w:val="nil"/>
              <w:right w:val="nil"/>
            </w:tcBorders>
          </w:tcPr>
          <w:p w14:paraId="025797C5" w14:textId="77777777" w:rsidR="00C04CAD" w:rsidRDefault="00C04CAD">
            <w:pPr>
              <w:keepNext/>
              <w:tabs>
                <w:tab w:val="clear" w:pos="567"/>
              </w:tabs>
              <w:kinsoku w:val="0"/>
              <w:overflowPunct w:val="0"/>
              <w:autoSpaceDE w:val="0"/>
              <w:autoSpaceDN w:val="0"/>
              <w:adjustRightInd w:val="0"/>
              <w:spacing w:line="240" w:lineRule="auto"/>
            </w:pPr>
          </w:p>
        </w:tc>
        <w:tc>
          <w:tcPr>
            <w:tcW w:w="417" w:type="pct"/>
            <w:tcBorders>
              <w:top w:val="nil"/>
              <w:left w:val="nil"/>
              <w:right w:val="nil"/>
            </w:tcBorders>
          </w:tcPr>
          <w:p w14:paraId="75661EC1" w14:textId="77777777" w:rsidR="00C04CAD" w:rsidRDefault="00C04CAD">
            <w:pPr>
              <w:keepNext/>
              <w:tabs>
                <w:tab w:val="clear" w:pos="567"/>
              </w:tabs>
              <w:kinsoku w:val="0"/>
              <w:overflowPunct w:val="0"/>
              <w:autoSpaceDE w:val="0"/>
              <w:autoSpaceDN w:val="0"/>
              <w:adjustRightInd w:val="0"/>
              <w:spacing w:line="240" w:lineRule="auto"/>
            </w:pPr>
          </w:p>
        </w:tc>
        <w:tc>
          <w:tcPr>
            <w:tcW w:w="637" w:type="pct"/>
            <w:tcBorders>
              <w:top w:val="nil"/>
              <w:left w:val="nil"/>
              <w:right w:val="nil"/>
            </w:tcBorders>
          </w:tcPr>
          <w:p w14:paraId="69B6C92D" w14:textId="77777777" w:rsidR="00C04CAD" w:rsidRDefault="00C04CAD">
            <w:pPr>
              <w:keepNext/>
              <w:tabs>
                <w:tab w:val="clear" w:pos="567"/>
              </w:tabs>
              <w:kinsoku w:val="0"/>
              <w:overflowPunct w:val="0"/>
              <w:autoSpaceDE w:val="0"/>
              <w:autoSpaceDN w:val="0"/>
              <w:adjustRightInd w:val="0"/>
              <w:spacing w:line="240" w:lineRule="auto"/>
            </w:pPr>
          </w:p>
        </w:tc>
        <w:tc>
          <w:tcPr>
            <w:tcW w:w="747" w:type="pct"/>
            <w:tcBorders>
              <w:top w:val="nil"/>
              <w:left w:val="nil"/>
            </w:tcBorders>
          </w:tcPr>
          <w:p w14:paraId="2450A5E1" w14:textId="77777777" w:rsidR="00C04CAD" w:rsidRDefault="00C04CAD">
            <w:pPr>
              <w:keepNext/>
              <w:tabs>
                <w:tab w:val="clear" w:pos="567"/>
              </w:tabs>
              <w:kinsoku w:val="0"/>
              <w:overflowPunct w:val="0"/>
              <w:autoSpaceDE w:val="0"/>
              <w:autoSpaceDN w:val="0"/>
              <w:adjustRightInd w:val="0"/>
              <w:spacing w:line="240" w:lineRule="auto"/>
            </w:pPr>
          </w:p>
          <w:p w14:paraId="44F87D1C" w14:textId="77777777" w:rsidR="00C04CAD" w:rsidRDefault="00C04CAD">
            <w:pPr>
              <w:keepNext/>
              <w:tabs>
                <w:tab w:val="clear" w:pos="567"/>
              </w:tabs>
              <w:kinsoku w:val="0"/>
              <w:overflowPunct w:val="0"/>
              <w:autoSpaceDE w:val="0"/>
              <w:autoSpaceDN w:val="0"/>
              <w:adjustRightInd w:val="0"/>
              <w:spacing w:line="240" w:lineRule="auto"/>
            </w:pPr>
          </w:p>
        </w:tc>
      </w:tr>
      <w:tr w:rsidR="00C04CAD" w14:paraId="3BEE655C" w14:textId="77777777">
        <w:trPr>
          <w:trHeight w:val="282"/>
        </w:trPr>
        <w:tc>
          <w:tcPr>
            <w:tcW w:w="1352" w:type="pct"/>
          </w:tcPr>
          <w:p w14:paraId="53B2250F" w14:textId="77777777" w:rsidR="00C04CAD" w:rsidRDefault="00060E34">
            <w:pPr>
              <w:keepNext/>
              <w:tabs>
                <w:tab w:val="clear" w:pos="567"/>
              </w:tabs>
              <w:kinsoku w:val="0"/>
              <w:overflowPunct w:val="0"/>
              <w:autoSpaceDE w:val="0"/>
              <w:autoSpaceDN w:val="0"/>
              <w:adjustRightInd w:val="0"/>
              <w:spacing w:line="240" w:lineRule="auto"/>
              <w:ind w:right="278"/>
            </w:pPr>
            <w:r>
              <w:t>Placebo</w:t>
            </w:r>
          </w:p>
        </w:tc>
        <w:tc>
          <w:tcPr>
            <w:tcW w:w="394" w:type="pct"/>
          </w:tcPr>
          <w:p w14:paraId="744489B0" w14:textId="77777777" w:rsidR="00C04CAD" w:rsidRDefault="00060E34">
            <w:pPr>
              <w:keepNext/>
              <w:tabs>
                <w:tab w:val="clear" w:pos="567"/>
              </w:tabs>
              <w:kinsoku w:val="0"/>
              <w:overflowPunct w:val="0"/>
              <w:autoSpaceDE w:val="0"/>
              <w:autoSpaceDN w:val="0"/>
              <w:adjustRightInd w:val="0"/>
              <w:spacing w:line="240" w:lineRule="auto"/>
              <w:jc w:val="center"/>
            </w:pPr>
            <w:r>
              <w:t>111</w:t>
            </w:r>
          </w:p>
        </w:tc>
        <w:tc>
          <w:tcPr>
            <w:tcW w:w="603" w:type="pct"/>
          </w:tcPr>
          <w:p w14:paraId="04630B98" w14:textId="77777777" w:rsidR="00C04CAD" w:rsidRDefault="00060E34">
            <w:pPr>
              <w:keepNext/>
              <w:tabs>
                <w:tab w:val="clear" w:pos="567"/>
              </w:tabs>
              <w:kinsoku w:val="0"/>
              <w:overflowPunct w:val="0"/>
              <w:autoSpaceDE w:val="0"/>
              <w:autoSpaceDN w:val="0"/>
              <w:adjustRightInd w:val="0"/>
              <w:spacing w:line="240" w:lineRule="auto"/>
              <w:jc w:val="center"/>
            </w:pPr>
            <w:r>
              <w:t>61 (55,0)</w:t>
            </w:r>
          </w:p>
        </w:tc>
        <w:tc>
          <w:tcPr>
            <w:tcW w:w="850" w:type="pct"/>
          </w:tcPr>
          <w:p w14:paraId="66C073FF" w14:textId="77777777" w:rsidR="00C04CAD" w:rsidRDefault="00060E34">
            <w:pPr>
              <w:keepNext/>
              <w:tabs>
                <w:tab w:val="clear" w:pos="567"/>
              </w:tabs>
              <w:kinsoku w:val="0"/>
              <w:overflowPunct w:val="0"/>
              <w:autoSpaceDE w:val="0"/>
              <w:autoSpaceDN w:val="0"/>
              <w:adjustRightInd w:val="0"/>
              <w:spacing w:line="240" w:lineRule="auto"/>
              <w:jc w:val="center"/>
            </w:pPr>
            <w:r>
              <w:t>8.3</w:t>
            </w:r>
          </w:p>
        </w:tc>
        <w:tc>
          <w:tcPr>
            <w:tcW w:w="417" w:type="pct"/>
          </w:tcPr>
          <w:p w14:paraId="002EFD2B" w14:textId="77777777" w:rsidR="00C04CAD" w:rsidRDefault="00060E34">
            <w:pPr>
              <w:keepNext/>
              <w:tabs>
                <w:tab w:val="clear" w:pos="567"/>
              </w:tabs>
              <w:kinsoku w:val="0"/>
              <w:overflowPunct w:val="0"/>
              <w:autoSpaceDE w:val="0"/>
              <w:autoSpaceDN w:val="0"/>
              <w:adjustRightInd w:val="0"/>
              <w:spacing w:line="240" w:lineRule="auto"/>
              <w:jc w:val="center"/>
            </w:pPr>
            <w:r>
              <w:t>--</w:t>
            </w:r>
          </w:p>
        </w:tc>
        <w:tc>
          <w:tcPr>
            <w:tcW w:w="637" w:type="pct"/>
          </w:tcPr>
          <w:p w14:paraId="25B313F1" w14:textId="77777777" w:rsidR="00C04CAD" w:rsidRDefault="00060E34">
            <w:pPr>
              <w:keepNext/>
              <w:tabs>
                <w:tab w:val="clear" w:pos="567"/>
              </w:tabs>
              <w:kinsoku w:val="0"/>
              <w:overflowPunct w:val="0"/>
              <w:autoSpaceDE w:val="0"/>
              <w:autoSpaceDN w:val="0"/>
              <w:adjustRightInd w:val="0"/>
              <w:spacing w:line="240" w:lineRule="auto"/>
              <w:jc w:val="center"/>
            </w:pPr>
            <w:r>
              <w:t>--</w:t>
            </w:r>
          </w:p>
        </w:tc>
        <w:tc>
          <w:tcPr>
            <w:tcW w:w="747" w:type="pct"/>
          </w:tcPr>
          <w:p w14:paraId="6210DCAB" w14:textId="77777777" w:rsidR="00C04CAD" w:rsidRDefault="00060E34">
            <w:pPr>
              <w:keepNext/>
              <w:tabs>
                <w:tab w:val="clear" w:pos="567"/>
              </w:tabs>
              <w:kinsoku w:val="0"/>
              <w:overflowPunct w:val="0"/>
              <w:autoSpaceDE w:val="0"/>
              <w:autoSpaceDN w:val="0"/>
              <w:adjustRightInd w:val="0"/>
              <w:spacing w:line="240" w:lineRule="auto"/>
              <w:ind w:left="251"/>
              <w:jc w:val="center"/>
            </w:pPr>
            <w:r>
              <w:t>--</w:t>
            </w:r>
          </w:p>
        </w:tc>
      </w:tr>
      <w:tr w:rsidR="00C04CAD" w14:paraId="3EA225A0" w14:textId="77777777">
        <w:trPr>
          <w:trHeight w:val="293"/>
        </w:trPr>
        <w:tc>
          <w:tcPr>
            <w:tcW w:w="1352" w:type="pct"/>
          </w:tcPr>
          <w:p w14:paraId="43B36113" w14:textId="77777777" w:rsidR="00C04CAD" w:rsidRDefault="00060E34">
            <w:pPr>
              <w:keepNext/>
              <w:tabs>
                <w:tab w:val="clear" w:pos="567"/>
              </w:tabs>
              <w:kinsoku w:val="0"/>
              <w:overflowPunct w:val="0"/>
              <w:autoSpaceDE w:val="0"/>
              <w:autoSpaceDN w:val="0"/>
              <w:adjustRightInd w:val="0"/>
              <w:spacing w:line="240" w:lineRule="auto"/>
              <w:ind w:right="278"/>
            </w:pPr>
            <w:r>
              <w:t>Adalimumab</w:t>
            </w:r>
          </w:p>
        </w:tc>
        <w:tc>
          <w:tcPr>
            <w:tcW w:w="394" w:type="pct"/>
          </w:tcPr>
          <w:p w14:paraId="539FE9E5" w14:textId="77777777" w:rsidR="00C04CAD" w:rsidRDefault="00060E34">
            <w:pPr>
              <w:keepNext/>
              <w:tabs>
                <w:tab w:val="clear" w:pos="567"/>
              </w:tabs>
              <w:kinsoku w:val="0"/>
              <w:overflowPunct w:val="0"/>
              <w:autoSpaceDE w:val="0"/>
              <w:autoSpaceDN w:val="0"/>
              <w:adjustRightInd w:val="0"/>
              <w:spacing w:line="240" w:lineRule="auto"/>
              <w:jc w:val="center"/>
            </w:pPr>
            <w:r>
              <w:t>115</w:t>
            </w:r>
          </w:p>
        </w:tc>
        <w:tc>
          <w:tcPr>
            <w:tcW w:w="603" w:type="pct"/>
          </w:tcPr>
          <w:p w14:paraId="38DCE7C9" w14:textId="77777777" w:rsidR="00C04CAD" w:rsidRDefault="00060E34">
            <w:pPr>
              <w:keepNext/>
              <w:tabs>
                <w:tab w:val="clear" w:pos="567"/>
              </w:tabs>
              <w:kinsoku w:val="0"/>
              <w:overflowPunct w:val="0"/>
              <w:autoSpaceDE w:val="0"/>
              <w:autoSpaceDN w:val="0"/>
              <w:adjustRightInd w:val="0"/>
              <w:spacing w:line="240" w:lineRule="auto"/>
              <w:jc w:val="center"/>
            </w:pPr>
            <w:r>
              <w:t>45 (39,1)</w:t>
            </w:r>
          </w:p>
        </w:tc>
        <w:tc>
          <w:tcPr>
            <w:tcW w:w="850" w:type="pct"/>
          </w:tcPr>
          <w:p w14:paraId="0DB4CB96" w14:textId="77777777" w:rsidR="00C04CAD" w:rsidRDefault="00060E34">
            <w:pPr>
              <w:keepNext/>
              <w:tabs>
                <w:tab w:val="clear" w:pos="567"/>
              </w:tabs>
              <w:kinsoku w:val="0"/>
              <w:overflowPunct w:val="0"/>
              <w:autoSpaceDE w:val="0"/>
              <w:autoSpaceDN w:val="0"/>
              <w:adjustRightInd w:val="0"/>
              <w:spacing w:line="240" w:lineRule="auto"/>
              <w:jc w:val="center"/>
            </w:pPr>
            <w:r>
              <w:t>NE</w:t>
            </w:r>
            <w:r>
              <w:rPr>
                <w:vertAlign w:val="superscript"/>
              </w:rPr>
              <w:t>c</w:t>
            </w:r>
          </w:p>
        </w:tc>
        <w:tc>
          <w:tcPr>
            <w:tcW w:w="417" w:type="pct"/>
          </w:tcPr>
          <w:p w14:paraId="6BF2EA7E" w14:textId="77777777" w:rsidR="00C04CAD" w:rsidRDefault="00060E34">
            <w:pPr>
              <w:keepNext/>
              <w:tabs>
                <w:tab w:val="clear" w:pos="567"/>
              </w:tabs>
              <w:kinsoku w:val="0"/>
              <w:overflowPunct w:val="0"/>
              <w:autoSpaceDE w:val="0"/>
              <w:autoSpaceDN w:val="0"/>
              <w:adjustRightInd w:val="0"/>
              <w:spacing w:line="240" w:lineRule="auto"/>
              <w:jc w:val="center"/>
            </w:pPr>
            <w:r>
              <w:t>0,57</w:t>
            </w:r>
          </w:p>
        </w:tc>
        <w:tc>
          <w:tcPr>
            <w:tcW w:w="637" w:type="pct"/>
          </w:tcPr>
          <w:p w14:paraId="611ADC08" w14:textId="77777777" w:rsidR="00C04CAD" w:rsidRDefault="00060E34">
            <w:pPr>
              <w:keepNext/>
              <w:tabs>
                <w:tab w:val="clear" w:pos="567"/>
              </w:tabs>
              <w:kinsoku w:val="0"/>
              <w:overflowPunct w:val="0"/>
              <w:autoSpaceDE w:val="0"/>
              <w:autoSpaceDN w:val="0"/>
              <w:adjustRightInd w:val="0"/>
              <w:spacing w:line="240" w:lineRule="auto"/>
              <w:ind w:right="-142"/>
              <w:jc w:val="center"/>
            </w:pPr>
            <w:r>
              <w:t>0,39- 0,84</w:t>
            </w:r>
          </w:p>
        </w:tc>
        <w:tc>
          <w:tcPr>
            <w:tcW w:w="747" w:type="pct"/>
          </w:tcPr>
          <w:p w14:paraId="5E780D46" w14:textId="77777777" w:rsidR="00C04CAD" w:rsidRDefault="00060E34">
            <w:pPr>
              <w:keepNext/>
              <w:tabs>
                <w:tab w:val="clear" w:pos="567"/>
              </w:tabs>
              <w:kinsoku w:val="0"/>
              <w:overflowPunct w:val="0"/>
              <w:autoSpaceDE w:val="0"/>
              <w:autoSpaceDN w:val="0"/>
              <w:adjustRightInd w:val="0"/>
              <w:spacing w:line="240" w:lineRule="auto"/>
              <w:jc w:val="center"/>
            </w:pPr>
            <w:r>
              <w:t>0,004</w:t>
            </w:r>
          </w:p>
        </w:tc>
      </w:tr>
    </w:tbl>
    <w:p w14:paraId="6D8A33E1" w14:textId="77777777" w:rsidR="00C04CAD" w:rsidRDefault="00060E34">
      <w:pPr>
        <w:keepNext/>
        <w:tabs>
          <w:tab w:val="clear" w:pos="567"/>
        </w:tabs>
        <w:kinsoku w:val="0"/>
        <w:overflowPunct w:val="0"/>
        <w:autoSpaceDE w:val="0"/>
        <w:autoSpaceDN w:val="0"/>
        <w:adjustRightInd w:val="0"/>
        <w:spacing w:line="240" w:lineRule="auto"/>
        <w:rPr>
          <w:sz w:val="20"/>
        </w:rPr>
      </w:pPr>
      <w:r>
        <w:rPr>
          <w:sz w:val="20"/>
        </w:rPr>
        <w:t xml:space="preserve">Notă: Eşecul la tratament în </w:t>
      </w:r>
      <w:r>
        <w:rPr>
          <w:rFonts w:eastAsia="MS Mincho"/>
          <w:sz w:val="20"/>
          <w:lang w:eastAsia="en-US" w:bidi="ar-SA"/>
        </w:rPr>
        <w:t>săptămâna</w:t>
      </w:r>
      <w:r>
        <w:rPr>
          <w:sz w:val="20"/>
        </w:rPr>
        <w:t xml:space="preserve"> 6 sau după (Studiul UV I), sau în </w:t>
      </w:r>
      <w:r>
        <w:rPr>
          <w:rFonts w:eastAsia="MS Mincho"/>
          <w:sz w:val="20"/>
          <w:lang w:eastAsia="en-US" w:bidi="ar-SA"/>
        </w:rPr>
        <w:t>săptămâna</w:t>
      </w:r>
      <w:r>
        <w:rPr>
          <w:sz w:val="20"/>
        </w:rPr>
        <w:t xml:space="preserve"> 2 sau după (Studiul UV II), a fost înregistrat ca eveniment. Întreruperile tratamentului din alte cauze în afară de eşec la tratament nu au fost înregistrate la momentul întreruperii tratamentului.</w:t>
      </w:r>
    </w:p>
    <w:p w14:paraId="69F526E3" w14:textId="77777777" w:rsidR="00C04CAD" w:rsidRDefault="00060E34">
      <w:pPr>
        <w:keepNext/>
        <w:kinsoku w:val="0"/>
        <w:overflowPunct w:val="0"/>
        <w:autoSpaceDE w:val="0"/>
        <w:autoSpaceDN w:val="0"/>
        <w:adjustRightInd w:val="0"/>
        <w:spacing w:line="240" w:lineRule="auto"/>
        <w:ind w:left="227" w:hanging="227"/>
        <w:rPr>
          <w:sz w:val="20"/>
        </w:rPr>
      </w:pPr>
      <w:r>
        <w:rPr>
          <w:sz w:val="20"/>
          <w:vertAlign w:val="superscript"/>
        </w:rPr>
        <w:t>a</w:t>
      </w:r>
      <w:r>
        <w:rPr>
          <w:sz w:val="20"/>
        </w:rPr>
        <w:tab/>
        <w:t>SR pentru adalimumab comparativ cu placebo al scăderii proporţionale a riscului având ca factor tratamentul.</w:t>
      </w:r>
    </w:p>
    <w:p w14:paraId="7CE1BEE2" w14:textId="77777777" w:rsidR="00C04CAD" w:rsidRDefault="00060E34">
      <w:pPr>
        <w:kinsoku w:val="0"/>
        <w:overflowPunct w:val="0"/>
        <w:autoSpaceDE w:val="0"/>
        <w:autoSpaceDN w:val="0"/>
        <w:adjustRightInd w:val="0"/>
        <w:spacing w:line="240" w:lineRule="auto"/>
        <w:ind w:left="227" w:hanging="227"/>
        <w:rPr>
          <w:sz w:val="20"/>
        </w:rPr>
      </w:pPr>
      <w:r>
        <w:rPr>
          <w:sz w:val="20"/>
          <w:vertAlign w:val="superscript"/>
        </w:rPr>
        <w:t>b</w:t>
      </w:r>
      <w:r>
        <w:rPr>
          <w:sz w:val="20"/>
        </w:rPr>
        <w:tab/>
        <w:t xml:space="preserve">Valoare </w:t>
      </w:r>
      <w:r>
        <w:rPr>
          <w:i/>
          <w:sz w:val="20"/>
        </w:rPr>
        <w:t xml:space="preserve">p </w:t>
      </w:r>
      <w:r>
        <w:rPr>
          <w:sz w:val="20"/>
        </w:rPr>
        <w:t>din testul de tip log rank.</w:t>
      </w:r>
    </w:p>
    <w:p w14:paraId="7B64DDEF" w14:textId="77777777" w:rsidR="00C04CAD" w:rsidRDefault="00060E34">
      <w:pPr>
        <w:kinsoku w:val="0"/>
        <w:overflowPunct w:val="0"/>
        <w:autoSpaceDE w:val="0"/>
        <w:autoSpaceDN w:val="0"/>
        <w:adjustRightInd w:val="0"/>
        <w:spacing w:line="240" w:lineRule="auto"/>
        <w:ind w:left="227" w:hanging="227"/>
        <w:rPr>
          <w:sz w:val="20"/>
        </w:rPr>
      </w:pPr>
      <w:r>
        <w:rPr>
          <w:sz w:val="20"/>
          <w:vertAlign w:val="superscript"/>
        </w:rPr>
        <w:t>c</w:t>
      </w:r>
      <w:r>
        <w:rPr>
          <w:sz w:val="20"/>
        </w:rPr>
        <w:tab/>
        <w:t>NE = nu pot fi estimate. Mai puțin de jumătate din subiecții cu risc a avut un eveniment.</w:t>
      </w:r>
    </w:p>
    <w:p w14:paraId="67A30126" w14:textId="77777777" w:rsidR="00C04CAD" w:rsidRDefault="00C04CAD">
      <w:pPr>
        <w:pStyle w:val="Heading1"/>
        <w:widowControl/>
        <w:kinsoku w:val="0"/>
        <w:overflowPunct w:val="0"/>
        <w:ind w:left="0"/>
        <w:rPr>
          <w:b w:val="0"/>
          <w:lang w:val="ro-RO"/>
        </w:rPr>
      </w:pPr>
    </w:p>
    <w:p w14:paraId="736FFB39" w14:textId="77777777" w:rsidR="00C04CAD" w:rsidRDefault="00060E34">
      <w:pPr>
        <w:keepNext/>
        <w:autoSpaceDE w:val="0"/>
        <w:autoSpaceDN w:val="0"/>
        <w:adjustRightInd w:val="0"/>
        <w:spacing w:line="240" w:lineRule="auto"/>
      </w:pPr>
      <w:r>
        <w:rPr>
          <w:b/>
        </w:rPr>
        <w:t>Figura 2. Curbele Kaplan-Meier sumarizând timpul până la eșecul la tratament în săptămâna 6 sau după (Studiul UV I) sau în săptămâna 2 sau după (Studiul UV II)</w:t>
      </w:r>
    </w:p>
    <w:p w14:paraId="2A05B38B" w14:textId="77777777" w:rsidR="00C04CAD" w:rsidRDefault="00C04CAD">
      <w:pPr>
        <w:keepNext/>
        <w:autoSpaceDE w:val="0"/>
        <w:autoSpaceDN w:val="0"/>
        <w:adjustRightInd w:val="0"/>
        <w:spacing w:line="240" w:lineRule="auto"/>
      </w:pPr>
    </w:p>
    <w:p w14:paraId="37C59C76"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noProof/>
          <w:szCs w:val="22"/>
          <w:lang w:val="en-US" w:eastAsia="zh-CN" w:bidi="ar-SA"/>
        </w:rPr>
        <w:drawing>
          <wp:inline distT="0" distB="0" distL="0" distR="0" wp14:anchorId="3F0AE48B" wp14:editId="1D0F19CB">
            <wp:extent cx="6141085" cy="2483485"/>
            <wp:effectExtent l="0" t="0" r="0" b="0"/>
            <wp:docPr id="1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141085" cy="2483485"/>
                    </a:xfrm>
                    <a:prstGeom prst="rect">
                      <a:avLst/>
                    </a:prstGeom>
                    <a:noFill/>
                    <a:ln>
                      <a:noFill/>
                    </a:ln>
                  </pic:spPr>
                </pic:pic>
              </a:graphicData>
            </a:graphic>
          </wp:inline>
        </w:drawing>
      </w:r>
    </w:p>
    <w:p w14:paraId="331020DA" w14:textId="77777777" w:rsidR="00C04CAD" w:rsidRDefault="00060E34">
      <w:pPr>
        <w:tabs>
          <w:tab w:val="clear" w:pos="567"/>
          <w:tab w:val="left" w:pos="3207"/>
        </w:tabs>
        <w:autoSpaceDE w:val="0"/>
        <w:autoSpaceDN w:val="0"/>
        <w:adjustRightInd w:val="0"/>
        <w:spacing w:line="240" w:lineRule="auto"/>
        <w:rPr>
          <w:rFonts w:eastAsia="MS Mincho"/>
          <w:szCs w:val="22"/>
          <w:lang w:eastAsia="en-US" w:bidi="ar-SA"/>
        </w:rPr>
      </w:pPr>
      <w:r>
        <w:rPr>
          <w:rFonts w:eastAsia="MS Mincho"/>
          <w:noProof/>
          <w:szCs w:val="22"/>
          <w:lang w:val="en-US" w:eastAsia="zh-CN" w:bidi="ar-SA"/>
        </w:rPr>
        <w:drawing>
          <wp:inline distT="0" distB="0" distL="0" distR="0" wp14:anchorId="194AAE9A" wp14:editId="4FA2366F">
            <wp:extent cx="6182360" cy="187325"/>
            <wp:effectExtent l="0" t="0" r="0" b="0"/>
            <wp:docPr id="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182360" cy="187325"/>
                    </a:xfrm>
                    <a:prstGeom prst="rect">
                      <a:avLst/>
                    </a:prstGeom>
                    <a:noFill/>
                    <a:ln>
                      <a:noFill/>
                    </a:ln>
                  </pic:spPr>
                </pic:pic>
              </a:graphicData>
            </a:graphic>
          </wp:inline>
        </w:drawing>
      </w:r>
    </w:p>
    <w:p w14:paraId="0CC917B3" w14:textId="77777777" w:rsidR="00C04CAD" w:rsidRDefault="00C04CAD">
      <w:pPr>
        <w:autoSpaceDE w:val="0"/>
        <w:autoSpaceDN w:val="0"/>
        <w:adjustRightInd w:val="0"/>
        <w:spacing w:line="240" w:lineRule="auto"/>
        <w:rPr>
          <w:szCs w:val="22"/>
        </w:rPr>
      </w:pPr>
    </w:p>
    <w:p w14:paraId="199EF2F7"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noProof/>
          <w:sz w:val="24"/>
          <w:szCs w:val="24"/>
          <w:lang w:val="en-US" w:eastAsia="zh-CN" w:bidi="ar-SA"/>
        </w:rPr>
        <w:drawing>
          <wp:inline distT="0" distB="0" distL="0" distR="0" wp14:anchorId="1882359B" wp14:editId="564F3381">
            <wp:extent cx="5943600" cy="2555875"/>
            <wp:effectExtent l="0" t="0" r="0" b="0"/>
            <wp:docPr id="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43600" cy="2555875"/>
                    </a:xfrm>
                    <a:prstGeom prst="rect">
                      <a:avLst/>
                    </a:prstGeom>
                    <a:noFill/>
                    <a:ln>
                      <a:noFill/>
                    </a:ln>
                  </pic:spPr>
                </pic:pic>
              </a:graphicData>
            </a:graphic>
          </wp:inline>
        </w:drawing>
      </w:r>
    </w:p>
    <w:p w14:paraId="01DBA568" w14:textId="77777777" w:rsidR="00C04CAD" w:rsidRDefault="00060E34">
      <w:pPr>
        <w:tabs>
          <w:tab w:val="clear" w:pos="567"/>
        </w:tabs>
        <w:kinsoku w:val="0"/>
        <w:overflowPunct w:val="0"/>
        <w:autoSpaceDE w:val="0"/>
        <w:autoSpaceDN w:val="0"/>
        <w:adjustRightInd w:val="0"/>
        <w:spacing w:line="240" w:lineRule="auto"/>
        <w:rPr>
          <w:sz w:val="20"/>
        </w:rPr>
      </w:pPr>
      <w:r>
        <w:rPr>
          <w:sz w:val="20"/>
        </w:rPr>
        <w:t xml:space="preserve">Notă: P# = Placebo (Număr al Evenimentelor/Număr la Risc); A# = </w:t>
      </w:r>
      <w:r>
        <w:rPr>
          <w:rFonts w:eastAsia="MS Mincho"/>
          <w:sz w:val="20"/>
          <w:lang w:eastAsia="en-US" w:bidi="ar-SA"/>
        </w:rPr>
        <w:t>Adalimumab</w:t>
      </w:r>
      <w:r>
        <w:rPr>
          <w:sz w:val="20"/>
        </w:rPr>
        <w:t xml:space="preserve"> (Număr al Evenimentelor/Număr la Risc).</w:t>
      </w:r>
    </w:p>
    <w:p w14:paraId="626538AF" w14:textId="77777777" w:rsidR="00C04CAD" w:rsidRDefault="00C04CAD">
      <w:pPr>
        <w:autoSpaceDE w:val="0"/>
        <w:autoSpaceDN w:val="0"/>
        <w:adjustRightInd w:val="0"/>
        <w:spacing w:line="240" w:lineRule="auto"/>
      </w:pPr>
    </w:p>
    <w:p w14:paraId="603C6A5D" w14:textId="77777777" w:rsidR="00C04CAD" w:rsidRDefault="00060E34">
      <w:pPr>
        <w:tabs>
          <w:tab w:val="clear" w:pos="567"/>
        </w:tabs>
        <w:kinsoku w:val="0"/>
        <w:overflowPunct w:val="0"/>
        <w:autoSpaceDE w:val="0"/>
        <w:autoSpaceDN w:val="0"/>
        <w:adjustRightInd w:val="0"/>
        <w:spacing w:line="240" w:lineRule="auto"/>
      </w:pPr>
      <w:r>
        <w:t>În Studiul UV I s-au observat, pentru fiecare componentă a eșecului la tratament, diferenţe semnificative statistic în favoarea adalimumab comparativ cu placebo. În Studiul UV II, s-au observat diferențe semnificative statistic doar pentru acuitatea vizuală, dar celelalte componente au fost din punct de vedere numeric în favoarea adalimumab.</w:t>
      </w:r>
    </w:p>
    <w:p w14:paraId="08C96BFF" w14:textId="77777777" w:rsidR="00C04CAD" w:rsidRDefault="00C04CAD">
      <w:pPr>
        <w:tabs>
          <w:tab w:val="clear" w:pos="567"/>
        </w:tabs>
        <w:kinsoku w:val="0"/>
        <w:overflowPunct w:val="0"/>
        <w:autoSpaceDE w:val="0"/>
        <w:autoSpaceDN w:val="0"/>
        <w:adjustRightInd w:val="0"/>
        <w:spacing w:line="240" w:lineRule="auto"/>
      </w:pPr>
    </w:p>
    <w:p w14:paraId="3240D2EE" w14:textId="77777777" w:rsidR="00C04CAD" w:rsidRDefault="00060E34">
      <w:pPr>
        <w:tabs>
          <w:tab w:val="clear" w:pos="567"/>
        </w:tabs>
        <w:autoSpaceDE w:val="0"/>
        <w:autoSpaceDN w:val="0"/>
        <w:adjustRightInd w:val="0"/>
        <w:spacing w:line="240" w:lineRule="auto"/>
      </w:pPr>
      <w:r>
        <w:t>Din cei 424 subiecți incluși în faza de extensie ne-controlată pe termen lung a Studiilor UV I și UV II, 60</w:t>
      </w:r>
      <w:r>
        <w:rPr>
          <w:szCs w:val="22"/>
        </w:rPr>
        <w:t> </w:t>
      </w:r>
      <w:r>
        <w:t>subiecți au fost considerați neeligibili (de exemplu din cauza deviațiilor sau din cauza complicațiilor secundare retinopatiei diabetice, din cauza intervenției chirurgicale de cataractă sau vitrectomiei) și au fost excluși din analiza primară privind eficacitatea. Din cei 364 de pacienți rămași, 269 (74%) pacienți evaluabili au atins 78 săptămâni de tratament deschis cu adalimumab. Pe baza evaluării datelor observate, 216 (80,3%) au fost în stare de repaus a bolii (fără leziuni inflamatorii active, celularitatea CA de grad ≤ 0,5 +, a CV ≤ 0,5 +) utilizând concomitent corticosteroizi în doze ≤ 7,5 mg pe zi iar 178 (66,2%) au fost în stare de repaus fără utilizare de corticosteroizi. În săptămâna 78 AVCO a fost fie îmbunătățită, fie menținută (deteriorare &lt; 5 litere) la 88,6% din cazuri. Datele după Săptămâna 78 au fost în general în concordanță cu aceste rezultate, dar numărul de subiecți înrolați a scăzut după această dată. În general, dintre pacienții care au întrerupt studiul, 18% au întrerupt tratamentul din cauza reacțiilor adverse și 8% din cauza răspunsului insuficient la tratamentul cu adalimumab.</w:t>
      </w:r>
    </w:p>
    <w:p w14:paraId="7BE8BE43" w14:textId="77777777" w:rsidR="00C04CAD" w:rsidRDefault="00C04CAD">
      <w:pPr>
        <w:tabs>
          <w:tab w:val="clear" w:pos="567"/>
        </w:tabs>
        <w:kinsoku w:val="0"/>
        <w:overflowPunct w:val="0"/>
        <w:autoSpaceDE w:val="0"/>
        <w:autoSpaceDN w:val="0"/>
        <w:adjustRightInd w:val="0"/>
        <w:spacing w:line="240" w:lineRule="auto"/>
      </w:pPr>
    </w:p>
    <w:p w14:paraId="2AD80D52" w14:textId="77777777" w:rsidR="00C04CAD" w:rsidRDefault="00060E34">
      <w:pPr>
        <w:keepNext/>
        <w:tabs>
          <w:tab w:val="clear" w:pos="567"/>
        </w:tabs>
        <w:kinsoku w:val="0"/>
        <w:overflowPunct w:val="0"/>
        <w:autoSpaceDE w:val="0"/>
        <w:autoSpaceDN w:val="0"/>
        <w:adjustRightInd w:val="0"/>
        <w:spacing w:line="240" w:lineRule="auto"/>
      </w:pPr>
      <w:r>
        <w:rPr>
          <w:i/>
          <w:u w:val="single"/>
        </w:rPr>
        <w:t>Calitatea vieţii</w:t>
      </w:r>
    </w:p>
    <w:p w14:paraId="3D83DBBB" w14:textId="77777777" w:rsidR="00C04CAD" w:rsidRDefault="00C04CAD">
      <w:pPr>
        <w:keepNext/>
        <w:tabs>
          <w:tab w:val="clear" w:pos="567"/>
        </w:tabs>
        <w:kinsoku w:val="0"/>
        <w:overflowPunct w:val="0"/>
        <w:autoSpaceDE w:val="0"/>
        <w:autoSpaceDN w:val="0"/>
        <w:adjustRightInd w:val="0"/>
        <w:spacing w:line="240" w:lineRule="auto"/>
      </w:pPr>
    </w:p>
    <w:p w14:paraId="06915FB7" w14:textId="77777777" w:rsidR="00C04CAD" w:rsidRDefault="00060E34">
      <w:pPr>
        <w:tabs>
          <w:tab w:val="clear" w:pos="567"/>
        </w:tabs>
        <w:kinsoku w:val="0"/>
        <w:overflowPunct w:val="0"/>
        <w:autoSpaceDE w:val="0"/>
        <w:autoSpaceDN w:val="0"/>
        <w:adjustRightInd w:val="0"/>
        <w:spacing w:line="240" w:lineRule="auto"/>
      </w:pPr>
      <w:r>
        <w:t xml:space="preserve">Rezultatele raportate de către pacienţi cu privire la funcția vizuală au fost măsurate, în ambele studii clinice, folosindu-se chestionarul NEI VFQ-25. În Studiul UV I, majoritatea subscorurilor au fost în favoarea </w:t>
      </w:r>
      <w:r>
        <w:rPr>
          <w:rFonts w:eastAsia="MS Mincho"/>
          <w:bCs/>
          <w:szCs w:val="22"/>
          <w:lang w:eastAsia="en-US" w:bidi="ar-SA"/>
        </w:rPr>
        <w:t>adalimumab</w:t>
      </w:r>
      <w:r>
        <w:t xml:space="preserve"> din punct de vedere numeric, cu diferențe medii semnificative statistic pentru acuitatea vizuală în general, durerea oculară, vederea de aproape, sănătatea mintală și scorul total și, în Studiul UV II, pentru acuitatea vizuală în general și sănătatea mintală. În Studiul UV I, efectele legate de acuitatea vizuală nu au fost în favoarea </w:t>
      </w:r>
      <w:r>
        <w:rPr>
          <w:rFonts w:eastAsia="MS Mincho"/>
          <w:bCs/>
          <w:szCs w:val="22"/>
          <w:lang w:eastAsia="en-US" w:bidi="ar-SA"/>
        </w:rPr>
        <w:t>adalimumab</w:t>
      </w:r>
      <w:r>
        <w:t xml:space="preserve"> din punct de vedere numeric pentru vederea cromatică și, în Studiul UV II, pentru vederea cromatică, vedere periferică şi vederea de aproape.</w:t>
      </w:r>
    </w:p>
    <w:p w14:paraId="1211AD99" w14:textId="77777777" w:rsidR="00C04CAD" w:rsidRDefault="00C04CAD">
      <w:pPr>
        <w:tabs>
          <w:tab w:val="clear" w:pos="567"/>
        </w:tabs>
        <w:kinsoku w:val="0"/>
        <w:overflowPunct w:val="0"/>
        <w:autoSpaceDE w:val="0"/>
        <w:autoSpaceDN w:val="0"/>
        <w:adjustRightInd w:val="0"/>
        <w:spacing w:line="240" w:lineRule="auto"/>
      </w:pPr>
    </w:p>
    <w:p w14:paraId="4B3D9050" w14:textId="77777777" w:rsidR="00C04CAD" w:rsidRDefault="00060E34">
      <w:pPr>
        <w:keepNext/>
        <w:tabs>
          <w:tab w:val="clear" w:pos="567"/>
        </w:tabs>
        <w:kinsoku w:val="0"/>
        <w:overflowPunct w:val="0"/>
        <w:autoSpaceDE w:val="0"/>
        <w:autoSpaceDN w:val="0"/>
        <w:adjustRightInd w:val="0"/>
        <w:spacing w:line="240" w:lineRule="auto"/>
        <w:rPr>
          <w:u w:val="single"/>
        </w:rPr>
      </w:pPr>
      <w:r>
        <w:rPr>
          <w:u w:val="single"/>
        </w:rPr>
        <w:t>Imunogenitate</w:t>
      </w:r>
    </w:p>
    <w:p w14:paraId="13D61CB7" w14:textId="77777777" w:rsidR="00C04CAD" w:rsidRDefault="00C04CAD">
      <w:pPr>
        <w:keepNext/>
        <w:tabs>
          <w:tab w:val="clear" w:pos="567"/>
        </w:tabs>
        <w:kinsoku w:val="0"/>
        <w:overflowPunct w:val="0"/>
        <w:autoSpaceDE w:val="0"/>
        <w:autoSpaceDN w:val="0"/>
        <w:adjustRightInd w:val="0"/>
        <w:spacing w:line="240" w:lineRule="auto"/>
      </w:pPr>
    </w:p>
    <w:p w14:paraId="18184F2E" w14:textId="77777777" w:rsidR="00C04CAD" w:rsidRDefault="00060E34">
      <w:pPr>
        <w:tabs>
          <w:tab w:val="clear" w:pos="567"/>
        </w:tabs>
        <w:kinsoku w:val="0"/>
        <w:overflowPunct w:val="0"/>
        <w:autoSpaceDE w:val="0"/>
        <w:autoSpaceDN w:val="0"/>
        <w:adjustRightInd w:val="0"/>
        <w:spacing w:line="240" w:lineRule="auto"/>
      </w:pPr>
      <w:r>
        <w:t>În timpul tratamentului cu adalimumab pot apărea anticorpi anti-adalimumab. Formarea anticorpilor anti-adalimumab este asociată cu creşterea clearance-ului şi reducerea eficacităţii adalimumabului. Aparent nu există o legătură între prezența anticorpilor anti-adalimumab şi apariția evenimentelor adverse.</w:t>
      </w:r>
    </w:p>
    <w:p w14:paraId="77A2621D" w14:textId="77777777" w:rsidR="00C04CAD" w:rsidRDefault="00C04CAD">
      <w:pPr>
        <w:tabs>
          <w:tab w:val="clear" w:pos="567"/>
        </w:tabs>
        <w:autoSpaceDE w:val="0"/>
        <w:autoSpaceDN w:val="0"/>
        <w:adjustRightInd w:val="0"/>
        <w:spacing w:line="240" w:lineRule="auto"/>
      </w:pPr>
    </w:p>
    <w:p w14:paraId="2B9ADA8A"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w:t>
      </w:r>
    </w:p>
    <w:p w14:paraId="6EBE981A"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20DE1196"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Artrită juvenilă idiopatică (AJI) </w:t>
      </w:r>
    </w:p>
    <w:p w14:paraId="02556FF4"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22B4898E"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Artrită juvenilă idiopatică forma poliarticulară (AJIp) </w:t>
      </w:r>
    </w:p>
    <w:p w14:paraId="030DE2FC"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46C9923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MS Mincho"/>
          <w:color w:val="000000"/>
          <w:szCs w:val="22"/>
          <w:lang w:eastAsia="ja-JP" w:bidi="ar-SA"/>
        </w:rPr>
        <w:t>Siguranţa şi eficacitatea adalimumabului la copii cu artrită juvenilă idiopatică forma poliarticulară activă sau în curs, care au avut o varietate de debut a AJI (cel mai frecvent poliartrită cu factor reumatoid negativ sau pozitiv şi oligoartrită extinsă), au fost evaluate în două studii (AJIp I şi II).</w:t>
      </w:r>
    </w:p>
    <w:p w14:paraId="3DFB62C9"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70098DD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AJIp I</w:t>
      </w:r>
    </w:p>
    <w:p w14:paraId="39933C42"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07B910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Au fost studiate siguranţa şi eficacitatea administrării adalimumabului într-un studiu clinic multicentric, randomizat, dublu-orb, cu grupuri paralele la 171 copii (cu vârsta 4-17 ani) cu AJI forma poliarticulară. În faza de preincludere deschisă (OL LI) pacienţii au fost împărţiţi în două grupuri, grupul care a primit tratament cu MTX (metotrexat) şi grupul fără tratament concomitent cu MTX. Pacienţii din grupul fără tratament concomitent cu MTX fie nu primiseră anterior MTX, fie au întrerupt tratamentul cu MTX cu cel puţin două săptămâni anterior administrării medicamentului de studiu. Pacienţii au primit doza nemodificată de medicamente antiinflamatoare nesteroidiene (AINS) şi/sau prednison (≤0,2 mg/kg/zi sau maxim 10 mg/zi). În faza OL LI, toţi pacienţii au primit adalimumab 24 mg/m</w:t>
      </w:r>
      <w:r>
        <w:rPr>
          <w:rFonts w:eastAsia="MS Mincho"/>
          <w:color w:val="000000"/>
          <w:szCs w:val="22"/>
          <w:vertAlign w:val="superscript"/>
          <w:lang w:eastAsia="ja-JP" w:bidi="ar-SA"/>
        </w:rPr>
        <w:t>2</w:t>
      </w:r>
      <w:r>
        <w:rPr>
          <w:rFonts w:eastAsia="MS Mincho"/>
          <w:color w:val="000000"/>
          <w:sz w:val="14"/>
          <w:szCs w:val="14"/>
          <w:lang w:eastAsia="ja-JP" w:bidi="ar-SA"/>
        </w:rPr>
        <w:t xml:space="preserve"> </w:t>
      </w:r>
      <w:r>
        <w:rPr>
          <w:rFonts w:eastAsia="MS Mincho"/>
          <w:color w:val="000000"/>
          <w:szCs w:val="22"/>
          <w:lang w:eastAsia="ja-JP" w:bidi="ar-SA"/>
        </w:rPr>
        <w:t xml:space="preserve">până la doza maximă de 40 mg la două săptămâni, timp de 16 săptămâni. Clasificarea pacienţilor în funcţie de vârstă şi doza minimă, mediană şi maximă administrată în timpul fazei OL LI este prezentată în tabelul 25. </w:t>
      </w:r>
    </w:p>
    <w:p w14:paraId="7F76DC2E" w14:textId="77777777" w:rsidR="00C04CAD" w:rsidRDefault="00C04CAD">
      <w:pPr>
        <w:tabs>
          <w:tab w:val="clear" w:pos="567"/>
        </w:tabs>
        <w:autoSpaceDE w:val="0"/>
        <w:autoSpaceDN w:val="0"/>
        <w:adjustRightInd w:val="0"/>
        <w:spacing w:line="240" w:lineRule="auto"/>
        <w:rPr>
          <w:rFonts w:eastAsia="MS Mincho"/>
          <w:b/>
          <w:bCs/>
          <w:color w:val="000000"/>
          <w:szCs w:val="22"/>
          <w:lang w:eastAsia="ja-JP" w:bidi="ar-SA"/>
        </w:rPr>
      </w:pPr>
    </w:p>
    <w:p w14:paraId="0DE9C47B" w14:textId="77777777" w:rsidR="00C04CAD" w:rsidRDefault="00060E34">
      <w:pPr>
        <w:tabs>
          <w:tab w:val="clear" w:pos="567"/>
        </w:tabs>
        <w:autoSpaceDE w:val="0"/>
        <w:autoSpaceDN w:val="0"/>
        <w:adjustRightInd w:val="0"/>
        <w:spacing w:line="240" w:lineRule="auto"/>
        <w:rPr>
          <w:rFonts w:eastAsia="PMingLiU"/>
          <w:b/>
          <w:szCs w:val="22"/>
          <w:lang w:eastAsia="en-GB" w:bidi="ar-SA"/>
        </w:rPr>
      </w:pPr>
      <w:r>
        <w:rPr>
          <w:rFonts w:eastAsia="MS Mincho"/>
          <w:b/>
          <w:bCs/>
          <w:color w:val="000000"/>
          <w:szCs w:val="22"/>
          <w:lang w:eastAsia="ja-JP" w:bidi="ar-SA"/>
        </w:rPr>
        <w:t>Tabelul 25. Clasificarea pacienţilor în funcţie de vârstă şi doza de adalimumab primită în timpul fazei OL LI</w:t>
      </w:r>
    </w:p>
    <w:p w14:paraId="5C234839"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6"/>
        <w:gridCol w:w="3024"/>
        <w:gridCol w:w="3024"/>
      </w:tblGrid>
      <w:tr w:rsidR="00C04CAD" w14:paraId="719BAA89" w14:textId="77777777">
        <w:trPr>
          <w:trHeight w:val="293"/>
        </w:trPr>
        <w:tc>
          <w:tcPr>
            <w:tcW w:w="2916" w:type="dxa"/>
          </w:tcPr>
          <w:p w14:paraId="50968C9F"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b/>
                <w:bCs/>
                <w:szCs w:val="22"/>
              </w:rPr>
              <w:t xml:space="preserve">Grup de vârstă </w:t>
            </w:r>
          </w:p>
        </w:tc>
        <w:tc>
          <w:tcPr>
            <w:tcW w:w="3024" w:type="dxa"/>
          </w:tcPr>
          <w:p w14:paraId="3A9D8867" w14:textId="77777777" w:rsidR="00C04CAD" w:rsidRDefault="00060E34">
            <w:pPr>
              <w:pStyle w:val="Default"/>
              <w:jc w:val="center"/>
              <w:rPr>
                <w:rFonts w:eastAsia="PMingLiU"/>
                <w:szCs w:val="22"/>
                <w:lang w:val="ro-RO" w:eastAsia="en-GB"/>
              </w:rPr>
            </w:pPr>
            <w:r>
              <w:rPr>
                <w:b/>
                <w:bCs/>
                <w:sz w:val="22"/>
                <w:szCs w:val="22"/>
                <w:lang w:val="ro-RO"/>
              </w:rPr>
              <w:t>Număr de pacienţi la faza iniţială n (%)</w:t>
            </w:r>
          </w:p>
        </w:tc>
        <w:tc>
          <w:tcPr>
            <w:tcW w:w="3024" w:type="dxa"/>
          </w:tcPr>
          <w:p w14:paraId="4886ACB0"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b/>
                <w:bCs/>
                <w:szCs w:val="22"/>
              </w:rPr>
              <w:t xml:space="preserve">Doza minimă, mediană şi maximă </w:t>
            </w:r>
          </w:p>
        </w:tc>
      </w:tr>
      <w:tr w:rsidR="00C04CAD" w14:paraId="68BB75AF" w14:textId="77777777">
        <w:trPr>
          <w:trHeight w:val="147"/>
        </w:trPr>
        <w:tc>
          <w:tcPr>
            <w:tcW w:w="2916" w:type="dxa"/>
          </w:tcPr>
          <w:p w14:paraId="7BEA385C"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4–7 ani </w:t>
            </w:r>
          </w:p>
        </w:tc>
        <w:tc>
          <w:tcPr>
            <w:tcW w:w="3024" w:type="dxa"/>
          </w:tcPr>
          <w:p w14:paraId="63812585"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31 (18,1) </w:t>
            </w:r>
          </w:p>
        </w:tc>
        <w:tc>
          <w:tcPr>
            <w:tcW w:w="3024" w:type="dxa"/>
          </w:tcPr>
          <w:p w14:paraId="6C894225"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10, 20 şi 25 mg </w:t>
            </w:r>
          </w:p>
        </w:tc>
      </w:tr>
      <w:tr w:rsidR="00C04CAD" w14:paraId="161CFBF5" w14:textId="77777777">
        <w:trPr>
          <w:trHeight w:val="147"/>
        </w:trPr>
        <w:tc>
          <w:tcPr>
            <w:tcW w:w="2916" w:type="dxa"/>
          </w:tcPr>
          <w:p w14:paraId="7A9E984E"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8–12 ani </w:t>
            </w:r>
          </w:p>
        </w:tc>
        <w:tc>
          <w:tcPr>
            <w:tcW w:w="3024" w:type="dxa"/>
          </w:tcPr>
          <w:p w14:paraId="3145F17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71 (41,5) </w:t>
            </w:r>
          </w:p>
        </w:tc>
        <w:tc>
          <w:tcPr>
            <w:tcW w:w="3024" w:type="dxa"/>
          </w:tcPr>
          <w:p w14:paraId="634CD890"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20, 25 şi 40 mg </w:t>
            </w:r>
          </w:p>
        </w:tc>
      </w:tr>
      <w:tr w:rsidR="00C04CAD" w14:paraId="57BAB5EA" w14:textId="77777777">
        <w:trPr>
          <w:trHeight w:val="147"/>
        </w:trPr>
        <w:tc>
          <w:tcPr>
            <w:tcW w:w="2916" w:type="dxa"/>
          </w:tcPr>
          <w:p w14:paraId="70FAB234"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13–17 ani </w:t>
            </w:r>
          </w:p>
        </w:tc>
        <w:tc>
          <w:tcPr>
            <w:tcW w:w="3024" w:type="dxa"/>
          </w:tcPr>
          <w:p w14:paraId="5C936AAD"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69 (40,4) </w:t>
            </w:r>
          </w:p>
        </w:tc>
        <w:tc>
          <w:tcPr>
            <w:tcW w:w="3024" w:type="dxa"/>
          </w:tcPr>
          <w:p w14:paraId="1E705D5F"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25, 40 şi 40 mg </w:t>
            </w:r>
          </w:p>
        </w:tc>
      </w:tr>
    </w:tbl>
    <w:p w14:paraId="30E1B8E3" w14:textId="77777777" w:rsidR="00C04CAD" w:rsidRDefault="00C04CAD">
      <w:pPr>
        <w:spacing w:line="240" w:lineRule="auto"/>
        <w:rPr>
          <w:rFonts w:eastAsia="PMingLiU"/>
          <w:szCs w:val="22"/>
          <w:lang w:eastAsia="en-US" w:bidi="ar-SA"/>
        </w:rPr>
      </w:pPr>
    </w:p>
    <w:p w14:paraId="5E7E9F00" w14:textId="77777777" w:rsidR="00C04CAD" w:rsidRDefault="00060E34">
      <w:pPr>
        <w:spacing w:line="240" w:lineRule="auto"/>
        <w:rPr>
          <w:rFonts w:eastAsia="PMingLiU"/>
          <w:szCs w:val="22"/>
          <w:lang w:eastAsia="en-US" w:bidi="ar-SA"/>
        </w:rPr>
      </w:pPr>
      <w:r>
        <w:rPr>
          <w:szCs w:val="22"/>
        </w:rPr>
        <w:t>Pacienţii care au avut răspuns ACR pediatric 30 în Săptămâna 16 au îndeplinit condiţiile să fie randomizaţi în faza dublu orb (DO) şi au primit fie adalimumab 24 mg/m</w:t>
      </w:r>
      <w:r>
        <w:rPr>
          <w:szCs w:val="22"/>
          <w:vertAlign w:val="superscript"/>
        </w:rPr>
        <w:t>2</w:t>
      </w:r>
      <w:r>
        <w:rPr>
          <w:sz w:val="14"/>
          <w:szCs w:val="14"/>
        </w:rPr>
        <w:t xml:space="preserve"> </w:t>
      </w:r>
      <w:r>
        <w:rPr>
          <w:szCs w:val="22"/>
        </w:rPr>
        <w:t>până la doza maximă de 40 mg, fie placebo, o dată la două săptămâni, timp de 32 săptămâni suplimentare, sau până la reactivarea bolii. Criteriile care definesc reactivarea bolii sunt înrăutăţirea cu ≥ 30% de la faza iniţială a ≥ 3 din 6 criterii ale scorului ACR pediatric, ≥ 2 articulaţii active şi o îmbunătăţire cu &gt; 30% a cel mult 1 din 6 criterii. După 32 săptămâni sau după reactivarea bolii, pacienţii au îndeplinit condiţiile să fie înrolaţi în faza deschisă prelungită.</w:t>
      </w:r>
    </w:p>
    <w:p w14:paraId="3AA6A83B" w14:textId="77777777" w:rsidR="00C04CAD" w:rsidRDefault="00C04CAD">
      <w:pPr>
        <w:spacing w:line="240" w:lineRule="auto"/>
        <w:rPr>
          <w:rFonts w:eastAsia="PMingLiU"/>
          <w:szCs w:val="22"/>
          <w:lang w:eastAsia="en-US" w:bidi="ar-SA"/>
        </w:rPr>
      </w:pPr>
    </w:p>
    <w:p w14:paraId="2690A21F" w14:textId="77777777" w:rsidR="00C04CAD" w:rsidRDefault="00060E34">
      <w:pPr>
        <w:tabs>
          <w:tab w:val="clear" w:pos="567"/>
        </w:tabs>
        <w:autoSpaceDE w:val="0"/>
        <w:autoSpaceDN w:val="0"/>
        <w:adjustRightInd w:val="0"/>
        <w:spacing w:line="240" w:lineRule="auto"/>
        <w:rPr>
          <w:rFonts w:eastAsia="PMingLiU"/>
          <w:b/>
          <w:color w:val="000000"/>
          <w:szCs w:val="22"/>
          <w:lang w:eastAsia="en-GB" w:bidi="ar-SA"/>
        </w:rPr>
      </w:pPr>
      <w:r>
        <w:rPr>
          <w:rFonts w:eastAsia="PMingLiU"/>
          <w:b/>
          <w:color w:val="000000"/>
          <w:szCs w:val="22"/>
          <w:lang w:eastAsia="en-GB" w:bidi="ar-SA"/>
        </w:rPr>
        <w:t>Tabelul 26. Răspunsul ACR pediatric 30 din studiul AJI forma poliarticulară</w:t>
      </w:r>
    </w:p>
    <w:p w14:paraId="15A84C11"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9"/>
        <w:gridCol w:w="1927"/>
        <w:gridCol w:w="1646"/>
        <w:gridCol w:w="1701"/>
        <w:gridCol w:w="1701"/>
      </w:tblGrid>
      <w:tr w:rsidR="00C04CAD" w14:paraId="298F0097" w14:textId="77777777">
        <w:trPr>
          <w:trHeight w:val="149"/>
        </w:trPr>
        <w:tc>
          <w:tcPr>
            <w:tcW w:w="1989" w:type="dxa"/>
          </w:tcPr>
          <w:p w14:paraId="747AE29E"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Stadiu </w:t>
            </w:r>
          </w:p>
        </w:tc>
        <w:tc>
          <w:tcPr>
            <w:tcW w:w="3573" w:type="dxa"/>
            <w:gridSpan w:val="2"/>
          </w:tcPr>
          <w:p w14:paraId="2954BB5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 xml:space="preserve">MTX </w:t>
            </w:r>
          </w:p>
        </w:tc>
        <w:tc>
          <w:tcPr>
            <w:tcW w:w="3402" w:type="dxa"/>
            <w:gridSpan w:val="2"/>
          </w:tcPr>
          <w:p w14:paraId="32A2C5E7"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 xml:space="preserve">Fără MTX </w:t>
            </w:r>
          </w:p>
        </w:tc>
      </w:tr>
      <w:tr w:rsidR="00C04CAD" w14:paraId="6F5C911C" w14:textId="77777777">
        <w:trPr>
          <w:trHeight w:val="149"/>
        </w:trPr>
        <w:tc>
          <w:tcPr>
            <w:tcW w:w="8964" w:type="dxa"/>
            <w:gridSpan w:val="5"/>
          </w:tcPr>
          <w:p w14:paraId="6E167A3E"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Fază </w:t>
            </w:r>
          </w:p>
        </w:tc>
      </w:tr>
      <w:tr w:rsidR="00C04CAD" w14:paraId="1D231C66" w14:textId="77777777">
        <w:trPr>
          <w:trHeight w:val="147"/>
        </w:trPr>
        <w:tc>
          <w:tcPr>
            <w:tcW w:w="1989" w:type="dxa"/>
          </w:tcPr>
          <w:p w14:paraId="4D37D14A"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OL-LI 16 săptămâni </w:t>
            </w:r>
          </w:p>
        </w:tc>
        <w:tc>
          <w:tcPr>
            <w:tcW w:w="3573" w:type="dxa"/>
            <w:gridSpan w:val="2"/>
          </w:tcPr>
          <w:p w14:paraId="7164CFEF"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c>
        <w:tc>
          <w:tcPr>
            <w:tcW w:w="3402" w:type="dxa"/>
            <w:gridSpan w:val="2"/>
          </w:tcPr>
          <w:p w14:paraId="4389EBAD"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c>
      </w:tr>
      <w:tr w:rsidR="00C04CAD" w14:paraId="664791A1" w14:textId="77777777">
        <w:trPr>
          <w:trHeight w:val="283"/>
        </w:trPr>
        <w:tc>
          <w:tcPr>
            <w:tcW w:w="1989" w:type="dxa"/>
          </w:tcPr>
          <w:p w14:paraId="670532A5"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ACR pediatric 30 (n/N) </w:t>
            </w:r>
          </w:p>
        </w:tc>
        <w:tc>
          <w:tcPr>
            <w:tcW w:w="3573" w:type="dxa"/>
            <w:gridSpan w:val="2"/>
          </w:tcPr>
          <w:p w14:paraId="4D74C99E"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94,1% (80/85) </w:t>
            </w:r>
          </w:p>
        </w:tc>
        <w:tc>
          <w:tcPr>
            <w:tcW w:w="3402" w:type="dxa"/>
            <w:gridSpan w:val="2"/>
          </w:tcPr>
          <w:p w14:paraId="14679EE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74,4% (64/86) </w:t>
            </w:r>
          </w:p>
        </w:tc>
      </w:tr>
      <w:tr w:rsidR="00C04CAD" w14:paraId="4943A348" w14:textId="77777777">
        <w:trPr>
          <w:trHeight w:val="147"/>
        </w:trPr>
        <w:tc>
          <w:tcPr>
            <w:tcW w:w="8964" w:type="dxa"/>
            <w:gridSpan w:val="5"/>
          </w:tcPr>
          <w:p w14:paraId="62AAB08B" w14:textId="77777777" w:rsidR="00C04CAD" w:rsidRDefault="00060E34">
            <w:pPr>
              <w:pStyle w:val="Default"/>
              <w:rPr>
                <w:rFonts w:eastAsia="PMingLiU"/>
                <w:szCs w:val="22"/>
                <w:lang w:val="ro-RO" w:eastAsia="en-GB"/>
              </w:rPr>
            </w:pPr>
            <w:r>
              <w:rPr>
                <w:sz w:val="22"/>
                <w:szCs w:val="22"/>
                <w:lang w:val="ro-RO"/>
              </w:rPr>
              <w:t xml:space="preserve">Rezultatele eficacităţii </w:t>
            </w:r>
          </w:p>
        </w:tc>
      </w:tr>
      <w:tr w:rsidR="00C04CAD" w14:paraId="7963D329" w14:textId="77777777">
        <w:trPr>
          <w:trHeight w:val="283"/>
        </w:trPr>
        <w:tc>
          <w:tcPr>
            <w:tcW w:w="1989" w:type="dxa"/>
          </w:tcPr>
          <w:p w14:paraId="42DBD261"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Dublu orb 32 săptămâni </w:t>
            </w:r>
          </w:p>
        </w:tc>
        <w:tc>
          <w:tcPr>
            <w:tcW w:w="1927" w:type="dxa"/>
          </w:tcPr>
          <w:p w14:paraId="0622A92F" w14:textId="77777777" w:rsidR="00C04CAD" w:rsidRDefault="00060E34">
            <w:pPr>
              <w:pStyle w:val="Default"/>
              <w:jc w:val="center"/>
              <w:rPr>
                <w:sz w:val="22"/>
                <w:szCs w:val="22"/>
                <w:lang w:val="ro-RO"/>
              </w:rPr>
            </w:pPr>
            <w:r>
              <w:rPr>
                <w:sz w:val="22"/>
                <w:szCs w:val="22"/>
                <w:lang w:val="ro-RO"/>
              </w:rPr>
              <w:t>Adalimumab/MTX</w:t>
            </w:r>
          </w:p>
          <w:p w14:paraId="7AC130A9"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(N=38)</w:t>
            </w:r>
          </w:p>
        </w:tc>
        <w:tc>
          <w:tcPr>
            <w:tcW w:w="1646" w:type="dxa"/>
          </w:tcPr>
          <w:p w14:paraId="6074B343" w14:textId="77777777" w:rsidR="00C04CAD" w:rsidRDefault="00060E34">
            <w:pPr>
              <w:pStyle w:val="Default"/>
              <w:jc w:val="center"/>
              <w:rPr>
                <w:sz w:val="22"/>
                <w:szCs w:val="22"/>
                <w:lang w:val="ro-RO"/>
              </w:rPr>
            </w:pPr>
            <w:r>
              <w:rPr>
                <w:sz w:val="22"/>
                <w:szCs w:val="22"/>
                <w:lang w:val="ro-RO"/>
              </w:rPr>
              <w:t>Placebo/MTX</w:t>
            </w:r>
          </w:p>
          <w:p w14:paraId="780DF28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(N=37)</w:t>
            </w:r>
          </w:p>
        </w:tc>
        <w:tc>
          <w:tcPr>
            <w:tcW w:w="1701" w:type="dxa"/>
          </w:tcPr>
          <w:p w14:paraId="4A1DC8B5" w14:textId="77777777" w:rsidR="00C04CAD" w:rsidRDefault="00060E34">
            <w:pPr>
              <w:pStyle w:val="Default"/>
              <w:jc w:val="center"/>
              <w:rPr>
                <w:sz w:val="22"/>
                <w:szCs w:val="22"/>
                <w:lang w:val="ro-RO"/>
              </w:rPr>
            </w:pPr>
            <w:r>
              <w:rPr>
                <w:sz w:val="22"/>
                <w:szCs w:val="22"/>
                <w:lang w:val="ro-RO"/>
              </w:rPr>
              <w:t>Adalimumab</w:t>
            </w:r>
          </w:p>
          <w:p w14:paraId="73A9B34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(N=30)</w:t>
            </w:r>
          </w:p>
        </w:tc>
        <w:tc>
          <w:tcPr>
            <w:tcW w:w="1701" w:type="dxa"/>
          </w:tcPr>
          <w:p w14:paraId="504F775E" w14:textId="77777777" w:rsidR="00C04CAD" w:rsidRDefault="00060E34">
            <w:pPr>
              <w:pStyle w:val="Default"/>
              <w:jc w:val="center"/>
              <w:rPr>
                <w:sz w:val="22"/>
                <w:szCs w:val="22"/>
                <w:lang w:val="ro-RO"/>
              </w:rPr>
            </w:pPr>
            <w:r>
              <w:rPr>
                <w:sz w:val="22"/>
                <w:szCs w:val="22"/>
                <w:lang w:val="ro-RO"/>
              </w:rPr>
              <w:t>Placebo</w:t>
            </w:r>
          </w:p>
          <w:p w14:paraId="13A34391"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(N=28)</w:t>
            </w:r>
          </w:p>
        </w:tc>
      </w:tr>
      <w:tr w:rsidR="00C04CAD" w14:paraId="06CD2D4F" w14:textId="77777777">
        <w:trPr>
          <w:trHeight w:val="426"/>
        </w:trPr>
        <w:tc>
          <w:tcPr>
            <w:tcW w:w="1989" w:type="dxa"/>
          </w:tcPr>
          <w:p w14:paraId="05A8C2A9"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Reactivarea bolii la sfârşitul celor 32 săptămâni</w:t>
            </w:r>
            <w:r>
              <w:rPr>
                <w:szCs w:val="14"/>
                <w:vertAlign w:val="superscript"/>
              </w:rPr>
              <w:t>a</w:t>
            </w:r>
            <w:r>
              <w:rPr>
                <w:sz w:val="14"/>
                <w:szCs w:val="14"/>
              </w:rPr>
              <w:t xml:space="preserve"> </w:t>
            </w:r>
            <w:r>
              <w:rPr>
                <w:szCs w:val="22"/>
              </w:rPr>
              <w:t xml:space="preserve">(n/N) </w:t>
            </w:r>
          </w:p>
        </w:tc>
        <w:tc>
          <w:tcPr>
            <w:tcW w:w="1927" w:type="dxa"/>
          </w:tcPr>
          <w:p w14:paraId="36407D20"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36,8% (14/38) </w:t>
            </w:r>
          </w:p>
        </w:tc>
        <w:tc>
          <w:tcPr>
            <w:tcW w:w="1646" w:type="dxa"/>
          </w:tcPr>
          <w:p w14:paraId="630D032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64,9% (24/37)</w:t>
            </w:r>
            <w:r>
              <w:rPr>
                <w:szCs w:val="22"/>
                <w:vertAlign w:val="superscript"/>
              </w:rPr>
              <w:t>b</w:t>
            </w:r>
            <w:r>
              <w:rPr>
                <w:szCs w:val="22"/>
              </w:rPr>
              <w:t xml:space="preserve"> </w:t>
            </w:r>
          </w:p>
        </w:tc>
        <w:tc>
          <w:tcPr>
            <w:tcW w:w="1701" w:type="dxa"/>
          </w:tcPr>
          <w:p w14:paraId="053EB06F"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43,3% (13/30) </w:t>
            </w:r>
          </w:p>
        </w:tc>
        <w:tc>
          <w:tcPr>
            <w:tcW w:w="1701" w:type="dxa"/>
          </w:tcPr>
          <w:p w14:paraId="51034DD1" w14:textId="77777777" w:rsidR="00C04CAD" w:rsidRDefault="00060E34">
            <w:pPr>
              <w:pStyle w:val="Default"/>
              <w:rPr>
                <w:rFonts w:eastAsia="PMingLiU"/>
                <w:szCs w:val="22"/>
                <w:lang w:val="ro-RO" w:eastAsia="en-GB"/>
              </w:rPr>
            </w:pPr>
            <w:r>
              <w:rPr>
                <w:sz w:val="22"/>
                <w:szCs w:val="22"/>
                <w:lang w:val="ro-RO"/>
              </w:rPr>
              <w:t>71,4% (20/28)</w:t>
            </w:r>
            <w:r>
              <w:rPr>
                <w:sz w:val="22"/>
                <w:szCs w:val="22"/>
                <w:vertAlign w:val="superscript"/>
                <w:lang w:val="ro-RO"/>
              </w:rPr>
              <w:t>c</w:t>
            </w:r>
            <w:r>
              <w:rPr>
                <w:sz w:val="14"/>
                <w:szCs w:val="14"/>
                <w:lang w:val="ro-RO"/>
              </w:rPr>
              <w:t xml:space="preserve"> </w:t>
            </w:r>
          </w:p>
        </w:tc>
      </w:tr>
      <w:tr w:rsidR="00C04CAD" w14:paraId="795944C6" w14:textId="77777777">
        <w:trPr>
          <w:trHeight w:val="70"/>
        </w:trPr>
        <w:tc>
          <w:tcPr>
            <w:tcW w:w="1989" w:type="dxa"/>
          </w:tcPr>
          <w:p w14:paraId="084FF623"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Timp median până la reactivarea bolii </w:t>
            </w:r>
          </w:p>
        </w:tc>
        <w:tc>
          <w:tcPr>
            <w:tcW w:w="1927" w:type="dxa"/>
          </w:tcPr>
          <w:p w14:paraId="7EA2464C"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&gt; 32 săptămâni </w:t>
            </w:r>
          </w:p>
        </w:tc>
        <w:tc>
          <w:tcPr>
            <w:tcW w:w="1646" w:type="dxa"/>
          </w:tcPr>
          <w:p w14:paraId="326FCA8B"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20 săptămâni </w:t>
            </w:r>
          </w:p>
        </w:tc>
        <w:tc>
          <w:tcPr>
            <w:tcW w:w="1701" w:type="dxa"/>
          </w:tcPr>
          <w:p w14:paraId="05BA16EF"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&gt; 32 săptămâni </w:t>
            </w:r>
          </w:p>
        </w:tc>
        <w:tc>
          <w:tcPr>
            <w:tcW w:w="1701" w:type="dxa"/>
          </w:tcPr>
          <w:p w14:paraId="4F0E7988"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14 săptămâni </w:t>
            </w:r>
          </w:p>
        </w:tc>
      </w:tr>
    </w:tbl>
    <w:p w14:paraId="70B04F1F" w14:textId="77777777" w:rsidR="00C04CAD" w:rsidRDefault="00060E34">
      <w:pPr>
        <w:tabs>
          <w:tab w:val="clear" w:pos="567"/>
        </w:tabs>
        <w:autoSpaceDE w:val="0"/>
        <w:autoSpaceDN w:val="0"/>
        <w:adjustRightInd w:val="0"/>
        <w:spacing w:line="240" w:lineRule="auto"/>
        <w:rPr>
          <w:rFonts w:eastAsia="PMingLiU"/>
          <w:sz w:val="16"/>
          <w:lang w:eastAsia="en-GB" w:bidi="ar-SA"/>
        </w:rPr>
      </w:pPr>
      <w:r>
        <w:rPr>
          <w:rFonts w:eastAsia="PMingLiU"/>
          <w:sz w:val="20"/>
          <w:vertAlign w:val="superscript"/>
          <w:lang w:eastAsia="en-GB" w:bidi="ar-SA"/>
        </w:rPr>
        <w:t>a</w:t>
      </w:r>
      <w:r>
        <w:rPr>
          <w:rFonts w:eastAsia="PMingLiU"/>
          <w:sz w:val="20"/>
          <w:lang w:eastAsia="en-GB" w:bidi="ar-SA"/>
        </w:rPr>
        <w:t xml:space="preserve"> </w:t>
      </w:r>
      <w:r>
        <w:rPr>
          <w:rFonts w:eastAsia="PMingLiU"/>
          <w:color w:val="000000"/>
          <w:sz w:val="20"/>
          <w:lang w:eastAsia="en-GB" w:bidi="ar-SA"/>
        </w:rPr>
        <w:t xml:space="preserve">Răspuns ACR pediatric 30/50/70 în Săptămâna 48 semnificativ mai mare faţă de cel al pacienţilor din grupul tratat cu </w:t>
      </w:r>
      <w:r>
        <w:rPr>
          <w:rFonts w:eastAsia="PMingLiU"/>
          <w:color w:val="000000"/>
          <w:sz w:val="20"/>
          <w:szCs w:val="22"/>
          <w:lang w:eastAsia="en-GB" w:bidi="ar-SA"/>
        </w:rPr>
        <w:t>placebo.</w:t>
      </w:r>
      <w:r>
        <w:rPr>
          <w:rFonts w:eastAsia="PMingLiU"/>
          <w:sz w:val="16"/>
          <w:lang w:eastAsia="en-GB" w:bidi="ar-SA"/>
        </w:rPr>
        <w:t xml:space="preserve"> </w:t>
      </w:r>
    </w:p>
    <w:p w14:paraId="36D84762"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p</w:t>
      </w:r>
      <w:r>
        <w:rPr>
          <w:rFonts w:eastAsia="PMingLiU"/>
          <w:sz w:val="20"/>
          <w:lang w:eastAsia="en-US" w:bidi="ar-SA"/>
        </w:rPr>
        <w:t> </w:t>
      </w:r>
      <w:r>
        <w:rPr>
          <w:rFonts w:eastAsia="PMingLiU"/>
          <w:sz w:val="20"/>
          <w:lang w:eastAsia="en-GB" w:bidi="ar-SA"/>
        </w:rPr>
        <w:t>=</w:t>
      </w:r>
      <w:r>
        <w:rPr>
          <w:rFonts w:eastAsia="PMingLiU"/>
          <w:sz w:val="20"/>
          <w:lang w:eastAsia="en-US" w:bidi="ar-SA"/>
        </w:rPr>
        <w:t> </w:t>
      </w:r>
      <w:r>
        <w:rPr>
          <w:rFonts w:eastAsia="PMingLiU"/>
          <w:sz w:val="20"/>
          <w:lang w:eastAsia="en-GB" w:bidi="ar-SA"/>
        </w:rPr>
        <w:t xml:space="preserve">0,015 </w:t>
      </w:r>
    </w:p>
    <w:p w14:paraId="22373C77" w14:textId="77777777" w:rsidR="00C04CAD" w:rsidRDefault="00060E34">
      <w:pPr>
        <w:spacing w:line="240" w:lineRule="auto"/>
        <w:rPr>
          <w:rFonts w:eastAsia="PMingLiU"/>
          <w:sz w:val="20"/>
          <w:lang w:eastAsia="en-US" w:bidi="ar-SA"/>
        </w:rPr>
      </w:pPr>
      <w:r>
        <w:rPr>
          <w:rFonts w:eastAsia="PMingLiU"/>
          <w:sz w:val="20"/>
          <w:vertAlign w:val="superscript"/>
          <w:lang w:eastAsia="en-GB" w:bidi="ar-SA"/>
        </w:rPr>
        <w:t>c</w:t>
      </w:r>
      <w:r>
        <w:rPr>
          <w:rFonts w:eastAsia="PMingLiU"/>
          <w:sz w:val="20"/>
          <w:lang w:eastAsia="en-GB" w:bidi="ar-SA"/>
        </w:rPr>
        <w:t xml:space="preserve"> p</w:t>
      </w:r>
      <w:r>
        <w:rPr>
          <w:rFonts w:eastAsia="PMingLiU"/>
          <w:sz w:val="20"/>
          <w:lang w:eastAsia="en-US" w:bidi="ar-SA"/>
        </w:rPr>
        <w:t> </w:t>
      </w:r>
      <w:r>
        <w:rPr>
          <w:rFonts w:eastAsia="PMingLiU"/>
          <w:sz w:val="20"/>
          <w:lang w:eastAsia="en-GB" w:bidi="ar-SA"/>
        </w:rPr>
        <w:t>=</w:t>
      </w:r>
      <w:r>
        <w:rPr>
          <w:rFonts w:eastAsia="PMingLiU"/>
          <w:sz w:val="20"/>
          <w:lang w:eastAsia="en-US" w:bidi="ar-SA"/>
        </w:rPr>
        <w:t> </w:t>
      </w:r>
      <w:r>
        <w:rPr>
          <w:rFonts w:eastAsia="PMingLiU"/>
          <w:sz w:val="20"/>
          <w:lang w:eastAsia="en-GB" w:bidi="ar-SA"/>
        </w:rPr>
        <w:t>0,031</w:t>
      </w:r>
    </w:p>
    <w:p w14:paraId="3C176E1C"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69E7E995"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Printre pacienţii care au răspuns în săptămâna 16 (n=144), răspunsul ACR pediatric 30/50/70/90 s-a menţinut până la şase ani, în faza deschisă, la pacienţii care au primit adalimumab pe parcursul studiului. În total 19 subiecţi, dintre care 11 din grupul de vârstă între 4 şi 12 ani la momentul iniţierii şi 8 din grupul de vârstă între 13 şi 17 ani la momentul iniţierii, au fost trataţi o perioadă de 6 ani sau mai mult.</w:t>
      </w:r>
    </w:p>
    <w:p w14:paraId="00F8E8ED"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80C7FDF"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general, răspunsurile au fost mai bune şi mai puţini pacienţi au dezvoltat anticorpi atunci când au utilizat tratament cu adalimumab asociat cu MTX, în comparaţie cu adalimumab în monoterapie. Luând în considerare aceste rezultate, se recomandă utilizarea adalimumab în asociere cu MTX şi utilizarea adalimumab în monoterapie la pacienţii pentru care utilizarea MTX nu este recomandată (vezi pct. 4.2). </w:t>
      </w:r>
    </w:p>
    <w:p w14:paraId="42927B8F"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89AF15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AIJp II </w:t>
      </w:r>
    </w:p>
    <w:p w14:paraId="3B289E7F"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055417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Siguranţa şi eficacitatea adalimumabului au fost evaluate într-un studiu multicentric deschis la 32 copii (cu vârsta între 2 şi 4 ani, sau cu vârsta de 4 ani şi peste şi cu greutatea &lt; 15 kg) cu AJI forma poliarticulară activă moderată până la severă. Pacienţilor li s-a administrat adalimumab 24 mg/m</w:t>
      </w:r>
      <w:r>
        <w:rPr>
          <w:rFonts w:eastAsia="MS Mincho"/>
          <w:color w:val="000000"/>
          <w:szCs w:val="22"/>
          <w:vertAlign w:val="superscript"/>
          <w:lang w:eastAsia="ja-JP" w:bidi="ar-SA"/>
        </w:rPr>
        <w:t>2</w:t>
      </w:r>
      <w:r>
        <w:rPr>
          <w:rFonts w:eastAsia="MS Mincho"/>
          <w:color w:val="000000"/>
          <w:sz w:val="14"/>
          <w:szCs w:val="14"/>
          <w:lang w:eastAsia="ja-JP" w:bidi="ar-SA"/>
        </w:rPr>
        <w:t xml:space="preserve"> </w:t>
      </w:r>
      <w:r>
        <w:rPr>
          <w:rFonts w:eastAsia="MS Mincho"/>
          <w:color w:val="000000"/>
          <w:szCs w:val="22"/>
          <w:lang w:eastAsia="ja-JP" w:bidi="ar-SA"/>
        </w:rPr>
        <w:t>suprafaţă corporală (SC) până la maxim 20 mg la două săptămâni ca doză unică, injecţie subcutanată timp de cel puţin 24 de săptămâni. În timpul studiului majoritatea pacienţilor a utilizat concomitent MTX, mai puţini raportând că au utilizat corticosteroizi sau AINS.</w:t>
      </w:r>
    </w:p>
    <w:p w14:paraId="01BCFEBF"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A85A5AD"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săptămâna 12 şi săptămâna 24, răspunsul PedACR30 a fost 93,5% şi respectiv 90%, utilizând datele observate. Procentul pacienţilor cu PedACR50/70/90 în săptămâna 12 şi săptămâna 24 a fost 90,3%/61,3%/38,7% şi respectiv 83,3%/73,3%/36,7%. Printre cei care au răspuns (ACR pediatric 30) în săptămâna 24 (n = 27 din 30 de pacienți), în faza extinsă deschisă, la pacienții cărora li s-a administrat adalimumab în toată această perioadă de timp, răspunsurile ACR pediatrice 30 s-au menținut timp de până la 60 de săptămâni. În general, 20 pacienţi au fost tratați timp de 60 săptămâni sau mai mult. </w:t>
      </w:r>
    </w:p>
    <w:p w14:paraId="0431B1D9"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01808DB4"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Artrită asociată entezitei </w:t>
      </w:r>
    </w:p>
    <w:p w14:paraId="3BC8EAE3"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25E7DEA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Siguranţa şi eficacitatea adalimumabului au fost evaluate într-un studiu multicentric, randomizat, dublu-orb la 46 pacienţi copii (cu vârsta de 6 ani până la 17 ani) cu artrită asociată entezitei moderată. Pacienţii au fost randomizaţi să li se administreze o dată la două săptămâni timp de 12 săptămâni, fie adalimumab 24 mg/m</w:t>
      </w:r>
      <w:r>
        <w:rPr>
          <w:rFonts w:eastAsia="MS Mincho"/>
          <w:color w:val="000000"/>
          <w:szCs w:val="22"/>
          <w:vertAlign w:val="superscript"/>
          <w:lang w:eastAsia="ja-JP" w:bidi="ar-SA"/>
        </w:rPr>
        <w:t>2</w:t>
      </w:r>
      <w:r>
        <w:rPr>
          <w:rFonts w:eastAsia="MS Mincho"/>
          <w:color w:val="000000"/>
          <w:szCs w:val="22"/>
          <w:lang w:eastAsia="ja-JP" w:bidi="ar-SA"/>
        </w:rPr>
        <w:t xml:space="preserve"> suprafaţă corporală (SC) până la maxim 40 mg, fie placebo. Perioada dublu-orb a fost urmată de o perioadă deschisă timp în care pacienţii au utilizat adalimumab 24 mg/m</w:t>
      </w:r>
      <w:r>
        <w:rPr>
          <w:rFonts w:eastAsia="MS Mincho"/>
          <w:color w:val="000000"/>
          <w:szCs w:val="22"/>
          <w:vertAlign w:val="superscript"/>
          <w:lang w:eastAsia="ja-JP" w:bidi="ar-SA"/>
        </w:rPr>
        <w:t>2</w:t>
      </w:r>
      <w:r>
        <w:rPr>
          <w:rFonts w:eastAsia="MS Mincho"/>
          <w:color w:val="000000"/>
          <w:sz w:val="14"/>
          <w:szCs w:val="14"/>
          <w:lang w:eastAsia="ja-JP" w:bidi="ar-SA"/>
        </w:rPr>
        <w:t xml:space="preserve"> </w:t>
      </w:r>
      <w:r>
        <w:rPr>
          <w:rFonts w:eastAsia="MS Mincho"/>
          <w:color w:val="000000"/>
          <w:szCs w:val="22"/>
          <w:lang w:eastAsia="ja-JP" w:bidi="ar-SA"/>
        </w:rPr>
        <w:t xml:space="preserve">suprafaţă corporală (SC) până la maxim 40 mg o dată la două săptămâni timp de încă 192 săptămâni. Criteriul final principal a fost modificat procentual de la Faza inițială până în Săptămâna 12 în ceea ce priveşte numărul articulaţiilor active cu artrită (tumefacţie nedatorată deformării sau articulaţiilor care şi-au pierdut mobilitatea plus durere şi/sau sensibilitate la atingere), care a fost obţinută cu o scădere procentuală medie de -62,6% (modificare mediană procentuală de -88,9%) la grupul tratat cu adalimumab, comparativ cu -11,6% (modificare mediană procentuală de -50,0%) la pacienţii care au primit placebo. Îmbunătăţirea numărului de articulaţii active cu artrită s-a menţinut pe întreaga perioadă deschisă până în Săptămâna 156 pentru 26 din 31 de pacienți (84%) din grupul tratat cu adalimumab care au rămas în studiu. Deşi nu este semnificativ statistic, majoritatea pacienţilor au demonstrat o îmbunătăţire clinică a criteriilor finale secundare cum sunt numărul de localizări a entezitei, numărul de articulaţii dureroase, numărul articulaţiilor umflate, răspunsul PedACR 50 şi răspunsul PedACR 70. </w:t>
      </w:r>
    </w:p>
    <w:p w14:paraId="4B55B051"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3159F2BC"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Psoriazis în plăci la copii și adolescenți </w:t>
      </w:r>
    </w:p>
    <w:p w14:paraId="62C1F1EF"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456B3D4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Eficacitatea adalimumabului a fost evaluată într-un studiu randomizat, dublu-orb, controlat la 114 pacienți copii și adolescenți cu vârsta începând de la 4 ani, cu psoriazis în plăci cronic, sever (definit printr-un Scor de evaluare globală a medicului (PGA) ≥ 4 sau &gt; 20% interesare a suprafeţei corporale (BSA) sau &gt; 10% interesare BSA cu leziuni foarte groase, sau Indicele de severitate şi extindere a psoriazisului (PASI) ≥ 20 sau PASI ≥ 10 cu interesare facială, genitală sau palmară/plantară relevantă clinic) care nu au răspuns corespunzător la tratament topic și helioterapie sau fototerapie. </w:t>
      </w:r>
    </w:p>
    <w:p w14:paraId="3E1ADCBB" w14:textId="77777777" w:rsidR="00C04CAD" w:rsidRDefault="00C04CAD">
      <w:pPr>
        <w:spacing w:line="240" w:lineRule="auto"/>
        <w:rPr>
          <w:rFonts w:eastAsia="MS Mincho"/>
          <w:color w:val="000000"/>
          <w:szCs w:val="22"/>
          <w:lang w:eastAsia="ja-JP" w:bidi="ar-SA"/>
        </w:rPr>
      </w:pPr>
    </w:p>
    <w:p w14:paraId="2792C927" w14:textId="77777777" w:rsidR="00C04CAD" w:rsidRDefault="00060E34">
      <w:pPr>
        <w:spacing w:line="240" w:lineRule="auto"/>
        <w:rPr>
          <w:rFonts w:eastAsia="MS Mincho"/>
          <w:color w:val="000000"/>
          <w:szCs w:val="22"/>
          <w:lang w:eastAsia="ja-JP" w:bidi="ar-SA"/>
        </w:rPr>
      </w:pPr>
      <w:r>
        <w:rPr>
          <w:rFonts w:eastAsia="MS Mincho"/>
          <w:color w:val="000000"/>
          <w:szCs w:val="22"/>
          <w:lang w:eastAsia="ja-JP" w:bidi="ar-SA"/>
        </w:rPr>
        <w:t>Pacienților li s-a administrat adalimumab 0,8 mg/kg o dată la două săptămâni (până la 40 mg), 0,4 mg/kg o dată la două săptămâni (până la 20 mg), sau metotrexat 0,1 – 0,4 mg/kg săptămânal (până la 25 mg). În săptămâna 16, mai mulți pacienți randomizați la adalimumab 0,8 mg/kg au avut răspuns pozitiv de eficacitate (de exemplu PASI 75) decât cei randomizați la 0,4 mg/kg o dată la două săptămâni sau MTX.</w:t>
      </w:r>
    </w:p>
    <w:p w14:paraId="453BA121" w14:textId="77777777" w:rsidR="00C04CAD" w:rsidRDefault="00C04CAD">
      <w:pPr>
        <w:tabs>
          <w:tab w:val="clear" w:pos="567"/>
        </w:tabs>
        <w:autoSpaceDE w:val="0"/>
        <w:autoSpaceDN w:val="0"/>
        <w:adjustRightInd w:val="0"/>
        <w:spacing w:line="240" w:lineRule="auto"/>
        <w:rPr>
          <w:rFonts w:eastAsia="PMingLiU"/>
          <w:szCs w:val="22"/>
          <w:u w:val="single"/>
          <w:lang w:eastAsia="en-GB" w:bidi="ar-SA"/>
        </w:rPr>
      </w:pPr>
    </w:p>
    <w:p w14:paraId="1BA13F2A" w14:textId="77777777" w:rsidR="00C04CAD" w:rsidRDefault="00060E34">
      <w:pPr>
        <w:keepNext/>
        <w:tabs>
          <w:tab w:val="clear" w:pos="567"/>
        </w:tabs>
        <w:autoSpaceDE w:val="0"/>
        <w:autoSpaceDN w:val="0"/>
        <w:adjustRightInd w:val="0"/>
        <w:spacing w:line="240" w:lineRule="auto"/>
        <w:rPr>
          <w:b/>
          <w:color w:val="000000"/>
          <w:szCs w:val="22"/>
          <w:lang w:eastAsia="en-US" w:bidi="ar-SA"/>
        </w:rPr>
      </w:pPr>
      <w:r>
        <w:rPr>
          <w:rFonts w:eastAsia="MS Mincho"/>
          <w:b/>
          <w:bCs/>
          <w:color w:val="000000"/>
          <w:szCs w:val="22"/>
          <w:lang w:eastAsia="en-GB" w:bidi="ar-SA"/>
        </w:rPr>
        <w:t>Tabelul</w:t>
      </w:r>
      <w:r>
        <w:rPr>
          <w:rFonts w:eastAsia="MS Mincho"/>
          <w:color w:val="000000"/>
          <w:szCs w:val="22"/>
          <w:lang w:eastAsia="ja-JP" w:bidi="ar-SA"/>
        </w:rPr>
        <w:t> </w:t>
      </w:r>
      <w:r>
        <w:rPr>
          <w:rFonts w:eastAsia="MS Mincho"/>
          <w:b/>
          <w:bCs/>
          <w:color w:val="000000"/>
          <w:szCs w:val="22"/>
          <w:lang w:eastAsia="en-GB" w:bidi="ar-SA"/>
        </w:rPr>
        <w:t xml:space="preserve">27. </w:t>
      </w:r>
      <w:r>
        <w:rPr>
          <w:b/>
          <w:color w:val="000000"/>
          <w:szCs w:val="22"/>
          <w:lang w:eastAsia="en-US" w:bidi="ar-SA"/>
        </w:rPr>
        <w:t xml:space="preserve">Rezultate </w:t>
      </w:r>
      <w:r>
        <w:rPr>
          <w:b/>
          <w:bCs/>
          <w:szCs w:val="22"/>
        </w:rPr>
        <w:t>privind eficacitatea</w:t>
      </w:r>
      <w:r>
        <w:rPr>
          <w:b/>
          <w:color w:val="000000"/>
          <w:szCs w:val="22"/>
          <w:lang w:eastAsia="en-US" w:bidi="ar-SA"/>
        </w:rPr>
        <w:t xml:space="preserve"> la 16 săptămâni pentru psoriazis în plăci la copii și adolescenți</w:t>
      </w:r>
    </w:p>
    <w:p w14:paraId="1400EF60" w14:textId="77777777" w:rsidR="00C04CAD" w:rsidRDefault="00C04CAD">
      <w:pPr>
        <w:keepNext/>
        <w:tabs>
          <w:tab w:val="clear" w:pos="567"/>
        </w:tabs>
        <w:autoSpaceDE w:val="0"/>
        <w:autoSpaceDN w:val="0"/>
        <w:adjustRightInd w:val="0"/>
        <w:spacing w:line="240" w:lineRule="auto"/>
        <w:rPr>
          <w:rFonts w:eastAsia="PMingLiU"/>
          <w:szCs w:val="22"/>
          <w:lang w:eastAsia="en-US"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2694"/>
        <w:gridCol w:w="2976"/>
      </w:tblGrid>
      <w:tr w:rsidR="00C04CAD" w14:paraId="2D2F6C27" w14:textId="77777777">
        <w:trPr>
          <w:trHeight w:val="437"/>
        </w:trPr>
        <w:tc>
          <w:tcPr>
            <w:tcW w:w="3294" w:type="dxa"/>
          </w:tcPr>
          <w:p w14:paraId="02EBE36F"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2694" w:type="dxa"/>
          </w:tcPr>
          <w:p w14:paraId="2E80DD96"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MTX</w:t>
            </w:r>
            <w:r>
              <w:rPr>
                <w:rFonts w:eastAsia="PMingLiU"/>
                <w:b/>
                <w:bCs/>
                <w:szCs w:val="22"/>
                <w:vertAlign w:val="superscript"/>
                <w:lang w:eastAsia="en-GB" w:bidi="ar-SA"/>
              </w:rPr>
              <w:t>a</w:t>
            </w:r>
          </w:p>
          <w:p w14:paraId="20C1892E"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rFonts w:eastAsia="PMingLiU"/>
                <w:b/>
                <w:bCs/>
                <w:szCs w:val="22"/>
                <w:lang w:eastAsia="en-GB" w:bidi="ar-SA"/>
              </w:rPr>
              <w:t>N = 37</w:t>
            </w:r>
          </w:p>
        </w:tc>
        <w:tc>
          <w:tcPr>
            <w:tcW w:w="2976" w:type="dxa"/>
          </w:tcPr>
          <w:p w14:paraId="3BB87158"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b/>
                <w:color w:val="000000"/>
                <w:szCs w:val="22"/>
                <w:lang w:eastAsia="en-US" w:bidi="ar-SA"/>
              </w:rPr>
              <w:t>Adalimumab</w:t>
            </w:r>
            <w:r>
              <w:rPr>
                <w:rFonts w:eastAsia="PMingLiU"/>
                <w:b/>
                <w:bCs/>
                <w:szCs w:val="22"/>
                <w:lang w:eastAsia="en-GB" w:bidi="ar-SA"/>
              </w:rPr>
              <w:t xml:space="preserve"> 0,8</w:t>
            </w:r>
            <w:r>
              <w:rPr>
                <w:rFonts w:eastAsia="PMingLiU"/>
                <w:color w:val="000000"/>
                <w:szCs w:val="22"/>
                <w:lang w:eastAsia="en-US" w:bidi="ar-SA"/>
              </w:rPr>
              <w:t> </w:t>
            </w:r>
            <w:r>
              <w:rPr>
                <w:rFonts w:eastAsia="PMingLiU"/>
                <w:b/>
                <w:bCs/>
                <w:szCs w:val="22"/>
                <w:lang w:eastAsia="en-GB" w:bidi="ar-SA"/>
              </w:rPr>
              <w:t>mg/kg o dată la două săptămâni</w:t>
            </w:r>
          </w:p>
          <w:p w14:paraId="2DE10952" w14:textId="77777777" w:rsidR="00C04CAD" w:rsidRDefault="00060E34">
            <w:pPr>
              <w:keepNext/>
              <w:tabs>
                <w:tab w:val="clear" w:pos="567"/>
              </w:tabs>
              <w:autoSpaceDE w:val="0"/>
              <w:autoSpaceDN w:val="0"/>
              <w:adjustRightInd w:val="0"/>
              <w:spacing w:line="240" w:lineRule="auto"/>
              <w:jc w:val="center"/>
              <w:rPr>
                <w:rFonts w:eastAsia="PMingLiU"/>
                <w:b/>
                <w:szCs w:val="22"/>
                <w:lang w:eastAsia="en-GB" w:bidi="ar-SA"/>
              </w:rPr>
            </w:pPr>
            <w:r>
              <w:rPr>
                <w:rFonts w:eastAsia="PMingLiU"/>
                <w:b/>
                <w:bCs/>
                <w:szCs w:val="22"/>
                <w:lang w:eastAsia="en-GB" w:bidi="ar-SA"/>
              </w:rPr>
              <w:t>N</w:t>
            </w:r>
            <w:r>
              <w:rPr>
                <w:rFonts w:eastAsia="PMingLiU"/>
                <w:b/>
                <w:szCs w:val="22"/>
                <w:lang w:eastAsia="en-US" w:bidi="ar-SA"/>
              </w:rPr>
              <w:t> </w:t>
            </w:r>
            <w:r>
              <w:rPr>
                <w:rFonts w:eastAsia="PMingLiU"/>
                <w:b/>
                <w:bCs/>
                <w:szCs w:val="22"/>
                <w:lang w:eastAsia="en-GB" w:bidi="ar-SA"/>
              </w:rPr>
              <w:t>=</w:t>
            </w:r>
            <w:r>
              <w:rPr>
                <w:rFonts w:eastAsia="PMingLiU"/>
                <w:b/>
                <w:szCs w:val="22"/>
                <w:lang w:eastAsia="en-US" w:bidi="ar-SA"/>
              </w:rPr>
              <w:t> </w:t>
            </w:r>
            <w:r>
              <w:rPr>
                <w:rFonts w:eastAsia="PMingLiU"/>
                <w:b/>
                <w:bCs/>
                <w:szCs w:val="22"/>
                <w:lang w:eastAsia="en-GB" w:bidi="ar-SA"/>
              </w:rPr>
              <w:t>38</w:t>
            </w:r>
          </w:p>
        </w:tc>
      </w:tr>
      <w:tr w:rsidR="00C04CAD" w14:paraId="4B490B7B" w14:textId="77777777">
        <w:trPr>
          <w:trHeight w:val="162"/>
        </w:trPr>
        <w:tc>
          <w:tcPr>
            <w:tcW w:w="3294" w:type="dxa"/>
          </w:tcPr>
          <w:p w14:paraId="0F54D416"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t>PASI 75</w:t>
            </w:r>
            <w:r>
              <w:rPr>
                <w:vertAlign w:val="superscript"/>
              </w:rPr>
              <w:t>b</w:t>
            </w:r>
          </w:p>
        </w:tc>
        <w:tc>
          <w:tcPr>
            <w:tcW w:w="2694" w:type="dxa"/>
          </w:tcPr>
          <w:p w14:paraId="44590125"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12 (32,4%) </w:t>
            </w:r>
          </w:p>
        </w:tc>
        <w:tc>
          <w:tcPr>
            <w:tcW w:w="2976" w:type="dxa"/>
          </w:tcPr>
          <w:p w14:paraId="258DC847"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22 (57,9%) </w:t>
            </w:r>
          </w:p>
        </w:tc>
      </w:tr>
      <w:tr w:rsidR="00C04CAD" w14:paraId="312A9A2D" w14:textId="77777777">
        <w:trPr>
          <w:trHeight w:val="162"/>
        </w:trPr>
        <w:tc>
          <w:tcPr>
            <w:tcW w:w="3294" w:type="dxa"/>
            <w:tcBorders>
              <w:bottom w:val="single" w:sz="4" w:space="0" w:color="auto"/>
            </w:tcBorders>
          </w:tcPr>
          <w:p w14:paraId="4C4A56A8"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t>PGA: Normal/minim</w:t>
            </w:r>
            <w:r>
              <w:rPr>
                <w:vertAlign w:val="superscript"/>
              </w:rPr>
              <w:t>c</w:t>
            </w:r>
          </w:p>
        </w:tc>
        <w:tc>
          <w:tcPr>
            <w:tcW w:w="2694" w:type="dxa"/>
            <w:tcBorders>
              <w:bottom w:val="single" w:sz="4" w:space="0" w:color="auto"/>
            </w:tcBorders>
          </w:tcPr>
          <w:p w14:paraId="5AEB573A"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15 (40,5%) </w:t>
            </w:r>
          </w:p>
        </w:tc>
        <w:tc>
          <w:tcPr>
            <w:tcW w:w="2976" w:type="dxa"/>
            <w:tcBorders>
              <w:bottom w:val="single" w:sz="4" w:space="0" w:color="auto"/>
            </w:tcBorders>
          </w:tcPr>
          <w:p w14:paraId="117E3100"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23 (60,5%) </w:t>
            </w:r>
          </w:p>
        </w:tc>
      </w:tr>
    </w:tbl>
    <w:p w14:paraId="4A698DA2" w14:textId="77777777" w:rsidR="00C04CAD" w:rsidRDefault="00060E34">
      <w:pPr>
        <w:keepNext/>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vertAlign w:val="superscript"/>
          <w:lang w:eastAsia="ja-JP" w:bidi="ar-SA"/>
        </w:rPr>
        <w:t xml:space="preserve">a </w:t>
      </w:r>
      <w:r>
        <w:rPr>
          <w:rFonts w:eastAsia="MS Mincho"/>
          <w:color w:val="000000"/>
          <w:sz w:val="20"/>
          <w:lang w:eastAsia="ja-JP" w:bidi="ar-SA"/>
        </w:rPr>
        <w:t xml:space="preserve">MTX = metotrexat </w:t>
      </w:r>
    </w:p>
    <w:p w14:paraId="4E6B5F29" w14:textId="77777777" w:rsidR="00C04CAD" w:rsidRDefault="00060E34">
      <w:pPr>
        <w:keepNext/>
        <w:tabs>
          <w:tab w:val="clear" w:pos="567"/>
        </w:tabs>
        <w:autoSpaceDE w:val="0"/>
        <w:autoSpaceDN w:val="0"/>
        <w:adjustRightInd w:val="0"/>
        <w:spacing w:line="240" w:lineRule="auto"/>
        <w:rPr>
          <w:rFonts w:eastAsia="MS Mincho"/>
          <w:color w:val="000000"/>
          <w:sz w:val="20"/>
          <w:lang w:eastAsia="ja-JP" w:bidi="ar-SA"/>
        </w:rPr>
      </w:pPr>
      <w:r>
        <w:rPr>
          <w:rFonts w:eastAsia="MS Mincho"/>
          <w:color w:val="000000"/>
          <w:sz w:val="20"/>
          <w:vertAlign w:val="superscript"/>
          <w:lang w:eastAsia="ja-JP" w:bidi="ar-SA"/>
        </w:rPr>
        <w:t xml:space="preserve">b </w:t>
      </w:r>
      <w:r>
        <w:rPr>
          <w:rFonts w:eastAsia="MS Mincho"/>
          <w:color w:val="000000"/>
          <w:sz w:val="20"/>
          <w:lang w:eastAsia="ja-JP" w:bidi="ar-SA"/>
        </w:rPr>
        <w:t xml:space="preserve">P = 0,027, </w:t>
      </w:r>
      <w:r>
        <w:rPr>
          <w:color w:val="000000"/>
          <w:sz w:val="20"/>
          <w:lang w:eastAsia="ja-JP" w:bidi="ar-SA"/>
        </w:rPr>
        <w:t>adalimumab</w:t>
      </w:r>
      <w:r>
        <w:rPr>
          <w:rFonts w:eastAsia="MS Mincho"/>
          <w:color w:val="000000"/>
          <w:sz w:val="20"/>
          <w:lang w:eastAsia="ja-JP" w:bidi="ar-SA"/>
        </w:rPr>
        <w:t xml:space="preserve"> 0,8 mg/kg comparativ cu MTX </w:t>
      </w:r>
    </w:p>
    <w:p w14:paraId="082E8389" w14:textId="77777777" w:rsidR="00C04CAD" w:rsidRDefault="00060E34">
      <w:pPr>
        <w:tabs>
          <w:tab w:val="clear" w:pos="567"/>
        </w:tabs>
        <w:autoSpaceDE w:val="0"/>
        <w:autoSpaceDN w:val="0"/>
        <w:adjustRightInd w:val="0"/>
        <w:spacing w:line="240" w:lineRule="auto"/>
        <w:rPr>
          <w:rFonts w:eastAsia="PMingLiU"/>
          <w:szCs w:val="22"/>
          <w:lang w:eastAsia="en-US" w:bidi="ar-SA"/>
        </w:rPr>
      </w:pPr>
      <w:r>
        <w:rPr>
          <w:rFonts w:eastAsia="PMingLiU"/>
          <w:sz w:val="20"/>
          <w:vertAlign w:val="superscript"/>
          <w:lang w:eastAsia="en-US" w:bidi="ar-SA"/>
        </w:rPr>
        <w:t xml:space="preserve">c </w:t>
      </w:r>
      <w:r>
        <w:rPr>
          <w:rFonts w:eastAsia="PMingLiU"/>
          <w:sz w:val="20"/>
          <w:lang w:eastAsia="en-US" w:bidi="ar-SA"/>
        </w:rPr>
        <w:t xml:space="preserve">P = 0,083, </w:t>
      </w:r>
      <w:r>
        <w:rPr>
          <w:color w:val="000000"/>
          <w:sz w:val="20"/>
          <w:lang w:eastAsia="en-US" w:bidi="ar-SA"/>
        </w:rPr>
        <w:t>adalimumab</w:t>
      </w:r>
      <w:r>
        <w:rPr>
          <w:rFonts w:eastAsia="PMingLiU"/>
          <w:sz w:val="20"/>
          <w:lang w:eastAsia="en-US" w:bidi="ar-SA"/>
        </w:rPr>
        <w:t xml:space="preserve"> 0,8</w:t>
      </w:r>
      <w:r>
        <w:rPr>
          <w:rFonts w:eastAsia="PMingLiU"/>
          <w:color w:val="000000"/>
          <w:szCs w:val="22"/>
          <w:lang w:eastAsia="en-US" w:bidi="ar-SA"/>
        </w:rPr>
        <w:t> </w:t>
      </w:r>
      <w:r>
        <w:rPr>
          <w:rFonts w:eastAsia="PMingLiU"/>
          <w:sz w:val="20"/>
          <w:lang w:eastAsia="en-US" w:bidi="ar-SA"/>
        </w:rPr>
        <w:t>mg/kg comparativ cu MTX</w:t>
      </w:r>
    </w:p>
    <w:p w14:paraId="7B78D7DD" w14:textId="77777777" w:rsidR="00C04CAD" w:rsidRDefault="00C04CAD">
      <w:pPr>
        <w:tabs>
          <w:tab w:val="clear" w:pos="567"/>
        </w:tabs>
        <w:autoSpaceDE w:val="0"/>
        <w:autoSpaceDN w:val="0"/>
        <w:adjustRightInd w:val="0"/>
        <w:spacing w:line="240" w:lineRule="auto"/>
        <w:rPr>
          <w:rFonts w:eastAsia="PMingLiU"/>
          <w:szCs w:val="22"/>
          <w:lang w:eastAsia="en-US" w:bidi="ar-SA"/>
        </w:rPr>
      </w:pPr>
    </w:p>
    <w:p w14:paraId="65FE22DB"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au obținut PASI 75 și PGA normal sau minim au întrerupt tratamentul timp de până la 36 săptămâni și au fost monitorizați pentru pierderea controlului asupra bolii (adică o agravare a PGA cu cel puțin 2 grade). Pacienții au primit apoi tratament cu adalimumab 0,8 mg/kg o dată la două săptămâni pentru încă 16 săptămâni și ratele de răspuns observate în timpul reluării tratamentului au fost similare cu cele din perioada dublu-orb anterioară: răspuns PASI 75 de 78,9% (15 din 19 subiecți) și PGA normal sau minim de 52,6% (10 din 19 subiecți).</w:t>
      </w:r>
    </w:p>
    <w:p w14:paraId="618C2936"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915EDE8" w14:textId="77777777" w:rsidR="00C04CAD" w:rsidRDefault="00060E34">
      <w:pPr>
        <w:keepLines/>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În perioada deschisă a studiului, răspunsurile PASI 75 și PGA normal sau minim au fost menținute timp de până la încă 52 săptămâni fără noi semnale privind siguranţa.</w:t>
      </w:r>
    </w:p>
    <w:p w14:paraId="3954CFB3"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5B0C785"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Hidradenită supurativă la adolescenți </w:t>
      </w:r>
    </w:p>
    <w:p w14:paraId="69E2E359"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4038C9B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Nu s-a desfășurat niciun studiu clinic cu adalimumab la pacienți adolescenți cu HS. Eficacitatea utilizării adalimumabului în tratamentul pacienților adolescenți cu HS a fost stabilită pe baza eficacităţii demonstrate și a relației expunere-răspuns la pacienții adulți cu HS și pe baza probabilităţii ca evoluția bolii, fiziopatologia și efectele medicamentului să fie substanțial similare cu cele ale pacienților adulți la aceleași niveluri de expunere. Siguranța dozei de adalimumab recomandată la populația de adolescenți cu HS se bazează pe profilul de siguranță al adalimumabului în toate indicațiile, atât la pacienții adulți cât și la pacienții adolescenți la doze similare sau la doze administrate cu o frecvență mai mare (vezi pct. 5.2).</w:t>
      </w:r>
    </w:p>
    <w:p w14:paraId="5D9F390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05BFA04" w14:textId="77777777" w:rsidR="00C04CAD" w:rsidRDefault="00060E34">
      <w:pPr>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Boală Crohn la copii şi adolescenţi</w:t>
      </w:r>
    </w:p>
    <w:p w14:paraId="23934CF0"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4FB52BA"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Adalimumabul a fost evaluat într-un studiu clinic multicentric, randomizat, dublu-orb conceput pentru a evalua eficacitatea şi siguranţa tratamentului de inducţie şi de întreţinere cu doze în funcţie de greutatea corporală (&lt;40 kg sau ≥ 40 kg) la 192 copii şi adolescenţi cu vârste cuprinse între 6 şi 17 ani (inclusiv), cu boală Crohn (BC) moderată până la severă, definită ca Index de Activitate a Bolii Crohn la copii (IABC) scor &gt; 30. Trebuie ca pacienţii să nu fi răspuns la tratamentul convenţional (inclusiv un corticosteroid şi/sau un imunomodulator) pentru BC. Pacienţii trebuie să fi pierdut anterior răspunsul sau să aibă intoleranţă la infliximab.</w:t>
      </w:r>
    </w:p>
    <w:p w14:paraId="18A1849C"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76922C0" w14:textId="77777777" w:rsidR="00C04CAD" w:rsidRDefault="00060E34">
      <w:pPr>
        <w:spacing w:line="240" w:lineRule="auto"/>
        <w:rPr>
          <w:rFonts w:eastAsia="MS Mincho"/>
          <w:color w:val="000000"/>
          <w:szCs w:val="22"/>
          <w:lang w:eastAsia="ja-JP" w:bidi="ar-SA"/>
        </w:rPr>
      </w:pPr>
      <w:r>
        <w:rPr>
          <w:rFonts w:eastAsia="MS Mincho"/>
          <w:color w:val="000000"/>
          <w:szCs w:val="22"/>
          <w:lang w:eastAsia="ja-JP" w:bidi="ar-SA"/>
        </w:rPr>
        <w:t xml:space="preserve">Toţi pacienţii au primit tratament de inducţie deschis, cu o doză în funcţie de greutatea lor corporală iniţială: 160 mg în săptămâna 0 şi 80 mg în săptămâna 2 pentru pacienţii ≥ 40 kg şi 80 mg şi, respectiv, 40 mg pentru pacienţii &lt; 40 kg. </w:t>
      </w:r>
    </w:p>
    <w:p w14:paraId="6766DD90" w14:textId="77777777" w:rsidR="00C04CAD" w:rsidRDefault="00C04CAD">
      <w:pPr>
        <w:spacing w:line="240" w:lineRule="auto"/>
        <w:rPr>
          <w:rFonts w:eastAsia="MS Mincho"/>
          <w:color w:val="000000"/>
          <w:szCs w:val="22"/>
          <w:lang w:eastAsia="ja-JP" w:bidi="ar-SA"/>
        </w:rPr>
      </w:pPr>
    </w:p>
    <w:p w14:paraId="704ED7E4" w14:textId="77777777" w:rsidR="00C04CAD" w:rsidRDefault="00060E34">
      <w:pPr>
        <w:spacing w:line="240" w:lineRule="auto"/>
        <w:rPr>
          <w:rFonts w:eastAsia="PMingLiU"/>
          <w:color w:val="000000"/>
          <w:szCs w:val="22"/>
          <w:lang w:eastAsia="en-GB" w:bidi="ar-SA"/>
        </w:rPr>
      </w:pPr>
      <w:r>
        <w:rPr>
          <w:rFonts w:eastAsia="MS Mincho"/>
          <w:color w:val="000000"/>
          <w:szCs w:val="22"/>
          <w:lang w:eastAsia="ja-JP" w:bidi="ar-SA"/>
        </w:rPr>
        <w:t>În săptămâna 4, pacienţii au fost randomizaţi 1:1 în funcţie de greutatea corporală avută la timpul respectiv pentru a primi fie doza redusă, fie doza standard de întreţinere, cum sunt prezentate în tabelul 28.</w:t>
      </w:r>
    </w:p>
    <w:p w14:paraId="1BBD4C54" w14:textId="77777777" w:rsidR="00C04CAD" w:rsidRDefault="00C04CAD">
      <w:pPr>
        <w:tabs>
          <w:tab w:val="clear" w:pos="567"/>
        </w:tabs>
        <w:autoSpaceDE w:val="0"/>
        <w:autoSpaceDN w:val="0"/>
        <w:adjustRightInd w:val="0"/>
        <w:spacing w:line="240" w:lineRule="auto"/>
        <w:rPr>
          <w:rFonts w:eastAsia="PMingLiU"/>
          <w:b/>
          <w:bCs/>
          <w:color w:val="000000"/>
          <w:szCs w:val="22"/>
          <w:lang w:eastAsia="en-GB" w:bidi="ar-SA"/>
        </w:rPr>
      </w:pPr>
    </w:p>
    <w:p w14:paraId="4825E7CA" w14:textId="77777777" w:rsidR="00C04CAD" w:rsidRDefault="00060E34">
      <w:pPr>
        <w:keepNext/>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Tabelul 28. Tratament de întreţinere</w:t>
      </w:r>
    </w:p>
    <w:p w14:paraId="713A0FD7" w14:textId="77777777" w:rsidR="00C04CAD" w:rsidRDefault="00C04CAD">
      <w:pPr>
        <w:keepNext/>
        <w:spacing w:line="240" w:lineRule="auto"/>
        <w:rPr>
          <w:rFonts w:eastAsia="PMingLiU"/>
          <w:szCs w:val="22"/>
          <w:lang w:eastAsia="en-US" w:bidi="ar-SA"/>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3"/>
        <w:gridCol w:w="2986"/>
        <w:gridCol w:w="2984"/>
      </w:tblGrid>
      <w:tr w:rsidR="00C04CAD" w14:paraId="05D918CD" w14:textId="77777777">
        <w:trPr>
          <w:trHeight w:val="293"/>
          <w:jc w:val="center"/>
        </w:trPr>
        <w:tc>
          <w:tcPr>
            <w:tcW w:w="1647" w:type="pct"/>
          </w:tcPr>
          <w:p w14:paraId="5B7E94AE" w14:textId="77777777" w:rsidR="00C04CAD" w:rsidRDefault="00060E34">
            <w:pPr>
              <w:tabs>
                <w:tab w:val="clear" w:pos="567"/>
              </w:tabs>
              <w:autoSpaceDE w:val="0"/>
              <w:autoSpaceDN w:val="0"/>
              <w:adjustRightInd w:val="0"/>
              <w:spacing w:line="240" w:lineRule="auto"/>
              <w:rPr>
                <w:rFonts w:eastAsia="PMingLiU"/>
                <w:b/>
                <w:bCs/>
                <w:color w:val="000000"/>
                <w:szCs w:val="22"/>
                <w:lang w:eastAsia="en-GB" w:bidi="ar-SA"/>
              </w:rPr>
            </w:pPr>
            <w:r>
              <w:rPr>
                <w:b/>
                <w:bCs/>
              </w:rPr>
              <w:t>Greutatea pacientului</w:t>
            </w:r>
          </w:p>
        </w:tc>
        <w:tc>
          <w:tcPr>
            <w:tcW w:w="1677" w:type="pct"/>
          </w:tcPr>
          <w:p w14:paraId="221AAE81"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Doză redusă </w:t>
            </w:r>
          </w:p>
        </w:tc>
        <w:tc>
          <w:tcPr>
            <w:tcW w:w="1677" w:type="pct"/>
          </w:tcPr>
          <w:p w14:paraId="74A555CA"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b/>
                <w:bCs/>
                <w:szCs w:val="22"/>
              </w:rPr>
              <w:t xml:space="preserve">Doză standard </w:t>
            </w:r>
          </w:p>
        </w:tc>
      </w:tr>
      <w:tr w:rsidR="00C04CAD" w14:paraId="329A6D35" w14:textId="77777777">
        <w:trPr>
          <w:trHeight w:val="283"/>
          <w:jc w:val="center"/>
        </w:trPr>
        <w:tc>
          <w:tcPr>
            <w:tcW w:w="1647" w:type="pct"/>
          </w:tcPr>
          <w:p w14:paraId="74993208"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&lt; 40 kg </w:t>
            </w:r>
          </w:p>
        </w:tc>
        <w:tc>
          <w:tcPr>
            <w:tcW w:w="1677" w:type="pct"/>
          </w:tcPr>
          <w:p w14:paraId="34215AA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10 mg la două săptămâni </w:t>
            </w:r>
          </w:p>
        </w:tc>
        <w:tc>
          <w:tcPr>
            <w:tcW w:w="1677" w:type="pct"/>
          </w:tcPr>
          <w:p w14:paraId="7E9EF142"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20 mg la două săptămâni </w:t>
            </w:r>
          </w:p>
        </w:tc>
      </w:tr>
      <w:tr w:rsidR="00C04CAD" w14:paraId="4800411A" w14:textId="77777777">
        <w:trPr>
          <w:trHeight w:val="283"/>
          <w:jc w:val="center"/>
        </w:trPr>
        <w:tc>
          <w:tcPr>
            <w:tcW w:w="1647" w:type="pct"/>
          </w:tcPr>
          <w:p w14:paraId="695C6A62"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 40 kg </w:t>
            </w:r>
          </w:p>
        </w:tc>
        <w:tc>
          <w:tcPr>
            <w:tcW w:w="1677" w:type="pct"/>
          </w:tcPr>
          <w:p w14:paraId="196A3388"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20 mg la două săptămâni </w:t>
            </w:r>
          </w:p>
        </w:tc>
        <w:tc>
          <w:tcPr>
            <w:tcW w:w="1677" w:type="pct"/>
          </w:tcPr>
          <w:p w14:paraId="1A479A89"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40 mg la două săptămâni </w:t>
            </w:r>
          </w:p>
        </w:tc>
      </w:tr>
    </w:tbl>
    <w:p w14:paraId="4CCE5949" w14:textId="77777777" w:rsidR="00C04CAD" w:rsidRDefault="00C04CAD">
      <w:pPr>
        <w:spacing w:line="240" w:lineRule="auto"/>
        <w:rPr>
          <w:rFonts w:eastAsia="PMingLiU"/>
          <w:szCs w:val="22"/>
          <w:lang w:eastAsia="en-US" w:bidi="ar-SA"/>
        </w:rPr>
      </w:pPr>
    </w:p>
    <w:p w14:paraId="2344335E" w14:textId="77777777" w:rsidR="00C04CAD" w:rsidRDefault="00060E34">
      <w:pPr>
        <w:tabs>
          <w:tab w:val="clear" w:pos="567"/>
        </w:tabs>
        <w:autoSpaceDE w:val="0"/>
        <w:autoSpaceDN w:val="0"/>
        <w:adjustRightInd w:val="0"/>
        <w:spacing w:line="240" w:lineRule="auto"/>
        <w:rPr>
          <w:rFonts w:eastAsia="MS Mincho"/>
          <w:i/>
          <w:iCs/>
          <w:color w:val="000000"/>
          <w:szCs w:val="22"/>
          <w:u w:val="single"/>
          <w:lang w:eastAsia="ja-JP" w:bidi="ar-SA"/>
        </w:rPr>
      </w:pPr>
      <w:r>
        <w:rPr>
          <w:rFonts w:eastAsia="MS Mincho"/>
          <w:i/>
          <w:iCs/>
          <w:color w:val="000000"/>
          <w:szCs w:val="22"/>
          <w:u w:val="single"/>
          <w:lang w:eastAsia="ja-JP" w:bidi="ar-SA"/>
        </w:rPr>
        <w:t>Rezultatele eficacităţii</w:t>
      </w:r>
    </w:p>
    <w:p w14:paraId="0A735B91"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68C88EB"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Criteriul principal final de evaluare a fost remisia clinică în săptămâna 26, definită ca scorul IABC ≤ 10.</w:t>
      </w:r>
    </w:p>
    <w:p w14:paraId="586D5E8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6D08C5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MS Mincho"/>
          <w:color w:val="000000"/>
          <w:szCs w:val="22"/>
          <w:lang w:eastAsia="ja-JP" w:bidi="ar-SA"/>
        </w:rPr>
        <w:t>Remisia clinică şi răspunsul clinic (definit ca reducere a scorului IABC cu cel puţin 15 puncte faţă de valoarea iniţială) sunt prezentate în tabelul 29. Ratele de întrerupere a corticosteroizilor sau a medicamentelor imunomodulatoare sunt prezentate în tabelul 30.</w:t>
      </w:r>
    </w:p>
    <w:p w14:paraId="39A45532" w14:textId="77777777" w:rsidR="00C04CAD" w:rsidRDefault="00C04CAD">
      <w:pPr>
        <w:spacing w:line="240" w:lineRule="auto"/>
        <w:rPr>
          <w:rFonts w:eastAsia="PMingLiU"/>
          <w:szCs w:val="22"/>
          <w:lang w:eastAsia="en-US" w:bidi="ar-SA"/>
        </w:rPr>
      </w:pPr>
    </w:p>
    <w:p w14:paraId="7065418B" w14:textId="77777777" w:rsidR="00C04CAD" w:rsidRDefault="00060E34">
      <w:pPr>
        <w:tabs>
          <w:tab w:val="clear" w:pos="567"/>
        </w:tabs>
        <w:autoSpaceDE w:val="0"/>
        <w:autoSpaceDN w:val="0"/>
        <w:adjustRightInd w:val="0"/>
        <w:spacing w:line="240" w:lineRule="auto"/>
        <w:rPr>
          <w:rFonts w:eastAsia="PMingLiU"/>
          <w:b/>
          <w:bCs/>
          <w:color w:val="000000"/>
          <w:szCs w:val="22"/>
          <w:lang w:eastAsia="en-GB" w:bidi="ar-SA"/>
        </w:rPr>
      </w:pPr>
      <w:r>
        <w:rPr>
          <w:rFonts w:eastAsia="PMingLiU"/>
          <w:b/>
          <w:bCs/>
          <w:color w:val="000000"/>
          <w:szCs w:val="22"/>
          <w:lang w:eastAsia="en-GB" w:bidi="ar-SA"/>
        </w:rPr>
        <w:t>Tabelul 29. Studiu BC la copii – Remisia clinică şi răspunsul IABC</w:t>
      </w:r>
    </w:p>
    <w:p w14:paraId="77905E4A" w14:textId="77777777" w:rsidR="00C04CAD" w:rsidRDefault="00C04CAD">
      <w:pPr>
        <w:tabs>
          <w:tab w:val="clear" w:pos="567"/>
        </w:tabs>
        <w:autoSpaceDE w:val="0"/>
        <w:autoSpaceDN w:val="0"/>
        <w:adjustRightInd w:val="0"/>
        <w:spacing w:line="240" w:lineRule="auto"/>
        <w:rPr>
          <w:rFonts w:eastAsia="PMingLiU"/>
          <w:color w:val="000000"/>
          <w:szCs w:val="22"/>
          <w:lang w:eastAsia="en-GB" w:bidi="ar-SA"/>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C04CAD" w14:paraId="5929FF3A" w14:textId="77777777">
        <w:trPr>
          <w:trHeight w:val="437"/>
        </w:trPr>
        <w:tc>
          <w:tcPr>
            <w:tcW w:w="2586" w:type="dxa"/>
          </w:tcPr>
          <w:p w14:paraId="787E3331"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c>
          <w:tcPr>
            <w:tcW w:w="2268" w:type="dxa"/>
          </w:tcPr>
          <w:p w14:paraId="1C7ED7D0" w14:textId="77777777" w:rsidR="00C04CAD" w:rsidRDefault="00060E34">
            <w:pPr>
              <w:pStyle w:val="Default"/>
              <w:jc w:val="center"/>
              <w:rPr>
                <w:sz w:val="22"/>
                <w:szCs w:val="22"/>
                <w:lang w:val="ro-RO"/>
              </w:rPr>
            </w:pPr>
            <w:r>
              <w:rPr>
                <w:b/>
                <w:bCs/>
                <w:sz w:val="22"/>
                <w:szCs w:val="22"/>
                <w:lang w:val="ro-RO"/>
              </w:rPr>
              <w:t>Doză standard</w:t>
            </w:r>
          </w:p>
          <w:p w14:paraId="492A0786" w14:textId="77777777" w:rsidR="00C04CAD" w:rsidRDefault="00060E34">
            <w:pPr>
              <w:pStyle w:val="Default"/>
              <w:jc w:val="center"/>
              <w:rPr>
                <w:b/>
                <w:bCs/>
                <w:sz w:val="22"/>
                <w:szCs w:val="22"/>
                <w:lang w:val="ro-RO"/>
              </w:rPr>
            </w:pPr>
            <w:r>
              <w:rPr>
                <w:b/>
                <w:bCs/>
                <w:sz w:val="22"/>
                <w:szCs w:val="22"/>
                <w:lang w:val="ro-RO"/>
              </w:rPr>
              <w:t xml:space="preserve">40/20 mg la două săptămâni </w:t>
            </w:r>
          </w:p>
          <w:p w14:paraId="6C6F8C06" w14:textId="77777777" w:rsidR="00C04CAD" w:rsidRDefault="00060E34">
            <w:pPr>
              <w:pStyle w:val="Default"/>
              <w:jc w:val="center"/>
              <w:rPr>
                <w:rFonts w:eastAsia="PMingLiU"/>
                <w:szCs w:val="22"/>
                <w:lang w:val="ro-RO" w:eastAsia="en-GB"/>
              </w:rPr>
            </w:pPr>
            <w:r>
              <w:rPr>
                <w:b/>
                <w:bCs/>
                <w:sz w:val="22"/>
                <w:szCs w:val="22"/>
                <w:lang w:val="ro-RO"/>
              </w:rPr>
              <w:t>N = 93</w:t>
            </w:r>
          </w:p>
        </w:tc>
        <w:tc>
          <w:tcPr>
            <w:tcW w:w="2268" w:type="dxa"/>
          </w:tcPr>
          <w:p w14:paraId="0E5BB50C" w14:textId="77777777" w:rsidR="00C04CAD" w:rsidRDefault="00060E34">
            <w:pPr>
              <w:pStyle w:val="Default"/>
              <w:jc w:val="center"/>
              <w:rPr>
                <w:sz w:val="22"/>
                <w:szCs w:val="22"/>
                <w:lang w:val="ro-RO"/>
              </w:rPr>
            </w:pPr>
            <w:r>
              <w:rPr>
                <w:b/>
                <w:bCs/>
                <w:sz w:val="22"/>
                <w:szCs w:val="22"/>
                <w:lang w:val="ro-RO"/>
              </w:rPr>
              <w:t>Doză redusă</w:t>
            </w:r>
          </w:p>
          <w:p w14:paraId="6F3D525E" w14:textId="77777777" w:rsidR="00C04CAD" w:rsidRDefault="00060E34">
            <w:pPr>
              <w:pStyle w:val="Default"/>
              <w:jc w:val="center"/>
              <w:rPr>
                <w:b/>
                <w:bCs/>
                <w:sz w:val="22"/>
                <w:szCs w:val="22"/>
                <w:lang w:val="ro-RO"/>
              </w:rPr>
            </w:pPr>
            <w:r>
              <w:rPr>
                <w:b/>
                <w:bCs/>
                <w:sz w:val="22"/>
                <w:szCs w:val="22"/>
                <w:lang w:val="ro-RO"/>
              </w:rPr>
              <w:t xml:space="preserve">20/10 mg la două săptămâni </w:t>
            </w:r>
          </w:p>
          <w:p w14:paraId="1E8DC527" w14:textId="77777777" w:rsidR="00C04CAD" w:rsidRDefault="00060E34">
            <w:pPr>
              <w:pStyle w:val="Default"/>
              <w:jc w:val="center"/>
              <w:rPr>
                <w:rFonts w:eastAsia="PMingLiU"/>
                <w:szCs w:val="22"/>
                <w:lang w:val="ro-RO" w:eastAsia="en-GB"/>
              </w:rPr>
            </w:pPr>
            <w:r>
              <w:rPr>
                <w:b/>
                <w:bCs/>
                <w:sz w:val="22"/>
                <w:szCs w:val="22"/>
                <w:lang w:val="ro-RO"/>
              </w:rPr>
              <w:t>N = 95</w:t>
            </w:r>
          </w:p>
        </w:tc>
        <w:tc>
          <w:tcPr>
            <w:tcW w:w="1842" w:type="dxa"/>
          </w:tcPr>
          <w:p w14:paraId="3FD13D50"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 xml:space="preserve">Valoare p* </w:t>
            </w:r>
          </w:p>
        </w:tc>
      </w:tr>
      <w:tr w:rsidR="00C04CAD" w14:paraId="699B4B3A" w14:textId="77777777">
        <w:trPr>
          <w:trHeight w:val="149"/>
        </w:trPr>
        <w:tc>
          <w:tcPr>
            <w:tcW w:w="8964" w:type="dxa"/>
            <w:gridSpan w:val="4"/>
          </w:tcPr>
          <w:p w14:paraId="3B3133C1"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Săptămâna 26</w:t>
            </w:r>
          </w:p>
        </w:tc>
      </w:tr>
      <w:tr w:rsidR="00C04CAD" w14:paraId="6F4D600B" w14:textId="77777777">
        <w:trPr>
          <w:trHeight w:val="147"/>
        </w:trPr>
        <w:tc>
          <w:tcPr>
            <w:tcW w:w="2586" w:type="dxa"/>
          </w:tcPr>
          <w:p w14:paraId="05A1E14A"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Remisie clinică </w:t>
            </w:r>
          </w:p>
        </w:tc>
        <w:tc>
          <w:tcPr>
            <w:tcW w:w="2268" w:type="dxa"/>
          </w:tcPr>
          <w:p w14:paraId="2E4C98F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38,7% </w:t>
            </w:r>
          </w:p>
        </w:tc>
        <w:tc>
          <w:tcPr>
            <w:tcW w:w="2268" w:type="dxa"/>
          </w:tcPr>
          <w:p w14:paraId="4B9527B4"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28,4% </w:t>
            </w:r>
          </w:p>
        </w:tc>
        <w:tc>
          <w:tcPr>
            <w:tcW w:w="1842" w:type="dxa"/>
          </w:tcPr>
          <w:p w14:paraId="3420F46A"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0,075 </w:t>
            </w:r>
          </w:p>
        </w:tc>
      </w:tr>
      <w:tr w:rsidR="00C04CAD" w14:paraId="353D1841" w14:textId="77777777">
        <w:trPr>
          <w:trHeight w:val="147"/>
        </w:trPr>
        <w:tc>
          <w:tcPr>
            <w:tcW w:w="2586" w:type="dxa"/>
          </w:tcPr>
          <w:p w14:paraId="066A888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Răspuns clinic </w:t>
            </w:r>
          </w:p>
        </w:tc>
        <w:tc>
          <w:tcPr>
            <w:tcW w:w="2268" w:type="dxa"/>
          </w:tcPr>
          <w:p w14:paraId="40044057"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59,1% </w:t>
            </w:r>
          </w:p>
        </w:tc>
        <w:tc>
          <w:tcPr>
            <w:tcW w:w="2268" w:type="dxa"/>
          </w:tcPr>
          <w:p w14:paraId="7E252444"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48,4% </w:t>
            </w:r>
          </w:p>
        </w:tc>
        <w:tc>
          <w:tcPr>
            <w:tcW w:w="1842" w:type="dxa"/>
          </w:tcPr>
          <w:p w14:paraId="71ED3CA9"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0,073 </w:t>
            </w:r>
          </w:p>
        </w:tc>
      </w:tr>
      <w:tr w:rsidR="00C04CAD" w14:paraId="1C5BA797" w14:textId="77777777">
        <w:trPr>
          <w:trHeight w:val="149"/>
        </w:trPr>
        <w:tc>
          <w:tcPr>
            <w:tcW w:w="8964" w:type="dxa"/>
            <w:gridSpan w:val="4"/>
          </w:tcPr>
          <w:p w14:paraId="03D84F02"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Săptămâna 52</w:t>
            </w:r>
          </w:p>
        </w:tc>
      </w:tr>
      <w:tr w:rsidR="00C04CAD" w14:paraId="24BB01F2" w14:textId="77777777">
        <w:trPr>
          <w:trHeight w:val="147"/>
        </w:trPr>
        <w:tc>
          <w:tcPr>
            <w:tcW w:w="2586" w:type="dxa"/>
          </w:tcPr>
          <w:p w14:paraId="0339179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Remisie clinică </w:t>
            </w:r>
          </w:p>
        </w:tc>
        <w:tc>
          <w:tcPr>
            <w:tcW w:w="2268" w:type="dxa"/>
          </w:tcPr>
          <w:p w14:paraId="404B87A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33,3% </w:t>
            </w:r>
          </w:p>
        </w:tc>
        <w:tc>
          <w:tcPr>
            <w:tcW w:w="2268" w:type="dxa"/>
          </w:tcPr>
          <w:p w14:paraId="2C9FCC3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23,2% </w:t>
            </w:r>
          </w:p>
        </w:tc>
        <w:tc>
          <w:tcPr>
            <w:tcW w:w="1842" w:type="dxa"/>
          </w:tcPr>
          <w:p w14:paraId="096938F7"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0,100 </w:t>
            </w:r>
          </w:p>
        </w:tc>
      </w:tr>
      <w:tr w:rsidR="00C04CAD" w14:paraId="7A05B2C7" w14:textId="77777777">
        <w:trPr>
          <w:trHeight w:val="147"/>
        </w:trPr>
        <w:tc>
          <w:tcPr>
            <w:tcW w:w="2586" w:type="dxa"/>
            <w:tcBorders>
              <w:bottom w:val="single" w:sz="4" w:space="0" w:color="auto"/>
            </w:tcBorders>
          </w:tcPr>
          <w:p w14:paraId="35466CD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t xml:space="preserve">Răspuns clinic </w:t>
            </w:r>
          </w:p>
        </w:tc>
        <w:tc>
          <w:tcPr>
            <w:tcW w:w="2268" w:type="dxa"/>
            <w:tcBorders>
              <w:bottom w:val="single" w:sz="4" w:space="0" w:color="auto"/>
            </w:tcBorders>
          </w:tcPr>
          <w:p w14:paraId="69C967D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41,9% </w:t>
            </w:r>
          </w:p>
        </w:tc>
        <w:tc>
          <w:tcPr>
            <w:tcW w:w="2268" w:type="dxa"/>
            <w:tcBorders>
              <w:bottom w:val="single" w:sz="4" w:space="0" w:color="auto"/>
            </w:tcBorders>
          </w:tcPr>
          <w:p w14:paraId="6EA17BBE"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28,4% </w:t>
            </w:r>
          </w:p>
        </w:tc>
        <w:tc>
          <w:tcPr>
            <w:tcW w:w="1842" w:type="dxa"/>
            <w:tcBorders>
              <w:bottom w:val="single" w:sz="4" w:space="0" w:color="auto"/>
            </w:tcBorders>
          </w:tcPr>
          <w:p w14:paraId="441523A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0,038 </w:t>
            </w:r>
          </w:p>
        </w:tc>
      </w:tr>
    </w:tbl>
    <w:p w14:paraId="47A878D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color w:val="000000"/>
          <w:sz w:val="20"/>
          <w:lang w:eastAsia="en-GB" w:bidi="ar-SA"/>
        </w:rPr>
        <w:t>* valoare p pentru comparaţia doză standard versus doză redusă</w:t>
      </w:r>
    </w:p>
    <w:p w14:paraId="25300C4C" w14:textId="77777777" w:rsidR="00C04CAD" w:rsidRDefault="00C04CAD">
      <w:pPr>
        <w:spacing w:line="240" w:lineRule="auto"/>
        <w:rPr>
          <w:rFonts w:eastAsia="PMingLiU"/>
          <w:szCs w:val="22"/>
          <w:lang w:eastAsia="en-US" w:bidi="ar-SA"/>
        </w:rPr>
      </w:pPr>
    </w:p>
    <w:p w14:paraId="3F548AB0" w14:textId="77777777" w:rsidR="00C04CAD" w:rsidRDefault="00060E34">
      <w:pPr>
        <w:keepNext/>
        <w:keepLines/>
        <w:tabs>
          <w:tab w:val="clear" w:pos="567"/>
        </w:tabs>
        <w:autoSpaceDE w:val="0"/>
        <w:autoSpaceDN w:val="0"/>
        <w:adjustRightInd w:val="0"/>
        <w:spacing w:line="240" w:lineRule="auto"/>
        <w:rPr>
          <w:rFonts w:eastAsia="PMingLiU"/>
          <w:b/>
          <w:bCs/>
          <w:color w:val="000000"/>
          <w:szCs w:val="22"/>
          <w:lang w:eastAsia="en-GB" w:bidi="ar-SA"/>
        </w:rPr>
      </w:pPr>
      <w:r>
        <w:rPr>
          <w:rFonts w:eastAsia="PMingLiU"/>
          <w:b/>
          <w:bCs/>
          <w:color w:val="000000"/>
          <w:szCs w:val="22"/>
          <w:lang w:eastAsia="en-GB" w:bidi="ar-SA"/>
        </w:rPr>
        <w:t>Tabelul 30. Studiu BC la copii – Întreruperea corticosteroizilor sau a medicamentelor imunomodulatoare şi remisia fistulei</w:t>
      </w:r>
    </w:p>
    <w:p w14:paraId="29595BEE" w14:textId="77777777" w:rsidR="00C04CAD" w:rsidRDefault="00C04CAD">
      <w:pPr>
        <w:spacing w:line="240" w:lineRule="auto"/>
        <w:rPr>
          <w:rFonts w:eastAsia="PMingLiU"/>
          <w:szCs w:val="22"/>
          <w:lang w:eastAsia="en-US" w:bidi="ar-SA"/>
        </w:rPr>
      </w:pPr>
    </w:p>
    <w:tbl>
      <w:tblPr>
        <w:tblW w:w="90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2126"/>
        <w:gridCol w:w="2126"/>
        <w:gridCol w:w="1701"/>
      </w:tblGrid>
      <w:tr w:rsidR="00C04CAD" w14:paraId="1F1581E0" w14:textId="77777777">
        <w:trPr>
          <w:trHeight w:val="300"/>
        </w:trPr>
        <w:tc>
          <w:tcPr>
            <w:tcW w:w="3061" w:type="dxa"/>
            <w:tcBorders>
              <w:top w:val="single" w:sz="4" w:space="0" w:color="auto"/>
            </w:tcBorders>
          </w:tcPr>
          <w:p w14:paraId="642872B4" w14:textId="77777777" w:rsidR="00C04CAD" w:rsidRDefault="00C04CAD">
            <w:pPr>
              <w:keepNext/>
              <w:keepLines/>
              <w:tabs>
                <w:tab w:val="clear" w:pos="567"/>
              </w:tabs>
              <w:autoSpaceDE w:val="0"/>
              <w:autoSpaceDN w:val="0"/>
              <w:adjustRightInd w:val="0"/>
              <w:spacing w:line="240" w:lineRule="auto"/>
              <w:rPr>
                <w:rFonts w:eastAsia="PMingLiU"/>
                <w:color w:val="000000"/>
                <w:szCs w:val="22"/>
                <w:lang w:eastAsia="en-GB" w:bidi="ar-SA"/>
              </w:rPr>
            </w:pPr>
          </w:p>
        </w:tc>
        <w:tc>
          <w:tcPr>
            <w:tcW w:w="2126" w:type="dxa"/>
            <w:tcBorders>
              <w:top w:val="single" w:sz="4" w:space="0" w:color="auto"/>
            </w:tcBorders>
          </w:tcPr>
          <w:p w14:paraId="7EC55AE6" w14:textId="77777777" w:rsidR="00C04CAD" w:rsidRDefault="00060E34">
            <w:pPr>
              <w:pStyle w:val="Default"/>
              <w:jc w:val="center"/>
              <w:rPr>
                <w:sz w:val="22"/>
                <w:szCs w:val="22"/>
                <w:lang w:val="ro-RO"/>
              </w:rPr>
            </w:pPr>
            <w:r>
              <w:rPr>
                <w:b/>
                <w:bCs/>
                <w:sz w:val="22"/>
                <w:szCs w:val="22"/>
                <w:lang w:val="ro-RO"/>
              </w:rPr>
              <w:t>Doză standard</w:t>
            </w:r>
          </w:p>
          <w:p w14:paraId="743D1EE4"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40/20 mg la două săptămâni</w:t>
            </w:r>
          </w:p>
        </w:tc>
        <w:tc>
          <w:tcPr>
            <w:tcW w:w="2126" w:type="dxa"/>
            <w:tcBorders>
              <w:top w:val="single" w:sz="4" w:space="0" w:color="auto"/>
            </w:tcBorders>
          </w:tcPr>
          <w:p w14:paraId="67D6FC0C" w14:textId="77777777" w:rsidR="00C04CAD" w:rsidRDefault="00060E34">
            <w:pPr>
              <w:pStyle w:val="Default"/>
              <w:jc w:val="center"/>
              <w:rPr>
                <w:sz w:val="22"/>
                <w:szCs w:val="22"/>
                <w:lang w:val="ro-RO"/>
              </w:rPr>
            </w:pPr>
            <w:r>
              <w:rPr>
                <w:b/>
                <w:bCs/>
                <w:sz w:val="22"/>
                <w:szCs w:val="22"/>
                <w:lang w:val="ro-RO"/>
              </w:rPr>
              <w:t>Doză redusă</w:t>
            </w:r>
          </w:p>
          <w:p w14:paraId="3D9055DD"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20/10 mg la două săptămâni</w:t>
            </w:r>
          </w:p>
        </w:tc>
        <w:tc>
          <w:tcPr>
            <w:tcW w:w="1701" w:type="dxa"/>
            <w:tcBorders>
              <w:top w:val="single" w:sz="4" w:space="0" w:color="auto"/>
            </w:tcBorders>
          </w:tcPr>
          <w:p w14:paraId="653AE2A3"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b/>
                <w:bCs/>
                <w:szCs w:val="22"/>
              </w:rPr>
              <w:t>Valoare p</w:t>
            </w:r>
            <w:r>
              <w:rPr>
                <w:b/>
                <w:bCs/>
                <w:szCs w:val="22"/>
                <w:vertAlign w:val="superscript"/>
              </w:rPr>
              <w:t>1</w:t>
            </w:r>
          </w:p>
        </w:tc>
      </w:tr>
      <w:tr w:rsidR="00C04CAD" w14:paraId="3BE79010" w14:textId="77777777">
        <w:trPr>
          <w:trHeight w:val="149"/>
        </w:trPr>
        <w:tc>
          <w:tcPr>
            <w:tcW w:w="3061" w:type="dxa"/>
          </w:tcPr>
          <w:p w14:paraId="17242F1E"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Întreruperea corticosteroizilor</w:t>
            </w:r>
          </w:p>
        </w:tc>
        <w:tc>
          <w:tcPr>
            <w:tcW w:w="2126" w:type="dxa"/>
          </w:tcPr>
          <w:p w14:paraId="623042FA"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33</w:t>
            </w:r>
          </w:p>
        </w:tc>
        <w:tc>
          <w:tcPr>
            <w:tcW w:w="2126" w:type="dxa"/>
          </w:tcPr>
          <w:p w14:paraId="708649AF"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38</w:t>
            </w:r>
          </w:p>
        </w:tc>
        <w:tc>
          <w:tcPr>
            <w:tcW w:w="1701" w:type="dxa"/>
          </w:tcPr>
          <w:p w14:paraId="6AC5A8BF"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6AB9C68B" w14:textId="77777777">
        <w:trPr>
          <w:trHeight w:val="147"/>
        </w:trPr>
        <w:tc>
          <w:tcPr>
            <w:tcW w:w="3061" w:type="dxa"/>
          </w:tcPr>
          <w:p w14:paraId="3D8E8636"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26 </w:t>
            </w:r>
          </w:p>
        </w:tc>
        <w:tc>
          <w:tcPr>
            <w:tcW w:w="2126" w:type="dxa"/>
          </w:tcPr>
          <w:p w14:paraId="1FBF9BA3"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84,8% </w:t>
            </w:r>
          </w:p>
        </w:tc>
        <w:tc>
          <w:tcPr>
            <w:tcW w:w="2126" w:type="dxa"/>
          </w:tcPr>
          <w:p w14:paraId="14C283C6"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65,8% </w:t>
            </w:r>
          </w:p>
        </w:tc>
        <w:tc>
          <w:tcPr>
            <w:tcW w:w="1701" w:type="dxa"/>
          </w:tcPr>
          <w:p w14:paraId="0546085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0,066 </w:t>
            </w:r>
          </w:p>
        </w:tc>
      </w:tr>
      <w:tr w:rsidR="00C04CAD" w14:paraId="428A6735" w14:textId="77777777">
        <w:trPr>
          <w:trHeight w:val="147"/>
        </w:trPr>
        <w:tc>
          <w:tcPr>
            <w:tcW w:w="3061" w:type="dxa"/>
          </w:tcPr>
          <w:p w14:paraId="7402A865"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25032C18"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69,7% </w:t>
            </w:r>
          </w:p>
        </w:tc>
        <w:tc>
          <w:tcPr>
            <w:tcW w:w="2126" w:type="dxa"/>
          </w:tcPr>
          <w:p w14:paraId="05BF62DF" w14:textId="77777777" w:rsidR="00C04CAD" w:rsidRDefault="00060E34">
            <w:pPr>
              <w:keepNext/>
              <w:keepLines/>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60,5% </w:t>
            </w:r>
          </w:p>
        </w:tc>
        <w:tc>
          <w:tcPr>
            <w:tcW w:w="1701" w:type="dxa"/>
          </w:tcPr>
          <w:p w14:paraId="1A40C9CC"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0,420 </w:t>
            </w:r>
          </w:p>
        </w:tc>
      </w:tr>
      <w:tr w:rsidR="00C04CAD" w14:paraId="56B50022" w14:textId="77777777">
        <w:trPr>
          <w:trHeight w:val="156"/>
        </w:trPr>
        <w:tc>
          <w:tcPr>
            <w:tcW w:w="3061" w:type="dxa"/>
          </w:tcPr>
          <w:p w14:paraId="52A63CC3"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Întreruperea medicamentelor imunomodulatoare</w:t>
            </w:r>
            <w:r>
              <w:rPr>
                <w:rFonts w:eastAsia="PMingLiU"/>
                <w:b/>
                <w:bCs/>
                <w:color w:val="000000"/>
                <w:szCs w:val="22"/>
                <w:vertAlign w:val="superscript"/>
                <w:lang w:eastAsia="en-GB" w:bidi="ar-SA"/>
              </w:rPr>
              <w:t>2</w:t>
            </w:r>
          </w:p>
        </w:tc>
        <w:tc>
          <w:tcPr>
            <w:tcW w:w="2126" w:type="dxa"/>
          </w:tcPr>
          <w:p w14:paraId="4E75DCE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60</w:t>
            </w:r>
          </w:p>
        </w:tc>
        <w:tc>
          <w:tcPr>
            <w:tcW w:w="2126" w:type="dxa"/>
          </w:tcPr>
          <w:p w14:paraId="1AA78DF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57</w:t>
            </w:r>
          </w:p>
        </w:tc>
        <w:tc>
          <w:tcPr>
            <w:tcW w:w="1701" w:type="dxa"/>
          </w:tcPr>
          <w:p w14:paraId="28FEEC1E"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4A63E87D" w14:textId="77777777">
        <w:trPr>
          <w:trHeight w:val="147"/>
        </w:trPr>
        <w:tc>
          <w:tcPr>
            <w:tcW w:w="3061" w:type="dxa"/>
          </w:tcPr>
          <w:p w14:paraId="78D2EBE5"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4EB09E5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30,0% </w:t>
            </w:r>
          </w:p>
        </w:tc>
        <w:tc>
          <w:tcPr>
            <w:tcW w:w="2126" w:type="dxa"/>
          </w:tcPr>
          <w:p w14:paraId="68B723AE"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29,8% </w:t>
            </w:r>
          </w:p>
        </w:tc>
        <w:tc>
          <w:tcPr>
            <w:tcW w:w="1701" w:type="dxa"/>
          </w:tcPr>
          <w:p w14:paraId="54E0AD44"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0,983 </w:t>
            </w:r>
          </w:p>
        </w:tc>
      </w:tr>
      <w:tr w:rsidR="00C04CAD" w14:paraId="230D5A68" w14:textId="77777777">
        <w:trPr>
          <w:trHeight w:val="156"/>
        </w:trPr>
        <w:tc>
          <w:tcPr>
            <w:tcW w:w="3061" w:type="dxa"/>
          </w:tcPr>
          <w:p w14:paraId="75DAD4A1"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rFonts w:eastAsia="PMingLiU"/>
                <w:b/>
                <w:bCs/>
                <w:color w:val="000000"/>
                <w:szCs w:val="22"/>
                <w:lang w:eastAsia="en-GB" w:bidi="ar-SA"/>
              </w:rPr>
              <w:t>Remisia fistulei</w:t>
            </w:r>
            <w:r>
              <w:rPr>
                <w:rFonts w:eastAsia="PMingLiU"/>
                <w:b/>
                <w:bCs/>
                <w:color w:val="000000"/>
                <w:szCs w:val="22"/>
                <w:vertAlign w:val="superscript"/>
                <w:lang w:eastAsia="en-GB" w:bidi="ar-SA"/>
              </w:rPr>
              <w:t>3</w:t>
            </w:r>
          </w:p>
        </w:tc>
        <w:tc>
          <w:tcPr>
            <w:tcW w:w="2126" w:type="dxa"/>
          </w:tcPr>
          <w:p w14:paraId="671C20CB"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15</w:t>
            </w:r>
          </w:p>
        </w:tc>
        <w:tc>
          <w:tcPr>
            <w:tcW w:w="2126" w:type="dxa"/>
          </w:tcPr>
          <w:p w14:paraId="3D22F2C6"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rFonts w:eastAsia="PMingLiU"/>
                <w:b/>
                <w:bCs/>
                <w:color w:val="000000"/>
                <w:szCs w:val="22"/>
                <w:lang w:eastAsia="en-GB" w:bidi="ar-SA"/>
              </w:rPr>
              <w:t>N</w:t>
            </w:r>
            <w:r>
              <w:rPr>
                <w:rFonts w:eastAsia="PMingLiU"/>
                <w:szCs w:val="22"/>
                <w:lang w:eastAsia="en-US" w:bidi="ar-SA"/>
              </w:rPr>
              <w:t> </w:t>
            </w:r>
            <w:r>
              <w:rPr>
                <w:rFonts w:eastAsia="PMingLiU"/>
                <w:b/>
                <w:bCs/>
                <w:color w:val="000000"/>
                <w:szCs w:val="22"/>
                <w:lang w:eastAsia="en-GB" w:bidi="ar-SA"/>
              </w:rPr>
              <w:t>=</w:t>
            </w:r>
            <w:r>
              <w:rPr>
                <w:rFonts w:eastAsia="PMingLiU"/>
                <w:szCs w:val="22"/>
                <w:lang w:eastAsia="en-US" w:bidi="ar-SA"/>
              </w:rPr>
              <w:t> </w:t>
            </w:r>
            <w:r>
              <w:rPr>
                <w:rFonts w:eastAsia="PMingLiU"/>
                <w:b/>
                <w:bCs/>
                <w:color w:val="000000"/>
                <w:szCs w:val="22"/>
                <w:lang w:eastAsia="en-GB" w:bidi="ar-SA"/>
              </w:rPr>
              <w:t>21</w:t>
            </w:r>
          </w:p>
        </w:tc>
        <w:tc>
          <w:tcPr>
            <w:tcW w:w="1701" w:type="dxa"/>
          </w:tcPr>
          <w:p w14:paraId="00C86668" w14:textId="77777777" w:rsidR="00C04CAD" w:rsidRDefault="00C04CAD">
            <w:pPr>
              <w:tabs>
                <w:tab w:val="clear" w:pos="567"/>
              </w:tabs>
              <w:autoSpaceDE w:val="0"/>
              <w:autoSpaceDN w:val="0"/>
              <w:adjustRightInd w:val="0"/>
              <w:spacing w:line="240" w:lineRule="auto"/>
              <w:jc w:val="center"/>
              <w:rPr>
                <w:rFonts w:eastAsia="PMingLiU"/>
                <w:color w:val="000000"/>
                <w:szCs w:val="22"/>
                <w:lang w:eastAsia="en-GB" w:bidi="ar-SA"/>
              </w:rPr>
            </w:pPr>
          </w:p>
        </w:tc>
      </w:tr>
      <w:tr w:rsidR="00C04CAD" w14:paraId="7FD27B3F" w14:textId="77777777">
        <w:trPr>
          <w:trHeight w:val="147"/>
        </w:trPr>
        <w:tc>
          <w:tcPr>
            <w:tcW w:w="3061" w:type="dxa"/>
          </w:tcPr>
          <w:p w14:paraId="52520B38"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26 </w:t>
            </w:r>
          </w:p>
        </w:tc>
        <w:tc>
          <w:tcPr>
            <w:tcW w:w="2126" w:type="dxa"/>
          </w:tcPr>
          <w:p w14:paraId="3085349B"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46,7% </w:t>
            </w:r>
          </w:p>
        </w:tc>
        <w:tc>
          <w:tcPr>
            <w:tcW w:w="2126" w:type="dxa"/>
          </w:tcPr>
          <w:p w14:paraId="013FE498"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38,1% </w:t>
            </w:r>
          </w:p>
        </w:tc>
        <w:tc>
          <w:tcPr>
            <w:tcW w:w="1701" w:type="dxa"/>
          </w:tcPr>
          <w:p w14:paraId="0B315D3C"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0,608 </w:t>
            </w:r>
          </w:p>
        </w:tc>
      </w:tr>
      <w:tr w:rsidR="00C04CAD" w14:paraId="122B910B" w14:textId="77777777">
        <w:trPr>
          <w:trHeight w:val="147"/>
        </w:trPr>
        <w:tc>
          <w:tcPr>
            <w:tcW w:w="3061" w:type="dxa"/>
          </w:tcPr>
          <w:p w14:paraId="48CF0AEC" w14:textId="77777777" w:rsidR="00C04CAD" w:rsidRDefault="00060E34">
            <w:pPr>
              <w:tabs>
                <w:tab w:val="clear" w:pos="567"/>
              </w:tabs>
              <w:autoSpaceDE w:val="0"/>
              <w:autoSpaceDN w:val="0"/>
              <w:adjustRightInd w:val="0"/>
              <w:spacing w:line="240" w:lineRule="auto"/>
              <w:rPr>
                <w:rFonts w:eastAsia="PMingLiU"/>
                <w:color w:val="000000"/>
                <w:szCs w:val="22"/>
                <w:lang w:eastAsia="en-GB" w:bidi="ar-SA"/>
              </w:rPr>
            </w:pPr>
            <w:r>
              <w:rPr>
                <w:szCs w:val="22"/>
              </w:rPr>
              <w:t xml:space="preserve">Săptămâna 52 </w:t>
            </w:r>
          </w:p>
        </w:tc>
        <w:tc>
          <w:tcPr>
            <w:tcW w:w="2126" w:type="dxa"/>
          </w:tcPr>
          <w:p w14:paraId="49E2D8AD"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40% </w:t>
            </w:r>
          </w:p>
        </w:tc>
        <w:tc>
          <w:tcPr>
            <w:tcW w:w="2126" w:type="dxa"/>
          </w:tcPr>
          <w:p w14:paraId="1E9F2FA1"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23,8% </w:t>
            </w:r>
          </w:p>
        </w:tc>
        <w:tc>
          <w:tcPr>
            <w:tcW w:w="1701" w:type="dxa"/>
          </w:tcPr>
          <w:p w14:paraId="5BF2F19A" w14:textId="77777777" w:rsidR="00C04CAD" w:rsidRDefault="00060E34">
            <w:pPr>
              <w:tabs>
                <w:tab w:val="clear" w:pos="567"/>
              </w:tabs>
              <w:autoSpaceDE w:val="0"/>
              <w:autoSpaceDN w:val="0"/>
              <w:adjustRightInd w:val="0"/>
              <w:spacing w:line="240" w:lineRule="auto"/>
              <w:jc w:val="center"/>
              <w:rPr>
                <w:rFonts w:eastAsia="PMingLiU"/>
                <w:color w:val="000000"/>
                <w:szCs w:val="22"/>
                <w:lang w:eastAsia="en-GB" w:bidi="ar-SA"/>
              </w:rPr>
            </w:pPr>
            <w:r>
              <w:rPr>
                <w:szCs w:val="22"/>
              </w:rPr>
              <w:t xml:space="preserve">0,303 </w:t>
            </w:r>
          </w:p>
        </w:tc>
      </w:tr>
    </w:tbl>
    <w:p w14:paraId="2C67FC48" w14:textId="77777777" w:rsidR="00C04CAD" w:rsidRDefault="00060E34">
      <w:pPr>
        <w:tabs>
          <w:tab w:val="clear" w:pos="567"/>
        </w:tabs>
        <w:autoSpaceDE w:val="0"/>
        <w:autoSpaceDN w:val="0"/>
        <w:adjustRightInd w:val="0"/>
        <w:spacing w:line="240" w:lineRule="auto"/>
        <w:rPr>
          <w:rFonts w:eastAsia="PMingLiU"/>
          <w:color w:val="000000"/>
          <w:sz w:val="20"/>
          <w:lang w:eastAsia="en-GB" w:bidi="ar-SA"/>
        </w:rPr>
      </w:pPr>
      <w:r>
        <w:rPr>
          <w:rFonts w:eastAsia="PMingLiU"/>
          <w:color w:val="000000"/>
          <w:sz w:val="20"/>
          <w:vertAlign w:val="superscript"/>
          <w:lang w:eastAsia="en-GB" w:bidi="ar-SA"/>
        </w:rPr>
        <w:t>1</w:t>
      </w:r>
      <w:r>
        <w:rPr>
          <w:rFonts w:eastAsia="PMingLiU"/>
          <w:color w:val="000000"/>
          <w:sz w:val="20"/>
          <w:lang w:eastAsia="en-GB" w:bidi="ar-SA"/>
        </w:rPr>
        <w:t xml:space="preserve"> valoarea p pentru comparaţia doză standard versus doză redusă.</w:t>
      </w:r>
    </w:p>
    <w:p w14:paraId="2C463338" w14:textId="77777777" w:rsidR="00C04CAD" w:rsidRDefault="00060E34">
      <w:pPr>
        <w:tabs>
          <w:tab w:val="clear" w:pos="567"/>
        </w:tabs>
        <w:autoSpaceDE w:val="0"/>
        <w:autoSpaceDN w:val="0"/>
        <w:adjustRightInd w:val="0"/>
        <w:spacing w:line="240" w:lineRule="auto"/>
        <w:rPr>
          <w:rFonts w:eastAsia="PMingLiU"/>
          <w:color w:val="000000"/>
          <w:sz w:val="20"/>
          <w:lang w:eastAsia="en-GB" w:bidi="ar-SA"/>
        </w:rPr>
      </w:pPr>
      <w:r>
        <w:rPr>
          <w:rFonts w:eastAsia="PMingLiU"/>
          <w:color w:val="000000"/>
          <w:sz w:val="20"/>
          <w:vertAlign w:val="superscript"/>
          <w:lang w:eastAsia="en-GB" w:bidi="ar-SA"/>
        </w:rPr>
        <w:t>2</w:t>
      </w:r>
      <w:r>
        <w:rPr>
          <w:rFonts w:eastAsia="PMingLiU"/>
          <w:color w:val="000000"/>
          <w:sz w:val="20"/>
          <w:lang w:eastAsia="en-GB" w:bidi="ar-SA"/>
        </w:rPr>
        <w:t xml:space="preserve"> Tratamentul cu medicamente imunosupresante trebuie întrerupt în sau după Săptămâna 26, numai la recomandarea investigatorului dacă pacientul a întrunit criteriile de răspuns clinic.</w:t>
      </w:r>
    </w:p>
    <w:p w14:paraId="1C27B5C0" w14:textId="77777777" w:rsidR="00C04CAD" w:rsidRDefault="00060E34">
      <w:pPr>
        <w:spacing w:line="240" w:lineRule="auto"/>
        <w:rPr>
          <w:rFonts w:eastAsia="PMingLiU"/>
          <w:sz w:val="20"/>
          <w:lang w:eastAsia="en-US" w:bidi="ar-SA"/>
        </w:rPr>
      </w:pPr>
      <w:r>
        <w:rPr>
          <w:rFonts w:eastAsia="PMingLiU"/>
          <w:color w:val="000000"/>
          <w:sz w:val="20"/>
          <w:vertAlign w:val="superscript"/>
          <w:lang w:eastAsia="en-GB" w:bidi="ar-SA"/>
        </w:rPr>
        <w:t>3</w:t>
      </w:r>
      <w:r>
        <w:rPr>
          <w:rFonts w:eastAsia="PMingLiU"/>
          <w:color w:val="000000"/>
          <w:sz w:val="20"/>
          <w:lang w:eastAsia="en-GB" w:bidi="ar-SA"/>
        </w:rPr>
        <w:t xml:space="preserve"> definit ca închidere a tuturor fistulelor care au fost drenate la momentul iniţial la cel puţin 2 vizite consecutive post-iniţiale</w:t>
      </w:r>
    </w:p>
    <w:p w14:paraId="3A744863" w14:textId="77777777" w:rsidR="00C04CAD" w:rsidRDefault="00C04CAD">
      <w:pPr>
        <w:spacing w:line="240" w:lineRule="auto"/>
        <w:rPr>
          <w:rFonts w:eastAsia="PMingLiU"/>
          <w:szCs w:val="22"/>
          <w:lang w:eastAsia="en-US" w:bidi="ar-SA"/>
        </w:rPr>
      </w:pPr>
    </w:p>
    <w:p w14:paraId="1A09DC4D"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Creşteri semnificative statistic (ameliorare) faţă de valorile iniţiale în săptămâna 26 şi 52 ale Indicelui de Masă Corporală şi vitezei de creştere în înălţime au fost observate la ambele grupuri de tratament. </w:t>
      </w:r>
    </w:p>
    <w:p w14:paraId="075543C1"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D14E50E"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Ameliorări statistice şi clinice semnificative faţă de valorile iniţiale au fost de asemenea observate în ambele grupuri de tratament pentru parametrii calităţii vieţii (inclusiv IMPACT III).</w:t>
      </w:r>
    </w:p>
    <w:p w14:paraId="55A42EC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6A3DA05"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O sută de pacienţi (n=100) din studiul BC la copii şi adolescenţi au continuat într-un studiu deschis de extensie pe termen lung. După 5 ani de tratament cu adalimumab, 74,0% (37/50) din 50 pacienţi rămaşi în studiu au continuat să fie în remisie clinică şi 92,0% (46/50) din pacienţi au continuat să aibă un răspuns clinic conform IABC. </w:t>
      </w:r>
    </w:p>
    <w:p w14:paraId="26EFB51B"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50384A1"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Colita ulcerativă la copii și adolescenți </w:t>
      </w:r>
    </w:p>
    <w:p w14:paraId="0303FAB2"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4AB528D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Siguranța și eficacitatea adalimumabului au fost evaluate într-un studiu multicentric, randomizat, dublu-orb, la 93 de pacienți copii și adolescenți cu vârsta cuprinsă între 5 și 17 ani cu colită ulcerativă moderată până la severă (scor Mayo de 6 până la 12 cu subscor endoscopic de 2 până la 3 puncte, confirmat prin endoscopie citită central), care nu au avut un răspuns adecvat sau care au prezentat intoleranță la tratamentul convențional. Aproximativ 16% dintre pacienții din studiu nu au răspuns la tratamentul anti-TNF anterior. Pacienților cărora li s-au administrat corticosteroizi la înscriere li s-a permis să reducă tratamentul cu corticosteroizi după săptămâna 4.</w:t>
      </w:r>
    </w:p>
    <w:p w14:paraId="22ECF0C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6DE4BB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În perioada de inducție a studiului, 77 de pacienți au fost randomizați în raport de 3:2 pentru a primi tratament cu adalimumab în regim dublu-orb la o doză de inducție de 2,4 mg/kg (maximum 160 mg) în săptămâna 0 și săptămâna 1 și de 1,2 mg/kg (maximum 80 mg) în săptămâna 2; sau o doză de inducție de 2,4 mg/kg (maximum 160 mg) în săptămâna 0, placebo în săptămâna 1, și de 1,2 mg/kg (maximum 80 mg) în săptămâna 2. Ambele grupuri au primit 0,6 mg/kg (maximum 40 mg) în săptămâna 4 și săptămâna 6. După o modificare a designului studiului, ceilalți 16 pacienți care s-au înscris în perioada de inducție au primit tratament în regim deschis cu adalimumab la o doză de inducție de 2,4 mg/kg (maximum 160 mg) în săptămâna 0 și săptămâna 1 și de 1,2 mg/kg (maximum 80 mg) în săptămâna 2.</w:t>
      </w:r>
    </w:p>
    <w:p w14:paraId="490AF57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47764D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În săptămâna 8, 62 de pacienți care au avut un răspuns clinic conform scorului parțial Mayo (PMS; definit ca o scădere a PMS ≥ 2 puncte și ≥ 30% față de valoarea inițială) au fost randomizați în mod egal pentru a primi tratament de întreținere în regim dublu-orb cu adalimumab la o doză de 0,6 mg/kg (maximum 40 mg) în fiecare săptămână sau o doză de întreținere de 0,6 mg/kg (maximum 40 mg) la două săptămâni. Înainte de modificarea designului studiului, încă 12 pacienți care au avut un răspuns clinic conform PMS au fost randomizați pentru a primi placebo, dar nu au fost incluși în analiza de confirmare a eficacității. </w:t>
      </w:r>
    </w:p>
    <w:p w14:paraId="3364760E"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011CAC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Reactivarea bolii a fost definită ca o creștere a PMS de cel puțin 3 puncte (la pacienții cu PMS de 0 până la 2 în Săptămâna 8), de cel puțin 2 puncte (la pacienții cu PMS de 3 până la 4 în Săptămâna 8) sau de cel puțin 1 punct (la pacienții cu PMS de 5 până la 6 în Săptămâna 8).</w:t>
      </w:r>
    </w:p>
    <w:p w14:paraId="359D3060"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A55A4EB"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au îndeplinit criteriile pentru reactivarea bolii în sau după săptămâna 12 au fost randomizați pentru a primi o doză de re-inducție de 2,4 mg/kg (maximum 160 mg) sau o doză de 0,6 mg/kg (maximum 40 mg) și au continuat să primească ulterior doza de întreținere respectivă.</w:t>
      </w:r>
    </w:p>
    <w:p w14:paraId="72A4C79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68A3EEE" w14:textId="77777777" w:rsidR="00C04CAD" w:rsidRDefault="00060E34">
      <w:pPr>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Rezultatele privind eficacitatea</w:t>
      </w:r>
    </w:p>
    <w:p w14:paraId="709CFE2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1CF529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Criteriile finale primare colective de evaluare ale studiului au fost remisia clinică conform PMS (definită ca PMS ≤ 2 și niciun subscor individual &gt; 1) în săptămâna 8 și remisia clinică conform FMS (scorul complet Mayo) (definită ca un scor Mayo ≤ 2 și niciun subscor individual &gt; 1) în săptămâna 52 la pacienții care au obținut un răspuns clinic conform PMS în săptămâna 8.</w:t>
      </w:r>
    </w:p>
    <w:p w14:paraId="19A07A0C"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C76D642"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MS Mincho"/>
          <w:color w:val="000000"/>
          <w:szCs w:val="22"/>
          <w:lang w:eastAsia="ja-JP" w:bidi="ar-SA"/>
        </w:rPr>
        <w:t>Ratele de remisie clinică conform PMS în săptămâna 8 pentru pacienții din fiecare grup cu doză de inducție de adalimumab în regim dublu-orb sunt prezentate în tabelul 31.</w:t>
      </w:r>
    </w:p>
    <w:p w14:paraId="360668C9"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2EEEB373" w14:textId="77777777" w:rsidR="00C04CAD" w:rsidRDefault="00060E34">
      <w:pPr>
        <w:keepNext/>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 xml:space="preserve">Tabelul 31. </w:t>
      </w:r>
      <w:r>
        <w:rPr>
          <w:b/>
          <w:bCs/>
          <w:szCs w:val="22"/>
        </w:rPr>
        <w:t>Remisia clinică conform PMS la 8 săptămâni</w:t>
      </w:r>
    </w:p>
    <w:p w14:paraId="166700BF" w14:textId="77777777" w:rsidR="00C04CAD" w:rsidRDefault="00C04CAD">
      <w:pPr>
        <w:keepNext/>
        <w:tabs>
          <w:tab w:val="clear" w:pos="567"/>
        </w:tabs>
        <w:autoSpaceDE w:val="0"/>
        <w:autoSpaceDN w:val="0"/>
        <w:adjustRightInd w:val="0"/>
        <w:spacing w:line="240" w:lineRule="auto"/>
        <w:rPr>
          <w:rFonts w:eastAsia="PMingLiU"/>
          <w:i/>
          <w:iCs/>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C04CAD" w14:paraId="0F85FAC9" w14:textId="77777777">
        <w:trPr>
          <w:cantSplit/>
        </w:trPr>
        <w:tc>
          <w:tcPr>
            <w:tcW w:w="2912" w:type="dxa"/>
          </w:tcPr>
          <w:p w14:paraId="08945B2F"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3E7ACB9A" w14:textId="77777777" w:rsidR="00C04CAD" w:rsidRDefault="00060E34">
            <w:pPr>
              <w:pStyle w:val="Default"/>
              <w:jc w:val="center"/>
              <w:rPr>
                <w:sz w:val="22"/>
                <w:szCs w:val="22"/>
                <w:lang w:val="ro-RO"/>
              </w:rPr>
            </w:pPr>
            <w:r>
              <w:rPr>
                <w:b/>
                <w:bCs/>
                <w:sz w:val="22"/>
                <w:szCs w:val="22"/>
                <w:lang w:val="ro-RO"/>
              </w:rPr>
              <w:t>Adalimumab</w:t>
            </w:r>
            <w:r>
              <w:rPr>
                <w:b/>
                <w:bCs/>
                <w:sz w:val="22"/>
                <w:szCs w:val="22"/>
                <w:vertAlign w:val="superscript"/>
                <w:lang w:val="ro-RO"/>
              </w:rPr>
              <w:t>a</w:t>
            </w:r>
          </w:p>
          <w:p w14:paraId="07E1AF43" w14:textId="77777777" w:rsidR="00C04CAD" w:rsidRDefault="00060E34">
            <w:pPr>
              <w:pStyle w:val="Default"/>
              <w:jc w:val="center"/>
              <w:rPr>
                <w:sz w:val="22"/>
                <w:szCs w:val="22"/>
                <w:lang w:val="ro-RO"/>
              </w:rPr>
            </w:pPr>
            <w:r>
              <w:rPr>
                <w:b/>
                <w:bCs/>
                <w:sz w:val="22"/>
                <w:szCs w:val="22"/>
                <w:lang w:val="ro-RO"/>
              </w:rPr>
              <w:t>Maximum 160 mg în săptămâna 0/Placebo în Săptămâna 1</w:t>
            </w:r>
          </w:p>
          <w:p w14:paraId="780D486C"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b/>
                <w:bCs/>
                <w:szCs w:val="22"/>
              </w:rPr>
              <w:t>N = 30</w:t>
            </w:r>
          </w:p>
        </w:tc>
        <w:tc>
          <w:tcPr>
            <w:tcW w:w="3021" w:type="dxa"/>
          </w:tcPr>
          <w:p w14:paraId="30A04215" w14:textId="77777777" w:rsidR="00C04CAD" w:rsidRDefault="00060E34">
            <w:pPr>
              <w:pStyle w:val="Default"/>
              <w:jc w:val="center"/>
              <w:rPr>
                <w:sz w:val="14"/>
                <w:szCs w:val="14"/>
                <w:lang w:val="ro-RO"/>
              </w:rPr>
            </w:pPr>
            <w:r>
              <w:rPr>
                <w:b/>
                <w:bCs/>
                <w:sz w:val="22"/>
                <w:szCs w:val="22"/>
                <w:lang w:val="ro-RO"/>
              </w:rPr>
              <w:t>Adalimumab</w:t>
            </w:r>
            <w:r>
              <w:rPr>
                <w:b/>
                <w:bCs/>
                <w:sz w:val="22"/>
                <w:szCs w:val="22"/>
                <w:vertAlign w:val="superscript"/>
                <w:lang w:val="ro-RO"/>
              </w:rPr>
              <w:t>b, c</w:t>
            </w:r>
          </w:p>
          <w:p w14:paraId="0F13FA5F" w14:textId="77777777" w:rsidR="00C04CAD" w:rsidRDefault="00060E34">
            <w:pPr>
              <w:pStyle w:val="Default"/>
              <w:jc w:val="center"/>
              <w:rPr>
                <w:sz w:val="22"/>
                <w:szCs w:val="22"/>
                <w:lang w:val="ro-RO"/>
              </w:rPr>
            </w:pPr>
            <w:r>
              <w:rPr>
                <w:b/>
                <w:bCs/>
                <w:sz w:val="22"/>
                <w:szCs w:val="22"/>
                <w:lang w:val="ro-RO"/>
              </w:rPr>
              <w:t>Maximum 160 mg în săptămâna 0 și săptămâna 1</w:t>
            </w:r>
          </w:p>
          <w:p w14:paraId="0C78C0B8"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b/>
                <w:bCs/>
                <w:szCs w:val="22"/>
              </w:rPr>
              <w:t>N = 47</w:t>
            </w:r>
          </w:p>
        </w:tc>
      </w:tr>
      <w:tr w:rsidR="00C04CAD" w14:paraId="5FC8E6F7" w14:textId="77777777">
        <w:tc>
          <w:tcPr>
            <w:tcW w:w="2912" w:type="dxa"/>
          </w:tcPr>
          <w:p w14:paraId="21F29D61"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Remisie clinică </w:t>
            </w:r>
          </w:p>
        </w:tc>
        <w:tc>
          <w:tcPr>
            <w:tcW w:w="3020" w:type="dxa"/>
          </w:tcPr>
          <w:p w14:paraId="738C5A17"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13/30 (43,3%) </w:t>
            </w:r>
          </w:p>
        </w:tc>
        <w:tc>
          <w:tcPr>
            <w:tcW w:w="3021" w:type="dxa"/>
          </w:tcPr>
          <w:p w14:paraId="6A692BF9"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28/47 (59,6%) </w:t>
            </w:r>
          </w:p>
        </w:tc>
      </w:tr>
      <w:tr w:rsidR="00C04CAD" w14:paraId="3291ADD5" w14:textId="77777777">
        <w:tc>
          <w:tcPr>
            <w:tcW w:w="8953" w:type="dxa"/>
            <w:gridSpan w:val="3"/>
          </w:tcPr>
          <w:p w14:paraId="39518712"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 xml:space="preserve">a </w:t>
            </w:r>
            <w:r>
              <w:rPr>
                <w:rFonts w:eastAsia="PMingLiU"/>
                <w:sz w:val="20"/>
                <w:lang w:eastAsia="en-GB" w:bidi="ar-SA"/>
              </w:rPr>
              <w:t>A</w:t>
            </w:r>
            <w:r>
              <w:rPr>
                <w:rFonts w:eastAsia="PMingLiU"/>
                <w:color w:val="000000"/>
                <w:sz w:val="20"/>
                <w:lang w:eastAsia="en-GB" w:bidi="ar-SA"/>
              </w:rPr>
              <w:t>dalimumab</w:t>
            </w:r>
            <w:r>
              <w:rPr>
                <w:rFonts w:eastAsia="PMingLiU"/>
                <w:sz w:val="20"/>
                <w:lang w:eastAsia="en-GB" w:bidi="ar-SA"/>
              </w:rPr>
              <w:t xml:space="preserve"> 2.4 mg/kg (maximum 160 mg) în săptămâna 0, placebo în săptămâna 1 și 1,2 mg/kg (maximum 80 mg) în săptămâna 2</w:t>
            </w:r>
          </w:p>
          <w:p w14:paraId="07B78241"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 mg/kg (maximum 160 mg) în săptămâna 0 și săptămâna 1 și 1,2 mg/kg (maximum 80 mg) în săptămâna 2</w:t>
            </w:r>
          </w:p>
          <w:p w14:paraId="260C9A62"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Fără a include doza de inducție în regim deschis de adalimumab de 2,4 mg/kg (maximum 160 mg) în săptămâna 0 și săptămâna 1 și de 1,2 mg/kg (maximum 80 mg) în săptămâna 2</w:t>
            </w:r>
          </w:p>
          <w:p w14:paraId="4C8B5FDE"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1: ambele grupuri cu doză de inducție au primit 0,6 mg/kg (maximum 40 mg) în săptămâna 4 și săptămâna 6</w:t>
            </w:r>
          </w:p>
          <w:p w14:paraId="19E99F51" w14:textId="77777777" w:rsidR="00C04CAD" w:rsidRDefault="00060E34">
            <w:pPr>
              <w:tabs>
                <w:tab w:val="clear" w:pos="567"/>
              </w:tabs>
              <w:autoSpaceDE w:val="0"/>
              <w:autoSpaceDN w:val="0"/>
              <w:adjustRightInd w:val="0"/>
              <w:spacing w:line="240" w:lineRule="auto"/>
              <w:rPr>
                <w:szCs w:val="22"/>
              </w:rPr>
            </w:pPr>
            <w:r>
              <w:rPr>
                <w:rFonts w:eastAsia="PMingLiU"/>
                <w:sz w:val="20"/>
                <w:lang w:eastAsia="en-GB" w:bidi="ar-SA"/>
              </w:rPr>
              <w:t>Nota 2: s-a considerat că pacienții cu valori lipsă în săptămâna 8 nu au îndeplinit criteriul final de evaluare</w:t>
            </w:r>
          </w:p>
        </w:tc>
      </w:tr>
    </w:tbl>
    <w:p w14:paraId="19C6A231"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7448F529" w14:textId="77777777" w:rsidR="00C04CAD" w:rsidRDefault="00060E34">
      <w:pPr>
        <w:tabs>
          <w:tab w:val="clear" w:pos="567"/>
        </w:tabs>
        <w:autoSpaceDE w:val="0"/>
        <w:autoSpaceDN w:val="0"/>
        <w:adjustRightInd w:val="0"/>
        <w:spacing w:line="240" w:lineRule="auto"/>
        <w:rPr>
          <w:rFonts w:eastAsia="PMingLiU"/>
          <w:i/>
          <w:iCs/>
          <w:szCs w:val="22"/>
          <w:lang w:eastAsia="en-GB" w:bidi="ar-SA"/>
        </w:rPr>
      </w:pPr>
      <w:r>
        <w:rPr>
          <w:rFonts w:eastAsia="PMingLiU"/>
          <w:szCs w:val="22"/>
          <w:lang w:eastAsia="en-GB" w:bidi="ar-SA"/>
        </w:rPr>
        <w:t>În Săptămâna 52, remisia clinică conform FMS la pacienții care au avut un răspuns în săptămâna 8, răspunsul clinic conform FMS (definit ca o scădere a scorului Mayo ≥ 3 puncte și ≥ 30% față de valoarea inițială) la pacienții care au avut un răspuns în Săptămâna 8, vindecarea mucoasei conform FMS (definită ca un scor endoscopic Mayo ≤ 1) la pacienții care au avut un răspuns în săptămâna 8, remisia clinică conform FMS la pacienții în remisie în săptămâna 8 și proporția subiecților în remisie fără corticosteroizi conform FMS la pacienții care au avut un răspuns în săptămâna 8 au fost evaluate la pacienții care au primit doze de întreținere de adalimumab în regim dublu-orb de maximum 40 mg la două săptămâni (0,6 mg/kg) și de maximum 40 mg în fiecare săptămână (0,6 mg/kg) (tabelul 32).</w:t>
      </w:r>
    </w:p>
    <w:p w14:paraId="2DF20B0D" w14:textId="77777777" w:rsidR="00C04CAD" w:rsidRDefault="00C04CAD">
      <w:pPr>
        <w:tabs>
          <w:tab w:val="clear" w:pos="567"/>
        </w:tabs>
        <w:autoSpaceDE w:val="0"/>
        <w:autoSpaceDN w:val="0"/>
        <w:adjustRightInd w:val="0"/>
        <w:spacing w:line="240" w:lineRule="auto"/>
        <w:rPr>
          <w:rFonts w:eastAsia="PMingLiU"/>
          <w:i/>
          <w:iCs/>
          <w:szCs w:val="22"/>
          <w:lang w:eastAsia="en-GB" w:bidi="ar-SA"/>
        </w:rPr>
      </w:pPr>
    </w:p>
    <w:p w14:paraId="399EAD97" w14:textId="77777777" w:rsidR="00C04CAD" w:rsidRDefault="00060E34">
      <w:pPr>
        <w:keepNext/>
        <w:keepLines/>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Tabelul 32. Rezultatele privind eficacitatea la 52 de săptămâni</w:t>
      </w:r>
    </w:p>
    <w:p w14:paraId="177658B8" w14:textId="77777777" w:rsidR="00C04CAD" w:rsidRDefault="00C04CAD">
      <w:pPr>
        <w:keepNext/>
        <w:keepLines/>
        <w:tabs>
          <w:tab w:val="clear" w:pos="567"/>
        </w:tabs>
        <w:autoSpaceDE w:val="0"/>
        <w:autoSpaceDN w:val="0"/>
        <w:adjustRightInd w:val="0"/>
        <w:spacing w:line="240" w:lineRule="auto"/>
        <w:rPr>
          <w:rFonts w:eastAsia="PMingLiU"/>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671"/>
        <w:gridCol w:w="3021"/>
      </w:tblGrid>
      <w:tr w:rsidR="00C04CAD" w14:paraId="13DE733C" w14:textId="77777777">
        <w:trPr>
          <w:tblHeader/>
        </w:trPr>
        <w:tc>
          <w:tcPr>
            <w:tcW w:w="3261" w:type="dxa"/>
          </w:tcPr>
          <w:p w14:paraId="32363CAC" w14:textId="77777777" w:rsidR="00C04CAD" w:rsidRDefault="00C04CAD">
            <w:pPr>
              <w:keepNext/>
              <w:keepLines/>
              <w:tabs>
                <w:tab w:val="clear" w:pos="567"/>
              </w:tabs>
              <w:autoSpaceDE w:val="0"/>
              <w:autoSpaceDN w:val="0"/>
              <w:adjustRightInd w:val="0"/>
              <w:spacing w:line="240" w:lineRule="auto"/>
              <w:rPr>
                <w:rFonts w:eastAsia="PMingLiU"/>
                <w:szCs w:val="22"/>
                <w:lang w:eastAsia="en-GB" w:bidi="ar-SA"/>
              </w:rPr>
            </w:pPr>
          </w:p>
        </w:tc>
        <w:tc>
          <w:tcPr>
            <w:tcW w:w="2671" w:type="dxa"/>
          </w:tcPr>
          <w:p w14:paraId="65C2644E"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a</w:t>
            </w:r>
          </w:p>
          <w:p w14:paraId="6D8EEBA9" w14:textId="77777777" w:rsidR="00C04CAD" w:rsidRDefault="00060E34">
            <w:pPr>
              <w:keepNext/>
              <w:keepLines/>
              <w:tabs>
                <w:tab w:val="clear" w:pos="567"/>
              </w:tabs>
              <w:autoSpaceDE w:val="0"/>
              <w:autoSpaceDN w:val="0"/>
              <w:adjustRightInd w:val="0"/>
              <w:spacing w:line="240" w:lineRule="auto"/>
              <w:jc w:val="center"/>
              <w:rPr>
                <w:szCs w:val="22"/>
              </w:rPr>
            </w:pPr>
            <w:r>
              <w:rPr>
                <w:rFonts w:eastAsia="PMingLiU"/>
                <w:b/>
                <w:bCs/>
                <w:szCs w:val="22"/>
                <w:lang w:eastAsia="en-GB" w:bidi="ar-SA"/>
              </w:rPr>
              <w:t xml:space="preserve">Maximum of 40 mg </w:t>
            </w:r>
            <w:r>
              <w:rPr>
                <w:b/>
                <w:bCs/>
                <w:szCs w:val="22"/>
              </w:rPr>
              <w:t xml:space="preserve">la două săptămâni </w:t>
            </w:r>
          </w:p>
          <w:p w14:paraId="1EF39EBE"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N = 31</w:t>
            </w:r>
          </w:p>
        </w:tc>
        <w:tc>
          <w:tcPr>
            <w:tcW w:w="3021" w:type="dxa"/>
          </w:tcPr>
          <w:p w14:paraId="031DABAE"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Adalimumab</w:t>
            </w:r>
            <w:r>
              <w:rPr>
                <w:rFonts w:eastAsia="PMingLiU"/>
                <w:b/>
                <w:bCs/>
                <w:szCs w:val="22"/>
                <w:vertAlign w:val="superscript"/>
                <w:lang w:eastAsia="en-GB" w:bidi="ar-SA"/>
              </w:rPr>
              <w:t>b</w:t>
            </w:r>
          </w:p>
          <w:p w14:paraId="244FDEB8"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of 40 mg în fiecare săptămână</w:t>
            </w:r>
          </w:p>
          <w:p w14:paraId="27200EA4" w14:textId="77777777" w:rsidR="00C04CAD" w:rsidRDefault="00060E34">
            <w:pPr>
              <w:keepNext/>
              <w:keepLines/>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N = 31</w:t>
            </w:r>
          </w:p>
        </w:tc>
      </w:tr>
      <w:tr w:rsidR="00C04CAD" w14:paraId="7307EE59" w14:textId="77777777">
        <w:tc>
          <w:tcPr>
            <w:tcW w:w="3261" w:type="dxa"/>
          </w:tcPr>
          <w:p w14:paraId="57F78D7A" w14:textId="77777777" w:rsidR="00C04CAD" w:rsidRDefault="00060E34">
            <w:pPr>
              <w:keepNext/>
              <w:keepLines/>
              <w:tabs>
                <w:tab w:val="clear" w:pos="567"/>
              </w:tabs>
              <w:autoSpaceDE w:val="0"/>
              <w:autoSpaceDN w:val="0"/>
              <w:adjustRightInd w:val="0"/>
              <w:spacing w:line="240" w:lineRule="auto"/>
              <w:rPr>
                <w:rFonts w:eastAsia="PMingLiU"/>
                <w:szCs w:val="22"/>
                <w:lang w:eastAsia="en-GB" w:bidi="ar-SA"/>
              </w:rPr>
            </w:pPr>
            <w:r>
              <w:rPr>
                <w:szCs w:val="22"/>
              </w:rPr>
              <w:t xml:space="preserve">Remisie clinică la pacienţii care au avut un răspuns conform PMS în săptămâna 8 </w:t>
            </w:r>
          </w:p>
        </w:tc>
        <w:tc>
          <w:tcPr>
            <w:tcW w:w="2671" w:type="dxa"/>
          </w:tcPr>
          <w:p w14:paraId="4EFB6280"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9/31 (29,0%) </w:t>
            </w:r>
          </w:p>
        </w:tc>
        <w:tc>
          <w:tcPr>
            <w:tcW w:w="3021" w:type="dxa"/>
          </w:tcPr>
          <w:p w14:paraId="1CFEB8E5"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14/31 (45,2%) </w:t>
            </w:r>
          </w:p>
        </w:tc>
      </w:tr>
      <w:tr w:rsidR="00C04CAD" w14:paraId="1F3BA22B" w14:textId="77777777">
        <w:tc>
          <w:tcPr>
            <w:tcW w:w="3261" w:type="dxa"/>
          </w:tcPr>
          <w:p w14:paraId="124FBF46"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clinic la pacienții care au avut un răspuns conform PMS în săptămâna 8 </w:t>
            </w:r>
          </w:p>
        </w:tc>
        <w:tc>
          <w:tcPr>
            <w:tcW w:w="2671" w:type="dxa"/>
          </w:tcPr>
          <w:p w14:paraId="1869AC7C"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19/31 (61,3%) </w:t>
            </w:r>
          </w:p>
        </w:tc>
        <w:tc>
          <w:tcPr>
            <w:tcW w:w="3021" w:type="dxa"/>
          </w:tcPr>
          <w:p w14:paraId="290AD289"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21/31 (67,7%) </w:t>
            </w:r>
          </w:p>
        </w:tc>
      </w:tr>
      <w:tr w:rsidR="00C04CAD" w14:paraId="406D2C90" w14:textId="77777777">
        <w:tc>
          <w:tcPr>
            <w:tcW w:w="3261" w:type="dxa"/>
          </w:tcPr>
          <w:p w14:paraId="4DC921A3"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Vindecarea mucoasei la pacienții care au avut un răspuns conform PMS în săptămâna 8 </w:t>
            </w:r>
          </w:p>
        </w:tc>
        <w:tc>
          <w:tcPr>
            <w:tcW w:w="2671" w:type="dxa"/>
          </w:tcPr>
          <w:p w14:paraId="381C5823"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12/31 (38,7%) </w:t>
            </w:r>
          </w:p>
        </w:tc>
        <w:tc>
          <w:tcPr>
            <w:tcW w:w="3021" w:type="dxa"/>
          </w:tcPr>
          <w:p w14:paraId="326DFC19"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16/31 (51,6%) </w:t>
            </w:r>
          </w:p>
        </w:tc>
      </w:tr>
      <w:tr w:rsidR="00C04CAD" w14:paraId="7AE03701" w14:textId="77777777">
        <w:tc>
          <w:tcPr>
            <w:tcW w:w="3261" w:type="dxa"/>
          </w:tcPr>
          <w:p w14:paraId="37537637"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Remisie clinică la pacienții în remisie conform PMS în săptămâna 8 </w:t>
            </w:r>
          </w:p>
        </w:tc>
        <w:tc>
          <w:tcPr>
            <w:tcW w:w="2671" w:type="dxa"/>
          </w:tcPr>
          <w:p w14:paraId="17EAF70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9/21 (42,9%) </w:t>
            </w:r>
          </w:p>
        </w:tc>
        <w:tc>
          <w:tcPr>
            <w:tcW w:w="3021" w:type="dxa"/>
          </w:tcPr>
          <w:p w14:paraId="2C1348E5"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10/22 (45,5%) </w:t>
            </w:r>
          </w:p>
        </w:tc>
      </w:tr>
      <w:tr w:rsidR="00C04CAD" w14:paraId="28E5AC60" w14:textId="77777777">
        <w:tc>
          <w:tcPr>
            <w:tcW w:w="3261" w:type="dxa"/>
          </w:tcPr>
          <w:p w14:paraId="06AB1BF3" w14:textId="77777777" w:rsidR="00C04CAD" w:rsidRDefault="00060E34">
            <w:pPr>
              <w:keepNext/>
              <w:keepLines/>
              <w:tabs>
                <w:tab w:val="clear" w:pos="567"/>
              </w:tabs>
              <w:autoSpaceDE w:val="0"/>
              <w:autoSpaceDN w:val="0"/>
              <w:adjustRightInd w:val="0"/>
              <w:spacing w:line="240" w:lineRule="auto"/>
              <w:rPr>
                <w:rFonts w:eastAsia="PMingLiU"/>
                <w:szCs w:val="22"/>
                <w:lang w:eastAsia="en-GB" w:bidi="ar-SA"/>
              </w:rPr>
            </w:pPr>
            <w:r>
              <w:rPr>
                <w:szCs w:val="22"/>
              </w:rPr>
              <w:t>Remisie fără corticosteroizi la pacienții care au avut un răspuns conform PMS în săptămâna 8</w:t>
            </w:r>
            <w:r>
              <w:rPr>
                <w:szCs w:val="22"/>
                <w:vertAlign w:val="superscript"/>
              </w:rPr>
              <w:t>c</w:t>
            </w:r>
            <w:r>
              <w:rPr>
                <w:szCs w:val="22"/>
              </w:rPr>
              <w:t xml:space="preserve"> </w:t>
            </w:r>
          </w:p>
        </w:tc>
        <w:tc>
          <w:tcPr>
            <w:tcW w:w="2671" w:type="dxa"/>
          </w:tcPr>
          <w:p w14:paraId="6D5BF30B"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4/13 (30,8%) </w:t>
            </w:r>
          </w:p>
        </w:tc>
        <w:tc>
          <w:tcPr>
            <w:tcW w:w="3021" w:type="dxa"/>
          </w:tcPr>
          <w:p w14:paraId="7B87EEEB" w14:textId="77777777" w:rsidR="00C04CAD" w:rsidRDefault="00060E34">
            <w:pPr>
              <w:keepNext/>
              <w:keepLines/>
              <w:tabs>
                <w:tab w:val="clear" w:pos="567"/>
              </w:tabs>
              <w:autoSpaceDE w:val="0"/>
              <w:autoSpaceDN w:val="0"/>
              <w:adjustRightInd w:val="0"/>
              <w:spacing w:line="240" w:lineRule="auto"/>
              <w:jc w:val="center"/>
              <w:rPr>
                <w:rFonts w:eastAsia="PMingLiU"/>
                <w:szCs w:val="22"/>
                <w:lang w:eastAsia="en-GB" w:bidi="ar-SA"/>
              </w:rPr>
            </w:pPr>
            <w:r>
              <w:rPr>
                <w:szCs w:val="22"/>
              </w:rPr>
              <w:t xml:space="preserve">5/16 (31,3%) </w:t>
            </w:r>
          </w:p>
        </w:tc>
      </w:tr>
      <w:tr w:rsidR="00C04CAD" w14:paraId="329F22D5" w14:textId="77777777">
        <w:tc>
          <w:tcPr>
            <w:tcW w:w="8953" w:type="dxa"/>
            <w:gridSpan w:val="3"/>
          </w:tcPr>
          <w:p w14:paraId="0E12B439"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a</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 mg/kg (maximum 40 mg) la două săptămâni</w:t>
            </w:r>
          </w:p>
          <w:p w14:paraId="7E989DE9"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 mg/kg (maximum 40 mg) în fiecare săptămână</w:t>
            </w:r>
          </w:p>
          <w:p w14:paraId="3FEEDE1E" w14:textId="77777777" w:rsidR="00C04CAD" w:rsidRDefault="00060E34">
            <w:pPr>
              <w:keepNext/>
              <w:keepLines/>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La pacienții cărora li s-au administrat concomitent corticosteroizi la momentul inițial</w:t>
            </w:r>
          </w:p>
          <w:p w14:paraId="49CC0315" w14:textId="77777777" w:rsidR="00C04CAD" w:rsidRDefault="00060E34">
            <w:pPr>
              <w:keepNext/>
              <w:keepLines/>
              <w:tabs>
                <w:tab w:val="clear" w:pos="567"/>
              </w:tabs>
              <w:autoSpaceDE w:val="0"/>
              <w:autoSpaceDN w:val="0"/>
              <w:adjustRightInd w:val="0"/>
              <w:spacing w:line="240" w:lineRule="auto"/>
              <w:rPr>
                <w:szCs w:val="22"/>
              </w:rPr>
            </w:pPr>
            <w:r>
              <w:rPr>
                <w:rFonts w:eastAsia="PMingLiU"/>
                <w:sz w:val="20"/>
                <w:lang w:eastAsia="en-GB" w:bidi="ar-SA"/>
              </w:rPr>
              <w:t>Notă: s-a considerat că pacienții cu valori lipsă în săptămâna 52 sau care au fost randomizați pentru a primi tratament de re-inducție sau de întreținere nu au avut un răspuns conform criteriilor finale de evaluare pentru săptămâna 52</w:t>
            </w:r>
          </w:p>
        </w:tc>
      </w:tr>
    </w:tbl>
    <w:p w14:paraId="1E0815EE"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373E090E"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Criteriile de evaluare exploratorie suplimentare privind eficacitatea au inclus răspunsul clinic conform Indexului de activitate al colitei ulcerative la copii și adolescenți (PUCAI) (definit ca o scădere a PUCAI ≥ 20 de puncte față de valoarea inițială) și remisia clinică conform PUCAI (definită ca PUCAI &lt; 10) în săptămâna 8 și săptămâna 52 (tabelul 33).</w:t>
      </w:r>
    </w:p>
    <w:p w14:paraId="61EE1D66" w14:textId="77777777" w:rsidR="00C04CAD" w:rsidRDefault="00C04CAD">
      <w:pPr>
        <w:tabs>
          <w:tab w:val="clear" w:pos="567"/>
        </w:tabs>
        <w:autoSpaceDE w:val="0"/>
        <w:autoSpaceDN w:val="0"/>
        <w:adjustRightInd w:val="0"/>
        <w:spacing w:line="240" w:lineRule="auto"/>
        <w:rPr>
          <w:rFonts w:eastAsia="PMingLiU"/>
          <w:b/>
          <w:bCs/>
          <w:szCs w:val="22"/>
          <w:lang w:eastAsia="en-GB" w:bidi="ar-SA"/>
        </w:rPr>
      </w:pPr>
    </w:p>
    <w:p w14:paraId="06EABE8E" w14:textId="77777777" w:rsidR="00C04CAD" w:rsidRDefault="00060E34">
      <w:pPr>
        <w:keepNext/>
        <w:tabs>
          <w:tab w:val="clear" w:pos="567"/>
        </w:tabs>
        <w:autoSpaceDE w:val="0"/>
        <w:autoSpaceDN w:val="0"/>
        <w:adjustRightInd w:val="0"/>
        <w:spacing w:line="240" w:lineRule="auto"/>
        <w:rPr>
          <w:rFonts w:eastAsia="PMingLiU"/>
          <w:b/>
          <w:bCs/>
          <w:szCs w:val="22"/>
          <w:lang w:eastAsia="en-GB" w:bidi="ar-SA"/>
        </w:rPr>
      </w:pPr>
      <w:r>
        <w:rPr>
          <w:rFonts w:eastAsia="PMingLiU"/>
          <w:b/>
          <w:bCs/>
          <w:szCs w:val="22"/>
          <w:lang w:eastAsia="en-GB" w:bidi="ar-SA"/>
        </w:rPr>
        <w:t>Tabelul 33. Rezultatele privind criteriile de evaluare exploratorie conform PUCAI</w:t>
      </w:r>
    </w:p>
    <w:p w14:paraId="769D01A8"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C04CAD" w14:paraId="0AAB0248" w14:textId="77777777">
        <w:tc>
          <w:tcPr>
            <w:tcW w:w="2912" w:type="dxa"/>
          </w:tcPr>
          <w:p w14:paraId="00559374"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6041" w:type="dxa"/>
            <w:gridSpan w:val="2"/>
          </w:tcPr>
          <w:p w14:paraId="6E0681B6"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8</w:t>
            </w:r>
          </w:p>
        </w:tc>
      </w:tr>
      <w:tr w:rsidR="00C04CAD" w14:paraId="1B41237F" w14:textId="77777777">
        <w:tc>
          <w:tcPr>
            <w:tcW w:w="2912" w:type="dxa"/>
          </w:tcPr>
          <w:p w14:paraId="5D8339E1"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0E504FA6"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a</w:t>
            </w:r>
          </w:p>
          <w:p w14:paraId="3A0C3DCA"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160 mg în</w:t>
            </w:r>
          </w:p>
          <w:p w14:paraId="02AB47DA"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0 / Placebo în săptămâna 1</w:t>
            </w:r>
          </w:p>
          <w:p w14:paraId="7FF02506"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 = 30</w:t>
            </w:r>
          </w:p>
        </w:tc>
        <w:tc>
          <w:tcPr>
            <w:tcW w:w="3021" w:type="dxa"/>
          </w:tcPr>
          <w:p w14:paraId="3AC9452D" w14:textId="77777777" w:rsidR="00C04CAD" w:rsidRDefault="00060E34">
            <w:pPr>
              <w:keepNext/>
              <w:tabs>
                <w:tab w:val="clear" w:pos="567"/>
              </w:tabs>
              <w:autoSpaceDE w:val="0"/>
              <w:autoSpaceDN w:val="0"/>
              <w:adjustRightInd w:val="0"/>
              <w:spacing w:line="240" w:lineRule="auto"/>
              <w:jc w:val="center"/>
              <w:rPr>
                <w:rFonts w:eastAsia="PMingLiU"/>
                <w:b/>
                <w:bCs/>
                <w:szCs w:val="22"/>
                <w:vertAlign w:val="superscript"/>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b,c</w:t>
            </w:r>
          </w:p>
          <w:p w14:paraId="566FB2C7"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160 mg în</w:t>
            </w:r>
          </w:p>
          <w:p w14:paraId="162A578F"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săptămâna 0 și săptămâna 1</w:t>
            </w:r>
          </w:p>
          <w:p w14:paraId="716DC590"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 = 47</w:t>
            </w:r>
          </w:p>
        </w:tc>
      </w:tr>
      <w:tr w:rsidR="00C04CAD" w14:paraId="36255480" w14:textId="77777777">
        <w:tc>
          <w:tcPr>
            <w:tcW w:w="2912" w:type="dxa"/>
          </w:tcPr>
          <w:p w14:paraId="2CFB6E1E"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Remisie clinică conform PUCAI </w:t>
            </w:r>
          </w:p>
        </w:tc>
        <w:tc>
          <w:tcPr>
            <w:tcW w:w="3020" w:type="dxa"/>
          </w:tcPr>
          <w:p w14:paraId="44BC4A77"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10/30 (33,3%) </w:t>
            </w:r>
          </w:p>
        </w:tc>
        <w:tc>
          <w:tcPr>
            <w:tcW w:w="3021" w:type="dxa"/>
          </w:tcPr>
          <w:p w14:paraId="0681A1B5"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22/47 (46,8%) </w:t>
            </w:r>
          </w:p>
        </w:tc>
      </w:tr>
      <w:tr w:rsidR="00C04CAD" w14:paraId="7EC27FF8" w14:textId="77777777">
        <w:tc>
          <w:tcPr>
            <w:tcW w:w="2912" w:type="dxa"/>
          </w:tcPr>
          <w:p w14:paraId="512791BC"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szCs w:val="22"/>
              </w:rPr>
              <w:t xml:space="preserve">Răspuns clinic conform PUCAI </w:t>
            </w:r>
          </w:p>
        </w:tc>
        <w:tc>
          <w:tcPr>
            <w:tcW w:w="3020" w:type="dxa"/>
          </w:tcPr>
          <w:p w14:paraId="760EADF6"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15/30 (50,0%) </w:t>
            </w:r>
          </w:p>
        </w:tc>
        <w:tc>
          <w:tcPr>
            <w:tcW w:w="3021" w:type="dxa"/>
          </w:tcPr>
          <w:p w14:paraId="2C34C050" w14:textId="77777777" w:rsidR="00C04CAD" w:rsidRDefault="00060E34">
            <w:pPr>
              <w:tabs>
                <w:tab w:val="clear" w:pos="567"/>
              </w:tabs>
              <w:autoSpaceDE w:val="0"/>
              <w:autoSpaceDN w:val="0"/>
              <w:adjustRightInd w:val="0"/>
              <w:spacing w:line="240" w:lineRule="auto"/>
              <w:jc w:val="center"/>
              <w:rPr>
                <w:rFonts w:eastAsia="PMingLiU"/>
                <w:szCs w:val="22"/>
                <w:lang w:eastAsia="en-GB" w:bidi="ar-SA"/>
              </w:rPr>
            </w:pPr>
            <w:r>
              <w:rPr>
                <w:szCs w:val="22"/>
              </w:rPr>
              <w:t xml:space="preserve">32/47 (68,1%) </w:t>
            </w:r>
          </w:p>
        </w:tc>
      </w:tr>
      <w:tr w:rsidR="00C04CAD" w14:paraId="190BC811" w14:textId="77777777">
        <w:tc>
          <w:tcPr>
            <w:tcW w:w="2912" w:type="dxa"/>
          </w:tcPr>
          <w:p w14:paraId="06B4552B"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6041" w:type="dxa"/>
            <w:gridSpan w:val="2"/>
          </w:tcPr>
          <w:p w14:paraId="4F3400B4"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b/>
                <w:bCs/>
                <w:szCs w:val="22"/>
                <w:lang w:eastAsia="en-IN" w:bidi="ar-SA"/>
              </w:rPr>
              <w:t>Săptămâna 52</w:t>
            </w:r>
          </w:p>
        </w:tc>
      </w:tr>
      <w:tr w:rsidR="00C04CAD" w14:paraId="640F5F0B" w14:textId="77777777">
        <w:tc>
          <w:tcPr>
            <w:tcW w:w="2912" w:type="dxa"/>
          </w:tcPr>
          <w:p w14:paraId="7407035F" w14:textId="77777777" w:rsidR="00C04CAD" w:rsidRDefault="00C04CAD">
            <w:pPr>
              <w:keepNext/>
              <w:tabs>
                <w:tab w:val="clear" w:pos="567"/>
              </w:tabs>
              <w:autoSpaceDE w:val="0"/>
              <w:autoSpaceDN w:val="0"/>
              <w:adjustRightInd w:val="0"/>
              <w:spacing w:line="240" w:lineRule="auto"/>
              <w:rPr>
                <w:rFonts w:eastAsia="PMingLiU"/>
                <w:szCs w:val="22"/>
                <w:lang w:eastAsia="en-GB" w:bidi="ar-SA"/>
              </w:rPr>
            </w:pPr>
          </w:p>
        </w:tc>
        <w:tc>
          <w:tcPr>
            <w:tcW w:w="3020" w:type="dxa"/>
          </w:tcPr>
          <w:p w14:paraId="4C19537D"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d</w:t>
            </w:r>
          </w:p>
          <w:p w14:paraId="02A4C58B"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 xml:space="preserve">Maximum 40 mg </w:t>
            </w:r>
          </w:p>
          <w:p w14:paraId="063B24E4" w14:textId="77777777" w:rsidR="00C04CAD" w:rsidRDefault="00060E34">
            <w:pPr>
              <w:pStyle w:val="Default"/>
              <w:keepNext/>
              <w:jc w:val="center"/>
              <w:rPr>
                <w:sz w:val="22"/>
                <w:szCs w:val="22"/>
                <w:lang w:val="ro-RO"/>
              </w:rPr>
            </w:pPr>
            <w:r>
              <w:rPr>
                <w:b/>
                <w:bCs/>
                <w:sz w:val="22"/>
                <w:szCs w:val="22"/>
                <w:lang w:val="ro-RO"/>
              </w:rPr>
              <w:t xml:space="preserve">la două săptămâni </w:t>
            </w:r>
          </w:p>
          <w:p w14:paraId="2602E592"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 = 31</w:t>
            </w:r>
          </w:p>
        </w:tc>
        <w:tc>
          <w:tcPr>
            <w:tcW w:w="3021" w:type="dxa"/>
          </w:tcPr>
          <w:p w14:paraId="582DD8FC"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color w:val="000000"/>
                <w:szCs w:val="22"/>
                <w:lang w:eastAsia="en-GB" w:bidi="ar-SA"/>
              </w:rPr>
              <w:t>Adalimumab</w:t>
            </w:r>
            <w:r>
              <w:rPr>
                <w:rFonts w:eastAsia="PMingLiU"/>
                <w:b/>
                <w:bCs/>
                <w:szCs w:val="22"/>
                <w:vertAlign w:val="superscript"/>
                <w:lang w:eastAsia="en-GB" w:bidi="ar-SA"/>
              </w:rPr>
              <w:t>e</w:t>
            </w:r>
          </w:p>
          <w:p w14:paraId="71EA2D06" w14:textId="77777777" w:rsidR="00C04CAD" w:rsidRDefault="00060E34">
            <w:pPr>
              <w:keepNext/>
              <w:tabs>
                <w:tab w:val="clear" w:pos="567"/>
              </w:tabs>
              <w:autoSpaceDE w:val="0"/>
              <w:autoSpaceDN w:val="0"/>
              <w:adjustRightInd w:val="0"/>
              <w:spacing w:line="240" w:lineRule="auto"/>
              <w:jc w:val="center"/>
              <w:rPr>
                <w:rFonts w:eastAsia="PMingLiU"/>
                <w:b/>
                <w:bCs/>
                <w:szCs w:val="22"/>
                <w:lang w:eastAsia="en-GB" w:bidi="ar-SA"/>
              </w:rPr>
            </w:pPr>
            <w:r>
              <w:rPr>
                <w:rFonts w:eastAsia="PMingLiU"/>
                <w:b/>
                <w:bCs/>
                <w:szCs w:val="22"/>
                <w:lang w:eastAsia="en-GB" w:bidi="ar-SA"/>
              </w:rPr>
              <w:t>Maximum 40 mg în fiecare săptămână</w:t>
            </w:r>
          </w:p>
          <w:p w14:paraId="3FCE2FDF"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rFonts w:eastAsia="PMingLiU"/>
                <w:szCs w:val="22"/>
                <w:lang w:eastAsia="en-GB" w:bidi="ar-SA"/>
              </w:rPr>
              <w:t>N = 31</w:t>
            </w:r>
          </w:p>
        </w:tc>
      </w:tr>
      <w:tr w:rsidR="00C04CAD" w14:paraId="51C48119" w14:textId="77777777">
        <w:tc>
          <w:tcPr>
            <w:tcW w:w="2912" w:type="dxa"/>
          </w:tcPr>
          <w:p w14:paraId="3CBE0B74"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Remisie clinică conform PUCAI la pacienții care au avut un răspuns conform PMS în săptămâna 8 </w:t>
            </w:r>
          </w:p>
        </w:tc>
        <w:tc>
          <w:tcPr>
            <w:tcW w:w="3020" w:type="dxa"/>
          </w:tcPr>
          <w:p w14:paraId="61CA2E8A"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14/31 (45,2%) </w:t>
            </w:r>
          </w:p>
        </w:tc>
        <w:tc>
          <w:tcPr>
            <w:tcW w:w="3021" w:type="dxa"/>
          </w:tcPr>
          <w:p w14:paraId="24685653"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18/31 (58,1%) </w:t>
            </w:r>
          </w:p>
        </w:tc>
      </w:tr>
      <w:tr w:rsidR="00C04CAD" w14:paraId="61740110" w14:textId="77777777">
        <w:tc>
          <w:tcPr>
            <w:tcW w:w="2912" w:type="dxa"/>
          </w:tcPr>
          <w:p w14:paraId="7A9978D7" w14:textId="77777777" w:rsidR="00C04CAD" w:rsidRDefault="00060E34">
            <w:pPr>
              <w:keepNext/>
              <w:tabs>
                <w:tab w:val="clear" w:pos="567"/>
              </w:tabs>
              <w:autoSpaceDE w:val="0"/>
              <w:autoSpaceDN w:val="0"/>
              <w:adjustRightInd w:val="0"/>
              <w:spacing w:line="240" w:lineRule="auto"/>
              <w:rPr>
                <w:rFonts w:eastAsia="PMingLiU"/>
                <w:szCs w:val="22"/>
                <w:lang w:eastAsia="en-GB" w:bidi="ar-SA"/>
              </w:rPr>
            </w:pPr>
            <w:r>
              <w:rPr>
                <w:szCs w:val="22"/>
              </w:rPr>
              <w:t xml:space="preserve">Răspuns clinic conform PUCAI la pacienții care au avut un răspuns conform PMS în săptămâna 8 </w:t>
            </w:r>
          </w:p>
        </w:tc>
        <w:tc>
          <w:tcPr>
            <w:tcW w:w="3020" w:type="dxa"/>
          </w:tcPr>
          <w:p w14:paraId="6CBDCB5C"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18/31 (58,1%) </w:t>
            </w:r>
          </w:p>
        </w:tc>
        <w:tc>
          <w:tcPr>
            <w:tcW w:w="3021" w:type="dxa"/>
          </w:tcPr>
          <w:p w14:paraId="482F80FB" w14:textId="77777777" w:rsidR="00C04CAD" w:rsidRDefault="00060E34">
            <w:pPr>
              <w:keepNext/>
              <w:tabs>
                <w:tab w:val="clear" w:pos="567"/>
              </w:tabs>
              <w:autoSpaceDE w:val="0"/>
              <w:autoSpaceDN w:val="0"/>
              <w:adjustRightInd w:val="0"/>
              <w:spacing w:line="240" w:lineRule="auto"/>
              <w:jc w:val="center"/>
              <w:rPr>
                <w:rFonts w:eastAsia="PMingLiU"/>
                <w:szCs w:val="22"/>
                <w:lang w:eastAsia="en-GB" w:bidi="ar-SA"/>
              </w:rPr>
            </w:pPr>
            <w:r>
              <w:rPr>
                <w:szCs w:val="22"/>
              </w:rPr>
              <w:t xml:space="preserve">16/31 (51,6%) </w:t>
            </w:r>
          </w:p>
        </w:tc>
      </w:tr>
      <w:tr w:rsidR="00C04CAD" w14:paraId="21DC418D" w14:textId="77777777">
        <w:tc>
          <w:tcPr>
            <w:tcW w:w="8953" w:type="dxa"/>
            <w:gridSpan w:val="3"/>
          </w:tcPr>
          <w:p w14:paraId="3A59A186"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a</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w:t>
            </w:r>
            <w:r>
              <w:rPr>
                <w:rFonts w:eastAsia="PMingLiU"/>
                <w:szCs w:val="22"/>
                <w:lang w:eastAsia="en-GB" w:bidi="ar-SA"/>
              </w:rPr>
              <w:t> </w:t>
            </w:r>
            <w:r>
              <w:rPr>
                <w:rFonts w:eastAsia="PMingLiU"/>
                <w:sz w:val="20"/>
                <w:lang w:eastAsia="en-GB" w:bidi="ar-SA"/>
              </w:rPr>
              <w:t>mg/kg (maximum 160</w:t>
            </w:r>
            <w:r>
              <w:rPr>
                <w:rFonts w:eastAsia="PMingLiU"/>
                <w:szCs w:val="22"/>
                <w:lang w:eastAsia="en-GB" w:bidi="ar-SA"/>
              </w:rPr>
              <w:t> </w:t>
            </w:r>
            <w:r>
              <w:rPr>
                <w:rFonts w:eastAsia="PMingLiU"/>
                <w:sz w:val="20"/>
                <w:lang w:eastAsia="en-GB" w:bidi="ar-SA"/>
              </w:rPr>
              <w:t>mg) în săptămâna 0, placebo în săptămâna 1 și 1,2 mg/kg (maximum 80 mg) în săptămâna 2</w:t>
            </w:r>
          </w:p>
          <w:p w14:paraId="1B965BF0"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b</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2,4</w:t>
            </w:r>
            <w:r>
              <w:rPr>
                <w:rFonts w:eastAsia="PMingLiU"/>
                <w:szCs w:val="22"/>
                <w:lang w:eastAsia="en-GB" w:bidi="ar-SA"/>
              </w:rPr>
              <w:t> </w:t>
            </w:r>
            <w:r>
              <w:rPr>
                <w:rFonts w:eastAsia="PMingLiU"/>
                <w:sz w:val="20"/>
                <w:lang w:eastAsia="en-GB" w:bidi="ar-SA"/>
              </w:rPr>
              <w:t>mg/kg (maximum 160</w:t>
            </w:r>
            <w:r>
              <w:rPr>
                <w:rFonts w:eastAsia="PMingLiU"/>
                <w:szCs w:val="22"/>
                <w:lang w:eastAsia="en-GB" w:bidi="ar-SA"/>
              </w:rPr>
              <w:t> </w:t>
            </w:r>
            <w:r>
              <w:rPr>
                <w:rFonts w:eastAsia="PMingLiU"/>
                <w:sz w:val="20"/>
                <w:lang w:eastAsia="en-GB" w:bidi="ar-SA"/>
              </w:rPr>
              <w:t>mg) în săptămâna 0 și săptămâna 1 și 1,2 mg/kg (maximum 80 mg) în săptămâna 2</w:t>
            </w:r>
          </w:p>
          <w:p w14:paraId="7251B9E3"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c</w:t>
            </w:r>
            <w:r>
              <w:rPr>
                <w:rFonts w:eastAsia="PMingLiU"/>
                <w:sz w:val="20"/>
                <w:lang w:eastAsia="en-GB" w:bidi="ar-SA"/>
              </w:rPr>
              <w:t xml:space="preserve"> Fără a include doza de inducție în regim deschis de adalimumab de 2,4 mg/kg (maximum 160 mg) în săptămâna 0 și săptămâna 1 și de 1,2 mg/kg (maximum 80 mg) în săptămâna 2</w:t>
            </w:r>
          </w:p>
          <w:p w14:paraId="4455200B"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d</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w:t>
            </w:r>
            <w:r>
              <w:rPr>
                <w:rFonts w:eastAsia="PMingLiU"/>
                <w:szCs w:val="22"/>
                <w:lang w:eastAsia="en-GB" w:bidi="ar-SA"/>
              </w:rPr>
              <w:t> </w:t>
            </w:r>
            <w:r>
              <w:rPr>
                <w:rFonts w:eastAsia="PMingLiU"/>
                <w:sz w:val="20"/>
                <w:lang w:eastAsia="en-GB" w:bidi="ar-SA"/>
              </w:rPr>
              <w:t>mg/kg (maximum 40</w:t>
            </w:r>
            <w:r>
              <w:rPr>
                <w:rFonts w:eastAsia="PMingLiU"/>
                <w:szCs w:val="22"/>
                <w:lang w:eastAsia="en-GB" w:bidi="ar-SA"/>
              </w:rPr>
              <w:t> </w:t>
            </w:r>
            <w:r>
              <w:rPr>
                <w:rFonts w:eastAsia="PMingLiU"/>
                <w:sz w:val="20"/>
                <w:lang w:eastAsia="en-GB" w:bidi="ar-SA"/>
              </w:rPr>
              <w:t>mg) la două săptămâni</w:t>
            </w:r>
          </w:p>
          <w:p w14:paraId="10BB131A" w14:textId="77777777" w:rsidR="00C04CAD" w:rsidRDefault="00060E34">
            <w:pPr>
              <w:tabs>
                <w:tab w:val="clear" w:pos="567"/>
              </w:tabs>
              <w:autoSpaceDE w:val="0"/>
              <w:autoSpaceDN w:val="0"/>
              <w:adjustRightInd w:val="0"/>
              <w:spacing w:line="240" w:lineRule="auto"/>
              <w:rPr>
                <w:rFonts w:eastAsia="PMingLiU"/>
                <w:sz w:val="20"/>
                <w:lang w:eastAsia="en-GB" w:bidi="ar-SA"/>
              </w:rPr>
            </w:pPr>
            <w:r>
              <w:rPr>
                <w:rFonts w:eastAsia="PMingLiU"/>
                <w:sz w:val="20"/>
                <w:vertAlign w:val="superscript"/>
                <w:lang w:eastAsia="en-GB" w:bidi="ar-SA"/>
              </w:rPr>
              <w:t>e</w:t>
            </w:r>
            <w:r>
              <w:rPr>
                <w:rFonts w:eastAsia="PMingLiU"/>
                <w:sz w:val="20"/>
                <w:lang w:eastAsia="en-GB" w:bidi="ar-SA"/>
              </w:rPr>
              <w:t xml:space="preserve"> A</w:t>
            </w:r>
            <w:r>
              <w:rPr>
                <w:rFonts w:eastAsia="PMingLiU"/>
                <w:color w:val="000000"/>
                <w:sz w:val="20"/>
                <w:lang w:eastAsia="en-GB" w:bidi="ar-SA"/>
              </w:rPr>
              <w:t>dalimumab</w:t>
            </w:r>
            <w:r>
              <w:rPr>
                <w:rFonts w:eastAsia="PMingLiU"/>
                <w:sz w:val="20"/>
                <w:lang w:eastAsia="en-GB" w:bidi="ar-SA"/>
              </w:rPr>
              <w:t xml:space="preserve"> 0,6</w:t>
            </w:r>
            <w:r>
              <w:rPr>
                <w:rFonts w:eastAsia="PMingLiU"/>
                <w:szCs w:val="22"/>
                <w:lang w:eastAsia="en-GB" w:bidi="ar-SA"/>
              </w:rPr>
              <w:t> </w:t>
            </w:r>
            <w:r>
              <w:rPr>
                <w:rFonts w:eastAsia="PMingLiU"/>
                <w:sz w:val="20"/>
                <w:lang w:eastAsia="en-GB" w:bidi="ar-SA"/>
              </w:rPr>
              <w:t>mg/kg (maximum 40</w:t>
            </w:r>
            <w:r>
              <w:rPr>
                <w:rFonts w:eastAsia="PMingLiU"/>
                <w:szCs w:val="22"/>
                <w:lang w:eastAsia="en-GB" w:bidi="ar-SA"/>
              </w:rPr>
              <w:t> </w:t>
            </w:r>
            <w:r>
              <w:rPr>
                <w:rFonts w:eastAsia="PMingLiU"/>
                <w:sz w:val="20"/>
                <w:lang w:eastAsia="en-GB" w:bidi="ar-SA"/>
              </w:rPr>
              <w:t>mg) în fiecare săptămână</w:t>
            </w:r>
          </w:p>
          <w:p w14:paraId="73D87C66" w14:textId="77777777" w:rsidR="00C04CAD" w:rsidRDefault="00060E34">
            <w:pPr>
              <w:keepNext/>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1: ambele grupuri cu doză de inducție au primit 0,6 mg/kg (maximum 40 mg) în săptămâna 4 și săptămâna 6</w:t>
            </w:r>
          </w:p>
          <w:p w14:paraId="5329387C" w14:textId="77777777" w:rsidR="00C04CAD" w:rsidRDefault="00060E34">
            <w:pPr>
              <w:keepNext/>
              <w:tabs>
                <w:tab w:val="clear" w:pos="567"/>
              </w:tabs>
              <w:autoSpaceDE w:val="0"/>
              <w:autoSpaceDN w:val="0"/>
              <w:adjustRightInd w:val="0"/>
              <w:spacing w:line="240" w:lineRule="auto"/>
              <w:rPr>
                <w:rFonts w:eastAsia="PMingLiU"/>
                <w:sz w:val="20"/>
                <w:lang w:eastAsia="en-GB" w:bidi="ar-SA"/>
              </w:rPr>
            </w:pPr>
            <w:r>
              <w:rPr>
                <w:rFonts w:eastAsia="PMingLiU"/>
                <w:sz w:val="20"/>
                <w:lang w:eastAsia="en-GB" w:bidi="ar-SA"/>
              </w:rPr>
              <w:t>Nota 2: s-a considerat că pacienții cu valori lipsă în săptămâna 8 nu au îndeplinit criteriile finale de evaluare</w:t>
            </w:r>
          </w:p>
          <w:p w14:paraId="6F68C862" w14:textId="77777777" w:rsidR="00C04CAD" w:rsidRDefault="00060E34">
            <w:pPr>
              <w:tabs>
                <w:tab w:val="clear" w:pos="567"/>
              </w:tabs>
              <w:autoSpaceDE w:val="0"/>
              <w:autoSpaceDN w:val="0"/>
              <w:adjustRightInd w:val="0"/>
              <w:spacing w:line="240" w:lineRule="auto"/>
              <w:rPr>
                <w:szCs w:val="22"/>
              </w:rPr>
            </w:pPr>
            <w:r>
              <w:rPr>
                <w:rFonts w:eastAsia="PMingLiU"/>
                <w:sz w:val="20"/>
                <w:lang w:eastAsia="en-GB" w:bidi="ar-SA"/>
              </w:rPr>
              <w:t>Nota 3: s-a considerat că pacienții cu valori lipsă în săptămâna 52 sau care au fost randomizați pentru a primi tratament de re-inducție sau de întreținere nu au avut un răspuns conform criteriilor finale de evaluare pentru săptămâna 52</w:t>
            </w:r>
          </w:p>
        </w:tc>
      </w:tr>
    </w:tbl>
    <w:p w14:paraId="19CB9212"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31AF79D5" w14:textId="77777777" w:rsidR="00C04CAD" w:rsidRDefault="00060E34">
      <w:pPr>
        <w:tabs>
          <w:tab w:val="clear" w:pos="567"/>
        </w:tabs>
        <w:autoSpaceDE w:val="0"/>
        <w:autoSpaceDN w:val="0"/>
        <w:adjustRightInd w:val="0"/>
        <w:spacing w:line="240" w:lineRule="auto"/>
        <w:rPr>
          <w:rFonts w:eastAsia="PMingLiU"/>
          <w:szCs w:val="22"/>
          <w:lang w:eastAsia="en-GB" w:bidi="ar-SA"/>
        </w:rPr>
      </w:pPr>
      <w:r>
        <w:rPr>
          <w:rFonts w:eastAsia="PMingLiU"/>
          <w:szCs w:val="22"/>
          <w:lang w:eastAsia="en-GB" w:bidi="ar-SA"/>
        </w:rPr>
        <w:t>Dintre pacienții tratați cu adalimumab care au primit tratament de re-inducție în timpul perioadei de întreținere, 2/6 (33%) au obținut un răspuns clinic conform FMS în săptămâna 52.</w:t>
      </w:r>
    </w:p>
    <w:p w14:paraId="33E1AA2F" w14:textId="77777777" w:rsidR="00C04CAD" w:rsidRDefault="00C04CAD">
      <w:pPr>
        <w:tabs>
          <w:tab w:val="clear" w:pos="567"/>
        </w:tabs>
        <w:autoSpaceDE w:val="0"/>
        <w:autoSpaceDN w:val="0"/>
        <w:adjustRightInd w:val="0"/>
        <w:spacing w:line="240" w:lineRule="auto"/>
        <w:rPr>
          <w:rFonts w:eastAsia="PMingLiU"/>
          <w:szCs w:val="22"/>
          <w:lang w:eastAsia="en-GB" w:bidi="ar-SA"/>
        </w:rPr>
      </w:pPr>
    </w:p>
    <w:p w14:paraId="734AA3B0"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i/>
          <w:iCs/>
          <w:color w:val="000000"/>
          <w:szCs w:val="22"/>
          <w:u w:val="single"/>
          <w:lang w:eastAsia="ja-JP" w:bidi="ar-SA"/>
        </w:rPr>
        <w:t xml:space="preserve">Calitatea vieții </w:t>
      </w:r>
    </w:p>
    <w:p w14:paraId="1176963E"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D6E9361"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S-au observat ameliorări semnificative din punct de vedere clinic față de valoarea inițială pentru IMPACT III și pentru scorurile WPAI (Scăderea productivității muncii și limitarea activităților) la grupurile tratate cu adalimumab.</w:t>
      </w:r>
    </w:p>
    <w:p w14:paraId="6618B552"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5CF0F6C2"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S-au observat creșteri (ameliorări) semnificative din punct de vedere clinic față de valoarea inițială ale vitezei de creștere în înălțime la grupurile tratate cu adalimumab și creșteri (ameliorări) semnificative din punct de vedere clinic față de valoarea inițială ale indicelui de masă corporală la subiecții cărora li s-a administrat o doză mare de întreținere de maximum 40 mg (0,6 mg/kg) în fiecare săptămână.</w:t>
      </w:r>
    </w:p>
    <w:p w14:paraId="233766DE"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F7205D4" w14:textId="77777777" w:rsidR="00C04CAD" w:rsidRDefault="00060E34">
      <w:pPr>
        <w:keepNext/>
        <w:tabs>
          <w:tab w:val="clear" w:pos="567"/>
        </w:tabs>
        <w:autoSpaceDE w:val="0"/>
        <w:autoSpaceDN w:val="0"/>
        <w:adjustRightInd w:val="0"/>
        <w:spacing w:line="240" w:lineRule="auto"/>
        <w:rPr>
          <w:rFonts w:eastAsia="MS Mincho"/>
          <w:i/>
          <w:iCs/>
          <w:color w:val="000000"/>
          <w:szCs w:val="22"/>
          <w:lang w:eastAsia="ja-JP" w:bidi="ar-SA"/>
        </w:rPr>
      </w:pPr>
      <w:r>
        <w:rPr>
          <w:rFonts w:eastAsia="MS Mincho"/>
          <w:i/>
          <w:iCs/>
          <w:color w:val="000000"/>
          <w:szCs w:val="22"/>
          <w:lang w:eastAsia="ja-JP" w:bidi="ar-SA"/>
        </w:rPr>
        <w:t>Uveită la copii</w:t>
      </w:r>
    </w:p>
    <w:p w14:paraId="74564BD0"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2DA75470"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Siguranța și eficacitatea adalimumabului au fost evaluate într-un studiu controlat, dublu orb, randomizat, la 90 pacienți copii cu vârsta de la 2 până la &lt; 18 ani cu AJI activă asociată cu uveită anterioară noninfecțioasă care nu au răspuns la tratamentul cu metotrexat timp de cel puțin 12 săptămâni. Pacienții au primit fie placebo, fie adalimumab 20 mg (dacă aveau &lt; 30 kg) sau adalimumab 40 mg (dacă aveau ≥ 30 kg) la două săptămâni asociat cu doza lor inițială de metotrexat.</w:t>
      </w:r>
    </w:p>
    <w:p w14:paraId="075F197E"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661B13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Obiectivul primar a fost „timpul până la apariția eșecului la tratament”. Criteriile care au caracterizat eșecul la tratament au fost agravarea sau non-ameliorarea susținută a inflamației oculare, ameliorarea parțială cu dezvoltarea de comorbidități oculare susținute sau agravarea comorbidităților oculare, utilizarea neautorizată a medicamentelor concomitente și oprirea tratamentului pe o perioadă lungă de timp.</w:t>
      </w:r>
    </w:p>
    <w:p w14:paraId="4CD87EE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888F0F5"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Răspuns clinic </w:t>
      </w:r>
    </w:p>
    <w:p w14:paraId="2890B1B6" w14:textId="77777777" w:rsidR="00C04CAD" w:rsidRDefault="00C04CAD">
      <w:pPr>
        <w:keepNext/>
        <w:tabs>
          <w:tab w:val="clear" w:pos="567"/>
        </w:tabs>
        <w:spacing w:line="240" w:lineRule="auto"/>
        <w:rPr>
          <w:rFonts w:eastAsia="MS Mincho"/>
          <w:color w:val="000000"/>
          <w:szCs w:val="22"/>
          <w:lang w:eastAsia="ja-JP" w:bidi="ar-SA"/>
        </w:rPr>
      </w:pPr>
    </w:p>
    <w:p w14:paraId="51FE4A43" w14:textId="77777777" w:rsidR="00C04CAD" w:rsidRDefault="00060E34">
      <w:pPr>
        <w:tabs>
          <w:tab w:val="clear" w:pos="567"/>
        </w:tabs>
        <w:spacing w:line="240" w:lineRule="auto"/>
        <w:rPr>
          <w:rFonts w:eastAsia="PMingLiU"/>
          <w:bCs/>
          <w:lang w:eastAsia="en-US" w:bidi="ar-SA"/>
        </w:rPr>
      </w:pPr>
      <w:r>
        <w:rPr>
          <w:rFonts w:eastAsia="MS Mincho"/>
          <w:color w:val="000000"/>
          <w:szCs w:val="22"/>
          <w:lang w:eastAsia="ja-JP" w:bidi="ar-SA"/>
        </w:rPr>
        <w:t>Adalimumabul a întârziat semnificativ timpul până la apariția eșecului la tratament comparativ cu placebo (vezi figura 3, p &lt; 0,0001 din testul de tip log rank). Timpul median până la apariția eșecului la tratament a fost de 24,1 săptămâni pentru subiecții tratați cu placebo, în timp ce la subiecții tratați cu adalimumab, timpul median până la apariția eșecului la tratament nu a putut fi estimat deoarece mai puțin de jumătate dintre acești subiecți au prezentat eșec la tratament. Adalimumabul a scăzut semnificativ riscul de eșec la tratament, cu 75% față de placebo, după cum este demonstrat de rata de risc (SR = 0,25 [IÎ 95%: 0,12; 0,49]).</w:t>
      </w:r>
    </w:p>
    <w:p w14:paraId="2373E08E" w14:textId="77777777" w:rsidR="00C04CAD" w:rsidRDefault="00C04CAD">
      <w:pPr>
        <w:tabs>
          <w:tab w:val="clear" w:pos="567"/>
        </w:tabs>
        <w:spacing w:line="240" w:lineRule="auto"/>
        <w:rPr>
          <w:rFonts w:eastAsia="PMingLiU"/>
          <w:bCs/>
          <w:lang w:eastAsia="en-US" w:bidi="ar-SA"/>
        </w:rPr>
      </w:pPr>
    </w:p>
    <w:p w14:paraId="2F7A76DD" w14:textId="77777777" w:rsidR="00C04CAD" w:rsidRDefault="00060E34">
      <w:pPr>
        <w:keepNext/>
        <w:tabs>
          <w:tab w:val="clear" w:pos="567"/>
        </w:tabs>
        <w:spacing w:line="240" w:lineRule="auto"/>
        <w:rPr>
          <w:rFonts w:eastAsia="PMingLiU"/>
          <w:szCs w:val="22"/>
          <w:lang w:eastAsia="en-US" w:bidi="ar-SA"/>
        </w:rPr>
      </w:pPr>
      <w:r>
        <w:rPr>
          <w:rFonts w:eastAsia="PMingLiU"/>
          <w:b/>
          <w:szCs w:val="22"/>
          <w:lang w:eastAsia="en-US" w:bidi="ar-SA"/>
        </w:rPr>
        <w:t>Figura 3. Curbele Kaplan-Meier sumarizând timpul până la eșec la tratament în studiul privind uveita la copii</w:t>
      </w:r>
    </w:p>
    <w:p w14:paraId="082EB682" w14:textId="77777777" w:rsidR="00C04CAD" w:rsidRDefault="00C04CAD">
      <w:pPr>
        <w:keepNext/>
        <w:tabs>
          <w:tab w:val="clear" w:pos="567"/>
        </w:tabs>
        <w:autoSpaceDE w:val="0"/>
        <w:autoSpaceDN w:val="0"/>
        <w:adjustRightInd w:val="0"/>
        <w:spacing w:line="240" w:lineRule="auto"/>
        <w:rPr>
          <w:rFonts w:eastAsia="PMingLiU"/>
          <w:b/>
          <w:szCs w:val="22"/>
          <w:lang w:eastAsia="en-US" w:bidi="ar-SA"/>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C04CAD" w14:paraId="22F434AA" w14:textId="77777777">
        <w:trPr>
          <w:cantSplit/>
          <w:trHeight w:val="3806"/>
        </w:trPr>
        <w:tc>
          <w:tcPr>
            <w:tcW w:w="468" w:type="dxa"/>
            <w:textDirection w:val="btLr"/>
            <w:vAlign w:val="bottom"/>
          </w:tcPr>
          <w:p w14:paraId="031C51E0" w14:textId="77777777" w:rsidR="00C04CAD" w:rsidRDefault="00060E34">
            <w:pPr>
              <w:keepNext/>
              <w:suppressAutoHyphens/>
              <w:spacing w:line="240" w:lineRule="auto"/>
              <w:ind w:left="113" w:right="113"/>
              <w:jc w:val="center"/>
              <w:rPr>
                <w:b/>
                <w:szCs w:val="22"/>
                <w:lang w:eastAsia="en-US" w:bidi="ar-SA"/>
              </w:rPr>
            </w:pPr>
            <w:r>
              <w:rPr>
                <w:b/>
                <w:szCs w:val="22"/>
                <w:lang w:eastAsia="en-US" w:bidi="ar-SA"/>
              </w:rPr>
              <w:t>PROBABILITATEA DE EŞEC LA TRATAMENT</w:t>
            </w:r>
          </w:p>
        </w:tc>
        <w:tc>
          <w:tcPr>
            <w:tcW w:w="8820" w:type="dxa"/>
            <w:gridSpan w:val="5"/>
            <w:vAlign w:val="bottom"/>
          </w:tcPr>
          <w:p w14:paraId="707DBE23" w14:textId="77777777" w:rsidR="00C04CAD" w:rsidRDefault="00060E34">
            <w:pPr>
              <w:keepNext/>
              <w:suppressAutoHyphens/>
              <w:spacing w:line="240" w:lineRule="auto"/>
              <w:rPr>
                <w:szCs w:val="22"/>
                <w:lang w:eastAsia="en-US" w:bidi="ar-SA"/>
              </w:rPr>
            </w:pPr>
            <w:r>
              <w:rPr>
                <w:noProof/>
                <w:szCs w:val="22"/>
                <w:lang w:val="en-US" w:eastAsia="zh-CN" w:bidi="ar-SA"/>
              </w:rPr>
              <w:drawing>
                <wp:inline distT="0" distB="0" distL="0" distR="0" wp14:anchorId="3777BE8B" wp14:editId="07D5BCCE">
                  <wp:extent cx="5486400" cy="4572000"/>
                  <wp:effectExtent l="0" t="0" r="0" b="0"/>
                  <wp:docPr id="17" name="Picture 54"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4" descr="Humira PED UV KM Curve REVISED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C04CAD" w14:paraId="0D829684" w14:textId="77777777">
        <w:tc>
          <w:tcPr>
            <w:tcW w:w="468" w:type="dxa"/>
          </w:tcPr>
          <w:p w14:paraId="0D951030" w14:textId="77777777" w:rsidR="00C04CAD" w:rsidRDefault="00C04CAD">
            <w:pPr>
              <w:keepNext/>
              <w:suppressAutoHyphens/>
              <w:spacing w:line="240" w:lineRule="auto"/>
              <w:rPr>
                <w:szCs w:val="22"/>
                <w:lang w:eastAsia="en-US" w:bidi="ar-SA"/>
              </w:rPr>
            </w:pPr>
          </w:p>
        </w:tc>
        <w:tc>
          <w:tcPr>
            <w:tcW w:w="8820" w:type="dxa"/>
            <w:gridSpan w:val="5"/>
          </w:tcPr>
          <w:p w14:paraId="2A9ABE48" w14:textId="77777777" w:rsidR="00C04CAD" w:rsidRDefault="00060E34">
            <w:pPr>
              <w:keepNext/>
              <w:suppressAutoHyphens/>
              <w:spacing w:line="240" w:lineRule="auto"/>
              <w:jc w:val="center"/>
              <w:rPr>
                <w:b/>
                <w:szCs w:val="22"/>
                <w:lang w:eastAsia="en-US" w:bidi="ar-SA"/>
              </w:rPr>
            </w:pPr>
            <w:r>
              <w:rPr>
                <w:b/>
                <w:szCs w:val="22"/>
                <w:lang w:eastAsia="en-US" w:bidi="ar-SA"/>
              </w:rPr>
              <w:t>TIMP (SĂPTĂMÂNI)</w:t>
            </w:r>
          </w:p>
        </w:tc>
      </w:tr>
      <w:tr w:rsidR="00C04CAD" w14:paraId="62B23051" w14:textId="77777777">
        <w:tc>
          <w:tcPr>
            <w:tcW w:w="468" w:type="dxa"/>
          </w:tcPr>
          <w:p w14:paraId="65D50EEE" w14:textId="77777777" w:rsidR="00C04CAD" w:rsidRDefault="00C04CAD">
            <w:pPr>
              <w:keepNext/>
              <w:suppressAutoHyphens/>
              <w:spacing w:line="240" w:lineRule="auto"/>
              <w:rPr>
                <w:szCs w:val="22"/>
                <w:lang w:eastAsia="en-US" w:bidi="ar-SA"/>
              </w:rPr>
            </w:pPr>
          </w:p>
        </w:tc>
        <w:tc>
          <w:tcPr>
            <w:tcW w:w="3510" w:type="dxa"/>
          </w:tcPr>
          <w:p w14:paraId="39AABD84" w14:textId="77777777" w:rsidR="00C04CAD" w:rsidRDefault="00060E34">
            <w:pPr>
              <w:keepNext/>
              <w:suppressAutoHyphens/>
              <w:spacing w:line="240" w:lineRule="auto"/>
              <w:rPr>
                <w:szCs w:val="22"/>
                <w:lang w:eastAsia="en-US" w:bidi="ar-SA"/>
              </w:rPr>
            </w:pPr>
            <w:r>
              <w:rPr>
                <w:szCs w:val="22"/>
                <w:lang w:eastAsia="en-US" w:bidi="ar-SA"/>
              </w:rPr>
              <w:t>Tratament</w:t>
            </w:r>
          </w:p>
        </w:tc>
        <w:tc>
          <w:tcPr>
            <w:tcW w:w="1170" w:type="dxa"/>
            <w:vAlign w:val="bottom"/>
          </w:tcPr>
          <w:p w14:paraId="663550DC" w14:textId="77777777" w:rsidR="00C04CAD" w:rsidRDefault="00060E34">
            <w:pPr>
              <w:keepNext/>
              <w:suppressAutoHyphens/>
              <w:spacing w:line="240" w:lineRule="auto"/>
              <w:jc w:val="center"/>
              <w:rPr>
                <w:szCs w:val="22"/>
                <w:lang w:eastAsia="en-US" w:bidi="ar-SA"/>
              </w:rPr>
            </w:pPr>
            <w:r>
              <w:rPr>
                <w:noProof/>
                <w:szCs w:val="22"/>
                <w:lang w:val="en-US" w:eastAsia="zh-CN" w:bidi="ar-SA"/>
              </w:rPr>
              <w:drawing>
                <wp:inline distT="0" distB="0" distL="0" distR="0" wp14:anchorId="2DB8EA4D" wp14:editId="2A01600B">
                  <wp:extent cx="467360" cy="187325"/>
                  <wp:effectExtent l="0" t="0" r="0" b="0"/>
                  <wp:docPr id="18" name="Picture 5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3"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67360" cy="187325"/>
                          </a:xfrm>
                          <a:prstGeom prst="rect">
                            <a:avLst/>
                          </a:prstGeom>
                          <a:noFill/>
                          <a:ln>
                            <a:noFill/>
                          </a:ln>
                        </pic:spPr>
                      </pic:pic>
                    </a:graphicData>
                  </a:graphic>
                </wp:inline>
              </w:drawing>
            </w:r>
          </w:p>
        </w:tc>
        <w:tc>
          <w:tcPr>
            <w:tcW w:w="1350" w:type="dxa"/>
          </w:tcPr>
          <w:p w14:paraId="266BF4F2" w14:textId="77777777" w:rsidR="00C04CAD" w:rsidRDefault="00060E34">
            <w:pPr>
              <w:keepNext/>
              <w:suppressAutoHyphens/>
              <w:spacing w:line="240" w:lineRule="auto"/>
              <w:rPr>
                <w:szCs w:val="22"/>
                <w:lang w:eastAsia="en-US" w:bidi="ar-SA"/>
              </w:rPr>
            </w:pPr>
            <w:r>
              <w:rPr>
                <w:szCs w:val="22"/>
                <w:lang w:eastAsia="en-US" w:bidi="ar-SA"/>
              </w:rPr>
              <w:t>Placebo</w:t>
            </w:r>
          </w:p>
        </w:tc>
        <w:tc>
          <w:tcPr>
            <w:tcW w:w="900" w:type="dxa"/>
            <w:vAlign w:val="center"/>
          </w:tcPr>
          <w:p w14:paraId="16A0A668" w14:textId="77777777" w:rsidR="00C04CAD" w:rsidRDefault="00060E34">
            <w:pPr>
              <w:keepNext/>
              <w:suppressAutoHyphens/>
              <w:spacing w:line="240" w:lineRule="auto"/>
              <w:rPr>
                <w:szCs w:val="22"/>
                <w:lang w:eastAsia="en-US" w:bidi="ar-SA"/>
              </w:rPr>
            </w:pPr>
            <w:r>
              <w:rPr>
                <w:noProof/>
                <w:szCs w:val="22"/>
                <w:lang w:val="en-US" w:eastAsia="zh-CN" w:bidi="ar-SA"/>
              </w:rPr>
              <w:drawing>
                <wp:inline distT="0" distB="0" distL="0" distR="0" wp14:anchorId="11CE5832" wp14:editId="341A339B">
                  <wp:extent cx="447040" cy="73025"/>
                  <wp:effectExtent l="0" t="0" r="0" b="0"/>
                  <wp:docPr id="19" name="Picture 5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2" descr="Humira PED UV KM Curv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47040" cy="73025"/>
                          </a:xfrm>
                          <a:prstGeom prst="rect">
                            <a:avLst/>
                          </a:prstGeom>
                          <a:noFill/>
                          <a:ln>
                            <a:noFill/>
                          </a:ln>
                        </pic:spPr>
                      </pic:pic>
                    </a:graphicData>
                  </a:graphic>
                </wp:inline>
              </w:drawing>
            </w:r>
          </w:p>
        </w:tc>
        <w:tc>
          <w:tcPr>
            <w:tcW w:w="1890" w:type="dxa"/>
          </w:tcPr>
          <w:p w14:paraId="2C1CA9FE" w14:textId="77777777" w:rsidR="00C04CAD" w:rsidRDefault="00060E34">
            <w:pPr>
              <w:keepNext/>
              <w:suppressAutoHyphens/>
              <w:spacing w:line="240" w:lineRule="auto"/>
              <w:rPr>
                <w:szCs w:val="22"/>
                <w:lang w:eastAsia="en-US" w:bidi="ar-SA"/>
              </w:rPr>
            </w:pPr>
            <w:r>
              <w:rPr>
                <w:szCs w:val="22"/>
                <w:lang w:eastAsia="en-US" w:bidi="ar-SA"/>
              </w:rPr>
              <w:t>Adalimumab</w:t>
            </w:r>
          </w:p>
        </w:tc>
      </w:tr>
      <w:tr w:rsidR="00C04CAD" w14:paraId="56D9ABD4" w14:textId="77777777">
        <w:tc>
          <w:tcPr>
            <w:tcW w:w="468" w:type="dxa"/>
          </w:tcPr>
          <w:p w14:paraId="68F4725C" w14:textId="77777777" w:rsidR="00C04CAD" w:rsidRDefault="00C04CAD">
            <w:pPr>
              <w:suppressAutoHyphens/>
              <w:spacing w:line="240" w:lineRule="auto"/>
              <w:rPr>
                <w:szCs w:val="22"/>
                <w:lang w:eastAsia="en-US" w:bidi="ar-SA"/>
              </w:rPr>
            </w:pPr>
          </w:p>
        </w:tc>
        <w:tc>
          <w:tcPr>
            <w:tcW w:w="8820" w:type="dxa"/>
            <w:gridSpan w:val="5"/>
          </w:tcPr>
          <w:p w14:paraId="04D41296" w14:textId="77777777" w:rsidR="00C04CAD" w:rsidRDefault="00060E34">
            <w:pPr>
              <w:suppressAutoHyphens/>
              <w:spacing w:line="240" w:lineRule="auto"/>
              <w:rPr>
                <w:szCs w:val="22"/>
                <w:lang w:eastAsia="en-US" w:bidi="ar-SA"/>
              </w:rPr>
            </w:pPr>
            <w:r>
              <w:rPr>
                <w:szCs w:val="22"/>
                <w:lang w:eastAsia="en-US" w:bidi="ar-SA"/>
              </w:rPr>
              <w:t>Notă: P = Placebo (numărul celor care prezintă risc); H = Adalimumab (numărul celor care prezintă risc).</w:t>
            </w:r>
          </w:p>
        </w:tc>
      </w:tr>
    </w:tbl>
    <w:p w14:paraId="77A1CBB7" w14:textId="77777777" w:rsidR="00C04CAD" w:rsidRDefault="00C04CAD">
      <w:pPr>
        <w:numPr>
          <w:ilvl w:val="12"/>
          <w:numId w:val="0"/>
        </w:numPr>
        <w:spacing w:line="240" w:lineRule="auto"/>
        <w:ind w:right="-2"/>
      </w:pPr>
    </w:p>
    <w:p w14:paraId="1511144F" w14:textId="77777777" w:rsidR="00C04CAD" w:rsidRDefault="00060E34">
      <w:pPr>
        <w:keepNext/>
        <w:numPr>
          <w:ilvl w:val="1"/>
          <w:numId w:val="14"/>
        </w:numPr>
        <w:spacing w:line="240" w:lineRule="auto"/>
        <w:ind w:left="567" w:hanging="567"/>
        <w:outlineLvl w:val="0"/>
      </w:pPr>
      <w:r>
        <w:rPr>
          <w:b/>
        </w:rPr>
        <w:t>Proprietăți farmacocinetice</w:t>
      </w:r>
    </w:p>
    <w:p w14:paraId="4B44D2AC" w14:textId="77777777" w:rsidR="00C04CAD" w:rsidRDefault="00C04CAD">
      <w:pPr>
        <w:keepNext/>
        <w:spacing w:line="240" w:lineRule="auto"/>
        <w:ind w:left="567" w:hanging="567"/>
        <w:outlineLvl w:val="0"/>
        <w:rPr>
          <w:b/>
        </w:rPr>
      </w:pPr>
    </w:p>
    <w:p w14:paraId="2A52DE43" w14:textId="77777777" w:rsidR="00C04CAD" w:rsidRDefault="00060E34">
      <w:pPr>
        <w:keepNext/>
        <w:numPr>
          <w:ilvl w:val="12"/>
          <w:numId w:val="0"/>
        </w:numPr>
        <w:spacing w:line="240" w:lineRule="auto"/>
        <w:ind w:right="-2"/>
        <w:rPr>
          <w:u w:val="single"/>
        </w:rPr>
      </w:pPr>
      <w:r>
        <w:rPr>
          <w:u w:val="single"/>
        </w:rPr>
        <w:t>Absorbție și distribuție</w:t>
      </w:r>
    </w:p>
    <w:p w14:paraId="482578A5" w14:textId="77777777" w:rsidR="00C04CAD" w:rsidRDefault="00C04CAD">
      <w:pPr>
        <w:keepNext/>
        <w:numPr>
          <w:ilvl w:val="12"/>
          <w:numId w:val="0"/>
        </w:numPr>
        <w:spacing w:line="240" w:lineRule="auto"/>
        <w:ind w:right="-2"/>
        <w:rPr>
          <w:u w:val="single"/>
        </w:rPr>
      </w:pPr>
    </w:p>
    <w:p w14:paraId="609236A5" w14:textId="77777777" w:rsidR="00C04CAD" w:rsidRDefault="00060E34">
      <w:pPr>
        <w:tabs>
          <w:tab w:val="clear" w:pos="567"/>
        </w:tabs>
        <w:kinsoku w:val="0"/>
        <w:overflowPunct w:val="0"/>
        <w:autoSpaceDE w:val="0"/>
        <w:autoSpaceDN w:val="0"/>
        <w:adjustRightInd w:val="0"/>
        <w:spacing w:line="240" w:lineRule="auto"/>
      </w:pPr>
      <w:r>
        <w:t>După administrarea subcutanată a unei doze unice de 40 mg, absorbţia şi distribuţia adalimumab a fost lentă, cu atingerea concentraţiilor plasmatice maxime după aproximativ 5 zile de la administrare. Biodisponibilitatea absolută medie a adalimumab estimată din trei studii efectuate cu medicamentul de referință în urma administrării unei doze unice subcutanate de 40 mg, a fost de 64%. După administrarea de doze unice intravenoase variind între 0,25 şi 10 mg/kg, concentraţiile au fost proporţionale cu doza. După doze de 0,5 mg/kg (~40 mg), clearance-ul a variat între 11 şi 15 ml/oră, volumul de distribuţie (V</w:t>
      </w:r>
      <w:r>
        <w:rPr>
          <w:vertAlign w:val="subscript"/>
        </w:rPr>
        <w:t>ss</w:t>
      </w:r>
      <w:r>
        <w:t>) a variat între 5 şi 6 litri, iar timpul de înjumătăţire mediu de fază terminală a fost de aproximativ două săptămâni. Concentraţiile de adalimumab din lichidul sinovial la mai mulţi pacienţi cu poliartrită reumatoidă a variat între 31</w:t>
      </w:r>
      <w:r>
        <w:noBreakHyphen/>
        <w:t>96% din concentraţiile plasmatice.</w:t>
      </w:r>
    </w:p>
    <w:p w14:paraId="64473693" w14:textId="77777777" w:rsidR="00C04CAD" w:rsidRDefault="00C04CAD">
      <w:pPr>
        <w:tabs>
          <w:tab w:val="clear" w:pos="567"/>
        </w:tabs>
        <w:kinsoku w:val="0"/>
        <w:overflowPunct w:val="0"/>
        <w:autoSpaceDE w:val="0"/>
        <w:autoSpaceDN w:val="0"/>
        <w:adjustRightInd w:val="0"/>
        <w:spacing w:line="240" w:lineRule="auto"/>
      </w:pPr>
    </w:p>
    <w:p w14:paraId="1B058F0E" w14:textId="77777777" w:rsidR="00C04CAD" w:rsidRDefault="00060E34">
      <w:pPr>
        <w:tabs>
          <w:tab w:val="clear" w:pos="567"/>
        </w:tabs>
        <w:kinsoku w:val="0"/>
        <w:overflowPunct w:val="0"/>
        <w:autoSpaceDE w:val="0"/>
        <w:autoSpaceDN w:val="0"/>
        <w:adjustRightInd w:val="0"/>
        <w:spacing w:line="240" w:lineRule="auto"/>
      </w:pPr>
      <w:r>
        <w:t>După administrarea subcutanată a 40 mg adalimumab la două săptămâni, la pacienţii adulţi cu artrită reumatoidă, (PR), media concentraţiilor înainte de următoarea doză, la starea de echilibru, a fost de aproximativ 5 µg/ml (fără administrarea concomitentă de metotrexat) şi respectiv de 8 până la 9 µg/ml (cu administrarea concomitentă de metotrexat). Concentraţiile plasmatice înainte de următoarea doză de adalimumab la starea de echilibru au crescut aproape proporţional cu doza, după administrarea subcutanată a 20, 40 şi 80 mg la două săptămâni şi săptămânal.</w:t>
      </w:r>
    </w:p>
    <w:p w14:paraId="3F4DC3E8" w14:textId="77777777" w:rsidR="00C04CAD" w:rsidRDefault="00C04CAD">
      <w:pPr>
        <w:tabs>
          <w:tab w:val="clear" w:pos="567"/>
        </w:tabs>
        <w:kinsoku w:val="0"/>
        <w:overflowPunct w:val="0"/>
        <w:autoSpaceDE w:val="0"/>
        <w:autoSpaceDN w:val="0"/>
        <w:adjustRightInd w:val="0"/>
        <w:spacing w:line="240" w:lineRule="auto"/>
      </w:pPr>
    </w:p>
    <w:p w14:paraId="2561817C" w14:textId="77777777" w:rsidR="00C04CAD" w:rsidRDefault="00060E34">
      <w:pPr>
        <w:tabs>
          <w:tab w:val="clear" w:pos="567"/>
        </w:tabs>
        <w:kinsoku w:val="0"/>
        <w:overflowPunct w:val="0"/>
        <w:autoSpaceDE w:val="0"/>
        <w:autoSpaceDN w:val="0"/>
        <w:adjustRightInd w:val="0"/>
        <w:spacing w:line="240" w:lineRule="auto"/>
      </w:pPr>
      <w:r>
        <w:t>După administrarea subcutanată a 24 mg/m</w:t>
      </w:r>
      <w:r>
        <w:rPr>
          <w:vertAlign w:val="superscript"/>
        </w:rPr>
        <w:t>2</w:t>
      </w:r>
      <w:r>
        <w:t xml:space="preserve"> (doza maximă de 40 mg) la două săptămâni la pacienţii cu artrită juvenilă idiopatică forma poliarticulară care aveau vârsta între 4 şi 17 ani, media concentraţiilor serice ale adalimumab, la starea de echilibru, (valori măsurate din săptămâna 20 până în săptămâna 48) a fost de 5,6±5,6 µg/ml (CV 102%) în cazul în care s-a utilizat adalimumab fără metotrexat, şi de 10,9±5,2 µg/ml (CV 47,7%) în cazul utilizării concomitente a metotrexatului.</w:t>
      </w:r>
    </w:p>
    <w:p w14:paraId="28B14299" w14:textId="77777777" w:rsidR="00C04CAD" w:rsidRDefault="00C04CAD">
      <w:pPr>
        <w:tabs>
          <w:tab w:val="clear" w:pos="567"/>
        </w:tabs>
        <w:kinsoku w:val="0"/>
        <w:overflowPunct w:val="0"/>
        <w:autoSpaceDE w:val="0"/>
        <w:autoSpaceDN w:val="0"/>
        <w:adjustRightInd w:val="0"/>
        <w:spacing w:line="240" w:lineRule="auto"/>
      </w:pPr>
    </w:p>
    <w:p w14:paraId="3354A52D" w14:textId="77777777" w:rsidR="00C04CAD" w:rsidRDefault="00060E34">
      <w:pPr>
        <w:tabs>
          <w:tab w:val="clear" w:pos="567"/>
        </w:tabs>
        <w:kinsoku w:val="0"/>
        <w:overflowPunct w:val="0"/>
        <w:autoSpaceDE w:val="0"/>
        <w:autoSpaceDN w:val="0"/>
        <w:adjustRightInd w:val="0"/>
        <w:spacing w:line="240" w:lineRule="auto"/>
      </w:pPr>
      <w:r>
        <w:t>La pacienţii cu AJI poliarticulară care aveau vârsta între 2 până la &lt; 4 ani sau cu vârsta de 4 ani şi peste şi cu greutatea &lt;15 kg doza de adalimumab 24 mg/m</w:t>
      </w:r>
      <w:r>
        <w:rPr>
          <w:vertAlign w:val="superscript"/>
        </w:rPr>
        <w:t>2</w:t>
      </w:r>
      <w:r>
        <w:t>, concentraţiile plasmatice medii la starea de echilibru a adalimumab au fost de 6,0 ± 6,1 µg/ml (101% CV) în cazul în care adalimumab a fost administrat fără metotrexat şi de 7,9 ± 5,6 µg/ml (71,2% CV) în cazul în care s-a utilizat concomitent metotrexat.</w:t>
      </w:r>
    </w:p>
    <w:p w14:paraId="51516EA9" w14:textId="77777777" w:rsidR="00C04CAD" w:rsidRDefault="00C04CAD">
      <w:pPr>
        <w:tabs>
          <w:tab w:val="clear" w:pos="567"/>
        </w:tabs>
        <w:kinsoku w:val="0"/>
        <w:overflowPunct w:val="0"/>
        <w:autoSpaceDE w:val="0"/>
        <w:autoSpaceDN w:val="0"/>
        <w:adjustRightInd w:val="0"/>
        <w:spacing w:line="240" w:lineRule="auto"/>
      </w:pPr>
    </w:p>
    <w:p w14:paraId="3C0F35E4" w14:textId="77777777" w:rsidR="00C04CAD" w:rsidRDefault="00060E34">
      <w:pPr>
        <w:tabs>
          <w:tab w:val="clear" w:pos="567"/>
        </w:tabs>
        <w:kinsoku w:val="0"/>
        <w:overflowPunct w:val="0"/>
        <w:autoSpaceDE w:val="0"/>
        <w:autoSpaceDN w:val="0"/>
        <w:adjustRightInd w:val="0"/>
        <w:spacing w:line="240" w:lineRule="auto"/>
      </w:pPr>
      <w:r>
        <w:t>După administrarea a 24 mg/m</w:t>
      </w:r>
      <w:r>
        <w:rPr>
          <w:vertAlign w:val="superscript"/>
        </w:rPr>
        <w:t>2</w:t>
      </w:r>
      <w:r>
        <w:t xml:space="preserve"> (maxim 40 mg) subcutanat o dată la două săptămâni la pacienţii cu artrită asociată entezitei care aveau vârsta de 6 ani pană la 17 ani, concentraţiilor serice medii la starea de echilibru ale adalimumab (valori măsurate în </w:t>
      </w:r>
      <w:r>
        <w:rPr>
          <w:rFonts w:eastAsia="MS Mincho"/>
          <w:szCs w:val="22"/>
          <w:lang w:eastAsia="en-US" w:bidi="ar-SA"/>
        </w:rPr>
        <w:t>săptămâna</w:t>
      </w:r>
      <w:r>
        <w:t xml:space="preserve"> 24) au fost de 8,8 ± 6,6 μg/ml atunci când adalimumab s-a administrat fără metotrexat şi de 11,8 ± 4,3 μg/ml atunci când s-a administrat concomitent cu metotrexat.</w:t>
      </w:r>
    </w:p>
    <w:p w14:paraId="2E934645" w14:textId="77777777" w:rsidR="00C04CAD" w:rsidRDefault="00C04CAD">
      <w:pPr>
        <w:tabs>
          <w:tab w:val="clear" w:pos="567"/>
        </w:tabs>
        <w:kinsoku w:val="0"/>
        <w:overflowPunct w:val="0"/>
        <w:autoSpaceDE w:val="0"/>
        <w:autoSpaceDN w:val="0"/>
        <w:adjustRightInd w:val="0"/>
        <w:spacing w:line="240" w:lineRule="auto"/>
      </w:pPr>
    </w:p>
    <w:p w14:paraId="62FB81C2" w14:textId="77777777" w:rsidR="00C04CAD" w:rsidRDefault="00060E34">
      <w:pPr>
        <w:tabs>
          <w:tab w:val="clear" w:pos="567"/>
        </w:tabs>
        <w:kinsoku w:val="0"/>
        <w:overflowPunct w:val="0"/>
        <w:autoSpaceDE w:val="0"/>
        <w:autoSpaceDN w:val="0"/>
        <w:adjustRightInd w:val="0"/>
        <w:spacing w:line="240" w:lineRule="auto"/>
        <w:rPr>
          <w:szCs w:val="24"/>
        </w:rPr>
      </w:pPr>
      <w:r>
        <w:t>După administrarea subcutanată a 40 mg adalimumab la fiecare două săptămâni la pacienți adulți cu spondiloartrită axială non-radiografică, concentrația medie (</w:t>
      </w:r>
      <w:r>
        <w:rPr>
          <w:szCs w:val="24"/>
        </w:rPr>
        <w:t>±DS) de platou la săptămâna 68 a fost de 8,0 ± 4,6 </w:t>
      </w:r>
      <w:r>
        <w:t>μ</w:t>
      </w:r>
      <w:r>
        <w:rPr>
          <w:szCs w:val="24"/>
        </w:rPr>
        <w:t>g/ml.</w:t>
      </w:r>
    </w:p>
    <w:p w14:paraId="65ADCE42" w14:textId="77777777" w:rsidR="00C04CAD" w:rsidRDefault="00C04CAD">
      <w:pPr>
        <w:tabs>
          <w:tab w:val="clear" w:pos="567"/>
        </w:tabs>
        <w:kinsoku w:val="0"/>
        <w:overflowPunct w:val="0"/>
        <w:autoSpaceDE w:val="0"/>
        <w:autoSpaceDN w:val="0"/>
        <w:adjustRightInd w:val="0"/>
        <w:spacing w:line="240" w:lineRule="auto"/>
      </w:pPr>
    </w:p>
    <w:p w14:paraId="57CEB190" w14:textId="77777777" w:rsidR="00C04CAD" w:rsidRDefault="00060E34">
      <w:pPr>
        <w:tabs>
          <w:tab w:val="clear" w:pos="567"/>
        </w:tabs>
        <w:kinsoku w:val="0"/>
        <w:overflowPunct w:val="0"/>
        <w:autoSpaceDE w:val="0"/>
        <w:autoSpaceDN w:val="0"/>
        <w:adjustRightInd w:val="0"/>
        <w:spacing w:line="240" w:lineRule="auto"/>
      </w:pPr>
      <w:r>
        <w:t>La pacienții adulţi cu psoriazis, media la starea de echilibru a concentrației minime a fost de 5 μg/ml în timpul tratamentului cu adalimumab 40 mg o dată la două săptămâni în monoterapie.</w:t>
      </w:r>
    </w:p>
    <w:p w14:paraId="2F7EB742" w14:textId="77777777" w:rsidR="00C04CAD" w:rsidRDefault="00C04CAD">
      <w:pPr>
        <w:tabs>
          <w:tab w:val="clear" w:pos="567"/>
        </w:tabs>
        <w:kinsoku w:val="0"/>
        <w:overflowPunct w:val="0"/>
        <w:autoSpaceDE w:val="0"/>
        <w:autoSpaceDN w:val="0"/>
        <w:adjustRightInd w:val="0"/>
        <w:spacing w:line="240" w:lineRule="auto"/>
      </w:pPr>
    </w:p>
    <w:p w14:paraId="2B491F91" w14:textId="77777777" w:rsidR="00C04CAD" w:rsidRDefault="00060E34">
      <w:pPr>
        <w:tabs>
          <w:tab w:val="clear" w:pos="567"/>
        </w:tabs>
        <w:kinsoku w:val="0"/>
        <w:overflowPunct w:val="0"/>
        <w:autoSpaceDE w:val="0"/>
        <w:autoSpaceDN w:val="0"/>
        <w:adjustRightInd w:val="0"/>
        <w:spacing w:line="240" w:lineRule="auto"/>
      </w:pPr>
      <w:r>
        <w:t>După administrarea subcutanată a 0,8 mg/kg (maxim 40 mg) o dată la două săptămâni la copii și adolescenți cu psoriazis în plăci cronic, media ± DS la starea de echilibru a concentrației minime de adalimumab a fost de aproximativ 7,4 ± 5,8 µg/ml (79% CV).</w:t>
      </w:r>
    </w:p>
    <w:p w14:paraId="2F4CC72F" w14:textId="77777777" w:rsidR="00C04CAD" w:rsidRDefault="00C04CAD">
      <w:pPr>
        <w:tabs>
          <w:tab w:val="clear" w:pos="567"/>
        </w:tabs>
        <w:kinsoku w:val="0"/>
        <w:overflowPunct w:val="0"/>
        <w:autoSpaceDE w:val="0"/>
        <w:autoSpaceDN w:val="0"/>
        <w:adjustRightInd w:val="0"/>
        <w:spacing w:line="240" w:lineRule="auto"/>
      </w:pPr>
    </w:p>
    <w:p w14:paraId="2F8210D2" w14:textId="77777777" w:rsidR="00C04CAD" w:rsidRDefault="00060E34">
      <w:pPr>
        <w:tabs>
          <w:tab w:val="clear" w:pos="567"/>
        </w:tabs>
        <w:kinsoku w:val="0"/>
        <w:overflowPunct w:val="0"/>
        <w:autoSpaceDE w:val="0"/>
        <w:autoSpaceDN w:val="0"/>
        <w:adjustRightInd w:val="0"/>
        <w:spacing w:line="240" w:lineRule="auto"/>
      </w:pPr>
      <w:r>
        <w:t xml:space="preserve">Pacienţii adulți cu hidrosadenită supurativă care au primit o doză de 160 mg </w:t>
      </w:r>
      <w:r>
        <w:rPr>
          <w:rFonts w:eastAsia="MS Mincho"/>
          <w:szCs w:val="22"/>
          <w:lang w:eastAsia="en-US" w:bidi="ar-SA"/>
        </w:rPr>
        <w:t>adalimumab</w:t>
      </w:r>
      <w:r>
        <w:t xml:space="preserve"> în </w:t>
      </w:r>
      <w:r>
        <w:rPr>
          <w:rFonts w:eastAsia="MS Mincho"/>
          <w:szCs w:val="22"/>
          <w:lang w:eastAsia="en-US" w:bidi="ar-SA"/>
        </w:rPr>
        <w:t>săptămâna</w:t>
      </w:r>
      <w:r>
        <w:t xml:space="preserve"> 0 urmată de 80 mg în </w:t>
      </w:r>
      <w:r>
        <w:rPr>
          <w:rFonts w:eastAsia="MS Mincho"/>
          <w:szCs w:val="22"/>
          <w:lang w:eastAsia="en-US" w:bidi="ar-SA"/>
        </w:rPr>
        <w:t>săptămâna</w:t>
      </w:r>
      <w:r>
        <w:t xml:space="preserve"> 2 au atins concentraţii serice ale adalimumab de aproximativ 7 </w:t>
      </w:r>
      <w:r>
        <w:rPr>
          <w:color w:val="000000"/>
          <w:szCs w:val="22"/>
          <w:lang w:eastAsia="en-GB"/>
        </w:rPr>
        <w:t>µg</w:t>
      </w:r>
      <w:r>
        <w:t>/ml până la 8 </w:t>
      </w:r>
      <w:r>
        <w:rPr>
          <w:color w:val="000000"/>
          <w:szCs w:val="22"/>
          <w:lang w:eastAsia="en-GB"/>
        </w:rPr>
        <w:t>µg</w:t>
      </w:r>
      <w:r>
        <w:t xml:space="preserve">/ml în </w:t>
      </w:r>
      <w:r>
        <w:rPr>
          <w:rFonts w:eastAsia="MS Mincho"/>
          <w:szCs w:val="22"/>
          <w:lang w:eastAsia="en-US" w:bidi="ar-SA"/>
        </w:rPr>
        <w:t>săptămâna</w:t>
      </w:r>
      <w:r>
        <w:t xml:space="preserve"> 2 şi </w:t>
      </w:r>
      <w:r>
        <w:rPr>
          <w:rFonts w:eastAsia="MS Mincho"/>
          <w:szCs w:val="22"/>
          <w:lang w:eastAsia="en-US" w:bidi="ar-SA"/>
        </w:rPr>
        <w:t>săptămâna</w:t>
      </w:r>
      <w:r>
        <w:t xml:space="preserve"> 4. În timpul tratamentului cu adalimumab 40 mg săptămânal, media la starea de echilibru a concentraţiei minime din </w:t>
      </w:r>
      <w:r>
        <w:rPr>
          <w:rFonts w:eastAsia="MS Mincho"/>
          <w:szCs w:val="22"/>
          <w:lang w:eastAsia="en-US" w:bidi="ar-SA"/>
        </w:rPr>
        <w:t>săptămâna</w:t>
      </w:r>
      <w:r>
        <w:t xml:space="preserve"> 12 până în </w:t>
      </w:r>
      <w:r>
        <w:rPr>
          <w:rFonts w:eastAsia="MS Mincho"/>
          <w:szCs w:val="22"/>
          <w:lang w:eastAsia="en-US" w:bidi="ar-SA"/>
        </w:rPr>
        <w:t>săptămâna</w:t>
      </w:r>
      <w:r>
        <w:t xml:space="preserve"> 36 a fost de aproximativ 8 </w:t>
      </w:r>
      <w:r>
        <w:rPr>
          <w:color w:val="000000"/>
          <w:szCs w:val="22"/>
          <w:lang w:eastAsia="en-GB"/>
        </w:rPr>
        <w:t>µg</w:t>
      </w:r>
      <w:r>
        <w:t>/ml până la 10 </w:t>
      </w:r>
      <w:r>
        <w:rPr>
          <w:color w:val="000000"/>
          <w:szCs w:val="22"/>
          <w:lang w:eastAsia="en-GB"/>
        </w:rPr>
        <w:t>µg</w:t>
      </w:r>
      <w:r>
        <w:t>/ml.</w:t>
      </w:r>
    </w:p>
    <w:p w14:paraId="2BCC0B5A" w14:textId="77777777" w:rsidR="00C04CAD" w:rsidRDefault="00C04CAD">
      <w:pPr>
        <w:tabs>
          <w:tab w:val="clear" w:pos="567"/>
        </w:tabs>
        <w:kinsoku w:val="0"/>
        <w:overflowPunct w:val="0"/>
        <w:autoSpaceDE w:val="0"/>
        <w:autoSpaceDN w:val="0"/>
        <w:adjustRightInd w:val="0"/>
        <w:spacing w:line="240" w:lineRule="auto"/>
      </w:pPr>
    </w:p>
    <w:p w14:paraId="4DDC44FA" w14:textId="77777777" w:rsidR="00C04CAD" w:rsidRDefault="00060E34">
      <w:pPr>
        <w:tabs>
          <w:tab w:val="clear" w:pos="567"/>
        </w:tabs>
        <w:kinsoku w:val="0"/>
        <w:overflowPunct w:val="0"/>
        <w:autoSpaceDE w:val="0"/>
        <w:autoSpaceDN w:val="0"/>
        <w:adjustRightInd w:val="0"/>
        <w:spacing w:line="240" w:lineRule="auto"/>
        <w:rPr>
          <w:szCs w:val="22"/>
        </w:rPr>
      </w:pPr>
      <w:r>
        <w:t xml:space="preserve">Expunerea la adalimumab a pacienților adolescenți cu HS a fost </w:t>
      </w:r>
      <w:r>
        <w:rPr>
          <w:szCs w:val="22"/>
        </w:rPr>
        <w:t>stabilită cu ajutorul modelării și simulării farmacocinetice populaționale pe baza indicatorilor farmacocinetici la pacienți copii în alte indicații (psoriazis la copii, artrită juvenilă idiopatică, boală Crohn la copii și artrită asociată entezitei)</w:t>
      </w:r>
      <w:r>
        <w:t xml:space="preserve">. </w:t>
      </w:r>
      <w:r>
        <w:rPr>
          <w:szCs w:val="22"/>
        </w:rPr>
        <w:t>La pacienții adolescenți cu HS doza recomandată este de 40 mg la două săptămâni. Deoarece expunerea la adalimumab poate fi influențată de greutate, adolescenții care au greutate mai mare și care nu au un răspuns corespunzător pot să beneficieze de doza recomandată la adulți de 40 mg săptămânal.</w:t>
      </w:r>
    </w:p>
    <w:p w14:paraId="164EF706" w14:textId="77777777" w:rsidR="00C04CAD" w:rsidRDefault="00C04CAD">
      <w:pPr>
        <w:tabs>
          <w:tab w:val="clear" w:pos="567"/>
        </w:tabs>
        <w:kinsoku w:val="0"/>
        <w:overflowPunct w:val="0"/>
        <w:autoSpaceDE w:val="0"/>
        <w:autoSpaceDN w:val="0"/>
        <w:adjustRightInd w:val="0"/>
        <w:spacing w:line="240" w:lineRule="auto"/>
      </w:pPr>
    </w:p>
    <w:p w14:paraId="6E67709A" w14:textId="77777777" w:rsidR="00C04CAD" w:rsidRDefault="00060E34">
      <w:pPr>
        <w:tabs>
          <w:tab w:val="clear" w:pos="567"/>
        </w:tabs>
        <w:kinsoku w:val="0"/>
        <w:overflowPunct w:val="0"/>
        <w:autoSpaceDE w:val="0"/>
        <w:autoSpaceDN w:val="0"/>
        <w:adjustRightInd w:val="0"/>
        <w:spacing w:line="240" w:lineRule="auto"/>
      </w:pPr>
      <w:r>
        <w:t xml:space="preserve">La pacienţii cu boala Crohn, se ating concentraţii plasmatice de adalimumab înaintea următoarei doze de aproximativ 5,5 µg/ml în timpul perioadei de iniţiere la doza de încărcare de </w:t>
      </w:r>
      <w:r>
        <w:rPr>
          <w:rFonts w:eastAsia="MS Mincho"/>
          <w:szCs w:val="22"/>
          <w:lang w:eastAsia="en-US" w:bidi="ar-SA"/>
        </w:rPr>
        <w:t>adalimumab</w:t>
      </w:r>
      <w:r>
        <w:t xml:space="preserve"> 80 mg în </w:t>
      </w:r>
      <w:r>
        <w:rPr>
          <w:rFonts w:eastAsia="MS Mincho"/>
          <w:szCs w:val="22"/>
          <w:lang w:eastAsia="en-US" w:bidi="ar-SA"/>
        </w:rPr>
        <w:t>săptămâna</w:t>
      </w:r>
      <w:r>
        <w:t xml:space="preserve"> 0 urmată de </w:t>
      </w:r>
      <w:r>
        <w:rPr>
          <w:rFonts w:eastAsia="MS Mincho"/>
          <w:szCs w:val="22"/>
          <w:lang w:eastAsia="en-US" w:bidi="ar-SA"/>
        </w:rPr>
        <w:t>adalimumab</w:t>
      </w:r>
      <w:r>
        <w:t xml:space="preserve"> 40 mg în </w:t>
      </w:r>
      <w:r>
        <w:rPr>
          <w:rFonts w:eastAsia="MS Mincho"/>
          <w:szCs w:val="22"/>
          <w:lang w:eastAsia="en-US" w:bidi="ar-SA"/>
        </w:rPr>
        <w:t>săptămâna</w:t>
      </w:r>
      <w:r>
        <w:t xml:space="preserve"> 2. La doza de încărcare de </w:t>
      </w:r>
      <w:r>
        <w:rPr>
          <w:rFonts w:eastAsia="MS Mincho"/>
          <w:szCs w:val="22"/>
          <w:lang w:eastAsia="en-US" w:bidi="ar-SA"/>
        </w:rPr>
        <w:t>adalimumab</w:t>
      </w:r>
      <w:r>
        <w:t xml:space="preserve"> 160 mg în </w:t>
      </w:r>
      <w:r>
        <w:rPr>
          <w:rFonts w:eastAsia="MS Mincho"/>
          <w:szCs w:val="22"/>
          <w:lang w:eastAsia="en-US" w:bidi="ar-SA"/>
        </w:rPr>
        <w:t>săptămâna</w:t>
      </w:r>
      <w:r>
        <w:t xml:space="preserve"> 0 urmată de </w:t>
      </w:r>
      <w:r>
        <w:rPr>
          <w:rFonts w:eastAsia="MS Mincho"/>
          <w:szCs w:val="22"/>
          <w:lang w:eastAsia="en-US" w:bidi="ar-SA"/>
        </w:rPr>
        <w:t>adalimumab</w:t>
      </w:r>
      <w:r>
        <w:t xml:space="preserve"> 80 mg în </w:t>
      </w:r>
      <w:r>
        <w:rPr>
          <w:rFonts w:eastAsia="MS Mincho"/>
          <w:szCs w:val="22"/>
          <w:lang w:eastAsia="en-US" w:bidi="ar-SA"/>
        </w:rPr>
        <w:t>săptămâna</w:t>
      </w:r>
      <w:r>
        <w:t xml:space="preserve"> 2, se ating concentraţii plasmatice de adalimumab înaintea următoarei doze de aproximativ 12 µg/ml în timpul perioadei de iniţiere. S-a observat la pacienţii cu boală Crohn care au primit o doză de întreţinere </w:t>
      </w:r>
      <w:r>
        <w:rPr>
          <w:rFonts w:eastAsia="MS Mincho"/>
          <w:szCs w:val="22"/>
          <w:lang w:eastAsia="en-US" w:bidi="ar-SA"/>
        </w:rPr>
        <w:t>adalimumab</w:t>
      </w:r>
      <w:r>
        <w:t xml:space="preserve"> 40 mg la două săptămâni, o medie a concentraţiilor înainte de următoarea doză, la starea de echilibru, de aproximativ 7 µg/ml.</w:t>
      </w:r>
    </w:p>
    <w:p w14:paraId="1157B278" w14:textId="77777777" w:rsidR="00C04CAD" w:rsidRDefault="00C04CAD">
      <w:pPr>
        <w:numPr>
          <w:ilvl w:val="12"/>
          <w:numId w:val="0"/>
        </w:numPr>
        <w:spacing w:line="240" w:lineRule="auto"/>
        <w:ind w:right="-2"/>
        <w:rPr>
          <w:u w:val="single"/>
        </w:rPr>
      </w:pPr>
    </w:p>
    <w:p w14:paraId="6C665612" w14:textId="77777777" w:rsidR="00C04CAD" w:rsidRDefault="00060E34">
      <w:pPr>
        <w:tabs>
          <w:tab w:val="clear" w:pos="567"/>
        </w:tabs>
        <w:kinsoku w:val="0"/>
        <w:overflowPunct w:val="0"/>
        <w:autoSpaceDE w:val="0"/>
        <w:autoSpaceDN w:val="0"/>
        <w:adjustRightInd w:val="0"/>
        <w:spacing w:line="240" w:lineRule="auto"/>
      </w:pPr>
      <w:r>
        <w:t xml:space="preserve">La pacienţii copii şi adolescenţi cu boală Crohn moderată până la severă, doza de inducţie de tip deschis de adalimumab a fost de 160/80 mg sau 80/40 mg în săptămânile 0 şi respectiv 2, în funcţie de greutatea corporală cu limita de 40 kg. În </w:t>
      </w:r>
      <w:r>
        <w:rPr>
          <w:rFonts w:eastAsia="MS Mincho"/>
          <w:szCs w:val="22"/>
          <w:lang w:eastAsia="en-US" w:bidi="ar-SA"/>
        </w:rPr>
        <w:t>săptămâna</w:t>
      </w:r>
      <w:r>
        <w:t xml:space="preserve"> 4, pacienţii au fost randomizaţi 1:1 în grupuri de tratament de întreținere în funcţie de greutatea corporală, fie la doza standard (40/20 mg la două săptămâni) fie la doza redusă (20/10 mg la două săptămâni). Media (± DS) concentraţiilor serice minime de adalimumab atinse în săptămâna 4 a fost 15,7 ± 6,6 µg/ml pentru pacienţii cu greutatea ≥ 40 kg (160/80 mg) şi 10,6 ± 6,1 µg/ml pentru pacienţii cu greutatea &lt;40 kg (80/40 mg).</w:t>
      </w:r>
    </w:p>
    <w:p w14:paraId="2D00DE63" w14:textId="77777777" w:rsidR="00C04CAD" w:rsidRDefault="00C04CAD">
      <w:pPr>
        <w:tabs>
          <w:tab w:val="clear" w:pos="567"/>
        </w:tabs>
        <w:kinsoku w:val="0"/>
        <w:overflowPunct w:val="0"/>
        <w:autoSpaceDE w:val="0"/>
        <w:autoSpaceDN w:val="0"/>
        <w:adjustRightInd w:val="0"/>
        <w:spacing w:line="240" w:lineRule="auto"/>
      </w:pPr>
    </w:p>
    <w:p w14:paraId="15603A8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Pentru pacienţii care au menţinut tratamentul randomizat, media (± DS) concentraţiilor minime de adalimumab în săptămâna 52 a fost 9,5 ± 5,6 µg/ml pentru grupul cu doză standard şi 3,5 ± 2,2 µg/ml pentru grupul cu doză redusă. Concentraţiile medii minime au fost menţinute la pacienţii care au continuat să primească tratament cu adalimumab o dată la două săptămâni timp de 52 săptămâni. Pentru pacienţii care au crescut doza de la o dată la două săptămâni la doza săptămânală, media (± DS) concentraţiilor serice ale adalimumab în săptămâna 52 au fost 15,3 ± 11,4 µg/ml (40/20 mg, săptămânal) şi de 6,7 ± 3,5 µg/ml (20/10 mg, săptămânal).</w:t>
      </w:r>
    </w:p>
    <w:p w14:paraId="27B24096" w14:textId="77777777" w:rsidR="00C04CAD" w:rsidRDefault="00C04CAD">
      <w:pPr>
        <w:tabs>
          <w:tab w:val="clear" w:pos="567"/>
        </w:tabs>
        <w:kinsoku w:val="0"/>
        <w:overflowPunct w:val="0"/>
        <w:autoSpaceDE w:val="0"/>
        <w:autoSpaceDN w:val="0"/>
        <w:adjustRightInd w:val="0"/>
        <w:spacing w:line="240" w:lineRule="auto"/>
        <w:rPr>
          <w:szCs w:val="22"/>
        </w:rPr>
      </w:pPr>
    </w:p>
    <w:p w14:paraId="7C647169"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În timpul perioadei de iniţiere a tratamentului, la pacienţii cu colită ulcerativă, o doză de încărcare </w:t>
      </w:r>
      <w:r>
        <w:rPr>
          <w:rFonts w:eastAsia="MS Mincho"/>
          <w:szCs w:val="22"/>
          <w:lang w:eastAsia="en-US" w:bidi="ar-SA"/>
        </w:rPr>
        <w:t>adalimumab</w:t>
      </w:r>
      <w:r>
        <w:rPr>
          <w:szCs w:val="22"/>
        </w:rPr>
        <w:t xml:space="preserve"> 160 mg în </w:t>
      </w:r>
      <w:r>
        <w:rPr>
          <w:rFonts w:eastAsia="MS Mincho"/>
          <w:szCs w:val="22"/>
          <w:lang w:eastAsia="en-US" w:bidi="ar-SA"/>
        </w:rPr>
        <w:t>săptămâna</w:t>
      </w:r>
      <w:r>
        <w:rPr>
          <w:szCs w:val="22"/>
        </w:rPr>
        <w:t xml:space="preserve"> 0 urmată de </w:t>
      </w:r>
      <w:r>
        <w:rPr>
          <w:rFonts w:eastAsia="MS Mincho"/>
          <w:szCs w:val="22"/>
          <w:lang w:eastAsia="en-US" w:bidi="ar-SA"/>
        </w:rPr>
        <w:t>adalimumab</w:t>
      </w:r>
      <w:r>
        <w:rPr>
          <w:szCs w:val="22"/>
        </w:rPr>
        <w:t xml:space="preserve"> 80 mg în </w:t>
      </w:r>
      <w:r>
        <w:rPr>
          <w:rFonts w:eastAsia="MS Mincho"/>
          <w:szCs w:val="22"/>
          <w:lang w:eastAsia="en-US" w:bidi="ar-SA"/>
        </w:rPr>
        <w:t>săptămâna</w:t>
      </w:r>
      <w:r>
        <w:rPr>
          <w:szCs w:val="22"/>
        </w:rPr>
        <w:t xml:space="preserve"> 2 a determinat concentraţii plasmatice minime ale adalimumab de aproximativ 12 </w:t>
      </w:r>
      <w:r>
        <w:t>µg</w:t>
      </w:r>
      <w:r>
        <w:rPr>
          <w:szCs w:val="22"/>
        </w:rPr>
        <w:t xml:space="preserve">/ml. La pacienţii cu colită ulcerativă cărora li s-a administrat o doză de întreţinere de </w:t>
      </w:r>
      <w:r>
        <w:rPr>
          <w:rFonts w:eastAsia="MS Mincho"/>
          <w:szCs w:val="22"/>
          <w:lang w:eastAsia="en-US" w:bidi="ar-SA"/>
        </w:rPr>
        <w:t>adalimumab</w:t>
      </w:r>
      <w:r>
        <w:rPr>
          <w:szCs w:val="22"/>
        </w:rPr>
        <w:t xml:space="preserve"> 40 mg la două săptămâni, s-au observat concentraţii minime la starea de echilibru de aproximativ 8 </w:t>
      </w:r>
      <w:r>
        <w:rPr>
          <w:color w:val="000000"/>
          <w:szCs w:val="22"/>
          <w:lang w:eastAsia="en-GB"/>
        </w:rPr>
        <w:t>µg</w:t>
      </w:r>
      <w:r>
        <w:rPr>
          <w:szCs w:val="22"/>
        </w:rPr>
        <w:t>/ml.</w:t>
      </w:r>
    </w:p>
    <w:p w14:paraId="345FCED1" w14:textId="77777777" w:rsidR="00C04CAD" w:rsidRDefault="00C04CAD">
      <w:pPr>
        <w:tabs>
          <w:tab w:val="clear" w:pos="567"/>
        </w:tabs>
        <w:kinsoku w:val="0"/>
        <w:overflowPunct w:val="0"/>
        <w:autoSpaceDE w:val="0"/>
        <w:autoSpaceDN w:val="0"/>
        <w:adjustRightInd w:val="0"/>
        <w:spacing w:line="240" w:lineRule="auto"/>
        <w:rPr>
          <w:szCs w:val="22"/>
        </w:rPr>
      </w:pPr>
    </w:p>
    <w:p w14:paraId="5A8E039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După administrarea subcutanată a unei doze în funcție de greutatea corporală de 0,6 mg/kg (maximum 40 mg) la două săptămâni la copii și adolescenți cu colită ulcerativă, media concentrațiilor serice ale adalimumabului, la starea de echilibru, a fost de 5,01 ± 3,28 </w:t>
      </w:r>
      <w:r>
        <w:rPr>
          <w:color w:val="000000"/>
          <w:szCs w:val="22"/>
          <w:lang w:eastAsia="en-GB"/>
        </w:rPr>
        <w:t>µg</w:t>
      </w:r>
      <w:r>
        <w:rPr>
          <w:szCs w:val="22"/>
        </w:rPr>
        <w:t>/ml în săptămâna 52. Pentru pacienții cărora li s-a administrat o doză de 0,6 mg/kg (maximum 40 mg) în fiecare săptămână, media concentrațiilor serice ale adalimumabului, la starea de echilibru, (± SD) a fost de 15,7±5,60 </w:t>
      </w:r>
      <w:r>
        <w:rPr>
          <w:color w:val="000000"/>
          <w:szCs w:val="22"/>
          <w:lang w:eastAsia="en-GB"/>
        </w:rPr>
        <w:t>µg</w:t>
      </w:r>
      <w:r>
        <w:rPr>
          <w:szCs w:val="22"/>
        </w:rPr>
        <w:t>/ml în săptămâna 52.</w:t>
      </w:r>
    </w:p>
    <w:p w14:paraId="152B8AC6" w14:textId="77777777" w:rsidR="00C04CAD" w:rsidRDefault="00C04CAD">
      <w:pPr>
        <w:tabs>
          <w:tab w:val="clear" w:pos="567"/>
        </w:tabs>
        <w:kinsoku w:val="0"/>
        <w:overflowPunct w:val="0"/>
        <w:autoSpaceDE w:val="0"/>
        <w:autoSpaceDN w:val="0"/>
        <w:adjustRightInd w:val="0"/>
        <w:spacing w:line="240" w:lineRule="auto"/>
      </w:pPr>
    </w:p>
    <w:p w14:paraId="42779124" w14:textId="77777777" w:rsidR="00C04CAD" w:rsidRDefault="00060E34">
      <w:pPr>
        <w:tabs>
          <w:tab w:val="clear" w:pos="567"/>
        </w:tabs>
        <w:kinsoku w:val="0"/>
        <w:overflowPunct w:val="0"/>
        <w:autoSpaceDE w:val="0"/>
        <w:autoSpaceDN w:val="0"/>
        <w:adjustRightInd w:val="0"/>
        <w:spacing w:line="240" w:lineRule="auto"/>
      </w:pPr>
      <w:r>
        <w:t xml:space="preserve">La pacienţii adulți cu uveită, o doză de încărcare de adalimumab 80 mg în </w:t>
      </w:r>
      <w:r>
        <w:rPr>
          <w:rFonts w:eastAsia="MS Mincho"/>
          <w:szCs w:val="22"/>
          <w:lang w:eastAsia="en-US" w:bidi="ar-SA"/>
        </w:rPr>
        <w:t>săptămâna</w:t>
      </w:r>
      <w:r>
        <w:t xml:space="preserve"> 0 urmată de adalimumab 40 mg la două săptămâni în </w:t>
      </w:r>
      <w:r>
        <w:rPr>
          <w:rFonts w:eastAsia="MS Mincho"/>
          <w:szCs w:val="22"/>
          <w:lang w:eastAsia="en-US" w:bidi="ar-SA"/>
        </w:rPr>
        <w:t>săptămâna</w:t>
      </w:r>
      <w:r>
        <w:t xml:space="preserve"> 1, a avut ca rezultat concentraţii minime la starea de echilibru de aproximativ 8 până la 10 µg/ml.</w:t>
      </w:r>
    </w:p>
    <w:p w14:paraId="0007E94D" w14:textId="77777777" w:rsidR="00C04CAD" w:rsidRDefault="00C04CAD">
      <w:pPr>
        <w:tabs>
          <w:tab w:val="clear" w:pos="567"/>
        </w:tabs>
        <w:kinsoku w:val="0"/>
        <w:overflowPunct w:val="0"/>
        <w:autoSpaceDE w:val="0"/>
        <w:autoSpaceDN w:val="0"/>
        <w:adjustRightInd w:val="0"/>
        <w:spacing w:line="240" w:lineRule="auto"/>
        <w:rPr>
          <w:szCs w:val="22"/>
        </w:rPr>
      </w:pPr>
    </w:p>
    <w:p w14:paraId="4A8DCC92" w14:textId="77777777" w:rsidR="00C04CAD" w:rsidRDefault="00060E34">
      <w:pPr>
        <w:tabs>
          <w:tab w:val="clear" w:pos="567"/>
        </w:tabs>
        <w:kinsoku w:val="0"/>
        <w:overflowPunct w:val="0"/>
        <w:autoSpaceDE w:val="0"/>
        <w:autoSpaceDN w:val="0"/>
        <w:adjustRightInd w:val="0"/>
        <w:spacing w:line="240" w:lineRule="auto"/>
      </w:pPr>
      <w:r>
        <w:rPr>
          <w:szCs w:val="22"/>
        </w:rPr>
        <w:t>Expunerea la adalimumab a pacienților copii și adolescenți cu uveită a fost stabilită</w:t>
      </w:r>
      <w:r>
        <w:t xml:space="preserve"> </w:t>
      </w:r>
      <w:r>
        <w:rPr>
          <w:szCs w:val="22"/>
        </w:rPr>
        <w:t xml:space="preserve">cu ajutorul modelării și simulării farmacocinetice populaționale pe baza indicatorilor farmacocinetici la pacienți pediatrici în alte indicații (psoriazis la copii, artrită juvenilă idiopatică, boală Crohn la copii și artrită asociată entezitei). Nu sunt disponibile date clinice privind expunerea în cazul utilizării unei doze de încărcare la copii cu vârsta &lt; 6 ani. </w:t>
      </w:r>
      <w:r>
        <w:rPr>
          <w:bCs/>
          <w:szCs w:val="22"/>
        </w:rPr>
        <w:t>Datele anticipate privind expunerile indică faptul că, în absența metotrexatului, doza de încărcare poate duce la o creștere inițială a expunerii sistemice.</w:t>
      </w:r>
    </w:p>
    <w:p w14:paraId="3CEDCD37" w14:textId="77777777" w:rsidR="00C04CAD" w:rsidRDefault="00C04CAD">
      <w:pPr>
        <w:tabs>
          <w:tab w:val="clear" w:pos="567"/>
        </w:tabs>
        <w:kinsoku w:val="0"/>
        <w:overflowPunct w:val="0"/>
        <w:autoSpaceDE w:val="0"/>
        <w:autoSpaceDN w:val="0"/>
        <w:adjustRightInd w:val="0"/>
        <w:spacing w:line="240" w:lineRule="auto"/>
        <w:rPr>
          <w:szCs w:val="22"/>
        </w:rPr>
      </w:pPr>
    </w:p>
    <w:p w14:paraId="09E685B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Populația farmacocinetică și modelarea și simularea farmacocinetică/farmacodinamică au estimat o expunere și eficacitate a adalimumabului la pacienții tratați cu o doză de 80 mg la două săptămâni comparabile cu valorile observate la pacienții tratați cu o doză de 40 mg în fiecare săptămână (inclusiv pacienți adulți cu AR, HS, CU, BC sau Ps, pacienți adolescenți cu HS și pacienți copii și adolescenți cu greutatea ≥ 40 kg cu BC și CU). </w:t>
      </w:r>
    </w:p>
    <w:p w14:paraId="6BA52D19" w14:textId="77777777" w:rsidR="00C04CAD" w:rsidRDefault="00C04CAD">
      <w:pPr>
        <w:tabs>
          <w:tab w:val="clear" w:pos="567"/>
        </w:tabs>
        <w:kinsoku w:val="0"/>
        <w:overflowPunct w:val="0"/>
        <w:autoSpaceDE w:val="0"/>
        <w:autoSpaceDN w:val="0"/>
        <w:adjustRightInd w:val="0"/>
        <w:spacing w:line="240" w:lineRule="auto"/>
        <w:rPr>
          <w:szCs w:val="22"/>
        </w:rPr>
      </w:pPr>
    </w:p>
    <w:p w14:paraId="3AC013F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Relația expunere-răspuns la copii și adolescenți</w:t>
      </w:r>
    </w:p>
    <w:p w14:paraId="75C9C1C4" w14:textId="77777777" w:rsidR="00C04CAD" w:rsidRDefault="00C04CAD">
      <w:pPr>
        <w:tabs>
          <w:tab w:val="clear" w:pos="567"/>
        </w:tabs>
        <w:kinsoku w:val="0"/>
        <w:overflowPunct w:val="0"/>
        <w:autoSpaceDE w:val="0"/>
        <w:autoSpaceDN w:val="0"/>
        <w:adjustRightInd w:val="0"/>
        <w:spacing w:line="240" w:lineRule="auto"/>
        <w:rPr>
          <w:szCs w:val="22"/>
        </w:rPr>
      </w:pPr>
    </w:p>
    <w:p w14:paraId="581B6567"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Pe baza datelor din studiile clinice efectuate la pacienții cu AJI (AJIp și AAE), s-a stabilit o relație expunere-răspuns între concentrațiile plasmatice și răspunsul ACR 50 pediatric. Concentrația plasmatică aparentă a adalimumab care determină jumătate din probabilitatea maximă de răspuns ACR50 pediatric (EC50) a fost de 3 μg/ml (95% IÎ: 1-6 μg/ml).</w:t>
      </w:r>
    </w:p>
    <w:p w14:paraId="2E0DFB28" w14:textId="77777777" w:rsidR="00C04CAD" w:rsidRDefault="00C04CAD">
      <w:pPr>
        <w:tabs>
          <w:tab w:val="clear" w:pos="567"/>
        </w:tabs>
        <w:kinsoku w:val="0"/>
        <w:overflowPunct w:val="0"/>
        <w:autoSpaceDE w:val="0"/>
        <w:autoSpaceDN w:val="0"/>
        <w:adjustRightInd w:val="0"/>
        <w:spacing w:line="240" w:lineRule="auto"/>
        <w:rPr>
          <w:szCs w:val="22"/>
        </w:rPr>
      </w:pPr>
    </w:p>
    <w:p w14:paraId="6969061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Relațiile expunere-răspuns între concentrația de adalimumab și eficacitate la pacienții copii și adolescenți cu psoriazis în plăci cronic sever a fost stabilită pentru PASI 75 și respectiv PGA normal sau minim. PASI 75 și PGA normal sau minim au crescut cu creșterea concentrației de adalimumab, ambele cu o EC50 aparentă similară de aproximativ 4,5 </w:t>
      </w:r>
      <w:r>
        <w:rPr>
          <w:color w:val="000000"/>
          <w:szCs w:val="22"/>
          <w:lang w:eastAsia="en-GB"/>
        </w:rPr>
        <w:t>µg</w:t>
      </w:r>
      <w:r>
        <w:rPr>
          <w:szCs w:val="22"/>
        </w:rPr>
        <w:t>/ml (IÎ 95% 0,4-47,6 și respectiv 1,9-10,5).</w:t>
      </w:r>
    </w:p>
    <w:p w14:paraId="7D1BBB61" w14:textId="77777777" w:rsidR="00C04CAD" w:rsidRDefault="00C04CAD">
      <w:pPr>
        <w:tabs>
          <w:tab w:val="clear" w:pos="567"/>
        </w:tabs>
        <w:kinsoku w:val="0"/>
        <w:overflowPunct w:val="0"/>
        <w:autoSpaceDE w:val="0"/>
        <w:autoSpaceDN w:val="0"/>
        <w:adjustRightInd w:val="0"/>
        <w:spacing w:line="240" w:lineRule="auto"/>
        <w:rPr>
          <w:szCs w:val="22"/>
        </w:rPr>
      </w:pPr>
    </w:p>
    <w:p w14:paraId="2BF07153" w14:textId="77777777" w:rsidR="00C04CAD" w:rsidRDefault="00060E34">
      <w:pPr>
        <w:keepNext/>
        <w:tabs>
          <w:tab w:val="clear" w:pos="567"/>
        </w:tabs>
        <w:kinsoku w:val="0"/>
        <w:overflowPunct w:val="0"/>
        <w:autoSpaceDE w:val="0"/>
        <w:autoSpaceDN w:val="0"/>
        <w:adjustRightInd w:val="0"/>
        <w:spacing w:line="240" w:lineRule="auto"/>
        <w:rPr>
          <w:szCs w:val="22"/>
        </w:rPr>
      </w:pPr>
      <w:r>
        <w:rPr>
          <w:szCs w:val="22"/>
          <w:u w:val="single"/>
        </w:rPr>
        <w:t>Eliminare</w:t>
      </w:r>
    </w:p>
    <w:p w14:paraId="42384502" w14:textId="77777777" w:rsidR="00C04CAD" w:rsidRDefault="00C04CAD">
      <w:pPr>
        <w:keepNext/>
        <w:tabs>
          <w:tab w:val="clear" w:pos="567"/>
        </w:tabs>
        <w:kinsoku w:val="0"/>
        <w:overflowPunct w:val="0"/>
        <w:autoSpaceDE w:val="0"/>
        <w:autoSpaceDN w:val="0"/>
        <w:adjustRightInd w:val="0"/>
        <w:spacing w:line="240" w:lineRule="auto"/>
        <w:rPr>
          <w:szCs w:val="22"/>
        </w:rPr>
      </w:pPr>
    </w:p>
    <w:p w14:paraId="03BC3EF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Analizele farmacocinetice populaţionale cu date de la peste 1 300 pacienţi au dezvăluit o tendinţă către un clearance aparent mai mare al adalimumab odată cu creşterea greutăţii corporale. După ajustarea dozei în funcţie de diferenţele de greutate, </w:t>
      </w:r>
      <w:r>
        <w:rPr>
          <w:rFonts w:eastAsia="MS Mincho"/>
          <w:szCs w:val="22"/>
          <w:lang w:eastAsia="en-US" w:bidi="ar-SA"/>
        </w:rPr>
        <w:t>sexul</w:t>
      </w:r>
      <w:r>
        <w:rPr>
          <w:szCs w:val="22"/>
        </w:rPr>
        <w:t xml:space="preserve"> şi </w:t>
      </w:r>
      <w:r>
        <w:rPr>
          <w:rFonts w:eastAsia="MS Mincho"/>
          <w:szCs w:val="22"/>
          <w:lang w:eastAsia="en-US" w:bidi="ar-SA"/>
        </w:rPr>
        <w:t>vârsta</w:t>
      </w:r>
      <w:r>
        <w:rPr>
          <w:szCs w:val="22"/>
        </w:rPr>
        <w:t xml:space="preserve"> au părut să aibă un efect minim asupra clearance</w:t>
      </w:r>
      <w:r>
        <w:rPr>
          <w:szCs w:val="22"/>
        </w:rPr>
        <w:noBreakHyphen/>
        <w:t>ului de adalimumab. Nivelurile concentraţiilor plasmatice de adalimumab liber (nelegat de anticorpii anti-adalimumab, AAA) s-a constatat a fi mai mici la pacienţii cu AAA măsurabili.</w:t>
      </w:r>
    </w:p>
    <w:p w14:paraId="67C91A8B" w14:textId="77777777" w:rsidR="00C04CAD" w:rsidRDefault="00C04CAD">
      <w:pPr>
        <w:tabs>
          <w:tab w:val="clear" w:pos="567"/>
        </w:tabs>
        <w:kinsoku w:val="0"/>
        <w:overflowPunct w:val="0"/>
        <w:autoSpaceDE w:val="0"/>
        <w:autoSpaceDN w:val="0"/>
        <w:adjustRightInd w:val="0"/>
        <w:spacing w:line="240" w:lineRule="auto"/>
        <w:rPr>
          <w:szCs w:val="22"/>
          <w:u w:val="single"/>
        </w:rPr>
      </w:pPr>
    </w:p>
    <w:p w14:paraId="290C2DE6"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szCs w:val="22"/>
          <w:u w:val="single"/>
        </w:rPr>
        <w:t>Insuficienţă hepatică sau renală</w:t>
      </w:r>
    </w:p>
    <w:p w14:paraId="53499D81" w14:textId="77777777" w:rsidR="00C04CAD" w:rsidRDefault="00C04CAD">
      <w:pPr>
        <w:keepNext/>
        <w:tabs>
          <w:tab w:val="clear" w:pos="567"/>
        </w:tabs>
        <w:kinsoku w:val="0"/>
        <w:overflowPunct w:val="0"/>
        <w:autoSpaceDE w:val="0"/>
        <w:autoSpaceDN w:val="0"/>
        <w:adjustRightInd w:val="0"/>
        <w:spacing w:line="240" w:lineRule="auto"/>
        <w:rPr>
          <w:szCs w:val="22"/>
        </w:rPr>
      </w:pPr>
    </w:p>
    <w:p w14:paraId="4A2C4C9B" w14:textId="77777777" w:rsidR="00C04CAD" w:rsidRDefault="00060E34">
      <w:pPr>
        <w:numPr>
          <w:ilvl w:val="12"/>
          <w:numId w:val="0"/>
        </w:numPr>
        <w:spacing w:line="240" w:lineRule="auto"/>
        <w:ind w:right="-2"/>
        <w:rPr>
          <w:szCs w:val="22"/>
          <w:u w:val="single"/>
        </w:rPr>
      </w:pPr>
      <w:r>
        <w:rPr>
          <w:rFonts w:eastAsia="MS Mincho"/>
          <w:szCs w:val="22"/>
          <w:lang w:eastAsia="en-US" w:bidi="ar-SA"/>
        </w:rPr>
        <w:t>Adalimumab</w:t>
      </w:r>
      <w:r>
        <w:rPr>
          <w:szCs w:val="22"/>
        </w:rPr>
        <w:t xml:space="preserve"> nu a fost studiat la pacienţii cu insuficienţă hepatică sau renală.</w:t>
      </w:r>
    </w:p>
    <w:p w14:paraId="2083C1FC" w14:textId="77777777" w:rsidR="00C04CAD" w:rsidRDefault="00C04CAD">
      <w:pPr>
        <w:numPr>
          <w:ilvl w:val="12"/>
          <w:numId w:val="0"/>
        </w:numPr>
        <w:spacing w:line="240" w:lineRule="auto"/>
        <w:ind w:right="-2"/>
      </w:pPr>
    </w:p>
    <w:p w14:paraId="79B594B2" w14:textId="77777777" w:rsidR="00C04CAD" w:rsidRDefault="00060E34">
      <w:pPr>
        <w:keepNext/>
        <w:numPr>
          <w:ilvl w:val="1"/>
          <w:numId w:val="14"/>
        </w:numPr>
        <w:spacing w:line="240" w:lineRule="auto"/>
        <w:ind w:left="567" w:hanging="567"/>
        <w:outlineLvl w:val="0"/>
        <w:rPr>
          <w:szCs w:val="22"/>
        </w:rPr>
      </w:pPr>
      <w:r>
        <w:rPr>
          <w:b/>
          <w:szCs w:val="22"/>
        </w:rPr>
        <w:t>Date preclinice de siguranță</w:t>
      </w:r>
    </w:p>
    <w:p w14:paraId="46165AB0" w14:textId="77777777" w:rsidR="00C04CAD" w:rsidRDefault="00C04CAD">
      <w:pPr>
        <w:keepNext/>
        <w:spacing w:line="240" w:lineRule="auto"/>
        <w:rPr>
          <w:szCs w:val="22"/>
        </w:rPr>
      </w:pPr>
    </w:p>
    <w:p w14:paraId="62A1ECA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Datele non-clinice din studii de toxicitate după doză unică, de toxicitate după doze repetate şi de genotoxicitate, nu au evidenţiat nici un risc special la om.</w:t>
      </w:r>
    </w:p>
    <w:p w14:paraId="79018169" w14:textId="77777777" w:rsidR="00C04CAD" w:rsidRDefault="00C04CAD">
      <w:pPr>
        <w:tabs>
          <w:tab w:val="clear" w:pos="567"/>
        </w:tabs>
        <w:kinsoku w:val="0"/>
        <w:overflowPunct w:val="0"/>
        <w:autoSpaceDE w:val="0"/>
        <w:autoSpaceDN w:val="0"/>
        <w:adjustRightInd w:val="0"/>
        <w:spacing w:line="240" w:lineRule="auto"/>
        <w:rPr>
          <w:szCs w:val="22"/>
        </w:rPr>
      </w:pPr>
    </w:p>
    <w:p w14:paraId="49CE8DCF" w14:textId="77777777" w:rsidR="00C04CAD" w:rsidRDefault="00060E34">
      <w:pPr>
        <w:spacing w:line="240" w:lineRule="auto"/>
        <w:rPr>
          <w:szCs w:val="22"/>
        </w:rPr>
      </w:pPr>
      <w:r>
        <w:rPr>
          <w:szCs w:val="22"/>
        </w:rPr>
        <w:t>Un studiu de toxicitate asupra dezvoltării embrio-fetale/evoluţiei perinatale a fost efectuat la maimuţe cynomologous cu doze de 0, 30 şi 100 mg/kg (9</w:t>
      </w:r>
      <w:r>
        <w:rPr>
          <w:szCs w:val="22"/>
        </w:rPr>
        <w:noBreakHyphen/>
        <w:t>17 maimuţe/grup) şi nu a evidenţiat leziuni ale feţilor datorate administrării adalimumab. Nici studiile de carcinogenicitate şi nici o evaluare standard a fertilităţii şi a toxicităţii postnatale nu au fost efectuate cu adalimumab din cauza lipsei unor modele corespunzătoare pentru un anticorp cu reactivitate încrucişată limitată pentru TNF-ul rozătoarelor şi din cauza prezenţei unor anticorpi neutralizanţi la rozătoare.</w:t>
      </w:r>
    </w:p>
    <w:p w14:paraId="142310FF" w14:textId="77777777" w:rsidR="00C04CAD" w:rsidRDefault="00C04CAD">
      <w:pPr>
        <w:spacing w:line="240" w:lineRule="auto"/>
        <w:rPr>
          <w:szCs w:val="22"/>
        </w:rPr>
      </w:pPr>
    </w:p>
    <w:p w14:paraId="204FD577" w14:textId="77777777" w:rsidR="00C04CAD" w:rsidRDefault="00C04CAD">
      <w:pPr>
        <w:spacing w:line="240" w:lineRule="auto"/>
        <w:rPr>
          <w:szCs w:val="22"/>
        </w:rPr>
      </w:pPr>
    </w:p>
    <w:p w14:paraId="31BCED01" w14:textId="77777777" w:rsidR="00C04CAD" w:rsidRDefault="00060E34">
      <w:pPr>
        <w:keepNext/>
        <w:numPr>
          <w:ilvl w:val="0"/>
          <w:numId w:val="14"/>
        </w:numPr>
        <w:suppressAutoHyphens/>
        <w:spacing w:line="240" w:lineRule="auto"/>
        <w:ind w:left="567" w:hanging="567"/>
        <w:rPr>
          <w:szCs w:val="22"/>
        </w:rPr>
      </w:pPr>
      <w:r>
        <w:rPr>
          <w:b/>
          <w:szCs w:val="22"/>
        </w:rPr>
        <w:t>PROPRIETĂȚI FARMACEUTICE</w:t>
      </w:r>
    </w:p>
    <w:p w14:paraId="37DD10BC" w14:textId="77777777" w:rsidR="00C04CAD" w:rsidRDefault="00C04CAD">
      <w:pPr>
        <w:keepNext/>
        <w:spacing w:line="240" w:lineRule="auto"/>
        <w:rPr>
          <w:szCs w:val="22"/>
        </w:rPr>
      </w:pPr>
    </w:p>
    <w:p w14:paraId="36D7E02D" w14:textId="77777777" w:rsidR="00C04CAD" w:rsidRDefault="00060E34">
      <w:pPr>
        <w:keepNext/>
        <w:numPr>
          <w:ilvl w:val="1"/>
          <w:numId w:val="14"/>
        </w:numPr>
        <w:spacing w:line="240" w:lineRule="auto"/>
        <w:ind w:left="567" w:hanging="567"/>
        <w:outlineLvl w:val="0"/>
        <w:rPr>
          <w:rFonts w:eastAsia="MS Mincho"/>
          <w:szCs w:val="22"/>
          <w:lang w:eastAsia="en-US" w:bidi="ar-SA"/>
        </w:rPr>
      </w:pPr>
      <w:r>
        <w:rPr>
          <w:b/>
          <w:szCs w:val="22"/>
        </w:rPr>
        <w:t>Lista excipienților</w:t>
      </w:r>
    </w:p>
    <w:p w14:paraId="12BFFD0F" w14:textId="77777777" w:rsidR="00C04CAD" w:rsidRDefault="00C04CAD">
      <w:pPr>
        <w:keepNext/>
        <w:spacing w:line="240" w:lineRule="auto"/>
        <w:rPr>
          <w:i/>
          <w:szCs w:val="22"/>
        </w:rPr>
      </w:pPr>
    </w:p>
    <w:p w14:paraId="6A5BF2B3"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 xml:space="preserve">Acid </w:t>
      </w:r>
      <w:r>
        <w:rPr>
          <w:szCs w:val="22"/>
          <w:lang w:eastAsia="en-GB"/>
        </w:rPr>
        <w:t>L-lactic</w:t>
      </w:r>
    </w:p>
    <w:p w14:paraId="647ABD74"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Sucroză</w:t>
      </w:r>
    </w:p>
    <w:p w14:paraId="53C2F1B7" w14:textId="77777777" w:rsidR="00C04CAD" w:rsidRDefault="00060E34">
      <w:pPr>
        <w:tabs>
          <w:tab w:val="clear" w:pos="567"/>
        </w:tabs>
        <w:kinsoku w:val="0"/>
        <w:overflowPunct w:val="0"/>
        <w:autoSpaceDE w:val="0"/>
        <w:autoSpaceDN w:val="0"/>
        <w:adjustRightInd w:val="0"/>
        <w:spacing w:line="240" w:lineRule="auto"/>
      </w:pPr>
      <w:r>
        <w:t>Polisorbat 80</w:t>
      </w:r>
    </w:p>
    <w:p w14:paraId="78BFECDE"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Hidroxid de sodiu (pentru ajustarea pH-ului)</w:t>
      </w:r>
    </w:p>
    <w:p w14:paraId="75EEF65C" w14:textId="77777777" w:rsidR="00C04CAD" w:rsidRDefault="00060E34">
      <w:pPr>
        <w:spacing w:line="240" w:lineRule="auto"/>
      </w:pPr>
      <w:r>
        <w:t>Apă pentru preparate injectabile</w:t>
      </w:r>
    </w:p>
    <w:p w14:paraId="6B6E0F0C" w14:textId="77777777" w:rsidR="00C04CAD" w:rsidRDefault="00C04CAD">
      <w:pPr>
        <w:spacing w:line="240" w:lineRule="auto"/>
      </w:pPr>
    </w:p>
    <w:p w14:paraId="7844214A" w14:textId="77777777" w:rsidR="00C04CAD" w:rsidRDefault="00060E34">
      <w:pPr>
        <w:keepNext/>
        <w:numPr>
          <w:ilvl w:val="1"/>
          <w:numId w:val="14"/>
        </w:numPr>
        <w:spacing w:line="240" w:lineRule="auto"/>
        <w:ind w:left="567" w:hanging="567"/>
        <w:outlineLvl w:val="0"/>
        <w:rPr>
          <w:szCs w:val="22"/>
        </w:rPr>
      </w:pPr>
      <w:r>
        <w:rPr>
          <w:b/>
        </w:rPr>
        <w:t>Incompatibilități</w:t>
      </w:r>
    </w:p>
    <w:p w14:paraId="68BDFD4E" w14:textId="77777777" w:rsidR="00C04CAD" w:rsidRDefault="00C04CAD">
      <w:pPr>
        <w:keepNext/>
        <w:spacing w:line="240" w:lineRule="auto"/>
        <w:rPr>
          <w:szCs w:val="22"/>
        </w:rPr>
      </w:pPr>
    </w:p>
    <w:p w14:paraId="5BAB890D" w14:textId="77777777" w:rsidR="00C04CAD" w:rsidRDefault="00060E34">
      <w:pPr>
        <w:spacing w:line="240" w:lineRule="auto"/>
      </w:pPr>
      <w:r>
        <w:t>În absența studiilor de compatibilitate, acest medicament nu trebuie amestecat cu alte medicamente.</w:t>
      </w:r>
    </w:p>
    <w:p w14:paraId="5EB5B141" w14:textId="77777777" w:rsidR="00C04CAD" w:rsidRDefault="00C04CAD">
      <w:pPr>
        <w:spacing w:line="240" w:lineRule="auto"/>
      </w:pPr>
    </w:p>
    <w:p w14:paraId="7B5DFC47" w14:textId="77777777" w:rsidR="00C04CAD" w:rsidRDefault="00060E34">
      <w:pPr>
        <w:keepNext/>
        <w:numPr>
          <w:ilvl w:val="1"/>
          <w:numId w:val="14"/>
        </w:numPr>
        <w:spacing w:line="240" w:lineRule="auto"/>
        <w:ind w:left="567" w:hanging="567"/>
        <w:outlineLvl w:val="0"/>
      </w:pPr>
      <w:r>
        <w:rPr>
          <w:b/>
        </w:rPr>
        <w:t>Perioada de valabilitate</w:t>
      </w:r>
    </w:p>
    <w:p w14:paraId="5FA41EAF" w14:textId="77777777" w:rsidR="00C04CAD" w:rsidRDefault="00C04CAD">
      <w:pPr>
        <w:keepNext/>
        <w:spacing w:line="240" w:lineRule="auto"/>
      </w:pPr>
    </w:p>
    <w:p w14:paraId="363A192F" w14:textId="77777777" w:rsidR="00C04CAD" w:rsidRDefault="00060E34">
      <w:pPr>
        <w:spacing w:line="240" w:lineRule="auto"/>
      </w:pPr>
      <w:r>
        <w:t>3 ani</w:t>
      </w:r>
    </w:p>
    <w:p w14:paraId="6DE4F258" w14:textId="77777777" w:rsidR="00C04CAD" w:rsidRDefault="00C04CAD">
      <w:pPr>
        <w:spacing w:line="240" w:lineRule="auto"/>
      </w:pPr>
    </w:p>
    <w:p w14:paraId="033204BF" w14:textId="77777777" w:rsidR="00C04CAD" w:rsidRDefault="00060E34">
      <w:pPr>
        <w:keepNext/>
        <w:numPr>
          <w:ilvl w:val="1"/>
          <w:numId w:val="14"/>
        </w:numPr>
        <w:spacing w:line="240" w:lineRule="auto"/>
        <w:ind w:left="567" w:hanging="567"/>
        <w:outlineLvl w:val="0"/>
      </w:pPr>
      <w:r>
        <w:rPr>
          <w:b/>
        </w:rPr>
        <w:t>Precauții speciale pentru păstrare</w:t>
      </w:r>
    </w:p>
    <w:p w14:paraId="30ECC0B8" w14:textId="77777777" w:rsidR="00C04CAD" w:rsidRDefault="00C04CAD">
      <w:pPr>
        <w:keepNext/>
        <w:spacing w:line="240" w:lineRule="auto"/>
        <w:ind w:left="567" w:hanging="567"/>
        <w:outlineLvl w:val="0"/>
      </w:pPr>
    </w:p>
    <w:p w14:paraId="05AA2891"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A se păstra la frigider (2°C–8°C). </w:t>
      </w:r>
    </w:p>
    <w:p w14:paraId="6BE3055C"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t xml:space="preserve">A nu se congela. </w:t>
      </w:r>
    </w:p>
    <w:p w14:paraId="7F518D95" w14:textId="77777777" w:rsidR="00C04CAD" w:rsidRDefault="00060E34">
      <w:pPr>
        <w:tabs>
          <w:tab w:val="clear" w:pos="567"/>
        </w:tabs>
        <w:kinsoku w:val="0"/>
        <w:overflowPunct w:val="0"/>
        <w:autoSpaceDE w:val="0"/>
        <w:autoSpaceDN w:val="0"/>
        <w:adjustRightInd w:val="0"/>
        <w:spacing w:line="240" w:lineRule="auto"/>
      </w:pPr>
      <w:r>
        <w:t xml:space="preserve">A se păstra </w:t>
      </w:r>
      <w:r>
        <w:rPr>
          <w:rFonts w:eastAsia="MS Mincho"/>
          <w:szCs w:val="22"/>
          <w:lang w:eastAsia="en-US" w:bidi="ar-SA"/>
        </w:rPr>
        <w:t>seringa preumplută sau pen-ul preumplut</w:t>
      </w:r>
      <w:r>
        <w:t xml:space="preserve"> în ambalajul original pentru a fi protejate de lumină.</w:t>
      </w:r>
    </w:p>
    <w:p w14:paraId="76B1945F" w14:textId="77777777" w:rsidR="00C04CAD" w:rsidRDefault="00C04CAD">
      <w:pPr>
        <w:tabs>
          <w:tab w:val="clear" w:pos="567"/>
        </w:tabs>
        <w:kinsoku w:val="0"/>
        <w:overflowPunct w:val="0"/>
        <w:autoSpaceDE w:val="0"/>
        <w:autoSpaceDN w:val="0"/>
        <w:adjustRightInd w:val="0"/>
        <w:spacing w:line="240" w:lineRule="auto"/>
      </w:pPr>
    </w:p>
    <w:p w14:paraId="1595FB79" w14:textId="77777777" w:rsidR="00C04CAD" w:rsidRDefault="00060E34">
      <w:pPr>
        <w:spacing w:line="240" w:lineRule="auto"/>
      </w:pPr>
      <w:r>
        <w:t xml:space="preserve">Seringa preumplută </w:t>
      </w:r>
      <w:r>
        <w:rPr>
          <w:rFonts w:eastAsia="MS Mincho"/>
          <w:szCs w:val="22"/>
          <w:lang w:eastAsia="en-US" w:bidi="ar-SA"/>
        </w:rPr>
        <w:t>sau penul preumplut</w:t>
      </w:r>
      <w:r>
        <w:t xml:space="preserve"> se </w:t>
      </w:r>
      <w:r>
        <w:rPr>
          <w:rFonts w:eastAsia="MS Mincho"/>
          <w:szCs w:val="22"/>
          <w:lang w:eastAsia="en-US" w:bidi="ar-SA"/>
        </w:rPr>
        <w:t>pot</w:t>
      </w:r>
      <w:r>
        <w:t xml:space="preserve"> păstra la temperaturi de până la </w:t>
      </w:r>
      <w:r>
        <w:rPr>
          <w:rFonts w:eastAsia="MS Mincho"/>
          <w:szCs w:val="22"/>
          <w:lang w:eastAsia="en-US" w:bidi="ar-SA"/>
        </w:rPr>
        <w:t>maximum</w:t>
      </w:r>
      <w:r>
        <w:t xml:space="preserve"> 25°C pentru o perioadă de până la14 zile. Seringa </w:t>
      </w:r>
      <w:r>
        <w:rPr>
          <w:rFonts w:eastAsia="MS Mincho"/>
          <w:szCs w:val="22"/>
          <w:lang w:eastAsia="en-US" w:bidi="ar-SA"/>
        </w:rPr>
        <w:t xml:space="preserve">preumplută sau penul preumplut </w:t>
      </w:r>
      <w:r>
        <w:t xml:space="preserve">trebuie </w:t>
      </w:r>
      <w:r>
        <w:rPr>
          <w:rFonts w:eastAsia="MS Mincho"/>
          <w:szCs w:val="22"/>
          <w:lang w:eastAsia="en-US" w:bidi="ar-SA"/>
        </w:rPr>
        <w:t>protejate</w:t>
      </w:r>
      <w:r>
        <w:t xml:space="preserve"> de lumină şi </w:t>
      </w:r>
      <w:r>
        <w:rPr>
          <w:rFonts w:eastAsia="MS Mincho"/>
          <w:szCs w:val="22"/>
          <w:lang w:eastAsia="en-US" w:bidi="ar-SA"/>
        </w:rPr>
        <w:t>aruncate</w:t>
      </w:r>
      <w:r>
        <w:t xml:space="preserve"> dacă nu se utilizează în perioada de 14 zile.</w:t>
      </w:r>
    </w:p>
    <w:p w14:paraId="35DD0748" w14:textId="77777777" w:rsidR="00C04CAD" w:rsidRDefault="00C04CAD">
      <w:pPr>
        <w:spacing w:line="240" w:lineRule="auto"/>
      </w:pPr>
    </w:p>
    <w:p w14:paraId="7B6D2314" w14:textId="77777777" w:rsidR="00C04CAD" w:rsidRDefault="00060E34">
      <w:pPr>
        <w:keepNext/>
        <w:numPr>
          <w:ilvl w:val="1"/>
          <w:numId w:val="14"/>
        </w:numPr>
        <w:tabs>
          <w:tab w:val="clear" w:pos="567"/>
        </w:tabs>
        <w:spacing w:line="240" w:lineRule="auto"/>
        <w:ind w:left="567" w:hanging="567"/>
        <w:outlineLvl w:val="0"/>
        <w:rPr>
          <w:b/>
          <w:bCs/>
          <w:szCs w:val="22"/>
        </w:rPr>
      </w:pPr>
      <w:r>
        <w:rPr>
          <w:b/>
          <w:szCs w:val="22"/>
        </w:rPr>
        <w:t>Natura și conținutul ambalajului și echipamente speciale pentru utilizare, administrare sau implantare</w:t>
      </w:r>
    </w:p>
    <w:p w14:paraId="24E7B2E0" w14:textId="77777777" w:rsidR="00C04CAD" w:rsidRDefault="00C04CAD">
      <w:pPr>
        <w:keepNext/>
        <w:spacing w:line="240" w:lineRule="auto"/>
        <w:outlineLvl w:val="0"/>
        <w:rPr>
          <w:b/>
          <w:szCs w:val="22"/>
        </w:rPr>
      </w:pPr>
    </w:p>
    <w:p w14:paraId="67C5F18C" w14:textId="77777777" w:rsidR="00C04CAD" w:rsidRDefault="00060E34">
      <w:pPr>
        <w:keepNext/>
        <w:tabs>
          <w:tab w:val="clear" w:pos="567"/>
        </w:tabs>
        <w:kinsoku w:val="0"/>
        <w:overflowPunct w:val="0"/>
        <w:autoSpaceDE w:val="0"/>
        <w:autoSpaceDN w:val="0"/>
        <w:adjustRightInd w:val="0"/>
        <w:spacing w:line="240" w:lineRule="auto"/>
        <w:rPr>
          <w:szCs w:val="22"/>
          <w:u w:val="single"/>
        </w:rPr>
      </w:pPr>
      <w:r>
        <w:rPr>
          <w:rFonts w:eastAsia="MS Mincho"/>
          <w:szCs w:val="22"/>
          <w:u w:val="single"/>
          <w:lang w:eastAsia="en-US" w:bidi="ar-SA"/>
        </w:rPr>
        <w:t>AMGEVITA 20</w:t>
      </w:r>
      <w:r>
        <w:rPr>
          <w:szCs w:val="22"/>
          <w:u w:val="single"/>
        </w:rPr>
        <w:t> mg soluţie injectabilă în seringă preumplută</w:t>
      </w:r>
    </w:p>
    <w:p w14:paraId="2FD06E36" w14:textId="77777777" w:rsidR="00C04CAD" w:rsidRDefault="00C04CAD">
      <w:pPr>
        <w:keepNext/>
        <w:tabs>
          <w:tab w:val="clear" w:pos="567"/>
        </w:tabs>
        <w:kinsoku w:val="0"/>
        <w:overflowPunct w:val="0"/>
        <w:autoSpaceDE w:val="0"/>
        <w:autoSpaceDN w:val="0"/>
        <w:adjustRightInd w:val="0"/>
        <w:spacing w:line="240" w:lineRule="auto"/>
        <w:rPr>
          <w:rFonts w:eastAsia="MS Mincho"/>
          <w:szCs w:val="22"/>
          <w:u w:val="single"/>
          <w:lang w:eastAsia="en-US" w:bidi="ar-SA"/>
        </w:rPr>
      </w:pPr>
    </w:p>
    <w:p w14:paraId="6A20EC19"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0,2 ml soluţie în seringă preumplută</w:t>
      </w:r>
      <w:r>
        <w:rPr>
          <w:szCs w:val="22"/>
        </w:rPr>
        <w:t xml:space="preserve"> (sticlă de tip I) cu un piston (din cauciuc bromobutilic) şi un ac </w:t>
      </w:r>
      <w:r>
        <w:rPr>
          <w:rFonts w:eastAsia="MS Mincho"/>
          <w:szCs w:val="22"/>
          <w:lang w:eastAsia="en-US" w:bidi="ar-SA"/>
        </w:rPr>
        <w:t xml:space="preserve">din oţel inoxidabil </w:t>
      </w:r>
      <w:r>
        <w:rPr>
          <w:szCs w:val="22"/>
        </w:rPr>
        <w:t>cu un capac pentru ac (elastomer termoplastic).</w:t>
      </w:r>
      <w:r>
        <w:rPr>
          <w:rFonts w:eastAsia="MS Mincho"/>
          <w:szCs w:val="22"/>
          <w:lang w:eastAsia="en-US" w:bidi="ar-SA"/>
        </w:rPr>
        <w:t xml:space="preserve"> </w:t>
      </w:r>
    </w:p>
    <w:p w14:paraId="0C0E7D29"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22E44DF6"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Mărime de ambalaj cu</w:t>
      </w:r>
      <w:r>
        <w:rPr>
          <w:szCs w:val="22"/>
        </w:rPr>
        <w:t xml:space="preserve"> 1 seringă preumplută</w:t>
      </w:r>
      <w:r>
        <w:rPr>
          <w:rFonts w:eastAsia="MS Mincho"/>
          <w:szCs w:val="22"/>
          <w:lang w:eastAsia="en-US" w:bidi="ar-SA"/>
        </w:rPr>
        <w:t>.</w:t>
      </w:r>
    </w:p>
    <w:p w14:paraId="2B8F9575"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3E658118" w14:textId="77777777" w:rsidR="00C04CAD" w:rsidRDefault="00060E34">
      <w:pPr>
        <w:keepNext/>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40 mg soluţie injectabilă în seringă preumplută</w:t>
      </w:r>
    </w:p>
    <w:p w14:paraId="57165C85" w14:textId="77777777" w:rsidR="00C04CAD" w:rsidRDefault="00C04CAD">
      <w:pPr>
        <w:keepNext/>
        <w:tabs>
          <w:tab w:val="clear" w:pos="567"/>
        </w:tabs>
        <w:kinsoku w:val="0"/>
        <w:overflowPunct w:val="0"/>
        <w:autoSpaceDE w:val="0"/>
        <w:autoSpaceDN w:val="0"/>
        <w:adjustRightInd w:val="0"/>
        <w:spacing w:line="240" w:lineRule="auto"/>
        <w:rPr>
          <w:rFonts w:eastAsia="MS Mincho"/>
          <w:szCs w:val="22"/>
          <w:u w:val="single"/>
          <w:lang w:eastAsia="en-US" w:bidi="ar-SA"/>
        </w:rPr>
      </w:pPr>
    </w:p>
    <w:p w14:paraId="0FE83C40"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szCs w:val="22"/>
        </w:rPr>
        <w:t xml:space="preserve">0,4 ml soluţie </w:t>
      </w:r>
      <w:r>
        <w:rPr>
          <w:rFonts w:eastAsia="MS Mincho"/>
          <w:szCs w:val="22"/>
          <w:lang w:eastAsia="en-US" w:bidi="ar-SA"/>
        </w:rPr>
        <w:t xml:space="preserve">în seringă preumplută (sticlă de tip I) cu un piston (din cauciuc bromobutilic) şi un ac din oţel inoxidabil cu </w:t>
      </w:r>
      <w:r>
        <w:rPr>
          <w:szCs w:val="22"/>
        </w:rPr>
        <w:t xml:space="preserve">un </w:t>
      </w:r>
      <w:r>
        <w:rPr>
          <w:rFonts w:eastAsia="MS Mincho"/>
          <w:szCs w:val="22"/>
          <w:lang w:eastAsia="en-US" w:bidi="ar-SA"/>
        </w:rPr>
        <w:t>capac pentru ac (elastomer termoplastic).</w:t>
      </w:r>
    </w:p>
    <w:p w14:paraId="5B5C263C"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7933B478"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Mărime de ambalaj</w:t>
      </w:r>
      <w:r>
        <w:rPr>
          <w:szCs w:val="22"/>
        </w:rPr>
        <w:t xml:space="preserve"> cu </w:t>
      </w:r>
      <w:r>
        <w:rPr>
          <w:rFonts w:eastAsia="MS Mincho"/>
          <w:szCs w:val="22"/>
          <w:lang w:eastAsia="en-US" w:bidi="ar-SA"/>
        </w:rPr>
        <w:t>1, 2 sau ambalaj multiplu conţinând 6 (3 cutii a câte 2) seringi preumplute</w:t>
      </w:r>
      <w:r>
        <w:rPr>
          <w:szCs w:val="22"/>
        </w:rPr>
        <w:t>.</w:t>
      </w:r>
    </w:p>
    <w:p w14:paraId="4F9F564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Este posibil ca nu toate mărimile de ambalaj să fie comercializate.</w:t>
      </w:r>
    </w:p>
    <w:p w14:paraId="2EBDD735" w14:textId="77777777" w:rsidR="00C04CAD" w:rsidRDefault="00C04CAD">
      <w:pPr>
        <w:tabs>
          <w:tab w:val="clear" w:pos="567"/>
        </w:tabs>
        <w:kinsoku w:val="0"/>
        <w:overflowPunct w:val="0"/>
        <w:autoSpaceDE w:val="0"/>
        <w:autoSpaceDN w:val="0"/>
        <w:adjustRightInd w:val="0"/>
        <w:spacing w:line="240" w:lineRule="auto"/>
        <w:rPr>
          <w:szCs w:val="22"/>
        </w:rPr>
      </w:pPr>
    </w:p>
    <w:p w14:paraId="43F5D7EE" w14:textId="77777777" w:rsidR="00C04CAD" w:rsidRDefault="00060E34">
      <w:pPr>
        <w:keepNext/>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80 mg soluţie injectabilă în seringă preumplută</w:t>
      </w:r>
    </w:p>
    <w:p w14:paraId="4969B0D5" w14:textId="77777777" w:rsidR="00C04CAD" w:rsidRDefault="00C04CAD">
      <w:pPr>
        <w:keepNext/>
        <w:tabs>
          <w:tab w:val="clear" w:pos="567"/>
        </w:tabs>
        <w:kinsoku w:val="0"/>
        <w:overflowPunct w:val="0"/>
        <w:autoSpaceDE w:val="0"/>
        <w:autoSpaceDN w:val="0"/>
        <w:adjustRightInd w:val="0"/>
        <w:spacing w:line="240" w:lineRule="auto"/>
        <w:rPr>
          <w:rFonts w:eastAsia="MS Mincho"/>
          <w:szCs w:val="22"/>
          <w:u w:val="single"/>
          <w:lang w:eastAsia="en-US" w:bidi="ar-SA"/>
        </w:rPr>
      </w:pPr>
    </w:p>
    <w:p w14:paraId="76B1C061"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szCs w:val="22"/>
        </w:rPr>
        <w:t xml:space="preserve">0,8 ml soluţie </w:t>
      </w:r>
      <w:r>
        <w:rPr>
          <w:rFonts w:eastAsia="MS Mincho"/>
          <w:szCs w:val="22"/>
          <w:lang w:eastAsia="en-US" w:bidi="ar-SA"/>
        </w:rPr>
        <w:t xml:space="preserve">în seringă preumplută (sticlă de tip I) cu un piston (din cauciuc bromobutilic) şi un ac din oţel inoxidabil cu </w:t>
      </w:r>
      <w:r>
        <w:rPr>
          <w:szCs w:val="22"/>
        </w:rPr>
        <w:t xml:space="preserve">un </w:t>
      </w:r>
      <w:r>
        <w:rPr>
          <w:rFonts w:eastAsia="MS Mincho"/>
          <w:szCs w:val="22"/>
          <w:lang w:eastAsia="en-US" w:bidi="ar-SA"/>
        </w:rPr>
        <w:t>capac pentru ac (elastomer termoplastic).</w:t>
      </w:r>
    </w:p>
    <w:p w14:paraId="1C2E43C0"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35E9CFA1" w14:textId="77777777" w:rsidR="00C04CAD" w:rsidRDefault="00060E34">
      <w:pPr>
        <w:tabs>
          <w:tab w:val="clear" w:pos="567"/>
        </w:tabs>
        <w:kinsoku w:val="0"/>
        <w:overflowPunct w:val="0"/>
        <w:autoSpaceDE w:val="0"/>
        <w:autoSpaceDN w:val="0"/>
        <w:adjustRightInd w:val="0"/>
        <w:spacing w:line="240" w:lineRule="auto"/>
        <w:rPr>
          <w:szCs w:val="22"/>
        </w:rPr>
      </w:pPr>
      <w:r>
        <w:rPr>
          <w:rFonts w:eastAsia="MS Mincho"/>
          <w:szCs w:val="22"/>
          <w:lang w:eastAsia="en-US" w:bidi="ar-SA"/>
        </w:rPr>
        <w:t>Mărime de ambalaj</w:t>
      </w:r>
      <w:r>
        <w:rPr>
          <w:szCs w:val="22"/>
        </w:rPr>
        <w:t xml:space="preserve"> cu </w:t>
      </w:r>
      <w:r>
        <w:rPr>
          <w:rFonts w:eastAsia="MS Mincho"/>
          <w:szCs w:val="22"/>
          <w:lang w:eastAsia="en-US" w:bidi="ar-SA"/>
        </w:rPr>
        <w:t>1, 2 sau ambalaj multiplu conţinând 3 (3 cutii a câte 1) seringi preumplute</w:t>
      </w:r>
      <w:r>
        <w:rPr>
          <w:szCs w:val="22"/>
        </w:rPr>
        <w:t>.</w:t>
      </w:r>
    </w:p>
    <w:p w14:paraId="65CF13C6"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Este posibil ca nu toate mărimile de ambalaj să fie comercializate.</w:t>
      </w:r>
    </w:p>
    <w:p w14:paraId="54368D49" w14:textId="77777777" w:rsidR="00C04CAD" w:rsidRDefault="00C04CAD">
      <w:pPr>
        <w:tabs>
          <w:tab w:val="clear" w:pos="567"/>
        </w:tabs>
        <w:kinsoku w:val="0"/>
        <w:overflowPunct w:val="0"/>
        <w:autoSpaceDE w:val="0"/>
        <w:autoSpaceDN w:val="0"/>
        <w:adjustRightInd w:val="0"/>
        <w:spacing w:line="240" w:lineRule="auto"/>
        <w:rPr>
          <w:szCs w:val="22"/>
        </w:rPr>
      </w:pPr>
    </w:p>
    <w:p w14:paraId="4BD71B1C" w14:textId="77777777" w:rsidR="00C04CAD" w:rsidRDefault="00060E34">
      <w:pPr>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40 mg soluţie injectabilă în pen preumplut</w:t>
      </w:r>
    </w:p>
    <w:p w14:paraId="1637E91A" w14:textId="77777777" w:rsidR="00C04CAD" w:rsidRDefault="00C04CAD">
      <w:pPr>
        <w:tabs>
          <w:tab w:val="clear" w:pos="567"/>
        </w:tabs>
        <w:kinsoku w:val="0"/>
        <w:overflowPunct w:val="0"/>
        <w:autoSpaceDE w:val="0"/>
        <w:autoSpaceDN w:val="0"/>
        <w:adjustRightInd w:val="0"/>
        <w:spacing w:line="240" w:lineRule="auto"/>
        <w:rPr>
          <w:rFonts w:eastAsia="MS Mincho"/>
          <w:szCs w:val="22"/>
          <w:u w:val="single"/>
          <w:lang w:eastAsia="en-US" w:bidi="ar-SA"/>
        </w:rPr>
      </w:pPr>
    </w:p>
    <w:p w14:paraId="79F63B72"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0,4 ml soluţie injectabilă în pen preumplut pentru utilizare de către pacient care conţine o seringă preumplută (sticlă de tip I). Penul este un dispozitiv de injecție mecanică portabil de unică folosinţă. Capacul acului penului preumplut conţine cauciuc sintetic.</w:t>
      </w:r>
    </w:p>
    <w:p w14:paraId="76537CAC"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7BE2C0DA"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Mărime de ambalaj cu 1, 2 sau ambalaj multiplu conţinând 6 (3 cutii a câte 2) penuri preumplute.</w:t>
      </w:r>
    </w:p>
    <w:p w14:paraId="450D5A77" w14:textId="77777777" w:rsidR="00C04CAD" w:rsidRDefault="00060E34">
      <w:pPr>
        <w:spacing w:line="240" w:lineRule="auto"/>
        <w:rPr>
          <w:rFonts w:eastAsia="MS Mincho"/>
          <w:szCs w:val="22"/>
          <w:lang w:eastAsia="en-US" w:bidi="ar-SA"/>
        </w:rPr>
      </w:pPr>
      <w:r>
        <w:rPr>
          <w:rFonts w:eastAsia="MS Mincho"/>
          <w:szCs w:val="22"/>
          <w:lang w:eastAsia="en-US" w:bidi="ar-SA"/>
        </w:rPr>
        <w:t>Este posibil ca nu toate mărimile de ambalaj să fie comercializate.</w:t>
      </w:r>
    </w:p>
    <w:p w14:paraId="2C545708" w14:textId="77777777" w:rsidR="00C04CAD" w:rsidRDefault="00C04CAD">
      <w:pPr>
        <w:spacing w:line="240" w:lineRule="auto"/>
        <w:rPr>
          <w:rFonts w:eastAsia="MS Mincho"/>
          <w:szCs w:val="22"/>
          <w:lang w:eastAsia="en-US" w:bidi="ar-SA"/>
        </w:rPr>
      </w:pPr>
    </w:p>
    <w:p w14:paraId="3A9B928B" w14:textId="77777777" w:rsidR="00C04CAD" w:rsidRDefault="00060E34">
      <w:pPr>
        <w:tabs>
          <w:tab w:val="clear" w:pos="567"/>
        </w:tabs>
        <w:kinsoku w:val="0"/>
        <w:overflowPunct w:val="0"/>
        <w:autoSpaceDE w:val="0"/>
        <w:autoSpaceDN w:val="0"/>
        <w:adjustRightInd w:val="0"/>
        <w:spacing w:line="240" w:lineRule="auto"/>
        <w:rPr>
          <w:rFonts w:eastAsia="MS Mincho"/>
          <w:szCs w:val="22"/>
          <w:u w:val="single"/>
          <w:lang w:eastAsia="en-US" w:bidi="ar-SA"/>
        </w:rPr>
      </w:pPr>
      <w:r>
        <w:rPr>
          <w:rFonts w:eastAsia="MS Mincho"/>
          <w:szCs w:val="22"/>
          <w:u w:val="single"/>
          <w:lang w:eastAsia="en-US" w:bidi="ar-SA"/>
        </w:rPr>
        <w:t>AMGEVITA 80 mg soluţie injectabilă în pen preumplut</w:t>
      </w:r>
    </w:p>
    <w:p w14:paraId="7D51A0A8" w14:textId="77777777" w:rsidR="00C04CAD" w:rsidRDefault="00C04CAD">
      <w:pPr>
        <w:tabs>
          <w:tab w:val="clear" w:pos="567"/>
        </w:tabs>
        <w:kinsoku w:val="0"/>
        <w:overflowPunct w:val="0"/>
        <w:autoSpaceDE w:val="0"/>
        <w:autoSpaceDN w:val="0"/>
        <w:adjustRightInd w:val="0"/>
        <w:spacing w:line="240" w:lineRule="auto"/>
        <w:rPr>
          <w:rFonts w:eastAsia="MS Mincho"/>
          <w:szCs w:val="22"/>
          <w:u w:val="single"/>
          <w:lang w:eastAsia="en-US" w:bidi="ar-SA"/>
        </w:rPr>
      </w:pPr>
    </w:p>
    <w:p w14:paraId="3F8D35C8"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0,8 ml soluţie injectabilă în pen preumplut pentru utilizare de către pacient care conţine o seringă preumplută (sticlă de tip I). Penul este un dispozitiv de injecție mecanică portabil de unică folosinţă. Capacul acului penului preumplut conţine cauciuc sintetic.</w:t>
      </w:r>
    </w:p>
    <w:p w14:paraId="27551119" w14:textId="77777777" w:rsidR="00C04CAD" w:rsidRDefault="00C04CAD">
      <w:pPr>
        <w:tabs>
          <w:tab w:val="clear" w:pos="567"/>
        </w:tabs>
        <w:kinsoku w:val="0"/>
        <w:overflowPunct w:val="0"/>
        <w:autoSpaceDE w:val="0"/>
        <w:autoSpaceDN w:val="0"/>
        <w:adjustRightInd w:val="0"/>
        <w:spacing w:line="240" w:lineRule="auto"/>
        <w:rPr>
          <w:rFonts w:eastAsia="MS Mincho"/>
          <w:szCs w:val="22"/>
          <w:lang w:eastAsia="en-US" w:bidi="ar-SA"/>
        </w:rPr>
      </w:pPr>
    </w:p>
    <w:p w14:paraId="057DC4F3"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Mărime de ambalaj cu 1, 2 sau ambalaj multiplu conţinând 3 (3 cutii a câte 1) penuri preumplute.</w:t>
      </w:r>
    </w:p>
    <w:p w14:paraId="44F96216" w14:textId="77777777" w:rsidR="00C04CAD" w:rsidRDefault="00060E34">
      <w:pPr>
        <w:spacing w:line="240" w:lineRule="auto"/>
        <w:rPr>
          <w:szCs w:val="22"/>
        </w:rPr>
      </w:pPr>
      <w:r>
        <w:rPr>
          <w:rFonts w:eastAsia="MS Mincho"/>
          <w:szCs w:val="22"/>
          <w:lang w:eastAsia="en-US" w:bidi="ar-SA"/>
        </w:rPr>
        <w:t>Este posibil ca nu toate mărimile de ambalaj să fie comercializate.</w:t>
      </w:r>
    </w:p>
    <w:p w14:paraId="2E34CE98" w14:textId="77777777" w:rsidR="00C04CAD" w:rsidRDefault="00C04CAD">
      <w:pPr>
        <w:spacing w:line="240" w:lineRule="auto"/>
        <w:rPr>
          <w:szCs w:val="22"/>
        </w:rPr>
      </w:pPr>
    </w:p>
    <w:p w14:paraId="3AE66693" w14:textId="77777777" w:rsidR="00C04CAD" w:rsidRDefault="00060E34">
      <w:pPr>
        <w:keepNext/>
        <w:numPr>
          <w:ilvl w:val="1"/>
          <w:numId w:val="14"/>
        </w:numPr>
        <w:spacing w:line="240" w:lineRule="auto"/>
        <w:ind w:left="567" w:hanging="567"/>
        <w:outlineLvl w:val="0"/>
      </w:pPr>
      <w:r>
        <w:rPr>
          <w:b/>
        </w:rPr>
        <w:t>Precauții speciale pentru eliminarea reziduurilor și alte instrucțiuni de manipulare</w:t>
      </w:r>
    </w:p>
    <w:p w14:paraId="33F9E893" w14:textId="77777777" w:rsidR="00C04CAD" w:rsidRDefault="00C04CAD">
      <w:pPr>
        <w:keepNext/>
        <w:spacing w:line="240" w:lineRule="auto"/>
      </w:pPr>
    </w:p>
    <w:p w14:paraId="155C1AB5" w14:textId="77777777" w:rsidR="00C04CAD" w:rsidRDefault="00060E34">
      <w:pPr>
        <w:spacing w:line="240" w:lineRule="auto"/>
      </w:pPr>
      <w:r>
        <w:t>Orice medicament neutilizat sau material rezidual trebuie eliminat în conformitate cu reglementările locale.</w:t>
      </w:r>
    </w:p>
    <w:p w14:paraId="09795A4A" w14:textId="77777777" w:rsidR="00C04CAD" w:rsidRDefault="00C04CAD">
      <w:pPr>
        <w:spacing w:line="240" w:lineRule="auto"/>
      </w:pPr>
    </w:p>
    <w:p w14:paraId="0F8975C5" w14:textId="77777777" w:rsidR="00C04CAD" w:rsidRDefault="00C04CAD">
      <w:pPr>
        <w:spacing w:line="240" w:lineRule="auto"/>
      </w:pPr>
    </w:p>
    <w:p w14:paraId="2777B27A" w14:textId="77777777" w:rsidR="00C04CAD" w:rsidRDefault="00060E34">
      <w:pPr>
        <w:keepNext/>
        <w:numPr>
          <w:ilvl w:val="0"/>
          <w:numId w:val="14"/>
        </w:numPr>
        <w:spacing w:line="240" w:lineRule="auto"/>
        <w:ind w:left="567" w:hanging="567"/>
        <w:rPr>
          <w:szCs w:val="22"/>
        </w:rPr>
      </w:pPr>
      <w:r>
        <w:rPr>
          <w:b/>
          <w:szCs w:val="22"/>
        </w:rPr>
        <w:t>DEȚINĂTORUL AUTORIZAȚIEI DE PUNERE PE PIAȚĂ</w:t>
      </w:r>
    </w:p>
    <w:p w14:paraId="3606B6BB" w14:textId="77777777" w:rsidR="00C04CAD" w:rsidRDefault="00C04CAD">
      <w:pPr>
        <w:keepNext/>
        <w:spacing w:line="240" w:lineRule="auto"/>
        <w:rPr>
          <w:szCs w:val="22"/>
        </w:rPr>
      </w:pPr>
    </w:p>
    <w:p w14:paraId="3A9CF78E"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32D1D156"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3658A669" w14:textId="77777777" w:rsidR="00C04CAD" w:rsidRDefault="00060E34">
      <w:pPr>
        <w:keepNext/>
        <w:keepLines/>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01F4DFA4" w14:textId="77777777" w:rsidR="00C04CAD" w:rsidRDefault="00060E34">
      <w:pPr>
        <w:spacing w:line="240" w:lineRule="auto"/>
        <w:rPr>
          <w:szCs w:val="22"/>
        </w:rPr>
      </w:pPr>
      <w:r>
        <w:rPr>
          <w:rFonts w:eastAsia="MS Mincho"/>
          <w:szCs w:val="22"/>
          <w:lang w:eastAsia="en-US" w:bidi="ar-SA"/>
        </w:rPr>
        <w:t>Olanda</w:t>
      </w:r>
    </w:p>
    <w:p w14:paraId="2A3453B9" w14:textId="77777777" w:rsidR="00C04CAD" w:rsidRDefault="00C04CAD">
      <w:pPr>
        <w:spacing w:line="240" w:lineRule="auto"/>
        <w:rPr>
          <w:szCs w:val="22"/>
        </w:rPr>
      </w:pPr>
    </w:p>
    <w:p w14:paraId="347C9C14" w14:textId="77777777" w:rsidR="00C04CAD" w:rsidRDefault="00C04CAD">
      <w:pPr>
        <w:spacing w:line="240" w:lineRule="auto"/>
        <w:rPr>
          <w:szCs w:val="22"/>
        </w:rPr>
      </w:pPr>
    </w:p>
    <w:p w14:paraId="2B7C7AC4" w14:textId="77777777" w:rsidR="00C04CAD" w:rsidRDefault="00060E34">
      <w:pPr>
        <w:keepNext/>
        <w:numPr>
          <w:ilvl w:val="0"/>
          <w:numId w:val="14"/>
        </w:numPr>
        <w:spacing w:line="240" w:lineRule="auto"/>
        <w:ind w:left="567" w:hanging="567"/>
        <w:rPr>
          <w:b/>
          <w:bCs/>
        </w:rPr>
      </w:pPr>
      <w:r>
        <w:rPr>
          <w:b/>
        </w:rPr>
        <w:t xml:space="preserve">NUMĂRUL(ELE) AUTORIZAȚIEI DE PUNERE PE PIAȚĂ </w:t>
      </w:r>
    </w:p>
    <w:p w14:paraId="617E8053" w14:textId="77777777" w:rsidR="00C04CAD" w:rsidRDefault="00C04CAD">
      <w:pPr>
        <w:keepNext/>
        <w:spacing w:line="240" w:lineRule="auto"/>
      </w:pPr>
    </w:p>
    <w:p w14:paraId="4D0DE929" w14:textId="77777777" w:rsidR="00C04CAD" w:rsidRDefault="00060E34">
      <w:pPr>
        <w:pStyle w:val="Default"/>
        <w:rPr>
          <w:sz w:val="22"/>
          <w:szCs w:val="22"/>
          <w:u w:val="single"/>
          <w:lang w:val="ro-RO"/>
        </w:rPr>
      </w:pPr>
      <w:r>
        <w:rPr>
          <w:sz w:val="22"/>
          <w:szCs w:val="22"/>
          <w:u w:val="single"/>
          <w:lang w:val="ro-RO" w:eastAsia="en-GB"/>
        </w:rPr>
        <w:t xml:space="preserve">AMGEVITA 20 mg </w:t>
      </w:r>
      <w:r>
        <w:rPr>
          <w:sz w:val="22"/>
          <w:szCs w:val="22"/>
          <w:u w:val="single"/>
          <w:lang w:val="ro-RO"/>
        </w:rPr>
        <w:t>soluţie injectabilă în seringă preumplută</w:t>
      </w:r>
    </w:p>
    <w:p w14:paraId="29B6B126" w14:textId="77777777" w:rsidR="00C04CAD" w:rsidRDefault="00C04CAD">
      <w:pPr>
        <w:pStyle w:val="Default"/>
        <w:rPr>
          <w:sz w:val="22"/>
          <w:szCs w:val="22"/>
          <w:u w:val="single"/>
          <w:lang w:val="ro-RO" w:eastAsia="en-GB"/>
        </w:rPr>
      </w:pPr>
    </w:p>
    <w:p w14:paraId="60B6BDD1" w14:textId="77777777" w:rsidR="00C04CAD" w:rsidRDefault="00060E34">
      <w:pPr>
        <w:spacing w:line="240" w:lineRule="auto"/>
        <w:rPr>
          <w:rFonts w:eastAsia="MS Mincho"/>
          <w:szCs w:val="22"/>
          <w:lang w:eastAsia="en-US" w:bidi="ar-SA"/>
        </w:rPr>
      </w:pPr>
      <w:r>
        <w:rPr>
          <w:color w:val="000000"/>
          <w:szCs w:val="22"/>
        </w:rPr>
        <w:t xml:space="preserve">EU/1/16/1164/010 – </w:t>
      </w:r>
      <w:r>
        <w:rPr>
          <w:rFonts w:eastAsia="MS Mincho"/>
          <w:szCs w:val="22"/>
          <w:lang w:eastAsia="en-US" w:bidi="ar-SA"/>
        </w:rPr>
        <w:t>1 seringă preumplută</w:t>
      </w:r>
    </w:p>
    <w:p w14:paraId="5D9CF1E9" w14:textId="77777777" w:rsidR="00C04CAD" w:rsidRDefault="00C04CAD">
      <w:pPr>
        <w:spacing w:line="240" w:lineRule="auto"/>
        <w:rPr>
          <w:color w:val="000000"/>
          <w:szCs w:val="22"/>
        </w:rPr>
      </w:pPr>
    </w:p>
    <w:p w14:paraId="68F96291" w14:textId="77777777" w:rsidR="00C04CAD" w:rsidRDefault="00060E34">
      <w:pPr>
        <w:pStyle w:val="Default"/>
        <w:keepNext/>
        <w:rPr>
          <w:sz w:val="22"/>
          <w:szCs w:val="22"/>
          <w:u w:val="single"/>
          <w:lang w:val="ro-RO"/>
        </w:rPr>
      </w:pPr>
      <w:r>
        <w:rPr>
          <w:sz w:val="22"/>
          <w:szCs w:val="22"/>
          <w:u w:val="single"/>
          <w:lang w:val="ro-RO" w:eastAsia="en-GB"/>
        </w:rPr>
        <w:t xml:space="preserve">AMGEVITA 40 mg </w:t>
      </w:r>
      <w:r>
        <w:rPr>
          <w:sz w:val="22"/>
          <w:szCs w:val="22"/>
          <w:u w:val="single"/>
          <w:lang w:val="ro-RO"/>
        </w:rPr>
        <w:t>soluţie injectabilă în seringă preumplută</w:t>
      </w:r>
    </w:p>
    <w:p w14:paraId="4247363C" w14:textId="77777777" w:rsidR="00C04CAD" w:rsidRDefault="00C04CAD">
      <w:pPr>
        <w:pStyle w:val="Default"/>
        <w:keepNext/>
        <w:rPr>
          <w:sz w:val="22"/>
          <w:szCs w:val="22"/>
          <w:u w:val="single"/>
          <w:lang w:val="ro-RO" w:eastAsia="en-GB"/>
        </w:rPr>
      </w:pPr>
    </w:p>
    <w:p w14:paraId="40F8624E" w14:textId="77777777" w:rsidR="00C04CAD" w:rsidRDefault="00060E34">
      <w:pPr>
        <w:keepNext/>
        <w:spacing w:line="240" w:lineRule="auto"/>
        <w:rPr>
          <w:color w:val="000000"/>
          <w:szCs w:val="22"/>
        </w:rPr>
      </w:pPr>
      <w:r>
        <w:rPr>
          <w:color w:val="000000"/>
          <w:szCs w:val="22"/>
        </w:rPr>
        <w:t xml:space="preserve">EU/1/16/1164/011 – </w:t>
      </w:r>
      <w:r>
        <w:rPr>
          <w:rFonts w:eastAsia="MS Mincho"/>
          <w:szCs w:val="22"/>
          <w:lang w:eastAsia="en-US" w:bidi="ar-SA"/>
        </w:rPr>
        <w:t>1 seringă preumplută</w:t>
      </w:r>
    </w:p>
    <w:p w14:paraId="13E02141" w14:textId="77777777" w:rsidR="00C04CAD" w:rsidRDefault="00060E34">
      <w:pPr>
        <w:keepNext/>
        <w:spacing w:line="240" w:lineRule="auto"/>
        <w:rPr>
          <w:color w:val="000000"/>
          <w:szCs w:val="22"/>
        </w:rPr>
      </w:pPr>
      <w:r>
        <w:rPr>
          <w:color w:val="000000"/>
          <w:szCs w:val="22"/>
        </w:rPr>
        <w:t xml:space="preserve">EU/1/16/1164/012 – 2 </w:t>
      </w:r>
      <w:r>
        <w:rPr>
          <w:rFonts w:eastAsia="MS Mincho"/>
          <w:szCs w:val="22"/>
          <w:lang w:eastAsia="en-US" w:bidi="ar-SA"/>
        </w:rPr>
        <w:t>seringi preumplute</w:t>
      </w:r>
    </w:p>
    <w:p w14:paraId="18688911" w14:textId="77777777" w:rsidR="00C04CAD" w:rsidRDefault="00060E34">
      <w:pPr>
        <w:spacing w:line="240" w:lineRule="auto"/>
        <w:rPr>
          <w:rFonts w:eastAsia="MS Mincho"/>
          <w:szCs w:val="22"/>
          <w:lang w:eastAsia="en-US" w:bidi="ar-SA"/>
        </w:rPr>
      </w:pPr>
      <w:r>
        <w:rPr>
          <w:color w:val="000000"/>
          <w:szCs w:val="22"/>
        </w:rPr>
        <w:t>EU/1/16/1164/013 – 6 (</w:t>
      </w:r>
      <w:r>
        <w:rPr>
          <w:color w:val="000000"/>
        </w:rPr>
        <w:t>3×2</w:t>
      </w:r>
      <w:r>
        <w:rPr>
          <w:color w:val="000000"/>
          <w:szCs w:val="22"/>
        </w:rPr>
        <w:t xml:space="preserve">) </w:t>
      </w:r>
      <w:r>
        <w:rPr>
          <w:rFonts w:eastAsia="MS Mincho"/>
          <w:szCs w:val="22"/>
          <w:lang w:eastAsia="en-US" w:bidi="ar-SA"/>
        </w:rPr>
        <w:t>seringi preumplute, ambalaj multiplu</w:t>
      </w:r>
    </w:p>
    <w:p w14:paraId="7D5F0B77" w14:textId="77777777" w:rsidR="00C04CAD" w:rsidRDefault="00C04CAD">
      <w:pPr>
        <w:spacing w:line="240" w:lineRule="auto"/>
        <w:rPr>
          <w:color w:val="000000"/>
          <w:szCs w:val="22"/>
        </w:rPr>
      </w:pPr>
    </w:p>
    <w:p w14:paraId="4247E092" w14:textId="77777777" w:rsidR="00C04CAD" w:rsidRDefault="00060E34">
      <w:pPr>
        <w:pStyle w:val="Default"/>
        <w:keepNext/>
        <w:rPr>
          <w:sz w:val="22"/>
          <w:szCs w:val="22"/>
          <w:u w:val="single"/>
          <w:lang w:val="ro-RO"/>
        </w:rPr>
      </w:pPr>
      <w:r>
        <w:rPr>
          <w:sz w:val="22"/>
          <w:szCs w:val="22"/>
          <w:u w:val="single"/>
          <w:lang w:val="ro-RO" w:eastAsia="en-GB"/>
        </w:rPr>
        <w:t xml:space="preserve">AMGEVITA 80 mg </w:t>
      </w:r>
      <w:r>
        <w:rPr>
          <w:sz w:val="22"/>
          <w:szCs w:val="22"/>
          <w:u w:val="single"/>
          <w:lang w:val="ro-RO"/>
        </w:rPr>
        <w:t>soluţie injectabilă în seringă preumplută</w:t>
      </w:r>
    </w:p>
    <w:p w14:paraId="5A7F231E" w14:textId="77777777" w:rsidR="00C04CAD" w:rsidRDefault="00C04CAD">
      <w:pPr>
        <w:pStyle w:val="Default"/>
        <w:keepNext/>
        <w:rPr>
          <w:sz w:val="22"/>
          <w:szCs w:val="22"/>
          <w:u w:val="single"/>
          <w:lang w:val="ro-RO" w:eastAsia="en-GB"/>
        </w:rPr>
      </w:pPr>
    </w:p>
    <w:p w14:paraId="5A732D2F" w14:textId="77777777" w:rsidR="00C04CAD" w:rsidRDefault="00060E34">
      <w:pPr>
        <w:keepNext/>
        <w:spacing w:line="240" w:lineRule="auto"/>
        <w:rPr>
          <w:color w:val="000000"/>
          <w:szCs w:val="22"/>
        </w:rPr>
      </w:pPr>
      <w:r>
        <w:rPr>
          <w:color w:val="000000"/>
          <w:szCs w:val="22"/>
        </w:rPr>
        <w:t xml:space="preserve">EU/1/16/1164/017 – </w:t>
      </w:r>
      <w:r>
        <w:rPr>
          <w:rFonts w:eastAsia="MS Mincho"/>
          <w:szCs w:val="22"/>
          <w:lang w:eastAsia="en-US" w:bidi="ar-SA"/>
        </w:rPr>
        <w:t>1 seringă preumplută</w:t>
      </w:r>
    </w:p>
    <w:p w14:paraId="0F994483" w14:textId="77777777" w:rsidR="00C04CAD" w:rsidRDefault="00060E34">
      <w:pPr>
        <w:keepNext/>
        <w:spacing w:line="240" w:lineRule="auto"/>
        <w:rPr>
          <w:color w:val="000000"/>
          <w:szCs w:val="22"/>
        </w:rPr>
      </w:pPr>
      <w:r>
        <w:rPr>
          <w:color w:val="000000"/>
          <w:szCs w:val="22"/>
        </w:rPr>
        <w:t xml:space="preserve">EU/1/16/1164/018 – 2 </w:t>
      </w:r>
      <w:r>
        <w:rPr>
          <w:rFonts w:eastAsia="MS Mincho"/>
          <w:szCs w:val="22"/>
          <w:lang w:eastAsia="en-US" w:bidi="ar-SA"/>
        </w:rPr>
        <w:t>seringi preumplute</w:t>
      </w:r>
    </w:p>
    <w:p w14:paraId="05E6004E" w14:textId="77777777" w:rsidR="00C04CAD" w:rsidRDefault="00060E34">
      <w:pPr>
        <w:spacing w:line="240" w:lineRule="auto"/>
        <w:rPr>
          <w:rFonts w:eastAsia="MS Mincho"/>
          <w:szCs w:val="22"/>
          <w:lang w:eastAsia="en-US" w:bidi="ar-SA"/>
        </w:rPr>
      </w:pPr>
      <w:r>
        <w:rPr>
          <w:color w:val="000000"/>
          <w:szCs w:val="22"/>
        </w:rPr>
        <w:t>EU/1/16/1164/019 – 3 (</w:t>
      </w:r>
      <w:r>
        <w:rPr>
          <w:color w:val="000000"/>
        </w:rPr>
        <w:t>3×1</w:t>
      </w:r>
      <w:r>
        <w:rPr>
          <w:color w:val="000000"/>
          <w:szCs w:val="22"/>
        </w:rPr>
        <w:t xml:space="preserve">) </w:t>
      </w:r>
      <w:r>
        <w:rPr>
          <w:rFonts w:eastAsia="MS Mincho"/>
          <w:szCs w:val="22"/>
          <w:lang w:eastAsia="en-US" w:bidi="ar-SA"/>
        </w:rPr>
        <w:t>seringi preumplute, ambalaj multiplu</w:t>
      </w:r>
    </w:p>
    <w:p w14:paraId="63A651FA" w14:textId="77777777" w:rsidR="00C04CAD" w:rsidRDefault="00C04CAD">
      <w:pPr>
        <w:spacing w:line="240" w:lineRule="auto"/>
        <w:rPr>
          <w:color w:val="000000"/>
          <w:szCs w:val="22"/>
        </w:rPr>
      </w:pPr>
    </w:p>
    <w:p w14:paraId="7EA3D303" w14:textId="77777777" w:rsidR="00C04CAD" w:rsidRDefault="00060E34">
      <w:pPr>
        <w:pStyle w:val="Default"/>
        <w:keepNext/>
        <w:rPr>
          <w:color w:val="auto"/>
          <w:sz w:val="22"/>
          <w:szCs w:val="22"/>
          <w:u w:val="single"/>
          <w:lang w:val="ro-RO" w:eastAsia="en-GB"/>
        </w:rPr>
      </w:pPr>
      <w:r>
        <w:rPr>
          <w:sz w:val="22"/>
          <w:szCs w:val="22"/>
          <w:u w:val="single"/>
          <w:lang w:val="ro-RO" w:eastAsia="en-GB"/>
        </w:rPr>
        <w:t>AMGEVITA</w:t>
      </w:r>
      <w:r>
        <w:rPr>
          <w:color w:val="auto"/>
          <w:sz w:val="22"/>
          <w:szCs w:val="22"/>
          <w:u w:val="single"/>
          <w:lang w:val="ro-RO" w:eastAsia="en-GB"/>
        </w:rPr>
        <w:t xml:space="preserve"> 40</w:t>
      </w:r>
      <w:r>
        <w:rPr>
          <w:color w:val="auto"/>
          <w:sz w:val="22"/>
          <w:szCs w:val="22"/>
          <w:u w:val="single"/>
          <w:lang w:val="ro-RO"/>
        </w:rPr>
        <w:t> </w:t>
      </w:r>
      <w:r>
        <w:rPr>
          <w:color w:val="auto"/>
          <w:sz w:val="22"/>
          <w:szCs w:val="22"/>
          <w:u w:val="single"/>
          <w:lang w:val="ro-RO" w:eastAsia="en-GB"/>
        </w:rPr>
        <w:t xml:space="preserve">mg </w:t>
      </w:r>
      <w:r>
        <w:rPr>
          <w:sz w:val="22"/>
          <w:szCs w:val="22"/>
          <w:u w:val="single"/>
          <w:lang w:val="ro-RO"/>
        </w:rPr>
        <w:t xml:space="preserve">soluţie injectabilă în </w:t>
      </w:r>
      <w:r>
        <w:rPr>
          <w:color w:val="auto"/>
          <w:sz w:val="22"/>
          <w:szCs w:val="22"/>
          <w:u w:val="single"/>
          <w:lang w:val="ro-RO" w:eastAsia="en-GB"/>
        </w:rPr>
        <w:t xml:space="preserve">pen </w:t>
      </w:r>
      <w:r>
        <w:rPr>
          <w:sz w:val="22"/>
          <w:szCs w:val="22"/>
          <w:u w:val="single"/>
          <w:lang w:val="ro-RO"/>
        </w:rPr>
        <w:t>preumplut</w:t>
      </w:r>
      <w:r>
        <w:rPr>
          <w:color w:val="auto"/>
          <w:sz w:val="22"/>
          <w:szCs w:val="22"/>
          <w:u w:val="single"/>
          <w:lang w:val="ro-RO" w:eastAsia="en-GB"/>
        </w:rPr>
        <w:t xml:space="preserve"> </w:t>
      </w:r>
    </w:p>
    <w:p w14:paraId="6DE30935" w14:textId="77777777" w:rsidR="00C04CAD" w:rsidRDefault="00C04CAD">
      <w:pPr>
        <w:pStyle w:val="Default"/>
        <w:keepNext/>
        <w:rPr>
          <w:color w:val="auto"/>
          <w:sz w:val="22"/>
          <w:szCs w:val="22"/>
          <w:u w:val="single"/>
          <w:lang w:val="ro-RO" w:eastAsia="en-GB"/>
        </w:rPr>
      </w:pPr>
    </w:p>
    <w:p w14:paraId="39E51E7B" w14:textId="77777777" w:rsidR="00C04CAD" w:rsidRDefault="00060E34">
      <w:pPr>
        <w:keepNext/>
        <w:spacing w:line="240" w:lineRule="auto"/>
        <w:rPr>
          <w:color w:val="000000"/>
          <w:szCs w:val="22"/>
        </w:rPr>
      </w:pPr>
      <w:r>
        <w:rPr>
          <w:color w:val="000000"/>
          <w:szCs w:val="22"/>
        </w:rPr>
        <w:t xml:space="preserve">EU/1/16/1164/014 – 1 </w:t>
      </w:r>
      <w:r>
        <w:rPr>
          <w:szCs w:val="22"/>
          <w:lang w:eastAsia="en-GB"/>
        </w:rPr>
        <w:t xml:space="preserve">pen </w:t>
      </w:r>
      <w:r>
        <w:rPr>
          <w:szCs w:val="22"/>
        </w:rPr>
        <w:t>preumplut</w:t>
      </w:r>
    </w:p>
    <w:p w14:paraId="25CF21A3" w14:textId="77777777" w:rsidR="00C04CAD" w:rsidRDefault="00060E34">
      <w:pPr>
        <w:keepNext/>
        <w:spacing w:line="240" w:lineRule="auto"/>
        <w:rPr>
          <w:color w:val="000000"/>
          <w:szCs w:val="22"/>
        </w:rPr>
      </w:pPr>
      <w:r>
        <w:rPr>
          <w:color w:val="000000"/>
          <w:szCs w:val="22"/>
        </w:rPr>
        <w:t xml:space="preserve">EU/1/16/1164/015 – 2 </w:t>
      </w:r>
      <w:r>
        <w:rPr>
          <w:szCs w:val="22"/>
          <w:lang w:eastAsia="en-GB"/>
        </w:rPr>
        <w:t xml:space="preserve">penuri </w:t>
      </w:r>
      <w:r>
        <w:rPr>
          <w:szCs w:val="22"/>
        </w:rPr>
        <w:t>preumplute</w:t>
      </w:r>
    </w:p>
    <w:p w14:paraId="164A3299" w14:textId="77777777" w:rsidR="00C04CAD" w:rsidRDefault="00060E34">
      <w:pPr>
        <w:spacing w:line="240" w:lineRule="auto"/>
        <w:rPr>
          <w:szCs w:val="22"/>
        </w:rPr>
      </w:pPr>
      <w:r>
        <w:rPr>
          <w:color w:val="000000"/>
          <w:szCs w:val="22"/>
        </w:rPr>
        <w:t>EU/1/16/1164/016 – 6 (</w:t>
      </w:r>
      <w:r>
        <w:rPr>
          <w:color w:val="000000"/>
        </w:rPr>
        <w:t>3×2</w:t>
      </w:r>
      <w:r>
        <w:rPr>
          <w:color w:val="000000"/>
          <w:szCs w:val="22"/>
        </w:rPr>
        <w:t xml:space="preserve">) </w:t>
      </w:r>
      <w:r>
        <w:rPr>
          <w:szCs w:val="22"/>
          <w:lang w:eastAsia="en-GB"/>
        </w:rPr>
        <w:t xml:space="preserve">penuri </w:t>
      </w:r>
      <w:r>
        <w:rPr>
          <w:szCs w:val="22"/>
        </w:rPr>
        <w:t>preumplute, ambalaj multiplu</w:t>
      </w:r>
    </w:p>
    <w:p w14:paraId="3783DCE4" w14:textId="77777777" w:rsidR="00C04CAD" w:rsidRDefault="00C04CAD">
      <w:pPr>
        <w:spacing w:line="240" w:lineRule="auto"/>
        <w:rPr>
          <w:szCs w:val="22"/>
        </w:rPr>
      </w:pPr>
    </w:p>
    <w:p w14:paraId="58BDF157" w14:textId="77777777" w:rsidR="00C04CAD" w:rsidRDefault="00060E34">
      <w:pPr>
        <w:pStyle w:val="Default"/>
        <w:keepNext/>
        <w:rPr>
          <w:color w:val="auto"/>
          <w:sz w:val="22"/>
          <w:szCs w:val="22"/>
          <w:u w:val="single"/>
          <w:lang w:val="ro-RO" w:eastAsia="en-GB"/>
        </w:rPr>
      </w:pPr>
      <w:r>
        <w:rPr>
          <w:sz w:val="22"/>
          <w:szCs w:val="22"/>
          <w:u w:val="single"/>
          <w:lang w:val="ro-RO" w:eastAsia="en-GB"/>
        </w:rPr>
        <w:t>AMGEVITA</w:t>
      </w:r>
      <w:r>
        <w:rPr>
          <w:color w:val="auto"/>
          <w:sz w:val="22"/>
          <w:szCs w:val="22"/>
          <w:u w:val="single"/>
          <w:lang w:val="ro-RO" w:eastAsia="en-GB"/>
        </w:rPr>
        <w:t xml:space="preserve"> 80</w:t>
      </w:r>
      <w:r>
        <w:rPr>
          <w:color w:val="auto"/>
          <w:sz w:val="22"/>
          <w:szCs w:val="22"/>
          <w:u w:val="single"/>
          <w:lang w:val="ro-RO"/>
        </w:rPr>
        <w:t> </w:t>
      </w:r>
      <w:r>
        <w:rPr>
          <w:color w:val="auto"/>
          <w:sz w:val="22"/>
          <w:szCs w:val="22"/>
          <w:u w:val="single"/>
          <w:lang w:val="ro-RO" w:eastAsia="en-GB"/>
        </w:rPr>
        <w:t xml:space="preserve">mg </w:t>
      </w:r>
      <w:r>
        <w:rPr>
          <w:sz w:val="22"/>
          <w:szCs w:val="22"/>
          <w:u w:val="single"/>
          <w:lang w:val="ro-RO"/>
        </w:rPr>
        <w:t xml:space="preserve">soluţie injectabilă în </w:t>
      </w:r>
      <w:r>
        <w:rPr>
          <w:color w:val="auto"/>
          <w:sz w:val="22"/>
          <w:szCs w:val="22"/>
          <w:u w:val="single"/>
          <w:lang w:val="ro-RO" w:eastAsia="en-GB"/>
        </w:rPr>
        <w:t xml:space="preserve">pen </w:t>
      </w:r>
      <w:r>
        <w:rPr>
          <w:sz w:val="22"/>
          <w:szCs w:val="22"/>
          <w:u w:val="single"/>
          <w:lang w:val="ro-RO"/>
        </w:rPr>
        <w:t>preumplut</w:t>
      </w:r>
      <w:r>
        <w:rPr>
          <w:color w:val="auto"/>
          <w:sz w:val="22"/>
          <w:szCs w:val="22"/>
          <w:u w:val="single"/>
          <w:lang w:val="ro-RO" w:eastAsia="en-GB"/>
        </w:rPr>
        <w:t xml:space="preserve"> </w:t>
      </w:r>
    </w:p>
    <w:p w14:paraId="09E080A2" w14:textId="77777777" w:rsidR="00C04CAD" w:rsidRDefault="00C04CAD">
      <w:pPr>
        <w:pStyle w:val="Default"/>
        <w:keepNext/>
        <w:rPr>
          <w:color w:val="auto"/>
          <w:sz w:val="22"/>
          <w:szCs w:val="22"/>
          <w:u w:val="single"/>
          <w:lang w:val="ro-RO" w:eastAsia="en-GB"/>
        </w:rPr>
      </w:pPr>
    </w:p>
    <w:p w14:paraId="04B37B28" w14:textId="77777777" w:rsidR="00C04CAD" w:rsidRDefault="00060E34">
      <w:pPr>
        <w:keepNext/>
        <w:spacing w:line="240" w:lineRule="auto"/>
        <w:rPr>
          <w:color w:val="000000"/>
          <w:szCs w:val="22"/>
        </w:rPr>
      </w:pPr>
      <w:r>
        <w:rPr>
          <w:color w:val="000000"/>
          <w:szCs w:val="22"/>
        </w:rPr>
        <w:t xml:space="preserve">EU/1/16/1164/020 – 1 </w:t>
      </w:r>
      <w:r>
        <w:rPr>
          <w:szCs w:val="22"/>
          <w:lang w:eastAsia="en-GB"/>
        </w:rPr>
        <w:t xml:space="preserve">pen </w:t>
      </w:r>
      <w:r>
        <w:rPr>
          <w:szCs w:val="22"/>
        </w:rPr>
        <w:t>preumplut</w:t>
      </w:r>
    </w:p>
    <w:p w14:paraId="748858C3" w14:textId="77777777" w:rsidR="00C04CAD" w:rsidRDefault="00060E34">
      <w:pPr>
        <w:keepNext/>
        <w:spacing w:line="240" w:lineRule="auto"/>
        <w:rPr>
          <w:color w:val="000000"/>
          <w:szCs w:val="22"/>
        </w:rPr>
      </w:pPr>
      <w:r>
        <w:rPr>
          <w:color w:val="000000"/>
          <w:szCs w:val="22"/>
        </w:rPr>
        <w:t xml:space="preserve">EU/1/16/1164/021 – 2 </w:t>
      </w:r>
      <w:r>
        <w:rPr>
          <w:szCs w:val="22"/>
          <w:lang w:eastAsia="en-GB"/>
        </w:rPr>
        <w:t xml:space="preserve">penuri </w:t>
      </w:r>
      <w:r>
        <w:rPr>
          <w:szCs w:val="22"/>
        </w:rPr>
        <w:t>preumplute</w:t>
      </w:r>
    </w:p>
    <w:p w14:paraId="2DC229A0" w14:textId="77777777" w:rsidR="00C04CAD" w:rsidRDefault="00060E34">
      <w:pPr>
        <w:spacing w:line="240" w:lineRule="auto"/>
        <w:rPr>
          <w:szCs w:val="22"/>
        </w:rPr>
      </w:pPr>
      <w:r>
        <w:rPr>
          <w:color w:val="000000"/>
          <w:szCs w:val="22"/>
        </w:rPr>
        <w:t>EU/1/16/1164/022 – 3 (</w:t>
      </w:r>
      <w:r>
        <w:rPr>
          <w:color w:val="000000"/>
        </w:rPr>
        <w:t>3×1</w:t>
      </w:r>
      <w:r>
        <w:rPr>
          <w:color w:val="000000"/>
          <w:szCs w:val="22"/>
        </w:rPr>
        <w:t xml:space="preserve">) </w:t>
      </w:r>
      <w:r>
        <w:rPr>
          <w:szCs w:val="22"/>
          <w:lang w:eastAsia="en-GB"/>
        </w:rPr>
        <w:t xml:space="preserve">penuri </w:t>
      </w:r>
      <w:r>
        <w:rPr>
          <w:szCs w:val="22"/>
        </w:rPr>
        <w:t>preumplute, ambalaj multiplu</w:t>
      </w:r>
    </w:p>
    <w:p w14:paraId="0CC3B17A" w14:textId="77777777" w:rsidR="00C04CAD" w:rsidRDefault="00C04CAD">
      <w:pPr>
        <w:spacing w:line="240" w:lineRule="auto"/>
      </w:pPr>
    </w:p>
    <w:p w14:paraId="4A7C3A56" w14:textId="77777777" w:rsidR="00C04CAD" w:rsidRDefault="00C04CAD">
      <w:pPr>
        <w:spacing w:line="240" w:lineRule="auto"/>
      </w:pPr>
    </w:p>
    <w:p w14:paraId="1AD6C4BE" w14:textId="77777777" w:rsidR="00C04CAD" w:rsidRDefault="00060E34">
      <w:pPr>
        <w:keepNext/>
        <w:numPr>
          <w:ilvl w:val="0"/>
          <w:numId w:val="14"/>
        </w:numPr>
        <w:spacing w:line="240" w:lineRule="auto"/>
        <w:ind w:left="567" w:hanging="567"/>
      </w:pPr>
      <w:r>
        <w:rPr>
          <w:b/>
        </w:rPr>
        <w:t>DATA PRIMEI AUTORIZĂRI SAU A REÎNNOIRII AUTORIZAȚIEI</w:t>
      </w:r>
    </w:p>
    <w:p w14:paraId="3C467C26" w14:textId="77777777" w:rsidR="00C04CAD" w:rsidRDefault="00C04CAD">
      <w:pPr>
        <w:keepNext/>
        <w:spacing w:line="240" w:lineRule="auto"/>
        <w:rPr>
          <w:i/>
        </w:rPr>
      </w:pPr>
    </w:p>
    <w:p w14:paraId="77159073" w14:textId="77777777" w:rsidR="00C04CAD" w:rsidRDefault="00060E34">
      <w:pPr>
        <w:keepNext/>
        <w:spacing w:line="240" w:lineRule="auto"/>
      </w:pPr>
      <w:r>
        <w:t>Data primei autorizări: 22 martie 2017</w:t>
      </w:r>
    </w:p>
    <w:p w14:paraId="11537308" w14:textId="77777777" w:rsidR="00C04CAD" w:rsidRDefault="00060E34">
      <w:pPr>
        <w:keepNext/>
        <w:spacing w:line="240" w:lineRule="auto"/>
      </w:pPr>
      <w:r>
        <w:t xml:space="preserve">Data ultimei reînnoiri a autorizației: </w:t>
      </w:r>
      <w:r>
        <w:rPr>
          <w:color w:val="000000"/>
          <w:szCs w:val="22"/>
          <w:lang w:eastAsia="en-GB"/>
        </w:rPr>
        <w:t>9 decembrie 2021</w:t>
      </w:r>
    </w:p>
    <w:p w14:paraId="4970B912" w14:textId="77777777" w:rsidR="00C04CAD" w:rsidRDefault="00C04CAD">
      <w:pPr>
        <w:keepNext/>
        <w:spacing w:line="240" w:lineRule="auto"/>
      </w:pPr>
    </w:p>
    <w:p w14:paraId="0478C61A" w14:textId="77777777" w:rsidR="00C04CAD" w:rsidRDefault="00C04CAD">
      <w:pPr>
        <w:spacing w:line="240" w:lineRule="auto"/>
      </w:pPr>
    </w:p>
    <w:p w14:paraId="28548FC4" w14:textId="77777777" w:rsidR="00C04CAD" w:rsidRDefault="00060E34">
      <w:pPr>
        <w:keepNext/>
        <w:numPr>
          <w:ilvl w:val="0"/>
          <w:numId w:val="14"/>
        </w:numPr>
        <w:spacing w:line="240" w:lineRule="auto"/>
        <w:ind w:left="567" w:hanging="567"/>
      </w:pPr>
      <w:r>
        <w:rPr>
          <w:b/>
        </w:rPr>
        <w:t>DATA REVIZUIRII TEXTULUI</w:t>
      </w:r>
    </w:p>
    <w:p w14:paraId="4F1C0E25" w14:textId="77777777" w:rsidR="00C04CAD" w:rsidRDefault="00C04CAD">
      <w:pPr>
        <w:keepNext/>
        <w:spacing w:line="240" w:lineRule="auto"/>
      </w:pPr>
    </w:p>
    <w:p w14:paraId="02578746" w14:textId="77777777" w:rsidR="00C04CAD" w:rsidRDefault="00C04CAD">
      <w:pPr>
        <w:keepNext/>
        <w:numPr>
          <w:ilvl w:val="12"/>
          <w:numId w:val="0"/>
        </w:numPr>
        <w:spacing w:line="240" w:lineRule="auto"/>
      </w:pPr>
    </w:p>
    <w:p w14:paraId="72ED3622" w14:textId="77777777" w:rsidR="00C04CAD" w:rsidRDefault="00C04CAD">
      <w:pPr>
        <w:keepNext/>
        <w:numPr>
          <w:ilvl w:val="12"/>
          <w:numId w:val="0"/>
        </w:numPr>
        <w:spacing w:line="240" w:lineRule="auto"/>
      </w:pPr>
    </w:p>
    <w:p w14:paraId="1142AEEB" w14:textId="77777777" w:rsidR="00C04CAD" w:rsidRDefault="00060E34">
      <w:pPr>
        <w:numPr>
          <w:ilvl w:val="12"/>
          <w:numId w:val="0"/>
        </w:numPr>
        <w:spacing w:line="240" w:lineRule="auto"/>
        <w:ind w:right="-2"/>
      </w:pPr>
      <w:r>
        <w:t xml:space="preserve">Informații detaliate privind acest medicament sunt disponibile pe site-ul Agenției Europene pentru Medicamente </w:t>
      </w:r>
      <w:hyperlink r:id="rId23" w:history="1">
        <w:r>
          <w:rPr>
            <w:rStyle w:val="Hyperlink"/>
            <w:szCs w:val="22"/>
          </w:rPr>
          <w:t>http://www.ema.europa.eu</w:t>
        </w:r>
      </w:hyperlink>
      <w:r>
        <w:rPr>
          <w:rStyle w:val="Hyperlink"/>
          <w:color w:val="auto"/>
          <w:szCs w:val="22"/>
          <w:u w:val="none"/>
        </w:rPr>
        <w:t>.</w:t>
      </w:r>
    </w:p>
    <w:p w14:paraId="463D1B74" w14:textId="77777777" w:rsidR="00C04CAD" w:rsidRDefault="00C04CAD">
      <w:pPr>
        <w:spacing w:line="240" w:lineRule="auto"/>
      </w:pPr>
    </w:p>
    <w:p w14:paraId="3152FFD1" w14:textId="77777777" w:rsidR="00C04CAD" w:rsidRDefault="00060E34">
      <w:pPr>
        <w:numPr>
          <w:ilvl w:val="12"/>
          <w:numId w:val="0"/>
        </w:numPr>
        <w:spacing w:line="240" w:lineRule="auto"/>
        <w:ind w:right="-2"/>
        <w:rPr>
          <w:b/>
          <w:szCs w:val="22"/>
        </w:rPr>
      </w:pPr>
      <w:r>
        <w:rPr>
          <w:b/>
        </w:rPr>
        <w:br w:type="page"/>
      </w:r>
    </w:p>
    <w:p w14:paraId="582CC420" w14:textId="77777777" w:rsidR="00C04CAD" w:rsidRDefault="00C04CAD">
      <w:pPr>
        <w:spacing w:line="240" w:lineRule="auto"/>
        <w:rPr>
          <w:szCs w:val="22"/>
        </w:rPr>
      </w:pPr>
    </w:p>
    <w:p w14:paraId="486CD93D" w14:textId="77777777" w:rsidR="00C04CAD" w:rsidRDefault="00C04CAD">
      <w:pPr>
        <w:spacing w:line="240" w:lineRule="auto"/>
      </w:pPr>
    </w:p>
    <w:p w14:paraId="12D6DC4B" w14:textId="77777777" w:rsidR="00C04CAD" w:rsidRDefault="00C04CAD">
      <w:pPr>
        <w:spacing w:line="240" w:lineRule="auto"/>
      </w:pPr>
    </w:p>
    <w:p w14:paraId="57CDE8A2" w14:textId="77777777" w:rsidR="00C04CAD" w:rsidRDefault="00C04CAD">
      <w:pPr>
        <w:spacing w:line="240" w:lineRule="auto"/>
      </w:pPr>
    </w:p>
    <w:p w14:paraId="11628252" w14:textId="77777777" w:rsidR="00C04CAD" w:rsidRDefault="00C04CAD">
      <w:pPr>
        <w:spacing w:line="240" w:lineRule="auto"/>
      </w:pPr>
    </w:p>
    <w:p w14:paraId="0B2E33BF" w14:textId="77777777" w:rsidR="00C04CAD" w:rsidRDefault="00C04CAD">
      <w:pPr>
        <w:spacing w:line="240" w:lineRule="auto"/>
      </w:pPr>
    </w:p>
    <w:p w14:paraId="0683E375" w14:textId="77777777" w:rsidR="00C04CAD" w:rsidRDefault="00C04CAD">
      <w:pPr>
        <w:spacing w:line="240" w:lineRule="auto"/>
      </w:pPr>
    </w:p>
    <w:p w14:paraId="0CB9B468" w14:textId="77777777" w:rsidR="00C04CAD" w:rsidRDefault="00C04CAD">
      <w:pPr>
        <w:spacing w:line="240" w:lineRule="auto"/>
      </w:pPr>
    </w:p>
    <w:p w14:paraId="4B4AB666" w14:textId="77777777" w:rsidR="00C04CAD" w:rsidRDefault="00C04CAD">
      <w:pPr>
        <w:spacing w:line="240" w:lineRule="auto"/>
      </w:pPr>
    </w:p>
    <w:p w14:paraId="0C443EE0" w14:textId="77777777" w:rsidR="00C04CAD" w:rsidRDefault="00C04CAD">
      <w:pPr>
        <w:spacing w:line="240" w:lineRule="auto"/>
      </w:pPr>
    </w:p>
    <w:p w14:paraId="312CC65B" w14:textId="77777777" w:rsidR="00C04CAD" w:rsidRDefault="00C04CAD">
      <w:pPr>
        <w:spacing w:line="240" w:lineRule="auto"/>
      </w:pPr>
    </w:p>
    <w:p w14:paraId="1DC266A1" w14:textId="77777777" w:rsidR="00C04CAD" w:rsidRDefault="00C04CAD">
      <w:pPr>
        <w:spacing w:line="240" w:lineRule="auto"/>
      </w:pPr>
    </w:p>
    <w:p w14:paraId="45E7F299" w14:textId="77777777" w:rsidR="00C04CAD" w:rsidRDefault="00C04CAD">
      <w:pPr>
        <w:spacing w:line="240" w:lineRule="auto"/>
      </w:pPr>
    </w:p>
    <w:p w14:paraId="6E52B5B1" w14:textId="77777777" w:rsidR="00C04CAD" w:rsidRDefault="00C04CAD">
      <w:pPr>
        <w:spacing w:line="240" w:lineRule="auto"/>
      </w:pPr>
    </w:p>
    <w:p w14:paraId="76112688" w14:textId="77777777" w:rsidR="00C04CAD" w:rsidRDefault="00C04CAD">
      <w:pPr>
        <w:spacing w:line="240" w:lineRule="auto"/>
      </w:pPr>
    </w:p>
    <w:p w14:paraId="0B002A84" w14:textId="77777777" w:rsidR="00C04CAD" w:rsidRDefault="00C04CAD">
      <w:pPr>
        <w:spacing w:line="240" w:lineRule="auto"/>
      </w:pPr>
    </w:p>
    <w:p w14:paraId="206BCE37" w14:textId="77777777" w:rsidR="00C04CAD" w:rsidRDefault="00C04CAD">
      <w:pPr>
        <w:spacing w:line="240" w:lineRule="auto"/>
      </w:pPr>
    </w:p>
    <w:p w14:paraId="62D2D9A9" w14:textId="77777777" w:rsidR="00C04CAD" w:rsidRDefault="00C04CAD">
      <w:pPr>
        <w:spacing w:line="240" w:lineRule="auto"/>
      </w:pPr>
    </w:p>
    <w:p w14:paraId="4DF525C0" w14:textId="77777777" w:rsidR="00C04CAD" w:rsidRDefault="00C04CAD">
      <w:pPr>
        <w:spacing w:line="240" w:lineRule="auto"/>
      </w:pPr>
    </w:p>
    <w:p w14:paraId="50B60C2B" w14:textId="77777777" w:rsidR="00C04CAD" w:rsidRDefault="00C04CAD">
      <w:pPr>
        <w:spacing w:line="240" w:lineRule="auto"/>
      </w:pPr>
    </w:p>
    <w:p w14:paraId="72FDAA28" w14:textId="77777777" w:rsidR="00C04CAD" w:rsidRDefault="00C04CAD">
      <w:pPr>
        <w:spacing w:line="240" w:lineRule="auto"/>
      </w:pPr>
    </w:p>
    <w:p w14:paraId="0875A6E3" w14:textId="77777777" w:rsidR="00C04CAD" w:rsidRDefault="00C04CAD">
      <w:pPr>
        <w:spacing w:line="240" w:lineRule="auto"/>
        <w:rPr>
          <w:b/>
        </w:rPr>
      </w:pPr>
    </w:p>
    <w:p w14:paraId="24900ABD" w14:textId="77777777" w:rsidR="00C04CAD" w:rsidRDefault="00060E34">
      <w:pPr>
        <w:spacing w:line="240" w:lineRule="auto"/>
        <w:jc w:val="center"/>
        <w:rPr>
          <w:szCs w:val="22"/>
        </w:rPr>
      </w:pPr>
      <w:r>
        <w:rPr>
          <w:b/>
        </w:rPr>
        <w:t>ANEXA II</w:t>
      </w:r>
    </w:p>
    <w:p w14:paraId="44F8B7F2" w14:textId="77777777" w:rsidR="00C04CAD" w:rsidRDefault="00C04CAD">
      <w:pPr>
        <w:spacing w:line="240" w:lineRule="auto"/>
        <w:ind w:right="1416"/>
        <w:rPr>
          <w:szCs w:val="22"/>
        </w:rPr>
      </w:pPr>
    </w:p>
    <w:p w14:paraId="14B59D1A" w14:textId="77777777" w:rsidR="00C04CAD" w:rsidRDefault="00060E34">
      <w:pPr>
        <w:numPr>
          <w:ilvl w:val="0"/>
          <w:numId w:val="16"/>
        </w:numPr>
        <w:tabs>
          <w:tab w:val="left" w:pos="1701"/>
        </w:tabs>
        <w:spacing w:line="240" w:lineRule="auto"/>
        <w:ind w:right="1418"/>
        <w:rPr>
          <w:b/>
          <w:szCs w:val="22"/>
        </w:rPr>
      </w:pPr>
      <w:r>
        <w:rPr>
          <w:b/>
        </w:rPr>
        <w:t>FABRICANȚII SUBSTANȚEI BIOLOGIC ACTIVE ȘI FABRICANȚII RESPONSABILI PENTRU ELIBERAREA SERIEI</w:t>
      </w:r>
    </w:p>
    <w:p w14:paraId="1658AE49" w14:textId="77777777" w:rsidR="00C04CAD" w:rsidRDefault="00C04CAD">
      <w:pPr>
        <w:spacing w:line="240" w:lineRule="auto"/>
        <w:ind w:left="1701" w:hanging="1701"/>
        <w:rPr>
          <w:szCs w:val="22"/>
        </w:rPr>
      </w:pPr>
    </w:p>
    <w:p w14:paraId="6322F711" w14:textId="77777777" w:rsidR="00C04CAD" w:rsidRDefault="00060E34">
      <w:pPr>
        <w:numPr>
          <w:ilvl w:val="0"/>
          <w:numId w:val="16"/>
        </w:numPr>
        <w:tabs>
          <w:tab w:val="left" w:pos="1701"/>
        </w:tabs>
        <w:spacing w:line="240" w:lineRule="auto"/>
        <w:ind w:right="1418"/>
        <w:rPr>
          <w:b/>
          <w:szCs w:val="22"/>
        </w:rPr>
      </w:pPr>
      <w:r>
        <w:rPr>
          <w:b/>
        </w:rPr>
        <w:t>CONDIȚII SAU RESTRICȚII PRIVIND FURNIZAREA ȘI UTILIZAREA</w:t>
      </w:r>
    </w:p>
    <w:p w14:paraId="4F6D2B21" w14:textId="77777777" w:rsidR="00C04CAD" w:rsidRDefault="00C04CAD">
      <w:pPr>
        <w:spacing w:line="240" w:lineRule="auto"/>
        <w:ind w:left="567" w:hanging="567"/>
        <w:rPr>
          <w:szCs w:val="22"/>
        </w:rPr>
      </w:pPr>
    </w:p>
    <w:p w14:paraId="2A1C76AB" w14:textId="77777777" w:rsidR="00C04CAD" w:rsidRDefault="00060E34">
      <w:pPr>
        <w:numPr>
          <w:ilvl w:val="0"/>
          <w:numId w:val="16"/>
        </w:numPr>
        <w:tabs>
          <w:tab w:val="left" w:pos="1701"/>
        </w:tabs>
        <w:spacing w:line="240" w:lineRule="auto"/>
        <w:ind w:right="1418"/>
        <w:rPr>
          <w:b/>
          <w:szCs w:val="22"/>
        </w:rPr>
      </w:pPr>
      <w:r>
        <w:rPr>
          <w:b/>
        </w:rPr>
        <w:t>ALTE CONDIȚII ȘI CERINȚE ALE AUTORIZAȚIEI DE PUNERE PE PIAȚĂ</w:t>
      </w:r>
    </w:p>
    <w:p w14:paraId="21014442" w14:textId="77777777" w:rsidR="00C04CAD" w:rsidRDefault="00C04CAD">
      <w:pPr>
        <w:spacing w:line="240" w:lineRule="auto"/>
        <w:ind w:right="1558"/>
        <w:rPr>
          <w:b/>
        </w:rPr>
      </w:pPr>
    </w:p>
    <w:p w14:paraId="48A44C0D" w14:textId="77777777" w:rsidR="00C04CAD" w:rsidRDefault="00060E34">
      <w:pPr>
        <w:numPr>
          <w:ilvl w:val="0"/>
          <w:numId w:val="16"/>
        </w:numPr>
        <w:tabs>
          <w:tab w:val="left" w:pos="1701"/>
        </w:tabs>
        <w:spacing w:line="240" w:lineRule="auto"/>
        <w:ind w:right="1418"/>
        <w:rPr>
          <w:b/>
        </w:rPr>
      </w:pPr>
      <w:r>
        <w:rPr>
          <w:b/>
          <w:caps/>
        </w:rPr>
        <w:t>CONDIȚII SAU RESTRICȚII PRIVIND UTILIZAREA SIGURĂ ȘI EFICACE A MEDICAMENTULUI</w:t>
      </w:r>
    </w:p>
    <w:p w14:paraId="620671C7" w14:textId="77777777" w:rsidR="00C04CAD" w:rsidRDefault="00C04CAD">
      <w:pPr>
        <w:spacing w:line="240" w:lineRule="auto"/>
        <w:ind w:right="1416"/>
        <w:rPr>
          <w:b/>
        </w:rPr>
      </w:pPr>
    </w:p>
    <w:p w14:paraId="2C47BE14" w14:textId="77777777" w:rsidR="00C04CAD" w:rsidRDefault="00C04CAD">
      <w:pPr>
        <w:tabs>
          <w:tab w:val="left" w:pos="1701"/>
        </w:tabs>
        <w:spacing w:line="240" w:lineRule="auto"/>
        <w:ind w:right="1418"/>
        <w:rPr>
          <w:b/>
        </w:rPr>
      </w:pPr>
    </w:p>
    <w:p w14:paraId="5753D67D" w14:textId="77777777" w:rsidR="00C04CAD" w:rsidRDefault="00060E34">
      <w:pPr>
        <w:pStyle w:val="TitleB"/>
        <w:rPr>
          <w:szCs w:val="22"/>
        </w:rPr>
      </w:pPr>
      <w:r>
        <w:br w:type="page"/>
        <w:t>FABRICANȚII SUBSTANȚEI BIOLOGIC ACTIVE ȘI FABRICANȚII RESPONSABILI PENTRU ELIBERAREA SERIEI</w:t>
      </w:r>
    </w:p>
    <w:p w14:paraId="46584F5A" w14:textId="77777777" w:rsidR="00C04CAD" w:rsidRDefault="00C04CAD">
      <w:pPr>
        <w:keepNext/>
        <w:spacing w:line="240" w:lineRule="auto"/>
        <w:ind w:right="1416"/>
        <w:rPr>
          <w:szCs w:val="22"/>
        </w:rPr>
      </w:pPr>
    </w:p>
    <w:p w14:paraId="44E916A6" w14:textId="77777777" w:rsidR="00C04CAD" w:rsidRDefault="00060E34">
      <w:pPr>
        <w:spacing w:line="240" w:lineRule="auto"/>
        <w:outlineLvl w:val="0"/>
        <w:rPr>
          <w:szCs w:val="22"/>
          <w:u w:val="single"/>
        </w:rPr>
      </w:pPr>
      <w:r>
        <w:rPr>
          <w:u w:val="single"/>
        </w:rPr>
        <w:t>Numele și adresa fabricanților substanței biologic active</w:t>
      </w:r>
    </w:p>
    <w:p w14:paraId="3D16A7CF" w14:textId="77777777" w:rsidR="00C04CAD" w:rsidRDefault="00060E34">
      <w:pPr>
        <w:spacing w:line="240" w:lineRule="auto"/>
        <w:rPr>
          <w:rFonts w:eastAsia="SimSun"/>
          <w:color w:val="000000"/>
          <w:szCs w:val="22"/>
          <w:lang w:eastAsia="en-GB"/>
        </w:rPr>
      </w:pPr>
      <w:r>
        <w:rPr>
          <w:rFonts w:eastAsia="SimSun"/>
          <w:color w:val="000000"/>
          <w:szCs w:val="22"/>
          <w:lang w:eastAsia="en-GB"/>
        </w:rPr>
        <w:t>Amgen Inc</w:t>
      </w:r>
    </w:p>
    <w:p w14:paraId="2930914F" w14:textId="77777777" w:rsidR="00C04CAD" w:rsidRDefault="00060E34">
      <w:pPr>
        <w:spacing w:line="240" w:lineRule="auto"/>
        <w:rPr>
          <w:rFonts w:eastAsia="SimSun"/>
          <w:color w:val="000000"/>
          <w:szCs w:val="22"/>
          <w:lang w:eastAsia="en-GB"/>
        </w:rPr>
      </w:pPr>
      <w:r>
        <w:rPr>
          <w:rFonts w:eastAsia="SimSun"/>
          <w:color w:val="000000"/>
          <w:szCs w:val="22"/>
          <w:lang w:eastAsia="en-GB"/>
        </w:rPr>
        <w:t>One Amgen Center Drive</w:t>
      </w:r>
    </w:p>
    <w:p w14:paraId="474346C3" w14:textId="77777777" w:rsidR="00C04CAD" w:rsidRDefault="00060E34">
      <w:pPr>
        <w:spacing w:line="240" w:lineRule="auto"/>
        <w:rPr>
          <w:rFonts w:eastAsia="SimSun"/>
          <w:color w:val="000000"/>
          <w:szCs w:val="22"/>
          <w:lang w:eastAsia="en-GB"/>
        </w:rPr>
      </w:pPr>
      <w:r>
        <w:rPr>
          <w:rFonts w:eastAsia="SimSun"/>
          <w:color w:val="000000"/>
          <w:szCs w:val="22"/>
          <w:lang w:eastAsia="en-GB"/>
        </w:rPr>
        <w:t>Thousand Oaks, California</w:t>
      </w:r>
    </w:p>
    <w:p w14:paraId="7AFE701E" w14:textId="77777777" w:rsidR="00C04CAD" w:rsidRDefault="00060E34">
      <w:pPr>
        <w:spacing w:line="240" w:lineRule="auto"/>
        <w:rPr>
          <w:rFonts w:eastAsia="SimSun"/>
          <w:color w:val="000000"/>
          <w:szCs w:val="22"/>
          <w:lang w:eastAsia="en-GB"/>
        </w:rPr>
      </w:pPr>
      <w:r>
        <w:rPr>
          <w:rFonts w:eastAsia="SimSun"/>
          <w:color w:val="000000"/>
          <w:szCs w:val="22"/>
          <w:lang w:eastAsia="en-GB"/>
        </w:rPr>
        <w:t>91320</w:t>
      </w:r>
    </w:p>
    <w:p w14:paraId="0E202178" w14:textId="77777777" w:rsidR="00C04CAD" w:rsidRDefault="00060E34">
      <w:pPr>
        <w:spacing w:line="240" w:lineRule="auto"/>
        <w:rPr>
          <w:rFonts w:eastAsia="SimSun"/>
          <w:color w:val="000000"/>
          <w:szCs w:val="22"/>
          <w:lang w:eastAsia="en-GB"/>
        </w:rPr>
      </w:pPr>
      <w:r>
        <w:rPr>
          <w:rFonts w:eastAsia="SimSun"/>
          <w:color w:val="000000"/>
          <w:szCs w:val="22"/>
          <w:lang w:eastAsia="en-GB"/>
        </w:rPr>
        <w:t>StateleUnite ale Americii</w:t>
      </w:r>
    </w:p>
    <w:p w14:paraId="01B0A1BC" w14:textId="77777777" w:rsidR="00C04CAD" w:rsidRDefault="00C04CAD">
      <w:pPr>
        <w:tabs>
          <w:tab w:val="clear" w:pos="567"/>
        </w:tabs>
        <w:autoSpaceDE w:val="0"/>
        <w:autoSpaceDN w:val="0"/>
        <w:adjustRightInd w:val="0"/>
        <w:spacing w:line="240" w:lineRule="auto"/>
        <w:rPr>
          <w:rFonts w:eastAsia="SimSun"/>
          <w:color w:val="000000"/>
          <w:szCs w:val="22"/>
          <w:lang w:eastAsia="en-GB"/>
        </w:rPr>
      </w:pPr>
    </w:p>
    <w:p w14:paraId="7039520E" w14:textId="77777777" w:rsidR="00C04CAD" w:rsidRDefault="00060E34">
      <w:pPr>
        <w:tabs>
          <w:tab w:val="clear" w:pos="567"/>
        </w:tabs>
        <w:autoSpaceDE w:val="0"/>
        <w:autoSpaceDN w:val="0"/>
        <w:adjustRightInd w:val="0"/>
        <w:spacing w:line="240" w:lineRule="auto"/>
        <w:rPr>
          <w:rFonts w:eastAsia="SimSun"/>
          <w:color w:val="000000"/>
          <w:szCs w:val="22"/>
          <w:lang w:eastAsia="en-GB"/>
        </w:rPr>
      </w:pPr>
      <w:r>
        <w:rPr>
          <w:rFonts w:eastAsia="SimSun"/>
          <w:color w:val="000000"/>
          <w:szCs w:val="22"/>
          <w:lang w:eastAsia="en-GB"/>
        </w:rPr>
        <w:t>Immunex Rhode Island Corporation</w:t>
      </w:r>
    </w:p>
    <w:p w14:paraId="620DDC19" w14:textId="77777777" w:rsidR="00C04CAD" w:rsidRDefault="00060E34">
      <w:pPr>
        <w:tabs>
          <w:tab w:val="clear" w:pos="567"/>
        </w:tabs>
        <w:autoSpaceDE w:val="0"/>
        <w:autoSpaceDN w:val="0"/>
        <w:adjustRightInd w:val="0"/>
        <w:spacing w:line="240" w:lineRule="auto"/>
        <w:rPr>
          <w:rFonts w:eastAsia="SimSun"/>
          <w:color w:val="000000"/>
          <w:szCs w:val="22"/>
          <w:lang w:eastAsia="en-GB"/>
        </w:rPr>
      </w:pPr>
      <w:r>
        <w:rPr>
          <w:rFonts w:eastAsia="SimSun"/>
          <w:color w:val="000000"/>
          <w:szCs w:val="22"/>
          <w:lang w:eastAsia="en-GB"/>
        </w:rPr>
        <w:t>40 Technology Way</w:t>
      </w:r>
    </w:p>
    <w:p w14:paraId="48C182F9" w14:textId="77777777" w:rsidR="00C04CAD" w:rsidRDefault="00060E34">
      <w:pPr>
        <w:tabs>
          <w:tab w:val="clear" w:pos="567"/>
        </w:tabs>
        <w:autoSpaceDE w:val="0"/>
        <w:autoSpaceDN w:val="0"/>
        <w:adjustRightInd w:val="0"/>
        <w:spacing w:line="240" w:lineRule="auto"/>
        <w:rPr>
          <w:rFonts w:eastAsia="SimSun"/>
          <w:color w:val="000000"/>
          <w:szCs w:val="22"/>
          <w:lang w:eastAsia="en-GB"/>
        </w:rPr>
      </w:pPr>
      <w:r>
        <w:rPr>
          <w:rFonts w:eastAsia="SimSun"/>
          <w:color w:val="000000"/>
          <w:szCs w:val="22"/>
          <w:lang w:eastAsia="en-GB"/>
        </w:rPr>
        <w:t>West Greenwich</w:t>
      </w:r>
    </w:p>
    <w:p w14:paraId="42CA66C5" w14:textId="77777777" w:rsidR="00C04CAD" w:rsidRDefault="00060E34">
      <w:pPr>
        <w:tabs>
          <w:tab w:val="clear" w:pos="567"/>
        </w:tabs>
        <w:autoSpaceDE w:val="0"/>
        <w:autoSpaceDN w:val="0"/>
        <w:adjustRightInd w:val="0"/>
        <w:spacing w:line="240" w:lineRule="auto"/>
        <w:rPr>
          <w:rFonts w:eastAsia="SimSun"/>
          <w:color w:val="000000"/>
          <w:szCs w:val="22"/>
          <w:lang w:eastAsia="en-GB"/>
        </w:rPr>
      </w:pPr>
      <w:r>
        <w:rPr>
          <w:rFonts w:eastAsia="SimSun"/>
          <w:color w:val="000000"/>
          <w:szCs w:val="22"/>
          <w:lang w:eastAsia="en-GB"/>
        </w:rPr>
        <w:t>Rhode Island, 02817</w:t>
      </w:r>
    </w:p>
    <w:p w14:paraId="69D56503" w14:textId="77777777" w:rsidR="00C04CAD" w:rsidRDefault="00060E34">
      <w:pPr>
        <w:tabs>
          <w:tab w:val="clear" w:pos="567"/>
        </w:tabs>
        <w:autoSpaceDE w:val="0"/>
        <w:autoSpaceDN w:val="0"/>
        <w:adjustRightInd w:val="0"/>
        <w:spacing w:line="240" w:lineRule="auto"/>
        <w:rPr>
          <w:rFonts w:eastAsia="SimSun"/>
          <w:color w:val="000000"/>
          <w:szCs w:val="22"/>
          <w:lang w:eastAsia="en-GB"/>
        </w:rPr>
      </w:pPr>
      <w:r>
        <w:rPr>
          <w:rFonts w:eastAsia="SimSun"/>
          <w:color w:val="000000"/>
          <w:szCs w:val="22"/>
          <w:lang w:eastAsia="en-GB"/>
        </w:rPr>
        <w:t>StateleUnite ale Americii</w:t>
      </w:r>
    </w:p>
    <w:p w14:paraId="3A910EF0" w14:textId="77777777" w:rsidR="00C04CAD" w:rsidRDefault="00C04CAD">
      <w:pPr>
        <w:spacing w:line="240" w:lineRule="auto"/>
        <w:rPr>
          <w:szCs w:val="22"/>
        </w:rPr>
      </w:pPr>
    </w:p>
    <w:p w14:paraId="69F6E7C6" w14:textId="77777777" w:rsidR="00C04CAD" w:rsidRDefault="00060E34">
      <w:pPr>
        <w:spacing w:line="240" w:lineRule="auto"/>
        <w:outlineLvl w:val="0"/>
        <w:rPr>
          <w:szCs w:val="22"/>
        </w:rPr>
      </w:pPr>
      <w:r>
        <w:rPr>
          <w:u w:val="single"/>
        </w:rPr>
        <w:t>Numele și adresa fabricanților responsabili pentru eliberarea seriei</w:t>
      </w:r>
    </w:p>
    <w:p w14:paraId="402687EC" w14:textId="77777777" w:rsidR="00C04CAD" w:rsidRDefault="00060E34">
      <w:pPr>
        <w:spacing w:line="240" w:lineRule="auto"/>
        <w:rPr>
          <w:rFonts w:eastAsia="SimSun"/>
          <w:color w:val="000000"/>
          <w:szCs w:val="22"/>
          <w:lang w:eastAsia="en-GB"/>
        </w:rPr>
      </w:pPr>
      <w:r>
        <w:rPr>
          <w:rFonts w:eastAsia="SimSun"/>
          <w:color w:val="000000"/>
          <w:szCs w:val="22"/>
          <w:lang w:eastAsia="en-GB"/>
        </w:rPr>
        <w:t>Amgen Europe B.V.</w:t>
      </w:r>
    </w:p>
    <w:p w14:paraId="21393F47" w14:textId="77777777" w:rsidR="00C04CAD" w:rsidRDefault="00060E34">
      <w:pPr>
        <w:spacing w:line="240" w:lineRule="auto"/>
        <w:rPr>
          <w:rFonts w:eastAsia="SimSun"/>
          <w:color w:val="000000"/>
          <w:szCs w:val="22"/>
          <w:lang w:eastAsia="en-GB"/>
        </w:rPr>
      </w:pPr>
      <w:r>
        <w:rPr>
          <w:rFonts w:eastAsia="SimSun"/>
          <w:color w:val="000000"/>
          <w:szCs w:val="22"/>
          <w:lang w:eastAsia="en-GB"/>
        </w:rPr>
        <w:t>Minervum 7061</w:t>
      </w:r>
    </w:p>
    <w:p w14:paraId="2C3D58C4" w14:textId="77777777" w:rsidR="00C04CAD" w:rsidRDefault="00060E34">
      <w:pPr>
        <w:spacing w:line="240" w:lineRule="auto"/>
        <w:rPr>
          <w:rFonts w:eastAsia="SimSun"/>
          <w:color w:val="000000"/>
          <w:szCs w:val="22"/>
          <w:lang w:eastAsia="en-GB"/>
        </w:rPr>
      </w:pPr>
      <w:r>
        <w:rPr>
          <w:rFonts w:eastAsia="SimSun"/>
          <w:color w:val="000000"/>
          <w:szCs w:val="22"/>
          <w:lang w:eastAsia="en-GB"/>
        </w:rPr>
        <w:t>4817 ZK Breda</w:t>
      </w:r>
    </w:p>
    <w:p w14:paraId="4883261A" w14:textId="77777777" w:rsidR="00C04CAD" w:rsidRDefault="00060E34">
      <w:pPr>
        <w:spacing w:line="240" w:lineRule="auto"/>
        <w:rPr>
          <w:szCs w:val="22"/>
        </w:rPr>
      </w:pPr>
      <w:r>
        <w:rPr>
          <w:rFonts w:eastAsia="SimSun"/>
          <w:color w:val="000000"/>
          <w:szCs w:val="22"/>
          <w:lang w:eastAsia="en-GB"/>
        </w:rPr>
        <w:t>Olanda</w:t>
      </w:r>
    </w:p>
    <w:p w14:paraId="6A59978C" w14:textId="77777777" w:rsidR="00C04CAD" w:rsidRDefault="00C04CAD">
      <w:pPr>
        <w:spacing w:line="240" w:lineRule="auto"/>
        <w:rPr>
          <w:szCs w:val="22"/>
        </w:rPr>
      </w:pPr>
    </w:p>
    <w:p w14:paraId="0A17C97A" w14:textId="77777777" w:rsidR="00C04CAD" w:rsidRDefault="00060E34">
      <w:pPr>
        <w:spacing w:line="240" w:lineRule="auto"/>
        <w:rPr>
          <w:rFonts w:eastAsia="SimSun"/>
          <w:color w:val="000000"/>
          <w:szCs w:val="22"/>
          <w:lang w:eastAsia="en-GB"/>
        </w:rPr>
      </w:pPr>
      <w:r>
        <w:rPr>
          <w:rFonts w:eastAsia="SimSun"/>
          <w:color w:val="000000"/>
          <w:szCs w:val="22"/>
          <w:lang w:eastAsia="en-GB"/>
        </w:rPr>
        <w:t>Amgen Technology Ireland UC</w:t>
      </w:r>
    </w:p>
    <w:p w14:paraId="4D990B36" w14:textId="77777777" w:rsidR="00C04CAD" w:rsidRDefault="00060E34">
      <w:pPr>
        <w:spacing w:line="240" w:lineRule="auto"/>
        <w:rPr>
          <w:rFonts w:eastAsia="SimSun"/>
          <w:color w:val="000000"/>
          <w:szCs w:val="22"/>
          <w:lang w:eastAsia="en-GB"/>
        </w:rPr>
      </w:pPr>
      <w:r>
        <w:rPr>
          <w:rFonts w:eastAsia="SimSun"/>
          <w:color w:val="000000"/>
          <w:szCs w:val="22"/>
          <w:lang w:eastAsia="en-GB"/>
        </w:rPr>
        <w:t>Pottery Road</w:t>
      </w:r>
    </w:p>
    <w:p w14:paraId="034FF1CF" w14:textId="77777777" w:rsidR="00C04CAD" w:rsidRDefault="00060E34">
      <w:pPr>
        <w:spacing w:line="240" w:lineRule="auto"/>
        <w:rPr>
          <w:rFonts w:eastAsia="SimSun"/>
          <w:color w:val="000000"/>
          <w:szCs w:val="22"/>
          <w:lang w:eastAsia="en-GB"/>
        </w:rPr>
      </w:pPr>
      <w:r>
        <w:rPr>
          <w:rFonts w:eastAsia="SimSun"/>
          <w:color w:val="000000"/>
          <w:szCs w:val="22"/>
          <w:lang w:eastAsia="en-GB"/>
        </w:rPr>
        <w:t>Dun Laoghaire, Co Dublin</w:t>
      </w:r>
    </w:p>
    <w:p w14:paraId="2CFC47D9" w14:textId="77777777" w:rsidR="00C04CAD" w:rsidRDefault="00060E34">
      <w:pPr>
        <w:spacing w:line="240" w:lineRule="auto"/>
        <w:rPr>
          <w:szCs w:val="22"/>
        </w:rPr>
      </w:pPr>
      <w:r>
        <w:rPr>
          <w:rFonts w:eastAsia="SimSun"/>
          <w:color w:val="000000"/>
          <w:szCs w:val="22"/>
          <w:lang w:eastAsia="en-GB"/>
        </w:rPr>
        <w:t>Irlanda</w:t>
      </w:r>
    </w:p>
    <w:p w14:paraId="655D2BC5" w14:textId="77777777" w:rsidR="00C04CAD" w:rsidRDefault="00C04CAD">
      <w:pPr>
        <w:spacing w:line="240" w:lineRule="auto"/>
        <w:rPr>
          <w:szCs w:val="22"/>
        </w:rPr>
      </w:pPr>
    </w:p>
    <w:p w14:paraId="4265108A" w14:textId="77777777" w:rsidR="00C04CAD" w:rsidRDefault="00060E34">
      <w:pPr>
        <w:spacing w:line="240" w:lineRule="auto"/>
        <w:rPr>
          <w:lang w:eastAsia="ja-JP"/>
        </w:rPr>
      </w:pPr>
      <w:r>
        <w:rPr>
          <w:lang w:eastAsia="ja-JP"/>
        </w:rPr>
        <w:t>Amgen NV</w:t>
      </w:r>
    </w:p>
    <w:p w14:paraId="3A384E28" w14:textId="77777777" w:rsidR="00C04CAD" w:rsidRDefault="00060E34">
      <w:pPr>
        <w:autoSpaceDE w:val="0"/>
        <w:autoSpaceDN w:val="0"/>
        <w:spacing w:line="240" w:lineRule="auto"/>
        <w:rPr>
          <w:rFonts w:eastAsia="SimSun"/>
          <w:color w:val="000000"/>
          <w:szCs w:val="22"/>
          <w:lang w:eastAsia="en-GB"/>
        </w:rPr>
      </w:pPr>
      <w:r>
        <w:rPr>
          <w:rFonts w:eastAsia="SimSun"/>
          <w:color w:val="000000"/>
          <w:szCs w:val="22"/>
          <w:lang w:eastAsia="en-GB"/>
        </w:rPr>
        <w:t>Telecomlaan 5-7</w:t>
      </w:r>
    </w:p>
    <w:p w14:paraId="1D1B2E13" w14:textId="77777777" w:rsidR="00C04CAD" w:rsidRDefault="00060E34">
      <w:pPr>
        <w:spacing w:line="240" w:lineRule="auto"/>
        <w:rPr>
          <w:lang w:eastAsia="ja-JP"/>
        </w:rPr>
      </w:pPr>
      <w:r>
        <w:rPr>
          <w:rFonts w:eastAsia="SimSun"/>
          <w:color w:val="000000"/>
          <w:szCs w:val="22"/>
          <w:lang w:eastAsia="en-GB"/>
        </w:rPr>
        <w:t>1831 Diegem</w:t>
      </w:r>
    </w:p>
    <w:p w14:paraId="36C344B4" w14:textId="77777777" w:rsidR="00C04CAD" w:rsidRDefault="00060E34">
      <w:pPr>
        <w:spacing w:line="240" w:lineRule="auto"/>
      </w:pPr>
      <w:r>
        <w:rPr>
          <w:lang w:eastAsia="ja-JP"/>
        </w:rPr>
        <w:t>Belgia</w:t>
      </w:r>
    </w:p>
    <w:p w14:paraId="7C2F70E6" w14:textId="77777777" w:rsidR="00C04CAD" w:rsidRDefault="00C04CAD">
      <w:pPr>
        <w:spacing w:line="240" w:lineRule="auto"/>
      </w:pPr>
    </w:p>
    <w:p w14:paraId="430B1AA5" w14:textId="77777777" w:rsidR="00C04CAD" w:rsidRDefault="00060E34">
      <w:pPr>
        <w:spacing w:line="240" w:lineRule="auto"/>
        <w:rPr>
          <w:szCs w:val="22"/>
        </w:rPr>
      </w:pPr>
      <w:r>
        <w:t>Prospectul tipărit al medicamentului trebuie să menționeze numele și adresa fabricantului responsabil pentru eliberarea seriei respective.</w:t>
      </w:r>
    </w:p>
    <w:p w14:paraId="1C0A05C8" w14:textId="77777777" w:rsidR="00C04CAD" w:rsidRDefault="00C04CAD">
      <w:pPr>
        <w:spacing w:line="240" w:lineRule="auto"/>
        <w:rPr>
          <w:szCs w:val="22"/>
        </w:rPr>
      </w:pPr>
    </w:p>
    <w:p w14:paraId="478C9B54" w14:textId="77777777" w:rsidR="00C04CAD" w:rsidRDefault="00C04CAD">
      <w:pPr>
        <w:spacing w:line="240" w:lineRule="auto"/>
        <w:rPr>
          <w:szCs w:val="22"/>
        </w:rPr>
      </w:pPr>
    </w:p>
    <w:p w14:paraId="782FBEE7" w14:textId="77777777" w:rsidR="00C04CAD" w:rsidRDefault="00060E34">
      <w:pPr>
        <w:pStyle w:val="TitleB"/>
        <w:rPr>
          <w:szCs w:val="22"/>
        </w:rPr>
      </w:pPr>
      <w:r>
        <w:t xml:space="preserve">CONDIȚII SAU RESTRICȚII PRIVIND FURNIZAREA ȘI UTILIZAREA </w:t>
      </w:r>
    </w:p>
    <w:p w14:paraId="5ABB9881" w14:textId="77777777" w:rsidR="00C04CAD" w:rsidRDefault="00C04CAD">
      <w:pPr>
        <w:keepNext/>
        <w:spacing w:line="240" w:lineRule="auto"/>
        <w:rPr>
          <w:szCs w:val="22"/>
        </w:rPr>
      </w:pPr>
    </w:p>
    <w:p w14:paraId="69D67EFA" w14:textId="77777777" w:rsidR="00C04CAD" w:rsidRDefault="00060E34">
      <w:pPr>
        <w:numPr>
          <w:ilvl w:val="12"/>
          <w:numId w:val="0"/>
        </w:numPr>
        <w:spacing w:line="240" w:lineRule="auto"/>
        <w:rPr>
          <w:szCs w:val="22"/>
        </w:rPr>
      </w:pPr>
      <w:r>
        <w:t>Medicament eliberat pe bază de prescripție medicală restrictivă (vezi anexa I: Rezumatul caracteristicilor produsului, pct. 4.2).</w:t>
      </w:r>
    </w:p>
    <w:p w14:paraId="64D22F29" w14:textId="77777777" w:rsidR="00C04CAD" w:rsidRDefault="00C04CAD">
      <w:pPr>
        <w:numPr>
          <w:ilvl w:val="12"/>
          <w:numId w:val="0"/>
        </w:numPr>
        <w:spacing w:line="240" w:lineRule="auto"/>
        <w:rPr>
          <w:szCs w:val="22"/>
        </w:rPr>
      </w:pPr>
    </w:p>
    <w:p w14:paraId="6E6818C6" w14:textId="77777777" w:rsidR="00C04CAD" w:rsidRDefault="00C04CAD">
      <w:pPr>
        <w:numPr>
          <w:ilvl w:val="12"/>
          <w:numId w:val="0"/>
        </w:numPr>
        <w:spacing w:line="240" w:lineRule="auto"/>
        <w:rPr>
          <w:szCs w:val="22"/>
        </w:rPr>
      </w:pPr>
    </w:p>
    <w:p w14:paraId="2A8B5ED0" w14:textId="77777777" w:rsidR="00C04CAD" w:rsidRDefault="00060E34">
      <w:pPr>
        <w:pStyle w:val="TitleB"/>
        <w:rPr>
          <w:bCs/>
          <w:szCs w:val="22"/>
        </w:rPr>
      </w:pPr>
      <w:r>
        <w:t>ALTE CONDIȚII ȘI CERINȚE ALE AUTORIZAȚIEI DE PUNERE PE PIAȚĂ</w:t>
      </w:r>
    </w:p>
    <w:p w14:paraId="3FC12735" w14:textId="77777777" w:rsidR="00C04CAD" w:rsidRDefault="00C04CAD">
      <w:pPr>
        <w:keepNext/>
        <w:spacing w:line="240" w:lineRule="auto"/>
        <w:ind w:right="-1"/>
        <w:rPr>
          <w:iCs/>
          <w:szCs w:val="22"/>
          <w:u w:val="single"/>
        </w:rPr>
      </w:pPr>
    </w:p>
    <w:p w14:paraId="7009E754" w14:textId="77777777" w:rsidR="00C04CAD" w:rsidRDefault="00060E34">
      <w:pPr>
        <w:keepNext/>
        <w:numPr>
          <w:ilvl w:val="0"/>
          <w:numId w:val="17"/>
        </w:numPr>
        <w:spacing w:line="240" w:lineRule="auto"/>
        <w:ind w:right="-1" w:hanging="720"/>
        <w:rPr>
          <w:b/>
          <w:szCs w:val="22"/>
        </w:rPr>
      </w:pPr>
      <w:r>
        <w:rPr>
          <w:b/>
        </w:rPr>
        <w:t>Rapoartele periodice actualizate privind siguranța (RPAS)</w:t>
      </w:r>
    </w:p>
    <w:p w14:paraId="46FC81DE" w14:textId="77777777" w:rsidR="00C04CAD" w:rsidRDefault="00C04CAD">
      <w:pPr>
        <w:keepNext/>
        <w:tabs>
          <w:tab w:val="left" w:pos="0"/>
        </w:tabs>
        <w:spacing w:line="240" w:lineRule="auto"/>
        <w:ind w:right="567"/>
      </w:pPr>
    </w:p>
    <w:p w14:paraId="600F0155" w14:textId="77777777" w:rsidR="00C04CAD" w:rsidRDefault="00060E34">
      <w:pPr>
        <w:tabs>
          <w:tab w:val="left" w:pos="0"/>
        </w:tabs>
        <w:spacing w:line="240" w:lineRule="auto"/>
        <w:ind w:right="567"/>
        <w:rPr>
          <w:iCs/>
          <w:szCs w:val="22"/>
        </w:rPr>
      </w:pPr>
      <w:r>
        <w:t>Cerințele pentru depunerea RPAS pentru acest medicament sunt prezentate în lista de date de referință și frecvențe de transmitere la nivelul Uniunii (lista EURD), menționată la articolul 107c alineatul (7) din Directiva 2001/83/CE și orice actualizări ulterioare ale acesteia publicată pe portalul web european privind medicamentele.</w:t>
      </w:r>
    </w:p>
    <w:p w14:paraId="3AB2F1FF" w14:textId="77777777" w:rsidR="00C04CAD" w:rsidRDefault="00C04CAD">
      <w:pPr>
        <w:tabs>
          <w:tab w:val="left" w:pos="0"/>
        </w:tabs>
        <w:spacing w:line="240" w:lineRule="auto"/>
        <w:ind w:right="567"/>
        <w:rPr>
          <w:iCs/>
          <w:szCs w:val="22"/>
        </w:rPr>
      </w:pPr>
    </w:p>
    <w:p w14:paraId="7DFA8E7D" w14:textId="77777777" w:rsidR="00C04CAD" w:rsidRDefault="00C04CAD">
      <w:pPr>
        <w:spacing w:line="240" w:lineRule="auto"/>
        <w:ind w:right="-1"/>
        <w:rPr>
          <w:u w:val="single"/>
        </w:rPr>
      </w:pPr>
    </w:p>
    <w:p w14:paraId="10393CDC" w14:textId="77777777" w:rsidR="00C04CAD" w:rsidRDefault="00060E34">
      <w:pPr>
        <w:pStyle w:val="TitleB"/>
      </w:pPr>
      <w:r>
        <w:t xml:space="preserve">CONDIȚII SAU RESTRICȚII CU PRIVIRE LA UTILIZAREA SIGURĂ ȘI EFICACE A MEDICAMENTULUI  </w:t>
      </w:r>
    </w:p>
    <w:p w14:paraId="7EE089AD" w14:textId="77777777" w:rsidR="00C04CAD" w:rsidRDefault="00C04CAD">
      <w:pPr>
        <w:keepNext/>
        <w:spacing w:line="240" w:lineRule="auto"/>
        <w:ind w:right="-1"/>
        <w:rPr>
          <w:u w:val="single"/>
        </w:rPr>
      </w:pPr>
    </w:p>
    <w:p w14:paraId="070EB62D" w14:textId="77777777" w:rsidR="00C04CAD" w:rsidRDefault="00060E34">
      <w:pPr>
        <w:keepNext/>
        <w:numPr>
          <w:ilvl w:val="0"/>
          <w:numId w:val="17"/>
        </w:numPr>
        <w:spacing w:line="240" w:lineRule="auto"/>
        <w:ind w:right="-1" w:hanging="720"/>
        <w:rPr>
          <w:b/>
        </w:rPr>
      </w:pPr>
      <w:r>
        <w:rPr>
          <w:b/>
        </w:rPr>
        <w:t>Planul de management al riscului (PMR)</w:t>
      </w:r>
    </w:p>
    <w:p w14:paraId="5A6F876E" w14:textId="77777777" w:rsidR="00C04CAD" w:rsidRDefault="00C04CAD">
      <w:pPr>
        <w:keepNext/>
        <w:spacing w:line="240" w:lineRule="auto"/>
        <w:ind w:left="720" w:right="-1"/>
        <w:rPr>
          <w:b/>
        </w:rPr>
      </w:pPr>
    </w:p>
    <w:p w14:paraId="03AB71D0" w14:textId="77777777" w:rsidR="00C04CAD" w:rsidRDefault="00060E34">
      <w:pPr>
        <w:tabs>
          <w:tab w:val="left" w:pos="0"/>
        </w:tabs>
        <w:spacing w:line="240" w:lineRule="auto"/>
        <w:ind w:right="567"/>
        <w:rPr>
          <w:szCs w:val="22"/>
        </w:rPr>
      </w:pPr>
      <w:r>
        <w:t>Deținătorul autorizației de punere pe piață (DAPP) se angajează să efectueze activitățile și intervențiile de farmacovigilență necesare detaliate în PMR-ul aprobat și prezentat în modulul 1.8.2 al autorizației de punere pe piață și orice actualizări ulterioare aprobate ale PMR-ului.</w:t>
      </w:r>
    </w:p>
    <w:p w14:paraId="6339ECC9" w14:textId="77777777" w:rsidR="00C04CAD" w:rsidRDefault="00C04CAD">
      <w:pPr>
        <w:spacing w:line="240" w:lineRule="auto"/>
        <w:ind w:right="-1"/>
        <w:rPr>
          <w:iCs/>
          <w:szCs w:val="22"/>
        </w:rPr>
      </w:pPr>
    </w:p>
    <w:p w14:paraId="403DCC03" w14:textId="77777777" w:rsidR="00C04CAD" w:rsidRDefault="00060E34">
      <w:pPr>
        <w:keepNext/>
        <w:spacing w:line="240" w:lineRule="auto"/>
        <w:rPr>
          <w:iCs/>
          <w:szCs w:val="22"/>
        </w:rPr>
      </w:pPr>
      <w:r>
        <w:t>O versiune actualizată a PMR trebuie depusă:</w:t>
      </w:r>
    </w:p>
    <w:p w14:paraId="1DC865A2" w14:textId="77777777" w:rsidR="00C04CAD" w:rsidRDefault="00060E34">
      <w:pPr>
        <w:numPr>
          <w:ilvl w:val="0"/>
          <w:numId w:val="18"/>
        </w:numPr>
        <w:spacing w:line="240" w:lineRule="auto"/>
        <w:ind w:left="567" w:hanging="567"/>
        <w:rPr>
          <w:iCs/>
          <w:szCs w:val="22"/>
        </w:rPr>
      </w:pPr>
      <w:r>
        <w:t>la cererea Agenției Europene pentru Medicamente;</w:t>
      </w:r>
    </w:p>
    <w:p w14:paraId="2BEFC9D3" w14:textId="77777777" w:rsidR="00C04CAD" w:rsidRDefault="00060E34">
      <w:pPr>
        <w:numPr>
          <w:ilvl w:val="0"/>
          <w:numId w:val="18"/>
        </w:numPr>
        <w:spacing w:line="240" w:lineRule="auto"/>
        <w:ind w:left="567" w:hanging="567"/>
        <w:rPr>
          <w:iCs/>
          <w:szCs w:val="22"/>
        </w:rPr>
      </w:pPr>
      <w:r>
        <w:t>la modificarea sistemului de management al riscului, în special ca urmare a primirii de informații noi care pot duce la o schimbare semnificativă a raportului beneficiu/risc sau ca urmare a atingerii unui obiectiv important (de farmacovigilență sau de reducere la minimum a riscului).</w:t>
      </w:r>
    </w:p>
    <w:p w14:paraId="291E728E" w14:textId="77777777" w:rsidR="00C04CAD" w:rsidRDefault="00C04CAD">
      <w:pPr>
        <w:spacing w:line="240" w:lineRule="auto"/>
        <w:ind w:right="-1"/>
        <w:rPr>
          <w:iCs/>
          <w:szCs w:val="22"/>
        </w:rPr>
      </w:pPr>
    </w:p>
    <w:p w14:paraId="101D6F55" w14:textId="77777777" w:rsidR="00C04CAD" w:rsidRDefault="00060E34">
      <w:pPr>
        <w:numPr>
          <w:ilvl w:val="0"/>
          <w:numId w:val="17"/>
        </w:numPr>
        <w:spacing w:line="240" w:lineRule="auto"/>
        <w:ind w:right="-1" w:hanging="720"/>
        <w:rPr>
          <w:iCs/>
          <w:szCs w:val="22"/>
        </w:rPr>
      </w:pPr>
      <w:r>
        <w:rPr>
          <w:b/>
        </w:rPr>
        <w:t>Măsuri suplimentare de reducere la minimum a riscului</w:t>
      </w:r>
    </w:p>
    <w:p w14:paraId="5444B6C4" w14:textId="77777777" w:rsidR="00C04CAD" w:rsidRDefault="00C04CAD">
      <w:pPr>
        <w:spacing w:line="240" w:lineRule="auto"/>
        <w:ind w:right="-1"/>
        <w:rPr>
          <w:iCs/>
          <w:szCs w:val="22"/>
        </w:rPr>
      </w:pPr>
    </w:p>
    <w:p w14:paraId="6B246174" w14:textId="77777777" w:rsidR="00C04CAD" w:rsidRDefault="00060E34">
      <w:pPr>
        <w:spacing w:line="240" w:lineRule="auto"/>
        <w:ind w:right="-1"/>
      </w:pPr>
      <w:r>
        <w:t xml:space="preserve">Cardurile de </w:t>
      </w:r>
      <w:r>
        <w:rPr>
          <w:color w:val="000000"/>
          <w:szCs w:val="22"/>
        </w:rPr>
        <w:t xml:space="preserve">avertizare </w:t>
      </w:r>
      <w:r>
        <w:t>pentru pacienți (adul</w:t>
      </w:r>
      <w:r>
        <w:rPr>
          <w:color w:val="000000"/>
          <w:szCs w:val="22"/>
        </w:rPr>
        <w:t xml:space="preserve">ți </w:t>
      </w:r>
      <w:r>
        <w:t>și copii) conțin următoarele elemente principale:</w:t>
      </w:r>
    </w:p>
    <w:p w14:paraId="6DBBA0B0" w14:textId="77777777" w:rsidR="00C04CAD" w:rsidRDefault="00C04CAD">
      <w:pPr>
        <w:spacing w:line="240" w:lineRule="auto"/>
        <w:ind w:right="-1"/>
      </w:pPr>
    </w:p>
    <w:p w14:paraId="52108263" w14:textId="77777777" w:rsidR="00C04CAD" w:rsidRDefault="00060E34">
      <w:pPr>
        <w:pStyle w:val="ListParagraph"/>
        <w:numPr>
          <w:ilvl w:val="0"/>
          <w:numId w:val="19"/>
        </w:numPr>
        <w:spacing w:line="240" w:lineRule="auto"/>
        <w:ind w:left="567" w:hanging="567"/>
      </w:pPr>
      <w:r>
        <w:t>infecții, inclusiv tuberculoza</w:t>
      </w:r>
    </w:p>
    <w:p w14:paraId="5E66F2F2" w14:textId="77777777" w:rsidR="00C04CAD" w:rsidRDefault="00060E34">
      <w:pPr>
        <w:pStyle w:val="ListParagraph"/>
        <w:numPr>
          <w:ilvl w:val="0"/>
          <w:numId w:val="19"/>
        </w:numPr>
        <w:spacing w:line="240" w:lineRule="auto"/>
        <w:ind w:left="567" w:hanging="567"/>
      </w:pPr>
      <w:r>
        <w:t>cancer</w:t>
      </w:r>
    </w:p>
    <w:p w14:paraId="2E8305BB" w14:textId="77777777" w:rsidR="00C04CAD" w:rsidRDefault="00060E34">
      <w:pPr>
        <w:pStyle w:val="ListParagraph"/>
        <w:numPr>
          <w:ilvl w:val="0"/>
          <w:numId w:val="19"/>
        </w:numPr>
        <w:spacing w:line="240" w:lineRule="auto"/>
        <w:ind w:left="567" w:hanging="567"/>
      </w:pPr>
      <w:r>
        <w:t>probleme ale sistemului nervos</w:t>
      </w:r>
    </w:p>
    <w:p w14:paraId="737FAC46" w14:textId="77777777" w:rsidR="00C04CAD" w:rsidRDefault="00060E34">
      <w:pPr>
        <w:pStyle w:val="ListParagraph"/>
        <w:numPr>
          <w:ilvl w:val="0"/>
          <w:numId w:val="19"/>
        </w:numPr>
        <w:spacing w:line="240" w:lineRule="auto"/>
        <w:ind w:left="567" w:hanging="567"/>
      </w:pPr>
      <w:r>
        <w:t>vaccinări</w:t>
      </w:r>
    </w:p>
    <w:p w14:paraId="0400F55D" w14:textId="77777777" w:rsidR="00C04CAD" w:rsidRDefault="00C04CAD">
      <w:pPr>
        <w:spacing w:line="240" w:lineRule="auto"/>
        <w:ind w:right="-1"/>
      </w:pPr>
    </w:p>
    <w:p w14:paraId="33D1B50C" w14:textId="77777777" w:rsidR="00C04CAD" w:rsidRDefault="00060E34">
      <w:pPr>
        <w:tabs>
          <w:tab w:val="clear" w:pos="567"/>
        </w:tabs>
        <w:spacing w:line="240" w:lineRule="auto"/>
        <w:jc w:val="center"/>
        <w:rPr>
          <w:b/>
        </w:rPr>
      </w:pPr>
      <w:r>
        <w:rPr>
          <w:b/>
        </w:rPr>
        <w:br w:type="page"/>
      </w:r>
    </w:p>
    <w:p w14:paraId="0F1B530C" w14:textId="77777777" w:rsidR="00C04CAD" w:rsidRDefault="00C04CAD">
      <w:pPr>
        <w:spacing w:line="240" w:lineRule="auto"/>
        <w:jc w:val="center"/>
        <w:outlineLvl w:val="0"/>
        <w:rPr>
          <w:b/>
        </w:rPr>
      </w:pPr>
    </w:p>
    <w:p w14:paraId="264DA3FD" w14:textId="77777777" w:rsidR="00C04CAD" w:rsidRDefault="00C04CAD">
      <w:pPr>
        <w:spacing w:line="240" w:lineRule="auto"/>
        <w:jc w:val="center"/>
        <w:outlineLvl w:val="0"/>
        <w:rPr>
          <w:b/>
        </w:rPr>
      </w:pPr>
    </w:p>
    <w:p w14:paraId="0B98F655" w14:textId="77777777" w:rsidR="00C04CAD" w:rsidRDefault="00C04CAD">
      <w:pPr>
        <w:spacing w:line="240" w:lineRule="auto"/>
        <w:jc w:val="center"/>
        <w:outlineLvl w:val="0"/>
        <w:rPr>
          <w:b/>
        </w:rPr>
      </w:pPr>
    </w:p>
    <w:p w14:paraId="062ED10E" w14:textId="77777777" w:rsidR="00C04CAD" w:rsidRDefault="00C04CAD">
      <w:pPr>
        <w:spacing w:line="240" w:lineRule="auto"/>
        <w:jc w:val="center"/>
        <w:outlineLvl w:val="0"/>
        <w:rPr>
          <w:b/>
        </w:rPr>
      </w:pPr>
    </w:p>
    <w:p w14:paraId="4D16C613" w14:textId="77777777" w:rsidR="00C04CAD" w:rsidRDefault="00C04CAD">
      <w:pPr>
        <w:spacing w:line="240" w:lineRule="auto"/>
        <w:jc w:val="center"/>
        <w:outlineLvl w:val="0"/>
        <w:rPr>
          <w:b/>
        </w:rPr>
      </w:pPr>
    </w:p>
    <w:p w14:paraId="7DB9A562" w14:textId="77777777" w:rsidR="00C04CAD" w:rsidRDefault="00C04CAD">
      <w:pPr>
        <w:spacing w:line="240" w:lineRule="auto"/>
        <w:jc w:val="center"/>
        <w:outlineLvl w:val="0"/>
        <w:rPr>
          <w:b/>
        </w:rPr>
      </w:pPr>
    </w:p>
    <w:p w14:paraId="560AA2AD" w14:textId="77777777" w:rsidR="00C04CAD" w:rsidRDefault="00C04CAD">
      <w:pPr>
        <w:spacing w:line="240" w:lineRule="auto"/>
        <w:jc w:val="center"/>
        <w:outlineLvl w:val="0"/>
        <w:rPr>
          <w:b/>
        </w:rPr>
      </w:pPr>
    </w:p>
    <w:p w14:paraId="710FAD46" w14:textId="77777777" w:rsidR="00C04CAD" w:rsidRDefault="00C04CAD">
      <w:pPr>
        <w:spacing w:line="240" w:lineRule="auto"/>
        <w:jc w:val="center"/>
        <w:outlineLvl w:val="0"/>
        <w:rPr>
          <w:b/>
        </w:rPr>
      </w:pPr>
    </w:p>
    <w:p w14:paraId="01773BE3" w14:textId="77777777" w:rsidR="00C04CAD" w:rsidRDefault="00C04CAD">
      <w:pPr>
        <w:spacing w:line="240" w:lineRule="auto"/>
        <w:jc w:val="center"/>
        <w:outlineLvl w:val="0"/>
        <w:rPr>
          <w:b/>
        </w:rPr>
      </w:pPr>
    </w:p>
    <w:p w14:paraId="564124D7" w14:textId="77777777" w:rsidR="00C04CAD" w:rsidRDefault="00C04CAD">
      <w:pPr>
        <w:spacing w:line="240" w:lineRule="auto"/>
        <w:jc w:val="center"/>
        <w:outlineLvl w:val="0"/>
        <w:rPr>
          <w:b/>
        </w:rPr>
      </w:pPr>
    </w:p>
    <w:p w14:paraId="1C2F40D9" w14:textId="77777777" w:rsidR="00C04CAD" w:rsidRDefault="00C04CAD">
      <w:pPr>
        <w:spacing w:line="240" w:lineRule="auto"/>
        <w:jc w:val="center"/>
        <w:outlineLvl w:val="0"/>
        <w:rPr>
          <w:b/>
        </w:rPr>
      </w:pPr>
    </w:p>
    <w:p w14:paraId="5BD7839F" w14:textId="77777777" w:rsidR="00C04CAD" w:rsidRDefault="00C04CAD">
      <w:pPr>
        <w:spacing w:line="240" w:lineRule="auto"/>
        <w:jc w:val="center"/>
        <w:outlineLvl w:val="0"/>
        <w:rPr>
          <w:b/>
        </w:rPr>
      </w:pPr>
    </w:p>
    <w:p w14:paraId="75E14CD7" w14:textId="77777777" w:rsidR="00C04CAD" w:rsidRDefault="00C04CAD">
      <w:pPr>
        <w:spacing w:line="240" w:lineRule="auto"/>
        <w:jc w:val="center"/>
        <w:outlineLvl w:val="0"/>
        <w:rPr>
          <w:b/>
        </w:rPr>
      </w:pPr>
    </w:p>
    <w:p w14:paraId="5F4DCB64" w14:textId="77777777" w:rsidR="00C04CAD" w:rsidRDefault="00C04CAD">
      <w:pPr>
        <w:spacing w:line="240" w:lineRule="auto"/>
        <w:jc w:val="center"/>
        <w:outlineLvl w:val="0"/>
        <w:rPr>
          <w:b/>
        </w:rPr>
      </w:pPr>
    </w:p>
    <w:p w14:paraId="46809BC3" w14:textId="77777777" w:rsidR="00C04CAD" w:rsidRDefault="00C04CAD">
      <w:pPr>
        <w:spacing w:line="240" w:lineRule="auto"/>
        <w:jc w:val="center"/>
        <w:outlineLvl w:val="0"/>
        <w:rPr>
          <w:b/>
        </w:rPr>
      </w:pPr>
    </w:p>
    <w:p w14:paraId="4EE458E9" w14:textId="77777777" w:rsidR="00C04CAD" w:rsidRDefault="00C04CAD">
      <w:pPr>
        <w:spacing w:line="240" w:lineRule="auto"/>
        <w:jc w:val="center"/>
        <w:outlineLvl w:val="0"/>
        <w:rPr>
          <w:b/>
        </w:rPr>
      </w:pPr>
    </w:p>
    <w:p w14:paraId="2933D104" w14:textId="77777777" w:rsidR="00C04CAD" w:rsidRDefault="00C04CAD">
      <w:pPr>
        <w:spacing w:line="240" w:lineRule="auto"/>
        <w:jc w:val="center"/>
        <w:outlineLvl w:val="0"/>
        <w:rPr>
          <w:b/>
        </w:rPr>
      </w:pPr>
    </w:p>
    <w:p w14:paraId="43E64F49" w14:textId="77777777" w:rsidR="00C04CAD" w:rsidRDefault="00C04CAD">
      <w:pPr>
        <w:spacing w:line="240" w:lineRule="auto"/>
        <w:jc w:val="center"/>
        <w:outlineLvl w:val="0"/>
        <w:rPr>
          <w:b/>
        </w:rPr>
      </w:pPr>
    </w:p>
    <w:p w14:paraId="757C6C46" w14:textId="77777777" w:rsidR="00C04CAD" w:rsidRDefault="00C04CAD">
      <w:pPr>
        <w:spacing w:line="240" w:lineRule="auto"/>
        <w:jc w:val="center"/>
        <w:outlineLvl w:val="0"/>
        <w:rPr>
          <w:b/>
        </w:rPr>
      </w:pPr>
    </w:p>
    <w:p w14:paraId="4152A195" w14:textId="77777777" w:rsidR="00C04CAD" w:rsidRDefault="00C04CAD">
      <w:pPr>
        <w:spacing w:line="240" w:lineRule="auto"/>
        <w:jc w:val="center"/>
        <w:outlineLvl w:val="0"/>
        <w:rPr>
          <w:b/>
        </w:rPr>
      </w:pPr>
    </w:p>
    <w:p w14:paraId="1A0D9731" w14:textId="77777777" w:rsidR="00C04CAD" w:rsidRDefault="00C04CAD">
      <w:pPr>
        <w:spacing w:line="240" w:lineRule="auto"/>
        <w:jc w:val="center"/>
        <w:outlineLvl w:val="0"/>
        <w:rPr>
          <w:b/>
        </w:rPr>
      </w:pPr>
    </w:p>
    <w:p w14:paraId="166DDFE9" w14:textId="77777777" w:rsidR="00C04CAD" w:rsidRDefault="00C04CAD">
      <w:pPr>
        <w:spacing w:line="240" w:lineRule="auto"/>
        <w:jc w:val="center"/>
        <w:outlineLvl w:val="0"/>
        <w:rPr>
          <w:b/>
        </w:rPr>
      </w:pPr>
    </w:p>
    <w:p w14:paraId="1033AE76" w14:textId="77777777" w:rsidR="00C04CAD" w:rsidRDefault="00060E34">
      <w:pPr>
        <w:spacing w:line="240" w:lineRule="auto"/>
        <w:jc w:val="center"/>
        <w:outlineLvl w:val="0"/>
        <w:rPr>
          <w:rFonts w:eastAsia="MS Mincho"/>
          <w:b/>
          <w:sz w:val="24"/>
          <w:lang w:eastAsia="en-US" w:bidi="ar-SA"/>
        </w:rPr>
      </w:pPr>
      <w:r>
        <w:rPr>
          <w:b/>
        </w:rPr>
        <w:t>ANEXA III</w:t>
      </w:r>
    </w:p>
    <w:p w14:paraId="29B89CEA" w14:textId="77777777" w:rsidR="00C04CAD" w:rsidRDefault="00C04CAD">
      <w:pPr>
        <w:spacing w:line="240" w:lineRule="auto"/>
        <w:jc w:val="center"/>
        <w:rPr>
          <w:b/>
        </w:rPr>
      </w:pPr>
    </w:p>
    <w:p w14:paraId="2A6891C1" w14:textId="77777777" w:rsidR="00C04CAD" w:rsidRDefault="00060E34">
      <w:pPr>
        <w:spacing w:line="240" w:lineRule="auto"/>
        <w:jc w:val="center"/>
        <w:outlineLvl w:val="0"/>
        <w:rPr>
          <w:rFonts w:eastAsia="MS Mincho"/>
          <w:b/>
          <w:sz w:val="24"/>
          <w:lang w:eastAsia="en-US" w:bidi="ar-SA"/>
        </w:rPr>
      </w:pPr>
      <w:r>
        <w:rPr>
          <w:b/>
        </w:rPr>
        <w:t>ETICHETAREA ȘI PROSPECTUL</w:t>
      </w:r>
    </w:p>
    <w:p w14:paraId="08AC5D4D" w14:textId="77777777" w:rsidR="00C04CAD" w:rsidRDefault="00060E34">
      <w:pPr>
        <w:spacing w:line="240" w:lineRule="auto"/>
        <w:rPr>
          <w:b/>
        </w:rPr>
      </w:pPr>
      <w:r>
        <w:br w:type="page"/>
      </w:r>
    </w:p>
    <w:p w14:paraId="578411B0" w14:textId="77777777" w:rsidR="00C04CAD" w:rsidRDefault="00C04CAD">
      <w:pPr>
        <w:spacing w:line="240" w:lineRule="auto"/>
        <w:outlineLvl w:val="0"/>
        <w:rPr>
          <w:b/>
          <w:szCs w:val="22"/>
        </w:rPr>
      </w:pPr>
    </w:p>
    <w:p w14:paraId="00A7680E" w14:textId="77777777" w:rsidR="00C04CAD" w:rsidRDefault="00C04CAD">
      <w:pPr>
        <w:spacing w:line="240" w:lineRule="auto"/>
        <w:outlineLvl w:val="0"/>
        <w:rPr>
          <w:b/>
          <w:szCs w:val="22"/>
        </w:rPr>
      </w:pPr>
    </w:p>
    <w:p w14:paraId="314F8FC4" w14:textId="77777777" w:rsidR="00C04CAD" w:rsidRDefault="00C04CAD">
      <w:pPr>
        <w:spacing w:line="240" w:lineRule="auto"/>
        <w:outlineLvl w:val="0"/>
        <w:rPr>
          <w:b/>
          <w:szCs w:val="22"/>
        </w:rPr>
      </w:pPr>
    </w:p>
    <w:p w14:paraId="544B3243" w14:textId="77777777" w:rsidR="00C04CAD" w:rsidRDefault="00C04CAD">
      <w:pPr>
        <w:spacing w:line="240" w:lineRule="auto"/>
        <w:outlineLvl w:val="0"/>
        <w:rPr>
          <w:b/>
          <w:szCs w:val="22"/>
        </w:rPr>
      </w:pPr>
    </w:p>
    <w:p w14:paraId="63D4146F" w14:textId="77777777" w:rsidR="00C04CAD" w:rsidRDefault="00C04CAD">
      <w:pPr>
        <w:spacing w:line="240" w:lineRule="auto"/>
        <w:outlineLvl w:val="0"/>
        <w:rPr>
          <w:b/>
          <w:szCs w:val="22"/>
        </w:rPr>
      </w:pPr>
    </w:p>
    <w:p w14:paraId="5A20D19F" w14:textId="77777777" w:rsidR="00C04CAD" w:rsidRDefault="00C04CAD">
      <w:pPr>
        <w:spacing w:line="240" w:lineRule="auto"/>
        <w:outlineLvl w:val="0"/>
        <w:rPr>
          <w:b/>
          <w:szCs w:val="22"/>
        </w:rPr>
      </w:pPr>
    </w:p>
    <w:p w14:paraId="38169ECC" w14:textId="77777777" w:rsidR="00C04CAD" w:rsidRDefault="00C04CAD">
      <w:pPr>
        <w:spacing w:line="240" w:lineRule="auto"/>
        <w:outlineLvl w:val="0"/>
        <w:rPr>
          <w:b/>
          <w:szCs w:val="22"/>
        </w:rPr>
      </w:pPr>
    </w:p>
    <w:p w14:paraId="56D6D060" w14:textId="77777777" w:rsidR="00C04CAD" w:rsidRDefault="00C04CAD">
      <w:pPr>
        <w:spacing w:line="240" w:lineRule="auto"/>
        <w:outlineLvl w:val="0"/>
        <w:rPr>
          <w:b/>
          <w:szCs w:val="22"/>
        </w:rPr>
      </w:pPr>
    </w:p>
    <w:p w14:paraId="0A04CBAB" w14:textId="77777777" w:rsidR="00C04CAD" w:rsidRDefault="00C04CAD">
      <w:pPr>
        <w:spacing w:line="240" w:lineRule="auto"/>
        <w:outlineLvl w:val="0"/>
        <w:rPr>
          <w:b/>
          <w:szCs w:val="22"/>
        </w:rPr>
      </w:pPr>
    </w:p>
    <w:p w14:paraId="75061BF6" w14:textId="77777777" w:rsidR="00C04CAD" w:rsidRDefault="00C04CAD">
      <w:pPr>
        <w:spacing w:line="240" w:lineRule="auto"/>
        <w:outlineLvl w:val="0"/>
        <w:rPr>
          <w:b/>
          <w:szCs w:val="22"/>
        </w:rPr>
      </w:pPr>
    </w:p>
    <w:p w14:paraId="066B9918" w14:textId="77777777" w:rsidR="00C04CAD" w:rsidRDefault="00C04CAD">
      <w:pPr>
        <w:spacing w:line="240" w:lineRule="auto"/>
        <w:outlineLvl w:val="0"/>
        <w:rPr>
          <w:b/>
          <w:szCs w:val="22"/>
        </w:rPr>
      </w:pPr>
    </w:p>
    <w:p w14:paraId="68DCD069" w14:textId="77777777" w:rsidR="00C04CAD" w:rsidRDefault="00C04CAD">
      <w:pPr>
        <w:spacing w:line="240" w:lineRule="auto"/>
        <w:outlineLvl w:val="0"/>
        <w:rPr>
          <w:b/>
          <w:szCs w:val="22"/>
        </w:rPr>
      </w:pPr>
    </w:p>
    <w:p w14:paraId="7A3429CD" w14:textId="77777777" w:rsidR="00C04CAD" w:rsidRDefault="00C04CAD">
      <w:pPr>
        <w:spacing w:line="240" w:lineRule="auto"/>
        <w:outlineLvl w:val="0"/>
        <w:rPr>
          <w:b/>
          <w:szCs w:val="22"/>
        </w:rPr>
      </w:pPr>
    </w:p>
    <w:p w14:paraId="3E349FA0" w14:textId="77777777" w:rsidR="00C04CAD" w:rsidRDefault="00C04CAD">
      <w:pPr>
        <w:spacing w:line="240" w:lineRule="auto"/>
        <w:outlineLvl w:val="0"/>
        <w:rPr>
          <w:b/>
          <w:szCs w:val="22"/>
        </w:rPr>
      </w:pPr>
    </w:p>
    <w:p w14:paraId="03DC843C" w14:textId="77777777" w:rsidR="00C04CAD" w:rsidRDefault="00C04CAD">
      <w:pPr>
        <w:spacing w:line="240" w:lineRule="auto"/>
        <w:outlineLvl w:val="0"/>
        <w:rPr>
          <w:b/>
          <w:szCs w:val="22"/>
        </w:rPr>
      </w:pPr>
    </w:p>
    <w:p w14:paraId="3DC9B3BC" w14:textId="77777777" w:rsidR="00C04CAD" w:rsidRDefault="00C04CAD">
      <w:pPr>
        <w:spacing w:line="240" w:lineRule="auto"/>
        <w:outlineLvl w:val="0"/>
        <w:rPr>
          <w:b/>
          <w:szCs w:val="22"/>
        </w:rPr>
      </w:pPr>
    </w:p>
    <w:p w14:paraId="7E010723" w14:textId="77777777" w:rsidR="00C04CAD" w:rsidRDefault="00C04CAD">
      <w:pPr>
        <w:spacing w:line="240" w:lineRule="auto"/>
        <w:outlineLvl w:val="0"/>
        <w:rPr>
          <w:b/>
          <w:szCs w:val="22"/>
        </w:rPr>
      </w:pPr>
    </w:p>
    <w:p w14:paraId="087BD3BD" w14:textId="77777777" w:rsidR="00C04CAD" w:rsidRDefault="00C04CAD">
      <w:pPr>
        <w:spacing w:line="240" w:lineRule="auto"/>
        <w:outlineLvl w:val="0"/>
        <w:rPr>
          <w:b/>
          <w:szCs w:val="22"/>
        </w:rPr>
      </w:pPr>
    </w:p>
    <w:p w14:paraId="11769D41" w14:textId="77777777" w:rsidR="00C04CAD" w:rsidRDefault="00C04CAD">
      <w:pPr>
        <w:spacing w:line="240" w:lineRule="auto"/>
        <w:outlineLvl w:val="0"/>
        <w:rPr>
          <w:b/>
          <w:szCs w:val="22"/>
        </w:rPr>
      </w:pPr>
    </w:p>
    <w:p w14:paraId="0E7B84CF" w14:textId="77777777" w:rsidR="00C04CAD" w:rsidRDefault="00C04CAD">
      <w:pPr>
        <w:spacing w:line="240" w:lineRule="auto"/>
        <w:outlineLvl w:val="0"/>
        <w:rPr>
          <w:b/>
          <w:szCs w:val="22"/>
        </w:rPr>
      </w:pPr>
    </w:p>
    <w:p w14:paraId="33A2A389" w14:textId="77777777" w:rsidR="00C04CAD" w:rsidRDefault="00C04CAD">
      <w:pPr>
        <w:spacing w:line="240" w:lineRule="auto"/>
        <w:outlineLvl w:val="0"/>
        <w:rPr>
          <w:b/>
          <w:szCs w:val="22"/>
        </w:rPr>
      </w:pPr>
    </w:p>
    <w:p w14:paraId="01688A4D" w14:textId="77777777" w:rsidR="00C04CAD" w:rsidRDefault="00C04CAD">
      <w:pPr>
        <w:spacing w:line="240" w:lineRule="auto"/>
        <w:jc w:val="center"/>
        <w:outlineLvl w:val="0"/>
        <w:rPr>
          <w:rStyle w:val="DoNotTranslateExternal1"/>
        </w:rPr>
      </w:pPr>
    </w:p>
    <w:p w14:paraId="228E630C" w14:textId="77777777" w:rsidR="00C04CAD" w:rsidRDefault="00060E34">
      <w:pPr>
        <w:pStyle w:val="TitleA"/>
        <w:widowControl/>
        <w:rPr>
          <w:lang w:val="ro-RO"/>
        </w:rPr>
      </w:pPr>
      <w:r>
        <w:rPr>
          <w:rStyle w:val="DoNotTranslateExternal1"/>
          <w:b/>
          <w:lang w:val="ro-RO"/>
        </w:rPr>
        <w:t>A.</w:t>
      </w:r>
      <w:r>
        <w:rPr>
          <w:lang w:val="ro-RO"/>
        </w:rPr>
        <w:t xml:space="preserve"> ETICHETAREA</w:t>
      </w:r>
    </w:p>
    <w:p w14:paraId="4B7A8A3E" w14:textId="77777777" w:rsidR="00C04CAD" w:rsidRDefault="00060E34">
      <w:pPr>
        <w:shd w:val="clear" w:color="auto" w:fill="FFFFFF"/>
        <w:spacing w:line="240" w:lineRule="auto"/>
        <w:rPr>
          <w:szCs w:val="22"/>
        </w:rPr>
      </w:pPr>
      <w:r>
        <w:br w:type="page"/>
      </w:r>
    </w:p>
    <w:p w14:paraId="37164B6C"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6D5836C3"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6C39D072"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SERINGĂ PREUMPLUTĂ</w:t>
      </w:r>
    </w:p>
    <w:p w14:paraId="00FE9E2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304FD1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16DBEBC"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DENUMIREA COMERCIALĂ A MEDICAMENTULUI</w:t>
      </w:r>
    </w:p>
    <w:p w14:paraId="5A3B08C3"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25CC123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pacing w:val="-1"/>
          <w:szCs w:val="22"/>
          <w:lang w:eastAsia="en-US" w:bidi="ar-SA"/>
        </w:rPr>
        <w:t>AMGEVITA</w:t>
      </w:r>
      <w:r>
        <w:rPr>
          <w:rFonts w:eastAsia="MS Mincho"/>
          <w:szCs w:val="22"/>
          <w:lang w:eastAsia="en-US" w:bidi="ar-SA"/>
        </w:rPr>
        <w:t xml:space="preserve"> 20 </w:t>
      </w:r>
      <w:r>
        <w:rPr>
          <w:rFonts w:eastAsia="MS Mincho"/>
          <w:spacing w:val="-2"/>
          <w:szCs w:val="22"/>
          <w:lang w:eastAsia="en-US" w:bidi="ar-SA"/>
        </w:rPr>
        <w:t>m</w:t>
      </w:r>
      <w:r>
        <w:rPr>
          <w:rFonts w:eastAsia="MS Mincho"/>
          <w:szCs w:val="22"/>
          <w:lang w:eastAsia="en-US" w:bidi="ar-SA"/>
        </w:rPr>
        <w:t>g</w:t>
      </w:r>
      <w:r>
        <w:rPr>
          <w:rFonts w:eastAsia="MS Mincho"/>
          <w:spacing w:val="-3"/>
          <w:szCs w:val="22"/>
          <w:lang w:eastAsia="en-US" w:bidi="ar-SA"/>
        </w:rPr>
        <w:t xml:space="preserve"> </w:t>
      </w:r>
      <w:r>
        <w:rPr>
          <w:rFonts w:eastAsia="MS Mincho"/>
          <w:szCs w:val="22"/>
          <w:lang w:eastAsia="en-US" w:bidi="ar-SA"/>
        </w:rPr>
        <w:t>so</w:t>
      </w:r>
      <w:r>
        <w:rPr>
          <w:rFonts w:eastAsia="MS Mincho"/>
          <w:spacing w:val="1"/>
          <w:szCs w:val="22"/>
          <w:lang w:eastAsia="en-US" w:bidi="ar-SA"/>
        </w:rPr>
        <w:t>l</w:t>
      </w:r>
      <w:r>
        <w:rPr>
          <w:rFonts w:eastAsia="MS Mincho"/>
          <w:szCs w:val="22"/>
          <w:lang w:eastAsia="en-US" w:bidi="ar-SA"/>
        </w:rPr>
        <w:t>u</w:t>
      </w:r>
      <w:r>
        <w:rPr>
          <w:rFonts w:eastAsia="MS Mincho"/>
          <w:spacing w:val="-2"/>
          <w:szCs w:val="22"/>
          <w:lang w:eastAsia="en-US" w:bidi="ar-SA"/>
        </w:rPr>
        <w:t>ţ</w:t>
      </w:r>
      <w:r>
        <w:rPr>
          <w:rFonts w:eastAsia="MS Mincho"/>
          <w:spacing w:val="1"/>
          <w:szCs w:val="22"/>
          <w:lang w:eastAsia="en-US" w:bidi="ar-SA"/>
        </w:rPr>
        <w:t>i</w:t>
      </w:r>
      <w:r>
        <w:rPr>
          <w:rFonts w:eastAsia="MS Mincho"/>
          <w:szCs w:val="22"/>
          <w:lang w:eastAsia="en-US" w:bidi="ar-SA"/>
        </w:rPr>
        <w:t>e</w:t>
      </w:r>
      <w:r>
        <w:rPr>
          <w:rFonts w:eastAsia="MS Mincho"/>
          <w:spacing w:val="-2"/>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j</w:t>
      </w:r>
      <w:r>
        <w:rPr>
          <w:rFonts w:eastAsia="MS Mincho"/>
          <w:szCs w:val="22"/>
          <w:lang w:eastAsia="en-US" w:bidi="ar-SA"/>
        </w:rPr>
        <w:t>e</w:t>
      </w:r>
      <w:r>
        <w:rPr>
          <w:rFonts w:eastAsia="MS Mincho"/>
          <w:spacing w:val="-3"/>
          <w:szCs w:val="22"/>
          <w:lang w:eastAsia="en-US" w:bidi="ar-SA"/>
        </w:rPr>
        <w:t>c</w:t>
      </w:r>
      <w:r>
        <w:rPr>
          <w:rFonts w:eastAsia="MS Mincho"/>
          <w:spacing w:val="1"/>
          <w:szCs w:val="22"/>
          <w:lang w:eastAsia="en-US" w:bidi="ar-SA"/>
        </w:rPr>
        <w:t>t</w:t>
      </w:r>
      <w:r>
        <w:rPr>
          <w:rFonts w:eastAsia="MS Mincho"/>
          <w:szCs w:val="22"/>
          <w:lang w:eastAsia="en-US" w:bidi="ar-SA"/>
        </w:rPr>
        <w:t>a</w:t>
      </w:r>
      <w:r>
        <w:rPr>
          <w:rFonts w:eastAsia="MS Mincho"/>
          <w:spacing w:val="-3"/>
          <w:szCs w:val="22"/>
          <w:lang w:eastAsia="en-US" w:bidi="ar-SA"/>
        </w:rPr>
        <w:t>b</w:t>
      </w:r>
      <w:r>
        <w:rPr>
          <w:rFonts w:eastAsia="MS Mincho"/>
          <w:spacing w:val="1"/>
          <w:szCs w:val="22"/>
          <w:lang w:eastAsia="en-US" w:bidi="ar-SA"/>
        </w:rPr>
        <w:t>il</w:t>
      </w:r>
      <w:r>
        <w:rPr>
          <w:rFonts w:eastAsia="MS Mincho"/>
          <w:szCs w:val="22"/>
          <w:lang w:eastAsia="en-US" w:bidi="ar-SA"/>
        </w:rPr>
        <w:t>ă</w:t>
      </w:r>
      <w:r>
        <w:rPr>
          <w:rFonts w:eastAsia="MS Mincho"/>
          <w:spacing w:val="-2"/>
          <w:szCs w:val="22"/>
          <w:lang w:eastAsia="en-US" w:bidi="ar-SA"/>
        </w:rPr>
        <w:t xml:space="preserve"> </w:t>
      </w:r>
      <w:r>
        <w:rPr>
          <w:rFonts w:eastAsia="MS Mincho"/>
          <w:spacing w:val="1"/>
          <w:szCs w:val="22"/>
          <w:lang w:eastAsia="en-US" w:bidi="ar-SA"/>
        </w:rPr>
        <w:t>î</w:t>
      </w:r>
      <w:r>
        <w:rPr>
          <w:rFonts w:eastAsia="MS Mincho"/>
          <w:szCs w:val="22"/>
          <w:lang w:eastAsia="en-US" w:bidi="ar-SA"/>
        </w:rPr>
        <w:t>n</w:t>
      </w:r>
      <w:r>
        <w:rPr>
          <w:rFonts w:eastAsia="MS Mincho"/>
          <w:spacing w:val="-3"/>
          <w:szCs w:val="22"/>
          <w:lang w:eastAsia="en-US" w:bidi="ar-SA"/>
        </w:rPr>
        <w:t xml:space="preserve"> </w:t>
      </w:r>
      <w:r>
        <w:rPr>
          <w:rFonts w:eastAsia="MS Mincho"/>
          <w:szCs w:val="22"/>
          <w:lang w:eastAsia="en-US" w:bidi="ar-SA"/>
        </w:rPr>
        <w:t>se</w:t>
      </w:r>
      <w:r>
        <w:rPr>
          <w:rFonts w:eastAsia="MS Mincho"/>
          <w:spacing w:val="-2"/>
          <w:szCs w:val="22"/>
          <w:lang w:eastAsia="en-US" w:bidi="ar-SA"/>
        </w:rPr>
        <w:t>r</w:t>
      </w:r>
      <w:r>
        <w:rPr>
          <w:rFonts w:eastAsia="MS Mincho"/>
          <w:spacing w:val="1"/>
          <w:szCs w:val="22"/>
          <w:lang w:eastAsia="en-US" w:bidi="ar-SA"/>
        </w:rPr>
        <w:t>i</w:t>
      </w:r>
      <w:r>
        <w:rPr>
          <w:rFonts w:eastAsia="MS Mincho"/>
          <w:szCs w:val="22"/>
          <w:lang w:eastAsia="en-US" w:bidi="ar-SA"/>
        </w:rPr>
        <w:t>n</w:t>
      </w:r>
      <w:r>
        <w:rPr>
          <w:rFonts w:eastAsia="MS Mincho"/>
          <w:spacing w:val="-3"/>
          <w:szCs w:val="22"/>
          <w:lang w:eastAsia="en-US" w:bidi="ar-SA"/>
        </w:rPr>
        <w:t>g</w:t>
      </w:r>
      <w:r>
        <w:rPr>
          <w:rFonts w:eastAsia="MS Mincho"/>
          <w:szCs w:val="22"/>
          <w:lang w:eastAsia="en-US" w:bidi="ar-SA"/>
        </w:rPr>
        <w:t>ă preumplută</w:t>
      </w:r>
    </w:p>
    <w:p w14:paraId="20E34E47" w14:textId="77777777" w:rsidR="00C04CAD" w:rsidRDefault="00060E34">
      <w:pPr>
        <w:tabs>
          <w:tab w:val="clear" w:pos="567"/>
        </w:tabs>
        <w:autoSpaceDE w:val="0"/>
        <w:autoSpaceDN w:val="0"/>
        <w:adjustRightInd w:val="0"/>
        <w:spacing w:line="240" w:lineRule="auto"/>
      </w:pPr>
      <w:r>
        <w:t>adalimumab</w:t>
      </w:r>
    </w:p>
    <w:p w14:paraId="4B3EB729" w14:textId="77777777" w:rsidR="00C04CAD" w:rsidRDefault="00C04CAD">
      <w:pPr>
        <w:tabs>
          <w:tab w:val="clear" w:pos="567"/>
        </w:tabs>
        <w:autoSpaceDE w:val="0"/>
        <w:autoSpaceDN w:val="0"/>
        <w:adjustRightInd w:val="0"/>
        <w:spacing w:line="240" w:lineRule="auto"/>
      </w:pPr>
    </w:p>
    <w:p w14:paraId="400570A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C0229E"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DECLARAREA SUBSTANȚEI(SUBSTANȚELOR) ACTIVE</w:t>
      </w:r>
    </w:p>
    <w:p w14:paraId="04FCE0B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44593B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pacing w:val="-1"/>
          <w:szCs w:val="22"/>
          <w:lang w:eastAsia="en-US" w:bidi="ar-SA"/>
        </w:rPr>
        <w:t>F</w:t>
      </w:r>
      <w:r>
        <w:rPr>
          <w:rFonts w:eastAsia="MS Mincho"/>
          <w:spacing w:val="1"/>
          <w:szCs w:val="22"/>
          <w:lang w:eastAsia="en-US" w:bidi="ar-SA"/>
        </w:rPr>
        <w:t>i</w:t>
      </w:r>
      <w:r>
        <w:rPr>
          <w:rFonts w:eastAsia="MS Mincho"/>
          <w:szCs w:val="22"/>
          <w:lang w:eastAsia="en-US" w:bidi="ar-SA"/>
        </w:rPr>
        <w:t>ec</w:t>
      </w:r>
      <w:r>
        <w:rPr>
          <w:rFonts w:eastAsia="MS Mincho"/>
          <w:spacing w:val="-3"/>
          <w:szCs w:val="22"/>
          <w:lang w:eastAsia="en-US" w:bidi="ar-SA"/>
        </w:rPr>
        <w:t>a</w:t>
      </w:r>
      <w:r>
        <w:rPr>
          <w:rFonts w:eastAsia="MS Mincho"/>
          <w:szCs w:val="22"/>
          <w:lang w:eastAsia="en-US" w:bidi="ar-SA"/>
        </w:rPr>
        <w:t>re</w:t>
      </w:r>
      <w:r>
        <w:rPr>
          <w:rFonts w:eastAsia="MS Mincho"/>
          <w:spacing w:val="-2"/>
          <w:szCs w:val="22"/>
          <w:lang w:eastAsia="en-US" w:bidi="ar-SA"/>
        </w:rPr>
        <w:t xml:space="preserve"> </w:t>
      </w:r>
      <w:r>
        <w:rPr>
          <w:rFonts w:eastAsia="MS Mincho"/>
          <w:szCs w:val="22"/>
          <w:lang w:eastAsia="en-US" w:bidi="ar-SA"/>
        </w:rPr>
        <w:t>se</w:t>
      </w:r>
      <w:r>
        <w:rPr>
          <w:rFonts w:eastAsia="MS Mincho"/>
          <w:spacing w:val="-2"/>
          <w:szCs w:val="22"/>
          <w:lang w:eastAsia="en-US" w:bidi="ar-SA"/>
        </w:rPr>
        <w:t>r</w:t>
      </w:r>
      <w:r>
        <w:rPr>
          <w:rFonts w:eastAsia="MS Mincho"/>
          <w:spacing w:val="1"/>
          <w:szCs w:val="22"/>
          <w:lang w:eastAsia="en-US" w:bidi="ar-SA"/>
        </w:rPr>
        <w:t>i</w:t>
      </w:r>
      <w:r>
        <w:rPr>
          <w:rFonts w:eastAsia="MS Mincho"/>
          <w:szCs w:val="22"/>
          <w:lang w:eastAsia="en-US" w:bidi="ar-SA"/>
        </w:rPr>
        <w:t>n</w:t>
      </w:r>
      <w:r>
        <w:rPr>
          <w:rFonts w:eastAsia="MS Mincho"/>
          <w:spacing w:val="-3"/>
          <w:szCs w:val="22"/>
          <w:lang w:eastAsia="en-US" w:bidi="ar-SA"/>
        </w:rPr>
        <w:t>g</w:t>
      </w:r>
      <w:r>
        <w:rPr>
          <w:rFonts w:eastAsia="MS Mincho"/>
          <w:szCs w:val="22"/>
          <w:lang w:eastAsia="en-US" w:bidi="ar-SA"/>
        </w:rPr>
        <w:t>ă preumplută co</w:t>
      </w:r>
      <w:r>
        <w:rPr>
          <w:rFonts w:eastAsia="MS Mincho"/>
          <w:spacing w:val="-3"/>
          <w:szCs w:val="22"/>
          <w:lang w:eastAsia="en-US" w:bidi="ar-SA"/>
        </w:rPr>
        <w:t>n</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ne a</w:t>
      </w:r>
      <w:r>
        <w:rPr>
          <w:rFonts w:eastAsia="MS Mincho"/>
          <w:spacing w:val="-3"/>
          <w:szCs w:val="22"/>
          <w:lang w:eastAsia="en-US" w:bidi="ar-SA"/>
        </w:rPr>
        <w:t>d</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4"/>
          <w:szCs w:val="22"/>
          <w:lang w:eastAsia="en-US" w:bidi="ar-SA"/>
        </w:rPr>
        <w:t>m</w:t>
      </w:r>
      <w:r>
        <w:rPr>
          <w:rFonts w:eastAsia="MS Mincho"/>
          <w:szCs w:val="22"/>
          <w:lang w:eastAsia="en-US" w:bidi="ar-SA"/>
        </w:rPr>
        <w:t>u</w:t>
      </w:r>
      <w:r>
        <w:rPr>
          <w:rFonts w:eastAsia="MS Mincho"/>
          <w:spacing w:val="-4"/>
          <w:szCs w:val="22"/>
          <w:lang w:eastAsia="en-US" w:bidi="ar-SA"/>
        </w:rPr>
        <w:t>m</w:t>
      </w:r>
      <w:r>
        <w:rPr>
          <w:rFonts w:eastAsia="MS Mincho"/>
          <w:szCs w:val="22"/>
          <w:lang w:eastAsia="en-US" w:bidi="ar-SA"/>
        </w:rPr>
        <w:t>ab 20</w:t>
      </w:r>
      <w:r>
        <w:rPr>
          <w:rFonts w:eastAsia="MS Gothic"/>
          <w:spacing w:val="2"/>
          <w:szCs w:val="22"/>
          <w:lang w:eastAsia="en-US" w:bidi="ar-SA"/>
        </w:rPr>
        <w:t> </w:t>
      </w:r>
      <w:r>
        <w:rPr>
          <w:rFonts w:eastAsia="MS Mincho"/>
          <w:spacing w:val="-4"/>
          <w:szCs w:val="22"/>
          <w:lang w:eastAsia="en-US" w:bidi="ar-SA"/>
        </w:rPr>
        <w:t>m</w:t>
      </w:r>
      <w:r>
        <w:rPr>
          <w:rFonts w:eastAsia="MS Mincho"/>
          <w:spacing w:val="-3"/>
          <w:szCs w:val="22"/>
          <w:lang w:eastAsia="en-US" w:bidi="ar-SA"/>
        </w:rPr>
        <w:t>g</w:t>
      </w:r>
      <w:r>
        <w:rPr>
          <w:rFonts w:eastAsia="MS Mincho"/>
          <w:szCs w:val="22"/>
          <w:lang w:eastAsia="en-US" w:bidi="ar-SA"/>
        </w:rPr>
        <w:t xml:space="preserve"> </w:t>
      </w:r>
      <w:r>
        <w:rPr>
          <w:rFonts w:eastAsia="MS Mincho"/>
          <w:spacing w:val="1"/>
          <w:szCs w:val="22"/>
          <w:lang w:eastAsia="en-US" w:bidi="ar-SA"/>
        </w:rPr>
        <w:t>î</w:t>
      </w:r>
      <w:r>
        <w:rPr>
          <w:rFonts w:eastAsia="MS Mincho"/>
          <w:szCs w:val="22"/>
          <w:lang w:eastAsia="en-US" w:bidi="ar-SA"/>
        </w:rPr>
        <w:t>n 0,4 </w:t>
      </w:r>
      <w:r>
        <w:rPr>
          <w:rFonts w:eastAsia="MS Mincho"/>
          <w:spacing w:val="-4"/>
          <w:szCs w:val="22"/>
          <w:lang w:eastAsia="en-US" w:bidi="ar-SA"/>
        </w:rPr>
        <w:t>m</w:t>
      </w:r>
      <w:r>
        <w:rPr>
          <w:rFonts w:eastAsia="MS Mincho"/>
          <w:szCs w:val="22"/>
          <w:lang w:eastAsia="en-US" w:bidi="ar-SA"/>
        </w:rPr>
        <w:t>l solu</w:t>
      </w:r>
      <w:r>
        <w:rPr>
          <w:rFonts w:eastAsia="MS Mincho"/>
          <w:spacing w:val="1"/>
          <w:szCs w:val="22"/>
          <w:lang w:eastAsia="en-US" w:bidi="ar-SA"/>
        </w:rPr>
        <w:t>ţ</w:t>
      </w:r>
      <w:r>
        <w:rPr>
          <w:rFonts w:eastAsia="MS Mincho"/>
          <w:spacing w:val="-2"/>
          <w:szCs w:val="22"/>
          <w:lang w:eastAsia="en-US" w:bidi="ar-SA"/>
        </w:rPr>
        <w:t>ie</w:t>
      </w:r>
      <w:r>
        <w:rPr>
          <w:rFonts w:eastAsia="MS Gothic"/>
          <w:szCs w:val="22"/>
          <w:lang w:eastAsia="en-US" w:bidi="ar-SA"/>
        </w:rPr>
        <w:t>.</w:t>
      </w:r>
    </w:p>
    <w:p w14:paraId="2C41898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46188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12798A8"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LISTA EXCIPIENȚILOR</w:t>
      </w:r>
    </w:p>
    <w:p w14:paraId="271845E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3EF686"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acetic glacial, sucroză, polisorbat80, hidroxid de sodiu și apă pentru preparate injectabile</w:t>
      </w:r>
      <w:r>
        <w:rPr>
          <w:rFonts w:eastAsia="MS Gothic"/>
          <w:szCs w:val="22"/>
          <w:lang w:eastAsia="en-US" w:bidi="ar-SA"/>
        </w:rPr>
        <w:t>.</w:t>
      </w:r>
    </w:p>
    <w:p w14:paraId="2F846EB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697210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EDA7071"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FORMA FARMACEUTICĂ ȘI CONȚINUTUL</w:t>
      </w:r>
    </w:p>
    <w:p w14:paraId="4D187EA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FBFEA8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4095A57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20 mg/0,4 ml</w:t>
      </w:r>
    </w:p>
    <w:p w14:paraId="47F9D7A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seringă preumplută</w:t>
      </w:r>
      <w:r>
        <w:rPr>
          <w:rFonts w:eastAsia="MS Gothic"/>
          <w:szCs w:val="22"/>
          <w:lang w:eastAsia="en-US" w:bidi="ar-SA"/>
        </w:rPr>
        <w:t>.</w:t>
      </w:r>
    </w:p>
    <w:p w14:paraId="56D3844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B856FE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921E268"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MODUL ȘI CALEA(CĂILE) DE ADMINISTRARE</w:t>
      </w:r>
    </w:p>
    <w:p w14:paraId="43F7773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7A44A4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44C13C9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443F11D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429BADB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64D63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C7B02C6"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76265D5D"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8D8A728"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6A91726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8E0026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4C95A2C"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ALTĂ(E) ATENȚIONARE(ĂRI) SPECIALĂ(E), DACĂ ESTE(SUNT) NECESARĂ(E)</w:t>
      </w:r>
    </w:p>
    <w:p w14:paraId="6B9536A1"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65DA703"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61DD06EA"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DATA DE EXPIRARE</w:t>
      </w:r>
    </w:p>
    <w:p w14:paraId="775F1D44"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6F2A6E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EXP</w:t>
      </w:r>
    </w:p>
    <w:p w14:paraId="75F8ABE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FE69BA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CEEF385"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CONDIȚII SPECIALE DE PĂSTRARE</w:t>
      </w:r>
    </w:p>
    <w:p w14:paraId="66010D94"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172E5EB"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3FEB4B94"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40BF3320"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02191B9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844E001"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25523FEA"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5F6AAB4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A3AAB2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7C3B1A8"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09835B5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54D6C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44BF670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7DE06B3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257EA1A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Olanda</w:t>
      </w:r>
    </w:p>
    <w:p w14:paraId="060C81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8C4585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7DD5E7"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 xml:space="preserve">NUMĂRUL(ELE) AUTORIZAȚIEI DE PUNERE PE PIAȚĂ </w:t>
      </w:r>
    </w:p>
    <w:p w14:paraId="6983BFA7" w14:textId="77777777" w:rsidR="00C04CAD" w:rsidRDefault="00C04CAD">
      <w:pPr>
        <w:tabs>
          <w:tab w:val="clear" w:pos="567"/>
        </w:tabs>
        <w:autoSpaceDE w:val="0"/>
        <w:autoSpaceDN w:val="0"/>
        <w:adjustRightInd w:val="0"/>
        <w:spacing w:line="240" w:lineRule="auto"/>
      </w:pPr>
    </w:p>
    <w:p w14:paraId="7E5C6778" w14:textId="77777777" w:rsidR="00C04CAD" w:rsidRDefault="00060E34">
      <w:pPr>
        <w:tabs>
          <w:tab w:val="clear" w:pos="567"/>
        </w:tabs>
        <w:autoSpaceDE w:val="0"/>
        <w:autoSpaceDN w:val="0"/>
        <w:adjustRightInd w:val="0"/>
        <w:spacing w:line="240" w:lineRule="auto"/>
        <w:outlineLvl w:val="0"/>
        <w:rPr>
          <w:rFonts w:eastAsia="MS Gothic"/>
          <w:sz w:val="24"/>
          <w:szCs w:val="22"/>
          <w:lang w:eastAsia="en-US" w:bidi="ar-SA"/>
        </w:rPr>
      </w:pPr>
      <w:r>
        <w:rPr>
          <w:color w:val="000000"/>
        </w:rPr>
        <w:t>EU/1/16/1164/001</w:t>
      </w:r>
    </w:p>
    <w:p w14:paraId="39FA65D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621139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DFA3E35"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SERIA DE FABRICAȚIE&lt;, CODURILE DONAȚIEI ȘI MEDICAMENTULUI&gt;</w:t>
      </w:r>
    </w:p>
    <w:p w14:paraId="14315EB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50BFFD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786338D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8795F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991489A"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CLASIFICARE GENERALĂ PRIVIND MODUL DE ELIBERARE</w:t>
      </w:r>
    </w:p>
    <w:p w14:paraId="759AF8EF"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554CE37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1BFCCDD"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INSTRUCȚIUNI DE UTILIZARE</w:t>
      </w:r>
    </w:p>
    <w:p w14:paraId="3622F25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B77B9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B0E8451"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szCs w:val="22"/>
          <w:lang w:eastAsia="en-US" w:bidi="ar-SA"/>
        </w:rPr>
      </w:pPr>
      <w:r>
        <w:rPr>
          <w:rFonts w:eastAsia="MS Mincho"/>
          <w:b/>
          <w:szCs w:val="22"/>
          <w:lang w:eastAsia="en-US" w:bidi="ar-SA"/>
        </w:rPr>
        <w:t>INFORMAȚII ÎN BRAILLE</w:t>
      </w:r>
    </w:p>
    <w:p w14:paraId="16F6CD2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5290DB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20 mg/0,4 ml seringă</w:t>
      </w:r>
    </w:p>
    <w:p w14:paraId="62FFCFF7"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ADA1033"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6AAC235B"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i/>
          <w:szCs w:val="22"/>
          <w:lang w:eastAsia="en-US" w:bidi="ar-SA"/>
        </w:rPr>
      </w:pPr>
      <w:r>
        <w:rPr>
          <w:rFonts w:eastAsia="MS Mincho"/>
          <w:b/>
          <w:szCs w:val="22"/>
          <w:lang w:eastAsia="en-US" w:bidi="ar-SA"/>
        </w:rPr>
        <w:t>IDENTIFICATOR UNIC - COD DE BARE BIDIMENSIONAL</w:t>
      </w:r>
    </w:p>
    <w:p w14:paraId="68D5480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93A0D70"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23225F0D" w14:textId="77777777" w:rsidR="00C04CAD" w:rsidRDefault="00C04CAD">
      <w:pPr>
        <w:tabs>
          <w:tab w:val="clear" w:pos="567"/>
        </w:tabs>
        <w:autoSpaceDE w:val="0"/>
        <w:autoSpaceDN w:val="0"/>
        <w:adjustRightInd w:val="0"/>
        <w:spacing w:line="240" w:lineRule="auto"/>
        <w:rPr>
          <w:rFonts w:eastAsia="MS Gothic"/>
          <w:szCs w:val="22"/>
          <w:highlight w:val="lightGray"/>
          <w:lang w:eastAsia="en-US" w:bidi="ar-SA"/>
        </w:rPr>
      </w:pPr>
    </w:p>
    <w:p w14:paraId="78A535A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0785BA" w14:textId="77777777" w:rsidR="00C04CAD" w:rsidRDefault="00060E34">
      <w:pPr>
        <w:keepNext/>
        <w:numPr>
          <w:ilvl w:val="1"/>
          <w:numId w:val="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i/>
          <w:szCs w:val="22"/>
          <w:lang w:eastAsia="en-US" w:bidi="ar-SA"/>
        </w:rPr>
      </w:pPr>
      <w:r>
        <w:rPr>
          <w:rFonts w:eastAsia="MS Mincho"/>
          <w:b/>
          <w:szCs w:val="22"/>
          <w:lang w:eastAsia="en-US" w:bidi="ar-SA"/>
        </w:rPr>
        <w:t>IDENTIFICATOR UNIC - DATE LIZIBILE PENTRU PERSOANE</w:t>
      </w:r>
    </w:p>
    <w:p w14:paraId="3CA236C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61BE35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66ECFD7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2CC45995"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lang w:eastAsia="en-US" w:bidi="ar-SA"/>
        </w:rPr>
        <w:t>NN</w:t>
      </w:r>
    </w:p>
    <w:p w14:paraId="03AD6813" w14:textId="77777777" w:rsidR="00C04CAD" w:rsidRDefault="00060E34">
      <w:pPr>
        <w:tabs>
          <w:tab w:val="clear" w:pos="567"/>
        </w:tabs>
        <w:autoSpaceDE w:val="0"/>
        <w:autoSpaceDN w:val="0"/>
        <w:adjustRightInd w:val="0"/>
        <w:spacing w:line="240" w:lineRule="auto"/>
        <w:rPr>
          <w:rFonts w:eastAsia="MS Mincho"/>
          <w:b/>
          <w:szCs w:val="22"/>
          <w:lang w:eastAsia="en-US" w:bidi="ar-SA"/>
        </w:rPr>
      </w:pPr>
      <w:r>
        <w:rPr>
          <w:rFonts w:eastAsia="MS Mincho"/>
          <w:szCs w:val="22"/>
          <w:lang w:eastAsia="en-US" w:bidi="ar-SA"/>
        </w:rPr>
        <w:br w:type="page"/>
      </w:r>
    </w:p>
    <w:p w14:paraId="2E7E4432"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MINIMUM DE INFORMAȚII CARE TREBUIE SĂ APARĂ PE AMBALAJELE PRIMARE MICI</w:t>
      </w:r>
    </w:p>
    <w:p w14:paraId="3D0AFAD8"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694611A6"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ETICHETĂ SERINGĂ</w:t>
      </w:r>
    </w:p>
    <w:p w14:paraId="401FFDB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654813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2ECDB04" w14:textId="77777777" w:rsidR="00C04CAD" w:rsidRDefault="00060E34">
      <w:pPr>
        <w:numPr>
          <w:ilvl w:val="0"/>
          <w:numId w:val="2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DENUMIREA COMERCIALĂ A MEDICAMENTULUI ȘI CALEA(CĂILE) DE ADMINISTRARE</w:t>
      </w:r>
    </w:p>
    <w:p w14:paraId="239AF45C"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0A9D20FA" w14:textId="77777777" w:rsidR="00C04CAD" w:rsidRDefault="00060E34">
      <w:pPr>
        <w:tabs>
          <w:tab w:val="clear" w:pos="567"/>
        </w:tabs>
        <w:autoSpaceDE w:val="0"/>
        <w:autoSpaceDN w:val="0"/>
        <w:adjustRightInd w:val="0"/>
        <w:spacing w:line="240" w:lineRule="auto"/>
        <w:rPr>
          <w:rFonts w:eastAsia="MS Gothic"/>
          <w:szCs w:val="22"/>
          <w:lang w:eastAsia="ja-JP" w:bidi="ar-SA"/>
        </w:rPr>
      </w:pPr>
      <w:r>
        <w:rPr>
          <w:rFonts w:eastAsia="MS Mincho"/>
          <w:szCs w:val="22"/>
          <w:lang w:eastAsia="ja-JP" w:bidi="ar-SA"/>
        </w:rPr>
        <w:t>AMGEVITA 20 mg injec</w:t>
      </w:r>
      <w:r>
        <w:rPr>
          <w:rFonts w:eastAsia="MS Mincho"/>
          <w:szCs w:val="22"/>
          <w:lang w:eastAsia="en-US" w:bidi="ar-SA"/>
        </w:rPr>
        <w:t>ţ</w:t>
      </w:r>
      <w:r>
        <w:rPr>
          <w:rFonts w:eastAsia="MS Mincho"/>
          <w:szCs w:val="22"/>
          <w:lang w:eastAsia="ja-JP" w:bidi="ar-SA"/>
        </w:rPr>
        <w:t>ie</w:t>
      </w:r>
    </w:p>
    <w:p w14:paraId="4906C919"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245D995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ja-JP" w:bidi="ar-SA"/>
        </w:rPr>
        <w:t>SC</w:t>
      </w:r>
    </w:p>
    <w:p w14:paraId="35D0E04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9398BD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B694D8" w14:textId="77777777" w:rsidR="00C04CAD" w:rsidRDefault="00060E34">
      <w:pPr>
        <w:numPr>
          <w:ilvl w:val="0"/>
          <w:numId w:val="2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3A78DED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A0A873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0F16AE0" w14:textId="77777777" w:rsidR="00C04CAD" w:rsidRDefault="00060E34">
      <w:pPr>
        <w:numPr>
          <w:ilvl w:val="0"/>
          <w:numId w:val="2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189DC17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713742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405CD7E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4D3DF5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2BA9FB" w14:textId="77777777" w:rsidR="00C04CAD" w:rsidRDefault="00060E34">
      <w:pPr>
        <w:numPr>
          <w:ilvl w:val="0"/>
          <w:numId w:val="2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1924BD74"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3184D89E"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5076F832"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7F1C64FC"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7F5B1B0B" w14:textId="77777777" w:rsidR="00C04CAD" w:rsidRDefault="00060E34">
      <w:pPr>
        <w:numPr>
          <w:ilvl w:val="0"/>
          <w:numId w:val="2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CONȚINUTUL PE MASĂ, VOLUM SAU UNITATEA DE DOZĂ</w:t>
      </w:r>
    </w:p>
    <w:p w14:paraId="65296CCE"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014005C3" w14:textId="77777777" w:rsidR="00C04CAD" w:rsidRDefault="00060E34">
      <w:pPr>
        <w:tabs>
          <w:tab w:val="clear" w:pos="567"/>
        </w:tabs>
        <w:autoSpaceDE w:val="0"/>
        <w:autoSpaceDN w:val="0"/>
        <w:adjustRightInd w:val="0"/>
        <w:spacing w:line="240" w:lineRule="auto"/>
        <w:ind w:right="113"/>
        <w:rPr>
          <w:rFonts w:eastAsia="MS Gothic"/>
          <w:szCs w:val="22"/>
          <w:lang w:eastAsia="en-US" w:bidi="ar-SA"/>
        </w:rPr>
      </w:pPr>
      <w:r>
        <w:rPr>
          <w:rFonts w:eastAsia="MS Mincho"/>
          <w:szCs w:val="22"/>
          <w:lang w:eastAsia="en-US" w:bidi="ar-SA"/>
        </w:rPr>
        <w:t>0,4 ml</w:t>
      </w:r>
    </w:p>
    <w:p w14:paraId="1029C509"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2D78B0C8"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0A22A4B7" w14:textId="77777777" w:rsidR="00C04CAD" w:rsidRDefault="00060E34">
      <w:pPr>
        <w:numPr>
          <w:ilvl w:val="0"/>
          <w:numId w:val="20"/>
        </w:numPr>
        <w:pBdr>
          <w:top w:val="single" w:sz="4" w:space="1" w:color="auto"/>
          <w:left w:val="single" w:sz="4" w:space="4" w:color="auto"/>
          <w:bottom w:val="single" w:sz="4" w:space="0"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6E15B737"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52229A0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7CB785"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szCs w:val="22"/>
          <w:lang w:eastAsia="en-US" w:bidi="ar-SA"/>
        </w:rPr>
        <w:br w:type="page"/>
      </w:r>
    </w:p>
    <w:p w14:paraId="0F993825"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040B9A38"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4C28015A"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SERINGĂ PREUMPLUTĂ</w:t>
      </w:r>
    </w:p>
    <w:p w14:paraId="35C8BD9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11D8F1C" w14:textId="77777777" w:rsidR="00C04CAD" w:rsidRDefault="00C04CAD">
      <w:pPr>
        <w:autoSpaceDE w:val="0"/>
        <w:autoSpaceDN w:val="0"/>
        <w:adjustRightInd w:val="0"/>
        <w:spacing w:line="240" w:lineRule="auto"/>
        <w:rPr>
          <w:rFonts w:eastAsia="MS Mincho"/>
          <w:szCs w:val="22"/>
          <w:lang w:eastAsia="en-US" w:bidi="ar-SA"/>
        </w:rPr>
      </w:pPr>
    </w:p>
    <w:p w14:paraId="160815CB"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4F38C085"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F3E9BDC"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40 mg soluţie injectabilă în seringă preumplută</w:t>
      </w:r>
    </w:p>
    <w:p w14:paraId="2FEE363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60A1C58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2389B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366D167"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3A7C1E6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6A83CC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Fiecare seringă preumplută conţine adalimumab 40 mg în 0,8 ml soluţie.</w:t>
      </w:r>
    </w:p>
    <w:p w14:paraId="3F30577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C983A6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705A13E"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6E078BD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28D4393"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acetic glacial, sucroză, polisorbat80, hidroxid de sodiu și apă pentru preparate injectabile.</w:t>
      </w:r>
    </w:p>
    <w:p w14:paraId="7066315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B80001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8906DC4"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77CFB1E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5E8992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7748237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258666C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1 seringă preumplută.</w:t>
      </w:r>
    </w:p>
    <w:p w14:paraId="30219737"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highlight w:val="lightGray"/>
          <w:lang w:eastAsia="en-US" w:bidi="ar-SA"/>
        </w:rPr>
        <w:t>2 seringi preumplute.</w:t>
      </w:r>
    </w:p>
    <w:p w14:paraId="13B2F84B"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highlight w:val="lightGray"/>
          <w:lang w:eastAsia="en-US" w:bidi="ar-SA"/>
        </w:rPr>
        <w:t>4 seringi preumplute.</w:t>
      </w:r>
    </w:p>
    <w:p w14:paraId="53EC0A8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15C6FC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238E880"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0C3C7415"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63E0D9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159C2A0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2305360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19F631B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DEE3E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5DA9A6B"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6E62D1D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019E0B4"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5BCE35E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0F7AB7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8793944"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2D969B0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5C72827"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445C1F42"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1D27FE92"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25DE77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0786154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DEA219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A17D341"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5F105B4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18B6806"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2C2279DC"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41A9B1EE"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261BDC7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5E5956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3A05D0B"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5A1E285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1FD838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5AC365A"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3AADDFC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B6EC14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22F91DB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49F6421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0753085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17738EC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384ED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63567F2"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59E1809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B0ED3E2"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EU/1/16/1164/002</w:t>
      </w:r>
      <w:r>
        <w:rPr>
          <w:rFonts w:eastAsia="MS Mincho"/>
          <w:szCs w:val="22"/>
          <w:highlight w:val="lightGray"/>
          <w:lang w:eastAsia="en-US" w:bidi="ar-SA"/>
        </w:rPr>
        <w:t>1 seringă preumplută</w:t>
      </w:r>
    </w:p>
    <w:p w14:paraId="42E35354"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highlight w:val="lightGray"/>
        </w:rPr>
        <w:t>EU/1/16/1164/003</w:t>
      </w:r>
      <w:r>
        <w:rPr>
          <w:rFonts w:eastAsia="MS Mincho"/>
          <w:szCs w:val="22"/>
          <w:highlight w:val="lightGray"/>
          <w:lang w:eastAsia="en-US" w:bidi="ar-SA"/>
        </w:rPr>
        <w:t xml:space="preserve"> 2 seringi preumplute</w:t>
      </w:r>
    </w:p>
    <w:p w14:paraId="26008945"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highlight w:val="lightGray"/>
        </w:rPr>
        <w:t>EU/1/16/1164/004</w:t>
      </w:r>
      <w:r>
        <w:rPr>
          <w:rFonts w:eastAsia="MS Mincho"/>
          <w:szCs w:val="22"/>
          <w:highlight w:val="lightGray"/>
          <w:lang w:eastAsia="en-US" w:bidi="ar-SA"/>
        </w:rPr>
        <w:t xml:space="preserve"> 4 seringi preumplute</w:t>
      </w:r>
    </w:p>
    <w:p w14:paraId="7D9EE80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38CEE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2656256"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FABRICAȚIE&lt;, CODURILE DONAȚIEI ȘI MEDICAMENTULUI&gt;</w:t>
      </w:r>
    </w:p>
    <w:p w14:paraId="267A337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162FB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2331F34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E4F86B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BEF3D91"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0419DAE4" w14:textId="77777777" w:rsidR="00C04CAD" w:rsidRDefault="00C04CAD">
      <w:pPr>
        <w:autoSpaceDE w:val="0"/>
        <w:autoSpaceDN w:val="0"/>
        <w:adjustRightInd w:val="0"/>
        <w:spacing w:line="240" w:lineRule="auto"/>
        <w:rPr>
          <w:rFonts w:eastAsia="MS Mincho"/>
          <w:i/>
          <w:szCs w:val="22"/>
          <w:lang w:eastAsia="en-US" w:bidi="ar-SA"/>
        </w:rPr>
      </w:pPr>
    </w:p>
    <w:p w14:paraId="6EEF0FED" w14:textId="77777777" w:rsidR="00C04CAD" w:rsidRDefault="00C04CAD">
      <w:pPr>
        <w:autoSpaceDE w:val="0"/>
        <w:autoSpaceDN w:val="0"/>
        <w:adjustRightInd w:val="0"/>
        <w:spacing w:line="240" w:lineRule="auto"/>
        <w:rPr>
          <w:rFonts w:eastAsia="MS Mincho"/>
          <w:szCs w:val="22"/>
          <w:lang w:eastAsia="en-US" w:bidi="ar-SA"/>
        </w:rPr>
      </w:pPr>
    </w:p>
    <w:p w14:paraId="6442F2A7"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7763DEBC" w14:textId="77777777" w:rsidR="00C04CAD" w:rsidRDefault="00C04CAD">
      <w:pPr>
        <w:autoSpaceDE w:val="0"/>
        <w:autoSpaceDN w:val="0"/>
        <w:adjustRightInd w:val="0"/>
        <w:spacing w:line="240" w:lineRule="auto"/>
        <w:rPr>
          <w:rFonts w:eastAsia="MS Mincho"/>
          <w:szCs w:val="22"/>
          <w:lang w:eastAsia="en-US" w:bidi="ar-SA"/>
        </w:rPr>
      </w:pPr>
    </w:p>
    <w:p w14:paraId="4D64CBFB" w14:textId="77777777" w:rsidR="00C04CAD" w:rsidRDefault="00C04CAD">
      <w:pPr>
        <w:autoSpaceDE w:val="0"/>
        <w:autoSpaceDN w:val="0"/>
        <w:adjustRightInd w:val="0"/>
        <w:spacing w:line="240" w:lineRule="auto"/>
        <w:rPr>
          <w:rFonts w:eastAsia="MS Mincho"/>
          <w:szCs w:val="22"/>
          <w:lang w:eastAsia="en-US" w:bidi="ar-SA"/>
        </w:rPr>
      </w:pPr>
    </w:p>
    <w:p w14:paraId="2EF2356D"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1CF856E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E2A167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mg/0,8 ml seringă</w:t>
      </w:r>
    </w:p>
    <w:p w14:paraId="2FAC7819"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068818A6"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2E26494F"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0DD72D99" w14:textId="77777777" w:rsidR="00C04CAD" w:rsidRDefault="00C04CAD">
      <w:pPr>
        <w:autoSpaceDE w:val="0"/>
        <w:autoSpaceDN w:val="0"/>
        <w:adjustRightInd w:val="0"/>
        <w:spacing w:line="240" w:lineRule="auto"/>
        <w:rPr>
          <w:rFonts w:eastAsia="MS Mincho"/>
          <w:szCs w:val="22"/>
          <w:lang w:eastAsia="en-US" w:bidi="ar-SA"/>
        </w:rPr>
      </w:pPr>
    </w:p>
    <w:p w14:paraId="12FD0E84"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11229FD1" w14:textId="77777777" w:rsidR="00C04CAD" w:rsidRDefault="00C04CAD">
      <w:pPr>
        <w:autoSpaceDE w:val="0"/>
        <w:autoSpaceDN w:val="0"/>
        <w:adjustRightInd w:val="0"/>
        <w:spacing w:line="240" w:lineRule="auto"/>
        <w:rPr>
          <w:rFonts w:eastAsia="MS Mincho"/>
          <w:szCs w:val="22"/>
          <w:highlight w:val="lightGray"/>
          <w:lang w:eastAsia="en-US" w:bidi="ar-SA"/>
        </w:rPr>
      </w:pPr>
    </w:p>
    <w:p w14:paraId="7859E1CD" w14:textId="77777777" w:rsidR="00C04CAD" w:rsidRDefault="00C04CAD">
      <w:pPr>
        <w:autoSpaceDE w:val="0"/>
        <w:autoSpaceDN w:val="0"/>
        <w:adjustRightInd w:val="0"/>
        <w:spacing w:line="240" w:lineRule="auto"/>
        <w:rPr>
          <w:rFonts w:eastAsia="MS Mincho"/>
          <w:szCs w:val="22"/>
          <w:lang w:eastAsia="en-US" w:bidi="ar-SA"/>
        </w:rPr>
      </w:pPr>
    </w:p>
    <w:p w14:paraId="2B385D40" w14:textId="77777777" w:rsidR="00C04CAD" w:rsidRDefault="00060E34">
      <w:pPr>
        <w:keepNext/>
        <w:numPr>
          <w:ilvl w:val="0"/>
          <w:numId w:val="2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2C5E29C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374B23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1EE5F7C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775F09D8" w14:textId="77777777" w:rsidR="00C04CAD" w:rsidRDefault="00060E34">
      <w:pPr>
        <w:shd w:val="clear" w:color="auto" w:fill="FFFFFF"/>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1409960A" w14:textId="77777777" w:rsidR="00C04CAD" w:rsidRDefault="00060E34">
      <w:pPr>
        <w:shd w:val="clear" w:color="auto" w:fill="FFFFFF"/>
        <w:tabs>
          <w:tab w:val="clear" w:pos="567"/>
        </w:tabs>
        <w:autoSpaceDE w:val="0"/>
        <w:autoSpaceDN w:val="0"/>
        <w:adjustRightInd w:val="0"/>
        <w:spacing w:line="240" w:lineRule="auto"/>
        <w:rPr>
          <w:rFonts w:eastAsia="MS Mincho"/>
          <w:szCs w:val="22"/>
          <w:lang w:eastAsia="en-US" w:bidi="ar-SA"/>
        </w:rPr>
      </w:pPr>
      <w:r>
        <w:rPr>
          <w:rFonts w:eastAsia="MS Mincho"/>
          <w:vanish/>
          <w:szCs w:val="22"/>
          <w:lang w:eastAsia="en-US" w:bidi="ar-SA"/>
        </w:rPr>
        <w:br w:type="page"/>
      </w:r>
    </w:p>
    <w:p w14:paraId="4ECDA6C5"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4283A2B1"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4F0532F2"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1580552B"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AMBALAJ SECUNDAR PENTRUAMBALAJUL MULTIPLU AL SERINGIIPREUMPLUTE (cu chenar albastru)</w:t>
      </w:r>
    </w:p>
    <w:p w14:paraId="775011A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5C16AD6" w14:textId="77777777" w:rsidR="00C04CAD" w:rsidRDefault="00C04CAD">
      <w:pPr>
        <w:autoSpaceDE w:val="0"/>
        <w:autoSpaceDN w:val="0"/>
        <w:adjustRightInd w:val="0"/>
        <w:spacing w:line="240" w:lineRule="auto"/>
        <w:rPr>
          <w:rFonts w:eastAsia="MS Mincho"/>
          <w:szCs w:val="22"/>
          <w:lang w:eastAsia="en-US" w:bidi="ar-SA"/>
        </w:rPr>
      </w:pPr>
    </w:p>
    <w:p w14:paraId="782C7EA9"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hanging="1650"/>
        <w:outlineLvl w:val="0"/>
        <w:rPr>
          <w:rFonts w:eastAsia="MS Mincho"/>
          <w:szCs w:val="22"/>
          <w:lang w:eastAsia="en-US" w:bidi="ar-SA"/>
        </w:rPr>
      </w:pPr>
      <w:r>
        <w:rPr>
          <w:rFonts w:eastAsia="MS Mincho"/>
          <w:b/>
          <w:szCs w:val="22"/>
          <w:lang w:eastAsia="en-US" w:bidi="ar-SA"/>
        </w:rPr>
        <w:t>DENUMIREA COMERCIALĂ A MEDICAMENTULUI</w:t>
      </w:r>
    </w:p>
    <w:p w14:paraId="5E042150"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F7EE715" w14:textId="77777777" w:rsidR="00C04CAD" w:rsidRDefault="00060E34">
      <w:pPr>
        <w:tabs>
          <w:tab w:val="clear" w:pos="567"/>
        </w:tabs>
        <w:autoSpaceDE w:val="0"/>
        <w:autoSpaceDN w:val="0"/>
        <w:adjustRightInd w:val="0"/>
        <w:spacing w:line="240" w:lineRule="auto"/>
      </w:pPr>
      <w:r>
        <w:rPr>
          <w:rFonts w:eastAsia="MS Mincho"/>
          <w:spacing w:val="-1"/>
          <w:szCs w:val="22"/>
          <w:lang w:eastAsia="en-US" w:bidi="ar-SA"/>
        </w:rPr>
        <w:t>AMGEVITA</w:t>
      </w:r>
      <w:r>
        <w:t xml:space="preserve"> 40 </w:t>
      </w:r>
      <w:r>
        <w:rPr>
          <w:spacing w:val="-2"/>
        </w:rPr>
        <w:t>m</w:t>
      </w:r>
      <w:r>
        <w:t>g</w:t>
      </w:r>
      <w:r>
        <w:rPr>
          <w:spacing w:val="-3"/>
        </w:rPr>
        <w:t xml:space="preserve"> </w:t>
      </w:r>
      <w:r>
        <w:t>so</w:t>
      </w:r>
      <w:r>
        <w:rPr>
          <w:spacing w:val="1"/>
        </w:rPr>
        <w:t>l</w:t>
      </w:r>
      <w:r>
        <w:t>u</w:t>
      </w:r>
      <w:r>
        <w:rPr>
          <w:spacing w:val="-2"/>
        </w:rPr>
        <w:t>ţ</w:t>
      </w:r>
      <w:r>
        <w:rPr>
          <w:spacing w:val="1"/>
        </w:rPr>
        <w:t>i</w:t>
      </w:r>
      <w:r>
        <w:t>e</w:t>
      </w:r>
      <w:r>
        <w:rPr>
          <w:spacing w:val="-2"/>
        </w:rPr>
        <w:t xml:space="preserve"> </w:t>
      </w:r>
      <w:r>
        <w:rPr>
          <w:spacing w:val="1"/>
        </w:rPr>
        <w:t>i</w:t>
      </w:r>
      <w:r>
        <w:rPr>
          <w:spacing w:val="-3"/>
        </w:rPr>
        <w:t>n</w:t>
      </w:r>
      <w:r>
        <w:rPr>
          <w:spacing w:val="1"/>
        </w:rPr>
        <w:t>j</w:t>
      </w:r>
      <w:r>
        <w:t>e</w:t>
      </w:r>
      <w:r>
        <w:rPr>
          <w:spacing w:val="-3"/>
        </w:rPr>
        <w:t>c</w:t>
      </w:r>
      <w:r>
        <w:rPr>
          <w:spacing w:val="1"/>
        </w:rPr>
        <w:t>t</w:t>
      </w:r>
      <w:r>
        <w:t>a</w:t>
      </w:r>
      <w:r>
        <w:rPr>
          <w:spacing w:val="-3"/>
        </w:rPr>
        <w:t>b</w:t>
      </w:r>
      <w:r>
        <w:rPr>
          <w:spacing w:val="1"/>
        </w:rPr>
        <w:t>il</w:t>
      </w:r>
      <w:r>
        <w:t>ă</w:t>
      </w:r>
      <w:r>
        <w:rPr>
          <w:spacing w:val="-2"/>
        </w:rPr>
        <w:t xml:space="preserve"> </w:t>
      </w:r>
      <w:r>
        <w:rPr>
          <w:spacing w:val="1"/>
        </w:rPr>
        <w:t>î</w:t>
      </w:r>
      <w:r>
        <w:t>n</w:t>
      </w:r>
      <w:r>
        <w:rPr>
          <w:spacing w:val="-3"/>
        </w:rPr>
        <w:t xml:space="preserve"> </w:t>
      </w:r>
      <w:r>
        <w:t>se</w:t>
      </w:r>
      <w:r>
        <w:rPr>
          <w:spacing w:val="-2"/>
        </w:rPr>
        <w:t>r</w:t>
      </w:r>
      <w:r>
        <w:rPr>
          <w:spacing w:val="1"/>
        </w:rPr>
        <w:t>i</w:t>
      </w:r>
      <w:r>
        <w:t>n</w:t>
      </w:r>
      <w:r>
        <w:rPr>
          <w:spacing w:val="-3"/>
        </w:rPr>
        <w:t>g</w:t>
      </w:r>
      <w:r>
        <w:t>ă preumplută</w:t>
      </w:r>
    </w:p>
    <w:p w14:paraId="2273F57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559D5C4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0E90B0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7589DC0"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7DA8ADE8"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B24915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pacing w:val="-1"/>
          <w:szCs w:val="22"/>
          <w:lang w:eastAsia="en-US" w:bidi="ar-SA"/>
        </w:rPr>
        <w:t>F</w:t>
      </w:r>
      <w:r>
        <w:rPr>
          <w:rFonts w:eastAsia="MS Mincho"/>
          <w:spacing w:val="1"/>
          <w:szCs w:val="22"/>
          <w:lang w:eastAsia="en-US" w:bidi="ar-SA"/>
        </w:rPr>
        <w:t>i</w:t>
      </w:r>
      <w:r>
        <w:rPr>
          <w:rFonts w:eastAsia="MS Mincho"/>
          <w:szCs w:val="22"/>
          <w:lang w:eastAsia="en-US" w:bidi="ar-SA"/>
        </w:rPr>
        <w:t>ec</w:t>
      </w:r>
      <w:r>
        <w:rPr>
          <w:rFonts w:eastAsia="MS Mincho"/>
          <w:spacing w:val="-3"/>
          <w:szCs w:val="22"/>
          <w:lang w:eastAsia="en-US" w:bidi="ar-SA"/>
        </w:rPr>
        <w:t>a</w:t>
      </w:r>
      <w:r>
        <w:rPr>
          <w:rFonts w:eastAsia="MS Mincho"/>
          <w:szCs w:val="22"/>
          <w:lang w:eastAsia="en-US" w:bidi="ar-SA"/>
        </w:rPr>
        <w:t>re</w:t>
      </w:r>
      <w:r>
        <w:rPr>
          <w:rFonts w:eastAsia="MS Mincho"/>
          <w:spacing w:val="-2"/>
          <w:szCs w:val="22"/>
          <w:lang w:eastAsia="en-US" w:bidi="ar-SA"/>
        </w:rPr>
        <w:t xml:space="preserve"> </w:t>
      </w:r>
      <w:r>
        <w:rPr>
          <w:rFonts w:eastAsia="MS Mincho"/>
          <w:szCs w:val="22"/>
          <w:lang w:eastAsia="en-US" w:bidi="ar-SA"/>
        </w:rPr>
        <w:t>se</w:t>
      </w:r>
      <w:r>
        <w:rPr>
          <w:rFonts w:eastAsia="MS Mincho"/>
          <w:spacing w:val="-2"/>
          <w:szCs w:val="22"/>
          <w:lang w:eastAsia="en-US" w:bidi="ar-SA"/>
        </w:rPr>
        <w:t>r</w:t>
      </w:r>
      <w:r>
        <w:rPr>
          <w:rFonts w:eastAsia="MS Mincho"/>
          <w:spacing w:val="1"/>
          <w:szCs w:val="22"/>
          <w:lang w:eastAsia="en-US" w:bidi="ar-SA"/>
        </w:rPr>
        <w:t>i</w:t>
      </w:r>
      <w:r>
        <w:rPr>
          <w:rFonts w:eastAsia="MS Mincho"/>
          <w:szCs w:val="22"/>
          <w:lang w:eastAsia="en-US" w:bidi="ar-SA"/>
        </w:rPr>
        <w:t>n</w:t>
      </w:r>
      <w:r>
        <w:rPr>
          <w:rFonts w:eastAsia="MS Mincho"/>
          <w:spacing w:val="-3"/>
          <w:szCs w:val="22"/>
          <w:lang w:eastAsia="en-US" w:bidi="ar-SA"/>
        </w:rPr>
        <w:t>g</w:t>
      </w:r>
      <w:r>
        <w:rPr>
          <w:rFonts w:eastAsia="MS Mincho"/>
          <w:szCs w:val="22"/>
          <w:lang w:eastAsia="en-US" w:bidi="ar-SA"/>
        </w:rPr>
        <w:t>ă preumplută co</w:t>
      </w:r>
      <w:r>
        <w:rPr>
          <w:rFonts w:eastAsia="MS Mincho"/>
          <w:spacing w:val="-3"/>
          <w:szCs w:val="22"/>
          <w:lang w:eastAsia="en-US" w:bidi="ar-SA"/>
        </w:rPr>
        <w:t>n</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ne a</w:t>
      </w:r>
      <w:r>
        <w:rPr>
          <w:rFonts w:eastAsia="MS Mincho"/>
          <w:spacing w:val="-3"/>
          <w:szCs w:val="22"/>
          <w:lang w:eastAsia="en-US" w:bidi="ar-SA"/>
        </w:rPr>
        <w:t>d</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4"/>
          <w:szCs w:val="22"/>
          <w:lang w:eastAsia="en-US" w:bidi="ar-SA"/>
        </w:rPr>
        <w:t>m</w:t>
      </w:r>
      <w:r>
        <w:rPr>
          <w:rFonts w:eastAsia="MS Mincho"/>
          <w:szCs w:val="22"/>
          <w:lang w:eastAsia="en-US" w:bidi="ar-SA"/>
        </w:rPr>
        <w:t>u</w:t>
      </w:r>
      <w:r>
        <w:rPr>
          <w:rFonts w:eastAsia="MS Mincho"/>
          <w:spacing w:val="-4"/>
          <w:szCs w:val="22"/>
          <w:lang w:eastAsia="en-US" w:bidi="ar-SA"/>
        </w:rPr>
        <w:t>m</w:t>
      </w:r>
      <w:r>
        <w:rPr>
          <w:rFonts w:eastAsia="MS Mincho"/>
          <w:szCs w:val="22"/>
          <w:lang w:eastAsia="en-US" w:bidi="ar-SA"/>
        </w:rPr>
        <w:t>ab 40</w:t>
      </w:r>
      <w:r>
        <w:rPr>
          <w:rFonts w:eastAsia="MS Mincho"/>
          <w:spacing w:val="2"/>
          <w:szCs w:val="22"/>
          <w:lang w:eastAsia="en-US" w:bidi="ar-SA"/>
        </w:rPr>
        <w:t> </w:t>
      </w:r>
      <w:r>
        <w:rPr>
          <w:rFonts w:eastAsia="MS Mincho"/>
          <w:spacing w:val="-4"/>
          <w:szCs w:val="22"/>
          <w:lang w:eastAsia="en-US" w:bidi="ar-SA"/>
        </w:rPr>
        <w:t>m</w:t>
      </w:r>
      <w:r>
        <w:rPr>
          <w:rFonts w:eastAsia="MS Mincho"/>
          <w:spacing w:val="-3"/>
          <w:szCs w:val="22"/>
          <w:lang w:eastAsia="en-US" w:bidi="ar-SA"/>
        </w:rPr>
        <w:t>g</w:t>
      </w:r>
      <w:r>
        <w:rPr>
          <w:rFonts w:eastAsia="MS Mincho"/>
          <w:szCs w:val="22"/>
          <w:lang w:eastAsia="en-US" w:bidi="ar-SA"/>
        </w:rPr>
        <w:t xml:space="preserve"> </w:t>
      </w:r>
      <w:r>
        <w:rPr>
          <w:rFonts w:eastAsia="MS Mincho"/>
          <w:spacing w:val="1"/>
          <w:szCs w:val="22"/>
          <w:lang w:eastAsia="en-US" w:bidi="ar-SA"/>
        </w:rPr>
        <w:t>î</w:t>
      </w:r>
      <w:r>
        <w:rPr>
          <w:rFonts w:eastAsia="MS Mincho"/>
          <w:szCs w:val="22"/>
          <w:lang w:eastAsia="en-US" w:bidi="ar-SA"/>
        </w:rPr>
        <w:t>n 0,8 </w:t>
      </w:r>
      <w:r>
        <w:rPr>
          <w:rFonts w:eastAsia="MS Mincho"/>
          <w:spacing w:val="-4"/>
          <w:szCs w:val="22"/>
          <w:lang w:eastAsia="en-US" w:bidi="ar-SA"/>
        </w:rPr>
        <w:t>m</w:t>
      </w:r>
      <w:r>
        <w:rPr>
          <w:rFonts w:eastAsia="MS Mincho"/>
          <w:szCs w:val="22"/>
          <w:lang w:eastAsia="en-US" w:bidi="ar-SA"/>
        </w:rPr>
        <w:t>l solu</w:t>
      </w:r>
      <w:r>
        <w:rPr>
          <w:rFonts w:eastAsia="MS Mincho"/>
          <w:spacing w:val="1"/>
          <w:szCs w:val="22"/>
          <w:lang w:eastAsia="en-US" w:bidi="ar-SA"/>
        </w:rPr>
        <w:t>ţ</w:t>
      </w:r>
      <w:r>
        <w:rPr>
          <w:rFonts w:eastAsia="MS Mincho"/>
          <w:spacing w:val="-2"/>
          <w:szCs w:val="22"/>
          <w:lang w:eastAsia="en-US" w:bidi="ar-SA"/>
        </w:rPr>
        <w:t>ie</w:t>
      </w:r>
      <w:r>
        <w:rPr>
          <w:rFonts w:eastAsia="MS Mincho"/>
          <w:szCs w:val="22"/>
          <w:lang w:eastAsia="en-US" w:bidi="ar-SA"/>
        </w:rPr>
        <w:t>.</w:t>
      </w:r>
    </w:p>
    <w:p w14:paraId="54E8C4B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0D09CD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E1CD810"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1399CB5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E1B5CCB"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acetic glacial, sucroză, po</w:t>
      </w:r>
      <w:r>
        <w:rPr>
          <w:rFonts w:eastAsia="MS Mincho"/>
          <w:spacing w:val="1"/>
          <w:szCs w:val="22"/>
          <w:lang w:eastAsia="en-US" w:bidi="ar-SA"/>
        </w:rPr>
        <w:t>l</w:t>
      </w:r>
      <w:r>
        <w:rPr>
          <w:rFonts w:eastAsia="MS Mincho"/>
          <w:spacing w:val="-2"/>
          <w:szCs w:val="22"/>
          <w:lang w:eastAsia="en-US" w:bidi="ar-SA"/>
        </w:rPr>
        <w:t>i</w:t>
      </w:r>
      <w:r>
        <w:rPr>
          <w:rFonts w:eastAsia="MS Mincho"/>
          <w:szCs w:val="22"/>
          <w:lang w:eastAsia="en-US" w:bidi="ar-SA"/>
        </w:rPr>
        <w:t>sor</w:t>
      </w:r>
      <w:r>
        <w:rPr>
          <w:rFonts w:eastAsia="MS Mincho"/>
          <w:spacing w:val="-3"/>
          <w:szCs w:val="22"/>
          <w:lang w:eastAsia="en-US" w:bidi="ar-SA"/>
        </w:rPr>
        <w:t>b</w:t>
      </w:r>
      <w:r>
        <w:rPr>
          <w:rFonts w:eastAsia="MS Mincho"/>
          <w:szCs w:val="22"/>
          <w:lang w:eastAsia="en-US" w:bidi="ar-SA"/>
        </w:rPr>
        <w:t>at</w:t>
      </w:r>
      <w:r>
        <w:rPr>
          <w:rFonts w:eastAsia="MS Mincho"/>
          <w:spacing w:val="1"/>
          <w:szCs w:val="22"/>
          <w:lang w:eastAsia="en-US" w:bidi="ar-SA"/>
        </w:rPr>
        <w:t xml:space="preserve"> </w:t>
      </w:r>
      <w:r>
        <w:rPr>
          <w:rFonts w:eastAsia="MS Mincho"/>
          <w:spacing w:val="-3"/>
          <w:szCs w:val="22"/>
          <w:lang w:eastAsia="en-US" w:bidi="ar-SA"/>
        </w:rPr>
        <w:t>80, hidroxid de sodiu și a</w:t>
      </w:r>
      <w:r>
        <w:rPr>
          <w:rFonts w:eastAsia="MS Mincho"/>
          <w:szCs w:val="22"/>
          <w:lang w:eastAsia="en-US" w:bidi="ar-SA"/>
        </w:rPr>
        <w:t>pă pe</w:t>
      </w:r>
      <w:r>
        <w:rPr>
          <w:rFonts w:eastAsia="MS Mincho"/>
          <w:spacing w:val="-3"/>
          <w:szCs w:val="22"/>
          <w:lang w:eastAsia="en-US" w:bidi="ar-SA"/>
        </w:rPr>
        <w:t>n</w:t>
      </w:r>
      <w:r>
        <w:rPr>
          <w:rFonts w:eastAsia="MS Mincho"/>
          <w:spacing w:val="1"/>
          <w:szCs w:val="22"/>
          <w:lang w:eastAsia="en-US" w:bidi="ar-SA"/>
        </w:rPr>
        <w:t>t</w:t>
      </w:r>
      <w:r>
        <w:rPr>
          <w:rFonts w:eastAsia="MS Mincho"/>
          <w:szCs w:val="22"/>
          <w:lang w:eastAsia="en-US" w:bidi="ar-SA"/>
        </w:rPr>
        <w:t xml:space="preserve">ru </w:t>
      </w:r>
      <w:r>
        <w:rPr>
          <w:rFonts w:eastAsia="MS Mincho"/>
          <w:spacing w:val="-3"/>
          <w:szCs w:val="22"/>
          <w:lang w:eastAsia="en-US" w:bidi="ar-SA"/>
        </w:rPr>
        <w:t>p</w:t>
      </w:r>
      <w:r>
        <w:rPr>
          <w:rFonts w:eastAsia="MS Mincho"/>
          <w:szCs w:val="22"/>
          <w:lang w:eastAsia="en-US" w:bidi="ar-SA"/>
        </w:rPr>
        <w:t>re</w:t>
      </w:r>
      <w:r>
        <w:rPr>
          <w:rFonts w:eastAsia="MS Mincho"/>
          <w:spacing w:val="-3"/>
          <w:szCs w:val="22"/>
          <w:lang w:eastAsia="en-US" w:bidi="ar-SA"/>
        </w:rPr>
        <w:t>p</w:t>
      </w:r>
      <w:r>
        <w:rPr>
          <w:rFonts w:eastAsia="MS Mincho"/>
          <w:szCs w:val="22"/>
          <w:lang w:eastAsia="en-US" w:bidi="ar-SA"/>
        </w:rPr>
        <w:t>ar</w:t>
      </w:r>
      <w:r>
        <w:rPr>
          <w:rFonts w:eastAsia="MS Mincho"/>
          <w:spacing w:val="-3"/>
          <w:szCs w:val="22"/>
          <w:lang w:eastAsia="en-US" w:bidi="ar-SA"/>
        </w:rPr>
        <w:t>a</w:t>
      </w:r>
      <w:r>
        <w:rPr>
          <w:rFonts w:eastAsia="MS Mincho"/>
          <w:spacing w:val="1"/>
          <w:szCs w:val="22"/>
          <w:lang w:eastAsia="en-US" w:bidi="ar-SA"/>
        </w:rPr>
        <w:t>t</w:t>
      </w:r>
      <w:r>
        <w:rPr>
          <w:rFonts w:eastAsia="MS Mincho"/>
          <w:szCs w:val="22"/>
          <w:lang w:eastAsia="en-US" w:bidi="ar-SA"/>
        </w:rPr>
        <w:t>e</w:t>
      </w:r>
      <w:r>
        <w:rPr>
          <w:rFonts w:eastAsia="MS Mincho"/>
          <w:spacing w:val="-2"/>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j</w:t>
      </w:r>
      <w:r>
        <w:rPr>
          <w:rFonts w:eastAsia="MS Mincho"/>
          <w:szCs w:val="22"/>
          <w:lang w:eastAsia="en-US" w:bidi="ar-SA"/>
        </w:rPr>
        <w:t>e</w:t>
      </w:r>
      <w:r>
        <w:rPr>
          <w:rFonts w:eastAsia="MS Mincho"/>
          <w:spacing w:val="-3"/>
          <w:szCs w:val="22"/>
          <w:lang w:eastAsia="en-US" w:bidi="ar-SA"/>
        </w:rPr>
        <w:t>c</w:t>
      </w:r>
      <w:r>
        <w:rPr>
          <w:rFonts w:eastAsia="MS Mincho"/>
          <w:spacing w:val="-2"/>
          <w:szCs w:val="22"/>
          <w:lang w:eastAsia="en-US" w:bidi="ar-SA"/>
        </w:rPr>
        <w:t>t</w:t>
      </w:r>
      <w:r>
        <w:rPr>
          <w:rFonts w:eastAsia="MS Mincho"/>
          <w:szCs w:val="22"/>
          <w:lang w:eastAsia="en-US" w:bidi="ar-SA"/>
        </w:rPr>
        <w:t>a</w:t>
      </w:r>
      <w:r>
        <w:rPr>
          <w:rFonts w:eastAsia="MS Mincho"/>
          <w:spacing w:val="-1"/>
          <w:szCs w:val="22"/>
          <w:lang w:eastAsia="en-US" w:bidi="ar-SA"/>
        </w:rPr>
        <w:t>b</w:t>
      </w:r>
      <w:r>
        <w:rPr>
          <w:rFonts w:eastAsia="MS Mincho"/>
          <w:spacing w:val="-2"/>
          <w:szCs w:val="22"/>
          <w:lang w:eastAsia="en-US" w:bidi="ar-SA"/>
        </w:rPr>
        <w:t>i</w:t>
      </w:r>
      <w:r>
        <w:rPr>
          <w:rFonts w:eastAsia="MS Mincho"/>
          <w:spacing w:val="1"/>
          <w:szCs w:val="22"/>
          <w:lang w:eastAsia="en-US" w:bidi="ar-SA"/>
        </w:rPr>
        <w:t>l</w:t>
      </w:r>
      <w:r>
        <w:rPr>
          <w:rFonts w:eastAsia="MS Mincho"/>
          <w:szCs w:val="22"/>
          <w:lang w:eastAsia="en-US" w:bidi="ar-SA"/>
        </w:rPr>
        <w:t>e.</w:t>
      </w:r>
    </w:p>
    <w:p w14:paraId="4AC39F7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DC8F87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1F0A01C"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773B127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0400CD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w:t>
      </w:r>
      <w:r>
        <w:rPr>
          <w:rFonts w:eastAsia="MS Mincho"/>
          <w:spacing w:val="1"/>
          <w:szCs w:val="22"/>
          <w:highlight w:val="lightGray"/>
          <w:lang w:eastAsia="en-US" w:bidi="ar-SA"/>
        </w:rPr>
        <w:t>l</w:t>
      </w:r>
      <w:r>
        <w:rPr>
          <w:rFonts w:eastAsia="MS Mincho"/>
          <w:szCs w:val="22"/>
          <w:highlight w:val="lightGray"/>
          <w:lang w:eastAsia="en-US" w:bidi="ar-SA"/>
        </w:rPr>
        <w:t>u</w:t>
      </w:r>
      <w:r>
        <w:rPr>
          <w:rFonts w:eastAsia="MS Mincho"/>
          <w:spacing w:val="-2"/>
          <w:szCs w:val="22"/>
          <w:highlight w:val="lightGray"/>
          <w:lang w:eastAsia="en-US" w:bidi="ar-SA"/>
        </w:rPr>
        <w:t>ţ</w:t>
      </w:r>
      <w:r>
        <w:rPr>
          <w:rFonts w:eastAsia="MS Mincho"/>
          <w:spacing w:val="1"/>
          <w:szCs w:val="22"/>
          <w:highlight w:val="lightGray"/>
          <w:lang w:eastAsia="en-US" w:bidi="ar-SA"/>
        </w:rPr>
        <w:t>i</w:t>
      </w:r>
      <w:r>
        <w:rPr>
          <w:rFonts w:eastAsia="MS Mincho"/>
          <w:szCs w:val="22"/>
          <w:highlight w:val="lightGray"/>
          <w:lang w:eastAsia="en-US" w:bidi="ar-SA"/>
        </w:rPr>
        <w:t>e</w:t>
      </w:r>
      <w:r>
        <w:rPr>
          <w:rFonts w:eastAsia="MS Mincho"/>
          <w:spacing w:val="-2"/>
          <w:szCs w:val="22"/>
          <w:highlight w:val="lightGray"/>
          <w:lang w:eastAsia="en-US" w:bidi="ar-SA"/>
        </w:rPr>
        <w:t xml:space="preserve"> </w:t>
      </w:r>
      <w:r>
        <w:rPr>
          <w:rFonts w:eastAsia="MS Mincho"/>
          <w:spacing w:val="1"/>
          <w:szCs w:val="22"/>
          <w:highlight w:val="lightGray"/>
          <w:lang w:eastAsia="en-US" w:bidi="ar-SA"/>
        </w:rPr>
        <w:t>i</w:t>
      </w:r>
      <w:r>
        <w:rPr>
          <w:rFonts w:eastAsia="MS Mincho"/>
          <w:spacing w:val="-3"/>
          <w:szCs w:val="22"/>
          <w:highlight w:val="lightGray"/>
          <w:lang w:eastAsia="en-US" w:bidi="ar-SA"/>
        </w:rPr>
        <w:t>n</w:t>
      </w:r>
      <w:r>
        <w:rPr>
          <w:rFonts w:eastAsia="MS Mincho"/>
          <w:spacing w:val="1"/>
          <w:szCs w:val="22"/>
          <w:highlight w:val="lightGray"/>
          <w:lang w:eastAsia="en-US" w:bidi="ar-SA"/>
        </w:rPr>
        <w:t>j</w:t>
      </w:r>
      <w:r>
        <w:rPr>
          <w:rFonts w:eastAsia="MS Mincho"/>
          <w:szCs w:val="22"/>
          <w:highlight w:val="lightGray"/>
          <w:lang w:eastAsia="en-US" w:bidi="ar-SA"/>
        </w:rPr>
        <w:t>e</w:t>
      </w:r>
      <w:r>
        <w:rPr>
          <w:rFonts w:eastAsia="MS Mincho"/>
          <w:spacing w:val="-3"/>
          <w:szCs w:val="22"/>
          <w:highlight w:val="lightGray"/>
          <w:lang w:eastAsia="en-US" w:bidi="ar-SA"/>
        </w:rPr>
        <w:t>c</w:t>
      </w:r>
      <w:r>
        <w:rPr>
          <w:rFonts w:eastAsia="MS Mincho"/>
          <w:spacing w:val="1"/>
          <w:szCs w:val="22"/>
          <w:highlight w:val="lightGray"/>
          <w:lang w:eastAsia="en-US" w:bidi="ar-SA"/>
        </w:rPr>
        <w:t>t</w:t>
      </w:r>
      <w:r>
        <w:rPr>
          <w:rFonts w:eastAsia="MS Mincho"/>
          <w:szCs w:val="22"/>
          <w:highlight w:val="lightGray"/>
          <w:lang w:eastAsia="en-US" w:bidi="ar-SA"/>
        </w:rPr>
        <w:t>a</w:t>
      </w:r>
      <w:r>
        <w:rPr>
          <w:rFonts w:eastAsia="MS Mincho"/>
          <w:spacing w:val="-3"/>
          <w:szCs w:val="22"/>
          <w:highlight w:val="lightGray"/>
          <w:lang w:eastAsia="en-US" w:bidi="ar-SA"/>
        </w:rPr>
        <w:t>b</w:t>
      </w:r>
      <w:r>
        <w:rPr>
          <w:rFonts w:eastAsia="MS Mincho"/>
          <w:spacing w:val="1"/>
          <w:szCs w:val="22"/>
          <w:highlight w:val="lightGray"/>
          <w:lang w:eastAsia="en-US" w:bidi="ar-SA"/>
        </w:rPr>
        <w:t>il</w:t>
      </w:r>
      <w:r>
        <w:rPr>
          <w:rFonts w:eastAsia="MS Mincho"/>
          <w:szCs w:val="22"/>
          <w:highlight w:val="lightGray"/>
          <w:lang w:eastAsia="en-US" w:bidi="ar-SA"/>
        </w:rPr>
        <w:t>ă</w:t>
      </w:r>
    </w:p>
    <w:p w14:paraId="243A459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6A8C7A6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Ambalaj multiplu: 6 (3 cutii a câte 2 seringi) seringi preumplute.</w:t>
      </w:r>
    </w:p>
    <w:p w14:paraId="2A3FFB3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39518E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E8A73D"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2D64A2DB"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8C8814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0F1452D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19BAD7F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2FFC4B7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CE6FBA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451FC95"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1853A6CA"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C3251DF"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117BC49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31698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6AA8BB5"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57BE578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C3189ED"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53850A6F"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31EE2D26"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946E91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5067F7F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FA14AF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9C616CA"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2F64FF2D"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09E393D"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6106B578"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596CB467"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3A51BE4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CFD114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38D34E0"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1B324BE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397485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DBF26DF"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7942F6D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903F73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483098E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0B67BE0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25F1C4A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4712C1D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5A245C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D5B5E0D"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2533D72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D13F51"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EU/1/16/1164/005</w:t>
      </w:r>
    </w:p>
    <w:p w14:paraId="0676EBF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B46CE3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6615D36"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 &lt;, CODURILE DONAȚIEI ȘI MEDICAMENTULUI&gt;</w:t>
      </w:r>
    </w:p>
    <w:p w14:paraId="60419C8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1FFFC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76A4495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79F46F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72EF10"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584A1785" w14:textId="77777777" w:rsidR="00C04CAD" w:rsidRDefault="00C04CAD">
      <w:pPr>
        <w:autoSpaceDE w:val="0"/>
        <w:autoSpaceDN w:val="0"/>
        <w:adjustRightInd w:val="0"/>
        <w:spacing w:line="240" w:lineRule="auto"/>
        <w:rPr>
          <w:rFonts w:eastAsia="MS Mincho"/>
          <w:i/>
          <w:szCs w:val="22"/>
          <w:lang w:eastAsia="en-US" w:bidi="ar-SA"/>
        </w:rPr>
      </w:pPr>
    </w:p>
    <w:p w14:paraId="2D7539EF" w14:textId="77777777" w:rsidR="00C04CAD" w:rsidRDefault="00C04CAD">
      <w:pPr>
        <w:autoSpaceDE w:val="0"/>
        <w:autoSpaceDN w:val="0"/>
        <w:adjustRightInd w:val="0"/>
        <w:spacing w:line="240" w:lineRule="auto"/>
        <w:rPr>
          <w:rFonts w:eastAsia="MS Mincho"/>
          <w:szCs w:val="22"/>
          <w:lang w:eastAsia="en-US" w:bidi="ar-SA"/>
        </w:rPr>
      </w:pPr>
    </w:p>
    <w:p w14:paraId="053C5FE4"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78376E0A" w14:textId="77777777" w:rsidR="00C04CAD" w:rsidRDefault="00C04CAD">
      <w:pPr>
        <w:autoSpaceDE w:val="0"/>
        <w:autoSpaceDN w:val="0"/>
        <w:adjustRightInd w:val="0"/>
        <w:spacing w:line="240" w:lineRule="auto"/>
        <w:rPr>
          <w:rFonts w:eastAsia="MS Mincho"/>
          <w:szCs w:val="22"/>
          <w:lang w:eastAsia="en-US" w:bidi="ar-SA"/>
        </w:rPr>
      </w:pPr>
    </w:p>
    <w:p w14:paraId="01856907" w14:textId="77777777" w:rsidR="00C04CAD" w:rsidRDefault="00C04CAD">
      <w:pPr>
        <w:autoSpaceDE w:val="0"/>
        <w:autoSpaceDN w:val="0"/>
        <w:adjustRightInd w:val="0"/>
        <w:spacing w:line="240" w:lineRule="auto"/>
        <w:rPr>
          <w:rFonts w:eastAsia="MS Mincho"/>
          <w:szCs w:val="22"/>
          <w:lang w:eastAsia="en-US" w:bidi="ar-SA"/>
        </w:rPr>
      </w:pPr>
    </w:p>
    <w:p w14:paraId="761ADA87"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7F3E549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54031A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mg/0,8 ml seringă</w:t>
      </w:r>
    </w:p>
    <w:p w14:paraId="5ABD6C78"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2FF71628"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3519B8D9"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36D53F24" w14:textId="77777777" w:rsidR="00C04CAD" w:rsidRDefault="00C04CAD">
      <w:pPr>
        <w:autoSpaceDE w:val="0"/>
        <w:autoSpaceDN w:val="0"/>
        <w:adjustRightInd w:val="0"/>
        <w:spacing w:line="240" w:lineRule="auto"/>
        <w:rPr>
          <w:rFonts w:eastAsia="MS Mincho"/>
          <w:szCs w:val="22"/>
          <w:lang w:eastAsia="en-US" w:bidi="ar-SA"/>
        </w:rPr>
      </w:pPr>
    </w:p>
    <w:p w14:paraId="2DE4078B"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20023391" w14:textId="77777777" w:rsidR="00C04CAD" w:rsidRDefault="00C04CAD">
      <w:pPr>
        <w:autoSpaceDE w:val="0"/>
        <w:autoSpaceDN w:val="0"/>
        <w:adjustRightInd w:val="0"/>
        <w:spacing w:line="240" w:lineRule="auto"/>
        <w:rPr>
          <w:rFonts w:eastAsia="MS Mincho"/>
          <w:szCs w:val="22"/>
          <w:highlight w:val="lightGray"/>
          <w:lang w:eastAsia="en-US" w:bidi="ar-SA"/>
        </w:rPr>
      </w:pPr>
    </w:p>
    <w:p w14:paraId="0F8113E0" w14:textId="77777777" w:rsidR="00C04CAD" w:rsidRDefault="00C04CAD">
      <w:pPr>
        <w:autoSpaceDE w:val="0"/>
        <w:autoSpaceDN w:val="0"/>
        <w:adjustRightInd w:val="0"/>
        <w:spacing w:line="240" w:lineRule="auto"/>
        <w:rPr>
          <w:rFonts w:eastAsia="MS Mincho"/>
          <w:szCs w:val="22"/>
          <w:lang w:eastAsia="en-US" w:bidi="ar-SA"/>
        </w:rPr>
      </w:pPr>
    </w:p>
    <w:p w14:paraId="65E435D0" w14:textId="77777777" w:rsidR="00C04CAD" w:rsidRDefault="00060E34">
      <w:pPr>
        <w:keepNext/>
        <w:numPr>
          <w:ilvl w:val="0"/>
          <w:numId w:val="2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7EF16AA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E95F08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293811F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6716757D" w14:textId="77777777" w:rsidR="00C04CAD" w:rsidRDefault="00060E34">
      <w:pPr>
        <w:tabs>
          <w:tab w:val="clear" w:pos="567"/>
        </w:tabs>
        <w:autoSpaceDE w:val="0"/>
        <w:autoSpaceDN w:val="0"/>
        <w:adjustRightInd w:val="0"/>
        <w:spacing w:line="240" w:lineRule="auto"/>
        <w:rPr>
          <w:rFonts w:eastAsia="MS Mincho"/>
          <w:vanish/>
          <w:szCs w:val="22"/>
          <w:lang w:eastAsia="en-US" w:bidi="ar-SA"/>
        </w:rPr>
      </w:pPr>
      <w:r>
        <w:rPr>
          <w:rFonts w:eastAsia="MS Mincho"/>
          <w:szCs w:val="22"/>
          <w:lang w:eastAsia="en-US" w:bidi="ar-SA"/>
        </w:rPr>
        <w:t>NN</w:t>
      </w:r>
    </w:p>
    <w:p w14:paraId="63A63C29" w14:textId="77777777" w:rsidR="00C04CAD" w:rsidRDefault="00C04CAD">
      <w:pPr>
        <w:spacing w:line="240" w:lineRule="auto"/>
        <w:rPr>
          <w:szCs w:val="22"/>
          <w:shd w:val="clear" w:color="auto" w:fill="CCCCCC"/>
        </w:rPr>
      </w:pPr>
    </w:p>
    <w:p w14:paraId="7B5EE57B" w14:textId="77777777" w:rsidR="00C04CAD" w:rsidRDefault="00060E34">
      <w:pPr>
        <w:tabs>
          <w:tab w:val="clear" w:pos="567"/>
        </w:tabs>
        <w:autoSpaceDE w:val="0"/>
        <w:autoSpaceDN w:val="0"/>
        <w:adjustRightInd w:val="0"/>
        <w:spacing w:line="240" w:lineRule="auto"/>
        <w:rPr>
          <w:rFonts w:eastAsia="MS Mincho"/>
          <w:bCs/>
          <w:szCs w:val="22"/>
          <w:lang w:eastAsia="en-US" w:bidi="ar-SA"/>
        </w:rPr>
      </w:pPr>
      <w:r>
        <w:rPr>
          <w:b/>
          <w:szCs w:val="22"/>
        </w:rPr>
        <w:br w:type="page"/>
      </w:r>
    </w:p>
    <w:p w14:paraId="029691C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65643186"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4FCCC988"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INTERMEDIARĂ PENTRU AMBALAJUL MULTIPLU AL SERINGII PREUMPLUTE (fără chenar albastru)</w:t>
      </w:r>
    </w:p>
    <w:p w14:paraId="7E5C4DC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621CB27" w14:textId="77777777" w:rsidR="00C04CAD" w:rsidRDefault="00C04CAD">
      <w:pPr>
        <w:autoSpaceDE w:val="0"/>
        <w:autoSpaceDN w:val="0"/>
        <w:adjustRightInd w:val="0"/>
        <w:spacing w:line="240" w:lineRule="auto"/>
        <w:rPr>
          <w:rFonts w:eastAsia="MS Mincho"/>
          <w:szCs w:val="22"/>
          <w:lang w:eastAsia="en-US" w:bidi="ar-SA"/>
        </w:rPr>
      </w:pPr>
    </w:p>
    <w:p w14:paraId="497B5FA0"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hanging="1650"/>
        <w:outlineLvl w:val="0"/>
        <w:rPr>
          <w:rFonts w:eastAsia="MS Mincho"/>
          <w:szCs w:val="22"/>
          <w:lang w:eastAsia="en-US" w:bidi="ar-SA"/>
        </w:rPr>
      </w:pPr>
      <w:r>
        <w:rPr>
          <w:rFonts w:eastAsia="MS Mincho"/>
          <w:b/>
          <w:szCs w:val="22"/>
          <w:lang w:eastAsia="en-US" w:bidi="ar-SA"/>
        </w:rPr>
        <w:t>DENUMIREA COMERCIALĂ A MEDICAMENTULUI</w:t>
      </w:r>
    </w:p>
    <w:p w14:paraId="1D104968"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4DCCAD0" w14:textId="77777777" w:rsidR="00C04CAD" w:rsidRDefault="00060E34">
      <w:pPr>
        <w:tabs>
          <w:tab w:val="clear" w:pos="567"/>
        </w:tabs>
        <w:autoSpaceDE w:val="0"/>
        <w:autoSpaceDN w:val="0"/>
        <w:adjustRightInd w:val="0"/>
        <w:spacing w:line="240" w:lineRule="auto"/>
      </w:pPr>
      <w:r>
        <w:rPr>
          <w:rFonts w:eastAsia="MS Mincho"/>
          <w:spacing w:val="-1"/>
          <w:szCs w:val="22"/>
          <w:lang w:eastAsia="en-US" w:bidi="ar-SA"/>
        </w:rPr>
        <w:t>AMGEVITA</w:t>
      </w:r>
      <w:r>
        <w:t xml:space="preserve"> 40 </w:t>
      </w:r>
      <w:r>
        <w:rPr>
          <w:spacing w:val="-2"/>
        </w:rPr>
        <w:t>m</w:t>
      </w:r>
      <w:r>
        <w:t>g</w:t>
      </w:r>
      <w:r>
        <w:rPr>
          <w:spacing w:val="-3"/>
        </w:rPr>
        <w:t xml:space="preserve"> </w:t>
      </w:r>
      <w:r>
        <w:t>so</w:t>
      </w:r>
      <w:r>
        <w:rPr>
          <w:spacing w:val="1"/>
        </w:rPr>
        <w:t>l</w:t>
      </w:r>
      <w:r>
        <w:t>u</w:t>
      </w:r>
      <w:r>
        <w:rPr>
          <w:spacing w:val="-2"/>
        </w:rPr>
        <w:t>ţ</w:t>
      </w:r>
      <w:r>
        <w:rPr>
          <w:spacing w:val="1"/>
        </w:rPr>
        <w:t>i</w:t>
      </w:r>
      <w:r>
        <w:t>e</w:t>
      </w:r>
      <w:r>
        <w:rPr>
          <w:spacing w:val="-2"/>
        </w:rPr>
        <w:t xml:space="preserve"> </w:t>
      </w:r>
      <w:r>
        <w:rPr>
          <w:spacing w:val="1"/>
        </w:rPr>
        <w:t>i</w:t>
      </w:r>
      <w:r>
        <w:rPr>
          <w:spacing w:val="-3"/>
        </w:rPr>
        <w:t>n</w:t>
      </w:r>
      <w:r>
        <w:rPr>
          <w:spacing w:val="1"/>
        </w:rPr>
        <w:t>j</w:t>
      </w:r>
      <w:r>
        <w:t>e</w:t>
      </w:r>
      <w:r>
        <w:rPr>
          <w:spacing w:val="-3"/>
        </w:rPr>
        <w:t>c</w:t>
      </w:r>
      <w:r>
        <w:rPr>
          <w:spacing w:val="1"/>
        </w:rPr>
        <w:t>t</w:t>
      </w:r>
      <w:r>
        <w:t>a</w:t>
      </w:r>
      <w:r>
        <w:rPr>
          <w:spacing w:val="-3"/>
        </w:rPr>
        <w:t>b</w:t>
      </w:r>
      <w:r>
        <w:rPr>
          <w:spacing w:val="1"/>
        </w:rPr>
        <w:t>il</w:t>
      </w:r>
      <w:r>
        <w:t>ă</w:t>
      </w:r>
      <w:r>
        <w:rPr>
          <w:spacing w:val="-2"/>
        </w:rPr>
        <w:t xml:space="preserve"> </w:t>
      </w:r>
      <w:r>
        <w:rPr>
          <w:spacing w:val="1"/>
        </w:rPr>
        <w:t>î</w:t>
      </w:r>
      <w:r>
        <w:t>n</w:t>
      </w:r>
      <w:r>
        <w:rPr>
          <w:spacing w:val="-3"/>
        </w:rPr>
        <w:t xml:space="preserve"> </w:t>
      </w:r>
      <w:r>
        <w:t>se</w:t>
      </w:r>
      <w:r>
        <w:rPr>
          <w:spacing w:val="-2"/>
        </w:rPr>
        <w:t>r</w:t>
      </w:r>
      <w:r>
        <w:rPr>
          <w:spacing w:val="1"/>
        </w:rPr>
        <w:t>i</w:t>
      </w:r>
      <w:r>
        <w:t>n</w:t>
      </w:r>
      <w:r>
        <w:rPr>
          <w:spacing w:val="-3"/>
        </w:rPr>
        <w:t>g</w:t>
      </w:r>
      <w:r>
        <w:t>ă preumplută</w:t>
      </w:r>
    </w:p>
    <w:p w14:paraId="755D519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181031B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05069A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7F16D7A"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3401C44D"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2D495C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pacing w:val="-1"/>
          <w:szCs w:val="22"/>
          <w:lang w:eastAsia="en-US" w:bidi="ar-SA"/>
        </w:rPr>
        <w:t>F</w:t>
      </w:r>
      <w:r>
        <w:rPr>
          <w:rFonts w:eastAsia="MS Mincho"/>
          <w:spacing w:val="1"/>
          <w:szCs w:val="22"/>
          <w:lang w:eastAsia="en-US" w:bidi="ar-SA"/>
        </w:rPr>
        <w:t>i</w:t>
      </w:r>
      <w:r>
        <w:rPr>
          <w:rFonts w:eastAsia="MS Mincho"/>
          <w:szCs w:val="22"/>
          <w:lang w:eastAsia="en-US" w:bidi="ar-SA"/>
        </w:rPr>
        <w:t>ec</w:t>
      </w:r>
      <w:r>
        <w:rPr>
          <w:rFonts w:eastAsia="MS Mincho"/>
          <w:spacing w:val="-3"/>
          <w:szCs w:val="22"/>
          <w:lang w:eastAsia="en-US" w:bidi="ar-SA"/>
        </w:rPr>
        <w:t>a</w:t>
      </w:r>
      <w:r>
        <w:rPr>
          <w:rFonts w:eastAsia="MS Mincho"/>
          <w:szCs w:val="22"/>
          <w:lang w:eastAsia="en-US" w:bidi="ar-SA"/>
        </w:rPr>
        <w:t>re</w:t>
      </w:r>
      <w:r>
        <w:rPr>
          <w:rFonts w:eastAsia="MS Mincho"/>
          <w:spacing w:val="-2"/>
          <w:szCs w:val="22"/>
          <w:lang w:eastAsia="en-US" w:bidi="ar-SA"/>
        </w:rPr>
        <w:t xml:space="preserve"> </w:t>
      </w:r>
      <w:r>
        <w:rPr>
          <w:rFonts w:eastAsia="MS Mincho"/>
          <w:szCs w:val="22"/>
          <w:lang w:eastAsia="en-US" w:bidi="ar-SA"/>
        </w:rPr>
        <w:t>se</w:t>
      </w:r>
      <w:r>
        <w:rPr>
          <w:rFonts w:eastAsia="MS Mincho"/>
          <w:spacing w:val="-2"/>
          <w:szCs w:val="22"/>
          <w:lang w:eastAsia="en-US" w:bidi="ar-SA"/>
        </w:rPr>
        <w:t>r</w:t>
      </w:r>
      <w:r>
        <w:rPr>
          <w:rFonts w:eastAsia="MS Mincho"/>
          <w:spacing w:val="1"/>
          <w:szCs w:val="22"/>
          <w:lang w:eastAsia="en-US" w:bidi="ar-SA"/>
        </w:rPr>
        <w:t>i</w:t>
      </w:r>
      <w:r>
        <w:rPr>
          <w:rFonts w:eastAsia="MS Mincho"/>
          <w:szCs w:val="22"/>
          <w:lang w:eastAsia="en-US" w:bidi="ar-SA"/>
        </w:rPr>
        <w:t>n</w:t>
      </w:r>
      <w:r>
        <w:rPr>
          <w:rFonts w:eastAsia="MS Mincho"/>
          <w:spacing w:val="-3"/>
          <w:szCs w:val="22"/>
          <w:lang w:eastAsia="en-US" w:bidi="ar-SA"/>
        </w:rPr>
        <w:t>g</w:t>
      </w:r>
      <w:r>
        <w:rPr>
          <w:rFonts w:eastAsia="MS Mincho"/>
          <w:szCs w:val="22"/>
          <w:lang w:eastAsia="en-US" w:bidi="ar-SA"/>
        </w:rPr>
        <w:t>ă preumplută co</w:t>
      </w:r>
      <w:r>
        <w:rPr>
          <w:rFonts w:eastAsia="MS Mincho"/>
          <w:spacing w:val="-3"/>
          <w:szCs w:val="22"/>
          <w:lang w:eastAsia="en-US" w:bidi="ar-SA"/>
        </w:rPr>
        <w:t>n</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ne a</w:t>
      </w:r>
      <w:r>
        <w:rPr>
          <w:rFonts w:eastAsia="MS Mincho"/>
          <w:spacing w:val="-3"/>
          <w:szCs w:val="22"/>
          <w:lang w:eastAsia="en-US" w:bidi="ar-SA"/>
        </w:rPr>
        <w:t>d</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4"/>
          <w:szCs w:val="22"/>
          <w:lang w:eastAsia="en-US" w:bidi="ar-SA"/>
        </w:rPr>
        <w:t>m</w:t>
      </w:r>
      <w:r>
        <w:rPr>
          <w:rFonts w:eastAsia="MS Mincho"/>
          <w:szCs w:val="22"/>
          <w:lang w:eastAsia="en-US" w:bidi="ar-SA"/>
        </w:rPr>
        <w:t>u</w:t>
      </w:r>
      <w:r>
        <w:rPr>
          <w:rFonts w:eastAsia="MS Mincho"/>
          <w:spacing w:val="-4"/>
          <w:szCs w:val="22"/>
          <w:lang w:eastAsia="en-US" w:bidi="ar-SA"/>
        </w:rPr>
        <w:t>m</w:t>
      </w:r>
      <w:r>
        <w:rPr>
          <w:rFonts w:eastAsia="MS Mincho"/>
          <w:szCs w:val="22"/>
          <w:lang w:eastAsia="en-US" w:bidi="ar-SA"/>
        </w:rPr>
        <w:t>ab 40</w:t>
      </w:r>
      <w:r>
        <w:rPr>
          <w:rFonts w:eastAsia="MS Mincho"/>
          <w:spacing w:val="2"/>
          <w:szCs w:val="22"/>
          <w:lang w:eastAsia="en-US" w:bidi="ar-SA"/>
        </w:rPr>
        <w:t> </w:t>
      </w:r>
      <w:r>
        <w:rPr>
          <w:rFonts w:eastAsia="MS Mincho"/>
          <w:spacing w:val="-4"/>
          <w:szCs w:val="22"/>
          <w:lang w:eastAsia="en-US" w:bidi="ar-SA"/>
        </w:rPr>
        <w:t>m</w:t>
      </w:r>
      <w:r>
        <w:rPr>
          <w:rFonts w:eastAsia="MS Mincho"/>
          <w:spacing w:val="-3"/>
          <w:szCs w:val="22"/>
          <w:lang w:eastAsia="en-US" w:bidi="ar-SA"/>
        </w:rPr>
        <w:t>g</w:t>
      </w:r>
      <w:r>
        <w:rPr>
          <w:rFonts w:eastAsia="MS Mincho"/>
          <w:szCs w:val="22"/>
          <w:lang w:eastAsia="en-US" w:bidi="ar-SA"/>
        </w:rPr>
        <w:t xml:space="preserve"> </w:t>
      </w:r>
      <w:r>
        <w:rPr>
          <w:rFonts w:eastAsia="MS Mincho"/>
          <w:spacing w:val="1"/>
          <w:szCs w:val="22"/>
          <w:lang w:eastAsia="en-US" w:bidi="ar-SA"/>
        </w:rPr>
        <w:t>î</w:t>
      </w:r>
      <w:r>
        <w:rPr>
          <w:rFonts w:eastAsia="MS Mincho"/>
          <w:szCs w:val="22"/>
          <w:lang w:eastAsia="en-US" w:bidi="ar-SA"/>
        </w:rPr>
        <w:t>n 0,8 </w:t>
      </w:r>
      <w:r>
        <w:rPr>
          <w:rFonts w:eastAsia="MS Mincho"/>
          <w:spacing w:val="-4"/>
          <w:szCs w:val="22"/>
          <w:lang w:eastAsia="en-US" w:bidi="ar-SA"/>
        </w:rPr>
        <w:t>m</w:t>
      </w:r>
      <w:r>
        <w:rPr>
          <w:rFonts w:eastAsia="MS Mincho"/>
          <w:szCs w:val="22"/>
          <w:lang w:eastAsia="en-US" w:bidi="ar-SA"/>
        </w:rPr>
        <w:t>l solu</w:t>
      </w:r>
      <w:r>
        <w:rPr>
          <w:rFonts w:eastAsia="MS Mincho"/>
          <w:spacing w:val="1"/>
          <w:szCs w:val="22"/>
          <w:lang w:eastAsia="en-US" w:bidi="ar-SA"/>
        </w:rPr>
        <w:t>ţ</w:t>
      </w:r>
      <w:r>
        <w:rPr>
          <w:rFonts w:eastAsia="MS Mincho"/>
          <w:spacing w:val="-2"/>
          <w:szCs w:val="22"/>
          <w:lang w:eastAsia="en-US" w:bidi="ar-SA"/>
        </w:rPr>
        <w:t>ie</w:t>
      </w:r>
      <w:r>
        <w:rPr>
          <w:rFonts w:eastAsia="MS Mincho"/>
          <w:szCs w:val="22"/>
          <w:lang w:eastAsia="en-US" w:bidi="ar-SA"/>
        </w:rPr>
        <w:t>.</w:t>
      </w:r>
    </w:p>
    <w:p w14:paraId="70833BB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597242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2523D57"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6807F85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CFE5C0"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acetic glacial, sucroză, po</w:t>
      </w:r>
      <w:r>
        <w:rPr>
          <w:rFonts w:eastAsia="MS Mincho"/>
          <w:spacing w:val="1"/>
          <w:szCs w:val="22"/>
          <w:lang w:eastAsia="en-US" w:bidi="ar-SA"/>
        </w:rPr>
        <w:t>l</w:t>
      </w:r>
      <w:r>
        <w:rPr>
          <w:rFonts w:eastAsia="MS Mincho"/>
          <w:spacing w:val="-2"/>
          <w:szCs w:val="22"/>
          <w:lang w:eastAsia="en-US" w:bidi="ar-SA"/>
        </w:rPr>
        <w:t>i</w:t>
      </w:r>
      <w:r>
        <w:rPr>
          <w:rFonts w:eastAsia="MS Mincho"/>
          <w:szCs w:val="22"/>
          <w:lang w:eastAsia="en-US" w:bidi="ar-SA"/>
        </w:rPr>
        <w:t>sor</w:t>
      </w:r>
      <w:r>
        <w:rPr>
          <w:rFonts w:eastAsia="MS Mincho"/>
          <w:spacing w:val="-3"/>
          <w:szCs w:val="22"/>
          <w:lang w:eastAsia="en-US" w:bidi="ar-SA"/>
        </w:rPr>
        <w:t>b</w:t>
      </w:r>
      <w:r>
        <w:rPr>
          <w:rFonts w:eastAsia="MS Mincho"/>
          <w:szCs w:val="22"/>
          <w:lang w:eastAsia="en-US" w:bidi="ar-SA"/>
        </w:rPr>
        <w:t>at</w:t>
      </w:r>
      <w:r>
        <w:rPr>
          <w:rFonts w:eastAsia="MS Mincho"/>
          <w:spacing w:val="1"/>
          <w:szCs w:val="22"/>
          <w:lang w:eastAsia="en-US" w:bidi="ar-SA"/>
        </w:rPr>
        <w:t xml:space="preserve"> </w:t>
      </w:r>
      <w:r>
        <w:rPr>
          <w:rFonts w:eastAsia="MS Mincho"/>
          <w:spacing w:val="-3"/>
          <w:szCs w:val="22"/>
          <w:lang w:eastAsia="en-US" w:bidi="ar-SA"/>
        </w:rPr>
        <w:t>80, hidroxid de sodiu și a</w:t>
      </w:r>
      <w:r>
        <w:rPr>
          <w:rFonts w:eastAsia="MS Mincho"/>
          <w:szCs w:val="22"/>
          <w:lang w:eastAsia="en-US" w:bidi="ar-SA"/>
        </w:rPr>
        <w:t>pă pe</w:t>
      </w:r>
      <w:r>
        <w:rPr>
          <w:rFonts w:eastAsia="MS Mincho"/>
          <w:spacing w:val="-3"/>
          <w:szCs w:val="22"/>
          <w:lang w:eastAsia="en-US" w:bidi="ar-SA"/>
        </w:rPr>
        <w:t>n</w:t>
      </w:r>
      <w:r>
        <w:rPr>
          <w:rFonts w:eastAsia="MS Mincho"/>
          <w:spacing w:val="1"/>
          <w:szCs w:val="22"/>
          <w:lang w:eastAsia="en-US" w:bidi="ar-SA"/>
        </w:rPr>
        <w:t>t</w:t>
      </w:r>
      <w:r>
        <w:rPr>
          <w:rFonts w:eastAsia="MS Mincho"/>
          <w:szCs w:val="22"/>
          <w:lang w:eastAsia="en-US" w:bidi="ar-SA"/>
        </w:rPr>
        <w:t xml:space="preserve">ru </w:t>
      </w:r>
      <w:r>
        <w:rPr>
          <w:rFonts w:eastAsia="MS Mincho"/>
          <w:spacing w:val="-3"/>
          <w:szCs w:val="22"/>
          <w:lang w:eastAsia="en-US" w:bidi="ar-SA"/>
        </w:rPr>
        <w:t>p</w:t>
      </w:r>
      <w:r>
        <w:rPr>
          <w:rFonts w:eastAsia="MS Mincho"/>
          <w:szCs w:val="22"/>
          <w:lang w:eastAsia="en-US" w:bidi="ar-SA"/>
        </w:rPr>
        <w:t>re</w:t>
      </w:r>
      <w:r>
        <w:rPr>
          <w:rFonts w:eastAsia="MS Mincho"/>
          <w:spacing w:val="-3"/>
          <w:szCs w:val="22"/>
          <w:lang w:eastAsia="en-US" w:bidi="ar-SA"/>
        </w:rPr>
        <w:t>p</w:t>
      </w:r>
      <w:r>
        <w:rPr>
          <w:rFonts w:eastAsia="MS Mincho"/>
          <w:szCs w:val="22"/>
          <w:lang w:eastAsia="en-US" w:bidi="ar-SA"/>
        </w:rPr>
        <w:t>ar</w:t>
      </w:r>
      <w:r>
        <w:rPr>
          <w:rFonts w:eastAsia="MS Mincho"/>
          <w:spacing w:val="-3"/>
          <w:szCs w:val="22"/>
          <w:lang w:eastAsia="en-US" w:bidi="ar-SA"/>
        </w:rPr>
        <w:t>a</w:t>
      </w:r>
      <w:r>
        <w:rPr>
          <w:rFonts w:eastAsia="MS Mincho"/>
          <w:spacing w:val="1"/>
          <w:szCs w:val="22"/>
          <w:lang w:eastAsia="en-US" w:bidi="ar-SA"/>
        </w:rPr>
        <w:t>t</w:t>
      </w:r>
      <w:r>
        <w:rPr>
          <w:rFonts w:eastAsia="MS Mincho"/>
          <w:szCs w:val="22"/>
          <w:lang w:eastAsia="en-US" w:bidi="ar-SA"/>
        </w:rPr>
        <w:t>e</w:t>
      </w:r>
      <w:r>
        <w:rPr>
          <w:rFonts w:eastAsia="MS Mincho"/>
          <w:spacing w:val="-2"/>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j</w:t>
      </w:r>
      <w:r>
        <w:rPr>
          <w:rFonts w:eastAsia="MS Mincho"/>
          <w:szCs w:val="22"/>
          <w:lang w:eastAsia="en-US" w:bidi="ar-SA"/>
        </w:rPr>
        <w:t>e</w:t>
      </w:r>
      <w:r>
        <w:rPr>
          <w:rFonts w:eastAsia="MS Mincho"/>
          <w:spacing w:val="-3"/>
          <w:szCs w:val="22"/>
          <w:lang w:eastAsia="en-US" w:bidi="ar-SA"/>
        </w:rPr>
        <w:t>c</w:t>
      </w:r>
      <w:r>
        <w:rPr>
          <w:rFonts w:eastAsia="MS Mincho"/>
          <w:spacing w:val="-2"/>
          <w:szCs w:val="22"/>
          <w:lang w:eastAsia="en-US" w:bidi="ar-SA"/>
        </w:rPr>
        <w:t>t</w:t>
      </w:r>
      <w:r>
        <w:rPr>
          <w:rFonts w:eastAsia="MS Mincho"/>
          <w:szCs w:val="22"/>
          <w:lang w:eastAsia="en-US" w:bidi="ar-SA"/>
        </w:rPr>
        <w:t>a</w:t>
      </w:r>
      <w:r>
        <w:rPr>
          <w:rFonts w:eastAsia="MS Mincho"/>
          <w:spacing w:val="-1"/>
          <w:szCs w:val="22"/>
          <w:lang w:eastAsia="en-US" w:bidi="ar-SA"/>
        </w:rPr>
        <w:t>b</w:t>
      </w:r>
      <w:r>
        <w:rPr>
          <w:rFonts w:eastAsia="MS Mincho"/>
          <w:spacing w:val="-2"/>
          <w:szCs w:val="22"/>
          <w:lang w:eastAsia="en-US" w:bidi="ar-SA"/>
        </w:rPr>
        <w:t>i</w:t>
      </w:r>
      <w:r>
        <w:rPr>
          <w:rFonts w:eastAsia="MS Mincho"/>
          <w:spacing w:val="1"/>
          <w:szCs w:val="22"/>
          <w:lang w:eastAsia="en-US" w:bidi="ar-SA"/>
        </w:rPr>
        <w:t>l</w:t>
      </w:r>
      <w:r>
        <w:rPr>
          <w:rFonts w:eastAsia="MS Mincho"/>
          <w:szCs w:val="22"/>
          <w:lang w:eastAsia="en-US" w:bidi="ar-SA"/>
        </w:rPr>
        <w:t>e.</w:t>
      </w:r>
    </w:p>
    <w:p w14:paraId="06ADA1B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E20937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2C6DEE0"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3261279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39B5F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w:t>
      </w:r>
      <w:r>
        <w:rPr>
          <w:rFonts w:eastAsia="MS Mincho"/>
          <w:spacing w:val="1"/>
          <w:szCs w:val="22"/>
          <w:highlight w:val="lightGray"/>
          <w:lang w:eastAsia="en-US" w:bidi="ar-SA"/>
        </w:rPr>
        <w:t>l</w:t>
      </w:r>
      <w:r>
        <w:rPr>
          <w:rFonts w:eastAsia="MS Mincho"/>
          <w:szCs w:val="22"/>
          <w:highlight w:val="lightGray"/>
          <w:lang w:eastAsia="en-US" w:bidi="ar-SA"/>
        </w:rPr>
        <w:t>u</w:t>
      </w:r>
      <w:r>
        <w:rPr>
          <w:rFonts w:eastAsia="MS Mincho"/>
          <w:spacing w:val="-2"/>
          <w:szCs w:val="22"/>
          <w:highlight w:val="lightGray"/>
          <w:lang w:eastAsia="en-US" w:bidi="ar-SA"/>
        </w:rPr>
        <w:t>ţ</w:t>
      </w:r>
      <w:r>
        <w:rPr>
          <w:rFonts w:eastAsia="MS Mincho"/>
          <w:spacing w:val="1"/>
          <w:szCs w:val="22"/>
          <w:highlight w:val="lightGray"/>
          <w:lang w:eastAsia="en-US" w:bidi="ar-SA"/>
        </w:rPr>
        <w:t>i</w:t>
      </w:r>
      <w:r>
        <w:rPr>
          <w:rFonts w:eastAsia="MS Mincho"/>
          <w:szCs w:val="22"/>
          <w:highlight w:val="lightGray"/>
          <w:lang w:eastAsia="en-US" w:bidi="ar-SA"/>
        </w:rPr>
        <w:t>e</w:t>
      </w:r>
      <w:r>
        <w:rPr>
          <w:rFonts w:eastAsia="MS Mincho"/>
          <w:spacing w:val="-2"/>
          <w:szCs w:val="22"/>
          <w:highlight w:val="lightGray"/>
          <w:lang w:eastAsia="en-US" w:bidi="ar-SA"/>
        </w:rPr>
        <w:t xml:space="preserve"> </w:t>
      </w:r>
      <w:r>
        <w:rPr>
          <w:rFonts w:eastAsia="MS Mincho"/>
          <w:spacing w:val="1"/>
          <w:szCs w:val="22"/>
          <w:highlight w:val="lightGray"/>
          <w:lang w:eastAsia="en-US" w:bidi="ar-SA"/>
        </w:rPr>
        <w:t>i</w:t>
      </w:r>
      <w:r>
        <w:rPr>
          <w:rFonts w:eastAsia="MS Mincho"/>
          <w:spacing w:val="-3"/>
          <w:szCs w:val="22"/>
          <w:highlight w:val="lightGray"/>
          <w:lang w:eastAsia="en-US" w:bidi="ar-SA"/>
        </w:rPr>
        <w:t>n</w:t>
      </w:r>
      <w:r>
        <w:rPr>
          <w:rFonts w:eastAsia="MS Mincho"/>
          <w:spacing w:val="1"/>
          <w:szCs w:val="22"/>
          <w:highlight w:val="lightGray"/>
          <w:lang w:eastAsia="en-US" w:bidi="ar-SA"/>
        </w:rPr>
        <w:t>j</w:t>
      </w:r>
      <w:r>
        <w:rPr>
          <w:rFonts w:eastAsia="MS Mincho"/>
          <w:szCs w:val="22"/>
          <w:highlight w:val="lightGray"/>
          <w:lang w:eastAsia="en-US" w:bidi="ar-SA"/>
        </w:rPr>
        <w:t>e</w:t>
      </w:r>
      <w:r>
        <w:rPr>
          <w:rFonts w:eastAsia="MS Mincho"/>
          <w:spacing w:val="-3"/>
          <w:szCs w:val="22"/>
          <w:highlight w:val="lightGray"/>
          <w:lang w:eastAsia="en-US" w:bidi="ar-SA"/>
        </w:rPr>
        <w:t>c</w:t>
      </w:r>
      <w:r>
        <w:rPr>
          <w:rFonts w:eastAsia="MS Mincho"/>
          <w:spacing w:val="1"/>
          <w:szCs w:val="22"/>
          <w:highlight w:val="lightGray"/>
          <w:lang w:eastAsia="en-US" w:bidi="ar-SA"/>
        </w:rPr>
        <w:t>t</w:t>
      </w:r>
      <w:r>
        <w:rPr>
          <w:rFonts w:eastAsia="MS Mincho"/>
          <w:szCs w:val="22"/>
          <w:highlight w:val="lightGray"/>
          <w:lang w:eastAsia="en-US" w:bidi="ar-SA"/>
        </w:rPr>
        <w:t>a</w:t>
      </w:r>
      <w:r>
        <w:rPr>
          <w:rFonts w:eastAsia="MS Mincho"/>
          <w:spacing w:val="-3"/>
          <w:szCs w:val="22"/>
          <w:highlight w:val="lightGray"/>
          <w:lang w:eastAsia="en-US" w:bidi="ar-SA"/>
        </w:rPr>
        <w:t>b</w:t>
      </w:r>
      <w:r>
        <w:rPr>
          <w:rFonts w:eastAsia="MS Mincho"/>
          <w:spacing w:val="1"/>
          <w:szCs w:val="22"/>
          <w:highlight w:val="lightGray"/>
          <w:lang w:eastAsia="en-US" w:bidi="ar-SA"/>
        </w:rPr>
        <w:t>il</w:t>
      </w:r>
      <w:r>
        <w:rPr>
          <w:rFonts w:eastAsia="MS Mincho"/>
          <w:szCs w:val="22"/>
          <w:highlight w:val="lightGray"/>
          <w:lang w:eastAsia="en-US" w:bidi="ar-SA"/>
        </w:rPr>
        <w:t>ă</w:t>
      </w:r>
    </w:p>
    <w:p w14:paraId="4507595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45FC364D"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lang w:eastAsia="en-US" w:bidi="ar-SA"/>
        </w:rPr>
        <w:t>2 seringi preumplute. Component al ambalajului multiplu, nu poate fi vândut separat.</w:t>
      </w:r>
    </w:p>
    <w:p w14:paraId="77BC08E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3AF6DF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C19D4DF"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060867CD"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B82CF7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345D86E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030C5B9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0C22F21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3AD6F3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F8F5C52"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59D582DA"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F09CB35"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65C5A8E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AECF76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FDB7286"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40C54556"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B01D918"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40F25A4A"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2C7EAA5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25A97B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387A15F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EA9E5E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6E56660"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79951EBA"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8C8CC10"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7A4983CF"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7152A205"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0A1E838B"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FA92A5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7CAF479"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301192C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D37FD4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7FCA712"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12A2374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430760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022D3B2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1C42C84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490AB48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3ABC49E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46BF8D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D36F6E0"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60A9B8E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A2670D8"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EU/1/16/1164/005</w:t>
      </w:r>
    </w:p>
    <w:p w14:paraId="5FC3F7E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C09D57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04F4F29"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w:t>
      </w:r>
    </w:p>
    <w:p w14:paraId="1D9CA76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DCE9CD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1A62D09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BE8584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B8FF442"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5C9A7EF6" w14:textId="77777777" w:rsidR="00C04CAD" w:rsidRDefault="00C04CAD">
      <w:pPr>
        <w:autoSpaceDE w:val="0"/>
        <w:autoSpaceDN w:val="0"/>
        <w:adjustRightInd w:val="0"/>
        <w:spacing w:line="240" w:lineRule="auto"/>
        <w:rPr>
          <w:rFonts w:eastAsia="MS Mincho"/>
          <w:i/>
          <w:szCs w:val="22"/>
          <w:lang w:eastAsia="en-US" w:bidi="ar-SA"/>
        </w:rPr>
      </w:pPr>
    </w:p>
    <w:p w14:paraId="2E058E4B" w14:textId="77777777" w:rsidR="00C04CAD" w:rsidRDefault="00C04CAD">
      <w:pPr>
        <w:autoSpaceDE w:val="0"/>
        <w:autoSpaceDN w:val="0"/>
        <w:adjustRightInd w:val="0"/>
        <w:spacing w:line="240" w:lineRule="auto"/>
        <w:rPr>
          <w:rFonts w:eastAsia="MS Mincho"/>
          <w:szCs w:val="22"/>
          <w:lang w:eastAsia="en-US" w:bidi="ar-SA"/>
        </w:rPr>
      </w:pPr>
    </w:p>
    <w:p w14:paraId="26308E71"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2FD54B8F" w14:textId="77777777" w:rsidR="00C04CAD" w:rsidRDefault="00C04CAD">
      <w:pPr>
        <w:autoSpaceDE w:val="0"/>
        <w:autoSpaceDN w:val="0"/>
        <w:adjustRightInd w:val="0"/>
        <w:spacing w:line="240" w:lineRule="auto"/>
        <w:rPr>
          <w:rFonts w:eastAsia="MS Mincho"/>
          <w:szCs w:val="22"/>
          <w:lang w:eastAsia="en-US" w:bidi="ar-SA"/>
        </w:rPr>
      </w:pPr>
    </w:p>
    <w:p w14:paraId="24C083DE" w14:textId="77777777" w:rsidR="00C04CAD" w:rsidRDefault="00C04CAD">
      <w:pPr>
        <w:autoSpaceDE w:val="0"/>
        <w:autoSpaceDN w:val="0"/>
        <w:adjustRightInd w:val="0"/>
        <w:spacing w:line="240" w:lineRule="auto"/>
        <w:rPr>
          <w:rFonts w:eastAsia="MS Mincho"/>
          <w:szCs w:val="22"/>
          <w:lang w:eastAsia="en-US" w:bidi="ar-SA"/>
        </w:rPr>
      </w:pPr>
    </w:p>
    <w:p w14:paraId="088FAA1A"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0A7D61B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71B75A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mg/0,8 ml seringă</w:t>
      </w:r>
    </w:p>
    <w:p w14:paraId="437CD03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64CE4A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EED0BF2"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COD DE BARE BIDIMENSIONAL</w:t>
      </w:r>
    </w:p>
    <w:p w14:paraId="16F039FA" w14:textId="77777777" w:rsidR="00C04CAD" w:rsidRDefault="00C04CAD">
      <w:pPr>
        <w:autoSpaceDE w:val="0"/>
        <w:autoSpaceDN w:val="0"/>
        <w:adjustRightInd w:val="0"/>
        <w:spacing w:line="240" w:lineRule="auto"/>
        <w:rPr>
          <w:rFonts w:eastAsia="MS Mincho"/>
          <w:szCs w:val="22"/>
          <w:lang w:eastAsia="en-US" w:bidi="ar-SA"/>
        </w:rPr>
      </w:pPr>
    </w:p>
    <w:p w14:paraId="18ECF76D" w14:textId="77777777" w:rsidR="00C04CAD" w:rsidRDefault="00C04CAD">
      <w:pPr>
        <w:autoSpaceDE w:val="0"/>
        <w:autoSpaceDN w:val="0"/>
        <w:adjustRightInd w:val="0"/>
        <w:spacing w:line="240" w:lineRule="auto"/>
        <w:rPr>
          <w:rFonts w:eastAsia="MS Mincho"/>
          <w:szCs w:val="22"/>
          <w:lang w:eastAsia="en-US" w:bidi="ar-SA"/>
        </w:rPr>
      </w:pPr>
    </w:p>
    <w:p w14:paraId="55DCCEA3" w14:textId="77777777" w:rsidR="00C04CAD" w:rsidRDefault="00060E34">
      <w:pPr>
        <w:keepNext/>
        <w:numPr>
          <w:ilvl w:val="0"/>
          <w:numId w:val="2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DATE LIZIBILE PENTRU PERSOANE</w:t>
      </w:r>
    </w:p>
    <w:p w14:paraId="12F02C5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2E1D961"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4D5D1490" w14:textId="77777777" w:rsidR="00C04CAD" w:rsidRDefault="00060E34">
      <w:pPr>
        <w:tabs>
          <w:tab w:val="clear" w:pos="567"/>
        </w:tabs>
        <w:spacing w:line="240" w:lineRule="auto"/>
        <w:rPr>
          <w:rFonts w:eastAsia="MS Mincho"/>
          <w:szCs w:val="22"/>
          <w:shd w:val="clear" w:color="auto" w:fill="CCCCCC"/>
          <w:lang w:eastAsia="en-US" w:bidi="ar-SA"/>
        </w:rPr>
      </w:pPr>
      <w:r>
        <w:rPr>
          <w:rFonts w:eastAsia="MS Mincho"/>
          <w:szCs w:val="22"/>
          <w:shd w:val="clear" w:color="auto" w:fill="CCCCCC"/>
          <w:lang w:eastAsia="en-US" w:bidi="ar-SA"/>
        </w:rPr>
        <w:br w:type="page"/>
      </w:r>
    </w:p>
    <w:p w14:paraId="06EAA63E" w14:textId="77777777" w:rsidR="00C04CAD" w:rsidRDefault="00060E34">
      <w:pPr>
        <w:pBdr>
          <w:top w:val="single" w:sz="4" w:space="1" w:color="auto"/>
          <w:left w:val="single" w:sz="4" w:space="4" w:color="auto"/>
          <w:bottom w:val="single" w:sz="4" w:space="1" w:color="auto"/>
          <w:right w:val="single" w:sz="4" w:space="4" w:color="auto"/>
        </w:pBdr>
        <w:autoSpaceDE w:val="0"/>
        <w:autoSpaceDN w:val="0"/>
        <w:adjustRightInd w:val="0"/>
        <w:spacing w:line="240" w:lineRule="auto"/>
        <w:rPr>
          <w:rFonts w:eastAsia="MS Mincho"/>
          <w:b/>
          <w:szCs w:val="22"/>
          <w:lang w:eastAsia="en-US" w:bidi="ar-SA"/>
        </w:rPr>
      </w:pPr>
      <w:r>
        <w:rPr>
          <w:rFonts w:eastAsia="MS Mincho"/>
          <w:b/>
          <w:szCs w:val="22"/>
          <w:lang w:eastAsia="en-US" w:bidi="ar-SA"/>
        </w:rPr>
        <w:t>MINIMUM DE INFORMAȚII CARE TREBUIE SĂ APARĂ PE AMBALAJELE PRIMARE MICI</w:t>
      </w:r>
    </w:p>
    <w:p w14:paraId="72F84866"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39FE73E1"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SERINGĂ</w:t>
      </w:r>
    </w:p>
    <w:p w14:paraId="71B05E4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61D6D9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202CCEC" w14:textId="77777777" w:rsidR="00C04CAD" w:rsidRDefault="00060E34">
      <w:pPr>
        <w:numPr>
          <w:ilvl w:val="0"/>
          <w:numId w:val="2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DENUMIREA COMERCIALĂ A MEDICAMENTULUI ȘI CALEA(CĂILE) DE ADMINISTRARE</w:t>
      </w:r>
    </w:p>
    <w:p w14:paraId="407C25A5" w14:textId="77777777" w:rsidR="00C04CAD" w:rsidRDefault="00C04CAD">
      <w:pPr>
        <w:tabs>
          <w:tab w:val="clear" w:pos="567"/>
        </w:tabs>
        <w:autoSpaceDE w:val="0"/>
        <w:autoSpaceDN w:val="0"/>
        <w:adjustRightInd w:val="0"/>
        <w:spacing w:line="240" w:lineRule="auto"/>
        <w:ind w:left="567" w:hanging="567"/>
        <w:rPr>
          <w:rFonts w:eastAsia="MS Mincho"/>
          <w:szCs w:val="22"/>
          <w:lang w:eastAsia="en-US" w:bidi="ar-SA"/>
        </w:rPr>
      </w:pPr>
    </w:p>
    <w:p w14:paraId="75BCEF5A"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AMGEVITA 40 mg injec</w:t>
      </w:r>
      <w:r>
        <w:rPr>
          <w:rFonts w:eastAsia="MS Mincho"/>
          <w:szCs w:val="22"/>
          <w:lang w:eastAsia="en-US" w:bidi="ar-SA"/>
        </w:rPr>
        <w:t>ţ</w:t>
      </w:r>
      <w:r>
        <w:rPr>
          <w:rFonts w:eastAsia="MS Mincho"/>
          <w:szCs w:val="22"/>
          <w:lang w:eastAsia="ja-JP" w:bidi="ar-SA"/>
        </w:rPr>
        <w:t>ie</w:t>
      </w:r>
    </w:p>
    <w:p w14:paraId="6C373A51"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1DC5218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ja-JP" w:bidi="ar-SA"/>
        </w:rPr>
        <w:t>SC</w:t>
      </w:r>
    </w:p>
    <w:p w14:paraId="2EA4D5E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4AE8A7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702834B" w14:textId="77777777" w:rsidR="00C04CAD" w:rsidRDefault="00060E34">
      <w:pPr>
        <w:numPr>
          <w:ilvl w:val="0"/>
          <w:numId w:val="2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7673B77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51A37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6FA2E8E" w14:textId="77777777" w:rsidR="00C04CAD" w:rsidRDefault="00060E34">
      <w:pPr>
        <w:numPr>
          <w:ilvl w:val="0"/>
          <w:numId w:val="2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26D8DB4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85FDBA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407B42E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3C1931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433F181" w14:textId="77777777" w:rsidR="00C04CAD" w:rsidRDefault="00060E34">
      <w:pPr>
        <w:numPr>
          <w:ilvl w:val="0"/>
          <w:numId w:val="2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17C4C525"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72CBE9C4"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13D3EF6E"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494FFBD"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323D904" w14:textId="77777777" w:rsidR="00C04CAD" w:rsidRDefault="00060E34">
      <w:pPr>
        <w:numPr>
          <w:ilvl w:val="0"/>
          <w:numId w:val="2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CONȚINUTUL PE MASĂ, VOLUM SAU UNITATEA DE DOZĂ</w:t>
      </w:r>
    </w:p>
    <w:p w14:paraId="314942C0"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6292807C"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0,8 ml</w:t>
      </w:r>
    </w:p>
    <w:p w14:paraId="295812DA"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2D80E10"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5A03FA0" w14:textId="77777777" w:rsidR="00C04CAD" w:rsidRDefault="00060E34">
      <w:pPr>
        <w:numPr>
          <w:ilvl w:val="0"/>
          <w:numId w:val="24"/>
        </w:numPr>
        <w:pBdr>
          <w:top w:val="single" w:sz="4" w:space="1" w:color="auto"/>
          <w:left w:val="single" w:sz="4" w:space="4" w:color="auto"/>
          <w:bottom w:val="single" w:sz="4" w:space="0"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0FB59F5D"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45AF7C24"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783A443F"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bCs/>
          <w:szCs w:val="22"/>
          <w:lang w:eastAsia="en-US" w:bidi="ar-SA"/>
        </w:rPr>
        <w:br w:type="page"/>
      </w:r>
    </w:p>
    <w:p w14:paraId="6E59168D"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6AC30E30"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58044817"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PEN PREUMPLUT</w:t>
      </w:r>
    </w:p>
    <w:p w14:paraId="374E6F7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7175BF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630A305"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02EAD3C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5CC494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pacing w:val="-1"/>
          <w:szCs w:val="22"/>
          <w:lang w:eastAsia="en-US" w:bidi="ar-SA"/>
        </w:rPr>
        <w:t>AMGEVITA</w:t>
      </w:r>
      <w:r>
        <w:rPr>
          <w:rFonts w:eastAsia="MS Mincho"/>
          <w:szCs w:val="22"/>
          <w:lang w:eastAsia="en-US" w:bidi="ar-SA"/>
        </w:rPr>
        <w:t xml:space="preserve"> 4</w:t>
      </w:r>
      <w:r>
        <w:rPr>
          <w:rFonts w:eastAsia="MS Gothic"/>
          <w:szCs w:val="22"/>
          <w:lang w:eastAsia="en-US" w:bidi="ar-SA"/>
        </w:rPr>
        <w:t>0 </w:t>
      </w:r>
      <w:r>
        <w:rPr>
          <w:rFonts w:eastAsia="MS Mincho"/>
          <w:spacing w:val="-2"/>
          <w:szCs w:val="22"/>
          <w:lang w:eastAsia="en-US" w:bidi="ar-SA"/>
        </w:rPr>
        <w:t>m</w:t>
      </w:r>
      <w:r>
        <w:rPr>
          <w:rFonts w:eastAsia="MS Mincho"/>
          <w:szCs w:val="22"/>
          <w:lang w:eastAsia="en-US" w:bidi="ar-SA"/>
        </w:rPr>
        <w:t>g</w:t>
      </w:r>
      <w:r>
        <w:rPr>
          <w:rFonts w:eastAsia="MS Mincho"/>
          <w:spacing w:val="-3"/>
          <w:szCs w:val="22"/>
          <w:lang w:eastAsia="en-US" w:bidi="ar-SA"/>
        </w:rPr>
        <w:t xml:space="preserve"> </w:t>
      </w:r>
      <w:r>
        <w:rPr>
          <w:rFonts w:eastAsia="MS Mincho"/>
          <w:szCs w:val="22"/>
          <w:lang w:eastAsia="en-US" w:bidi="ar-SA"/>
        </w:rPr>
        <w:t>so</w:t>
      </w:r>
      <w:r>
        <w:rPr>
          <w:rFonts w:eastAsia="MS Mincho"/>
          <w:spacing w:val="1"/>
          <w:szCs w:val="22"/>
          <w:lang w:eastAsia="en-US" w:bidi="ar-SA"/>
        </w:rPr>
        <w:t>l</w:t>
      </w:r>
      <w:r>
        <w:rPr>
          <w:rFonts w:eastAsia="MS Mincho"/>
          <w:szCs w:val="22"/>
          <w:lang w:eastAsia="en-US" w:bidi="ar-SA"/>
        </w:rPr>
        <w:t>u</w:t>
      </w:r>
      <w:r>
        <w:rPr>
          <w:rFonts w:eastAsia="MS Mincho"/>
          <w:spacing w:val="-2"/>
          <w:szCs w:val="22"/>
          <w:lang w:eastAsia="en-US" w:bidi="ar-SA"/>
        </w:rPr>
        <w:t>ţ</w:t>
      </w:r>
      <w:r>
        <w:rPr>
          <w:rFonts w:eastAsia="MS Mincho"/>
          <w:spacing w:val="1"/>
          <w:szCs w:val="22"/>
          <w:lang w:eastAsia="en-US" w:bidi="ar-SA"/>
        </w:rPr>
        <w:t>i</w:t>
      </w:r>
      <w:r>
        <w:rPr>
          <w:rFonts w:eastAsia="MS Mincho"/>
          <w:szCs w:val="22"/>
          <w:lang w:eastAsia="en-US" w:bidi="ar-SA"/>
        </w:rPr>
        <w:t>e</w:t>
      </w:r>
      <w:r>
        <w:rPr>
          <w:rFonts w:eastAsia="MS Mincho"/>
          <w:spacing w:val="-2"/>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j</w:t>
      </w:r>
      <w:r>
        <w:rPr>
          <w:rFonts w:eastAsia="MS Mincho"/>
          <w:szCs w:val="22"/>
          <w:lang w:eastAsia="en-US" w:bidi="ar-SA"/>
        </w:rPr>
        <w:t>e</w:t>
      </w:r>
      <w:r>
        <w:rPr>
          <w:rFonts w:eastAsia="MS Mincho"/>
          <w:spacing w:val="-3"/>
          <w:szCs w:val="22"/>
          <w:lang w:eastAsia="en-US" w:bidi="ar-SA"/>
        </w:rPr>
        <w:t>c</w:t>
      </w:r>
      <w:r>
        <w:rPr>
          <w:rFonts w:eastAsia="MS Mincho"/>
          <w:spacing w:val="1"/>
          <w:szCs w:val="22"/>
          <w:lang w:eastAsia="en-US" w:bidi="ar-SA"/>
        </w:rPr>
        <w:t>t</w:t>
      </w:r>
      <w:r>
        <w:rPr>
          <w:rFonts w:eastAsia="MS Mincho"/>
          <w:szCs w:val="22"/>
          <w:lang w:eastAsia="en-US" w:bidi="ar-SA"/>
        </w:rPr>
        <w:t>a</w:t>
      </w:r>
      <w:r>
        <w:rPr>
          <w:rFonts w:eastAsia="MS Mincho"/>
          <w:spacing w:val="-3"/>
          <w:szCs w:val="22"/>
          <w:lang w:eastAsia="en-US" w:bidi="ar-SA"/>
        </w:rPr>
        <w:t>b</w:t>
      </w:r>
      <w:r>
        <w:rPr>
          <w:rFonts w:eastAsia="MS Mincho"/>
          <w:spacing w:val="1"/>
          <w:szCs w:val="22"/>
          <w:lang w:eastAsia="en-US" w:bidi="ar-SA"/>
        </w:rPr>
        <w:t>il</w:t>
      </w:r>
      <w:r>
        <w:rPr>
          <w:rFonts w:eastAsia="MS Mincho"/>
          <w:szCs w:val="22"/>
          <w:lang w:eastAsia="en-US" w:bidi="ar-SA"/>
        </w:rPr>
        <w:t>ă</w:t>
      </w:r>
      <w:r>
        <w:rPr>
          <w:rFonts w:eastAsia="MS Mincho"/>
          <w:spacing w:val="-2"/>
          <w:szCs w:val="22"/>
          <w:lang w:eastAsia="en-US" w:bidi="ar-SA"/>
        </w:rPr>
        <w:t xml:space="preserve"> </w:t>
      </w:r>
      <w:r>
        <w:rPr>
          <w:rFonts w:eastAsia="MS Mincho"/>
          <w:spacing w:val="1"/>
          <w:szCs w:val="22"/>
          <w:lang w:eastAsia="en-US" w:bidi="ar-SA"/>
        </w:rPr>
        <w:t>î</w:t>
      </w:r>
      <w:r>
        <w:rPr>
          <w:rFonts w:eastAsia="MS Mincho"/>
          <w:szCs w:val="22"/>
          <w:lang w:eastAsia="en-US" w:bidi="ar-SA"/>
        </w:rPr>
        <w:t>n</w:t>
      </w:r>
      <w:r>
        <w:rPr>
          <w:rFonts w:eastAsia="MS Mincho"/>
          <w:spacing w:val="-3"/>
          <w:szCs w:val="22"/>
          <w:lang w:eastAsia="en-US" w:bidi="ar-SA"/>
        </w:rPr>
        <w:t xml:space="preserve"> </w:t>
      </w:r>
      <w:r>
        <w:rPr>
          <w:rFonts w:eastAsia="MS Mincho"/>
          <w:szCs w:val="22"/>
          <w:lang w:eastAsia="en-US" w:bidi="ar-SA"/>
        </w:rPr>
        <w:t>pen preumplut</w:t>
      </w:r>
    </w:p>
    <w:p w14:paraId="0923C83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3CC3CE6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ED1B1A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D99A9D1"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5B146F5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A007A8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pacing w:val="-1"/>
          <w:szCs w:val="22"/>
          <w:lang w:eastAsia="en-US" w:bidi="ar-SA"/>
        </w:rPr>
        <w:t>F</w:t>
      </w:r>
      <w:r>
        <w:rPr>
          <w:rFonts w:eastAsia="MS Mincho"/>
          <w:spacing w:val="1"/>
          <w:szCs w:val="22"/>
          <w:lang w:eastAsia="en-US" w:bidi="ar-SA"/>
        </w:rPr>
        <w:t>i</w:t>
      </w:r>
      <w:r>
        <w:rPr>
          <w:rFonts w:eastAsia="MS Mincho"/>
          <w:szCs w:val="22"/>
          <w:lang w:eastAsia="en-US" w:bidi="ar-SA"/>
        </w:rPr>
        <w:t>ec</w:t>
      </w:r>
      <w:r>
        <w:rPr>
          <w:rFonts w:eastAsia="MS Mincho"/>
          <w:spacing w:val="-3"/>
          <w:szCs w:val="22"/>
          <w:lang w:eastAsia="en-US" w:bidi="ar-SA"/>
        </w:rPr>
        <w:t>a</w:t>
      </w:r>
      <w:r>
        <w:rPr>
          <w:rFonts w:eastAsia="MS Mincho"/>
          <w:szCs w:val="22"/>
          <w:lang w:eastAsia="en-US" w:bidi="ar-SA"/>
        </w:rPr>
        <w:t>re</w:t>
      </w:r>
      <w:r>
        <w:rPr>
          <w:rFonts w:eastAsia="MS Mincho"/>
          <w:spacing w:val="-2"/>
          <w:szCs w:val="22"/>
          <w:lang w:eastAsia="en-US" w:bidi="ar-SA"/>
        </w:rPr>
        <w:t xml:space="preserve"> </w:t>
      </w:r>
      <w:r>
        <w:rPr>
          <w:rFonts w:eastAsia="MS Mincho"/>
          <w:szCs w:val="22"/>
          <w:lang w:eastAsia="en-US" w:bidi="ar-SA"/>
        </w:rPr>
        <w:t>pen preumplut co</w:t>
      </w:r>
      <w:r>
        <w:rPr>
          <w:rFonts w:eastAsia="MS Mincho"/>
          <w:spacing w:val="-3"/>
          <w:szCs w:val="22"/>
          <w:lang w:eastAsia="en-US" w:bidi="ar-SA"/>
        </w:rPr>
        <w:t>n</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ne a</w:t>
      </w:r>
      <w:r>
        <w:rPr>
          <w:rFonts w:eastAsia="MS Mincho"/>
          <w:spacing w:val="-3"/>
          <w:szCs w:val="22"/>
          <w:lang w:eastAsia="en-US" w:bidi="ar-SA"/>
        </w:rPr>
        <w:t>d</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4"/>
          <w:szCs w:val="22"/>
          <w:lang w:eastAsia="en-US" w:bidi="ar-SA"/>
        </w:rPr>
        <w:t>m</w:t>
      </w:r>
      <w:r>
        <w:rPr>
          <w:rFonts w:eastAsia="MS Mincho"/>
          <w:szCs w:val="22"/>
          <w:lang w:eastAsia="en-US" w:bidi="ar-SA"/>
        </w:rPr>
        <w:t>u</w:t>
      </w:r>
      <w:r>
        <w:rPr>
          <w:rFonts w:eastAsia="MS Mincho"/>
          <w:spacing w:val="-4"/>
          <w:szCs w:val="22"/>
          <w:lang w:eastAsia="en-US" w:bidi="ar-SA"/>
        </w:rPr>
        <w:t>m</w:t>
      </w:r>
      <w:r>
        <w:rPr>
          <w:rFonts w:eastAsia="MS Mincho"/>
          <w:szCs w:val="22"/>
          <w:lang w:eastAsia="en-US" w:bidi="ar-SA"/>
        </w:rPr>
        <w:t>ab 4</w:t>
      </w:r>
      <w:r>
        <w:rPr>
          <w:rFonts w:eastAsia="MS Gothic"/>
          <w:szCs w:val="22"/>
          <w:lang w:eastAsia="en-US" w:bidi="ar-SA"/>
        </w:rPr>
        <w:t>0</w:t>
      </w:r>
      <w:r>
        <w:rPr>
          <w:rFonts w:eastAsia="MS Gothic"/>
          <w:spacing w:val="2"/>
          <w:szCs w:val="22"/>
          <w:lang w:eastAsia="en-US" w:bidi="ar-SA"/>
        </w:rPr>
        <w:t> </w:t>
      </w:r>
      <w:r>
        <w:rPr>
          <w:rFonts w:eastAsia="MS Mincho"/>
          <w:spacing w:val="-4"/>
          <w:szCs w:val="22"/>
          <w:lang w:eastAsia="en-US" w:bidi="ar-SA"/>
        </w:rPr>
        <w:t>m</w:t>
      </w:r>
      <w:r>
        <w:rPr>
          <w:rFonts w:eastAsia="MS Mincho"/>
          <w:spacing w:val="-3"/>
          <w:szCs w:val="22"/>
          <w:lang w:eastAsia="en-US" w:bidi="ar-SA"/>
        </w:rPr>
        <w:t>g</w:t>
      </w:r>
      <w:r>
        <w:rPr>
          <w:rFonts w:eastAsia="MS Mincho"/>
          <w:szCs w:val="22"/>
          <w:lang w:eastAsia="en-US" w:bidi="ar-SA"/>
        </w:rPr>
        <w:t xml:space="preserve"> </w:t>
      </w:r>
      <w:r>
        <w:rPr>
          <w:rFonts w:eastAsia="MS Mincho"/>
          <w:spacing w:val="1"/>
          <w:szCs w:val="22"/>
          <w:lang w:eastAsia="en-US" w:bidi="ar-SA"/>
        </w:rPr>
        <w:t>î</w:t>
      </w:r>
      <w:r>
        <w:rPr>
          <w:rFonts w:eastAsia="MS Mincho"/>
          <w:szCs w:val="22"/>
          <w:lang w:eastAsia="en-US" w:bidi="ar-SA"/>
        </w:rPr>
        <w:t>n 0,8</w:t>
      </w:r>
      <w:r>
        <w:rPr>
          <w:rFonts w:eastAsia="MS Gothic"/>
          <w:szCs w:val="22"/>
          <w:lang w:eastAsia="en-US" w:bidi="ar-SA"/>
        </w:rPr>
        <w:t> </w:t>
      </w:r>
      <w:r>
        <w:rPr>
          <w:rFonts w:eastAsia="MS Mincho"/>
          <w:spacing w:val="-4"/>
          <w:szCs w:val="22"/>
          <w:lang w:eastAsia="en-US" w:bidi="ar-SA"/>
        </w:rPr>
        <w:t>m</w:t>
      </w:r>
      <w:r>
        <w:rPr>
          <w:rFonts w:eastAsia="MS Mincho"/>
          <w:szCs w:val="22"/>
          <w:lang w:eastAsia="en-US" w:bidi="ar-SA"/>
        </w:rPr>
        <w:t>l solu</w:t>
      </w:r>
      <w:r>
        <w:rPr>
          <w:rFonts w:eastAsia="MS Mincho"/>
          <w:spacing w:val="1"/>
          <w:szCs w:val="22"/>
          <w:lang w:eastAsia="en-US" w:bidi="ar-SA"/>
        </w:rPr>
        <w:t>ţ</w:t>
      </w:r>
      <w:r>
        <w:rPr>
          <w:rFonts w:eastAsia="MS Mincho"/>
          <w:spacing w:val="-2"/>
          <w:szCs w:val="22"/>
          <w:lang w:eastAsia="en-US" w:bidi="ar-SA"/>
        </w:rPr>
        <w:t>ie</w:t>
      </w:r>
      <w:r>
        <w:rPr>
          <w:rFonts w:eastAsia="MS Gothic"/>
          <w:szCs w:val="22"/>
          <w:lang w:eastAsia="en-US" w:bidi="ar-SA"/>
        </w:rPr>
        <w:t>.</w:t>
      </w:r>
    </w:p>
    <w:p w14:paraId="3F6A6F8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14574F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0A62425"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50C55A4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E24865F"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acetic glacial, sucroză, po</w:t>
      </w:r>
      <w:r>
        <w:rPr>
          <w:rFonts w:eastAsia="MS Mincho"/>
          <w:spacing w:val="1"/>
          <w:szCs w:val="22"/>
          <w:lang w:eastAsia="en-US" w:bidi="ar-SA"/>
        </w:rPr>
        <w:t>l</w:t>
      </w:r>
      <w:r>
        <w:rPr>
          <w:rFonts w:eastAsia="MS Mincho"/>
          <w:spacing w:val="-2"/>
          <w:szCs w:val="22"/>
          <w:lang w:eastAsia="en-US" w:bidi="ar-SA"/>
        </w:rPr>
        <w:t>i</w:t>
      </w:r>
      <w:r>
        <w:rPr>
          <w:rFonts w:eastAsia="MS Mincho"/>
          <w:szCs w:val="22"/>
          <w:lang w:eastAsia="en-US" w:bidi="ar-SA"/>
        </w:rPr>
        <w:t>sor</w:t>
      </w:r>
      <w:r>
        <w:rPr>
          <w:rFonts w:eastAsia="MS Mincho"/>
          <w:spacing w:val="-3"/>
          <w:szCs w:val="22"/>
          <w:lang w:eastAsia="en-US" w:bidi="ar-SA"/>
        </w:rPr>
        <w:t>b</w:t>
      </w:r>
      <w:r>
        <w:rPr>
          <w:rFonts w:eastAsia="MS Mincho"/>
          <w:szCs w:val="22"/>
          <w:lang w:eastAsia="en-US" w:bidi="ar-SA"/>
        </w:rPr>
        <w:t>at</w:t>
      </w:r>
      <w:r>
        <w:rPr>
          <w:rFonts w:eastAsia="MS Mincho"/>
          <w:spacing w:val="1"/>
          <w:szCs w:val="22"/>
          <w:lang w:eastAsia="en-US" w:bidi="ar-SA"/>
        </w:rPr>
        <w:t xml:space="preserve"> </w:t>
      </w:r>
      <w:r>
        <w:rPr>
          <w:rFonts w:eastAsia="MS Mincho"/>
          <w:spacing w:val="-3"/>
          <w:szCs w:val="22"/>
          <w:lang w:eastAsia="en-US" w:bidi="ar-SA"/>
        </w:rPr>
        <w:t>80, hidroxid de sodiu și a</w:t>
      </w:r>
      <w:r>
        <w:rPr>
          <w:rFonts w:eastAsia="MS Mincho"/>
          <w:szCs w:val="22"/>
          <w:lang w:eastAsia="en-US" w:bidi="ar-SA"/>
        </w:rPr>
        <w:t>pă pe</w:t>
      </w:r>
      <w:r>
        <w:rPr>
          <w:rFonts w:eastAsia="MS Mincho"/>
          <w:spacing w:val="-3"/>
          <w:szCs w:val="22"/>
          <w:lang w:eastAsia="en-US" w:bidi="ar-SA"/>
        </w:rPr>
        <w:t>n</w:t>
      </w:r>
      <w:r>
        <w:rPr>
          <w:rFonts w:eastAsia="MS Mincho"/>
          <w:spacing w:val="1"/>
          <w:szCs w:val="22"/>
          <w:lang w:eastAsia="en-US" w:bidi="ar-SA"/>
        </w:rPr>
        <w:t>t</w:t>
      </w:r>
      <w:r>
        <w:rPr>
          <w:rFonts w:eastAsia="MS Mincho"/>
          <w:szCs w:val="22"/>
          <w:lang w:eastAsia="en-US" w:bidi="ar-SA"/>
        </w:rPr>
        <w:t xml:space="preserve">ru </w:t>
      </w:r>
      <w:r>
        <w:rPr>
          <w:rFonts w:eastAsia="MS Mincho"/>
          <w:spacing w:val="-3"/>
          <w:szCs w:val="22"/>
          <w:lang w:eastAsia="en-US" w:bidi="ar-SA"/>
        </w:rPr>
        <w:t>p</w:t>
      </w:r>
      <w:r>
        <w:rPr>
          <w:rFonts w:eastAsia="MS Mincho"/>
          <w:szCs w:val="22"/>
          <w:lang w:eastAsia="en-US" w:bidi="ar-SA"/>
        </w:rPr>
        <w:t>re</w:t>
      </w:r>
      <w:r>
        <w:rPr>
          <w:rFonts w:eastAsia="MS Mincho"/>
          <w:spacing w:val="-3"/>
          <w:szCs w:val="22"/>
          <w:lang w:eastAsia="en-US" w:bidi="ar-SA"/>
        </w:rPr>
        <w:t>p</w:t>
      </w:r>
      <w:r>
        <w:rPr>
          <w:rFonts w:eastAsia="MS Mincho"/>
          <w:szCs w:val="22"/>
          <w:lang w:eastAsia="en-US" w:bidi="ar-SA"/>
        </w:rPr>
        <w:t>ar</w:t>
      </w:r>
      <w:r>
        <w:rPr>
          <w:rFonts w:eastAsia="MS Mincho"/>
          <w:spacing w:val="-3"/>
          <w:szCs w:val="22"/>
          <w:lang w:eastAsia="en-US" w:bidi="ar-SA"/>
        </w:rPr>
        <w:t>a</w:t>
      </w:r>
      <w:r>
        <w:rPr>
          <w:rFonts w:eastAsia="MS Mincho"/>
          <w:spacing w:val="1"/>
          <w:szCs w:val="22"/>
          <w:lang w:eastAsia="en-US" w:bidi="ar-SA"/>
        </w:rPr>
        <w:t>t</w:t>
      </w:r>
      <w:r>
        <w:rPr>
          <w:rFonts w:eastAsia="MS Mincho"/>
          <w:szCs w:val="22"/>
          <w:lang w:eastAsia="en-US" w:bidi="ar-SA"/>
        </w:rPr>
        <w:t>e</w:t>
      </w:r>
      <w:r>
        <w:rPr>
          <w:rFonts w:eastAsia="MS Mincho"/>
          <w:spacing w:val="-2"/>
          <w:szCs w:val="22"/>
          <w:lang w:eastAsia="en-US" w:bidi="ar-SA"/>
        </w:rPr>
        <w:t xml:space="preserve"> </w:t>
      </w:r>
      <w:r>
        <w:rPr>
          <w:rFonts w:eastAsia="MS Mincho"/>
          <w:spacing w:val="1"/>
          <w:szCs w:val="22"/>
          <w:lang w:eastAsia="en-US" w:bidi="ar-SA"/>
        </w:rPr>
        <w:t>i</w:t>
      </w:r>
      <w:r>
        <w:rPr>
          <w:rFonts w:eastAsia="MS Mincho"/>
          <w:spacing w:val="-3"/>
          <w:szCs w:val="22"/>
          <w:lang w:eastAsia="en-US" w:bidi="ar-SA"/>
        </w:rPr>
        <w:t>n</w:t>
      </w:r>
      <w:r>
        <w:rPr>
          <w:rFonts w:eastAsia="MS Mincho"/>
          <w:spacing w:val="1"/>
          <w:szCs w:val="22"/>
          <w:lang w:eastAsia="en-US" w:bidi="ar-SA"/>
        </w:rPr>
        <w:t>j</w:t>
      </w:r>
      <w:r>
        <w:rPr>
          <w:rFonts w:eastAsia="MS Mincho"/>
          <w:szCs w:val="22"/>
          <w:lang w:eastAsia="en-US" w:bidi="ar-SA"/>
        </w:rPr>
        <w:t>e</w:t>
      </w:r>
      <w:r>
        <w:rPr>
          <w:rFonts w:eastAsia="MS Mincho"/>
          <w:spacing w:val="-3"/>
          <w:szCs w:val="22"/>
          <w:lang w:eastAsia="en-US" w:bidi="ar-SA"/>
        </w:rPr>
        <w:t>c</w:t>
      </w:r>
      <w:r>
        <w:rPr>
          <w:rFonts w:eastAsia="MS Mincho"/>
          <w:spacing w:val="-2"/>
          <w:szCs w:val="22"/>
          <w:lang w:eastAsia="en-US" w:bidi="ar-SA"/>
        </w:rPr>
        <w:t>t</w:t>
      </w:r>
      <w:r>
        <w:rPr>
          <w:rFonts w:eastAsia="MS Mincho"/>
          <w:szCs w:val="22"/>
          <w:lang w:eastAsia="en-US" w:bidi="ar-SA"/>
        </w:rPr>
        <w:t>a</w:t>
      </w:r>
      <w:r>
        <w:rPr>
          <w:rFonts w:eastAsia="MS Mincho"/>
          <w:spacing w:val="-1"/>
          <w:szCs w:val="22"/>
          <w:lang w:eastAsia="en-US" w:bidi="ar-SA"/>
        </w:rPr>
        <w:t>b</w:t>
      </w:r>
      <w:r>
        <w:rPr>
          <w:rFonts w:eastAsia="MS Mincho"/>
          <w:spacing w:val="-2"/>
          <w:szCs w:val="22"/>
          <w:lang w:eastAsia="en-US" w:bidi="ar-SA"/>
        </w:rPr>
        <w:t>i</w:t>
      </w:r>
      <w:r>
        <w:rPr>
          <w:rFonts w:eastAsia="MS Mincho"/>
          <w:spacing w:val="1"/>
          <w:szCs w:val="22"/>
          <w:lang w:eastAsia="en-US" w:bidi="ar-SA"/>
        </w:rPr>
        <w:t>l</w:t>
      </w:r>
      <w:r>
        <w:rPr>
          <w:rFonts w:eastAsia="MS Mincho"/>
          <w:szCs w:val="22"/>
          <w:lang w:eastAsia="en-US" w:bidi="ar-SA"/>
        </w:rPr>
        <w:t>e</w:t>
      </w:r>
      <w:r>
        <w:rPr>
          <w:rFonts w:eastAsia="MS Gothic"/>
          <w:szCs w:val="22"/>
          <w:lang w:eastAsia="en-US" w:bidi="ar-SA"/>
        </w:rPr>
        <w:t>.</w:t>
      </w:r>
    </w:p>
    <w:p w14:paraId="1A43AFAC"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31B7261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A3BFFB7"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4ACDE96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87FA05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w:t>
      </w:r>
      <w:r>
        <w:rPr>
          <w:rFonts w:eastAsia="MS Mincho"/>
          <w:spacing w:val="1"/>
          <w:szCs w:val="22"/>
          <w:highlight w:val="lightGray"/>
          <w:lang w:eastAsia="en-US" w:bidi="ar-SA"/>
        </w:rPr>
        <w:t>l</w:t>
      </w:r>
      <w:r>
        <w:rPr>
          <w:rFonts w:eastAsia="MS Mincho"/>
          <w:szCs w:val="22"/>
          <w:highlight w:val="lightGray"/>
          <w:lang w:eastAsia="en-US" w:bidi="ar-SA"/>
        </w:rPr>
        <w:t>u</w:t>
      </w:r>
      <w:r>
        <w:rPr>
          <w:rFonts w:eastAsia="MS Mincho"/>
          <w:spacing w:val="-2"/>
          <w:szCs w:val="22"/>
          <w:highlight w:val="lightGray"/>
          <w:lang w:eastAsia="en-US" w:bidi="ar-SA"/>
        </w:rPr>
        <w:t>ţ</w:t>
      </w:r>
      <w:r>
        <w:rPr>
          <w:rFonts w:eastAsia="MS Mincho"/>
          <w:spacing w:val="1"/>
          <w:szCs w:val="22"/>
          <w:highlight w:val="lightGray"/>
          <w:lang w:eastAsia="en-US" w:bidi="ar-SA"/>
        </w:rPr>
        <w:t>i</w:t>
      </w:r>
      <w:r>
        <w:rPr>
          <w:rFonts w:eastAsia="MS Mincho"/>
          <w:szCs w:val="22"/>
          <w:highlight w:val="lightGray"/>
          <w:lang w:eastAsia="en-US" w:bidi="ar-SA"/>
        </w:rPr>
        <w:t>e</w:t>
      </w:r>
      <w:r>
        <w:rPr>
          <w:rFonts w:eastAsia="MS Mincho"/>
          <w:spacing w:val="-2"/>
          <w:szCs w:val="22"/>
          <w:highlight w:val="lightGray"/>
          <w:lang w:eastAsia="en-US" w:bidi="ar-SA"/>
        </w:rPr>
        <w:t xml:space="preserve"> </w:t>
      </w:r>
      <w:r>
        <w:rPr>
          <w:rFonts w:eastAsia="MS Mincho"/>
          <w:spacing w:val="1"/>
          <w:szCs w:val="22"/>
          <w:highlight w:val="lightGray"/>
          <w:lang w:eastAsia="en-US" w:bidi="ar-SA"/>
        </w:rPr>
        <w:t>i</w:t>
      </w:r>
      <w:r>
        <w:rPr>
          <w:rFonts w:eastAsia="MS Mincho"/>
          <w:spacing w:val="-3"/>
          <w:szCs w:val="22"/>
          <w:highlight w:val="lightGray"/>
          <w:lang w:eastAsia="en-US" w:bidi="ar-SA"/>
        </w:rPr>
        <w:t>n</w:t>
      </w:r>
      <w:r>
        <w:rPr>
          <w:rFonts w:eastAsia="MS Mincho"/>
          <w:spacing w:val="1"/>
          <w:szCs w:val="22"/>
          <w:highlight w:val="lightGray"/>
          <w:lang w:eastAsia="en-US" w:bidi="ar-SA"/>
        </w:rPr>
        <w:t>j</w:t>
      </w:r>
      <w:r>
        <w:rPr>
          <w:rFonts w:eastAsia="MS Mincho"/>
          <w:szCs w:val="22"/>
          <w:highlight w:val="lightGray"/>
          <w:lang w:eastAsia="en-US" w:bidi="ar-SA"/>
        </w:rPr>
        <w:t>e</w:t>
      </w:r>
      <w:r>
        <w:rPr>
          <w:rFonts w:eastAsia="MS Mincho"/>
          <w:spacing w:val="-3"/>
          <w:szCs w:val="22"/>
          <w:highlight w:val="lightGray"/>
          <w:lang w:eastAsia="en-US" w:bidi="ar-SA"/>
        </w:rPr>
        <w:t>c</w:t>
      </w:r>
      <w:r>
        <w:rPr>
          <w:rFonts w:eastAsia="MS Mincho"/>
          <w:spacing w:val="1"/>
          <w:szCs w:val="22"/>
          <w:highlight w:val="lightGray"/>
          <w:lang w:eastAsia="en-US" w:bidi="ar-SA"/>
        </w:rPr>
        <w:t>t</w:t>
      </w:r>
      <w:r>
        <w:rPr>
          <w:rFonts w:eastAsia="MS Mincho"/>
          <w:szCs w:val="22"/>
          <w:highlight w:val="lightGray"/>
          <w:lang w:eastAsia="en-US" w:bidi="ar-SA"/>
        </w:rPr>
        <w:t>a</w:t>
      </w:r>
      <w:r>
        <w:rPr>
          <w:rFonts w:eastAsia="MS Mincho"/>
          <w:spacing w:val="-3"/>
          <w:szCs w:val="22"/>
          <w:highlight w:val="lightGray"/>
          <w:lang w:eastAsia="en-US" w:bidi="ar-SA"/>
        </w:rPr>
        <w:t>b</w:t>
      </w:r>
      <w:r>
        <w:rPr>
          <w:rFonts w:eastAsia="MS Mincho"/>
          <w:spacing w:val="1"/>
          <w:szCs w:val="22"/>
          <w:highlight w:val="lightGray"/>
          <w:lang w:eastAsia="en-US" w:bidi="ar-SA"/>
        </w:rPr>
        <w:t>il</w:t>
      </w:r>
      <w:r>
        <w:rPr>
          <w:rFonts w:eastAsia="MS Mincho"/>
          <w:szCs w:val="22"/>
          <w:highlight w:val="lightGray"/>
          <w:lang w:eastAsia="en-US" w:bidi="ar-SA"/>
        </w:rPr>
        <w:t>ă</w:t>
      </w:r>
    </w:p>
    <w:p w14:paraId="3336B22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545D2A6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pen SureClick preumplut</w:t>
      </w:r>
    </w:p>
    <w:p w14:paraId="1530A00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2 penuri SureClick preumplute.</w:t>
      </w:r>
    </w:p>
    <w:p w14:paraId="057770D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4 penuri SureClick preumplute.</w:t>
      </w:r>
    </w:p>
    <w:p w14:paraId="5230316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DE44C0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A4696CB"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6113BE3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D742C7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7CDB138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7B88AEE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45ABC39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7B5DA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CC5D6A5"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0CC84A24"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AD10484"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3FA73A0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D6B1FE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1B39B36"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42564C9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3C5453B"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41FD8C06"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36F1A6B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F964AFE"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73C7E42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688FCB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052FF9F"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6B25511F"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1A614B7"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2B756D19"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52E72FE6"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0A255FE7"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6DCD01F"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70291FBB"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74B34D6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DAD6E0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1626433"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56AABCB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F16773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4BE7944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0E303CD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6B9ABDC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2A70361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DD706D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D2F1A36"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030D5FD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3235762" w14:textId="77777777" w:rsidR="00C04CAD" w:rsidRDefault="00060E34">
      <w:pPr>
        <w:tabs>
          <w:tab w:val="clear" w:pos="567"/>
        </w:tabs>
        <w:autoSpaceDE w:val="0"/>
        <w:autoSpaceDN w:val="0"/>
        <w:adjustRightInd w:val="0"/>
        <w:spacing w:line="240" w:lineRule="auto"/>
        <w:rPr>
          <w:rFonts w:eastAsia="MS Gothic"/>
          <w:szCs w:val="22"/>
          <w:highlight w:val="lightGray"/>
          <w:lang w:eastAsia="en-US" w:bidi="ar-SA"/>
        </w:rPr>
      </w:pPr>
      <w:r>
        <w:rPr>
          <w:color w:val="000000"/>
        </w:rPr>
        <w:t>EU/1/16/1164/006</w:t>
      </w:r>
      <w:r>
        <w:rPr>
          <w:rFonts w:eastAsia="MS Mincho"/>
          <w:szCs w:val="22"/>
          <w:highlight w:val="lightGray"/>
          <w:lang w:eastAsia="en-US" w:bidi="ar-SA"/>
        </w:rPr>
        <w:t>1 pen preumplut</w:t>
      </w:r>
    </w:p>
    <w:p w14:paraId="6DDC29FC"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highlight w:val="lightGray"/>
        </w:rPr>
        <w:t>EU/1/16/1164/007</w:t>
      </w:r>
      <w:r>
        <w:rPr>
          <w:rFonts w:eastAsia="MS Mincho"/>
          <w:szCs w:val="22"/>
          <w:highlight w:val="lightGray"/>
          <w:lang w:eastAsia="en-US" w:bidi="ar-SA"/>
        </w:rPr>
        <w:t xml:space="preserve"> 2 penuri preumplute</w:t>
      </w:r>
    </w:p>
    <w:p w14:paraId="3243A228"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highlight w:val="lightGray"/>
        </w:rPr>
        <w:t>EU/1/16/1164/008</w:t>
      </w:r>
      <w:r>
        <w:rPr>
          <w:rFonts w:eastAsia="MS Mincho"/>
          <w:szCs w:val="22"/>
          <w:highlight w:val="lightGray"/>
          <w:lang w:eastAsia="en-US" w:bidi="ar-SA"/>
        </w:rPr>
        <w:t xml:space="preserve"> 4 penuri preumplute</w:t>
      </w:r>
    </w:p>
    <w:p w14:paraId="67B0AAE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F98451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A05F67"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16789B4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E8E63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20D5223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8DE44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D7B6B41"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02CE994C"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4ADBB5A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D5891C"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3FF9F12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2A55A4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855253"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31B40FC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3CED03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mg/0,8 ml pen</w:t>
      </w:r>
    </w:p>
    <w:p w14:paraId="10159B6E"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7F88435"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3F4B668"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5E065C64"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5135367" w14:textId="77777777" w:rsidR="00C04CAD" w:rsidRDefault="00060E34">
      <w:pPr>
        <w:keepNext/>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41735F8C" w14:textId="77777777" w:rsidR="00C04CAD" w:rsidRDefault="00C04CAD">
      <w:pPr>
        <w:keepNext/>
        <w:tabs>
          <w:tab w:val="clear" w:pos="567"/>
        </w:tabs>
        <w:autoSpaceDE w:val="0"/>
        <w:autoSpaceDN w:val="0"/>
        <w:adjustRightInd w:val="0"/>
        <w:spacing w:line="240" w:lineRule="auto"/>
        <w:rPr>
          <w:rFonts w:eastAsia="MS Gothic"/>
          <w:szCs w:val="22"/>
          <w:highlight w:val="lightGray"/>
          <w:lang w:eastAsia="en-US" w:bidi="ar-SA"/>
        </w:rPr>
      </w:pPr>
    </w:p>
    <w:p w14:paraId="0225627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F402D13" w14:textId="77777777" w:rsidR="00C04CAD" w:rsidRDefault="00060E34">
      <w:pPr>
        <w:keepNext/>
        <w:numPr>
          <w:ilvl w:val="0"/>
          <w:numId w:val="2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0C0E1FA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4E1FE4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3CE58A4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4CF638A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1CE94D38"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szCs w:val="22"/>
          <w:lang w:eastAsia="en-US" w:bidi="ar-SA"/>
        </w:rPr>
        <w:br w:type="page"/>
      </w:r>
    </w:p>
    <w:p w14:paraId="3D44274C"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7AA47329"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11E2E2F5"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AMBALAJ SECUNDAR PENTRU AMBALAJUL MULTIPLU AL PEN-ULUI PREUMPLUT (cu chenar albastru)</w:t>
      </w:r>
    </w:p>
    <w:p w14:paraId="48299C9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F69CAB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892913F"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49DACB5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9B8B8C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w:t>
      </w:r>
      <w:r>
        <w:rPr>
          <w:rFonts w:eastAsia="MS Gothic"/>
          <w:szCs w:val="22"/>
          <w:lang w:eastAsia="en-US" w:bidi="ar-SA"/>
        </w:rPr>
        <w:t>0 </w:t>
      </w:r>
      <w:r>
        <w:rPr>
          <w:rFonts w:eastAsia="MS Mincho"/>
          <w:szCs w:val="22"/>
          <w:lang w:eastAsia="en-US" w:bidi="ar-SA"/>
        </w:rPr>
        <w:t>mg soluţie injectabilă în pen preumplut</w:t>
      </w:r>
    </w:p>
    <w:p w14:paraId="6E9680A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1ED1EA3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12591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8F12B96"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1721FE2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E1EC2E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4</w:t>
      </w:r>
      <w:r>
        <w:rPr>
          <w:rFonts w:eastAsia="MS Gothic"/>
          <w:szCs w:val="22"/>
          <w:lang w:eastAsia="en-US" w:bidi="ar-SA"/>
        </w:rPr>
        <w:t>0 </w:t>
      </w:r>
      <w:r>
        <w:rPr>
          <w:rFonts w:eastAsia="MS Mincho"/>
          <w:szCs w:val="22"/>
          <w:lang w:eastAsia="en-US" w:bidi="ar-SA"/>
        </w:rPr>
        <w:t>mg în 0,8</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4D28EBD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5ED817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38C4F3A"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68C8493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6ADF1F0"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acetic glacial, sucroză, polisorbat80, hidroxid de sodiu și apă pentru preparate injectabile</w:t>
      </w:r>
      <w:r>
        <w:rPr>
          <w:rFonts w:eastAsia="MS Gothic"/>
          <w:szCs w:val="22"/>
          <w:lang w:eastAsia="en-US" w:bidi="ar-SA"/>
        </w:rPr>
        <w:t>.</w:t>
      </w:r>
    </w:p>
    <w:p w14:paraId="3A27630C"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140F9B8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5CF420C"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6B25875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9C5412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3F60A85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7A27F10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Ambalaj multiplu: 6(3 cutii a câte 2 penuri) penuri SureClick preumplute.</w:t>
      </w:r>
    </w:p>
    <w:p w14:paraId="6956229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87A93C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183788F"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2BB4BBD3"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F96582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55BFE47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3DAC456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14EF65A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F1B53F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6720414"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2F132DB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DCD6CAC"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1CCEB5E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124902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2BB9F22"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62D4A933"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36BFF2B"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3128CED7"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0593ED1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6FC57A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69BBDE5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74D715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10115BB"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41AB7097"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90B1989"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69DF7DF3"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3DEFC3AC"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323262A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1FF2084"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438F5A38"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6D84F04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001EC9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4DF3EBF"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0376D49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C68F5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5C7567A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1F15445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0DEC5D8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3FCDEC2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9E9464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3A98F0"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140A2C6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55E62C"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rPr>
        <w:t>EU/1/16/1164/009</w:t>
      </w:r>
    </w:p>
    <w:p w14:paraId="2B6C0AC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AE5C07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B149495"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2F94D06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B0BC2B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0D39519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AFB5AA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7D29CBA"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75D36B67"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4ACC347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705C8B9"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53F20E9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82779B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D757C21"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4F27FA9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BC575C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mg/0,8 ml pen</w:t>
      </w:r>
    </w:p>
    <w:p w14:paraId="71435376"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EE5DAB7"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3047A45"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2DD3701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380506A"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0C99CA7A" w14:textId="77777777" w:rsidR="00C04CAD" w:rsidRDefault="00C04CAD">
      <w:pPr>
        <w:tabs>
          <w:tab w:val="clear" w:pos="567"/>
        </w:tabs>
        <w:autoSpaceDE w:val="0"/>
        <w:autoSpaceDN w:val="0"/>
        <w:adjustRightInd w:val="0"/>
        <w:spacing w:line="240" w:lineRule="auto"/>
        <w:rPr>
          <w:rFonts w:eastAsia="MS Gothic"/>
          <w:szCs w:val="22"/>
          <w:highlight w:val="lightGray"/>
          <w:lang w:eastAsia="en-US" w:bidi="ar-SA"/>
        </w:rPr>
      </w:pPr>
    </w:p>
    <w:p w14:paraId="02F9673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4FA5C7D" w14:textId="77777777" w:rsidR="00C04CAD" w:rsidRDefault="00060E34">
      <w:pPr>
        <w:keepNext/>
        <w:numPr>
          <w:ilvl w:val="0"/>
          <w:numId w:val="2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03BAEC4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507012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68C36F0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2C87858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6619B2E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2F035B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4A388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E67549C" w14:textId="77777777" w:rsidR="00C04CAD" w:rsidRDefault="00060E34">
      <w:pPr>
        <w:tabs>
          <w:tab w:val="clear" w:pos="567"/>
        </w:tabs>
        <w:spacing w:line="240" w:lineRule="auto"/>
        <w:rPr>
          <w:rFonts w:eastAsia="MS Mincho"/>
          <w:bCs/>
          <w:szCs w:val="22"/>
          <w:lang w:eastAsia="en-US" w:bidi="ar-SA"/>
        </w:rPr>
      </w:pPr>
      <w:r>
        <w:rPr>
          <w:rFonts w:eastAsia="MS Mincho"/>
          <w:vanish/>
          <w:szCs w:val="22"/>
          <w:lang w:eastAsia="en-US" w:bidi="ar-SA"/>
        </w:rPr>
        <w:br w:type="page"/>
      </w:r>
    </w:p>
    <w:p w14:paraId="1D25ACA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495E580A"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436466C0"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INTERMEDIARĂ PENTRU AMBALAJUL MULTIPLU AL PEN-ULUI PREUMPLUT (fără chenar albastru)</w:t>
      </w:r>
    </w:p>
    <w:p w14:paraId="7DC6BBE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2352D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22D54A1"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20144E27"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606E15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w:t>
      </w:r>
      <w:r>
        <w:rPr>
          <w:rFonts w:eastAsia="MS Gothic"/>
          <w:szCs w:val="22"/>
          <w:lang w:eastAsia="en-US" w:bidi="ar-SA"/>
        </w:rPr>
        <w:t>0 </w:t>
      </w:r>
      <w:r>
        <w:rPr>
          <w:rFonts w:eastAsia="MS Mincho"/>
          <w:szCs w:val="22"/>
          <w:lang w:eastAsia="en-US" w:bidi="ar-SA"/>
        </w:rPr>
        <w:t>mg soluţie injectabilă în pen preumplut</w:t>
      </w:r>
    </w:p>
    <w:p w14:paraId="10FFE02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4346592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CD7477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DCBA2D"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53DF419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6E31CC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pacing w:val="-1"/>
          <w:szCs w:val="22"/>
          <w:lang w:eastAsia="en-US" w:bidi="ar-SA"/>
        </w:rPr>
        <w:t>F</w:t>
      </w:r>
      <w:r>
        <w:rPr>
          <w:rFonts w:eastAsia="MS Mincho"/>
          <w:spacing w:val="1"/>
          <w:szCs w:val="22"/>
          <w:lang w:eastAsia="en-US" w:bidi="ar-SA"/>
        </w:rPr>
        <w:t>i</w:t>
      </w:r>
      <w:r>
        <w:rPr>
          <w:rFonts w:eastAsia="MS Mincho"/>
          <w:szCs w:val="22"/>
          <w:lang w:eastAsia="en-US" w:bidi="ar-SA"/>
        </w:rPr>
        <w:t>ec</w:t>
      </w:r>
      <w:r>
        <w:rPr>
          <w:rFonts w:eastAsia="MS Mincho"/>
          <w:spacing w:val="-3"/>
          <w:szCs w:val="22"/>
          <w:lang w:eastAsia="en-US" w:bidi="ar-SA"/>
        </w:rPr>
        <w:t>a</w:t>
      </w:r>
      <w:r>
        <w:rPr>
          <w:rFonts w:eastAsia="MS Mincho"/>
          <w:szCs w:val="22"/>
          <w:lang w:eastAsia="en-US" w:bidi="ar-SA"/>
        </w:rPr>
        <w:t>re</w:t>
      </w:r>
      <w:r>
        <w:rPr>
          <w:rFonts w:eastAsia="MS Mincho"/>
          <w:spacing w:val="-2"/>
          <w:szCs w:val="22"/>
          <w:lang w:eastAsia="en-US" w:bidi="ar-SA"/>
        </w:rPr>
        <w:t xml:space="preserve"> </w:t>
      </w:r>
      <w:r>
        <w:rPr>
          <w:rFonts w:eastAsia="MS Mincho"/>
          <w:szCs w:val="22"/>
          <w:lang w:eastAsia="en-US" w:bidi="ar-SA"/>
        </w:rPr>
        <w:t>pen preumplut co</w:t>
      </w:r>
      <w:r>
        <w:rPr>
          <w:rFonts w:eastAsia="MS Mincho"/>
          <w:spacing w:val="-3"/>
          <w:szCs w:val="22"/>
          <w:lang w:eastAsia="en-US" w:bidi="ar-SA"/>
        </w:rPr>
        <w:t>n</w:t>
      </w:r>
      <w:r>
        <w:rPr>
          <w:rFonts w:eastAsia="MS Mincho"/>
          <w:spacing w:val="1"/>
          <w:szCs w:val="22"/>
          <w:lang w:eastAsia="en-US" w:bidi="ar-SA"/>
        </w:rPr>
        <w:t>ţ</w:t>
      </w:r>
      <w:r>
        <w:rPr>
          <w:rFonts w:eastAsia="MS Mincho"/>
          <w:spacing w:val="-2"/>
          <w:szCs w:val="22"/>
          <w:lang w:eastAsia="en-US" w:bidi="ar-SA"/>
        </w:rPr>
        <w:t>i</w:t>
      </w:r>
      <w:r>
        <w:rPr>
          <w:rFonts w:eastAsia="MS Mincho"/>
          <w:szCs w:val="22"/>
          <w:lang w:eastAsia="en-US" w:bidi="ar-SA"/>
        </w:rPr>
        <w:t>ne a</w:t>
      </w:r>
      <w:r>
        <w:rPr>
          <w:rFonts w:eastAsia="MS Mincho"/>
          <w:spacing w:val="-3"/>
          <w:szCs w:val="22"/>
          <w:lang w:eastAsia="en-US" w:bidi="ar-SA"/>
        </w:rPr>
        <w:t>d</w:t>
      </w:r>
      <w:r>
        <w:rPr>
          <w:rFonts w:eastAsia="MS Mincho"/>
          <w:szCs w:val="22"/>
          <w:lang w:eastAsia="en-US" w:bidi="ar-SA"/>
        </w:rPr>
        <w:t>a</w:t>
      </w:r>
      <w:r>
        <w:rPr>
          <w:rFonts w:eastAsia="MS Mincho"/>
          <w:spacing w:val="-2"/>
          <w:szCs w:val="22"/>
          <w:lang w:eastAsia="en-US" w:bidi="ar-SA"/>
        </w:rPr>
        <w:t>l</w:t>
      </w:r>
      <w:r>
        <w:rPr>
          <w:rFonts w:eastAsia="MS Mincho"/>
          <w:spacing w:val="1"/>
          <w:szCs w:val="22"/>
          <w:lang w:eastAsia="en-US" w:bidi="ar-SA"/>
        </w:rPr>
        <w:t>i</w:t>
      </w:r>
      <w:r>
        <w:rPr>
          <w:rFonts w:eastAsia="MS Mincho"/>
          <w:spacing w:val="-4"/>
          <w:szCs w:val="22"/>
          <w:lang w:eastAsia="en-US" w:bidi="ar-SA"/>
        </w:rPr>
        <w:t>m</w:t>
      </w:r>
      <w:r>
        <w:rPr>
          <w:rFonts w:eastAsia="MS Mincho"/>
          <w:szCs w:val="22"/>
          <w:lang w:eastAsia="en-US" w:bidi="ar-SA"/>
        </w:rPr>
        <w:t>u</w:t>
      </w:r>
      <w:r>
        <w:rPr>
          <w:rFonts w:eastAsia="MS Mincho"/>
          <w:spacing w:val="-4"/>
          <w:szCs w:val="22"/>
          <w:lang w:eastAsia="en-US" w:bidi="ar-SA"/>
        </w:rPr>
        <w:t>m</w:t>
      </w:r>
      <w:r>
        <w:rPr>
          <w:rFonts w:eastAsia="MS Mincho"/>
          <w:szCs w:val="22"/>
          <w:lang w:eastAsia="en-US" w:bidi="ar-SA"/>
        </w:rPr>
        <w:t>ab 4</w:t>
      </w:r>
      <w:r>
        <w:rPr>
          <w:rFonts w:eastAsia="MS Gothic"/>
          <w:szCs w:val="22"/>
          <w:lang w:eastAsia="en-US" w:bidi="ar-SA"/>
        </w:rPr>
        <w:t>0</w:t>
      </w:r>
      <w:r>
        <w:rPr>
          <w:rFonts w:eastAsia="MS Gothic"/>
          <w:spacing w:val="2"/>
          <w:szCs w:val="22"/>
          <w:lang w:eastAsia="en-US" w:bidi="ar-SA"/>
        </w:rPr>
        <w:t> </w:t>
      </w:r>
      <w:r>
        <w:rPr>
          <w:rFonts w:eastAsia="MS Mincho"/>
          <w:spacing w:val="-4"/>
          <w:szCs w:val="22"/>
          <w:lang w:eastAsia="en-US" w:bidi="ar-SA"/>
        </w:rPr>
        <w:t>m</w:t>
      </w:r>
      <w:r>
        <w:rPr>
          <w:rFonts w:eastAsia="MS Mincho"/>
          <w:spacing w:val="-3"/>
          <w:szCs w:val="22"/>
          <w:lang w:eastAsia="en-US" w:bidi="ar-SA"/>
        </w:rPr>
        <w:t>g</w:t>
      </w:r>
      <w:r>
        <w:rPr>
          <w:rFonts w:eastAsia="MS Mincho"/>
          <w:szCs w:val="22"/>
          <w:lang w:eastAsia="en-US" w:bidi="ar-SA"/>
        </w:rPr>
        <w:t xml:space="preserve"> </w:t>
      </w:r>
      <w:r>
        <w:rPr>
          <w:rFonts w:eastAsia="MS Mincho"/>
          <w:spacing w:val="1"/>
          <w:szCs w:val="22"/>
          <w:lang w:eastAsia="en-US" w:bidi="ar-SA"/>
        </w:rPr>
        <w:t>î</w:t>
      </w:r>
      <w:r>
        <w:rPr>
          <w:rFonts w:eastAsia="MS Mincho"/>
          <w:szCs w:val="22"/>
          <w:lang w:eastAsia="en-US" w:bidi="ar-SA"/>
        </w:rPr>
        <w:t>n 0,8</w:t>
      </w:r>
      <w:r>
        <w:rPr>
          <w:rFonts w:eastAsia="MS Gothic"/>
          <w:szCs w:val="22"/>
          <w:lang w:eastAsia="en-US" w:bidi="ar-SA"/>
        </w:rPr>
        <w:t> </w:t>
      </w:r>
      <w:r>
        <w:rPr>
          <w:rFonts w:eastAsia="MS Mincho"/>
          <w:spacing w:val="-4"/>
          <w:szCs w:val="22"/>
          <w:lang w:eastAsia="en-US" w:bidi="ar-SA"/>
        </w:rPr>
        <w:t>m</w:t>
      </w:r>
      <w:r>
        <w:rPr>
          <w:rFonts w:eastAsia="MS Mincho"/>
          <w:szCs w:val="22"/>
          <w:lang w:eastAsia="en-US" w:bidi="ar-SA"/>
        </w:rPr>
        <w:t>l solu</w:t>
      </w:r>
      <w:r>
        <w:rPr>
          <w:rFonts w:eastAsia="MS Mincho"/>
          <w:spacing w:val="1"/>
          <w:szCs w:val="22"/>
          <w:lang w:eastAsia="en-US" w:bidi="ar-SA"/>
        </w:rPr>
        <w:t>ţ</w:t>
      </w:r>
      <w:r>
        <w:rPr>
          <w:rFonts w:eastAsia="MS Mincho"/>
          <w:spacing w:val="-2"/>
          <w:szCs w:val="22"/>
          <w:lang w:eastAsia="en-US" w:bidi="ar-SA"/>
        </w:rPr>
        <w:t>ie</w:t>
      </w:r>
      <w:r>
        <w:rPr>
          <w:rFonts w:eastAsia="MS Gothic"/>
          <w:szCs w:val="22"/>
          <w:lang w:eastAsia="en-US" w:bidi="ar-SA"/>
        </w:rPr>
        <w:t>.</w:t>
      </w:r>
    </w:p>
    <w:p w14:paraId="41D32A7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D104DC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858B03"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7F32CE4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B1F571F"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acetic glacial, sucroză, polisorbat80, hidroxid de sodiu și apă pentru preparate injectabile</w:t>
      </w:r>
      <w:r>
        <w:rPr>
          <w:rFonts w:eastAsia="MS Gothic"/>
          <w:szCs w:val="22"/>
          <w:lang w:eastAsia="en-US" w:bidi="ar-SA"/>
        </w:rPr>
        <w:t>.</w:t>
      </w:r>
    </w:p>
    <w:p w14:paraId="5C5E336D"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24E7BD6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5A0C54"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3E97F2A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6446EA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6A558D7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mg/0,8 ml</w:t>
      </w:r>
    </w:p>
    <w:p w14:paraId="6F2068F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2 penuri SureClick preumplute. Component al unui ambalaj multiplu, nu poate fi vândut separat.</w:t>
      </w:r>
    </w:p>
    <w:p w14:paraId="4968A78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EF0869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C683BCC"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45CB055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89964D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4FBDDAA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417A170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03D14F2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D5E06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B0DF44F"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016232F9"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2F4A3DBE"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4E2F803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5662F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1F302B"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478788F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59E06B5"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0A741E9B"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23C6D369"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DA9385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7FE3293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8B1D58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958E006"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1197336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09CAFFD"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4618837B"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3578E837"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7A715A59"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9A3F666"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5230A0D0"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2E962BC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21A071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B8F1E73"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4C900FD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DBCCB2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5ECA706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17472C7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2080725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7AAE7F0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34BA46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7EDF4AE"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5ED0901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2341314"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rPr>
        <w:t>EU/1/16/1164/009</w:t>
      </w:r>
    </w:p>
    <w:p w14:paraId="22CCA88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069263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CEC1C84"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090EDC8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A2FFCF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3E077CB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048908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ADCBA1F"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40DD0A82"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7AE8EF7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38C5E9"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7E0D4F5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FA9925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75F4C34"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6DFB166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49700A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mg/0,8 ml pen</w:t>
      </w:r>
    </w:p>
    <w:p w14:paraId="4001BA8C"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D5E749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BAA7AC6"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COD DE BARE BIDIMENSIONAL</w:t>
      </w:r>
    </w:p>
    <w:p w14:paraId="6634DC30" w14:textId="77777777" w:rsidR="00C04CAD" w:rsidRDefault="00C04CAD">
      <w:pPr>
        <w:autoSpaceDE w:val="0"/>
        <w:autoSpaceDN w:val="0"/>
        <w:adjustRightInd w:val="0"/>
        <w:spacing w:line="240" w:lineRule="auto"/>
        <w:rPr>
          <w:rFonts w:eastAsia="MS Mincho"/>
          <w:szCs w:val="22"/>
          <w:lang w:eastAsia="en-US" w:bidi="ar-SA"/>
        </w:rPr>
      </w:pPr>
    </w:p>
    <w:p w14:paraId="14F00A9C" w14:textId="77777777" w:rsidR="00C04CAD" w:rsidRDefault="00C04CAD">
      <w:pPr>
        <w:autoSpaceDE w:val="0"/>
        <w:autoSpaceDN w:val="0"/>
        <w:adjustRightInd w:val="0"/>
        <w:spacing w:line="240" w:lineRule="auto"/>
        <w:rPr>
          <w:rFonts w:eastAsia="MS Mincho"/>
          <w:szCs w:val="22"/>
          <w:lang w:eastAsia="en-US" w:bidi="ar-SA"/>
        </w:rPr>
      </w:pPr>
    </w:p>
    <w:p w14:paraId="57D3CF19" w14:textId="77777777" w:rsidR="00C04CAD" w:rsidRDefault="00060E34">
      <w:pPr>
        <w:keepNext/>
        <w:numPr>
          <w:ilvl w:val="0"/>
          <w:numId w:val="27"/>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DATE LIZIBILE PENTRU PERSOANE</w:t>
      </w:r>
    </w:p>
    <w:p w14:paraId="73BCD66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E7A5C4D"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733CE04"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973335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38559D0"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DD345CC"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D2976A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7AB9D2CF"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5D94FDA"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CD93364" w14:textId="77777777" w:rsidR="00C04CAD" w:rsidRDefault="00060E34">
      <w:pPr>
        <w:tabs>
          <w:tab w:val="clear" w:pos="567"/>
        </w:tabs>
        <w:spacing w:line="240" w:lineRule="auto"/>
        <w:rPr>
          <w:rFonts w:eastAsia="MS Mincho"/>
          <w:vanish/>
          <w:szCs w:val="22"/>
          <w:lang w:eastAsia="en-US" w:bidi="ar-SA"/>
        </w:rPr>
      </w:pPr>
      <w:r>
        <w:rPr>
          <w:rFonts w:eastAsia="MS Mincho"/>
          <w:vanish/>
          <w:szCs w:val="22"/>
          <w:lang w:eastAsia="en-US" w:bidi="ar-SA"/>
        </w:rPr>
        <w:br w:type="page"/>
      </w:r>
    </w:p>
    <w:p w14:paraId="73954AF5"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MINIMUM DE INFORMAȚII CARE TREBUIE SĂ APARĂ PE AMBALAJELE PRIMARE MICI</w:t>
      </w:r>
    </w:p>
    <w:p w14:paraId="41698BB8"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0921EF48"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PEN PREUMPLUT</w:t>
      </w:r>
    </w:p>
    <w:p w14:paraId="75E5640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C3BA70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78397D4"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Gothic"/>
          <w:b/>
          <w:szCs w:val="22"/>
          <w:lang w:eastAsia="en-US" w:bidi="ar-SA"/>
        </w:rPr>
      </w:pPr>
      <w:r>
        <w:rPr>
          <w:rFonts w:eastAsia="MS Mincho"/>
          <w:b/>
          <w:szCs w:val="22"/>
          <w:lang w:eastAsia="en-US" w:bidi="ar-SA"/>
        </w:rPr>
        <w:t>DENUMIREA COMERCIALĂ A MEDICAMENTULUI ȘI CALEA(CĂILE) DE ADMINISTRARE</w:t>
      </w:r>
    </w:p>
    <w:p w14:paraId="2E64633A"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5C3F7F49" w14:textId="77777777" w:rsidR="00C04CAD" w:rsidRDefault="00060E34">
      <w:pPr>
        <w:tabs>
          <w:tab w:val="clear" w:pos="567"/>
        </w:tabs>
        <w:autoSpaceDE w:val="0"/>
        <w:autoSpaceDN w:val="0"/>
        <w:adjustRightInd w:val="0"/>
        <w:spacing w:line="240" w:lineRule="auto"/>
        <w:rPr>
          <w:rFonts w:eastAsia="MS Gothic"/>
          <w:szCs w:val="22"/>
          <w:lang w:eastAsia="ja-JP" w:bidi="ar-SA"/>
        </w:rPr>
      </w:pPr>
      <w:r>
        <w:rPr>
          <w:rFonts w:eastAsia="MS Mincho"/>
          <w:szCs w:val="22"/>
          <w:lang w:eastAsia="ja-JP" w:bidi="ar-SA"/>
        </w:rPr>
        <w:t>AMGEVITA 40 mg injec</w:t>
      </w:r>
      <w:r>
        <w:rPr>
          <w:rFonts w:eastAsia="MS Mincho"/>
          <w:szCs w:val="22"/>
          <w:lang w:eastAsia="en-US" w:bidi="ar-SA"/>
        </w:rPr>
        <w:t>ţ</w:t>
      </w:r>
      <w:r>
        <w:rPr>
          <w:rFonts w:eastAsia="MS Mincho"/>
          <w:szCs w:val="22"/>
          <w:lang w:eastAsia="ja-JP" w:bidi="ar-SA"/>
        </w:rPr>
        <w:t>ie</w:t>
      </w:r>
    </w:p>
    <w:p w14:paraId="0B02FDD9"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0CD117A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ja-JP" w:bidi="ar-SA"/>
        </w:rPr>
        <w:t>SC</w:t>
      </w:r>
    </w:p>
    <w:p w14:paraId="4C84D60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14AB0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F12FFC"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1DCAC29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698185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3EB64C8"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4885FA9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6EB339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182725A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0DC9D4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A89D727"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350FB568"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36AF2023"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7770B1E2"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9651CC5"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770D7A2B"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CONȚINUTUL PE MASĂ, VOLUM SAU UNITATEA DE DOZĂ</w:t>
      </w:r>
    </w:p>
    <w:p w14:paraId="5B14C432"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46B7A6AD"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Gothic"/>
          <w:szCs w:val="22"/>
          <w:lang w:eastAsia="en-US" w:bidi="ar-SA"/>
        </w:rPr>
        <w:t>0,</w:t>
      </w:r>
      <w:r>
        <w:rPr>
          <w:rFonts w:eastAsia="MS Mincho"/>
          <w:szCs w:val="22"/>
          <w:lang w:eastAsia="en-US" w:bidi="ar-SA"/>
        </w:rPr>
        <w:t>8 ml</w:t>
      </w:r>
    </w:p>
    <w:p w14:paraId="0E822600"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1F877BC"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41647CE" w14:textId="77777777" w:rsidR="00C04CAD" w:rsidRDefault="00060E34">
      <w:pPr>
        <w:numPr>
          <w:ilvl w:val="0"/>
          <w:numId w:val="2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05CD81E1"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7FC58A0"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66E0BB54" w14:textId="77777777" w:rsidR="00C04CAD" w:rsidRDefault="00060E34">
      <w:pPr>
        <w:spacing w:line="240" w:lineRule="auto"/>
        <w:outlineLvl w:val="0"/>
        <w:rPr>
          <w:rFonts w:eastAsia="MS Mincho"/>
          <w:bCs/>
          <w:szCs w:val="22"/>
          <w:lang w:eastAsia="en-US" w:bidi="ar-SA"/>
        </w:rPr>
      </w:pPr>
      <w:bookmarkStart w:id="8" w:name="Humira-RO-extracted_PIL-355-370"/>
      <w:bookmarkEnd w:id="8"/>
      <w:r>
        <w:br w:type="page"/>
      </w:r>
    </w:p>
    <w:p w14:paraId="567F711D"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72233914"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4C51A26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SERINGĂ PREUMPLUTĂ</w:t>
      </w:r>
    </w:p>
    <w:p w14:paraId="72D07095" w14:textId="77777777" w:rsidR="00C04CAD" w:rsidRDefault="00C04CAD">
      <w:pPr>
        <w:spacing w:line="240" w:lineRule="auto"/>
        <w:outlineLvl w:val="0"/>
        <w:rPr>
          <w:b/>
        </w:rPr>
      </w:pPr>
    </w:p>
    <w:p w14:paraId="417BE72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960D502"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22D88CE3"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8A1AE2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20 mg soluţie injectabilă în seringă preumplută</w:t>
      </w:r>
    </w:p>
    <w:p w14:paraId="1DA368F6" w14:textId="77777777" w:rsidR="00C04CAD" w:rsidRDefault="00060E34">
      <w:pPr>
        <w:tabs>
          <w:tab w:val="clear" w:pos="567"/>
        </w:tabs>
        <w:autoSpaceDE w:val="0"/>
        <w:autoSpaceDN w:val="0"/>
        <w:adjustRightInd w:val="0"/>
        <w:spacing w:line="240" w:lineRule="auto"/>
      </w:pPr>
      <w:r>
        <w:t>adalimumab</w:t>
      </w:r>
    </w:p>
    <w:p w14:paraId="20FE67D5" w14:textId="77777777" w:rsidR="00C04CAD" w:rsidRDefault="00C04CAD">
      <w:pPr>
        <w:tabs>
          <w:tab w:val="clear" w:pos="567"/>
        </w:tabs>
        <w:autoSpaceDE w:val="0"/>
        <w:autoSpaceDN w:val="0"/>
        <w:adjustRightInd w:val="0"/>
        <w:spacing w:line="240" w:lineRule="auto"/>
      </w:pPr>
    </w:p>
    <w:p w14:paraId="5AE20E4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D4A809A"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1E34606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A6200D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seringă preumplută conţine adalimumab 20</w:t>
      </w:r>
      <w:r>
        <w:rPr>
          <w:rFonts w:eastAsia="MS Gothic"/>
          <w:szCs w:val="22"/>
          <w:lang w:eastAsia="en-US" w:bidi="ar-SA"/>
        </w:rPr>
        <w:t> </w:t>
      </w:r>
      <w:r>
        <w:rPr>
          <w:rFonts w:eastAsia="MS Mincho"/>
          <w:szCs w:val="22"/>
          <w:lang w:eastAsia="en-US" w:bidi="ar-SA"/>
        </w:rPr>
        <w:t>mg în 0,2 ml soluţie</w:t>
      </w:r>
      <w:r>
        <w:rPr>
          <w:rFonts w:eastAsia="MS Gothic"/>
          <w:szCs w:val="22"/>
          <w:lang w:eastAsia="en-US" w:bidi="ar-SA"/>
        </w:rPr>
        <w:t>.</w:t>
      </w:r>
    </w:p>
    <w:p w14:paraId="7CC71A4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D47543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47737D2"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5CA54BC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58FEFD"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0D3B06C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C7EE19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AA16900"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3D45E43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D51DDB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08B2878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20 mg/0,2 ml</w:t>
      </w:r>
    </w:p>
    <w:p w14:paraId="4404F5D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seringă preumplută</w:t>
      </w:r>
      <w:r>
        <w:rPr>
          <w:rFonts w:eastAsia="MS Gothic"/>
          <w:szCs w:val="22"/>
          <w:lang w:eastAsia="en-US" w:bidi="ar-SA"/>
        </w:rPr>
        <w:t>.</w:t>
      </w:r>
    </w:p>
    <w:p w14:paraId="0D57353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A1FE4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2A4246A"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3E15A257"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F01C76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624BDEE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13B278D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40D2A9C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CC8BAD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BB4D219"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12ECFD0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28B29C7A"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6729C5F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89D7AA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C7799FB"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735B244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A8C69F4"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47C9704F"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15E6692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35CF0EF"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EXP</w:t>
      </w:r>
    </w:p>
    <w:p w14:paraId="5F93CCA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41EF59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2C164CB"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0044BB02"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7C6E78F"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54AE3CC1"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3B5D9E3E"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118C7A1B"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5351F85"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7207169E"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14FB9B6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38620A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B9E8247"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2AF8A3B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ACF5E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49634E2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01BA0BD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59649FC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Olanda</w:t>
      </w:r>
    </w:p>
    <w:p w14:paraId="045368E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EEB04F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2B0672"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32A32785" w14:textId="77777777" w:rsidR="00C04CAD" w:rsidRDefault="00C04CAD">
      <w:pPr>
        <w:tabs>
          <w:tab w:val="clear" w:pos="567"/>
        </w:tabs>
        <w:autoSpaceDE w:val="0"/>
        <w:autoSpaceDN w:val="0"/>
        <w:adjustRightInd w:val="0"/>
        <w:spacing w:line="240" w:lineRule="auto"/>
      </w:pPr>
    </w:p>
    <w:p w14:paraId="382FE691" w14:textId="77777777" w:rsidR="00C04CAD" w:rsidRDefault="00060E34">
      <w:pPr>
        <w:tabs>
          <w:tab w:val="clear" w:pos="567"/>
        </w:tabs>
        <w:autoSpaceDE w:val="0"/>
        <w:autoSpaceDN w:val="0"/>
        <w:adjustRightInd w:val="0"/>
        <w:spacing w:line="240" w:lineRule="auto"/>
        <w:outlineLvl w:val="0"/>
        <w:rPr>
          <w:rFonts w:eastAsia="MS Gothic"/>
          <w:sz w:val="24"/>
          <w:szCs w:val="22"/>
          <w:lang w:eastAsia="en-US" w:bidi="ar-SA"/>
        </w:rPr>
      </w:pPr>
      <w:r>
        <w:rPr>
          <w:color w:val="000000"/>
        </w:rPr>
        <w:t>EU/1/16/1164/010</w:t>
      </w:r>
      <w:r>
        <w:rPr>
          <w:rFonts w:eastAsia="MS Mincho"/>
          <w:szCs w:val="22"/>
          <w:lang w:eastAsia="en-US" w:bidi="ar-SA"/>
        </w:rPr>
        <w:t xml:space="preserve"> </w:t>
      </w:r>
    </w:p>
    <w:p w14:paraId="20AD2CE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EA181A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4F79952"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29C1945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26588C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0C3C2D3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B9EFC9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D4DB98B"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49D3BBC6"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5AD7703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5F82321"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6B68713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0CC4F1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9029518"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531EA9F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A6B1FF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20 mg/0,2 ml seringă</w:t>
      </w:r>
    </w:p>
    <w:p w14:paraId="5AB5A875"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60C8206"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8E4DAC6"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6EA9B96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3B0F66"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74CA6124" w14:textId="77777777" w:rsidR="00C04CAD" w:rsidRDefault="00C04CAD">
      <w:pPr>
        <w:tabs>
          <w:tab w:val="clear" w:pos="567"/>
        </w:tabs>
        <w:autoSpaceDE w:val="0"/>
        <w:autoSpaceDN w:val="0"/>
        <w:adjustRightInd w:val="0"/>
        <w:spacing w:line="240" w:lineRule="auto"/>
        <w:rPr>
          <w:rFonts w:eastAsia="MS Gothic"/>
          <w:szCs w:val="22"/>
          <w:highlight w:val="lightGray"/>
          <w:lang w:eastAsia="en-US" w:bidi="ar-SA"/>
        </w:rPr>
      </w:pPr>
    </w:p>
    <w:p w14:paraId="12FD9EE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6C62A09" w14:textId="77777777" w:rsidR="00C04CAD" w:rsidRDefault="00060E34">
      <w:pPr>
        <w:keepNext/>
        <w:numPr>
          <w:ilvl w:val="0"/>
          <w:numId w:val="29"/>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1B47697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DA6F8E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29A70EC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08EFD5B9"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lang w:eastAsia="en-US" w:bidi="ar-SA"/>
        </w:rPr>
        <w:t>NN</w:t>
      </w:r>
    </w:p>
    <w:p w14:paraId="73E6C85C" w14:textId="77777777" w:rsidR="00C04CAD" w:rsidRDefault="00060E34">
      <w:pPr>
        <w:tabs>
          <w:tab w:val="clear" w:pos="567"/>
        </w:tabs>
        <w:autoSpaceDE w:val="0"/>
        <w:autoSpaceDN w:val="0"/>
        <w:adjustRightInd w:val="0"/>
        <w:spacing w:line="240" w:lineRule="auto"/>
        <w:rPr>
          <w:rFonts w:eastAsia="MS Mincho"/>
          <w:b/>
          <w:szCs w:val="22"/>
          <w:lang w:eastAsia="en-US" w:bidi="ar-SA"/>
        </w:rPr>
      </w:pPr>
      <w:r>
        <w:rPr>
          <w:rFonts w:eastAsia="MS Mincho"/>
          <w:szCs w:val="22"/>
          <w:lang w:eastAsia="en-US" w:bidi="ar-SA"/>
        </w:rPr>
        <w:br w:type="page"/>
      </w:r>
    </w:p>
    <w:p w14:paraId="77A16D6D"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MINIMUM DE INFORMAȚII CARE TREBUIE SĂ APARĂ PE AMBALAJELE PRIMARE MICI</w:t>
      </w:r>
    </w:p>
    <w:p w14:paraId="06EFE01E"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3B759991"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ETICHETĂ SERINGĂ</w:t>
      </w:r>
    </w:p>
    <w:p w14:paraId="2991322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23D0FC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B922AF1" w14:textId="77777777" w:rsidR="00C04CAD" w:rsidRDefault="00060E34">
      <w:pPr>
        <w:numPr>
          <w:ilvl w:val="0"/>
          <w:numId w:val="3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Gothic"/>
          <w:b/>
          <w:szCs w:val="22"/>
          <w:lang w:eastAsia="en-US" w:bidi="ar-SA"/>
        </w:rPr>
      </w:pPr>
      <w:r>
        <w:rPr>
          <w:rFonts w:eastAsia="MS Mincho"/>
          <w:b/>
          <w:szCs w:val="22"/>
          <w:lang w:eastAsia="en-US" w:bidi="ar-SA"/>
        </w:rPr>
        <w:t>DENUMIREA COMERCIALĂ A MEDICAMENTULUI ȘI CALEA(CĂILE) DE ADMINISTRARE</w:t>
      </w:r>
    </w:p>
    <w:p w14:paraId="7186327E"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444C0EE6" w14:textId="77777777" w:rsidR="00C04CAD" w:rsidRDefault="00060E34">
      <w:pPr>
        <w:tabs>
          <w:tab w:val="clear" w:pos="567"/>
        </w:tabs>
        <w:autoSpaceDE w:val="0"/>
        <w:autoSpaceDN w:val="0"/>
        <w:adjustRightInd w:val="0"/>
        <w:spacing w:line="240" w:lineRule="auto"/>
        <w:rPr>
          <w:rFonts w:eastAsia="MS Gothic"/>
          <w:szCs w:val="22"/>
          <w:lang w:eastAsia="ja-JP" w:bidi="ar-SA"/>
        </w:rPr>
      </w:pPr>
      <w:r>
        <w:rPr>
          <w:rFonts w:eastAsia="MS Mincho"/>
          <w:szCs w:val="22"/>
          <w:lang w:eastAsia="ja-JP" w:bidi="ar-SA"/>
        </w:rPr>
        <w:t>AMGEVITA 20 mg injec</w:t>
      </w:r>
      <w:r>
        <w:rPr>
          <w:rFonts w:eastAsia="MS Mincho"/>
          <w:szCs w:val="22"/>
          <w:lang w:eastAsia="en-US" w:bidi="ar-SA"/>
        </w:rPr>
        <w:t>ţ</w:t>
      </w:r>
      <w:r>
        <w:rPr>
          <w:rFonts w:eastAsia="MS Mincho"/>
          <w:szCs w:val="22"/>
          <w:lang w:eastAsia="ja-JP" w:bidi="ar-SA"/>
        </w:rPr>
        <w:t>ie</w:t>
      </w:r>
    </w:p>
    <w:p w14:paraId="34E46299"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38A767A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ja-JP" w:bidi="ar-SA"/>
        </w:rPr>
        <w:t>SC</w:t>
      </w:r>
    </w:p>
    <w:p w14:paraId="093FD3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0951B9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350838B" w14:textId="77777777" w:rsidR="00C04CAD" w:rsidRDefault="00060E34">
      <w:pPr>
        <w:numPr>
          <w:ilvl w:val="0"/>
          <w:numId w:val="3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62D31F9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86F071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6700281" w14:textId="77777777" w:rsidR="00C04CAD" w:rsidRDefault="00060E34">
      <w:pPr>
        <w:numPr>
          <w:ilvl w:val="0"/>
          <w:numId w:val="3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021CE01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8CD81F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6EFE94C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79E76C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406E83" w14:textId="77777777" w:rsidR="00C04CAD" w:rsidRDefault="00060E34">
      <w:pPr>
        <w:numPr>
          <w:ilvl w:val="0"/>
          <w:numId w:val="3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23DC81D7"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5D6DDE4F"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5AF6684C"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3A0BFF28"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7948694F" w14:textId="77777777" w:rsidR="00C04CAD" w:rsidRDefault="00060E34">
      <w:pPr>
        <w:numPr>
          <w:ilvl w:val="0"/>
          <w:numId w:val="30"/>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CONȚINUTUL PE MASĂ, VOLUM SAU UNITATEA DE DOZĂ</w:t>
      </w:r>
    </w:p>
    <w:p w14:paraId="69FCFC59"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2969DDE4" w14:textId="77777777" w:rsidR="00C04CAD" w:rsidRDefault="00060E34">
      <w:pPr>
        <w:tabs>
          <w:tab w:val="clear" w:pos="567"/>
        </w:tabs>
        <w:autoSpaceDE w:val="0"/>
        <w:autoSpaceDN w:val="0"/>
        <w:adjustRightInd w:val="0"/>
        <w:spacing w:line="240" w:lineRule="auto"/>
        <w:ind w:right="113"/>
        <w:rPr>
          <w:rFonts w:eastAsia="MS Gothic"/>
          <w:szCs w:val="22"/>
          <w:lang w:eastAsia="en-US" w:bidi="ar-SA"/>
        </w:rPr>
      </w:pPr>
      <w:r>
        <w:rPr>
          <w:rFonts w:eastAsia="MS Mincho"/>
          <w:szCs w:val="22"/>
          <w:lang w:eastAsia="en-US" w:bidi="ar-SA"/>
        </w:rPr>
        <w:t>0,2 ml</w:t>
      </w:r>
    </w:p>
    <w:p w14:paraId="5D723B75"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025FEA39"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34A943B5" w14:textId="77777777" w:rsidR="00C04CAD" w:rsidRDefault="00060E34">
      <w:pPr>
        <w:numPr>
          <w:ilvl w:val="0"/>
          <w:numId w:val="30"/>
        </w:numPr>
        <w:pBdr>
          <w:top w:val="single" w:sz="4" w:space="1" w:color="auto"/>
          <w:left w:val="single" w:sz="4" w:space="4" w:color="auto"/>
          <w:bottom w:val="single" w:sz="4" w:space="0"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5C9736AB"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30192CA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D26658" w14:textId="77777777" w:rsidR="00C04CAD" w:rsidRDefault="00060E34">
      <w:pPr>
        <w:tabs>
          <w:tab w:val="clear" w:pos="567"/>
        </w:tabs>
        <w:spacing w:line="240" w:lineRule="auto"/>
        <w:rPr>
          <w:rFonts w:eastAsia="MS Mincho"/>
          <w:bCs/>
          <w:szCs w:val="22"/>
          <w:lang w:eastAsia="en-US" w:bidi="ar-SA"/>
        </w:rPr>
      </w:pPr>
      <w:r>
        <w:rPr>
          <w:rFonts w:eastAsia="MS Mincho"/>
          <w:szCs w:val="22"/>
          <w:lang w:eastAsia="en-US" w:bidi="ar-SA"/>
        </w:rPr>
        <w:br w:type="page"/>
      </w:r>
    </w:p>
    <w:p w14:paraId="32AD24D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376B5B5F"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2C9D0A61"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SERINGĂ PREUMPLUTĂ</w:t>
      </w:r>
    </w:p>
    <w:p w14:paraId="1FA3EDE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EEB69E6" w14:textId="77777777" w:rsidR="00C04CAD" w:rsidRDefault="00C04CAD">
      <w:pPr>
        <w:autoSpaceDE w:val="0"/>
        <w:autoSpaceDN w:val="0"/>
        <w:adjustRightInd w:val="0"/>
        <w:spacing w:line="240" w:lineRule="auto"/>
        <w:rPr>
          <w:rFonts w:eastAsia="MS Mincho"/>
          <w:szCs w:val="22"/>
          <w:lang w:eastAsia="en-US" w:bidi="ar-SA"/>
        </w:rPr>
      </w:pPr>
    </w:p>
    <w:p w14:paraId="584A7D5C"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3CB82656"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FA38B01"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 xml:space="preserve"> 40 mg soluţie injectabilă în seringă preumplută</w:t>
      </w:r>
    </w:p>
    <w:p w14:paraId="4018966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0A4FD78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40CEAA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E93E05D"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3A1330B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D41C4A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Fiecare seringă preumplută conţine adalimumab 40 mg în 0,4 ml soluţie.</w:t>
      </w:r>
    </w:p>
    <w:p w14:paraId="2F2266D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5D0A2C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00136C9"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099F80F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23ED5B"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4855A38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86F92B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B5B5490"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49C7DDF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39C56A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6FB433E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6F3827D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1 seringă preumplută.</w:t>
      </w:r>
    </w:p>
    <w:p w14:paraId="585C635A"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highlight w:val="lightGray"/>
          <w:lang w:eastAsia="en-US" w:bidi="ar-SA"/>
        </w:rPr>
        <w:t>2 seringi preumplute.</w:t>
      </w:r>
    </w:p>
    <w:p w14:paraId="6B5C593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D7BE4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FAB1988"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61FF66A6"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E11CC0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2BCD7E6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0576853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2EE256D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C2B571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5B90264"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059DABE5"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CD82372"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5AD4892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69F8F7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24F9555"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5220B432"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BADC598"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6482337B"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71FDD8A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26DC99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38DAE1B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01331F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B70481D"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5D8B5EA5"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6BABF2D"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0544F605"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419EDB08"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0645AB1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9C2058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35BA46C"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4DBFB7E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EFEC54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EE2FCA7"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05034D9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AC35E4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6405E41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510C866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688CBF6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7A98F0F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862412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C6A38D4"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2212F7A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CB49FCF"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EU/1/16/1164/011</w:t>
      </w:r>
      <w:r>
        <w:rPr>
          <w:rFonts w:eastAsia="MS Mincho"/>
          <w:szCs w:val="22"/>
          <w:lang w:eastAsia="en-US" w:bidi="ar-SA"/>
        </w:rPr>
        <w:t xml:space="preserve"> </w:t>
      </w:r>
      <w:r>
        <w:rPr>
          <w:rFonts w:eastAsia="MS Mincho"/>
          <w:szCs w:val="22"/>
          <w:highlight w:val="lightGray"/>
          <w:lang w:eastAsia="en-US" w:bidi="ar-SA"/>
        </w:rPr>
        <w:t>1 seringă preumplută</w:t>
      </w:r>
    </w:p>
    <w:p w14:paraId="48639A9F"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highlight w:val="lightGray"/>
        </w:rPr>
        <w:t>EU/1/16/1164/012</w:t>
      </w:r>
      <w:r>
        <w:rPr>
          <w:rFonts w:eastAsia="MS Mincho"/>
          <w:szCs w:val="22"/>
          <w:highlight w:val="lightGray"/>
          <w:lang w:eastAsia="en-US" w:bidi="ar-SA"/>
        </w:rPr>
        <w:t xml:space="preserve"> 2 seringi preumplute</w:t>
      </w:r>
    </w:p>
    <w:p w14:paraId="302F981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CEB358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67231B8"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FABRICAȚIE&lt;, CODURILE DONAȚIEI ȘI MEDICAMENTULUI&gt;</w:t>
      </w:r>
    </w:p>
    <w:p w14:paraId="75EA555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D8708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3F61AC0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1108EB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33FA89F"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0C34A0B3" w14:textId="77777777" w:rsidR="00C04CAD" w:rsidRDefault="00C04CAD">
      <w:pPr>
        <w:autoSpaceDE w:val="0"/>
        <w:autoSpaceDN w:val="0"/>
        <w:adjustRightInd w:val="0"/>
        <w:spacing w:line="240" w:lineRule="auto"/>
        <w:rPr>
          <w:rFonts w:eastAsia="MS Mincho"/>
          <w:i/>
          <w:szCs w:val="22"/>
          <w:lang w:eastAsia="en-US" w:bidi="ar-SA"/>
        </w:rPr>
      </w:pPr>
    </w:p>
    <w:p w14:paraId="5A05AAB3" w14:textId="77777777" w:rsidR="00C04CAD" w:rsidRDefault="00C04CAD">
      <w:pPr>
        <w:autoSpaceDE w:val="0"/>
        <w:autoSpaceDN w:val="0"/>
        <w:adjustRightInd w:val="0"/>
        <w:spacing w:line="240" w:lineRule="auto"/>
        <w:rPr>
          <w:rFonts w:eastAsia="MS Mincho"/>
          <w:szCs w:val="22"/>
          <w:lang w:eastAsia="en-US" w:bidi="ar-SA"/>
        </w:rPr>
      </w:pPr>
    </w:p>
    <w:p w14:paraId="26726D4B"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0ED7AF0A" w14:textId="77777777" w:rsidR="00C04CAD" w:rsidRDefault="00C04CAD">
      <w:pPr>
        <w:autoSpaceDE w:val="0"/>
        <w:autoSpaceDN w:val="0"/>
        <w:adjustRightInd w:val="0"/>
        <w:spacing w:line="240" w:lineRule="auto"/>
        <w:rPr>
          <w:rFonts w:eastAsia="MS Mincho"/>
          <w:szCs w:val="22"/>
          <w:lang w:eastAsia="en-US" w:bidi="ar-SA"/>
        </w:rPr>
      </w:pPr>
    </w:p>
    <w:p w14:paraId="0362CF7B" w14:textId="77777777" w:rsidR="00C04CAD" w:rsidRDefault="00C04CAD">
      <w:pPr>
        <w:autoSpaceDE w:val="0"/>
        <w:autoSpaceDN w:val="0"/>
        <w:adjustRightInd w:val="0"/>
        <w:spacing w:line="240" w:lineRule="auto"/>
        <w:rPr>
          <w:rFonts w:eastAsia="MS Mincho"/>
          <w:szCs w:val="22"/>
          <w:lang w:eastAsia="en-US" w:bidi="ar-SA"/>
        </w:rPr>
      </w:pPr>
    </w:p>
    <w:p w14:paraId="00BE41AF"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1DEA793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38237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mg/0,4 ml seringă</w:t>
      </w:r>
    </w:p>
    <w:p w14:paraId="4FB6842F"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27F9D458"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36540292"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4FF36345" w14:textId="77777777" w:rsidR="00C04CAD" w:rsidRDefault="00C04CAD">
      <w:pPr>
        <w:autoSpaceDE w:val="0"/>
        <w:autoSpaceDN w:val="0"/>
        <w:adjustRightInd w:val="0"/>
        <w:spacing w:line="240" w:lineRule="auto"/>
        <w:rPr>
          <w:rFonts w:eastAsia="MS Mincho"/>
          <w:szCs w:val="22"/>
          <w:lang w:eastAsia="en-US" w:bidi="ar-SA"/>
        </w:rPr>
      </w:pPr>
    </w:p>
    <w:p w14:paraId="47342BCD"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37813A3B" w14:textId="77777777" w:rsidR="00C04CAD" w:rsidRDefault="00C04CAD">
      <w:pPr>
        <w:autoSpaceDE w:val="0"/>
        <w:autoSpaceDN w:val="0"/>
        <w:adjustRightInd w:val="0"/>
        <w:spacing w:line="240" w:lineRule="auto"/>
        <w:rPr>
          <w:rFonts w:eastAsia="MS Mincho"/>
          <w:szCs w:val="22"/>
          <w:highlight w:val="lightGray"/>
          <w:lang w:eastAsia="en-US" w:bidi="ar-SA"/>
        </w:rPr>
      </w:pPr>
    </w:p>
    <w:p w14:paraId="73A3AC57" w14:textId="77777777" w:rsidR="00C04CAD" w:rsidRDefault="00C04CAD">
      <w:pPr>
        <w:autoSpaceDE w:val="0"/>
        <w:autoSpaceDN w:val="0"/>
        <w:adjustRightInd w:val="0"/>
        <w:spacing w:line="240" w:lineRule="auto"/>
        <w:rPr>
          <w:rFonts w:eastAsia="MS Mincho"/>
          <w:szCs w:val="22"/>
          <w:lang w:eastAsia="en-US" w:bidi="ar-SA"/>
        </w:rPr>
      </w:pPr>
    </w:p>
    <w:p w14:paraId="69178DAC" w14:textId="77777777" w:rsidR="00C04CAD" w:rsidRDefault="00060E34">
      <w:pPr>
        <w:keepNext/>
        <w:numPr>
          <w:ilvl w:val="0"/>
          <w:numId w:val="3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47A2FA4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268DDE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1C1675F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24B72B71" w14:textId="77777777" w:rsidR="00C04CAD" w:rsidRDefault="00060E34">
      <w:pPr>
        <w:shd w:val="clear" w:color="auto" w:fill="FFFFFF"/>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220A4AD2" w14:textId="77777777" w:rsidR="00C04CAD" w:rsidRDefault="00C04CAD">
      <w:pPr>
        <w:shd w:val="clear" w:color="auto" w:fill="FFFFFF"/>
        <w:tabs>
          <w:tab w:val="clear" w:pos="567"/>
        </w:tabs>
        <w:autoSpaceDE w:val="0"/>
        <w:autoSpaceDN w:val="0"/>
        <w:adjustRightInd w:val="0"/>
        <w:spacing w:line="240" w:lineRule="auto"/>
        <w:rPr>
          <w:rFonts w:eastAsia="MS Mincho"/>
          <w:szCs w:val="22"/>
          <w:lang w:eastAsia="en-US" w:bidi="ar-SA"/>
        </w:rPr>
      </w:pPr>
    </w:p>
    <w:p w14:paraId="7FE519AD"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szCs w:val="22"/>
          <w:lang w:eastAsia="en-US" w:bidi="ar-SA"/>
        </w:rPr>
        <w:br w:type="page"/>
      </w:r>
    </w:p>
    <w:p w14:paraId="1316F551"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72CDD474"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5D5C508A"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AMBALAJ SECUNDAR PENTRU AMBALAJUL MULTIPLU AL SERINGII PREUMPLUTE (cu chenar albastru)</w:t>
      </w:r>
    </w:p>
    <w:p w14:paraId="398A954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8D81CA" w14:textId="77777777" w:rsidR="00C04CAD" w:rsidRDefault="00C04CAD">
      <w:pPr>
        <w:autoSpaceDE w:val="0"/>
        <w:autoSpaceDN w:val="0"/>
        <w:adjustRightInd w:val="0"/>
        <w:spacing w:line="240" w:lineRule="auto"/>
        <w:rPr>
          <w:rFonts w:eastAsia="MS Mincho"/>
          <w:szCs w:val="22"/>
          <w:lang w:eastAsia="en-US" w:bidi="ar-SA"/>
        </w:rPr>
      </w:pPr>
    </w:p>
    <w:p w14:paraId="13B8D051"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hanging="1650"/>
        <w:outlineLvl w:val="0"/>
        <w:rPr>
          <w:rFonts w:eastAsia="MS Mincho"/>
          <w:szCs w:val="22"/>
          <w:lang w:eastAsia="en-US" w:bidi="ar-SA"/>
        </w:rPr>
      </w:pPr>
      <w:r>
        <w:rPr>
          <w:rFonts w:eastAsia="MS Mincho"/>
          <w:b/>
          <w:szCs w:val="22"/>
          <w:lang w:eastAsia="en-US" w:bidi="ar-SA"/>
        </w:rPr>
        <w:t>DENUMIREA COMERCIALĂ A MEDICAMENTULUI</w:t>
      </w:r>
    </w:p>
    <w:p w14:paraId="341C742A"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2A146B3"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 xml:space="preserve"> 40 mg soluţie injectabilă în seringă preumplută</w:t>
      </w:r>
    </w:p>
    <w:p w14:paraId="402219E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77482A0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6802A9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DEF1F4D"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7990A02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C5C76B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Fiecare seringă preumplută conţine adalimumab 40 mg în 0,4 ml soluţie.</w:t>
      </w:r>
    </w:p>
    <w:p w14:paraId="424445F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3DFB7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4E5B88F"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2BE6311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8F65C55"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5E40F0F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C68DD2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DF97F41"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4793C92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B982C7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67EEA88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49C3E79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Ambalaj multiplu: 6 (3 cutii a câte 2 seringi) seringi preumplute.</w:t>
      </w:r>
    </w:p>
    <w:p w14:paraId="7B9917B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B2FFC0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AE59BFF"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159E6998"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945AB8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00D26CE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23A8B45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1A1BEA1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BF144D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1EA0C29"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7AE15735"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1DB960C"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501825B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96B079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A0FE5BB"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3EED0CA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70B34B7"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73F22658"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2BB60451"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0D0652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55C4645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A49ACF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77DDC8C"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2282A5A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919B364"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3A03ADE3"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3A32BDE6"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47ABF1A1"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A61757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7E551F7"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33865FD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517F00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2613C53"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275423E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1F32AE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48C146F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39CC5F4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706FEFB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114B75C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6F12AC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D0300F1"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3747DF9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B587220"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EU/1/16/1164/013</w:t>
      </w:r>
      <w:r>
        <w:rPr>
          <w:rFonts w:eastAsia="MS Mincho"/>
          <w:szCs w:val="22"/>
          <w:lang w:eastAsia="en-US" w:bidi="ar-SA"/>
        </w:rPr>
        <w:t xml:space="preserve"> </w:t>
      </w:r>
    </w:p>
    <w:p w14:paraId="6B1F152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27B901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952FC25"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 &lt;, CODURILE DONAȚIEI ȘI MEDICAMENTULUI&gt;</w:t>
      </w:r>
    </w:p>
    <w:p w14:paraId="7FA0101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A9593D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1754E74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F39A8F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215116F"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0D4A9E27" w14:textId="77777777" w:rsidR="00C04CAD" w:rsidRDefault="00C04CAD">
      <w:pPr>
        <w:autoSpaceDE w:val="0"/>
        <w:autoSpaceDN w:val="0"/>
        <w:adjustRightInd w:val="0"/>
        <w:spacing w:line="240" w:lineRule="auto"/>
        <w:rPr>
          <w:rFonts w:eastAsia="MS Mincho"/>
          <w:i/>
          <w:szCs w:val="22"/>
          <w:lang w:eastAsia="en-US" w:bidi="ar-SA"/>
        </w:rPr>
      </w:pPr>
    </w:p>
    <w:p w14:paraId="02A1F4F2" w14:textId="77777777" w:rsidR="00C04CAD" w:rsidRDefault="00C04CAD">
      <w:pPr>
        <w:autoSpaceDE w:val="0"/>
        <w:autoSpaceDN w:val="0"/>
        <w:adjustRightInd w:val="0"/>
        <w:spacing w:line="240" w:lineRule="auto"/>
        <w:rPr>
          <w:rFonts w:eastAsia="MS Mincho"/>
          <w:szCs w:val="22"/>
          <w:lang w:eastAsia="en-US" w:bidi="ar-SA"/>
        </w:rPr>
      </w:pPr>
    </w:p>
    <w:p w14:paraId="1A3E92ED"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6D974B9D" w14:textId="77777777" w:rsidR="00C04CAD" w:rsidRDefault="00C04CAD">
      <w:pPr>
        <w:autoSpaceDE w:val="0"/>
        <w:autoSpaceDN w:val="0"/>
        <w:adjustRightInd w:val="0"/>
        <w:spacing w:line="240" w:lineRule="auto"/>
        <w:rPr>
          <w:rFonts w:eastAsia="MS Mincho"/>
          <w:szCs w:val="22"/>
          <w:lang w:eastAsia="en-US" w:bidi="ar-SA"/>
        </w:rPr>
      </w:pPr>
    </w:p>
    <w:p w14:paraId="603CBBBF" w14:textId="77777777" w:rsidR="00C04CAD" w:rsidRDefault="00C04CAD">
      <w:pPr>
        <w:autoSpaceDE w:val="0"/>
        <w:autoSpaceDN w:val="0"/>
        <w:adjustRightInd w:val="0"/>
        <w:spacing w:line="240" w:lineRule="auto"/>
        <w:rPr>
          <w:rFonts w:eastAsia="MS Mincho"/>
          <w:szCs w:val="22"/>
          <w:lang w:eastAsia="en-US" w:bidi="ar-SA"/>
        </w:rPr>
      </w:pPr>
    </w:p>
    <w:p w14:paraId="14FB7604"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0DEB32F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30E504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mg/0,4 ml seringă</w:t>
      </w:r>
    </w:p>
    <w:p w14:paraId="272B3A0B"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405E87F2"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0592217D"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521B7254" w14:textId="77777777" w:rsidR="00C04CAD" w:rsidRDefault="00C04CAD">
      <w:pPr>
        <w:autoSpaceDE w:val="0"/>
        <w:autoSpaceDN w:val="0"/>
        <w:adjustRightInd w:val="0"/>
        <w:spacing w:line="240" w:lineRule="auto"/>
        <w:rPr>
          <w:rFonts w:eastAsia="MS Mincho"/>
          <w:szCs w:val="22"/>
          <w:lang w:eastAsia="en-US" w:bidi="ar-SA"/>
        </w:rPr>
      </w:pPr>
    </w:p>
    <w:p w14:paraId="01FDEA05"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05076BB5" w14:textId="77777777" w:rsidR="00C04CAD" w:rsidRDefault="00C04CAD">
      <w:pPr>
        <w:autoSpaceDE w:val="0"/>
        <w:autoSpaceDN w:val="0"/>
        <w:adjustRightInd w:val="0"/>
        <w:spacing w:line="240" w:lineRule="auto"/>
        <w:rPr>
          <w:rFonts w:eastAsia="MS Mincho"/>
          <w:szCs w:val="22"/>
          <w:highlight w:val="lightGray"/>
          <w:lang w:eastAsia="en-US" w:bidi="ar-SA"/>
        </w:rPr>
      </w:pPr>
    </w:p>
    <w:p w14:paraId="08BBA07A" w14:textId="77777777" w:rsidR="00C04CAD" w:rsidRDefault="00C04CAD">
      <w:pPr>
        <w:autoSpaceDE w:val="0"/>
        <w:autoSpaceDN w:val="0"/>
        <w:adjustRightInd w:val="0"/>
        <w:spacing w:line="240" w:lineRule="auto"/>
        <w:rPr>
          <w:rFonts w:eastAsia="MS Mincho"/>
          <w:szCs w:val="22"/>
          <w:lang w:eastAsia="en-US" w:bidi="ar-SA"/>
        </w:rPr>
      </w:pPr>
    </w:p>
    <w:p w14:paraId="210828C0" w14:textId="77777777" w:rsidR="00C04CAD" w:rsidRDefault="00060E34">
      <w:pPr>
        <w:keepNext/>
        <w:numPr>
          <w:ilvl w:val="0"/>
          <w:numId w:val="32"/>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5110206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2B8BDE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345A2B9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02485166" w14:textId="77777777" w:rsidR="00C04CAD" w:rsidRDefault="00060E34">
      <w:pPr>
        <w:tabs>
          <w:tab w:val="clear" w:pos="567"/>
        </w:tabs>
        <w:autoSpaceDE w:val="0"/>
        <w:autoSpaceDN w:val="0"/>
        <w:adjustRightInd w:val="0"/>
        <w:spacing w:line="240" w:lineRule="auto"/>
        <w:rPr>
          <w:rFonts w:eastAsia="MS Mincho"/>
          <w:vanish/>
          <w:szCs w:val="22"/>
          <w:lang w:eastAsia="en-US" w:bidi="ar-SA"/>
        </w:rPr>
      </w:pPr>
      <w:r>
        <w:rPr>
          <w:rFonts w:eastAsia="MS Mincho"/>
          <w:szCs w:val="22"/>
          <w:lang w:eastAsia="en-US" w:bidi="ar-SA"/>
        </w:rPr>
        <w:t>NN</w:t>
      </w:r>
    </w:p>
    <w:p w14:paraId="2B677958" w14:textId="77777777" w:rsidR="00C04CAD" w:rsidRDefault="00060E34">
      <w:pPr>
        <w:spacing w:line="240" w:lineRule="auto"/>
        <w:rPr>
          <w:b/>
          <w:szCs w:val="22"/>
        </w:rPr>
      </w:pPr>
      <w:r>
        <w:rPr>
          <w:szCs w:val="22"/>
          <w:shd w:val="clear" w:color="auto" w:fill="CCCCCC"/>
        </w:rPr>
        <w:br w:type="page"/>
      </w:r>
    </w:p>
    <w:p w14:paraId="3BA6DCCB"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0B712E97"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10151E57"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INTERMEDIARĂ PENTRU AMBALAJUL MULTIPLU AL SERINGII PREUMPLUTE (fără chenar albastru)</w:t>
      </w:r>
    </w:p>
    <w:p w14:paraId="1539AE0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0D5DB6B" w14:textId="77777777" w:rsidR="00C04CAD" w:rsidRDefault="00C04CAD">
      <w:pPr>
        <w:autoSpaceDE w:val="0"/>
        <w:autoSpaceDN w:val="0"/>
        <w:adjustRightInd w:val="0"/>
        <w:spacing w:line="240" w:lineRule="auto"/>
        <w:rPr>
          <w:rFonts w:eastAsia="MS Mincho"/>
          <w:szCs w:val="22"/>
          <w:lang w:eastAsia="en-US" w:bidi="ar-SA"/>
        </w:rPr>
      </w:pPr>
    </w:p>
    <w:p w14:paraId="074F7D67"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tabs>
          <w:tab w:val="clear" w:pos="567"/>
          <w:tab w:val="left" w:pos="0"/>
        </w:tabs>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0F8A909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1DAB9B7"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 xml:space="preserve"> 40 mg soluţie injectabilă în seringă preumplută</w:t>
      </w:r>
    </w:p>
    <w:p w14:paraId="4F1383C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3AB39BD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76EA7E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B2C1B1E"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36190B5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9D4E05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 xml:space="preserve">Fiecare seringă preumplută conţine adalimumab 40 mg în 0,4 ml soluţie. </w:t>
      </w:r>
    </w:p>
    <w:p w14:paraId="76AF84B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682ED9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7E1B1F8"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1875311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2E90975"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211CBFF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6FE621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805FEFF"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2914530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BC21DF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31037DB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6DF9D2A7"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lang w:eastAsia="en-US" w:bidi="ar-SA"/>
        </w:rPr>
        <w:t>2 seringi preumplute. Component al ambalajului multiplu, nu poate fi vândut separat.</w:t>
      </w:r>
    </w:p>
    <w:p w14:paraId="24134B5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33D965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CBCF2ED"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37C042D8"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5D11CA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224517C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4FACD58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3487648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929088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63A042E"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3ABF3553"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46D781C"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06A5A48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BA5F7D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9226F77"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491AF91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AD24DBB"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60FCD420"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5E62BD9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D11491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6B2EBAE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AC4C97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A71D82F"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2C7F69F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F10782E"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25DF3B94"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7FFD5F73"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3643B1F1"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E0E4B6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570B5D7"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2FFCF51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654249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50D7506"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604F46C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C5B848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3DF8246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7398884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3DB22E3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77A2F26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13B3DA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8B8110C"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6872BEB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50C6082"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EU/1/16/1164/013</w:t>
      </w:r>
    </w:p>
    <w:p w14:paraId="16DF1AC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812AC3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F669499"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w:t>
      </w:r>
    </w:p>
    <w:p w14:paraId="2D5F95C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012E0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1350D59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F1E90B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2A1AECA"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3FBB6914" w14:textId="77777777" w:rsidR="00C04CAD" w:rsidRDefault="00C04CAD">
      <w:pPr>
        <w:autoSpaceDE w:val="0"/>
        <w:autoSpaceDN w:val="0"/>
        <w:adjustRightInd w:val="0"/>
        <w:spacing w:line="240" w:lineRule="auto"/>
        <w:rPr>
          <w:rFonts w:eastAsia="MS Mincho"/>
          <w:i/>
          <w:szCs w:val="22"/>
          <w:lang w:eastAsia="en-US" w:bidi="ar-SA"/>
        </w:rPr>
      </w:pPr>
    </w:p>
    <w:p w14:paraId="13BAFB1C" w14:textId="77777777" w:rsidR="00C04CAD" w:rsidRDefault="00C04CAD">
      <w:pPr>
        <w:autoSpaceDE w:val="0"/>
        <w:autoSpaceDN w:val="0"/>
        <w:adjustRightInd w:val="0"/>
        <w:spacing w:line="240" w:lineRule="auto"/>
        <w:rPr>
          <w:rFonts w:eastAsia="MS Mincho"/>
          <w:szCs w:val="22"/>
          <w:lang w:eastAsia="en-US" w:bidi="ar-SA"/>
        </w:rPr>
      </w:pPr>
    </w:p>
    <w:p w14:paraId="074028A8"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43647372" w14:textId="77777777" w:rsidR="00C04CAD" w:rsidRDefault="00C04CAD">
      <w:pPr>
        <w:autoSpaceDE w:val="0"/>
        <w:autoSpaceDN w:val="0"/>
        <w:adjustRightInd w:val="0"/>
        <w:spacing w:line="240" w:lineRule="auto"/>
        <w:rPr>
          <w:rFonts w:eastAsia="MS Mincho"/>
          <w:szCs w:val="22"/>
          <w:lang w:eastAsia="en-US" w:bidi="ar-SA"/>
        </w:rPr>
      </w:pPr>
    </w:p>
    <w:p w14:paraId="7FADC203" w14:textId="77777777" w:rsidR="00C04CAD" w:rsidRDefault="00C04CAD">
      <w:pPr>
        <w:autoSpaceDE w:val="0"/>
        <w:autoSpaceDN w:val="0"/>
        <w:adjustRightInd w:val="0"/>
        <w:spacing w:line="240" w:lineRule="auto"/>
        <w:rPr>
          <w:rFonts w:eastAsia="MS Mincho"/>
          <w:szCs w:val="22"/>
          <w:lang w:eastAsia="en-US" w:bidi="ar-SA"/>
        </w:rPr>
      </w:pPr>
    </w:p>
    <w:p w14:paraId="47F8F8FB"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357493D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57A29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40 mg/0,4 ml seringă</w:t>
      </w:r>
    </w:p>
    <w:p w14:paraId="4104BF9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E36C3B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5FE5436"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COD DE BARE BIDIMENSIONAL</w:t>
      </w:r>
    </w:p>
    <w:p w14:paraId="48F17FA5" w14:textId="77777777" w:rsidR="00C04CAD" w:rsidRDefault="00C04CAD">
      <w:pPr>
        <w:autoSpaceDE w:val="0"/>
        <w:autoSpaceDN w:val="0"/>
        <w:adjustRightInd w:val="0"/>
        <w:spacing w:line="240" w:lineRule="auto"/>
        <w:rPr>
          <w:rFonts w:eastAsia="MS Mincho"/>
          <w:szCs w:val="22"/>
          <w:lang w:eastAsia="en-US" w:bidi="ar-SA"/>
        </w:rPr>
      </w:pPr>
    </w:p>
    <w:p w14:paraId="73BAC996" w14:textId="77777777" w:rsidR="00C04CAD" w:rsidRDefault="00C04CAD">
      <w:pPr>
        <w:autoSpaceDE w:val="0"/>
        <w:autoSpaceDN w:val="0"/>
        <w:adjustRightInd w:val="0"/>
        <w:spacing w:line="240" w:lineRule="auto"/>
        <w:rPr>
          <w:rFonts w:eastAsia="MS Mincho"/>
          <w:szCs w:val="22"/>
          <w:lang w:eastAsia="en-US" w:bidi="ar-SA"/>
        </w:rPr>
      </w:pPr>
    </w:p>
    <w:p w14:paraId="5FD467DE" w14:textId="77777777" w:rsidR="00C04CAD" w:rsidRDefault="00060E34">
      <w:pPr>
        <w:keepNext/>
        <w:numPr>
          <w:ilvl w:val="0"/>
          <w:numId w:val="33"/>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DATE LIZIBILE PENTRU PERSOANE</w:t>
      </w:r>
    </w:p>
    <w:p w14:paraId="72A18A8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A4C9046"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2647937D" w14:textId="77777777" w:rsidR="00C04CAD" w:rsidRDefault="00060E34">
      <w:pPr>
        <w:tabs>
          <w:tab w:val="clear" w:pos="567"/>
        </w:tabs>
        <w:spacing w:line="240" w:lineRule="auto"/>
        <w:rPr>
          <w:rFonts w:eastAsia="MS Mincho"/>
          <w:szCs w:val="22"/>
          <w:shd w:val="clear" w:color="auto" w:fill="CCCCCC"/>
          <w:lang w:eastAsia="en-US" w:bidi="ar-SA"/>
        </w:rPr>
      </w:pPr>
      <w:r>
        <w:rPr>
          <w:rFonts w:eastAsia="MS Mincho"/>
          <w:szCs w:val="22"/>
          <w:shd w:val="clear" w:color="auto" w:fill="CCCCCC"/>
          <w:lang w:eastAsia="en-US" w:bidi="ar-SA"/>
        </w:rPr>
        <w:br w:type="page"/>
      </w:r>
    </w:p>
    <w:p w14:paraId="22F1F5E2" w14:textId="77777777" w:rsidR="00C04CAD" w:rsidRDefault="00060E34">
      <w:pPr>
        <w:pBdr>
          <w:top w:val="single" w:sz="4" w:space="1" w:color="auto"/>
          <w:left w:val="single" w:sz="4" w:space="4" w:color="auto"/>
          <w:bottom w:val="single" w:sz="4" w:space="1" w:color="auto"/>
          <w:right w:val="single" w:sz="4" w:space="4" w:color="auto"/>
        </w:pBdr>
        <w:autoSpaceDE w:val="0"/>
        <w:autoSpaceDN w:val="0"/>
        <w:adjustRightInd w:val="0"/>
        <w:spacing w:line="240" w:lineRule="auto"/>
        <w:rPr>
          <w:rFonts w:eastAsia="MS Mincho"/>
          <w:b/>
          <w:szCs w:val="22"/>
          <w:lang w:eastAsia="en-US" w:bidi="ar-SA"/>
        </w:rPr>
      </w:pPr>
      <w:r>
        <w:rPr>
          <w:rFonts w:eastAsia="MS Mincho"/>
          <w:b/>
          <w:szCs w:val="22"/>
          <w:lang w:eastAsia="en-US" w:bidi="ar-SA"/>
        </w:rPr>
        <w:t>MINIMUM DE INFORMAȚII CARE TREBUIE SĂ APARĂ PE AMBALAJELE PRIMARE MICI</w:t>
      </w:r>
    </w:p>
    <w:p w14:paraId="37729FEA"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436DB26B"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SERINGĂ</w:t>
      </w:r>
    </w:p>
    <w:p w14:paraId="6262879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8F97C9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62D4536" w14:textId="77777777" w:rsidR="00C04CAD" w:rsidRDefault="00060E34">
      <w:pPr>
        <w:numPr>
          <w:ilvl w:val="0"/>
          <w:numId w:val="3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DENUMIREA COMERCIALĂ A MEDICAMENTULUI ȘI CALEA(CĂILE) DE ADMINISTRARE</w:t>
      </w:r>
    </w:p>
    <w:p w14:paraId="61C4DD71" w14:textId="77777777" w:rsidR="00C04CAD" w:rsidRDefault="00C04CAD">
      <w:pPr>
        <w:tabs>
          <w:tab w:val="clear" w:pos="567"/>
        </w:tabs>
        <w:autoSpaceDE w:val="0"/>
        <w:autoSpaceDN w:val="0"/>
        <w:adjustRightInd w:val="0"/>
        <w:spacing w:line="240" w:lineRule="auto"/>
        <w:ind w:left="567" w:hanging="567"/>
        <w:rPr>
          <w:rFonts w:eastAsia="MS Mincho"/>
          <w:szCs w:val="22"/>
          <w:lang w:eastAsia="en-US" w:bidi="ar-SA"/>
        </w:rPr>
      </w:pPr>
    </w:p>
    <w:p w14:paraId="58701410"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AMGEVITA 40 mg injec</w:t>
      </w:r>
      <w:r>
        <w:rPr>
          <w:rFonts w:eastAsia="MS Mincho"/>
          <w:szCs w:val="22"/>
          <w:lang w:eastAsia="en-US" w:bidi="ar-SA"/>
        </w:rPr>
        <w:t>ţ</w:t>
      </w:r>
      <w:r>
        <w:rPr>
          <w:rFonts w:eastAsia="MS Mincho"/>
          <w:szCs w:val="22"/>
          <w:lang w:eastAsia="ja-JP" w:bidi="ar-SA"/>
        </w:rPr>
        <w:t>ie</w:t>
      </w:r>
    </w:p>
    <w:p w14:paraId="5EBE85BF"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4E1DEBB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ja-JP" w:bidi="ar-SA"/>
        </w:rPr>
        <w:t>SC</w:t>
      </w:r>
    </w:p>
    <w:p w14:paraId="6CE8CAE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BE0B8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ACD895F" w14:textId="77777777" w:rsidR="00C04CAD" w:rsidRDefault="00060E34">
      <w:pPr>
        <w:numPr>
          <w:ilvl w:val="0"/>
          <w:numId w:val="3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4A1BCBF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76D97E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2686CF4" w14:textId="77777777" w:rsidR="00C04CAD" w:rsidRDefault="00060E34">
      <w:pPr>
        <w:numPr>
          <w:ilvl w:val="0"/>
          <w:numId w:val="3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6B289AC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FC7228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65848BA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8EE741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EE94C55" w14:textId="77777777" w:rsidR="00C04CAD" w:rsidRDefault="00060E34">
      <w:pPr>
        <w:numPr>
          <w:ilvl w:val="0"/>
          <w:numId w:val="3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372243E1"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892D0E7"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7364F04D"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0263B7A2"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688667E" w14:textId="77777777" w:rsidR="00C04CAD" w:rsidRDefault="00060E34">
      <w:pPr>
        <w:numPr>
          <w:ilvl w:val="0"/>
          <w:numId w:val="3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CONȚINUTUL PE MASĂ, VOLUM SAU UNITATEA DE DOZĂ</w:t>
      </w:r>
    </w:p>
    <w:p w14:paraId="79D0C2CB"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58CDE07A"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0,4 ml</w:t>
      </w:r>
    </w:p>
    <w:p w14:paraId="6D29968A"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6F810D63"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4EB867A" w14:textId="77777777" w:rsidR="00C04CAD" w:rsidRDefault="00060E34">
      <w:pPr>
        <w:numPr>
          <w:ilvl w:val="0"/>
          <w:numId w:val="34"/>
        </w:numPr>
        <w:pBdr>
          <w:top w:val="single" w:sz="4" w:space="1" w:color="auto"/>
          <w:left w:val="single" w:sz="4" w:space="4" w:color="auto"/>
          <w:bottom w:val="single" w:sz="4" w:space="0"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1A92C55F"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0BAA9931"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2AC3B1D0"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bCs/>
          <w:szCs w:val="22"/>
          <w:lang w:eastAsia="en-US" w:bidi="ar-SA"/>
        </w:rPr>
        <w:br w:type="page"/>
      </w:r>
    </w:p>
    <w:p w14:paraId="30893734"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1B179A0A"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737D246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PEN PREUMPLUT</w:t>
      </w:r>
    </w:p>
    <w:p w14:paraId="22EB960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2E6A2E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504E332"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478CB62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C33D5F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w:t>
      </w:r>
      <w:r>
        <w:rPr>
          <w:rFonts w:eastAsia="MS Gothic"/>
          <w:szCs w:val="22"/>
          <w:lang w:eastAsia="en-US" w:bidi="ar-SA"/>
        </w:rPr>
        <w:t>0 </w:t>
      </w:r>
      <w:r>
        <w:rPr>
          <w:rFonts w:eastAsia="MS Mincho"/>
          <w:szCs w:val="22"/>
          <w:lang w:eastAsia="en-US" w:bidi="ar-SA"/>
        </w:rPr>
        <w:t>mg soluţie injectabilă în pen preumplut</w:t>
      </w:r>
    </w:p>
    <w:p w14:paraId="6BA47DF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20810B6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9E46F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14D9C2"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3AF2962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7775C9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4</w:t>
      </w:r>
      <w:r>
        <w:rPr>
          <w:rFonts w:eastAsia="MS Gothic"/>
          <w:szCs w:val="22"/>
          <w:lang w:eastAsia="en-US" w:bidi="ar-SA"/>
        </w:rPr>
        <w:t>0 </w:t>
      </w:r>
      <w:r>
        <w:rPr>
          <w:rFonts w:eastAsia="MS Mincho"/>
          <w:szCs w:val="22"/>
          <w:lang w:eastAsia="en-US" w:bidi="ar-SA"/>
        </w:rPr>
        <w:t>mg în 0,4</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0927EF1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C0BFDD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3166C63"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1E48E3C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D577D58"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50708550"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07B7411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C486F24"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21DC678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7BBF3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69647F4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4F735A6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pen SureClick preumplut</w:t>
      </w:r>
    </w:p>
    <w:p w14:paraId="1760D1B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2 penuri SureClick preumplute.</w:t>
      </w:r>
    </w:p>
    <w:p w14:paraId="7859B28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42260C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E75848"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27329F8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C1E713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16EABBF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4639391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1C50CD3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2DDECA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CDBB68"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4D9B69B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E33385E"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6E06526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394149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2E75A65"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6083B79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827396E"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53D30A6D"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6243CCCA"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E144F60"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4C36089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FF4663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E023241"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654EE57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EC6F29C"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51560A5C"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6CD85465"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422A92E3"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651F364"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40F336DE"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4D8CC01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B1D2E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FF3AEC5"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22849BC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458DD7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7034CC3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348C07D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7B16A30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2E79BD3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5C566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46C419A"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281D9F0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36A2FC7" w14:textId="77777777" w:rsidR="00C04CAD" w:rsidRDefault="00060E34">
      <w:pPr>
        <w:tabs>
          <w:tab w:val="clear" w:pos="567"/>
        </w:tabs>
        <w:autoSpaceDE w:val="0"/>
        <w:autoSpaceDN w:val="0"/>
        <w:adjustRightInd w:val="0"/>
        <w:spacing w:line="240" w:lineRule="auto"/>
        <w:rPr>
          <w:rFonts w:eastAsia="MS Gothic"/>
          <w:szCs w:val="22"/>
          <w:highlight w:val="lightGray"/>
          <w:lang w:eastAsia="en-US" w:bidi="ar-SA"/>
        </w:rPr>
      </w:pPr>
      <w:r>
        <w:rPr>
          <w:color w:val="000000"/>
        </w:rPr>
        <w:t>EU/1/16/1164/014</w:t>
      </w:r>
      <w:r>
        <w:rPr>
          <w:rFonts w:eastAsia="MS Mincho"/>
          <w:szCs w:val="22"/>
          <w:lang w:eastAsia="en-US" w:bidi="ar-SA"/>
        </w:rPr>
        <w:t xml:space="preserve"> </w:t>
      </w:r>
      <w:r>
        <w:rPr>
          <w:rFonts w:eastAsia="MS Mincho"/>
          <w:szCs w:val="22"/>
          <w:highlight w:val="lightGray"/>
          <w:lang w:eastAsia="en-US" w:bidi="ar-SA"/>
        </w:rPr>
        <w:t>1 pen preumplut</w:t>
      </w:r>
    </w:p>
    <w:p w14:paraId="6BB7982B"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highlight w:val="lightGray"/>
        </w:rPr>
        <w:t>EU/1/16/1164/015</w:t>
      </w:r>
      <w:r>
        <w:rPr>
          <w:rFonts w:eastAsia="MS Mincho"/>
          <w:szCs w:val="22"/>
          <w:highlight w:val="lightGray"/>
          <w:lang w:eastAsia="en-US" w:bidi="ar-SA"/>
        </w:rPr>
        <w:t xml:space="preserve"> 2 penuri preumplute</w:t>
      </w:r>
    </w:p>
    <w:p w14:paraId="7D55904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68CA19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C1F5DA4"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0A58433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718029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6F27C0E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3214A4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2C0560"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26D6FD75"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20C6333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EA7AA48"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313C7C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874931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3C3499"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3FBA97A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458420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mg/0,4 ml pen</w:t>
      </w:r>
    </w:p>
    <w:p w14:paraId="78EAAD8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5E103F41"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0577C67"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274C4274"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39E171C" w14:textId="77777777" w:rsidR="00C04CAD" w:rsidRDefault="00060E34">
      <w:pPr>
        <w:keepNext/>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52E96523" w14:textId="77777777" w:rsidR="00C04CAD" w:rsidRDefault="00C04CAD">
      <w:pPr>
        <w:keepNext/>
        <w:tabs>
          <w:tab w:val="clear" w:pos="567"/>
        </w:tabs>
        <w:autoSpaceDE w:val="0"/>
        <w:autoSpaceDN w:val="0"/>
        <w:adjustRightInd w:val="0"/>
        <w:spacing w:line="240" w:lineRule="auto"/>
        <w:rPr>
          <w:rFonts w:eastAsia="MS Gothic"/>
          <w:szCs w:val="22"/>
          <w:highlight w:val="lightGray"/>
          <w:lang w:eastAsia="en-US" w:bidi="ar-SA"/>
        </w:rPr>
      </w:pPr>
    </w:p>
    <w:p w14:paraId="5ED9D2F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5804DF6" w14:textId="77777777" w:rsidR="00C04CAD" w:rsidRDefault="00060E34">
      <w:pPr>
        <w:keepNext/>
        <w:numPr>
          <w:ilvl w:val="0"/>
          <w:numId w:val="3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063BC19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D7E94E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3C23FE1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4BD8C3A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55D7AA9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DB7A45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9297142" w14:textId="77777777" w:rsidR="00C04CAD" w:rsidRDefault="00C04CAD">
      <w:pPr>
        <w:shd w:val="clear" w:color="auto" w:fill="FFFFFF"/>
        <w:tabs>
          <w:tab w:val="clear" w:pos="567"/>
        </w:tabs>
        <w:autoSpaceDE w:val="0"/>
        <w:autoSpaceDN w:val="0"/>
        <w:adjustRightInd w:val="0"/>
        <w:spacing w:line="240" w:lineRule="auto"/>
        <w:rPr>
          <w:rFonts w:eastAsia="MS Mincho"/>
          <w:szCs w:val="22"/>
          <w:lang w:eastAsia="en-US" w:bidi="ar-SA"/>
        </w:rPr>
      </w:pPr>
    </w:p>
    <w:p w14:paraId="65EAB2E9" w14:textId="77777777" w:rsidR="00C04CAD" w:rsidRDefault="00060E34">
      <w:pPr>
        <w:tabs>
          <w:tab w:val="clear" w:pos="567"/>
        </w:tabs>
        <w:spacing w:line="240" w:lineRule="auto"/>
        <w:rPr>
          <w:rFonts w:eastAsia="MS Mincho"/>
          <w:vanish/>
          <w:szCs w:val="22"/>
          <w:lang w:eastAsia="en-US" w:bidi="ar-SA"/>
        </w:rPr>
      </w:pPr>
      <w:r>
        <w:rPr>
          <w:rFonts w:eastAsia="MS Mincho"/>
          <w:vanish/>
          <w:szCs w:val="22"/>
          <w:lang w:eastAsia="en-US" w:bidi="ar-SA"/>
        </w:rPr>
        <w:br w:type="page"/>
      </w:r>
    </w:p>
    <w:p w14:paraId="77DE8ED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301B24DA"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1C618927"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AMBALAJ SECUNDAR PENTRU AMBALAJUL MULTIPLU AL PEN-ULUI PREUMPLUT (cu chenar albastru)</w:t>
      </w:r>
    </w:p>
    <w:p w14:paraId="64D75B5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4D8A91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DCD5C9"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110283D2"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2887D63F"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w:t>
      </w:r>
      <w:r>
        <w:rPr>
          <w:rFonts w:eastAsia="MS Gothic"/>
          <w:szCs w:val="22"/>
          <w:lang w:eastAsia="en-US" w:bidi="ar-SA"/>
        </w:rPr>
        <w:t>0 </w:t>
      </w:r>
      <w:r>
        <w:rPr>
          <w:rFonts w:eastAsia="MS Mincho"/>
          <w:szCs w:val="22"/>
          <w:lang w:eastAsia="en-US" w:bidi="ar-SA"/>
        </w:rPr>
        <w:t>mg soluţie injectabilă în pen preumplut</w:t>
      </w:r>
    </w:p>
    <w:p w14:paraId="7E33093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06F6B85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20A9E3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C64C886"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316D920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387C5BF"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4</w:t>
      </w:r>
      <w:r>
        <w:rPr>
          <w:rFonts w:eastAsia="MS Gothic"/>
          <w:szCs w:val="22"/>
          <w:lang w:eastAsia="en-US" w:bidi="ar-SA"/>
        </w:rPr>
        <w:t>0 </w:t>
      </w:r>
      <w:r>
        <w:rPr>
          <w:rFonts w:eastAsia="MS Mincho"/>
          <w:szCs w:val="22"/>
          <w:lang w:eastAsia="en-US" w:bidi="ar-SA"/>
        </w:rPr>
        <w:t>mg în 0,4</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1ABA1AD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0A5480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C93A25"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35C84BD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011A1D6"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1F7A73D3"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37BA1A6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993B675"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32CBACE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AB5D4D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3CB326A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3FDEB9BF"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Ambalaj multiplu: 6 (3 cutii a câte 2 penuri) penuri SureClick preumplute.</w:t>
      </w:r>
    </w:p>
    <w:p w14:paraId="5E88AF7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CC1968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9B9328D"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00D5462F"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0F22F5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360E4A1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5D3DFA0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2DAE15F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A8D97C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034D41"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1AB7B2C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45208A9"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2A22EDB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90794A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2DD889A"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17CE6AEB"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4E86D38"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43B2F1DB"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42F549B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71974D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06A4AFB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6F5646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F1ABA36"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7F6672F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8558DA1"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252724F1"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69C10804"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2D5D72D2"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50AB54F"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36DA7B6E"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76BDFBC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1720DA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F83081A"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20DAA31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EAF746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2C12A05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619CFCB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5E99038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2F2836B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4C7F5E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327111"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08288F9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71860DB"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rPr>
        <w:t>EU/1/16/1164/016</w:t>
      </w:r>
      <w:r>
        <w:rPr>
          <w:rFonts w:eastAsia="MS Mincho"/>
          <w:szCs w:val="22"/>
          <w:lang w:eastAsia="en-US" w:bidi="ar-SA"/>
        </w:rPr>
        <w:t xml:space="preserve"> </w:t>
      </w:r>
    </w:p>
    <w:p w14:paraId="1D48675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DB1F7E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F81588D"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102EF31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42F7E7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5D14346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B2C7AF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4770EA2"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067924B6"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7082150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96CE516"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719D647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E24238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B734337"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5FE65AA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33102C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mg/0,4 ml pen</w:t>
      </w:r>
    </w:p>
    <w:p w14:paraId="2A43552B"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74272F2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E48F7E3"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705A77B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9B050F2"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5C1E323F" w14:textId="77777777" w:rsidR="00C04CAD" w:rsidRDefault="00C04CAD">
      <w:pPr>
        <w:tabs>
          <w:tab w:val="clear" w:pos="567"/>
        </w:tabs>
        <w:autoSpaceDE w:val="0"/>
        <w:autoSpaceDN w:val="0"/>
        <w:adjustRightInd w:val="0"/>
        <w:spacing w:line="240" w:lineRule="auto"/>
        <w:rPr>
          <w:rFonts w:eastAsia="MS Gothic"/>
          <w:szCs w:val="22"/>
          <w:highlight w:val="lightGray"/>
          <w:lang w:eastAsia="en-US" w:bidi="ar-SA"/>
        </w:rPr>
      </w:pPr>
    </w:p>
    <w:p w14:paraId="0D7A8F0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1CDC7DA" w14:textId="77777777" w:rsidR="00C04CAD" w:rsidRDefault="00060E34">
      <w:pPr>
        <w:keepNext/>
        <w:numPr>
          <w:ilvl w:val="0"/>
          <w:numId w:val="3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3E78B48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7B2CA6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610BBB1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1A14595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19B504A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7F3EAC"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szCs w:val="22"/>
          <w:lang w:eastAsia="en-US" w:bidi="ar-SA"/>
        </w:rPr>
        <w:br w:type="page"/>
      </w:r>
      <w:r>
        <w:rPr>
          <w:rFonts w:eastAsia="MS Mincho"/>
          <w:b/>
          <w:szCs w:val="22"/>
          <w:lang w:eastAsia="en-US" w:bidi="ar-SA"/>
        </w:rPr>
        <w:t>INFORMAȚII CARE TREBUIE SĂ APARĂ PE AMBALAJUL SECUNDAR</w:t>
      </w:r>
    </w:p>
    <w:p w14:paraId="3C943070"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1C131E5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CUTIE INTERMEDIARĂ PENTRU AMBALAJUL MULTIPLU AL PEN-ULUI PREUMPLUT (fără chenar albastru)</w:t>
      </w:r>
    </w:p>
    <w:p w14:paraId="2480C24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AAA1E9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B649046"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0BFFAC5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A844B0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w:t>
      </w:r>
      <w:r>
        <w:rPr>
          <w:rFonts w:eastAsia="MS Gothic"/>
          <w:szCs w:val="22"/>
          <w:lang w:eastAsia="en-US" w:bidi="ar-SA"/>
        </w:rPr>
        <w:t>0 </w:t>
      </w:r>
      <w:r>
        <w:rPr>
          <w:rFonts w:eastAsia="MS Mincho"/>
          <w:szCs w:val="22"/>
          <w:lang w:eastAsia="en-US" w:bidi="ar-SA"/>
        </w:rPr>
        <w:t>mg soluţie injectabilă în pen preumplut</w:t>
      </w:r>
    </w:p>
    <w:p w14:paraId="703ED37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35441FA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7E266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F93F8C3"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5ABB254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892303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4</w:t>
      </w:r>
      <w:r>
        <w:rPr>
          <w:rFonts w:eastAsia="MS Gothic"/>
          <w:szCs w:val="22"/>
          <w:lang w:eastAsia="en-US" w:bidi="ar-SA"/>
        </w:rPr>
        <w:t>0 </w:t>
      </w:r>
      <w:r>
        <w:rPr>
          <w:rFonts w:eastAsia="MS Mincho"/>
          <w:szCs w:val="22"/>
          <w:lang w:eastAsia="en-US" w:bidi="ar-SA"/>
        </w:rPr>
        <w:t>mg în 0,4</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7B4FBD5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D20726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0D19630"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237B6ED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157881E"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260DBD38"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7820CA6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D01F969"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6FC9EDE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0B8E96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40DEBB4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40 mg/0,4 ml</w:t>
      </w:r>
    </w:p>
    <w:p w14:paraId="3BC4839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2 penuri SureClick preumplute. Component al unui ambalaj multiplu, nu poate fi vândut separat.</w:t>
      </w:r>
    </w:p>
    <w:p w14:paraId="7CF9130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A5C690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6354DAA"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05F147C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45C638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37632D0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72C2359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1F8F8EF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16D80B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0EFA92C"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4539DBC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7B0E5CA"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386C4C5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DB8F31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531C51"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2E720A2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7FCFD0B"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6F847EA3"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48FB25C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5E5392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25CE82A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E7739A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EEC8919"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1354699D"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2864643C"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2E660E1E"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1C3850D8"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37822DEF"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828FDE6"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77A10C62"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786515C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900FE4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628EB27"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3AD1F17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32921D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7C043D7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49B73B4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1569D11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1786041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B58BA4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F02025"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480E152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F4ED169"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rPr>
        <w:t>EU/1/16/1164/016</w:t>
      </w:r>
    </w:p>
    <w:p w14:paraId="6DC48B3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81E00F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218F0B5"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31D720D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5132D0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6BB3080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E4723D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A36FDB2"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4AAF628A"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45642FE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F8EC713"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1377FE0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D59B3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3BB49D"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0E8CE13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DA8263C"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40 mg/0,4 ml pen</w:t>
      </w:r>
    </w:p>
    <w:p w14:paraId="46CFBB4A"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A50EA8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D417B41"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COD DE BARE BIDIMENSIONAL</w:t>
      </w:r>
    </w:p>
    <w:p w14:paraId="54225A62" w14:textId="77777777" w:rsidR="00C04CAD" w:rsidRDefault="00C04CAD">
      <w:pPr>
        <w:autoSpaceDE w:val="0"/>
        <w:autoSpaceDN w:val="0"/>
        <w:adjustRightInd w:val="0"/>
        <w:spacing w:line="240" w:lineRule="auto"/>
        <w:rPr>
          <w:rFonts w:eastAsia="MS Mincho"/>
          <w:szCs w:val="22"/>
          <w:lang w:eastAsia="en-US" w:bidi="ar-SA"/>
        </w:rPr>
      </w:pPr>
    </w:p>
    <w:p w14:paraId="44F23F7D" w14:textId="77777777" w:rsidR="00C04CAD" w:rsidRDefault="00C04CAD">
      <w:pPr>
        <w:autoSpaceDE w:val="0"/>
        <w:autoSpaceDN w:val="0"/>
        <w:adjustRightInd w:val="0"/>
        <w:spacing w:line="240" w:lineRule="auto"/>
        <w:rPr>
          <w:rFonts w:eastAsia="MS Mincho"/>
          <w:szCs w:val="22"/>
          <w:lang w:eastAsia="en-US" w:bidi="ar-SA"/>
        </w:rPr>
      </w:pPr>
    </w:p>
    <w:p w14:paraId="1C7A68BE" w14:textId="77777777" w:rsidR="00C04CAD" w:rsidRDefault="00060E34">
      <w:pPr>
        <w:keepNext/>
        <w:numPr>
          <w:ilvl w:val="0"/>
          <w:numId w:val="37"/>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DATE LIZIBILE PENTRU PERSOANE</w:t>
      </w:r>
    </w:p>
    <w:p w14:paraId="1F10FBB2"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699497C1"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48EBAE2"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72A41590"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BDC2EA0"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68F56698"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296DD772"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75EEFE69"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6CA305B7"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51F3C2F" w14:textId="77777777" w:rsidR="00C04CAD" w:rsidRDefault="00060E34">
      <w:pPr>
        <w:tabs>
          <w:tab w:val="clear" w:pos="567"/>
        </w:tabs>
        <w:spacing w:line="240" w:lineRule="auto"/>
        <w:rPr>
          <w:rFonts w:eastAsia="MS Mincho"/>
          <w:vanish/>
          <w:szCs w:val="22"/>
          <w:lang w:eastAsia="en-US" w:bidi="ar-SA"/>
        </w:rPr>
      </w:pPr>
      <w:r>
        <w:rPr>
          <w:rFonts w:eastAsia="MS Mincho"/>
          <w:vanish/>
          <w:szCs w:val="22"/>
          <w:lang w:eastAsia="en-US" w:bidi="ar-SA"/>
        </w:rPr>
        <w:br w:type="page"/>
      </w:r>
    </w:p>
    <w:p w14:paraId="5A54B6E8"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MINIMUM DE INFORMAȚII CARE TREBUIE SĂ APARĂ PE AMBALAJELE PRIMARE MICI</w:t>
      </w:r>
    </w:p>
    <w:p w14:paraId="7EF9C854"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4F874DDA"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PEN PREUMPLUT</w:t>
      </w:r>
    </w:p>
    <w:p w14:paraId="14C2907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72D112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6F6E80B"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Gothic"/>
          <w:b/>
          <w:szCs w:val="22"/>
          <w:lang w:eastAsia="en-US" w:bidi="ar-SA"/>
        </w:rPr>
      </w:pPr>
      <w:r>
        <w:rPr>
          <w:rFonts w:eastAsia="MS Mincho"/>
          <w:b/>
          <w:szCs w:val="22"/>
          <w:lang w:eastAsia="en-US" w:bidi="ar-SA"/>
        </w:rPr>
        <w:t>DENUMIREA COMERCIALĂ A MEDICAMENTULUI ȘI CALEA(CĂILE) DE ADMINISTRARE</w:t>
      </w:r>
    </w:p>
    <w:p w14:paraId="2930CBA8"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5001C7D1" w14:textId="77777777" w:rsidR="00C04CAD" w:rsidRDefault="00060E34">
      <w:pPr>
        <w:tabs>
          <w:tab w:val="clear" w:pos="567"/>
        </w:tabs>
        <w:autoSpaceDE w:val="0"/>
        <w:autoSpaceDN w:val="0"/>
        <w:adjustRightInd w:val="0"/>
        <w:spacing w:line="240" w:lineRule="auto"/>
        <w:rPr>
          <w:rFonts w:eastAsia="MS Gothic"/>
          <w:szCs w:val="22"/>
          <w:lang w:eastAsia="ja-JP" w:bidi="ar-SA"/>
        </w:rPr>
      </w:pPr>
      <w:r>
        <w:rPr>
          <w:rFonts w:eastAsia="MS Mincho"/>
          <w:szCs w:val="22"/>
          <w:lang w:eastAsia="ja-JP" w:bidi="ar-SA"/>
        </w:rPr>
        <w:t>AMGEVITA 40 mg injec</w:t>
      </w:r>
      <w:r>
        <w:rPr>
          <w:rFonts w:eastAsia="MS Mincho"/>
          <w:szCs w:val="22"/>
          <w:lang w:eastAsia="en-US" w:bidi="ar-SA"/>
        </w:rPr>
        <w:t>ţ</w:t>
      </w:r>
      <w:r>
        <w:rPr>
          <w:rFonts w:eastAsia="MS Mincho"/>
          <w:szCs w:val="22"/>
          <w:lang w:eastAsia="ja-JP" w:bidi="ar-SA"/>
        </w:rPr>
        <w:t>ie</w:t>
      </w:r>
    </w:p>
    <w:p w14:paraId="6F5B8A52"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25D64D1F"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ja-JP" w:bidi="ar-SA"/>
        </w:rPr>
        <w:t>SC</w:t>
      </w:r>
    </w:p>
    <w:p w14:paraId="2959764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81C523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18B1DEA"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71075F3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2DDA11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B78F765"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7AB7BEF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625414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0E4601E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EC3F54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EA57006"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1BC757BF"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497DEB64"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7EBC2D39"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141FD201"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3C8323A"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CONȚINUTUL PE MASĂ, VOLUM SAU UNITATEA DE DOZĂ</w:t>
      </w:r>
    </w:p>
    <w:p w14:paraId="523BA7F2"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55A6D6B0"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Gothic"/>
          <w:szCs w:val="22"/>
          <w:lang w:eastAsia="en-US" w:bidi="ar-SA"/>
        </w:rPr>
        <w:t>0,</w:t>
      </w:r>
      <w:r>
        <w:rPr>
          <w:rFonts w:eastAsia="MS Mincho"/>
          <w:szCs w:val="22"/>
          <w:lang w:eastAsia="en-US" w:bidi="ar-SA"/>
        </w:rPr>
        <w:t>4 ml</w:t>
      </w:r>
    </w:p>
    <w:p w14:paraId="7C870DBA"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64269912"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7CB3529" w14:textId="77777777" w:rsidR="00C04CAD" w:rsidRDefault="00060E34">
      <w:pPr>
        <w:numPr>
          <w:ilvl w:val="0"/>
          <w:numId w:val="38"/>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09C335C6"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0F2922C"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14DE6007"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br w:type="page"/>
      </w:r>
    </w:p>
    <w:p w14:paraId="3216AF4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2B50171B"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3A93437F"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SERINGĂ PREUMPLUTĂ</w:t>
      </w:r>
    </w:p>
    <w:p w14:paraId="3E912D1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27A950E" w14:textId="77777777" w:rsidR="00C04CAD" w:rsidRDefault="00C04CAD">
      <w:pPr>
        <w:autoSpaceDE w:val="0"/>
        <w:autoSpaceDN w:val="0"/>
        <w:adjustRightInd w:val="0"/>
        <w:spacing w:line="240" w:lineRule="auto"/>
        <w:rPr>
          <w:rFonts w:eastAsia="MS Mincho"/>
          <w:szCs w:val="22"/>
          <w:lang w:eastAsia="en-US" w:bidi="ar-SA"/>
        </w:rPr>
      </w:pPr>
    </w:p>
    <w:p w14:paraId="13B5168D"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tabs>
          <w:tab w:val="clear" w:pos="567"/>
          <w:tab w:val="left" w:pos="0"/>
        </w:tabs>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252ED83F"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12AA522" w14:textId="77777777" w:rsidR="00C04CAD" w:rsidRDefault="00060E34">
      <w:pPr>
        <w:keepNext/>
        <w:spacing w:line="240" w:lineRule="auto"/>
        <w:rPr>
          <w:szCs w:val="22"/>
        </w:rPr>
      </w:pPr>
      <w:r>
        <w:rPr>
          <w:szCs w:val="22"/>
        </w:rPr>
        <w:t xml:space="preserve">AMGEVITA 80 mg </w:t>
      </w:r>
      <w:r>
        <w:t>soluţie injectabilă în seringă preumplută</w:t>
      </w:r>
    </w:p>
    <w:p w14:paraId="2C0DBE54" w14:textId="77777777" w:rsidR="00C04CAD" w:rsidRDefault="00060E34">
      <w:pPr>
        <w:keepNext/>
        <w:spacing w:line="240" w:lineRule="auto"/>
        <w:rPr>
          <w:szCs w:val="22"/>
        </w:rPr>
      </w:pPr>
      <w:r>
        <w:rPr>
          <w:szCs w:val="22"/>
        </w:rPr>
        <w:t>adalimumab</w:t>
      </w:r>
    </w:p>
    <w:p w14:paraId="264B601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4B2992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2A9CFCC"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0795972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0D4AF67" w14:textId="77777777" w:rsidR="00C04CAD" w:rsidRDefault="00060E34">
      <w:pPr>
        <w:keepNext/>
        <w:suppressLineNumbers/>
        <w:spacing w:line="240" w:lineRule="auto"/>
        <w:rPr>
          <w:szCs w:val="22"/>
        </w:rPr>
      </w:pPr>
      <w:r>
        <w:rPr>
          <w:rFonts w:eastAsia="MS Mincho"/>
          <w:szCs w:val="22"/>
          <w:lang w:eastAsia="en-US" w:bidi="ar-SA"/>
        </w:rPr>
        <w:t xml:space="preserve">Fiecare seringă preumplută conţine adalimumab </w:t>
      </w:r>
      <w:r>
        <w:rPr>
          <w:szCs w:val="22"/>
        </w:rPr>
        <w:t xml:space="preserve">80 mg în 0,8 ml </w:t>
      </w:r>
      <w:r>
        <w:rPr>
          <w:rFonts w:eastAsia="MS Mincho"/>
          <w:szCs w:val="22"/>
          <w:lang w:eastAsia="en-US" w:bidi="ar-SA"/>
        </w:rPr>
        <w:t>soluţie.</w:t>
      </w:r>
    </w:p>
    <w:p w14:paraId="4A59BC0A" w14:textId="77777777" w:rsidR="00C04CAD" w:rsidRDefault="00C04CAD">
      <w:pPr>
        <w:spacing w:line="240" w:lineRule="auto"/>
        <w:rPr>
          <w:rFonts w:eastAsia="MS Mincho"/>
          <w:szCs w:val="22"/>
          <w:lang w:eastAsia="en-US" w:bidi="ar-SA"/>
        </w:rPr>
      </w:pPr>
    </w:p>
    <w:p w14:paraId="6F8F994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2F759B5"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163961C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268CDDC"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79AE3E1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C91225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6E04F88"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7657F70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7AC096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0DF284A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2BD6A26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1 seringă preumplută.</w:t>
      </w:r>
    </w:p>
    <w:p w14:paraId="64220131"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highlight w:val="lightGray"/>
          <w:lang w:eastAsia="en-US" w:bidi="ar-SA"/>
        </w:rPr>
        <w:t>2 seringi preumplute.</w:t>
      </w:r>
    </w:p>
    <w:p w14:paraId="0794AD9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DD425D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EBC747B"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1ECD88B3"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E01F1C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3BA616D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6DC7405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0FFC750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322F14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E8DFE50"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386229A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8E4459B"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584F1AA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DBE869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13DDD04"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7D54C90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8B104EF"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7A17142C"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626DC38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7F339C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38FD884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161C99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F8039E4"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0539BFF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3861BEF"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1AEA51F4"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2A56C4F9"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5DCF5B4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6EE607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1F726EC"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719CEB0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BF217D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18A0700"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273B47B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83A301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5B5398B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3116891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48955EF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2568108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44DED3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C934F32"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1A520BA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896D5DF"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EU/1/16/1164/017</w:t>
      </w:r>
      <w:r>
        <w:rPr>
          <w:rFonts w:eastAsia="MS Mincho"/>
          <w:szCs w:val="22"/>
          <w:lang w:eastAsia="en-US" w:bidi="ar-SA"/>
        </w:rPr>
        <w:t xml:space="preserve"> </w:t>
      </w:r>
      <w:r>
        <w:rPr>
          <w:rFonts w:eastAsia="MS Mincho"/>
          <w:szCs w:val="22"/>
          <w:highlight w:val="lightGray"/>
          <w:lang w:eastAsia="en-US" w:bidi="ar-SA"/>
        </w:rPr>
        <w:t>1 seringă preumplută</w:t>
      </w:r>
    </w:p>
    <w:p w14:paraId="2D97A6AD"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highlight w:val="lightGray"/>
        </w:rPr>
        <w:t>EU/1/16/1164/018</w:t>
      </w:r>
      <w:r>
        <w:rPr>
          <w:rFonts w:eastAsia="MS Mincho"/>
          <w:szCs w:val="22"/>
          <w:highlight w:val="lightGray"/>
          <w:lang w:eastAsia="en-US" w:bidi="ar-SA"/>
        </w:rPr>
        <w:t xml:space="preserve"> 2 seringi preumplute</w:t>
      </w:r>
    </w:p>
    <w:p w14:paraId="2DE20C7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40443D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2AB3B17"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FABRICAȚIE&lt;, CODURILE DONAȚIEI ȘI MEDICAMENTULUI&gt;</w:t>
      </w:r>
    </w:p>
    <w:p w14:paraId="3E06ACB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11D77C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02899C3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43B7C7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921E24E"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13F3A06E" w14:textId="77777777" w:rsidR="00C04CAD" w:rsidRDefault="00C04CAD">
      <w:pPr>
        <w:autoSpaceDE w:val="0"/>
        <w:autoSpaceDN w:val="0"/>
        <w:adjustRightInd w:val="0"/>
        <w:spacing w:line="240" w:lineRule="auto"/>
        <w:rPr>
          <w:rFonts w:eastAsia="MS Mincho"/>
          <w:i/>
          <w:szCs w:val="22"/>
          <w:lang w:eastAsia="en-US" w:bidi="ar-SA"/>
        </w:rPr>
      </w:pPr>
    </w:p>
    <w:p w14:paraId="045E6A7D" w14:textId="77777777" w:rsidR="00C04CAD" w:rsidRDefault="00C04CAD">
      <w:pPr>
        <w:autoSpaceDE w:val="0"/>
        <w:autoSpaceDN w:val="0"/>
        <w:adjustRightInd w:val="0"/>
        <w:spacing w:line="240" w:lineRule="auto"/>
        <w:rPr>
          <w:rFonts w:eastAsia="MS Mincho"/>
          <w:szCs w:val="22"/>
          <w:lang w:eastAsia="en-US" w:bidi="ar-SA"/>
        </w:rPr>
      </w:pPr>
    </w:p>
    <w:p w14:paraId="3527FEAC"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5A61EE57" w14:textId="77777777" w:rsidR="00C04CAD" w:rsidRDefault="00C04CAD">
      <w:pPr>
        <w:autoSpaceDE w:val="0"/>
        <w:autoSpaceDN w:val="0"/>
        <w:adjustRightInd w:val="0"/>
        <w:spacing w:line="240" w:lineRule="auto"/>
        <w:rPr>
          <w:rFonts w:eastAsia="MS Mincho"/>
          <w:szCs w:val="22"/>
          <w:lang w:eastAsia="en-US" w:bidi="ar-SA"/>
        </w:rPr>
      </w:pPr>
    </w:p>
    <w:p w14:paraId="7A0161FC" w14:textId="77777777" w:rsidR="00C04CAD" w:rsidRDefault="00C04CAD">
      <w:pPr>
        <w:autoSpaceDE w:val="0"/>
        <w:autoSpaceDN w:val="0"/>
        <w:adjustRightInd w:val="0"/>
        <w:spacing w:line="240" w:lineRule="auto"/>
        <w:rPr>
          <w:rFonts w:eastAsia="MS Mincho"/>
          <w:szCs w:val="22"/>
          <w:lang w:eastAsia="en-US" w:bidi="ar-SA"/>
        </w:rPr>
      </w:pPr>
    </w:p>
    <w:p w14:paraId="2218ED58"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315618E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F06C1F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80 mg/0,8 ml seringă</w:t>
      </w:r>
    </w:p>
    <w:p w14:paraId="514B1AD5"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495146E1"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4E18F5FC"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2EA1B2FE" w14:textId="77777777" w:rsidR="00C04CAD" w:rsidRDefault="00C04CAD">
      <w:pPr>
        <w:autoSpaceDE w:val="0"/>
        <w:autoSpaceDN w:val="0"/>
        <w:adjustRightInd w:val="0"/>
        <w:spacing w:line="240" w:lineRule="auto"/>
        <w:rPr>
          <w:rFonts w:eastAsia="MS Mincho"/>
          <w:szCs w:val="22"/>
          <w:lang w:eastAsia="en-US" w:bidi="ar-SA"/>
        </w:rPr>
      </w:pPr>
    </w:p>
    <w:p w14:paraId="0C5C8A13"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5529BF89" w14:textId="77777777" w:rsidR="00C04CAD" w:rsidRDefault="00C04CAD">
      <w:pPr>
        <w:autoSpaceDE w:val="0"/>
        <w:autoSpaceDN w:val="0"/>
        <w:adjustRightInd w:val="0"/>
        <w:spacing w:line="240" w:lineRule="auto"/>
        <w:rPr>
          <w:rFonts w:eastAsia="MS Mincho"/>
          <w:szCs w:val="22"/>
          <w:highlight w:val="lightGray"/>
          <w:lang w:eastAsia="en-US" w:bidi="ar-SA"/>
        </w:rPr>
      </w:pPr>
    </w:p>
    <w:p w14:paraId="3DA5D34C" w14:textId="77777777" w:rsidR="00C04CAD" w:rsidRDefault="00C04CAD">
      <w:pPr>
        <w:autoSpaceDE w:val="0"/>
        <w:autoSpaceDN w:val="0"/>
        <w:adjustRightInd w:val="0"/>
        <w:spacing w:line="240" w:lineRule="auto"/>
        <w:rPr>
          <w:rFonts w:eastAsia="MS Mincho"/>
          <w:szCs w:val="22"/>
          <w:lang w:eastAsia="en-US" w:bidi="ar-SA"/>
        </w:rPr>
      </w:pPr>
    </w:p>
    <w:p w14:paraId="1DA7CD00" w14:textId="77777777" w:rsidR="00C04CAD" w:rsidRDefault="00060E34">
      <w:pPr>
        <w:keepNext/>
        <w:numPr>
          <w:ilvl w:val="0"/>
          <w:numId w:val="39"/>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497029E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F055A6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3B697A6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5888C32A" w14:textId="77777777" w:rsidR="00C04CAD" w:rsidRDefault="00060E34">
      <w:pPr>
        <w:shd w:val="clear" w:color="auto" w:fill="FFFFFF"/>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11B3F9A1" w14:textId="77777777" w:rsidR="00C04CAD" w:rsidRDefault="00060E34">
      <w:pPr>
        <w:tabs>
          <w:tab w:val="clear" w:pos="567"/>
        </w:tabs>
        <w:spacing w:line="240" w:lineRule="auto"/>
        <w:rPr>
          <w:rFonts w:eastAsia="MS Mincho"/>
          <w:szCs w:val="22"/>
          <w:lang w:eastAsia="en-US" w:bidi="ar-SA"/>
        </w:rPr>
      </w:pPr>
      <w:r>
        <w:rPr>
          <w:rFonts w:eastAsia="MS Mincho"/>
          <w:szCs w:val="22"/>
          <w:lang w:eastAsia="en-US" w:bidi="ar-SA"/>
        </w:rPr>
        <w:br w:type="page"/>
      </w:r>
    </w:p>
    <w:p w14:paraId="407C4106"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79D74B1C"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53695965"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AMBALAJ SECUNDAR PENTRU AMBALAJUL MULTIPLU AL SERINGII PREUMPLUTE (cu chenar albastru)</w:t>
      </w:r>
    </w:p>
    <w:p w14:paraId="0B976B0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AF0F41B" w14:textId="77777777" w:rsidR="00C04CAD" w:rsidRDefault="00C04CAD">
      <w:pPr>
        <w:autoSpaceDE w:val="0"/>
        <w:autoSpaceDN w:val="0"/>
        <w:adjustRightInd w:val="0"/>
        <w:spacing w:line="240" w:lineRule="auto"/>
        <w:rPr>
          <w:rFonts w:eastAsia="MS Mincho"/>
          <w:szCs w:val="22"/>
          <w:lang w:eastAsia="en-US" w:bidi="ar-SA"/>
        </w:rPr>
      </w:pPr>
    </w:p>
    <w:p w14:paraId="18D19B7C"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tabs>
          <w:tab w:val="clear" w:pos="567"/>
          <w:tab w:val="left" w:pos="0"/>
        </w:tabs>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3C469833"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B49A02F"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 xml:space="preserve"> 80 mg soluţie injectabilă în seringă preumplută</w:t>
      </w:r>
    </w:p>
    <w:p w14:paraId="52932C1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730FB33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C5A3F2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D35D225"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44CBD5DE"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AD88C6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Fiecare seringă preumplută conţine adalimumab 80 mg în 0,8 ml soluţie.</w:t>
      </w:r>
    </w:p>
    <w:p w14:paraId="408E19D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682143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74E43EA"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4090623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E14BBA2"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7C6F260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F12648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FA6AF37"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089C783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5BDC34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0BF8819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578F28F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Ambalaj multiplu: 3 (3 cutii a câte 1 seringă) seringi preumplute.</w:t>
      </w:r>
    </w:p>
    <w:p w14:paraId="2A2423D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7EBB5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3E64EE6"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156DBA4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D8FFEC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082DC8A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5F765BA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5AA79C2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B1DF5E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7709807"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35854C6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5D057F1"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34CA9A8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B9829E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78C6778"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606A5DA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B97C1A2"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37EC4842"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7E9CCEB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0B3FC6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73E7E4C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24141F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C8CBB9C"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7E061474"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A4B9C9A"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51C3A087"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58F23A0D"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5FA9EAD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14A376C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E107201"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37F275A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B98EAC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4739CF9"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4259DDC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C9E665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33C9479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4BCD1F5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1738F7A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7F814C0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E4DC51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88FC207"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2E134DE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59F6138"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EU/1/16/1164/019</w:t>
      </w:r>
      <w:r>
        <w:rPr>
          <w:rFonts w:eastAsia="MS Mincho"/>
          <w:szCs w:val="22"/>
          <w:lang w:eastAsia="en-US" w:bidi="ar-SA"/>
        </w:rPr>
        <w:t xml:space="preserve"> </w:t>
      </w:r>
    </w:p>
    <w:p w14:paraId="3E6168D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9FF4B6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1FDA091"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 &lt;, CODURILE DONAȚIEI ȘI MEDICAMENTULUI&gt;</w:t>
      </w:r>
    </w:p>
    <w:p w14:paraId="4A0599D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3EBABA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13257B7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FFD59F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5724B1A"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1CB7F884" w14:textId="77777777" w:rsidR="00C04CAD" w:rsidRDefault="00C04CAD">
      <w:pPr>
        <w:autoSpaceDE w:val="0"/>
        <w:autoSpaceDN w:val="0"/>
        <w:adjustRightInd w:val="0"/>
        <w:spacing w:line="240" w:lineRule="auto"/>
        <w:rPr>
          <w:rFonts w:eastAsia="MS Mincho"/>
          <w:i/>
          <w:szCs w:val="22"/>
          <w:lang w:eastAsia="en-US" w:bidi="ar-SA"/>
        </w:rPr>
      </w:pPr>
    </w:p>
    <w:p w14:paraId="58C5B226" w14:textId="77777777" w:rsidR="00C04CAD" w:rsidRDefault="00C04CAD">
      <w:pPr>
        <w:autoSpaceDE w:val="0"/>
        <w:autoSpaceDN w:val="0"/>
        <w:adjustRightInd w:val="0"/>
        <w:spacing w:line="240" w:lineRule="auto"/>
        <w:rPr>
          <w:rFonts w:eastAsia="MS Mincho"/>
          <w:szCs w:val="22"/>
          <w:lang w:eastAsia="en-US" w:bidi="ar-SA"/>
        </w:rPr>
      </w:pPr>
    </w:p>
    <w:p w14:paraId="33503F9C"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28A51B6A" w14:textId="77777777" w:rsidR="00C04CAD" w:rsidRDefault="00C04CAD">
      <w:pPr>
        <w:autoSpaceDE w:val="0"/>
        <w:autoSpaceDN w:val="0"/>
        <w:adjustRightInd w:val="0"/>
        <w:spacing w:line="240" w:lineRule="auto"/>
        <w:rPr>
          <w:rFonts w:eastAsia="MS Mincho"/>
          <w:szCs w:val="22"/>
          <w:lang w:eastAsia="en-US" w:bidi="ar-SA"/>
        </w:rPr>
      </w:pPr>
    </w:p>
    <w:p w14:paraId="61197FE2" w14:textId="77777777" w:rsidR="00C04CAD" w:rsidRDefault="00C04CAD">
      <w:pPr>
        <w:autoSpaceDE w:val="0"/>
        <w:autoSpaceDN w:val="0"/>
        <w:adjustRightInd w:val="0"/>
        <w:spacing w:line="240" w:lineRule="auto"/>
        <w:rPr>
          <w:rFonts w:eastAsia="MS Mincho"/>
          <w:szCs w:val="22"/>
          <w:lang w:eastAsia="en-US" w:bidi="ar-SA"/>
        </w:rPr>
      </w:pPr>
    </w:p>
    <w:p w14:paraId="2A4BDACB"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3B15617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E498D5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80 mg/0,8 ml seringă</w:t>
      </w:r>
    </w:p>
    <w:p w14:paraId="26BF29E7"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0EB755B8"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2A601C4F"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COD DE BARE BIDIMENSIONAL</w:t>
      </w:r>
    </w:p>
    <w:p w14:paraId="442AB979" w14:textId="77777777" w:rsidR="00C04CAD" w:rsidRDefault="00C04CAD">
      <w:pPr>
        <w:autoSpaceDE w:val="0"/>
        <w:autoSpaceDN w:val="0"/>
        <w:adjustRightInd w:val="0"/>
        <w:spacing w:line="240" w:lineRule="auto"/>
        <w:rPr>
          <w:rFonts w:eastAsia="MS Mincho"/>
          <w:szCs w:val="22"/>
          <w:lang w:eastAsia="en-US" w:bidi="ar-SA"/>
        </w:rPr>
      </w:pPr>
    </w:p>
    <w:p w14:paraId="361A2855" w14:textId="77777777" w:rsidR="00C04CAD" w:rsidRDefault="00060E34">
      <w:pPr>
        <w:autoSpaceDE w:val="0"/>
        <w:autoSpaceDN w:val="0"/>
        <w:adjustRightInd w:val="0"/>
        <w:spacing w:line="240" w:lineRule="auto"/>
        <w:rPr>
          <w:rFonts w:eastAsia="MS Mincho"/>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248A0266" w14:textId="77777777" w:rsidR="00C04CAD" w:rsidRDefault="00C04CAD">
      <w:pPr>
        <w:autoSpaceDE w:val="0"/>
        <w:autoSpaceDN w:val="0"/>
        <w:adjustRightInd w:val="0"/>
        <w:spacing w:line="240" w:lineRule="auto"/>
        <w:rPr>
          <w:rFonts w:eastAsia="MS Mincho"/>
          <w:szCs w:val="22"/>
          <w:highlight w:val="lightGray"/>
          <w:lang w:eastAsia="en-US" w:bidi="ar-SA"/>
        </w:rPr>
      </w:pPr>
    </w:p>
    <w:p w14:paraId="5D8ABB66" w14:textId="77777777" w:rsidR="00C04CAD" w:rsidRDefault="00C04CAD">
      <w:pPr>
        <w:autoSpaceDE w:val="0"/>
        <w:autoSpaceDN w:val="0"/>
        <w:adjustRightInd w:val="0"/>
        <w:spacing w:line="240" w:lineRule="auto"/>
        <w:rPr>
          <w:rFonts w:eastAsia="MS Mincho"/>
          <w:szCs w:val="22"/>
          <w:lang w:eastAsia="en-US" w:bidi="ar-SA"/>
        </w:rPr>
      </w:pPr>
    </w:p>
    <w:p w14:paraId="2E4428AC" w14:textId="77777777" w:rsidR="00C04CAD" w:rsidRDefault="00060E34">
      <w:pPr>
        <w:keepNext/>
        <w:numPr>
          <w:ilvl w:val="0"/>
          <w:numId w:val="40"/>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i/>
          <w:szCs w:val="22"/>
          <w:lang w:eastAsia="en-US" w:bidi="ar-SA"/>
        </w:rPr>
      </w:pPr>
      <w:r>
        <w:rPr>
          <w:rFonts w:eastAsia="MS Mincho"/>
          <w:b/>
          <w:szCs w:val="22"/>
          <w:lang w:eastAsia="en-US" w:bidi="ar-SA"/>
        </w:rPr>
        <w:t>IDENTIFICATOR UNIC - DATE LIZIBILE PENTRU PERSOANE</w:t>
      </w:r>
    </w:p>
    <w:p w14:paraId="07D9288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0F56970"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PC</w:t>
      </w:r>
    </w:p>
    <w:p w14:paraId="51DABAB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4F39CDD4" w14:textId="77777777" w:rsidR="00C04CAD" w:rsidRDefault="00060E34">
      <w:pPr>
        <w:tabs>
          <w:tab w:val="clear" w:pos="567"/>
        </w:tabs>
        <w:autoSpaceDE w:val="0"/>
        <w:autoSpaceDN w:val="0"/>
        <w:adjustRightInd w:val="0"/>
        <w:spacing w:line="240" w:lineRule="auto"/>
        <w:rPr>
          <w:rFonts w:eastAsia="MS Mincho"/>
          <w:vanish/>
          <w:szCs w:val="22"/>
          <w:lang w:eastAsia="en-US" w:bidi="ar-SA"/>
        </w:rPr>
      </w:pPr>
      <w:r>
        <w:rPr>
          <w:rFonts w:eastAsia="MS Mincho"/>
          <w:szCs w:val="22"/>
          <w:lang w:eastAsia="en-US" w:bidi="ar-SA"/>
        </w:rPr>
        <w:t>NN</w:t>
      </w:r>
    </w:p>
    <w:p w14:paraId="779A2590" w14:textId="77777777" w:rsidR="00C04CAD" w:rsidRDefault="00C04CAD">
      <w:pPr>
        <w:spacing w:line="240" w:lineRule="auto"/>
        <w:rPr>
          <w:szCs w:val="22"/>
          <w:shd w:val="clear" w:color="auto" w:fill="CCCCCC"/>
        </w:rPr>
      </w:pPr>
    </w:p>
    <w:p w14:paraId="6FA00690" w14:textId="77777777" w:rsidR="00C04CAD" w:rsidRDefault="00060E34">
      <w:pPr>
        <w:spacing w:line="240" w:lineRule="auto"/>
        <w:rPr>
          <w:rFonts w:eastAsia="MS Mincho"/>
          <w:bCs/>
          <w:szCs w:val="22"/>
          <w:lang w:eastAsia="en-US" w:bidi="ar-SA"/>
        </w:rPr>
      </w:pPr>
      <w:r>
        <w:rPr>
          <w:b/>
          <w:szCs w:val="22"/>
        </w:rPr>
        <w:br w:type="page"/>
      </w:r>
    </w:p>
    <w:p w14:paraId="6928A8E3"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INFORMAȚII CARE TREBUIE SĂ APARĂ PE AMBALAJUL SECUNDAR</w:t>
      </w:r>
    </w:p>
    <w:p w14:paraId="57E3FFEE"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60DE23C7"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Cs/>
          <w:szCs w:val="22"/>
          <w:lang w:eastAsia="en-US" w:bidi="ar-SA"/>
        </w:rPr>
      </w:pPr>
      <w:r>
        <w:rPr>
          <w:rFonts w:eastAsia="MS Mincho"/>
          <w:b/>
          <w:szCs w:val="22"/>
          <w:lang w:eastAsia="en-US" w:bidi="ar-SA"/>
        </w:rPr>
        <w:t>CUTIE INTERMEDIARĂ PENTRU AMBALAJUL MULTIPLU AL SERINGII PREUMPLUTE (fără chenar albastru)</w:t>
      </w:r>
    </w:p>
    <w:p w14:paraId="450F6CB9"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BCAD077" w14:textId="77777777" w:rsidR="00C04CAD" w:rsidRDefault="00C04CAD">
      <w:pPr>
        <w:autoSpaceDE w:val="0"/>
        <w:autoSpaceDN w:val="0"/>
        <w:adjustRightInd w:val="0"/>
        <w:spacing w:line="240" w:lineRule="auto"/>
        <w:rPr>
          <w:rFonts w:eastAsia="MS Mincho"/>
          <w:szCs w:val="22"/>
          <w:lang w:eastAsia="en-US" w:bidi="ar-SA"/>
        </w:rPr>
      </w:pPr>
    </w:p>
    <w:p w14:paraId="2EAC6E93"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DENUMIREA COMERCIALĂ A MEDICAMENTULUI</w:t>
      </w:r>
    </w:p>
    <w:p w14:paraId="281AD54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8757A8F" w14:textId="77777777" w:rsidR="00C04CAD" w:rsidRDefault="00060E34">
      <w:pPr>
        <w:tabs>
          <w:tab w:val="clear" w:pos="567"/>
        </w:tabs>
        <w:autoSpaceDE w:val="0"/>
        <w:autoSpaceDN w:val="0"/>
        <w:adjustRightInd w:val="0"/>
        <w:spacing w:line="240" w:lineRule="auto"/>
      </w:pPr>
      <w:r>
        <w:rPr>
          <w:rFonts w:eastAsia="MS Mincho"/>
          <w:szCs w:val="22"/>
          <w:lang w:eastAsia="en-US" w:bidi="ar-SA"/>
        </w:rPr>
        <w:t>AMGEVITA</w:t>
      </w:r>
      <w:r>
        <w:t xml:space="preserve"> 80 mg soluţie injectabilă în seringă preumplută</w:t>
      </w:r>
    </w:p>
    <w:p w14:paraId="3DEB916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1135BA8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5421AB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407F5D5"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DECLARAREA SUBSTANȚEI(SUBSTANȚELOR) ACTIVE</w:t>
      </w:r>
    </w:p>
    <w:p w14:paraId="206EE949"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59F8677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Fiecare seringă preumplută conţine adalimumab 80 mg în 0,8 ml soluţie.</w:t>
      </w:r>
    </w:p>
    <w:p w14:paraId="29A71BA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ADD799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D8E631B"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LISTA EXCIPIENȚILOR</w:t>
      </w:r>
    </w:p>
    <w:p w14:paraId="0A7CE71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4B92C26" w14:textId="77777777" w:rsidR="00C04CAD" w:rsidRDefault="00060E34">
      <w:pPr>
        <w:tabs>
          <w:tab w:val="clear" w:pos="567"/>
        </w:tabs>
        <w:kinsoku w:val="0"/>
        <w:overflowPunct w:val="0"/>
        <w:autoSpaceDE w:val="0"/>
        <w:autoSpaceDN w:val="0"/>
        <w:adjustRightInd w:val="0"/>
        <w:spacing w:line="240" w:lineRule="auto"/>
        <w:rPr>
          <w:rFonts w:eastAsia="MS Mincho"/>
          <w:szCs w:val="22"/>
          <w:lang w:eastAsia="en-US" w:bidi="ar-SA"/>
        </w:rPr>
      </w:pPr>
      <w:r>
        <w:rPr>
          <w:rFonts w:eastAsia="MS Mincho"/>
          <w:szCs w:val="22"/>
          <w:lang w:eastAsia="en-US" w:bidi="ar-SA"/>
        </w:rPr>
        <w:t>Acid L-lactic, sucroză, polisorbat 80, hidroxid de sodiu și apă pentru preparate injectabile.</w:t>
      </w:r>
    </w:p>
    <w:p w14:paraId="7EDF97C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2CD9AF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4BE8CBD"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FORMA FARMACEUTICĂ ȘI CONȚINUTUL</w:t>
      </w:r>
    </w:p>
    <w:p w14:paraId="1D29D91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9795A0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highlight w:val="lightGray"/>
          <w:lang w:eastAsia="en-US" w:bidi="ar-SA"/>
        </w:rPr>
        <w:t>Soluţie injectabilă</w:t>
      </w:r>
    </w:p>
    <w:p w14:paraId="6F7FE49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187115C0"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rFonts w:eastAsia="MS Mincho"/>
          <w:szCs w:val="22"/>
          <w:lang w:eastAsia="en-US" w:bidi="ar-SA"/>
        </w:rPr>
        <w:t>1 seringă preumplută. Component al ambalajului multiplu, nu poate fi vândut separat.</w:t>
      </w:r>
    </w:p>
    <w:p w14:paraId="455C36B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DAB439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E4D24DE"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MODUL ȘI CALEA(CĂILE) DE ADMINISTRARE</w:t>
      </w:r>
    </w:p>
    <w:p w14:paraId="608C1BDC"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7A159E2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Administrare subcutanată.</w:t>
      </w:r>
    </w:p>
    <w:p w14:paraId="2A608F0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citi prospectul înainte de utilizare.</w:t>
      </w:r>
    </w:p>
    <w:p w14:paraId="555C42E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Pentru utilizare unică.</w:t>
      </w:r>
    </w:p>
    <w:p w14:paraId="4F7EA02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7D3FAD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A4C2803"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ATENȚIONARE SPECIALĂ PRIVIND FAPTUL CĂ MEDICAMENTUL NU TREBUIE PĂSTRAT LA VEDEREA ȘI ÎNDEMÂNA COPIILOR</w:t>
      </w:r>
    </w:p>
    <w:p w14:paraId="46A7BD40"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2C142900" w14:textId="77777777" w:rsidR="00C04CAD" w:rsidRDefault="00060E34">
      <w:pPr>
        <w:tabs>
          <w:tab w:val="clear" w:pos="567"/>
        </w:tabs>
        <w:autoSpaceDE w:val="0"/>
        <w:autoSpaceDN w:val="0"/>
        <w:adjustRightInd w:val="0"/>
        <w:spacing w:line="240" w:lineRule="auto"/>
        <w:outlineLvl w:val="0"/>
        <w:rPr>
          <w:rFonts w:eastAsia="MS Mincho"/>
          <w:szCs w:val="22"/>
          <w:lang w:eastAsia="en-US" w:bidi="ar-SA"/>
        </w:rPr>
      </w:pPr>
      <w:r>
        <w:rPr>
          <w:rFonts w:eastAsia="MS Mincho"/>
          <w:szCs w:val="22"/>
          <w:lang w:eastAsia="en-US" w:bidi="ar-SA"/>
        </w:rPr>
        <w:t>A nu se lăsa la vederea și îndemâna copiilor.</w:t>
      </w:r>
    </w:p>
    <w:p w14:paraId="1C75BC4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BC5542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C3B0E67"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ALTĂ(E) ATENȚIONARE(ĂRI) SPECIALĂ(E), DACĂ ESTE(SUNT) NECESARĂ(E)</w:t>
      </w:r>
    </w:p>
    <w:p w14:paraId="50A446FB"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943E28D" w14:textId="77777777" w:rsidR="00C04CAD" w:rsidRDefault="00C04CAD">
      <w:pPr>
        <w:tabs>
          <w:tab w:val="clear" w:pos="567"/>
          <w:tab w:val="left" w:pos="749"/>
        </w:tabs>
        <w:autoSpaceDE w:val="0"/>
        <w:autoSpaceDN w:val="0"/>
        <w:adjustRightInd w:val="0"/>
        <w:spacing w:line="240" w:lineRule="auto"/>
        <w:rPr>
          <w:rFonts w:eastAsia="MS Mincho"/>
          <w:szCs w:val="22"/>
          <w:lang w:eastAsia="en-US" w:bidi="ar-SA"/>
        </w:rPr>
      </w:pPr>
    </w:p>
    <w:p w14:paraId="4C570D1E"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DATA DE EXPIRARE</w:t>
      </w:r>
    </w:p>
    <w:p w14:paraId="429F2631"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6E890E0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1AEBEF6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84CC3C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4004079"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CONDIȚII SPECIALE DE PĂSTRARE</w:t>
      </w:r>
    </w:p>
    <w:p w14:paraId="78B65A37"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06AFDE47"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frigider.</w:t>
      </w:r>
    </w:p>
    <w:p w14:paraId="23EF0BA8"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nu se congela.</w:t>
      </w:r>
    </w:p>
    <w:p w14:paraId="249EF8E9"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 se păstra în ambalajul original pentru a fi protejat de lumină.</w:t>
      </w:r>
    </w:p>
    <w:p w14:paraId="01BFC410"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34D13CE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A195DE1"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1A335EE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3FCD69F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665ECBC"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NUMELE ȘI ADRESA DEȚINĂTORULUI AUTORIZAȚIEI DE PUNERE PE PIAȚĂ</w:t>
      </w:r>
    </w:p>
    <w:p w14:paraId="4F37CC4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AA398E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612EA89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5606A9A8"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58A7751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2B43ABC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E21C28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03017E5"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 xml:space="preserve">NUMĂRUL(ELE) AUTORIZAȚIEI DE PUNERE PE PIAȚĂ </w:t>
      </w:r>
    </w:p>
    <w:p w14:paraId="6011932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D46BBF3" w14:textId="77777777" w:rsidR="00C04CAD" w:rsidRDefault="00060E34">
      <w:pPr>
        <w:tabs>
          <w:tab w:val="clear" w:pos="567"/>
        </w:tabs>
        <w:autoSpaceDE w:val="0"/>
        <w:autoSpaceDN w:val="0"/>
        <w:adjustRightInd w:val="0"/>
        <w:spacing w:line="240" w:lineRule="auto"/>
        <w:outlineLvl w:val="0"/>
        <w:rPr>
          <w:rFonts w:eastAsia="MS Mincho"/>
          <w:szCs w:val="22"/>
          <w:highlight w:val="lightGray"/>
          <w:lang w:eastAsia="en-US" w:bidi="ar-SA"/>
        </w:rPr>
      </w:pPr>
      <w:r>
        <w:rPr>
          <w:color w:val="000000"/>
        </w:rPr>
        <w:t>EU/1/16/1164/019</w:t>
      </w:r>
    </w:p>
    <w:p w14:paraId="3DA5140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0FDED3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8832CCE"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SERIA DE FABRICAȚIE</w:t>
      </w:r>
    </w:p>
    <w:p w14:paraId="4B5AA70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FC7058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Lot</w:t>
      </w:r>
    </w:p>
    <w:p w14:paraId="412D15B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9A6F48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FEEFB4"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CLASIFICARE GENERALĂ PRIVIND MODUL DE ELIBERARE</w:t>
      </w:r>
    </w:p>
    <w:p w14:paraId="133E832B" w14:textId="77777777" w:rsidR="00C04CAD" w:rsidRDefault="00C04CAD">
      <w:pPr>
        <w:autoSpaceDE w:val="0"/>
        <w:autoSpaceDN w:val="0"/>
        <w:adjustRightInd w:val="0"/>
        <w:spacing w:line="240" w:lineRule="auto"/>
        <w:rPr>
          <w:rFonts w:eastAsia="MS Mincho"/>
          <w:i/>
          <w:szCs w:val="22"/>
          <w:lang w:eastAsia="en-US" w:bidi="ar-SA"/>
        </w:rPr>
      </w:pPr>
    </w:p>
    <w:p w14:paraId="603AB3A1" w14:textId="77777777" w:rsidR="00C04CAD" w:rsidRDefault="00C04CAD">
      <w:pPr>
        <w:autoSpaceDE w:val="0"/>
        <w:autoSpaceDN w:val="0"/>
        <w:adjustRightInd w:val="0"/>
        <w:spacing w:line="240" w:lineRule="auto"/>
        <w:rPr>
          <w:rFonts w:eastAsia="MS Mincho"/>
          <w:szCs w:val="22"/>
          <w:lang w:eastAsia="en-US" w:bidi="ar-SA"/>
        </w:rPr>
      </w:pPr>
    </w:p>
    <w:p w14:paraId="470A0B5E"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INSTRUCȚIUNI DE UTILIZARE</w:t>
      </w:r>
    </w:p>
    <w:p w14:paraId="6762F3DB" w14:textId="77777777" w:rsidR="00C04CAD" w:rsidRDefault="00C04CAD">
      <w:pPr>
        <w:autoSpaceDE w:val="0"/>
        <w:autoSpaceDN w:val="0"/>
        <w:adjustRightInd w:val="0"/>
        <w:spacing w:line="240" w:lineRule="auto"/>
        <w:rPr>
          <w:rFonts w:eastAsia="MS Mincho"/>
          <w:szCs w:val="22"/>
          <w:lang w:eastAsia="en-US" w:bidi="ar-SA"/>
        </w:rPr>
      </w:pPr>
    </w:p>
    <w:p w14:paraId="5A32092D" w14:textId="77777777" w:rsidR="00C04CAD" w:rsidRDefault="00C04CAD">
      <w:pPr>
        <w:autoSpaceDE w:val="0"/>
        <w:autoSpaceDN w:val="0"/>
        <w:adjustRightInd w:val="0"/>
        <w:spacing w:line="240" w:lineRule="auto"/>
        <w:rPr>
          <w:rFonts w:eastAsia="MS Mincho"/>
          <w:szCs w:val="22"/>
          <w:lang w:eastAsia="en-US" w:bidi="ar-SA"/>
        </w:rPr>
      </w:pPr>
    </w:p>
    <w:p w14:paraId="4C96DD69"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hanging="567"/>
        <w:outlineLvl w:val="0"/>
        <w:rPr>
          <w:rFonts w:eastAsia="MS Mincho"/>
          <w:szCs w:val="22"/>
          <w:lang w:eastAsia="en-US" w:bidi="ar-SA"/>
        </w:rPr>
      </w:pPr>
      <w:r>
        <w:rPr>
          <w:rFonts w:eastAsia="MS Mincho"/>
          <w:b/>
          <w:szCs w:val="22"/>
          <w:lang w:eastAsia="en-US" w:bidi="ar-SA"/>
        </w:rPr>
        <w:t>INFORMAȚII ÎN BRAILLE</w:t>
      </w:r>
    </w:p>
    <w:p w14:paraId="52B8EBB8"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B37E53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AMGEVITA 80 mg/0,8 ml seringă</w:t>
      </w:r>
    </w:p>
    <w:p w14:paraId="4A61FE25"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2C5FB8FE"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F48C329"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COD DE BARE BIDIMENSIONAL</w:t>
      </w:r>
    </w:p>
    <w:p w14:paraId="5573E265" w14:textId="77777777" w:rsidR="00C04CAD" w:rsidRDefault="00C04CAD">
      <w:pPr>
        <w:autoSpaceDE w:val="0"/>
        <w:autoSpaceDN w:val="0"/>
        <w:adjustRightInd w:val="0"/>
        <w:spacing w:line="240" w:lineRule="auto"/>
        <w:rPr>
          <w:rFonts w:eastAsia="MS Mincho"/>
          <w:szCs w:val="22"/>
          <w:lang w:eastAsia="en-US" w:bidi="ar-SA"/>
        </w:rPr>
      </w:pPr>
    </w:p>
    <w:p w14:paraId="59C1291D" w14:textId="77777777" w:rsidR="00C04CAD" w:rsidRDefault="00C04CAD">
      <w:pPr>
        <w:autoSpaceDE w:val="0"/>
        <w:autoSpaceDN w:val="0"/>
        <w:adjustRightInd w:val="0"/>
        <w:spacing w:line="240" w:lineRule="auto"/>
        <w:rPr>
          <w:rFonts w:eastAsia="MS Mincho"/>
          <w:szCs w:val="22"/>
          <w:lang w:eastAsia="en-US" w:bidi="ar-SA"/>
        </w:rPr>
      </w:pPr>
    </w:p>
    <w:p w14:paraId="62531101" w14:textId="77777777" w:rsidR="00C04CAD" w:rsidRDefault="00060E34">
      <w:pPr>
        <w:keepNext/>
        <w:numPr>
          <w:ilvl w:val="0"/>
          <w:numId w:val="41"/>
        </w:num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567"/>
        <w:outlineLvl w:val="0"/>
        <w:rPr>
          <w:rFonts w:eastAsia="MS Mincho"/>
          <w:i/>
          <w:szCs w:val="22"/>
          <w:lang w:eastAsia="en-US" w:bidi="ar-SA"/>
        </w:rPr>
      </w:pPr>
      <w:r>
        <w:rPr>
          <w:rFonts w:eastAsia="MS Mincho"/>
          <w:b/>
          <w:szCs w:val="22"/>
          <w:lang w:eastAsia="en-US" w:bidi="ar-SA"/>
        </w:rPr>
        <w:t>IDENTIFICATOR UNIC - DATE LIZIBILE PENTRU PERSOANE</w:t>
      </w:r>
    </w:p>
    <w:p w14:paraId="27C03A8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4929E8C" w14:textId="77777777" w:rsidR="00C04CAD" w:rsidRDefault="00C04CAD">
      <w:pPr>
        <w:tabs>
          <w:tab w:val="clear" w:pos="567"/>
        </w:tabs>
        <w:autoSpaceDE w:val="0"/>
        <w:autoSpaceDN w:val="0"/>
        <w:adjustRightInd w:val="0"/>
        <w:spacing w:line="240" w:lineRule="auto"/>
        <w:rPr>
          <w:rFonts w:eastAsia="MS Mincho"/>
          <w:szCs w:val="22"/>
          <w:shd w:val="clear" w:color="auto" w:fill="CCCCCC"/>
          <w:lang w:eastAsia="en-US" w:bidi="ar-SA"/>
        </w:rPr>
      </w:pPr>
    </w:p>
    <w:p w14:paraId="57D90F3D" w14:textId="77777777" w:rsidR="00C04CAD" w:rsidRDefault="00060E34">
      <w:pPr>
        <w:tabs>
          <w:tab w:val="clear" w:pos="567"/>
        </w:tabs>
        <w:spacing w:line="240" w:lineRule="auto"/>
        <w:rPr>
          <w:rFonts w:eastAsia="MS Mincho"/>
          <w:szCs w:val="22"/>
          <w:shd w:val="clear" w:color="auto" w:fill="CCCCCC"/>
          <w:lang w:eastAsia="en-US" w:bidi="ar-SA"/>
        </w:rPr>
      </w:pPr>
      <w:r>
        <w:rPr>
          <w:rFonts w:eastAsia="MS Mincho"/>
          <w:szCs w:val="22"/>
          <w:shd w:val="clear" w:color="auto" w:fill="CCCCCC"/>
          <w:lang w:eastAsia="en-US" w:bidi="ar-SA"/>
        </w:rPr>
        <w:br w:type="page"/>
      </w:r>
    </w:p>
    <w:p w14:paraId="3D2A81B5" w14:textId="77777777" w:rsidR="00C04CAD" w:rsidRDefault="00060E34">
      <w:pPr>
        <w:pBdr>
          <w:top w:val="single" w:sz="4" w:space="1" w:color="auto"/>
          <w:left w:val="single" w:sz="4" w:space="4" w:color="auto"/>
          <w:bottom w:val="single" w:sz="4" w:space="1" w:color="auto"/>
          <w:right w:val="single" w:sz="4" w:space="4" w:color="auto"/>
        </w:pBdr>
        <w:autoSpaceDE w:val="0"/>
        <w:autoSpaceDN w:val="0"/>
        <w:adjustRightInd w:val="0"/>
        <w:spacing w:line="240" w:lineRule="auto"/>
        <w:rPr>
          <w:rFonts w:eastAsia="MS Mincho"/>
          <w:b/>
          <w:szCs w:val="22"/>
          <w:lang w:eastAsia="en-US" w:bidi="ar-SA"/>
        </w:rPr>
      </w:pPr>
      <w:r>
        <w:rPr>
          <w:rFonts w:eastAsia="MS Mincho"/>
          <w:b/>
          <w:szCs w:val="22"/>
          <w:lang w:eastAsia="en-US" w:bidi="ar-SA"/>
        </w:rPr>
        <w:t>MINIMUM DE INFORMAȚII CARE TREBUIE SĂ APARĂ PE AMBALAJELE PRIMARE MICI</w:t>
      </w:r>
    </w:p>
    <w:p w14:paraId="22BEE1D6"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0FEA837F"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SERINGĂ</w:t>
      </w:r>
    </w:p>
    <w:p w14:paraId="32C34DD1"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98D2AFD"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7B6DA25" w14:textId="77777777" w:rsidR="00C04CAD" w:rsidRDefault="00060E34">
      <w:pPr>
        <w:numPr>
          <w:ilvl w:val="0"/>
          <w:numId w:val="4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Mincho"/>
          <w:b/>
          <w:szCs w:val="22"/>
          <w:lang w:eastAsia="en-US" w:bidi="ar-SA"/>
        </w:rPr>
      </w:pPr>
      <w:r>
        <w:rPr>
          <w:rFonts w:eastAsia="MS Mincho"/>
          <w:b/>
          <w:szCs w:val="22"/>
          <w:lang w:eastAsia="en-US" w:bidi="ar-SA"/>
        </w:rPr>
        <w:t>DENUMIREA COMERCIALĂ A MEDICAMENTULUI ȘI CALEA(CĂILE) DE ADMINISTRARE</w:t>
      </w:r>
    </w:p>
    <w:p w14:paraId="0CDB73B1" w14:textId="77777777" w:rsidR="00C04CAD" w:rsidRDefault="00C04CAD">
      <w:pPr>
        <w:tabs>
          <w:tab w:val="clear" w:pos="567"/>
        </w:tabs>
        <w:autoSpaceDE w:val="0"/>
        <w:autoSpaceDN w:val="0"/>
        <w:adjustRightInd w:val="0"/>
        <w:spacing w:line="240" w:lineRule="auto"/>
        <w:ind w:left="567" w:hanging="567"/>
        <w:rPr>
          <w:rFonts w:eastAsia="MS Mincho"/>
          <w:szCs w:val="22"/>
          <w:lang w:eastAsia="en-US" w:bidi="ar-SA"/>
        </w:rPr>
      </w:pPr>
    </w:p>
    <w:p w14:paraId="59F21442"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AMGEVITA 80 mg injec</w:t>
      </w:r>
      <w:r>
        <w:rPr>
          <w:rFonts w:eastAsia="MS Mincho"/>
          <w:szCs w:val="22"/>
          <w:lang w:eastAsia="en-US" w:bidi="ar-SA"/>
        </w:rPr>
        <w:t>ţ</w:t>
      </w:r>
      <w:r>
        <w:rPr>
          <w:rFonts w:eastAsia="MS Mincho"/>
          <w:szCs w:val="22"/>
          <w:lang w:eastAsia="ja-JP" w:bidi="ar-SA"/>
        </w:rPr>
        <w:t>ie</w:t>
      </w:r>
    </w:p>
    <w:p w14:paraId="37000257"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16669FB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ja-JP" w:bidi="ar-SA"/>
        </w:rPr>
        <w:t>SC</w:t>
      </w:r>
    </w:p>
    <w:p w14:paraId="7A092C34"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CF1BE1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116C4FB" w14:textId="77777777" w:rsidR="00C04CAD" w:rsidRDefault="00060E34">
      <w:pPr>
        <w:numPr>
          <w:ilvl w:val="0"/>
          <w:numId w:val="4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118FD3B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5B9B0C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FBF9CF5" w14:textId="77777777" w:rsidR="00C04CAD" w:rsidRDefault="00060E34">
      <w:pPr>
        <w:numPr>
          <w:ilvl w:val="0"/>
          <w:numId w:val="4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04F5349B"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DEFCA5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03334A80"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1BDB583"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5E95874" w14:textId="77777777" w:rsidR="00C04CAD" w:rsidRDefault="00060E34">
      <w:pPr>
        <w:numPr>
          <w:ilvl w:val="0"/>
          <w:numId w:val="4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23F34045"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5F560A5"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71898204"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34DB8C2"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17B5B422" w14:textId="77777777" w:rsidR="00C04CAD" w:rsidRDefault="00060E34">
      <w:pPr>
        <w:numPr>
          <w:ilvl w:val="0"/>
          <w:numId w:val="42"/>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CONȚINUTUL PE MASĂ, VOLUM SAU UNITATEA DE DOZĂ</w:t>
      </w:r>
    </w:p>
    <w:p w14:paraId="30CC4509"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27812517"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0,8 ml</w:t>
      </w:r>
    </w:p>
    <w:p w14:paraId="2078AD63"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50A0741F"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693BC34" w14:textId="77777777" w:rsidR="00C04CAD" w:rsidRDefault="00060E34">
      <w:pPr>
        <w:numPr>
          <w:ilvl w:val="0"/>
          <w:numId w:val="42"/>
        </w:numPr>
        <w:pBdr>
          <w:top w:val="single" w:sz="4" w:space="1" w:color="auto"/>
          <w:left w:val="single" w:sz="4" w:space="4" w:color="auto"/>
          <w:bottom w:val="single" w:sz="4" w:space="0"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5CA7E2CB"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2FB45FA9" w14:textId="77777777" w:rsidR="00C04CAD" w:rsidRDefault="00C04CAD">
      <w:pPr>
        <w:shd w:val="clear" w:color="auto" w:fill="FFFFFF"/>
        <w:tabs>
          <w:tab w:val="clear" w:pos="567"/>
        </w:tabs>
        <w:autoSpaceDE w:val="0"/>
        <w:autoSpaceDN w:val="0"/>
        <w:adjustRightInd w:val="0"/>
        <w:spacing w:line="240" w:lineRule="auto"/>
        <w:rPr>
          <w:rFonts w:eastAsia="MS Mincho"/>
          <w:bCs/>
          <w:szCs w:val="22"/>
          <w:lang w:eastAsia="en-US" w:bidi="ar-SA"/>
        </w:rPr>
      </w:pPr>
    </w:p>
    <w:p w14:paraId="35C6AF09" w14:textId="77777777" w:rsidR="00C04CAD" w:rsidRDefault="00060E34">
      <w:pPr>
        <w:shd w:val="clear" w:color="auto" w:fill="FFFFFF"/>
        <w:tabs>
          <w:tab w:val="clear" w:pos="567"/>
        </w:tabs>
        <w:autoSpaceDE w:val="0"/>
        <w:autoSpaceDN w:val="0"/>
        <w:adjustRightInd w:val="0"/>
        <w:spacing w:line="240" w:lineRule="auto"/>
        <w:rPr>
          <w:rFonts w:eastAsia="MS Mincho"/>
          <w:bCs/>
          <w:szCs w:val="22"/>
          <w:lang w:eastAsia="en-US" w:bidi="ar-SA"/>
        </w:rPr>
      </w:pPr>
      <w:r>
        <w:rPr>
          <w:rFonts w:eastAsia="MS Mincho"/>
          <w:bCs/>
          <w:szCs w:val="22"/>
          <w:lang w:eastAsia="en-US" w:bidi="ar-SA"/>
        </w:rPr>
        <w:br w:type="page"/>
      </w:r>
    </w:p>
    <w:p w14:paraId="2235C18A"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034E99BD"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796C8986"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PEN PREUMPLUT</w:t>
      </w:r>
    </w:p>
    <w:p w14:paraId="53E4DDC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E1D150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CBD73EF"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5B1553F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C440BA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80</w:t>
      </w:r>
      <w:r>
        <w:rPr>
          <w:rFonts w:eastAsia="MS Gothic"/>
          <w:szCs w:val="22"/>
          <w:lang w:eastAsia="en-US" w:bidi="ar-SA"/>
        </w:rPr>
        <w:t> </w:t>
      </w:r>
      <w:r>
        <w:rPr>
          <w:rFonts w:eastAsia="MS Mincho"/>
          <w:szCs w:val="22"/>
          <w:lang w:eastAsia="en-US" w:bidi="ar-SA"/>
        </w:rPr>
        <w:t>mg soluţie injectabilă în pen preumplut</w:t>
      </w:r>
    </w:p>
    <w:p w14:paraId="397F80A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6B77339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7045A5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D0B8883"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1E80E48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1CCE2B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80</w:t>
      </w:r>
      <w:r>
        <w:rPr>
          <w:rFonts w:eastAsia="MS Gothic"/>
          <w:szCs w:val="22"/>
          <w:lang w:eastAsia="en-US" w:bidi="ar-SA"/>
        </w:rPr>
        <w:t> </w:t>
      </w:r>
      <w:r>
        <w:rPr>
          <w:rFonts w:eastAsia="MS Mincho"/>
          <w:szCs w:val="22"/>
          <w:lang w:eastAsia="en-US" w:bidi="ar-SA"/>
        </w:rPr>
        <w:t>mg în 0,8</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3C21889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D824FC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B3BDC0A"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0275359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95A00B"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3829BD0F"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3446CAF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AE5D38E"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7DF1B64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CEB2E9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256649EB"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602E7CA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pen SureClick preumplut</w:t>
      </w:r>
    </w:p>
    <w:p w14:paraId="7271336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2 penuri SureClick preumplute.</w:t>
      </w:r>
    </w:p>
    <w:p w14:paraId="7BCD4E8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E4B858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24DCA09"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7D4C6DC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81C08B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66883A4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1330031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33F27E2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8DDF22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A0DD5F"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37597FB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F859992"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43616D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BA629F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A5DC87"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7609E60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4CB9E12"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427C0F00"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2C58539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38B5A23" w14:textId="77777777" w:rsidR="00C04CAD" w:rsidRDefault="00060E34">
      <w:pPr>
        <w:keepNext/>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240DD6D8" w14:textId="77777777" w:rsidR="00C04CAD" w:rsidRDefault="00C04CAD">
      <w:pPr>
        <w:keepNext/>
        <w:tabs>
          <w:tab w:val="clear" w:pos="567"/>
        </w:tabs>
        <w:autoSpaceDE w:val="0"/>
        <w:autoSpaceDN w:val="0"/>
        <w:adjustRightInd w:val="0"/>
        <w:spacing w:line="240" w:lineRule="auto"/>
        <w:rPr>
          <w:rFonts w:eastAsia="MS Mincho"/>
          <w:szCs w:val="22"/>
          <w:lang w:eastAsia="en-US" w:bidi="ar-SA"/>
        </w:rPr>
      </w:pPr>
    </w:p>
    <w:p w14:paraId="41F7E60C"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5E41426F"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089E81A2"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3DFC725"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7AE79F1E"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22D04972"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2B9E648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6830E71"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1CCDF3DF"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24117E5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E29932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BFED8B8"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6ACCE25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114C34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24937AB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48D8949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37C9C006"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51D8651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AC1FE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751430D"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33862B0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D2E900D" w14:textId="77777777" w:rsidR="00C04CAD" w:rsidRDefault="00060E34">
      <w:pPr>
        <w:tabs>
          <w:tab w:val="clear" w:pos="567"/>
        </w:tabs>
        <w:autoSpaceDE w:val="0"/>
        <w:autoSpaceDN w:val="0"/>
        <w:adjustRightInd w:val="0"/>
        <w:spacing w:line="240" w:lineRule="auto"/>
        <w:rPr>
          <w:rFonts w:eastAsia="MS Gothic"/>
          <w:szCs w:val="22"/>
          <w:highlight w:val="lightGray"/>
          <w:lang w:eastAsia="en-US" w:bidi="ar-SA"/>
        </w:rPr>
      </w:pPr>
      <w:r>
        <w:rPr>
          <w:color w:val="000000"/>
        </w:rPr>
        <w:t>EU/1/16/1164/020</w:t>
      </w:r>
      <w:r>
        <w:rPr>
          <w:rFonts w:eastAsia="MS Mincho"/>
          <w:szCs w:val="22"/>
          <w:lang w:eastAsia="en-US" w:bidi="ar-SA"/>
        </w:rPr>
        <w:t xml:space="preserve"> </w:t>
      </w:r>
      <w:r>
        <w:rPr>
          <w:rFonts w:eastAsia="MS Mincho"/>
          <w:szCs w:val="22"/>
          <w:highlight w:val="lightGray"/>
          <w:lang w:eastAsia="en-US" w:bidi="ar-SA"/>
        </w:rPr>
        <w:t>1 pen preumplut</w:t>
      </w:r>
    </w:p>
    <w:p w14:paraId="3E592601" w14:textId="77777777" w:rsidR="00C04CAD" w:rsidRDefault="00060E34">
      <w:pPr>
        <w:tabs>
          <w:tab w:val="clear" w:pos="567"/>
        </w:tabs>
        <w:autoSpaceDE w:val="0"/>
        <w:autoSpaceDN w:val="0"/>
        <w:adjustRightInd w:val="0"/>
        <w:spacing w:line="240" w:lineRule="auto"/>
        <w:rPr>
          <w:rFonts w:eastAsia="MS Mincho"/>
          <w:szCs w:val="22"/>
          <w:highlight w:val="lightGray"/>
          <w:lang w:eastAsia="en-US" w:bidi="ar-SA"/>
        </w:rPr>
      </w:pPr>
      <w:r>
        <w:rPr>
          <w:color w:val="000000"/>
          <w:highlight w:val="lightGray"/>
        </w:rPr>
        <w:t>EU/1/16/1164/021</w:t>
      </w:r>
      <w:r>
        <w:rPr>
          <w:rFonts w:eastAsia="MS Mincho"/>
          <w:szCs w:val="22"/>
          <w:highlight w:val="lightGray"/>
          <w:lang w:eastAsia="en-US" w:bidi="ar-SA"/>
        </w:rPr>
        <w:t xml:space="preserve"> 2 penuri preumplute</w:t>
      </w:r>
    </w:p>
    <w:p w14:paraId="7D13C1B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9FA682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67AC40A"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7EBF70B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535E4B"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4655200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AB9F8D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B8C4392"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2F090E5C"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09789C7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31842AC"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04C2A37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A05E41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F0D5594"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0D98B9D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71EA4A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80 mg/0,8 ml pen</w:t>
      </w:r>
    </w:p>
    <w:p w14:paraId="2DA081CD"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1A0601B"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00939BFE"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39D40AE2"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16B25A81" w14:textId="77777777" w:rsidR="00C04CAD" w:rsidRDefault="00060E34">
      <w:pPr>
        <w:keepNext/>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5346BC49" w14:textId="77777777" w:rsidR="00C04CAD" w:rsidRDefault="00C04CAD">
      <w:pPr>
        <w:keepNext/>
        <w:tabs>
          <w:tab w:val="clear" w:pos="567"/>
        </w:tabs>
        <w:autoSpaceDE w:val="0"/>
        <w:autoSpaceDN w:val="0"/>
        <w:adjustRightInd w:val="0"/>
        <w:spacing w:line="240" w:lineRule="auto"/>
        <w:rPr>
          <w:rFonts w:eastAsia="MS Gothic"/>
          <w:szCs w:val="22"/>
          <w:highlight w:val="lightGray"/>
          <w:lang w:eastAsia="en-US" w:bidi="ar-SA"/>
        </w:rPr>
      </w:pPr>
    </w:p>
    <w:p w14:paraId="5BB229EA"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CFED757" w14:textId="77777777" w:rsidR="00C04CAD" w:rsidRDefault="00060E34">
      <w:pPr>
        <w:keepNext/>
        <w:numPr>
          <w:ilvl w:val="0"/>
          <w:numId w:val="43"/>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3797FC9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CC1505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7F33271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68706EC1"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3C55DF9E"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szCs w:val="22"/>
          <w:lang w:eastAsia="en-US" w:bidi="ar-SA"/>
        </w:rPr>
        <w:br w:type="page"/>
      </w:r>
      <w:r>
        <w:rPr>
          <w:rFonts w:eastAsia="MS Mincho"/>
          <w:b/>
          <w:szCs w:val="22"/>
          <w:lang w:eastAsia="en-US" w:bidi="ar-SA"/>
        </w:rPr>
        <w:t>INFORMAȚII CARE TREBUIE SĂ APARĂ PE AMBALAJUL SECUNDAR</w:t>
      </w:r>
    </w:p>
    <w:p w14:paraId="457093C1"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p>
    <w:p w14:paraId="0AE1276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AMBALAJ SECUNDAR PENTRU AMBALAJUL MULTIPLU AL PEN-ULUI PREUMPLUT (cu chenar albastru)</w:t>
      </w:r>
    </w:p>
    <w:p w14:paraId="7AB1A7E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C82608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BE8D71"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2944CC7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F64D5B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w:t>
      </w:r>
      <w:r>
        <w:rPr>
          <w:rFonts w:eastAsia="MS Gothic"/>
          <w:szCs w:val="22"/>
          <w:lang w:eastAsia="en-US" w:bidi="ar-SA"/>
        </w:rPr>
        <w:t>0 </w:t>
      </w:r>
      <w:r>
        <w:rPr>
          <w:rFonts w:eastAsia="MS Mincho"/>
          <w:szCs w:val="22"/>
          <w:lang w:eastAsia="en-US" w:bidi="ar-SA"/>
        </w:rPr>
        <w:t>mg soluţie injectabilă în pen preumplut</w:t>
      </w:r>
    </w:p>
    <w:p w14:paraId="6A677C5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1F1A409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D2CCE0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AE8AEF8"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5B8D446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586C56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8</w:t>
      </w:r>
      <w:r>
        <w:rPr>
          <w:rFonts w:eastAsia="MS Gothic"/>
          <w:szCs w:val="22"/>
          <w:lang w:eastAsia="en-US" w:bidi="ar-SA"/>
        </w:rPr>
        <w:t>0 </w:t>
      </w:r>
      <w:r>
        <w:rPr>
          <w:rFonts w:eastAsia="MS Mincho"/>
          <w:szCs w:val="22"/>
          <w:lang w:eastAsia="en-US" w:bidi="ar-SA"/>
        </w:rPr>
        <w:t>mg în 0,8</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2E4F653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6EAF1A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E458B7A"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7D04B22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833F65C"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LL-lactic, sucroză, polisorbat 80, hidroxid de sodiu și apă pentru preparate injectabile</w:t>
      </w:r>
      <w:r>
        <w:rPr>
          <w:rFonts w:eastAsia="MS Gothic"/>
          <w:szCs w:val="22"/>
          <w:lang w:eastAsia="en-US" w:bidi="ar-SA"/>
        </w:rPr>
        <w:t>.</w:t>
      </w:r>
    </w:p>
    <w:p w14:paraId="3C7F0010"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6F323B1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511633A"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371896B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55BB57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6A4C6F4A"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11564F6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Ambalaj multiplu: 3 (3 cutii a câte 1 pen) penuri SureClick preumplute.</w:t>
      </w:r>
    </w:p>
    <w:p w14:paraId="37314DB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97ED51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C0F5D9"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32A4454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30348AD"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10080D6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1FF7329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695C7C3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C16D82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36FE9AD"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6764559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F3416C4"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5C5A045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4646A3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B4BDB89"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4831CD8B"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9A71EDE"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5B580E87"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5C322FC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C5EC95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2B5FF53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B4EFF3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40A0EE31"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78DE9D2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F3FA25C"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17445819"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33F48529"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46A533B6"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ABDA156"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67E34060"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14297E7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6E4672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357170B"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4F1BD7D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A341A9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3BECD14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072529B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37BF4A8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409AAAC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895912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CEEFD67"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277C500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7160C4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color w:val="000000"/>
        </w:rPr>
        <w:t>EU/1/16/1164/022</w:t>
      </w:r>
      <w:r>
        <w:rPr>
          <w:rFonts w:eastAsia="MS Mincho"/>
          <w:szCs w:val="22"/>
          <w:lang w:eastAsia="en-US" w:bidi="ar-SA"/>
        </w:rPr>
        <w:t xml:space="preserve"> </w:t>
      </w:r>
    </w:p>
    <w:p w14:paraId="53E2F34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49C276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59FE213"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51B0B5F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3418E0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04F1D54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906DA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BCC3EA2"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458BB1A1"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1B2A531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1C27EE2"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5D8A82A9"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5C3701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AF6B35"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45B0B61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74617B3"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80 mg/0,8 ml pen</w:t>
      </w:r>
    </w:p>
    <w:p w14:paraId="47080039"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8FD6E84"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D856F55"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COD DE BARE BIDIMENSIONAL</w:t>
      </w:r>
    </w:p>
    <w:p w14:paraId="130CDE42"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FB73D4D" w14:textId="77777777" w:rsidR="00C04CAD" w:rsidRDefault="00060E34">
      <w:pPr>
        <w:tabs>
          <w:tab w:val="clear" w:pos="567"/>
        </w:tabs>
        <w:autoSpaceDE w:val="0"/>
        <w:autoSpaceDN w:val="0"/>
        <w:adjustRightInd w:val="0"/>
        <w:spacing w:line="240" w:lineRule="auto"/>
        <w:rPr>
          <w:rFonts w:eastAsia="MS Gothic"/>
          <w:szCs w:val="22"/>
          <w:shd w:val="clear" w:color="auto" w:fill="CCCCCC"/>
          <w:lang w:eastAsia="en-US" w:bidi="ar-SA"/>
        </w:rPr>
      </w:pPr>
      <w:r>
        <w:rPr>
          <w:rFonts w:eastAsia="MS Mincho"/>
          <w:szCs w:val="22"/>
          <w:highlight w:val="lightGray"/>
          <w:lang w:eastAsia="en-US" w:bidi="ar-SA"/>
        </w:rPr>
        <w:t>cod de bare bidimensional care conține identificatorul unic.</w:t>
      </w:r>
    </w:p>
    <w:p w14:paraId="63B79D12" w14:textId="77777777" w:rsidR="00C04CAD" w:rsidRDefault="00C04CAD">
      <w:pPr>
        <w:tabs>
          <w:tab w:val="clear" w:pos="567"/>
        </w:tabs>
        <w:autoSpaceDE w:val="0"/>
        <w:autoSpaceDN w:val="0"/>
        <w:adjustRightInd w:val="0"/>
        <w:spacing w:line="240" w:lineRule="auto"/>
        <w:rPr>
          <w:rFonts w:eastAsia="MS Gothic"/>
          <w:szCs w:val="22"/>
          <w:highlight w:val="lightGray"/>
          <w:lang w:eastAsia="en-US" w:bidi="ar-SA"/>
        </w:rPr>
      </w:pPr>
    </w:p>
    <w:p w14:paraId="16119D2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CC76E76" w14:textId="77777777" w:rsidR="00C04CAD" w:rsidRDefault="00060E34">
      <w:pPr>
        <w:keepNext/>
        <w:numPr>
          <w:ilvl w:val="0"/>
          <w:numId w:val="44"/>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i/>
          <w:szCs w:val="22"/>
          <w:lang w:eastAsia="en-US" w:bidi="ar-SA"/>
        </w:rPr>
      </w:pPr>
      <w:r>
        <w:rPr>
          <w:rFonts w:eastAsia="MS Mincho"/>
          <w:b/>
          <w:szCs w:val="22"/>
          <w:lang w:eastAsia="en-US" w:bidi="ar-SA"/>
        </w:rPr>
        <w:t>IDENTIFICATOR UNIC - DATE LIZIBILE PENTRU PERSOANE</w:t>
      </w:r>
    </w:p>
    <w:p w14:paraId="49E577A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32C839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PC</w:t>
      </w:r>
    </w:p>
    <w:p w14:paraId="5DC0C843"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SN</w:t>
      </w:r>
    </w:p>
    <w:p w14:paraId="47CFAA14"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NN</w:t>
      </w:r>
    </w:p>
    <w:p w14:paraId="04BC95CA" w14:textId="77777777" w:rsidR="00C04CAD" w:rsidRDefault="00060E34">
      <w:pPr>
        <w:tabs>
          <w:tab w:val="clear" w:pos="567"/>
        </w:tabs>
        <w:autoSpaceDE w:val="0"/>
        <w:autoSpaceDN w:val="0"/>
        <w:adjustRightInd w:val="0"/>
        <w:spacing w:line="240" w:lineRule="auto"/>
        <w:rPr>
          <w:rFonts w:eastAsia="MS Mincho"/>
          <w:bCs/>
          <w:szCs w:val="22"/>
          <w:lang w:eastAsia="en-US" w:bidi="ar-SA"/>
        </w:rPr>
      </w:pPr>
      <w:r>
        <w:rPr>
          <w:rFonts w:eastAsia="MS Mincho"/>
          <w:szCs w:val="22"/>
          <w:lang w:eastAsia="en-US" w:bidi="ar-SA"/>
        </w:rPr>
        <w:br w:type="page"/>
      </w:r>
    </w:p>
    <w:p w14:paraId="51CB15A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INFORMAȚII CARE TREBUIE SĂ APARĂ PE AMBALAJUL SECUNDAR</w:t>
      </w:r>
    </w:p>
    <w:p w14:paraId="770AE5D5"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78201CBA"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Cs/>
          <w:szCs w:val="22"/>
          <w:lang w:eastAsia="en-US" w:bidi="ar-SA"/>
        </w:rPr>
      </w:pPr>
      <w:r>
        <w:rPr>
          <w:rFonts w:eastAsia="MS Mincho"/>
          <w:b/>
          <w:szCs w:val="22"/>
          <w:lang w:eastAsia="en-US" w:bidi="ar-SA"/>
        </w:rPr>
        <w:t>CUTIE INTERMEDIARĂ PENTRU AMBALAJUL MULTIPLU AL PEN-ULUI PREUMPLUT (fără chenar albastru)</w:t>
      </w:r>
    </w:p>
    <w:p w14:paraId="02FB119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4DFB296"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4D31CAE"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DENUMIREA COMERCIALĂ A MEDICAMENTULUI</w:t>
      </w:r>
    </w:p>
    <w:p w14:paraId="7200174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888DC8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w:t>
      </w:r>
      <w:r>
        <w:rPr>
          <w:rFonts w:eastAsia="MS Gothic"/>
          <w:szCs w:val="22"/>
          <w:lang w:eastAsia="en-US" w:bidi="ar-SA"/>
        </w:rPr>
        <w:t>0 </w:t>
      </w:r>
      <w:r>
        <w:rPr>
          <w:rFonts w:eastAsia="MS Mincho"/>
          <w:szCs w:val="22"/>
          <w:lang w:eastAsia="en-US" w:bidi="ar-SA"/>
        </w:rPr>
        <w:t>mg soluţie injectabilă în pen preumplut</w:t>
      </w:r>
    </w:p>
    <w:p w14:paraId="057FE3DC"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adalimumab</w:t>
      </w:r>
    </w:p>
    <w:p w14:paraId="16551BB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A15A03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AB10CB2"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Mincho"/>
          <w:b/>
          <w:szCs w:val="22"/>
          <w:lang w:eastAsia="en-US" w:bidi="ar-SA"/>
        </w:rPr>
      </w:pPr>
      <w:r>
        <w:rPr>
          <w:rFonts w:eastAsia="MS Mincho"/>
          <w:b/>
          <w:szCs w:val="22"/>
          <w:lang w:eastAsia="en-US" w:bidi="ar-SA"/>
        </w:rPr>
        <w:t>DECLARAREA SUBSTANȚEI(SUBSTANȚELOR) ACTIVE</w:t>
      </w:r>
    </w:p>
    <w:p w14:paraId="4540B58C"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5E818E2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Fiecare pen preumplut conţine adalimumab 8</w:t>
      </w:r>
      <w:r>
        <w:rPr>
          <w:rFonts w:eastAsia="MS Gothic"/>
          <w:szCs w:val="22"/>
          <w:lang w:eastAsia="en-US" w:bidi="ar-SA"/>
        </w:rPr>
        <w:t>0 </w:t>
      </w:r>
      <w:r>
        <w:rPr>
          <w:rFonts w:eastAsia="MS Mincho"/>
          <w:szCs w:val="22"/>
          <w:lang w:eastAsia="en-US" w:bidi="ar-SA"/>
        </w:rPr>
        <w:t>mg în 0,8</w:t>
      </w:r>
      <w:r>
        <w:rPr>
          <w:rFonts w:eastAsia="MS Gothic"/>
          <w:szCs w:val="22"/>
          <w:lang w:eastAsia="en-US" w:bidi="ar-SA"/>
        </w:rPr>
        <w:t> </w:t>
      </w:r>
      <w:r>
        <w:rPr>
          <w:rFonts w:eastAsia="MS Mincho"/>
          <w:szCs w:val="22"/>
          <w:lang w:eastAsia="en-US" w:bidi="ar-SA"/>
        </w:rPr>
        <w:t>ml soluţie</w:t>
      </w:r>
      <w:r>
        <w:rPr>
          <w:rFonts w:eastAsia="MS Gothic"/>
          <w:szCs w:val="22"/>
          <w:lang w:eastAsia="en-US" w:bidi="ar-SA"/>
        </w:rPr>
        <w:t>.</w:t>
      </w:r>
    </w:p>
    <w:p w14:paraId="2B3672C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2DD767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5165B9D"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LISTA EXCIPIENȚILOR</w:t>
      </w:r>
    </w:p>
    <w:p w14:paraId="25C59291"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7949A2C" w14:textId="77777777" w:rsidR="00C04CAD" w:rsidRDefault="00060E34">
      <w:pPr>
        <w:tabs>
          <w:tab w:val="clear" w:pos="567"/>
        </w:tabs>
        <w:kinsoku w:val="0"/>
        <w:overflowPunct w:val="0"/>
        <w:autoSpaceDE w:val="0"/>
        <w:autoSpaceDN w:val="0"/>
        <w:adjustRightInd w:val="0"/>
        <w:spacing w:line="240" w:lineRule="auto"/>
        <w:rPr>
          <w:rFonts w:eastAsia="MS Gothic"/>
          <w:szCs w:val="22"/>
          <w:lang w:eastAsia="en-US" w:bidi="ar-SA"/>
        </w:rPr>
      </w:pPr>
      <w:r>
        <w:rPr>
          <w:rFonts w:eastAsia="MS Mincho"/>
          <w:szCs w:val="22"/>
          <w:lang w:eastAsia="en-US" w:bidi="ar-SA"/>
        </w:rPr>
        <w:t>Acid L-lactic, sucroză, polisorbat 80, hidroxid de sodiu și apă pentru preparate injectabile</w:t>
      </w:r>
      <w:r>
        <w:rPr>
          <w:rFonts w:eastAsia="MS Gothic"/>
          <w:szCs w:val="22"/>
          <w:lang w:eastAsia="en-US" w:bidi="ar-SA"/>
        </w:rPr>
        <w:t>.</w:t>
      </w:r>
    </w:p>
    <w:p w14:paraId="0AEB4721" w14:textId="77777777" w:rsidR="00C04CAD" w:rsidRDefault="00C04CAD">
      <w:pPr>
        <w:tabs>
          <w:tab w:val="clear" w:pos="567"/>
        </w:tabs>
        <w:kinsoku w:val="0"/>
        <w:overflowPunct w:val="0"/>
        <w:autoSpaceDE w:val="0"/>
        <w:autoSpaceDN w:val="0"/>
        <w:adjustRightInd w:val="0"/>
        <w:spacing w:line="240" w:lineRule="auto"/>
        <w:rPr>
          <w:rFonts w:eastAsia="MS Gothic"/>
          <w:szCs w:val="22"/>
          <w:lang w:eastAsia="en-US" w:bidi="ar-SA"/>
        </w:rPr>
      </w:pPr>
    </w:p>
    <w:p w14:paraId="7F1478D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F6D486B"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FORMA FARMACEUTICĂ ȘI CONȚINUTUL</w:t>
      </w:r>
    </w:p>
    <w:p w14:paraId="2E80093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0EE3C61"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highlight w:val="lightGray"/>
          <w:lang w:eastAsia="en-US" w:bidi="ar-SA"/>
        </w:rPr>
        <w:t>Soluţie injectabilă</w:t>
      </w:r>
    </w:p>
    <w:p w14:paraId="4E8F0DF5"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80 mg/0,8 ml</w:t>
      </w:r>
    </w:p>
    <w:p w14:paraId="61175D1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1 pen SureClick preumplut. Component al unui ambalaj multiplu, nu poate fi vândut separat.</w:t>
      </w:r>
    </w:p>
    <w:p w14:paraId="585B7F5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932199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20C3A34"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MODUL ȘI CALEA(CĂILE) DE ADMINISTRARE</w:t>
      </w:r>
    </w:p>
    <w:p w14:paraId="4A21A4E5"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7BFD464"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Administrare subcutanată</w:t>
      </w:r>
      <w:r>
        <w:rPr>
          <w:rFonts w:eastAsia="MS Gothic"/>
          <w:szCs w:val="22"/>
          <w:lang w:eastAsia="en-US" w:bidi="ar-SA"/>
        </w:rPr>
        <w:t>.</w:t>
      </w:r>
    </w:p>
    <w:p w14:paraId="6543A2B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citi prospectul înainte de utilizare.</w:t>
      </w:r>
    </w:p>
    <w:p w14:paraId="6EC654F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Pentru utilizare unică.</w:t>
      </w:r>
    </w:p>
    <w:p w14:paraId="49B7808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CB407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3750B9E"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ATENȚIONARE SPECIALĂ PRIVIND FAPTUL CĂ MEDICAMENTUL NU TREBUIE PĂSTRAT LA VEDEREA ȘI ÎNDEMÂNA COPIILOR</w:t>
      </w:r>
    </w:p>
    <w:p w14:paraId="4C4B85F0"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085E245A" w14:textId="77777777" w:rsidR="00C04CAD" w:rsidRDefault="00060E34">
      <w:pPr>
        <w:tabs>
          <w:tab w:val="clear" w:pos="567"/>
        </w:tabs>
        <w:autoSpaceDE w:val="0"/>
        <w:autoSpaceDN w:val="0"/>
        <w:adjustRightInd w:val="0"/>
        <w:spacing w:line="240" w:lineRule="auto"/>
        <w:outlineLvl w:val="0"/>
        <w:rPr>
          <w:rFonts w:eastAsia="MS Gothic"/>
          <w:szCs w:val="22"/>
          <w:lang w:eastAsia="en-US" w:bidi="ar-SA"/>
        </w:rPr>
      </w:pPr>
      <w:r>
        <w:rPr>
          <w:rFonts w:eastAsia="MS Mincho"/>
          <w:szCs w:val="22"/>
          <w:lang w:eastAsia="en-US" w:bidi="ar-SA"/>
        </w:rPr>
        <w:t>A nu se lăsa la vederea și îndemâna copiilor.</w:t>
      </w:r>
    </w:p>
    <w:p w14:paraId="1EA5543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79C41F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09C1406"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ALTĂ(E) ATENȚIONARE(ĂRI) SPECIALĂ(E), DACĂ ESTE(SUNT) NECESARĂ(E)</w:t>
      </w:r>
    </w:p>
    <w:p w14:paraId="0EB8FBDB"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69A2B395" w14:textId="77777777" w:rsidR="00C04CAD" w:rsidRDefault="00C04CAD">
      <w:pPr>
        <w:tabs>
          <w:tab w:val="clear" w:pos="567"/>
          <w:tab w:val="left" w:pos="749"/>
        </w:tabs>
        <w:autoSpaceDE w:val="0"/>
        <w:autoSpaceDN w:val="0"/>
        <w:adjustRightInd w:val="0"/>
        <w:spacing w:line="240" w:lineRule="auto"/>
        <w:rPr>
          <w:rFonts w:eastAsia="MS Gothic"/>
          <w:szCs w:val="22"/>
          <w:lang w:eastAsia="en-US" w:bidi="ar-SA"/>
        </w:rPr>
      </w:pPr>
    </w:p>
    <w:p w14:paraId="21D04FB8"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DATA DE EXPIRARE</w:t>
      </w:r>
    </w:p>
    <w:p w14:paraId="4F8F1198"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3EA2E68F"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0A73DCD6"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9EBABE7"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012E6C34"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CONDIȚII SPECIALE DE PĂSTRARE</w:t>
      </w:r>
    </w:p>
    <w:p w14:paraId="6CF9AB9A"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4139334D"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frigider</w:t>
      </w:r>
      <w:r>
        <w:rPr>
          <w:rFonts w:eastAsia="MS Gothic"/>
          <w:szCs w:val="22"/>
          <w:lang w:eastAsia="en-US" w:bidi="ar-SA"/>
        </w:rPr>
        <w:t>.</w:t>
      </w:r>
    </w:p>
    <w:p w14:paraId="4A71D5D5"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nu se congela</w:t>
      </w:r>
      <w:r>
        <w:rPr>
          <w:rFonts w:eastAsia="MS Gothic"/>
          <w:szCs w:val="22"/>
          <w:lang w:eastAsia="en-US" w:bidi="ar-SA"/>
        </w:rPr>
        <w:t>.</w:t>
      </w:r>
    </w:p>
    <w:p w14:paraId="0C252373" w14:textId="77777777" w:rsidR="00C04CAD" w:rsidRDefault="00060E34">
      <w:pPr>
        <w:keepNext/>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 se păstra în ambalajul original pentru a fi protejat de lumină</w:t>
      </w:r>
      <w:r>
        <w:rPr>
          <w:rFonts w:eastAsia="MS Gothic"/>
          <w:szCs w:val="22"/>
          <w:lang w:eastAsia="en-US" w:bidi="ar-SA"/>
        </w:rPr>
        <w:t>.</w:t>
      </w:r>
    </w:p>
    <w:p w14:paraId="07CDA8CE" w14:textId="77777777" w:rsidR="00C04CAD" w:rsidRDefault="00C04CAD">
      <w:pPr>
        <w:keepNext/>
        <w:tabs>
          <w:tab w:val="clear" w:pos="567"/>
        </w:tabs>
        <w:autoSpaceDE w:val="0"/>
        <w:autoSpaceDN w:val="0"/>
        <w:adjustRightInd w:val="0"/>
        <w:spacing w:line="240" w:lineRule="auto"/>
        <w:rPr>
          <w:rFonts w:eastAsia="MS Gothic"/>
          <w:szCs w:val="22"/>
          <w:lang w:eastAsia="en-US" w:bidi="ar-SA"/>
        </w:rPr>
      </w:pPr>
    </w:p>
    <w:p w14:paraId="77D198E3"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3EE32331"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PRECAUȚII SPECIALE PRIVIND ELIMINAREA MEDICAMENTELOR NEUTILIZATE SAU A MATERIALELOR REZIDUALE PROVENITE DIN ASTFEL DE MEDICAMENTE, DACĂ ESTE CAZUL</w:t>
      </w:r>
    </w:p>
    <w:p w14:paraId="2AC9E9D7"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F1CAB2F"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29DFE7E4"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b/>
          <w:szCs w:val="22"/>
          <w:lang w:eastAsia="en-US" w:bidi="ar-SA"/>
        </w:rPr>
      </w:pPr>
      <w:r>
        <w:rPr>
          <w:rFonts w:eastAsia="MS Mincho"/>
          <w:b/>
          <w:szCs w:val="22"/>
          <w:lang w:eastAsia="en-US" w:bidi="ar-SA"/>
        </w:rPr>
        <w:t>NUMELE ȘI ADRESA DEȚINĂTORULUI AUTORIZAȚIEI DE PUNERE PE PIAȚĂ</w:t>
      </w:r>
    </w:p>
    <w:p w14:paraId="0DCFEA0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C52AE7D"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Amgen Europe B.V.</w:t>
      </w:r>
    </w:p>
    <w:p w14:paraId="0AFCF357"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Minervum 7061,</w:t>
      </w:r>
    </w:p>
    <w:p w14:paraId="251002E2"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4817 ZK Breda,</w:t>
      </w:r>
    </w:p>
    <w:p w14:paraId="724B6D5E"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Olanda</w:t>
      </w:r>
    </w:p>
    <w:p w14:paraId="52AFA41C"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737B4D8"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F2180CE"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 xml:space="preserve">NUMĂRUL(ELE) AUTORIZAȚIEI DE PUNERE PE PIAȚĂ </w:t>
      </w:r>
    </w:p>
    <w:p w14:paraId="735763D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A9DCC1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color w:val="000000"/>
        </w:rPr>
        <w:t>EU/1/16/1164/022</w:t>
      </w:r>
    </w:p>
    <w:p w14:paraId="12ABE6A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7BD3D9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1F15D71"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SERIA DE FABRICAȚIE&lt;, CODURILE DONAȚIEI ȘI MEDICAMENTULUI&gt;</w:t>
      </w:r>
    </w:p>
    <w:p w14:paraId="039A94B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C48E496"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Lot</w:t>
      </w:r>
    </w:p>
    <w:p w14:paraId="737624BB"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66C1CC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981E02"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CLASIFICARE GENERALĂ PRIVIND MODUL DE ELIBERARE</w:t>
      </w:r>
    </w:p>
    <w:p w14:paraId="02C42346" w14:textId="77777777" w:rsidR="00C04CAD" w:rsidRDefault="00C04CAD">
      <w:pPr>
        <w:tabs>
          <w:tab w:val="clear" w:pos="567"/>
        </w:tabs>
        <w:autoSpaceDE w:val="0"/>
        <w:autoSpaceDN w:val="0"/>
        <w:adjustRightInd w:val="0"/>
        <w:spacing w:line="240" w:lineRule="auto"/>
        <w:rPr>
          <w:rFonts w:eastAsia="MS Gothic"/>
          <w:i/>
          <w:szCs w:val="22"/>
          <w:lang w:eastAsia="en-US" w:bidi="ar-SA"/>
        </w:rPr>
      </w:pPr>
    </w:p>
    <w:p w14:paraId="3989E12A"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798FCC97"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INSTRUCȚIUNI DE UTILIZARE</w:t>
      </w:r>
    </w:p>
    <w:p w14:paraId="1CA8C6E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1E2495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1240012"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outlineLvl w:val="0"/>
        <w:rPr>
          <w:rFonts w:eastAsia="MS Gothic"/>
          <w:szCs w:val="22"/>
          <w:lang w:eastAsia="en-US" w:bidi="ar-SA"/>
        </w:rPr>
      </w:pPr>
      <w:r>
        <w:rPr>
          <w:rFonts w:eastAsia="MS Mincho"/>
          <w:b/>
          <w:szCs w:val="22"/>
          <w:lang w:eastAsia="en-US" w:bidi="ar-SA"/>
        </w:rPr>
        <w:t>INFORMAȚII ÎN BRAILLE</w:t>
      </w:r>
    </w:p>
    <w:p w14:paraId="4D23833D"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666E86B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en-US" w:bidi="ar-SA"/>
        </w:rPr>
        <w:t>AMGEVITA 80 mg/0,8 ml pen</w:t>
      </w:r>
    </w:p>
    <w:p w14:paraId="3931EB60"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B1F88C2"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13CE4DE0"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COD DE BARE BIDIMENSIONAL</w:t>
      </w:r>
    </w:p>
    <w:p w14:paraId="6C8E4438" w14:textId="77777777" w:rsidR="00C04CAD" w:rsidRDefault="00C04CAD">
      <w:pPr>
        <w:autoSpaceDE w:val="0"/>
        <w:autoSpaceDN w:val="0"/>
        <w:adjustRightInd w:val="0"/>
        <w:spacing w:line="240" w:lineRule="auto"/>
        <w:rPr>
          <w:rFonts w:eastAsia="MS Mincho"/>
          <w:szCs w:val="22"/>
          <w:lang w:eastAsia="en-US" w:bidi="ar-SA"/>
        </w:rPr>
      </w:pPr>
    </w:p>
    <w:p w14:paraId="28DBFAE0" w14:textId="77777777" w:rsidR="00C04CAD" w:rsidRDefault="00C04CAD">
      <w:pPr>
        <w:autoSpaceDE w:val="0"/>
        <w:autoSpaceDN w:val="0"/>
        <w:adjustRightInd w:val="0"/>
        <w:spacing w:line="240" w:lineRule="auto"/>
        <w:rPr>
          <w:rFonts w:eastAsia="MS Mincho"/>
          <w:szCs w:val="22"/>
          <w:lang w:eastAsia="en-US" w:bidi="ar-SA"/>
        </w:rPr>
      </w:pPr>
    </w:p>
    <w:p w14:paraId="1A3437D2" w14:textId="77777777" w:rsidR="00C04CAD" w:rsidRDefault="00060E34">
      <w:pPr>
        <w:keepNext/>
        <w:numPr>
          <w:ilvl w:val="0"/>
          <w:numId w:val="45"/>
        </w:numPr>
        <w:pBdr>
          <w:top w:val="single" w:sz="4" w:space="1" w:color="auto"/>
          <w:left w:val="single" w:sz="4" w:space="4" w:color="auto"/>
          <w:bottom w:val="single" w:sz="4" w:space="1" w:color="auto"/>
          <w:right w:val="single" w:sz="4" w:space="4" w:color="auto"/>
        </w:pBdr>
        <w:autoSpaceDE w:val="0"/>
        <w:autoSpaceDN w:val="0"/>
        <w:adjustRightInd w:val="0"/>
        <w:spacing w:line="240" w:lineRule="auto"/>
        <w:outlineLvl w:val="0"/>
        <w:rPr>
          <w:rFonts w:eastAsia="MS Mincho"/>
          <w:i/>
          <w:szCs w:val="22"/>
          <w:lang w:eastAsia="en-US" w:bidi="ar-SA"/>
        </w:rPr>
      </w:pPr>
      <w:r>
        <w:rPr>
          <w:rFonts w:eastAsia="MS Mincho"/>
          <w:b/>
          <w:szCs w:val="22"/>
          <w:lang w:eastAsia="en-US" w:bidi="ar-SA"/>
        </w:rPr>
        <w:t>IDENTIFICATOR UNIC - DATE LIZIBILE PENTRU PERSOANE</w:t>
      </w:r>
    </w:p>
    <w:p w14:paraId="604E41F6"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5456FEE"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43E3D713"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6BED709"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24C33A9"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066A77F"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6D348974"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138A0A93"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31C45E61" w14:textId="77777777" w:rsidR="00C04CAD" w:rsidRDefault="00C04CAD">
      <w:pPr>
        <w:tabs>
          <w:tab w:val="clear" w:pos="567"/>
        </w:tabs>
        <w:autoSpaceDE w:val="0"/>
        <w:autoSpaceDN w:val="0"/>
        <w:adjustRightInd w:val="0"/>
        <w:spacing w:line="240" w:lineRule="auto"/>
        <w:rPr>
          <w:rFonts w:eastAsia="MS Gothic"/>
          <w:szCs w:val="22"/>
          <w:shd w:val="clear" w:color="auto" w:fill="CCCCCC"/>
          <w:lang w:eastAsia="en-US" w:bidi="ar-SA"/>
        </w:rPr>
      </w:pPr>
    </w:p>
    <w:p w14:paraId="556572D3" w14:textId="77777777" w:rsidR="00C04CAD" w:rsidRDefault="00060E34">
      <w:pPr>
        <w:tabs>
          <w:tab w:val="clear" w:pos="567"/>
        </w:tabs>
        <w:spacing w:line="240" w:lineRule="auto"/>
        <w:rPr>
          <w:rFonts w:eastAsia="MS Mincho"/>
          <w:vanish/>
          <w:szCs w:val="22"/>
          <w:lang w:eastAsia="en-US" w:bidi="ar-SA"/>
        </w:rPr>
      </w:pPr>
      <w:r>
        <w:rPr>
          <w:rFonts w:eastAsia="MS Mincho"/>
          <w:vanish/>
          <w:szCs w:val="22"/>
          <w:lang w:eastAsia="en-US" w:bidi="ar-SA"/>
        </w:rPr>
        <w:br w:type="page"/>
      </w:r>
    </w:p>
    <w:p w14:paraId="2FF2DC59"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r>
        <w:rPr>
          <w:rFonts w:eastAsia="MS Mincho"/>
          <w:b/>
          <w:szCs w:val="22"/>
          <w:lang w:eastAsia="en-US" w:bidi="ar-SA"/>
        </w:rPr>
        <w:t>MINIMUM DE INFORMAȚII CARE TREBUIE SĂ APARĂ PE AMBALAJELE PRIMARE MICI</w:t>
      </w:r>
    </w:p>
    <w:p w14:paraId="12FC180E" w14:textId="77777777" w:rsidR="00C04CAD" w:rsidRDefault="00C04CAD">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Gothic"/>
          <w:b/>
          <w:szCs w:val="22"/>
          <w:lang w:eastAsia="en-US" w:bidi="ar-SA"/>
        </w:rPr>
      </w:pPr>
    </w:p>
    <w:p w14:paraId="6C337CC4" w14:textId="77777777" w:rsidR="00C04CAD" w:rsidRDefault="00060E34">
      <w:p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rPr>
          <w:rFonts w:eastAsia="MS Mincho"/>
          <w:b/>
          <w:szCs w:val="22"/>
          <w:lang w:eastAsia="en-US" w:bidi="ar-SA"/>
        </w:rPr>
      </w:pPr>
      <w:r>
        <w:rPr>
          <w:rFonts w:eastAsia="MS Mincho"/>
          <w:b/>
          <w:szCs w:val="22"/>
          <w:lang w:eastAsia="en-US" w:bidi="ar-SA"/>
        </w:rPr>
        <w:t>ETICHETĂ PEN PREUMPLUT</w:t>
      </w:r>
    </w:p>
    <w:p w14:paraId="0E466770"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3DFAED7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E747D11"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hanging="567"/>
        <w:outlineLvl w:val="0"/>
        <w:rPr>
          <w:rFonts w:eastAsia="MS Gothic"/>
          <w:b/>
          <w:szCs w:val="22"/>
          <w:lang w:eastAsia="en-US" w:bidi="ar-SA"/>
        </w:rPr>
      </w:pPr>
      <w:r>
        <w:rPr>
          <w:rFonts w:eastAsia="MS Mincho"/>
          <w:b/>
          <w:szCs w:val="22"/>
          <w:lang w:eastAsia="en-US" w:bidi="ar-SA"/>
        </w:rPr>
        <w:t>DENUMIREA COMERCIALĂ A MEDICAMENTULUI ȘI CALEA(CĂILE) DE ADMINISTRARE</w:t>
      </w:r>
    </w:p>
    <w:p w14:paraId="35EECDAB" w14:textId="77777777" w:rsidR="00C04CAD" w:rsidRDefault="00C04CAD">
      <w:pPr>
        <w:tabs>
          <w:tab w:val="clear" w:pos="567"/>
        </w:tabs>
        <w:autoSpaceDE w:val="0"/>
        <w:autoSpaceDN w:val="0"/>
        <w:adjustRightInd w:val="0"/>
        <w:spacing w:line="240" w:lineRule="auto"/>
        <w:ind w:left="567" w:hanging="567"/>
        <w:rPr>
          <w:rFonts w:eastAsia="MS Gothic"/>
          <w:szCs w:val="22"/>
          <w:lang w:eastAsia="en-US" w:bidi="ar-SA"/>
        </w:rPr>
      </w:pPr>
    </w:p>
    <w:p w14:paraId="2554E074" w14:textId="77777777" w:rsidR="00C04CAD" w:rsidRDefault="00060E34">
      <w:pPr>
        <w:tabs>
          <w:tab w:val="clear" w:pos="567"/>
        </w:tabs>
        <w:autoSpaceDE w:val="0"/>
        <w:autoSpaceDN w:val="0"/>
        <w:adjustRightInd w:val="0"/>
        <w:spacing w:line="240" w:lineRule="auto"/>
        <w:rPr>
          <w:rFonts w:eastAsia="MS Gothic"/>
          <w:szCs w:val="22"/>
          <w:lang w:eastAsia="ja-JP" w:bidi="ar-SA"/>
        </w:rPr>
      </w:pPr>
      <w:r>
        <w:rPr>
          <w:rFonts w:eastAsia="MS Mincho"/>
          <w:szCs w:val="22"/>
          <w:lang w:eastAsia="ja-JP" w:bidi="ar-SA"/>
        </w:rPr>
        <w:t>AMGEVITA 80 mg injec</w:t>
      </w:r>
      <w:r>
        <w:rPr>
          <w:rFonts w:eastAsia="MS Mincho"/>
          <w:szCs w:val="22"/>
          <w:lang w:eastAsia="en-US" w:bidi="ar-SA"/>
        </w:rPr>
        <w:t>ţ</w:t>
      </w:r>
      <w:r>
        <w:rPr>
          <w:rFonts w:eastAsia="MS Mincho"/>
          <w:szCs w:val="22"/>
          <w:lang w:eastAsia="ja-JP" w:bidi="ar-SA"/>
        </w:rPr>
        <w:t>ie</w:t>
      </w:r>
    </w:p>
    <w:p w14:paraId="443398FC" w14:textId="77777777" w:rsidR="00C04CAD" w:rsidRDefault="00060E34">
      <w:pPr>
        <w:tabs>
          <w:tab w:val="clear" w:pos="567"/>
        </w:tabs>
        <w:autoSpaceDE w:val="0"/>
        <w:autoSpaceDN w:val="0"/>
        <w:adjustRightInd w:val="0"/>
        <w:spacing w:line="240" w:lineRule="auto"/>
        <w:rPr>
          <w:rFonts w:eastAsia="MS Mincho"/>
          <w:szCs w:val="22"/>
          <w:lang w:eastAsia="ja-JP" w:bidi="ar-SA"/>
        </w:rPr>
      </w:pPr>
      <w:r>
        <w:rPr>
          <w:rFonts w:eastAsia="MS Mincho"/>
          <w:szCs w:val="22"/>
          <w:lang w:eastAsia="ja-JP" w:bidi="ar-SA"/>
        </w:rPr>
        <w:t>adalimumab</w:t>
      </w:r>
    </w:p>
    <w:p w14:paraId="0A80C308"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MS Mincho"/>
          <w:szCs w:val="22"/>
          <w:lang w:eastAsia="ja-JP" w:bidi="ar-SA"/>
        </w:rPr>
        <w:t>SC</w:t>
      </w:r>
    </w:p>
    <w:p w14:paraId="08C6C853"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4CFFD764"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0DF6FCDC"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MODUL DE ADMINISTRARE</w:t>
      </w:r>
    </w:p>
    <w:p w14:paraId="574F3C1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5C22D95"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555B6912"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DATA DE EXPIRARE</w:t>
      </w:r>
    </w:p>
    <w:p w14:paraId="2EDABD5E" w14:textId="77777777" w:rsidR="00C04CAD" w:rsidRDefault="00C04CAD">
      <w:pPr>
        <w:tabs>
          <w:tab w:val="clear" w:pos="567"/>
        </w:tabs>
        <w:autoSpaceDE w:val="0"/>
        <w:autoSpaceDN w:val="0"/>
        <w:adjustRightInd w:val="0"/>
        <w:spacing w:line="240" w:lineRule="auto"/>
        <w:rPr>
          <w:rFonts w:eastAsia="MS Gothic"/>
          <w:szCs w:val="22"/>
          <w:lang w:eastAsia="en-US" w:bidi="ar-SA"/>
        </w:rPr>
      </w:pPr>
    </w:p>
    <w:p w14:paraId="189F9339" w14:textId="77777777" w:rsidR="00C04CAD" w:rsidRDefault="00060E34">
      <w:pPr>
        <w:tabs>
          <w:tab w:val="clear" w:pos="567"/>
        </w:tabs>
        <w:autoSpaceDE w:val="0"/>
        <w:autoSpaceDN w:val="0"/>
        <w:adjustRightInd w:val="0"/>
        <w:spacing w:line="240" w:lineRule="auto"/>
        <w:rPr>
          <w:rFonts w:eastAsia="MS Mincho"/>
          <w:szCs w:val="22"/>
          <w:lang w:eastAsia="en-US" w:bidi="ar-SA"/>
        </w:rPr>
      </w:pPr>
      <w:r>
        <w:rPr>
          <w:rFonts w:eastAsia="MS Mincho"/>
          <w:szCs w:val="22"/>
          <w:lang w:eastAsia="en-US" w:bidi="ar-SA"/>
        </w:rPr>
        <w:t>EXP</w:t>
      </w:r>
    </w:p>
    <w:p w14:paraId="3CDF9D8A"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69AB9AEF" w14:textId="77777777" w:rsidR="00C04CAD" w:rsidRDefault="00C04CAD">
      <w:pPr>
        <w:tabs>
          <w:tab w:val="clear" w:pos="567"/>
        </w:tabs>
        <w:autoSpaceDE w:val="0"/>
        <w:autoSpaceDN w:val="0"/>
        <w:adjustRightInd w:val="0"/>
        <w:spacing w:line="240" w:lineRule="auto"/>
        <w:rPr>
          <w:rFonts w:eastAsia="MS Mincho"/>
          <w:szCs w:val="22"/>
          <w:lang w:eastAsia="en-US" w:bidi="ar-SA"/>
        </w:rPr>
      </w:pPr>
    </w:p>
    <w:p w14:paraId="7763C0ED"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SERIA DE FABRICAȚIE&lt;, CODURILE DONAȚIEI ȘI MEDICAMENTULUI&gt;</w:t>
      </w:r>
    </w:p>
    <w:p w14:paraId="48ED38D6"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4FAA4395"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Mincho"/>
          <w:szCs w:val="22"/>
          <w:lang w:eastAsia="en-US" w:bidi="ar-SA"/>
        </w:rPr>
        <w:t>Lot</w:t>
      </w:r>
    </w:p>
    <w:p w14:paraId="51EF7CCD"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6B939DDC"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191BF583"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Gothic"/>
          <w:b/>
          <w:szCs w:val="22"/>
          <w:lang w:eastAsia="en-US" w:bidi="ar-SA"/>
        </w:rPr>
      </w:pPr>
      <w:r>
        <w:rPr>
          <w:rFonts w:eastAsia="MS Mincho"/>
          <w:b/>
          <w:szCs w:val="22"/>
          <w:lang w:eastAsia="en-US" w:bidi="ar-SA"/>
        </w:rPr>
        <w:t>CONȚINUTUL PE MASĂ, VOLUM SAU UNITATEA DE DOZĂ</w:t>
      </w:r>
    </w:p>
    <w:p w14:paraId="60A66E57" w14:textId="77777777" w:rsidR="00C04CAD" w:rsidRDefault="00C04CAD">
      <w:pPr>
        <w:tabs>
          <w:tab w:val="clear" w:pos="567"/>
        </w:tabs>
        <w:autoSpaceDE w:val="0"/>
        <w:autoSpaceDN w:val="0"/>
        <w:adjustRightInd w:val="0"/>
        <w:spacing w:line="240" w:lineRule="auto"/>
        <w:ind w:right="113"/>
        <w:rPr>
          <w:rFonts w:eastAsia="MS Gothic"/>
          <w:szCs w:val="22"/>
          <w:lang w:eastAsia="en-US" w:bidi="ar-SA"/>
        </w:rPr>
      </w:pPr>
    </w:p>
    <w:p w14:paraId="6BE3F1F2" w14:textId="77777777" w:rsidR="00C04CAD" w:rsidRDefault="00060E34">
      <w:pPr>
        <w:tabs>
          <w:tab w:val="clear" w:pos="567"/>
        </w:tabs>
        <w:autoSpaceDE w:val="0"/>
        <w:autoSpaceDN w:val="0"/>
        <w:adjustRightInd w:val="0"/>
        <w:spacing w:line="240" w:lineRule="auto"/>
        <w:ind w:right="113"/>
        <w:rPr>
          <w:rFonts w:eastAsia="MS Mincho"/>
          <w:szCs w:val="22"/>
          <w:lang w:eastAsia="en-US" w:bidi="ar-SA"/>
        </w:rPr>
      </w:pPr>
      <w:r>
        <w:rPr>
          <w:rFonts w:eastAsia="MS Gothic"/>
          <w:szCs w:val="22"/>
          <w:lang w:eastAsia="en-US" w:bidi="ar-SA"/>
        </w:rPr>
        <w:t>0,</w:t>
      </w:r>
      <w:r>
        <w:rPr>
          <w:rFonts w:eastAsia="MS Mincho"/>
          <w:szCs w:val="22"/>
          <w:lang w:eastAsia="en-US" w:bidi="ar-SA"/>
        </w:rPr>
        <w:t>8 ml</w:t>
      </w:r>
    </w:p>
    <w:p w14:paraId="22C5B1CC"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1542B3B5"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3AF4DD01" w14:textId="77777777" w:rsidR="00C04CAD" w:rsidRDefault="00060E34">
      <w:pPr>
        <w:numPr>
          <w:ilvl w:val="0"/>
          <w:numId w:val="46"/>
        </w:numPr>
        <w:pBdr>
          <w:top w:val="single" w:sz="4" w:space="1" w:color="auto"/>
          <w:left w:val="single" w:sz="4" w:space="4" w:color="auto"/>
          <w:bottom w:val="single" w:sz="4" w:space="1" w:color="auto"/>
          <w:right w:val="single" w:sz="4" w:space="4" w:color="auto"/>
        </w:pBdr>
        <w:tabs>
          <w:tab w:val="clear" w:pos="567"/>
        </w:tabs>
        <w:autoSpaceDE w:val="0"/>
        <w:autoSpaceDN w:val="0"/>
        <w:adjustRightInd w:val="0"/>
        <w:spacing w:line="240" w:lineRule="auto"/>
        <w:ind w:left="567"/>
        <w:outlineLvl w:val="0"/>
        <w:rPr>
          <w:rFonts w:eastAsia="MS Mincho"/>
          <w:b/>
          <w:szCs w:val="22"/>
          <w:lang w:eastAsia="en-US" w:bidi="ar-SA"/>
        </w:rPr>
      </w:pPr>
      <w:r>
        <w:rPr>
          <w:rFonts w:eastAsia="MS Mincho"/>
          <w:b/>
          <w:szCs w:val="22"/>
          <w:lang w:eastAsia="en-US" w:bidi="ar-SA"/>
        </w:rPr>
        <w:t>ALTE INFORMAȚII</w:t>
      </w:r>
    </w:p>
    <w:p w14:paraId="5ECF3652" w14:textId="77777777" w:rsidR="00C04CAD" w:rsidRDefault="00C04CAD">
      <w:pPr>
        <w:tabs>
          <w:tab w:val="clear" w:pos="567"/>
        </w:tabs>
        <w:autoSpaceDE w:val="0"/>
        <w:autoSpaceDN w:val="0"/>
        <w:adjustRightInd w:val="0"/>
        <w:spacing w:line="240" w:lineRule="auto"/>
        <w:ind w:right="113"/>
        <w:rPr>
          <w:rFonts w:eastAsia="MS Mincho"/>
          <w:szCs w:val="22"/>
          <w:lang w:eastAsia="en-US" w:bidi="ar-SA"/>
        </w:rPr>
      </w:pPr>
    </w:p>
    <w:p w14:paraId="4E63C227" w14:textId="77777777" w:rsidR="00C04CAD" w:rsidRDefault="00C04CAD">
      <w:pPr>
        <w:spacing w:line="240" w:lineRule="auto"/>
      </w:pPr>
    </w:p>
    <w:p w14:paraId="641C2E41" w14:textId="77777777" w:rsidR="00C04CAD" w:rsidRDefault="00060E34">
      <w:pPr>
        <w:spacing w:line="240" w:lineRule="auto"/>
        <w:outlineLvl w:val="0"/>
        <w:rPr>
          <w:b/>
        </w:rPr>
      </w:pPr>
      <w:r>
        <w:br w:type="page"/>
      </w:r>
    </w:p>
    <w:p w14:paraId="28275685" w14:textId="77777777" w:rsidR="00C04CAD" w:rsidRDefault="00C04CAD">
      <w:pPr>
        <w:spacing w:line="240" w:lineRule="auto"/>
        <w:outlineLvl w:val="0"/>
        <w:rPr>
          <w:b/>
        </w:rPr>
      </w:pPr>
    </w:p>
    <w:p w14:paraId="082EFD2B" w14:textId="77777777" w:rsidR="00C04CAD" w:rsidRDefault="00C04CAD">
      <w:pPr>
        <w:spacing w:line="240" w:lineRule="auto"/>
        <w:outlineLvl w:val="0"/>
        <w:rPr>
          <w:b/>
        </w:rPr>
      </w:pPr>
    </w:p>
    <w:p w14:paraId="0DB30DBA" w14:textId="77777777" w:rsidR="00C04CAD" w:rsidRDefault="00C04CAD">
      <w:pPr>
        <w:spacing w:line="240" w:lineRule="auto"/>
        <w:outlineLvl w:val="0"/>
        <w:rPr>
          <w:b/>
        </w:rPr>
      </w:pPr>
    </w:p>
    <w:p w14:paraId="29224767" w14:textId="77777777" w:rsidR="00C04CAD" w:rsidRDefault="00C04CAD">
      <w:pPr>
        <w:spacing w:line="240" w:lineRule="auto"/>
        <w:outlineLvl w:val="0"/>
        <w:rPr>
          <w:b/>
        </w:rPr>
      </w:pPr>
    </w:p>
    <w:p w14:paraId="231A020D" w14:textId="77777777" w:rsidR="00C04CAD" w:rsidRDefault="00C04CAD">
      <w:pPr>
        <w:spacing w:line="240" w:lineRule="auto"/>
        <w:outlineLvl w:val="0"/>
        <w:rPr>
          <w:b/>
        </w:rPr>
      </w:pPr>
    </w:p>
    <w:p w14:paraId="37CD7913" w14:textId="77777777" w:rsidR="00C04CAD" w:rsidRDefault="00C04CAD">
      <w:pPr>
        <w:spacing w:line="240" w:lineRule="auto"/>
        <w:outlineLvl w:val="0"/>
        <w:rPr>
          <w:b/>
        </w:rPr>
      </w:pPr>
    </w:p>
    <w:p w14:paraId="60AAAB43" w14:textId="77777777" w:rsidR="00C04CAD" w:rsidRDefault="00C04CAD">
      <w:pPr>
        <w:spacing w:line="240" w:lineRule="auto"/>
        <w:outlineLvl w:val="0"/>
        <w:rPr>
          <w:b/>
        </w:rPr>
      </w:pPr>
    </w:p>
    <w:p w14:paraId="0E790F9F" w14:textId="77777777" w:rsidR="00C04CAD" w:rsidRDefault="00C04CAD">
      <w:pPr>
        <w:spacing w:line="240" w:lineRule="auto"/>
        <w:outlineLvl w:val="0"/>
        <w:rPr>
          <w:b/>
        </w:rPr>
      </w:pPr>
    </w:p>
    <w:p w14:paraId="5558F7EA" w14:textId="77777777" w:rsidR="00C04CAD" w:rsidRDefault="00C04CAD">
      <w:pPr>
        <w:spacing w:line="240" w:lineRule="auto"/>
        <w:outlineLvl w:val="0"/>
        <w:rPr>
          <w:b/>
        </w:rPr>
      </w:pPr>
    </w:p>
    <w:p w14:paraId="512BABD7" w14:textId="77777777" w:rsidR="00C04CAD" w:rsidRDefault="00C04CAD">
      <w:pPr>
        <w:spacing w:line="240" w:lineRule="auto"/>
        <w:outlineLvl w:val="0"/>
        <w:rPr>
          <w:b/>
        </w:rPr>
      </w:pPr>
    </w:p>
    <w:p w14:paraId="136C3D29" w14:textId="77777777" w:rsidR="00C04CAD" w:rsidRDefault="00C04CAD">
      <w:pPr>
        <w:spacing w:line="240" w:lineRule="auto"/>
        <w:outlineLvl w:val="0"/>
        <w:rPr>
          <w:b/>
        </w:rPr>
      </w:pPr>
    </w:p>
    <w:p w14:paraId="3A731082" w14:textId="77777777" w:rsidR="00C04CAD" w:rsidRDefault="00C04CAD">
      <w:pPr>
        <w:spacing w:line="240" w:lineRule="auto"/>
        <w:outlineLvl w:val="0"/>
        <w:rPr>
          <w:b/>
        </w:rPr>
      </w:pPr>
    </w:p>
    <w:p w14:paraId="6B4D110F" w14:textId="77777777" w:rsidR="00C04CAD" w:rsidRDefault="00C04CAD">
      <w:pPr>
        <w:spacing w:line="240" w:lineRule="auto"/>
        <w:outlineLvl w:val="0"/>
        <w:rPr>
          <w:b/>
        </w:rPr>
      </w:pPr>
    </w:p>
    <w:p w14:paraId="06945162" w14:textId="77777777" w:rsidR="00C04CAD" w:rsidRDefault="00C04CAD">
      <w:pPr>
        <w:spacing w:line="240" w:lineRule="auto"/>
        <w:outlineLvl w:val="0"/>
        <w:rPr>
          <w:b/>
        </w:rPr>
      </w:pPr>
    </w:p>
    <w:p w14:paraId="0302C37E" w14:textId="77777777" w:rsidR="00C04CAD" w:rsidRDefault="00C04CAD">
      <w:pPr>
        <w:spacing w:line="240" w:lineRule="auto"/>
        <w:outlineLvl w:val="0"/>
        <w:rPr>
          <w:b/>
        </w:rPr>
      </w:pPr>
    </w:p>
    <w:p w14:paraId="1C1276AB" w14:textId="77777777" w:rsidR="00C04CAD" w:rsidRDefault="00C04CAD">
      <w:pPr>
        <w:spacing w:line="240" w:lineRule="auto"/>
        <w:outlineLvl w:val="0"/>
        <w:rPr>
          <w:b/>
        </w:rPr>
      </w:pPr>
    </w:p>
    <w:p w14:paraId="0B5F32F4" w14:textId="77777777" w:rsidR="00C04CAD" w:rsidRDefault="00C04CAD">
      <w:pPr>
        <w:spacing w:line="240" w:lineRule="auto"/>
        <w:outlineLvl w:val="0"/>
        <w:rPr>
          <w:b/>
        </w:rPr>
      </w:pPr>
    </w:p>
    <w:p w14:paraId="5E3260ED" w14:textId="77777777" w:rsidR="00C04CAD" w:rsidRDefault="00C04CAD">
      <w:pPr>
        <w:spacing w:line="240" w:lineRule="auto"/>
        <w:outlineLvl w:val="0"/>
        <w:rPr>
          <w:b/>
        </w:rPr>
      </w:pPr>
    </w:p>
    <w:p w14:paraId="4DBD5D55" w14:textId="77777777" w:rsidR="00C04CAD" w:rsidRDefault="00C04CAD">
      <w:pPr>
        <w:spacing w:line="240" w:lineRule="auto"/>
        <w:outlineLvl w:val="0"/>
        <w:rPr>
          <w:b/>
        </w:rPr>
      </w:pPr>
    </w:p>
    <w:p w14:paraId="74B25BAB" w14:textId="77777777" w:rsidR="00C04CAD" w:rsidRDefault="00C04CAD">
      <w:pPr>
        <w:spacing w:line="240" w:lineRule="auto"/>
        <w:outlineLvl w:val="0"/>
        <w:rPr>
          <w:b/>
        </w:rPr>
      </w:pPr>
    </w:p>
    <w:p w14:paraId="7973AE7F" w14:textId="77777777" w:rsidR="00C04CAD" w:rsidRDefault="00C04CAD">
      <w:pPr>
        <w:spacing w:line="240" w:lineRule="auto"/>
        <w:outlineLvl w:val="0"/>
        <w:rPr>
          <w:b/>
        </w:rPr>
      </w:pPr>
    </w:p>
    <w:p w14:paraId="65FA363F" w14:textId="77777777" w:rsidR="00C04CAD" w:rsidRDefault="00C04CAD">
      <w:pPr>
        <w:spacing w:line="240" w:lineRule="auto"/>
        <w:jc w:val="center"/>
        <w:outlineLvl w:val="0"/>
        <w:rPr>
          <w:rStyle w:val="DoNotTranslateExternal1"/>
        </w:rPr>
      </w:pPr>
    </w:p>
    <w:p w14:paraId="4AFFEF52" w14:textId="77777777" w:rsidR="00C04CAD" w:rsidRDefault="00060E34">
      <w:pPr>
        <w:pStyle w:val="TitleA"/>
        <w:widowControl/>
        <w:rPr>
          <w:lang w:val="ro-RO"/>
        </w:rPr>
      </w:pPr>
      <w:r>
        <w:rPr>
          <w:rStyle w:val="DoNotTranslateExternal1"/>
          <w:b/>
          <w:lang w:val="ro-RO"/>
        </w:rPr>
        <w:t>B.</w:t>
      </w:r>
      <w:r>
        <w:rPr>
          <w:lang w:val="ro-RO"/>
        </w:rPr>
        <w:t xml:space="preserve"> PROSPECTUL</w:t>
      </w:r>
    </w:p>
    <w:p w14:paraId="578CEDDC" w14:textId="77777777" w:rsidR="00C04CAD" w:rsidRDefault="00060E34">
      <w:pPr>
        <w:tabs>
          <w:tab w:val="clear" w:pos="567"/>
        </w:tabs>
        <w:spacing w:line="240" w:lineRule="auto"/>
        <w:jc w:val="center"/>
        <w:outlineLvl w:val="0"/>
      </w:pPr>
      <w:r>
        <w:br w:type="page"/>
      </w:r>
      <w:r>
        <w:rPr>
          <w:b/>
        </w:rPr>
        <w:t>Prospect: Informații pentru pacient</w:t>
      </w:r>
    </w:p>
    <w:p w14:paraId="548DFF4A" w14:textId="77777777" w:rsidR="00C04CAD" w:rsidRDefault="00C04CAD">
      <w:pPr>
        <w:numPr>
          <w:ilvl w:val="12"/>
          <w:numId w:val="0"/>
        </w:numPr>
        <w:shd w:val="clear" w:color="auto" w:fill="FFFFFF"/>
        <w:tabs>
          <w:tab w:val="clear" w:pos="567"/>
        </w:tabs>
        <w:spacing w:line="240" w:lineRule="auto"/>
        <w:jc w:val="center"/>
      </w:pPr>
    </w:p>
    <w:p w14:paraId="6687A913"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20 mg soluţie injectabilă în seringă preumplută</w:t>
      </w:r>
    </w:p>
    <w:p w14:paraId="7D6E2D04"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40 mg soluţie injectabilă în seringă preumplută</w:t>
      </w:r>
    </w:p>
    <w:p w14:paraId="06C200F8" w14:textId="77777777" w:rsidR="00C04CAD" w:rsidRDefault="00060E34">
      <w:pPr>
        <w:keepNext/>
        <w:tabs>
          <w:tab w:val="clear" w:pos="567"/>
        </w:tabs>
        <w:kinsoku w:val="0"/>
        <w:overflowPunct w:val="0"/>
        <w:autoSpaceDE w:val="0"/>
        <w:autoSpaceDN w:val="0"/>
        <w:adjustRightInd w:val="0"/>
        <w:spacing w:line="240" w:lineRule="auto"/>
        <w:jc w:val="center"/>
      </w:pPr>
      <w:r>
        <w:rPr>
          <w:sz w:val="24"/>
          <w:szCs w:val="24"/>
          <w:lang w:eastAsia="en-US" w:bidi="ar-SA"/>
        </w:rPr>
        <w:t>adalimumab</w:t>
      </w:r>
    </w:p>
    <w:p w14:paraId="5BABF026" w14:textId="77777777" w:rsidR="00C04CAD" w:rsidRDefault="00C04CAD">
      <w:pPr>
        <w:tabs>
          <w:tab w:val="clear" w:pos="567"/>
        </w:tabs>
        <w:spacing w:line="240" w:lineRule="auto"/>
      </w:pPr>
    </w:p>
    <w:p w14:paraId="6E28DBA3" w14:textId="77777777" w:rsidR="00C04CAD" w:rsidRDefault="00C04CAD">
      <w:pPr>
        <w:tabs>
          <w:tab w:val="clear" w:pos="567"/>
        </w:tabs>
        <w:spacing w:line="240" w:lineRule="auto"/>
      </w:pPr>
    </w:p>
    <w:p w14:paraId="307EE364" w14:textId="77777777" w:rsidR="00C04CAD" w:rsidRDefault="00060E34">
      <w:pPr>
        <w:tabs>
          <w:tab w:val="clear" w:pos="567"/>
        </w:tabs>
        <w:suppressAutoHyphens/>
        <w:spacing w:line="240" w:lineRule="auto"/>
      </w:pPr>
      <w:r>
        <w:rPr>
          <w:b/>
        </w:rPr>
        <w:t>Citiți cu atenție și în întregime acest prospect înainte de a începe să utilizați acest medicament deoarece conține informații importante pentru dumneavoastră.</w:t>
      </w:r>
    </w:p>
    <w:p w14:paraId="0EE651D1" w14:textId="77777777" w:rsidR="00C04CAD" w:rsidRDefault="00060E34">
      <w:pPr>
        <w:numPr>
          <w:ilvl w:val="0"/>
          <w:numId w:val="47"/>
        </w:numPr>
        <w:tabs>
          <w:tab w:val="clear" w:pos="567"/>
        </w:tabs>
        <w:spacing w:line="240" w:lineRule="auto"/>
        <w:ind w:left="567" w:right="-2" w:hanging="567"/>
      </w:pPr>
      <w:r>
        <w:t xml:space="preserve">Păstrați acest prospect. S-ar putea să fie necesar să-l recitiți. </w:t>
      </w:r>
    </w:p>
    <w:p w14:paraId="34DD7447" w14:textId="77777777" w:rsidR="00C04CAD" w:rsidRDefault="00060E34">
      <w:pPr>
        <w:pStyle w:val="ListParagraph"/>
        <w:numPr>
          <w:ilvl w:val="0"/>
          <w:numId w:val="47"/>
        </w:numPr>
        <w:spacing w:line="240" w:lineRule="auto"/>
        <w:ind w:left="567" w:hanging="567"/>
      </w:pPr>
      <w:r>
        <w:t xml:space="preserve">Medicul dumneavoastră vă va da de asemenea un </w:t>
      </w:r>
      <w:r>
        <w:rPr>
          <w:b/>
        </w:rPr>
        <w:t xml:space="preserve">Card de </w:t>
      </w:r>
      <w:r>
        <w:rPr>
          <w:b/>
          <w:szCs w:val="22"/>
        </w:rPr>
        <w:t xml:space="preserve">avertizare al pacientului </w:t>
      </w:r>
      <w:r>
        <w:t xml:space="preserve">care conţine informaţii importante privind siguranţa, informaţii de care aveţi nevoie pentru a fi atenţionaţi înainte de a utiliza AMGEVITA şi în timpul tratamentului cu AMGEVITA. Păstraţi asupra dumneavoastră acest </w:t>
      </w:r>
      <w:r>
        <w:rPr>
          <w:b/>
        </w:rPr>
        <w:t xml:space="preserve">Card de </w:t>
      </w:r>
      <w:r>
        <w:rPr>
          <w:b/>
          <w:szCs w:val="22"/>
        </w:rPr>
        <w:t>avertizare al pacientului</w:t>
      </w:r>
      <w:r>
        <w:t>.</w:t>
      </w:r>
    </w:p>
    <w:p w14:paraId="2EC287DC" w14:textId="77777777" w:rsidR="00C04CAD" w:rsidRDefault="00060E34">
      <w:pPr>
        <w:pStyle w:val="ListParagraph"/>
        <w:numPr>
          <w:ilvl w:val="0"/>
          <w:numId w:val="47"/>
        </w:numPr>
        <w:spacing w:line="240" w:lineRule="auto"/>
        <w:ind w:left="567" w:hanging="567"/>
      </w:pPr>
      <w:r>
        <w:t>Dacă aveţi orice întrebări suplimentare, adresaţi-vă medicului dumneavoastră sau farmacistului.</w:t>
      </w:r>
    </w:p>
    <w:p w14:paraId="77E2C202" w14:textId="77777777" w:rsidR="00C04CAD" w:rsidRDefault="00060E34">
      <w:pPr>
        <w:pStyle w:val="BodyText"/>
        <w:numPr>
          <w:ilvl w:val="0"/>
          <w:numId w:val="47"/>
        </w:numPr>
        <w:tabs>
          <w:tab w:val="left" w:pos="567"/>
        </w:tabs>
        <w:kinsoku w:val="0"/>
        <w:overflowPunct w:val="0"/>
        <w:autoSpaceDE w:val="0"/>
        <w:autoSpaceDN w:val="0"/>
        <w:adjustRightInd w:val="0"/>
        <w:ind w:left="567" w:hanging="567"/>
        <w:rPr>
          <w:i w:val="0"/>
          <w:color w:val="auto"/>
        </w:rPr>
      </w:pPr>
      <w:r>
        <w:rPr>
          <w:i w:val="0"/>
          <w:color w:val="auto"/>
        </w:rPr>
        <w:t>Acest medicament a fost prescris numai pentru dumneavoastră. Nu trebuie să-l daţi altor persoane. Le poate face rău, chiar dacă au aceleaşi semne de boală cu ale dumneavoastră.</w:t>
      </w:r>
    </w:p>
    <w:p w14:paraId="5139C4AE" w14:textId="77777777" w:rsidR="00C04CAD" w:rsidRDefault="00060E34">
      <w:pPr>
        <w:pStyle w:val="BodyText"/>
        <w:numPr>
          <w:ilvl w:val="0"/>
          <w:numId w:val="47"/>
        </w:numPr>
        <w:tabs>
          <w:tab w:val="left" w:pos="567"/>
        </w:tabs>
        <w:kinsoku w:val="0"/>
        <w:overflowPunct w:val="0"/>
        <w:autoSpaceDE w:val="0"/>
        <w:autoSpaceDN w:val="0"/>
        <w:adjustRightInd w:val="0"/>
        <w:ind w:left="567" w:hanging="567"/>
        <w:rPr>
          <w:i w:val="0"/>
          <w:color w:val="auto"/>
        </w:rPr>
      </w:pPr>
      <w:r>
        <w:rPr>
          <w:i w:val="0"/>
          <w:color w:val="auto"/>
        </w:rPr>
        <w:t>Dacă aveţi orice reacţie adversă spuneţi medicului dumneavoastră sau farmacistului. Aceasta include orice posibilă reacţie adversă nemenţionată în acest prospect (vezi pct. 4).</w:t>
      </w:r>
    </w:p>
    <w:p w14:paraId="303B2E17" w14:textId="77777777" w:rsidR="00C04CAD" w:rsidRDefault="00C04CAD">
      <w:pPr>
        <w:tabs>
          <w:tab w:val="clear" w:pos="567"/>
        </w:tabs>
        <w:spacing w:line="240" w:lineRule="auto"/>
        <w:ind w:right="-2"/>
      </w:pPr>
    </w:p>
    <w:p w14:paraId="6963EAE4" w14:textId="77777777" w:rsidR="00C04CAD" w:rsidRDefault="00060E34">
      <w:pPr>
        <w:keepNext/>
        <w:numPr>
          <w:ilvl w:val="12"/>
          <w:numId w:val="0"/>
        </w:numPr>
        <w:tabs>
          <w:tab w:val="clear" w:pos="567"/>
        </w:tabs>
        <w:spacing w:line="240" w:lineRule="auto"/>
        <w:ind w:right="-2"/>
        <w:outlineLvl w:val="0"/>
      </w:pPr>
      <w:r>
        <w:rPr>
          <w:b/>
        </w:rPr>
        <w:t>Ce găsiți în acest prospect</w:t>
      </w:r>
    </w:p>
    <w:p w14:paraId="3937120F" w14:textId="77777777" w:rsidR="00C04CAD" w:rsidRDefault="00C04CAD">
      <w:pPr>
        <w:keepNext/>
        <w:numPr>
          <w:ilvl w:val="12"/>
          <w:numId w:val="0"/>
        </w:numPr>
        <w:tabs>
          <w:tab w:val="clear" w:pos="567"/>
        </w:tabs>
        <w:spacing w:line="240" w:lineRule="auto"/>
        <w:ind w:right="-2"/>
        <w:outlineLvl w:val="0"/>
      </w:pPr>
    </w:p>
    <w:p w14:paraId="10BC8C23" w14:textId="77777777" w:rsidR="00C04CAD" w:rsidRDefault="00060E34">
      <w:pPr>
        <w:pStyle w:val="ListParagraph"/>
        <w:numPr>
          <w:ilvl w:val="0"/>
          <w:numId w:val="48"/>
        </w:numPr>
        <w:spacing w:line="240" w:lineRule="auto"/>
        <w:ind w:left="567" w:hanging="567"/>
        <w:contextualSpacing w:val="0"/>
      </w:pPr>
      <w:r>
        <w:t>Ce este AMGEVITA și pentru ce se utilizează</w:t>
      </w:r>
    </w:p>
    <w:p w14:paraId="2C58E785" w14:textId="77777777" w:rsidR="00C04CAD" w:rsidRDefault="00060E34">
      <w:pPr>
        <w:pStyle w:val="ListParagraph"/>
        <w:numPr>
          <w:ilvl w:val="0"/>
          <w:numId w:val="48"/>
        </w:numPr>
        <w:spacing w:line="240" w:lineRule="auto"/>
        <w:ind w:left="567" w:hanging="567"/>
      </w:pPr>
      <w:r>
        <w:t>Ce trebuie să știți înainte să utilizați AMGEVITA</w:t>
      </w:r>
    </w:p>
    <w:p w14:paraId="69B693C2" w14:textId="77777777" w:rsidR="00C04CAD" w:rsidRDefault="00060E34">
      <w:pPr>
        <w:pStyle w:val="ListParagraph"/>
        <w:numPr>
          <w:ilvl w:val="0"/>
          <w:numId w:val="48"/>
        </w:numPr>
        <w:spacing w:line="240" w:lineRule="auto"/>
        <w:ind w:left="567" w:hanging="567"/>
      </w:pPr>
      <w:r>
        <w:t>Cum să utilizați AMGEVITA</w:t>
      </w:r>
    </w:p>
    <w:p w14:paraId="1C4F6D65" w14:textId="77777777" w:rsidR="00C04CAD" w:rsidRDefault="00060E34">
      <w:pPr>
        <w:pStyle w:val="ListParagraph"/>
        <w:numPr>
          <w:ilvl w:val="0"/>
          <w:numId w:val="48"/>
        </w:numPr>
        <w:spacing w:line="240" w:lineRule="auto"/>
        <w:ind w:left="567" w:hanging="567"/>
      </w:pPr>
      <w:r>
        <w:t xml:space="preserve">Reacții adverse posibile </w:t>
      </w:r>
    </w:p>
    <w:p w14:paraId="2E246F18" w14:textId="77777777" w:rsidR="00C04CAD" w:rsidRDefault="00060E34">
      <w:pPr>
        <w:pStyle w:val="ListParagraph"/>
        <w:numPr>
          <w:ilvl w:val="0"/>
          <w:numId w:val="48"/>
        </w:numPr>
        <w:spacing w:line="240" w:lineRule="auto"/>
        <w:ind w:left="567" w:hanging="567"/>
      </w:pPr>
      <w:r>
        <w:t>Cum se păstrează AMGEVITA</w:t>
      </w:r>
    </w:p>
    <w:p w14:paraId="46C6B66C" w14:textId="77777777" w:rsidR="00C04CAD" w:rsidRDefault="00060E34">
      <w:pPr>
        <w:pStyle w:val="ListParagraph"/>
        <w:numPr>
          <w:ilvl w:val="0"/>
          <w:numId w:val="48"/>
        </w:numPr>
        <w:spacing w:line="240" w:lineRule="auto"/>
        <w:ind w:left="567" w:hanging="567"/>
      </w:pPr>
      <w:r>
        <w:t>Conținutul ambalajului și alte informații</w:t>
      </w:r>
    </w:p>
    <w:p w14:paraId="50512ABF" w14:textId="77777777" w:rsidR="00C04CAD" w:rsidRDefault="00C04CAD">
      <w:pPr>
        <w:numPr>
          <w:ilvl w:val="12"/>
          <w:numId w:val="0"/>
        </w:numPr>
        <w:tabs>
          <w:tab w:val="clear" w:pos="567"/>
        </w:tabs>
        <w:spacing w:line="240" w:lineRule="auto"/>
        <w:ind w:right="-2"/>
      </w:pPr>
    </w:p>
    <w:p w14:paraId="54E1AF3C" w14:textId="77777777" w:rsidR="00C04CAD" w:rsidRDefault="00C04CAD">
      <w:pPr>
        <w:numPr>
          <w:ilvl w:val="12"/>
          <w:numId w:val="0"/>
        </w:numPr>
        <w:tabs>
          <w:tab w:val="clear" w:pos="567"/>
        </w:tabs>
        <w:spacing w:line="240" w:lineRule="auto"/>
        <w:rPr>
          <w:szCs w:val="22"/>
        </w:rPr>
      </w:pPr>
    </w:p>
    <w:p w14:paraId="710C866E" w14:textId="77777777" w:rsidR="00C04CAD" w:rsidRDefault="00060E34">
      <w:pPr>
        <w:keepNext/>
        <w:numPr>
          <w:ilvl w:val="0"/>
          <w:numId w:val="49"/>
        </w:numPr>
        <w:spacing w:line="240" w:lineRule="auto"/>
        <w:ind w:left="561" w:hanging="567"/>
      </w:pPr>
      <w:r>
        <w:rPr>
          <w:b/>
        </w:rPr>
        <w:t>Ce este AMGEVITA și pentru ce se utilizează</w:t>
      </w:r>
    </w:p>
    <w:p w14:paraId="088E30E9" w14:textId="77777777" w:rsidR="00C04CAD" w:rsidRDefault="00C04CAD">
      <w:pPr>
        <w:numPr>
          <w:ilvl w:val="12"/>
          <w:numId w:val="0"/>
        </w:numPr>
        <w:tabs>
          <w:tab w:val="clear" w:pos="567"/>
        </w:tabs>
        <w:spacing w:line="240" w:lineRule="auto"/>
      </w:pPr>
    </w:p>
    <w:p w14:paraId="51F7135D" w14:textId="77777777" w:rsidR="00C04CAD" w:rsidRDefault="00060E34">
      <w:pPr>
        <w:tabs>
          <w:tab w:val="clear" w:pos="567"/>
        </w:tabs>
        <w:kinsoku w:val="0"/>
        <w:overflowPunct w:val="0"/>
        <w:autoSpaceDE w:val="0"/>
        <w:autoSpaceDN w:val="0"/>
        <w:adjustRightInd w:val="0"/>
        <w:spacing w:line="240" w:lineRule="auto"/>
        <w:rPr>
          <w:spacing w:val="-1"/>
          <w:szCs w:val="22"/>
          <w:lang w:eastAsia="en-US" w:bidi="ar-SA"/>
        </w:rPr>
      </w:pPr>
      <w:r>
        <w:rPr>
          <w:spacing w:val="-1"/>
          <w:szCs w:val="22"/>
          <w:lang w:eastAsia="en-US" w:bidi="ar-SA"/>
        </w:rPr>
        <w:t>AMGEVITA</w:t>
      </w:r>
      <w:r>
        <w:t xml:space="preserve"> con</w:t>
      </w:r>
      <w:r>
        <w:rPr>
          <w:spacing w:val="-2"/>
        </w:rPr>
        <w:t>ţ</w:t>
      </w:r>
      <w:r>
        <w:rPr>
          <w:spacing w:val="1"/>
        </w:rPr>
        <w:t>i</w:t>
      </w:r>
      <w:r>
        <w:t>ne</w:t>
      </w:r>
      <w:r>
        <w:rPr>
          <w:spacing w:val="-2"/>
        </w:rPr>
        <w:t xml:space="preserve"> </w:t>
      </w:r>
      <w:r>
        <w:t>sub</w:t>
      </w:r>
      <w:r>
        <w:rPr>
          <w:spacing w:val="-2"/>
        </w:rPr>
        <w:t>s</w:t>
      </w:r>
      <w:r>
        <w:rPr>
          <w:spacing w:val="1"/>
        </w:rPr>
        <w:t>t</w:t>
      </w:r>
      <w:r>
        <w:t>a</w:t>
      </w:r>
      <w:r>
        <w:rPr>
          <w:spacing w:val="-3"/>
        </w:rPr>
        <w:t>n</w:t>
      </w:r>
      <w:r>
        <w:rPr>
          <w:spacing w:val="1"/>
        </w:rPr>
        <w:t>ţ</w:t>
      </w:r>
      <w:r>
        <w:t>a</w:t>
      </w:r>
      <w:r>
        <w:rPr>
          <w:spacing w:val="-2"/>
        </w:rPr>
        <w:t xml:space="preserve"> </w:t>
      </w:r>
      <w:r>
        <w:rPr>
          <w:spacing w:val="-3"/>
        </w:rPr>
        <w:t>a</w:t>
      </w:r>
      <w:r>
        <w:t>c</w:t>
      </w:r>
      <w:r>
        <w:rPr>
          <w:spacing w:val="1"/>
        </w:rPr>
        <w:t>ti</w:t>
      </w:r>
      <w:r>
        <w:rPr>
          <w:spacing w:val="-3"/>
        </w:rPr>
        <w:t>v</w:t>
      </w:r>
      <w:r>
        <w:t>ă a</w:t>
      </w:r>
      <w:r>
        <w:rPr>
          <w:spacing w:val="-3"/>
        </w:rPr>
        <w:t>d</w:t>
      </w:r>
      <w:r>
        <w:t>a</w:t>
      </w:r>
      <w:r>
        <w:rPr>
          <w:spacing w:val="-2"/>
        </w:rPr>
        <w:t>l</w:t>
      </w:r>
      <w:r>
        <w:rPr>
          <w:spacing w:val="1"/>
        </w:rPr>
        <w:t>i</w:t>
      </w:r>
      <w:r>
        <w:rPr>
          <w:spacing w:val="-4"/>
        </w:rPr>
        <w:t>m</w:t>
      </w:r>
      <w:r>
        <w:rPr>
          <w:spacing w:val="2"/>
        </w:rPr>
        <w:t>u</w:t>
      </w:r>
      <w:r>
        <w:rPr>
          <w:spacing w:val="-4"/>
        </w:rPr>
        <w:t>m</w:t>
      </w:r>
      <w:r>
        <w:t>ab, un medicament care acționează asupra sistemului imunitar (de apărare) al organismului.</w:t>
      </w:r>
      <w:r>
        <w:rPr>
          <w:spacing w:val="-1"/>
        </w:rPr>
        <w:t xml:space="preserve"> </w:t>
      </w:r>
    </w:p>
    <w:p w14:paraId="0EAEC3E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19D7A8F" w14:textId="77777777" w:rsidR="00C04CAD" w:rsidRDefault="00060E34">
      <w:pPr>
        <w:tabs>
          <w:tab w:val="clear" w:pos="567"/>
        </w:tabs>
        <w:kinsoku w:val="0"/>
        <w:overflowPunct w:val="0"/>
        <w:autoSpaceDE w:val="0"/>
        <w:autoSpaceDN w:val="0"/>
        <w:adjustRightInd w:val="0"/>
        <w:spacing w:line="240" w:lineRule="auto"/>
        <w:rPr>
          <w:spacing w:val="-2"/>
          <w:szCs w:val="22"/>
        </w:rPr>
      </w:pPr>
      <w:r>
        <w:rPr>
          <w:spacing w:val="-1"/>
          <w:szCs w:val="22"/>
          <w:lang w:eastAsia="en-US" w:bidi="ar-SA"/>
        </w:rPr>
        <w:t>AMGEVITA</w:t>
      </w:r>
      <w:r>
        <w:rPr>
          <w:szCs w:val="22"/>
        </w:rPr>
        <w:t xml:space="preserve"> es</w:t>
      </w:r>
      <w:r>
        <w:rPr>
          <w:spacing w:val="-2"/>
          <w:szCs w:val="22"/>
        </w:rPr>
        <w:t>t</w:t>
      </w:r>
      <w:r>
        <w:rPr>
          <w:szCs w:val="22"/>
        </w:rPr>
        <w:t>e de</w:t>
      </w:r>
      <w:r>
        <w:rPr>
          <w:spacing w:val="-2"/>
          <w:szCs w:val="22"/>
        </w:rPr>
        <w:t>s</w:t>
      </w:r>
      <w:r>
        <w:rPr>
          <w:spacing w:val="1"/>
          <w:szCs w:val="22"/>
        </w:rPr>
        <w:t>t</w:t>
      </w:r>
      <w:r>
        <w:rPr>
          <w:spacing w:val="-2"/>
          <w:szCs w:val="22"/>
        </w:rPr>
        <w:t>i</w:t>
      </w:r>
      <w:r>
        <w:rPr>
          <w:szCs w:val="22"/>
        </w:rPr>
        <w:t>nat</w:t>
      </w:r>
      <w:r>
        <w:rPr>
          <w:spacing w:val="-2"/>
          <w:szCs w:val="22"/>
        </w:rPr>
        <w:t xml:space="preserve"> t</w:t>
      </w:r>
      <w:r>
        <w:rPr>
          <w:szCs w:val="22"/>
        </w:rPr>
        <w:t>ra</w:t>
      </w:r>
      <w:r>
        <w:rPr>
          <w:spacing w:val="-2"/>
          <w:szCs w:val="22"/>
        </w:rPr>
        <w:t>t</w:t>
      </w:r>
      <w:r>
        <w:rPr>
          <w:szCs w:val="22"/>
        </w:rPr>
        <w:t>a</w:t>
      </w:r>
      <w:r>
        <w:rPr>
          <w:spacing w:val="-2"/>
          <w:szCs w:val="22"/>
        </w:rPr>
        <w:t>m</w:t>
      </w:r>
      <w:r>
        <w:rPr>
          <w:szCs w:val="22"/>
        </w:rPr>
        <w:t>en</w:t>
      </w:r>
      <w:r>
        <w:rPr>
          <w:spacing w:val="1"/>
          <w:szCs w:val="22"/>
        </w:rPr>
        <w:t>t</w:t>
      </w:r>
      <w:r>
        <w:rPr>
          <w:spacing w:val="-3"/>
          <w:szCs w:val="22"/>
        </w:rPr>
        <w:t>u</w:t>
      </w:r>
      <w:r>
        <w:rPr>
          <w:spacing w:val="1"/>
          <w:szCs w:val="22"/>
        </w:rPr>
        <w:t>l</w:t>
      </w:r>
      <w:r>
        <w:rPr>
          <w:szCs w:val="22"/>
        </w:rPr>
        <w:t>ui</w:t>
      </w:r>
      <w:r>
        <w:rPr>
          <w:spacing w:val="-2"/>
          <w:szCs w:val="22"/>
        </w:rPr>
        <w:t xml:space="preserve"> bolilor inflamatorii descrise mai jos:</w:t>
      </w:r>
    </w:p>
    <w:p w14:paraId="7173A866"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Po</w:t>
      </w:r>
      <w:r>
        <w:rPr>
          <w:spacing w:val="-2"/>
          <w:szCs w:val="22"/>
        </w:rPr>
        <w:t>l</w:t>
      </w:r>
      <w:r>
        <w:rPr>
          <w:spacing w:val="1"/>
          <w:szCs w:val="22"/>
        </w:rPr>
        <w:t>i</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w:t>
      </w:r>
      <w:r>
        <w:rPr>
          <w:spacing w:val="1"/>
          <w:szCs w:val="22"/>
        </w:rPr>
        <w:t xml:space="preserve"> </w:t>
      </w:r>
      <w:r>
        <w:rPr>
          <w:szCs w:val="22"/>
        </w:rPr>
        <w:t>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2"/>
          <w:szCs w:val="22"/>
        </w:rPr>
        <w:t>i</w:t>
      </w:r>
      <w:r>
        <w:rPr>
          <w:szCs w:val="22"/>
        </w:rPr>
        <w:t xml:space="preserve">dă </w:t>
      </w:r>
    </w:p>
    <w:p w14:paraId="7D1032D5"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pacing w:val="1"/>
          <w:szCs w:val="22"/>
        </w:rPr>
        <w:t>j</w:t>
      </w:r>
      <w:r>
        <w:rPr>
          <w:szCs w:val="22"/>
        </w:rPr>
        <w:t>u</w:t>
      </w:r>
      <w:r>
        <w:rPr>
          <w:spacing w:val="-3"/>
          <w:szCs w:val="22"/>
        </w:rPr>
        <w:t>v</w:t>
      </w:r>
      <w:r>
        <w:rPr>
          <w:szCs w:val="22"/>
        </w:rPr>
        <w:t>en</w:t>
      </w:r>
      <w:r>
        <w:rPr>
          <w:spacing w:val="-2"/>
          <w:szCs w:val="22"/>
        </w:rPr>
        <w:t>i</w:t>
      </w:r>
      <w:r>
        <w:rPr>
          <w:spacing w:val="1"/>
          <w:szCs w:val="22"/>
        </w:rPr>
        <w:t>l</w:t>
      </w:r>
      <w:r>
        <w:rPr>
          <w:szCs w:val="22"/>
        </w:rPr>
        <w:t>ă</w:t>
      </w:r>
      <w:r>
        <w:rPr>
          <w:spacing w:val="-2"/>
          <w:szCs w:val="22"/>
        </w:rPr>
        <w:t xml:space="preserve"> </w:t>
      </w:r>
      <w:r>
        <w:rPr>
          <w:spacing w:val="1"/>
          <w:szCs w:val="22"/>
        </w:rPr>
        <w:t>i</w:t>
      </w:r>
      <w:r>
        <w:rPr>
          <w:szCs w:val="22"/>
        </w:rPr>
        <w:t>d</w:t>
      </w:r>
      <w:r>
        <w:rPr>
          <w:spacing w:val="-2"/>
          <w:szCs w:val="22"/>
        </w:rPr>
        <w:t>i</w:t>
      </w:r>
      <w:r>
        <w:rPr>
          <w:szCs w:val="22"/>
        </w:rPr>
        <w:t>op</w:t>
      </w:r>
      <w:r>
        <w:rPr>
          <w:spacing w:val="-3"/>
          <w:szCs w:val="22"/>
        </w:rPr>
        <w:t>a</w:t>
      </w:r>
      <w:r>
        <w:rPr>
          <w:spacing w:val="1"/>
          <w:szCs w:val="22"/>
        </w:rPr>
        <w:t>t</w:t>
      </w:r>
      <w:r>
        <w:rPr>
          <w:spacing w:val="-2"/>
          <w:szCs w:val="22"/>
        </w:rPr>
        <w:t>i</w:t>
      </w:r>
      <w:r>
        <w:rPr>
          <w:szCs w:val="22"/>
        </w:rPr>
        <w:t>că f</w:t>
      </w:r>
      <w:r>
        <w:rPr>
          <w:spacing w:val="-3"/>
          <w:szCs w:val="22"/>
        </w:rPr>
        <w:t>o</w:t>
      </w:r>
      <w:r>
        <w:rPr>
          <w:szCs w:val="22"/>
        </w:rPr>
        <w:t>r</w:t>
      </w:r>
      <w:r>
        <w:rPr>
          <w:spacing w:val="-4"/>
          <w:szCs w:val="22"/>
        </w:rPr>
        <w:t>m</w:t>
      </w:r>
      <w:r>
        <w:rPr>
          <w:szCs w:val="22"/>
        </w:rPr>
        <w:t>a 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i</w:t>
      </w:r>
      <w:r>
        <w:rPr>
          <w:szCs w:val="22"/>
        </w:rPr>
        <w:t>cu</w:t>
      </w:r>
      <w:r>
        <w:rPr>
          <w:spacing w:val="-2"/>
          <w:szCs w:val="22"/>
        </w:rPr>
        <w:t>l</w:t>
      </w:r>
      <w:r>
        <w:rPr>
          <w:szCs w:val="22"/>
        </w:rPr>
        <w:t>ară</w:t>
      </w:r>
      <w:r>
        <w:rPr>
          <w:spacing w:val="-3"/>
          <w:szCs w:val="22"/>
        </w:rPr>
        <w:t xml:space="preserve"> </w:t>
      </w:r>
    </w:p>
    <w:p w14:paraId="717B173A"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zCs w:val="22"/>
        </w:rPr>
        <w:t>aso</w:t>
      </w:r>
      <w:r>
        <w:rPr>
          <w:spacing w:val="-3"/>
          <w:szCs w:val="22"/>
        </w:rPr>
        <w:t>c</w:t>
      </w:r>
      <w:r>
        <w:rPr>
          <w:spacing w:val="-2"/>
          <w:szCs w:val="22"/>
        </w:rPr>
        <w:t>i</w:t>
      </w:r>
      <w:r>
        <w:rPr>
          <w:szCs w:val="22"/>
        </w:rPr>
        <w:t>a</w:t>
      </w:r>
      <w:r>
        <w:rPr>
          <w:spacing w:val="1"/>
          <w:szCs w:val="22"/>
        </w:rPr>
        <w:t>t</w:t>
      </w:r>
      <w:r>
        <w:rPr>
          <w:szCs w:val="22"/>
        </w:rPr>
        <w:t>ă</w:t>
      </w:r>
      <w:r>
        <w:rPr>
          <w:spacing w:val="-2"/>
          <w:szCs w:val="22"/>
        </w:rPr>
        <w:t xml:space="preserve"> </w:t>
      </w:r>
      <w:r>
        <w:rPr>
          <w:szCs w:val="22"/>
        </w:rPr>
        <w:t>en</w:t>
      </w:r>
      <w:r>
        <w:rPr>
          <w:spacing w:val="-2"/>
          <w:szCs w:val="22"/>
        </w:rPr>
        <w:t>t</w:t>
      </w:r>
      <w:r>
        <w:rPr>
          <w:szCs w:val="22"/>
        </w:rPr>
        <w:t>e</w:t>
      </w:r>
      <w:r>
        <w:rPr>
          <w:spacing w:val="-3"/>
          <w:szCs w:val="22"/>
        </w:rPr>
        <w:t>z</w:t>
      </w:r>
      <w:r>
        <w:rPr>
          <w:spacing w:val="1"/>
          <w:szCs w:val="22"/>
        </w:rPr>
        <w:t>it</w:t>
      </w:r>
      <w:r>
        <w:rPr>
          <w:spacing w:val="-3"/>
          <w:szCs w:val="22"/>
        </w:rPr>
        <w:t>e</w:t>
      </w:r>
      <w:r>
        <w:rPr>
          <w:spacing w:val="1"/>
          <w:szCs w:val="22"/>
        </w:rPr>
        <w:t>i</w:t>
      </w:r>
      <w:r>
        <w:rPr>
          <w:spacing w:val="-1"/>
          <w:szCs w:val="22"/>
        </w:rPr>
        <w:t xml:space="preserve"> </w:t>
      </w:r>
    </w:p>
    <w:p w14:paraId="1A370408"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S</w:t>
      </w:r>
      <w:r>
        <w:rPr>
          <w:spacing w:val="-3"/>
          <w:szCs w:val="22"/>
        </w:rPr>
        <w:t>p</w:t>
      </w:r>
      <w:r>
        <w:rPr>
          <w:szCs w:val="22"/>
        </w:rPr>
        <w:t>ond</w:t>
      </w:r>
      <w:r>
        <w:rPr>
          <w:spacing w:val="-2"/>
          <w:szCs w:val="22"/>
        </w:rPr>
        <w:t>i</w:t>
      </w:r>
      <w:r>
        <w:rPr>
          <w:spacing w:val="1"/>
          <w:szCs w:val="22"/>
        </w:rPr>
        <w:t>l</w:t>
      </w:r>
      <w:r>
        <w:rPr>
          <w:spacing w:val="-2"/>
          <w:szCs w:val="22"/>
        </w:rPr>
        <w:t>i</w:t>
      </w:r>
      <w:r>
        <w:rPr>
          <w:spacing w:val="1"/>
          <w:szCs w:val="22"/>
        </w:rPr>
        <w:t>t</w:t>
      </w:r>
      <w:r>
        <w:rPr>
          <w:szCs w:val="22"/>
        </w:rPr>
        <w:t>ă</w:t>
      </w:r>
      <w:r>
        <w:rPr>
          <w:spacing w:val="1"/>
          <w:szCs w:val="22"/>
        </w:rPr>
        <w:t xml:space="preserve"> </w:t>
      </w:r>
      <w:r>
        <w:rPr>
          <w:szCs w:val="22"/>
        </w:rPr>
        <w:t>a</w:t>
      </w:r>
      <w:r>
        <w:rPr>
          <w:spacing w:val="-3"/>
          <w:szCs w:val="22"/>
        </w:rPr>
        <w:t>nc</w:t>
      </w:r>
      <w:r>
        <w:rPr>
          <w:szCs w:val="22"/>
        </w:rPr>
        <w:t>h</w:t>
      </w:r>
      <w:r>
        <w:rPr>
          <w:spacing w:val="1"/>
          <w:szCs w:val="22"/>
        </w:rPr>
        <w:t>il</w:t>
      </w:r>
      <w:r>
        <w:rPr>
          <w:szCs w:val="22"/>
        </w:rPr>
        <w:t>o</w:t>
      </w:r>
      <w:r>
        <w:rPr>
          <w:spacing w:val="-3"/>
          <w:szCs w:val="22"/>
        </w:rPr>
        <w:t>z</w:t>
      </w:r>
      <w:r>
        <w:rPr>
          <w:szCs w:val="22"/>
        </w:rPr>
        <w:t>a</w:t>
      </w:r>
      <w:r>
        <w:rPr>
          <w:spacing w:val="-3"/>
          <w:szCs w:val="22"/>
        </w:rPr>
        <w:t>n</w:t>
      </w:r>
      <w:r>
        <w:rPr>
          <w:spacing w:val="1"/>
          <w:szCs w:val="22"/>
        </w:rPr>
        <w:t>t</w:t>
      </w:r>
      <w:r>
        <w:rPr>
          <w:szCs w:val="22"/>
        </w:rPr>
        <w:t xml:space="preserve">ă </w:t>
      </w:r>
    </w:p>
    <w:p w14:paraId="4BA27967"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Spo</w:t>
      </w:r>
      <w:r>
        <w:rPr>
          <w:spacing w:val="-1"/>
          <w:szCs w:val="22"/>
        </w:rPr>
        <w:t>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1"/>
          <w:szCs w:val="22"/>
        </w:rPr>
        <w:t xml:space="preserve"> </w:t>
      </w:r>
      <w:r>
        <w:rPr>
          <w:spacing w:val="-2"/>
          <w:szCs w:val="22"/>
        </w:rPr>
        <w:t>a</w:t>
      </w:r>
      <w:r>
        <w:rPr>
          <w:szCs w:val="22"/>
        </w:rPr>
        <w:t>x</w:t>
      </w:r>
      <w:r>
        <w:rPr>
          <w:spacing w:val="1"/>
          <w:szCs w:val="22"/>
        </w:rPr>
        <w:t>i</w:t>
      </w:r>
      <w:r>
        <w:rPr>
          <w:spacing w:val="-2"/>
          <w:szCs w:val="22"/>
        </w:rPr>
        <w:t>a</w:t>
      </w:r>
      <w:r>
        <w:rPr>
          <w:szCs w:val="22"/>
        </w:rPr>
        <w:t xml:space="preserve">lă </w:t>
      </w:r>
      <w:r>
        <w:rPr>
          <w:spacing w:val="-2"/>
          <w:szCs w:val="22"/>
        </w:rPr>
        <w:t>f</w:t>
      </w:r>
      <w:r>
        <w:rPr>
          <w:szCs w:val="22"/>
        </w:rPr>
        <w:t>ără</w:t>
      </w:r>
      <w:r>
        <w:rPr>
          <w:spacing w:val="-2"/>
          <w:szCs w:val="22"/>
        </w:rPr>
        <w:t xml:space="preserve"> </w:t>
      </w:r>
      <w:r>
        <w:rPr>
          <w:szCs w:val="22"/>
        </w:rPr>
        <w:t>do</w:t>
      </w:r>
      <w:r>
        <w:rPr>
          <w:spacing w:val="-3"/>
          <w:szCs w:val="22"/>
        </w:rPr>
        <w:t>v</w:t>
      </w:r>
      <w:r>
        <w:rPr>
          <w:szCs w:val="22"/>
        </w:rPr>
        <w:t>adă rad</w:t>
      </w:r>
      <w:r>
        <w:rPr>
          <w:spacing w:val="-2"/>
          <w:szCs w:val="22"/>
        </w:rPr>
        <w:t>i</w:t>
      </w:r>
      <w:r>
        <w:rPr>
          <w:spacing w:val="-1"/>
          <w:szCs w:val="22"/>
        </w:rPr>
        <w:t>o</w:t>
      </w:r>
      <w:r>
        <w:rPr>
          <w:spacing w:val="1"/>
          <w:szCs w:val="22"/>
        </w:rPr>
        <w:t>l</w:t>
      </w:r>
      <w:r>
        <w:rPr>
          <w:szCs w:val="22"/>
        </w:rPr>
        <w:t>o</w:t>
      </w:r>
      <w:r>
        <w:rPr>
          <w:spacing w:val="-3"/>
          <w:szCs w:val="22"/>
        </w:rPr>
        <w:t>g</w:t>
      </w:r>
      <w:r>
        <w:rPr>
          <w:spacing w:val="1"/>
          <w:szCs w:val="22"/>
        </w:rPr>
        <w:t>i</w:t>
      </w:r>
      <w:r>
        <w:rPr>
          <w:spacing w:val="-3"/>
          <w:szCs w:val="22"/>
        </w:rPr>
        <w:t>c</w:t>
      </w:r>
      <w:r>
        <w:rPr>
          <w:szCs w:val="22"/>
        </w:rPr>
        <w:t xml:space="preserve">ă a </w:t>
      </w:r>
      <w:r>
        <w:rPr>
          <w:spacing w:val="-2"/>
          <w:szCs w:val="22"/>
        </w:rPr>
        <w:t>s</w:t>
      </w:r>
      <w:r>
        <w:rPr>
          <w:szCs w:val="22"/>
        </w:rPr>
        <w:t>pon</w:t>
      </w:r>
      <w:r>
        <w:rPr>
          <w:spacing w:val="-3"/>
          <w:szCs w:val="22"/>
        </w:rPr>
        <w:t>d</w:t>
      </w:r>
      <w:r>
        <w:rPr>
          <w:spacing w:val="1"/>
          <w:szCs w:val="22"/>
        </w:rPr>
        <w:t>i</w:t>
      </w:r>
      <w:r>
        <w:rPr>
          <w:spacing w:val="-2"/>
          <w:szCs w:val="22"/>
        </w:rPr>
        <w:t>l</w:t>
      </w:r>
      <w:r>
        <w:rPr>
          <w:spacing w:val="1"/>
          <w:szCs w:val="22"/>
        </w:rPr>
        <w:t>i</w:t>
      </w:r>
      <w:r>
        <w:rPr>
          <w:spacing w:val="-2"/>
          <w:szCs w:val="22"/>
        </w:rPr>
        <w:t>t</w:t>
      </w:r>
      <w:r>
        <w:rPr>
          <w:szCs w:val="22"/>
        </w:rPr>
        <w:t>ei</w:t>
      </w:r>
      <w:r>
        <w:rPr>
          <w:spacing w:val="1"/>
          <w:szCs w:val="22"/>
        </w:rPr>
        <w:t xml:space="preserve"> </w:t>
      </w:r>
      <w:r>
        <w:rPr>
          <w:spacing w:val="-3"/>
          <w:szCs w:val="22"/>
        </w:rPr>
        <w:t>an</w:t>
      </w:r>
      <w:r>
        <w:rPr>
          <w:szCs w:val="22"/>
        </w:rPr>
        <w:t>ch</w:t>
      </w:r>
      <w:r>
        <w:rPr>
          <w:spacing w:val="-2"/>
          <w:szCs w:val="22"/>
        </w:rPr>
        <w:t>i</w:t>
      </w:r>
      <w:r>
        <w:rPr>
          <w:spacing w:val="1"/>
          <w:szCs w:val="22"/>
        </w:rPr>
        <w:t>l</w:t>
      </w:r>
      <w:r>
        <w:rPr>
          <w:szCs w:val="22"/>
        </w:rPr>
        <w:t>o</w:t>
      </w:r>
      <w:r>
        <w:rPr>
          <w:spacing w:val="-3"/>
          <w:szCs w:val="22"/>
        </w:rPr>
        <w:t>z</w:t>
      </w:r>
      <w:r>
        <w:rPr>
          <w:szCs w:val="22"/>
        </w:rPr>
        <w:t>an</w:t>
      </w:r>
      <w:r>
        <w:rPr>
          <w:spacing w:val="1"/>
          <w:szCs w:val="22"/>
        </w:rPr>
        <w:t>t</w:t>
      </w:r>
      <w:r>
        <w:rPr>
          <w:szCs w:val="22"/>
        </w:rPr>
        <w:t>e</w:t>
      </w:r>
      <w:r>
        <w:rPr>
          <w:spacing w:val="-3"/>
          <w:szCs w:val="22"/>
        </w:rPr>
        <w:t xml:space="preserve"> </w:t>
      </w:r>
    </w:p>
    <w:p w14:paraId="33183DBC"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1"/>
          <w:szCs w:val="22"/>
        </w:rPr>
        <w:t xml:space="preserve"> </w:t>
      </w:r>
      <w:r>
        <w:rPr>
          <w:spacing w:val="-3"/>
          <w:szCs w:val="22"/>
        </w:rPr>
        <w:t>p</w:t>
      </w:r>
      <w:r>
        <w:rPr>
          <w:szCs w:val="22"/>
        </w:rPr>
        <w:t>so</w:t>
      </w:r>
      <w:r>
        <w:rPr>
          <w:spacing w:val="-2"/>
          <w:szCs w:val="22"/>
        </w:rPr>
        <w:t>r</w:t>
      </w:r>
      <w:r>
        <w:rPr>
          <w:spacing w:val="1"/>
          <w:szCs w:val="22"/>
        </w:rPr>
        <w:t>i</w:t>
      </w:r>
      <w:r>
        <w:rPr>
          <w:szCs w:val="22"/>
        </w:rPr>
        <w:t>a</w:t>
      </w:r>
      <w:r>
        <w:rPr>
          <w:spacing w:val="-3"/>
          <w:szCs w:val="22"/>
        </w:rPr>
        <w:t>z</w:t>
      </w:r>
      <w:r>
        <w:rPr>
          <w:spacing w:val="1"/>
          <w:szCs w:val="22"/>
        </w:rPr>
        <w:t>i</w:t>
      </w:r>
      <w:r>
        <w:rPr>
          <w:spacing w:val="-3"/>
          <w:szCs w:val="22"/>
        </w:rPr>
        <w:t>c</w:t>
      </w:r>
      <w:r>
        <w:rPr>
          <w:szCs w:val="22"/>
        </w:rPr>
        <w:t xml:space="preserve">ă </w:t>
      </w:r>
    </w:p>
    <w:p w14:paraId="44051C8E"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Ps</w:t>
      </w:r>
      <w:r>
        <w:rPr>
          <w:spacing w:val="-3"/>
          <w:szCs w:val="22"/>
        </w:rPr>
        <w:t>o</w:t>
      </w:r>
      <w:r>
        <w:rPr>
          <w:szCs w:val="22"/>
        </w:rPr>
        <w:t>r</w:t>
      </w:r>
      <w:r>
        <w:rPr>
          <w:spacing w:val="1"/>
          <w:szCs w:val="22"/>
        </w:rPr>
        <w:t>i</w:t>
      </w:r>
      <w:r>
        <w:rPr>
          <w:szCs w:val="22"/>
        </w:rPr>
        <w:t>a</w:t>
      </w:r>
      <w:r>
        <w:rPr>
          <w:spacing w:val="-3"/>
          <w:szCs w:val="22"/>
        </w:rPr>
        <w:t>z</w:t>
      </w:r>
      <w:r>
        <w:rPr>
          <w:spacing w:val="-2"/>
          <w:szCs w:val="22"/>
        </w:rPr>
        <w:t>i</w:t>
      </w:r>
      <w:r>
        <w:rPr>
          <w:szCs w:val="22"/>
        </w:rPr>
        <w:t xml:space="preserve">s </w:t>
      </w:r>
      <w:r>
        <w:rPr>
          <w:spacing w:val="1"/>
        </w:rPr>
        <w:t>î</w:t>
      </w:r>
      <w:r>
        <w:t>n p</w:t>
      </w:r>
      <w:r>
        <w:rPr>
          <w:spacing w:val="-2"/>
        </w:rPr>
        <w:t>l</w:t>
      </w:r>
      <w:r>
        <w:t>ăci</w:t>
      </w:r>
      <w:r>
        <w:rPr>
          <w:szCs w:val="22"/>
        </w:rPr>
        <w:t xml:space="preserve"> </w:t>
      </w:r>
    </w:p>
    <w:p w14:paraId="13254376"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H</w:t>
      </w:r>
      <w:r>
        <w:rPr>
          <w:spacing w:val="1"/>
          <w:szCs w:val="22"/>
        </w:rPr>
        <w:t>i</w:t>
      </w:r>
      <w:r>
        <w:rPr>
          <w:szCs w:val="22"/>
        </w:rPr>
        <w:t>d</w:t>
      </w:r>
      <w:r>
        <w:rPr>
          <w:spacing w:val="-2"/>
          <w:szCs w:val="22"/>
        </w:rPr>
        <w:t>r</w:t>
      </w:r>
      <w:r>
        <w:rPr>
          <w:szCs w:val="22"/>
        </w:rPr>
        <w:t>osa</w:t>
      </w:r>
      <w:r>
        <w:rPr>
          <w:spacing w:val="-3"/>
          <w:szCs w:val="22"/>
        </w:rPr>
        <w:t>d</w:t>
      </w:r>
      <w:r>
        <w:rPr>
          <w:szCs w:val="22"/>
        </w:rPr>
        <w:t>e</w:t>
      </w:r>
      <w:r>
        <w:rPr>
          <w:spacing w:val="-3"/>
          <w:szCs w:val="22"/>
        </w:rPr>
        <w:t>n</w:t>
      </w:r>
      <w:r>
        <w:rPr>
          <w:spacing w:val="1"/>
          <w:szCs w:val="22"/>
        </w:rPr>
        <w:t>it</w:t>
      </w:r>
      <w:r>
        <w:rPr>
          <w:szCs w:val="22"/>
        </w:rPr>
        <w:t>ă</w:t>
      </w:r>
      <w:r>
        <w:rPr>
          <w:spacing w:val="1"/>
          <w:szCs w:val="22"/>
        </w:rPr>
        <w:t xml:space="preserve"> </w:t>
      </w:r>
      <w:r>
        <w:rPr>
          <w:szCs w:val="22"/>
        </w:rPr>
        <w:t>s</w:t>
      </w:r>
      <w:r>
        <w:rPr>
          <w:spacing w:val="-3"/>
          <w:szCs w:val="22"/>
        </w:rPr>
        <w:t>u</w:t>
      </w:r>
      <w:r>
        <w:rPr>
          <w:szCs w:val="22"/>
        </w:rPr>
        <w:t>pu</w:t>
      </w:r>
      <w:r>
        <w:rPr>
          <w:spacing w:val="-2"/>
          <w:szCs w:val="22"/>
        </w:rPr>
        <w:t>r</w:t>
      </w:r>
      <w:r>
        <w:rPr>
          <w:szCs w:val="22"/>
        </w:rPr>
        <w:t>a</w:t>
      </w:r>
      <w:r>
        <w:rPr>
          <w:spacing w:val="-2"/>
          <w:szCs w:val="22"/>
        </w:rPr>
        <w:t>t</w:t>
      </w:r>
      <w:r>
        <w:rPr>
          <w:spacing w:val="1"/>
          <w:szCs w:val="22"/>
        </w:rPr>
        <w:t>i</w:t>
      </w:r>
      <w:r>
        <w:rPr>
          <w:spacing w:val="-3"/>
          <w:szCs w:val="22"/>
        </w:rPr>
        <w:t>v</w:t>
      </w:r>
      <w:r>
        <w:rPr>
          <w:szCs w:val="22"/>
        </w:rPr>
        <w:t>ă</w:t>
      </w:r>
      <w:r>
        <w:rPr>
          <w:szCs w:val="22"/>
          <w:lang w:eastAsia="en-US" w:bidi="ar-SA"/>
        </w:rPr>
        <w:t xml:space="preserve"> </w:t>
      </w:r>
    </w:p>
    <w:p w14:paraId="1799D179"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B</w:t>
      </w:r>
      <w:r>
        <w:rPr>
          <w:szCs w:val="22"/>
          <w:lang w:eastAsia="en-US" w:bidi="ar-SA"/>
        </w:rPr>
        <w:t>oa</w:t>
      </w:r>
      <w:r>
        <w:rPr>
          <w:spacing w:val="-2"/>
          <w:szCs w:val="22"/>
          <w:lang w:eastAsia="en-US" w:bidi="ar-SA"/>
        </w:rPr>
        <w:t>l</w:t>
      </w:r>
      <w:r>
        <w:rPr>
          <w:szCs w:val="22"/>
        </w:rPr>
        <w:t>ă</w:t>
      </w:r>
      <w:r>
        <w:rPr>
          <w:szCs w:val="22"/>
          <w:lang w:eastAsia="en-US" w:bidi="ar-SA"/>
        </w:rPr>
        <w:t xml:space="preserve"> </w:t>
      </w:r>
      <w:r>
        <w:rPr>
          <w:spacing w:val="-1"/>
          <w:szCs w:val="22"/>
          <w:lang w:eastAsia="en-US" w:bidi="ar-SA"/>
        </w:rPr>
        <w:t>C</w:t>
      </w:r>
      <w:r>
        <w:rPr>
          <w:szCs w:val="22"/>
          <w:lang w:eastAsia="en-US" w:bidi="ar-SA"/>
        </w:rPr>
        <w:t>rohn</w:t>
      </w:r>
      <w:r>
        <w:rPr>
          <w:szCs w:val="22"/>
        </w:rPr>
        <w:t xml:space="preserve"> </w:t>
      </w:r>
    </w:p>
    <w:p w14:paraId="0305CD00"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C</w:t>
      </w:r>
      <w:r>
        <w:rPr>
          <w:spacing w:val="-3"/>
          <w:szCs w:val="22"/>
        </w:rPr>
        <w:t>o</w:t>
      </w:r>
      <w:r>
        <w:rPr>
          <w:spacing w:val="-2"/>
          <w:szCs w:val="22"/>
        </w:rPr>
        <w:t>l</w:t>
      </w:r>
      <w:r>
        <w:rPr>
          <w:spacing w:val="1"/>
          <w:szCs w:val="22"/>
        </w:rPr>
        <w:t>it</w:t>
      </w:r>
      <w:r>
        <w:rPr>
          <w:szCs w:val="22"/>
        </w:rPr>
        <w:t>ă</w:t>
      </w:r>
      <w:r>
        <w:rPr>
          <w:spacing w:val="1"/>
          <w:szCs w:val="22"/>
        </w:rPr>
        <w:t xml:space="preserve"> </w:t>
      </w:r>
      <w:r>
        <w:rPr>
          <w:spacing w:val="-3"/>
          <w:szCs w:val="22"/>
        </w:rPr>
        <w:t>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lang w:eastAsia="en-US" w:bidi="ar-SA"/>
        </w:rPr>
        <w:t>ă</w:t>
      </w:r>
      <w:r>
        <w:rPr>
          <w:spacing w:val="-2"/>
          <w:szCs w:val="22"/>
        </w:rPr>
        <w:t xml:space="preserve"> </w:t>
      </w:r>
    </w:p>
    <w:p w14:paraId="10963BC4"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U</w:t>
      </w:r>
      <w:r>
        <w:rPr>
          <w:spacing w:val="-3"/>
          <w:szCs w:val="22"/>
        </w:rPr>
        <w:t>v</w:t>
      </w:r>
      <w:r>
        <w:rPr>
          <w:szCs w:val="22"/>
        </w:rPr>
        <w:t>e</w:t>
      </w:r>
      <w:r>
        <w:rPr>
          <w:spacing w:val="1"/>
          <w:szCs w:val="22"/>
        </w:rPr>
        <w:t>it</w:t>
      </w:r>
      <w:r>
        <w:rPr>
          <w:szCs w:val="22"/>
        </w:rPr>
        <w:t>ă</w:t>
      </w:r>
      <w:r>
        <w:rPr>
          <w:spacing w:val="1"/>
          <w:szCs w:val="22"/>
        </w:rPr>
        <w:t xml:space="preserve"> </w:t>
      </w:r>
      <w:r>
        <w:rPr>
          <w:spacing w:val="-1"/>
          <w:szCs w:val="22"/>
        </w:rPr>
        <w:t>n</w:t>
      </w:r>
      <w:r>
        <w:rPr>
          <w:szCs w:val="22"/>
        </w:rPr>
        <w:t>on</w:t>
      </w:r>
      <w:r>
        <w:rPr>
          <w:spacing w:val="-4"/>
          <w:szCs w:val="22"/>
        </w:rPr>
        <w:t>-</w:t>
      </w:r>
      <w:r>
        <w:rPr>
          <w:spacing w:val="1"/>
          <w:szCs w:val="22"/>
        </w:rPr>
        <w:t>i</w:t>
      </w:r>
      <w:r>
        <w:rPr>
          <w:szCs w:val="22"/>
        </w:rPr>
        <w:t>nfe</w:t>
      </w:r>
      <w:r>
        <w:rPr>
          <w:spacing w:val="-3"/>
          <w:szCs w:val="22"/>
        </w:rPr>
        <w:t>c</w:t>
      </w:r>
      <w:r>
        <w:rPr>
          <w:spacing w:val="1"/>
          <w:szCs w:val="22"/>
        </w:rPr>
        <w:t>ţ</w:t>
      </w:r>
      <w:r>
        <w:rPr>
          <w:spacing w:val="-2"/>
          <w:szCs w:val="22"/>
        </w:rPr>
        <w:t>i</w:t>
      </w:r>
      <w:r>
        <w:rPr>
          <w:szCs w:val="22"/>
        </w:rPr>
        <w:t>oa</w:t>
      </w:r>
      <w:r>
        <w:rPr>
          <w:spacing w:val="-2"/>
          <w:szCs w:val="22"/>
        </w:rPr>
        <w:t>s</w:t>
      </w:r>
      <w:r>
        <w:rPr>
          <w:szCs w:val="22"/>
        </w:rPr>
        <w:t>ă</w:t>
      </w:r>
    </w:p>
    <w:p w14:paraId="6E7F7B9C" w14:textId="77777777" w:rsidR="00C04CAD" w:rsidRDefault="00C04CAD">
      <w:pPr>
        <w:tabs>
          <w:tab w:val="clear" w:pos="567"/>
        </w:tabs>
        <w:kinsoku w:val="0"/>
        <w:overflowPunct w:val="0"/>
        <w:autoSpaceDE w:val="0"/>
        <w:autoSpaceDN w:val="0"/>
        <w:adjustRightInd w:val="0"/>
        <w:spacing w:line="240" w:lineRule="auto"/>
        <w:rPr>
          <w:szCs w:val="22"/>
        </w:rPr>
      </w:pPr>
    </w:p>
    <w:p w14:paraId="2BB6035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szCs w:val="22"/>
        </w:rPr>
        <w:t>S</w:t>
      </w:r>
      <w:r>
        <w:rPr>
          <w:spacing w:val="-2"/>
          <w:szCs w:val="22"/>
        </w:rPr>
        <w:t>u</w:t>
      </w:r>
      <w:r>
        <w:rPr>
          <w:szCs w:val="22"/>
        </w:rPr>
        <w:t>b</w:t>
      </w:r>
      <w:r>
        <w:rPr>
          <w:spacing w:val="-2"/>
          <w:szCs w:val="22"/>
        </w:rPr>
        <w:t>s</w:t>
      </w:r>
      <w:r>
        <w:rPr>
          <w:spacing w:val="1"/>
          <w:szCs w:val="22"/>
        </w:rPr>
        <w:t>t</w:t>
      </w:r>
      <w:r>
        <w:rPr>
          <w:szCs w:val="22"/>
        </w:rPr>
        <w:t>a</w:t>
      </w:r>
      <w:r>
        <w:rPr>
          <w:spacing w:val="-3"/>
          <w:szCs w:val="22"/>
        </w:rPr>
        <w:t>n</w:t>
      </w:r>
      <w:r>
        <w:rPr>
          <w:spacing w:val="1"/>
          <w:szCs w:val="22"/>
        </w:rPr>
        <w:t>ţ</w:t>
      </w:r>
      <w:r>
        <w:rPr>
          <w:szCs w:val="22"/>
        </w:rPr>
        <w:t>a ac</w:t>
      </w:r>
      <w:r>
        <w:rPr>
          <w:spacing w:val="-2"/>
          <w:szCs w:val="22"/>
        </w:rPr>
        <w:t>t</w:t>
      </w:r>
      <w:r>
        <w:rPr>
          <w:spacing w:val="1"/>
          <w:szCs w:val="22"/>
        </w:rPr>
        <w:t>i</w:t>
      </w:r>
      <w:r>
        <w:rPr>
          <w:spacing w:val="-3"/>
          <w:szCs w:val="22"/>
        </w:rPr>
        <w:t>v</w:t>
      </w:r>
      <w:r>
        <w:rPr>
          <w:szCs w:val="22"/>
        </w:rPr>
        <w:t>ă a AMGEVITA, ad</w:t>
      </w:r>
      <w:r>
        <w:rPr>
          <w:spacing w:val="-3"/>
          <w:szCs w:val="22"/>
        </w:rPr>
        <w:t>a</w:t>
      </w:r>
      <w:r>
        <w:rPr>
          <w:spacing w:val="1"/>
          <w:szCs w:val="22"/>
        </w:rPr>
        <w:t>li</w:t>
      </w:r>
      <w:r>
        <w:rPr>
          <w:spacing w:val="-4"/>
          <w:szCs w:val="22"/>
        </w:rPr>
        <w:t>m</w:t>
      </w:r>
      <w:r>
        <w:rPr>
          <w:szCs w:val="22"/>
        </w:rPr>
        <w:t>u</w:t>
      </w:r>
      <w:r>
        <w:rPr>
          <w:spacing w:val="-4"/>
          <w:szCs w:val="22"/>
        </w:rPr>
        <w:t>m</w:t>
      </w:r>
      <w:r>
        <w:rPr>
          <w:szCs w:val="22"/>
        </w:rPr>
        <w:t>ab, es</w:t>
      </w:r>
      <w:r>
        <w:rPr>
          <w:spacing w:val="1"/>
          <w:szCs w:val="22"/>
        </w:rPr>
        <w:t>t</w:t>
      </w:r>
      <w:r>
        <w:rPr>
          <w:szCs w:val="22"/>
        </w:rPr>
        <w:t>e un</w:t>
      </w:r>
      <w:r>
        <w:rPr>
          <w:spacing w:val="-3"/>
          <w:szCs w:val="22"/>
        </w:rPr>
        <w:t xml:space="preserve"> </w:t>
      </w:r>
      <w:r>
        <w:rPr>
          <w:szCs w:val="22"/>
        </w:rPr>
        <w:t>an</w:t>
      </w:r>
      <w:r>
        <w:rPr>
          <w:spacing w:val="-2"/>
          <w:szCs w:val="22"/>
        </w:rPr>
        <w:t>t</w:t>
      </w:r>
      <w:r>
        <w:rPr>
          <w:spacing w:val="1"/>
          <w:szCs w:val="22"/>
        </w:rPr>
        <w:t>i</w:t>
      </w:r>
      <w:r>
        <w:rPr>
          <w:szCs w:val="22"/>
        </w:rPr>
        <w:t>c</w:t>
      </w:r>
      <w:r>
        <w:rPr>
          <w:spacing w:val="-3"/>
          <w:szCs w:val="22"/>
        </w:rPr>
        <w:t>o</w:t>
      </w:r>
      <w:r>
        <w:rPr>
          <w:szCs w:val="22"/>
        </w:rPr>
        <w:t xml:space="preserve">rp </w:t>
      </w:r>
      <w:r>
        <w:rPr>
          <w:spacing w:val="-4"/>
          <w:szCs w:val="22"/>
        </w:rPr>
        <w:t>m</w:t>
      </w:r>
      <w:r>
        <w:rPr>
          <w:szCs w:val="22"/>
        </w:rPr>
        <w:t>onoc</w:t>
      </w:r>
      <w:r>
        <w:rPr>
          <w:spacing w:val="1"/>
          <w:szCs w:val="22"/>
        </w:rPr>
        <w:t>l</w:t>
      </w:r>
      <w:r>
        <w:rPr>
          <w:szCs w:val="22"/>
        </w:rPr>
        <w:t>on</w:t>
      </w:r>
      <w:r>
        <w:rPr>
          <w:spacing w:val="-3"/>
          <w:szCs w:val="22"/>
        </w:rPr>
        <w:t>a</w:t>
      </w:r>
      <w:r>
        <w:rPr>
          <w:szCs w:val="22"/>
        </w:rPr>
        <w:t>l</w:t>
      </w:r>
      <w:r>
        <w:rPr>
          <w:spacing w:val="1"/>
          <w:szCs w:val="22"/>
        </w:rPr>
        <w:t xml:space="preserve"> </w:t>
      </w:r>
      <w:r>
        <w:rPr>
          <w:szCs w:val="22"/>
        </w:rPr>
        <w:t>u</w:t>
      </w:r>
      <w:r>
        <w:rPr>
          <w:spacing w:val="-4"/>
          <w:szCs w:val="22"/>
        </w:rPr>
        <w:t>m</w:t>
      </w:r>
      <w:r>
        <w:rPr>
          <w:szCs w:val="22"/>
        </w:rPr>
        <w:t xml:space="preserve">an. </w:t>
      </w:r>
      <w:r>
        <w:rPr>
          <w:spacing w:val="-1"/>
          <w:szCs w:val="22"/>
        </w:rPr>
        <w:t>A</w:t>
      </w:r>
      <w:r>
        <w:rPr>
          <w:szCs w:val="22"/>
        </w:rPr>
        <w:t>n</w:t>
      </w:r>
      <w:r>
        <w:rPr>
          <w:spacing w:val="1"/>
          <w:szCs w:val="22"/>
        </w:rPr>
        <w:t>ti</w:t>
      </w:r>
      <w:r>
        <w:rPr>
          <w:spacing w:val="-3"/>
          <w:szCs w:val="22"/>
        </w:rPr>
        <w:t>c</w:t>
      </w:r>
      <w:r>
        <w:rPr>
          <w:szCs w:val="22"/>
        </w:rPr>
        <w:t>or</w:t>
      </w:r>
      <w:r>
        <w:rPr>
          <w:spacing w:val="-3"/>
          <w:szCs w:val="22"/>
        </w:rPr>
        <w:t>p</w:t>
      </w:r>
      <w:r>
        <w:rPr>
          <w:spacing w:val="1"/>
          <w:szCs w:val="22"/>
        </w:rPr>
        <w:t>i</w:t>
      </w:r>
      <w:r>
        <w:rPr>
          <w:szCs w:val="22"/>
        </w:rPr>
        <w:t xml:space="preserve">i </w:t>
      </w:r>
      <w:r>
        <w:rPr>
          <w:spacing w:val="-4"/>
          <w:szCs w:val="22"/>
        </w:rPr>
        <w:t>m</w:t>
      </w:r>
      <w:r>
        <w:rPr>
          <w:szCs w:val="22"/>
        </w:rPr>
        <w:t>onoc</w:t>
      </w:r>
      <w:r>
        <w:rPr>
          <w:spacing w:val="1"/>
          <w:szCs w:val="22"/>
        </w:rPr>
        <w:t>l</w:t>
      </w:r>
      <w:r>
        <w:rPr>
          <w:szCs w:val="22"/>
        </w:rPr>
        <w:t>ona</w:t>
      </w:r>
      <w:r>
        <w:rPr>
          <w:spacing w:val="-2"/>
          <w:szCs w:val="22"/>
        </w:rPr>
        <w:t>l</w:t>
      </w:r>
      <w:r>
        <w:rPr>
          <w:szCs w:val="22"/>
        </w:rPr>
        <w:t>i</w:t>
      </w:r>
      <w:r>
        <w:rPr>
          <w:spacing w:val="1"/>
          <w:szCs w:val="22"/>
        </w:rPr>
        <w:t xml:space="preserve"> </w:t>
      </w:r>
      <w:r>
        <w:rPr>
          <w:szCs w:val="22"/>
        </w:rPr>
        <w:t>su</w:t>
      </w:r>
      <w:r>
        <w:rPr>
          <w:spacing w:val="-3"/>
          <w:szCs w:val="22"/>
        </w:rPr>
        <w:t>n</w:t>
      </w:r>
      <w:r>
        <w:rPr>
          <w:szCs w:val="22"/>
        </w:rPr>
        <w:t>t</w:t>
      </w:r>
      <w:r>
        <w:rPr>
          <w:spacing w:val="1"/>
          <w:szCs w:val="22"/>
        </w:rPr>
        <w:t xml:space="preserve"> </w:t>
      </w:r>
      <w:r>
        <w:rPr>
          <w:spacing w:val="-3"/>
          <w:szCs w:val="22"/>
        </w:rPr>
        <w:t>p</w:t>
      </w:r>
      <w:r>
        <w:rPr>
          <w:szCs w:val="22"/>
        </w:rPr>
        <w:t>ro</w:t>
      </w:r>
      <w:r>
        <w:rPr>
          <w:spacing w:val="-2"/>
          <w:szCs w:val="22"/>
        </w:rPr>
        <w:t>t</w:t>
      </w:r>
      <w:r>
        <w:rPr>
          <w:szCs w:val="22"/>
        </w:rPr>
        <w:t>e</w:t>
      </w:r>
      <w:r>
        <w:rPr>
          <w:spacing w:val="1"/>
          <w:szCs w:val="22"/>
        </w:rPr>
        <w:t>i</w:t>
      </w:r>
      <w:r>
        <w:rPr>
          <w:spacing w:val="-3"/>
          <w:szCs w:val="22"/>
        </w:rPr>
        <w:t>n</w:t>
      </w:r>
      <w:r>
        <w:rPr>
          <w:szCs w:val="22"/>
        </w:rPr>
        <w:t xml:space="preserve">e </w:t>
      </w:r>
      <w:r>
        <w:rPr>
          <w:spacing w:val="-3"/>
          <w:szCs w:val="22"/>
        </w:rPr>
        <w:t>c</w:t>
      </w:r>
      <w:r>
        <w:rPr>
          <w:szCs w:val="22"/>
        </w:rPr>
        <w:t>are</w:t>
      </w:r>
      <w:r>
        <w:rPr>
          <w:spacing w:val="-2"/>
          <w:szCs w:val="22"/>
        </w:rPr>
        <w:t xml:space="preserve"> se ataşează </w:t>
      </w:r>
      <w:r>
        <w:rPr>
          <w:szCs w:val="22"/>
        </w:rPr>
        <w:t>sp</w:t>
      </w:r>
      <w:r>
        <w:rPr>
          <w:spacing w:val="-3"/>
          <w:szCs w:val="22"/>
        </w:rPr>
        <w:t>e</w:t>
      </w:r>
      <w:r>
        <w:rPr>
          <w:szCs w:val="22"/>
        </w:rPr>
        <w:t>c</w:t>
      </w:r>
      <w:r>
        <w:rPr>
          <w:spacing w:val="-2"/>
          <w:szCs w:val="22"/>
        </w:rPr>
        <w:t>i</w:t>
      </w:r>
      <w:r>
        <w:rPr>
          <w:szCs w:val="22"/>
        </w:rPr>
        <w:t>f</w:t>
      </w:r>
      <w:r>
        <w:rPr>
          <w:spacing w:val="1"/>
          <w:szCs w:val="22"/>
        </w:rPr>
        <w:t>i</w:t>
      </w:r>
      <w:r>
        <w:rPr>
          <w:spacing w:val="-3"/>
          <w:szCs w:val="22"/>
        </w:rPr>
        <w:t>c</w:t>
      </w:r>
      <w:r>
        <w:rPr>
          <w:szCs w:val="22"/>
        </w:rPr>
        <w:t xml:space="preserve"> de ţintă. </w:t>
      </w:r>
    </w:p>
    <w:p w14:paraId="00ABCBA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9B05002" w14:textId="77777777" w:rsidR="00C04CAD" w:rsidRDefault="00060E34">
      <w:pPr>
        <w:tabs>
          <w:tab w:val="clear" w:pos="567"/>
        </w:tabs>
        <w:spacing w:line="240" w:lineRule="auto"/>
        <w:ind w:right="-2"/>
        <w:rPr>
          <w:szCs w:val="22"/>
        </w:rPr>
      </w:pPr>
      <w:r>
        <w:rPr>
          <w:spacing w:val="-2"/>
        </w:rPr>
        <w:t xml:space="preserve">Ţinta adalimumabului este o proteină denumită factor de necroză tumorală (TNFα), care este implicată în sistemul imunitar (de apărare) și este prezentă în concentrații crescute în bolile inflamatorii enumerate mai sus. Prin atașarea la TNFa, AMGEVITA scade procesul de inflamare din aceste boli. </w:t>
      </w:r>
    </w:p>
    <w:p w14:paraId="5BFA391D" w14:textId="77777777" w:rsidR="00C04CAD" w:rsidRDefault="00C04CAD">
      <w:pPr>
        <w:tabs>
          <w:tab w:val="clear" w:pos="567"/>
        </w:tabs>
        <w:spacing w:line="240" w:lineRule="auto"/>
        <w:ind w:right="-2"/>
        <w:rPr>
          <w:szCs w:val="22"/>
        </w:rPr>
      </w:pPr>
    </w:p>
    <w:p w14:paraId="296DF16B"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P</w:t>
      </w:r>
      <w:r>
        <w:rPr>
          <w:u w:val="single"/>
        </w:rPr>
        <w:t>o</w:t>
      </w:r>
      <w:r>
        <w:rPr>
          <w:spacing w:val="1"/>
          <w:u w:val="single"/>
        </w:rPr>
        <w:t>l</w:t>
      </w:r>
      <w:r>
        <w:rPr>
          <w:spacing w:val="-2"/>
          <w:u w:val="single"/>
        </w:rPr>
        <w:t>i</w:t>
      </w:r>
      <w:r>
        <w:rPr>
          <w:u w:val="single"/>
        </w:rPr>
        <w:t>a</w:t>
      </w:r>
      <w:r>
        <w:rPr>
          <w:spacing w:val="-2"/>
          <w:u w:val="single"/>
        </w:rPr>
        <w:t>r</w:t>
      </w:r>
      <w:r>
        <w:rPr>
          <w:spacing w:val="1"/>
          <w:u w:val="single"/>
        </w:rPr>
        <w:t>t</w:t>
      </w:r>
      <w:r>
        <w:rPr>
          <w:spacing w:val="-2"/>
          <w:u w:val="single"/>
        </w:rPr>
        <w:t>r</w:t>
      </w:r>
      <w:r>
        <w:rPr>
          <w:spacing w:val="1"/>
          <w:u w:val="single"/>
        </w:rPr>
        <w:t xml:space="preserve">ită </w:t>
      </w:r>
      <w:r>
        <w:rPr>
          <w:u w:val="single"/>
        </w:rPr>
        <w:t>reu</w:t>
      </w:r>
      <w:r>
        <w:rPr>
          <w:spacing w:val="-4"/>
          <w:u w:val="single"/>
        </w:rPr>
        <w:t>m</w:t>
      </w:r>
      <w:r>
        <w:rPr>
          <w:u w:val="single"/>
        </w:rPr>
        <w:t>a</w:t>
      </w:r>
      <w:r>
        <w:rPr>
          <w:spacing w:val="1"/>
          <w:u w:val="single"/>
        </w:rPr>
        <w:t>t</w:t>
      </w:r>
      <w:r>
        <w:rPr>
          <w:spacing w:val="-3"/>
          <w:u w:val="single"/>
        </w:rPr>
        <w:t>o</w:t>
      </w:r>
      <w:r>
        <w:rPr>
          <w:spacing w:val="1"/>
          <w:u w:val="single"/>
        </w:rPr>
        <w:t>i</w:t>
      </w:r>
      <w:r>
        <w:rPr>
          <w:u w:val="single"/>
        </w:rPr>
        <w:t>dă</w:t>
      </w:r>
    </w:p>
    <w:p w14:paraId="79D34E37" w14:textId="77777777" w:rsidR="00C04CAD" w:rsidRDefault="00C04CAD">
      <w:pPr>
        <w:keepNext/>
        <w:tabs>
          <w:tab w:val="clear" w:pos="567"/>
        </w:tabs>
        <w:kinsoku w:val="0"/>
        <w:overflowPunct w:val="0"/>
        <w:autoSpaceDE w:val="0"/>
        <w:autoSpaceDN w:val="0"/>
        <w:adjustRightInd w:val="0"/>
        <w:spacing w:line="240" w:lineRule="auto"/>
      </w:pPr>
    </w:p>
    <w:p w14:paraId="3A6C8499" w14:textId="77777777" w:rsidR="00C04CAD" w:rsidRDefault="00060E34">
      <w:pPr>
        <w:tabs>
          <w:tab w:val="clear" w:pos="567"/>
        </w:tabs>
        <w:kinsoku w:val="0"/>
        <w:overflowPunct w:val="0"/>
        <w:autoSpaceDE w:val="0"/>
        <w:autoSpaceDN w:val="0"/>
        <w:adjustRightInd w:val="0"/>
        <w:spacing w:line="240" w:lineRule="auto"/>
      </w:pPr>
      <w:r>
        <w:rPr>
          <w:spacing w:val="-1"/>
        </w:rPr>
        <w:t>P</w:t>
      </w:r>
      <w:r>
        <w:t>o</w:t>
      </w:r>
      <w:r>
        <w:rPr>
          <w:spacing w:val="1"/>
        </w:rPr>
        <w:t>l</w:t>
      </w:r>
      <w:r>
        <w:rPr>
          <w:spacing w:val="-2"/>
        </w:rPr>
        <w:t>i</w:t>
      </w:r>
      <w:r>
        <w:t>a</w:t>
      </w:r>
      <w:r>
        <w:rPr>
          <w:spacing w:val="-2"/>
        </w:rPr>
        <w:t>r</w:t>
      </w:r>
      <w:r>
        <w:rPr>
          <w:spacing w:val="1"/>
        </w:rPr>
        <w:t>t</w:t>
      </w:r>
      <w:r>
        <w:rPr>
          <w:spacing w:val="-2"/>
        </w:rPr>
        <w:t>r</w:t>
      </w:r>
      <w:r>
        <w:rPr>
          <w:spacing w:val="1"/>
        </w:rPr>
        <w:t>it</w:t>
      </w:r>
      <w:r>
        <w:t>a</w:t>
      </w:r>
      <w:r>
        <w:rPr>
          <w:spacing w:val="-2"/>
        </w:rPr>
        <w:t xml:space="preserve"> </w:t>
      </w:r>
      <w:r>
        <w:t>reu</w:t>
      </w:r>
      <w:r>
        <w:rPr>
          <w:spacing w:val="-4"/>
        </w:rPr>
        <w:t>m</w:t>
      </w:r>
      <w:r>
        <w:t>a</w:t>
      </w:r>
      <w:r>
        <w:rPr>
          <w:spacing w:val="1"/>
        </w:rPr>
        <w:t>t</w:t>
      </w:r>
      <w:r>
        <w:rPr>
          <w:spacing w:val="-3"/>
        </w:rPr>
        <w:t>o</w:t>
      </w:r>
      <w:r>
        <w:rPr>
          <w:spacing w:val="1"/>
        </w:rPr>
        <w:t>i</w:t>
      </w:r>
      <w:r>
        <w:t>dă</w:t>
      </w:r>
      <w:r>
        <w:rPr>
          <w:spacing w:val="-2"/>
        </w:rPr>
        <w:t xml:space="preserve"> </w:t>
      </w:r>
      <w:r>
        <w:t>es</w:t>
      </w:r>
      <w:r>
        <w:rPr>
          <w:spacing w:val="-2"/>
        </w:rPr>
        <w:t>t</w:t>
      </w:r>
      <w:r>
        <w:t>e</w:t>
      </w:r>
      <w:r>
        <w:rPr>
          <w:spacing w:val="-2"/>
        </w:rPr>
        <w:t xml:space="preserve"> </w:t>
      </w:r>
      <w:r>
        <w:t>o boa</w:t>
      </w:r>
      <w:r>
        <w:rPr>
          <w:spacing w:val="-2"/>
        </w:rPr>
        <w:t>l</w:t>
      </w:r>
      <w:r>
        <w:t xml:space="preserve">ă </w:t>
      </w:r>
      <w:r>
        <w:rPr>
          <w:spacing w:val="1"/>
        </w:rPr>
        <w:t>i</w:t>
      </w:r>
      <w:r>
        <w:rPr>
          <w:spacing w:val="-3"/>
        </w:rPr>
        <w:t>n</w:t>
      </w:r>
      <w:r>
        <w:t>f</w:t>
      </w:r>
      <w:r>
        <w:rPr>
          <w:spacing w:val="-2"/>
        </w:rPr>
        <w:t>l</w:t>
      </w:r>
      <w:r>
        <w:t>a</w:t>
      </w:r>
      <w:r>
        <w:rPr>
          <w:spacing w:val="-4"/>
        </w:rPr>
        <w:t>m</w:t>
      </w:r>
      <w:r>
        <w:t>a</w:t>
      </w:r>
      <w:r>
        <w:rPr>
          <w:spacing w:val="1"/>
        </w:rPr>
        <w:t>t</w:t>
      </w:r>
      <w:r>
        <w:t>o</w:t>
      </w:r>
      <w:r>
        <w:rPr>
          <w:spacing w:val="-3"/>
        </w:rPr>
        <w:t>r</w:t>
      </w:r>
      <w:r>
        <w:rPr>
          <w:spacing w:val="1"/>
        </w:rPr>
        <w:t>i</w:t>
      </w:r>
      <w:r>
        <w:t>e a</w:t>
      </w:r>
      <w:r>
        <w:rPr>
          <w:spacing w:val="-2"/>
        </w:rPr>
        <w:t xml:space="preserve"> </w:t>
      </w:r>
      <w:r>
        <w:t>a</w:t>
      </w:r>
      <w:r>
        <w:rPr>
          <w:spacing w:val="-2"/>
        </w:rPr>
        <w:t>r</w:t>
      </w:r>
      <w:r>
        <w:rPr>
          <w:spacing w:val="1"/>
        </w:rPr>
        <w:t>ti</w:t>
      </w:r>
      <w:r>
        <w:rPr>
          <w:spacing w:val="-3"/>
        </w:rPr>
        <w:t>c</w:t>
      </w:r>
      <w:r>
        <w:t>u</w:t>
      </w:r>
      <w:r>
        <w:rPr>
          <w:spacing w:val="1"/>
        </w:rPr>
        <w:t>l</w:t>
      </w:r>
      <w:r>
        <w:rPr>
          <w:spacing w:val="-3"/>
        </w:rPr>
        <w:t>a</w:t>
      </w:r>
      <w:r>
        <w:rPr>
          <w:spacing w:val="1"/>
        </w:rPr>
        <w:t>ţ</w:t>
      </w:r>
      <w:r>
        <w:rPr>
          <w:spacing w:val="-2"/>
        </w:rPr>
        <w:t>i</w:t>
      </w:r>
      <w:r>
        <w:rPr>
          <w:spacing w:val="1"/>
        </w:rPr>
        <w:t>il</w:t>
      </w:r>
      <w:r>
        <w:rPr>
          <w:spacing w:val="-3"/>
        </w:rPr>
        <w:t>o</w:t>
      </w:r>
      <w:r>
        <w:t>r.</w:t>
      </w:r>
    </w:p>
    <w:p w14:paraId="7027BBB8" w14:textId="77777777" w:rsidR="00C04CAD" w:rsidRDefault="00C04CAD">
      <w:pPr>
        <w:tabs>
          <w:tab w:val="clear" w:pos="567"/>
        </w:tabs>
        <w:kinsoku w:val="0"/>
        <w:overflowPunct w:val="0"/>
        <w:autoSpaceDE w:val="0"/>
        <w:autoSpaceDN w:val="0"/>
        <w:adjustRightInd w:val="0"/>
        <w:spacing w:line="240" w:lineRule="auto"/>
      </w:pPr>
    </w:p>
    <w:p w14:paraId="3F596F64"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rPr>
          <w:spacing w:val="-2"/>
        </w:rPr>
        <w:t>r</w:t>
      </w:r>
      <w:r>
        <w:t>e</w:t>
      </w:r>
      <w:r>
        <w:rPr>
          <w:spacing w:val="-3"/>
        </w:rPr>
        <w:t>u</w:t>
      </w:r>
      <w:r>
        <w:rPr>
          <w:spacing w:val="-4"/>
        </w:rPr>
        <w:t>m</w:t>
      </w:r>
      <w:r>
        <w:t>a</w:t>
      </w:r>
      <w:r>
        <w:rPr>
          <w:spacing w:val="1"/>
        </w:rPr>
        <w:t>t</w:t>
      </w:r>
      <w:r>
        <w:t>o</w:t>
      </w:r>
      <w:r>
        <w:rPr>
          <w:spacing w:val="1"/>
        </w:rPr>
        <w:t>i</w:t>
      </w:r>
      <w:r>
        <w:t xml:space="preserve">de </w:t>
      </w:r>
      <w:r>
        <w:rPr>
          <w:spacing w:val="-2"/>
        </w:rPr>
        <w:t>l</w:t>
      </w:r>
      <w:r>
        <w:t>a ad</w:t>
      </w:r>
      <w:r>
        <w:rPr>
          <w:spacing w:val="-3"/>
        </w:rPr>
        <w:t>u</w:t>
      </w:r>
      <w:r>
        <w:rPr>
          <w:spacing w:val="1"/>
        </w:rPr>
        <w:t>lt</w:t>
      </w:r>
      <w:r>
        <w:t>.</w:t>
      </w:r>
      <w:r>
        <w:rPr>
          <w:spacing w:val="-3"/>
        </w:rPr>
        <w:t xml:space="preserve"> </w:t>
      </w:r>
      <w:r>
        <w:rPr>
          <w:spacing w:val="-1"/>
        </w:rPr>
        <w:t>D</w:t>
      </w:r>
      <w:r>
        <w:t>acă</w:t>
      </w:r>
      <w:r>
        <w:rPr>
          <w:spacing w:val="-2"/>
        </w:rPr>
        <w:t xml:space="preserve"> ave</w:t>
      </w:r>
      <w:r>
        <w:rPr>
          <w:spacing w:val="1"/>
        </w:rPr>
        <w:t>ţ</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t>ă reu</w:t>
      </w:r>
      <w:r>
        <w:rPr>
          <w:spacing w:val="-4"/>
        </w:rPr>
        <w:t>m</w:t>
      </w:r>
      <w:r>
        <w:t>a</w:t>
      </w:r>
      <w:r>
        <w:rPr>
          <w:spacing w:val="1"/>
        </w:rPr>
        <w:t>t</w:t>
      </w:r>
      <w:r>
        <w:rPr>
          <w:spacing w:val="-1"/>
        </w:rPr>
        <w:t>o</w:t>
      </w:r>
      <w:r>
        <w:rPr>
          <w:spacing w:val="1"/>
        </w:rPr>
        <w:t>i</w:t>
      </w:r>
      <w:r>
        <w:rPr>
          <w:spacing w:val="-3"/>
        </w:rPr>
        <w:t>d</w:t>
      </w:r>
      <w:r>
        <w:t>ă a</w:t>
      </w:r>
      <w:r>
        <w:rPr>
          <w:spacing w:val="-3"/>
        </w:rPr>
        <w:t>c</w:t>
      </w:r>
      <w:r>
        <w:rPr>
          <w:spacing w:val="1"/>
        </w:rPr>
        <w:t>ti</w:t>
      </w:r>
      <w:r>
        <w:rPr>
          <w:spacing w:val="-3"/>
        </w:rPr>
        <w:t>v</w:t>
      </w:r>
      <w:r>
        <w:t xml:space="preserve">ă </w:t>
      </w:r>
      <w:r>
        <w:rPr>
          <w:spacing w:val="-4"/>
        </w:rPr>
        <w:t>m</w:t>
      </w:r>
      <w:r>
        <w:t>oder</w:t>
      </w:r>
      <w:r>
        <w:rPr>
          <w:spacing w:val="-3"/>
        </w:rPr>
        <w:t>a</w:t>
      </w:r>
      <w:r>
        <w:rPr>
          <w:spacing w:val="1"/>
        </w:rPr>
        <w:t>t</w:t>
      </w:r>
      <w:r>
        <w:t>ă</w:t>
      </w:r>
      <w:r>
        <w:rPr>
          <w:spacing w:val="-2"/>
        </w:rPr>
        <w:t xml:space="preserve"> </w:t>
      </w:r>
      <w:r>
        <w:t>până</w:t>
      </w:r>
      <w:r>
        <w:rPr>
          <w:spacing w:val="-2"/>
        </w:rPr>
        <w:t xml:space="preserve"> </w:t>
      </w:r>
      <w:r>
        <w:rPr>
          <w:spacing w:val="1"/>
        </w:rPr>
        <w:t>l</w:t>
      </w:r>
      <w:r>
        <w:t xml:space="preserve">a </w:t>
      </w:r>
      <w:r>
        <w:rPr>
          <w:spacing w:val="-2"/>
        </w:rPr>
        <w:t>s</w:t>
      </w:r>
      <w:r>
        <w:t>e</w:t>
      </w:r>
      <w:r>
        <w:rPr>
          <w:spacing w:val="-3"/>
        </w:rPr>
        <w:t>v</w:t>
      </w:r>
      <w:r>
        <w:t xml:space="preserve">eră, </w:t>
      </w:r>
      <w:r>
        <w:rPr>
          <w:spacing w:val="-3"/>
        </w:rPr>
        <w:t>e</w:t>
      </w:r>
      <w:r>
        <w:t>s</w:t>
      </w:r>
      <w:r>
        <w:rPr>
          <w:spacing w:val="-2"/>
        </w:rPr>
        <w:t>t</w:t>
      </w:r>
      <w:r>
        <w:t>e po</w:t>
      </w:r>
      <w:r>
        <w:rPr>
          <w:spacing w:val="-2"/>
        </w:rPr>
        <w:t>s</w:t>
      </w:r>
      <w:r>
        <w:rPr>
          <w:spacing w:val="1"/>
        </w:rPr>
        <w:t>i</w:t>
      </w:r>
      <w:r>
        <w:rPr>
          <w:spacing w:val="-3"/>
        </w:rPr>
        <w:t>b</w:t>
      </w:r>
      <w:r>
        <w:rPr>
          <w:spacing w:val="1"/>
        </w:rPr>
        <w:t>i</w:t>
      </w:r>
      <w:r>
        <w:t>l</w:t>
      </w:r>
      <w:r>
        <w:rPr>
          <w:spacing w:val="-2"/>
        </w:rPr>
        <w:t xml:space="preserve"> </w:t>
      </w:r>
      <w:r>
        <w:t xml:space="preserve">să </w:t>
      </w:r>
      <w:r>
        <w:rPr>
          <w:spacing w:val="-3"/>
        </w:rPr>
        <w:t>v</w:t>
      </w:r>
      <w:r>
        <w:t>i</w:t>
      </w:r>
      <w:r>
        <w:rPr>
          <w:spacing w:val="1"/>
        </w:rPr>
        <w:t xml:space="preserve"> </w:t>
      </w:r>
      <w:r>
        <w:t>se</w:t>
      </w:r>
      <w:r>
        <w:rPr>
          <w:spacing w:val="-2"/>
        </w:rPr>
        <w:t xml:space="preserve"> </w:t>
      </w:r>
      <w:r>
        <w:t>ad</w:t>
      </w:r>
      <w:r>
        <w:rPr>
          <w:spacing w:val="-4"/>
        </w:rPr>
        <w:t>m</w:t>
      </w:r>
      <w:r>
        <w:rPr>
          <w:spacing w:val="1"/>
        </w:rPr>
        <w:t>i</w:t>
      </w:r>
      <w:r>
        <w:t>n</w:t>
      </w:r>
      <w:r>
        <w:rPr>
          <w:spacing w:val="1"/>
        </w:rPr>
        <w:t>i</w:t>
      </w:r>
      <w:r>
        <w:rPr>
          <w:spacing w:val="-2"/>
        </w:rPr>
        <w:t>s</w:t>
      </w:r>
      <w:r>
        <w:rPr>
          <w:spacing w:val="1"/>
        </w:rPr>
        <w:t>t</w:t>
      </w:r>
      <w:r>
        <w:t>re</w:t>
      </w:r>
      <w:r>
        <w:rPr>
          <w:spacing w:val="-3"/>
        </w:rPr>
        <w:t>z</w:t>
      </w:r>
      <w:r>
        <w:t>e</w:t>
      </w:r>
      <w:r>
        <w:rPr>
          <w:spacing w:val="-2"/>
        </w:rPr>
        <w:t xml:space="preserve"> </w:t>
      </w:r>
      <w:r>
        <w:rPr>
          <w:spacing w:val="1"/>
        </w:rPr>
        <w:t>î</w:t>
      </w:r>
      <w:r>
        <w:t>n</w:t>
      </w:r>
      <w:r>
        <w:rPr>
          <w:spacing w:val="-2"/>
        </w:rPr>
        <w:t>t</w:t>
      </w:r>
      <w:r>
        <w:t>âi</w:t>
      </w:r>
      <w:r>
        <w:rPr>
          <w:spacing w:val="-2"/>
        </w:rPr>
        <w:t xml:space="preserve"> </w:t>
      </w:r>
      <w:r>
        <w:t>a</w:t>
      </w:r>
      <w:r>
        <w:rPr>
          <w:spacing w:val="1"/>
        </w:rPr>
        <w:t>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care </w:t>
      </w:r>
      <w:r>
        <w:rPr>
          <w:spacing w:val="-4"/>
        </w:rPr>
        <w:t>m</w:t>
      </w:r>
      <w:r>
        <w:t>od</w:t>
      </w:r>
      <w:r>
        <w:rPr>
          <w:spacing w:val="-2"/>
        </w:rPr>
        <w:t>i</w:t>
      </w:r>
      <w:r>
        <w:t>f</w:t>
      </w:r>
      <w:r>
        <w:rPr>
          <w:spacing w:val="1"/>
        </w:rPr>
        <w:t>i</w:t>
      </w:r>
      <w:r>
        <w:rPr>
          <w:spacing w:val="-3"/>
        </w:rPr>
        <w:t>c</w:t>
      </w:r>
      <w:r>
        <w:t>ă e</w:t>
      </w:r>
      <w:r>
        <w:rPr>
          <w:spacing w:val="-3"/>
        </w:rPr>
        <w:t>v</w:t>
      </w:r>
      <w:r>
        <w:t>o</w:t>
      </w:r>
      <w:r>
        <w:rPr>
          <w:spacing w:val="1"/>
        </w:rPr>
        <w:t>l</w:t>
      </w:r>
      <w:r>
        <w:rPr>
          <w:spacing w:val="-3"/>
        </w:rPr>
        <w:t>u</w:t>
      </w:r>
      <w:r>
        <w:rPr>
          <w:spacing w:val="1"/>
        </w:rPr>
        <w:t>ţi</w:t>
      </w:r>
      <w:r>
        <w:t>a</w:t>
      </w:r>
      <w:r>
        <w:rPr>
          <w:spacing w:val="-2"/>
        </w:rPr>
        <w:t xml:space="preserve"> </w:t>
      </w:r>
      <w:r>
        <w:t>bo</w:t>
      </w:r>
      <w:r>
        <w:rPr>
          <w:spacing w:val="-2"/>
        </w:rPr>
        <w:t>l</w:t>
      </w:r>
      <w:r>
        <w:rPr>
          <w:spacing w:val="1"/>
        </w:rPr>
        <w:t>i</w:t>
      </w:r>
      <w:r>
        <w:rPr>
          <w:spacing w:val="-2"/>
        </w:rPr>
        <w:t>i</w:t>
      </w:r>
      <w:r>
        <w:t>, cum</w:t>
      </w:r>
      <w:r>
        <w:rPr>
          <w:spacing w:val="-4"/>
        </w:rPr>
        <w:t xml:space="preserve"> </w:t>
      </w:r>
      <w:r>
        <w:t>es</w:t>
      </w:r>
      <w:r>
        <w:rPr>
          <w:spacing w:val="1"/>
        </w:rPr>
        <w:t>t</w:t>
      </w:r>
      <w:r>
        <w:t xml:space="preserve">e </w:t>
      </w:r>
      <w:r>
        <w:rPr>
          <w:spacing w:val="-4"/>
        </w:rPr>
        <w:t>m</w:t>
      </w:r>
      <w:r>
        <w:t>e</w:t>
      </w:r>
      <w:r>
        <w:rPr>
          <w:spacing w:val="1"/>
        </w:rPr>
        <w:t>t</w:t>
      </w:r>
      <w:r>
        <w:t>o</w:t>
      </w:r>
      <w:r>
        <w:rPr>
          <w:spacing w:val="-2"/>
        </w:rPr>
        <w:t>t</w:t>
      </w:r>
      <w:r>
        <w:t>rex</w:t>
      </w:r>
      <w:r>
        <w:rPr>
          <w:spacing w:val="-3"/>
        </w:rPr>
        <w:t>a</w:t>
      </w:r>
      <w:r>
        <w:t xml:space="preserve">t. </w:t>
      </w:r>
      <w:r>
        <w:rPr>
          <w:spacing w:val="-1"/>
        </w:rPr>
        <w:t>D</w:t>
      </w:r>
      <w:r>
        <w:rPr>
          <w:spacing w:val="-3"/>
        </w:rPr>
        <w:t>a</w:t>
      </w:r>
      <w:r>
        <w:t>că</w:t>
      </w:r>
      <w:r>
        <w:rPr>
          <w:spacing w:val="-2"/>
        </w:rPr>
        <w:t xml:space="preserve"> </w:t>
      </w:r>
      <w:r>
        <w:t>nu r</w:t>
      </w:r>
      <w:r>
        <w:rPr>
          <w:spacing w:val="-3"/>
        </w:rPr>
        <w:t>ă</w:t>
      </w:r>
      <w:r>
        <w:t>spun</w:t>
      </w:r>
      <w:r>
        <w:rPr>
          <w:spacing w:val="-3"/>
        </w:rPr>
        <w:t>d</w:t>
      </w:r>
      <w:r>
        <w:t>e</w:t>
      </w:r>
      <w:r>
        <w:rPr>
          <w:spacing w:val="-2"/>
        </w:rPr>
        <w:t>ţ</w:t>
      </w:r>
      <w:r>
        <w:t>i</w:t>
      </w:r>
      <w:r>
        <w:rPr>
          <w:spacing w:val="1"/>
        </w:rPr>
        <w:t xml:space="preserve"> </w:t>
      </w:r>
      <w:r>
        <w:t>s</w:t>
      </w:r>
      <w:r>
        <w:rPr>
          <w:spacing w:val="-3"/>
        </w:rPr>
        <w:t>u</w:t>
      </w:r>
      <w:r>
        <w:t>f</w:t>
      </w:r>
      <w:r>
        <w:rPr>
          <w:spacing w:val="-2"/>
        </w:rPr>
        <w:t>i</w:t>
      </w:r>
      <w:r>
        <w:t>c</w:t>
      </w:r>
      <w:r>
        <w:rPr>
          <w:spacing w:val="1"/>
        </w:rPr>
        <w:t>i</w:t>
      </w:r>
      <w:r>
        <w:rPr>
          <w:spacing w:val="-3"/>
        </w:rPr>
        <w:t>e</w:t>
      </w:r>
      <w:r>
        <w:t>nt</w:t>
      </w:r>
      <w:r>
        <w:rPr>
          <w:spacing w:val="1"/>
        </w:rPr>
        <w:t xml:space="preserve"> </w:t>
      </w:r>
      <w:r>
        <w:rPr>
          <w:spacing w:val="-3"/>
        </w:rPr>
        <w:t>d</w:t>
      </w:r>
      <w:r>
        <w:t>e</w:t>
      </w:r>
      <w:r>
        <w:rPr>
          <w:spacing w:val="-2"/>
        </w:rPr>
        <w:t xml:space="preserve"> </w:t>
      </w:r>
      <w:r>
        <w:t>b</w:t>
      </w:r>
      <w:r>
        <w:rPr>
          <w:spacing w:val="1"/>
        </w:rPr>
        <w:t>i</w:t>
      </w:r>
      <w:r>
        <w:t>ne</w:t>
      </w:r>
      <w:r>
        <w:rPr>
          <w:spacing w:val="-2"/>
        </w:rPr>
        <w:t xml:space="preserve"> </w:t>
      </w:r>
      <w:r>
        <w:rPr>
          <w:spacing w:val="1"/>
        </w:rPr>
        <w:t>l</w:t>
      </w:r>
      <w:r>
        <w:t xml:space="preserve">a </w:t>
      </w:r>
      <w:r>
        <w:rPr>
          <w:spacing w:val="-3"/>
        </w:rPr>
        <w:t>a</w:t>
      </w:r>
      <w:r>
        <w:t>ce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3"/>
        </w:rPr>
        <w:t>v</w:t>
      </w:r>
      <w:r>
        <w:t>i</w:t>
      </w:r>
      <w:r>
        <w:rPr>
          <w:spacing w:val="1"/>
        </w:rPr>
        <w:t xml:space="preserve"> </w:t>
      </w:r>
      <w:r>
        <w:t xml:space="preserve">se </w:t>
      </w:r>
      <w:r>
        <w:rPr>
          <w:spacing w:val="-3"/>
        </w:rPr>
        <w:t>v</w:t>
      </w:r>
      <w:r>
        <w:t>a ad</w:t>
      </w:r>
      <w:r>
        <w:rPr>
          <w:spacing w:val="-4"/>
        </w:rPr>
        <w:t>m</w:t>
      </w:r>
      <w:r>
        <w:rPr>
          <w:spacing w:val="1"/>
        </w:rPr>
        <w:t>i</w:t>
      </w:r>
      <w:r>
        <w:t>n</w:t>
      </w:r>
      <w:r>
        <w:rPr>
          <w:spacing w:val="1"/>
        </w:rPr>
        <w:t>i</w:t>
      </w:r>
      <w:r>
        <w:rPr>
          <w:spacing w:val="-2"/>
        </w:rPr>
        <w:t>s</w:t>
      </w:r>
      <w:r>
        <w:rPr>
          <w:spacing w:val="1"/>
        </w:rPr>
        <w:t>t</w:t>
      </w:r>
      <w:r>
        <w:t xml:space="preserve">ra </w:t>
      </w:r>
      <w:r>
        <w:rPr>
          <w:spacing w:val="-1"/>
          <w:szCs w:val="22"/>
          <w:lang w:eastAsia="en-US" w:bidi="ar-SA"/>
        </w:rPr>
        <w:t>AMGEVITA</w:t>
      </w:r>
      <w:r>
        <w:rPr>
          <w:spacing w:val="-2"/>
        </w:rPr>
        <w:t xml:space="preserve"> </w:t>
      </w:r>
      <w:r>
        <w:rPr>
          <w:spacing w:val="1"/>
        </w:rPr>
        <w:t>î</w:t>
      </w:r>
      <w:r>
        <w:t xml:space="preserve">n </w:t>
      </w:r>
      <w:r>
        <w:rPr>
          <w:spacing w:val="-3"/>
        </w:rPr>
        <w:t>v</w:t>
      </w:r>
      <w:r>
        <w:t>ed</w:t>
      </w:r>
      <w:r>
        <w:rPr>
          <w:spacing w:val="-3"/>
        </w:rPr>
        <w:t>e</w:t>
      </w:r>
      <w:r>
        <w:t>rea</w:t>
      </w:r>
      <w:r>
        <w:rPr>
          <w:spacing w:val="-2"/>
        </w:rPr>
        <w:t xml:space="preserve"> </w:t>
      </w:r>
      <w:r>
        <w:rPr>
          <w:spacing w:val="1"/>
        </w:rPr>
        <w:t>t</w:t>
      </w:r>
      <w:r>
        <w:rPr>
          <w:spacing w:val="-2"/>
        </w:rPr>
        <w:t>r</w:t>
      </w:r>
      <w:r>
        <w:t>a</w:t>
      </w:r>
      <w:r>
        <w:rPr>
          <w:spacing w:val="1"/>
        </w:rPr>
        <w:t>t</w:t>
      </w:r>
      <w:r>
        <w:rPr>
          <w:spacing w:val="-3"/>
        </w:rPr>
        <w:t>ă</w:t>
      </w:r>
      <w:r>
        <w:t>r</w:t>
      </w:r>
      <w:r>
        <w:rPr>
          <w:spacing w:val="-2"/>
        </w:rPr>
        <w:t>i</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t>du</w:t>
      </w:r>
      <w:r>
        <w:rPr>
          <w:spacing w:val="-4"/>
        </w:rPr>
        <w:t>m</w:t>
      </w:r>
      <w:r>
        <w:t>nea</w:t>
      </w:r>
      <w:r>
        <w:rPr>
          <w:spacing w:val="-3"/>
        </w:rPr>
        <w:t>v</w:t>
      </w:r>
      <w:r>
        <w:t>oas</w:t>
      </w:r>
      <w:r>
        <w:rPr>
          <w:spacing w:val="-2"/>
        </w:rPr>
        <w:t>t</w:t>
      </w:r>
      <w:r>
        <w:t>ră</w:t>
      </w:r>
      <w:r>
        <w:rPr>
          <w:spacing w:val="-2"/>
        </w:rPr>
        <w:t xml:space="preserve"> </w:t>
      </w:r>
      <w:r>
        <w:t>reu</w:t>
      </w:r>
      <w:r>
        <w:rPr>
          <w:spacing w:val="-4"/>
        </w:rPr>
        <w:t>m</w:t>
      </w:r>
      <w:r>
        <w:t>a</w:t>
      </w:r>
      <w:r>
        <w:rPr>
          <w:spacing w:val="1"/>
        </w:rPr>
        <w:t>t</w:t>
      </w:r>
      <w:r>
        <w:t>o</w:t>
      </w:r>
      <w:r>
        <w:rPr>
          <w:spacing w:val="1"/>
        </w:rPr>
        <w:t>i</w:t>
      </w:r>
      <w:r>
        <w:rPr>
          <w:spacing w:val="-3"/>
        </w:rPr>
        <w:t>d</w:t>
      </w:r>
      <w:r>
        <w:t>e.</w:t>
      </w:r>
    </w:p>
    <w:p w14:paraId="65131862" w14:textId="77777777" w:rsidR="00C04CAD" w:rsidRDefault="00C04CAD">
      <w:pPr>
        <w:tabs>
          <w:tab w:val="clear" w:pos="567"/>
        </w:tabs>
        <w:kinsoku w:val="0"/>
        <w:overflowPunct w:val="0"/>
        <w:autoSpaceDE w:val="0"/>
        <w:autoSpaceDN w:val="0"/>
        <w:adjustRightInd w:val="0"/>
        <w:spacing w:line="240" w:lineRule="auto"/>
      </w:pPr>
    </w:p>
    <w:p w14:paraId="289B4544"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poa</w:t>
      </w:r>
      <w:r>
        <w:rPr>
          <w:spacing w:val="-2"/>
        </w:rPr>
        <w:t>t</w:t>
      </w:r>
      <w:r>
        <w:t xml:space="preserve">e </w:t>
      </w:r>
      <w:r>
        <w:rPr>
          <w:spacing w:val="-2"/>
        </w:rPr>
        <w:t>f</w:t>
      </w:r>
      <w:r>
        <w:t>i</w:t>
      </w:r>
      <w:r>
        <w:rPr>
          <w:spacing w:val="1"/>
        </w:rPr>
        <w:t xml:space="preserve"> </w:t>
      </w:r>
      <w:r>
        <w:t>de</w:t>
      </w:r>
      <w:r>
        <w:rPr>
          <w:spacing w:val="-2"/>
        </w:rPr>
        <w:t xml:space="preserve"> </w:t>
      </w:r>
      <w:r>
        <w:t>ase</w:t>
      </w:r>
      <w:r>
        <w:rPr>
          <w:spacing w:val="-4"/>
        </w:rPr>
        <w:t>m</w:t>
      </w:r>
      <w:r>
        <w:t>enea f</w:t>
      </w:r>
      <w:r>
        <w:rPr>
          <w:spacing w:val="-3"/>
        </w:rPr>
        <w:t>o</w:t>
      </w:r>
      <w:r>
        <w:rPr>
          <w:spacing w:val="1"/>
        </w:rPr>
        <w:t>l</w:t>
      </w:r>
      <w:r>
        <w:t>o</w:t>
      </w:r>
      <w:r>
        <w:rPr>
          <w:spacing w:val="-2"/>
        </w:rPr>
        <w:t>s</w:t>
      </w:r>
      <w:r>
        <w:rPr>
          <w:spacing w:val="1"/>
        </w:rPr>
        <w:t>i</w:t>
      </w:r>
      <w:r>
        <w:t>t</w:t>
      </w:r>
      <w:r>
        <w:rPr>
          <w:spacing w:val="-2"/>
        </w:rPr>
        <w:t xml:space="preserve"> </w:t>
      </w:r>
      <w:r>
        <w:t>pe</w:t>
      </w:r>
      <w:r>
        <w:rPr>
          <w:spacing w:val="-3"/>
        </w:rPr>
        <w:t>n</w:t>
      </w:r>
      <w:r>
        <w:rPr>
          <w:spacing w:val="1"/>
        </w:rPr>
        <w:t>t</w:t>
      </w:r>
      <w:r>
        <w:t>ru</w:t>
      </w:r>
      <w:r>
        <w:rPr>
          <w:spacing w:val="-3"/>
        </w:rPr>
        <w:t xml:space="preserve"> </w:t>
      </w:r>
      <w:r>
        <w:t xml:space="preserve">a </w:t>
      </w:r>
      <w:r>
        <w:rPr>
          <w:spacing w:val="-2"/>
        </w:rPr>
        <w:t>t</w:t>
      </w:r>
      <w:r>
        <w:t>r</w:t>
      </w:r>
      <w:r>
        <w:rPr>
          <w:spacing w:val="-3"/>
        </w:rPr>
        <w:t>a</w:t>
      </w:r>
      <w:r>
        <w:rPr>
          <w:spacing w:val="1"/>
        </w:rPr>
        <w:t>t</w:t>
      </w:r>
      <w:r>
        <w:t>a p</w:t>
      </w:r>
      <w:r>
        <w:rPr>
          <w:spacing w:val="-3"/>
        </w:rPr>
        <w:t>o</w:t>
      </w:r>
      <w:r>
        <w:rPr>
          <w:spacing w:val="1"/>
        </w:rPr>
        <w:t>l</w:t>
      </w:r>
      <w:r>
        <w:rPr>
          <w:spacing w:val="-2"/>
        </w:rPr>
        <w:t>i</w:t>
      </w:r>
      <w:r>
        <w:t>ar</w:t>
      </w:r>
      <w:r>
        <w:rPr>
          <w:spacing w:val="-2"/>
        </w:rPr>
        <w:t>t</w:t>
      </w:r>
      <w:r>
        <w:t>r</w:t>
      </w:r>
      <w:r>
        <w:rPr>
          <w:spacing w:val="-2"/>
        </w:rPr>
        <w:t>i</w:t>
      </w:r>
      <w:r>
        <w:rPr>
          <w:spacing w:val="1"/>
        </w:rPr>
        <w:t>t</w:t>
      </w:r>
      <w:r>
        <w:t>a</w:t>
      </w:r>
      <w:r>
        <w:rPr>
          <w:spacing w:val="-2"/>
        </w:rPr>
        <w:t xml:space="preserve"> </w:t>
      </w:r>
      <w:r>
        <w:t>reu</w:t>
      </w:r>
      <w:r>
        <w:rPr>
          <w:spacing w:val="-4"/>
        </w:rPr>
        <w:t>m</w:t>
      </w:r>
      <w:r>
        <w:t>a</w:t>
      </w:r>
      <w:r>
        <w:rPr>
          <w:spacing w:val="1"/>
        </w:rPr>
        <w:t>t</w:t>
      </w:r>
      <w:r>
        <w:t>o</w:t>
      </w:r>
      <w:r>
        <w:rPr>
          <w:spacing w:val="-2"/>
        </w:rPr>
        <w:t>i</w:t>
      </w:r>
      <w:r>
        <w:t xml:space="preserve">dă </w:t>
      </w:r>
      <w:r>
        <w:rPr>
          <w:spacing w:val="-3"/>
        </w:rPr>
        <w:t>a</w:t>
      </w:r>
      <w:r>
        <w:t>c</w:t>
      </w:r>
      <w:r>
        <w:rPr>
          <w:spacing w:val="-2"/>
        </w:rPr>
        <w:t>t</w:t>
      </w:r>
      <w:r>
        <w:rPr>
          <w:spacing w:val="1"/>
        </w:rPr>
        <w:t>i</w:t>
      </w:r>
      <w:r>
        <w:rPr>
          <w:spacing w:val="-3"/>
        </w:rPr>
        <w:t>v</w:t>
      </w:r>
      <w:r>
        <w:t>ă s</w:t>
      </w:r>
      <w:r>
        <w:rPr>
          <w:spacing w:val="-3"/>
        </w:rPr>
        <w:t>ev</w:t>
      </w:r>
      <w:r>
        <w:t>eră şi</w:t>
      </w:r>
      <w:r>
        <w:rPr>
          <w:spacing w:val="1"/>
        </w:rPr>
        <w:t xml:space="preserve"> </w:t>
      </w:r>
      <w:r>
        <w:rPr>
          <w:spacing w:val="-3"/>
        </w:rPr>
        <w:t>p</w:t>
      </w:r>
      <w:r>
        <w:t>ro</w:t>
      </w:r>
      <w:r>
        <w:rPr>
          <w:spacing w:val="-3"/>
        </w:rPr>
        <w:t>g</w:t>
      </w:r>
      <w:r>
        <w:t>re</w:t>
      </w:r>
      <w:r>
        <w:rPr>
          <w:spacing w:val="-2"/>
        </w:rPr>
        <w:t>s</w:t>
      </w:r>
      <w:r>
        <w:rPr>
          <w:spacing w:val="1"/>
        </w:rPr>
        <w:t>i</w:t>
      </w:r>
      <w:r>
        <w:rPr>
          <w:spacing w:val="-3"/>
        </w:rPr>
        <w:t xml:space="preserve">vă </w:t>
      </w:r>
      <w:r>
        <w:t>fă</w:t>
      </w:r>
      <w:r>
        <w:rPr>
          <w:spacing w:val="-2"/>
        </w:rPr>
        <w:t>r</w:t>
      </w:r>
      <w:r>
        <w:t>ă să</w:t>
      </w:r>
      <w:r>
        <w:rPr>
          <w:spacing w:val="-2"/>
        </w:rPr>
        <w:t xml:space="preserve"> </w:t>
      </w:r>
      <w:r>
        <w:t>se</w:t>
      </w:r>
      <w:r>
        <w:rPr>
          <w:spacing w:val="-2"/>
        </w:rPr>
        <w:t xml:space="preserve"> </w:t>
      </w:r>
      <w:r>
        <w:t>fi</w:t>
      </w:r>
      <w:r>
        <w:rPr>
          <w:spacing w:val="1"/>
        </w:rPr>
        <w:t xml:space="preserve">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t>a</w:t>
      </w:r>
      <w:r>
        <w:rPr>
          <w:spacing w:val="-3"/>
        </w:rPr>
        <w:t>n</w:t>
      </w:r>
      <w:r>
        <w:rPr>
          <w:spacing w:val="-2"/>
        </w:rPr>
        <w:t>t</w:t>
      </w:r>
      <w:r>
        <w:t>er</w:t>
      </w:r>
      <w:r>
        <w:rPr>
          <w:spacing w:val="1"/>
        </w:rPr>
        <w:t>i</w:t>
      </w:r>
      <w:r>
        <w:rPr>
          <w:spacing w:val="-3"/>
        </w:rPr>
        <w:t>o</w:t>
      </w:r>
      <w:r>
        <w:t>r</w:t>
      </w:r>
      <w:r>
        <w:rPr>
          <w:spacing w:val="-2"/>
        </w:rPr>
        <w:t xml:space="preserve"> </w:t>
      </w:r>
      <w:r>
        <w:rPr>
          <w:spacing w:val="1"/>
        </w:rPr>
        <w:t>t</w:t>
      </w:r>
      <w:r>
        <w:t>r</w:t>
      </w:r>
      <w:r>
        <w:rPr>
          <w:spacing w:val="-3"/>
        </w:rPr>
        <w:t>a</w:t>
      </w:r>
      <w:r>
        <w:rPr>
          <w:spacing w:val="1"/>
        </w:rPr>
        <w:t>t</w:t>
      </w:r>
      <w:r>
        <w:t>a</w:t>
      </w:r>
      <w:r>
        <w:rPr>
          <w:spacing w:val="-4"/>
        </w:rPr>
        <w:t>m</w:t>
      </w:r>
      <w:r>
        <w:t>ent</w:t>
      </w:r>
      <w:r>
        <w:rPr>
          <w:spacing w:val="1"/>
        </w:rPr>
        <w:t xml:space="preserve"> </w:t>
      </w:r>
      <w:r>
        <w:t>cu</w:t>
      </w:r>
      <w:r>
        <w:rPr>
          <w:spacing w:val="-3"/>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w:t>
      </w:r>
    </w:p>
    <w:p w14:paraId="67BCF720" w14:textId="77777777" w:rsidR="00C04CAD" w:rsidRDefault="00C04CAD">
      <w:pPr>
        <w:tabs>
          <w:tab w:val="clear" w:pos="567"/>
        </w:tabs>
        <w:kinsoku w:val="0"/>
        <w:overflowPunct w:val="0"/>
        <w:autoSpaceDE w:val="0"/>
        <w:autoSpaceDN w:val="0"/>
        <w:adjustRightInd w:val="0"/>
        <w:spacing w:line="240" w:lineRule="auto"/>
        <w:rPr>
          <w:sz w:val="24"/>
        </w:rPr>
      </w:pPr>
    </w:p>
    <w:p w14:paraId="57617405"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w:t>
      </w:r>
      <w:r>
        <w:rPr>
          <w:spacing w:val="1"/>
        </w:rPr>
        <w:t>î</w:t>
      </w:r>
      <w:r>
        <w:rPr>
          <w:spacing w:val="-1"/>
        </w:rPr>
        <w:t>n</w:t>
      </w:r>
      <w:r>
        <w:t>c</w:t>
      </w:r>
      <w:r>
        <w:rPr>
          <w:spacing w:val="-3"/>
        </w:rPr>
        <w:t>e</w:t>
      </w:r>
      <w:r>
        <w:rPr>
          <w:spacing w:val="-2"/>
        </w:rPr>
        <w:t>t</w:t>
      </w:r>
      <w:r>
        <w:rPr>
          <w:spacing w:val="1"/>
        </w:rPr>
        <w:t>i</w:t>
      </w:r>
      <w:r>
        <w:t>ne</w:t>
      </w:r>
      <w:r>
        <w:rPr>
          <w:spacing w:val="-2"/>
        </w:rPr>
        <w:t>ş</w:t>
      </w:r>
      <w:r>
        <w:rPr>
          <w:spacing w:val="1"/>
        </w:rPr>
        <w:t>t</w:t>
      </w:r>
      <w:r>
        <w:t>e</w:t>
      </w:r>
      <w:r>
        <w:rPr>
          <w:spacing w:val="-2"/>
        </w:rPr>
        <w:t xml:space="preserve"> </w:t>
      </w:r>
      <w:r>
        <w:rPr>
          <w:spacing w:val="1"/>
        </w:rPr>
        <w:t>l</w:t>
      </w:r>
      <w:r>
        <w:t>e</w:t>
      </w:r>
      <w:r>
        <w:rPr>
          <w:spacing w:val="-3"/>
        </w:rPr>
        <w:t>z</w:t>
      </w:r>
      <w:r>
        <w:rPr>
          <w:spacing w:val="1"/>
        </w:rPr>
        <w:t>i</w:t>
      </w:r>
      <w:r>
        <w:t>u</w:t>
      </w:r>
      <w:r>
        <w:rPr>
          <w:spacing w:val="-3"/>
        </w:rPr>
        <w:t>n</w:t>
      </w:r>
      <w:r>
        <w:rPr>
          <w:spacing w:val="1"/>
        </w:rPr>
        <w:t>i</w:t>
      </w:r>
      <w:r>
        <w:rPr>
          <w:spacing w:val="-2"/>
        </w:rPr>
        <w:t>l</w:t>
      </w:r>
      <w:r>
        <w:t>e ca</w:t>
      </w:r>
      <w:r>
        <w:rPr>
          <w:spacing w:val="-2"/>
        </w:rPr>
        <w:t>rt</w:t>
      </w:r>
      <w:r>
        <w:rPr>
          <w:spacing w:val="1"/>
        </w:rPr>
        <w:t>il</w:t>
      </w:r>
      <w:r>
        <w:rPr>
          <w:spacing w:val="-3"/>
        </w:rPr>
        <w:t>a</w:t>
      </w:r>
      <w:r>
        <w:rPr>
          <w:spacing w:val="1"/>
        </w:rPr>
        <w:t>j</w:t>
      </w:r>
      <w:r>
        <w:rPr>
          <w:spacing w:val="-3"/>
        </w:rPr>
        <w:t>u</w:t>
      </w:r>
      <w:r>
        <w:rPr>
          <w:spacing w:val="1"/>
        </w:rPr>
        <w:t>l</w:t>
      </w:r>
      <w:r>
        <w:t>ui</w:t>
      </w:r>
      <w:r>
        <w:rPr>
          <w:spacing w:val="-2"/>
        </w:rPr>
        <w:t xml:space="preserve"> </w:t>
      </w:r>
      <w:r>
        <w:t>şi</w:t>
      </w:r>
      <w:r>
        <w:rPr>
          <w:spacing w:val="-2"/>
        </w:rPr>
        <w:t xml:space="preserve"> </w:t>
      </w:r>
      <w:r>
        <w:t>a</w:t>
      </w:r>
      <w:r>
        <w:rPr>
          <w:spacing w:val="1"/>
        </w:rPr>
        <w:t>l</w:t>
      </w:r>
      <w:r>
        <w:t>e</w:t>
      </w:r>
      <w:r>
        <w:rPr>
          <w:spacing w:val="-2"/>
        </w:rPr>
        <w:t xml:space="preserve"> </w:t>
      </w:r>
      <w:r>
        <w:t>os</w:t>
      </w:r>
      <w:r>
        <w:rPr>
          <w:spacing w:val="-3"/>
        </w:rPr>
        <w:t>u</w:t>
      </w:r>
      <w:r>
        <w:rPr>
          <w:spacing w:val="1"/>
        </w:rPr>
        <w:t>l</w:t>
      </w:r>
      <w:r>
        <w:t>ui</w:t>
      </w:r>
      <w:r>
        <w:rPr>
          <w:spacing w:val="-2"/>
        </w:rPr>
        <w:t xml:space="preserve"> </w:t>
      </w:r>
      <w:r>
        <w:rPr>
          <w:spacing w:val="-3"/>
        </w:rPr>
        <w:t>d</w:t>
      </w:r>
      <w:r>
        <w:t xml:space="preserve">e </w:t>
      </w:r>
      <w:r>
        <w:rPr>
          <w:spacing w:val="1"/>
        </w:rPr>
        <w:t>l</w:t>
      </w:r>
      <w:r>
        <w:t xml:space="preserve">a </w:t>
      </w:r>
      <w:r>
        <w:rPr>
          <w:spacing w:val="-3"/>
        </w:rPr>
        <w:t>n</w:t>
      </w:r>
      <w:r>
        <w:rPr>
          <w:spacing w:val="1"/>
        </w:rPr>
        <w:t>i</w:t>
      </w:r>
      <w:r>
        <w:rPr>
          <w:spacing w:val="-3"/>
        </w:rPr>
        <w:t>v</w:t>
      </w:r>
      <w:r>
        <w:t>e</w:t>
      </w:r>
      <w:r>
        <w:rPr>
          <w:spacing w:val="1"/>
        </w:rPr>
        <w:t>l</w:t>
      </w:r>
      <w:r>
        <w:rPr>
          <w:spacing w:val="-3"/>
        </w:rPr>
        <w:t>u</w:t>
      </w:r>
      <w:r>
        <w:t>l ar</w:t>
      </w:r>
      <w:r>
        <w:rPr>
          <w:spacing w:val="-2"/>
        </w:rPr>
        <w:t>t</w:t>
      </w:r>
      <w:r>
        <w:rPr>
          <w:spacing w:val="1"/>
        </w:rPr>
        <w:t>i</w:t>
      </w:r>
      <w:r>
        <w:t>c</w:t>
      </w:r>
      <w:r>
        <w:rPr>
          <w:spacing w:val="-3"/>
        </w:rPr>
        <w:t>u</w:t>
      </w:r>
      <w:r>
        <w:rPr>
          <w:spacing w:val="1"/>
        </w:rPr>
        <w:t>l</w:t>
      </w:r>
      <w:r>
        <w:rPr>
          <w:spacing w:val="-3"/>
        </w:rPr>
        <w:t>a</w:t>
      </w:r>
      <w:r>
        <w:rPr>
          <w:spacing w:val="1"/>
        </w:rPr>
        <w:t>ţ</w:t>
      </w:r>
      <w:r>
        <w:rPr>
          <w:spacing w:val="-2"/>
        </w:rPr>
        <w:t>i</w:t>
      </w:r>
      <w:r>
        <w:rPr>
          <w:spacing w:val="1"/>
        </w:rPr>
        <w:t>il</w:t>
      </w:r>
      <w:r>
        <w:rPr>
          <w:spacing w:val="-3"/>
        </w:rPr>
        <w:t>o</w:t>
      </w:r>
      <w:r>
        <w:t>r</w:t>
      </w:r>
      <w:r>
        <w:rPr>
          <w:spacing w:val="1"/>
        </w:rPr>
        <w:t xml:space="preserve"> </w:t>
      </w:r>
      <w:r>
        <w:rPr>
          <w:spacing w:val="-3"/>
        </w:rPr>
        <w:t>a</w:t>
      </w:r>
      <w:r>
        <w:t>fe</w:t>
      </w:r>
      <w:r>
        <w:rPr>
          <w:spacing w:val="-3"/>
        </w:rPr>
        <w:t>c</w:t>
      </w:r>
      <w:r>
        <w:rPr>
          <w:spacing w:val="1"/>
        </w:rPr>
        <w:t>t</w:t>
      </w:r>
      <w:r>
        <w:rPr>
          <w:spacing w:val="-3"/>
        </w:rPr>
        <w:t>a</w:t>
      </w:r>
      <w:r>
        <w:rPr>
          <w:spacing w:val="1"/>
        </w:rPr>
        <w:t>t</w:t>
      </w:r>
      <w:r>
        <w:t xml:space="preserve">e </w:t>
      </w:r>
      <w:r>
        <w:rPr>
          <w:spacing w:val="-3"/>
        </w:rPr>
        <w:t>d</w:t>
      </w:r>
      <w:r>
        <w:t xml:space="preserve">e </w:t>
      </w:r>
      <w:r>
        <w:rPr>
          <w:spacing w:val="-1"/>
        </w:rPr>
        <w:t>b</w:t>
      </w:r>
      <w:r>
        <w:rPr>
          <w:spacing w:val="-3"/>
        </w:rPr>
        <w:t>o</w:t>
      </w:r>
      <w:r>
        <w:t>a</w:t>
      </w:r>
      <w:r>
        <w:rPr>
          <w:spacing w:val="1"/>
        </w:rPr>
        <w:t>l</w:t>
      </w:r>
      <w:r>
        <w:t>ă</w:t>
      </w:r>
      <w:r>
        <w:rPr>
          <w:spacing w:val="-2"/>
        </w:rPr>
        <w:t xml:space="preserve"> </w:t>
      </w:r>
      <w:r>
        <w:t>şi</w:t>
      </w:r>
      <w:r>
        <w:rPr>
          <w:spacing w:val="-2"/>
        </w:rPr>
        <w:t xml:space="preserve"> </w:t>
      </w:r>
      <w:r>
        <w:rPr>
          <w:spacing w:val="1"/>
        </w:rPr>
        <w:t>î</w:t>
      </w:r>
      <w:r>
        <w:rPr>
          <w:spacing w:val="-4"/>
        </w:rPr>
        <w:t>m</w:t>
      </w:r>
      <w:r>
        <w:t>bună</w:t>
      </w:r>
      <w:r>
        <w:rPr>
          <w:spacing w:val="1"/>
        </w:rPr>
        <w:t>t</w:t>
      </w:r>
      <w:r>
        <w:rPr>
          <w:spacing w:val="-3"/>
        </w:rPr>
        <w:t>ă</w:t>
      </w:r>
      <w:r>
        <w:rPr>
          <w:spacing w:val="1"/>
        </w:rPr>
        <w:t>ț</w:t>
      </w:r>
      <w:r>
        <w:t>e</w:t>
      </w:r>
      <w:r>
        <w:rPr>
          <w:spacing w:val="-2"/>
        </w:rPr>
        <w:t>ș</w:t>
      </w:r>
      <w:r>
        <w:rPr>
          <w:spacing w:val="1"/>
        </w:rPr>
        <w:t>t</w:t>
      </w:r>
      <w:r>
        <w:t xml:space="preserve">e </w:t>
      </w:r>
      <w:r>
        <w:rPr>
          <w:spacing w:val="-3"/>
        </w:rPr>
        <w:t>a</w:t>
      </w:r>
      <w:r>
        <w:t>c</w:t>
      </w:r>
      <w:r>
        <w:rPr>
          <w:spacing w:val="-2"/>
        </w:rPr>
        <w:t>t</w:t>
      </w:r>
      <w:r>
        <w:rPr>
          <w:spacing w:val="1"/>
        </w:rPr>
        <w:t>i</w:t>
      </w:r>
      <w:r>
        <w:rPr>
          <w:spacing w:val="-3"/>
        </w:rPr>
        <w:t>v</w:t>
      </w:r>
      <w:r>
        <w:rPr>
          <w:spacing w:val="1"/>
        </w:rPr>
        <w:t>it</w:t>
      </w:r>
      <w:r>
        <w:rPr>
          <w:spacing w:val="-3"/>
        </w:rPr>
        <w:t>a</w:t>
      </w:r>
      <w:r>
        <w:rPr>
          <w:spacing w:val="1"/>
        </w:rPr>
        <w:t>t</w:t>
      </w:r>
      <w:r>
        <w:t>ea</w:t>
      </w:r>
      <w:r>
        <w:rPr>
          <w:spacing w:val="-2"/>
        </w:rPr>
        <w:t xml:space="preserve"> </w:t>
      </w:r>
      <w:r>
        <w:t>f</w:t>
      </w:r>
      <w:r>
        <w:rPr>
          <w:spacing w:val="1"/>
        </w:rPr>
        <w:t>i</w:t>
      </w:r>
      <w:r>
        <w:rPr>
          <w:spacing w:val="-3"/>
        </w:rPr>
        <w:t>z</w:t>
      </w:r>
      <w:r>
        <w:rPr>
          <w:spacing w:val="1"/>
        </w:rPr>
        <w:t>i</w:t>
      </w:r>
      <w:r>
        <w:rPr>
          <w:spacing w:val="-3"/>
        </w:rPr>
        <w:t>c</w:t>
      </w:r>
      <w:r>
        <w:t>ă.</w:t>
      </w:r>
    </w:p>
    <w:p w14:paraId="50ACC526" w14:textId="77777777" w:rsidR="00C04CAD" w:rsidRDefault="00C04CAD">
      <w:pPr>
        <w:tabs>
          <w:tab w:val="clear" w:pos="567"/>
        </w:tabs>
        <w:kinsoku w:val="0"/>
        <w:overflowPunct w:val="0"/>
        <w:autoSpaceDE w:val="0"/>
        <w:autoSpaceDN w:val="0"/>
        <w:adjustRightInd w:val="0"/>
        <w:spacing w:line="240" w:lineRule="auto"/>
        <w:rPr>
          <w:spacing w:val="-1"/>
        </w:rPr>
      </w:pPr>
    </w:p>
    <w:p w14:paraId="0F141AC6" w14:textId="77777777" w:rsidR="00C04CAD" w:rsidRDefault="00060E34">
      <w:pPr>
        <w:tabs>
          <w:tab w:val="clear" w:pos="567"/>
        </w:tabs>
        <w:kinsoku w:val="0"/>
        <w:overflowPunct w:val="0"/>
        <w:autoSpaceDE w:val="0"/>
        <w:autoSpaceDN w:val="0"/>
        <w:adjustRightInd w:val="0"/>
        <w:spacing w:line="240" w:lineRule="auto"/>
      </w:pPr>
      <w:r>
        <w:rPr>
          <w:spacing w:val="-1"/>
        </w:rPr>
        <w:t>D</w:t>
      </w:r>
      <w:r>
        <w:t>e ob</w:t>
      </w:r>
      <w:r>
        <w:rPr>
          <w:spacing w:val="1"/>
        </w:rPr>
        <w:t>i</w:t>
      </w:r>
      <w:r>
        <w:rPr>
          <w:spacing w:val="-3"/>
        </w:rPr>
        <w:t>c</w:t>
      </w:r>
      <w:r>
        <w:t>e</w:t>
      </w:r>
      <w:r>
        <w:rPr>
          <w:spacing w:val="1"/>
        </w:rPr>
        <w:t>i</w:t>
      </w:r>
      <w:r>
        <w:t xml:space="preserve">, </w:t>
      </w:r>
      <w:r>
        <w:rPr>
          <w:spacing w:val="-1"/>
          <w:szCs w:val="22"/>
          <w:lang w:eastAsia="en-US" w:bidi="ar-SA"/>
        </w:rPr>
        <w:t>AMGEVITA</w:t>
      </w:r>
      <w:r>
        <w:rPr>
          <w:spacing w:val="-2"/>
        </w:rPr>
        <w:t xml:space="preserve"> </w:t>
      </w:r>
      <w:r>
        <w:t xml:space="preserve">se </w:t>
      </w:r>
      <w:r>
        <w:rPr>
          <w:spacing w:val="-3"/>
        </w:rPr>
        <w:t>a</w:t>
      </w:r>
      <w:r>
        <w:t>d</w:t>
      </w:r>
      <w:r>
        <w:rPr>
          <w:spacing w:val="-5"/>
        </w:rPr>
        <w:t>m</w:t>
      </w:r>
      <w:r>
        <w:rPr>
          <w:spacing w:val="1"/>
        </w:rPr>
        <w:t>i</w:t>
      </w:r>
      <w:r>
        <w:t>n</w:t>
      </w:r>
      <w:r>
        <w:rPr>
          <w:spacing w:val="1"/>
        </w:rPr>
        <w:t>i</w:t>
      </w:r>
      <w:r>
        <w:rPr>
          <w:spacing w:val="-2"/>
        </w:rPr>
        <w:t>s</w:t>
      </w:r>
      <w:r>
        <w:rPr>
          <w:spacing w:val="1"/>
        </w:rPr>
        <w:t>t</w:t>
      </w:r>
      <w:r>
        <w:t>r</w:t>
      </w:r>
      <w:r>
        <w:rPr>
          <w:spacing w:val="-3"/>
        </w:rPr>
        <w:t>e</w:t>
      </w:r>
      <w:r>
        <w:t>a</w:t>
      </w:r>
      <w:r>
        <w:rPr>
          <w:spacing w:val="-3"/>
        </w:rPr>
        <w:t>z</w:t>
      </w:r>
      <w:r>
        <w:t xml:space="preserve">ă </w:t>
      </w:r>
      <w:r>
        <w:rPr>
          <w:spacing w:val="1"/>
        </w:rPr>
        <w:t>î</w:t>
      </w:r>
      <w:r>
        <w:rPr>
          <w:spacing w:val="-4"/>
        </w:rPr>
        <w:t>m</w:t>
      </w:r>
      <w:r>
        <w:t>preună</w:t>
      </w:r>
      <w:r>
        <w:rPr>
          <w:spacing w:val="-2"/>
        </w:rPr>
        <w:t xml:space="preserve"> </w:t>
      </w:r>
      <w:r>
        <w:t xml:space="preserve">cu </w:t>
      </w:r>
      <w:r>
        <w:rPr>
          <w:spacing w:val="-4"/>
        </w:rPr>
        <w:t>m</w:t>
      </w:r>
      <w:r>
        <w:t>e</w:t>
      </w:r>
      <w:r>
        <w:rPr>
          <w:spacing w:val="1"/>
        </w:rPr>
        <w:t>t</w:t>
      </w:r>
      <w:r>
        <w:t>o</w:t>
      </w:r>
      <w:r>
        <w:rPr>
          <w:spacing w:val="1"/>
        </w:rPr>
        <w:t>t</w:t>
      </w:r>
      <w:r>
        <w:t>re</w:t>
      </w:r>
      <w:r>
        <w:rPr>
          <w:spacing w:val="-3"/>
        </w:rPr>
        <w:t>x</w:t>
      </w:r>
      <w:r>
        <w:t>a</w:t>
      </w:r>
      <w:r>
        <w:rPr>
          <w:spacing w:val="1"/>
        </w:rPr>
        <w:t>t</w:t>
      </w:r>
      <w:r>
        <w:t xml:space="preserve">. </w:t>
      </w:r>
      <w:r>
        <w:rPr>
          <w:spacing w:val="-4"/>
        </w:rPr>
        <w:t>D</w:t>
      </w:r>
      <w:r>
        <w:t xml:space="preserve">acă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2"/>
        </w:rPr>
        <w:t>s</w:t>
      </w:r>
      <w:r>
        <w:rPr>
          <w:spacing w:val="1"/>
        </w:rPr>
        <w:t>t</w:t>
      </w:r>
      <w:r>
        <w:t>a</w:t>
      </w:r>
      <w:r>
        <w:rPr>
          <w:spacing w:val="-3"/>
        </w:rPr>
        <w:t>b</w:t>
      </w:r>
      <w:r>
        <w:rPr>
          <w:spacing w:val="1"/>
        </w:rPr>
        <w:t>i</w:t>
      </w:r>
      <w:r>
        <w:rPr>
          <w:spacing w:val="-2"/>
        </w:rPr>
        <w:t>l</w:t>
      </w:r>
      <w:r>
        <w:t>e</w:t>
      </w:r>
      <w:r>
        <w:rPr>
          <w:spacing w:val="-2"/>
        </w:rPr>
        <w:t>ş</w:t>
      </w:r>
      <w:r>
        <w:rPr>
          <w:spacing w:val="1"/>
        </w:rPr>
        <w:t>t</w:t>
      </w:r>
      <w:r>
        <w:t xml:space="preserve">e că </w:t>
      </w:r>
      <w:r>
        <w:rPr>
          <w:spacing w:val="-4"/>
        </w:rPr>
        <w:t>m</w:t>
      </w:r>
      <w:r>
        <w:t>e</w:t>
      </w:r>
      <w:r>
        <w:rPr>
          <w:spacing w:val="1"/>
        </w:rPr>
        <w:t>t</w:t>
      </w:r>
      <w:r>
        <w:t>o</w:t>
      </w:r>
      <w:r>
        <w:rPr>
          <w:spacing w:val="1"/>
        </w:rPr>
        <w:t>t</w:t>
      </w:r>
      <w:r>
        <w:rPr>
          <w:spacing w:val="-2"/>
        </w:rPr>
        <w:t>r</w:t>
      </w:r>
      <w:r>
        <w:t>ex</w:t>
      </w:r>
      <w:r>
        <w:rPr>
          <w:spacing w:val="-3"/>
        </w:rPr>
        <w:t>a</w:t>
      </w:r>
      <w:r>
        <w:t>t</w:t>
      </w:r>
      <w:r>
        <w:rPr>
          <w:spacing w:val="1"/>
        </w:rPr>
        <w:t xml:space="preserve"> </w:t>
      </w:r>
      <w:r>
        <w:t>nu</w:t>
      </w:r>
      <w:r>
        <w:rPr>
          <w:spacing w:val="-3"/>
        </w:rPr>
        <w:t xml:space="preserve"> </w:t>
      </w:r>
      <w:r>
        <w:t>es</w:t>
      </w:r>
      <w:r>
        <w:rPr>
          <w:spacing w:val="-2"/>
        </w:rPr>
        <w:t>t</w:t>
      </w:r>
      <w:r>
        <w:t>e a</w:t>
      </w:r>
      <w:r>
        <w:rPr>
          <w:spacing w:val="-3"/>
        </w:rPr>
        <w:t>d</w:t>
      </w:r>
      <w:r>
        <w:t>ec</w:t>
      </w:r>
      <w:r>
        <w:rPr>
          <w:spacing w:val="-3"/>
        </w:rPr>
        <w:t>v</w:t>
      </w:r>
      <w:r>
        <w:t>a</w:t>
      </w:r>
      <w:r>
        <w:rPr>
          <w:spacing w:val="1"/>
        </w:rPr>
        <w:t>t</w:t>
      </w:r>
      <w:r>
        <w:t xml:space="preserve">, </w:t>
      </w:r>
      <w:r>
        <w:rPr>
          <w:spacing w:val="-1"/>
          <w:szCs w:val="22"/>
          <w:lang w:eastAsia="en-US" w:bidi="ar-SA"/>
        </w:rPr>
        <w:t>AMGEVITA</w:t>
      </w:r>
      <w:r>
        <w:t xml:space="preserve"> p</w:t>
      </w:r>
      <w:r>
        <w:rPr>
          <w:spacing w:val="-3"/>
        </w:rPr>
        <w:t>o</w:t>
      </w:r>
      <w:r>
        <w:t>a</w:t>
      </w:r>
      <w:r>
        <w:rPr>
          <w:spacing w:val="-2"/>
        </w:rPr>
        <w:t>t</w:t>
      </w:r>
      <w:r>
        <w:t xml:space="preserve">e </w:t>
      </w:r>
      <w:r>
        <w:rPr>
          <w:spacing w:val="-2"/>
        </w:rPr>
        <w:t>f</w:t>
      </w:r>
      <w:r>
        <w:t>i</w:t>
      </w:r>
      <w:r>
        <w:rPr>
          <w:spacing w:val="1"/>
        </w:rPr>
        <w:t xml:space="preserve"> </w:t>
      </w:r>
      <w:r>
        <w:t>ad</w:t>
      </w:r>
      <w:r>
        <w:rPr>
          <w:spacing w:val="-4"/>
        </w:rPr>
        <w:t>m</w:t>
      </w:r>
      <w:r>
        <w:rPr>
          <w:spacing w:val="1"/>
        </w:rPr>
        <w:t>i</w:t>
      </w:r>
      <w:r>
        <w:t>n</w:t>
      </w:r>
      <w:r>
        <w:rPr>
          <w:spacing w:val="1"/>
        </w:rPr>
        <w:t>i</w:t>
      </w:r>
      <w:r>
        <w:rPr>
          <w:spacing w:val="-2"/>
        </w:rPr>
        <w:t>s</w:t>
      </w:r>
      <w:r>
        <w:rPr>
          <w:spacing w:val="1"/>
        </w:rPr>
        <w:t>t</w:t>
      </w:r>
      <w:r>
        <w:t>r</w:t>
      </w:r>
      <w:r>
        <w:rPr>
          <w:spacing w:val="-3"/>
        </w:rPr>
        <w:t>a</w:t>
      </w:r>
      <w:r>
        <w:t>t</w:t>
      </w:r>
      <w:r>
        <w:rPr>
          <w:spacing w:val="1"/>
        </w:rPr>
        <w:t xml:space="preserve"> </w:t>
      </w:r>
      <w:r>
        <w:rPr>
          <w:spacing w:val="-2"/>
        </w:rPr>
        <w:t>s</w:t>
      </w:r>
      <w:r>
        <w:rPr>
          <w:spacing w:val="1"/>
        </w:rPr>
        <w:t>i</w:t>
      </w:r>
      <w:r>
        <w:t>n</w:t>
      </w:r>
      <w:r>
        <w:rPr>
          <w:spacing w:val="-3"/>
        </w:rPr>
        <w:t>g</w:t>
      </w:r>
      <w:r>
        <w:t>ur.</w:t>
      </w:r>
    </w:p>
    <w:p w14:paraId="1153DAD9" w14:textId="77777777" w:rsidR="00C04CAD" w:rsidRDefault="00C04CAD">
      <w:pPr>
        <w:tabs>
          <w:tab w:val="clear" w:pos="567"/>
        </w:tabs>
        <w:kinsoku w:val="0"/>
        <w:overflowPunct w:val="0"/>
        <w:autoSpaceDE w:val="0"/>
        <w:autoSpaceDN w:val="0"/>
        <w:adjustRightInd w:val="0"/>
        <w:spacing w:line="240" w:lineRule="auto"/>
      </w:pPr>
    </w:p>
    <w:p w14:paraId="58FF8428" w14:textId="77777777" w:rsidR="00C04CAD" w:rsidRDefault="00060E34">
      <w:pPr>
        <w:tabs>
          <w:tab w:val="clear" w:pos="567"/>
        </w:tabs>
        <w:kinsoku w:val="0"/>
        <w:overflowPunct w:val="0"/>
        <w:autoSpaceDE w:val="0"/>
        <w:autoSpaceDN w:val="0"/>
        <w:adjustRightInd w:val="0"/>
        <w:spacing w:line="240" w:lineRule="auto"/>
      </w:pPr>
      <w:r>
        <w:rPr>
          <w:spacing w:val="-2"/>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ă </w:t>
      </w:r>
      <w:r>
        <w:rPr>
          <w:spacing w:val="3"/>
          <w:u w:val="single"/>
        </w:rPr>
        <w:t>j</w:t>
      </w:r>
      <w:r>
        <w:rPr>
          <w:u w:val="single"/>
        </w:rPr>
        <w:t>u</w:t>
      </w:r>
      <w:r>
        <w:rPr>
          <w:spacing w:val="-3"/>
          <w:u w:val="single"/>
        </w:rPr>
        <w:t>v</w:t>
      </w:r>
      <w:r>
        <w:rPr>
          <w:u w:val="single"/>
        </w:rPr>
        <w:t>e</w:t>
      </w:r>
      <w:r>
        <w:rPr>
          <w:spacing w:val="-3"/>
          <w:u w:val="single"/>
        </w:rPr>
        <w:t>n</w:t>
      </w:r>
      <w:r>
        <w:rPr>
          <w:spacing w:val="1"/>
          <w:u w:val="single"/>
        </w:rPr>
        <w:t>il</w:t>
      </w:r>
      <w:r>
        <w:rPr>
          <w:u w:val="single"/>
        </w:rPr>
        <w:t xml:space="preserve">ă </w:t>
      </w:r>
      <w:r>
        <w:rPr>
          <w:spacing w:val="1"/>
          <w:u w:val="single"/>
        </w:rPr>
        <w:t>i</w:t>
      </w:r>
      <w:r>
        <w:rPr>
          <w:spacing w:val="-3"/>
          <w:u w:val="single"/>
        </w:rPr>
        <w:t>d</w:t>
      </w:r>
      <w:r>
        <w:rPr>
          <w:spacing w:val="1"/>
          <w:u w:val="single"/>
        </w:rPr>
        <w:t>i</w:t>
      </w:r>
      <w:r>
        <w:rPr>
          <w:u w:val="single"/>
        </w:rPr>
        <w:t>op</w:t>
      </w:r>
      <w:r>
        <w:rPr>
          <w:spacing w:val="-3"/>
          <w:u w:val="single"/>
        </w:rPr>
        <w:t>a</w:t>
      </w:r>
      <w:r>
        <w:rPr>
          <w:spacing w:val="1"/>
          <w:u w:val="single"/>
        </w:rPr>
        <w:t>t</w:t>
      </w:r>
      <w:r>
        <w:rPr>
          <w:spacing w:val="-2"/>
          <w:u w:val="single"/>
        </w:rPr>
        <w:t>i</w:t>
      </w:r>
      <w:r>
        <w:rPr>
          <w:u w:val="single"/>
        </w:rPr>
        <w:t xml:space="preserve">că </w:t>
      </w:r>
      <w:r>
        <w:rPr>
          <w:spacing w:val="-2"/>
          <w:u w:val="single"/>
        </w:rPr>
        <w:t>f</w:t>
      </w:r>
      <w:r>
        <w:rPr>
          <w:u w:val="single"/>
        </w:rPr>
        <w:t>or</w:t>
      </w:r>
      <w:r>
        <w:rPr>
          <w:spacing w:val="-4"/>
          <w:u w:val="single"/>
        </w:rPr>
        <w:t>m</w:t>
      </w:r>
      <w:r>
        <w:rPr>
          <w:u w:val="single"/>
        </w:rPr>
        <w:t>a po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 xml:space="preserve">ră </w:t>
      </w:r>
      <w:r>
        <w:rPr>
          <w:spacing w:val="-2"/>
          <w:u w:val="single"/>
        </w:rPr>
        <w:t>ş</w:t>
      </w:r>
      <w:r>
        <w:rPr>
          <w:u w:val="single"/>
        </w:rPr>
        <w:t>i</w:t>
      </w:r>
      <w:r>
        <w:rPr>
          <w:spacing w:val="3"/>
          <w:u w:val="single"/>
        </w:rPr>
        <w:t xml:space="preserve"> </w:t>
      </w:r>
      <w:r>
        <w:rPr>
          <w:spacing w:val="-3"/>
          <w:u w:val="single"/>
        </w:rPr>
        <w:t>a</w:t>
      </w:r>
      <w:r>
        <w:rPr>
          <w:u w:val="single"/>
        </w:rPr>
        <w:t>r</w:t>
      </w:r>
      <w:r>
        <w:rPr>
          <w:spacing w:val="-2"/>
          <w:u w:val="single"/>
        </w:rPr>
        <w:t>t</w:t>
      </w:r>
      <w:r>
        <w:rPr>
          <w:u w:val="single"/>
        </w:rPr>
        <w:t>r</w:t>
      </w:r>
      <w:r>
        <w:rPr>
          <w:spacing w:val="-2"/>
          <w:u w:val="single"/>
        </w:rPr>
        <w:t>it</w:t>
      </w:r>
      <w:r>
        <w:rPr>
          <w:u w:val="single"/>
        </w:rPr>
        <w:t>a as</w:t>
      </w:r>
      <w:r>
        <w:rPr>
          <w:spacing w:val="-3"/>
          <w:u w:val="single"/>
        </w:rPr>
        <w:t>o</w:t>
      </w:r>
      <w:r>
        <w:rPr>
          <w:u w:val="single"/>
        </w:rPr>
        <w:t>c</w:t>
      </w:r>
      <w:r>
        <w:rPr>
          <w:spacing w:val="1"/>
          <w:u w:val="single"/>
        </w:rPr>
        <w:t>i</w:t>
      </w:r>
      <w:r>
        <w:rPr>
          <w:spacing w:val="-3"/>
          <w:u w:val="single"/>
        </w:rPr>
        <w:t>a</w:t>
      </w:r>
      <w:r>
        <w:rPr>
          <w:spacing w:val="1"/>
          <w:u w:val="single"/>
        </w:rPr>
        <w:t>t</w:t>
      </w:r>
      <w:r>
        <w:rPr>
          <w:u w:val="single"/>
        </w:rPr>
        <w:t>ă en</w:t>
      </w:r>
      <w:r>
        <w:rPr>
          <w:spacing w:val="-2"/>
          <w:u w:val="single"/>
        </w:rPr>
        <w:t>t</w:t>
      </w:r>
      <w:r>
        <w:rPr>
          <w:u w:val="single"/>
        </w:rPr>
        <w:t>e</w:t>
      </w:r>
      <w:r>
        <w:rPr>
          <w:spacing w:val="-3"/>
          <w:u w:val="single"/>
        </w:rPr>
        <w:t>z</w:t>
      </w:r>
      <w:r>
        <w:rPr>
          <w:spacing w:val="1"/>
          <w:u w:val="single"/>
        </w:rPr>
        <w:t>it</w:t>
      </w:r>
      <w:r>
        <w:rPr>
          <w:spacing w:val="-3"/>
          <w:u w:val="single"/>
        </w:rPr>
        <w:t>e</w:t>
      </w:r>
      <w:r>
        <w:rPr>
          <w:u w:val="single"/>
        </w:rPr>
        <w:t>i</w:t>
      </w:r>
    </w:p>
    <w:p w14:paraId="5D7DDDC1" w14:textId="77777777" w:rsidR="00C04CAD" w:rsidRDefault="00C04CAD">
      <w:pPr>
        <w:tabs>
          <w:tab w:val="clear" w:pos="567"/>
        </w:tabs>
        <w:kinsoku w:val="0"/>
        <w:overflowPunct w:val="0"/>
        <w:autoSpaceDE w:val="0"/>
        <w:autoSpaceDN w:val="0"/>
        <w:adjustRightInd w:val="0"/>
        <w:spacing w:line="240" w:lineRule="auto"/>
      </w:pPr>
    </w:p>
    <w:p w14:paraId="40B10C2E" w14:textId="77777777" w:rsidR="00C04CAD" w:rsidRDefault="00060E34">
      <w:pPr>
        <w:tabs>
          <w:tab w:val="clear" w:pos="567"/>
        </w:tabs>
        <w:kinsoku w:val="0"/>
        <w:overflowPunct w:val="0"/>
        <w:autoSpaceDE w:val="0"/>
        <w:autoSpaceDN w:val="0"/>
        <w:adjustRightInd w:val="0"/>
        <w:spacing w:line="240" w:lineRule="auto"/>
      </w:pPr>
      <w:r>
        <w:rPr>
          <w:spacing w:val="-2"/>
        </w:rPr>
        <w:t>A</w:t>
      </w:r>
      <w:r>
        <w:t>r</w:t>
      </w:r>
      <w:r>
        <w:rPr>
          <w:spacing w:val="1"/>
        </w:rPr>
        <w:t>t</w:t>
      </w:r>
      <w:r>
        <w:rPr>
          <w:spacing w:val="-2"/>
        </w:rPr>
        <w:t>r</w:t>
      </w:r>
      <w:r>
        <w:rPr>
          <w:spacing w:val="1"/>
        </w:rPr>
        <w:t>i</w:t>
      </w:r>
      <w:r>
        <w:rPr>
          <w:spacing w:val="-2"/>
        </w:rPr>
        <w:t>t</w:t>
      </w:r>
      <w:r>
        <w:t>ă</w:t>
      </w:r>
      <w:r>
        <w:rPr>
          <w:spacing w:val="-2"/>
        </w:rPr>
        <w:t xml:space="preserve"> </w:t>
      </w:r>
      <w:r>
        <w:rPr>
          <w:spacing w:val="3"/>
        </w:rPr>
        <w:t>j</w:t>
      </w:r>
      <w:r>
        <w:t>u</w:t>
      </w:r>
      <w:r>
        <w:rPr>
          <w:spacing w:val="-3"/>
        </w:rPr>
        <w:t>v</w:t>
      </w:r>
      <w:r>
        <w:t>e</w:t>
      </w:r>
      <w:r>
        <w:rPr>
          <w:spacing w:val="-3"/>
        </w:rPr>
        <w:t>n</w:t>
      </w:r>
      <w:r>
        <w:rPr>
          <w:spacing w:val="1"/>
        </w:rPr>
        <w:t>il</w:t>
      </w:r>
      <w:r>
        <w:t>ă</w:t>
      </w:r>
      <w:r>
        <w:rPr>
          <w:spacing w:val="-2"/>
        </w:rPr>
        <w:t xml:space="preserve"> </w:t>
      </w:r>
      <w:r>
        <w:rPr>
          <w:spacing w:val="1"/>
        </w:rPr>
        <w:t>i</w:t>
      </w:r>
      <w:r>
        <w:rPr>
          <w:spacing w:val="-3"/>
        </w:rPr>
        <w:t>d</w:t>
      </w:r>
      <w:r>
        <w:rPr>
          <w:spacing w:val="1"/>
        </w:rPr>
        <w:t>i</w:t>
      </w:r>
      <w:r>
        <w:t>op</w:t>
      </w:r>
      <w:r>
        <w:rPr>
          <w:spacing w:val="-3"/>
        </w:rPr>
        <w:t>a</w:t>
      </w:r>
      <w:r>
        <w:rPr>
          <w:spacing w:val="1"/>
        </w:rPr>
        <w:t>t</w:t>
      </w:r>
      <w:r>
        <w:rPr>
          <w:spacing w:val="-2"/>
        </w:rPr>
        <w:t>i</w:t>
      </w:r>
      <w:r>
        <w:t>că</w:t>
      </w:r>
      <w:r>
        <w:rPr>
          <w:spacing w:val="-2"/>
        </w:rPr>
        <w:t xml:space="preserve"> f</w:t>
      </w:r>
      <w:r>
        <w:t>or</w:t>
      </w:r>
      <w:r>
        <w:rPr>
          <w:spacing w:val="-4"/>
        </w:rPr>
        <w:t>m</w:t>
      </w:r>
      <w:r>
        <w:t>a po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 xml:space="preserve">ră </w:t>
      </w:r>
      <w:r>
        <w:rPr>
          <w:spacing w:val="-2"/>
        </w:rPr>
        <w:t>ş</w:t>
      </w:r>
      <w:r>
        <w:t>i</w:t>
      </w:r>
      <w:r>
        <w:rPr>
          <w:spacing w:val="1"/>
        </w:rPr>
        <w:t xml:space="preserve"> </w:t>
      </w:r>
      <w:r>
        <w:rPr>
          <w:spacing w:val="-3"/>
        </w:rPr>
        <w:t>a</w:t>
      </w:r>
      <w:r>
        <w:t>r</w:t>
      </w:r>
      <w:r>
        <w:rPr>
          <w:spacing w:val="-2"/>
        </w:rPr>
        <w:t>t</w:t>
      </w:r>
      <w:r>
        <w:t>r</w:t>
      </w:r>
      <w:r>
        <w:rPr>
          <w:spacing w:val="-2"/>
        </w:rPr>
        <w:t>it</w:t>
      </w:r>
      <w:r>
        <w:t>a as</w:t>
      </w:r>
      <w:r>
        <w:rPr>
          <w:spacing w:val="-3"/>
        </w:rPr>
        <w:t>o</w:t>
      </w:r>
      <w:r>
        <w:t>c</w:t>
      </w:r>
      <w:r>
        <w:rPr>
          <w:spacing w:val="1"/>
        </w:rPr>
        <w:t>i</w:t>
      </w:r>
      <w:r>
        <w:rPr>
          <w:spacing w:val="-3"/>
        </w:rPr>
        <w:t>a</w:t>
      </w:r>
      <w:r>
        <w:rPr>
          <w:spacing w:val="1"/>
        </w:rPr>
        <w:t>t</w:t>
      </w:r>
      <w:r>
        <w:t>ă</w:t>
      </w:r>
      <w:r>
        <w:rPr>
          <w:spacing w:val="-2"/>
        </w:rPr>
        <w:t xml:space="preserve"> </w:t>
      </w:r>
      <w:r>
        <w:t>en</w:t>
      </w:r>
      <w:r>
        <w:rPr>
          <w:spacing w:val="-2"/>
        </w:rPr>
        <w:t>t</w:t>
      </w:r>
      <w:r>
        <w:t>e</w:t>
      </w:r>
      <w:r>
        <w:rPr>
          <w:spacing w:val="-3"/>
        </w:rPr>
        <w:t>z</w:t>
      </w:r>
      <w:r>
        <w:rPr>
          <w:spacing w:val="1"/>
        </w:rPr>
        <w:t>it</w:t>
      </w:r>
      <w:r>
        <w:rPr>
          <w:spacing w:val="-3"/>
        </w:rPr>
        <w:t>e</w:t>
      </w:r>
      <w:r>
        <w:t>i s</w:t>
      </w:r>
      <w:r>
        <w:rPr>
          <w:spacing w:val="-3"/>
        </w:rPr>
        <w:t>u</w:t>
      </w:r>
      <w:r>
        <w:t>nt</w:t>
      </w:r>
      <w:r>
        <w:rPr>
          <w:spacing w:val="1"/>
        </w:rPr>
        <w:t xml:space="preserve"> </w:t>
      </w:r>
      <w:r>
        <w:t>b</w:t>
      </w:r>
      <w:r>
        <w:rPr>
          <w:spacing w:val="-3"/>
        </w:rPr>
        <w:t>o</w:t>
      </w:r>
      <w:r>
        <w:rPr>
          <w:spacing w:val="-2"/>
        </w:rPr>
        <w:t>l</w:t>
      </w:r>
      <w:r>
        <w:t>i</w:t>
      </w:r>
      <w:r>
        <w:rPr>
          <w:spacing w:val="1"/>
        </w:rPr>
        <w:t xml:space="preserve"> i</w:t>
      </w:r>
      <w:r>
        <w:rPr>
          <w:spacing w:val="-3"/>
        </w:rPr>
        <w:t>n</w:t>
      </w:r>
      <w:r>
        <w:t>f</w:t>
      </w:r>
      <w:r>
        <w:rPr>
          <w:spacing w:val="-2"/>
        </w:rPr>
        <w:t>l</w:t>
      </w:r>
      <w:r>
        <w:t>a</w:t>
      </w:r>
      <w:r>
        <w:rPr>
          <w:spacing w:val="-4"/>
        </w:rPr>
        <w:t>m</w:t>
      </w:r>
      <w:r>
        <w:t>a</w:t>
      </w:r>
      <w:r>
        <w:rPr>
          <w:spacing w:val="1"/>
        </w:rPr>
        <w:t>t</w:t>
      </w:r>
      <w:r>
        <w:t>or</w:t>
      </w:r>
      <w:r>
        <w:rPr>
          <w:spacing w:val="-2"/>
        </w:rPr>
        <w:t>i</w:t>
      </w:r>
      <w:r>
        <w:rPr>
          <w:spacing w:val="1"/>
        </w:rPr>
        <w:t>i ale articulațiilor care apar de obicei prima oară în perioada copilăriei.</w:t>
      </w:r>
    </w:p>
    <w:p w14:paraId="632D1D18" w14:textId="77777777" w:rsidR="00C04CAD" w:rsidRDefault="00C04CAD">
      <w:pPr>
        <w:tabs>
          <w:tab w:val="clear" w:pos="567"/>
        </w:tabs>
        <w:kinsoku w:val="0"/>
        <w:overflowPunct w:val="0"/>
        <w:autoSpaceDE w:val="0"/>
        <w:autoSpaceDN w:val="0"/>
        <w:adjustRightInd w:val="0"/>
        <w:spacing w:line="240" w:lineRule="auto"/>
      </w:pPr>
    </w:p>
    <w:p w14:paraId="54C2207F"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rPr>
          <w:szCs w:val="22"/>
          <w:lang w:eastAsia="en-US" w:bidi="ar-SA"/>
        </w:rPr>
        <w:t xml:space="preserve"> se u</w:t>
      </w:r>
      <w:r>
        <w:rPr>
          <w:spacing w:val="-2"/>
          <w:szCs w:val="22"/>
          <w:lang w:eastAsia="en-US" w:bidi="ar-SA"/>
        </w:rPr>
        <w:t>ti</w:t>
      </w:r>
      <w:r>
        <w:rPr>
          <w:spacing w:val="1"/>
          <w:szCs w:val="22"/>
          <w:lang w:eastAsia="en-US" w:bidi="ar-SA"/>
        </w:rPr>
        <w:t>li</w:t>
      </w:r>
      <w:r>
        <w:rPr>
          <w:spacing w:val="-3"/>
          <w:szCs w:val="22"/>
          <w:lang w:eastAsia="en-US" w:bidi="ar-SA"/>
        </w:rPr>
        <w:t>z</w:t>
      </w:r>
      <w:r>
        <w:rPr>
          <w:szCs w:val="22"/>
          <w:lang w:eastAsia="en-US" w:bidi="ar-SA"/>
        </w:rPr>
        <w:t>ea</w:t>
      </w:r>
      <w:r>
        <w:rPr>
          <w:spacing w:val="-3"/>
          <w:szCs w:val="22"/>
          <w:lang w:eastAsia="en-US" w:bidi="ar-SA"/>
        </w:rPr>
        <w:t>z</w:t>
      </w:r>
      <w:r>
        <w:rPr>
          <w:szCs w:val="22"/>
          <w:lang w:eastAsia="en-US" w:bidi="ar-SA"/>
        </w:rPr>
        <w:t>ă pe</w:t>
      </w:r>
      <w:r>
        <w:rPr>
          <w:spacing w:val="-3"/>
          <w:szCs w:val="22"/>
          <w:lang w:eastAsia="en-US" w:bidi="ar-SA"/>
        </w:rPr>
        <w:t>n</w:t>
      </w:r>
      <w:r>
        <w:rPr>
          <w:spacing w:val="1"/>
          <w:szCs w:val="22"/>
          <w:lang w:eastAsia="en-US" w:bidi="ar-SA"/>
        </w:rPr>
        <w:t>t</w:t>
      </w:r>
      <w:r>
        <w:rPr>
          <w:szCs w:val="22"/>
          <w:lang w:eastAsia="en-US" w:bidi="ar-SA"/>
        </w:rPr>
        <w:t>ru</w:t>
      </w:r>
      <w:r>
        <w:rPr>
          <w:spacing w:val="-3"/>
          <w:szCs w:val="22"/>
          <w:lang w:eastAsia="en-US" w:bidi="ar-SA"/>
        </w:rPr>
        <w:t xml:space="preserve"> </w:t>
      </w:r>
      <w:r>
        <w:rPr>
          <w:spacing w:val="1"/>
          <w:szCs w:val="22"/>
          <w:lang w:eastAsia="en-US" w:bidi="ar-SA"/>
        </w:rPr>
        <w:t>t</w:t>
      </w:r>
      <w:r>
        <w:rPr>
          <w:szCs w:val="22"/>
          <w:lang w:eastAsia="en-US" w:bidi="ar-SA"/>
        </w:rPr>
        <w:t>r</w:t>
      </w:r>
      <w:r>
        <w:rPr>
          <w:spacing w:val="-3"/>
          <w:szCs w:val="22"/>
          <w:lang w:eastAsia="en-US" w:bidi="ar-SA"/>
        </w:rPr>
        <w:t>a</w:t>
      </w:r>
      <w:r>
        <w:rPr>
          <w:spacing w:val="1"/>
          <w:szCs w:val="22"/>
          <w:lang w:eastAsia="en-US" w:bidi="ar-SA"/>
        </w:rPr>
        <w:t>t</w:t>
      </w:r>
      <w:r>
        <w:rPr>
          <w:szCs w:val="22"/>
          <w:lang w:eastAsia="en-US" w:bidi="ar-SA"/>
        </w:rPr>
        <w:t>a</w:t>
      </w:r>
      <w:r>
        <w:rPr>
          <w:spacing w:val="-4"/>
          <w:szCs w:val="22"/>
          <w:lang w:eastAsia="en-US" w:bidi="ar-SA"/>
        </w:rPr>
        <w:t>m</w:t>
      </w:r>
      <w:r>
        <w:rPr>
          <w:szCs w:val="22"/>
          <w:lang w:eastAsia="en-US" w:bidi="ar-SA"/>
        </w:rPr>
        <w:t>en</w:t>
      </w:r>
      <w:r>
        <w:rPr>
          <w:spacing w:val="1"/>
          <w:szCs w:val="22"/>
          <w:lang w:eastAsia="en-US" w:bidi="ar-SA"/>
        </w:rPr>
        <w:t>t</w:t>
      </w:r>
      <w:r>
        <w:rPr>
          <w:spacing w:val="-3"/>
          <w:szCs w:val="22"/>
          <w:lang w:eastAsia="en-US" w:bidi="ar-SA"/>
        </w:rPr>
        <w:t>u</w:t>
      </w:r>
      <w:r>
        <w:rPr>
          <w:szCs w:val="22"/>
          <w:lang w:eastAsia="en-US" w:bidi="ar-SA"/>
        </w:rPr>
        <w:t>l a</w:t>
      </w:r>
      <w:r>
        <w:rPr>
          <w:spacing w:val="-2"/>
          <w:szCs w:val="22"/>
          <w:lang w:eastAsia="en-US" w:bidi="ar-SA"/>
        </w:rPr>
        <w:t>r</w:t>
      </w:r>
      <w:r>
        <w:rPr>
          <w:spacing w:val="1"/>
          <w:szCs w:val="22"/>
          <w:lang w:eastAsia="en-US" w:bidi="ar-SA"/>
        </w:rPr>
        <w:t>t</w:t>
      </w:r>
      <w:r>
        <w:rPr>
          <w:spacing w:val="-2"/>
          <w:szCs w:val="22"/>
          <w:lang w:eastAsia="en-US" w:bidi="ar-SA"/>
        </w:rPr>
        <w:t>ri</w:t>
      </w:r>
      <w:r>
        <w:rPr>
          <w:spacing w:val="1"/>
          <w:szCs w:val="22"/>
          <w:lang w:eastAsia="en-US" w:bidi="ar-SA"/>
        </w:rPr>
        <w:t>t</w:t>
      </w:r>
      <w:r>
        <w:rPr>
          <w:szCs w:val="22"/>
          <w:lang w:eastAsia="en-US" w:bidi="ar-SA"/>
        </w:rPr>
        <w:t>ei</w:t>
      </w:r>
      <w:r>
        <w:rPr>
          <w:spacing w:val="-2"/>
          <w:szCs w:val="22"/>
          <w:lang w:eastAsia="en-US" w:bidi="ar-SA"/>
        </w:rPr>
        <w:t xml:space="preserve"> </w:t>
      </w:r>
      <w:r>
        <w:rPr>
          <w:spacing w:val="1"/>
          <w:szCs w:val="22"/>
          <w:lang w:eastAsia="en-US" w:bidi="ar-SA"/>
        </w:rPr>
        <w:t>j</w:t>
      </w:r>
      <w:r>
        <w:rPr>
          <w:szCs w:val="22"/>
          <w:lang w:eastAsia="en-US" w:bidi="ar-SA"/>
        </w:rPr>
        <w:t>u</w:t>
      </w:r>
      <w:r>
        <w:rPr>
          <w:spacing w:val="-3"/>
          <w:szCs w:val="22"/>
          <w:lang w:eastAsia="en-US" w:bidi="ar-SA"/>
        </w:rPr>
        <w:t>v</w:t>
      </w:r>
      <w:r>
        <w:rPr>
          <w:szCs w:val="22"/>
          <w:lang w:eastAsia="en-US" w:bidi="ar-SA"/>
        </w:rPr>
        <w:t>en</w:t>
      </w:r>
      <w:r>
        <w:rPr>
          <w:spacing w:val="-2"/>
          <w:szCs w:val="22"/>
          <w:lang w:eastAsia="en-US" w:bidi="ar-SA"/>
        </w:rPr>
        <w:t>il</w:t>
      </w:r>
      <w:r>
        <w:rPr>
          <w:szCs w:val="22"/>
          <w:lang w:eastAsia="en-US" w:bidi="ar-SA"/>
        </w:rPr>
        <w:t xml:space="preserve">e </w:t>
      </w:r>
      <w:r>
        <w:rPr>
          <w:spacing w:val="1"/>
          <w:szCs w:val="22"/>
          <w:lang w:eastAsia="en-US" w:bidi="ar-SA"/>
        </w:rPr>
        <w:t>i</w:t>
      </w:r>
      <w:r>
        <w:rPr>
          <w:spacing w:val="-3"/>
          <w:szCs w:val="22"/>
          <w:lang w:eastAsia="en-US" w:bidi="ar-SA"/>
        </w:rPr>
        <w:t>d</w:t>
      </w:r>
      <w:r>
        <w:rPr>
          <w:spacing w:val="1"/>
          <w:szCs w:val="22"/>
          <w:lang w:eastAsia="en-US" w:bidi="ar-SA"/>
        </w:rPr>
        <w:t>i</w:t>
      </w:r>
      <w:r>
        <w:rPr>
          <w:szCs w:val="22"/>
          <w:lang w:eastAsia="en-US" w:bidi="ar-SA"/>
        </w:rPr>
        <w:t>op</w:t>
      </w:r>
      <w:r>
        <w:rPr>
          <w:spacing w:val="-3"/>
          <w:szCs w:val="22"/>
          <w:lang w:eastAsia="en-US" w:bidi="ar-SA"/>
        </w:rPr>
        <w:t>a</w:t>
      </w:r>
      <w:r>
        <w:rPr>
          <w:spacing w:val="1"/>
          <w:szCs w:val="22"/>
          <w:lang w:eastAsia="en-US" w:bidi="ar-SA"/>
        </w:rPr>
        <w:t>t</w:t>
      </w:r>
      <w:r>
        <w:rPr>
          <w:spacing w:val="-2"/>
          <w:szCs w:val="22"/>
          <w:lang w:eastAsia="en-US" w:bidi="ar-SA"/>
        </w:rPr>
        <w:t>i</w:t>
      </w:r>
      <w:r>
        <w:rPr>
          <w:szCs w:val="22"/>
          <w:lang w:eastAsia="en-US" w:bidi="ar-SA"/>
        </w:rPr>
        <w:t xml:space="preserve">ce </w:t>
      </w:r>
      <w:r>
        <w:rPr>
          <w:spacing w:val="-2"/>
          <w:szCs w:val="22"/>
          <w:lang w:eastAsia="en-US" w:bidi="ar-SA"/>
        </w:rPr>
        <w:t>f</w:t>
      </w:r>
      <w:r>
        <w:rPr>
          <w:szCs w:val="22"/>
          <w:lang w:eastAsia="en-US" w:bidi="ar-SA"/>
        </w:rPr>
        <w:t>or</w:t>
      </w:r>
      <w:r>
        <w:rPr>
          <w:spacing w:val="-4"/>
          <w:szCs w:val="22"/>
          <w:lang w:eastAsia="en-US" w:bidi="ar-SA"/>
        </w:rPr>
        <w:t>m</w:t>
      </w:r>
      <w:r>
        <w:rPr>
          <w:szCs w:val="22"/>
          <w:lang w:eastAsia="en-US" w:bidi="ar-SA"/>
        </w:rPr>
        <w:t>a po</w:t>
      </w:r>
      <w:r>
        <w:rPr>
          <w:spacing w:val="-2"/>
          <w:szCs w:val="22"/>
          <w:lang w:eastAsia="en-US" w:bidi="ar-SA"/>
        </w:rPr>
        <w:t>l</w:t>
      </w:r>
      <w:r>
        <w:rPr>
          <w:spacing w:val="1"/>
          <w:szCs w:val="22"/>
          <w:lang w:eastAsia="en-US" w:bidi="ar-SA"/>
        </w:rPr>
        <w:t>i</w:t>
      </w:r>
      <w:r>
        <w:rPr>
          <w:szCs w:val="22"/>
          <w:lang w:eastAsia="en-US" w:bidi="ar-SA"/>
        </w:rPr>
        <w:t>a</w:t>
      </w:r>
      <w:r>
        <w:rPr>
          <w:spacing w:val="-2"/>
          <w:szCs w:val="22"/>
          <w:lang w:eastAsia="en-US" w:bidi="ar-SA"/>
        </w:rPr>
        <w:t>r</w:t>
      </w:r>
      <w:r>
        <w:rPr>
          <w:spacing w:val="1"/>
          <w:szCs w:val="22"/>
          <w:lang w:eastAsia="en-US" w:bidi="ar-SA"/>
        </w:rPr>
        <w:t>t</w:t>
      </w:r>
      <w:r>
        <w:rPr>
          <w:spacing w:val="-2"/>
          <w:szCs w:val="22"/>
          <w:lang w:eastAsia="en-US" w:bidi="ar-SA"/>
        </w:rPr>
        <w:t>i</w:t>
      </w:r>
      <w:r>
        <w:rPr>
          <w:spacing w:val="-3"/>
          <w:szCs w:val="22"/>
          <w:lang w:eastAsia="en-US" w:bidi="ar-SA"/>
        </w:rPr>
        <w:t>c</w:t>
      </w:r>
      <w:r>
        <w:rPr>
          <w:szCs w:val="22"/>
          <w:lang w:eastAsia="en-US" w:bidi="ar-SA"/>
        </w:rPr>
        <w:t>u</w:t>
      </w:r>
      <w:r>
        <w:rPr>
          <w:spacing w:val="1"/>
          <w:szCs w:val="22"/>
          <w:lang w:eastAsia="en-US" w:bidi="ar-SA"/>
        </w:rPr>
        <w:t>l</w:t>
      </w:r>
      <w:r>
        <w:rPr>
          <w:szCs w:val="22"/>
          <w:lang w:eastAsia="en-US" w:bidi="ar-SA"/>
        </w:rPr>
        <w:t>a</w:t>
      </w:r>
      <w:r>
        <w:rPr>
          <w:spacing w:val="-2"/>
          <w:szCs w:val="22"/>
          <w:lang w:eastAsia="en-US" w:bidi="ar-SA"/>
        </w:rPr>
        <w:t>r</w:t>
      </w:r>
      <w:r>
        <w:rPr>
          <w:szCs w:val="22"/>
          <w:lang w:eastAsia="en-US" w:bidi="ar-SA"/>
        </w:rPr>
        <w:t xml:space="preserve">ă </w:t>
      </w:r>
      <w:r>
        <w:rPr>
          <w:spacing w:val="-2"/>
          <w:szCs w:val="22"/>
          <w:lang w:eastAsia="en-US" w:bidi="ar-SA"/>
        </w:rPr>
        <w:t>l</w:t>
      </w:r>
      <w:r>
        <w:rPr>
          <w:szCs w:val="22"/>
          <w:lang w:eastAsia="en-US" w:bidi="ar-SA"/>
        </w:rPr>
        <w:t>a paci</w:t>
      </w:r>
      <w:r>
        <w:rPr>
          <w:spacing w:val="-3"/>
          <w:szCs w:val="22"/>
          <w:lang w:eastAsia="en-US" w:bidi="ar-SA"/>
        </w:rPr>
        <w:t>e</w:t>
      </w:r>
      <w:r>
        <w:rPr>
          <w:szCs w:val="22"/>
          <w:lang w:eastAsia="en-US" w:bidi="ar-SA"/>
        </w:rPr>
        <w:t>n</w:t>
      </w:r>
      <w:r>
        <w:rPr>
          <w:spacing w:val="-2"/>
          <w:szCs w:val="22"/>
          <w:lang w:eastAsia="en-US" w:bidi="ar-SA"/>
        </w:rPr>
        <w:t>ţ</w:t>
      </w:r>
      <w:r>
        <w:rPr>
          <w:szCs w:val="22"/>
          <w:lang w:eastAsia="en-US" w:bidi="ar-SA"/>
        </w:rPr>
        <w:t>i</w:t>
      </w:r>
      <w:r>
        <w:rPr>
          <w:spacing w:val="1"/>
          <w:szCs w:val="22"/>
          <w:lang w:eastAsia="en-US" w:bidi="ar-SA"/>
        </w:rPr>
        <w:t xml:space="preserve"> </w:t>
      </w:r>
      <w:r>
        <w:rPr>
          <w:szCs w:val="22"/>
          <w:lang w:eastAsia="en-US" w:bidi="ar-SA"/>
        </w:rPr>
        <w:t xml:space="preserve">cu </w:t>
      </w:r>
      <w:r>
        <w:rPr>
          <w:spacing w:val="-3"/>
          <w:szCs w:val="22"/>
          <w:lang w:eastAsia="en-US" w:bidi="ar-SA"/>
        </w:rPr>
        <w:t>v</w:t>
      </w:r>
      <w:r>
        <w:rPr>
          <w:szCs w:val="22"/>
          <w:lang w:eastAsia="en-US" w:bidi="ar-SA"/>
        </w:rPr>
        <w:t>â</w:t>
      </w:r>
      <w:r>
        <w:rPr>
          <w:spacing w:val="-2"/>
          <w:szCs w:val="22"/>
          <w:lang w:eastAsia="en-US" w:bidi="ar-SA"/>
        </w:rPr>
        <w:t>r</w:t>
      </w:r>
      <w:r>
        <w:rPr>
          <w:szCs w:val="22"/>
          <w:lang w:eastAsia="en-US" w:bidi="ar-SA"/>
        </w:rPr>
        <w:t>s</w:t>
      </w:r>
      <w:r>
        <w:rPr>
          <w:spacing w:val="1"/>
          <w:szCs w:val="22"/>
          <w:lang w:eastAsia="en-US" w:bidi="ar-SA"/>
        </w:rPr>
        <w:t>t</w:t>
      </w:r>
      <w:r>
        <w:rPr>
          <w:szCs w:val="22"/>
          <w:lang w:eastAsia="en-US" w:bidi="ar-SA"/>
        </w:rPr>
        <w:t>a</w:t>
      </w:r>
      <w:r>
        <w:rPr>
          <w:spacing w:val="-2"/>
          <w:szCs w:val="22"/>
          <w:lang w:eastAsia="en-US" w:bidi="ar-SA"/>
        </w:rPr>
        <w:t xml:space="preserve"> </w:t>
      </w:r>
      <w:r>
        <w:rPr>
          <w:spacing w:val="1"/>
          <w:szCs w:val="22"/>
          <w:lang w:eastAsia="en-US" w:bidi="ar-SA"/>
        </w:rPr>
        <w:t>de la</w:t>
      </w:r>
      <w:r>
        <w:rPr>
          <w:spacing w:val="-2"/>
          <w:szCs w:val="22"/>
          <w:lang w:eastAsia="en-US" w:bidi="ar-SA"/>
        </w:rPr>
        <w:t xml:space="preserve"> </w:t>
      </w:r>
      <w:r>
        <w:rPr>
          <w:szCs w:val="22"/>
          <w:lang w:eastAsia="en-US" w:bidi="ar-SA"/>
        </w:rPr>
        <w:t>2</w:t>
      </w:r>
      <w:r>
        <w:rPr>
          <w:spacing w:val="-3"/>
          <w:szCs w:val="22"/>
          <w:lang w:eastAsia="en-US" w:bidi="ar-SA"/>
        </w:rPr>
        <w:t xml:space="preserve"> </w:t>
      </w:r>
      <w:r>
        <w:rPr>
          <w:szCs w:val="22"/>
          <w:lang w:eastAsia="en-US" w:bidi="ar-SA"/>
        </w:rPr>
        <w:t>ani</w:t>
      </w:r>
      <w:r>
        <w:rPr>
          <w:spacing w:val="-2"/>
          <w:szCs w:val="22"/>
          <w:lang w:eastAsia="en-US" w:bidi="ar-SA"/>
        </w:rPr>
        <w:t xml:space="preserve"> </w:t>
      </w:r>
      <w:r>
        <w:rPr>
          <w:szCs w:val="22"/>
          <w:lang w:eastAsia="en-US" w:bidi="ar-SA"/>
        </w:rPr>
        <w:t>şi</w:t>
      </w:r>
      <w:r>
        <w:rPr>
          <w:spacing w:val="-2"/>
          <w:szCs w:val="22"/>
          <w:lang w:eastAsia="en-US" w:bidi="ar-SA"/>
        </w:rPr>
        <w:t xml:space="preserve"> </w:t>
      </w:r>
      <w:r>
        <w:rPr>
          <w:spacing w:val="1"/>
          <w:szCs w:val="22"/>
          <w:lang w:eastAsia="en-US" w:bidi="ar-SA"/>
        </w:rPr>
        <w:t>l</w:t>
      </w:r>
      <w:r>
        <w:rPr>
          <w:szCs w:val="22"/>
          <w:lang w:eastAsia="en-US" w:bidi="ar-SA"/>
        </w:rPr>
        <w:t>a</w:t>
      </w:r>
      <w:r>
        <w:rPr>
          <w:spacing w:val="-2"/>
          <w:szCs w:val="22"/>
          <w:lang w:eastAsia="en-US" w:bidi="ar-SA"/>
        </w:rPr>
        <w:t xml:space="preserve"> </w:t>
      </w:r>
      <w:r>
        <w:rPr>
          <w:szCs w:val="22"/>
          <w:lang w:eastAsia="en-US" w:bidi="ar-SA"/>
        </w:rPr>
        <w:t>pacie</w:t>
      </w:r>
      <w:r>
        <w:rPr>
          <w:spacing w:val="-3"/>
          <w:szCs w:val="22"/>
          <w:lang w:eastAsia="en-US" w:bidi="ar-SA"/>
        </w:rPr>
        <w:t>n</w:t>
      </w:r>
      <w:r>
        <w:rPr>
          <w:spacing w:val="1"/>
          <w:szCs w:val="22"/>
          <w:lang w:eastAsia="en-US" w:bidi="ar-SA"/>
        </w:rPr>
        <w:t>ţ</w:t>
      </w:r>
      <w:r>
        <w:rPr>
          <w:szCs w:val="22"/>
          <w:lang w:eastAsia="en-US" w:bidi="ar-SA"/>
        </w:rPr>
        <w:t>i</w:t>
      </w:r>
      <w:r>
        <w:rPr>
          <w:spacing w:val="-2"/>
          <w:szCs w:val="22"/>
          <w:lang w:eastAsia="en-US" w:bidi="ar-SA"/>
        </w:rPr>
        <w:t xml:space="preserve"> </w:t>
      </w:r>
      <w:r>
        <w:rPr>
          <w:szCs w:val="22"/>
          <w:lang w:eastAsia="en-US" w:bidi="ar-SA"/>
        </w:rPr>
        <w:t xml:space="preserve">cu </w:t>
      </w:r>
      <w:r>
        <w:rPr>
          <w:spacing w:val="-3"/>
          <w:szCs w:val="22"/>
          <w:lang w:eastAsia="en-US" w:bidi="ar-SA"/>
        </w:rPr>
        <w:t>a</w:t>
      </w:r>
      <w:r>
        <w:rPr>
          <w:szCs w:val="22"/>
          <w:lang w:eastAsia="en-US" w:bidi="ar-SA"/>
        </w:rPr>
        <w:t>r</w:t>
      </w:r>
      <w:r>
        <w:rPr>
          <w:spacing w:val="-2"/>
          <w:szCs w:val="22"/>
          <w:lang w:eastAsia="en-US" w:bidi="ar-SA"/>
        </w:rPr>
        <w:t>t</w:t>
      </w:r>
      <w:r>
        <w:rPr>
          <w:szCs w:val="22"/>
          <w:lang w:eastAsia="en-US" w:bidi="ar-SA"/>
        </w:rPr>
        <w:t>r</w:t>
      </w:r>
      <w:r>
        <w:rPr>
          <w:spacing w:val="-2"/>
          <w:szCs w:val="22"/>
          <w:lang w:eastAsia="en-US" w:bidi="ar-SA"/>
        </w:rPr>
        <w:t>i</w:t>
      </w:r>
      <w:r>
        <w:rPr>
          <w:spacing w:val="1"/>
          <w:szCs w:val="22"/>
          <w:lang w:eastAsia="en-US" w:bidi="ar-SA"/>
        </w:rPr>
        <w:t>t</w:t>
      </w:r>
      <w:r>
        <w:rPr>
          <w:szCs w:val="22"/>
          <w:lang w:eastAsia="en-US" w:bidi="ar-SA"/>
        </w:rPr>
        <w:t xml:space="preserve">ă </w:t>
      </w:r>
      <w:r>
        <w:rPr>
          <w:spacing w:val="-3"/>
          <w:szCs w:val="22"/>
          <w:lang w:eastAsia="en-US" w:bidi="ar-SA"/>
        </w:rPr>
        <w:t>a</w:t>
      </w:r>
      <w:r>
        <w:rPr>
          <w:szCs w:val="22"/>
          <w:lang w:eastAsia="en-US" w:bidi="ar-SA"/>
        </w:rPr>
        <w:t>so</w:t>
      </w:r>
      <w:r>
        <w:rPr>
          <w:spacing w:val="-3"/>
          <w:szCs w:val="22"/>
          <w:lang w:eastAsia="en-US" w:bidi="ar-SA"/>
        </w:rPr>
        <w:t>c</w:t>
      </w:r>
      <w:r>
        <w:rPr>
          <w:spacing w:val="1"/>
          <w:szCs w:val="22"/>
          <w:lang w:eastAsia="en-US" w:bidi="ar-SA"/>
        </w:rPr>
        <w:t>i</w:t>
      </w:r>
      <w:r>
        <w:rPr>
          <w:spacing w:val="-3"/>
          <w:szCs w:val="22"/>
          <w:lang w:eastAsia="en-US" w:bidi="ar-SA"/>
        </w:rPr>
        <w:t>a</w:t>
      </w:r>
      <w:r>
        <w:rPr>
          <w:spacing w:val="1"/>
          <w:szCs w:val="22"/>
          <w:lang w:eastAsia="en-US" w:bidi="ar-SA"/>
        </w:rPr>
        <w:t>t</w:t>
      </w:r>
      <w:r>
        <w:rPr>
          <w:szCs w:val="22"/>
          <w:lang w:eastAsia="en-US" w:bidi="ar-SA"/>
        </w:rPr>
        <w:t>ă e</w:t>
      </w:r>
      <w:r>
        <w:rPr>
          <w:spacing w:val="-3"/>
          <w:szCs w:val="22"/>
          <w:lang w:eastAsia="en-US" w:bidi="ar-SA"/>
        </w:rPr>
        <w:t>n</w:t>
      </w:r>
      <w:r>
        <w:rPr>
          <w:spacing w:val="-2"/>
          <w:szCs w:val="22"/>
          <w:lang w:eastAsia="en-US" w:bidi="ar-SA"/>
        </w:rPr>
        <w:t>t</w:t>
      </w:r>
      <w:r>
        <w:rPr>
          <w:szCs w:val="22"/>
          <w:lang w:eastAsia="en-US" w:bidi="ar-SA"/>
        </w:rPr>
        <w:t>e</w:t>
      </w:r>
      <w:r>
        <w:rPr>
          <w:spacing w:val="-3"/>
          <w:szCs w:val="22"/>
          <w:lang w:eastAsia="en-US" w:bidi="ar-SA"/>
        </w:rPr>
        <w:t>z</w:t>
      </w:r>
      <w:r>
        <w:rPr>
          <w:spacing w:val="1"/>
          <w:szCs w:val="22"/>
          <w:lang w:eastAsia="en-US" w:bidi="ar-SA"/>
        </w:rPr>
        <w:t>it</w:t>
      </w:r>
      <w:r>
        <w:rPr>
          <w:spacing w:val="-3"/>
          <w:szCs w:val="22"/>
          <w:lang w:eastAsia="en-US" w:bidi="ar-SA"/>
        </w:rPr>
        <w:t>e</w:t>
      </w:r>
      <w:r>
        <w:rPr>
          <w:szCs w:val="22"/>
          <w:lang w:eastAsia="en-US" w:bidi="ar-SA"/>
        </w:rPr>
        <w:t>i</w:t>
      </w:r>
      <w:r>
        <w:rPr>
          <w:spacing w:val="1"/>
          <w:szCs w:val="22"/>
          <w:lang w:eastAsia="en-US" w:bidi="ar-SA"/>
        </w:rPr>
        <w:t xml:space="preserve"> </w:t>
      </w:r>
      <w:r>
        <w:rPr>
          <w:szCs w:val="22"/>
          <w:lang w:eastAsia="en-US" w:bidi="ar-SA"/>
        </w:rPr>
        <w:t xml:space="preserve">cu </w:t>
      </w:r>
      <w:r>
        <w:rPr>
          <w:spacing w:val="-3"/>
          <w:szCs w:val="22"/>
          <w:lang w:eastAsia="en-US" w:bidi="ar-SA"/>
        </w:rPr>
        <w:t>v</w:t>
      </w:r>
      <w:r>
        <w:rPr>
          <w:szCs w:val="22"/>
          <w:lang w:eastAsia="en-US" w:bidi="ar-SA"/>
        </w:rPr>
        <w:t>âr</w:t>
      </w:r>
      <w:r>
        <w:rPr>
          <w:spacing w:val="-2"/>
          <w:szCs w:val="22"/>
          <w:lang w:eastAsia="en-US" w:bidi="ar-SA"/>
        </w:rPr>
        <w:t>s</w:t>
      </w:r>
      <w:r>
        <w:rPr>
          <w:spacing w:val="1"/>
          <w:szCs w:val="22"/>
          <w:lang w:eastAsia="en-US" w:bidi="ar-SA"/>
        </w:rPr>
        <w:t>t</w:t>
      </w:r>
      <w:r>
        <w:rPr>
          <w:szCs w:val="22"/>
          <w:lang w:eastAsia="en-US" w:bidi="ar-SA"/>
        </w:rPr>
        <w:t xml:space="preserve">a </w:t>
      </w:r>
      <w:r>
        <w:rPr>
          <w:spacing w:val="1"/>
          <w:szCs w:val="22"/>
          <w:lang w:eastAsia="en-US" w:bidi="ar-SA"/>
        </w:rPr>
        <w:t>de la</w:t>
      </w:r>
      <w:r>
        <w:rPr>
          <w:szCs w:val="22"/>
          <w:lang w:eastAsia="en-US" w:bidi="ar-SA"/>
        </w:rPr>
        <w:t xml:space="preserve"> 6 ani. </w:t>
      </w:r>
      <w:r>
        <w:rPr>
          <w:spacing w:val="-1"/>
          <w:szCs w:val="22"/>
          <w:lang w:eastAsia="en-US" w:bidi="ar-SA"/>
        </w:rPr>
        <w:t>E</w:t>
      </w:r>
      <w:r>
        <w:rPr>
          <w:spacing w:val="-2"/>
          <w:szCs w:val="22"/>
          <w:lang w:eastAsia="en-US" w:bidi="ar-SA"/>
        </w:rPr>
        <w:t>s</w:t>
      </w:r>
      <w:r>
        <w:rPr>
          <w:spacing w:val="1"/>
          <w:szCs w:val="22"/>
          <w:lang w:eastAsia="en-US" w:bidi="ar-SA"/>
        </w:rPr>
        <w:t>t</w:t>
      </w:r>
      <w:r>
        <w:rPr>
          <w:szCs w:val="22"/>
          <w:lang w:eastAsia="en-US" w:bidi="ar-SA"/>
        </w:rPr>
        <w:t>e p</w:t>
      </w:r>
      <w:r>
        <w:rPr>
          <w:spacing w:val="-3"/>
          <w:szCs w:val="22"/>
          <w:lang w:eastAsia="en-US" w:bidi="ar-SA"/>
        </w:rPr>
        <w:t>o</w:t>
      </w:r>
      <w:r>
        <w:rPr>
          <w:szCs w:val="22"/>
          <w:lang w:eastAsia="en-US" w:bidi="ar-SA"/>
        </w:rPr>
        <w:t>s</w:t>
      </w:r>
      <w:r>
        <w:rPr>
          <w:spacing w:val="1"/>
          <w:szCs w:val="22"/>
          <w:lang w:eastAsia="en-US" w:bidi="ar-SA"/>
        </w:rPr>
        <w:t>i</w:t>
      </w:r>
      <w:r>
        <w:rPr>
          <w:spacing w:val="-3"/>
          <w:szCs w:val="22"/>
          <w:lang w:eastAsia="en-US" w:bidi="ar-SA"/>
        </w:rPr>
        <w:t>b</w:t>
      </w:r>
      <w:r>
        <w:rPr>
          <w:spacing w:val="-2"/>
          <w:szCs w:val="22"/>
          <w:lang w:eastAsia="en-US" w:bidi="ar-SA"/>
        </w:rPr>
        <w:t>i</w:t>
      </w:r>
      <w:r>
        <w:rPr>
          <w:szCs w:val="22"/>
          <w:lang w:eastAsia="en-US" w:bidi="ar-SA"/>
        </w:rPr>
        <w:t>l</w:t>
      </w:r>
      <w:r>
        <w:rPr>
          <w:spacing w:val="1"/>
          <w:szCs w:val="22"/>
          <w:lang w:eastAsia="en-US" w:bidi="ar-SA"/>
        </w:rPr>
        <w:t xml:space="preserve"> </w:t>
      </w:r>
      <w:r>
        <w:rPr>
          <w:szCs w:val="22"/>
          <w:lang w:eastAsia="en-US" w:bidi="ar-SA"/>
        </w:rPr>
        <w:t xml:space="preserve">să </w:t>
      </w:r>
      <w:r>
        <w:rPr>
          <w:spacing w:val="-3"/>
          <w:szCs w:val="22"/>
          <w:lang w:eastAsia="en-US" w:bidi="ar-SA"/>
        </w:rPr>
        <w:t>v</w:t>
      </w:r>
      <w:r>
        <w:rPr>
          <w:szCs w:val="22"/>
          <w:lang w:eastAsia="en-US" w:bidi="ar-SA"/>
        </w:rPr>
        <w:t>i</w:t>
      </w:r>
      <w:r>
        <w:rPr>
          <w:spacing w:val="1"/>
          <w:szCs w:val="22"/>
          <w:lang w:eastAsia="en-US" w:bidi="ar-SA"/>
        </w:rPr>
        <w:t xml:space="preserve"> </w:t>
      </w:r>
      <w:r>
        <w:rPr>
          <w:spacing w:val="-2"/>
          <w:szCs w:val="22"/>
          <w:lang w:eastAsia="en-US" w:bidi="ar-SA"/>
        </w:rPr>
        <w:t>s</w:t>
      </w:r>
      <w:r>
        <w:rPr>
          <w:szCs w:val="22"/>
          <w:lang w:eastAsia="en-US" w:bidi="ar-SA"/>
        </w:rPr>
        <w:t>e ad</w:t>
      </w:r>
      <w:r>
        <w:rPr>
          <w:spacing w:val="-4"/>
          <w:szCs w:val="22"/>
          <w:lang w:eastAsia="en-US" w:bidi="ar-SA"/>
        </w:rPr>
        <w:t>m</w:t>
      </w:r>
      <w:r>
        <w:rPr>
          <w:spacing w:val="1"/>
          <w:szCs w:val="22"/>
          <w:lang w:eastAsia="en-US" w:bidi="ar-SA"/>
        </w:rPr>
        <w:t>i</w:t>
      </w:r>
      <w:r>
        <w:rPr>
          <w:szCs w:val="22"/>
          <w:lang w:eastAsia="en-US" w:bidi="ar-SA"/>
        </w:rPr>
        <w:t>n</w:t>
      </w:r>
      <w:r>
        <w:rPr>
          <w:spacing w:val="-2"/>
          <w:szCs w:val="22"/>
          <w:lang w:eastAsia="en-US" w:bidi="ar-SA"/>
        </w:rPr>
        <w:t>i</w:t>
      </w:r>
      <w:r>
        <w:rPr>
          <w:szCs w:val="22"/>
          <w:lang w:eastAsia="en-US" w:bidi="ar-SA"/>
        </w:rPr>
        <w:t>s</w:t>
      </w:r>
      <w:r>
        <w:rPr>
          <w:spacing w:val="-2"/>
          <w:szCs w:val="22"/>
          <w:lang w:eastAsia="en-US" w:bidi="ar-SA"/>
        </w:rPr>
        <w:t>t</w:t>
      </w:r>
      <w:r>
        <w:rPr>
          <w:szCs w:val="22"/>
          <w:lang w:eastAsia="en-US" w:bidi="ar-SA"/>
        </w:rPr>
        <w:t>re</w:t>
      </w:r>
      <w:r>
        <w:rPr>
          <w:spacing w:val="-3"/>
          <w:szCs w:val="22"/>
          <w:lang w:eastAsia="en-US" w:bidi="ar-SA"/>
        </w:rPr>
        <w:t>z</w:t>
      </w:r>
      <w:r>
        <w:rPr>
          <w:szCs w:val="22"/>
          <w:lang w:eastAsia="en-US" w:bidi="ar-SA"/>
        </w:rPr>
        <w:t xml:space="preserve">e </w:t>
      </w:r>
      <w:r>
        <w:rPr>
          <w:spacing w:val="1"/>
          <w:szCs w:val="22"/>
          <w:lang w:eastAsia="en-US" w:bidi="ar-SA"/>
        </w:rPr>
        <w:t>î</w:t>
      </w:r>
      <w:r>
        <w:rPr>
          <w:spacing w:val="-3"/>
          <w:szCs w:val="22"/>
          <w:lang w:eastAsia="en-US" w:bidi="ar-SA"/>
        </w:rPr>
        <w:t>n</w:t>
      </w:r>
      <w:r>
        <w:rPr>
          <w:spacing w:val="1"/>
          <w:szCs w:val="22"/>
          <w:lang w:eastAsia="en-US" w:bidi="ar-SA"/>
        </w:rPr>
        <w:t>t</w:t>
      </w:r>
      <w:r>
        <w:rPr>
          <w:spacing w:val="-3"/>
          <w:szCs w:val="22"/>
          <w:lang w:eastAsia="en-US" w:bidi="ar-SA"/>
        </w:rPr>
        <w:t>â</w:t>
      </w:r>
      <w:r>
        <w:rPr>
          <w:szCs w:val="22"/>
          <w:lang w:eastAsia="en-US" w:bidi="ar-SA"/>
        </w:rPr>
        <w:t>i</w:t>
      </w:r>
      <w:r>
        <w:rPr>
          <w:spacing w:val="-2"/>
          <w:szCs w:val="22"/>
          <w:lang w:eastAsia="en-US" w:bidi="ar-SA"/>
        </w:rPr>
        <w:t xml:space="preserve"> </w:t>
      </w:r>
      <w:r>
        <w:rPr>
          <w:szCs w:val="22"/>
          <w:lang w:eastAsia="en-US" w:bidi="ar-SA"/>
        </w:rPr>
        <w:t>a</w:t>
      </w:r>
      <w:r>
        <w:rPr>
          <w:spacing w:val="1"/>
          <w:szCs w:val="22"/>
          <w:lang w:eastAsia="en-US" w:bidi="ar-SA"/>
        </w:rPr>
        <w:t>l</w:t>
      </w:r>
      <w:r>
        <w:rPr>
          <w:spacing w:val="-2"/>
          <w:szCs w:val="22"/>
          <w:lang w:eastAsia="en-US" w:bidi="ar-SA"/>
        </w:rPr>
        <w:t>t</w:t>
      </w:r>
      <w:r>
        <w:rPr>
          <w:szCs w:val="22"/>
          <w:lang w:eastAsia="en-US" w:bidi="ar-SA"/>
        </w:rPr>
        <w:t xml:space="preserve">e </w:t>
      </w:r>
      <w:r>
        <w:rPr>
          <w:spacing w:val="-4"/>
          <w:szCs w:val="22"/>
          <w:lang w:eastAsia="en-US" w:bidi="ar-SA"/>
        </w:rPr>
        <w:t>m</w:t>
      </w:r>
      <w:r>
        <w:rPr>
          <w:szCs w:val="22"/>
          <w:lang w:eastAsia="en-US" w:bidi="ar-SA"/>
        </w:rPr>
        <w:t>ed</w:t>
      </w:r>
      <w:r>
        <w:rPr>
          <w:spacing w:val="1"/>
          <w:szCs w:val="22"/>
          <w:lang w:eastAsia="en-US" w:bidi="ar-SA"/>
        </w:rPr>
        <w:t>i</w:t>
      </w:r>
      <w:r>
        <w:rPr>
          <w:szCs w:val="22"/>
          <w:lang w:eastAsia="en-US" w:bidi="ar-SA"/>
        </w:rPr>
        <w:t>ca</w:t>
      </w:r>
      <w:r>
        <w:rPr>
          <w:spacing w:val="-4"/>
          <w:szCs w:val="22"/>
          <w:lang w:eastAsia="en-US" w:bidi="ar-SA"/>
        </w:rPr>
        <w:t>m</w:t>
      </w:r>
      <w:r>
        <w:rPr>
          <w:szCs w:val="22"/>
          <w:lang w:eastAsia="en-US" w:bidi="ar-SA"/>
        </w:rPr>
        <w:t>en</w:t>
      </w:r>
      <w:r>
        <w:rPr>
          <w:spacing w:val="1"/>
          <w:szCs w:val="22"/>
          <w:lang w:eastAsia="en-US" w:bidi="ar-SA"/>
        </w:rPr>
        <w:t>t</w:t>
      </w:r>
      <w:r>
        <w:rPr>
          <w:szCs w:val="22"/>
          <w:lang w:eastAsia="en-US" w:bidi="ar-SA"/>
        </w:rPr>
        <w:t xml:space="preserve">e </w:t>
      </w:r>
      <w:r>
        <w:rPr>
          <w:spacing w:val="-3"/>
          <w:szCs w:val="22"/>
          <w:lang w:eastAsia="en-US" w:bidi="ar-SA"/>
        </w:rPr>
        <w:t>c</w:t>
      </w:r>
      <w:r>
        <w:rPr>
          <w:szCs w:val="22"/>
          <w:lang w:eastAsia="en-US" w:bidi="ar-SA"/>
        </w:rPr>
        <w:t>a</w:t>
      </w:r>
      <w:r>
        <w:rPr>
          <w:spacing w:val="-2"/>
          <w:szCs w:val="22"/>
          <w:lang w:eastAsia="en-US" w:bidi="ar-SA"/>
        </w:rPr>
        <w:t>r</w:t>
      </w:r>
      <w:r>
        <w:rPr>
          <w:szCs w:val="22"/>
          <w:lang w:eastAsia="en-US" w:bidi="ar-SA"/>
        </w:rPr>
        <w:t xml:space="preserve">e </w:t>
      </w:r>
      <w:r>
        <w:rPr>
          <w:spacing w:val="-4"/>
          <w:szCs w:val="22"/>
          <w:lang w:eastAsia="en-US" w:bidi="ar-SA"/>
        </w:rPr>
        <w:t>m</w:t>
      </w:r>
      <w:r>
        <w:rPr>
          <w:szCs w:val="22"/>
          <w:lang w:eastAsia="en-US" w:bidi="ar-SA"/>
        </w:rPr>
        <w:t>od</w:t>
      </w:r>
      <w:r>
        <w:rPr>
          <w:spacing w:val="1"/>
          <w:szCs w:val="22"/>
          <w:lang w:eastAsia="en-US" w:bidi="ar-SA"/>
        </w:rPr>
        <w:t>i</w:t>
      </w:r>
      <w:r>
        <w:rPr>
          <w:spacing w:val="-2"/>
          <w:szCs w:val="22"/>
          <w:lang w:eastAsia="en-US" w:bidi="ar-SA"/>
        </w:rPr>
        <w:t>f</w:t>
      </w:r>
      <w:r>
        <w:rPr>
          <w:spacing w:val="1"/>
          <w:szCs w:val="22"/>
          <w:lang w:eastAsia="en-US" w:bidi="ar-SA"/>
        </w:rPr>
        <w:t>i</w:t>
      </w:r>
      <w:r>
        <w:rPr>
          <w:szCs w:val="22"/>
          <w:lang w:eastAsia="en-US" w:bidi="ar-SA"/>
        </w:rPr>
        <w:t>că</w:t>
      </w:r>
      <w:r>
        <w:rPr>
          <w:spacing w:val="-2"/>
          <w:szCs w:val="22"/>
          <w:lang w:eastAsia="en-US" w:bidi="ar-SA"/>
        </w:rPr>
        <w:t xml:space="preserve"> </w:t>
      </w:r>
      <w:r>
        <w:rPr>
          <w:szCs w:val="22"/>
          <w:lang w:eastAsia="en-US" w:bidi="ar-SA"/>
        </w:rPr>
        <w:t>e</w:t>
      </w:r>
      <w:r>
        <w:rPr>
          <w:spacing w:val="-3"/>
          <w:szCs w:val="22"/>
          <w:lang w:eastAsia="en-US" w:bidi="ar-SA"/>
        </w:rPr>
        <w:t>v</w:t>
      </w:r>
      <w:r>
        <w:rPr>
          <w:szCs w:val="22"/>
          <w:lang w:eastAsia="en-US" w:bidi="ar-SA"/>
        </w:rPr>
        <w:t>o</w:t>
      </w:r>
      <w:r>
        <w:rPr>
          <w:spacing w:val="1"/>
          <w:szCs w:val="22"/>
          <w:lang w:eastAsia="en-US" w:bidi="ar-SA"/>
        </w:rPr>
        <w:t>l</w:t>
      </w:r>
      <w:r>
        <w:rPr>
          <w:szCs w:val="22"/>
          <w:lang w:eastAsia="en-US" w:bidi="ar-SA"/>
        </w:rPr>
        <w:t>u</w:t>
      </w:r>
      <w:r>
        <w:rPr>
          <w:spacing w:val="-2"/>
          <w:szCs w:val="22"/>
          <w:lang w:eastAsia="en-US" w:bidi="ar-SA"/>
        </w:rPr>
        <w:t>ţ</w:t>
      </w:r>
      <w:r>
        <w:rPr>
          <w:spacing w:val="1"/>
          <w:szCs w:val="22"/>
          <w:lang w:eastAsia="en-US" w:bidi="ar-SA"/>
        </w:rPr>
        <w:t>i</w:t>
      </w:r>
      <w:r>
        <w:rPr>
          <w:szCs w:val="22"/>
          <w:lang w:eastAsia="en-US" w:bidi="ar-SA"/>
        </w:rPr>
        <w:t>a b</w:t>
      </w:r>
      <w:r>
        <w:rPr>
          <w:spacing w:val="-3"/>
          <w:szCs w:val="22"/>
          <w:lang w:eastAsia="en-US" w:bidi="ar-SA"/>
        </w:rPr>
        <w:t>o</w:t>
      </w:r>
      <w:r>
        <w:rPr>
          <w:spacing w:val="1"/>
          <w:szCs w:val="22"/>
          <w:lang w:eastAsia="en-US" w:bidi="ar-SA"/>
        </w:rPr>
        <w:t>l</w:t>
      </w:r>
      <w:r>
        <w:rPr>
          <w:spacing w:val="-2"/>
          <w:szCs w:val="22"/>
          <w:lang w:eastAsia="en-US" w:bidi="ar-SA"/>
        </w:rPr>
        <w:t>i</w:t>
      </w:r>
      <w:r>
        <w:rPr>
          <w:spacing w:val="1"/>
          <w:szCs w:val="22"/>
          <w:lang w:eastAsia="en-US" w:bidi="ar-SA"/>
        </w:rPr>
        <w:t>i</w:t>
      </w:r>
      <w:r>
        <w:rPr>
          <w:szCs w:val="22"/>
          <w:lang w:eastAsia="en-US" w:bidi="ar-SA"/>
        </w:rPr>
        <w:t>, cum</w:t>
      </w:r>
      <w:r>
        <w:rPr>
          <w:spacing w:val="-4"/>
          <w:szCs w:val="22"/>
          <w:lang w:eastAsia="en-US" w:bidi="ar-SA"/>
        </w:rPr>
        <w:t xml:space="preserve"> </w:t>
      </w:r>
      <w:r>
        <w:rPr>
          <w:szCs w:val="22"/>
          <w:lang w:eastAsia="en-US" w:bidi="ar-SA"/>
        </w:rPr>
        <w:t>es</w:t>
      </w:r>
      <w:r>
        <w:rPr>
          <w:spacing w:val="1"/>
          <w:szCs w:val="22"/>
          <w:lang w:eastAsia="en-US" w:bidi="ar-SA"/>
        </w:rPr>
        <w:t>t</w:t>
      </w:r>
      <w:r>
        <w:rPr>
          <w:szCs w:val="22"/>
          <w:lang w:eastAsia="en-US" w:bidi="ar-SA"/>
        </w:rPr>
        <w:t xml:space="preserve">e </w:t>
      </w:r>
      <w:r>
        <w:rPr>
          <w:spacing w:val="-4"/>
          <w:szCs w:val="22"/>
          <w:lang w:eastAsia="en-US" w:bidi="ar-SA"/>
        </w:rPr>
        <w:t>m</w:t>
      </w:r>
      <w:r>
        <w:rPr>
          <w:szCs w:val="22"/>
          <w:lang w:eastAsia="en-US" w:bidi="ar-SA"/>
        </w:rPr>
        <w:t>e</w:t>
      </w:r>
      <w:r>
        <w:rPr>
          <w:spacing w:val="1"/>
          <w:szCs w:val="22"/>
          <w:lang w:eastAsia="en-US" w:bidi="ar-SA"/>
        </w:rPr>
        <w:t>t</w:t>
      </w:r>
      <w:r>
        <w:rPr>
          <w:szCs w:val="22"/>
          <w:lang w:eastAsia="en-US" w:bidi="ar-SA"/>
        </w:rPr>
        <w:t>o</w:t>
      </w:r>
      <w:r>
        <w:rPr>
          <w:spacing w:val="-2"/>
          <w:szCs w:val="22"/>
          <w:lang w:eastAsia="en-US" w:bidi="ar-SA"/>
        </w:rPr>
        <w:t>t</w:t>
      </w:r>
      <w:r>
        <w:rPr>
          <w:szCs w:val="22"/>
          <w:lang w:eastAsia="en-US" w:bidi="ar-SA"/>
        </w:rPr>
        <w:t>rex</w:t>
      </w:r>
      <w:r>
        <w:rPr>
          <w:spacing w:val="-3"/>
          <w:szCs w:val="22"/>
          <w:lang w:eastAsia="en-US" w:bidi="ar-SA"/>
        </w:rPr>
        <w:t>a</w:t>
      </w:r>
      <w:r>
        <w:rPr>
          <w:szCs w:val="22"/>
          <w:lang w:eastAsia="en-US" w:bidi="ar-SA"/>
        </w:rPr>
        <w:t xml:space="preserve">t. </w:t>
      </w:r>
      <w:r>
        <w:rPr>
          <w:spacing w:val="-1"/>
        </w:rPr>
        <w:t>D</w:t>
      </w:r>
      <w:r>
        <w:t>a</w:t>
      </w:r>
      <w:r>
        <w:rPr>
          <w:spacing w:val="-3"/>
        </w:rPr>
        <w:t>c</w:t>
      </w:r>
      <w:r>
        <w:t>ă</w:t>
      </w:r>
      <w:r>
        <w:rPr>
          <w:spacing w:val="-2"/>
        </w:rPr>
        <w:t xml:space="preserve"> </w:t>
      </w:r>
      <w:r>
        <w:t>nu r</w:t>
      </w:r>
      <w:r>
        <w:rPr>
          <w:spacing w:val="-3"/>
        </w:rPr>
        <w:t>ă</w:t>
      </w:r>
      <w:r>
        <w:t>spund</w:t>
      </w:r>
      <w:r>
        <w:rPr>
          <w:spacing w:val="-3"/>
        </w:rPr>
        <w:t>e</w:t>
      </w:r>
      <w:r>
        <w:rPr>
          <w:spacing w:val="-2"/>
        </w:rPr>
        <w:t>ţ</w:t>
      </w:r>
      <w:r>
        <w:t>i</w:t>
      </w:r>
      <w:r>
        <w:rPr>
          <w:spacing w:val="1"/>
        </w:rPr>
        <w:t xml:space="preserve"> </w:t>
      </w:r>
      <w:r>
        <w:t>s</w:t>
      </w:r>
      <w:r>
        <w:rPr>
          <w:spacing w:val="-3"/>
        </w:rPr>
        <w:t>u</w:t>
      </w:r>
      <w:r>
        <w:t>f</w:t>
      </w:r>
      <w:r>
        <w:rPr>
          <w:spacing w:val="1"/>
        </w:rPr>
        <w:t>i</w:t>
      </w:r>
      <w:r>
        <w:rPr>
          <w:spacing w:val="-3"/>
        </w:rPr>
        <w:t>c</w:t>
      </w:r>
      <w:r>
        <w:rPr>
          <w:spacing w:val="1"/>
        </w:rPr>
        <w:t>i</w:t>
      </w:r>
      <w:r>
        <w:t>e</w:t>
      </w:r>
      <w:r>
        <w:rPr>
          <w:spacing w:val="-3"/>
        </w:rPr>
        <w:t>n</w:t>
      </w:r>
      <w:r>
        <w:t>t</w:t>
      </w:r>
      <w:r>
        <w:rPr>
          <w:spacing w:val="1"/>
        </w:rPr>
        <w:t xml:space="preserve"> </w:t>
      </w:r>
      <w:r>
        <w:rPr>
          <w:spacing w:val="-3"/>
        </w:rPr>
        <w:t>d</w:t>
      </w:r>
      <w:r>
        <w:t xml:space="preserve">e </w:t>
      </w:r>
      <w:r>
        <w:rPr>
          <w:spacing w:val="-3"/>
        </w:rPr>
        <w:t>b</w:t>
      </w:r>
      <w:r>
        <w:rPr>
          <w:spacing w:val="1"/>
        </w:rPr>
        <w:t>i</w:t>
      </w:r>
      <w:r>
        <w:t>ne</w:t>
      </w:r>
      <w:r>
        <w:rPr>
          <w:spacing w:val="-2"/>
        </w:rPr>
        <w:t xml:space="preserve"> </w:t>
      </w:r>
      <w:r>
        <w:rPr>
          <w:spacing w:val="1"/>
        </w:rPr>
        <w:t>l</w:t>
      </w:r>
      <w:r>
        <w:t xml:space="preserve">a </w:t>
      </w:r>
      <w:r>
        <w:rPr>
          <w:spacing w:val="-3"/>
        </w:rPr>
        <w:t>a</w:t>
      </w:r>
      <w:r>
        <w:t>ce</w:t>
      </w:r>
      <w:r>
        <w:rPr>
          <w:spacing w:val="-2"/>
        </w:rP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e,</w:t>
      </w:r>
      <w:r>
        <w:rPr>
          <w:spacing w:val="-3"/>
        </w:rPr>
        <w:t xml:space="preserve"> v</w:t>
      </w:r>
      <w:r>
        <w:t>i</w:t>
      </w:r>
      <w:r>
        <w:rPr>
          <w:spacing w:val="1"/>
        </w:rPr>
        <w:t xml:space="preserve"> </w:t>
      </w:r>
      <w:r>
        <w:t xml:space="preserve">se </w:t>
      </w:r>
      <w:r>
        <w:rPr>
          <w:spacing w:val="-3"/>
        </w:rPr>
        <w:t>v</w:t>
      </w:r>
      <w:r>
        <w:t>a ad</w:t>
      </w:r>
      <w:r>
        <w:rPr>
          <w:spacing w:val="-4"/>
        </w:rPr>
        <w:t>m</w:t>
      </w:r>
      <w:r>
        <w:rPr>
          <w:spacing w:val="1"/>
        </w:rPr>
        <w:t>i</w:t>
      </w:r>
      <w:r>
        <w:t>n</w:t>
      </w:r>
      <w:r>
        <w:rPr>
          <w:spacing w:val="1"/>
        </w:rPr>
        <w:t>i</w:t>
      </w:r>
      <w:r>
        <w:t>s</w:t>
      </w:r>
      <w:r>
        <w:rPr>
          <w:spacing w:val="-2"/>
        </w:rPr>
        <w:t>t</w:t>
      </w:r>
      <w:r>
        <w:t xml:space="preserve">ra </w:t>
      </w:r>
      <w:r>
        <w:rPr>
          <w:spacing w:val="-1"/>
          <w:szCs w:val="22"/>
          <w:lang w:eastAsia="en-US" w:bidi="ar-SA"/>
        </w:rPr>
        <w:t>AMGEVITA</w:t>
      </w:r>
      <w:r>
        <w:t xml:space="preserve"> în </w:t>
      </w:r>
      <w:r>
        <w:rPr>
          <w:spacing w:val="-3"/>
        </w:rPr>
        <w:t>v</w:t>
      </w:r>
      <w:r>
        <w:t>ede</w:t>
      </w:r>
      <w:r>
        <w:rPr>
          <w:spacing w:val="-2"/>
        </w:rPr>
        <w:t>r</w:t>
      </w:r>
      <w:r>
        <w:t xml:space="preserve">ea </w:t>
      </w:r>
      <w:r>
        <w:rPr>
          <w:spacing w:val="-2"/>
        </w:rPr>
        <w:t>t</w:t>
      </w:r>
      <w:r>
        <w:t>r</w:t>
      </w:r>
      <w:r>
        <w:rPr>
          <w:spacing w:val="-3"/>
        </w:rPr>
        <w:t>a</w:t>
      </w:r>
      <w:r>
        <w:rPr>
          <w:spacing w:val="1"/>
        </w:rPr>
        <w:t>t</w:t>
      </w:r>
      <w:r>
        <w:rPr>
          <w:spacing w:val="-3"/>
        </w:rPr>
        <w:t>ă</w:t>
      </w:r>
      <w:r>
        <w:t>r</w:t>
      </w:r>
      <w:r>
        <w:rPr>
          <w:spacing w:val="-2"/>
        </w:rPr>
        <w:t>i</w:t>
      </w:r>
      <w:r>
        <w:t>i</w:t>
      </w:r>
      <w:r>
        <w:rPr>
          <w:spacing w:val="1"/>
        </w:rPr>
        <w:t xml:space="preserve"> </w:t>
      </w:r>
      <w:r>
        <w:rPr>
          <w:spacing w:val="-3"/>
        </w:rPr>
        <w:t>a</w:t>
      </w:r>
      <w:r>
        <w:t>r</w:t>
      </w:r>
      <w:r>
        <w:rPr>
          <w:spacing w:val="1"/>
        </w:rPr>
        <w:t>t</w:t>
      </w:r>
      <w:r>
        <w:rPr>
          <w:spacing w:val="-2"/>
        </w:rPr>
        <w:t>ri</w:t>
      </w:r>
      <w:r>
        <w:rPr>
          <w:spacing w:val="1"/>
        </w:rPr>
        <w:t>t</w:t>
      </w:r>
      <w:r>
        <w:t>ei</w:t>
      </w:r>
      <w:r>
        <w:rPr>
          <w:spacing w:val="-2"/>
        </w:rPr>
        <w:t xml:space="preserve"> </w:t>
      </w:r>
      <w:r>
        <w:t>du</w:t>
      </w:r>
      <w:r>
        <w:rPr>
          <w:spacing w:val="-4"/>
        </w:rPr>
        <w:t>m</w:t>
      </w:r>
      <w:r>
        <w:t>nea</w:t>
      </w:r>
      <w:r>
        <w:rPr>
          <w:spacing w:val="-3"/>
        </w:rPr>
        <w:t>v</w:t>
      </w:r>
      <w:r>
        <w:t>oas</w:t>
      </w:r>
      <w:r>
        <w:rPr>
          <w:spacing w:val="1"/>
        </w:rPr>
        <w:t>t</w:t>
      </w:r>
      <w:r>
        <w:rPr>
          <w:spacing w:val="-2"/>
        </w:rPr>
        <w:t>r</w:t>
      </w:r>
      <w:r>
        <w:t>ă r</w:t>
      </w:r>
      <w:r>
        <w:rPr>
          <w:spacing w:val="-3"/>
        </w:rPr>
        <w:t>e</w:t>
      </w:r>
      <w:r>
        <w:t>u</w:t>
      </w:r>
      <w:r>
        <w:rPr>
          <w:spacing w:val="-2"/>
        </w:rPr>
        <w:t>m</w:t>
      </w:r>
      <w:r>
        <w:t>a</w:t>
      </w:r>
      <w:r>
        <w:rPr>
          <w:spacing w:val="1"/>
        </w:rPr>
        <w:t>t</w:t>
      </w:r>
      <w:r>
        <w:rPr>
          <w:spacing w:val="-3"/>
        </w:rPr>
        <w:t>o</w:t>
      </w:r>
      <w:r>
        <w:rPr>
          <w:spacing w:val="1"/>
        </w:rPr>
        <w:t>i</w:t>
      </w:r>
      <w:r>
        <w:t>de</w:t>
      </w:r>
      <w:r>
        <w:rPr>
          <w:spacing w:val="-2"/>
        </w:rPr>
        <w:t xml:space="preserve"> </w:t>
      </w:r>
      <w:r>
        <w:rPr>
          <w:spacing w:val="1"/>
        </w:rPr>
        <w:t>i</w:t>
      </w:r>
      <w:r>
        <w:t>d</w:t>
      </w:r>
      <w:r>
        <w:rPr>
          <w:spacing w:val="1"/>
        </w:rPr>
        <w:t>i</w:t>
      </w:r>
      <w:r>
        <w:rPr>
          <w:spacing w:val="-3"/>
        </w:rPr>
        <w:t>o</w:t>
      </w:r>
      <w:r>
        <w:t>pa</w:t>
      </w:r>
      <w:r>
        <w:rPr>
          <w:spacing w:val="-2"/>
        </w:rPr>
        <w:t>t</w:t>
      </w:r>
      <w:r>
        <w:rPr>
          <w:spacing w:val="1"/>
        </w:rPr>
        <w:t>i</w:t>
      </w:r>
      <w:r>
        <w:rPr>
          <w:spacing w:val="-3"/>
        </w:rPr>
        <w:t>c</w:t>
      </w:r>
      <w:r>
        <w:t>e</w:t>
      </w:r>
      <w:r>
        <w:rPr>
          <w:spacing w:val="-2"/>
        </w:rPr>
        <w:t xml:space="preserve"> </w:t>
      </w:r>
      <w:r>
        <w:rPr>
          <w:spacing w:val="3"/>
        </w:rPr>
        <w:t>j</w:t>
      </w:r>
      <w:r>
        <w:t>u</w:t>
      </w:r>
      <w:r>
        <w:rPr>
          <w:spacing w:val="-3"/>
        </w:rPr>
        <w:t>v</w:t>
      </w:r>
      <w:r>
        <w:t>e</w:t>
      </w:r>
      <w:r>
        <w:rPr>
          <w:spacing w:val="-3"/>
        </w:rPr>
        <w:t>n</w:t>
      </w:r>
      <w:r>
        <w:rPr>
          <w:spacing w:val="1"/>
        </w:rPr>
        <w:t>il</w:t>
      </w:r>
      <w:r>
        <w:t>e</w:t>
      </w:r>
      <w:r>
        <w:rPr>
          <w:spacing w:val="-2"/>
        </w:rPr>
        <w:t xml:space="preserve"> f</w:t>
      </w:r>
      <w:r>
        <w:t>or</w:t>
      </w:r>
      <w:r>
        <w:rPr>
          <w:spacing w:val="-4"/>
        </w:rPr>
        <w:t>m</w:t>
      </w:r>
      <w:r>
        <w:t>a po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 xml:space="preserve">ră sau </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t>as</w:t>
      </w:r>
      <w:r>
        <w:rPr>
          <w:spacing w:val="-3"/>
        </w:rPr>
        <w:t>o</w:t>
      </w:r>
      <w:r>
        <w:t>c</w:t>
      </w:r>
      <w:r>
        <w:rPr>
          <w:spacing w:val="-2"/>
        </w:rPr>
        <w:t>i</w:t>
      </w:r>
      <w:r>
        <w:t>a</w:t>
      </w:r>
      <w:r>
        <w:rPr>
          <w:spacing w:val="1"/>
        </w:rPr>
        <w:t>t</w:t>
      </w:r>
      <w:r>
        <w:t>ă</w:t>
      </w:r>
      <w:r>
        <w:rPr>
          <w:spacing w:val="-2"/>
        </w:rPr>
        <w:t xml:space="preserve"> </w:t>
      </w:r>
      <w:r>
        <w:t>e</w:t>
      </w:r>
      <w:r>
        <w:rPr>
          <w:spacing w:val="-3"/>
        </w:rPr>
        <w:t>n</w:t>
      </w:r>
      <w:r>
        <w:rPr>
          <w:spacing w:val="1"/>
        </w:rPr>
        <w:t>t</w:t>
      </w:r>
      <w:r>
        <w:t>e</w:t>
      </w:r>
      <w:r>
        <w:rPr>
          <w:spacing w:val="-3"/>
        </w:rPr>
        <w:t>z</w:t>
      </w:r>
      <w:r>
        <w:rPr>
          <w:spacing w:val="1"/>
        </w:rPr>
        <w:t>i</w:t>
      </w:r>
      <w:r>
        <w:rPr>
          <w:spacing w:val="-2"/>
        </w:rPr>
        <w:t>t</w:t>
      </w:r>
      <w:r>
        <w:rPr>
          <w:spacing w:val="-3"/>
        </w:rPr>
        <w:t>e</w:t>
      </w:r>
      <w:r>
        <w:t>i.</w:t>
      </w:r>
    </w:p>
    <w:p w14:paraId="36658EDD" w14:textId="77777777" w:rsidR="00C04CAD" w:rsidRDefault="00C04CAD">
      <w:pPr>
        <w:tabs>
          <w:tab w:val="clear" w:pos="567"/>
        </w:tabs>
        <w:kinsoku w:val="0"/>
        <w:overflowPunct w:val="0"/>
        <w:autoSpaceDE w:val="0"/>
        <w:autoSpaceDN w:val="0"/>
        <w:adjustRightInd w:val="0"/>
        <w:spacing w:line="240" w:lineRule="auto"/>
      </w:pPr>
    </w:p>
    <w:p w14:paraId="71268F3F" w14:textId="77777777" w:rsidR="00C04CAD" w:rsidRDefault="00060E34">
      <w:pPr>
        <w:tabs>
          <w:tab w:val="clear" w:pos="567"/>
        </w:tabs>
        <w:kinsoku w:val="0"/>
        <w:overflowPunct w:val="0"/>
        <w:autoSpaceDE w:val="0"/>
        <w:autoSpaceDN w:val="0"/>
        <w:adjustRightInd w:val="0"/>
        <w:spacing w:line="240" w:lineRule="auto"/>
      </w:pPr>
      <w:r>
        <w:rPr>
          <w:spacing w:val="-1"/>
          <w:u w:val="single"/>
        </w:rPr>
        <w:t>S</w:t>
      </w:r>
      <w:r>
        <w:rPr>
          <w:u w:val="single"/>
        </w:rPr>
        <w:t>pond</w:t>
      </w:r>
      <w:r>
        <w:rPr>
          <w:spacing w:val="-2"/>
          <w:u w:val="single"/>
        </w:rPr>
        <w:t>i</w:t>
      </w:r>
      <w:r>
        <w:rPr>
          <w:spacing w:val="1"/>
          <w:u w:val="single"/>
        </w:rPr>
        <w:t>l</w:t>
      </w:r>
      <w:r>
        <w:rPr>
          <w:spacing w:val="-2"/>
          <w:u w:val="single"/>
        </w:rPr>
        <w:t>i</w:t>
      </w:r>
      <w:r>
        <w:rPr>
          <w:spacing w:val="1"/>
          <w:u w:val="single"/>
        </w:rPr>
        <w:t>t</w:t>
      </w:r>
      <w:r>
        <w:rPr>
          <w:u w:val="single"/>
        </w:rPr>
        <w:t xml:space="preserve">ă </w:t>
      </w:r>
      <w:r>
        <w:rPr>
          <w:spacing w:val="-3"/>
          <w:u w:val="single"/>
        </w:rPr>
        <w:t>a</w:t>
      </w:r>
      <w:r>
        <w:rPr>
          <w:u w:val="single"/>
        </w:rPr>
        <w:t>nc</w:t>
      </w:r>
      <w:r>
        <w:rPr>
          <w:spacing w:val="-3"/>
          <w:u w:val="single"/>
        </w:rPr>
        <w:t>h</w:t>
      </w:r>
      <w:r>
        <w:rPr>
          <w:spacing w:val="1"/>
          <w:u w:val="single"/>
        </w:rPr>
        <w:t>il</w:t>
      </w:r>
      <w:r>
        <w:rPr>
          <w:u w:val="single"/>
        </w:rPr>
        <w:t>o</w:t>
      </w:r>
      <w:r>
        <w:rPr>
          <w:spacing w:val="-3"/>
          <w:u w:val="single"/>
        </w:rPr>
        <w:t>z</w:t>
      </w:r>
      <w:r>
        <w:rPr>
          <w:u w:val="single"/>
        </w:rPr>
        <w:t>a</w:t>
      </w:r>
      <w:r>
        <w:rPr>
          <w:spacing w:val="-3"/>
          <w:u w:val="single"/>
        </w:rPr>
        <w:t>n</w:t>
      </w:r>
      <w:r>
        <w:rPr>
          <w:spacing w:val="1"/>
          <w:u w:val="single"/>
        </w:rPr>
        <w:t>t</w:t>
      </w:r>
      <w:r>
        <w:rPr>
          <w:u w:val="single"/>
        </w:rPr>
        <w:t xml:space="preserve">ă </w:t>
      </w:r>
      <w:r>
        <w:rPr>
          <w:spacing w:val="-2"/>
          <w:u w:val="single"/>
        </w:rPr>
        <w:t>ş</w:t>
      </w:r>
      <w:r>
        <w:rPr>
          <w:u w:val="single"/>
        </w:rPr>
        <w:t xml:space="preserve">i </w:t>
      </w:r>
      <w:r>
        <w:rPr>
          <w:spacing w:val="-2"/>
          <w:u w:val="single"/>
        </w:rPr>
        <w:t>s</w:t>
      </w:r>
      <w:r>
        <w:rPr>
          <w:u w:val="single"/>
        </w:rPr>
        <w:t>pond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3"/>
          <w:u w:val="single"/>
        </w:rPr>
        <w:t>a</w:t>
      </w:r>
      <w:r>
        <w:rPr>
          <w:u w:val="single"/>
        </w:rPr>
        <w:t>x</w:t>
      </w:r>
      <w:r>
        <w:rPr>
          <w:spacing w:val="1"/>
          <w:u w:val="single"/>
        </w:rPr>
        <w:t>i</w:t>
      </w:r>
      <w:r>
        <w:rPr>
          <w:spacing w:val="-3"/>
          <w:u w:val="single"/>
        </w:rPr>
        <w:t>a</w:t>
      </w:r>
      <w:r>
        <w:rPr>
          <w:spacing w:val="1"/>
          <w:u w:val="single"/>
        </w:rPr>
        <w:t>l</w:t>
      </w:r>
      <w:r>
        <w:rPr>
          <w:u w:val="single"/>
        </w:rPr>
        <w:t>ă f</w:t>
      </w:r>
      <w:r>
        <w:rPr>
          <w:spacing w:val="-3"/>
          <w:u w:val="single"/>
        </w:rPr>
        <w:t>ă</w:t>
      </w:r>
      <w:r>
        <w:rPr>
          <w:u w:val="single"/>
        </w:rPr>
        <w:t>ră d</w:t>
      </w:r>
      <w:r>
        <w:rPr>
          <w:spacing w:val="-3"/>
          <w:u w:val="single"/>
        </w:rPr>
        <w:t>ov</w:t>
      </w:r>
      <w:r>
        <w:rPr>
          <w:u w:val="single"/>
        </w:rPr>
        <w:t>adă ra</w:t>
      </w:r>
      <w:r>
        <w:rPr>
          <w:spacing w:val="-3"/>
          <w:u w:val="single"/>
        </w:rPr>
        <w:t>d</w:t>
      </w:r>
      <w:r>
        <w:rPr>
          <w:spacing w:val="1"/>
          <w:u w:val="single"/>
        </w:rPr>
        <w:t>i</w:t>
      </w:r>
      <w:r>
        <w:rPr>
          <w:u w:val="single"/>
        </w:rPr>
        <w:t>o</w:t>
      </w:r>
      <w:r>
        <w:rPr>
          <w:spacing w:val="1"/>
          <w:u w:val="single"/>
        </w:rPr>
        <w:t>l</w:t>
      </w:r>
      <w:r>
        <w:rPr>
          <w:u w:val="single"/>
        </w:rPr>
        <w:t>o</w:t>
      </w:r>
      <w:r>
        <w:rPr>
          <w:spacing w:val="-3"/>
          <w:u w:val="single"/>
        </w:rPr>
        <w:t>g</w:t>
      </w:r>
      <w:r>
        <w:rPr>
          <w:spacing w:val="1"/>
          <w:u w:val="single"/>
        </w:rPr>
        <w:t>i</w:t>
      </w:r>
      <w:r>
        <w:rPr>
          <w:spacing w:val="-3"/>
          <w:u w:val="single"/>
        </w:rPr>
        <w:t>c</w:t>
      </w:r>
      <w:r>
        <w:rPr>
          <w:u w:val="single"/>
        </w:rPr>
        <w:t xml:space="preserve">ă a </w:t>
      </w:r>
      <w:r>
        <w:rPr>
          <w:spacing w:val="-2"/>
          <w:u w:val="single"/>
        </w:rPr>
        <w:t>s</w:t>
      </w:r>
      <w:r>
        <w:rPr>
          <w:u w:val="single"/>
        </w:rPr>
        <w:t>pon</w:t>
      </w:r>
      <w:r>
        <w:rPr>
          <w:spacing w:val="-3"/>
          <w:u w:val="single"/>
        </w:rPr>
        <w:t>d</w:t>
      </w:r>
      <w:r>
        <w:rPr>
          <w:spacing w:val="1"/>
          <w:u w:val="single"/>
        </w:rPr>
        <w:t>i</w:t>
      </w:r>
      <w:r>
        <w:rPr>
          <w:spacing w:val="-2"/>
          <w:u w:val="single"/>
        </w:rPr>
        <w:t>l</w:t>
      </w:r>
      <w:r>
        <w:rPr>
          <w:spacing w:val="1"/>
          <w:u w:val="single"/>
        </w:rPr>
        <w:t>i</w:t>
      </w:r>
      <w:r>
        <w:rPr>
          <w:spacing w:val="-2"/>
          <w:u w:val="single"/>
        </w:rPr>
        <w:t>t</w:t>
      </w:r>
      <w:r>
        <w:rPr>
          <w:u w:val="single"/>
        </w:rPr>
        <w:t>ei</w:t>
      </w:r>
      <w:r>
        <w:rPr>
          <w:spacing w:val="1"/>
          <w:u w:val="single"/>
        </w:rPr>
        <w:t xml:space="preserve"> </w:t>
      </w:r>
      <w:r>
        <w:rPr>
          <w:u w:val="single"/>
        </w:rPr>
        <w:t>a</w:t>
      </w:r>
      <w:r>
        <w:rPr>
          <w:spacing w:val="-3"/>
          <w:u w:val="single"/>
        </w:rPr>
        <w:t>n</w:t>
      </w:r>
      <w:r>
        <w:rPr>
          <w:u w:val="single"/>
        </w:rPr>
        <w:t>ch</w:t>
      </w:r>
      <w:r>
        <w:rPr>
          <w:spacing w:val="-2"/>
          <w:u w:val="single"/>
        </w:rPr>
        <w:t>i</w:t>
      </w:r>
      <w:r>
        <w:rPr>
          <w:spacing w:val="1"/>
          <w:u w:val="single"/>
        </w:rPr>
        <w:t>l</w:t>
      </w:r>
      <w:r>
        <w:rPr>
          <w:u w:val="single"/>
        </w:rPr>
        <w:t>o</w:t>
      </w:r>
      <w:r>
        <w:rPr>
          <w:spacing w:val="-3"/>
          <w:u w:val="single"/>
        </w:rPr>
        <w:t>z</w:t>
      </w:r>
      <w:r>
        <w:rPr>
          <w:u w:val="single"/>
        </w:rPr>
        <w:t>an</w:t>
      </w:r>
      <w:r>
        <w:rPr>
          <w:spacing w:val="-2"/>
          <w:u w:val="single"/>
        </w:rPr>
        <w:t>t</w:t>
      </w:r>
      <w:r>
        <w:rPr>
          <w:u w:val="single"/>
        </w:rPr>
        <w:t>e</w:t>
      </w:r>
    </w:p>
    <w:p w14:paraId="6F52515B" w14:textId="77777777" w:rsidR="00C04CAD" w:rsidRDefault="00C04CAD">
      <w:pPr>
        <w:tabs>
          <w:tab w:val="clear" w:pos="567"/>
        </w:tabs>
        <w:kinsoku w:val="0"/>
        <w:overflowPunct w:val="0"/>
        <w:autoSpaceDE w:val="0"/>
        <w:autoSpaceDN w:val="0"/>
        <w:adjustRightInd w:val="0"/>
        <w:spacing w:line="240" w:lineRule="auto"/>
      </w:pPr>
    </w:p>
    <w:p w14:paraId="4407F86F" w14:textId="77777777" w:rsidR="00C04CAD" w:rsidRDefault="00060E34">
      <w:pPr>
        <w:tabs>
          <w:tab w:val="clear" w:pos="567"/>
        </w:tabs>
        <w:kinsoku w:val="0"/>
        <w:overflowPunct w:val="0"/>
        <w:autoSpaceDE w:val="0"/>
        <w:autoSpaceDN w:val="0"/>
        <w:adjustRightInd w:val="0"/>
        <w:spacing w:line="240" w:lineRule="auto"/>
      </w:pPr>
      <w:r>
        <w:rPr>
          <w:spacing w:val="-1"/>
        </w:rPr>
        <w:t>S</w:t>
      </w:r>
      <w:r>
        <w:t>pond</w:t>
      </w:r>
      <w:r>
        <w:rPr>
          <w:spacing w:val="-2"/>
        </w:rPr>
        <w:t>i</w:t>
      </w:r>
      <w:r>
        <w:rPr>
          <w:spacing w:val="1"/>
        </w:rPr>
        <w:t>l</w:t>
      </w:r>
      <w:r>
        <w:rPr>
          <w:spacing w:val="-2"/>
        </w:rPr>
        <w:t>i</w:t>
      </w:r>
      <w:r>
        <w:rPr>
          <w:spacing w:val="1"/>
        </w:rPr>
        <w:t>t</w:t>
      </w:r>
      <w:r>
        <w:t xml:space="preserve">a </w:t>
      </w:r>
      <w:r>
        <w:rPr>
          <w:spacing w:val="-3"/>
        </w:rPr>
        <w:t>a</w:t>
      </w:r>
      <w:r>
        <w:t>nc</w:t>
      </w:r>
      <w:r>
        <w:rPr>
          <w:spacing w:val="-3"/>
        </w:rPr>
        <w:t>h</w:t>
      </w:r>
      <w:r>
        <w:rPr>
          <w:spacing w:val="1"/>
        </w:rPr>
        <w:t>il</w:t>
      </w:r>
      <w:r>
        <w:t>o</w:t>
      </w:r>
      <w:r>
        <w:rPr>
          <w:spacing w:val="-3"/>
        </w:rPr>
        <w:t>z</w:t>
      </w:r>
      <w:r>
        <w:t>a</w:t>
      </w:r>
      <w:r>
        <w:rPr>
          <w:spacing w:val="-3"/>
        </w:rPr>
        <w:t>n</w:t>
      </w:r>
      <w:r>
        <w:rPr>
          <w:spacing w:val="1"/>
        </w:rPr>
        <w:t>t</w:t>
      </w:r>
      <w:r>
        <w:t xml:space="preserve">ă </w:t>
      </w:r>
      <w:r>
        <w:rPr>
          <w:spacing w:val="-2"/>
        </w:rPr>
        <w:t>ş</w:t>
      </w:r>
      <w:r>
        <w:t>i</w:t>
      </w:r>
      <w:r>
        <w:rPr>
          <w:spacing w:val="1"/>
        </w:rPr>
        <w:t xml:space="preserve"> </w:t>
      </w:r>
      <w:r>
        <w:rPr>
          <w:spacing w:val="-2"/>
        </w:rPr>
        <w:t>s</w:t>
      </w:r>
      <w:r>
        <w:t>pond</w:t>
      </w:r>
      <w:r>
        <w:rPr>
          <w:spacing w:val="-2"/>
        </w:rPr>
        <w:t>i</w:t>
      </w:r>
      <w:r>
        <w:rPr>
          <w:spacing w:val="1"/>
        </w:rPr>
        <w:t>l</w:t>
      </w:r>
      <w:r>
        <w:t>o</w:t>
      </w:r>
      <w:r>
        <w:rPr>
          <w:spacing w:val="-3"/>
        </w:rPr>
        <w:t>a</w:t>
      </w:r>
      <w:r>
        <w:t>r</w:t>
      </w:r>
      <w:r>
        <w:rPr>
          <w:spacing w:val="-2"/>
        </w:rPr>
        <w:t>t</w:t>
      </w:r>
      <w:r>
        <w:t>r</w:t>
      </w:r>
      <w:r>
        <w:rPr>
          <w:spacing w:val="-2"/>
        </w:rPr>
        <w:t>i</w:t>
      </w:r>
      <w:r>
        <w:rPr>
          <w:spacing w:val="1"/>
        </w:rPr>
        <w:t>t</w:t>
      </w:r>
      <w:r>
        <w:t xml:space="preserve">a </w:t>
      </w:r>
      <w:r>
        <w:rPr>
          <w:spacing w:val="-3"/>
        </w:rPr>
        <w:t>a</w:t>
      </w:r>
      <w:r>
        <w:t>x</w:t>
      </w:r>
      <w:r>
        <w:rPr>
          <w:spacing w:val="1"/>
        </w:rPr>
        <w:t>i</w:t>
      </w:r>
      <w:r>
        <w:rPr>
          <w:spacing w:val="-3"/>
        </w:rPr>
        <w:t>a</w:t>
      </w:r>
      <w:r>
        <w:rPr>
          <w:spacing w:val="1"/>
        </w:rPr>
        <w:t>l</w:t>
      </w:r>
      <w:r>
        <w:t>ă</w:t>
      </w:r>
      <w:r>
        <w:rPr>
          <w:spacing w:val="-2"/>
        </w:rPr>
        <w:t xml:space="preserve"> </w:t>
      </w:r>
      <w:r>
        <w:t>f</w:t>
      </w:r>
      <w:r>
        <w:rPr>
          <w:spacing w:val="-3"/>
        </w:rPr>
        <w:t>ă</w:t>
      </w:r>
      <w:r>
        <w:t>ră d</w:t>
      </w:r>
      <w:r>
        <w:rPr>
          <w:spacing w:val="-3"/>
        </w:rPr>
        <w:t>ov</w:t>
      </w:r>
      <w:r>
        <w:t>adă ra</w:t>
      </w:r>
      <w:r>
        <w:rPr>
          <w:spacing w:val="-3"/>
        </w:rPr>
        <w:t>d</w:t>
      </w:r>
      <w:r>
        <w:rPr>
          <w:spacing w:val="1"/>
        </w:rPr>
        <w:t>i</w:t>
      </w:r>
      <w:r>
        <w:t>o</w:t>
      </w:r>
      <w:r>
        <w:rPr>
          <w:spacing w:val="1"/>
        </w:rPr>
        <w:t>l</w:t>
      </w:r>
      <w:r>
        <w:t>o</w:t>
      </w:r>
      <w:r>
        <w:rPr>
          <w:spacing w:val="-3"/>
        </w:rPr>
        <w:t>g</w:t>
      </w:r>
      <w:r>
        <w:rPr>
          <w:spacing w:val="1"/>
        </w:rPr>
        <w:t>i</w:t>
      </w:r>
      <w:r>
        <w:rPr>
          <w:spacing w:val="-3"/>
        </w:rPr>
        <w:t>c</w:t>
      </w:r>
      <w:r>
        <w:t xml:space="preserve">ă a </w:t>
      </w:r>
      <w:r>
        <w:rPr>
          <w:spacing w:val="-2"/>
        </w:rPr>
        <w:t>s</w:t>
      </w:r>
      <w:r>
        <w:t>pon</w:t>
      </w:r>
      <w:r>
        <w:rPr>
          <w:spacing w:val="-3"/>
        </w:rPr>
        <w:t>d</w:t>
      </w:r>
      <w:r>
        <w:rPr>
          <w:spacing w:val="1"/>
        </w:rPr>
        <w:t>i</w:t>
      </w:r>
      <w:r>
        <w:rPr>
          <w:spacing w:val="-2"/>
        </w:rPr>
        <w:t>l</w:t>
      </w:r>
      <w:r>
        <w:rPr>
          <w:spacing w:val="1"/>
        </w:rPr>
        <w:t>i</w:t>
      </w:r>
      <w:r>
        <w:rPr>
          <w:spacing w:val="-2"/>
        </w:rPr>
        <w:t>t</w:t>
      </w:r>
      <w:r>
        <w:t>ei</w:t>
      </w:r>
      <w:r>
        <w:rPr>
          <w:spacing w:val="1"/>
        </w:rPr>
        <w:t xml:space="preserve"> </w:t>
      </w:r>
      <w:r>
        <w:t>a</w:t>
      </w:r>
      <w:r>
        <w:rPr>
          <w:spacing w:val="-3"/>
        </w:rPr>
        <w:t>n</w:t>
      </w:r>
      <w:r>
        <w:t>ch</w:t>
      </w:r>
      <w:r>
        <w:rPr>
          <w:spacing w:val="-2"/>
        </w:rPr>
        <w:t>i</w:t>
      </w:r>
      <w:r>
        <w:rPr>
          <w:spacing w:val="1"/>
        </w:rPr>
        <w:t>l</w:t>
      </w:r>
      <w:r>
        <w:t>o</w:t>
      </w:r>
      <w:r>
        <w:rPr>
          <w:spacing w:val="-3"/>
        </w:rPr>
        <w:t>z</w:t>
      </w:r>
      <w:r>
        <w:t>an</w:t>
      </w:r>
      <w:r>
        <w:rPr>
          <w:spacing w:val="-2"/>
        </w:rPr>
        <w:t>t</w:t>
      </w:r>
      <w:r>
        <w:t>e su</w:t>
      </w:r>
      <w:r>
        <w:rPr>
          <w:spacing w:val="-3"/>
        </w:rPr>
        <w:t>n</w:t>
      </w:r>
      <w:r>
        <w:t>t afe</w:t>
      </w:r>
      <w:r>
        <w:rPr>
          <w:spacing w:val="-3"/>
        </w:rPr>
        <w:t>c</w:t>
      </w:r>
      <w:r>
        <w:rPr>
          <w:spacing w:val="1"/>
        </w:rPr>
        <w:t>ţ</w:t>
      </w:r>
      <w:r>
        <w:rPr>
          <w:spacing w:val="-2"/>
        </w:rPr>
        <w:t>i</w:t>
      </w:r>
      <w:r>
        <w:t>uni</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o</w:t>
      </w:r>
      <w:r>
        <w:t>r</w:t>
      </w:r>
      <w:r>
        <w:rPr>
          <w:spacing w:val="-2"/>
        </w:rPr>
        <w:t>i</w:t>
      </w:r>
      <w:r>
        <w:t>i</w:t>
      </w:r>
      <w:r>
        <w:rPr>
          <w:spacing w:val="1"/>
        </w:rPr>
        <w:t xml:space="preserve"> </w:t>
      </w:r>
      <w:r>
        <w:rPr>
          <w:spacing w:val="-3"/>
        </w:rPr>
        <w:t>a</w:t>
      </w:r>
      <w:r>
        <w:rPr>
          <w:spacing w:val="1"/>
        </w:rPr>
        <w:t>l</w:t>
      </w:r>
      <w:r>
        <w:t>e c</w:t>
      </w:r>
      <w:r>
        <w:rPr>
          <w:spacing w:val="-3"/>
        </w:rPr>
        <w:t>o</w:t>
      </w:r>
      <w:r>
        <w:rPr>
          <w:spacing w:val="1"/>
        </w:rPr>
        <w:t>l</w:t>
      </w:r>
      <w:r>
        <w:t>oan</w:t>
      </w:r>
      <w:r>
        <w:rPr>
          <w:spacing w:val="-3"/>
        </w:rPr>
        <w:t>e</w:t>
      </w:r>
      <w:r>
        <w:t>i</w:t>
      </w:r>
      <w:r>
        <w:rPr>
          <w:spacing w:val="1"/>
        </w:rPr>
        <w:t xml:space="preserve"> </w:t>
      </w:r>
      <w:r>
        <w:rPr>
          <w:spacing w:val="-3"/>
        </w:rPr>
        <w:t>v</w:t>
      </w:r>
      <w:r>
        <w:t>e</w:t>
      </w:r>
      <w:r>
        <w:rPr>
          <w:spacing w:val="-2"/>
        </w:rPr>
        <w:t>r</w:t>
      </w:r>
      <w:r>
        <w:rPr>
          <w:spacing w:val="1"/>
        </w:rPr>
        <w:t>t</w:t>
      </w:r>
      <w:r>
        <w:t>e</w:t>
      </w:r>
      <w:r>
        <w:rPr>
          <w:spacing w:val="-3"/>
        </w:rPr>
        <w:t>b</w:t>
      </w:r>
      <w:r>
        <w:t>ra</w:t>
      </w:r>
      <w:r>
        <w:rPr>
          <w:spacing w:val="-2"/>
        </w:rPr>
        <w:t>l</w:t>
      </w:r>
      <w:r>
        <w:t>e.</w:t>
      </w:r>
    </w:p>
    <w:p w14:paraId="00D29537" w14:textId="77777777" w:rsidR="00C04CAD" w:rsidRDefault="00C04CAD">
      <w:pPr>
        <w:tabs>
          <w:tab w:val="clear" w:pos="567"/>
        </w:tabs>
        <w:kinsoku w:val="0"/>
        <w:overflowPunct w:val="0"/>
        <w:autoSpaceDE w:val="0"/>
        <w:autoSpaceDN w:val="0"/>
        <w:adjustRightInd w:val="0"/>
        <w:spacing w:line="240" w:lineRule="auto"/>
      </w:pPr>
    </w:p>
    <w:p w14:paraId="29B31F1F"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 sp</w:t>
      </w:r>
      <w:r>
        <w:rPr>
          <w:spacing w:val="-3"/>
        </w:rPr>
        <w:t>o</w:t>
      </w:r>
      <w:r>
        <w:t>nd</w:t>
      </w:r>
      <w:r>
        <w:rPr>
          <w:spacing w:val="-2"/>
        </w:rPr>
        <w:t>i</w:t>
      </w:r>
      <w:r>
        <w:rPr>
          <w:spacing w:val="1"/>
        </w:rPr>
        <w:t>l</w:t>
      </w:r>
      <w:r>
        <w:rPr>
          <w:spacing w:val="-2"/>
        </w:rPr>
        <w:t>i</w:t>
      </w:r>
      <w:r>
        <w:rPr>
          <w:spacing w:val="1"/>
        </w:rPr>
        <w:t>t</w:t>
      </w:r>
      <w:r>
        <w:rPr>
          <w:spacing w:val="-3"/>
        </w:rPr>
        <w:t>e</w:t>
      </w:r>
      <w:r>
        <w:t>i</w:t>
      </w:r>
      <w:r>
        <w:rPr>
          <w:spacing w:val="1"/>
        </w:rPr>
        <w:t xml:space="preserve"> </w:t>
      </w:r>
      <w:r>
        <w:t>a</w:t>
      </w:r>
      <w:r>
        <w:rPr>
          <w:spacing w:val="-3"/>
        </w:rPr>
        <w:t>nc</w:t>
      </w:r>
      <w:r>
        <w:t>h</w:t>
      </w:r>
      <w:r>
        <w:rPr>
          <w:spacing w:val="1"/>
        </w:rPr>
        <w:t>il</w:t>
      </w:r>
      <w:r>
        <w:t>o</w:t>
      </w:r>
      <w:r>
        <w:rPr>
          <w:spacing w:val="-3"/>
        </w:rPr>
        <w:t>z</w:t>
      </w:r>
      <w:r>
        <w:t>a</w:t>
      </w:r>
      <w:r>
        <w:rPr>
          <w:spacing w:val="-3"/>
        </w:rPr>
        <w:t>n</w:t>
      </w:r>
      <w:r>
        <w:rPr>
          <w:spacing w:val="1"/>
        </w:rPr>
        <w:t>t</w:t>
      </w:r>
      <w:r>
        <w:t xml:space="preserve">e </w:t>
      </w:r>
      <w:r>
        <w:rPr>
          <w:spacing w:val="-2"/>
        </w:rPr>
        <w:t>ş</w:t>
      </w:r>
      <w:r>
        <w:t>i</w:t>
      </w:r>
      <w:r>
        <w:rPr>
          <w:spacing w:val="1"/>
        </w:rPr>
        <w:t xml:space="preserve"> </w:t>
      </w:r>
      <w:r>
        <w:t>a</w:t>
      </w:r>
      <w:r>
        <w:rPr>
          <w:spacing w:val="-2"/>
        </w:rPr>
        <w:t xml:space="preserve"> </w:t>
      </w:r>
      <w:r>
        <w:t>spon</w:t>
      </w:r>
      <w:r>
        <w:rPr>
          <w:spacing w:val="-3"/>
        </w:rPr>
        <w:t>d</w:t>
      </w:r>
      <w:r>
        <w:rPr>
          <w:spacing w:val="1"/>
        </w:rPr>
        <w:t>i</w:t>
      </w:r>
      <w:r>
        <w:rPr>
          <w:spacing w:val="-2"/>
        </w:rPr>
        <w:t>l</w:t>
      </w:r>
      <w:r>
        <w:t>oa</w:t>
      </w:r>
      <w:r>
        <w:rPr>
          <w:spacing w:val="-2"/>
        </w:rPr>
        <w:t>r</w:t>
      </w:r>
      <w:r>
        <w:rPr>
          <w:spacing w:val="1"/>
        </w:rPr>
        <w:t>t</w:t>
      </w:r>
      <w:r>
        <w:rPr>
          <w:spacing w:val="-2"/>
        </w:rPr>
        <w:t>r</w:t>
      </w:r>
      <w:r>
        <w:rPr>
          <w:spacing w:val="1"/>
        </w:rPr>
        <w:t>i</w:t>
      </w:r>
      <w:r>
        <w:rPr>
          <w:spacing w:val="-2"/>
        </w:rPr>
        <w:t>t</w:t>
      </w:r>
      <w:r>
        <w:t>ei</w:t>
      </w:r>
      <w:r>
        <w:rPr>
          <w:spacing w:val="1"/>
        </w:rPr>
        <w:t xml:space="preserve"> </w:t>
      </w:r>
      <w:r>
        <w:t>a</w:t>
      </w:r>
      <w:r>
        <w:rPr>
          <w:spacing w:val="-3"/>
        </w:rPr>
        <w:t>x</w:t>
      </w:r>
      <w:r>
        <w:rPr>
          <w:spacing w:val="1"/>
        </w:rPr>
        <w:t>i</w:t>
      </w:r>
      <w:r>
        <w:rPr>
          <w:spacing w:val="-3"/>
        </w:rPr>
        <w:t>a</w:t>
      </w:r>
      <w:r>
        <w:rPr>
          <w:spacing w:val="1"/>
        </w:rPr>
        <w:t>l</w:t>
      </w:r>
      <w:r>
        <w:t>e</w:t>
      </w:r>
      <w:r>
        <w:rPr>
          <w:spacing w:val="-2"/>
        </w:rPr>
        <w:t xml:space="preserve"> </w:t>
      </w:r>
      <w:r>
        <w:t>fă</w:t>
      </w:r>
      <w:r>
        <w:rPr>
          <w:spacing w:val="-2"/>
        </w:rPr>
        <w:t>r</w:t>
      </w:r>
      <w:r>
        <w:t>ă do</w:t>
      </w:r>
      <w:r>
        <w:rPr>
          <w:spacing w:val="-3"/>
        </w:rPr>
        <w:t>v</w:t>
      </w:r>
      <w:r>
        <w:t>adă rad</w:t>
      </w:r>
      <w:r>
        <w:rPr>
          <w:spacing w:val="-2"/>
        </w:rPr>
        <w:t>i</w:t>
      </w:r>
      <w:r>
        <w:t>o</w:t>
      </w:r>
      <w:r>
        <w:rPr>
          <w:spacing w:val="1"/>
        </w:rPr>
        <w:t>l</w:t>
      </w:r>
      <w:r>
        <w:t>o</w:t>
      </w:r>
      <w:r>
        <w:rPr>
          <w:spacing w:val="-3"/>
        </w:rPr>
        <w:t>g</w:t>
      </w:r>
      <w:r>
        <w:rPr>
          <w:spacing w:val="1"/>
        </w:rPr>
        <w:t>i</w:t>
      </w:r>
      <w:r>
        <w:rPr>
          <w:spacing w:val="-3"/>
        </w:rPr>
        <w:t>c</w:t>
      </w:r>
      <w:r>
        <w:t xml:space="preserve">ă a </w:t>
      </w:r>
      <w:r>
        <w:rPr>
          <w:spacing w:val="-2"/>
        </w:rPr>
        <w:t>s</w:t>
      </w:r>
      <w:r>
        <w:t>pon</w:t>
      </w:r>
      <w:r>
        <w:rPr>
          <w:spacing w:val="-3"/>
        </w:rPr>
        <w:t>d</w:t>
      </w:r>
      <w:r>
        <w:rPr>
          <w:spacing w:val="1"/>
        </w:rPr>
        <w:t>i</w:t>
      </w:r>
      <w:r>
        <w:rPr>
          <w:spacing w:val="-2"/>
        </w:rPr>
        <w:t>l</w:t>
      </w:r>
      <w:r>
        <w:rPr>
          <w:spacing w:val="1"/>
        </w:rPr>
        <w:t>i</w:t>
      </w:r>
      <w:r>
        <w:rPr>
          <w:spacing w:val="-2"/>
        </w:rPr>
        <w:t>t</w:t>
      </w:r>
      <w:r>
        <w:t>ei</w:t>
      </w:r>
      <w:r>
        <w:rPr>
          <w:spacing w:val="1"/>
        </w:rPr>
        <w:t xml:space="preserve"> </w:t>
      </w:r>
      <w:r>
        <w:rPr>
          <w:spacing w:val="-3"/>
        </w:rPr>
        <w:t>an</w:t>
      </w:r>
      <w:r>
        <w:t>ch</w:t>
      </w:r>
      <w:r>
        <w:rPr>
          <w:spacing w:val="-2"/>
        </w:rPr>
        <w:t>i</w:t>
      </w:r>
      <w:r>
        <w:rPr>
          <w:spacing w:val="1"/>
        </w:rPr>
        <w:t>l</w:t>
      </w:r>
      <w:r>
        <w:t>o</w:t>
      </w:r>
      <w:r>
        <w:rPr>
          <w:spacing w:val="-3"/>
        </w:rPr>
        <w:t>z</w:t>
      </w:r>
      <w:r>
        <w:t>an</w:t>
      </w:r>
      <w:r>
        <w:rPr>
          <w:spacing w:val="1"/>
        </w:rPr>
        <w:t>t</w:t>
      </w:r>
      <w:r>
        <w:t>e</w:t>
      </w:r>
      <w:r>
        <w:rPr>
          <w:spacing w:val="-2"/>
        </w:rPr>
        <w:t xml:space="preserve"> </w:t>
      </w:r>
      <w:r>
        <w:rPr>
          <w:spacing w:val="1"/>
        </w:rPr>
        <w:t>l</w:t>
      </w:r>
      <w:r>
        <w:t>a</w:t>
      </w:r>
      <w:r>
        <w:rPr>
          <w:spacing w:val="-2"/>
        </w:rPr>
        <w:t xml:space="preserve"> </w:t>
      </w:r>
      <w:r>
        <w:t>adu</w:t>
      </w:r>
      <w:r>
        <w:rPr>
          <w:spacing w:val="-2"/>
        </w:rPr>
        <w:t>lţ</w:t>
      </w:r>
      <w:r>
        <w:rPr>
          <w:spacing w:val="1"/>
        </w:rPr>
        <w:t>i</w:t>
      </w:r>
      <w:r>
        <w:t xml:space="preserve">. </w:t>
      </w:r>
      <w:r>
        <w:rPr>
          <w:spacing w:val="-4"/>
        </w:rPr>
        <w:t>Î</w:t>
      </w:r>
      <w:r>
        <w:t>n ca</w:t>
      </w:r>
      <w:r>
        <w:rPr>
          <w:spacing w:val="-3"/>
        </w:rPr>
        <w:t>z</w:t>
      </w:r>
      <w:r>
        <w:t>ul</w:t>
      </w:r>
      <w:r>
        <w:rPr>
          <w:spacing w:val="1"/>
        </w:rPr>
        <w:t xml:space="preserve"> î</w:t>
      </w:r>
      <w:r>
        <w:t>n</w:t>
      </w:r>
      <w:r>
        <w:rPr>
          <w:spacing w:val="-3"/>
        </w:rPr>
        <w:t xml:space="preserve"> </w:t>
      </w:r>
      <w:r>
        <w:t>ca</w:t>
      </w:r>
      <w:r>
        <w:rPr>
          <w:spacing w:val="-2"/>
        </w:rPr>
        <w:t>r</w:t>
      </w:r>
      <w:r>
        <w:t>e a</w:t>
      </w:r>
      <w:r>
        <w:rPr>
          <w:spacing w:val="-3"/>
        </w:rPr>
        <w:t>v</w:t>
      </w:r>
      <w:r>
        <w:t>e</w:t>
      </w:r>
      <w:r>
        <w:rPr>
          <w:spacing w:val="-2"/>
        </w:rPr>
        <w:t>ţ</w:t>
      </w:r>
      <w:r>
        <w:t>i</w:t>
      </w:r>
      <w:r>
        <w:rPr>
          <w:spacing w:val="1"/>
        </w:rPr>
        <w:t xml:space="preserve"> </w:t>
      </w:r>
      <w:r>
        <w:t>sp</w:t>
      </w:r>
      <w:r>
        <w:rPr>
          <w:spacing w:val="-3"/>
        </w:rPr>
        <w:t>o</w:t>
      </w:r>
      <w:r>
        <w:t>nd</w:t>
      </w:r>
      <w:r>
        <w:rPr>
          <w:spacing w:val="-2"/>
        </w:rPr>
        <w:t>i</w:t>
      </w:r>
      <w:r>
        <w:rPr>
          <w:spacing w:val="1"/>
        </w:rPr>
        <w:t>l</w:t>
      </w:r>
      <w:r>
        <w:rPr>
          <w:spacing w:val="-2"/>
        </w:rPr>
        <w:t>i</w:t>
      </w:r>
      <w:r>
        <w:rPr>
          <w:spacing w:val="1"/>
        </w:rPr>
        <w:t>t</w:t>
      </w:r>
      <w:r>
        <w:t>ă</w:t>
      </w:r>
      <w:r>
        <w:rPr>
          <w:spacing w:val="-2"/>
        </w:rPr>
        <w:t xml:space="preserve"> </w:t>
      </w:r>
      <w:r>
        <w:t>a</w:t>
      </w:r>
      <w:r>
        <w:rPr>
          <w:spacing w:val="-3"/>
        </w:rPr>
        <w:t>n</w:t>
      </w:r>
      <w:r>
        <w:t>ch</w:t>
      </w:r>
      <w:r>
        <w:rPr>
          <w:spacing w:val="-2"/>
        </w:rPr>
        <w:t>i</w:t>
      </w:r>
      <w:r>
        <w:rPr>
          <w:spacing w:val="1"/>
        </w:rPr>
        <w:t>l</w:t>
      </w:r>
      <w:r>
        <w:t>o</w:t>
      </w:r>
      <w:r>
        <w:rPr>
          <w:spacing w:val="-3"/>
        </w:rPr>
        <w:t>z</w:t>
      </w:r>
      <w:r>
        <w:t>an</w:t>
      </w:r>
      <w:r>
        <w:rPr>
          <w:spacing w:val="1"/>
        </w:rPr>
        <w:t>t</w:t>
      </w:r>
      <w:r>
        <w:t>ă</w:t>
      </w:r>
      <w:r>
        <w:rPr>
          <w:spacing w:val="-3"/>
        </w:rPr>
        <w:t xml:space="preserve"> </w:t>
      </w:r>
      <w:r>
        <w:t>sau spon</w:t>
      </w:r>
      <w:r>
        <w:rPr>
          <w:spacing w:val="-3"/>
        </w:rPr>
        <w:t>d</w:t>
      </w:r>
      <w:r>
        <w:rPr>
          <w:spacing w:val="1"/>
        </w:rPr>
        <w:t>il</w:t>
      </w:r>
      <w:r>
        <w:rPr>
          <w:spacing w:val="-3"/>
        </w:rPr>
        <w:t>o</w:t>
      </w:r>
      <w:r>
        <w:t>a</w:t>
      </w:r>
      <w:r>
        <w:rPr>
          <w:spacing w:val="-2"/>
        </w:rPr>
        <w:t>r</w:t>
      </w:r>
      <w:r>
        <w:rPr>
          <w:spacing w:val="1"/>
        </w:rPr>
        <w:t>t</w:t>
      </w:r>
      <w:r>
        <w:rPr>
          <w:spacing w:val="-2"/>
        </w:rPr>
        <w:t>r</w:t>
      </w:r>
      <w:r>
        <w:rPr>
          <w:spacing w:val="1"/>
        </w:rPr>
        <w:t>it</w:t>
      </w:r>
      <w:r>
        <w:t>ă</w:t>
      </w:r>
      <w:r>
        <w:rPr>
          <w:spacing w:val="-2"/>
        </w:rPr>
        <w:t xml:space="preserve"> </w:t>
      </w:r>
      <w:r>
        <w:t>ax</w:t>
      </w:r>
      <w:r>
        <w:rPr>
          <w:spacing w:val="-2"/>
        </w:rPr>
        <w:t>i</w:t>
      </w:r>
      <w:r>
        <w:t>a</w:t>
      </w:r>
      <w:r>
        <w:rPr>
          <w:spacing w:val="-2"/>
        </w:rPr>
        <w:t>l</w:t>
      </w:r>
      <w:r>
        <w:t>ă f</w:t>
      </w:r>
      <w:r>
        <w:rPr>
          <w:spacing w:val="-3"/>
        </w:rPr>
        <w:t>ă</w:t>
      </w:r>
      <w:r>
        <w:t xml:space="preserve">ră </w:t>
      </w:r>
      <w:r>
        <w:rPr>
          <w:spacing w:val="-3"/>
        </w:rPr>
        <w:t>d</w:t>
      </w:r>
      <w:r>
        <w:t>o</w:t>
      </w:r>
      <w:r>
        <w:rPr>
          <w:spacing w:val="-3"/>
        </w:rPr>
        <w:t>v</w:t>
      </w:r>
      <w:r>
        <w:t>adă ra</w:t>
      </w:r>
      <w:r>
        <w:rPr>
          <w:spacing w:val="-3"/>
        </w:rPr>
        <w:t>d</w:t>
      </w:r>
      <w:r>
        <w:rPr>
          <w:spacing w:val="1"/>
        </w:rPr>
        <w:t>i</w:t>
      </w:r>
      <w:r>
        <w:t>o</w:t>
      </w:r>
      <w:r>
        <w:rPr>
          <w:spacing w:val="-2"/>
        </w:rPr>
        <w:t>l</w:t>
      </w:r>
      <w:r>
        <w:t>o</w:t>
      </w:r>
      <w:r>
        <w:rPr>
          <w:spacing w:val="-3"/>
        </w:rPr>
        <w:t>g</w:t>
      </w:r>
      <w:r>
        <w:rPr>
          <w:spacing w:val="1"/>
        </w:rPr>
        <w:t>i</w:t>
      </w:r>
      <w:r>
        <w:t>că a</w:t>
      </w:r>
      <w:r>
        <w:rPr>
          <w:spacing w:val="-2"/>
        </w:rPr>
        <w:t xml:space="preserve"> </w:t>
      </w:r>
      <w:r>
        <w:t>spon</w:t>
      </w:r>
      <w:r>
        <w:rPr>
          <w:spacing w:val="-3"/>
        </w:rPr>
        <w:t>d</w:t>
      </w:r>
      <w:r>
        <w:rPr>
          <w:spacing w:val="1"/>
        </w:rPr>
        <w:t>i</w:t>
      </w:r>
      <w:r>
        <w:rPr>
          <w:spacing w:val="-2"/>
        </w:rPr>
        <w:t>l</w:t>
      </w:r>
      <w:r>
        <w:rPr>
          <w:spacing w:val="1"/>
        </w:rPr>
        <w:t>it</w:t>
      </w:r>
      <w:r>
        <w:rPr>
          <w:spacing w:val="-3"/>
        </w:rPr>
        <w:t>e</w:t>
      </w:r>
      <w:r>
        <w:t>i</w:t>
      </w:r>
      <w:r>
        <w:rPr>
          <w:spacing w:val="1"/>
        </w:rPr>
        <w:t xml:space="preserve"> </w:t>
      </w:r>
      <w:r>
        <w:t>a</w:t>
      </w:r>
      <w:r>
        <w:rPr>
          <w:spacing w:val="-3"/>
        </w:rPr>
        <w:t>n</w:t>
      </w:r>
      <w:r>
        <w:t>ch</w:t>
      </w:r>
      <w:r>
        <w:rPr>
          <w:spacing w:val="-2"/>
        </w:rPr>
        <w:t>i</w:t>
      </w:r>
      <w:r>
        <w:rPr>
          <w:spacing w:val="1"/>
        </w:rPr>
        <w:t>l</w:t>
      </w:r>
      <w:r>
        <w:t>o</w:t>
      </w:r>
      <w:r>
        <w:rPr>
          <w:spacing w:val="-3"/>
        </w:rPr>
        <w:t>z</w:t>
      </w:r>
      <w:r>
        <w:t>an</w:t>
      </w:r>
      <w:r>
        <w:rPr>
          <w:spacing w:val="-2"/>
        </w:rPr>
        <w:t>t</w:t>
      </w:r>
      <w:r>
        <w:t xml:space="preserve">e, </w:t>
      </w:r>
      <w:r>
        <w:rPr>
          <w:spacing w:val="-3"/>
        </w:rPr>
        <w:t>v</w:t>
      </w:r>
      <w:r>
        <w:t>i</w:t>
      </w:r>
      <w:r>
        <w:rPr>
          <w:spacing w:val="1"/>
        </w:rPr>
        <w:t xml:space="preserve"> </w:t>
      </w:r>
      <w:r>
        <w:t xml:space="preserve">se </w:t>
      </w:r>
      <w:r>
        <w:rPr>
          <w:spacing w:val="-3"/>
        </w:rPr>
        <w:t>v</w:t>
      </w:r>
      <w:r>
        <w:t>or</w:t>
      </w:r>
      <w:r>
        <w:rPr>
          <w:spacing w:val="-2"/>
        </w:rPr>
        <w:t xml:space="preserve"> </w:t>
      </w:r>
      <w:r>
        <w:t>ad</w:t>
      </w:r>
      <w:r>
        <w:rPr>
          <w:spacing w:val="-4"/>
        </w:rPr>
        <w:t>m</w:t>
      </w:r>
      <w:r>
        <w:rPr>
          <w:spacing w:val="1"/>
        </w:rPr>
        <w:t>i</w:t>
      </w:r>
      <w:r>
        <w:t>n</w:t>
      </w:r>
      <w:r>
        <w:rPr>
          <w:spacing w:val="1"/>
        </w:rPr>
        <w:t>i</w:t>
      </w:r>
      <w:r>
        <w:t>s</w:t>
      </w:r>
      <w:r>
        <w:rPr>
          <w:spacing w:val="-2"/>
        </w:rPr>
        <w:t>t</w:t>
      </w:r>
      <w:r>
        <w:t>ra</w:t>
      </w:r>
      <w:r>
        <w:rPr>
          <w:spacing w:val="-2"/>
        </w:rPr>
        <w:t xml:space="preserve"> </w:t>
      </w:r>
      <w:r>
        <w:t>iniţ</w:t>
      </w:r>
      <w:r>
        <w:rPr>
          <w:spacing w:val="1"/>
        </w:rPr>
        <w:t>ial</w:t>
      </w:r>
      <w:r>
        <w:t xml:space="preserve"> a</w:t>
      </w:r>
      <w:r>
        <w:rPr>
          <w:spacing w:val="1"/>
        </w:rPr>
        <w:t>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1"/>
        </w:rPr>
        <w:t>D</w:t>
      </w:r>
      <w:r>
        <w:rPr>
          <w:spacing w:val="-3"/>
        </w:rPr>
        <w:t>a</w:t>
      </w:r>
      <w:r>
        <w:t>că nu</w:t>
      </w:r>
      <w:r>
        <w:rPr>
          <w:spacing w:val="-3"/>
        </w:rPr>
        <w:t xml:space="preserve"> </w:t>
      </w:r>
      <w:r>
        <w:t>răsp</w:t>
      </w:r>
      <w:r>
        <w:rPr>
          <w:spacing w:val="-3"/>
        </w:rPr>
        <w:t>u</w:t>
      </w:r>
      <w:r>
        <w:t>nd</w:t>
      </w:r>
      <w:r>
        <w:rPr>
          <w:spacing w:val="-3"/>
        </w:rPr>
        <w:t>e</w:t>
      </w:r>
      <w:r>
        <w:rPr>
          <w:spacing w:val="1"/>
        </w:rPr>
        <w:t>ţ</w:t>
      </w:r>
      <w:r>
        <w:t>i</w:t>
      </w:r>
      <w:r>
        <w:rPr>
          <w:spacing w:val="1"/>
        </w:rPr>
        <w:t xml:space="preserve"> </w:t>
      </w:r>
      <w:r>
        <w:rPr>
          <w:spacing w:val="-3"/>
        </w:rPr>
        <w:t>b</w:t>
      </w:r>
      <w:r>
        <w:rPr>
          <w:spacing w:val="1"/>
        </w:rPr>
        <w:t>i</w:t>
      </w:r>
      <w:r>
        <w:t>ne</w:t>
      </w:r>
      <w:r>
        <w:rPr>
          <w:spacing w:val="-2"/>
        </w:rPr>
        <w:t xml:space="preserve"> </w:t>
      </w:r>
      <w:r>
        <w:rPr>
          <w:spacing w:val="1"/>
        </w:rPr>
        <w:t>l</w:t>
      </w:r>
      <w:r>
        <w:t>a</w:t>
      </w:r>
      <w:r>
        <w:rPr>
          <w:spacing w:val="-2"/>
        </w:rPr>
        <w:t xml:space="preserve"> </w:t>
      </w:r>
      <w:r>
        <w:t>ac</w:t>
      </w:r>
      <w:r>
        <w:rPr>
          <w:spacing w:val="-3"/>
        </w:rPr>
        <w:t>e</w:t>
      </w:r>
      <w:r>
        <w:t>s</w:t>
      </w:r>
      <w:r>
        <w:rPr>
          <w:spacing w:val="1"/>
        </w:rPr>
        <w:t>t</w:t>
      </w:r>
      <w:r>
        <w:t>e</w:t>
      </w:r>
      <w:r>
        <w:rPr>
          <w:spacing w:val="-2"/>
        </w:rPr>
        <w:t xml:space="preserve"> m</w:t>
      </w:r>
      <w:r>
        <w:t>ed</w:t>
      </w:r>
      <w:r>
        <w:rPr>
          <w:spacing w:val="1"/>
        </w:rPr>
        <w:t>i</w:t>
      </w:r>
      <w:r>
        <w:rPr>
          <w:spacing w:val="-3"/>
        </w:rPr>
        <w:t>c</w:t>
      </w:r>
      <w:r>
        <w:t>a</w:t>
      </w:r>
      <w:r>
        <w:rPr>
          <w:spacing w:val="-4"/>
        </w:rPr>
        <w:t>m</w:t>
      </w:r>
      <w:r>
        <w:t>en</w:t>
      </w:r>
      <w:r>
        <w:rPr>
          <w:spacing w:val="1"/>
        </w:rPr>
        <w:t>t</w:t>
      </w:r>
      <w:r>
        <w:t xml:space="preserve">e, </w:t>
      </w:r>
      <w:r>
        <w:rPr>
          <w:spacing w:val="-3"/>
        </w:rPr>
        <w:t>v</w:t>
      </w:r>
      <w:r>
        <w:t>i</w:t>
      </w:r>
      <w:r>
        <w:rPr>
          <w:spacing w:val="1"/>
        </w:rPr>
        <w:t xml:space="preserve"> </w:t>
      </w:r>
      <w:r>
        <w:t xml:space="preserve">se </w:t>
      </w:r>
      <w:r>
        <w:rPr>
          <w:spacing w:val="-4"/>
        </w:rPr>
        <w:t>v</w:t>
      </w:r>
      <w:r>
        <w:t>a ad</w:t>
      </w:r>
      <w:r>
        <w:rPr>
          <w:spacing w:val="-4"/>
        </w:rPr>
        <w:t>m</w:t>
      </w:r>
      <w:r>
        <w:rPr>
          <w:spacing w:val="1"/>
        </w:rPr>
        <w:t>i</w:t>
      </w:r>
      <w:r>
        <w:t>n</w:t>
      </w:r>
      <w:r>
        <w:rPr>
          <w:spacing w:val="-2"/>
        </w:rPr>
        <w:t>i</w:t>
      </w:r>
      <w:r>
        <w:t>s</w:t>
      </w:r>
      <w:r>
        <w:rPr>
          <w:spacing w:val="1"/>
        </w:rPr>
        <w:t>t</w:t>
      </w:r>
      <w:r>
        <w:rPr>
          <w:spacing w:val="-2"/>
        </w:rPr>
        <w:t>r</w:t>
      </w:r>
      <w:r>
        <w:t xml:space="preserve">a </w:t>
      </w:r>
      <w:r>
        <w:rPr>
          <w:spacing w:val="-1"/>
          <w:szCs w:val="22"/>
          <w:lang w:eastAsia="en-US" w:bidi="ar-SA"/>
        </w:rPr>
        <w:t>AMGEVITA</w:t>
      </w:r>
      <w:r>
        <w:t xml:space="preserve"> pe</w:t>
      </w:r>
      <w:r>
        <w:rPr>
          <w:spacing w:val="-3"/>
        </w:rPr>
        <w:t>n</w:t>
      </w:r>
      <w:r>
        <w:rPr>
          <w:spacing w:val="1"/>
        </w:rPr>
        <w:t>t</w:t>
      </w:r>
      <w:r>
        <w:rPr>
          <w:spacing w:val="-2"/>
        </w:rPr>
        <w:t>r</w:t>
      </w:r>
      <w:r>
        <w:t>u a re</w:t>
      </w:r>
      <w:r>
        <w:rPr>
          <w:spacing w:val="-3"/>
        </w:rPr>
        <w:t>d</w:t>
      </w:r>
      <w:r>
        <w:t>uce</w:t>
      </w:r>
      <w:r>
        <w:rPr>
          <w:spacing w:val="-2"/>
        </w:rPr>
        <w:t xml:space="preserve"> </w:t>
      </w:r>
      <w:r>
        <w:t>se</w:t>
      </w:r>
      <w:r>
        <w:rPr>
          <w:spacing w:val="-4"/>
        </w:rPr>
        <w:t>m</w:t>
      </w:r>
      <w:r>
        <w:t>ne</w:t>
      </w:r>
      <w:r>
        <w:rPr>
          <w:spacing w:val="1"/>
        </w:rPr>
        <w:t>l</w:t>
      </w:r>
      <w:r>
        <w:t xml:space="preserve">e </w:t>
      </w:r>
      <w:r>
        <w:rPr>
          <w:spacing w:val="-2"/>
        </w:rPr>
        <w:t>ş</w:t>
      </w:r>
      <w:r>
        <w:t>i</w:t>
      </w:r>
      <w:r>
        <w:rPr>
          <w:spacing w:val="1"/>
        </w:rPr>
        <w:t xml:space="preserve"> </w:t>
      </w:r>
      <w:r>
        <w:rPr>
          <w:spacing w:val="-2"/>
        </w:rPr>
        <w:t>s</w:t>
      </w:r>
      <w:r>
        <w:rPr>
          <w:spacing w:val="1"/>
        </w:rPr>
        <w:t>i</w:t>
      </w:r>
      <w:r>
        <w:rPr>
          <w:spacing w:val="-4"/>
        </w:rPr>
        <w:t>m</w:t>
      </w:r>
      <w:r>
        <w:rPr>
          <w:spacing w:val="-1"/>
        </w:rPr>
        <w:t>p</w:t>
      </w:r>
      <w:r>
        <w:rPr>
          <w:spacing w:val="1"/>
        </w:rPr>
        <w:t>t</w:t>
      </w:r>
      <w:r>
        <w:t>o</w:t>
      </w:r>
      <w:r>
        <w:rPr>
          <w:spacing w:val="-4"/>
        </w:rPr>
        <w:t>m</w:t>
      </w:r>
      <w:r>
        <w:t>e</w:t>
      </w:r>
      <w:r>
        <w:rPr>
          <w:spacing w:val="1"/>
        </w:rPr>
        <w:t>l</w:t>
      </w:r>
      <w:r>
        <w:t>e ace</w:t>
      </w:r>
      <w:r>
        <w:rPr>
          <w:spacing w:val="-2"/>
        </w:rPr>
        <w:t>s</w:t>
      </w:r>
      <w:r>
        <w:rPr>
          <w:spacing w:val="1"/>
        </w:rPr>
        <w:t>t</w:t>
      </w:r>
      <w:r>
        <w:rPr>
          <w:spacing w:val="-3"/>
        </w:rPr>
        <w:t>e</w:t>
      </w:r>
      <w:r>
        <w:t>i</w:t>
      </w:r>
      <w:r>
        <w:rPr>
          <w:spacing w:val="1"/>
        </w:rPr>
        <w:t xml:space="preserve"> </w:t>
      </w:r>
      <w:r>
        <w:rPr>
          <w:spacing w:val="-1"/>
        </w:rPr>
        <w:t>b</w:t>
      </w:r>
      <w:r>
        <w:t>o</w:t>
      </w:r>
      <w:r>
        <w:rPr>
          <w:spacing w:val="-2"/>
        </w:rPr>
        <w:t>l</w:t>
      </w:r>
      <w:r>
        <w:rPr>
          <w:spacing w:val="1"/>
        </w:rPr>
        <w:t>i</w:t>
      </w:r>
      <w:r>
        <w:t>.</w:t>
      </w:r>
    </w:p>
    <w:p w14:paraId="57BDAE52" w14:textId="77777777" w:rsidR="00C04CAD" w:rsidRDefault="00C04CAD">
      <w:pPr>
        <w:tabs>
          <w:tab w:val="clear" w:pos="567"/>
        </w:tabs>
        <w:kinsoku w:val="0"/>
        <w:overflowPunct w:val="0"/>
        <w:autoSpaceDE w:val="0"/>
        <w:autoSpaceDN w:val="0"/>
        <w:adjustRightInd w:val="0"/>
        <w:spacing w:line="240" w:lineRule="auto"/>
      </w:pPr>
    </w:p>
    <w:p w14:paraId="22D55EC3" w14:textId="77777777" w:rsidR="00C04CAD" w:rsidRDefault="00060E34">
      <w:pPr>
        <w:tabs>
          <w:tab w:val="clear" w:pos="567"/>
        </w:tabs>
        <w:kinsoku w:val="0"/>
        <w:overflowPunct w:val="0"/>
        <w:autoSpaceDE w:val="0"/>
        <w:autoSpaceDN w:val="0"/>
        <w:adjustRightInd w:val="0"/>
        <w:spacing w:line="240" w:lineRule="auto"/>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ă ps</w:t>
      </w:r>
      <w:r>
        <w:rPr>
          <w:spacing w:val="-3"/>
          <w:u w:val="single"/>
        </w:rPr>
        <w:t>o</w:t>
      </w:r>
      <w:r>
        <w:rPr>
          <w:u w:val="single"/>
        </w:rPr>
        <w:t>r</w:t>
      </w:r>
      <w:r>
        <w:rPr>
          <w:spacing w:val="-2"/>
          <w:u w:val="single"/>
        </w:rPr>
        <w:t>i</w:t>
      </w:r>
      <w:r>
        <w:rPr>
          <w:u w:val="single"/>
        </w:rPr>
        <w:t>a</w:t>
      </w:r>
      <w:r>
        <w:rPr>
          <w:spacing w:val="-3"/>
          <w:u w:val="single"/>
        </w:rPr>
        <w:t>z</w:t>
      </w:r>
      <w:r>
        <w:rPr>
          <w:spacing w:val="1"/>
          <w:u w:val="single"/>
        </w:rPr>
        <w:t>i</w:t>
      </w:r>
      <w:r>
        <w:rPr>
          <w:u w:val="single"/>
        </w:rPr>
        <w:t>că</w:t>
      </w:r>
    </w:p>
    <w:p w14:paraId="6EA12E43" w14:textId="77777777" w:rsidR="00C04CAD" w:rsidRDefault="00C04CAD">
      <w:pPr>
        <w:tabs>
          <w:tab w:val="clear" w:pos="567"/>
        </w:tabs>
        <w:kinsoku w:val="0"/>
        <w:overflowPunct w:val="0"/>
        <w:autoSpaceDE w:val="0"/>
        <w:autoSpaceDN w:val="0"/>
        <w:adjustRightInd w:val="0"/>
        <w:spacing w:line="240" w:lineRule="auto"/>
      </w:pPr>
    </w:p>
    <w:p w14:paraId="3878AEDC" w14:textId="77777777" w:rsidR="00C04CAD" w:rsidRDefault="00060E34">
      <w:pPr>
        <w:tabs>
          <w:tab w:val="clear" w:pos="567"/>
        </w:tabs>
        <w:kinsoku w:val="0"/>
        <w:overflowPunct w:val="0"/>
        <w:autoSpaceDE w:val="0"/>
        <w:autoSpaceDN w:val="0"/>
        <w:adjustRightInd w:val="0"/>
        <w:spacing w:line="240" w:lineRule="auto"/>
      </w:pPr>
      <w:r>
        <w:rPr>
          <w:spacing w:val="-1"/>
        </w:rPr>
        <w:t>A</w:t>
      </w:r>
      <w:r>
        <w:t>r</w:t>
      </w:r>
      <w:r>
        <w:rPr>
          <w:spacing w:val="1"/>
        </w:rPr>
        <w:t>t</w:t>
      </w:r>
      <w:r>
        <w:rPr>
          <w:spacing w:val="-2"/>
        </w:rPr>
        <w:t>r</w:t>
      </w:r>
      <w:r>
        <w:rPr>
          <w:spacing w:val="1"/>
        </w:rPr>
        <w:t>i</w:t>
      </w:r>
      <w:r>
        <w:rPr>
          <w:spacing w:val="-2"/>
        </w:rPr>
        <w:t>t</w:t>
      </w:r>
      <w:r>
        <w:t xml:space="preserve">a </w:t>
      </w:r>
      <w:r>
        <w:rPr>
          <w:spacing w:val="-1"/>
        </w:rPr>
        <w:t>p</w:t>
      </w:r>
      <w:r>
        <w:t>s</w:t>
      </w:r>
      <w:r>
        <w:rPr>
          <w:spacing w:val="-3"/>
        </w:rPr>
        <w:t>o</w:t>
      </w:r>
      <w:r>
        <w:t>r</w:t>
      </w:r>
      <w:r>
        <w:rPr>
          <w:spacing w:val="-2"/>
        </w:rPr>
        <w:t>i</w:t>
      </w:r>
      <w:r>
        <w:t>a</w:t>
      </w:r>
      <w:r>
        <w:rPr>
          <w:spacing w:val="-3"/>
        </w:rPr>
        <w:t>z</w:t>
      </w:r>
      <w:r>
        <w:rPr>
          <w:spacing w:val="1"/>
        </w:rPr>
        <w:t>i</w:t>
      </w:r>
      <w:r>
        <w:t>că</w:t>
      </w:r>
      <w:r>
        <w:rPr>
          <w:spacing w:val="-2"/>
        </w:rPr>
        <w:t xml:space="preserve"> </w:t>
      </w:r>
      <w:r>
        <w:t>es</w:t>
      </w:r>
      <w:r>
        <w:rPr>
          <w:spacing w:val="-2"/>
        </w:rPr>
        <w:t>t</w:t>
      </w:r>
      <w:r>
        <w:t>e o</w:t>
      </w:r>
      <w:r>
        <w:rPr>
          <w:spacing w:val="-3"/>
        </w:rPr>
        <w:t xml:space="preserve"> </w:t>
      </w:r>
      <w:r>
        <w:rPr>
          <w:spacing w:val="1"/>
        </w:rPr>
        <w:t>i</w:t>
      </w:r>
      <w:r>
        <w:t>n</w:t>
      </w:r>
      <w:r>
        <w:rPr>
          <w:spacing w:val="-2"/>
        </w:rPr>
        <w:t>fl</w:t>
      </w:r>
      <w:r>
        <w:t>a</w:t>
      </w:r>
      <w:r>
        <w:rPr>
          <w:spacing w:val="-4"/>
        </w:rPr>
        <w:t>m</w:t>
      </w:r>
      <w:r>
        <w:t>a</w:t>
      </w:r>
      <w:r>
        <w:rPr>
          <w:spacing w:val="1"/>
        </w:rPr>
        <w:t>ţi</w:t>
      </w:r>
      <w:r>
        <w:t xml:space="preserve">e a </w:t>
      </w:r>
      <w:r>
        <w:rPr>
          <w:spacing w:val="-3"/>
        </w:rPr>
        <w:t>a</w:t>
      </w:r>
      <w:r>
        <w:t>r</w:t>
      </w:r>
      <w:r>
        <w:rPr>
          <w:spacing w:val="-2"/>
        </w:rPr>
        <w:t>t</w:t>
      </w:r>
      <w:r>
        <w:rPr>
          <w:spacing w:val="1"/>
        </w:rPr>
        <w:t>i</w:t>
      </w:r>
      <w:r>
        <w:t>c</w:t>
      </w:r>
      <w:r>
        <w:rPr>
          <w:spacing w:val="-3"/>
        </w:rPr>
        <w:t>u</w:t>
      </w:r>
      <w:r>
        <w:rPr>
          <w:spacing w:val="1"/>
        </w:rPr>
        <w:t>l</w:t>
      </w:r>
      <w:r>
        <w:rPr>
          <w:spacing w:val="-3"/>
        </w:rPr>
        <w:t>a</w:t>
      </w:r>
      <w:r>
        <w:rPr>
          <w:spacing w:val="1"/>
        </w:rPr>
        <w:t>ţ</w:t>
      </w:r>
      <w:r>
        <w:rPr>
          <w:spacing w:val="-2"/>
        </w:rPr>
        <w:t>i</w:t>
      </w:r>
      <w:r>
        <w:rPr>
          <w:spacing w:val="1"/>
        </w:rPr>
        <w:t>i</w:t>
      </w:r>
      <w:r>
        <w:rPr>
          <w:spacing w:val="-2"/>
        </w:rPr>
        <w:t>l</w:t>
      </w:r>
      <w:r>
        <w:t>or</w:t>
      </w:r>
      <w:r>
        <w:rPr>
          <w:spacing w:val="1"/>
        </w:rPr>
        <w:t xml:space="preserve"> </w:t>
      </w:r>
      <w:r>
        <w:rPr>
          <w:spacing w:val="-3"/>
        </w:rPr>
        <w:t>a</w:t>
      </w:r>
      <w:r>
        <w:t>so</w:t>
      </w:r>
      <w:r>
        <w:rPr>
          <w:spacing w:val="-3"/>
        </w:rPr>
        <w:t>c</w:t>
      </w:r>
      <w:r>
        <w:rPr>
          <w:spacing w:val="-2"/>
        </w:rPr>
        <w:t>i</w:t>
      </w:r>
      <w:r>
        <w:t>a</w:t>
      </w:r>
      <w:r>
        <w:rPr>
          <w:spacing w:val="1"/>
        </w:rPr>
        <w:t>t</w:t>
      </w:r>
      <w:r>
        <w:t xml:space="preserve">ă </w:t>
      </w:r>
      <w:r>
        <w:rPr>
          <w:spacing w:val="-3"/>
        </w:rPr>
        <w:t>p</w:t>
      </w:r>
      <w:r>
        <w:t>so</w:t>
      </w:r>
      <w:r>
        <w:rPr>
          <w:spacing w:val="-2"/>
        </w:rPr>
        <w:t>r</w:t>
      </w:r>
      <w:r>
        <w:rPr>
          <w:spacing w:val="1"/>
        </w:rPr>
        <w:t>i</w:t>
      </w:r>
      <w:r>
        <w:t>a</w:t>
      </w:r>
      <w:r>
        <w:rPr>
          <w:spacing w:val="-3"/>
        </w:rPr>
        <w:t>z</w:t>
      </w:r>
      <w:r>
        <w:rPr>
          <w:spacing w:val="1"/>
        </w:rPr>
        <w:t>i</w:t>
      </w:r>
      <w:r>
        <w:rPr>
          <w:spacing w:val="-2"/>
        </w:rPr>
        <w:t>s</w:t>
      </w:r>
      <w:r>
        <w:t>u</w:t>
      </w:r>
      <w:r>
        <w:rPr>
          <w:spacing w:val="1"/>
        </w:rPr>
        <w:t>l</w:t>
      </w:r>
      <w:r>
        <w:rPr>
          <w:spacing w:val="-3"/>
        </w:rPr>
        <w:t>u</w:t>
      </w:r>
      <w:r>
        <w:rPr>
          <w:spacing w:val="1"/>
        </w:rPr>
        <w:t>i</w:t>
      </w:r>
      <w:r>
        <w:t>.</w:t>
      </w:r>
    </w:p>
    <w:p w14:paraId="08D904C4" w14:textId="77777777" w:rsidR="00C04CAD" w:rsidRDefault="00C04CAD">
      <w:pPr>
        <w:tabs>
          <w:tab w:val="clear" w:pos="567"/>
        </w:tabs>
        <w:kinsoku w:val="0"/>
        <w:overflowPunct w:val="0"/>
        <w:autoSpaceDE w:val="0"/>
        <w:autoSpaceDN w:val="0"/>
        <w:adjustRightInd w:val="0"/>
        <w:spacing w:line="240" w:lineRule="auto"/>
      </w:pPr>
    </w:p>
    <w:p w14:paraId="08989AB0"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a</w:t>
      </w:r>
      <w:r>
        <w:rPr>
          <w:spacing w:val="-2"/>
        </w:rPr>
        <w:t>r</w:t>
      </w:r>
      <w:r>
        <w:rPr>
          <w:spacing w:val="1"/>
        </w:rPr>
        <w:t>t</w:t>
      </w:r>
      <w:r>
        <w:rPr>
          <w:spacing w:val="-2"/>
        </w:rPr>
        <w:t>ri</w:t>
      </w:r>
      <w:r>
        <w:rPr>
          <w:spacing w:val="1"/>
        </w:rPr>
        <w:t>t</w:t>
      </w:r>
      <w:r>
        <w:t>ei</w:t>
      </w:r>
      <w:r>
        <w:rPr>
          <w:spacing w:val="-2"/>
        </w:rPr>
        <w:t xml:space="preserve"> </w:t>
      </w:r>
      <w:r>
        <w:t>ps</w:t>
      </w:r>
      <w:r>
        <w:rPr>
          <w:spacing w:val="-3"/>
        </w:rPr>
        <w:t>o</w:t>
      </w:r>
      <w:r>
        <w:t>r</w:t>
      </w:r>
      <w:r>
        <w:rPr>
          <w:spacing w:val="1"/>
        </w:rPr>
        <w:t>i</w:t>
      </w:r>
      <w:r>
        <w:t>a</w:t>
      </w:r>
      <w:r>
        <w:rPr>
          <w:spacing w:val="-3"/>
        </w:rPr>
        <w:t>z</w:t>
      </w:r>
      <w:r>
        <w:rPr>
          <w:spacing w:val="-2"/>
        </w:rPr>
        <w:t>i</w:t>
      </w:r>
      <w:r>
        <w:t xml:space="preserve">ce </w:t>
      </w:r>
      <w:r>
        <w:rPr>
          <w:spacing w:val="-2"/>
        </w:rPr>
        <w:t>l</w:t>
      </w:r>
      <w:r>
        <w:t>a ad</w:t>
      </w:r>
      <w:r>
        <w:rPr>
          <w:spacing w:val="-3"/>
        </w:rPr>
        <w:t>u</w:t>
      </w:r>
      <w:r>
        <w:rPr>
          <w:spacing w:val="1"/>
        </w:rPr>
        <w:t>l</w:t>
      </w:r>
      <w:r>
        <w:rPr>
          <w:spacing w:val="-2"/>
        </w:rPr>
        <w:t>ţ</w:t>
      </w:r>
      <w:r>
        <w:rPr>
          <w:spacing w:val="1"/>
        </w:rPr>
        <w:t>i</w:t>
      </w:r>
      <w:r>
        <w:t>.</w:t>
      </w:r>
      <w:r>
        <w:rPr>
          <w:spacing w:val="-1"/>
        </w:rPr>
        <w:t xml:space="preserve"> </w:t>
      </w:r>
      <w:r>
        <w:rPr>
          <w:spacing w:val="-1"/>
          <w:szCs w:val="22"/>
          <w:lang w:eastAsia="en-US" w:bidi="ar-SA"/>
        </w:rPr>
        <w:t>AMGEVITA</w:t>
      </w:r>
      <w:r>
        <w:t xml:space="preserve"> </w:t>
      </w:r>
      <w:r>
        <w:rPr>
          <w:spacing w:val="1"/>
        </w:rPr>
        <w:t>î</w:t>
      </w:r>
      <w:r>
        <w:t>nc</w:t>
      </w:r>
      <w:r>
        <w:rPr>
          <w:spacing w:val="-3"/>
        </w:rPr>
        <w:t>e</w:t>
      </w:r>
      <w:r>
        <w:rPr>
          <w:spacing w:val="1"/>
        </w:rPr>
        <w:t>t</w:t>
      </w:r>
      <w:r>
        <w:rPr>
          <w:spacing w:val="-2"/>
        </w:rPr>
        <w:t>i</w:t>
      </w:r>
      <w:r>
        <w:t>ne</w:t>
      </w:r>
      <w:r>
        <w:rPr>
          <w:spacing w:val="-2"/>
        </w:rPr>
        <w:t>ş</w:t>
      </w:r>
      <w:r>
        <w:rPr>
          <w:spacing w:val="1"/>
        </w:rPr>
        <w:t>t</w:t>
      </w:r>
      <w:r>
        <w:t xml:space="preserve">e </w:t>
      </w:r>
      <w:r>
        <w:rPr>
          <w:spacing w:val="-3"/>
        </w:rPr>
        <w:t>d</w:t>
      </w:r>
      <w:r>
        <w:t>e</w:t>
      </w:r>
      <w:r>
        <w:rPr>
          <w:spacing w:val="1"/>
        </w:rPr>
        <w:t>t</w:t>
      </w:r>
      <w:r>
        <w:rPr>
          <w:spacing w:val="-3"/>
        </w:rPr>
        <w:t>e</w:t>
      </w:r>
      <w:r>
        <w:t>r</w:t>
      </w:r>
      <w:r>
        <w:rPr>
          <w:spacing w:val="-2"/>
        </w:rPr>
        <w:t>i</w:t>
      </w:r>
      <w:r>
        <w:t>or</w:t>
      </w:r>
      <w:r>
        <w:rPr>
          <w:spacing w:val="-3"/>
        </w:rPr>
        <w:t>a</w:t>
      </w:r>
      <w:r>
        <w:t>rea</w:t>
      </w:r>
      <w:r>
        <w:rPr>
          <w:spacing w:val="-2"/>
        </w:rPr>
        <w:t xml:space="preserve"> </w:t>
      </w:r>
      <w:r>
        <w:t>c</w:t>
      </w:r>
      <w:r>
        <w:rPr>
          <w:spacing w:val="-3"/>
        </w:rPr>
        <w:t>a</w:t>
      </w:r>
      <w:r>
        <w:t>r</w:t>
      </w:r>
      <w:r>
        <w:rPr>
          <w:spacing w:val="-2"/>
        </w:rPr>
        <w:t>t</w:t>
      </w:r>
      <w:r>
        <w:rPr>
          <w:spacing w:val="1"/>
        </w:rPr>
        <w:t>il</w:t>
      </w:r>
      <w:r>
        <w:rPr>
          <w:spacing w:val="-3"/>
        </w:rPr>
        <w:t>a</w:t>
      </w:r>
      <w:r>
        <w:rPr>
          <w:spacing w:val="1"/>
        </w:rPr>
        <w:t>j</w:t>
      </w:r>
      <w:r>
        <w:rPr>
          <w:spacing w:val="-3"/>
        </w:rPr>
        <w:t>u</w:t>
      </w:r>
      <w:r>
        <w:rPr>
          <w:spacing w:val="1"/>
        </w:rPr>
        <w:t>l</w:t>
      </w:r>
      <w:r>
        <w:t>ui</w:t>
      </w:r>
      <w:r>
        <w:rPr>
          <w:spacing w:val="-2"/>
        </w:rPr>
        <w:t xml:space="preserve"> </w:t>
      </w:r>
      <w:r>
        <w:t>şi</w:t>
      </w:r>
      <w:r>
        <w:rPr>
          <w:spacing w:val="-2"/>
        </w:rPr>
        <w:t xml:space="preserve"> </w:t>
      </w:r>
      <w:r>
        <w:t>a os</w:t>
      </w:r>
      <w:r>
        <w:rPr>
          <w:spacing w:val="-3"/>
        </w:rPr>
        <w:t>u</w:t>
      </w:r>
      <w:r>
        <w:rPr>
          <w:spacing w:val="1"/>
        </w:rPr>
        <w:t>l</w:t>
      </w:r>
      <w:r>
        <w:rPr>
          <w:spacing w:val="-3"/>
        </w:rPr>
        <w:t>u</w:t>
      </w:r>
      <w:r>
        <w:t>i</w:t>
      </w:r>
      <w:r>
        <w:rPr>
          <w:spacing w:val="1"/>
        </w:rPr>
        <w:t xml:space="preserve"> </w:t>
      </w:r>
      <w:r>
        <w:t>d</w:t>
      </w:r>
      <w:r>
        <w:rPr>
          <w:spacing w:val="-2"/>
        </w:rPr>
        <w:t>i</w:t>
      </w:r>
      <w:r>
        <w:t>n a</w:t>
      </w:r>
      <w:r>
        <w:rPr>
          <w:spacing w:val="-2"/>
        </w:rPr>
        <w:t>r</w:t>
      </w:r>
      <w:r>
        <w:rPr>
          <w:spacing w:val="1"/>
        </w:rPr>
        <w:t>t</w:t>
      </w:r>
      <w:r>
        <w:rPr>
          <w:spacing w:val="-2"/>
        </w:rPr>
        <w:t>i</w:t>
      </w:r>
      <w:r>
        <w:rPr>
          <w:spacing w:val="-3"/>
        </w:rPr>
        <w:t>c</w:t>
      </w:r>
      <w:r>
        <w:t>u</w:t>
      </w:r>
      <w:r>
        <w:rPr>
          <w:spacing w:val="1"/>
        </w:rPr>
        <w:t>l</w:t>
      </w:r>
      <w:r>
        <w:rPr>
          <w:spacing w:val="-3"/>
        </w:rPr>
        <w:t>a</w:t>
      </w:r>
      <w:r>
        <w:rPr>
          <w:spacing w:val="1"/>
        </w:rPr>
        <w:t>ţ</w:t>
      </w:r>
      <w:r>
        <w:rPr>
          <w:spacing w:val="-2"/>
        </w:rPr>
        <w:t>i</w:t>
      </w:r>
      <w:r>
        <w:t>i</w:t>
      </w:r>
      <w:r>
        <w:rPr>
          <w:spacing w:val="1"/>
        </w:rPr>
        <w:t xml:space="preserve"> </w:t>
      </w:r>
      <w:r>
        <w:t>d</w:t>
      </w:r>
      <w:r>
        <w:rPr>
          <w:spacing w:val="-3"/>
        </w:rPr>
        <w:t>e</w:t>
      </w:r>
      <w:r>
        <w:rPr>
          <w:spacing w:val="1"/>
        </w:rPr>
        <w:t>t</w:t>
      </w:r>
      <w:r>
        <w:t>er</w:t>
      </w:r>
      <w:r>
        <w:rPr>
          <w:spacing w:val="-4"/>
        </w:rPr>
        <w:t>m</w:t>
      </w:r>
      <w:r>
        <w:rPr>
          <w:spacing w:val="1"/>
        </w:rPr>
        <w:t>i</w:t>
      </w:r>
      <w:r>
        <w:t>n</w:t>
      </w:r>
      <w:r>
        <w:rPr>
          <w:spacing w:val="-3"/>
        </w:rPr>
        <w:t>a</w:t>
      </w:r>
      <w:r>
        <w:rPr>
          <w:spacing w:val="1"/>
        </w:rPr>
        <w:t>t</w:t>
      </w:r>
      <w:r>
        <w:t xml:space="preserve">ă </w:t>
      </w:r>
      <w:r>
        <w:rPr>
          <w:spacing w:val="-3"/>
        </w:rPr>
        <w:t>d</w:t>
      </w:r>
      <w:r>
        <w:t>e bo</w:t>
      </w:r>
      <w:r>
        <w:rPr>
          <w:spacing w:val="-3"/>
        </w:rPr>
        <w:t>a</w:t>
      </w:r>
      <w:r>
        <w:rPr>
          <w:spacing w:val="1"/>
        </w:rPr>
        <w:t>l</w:t>
      </w:r>
      <w:r>
        <w:t>ă</w:t>
      </w:r>
      <w:r>
        <w:rPr>
          <w:spacing w:val="-2"/>
        </w:rPr>
        <w:t xml:space="preserve"> </w:t>
      </w:r>
      <w:r>
        <w:t>şi</w:t>
      </w:r>
      <w:r>
        <w:rPr>
          <w:spacing w:val="1"/>
        </w:rPr>
        <w:t xml:space="preserve"> î</w:t>
      </w:r>
      <w:r>
        <w:rPr>
          <w:spacing w:val="-4"/>
        </w:rPr>
        <w:t>m</w:t>
      </w:r>
      <w:r>
        <w:t>bună</w:t>
      </w:r>
      <w:r>
        <w:rPr>
          <w:spacing w:val="-2"/>
        </w:rPr>
        <w:t>t</w:t>
      </w:r>
      <w:r>
        <w:t>ă</w:t>
      </w:r>
      <w:r>
        <w:rPr>
          <w:spacing w:val="-2"/>
        </w:rPr>
        <w:t>ţ</w:t>
      </w:r>
      <w:r>
        <w:t>eş</w:t>
      </w:r>
      <w:r>
        <w:rPr>
          <w:spacing w:val="-2"/>
        </w:rPr>
        <w:t>t</w:t>
      </w:r>
      <w:r>
        <w:t>e ac</w:t>
      </w:r>
      <w:r>
        <w:rPr>
          <w:spacing w:val="-2"/>
        </w:rPr>
        <w:t>t</w:t>
      </w:r>
      <w:r>
        <w:rPr>
          <w:spacing w:val="1"/>
        </w:rPr>
        <w:t>i</w:t>
      </w:r>
      <w:r>
        <w:rPr>
          <w:spacing w:val="-3"/>
        </w:rPr>
        <w:t>v</w:t>
      </w:r>
      <w:r>
        <w:rPr>
          <w:spacing w:val="1"/>
        </w:rPr>
        <w:t>it</w:t>
      </w:r>
      <w:r>
        <w:rPr>
          <w:spacing w:val="-3"/>
        </w:rPr>
        <w:t>a</w:t>
      </w:r>
      <w:r>
        <w:rPr>
          <w:spacing w:val="1"/>
        </w:rPr>
        <w:t>t</w:t>
      </w:r>
      <w:r>
        <w:t>ea</w:t>
      </w:r>
      <w:r>
        <w:rPr>
          <w:spacing w:val="-2"/>
        </w:rPr>
        <w:t xml:space="preserve"> </w:t>
      </w:r>
      <w:r>
        <w:t>f</w:t>
      </w:r>
      <w:r>
        <w:rPr>
          <w:spacing w:val="1"/>
        </w:rPr>
        <w:t>i</w:t>
      </w:r>
      <w:r>
        <w:rPr>
          <w:spacing w:val="-3"/>
        </w:rPr>
        <w:t>z</w:t>
      </w:r>
      <w:r>
        <w:rPr>
          <w:spacing w:val="-2"/>
        </w:rPr>
        <w:t>i</w:t>
      </w:r>
      <w:r>
        <w:t>că.</w:t>
      </w:r>
    </w:p>
    <w:p w14:paraId="6173105A" w14:textId="77777777" w:rsidR="00C04CAD" w:rsidRDefault="00C04CAD">
      <w:pPr>
        <w:tabs>
          <w:tab w:val="clear" w:pos="567"/>
        </w:tabs>
        <w:kinsoku w:val="0"/>
        <w:overflowPunct w:val="0"/>
        <w:autoSpaceDE w:val="0"/>
        <w:autoSpaceDN w:val="0"/>
        <w:adjustRightInd w:val="0"/>
        <w:spacing w:line="240" w:lineRule="auto"/>
      </w:pPr>
    </w:p>
    <w:p w14:paraId="1647324D" w14:textId="77777777" w:rsidR="00C04CAD" w:rsidRDefault="00060E34">
      <w:pPr>
        <w:tabs>
          <w:tab w:val="clear" w:pos="567"/>
        </w:tabs>
        <w:kinsoku w:val="0"/>
        <w:overflowPunct w:val="0"/>
        <w:autoSpaceDE w:val="0"/>
        <w:autoSpaceDN w:val="0"/>
        <w:adjustRightInd w:val="0"/>
        <w:spacing w:line="240" w:lineRule="auto"/>
      </w:pPr>
      <w:r>
        <w:rPr>
          <w:spacing w:val="-1"/>
          <w:u w:val="single"/>
        </w:rPr>
        <w:t>P</w:t>
      </w:r>
      <w:r>
        <w:rPr>
          <w:u w:val="single"/>
        </w:rPr>
        <w:t>so</w:t>
      </w:r>
      <w:r>
        <w:rPr>
          <w:spacing w:val="-2"/>
          <w:u w:val="single"/>
        </w:rPr>
        <w:t>r</w:t>
      </w:r>
      <w:r>
        <w:rPr>
          <w:spacing w:val="1"/>
          <w:u w:val="single"/>
        </w:rPr>
        <w:t>i</w:t>
      </w:r>
      <w:r>
        <w:rPr>
          <w:u w:val="single"/>
        </w:rPr>
        <w:t>a</w:t>
      </w:r>
      <w:r>
        <w:rPr>
          <w:spacing w:val="-3"/>
          <w:u w:val="single"/>
        </w:rPr>
        <w:t>z</w:t>
      </w:r>
      <w:r>
        <w:rPr>
          <w:spacing w:val="1"/>
          <w:u w:val="single"/>
        </w:rPr>
        <w:t>i</w:t>
      </w:r>
      <w:r>
        <w:rPr>
          <w:u w:val="single"/>
        </w:rPr>
        <w:t>s</w:t>
      </w:r>
      <w:r>
        <w:rPr>
          <w:spacing w:val="-2"/>
          <w:u w:val="single"/>
        </w:rPr>
        <w:t xml:space="preserve"> </w:t>
      </w:r>
      <w:r>
        <w:rPr>
          <w:spacing w:val="1"/>
          <w:u w:val="single"/>
        </w:rPr>
        <w:t>î</w:t>
      </w:r>
      <w:r>
        <w:rPr>
          <w:u w:val="single"/>
        </w:rPr>
        <w:t xml:space="preserve">n </w:t>
      </w:r>
      <w:r>
        <w:rPr>
          <w:spacing w:val="-3"/>
          <w:u w:val="single"/>
        </w:rPr>
        <w:t>p</w:t>
      </w:r>
      <w:r>
        <w:rPr>
          <w:spacing w:val="1"/>
          <w:u w:val="single"/>
        </w:rPr>
        <w:t>l</w:t>
      </w:r>
      <w:r>
        <w:rPr>
          <w:u w:val="single"/>
        </w:rPr>
        <w:t>ă</w:t>
      </w:r>
      <w:r>
        <w:rPr>
          <w:spacing w:val="-3"/>
          <w:u w:val="single"/>
        </w:rPr>
        <w:t>c</w:t>
      </w:r>
      <w:r>
        <w:rPr>
          <w:u w:val="single"/>
        </w:rPr>
        <w:t xml:space="preserve">i </w:t>
      </w:r>
      <w:r>
        <w:rPr>
          <w:spacing w:val="-2"/>
          <w:u w:val="single"/>
        </w:rPr>
        <w:t>l</w:t>
      </w:r>
      <w:r>
        <w:rPr>
          <w:u w:val="single"/>
        </w:rPr>
        <w:t>a ad</w:t>
      </w:r>
      <w:r>
        <w:rPr>
          <w:spacing w:val="-3"/>
          <w:u w:val="single"/>
        </w:rPr>
        <w:t>u</w:t>
      </w:r>
      <w:r>
        <w:rPr>
          <w:spacing w:val="1"/>
          <w:u w:val="single"/>
        </w:rPr>
        <w:t>l</w:t>
      </w:r>
      <w:r>
        <w:rPr>
          <w:spacing w:val="-2"/>
          <w:u w:val="single"/>
        </w:rPr>
        <w:t>ţ</w:t>
      </w:r>
      <w:r>
        <w:rPr>
          <w:u w:val="single"/>
        </w:rPr>
        <w:t xml:space="preserve">i </w:t>
      </w:r>
      <w:r>
        <w:rPr>
          <w:spacing w:val="-2"/>
          <w:u w:val="single"/>
        </w:rPr>
        <w:t>ş</w:t>
      </w:r>
      <w:r>
        <w:rPr>
          <w:u w:val="single"/>
        </w:rPr>
        <w:t>i co</w:t>
      </w:r>
      <w:r>
        <w:rPr>
          <w:spacing w:val="-3"/>
          <w:u w:val="single"/>
        </w:rPr>
        <w:t>p</w:t>
      </w:r>
      <w:r>
        <w:rPr>
          <w:spacing w:val="1"/>
          <w:u w:val="single"/>
        </w:rPr>
        <w:t>i</w:t>
      </w:r>
      <w:r>
        <w:rPr>
          <w:u w:val="single"/>
        </w:rPr>
        <w:t>i</w:t>
      </w:r>
    </w:p>
    <w:p w14:paraId="44617323" w14:textId="77777777" w:rsidR="00C04CAD" w:rsidRDefault="00C04CAD">
      <w:pPr>
        <w:tabs>
          <w:tab w:val="clear" w:pos="567"/>
        </w:tabs>
        <w:kinsoku w:val="0"/>
        <w:overflowPunct w:val="0"/>
        <w:autoSpaceDE w:val="0"/>
        <w:autoSpaceDN w:val="0"/>
        <w:adjustRightInd w:val="0"/>
        <w:spacing w:line="240" w:lineRule="auto"/>
      </w:pPr>
    </w:p>
    <w:p w14:paraId="698AE446" w14:textId="77777777" w:rsidR="00C04CAD" w:rsidRDefault="00060E34">
      <w:pPr>
        <w:tabs>
          <w:tab w:val="clear" w:pos="567"/>
        </w:tabs>
        <w:kinsoku w:val="0"/>
        <w:overflowPunct w:val="0"/>
        <w:autoSpaceDE w:val="0"/>
        <w:autoSpaceDN w:val="0"/>
        <w:adjustRightInd w:val="0"/>
        <w:spacing w:line="240" w:lineRule="auto"/>
      </w:pPr>
      <w:r>
        <w:rPr>
          <w:spacing w:val="-1"/>
        </w:rPr>
        <w:t>P</w:t>
      </w:r>
      <w:r>
        <w:t>so</w:t>
      </w:r>
      <w:r>
        <w:rPr>
          <w:spacing w:val="-2"/>
        </w:rPr>
        <w:t>r</w:t>
      </w:r>
      <w:r>
        <w:rPr>
          <w:spacing w:val="1"/>
        </w:rPr>
        <w:t>i</w:t>
      </w:r>
      <w:r>
        <w:t>a</w:t>
      </w:r>
      <w:r>
        <w:rPr>
          <w:spacing w:val="-3"/>
        </w:rPr>
        <w:t>z</w:t>
      </w:r>
      <w:r>
        <w:rPr>
          <w:spacing w:val="1"/>
        </w:rPr>
        <w:t>i</w:t>
      </w:r>
      <w:r>
        <w:t>s</w:t>
      </w:r>
      <w:r>
        <w:rPr>
          <w:spacing w:val="-3"/>
        </w:rPr>
        <w:t>u</w:t>
      </w:r>
      <w:r>
        <w:t>l</w:t>
      </w:r>
      <w:r>
        <w:rPr>
          <w:spacing w:val="1"/>
        </w:rPr>
        <w:t xml:space="preserve"> î</w:t>
      </w:r>
      <w:r>
        <w:t>n</w:t>
      </w:r>
      <w:r>
        <w:rPr>
          <w:spacing w:val="-3"/>
        </w:rPr>
        <w:t xml:space="preserve"> </w:t>
      </w:r>
      <w:r>
        <w:t>p</w:t>
      </w:r>
      <w:r>
        <w:rPr>
          <w:spacing w:val="-2"/>
        </w:rPr>
        <w:t>l</w:t>
      </w:r>
      <w:r>
        <w:t>ăci</w:t>
      </w:r>
      <w:r>
        <w:rPr>
          <w:spacing w:val="-2"/>
        </w:rPr>
        <w:t xml:space="preserve"> </w:t>
      </w:r>
      <w:r>
        <w:t>e</w:t>
      </w:r>
      <w:r>
        <w:rPr>
          <w:spacing w:val="-2"/>
        </w:rPr>
        <w:t>s</w:t>
      </w:r>
      <w:r>
        <w:rPr>
          <w:spacing w:val="1"/>
        </w:rPr>
        <w:t>t</w:t>
      </w:r>
      <w:r>
        <w:t>e o</w:t>
      </w:r>
      <w:r>
        <w:rPr>
          <w:spacing w:val="-3"/>
        </w:rPr>
        <w:t xml:space="preserve"> a</w:t>
      </w:r>
      <w:r>
        <w:t>fe</w:t>
      </w:r>
      <w:r>
        <w:rPr>
          <w:spacing w:val="-3"/>
        </w:rPr>
        <w:t>c</w:t>
      </w:r>
      <w:r>
        <w:rPr>
          <w:spacing w:val="1"/>
        </w:rPr>
        <w:t>ţi</w:t>
      </w:r>
      <w:r>
        <w:t>u</w:t>
      </w:r>
      <w:r>
        <w:rPr>
          <w:spacing w:val="-3"/>
        </w:rPr>
        <w:t>n</w:t>
      </w:r>
      <w:r>
        <w:t xml:space="preserve">e a </w:t>
      </w:r>
      <w:r>
        <w:rPr>
          <w:spacing w:val="-3"/>
        </w:rPr>
        <w:t>p</w:t>
      </w:r>
      <w:r>
        <w:rPr>
          <w:spacing w:val="1"/>
        </w:rPr>
        <w:t>i</w:t>
      </w:r>
      <w:r>
        <w:rPr>
          <w:spacing w:val="-3"/>
        </w:rPr>
        <w:t>e</w:t>
      </w:r>
      <w:r>
        <w:rPr>
          <w:spacing w:val="1"/>
        </w:rPr>
        <w:t>l</w:t>
      </w:r>
      <w:r>
        <w:rPr>
          <w:spacing w:val="-2"/>
        </w:rPr>
        <w:t>i</w:t>
      </w:r>
      <w:r>
        <w:t>i</w:t>
      </w:r>
      <w:r>
        <w:rPr>
          <w:spacing w:val="1"/>
        </w:rPr>
        <w:t xml:space="preserve"> </w:t>
      </w:r>
      <w:r>
        <w:rPr>
          <w:spacing w:val="-3"/>
        </w:rPr>
        <w:t>c</w:t>
      </w:r>
      <w:r>
        <w:t>are</w:t>
      </w:r>
      <w:r>
        <w:rPr>
          <w:spacing w:val="-2"/>
        </w:rPr>
        <w:t xml:space="preserve"> </w:t>
      </w:r>
      <w:r>
        <w:t>de</w:t>
      </w:r>
      <w:r>
        <w:rPr>
          <w:spacing w:val="-2"/>
        </w:rPr>
        <w:t>t</w:t>
      </w:r>
      <w:r>
        <w:t>er</w:t>
      </w:r>
      <w:r>
        <w:rPr>
          <w:spacing w:val="-4"/>
        </w:rPr>
        <w:t>m</w:t>
      </w:r>
      <w:r>
        <w:rPr>
          <w:spacing w:val="1"/>
        </w:rPr>
        <w:t>i</w:t>
      </w:r>
      <w:r>
        <w:t xml:space="preserve">nă </w:t>
      </w:r>
      <w:r>
        <w:rPr>
          <w:spacing w:val="-3"/>
        </w:rPr>
        <w:t>z</w:t>
      </w:r>
      <w:r>
        <w:t xml:space="preserve">one </w:t>
      </w:r>
      <w:r>
        <w:rPr>
          <w:spacing w:val="-3"/>
        </w:rPr>
        <w:t>d</w:t>
      </w:r>
      <w:r>
        <w:t>e p</w:t>
      </w:r>
      <w:r>
        <w:rPr>
          <w:spacing w:val="-2"/>
        </w:rPr>
        <w:t>i</w:t>
      </w:r>
      <w:r>
        <w:t>e</w:t>
      </w:r>
      <w:r>
        <w:rPr>
          <w:spacing w:val="-2"/>
        </w:rPr>
        <w:t>l</w:t>
      </w:r>
      <w:r>
        <w:t>e r</w:t>
      </w:r>
      <w:r>
        <w:rPr>
          <w:spacing w:val="-3"/>
        </w:rPr>
        <w:t>o</w:t>
      </w:r>
      <w:r>
        <w:t>ş</w:t>
      </w:r>
      <w:r>
        <w:rPr>
          <w:spacing w:val="-2"/>
        </w:rPr>
        <w:t>i</w:t>
      </w:r>
      <w:r>
        <w:rPr>
          <w:spacing w:val="1"/>
        </w:rPr>
        <w:t>i</w:t>
      </w:r>
      <w:r>
        <w:t>, cu</w:t>
      </w:r>
      <w:r>
        <w:rPr>
          <w:spacing w:val="-3"/>
        </w:rPr>
        <w:t xml:space="preserve"> co</w:t>
      </w:r>
      <w:r>
        <w:rPr>
          <w:spacing w:val="3"/>
        </w:rPr>
        <w:t>j</w:t>
      </w:r>
      <w:r>
        <w:rPr>
          <w:spacing w:val="1"/>
        </w:rPr>
        <w:t>i</w:t>
      </w:r>
      <w:r>
        <w:t>,</w:t>
      </w:r>
      <w:r>
        <w:rPr>
          <w:spacing w:val="-3"/>
        </w:rPr>
        <w:t xml:space="preserve"> </w:t>
      </w:r>
      <w:r>
        <w:t xml:space="preserve">cu </w:t>
      </w:r>
      <w:r>
        <w:rPr>
          <w:spacing w:val="-3"/>
        </w:rPr>
        <w:t>c</w:t>
      </w:r>
      <w:r>
        <w:t>ru</w:t>
      </w:r>
      <w:r>
        <w:rPr>
          <w:spacing w:val="-2"/>
        </w:rPr>
        <w:t>s</w:t>
      </w:r>
      <w:r>
        <w:rPr>
          <w:spacing w:val="1"/>
        </w:rPr>
        <w:t>t</w:t>
      </w:r>
      <w:r>
        <w:t>e acop</w:t>
      </w:r>
      <w:r>
        <w:rPr>
          <w:spacing w:val="-3"/>
        </w:rPr>
        <w:t>e</w:t>
      </w:r>
      <w:r>
        <w:t>r</w:t>
      </w:r>
      <w:r>
        <w:rPr>
          <w:spacing w:val="-2"/>
        </w:rPr>
        <w:t>i</w:t>
      </w:r>
      <w:r>
        <w:rPr>
          <w:spacing w:val="1"/>
        </w:rPr>
        <w:t>t</w:t>
      </w:r>
      <w:r>
        <w:t xml:space="preserve">e </w:t>
      </w:r>
      <w:r>
        <w:rPr>
          <w:spacing w:val="-3"/>
        </w:rPr>
        <w:t>c</w:t>
      </w:r>
      <w:r>
        <w:t>u s</w:t>
      </w:r>
      <w:r>
        <w:rPr>
          <w:spacing w:val="-3"/>
        </w:rPr>
        <w:t>o</w:t>
      </w:r>
      <w:r>
        <w:rPr>
          <w:spacing w:val="1"/>
        </w:rPr>
        <w:t>l</w:t>
      </w:r>
      <w:r>
        <w:rPr>
          <w:spacing w:val="-3"/>
        </w:rPr>
        <w:t>z</w:t>
      </w:r>
      <w:r>
        <w:t>i</w:t>
      </w:r>
      <w:r>
        <w:rPr>
          <w:spacing w:val="1"/>
        </w:rPr>
        <w:t xml:space="preserve"> </w:t>
      </w:r>
      <w:r>
        <w:t>ar</w:t>
      </w:r>
      <w:r>
        <w:rPr>
          <w:spacing w:val="-3"/>
        </w:rPr>
        <w:t>g</w:t>
      </w:r>
      <w:r>
        <w:rPr>
          <w:spacing w:val="1"/>
        </w:rPr>
        <w:t>i</w:t>
      </w:r>
      <w:r>
        <w:rPr>
          <w:spacing w:val="-3"/>
        </w:rPr>
        <w:t>n</w:t>
      </w:r>
      <w:r>
        <w:rPr>
          <w:spacing w:val="1"/>
        </w:rPr>
        <w:t>t</w:t>
      </w:r>
      <w:r>
        <w:rPr>
          <w:spacing w:val="-2"/>
        </w:rPr>
        <w:t>i</w:t>
      </w:r>
      <w:r>
        <w:rPr>
          <w:spacing w:val="1"/>
        </w:rPr>
        <w:t>i</w:t>
      </w:r>
      <w:r>
        <w:t>.</w:t>
      </w:r>
      <w:r>
        <w:rPr>
          <w:spacing w:val="-3"/>
        </w:rPr>
        <w:t xml:space="preserve"> </w:t>
      </w:r>
      <w:r>
        <w:rPr>
          <w:spacing w:val="-1"/>
        </w:rPr>
        <w:t>P</w:t>
      </w:r>
      <w:r>
        <w:t>so</w:t>
      </w:r>
      <w:r>
        <w:rPr>
          <w:spacing w:val="-2"/>
        </w:rPr>
        <w:t>r</w:t>
      </w:r>
      <w:r>
        <w:rPr>
          <w:spacing w:val="1"/>
        </w:rPr>
        <w:t>i</w:t>
      </w:r>
      <w:r>
        <w:t>a</w:t>
      </w:r>
      <w:r>
        <w:rPr>
          <w:spacing w:val="-3"/>
        </w:rPr>
        <w:t>z</w:t>
      </w:r>
      <w:r>
        <w:rPr>
          <w:spacing w:val="1"/>
        </w:rPr>
        <w:t>i</w:t>
      </w:r>
      <w:r>
        <w:t>s</w:t>
      </w:r>
      <w:r>
        <w:rPr>
          <w:spacing w:val="-3"/>
        </w:rPr>
        <w:t>u</w:t>
      </w:r>
      <w:r>
        <w:t>l</w:t>
      </w:r>
      <w:r>
        <w:rPr>
          <w:spacing w:val="1"/>
        </w:rPr>
        <w:t xml:space="preserve"> î</w:t>
      </w:r>
      <w:r>
        <w:t>n</w:t>
      </w:r>
      <w:r>
        <w:rPr>
          <w:spacing w:val="-3"/>
        </w:rPr>
        <w:t xml:space="preserve"> </w:t>
      </w:r>
      <w:r>
        <w:t>p</w:t>
      </w:r>
      <w:r>
        <w:rPr>
          <w:spacing w:val="-2"/>
        </w:rPr>
        <w:t>l</w:t>
      </w:r>
      <w:r>
        <w:t>ăci poate afecta, de asemenea, unghiile, care pot deveni fărâmicioase, se pot îngroșa și ridica de pe patul unghial, ceea ce poate fi dureros. Psoriazisul este considerat a fi cauzat</w:t>
      </w:r>
      <w:r>
        <w:rPr>
          <w:spacing w:val="-2"/>
        </w:rPr>
        <w:t xml:space="preserve"> </w:t>
      </w:r>
      <w:r>
        <w:t xml:space="preserve">de o </w:t>
      </w:r>
      <w:r>
        <w:rPr>
          <w:spacing w:val="-3"/>
        </w:rPr>
        <w:t>p</w:t>
      </w:r>
      <w:r>
        <w:t>ro</w:t>
      </w:r>
      <w:r>
        <w:rPr>
          <w:spacing w:val="-3"/>
        </w:rPr>
        <w:t>b</w:t>
      </w:r>
      <w:r>
        <w:rPr>
          <w:spacing w:val="1"/>
        </w:rPr>
        <w:t>l</w:t>
      </w:r>
      <w:r>
        <w:t>e</w:t>
      </w:r>
      <w:r>
        <w:rPr>
          <w:spacing w:val="-4"/>
        </w:rPr>
        <w:t>m</w:t>
      </w:r>
      <w:r>
        <w:t>ă a</w:t>
      </w:r>
      <w:r>
        <w:rPr>
          <w:spacing w:val="-2"/>
        </w:rPr>
        <w:t xml:space="preserve"> </w:t>
      </w:r>
      <w:r>
        <w:t>s</w:t>
      </w:r>
      <w:r>
        <w:rPr>
          <w:spacing w:val="1"/>
        </w:rPr>
        <w:t>i</w:t>
      </w:r>
      <w:r>
        <w:rPr>
          <w:spacing w:val="-2"/>
        </w:rPr>
        <w:t>s</w:t>
      </w:r>
      <w:r>
        <w:rPr>
          <w:spacing w:val="1"/>
        </w:rPr>
        <w:t>t</w:t>
      </w:r>
      <w:r>
        <w:t>e</w:t>
      </w:r>
      <w:r>
        <w:rPr>
          <w:spacing w:val="-4"/>
        </w:rPr>
        <w:t>m</w:t>
      </w:r>
      <w:r>
        <w:t>u</w:t>
      </w:r>
      <w:r>
        <w:rPr>
          <w:spacing w:val="1"/>
        </w:rPr>
        <w:t>l</w:t>
      </w:r>
      <w:r>
        <w:t>ui</w:t>
      </w:r>
      <w:r>
        <w:rPr>
          <w:spacing w:val="-2"/>
        </w:rPr>
        <w:t xml:space="preserve"> </w:t>
      </w:r>
      <w:r>
        <w:rPr>
          <w:spacing w:val="1"/>
        </w:rPr>
        <w:t>i</w:t>
      </w:r>
      <w:r>
        <w:rPr>
          <w:spacing w:val="-4"/>
        </w:rPr>
        <w:t>m</w:t>
      </w:r>
      <w:r>
        <w:t>un</w:t>
      </w:r>
      <w:r>
        <w:rPr>
          <w:spacing w:val="1"/>
        </w:rPr>
        <w:t>it</w:t>
      </w:r>
      <w:r>
        <w:rPr>
          <w:spacing w:val="-3"/>
        </w:rPr>
        <w:t>a</w:t>
      </w:r>
      <w:r>
        <w:t>r</w:t>
      </w:r>
      <w:r>
        <w:rPr>
          <w:spacing w:val="1"/>
        </w:rPr>
        <w:t xml:space="preserve"> </w:t>
      </w:r>
      <w:r>
        <w:t>al or</w:t>
      </w:r>
      <w:r>
        <w:rPr>
          <w:spacing w:val="-3"/>
        </w:rPr>
        <w:t>g</w:t>
      </w:r>
      <w:r>
        <w:t>an</w:t>
      </w:r>
      <w:r>
        <w:rPr>
          <w:spacing w:val="1"/>
        </w:rPr>
        <w:t>i</w:t>
      </w:r>
      <w:r>
        <w:t>s</w:t>
      </w:r>
      <w:r>
        <w:rPr>
          <w:spacing w:val="-4"/>
        </w:rPr>
        <w:t>m</w:t>
      </w:r>
      <w:r>
        <w:t>u</w:t>
      </w:r>
      <w:r>
        <w:rPr>
          <w:spacing w:val="1"/>
        </w:rPr>
        <w:t>l</w:t>
      </w:r>
      <w:r>
        <w:t>u</w:t>
      </w:r>
      <w:r>
        <w:rPr>
          <w:spacing w:val="1"/>
        </w:rPr>
        <w:t>i</w:t>
      </w:r>
      <w:r>
        <w:t>,</w:t>
      </w:r>
      <w:r>
        <w:rPr>
          <w:spacing w:val="-3"/>
        </w:rPr>
        <w:t xml:space="preserve"> </w:t>
      </w:r>
      <w:r>
        <w:t>ca</w:t>
      </w:r>
      <w:r>
        <w:rPr>
          <w:spacing w:val="-2"/>
        </w:rPr>
        <w:t>r</w:t>
      </w:r>
      <w:r>
        <w:t>e du</w:t>
      </w:r>
      <w:r>
        <w:rPr>
          <w:spacing w:val="-3"/>
        </w:rPr>
        <w:t>c</w:t>
      </w:r>
      <w:r>
        <w:t xml:space="preserve">e </w:t>
      </w:r>
      <w:r>
        <w:rPr>
          <w:spacing w:val="-2"/>
        </w:rPr>
        <w:t>l</w:t>
      </w:r>
      <w:r>
        <w:t>a</w:t>
      </w:r>
      <w:r>
        <w:rPr>
          <w:spacing w:val="-2"/>
        </w:rPr>
        <w:t xml:space="preserve"> </w:t>
      </w:r>
      <w:r>
        <w:t>o prod</w:t>
      </w:r>
      <w:r>
        <w:rPr>
          <w:spacing w:val="-3"/>
        </w:rPr>
        <w:t>u</w:t>
      </w:r>
      <w:r>
        <w:t>c</w:t>
      </w:r>
      <w:r>
        <w:rPr>
          <w:spacing w:val="-2"/>
        </w:rPr>
        <w:t>ț</w:t>
      </w:r>
      <w:r>
        <w:rPr>
          <w:spacing w:val="1"/>
        </w:rPr>
        <w:t>i</w:t>
      </w:r>
      <w:r>
        <w:t xml:space="preserve">e </w:t>
      </w:r>
      <w:r>
        <w:rPr>
          <w:spacing w:val="-3"/>
        </w:rPr>
        <w:t>c</w:t>
      </w:r>
      <w:r>
        <w:t>r</w:t>
      </w:r>
      <w:r>
        <w:rPr>
          <w:spacing w:val="-3"/>
        </w:rPr>
        <w:t>e</w:t>
      </w:r>
      <w:r>
        <w:t>sc</w:t>
      </w:r>
      <w:r>
        <w:rPr>
          <w:spacing w:val="-3"/>
        </w:rPr>
        <w:t>u</w:t>
      </w:r>
      <w:r>
        <w:rPr>
          <w:spacing w:val="1"/>
        </w:rPr>
        <w:t>t</w:t>
      </w:r>
      <w:r>
        <w:t>ă de</w:t>
      </w:r>
      <w:r>
        <w:rPr>
          <w:spacing w:val="-2"/>
        </w:rPr>
        <w:t xml:space="preserve"> </w:t>
      </w:r>
      <w:r>
        <w:rPr>
          <w:szCs w:val="22"/>
          <w:lang w:eastAsia="en-US" w:bidi="ar-SA"/>
        </w:rPr>
        <w:t>c</w:t>
      </w:r>
      <w:r>
        <w:rPr>
          <w:spacing w:val="-3"/>
          <w:szCs w:val="22"/>
          <w:lang w:eastAsia="en-US" w:bidi="ar-SA"/>
        </w:rPr>
        <w:t>e</w:t>
      </w:r>
      <w:r>
        <w:rPr>
          <w:spacing w:val="1"/>
          <w:szCs w:val="22"/>
          <w:lang w:eastAsia="en-US" w:bidi="ar-SA"/>
        </w:rPr>
        <w:t>l</w:t>
      </w:r>
      <w:r>
        <w:rPr>
          <w:spacing w:val="-3"/>
          <w:szCs w:val="22"/>
          <w:lang w:eastAsia="en-US" w:bidi="ar-SA"/>
        </w:rPr>
        <w:t>u</w:t>
      </w:r>
      <w:r>
        <w:rPr>
          <w:spacing w:val="1"/>
          <w:szCs w:val="22"/>
          <w:lang w:eastAsia="en-US" w:bidi="ar-SA"/>
        </w:rPr>
        <w:t>l</w:t>
      </w:r>
      <w:r>
        <w:rPr>
          <w:szCs w:val="22"/>
          <w:lang w:eastAsia="en-US" w:bidi="ar-SA"/>
        </w:rPr>
        <w:t>e</w:t>
      </w:r>
      <w:r>
        <w:t xml:space="preserve"> </w:t>
      </w:r>
      <w:r>
        <w:rPr>
          <w:spacing w:val="-3"/>
        </w:rPr>
        <w:t>a</w:t>
      </w:r>
      <w:r>
        <w:rPr>
          <w:spacing w:val="1"/>
        </w:rPr>
        <w:t>l</w:t>
      </w:r>
      <w:r>
        <w:t xml:space="preserve">e </w:t>
      </w:r>
      <w:r>
        <w:rPr>
          <w:spacing w:val="-3"/>
        </w:rPr>
        <w:t>p</w:t>
      </w:r>
      <w:r>
        <w:rPr>
          <w:spacing w:val="1"/>
        </w:rPr>
        <w:t>i</w:t>
      </w:r>
      <w:r>
        <w:rPr>
          <w:spacing w:val="-3"/>
        </w:rPr>
        <w:t>e</w:t>
      </w:r>
      <w:r>
        <w:rPr>
          <w:spacing w:val="1"/>
        </w:rPr>
        <w:t>l</w:t>
      </w:r>
      <w:r>
        <w:rPr>
          <w:spacing w:val="-2"/>
        </w:rPr>
        <w:t>i</w:t>
      </w:r>
      <w:r>
        <w:rPr>
          <w:spacing w:val="1"/>
        </w:rPr>
        <w:t>i</w:t>
      </w:r>
      <w:r>
        <w:t>.</w:t>
      </w:r>
    </w:p>
    <w:p w14:paraId="1064341D" w14:textId="77777777" w:rsidR="00C04CAD" w:rsidRDefault="00C04CAD">
      <w:pPr>
        <w:tabs>
          <w:tab w:val="clear" w:pos="567"/>
        </w:tabs>
        <w:kinsoku w:val="0"/>
        <w:overflowPunct w:val="0"/>
        <w:autoSpaceDE w:val="0"/>
        <w:autoSpaceDN w:val="0"/>
        <w:adjustRightInd w:val="0"/>
        <w:spacing w:line="240" w:lineRule="auto"/>
      </w:pPr>
    </w:p>
    <w:p w14:paraId="6F2FF87A"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rPr>
          <w:spacing w:val="-3"/>
        </w:rPr>
        <w:t>p</w:t>
      </w:r>
      <w:r>
        <w:t>so</w:t>
      </w:r>
      <w:r>
        <w:rPr>
          <w:spacing w:val="-2"/>
        </w:rPr>
        <w:t>r</w:t>
      </w:r>
      <w:r>
        <w:rPr>
          <w:spacing w:val="1"/>
        </w:rPr>
        <w:t>i</w:t>
      </w:r>
      <w:r>
        <w:t>a</w:t>
      </w:r>
      <w:r>
        <w:rPr>
          <w:spacing w:val="-3"/>
        </w:rPr>
        <w:t>z</w:t>
      </w:r>
      <w:r>
        <w:rPr>
          <w:spacing w:val="1"/>
        </w:rPr>
        <w:t>i</w:t>
      </w:r>
      <w:r>
        <w:t>s</w:t>
      </w:r>
      <w:r>
        <w:rPr>
          <w:spacing w:val="-3"/>
        </w:rPr>
        <w:t>u</w:t>
      </w:r>
      <w:r>
        <w:rPr>
          <w:spacing w:val="-2"/>
        </w:rPr>
        <w:t>l</w:t>
      </w:r>
      <w:r>
        <w:t>ui</w:t>
      </w:r>
      <w:r>
        <w:rPr>
          <w:spacing w:val="1"/>
        </w:rPr>
        <w:t xml:space="preserve"> î</w:t>
      </w:r>
      <w:r>
        <w:t>n</w:t>
      </w:r>
      <w:r>
        <w:rPr>
          <w:spacing w:val="-3"/>
        </w:rPr>
        <w:t xml:space="preserve"> </w:t>
      </w:r>
      <w:r>
        <w:t>p</w:t>
      </w:r>
      <w:r>
        <w:rPr>
          <w:spacing w:val="-2"/>
        </w:rPr>
        <w:t>l</w:t>
      </w:r>
      <w:r>
        <w:t>ăci</w:t>
      </w:r>
      <w:r>
        <w:rPr>
          <w:spacing w:val="-2"/>
        </w:rPr>
        <w:t xml:space="preserve"> moderat p</w:t>
      </w:r>
      <w:r>
        <w:rPr>
          <w:szCs w:val="22"/>
        </w:rPr>
        <w:t>ân</w:t>
      </w:r>
      <w:r>
        <w:t>ă</w:t>
      </w:r>
      <w:r>
        <w:rPr>
          <w:szCs w:val="22"/>
        </w:rPr>
        <w:t xml:space="preserve"> la </w:t>
      </w:r>
      <w:r>
        <w:t>se</w:t>
      </w:r>
      <w:r>
        <w:rPr>
          <w:spacing w:val="-3"/>
        </w:rPr>
        <w:t>v</w:t>
      </w:r>
      <w:r>
        <w:t>er</w:t>
      </w:r>
      <w:r>
        <w:rPr>
          <w:spacing w:val="-2"/>
        </w:rPr>
        <w:t xml:space="preserve"> </w:t>
      </w:r>
      <w:r>
        <w:rPr>
          <w:spacing w:val="1"/>
        </w:rPr>
        <w:t>l</w:t>
      </w:r>
      <w:r>
        <w:t>a</w:t>
      </w:r>
      <w:r>
        <w:rPr>
          <w:spacing w:val="-1"/>
          <w:szCs w:val="22"/>
          <w:lang w:eastAsia="en-US" w:bidi="ar-SA"/>
        </w:rPr>
        <w:t xml:space="preserve"> adul</w:t>
      </w:r>
      <w:r>
        <w:rPr>
          <w:spacing w:val="-2"/>
        </w:rPr>
        <w:t>ț</w:t>
      </w:r>
      <w:r>
        <w:rPr>
          <w:spacing w:val="1"/>
        </w:rPr>
        <w:t xml:space="preserve">i. </w:t>
      </w: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 xml:space="preserve">ă </w:t>
      </w:r>
      <w:r>
        <w:rPr>
          <w:spacing w:val="-2"/>
        </w:rPr>
        <w:t>ş</w:t>
      </w:r>
      <w:r>
        <w:t>i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rPr>
          <w:spacing w:val="-3"/>
        </w:rPr>
        <w:t>p</w:t>
      </w:r>
      <w:r>
        <w:t>so</w:t>
      </w:r>
      <w:r>
        <w:rPr>
          <w:spacing w:val="-2"/>
        </w:rPr>
        <w:t>r</w:t>
      </w:r>
      <w:r>
        <w:rPr>
          <w:spacing w:val="1"/>
        </w:rPr>
        <w:t>i</w:t>
      </w:r>
      <w:r>
        <w:t>a</w:t>
      </w:r>
      <w:r>
        <w:rPr>
          <w:spacing w:val="-3"/>
        </w:rPr>
        <w:t>z</w:t>
      </w:r>
      <w:r>
        <w:rPr>
          <w:spacing w:val="1"/>
        </w:rPr>
        <w:t>i</w:t>
      </w:r>
      <w:r>
        <w:t>s</w:t>
      </w:r>
      <w:r>
        <w:rPr>
          <w:spacing w:val="-3"/>
        </w:rPr>
        <w:t>u</w:t>
      </w:r>
      <w:r>
        <w:rPr>
          <w:spacing w:val="-2"/>
        </w:rPr>
        <w:t>l</w:t>
      </w:r>
      <w:r>
        <w:t>ui</w:t>
      </w:r>
      <w:r>
        <w:rPr>
          <w:spacing w:val="1"/>
        </w:rPr>
        <w:t xml:space="preserve"> î</w:t>
      </w:r>
      <w:r>
        <w:t>n</w:t>
      </w:r>
      <w:r>
        <w:rPr>
          <w:spacing w:val="-3"/>
        </w:rPr>
        <w:t xml:space="preserve"> </w:t>
      </w:r>
      <w:r>
        <w:t>p</w:t>
      </w:r>
      <w:r>
        <w:rPr>
          <w:spacing w:val="-2"/>
        </w:rPr>
        <w:t>l</w:t>
      </w:r>
      <w:r>
        <w:t>ăci</w:t>
      </w:r>
      <w:r>
        <w:rPr>
          <w:spacing w:val="-2"/>
        </w:rPr>
        <w:t xml:space="preserve"> </w:t>
      </w:r>
      <w:r>
        <w:t>se</w:t>
      </w:r>
      <w:r>
        <w:rPr>
          <w:spacing w:val="-3"/>
        </w:rPr>
        <w:t>v</w:t>
      </w:r>
      <w:r>
        <w:t>er</w:t>
      </w:r>
      <w:r>
        <w:rPr>
          <w:spacing w:val="-2"/>
        </w:rPr>
        <w:t xml:space="preserve"> </w:t>
      </w:r>
      <w:r>
        <w:rPr>
          <w:spacing w:val="1"/>
        </w:rPr>
        <w:t>l</w:t>
      </w:r>
      <w:r>
        <w:t xml:space="preserve">a </w:t>
      </w:r>
      <w:r>
        <w:rPr>
          <w:spacing w:val="-3"/>
        </w:rPr>
        <w:t>c</w:t>
      </w:r>
      <w:r>
        <w:t>op</w:t>
      </w:r>
      <w:r>
        <w:rPr>
          <w:spacing w:val="-2"/>
        </w:rPr>
        <w:t>i</w:t>
      </w:r>
      <w:r>
        <w:t>i</w:t>
      </w:r>
      <w:r>
        <w:rPr>
          <w:spacing w:val="1"/>
        </w:rPr>
        <w:t xml:space="preserve"> </w:t>
      </w:r>
      <w:r>
        <w:rPr>
          <w:spacing w:val="-2"/>
        </w:rPr>
        <w:t>ș</w:t>
      </w:r>
      <w:r>
        <w:t>i</w:t>
      </w:r>
      <w:r>
        <w:rPr>
          <w:spacing w:val="-2"/>
        </w:rPr>
        <w:t xml:space="preserve"> </w:t>
      </w:r>
      <w:r>
        <w:t>ado</w:t>
      </w:r>
      <w:r>
        <w:rPr>
          <w:spacing w:val="1"/>
        </w:rPr>
        <w:t>l</w:t>
      </w:r>
      <w:r>
        <w:rPr>
          <w:spacing w:val="-3"/>
        </w:rPr>
        <w:t>e</w:t>
      </w:r>
      <w:r>
        <w:t>sc</w:t>
      </w:r>
      <w:r>
        <w:rPr>
          <w:spacing w:val="-3"/>
        </w:rPr>
        <w:t>e</w:t>
      </w:r>
      <w:r>
        <w:t>n</w:t>
      </w:r>
      <w:r>
        <w:rPr>
          <w:spacing w:val="-2"/>
        </w:rPr>
        <w:t>ț</w:t>
      </w:r>
      <w:r>
        <w:t>i</w:t>
      </w:r>
      <w:r>
        <w:rPr>
          <w:spacing w:val="1"/>
        </w:rPr>
        <w:t xml:space="preserve"> </w:t>
      </w:r>
      <w:r>
        <w:t xml:space="preserve">cu </w:t>
      </w:r>
      <w:r>
        <w:rPr>
          <w:spacing w:val="-3"/>
          <w:szCs w:val="22"/>
          <w:lang w:eastAsia="en-US" w:bidi="ar-SA"/>
        </w:rPr>
        <w:t>vârsta cuprinsă între 4 și 17 ani</w:t>
      </w:r>
      <w:r>
        <w:rPr>
          <w:szCs w:val="22"/>
          <w:lang w:eastAsia="en-US" w:bidi="ar-SA"/>
        </w:rPr>
        <w:t>,</w:t>
      </w:r>
      <w:r>
        <w:t xml:space="preserve"> </w:t>
      </w:r>
      <w:r>
        <w:rPr>
          <w:spacing w:val="1"/>
        </w:rPr>
        <w:t>l</w:t>
      </w:r>
      <w:r>
        <w:t>a</w:t>
      </w:r>
      <w:r>
        <w:rPr>
          <w:spacing w:val="-2"/>
        </w:rPr>
        <w:t xml:space="preserve"> </w:t>
      </w:r>
      <w:r>
        <w:t>care</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ul</w:t>
      </w:r>
      <w:r>
        <w:rPr>
          <w:spacing w:val="-2"/>
        </w:rPr>
        <w:t xml:space="preserve"> </w:t>
      </w:r>
      <w:r>
        <w:rPr>
          <w:spacing w:val="1"/>
          <w:szCs w:val="22"/>
          <w:lang w:eastAsia="en-US" w:bidi="ar-SA"/>
        </w:rPr>
        <w:t>local</w:t>
      </w:r>
      <w:r>
        <w:t xml:space="preserve"> </w:t>
      </w:r>
      <w:r>
        <w:rPr>
          <w:spacing w:val="-2"/>
        </w:rPr>
        <w:t>ş</w:t>
      </w:r>
      <w:r>
        <w:t>i</w:t>
      </w:r>
      <w:r>
        <w:rPr>
          <w:spacing w:val="1"/>
        </w:rPr>
        <w:t xml:space="preserve"> </w:t>
      </w:r>
      <w:r>
        <w:t>f</w:t>
      </w:r>
      <w:r>
        <w:rPr>
          <w:spacing w:val="-3"/>
        </w:rPr>
        <w:t>o</w:t>
      </w:r>
      <w:r>
        <w:rPr>
          <w:spacing w:val="-2"/>
        </w:rPr>
        <w:t>t</w:t>
      </w:r>
      <w:r>
        <w:t>o</w:t>
      </w:r>
      <w:r>
        <w:rPr>
          <w:spacing w:val="1"/>
        </w:rPr>
        <w:t>t</w:t>
      </w:r>
      <w:r>
        <w:t>e</w:t>
      </w:r>
      <w:r>
        <w:rPr>
          <w:spacing w:val="-2"/>
        </w:rPr>
        <w:t>r</w:t>
      </w:r>
      <w:r>
        <w:t>ap</w:t>
      </w:r>
      <w:r>
        <w:rPr>
          <w:spacing w:val="-2"/>
        </w:rPr>
        <w:t>ii</w:t>
      </w:r>
      <w:r>
        <w:rPr>
          <w:spacing w:val="1"/>
        </w:rPr>
        <w:t>l</w:t>
      </w:r>
      <w:r>
        <w:t xml:space="preserve">e </w:t>
      </w:r>
      <w:r>
        <w:rPr>
          <w:spacing w:val="-2"/>
        </w:rPr>
        <w:t>f</w:t>
      </w:r>
      <w:r>
        <w:rPr>
          <w:spacing w:val="1"/>
        </w:rPr>
        <w:t>i</w:t>
      </w:r>
      <w:r>
        <w:t xml:space="preserve">e </w:t>
      </w:r>
      <w:r>
        <w:rPr>
          <w:spacing w:val="-3"/>
        </w:rPr>
        <w:t>n</w:t>
      </w:r>
      <w:r>
        <w:t>u au</w:t>
      </w:r>
      <w:r>
        <w:rPr>
          <w:spacing w:val="-3"/>
        </w:rPr>
        <w:t xml:space="preserve"> </w:t>
      </w:r>
      <w:r>
        <w:t>a</w:t>
      </w:r>
      <w:r>
        <w:rPr>
          <w:spacing w:val="-3"/>
        </w:rPr>
        <w:t>v</w:t>
      </w:r>
      <w:r>
        <w:t>ut</w:t>
      </w:r>
      <w:r>
        <w:rPr>
          <w:spacing w:val="1"/>
        </w:rPr>
        <w:t xml:space="preserve"> </w:t>
      </w:r>
      <w:r>
        <w:t>re</w:t>
      </w:r>
      <w:r>
        <w:rPr>
          <w:spacing w:val="-5"/>
        </w:rPr>
        <w:t>z</w:t>
      </w:r>
      <w:r>
        <w:t>u</w:t>
      </w:r>
      <w:r>
        <w:rPr>
          <w:spacing w:val="1"/>
        </w:rPr>
        <w:t>l</w:t>
      </w:r>
      <w:r>
        <w:rPr>
          <w:spacing w:val="-2"/>
        </w:rPr>
        <w:t>t</w:t>
      </w:r>
      <w:r>
        <w:t>a</w:t>
      </w:r>
      <w:r>
        <w:rPr>
          <w:spacing w:val="1"/>
        </w:rPr>
        <w:t>t</w:t>
      </w:r>
      <w:r>
        <w:t>e</w:t>
      </w:r>
      <w:r>
        <w:rPr>
          <w:spacing w:val="-2"/>
        </w:rPr>
        <w:t xml:space="preserve"> </w:t>
      </w:r>
      <w:r>
        <w:t>fo</w:t>
      </w:r>
      <w:r>
        <w:rPr>
          <w:spacing w:val="-3"/>
        </w:rPr>
        <w:t>a</w:t>
      </w:r>
      <w:r>
        <w:t>r</w:t>
      </w:r>
      <w:r>
        <w:rPr>
          <w:spacing w:val="-2"/>
        </w:rPr>
        <w:t>t</w:t>
      </w:r>
      <w:r>
        <w:t>e bu</w:t>
      </w:r>
      <w:r>
        <w:rPr>
          <w:spacing w:val="-3"/>
        </w:rPr>
        <w:t>n</w:t>
      </w:r>
      <w:r>
        <w:t>e f</w:t>
      </w:r>
      <w:r>
        <w:rPr>
          <w:spacing w:val="1"/>
        </w:rPr>
        <w:t>i</w:t>
      </w:r>
      <w:r>
        <w:t>e</w:t>
      </w:r>
      <w:r>
        <w:rPr>
          <w:spacing w:val="-2"/>
        </w:rPr>
        <w:t xml:space="preserve"> </w:t>
      </w:r>
      <w:r>
        <w:t>ac</w:t>
      </w:r>
      <w:r>
        <w:rPr>
          <w:spacing w:val="-3"/>
        </w:rPr>
        <w:t>e</w:t>
      </w:r>
      <w:r>
        <w:t>s</w:t>
      </w:r>
      <w:r>
        <w:rPr>
          <w:spacing w:val="1"/>
        </w:rPr>
        <w:t>t</w:t>
      </w:r>
      <w:r>
        <w:rPr>
          <w:spacing w:val="-3"/>
        </w:rPr>
        <w:t>e</w:t>
      </w:r>
      <w:r>
        <w:t>a nu</w:t>
      </w:r>
      <w:r>
        <w:rPr>
          <w:spacing w:val="-3"/>
        </w:rPr>
        <w:t xml:space="preserve"> </w:t>
      </w:r>
      <w:r>
        <w:t>sunt</w:t>
      </w:r>
      <w:r>
        <w:rPr>
          <w:spacing w:val="-2"/>
        </w:rPr>
        <w:t xml:space="preserve"> </w:t>
      </w:r>
      <w:r>
        <w:t>r</w:t>
      </w:r>
      <w:r>
        <w:rPr>
          <w:spacing w:val="-3"/>
        </w:rPr>
        <w:t>e</w:t>
      </w:r>
      <w:r>
        <w:t>co</w:t>
      </w:r>
      <w:r>
        <w:rPr>
          <w:spacing w:val="-4"/>
        </w:rPr>
        <w:t>m</w:t>
      </w:r>
      <w:r>
        <w:t>anda</w:t>
      </w:r>
      <w:r>
        <w:rPr>
          <w:spacing w:val="1"/>
        </w:rPr>
        <w:t>t</w:t>
      </w:r>
      <w:r>
        <w:t>e.</w:t>
      </w:r>
    </w:p>
    <w:p w14:paraId="1E5C4626" w14:textId="77777777" w:rsidR="00C04CAD" w:rsidRDefault="00C04CAD">
      <w:pPr>
        <w:tabs>
          <w:tab w:val="clear" w:pos="567"/>
        </w:tabs>
        <w:kinsoku w:val="0"/>
        <w:overflowPunct w:val="0"/>
        <w:autoSpaceDE w:val="0"/>
        <w:autoSpaceDN w:val="0"/>
        <w:adjustRightInd w:val="0"/>
        <w:spacing w:line="240" w:lineRule="auto"/>
        <w:rPr>
          <w:szCs w:val="22"/>
        </w:rPr>
      </w:pPr>
    </w:p>
    <w:p w14:paraId="54FBF3F3" w14:textId="77777777" w:rsidR="00C04CAD" w:rsidRDefault="00060E34">
      <w:pPr>
        <w:tabs>
          <w:tab w:val="clear" w:pos="567"/>
        </w:tabs>
        <w:kinsoku w:val="0"/>
        <w:overflowPunct w:val="0"/>
        <w:autoSpaceDE w:val="0"/>
        <w:autoSpaceDN w:val="0"/>
        <w:adjustRightInd w:val="0"/>
        <w:spacing w:line="240" w:lineRule="auto"/>
        <w:rPr>
          <w:szCs w:val="22"/>
        </w:rPr>
      </w:pPr>
      <w:r>
        <w:rPr>
          <w:spacing w:val="-2"/>
          <w:szCs w:val="22"/>
          <w:u w:val="single"/>
        </w:rPr>
        <w:t>H</w:t>
      </w:r>
      <w:r>
        <w:rPr>
          <w:spacing w:val="1"/>
          <w:szCs w:val="22"/>
          <w:u w:val="single"/>
        </w:rPr>
        <w:t>i</w:t>
      </w:r>
      <w:r>
        <w:rPr>
          <w:szCs w:val="22"/>
          <w:u w:val="single"/>
        </w:rPr>
        <w:t>dro</w:t>
      </w:r>
      <w:r>
        <w:rPr>
          <w:spacing w:val="-2"/>
          <w:szCs w:val="22"/>
          <w:u w:val="single"/>
        </w:rPr>
        <w:t>s</w:t>
      </w:r>
      <w:r>
        <w:rPr>
          <w:szCs w:val="22"/>
          <w:u w:val="single"/>
        </w:rPr>
        <w:t>ade</w:t>
      </w:r>
      <w:r>
        <w:rPr>
          <w:spacing w:val="-3"/>
          <w:szCs w:val="22"/>
          <w:u w:val="single"/>
        </w:rPr>
        <w:t>n</w:t>
      </w:r>
      <w:r>
        <w:rPr>
          <w:spacing w:val="1"/>
          <w:szCs w:val="22"/>
          <w:u w:val="single"/>
        </w:rPr>
        <w:t>i</w:t>
      </w:r>
      <w:r>
        <w:rPr>
          <w:spacing w:val="-2"/>
          <w:szCs w:val="22"/>
          <w:u w:val="single"/>
        </w:rPr>
        <w:t>t</w:t>
      </w:r>
      <w:r>
        <w:rPr>
          <w:szCs w:val="22"/>
          <w:u w:val="single"/>
        </w:rPr>
        <w:t>ă su</w:t>
      </w:r>
      <w:r>
        <w:rPr>
          <w:spacing w:val="-3"/>
          <w:szCs w:val="22"/>
          <w:u w:val="single"/>
        </w:rPr>
        <w:t>p</w:t>
      </w:r>
      <w:r>
        <w:rPr>
          <w:szCs w:val="22"/>
          <w:u w:val="single"/>
        </w:rPr>
        <w:t>ur</w:t>
      </w:r>
      <w:r>
        <w:rPr>
          <w:spacing w:val="-3"/>
          <w:szCs w:val="22"/>
          <w:u w:val="single"/>
        </w:rPr>
        <w:t>a</w:t>
      </w:r>
      <w:r>
        <w:rPr>
          <w:spacing w:val="-2"/>
          <w:szCs w:val="22"/>
          <w:u w:val="single"/>
        </w:rPr>
        <w:t>t</w:t>
      </w:r>
      <w:r>
        <w:rPr>
          <w:spacing w:val="1"/>
          <w:szCs w:val="22"/>
          <w:u w:val="single"/>
        </w:rPr>
        <w:t>i</w:t>
      </w:r>
      <w:r>
        <w:rPr>
          <w:spacing w:val="-3"/>
          <w:szCs w:val="22"/>
          <w:u w:val="single"/>
        </w:rPr>
        <w:t xml:space="preserve">vă la adulți și adolescenți </w:t>
      </w:r>
    </w:p>
    <w:p w14:paraId="60CA8A71" w14:textId="77777777" w:rsidR="00C04CAD" w:rsidRDefault="00C04CAD">
      <w:pPr>
        <w:tabs>
          <w:tab w:val="clear" w:pos="567"/>
        </w:tabs>
        <w:kinsoku w:val="0"/>
        <w:overflowPunct w:val="0"/>
        <w:autoSpaceDE w:val="0"/>
        <w:autoSpaceDN w:val="0"/>
        <w:adjustRightInd w:val="0"/>
        <w:spacing w:line="240" w:lineRule="auto"/>
        <w:rPr>
          <w:szCs w:val="22"/>
        </w:rPr>
      </w:pPr>
    </w:p>
    <w:p w14:paraId="552DF0BC" w14:textId="77777777" w:rsidR="00C04CAD" w:rsidRDefault="00060E34">
      <w:pPr>
        <w:tabs>
          <w:tab w:val="clear" w:pos="567"/>
        </w:tabs>
        <w:kinsoku w:val="0"/>
        <w:overflowPunct w:val="0"/>
        <w:autoSpaceDE w:val="0"/>
        <w:autoSpaceDN w:val="0"/>
        <w:adjustRightInd w:val="0"/>
        <w:spacing w:line="240" w:lineRule="auto"/>
        <w:rPr>
          <w:szCs w:val="22"/>
        </w:rPr>
      </w:pPr>
      <w:r>
        <w:rPr>
          <w:spacing w:val="-2"/>
          <w:szCs w:val="22"/>
        </w:rPr>
        <w:t>H</w:t>
      </w:r>
      <w:r>
        <w:rPr>
          <w:spacing w:val="1"/>
          <w:szCs w:val="22"/>
        </w:rPr>
        <w:t>i</w:t>
      </w:r>
      <w:r>
        <w:rPr>
          <w:szCs w:val="22"/>
        </w:rPr>
        <w:t>dro</w:t>
      </w:r>
      <w:r>
        <w:rPr>
          <w:spacing w:val="-2"/>
          <w:szCs w:val="22"/>
        </w:rPr>
        <w:t>s</w:t>
      </w:r>
      <w:r>
        <w:rPr>
          <w:szCs w:val="22"/>
        </w:rPr>
        <w:t>ade</w:t>
      </w:r>
      <w:r>
        <w:rPr>
          <w:spacing w:val="-3"/>
          <w:szCs w:val="22"/>
        </w:rPr>
        <w:t>n</w:t>
      </w:r>
      <w:r>
        <w:rPr>
          <w:spacing w:val="1"/>
          <w:szCs w:val="22"/>
        </w:rPr>
        <w:t>i</w:t>
      </w:r>
      <w:r>
        <w:rPr>
          <w:spacing w:val="-2"/>
          <w:szCs w:val="22"/>
        </w:rPr>
        <w:t>t</w:t>
      </w:r>
      <w:r>
        <w:rPr>
          <w:szCs w:val="22"/>
        </w:rPr>
        <w:t>a su</w:t>
      </w:r>
      <w:r>
        <w:rPr>
          <w:spacing w:val="-3"/>
          <w:szCs w:val="22"/>
        </w:rPr>
        <w:t>p</w:t>
      </w:r>
      <w:r>
        <w:rPr>
          <w:szCs w:val="22"/>
        </w:rPr>
        <w:t>ur</w:t>
      </w:r>
      <w:r>
        <w:rPr>
          <w:spacing w:val="-3"/>
          <w:szCs w:val="22"/>
        </w:rPr>
        <w:t>a</w:t>
      </w:r>
      <w:r>
        <w:rPr>
          <w:spacing w:val="-2"/>
          <w:szCs w:val="22"/>
        </w:rPr>
        <w:t>t</w:t>
      </w:r>
      <w:r>
        <w:rPr>
          <w:spacing w:val="1"/>
          <w:szCs w:val="22"/>
        </w:rPr>
        <w:t>i</w:t>
      </w:r>
      <w:r>
        <w:rPr>
          <w:spacing w:val="-3"/>
          <w:szCs w:val="22"/>
        </w:rPr>
        <w:t>v</w:t>
      </w:r>
      <w:r>
        <w:rPr>
          <w:szCs w:val="22"/>
        </w:rPr>
        <w:t>ă (</w:t>
      </w:r>
      <w:r>
        <w:rPr>
          <w:spacing w:val="-3"/>
          <w:szCs w:val="22"/>
        </w:rPr>
        <w:t>u</w:t>
      </w:r>
      <w:r>
        <w:rPr>
          <w:szCs w:val="22"/>
        </w:rPr>
        <w:t>neo</w:t>
      </w:r>
      <w:r>
        <w:rPr>
          <w:spacing w:val="-2"/>
          <w:szCs w:val="22"/>
        </w:rPr>
        <w:t>r</w:t>
      </w:r>
      <w:r>
        <w:rPr>
          <w:szCs w:val="22"/>
        </w:rPr>
        <w:t>i</w:t>
      </w:r>
      <w:r>
        <w:rPr>
          <w:spacing w:val="1"/>
          <w:szCs w:val="22"/>
        </w:rPr>
        <w:t xml:space="preserve"> </w:t>
      </w:r>
      <w:r>
        <w:rPr>
          <w:szCs w:val="22"/>
        </w:rPr>
        <w:t>nu</w:t>
      </w:r>
      <w:r>
        <w:rPr>
          <w:spacing w:val="-4"/>
          <w:szCs w:val="22"/>
        </w:rPr>
        <w:t>m</w:t>
      </w:r>
      <w:r>
        <w:rPr>
          <w:spacing w:val="1"/>
          <w:szCs w:val="22"/>
        </w:rPr>
        <w:t>it</w:t>
      </w:r>
      <w:r>
        <w:rPr>
          <w:szCs w:val="22"/>
        </w:rPr>
        <w:t>ă</w:t>
      </w:r>
      <w:r>
        <w:rPr>
          <w:spacing w:val="-2"/>
          <w:szCs w:val="22"/>
        </w:rPr>
        <w:t xml:space="preserve"> </w:t>
      </w:r>
      <w:r>
        <w:rPr>
          <w:szCs w:val="22"/>
        </w:rPr>
        <w:t>acn</w:t>
      </w:r>
      <w:r>
        <w:rPr>
          <w:spacing w:val="-2"/>
          <w:szCs w:val="22"/>
        </w:rPr>
        <w:t>e</w:t>
      </w:r>
      <w:r>
        <w:rPr>
          <w:szCs w:val="22"/>
        </w:rPr>
        <w:t xml:space="preserve">e </w:t>
      </w:r>
      <w:r>
        <w:rPr>
          <w:spacing w:val="1"/>
          <w:szCs w:val="22"/>
        </w:rPr>
        <w:t>i</w:t>
      </w:r>
      <w:r>
        <w:rPr>
          <w:szCs w:val="22"/>
        </w:rPr>
        <w:t>n</w:t>
      </w:r>
      <w:r>
        <w:rPr>
          <w:spacing w:val="-3"/>
          <w:szCs w:val="22"/>
        </w:rPr>
        <w:t>v</w:t>
      </w:r>
      <w:r>
        <w:rPr>
          <w:szCs w:val="22"/>
        </w:rPr>
        <w:t>e</w:t>
      </w:r>
      <w:r>
        <w:rPr>
          <w:spacing w:val="-2"/>
          <w:szCs w:val="22"/>
        </w:rPr>
        <w:t>r</w:t>
      </w:r>
      <w:r>
        <w:rPr>
          <w:szCs w:val="22"/>
        </w:rPr>
        <w:t>să)</w:t>
      </w:r>
      <w:r>
        <w:rPr>
          <w:spacing w:val="-2"/>
          <w:szCs w:val="22"/>
        </w:rPr>
        <w:t xml:space="preserve"> </w:t>
      </w:r>
      <w:r>
        <w:rPr>
          <w:szCs w:val="22"/>
        </w:rPr>
        <w:t>es</w:t>
      </w:r>
      <w:r>
        <w:rPr>
          <w:spacing w:val="-2"/>
          <w:szCs w:val="22"/>
        </w:rPr>
        <w:t>t</w:t>
      </w:r>
      <w:r>
        <w:rPr>
          <w:szCs w:val="22"/>
        </w:rPr>
        <w:t xml:space="preserve">e o </w:t>
      </w:r>
      <w:r>
        <w:rPr>
          <w:spacing w:val="-3"/>
          <w:szCs w:val="22"/>
        </w:rPr>
        <w:t>a</w:t>
      </w:r>
      <w:r>
        <w:rPr>
          <w:szCs w:val="22"/>
        </w:rPr>
        <w:t>fe</w:t>
      </w:r>
      <w:r>
        <w:rPr>
          <w:spacing w:val="-3"/>
          <w:szCs w:val="22"/>
        </w:rPr>
        <w:t>c</w:t>
      </w:r>
      <w:r>
        <w:rPr>
          <w:spacing w:val="1"/>
          <w:szCs w:val="22"/>
        </w:rPr>
        <w:t>ţ</w:t>
      </w:r>
      <w:r>
        <w:rPr>
          <w:spacing w:val="-2"/>
          <w:szCs w:val="22"/>
        </w:rPr>
        <w:t>i</w:t>
      </w:r>
      <w:r>
        <w:rPr>
          <w:szCs w:val="22"/>
        </w:rPr>
        <w:t>une</w:t>
      </w:r>
      <w:r>
        <w:rPr>
          <w:spacing w:val="-2"/>
          <w:szCs w:val="22"/>
        </w:rPr>
        <w:t xml:space="preserve"> </w:t>
      </w:r>
      <w:r>
        <w:rPr>
          <w:spacing w:val="1"/>
          <w:szCs w:val="22"/>
        </w:rPr>
        <w:t>i</w:t>
      </w:r>
      <w:r>
        <w:rPr>
          <w:szCs w:val="22"/>
        </w:rPr>
        <w:t>n</w:t>
      </w:r>
      <w:r>
        <w:rPr>
          <w:spacing w:val="-2"/>
          <w:szCs w:val="22"/>
        </w:rPr>
        <w:t>f</w:t>
      </w:r>
      <w:r>
        <w:rPr>
          <w:spacing w:val="1"/>
          <w:szCs w:val="22"/>
        </w:rPr>
        <w:t>l</w:t>
      </w:r>
      <w:r>
        <w:rPr>
          <w:szCs w:val="22"/>
        </w:rPr>
        <w:t>a</w:t>
      </w:r>
      <w:r>
        <w:rPr>
          <w:spacing w:val="-4"/>
          <w:szCs w:val="22"/>
        </w:rPr>
        <w:t>m</w:t>
      </w:r>
      <w:r>
        <w:rPr>
          <w:szCs w:val="22"/>
        </w:rPr>
        <w:t>a</w:t>
      </w:r>
      <w:r>
        <w:rPr>
          <w:spacing w:val="1"/>
          <w:szCs w:val="22"/>
        </w:rPr>
        <w:t>t</w:t>
      </w:r>
      <w:r>
        <w:rPr>
          <w:szCs w:val="22"/>
        </w:rPr>
        <w:t>o</w:t>
      </w:r>
      <w:r>
        <w:rPr>
          <w:spacing w:val="-2"/>
          <w:szCs w:val="22"/>
        </w:rPr>
        <w:t>ri</w:t>
      </w:r>
      <w:r>
        <w:rPr>
          <w:szCs w:val="22"/>
        </w:rPr>
        <w:t>e cr</w:t>
      </w:r>
      <w:r>
        <w:rPr>
          <w:spacing w:val="-3"/>
          <w:szCs w:val="22"/>
        </w:rPr>
        <w:t>o</w:t>
      </w:r>
      <w:r>
        <w:rPr>
          <w:szCs w:val="22"/>
        </w:rPr>
        <w:t>n</w:t>
      </w:r>
      <w:r>
        <w:rPr>
          <w:spacing w:val="1"/>
          <w:szCs w:val="22"/>
        </w:rPr>
        <w:t>i</w:t>
      </w:r>
      <w:r>
        <w:rPr>
          <w:spacing w:val="-3"/>
          <w:szCs w:val="22"/>
        </w:rPr>
        <w:t>c</w:t>
      </w:r>
      <w:r>
        <w:rPr>
          <w:szCs w:val="22"/>
        </w:rPr>
        <w:t xml:space="preserve">ă </w:t>
      </w:r>
      <w:r>
        <w:rPr>
          <w:spacing w:val="-2"/>
          <w:szCs w:val="22"/>
        </w:rPr>
        <w:t>ş</w:t>
      </w:r>
      <w:r>
        <w:rPr>
          <w:szCs w:val="22"/>
        </w:rPr>
        <w:t>i</w:t>
      </w:r>
      <w:r>
        <w:rPr>
          <w:spacing w:val="1"/>
          <w:szCs w:val="22"/>
        </w:rPr>
        <w:t xml:space="preserve"> </w:t>
      </w:r>
      <w:r>
        <w:rPr>
          <w:szCs w:val="22"/>
        </w:rPr>
        <w:t>ad</w:t>
      </w:r>
      <w:r>
        <w:rPr>
          <w:spacing w:val="-3"/>
          <w:szCs w:val="22"/>
        </w:rPr>
        <w:t>e</w:t>
      </w:r>
      <w:r>
        <w:rPr>
          <w:szCs w:val="22"/>
        </w:rPr>
        <w:t>sea dur</w:t>
      </w:r>
      <w:r>
        <w:rPr>
          <w:spacing w:val="-3"/>
          <w:szCs w:val="22"/>
        </w:rPr>
        <w:t>e</w:t>
      </w:r>
      <w:r>
        <w:rPr>
          <w:szCs w:val="22"/>
        </w:rPr>
        <w:t>roa</w:t>
      </w:r>
      <w:r>
        <w:rPr>
          <w:spacing w:val="-2"/>
          <w:szCs w:val="22"/>
        </w:rPr>
        <w:t>s</w:t>
      </w:r>
      <w:r>
        <w:rPr>
          <w:szCs w:val="22"/>
        </w:rPr>
        <w:t xml:space="preserve">ă a </w:t>
      </w:r>
      <w:r>
        <w:rPr>
          <w:spacing w:val="-3"/>
          <w:szCs w:val="22"/>
        </w:rPr>
        <w:t>p</w:t>
      </w:r>
      <w:r>
        <w:rPr>
          <w:spacing w:val="1"/>
          <w:szCs w:val="22"/>
        </w:rPr>
        <w:t>i</w:t>
      </w:r>
      <w:r>
        <w:rPr>
          <w:spacing w:val="-3"/>
          <w:szCs w:val="22"/>
        </w:rPr>
        <w:t>e</w:t>
      </w:r>
      <w:r>
        <w:rPr>
          <w:spacing w:val="1"/>
          <w:szCs w:val="22"/>
        </w:rPr>
        <w:t>l</w:t>
      </w:r>
      <w:r>
        <w:rPr>
          <w:spacing w:val="-2"/>
          <w:szCs w:val="22"/>
        </w:rPr>
        <w:t>i</w:t>
      </w:r>
      <w:r>
        <w:rPr>
          <w:spacing w:val="1"/>
          <w:szCs w:val="22"/>
        </w:rPr>
        <w:t>i</w:t>
      </w:r>
      <w:r>
        <w:rPr>
          <w:szCs w:val="22"/>
        </w:rPr>
        <w:t xml:space="preserve">. </w:t>
      </w:r>
      <w:r>
        <w:rPr>
          <w:spacing w:val="-1"/>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 xml:space="preserve">e </w:t>
      </w:r>
      <w:r>
        <w:rPr>
          <w:spacing w:val="-3"/>
          <w:szCs w:val="22"/>
        </w:rPr>
        <w:t>p</w:t>
      </w:r>
      <w:r>
        <w:rPr>
          <w:szCs w:val="22"/>
        </w:rPr>
        <w:t>ot</w:t>
      </w:r>
      <w:r>
        <w:rPr>
          <w:spacing w:val="-2"/>
          <w:szCs w:val="22"/>
        </w:rPr>
        <w:t xml:space="preserve"> </w:t>
      </w:r>
      <w:r>
        <w:rPr>
          <w:spacing w:val="1"/>
          <w:szCs w:val="22"/>
        </w:rPr>
        <w:t>i</w:t>
      </w:r>
      <w:r>
        <w:rPr>
          <w:szCs w:val="22"/>
        </w:rPr>
        <w:t>n</w:t>
      </w:r>
      <w:r>
        <w:rPr>
          <w:spacing w:val="-3"/>
          <w:szCs w:val="22"/>
        </w:rPr>
        <w:t>c</w:t>
      </w:r>
      <w:r>
        <w:rPr>
          <w:spacing w:val="1"/>
          <w:szCs w:val="22"/>
        </w:rPr>
        <w:t>l</w:t>
      </w:r>
      <w:r>
        <w:rPr>
          <w:szCs w:val="22"/>
        </w:rPr>
        <w:t>ude</w:t>
      </w:r>
      <w:r>
        <w:rPr>
          <w:spacing w:val="-2"/>
          <w:szCs w:val="22"/>
        </w:rPr>
        <w:t xml:space="preserve"> </w:t>
      </w:r>
      <w:r>
        <w:rPr>
          <w:szCs w:val="22"/>
        </w:rPr>
        <w:t>nod</w:t>
      </w:r>
      <w:r>
        <w:rPr>
          <w:spacing w:val="-3"/>
          <w:szCs w:val="22"/>
        </w:rPr>
        <w:t>u</w:t>
      </w:r>
      <w:r>
        <w:rPr>
          <w:spacing w:val="1"/>
          <w:szCs w:val="22"/>
        </w:rPr>
        <w:t>l</w:t>
      </w:r>
      <w:r>
        <w:rPr>
          <w:szCs w:val="22"/>
        </w:rPr>
        <w:t xml:space="preserve">i </w:t>
      </w:r>
      <w:r>
        <w:rPr>
          <w:szCs w:val="22"/>
          <w:lang w:eastAsia="en-US" w:bidi="ar-SA"/>
        </w:rPr>
        <w:t>sensibili</w:t>
      </w:r>
      <w:r>
        <w:rPr>
          <w:spacing w:val="-2"/>
          <w:szCs w:val="22"/>
          <w:lang w:eastAsia="en-US" w:bidi="ar-SA"/>
        </w:rPr>
        <w:t xml:space="preserve"> </w:t>
      </w:r>
      <w:r>
        <w:rPr>
          <w:szCs w:val="22"/>
          <w:lang w:eastAsia="en-US" w:bidi="ar-SA"/>
        </w:rPr>
        <w:t>(umflături</w:t>
      </w:r>
      <w:r>
        <w:rPr>
          <w:szCs w:val="22"/>
        </w:rPr>
        <w:t>)</w:t>
      </w:r>
      <w:r>
        <w:rPr>
          <w:spacing w:val="-2"/>
          <w:szCs w:val="22"/>
        </w:rPr>
        <w:t xml:space="preserve"> </w:t>
      </w:r>
      <w:r>
        <w:rPr>
          <w:szCs w:val="22"/>
        </w:rPr>
        <w:t>şi</w:t>
      </w:r>
      <w:r>
        <w:rPr>
          <w:spacing w:val="1"/>
          <w:szCs w:val="22"/>
        </w:rPr>
        <w:t xml:space="preserve"> </w:t>
      </w:r>
      <w:r>
        <w:rPr>
          <w:spacing w:val="-3"/>
          <w:szCs w:val="22"/>
        </w:rPr>
        <w:t>a</w:t>
      </w:r>
      <w:r>
        <w:rPr>
          <w:szCs w:val="22"/>
        </w:rPr>
        <w:t>bc</w:t>
      </w:r>
      <w:r>
        <w:rPr>
          <w:spacing w:val="-3"/>
          <w:szCs w:val="22"/>
        </w:rPr>
        <w:t>e</w:t>
      </w:r>
      <w:r>
        <w:rPr>
          <w:szCs w:val="22"/>
        </w:rPr>
        <w:t xml:space="preserve">se </w:t>
      </w:r>
      <w:r>
        <w:rPr>
          <w:spacing w:val="-2"/>
          <w:szCs w:val="22"/>
        </w:rPr>
        <w:t>(</w:t>
      </w:r>
      <w:r>
        <w:rPr>
          <w:szCs w:val="22"/>
        </w:rPr>
        <w:t>f</w:t>
      </w:r>
      <w:r>
        <w:rPr>
          <w:spacing w:val="-3"/>
          <w:szCs w:val="22"/>
        </w:rPr>
        <w:t>u</w:t>
      </w:r>
      <w:r>
        <w:rPr>
          <w:spacing w:val="-2"/>
          <w:szCs w:val="22"/>
        </w:rPr>
        <w:t>r</w:t>
      </w:r>
      <w:r>
        <w:rPr>
          <w:szCs w:val="22"/>
        </w:rPr>
        <w:t>uncu</w:t>
      </w:r>
      <w:r>
        <w:rPr>
          <w:spacing w:val="-2"/>
          <w:szCs w:val="22"/>
        </w:rPr>
        <w:t>l</w:t>
      </w:r>
      <w:r>
        <w:rPr>
          <w:szCs w:val="22"/>
        </w:rPr>
        <w:t>e)</w:t>
      </w:r>
      <w:r>
        <w:rPr>
          <w:spacing w:val="1"/>
          <w:szCs w:val="22"/>
        </w:rPr>
        <w:t xml:space="preserve"> </w:t>
      </w:r>
      <w:r>
        <w:rPr>
          <w:spacing w:val="-3"/>
          <w:szCs w:val="22"/>
        </w:rPr>
        <w:t>d</w:t>
      </w:r>
      <w:r>
        <w:rPr>
          <w:spacing w:val="1"/>
          <w:szCs w:val="22"/>
        </w:rPr>
        <w:t>i</w:t>
      </w:r>
      <w:r>
        <w:rPr>
          <w:szCs w:val="22"/>
        </w:rPr>
        <w:t xml:space="preserve">n </w:t>
      </w:r>
      <w:r>
        <w:rPr>
          <w:spacing w:val="-3"/>
          <w:szCs w:val="22"/>
        </w:rPr>
        <w:t>c</w:t>
      </w:r>
      <w:r>
        <w:rPr>
          <w:szCs w:val="22"/>
        </w:rPr>
        <w:t>a</w:t>
      </w:r>
      <w:r>
        <w:rPr>
          <w:spacing w:val="-2"/>
          <w:szCs w:val="22"/>
        </w:rPr>
        <w:t>r</w:t>
      </w:r>
      <w:r>
        <w:rPr>
          <w:szCs w:val="22"/>
        </w:rPr>
        <w:t>e poa</w:t>
      </w:r>
      <w:r>
        <w:rPr>
          <w:spacing w:val="1"/>
          <w:szCs w:val="22"/>
        </w:rPr>
        <w:t>t</w:t>
      </w:r>
      <w:r>
        <w:rPr>
          <w:szCs w:val="22"/>
        </w:rPr>
        <w:t>e</w:t>
      </w:r>
      <w:r>
        <w:rPr>
          <w:spacing w:val="-2"/>
          <w:szCs w:val="22"/>
        </w:rPr>
        <w:t xml:space="preserve"> </w:t>
      </w:r>
      <w:r>
        <w:rPr>
          <w:szCs w:val="22"/>
        </w:rPr>
        <w:t>să</w:t>
      </w:r>
      <w:r>
        <w:rPr>
          <w:spacing w:val="-2"/>
          <w:szCs w:val="22"/>
        </w:rPr>
        <w:t xml:space="preserve"> </w:t>
      </w:r>
      <w:r>
        <w:rPr>
          <w:szCs w:val="22"/>
        </w:rPr>
        <w:t>cur</w:t>
      </w:r>
      <w:r>
        <w:rPr>
          <w:spacing w:val="-3"/>
          <w:szCs w:val="22"/>
        </w:rPr>
        <w:t>g</w:t>
      </w:r>
      <w:r>
        <w:rPr>
          <w:szCs w:val="22"/>
        </w:rPr>
        <w:t>ă p</w:t>
      </w:r>
      <w:r>
        <w:rPr>
          <w:spacing w:val="-3"/>
          <w:szCs w:val="22"/>
        </w:rPr>
        <w:t>u</w:t>
      </w:r>
      <w:r>
        <w:rPr>
          <w:szCs w:val="22"/>
        </w:rPr>
        <w:t xml:space="preserve">roi. </w:t>
      </w:r>
      <w:r>
        <w:rPr>
          <w:spacing w:val="-4"/>
          <w:szCs w:val="22"/>
        </w:rPr>
        <w:t>A</w:t>
      </w:r>
      <w:r>
        <w:rPr>
          <w:szCs w:val="22"/>
        </w:rPr>
        <w:t>ce</w:t>
      </w:r>
      <w:r>
        <w:rPr>
          <w:spacing w:val="-2"/>
          <w:szCs w:val="22"/>
        </w:rPr>
        <w:t>st</w:t>
      </w:r>
      <w:r>
        <w:rPr>
          <w:szCs w:val="22"/>
        </w:rPr>
        <w:t>ea a</w:t>
      </w:r>
      <w:r>
        <w:rPr>
          <w:spacing w:val="-2"/>
          <w:szCs w:val="22"/>
        </w:rPr>
        <w:t>f</w:t>
      </w:r>
      <w:r>
        <w:rPr>
          <w:szCs w:val="22"/>
        </w:rPr>
        <w:t>e</w:t>
      </w:r>
      <w:r>
        <w:rPr>
          <w:spacing w:val="-3"/>
          <w:szCs w:val="22"/>
        </w:rPr>
        <w:t>c</w:t>
      </w:r>
      <w:r>
        <w:rPr>
          <w:spacing w:val="1"/>
          <w:szCs w:val="22"/>
        </w:rPr>
        <w:t>t</w:t>
      </w:r>
      <w:r>
        <w:rPr>
          <w:szCs w:val="22"/>
        </w:rPr>
        <w:t>ea</w:t>
      </w:r>
      <w:r>
        <w:rPr>
          <w:spacing w:val="-3"/>
          <w:szCs w:val="22"/>
        </w:rPr>
        <w:t>z</w:t>
      </w:r>
      <w:r>
        <w:rPr>
          <w:szCs w:val="22"/>
        </w:rPr>
        <w:t xml:space="preserve">ă </w:t>
      </w:r>
      <w:r>
        <w:rPr>
          <w:spacing w:val="-4"/>
          <w:szCs w:val="22"/>
        </w:rPr>
        <w:t>m</w:t>
      </w:r>
      <w:r>
        <w:rPr>
          <w:szCs w:val="22"/>
        </w:rPr>
        <w:t>ai</w:t>
      </w:r>
      <w:r>
        <w:rPr>
          <w:spacing w:val="1"/>
          <w:szCs w:val="22"/>
        </w:rPr>
        <w:t xml:space="preserve"> </w:t>
      </w:r>
      <w:r>
        <w:rPr>
          <w:spacing w:val="-2"/>
          <w:szCs w:val="22"/>
        </w:rPr>
        <w:t>f</w:t>
      </w:r>
      <w:r>
        <w:rPr>
          <w:szCs w:val="22"/>
        </w:rPr>
        <w:t>rec</w:t>
      </w:r>
      <w:r>
        <w:rPr>
          <w:spacing w:val="-3"/>
          <w:szCs w:val="22"/>
        </w:rPr>
        <w:t>v</w:t>
      </w:r>
      <w:r>
        <w:rPr>
          <w:szCs w:val="22"/>
        </w:rPr>
        <w:t>ent</w:t>
      </w:r>
      <w:r>
        <w:rPr>
          <w:spacing w:val="-2"/>
          <w:szCs w:val="22"/>
        </w:rPr>
        <w:t xml:space="preserve"> </w:t>
      </w:r>
      <w:r>
        <w:rPr>
          <w:spacing w:val="-3"/>
          <w:szCs w:val="22"/>
        </w:rPr>
        <w:t>a</w:t>
      </w:r>
      <w:r>
        <w:rPr>
          <w:szCs w:val="22"/>
        </w:rPr>
        <w:t>nu</w:t>
      </w:r>
      <w:r>
        <w:rPr>
          <w:spacing w:val="-4"/>
          <w:szCs w:val="22"/>
        </w:rPr>
        <w:t>m</w:t>
      </w:r>
      <w:r>
        <w:rPr>
          <w:spacing w:val="1"/>
          <w:szCs w:val="22"/>
        </w:rPr>
        <w:t>it</w:t>
      </w:r>
      <w:r>
        <w:rPr>
          <w:szCs w:val="22"/>
        </w:rPr>
        <w:t xml:space="preserve">e </w:t>
      </w:r>
      <w:r>
        <w:rPr>
          <w:spacing w:val="-3"/>
          <w:szCs w:val="22"/>
        </w:rPr>
        <w:t>z</w:t>
      </w:r>
      <w:r>
        <w:rPr>
          <w:szCs w:val="22"/>
        </w:rPr>
        <w:t>one a</w:t>
      </w:r>
      <w:r>
        <w:rPr>
          <w:spacing w:val="-2"/>
          <w:szCs w:val="22"/>
        </w:rPr>
        <w:t>l</w:t>
      </w:r>
      <w:r>
        <w:rPr>
          <w:szCs w:val="22"/>
        </w:rPr>
        <w:t>e p</w:t>
      </w:r>
      <w:r>
        <w:rPr>
          <w:spacing w:val="-2"/>
          <w:szCs w:val="22"/>
        </w:rPr>
        <w:t>i</w:t>
      </w:r>
      <w:r>
        <w:rPr>
          <w:szCs w:val="22"/>
        </w:rPr>
        <w:t>e</w:t>
      </w:r>
      <w:r>
        <w:rPr>
          <w:spacing w:val="-2"/>
          <w:szCs w:val="22"/>
        </w:rPr>
        <w:t>l</w:t>
      </w:r>
      <w:r>
        <w:rPr>
          <w:spacing w:val="1"/>
          <w:szCs w:val="22"/>
        </w:rPr>
        <w:t>ii</w:t>
      </w:r>
      <w:r>
        <w:rPr>
          <w:szCs w:val="22"/>
        </w:rPr>
        <w:t>,</w:t>
      </w:r>
      <w:r>
        <w:rPr>
          <w:spacing w:val="-3"/>
          <w:szCs w:val="22"/>
        </w:rPr>
        <w:t xml:space="preserve"> </w:t>
      </w:r>
      <w:r>
        <w:rPr>
          <w:szCs w:val="22"/>
        </w:rPr>
        <w:t>cum</w:t>
      </w:r>
      <w:r>
        <w:rPr>
          <w:spacing w:val="-4"/>
          <w:szCs w:val="22"/>
        </w:rPr>
        <w:t xml:space="preserve"> </w:t>
      </w:r>
      <w:r>
        <w:rPr>
          <w:szCs w:val="22"/>
        </w:rPr>
        <w:t>ar</w:t>
      </w:r>
      <w:r>
        <w:rPr>
          <w:spacing w:val="1"/>
          <w:szCs w:val="22"/>
        </w:rPr>
        <w:t xml:space="preserve"> </w:t>
      </w:r>
      <w:r>
        <w:rPr>
          <w:spacing w:val="-2"/>
          <w:szCs w:val="22"/>
        </w:rPr>
        <w:t>f</w:t>
      </w:r>
      <w:r>
        <w:rPr>
          <w:szCs w:val="22"/>
        </w:rPr>
        <w:t>i</w:t>
      </w:r>
      <w:r>
        <w:rPr>
          <w:spacing w:val="1"/>
          <w:szCs w:val="22"/>
        </w:rPr>
        <w:t xml:space="preserve"> </w:t>
      </w:r>
      <w:r>
        <w:rPr>
          <w:szCs w:val="22"/>
        </w:rPr>
        <w:t>s</w:t>
      </w:r>
      <w:r>
        <w:rPr>
          <w:spacing w:val="-3"/>
          <w:szCs w:val="22"/>
        </w:rPr>
        <w:t>u</w:t>
      </w:r>
      <w:r>
        <w:rPr>
          <w:szCs w:val="22"/>
        </w:rPr>
        <w:t>b sâ</w:t>
      </w:r>
      <w:r>
        <w:rPr>
          <w:spacing w:val="-3"/>
          <w:szCs w:val="22"/>
        </w:rPr>
        <w:t>n</w:t>
      </w:r>
      <w:r>
        <w:rPr>
          <w:spacing w:val="1"/>
          <w:szCs w:val="22"/>
        </w:rPr>
        <w:t>i</w:t>
      </w:r>
      <w:r>
        <w:rPr>
          <w:szCs w:val="22"/>
        </w:rPr>
        <w:t xml:space="preserve">, </w:t>
      </w:r>
      <w:r>
        <w:rPr>
          <w:spacing w:val="-3"/>
          <w:szCs w:val="22"/>
        </w:rPr>
        <w:t>a</w:t>
      </w:r>
      <w:r>
        <w:rPr>
          <w:szCs w:val="22"/>
        </w:rPr>
        <w:t>x</w:t>
      </w:r>
      <w:r>
        <w:rPr>
          <w:spacing w:val="-2"/>
          <w:szCs w:val="22"/>
        </w:rPr>
        <w:t>i</w:t>
      </w:r>
      <w:r>
        <w:rPr>
          <w:spacing w:val="1"/>
          <w:szCs w:val="22"/>
        </w:rPr>
        <w:t>l</w:t>
      </w:r>
      <w:r>
        <w:rPr>
          <w:szCs w:val="22"/>
        </w:rPr>
        <w:t xml:space="preserve">e, </w:t>
      </w:r>
      <w:r>
        <w:rPr>
          <w:szCs w:val="22"/>
          <w:lang w:eastAsia="en-US" w:bidi="ar-SA"/>
        </w:rPr>
        <w:t>faţa internă a coap</w:t>
      </w:r>
      <w:r>
        <w:rPr>
          <w:spacing w:val="-2"/>
          <w:szCs w:val="22"/>
          <w:lang w:eastAsia="en-US" w:bidi="ar-SA"/>
        </w:rPr>
        <w:t>s</w:t>
      </w:r>
      <w:r>
        <w:rPr>
          <w:szCs w:val="22"/>
          <w:lang w:eastAsia="en-US" w:bidi="ar-SA"/>
        </w:rPr>
        <w:t>elor</w:t>
      </w:r>
      <w:r>
        <w:rPr>
          <w:szCs w:val="22"/>
        </w:rPr>
        <w:t xml:space="preserve">, </w:t>
      </w:r>
      <w:r>
        <w:rPr>
          <w:spacing w:val="-3"/>
          <w:szCs w:val="22"/>
        </w:rPr>
        <w:t>z</w:t>
      </w:r>
      <w:r>
        <w:rPr>
          <w:szCs w:val="22"/>
        </w:rPr>
        <w:t xml:space="preserve">ona </w:t>
      </w:r>
      <w:r>
        <w:rPr>
          <w:spacing w:val="1"/>
          <w:szCs w:val="22"/>
        </w:rPr>
        <w:t>i</w:t>
      </w:r>
      <w:r>
        <w:rPr>
          <w:szCs w:val="22"/>
        </w:rPr>
        <w:t>n</w:t>
      </w:r>
      <w:r>
        <w:rPr>
          <w:spacing w:val="-3"/>
          <w:szCs w:val="22"/>
        </w:rPr>
        <w:t>g</w:t>
      </w:r>
      <w:r>
        <w:rPr>
          <w:szCs w:val="22"/>
        </w:rPr>
        <w:t>h</w:t>
      </w:r>
      <w:r>
        <w:rPr>
          <w:spacing w:val="1"/>
          <w:szCs w:val="22"/>
        </w:rPr>
        <w:t>i</w:t>
      </w:r>
      <w:r>
        <w:rPr>
          <w:spacing w:val="-3"/>
          <w:szCs w:val="22"/>
        </w:rPr>
        <w:t>n</w:t>
      </w:r>
      <w:r>
        <w:rPr>
          <w:szCs w:val="22"/>
        </w:rPr>
        <w:t>a</w:t>
      </w:r>
      <w:r>
        <w:rPr>
          <w:spacing w:val="-2"/>
          <w:szCs w:val="22"/>
        </w:rPr>
        <w:t>l</w:t>
      </w:r>
      <w:r>
        <w:rPr>
          <w:szCs w:val="22"/>
        </w:rPr>
        <w:t xml:space="preserve">ă </w:t>
      </w:r>
      <w:r>
        <w:rPr>
          <w:spacing w:val="-2"/>
          <w:szCs w:val="22"/>
        </w:rPr>
        <w:t>ș</w:t>
      </w:r>
      <w:r>
        <w:rPr>
          <w:szCs w:val="22"/>
        </w:rPr>
        <w:t>i</w:t>
      </w:r>
      <w:r>
        <w:rPr>
          <w:spacing w:val="1"/>
          <w:szCs w:val="22"/>
        </w:rPr>
        <w:t xml:space="preserve"> </w:t>
      </w:r>
      <w:r>
        <w:rPr>
          <w:szCs w:val="22"/>
        </w:rPr>
        <w:t>f</w:t>
      </w:r>
      <w:r>
        <w:rPr>
          <w:spacing w:val="-3"/>
          <w:szCs w:val="22"/>
        </w:rPr>
        <w:t>e</w:t>
      </w:r>
      <w:r>
        <w:rPr>
          <w:szCs w:val="22"/>
        </w:rPr>
        <w:t xml:space="preserve">se. </w:t>
      </w:r>
      <w:r>
        <w:rPr>
          <w:spacing w:val="-1"/>
          <w:szCs w:val="22"/>
        </w:rPr>
        <w:t>C</w:t>
      </w:r>
      <w:r>
        <w:rPr>
          <w:spacing w:val="1"/>
          <w:szCs w:val="22"/>
        </w:rPr>
        <w:t>i</w:t>
      </w:r>
      <w:r>
        <w:rPr>
          <w:spacing w:val="-3"/>
          <w:szCs w:val="22"/>
        </w:rPr>
        <w:t>c</w:t>
      </w:r>
      <w:r>
        <w:rPr>
          <w:szCs w:val="22"/>
        </w:rPr>
        <w:t>a</w:t>
      </w:r>
      <w:r>
        <w:rPr>
          <w:spacing w:val="-2"/>
          <w:szCs w:val="22"/>
        </w:rPr>
        <w:t>t</w:t>
      </w:r>
      <w:r>
        <w:rPr>
          <w:szCs w:val="22"/>
        </w:rPr>
        <w:t>r</w:t>
      </w:r>
      <w:r>
        <w:rPr>
          <w:spacing w:val="1"/>
          <w:szCs w:val="22"/>
        </w:rPr>
        <w:t>i</w:t>
      </w:r>
      <w:r>
        <w:rPr>
          <w:spacing w:val="-3"/>
          <w:szCs w:val="22"/>
        </w:rPr>
        <w:t>z</w:t>
      </w:r>
      <w:r>
        <w:rPr>
          <w:szCs w:val="22"/>
        </w:rPr>
        <w:t>a</w:t>
      </w:r>
      <w:r>
        <w:rPr>
          <w:spacing w:val="-2"/>
          <w:szCs w:val="22"/>
        </w:rPr>
        <w:t>r</w:t>
      </w:r>
      <w:r>
        <w:rPr>
          <w:szCs w:val="22"/>
        </w:rPr>
        <w:t>ea p</w:t>
      </w:r>
      <w:r>
        <w:rPr>
          <w:spacing w:val="-3"/>
          <w:szCs w:val="22"/>
        </w:rPr>
        <w:t>o</w:t>
      </w:r>
      <w:r>
        <w:rPr>
          <w:szCs w:val="22"/>
        </w:rPr>
        <w:t>a</w:t>
      </w:r>
      <w:r>
        <w:rPr>
          <w:spacing w:val="-2"/>
          <w:szCs w:val="22"/>
        </w:rPr>
        <w:t>t</w:t>
      </w:r>
      <w:r>
        <w:rPr>
          <w:szCs w:val="22"/>
        </w:rPr>
        <w:t>e să</w:t>
      </w:r>
      <w:r>
        <w:rPr>
          <w:spacing w:val="-2"/>
          <w:szCs w:val="22"/>
        </w:rPr>
        <w:t xml:space="preserve"> </w:t>
      </w:r>
      <w:r>
        <w:rPr>
          <w:szCs w:val="22"/>
        </w:rPr>
        <w:t>a</w:t>
      </w:r>
      <w:r>
        <w:rPr>
          <w:spacing w:val="-3"/>
          <w:szCs w:val="22"/>
        </w:rPr>
        <w:t>p</w:t>
      </w:r>
      <w:r>
        <w:rPr>
          <w:szCs w:val="22"/>
        </w:rPr>
        <w:t>ară</w:t>
      </w:r>
      <w:r>
        <w:rPr>
          <w:spacing w:val="-2"/>
          <w:szCs w:val="22"/>
        </w:rPr>
        <w:t xml:space="preserve"> </w:t>
      </w:r>
      <w:r>
        <w:rPr>
          <w:spacing w:val="1"/>
          <w:szCs w:val="22"/>
        </w:rPr>
        <w:t>î</w:t>
      </w:r>
      <w:r>
        <w:rPr>
          <w:szCs w:val="22"/>
        </w:rPr>
        <w:t xml:space="preserve">n </w:t>
      </w:r>
      <w:r>
        <w:rPr>
          <w:spacing w:val="-3"/>
          <w:szCs w:val="22"/>
        </w:rPr>
        <w:t>z</w:t>
      </w:r>
      <w:r>
        <w:rPr>
          <w:szCs w:val="22"/>
        </w:rPr>
        <w:t>one</w:t>
      </w:r>
      <w:r>
        <w:rPr>
          <w:spacing w:val="-2"/>
          <w:szCs w:val="22"/>
        </w:rPr>
        <w:t>l</w:t>
      </w:r>
      <w:r>
        <w:rPr>
          <w:szCs w:val="22"/>
        </w:rPr>
        <w:t xml:space="preserve">e </w:t>
      </w:r>
      <w:r>
        <w:rPr>
          <w:spacing w:val="-3"/>
          <w:szCs w:val="22"/>
        </w:rPr>
        <w:t>a</w:t>
      </w:r>
      <w:r>
        <w:rPr>
          <w:szCs w:val="22"/>
        </w:rPr>
        <w:t>fe</w:t>
      </w:r>
      <w:r>
        <w:rPr>
          <w:spacing w:val="-3"/>
          <w:szCs w:val="22"/>
        </w:rPr>
        <w:t>c</w:t>
      </w:r>
      <w:r>
        <w:rPr>
          <w:spacing w:val="1"/>
          <w:szCs w:val="22"/>
        </w:rPr>
        <w:t>t</w:t>
      </w:r>
      <w:r>
        <w:rPr>
          <w:spacing w:val="-3"/>
          <w:szCs w:val="22"/>
        </w:rPr>
        <w:t>a</w:t>
      </w:r>
      <w:r>
        <w:rPr>
          <w:spacing w:val="1"/>
          <w:szCs w:val="22"/>
        </w:rPr>
        <w:t>t</w:t>
      </w:r>
      <w:r>
        <w:rPr>
          <w:szCs w:val="22"/>
        </w:rPr>
        <w:t>e.</w:t>
      </w:r>
    </w:p>
    <w:p w14:paraId="5E793469" w14:textId="77777777" w:rsidR="00C04CAD" w:rsidRDefault="00C04CAD">
      <w:pPr>
        <w:tabs>
          <w:tab w:val="clear" w:pos="567"/>
        </w:tabs>
        <w:kinsoku w:val="0"/>
        <w:overflowPunct w:val="0"/>
        <w:autoSpaceDE w:val="0"/>
        <w:autoSpaceDN w:val="0"/>
        <w:adjustRightInd w:val="0"/>
        <w:spacing w:line="240" w:lineRule="auto"/>
        <w:rPr>
          <w:szCs w:val="22"/>
        </w:rPr>
      </w:pPr>
    </w:p>
    <w:p w14:paraId="6ADC915C"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h</w:t>
      </w:r>
      <w:r>
        <w:rPr>
          <w:spacing w:val="-2"/>
          <w:szCs w:val="22"/>
        </w:rPr>
        <w:t>i</w:t>
      </w:r>
      <w:r>
        <w:rPr>
          <w:szCs w:val="22"/>
        </w:rPr>
        <w:t>dr</w:t>
      </w:r>
      <w:r>
        <w:rPr>
          <w:spacing w:val="-3"/>
          <w:szCs w:val="22"/>
        </w:rPr>
        <w:t>o</w:t>
      </w:r>
      <w:r>
        <w:rPr>
          <w:szCs w:val="22"/>
        </w:rPr>
        <w:t>sade</w:t>
      </w:r>
      <w:r>
        <w:rPr>
          <w:spacing w:val="-3"/>
          <w:szCs w:val="22"/>
        </w:rPr>
        <w:t>n</w:t>
      </w:r>
      <w:r>
        <w:rPr>
          <w:spacing w:val="-2"/>
          <w:szCs w:val="22"/>
        </w:rPr>
        <w:t>i</w:t>
      </w:r>
      <w:r>
        <w:rPr>
          <w:szCs w:val="22"/>
        </w:rPr>
        <w:t>tei</w:t>
      </w:r>
      <w:r>
        <w:rPr>
          <w:spacing w:val="-2"/>
          <w:szCs w:val="22"/>
        </w:rPr>
        <w:t xml:space="preserve"> </w:t>
      </w:r>
      <w:r>
        <w:rPr>
          <w:szCs w:val="22"/>
        </w:rPr>
        <w:t>supu</w:t>
      </w:r>
      <w:r>
        <w:rPr>
          <w:spacing w:val="-2"/>
          <w:szCs w:val="22"/>
        </w:rPr>
        <w:t>r</w:t>
      </w:r>
      <w:r>
        <w:rPr>
          <w:szCs w:val="22"/>
        </w:rPr>
        <w:t>a</w:t>
      </w:r>
      <w:r>
        <w:rPr>
          <w:spacing w:val="-2"/>
          <w:szCs w:val="22"/>
        </w:rPr>
        <w:t>t</w:t>
      </w:r>
      <w:r>
        <w:rPr>
          <w:spacing w:val="1"/>
          <w:szCs w:val="22"/>
        </w:rPr>
        <w:t>i</w:t>
      </w:r>
      <w:r>
        <w:rPr>
          <w:spacing w:val="-3"/>
          <w:szCs w:val="22"/>
        </w:rPr>
        <w:t>v</w:t>
      </w:r>
      <w:r>
        <w:rPr>
          <w:szCs w:val="22"/>
        </w:rPr>
        <w:t xml:space="preserve">e </w:t>
      </w:r>
      <w:r>
        <w:rPr>
          <w:spacing w:val="1"/>
          <w:szCs w:val="22"/>
        </w:rPr>
        <w:t>l</w:t>
      </w:r>
      <w:r>
        <w:rPr>
          <w:szCs w:val="22"/>
        </w:rPr>
        <w:t xml:space="preserve">a </w:t>
      </w:r>
      <w:r>
        <w:rPr>
          <w:spacing w:val="-3"/>
          <w:szCs w:val="22"/>
        </w:rPr>
        <w:t>a</w:t>
      </w:r>
      <w:r>
        <w:rPr>
          <w:szCs w:val="22"/>
        </w:rPr>
        <w:t>du</w:t>
      </w:r>
      <w:r>
        <w:rPr>
          <w:spacing w:val="-2"/>
          <w:szCs w:val="22"/>
        </w:rPr>
        <w:t>l</w:t>
      </w:r>
      <w:r>
        <w:rPr>
          <w:spacing w:val="1"/>
          <w:szCs w:val="22"/>
        </w:rPr>
        <w:t>ți și adolescenți de la vârsta de 12 ani</w:t>
      </w:r>
      <w:r>
        <w:rPr>
          <w:szCs w:val="22"/>
        </w:rPr>
        <w:t>.</w:t>
      </w:r>
      <w:r>
        <w:rPr>
          <w:spacing w:val="-3"/>
          <w:szCs w:val="22"/>
        </w:rPr>
        <w:t xml:space="preserve"> </w:t>
      </w:r>
      <w:r>
        <w:rPr>
          <w:spacing w:val="-1"/>
          <w:szCs w:val="22"/>
          <w:lang w:eastAsia="en-US" w:bidi="ar-SA"/>
        </w:rPr>
        <w:t>AMGEVITA</w:t>
      </w:r>
      <w:r>
        <w:rPr>
          <w:szCs w:val="22"/>
        </w:rPr>
        <w:t xml:space="preserve"> po</w:t>
      </w:r>
      <w:r>
        <w:rPr>
          <w:spacing w:val="-3"/>
          <w:szCs w:val="22"/>
        </w:rPr>
        <w:t>a</w:t>
      </w:r>
      <w:r>
        <w:rPr>
          <w:spacing w:val="1"/>
          <w:szCs w:val="22"/>
        </w:rPr>
        <w:t>t</w:t>
      </w:r>
      <w:r>
        <w:rPr>
          <w:szCs w:val="22"/>
        </w:rPr>
        <w:t xml:space="preserve">e </w:t>
      </w:r>
      <w:r>
        <w:rPr>
          <w:spacing w:val="-2"/>
          <w:szCs w:val="22"/>
        </w:rPr>
        <w:t>r</w:t>
      </w:r>
      <w:r>
        <w:rPr>
          <w:szCs w:val="22"/>
        </w:rPr>
        <w:t>edu</w:t>
      </w:r>
      <w:r>
        <w:rPr>
          <w:spacing w:val="-3"/>
          <w:szCs w:val="22"/>
        </w:rPr>
        <w:t>c</w:t>
      </w:r>
      <w:r>
        <w:rPr>
          <w:szCs w:val="22"/>
        </w:rPr>
        <w:t>e nu</w:t>
      </w:r>
      <w:r>
        <w:rPr>
          <w:spacing w:val="-4"/>
          <w:szCs w:val="22"/>
        </w:rPr>
        <w:t>m</w:t>
      </w:r>
      <w:r>
        <w:rPr>
          <w:szCs w:val="22"/>
        </w:rPr>
        <w:t>ărul</w:t>
      </w:r>
      <w:r>
        <w:rPr>
          <w:spacing w:val="1"/>
          <w:szCs w:val="22"/>
        </w:rPr>
        <w:t xml:space="preserve"> </w:t>
      </w:r>
      <w:r>
        <w:rPr>
          <w:szCs w:val="22"/>
        </w:rPr>
        <w:t>de n</w:t>
      </w:r>
      <w:r>
        <w:rPr>
          <w:spacing w:val="-3"/>
          <w:szCs w:val="22"/>
        </w:rPr>
        <w:t>o</w:t>
      </w:r>
      <w:r>
        <w:rPr>
          <w:szCs w:val="22"/>
        </w:rPr>
        <w:t>du</w:t>
      </w:r>
      <w:r>
        <w:rPr>
          <w:spacing w:val="-2"/>
          <w:szCs w:val="22"/>
        </w:rPr>
        <w:t>l</w:t>
      </w:r>
      <w:r>
        <w:rPr>
          <w:szCs w:val="22"/>
        </w:rPr>
        <w:t>i</w:t>
      </w:r>
      <w:r>
        <w:rPr>
          <w:spacing w:val="1"/>
          <w:szCs w:val="22"/>
        </w:rPr>
        <w:t xml:space="preserve"> </w:t>
      </w:r>
      <w:r>
        <w:rPr>
          <w:spacing w:val="-2"/>
          <w:szCs w:val="22"/>
        </w:rPr>
        <w:t>ș</w:t>
      </w:r>
      <w:r>
        <w:rPr>
          <w:szCs w:val="22"/>
        </w:rPr>
        <w:t>i</w:t>
      </w:r>
      <w:r>
        <w:rPr>
          <w:spacing w:val="1"/>
          <w:szCs w:val="22"/>
        </w:rPr>
        <w:t xml:space="preserve"> </w:t>
      </w:r>
      <w:r>
        <w:rPr>
          <w:szCs w:val="22"/>
        </w:rPr>
        <w:t>a</w:t>
      </w:r>
      <w:r>
        <w:rPr>
          <w:spacing w:val="-3"/>
          <w:szCs w:val="22"/>
        </w:rPr>
        <w:t>b</w:t>
      </w:r>
      <w:r>
        <w:rPr>
          <w:szCs w:val="22"/>
        </w:rPr>
        <w:t>ce</w:t>
      </w:r>
      <w:r>
        <w:rPr>
          <w:spacing w:val="-2"/>
          <w:szCs w:val="22"/>
        </w:rPr>
        <w:t>s</w:t>
      </w:r>
      <w:r>
        <w:rPr>
          <w:szCs w:val="22"/>
        </w:rPr>
        <w:t>e</w:t>
      </w:r>
      <w:r>
        <w:rPr>
          <w:spacing w:val="-2"/>
          <w:szCs w:val="22"/>
        </w:rPr>
        <w:t xml:space="preserve"> </w:t>
      </w:r>
      <w:r>
        <w:rPr>
          <w:szCs w:val="22"/>
        </w:rPr>
        <w:t>pe c</w:t>
      </w:r>
      <w:r>
        <w:rPr>
          <w:spacing w:val="-3"/>
          <w:szCs w:val="22"/>
        </w:rPr>
        <w:t>a</w:t>
      </w:r>
      <w:r>
        <w:rPr>
          <w:szCs w:val="22"/>
        </w:rPr>
        <w:t>re</w:t>
      </w:r>
      <w:r>
        <w:rPr>
          <w:spacing w:val="-2"/>
          <w:szCs w:val="22"/>
        </w:rPr>
        <w:t xml:space="preserve"> </w:t>
      </w:r>
      <w:r>
        <w:rPr>
          <w:spacing w:val="1"/>
          <w:szCs w:val="22"/>
        </w:rPr>
        <w:t>l</w:t>
      </w:r>
      <w:r>
        <w:rPr>
          <w:szCs w:val="22"/>
        </w:rPr>
        <w:t>e a</w:t>
      </w:r>
      <w:r>
        <w:rPr>
          <w:spacing w:val="-3"/>
          <w:szCs w:val="22"/>
        </w:rPr>
        <w:t>v</w:t>
      </w:r>
      <w:r>
        <w:rPr>
          <w:szCs w:val="22"/>
        </w:rPr>
        <w:t>e</w:t>
      </w:r>
      <w:r>
        <w:rPr>
          <w:spacing w:val="-2"/>
          <w:szCs w:val="22"/>
        </w:rPr>
        <w:t>ţ</w:t>
      </w:r>
      <w:r>
        <w:rPr>
          <w:szCs w:val="22"/>
        </w:rPr>
        <w:t>i</w:t>
      </w:r>
      <w:r>
        <w:rPr>
          <w:spacing w:val="1"/>
          <w:szCs w:val="22"/>
        </w:rPr>
        <w:t xml:space="preserve"> </w:t>
      </w:r>
      <w:r>
        <w:rPr>
          <w:spacing w:val="-2"/>
          <w:szCs w:val="22"/>
        </w:rPr>
        <w:t>ş</w:t>
      </w:r>
      <w:r>
        <w:rPr>
          <w:szCs w:val="22"/>
        </w:rPr>
        <w:t>i d</w:t>
      </w:r>
      <w:r>
        <w:rPr>
          <w:spacing w:val="-3"/>
          <w:szCs w:val="22"/>
        </w:rPr>
        <w:t>u</w:t>
      </w:r>
      <w:r>
        <w:rPr>
          <w:szCs w:val="22"/>
        </w:rPr>
        <w:t>re</w:t>
      </w:r>
      <w:r>
        <w:rPr>
          <w:spacing w:val="-2"/>
          <w:szCs w:val="22"/>
        </w:rPr>
        <w:t>r</w:t>
      </w:r>
      <w:r>
        <w:rPr>
          <w:szCs w:val="22"/>
        </w:rPr>
        <w:t>ea</w:t>
      </w:r>
      <w:r>
        <w:rPr>
          <w:spacing w:val="-2"/>
          <w:szCs w:val="22"/>
        </w:rPr>
        <w:t xml:space="preserve"> </w:t>
      </w:r>
      <w:r>
        <w:rPr>
          <w:spacing w:val="-3"/>
          <w:szCs w:val="22"/>
        </w:rPr>
        <w:t>c</w:t>
      </w:r>
      <w:r>
        <w:rPr>
          <w:szCs w:val="22"/>
        </w:rPr>
        <w:t xml:space="preserve">are </w:t>
      </w:r>
      <w:r>
        <w:rPr>
          <w:spacing w:val="-2"/>
          <w:szCs w:val="22"/>
        </w:rPr>
        <w:t>s</w:t>
      </w:r>
      <w:r>
        <w:rPr>
          <w:szCs w:val="22"/>
        </w:rPr>
        <w:t xml:space="preserve">e </w:t>
      </w:r>
      <w:r>
        <w:rPr>
          <w:spacing w:val="-2"/>
          <w:szCs w:val="22"/>
        </w:rPr>
        <w:t>a</w:t>
      </w:r>
      <w:r>
        <w:rPr>
          <w:szCs w:val="22"/>
        </w:rPr>
        <w:t>so</w:t>
      </w:r>
      <w:r>
        <w:rPr>
          <w:spacing w:val="-2"/>
          <w:szCs w:val="22"/>
        </w:rPr>
        <w:t>c</w:t>
      </w:r>
      <w:r>
        <w:rPr>
          <w:spacing w:val="1"/>
          <w:szCs w:val="22"/>
        </w:rPr>
        <w:t>i</w:t>
      </w:r>
      <w:r>
        <w:rPr>
          <w:szCs w:val="22"/>
        </w:rPr>
        <w:t>a</w:t>
      </w:r>
      <w:r>
        <w:rPr>
          <w:spacing w:val="-2"/>
          <w:szCs w:val="22"/>
        </w:rPr>
        <w:t>z</w:t>
      </w:r>
      <w:r>
        <w:rPr>
          <w:szCs w:val="22"/>
        </w:rPr>
        <w:t>ă ad</w:t>
      </w:r>
      <w:r>
        <w:rPr>
          <w:spacing w:val="-3"/>
          <w:szCs w:val="22"/>
        </w:rPr>
        <w:t>e</w:t>
      </w:r>
      <w:r>
        <w:rPr>
          <w:szCs w:val="22"/>
        </w:rPr>
        <w:t>sea</w:t>
      </w:r>
      <w:r>
        <w:rPr>
          <w:spacing w:val="-2"/>
          <w:szCs w:val="22"/>
        </w:rPr>
        <w:t xml:space="preserve"> </w:t>
      </w:r>
      <w:r>
        <w:rPr>
          <w:szCs w:val="22"/>
        </w:rPr>
        <w:t>bo</w:t>
      </w:r>
      <w:r>
        <w:rPr>
          <w:spacing w:val="-2"/>
          <w:szCs w:val="22"/>
        </w:rPr>
        <w:t>l</w:t>
      </w:r>
      <w:r>
        <w:rPr>
          <w:spacing w:val="1"/>
          <w:szCs w:val="22"/>
        </w:rPr>
        <w:t>i</w:t>
      </w:r>
      <w:r>
        <w:rPr>
          <w:spacing w:val="-2"/>
          <w:szCs w:val="22"/>
        </w:rPr>
        <w:t>i</w:t>
      </w:r>
      <w:r>
        <w:rPr>
          <w:szCs w:val="22"/>
        </w:rPr>
        <w:t xml:space="preserve">. Este posibil să </w:t>
      </w:r>
      <w:r>
        <w:rPr>
          <w:szCs w:val="24"/>
        </w:rPr>
        <w:t>primiți inițial alte medicamente</w:t>
      </w:r>
      <w:r>
        <w:rPr>
          <w:szCs w:val="22"/>
        </w:rPr>
        <w:t>. Dacă nu răspundeți suficient de bine la aceste medicamente, vi se va administra AMGEVITA.</w:t>
      </w:r>
    </w:p>
    <w:p w14:paraId="2AC161DF" w14:textId="77777777" w:rsidR="00C04CAD" w:rsidRDefault="00C04CAD">
      <w:pPr>
        <w:tabs>
          <w:tab w:val="clear" w:pos="567"/>
        </w:tabs>
        <w:kinsoku w:val="0"/>
        <w:overflowPunct w:val="0"/>
        <w:autoSpaceDE w:val="0"/>
        <w:autoSpaceDN w:val="0"/>
        <w:adjustRightInd w:val="0"/>
        <w:spacing w:line="240" w:lineRule="auto"/>
        <w:rPr>
          <w:spacing w:val="-1"/>
          <w:szCs w:val="22"/>
          <w:u w:val="single"/>
        </w:rPr>
      </w:pPr>
    </w:p>
    <w:p w14:paraId="57D46DC5"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u w:val="single"/>
        </w:rPr>
        <w:t>B</w:t>
      </w:r>
      <w:r>
        <w:rPr>
          <w:szCs w:val="22"/>
          <w:u w:val="single"/>
        </w:rPr>
        <w:t>oa</w:t>
      </w:r>
      <w:r>
        <w:rPr>
          <w:spacing w:val="1"/>
          <w:szCs w:val="22"/>
          <w:u w:val="single"/>
        </w:rPr>
        <w:t>l</w:t>
      </w:r>
      <w:r>
        <w:rPr>
          <w:szCs w:val="22"/>
          <w:u w:val="single"/>
        </w:rPr>
        <w:t xml:space="preserve">ă </w:t>
      </w:r>
      <w:r>
        <w:rPr>
          <w:spacing w:val="-4"/>
          <w:szCs w:val="22"/>
          <w:u w:val="single"/>
        </w:rPr>
        <w:t>C</w:t>
      </w:r>
      <w:r>
        <w:rPr>
          <w:szCs w:val="22"/>
          <w:u w:val="single"/>
        </w:rPr>
        <w:t>rohn</w:t>
      </w:r>
      <w:r>
        <w:rPr>
          <w:spacing w:val="-3"/>
          <w:szCs w:val="22"/>
          <w:u w:val="single"/>
        </w:rPr>
        <w:t xml:space="preserve"> </w:t>
      </w:r>
      <w:r>
        <w:rPr>
          <w:spacing w:val="1"/>
          <w:szCs w:val="22"/>
          <w:u w:val="single"/>
        </w:rPr>
        <w:t xml:space="preserve">la </w:t>
      </w:r>
      <w:r>
        <w:rPr>
          <w:spacing w:val="-3"/>
          <w:szCs w:val="22"/>
          <w:u w:val="single"/>
        </w:rPr>
        <w:t>a</w:t>
      </w:r>
      <w:r>
        <w:rPr>
          <w:szCs w:val="22"/>
          <w:u w:val="single"/>
        </w:rPr>
        <w:t>du</w:t>
      </w:r>
      <w:r>
        <w:rPr>
          <w:spacing w:val="-2"/>
          <w:szCs w:val="22"/>
          <w:u w:val="single"/>
        </w:rPr>
        <w:t>l</w:t>
      </w:r>
      <w:r>
        <w:rPr>
          <w:spacing w:val="1"/>
          <w:szCs w:val="22"/>
          <w:u w:val="single"/>
        </w:rPr>
        <w:t xml:space="preserve">ţi </w:t>
      </w:r>
      <w:r>
        <w:rPr>
          <w:szCs w:val="22"/>
          <w:u w:val="single"/>
        </w:rPr>
        <w:t>şi c</w:t>
      </w:r>
      <w:r>
        <w:rPr>
          <w:spacing w:val="-3"/>
          <w:szCs w:val="22"/>
          <w:u w:val="single"/>
        </w:rPr>
        <w:t>o</w:t>
      </w:r>
      <w:r>
        <w:rPr>
          <w:szCs w:val="22"/>
          <w:u w:val="single"/>
        </w:rPr>
        <w:t>p</w:t>
      </w:r>
      <w:r>
        <w:rPr>
          <w:spacing w:val="1"/>
          <w:szCs w:val="22"/>
          <w:u w:val="single"/>
        </w:rPr>
        <w:t>ii</w:t>
      </w:r>
    </w:p>
    <w:p w14:paraId="0B83FC88" w14:textId="77777777" w:rsidR="00C04CAD" w:rsidRDefault="00C04CAD">
      <w:pPr>
        <w:tabs>
          <w:tab w:val="clear" w:pos="567"/>
        </w:tabs>
        <w:kinsoku w:val="0"/>
        <w:overflowPunct w:val="0"/>
        <w:autoSpaceDE w:val="0"/>
        <w:autoSpaceDN w:val="0"/>
        <w:adjustRightInd w:val="0"/>
        <w:spacing w:line="240" w:lineRule="auto"/>
        <w:rPr>
          <w:szCs w:val="22"/>
        </w:rPr>
      </w:pPr>
    </w:p>
    <w:p w14:paraId="617B9857"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B</w:t>
      </w:r>
      <w:r>
        <w:rPr>
          <w:szCs w:val="22"/>
        </w:rPr>
        <w:t>oa</w:t>
      </w:r>
      <w:r>
        <w:rPr>
          <w:spacing w:val="1"/>
          <w:szCs w:val="22"/>
        </w:rPr>
        <w:t>l</w:t>
      </w:r>
      <w:r>
        <w:rPr>
          <w:szCs w:val="22"/>
        </w:rPr>
        <w:t xml:space="preserve">a </w:t>
      </w:r>
      <w:r>
        <w:rPr>
          <w:spacing w:val="-4"/>
          <w:szCs w:val="22"/>
        </w:rPr>
        <w:t>C</w:t>
      </w:r>
      <w:r>
        <w:rPr>
          <w:szCs w:val="22"/>
        </w:rPr>
        <w:t xml:space="preserve">rohn </w:t>
      </w:r>
      <w:r>
        <w:rPr>
          <w:spacing w:val="-3"/>
          <w:szCs w:val="22"/>
        </w:rPr>
        <w:t>e</w:t>
      </w:r>
      <w:r>
        <w:rPr>
          <w:szCs w:val="22"/>
        </w:rPr>
        <w:t>s</w:t>
      </w:r>
      <w:r>
        <w:rPr>
          <w:spacing w:val="-2"/>
          <w:szCs w:val="22"/>
        </w:rPr>
        <w:t>t</w:t>
      </w:r>
      <w:r>
        <w:rPr>
          <w:szCs w:val="22"/>
        </w:rPr>
        <w:t xml:space="preserve">e o </w:t>
      </w:r>
      <w:r>
        <w:rPr>
          <w:spacing w:val="-3"/>
          <w:szCs w:val="22"/>
        </w:rPr>
        <w:t>a</w:t>
      </w:r>
      <w:r>
        <w:rPr>
          <w:szCs w:val="22"/>
        </w:rPr>
        <w:t>fe</w:t>
      </w:r>
      <w:r>
        <w:rPr>
          <w:spacing w:val="-3"/>
          <w:szCs w:val="22"/>
        </w:rPr>
        <w:t>c</w:t>
      </w:r>
      <w:r>
        <w:rPr>
          <w:spacing w:val="1"/>
          <w:szCs w:val="22"/>
        </w:rPr>
        <w:t>ţ</w:t>
      </w:r>
      <w:r>
        <w:rPr>
          <w:spacing w:val="-2"/>
          <w:szCs w:val="22"/>
        </w:rPr>
        <w:t>i</w:t>
      </w:r>
      <w:r>
        <w:rPr>
          <w:szCs w:val="22"/>
        </w:rPr>
        <w:t>u</w:t>
      </w:r>
      <w:r>
        <w:rPr>
          <w:spacing w:val="-3"/>
          <w:szCs w:val="22"/>
        </w:rPr>
        <w:t>n</w:t>
      </w:r>
      <w:r>
        <w:rPr>
          <w:szCs w:val="22"/>
        </w:rPr>
        <w:t xml:space="preserve">e </w:t>
      </w:r>
      <w:r>
        <w:rPr>
          <w:spacing w:val="1"/>
          <w:szCs w:val="22"/>
        </w:rPr>
        <w:t>i</w:t>
      </w:r>
      <w:r>
        <w:rPr>
          <w:spacing w:val="-3"/>
          <w:szCs w:val="22"/>
        </w:rPr>
        <w:t>n</w:t>
      </w:r>
      <w:r>
        <w:rPr>
          <w:szCs w:val="22"/>
        </w:rPr>
        <w:t>f</w:t>
      </w:r>
      <w:r>
        <w:rPr>
          <w:spacing w:val="1"/>
          <w:szCs w:val="22"/>
        </w:rPr>
        <w:t>l</w:t>
      </w:r>
      <w:r>
        <w:rPr>
          <w:szCs w:val="22"/>
        </w:rPr>
        <w:t>a</w:t>
      </w:r>
      <w:r>
        <w:rPr>
          <w:spacing w:val="-4"/>
          <w:szCs w:val="22"/>
        </w:rPr>
        <w:t>m</w:t>
      </w:r>
      <w:r>
        <w:rPr>
          <w:szCs w:val="22"/>
        </w:rPr>
        <w:t>a</w:t>
      </w:r>
      <w:r>
        <w:rPr>
          <w:spacing w:val="1"/>
          <w:szCs w:val="22"/>
        </w:rPr>
        <w:t>t</w:t>
      </w:r>
      <w:r>
        <w:rPr>
          <w:spacing w:val="-3"/>
          <w:szCs w:val="22"/>
        </w:rPr>
        <w:t>o</w:t>
      </w:r>
      <w:r>
        <w:rPr>
          <w:szCs w:val="22"/>
        </w:rPr>
        <w:t>r</w:t>
      </w:r>
      <w:r>
        <w:rPr>
          <w:spacing w:val="1"/>
          <w:szCs w:val="22"/>
        </w:rPr>
        <w:t>i</w:t>
      </w:r>
      <w:r>
        <w:rPr>
          <w:szCs w:val="22"/>
        </w:rPr>
        <w:t>e</w:t>
      </w:r>
      <w:r>
        <w:rPr>
          <w:spacing w:val="-2"/>
          <w:szCs w:val="22"/>
        </w:rPr>
        <w:t xml:space="preserve"> </w:t>
      </w:r>
      <w:r>
        <w:rPr>
          <w:szCs w:val="22"/>
        </w:rPr>
        <w:t xml:space="preserve">a </w:t>
      </w:r>
      <w:r>
        <w:rPr>
          <w:spacing w:val="-2"/>
          <w:szCs w:val="22"/>
        </w:rPr>
        <w:t>t</w:t>
      </w:r>
      <w:r>
        <w:rPr>
          <w:szCs w:val="22"/>
        </w:rPr>
        <w:t>r</w:t>
      </w:r>
      <w:r>
        <w:rPr>
          <w:spacing w:val="-3"/>
          <w:szCs w:val="22"/>
        </w:rPr>
        <w:t>a</w:t>
      </w:r>
      <w:r>
        <w:rPr>
          <w:szCs w:val="22"/>
        </w:rPr>
        <w:t>c</w:t>
      </w:r>
      <w:r>
        <w:rPr>
          <w:spacing w:val="1"/>
          <w:szCs w:val="22"/>
        </w:rPr>
        <w:t>t</w:t>
      </w:r>
      <w:r>
        <w:rPr>
          <w:spacing w:val="-3"/>
          <w:szCs w:val="22"/>
        </w:rPr>
        <w:t>u</w:t>
      </w:r>
      <w:r>
        <w:rPr>
          <w:spacing w:val="1"/>
          <w:szCs w:val="22"/>
        </w:rPr>
        <w:t>l</w:t>
      </w:r>
      <w:r>
        <w:rPr>
          <w:szCs w:val="22"/>
        </w:rPr>
        <w:t>ui</w:t>
      </w:r>
      <w:r>
        <w:rPr>
          <w:spacing w:val="-2"/>
          <w:szCs w:val="22"/>
        </w:rPr>
        <w:t xml:space="preserve"> </w:t>
      </w:r>
      <w:r>
        <w:rPr>
          <w:szCs w:val="22"/>
        </w:rPr>
        <w:t>d</w:t>
      </w:r>
      <w:r>
        <w:rPr>
          <w:spacing w:val="-2"/>
          <w:szCs w:val="22"/>
        </w:rPr>
        <w:t>i</w:t>
      </w:r>
      <w:r>
        <w:rPr>
          <w:spacing w:val="-3"/>
          <w:szCs w:val="22"/>
        </w:rPr>
        <w:t>g</w:t>
      </w:r>
      <w:r>
        <w:rPr>
          <w:szCs w:val="22"/>
        </w:rPr>
        <w:t>es</w:t>
      </w:r>
      <w:r>
        <w:rPr>
          <w:spacing w:val="1"/>
          <w:szCs w:val="22"/>
        </w:rPr>
        <w:t>ti</w:t>
      </w:r>
      <w:r>
        <w:rPr>
          <w:spacing w:val="-3"/>
          <w:szCs w:val="22"/>
        </w:rPr>
        <w:t>v</w:t>
      </w:r>
      <w:r>
        <w:rPr>
          <w:szCs w:val="22"/>
        </w:rPr>
        <w:t>.</w:t>
      </w:r>
    </w:p>
    <w:p w14:paraId="5D901E84" w14:textId="77777777" w:rsidR="00C04CAD" w:rsidRDefault="00C04CAD">
      <w:pPr>
        <w:tabs>
          <w:tab w:val="clear" w:pos="567"/>
        </w:tabs>
        <w:kinsoku w:val="0"/>
        <w:overflowPunct w:val="0"/>
        <w:autoSpaceDE w:val="0"/>
        <w:autoSpaceDN w:val="0"/>
        <w:adjustRightInd w:val="0"/>
        <w:spacing w:line="240" w:lineRule="auto"/>
        <w:rPr>
          <w:szCs w:val="22"/>
        </w:rPr>
      </w:pPr>
    </w:p>
    <w:p w14:paraId="7CEF90C8"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zCs w:val="22"/>
        </w:rPr>
        <w:t>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b</w:t>
      </w:r>
      <w:r>
        <w:rPr>
          <w:spacing w:val="-3"/>
          <w:szCs w:val="22"/>
        </w:rPr>
        <w:t>o</w:t>
      </w:r>
      <w:r>
        <w:rPr>
          <w:spacing w:val="1"/>
          <w:szCs w:val="22"/>
        </w:rPr>
        <w:t>l</w:t>
      </w:r>
      <w:r>
        <w:rPr>
          <w:spacing w:val="-2"/>
          <w:szCs w:val="22"/>
        </w:rPr>
        <w:t>i</w:t>
      </w:r>
      <w:r>
        <w:rPr>
          <w:szCs w:val="22"/>
        </w:rPr>
        <w:t>i</w:t>
      </w:r>
      <w:r>
        <w:rPr>
          <w:spacing w:val="1"/>
          <w:szCs w:val="22"/>
        </w:rPr>
        <w:t xml:space="preserve"> </w:t>
      </w:r>
      <w:r>
        <w:rPr>
          <w:spacing w:val="-1"/>
          <w:szCs w:val="22"/>
        </w:rPr>
        <w:t>C</w:t>
      </w:r>
      <w:r>
        <w:rPr>
          <w:szCs w:val="22"/>
        </w:rPr>
        <w:t>ro</w:t>
      </w:r>
      <w:r>
        <w:rPr>
          <w:spacing w:val="-3"/>
          <w:szCs w:val="22"/>
        </w:rPr>
        <w:t>h</w:t>
      </w:r>
      <w:r>
        <w:rPr>
          <w:szCs w:val="22"/>
        </w:rPr>
        <w:t xml:space="preserve">n </w:t>
      </w:r>
      <w:r>
        <w:rPr>
          <w:spacing w:val="1"/>
          <w:szCs w:val="22"/>
        </w:rPr>
        <w:t>l</w:t>
      </w:r>
      <w:r>
        <w:rPr>
          <w:szCs w:val="22"/>
        </w:rPr>
        <w:t>a</w:t>
      </w:r>
      <w:r>
        <w:rPr>
          <w:spacing w:val="-5"/>
          <w:szCs w:val="22"/>
        </w:rPr>
        <w:t xml:space="preserve"> </w:t>
      </w:r>
      <w:r>
        <w:rPr>
          <w:szCs w:val="22"/>
        </w:rPr>
        <w:t>adu</w:t>
      </w:r>
      <w:r>
        <w:rPr>
          <w:spacing w:val="-2"/>
          <w:szCs w:val="22"/>
        </w:rPr>
        <w:t>l</w:t>
      </w:r>
      <w:r>
        <w:rPr>
          <w:spacing w:val="1"/>
          <w:szCs w:val="22"/>
        </w:rPr>
        <w:t>ţ</w:t>
      </w:r>
      <w:r>
        <w:rPr>
          <w:szCs w:val="22"/>
        </w:rPr>
        <w:t>i</w:t>
      </w:r>
      <w:r>
        <w:rPr>
          <w:spacing w:val="-2"/>
          <w:szCs w:val="22"/>
        </w:rPr>
        <w:t xml:space="preserve"> </w:t>
      </w:r>
      <w:r>
        <w:rPr>
          <w:szCs w:val="22"/>
        </w:rPr>
        <w:t>şi</w:t>
      </w:r>
      <w:r>
        <w:rPr>
          <w:spacing w:val="-2"/>
          <w:szCs w:val="22"/>
        </w:rPr>
        <w:t xml:space="preserve"> </w:t>
      </w:r>
      <w:r>
        <w:rPr>
          <w:szCs w:val="22"/>
        </w:rPr>
        <w:t>cop</w:t>
      </w:r>
      <w:r>
        <w:rPr>
          <w:spacing w:val="-2"/>
          <w:szCs w:val="22"/>
        </w:rPr>
        <w:t>i</w:t>
      </w:r>
      <w:r>
        <w:rPr>
          <w:szCs w:val="22"/>
        </w:rPr>
        <w:t>i</w:t>
      </w:r>
      <w:r>
        <w:rPr>
          <w:spacing w:val="1"/>
          <w:szCs w:val="22"/>
        </w:rPr>
        <w:t xml:space="preserve"> </w:t>
      </w:r>
      <w:r>
        <w:rPr>
          <w:szCs w:val="22"/>
        </w:rPr>
        <w:t>cu</w:t>
      </w:r>
      <w:r>
        <w:rPr>
          <w:spacing w:val="-3"/>
          <w:szCs w:val="22"/>
        </w:rPr>
        <w:t xml:space="preserve"> v</w:t>
      </w:r>
      <w:r>
        <w:rPr>
          <w:szCs w:val="22"/>
        </w:rPr>
        <w:t>ârs</w:t>
      </w:r>
      <w:r>
        <w:rPr>
          <w:spacing w:val="-2"/>
          <w:szCs w:val="22"/>
        </w:rPr>
        <w:t>t</w:t>
      </w:r>
      <w:r>
        <w:rPr>
          <w:szCs w:val="22"/>
        </w:rPr>
        <w:t xml:space="preserve">a </w:t>
      </w:r>
      <w:r>
        <w:rPr>
          <w:spacing w:val="1"/>
          <w:szCs w:val="22"/>
        </w:rPr>
        <w:t>î</w:t>
      </w:r>
      <w:r>
        <w:rPr>
          <w:spacing w:val="-3"/>
          <w:szCs w:val="22"/>
        </w:rPr>
        <w:t>n</w:t>
      </w:r>
      <w:r>
        <w:rPr>
          <w:spacing w:val="1"/>
          <w:szCs w:val="22"/>
        </w:rPr>
        <w:t>t</w:t>
      </w:r>
      <w:r>
        <w:rPr>
          <w:spacing w:val="-2"/>
          <w:szCs w:val="22"/>
        </w:rPr>
        <w:t>r</w:t>
      </w:r>
      <w:r>
        <w:rPr>
          <w:szCs w:val="22"/>
        </w:rPr>
        <w:t>e 6 şi</w:t>
      </w:r>
      <w:r>
        <w:rPr>
          <w:spacing w:val="-2"/>
          <w:szCs w:val="22"/>
        </w:rPr>
        <w:t xml:space="preserve"> </w:t>
      </w:r>
      <w:r>
        <w:rPr>
          <w:szCs w:val="22"/>
        </w:rPr>
        <w:t>17 a</w:t>
      </w:r>
      <w:r>
        <w:rPr>
          <w:spacing w:val="-3"/>
          <w:szCs w:val="22"/>
        </w:rPr>
        <w:t>n</w:t>
      </w:r>
      <w:r>
        <w:rPr>
          <w:spacing w:val="1"/>
          <w:szCs w:val="22"/>
        </w:rPr>
        <w:t>i</w:t>
      </w:r>
      <w:r>
        <w:rPr>
          <w:szCs w:val="22"/>
        </w:rPr>
        <w:t xml:space="preserve">. </w:t>
      </w:r>
      <w:r>
        <w:rPr>
          <w:spacing w:val="-1"/>
          <w:szCs w:val="22"/>
        </w:rPr>
        <w:t>D</w:t>
      </w:r>
      <w:r>
        <w:rPr>
          <w:spacing w:val="-3"/>
          <w:szCs w:val="22"/>
        </w:rPr>
        <w:t>a</w:t>
      </w:r>
      <w:r>
        <w:rPr>
          <w:szCs w:val="22"/>
        </w:rPr>
        <w:t>că a</w:t>
      </w:r>
      <w:r>
        <w:rPr>
          <w:spacing w:val="-3"/>
          <w:szCs w:val="22"/>
        </w:rPr>
        <w:t>v</w:t>
      </w:r>
      <w:r>
        <w:rPr>
          <w:szCs w:val="22"/>
        </w:rPr>
        <w:t>e</w:t>
      </w:r>
      <w:r>
        <w:rPr>
          <w:spacing w:val="1"/>
          <w:szCs w:val="22"/>
        </w:rPr>
        <w:t>ţ</w:t>
      </w:r>
      <w:r>
        <w:rPr>
          <w:szCs w:val="22"/>
        </w:rPr>
        <w:t>i</w:t>
      </w:r>
      <w:r>
        <w:rPr>
          <w:spacing w:val="1"/>
          <w:szCs w:val="22"/>
        </w:rPr>
        <w:t xml:space="preserve"> </w:t>
      </w:r>
      <w:r>
        <w:rPr>
          <w:szCs w:val="22"/>
        </w:rPr>
        <w:t>b</w:t>
      </w:r>
      <w:r>
        <w:rPr>
          <w:spacing w:val="-3"/>
          <w:szCs w:val="22"/>
        </w:rPr>
        <w:t>o</w:t>
      </w:r>
      <w:r>
        <w:rPr>
          <w:szCs w:val="22"/>
        </w:rPr>
        <w:t>a</w:t>
      </w:r>
      <w:r>
        <w:rPr>
          <w:spacing w:val="1"/>
          <w:szCs w:val="22"/>
        </w:rPr>
        <w:t>l</w:t>
      </w:r>
      <w:r>
        <w:rPr>
          <w:szCs w:val="22"/>
        </w:rPr>
        <w:t xml:space="preserve">a </w:t>
      </w:r>
      <w:r>
        <w:rPr>
          <w:spacing w:val="-4"/>
          <w:szCs w:val="22"/>
        </w:rPr>
        <w:t>C</w:t>
      </w:r>
      <w:r>
        <w:rPr>
          <w:szCs w:val="22"/>
        </w:rPr>
        <w:t xml:space="preserve">rohn, </w:t>
      </w:r>
      <w:r>
        <w:rPr>
          <w:spacing w:val="-3"/>
          <w:szCs w:val="22"/>
        </w:rPr>
        <w:t>v</w:t>
      </w:r>
      <w:r>
        <w:rPr>
          <w:szCs w:val="22"/>
        </w:rPr>
        <w:t>i</w:t>
      </w:r>
      <w:r>
        <w:rPr>
          <w:spacing w:val="-2"/>
          <w:szCs w:val="22"/>
        </w:rPr>
        <w:t xml:space="preserve"> </w:t>
      </w:r>
      <w:r>
        <w:rPr>
          <w:szCs w:val="22"/>
        </w:rPr>
        <w:t xml:space="preserve">se </w:t>
      </w:r>
      <w:r>
        <w:rPr>
          <w:spacing w:val="-3"/>
          <w:szCs w:val="22"/>
        </w:rPr>
        <w:t>v</w:t>
      </w:r>
      <w:r>
        <w:rPr>
          <w:szCs w:val="22"/>
        </w:rPr>
        <w:t>or</w:t>
      </w:r>
      <w:r>
        <w:rPr>
          <w:spacing w:val="-2"/>
          <w:szCs w:val="22"/>
        </w:rPr>
        <w:t xml:space="preserve"> </w:t>
      </w:r>
      <w:r>
        <w:rPr>
          <w:szCs w:val="22"/>
        </w:rPr>
        <w:t>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ra</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al</w:t>
      </w:r>
      <w:r>
        <w:rPr>
          <w:spacing w:val="-2"/>
          <w:szCs w:val="22"/>
        </w:rPr>
        <w:t xml:space="preserve"> </w:t>
      </w:r>
      <w:r>
        <w:rPr>
          <w:szCs w:val="22"/>
        </w:rPr>
        <w:t>a</w:t>
      </w:r>
      <w:r>
        <w:rPr>
          <w:spacing w:val="-2"/>
          <w:szCs w:val="22"/>
        </w:rPr>
        <w:t>l</w:t>
      </w:r>
      <w:r>
        <w:rPr>
          <w:spacing w:val="1"/>
          <w:szCs w:val="22"/>
        </w:rPr>
        <w:t>t</w:t>
      </w:r>
      <w:r>
        <w:rPr>
          <w:szCs w:val="22"/>
        </w:rPr>
        <w:t xml:space="preserve">e </w:t>
      </w:r>
      <w:r>
        <w:rPr>
          <w:spacing w:val="-4"/>
          <w:szCs w:val="22"/>
        </w:rPr>
        <w:t>m</w:t>
      </w:r>
      <w:r>
        <w:rPr>
          <w:szCs w:val="22"/>
        </w:rPr>
        <w:t>ed</w:t>
      </w:r>
      <w:r>
        <w:rPr>
          <w:spacing w:val="-2"/>
          <w:szCs w:val="22"/>
        </w:rPr>
        <w:t>i</w:t>
      </w:r>
      <w:r>
        <w:rPr>
          <w:szCs w:val="22"/>
        </w:rPr>
        <w:t>ca</w:t>
      </w:r>
      <w:r>
        <w:rPr>
          <w:spacing w:val="-4"/>
          <w:szCs w:val="22"/>
        </w:rPr>
        <w:t>m</w:t>
      </w:r>
      <w:r>
        <w:rPr>
          <w:szCs w:val="22"/>
        </w:rPr>
        <w:t>en</w:t>
      </w:r>
      <w:r>
        <w:rPr>
          <w:spacing w:val="1"/>
          <w:szCs w:val="22"/>
        </w:rPr>
        <w:t>t</w:t>
      </w:r>
      <w:r>
        <w:rPr>
          <w:szCs w:val="22"/>
        </w:rPr>
        <w:t xml:space="preserve">e. </w:t>
      </w:r>
      <w:r>
        <w:rPr>
          <w:spacing w:val="-1"/>
          <w:szCs w:val="22"/>
        </w:rPr>
        <w:t>D</w:t>
      </w:r>
      <w:r>
        <w:rPr>
          <w:szCs w:val="22"/>
        </w:rPr>
        <w:t>a</w:t>
      </w:r>
      <w:r>
        <w:rPr>
          <w:spacing w:val="-3"/>
          <w:szCs w:val="22"/>
        </w:rPr>
        <w:t>c</w:t>
      </w:r>
      <w:r>
        <w:rPr>
          <w:szCs w:val="22"/>
        </w:rPr>
        <w:t xml:space="preserve">ă nu </w:t>
      </w:r>
      <w:r>
        <w:rPr>
          <w:spacing w:val="-2"/>
          <w:szCs w:val="22"/>
        </w:rPr>
        <w:t>r</w:t>
      </w:r>
      <w:r>
        <w:rPr>
          <w:szCs w:val="22"/>
        </w:rPr>
        <w:t>ăsp</w:t>
      </w:r>
      <w:r>
        <w:rPr>
          <w:spacing w:val="-3"/>
          <w:szCs w:val="22"/>
        </w:rPr>
        <w:t>u</w:t>
      </w:r>
      <w:r>
        <w:rPr>
          <w:szCs w:val="22"/>
        </w:rPr>
        <w:t>nd</w:t>
      </w:r>
      <w:r>
        <w:rPr>
          <w:spacing w:val="-3"/>
          <w:szCs w:val="22"/>
        </w:rPr>
        <w:t>e</w:t>
      </w:r>
      <w:r>
        <w:rPr>
          <w:spacing w:val="1"/>
          <w:szCs w:val="22"/>
        </w:rPr>
        <w:t>ţ</w:t>
      </w:r>
      <w:r>
        <w:rPr>
          <w:szCs w:val="22"/>
        </w:rPr>
        <w:t>i</w:t>
      </w:r>
      <w:r>
        <w:rPr>
          <w:spacing w:val="1"/>
          <w:szCs w:val="22"/>
        </w:rPr>
        <w:t xml:space="preserve"> </w:t>
      </w:r>
      <w:r>
        <w:rPr>
          <w:spacing w:val="-3"/>
          <w:szCs w:val="22"/>
        </w:rPr>
        <w:t>b</w:t>
      </w:r>
      <w:r>
        <w:rPr>
          <w:spacing w:val="1"/>
          <w:szCs w:val="22"/>
        </w:rPr>
        <w:t>i</w:t>
      </w:r>
      <w:r>
        <w:rPr>
          <w:szCs w:val="22"/>
        </w:rPr>
        <w:t>ne</w:t>
      </w:r>
      <w:r>
        <w:rPr>
          <w:spacing w:val="-2"/>
          <w:szCs w:val="22"/>
        </w:rPr>
        <w:t xml:space="preserve"> </w:t>
      </w:r>
      <w:r>
        <w:rPr>
          <w:spacing w:val="1"/>
          <w:szCs w:val="22"/>
        </w:rPr>
        <w:t>l</w:t>
      </w:r>
      <w:r>
        <w:rPr>
          <w:szCs w:val="22"/>
        </w:rPr>
        <w:t>a</w:t>
      </w:r>
      <w:r>
        <w:rPr>
          <w:spacing w:val="-2"/>
          <w:szCs w:val="22"/>
        </w:rPr>
        <w:t xml:space="preserve"> </w:t>
      </w:r>
      <w:r>
        <w:rPr>
          <w:szCs w:val="22"/>
        </w:rPr>
        <w:t>ac</w:t>
      </w:r>
      <w:r>
        <w:rPr>
          <w:spacing w:val="-3"/>
          <w:szCs w:val="22"/>
        </w:rPr>
        <w:t>e</w:t>
      </w:r>
      <w:r>
        <w:rPr>
          <w:szCs w:val="22"/>
        </w:rPr>
        <w:t>s</w:t>
      </w:r>
      <w:r>
        <w:rPr>
          <w:spacing w:val="1"/>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 xml:space="preserve">e, </w:t>
      </w:r>
      <w:r>
        <w:rPr>
          <w:spacing w:val="-3"/>
          <w:szCs w:val="22"/>
        </w:rPr>
        <w:t>v</w:t>
      </w:r>
      <w:r>
        <w:rPr>
          <w:szCs w:val="22"/>
        </w:rPr>
        <w:t>i</w:t>
      </w:r>
      <w:r>
        <w:rPr>
          <w:spacing w:val="1"/>
          <w:szCs w:val="22"/>
        </w:rPr>
        <w:t xml:space="preserve"> </w:t>
      </w:r>
      <w:r>
        <w:rPr>
          <w:szCs w:val="22"/>
        </w:rPr>
        <w:t xml:space="preserve">se </w:t>
      </w:r>
      <w:r>
        <w:rPr>
          <w:spacing w:val="-3"/>
          <w:szCs w:val="22"/>
        </w:rPr>
        <w:t>v</w:t>
      </w:r>
      <w:r>
        <w:rPr>
          <w:szCs w:val="22"/>
        </w:rPr>
        <w:t>a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 xml:space="preserve">ra </w:t>
      </w:r>
      <w:r>
        <w:rPr>
          <w:spacing w:val="-1"/>
          <w:szCs w:val="22"/>
          <w:lang w:eastAsia="en-US" w:bidi="ar-SA"/>
        </w:rPr>
        <w:t>AMGEVITA</w:t>
      </w:r>
      <w:r>
        <w:rPr>
          <w:spacing w:val="-2"/>
          <w:szCs w:val="22"/>
        </w:rPr>
        <w:t xml:space="preserve"> </w:t>
      </w:r>
      <w:r>
        <w:rPr>
          <w:szCs w:val="22"/>
        </w:rPr>
        <w:t>pe</w:t>
      </w:r>
      <w:r>
        <w:rPr>
          <w:spacing w:val="-3"/>
          <w:szCs w:val="22"/>
        </w:rPr>
        <w:t>n</w:t>
      </w:r>
      <w:r>
        <w:rPr>
          <w:spacing w:val="1"/>
          <w:szCs w:val="22"/>
        </w:rPr>
        <w:t>t</w:t>
      </w:r>
      <w:r>
        <w:rPr>
          <w:szCs w:val="22"/>
        </w:rPr>
        <w:t>ru</w:t>
      </w:r>
      <w:r>
        <w:rPr>
          <w:spacing w:val="-4"/>
          <w:szCs w:val="22"/>
        </w:rPr>
        <w:t xml:space="preserve"> </w:t>
      </w:r>
      <w:r>
        <w:rPr>
          <w:szCs w:val="22"/>
        </w:rPr>
        <w:t xml:space="preserve">a </w:t>
      </w:r>
      <w:r>
        <w:rPr>
          <w:spacing w:val="-2"/>
          <w:szCs w:val="22"/>
        </w:rPr>
        <w:t>r</w:t>
      </w:r>
      <w:r>
        <w:rPr>
          <w:szCs w:val="22"/>
        </w:rPr>
        <w:t>ed</w:t>
      </w:r>
      <w:r>
        <w:rPr>
          <w:spacing w:val="-3"/>
          <w:szCs w:val="22"/>
        </w:rPr>
        <w:t>u</w:t>
      </w:r>
      <w:r>
        <w:rPr>
          <w:szCs w:val="22"/>
        </w:rPr>
        <w:t>ce se</w:t>
      </w:r>
      <w:r>
        <w:rPr>
          <w:spacing w:val="-4"/>
          <w:szCs w:val="22"/>
        </w:rPr>
        <w:t>m</w:t>
      </w:r>
      <w:r>
        <w:rPr>
          <w:szCs w:val="22"/>
        </w:rPr>
        <w:t>ne</w:t>
      </w:r>
      <w:r>
        <w:rPr>
          <w:spacing w:val="1"/>
          <w:szCs w:val="22"/>
        </w:rPr>
        <w:t>l</w:t>
      </w:r>
      <w:r>
        <w:rPr>
          <w:szCs w:val="22"/>
        </w:rPr>
        <w:t>e</w:t>
      </w:r>
      <w:r>
        <w:rPr>
          <w:spacing w:val="-2"/>
          <w:szCs w:val="22"/>
        </w:rPr>
        <w:t xml:space="preserve"> </w:t>
      </w:r>
      <w:r>
        <w:rPr>
          <w:szCs w:val="22"/>
        </w:rPr>
        <w:t>şi</w:t>
      </w:r>
      <w:r>
        <w:rPr>
          <w:spacing w:val="-2"/>
          <w:szCs w:val="22"/>
        </w:rPr>
        <w:t xml:space="preserve"> </w:t>
      </w:r>
      <w:r>
        <w:rPr>
          <w:szCs w:val="22"/>
        </w:rPr>
        <w:t>s</w:t>
      </w:r>
      <w:r>
        <w:rPr>
          <w:spacing w:val="1"/>
          <w:szCs w:val="22"/>
        </w:rPr>
        <w:t>i</w:t>
      </w:r>
      <w:r>
        <w:rPr>
          <w:spacing w:val="-4"/>
          <w:szCs w:val="22"/>
        </w:rPr>
        <w:t>m</w:t>
      </w:r>
      <w:r>
        <w:rPr>
          <w:spacing w:val="-1"/>
          <w:szCs w:val="22"/>
        </w:rPr>
        <w:t>p</w:t>
      </w:r>
      <w:r>
        <w:rPr>
          <w:spacing w:val="1"/>
          <w:szCs w:val="22"/>
        </w:rPr>
        <w:t>t</w:t>
      </w:r>
      <w:r>
        <w:rPr>
          <w:szCs w:val="22"/>
        </w:rPr>
        <w:t>o</w:t>
      </w:r>
      <w:r>
        <w:rPr>
          <w:spacing w:val="-4"/>
          <w:szCs w:val="22"/>
        </w:rPr>
        <w:t>m</w:t>
      </w:r>
      <w:r>
        <w:rPr>
          <w:szCs w:val="22"/>
        </w:rPr>
        <w:t xml:space="preserve">ele </w:t>
      </w:r>
      <w:r>
        <w:rPr>
          <w:spacing w:val="-3"/>
          <w:szCs w:val="22"/>
        </w:rPr>
        <w:t>b</w:t>
      </w:r>
      <w:r>
        <w:rPr>
          <w:szCs w:val="22"/>
        </w:rPr>
        <w:t>o</w:t>
      </w:r>
      <w:r>
        <w:rPr>
          <w:spacing w:val="1"/>
          <w:szCs w:val="22"/>
        </w:rPr>
        <w:t>l</w:t>
      </w:r>
      <w:r>
        <w:rPr>
          <w:spacing w:val="-2"/>
          <w:szCs w:val="22"/>
        </w:rPr>
        <w:t>i</w:t>
      </w:r>
      <w:r>
        <w:rPr>
          <w:szCs w:val="22"/>
        </w:rPr>
        <w:t>i</w:t>
      </w:r>
      <w:r>
        <w:rPr>
          <w:spacing w:val="1"/>
          <w:szCs w:val="22"/>
        </w:rPr>
        <w:t xml:space="preserve"> </w:t>
      </w:r>
      <w:r>
        <w:rPr>
          <w:spacing w:val="-1"/>
          <w:szCs w:val="22"/>
        </w:rPr>
        <w:t>C</w:t>
      </w:r>
      <w:r>
        <w:rPr>
          <w:szCs w:val="22"/>
        </w:rPr>
        <w:t>ro</w:t>
      </w:r>
      <w:r>
        <w:rPr>
          <w:spacing w:val="-3"/>
          <w:szCs w:val="22"/>
        </w:rPr>
        <w:t>h</w:t>
      </w:r>
      <w:r>
        <w:rPr>
          <w:szCs w:val="22"/>
        </w:rPr>
        <w:t>n.</w:t>
      </w:r>
    </w:p>
    <w:p w14:paraId="0D9238E7" w14:textId="77777777" w:rsidR="00C04CAD" w:rsidRDefault="00C04CAD">
      <w:pPr>
        <w:tabs>
          <w:tab w:val="clear" w:pos="567"/>
        </w:tabs>
        <w:kinsoku w:val="0"/>
        <w:overflowPunct w:val="0"/>
        <w:autoSpaceDE w:val="0"/>
        <w:autoSpaceDN w:val="0"/>
        <w:adjustRightInd w:val="0"/>
        <w:spacing w:line="240" w:lineRule="auto"/>
        <w:rPr>
          <w:szCs w:val="22"/>
        </w:rPr>
      </w:pPr>
    </w:p>
    <w:p w14:paraId="3D9DAD4A" w14:textId="77777777" w:rsidR="00C04CAD" w:rsidRDefault="00060E34">
      <w:pPr>
        <w:tabs>
          <w:tab w:val="clear" w:pos="567"/>
        </w:tabs>
        <w:kinsoku w:val="0"/>
        <w:overflowPunct w:val="0"/>
        <w:autoSpaceDE w:val="0"/>
        <w:autoSpaceDN w:val="0"/>
        <w:adjustRightInd w:val="0"/>
        <w:spacing w:line="240" w:lineRule="auto"/>
        <w:rPr>
          <w:szCs w:val="22"/>
          <w:u w:val="single"/>
        </w:rPr>
      </w:pPr>
      <w:r>
        <w:rPr>
          <w:spacing w:val="-1"/>
          <w:szCs w:val="22"/>
          <w:u w:val="single"/>
        </w:rPr>
        <w:t>C</w:t>
      </w:r>
      <w:r>
        <w:rPr>
          <w:szCs w:val="22"/>
          <w:u w:val="single"/>
        </w:rPr>
        <w:t>o</w:t>
      </w:r>
      <w:r>
        <w:rPr>
          <w:spacing w:val="1"/>
          <w:szCs w:val="22"/>
          <w:u w:val="single"/>
        </w:rPr>
        <w:t>l</w:t>
      </w:r>
      <w:r>
        <w:rPr>
          <w:spacing w:val="-2"/>
          <w:szCs w:val="22"/>
          <w:u w:val="single"/>
        </w:rPr>
        <w:t>i</w:t>
      </w:r>
      <w:r>
        <w:rPr>
          <w:szCs w:val="22"/>
          <w:u w:val="single"/>
        </w:rPr>
        <w:t xml:space="preserve">tă </w:t>
      </w:r>
      <w:r>
        <w:rPr>
          <w:spacing w:val="-3"/>
          <w:szCs w:val="22"/>
          <w:u w:val="single"/>
        </w:rPr>
        <w:t>u</w:t>
      </w:r>
      <w:r>
        <w:rPr>
          <w:spacing w:val="1"/>
          <w:szCs w:val="22"/>
          <w:u w:val="single"/>
        </w:rPr>
        <w:t>l</w:t>
      </w:r>
      <w:r>
        <w:rPr>
          <w:szCs w:val="22"/>
          <w:u w:val="single"/>
        </w:rPr>
        <w:t>c</w:t>
      </w:r>
      <w:r>
        <w:rPr>
          <w:spacing w:val="-3"/>
          <w:szCs w:val="22"/>
          <w:u w:val="single"/>
        </w:rPr>
        <w:t>e</w:t>
      </w:r>
      <w:r>
        <w:rPr>
          <w:szCs w:val="22"/>
          <w:u w:val="single"/>
        </w:rPr>
        <w:t>r</w:t>
      </w:r>
      <w:r>
        <w:rPr>
          <w:spacing w:val="-3"/>
          <w:szCs w:val="22"/>
          <w:u w:val="single"/>
        </w:rPr>
        <w:t>a</w:t>
      </w:r>
      <w:r>
        <w:rPr>
          <w:spacing w:val="1"/>
          <w:szCs w:val="22"/>
          <w:u w:val="single"/>
        </w:rPr>
        <w:t>ti</w:t>
      </w:r>
      <w:r>
        <w:rPr>
          <w:spacing w:val="-3"/>
          <w:szCs w:val="22"/>
          <w:u w:val="single"/>
        </w:rPr>
        <w:t>v</w:t>
      </w:r>
      <w:r>
        <w:rPr>
          <w:szCs w:val="22"/>
          <w:u w:val="single"/>
        </w:rPr>
        <w:t>ă</w:t>
      </w:r>
      <w:r>
        <w:rPr>
          <w:spacing w:val="-1"/>
          <w:szCs w:val="22"/>
          <w:u w:val="single"/>
          <w:lang w:eastAsia="en-US" w:bidi="ar-SA"/>
        </w:rPr>
        <w:t xml:space="preserve"> la adulți și copii</w:t>
      </w:r>
    </w:p>
    <w:p w14:paraId="650DD2A3" w14:textId="77777777" w:rsidR="00C04CAD" w:rsidRDefault="00C04CAD">
      <w:pPr>
        <w:tabs>
          <w:tab w:val="clear" w:pos="567"/>
        </w:tabs>
        <w:kinsoku w:val="0"/>
        <w:overflowPunct w:val="0"/>
        <w:autoSpaceDE w:val="0"/>
        <w:autoSpaceDN w:val="0"/>
        <w:adjustRightInd w:val="0"/>
        <w:spacing w:line="240" w:lineRule="auto"/>
        <w:rPr>
          <w:szCs w:val="22"/>
        </w:rPr>
      </w:pPr>
    </w:p>
    <w:p w14:paraId="5E56A07D"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C</w:t>
      </w:r>
      <w:r>
        <w:rPr>
          <w:szCs w:val="22"/>
        </w:rPr>
        <w:t>o</w:t>
      </w:r>
      <w:r>
        <w:rPr>
          <w:spacing w:val="1"/>
          <w:szCs w:val="22"/>
        </w:rPr>
        <w:t>l</w:t>
      </w:r>
      <w:r>
        <w:rPr>
          <w:spacing w:val="-2"/>
          <w:szCs w:val="22"/>
        </w:rPr>
        <w:t>i</w:t>
      </w:r>
      <w:r>
        <w:rPr>
          <w:spacing w:val="1"/>
          <w:szCs w:val="22"/>
        </w:rPr>
        <w:t>t</w:t>
      </w:r>
      <w:r>
        <w:rPr>
          <w:szCs w:val="22"/>
        </w:rPr>
        <w:t xml:space="preserve">a </w:t>
      </w:r>
      <w:r>
        <w:rPr>
          <w:spacing w:val="-3"/>
          <w:szCs w:val="22"/>
        </w:rPr>
        <w:t>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ă e</w:t>
      </w:r>
      <w:r>
        <w:rPr>
          <w:spacing w:val="-2"/>
          <w:szCs w:val="22"/>
        </w:rPr>
        <w:t>s</w:t>
      </w:r>
      <w:r>
        <w:rPr>
          <w:spacing w:val="1"/>
          <w:szCs w:val="22"/>
        </w:rPr>
        <w:t>t</w:t>
      </w:r>
      <w:r>
        <w:rPr>
          <w:szCs w:val="22"/>
        </w:rPr>
        <w:t>e o</w:t>
      </w:r>
      <w:r>
        <w:rPr>
          <w:spacing w:val="-3"/>
          <w:szCs w:val="22"/>
        </w:rPr>
        <w:t xml:space="preserve"> </w:t>
      </w:r>
      <w:r>
        <w:rPr>
          <w:szCs w:val="22"/>
        </w:rPr>
        <w:t>a</w:t>
      </w:r>
      <w:r>
        <w:rPr>
          <w:spacing w:val="-2"/>
          <w:szCs w:val="22"/>
        </w:rPr>
        <w:t>f</w:t>
      </w:r>
      <w:r>
        <w:rPr>
          <w:szCs w:val="22"/>
        </w:rPr>
        <w:t>e</w:t>
      </w:r>
      <w:r>
        <w:rPr>
          <w:spacing w:val="-3"/>
          <w:szCs w:val="22"/>
        </w:rPr>
        <w:t>c</w:t>
      </w:r>
      <w:r>
        <w:rPr>
          <w:spacing w:val="1"/>
          <w:szCs w:val="22"/>
        </w:rPr>
        <w:t>ţi</w:t>
      </w:r>
      <w:r>
        <w:rPr>
          <w:szCs w:val="22"/>
        </w:rPr>
        <w:t>u</w:t>
      </w:r>
      <w:r>
        <w:rPr>
          <w:spacing w:val="-3"/>
          <w:szCs w:val="22"/>
        </w:rPr>
        <w:t>n</w:t>
      </w:r>
      <w:r>
        <w:rPr>
          <w:szCs w:val="22"/>
        </w:rPr>
        <w:t xml:space="preserve">e </w:t>
      </w:r>
      <w:r>
        <w:rPr>
          <w:spacing w:val="1"/>
          <w:szCs w:val="22"/>
        </w:rPr>
        <w:t>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or</w:t>
      </w:r>
      <w:r>
        <w:rPr>
          <w:spacing w:val="-2"/>
          <w:szCs w:val="22"/>
        </w:rPr>
        <w:t>i</w:t>
      </w:r>
      <w:r>
        <w:rPr>
          <w:szCs w:val="22"/>
        </w:rPr>
        <w:t>e a</w:t>
      </w:r>
      <w:r>
        <w:rPr>
          <w:spacing w:val="-2"/>
          <w:szCs w:val="22"/>
        </w:rPr>
        <w:t xml:space="preserve"> </w:t>
      </w:r>
      <w:r>
        <w:rPr>
          <w:spacing w:val="1"/>
          <w:szCs w:val="22"/>
        </w:rPr>
        <w:t>i</w:t>
      </w:r>
      <w:r>
        <w:rPr>
          <w:szCs w:val="22"/>
        </w:rPr>
        <w:t>n</w:t>
      </w:r>
      <w:r>
        <w:rPr>
          <w:spacing w:val="-2"/>
          <w:szCs w:val="22"/>
        </w:rPr>
        <w:t>t</w:t>
      </w:r>
      <w:r>
        <w:rPr>
          <w:szCs w:val="22"/>
        </w:rPr>
        <w:t>e</w:t>
      </w:r>
      <w:r>
        <w:rPr>
          <w:spacing w:val="-2"/>
          <w:szCs w:val="22"/>
        </w:rPr>
        <w:t>s</w:t>
      </w:r>
      <w:r>
        <w:rPr>
          <w:spacing w:val="1"/>
          <w:szCs w:val="22"/>
        </w:rPr>
        <w:t>ti</w:t>
      </w:r>
      <w:r>
        <w:rPr>
          <w:spacing w:val="-3"/>
          <w:szCs w:val="22"/>
        </w:rPr>
        <w:t>n</w:t>
      </w:r>
      <w:r>
        <w:rPr>
          <w:szCs w:val="22"/>
        </w:rPr>
        <w:t>u</w:t>
      </w:r>
      <w:r>
        <w:rPr>
          <w:spacing w:val="1"/>
          <w:szCs w:val="22"/>
        </w:rPr>
        <w:t>l</w:t>
      </w:r>
      <w:r>
        <w:rPr>
          <w:szCs w:val="22"/>
        </w:rPr>
        <w:t>u</w:t>
      </w:r>
      <w:r>
        <w:rPr>
          <w:spacing w:val="1"/>
          <w:szCs w:val="22"/>
        </w:rPr>
        <w:t>i gros.</w:t>
      </w:r>
    </w:p>
    <w:p w14:paraId="3C57BD1E" w14:textId="77777777" w:rsidR="00C04CAD" w:rsidRDefault="00C04CAD">
      <w:pPr>
        <w:tabs>
          <w:tab w:val="clear" w:pos="567"/>
        </w:tabs>
        <w:kinsoku w:val="0"/>
        <w:overflowPunct w:val="0"/>
        <w:autoSpaceDE w:val="0"/>
        <w:autoSpaceDN w:val="0"/>
        <w:adjustRightInd w:val="0"/>
        <w:spacing w:line="240" w:lineRule="auto"/>
        <w:rPr>
          <w:szCs w:val="22"/>
        </w:rPr>
      </w:pPr>
    </w:p>
    <w:p w14:paraId="0CFEFC59"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c</w:t>
      </w:r>
      <w:r>
        <w:rPr>
          <w:spacing w:val="-3"/>
          <w:szCs w:val="22"/>
        </w:rPr>
        <w:t>o</w:t>
      </w:r>
      <w:r>
        <w:rPr>
          <w:spacing w:val="1"/>
          <w:szCs w:val="22"/>
        </w:rPr>
        <w:t>l</w:t>
      </w:r>
      <w:r>
        <w:rPr>
          <w:spacing w:val="-2"/>
          <w:szCs w:val="22"/>
        </w:rPr>
        <w:t>i</w:t>
      </w:r>
      <w:r>
        <w:rPr>
          <w:spacing w:val="1"/>
          <w:szCs w:val="22"/>
        </w:rPr>
        <w:t>t</w:t>
      </w:r>
      <w:r>
        <w:rPr>
          <w:spacing w:val="-3"/>
          <w:szCs w:val="22"/>
        </w:rPr>
        <w:t>e</w:t>
      </w:r>
      <w:r>
        <w:rPr>
          <w:szCs w:val="22"/>
        </w:rPr>
        <w:t>i</w:t>
      </w:r>
      <w:r>
        <w:rPr>
          <w:spacing w:val="1"/>
          <w:szCs w:val="22"/>
        </w:rPr>
        <w:t xml:space="preserve"> </w:t>
      </w:r>
      <w:r>
        <w:rPr>
          <w:szCs w:val="22"/>
        </w:rPr>
        <w:t>u</w:t>
      </w:r>
      <w:r>
        <w:rPr>
          <w:spacing w:val="-2"/>
          <w:szCs w:val="22"/>
        </w:rPr>
        <w:t>l</w:t>
      </w:r>
      <w:r>
        <w:rPr>
          <w:szCs w:val="22"/>
        </w:rPr>
        <w:t>ce</w:t>
      </w:r>
      <w:r>
        <w:rPr>
          <w:spacing w:val="-2"/>
          <w:szCs w:val="22"/>
        </w:rPr>
        <w:t>r</w:t>
      </w:r>
      <w:r>
        <w:rPr>
          <w:szCs w:val="22"/>
        </w:rPr>
        <w:t>a</w:t>
      </w:r>
      <w:r>
        <w:rPr>
          <w:spacing w:val="-2"/>
          <w:szCs w:val="22"/>
        </w:rPr>
        <w:t>ti</w:t>
      </w:r>
      <w:r>
        <w:rPr>
          <w:spacing w:val="-3"/>
          <w:szCs w:val="22"/>
        </w:rPr>
        <w:t>v</w:t>
      </w:r>
      <w:r>
        <w:rPr>
          <w:szCs w:val="22"/>
        </w:rPr>
        <w:t xml:space="preserve">e, forma moderată până la severă, </w:t>
      </w:r>
      <w:r>
        <w:rPr>
          <w:spacing w:val="1"/>
          <w:szCs w:val="22"/>
        </w:rPr>
        <w:t>l</w:t>
      </w:r>
      <w:r>
        <w:rPr>
          <w:szCs w:val="22"/>
        </w:rPr>
        <w:t>a ad</w:t>
      </w:r>
      <w:r>
        <w:rPr>
          <w:spacing w:val="-3"/>
          <w:szCs w:val="22"/>
        </w:rPr>
        <w:t>u</w:t>
      </w:r>
      <w:r>
        <w:rPr>
          <w:spacing w:val="1"/>
          <w:szCs w:val="22"/>
        </w:rPr>
        <w:t>l</w:t>
      </w:r>
      <w:r>
        <w:rPr>
          <w:spacing w:val="-2"/>
          <w:szCs w:val="22"/>
        </w:rPr>
        <w:t>ţ</w:t>
      </w:r>
      <w:r>
        <w:rPr>
          <w:spacing w:val="1"/>
          <w:szCs w:val="22"/>
        </w:rPr>
        <w:t xml:space="preserve">i </w:t>
      </w:r>
      <w:r>
        <w:rPr>
          <w:spacing w:val="-1"/>
          <w:szCs w:val="22"/>
          <w:lang w:eastAsia="en-US" w:bidi="ar-SA"/>
        </w:rPr>
        <w:t>și la copii și adolescenți cu vârsta cuprinsă între 6 și 17 ani</w:t>
      </w:r>
      <w:r>
        <w:rPr>
          <w:szCs w:val="22"/>
        </w:rPr>
        <w:t>.</w:t>
      </w:r>
      <w:r>
        <w:rPr>
          <w:spacing w:val="-1"/>
          <w:szCs w:val="22"/>
        </w:rPr>
        <w:t xml:space="preserve"> </w:t>
      </w:r>
      <w:r>
        <w:rPr>
          <w:spacing w:val="-4"/>
          <w:szCs w:val="22"/>
        </w:rPr>
        <w:t>Î</w:t>
      </w:r>
      <w:r>
        <w:rPr>
          <w:szCs w:val="22"/>
        </w:rPr>
        <w:t>n ca</w:t>
      </w:r>
      <w:r>
        <w:rPr>
          <w:spacing w:val="-3"/>
          <w:szCs w:val="22"/>
        </w:rPr>
        <w:t>z</w:t>
      </w:r>
      <w:r>
        <w:rPr>
          <w:szCs w:val="22"/>
        </w:rPr>
        <w:t>ul</w:t>
      </w:r>
      <w:r>
        <w:rPr>
          <w:spacing w:val="1"/>
          <w:szCs w:val="22"/>
        </w:rPr>
        <w:t xml:space="preserve"> î</w:t>
      </w:r>
      <w:r>
        <w:rPr>
          <w:szCs w:val="22"/>
        </w:rPr>
        <w:t xml:space="preserve">n </w:t>
      </w:r>
      <w:r>
        <w:rPr>
          <w:spacing w:val="-3"/>
          <w:szCs w:val="22"/>
        </w:rPr>
        <w:t>c</w:t>
      </w:r>
      <w:r>
        <w:rPr>
          <w:szCs w:val="22"/>
        </w:rPr>
        <w:t>are</w:t>
      </w:r>
      <w:r>
        <w:rPr>
          <w:spacing w:val="-2"/>
          <w:szCs w:val="22"/>
        </w:rPr>
        <w:t xml:space="preserve"> </w:t>
      </w:r>
      <w:r>
        <w:rPr>
          <w:szCs w:val="22"/>
        </w:rPr>
        <w:t>a</w:t>
      </w:r>
      <w:r>
        <w:rPr>
          <w:spacing w:val="-3"/>
          <w:szCs w:val="22"/>
        </w:rPr>
        <w:t>v</w:t>
      </w:r>
      <w:r>
        <w:rPr>
          <w:szCs w:val="22"/>
        </w:rPr>
        <w:t>e</w:t>
      </w:r>
      <w:r>
        <w:rPr>
          <w:spacing w:val="1"/>
          <w:szCs w:val="22"/>
        </w:rPr>
        <w:t>ţ</w:t>
      </w:r>
      <w:r>
        <w:rPr>
          <w:szCs w:val="22"/>
        </w:rPr>
        <w:t>i</w:t>
      </w:r>
      <w:r>
        <w:rPr>
          <w:spacing w:val="1"/>
          <w:szCs w:val="22"/>
        </w:rPr>
        <w:t xml:space="preserve"> </w:t>
      </w:r>
      <w:r>
        <w:rPr>
          <w:szCs w:val="22"/>
        </w:rPr>
        <w:t>c</w:t>
      </w:r>
      <w:r>
        <w:rPr>
          <w:spacing w:val="-3"/>
          <w:szCs w:val="22"/>
        </w:rPr>
        <w:t>o</w:t>
      </w:r>
      <w:r>
        <w:rPr>
          <w:spacing w:val="-2"/>
          <w:szCs w:val="22"/>
        </w:rPr>
        <w:t>l</w:t>
      </w:r>
      <w:r>
        <w:rPr>
          <w:spacing w:val="1"/>
          <w:szCs w:val="22"/>
        </w:rPr>
        <w:t>it</w:t>
      </w:r>
      <w:r>
        <w:rPr>
          <w:szCs w:val="22"/>
        </w:rPr>
        <w:t>ă 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 xml:space="preserve">ă, </w:t>
      </w:r>
      <w:r>
        <w:rPr>
          <w:spacing w:val="-3"/>
          <w:szCs w:val="22"/>
        </w:rPr>
        <w:t>v</w:t>
      </w:r>
      <w:r>
        <w:rPr>
          <w:szCs w:val="22"/>
        </w:rPr>
        <w:t>i</w:t>
      </w:r>
      <w:r>
        <w:rPr>
          <w:spacing w:val="1"/>
          <w:szCs w:val="22"/>
        </w:rPr>
        <w:t xml:space="preserve"> </w:t>
      </w:r>
      <w:r>
        <w:rPr>
          <w:szCs w:val="22"/>
        </w:rPr>
        <w:t xml:space="preserve">se </w:t>
      </w:r>
      <w:r>
        <w:rPr>
          <w:spacing w:val="-3"/>
          <w:szCs w:val="22"/>
        </w:rPr>
        <w:t>pot a</w:t>
      </w:r>
      <w:r>
        <w:rPr>
          <w:szCs w:val="22"/>
        </w:rPr>
        <w:t>d</w:t>
      </w:r>
      <w:r>
        <w:rPr>
          <w:spacing w:val="-4"/>
          <w:szCs w:val="22"/>
        </w:rPr>
        <w:t>m</w:t>
      </w:r>
      <w:r>
        <w:rPr>
          <w:spacing w:val="1"/>
          <w:szCs w:val="22"/>
        </w:rPr>
        <w:t>i</w:t>
      </w:r>
      <w:r>
        <w:rPr>
          <w:szCs w:val="22"/>
        </w:rPr>
        <w:t>n</w:t>
      </w:r>
      <w:r>
        <w:rPr>
          <w:spacing w:val="-2"/>
          <w:szCs w:val="22"/>
        </w:rPr>
        <w:t>i</w:t>
      </w:r>
      <w:r>
        <w:rPr>
          <w:szCs w:val="22"/>
        </w:rPr>
        <w:t>s</w:t>
      </w:r>
      <w:r>
        <w:rPr>
          <w:spacing w:val="1"/>
          <w:szCs w:val="22"/>
        </w:rPr>
        <w:t>t</w:t>
      </w:r>
      <w:r>
        <w:rPr>
          <w:spacing w:val="-2"/>
          <w:szCs w:val="22"/>
        </w:rPr>
        <w:t>r</w:t>
      </w:r>
      <w:r>
        <w:rPr>
          <w:szCs w:val="22"/>
        </w:rPr>
        <w:t xml:space="preserve">a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zCs w:val="22"/>
        </w:rPr>
        <w:t>l</w:t>
      </w:r>
      <w:r>
        <w:rPr>
          <w:spacing w:val="1"/>
          <w:szCs w:val="22"/>
        </w:rPr>
        <w:t xml:space="preserve"> </w:t>
      </w:r>
      <w:r>
        <w:rPr>
          <w:spacing w:val="-3"/>
          <w:szCs w:val="22"/>
        </w:rPr>
        <w:t>a</w:t>
      </w:r>
      <w:r>
        <w:rPr>
          <w:spacing w:val="1"/>
          <w:szCs w:val="22"/>
        </w:rPr>
        <w:t>l</w:t>
      </w:r>
      <w:r>
        <w:rPr>
          <w:spacing w:val="-2"/>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2"/>
          <w:szCs w:val="22"/>
        </w:rPr>
        <w:t>t</w:t>
      </w:r>
      <w:r>
        <w:rPr>
          <w:szCs w:val="22"/>
        </w:rPr>
        <w:t xml:space="preserve">e. </w:t>
      </w:r>
      <w:r>
        <w:rPr>
          <w:spacing w:val="-2"/>
          <w:szCs w:val="22"/>
        </w:rPr>
        <w:t>D</w:t>
      </w:r>
      <w:r>
        <w:rPr>
          <w:szCs w:val="22"/>
        </w:rPr>
        <w:t xml:space="preserve">acă </w:t>
      </w:r>
      <w:r>
        <w:rPr>
          <w:spacing w:val="-3"/>
          <w:szCs w:val="22"/>
        </w:rPr>
        <w:t>n</w:t>
      </w:r>
      <w:r>
        <w:rPr>
          <w:szCs w:val="22"/>
        </w:rPr>
        <w:t>u r</w:t>
      </w:r>
      <w:r>
        <w:rPr>
          <w:spacing w:val="-3"/>
          <w:szCs w:val="22"/>
        </w:rPr>
        <w:t>ă</w:t>
      </w:r>
      <w:r>
        <w:rPr>
          <w:szCs w:val="22"/>
        </w:rPr>
        <w:t>spun</w:t>
      </w:r>
      <w:r>
        <w:rPr>
          <w:spacing w:val="-3"/>
          <w:szCs w:val="22"/>
        </w:rPr>
        <w:t>d</w:t>
      </w:r>
      <w:r>
        <w:rPr>
          <w:szCs w:val="22"/>
        </w:rPr>
        <w:t>e</w:t>
      </w:r>
      <w:r>
        <w:rPr>
          <w:spacing w:val="-2"/>
          <w:szCs w:val="22"/>
        </w:rPr>
        <w:t>ţ</w:t>
      </w:r>
      <w:r>
        <w:rPr>
          <w:szCs w:val="22"/>
        </w:rPr>
        <w:t>i</w:t>
      </w:r>
      <w:r>
        <w:rPr>
          <w:spacing w:val="1"/>
          <w:szCs w:val="22"/>
        </w:rPr>
        <w:t xml:space="preserve"> </w:t>
      </w:r>
      <w:r>
        <w:rPr>
          <w:spacing w:val="-3"/>
          <w:szCs w:val="22"/>
        </w:rPr>
        <w:t>b</w:t>
      </w:r>
      <w:r>
        <w:rPr>
          <w:spacing w:val="1"/>
          <w:szCs w:val="22"/>
        </w:rPr>
        <w:t>i</w:t>
      </w:r>
      <w:r>
        <w:rPr>
          <w:szCs w:val="22"/>
        </w:rPr>
        <w:t>ne</w:t>
      </w:r>
      <w:r>
        <w:rPr>
          <w:spacing w:val="-2"/>
          <w:szCs w:val="22"/>
        </w:rPr>
        <w:t xml:space="preserve"> l</w:t>
      </w:r>
      <w:r>
        <w:rPr>
          <w:szCs w:val="22"/>
        </w:rPr>
        <w:t>a ac</w:t>
      </w:r>
      <w:r>
        <w:rPr>
          <w:spacing w:val="-3"/>
          <w:szCs w:val="22"/>
        </w:rPr>
        <w:t>e</w:t>
      </w:r>
      <w:r>
        <w:rPr>
          <w:szCs w:val="22"/>
        </w:rPr>
        <w:t>s</w:t>
      </w:r>
      <w:r>
        <w:rPr>
          <w:spacing w:val="1"/>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 xml:space="preserve">e, </w:t>
      </w:r>
      <w:r>
        <w:rPr>
          <w:spacing w:val="-3"/>
          <w:szCs w:val="22"/>
        </w:rPr>
        <w:t>v</w:t>
      </w:r>
      <w:r>
        <w:rPr>
          <w:szCs w:val="22"/>
        </w:rPr>
        <w:t>i</w:t>
      </w:r>
      <w:r>
        <w:rPr>
          <w:spacing w:val="1"/>
          <w:szCs w:val="22"/>
        </w:rPr>
        <w:t xml:space="preserve"> </w:t>
      </w:r>
      <w:r>
        <w:rPr>
          <w:szCs w:val="22"/>
        </w:rPr>
        <w:t xml:space="preserve">se </w:t>
      </w:r>
      <w:r>
        <w:rPr>
          <w:spacing w:val="-3"/>
          <w:szCs w:val="22"/>
        </w:rPr>
        <w:t>v</w:t>
      </w:r>
      <w:r>
        <w:rPr>
          <w:szCs w:val="22"/>
        </w:rPr>
        <w:t>a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 xml:space="preserve">ra </w:t>
      </w:r>
      <w:r>
        <w:rPr>
          <w:spacing w:val="-1"/>
          <w:szCs w:val="22"/>
          <w:lang w:eastAsia="en-US" w:bidi="ar-SA"/>
        </w:rPr>
        <w:t>AMGEVITA</w:t>
      </w:r>
      <w:r>
        <w:rPr>
          <w:spacing w:val="-2"/>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 xml:space="preserve">a </w:t>
      </w:r>
      <w:r>
        <w:rPr>
          <w:spacing w:val="-2"/>
          <w:szCs w:val="22"/>
        </w:rPr>
        <w:t>r</w:t>
      </w:r>
      <w:r>
        <w:rPr>
          <w:szCs w:val="22"/>
        </w:rPr>
        <w:t>ed</w:t>
      </w:r>
      <w:r>
        <w:rPr>
          <w:spacing w:val="-3"/>
          <w:szCs w:val="22"/>
        </w:rPr>
        <w:t>u</w:t>
      </w:r>
      <w:r>
        <w:rPr>
          <w:szCs w:val="22"/>
        </w:rPr>
        <w:t>ce se</w:t>
      </w:r>
      <w:r>
        <w:rPr>
          <w:spacing w:val="-4"/>
          <w:szCs w:val="22"/>
        </w:rPr>
        <w:t>m</w:t>
      </w:r>
      <w:r>
        <w:rPr>
          <w:szCs w:val="22"/>
        </w:rPr>
        <w:t>ne</w:t>
      </w:r>
      <w:r>
        <w:rPr>
          <w:spacing w:val="1"/>
          <w:szCs w:val="22"/>
        </w:rPr>
        <w:t>l</w:t>
      </w:r>
      <w:r>
        <w:rPr>
          <w:szCs w:val="22"/>
        </w:rPr>
        <w:t>e</w:t>
      </w:r>
      <w:r>
        <w:rPr>
          <w:spacing w:val="-2"/>
          <w:szCs w:val="22"/>
        </w:rPr>
        <w:t xml:space="preserve"> </w:t>
      </w:r>
      <w:r>
        <w:rPr>
          <w:szCs w:val="22"/>
        </w:rPr>
        <w:t>şi</w:t>
      </w:r>
      <w:r>
        <w:rPr>
          <w:spacing w:val="-2"/>
          <w:szCs w:val="22"/>
        </w:rPr>
        <w:t xml:space="preserve"> </w:t>
      </w:r>
      <w:r>
        <w:rPr>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 xml:space="preserve">e </w:t>
      </w:r>
      <w:r>
        <w:rPr>
          <w:spacing w:val="-3"/>
          <w:szCs w:val="22"/>
        </w:rPr>
        <w:t>a</w:t>
      </w:r>
      <w:r>
        <w:rPr>
          <w:szCs w:val="22"/>
        </w:rPr>
        <w:t>ces</w:t>
      </w:r>
      <w:r>
        <w:rPr>
          <w:spacing w:val="-2"/>
          <w:szCs w:val="22"/>
        </w:rPr>
        <w:t>t</w:t>
      </w:r>
      <w:r>
        <w:rPr>
          <w:szCs w:val="22"/>
        </w:rPr>
        <w:t>ei</w:t>
      </w:r>
      <w:r>
        <w:rPr>
          <w:spacing w:val="-2"/>
          <w:szCs w:val="22"/>
        </w:rPr>
        <w:t xml:space="preserve"> </w:t>
      </w:r>
      <w:r>
        <w:rPr>
          <w:szCs w:val="22"/>
        </w:rPr>
        <w:t>bo</w:t>
      </w:r>
      <w:r>
        <w:rPr>
          <w:spacing w:val="-2"/>
          <w:szCs w:val="22"/>
        </w:rPr>
        <w:t>l</w:t>
      </w:r>
      <w:r>
        <w:rPr>
          <w:spacing w:val="1"/>
          <w:szCs w:val="22"/>
        </w:rPr>
        <w:t>i</w:t>
      </w:r>
      <w:r>
        <w:rPr>
          <w:szCs w:val="22"/>
        </w:rPr>
        <w:t>.</w:t>
      </w:r>
    </w:p>
    <w:p w14:paraId="2D238AA5" w14:textId="77777777" w:rsidR="00C04CAD" w:rsidRDefault="00C04CAD">
      <w:pPr>
        <w:kinsoku w:val="0"/>
        <w:overflowPunct w:val="0"/>
        <w:spacing w:line="240" w:lineRule="auto"/>
        <w:rPr>
          <w:szCs w:val="22"/>
        </w:rPr>
      </w:pPr>
    </w:p>
    <w:p w14:paraId="478AAB24"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u w:val="single"/>
        </w:rPr>
        <w:t>U</w:t>
      </w:r>
      <w:r>
        <w:rPr>
          <w:spacing w:val="-3"/>
          <w:szCs w:val="22"/>
          <w:u w:val="single"/>
        </w:rPr>
        <w:t>v</w:t>
      </w:r>
      <w:r>
        <w:rPr>
          <w:szCs w:val="22"/>
          <w:u w:val="single"/>
        </w:rPr>
        <w:t>e</w:t>
      </w:r>
      <w:r>
        <w:rPr>
          <w:spacing w:val="1"/>
          <w:szCs w:val="22"/>
          <w:u w:val="single"/>
        </w:rPr>
        <w:t>it</w:t>
      </w:r>
      <w:r>
        <w:rPr>
          <w:szCs w:val="22"/>
          <w:u w:val="single"/>
        </w:rPr>
        <w:t>ă non</w:t>
      </w:r>
      <w:r>
        <w:rPr>
          <w:spacing w:val="-4"/>
          <w:szCs w:val="22"/>
          <w:u w:val="single"/>
        </w:rPr>
        <w:t>-</w:t>
      </w:r>
      <w:r>
        <w:rPr>
          <w:spacing w:val="1"/>
          <w:szCs w:val="22"/>
          <w:u w:val="single"/>
        </w:rPr>
        <w:t>i</w:t>
      </w:r>
      <w:r>
        <w:rPr>
          <w:szCs w:val="22"/>
          <w:u w:val="single"/>
        </w:rPr>
        <w:t>nfe</w:t>
      </w:r>
      <w:r>
        <w:rPr>
          <w:spacing w:val="-2"/>
          <w:szCs w:val="22"/>
          <w:u w:val="single"/>
        </w:rPr>
        <w:t>cţ</w:t>
      </w:r>
      <w:r>
        <w:rPr>
          <w:spacing w:val="1"/>
          <w:szCs w:val="22"/>
          <w:u w:val="single"/>
        </w:rPr>
        <w:t>i</w:t>
      </w:r>
      <w:r>
        <w:rPr>
          <w:szCs w:val="22"/>
          <w:u w:val="single"/>
        </w:rPr>
        <w:t>oa</w:t>
      </w:r>
      <w:r>
        <w:rPr>
          <w:spacing w:val="-2"/>
          <w:szCs w:val="22"/>
          <w:u w:val="single"/>
        </w:rPr>
        <w:t>să la adulți și copii</w:t>
      </w:r>
    </w:p>
    <w:p w14:paraId="2DD45DB2" w14:textId="77777777" w:rsidR="00C04CAD" w:rsidRDefault="00C04CAD">
      <w:pPr>
        <w:tabs>
          <w:tab w:val="clear" w:pos="567"/>
        </w:tabs>
        <w:kinsoku w:val="0"/>
        <w:overflowPunct w:val="0"/>
        <w:autoSpaceDE w:val="0"/>
        <w:autoSpaceDN w:val="0"/>
        <w:adjustRightInd w:val="0"/>
        <w:spacing w:line="240" w:lineRule="auto"/>
        <w:rPr>
          <w:szCs w:val="22"/>
        </w:rPr>
      </w:pPr>
    </w:p>
    <w:p w14:paraId="471B326E"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U</w:t>
      </w:r>
      <w:r>
        <w:rPr>
          <w:spacing w:val="-3"/>
          <w:szCs w:val="22"/>
        </w:rPr>
        <w:t>v</w:t>
      </w:r>
      <w:r>
        <w:rPr>
          <w:szCs w:val="22"/>
        </w:rPr>
        <w:t>e</w:t>
      </w:r>
      <w:r>
        <w:rPr>
          <w:spacing w:val="1"/>
          <w:szCs w:val="22"/>
        </w:rPr>
        <w:t>it</w:t>
      </w:r>
      <w:r>
        <w:rPr>
          <w:szCs w:val="22"/>
        </w:rPr>
        <w:t>a non</w:t>
      </w:r>
      <w:r>
        <w:rPr>
          <w:spacing w:val="-4"/>
          <w:szCs w:val="22"/>
        </w:rPr>
        <w:t>-</w:t>
      </w:r>
      <w:r>
        <w:rPr>
          <w:spacing w:val="1"/>
          <w:szCs w:val="22"/>
        </w:rPr>
        <w:t>i</w:t>
      </w:r>
      <w:r>
        <w:rPr>
          <w:szCs w:val="22"/>
        </w:rPr>
        <w:t>nfe</w:t>
      </w:r>
      <w:r>
        <w:rPr>
          <w:spacing w:val="-2"/>
          <w:szCs w:val="22"/>
        </w:rPr>
        <w:t>cţ</w:t>
      </w:r>
      <w:r>
        <w:rPr>
          <w:spacing w:val="1"/>
          <w:szCs w:val="22"/>
        </w:rPr>
        <w:t>i</w:t>
      </w:r>
      <w:r>
        <w:rPr>
          <w:szCs w:val="22"/>
        </w:rPr>
        <w:t>oa</w:t>
      </w:r>
      <w:r>
        <w:rPr>
          <w:spacing w:val="-2"/>
          <w:szCs w:val="22"/>
        </w:rPr>
        <w:t>s</w:t>
      </w:r>
      <w:r>
        <w:rPr>
          <w:szCs w:val="22"/>
        </w:rPr>
        <w:t>ă e</w:t>
      </w:r>
      <w:r>
        <w:rPr>
          <w:spacing w:val="-2"/>
          <w:szCs w:val="22"/>
        </w:rPr>
        <w:t>s</w:t>
      </w:r>
      <w:r>
        <w:rPr>
          <w:spacing w:val="1"/>
          <w:szCs w:val="22"/>
        </w:rPr>
        <w:t>t</w:t>
      </w:r>
      <w:r>
        <w:rPr>
          <w:szCs w:val="22"/>
        </w:rPr>
        <w:t>e</w:t>
      </w:r>
      <w:r>
        <w:rPr>
          <w:spacing w:val="-2"/>
          <w:szCs w:val="22"/>
        </w:rPr>
        <w:t xml:space="preserve"> </w:t>
      </w:r>
      <w:r>
        <w:rPr>
          <w:szCs w:val="22"/>
        </w:rPr>
        <w:t>o boa</w:t>
      </w:r>
      <w:r>
        <w:rPr>
          <w:spacing w:val="-2"/>
          <w:szCs w:val="22"/>
        </w:rPr>
        <w:t>l</w:t>
      </w:r>
      <w:r>
        <w:rPr>
          <w:szCs w:val="22"/>
        </w:rPr>
        <w:t xml:space="preserve">ă </w:t>
      </w:r>
      <w:r>
        <w:rPr>
          <w:spacing w:val="1"/>
          <w:szCs w:val="22"/>
        </w:rPr>
        <w:t>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w:t>
      </w:r>
      <w:r>
        <w:rPr>
          <w:spacing w:val="-2"/>
          <w:szCs w:val="22"/>
        </w:rPr>
        <w:t>r</w:t>
      </w:r>
      <w:r>
        <w:rPr>
          <w:spacing w:val="1"/>
          <w:szCs w:val="22"/>
        </w:rPr>
        <w:t>i</w:t>
      </w:r>
      <w:r>
        <w:rPr>
          <w:szCs w:val="22"/>
        </w:rPr>
        <w:t xml:space="preserve">e </w:t>
      </w:r>
      <w:r>
        <w:rPr>
          <w:spacing w:val="-3"/>
          <w:szCs w:val="22"/>
        </w:rPr>
        <w:t>c</w:t>
      </w:r>
      <w:r>
        <w:rPr>
          <w:szCs w:val="22"/>
        </w:rPr>
        <w:t>are</w:t>
      </w:r>
      <w:r>
        <w:rPr>
          <w:spacing w:val="-2"/>
          <w:szCs w:val="22"/>
        </w:rPr>
        <w:t xml:space="preserve"> </w:t>
      </w:r>
      <w:r>
        <w:rPr>
          <w:szCs w:val="22"/>
        </w:rPr>
        <w:t>a</w:t>
      </w:r>
      <w:r>
        <w:rPr>
          <w:spacing w:val="-2"/>
          <w:szCs w:val="22"/>
        </w:rPr>
        <w:t>f</w:t>
      </w:r>
      <w:r>
        <w:rPr>
          <w:szCs w:val="22"/>
        </w:rPr>
        <w:t>ec</w:t>
      </w:r>
      <w:r>
        <w:rPr>
          <w:spacing w:val="1"/>
          <w:szCs w:val="22"/>
        </w:rPr>
        <w:t>t</w:t>
      </w:r>
      <w:r>
        <w:rPr>
          <w:spacing w:val="-3"/>
          <w:szCs w:val="22"/>
        </w:rPr>
        <w:t>e</w:t>
      </w:r>
      <w:r>
        <w:rPr>
          <w:szCs w:val="22"/>
        </w:rPr>
        <w:t>a</w:t>
      </w:r>
      <w:r>
        <w:rPr>
          <w:spacing w:val="-3"/>
          <w:szCs w:val="22"/>
        </w:rPr>
        <w:t>z</w:t>
      </w:r>
      <w:r>
        <w:rPr>
          <w:szCs w:val="22"/>
        </w:rPr>
        <w:t>ă anu</w:t>
      </w:r>
      <w:r>
        <w:rPr>
          <w:spacing w:val="-4"/>
          <w:szCs w:val="22"/>
        </w:rPr>
        <w:t>m</w:t>
      </w:r>
      <w:r>
        <w:rPr>
          <w:spacing w:val="1"/>
          <w:szCs w:val="22"/>
        </w:rPr>
        <w:t>it</w:t>
      </w:r>
      <w:r>
        <w:rPr>
          <w:szCs w:val="22"/>
        </w:rPr>
        <w:t xml:space="preserve">e </w:t>
      </w:r>
      <w:r>
        <w:rPr>
          <w:spacing w:val="-3"/>
          <w:szCs w:val="22"/>
        </w:rPr>
        <w:t>p</w:t>
      </w:r>
      <w:r>
        <w:rPr>
          <w:szCs w:val="22"/>
        </w:rPr>
        <w:t>ă</w:t>
      </w:r>
      <w:r>
        <w:rPr>
          <w:spacing w:val="-2"/>
          <w:szCs w:val="22"/>
        </w:rPr>
        <w:t>r</w:t>
      </w:r>
      <w:r>
        <w:rPr>
          <w:spacing w:val="1"/>
          <w:szCs w:val="22"/>
        </w:rPr>
        <w:t>ț</w:t>
      </w:r>
      <w:r>
        <w:rPr>
          <w:szCs w:val="22"/>
        </w:rPr>
        <w:t>i</w:t>
      </w:r>
      <w:r>
        <w:rPr>
          <w:spacing w:val="-2"/>
          <w:szCs w:val="22"/>
        </w:rPr>
        <w:t xml:space="preserve"> </w:t>
      </w:r>
      <w:r>
        <w:rPr>
          <w:szCs w:val="22"/>
        </w:rPr>
        <w:t>a</w:t>
      </w:r>
      <w:r>
        <w:rPr>
          <w:spacing w:val="1"/>
          <w:szCs w:val="22"/>
        </w:rPr>
        <w:t>l</w:t>
      </w:r>
      <w:r>
        <w:rPr>
          <w:szCs w:val="22"/>
        </w:rPr>
        <w:t>e</w:t>
      </w:r>
      <w:r>
        <w:rPr>
          <w:spacing w:val="-2"/>
          <w:szCs w:val="22"/>
        </w:rPr>
        <w:t xml:space="preserve"> </w:t>
      </w:r>
      <w:r>
        <w:rPr>
          <w:szCs w:val="22"/>
        </w:rPr>
        <w:t>o</w:t>
      </w:r>
      <w:r>
        <w:rPr>
          <w:spacing w:val="-3"/>
          <w:szCs w:val="22"/>
        </w:rPr>
        <w:t>c</w:t>
      </w:r>
      <w:r>
        <w:rPr>
          <w:szCs w:val="22"/>
        </w:rPr>
        <w:t>h</w:t>
      </w:r>
      <w:r>
        <w:rPr>
          <w:spacing w:val="1"/>
          <w:szCs w:val="22"/>
        </w:rPr>
        <w:t>i</w:t>
      </w:r>
      <w:r>
        <w:rPr>
          <w:szCs w:val="22"/>
        </w:rPr>
        <w:t>u</w:t>
      </w:r>
      <w:r>
        <w:rPr>
          <w:spacing w:val="-2"/>
          <w:szCs w:val="22"/>
        </w:rPr>
        <w:t>l</w:t>
      </w:r>
      <w:r>
        <w:rPr>
          <w:szCs w:val="22"/>
        </w:rPr>
        <w:t>u</w:t>
      </w:r>
      <w:r>
        <w:rPr>
          <w:spacing w:val="1"/>
          <w:szCs w:val="22"/>
        </w:rPr>
        <w:t>i</w:t>
      </w:r>
      <w:r>
        <w:rPr>
          <w:szCs w:val="22"/>
        </w:rPr>
        <w:t>.</w:t>
      </w:r>
    </w:p>
    <w:p w14:paraId="796A8BB6" w14:textId="77777777" w:rsidR="00C04CAD" w:rsidRDefault="00C04CAD">
      <w:pPr>
        <w:tabs>
          <w:tab w:val="clear" w:pos="567"/>
        </w:tabs>
        <w:kinsoku w:val="0"/>
        <w:overflowPunct w:val="0"/>
        <w:autoSpaceDE w:val="0"/>
        <w:autoSpaceDN w:val="0"/>
        <w:adjustRightInd w:val="0"/>
        <w:spacing w:line="240" w:lineRule="auto"/>
        <w:rPr>
          <w:szCs w:val="22"/>
        </w:rPr>
      </w:pPr>
    </w:p>
    <w:p w14:paraId="077EB896" w14:textId="77777777" w:rsidR="00C04CAD" w:rsidRDefault="00060E34">
      <w:pPr>
        <w:tabs>
          <w:tab w:val="clear" w:pos="567"/>
        </w:tabs>
        <w:spacing w:line="240" w:lineRule="auto"/>
        <w:ind w:right="-2"/>
        <w:rPr>
          <w:spacing w:val="1"/>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p>
    <w:p w14:paraId="237C0286" w14:textId="77777777" w:rsidR="00C04CAD" w:rsidRDefault="00060E34">
      <w:pPr>
        <w:pStyle w:val="EMEANormal"/>
        <w:numPr>
          <w:ilvl w:val="0"/>
          <w:numId w:val="51"/>
        </w:numPr>
        <w:ind w:left="567" w:hanging="567"/>
        <w:rPr>
          <w:lang w:val="ro-RO"/>
        </w:rPr>
      </w:pPr>
      <w:r>
        <w:rPr>
          <w:lang w:val="ro-RO"/>
        </w:rPr>
        <w:t xml:space="preserve">Uveitei non-infecţioase cu inflamaţie care afectează partea din spate a ochiului la adulți </w:t>
      </w:r>
    </w:p>
    <w:p w14:paraId="677992B6" w14:textId="77777777" w:rsidR="00C04CAD" w:rsidRDefault="00060E34">
      <w:pPr>
        <w:pStyle w:val="EMEANormal"/>
        <w:numPr>
          <w:ilvl w:val="0"/>
          <w:numId w:val="51"/>
        </w:numPr>
        <w:ind w:left="567" w:hanging="567"/>
        <w:rPr>
          <w:lang w:val="ro-RO"/>
        </w:rPr>
      </w:pPr>
      <w:r>
        <w:rPr>
          <w:lang w:val="ro-RO"/>
        </w:rPr>
        <w:t>Uveitei cronice non-infecțioase cu inflamație care afectează partea din față a ochiului la copii cu vârsta de la 2 ani</w:t>
      </w:r>
    </w:p>
    <w:p w14:paraId="3DFE4D9F" w14:textId="77777777" w:rsidR="00C04CAD" w:rsidRDefault="00C04CAD">
      <w:pPr>
        <w:tabs>
          <w:tab w:val="clear" w:pos="567"/>
        </w:tabs>
        <w:spacing w:line="240" w:lineRule="auto"/>
        <w:ind w:right="-2"/>
        <w:rPr>
          <w:spacing w:val="-4"/>
          <w:szCs w:val="22"/>
          <w:lang w:eastAsia="en-US" w:bidi="ar-SA"/>
        </w:rPr>
      </w:pPr>
    </w:p>
    <w:p w14:paraId="5FF4B01D" w14:textId="77777777" w:rsidR="00C04CAD" w:rsidRDefault="00060E34">
      <w:pPr>
        <w:tabs>
          <w:tab w:val="clear" w:pos="567"/>
        </w:tabs>
        <w:spacing w:line="240" w:lineRule="auto"/>
        <w:ind w:right="-2"/>
        <w:rPr>
          <w:szCs w:val="22"/>
          <w:lang w:eastAsia="en-US" w:bidi="ar-SA"/>
        </w:rPr>
      </w:pPr>
      <w:r>
        <w:rPr>
          <w:spacing w:val="-4"/>
          <w:szCs w:val="22"/>
          <w:lang w:eastAsia="en-US" w:bidi="ar-SA"/>
        </w:rPr>
        <w:t>A</w:t>
      </w:r>
      <w:r>
        <w:rPr>
          <w:szCs w:val="22"/>
          <w:lang w:eastAsia="en-US" w:bidi="ar-SA"/>
        </w:rPr>
        <w:t>cea</w:t>
      </w:r>
      <w:r>
        <w:rPr>
          <w:spacing w:val="-2"/>
          <w:szCs w:val="22"/>
          <w:lang w:eastAsia="en-US" w:bidi="ar-SA"/>
        </w:rPr>
        <w:t>s</w:t>
      </w:r>
      <w:r>
        <w:rPr>
          <w:spacing w:val="1"/>
          <w:szCs w:val="22"/>
          <w:lang w:eastAsia="en-US" w:bidi="ar-SA"/>
        </w:rPr>
        <w:t>t</w:t>
      </w:r>
      <w:r>
        <w:rPr>
          <w:szCs w:val="22"/>
          <w:lang w:eastAsia="en-US" w:bidi="ar-SA"/>
        </w:rPr>
        <w:t>ă</w:t>
      </w:r>
      <w:r>
        <w:rPr>
          <w:spacing w:val="-2"/>
          <w:szCs w:val="22"/>
          <w:lang w:eastAsia="en-US" w:bidi="ar-SA"/>
        </w:rPr>
        <w:t xml:space="preserve"> </w:t>
      </w:r>
      <w:r>
        <w:rPr>
          <w:spacing w:val="1"/>
          <w:szCs w:val="22"/>
          <w:lang w:eastAsia="en-US" w:bidi="ar-SA"/>
        </w:rPr>
        <w:t>i</w:t>
      </w:r>
      <w:r>
        <w:rPr>
          <w:szCs w:val="22"/>
          <w:lang w:eastAsia="en-US" w:bidi="ar-SA"/>
        </w:rPr>
        <w:t>n</w:t>
      </w:r>
      <w:r>
        <w:rPr>
          <w:spacing w:val="-2"/>
          <w:szCs w:val="22"/>
          <w:lang w:eastAsia="en-US" w:bidi="ar-SA"/>
        </w:rPr>
        <w:t>f</w:t>
      </w:r>
      <w:r>
        <w:rPr>
          <w:spacing w:val="1"/>
          <w:szCs w:val="22"/>
          <w:lang w:eastAsia="en-US" w:bidi="ar-SA"/>
        </w:rPr>
        <w:t>l</w:t>
      </w:r>
      <w:r>
        <w:rPr>
          <w:szCs w:val="22"/>
          <w:lang w:eastAsia="en-US" w:bidi="ar-SA"/>
        </w:rPr>
        <w:t>a</w:t>
      </w:r>
      <w:r>
        <w:rPr>
          <w:spacing w:val="-4"/>
          <w:szCs w:val="22"/>
          <w:lang w:eastAsia="en-US" w:bidi="ar-SA"/>
        </w:rPr>
        <w:t>m</w:t>
      </w:r>
      <w:r>
        <w:rPr>
          <w:szCs w:val="22"/>
          <w:lang w:eastAsia="en-US" w:bidi="ar-SA"/>
        </w:rPr>
        <w:t>aţ</w:t>
      </w:r>
      <w:r>
        <w:rPr>
          <w:spacing w:val="-2"/>
          <w:szCs w:val="22"/>
          <w:lang w:eastAsia="en-US" w:bidi="ar-SA"/>
        </w:rPr>
        <w:t>i</w:t>
      </w:r>
      <w:r>
        <w:rPr>
          <w:szCs w:val="22"/>
          <w:lang w:eastAsia="en-US" w:bidi="ar-SA"/>
        </w:rPr>
        <w:t xml:space="preserve">e poate </w:t>
      </w:r>
      <w:r>
        <w:t>să</w:t>
      </w:r>
      <w:r>
        <w:rPr>
          <w:szCs w:val="22"/>
          <w:lang w:eastAsia="en-US" w:bidi="ar-SA"/>
        </w:rPr>
        <w:t xml:space="preserve"> d</w:t>
      </w:r>
      <w:r>
        <w:rPr>
          <w:spacing w:val="-3"/>
          <w:szCs w:val="22"/>
          <w:lang w:eastAsia="en-US" w:bidi="ar-SA"/>
        </w:rPr>
        <w:t>e</w:t>
      </w:r>
      <w:r>
        <w:rPr>
          <w:spacing w:val="1"/>
          <w:szCs w:val="22"/>
          <w:lang w:eastAsia="en-US" w:bidi="ar-SA"/>
        </w:rPr>
        <w:t>t</w:t>
      </w:r>
      <w:r>
        <w:rPr>
          <w:szCs w:val="22"/>
          <w:lang w:eastAsia="en-US" w:bidi="ar-SA"/>
        </w:rPr>
        <w:t>er</w:t>
      </w:r>
      <w:r>
        <w:rPr>
          <w:spacing w:val="-4"/>
          <w:szCs w:val="22"/>
          <w:lang w:eastAsia="en-US" w:bidi="ar-SA"/>
        </w:rPr>
        <w:t>m</w:t>
      </w:r>
      <w:r>
        <w:rPr>
          <w:spacing w:val="1"/>
          <w:szCs w:val="22"/>
          <w:lang w:eastAsia="en-US" w:bidi="ar-SA"/>
        </w:rPr>
        <w:t>i</w:t>
      </w:r>
      <w:r>
        <w:rPr>
          <w:szCs w:val="22"/>
          <w:lang w:eastAsia="en-US" w:bidi="ar-SA"/>
        </w:rPr>
        <w:t>ne</w:t>
      </w:r>
      <w:r>
        <w:rPr>
          <w:spacing w:val="-2"/>
          <w:szCs w:val="22"/>
          <w:lang w:eastAsia="en-US" w:bidi="ar-SA"/>
        </w:rPr>
        <w:t xml:space="preserve"> </w:t>
      </w:r>
      <w:r>
        <w:rPr>
          <w:szCs w:val="22"/>
          <w:lang w:eastAsia="en-US" w:bidi="ar-SA"/>
        </w:rPr>
        <w:t>o scă</w:t>
      </w:r>
      <w:r>
        <w:rPr>
          <w:spacing w:val="-3"/>
          <w:szCs w:val="22"/>
          <w:lang w:eastAsia="en-US" w:bidi="ar-SA"/>
        </w:rPr>
        <w:t>d</w:t>
      </w:r>
      <w:r>
        <w:rPr>
          <w:szCs w:val="22"/>
          <w:lang w:eastAsia="en-US" w:bidi="ar-SA"/>
        </w:rPr>
        <w:t>e</w:t>
      </w:r>
      <w:r>
        <w:rPr>
          <w:spacing w:val="-2"/>
          <w:szCs w:val="22"/>
          <w:lang w:eastAsia="en-US" w:bidi="ar-SA"/>
        </w:rPr>
        <w:t>r</w:t>
      </w:r>
      <w:r>
        <w:rPr>
          <w:szCs w:val="22"/>
          <w:lang w:eastAsia="en-US" w:bidi="ar-SA"/>
        </w:rPr>
        <w:t xml:space="preserve">e a </w:t>
      </w:r>
      <w:r>
        <w:rPr>
          <w:spacing w:val="-3"/>
          <w:szCs w:val="22"/>
          <w:lang w:eastAsia="en-US" w:bidi="ar-SA"/>
        </w:rPr>
        <w:t>v</w:t>
      </w:r>
      <w:r>
        <w:rPr>
          <w:szCs w:val="22"/>
          <w:lang w:eastAsia="en-US" w:bidi="ar-SA"/>
        </w:rPr>
        <w:t>ede</w:t>
      </w:r>
      <w:r>
        <w:rPr>
          <w:spacing w:val="-2"/>
          <w:szCs w:val="22"/>
          <w:lang w:eastAsia="en-US" w:bidi="ar-SA"/>
        </w:rPr>
        <w:t>r</w:t>
      </w:r>
      <w:r>
        <w:rPr>
          <w:spacing w:val="1"/>
          <w:szCs w:val="22"/>
          <w:lang w:eastAsia="en-US" w:bidi="ar-SA"/>
        </w:rPr>
        <w:t>i</w:t>
      </w:r>
      <w:r>
        <w:rPr>
          <w:szCs w:val="22"/>
          <w:lang w:eastAsia="en-US" w:bidi="ar-SA"/>
        </w:rPr>
        <w:t>i</w:t>
      </w:r>
      <w:r>
        <w:rPr>
          <w:spacing w:val="-2"/>
          <w:szCs w:val="22"/>
          <w:lang w:eastAsia="en-US" w:bidi="ar-SA"/>
        </w:rPr>
        <w:t xml:space="preserve"> </w:t>
      </w:r>
      <w:r>
        <w:rPr>
          <w:szCs w:val="22"/>
          <w:lang w:eastAsia="en-US" w:bidi="ar-SA"/>
        </w:rPr>
        <w:t>ș</w:t>
      </w:r>
      <w:r>
        <w:rPr>
          <w:spacing w:val="-2"/>
          <w:szCs w:val="22"/>
          <w:lang w:eastAsia="en-US" w:bidi="ar-SA"/>
        </w:rPr>
        <w:t>i</w:t>
      </w:r>
      <w:r>
        <w:rPr>
          <w:spacing w:val="1"/>
          <w:szCs w:val="22"/>
          <w:lang w:eastAsia="en-US" w:bidi="ar-SA"/>
        </w:rPr>
        <w:t>/</w:t>
      </w:r>
      <w:r>
        <w:rPr>
          <w:spacing w:val="-2"/>
          <w:szCs w:val="22"/>
          <w:lang w:eastAsia="en-US" w:bidi="ar-SA"/>
        </w:rPr>
        <w:t>s</w:t>
      </w:r>
      <w:r>
        <w:rPr>
          <w:szCs w:val="22"/>
          <w:lang w:eastAsia="en-US" w:bidi="ar-SA"/>
        </w:rPr>
        <w:t xml:space="preserve">au </w:t>
      </w:r>
      <w:r>
        <w:rPr>
          <w:spacing w:val="-3"/>
          <w:szCs w:val="22"/>
          <w:lang w:eastAsia="en-US" w:bidi="ar-SA"/>
        </w:rPr>
        <w:t>p</w:t>
      </w:r>
      <w:r>
        <w:rPr>
          <w:szCs w:val="22"/>
          <w:lang w:eastAsia="en-US" w:bidi="ar-SA"/>
        </w:rPr>
        <w:t>re</w:t>
      </w:r>
      <w:r>
        <w:rPr>
          <w:spacing w:val="-3"/>
          <w:szCs w:val="22"/>
          <w:lang w:eastAsia="en-US" w:bidi="ar-SA"/>
        </w:rPr>
        <w:t>z</w:t>
      </w:r>
      <w:r>
        <w:rPr>
          <w:szCs w:val="22"/>
          <w:lang w:eastAsia="en-US" w:bidi="ar-SA"/>
        </w:rPr>
        <w:t>en</w:t>
      </w:r>
      <w:r>
        <w:rPr>
          <w:spacing w:val="1"/>
          <w:szCs w:val="22"/>
          <w:lang w:eastAsia="en-US" w:bidi="ar-SA"/>
        </w:rPr>
        <w:t>ț</w:t>
      </w:r>
      <w:r>
        <w:rPr>
          <w:szCs w:val="22"/>
          <w:lang w:eastAsia="en-US" w:bidi="ar-SA"/>
        </w:rPr>
        <w:t>a</w:t>
      </w:r>
      <w:r>
        <w:rPr>
          <w:spacing w:val="-2"/>
          <w:szCs w:val="22"/>
          <w:lang w:eastAsia="en-US" w:bidi="ar-SA"/>
        </w:rPr>
        <w:t xml:space="preserve"> </w:t>
      </w:r>
      <w:r>
        <w:rPr>
          <w:szCs w:val="22"/>
          <w:lang w:eastAsia="en-US" w:bidi="ar-SA"/>
        </w:rPr>
        <w:t>f</w:t>
      </w:r>
      <w:r>
        <w:rPr>
          <w:spacing w:val="-2"/>
          <w:szCs w:val="22"/>
          <w:lang w:eastAsia="en-US" w:bidi="ar-SA"/>
        </w:rPr>
        <w:t>l</w:t>
      </w:r>
      <w:r>
        <w:rPr>
          <w:szCs w:val="22"/>
          <w:lang w:eastAsia="en-US" w:bidi="ar-SA"/>
        </w:rPr>
        <w:t>oco</w:t>
      </w:r>
      <w:r>
        <w:rPr>
          <w:spacing w:val="-3"/>
          <w:szCs w:val="22"/>
          <w:lang w:eastAsia="en-US" w:bidi="ar-SA"/>
        </w:rPr>
        <w:t>a</w:t>
      </w:r>
      <w:r>
        <w:rPr>
          <w:szCs w:val="22"/>
          <w:lang w:eastAsia="en-US" w:bidi="ar-SA"/>
        </w:rPr>
        <w:t>ne</w:t>
      </w:r>
      <w:r>
        <w:rPr>
          <w:spacing w:val="-2"/>
          <w:szCs w:val="22"/>
          <w:lang w:eastAsia="en-US" w:bidi="ar-SA"/>
        </w:rPr>
        <w:t>l</w:t>
      </w:r>
      <w:r>
        <w:rPr>
          <w:szCs w:val="22"/>
          <w:lang w:eastAsia="en-US" w:bidi="ar-SA"/>
        </w:rPr>
        <w:t xml:space="preserve">or </w:t>
      </w:r>
      <w:r>
        <w:rPr>
          <w:spacing w:val="1"/>
          <w:szCs w:val="22"/>
          <w:lang w:eastAsia="en-US" w:bidi="ar-SA"/>
        </w:rPr>
        <w:t>î</w:t>
      </w:r>
      <w:r>
        <w:rPr>
          <w:szCs w:val="22"/>
          <w:lang w:eastAsia="en-US" w:bidi="ar-SA"/>
        </w:rPr>
        <w:t>n oc</w:t>
      </w:r>
      <w:r>
        <w:rPr>
          <w:spacing w:val="-3"/>
          <w:szCs w:val="22"/>
          <w:lang w:eastAsia="en-US" w:bidi="ar-SA"/>
        </w:rPr>
        <w:t>h</w:t>
      </w:r>
      <w:r>
        <w:rPr>
          <w:szCs w:val="22"/>
          <w:lang w:eastAsia="en-US" w:bidi="ar-SA"/>
        </w:rPr>
        <w:t>i</w:t>
      </w:r>
      <w:r>
        <w:rPr>
          <w:spacing w:val="1"/>
          <w:szCs w:val="22"/>
          <w:lang w:eastAsia="en-US" w:bidi="ar-SA"/>
        </w:rPr>
        <w:t xml:space="preserve"> </w:t>
      </w:r>
      <w:r>
        <w:rPr>
          <w:spacing w:val="-2"/>
          <w:szCs w:val="22"/>
          <w:lang w:eastAsia="en-US" w:bidi="ar-SA"/>
        </w:rPr>
        <w:t>(</w:t>
      </w:r>
      <w:r>
        <w:rPr>
          <w:szCs w:val="22"/>
          <w:lang w:eastAsia="en-US" w:bidi="ar-SA"/>
        </w:rPr>
        <w:t>pun</w:t>
      </w:r>
      <w:r>
        <w:rPr>
          <w:spacing w:val="-3"/>
          <w:szCs w:val="22"/>
          <w:lang w:eastAsia="en-US" w:bidi="ar-SA"/>
        </w:rPr>
        <w:t>c</w:t>
      </w:r>
      <w:r>
        <w:rPr>
          <w:szCs w:val="22"/>
          <w:lang w:eastAsia="en-US" w:bidi="ar-SA"/>
        </w:rPr>
        <w:t xml:space="preserve">te </w:t>
      </w:r>
      <w:r>
        <w:rPr>
          <w:spacing w:val="-3"/>
          <w:szCs w:val="22"/>
          <w:lang w:eastAsia="en-US" w:bidi="ar-SA"/>
        </w:rPr>
        <w:t>n</w:t>
      </w:r>
      <w:r>
        <w:rPr>
          <w:szCs w:val="22"/>
          <w:lang w:eastAsia="en-US" w:bidi="ar-SA"/>
        </w:rPr>
        <w:t>e</w:t>
      </w:r>
      <w:r>
        <w:rPr>
          <w:spacing w:val="-3"/>
          <w:szCs w:val="22"/>
          <w:lang w:eastAsia="en-US" w:bidi="ar-SA"/>
        </w:rPr>
        <w:t>g</w:t>
      </w:r>
      <w:r>
        <w:rPr>
          <w:szCs w:val="22"/>
          <w:lang w:eastAsia="en-US" w:bidi="ar-SA"/>
        </w:rPr>
        <w:t>re s</w:t>
      </w:r>
      <w:r>
        <w:rPr>
          <w:spacing w:val="-3"/>
          <w:szCs w:val="22"/>
          <w:lang w:eastAsia="en-US" w:bidi="ar-SA"/>
        </w:rPr>
        <w:t>a</w:t>
      </w:r>
      <w:r>
        <w:rPr>
          <w:szCs w:val="22"/>
          <w:lang w:eastAsia="en-US" w:bidi="ar-SA"/>
        </w:rPr>
        <w:t xml:space="preserve">u </w:t>
      </w:r>
      <w:r>
        <w:rPr>
          <w:spacing w:val="-2"/>
          <w:szCs w:val="22"/>
          <w:lang w:eastAsia="en-US" w:bidi="ar-SA"/>
        </w:rPr>
        <w:t>li</w:t>
      </w:r>
      <w:r>
        <w:rPr>
          <w:szCs w:val="22"/>
          <w:lang w:eastAsia="en-US" w:bidi="ar-SA"/>
        </w:rPr>
        <w:t>n</w:t>
      </w:r>
      <w:r>
        <w:rPr>
          <w:spacing w:val="1"/>
          <w:szCs w:val="22"/>
          <w:lang w:eastAsia="en-US" w:bidi="ar-SA"/>
        </w:rPr>
        <w:t>i</w:t>
      </w:r>
      <w:r>
        <w:rPr>
          <w:szCs w:val="22"/>
          <w:lang w:eastAsia="en-US" w:bidi="ar-SA"/>
        </w:rPr>
        <w:t>i</w:t>
      </w:r>
      <w:r>
        <w:rPr>
          <w:spacing w:val="-2"/>
          <w:szCs w:val="22"/>
          <w:lang w:eastAsia="en-US" w:bidi="ar-SA"/>
        </w:rPr>
        <w:t xml:space="preserve"> </w:t>
      </w:r>
      <w:r>
        <w:rPr>
          <w:szCs w:val="22"/>
          <w:lang w:eastAsia="en-US" w:bidi="ar-SA"/>
        </w:rPr>
        <w:t>sub</w:t>
      </w:r>
      <w:r>
        <w:rPr>
          <w:spacing w:val="-2"/>
          <w:szCs w:val="22"/>
          <w:lang w:eastAsia="en-US" w:bidi="ar-SA"/>
        </w:rPr>
        <w:t>ţ</w:t>
      </w:r>
      <w:r>
        <w:rPr>
          <w:spacing w:val="1"/>
          <w:szCs w:val="22"/>
          <w:lang w:eastAsia="en-US" w:bidi="ar-SA"/>
        </w:rPr>
        <w:t>i</w:t>
      </w:r>
      <w:r>
        <w:rPr>
          <w:spacing w:val="-2"/>
          <w:szCs w:val="22"/>
          <w:lang w:eastAsia="en-US" w:bidi="ar-SA"/>
        </w:rPr>
        <w:t>r</w:t>
      </w:r>
      <w:r>
        <w:rPr>
          <w:szCs w:val="22"/>
          <w:lang w:eastAsia="en-US" w:bidi="ar-SA"/>
        </w:rPr>
        <w:t>i</w:t>
      </w:r>
      <w:r>
        <w:rPr>
          <w:spacing w:val="1"/>
          <w:szCs w:val="22"/>
          <w:lang w:eastAsia="en-US" w:bidi="ar-SA"/>
        </w:rPr>
        <w:t xml:space="preserve"> </w:t>
      </w:r>
      <w:r>
        <w:rPr>
          <w:spacing w:val="-3"/>
          <w:szCs w:val="22"/>
          <w:lang w:eastAsia="en-US" w:bidi="ar-SA"/>
        </w:rPr>
        <w:t>c</w:t>
      </w:r>
      <w:r>
        <w:rPr>
          <w:szCs w:val="22"/>
          <w:lang w:eastAsia="en-US" w:bidi="ar-SA"/>
        </w:rPr>
        <w:t>a</w:t>
      </w:r>
      <w:r>
        <w:rPr>
          <w:spacing w:val="-2"/>
          <w:szCs w:val="22"/>
          <w:lang w:eastAsia="en-US" w:bidi="ar-SA"/>
        </w:rPr>
        <w:t>r</w:t>
      </w:r>
      <w:r>
        <w:rPr>
          <w:szCs w:val="22"/>
          <w:lang w:eastAsia="en-US" w:bidi="ar-SA"/>
        </w:rPr>
        <w:t xml:space="preserve">e se </w:t>
      </w:r>
      <w:r>
        <w:rPr>
          <w:spacing w:val="-4"/>
          <w:szCs w:val="22"/>
          <w:lang w:eastAsia="en-US" w:bidi="ar-SA"/>
        </w:rPr>
        <w:t>m</w:t>
      </w:r>
      <w:r>
        <w:rPr>
          <w:spacing w:val="1"/>
          <w:szCs w:val="22"/>
          <w:lang w:eastAsia="en-US" w:bidi="ar-SA"/>
        </w:rPr>
        <w:t>i</w:t>
      </w:r>
      <w:r>
        <w:rPr>
          <w:szCs w:val="22"/>
          <w:lang w:eastAsia="en-US" w:bidi="ar-SA"/>
        </w:rPr>
        <w:t>șcă</w:t>
      </w:r>
      <w:r>
        <w:rPr>
          <w:spacing w:val="-2"/>
          <w:szCs w:val="22"/>
          <w:lang w:eastAsia="en-US" w:bidi="ar-SA"/>
        </w:rPr>
        <w:t xml:space="preserve"> </w:t>
      </w:r>
      <w:r>
        <w:rPr>
          <w:szCs w:val="22"/>
          <w:lang w:eastAsia="en-US" w:bidi="ar-SA"/>
        </w:rPr>
        <w:t>pe</w:t>
      </w:r>
      <w:r>
        <w:rPr>
          <w:spacing w:val="-2"/>
          <w:szCs w:val="22"/>
          <w:lang w:eastAsia="en-US" w:bidi="ar-SA"/>
        </w:rPr>
        <w:t>s</w:t>
      </w:r>
      <w:r>
        <w:rPr>
          <w:spacing w:val="1"/>
          <w:szCs w:val="22"/>
          <w:lang w:eastAsia="en-US" w:bidi="ar-SA"/>
        </w:rPr>
        <w:t>t</w:t>
      </w:r>
      <w:r>
        <w:rPr>
          <w:szCs w:val="22"/>
          <w:lang w:eastAsia="en-US" w:bidi="ar-SA"/>
        </w:rPr>
        <w:t xml:space="preserve">e </w:t>
      </w:r>
      <w:r>
        <w:rPr>
          <w:spacing w:val="-3"/>
          <w:szCs w:val="22"/>
          <w:lang w:eastAsia="en-US" w:bidi="ar-SA"/>
        </w:rPr>
        <w:t>c</w:t>
      </w:r>
      <w:r>
        <w:rPr>
          <w:szCs w:val="22"/>
          <w:lang w:eastAsia="en-US" w:bidi="ar-SA"/>
        </w:rPr>
        <w:t>â</w:t>
      </w:r>
      <w:r>
        <w:rPr>
          <w:spacing w:val="-4"/>
          <w:szCs w:val="22"/>
          <w:lang w:eastAsia="en-US" w:bidi="ar-SA"/>
        </w:rPr>
        <w:t>m</w:t>
      </w:r>
      <w:r>
        <w:rPr>
          <w:szCs w:val="22"/>
          <w:lang w:eastAsia="en-US" w:bidi="ar-SA"/>
        </w:rPr>
        <w:t>pul</w:t>
      </w:r>
      <w:r>
        <w:rPr>
          <w:spacing w:val="1"/>
          <w:szCs w:val="22"/>
          <w:lang w:eastAsia="en-US" w:bidi="ar-SA"/>
        </w:rPr>
        <w:t xml:space="preserve"> </w:t>
      </w:r>
      <w:r>
        <w:rPr>
          <w:spacing w:val="-3"/>
          <w:szCs w:val="22"/>
          <w:lang w:eastAsia="en-US" w:bidi="ar-SA"/>
        </w:rPr>
        <w:t>v</w:t>
      </w:r>
      <w:r>
        <w:rPr>
          <w:spacing w:val="1"/>
          <w:szCs w:val="22"/>
          <w:lang w:eastAsia="en-US" w:bidi="ar-SA"/>
        </w:rPr>
        <w:t>i</w:t>
      </w:r>
      <w:r>
        <w:rPr>
          <w:spacing w:val="-3"/>
          <w:szCs w:val="22"/>
          <w:lang w:eastAsia="en-US" w:bidi="ar-SA"/>
        </w:rPr>
        <w:t>z</w:t>
      </w:r>
      <w:r>
        <w:rPr>
          <w:szCs w:val="22"/>
          <w:lang w:eastAsia="en-US" w:bidi="ar-SA"/>
        </w:rPr>
        <w:t>ua</w:t>
      </w:r>
      <w:r>
        <w:rPr>
          <w:spacing w:val="1"/>
          <w:szCs w:val="22"/>
          <w:lang w:eastAsia="en-US" w:bidi="ar-SA"/>
        </w:rPr>
        <w:t>l</w:t>
      </w:r>
      <w:r>
        <w:rPr>
          <w:szCs w:val="22"/>
          <w:lang w:eastAsia="en-US" w:bidi="ar-SA"/>
        </w:rPr>
        <w:t xml:space="preserve">). </w:t>
      </w:r>
      <w:r>
        <w:rPr>
          <w:spacing w:val="-1"/>
          <w:szCs w:val="22"/>
          <w:lang w:eastAsia="en-US" w:bidi="ar-SA"/>
        </w:rPr>
        <w:t>AMGEVITA</w:t>
      </w:r>
      <w:r>
        <w:rPr>
          <w:spacing w:val="-2"/>
          <w:szCs w:val="22"/>
          <w:lang w:eastAsia="en-US" w:bidi="ar-SA"/>
        </w:rPr>
        <w:t xml:space="preserve"> </w:t>
      </w:r>
      <w:r>
        <w:rPr>
          <w:szCs w:val="22"/>
          <w:lang w:eastAsia="en-US" w:bidi="ar-SA"/>
        </w:rPr>
        <w:t>ac</w:t>
      </w:r>
      <w:r>
        <w:rPr>
          <w:spacing w:val="-2"/>
          <w:szCs w:val="22"/>
          <w:lang w:eastAsia="en-US" w:bidi="ar-SA"/>
        </w:rPr>
        <w:t>ț</w:t>
      </w:r>
      <w:r>
        <w:rPr>
          <w:spacing w:val="1"/>
          <w:szCs w:val="22"/>
          <w:lang w:eastAsia="en-US" w:bidi="ar-SA"/>
        </w:rPr>
        <w:t>i</w:t>
      </w:r>
      <w:r>
        <w:rPr>
          <w:szCs w:val="22"/>
          <w:lang w:eastAsia="en-US" w:bidi="ar-SA"/>
        </w:rPr>
        <w:t>on</w:t>
      </w:r>
      <w:r>
        <w:rPr>
          <w:spacing w:val="-3"/>
          <w:szCs w:val="22"/>
          <w:lang w:eastAsia="en-US" w:bidi="ar-SA"/>
        </w:rPr>
        <w:t>e</w:t>
      </w:r>
      <w:r>
        <w:rPr>
          <w:szCs w:val="22"/>
          <w:lang w:eastAsia="en-US" w:bidi="ar-SA"/>
        </w:rPr>
        <w:t>a</w:t>
      </w:r>
      <w:r>
        <w:rPr>
          <w:spacing w:val="-3"/>
          <w:szCs w:val="22"/>
          <w:lang w:eastAsia="en-US" w:bidi="ar-SA"/>
        </w:rPr>
        <w:t>z</w:t>
      </w:r>
      <w:r>
        <w:rPr>
          <w:szCs w:val="22"/>
          <w:lang w:eastAsia="en-US" w:bidi="ar-SA"/>
        </w:rPr>
        <w:t>ă pr</w:t>
      </w:r>
      <w:r>
        <w:rPr>
          <w:spacing w:val="-2"/>
          <w:szCs w:val="22"/>
          <w:lang w:eastAsia="en-US" w:bidi="ar-SA"/>
        </w:rPr>
        <w:t>i</w:t>
      </w:r>
      <w:r>
        <w:rPr>
          <w:szCs w:val="22"/>
          <w:lang w:eastAsia="en-US" w:bidi="ar-SA"/>
        </w:rPr>
        <w:t>n redu</w:t>
      </w:r>
      <w:r>
        <w:rPr>
          <w:spacing w:val="-3"/>
          <w:szCs w:val="22"/>
          <w:lang w:eastAsia="en-US" w:bidi="ar-SA"/>
        </w:rPr>
        <w:t>c</w:t>
      </w:r>
      <w:r>
        <w:rPr>
          <w:szCs w:val="22"/>
          <w:lang w:eastAsia="en-US" w:bidi="ar-SA"/>
        </w:rPr>
        <w:t>e</w:t>
      </w:r>
      <w:r>
        <w:rPr>
          <w:spacing w:val="-2"/>
          <w:szCs w:val="22"/>
          <w:lang w:eastAsia="en-US" w:bidi="ar-SA"/>
        </w:rPr>
        <w:t>r</w:t>
      </w:r>
      <w:r>
        <w:rPr>
          <w:szCs w:val="22"/>
          <w:lang w:eastAsia="en-US" w:bidi="ar-SA"/>
        </w:rPr>
        <w:t xml:space="preserve">ea </w:t>
      </w:r>
      <w:r>
        <w:rPr>
          <w:spacing w:val="-3"/>
          <w:szCs w:val="22"/>
          <w:lang w:eastAsia="en-US" w:bidi="ar-SA"/>
        </w:rPr>
        <w:t>a</w:t>
      </w:r>
      <w:r>
        <w:rPr>
          <w:szCs w:val="22"/>
          <w:lang w:eastAsia="en-US" w:bidi="ar-SA"/>
        </w:rPr>
        <w:t>ce</w:t>
      </w:r>
      <w:r>
        <w:rPr>
          <w:spacing w:val="-2"/>
          <w:szCs w:val="22"/>
          <w:lang w:eastAsia="en-US" w:bidi="ar-SA"/>
        </w:rPr>
        <w:t>s</w:t>
      </w:r>
      <w:r>
        <w:rPr>
          <w:spacing w:val="1"/>
          <w:szCs w:val="22"/>
          <w:lang w:eastAsia="en-US" w:bidi="ar-SA"/>
        </w:rPr>
        <w:t>t</w:t>
      </w:r>
      <w:r>
        <w:rPr>
          <w:spacing w:val="-3"/>
          <w:szCs w:val="22"/>
          <w:lang w:eastAsia="en-US" w:bidi="ar-SA"/>
        </w:rPr>
        <w:t>e</w:t>
      </w:r>
      <w:r>
        <w:rPr>
          <w:szCs w:val="22"/>
          <w:lang w:eastAsia="en-US" w:bidi="ar-SA"/>
        </w:rPr>
        <w:t>i</w:t>
      </w:r>
      <w:r>
        <w:rPr>
          <w:spacing w:val="1"/>
          <w:szCs w:val="22"/>
          <w:lang w:eastAsia="en-US" w:bidi="ar-SA"/>
        </w:rPr>
        <w:t xml:space="preserve"> i</w:t>
      </w:r>
      <w:r>
        <w:rPr>
          <w:spacing w:val="-3"/>
          <w:szCs w:val="22"/>
          <w:lang w:eastAsia="en-US" w:bidi="ar-SA"/>
        </w:rPr>
        <w:t>n</w:t>
      </w:r>
      <w:r>
        <w:rPr>
          <w:szCs w:val="22"/>
          <w:lang w:eastAsia="en-US" w:bidi="ar-SA"/>
        </w:rPr>
        <w:t>f</w:t>
      </w:r>
      <w:r>
        <w:rPr>
          <w:spacing w:val="-2"/>
          <w:szCs w:val="22"/>
          <w:lang w:eastAsia="en-US" w:bidi="ar-SA"/>
        </w:rPr>
        <w:t>l</w:t>
      </w:r>
      <w:r>
        <w:rPr>
          <w:szCs w:val="22"/>
          <w:lang w:eastAsia="en-US" w:bidi="ar-SA"/>
        </w:rPr>
        <w:t>a</w:t>
      </w:r>
      <w:r>
        <w:rPr>
          <w:spacing w:val="-4"/>
          <w:szCs w:val="22"/>
          <w:lang w:eastAsia="en-US" w:bidi="ar-SA"/>
        </w:rPr>
        <w:t>m</w:t>
      </w:r>
      <w:r>
        <w:rPr>
          <w:szCs w:val="22"/>
          <w:lang w:eastAsia="en-US" w:bidi="ar-SA"/>
        </w:rPr>
        <w:t>a</w:t>
      </w:r>
      <w:r>
        <w:rPr>
          <w:spacing w:val="1"/>
          <w:szCs w:val="22"/>
          <w:lang w:eastAsia="en-US" w:bidi="ar-SA"/>
        </w:rPr>
        <w:t>ți</w:t>
      </w:r>
      <w:r>
        <w:rPr>
          <w:spacing w:val="-2"/>
          <w:szCs w:val="22"/>
          <w:lang w:eastAsia="en-US" w:bidi="ar-SA"/>
        </w:rPr>
        <w:t>i.</w:t>
      </w:r>
    </w:p>
    <w:p w14:paraId="49154331" w14:textId="77777777" w:rsidR="00C04CAD" w:rsidRDefault="00C04CAD">
      <w:pPr>
        <w:tabs>
          <w:tab w:val="clear" w:pos="567"/>
        </w:tabs>
        <w:spacing w:line="240" w:lineRule="auto"/>
        <w:ind w:right="-2"/>
        <w:rPr>
          <w:szCs w:val="22"/>
        </w:rPr>
      </w:pPr>
    </w:p>
    <w:p w14:paraId="4FBF95E7" w14:textId="77777777" w:rsidR="00C04CAD" w:rsidRDefault="00C04CAD">
      <w:pPr>
        <w:tabs>
          <w:tab w:val="clear" w:pos="567"/>
        </w:tabs>
        <w:spacing w:line="240" w:lineRule="auto"/>
        <w:ind w:right="-2"/>
        <w:rPr>
          <w:szCs w:val="22"/>
        </w:rPr>
      </w:pPr>
    </w:p>
    <w:p w14:paraId="03E6965D" w14:textId="77777777" w:rsidR="00C04CAD" w:rsidRDefault="00060E34">
      <w:pPr>
        <w:keepNext/>
        <w:numPr>
          <w:ilvl w:val="0"/>
          <w:numId w:val="49"/>
        </w:numPr>
        <w:spacing w:line="240" w:lineRule="auto"/>
        <w:ind w:left="567" w:right="-2"/>
        <w:rPr>
          <w:b/>
          <w:bCs/>
        </w:rPr>
      </w:pPr>
      <w:r>
        <w:rPr>
          <w:b/>
        </w:rPr>
        <w:t>Ce trebuie să știți înainte să utilizați AMGEVITA</w:t>
      </w:r>
    </w:p>
    <w:p w14:paraId="4023204A" w14:textId="77777777" w:rsidR="00C04CAD" w:rsidRDefault="00C04CAD">
      <w:pPr>
        <w:keepNext/>
        <w:numPr>
          <w:ilvl w:val="12"/>
          <w:numId w:val="0"/>
        </w:numPr>
        <w:tabs>
          <w:tab w:val="clear" w:pos="567"/>
        </w:tabs>
        <w:spacing w:line="240" w:lineRule="auto"/>
        <w:outlineLvl w:val="0"/>
        <w:rPr>
          <w:b/>
          <w:i/>
        </w:rPr>
      </w:pPr>
    </w:p>
    <w:p w14:paraId="1E9A7AB2" w14:textId="77777777" w:rsidR="00C04CAD" w:rsidRDefault="00060E34">
      <w:pPr>
        <w:keepNext/>
        <w:tabs>
          <w:tab w:val="clear" w:pos="567"/>
          <w:tab w:val="left" w:pos="679"/>
        </w:tabs>
        <w:kinsoku w:val="0"/>
        <w:overflowPunct w:val="0"/>
        <w:autoSpaceDE w:val="0"/>
        <w:autoSpaceDN w:val="0"/>
        <w:adjustRightInd w:val="0"/>
        <w:spacing w:line="240" w:lineRule="auto"/>
        <w:outlineLvl w:val="0"/>
      </w:pPr>
      <w:r>
        <w:rPr>
          <w:b/>
          <w:spacing w:val="-1"/>
        </w:rPr>
        <w:t>N</w:t>
      </w:r>
      <w:r>
        <w:rPr>
          <w:b/>
        </w:rPr>
        <w:t>u</w:t>
      </w:r>
      <w:r>
        <w:rPr>
          <w:b/>
          <w:spacing w:val="-1"/>
        </w:rPr>
        <w:t xml:space="preserve"> u</w:t>
      </w:r>
      <w:r>
        <w:rPr>
          <w:b/>
        </w:rPr>
        <w:t>t</w:t>
      </w:r>
      <w:r>
        <w:rPr>
          <w:b/>
          <w:spacing w:val="1"/>
        </w:rPr>
        <w:t>i</w:t>
      </w:r>
      <w:r>
        <w:rPr>
          <w:b/>
          <w:spacing w:val="-2"/>
        </w:rPr>
        <w:t>l</w:t>
      </w:r>
      <w:r>
        <w:rPr>
          <w:b/>
          <w:spacing w:val="1"/>
        </w:rPr>
        <w:t>i</w:t>
      </w:r>
      <w:r>
        <w:rPr>
          <w:b/>
          <w:spacing w:val="-3"/>
        </w:rPr>
        <w:t>z</w:t>
      </w:r>
      <w:r>
        <w:rPr>
          <w:b/>
        </w:rPr>
        <w:t>aţi</w:t>
      </w:r>
      <w:r>
        <w:rPr>
          <w:b/>
          <w:spacing w:val="-2"/>
        </w:rPr>
        <w:t xml:space="preserve"> </w:t>
      </w:r>
      <w:r>
        <w:rPr>
          <w:b/>
          <w:bCs/>
          <w:spacing w:val="1"/>
          <w:szCs w:val="22"/>
          <w:lang w:eastAsia="en-US" w:bidi="ar-SA"/>
        </w:rPr>
        <w:t>AMGEVITA:</w:t>
      </w:r>
    </w:p>
    <w:p w14:paraId="2761C0E7" w14:textId="77777777" w:rsidR="00C04CAD" w:rsidRDefault="00C04CAD">
      <w:pPr>
        <w:keepNext/>
        <w:tabs>
          <w:tab w:val="clear" w:pos="567"/>
        </w:tabs>
        <w:autoSpaceDE w:val="0"/>
        <w:autoSpaceDN w:val="0"/>
        <w:adjustRightInd w:val="0"/>
        <w:spacing w:line="240" w:lineRule="auto"/>
      </w:pPr>
    </w:p>
    <w:p w14:paraId="6C322745"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szCs w:val="22"/>
          <w:lang w:eastAsia="en-US" w:bidi="ar-SA"/>
        </w:rPr>
        <w:t>d</w:t>
      </w:r>
      <w:r>
        <w:rPr>
          <w:szCs w:val="22"/>
          <w:lang w:eastAsia="en-US" w:bidi="ar-SA"/>
        </w:rPr>
        <w:t>acă</w:t>
      </w:r>
      <w:r>
        <w:t xml:space="preserve"> su</w:t>
      </w:r>
      <w:r>
        <w:rPr>
          <w:spacing w:val="-3"/>
        </w:rPr>
        <w:t>n</w:t>
      </w:r>
      <w:r>
        <w:rPr>
          <w:spacing w:val="1"/>
        </w:rPr>
        <w:t>t</w:t>
      </w:r>
      <w:r>
        <w:rPr>
          <w:spacing w:val="-3"/>
        </w:rPr>
        <w:t>e</w:t>
      </w:r>
      <w:r>
        <w:rPr>
          <w:spacing w:val="1"/>
        </w:rPr>
        <w:t>ţ</w:t>
      </w:r>
      <w:r>
        <w:t>i</w:t>
      </w:r>
      <w:r>
        <w:rPr>
          <w:spacing w:val="-2"/>
        </w:rPr>
        <w:t xml:space="preserve"> </w:t>
      </w:r>
      <w:r>
        <w:t>a</w:t>
      </w:r>
      <w:r>
        <w:rPr>
          <w:spacing w:val="-2"/>
        </w:rPr>
        <w:t>l</w:t>
      </w:r>
      <w:r>
        <w:t>er</w:t>
      </w:r>
      <w:r>
        <w:rPr>
          <w:spacing w:val="-3"/>
        </w:rPr>
        <w:t>g</w:t>
      </w:r>
      <w:r>
        <w:rPr>
          <w:spacing w:val="1"/>
        </w:rPr>
        <w:t>i</w:t>
      </w:r>
      <w:r>
        <w:t>c</w:t>
      </w:r>
      <w:r>
        <w:rPr>
          <w:spacing w:val="-2"/>
        </w:rPr>
        <w:t xml:space="preserve"> </w:t>
      </w:r>
      <w:r>
        <w:rPr>
          <w:spacing w:val="1"/>
        </w:rPr>
        <w:t>l</w:t>
      </w:r>
      <w:r>
        <w:t xml:space="preserve">a </w:t>
      </w:r>
      <w:r>
        <w:rPr>
          <w:spacing w:val="-3"/>
        </w:rPr>
        <w:t>a</w:t>
      </w:r>
      <w:r>
        <w:t>da</w:t>
      </w:r>
      <w:r>
        <w:rPr>
          <w:spacing w:val="-2"/>
        </w:rPr>
        <w:t>li</w:t>
      </w:r>
      <w:r>
        <w:rPr>
          <w:spacing w:val="-4"/>
        </w:rPr>
        <w:t>m</w:t>
      </w:r>
      <w:r>
        <w:rPr>
          <w:spacing w:val="2"/>
        </w:rPr>
        <w:t>u</w:t>
      </w:r>
      <w:r>
        <w:rPr>
          <w:spacing w:val="-4"/>
        </w:rPr>
        <w:t>m</w:t>
      </w:r>
      <w:r>
        <w:t xml:space="preserve">ab sau </w:t>
      </w:r>
      <w:r>
        <w:rPr>
          <w:spacing w:val="1"/>
        </w:rPr>
        <w:t>l</w:t>
      </w:r>
      <w:r>
        <w:t xml:space="preserve">a </w:t>
      </w:r>
      <w:r>
        <w:rPr>
          <w:spacing w:val="-3"/>
        </w:rPr>
        <w:t>o</w:t>
      </w:r>
      <w:r>
        <w:t>r</w:t>
      </w:r>
      <w:r>
        <w:rPr>
          <w:spacing w:val="1"/>
        </w:rPr>
        <w:t>i</w:t>
      </w:r>
      <w:r>
        <w:rPr>
          <w:spacing w:val="-3"/>
        </w:rPr>
        <w:t>c</w:t>
      </w:r>
      <w:r>
        <w:t>are</w:t>
      </w:r>
      <w:r>
        <w:rPr>
          <w:spacing w:val="-2"/>
        </w:rPr>
        <w:t xml:space="preserve"> </w:t>
      </w:r>
      <w:r>
        <w:t>d</w:t>
      </w:r>
      <w:r>
        <w:rPr>
          <w:spacing w:val="1"/>
        </w:rPr>
        <w:t>i</w:t>
      </w:r>
      <w:r>
        <w:rPr>
          <w:spacing w:val="-3"/>
        </w:rPr>
        <w:t>n</w:t>
      </w:r>
      <w:r>
        <w:rPr>
          <w:spacing w:val="1"/>
        </w:rPr>
        <w:t>t</w:t>
      </w:r>
      <w:r>
        <w:rPr>
          <w:spacing w:val="-2"/>
        </w:rPr>
        <w:t>r</w:t>
      </w:r>
      <w:r>
        <w:t>e</w:t>
      </w:r>
      <w:r>
        <w:rPr>
          <w:spacing w:val="-2"/>
        </w:rPr>
        <w:t xml:space="preserve"> </w:t>
      </w:r>
      <w:r>
        <w:t>ce</w:t>
      </w:r>
      <w:r>
        <w:rPr>
          <w:spacing w:val="-2"/>
        </w:rPr>
        <w:t>l</w:t>
      </w:r>
      <w:r>
        <w:t>e</w:t>
      </w:r>
      <w:r>
        <w:rPr>
          <w:spacing w:val="1"/>
        </w:rPr>
        <w:t>l</w:t>
      </w:r>
      <w:r>
        <w:rPr>
          <w:spacing w:val="-3"/>
        </w:rPr>
        <w:t>a</w:t>
      </w:r>
      <w:r>
        <w:rPr>
          <w:spacing w:val="-1"/>
        </w:rPr>
        <w:t>l</w:t>
      </w:r>
      <w:r>
        <w:rPr>
          <w:spacing w:val="-2"/>
        </w:rPr>
        <w:t>t</w:t>
      </w:r>
      <w:r>
        <w:t>e co</w:t>
      </w:r>
      <w:r>
        <w:rPr>
          <w:spacing w:val="-4"/>
        </w:rPr>
        <w:t>m</w:t>
      </w:r>
      <w:r>
        <w:t>ponen</w:t>
      </w:r>
      <w:r>
        <w:rPr>
          <w:spacing w:val="-2"/>
        </w:rPr>
        <w:t>t</w:t>
      </w:r>
      <w:r>
        <w:t xml:space="preserve">e </w:t>
      </w:r>
      <w:r>
        <w:rPr>
          <w:spacing w:val="-3"/>
        </w:rPr>
        <w:t>a</w:t>
      </w:r>
      <w:r>
        <w:rPr>
          <w:spacing w:val="1"/>
        </w:rPr>
        <w:t>l</w:t>
      </w:r>
      <w:r>
        <w:t xml:space="preserve">e </w:t>
      </w:r>
      <w:r>
        <w:rPr>
          <w:spacing w:val="-4"/>
        </w:rPr>
        <w:t>m</w:t>
      </w:r>
      <w:r>
        <w:t>ed</w:t>
      </w:r>
      <w:r>
        <w:rPr>
          <w:spacing w:val="1"/>
        </w:rPr>
        <w:t>i</w:t>
      </w:r>
      <w:r>
        <w:t>ca</w:t>
      </w:r>
      <w:r>
        <w:rPr>
          <w:spacing w:val="-4"/>
        </w:rPr>
        <w:t>m</w:t>
      </w:r>
      <w:r>
        <w:t>en</w:t>
      </w:r>
      <w:r>
        <w:rPr>
          <w:spacing w:val="1"/>
        </w:rPr>
        <w:t>t</w:t>
      </w:r>
      <w:r>
        <w:t>u</w:t>
      </w:r>
      <w:r>
        <w:rPr>
          <w:spacing w:val="1"/>
        </w:rPr>
        <w:t>l</w:t>
      </w:r>
      <w:r>
        <w:t>ui</w:t>
      </w:r>
      <w:r>
        <w:rPr>
          <w:spacing w:val="-2"/>
        </w:rPr>
        <w:t xml:space="preserve"> </w:t>
      </w:r>
      <w:r>
        <w:t>(e</w:t>
      </w:r>
      <w:r>
        <w:rPr>
          <w:spacing w:val="-3"/>
        </w:rPr>
        <w:t>n</w:t>
      </w:r>
      <w:r>
        <w:t>u</w:t>
      </w:r>
      <w:r>
        <w:rPr>
          <w:spacing w:val="-4"/>
        </w:rPr>
        <w:t>m</w:t>
      </w:r>
      <w:r>
        <w:t>era</w:t>
      </w:r>
      <w:r>
        <w:rPr>
          <w:spacing w:val="-2"/>
        </w:rPr>
        <w:t>t</w:t>
      </w:r>
      <w:r>
        <w:t xml:space="preserve">e </w:t>
      </w:r>
      <w:r>
        <w:rPr>
          <w:spacing w:val="1"/>
        </w:rPr>
        <w:t>l</w:t>
      </w:r>
      <w:r>
        <w:t xml:space="preserve">a </w:t>
      </w:r>
      <w:r>
        <w:rPr>
          <w:spacing w:val="-3"/>
        </w:rPr>
        <w:t>p</w:t>
      </w:r>
      <w:r>
        <w:t>c</w:t>
      </w:r>
      <w:r>
        <w:rPr>
          <w:spacing w:val="1"/>
        </w:rPr>
        <w:t>t</w:t>
      </w:r>
      <w:r>
        <w:t>.</w:t>
      </w:r>
      <w:r>
        <w:rPr>
          <w:spacing w:val="-3"/>
        </w:rPr>
        <w:t xml:space="preserve"> </w:t>
      </w:r>
      <w:r>
        <w:t>6).</w:t>
      </w:r>
      <w:r>
        <w:rPr>
          <w:szCs w:val="22"/>
          <w:lang w:eastAsia="en-US" w:bidi="ar-SA"/>
        </w:rPr>
        <w:t xml:space="preserve"> </w:t>
      </w:r>
    </w:p>
    <w:p w14:paraId="5B197B99"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pacing w:val="-1"/>
        </w:rPr>
      </w:pPr>
      <w:r>
        <w:rPr>
          <w:spacing w:val="-1"/>
          <w:szCs w:val="22"/>
          <w:lang w:eastAsia="en-US" w:bidi="ar-SA"/>
        </w:rPr>
        <w:t>dacă</w:t>
      </w:r>
      <w:r>
        <w:rPr>
          <w:spacing w:val="-1"/>
        </w:rPr>
        <w:t xml:space="preserve"> aveţi o infecţie severă, inclusiv tuberculoză activă, septicemie (infecție în sânge) sau alte infecții oportuniste (infecții neobișnuite asociate cu un sistem imunitar slăbit) (vezi “Atenţionări şi precauţii”). Este important să-i spuneţi medicului dumneavoastră dacă aveţi simptome ale unei infecţii, de exemplu febră, plăgi, senzaţie de oboseală, probleme dentare.</w:t>
      </w:r>
      <w:r>
        <w:rPr>
          <w:spacing w:val="-1"/>
          <w:szCs w:val="22"/>
          <w:lang w:eastAsia="en-US" w:bidi="ar-SA"/>
        </w:rPr>
        <w:t xml:space="preserve"> </w:t>
      </w:r>
    </w:p>
    <w:p w14:paraId="7BA78E65" w14:textId="77777777" w:rsidR="00C04CAD" w:rsidRDefault="00060E34">
      <w:pPr>
        <w:pStyle w:val="ListParagraph"/>
        <w:numPr>
          <w:ilvl w:val="0"/>
          <w:numId w:val="47"/>
        </w:numPr>
        <w:kinsoku w:val="0"/>
        <w:overflowPunct w:val="0"/>
        <w:autoSpaceDE w:val="0"/>
        <w:autoSpaceDN w:val="0"/>
        <w:adjustRightInd w:val="0"/>
        <w:spacing w:line="240" w:lineRule="auto"/>
        <w:ind w:left="567" w:hanging="567"/>
      </w:pPr>
      <w:r>
        <w:rPr>
          <w:spacing w:val="-1"/>
          <w:szCs w:val="22"/>
          <w:lang w:eastAsia="en-US" w:bidi="ar-SA"/>
        </w:rPr>
        <w:t>dacă</w:t>
      </w:r>
      <w:r>
        <w:rPr>
          <w:spacing w:val="-1"/>
        </w:rPr>
        <w:t xml:space="preserve"> aveţi insuficienţă cardiacă moderată sau severă. Este important să-i comunicaţi medicului dacă aţi avut</w:t>
      </w:r>
      <w:r>
        <w:rPr>
          <w:spacing w:val="-2"/>
        </w:rPr>
        <w:t xml:space="preserve"> </w:t>
      </w:r>
      <w:r>
        <w:t>sau</w:t>
      </w:r>
      <w:r>
        <w:rPr>
          <w:spacing w:val="-3"/>
        </w:rPr>
        <w:t xml:space="preserve"> </w:t>
      </w:r>
      <w:r>
        <w:rPr>
          <w:spacing w:val="1"/>
        </w:rPr>
        <w:t>ave</w:t>
      </w:r>
      <w:r>
        <w:rPr>
          <w:spacing w:val="-2"/>
        </w:rPr>
        <w:t>ţ</w:t>
      </w:r>
      <w:r>
        <w:t>i</w:t>
      </w:r>
      <w:r>
        <w:rPr>
          <w:spacing w:val="-2"/>
        </w:rPr>
        <w:t xml:space="preserve"> </w:t>
      </w:r>
      <w:r>
        <w:t xml:space="preserve">o </w:t>
      </w:r>
      <w:r>
        <w:rPr>
          <w:spacing w:val="-3"/>
        </w:rPr>
        <w:t>a</w:t>
      </w:r>
      <w:r>
        <w:t>fe</w:t>
      </w:r>
      <w:r>
        <w:rPr>
          <w:spacing w:val="-3"/>
        </w:rPr>
        <w:t>c</w:t>
      </w:r>
      <w:r>
        <w:rPr>
          <w:spacing w:val="1"/>
        </w:rPr>
        <w:t>ţi</w:t>
      </w:r>
      <w:r>
        <w:rPr>
          <w:spacing w:val="-3"/>
        </w:rPr>
        <w:t>u</w:t>
      </w:r>
      <w:r>
        <w:t xml:space="preserve">ne </w:t>
      </w:r>
      <w:r>
        <w:rPr>
          <w:spacing w:val="-3"/>
        </w:rPr>
        <w:t>c</w:t>
      </w:r>
      <w:r>
        <w:t>ar</w:t>
      </w:r>
      <w:r>
        <w:rPr>
          <w:spacing w:val="-3"/>
        </w:rPr>
        <w:t>d</w:t>
      </w:r>
      <w:r>
        <w:rPr>
          <w:spacing w:val="1"/>
        </w:rPr>
        <w:t>i</w:t>
      </w:r>
      <w:r>
        <w:t>a</w:t>
      </w:r>
      <w:r>
        <w:rPr>
          <w:spacing w:val="-3"/>
        </w:rPr>
        <w:t>c</w:t>
      </w:r>
      <w:r>
        <w:t xml:space="preserve">ă </w:t>
      </w:r>
      <w:r>
        <w:rPr>
          <w:spacing w:val="-3"/>
        </w:rPr>
        <w:t>g</w:t>
      </w:r>
      <w:r>
        <w:t>r</w:t>
      </w:r>
      <w:r>
        <w:rPr>
          <w:spacing w:val="-3"/>
        </w:rPr>
        <w:t>av</w:t>
      </w:r>
      <w:r>
        <w:t>ă (</w:t>
      </w:r>
      <w:r>
        <w:rPr>
          <w:spacing w:val="-3"/>
        </w:rPr>
        <w:t>v</w:t>
      </w:r>
      <w:r>
        <w:t>e</w:t>
      </w:r>
      <w:r>
        <w:rPr>
          <w:spacing w:val="-3"/>
        </w:rPr>
        <w:t>z</w:t>
      </w:r>
      <w:r>
        <w:t>i</w:t>
      </w:r>
      <w:r>
        <w:rPr>
          <w:spacing w:val="1"/>
        </w:rPr>
        <w:t xml:space="preserve"> </w:t>
      </w:r>
      <w:r>
        <w:t>“</w:t>
      </w:r>
      <w:r>
        <w:rPr>
          <w:spacing w:val="-1"/>
        </w:rPr>
        <w:t>A</w:t>
      </w:r>
      <w:r>
        <w:rPr>
          <w:spacing w:val="1"/>
        </w:rPr>
        <w:t>t</w:t>
      </w:r>
      <w:r>
        <w:t>en</w:t>
      </w:r>
      <w:r>
        <w:rPr>
          <w:spacing w:val="-2"/>
        </w:rPr>
        <w:t>ţ</w:t>
      </w:r>
      <w:r>
        <w:rPr>
          <w:spacing w:val="1"/>
        </w:rPr>
        <w:t>i</w:t>
      </w:r>
      <w:r>
        <w:t>on</w:t>
      </w:r>
      <w:r>
        <w:rPr>
          <w:spacing w:val="-3"/>
        </w:rPr>
        <w:t>ă</w:t>
      </w:r>
      <w:r>
        <w:t>ri</w:t>
      </w:r>
      <w:r>
        <w:rPr>
          <w:spacing w:val="-2"/>
        </w:rPr>
        <w:t xml:space="preserve"> </w:t>
      </w:r>
      <w:r>
        <w:t>şi</w:t>
      </w:r>
      <w:r>
        <w:rPr>
          <w:spacing w:val="1"/>
        </w:rPr>
        <w:t xml:space="preserve"> </w:t>
      </w:r>
      <w:r>
        <w:rPr>
          <w:spacing w:val="-3"/>
        </w:rPr>
        <w:t>p</w:t>
      </w:r>
      <w:r>
        <w:t>r</w:t>
      </w:r>
      <w:r>
        <w:rPr>
          <w:spacing w:val="-3"/>
        </w:rPr>
        <w:t>e</w:t>
      </w:r>
      <w:r>
        <w:t>cau</w:t>
      </w:r>
      <w:r>
        <w:rPr>
          <w:spacing w:val="-2"/>
        </w:rPr>
        <w:t>ţ</w:t>
      </w:r>
      <w:r>
        <w:rPr>
          <w:spacing w:val="1"/>
        </w:rPr>
        <w:t>i</w:t>
      </w:r>
      <w:r>
        <w:rPr>
          <w:spacing w:val="-3"/>
        </w:rPr>
        <w:t>i</w:t>
      </w:r>
      <w:r>
        <w:t>”).</w:t>
      </w:r>
    </w:p>
    <w:p w14:paraId="660EB585" w14:textId="77777777" w:rsidR="00C04CAD" w:rsidRDefault="00C04CAD">
      <w:pPr>
        <w:numPr>
          <w:ilvl w:val="12"/>
          <w:numId w:val="0"/>
        </w:numPr>
        <w:tabs>
          <w:tab w:val="clear" w:pos="567"/>
        </w:tabs>
        <w:spacing w:line="240" w:lineRule="auto"/>
      </w:pPr>
    </w:p>
    <w:p w14:paraId="5D56A0D5" w14:textId="77777777" w:rsidR="00C04CAD" w:rsidRDefault="00060E34">
      <w:pPr>
        <w:keepNext/>
        <w:numPr>
          <w:ilvl w:val="12"/>
          <w:numId w:val="0"/>
        </w:numPr>
        <w:tabs>
          <w:tab w:val="clear" w:pos="567"/>
        </w:tabs>
        <w:spacing w:line="240" w:lineRule="auto"/>
        <w:outlineLvl w:val="0"/>
        <w:rPr>
          <w:b/>
        </w:rPr>
      </w:pPr>
      <w:r>
        <w:rPr>
          <w:b/>
        </w:rPr>
        <w:t xml:space="preserve">Atenționări și precauții </w:t>
      </w:r>
    </w:p>
    <w:p w14:paraId="5F64EC56" w14:textId="77777777" w:rsidR="00C04CAD" w:rsidRDefault="00C04CAD">
      <w:pPr>
        <w:keepNext/>
        <w:numPr>
          <w:ilvl w:val="12"/>
          <w:numId w:val="0"/>
        </w:numPr>
        <w:tabs>
          <w:tab w:val="clear" w:pos="567"/>
        </w:tabs>
        <w:spacing w:line="240" w:lineRule="auto"/>
        <w:outlineLvl w:val="0"/>
        <w:rPr>
          <w:rFonts w:eastAsia="MS Mincho"/>
          <w:b/>
          <w:szCs w:val="22"/>
          <w:lang w:eastAsia="en-US" w:bidi="ar-SA"/>
        </w:rPr>
      </w:pPr>
    </w:p>
    <w:p w14:paraId="3DCB7ABB" w14:textId="77777777" w:rsidR="00C04CAD" w:rsidRDefault="00060E34">
      <w:pPr>
        <w:keepNext/>
        <w:numPr>
          <w:ilvl w:val="12"/>
          <w:numId w:val="0"/>
        </w:numPr>
        <w:tabs>
          <w:tab w:val="clear" w:pos="567"/>
        </w:tabs>
        <w:spacing w:line="240" w:lineRule="auto"/>
        <w:rPr>
          <w:spacing w:val="-1"/>
        </w:rPr>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sau</w:t>
      </w:r>
      <w:r>
        <w:rPr>
          <w:spacing w:val="-3"/>
        </w:rPr>
        <w:t xml:space="preserve"> </w:t>
      </w:r>
      <w:r>
        <w:t>far</w:t>
      </w:r>
      <w:r>
        <w:rPr>
          <w:spacing w:val="-4"/>
        </w:rPr>
        <w:t>m</w:t>
      </w:r>
      <w:r>
        <w:t>ac</w:t>
      </w:r>
      <w:r>
        <w:rPr>
          <w:spacing w:val="-2"/>
        </w:rPr>
        <w:t>i</w:t>
      </w:r>
      <w:r>
        <w:t>s</w:t>
      </w:r>
      <w:r>
        <w:rPr>
          <w:spacing w:val="1"/>
        </w:rPr>
        <w:t>t</w:t>
      </w:r>
      <w:r>
        <w:rPr>
          <w:spacing w:val="-3"/>
        </w:rPr>
        <w:t>u</w:t>
      </w:r>
      <w:r>
        <w:rPr>
          <w:spacing w:val="1"/>
        </w:rPr>
        <w:t>l</w:t>
      </w:r>
      <w:r>
        <w:rPr>
          <w:spacing w:val="-3"/>
        </w:rPr>
        <w:t>u</w:t>
      </w:r>
      <w:r>
        <w:t>i</w:t>
      </w:r>
      <w:r>
        <w:rPr>
          <w:spacing w:val="1"/>
        </w:rPr>
        <w:t xml:space="preserve"> î</w:t>
      </w:r>
      <w:r>
        <w:rPr>
          <w:spacing w:val="-3"/>
        </w:rPr>
        <w:t>n</w:t>
      </w:r>
      <w:r>
        <w:t>a</w:t>
      </w:r>
      <w:r>
        <w:rPr>
          <w:spacing w:val="1"/>
        </w:rPr>
        <w:t>i</w:t>
      </w:r>
      <w:r>
        <w:rPr>
          <w:spacing w:val="-3"/>
        </w:rPr>
        <w:t>n</w:t>
      </w:r>
      <w:r>
        <w:rPr>
          <w:spacing w:val="1"/>
        </w:rPr>
        <w:t>t</w:t>
      </w:r>
      <w:r>
        <w:t xml:space="preserve">e </w:t>
      </w:r>
      <w:r>
        <w:rPr>
          <w:spacing w:val="-2"/>
        </w:rPr>
        <w:t>s</w:t>
      </w:r>
      <w:r>
        <w:t>ă u</w:t>
      </w:r>
      <w:r>
        <w:rPr>
          <w:spacing w:val="-2"/>
        </w:rPr>
        <w:t>t</w:t>
      </w:r>
      <w:r>
        <w:rPr>
          <w:spacing w:val="1"/>
        </w:rPr>
        <w:t>i</w:t>
      </w:r>
      <w:r>
        <w:rPr>
          <w:spacing w:val="-2"/>
        </w:rPr>
        <w:t>l</w:t>
      </w:r>
      <w:r>
        <w:rPr>
          <w:spacing w:val="1"/>
        </w:rPr>
        <w:t>i</w:t>
      </w:r>
      <w:r>
        <w:rPr>
          <w:spacing w:val="-3"/>
        </w:rPr>
        <w:t>z</w:t>
      </w:r>
      <w:r>
        <w:t>a</w:t>
      </w:r>
      <w:r>
        <w:rPr>
          <w:spacing w:val="-2"/>
        </w:rPr>
        <w:t>ţ</w:t>
      </w:r>
      <w:r>
        <w:t>i</w:t>
      </w:r>
      <w:r>
        <w:rPr>
          <w:spacing w:val="1"/>
        </w:rPr>
        <w:t xml:space="preserve"> </w:t>
      </w:r>
      <w:r>
        <w:rPr>
          <w:spacing w:val="-1"/>
          <w:szCs w:val="22"/>
        </w:rPr>
        <w:t>AMGEVITA:</w:t>
      </w:r>
    </w:p>
    <w:p w14:paraId="42302975" w14:textId="77777777" w:rsidR="00C04CAD" w:rsidRDefault="00C04CAD">
      <w:pPr>
        <w:keepNext/>
        <w:numPr>
          <w:ilvl w:val="12"/>
          <w:numId w:val="0"/>
        </w:numPr>
        <w:tabs>
          <w:tab w:val="clear" w:pos="567"/>
        </w:tabs>
        <w:spacing w:line="240" w:lineRule="auto"/>
        <w:rPr>
          <w:spacing w:val="-1"/>
        </w:rPr>
      </w:pPr>
    </w:p>
    <w:p w14:paraId="4CB338F5" w14:textId="77777777" w:rsidR="00C04CAD" w:rsidRDefault="00060E34">
      <w:pPr>
        <w:keepNext/>
        <w:numPr>
          <w:ilvl w:val="12"/>
          <w:numId w:val="0"/>
        </w:numPr>
        <w:tabs>
          <w:tab w:val="clear" w:pos="567"/>
        </w:tabs>
        <w:spacing w:line="240" w:lineRule="auto"/>
        <w:rPr>
          <w:spacing w:val="-1"/>
        </w:rPr>
      </w:pPr>
      <w:r>
        <w:rPr>
          <w:spacing w:val="-1"/>
        </w:rPr>
        <w:t>Reacții alergice</w:t>
      </w:r>
    </w:p>
    <w:p w14:paraId="129CE579" w14:textId="77777777" w:rsidR="00C04CAD" w:rsidRDefault="00C04CAD">
      <w:pPr>
        <w:keepNext/>
        <w:numPr>
          <w:ilvl w:val="12"/>
          <w:numId w:val="0"/>
        </w:numPr>
        <w:tabs>
          <w:tab w:val="clear" w:pos="567"/>
        </w:tabs>
        <w:spacing w:line="240" w:lineRule="auto"/>
        <w:rPr>
          <w:spacing w:val="-1"/>
        </w:rPr>
      </w:pPr>
    </w:p>
    <w:p w14:paraId="281C1DF6"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t>acă p</w:t>
      </w:r>
      <w:r>
        <w:rPr>
          <w:spacing w:val="-2"/>
        </w:rPr>
        <w:t>r</w:t>
      </w:r>
      <w:r>
        <w:t>e</w:t>
      </w:r>
      <w:r>
        <w:rPr>
          <w:spacing w:val="-3"/>
        </w:rPr>
        <w:t>z</w:t>
      </w:r>
      <w:r>
        <w:t>en</w:t>
      </w:r>
      <w:r>
        <w:rPr>
          <w:spacing w:val="1"/>
        </w:rPr>
        <w:t>t</w:t>
      </w:r>
      <w:r>
        <w:rPr>
          <w:spacing w:val="-3"/>
        </w:rPr>
        <w:t>a</w:t>
      </w:r>
      <w:r>
        <w:rPr>
          <w:spacing w:val="1"/>
        </w:rPr>
        <w:t>ţ</w:t>
      </w:r>
      <w:r>
        <w:t>i</w:t>
      </w:r>
      <w:r>
        <w:rPr>
          <w:spacing w:val="-2"/>
        </w:rPr>
        <w:t xml:space="preserve"> </w:t>
      </w:r>
      <w:r>
        <w:t>r</w:t>
      </w:r>
      <w:r>
        <w:rPr>
          <w:spacing w:val="-3"/>
        </w:rPr>
        <w:t>e</w:t>
      </w:r>
      <w:r>
        <w:t>ac</w:t>
      </w:r>
      <w:r>
        <w:rPr>
          <w:spacing w:val="-2"/>
        </w:rPr>
        <w:t>ţi</w:t>
      </w:r>
      <w:r>
        <w:t>i</w:t>
      </w:r>
      <w:r>
        <w:rPr>
          <w:spacing w:val="1"/>
        </w:rPr>
        <w:t xml:space="preserve"> </w:t>
      </w:r>
      <w:r>
        <w:t>a</w:t>
      </w:r>
      <w:r>
        <w:rPr>
          <w:spacing w:val="-2"/>
        </w:rPr>
        <w:t>l</w:t>
      </w:r>
      <w:r>
        <w:t>e</w:t>
      </w:r>
      <w:r>
        <w:rPr>
          <w:spacing w:val="-2"/>
        </w:rPr>
        <w:t>r</w:t>
      </w:r>
      <w:r>
        <w:rPr>
          <w:spacing w:val="-3"/>
        </w:rPr>
        <w:t>g</w:t>
      </w:r>
      <w:r>
        <w:rPr>
          <w:spacing w:val="1"/>
        </w:rPr>
        <w:t>i</w:t>
      </w:r>
      <w:r>
        <w:t>ce s</w:t>
      </w:r>
      <w:r>
        <w:rPr>
          <w:spacing w:val="1"/>
        </w:rPr>
        <w:t>i</w:t>
      </w:r>
      <w:r>
        <w:rPr>
          <w:spacing w:val="-4"/>
        </w:rPr>
        <w:t>m</w:t>
      </w:r>
      <w:r>
        <w:t>p</w:t>
      </w:r>
      <w:r>
        <w:rPr>
          <w:spacing w:val="1"/>
        </w:rPr>
        <w:t>t</w:t>
      </w:r>
      <w:r>
        <w:t>o</w:t>
      </w:r>
      <w:r>
        <w:rPr>
          <w:spacing w:val="-4"/>
        </w:rPr>
        <w:t>m</w:t>
      </w:r>
      <w:r>
        <w:t>a</w:t>
      </w:r>
      <w:r>
        <w:rPr>
          <w:spacing w:val="1"/>
        </w:rPr>
        <w:t>ti</w:t>
      </w:r>
      <w:r>
        <w:t>ce</w:t>
      </w:r>
      <w:r>
        <w:rPr>
          <w:spacing w:val="-2"/>
        </w:rPr>
        <w:t xml:space="preserve"> </w:t>
      </w:r>
      <w:r>
        <w:t>p</w:t>
      </w:r>
      <w:r>
        <w:rPr>
          <w:spacing w:val="-2"/>
        </w:rPr>
        <w:t>r</w:t>
      </w:r>
      <w:r>
        <w:t>ecum</w:t>
      </w:r>
      <w:r>
        <w:rPr>
          <w:spacing w:val="-4"/>
        </w:rPr>
        <w:t xml:space="preserve"> </w:t>
      </w:r>
      <w:r>
        <w:t>pre</w:t>
      </w:r>
      <w:r>
        <w:rPr>
          <w:spacing w:val="-2"/>
        </w:rPr>
        <w:t>s</w:t>
      </w:r>
      <w:r>
        <w:rPr>
          <w:spacing w:val="1"/>
        </w:rPr>
        <w:t>i</w:t>
      </w:r>
      <w:r>
        <w:t>une</w:t>
      </w:r>
      <w:r>
        <w:rPr>
          <w:spacing w:val="-2"/>
        </w:rPr>
        <w:t xml:space="preserve"> </w:t>
      </w:r>
      <w:r>
        <w:rPr>
          <w:spacing w:val="1"/>
        </w:rPr>
        <w:t>t</w:t>
      </w:r>
      <w:r>
        <w:rPr>
          <w:spacing w:val="-3"/>
        </w:rPr>
        <w:t>o</w:t>
      </w:r>
      <w:r>
        <w:t>ra</w:t>
      </w:r>
      <w:r>
        <w:rPr>
          <w:spacing w:val="-3"/>
        </w:rPr>
        <w:t>c</w:t>
      </w:r>
      <w:r>
        <w:rPr>
          <w:spacing w:val="1"/>
        </w:rPr>
        <w:t>i</w:t>
      </w:r>
      <w:r>
        <w:t>c</w:t>
      </w:r>
      <w:r>
        <w:rPr>
          <w:spacing w:val="-3"/>
        </w:rPr>
        <w:t>ă</w:t>
      </w:r>
      <w:r>
        <w:t>, r</w:t>
      </w:r>
      <w:r>
        <w:rPr>
          <w:spacing w:val="-3"/>
        </w:rPr>
        <w:t>e</w:t>
      </w:r>
      <w:r>
        <w:t>sp</w:t>
      </w:r>
      <w:r>
        <w:rPr>
          <w:spacing w:val="-2"/>
        </w:rPr>
        <w:t>i</w:t>
      </w:r>
      <w:r>
        <w:t>r</w:t>
      </w:r>
      <w:r>
        <w:rPr>
          <w:spacing w:val="-3"/>
        </w:rPr>
        <w:t>a</w:t>
      </w:r>
      <w:r>
        <w:rPr>
          <w:spacing w:val="1"/>
        </w:rPr>
        <w:t>ţ</w:t>
      </w:r>
      <w:r>
        <w:rPr>
          <w:spacing w:val="-2"/>
        </w:rPr>
        <w:t>i</w:t>
      </w:r>
      <w:r>
        <w:t>e</w:t>
      </w:r>
      <w:r>
        <w:rPr>
          <w:spacing w:val="-2"/>
        </w:rPr>
        <w:t xml:space="preserve"> </w:t>
      </w:r>
      <w:r>
        <w:t>şu</w:t>
      </w:r>
      <w:r>
        <w:rPr>
          <w:spacing w:val="1"/>
        </w:rPr>
        <w:t>i</w:t>
      </w:r>
      <w:r>
        <w:rPr>
          <w:spacing w:val="-3"/>
        </w:rPr>
        <w:t>e</w:t>
      </w:r>
      <w:r>
        <w:t>r</w:t>
      </w:r>
      <w:r>
        <w:rPr>
          <w:spacing w:val="-3"/>
        </w:rPr>
        <w:t>ă</w:t>
      </w:r>
      <w:r>
        <w:rPr>
          <w:spacing w:val="1"/>
        </w:rPr>
        <w:t>t</w:t>
      </w:r>
      <w:r>
        <w:t>o</w:t>
      </w:r>
      <w:r>
        <w:rPr>
          <w:spacing w:val="-3"/>
        </w:rPr>
        <w:t>a</w:t>
      </w:r>
      <w:r>
        <w:t>re, a</w:t>
      </w:r>
      <w:r>
        <w:rPr>
          <w:spacing w:val="-4"/>
        </w:rPr>
        <w:t>m</w:t>
      </w:r>
      <w:r>
        <w:t>e</w:t>
      </w:r>
      <w:r>
        <w:rPr>
          <w:spacing w:val="1"/>
        </w:rPr>
        <w:t>ţ</w:t>
      </w:r>
      <w:r>
        <w:t>e</w:t>
      </w:r>
      <w:r>
        <w:rPr>
          <w:spacing w:val="1"/>
        </w:rPr>
        <w:t>li</w:t>
      </w:r>
      <w:r>
        <w:t>,</w:t>
      </w:r>
      <w:r>
        <w:rPr>
          <w:spacing w:val="-3"/>
        </w:rPr>
        <w:t xml:space="preserve"> </w:t>
      </w:r>
      <w:r>
        <w:t>ede</w:t>
      </w:r>
      <w:r>
        <w:rPr>
          <w:spacing w:val="-4"/>
        </w:rPr>
        <w:t>m</w:t>
      </w:r>
      <w:r>
        <w:t xml:space="preserve">e sau </w:t>
      </w:r>
      <w:r>
        <w:rPr>
          <w:spacing w:val="-3"/>
        </w:rPr>
        <w:t>e</w:t>
      </w:r>
      <w:r>
        <w:t>ru</w:t>
      </w:r>
      <w:r>
        <w:rPr>
          <w:spacing w:val="-3"/>
        </w:rPr>
        <w:t>p</w:t>
      </w:r>
      <w:r>
        <w:rPr>
          <w:spacing w:val="1"/>
        </w:rPr>
        <w:t>ţ</w:t>
      </w:r>
      <w:r>
        <w:rPr>
          <w:spacing w:val="-2"/>
        </w:rPr>
        <w:t>i</w:t>
      </w:r>
      <w:r>
        <w:t>i</w:t>
      </w:r>
      <w:r>
        <w:rPr>
          <w:spacing w:val="-2"/>
        </w:rPr>
        <w:t xml:space="preserve"> </w:t>
      </w:r>
      <w:r>
        <w:t>cu</w:t>
      </w:r>
      <w:r>
        <w:rPr>
          <w:spacing w:val="1"/>
        </w:rPr>
        <w:t>t</w:t>
      </w:r>
      <w:r>
        <w:t>a</w:t>
      </w:r>
      <w:r>
        <w:rPr>
          <w:spacing w:val="-3"/>
        </w:rPr>
        <w:t>n</w:t>
      </w:r>
      <w:r>
        <w:t>a</w:t>
      </w:r>
      <w:r>
        <w:rPr>
          <w:spacing w:val="-2"/>
        </w:rPr>
        <w:t>t</w:t>
      </w:r>
      <w:r>
        <w:t xml:space="preserve">e </w:t>
      </w:r>
      <w:r>
        <w:rPr>
          <w:spacing w:val="1"/>
        </w:rPr>
        <w:t>î</w:t>
      </w:r>
      <w:r>
        <w:rPr>
          <w:spacing w:val="-3"/>
        </w:rPr>
        <w:t>n</w:t>
      </w:r>
      <w:r>
        <w:rPr>
          <w:spacing w:val="1"/>
        </w:rPr>
        <w:t>t</w:t>
      </w:r>
      <w:r>
        <w:rPr>
          <w:spacing w:val="-2"/>
        </w:rPr>
        <w:t>r</w:t>
      </w:r>
      <w:r>
        <w:t>er</w:t>
      </w:r>
      <w:r>
        <w:rPr>
          <w:spacing w:val="-3"/>
        </w:rPr>
        <w:t>u</w:t>
      </w:r>
      <w:r>
        <w:t>pe</w:t>
      </w:r>
      <w:r>
        <w:rPr>
          <w:spacing w:val="-2"/>
        </w:rPr>
        <w:t>ţ</w:t>
      </w:r>
      <w:r>
        <w:t>i</w:t>
      </w:r>
      <w:r>
        <w:rPr>
          <w:spacing w:val="1"/>
        </w:rPr>
        <w:t xml:space="preserve"> </w:t>
      </w:r>
      <w:r>
        <w:rPr>
          <w:spacing w:val="-2"/>
        </w:rPr>
        <w:t>i</w:t>
      </w:r>
      <w:r>
        <w:rPr>
          <w:spacing w:val="-3"/>
        </w:rPr>
        <w:t>n</w:t>
      </w:r>
      <w:r>
        <w:rPr>
          <w:spacing w:val="1"/>
        </w:rPr>
        <w:t>j</w:t>
      </w:r>
      <w:r>
        <w:t>ec</w:t>
      </w:r>
      <w:r>
        <w:rPr>
          <w:spacing w:val="-2"/>
        </w:rPr>
        <w:t>ţ</w:t>
      </w:r>
      <w:r>
        <w:rPr>
          <w:spacing w:val="1"/>
        </w:rPr>
        <w:t>i</w:t>
      </w:r>
      <w:r>
        <w:rPr>
          <w:spacing w:val="-2"/>
        </w:rPr>
        <w:t>il</w:t>
      </w:r>
      <w:r>
        <w:t xml:space="preserve">e cu </w:t>
      </w:r>
      <w:r>
        <w:rPr>
          <w:spacing w:val="-1"/>
          <w:szCs w:val="22"/>
          <w:lang w:eastAsia="en-US" w:bidi="ar-SA"/>
        </w:rPr>
        <w:t>AMGEVITA</w:t>
      </w:r>
      <w:r>
        <w:t xml:space="preserve"> </w:t>
      </w:r>
      <w:r>
        <w:rPr>
          <w:spacing w:val="-2"/>
        </w:rPr>
        <w:t>ş</w:t>
      </w:r>
      <w:r>
        <w:t>i</w:t>
      </w:r>
      <w:r>
        <w:rPr>
          <w:spacing w:val="1"/>
        </w:rPr>
        <w:t xml:space="preserve"> </w:t>
      </w:r>
      <w:r>
        <w:t>a</w:t>
      </w:r>
      <w:r>
        <w:rPr>
          <w:spacing w:val="-3"/>
        </w:rPr>
        <w:t>d</w:t>
      </w:r>
      <w:r>
        <w:t>r</w:t>
      </w:r>
      <w:r>
        <w:rPr>
          <w:spacing w:val="-3"/>
        </w:rPr>
        <w:t>e</w:t>
      </w:r>
      <w:r>
        <w:t>sa</w:t>
      </w:r>
      <w:r>
        <w:rPr>
          <w:spacing w:val="-2"/>
        </w:rPr>
        <w:t>ţ</w:t>
      </w:r>
      <w:r>
        <w:t>i</w:t>
      </w:r>
      <w:r>
        <w:rPr>
          <w:spacing w:val="-4"/>
        </w:rPr>
        <w:t>-</w:t>
      </w:r>
      <w:r>
        <w:rPr>
          <w:spacing w:val="-3"/>
        </w:rPr>
        <w:t>v</w:t>
      </w:r>
      <w:r>
        <w:t xml:space="preserve">ă </w:t>
      </w:r>
      <w:r>
        <w:rPr>
          <w:spacing w:val="3"/>
        </w:rPr>
        <w:t>i</w:t>
      </w:r>
      <w:r>
        <w:rPr>
          <w:spacing w:val="-4"/>
        </w:rPr>
        <w:t>m</w:t>
      </w:r>
      <w:r>
        <w:t>ed</w:t>
      </w:r>
      <w:r>
        <w:rPr>
          <w:spacing w:val="1"/>
        </w:rPr>
        <w:t>i</w:t>
      </w:r>
      <w:r>
        <w:t xml:space="preserve">at </w:t>
      </w:r>
      <w:r>
        <w:rPr>
          <w:spacing w:val="-4"/>
        </w:rPr>
        <w:t>m</w:t>
      </w:r>
      <w:r>
        <w:t>ed</w:t>
      </w:r>
      <w:r>
        <w:rPr>
          <w:spacing w:val="1"/>
        </w:rPr>
        <w:t>i</w:t>
      </w:r>
      <w:r>
        <w:t>cu</w:t>
      </w:r>
      <w:r>
        <w:rPr>
          <w:spacing w:val="1"/>
        </w:rPr>
        <w:t>l</w:t>
      </w:r>
      <w:r>
        <w:t>ui</w:t>
      </w:r>
      <w:r>
        <w:rPr>
          <w:spacing w:val="-2"/>
        </w:rPr>
        <w:t xml:space="preserve"> </w:t>
      </w:r>
      <w:r>
        <w:t>du</w:t>
      </w:r>
      <w:r>
        <w:rPr>
          <w:spacing w:val="-4"/>
        </w:rPr>
        <w:t>m</w:t>
      </w:r>
      <w:r>
        <w:t>nea</w:t>
      </w:r>
      <w:r>
        <w:rPr>
          <w:spacing w:val="-3"/>
        </w:rPr>
        <w:t>v</w:t>
      </w:r>
      <w:r>
        <w:t>oas</w:t>
      </w:r>
      <w:r>
        <w:rPr>
          <w:spacing w:val="1"/>
        </w:rPr>
        <w:t>t</w:t>
      </w:r>
      <w:r>
        <w:rPr>
          <w:spacing w:val="-2"/>
        </w:rPr>
        <w:t>r</w:t>
      </w:r>
      <w:r>
        <w:t>ă deoarece, în cazuri rare, aceste reacții adverse pot pune viața în pericol.</w:t>
      </w:r>
    </w:p>
    <w:p w14:paraId="59B63963"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3EC46EB2" w14:textId="77777777" w:rsidR="00C04CAD" w:rsidRDefault="00060E34">
      <w:pPr>
        <w:pStyle w:val="ListParagraph"/>
        <w:tabs>
          <w:tab w:val="clear" w:pos="567"/>
        </w:tabs>
        <w:kinsoku w:val="0"/>
        <w:overflowPunct w:val="0"/>
        <w:autoSpaceDE w:val="0"/>
        <w:autoSpaceDN w:val="0"/>
        <w:adjustRightInd w:val="0"/>
        <w:spacing w:line="240" w:lineRule="auto"/>
        <w:ind w:left="0"/>
      </w:pPr>
      <w:r>
        <w:t>Infecții</w:t>
      </w:r>
    </w:p>
    <w:p w14:paraId="10D77371" w14:textId="77777777" w:rsidR="00C04CAD" w:rsidRDefault="00C04CAD">
      <w:pPr>
        <w:tabs>
          <w:tab w:val="clear" w:pos="567"/>
        </w:tabs>
        <w:kinsoku w:val="0"/>
        <w:overflowPunct w:val="0"/>
        <w:autoSpaceDE w:val="0"/>
        <w:autoSpaceDN w:val="0"/>
        <w:adjustRightInd w:val="0"/>
        <w:spacing w:line="240" w:lineRule="auto"/>
      </w:pPr>
    </w:p>
    <w:p w14:paraId="3474622F"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t>acă a</w:t>
      </w:r>
      <w:r>
        <w:rPr>
          <w:spacing w:val="-3"/>
        </w:rPr>
        <w:t>v</w:t>
      </w:r>
      <w:r>
        <w:t>e</w:t>
      </w:r>
      <w:r>
        <w:rPr>
          <w:spacing w:val="-2"/>
        </w:rPr>
        <w:t>ţ</w:t>
      </w:r>
      <w:r>
        <w:t>i</w:t>
      </w:r>
      <w:r>
        <w:rPr>
          <w:spacing w:val="1"/>
        </w:rPr>
        <w:t xml:space="preserve"> </w:t>
      </w:r>
      <w:r>
        <w:t>o</w:t>
      </w:r>
      <w:r>
        <w:rPr>
          <w:spacing w:val="-3"/>
        </w:rPr>
        <w:t xml:space="preserve"> </w:t>
      </w:r>
      <w:r>
        <w:rPr>
          <w:spacing w:val="1"/>
        </w:rPr>
        <w:t>i</w:t>
      </w:r>
      <w:r>
        <w:t>nf</w:t>
      </w:r>
      <w:r>
        <w:rPr>
          <w:spacing w:val="-3"/>
        </w:rPr>
        <w:t>e</w:t>
      </w:r>
      <w:r>
        <w:t>c</w:t>
      </w:r>
      <w:r>
        <w:rPr>
          <w:spacing w:val="-2"/>
        </w:rPr>
        <w:t>ţ</w:t>
      </w:r>
      <w:r>
        <w:rPr>
          <w:spacing w:val="1"/>
        </w:rPr>
        <w:t>i</w:t>
      </w:r>
      <w:r>
        <w:t>e,</w:t>
      </w:r>
      <w:r>
        <w:rPr>
          <w:spacing w:val="-3"/>
        </w:rPr>
        <w:t xml:space="preserve"> </w:t>
      </w:r>
      <w:r>
        <w:rPr>
          <w:spacing w:val="1"/>
        </w:rPr>
        <w:t>i</w:t>
      </w:r>
      <w:r>
        <w:t>n</w:t>
      </w:r>
      <w:r>
        <w:rPr>
          <w:spacing w:val="-3"/>
        </w:rPr>
        <w:t>c</w:t>
      </w:r>
      <w:r>
        <w:rPr>
          <w:spacing w:val="1"/>
        </w:rPr>
        <w:t>l</w:t>
      </w:r>
      <w:r>
        <w:t>u</w:t>
      </w:r>
      <w:r>
        <w:rPr>
          <w:spacing w:val="-2"/>
        </w:rPr>
        <w:t>s</w:t>
      </w:r>
      <w:r>
        <w:rPr>
          <w:spacing w:val="1"/>
        </w:rPr>
        <w:t>i</w:t>
      </w:r>
      <w:r>
        <w:t>v</w:t>
      </w:r>
      <w:r>
        <w:rPr>
          <w:spacing w:val="-3"/>
        </w:rPr>
        <w:t xml:space="preserve"> </w:t>
      </w:r>
      <w:r>
        <w:t xml:space="preserve">o </w:t>
      </w:r>
      <w:r>
        <w:rPr>
          <w:spacing w:val="1"/>
        </w:rPr>
        <w:t>i</w:t>
      </w:r>
      <w:r>
        <w:t>nf</w:t>
      </w:r>
      <w:r>
        <w:rPr>
          <w:spacing w:val="-3"/>
        </w:rPr>
        <w:t>e</w:t>
      </w:r>
      <w:r>
        <w:t>c</w:t>
      </w:r>
      <w:r>
        <w:rPr>
          <w:spacing w:val="-2"/>
        </w:rPr>
        <w:t>ţ</w:t>
      </w:r>
      <w:r>
        <w:rPr>
          <w:spacing w:val="1"/>
        </w:rPr>
        <w:t>i</w:t>
      </w:r>
      <w:r>
        <w:t xml:space="preserve">e </w:t>
      </w:r>
      <w:r>
        <w:rPr>
          <w:spacing w:val="-3"/>
        </w:rPr>
        <w:t>d</w:t>
      </w:r>
      <w:r>
        <w:t xml:space="preserve">e </w:t>
      </w:r>
      <w:r>
        <w:rPr>
          <w:spacing w:val="-2"/>
        </w:rPr>
        <w:t>l</w:t>
      </w:r>
      <w:r>
        <w:t>un</w:t>
      </w:r>
      <w:r>
        <w:rPr>
          <w:spacing w:val="-3"/>
        </w:rPr>
        <w:t>g</w:t>
      </w:r>
      <w:r>
        <w:t>ă dur</w:t>
      </w:r>
      <w:r>
        <w:rPr>
          <w:spacing w:val="-3"/>
        </w:rPr>
        <w:t>a</w:t>
      </w:r>
      <w:r>
        <w:rPr>
          <w:spacing w:val="-2"/>
        </w:rPr>
        <w:t>t</w:t>
      </w:r>
      <w:r>
        <w:t xml:space="preserve">ă sau </w:t>
      </w:r>
      <w:r>
        <w:rPr>
          <w:spacing w:val="-3"/>
        </w:rPr>
        <w:t>u</w:t>
      </w:r>
      <w:r>
        <w:t>na</w:t>
      </w:r>
      <w:r>
        <w:rPr>
          <w:spacing w:val="-2"/>
        </w:rPr>
        <w:t xml:space="preserve"> </w:t>
      </w:r>
      <w:r>
        <w:rPr>
          <w:spacing w:val="1"/>
        </w:rPr>
        <w:t>l</w:t>
      </w:r>
      <w:r>
        <w:t>oc</w:t>
      </w:r>
      <w:r>
        <w:rPr>
          <w:spacing w:val="-3"/>
        </w:rPr>
        <w:t>a</w:t>
      </w:r>
      <w:r>
        <w:rPr>
          <w:spacing w:val="1"/>
        </w:rPr>
        <w:t>li</w:t>
      </w:r>
      <w:r>
        <w:rPr>
          <w:spacing w:val="-3"/>
        </w:rPr>
        <w:t>za</w:t>
      </w:r>
      <w:r>
        <w:rPr>
          <w:spacing w:val="1"/>
        </w:rPr>
        <w:t>t</w:t>
      </w:r>
      <w:r>
        <w:t xml:space="preserve">ă </w:t>
      </w:r>
      <w:r>
        <w:rPr>
          <w:spacing w:val="-2"/>
        </w:rPr>
        <w:t>(</w:t>
      </w:r>
      <w:r>
        <w:t>de e</w:t>
      </w:r>
      <w:r>
        <w:rPr>
          <w:spacing w:val="-3"/>
        </w:rPr>
        <w:t>xe</w:t>
      </w:r>
      <w:r>
        <w:rPr>
          <w:spacing w:val="-4"/>
        </w:rPr>
        <w:t>m</w:t>
      </w:r>
      <w:r>
        <w:t>p</w:t>
      </w:r>
      <w:r>
        <w:rPr>
          <w:spacing w:val="1"/>
        </w:rPr>
        <w:t>l</w:t>
      </w:r>
      <w:r>
        <w:t>u, o u</w:t>
      </w:r>
      <w:r>
        <w:rPr>
          <w:spacing w:val="1"/>
        </w:rPr>
        <w:t>l</w:t>
      </w:r>
      <w:r>
        <w:t>c</w:t>
      </w:r>
      <w:r>
        <w:rPr>
          <w:spacing w:val="-3"/>
        </w:rPr>
        <w:t>e</w:t>
      </w:r>
      <w:r>
        <w:t>r</w:t>
      </w:r>
      <w:r>
        <w:rPr>
          <w:spacing w:val="-3"/>
        </w:rPr>
        <w:t>a</w:t>
      </w:r>
      <w:r>
        <w:rPr>
          <w:spacing w:val="1"/>
        </w:rPr>
        <w:t>ţi</w:t>
      </w:r>
      <w:r>
        <w:t>e</w:t>
      </w:r>
      <w:r>
        <w:rPr>
          <w:spacing w:val="-2"/>
        </w:rPr>
        <w:t xml:space="preserve"> </w:t>
      </w:r>
      <w:r>
        <w:t xml:space="preserve">a </w:t>
      </w:r>
      <w:r>
        <w:rPr>
          <w:spacing w:val="-4"/>
        </w:rPr>
        <w:t>m</w:t>
      </w:r>
      <w:r>
        <w:t>e</w:t>
      </w:r>
      <w:r>
        <w:rPr>
          <w:spacing w:val="-4"/>
        </w:rPr>
        <w:t>m</w:t>
      </w:r>
      <w:r>
        <w:t>bru</w:t>
      </w:r>
      <w:r>
        <w:rPr>
          <w:spacing w:val="1"/>
        </w:rPr>
        <w:t>l</w:t>
      </w:r>
      <w:r>
        <w:t>ui</w:t>
      </w:r>
      <w:r>
        <w:rPr>
          <w:spacing w:val="1"/>
        </w:rPr>
        <w:t xml:space="preserve"> i</w:t>
      </w:r>
      <w:r>
        <w:rPr>
          <w:spacing w:val="-3"/>
        </w:rPr>
        <w:t>n</w:t>
      </w:r>
      <w:r>
        <w:t>f</w:t>
      </w:r>
      <w:r>
        <w:rPr>
          <w:spacing w:val="-3"/>
        </w:rPr>
        <w:t>e</w:t>
      </w:r>
      <w:r>
        <w:rPr>
          <w:spacing w:val="-2"/>
        </w:rPr>
        <w:t>r</w:t>
      </w:r>
      <w:r>
        <w:rPr>
          <w:spacing w:val="1"/>
        </w:rPr>
        <w:t>i</w:t>
      </w:r>
      <w:r>
        <w:t>o</w:t>
      </w:r>
      <w:r>
        <w:rPr>
          <w:spacing w:val="-2"/>
        </w:rPr>
        <w:t>r</w:t>
      </w:r>
      <w:r>
        <w:t>)</w:t>
      </w:r>
      <w:r>
        <w:rPr>
          <w:spacing w:val="1"/>
        </w:rPr>
        <w:t xml:space="preserve"> </w:t>
      </w:r>
      <w:r>
        <w:t>sp</w:t>
      </w:r>
      <w:r>
        <w:rPr>
          <w:spacing w:val="-3"/>
        </w:rPr>
        <w:t>u</w:t>
      </w:r>
      <w:r>
        <w:t>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2"/>
        </w:rPr>
        <w:t>m</w:t>
      </w:r>
      <w:r>
        <w:t>nea</w:t>
      </w:r>
      <w:r>
        <w:rPr>
          <w:spacing w:val="-3"/>
        </w:rPr>
        <w:t>v</w:t>
      </w:r>
      <w:r>
        <w:t>oas</w:t>
      </w:r>
      <w:r>
        <w:rPr>
          <w:spacing w:val="-2"/>
        </w:rPr>
        <w:t>t</w:t>
      </w:r>
      <w:r>
        <w:t>ră</w:t>
      </w:r>
      <w:r>
        <w:rPr>
          <w:spacing w:val="-2"/>
        </w:rPr>
        <w:t xml:space="preserve"> </w:t>
      </w:r>
      <w:r>
        <w:rPr>
          <w:spacing w:val="1"/>
        </w:rPr>
        <w:t>î</w:t>
      </w:r>
      <w:r>
        <w:t>n</w:t>
      </w:r>
      <w:r>
        <w:rPr>
          <w:spacing w:val="-3"/>
        </w:rPr>
        <w:t>a</w:t>
      </w:r>
      <w:r>
        <w:rPr>
          <w:spacing w:val="1"/>
        </w:rPr>
        <w:t>i</w:t>
      </w:r>
      <w:r>
        <w:t>n</w:t>
      </w:r>
      <w:r>
        <w:rPr>
          <w:spacing w:val="-2"/>
        </w:rPr>
        <w:t>t</w:t>
      </w:r>
      <w:r>
        <w:t>e de</w:t>
      </w:r>
      <w:r>
        <w:rPr>
          <w:spacing w:val="-2"/>
        </w:rPr>
        <w:t xml:space="preserve"> </w:t>
      </w:r>
      <w:r>
        <w:t xml:space="preserve">a </w:t>
      </w:r>
      <w:r>
        <w:rPr>
          <w:spacing w:val="1"/>
        </w:rPr>
        <w:t>î</w:t>
      </w:r>
      <w:r>
        <w:rPr>
          <w:spacing w:val="-3"/>
        </w:rPr>
        <w:t>n</w:t>
      </w:r>
      <w:r>
        <w:t>c</w:t>
      </w:r>
      <w:r>
        <w:rPr>
          <w:spacing w:val="-3"/>
        </w:rPr>
        <w:t>e</w:t>
      </w:r>
      <w:r>
        <w:t>pe să</w:t>
      </w:r>
      <w:r>
        <w:rPr>
          <w:spacing w:val="-2"/>
        </w:rPr>
        <w:t xml:space="preserve"> </w:t>
      </w:r>
      <w:r>
        <w:rPr>
          <w:spacing w:val="1"/>
        </w:rPr>
        <w:t>l</w:t>
      </w:r>
      <w:r>
        <w:t>u</w:t>
      </w:r>
      <w:r>
        <w:rPr>
          <w:spacing w:val="-3"/>
        </w:rPr>
        <w:t>a</w:t>
      </w:r>
      <w:r>
        <w:rPr>
          <w:spacing w:val="1"/>
        </w:rPr>
        <w:t>ţ</w:t>
      </w:r>
      <w:r>
        <w:t xml:space="preserve">i </w:t>
      </w:r>
      <w:r>
        <w:rPr>
          <w:spacing w:val="-1"/>
          <w:szCs w:val="22"/>
          <w:lang w:eastAsia="en-US" w:bidi="ar-SA"/>
        </w:rPr>
        <w:t>AMGEVITA</w:t>
      </w:r>
      <w:r>
        <w:t xml:space="preserve">. </w:t>
      </w:r>
      <w:r>
        <w:rPr>
          <w:spacing w:val="-1"/>
        </w:rPr>
        <w:t>D</w:t>
      </w:r>
      <w:r>
        <w:t>acă nu</w:t>
      </w:r>
      <w:r>
        <w:rPr>
          <w:spacing w:val="-3"/>
        </w:rPr>
        <w:t xml:space="preserve"> </w:t>
      </w:r>
      <w:r>
        <w:t>su</w:t>
      </w:r>
      <w:r>
        <w:rPr>
          <w:spacing w:val="-3"/>
        </w:rPr>
        <w:t>n</w:t>
      </w:r>
      <w:r>
        <w:rPr>
          <w:spacing w:val="1"/>
        </w:rPr>
        <w:t>t</w:t>
      </w:r>
      <w:r>
        <w:t>e</w:t>
      </w:r>
      <w:r>
        <w:rPr>
          <w:spacing w:val="-2"/>
        </w:rPr>
        <w:t>ţ</w:t>
      </w:r>
      <w:r>
        <w:t>i</w:t>
      </w:r>
      <w:r>
        <w:rPr>
          <w:spacing w:val="1"/>
        </w:rPr>
        <w:t xml:space="preserve"> </w:t>
      </w:r>
      <w:r>
        <w:rPr>
          <w:spacing w:val="-2"/>
        </w:rPr>
        <w:t>si</w:t>
      </w:r>
      <w:r>
        <w:rPr>
          <w:spacing w:val="-3"/>
        </w:rPr>
        <w:t>g</w:t>
      </w:r>
      <w:r>
        <w:t>ur, con</w:t>
      </w:r>
      <w:r>
        <w:rPr>
          <w:spacing w:val="1"/>
        </w:rPr>
        <w:t>t</w:t>
      </w:r>
      <w:r>
        <w:t>ac</w:t>
      </w:r>
      <w:r>
        <w:rPr>
          <w:spacing w:val="-2"/>
        </w:rPr>
        <w:t>t</w:t>
      </w:r>
      <w:r>
        <w:t>a</w:t>
      </w:r>
      <w:r>
        <w:rPr>
          <w:spacing w:val="-2"/>
        </w:rPr>
        <w:t>ţ</w:t>
      </w:r>
      <w:r>
        <w:t>i-l</w:t>
      </w:r>
      <w:r>
        <w:rPr>
          <w:spacing w:val="1"/>
        </w:rPr>
        <w:t xml:space="preserve"> </w:t>
      </w:r>
      <w:r>
        <w:t xml:space="preserve">pe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tr</w:t>
      </w:r>
      <w:r>
        <w:t>ă.</w:t>
      </w:r>
    </w:p>
    <w:p w14:paraId="6FE77E63"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P</w:t>
      </w:r>
      <w:r>
        <w:t>u</w:t>
      </w:r>
      <w:r>
        <w:rPr>
          <w:spacing w:val="1"/>
        </w:rPr>
        <w:t>t</w:t>
      </w:r>
      <w:r>
        <w:rPr>
          <w:spacing w:val="-3"/>
        </w:rPr>
        <w:t>e</w:t>
      </w:r>
      <w:r>
        <w:rPr>
          <w:spacing w:val="1"/>
        </w:rPr>
        <w:t>ţ</w:t>
      </w:r>
      <w:r>
        <w:t>i</w:t>
      </w:r>
      <w:r>
        <w:rPr>
          <w:spacing w:val="-2"/>
        </w:rPr>
        <w:t xml:space="preserve"> </w:t>
      </w:r>
      <w:r>
        <w:t>fa</w:t>
      </w:r>
      <w:r>
        <w:rPr>
          <w:spacing w:val="-3"/>
        </w:rPr>
        <w:t>c</w:t>
      </w:r>
      <w:r>
        <w:t xml:space="preserve">e </w:t>
      </w:r>
      <w:r>
        <w:rPr>
          <w:spacing w:val="-4"/>
        </w:rPr>
        <w:t>m</w:t>
      </w:r>
      <w:r>
        <w:t>ai</w:t>
      </w:r>
      <w:r>
        <w:rPr>
          <w:spacing w:val="1"/>
        </w:rPr>
        <w:t xml:space="preserve"> </w:t>
      </w:r>
      <w:r>
        <w:t>uşor</w:t>
      </w:r>
      <w:r>
        <w:rPr>
          <w:spacing w:val="-2"/>
        </w:rPr>
        <w:t xml:space="preserve"> </w:t>
      </w:r>
      <w:r>
        <w:rPr>
          <w:spacing w:val="1"/>
        </w:rPr>
        <w:t>i</w:t>
      </w:r>
      <w:r>
        <w:rPr>
          <w:spacing w:val="-3"/>
        </w:rPr>
        <w:t>n</w:t>
      </w:r>
      <w:r>
        <w:t>fe</w:t>
      </w:r>
      <w:r>
        <w:rPr>
          <w:spacing w:val="-3"/>
        </w:rPr>
        <w:t>c</w:t>
      </w:r>
      <w:r>
        <w:rPr>
          <w:spacing w:val="1"/>
        </w:rPr>
        <w:t>ţ</w:t>
      </w:r>
      <w:r>
        <w:rPr>
          <w:spacing w:val="-2"/>
        </w:rPr>
        <w:t>i</w:t>
      </w:r>
      <w:r>
        <w:t>i</w:t>
      </w:r>
      <w:r>
        <w:rPr>
          <w:spacing w:val="-2"/>
        </w:rPr>
        <w:t xml:space="preserve"> </w:t>
      </w:r>
      <w:r>
        <w:rPr>
          <w:spacing w:val="1"/>
        </w:rPr>
        <w:t>î</w:t>
      </w:r>
      <w:r>
        <w:t xml:space="preserve">n </w:t>
      </w:r>
      <w:r>
        <w:rPr>
          <w:spacing w:val="-2"/>
        </w:rPr>
        <w:t>t</w:t>
      </w:r>
      <w:r>
        <w:rPr>
          <w:spacing w:val="1"/>
        </w:rPr>
        <w:t>i</w:t>
      </w:r>
      <w:r>
        <w:rPr>
          <w:spacing w:val="-4"/>
        </w:rPr>
        <w:t>m</w:t>
      </w:r>
      <w:r>
        <w:t>pul</w:t>
      </w:r>
      <w:r>
        <w:rPr>
          <w:spacing w:val="1"/>
        </w:rPr>
        <w:t xml:space="preserve"> </w:t>
      </w:r>
      <w:r>
        <w:rPr>
          <w:spacing w:val="-2"/>
        </w:rPr>
        <w:t>t</w:t>
      </w:r>
      <w:r>
        <w:t>ra</w:t>
      </w:r>
      <w:r>
        <w:rPr>
          <w:spacing w:val="-2"/>
        </w:rPr>
        <w:t>t</w:t>
      </w:r>
      <w:r>
        <w:t>a</w:t>
      </w:r>
      <w:r>
        <w:rPr>
          <w:spacing w:val="-4"/>
        </w:rPr>
        <w:t>m</w:t>
      </w:r>
      <w:r>
        <w:t>en</w:t>
      </w:r>
      <w:r>
        <w:rPr>
          <w:spacing w:val="1"/>
        </w:rPr>
        <w:t>t</w:t>
      </w:r>
      <w:r>
        <w:t>u</w:t>
      </w:r>
      <w:r>
        <w:rPr>
          <w:spacing w:val="1"/>
        </w:rPr>
        <w:t>l</w:t>
      </w:r>
      <w:r>
        <w:rPr>
          <w:spacing w:val="-3"/>
        </w:rPr>
        <w:t>u</w:t>
      </w:r>
      <w:r>
        <w:t>i</w:t>
      </w:r>
      <w:r>
        <w:rPr>
          <w:spacing w:val="1"/>
        </w:rPr>
        <w:t xml:space="preserve"> </w:t>
      </w:r>
      <w:r>
        <w:t>cu</w:t>
      </w:r>
      <w:r>
        <w:rPr>
          <w:spacing w:val="-3"/>
        </w:rPr>
        <w:t xml:space="preserve"> </w:t>
      </w:r>
      <w:r>
        <w:rPr>
          <w:spacing w:val="-1"/>
          <w:szCs w:val="22"/>
          <w:lang w:eastAsia="en-US" w:bidi="ar-SA"/>
        </w:rPr>
        <w:t>AMGEVITA</w:t>
      </w:r>
      <w:r>
        <w:rPr>
          <w:szCs w:val="22"/>
          <w:lang w:eastAsia="en-US" w:bidi="ar-SA"/>
        </w:rPr>
        <w:t xml:space="preserve">. Acest risc poate creşte </w:t>
      </w:r>
      <w:r>
        <w:rPr>
          <w:spacing w:val="-1"/>
          <w:szCs w:val="22"/>
          <w:lang w:eastAsia="en-US" w:bidi="ar-SA"/>
        </w:rPr>
        <w:t>d</w:t>
      </w:r>
      <w:r>
        <w:rPr>
          <w:szCs w:val="22"/>
          <w:lang w:eastAsia="en-US" w:bidi="ar-SA"/>
        </w:rPr>
        <w:t>acă</w:t>
      </w:r>
      <w:r>
        <w:t xml:space="preserve"> </w:t>
      </w:r>
      <w:r>
        <w:rPr>
          <w:spacing w:val="-2"/>
        </w:rPr>
        <w:t>f</w:t>
      </w:r>
      <w:r>
        <w:t>un</w:t>
      </w:r>
      <w:r>
        <w:rPr>
          <w:spacing w:val="-3"/>
        </w:rPr>
        <w:t>c</w:t>
      </w:r>
      <w:r>
        <w:rPr>
          <w:spacing w:val="1"/>
        </w:rPr>
        <w:t>ţi</w:t>
      </w:r>
      <w:r>
        <w:t>a</w:t>
      </w:r>
      <w:r>
        <w:rPr>
          <w:spacing w:val="-2"/>
        </w:rPr>
        <w:t xml:space="preserve"> </w:t>
      </w:r>
      <w:r>
        <w:t>p</w:t>
      </w:r>
      <w:r>
        <w:rPr>
          <w:spacing w:val="-2"/>
        </w:rPr>
        <w:t>l</w:t>
      </w:r>
      <w:r>
        <w:t>ă</w:t>
      </w:r>
      <w:r>
        <w:rPr>
          <w:spacing w:val="-2"/>
        </w:rPr>
        <w:t>m</w:t>
      </w:r>
      <w:r>
        <w:t>ân</w:t>
      </w:r>
      <w:r>
        <w:rPr>
          <w:spacing w:val="-2"/>
        </w:rPr>
        <w:t>i</w:t>
      </w:r>
      <w:r>
        <w:rPr>
          <w:spacing w:val="1"/>
        </w:rPr>
        <w:t>l</w:t>
      </w:r>
      <w:r>
        <w:t>or du</w:t>
      </w:r>
      <w:r>
        <w:rPr>
          <w:spacing w:val="-4"/>
        </w:rPr>
        <w:t>m</w:t>
      </w:r>
      <w:r>
        <w:t>nea</w:t>
      </w:r>
      <w:r>
        <w:rPr>
          <w:spacing w:val="-3"/>
        </w:rPr>
        <w:t>v</w:t>
      </w:r>
      <w:r>
        <w:t>oas</w:t>
      </w:r>
      <w:r>
        <w:rPr>
          <w:spacing w:val="1"/>
        </w:rPr>
        <w:t>t</w:t>
      </w:r>
      <w:r>
        <w:t xml:space="preserve">ră </w:t>
      </w:r>
      <w:r>
        <w:rPr>
          <w:spacing w:val="-3"/>
        </w:rPr>
        <w:t>e</w:t>
      </w:r>
      <w:r>
        <w:t>s</w:t>
      </w:r>
      <w:r>
        <w:rPr>
          <w:spacing w:val="-2"/>
        </w:rPr>
        <w:t>t</w:t>
      </w:r>
      <w:r>
        <w:t>e a</w:t>
      </w:r>
      <w:r>
        <w:rPr>
          <w:spacing w:val="-2"/>
        </w:rPr>
        <w:t>f</w:t>
      </w:r>
      <w:r>
        <w:t>e</w:t>
      </w:r>
      <w:r>
        <w:rPr>
          <w:spacing w:val="-3"/>
        </w:rPr>
        <w:t>c</w:t>
      </w:r>
      <w:r>
        <w:rPr>
          <w:spacing w:val="1"/>
        </w:rPr>
        <w:t>t</w:t>
      </w:r>
      <w:r>
        <w:t>a</w:t>
      </w:r>
      <w:r>
        <w:rPr>
          <w:spacing w:val="-2"/>
        </w:rPr>
        <w:t>t</w:t>
      </w:r>
      <w:r>
        <w:t>ă</w:t>
      </w:r>
      <w:r>
        <w:rPr>
          <w:szCs w:val="22"/>
          <w:lang w:eastAsia="en-US" w:bidi="ar-SA"/>
        </w:rPr>
        <w:t>.</w:t>
      </w:r>
      <w:r>
        <w:rPr>
          <w:spacing w:val="-1"/>
        </w:rPr>
        <w:t xml:space="preserve"> </w:t>
      </w:r>
      <w:r>
        <w:rPr>
          <w:spacing w:val="-4"/>
        </w:rPr>
        <w:t>A</w:t>
      </w:r>
      <w:r>
        <w:t>ce</w:t>
      </w:r>
      <w:r>
        <w:rPr>
          <w:spacing w:val="-2"/>
        </w:rPr>
        <w:t>s</w:t>
      </w:r>
      <w:r>
        <w:rPr>
          <w:spacing w:val="1"/>
        </w:rPr>
        <w:t>t</w:t>
      </w:r>
      <w:r>
        <w:t>e</w:t>
      </w:r>
      <w:r>
        <w:rPr>
          <w:spacing w:val="-2"/>
        </w:rPr>
        <w:t xml:space="preserve"> i</w:t>
      </w:r>
      <w:r>
        <w:t>nfe</w:t>
      </w:r>
      <w:r>
        <w:rPr>
          <w:spacing w:val="-3"/>
        </w:rPr>
        <w:t>c</w:t>
      </w:r>
      <w:r>
        <w:rPr>
          <w:spacing w:val="1"/>
        </w:rPr>
        <w:t>ţ</w:t>
      </w:r>
      <w:r>
        <w:rPr>
          <w:spacing w:val="-2"/>
        </w:rPr>
        <w:t>i</w:t>
      </w:r>
      <w:r>
        <w:t>i</w:t>
      </w:r>
      <w:r>
        <w:rPr>
          <w:spacing w:val="1"/>
        </w:rPr>
        <w:t xml:space="preserve"> </w:t>
      </w:r>
      <w:r>
        <w:t>p</w:t>
      </w:r>
      <w:r>
        <w:rPr>
          <w:spacing w:val="-3"/>
        </w:rPr>
        <w:t>o</w:t>
      </w:r>
      <w:r>
        <w:t>t</w:t>
      </w:r>
      <w:r>
        <w:rPr>
          <w:spacing w:val="1"/>
        </w:rPr>
        <w:t xml:space="preserve"> </w:t>
      </w:r>
      <w:r>
        <w:rPr>
          <w:spacing w:val="-2"/>
        </w:rPr>
        <w:t>f</w:t>
      </w:r>
      <w:r>
        <w:t>i</w:t>
      </w:r>
      <w:r>
        <w:rPr>
          <w:spacing w:val="1"/>
        </w:rPr>
        <w:t xml:space="preserve"> </w:t>
      </w:r>
      <w:r>
        <w:rPr>
          <w:spacing w:val="-2"/>
          <w:szCs w:val="22"/>
          <w:lang w:eastAsia="en-US" w:bidi="ar-SA"/>
        </w:rPr>
        <w:t>grave</w:t>
      </w:r>
      <w:r>
        <w:rPr>
          <w:spacing w:val="-3"/>
          <w:szCs w:val="22"/>
          <w:lang w:eastAsia="en-US" w:bidi="ar-SA"/>
        </w:rPr>
        <w:t xml:space="preserve"> şi </w:t>
      </w:r>
      <w:r>
        <w:rPr>
          <w:spacing w:val="1"/>
          <w:szCs w:val="22"/>
          <w:lang w:eastAsia="en-US" w:bidi="ar-SA"/>
        </w:rPr>
        <w:t>i</w:t>
      </w:r>
      <w:r>
        <w:rPr>
          <w:szCs w:val="22"/>
          <w:lang w:eastAsia="en-US" w:bidi="ar-SA"/>
        </w:rPr>
        <w:t>n</w:t>
      </w:r>
      <w:r>
        <w:rPr>
          <w:spacing w:val="-3"/>
          <w:szCs w:val="22"/>
          <w:lang w:eastAsia="en-US" w:bidi="ar-SA"/>
        </w:rPr>
        <w:t>c</w:t>
      </w:r>
      <w:r>
        <w:rPr>
          <w:spacing w:val="1"/>
          <w:szCs w:val="22"/>
          <w:lang w:eastAsia="en-US" w:bidi="ar-SA"/>
        </w:rPr>
        <w:t>l</w:t>
      </w:r>
      <w:r>
        <w:rPr>
          <w:szCs w:val="22"/>
          <w:lang w:eastAsia="en-US" w:bidi="ar-SA"/>
        </w:rPr>
        <w:t>ud</w:t>
      </w:r>
      <w:r>
        <w:rPr>
          <w:spacing w:val="-3"/>
        </w:rPr>
        <w:t xml:space="preserve"> </w:t>
      </w:r>
      <w:r>
        <w:rPr>
          <w:spacing w:val="1"/>
        </w:rPr>
        <w:t>t</w:t>
      </w:r>
      <w:r>
        <w:t>uberc</w:t>
      </w:r>
      <w:r>
        <w:rPr>
          <w:spacing w:val="-3"/>
        </w:rPr>
        <w:t>u</w:t>
      </w:r>
      <w:r>
        <w:rPr>
          <w:spacing w:val="1"/>
        </w:rPr>
        <w:t>l</w:t>
      </w:r>
      <w:r>
        <w:t>o</w:t>
      </w:r>
      <w:r>
        <w:rPr>
          <w:spacing w:val="-3"/>
        </w:rPr>
        <w:t>z</w:t>
      </w:r>
      <w:r>
        <w:t xml:space="preserve">ă, </w:t>
      </w:r>
      <w:r>
        <w:rPr>
          <w:spacing w:val="1"/>
        </w:rPr>
        <w:t>i</w:t>
      </w:r>
      <w:r>
        <w:t>nf</w:t>
      </w:r>
      <w:r>
        <w:rPr>
          <w:spacing w:val="-3"/>
        </w:rPr>
        <w:t>e</w:t>
      </w:r>
      <w:r>
        <w:t>c</w:t>
      </w:r>
      <w:r>
        <w:rPr>
          <w:spacing w:val="-2"/>
        </w:rPr>
        <w:t>ţ</w:t>
      </w:r>
      <w:r>
        <w:rPr>
          <w:spacing w:val="1"/>
        </w:rPr>
        <w:t>i</w:t>
      </w:r>
      <w:r>
        <w:t>i</w:t>
      </w:r>
      <w:r>
        <w:rPr>
          <w:spacing w:val="-2"/>
        </w:rPr>
        <w:t xml:space="preserve"> </w:t>
      </w:r>
      <w:r>
        <w:t>de</w:t>
      </w:r>
      <w:r>
        <w:rPr>
          <w:spacing w:val="-2"/>
        </w:rPr>
        <w:t>t</w:t>
      </w:r>
      <w:r>
        <w:t>er</w:t>
      </w:r>
      <w:r>
        <w:rPr>
          <w:spacing w:val="-4"/>
        </w:rPr>
        <w:t>m</w:t>
      </w:r>
      <w:r>
        <w:rPr>
          <w:spacing w:val="1"/>
        </w:rPr>
        <w:t>i</w:t>
      </w:r>
      <w:r>
        <w:t>na</w:t>
      </w:r>
      <w:r>
        <w:rPr>
          <w:spacing w:val="-2"/>
        </w:rPr>
        <w:t>t</w:t>
      </w:r>
      <w:r>
        <w:t xml:space="preserve">e de </w:t>
      </w:r>
      <w:r>
        <w:rPr>
          <w:spacing w:val="-3"/>
        </w:rPr>
        <w:t>v</w:t>
      </w:r>
      <w:r>
        <w:rPr>
          <w:spacing w:val="-2"/>
        </w:rPr>
        <w:t>i</w:t>
      </w:r>
      <w:r>
        <w:t>r</w:t>
      </w:r>
      <w:r>
        <w:rPr>
          <w:spacing w:val="-3"/>
        </w:rPr>
        <w:t>u</w:t>
      </w:r>
      <w:r>
        <w:t>sur</w:t>
      </w:r>
      <w:r>
        <w:rPr>
          <w:spacing w:val="-2"/>
        </w:rPr>
        <w:t>i</w:t>
      </w:r>
      <w:r>
        <w:t>, c</w:t>
      </w:r>
      <w:r>
        <w:rPr>
          <w:spacing w:val="-2"/>
        </w:rPr>
        <w:t>i</w:t>
      </w:r>
      <w:r>
        <w:t>up</w:t>
      </w:r>
      <w:r>
        <w:rPr>
          <w:spacing w:val="-3"/>
        </w:rPr>
        <w:t>e</w:t>
      </w:r>
      <w:r>
        <w:t>rc</w:t>
      </w:r>
      <w:r>
        <w:rPr>
          <w:spacing w:val="-2"/>
        </w:rPr>
        <w:t>i</w:t>
      </w:r>
      <w:r>
        <w:t>, p</w:t>
      </w:r>
      <w:r>
        <w:rPr>
          <w:spacing w:val="-3"/>
        </w:rPr>
        <w:t>a</w:t>
      </w:r>
      <w:r>
        <w:t>ra</w:t>
      </w:r>
      <w:r>
        <w:rPr>
          <w:spacing w:val="-3"/>
        </w:rPr>
        <w:t>z</w:t>
      </w:r>
      <w:r>
        <w:rPr>
          <w:spacing w:val="1"/>
        </w:rPr>
        <w:t>i</w:t>
      </w:r>
      <w:r>
        <w:rPr>
          <w:spacing w:val="-2"/>
        </w:rPr>
        <w:t>ţ</w:t>
      </w:r>
      <w:r>
        <w:t>i</w:t>
      </w:r>
      <w:r>
        <w:rPr>
          <w:spacing w:val="1"/>
        </w:rPr>
        <w:t xml:space="preserve"> </w:t>
      </w:r>
      <w:r>
        <w:t>s</w:t>
      </w:r>
      <w:r>
        <w:rPr>
          <w:spacing w:val="-3"/>
        </w:rPr>
        <w:t>a</w:t>
      </w:r>
      <w:r>
        <w:t xml:space="preserve">u </w:t>
      </w:r>
      <w:r>
        <w:rPr>
          <w:spacing w:val="-3"/>
        </w:rPr>
        <w:t>b</w:t>
      </w:r>
      <w:r>
        <w:t>ac</w:t>
      </w:r>
      <w:r>
        <w:rPr>
          <w:spacing w:val="1"/>
        </w:rPr>
        <w:t>t</w:t>
      </w:r>
      <w:r>
        <w:rPr>
          <w:spacing w:val="-3"/>
        </w:rPr>
        <w:t>e</w:t>
      </w:r>
      <w:r>
        <w:t>r</w:t>
      </w:r>
      <w:r>
        <w:rPr>
          <w:spacing w:val="-2"/>
        </w:rPr>
        <w:t>i</w:t>
      </w:r>
      <w:r>
        <w:t>i</w:t>
      </w:r>
      <w:r>
        <w:rPr>
          <w:spacing w:val="1"/>
        </w:rPr>
        <w:t xml:space="preserve"> </w:t>
      </w:r>
      <w:r>
        <w:rPr>
          <w:spacing w:val="-2"/>
        </w:rPr>
        <w:t>s</w:t>
      </w:r>
      <w:r>
        <w:t>au</w:t>
      </w:r>
      <w:r>
        <w:rPr>
          <w:szCs w:val="22"/>
          <w:lang w:eastAsia="en-US" w:bidi="ar-SA"/>
        </w:rPr>
        <w:t xml:space="preserve"> alte</w:t>
      </w:r>
      <w:r>
        <w:t xml:space="preserve"> </w:t>
      </w:r>
      <w:r>
        <w:rPr>
          <w:spacing w:val="-2"/>
        </w:rPr>
        <w:t>i</w:t>
      </w:r>
      <w:r>
        <w:t>nf</w:t>
      </w:r>
      <w:r>
        <w:rPr>
          <w:spacing w:val="-3"/>
        </w:rPr>
        <w:t>e</w:t>
      </w:r>
      <w:r>
        <w:t>c</w:t>
      </w:r>
      <w:r>
        <w:rPr>
          <w:spacing w:val="-2"/>
        </w:rPr>
        <w:t>ţ</w:t>
      </w:r>
      <w:r>
        <w:rPr>
          <w:spacing w:val="1"/>
        </w:rPr>
        <w:t>i</w:t>
      </w:r>
      <w:r>
        <w:t>i</w:t>
      </w:r>
      <w:r>
        <w:rPr>
          <w:spacing w:val="-2"/>
        </w:rPr>
        <w:t xml:space="preserve"> </w:t>
      </w:r>
      <w:r>
        <w:t>opo</w:t>
      </w:r>
      <w:r>
        <w:rPr>
          <w:spacing w:val="-2"/>
        </w:rPr>
        <w:t>r</w:t>
      </w:r>
      <w:r>
        <w:rPr>
          <w:spacing w:val="1"/>
        </w:rPr>
        <w:t>t</w:t>
      </w:r>
      <w:r>
        <w:t>u</w:t>
      </w:r>
      <w:r>
        <w:rPr>
          <w:spacing w:val="-3"/>
        </w:rPr>
        <w:t>n</w:t>
      </w:r>
      <w:r>
        <w:rPr>
          <w:spacing w:val="-2"/>
        </w:rPr>
        <w:t>i</w:t>
      </w:r>
      <w:r>
        <w:t>s</w:t>
      </w:r>
      <w:r>
        <w:rPr>
          <w:spacing w:val="1"/>
        </w:rPr>
        <w:t>t</w:t>
      </w:r>
      <w:r>
        <w:t>e</w:t>
      </w:r>
      <w:r>
        <w:rPr>
          <w:spacing w:val="-2"/>
        </w:rPr>
        <w:t xml:space="preserve"> </w:t>
      </w:r>
      <w:r>
        <w:t>şi</w:t>
      </w:r>
      <w:r>
        <w:rPr>
          <w:spacing w:val="-2"/>
        </w:rPr>
        <w:t xml:space="preserve"> </w:t>
      </w:r>
      <w:r>
        <w:t>sep</w:t>
      </w:r>
      <w:r>
        <w:rPr>
          <w:spacing w:val="-2"/>
        </w:rPr>
        <w:t>s</w:t>
      </w:r>
      <w:r>
        <w:rPr>
          <w:spacing w:val="1"/>
        </w:rPr>
        <w:t>i</w:t>
      </w:r>
      <w:r>
        <w:t>s care,</w:t>
      </w:r>
      <w:r>
        <w:rPr>
          <w:spacing w:val="-3"/>
        </w:rPr>
        <w:t xml:space="preserve"> </w:t>
      </w:r>
      <w:r>
        <w:rPr>
          <w:spacing w:val="1"/>
        </w:rPr>
        <w:t>î</w:t>
      </w:r>
      <w:r>
        <w:t>n</w:t>
      </w:r>
      <w:r>
        <w:rPr>
          <w:spacing w:val="-3"/>
        </w:rPr>
        <w:t xml:space="preserve"> </w:t>
      </w:r>
      <w:r>
        <w:t>r</w:t>
      </w:r>
      <w:r>
        <w:rPr>
          <w:spacing w:val="-3"/>
        </w:rPr>
        <w:t>a</w:t>
      </w:r>
      <w:r>
        <w:t xml:space="preserve">re </w:t>
      </w:r>
      <w:r>
        <w:rPr>
          <w:spacing w:val="-3"/>
        </w:rPr>
        <w:t>c</w:t>
      </w:r>
      <w:r>
        <w:t>a</w:t>
      </w:r>
      <w:r>
        <w:rPr>
          <w:spacing w:val="-3"/>
        </w:rPr>
        <w:t>z</w:t>
      </w:r>
      <w:r>
        <w:t>ur</w:t>
      </w:r>
      <w:r>
        <w:rPr>
          <w:spacing w:val="1"/>
        </w:rPr>
        <w:t>i</w:t>
      </w:r>
      <w:r>
        <w:t xml:space="preserve">, </w:t>
      </w:r>
      <w:r>
        <w:rPr>
          <w:spacing w:val="-3"/>
        </w:rPr>
        <w:t>v</w:t>
      </w:r>
      <w:r>
        <w:t>ă p</w:t>
      </w:r>
      <w:r>
        <w:rPr>
          <w:spacing w:val="-3"/>
        </w:rPr>
        <w:t>o</w:t>
      </w:r>
      <w:r>
        <w:t>t</w:t>
      </w:r>
      <w:r>
        <w:rPr>
          <w:spacing w:val="1"/>
        </w:rPr>
        <w:t xml:space="preserve"> </w:t>
      </w:r>
      <w:r>
        <w:rPr>
          <w:spacing w:val="-3"/>
        </w:rPr>
        <w:t>p</w:t>
      </w:r>
      <w:r>
        <w:t xml:space="preserve">une </w:t>
      </w:r>
      <w:r>
        <w:rPr>
          <w:spacing w:val="-3"/>
        </w:rPr>
        <w:t>v</w:t>
      </w:r>
      <w:r>
        <w:rPr>
          <w:spacing w:val="1"/>
        </w:rPr>
        <w:t>i</w:t>
      </w:r>
      <w:r>
        <w:t>a</w:t>
      </w:r>
      <w:r>
        <w:rPr>
          <w:spacing w:val="-2"/>
        </w:rPr>
        <w:t>ţ</w:t>
      </w:r>
      <w:r>
        <w:t xml:space="preserve">a </w:t>
      </w:r>
      <w:r>
        <w:rPr>
          <w:spacing w:val="1"/>
        </w:rPr>
        <w:t>î</w:t>
      </w:r>
      <w:r>
        <w:t>n</w:t>
      </w:r>
      <w:r>
        <w:rPr>
          <w:spacing w:val="-3"/>
        </w:rPr>
        <w:t xml:space="preserve"> </w:t>
      </w:r>
      <w:r>
        <w:t>pe</w:t>
      </w:r>
      <w:r>
        <w:rPr>
          <w:spacing w:val="-2"/>
        </w:rPr>
        <w:t>r</w:t>
      </w:r>
      <w:r>
        <w:rPr>
          <w:spacing w:val="1"/>
        </w:rPr>
        <w:t>i</w:t>
      </w:r>
      <w:r>
        <w:t>c</w:t>
      </w:r>
      <w:r>
        <w:rPr>
          <w:spacing w:val="-3"/>
        </w:rPr>
        <w:t>o</w:t>
      </w:r>
      <w:r>
        <w:rPr>
          <w:spacing w:val="1"/>
        </w:rPr>
        <w:t>l</w:t>
      </w:r>
      <w:r>
        <w:t xml:space="preserve">. </w:t>
      </w:r>
      <w:r>
        <w:rPr>
          <w:spacing w:val="-1"/>
        </w:rPr>
        <w:t>E</w:t>
      </w:r>
      <w:r>
        <w:rPr>
          <w:spacing w:val="-2"/>
        </w:rPr>
        <w:t>s</w:t>
      </w:r>
      <w:r>
        <w:rPr>
          <w:spacing w:val="1"/>
        </w:rPr>
        <w:t>t</w:t>
      </w:r>
      <w:r>
        <w:t>e</w:t>
      </w:r>
      <w:r>
        <w:rPr>
          <w:spacing w:val="-2"/>
        </w:rPr>
        <w:t xml:space="preserve"> i</w:t>
      </w:r>
      <w:r>
        <w:rPr>
          <w:spacing w:val="-4"/>
        </w:rPr>
        <w:t>m</w:t>
      </w:r>
      <w:r>
        <w:t>por</w:t>
      </w:r>
      <w:r>
        <w:rPr>
          <w:spacing w:val="1"/>
        </w:rPr>
        <w:t>t</w:t>
      </w:r>
      <w:r>
        <w:t>ant</w:t>
      </w:r>
      <w:r>
        <w:rPr>
          <w:spacing w:val="1"/>
        </w:rPr>
        <w:t xml:space="preserve"> </w:t>
      </w:r>
      <w:r>
        <w:rPr>
          <w:spacing w:val="-2"/>
        </w:rPr>
        <w:t>s</w:t>
      </w:r>
      <w:r>
        <w:t>ă</w:t>
      </w:r>
      <w:r>
        <w:rPr>
          <w:spacing w:val="-4"/>
        </w:rPr>
        <w:t>-</w:t>
      </w:r>
      <w:r>
        <w:t>i</w:t>
      </w:r>
      <w:r>
        <w:rPr>
          <w:spacing w:val="1"/>
        </w:rPr>
        <w:t xml:space="preserve"> </w:t>
      </w:r>
      <w:r>
        <w:t>spune</w:t>
      </w:r>
      <w:r>
        <w:rPr>
          <w:spacing w:val="-2"/>
        </w:rPr>
        <w:t>ţ</w:t>
      </w:r>
      <w:r>
        <w:t>i</w:t>
      </w:r>
      <w:r>
        <w:rPr>
          <w:spacing w:val="1"/>
        </w:rPr>
        <w:t xml:space="preserve"> </w:t>
      </w:r>
      <w:r>
        <w:rPr>
          <w:spacing w:val="-4"/>
        </w:rPr>
        <w:t>m</w:t>
      </w:r>
      <w:r>
        <w:t>ed</w:t>
      </w:r>
      <w:r>
        <w:rPr>
          <w:spacing w:val="1"/>
        </w:rPr>
        <w:t>i</w:t>
      </w:r>
      <w:r>
        <w:rPr>
          <w:spacing w:val="-3"/>
        </w:rPr>
        <w:t>c</w:t>
      </w:r>
      <w:r>
        <w:t>u</w:t>
      </w:r>
      <w:r>
        <w:rPr>
          <w:spacing w:val="1"/>
        </w:rPr>
        <w:t>l</w:t>
      </w:r>
      <w:r>
        <w:t>ui du</w:t>
      </w:r>
      <w:r>
        <w:rPr>
          <w:spacing w:val="-4"/>
        </w:rPr>
        <w:t>m</w:t>
      </w:r>
      <w:r>
        <w:t>nea</w:t>
      </w:r>
      <w:r>
        <w:rPr>
          <w:spacing w:val="-3"/>
        </w:rPr>
        <w:t>v</w:t>
      </w:r>
      <w:r>
        <w:t>oas</w:t>
      </w:r>
      <w:r>
        <w:rPr>
          <w:spacing w:val="1"/>
        </w:rPr>
        <w:t>t</w:t>
      </w:r>
      <w:r>
        <w:t xml:space="preserve">ră </w:t>
      </w:r>
      <w:r>
        <w:rPr>
          <w:spacing w:val="-3"/>
        </w:rPr>
        <w:t>d</w:t>
      </w:r>
      <w:r>
        <w:t>acă</w:t>
      </w:r>
      <w:r>
        <w:rPr>
          <w:spacing w:val="-2"/>
        </w:rPr>
        <w:t xml:space="preserve"> </w:t>
      </w:r>
      <w:r>
        <w:t>a</w:t>
      </w:r>
      <w:r>
        <w:rPr>
          <w:spacing w:val="-3"/>
        </w:rPr>
        <w:t>v</w:t>
      </w:r>
      <w:r>
        <w:t>e</w:t>
      </w:r>
      <w:r>
        <w:rPr>
          <w:spacing w:val="1"/>
        </w:rPr>
        <w:t>ţ</w:t>
      </w:r>
      <w:r>
        <w:t>i</w:t>
      </w:r>
      <w:r>
        <w:rPr>
          <w:spacing w:val="-2"/>
        </w:rPr>
        <w:t xml:space="preserve"> s</w:t>
      </w:r>
      <w:r>
        <w:rPr>
          <w:spacing w:val="1"/>
        </w:rPr>
        <w:t>i</w:t>
      </w:r>
      <w:r>
        <w:rPr>
          <w:spacing w:val="-4"/>
        </w:rPr>
        <w:t>m</w:t>
      </w:r>
      <w:r>
        <w:t>p</w:t>
      </w:r>
      <w:r>
        <w:rPr>
          <w:spacing w:val="1"/>
        </w:rPr>
        <w:t>t</w:t>
      </w:r>
      <w:r>
        <w:t>o</w:t>
      </w:r>
      <w:r>
        <w:rPr>
          <w:spacing w:val="-4"/>
        </w:rPr>
        <w:t>m</w:t>
      </w:r>
      <w:r>
        <w:t>e precum</w:t>
      </w:r>
      <w:r>
        <w:rPr>
          <w:spacing w:val="-4"/>
        </w:rPr>
        <w:t xml:space="preserve"> </w:t>
      </w:r>
      <w:r>
        <w:t xml:space="preserve">febră, </w:t>
      </w:r>
      <w:r>
        <w:rPr>
          <w:spacing w:val="-3"/>
        </w:rPr>
        <w:t>p</w:t>
      </w:r>
      <w:r>
        <w:rPr>
          <w:spacing w:val="1"/>
        </w:rPr>
        <w:t>l</w:t>
      </w:r>
      <w:r>
        <w:rPr>
          <w:spacing w:val="-2"/>
        </w:rPr>
        <w:t>ă</w:t>
      </w:r>
      <w:r>
        <w:rPr>
          <w:spacing w:val="-3"/>
        </w:rPr>
        <w:t>g</w:t>
      </w:r>
      <w:r>
        <w:rPr>
          <w:spacing w:val="1"/>
        </w:rPr>
        <w:t>i</w:t>
      </w:r>
      <w:r>
        <w:t>, sen</w:t>
      </w:r>
      <w:r>
        <w:rPr>
          <w:spacing w:val="-3"/>
        </w:rPr>
        <w:t>z</w:t>
      </w:r>
      <w:r>
        <w:t>a</w:t>
      </w:r>
      <w:r>
        <w:rPr>
          <w:spacing w:val="1"/>
        </w:rPr>
        <w:t>ţ</w:t>
      </w:r>
      <w:r>
        <w:rPr>
          <w:spacing w:val="-2"/>
        </w:rPr>
        <w:t>i</w:t>
      </w:r>
      <w:r>
        <w:t xml:space="preserve">e </w:t>
      </w:r>
      <w:r>
        <w:rPr>
          <w:spacing w:val="-2"/>
        </w:rPr>
        <w:t>d</w:t>
      </w:r>
      <w:r>
        <w:t xml:space="preserve">e </w:t>
      </w:r>
      <w:r>
        <w:rPr>
          <w:spacing w:val="-3"/>
        </w:rPr>
        <w:t>o</w:t>
      </w:r>
      <w:r>
        <w:t>bos</w:t>
      </w:r>
      <w:r>
        <w:rPr>
          <w:spacing w:val="-3"/>
        </w:rPr>
        <w:t>e</w:t>
      </w:r>
      <w:r>
        <w:t>a</w:t>
      </w:r>
      <w:r>
        <w:rPr>
          <w:spacing w:val="-2"/>
        </w:rPr>
        <w:t>l</w:t>
      </w:r>
      <w:r>
        <w:t>ă, probleme den</w:t>
      </w:r>
      <w:r>
        <w:rPr>
          <w:spacing w:val="1"/>
        </w:rPr>
        <w:t>t</w:t>
      </w:r>
      <w:r>
        <w:rPr>
          <w:spacing w:val="-3"/>
        </w:rPr>
        <w:t>a</w:t>
      </w:r>
      <w:r>
        <w:t>re.</w:t>
      </w:r>
      <w:r>
        <w:rPr>
          <w:spacing w:val="-3"/>
        </w:rPr>
        <w:t xml:space="preserve"> </w:t>
      </w:r>
      <w:r>
        <w:t>Me</w:t>
      </w:r>
      <w:r>
        <w:rPr>
          <w:spacing w:val="-3"/>
        </w:rPr>
        <w:t>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ă po</w:t>
      </w:r>
      <w:r>
        <w:rPr>
          <w:spacing w:val="-3"/>
        </w:rPr>
        <w:t>a</w:t>
      </w:r>
      <w:r>
        <w:rPr>
          <w:spacing w:val="1"/>
        </w:rPr>
        <w:t>t</w:t>
      </w:r>
      <w:r>
        <w:t>e</w:t>
      </w:r>
      <w:r>
        <w:rPr>
          <w:spacing w:val="-2"/>
        </w:rPr>
        <w:t xml:space="preserve"> </w:t>
      </w:r>
      <w:r>
        <w:t>re</w:t>
      </w:r>
      <w:r>
        <w:rPr>
          <w:spacing w:val="-3"/>
        </w:rPr>
        <w:t>c</w:t>
      </w:r>
      <w:r>
        <w:t>o</w:t>
      </w:r>
      <w:r>
        <w:rPr>
          <w:spacing w:val="-4"/>
        </w:rPr>
        <w:t>m</w:t>
      </w:r>
      <w:r>
        <w:t xml:space="preserve">anda </w:t>
      </w:r>
      <w:r>
        <w:rPr>
          <w:spacing w:val="-2"/>
        </w:rPr>
        <w:t>î</w:t>
      </w:r>
      <w:r>
        <w:t>n</w:t>
      </w:r>
      <w:r>
        <w:rPr>
          <w:spacing w:val="1"/>
        </w:rPr>
        <w:t>t</w:t>
      </w:r>
      <w:r>
        <w:t>r</w:t>
      </w:r>
      <w:r>
        <w:rPr>
          <w:spacing w:val="-3"/>
        </w:rPr>
        <w:t>e</w:t>
      </w:r>
      <w:r>
        <w:t>ru</w:t>
      </w:r>
      <w:r>
        <w:rPr>
          <w:spacing w:val="-3"/>
        </w:rPr>
        <w:t>p</w:t>
      </w:r>
      <w:r>
        <w:t>er</w:t>
      </w:r>
      <w:r>
        <w:rPr>
          <w:spacing w:val="-3"/>
        </w:rPr>
        <w:t>e</w:t>
      </w:r>
      <w:r>
        <w:t xml:space="preserve">a </w:t>
      </w:r>
      <w:r>
        <w:rPr>
          <w:spacing w:val="-2"/>
        </w:rPr>
        <w:t>t</w:t>
      </w:r>
      <w:r>
        <w:t>e</w:t>
      </w:r>
      <w:r>
        <w:rPr>
          <w:spacing w:val="-4"/>
        </w:rPr>
        <w:t>m</w:t>
      </w:r>
      <w:r>
        <w:t>porară</w:t>
      </w:r>
      <w:r>
        <w:rPr>
          <w:spacing w:val="-2"/>
        </w:rPr>
        <w:t xml:space="preserve"> </w:t>
      </w:r>
      <w:r>
        <w:t xml:space="preserve">a </w:t>
      </w:r>
      <w:r>
        <w:rPr>
          <w:spacing w:val="-2"/>
        </w:rPr>
        <w:t>t</w:t>
      </w:r>
      <w:r>
        <w:t>r</w:t>
      </w:r>
      <w:r>
        <w:rPr>
          <w:spacing w:val="-3"/>
        </w:rPr>
        <w:t>a</w:t>
      </w:r>
      <w:r>
        <w:rPr>
          <w:spacing w:val="-2"/>
        </w:rPr>
        <w:t>t</w:t>
      </w:r>
      <w:r>
        <w:t>a</w:t>
      </w:r>
      <w:r>
        <w:rPr>
          <w:spacing w:val="-4"/>
        </w:rPr>
        <w:t>m</w:t>
      </w:r>
      <w:r>
        <w:t>en</w:t>
      </w:r>
      <w:r>
        <w:rPr>
          <w:spacing w:val="1"/>
        </w:rPr>
        <w:t>t</w:t>
      </w:r>
      <w:r>
        <w:t>u</w:t>
      </w:r>
      <w:r>
        <w:rPr>
          <w:spacing w:val="1"/>
        </w:rPr>
        <w:t>l</w:t>
      </w:r>
      <w:r>
        <w:t>ui</w:t>
      </w:r>
      <w:r>
        <w:rPr>
          <w:spacing w:val="-2"/>
        </w:rPr>
        <w:t xml:space="preserve"> </w:t>
      </w:r>
      <w:r>
        <w:t xml:space="preserve">cu </w:t>
      </w:r>
      <w:r>
        <w:rPr>
          <w:spacing w:val="-1"/>
          <w:szCs w:val="22"/>
          <w:lang w:eastAsia="en-US" w:bidi="ar-SA"/>
        </w:rPr>
        <w:t>AMGEVITA</w:t>
      </w:r>
      <w:r>
        <w:t>.</w:t>
      </w:r>
    </w:p>
    <w:p w14:paraId="1EE88996" w14:textId="77777777" w:rsidR="00C04CAD" w:rsidRDefault="00C04CAD">
      <w:pPr>
        <w:tabs>
          <w:tab w:val="clear" w:pos="567"/>
        </w:tabs>
        <w:kinsoku w:val="0"/>
        <w:overflowPunct w:val="0"/>
        <w:autoSpaceDE w:val="0"/>
        <w:autoSpaceDN w:val="0"/>
        <w:adjustRightInd w:val="0"/>
        <w:spacing w:line="240" w:lineRule="auto"/>
      </w:pPr>
    </w:p>
    <w:p w14:paraId="59F30F70" w14:textId="77777777" w:rsidR="00C04CAD" w:rsidRDefault="00060E34">
      <w:pPr>
        <w:tabs>
          <w:tab w:val="clear" w:pos="567"/>
        </w:tabs>
        <w:kinsoku w:val="0"/>
        <w:overflowPunct w:val="0"/>
        <w:autoSpaceDE w:val="0"/>
        <w:autoSpaceDN w:val="0"/>
        <w:adjustRightInd w:val="0"/>
        <w:spacing w:line="240" w:lineRule="auto"/>
      </w:pPr>
      <w:r>
        <w:t>Tuberculoză</w:t>
      </w:r>
    </w:p>
    <w:p w14:paraId="5CA4349F" w14:textId="77777777" w:rsidR="00C04CAD" w:rsidRDefault="00C04CAD">
      <w:pPr>
        <w:tabs>
          <w:tab w:val="clear" w:pos="567"/>
        </w:tabs>
        <w:kinsoku w:val="0"/>
        <w:overflowPunct w:val="0"/>
        <w:autoSpaceDE w:val="0"/>
        <w:autoSpaceDN w:val="0"/>
        <w:adjustRightInd w:val="0"/>
        <w:spacing w:line="240" w:lineRule="auto"/>
      </w:pPr>
    </w:p>
    <w:p w14:paraId="2283980C"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lang w:eastAsia="en-US" w:bidi="ar-SA"/>
        </w:rPr>
      </w:pPr>
      <w:r>
        <w:rPr>
          <w:spacing w:val="-1"/>
        </w:rPr>
        <w:t>D</w:t>
      </w:r>
      <w:r>
        <w:t>eoar</w:t>
      </w:r>
      <w:r>
        <w:rPr>
          <w:spacing w:val="-3"/>
        </w:rPr>
        <w:t>e</w:t>
      </w:r>
      <w:r>
        <w:t>ce s</w:t>
      </w:r>
      <w:r>
        <w:rPr>
          <w:spacing w:val="-5"/>
        </w:rPr>
        <w:t>-</w:t>
      </w:r>
      <w:r>
        <w:t>au ra</w:t>
      </w:r>
      <w:r>
        <w:rPr>
          <w:spacing w:val="-3"/>
        </w:rPr>
        <w:t>p</w:t>
      </w:r>
      <w:r>
        <w:t>o</w:t>
      </w:r>
      <w:r>
        <w:rPr>
          <w:spacing w:val="-2"/>
        </w:rPr>
        <w:t>r</w:t>
      </w:r>
      <w:r>
        <w:rPr>
          <w:spacing w:val="1"/>
        </w:rPr>
        <w:t>t</w:t>
      </w:r>
      <w:r>
        <w:t>at</w:t>
      </w:r>
      <w:r>
        <w:rPr>
          <w:spacing w:val="-2"/>
        </w:rPr>
        <w:t xml:space="preserve"> </w:t>
      </w:r>
      <w:r>
        <w:t>ca</w:t>
      </w:r>
      <w:r>
        <w:rPr>
          <w:spacing w:val="-3"/>
        </w:rPr>
        <w:t>zu</w:t>
      </w:r>
      <w:r>
        <w:t>ri</w:t>
      </w:r>
      <w:r>
        <w:rPr>
          <w:spacing w:val="1"/>
        </w:rPr>
        <w:t xml:space="preserve"> </w:t>
      </w:r>
      <w:r>
        <w:rPr>
          <w:spacing w:val="-3"/>
        </w:rPr>
        <w:t>d</w:t>
      </w:r>
      <w:r>
        <w:t xml:space="preserve">e </w:t>
      </w:r>
      <w:r>
        <w:rPr>
          <w:spacing w:val="1"/>
        </w:rPr>
        <w:t>t</w:t>
      </w:r>
      <w:r>
        <w:t>u</w:t>
      </w:r>
      <w:r>
        <w:rPr>
          <w:spacing w:val="-3"/>
        </w:rPr>
        <w:t>b</w:t>
      </w:r>
      <w:r>
        <w:t>e</w:t>
      </w:r>
      <w:r>
        <w:rPr>
          <w:spacing w:val="-2"/>
        </w:rPr>
        <w:t>r</w:t>
      </w:r>
      <w:r>
        <w:t>cu</w:t>
      </w:r>
      <w:r>
        <w:rPr>
          <w:spacing w:val="1"/>
        </w:rPr>
        <w:t>l</w:t>
      </w:r>
      <w:r>
        <w:t>o</w:t>
      </w:r>
      <w:r>
        <w:rPr>
          <w:spacing w:val="-3"/>
        </w:rPr>
        <w:t>z</w:t>
      </w:r>
      <w:r>
        <w:t>ă</w:t>
      </w:r>
      <w:r>
        <w:rPr>
          <w:spacing w:val="-2"/>
        </w:rPr>
        <w:t xml:space="preserve"> </w:t>
      </w:r>
      <w:r>
        <w:rPr>
          <w:spacing w:val="1"/>
        </w:rPr>
        <w:t>l</w:t>
      </w:r>
      <w:r>
        <w:t xml:space="preserve">a </w:t>
      </w:r>
      <w:r>
        <w:rPr>
          <w:spacing w:val="-3"/>
        </w:rPr>
        <w:t>p</w:t>
      </w:r>
      <w:r>
        <w:t>ac</w:t>
      </w:r>
      <w:r>
        <w:rPr>
          <w:spacing w:val="-2"/>
        </w:rPr>
        <w:t>i</w:t>
      </w:r>
      <w:r>
        <w:t>en</w:t>
      </w:r>
      <w:r>
        <w:rPr>
          <w:spacing w:val="-2"/>
        </w:rPr>
        <w:t>ţi</w:t>
      </w:r>
      <w:r>
        <w:t>i</w:t>
      </w:r>
      <w:r>
        <w:rPr>
          <w:spacing w:val="1"/>
        </w:rPr>
        <w:t xml:space="preserve"> </w:t>
      </w:r>
      <w:r>
        <w:rPr>
          <w:spacing w:val="-2"/>
        </w:rPr>
        <w:t>t</w:t>
      </w:r>
      <w:r>
        <w:t>ra</w:t>
      </w:r>
      <w:r>
        <w:rPr>
          <w:spacing w:val="-2"/>
        </w:rPr>
        <w:t>t</w:t>
      </w:r>
      <w:r>
        <w:t>a</w:t>
      </w:r>
      <w:r>
        <w:rPr>
          <w:spacing w:val="-2"/>
        </w:rPr>
        <w:t>ţ</w:t>
      </w:r>
      <w:r>
        <w:t>i</w:t>
      </w:r>
      <w:r>
        <w:rPr>
          <w:spacing w:val="1"/>
        </w:rPr>
        <w:t xml:space="preserve"> </w:t>
      </w:r>
      <w:r>
        <w:t xml:space="preserve">cu </w:t>
      </w:r>
      <w:r>
        <w:rPr>
          <w:spacing w:val="-1"/>
          <w:szCs w:val="22"/>
          <w:lang w:eastAsia="en-US" w:bidi="ar-SA"/>
        </w:rPr>
        <w:t>adalimumab</w:t>
      </w:r>
      <w:r>
        <w:t xml:space="preserve">, </w:t>
      </w:r>
      <w:r>
        <w:rPr>
          <w:spacing w:val="-4"/>
        </w:rPr>
        <w:t>m</w:t>
      </w:r>
      <w:r>
        <w:t>ed</w:t>
      </w:r>
      <w:r>
        <w:rPr>
          <w:spacing w:val="1"/>
        </w:rPr>
        <w:t>i</w:t>
      </w:r>
      <w:r>
        <w:t>cul du</w:t>
      </w:r>
      <w:r>
        <w:rPr>
          <w:spacing w:val="-4"/>
        </w:rPr>
        <w:t>m</w:t>
      </w:r>
      <w:r>
        <w:t>nea</w:t>
      </w:r>
      <w:r>
        <w:rPr>
          <w:spacing w:val="-3"/>
        </w:rPr>
        <w:t>v</w:t>
      </w:r>
      <w:r>
        <w:t>oas</w:t>
      </w:r>
      <w:r>
        <w:rPr>
          <w:spacing w:val="1"/>
        </w:rPr>
        <w:t>t</w:t>
      </w:r>
      <w:r>
        <w:t xml:space="preserve">ră </w:t>
      </w:r>
      <w:r>
        <w:rPr>
          <w:spacing w:val="-3"/>
        </w:rPr>
        <w:t>v</w:t>
      </w:r>
      <w:r>
        <w:t xml:space="preserve">ă </w:t>
      </w:r>
      <w:r>
        <w:rPr>
          <w:spacing w:val="-3"/>
        </w:rPr>
        <w:t>v</w:t>
      </w:r>
      <w:r>
        <w:t>a exa</w:t>
      </w:r>
      <w:r>
        <w:rPr>
          <w:spacing w:val="-4"/>
        </w:rPr>
        <w:t>m</w:t>
      </w:r>
      <w:r>
        <w:rPr>
          <w:spacing w:val="1"/>
        </w:rPr>
        <w:t>i</w:t>
      </w:r>
      <w:r>
        <w:t xml:space="preserve">na, </w:t>
      </w:r>
      <w:r>
        <w:rPr>
          <w:spacing w:val="1"/>
        </w:rPr>
        <w:t>î</w:t>
      </w:r>
      <w:r>
        <w:t>n</w:t>
      </w:r>
      <w:r>
        <w:rPr>
          <w:spacing w:val="-3"/>
        </w:rPr>
        <w:t xml:space="preserve"> </w:t>
      </w:r>
      <w:r>
        <w:t>ce</w:t>
      </w:r>
      <w:r>
        <w:rPr>
          <w:spacing w:val="-3"/>
        </w:rPr>
        <w:t>e</w:t>
      </w:r>
      <w:r>
        <w:t>a ce</w:t>
      </w:r>
      <w:r>
        <w:rPr>
          <w:spacing w:val="-2"/>
        </w:rPr>
        <w:t xml:space="preserve"> </w:t>
      </w:r>
      <w:r>
        <w:t>p</w:t>
      </w:r>
      <w:r>
        <w:rPr>
          <w:spacing w:val="-2"/>
        </w:rPr>
        <w:t>r</w:t>
      </w:r>
      <w:r>
        <w:rPr>
          <w:spacing w:val="1"/>
        </w:rPr>
        <w:t>i</w:t>
      </w:r>
      <w:r>
        <w:rPr>
          <w:spacing w:val="-3"/>
        </w:rPr>
        <w:t>v</w:t>
      </w:r>
      <w:r>
        <w:t>eş</w:t>
      </w:r>
      <w:r>
        <w:rPr>
          <w:spacing w:val="1"/>
        </w:rPr>
        <w:t>t</w:t>
      </w:r>
      <w:r>
        <w:t>e</w:t>
      </w:r>
      <w:r>
        <w:rPr>
          <w:spacing w:val="-3"/>
        </w:rPr>
        <w:t xml:space="preserve"> </w:t>
      </w:r>
      <w:r>
        <w:t>se</w:t>
      </w:r>
      <w:r>
        <w:rPr>
          <w:spacing w:val="-4"/>
        </w:rPr>
        <w:t>m</w:t>
      </w:r>
      <w:r>
        <w:t>ne</w:t>
      </w:r>
      <w:r>
        <w:rPr>
          <w:spacing w:val="1"/>
        </w:rPr>
        <w:t>l</w:t>
      </w:r>
      <w:r>
        <w:t>e</w:t>
      </w:r>
      <w:r>
        <w:rPr>
          <w:spacing w:val="-2"/>
        </w:rPr>
        <w:t xml:space="preserve"> </w:t>
      </w:r>
      <w:r>
        <w:t>şi</w:t>
      </w:r>
      <w:r>
        <w:rPr>
          <w:spacing w:val="1"/>
        </w:rPr>
        <w:t xml:space="preserve"> </w:t>
      </w:r>
      <w:r>
        <w:rPr>
          <w:spacing w:val="-2"/>
        </w:rPr>
        <w:t>s</w:t>
      </w:r>
      <w:r>
        <w:rPr>
          <w:spacing w:val="1"/>
        </w:rPr>
        <w:t>i</w:t>
      </w:r>
      <w:r>
        <w:rPr>
          <w:spacing w:val="-4"/>
        </w:rPr>
        <w:t>m</w:t>
      </w:r>
      <w:r>
        <w:t>p</w:t>
      </w:r>
      <w:r>
        <w:rPr>
          <w:spacing w:val="1"/>
        </w:rPr>
        <w:t>t</w:t>
      </w:r>
      <w:r>
        <w:t>o</w:t>
      </w:r>
      <w:r>
        <w:rPr>
          <w:spacing w:val="-4"/>
        </w:rPr>
        <w:t>m</w:t>
      </w:r>
      <w:r>
        <w:t>e</w:t>
      </w:r>
      <w:r>
        <w:rPr>
          <w:spacing w:val="1"/>
        </w:rPr>
        <w:t>l</w:t>
      </w:r>
      <w:r>
        <w:t>e de</w:t>
      </w:r>
      <w:r>
        <w:rPr>
          <w:spacing w:val="-2"/>
        </w:rPr>
        <w:t xml:space="preserve"> </w:t>
      </w:r>
      <w:r>
        <w:rPr>
          <w:spacing w:val="1"/>
        </w:rPr>
        <w:t>t</w:t>
      </w:r>
      <w:r>
        <w:t>ub</w:t>
      </w:r>
      <w:r>
        <w:rPr>
          <w:spacing w:val="-3"/>
        </w:rPr>
        <w:t>e</w:t>
      </w:r>
      <w:r>
        <w:t>r</w:t>
      </w:r>
      <w:r>
        <w:rPr>
          <w:spacing w:val="-3"/>
        </w:rPr>
        <w:t>c</w:t>
      </w:r>
      <w:r>
        <w:t>u</w:t>
      </w:r>
      <w:r>
        <w:rPr>
          <w:spacing w:val="1"/>
        </w:rPr>
        <w:t>l</w:t>
      </w:r>
      <w:r>
        <w:t>o</w:t>
      </w:r>
      <w:r>
        <w:rPr>
          <w:spacing w:val="-3"/>
        </w:rPr>
        <w:t>z</w:t>
      </w:r>
      <w:r>
        <w:t xml:space="preserve">ă </w:t>
      </w:r>
      <w:r>
        <w:rPr>
          <w:spacing w:val="1"/>
        </w:rPr>
        <w:t>î</w:t>
      </w:r>
      <w:r>
        <w:rPr>
          <w:spacing w:val="-3"/>
        </w:rPr>
        <w:t>n</w:t>
      </w:r>
      <w:r>
        <w:t>a</w:t>
      </w:r>
      <w:r>
        <w:rPr>
          <w:spacing w:val="1"/>
        </w:rPr>
        <w:t>i</w:t>
      </w:r>
      <w:r>
        <w:rPr>
          <w:spacing w:val="-3"/>
        </w:rPr>
        <w:t>n</w:t>
      </w:r>
      <w:r>
        <w:rPr>
          <w:spacing w:val="1"/>
        </w:rPr>
        <w:t>t</w:t>
      </w:r>
      <w:r>
        <w:t xml:space="preserve">e de </w:t>
      </w:r>
      <w:r>
        <w:rPr>
          <w:spacing w:val="1"/>
        </w:rPr>
        <w:t>i</w:t>
      </w:r>
      <w:r>
        <w:rPr>
          <w:spacing w:val="-3"/>
        </w:rPr>
        <w:t>n</w:t>
      </w:r>
      <w:r>
        <w:rPr>
          <w:spacing w:val="1"/>
        </w:rPr>
        <w:t>i</w:t>
      </w:r>
      <w:r>
        <w:rPr>
          <w:spacing w:val="-2"/>
        </w:rPr>
        <w:t>ţ</w:t>
      </w:r>
      <w:r>
        <w:rPr>
          <w:spacing w:val="1"/>
        </w:rPr>
        <w:t>i</w:t>
      </w:r>
      <w:r>
        <w:rPr>
          <w:spacing w:val="-3"/>
        </w:rPr>
        <w:t>e</w:t>
      </w:r>
      <w:r>
        <w:t>rea</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rPr>
          <w:spacing w:val="-3"/>
        </w:rPr>
        <w:t>u</w:t>
      </w:r>
      <w:r>
        <w:rPr>
          <w:spacing w:val="1"/>
        </w:rPr>
        <w:t>l</w:t>
      </w:r>
      <w:r>
        <w:rPr>
          <w:spacing w:val="-3"/>
        </w:rPr>
        <w:t>u</w:t>
      </w:r>
      <w:r>
        <w:t>i</w:t>
      </w:r>
      <w:r>
        <w:rPr>
          <w:spacing w:val="1"/>
        </w:rPr>
        <w:t xml:space="preserve"> </w:t>
      </w:r>
      <w:r>
        <w:rPr>
          <w:spacing w:val="-3"/>
        </w:rPr>
        <w:t>c</w:t>
      </w:r>
      <w:r>
        <w:t xml:space="preserve">u </w:t>
      </w:r>
      <w:r>
        <w:rPr>
          <w:spacing w:val="-1"/>
          <w:szCs w:val="22"/>
          <w:lang w:eastAsia="en-US" w:bidi="ar-SA"/>
        </w:rPr>
        <w:t>AMGEVITA</w:t>
      </w:r>
      <w:r>
        <w:rPr>
          <w:szCs w:val="22"/>
          <w:lang w:eastAsia="en-US" w:bidi="ar-SA"/>
        </w:rPr>
        <w:t xml:space="preserve">. </w:t>
      </w:r>
      <w:r>
        <w:rPr>
          <w:spacing w:val="-1"/>
          <w:szCs w:val="22"/>
          <w:lang w:eastAsia="en-US" w:bidi="ar-SA"/>
        </w:rPr>
        <w:t>A</w:t>
      </w:r>
      <w:r>
        <w:rPr>
          <w:szCs w:val="22"/>
          <w:lang w:eastAsia="en-US" w:bidi="ar-SA"/>
        </w:rPr>
        <w:t>cea</w:t>
      </w:r>
      <w:r>
        <w:rPr>
          <w:spacing w:val="-2"/>
          <w:szCs w:val="22"/>
          <w:lang w:eastAsia="en-US" w:bidi="ar-SA"/>
        </w:rPr>
        <w:t>s</w:t>
      </w:r>
      <w:r>
        <w:rPr>
          <w:szCs w:val="22"/>
          <w:lang w:eastAsia="en-US" w:bidi="ar-SA"/>
        </w:rPr>
        <w:t xml:space="preserve">ta </w:t>
      </w:r>
      <w:r>
        <w:rPr>
          <w:spacing w:val="-3"/>
          <w:szCs w:val="22"/>
          <w:lang w:eastAsia="en-US" w:bidi="ar-SA"/>
        </w:rPr>
        <w:t>v</w:t>
      </w:r>
      <w:r>
        <w:rPr>
          <w:szCs w:val="22"/>
          <w:lang w:eastAsia="en-US" w:bidi="ar-SA"/>
        </w:rPr>
        <w:t xml:space="preserve">a </w:t>
      </w:r>
      <w:r>
        <w:rPr>
          <w:spacing w:val="-2"/>
          <w:szCs w:val="22"/>
          <w:lang w:eastAsia="en-US" w:bidi="ar-SA"/>
        </w:rPr>
        <w:t>i</w:t>
      </w:r>
      <w:r>
        <w:rPr>
          <w:szCs w:val="22"/>
          <w:lang w:eastAsia="en-US" w:bidi="ar-SA"/>
        </w:rPr>
        <w:t>nc</w:t>
      </w:r>
      <w:r>
        <w:rPr>
          <w:spacing w:val="-2"/>
          <w:szCs w:val="22"/>
          <w:lang w:eastAsia="en-US" w:bidi="ar-SA"/>
        </w:rPr>
        <w:t>l</w:t>
      </w:r>
      <w:r>
        <w:rPr>
          <w:spacing w:val="-3"/>
          <w:szCs w:val="22"/>
          <w:lang w:eastAsia="en-US" w:bidi="ar-SA"/>
        </w:rPr>
        <w:t>u</w:t>
      </w:r>
      <w:r>
        <w:rPr>
          <w:szCs w:val="22"/>
          <w:lang w:eastAsia="en-US" w:bidi="ar-SA"/>
        </w:rPr>
        <w:t>de o e</w:t>
      </w:r>
      <w:r>
        <w:rPr>
          <w:spacing w:val="-3"/>
          <w:szCs w:val="22"/>
          <w:lang w:eastAsia="en-US" w:bidi="ar-SA"/>
        </w:rPr>
        <w:t>v</w:t>
      </w:r>
      <w:r>
        <w:rPr>
          <w:szCs w:val="22"/>
          <w:lang w:eastAsia="en-US" w:bidi="ar-SA"/>
        </w:rPr>
        <w:t>a</w:t>
      </w:r>
      <w:r>
        <w:rPr>
          <w:spacing w:val="1"/>
          <w:szCs w:val="22"/>
          <w:lang w:eastAsia="en-US" w:bidi="ar-SA"/>
        </w:rPr>
        <w:t>l</w:t>
      </w:r>
      <w:r>
        <w:rPr>
          <w:spacing w:val="-3"/>
          <w:szCs w:val="22"/>
          <w:lang w:eastAsia="en-US" w:bidi="ar-SA"/>
        </w:rPr>
        <w:t>u</w:t>
      </w:r>
      <w:r>
        <w:rPr>
          <w:szCs w:val="22"/>
          <w:lang w:eastAsia="en-US" w:bidi="ar-SA"/>
        </w:rPr>
        <w:t xml:space="preserve">are </w:t>
      </w:r>
      <w:r>
        <w:rPr>
          <w:spacing w:val="-4"/>
          <w:szCs w:val="22"/>
          <w:lang w:eastAsia="en-US" w:bidi="ar-SA"/>
        </w:rPr>
        <w:t>m</w:t>
      </w:r>
      <w:r>
        <w:rPr>
          <w:szCs w:val="22"/>
          <w:lang w:eastAsia="en-US" w:bidi="ar-SA"/>
        </w:rPr>
        <w:t>ed</w:t>
      </w:r>
      <w:r>
        <w:rPr>
          <w:spacing w:val="1"/>
          <w:szCs w:val="22"/>
          <w:lang w:eastAsia="en-US" w:bidi="ar-SA"/>
        </w:rPr>
        <w:t>i</w:t>
      </w:r>
      <w:r>
        <w:rPr>
          <w:spacing w:val="-3"/>
          <w:szCs w:val="22"/>
          <w:lang w:eastAsia="en-US" w:bidi="ar-SA"/>
        </w:rPr>
        <w:t>c</w:t>
      </w:r>
      <w:r>
        <w:rPr>
          <w:szCs w:val="22"/>
          <w:lang w:eastAsia="en-US" w:bidi="ar-SA"/>
        </w:rPr>
        <w:t>a</w:t>
      </w:r>
      <w:r>
        <w:rPr>
          <w:spacing w:val="-2"/>
          <w:szCs w:val="22"/>
          <w:lang w:eastAsia="en-US" w:bidi="ar-SA"/>
        </w:rPr>
        <w:t>l</w:t>
      </w:r>
      <w:r>
        <w:rPr>
          <w:szCs w:val="22"/>
          <w:lang w:eastAsia="en-US" w:bidi="ar-SA"/>
        </w:rPr>
        <w:t>ă a</w:t>
      </w:r>
      <w:r>
        <w:rPr>
          <w:spacing w:val="-4"/>
          <w:szCs w:val="22"/>
          <w:lang w:eastAsia="en-US" w:bidi="ar-SA"/>
        </w:rPr>
        <w:t>m</w:t>
      </w:r>
      <w:r>
        <w:rPr>
          <w:szCs w:val="22"/>
          <w:lang w:eastAsia="en-US" w:bidi="ar-SA"/>
        </w:rPr>
        <w:t>ănun</w:t>
      </w:r>
      <w:r>
        <w:rPr>
          <w:spacing w:val="-2"/>
          <w:szCs w:val="22"/>
          <w:lang w:eastAsia="en-US" w:bidi="ar-SA"/>
        </w:rPr>
        <w:t>ț</w:t>
      </w:r>
      <w:r>
        <w:rPr>
          <w:spacing w:val="1"/>
          <w:szCs w:val="22"/>
          <w:lang w:eastAsia="en-US" w:bidi="ar-SA"/>
        </w:rPr>
        <w:t>it</w:t>
      </w:r>
      <w:r>
        <w:rPr>
          <w:spacing w:val="-1"/>
          <w:szCs w:val="22"/>
          <w:lang w:eastAsia="en-US" w:bidi="ar-SA"/>
        </w:rPr>
        <w:t>ă</w:t>
      </w:r>
      <w:r>
        <w:rPr>
          <w:szCs w:val="22"/>
          <w:lang w:eastAsia="en-US" w:bidi="ar-SA"/>
        </w:rPr>
        <w:t xml:space="preserve">, </w:t>
      </w:r>
      <w:r>
        <w:rPr>
          <w:spacing w:val="1"/>
          <w:szCs w:val="22"/>
          <w:lang w:eastAsia="en-US" w:bidi="ar-SA"/>
        </w:rPr>
        <w:t>i</w:t>
      </w:r>
      <w:r>
        <w:rPr>
          <w:szCs w:val="22"/>
          <w:lang w:eastAsia="en-US" w:bidi="ar-SA"/>
        </w:rPr>
        <w:t>n</w:t>
      </w:r>
      <w:r>
        <w:rPr>
          <w:spacing w:val="-3"/>
          <w:szCs w:val="22"/>
          <w:lang w:eastAsia="en-US" w:bidi="ar-SA"/>
        </w:rPr>
        <w:t>c</w:t>
      </w:r>
      <w:r>
        <w:rPr>
          <w:spacing w:val="1"/>
          <w:szCs w:val="22"/>
          <w:lang w:eastAsia="en-US" w:bidi="ar-SA"/>
        </w:rPr>
        <w:t>l</w:t>
      </w:r>
      <w:r>
        <w:rPr>
          <w:szCs w:val="22"/>
          <w:lang w:eastAsia="en-US" w:bidi="ar-SA"/>
        </w:rPr>
        <w:t>u</w:t>
      </w:r>
      <w:r>
        <w:rPr>
          <w:spacing w:val="-2"/>
          <w:szCs w:val="22"/>
          <w:lang w:eastAsia="en-US" w:bidi="ar-SA"/>
        </w:rPr>
        <w:t>s</w:t>
      </w:r>
      <w:r>
        <w:rPr>
          <w:spacing w:val="1"/>
          <w:szCs w:val="22"/>
          <w:lang w:eastAsia="en-US" w:bidi="ar-SA"/>
        </w:rPr>
        <w:t>i</w:t>
      </w:r>
      <w:r>
        <w:rPr>
          <w:szCs w:val="22"/>
          <w:lang w:eastAsia="en-US" w:bidi="ar-SA"/>
        </w:rPr>
        <w:t>v</w:t>
      </w:r>
      <w:r>
        <w:rPr>
          <w:spacing w:val="-3"/>
          <w:szCs w:val="22"/>
          <w:lang w:eastAsia="en-US" w:bidi="ar-SA"/>
        </w:rPr>
        <w:t xml:space="preserve"> </w:t>
      </w:r>
      <w:r>
        <w:rPr>
          <w:szCs w:val="22"/>
          <w:lang w:eastAsia="en-US" w:bidi="ar-SA"/>
        </w:rPr>
        <w:t xml:space="preserve">un </w:t>
      </w:r>
      <w:r>
        <w:rPr>
          <w:spacing w:val="1"/>
          <w:szCs w:val="22"/>
          <w:lang w:eastAsia="en-US" w:bidi="ar-SA"/>
        </w:rPr>
        <w:t>i</w:t>
      </w:r>
      <w:r>
        <w:rPr>
          <w:spacing w:val="-2"/>
          <w:szCs w:val="22"/>
          <w:lang w:eastAsia="en-US" w:bidi="ar-SA"/>
        </w:rPr>
        <w:t>s</w:t>
      </w:r>
      <w:r>
        <w:rPr>
          <w:spacing w:val="1"/>
          <w:szCs w:val="22"/>
          <w:lang w:eastAsia="en-US" w:bidi="ar-SA"/>
        </w:rPr>
        <w:t>t</w:t>
      </w:r>
      <w:r>
        <w:rPr>
          <w:szCs w:val="22"/>
          <w:lang w:eastAsia="en-US" w:bidi="ar-SA"/>
        </w:rPr>
        <w:t>o</w:t>
      </w:r>
      <w:r>
        <w:rPr>
          <w:spacing w:val="-2"/>
          <w:szCs w:val="22"/>
          <w:lang w:eastAsia="en-US" w:bidi="ar-SA"/>
        </w:rPr>
        <w:t>r</w:t>
      </w:r>
      <w:r>
        <w:rPr>
          <w:spacing w:val="1"/>
          <w:szCs w:val="22"/>
          <w:lang w:eastAsia="en-US" w:bidi="ar-SA"/>
        </w:rPr>
        <w:t>i</w:t>
      </w:r>
      <w:r>
        <w:rPr>
          <w:szCs w:val="22"/>
          <w:lang w:eastAsia="en-US" w:bidi="ar-SA"/>
        </w:rPr>
        <w:t xml:space="preserve">c </w:t>
      </w:r>
      <w:r>
        <w:rPr>
          <w:spacing w:val="-4"/>
          <w:szCs w:val="22"/>
          <w:lang w:eastAsia="en-US" w:bidi="ar-SA"/>
        </w:rPr>
        <w:t>m</w:t>
      </w:r>
      <w:r>
        <w:rPr>
          <w:szCs w:val="22"/>
          <w:lang w:eastAsia="en-US" w:bidi="ar-SA"/>
        </w:rPr>
        <w:t>ed</w:t>
      </w:r>
      <w:r>
        <w:rPr>
          <w:spacing w:val="1"/>
          <w:szCs w:val="22"/>
          <w:lang w:eastAsia="en-US" w:bidi="ar-SA"/>
        </w:rPr>
        <w:t>i</w:t>
      </w:r>
      <w:r>
        <w:rPr>
          <w:szCs w:val="22"/>
          <w:lang w:eastAsia="en-US" w:bidi="ar-SA"/>
        </w:rPr>
        <w:t>c</w:t>
      </w:r>
      <w:r>
        <w:rPr>
          <w:spacing w:val="-3"/>
          <w:szCs w:val="22"/>
          <w:lang w:eastAsia="en-US" w:bidi="ar-SA"/>
        </w:rPr>
        <w:t>a</w:t>
      </w:r>
      <w:r>
        <w:rPr>
          <w:szCs w:val="22"/>
          <w:lang w:eastAsia="en-US" w:bidi="ar-SA"/>
        </w:rPr>
        <w:t>l</w:t>
      </w:r>
      <w:r>
        <w:rPr>
          <w:spacing w:val="-2"/>
          <w:szCs w:val="22"/>
          <w:lang w:eastAsia="en-US" w:bidi="ar-SA"/>
        </w:rPr>
        <w:t xml:space="preserve"> </w:t>
      </w:r>
      <w:r>
        <w:rPr>
          <w:szCs w:val="22"/>
          <w:lang w:eastAsia="en-US" w:bidi="ar-SA"/>
        </w:rPr>
        <w:t>şi</w:t>
      </w:r>
      <w:r>
        <w:rPr>
          <w:spacing w:val="1"/>
          <w:szCs w:val="22"/>
          <w:lang w:eastAsia="en-US" w:bidi="ar-SA"/>
        </w:rPr>
        <w:t xml:space="preserve"> </w:t>
      </w:r>
      <w:r>
        <w:rPr>
          <w:spacing w:val="-2"/>
          <w:szCs w:val="22"/>
          <w:lang w:eastAsia="en-US" w:bidi="ar-SA"/>
        </w:rPr>
        <w:t>t</w:t>
      </w:r>
      <w:r>
        <w:rPr>
          <w:szCs w:val="22"/>
          <w:lang w:eastAsia="en-US" w:bidi="ar-SA"/>
        </w:rPr>
        <w:t>e</w:t>
      </w:r>
      <w:r>
        <w:rPr>
          <w:spacing w:val="-2"/>
          <w:szCs w:val="22"/>
          <w:lang w:eastAsia="en-US" w:bidi="ar-SA"/>
        </w:rPr>
        <w:t>s</w:t>
      </w:r>
      <w:r>
        <w:rPr>
          <w:spacing w:val="1"/>
          <w:szCs w:val="22"/>
          <w:lang w:eastAsia="en-US" w:bidi="ar-SA"/>
        </w:rPr>
        <w:t>t</w:t>
      </w:r>
      <w:r>
        <w:rPr>
          <w:szCs w:val="22"/>
          <w:lang w:eastAsia="en-US" w:bidi="ar-SA"/>
        </w:rPr>
        <w:t>e a</w:t>
      </w:r>
      <w:r>
        <w:rPr>
          <w:spacing w:val="-3"/>
          <w:szCs w:val="22"/>
          <w:lang w:eastAsia="en-US" w:bidi="ar-SA"/>
        </w:rPr>
        <w:t>d</w:t>
      </w:r>
      <w:r>
        <w:rPr>
          <w:szCs w:val="22"/>
          <w:lang w:eastAsia="en-US" w:bidi="ar-SA"/>
        </w:rPr>
        <w:t>ec</w:t>
      </w:r>
      <w:r>
        <w:rPr>
          <w:spacing w:val="-3"/>
          <w:szCs w:val="22"/>
          <w:lang w:eastAsia="en-US" w:bidi="ar-SA"/>
        </w:rPr>
        <w:t>v</w:t>
      </w:r>
      <w:r>
        <w:rPr>
          <w:szCs w:val="22"/>
          <w:lang w:eastAsia="en-US" w:bidi="ar-SA"/>
        </w:rPr>
        <w:t>a</w:t>
      </w:r>
      <w:r>
        <w:rPr>
          <w:spacing w:val="1"/>
          <w:szCs w:val="22"/>
          <w:lang w:eastAsia="en-US" w:bidi="ar-SA"/>
        </w:rPr>
        <w:t>t</w:t>
      </w:r>
      <w:r>
        <w:rPr>
          <w:szCs w:val="22"/>
          <w:lang w:eastAsia="en-US" w:bidi="ar-SA"/>
        </w:rPr>
        <w:t>e</w:t>
      </w:r>
      <w:r>
        <w:rPr>
          <w:spacing w:val="-3"/>
          <w:szCs w:val="22"/>
          <w:lang w:eastAsia="en-US" w:bidi="ar-SA"/>
        </w:rPr>
        <w:t xml:space="preserve"> </w:t>
      </w:r>
      <w:r>
        <w:rPr>
          <w:szCs w:val="22"/>
          <w:lang w:eastAsia="en-US" w:bidi="ar-SA"/>
        </w:rPr>
        <w:t>(de</w:t>
      </w:r>
      <w:r>
        <w:rPr>
          <w:spacing w:val="-2"/>
          <w:szCs w:val="22"/>
          <w:lang w:eastAsia="en-US" w:bidi="ar-SA"/>
        </w:rPr>
        <w:t xml:space="preserve"> </w:t>
      </w:r>
      <w:r>
        <w:rPr>
          <w:szCs w:val="22"/>
          <w:lang w:eastAsia="en-US" w:bidi="ar-SA"/>
        </w:rPr>
        <w:t>exe</w:t>
      </w:r>
      <w:r>
        <w:rPr>
          <w:spacing w:val="-4"/>
          <w:szCs w:val="22"/>
          <w:lang w:eastAsia="en-US" w:bidi="ar-SA"/>
        </w:rPr>
        <w:t>m</w:t>
      </w:r>
      <w:r>
        <w:rPr>
          <w:szCs w:val="22"/>
          <w:lang w:eastAsia="en-US" w:bidi="ar-SA"/>
        </w:rPr>
        <w:t>p</w:t>
      </w:r>
      <w:r>
        <w:rPr>
          <w:spacing w:val="1"/>
          <w:szCs w:val="22"/>
          <w:lang w:eastAsia="en-US" w:bidi="ar-SA"/>
        </w:rPr>
        <w:t>l</w:t>
      </w:r>
      <w:r>
        <w:rPr>
          <w:szCs w:val="22"/>
          <w:lang w:eastAsia="en-US" w:bidi="ar-SA"/>
        </w:rPr>
        <w:t>u:</w:t>
      </w:r>
      <w:r>
        <w:rPr>
          <w:spacing w:val="1"/>
          <w:szCs w:val="22"/>
          <w:lang w:eastAsia="en-US" w:bidi="ar-SA"/>
        </w:rPr>
        <w:t xml:space="preserve"> </w:t>
      </w:r>
      <w:r>
        <w:rPr>
          <w:szCs w:val="22"/>
          <w:lang w:eastAsia="en-US" w:bidi="ar-SA"/>
        </w:rPr>
        <w:t>o</w:t>
      </w:r>
      <w:r>
        <w:rPr>
          <w:spacing w:val="-3"/>
          <w:szCs w:val="22"/>
          <w:lang w:eastAsia="en-US" w:bidi="ar-SA"/>
        </w:rPr>
        <w:t xml:space="preserve"> </w:t>
      </w:r>
      <w:r>
        <w:rPr>
          <w:szCs w:val="22"/>
          <w:lang w:eastAsia="en-US" w:bidi="ar-SA"/>
        </w:rPr>
        <w:t>ra</w:t>
      </w:r>
      <w:r>
        <w:rPr>
          <w:spacing w:val="-3"/>
          <w:szCs w:val="22"/>
          <w:lang w:eastAsia="en-US" w:bidi="ar-SA"/>
        </w:rPr>
        <w:t>d</w:t>
      </w:r>
      <w:r>
        <w:rPr>
          <w:spacing w:val="1"/>
          <w:szCs w:val="22"/>
          <w:lang w:eastAsia="en-US" w:bidi="ar-SA"/>
        </w:rPr>
        <w:t>i</w:t>
      </w:r>
      <w:r>
        <w:rPr>
          <w:szCs w:val="22"/>
          <w:lang w:eastAsia="en-US" w:bidi="ar-SA"/>
        </w:rPr>
        <w:t>o</w:t>
      </w:r>
      <w:r>
        <w:rPr>
          <w:spacing w:val="-3"/>
          <w:szCs w:val="22"/>
          <w:lang w:eastAsia="en-US" w:bidi="ar-SA"/>
        </w:rPr>
        <w:t>g</w:t>
      </w:r>
      <w:r>
        <w:rPr>
          <w:szCs w:val="22"/>
          <w:lang w:eastAsia="en-US" w:bidi="ar-SA"/>
        </w:rPr>
        <w:t>r</w:t>
      </w:r>
      <w:r>
        <w:rPr>
          <w:spacing w:val="-3"/>
          <w:szCs w:val="22"/>
          <w:lang w:eastAsia="en-US" w:bidi="ar-SA"/>
        </w:rPr>
        <w:t>a</w:t>
      </w:r>
      <w:r>
        <w:rPr>
          <w:szCs w:val="22"/>
          <w:lang w:eastAsia="en-US" w:bidi="ar-SA"/>
        </w:rPr>
        <w:t>f</w:t>
      </w:r>
      <w:r>
        <w:rPr>
          <w:spacing w:val="1"/>
          <w:szCs w:val="22"/>
          <w:lang w:eastAsia="en-US" w:bidi="ar-SA"/>
        </w:rPr>
        <w:t>i</w:t>
      </w:r>
      <w:r>
        <w:rPr>
          <w:szCs w:val="22"/>
          <w:lang w:eastAsia="en-US" w:bidi="ar-SA"/>
        </w:rPr>
        <w:t>e</w:t>
      </w:r>
      <w:r>
        <w:rPr>
          <w:spacing w:val="-2"/>
          <w:szCs w:val="22"/>
          <w:lang w:eastAsia="en-US" w:bidi="ar-SA"/>
        </w:rPr>
        <w:t xml:space="preserve"> </w:t>
      </w:r>
      <w:r>
        <w:rPr>
          <w:spacing w:val="1"/>
          <w:szCs w:val="22"/>
          <w:lang w:eastAsia="en-US" w:bidi="ar-SA"/>
        </w:rPr>
        <w:t>t</w:t>
      </w:r>
      <w:r>
        <w:rPr>
          <w:spacing w:val="-3"/>
          <w:szCs w:val="22"/>
          <w:lang w:eastAsia="en-US" w:bidi="ar-SA"/>
        </w:rPr>
        <w:t>o</w:t>
      </w:r>
      <w:r>
        <w:rPr>
          <w:szCs w:val="22"/>
          <w:lang w:eastAsia="en-US" w:bidi="ar-SA"/>
        </w:rPr>
        <w:t>ra</w:t>
      </w:r>
      <w:r>
        <w:rPr>
          <w:spacing w:val="-3"/>
          <w:szCs w:val="22"/>
          <w:lang w:eastAsia="en-US" w:bidi="ar-SA"/>
        </w:rPr>
        <w:t>c</w:t>
      </w:r>
      <w:r>
        <w:rPr>
          <w:spacing w:val="1"/>
          <w:szCs w:val="22"/>
          <w:lang w:eastAsia="en-US" w:bidi="ar-SA"/>
        </w:rPr>
        <w:t>i</w:t>
      </w:r>
      <w:r>
        <w:rPr>
          <w:szCs w:val="22"/>
          <w:lang w:eastAsia="en-US" w:bidi="ar-SA"/>
        </w:rPr>
        <w:t>că</w:t>
      </w:r>
      <w:r>
        <w:rPr>
          <w:spacing w:val="-2"/>
          <w:szCs w:val="22"/>
          <w:lang w:eastAsia="en-US" w:bidi="ar-SA"/>
        </w:rPr>
        <w:t xml:space="preserve"> </w:t>
      </w:r>
      <w:r>
        <w:rPr>
          <w:szCs w:val="22"/>
          <w:lang w:eastAsia="en-US" w:bidi="ar-SA"/>
        </w:rPr>
        <w:t>şi</w:t>
      </w:r>
      <w:r>
        <w:rPr>
          <w:spacing w:val="-2"/>
          <w:szCs w:val="22"/>
          <w:lang w:eastAsia="en-US" w:bidi="ar-SA"/>
        </w:rPr>
        <w:t xml:space="preserve"> </w:t>
      </w:r>
      <w:r>
        <w:rPr>
          <w:szCs w:val="22"/>
          <w:lang w:eastAsia="en-US" w:bidi="ar-SA"/>
        </w:rPr>
        <w:t xml:space="preserve">un </w:t>
      </w:r>
      <w:r>
        <w:rPr>
          <w:spacing w:val="1"/>
          <w:szCs w:val="22"/>
          <w:lang w:eastAsia="en-US" w:bidi="ar-SA"/>
        </w:rPr>
        <w:t>t</w:t>
      </w:r>
      <w:r>
        <w:rPr>
          <w:spacing w:val="-3"/>
          <w:szCs w:val="22"/>
          <w:lang w:eastAsia="en-US" w:bidi="ar-SA"/>
        </w:rPr>
        <w:t>e</w:t>
      </w:r>
      <w:r>
        <w:rPr>
          <w:szCs w:val="22"/>
          <w:lang w:eastAsia="en-US" w:bidi="ar-SA"/>
        </w:rPr>
        <w:t>st</w:t>
      </w:r>
      <w:r>
        <w:rPr>
          <w:spacing w:val="-2"/>
          <w:szCs w:val="22"/>
          <w:lang w:eastAsia="en-US" w:bidi="ar-SA"/>
        </w:rPr>
        <w:t xml:space="preserve"> </w:t>
      </w:r>
      <w:r>
        <w:rPr>
          <w:spacing w:val="1"/>
          <w:szCs w:val="22"/>
          <w:lang w:eastAsia="en-US" w:bidi="ar-SA"/>
        </w:rPr>
        <w:t>la 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li</w:t>
      </w:r>
      <w:r>
        <w:rPr>
          <w:spacing w:val="-3"/>
          <w:szCs w:val="22"/>
          <w:lang w:eastAsia="en-US" w:bidi="ar-SA"/>
        </w:rPr>
        <w:t>n</w:t>
      </w:r>
      <w:r>
        <w:rPr>
          <w:szCs w:val="22"/>
          <w:lang w:eastAsia="en-US" w:bidi="ar-SA"/>
        </w:rPr>
        <w:t xml:space="preserve">ă). </w:t>
      </w:r>
      <w:r>
        <w:rPr>
          <w:spacing w:val="-3"/>
          <w:szCs w:val="22"/>
          <w:lang w:eastAsia="en-US" w:bidi="ar-SA"/>
        </w:rPr>
        <w:t>E</w:t>
      </w:r>
      <w:r>
        <w:rPr>
          <w:szCs w:val="22"/>
          <w:lang w:eastAsia="en-US" w:bidi="ar-SA"/>
        </w:rPr>
        <w:t>fe</w:t>
      </w:r>
      <w:r>
        <w:rPr>
          <w:spacing w:val="-2"/>
          <w:szCs w:val="22"/>
          <w:lang w:eastAsia="en-US" w:bidi="ar-SA"/>
        </w:rPr>
        <w:t>c</w:t>
      </w:r>
      <w:r>
        <w:rPr>
          <w:spacing w:val="1"/>
          <w:szCs w:val="22"/>
          <w:lang w:eastAsia="en-US" w:bidi="ar-SA"/>
        </w:rPr>
        <w:t>t</w:t>
      </w:r>
      <w:r>
        <w:rPr>
          <w:szCs w:val="22"/>
          <w:lang w:eastAsia="en-US" w:bidi="ar-SA"/>
        </w:rPr>
        <w:t>u</w:t>
      </w:r>
      <w:r>
        <w:rPr>
          <w:spacing w:val="-2"/>
          <w:szCs w:val="22"/>
          <w:lang w:eastAsia="en-US" w:bidi="ar-SA"/>
        </w:rPr>
        <w:t>a</w:t>
      </w:r>
      <w:r>
        <w:rPr>
          <w:szCs w:val="22"/>
          <w:lang w:eastAsia="en-US" w:bidi="ar-SA"/>
        </w:rPr>
        <w:t>rea</w:t>
      </w:r>
      <w:r>
        <w:rPr>
          <w:spacing w:val="-2"/>
          <w:szCs w:val="22"/>
          <w:lang w:eastAsia="en-US" w:bidi="ar-SA"/>
        </w:rPr>
        <w:t xml:space="preserve"> </w:t>
      </w:r>
      <w:r>
        <w:rPr>
          <w:szCs w:val="22"/>
          <w:lang w:eastAsia="en-US" w:bidi="ar-SA"/>
        </w:rPr>
        <w:t>şi</w:t>
      </w:r>
      <w:r>
        <w:rPr>
          <w:spacing w:val="-2"/>
          <w:szCs w:val="22"/>
          <w:lang w:eastAsia="en-US" w:bidi="ar-SA"/>
        </w:rPr>
        <w:t xml:space="preserve"> r</w:t>
      </w:r>
      <w:r>
        <w:rPr>
          <w:szCs w:val="22"/>
          <w:lang w:eastAsia="en-US" w:bidi="ar-SA"/>
        </w:rPr>
        <w:t>e</w:t>
      </w:r>
      <w:r>
        <w:rPr>
          <w:spacing w:val="-3"/>
          <w:szCs w:val="22"/>
          <w:lang w:eastAsia="en-US" w:bidi="ar-SA"/>
        </w:rPr>
        <w:t>z</w:t>
      </w:r>
      <w:r>
        <w:rPr>
          <w:szCs w:val="22"/>
          <w:lang w:eastAsia="en-US" w:bidi="ar-SA"/>
        </w:rPr>
        <w:t>u</w:t>
      </w:r>
      <w:r>
        <w:rPr>
          <w:spacing w:val="1"/>
          <w:szCs w:val="22"/>
          <w:lang w:eastAsia="en-US" w:bidi="ar-SA"/>
        </w:rPr>
        <w:t>lt</w:t>
      </w:r>
      <w:r>
        <w:rPr>
          <w:spacing w:val="-3"/>
          <w:szCs w:val="22"/>
          <w:lang w:eastAsia="en-US" w:bidi="ar-SA"/>
        </w:rPr>
        <w:t>a</w:t>
      </w:r>
      <w:r>
        <w:rPr>
          <w:spacing w:val="1"/>
          <w:szCs w:val="22"/>
          <w:lang w:eastAsia="en-US" w:bidi="ar-SA"/>
        </w:rPr>
        <w:t>t</w:t>
      </w:r>
      <w:r>
        <w:rPr>
          <w:spacing w:val="-3"/>
          <w:szCs w:val="22"/>
          <w:lang w:eastAsia="en-US" w:bidi="ar-SA"/>
        </w:rPr>
        <w:t>e</w:t>
      </w:r>
      <w:r>
        <w:rPr>
          <w:spacing w:val="1"/>
          <w:szCs w:val="22"/>
          <w:lang w:eastAsia="en-US" w:bidi="ar-SA"/>
        </w:rPr>
        <w:t>l</w:t>
      </w:r>
      <w:r>
        <w:rPr>
          <w:szCs w:val="22"/>
          <w:lang w:eastAsia="en-US" w:bidi="ar-SA"/>
        </w:rPr>
        <w:t xml:space="preserve">e </w:t>
      </w:r>
      <w:r>
        <w:rPr>
          <w:spacing w:val="-3"/>
          <w:szCs w:val="22"/>
          <w:lang w:eastAsia="en-US" w:bidi="ar-SA"/>
        </w:rPr>
        <w:t>a</w:t>
      </w:r>
      <w:r>
        <w:rPr>
          <w:szCs w:val="22"/>
          <w:lang w:eastAsia="en-US" w:bidi="ar-SA"/>
        </w:rPr>
        <w:t>ce</w:t>
      </w:r>
      <w:r>
        <w:rPr>
          <w:spacing w:val="-2"/>
          <w:szCs w:val="22"/>
          <w:lang w:eastAsia="en-US" w:bidi="ar-SA"/>
        </w:rPr>
        <w:t>s</w:t>
      </w:r>
      <w:r>
        <w:rPr>
          <w:spacing w:val="1"/>
          <w:szCs w:val="22"/>
          <w:lang w:eastAsia="en-US" w:bidi="ar-SA"/>
        </w:rPr>
        <w:t>t</w:t>
      </w:r>
      <w:r>
        <w:rPr>
          <w:spacing w:val="-1"/>
          <w:szCs w:val="22"/>
          <w:lang w:eastAsia="en-US" w:bidi="ar-SA"/>
        </w:rPr>
        <w:t>o</w:t>
      </w:r>
      <w:r>
        <w:rPr>
          <w:szCs w:val="22"/>
          <w:lang w:eastAsia="en-US" w:bidi="ar-SA"/>
        </w:rPr>
        <w:t>r</w:t>
      </w:r>
      <w:r>
        <w:rPr>
          <w:spacing w:val="-2"/>
          <w:szCs w:val="22"/>
          <w:lang w:eastAsia="en-US" w:bidi="ar-SA"/>
        </w:rPr>
        <w:t xml:space="preserve"> </w:t>
      </w:r>
      <w:r>
        <w:rPr>
          <w:spacing w:val="1"/>
          <w:szCs w:val="22"/>
          <w:lang w:eastAsia="en-US" w:bidi="ar-SA"/>
        </w:rPr>
        <w:t>t</w:t>
      </w:r>
      <w:r>
        <w:rPr>
          <w:spacing w:val="-3"/>
          <w:szCs w:val="22"/>
          <w:lang w:eastAsia="en-US" w:bidi="ar-SA"/>
        </w:rPr>
        <w:t>e</w:t>
      </w:r>
      <w:r>
        <w:rPr>
          <w:szCs w:val="22"/>
          <w:lang w:eastAsia="en-US" w:bidi="ar-SA"/>
        </w:rPr>
        <w:t>s</w:t>
      </w:r>
      <w:r>
        <w:rPr>
          <w:spacing w:val="1"/>
          <w:szCs w:val="22"/>
          <w:lang w:eastAsia="en-US" w:bidi="ar-SA"/>
        </w:rPr>
        <w:t>t</w:t>
      </w:r>
      <w:r>
        <w:rPr>
          <w:szCs w:val="22"/>
          <w:lang w:eastAsia="en-US" w:bidi="ar-SA"/>
        </w:rPr>
        <w:t>e</w:t>
      </w:r>
      <w:r>
        <w:rPr>
          <w:spacing w:val="-2"/>
          <w:szCs w:val="22"/>
          <w:lang w:eastAsia="en-US" w:bidi="ar-SA"/>
        </w:rPr>
        <w:t xml:space="preserve"> t</w:t>
      </w:r>
      <w:r>
        <w:rPr>
          <w:szCs w:val="22"/>
          <w:lang w:eastAsia="en-US" w:bidi="ar-SA"/>
        </w:rPr>
        <w:t>re</w:t>
      </w:r>
      <w:r>
        <w:rPr>
          <w:spacing w:val="-3"/>
          <w:szCs w:val="22"/>
          <w:lang w:eastAsia="en-US" w:bidi="ar-SA"/>
        </w:rPr>
        <w:t>b</w:t>
      </w:r>
      <w:r>
        <w:rPr>
          <w:szCs w:val="22"/>
          <w:lang w:eastAsia="en-US" w:bidi="ar-SA"/>
        </w:rPr>
        <w:t>u</w:t>
      </w:r>
      <w:r>
        <w:rPr>
          <w:spacing w:val="1"/>
          <w:szCs w:val="22"/>
          <w:lang w:eastAsia="en-US" w:bidi="ar-SA"/>
        </w:rPr>
        <w:t>i</w:t>
      </w:r>
      <w:r>
        <w:rPr>
          <w:szCs w:val="22"/>
          <w:lang w:eastAsia="en-US" w:bidi="ar-SA"/>
        </w:rPr>
        <w:t>e</w:t>
      </w:r>
      <w:r>
        <w:rPr>
          <w:spacing w:val="-2"/>
          <w:szCs w:val="22"/>
          <w:lang w:eastAsia="en-US" w:bidi="ar-SA"/>
        </w:rPr>
        <w:t xml:space="preserve"> </w:t>
      </w:r>
      <w:r>
        <w:rPr>
          <w:spacing w:val="1"/>
          <w:szCs w:val="22"/>
          <w:lang w:eastAsia="en-US" w:bidi="ar-SA"/>
        </w:rPr>
        <w:t>î</w:t>
      </w:r>
      <w:r>
        <w:rPr>
          <w:szCs w:val="22"/>
          <w:lang w:eastAsia="en-US" w:bidi="ar-SA"/>
        </w:rPr>
        <w:t>n</w:t>
      </w:r>
      <w:r>
        <w:rPr>
          <w:spacing w:val="-2"/>
          <w:szCs w:val="22"/>
          <w:lang w:eastAsia="en-US" w:bidi="ar-SA"/>
        </w:rPr>
        <w:t>r</w:t>
      </w:r>
      <w:r>
        <w:rPr>
          <w:szCs w:val="22"/>
          <w:lang w:eastAsia="en-US" w:bidi="ar-SA"/>
        </w:rPr>
        <w:t>e</w:t>
      </w:r>
      <w:r>
        <w:rPr>
          <w:spacing w:val="-3"/>
          <w:szCs w:val="22"/>
          <w:lang w:eastAsia="en-US" w:bidi="ar-SA"/>
        </w:rPr>
        <w:t>g</w:t>
      </w:r>
      <w:r>
        <w:rPr>
          <w:spacing w:val="1"/>
          <w:szCs w:val="22"/>
          <w:lang w:eastAsia="en-US" w:bidi="ar-SA"/>
        </w:rPr>
        <w:t>i</w:t>
      </w:r>
      <w:r>
        <w:rPr>
          <w:szCs w:val="22"/>
          <w:lang w:eastAsia="en-US" w:bidi="ar-SA"/>
        </w:rPr>
        <w:t>s</w:t>
      </w:r>
      <w:r>
        <w:rPr>
          <w:spacing w:val="-2"/>
          <w:szCs w:val="22"/>
          <w:lang w:eastAsia="en-US" w:bidi="ar-SA"/>
        </w:rPr>
        <w:t>t</w:t>
      </w:r>
      <w:r>
        <w:rPr>
          <w:szCs w:val="22"/>
          <w:lang w:eastAsia="en-US" w:bidi="ar-SA"/>
        </w:rPr>
        <w:t>ra</w:t>
      </w:r>
      <w:r>
        <w:rPr>
          <w:spacing w:val="-2"/>
          <w:szCs w:val="22"/>
          <w:lang w:eastAsia="en-US" w:bidi="ar-SA"/>
        </w:rPr>
        <w:t>t</w:t>
      </w:r>
      <w:r>
        <w:rPr>
          <w:szCs w:val="22"/>
          <w:lang w:eastAsia="en-US" w:bidi="ar-SA"/>
        </w:rPr>
        <w:t xml:space="preserve">e pe </w:t>
      </w:r>
      <w:r>
        <w:rPr>
          <w:b/>
          <w:spacing w:val="-4"/>
          <w:szCs w:val="22"/>
          <w:lang w:eastAsia="en-US" w:bidi="ar-SA"/>
        </w:rPr>
        <w:t>C</w:t>
      </w:r>
      <w:r>
        <w:rPr>
          <w:b/>
          <w:szCs w:val="22"/>
          <w:lang w:eastAsia="en-US" w:bidi="ar-SA"/>
        </w:rPr>
        <w:t>ard</w:t>
      </w:r>
      <w:r>
        <w:rPr>
          <w:b/>
          <w:spacing w:val="-3"/>
          <w:szCs w:val="22"/>
          <w:lang w:eastAsia="en-US" w:bidi="ar-SA"/>
        </w:rPr>
        <w:t>u</w:t>
      </w:r>
      <w:r>
        <w:rPr>
          <w:b/>
          <w:szCs w:val="22"/>
          <w:lang w:eastAsia="en-US" w:bidi="ar-SA"/>
        </w:rPr>
        <w:t>l</w:t>
      </w:r>
      <w:r>
        <w:rPr>
          <w:b/>
          <w:spacing w:val="1"/>
          <w:szCs w:val="22"/>
          <w:lang w:eastAsia="en-US" w:bidi="ar-SA"/>
        </w:rPr>
        <w:t xml:space="preserve"> </w:t>
      </w:r>
      <w:r>
        <w:rPr>
          <w:b/>
          <w:spacing w:val="-3"/>
          <w:szCs w:val="22"/>
          <w:lang w:eastAsia="en-US" w:bidi="ar-SA"/>
        </w:rPr>
        <w:t>d</w:t>
      </w:r>
      <w:r>
        <w:rPr>
          <w:b/>
          <w:szCs w:val="22"/>
          <w:lang w:eastAsia="en-US" w:bidi="ar-SA"/>
        </w:rPr>
        <w:t>u</w:t>
      </w:r>
      <w:r>
        <w:rPr>
          <w:b/>
          <w:spacing w:val="-4"/>
          <w:szCs w:val="22"/>
          <w:lang w:eastAsia="en-US" w:bidi="ar-SA"/>
        </w:rPr>
        <w:t>m</w:t>
      </w:r>
      <w:r>
        <w:rPr>
          <w:b/>
          <w:szCs w:val="22"/>
          <w:lang w:eastAsia="en-US" w:bidi="ar-SA"/>
        </w:rPr>
        <w:t>nea</w:t>
      </w:r>
      <w:r>
        <w:rPr>
          <w:b/>
          <w:spacing w:val="-3"/>
          <w:szCs w:val="22"/>
          <w:lang w:eastAsia="en-US" w:bidi="ar-SA"/>
        </w:rPr>
        <w:t>v</w:t>
      </w:r>
      <w:r>
        <w:rPr>
          <w:b/>
          <w:szCs w:val="22"/>
          <w:lang w:eastAsia="en-US" w:bidi="ar-SA"/>
        </w:rPr>
        <w:t>oas</w:t>
      </w:r>
      <w:r>
        <w:rPr>
          <w:b/>
          <w:spacing w:val="1"/>
          <w:szCs w:val="22"/>
          <w:lang w:eastAsia="en-US" w:bidi="ar-SA"/>
        </w:rPr>
        <w:t>t</w:t>
      </w:r>
      <w:r>
        <w:rPr>
          <w:b/>
          <w:szCs w:val="22"/>
          <w:lang w:eastAsia="en-US" w:bidi="ar-SA"/>
        </w:rPr>
        <w:t xml:space="preserve">ră </w:t>
      </w:r>
      <w:r>
        <w:rPr>
          <w:b/>
          <w:szCs w:val="22"/>
        </w:rPr>
        <w:t>de avertizare</w:t>
      </w:r>
      <w:r>
        <w:rPr>
          <w:szCs w:val="22"/>
          <w:lang w:eastAsia="en-US" w:bidi="ar-SA"/>
        </w:rPr>
        <w:t xml:space="preserve">. </w:t>
      </w:r>
      <w:r>
        <w:rPr>
          <w:spacing w:val="-3"/>
          <w:szCs w:val="22"/>
          <w:lang w:eastAsia="en-US" w:bidi="ar-SA"/>
        </w:rPr>
        <w:t>E</w:t>
      </w:r>
      <w:r>
        <w:rPr>
          <w:szCs w:val="22"/>
          <w:lang w:eastAsia="en-US" w:bidi="ar-SA"/>
        </w:rPr>
        <w:t>s</w:t>
      </w:r>
      <w:r>
        <w:rPr>
          <w:spacing w:val="-2"/>
          <w:szCs w:val="22"/>
          <w:lang w:eastAsia="en-US" w:bidi="ar-SA"/>
        </w:rPr>
        <w:t>t</w:t>
      </w:r>
      <w:r>
        <w:rPr>
          <w:szCs w:val="22"/>
          <w:lang w:eastAsia="en-US" w:bidi="ar-SA"/>
        </w:rPr>
        <w:t>e f</w:t>
      </w:r>
      <w:r>
        <w:rPr>
          <w:spacing w:val="-3"/>
          <w:szCs w:val="22"/>
          <w:lang w:eastAsia="en-US" w:bidi="ar-SA"/>
        </w:rPr>
        <w:t>o</w:t>
      </w:r>
      <w:r>
        <w:rPr>
          <w:szCs w:val="22"/>
          <w:lang w:eastAsia="en-US" w:bidi="ar-SA"/>
        </w:rPr>
        <w:t>a</w:t>
      </w:r>
      <w:r>
        <w:rPr>
          <w:spacing w:val="-2"/>
          <w:szCs w:val="22"/>
          <w:lang w:eastAsia="en-US" w:bidi="ar-SA"/>
        </w:rPr>
        <w:t>r</w:t>
      </w:r>
      <w:r>
        <w:rPr>
          <w:spacing w:val="1"/>
          <w:szCs w:val="22"/>
          <w:lang w:eastAsia="en-US" w:bidi="ar-SA"/>
        </w:rPr>
        <w:t>t</w:t>
      </w:r>
      <w:r>
        <w:rPr>
          <w:szCs w:val="22"/>
          <w:lang w:eastAsia="en-US" w:bidi="ar-SA"/>
        </w:rPr>
        <w:t>e</w:t>
      </w:r>
      <w:r>
        <w:rPr>
          <w:spacing w:val="-2"/>
          <w:szCs w:val="22"/>
          <w:lang w:eastAsia="en-US" w:bidi="ar-SA"/>
        </w:rPr>
        <w:t xml:space="preserve"> i</w:t>
      </w:r>
      <w:r>
        <w:rPr>
          <w:spacing w:val="-4"/>
          <w:szCs w:val="22"/>
          <w:lang w:eastAsia="en-US" w:bidi="ar-SA"/>
        </w:rPr>
        <w:t>m</w:t>
      </w:r>
      <w:r>
        <w:rPr>
          <w:szCs w:val="22"/>
          <w:lang w:eastAsia="en-US" w:bidi="ar-SA"/>
        </w:rPr>
        <w:t>por</w:t>
      </w:r>
      <w:r>
        <w:rPr>
          <w:spacing w:val="1"/>
          <w:szCs w:val="22"/>
          <w:lang w:eastAsia="en-US" w:bidi="ar-SA"/>
        </w:rPr>
        <w:t>t</w:t>
      </w:r>
      <w:r>
        <w:rPr>
          <w:szCs w:val="22"/>
          <w:lang w:eastAsia="en-US" w:bidi="ar-SA"/>
        </w:rPr>
        <w:t>ant</w:t>
      </w:r>
      <w:r>
        <w:rPr>
          <w:spacing w:val="1"/>
          <w:szCs w:val="22"/>
          <w:lang w:eastAsia="en-US" w:bidi="ar-SA"/>
        </w:rPr>
        <w:t xml:space="preserve"> </w:t>
      </w:r>
      <w:r>
        <w:rPr>
          <w:spacing w:val="-2"/>
          <w:szCs w:val="22"/>
          <w:lang w:eastAsia="en-US" w:bidi="ar-SA"/>
        </w:rPr>
        <w:t>s</w:t>
      </w:r>
      <w:r>
        <w:rPr>
          <w:szCs w:val="22"/>
          <w:lang w:eastAsia="en-US" w:bidi="ar-SA"/>
        </w:rPr>
        <w:t>ă</w:t>
      </w:r>
      <w:r>
        <w:rPr>
          <w:spacing w:val="-5"/>
          <w:szCs w:val="22"/>
          <w:lang w:eastAsia="en-US" w:bidi="ar-SA"/>
        </w:rPr>
        <w:t>-</w:t>
      </w:r>
      <w:r>
        <w:rPr>
          <w:szCs w:val="22"/>
          <w:lang w:eastAsia="en-US" w:bidi="ar-SA"/>
        </w:rPr>
        <w:t>i</w:t>
      </w:r>
      <w:r>
        <w:rPr>
          <w:spacing w:val="1"/>
          <w:szCs w:val="22"/>
          <w:lang w:eastAsia="en-US" w:bidi="ar-SA"/>
        </w:rPr>
        <w:t xml:space="preserve"> </w:t>
      </w:r>
      <w:r>
        <w:rPr>
          <w:szCs w:val="22"/>
          <w:lang w:eastAsia="en-US" w:bidi="ar-SA"/>
        </w:rPr>
        <w:t>spune</w:t>
      </w:r>
      <w:r>
        <w:rPr>
          <w:spacing w:val="-2"/>
          <w:szCs w:val="22"/>
          <w:lang w:eastAsia="en-US" w:bidi="ar-SA"/>
        </w:rPr>
        <w:t>ţ</w:t>
      </w:r>
      <w:r>
        <w:rPr>
          <w:szCs w:val="22"/>
          <w:lang w:eastAsia="en-US" w:bidi="ar-SA"/>
        </w:rPr>
        <w:t>i</w:t>
      </w:r>
      <w:r>
        <w:rPr>
          <w:spacing w:val="1"/>
          <w:szCs w:val="22"/>
          <w:lang w:eastAsia="en-US" w:bidi="ar-SA"/>
        </w:rPr>
        <w:t xml:space="preserve"> </w:t>
      </w:r>
      <w:r>
        <w:rPr>
          <w:spacing w:val="-4"/>
          <w:szCs w:val="22"/>
          <w:lang w:eastAsia="en-US" w:bidi="ar-SA"/>
        </w:rPr>
        <w:t>m</w:t>
      </w:r>
      <w:r>
        <w:rPr>
          <w:szCs w:val="22"/>
          <w:lang w:eastAsia="en-US" w:bidi="ar-SA"/>
        </w:rPr>
        <w:t>ed</w:t>
      </w:r>
      <w:r>
        <w:rPr>
          <w:spacing w:val="1"/>
          <w:szCs w:val="22"/>
          <w:lang w:eastAsia="en-US" w:bidi="ar-SA"/>
        </w:rPr>
        <w:t>i</w:t>
      </w:r>
      <w:r>
        <w:rPr>
          <w:spacing w:val="-3"/>
          <w:szCs w:val="22"/>
          <w:lang w:eastAsia="en-US" w:bidi="ar-SA"/>
        </w:rPr>
        <w:t>c</w:t>
      </w:r>
      <w:r>
        <w:rPr>
          <w:szCs w:val="22"/>
          <w:lang w:eastAsia="en-US" w:bidi="ar-SA"/>
        </w:rPr>
        <w:t>u</w:t>
      </w:r>
      <w:r>
        <w:rPr>
          <w:spacing w:val="1"/>
          <w:szCs w:val="22"/>
          <w:lang w:eastAsia="en-US" w:bidi="ar-SA"/>
        </w:rPr>
        <w:t>l</w:t>
      </w:r>
      <w:r>
        <w:rPr>
          <w:szCs w:val="22"/>
          <w:lang w:eastAsia="en-US" w:bidi="ar-SA"/>
        </w:rPr>
        <w:t>ui</w:t>
      </w:r>
      <w:r>
        <w:rPr>
          <w:spacing w:val="-2"/>
          <w:szCs w:val="22"/>
          <w:lang w:eastAsia="en-US" w:bidi="ar-SA"/>
        </w:rPr>
        <w:t xml:space="preserve"> </w:t>
      </w:r>
      <w:r>
        <w:rPr>
          <w:szCs w:val="22"/>
          <w:lang w:eastAsia="en-US" w:bidi="ar-SA"/>
        </w:rPr>
        <w:t>du</w:t>
      </w:r>
      <w:r>
        <w:rPr>
          <w:spacing w:val="-4"/>
          <w:szCs w:val="22"/>
          <w:lang w:eastAsia="en-US" w:bidi="ar-SA"/>
        </w:rPr>
        <w:t>m</w:t>
      </w:r>
      <w:r>
        <w:rPr>
          <w:szCs w:val="22"/>
          <w:lang w:eastAsia="en-US" w:bidi="ar-SA"/>
        </w:rPr>
        <w:t>nea</w:t>
      </w:r>
      <w:r>
        <w:rPr>
          <w:spacing w:val="-3"/>
          <w:szCs w:val="22"/>
          <w:lang w:eastAsia="en-US" w:bidi="ar-SA"/>
        </w:rPr>
        <w:t>v</w:t>
      </w:r>
      <w:r>
        <w:rPr>
          <w:szCs w:val="22"/>
          <w:lang w:eastAsia="en-US" w:bidi="ar-SA"/>
        </w:rPr>
        <w:t>oas</w:t>
      </w:r>
      <w:r>
        <w:rPr>
          <w:spacing w:val="1"/>
          <w:szCs w:val="22"/>
          <w:lang w:eastAsia="en-US" w:bidi="ar-SA"/>
        </w:rPr>
        <w:t>t</w:t>
      </w:r>
      <w:r>
        <w:rPr>
          <w:spacing w:val="-2"/>
          <w:szCs w:val="22"/>
          <w:lang w:eastAsia="en-US" w:bidi="ar-SA"/>
        </w:rPr>
        <w:t>r</w:t>
      </w:r>
      <w:r>
        <w:rPr>
          <w:szCs w:val="22"/>
          <w:lang w:eastAsia="en-US" w:bidi="ar-SA"/>
        </w:rPr>
        <w:t>ă da</w:t>
      </w:r>
      <w:r>
        <w:rPr>
          <w:spacing w:val="-3"/>
          <w:szCs w:val="22"/>
          <w:lang w:eastAsia="en-US" w:bidi="ar-SA"/>
        </w:rPr>
        <w:t>c</w:t>
      </w:r>
      <w:r>
        <w:rPr>
          <w:szCs w:val="22"/>
          <w:lang w:eastAsia="en-US" w:bidi="ar-SA"/>
        </w:rPr>
        <w:t xml:space="preserve">ă </w:t>
      </w:r>
      <w:r>
        <w:rPr>
          <w:spacing w:val="-3"/>
          <w:szCs w:val="22"/>
          <w:lang w:eastAsia="en-US" w:bidi="ar-SA"/>
        </w:rPr>
        <w:t>a</w:t>
      </w:r>
      <w:r>
        <w:rPr>
          <w:spacing w:val="-2"/>
          <w:szCs w:val="22"/>
          <w:lang w:eastAsia="en-US" w:bidi="ar-SA"/>
        </w:rPr>
        <w:t>ţ</w:t>
      </w:r>
      <w:r>
        <w:rPr>
          <w:szCs w:val="22"/>
          <w:lang w:eastAsia="en-US" w:bidi="ar-SA"/>
        </w:rPr>
        <w:t>i</w:t>
      </w:r>
      <w:r>
        <w:rPr>
          <w:spacing w:val="1"/>
          <w:szCs w:val="22"/>
          <w:lang w:eastAsia="en-US" w:bidi="ar-SA"/>
        </w:rPr>
        <w:t xml:space="preserve"> </w:t>
      </w:r>
      <w:r>
        <w:rPr>
          <w:szCs w:val="22"/>
          <w:lang w:eastAsia="en-US" w:bidi="ar-SA"/>
        </w:rPr>
        <w:t>a</w:t>
      </w:r>
      <w:r>
        <w:rPr>
          <w:spacing w:val="-3"/>
          <w:szCs w:val="22"/>
          <w:lang w:eastAsia="en-US" w:bidi="ar-SA"/>
        </w:rPr>
        <w:t>v</w:t>
      </w:r>
      <w:r>
        <w:rPr>
          <w:szCs w:val="22"/>
          <w:lang w:eastAsia="en-US" w:bidi="ar-SA"/>
        </w:rPr>
        <w:t>ut</w:t>
      </w:r>
      <w:r>
        <w:rPr>
          <w:spacing w:val="1"/>
          <w:szCs w:val="22"/>
          <w:lang w:eastAsia="en-US" w:bidi="ar-SA"/>
        </w:rPr>
        <w:t xml:space="preserve"> </w:t>
      </w:r>
      <w:r>
        <w:rPr>
          <w:spacing w:val="-3"/>
          <w:szCs w:val="22"/>
          <w:lang w:eastAsia="en-US" w:bidi="ar-SA"/>
        </w:rPr>
        <w:t>v</w:t>
      </w:r>
      <w:r>
        <w:rPr>
          <w:szCs w:val="22"/>
          <w:lang w:eastAsia="en-US" w:bidi="ar-SA"/>
        </w:rPr>
        <w:t>reod</w:t>
      </w:r>
      <w:r>
        <w:rPr>
          <w:spacing w:val="-3"/>
          <w:szCs w:val="22"/>
          <w:lang w:eastAsia="en-US" w:bidi="ar-SA"/>
        </w:rPr>
        <w:t>a</w:t>
      </w:r>
      <w:r>
        <w:rPr>
          <w:spacing w:val="1"/>
          <w:szCs w:val="22"/>
          <w:lang w:eastAsia="en-US" w:bidi="ar-SA"/>
        </w:rPr>
        <w:t>t</w:t>
      </w:r>
      <w:r>
        <w:rPr>
          <w:szCs w:val="22"/>
          <w:lang w:eastAsia="en-US" w:bidi="ar-SA"/>
        </w:rPr>
        <w:t xml:space="preserve">ă </w:t>
      </w:r>
      <w:r>
        <w:rPr>
          <w:spacing w:val="1"/>
          <w:szCs w:val="22"/>
          <w:lang w:eastAsia="en-US" w:bidi="ar-SA"/>
        </w:rPr>
        <w:t>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ă sau</w:t>
      </w:r>
      <w:r>
        <w:rPr>
          <w:spacing w:val="-3"/>
          <w:szCs w:val="22"/>
          <w:lang w:eastAsia="en-US" w:bidi="ar-SA"/>
        </w:rPr>
        <w:t xml:space="preserve"> </w:t>
      </w:r>
      <w:r>
        <w:rPr>
          <w:szCs w:val="22"/>
          <w:lang w:eastAsia="en-US" w:bidi="ar-SA"/>
        </w:rPr>
        <w:t>dacă</w:t>
      </w:r>
      <w:r>
        <w:rPr>
          <w:spacing w:val="-2"/>
          <w:szCs w:val="22"/>
          <w:lang w:eastAsia="en-US" w:bidi="ar-SA"/>
        </w:rPr>
        <w:t xml:space="preserve"> </w:t>
      </w:r>
      <w:r>
        <w:rPr>
          <w:szCs w:val="22"/>
          <w:lang w:eastAsia="en-US" w:bidi="ar-SA"/>
        </w:rPr>
        <w:t>a</w:t>
      </w:r>
      <w:r>
        <w:rPr>
          <w:spacing w:val="-2"/>
          <w:szCs w:val="22"/>
          <w:lang w:eastAsia="en-US" w:bidi="ar-SA"/>
        </w:rPr>
        <w:t>ţ</w:t>
      </w:r>
      <w:r>
        <w:rPr>
          <w:szCs w:val="22"/>
          <w:lang w:eastAsia="en-US" w:bidi="ar-SA"/>
        </w:rPr>
        <w:t>i</w:t>
      </w:r>
      <w:r>
        <w:rPr>
          <w:spacing w:val="1"/>
          <w:szCs w:val="22"/>
          <w:lang w:eastAsia="en-US" w:bidi="ar-SA"/>
        </w:rPr>
        <w:t xml:space="preserve"> </w:t>
      </w:r>
      <w:r>
        <w:rPr>
          <w:spacing w:val="-2"/>
          <w:szCs w:val="22"/>
          <w:lang w:eastAsia="en-US" w:bidi="ar-SA"/>
        </w:rPr>
        <w:t>f</w:t>
      </w:r>
      <w:r>
        <w:rPr>
          <w:szCs w:val="22"/>
          <w:lang w:eastAsia="en-US" w:bidi="ar-SA"/>
        </w:rPr>
        <w:t>o</w:t>
      </w:r>
      <w:r>
        <w:rPr>
          <w:spacing w:val="-2"/>
          <w:szCs w:val="22"/>
          <w:lang w:eastAsia="en-US" w:bidi="ar-SA"/>
        </w:rPr>
        <w:t>s</w:t>
      </w:r>
      <w:r>
        <w:rPr>
          <w:szCs w:val="22"/>
          <w:lang w:eastAsia="en-US" w:bidi="ar-SA"/>
        </w:rPr>
        <w:t>t</w:t>
      </w:r>
      <w:r>
        <w:rPr>
          <w:spacing w:val="1"/>
          <w:szCs w:val="22"/>
          <w:lang w:eastAsia="en-US" w:bidi="ar-SA"/>
        </w:rPr>
        <w:t xml:space="preserve"> î</w:t>
      </w:r>
      <w:r>
        <w:rPr>
          <w:szCs w:val="22"/>
          <w:lang w:eastAsia="en-US" w:bidi="ar-SA"/>
        </w:rPr>
        <w:t>n</w:t>
      </w:r>
      <w:r>
        <w:rPr>
          <w:spacing w:val="-3"/>
          <w:szCs w:val="22"/>
          <w:lang w:eastAsia="en-US" w:bidi="ar-SA"/>
        </w:rPr>
        <w:t xml:space="preserve"> </w:t>
      </w:r>
      <w:r>
        <w:rPr>
          <w:szCs w:val="22"/>
          <w:lang w:eastAsia="en-US" w:bidi="ar-SA"/>
        </w:rPr>
        <w:t>co</w:t>
      </w:r>
      <w:r>
        <w:rPr>
          <w:spacing w:val="-3"/>
          <w:szCs w:val="22"/>
          <w:lang w:eastAsia="en-US" w:bidi="ar-SA"/>
        </w:rPr>
        <w:t>n</w:t>
      </w:r>
      <w:r>
        <w:rPr>
          <w:spacing w:val="1"/>
          <w:szCs w:val="22"/>
          <w:lang w:eastAsia="en-US" w:bidi="ar-SA"/>
        </w:rPr>
        <w:t>t</w:t>
      </w:r>
      <w:r>
        <w:rPr>
          <w:szCs w:val="22"/>
          <w:lang w:eastAsia="en-US" w:bidi="ar-SA"/>
        </w:rPr>
        <w:t>a</w:t>
      </w:r>
      <w:r>
        <w:rPr>
          <w:spacing w:val="-3"/>
          <w:szCs w:val="22"/>
          <w:lang w:eastAsia="en-US" w:bidi="ar-SA"/>
        </w:rPr>
        <w:t>c</w:t>
      </w:r>
      <w:r>
        <w:rPr>
          <w:szCs w:val="22"/>
          <w:lang w:eastAsia="en-US" w:bidi="ar-SA"/>
        </w:rPr>
        <w:t>t</w:t>
      </w:r>
      <w:r>
        <w:rPr>
          <w:spacing w:val="1"/>
          <w:szCs w:val="22"/>
          <w:lang w:eastAsia="en-US" w:bidi="ar-SA"/>
        </w:rPr>
        <w:t xml:space="preserve"> </w:t>
      </w:r>
      <w:r>
        <w:rPr>
          <w:szCs w:val="22"/>
          <w:lang w:eastAsia="en-US" w:bidi="ar-SA"/>
        </w:rPr>
        <w:t>d</w:t>
      </w:r>
      <w:r>
        <w:rPr>
          <w:spacing w:val="-2"/>
          <w:szCs w:val="22"/>
          <w:lang w:eastAsia="en-US" w:bidi="ar-SA"/>
        </w:rPr>
        <w:t>i</w:t>
      </w:r>
      <w:r>
        <w:rPr>
          <w:szCs w:val="22"/>
          <w:lang w:eastAsia="en-US" w:bidi="ar-SA"/>
        </w:rPr>
        <w:t>r</w:t>
      </w:r>
      <w:r>
        <w:rPr>
          <w:spacing w:val="-3"/>
          <w:szCs w:val="22"/>
          <w:lang w:eastAsia="en-US" w:bidi="ar-SA"/>
        </w:rPr>
        <w:t>e</w:t>
      </w:r>
      <w:r>
        <w:rPr>
          <w:szCs w:val="22"/>
          <w:lang w:eastAsia="en-US" w:bidi="ar-SA"/>
        </w:rPr>
        <w:t>ct</w:t>
      </w:r>
      <w:r>
        <w:rPr>
          <w:spacing w:val="1"/>
          <w:szCs w:val="22"/>
          <w:lang w:eastAsia="en-US" w:bidi="ar-SA"/>
        </w:rPr>
        <w:t xml:space="preserve"> </w:t>
      </w:r>
      <w:r>
        <w:rPr>
          <w:spacing w:val="-3"/>
          <w:szCs w:val="22"/>
          <w:lang w:eastAsia="en-US" w:bidi="ar-SA"/>
        </w:rPr>
        <w:t>c</w:t>
      </w:r>
      <w:r>
        <w:rPr>
          <w:szCs w:val="22"/>
          <w:lang w:eastAsia="en-US" w:bidi="ar-SA"/>
        </w:rPr>
        <w:t xml:space="preserve">u </w:t>
      </w:r>
      <w:r>
        <w:rPr>
          <w:spacing w:val="-3"/>
          <w:szCs w:val="22"/>
          <w:lang w:eastAsia="en-US" w:bidi="ar-SA"/>
        </w:rPr>
        <w:t>c</w:t>
      </w:r>
      <w:r>
        <w:rPr>
          <w:spacing w:val="1"/>
          <w:szCs w:val="22"/>
          <w:lang w:eastAsia="en-US" w:bidi="ar-SA"/>
        </w:rPr>
        <w:t>i</w:t>
      </w:r>
      <w:r>
        <w:rPr>
          <w:szCs w:val="22"/>
          <w:lang w:eastAsia="en-US" w:bidi="ar-SA"/>
        </w:rPr>
        <w:t>ne</w:t>
      </w:r>
      <w:r>
        <w:rPr>
          <w:spacing w:val="-3"/>
          <w:szCs w:val="22"/>
          <w:lang w:eastAsia="en-US" w:bidi="ar-SA"/>
        </w:rPr>
        <w:t>v</w:t>
      </w:r>
      <w:r>
        <w:rPr>
          <w:szCs w:val="22"/>
          <w:lang w:eastAsia="en-US" w:bidi="ar-SA"/>
        </w:rPr>
        <w:t>a</w:t>
      </w:r>
      <w:r>
        <w:rPr>
          <w:spacing w:val="-2"/>
          <w:szCs w:val="22"/>
          <w:lang w:eastAsia="en-US" w:bidi="ar-SA"/>
        </w:rPr>
        <w:t xml:space="preserve"> </w:t>
      </w:r>
      <w:r>
        <w:rPr>
          <w:szCs w:val="22"/>
          <w:lang w:eastAsia="en-US" w:bidi="ar-SA"/>
        </w:rPr>
        <w:t>care</w:t>
      </w:r>
      <w:r>
        <w:rPr>
          <w:spacing w:val="-2"/>
          <w:szCs w:val="22"/>
          <w:lang w:eastAsia="en-US" w:bidi="ar-SA"/>
        </w:rPr>
        <w:t xml:space="preserve"> </w:t>
      </w:r>
      <w:r>
        <w:rPr>
          <w:szCs w:val="22"/>
          <w:lang w:eastAsia="en-US" w:bidi="ar-SA"/>
        </w:rPr>
        <w:t>a a</w:t>
      </w:r>
      <w:r>
        <w:rPr>
          <w:spacing w:val="-3"/>
          <w:szCs w:val="22"/>
          <w:lang w:eastAsia="en-US" w:bidi="ar-SA"/>
        </w:rPr>
        <w:t>v</w:t>
      </w:r>
      <w:r>
        <w:rPr>
          <w:szCs w:val="22"/>
          <w:lang w:eastAsia="en-US" w:bidi="ar-SA"/>
        </w:rPr>
        <w:t>ut</w:t>
      </w:r>
      <w:r>
        <w:rPr>
          <w:spacing w:val="-2"/>
          <w:szCs w:val="22"/>
          <w:lang w:eastAsia="en-US" w:bidi="ar-SA"/>
        </w:rPr>
        <w:t xml:space="preserve"> </w:t>
      </w:r>
      <w:r>
        <w:rPr>
          <w:spacing w:val="1"/>
          <w:szCs w:val="22"/>
          <w:lang w:eastAsia="en-US" w:bidi="ar-SA"/>
        </w:rPr>
        <w:t>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ă.</w:t>
      </w:r>
    </w:p>
    <w:p w14:paraId="2D6CC77F"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lang w:eastAsia="en-US" w:bidi="ar-SA"/>
        </w:rPr>
      </w:pPr>
      <w:r>
        <w:rPr>
          <w:spacing w:val="1"/>
          <w:szCs w:val="22"/>
          <w:lang w:eastAsia="en-US" w:bidi="ar-SA"/>
        </w:rPr>
        <w:t>T</w:t>
      </w:r>
      <w:r>
        <w:rPr>
          <w:spacing w:val="-3"/>
          <w:szCs w:val="22"/>
          <w:lang w:eastAsia="en-US" w:bidi="ar-SA"/>
        </w:rPr>
        <w:t>u</w:t>
      </w:r>
      <w:r>
        <w:rPr>
          <w:szCs w:val="22"/>
          <w:lang w:eastAsia="en-US" w:bidi="ar-SA"/>
        </w:rPr>
        <w:t>berc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a se poa</w:t>
      </w:r>
      <w:r>
        <w:rPr>
          <w:spacing w:val="1"/>
          <w:szCs w:val="22"/>
          <w:lang w:eastAsia="en-US" w:bidi="ar-SA"/>
        </w:rPr>
        <w:t>t</w:t>
      </w:r>
      <w:r>
        <w:rPr>
          <w:szCs w:val="22"/>
          <w:lang w:eastAsia="en-US" w:bidi="ar-SA"/>
        </w:rPr>
        <w:t>e</w:t>
      </w:r>
      <w:r>
        <w:rPr>
          <w:spacing w:val="-2"/>
          <w:szCs w:val="22"/>
          <w:lang w:eastAsia="en-US" w:bidi="ar-SA"/>
        </w:rPr>
        <w:t xml:space="preserve"> </w:t>
      </w:r>
      <w:r>
        <w:rPr>
          <w:szCs w:val="22"/>
          <w:lang w:eastAsia="en-US" w:bidi="ar-SA"/>
        </w:rPr>
        <w:t>de</w:t>
      </w:r>
      <w:r>
        <w:rPr>
          <w:spacing w:val="-3"/>
          <w:szCs w:val="22"/>
          <w:lang w:eastAsia="en-US" w:bidi="ar-SA"/>
        </w:rPr>
        <w:t>zv</w:t>
      </w:r>
      <w:r>
        <w:rPr>
          <w:szCs w:val="22"/>
          <w:lang w:eastAsia="en-US" w:bidi="ar-SA"/>
        </w:rPr>
        <w:t>o</w:t>
      </w:r>
      <w:r>
        <w:rPr>
          <w:spacing w:val="1"/>
          <w:szCs w:val="22"/>
          <w:lang w:eastAsia="en-US" w:bidi="ar-SA"/>
        </w:rPr>
        <w:t>lt</w:t>
      </w:r>
      <w:r>
        <w:rPr>
          <w:szCs w:val="22"/>
          <w:lang w:eastAsia="en-US" w:bidi="ar-SA"/>
        </w:rPr>
        <w:t>a</w:t>
      </w:r>
      <w:r>
        <w:rPr>
          <w:spacing w:val="-2"/>
          <w:szCs w:val="22"/>
          <w:lang w:eastAsia="en-US" w:bidi="ar-SA"/>
        </w:rPr>
        <w:t xml:space="preserve"> </w:t>
      </w:r>
      <w:r>
        <w:rPr>
          <w:spacing w:val="1"/>
          <w:szCs w:val="22"/>
          <w:lang w:eastAsia="en-US" w:bidi="ar-SA"/>
        </w:rPr>
        <w:t>î</w:t>
      </w:r>
      <w:r>
        <w:rPr>
          <w:szCs w:val="22"/>
          <w:lang w:eastAsia="en-US" w:bidi="ar-SA"/>
        </w:rPr>
        <w:t xml:space="preserve">n </w:t>
      </w:r>
      <w:r>
        <w:rPr>
          <w:spacing w:val="-2"/>
          <w:szCs w:val="22"/>
          <w:lang w:eastAsia="en-US" w:bidi="ar-SA"/>
        </w:rPr>
        <w:t>t</w:t>
      </w:r>
      <w:r>
        <w:rPr>
          <w:spacing w:val="1"/>
          <w:szCs w:val="22"/>
          <w:lang w:eastAsia="en-US" w:bidi="ar-SA"/>
        </w:rPr>
        <w:t>i</w:t>
      </w:r>
      <w:r>
        <w:rPr>
          <w:spacing w:val="-4"/>
          <w:szCs w:val="22"/>
          <w:lang w:eastAsia="en-US" w:bidi="ar-SA"/>
        </w:rPr>
        <w:t>m</w:t>
      </w:r>
      <w:r>
        <w:rPr>
          <w:szCs w:val="22"/>
          <w:lang w:eastAsia="en-US" w:bidi="ar-SA"/>
        </w:rPr>
        <w:t>pul</w:t>
      </w:r>
      <w:r>
        <w:rPr>
          <w:spacing w:val="1"/>
          <w:szCs w:val="22"/>
          <w:lang w:eastAsia="en-US" w:bidi="ar-SA"/>
        </w:rPr>
        <w:t xml:space="preserve"> </w:t>
      </w:r>
      <w:r>
        <w:rPr>
          <w:spacing w:val="-2"/>
          <w:szCs w:val="22"/>
          <w:lang w:eastAsia="en-US" w:bidi="ar-SA"/>
        </w:rPr>
        <w:t>t</w:t>
      </w:r>
      <w:r>
        <w:rPr>
          <w:szCs w:val="22"/>
          <w:lang w:eastAsia="en-US" w:bidi="ar-SA"/>
        </w:rPr>
        <w:t>r</w:t>
      </w:r>
      <w:r>
        <w:rPr>
          <w:spacing w:val="-3"/>
          <w:szCs w:val="22"/>
          <w:lang w:eastAsia="en-US" w:bidi="ar-SA"/>
        </w:rPr>
        <w:t>a</w:t>
      </w:r>
      <w:r>
        <w:rPr>
          <w:spacing w:val="1"/>
          <w:szCs w:val="22"/>
          <w:lang w:eastAsia="en-US" w:bidi="ar-SA"/>
        </w:rPr>
        <w:t>t</w:t>
      </w:r>
      <w:r>
        <w:rPr>
          <w:szCs w:val="22"/>
          <w:lang w:eastAsia="en-US" w:bidi="ar-SA"/>
        </w:rPr>
        <w:t>a</w:t>
      </w:r>
      <w:r>
        <w:rPr>
          <w:spacing w:val="-4"/>
          <w:szCs w:val="22"/>
          <w:lang w:eastAsia="en-US" w:bidi="ar-SA"/>
        </w:rPr>
        <w:t>m</w:t>
      </w:r>
      <w:r>
        <w:rPr>
          <w:szCs w:val="22"/>
          <w:lang w:eastAsia="en-US" w:bidi="ar-SA"/>
        </w:rPr>
        <w:t>en</w:t>
      </w:r>
      <w:r>
        <w:rPr>
          <w:spacing w:val="1"/>
          <w:szCs w:val="22"/>
          <w:lang w:eastAsia="en-US" w:bidi="ar-SA"/>
        </w:rPr>
        <w:t>t</w:t>
      </w:r>
      <w:r>
        <w:rPr>
          <w:szCs w:val="22"/>
          <w:lang w:eastAsia="en-US" w:bidi="ar-SA"/>
        </w:rPr>
        <w:t>u</w:t>
      </w:r>
      <w:r>
        <w:rPr>
          <w:spacing w:val="1"/>
          <w:szCs w:val="22"/>
          <w:lang w:eastAsia="en-US" w:bidi="ar-SA"/>
        </w:rPr>
        <w:t>l</w:t>
      </w:r>
      <w:r>
        <w:rPr>
          <w:spacing w:val="-3"/>
          <w:szCs w:val="22"/>
          <w:lang w:eastAsia="en-US" w:bidi="ar-SA"/>
        </w:rPr>
        <w:t>u</w:t>
      </w:r>
      <w:r>
        <w:rPr>
          <w:spacing w:val="1"/>
          <w:szCs w:val="22"/>
          <w:lang w:eastAsia="en-US" w:bidi="ar-SA"/>
        </w:rPr>
        <w:t>i</w:t>
      </w:r>
      <w:r>
        <w:rPr>
          <w:szCs w:val="22"/>
          <w:lang w:eastAsia="en-US" w:bidi="ar-SA"/>
        </w:rPr>
        <w:t xml:space="preserve">, </w:t>
      </w:r>
      <w:r>
        <w:rPr>
          <w:spacing w:val="-3"/>
          <w:szCs w:val="22"/>
          <w:lang w:eastAsia="en-US" w:bidi="ar-SA"/>
        </w:rPr>
        <w:t>c</w:t>
      </w:r>
      <w:r>
        <w:rPr>
          <w:szCs w:val="22"/>
          <w:lang w:eastAsia="en-US" w:bidi="ar-SA"/>
        </w:rPr>
        <w:t>h</w:t>
      </w:r>
      <w:r>
        <w:rPr>
          <w:spacing w:val="1"/>
          <w:szCs w:val="22"/>
          <w:lang w:eastAsia="en-US" w:bidi="ar-SA"/>
        </w:rPr>
        <w:t>i</w:t>
      </w:r>
      <w:r>
        <w:rPr>
          <w:spacing w:val="-3"/>
          <w:szCs w:val="22"/>
          <w:lang w:eastAsia="en-US" w:bidi="ar-SA"/>
        </w:rPr>
        <w:t>a</w:t>
      </w:r>
      <w:r>
        <w:rPr>
          <w:szCs w:val="22"/>
          <w:lang w:eastAsia="en-US" w:bidi="ar-SA"/>
        </w:rPr>
        <w:t>r</w:t>
      </w:r>
      <w:r>
        <w:rPr>
          <w:spacing w:val="1"/>
          <w:szCs w:val="22"/>
          <w:lang w:eastAsia="en-US" w:bidi="ar-SA"/>
        </w:rPr>
        <w:t xml:space="preserve"> </w:t>
      </w:r>
      <w:r>
        <w:rPr>
          <w:szCs w:val="22"/>
          <w:lang w:eastAsia="en-US" w:bidi="ar-SA"/>
        </w:rPr>
        <w:t>d</w:t>
      </w:r>
      <w:r>
        <w:rPr>
          <w:spacing w:val="-3"/>
          <w:szCs w:val="22"/>
          <w:lang w:eastAsia="en-US" w:bidi="ar-SA"/>
        </w:rPr>
        <w:t>a</w:t>
      </w:r>
      <w:r>
        <w:rPr>
          <w:szCs w:val="22"/>
          <w:lang w:eastAsia="en-US" w:bidi="ar-SA"/>
        </w:rPr>
        <w:t xml:space="preserve">că </w:t>
      </w:r>
      <w:r>
        <w:rPr>
          <w:spacing w:val="-3"/>
          <w:szCs w:val="22"/>
          <w:lang w:eastAsia="en-US" w:bidi="ar-SA"/>
        </w:rPr>
        <w:t>a</w:t>
      </w:r>
      <w:r>
        <w:rPr>
          <w:spacing w:val="-2"/>
          <w:szCs w:val="22"/>
          <w:lang w:eastAsia="en-US" w:bidi="ar-SA"/>
        </w:rPr>
        <w:t>ț</w:t>
      </w:r>
      <w:r>
        <w:rPr>
          <w:szCs w:val="22"/>
          <w:lang w:eastAsia="en-US" w:bidi="ar-SA"/>
        </w:rPr>
        <w:t>i</w:t>
      </w:r>
      <w:r>
        <w:rPr>
          <w:spacing w:val="1"/>
          <w:szCs w:val="22"/>
          <w:lang w:eastAsia="en-US" w:bidi="ar-SA"/>
        </w:rPr>
        <w:t xml:space="preserve"> </w:t>
      </w:r>
      <w:r>
        <w:rPr>
          <w:spacing w:val="-3"/>
          <w:szCs w:val="22"/>
          <w:lang w:eastAsia="en-US" w:bidi="ar-SA"/>
        </w:rPr>
        <w:t>u</w:t>
      </w:r>
      <w:r>
        <w:rPr>
          <w:szCs w:val="22"/>
          <w:lang w:eastAsia="en-US" w:bidi="ar-SA"/>
        </w:rPr>
        <w:t>r</w:t>
      </w:r>
      <w:r>
        <w:rPr>
          <w:spacing w:val="-4"/>
          <w:szCs w:val="22"/>
          <w:lang w:eastAsia="en-US" w:bidi="ar-SA"/>
        </w:rPr>
        <w:t>m</w:t>
      </w:r>
      <w:r>
        <w:rPr>
          <w:szCs w:val="22"/>
          <w:lang w:eastAsia="en-US" w:bidi="ar-SA"/>
        </w:rPr>
        <w:t>at</w:t>
      </w:r>
      <w:r>
        <w:rPr>
          <w:spacing w:val="1"/>
          <w:szCs w:val="22"/>
          <w:lang w:eastAsia="en-US" w:bidi="ar-SA"/>
        </w:rPr>
        <w:t xml:space="preserve"> </w:t>
      </w:r>
      <w:r>
        <w:rPr>
          <w:szCs w:val="22"/>
          <w:lang w:eastAsia="en-US" w:bidi="ar-SA"/>
        </w:rPr>
        <w:t xml:space="preserve">un </w:t>
      </w:r>
      <w:r>
        <w:rPr>
          <w:spacing w:val="1"/>
          <w:szCs w:val="22"/>
          <w:lang w:eastAsia="en-US" w:bidi="ar-SA"/>
        </w:rPr>
        <w:t>t</w:t>
      </w:r>
      <w:r>
        <w:rPr>
          <w:spacing w:val="-2"/>
          <w:szCs w:val="22"/>
          <w:lang w:eastAsia="en-US" w:bidi="ar-SA"/>
        </w:rPr>
        <w:t>r</w:t>
      </w:r>
      <w:r>
        <w:rPr>
          <w:szCs w:val="22"/>
          <w:lang w:eastAsia="en-US" w:bidi="ar-SA"/>
        </w:rPr>
        <w:t>a</w:t>
      </w:r>
      <w:r>
        <w:rPr>
          <w:spacing w:val="-2"/>
          <w:szCs w:val="22"/>
          <w:lang w:eastAsia="en-US" w:bidi="ar-SA"/>
        </w:rPr>
        <w:t>t</w:t>
      </w:r>
      <w:r>
        <w:rPr>
          <w:szCs w:val="22"/>
          <w:lang w:eastAsia="en-US" w:bidi="ar-SA"/>
        </w:rPr>
        <w:t>a</w:t>
      </w:r>
      <w:r>
        <w:rPr>
          <w:spacing w:val="-4"/>
          <w:szCs w:val="22"/>
          <w:lang w:eastAsia="en-US" w:bidi="ar-SA"/>
        </w:rPr>
        <w:t>m</w:t>
      </w:r>
      <w:r>
        <w:rPr>
          <w:szCs w:val="22"/>
          <w:lang w:eastAsia="en-US" w:bidi="ar-SA"/>
        </w:rPr>
        <w:t>ent</w:t>
      </w:r>
      <w:r>
        <w:rPr>
          <w:spacing w:val="1"/>
          <w:szCs w:val="22"/>
          <w:lang w:eastAsia="en-US" w:bidi="ar-SA"/>
        </w:rPr>
        <w:t xml:space="preserve"> </w:t>
      </w:r>
      <w:r>
        <w:rPr>
          <w:szCs w:val="22"/>
          <w:lang w:eastAsia="en-US" w:bidi="ar-SA"/>
        </w:rPr>
        <w:t>pre</w:t>
      </w:r>
      <w:r>
        <w:rPr>
          <w:spacing w:val="-3"/>
          <w:szCs w:val="22"/>
          <w:lang w:eastAsia="en-US" w:bidi="ar-SA"/>
        </w:rPr>
        <w:t>v</w:t>
      </w:r>
      <w:r>
        <w:rPr>
          <w:szCs w:val="22"/>
          <w:lang w:eastAsia="en-US" w:bidi="ar-SA"/>
        </w:rPr>
        <w:t>e</w:t>
      </w:r>
      <w:r>
        <w:rPr>
          <w:spacing w:val="-3"/>
          <w:szCs w:val="22"/>
          <w:lang w:eastAsia="en-US" w:bidi="ar-SA"/>
        </w:rPr>
        <w:t>n</w:t>
      </w:r>
      <w:r>
        <w:rPr>
          <w:spacing w:val="1"/>
          <w:szCs w:val="22"/>
          <w:lang w:eastAsia="en-US" w:bidi="ar-SA"/>
        </w:rPr>
        <w:t>ti</w:t>
      </w:r>
      <w:r>
        <w:rPr>
          <w:szCs w:val="22"/>
          <w:lang w:eastAsia="en-US" w:bidi="ar-SA"/>
        </w:rPr>
        <w:t>v</w:t>
      </w:r>
      <w:r>
        <w:rPr>
          <w:spacing w:val="-3"/>
          <w:szCs w:val="22"/>
          <w:lang w:eastAsia="en-US" w:bidi="ar-SA"/>
        </w:rPr>
        <w:t xml:space="preserve"> </w:t>
      </w:r>
      <w:r>
        <w:rPr>
          <w:szCs w:val="22"/>
          <w:lang w:eastAsia="en-US" w:bidi="ar-SA"/>
        </w:rPr>
        <w:t>pen</w:t>
      </w:r>
      <w:r>
        <w:rPr>
          <w:spacing w:val="-2"/>
          <w:szCs w:val="22"/>
          <w:lang w:eastAsia="en-US" w:bidi="ar-SA"/>
        </w:rPr>
        <w:t>t</w:t>
      </w:r>
      <w:r>
        <w:rPr>
          <w:szCs w:val="22"/>
          <w:lang w:eastAsia="en-US" w:bidi="ar-SA"/>
        </w:rPr>
        <w:t xml:space="preserve">ru </w:t>
      </w:r>
      <w:r>
        <w:rPr>
          <w:spacing w:val="1"/>
          <w:szCs w:val="22"/>
          <w:lang w:eastAsia="en-US" w:bidi="ar-SA"/>
        </w:rPr>
        <w:t>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ă.</w:t>
      </w:r>
    </w:p>
    <w:p w14:paraId="412E2363"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lang w:eastAsia="en-US" w:bidi="ar-SA"/>
        </w:rPr>
      </w:pPr>
      <w:r>
        <w:rPr>
          <w:spacing w:val="-1"/>
          <w:szCs w:val="22"/>
          <w:lang w:eastAsia="en-US" w:bidi="ar-SA"/>
        </w:rPr>
        <w:t>D</w:t>
      </w:r>
      <w:r>
        <w:rPr>
          <w:szCs w:val="22"/>
          <w:lang w:eastAsia="en-US" w:bidi="ar-SA"/>
        </w:rPr>
        <w:t>acă</w:t>
      </w:r>
      <w:r>
        <w:rPr>
          <w:spacing w:val="-2"/>
          <w:szCs w:val="22"/>
          <w:lang w:eastAsia="en-US" w:bidi="ar-SA"/>
        </w:rPr>
        <w:t xml:space="preserve"> </w:t>
      </w:r>
      <w:r>
        <w:rPr>
          <w:szCs w:val="22"/>
          <w:lang w:eastAsia="en-US" w:bidi="ar-SA"/>
        </w:rPr>
        <w:t>pe p</w:t>
      </w:r>
      <w:r>
        <w:rPr>
          <w:spacing w:val="-3"/>
          <w:szCs w:val="22"/>
          <w:lang w:eastAsia="en-US" w:bidi="ar-SA"/>
        </w:rPr>
        <w:t>a</w:t>
      </w:r>
      <w:r>
        <w:rPr>
          <w:szCs w:val="22"/>
          <w:lang w:eastAsia="en-US" w:bidi="ar-SA"/>
        </w:rPr>
        <w:t>rc</w:t>
      </w:r>
      <w:r>
        <w:rPr>
          <w:spacing w:val="-3"/>
          <w:szCs w:val="22"/>
          <w:lang w:eastAsia="en-US" w:bidi="ar-SA"/>
        </w:rPr>
        <w:t>u</w:t>
      </w:r>
      <w:r>
        <w:rPr>
          <w:szCs w:val="22"/>
          <w:lang w:eastAsia="en-US" w:bidi="ar-SA"/>
        </w:rPr>
        <w:t>rsul</w:t>
      </w:r>
      <w:r>
        <w:rPr>
          <w:spacing w:val="-2"/>
          <w:szCs w:val="22"/>
          <w:lang w:eastAsia="en-US" w:bidi="ar-SA"/>
        </w:rPr>
        <w:t xml:space="preserve"> t</w:t>
      </w:r>
      <w:r>
        <w:rPr>
          <w:szCs w:val="22"/>
          <w:lang w:eastAsia="en-US" w:bidi="ar-SA"/>
        </w:rPr>
        <w:t>ra</w:t>
      </w:r>
      <w:r>
        <w:rPr>
          <w:spacing w:val="-2"/>
          <w:szCs w:val="22"/>
          <w:lang w:eastAsia="en-US" w:bidi="ar-SA"/>
        </w:rPr>
        <w:t>t</w:t>
      </w:r>
      <w:r>
        <w:rPr>
          <w:szCs w:val="22"/>
          <w:lang w:eastAsia="en-US" w:bidi="ar-SA"/>
        </w:rPr>
        <w:t>a</w:t>
      </w:r>
      <w:r>
        <w:rPr>
          <w:spacing w:val="-4"/>
          <w:szCs w:val="22"/>
          <w:lang w:eastAsia="en-US" w:bidi="ar-SA"/>
        </w:rPr>
        <w:t>m</w:t>
      </w:r>
      <w:r>
        <w:rPr>
          <w:szCs w:val="22"/>
          <w:lang w:eastAsia="en-US" w:bidi="ar-SA"/>
        </w:rPr>
        <w:t>en</w:t>
      </w:r>
      <w:r>
        <w:rPr>
          <w:spacing w:val="1"/>
          <w:szCs w:val="22"/>
          <w:lang w:eastAsia="en-US" w:bidi="ar-SA"/>
        </w:rPr>
        <w:t>t</w:t>
      </w:r>
      <w:r>
        <w:rPr>
          <w:szCs w:val="22"/>
          <w:lang w:eastAsia="en-US" w:bidi="ar-SA"/>
        </w:rPr>
        <w:t>u</w:t>
      </w:r>
      <w:r>
        <w:rPr>
          <w:spacing w:val="1"/>
          <w:szCs w:val="22"/>
          <w:lang w:eastAsia="en-US" w:bidi="ar-SA"/>
        </w:rPr>
        <w:t>l</w:t>
      </w:r>
      <w:r>
        <w:rPr>
          <w:spacing w:val="-3"/>
          <w:szCs w:val="22"/>
          <w:lang w:eastAsia="en-US" w:bidi="ar-SA"/>
        </w:rPr>
        <w:t>u</w:t>
      </w:r>
      <w:r>
        <w:rPr>
          <w:szCs w:val="22"/>
          <w:lang w:eastAsia="en-US" w:bidi="ar-SA"/>
        </w:rPr>
        <w:t>i</w:t>
      </w:r>
      <w:r>
        <w:rPr>
          <w:spacing w:val="1"/>
          <w:szCs w:val="22"/>
          <w:lang w:eastAsia="en-US" w:bidi="ar-SA"/>
        </w:rPr>
        <w:t xml:space="preserve"> </w:t>
      </w:r>
      <w:r>
        <w:rPr>
          <w:spacing w:val="-2"/>
          <w:szCs w:val="22"/>
          <w:lang w:eastAsia="en-US" w:bidi="ar-SA"/>
        </w:rPr>
        <w:t>s</w:t>
      </w:r>
      <w:r>
        <w:rPr>
          <w:szCs w:val="22"/>
          <w:lang w:eastAsia="en-US" w:bidi="ar-SA"/>
        </w:rPr>
        <w:t>au du</w:t>
      </w:r>
      <w:r>
        <w:rPr>
          <w:spacing w:val="-3"/>
          <w:szCs w:val="22"/>
          <w:lang w:eastAsia="en-US" w:bidi="ar-SA"/>
        </w:rPr>
        <w:t>p</w:t>
      </w:r>
      <w:r>
        <w:rPr>
          <w:szCs w:val="22"/>
          <w:lang w:eastAsia="en-US" w:bidi="ar-SA"/>
        </w:rPr>
        <w:t>ă</w:t>
      </w:r>
      <w:r>
        <w:rPr>
          <w:spacing w:val="-2"/>
          <w:szCs w:val="22"/>
          <w:lang w:eastAsia="en-US" w:bidi="ar-SA"/>
        </w:rPr>
        <w:t xml:space="preserve"> </w:t>
      </w:r>
      <w:r>
        <w:rPr>
          <w:spacing w:val="1"/>
          <w:szCs w:val="22"/>
          <w:lang w:eastAsia="en-US" w:bidi="ar-SA"/>
        </w:rPr>
        <w:t>î</w:t>
      </w:r>
      <w:r>
        <w:rPr>
          <w:szCs w:val="22"/>
          <w:lang w:eastAsia="en-US" w:bidi="ar-SA"/>
        </w:rPr>
        <w:t>nch</w:t>
      </w:r>
      <w:r>
        <w:rPr>
          <w:spacing w:val="-3"/>
          <w:szCs w:val="22"/>
          <w:lang w:eastAsia="en-US" w:bidi="ar-SA"/>
        </w:rPr>
        <w:t>e</w:t>
      </w:r>
      <w:r>
        <w:rPr>
          <w:spacing w:val="1"/>
          <w:szCs w:val="22"/>
          <w:lang w:eastAsia="en-US" w:bidi="ar-SA"/>
        </w:rPr>
        <w:t>i</w:t>
      </w:r>
      <w:r>
        <w:rPr>
          <w:spacing w:val="-3"/>
          <w:szCs w:val="22"/>
          <w:lang w:eastAsia="en-US" w:bidi="ar-SA"/>
        </w:rPr>
        <w:t>e</w:t>
      </w:r>
      <w:r>
        <w:rPr>
          <w:szCs w:val="22"/>
          <w:lang w:eastAsia="en-US" w:bidi="ar-SA"/>
        </w:rPr>
        <w:t>rea</w:t>
      </w:r>
      <w:r>
        <w:rPr>
          <w:spacing w:val="-2"/>
          <w:szCs w:val="22"/>
          <w:lang w:eastAsia="en-US" w:bidi="ar-SA"/>
        </w:rPr>
        <w:t xml:space="preserve"> </w:t>
      </w:r>
      <w:r>
        <w:rPr>
          <w:szCs w:val="22"/>
          <w:lang w:eastAsia="en-US" w:bidi="ar-SA"/>
        </w:rPr>
        <w:t>ac</w:t>
      </w:r>
      <w:r>
        <w:rPr>
          <w:spacing w:val="-3"/>
          <w:szCs w:val="22"/>
          <w:lang w:eastAsia="en-US" w:bidi="ar-SA"/>
        </w:rPr>
        <w:t>e</w:t>
      </w:r>
      <w:r>
        <w:rPr>
          <w:szCs w:val="22"/>
          <w:lang w:eastAsia="en-US" w:bidi="ar-SA"/>
        </w:rPr>
        <w:t>s</w:t>
      </w:r>
      <w:r>
        <w:rPr>
          <w:spacing w:val="1"/>
          <w:szCs w:val="22"/>
          <w:lang w:eastAsia="en-US" w:bidi="ar-SA"/>
        </w:rPr>
        <w:t>t</w:t>
      </w:r>
      <w:r>
        <w:rPr>
          <w:spacing w:val="-3"/>
          <w:szCs w:val="22"/>
          <w:lang w:eastAsia="en-US" w:bidi="ar-SA"/>
        </w:rPr>
        <w:t>u</w:t>
      </w:r>
      <w:r>
        <w:rPr>
          <w:spacing w:val="1"/>
          <w:szCs w:val="22"/>
          <w:lang w:eastAsia="en-US" w:bidi="ar-SA"/>
        </w:rPr>
        <w:t>i</w:t>
      </w:r>
      <w:r>
        <w:rPr>
          <w:szCs w:val="22"/>
          <w:lang w:eastAsia="en-US" w:bidi="ar-SA"/>
        </w:rPr>
        <w:t>a,</w:t>
      </w:r>
      <w:r>
        <w:rPr>
          <w:spacing w:val="-3"/>
          <w:szCs w:val="22"/>
          <w:lang w:eastAsia="en-US" w:bidi="ar-SA"/>
        </w:rPr>
        <w:t xml:space="preserve"> </w:t>
      </w:r>
      <w:r>
        <w:rPr>
          <w:szCs w:val="22"/>
          <w:lang w:eastAsia="en-US" w:bidi="ar-SA"/>
        </w:rPr>
        <w:t>ap</w:t>
      </w:r>
      <w:r>
        <w:rPr>
          <w:spacing w:val="-3"/>
          <w:szCs w:val="22"/>
          <w:lang w:eastAsia="en-US" w:bidi="ar-SA"/>
        </w:rPr>
        <w:t>a</w:t>
      </w:r>
      <w:r>
        <w:rPr>
          <w:szCs w:val="22"/>
          <w:lang w:eastAsia="en-US" w:bidi="ar-SA"/>
        </w:rPr>
        <w:t>r</w:t>
      </w:r>
      <w:r>
        <w:rPr>
          <w:spacing w:val="1"/>
          <w:szCs w:val="22"/>
          <w:lang w:eastAsia="en-US" w:bidi="ar-SA"/>
        </w:rPr>
        <w:t xml:space="preserve"> </w:t>
      </w:r>
      <w:r>
        <w:rPr>
          <w:spacing w:val="-2"/>
          <w:szCs w:val="22"/>
          <w:lang w:eastAsia="en-US" w:bidi="ar-SA"/>
        </w:rPr>
        <w:t>si</w:t>
      </w:r>
      <w:r>
        <w:rPr>
          <w:spacing w:val="-4"/>
          <w:szCs w:val="22"/>
          <w:lang w:eastAsia="en-US" w:bidi="ar-SA"/>
        </w:rPr>
        <w:t>m</w:t>
      </w:r>
      <w:r>
        <w:rPr>
          <w:szCs w:val="22"/>
          <w:lang w:eastAsia="en-US" w:bidi="ar-SA"/>
        </w:rPr>
        <w:t>p</w:t>
      </w:r>
      <w:r>
        <w:rPr>
          <w:spacing w:val="1"/>
          <w:szCs w:val="22"/>
          <w:lang w:eastAsia="en-US" w:bidi="ar-SA"/>
        </w:rPr>
        <w:t>t</w:t>
      </w:r>
      <w:r>
        <w:rPr>
          <w:spacing w:val="2"/>
          <w:szCs w:val="22"/>
          <w:lang w:eastAsia="en-US" w:bidi="ar-SA"/>
        </w:rPr>
        <w:t>o</w:t>
      </w:r>
      <w:r>
        <w:rPr>
          <w:spacing w:val="-4"/>
          <w:szCs w:val="22"/>
          <w:lang w:eastAsia="en-US" w:bidi="ar-SA"/>
        </w:rPr>
        <w:t>m</w:t>
      </w:r>
      <w:r>
        <w:rPr>
          <w:szCs w:val="22"/>
          <w:lang w:eastAsia="en-US" w:bidi="ar-SA"/>
        </w:rPr>
        <w:t xml:space="preserve">e de </w:t>
      </w:r>
      <w:r>
        <w:rPr>
          <w:spacing w:val="1"/>
          <w:szCs w:val="22"/>
          <w:lang w:eastAsia="en-US" w:bidi="ar-SA"/>
        </w:rPr>
        <w:t>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 xml:space="preserve">ă </w:t>
      </w:r>
      <w:r>
        <w:rPr>
          <w:spacing w:val="-2"/>
          <w:szCs w:val="22"/>
          <w:lang w:eastAsia="en-US" w:bidi="ar-SA"/>
        </w:rPr>
        <w:t>(</w:t>
      </w:r>
      <w:r>
        <w:rPr>
          <w:spacing w:val="1"/>
          <w:szCs w:val="22"/>
          <w:lang w:eastAsia="en-US" w:bidi="ar-SA"/>
        </w:rPr>
        <w:t>t</w:t>
      </w:r>
      <w:r>
        <w:rPr>
          <w:szCs w:val="22"/>
          <w:lang w:eastAsia="en-US" w:bidi="ar-SA"/>
        </w:rPr>
        <w:t>use</w:t>
      </w:r>
      <w:r>
        <w:rPr>
          <w:spacing w:val="-2"/>
          <w:szCs w:val="22"/>
          <w:lang w:eastAsia="en-US" w:bidi="ar-SA"/>
        </w:rPr>
        <w:t xml:space="preserve"> </w:t>
      </w:r>
      <w:r>
        <w:rPr>
          <w:szCs w:val="22"/>
          <w:lang w:eastAsia="en-US" w:bidi="ar-SA"/>
        </w:rPr>
        <w:t>pe</w:t>
      </w:r>
      <w:r>
        <w:rPr>
          <w:spacing w:val="-2"/>
          <w:szCs w:val="22"/>
          <w:lang w:eastAsia="en-US" w:bidi="ar-SA"/>
        </w:rPr>
        <w:t>r</w:t>
      </w:r>
      <w:r>
        <w:rPr>
          <w:szCs w:val="22"/>
          <w:lang w:eastAsia="en-US" w:bidi="ar-SA"/>
        </w:rPr>
        <w:t>s</w:t>
      </w:r>
      <w:r>
        <w:rPr>
          <w:spacing w:val="-2"/>
          <w:szCs w:val="22"/>
          <w:lang w:eastAsia="en-US" w:bidi="ar-SA"/>
        </w:rPr>
        <w:t>i</w:t>
      </w:r>
      <w:r>
        <w:rPr>
          <w:szCs w:val="22"/>
          <w:lang w:eastAsia="en-US" w:bidi="ar-SA"/>
        </w:rPr>
        <w:t>s</w:t>
      </w:r>
      <w:r>
        <w:rPr>
          <w:spacing w:val="1"/>
          <w:szCs w:val="22"/>
          <w:lang w:eastAsia="en-US" w:bidi="ar-SA"/>
        </w:rPr>
        <w:t>t</w:t>
      </w:r>
      <w:r>
        <w:rPr>
          <w:spacing w:val="-3"/>
          <w:szCs w:val="22"/>
          <w:lang w:eastAsia="en-US" w:bidi="ar-SA"/>
        </w:rPr>
        <w:t>e</w:t>
      </w:r>
      <w:r>
        <w:rPr>
          <w:szCs w:val="22"/>
          <w:lang w:eastAsia="en-US" w:bidi="ar-SA"/>
        </w:rPr>
        <w:t>n</w:t>
      </w:r>
      <w:r>
        <w:rPr>
          <w:spacing w:val="-2"/>
          <w:szCs w:val="22"/>
          <w:lang w:eastAsia="en-US" w:bidi="ar-SA"/>
        </w:rPr>
        <w:t>t</w:t>
      </w:r>
      <w:r>
        <w:rPr>
          <w:szCs w:val="22"/>
          <w:lang w:eastAsia="en-US" w:bidi="ar-SA"/>
        </w:rPr>
        <w:t>ă, p</w:t>
      </w:r>
      <w:r>
        <w:rPr>
          <w:spacing w:val="1"/>
          <w:szCs w:val="22"/>
          <w:lang w:eastAsia="en-US" w:bidi="ar-SA"/>
        </w:rPr>
        <w:t>i</w:t>
      </w:r>
      <w:r>
        <w:rPr>
          <w:spacing w:val="-3"/>
          <w:szCs w:val="22"/>
          <w:lang w:eastAsia="en-US" w:bidi="ar-SA"/>
        </w:rPr>
        <w:t>e</w:t>
      </w:r>
      <w:r>
        <w:rPr>
          <w:szCs w:val="22"/>
          <w:lang w:eastAsia="en-US" w:bidi="ar-SA"/>
        </w:rPr>
        <w:t>rd</w:t>
      </w:r>
      <w:r>
        <w:rPr>
          <w:spacing w:val="-3"/>
          <w:szCs w:val="22"/>
          <w:lang w:eastAsia="en-US" w:bidi="ar-SA"/>
        </w:rPr>
        <w:t>e</w:t>
      </w:r>
      <w:r>
        <w:rPr>
          <w:szCs w:val="22"/>
          <w:lang w:eastAsia="en-US" w:bidi="ar-SA"/>
        </w:rPr>
        <w:t>re</w:t>
      </w:r>
      <w:r>
        <w:rPr>
          <w:spacing w:val="-2"/>
          <w:szCs w:val="22"/>
          <w:lang w:eastAsia="en-US" w:bidi="ar-SA"/>
        </w:rPr>
        <w:t xml:space="preserve"> </w:t>
      </w:r>
      <w:r>
        <w:rPr>
          <w:spacing w:val="1"/>
          <w:szCs w:val="22"/>
          <w:lang w:eastAsia="en-US" w:bidi="ar-SA"/>
        </w:rPr>
        <w:t>î</w:t>
      </w:r>
      <w:r>
        <w:rPr>
          <w:szCs w:val="22"/>
          <w:lang w:eastAsia="en-US" w:bidi="ar-SA"/>
        </w:rPr>
        <w:t xml:space="preserve">n </w:t>
      </w:r>
      <w:r>
        <w:rPr>
          <w:spacing w:val="-3"/>
          <w:szCs w:val="22"/>
          <w:lang w:eastAsia="en-US" w:bidi="ar-SA"/>
        </w:rPr>
        <w:t>g</w:t>
      </w:r>
      <w:r>
        <w:rPr>
          <w:szCs w:val="22"/>
          <w:lang w:eastAsia="en-US" w:bidi="ar-SA"/>
        </w:rPr>
        <w:t>re</w:t>
      </w:r>
      <w:r>
        <w:rPr>
          <w:spacing w:val="-3"/>
          <w:szCs w:val="22"/>
          <w:lang w:eastAsia="en-US" w:bidi="ar-SA"/>
        </w:rPr>
        <w:t>u</w:t>
      </w:r>
      <w:r>
        <w:rPr>
          <w:spacing w:val="1"/>
          <w:szCs w:val="22"/>
          <w:lang w:eastAsia="en-US" w:bidi="ar-SA"/>
        </w:rPr>
        <w:t>t</w:t>
      </w:r>
      <w:r>
        <w:rPr>
          <w:spacing w:val="-3"/>
          <w:szCs w:val="22"/>
          <w:lang w:eastAsia="en-US" w:bidi="ar-SA"/>
        </w:rPr>
        <w:t>a</w:t>
      </w:r>
      <w:r>
        <w:rPr>
          <w:spacing w:val="1"/>
          <w:szCs w:val="22"/>
          <w:lang w:eastAsia="en-US" w:bidi="ar-SA"/>
        </w:rPr>
        <w:t>t</w:t>
      </w:r>
      <w:r>
        <w:rPr>
          <w:szCs w:val="22"/>
          <w:lang w:eastAsia="en-US" w:bidi="ar-SA"/>
        </w:rPr>
        <w:t>e, a</w:t>
      </w:r>
      <w:r>
        <w:rPr>
          <w:spacing w:val="-3"/>
          <w:szCs w:val="22"/>
          <w:lang w:eastAsia="en-US" w:bidi="ar-SA"/>
        </w:rPr>
        <w:t>p</w:t>
      </w:r>
      <w:r>
        <w:rPr>
          <w:szCs w:val="22"/>
          <w:lang w:eastAsia="en-US" w:bidi="ar-SA"/>
        </w:rPr>
        <w:t>a</w:t>
      </w:r>
      <w:r>
        <w:rPr>
          <w:spacing w:val="-2"/>
          <w:szCs w:val="22"/>
          <w:lang w:eastAsia="en-US" w:bidi="ar-SA"/>
        </w:rPr>
        <w:t>ti</w:t>
      </w:r>
      <w:r>
        <w:rPr>
          <w:szCs w:val="22"/>
          <w:lang w:eastAsia="en-US" w:bidi="ar-SA"/>
        </w:rPr>
        <w:t>e, fe</w:t>
      </w:r>
      <w:r>
        <w:rPr>
          <w:spacing w:val="-3"/>
          <w:szCs w:val="22"/>
          <w:lang w:eastAsia="en-US" w:bidi="ar-SA"/>
        </w:rPr>
        <w:t>b</w:t>
      </w:r>
      <w:r>
        <w:rPr>
          <w:szCs w:val="22"/>
          <w:lang w:eastAsia="en-US" w:bidi="ar-SA"/>
        </w:rPr>
        <w:t xml:space="preserve">ră </w:t>
      </w:r>
      <w:r>
        <w:rPr>
          <w:spacing w:val="-3"/>
          <w:szCs w:val="22"/>
          <w:lang w:eastAsia="en-US" w:bidi="ar-SA"/>
        </w:rPr>
        <w:t>u</w:t>
      </w:r>
      <w:r>
        <w:rPr>
          <w:szCs w:val="22"/>
          <w:lang w:eastAsia="en-US" w:bidi="ar-SA"/>
        </w:rPr>
        <w:t>şo</w:t>
      </w:r>
      <w:r>
        <w:rPr>
          <w:spacing w:val="-3"/>
          <w:szCs w:val="22"/>
          <w:lang w:eastAsia="en-US" w:bidi="ar-SA"/>
        </w:rPr>
        <w:t>a</w:t>
      </w:r>
      <w:r>
        <w:rPr>
          <w:szCs w:val="22"/>
          <w:lang w:eastAsia="en-US" w:bidi="ar-SA"/>
        </w:rPr>
        <w:t>ră</w:t>
      </w:r>
      <w:r>
        <w:rPr>
          <w:spacing w:val="-2"/>
          <w:szCs w:val="22"/>
          <w:lang w:eastAsia="en-US" w:bidi="ar-SA"/>
        </w:rPr>
        <w:t>)</w:t>
      </w:r>
      <w:r>
        <w:rPr>
          <w:szCs w:val="22"/>
          <w:lang w:eastAsia="en-US" w:bidi="ar-SA"/>
        </w:rPr>
        <w:t>, sau</w:t>
      </w:r>
      <w:r>
        <w:rPr>
          <w:spacing w:val="-3"/>
          <w:szCs w:val="22"/>
          <w:lang w:eastAsia="en-US" w:bidi="ar-SA"/>
        </w:rPr>
        <w:t xml:space="preserve"> </w:t>
      </w:r>
      <w:r>
        <w:rPr>
          <w:szCs w:val="22"/>
          <w:lang w:eastAsia="en-US" w:bidi="ar-SA"/>
        </w:rPr>
        <w:t>o</w:t>
      </w:r>
      <w:r>
        <w:rPr>
          <w:spacing w:val="-2"/>
          <w:szCs w:val="22"/>
          <w:lang w:eastAsia="en-US" w:bidi="ar-SA"/>
        </w:rPr>
        <w:t>r</w:t>
      </w:r>
      <w:r>
        <w:rPr>
          <w:spacing w:val="1"/>
          <w:szCs w:val="22"/>
          <w:lang w:eastAsia="en-US" w:bidi="ar-SA"/>
        </w:rPr>
        <w:t>i</w:t>
      </w:r>
      <w:r>
        <w:rPr>
          <w:szCs w:val="22"/>
          <w:lang w:eastAsia="en-US" w:bidi="ar-SA"/>
        </w:rPr>
        <w:t>ce</w:t>
      </w:r>
      <w:r>
        <w:rPr>
          <w:spacing w:val="-2"/>
          <w:szCs w:val="22"/>
          <w:lang w:eastAsia="en-US" w:bidi="ar-SA"/>
        </w:rPr>
        <w:t xml:space="preserve"> </w:t>
      </w:r>
      <w:r>
        <w:rPr>
          <w:spacing w:val="-3"/>
          <w:szCs w:val="22"/>
          <w:lang w:eastAsia="en-US" w:bidi="ar-SA"/>
        </w:rPr>
        <w:t>a</w:t>
      </w:r>
      <w:r>
        <w:rPr>
          <w:spacing w:val="1"/>
          <w:szCs w:val="22"/>
          <w:lang w:eastAsia="en-US" w:bidi="ar-SA"/>
        </w:rPr>
        <w:t>lt</w:t>
      </w:r>
      <w:r>
        <w:rPr>
          <w:szCs w:val="22"/>
          <w:lang w:eastAsia="en-US" w:bidi="ar-SA"/>
        </w:rPr>
        <w:t>e</w:t>
      </w:r>
      <w:r>
        <w:rPr>
          <w:spacing w:val="-2"/>
          <w:szCs w:val="22"/>
          <w:lang w:eastAsia="en-US" w:bidi="ar-SA"/>
        </w:rPr>
        <w:t xml:space="preserve"> </w:t>
      </w:r>
      <w:r>
        <w:rPr>
          <w:spacing w:val="1"/>
          <w:szCs w:val="22"/>
          <w:lang w:eastAsia="en-US" w:bidi="ar-SA"/>
        </w:rPr>
        <w:t>i</w:t>
      </w:r>
      <w:r>
        <w:rPr>
          <w:spacing w:val="-3"/>
          <w:szCs w:val="22"/>
          <w:lang w:eastAsia="en-US" w:bidi="ar-SA"/>
        </w:rPr>
        <w:t>n</w:t>
      </w:r>
      <w:r>
        <w:rPr>
          <w:szCs w:val="22"/>
          <w:lang w:eastAsia="en-US" w:bidi="ar-SA"/>
        </w:rPr>
        <w:t>fe</w:t>
      </w:r>
      <w:r>
        <w:rPr>
          <w:spacing w:val="-3"/>
          <w:szCs w:val="22"/>
          <w:lang w:eastAsia="en-US" w:bidi="ar-SA"/>
        </w:rPr>
        <w:t>c</w:t>
      </w:r>
      <w:r>
        <w:rPr>
          <w:spacing w:val="1"/>
          <w:szCs w:val="22"/>
          <w:lang w:eastAsia="en-US" w:bidi="ar-SA"/>
        </w:rPr>
        <w:t>ţ</w:t>
      </w:r>
      <w:r>
        <w:rPr>
          <w:spacing w:val="-2"/>
          <w:szCs w:val="22"/>
          <w:lang w:eastAsia="en-US" w:bidi="ar-SA"/>
        </w:rPr>
        <w:t>i</w:t>
      </w:r>
      <w:r>
        <w:rPr>
          <w:spacing w:val="1"/>
          <w:szCs w:val="22"/>
          <w:lang w:eastAsia="en-US" w:bidi="ar-SA"/>
        </w:rPr>
        <w:t>i</w:t>
      </w:r>
      <w:r>
        <w:rPr>
          <w:szCs w:val="22"/>
          <w:lang w:eastAsia="en-US" w:bidi="ar-SA"/>
        </w:rPr>
        <w:t>, co</w:t>
      </w:r>
      <w:r>
        <w:rPr>
          <w:spacing w:val="-4"/>
          <w:szCs w:val="22"/>
          <w:lang w:eastAsia="en-US" w:bidi="ar-SA"/>
        </w:rPr>
        <w:t>m</w:t>
      </w:r>
      <w:r>
        <w:rPr>
          <w:szCs w:val="22"/>
          <w:lang w:eastAsia="en-US" w:bidi="ar-SA"/>
        </w:rPr>
        <w:t>un</w:t>
      </w:r>
      <w:r>
        <w:rPr>
          <w:spacing w:val="1"/>
          <w:szCs w:val="22"/>
          <w:lang w:eastAsia="en-US" w:bidi="ar-SA"/>
        </w:rPr>
        <w:t>i</w:t>
      </w:r>
      <w:r>
        <w:rPr>
          <w:szCs w:val="22"/>
          <w:lang w:eastAsia="en-US" w:bidi="ar-SA"/>
        </w:rPr>
        <w:t>ca</w:t>
      </w:r>
      <w:r>
        <w:rPr>
          <w:spacing w:val="-2"/>
          <w:szCs w:val="22"/>
          <w:lang w:eastAsia="en-US" w:bidi="ar-SA"/>
        </w:rPr>
        <w:t>ţ</w:t>
      </w:r>
      <w:r>
        <w:rPr>
          <w:szCs w:val="22"/>
          <w:lang w:eastAsia="en-US" w:bidi="ar-SA"/>
        </w:rPr>
        <w:t>i</w:t>
      </w:r>
      <w:r>
        <w:rPr>
          <w:spacing w:val="1"/>
          <w:szCs w:val="22"/>
          <w:lang w:eastAsia="en-US" w:bidi="ar-SA"/>
        </w:rPr>
        <w:t xml:space="preserve"> </w:t>
      </w:r>
      <w:r>
        <w:rPr>
          <w:szCs w:val="22"/>
          <w:lang w:eastAsia="en-US" w:bidi="ar-SA"/>
        </w:rPr>
        <w:t>a</w:t>
      </w:r>
      <w:r>
        <w:rPr>
          <w:spacing w:val="-3"/>
          <w:szCs w:val="22"/>
          <w:lang w:eastAsia="en-US" w:bidi="ar-SA"/>
        </w:rPr>
        <w:t>c</w:t>
      </w:r>
      <w:r>
        <w:rPr>
          <w:szCs w:val="22"/>
          <w:lang w:eastAsia="en-US" w:bidi="ar-SA"/>
        </w:rPr>
        <w:t>e</w:t>
      </w:r>
      <w:r>
        <w:rPr>
          <w:spacing w:val="-2"/>
          <w:szCs w:val="22"/>
          <w:lang w:eastAsia="en-US" w:bidi="ar-SA"/>
        </w:rPr>
        <w:t>s</w:t>
      </w:r>
      <w:r>
        <w:rPr>
          <w:szCs w:val="22"/>
          <w:lang w:eastAsia="en-US" w:bidi="ar-SA"/>
        </w:rPr>
        <w:t>t</w:t>
      </w:r>
      <w:r>
        <w:rPr>
          <w:spacing w:val="1"/>
          <w:szCs w:val="22"/>
          <w:lang w:eastAsia="en-US" w:bidi="ar-SA"/>
        </w:rPr>
        <w:t xml:space="preserve"> l</w:t>
      </w:r>
      <w:r>
        <w:rPr>
          <w:spacing w:val="-3"/>
          <w:szCs w:val="22"/>
          <w:lang w:eastAsia="en-US" w:bidi="ar-SA"/>
        </w:rPr>
        <w:t>u</w:t>
      </w:r>
      <w:r>
        <w:rPr>
          <w:szCs w:val="22"/>
          <w:lang w:eastAsia="en-US" w:bidi="ar-SA"/>
        </w:rPr>
        <w:t>cru</w:t>
      </w:r>
      <w:r>
        <w:rPr>
          <w:spacing w:val="-3"/>
          <w:szCs w:val="22"/>
          <w:lang w:eastAsia="en-US" w:bidi="ar-SA"/>
        </w:rPr>
        <w:t xml:space="preserve"> </w:t>
      </w:r>
      <w:r>
        <w:rPr>
          <w:spacing w:val="1"/>
          <w:szCs w:val="22"/>
          <w:lang w:eastAsia="en-US" w:bidi="ar-SA"/>
        </w:rPr>
        <w:t>i</w:t>
      </w:r>
      <w:r>
        <w:rPr>
          <w:spacing w:val="-4"/>
          <w:szCs w:val="22"/>
          <w:lang w:eastAsia="en-US" w:bidi="ar-SA"/>
        </w:rPr>
        <w:t>m</w:t>
      </w:r>
      <w:r>
        <w:rPr>
          <w:szCs w:val="22"/>
          <w:lang w:eastAsia="en-US" w:bidi="ar-SA"/>
        </w:rPr>
        <w:t>ed</w:t>
      </w:r>
      <w:r>
        <w:rPr>
          <w:spacing w:val="1"/>
          <w:szCs w:val="22"/>
          <w:lang w:eastAsia="en-US" w:bidi="ar-SA"/>
        </w:rPr>
        <w:t>i</w:t>
      </w:r>
      <w:r>
        <w:rPr>
          <w:spacing w:val="-3"/>
          <w:szCs w:val="22"/>
          <w:lang w:eastAsia="en-US" w:bidi="ar-SA"/>
        </w:rPr>
        <w:t>a</w:t>
      </w:r>
      <w:r>
        <w:rPr>
          <w:szCs w:val="22"/>
          <w:lang w:eastAsia="en-US" w:bidi="ar-SA"/>
        </w:rPr>
        <w:t>t</w:t>
      </w:r>
      <w:r>
        <w:rPr>
          <w:spacing w:val="1"/>
          <w:szCs w:val="22"/>
          <w:lang w:eastAsia="en-US" w:bidi="ar-SA"/>
        </w:rPr>
        <w:t xml:space="preserve"> </w:t>
      </w:r>
      <w:r>
        <w:rPr>
          <w:spacing w:val="-4"/>
          <w:szCs w:val="22"/>
          <w:lang w:eastAsia="en-US" w:bidi="ar-SA"/>
        </w:rPr>
        <w:t>m</w:t>
      </w:r>
      <w:r>
        <w:rPr>
          <w:szCs w:val="22"/>
          <w:lang w:eastAsia="en-US" w:bidi="ar-SA"/>
        </w:rPr>
        <w:t>ed</w:t>
      </w:r>
      <w:r>
        <w:rPr>
          <w:spacing w:val="1"/>
          <w:szCs w:val="22"/>
          <w:lang w:eastAsia="en-US" w:bidi="ar-SA"/>
        </w:rPr>
        <w:t>i</w:t>
      </w:r>
      <w:r>
        <w:rPr>
          <w:szCs w:val="22"/>
          <w:lang w:eastAsia="en-US" w:bidi="ar-SA"/>
        </w:rPr>
        <w:t>cu</w:t>
      </w:r>
      <w:r>
        <w:rPr>
          <w:spacing w:val="1"/>
          <w:szCs w:val="22"/>
          <w:lang w:eastAsia="en-US" w:bidi="ar-SA"/>
        </w:rPr>
        <w:t>l</w:t>
      </w:r>
      <w:r>
        <w:rPr>
          <w:spacing w:val="-3"/>
          <w:szCs w:val="22"/>
          <w:lang w:eastAsia="en-US" w:bidi="ar-SA"/>
        </w:rPr>
        <w:t>u</w:t>
      </w:r>
      <w:r>
        <w:rPr>
          <w:szCs w:val="22"/>
          <w:lang w:eastAsia="en-US" w:bidi="ar-SA"/>
        </w:rPr>
        <w:t>i</w:t>
      </w:r>
      <w:r>
        <w:rPr>
          <w:spacing w:val="1"/>
          <w:szCs w:val="22"/>
          <w:lang w:eastAsia="en-US" w:bidi="ar-SA"/>
        </w:rPr>
        <w:t xml:space="preserve"> </w:t>
      </w:r>
      <w:r>
        <w:rPr>
          <w:szCs w:val="22"/>
          <w:lang w:eastAsia="en-US" w:bidi="ar-SA"/>
        </w:rPr>
        <w:t>du</w:t>
      </w:r>
      <w:r>
        <w:rPr>
          <w:spacing w:val="-4"/>
          <w:szCs w:val="22"/>
          <w:lang w:eastAsia="en-US" w:bidi="ar-SA"/>
        </w:rPr>
        <w:t>m</w:t>
      </w:r>
      <w:r>
        <w:rPr>
          <w:szCs w:val="22"/>
          <w:lang w:eastAsia="en-US" w:bidi="ar-SA"/>
        </w:rPr>
        <w:t>nea</w:t>
      </w:r>
      <w:r>
        <w:rPr>
          <w:spacing w:val="-3"/>
          <w:szCs w:val="22"/>
          <w:lang w:eastAsia="en-US" w:bidi="ar-SA"/>
        </w:rPr>
        <w:t>v</w:t>
      </w:r>
      <w:r>
        <w:rPr>
          <w:szCs w:val="22"/>
          <w:lang w:eastAsia="en-US" w:bidi="ar-SA"/>
        </w:rPr>
        <w:t>oa</w:t>
      </w:r>
      <w:r>
        <w:rPr>
          <w:spacing w:val="-2"/>
          <w:szCs w:val="22"/>
          <w:lang w:eastAsia="en-US" w:bidi="ar-SA"/>
        </w:rPr>
        <w:t>s</w:t>
      </w:r>
      <w:r>
        <w:rPr>
          <w:spacing w:val="1"/>
          <w:szCs w:val="22"/>
          <w:lang w:eastAsia="en-US" w:bidi="ar-SA"/>
        </w:rPr>
        <w:t>t</w:t>
      </w:r>
      <w:r>
        <w:rPr>
          <w:szCs w:val="22"/>
          <w:lang w:eastAsia="en-US" w:bidi="ar-SA"/>
        </w:rPr>
        <w:t>ră.</w:t>
      </w:r>
    </w:p>
    <w:p w14:paraId="2210550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79B7D2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Infecții recurente/asociate cu călătoriile</w:t>
      </w:r>
    </w:p>
    <w:p w14:paraId="531D528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6F3ED92"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lang w:eastAsia="en-US" w:bidi="ar-SA"/>
        </w:rPr>
      </w:pPr>
      <w:r>
        <w:rPr>
          <w:spacing w:val="-1"/>
          <w:szCs w:val="22"/>
          <w:lang w:eastAsia="en-US" w:bidi="ar-SA"/>
        </w:rPr>
        <w:t>S</w:t>
      </w:r>
      <w:r>
        <w:rPr>
          <w:szCs w:val="22"/>
          <w:lang w:eastAsia="en-US" w:bidi="ar-SA"/>
        </w:rPr>
        <w:t>pune</w:t>
      </w:r>
      <w:r>
        <w:rPr>
          <w:spacing w:val="-2"/>
          <w:szCs w:val="22"/>
          <w:lang w:eastAsia="en-US" w:bidi="ar-SA"/>
        </w:rPr>
        <w:t>ţ</w:t>
      </w:r>
      <w:r>
        <w:rPr>
          <w:szCs w:val="22"/>
          <w:lang w:eastAsia="en-US" w:bidi="ar-SA"/>
        </w:rPr>
        <w:t>i</w:t>
      </w:r>
      <w:r>
        <w:rPr>
          <w:spacing w:val="1"/>
          <w:szCs w:val="22"/>
          <w:lang w:eastAsia="en-US" w:bidi="ar-SA"/>
        </w:rPr>
        <w:t xml:space="preserve"> </w:t>
      </w:r>
      <w:r>
        <w:rPr>
          <w:spacing w:val="-4"/>
          <w:szCs w:val="22"/>
          <w:lang w:eastAsia="en-US" w:bidi="ar-SA"/>
        </w:rPr>
        <w:t>m</w:t>
      </w:r>
      <w:r>
        <w:rPr>
          <w:szCs w:val="22"/>
          <w:lang w:eastAsia="en-US" w:bidi="ar-SA"/>
        </w:rPr>
        <w:t>ed</w:t>
      </w:r>
      <w:r>
        <w:rPr>
          <w:spacing w:val="1"/>
          <w:szCs w:val="22"/>
          <w:lang w:eastAsia="en-US" w:bidi="ar-SA"/>
        </w:rPr>
        <w:t>i</w:t>
      </w:r>
      <w:r>
        <w:rPr>
          <w:szCs w:val="22"/>
          <w:lang w:eastAsia="en-US" w:bidi="ar-SA"/>
        </w:rPr>
        <w:t>c</w:t>
      </w:r>
      <w:r>
        <w:rPr>
          <w:spacing w:val="-3"/>
          <w:szCs w:val="22"/>
          <w:lang w:eastAsia="en-US" w:bidi="ar-SA"/>
        </w:rPr>
        <w:t>u</w:t>
      </w:r>
      <w:r>
        <w:rPr>
          <w:spacing w:val="1"/>
          <w:szCs w:val="22"/>
          <w:lang w:eastAsia="en-US" w:bidi="ar-SA"/>
        </w:rPr>
        <w:t>l</w:t>
      </w:r>
      <w:r>
        <w:rPr>
          <w:szCs w:val="22"/>
          <w:lang w:eastAsia="en-US" w:bidi="ar-SA"/>
        </w:rPr>
        <w:t>ui</w:t>
      </w:r>
      <w:r>
        <w:rPr>
          <w:spacing w:val="-2"/>
          <w:szCs w:val="22"/>
          <w:lang w:eastAsia="en-US" w:bidi="ar-SA"/>
        </w:rPr>
        <w:t xml:space="preserve"> </w:t>
      </w:r>
      <w:r>
        <w:rPr>
          <w:szCs w:val="22"/>
          <w:lang w:eastAsia="en-US" w:bidi="ar-SA"/>
        </w:rPr>
        <w:t>du</w:t>
      </w:r>
      <w:r>
        <w:rPr>
          <w:spacing w:val="-4"/>
          <w:szCs w:val="22"/>
          <w:lang w:eastAsia="en-US" w:bidi="ar-SA"/>
        </w:rPr>
        <w:t>m</w:t>
      </w:r>
      <w:r>
        <w:rPr>
          <w:szCs w:val="22"/>
          <w:lang w:eastAsia="en-US" w:bidi="ar-SA"/>
        </w:rPr>
        <w:t>nea</w:t>
      </w:r>
      <w:r>
        <w:rPr>
          <w:spacing w:val="-3"/>
          <w:szCs w:val="22"/>
          <w:lang w:eastAsia="en-US" w:bidi="ar-SA"/>
        </w:rPr>
        <w:t>v</w:t>
      </w:r>
      <w:r>
        <w:rPr>
          <w:szCs w:val="22"/>
          <w:lang w:eastAsia="en-US" w:bidi="ar-SA"/>
        </w:rPr>
        <w:t>oas</w:t>
      </w:r>
      <w:r>
        <w:rPr>
          <w:spacing w:val="1"/>
          <w:szCs w:val="22"/>
          <w:lang w:eastAsia="en-US" w:bidi="ar-SA"/>
        </w:rPr>
        <w:t>t</w:t>
      </w:r>
      <w:r>
        <w:rPr>
          <w:szCs w:val="22"/>
          <w:lang w:eastAsia="en-US" w:bidi="ar-SA"/>
        </w:rPr>
        <w:t>ră</w:t>
      </w:r>
      <w:r>
        <w:rPr>
          <w:spacing w:val="-2"/>
          <w:szCs w:val="22"/>
          <w:lang w:eastAsia="en-US" w:bidi="ar-SA"/>
        </w:rPr>
        <w:t xml:space="preserve"> </w:t>
      </w:r>
      <w:r>
        <w:rPr>
          <w:szCs w:val="22"/>
          <w:lang w:eastAsia="en-US" w:bidi="ar-SA"/>
        </w:rPr>
        <w:t>dacă</w:t>
      </w:r>
      <w:r>
        <w:rPr>
          <w:spacing w:val="-2"/>
          <w:szCs w:val="22"/>
          <w:lang w:eastAsia="en-US" w:bidi="ar-SA"/>
        </w:rPr>
        <w:t xml:space="preserve"> </w:t>
      </w:r>
      <w:r>
        <w:rPr>
          <w:spacing w:val="1"/>
          <w:szCs w:val="22"/>
          <w:lang w:eastAsia="en-US" w:bidi="ar-SA"/>
        </w:rPr>
        <w:t>l</w:t>
      </w:r>
      <w:r>
        <w:rPr>
          <w:spacing w:val="-3"/>
          <w:szCs w:val="22"/>
          <w:lang w:eastAsia="en-US" w:bidi="ar-SA"/>
        </w:rPr>
        <w:t>o</w:t>
      </w:r>
      <w:r>
        <w:rPr>
          <w:szCs w:val="22"/>
          <w:lang w:eastAsia="en-US" w:bidi="ar-SA"/>
        </w:rPr>
        <w:t>cu</w:t>
      </w:r>
      <w:r>
        <w:rPr>
          <w:spacing w:val="-2"/>
          <w:szCs w:val="22"/>
          <w:lang w:eastAsia="en-US" w:bidi="ar-SA"/>
        </w:rPr>
        <w:t>i</w:t>
      </w:r>
      <w:r>
        <w:rPr>
          <w:spacing w:val="1"/>
          <w:szCs w:val="22"/>
          <w:lang w:eastAsia="en-US" w:bidi="ar-SA"/>
        </w:rPr>
        <w:t>ţ</w:t>
      </w:r>
      <w:r>
        <w:rPr>
          <w:szCs w:val="22"/>
          <w:lang w:eastAsia="en-US" w:bidi="ar-SA"/>
        </w:rPr>
        <w:t>i</w:t>
      </w:r>
      <w:r>
        <w:rPr>
          <w:spacing w:val="-2"/>
          <w:szCs w:val="22"/>
          <w:lang w:eastAsia="en-US" w:bidi="ar-SA"/>
        </w:rPr>
        <w:t xml:space="preserve"> </w:t>
      </w:r>
      <w:r>
        <w:rPr>
          <w:szCs w:val="22"/>
          <w:lang w:eastAsia="en-US" w:bidi="ar-SA"/>
        </w:rPr>
        <w:t>sau</w:t>
      </w:r>
      <w:r>
        <w:rPr>
          <w:spacing w:val="-3"/>
          <w:szCs w:val="22"/>
          <w:lang w:eastAsia="en-US" w:bidi="ar-SA"/>
        </w:rPr>
        <w:t xml:space="preserve"> </w:t>
      </w:r>
      <w:r>
        <w:rPr>
          <w:szCs w:val="22"/>
          <w:lang w:eastAsia="en-US" w:bidi="ar-SA"/>
        </w:rPr>
        <w:t>că</w:t>
      </w:r>
      <w:r>
        <w:rPr>
          <w:spacing w:val="-2"/>
          <w:szCs w:val="22"/>
          <w:lang w:eastAsia="en-US" w:bidi="ar-SA"/>
        </w:rPr>
        <w:t>l</w:t>
      </w:r>
      <w:r>
        <w:rPr>
          <w:szCs w:val="22"/>
          <w:lang w:eastAsia="en-US" w:bidi="ar-SA"/>
        </w:rPr>
        <w:t>ă</w:t>
      </w:r>
      <w:r>
        <w:rPr>
          <w:spacing w:val="1"/>
          <w:szCs w:val="22"/>
          <w:lang w:eastAsia="en-US" w:bidi="ar-SA"/>
        </w:rPr>
        <w:t>t</w:t>
      </w:r>
      <w:r>
        <w:rPr>
          <w:szCs w:val="22"/>
          <w:lang w:eastAsia="en-US" w:bidi="ar-SA"/>
        </w:rPr>
        <w:t>o</w:t>
      </w:r>
      <w:r>
        <w:rPr>
          <w:spacing w:val="-2"/>
          <w:szCs w:val="22"/>
          <w:lang w:eastAsia="en-US" w:bidi="ar-SA"/>
        </w:rPr>
        <w:t>ri</w:t>
      </w:r>
      <w:r>
        <w:rPr>
          <w:spacing w:val="1"/>
          <w:szCs w:val="22"/>
          <w:lang w:eastAsia="en-US" w:bidi="ar-SA"/>
        </w:rPr>
        <w:t>ţ</w:t>
      </w:r>
      <w:r>
        <w:rPr>
          <w:szCs w:val="22"/>
          <w:lang w:eastAsia="en-US" w:bidi="ar-SA"/>
        </w:rPr>
        <w:t>i</w:t>
      </w:r>
      <w:r>
        <w:rPr>
          <w:spacing w:val="-2"/>
          <w:szCs w:val="22"/>
          <w:lang w:eastAsia="en-US" w:bidi="ar-SA"/>
        </w:rPr>
        <w:t xml:space="preserve"> </w:t>
      </w:r>
      <w:r>
        <w:rPr>
          <w:spacing w:val="1"/>
          <w:szCs w:val="22"/>
          <w:lang w:eastAsia="en-US" w:bidi="ar-SA"/>
        </w:rPr>
        <w:t>î</w:t>
      </w:r>
      <w:r>
        <w:rPr>
          <w:szCs w:val="22"/>
          <w:lang w:eastAsia="en-US" w:bidi="ar-SA"/>
        </w:rPr>
        <w:t xml:space="preserve">n </w:t>
      </w:r>
      <w:r>
        <w:rPr>
          <w:spacing w:val="-3"/>
          <w:szCs w:val="22"/>
          <w:lang w:eastAsia="en-US" w:bidi="ar-SA"/>
        </w:rPr>
        <w:t>z</w:t>
      </w:r>
      <w:r>
        <w:rPr>
          <w:szCs w:val="22"/>
          <w:lang w:eastAsia="en-US" w:bidi="ar-SA"/>
        </w:rPr>
        <w:t>one e</w:t>
      </w:r>
      <w:r>
        <w:rPr>
          <w:spacing w:val="-3"/>
          <w:szCs w:val="22"/>
          <w:lang w:eastAsia="en-US" w:bidi="ar-SA"/>
        </w:rPr>
        <w:t>n</w:t>
      </w:r>
      <w:r>
        <w:rPr>
          <w:szCs w:val="22"/>
          <w:lang w:eastAsia="en-US" w:bidi="ar-SA"/>
        </w:rPr>
        <w:t>de</w:t>
      </w:r>
      <w:r>
        <w:rPr>
          <w:spacing w:val="-4"/>
          <w:szCs w:val="22"/>
          <w:lang w:eastAsia="en-US" w:bidi="ar-SA"/>
        </w:rPr>
        <w:t>m</w:t>
      </w:r>
      <w:r>
        <w:rPr>
          <w:spacing w:val="1"/>
          <w:szCs w:val="22"/>
          <w:lang w:eastAsia="en-US" w:bidi="ar-SA"/>
        </w:rPr>
        <w:t>i</w:t>
      </w:r>
      <w:r>
        <w:rPr>
          <w:szCs w:val="22"/>
          <w:lang w:eastAsia="en-US" w:bidi="ar-SA"/>
        </w:rPr>
        <w:t>ce p</w:t>
      </w:r>
      <w:r>
        <w:rPr>
          <w:spacing w:val="-3"/>
          <w:szCs w:val="22"/>
          <w:lang w:eastAsia="en-US" w:bidi="ar-SA"/>
        </w:rPr>
        <w:t>e</w:t>
      </w:r>
      <w:r>
        <w:rPr>
          <w:szCs w:val="22"/>
          <w:lang w:eastAsia="en-US" w:bidi="ar-SA"/>
        </w:rPr>
        <w:t>n</w:t>
      </w:r>
      <w:r>
        <w:rPr>
          <w:spacing w:val="1"/>
          <w:szCs w:val="22"/>
          <w:lang w:eastAsia="en-US" w:bidi="ar-SA"/>
        </w:rPr>
        <w:t>t</w:t>
      </w:r>
      <w:r>
        <w:rPr>
          <w:szCs w:val="22"/>
          <w:lang w:eastAsia="en-US" w:bidi="ar-SA"/>
        </w:rPr>
        <w:t>ru</w:t>
      </w:r>
      <w:r>
        <w:rPr>
          <w:spacing w:val="-3"/>
          <w:szCs w:val="22"/>
          <w:lang w:eastAsia="en-US" w:bidi="ar-SA"/>
        </w:rPr>
        <w:t xml:space="preserve"> </w:t>
      </w:r>
      <w:r>
        <w:rPr>
          <w:spacing w:val="1"/>
          <w:szCs w:val="22"/>
          <w:lang w:eastAsia="en-US" w:bidi="ar-SA"/>
        </w:rPr>
        <w:t>i</w:t>
      </w:r>
      <w:r>
        <w:rPr>
          <w:spacing w:val="-3"/>
          <w:szCs w:val="22"/>
          <w:lang w:eastAsia="en-US" w:bidi="ar-SA"/>
        </w:rPr>
        <w:t>n</w:t>
      </w:r>
      <w:r>
        <w:rPr>
          <w:szCs w:val="22"/>
          <w:lang w:eastAsia="en-US" w:bidi="ar-SA"/>
        </w:rPr>
        <w:t>fe</w:t>
      </w:r>
      <w:r>
        <w:rPr>
          <w:spacing w:val="-3"/>
          <w:szCs w:val="22"/>
          <w:lang w:eastAsia="en-US" w:bidi="ar-SA"/>
        </w:rPr>
        <w:t>c</w:t>
      </w:r>
      <w:r>
        <w:rPr>
          <w:spacing w:val="1"/>
          <w:szCs w:val="22"/>
          <w:lang w:eastAsia="en-US" w:bidi="ar-SA"/>
        </w:rPr>
        <w:t>ţ</w:t>
      </w:r>
      <w:r>
        <w:rPr>
          <w:spacing w:val="-2"/>
          <w:szCs w:val="22"/>
          <w:lang w:eastAsia="en-US" w:bidi="ar-SA"/>
        </w:rPr>
        <w:t>i</w:t>
      </w:r>
      <w:r>
        <w:rPr>
          <w:spacing w:val="1"/>
          <w:szCs w:val="22"/>
          <w:lang w:eastAsia="en-US" w:bidi="ar-SA"/>
        </w:rPr>
        <w:t>i</w:t>
      </w:r>
      <w:r>
        <w:rPr>
          <w:spacing w:val="-2"/>
          <w:szCs w:val="22"/>
          <w:lang w:eastAsia="en-US" w:bidi="ar-SA"/>
        </w:rPr>
        <w:t>l</w:t>
      </w:r>
      <w:r>
        <w:rPr>
          <w:szCs w:val="22"/>
          <w:lang w:eastAsia="en-US" w:bidi="ar-SA"/>
        </w:rPr>
        <w:t>e cu c</w:t>
      </w:r>
      <w:r>
        <w:rPr>
          <w:spacing w:val="-2"/>
          <w:szCs w:val="22"/>
          <w:lang w:eastAsia="en-US" w:bidi="ar-SA"/>
        </w:rPr>
        <w:t>i</w:t>
      </w:r>
      <w:r>
        <w:rPr>
          <w:szCs w:val="22"/>
          <w:lang w:eastAsia="en-US" w:bidi="ar-SA"/>
        </w:rPr>
        <w:t>up</w:t>
      </w:r>
      <w:r>
        <w:rPr>
          <w:spacing w:val="-3"/>
          <w:szCs w:val="22"/>
          <w:lang w:eastAsia="en-US" w:bidi="ar-SA"/>
        </w:rPr>
        <w:t>e</w:t>
      </w:r>
      <w:r>
        <w:rPr>
          <w:szCs w:val="22"/>
          <w:lang w:eastAsia="en-US" w:bidi="ar-SA"/>
        </w:rPr>
        <w:t>rc</w:t>
      </w:r>
      <w:r>
        <w:rPr>
          <w:spacing w:val="1"/>
          <w:szCs w:val="22"/>
          <w:lang w:eastAsia="en-US" w:bidi="ar-SA"/>
        </w:rPr>
        <w:t>i</w:t>
      </w:r>
      <w:r>
        <w:rPr>
          <w:szCs w:val="22"/>
          <w:lang w:eastAsia="en-US" w:bidi="ar-SA"/>
        </w:rPr>
        <w:t>,</w:t>
      </w:r>
      <w:r>
        <w:rPr>
          <w:spacing w:val="-3"/>
          <w:szCs w:val="22"/>
          <w:lang w:eastAsia="en-US" w:bidi="ar-SA"/>
        </w:rPr>
        <w:t xml:space="preserve"> </w:t>
      </w:r>
      <w:r>
        <w:rPr>
          <w:szCs w:val="22"/>
          <w:lang w:eastAsia="en-US" w:bidi="ar-SA"/>
        </w:rPr>
        <w:t>cum</w:t>
      </w:r>
      <w:r>
        <w:rPr>
          <w:spacing w:val="-4"/>
          <w:szCs w:val="22"/>
          <w:lang w:eastAsia="en-US" w:bidi="ar-SA"/>
        </w:rPr>
        <w:t xml:space="preserve"> </w:t>
      </w:r>
      <w:r>
        <w:rPr>
          <w:szCs w:val="22"/>
          <w:lang w:eastAsia="en-US" w:bidi="ar-SA"/>
        </w:rPr>
        <w:t>sunt</w:t>
      </w:r>
      <w:r>
        <w:rPr>
          <w:spacing w:val="1"/>
          <w:szCs w:val="22"/>
          <w:lang w:eastAsia="en-US" w:bidi="ar-SA"/>
        </w:rPr>
        <w:t xml:space="preserve"> </w:t>
      </w:r>
      <w:r>
        <w:rPr>
          <w:spacing w:val="-3"/>
          <w:szCs w:val="22"/>
          <w:lang w:eastAsia="en-US" w:bidi="ar-SA"/>
        </w:rPr>
        <w:t>h</w:t>
      </w:r>
      <w:r>
        <w:rPr>
          <w:spacing w:val="1"/>
          <w:szCs w:val="22"/>
          <w:lang w:eastAsia="en-US" w:bidi="ar-SA"/>
        </w:rPr>
        <w:t>i</w:t>
      </w:r>
      <w:r>
        <w:rPr>
          <w:spacing w:val="-2"/>
          <w:szCs w:val="22"/>
          <w:lang w:eastAsia="en-US" w:bidi="ar-SA"/>
        </w:rPr>
        <w:t>s</w:t>
      </w:r>
      <w:r>
        <w:rPr>
          <w:spacing w:val="1"/>
          <w:szCs w:val="22"/>
          <w:lang w:eastAsia="en-US" w:bidi="ar-SA"/>
        </w:rPr>
        <w:t>t</w:t>
      </w:r>
      <w:r>
        <w:rPr>
          <w:spacing w:val="-3"/>
          <w:szCs w:val="22"/>
          <w:lang w:eastAsia="en-US" w:bidi="ar-SA"/>
        </w:rPr>
        <w:t>o</w:t>
      </w:r>
      <w:r>
        <w:rPr>
          <w:szCs w:val="22"/>
          <w:lang w:eastAsia="en-US" w:bidi="ar-SA"/>
        </w:rPr>
        <w:t>p</w:t>
      </w:r>
      <w:r>
        <w:rPr>
          <w:spacing w:val="1"/>
          <w:szCs w:val="22"/>
          <w:lang w:eastAsia="en-US" w:bidi="ar-SA"/>
        </w:rPr>
        <w:t>l</w:t>
      </w:r>
      <w:r>
        <w:rPr>
          <w:szCs w:val="22"/>
          <w:lang w:eastAsia="en-US" w:bidi="ar-SA"/>
        </w:rPr>
        <w:t>as</w:t>
      </w:r>
      <w:r>
        <w:rPr>
          <w:spacing w:val="-4"/>
          <w:szCs w:val="22"/>
          <w:lang w:eastAsia="en-US" w:bidi="ar-SA"/>
        </w:rPr>
        <w:t>m</w:t>
      </w:r>
      <w:r>
        <w:rPr>
          <w:szCs w:val="22"/>
          <w:lang w:eastAsia="en-US" w:bidi="ar-SA"/>
        </w:rPr>
        <w:t>o</w:t>
      </w:r>
      <w:r>
        <w:rPr>
          <w:spacing w:val="-3"/>
          <w:szCs w:val="22"/>
          <w:lang w:eastAsia="en-US" w:bidi="ar-SA"/>
        </w:rPr>
        <w:t>z</w:t>
      </w:r>
      <w:r>
        <w:rPr>
          <w:szCs w:val="22"/>
          <w:lang w:eastAsia="en-US" w:bidi="ar-SA"/>
        </w:rPr>
        <w:t>ă, coc</w:t>
      </w:r>
      <w:r>
        <w:rPr>
          <w:spacing w:val="-3"/>
          <w:szCs w:val="22"/>
          <w:lang w:eastAsia="en-US" w:bidi="ar-SA"/>
        </w:rPr>
        <w:t>c</w:t>
      </w:r>
      <w:r>
        <w:rPr>
          <w:spacing w:val="1"/>
          <w:szCs w:val="22"/>
          <w:lang w:eastAsia="en-US" w:bidi="ar-SA"/>
        </w:rPr>
        <w:t>i</w:t>
      </w:r>
      <w:r>
        <w:rPr>
          <w:szCs w:val="22"/>
          <w:lang w:eastAsia="en-US" w:bidi="ar-SA"/>
        </w:rPr>
        <w:t>d</w:t>
      </w:r>
      <w:r>
        <w:rPr>
          <w:spacing w:val="1"/>
          <w:szCs w:val="22"/>
          <w:lang w:eastAsia="en-US" w:bidi="ar-SA"/>
        </w:rPr>
        <w:t>i</w:t>
      </w:r>
      <w:r>
        <w:rPr>
          <w:spacing w:val="-3"/>
          <w:szCs w:val="22"/>
          <w:lang w:eastAsia="en-US" w:bidi="ar-SA"/>
        </w:rPr>
        <w:t>o</w:t>
      </w:r>
      <w:r>
        <w:rPr>
          <w:spacing w:val="1"/>
          <w:szCs w:val="22"/>
          <w:lang w:eastAsia="en-US" w:bidi="ar-SA"/>
        </w:rPr>
        <w:t>i</w:t>
      </w:r>
      <w:r>
        <w:rPr>
          <w:szCs w:val="22"/>
          <w:lang w:eastAsia="en-US" w:bidi="ar-SA"/>
        </w:rPr>
        <w:t>domico</w:t>
      </w:r>
      <w:r>
        <w:rPr>
          <w:spacing w:val="-3"/>
          <w:szCs w:val="22"/>
          <w:lang w:eastAsia="en-US" w:bidi="ar-SA"/>
        </w:rPr>
        <w:t>z</w:t>
      </w:r>
      <w:r>
        <w:rPr>
          <w:szCs w:val="22"/>
          <w:lang w:eastAsia="en-US" w:bidi="ar-SA"/>
        </w:rPr>
        <w:t xml:space="preserve">ă </w:t>
      </w:r>
      <w:r>
        <w:rPr>
          <w:spacing w:val="-2"/>
          <w:szCs w:val="22"/>
          <w:lang w:eastAsia="en-US" w:bidi="ar-SA"/>
        </w:rPr>
        <w:t>s</w:t>
      </w:r>
      <w:r>
        <w:rPr>
          <w:spacing w:val="-3"/>
          <w:szCs w:val="22"/>
          <w:lang w:eastAsia="en-US" w:bidi="ar-SA"/>
        </w:rPr>
        <w:t>a</w:t>
      </w:r>
      <w:r>
        <w:rPr>
          <w:szCs w:val="22"/>
          <w:lang w:eastAsia="en-US" w:bidi="ar-SA"/>
        </w:rPr>
        <w:t>u b</w:t>
      </w:r>
      <w:r>
        <w:rPr>
          <w:spacing w:val="1"/>
          <w:szCs w:val="22"/>
          <w:lang w:eastAsia="en-US" w:bidi="ar-SA"/>
        </w:rPr>
        <w:t>l</w:t>
      </w:r>
      <w:r>
        <w:rPr>
          <w:spacing w:val="-3"/>
          <w:szCs w:val="22"/>
          <w:lang w:eastAsia="en-US" w:bidi="ar-SA"/>
        </w:rPr>
        <w:t>a</w:t>
      </w:r>
      <w:r>
        <w:rPr>
          <w:szCs w:val="22"/>
          <w:lang w:eastAsia="en-US" w:bidi="ar-SA"/>
        </w:rPr>
        <w:t>s</w:t>
      </w:r>
      <w:r>
        <w:rPr>
          <w:spacing w:val="1"/>
          <w:szCs w:val="22"/>
          <w:lang w:eastAsia="en-US" w:bidi="ar-SA"/>
        </w:rPr>
        <w:t>t</w:t>
      </w:r>
      <w:r>
        <w:rPr>
          <w:szCs w:val="22"/>
          <w:lang w:eastAsia="en-US" w:bidi="ar-SA"/>
        </w:rPr>
        <w:t>o</w:t>
      </w:r>
      <w:r>
        <w:rPr>
          <w:spacing w:val="-4"/>
          <w:szCs w:val="22"/>
          <w:lang w:eastAsia="en-US" w:bidi="ar-SA"/>
        </w:rPr>
        <w:t>m</w:t>
      </w:r>
      <w:r>
        <w:rPr>
          <w:spacing w:val="1"/>
          <w:szCs w:val="22"/>
          <w:lang w:eastAsia="en-US" w:bidi="ar-SA"/>
        </w:rPr>
        <w:t>i</w:t>
      </w:r>
      <w:r>
        <w:rPr>
          <w:szCs w:val="22"/>
          <w:lang w:eastAsia="en-US" w:bidi="ar-SA"/>
        </w:rPr>
        <w:t>co</w:t>
      </w:r>
      <w:r>
        <w:rPr>
          <w:spacing w:val="-2"/>
          <w:szCs w:val="22"/>
          <w:lang w:eastAsia="en-US" w:bidi="ar-SA"/>
        </w:rPr>
        <w:t>z</w:t>
      </w:r>
      <w:r>
        <w:rPr>
          <w:szCs w:val="22"/>
          <w:lang w:eastAsia="en-US" w:bidi="ar-SA"/>
        </w:rPr>
        <w:t>ă.</w:t>
      </w:r>
    </w:p>
    <w:p w14:paraId="76EDBC6C"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dacă</w:t>
      </w:r>
      <w:r>
        <w:rPr>
          <w:spacing w:val="-2"/>
        </w:rPr>
        <w:t xml:space="preserve"> </w:t>
      </w:r>
      <w:r>
        <w:t>a</w:t>
      </w:r>
      <w:r>
        <w:rPr>
          <w:spacing w:val="-3"/>
        </w:rPr>
        <w:t>v</w:t>
      </w:r>
      <w:r>
        <w:t>e</w:t>
      </w:r>
      <w:r>
        <w:rPr>
          <w:spacing w:val="1"/>
        </w:rPr>
        <w:t>ţ</w:t>
      </w:r>
      <w:r>
        <w:t>i</w:t>
      </w:r>
      <w:r>
        <w:rPr>
          <w:spacing w:val="-2"/>
        </w:rPr>
        <w:t xml:space="preserve"> </w:t>
      </w:r>
      <w:r>
        <w:t>an</w:t>
      </w:r>
      <w:r>
        <w:rPr>
          <w:spacing w:val="-2"/>
        </w:rPr>
        <w:t>t</w:t>
      </w:r>
      <w:r>
        <w:t>ec</w:t>
      </w:r>
      <w:r>
        <w:rPr>
          <w:spacing w:val="-3"/>
        </w:rPr>
        <w:t>e</w:t>
      </w:r>
      <w:r>
        <w:t>d</w:t>
      </w:r>
      <w:r>
        <w:rPr>
          <w:spacing w:val="-3"/>
        </w:rPr>
        <w:t>e</w:t>
      </w:r>
      <w:r>
        <w:t>n</w:t>
      </w:r>
      <w:r>
        <w:rPr>
          <w:spacing w:val="1"/>
        </w:rPr>
        <w:t>t</w:t>
      </w:r>
      <w:r>
        <w:t xml:space="preserve">e </w:t>
      </w:r>
      <w:r>
        <w:rPr>
          <w:spacing w:val="-3"/>
        </w:rPr>
        <w:t>d</w:t>
      </w:r>
      <w:r>
        <w:t xml:space="preserve">e </w:t>
      </w:r>
      <w:r>
        <w:rPr>
          <w:spacing w:val="1"/>
        </w:rPr>
        <w:t>i</w:t>
      </w:r>
      <w:r>
        <w:rPr>
          <w:spacing w:val="-3"/>
        </w:rPr>
        <w:t>n</w:t>
      </w:r>
      <w:r>
        <w:t>fe</w:t>
      </w:r>
      <w:r>
        <w:rPr>
          <w:spacing w:val="-3"/>
        </w:rPr>
        <w:t>c</w:t>
      </w:r>
      <w:r>
        <w:rPr>
          <w:spacing w:val="1"/>
        </w:rPr>
        <w:t>ţ</w:t>
      </w:r>
      <w:r>
        <w:rPr>
          <w:spacing w:val="-2"/>
        </w:rPr>
        <w:t>i</w:t>
      </w:r>
      <w:r>
        <w:t>i</w:t>
      </w:r>
      <w:r>
        <w:rPr>
          <w:spacing w:val="-2"/>
        </w:rPr>
        <w:t xml:space="preserve"> </w:t>
      </w:r>
      <w:r>
        <w:t>re</w:t>
      </w:r>
      <w:r>
        <w:rPr>
          <w:spacing w:val="-3"/>
        </w:rPr>
        <w:t>c</w:t>
      </w:r>
      <w:r>
        <w:rPr>
          <w:spacing w:val="1"/>
        </w:rPr>
        <w:t>i</w:t>
      </w:r>
      <w:r>
        <w:t>d</w:t>
      </w:r>
      <w:r>
        <w:rPr>
          <w:spacing w:val="1"/>
        </w:rPr>
        <w:t>i</w:t>
      </w:r>
      <w:r>
        <w:rPr>
          <w:spacing w:val="-3"/>
        </w:rPr>
        <w:t>v</w:t>
      </w:r>
      <w:r>
        <w:t>a</w:t>
      </w:r>
      <w:r>
        <w:rPr>
          <w:spacing w:val="-3"/>
        </w:rPr>
        <w:t>n</w:t>
      </w:r>
      <w:r>
        <w:rPr>
          <w:spacing w:val="1"/>
        </w:rPr>
        <w:t>t</w:t>
      </w:r>
      <w:r>
        <w:t xml:space="preserve">e </w:t>
      </w:r>
      <w:r>
        <w:rPr>
          <w:spacing w:val="-2"/>
        </w:rPr>
        <w:t>s</w:t>
      </w:r>
      <w:r>
        <w:t>au a</w:t>
      </w:r>
      <w:r>
        <w:rPr>
          <w:spacing w:val="-2"/>
        </w:rPr>
        <w:t>l</w:t>
      </w:r>
      <w:r>
        <w:rPr>
          <w:spacing w:val="1"/>
        </w:rPr>
        <w:t>t</w:t>
      </w:r>
      <w:r>
        <w:t>e afe</w:t>
      </w:r>
      <w:r>
        <w:rPr>
          <w:spacing w:val="-3"/>
        </w:rPr>
        <w:t>c</w:t>
      </w:r>
      <w:r>
        <w:rPr>
          <w:spacing w:val="1"/>
        </w:rPr>
        <w:t>ţ</w:t>
      </w:r>
      <w:r>
        <w:rPr>
          <w:spacing w:val="-2"/>
        </w:rPr>
        <w:t>i</w:t>
      </w:r>
      <w:r>
        <w:t>uni</w:t>
      </w:r>
      <w:r>
        <w:rPr>
          <w:spacing w:val="-2"/>
        </w:rPr>
        <w:t xml:space="preserve"> </w:t>
      </w:r>
      <w:r>
        <w:t>ca</w:t>
      </w:r>
      <w:r>
        <w:rPr>
          <w:spacing w:val="-2"/>
        </w:rPr>
        <w:t>r</w:t>
      </w:r>
      <w:r>
        <w:t xml:space="preserve">e </w:t>
      </w:r>
      <w:r>
        <w:rPr>
          <w:spacing w:val="-3"/>
        </w:rPr>
        <w:t>c</w:t>
      </w:r>
      <w:r>
        <w:t>re</w:t>
      </w:r>
      <w:r>
        <w:rPr>
          <w:spacing w:val="-2"/>
        </w:rPr>
        <w:t>s</w:t>
      </w:r>
      <w:r>
        <w:t xml:space="preserve">c </w:t>
      </w:r>
      <w:r>
        <w:rPr>
          <w:spacing w:val="-2"/>
        </w:rPr>
        <w:t>r</w:t>
      </w:r>
      <w:r>
        <w:rPr>
          <w:spacing w:val="1"/>
        </w:rPr>
        <w:t>i</w:t>
      </w:r>
      <w:r>
        <w:t>sc</w:t>
      </w:r>
      <w:r>
        <w:rPr>
          <w:spacing w:val="-3"/>
        </w:rPr>
        <w:t>u</w:t>
      </w:r>
      <w:r>
        <w:t>l</w:t>
      </w:r>
      <w:r>
        <w:rPr>
          <w:spacing w:val="1"/>
        </w:rPr>
        <w:t xml:space="preserve"> </w:t>
      </w:r>
      <w:r>
        <w:rPr>
          <w:spacing w:val="-3"/>
        </w:rPr>
        <w:t>d</w:t>
      </w:r>
      <w:r>
        <w:t xml:space="preserve">e </w:t>
      </w:r>
      <w:r>
        <w:rPr>
          <w:spacing w:val="1"/>
        </w:rPr>
        <w:t>i</w:t>
      </w:r>
      <w:r>
        <w:rPr>
          <w:spacing w:val="-3"/>
        </w:rPr>
        <w:t>n</w:t>
      </w:r>
      <w:r>
        <w:t>fe</w:t>
      </w:r>
      <w:r>
        <w:rPr>
          <w:spacing w:val="-3"/>
        </w:rPr>
        <w:t>c</w:t>
      </w:r>
      <w:r>
        <w:rPr>
          <w:spacing w:val="1"/>
        </w:rPr>
        <w:t>ţ</w:t>
      </w:r>
      <w:r>
        <w:rPr>
          <w:spacing w:val="-2"/>
        </w:rPr>
        <w:t>i</w:t>
      </w:r>
      <w:r>
        <w:rPr>
          <w:spacing w:val="1"/>
        </w:rPr>
        <w:t>i</w:t>
      </w:r>
      <w:r>
        <w:t>.</w:t>
      </w:r>
    </w:p>
    <w:p w14:paraId="196278E4" w14:textId="77777777" w:rsidR="00C04CAD" w:rsidRDefault="00C04CAD">
      <w:pPr>
        <w:tabs>
          <w:tab w:val="clear" w:pos="567"/>
        </w:tabs>
        <w:kinsoku w:val="0"/>
        <w:overflowPunct w:val="0"/>
        <w:autoSpaceDE w:val="0"/>
        <w:autoSpaceDN w:val="0"/>
        <w:adjustRightInd w:val="0"/>
        <w:spacing w:line="240" w:lineRule="auto"/>
        <w:ind w:left="567" w:hanging="567"/>
      </w:pPr>
    </w:p>
    <w:p w14:paraId="71C48DD4" w14:textId="77777777" w:rsidR="00C04CAD" w:rsidRDefault="00060E34">
      <w:pPr>
        <w:tabs>
          <w:tab w:val="clear" w:pos="567"/>
        </w:tabs>
        <w:kinsoku w:val="0"/>
        <w:overflowPunct w:val="0"/>
        <w:autoSpaceDE w:val="0"/>
        <w:autoSpaceDN w:val="0"/>
        <w:adjustRightInd w:val="0"/>
        <w:spacing w:line="240" w:lineRule="auto"/>
        <w:ind w:left="567" w:hanging="567"/>
      </w:pPr>
      <w:r>
        <w:t>Virusul hepatitei B</w:t>
      </w:r>
    </w:p>
    <w:p w14:paraId="1C81F767" w14:textId="77777777" w:rsidR="00C04CAD" w:rsidRDefault="00C04CAD">
      <w:pPr>
        <w:tabs>
          <w:tab w:val="clear" w:pos="567"/>
        </w:tabs>
        <w:kinsoku w:val="0"/>
        <w:overflowPunct w:val="0"/>
        <w:autoSpaceDE w:val="0"/>
        <w:autoSpaceDN w:val="0"/>
        <w:adjustRightInd w:val="0"/>
        <w:spacing w:line="240" w:lineRule="auto"/>
        <w:ind w:left="567" w:hanging="567"/>
      </w:pPr>
    </w:p>
    <w:p w14:paraId="40FCE7C9"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dacă</w:t>
      </w:r>
      <w:r>
        <w:rPr>
          <w:spacing w:val="-2"/>
        </w:rPr>
        <w:t xml:space="preserve"> </w:t>
      </w:r>
      <w:r>
        <w:t>su</w:t>
      </w:r>
      <w:r>
        <w:rPr>
          <w:spacing w:val="-3"/>
        </w:rPr>
        <w:t>n</w:t>
      </w:r>
      <w:r>
        <w:rPr>
          <w:spacing w:val="1"/>
        </w:rPr>
        <w:t>t</w:t>
      </w:r>
      <w:r>
        <w:rPr>
          <w:spacing w:val="-3"/>
        </w:rPr>
        <w:t>e</w:t>
      </w:r>
      <w:r>
        <w:rPr>
          <w:spacing w:val="1"/>
        </w:rPr>
        <w:t>ţ</w:t>
      </w:r>
      <w:r>
        <w:t>i</w:t>
      </w:r>
      <w:r>
        <w:rPr>
          <w:spacing w:val="1"/>
        </w:rPr>
        <w:t xml:space="preserve"> </w:t>
      </w:r>
      <w:r>
        <w:t>p</w:t>
      </w:r>
      <w:r>
        <w:rPr>
          <w:spacing w:val="-3"/>
        </w:rPr>
        <w:t>u</w:t>
      </w:r>
      <w:r>
        <w:t>r</w:t>
      </w:r>
      <w:r>
        <w:rPr>
          <w:spacing w:val="-2"/>
        </w:rPr>
        <w:t>t</w:t>
      </w:r>
      <w:r>
        <w:t>ă</w:t>
      </w:r>
      <w:r>
        <w:rPr>
          <w:spacing w:val="1"/>
        </w:rPr>
        <w:t>t</w:t>
      </w:r>
      <w:r>
        <w:rPr>
          <w:spacing w:val="-3"/>
        </w:rPr>
        <w:t>o</w:t>
      </w:r>
      <w:r>
        <w:t>r</w:t>
      </w:r>
      <w:r>
        <w:rPr>
          <w:spacing w:val="1"/>
        </w:rPr>
        <w:t xml:space="preserve"> </w:t>
      </w:r>
      <w:r>
        <w:t>al</w:t>
      </w:r>
      <w:r>
        <w:rPr>
          <w:spacing w:val="1"/>
        </w:rPr>
        <w:t xml:space="preserve"> </w:t>
      </w:r>
      <w:r>
        <w:rPr>
          <w:spacing w:val="-3"/>
        </w:rPr>
        <w:t>v</w:t>
      </w:r>
      <w:r>
        <w:rPr>
          <w:spacing w:val="-2"/>
        </w:rPr>
        <w:t>i</w:t>
      </w:r>
      <w:r>
        <w:t>rus</w:t>
      </w:r>
      <w:r>
        <w:rPr>
          <w:spacing w:val="-3"/>
        </w:rPr>
        <w:t>u</w:t>
      </w:r>
      <w:r>
        <w:rPr>
          <w:spacing w:val="1"/>
        </w:rPr>
        <w:t>l</w:t>
      </w:r>
      <w:r>
        <w:rPr>
          <w:spacing w:val="-3"/>
        </w:rPr>
        <w:t>u</w:t>
      </w:r>
      <w:r>
        <w:t>i</w:t>
      </w:r>
      <w:r>
        <w:rPr>
          <w:spacing w:val="1"/>
        </w:rPr>
        <w:t xml:space="preserve"> </w:t>
      </w:r>
      <w:r>
        <w:t>he</w:t>
      </w:r>
      <w:r>
        <w:rPr>
          <w:spacing w:val="-3"/>
        </w:rPr>
        <w:t>p</w:t>
      </w:r>
      <w:r>
        <w:t>a</w:t>
      </w:r>
      <w:r>
        <w:rPr>
          <w:spacing w:val="-2"/>
        </w:rPr>
        <w:t>t</w:t>
      </w:r>
      <w:r>
        <w:rPr>
          <w:spacing w:val="1"/>
        </w:rPr>
        <w:t>it</w:t>
      </w:r>
      <w:r>
        <w:rPr>
          <w:spacing w:val="-3"/>
        </w:rPr>
        <w:t>e</w:t>
      </w:r>
      <w:r>
        <w:t>i</w:t>
      </w:r>
      <w:r>
        <w:rPr>
          <w:spacing w:val="1"/>
        </w:rPr>
        <w:t xml:space="preserve"> </w:t>
      </w:r>
      <w:r>
        <w:t>B</w:t>
      </w:r>
      <w:r>
        <w:rPr>
          <w:spacing w:val="-1"/>
        </w:rPr>
        <w:t xml:space="preserve"> </w:t>
      </w:r>
      <w:r>
        <w:rPr>
          <w:spacing w:val="-2"/>
        </w:rPr>
        <w:t>(</w:t>
      </w:r>
      <w:r>
        <w:rPr>
          <w:spacing w:val="-1"/>
        </w:rPr>
        <w:t>VHB</w:t>
      </w:r>
      <w:r>
        <w:t>), dacă a</w:t>
      </w:r>
      <w:r>
        <w:rPr>
          <w:spacing w:val="-3"/>
        </w:rPr>
        <w:t>v</w:t>
      </w:r>
      <w:r>
        <w:t>e</w:t>
      </w:r>
      <w:r>
        <w:rPr>
          <w:spacing w:val="1"/>
        </w:rPr>
        <w:t>ţ</w:t>
      </w:r>
      <w:r>
        <w:t>i</w:t>
      </w:r>
      <w:r>
        <w:rPr>
          <w:spacing w:val="1"/>
        </w:rPr>
        <w:t xml:space="preserve"> </w:t>
      </w:r>
      <w:r>
        <w:t>h</w:t>
      </w:r>
      <w:r>
        <w:rPr>
          <w:spacing w:val="-3"/>
        </w:rPr>
        <w:t>e</w:t>
      </w:r>
      <w:r>
        <w:t>pa</w:t>
      </w:r>
      <w:r>
        <w:rPr>
          <w:spacing w:val="-2"/>
        </w:rPr>
        <w:t>t</w:t>
      </w:r>
      <w:r>
        <w:rPr>
          <w:spacing w:val="1"/>
        </w:rPr>
        <w:t>i</w:t>
      </w:r>
      <w:r>
        <w:rPr>
          <w:spacing w:val="-2"/>
        </w:rPr>
        <w:t>t</w:t>
      </w:r>
      <w:r>
        <w:t>ă B</w:t>
      </w:r>
      <w:r>
        <w:rPr>
          <w:spacing w:val="-1"/>
        </w:rPr>
        <w:t xml:space="preserve"> </w:t>
      </w:r>
      <w:r>
        <w:t>a</w:t>
      </w:r>
      <w:r>
        <w:rPr>
          <w:spacing w:val="-3"/>
        </w:rPr>
        <w:t>c</w:t>
      </w:r>
      <w:r>
        <w:rPr>
          <w:spacing w:val="1"/>
        </w:rPr>
        <w:t>ti</w:t>
      </w:r>
      <w:r>
        <w:rPr>
          <w:spacing w:val="-3"/>
        </w:rPr>
        <w:t>v</w:t>
      </w:r>
      <w:r>
        <w:t xml:space="preserve">ă </w:t>
      </w:r>
      <w:r>
        <w:rPr>
          <w:spacing w:val="-2"/>
        </w:rPr>
        <w:t>s</w:t>
      </w:r>
      <w:r>
        <w:t>au</w:t>
      </w:r>
      <w:r>
        <w:rPr>
          <w:spacing w:val="-3"/>
        </w:rPr>
        <w:t xml:space="preserve"> </w:t>
      </w:r>
      <w:r>
        <w:t>cre</w:t>
      </w:r>
      <w:r>
        <w:rPr>
          <w:spacing w:val="-3"/>
        </w:rPr>
        <w:t>d</w:t>
      </w:r>
      <w:r>
        <w:t>e</w:t>
      </w:r>
      <w:r>
        <w:rPr>
          <w:spacing w:val="-2"/>
        </w:rPr>
        <w:t>ţ</w:t>
      </w:r>
      <w:r>
        <w:t>i</w:t>
      </w:r>
      <w:r>
        <w:rPr>
          <w:spacing w:val="1"/>
        </w:rPr>
        <w:t xml:space="preserve"> </w:t>
      </w:r>
      <w:r>
        <w:t>că</w:t>
      </w:r>
      <w:r>
        <w:rPr>
          <w:spacing w:val="-2"/>
        </w:rPr>
        <w:t xml:space="preserve"> </w:t>
      </w:r>
      <w:r>
        <w:t>a</w:t>
      </w:r>
      <w:r>
        <w:rPr>
          <w:spacing w:val="-3"/>
        </w:rPr>
        <w:t>v</w:t>
      </w:r>
      <w:r>
        <w:t>e</w:t>
      </w:r>
      <w:r>
        <w:rPr>
          <w:spacing w:val="1"/>
        </w:rPr>
        <w:t>ţ</w:t>
      </w:r>
      <w:r>
        <w:t>i</w:t>
      </w:r>
      <w:r>
        <w:rPr>
          <w:spacing w:val="-2"/>
        </w:rPr>
        <w:t xml:space="preserve"> </w:t>
      </w:r>
      <w:r>
        <w:t xml:space="preserve">un </w:t>
      </w:r>
      <w:r>
        <w:rPr>
          <w:spacing w:val="-2"/>
        </w:rPr>
        <w:t>r</w:t>
      </w:r>
      <w:r>
        <w:rPr>
          <w:spacing w:val="1"/>
        </w:rPr>
        <w:t>i</w:t>
      </w:r>
      <w:r>
        <w:t>sc</w:t>
      </w:r>
      <w:r>
        <w:rPr>
          <w:spacing w:val="-2"/>
        </w:rPr>
        <w:t xml:space="preserve"> </w:t>
      </w:r>
      <w:r>
        <w:t>c</w:t>
      </w:r>
      <w:r>
        <w:rPr>
          <w:spacing w:val="-2"/>
        </w:rPr>
        <w:t>r</w:t>
      </w:r>
      <w:r>
        <w:t>e</w:t>
      </w:r>
      <w:r>
        <w:rPr>
          <w:spacing w:val="-2"/>
        </w:rPr>
        <w:t>s</w:t>
      </w:r>
      <w:r>
        <w:t>cut</w:t>
      </w:r>
      <w:r>
        <w:rPr>
          <w:spacing w:val="1"/>
        </w:rPr>
        <w:t xml:space="preserve"> </w:t>
      </w:r>
      <w:r>
        <w:rPr>
          <w:spacing w:val="-2"/>
        </w:rPr>
        <w:t>s</w:t>
      </w:r>
      <w:r>
        <w:t>ă do</w:t>
      </w:r>
      <w:r>
        <w:rPr>
          <w:spacing w:val="-3"/>
        </w:rPr>
        <w:t>b</w:t>
      </w:r>
      <w:r>
        <w:t>ând</w:t>
      </w:r>
      <w:r>
        <w:rPr>
          <w:spacing w:val="-2"/>
        </w:rPr>
        <w:t>iţ</w:t>
      </w:r>
      <w:r>
        <w:t>i</w:t>
      </w:r>
      <w:r>
        <w:rPr>
          <w:spacing w:val="1"/>
        </w:rPr>
        <w:t xml:space="preserve"> V</w:t>
      </w:r>
      <w:r>
        <w:rPr>
          <w:spacing w:val="-1"/>
        </w:rPr>
        <w:t>HB</w:t>
      </w:r>
      <w:r>
        <w:t>.</w:t>
      </w:r>
      <w:r>
        <w:rPr>
          <w:spacing w:val="-3"/>
        </w:rPr>
        <w:t xml:space="preserve"> </w:t>
      </w:r>
      <w:r>
        <w:t>Me</w:t>
      </w:r>
      <w:r>
        <w:rPr>
          <w:spacing w:val="-3"/>
        </w:rPr>
        <w:t>d</w:t>
      </w:r>
      <w:r>
        <w:rPr>
          <w:spacing w:val="1"/>
        </w:rPr>
        <w:t>i</w:t>
      </w:r>
      <w:r>
        <w:t>c</w:t>
      </w:r>
      <w:r>
        <w:rPr>
          <w:spacing w:val="-3"/>
        </w:rPr>
        <w:t>u</w:t>
      </w:r>
      <w:r>
        <w:t>l du</w:t>
      </w:r>
      <w:r>
        <w:rPr>
          <w:spacing w:val="-4"/>
        </w:rPr>
        <w:t>m</w:t>
      </w:r>
      <w:r>
        <w:t>nea</w:t>
      </w:r>
      <w:r>
        <w:rPr>
          <w:spacing w:val="-3"/>
        </w:rPr>
        <w:t>v</w:t>
      </w:r>
      <w:r>
        <w:t>oas</w:t>
      </w:r>
      <w:r>
        <w:rPr>
          <w:spacing w:val="1"/>
        </w:rPr>
        <w:t>t</w:t>
      </w:r>
      <w:r>
        <w:t>ră</w:t>
      </w:r>
      <w:r>
        <w:rPr>
          <w:spacing w:val="-2"/>
        </w:rPr>
        <w:t xml:space="preserve"> </w:t>
      </w:r>
      <w:r>
        <w:rPr>
          <w:spacing w:val="1"/>
        </w:rPr>
        <w:t>t</w:t>
      </w:r>
      <w:r>
        <w:t>r</w:t>
      </w:r>
      <w:r>
        <w:rPr>
          <w:spacing w:val="-3"/>
        </w:rPr>
        <w:t>e</w:t>
      </w:r>
      <w:r>
        <w:t>bu</w:t>
      </w:r>
      <w:r>
        <w:rPr>
          <w:spacing w:val="-2"/>
        </w:rPr>
        <w:t>i</w:t>
      </w:r>
      <w:r>
        <w:t xml:space="preserve">e să </w:t>
      </w:r>
      <w:r>
        <w:rPr>
          <w:spacing w:val="-5"/>
        </w:rPr>
        <w:t>v</w:t>
      </w:r>
      <w:r>
        <w:t>ă ef</w:t>
      </w:r>
      <w:r>
        <w:rPr>
          <w:spacing w:val="-3"/>
        </w:rPr>
        <w:t>e</w:t>
      </w:r>
      <w:r>
        <w:t>c</w:t>
      </w:r>
      <w:r>
        <w:rPr>
          <w:spacing w:val="1"/>
        </w:rPr>
        <w:t>t</w:t>
      </w:r>
      <w:r>
        <w:rPr>
          <w:spacing w:val="-3"/>
        </w:rPr>
        <w:t>u</w:t>
      </w:r>
      <w:r>
        <w:t>e</w:t>
      </w:r>
      <w:r>
        <w:rPr>
          <w:spacing w:val="-3"/>
        </w:rPr>
        <w:t>z</w:t>
      </w:r>
      <w:r>
        <w:t xml:space="preserve">e </w:t>
      </w:r>
      <w:r>
        <w:rPr>
          <w:spacing w:val="1"/>
        </w:rPr>
        <w:t>t</w:t>
      </w:r>
      <w:r>
        <w:rPr>
          <w:spacing w:val="-2"/>
        </w:rPr>
        <w:t>e</w:t>
      </w:r>
      <w:r>
        <w:t>s</w:t>
      </w:r>
      <w:r>
        <w:rPr>
          <w:spacing w:val="-2"/>
        </w:rPr>
        <w:t>t</w:t>
      </w:r>
      <w:r>
        <w:t>e pe</w:t>
      </w:r>
      <w:r>
        <w:rPr>
          <w:spacing w:val="-3"/>
        </w:rPr>
        <w:t>n</w:t>
      </w:r>
      <w:r>
        <w:rPr>
          <w:spacing w:val="1"/>
        </w:rPr>
        <w:t>t</w:t>
      </w:r>
      <w:r>
        <w:t xml:space="preserve">ru </w:t>
      </w:r>
      <w:r>
        <w:rPr>
          <w:spacing w:val="1"/>
        </w:rPr>
        <w:t>V</w:t>
      </w:r>
      <w:r>
        <w:rPr>
          <w:spacing w:val="-2"/>
        </w:rPr>
        <w:t>H</w:t>
      </w:r>
      <w:r>
        <w:rPr>
          <w:spacing w:val="-4"/>
        </w:rPr>
        <w:t>B</w:t>
      </w:r>
      <w:r>
        <w:t xml:space="preserve">. </w:t>
      </w:r>
      <w:r>
        <w:rPr>
          <w:spacing w:val="-1"/>
          <w:szCs w:val="22"/>
          <w:lang w:eastAsia="en-US" w:bidi="ar-SA"/>
        </w:rPr>
        <w:t>AMGEVITA</w:t>
      </w:r>
      <w:r>
        <w:t xml:space="preserve"> p</w:t>
      </w:r>
      <w:r>
        <w:rPr>
          <w:spacing w:val="-3"/>
        </w:rPr>
        <w:t>o</w:t>
      </w:r>
      <w:r>
        <w:t>a</w:t>
      </w:r>
      <w:r>
        <w:rPr>
          <w:spacing w:val="1"/>
        </w:rPr>
        <w:t>t</w:t>
      </w:r>
      <w:r>
        <w:t>e</w:t>
      </w:r>
      <w:r>
        <w:rPr>
          <w:spacing w:val="-2"/>
        </w:rPr>
        <w:t xml:space="preserve"> </w:t>
      </w:r>
      <w:r>
        <w:t>cau</w:t>
      </w:r>
      <w:r>
        <w:rPr>
          <w:spacing w:val="-3"/>
        </w:rPr>
        <w:t>z</w:t>
      </w:r>
      <w:r>
        <w:t>a</w:t>
      </w:r>
      <w:r>
        <w:rPr>
          <w:spacing w:val="-2"/>
        </w:rPr>
        <w:t xml:space="preserve"> </w:t>
      </w:r>
      <w:r>
        <w:t>rea</w:t>
      </w:r>
      <w:r>
        <w:rPr>
          <w:spacing w:val="-3"/>
        </w:rPr>
        <w:t>c</w:t>
      </w:r>
      <w:r>
        <w:rPr>
          <w:spacing w:val="1"/>
        </w:rPr>
        <w:t>ti</w:t>
      </w:r>
      <w:r>
        <w:rPr>
          <w:spacing w:val="-3"/>
        </w:rPr>
        <w:t>v</w:t>
      </w:r>
      <w:r>
        <w:t>ar</w:t>
      </w:r>
      <w:r>
        <w:rPr>
          <w:spacing w:val="-3"/>
        </w:rPr>
        <w:t>e</w:t>
      </w:r>
      <w:r>
        <w:t>a</w:t>
      </w:r>
      <w:r>
        <w:rPr>
          <w:spacing w:val="-2"/>
        </w:rPr>
        <w:t xml:space="preserve"> </w:t>
      </w:r>
      <w:r>
        <w:rPr>
          <w:spacing w:val="1"/>
        </w:rPr>
        <w:t>V</w:t>
      </w:r>
      <w:r>
        <w:rPr>
          <w:spacing w:val="-2"/>
        </w:rPr>
        <w:t>H</w:t>
      </w:r>
      <w:r>
        <w:t xml:space="preserve">B </w:t>
      </w:r>
      <w:r>
        <w:rPr>
          <w:spacing w:val="1"/>
        </w:rPr>
        <w:t>l</w:t>
      </w:r>
      <w:r>
        <w:t>a p</w:t>
      </w:r>
      <w:r>
        <w:rPr>
          <w:spacing w:val="-3"/>
        </w:rPr>
        <w:t>a</w:t>
      </w:r>
      <w:r>
        <w:t>c</w:t>
      </w:r>
      <w:r>
        <w:rPr>
          <w:spacing w:val="-2"/>
        </w:rPr>
        <w:t>i</w:t>
      </w:r>
      <w:r>
        <w:t>en</w:t>
      </w:r>
      <w:r>
        <w:rPr>
          <w:spacing w:val="-2"/>
        </w:rPr>
        <w:t>ţ</w:t>
      </w:r>
      <w:r>
        <w:rPr>
          <w:spacing w:val="1"/>
        </w:rPr>
        <w:t>i</w:t>
      </w:r>
      <w:r>
        <w:t>i</w:t>
      </w:r>
      <w:r>
        <w:rPr>
          <w:spacing w:val="-2"/>
        </w:rPr>
        <w:t xml:space="preserve"> </w:t>
      </w:r>
      <w:r>
        <w:t>pu</w:t>
      </w:r>
      <w:r>
        <w:rPr>
          <w:spacing w:val="-2"/>
        </w:rPr>
        <w:t>r</w:t>
      </w:r>
      <w:r>
        <w:rPr>
          <w:spacing w:val="1"/>
        </w:rPr>
        <w:t>t</w:t>
      </w:r>
      <w:r>
        <w:rPr>
          <w:spacing w:val="-3"/>
        </w:rPr>
        <w:t>ă</w:t>
      </w:r>
      <w:r>
        <w:rPr>
          <w:spacing w:val="1"/>
        </w:rPr>
        <w:t>t</w:t>
      </w:r>
      <w:r>
        <w:t>o</w:t>
      </w:r>
      <w:r>
        <w:rPr>
          <w:spacing w:val="-2"/>
        </w:rPr>
        <w:t>r</w:t>
      </w:r>
      <w:r>
        <w:t>i</w:t>
      </w:r>
      <w:r>
        <w:rPr>
          <w:spacing w:val="1"/>
        </w:rPr>
        <w:t xml:space="preserve"> </w:t>
      </w:r>
      <w:r>
        <w:rPr>
          <w:spacing w:val="-3"/>
        </w:rPr>
        <w:t>a</w:t>
      </w:r>
      <w:r>
        <w:t>i</w:t>
      </w:r>
      <w:r>
        <w:rPr>
          <w:spacing w:val="1"/>
        </w:rPr>
        <w:t xml:space="preserve"> </w:t>
      </w:r>
      <w:r>
        <w:t>a</w:t>
      </w:r>
      <w:r>
        <w:rPr>
          <w:spacing w:val="-3"/>
        </w:rPr>
        <w:t>c</w:t>
      </w:r>
      <w:r>
        <w:t>e</w:t>
      </w:r>
      <w:r>
        <w:rPr>
          <w:spacing w:val="-2"/>
        </w:rPr>
        <w:t>s</w:t>
      </w:r>
      <w:r>
        <w:rPr>
          <w:spacing w:val="1"/>
        </w:rPr>
        <w:t>t</w:t>
      </w:r>
      <w:r>
        <w:t>ui</w:t>
      </w:r>
      <w:r>
        <w:rPr>
          <w:spacing w:val="1"/>
        </w:rPr>
        <w:t xml:space="preserve"> </w:t>
      </w:r>
      <w:r>
        <w:rPr>
          <w:spacing w:val="-3"/>
        </w:rPr>
        <w:t>v</w:t>
      </w:r>
      <w:r>
        <w:rPr>
          <w:spacing w:val="1"/>
        </w:rPr>
        <w:t>i</w:t>
      </w:r>
      <w:r>
        <w:rPr>
          <w:spacing w:val="-2"/>
        </w:rPr>
        <w:t>r</w:t>
      </w:r>
      <w:r>
        <w:t xml:space="preserve">us. </w:t>
      </w:r>
      <w:r>
        <w:rPr>
          <w:spacing w:val="-1"/>
        </w:rPr>
        <w:t>R</w:t>
      </w:r>
      <w:r>
        <w:rPr>
          <w:spacing w:val="-3"/>
        </w:rPr>
        <w:t>a</w:t>
      </w:r>
      <w:r>
        <w:t xml:space="preserve">r, </w:t>
      </w:r>
      <w:r>
        <w:rPr>
          <w:spacing w:val="-2"/>
        </w:rPr>
        <w:t>î</w:t>
      </w:r>
      <w:r>
        <w:t>n un</w:t>
      </w:r>
      <w:r>
        <w:rPr>
          <w:spacing w:val="-3"/>
        </w:rPr>
        <w:t>e</w:t>
      </w:r>
      <w:r>
        <w:rPr>
          <w:spacing w:val="1"/>
        </w:rPr>
        <w:t>l</w:t>
      </w:r>
      <w:r>
        <w:t>e</w:t>
      </w:r>
      <w:r>
        <w:rPr>
          <w:spacing w:val="-2"/>
        </w:rPr>
        <w:t xml:space="preserve"> </w:t>
      </w:r>
      <w:r>
        <w:t>ca</w:t>
      </w:r>
      <w:r>
        <w:rPr>
          <w:spacing w:val="-3"/>
        </w:rPr>
        <w:t>z</w:t>
      </w:r>
      <w:r>
        <w:t>ur</w:t>
      </w:r>
      <w:r>
        <w:rPr>
          <w:spacing w:val="1"/>
        </w:rPr>
        <w:t>i</w:t>
      </w:r>
      <w:r>
        <w:t>,</w:t>
      </w:r>
      <w:r>
        <w:rPr>
          <w:spacing w:val="-3"/>
        </w:rPr>
        <w:t xml:space="preserve"> </w:t>
      </w:r>
      <w:r>
        <w:rPr>
          <w:spacing w:val="1"/>
        </w:rPr>
        <w:t>î</w:t>
      </w:r>
      <w:r>
        <w:t>n s</w:t>
      </w:r>
      <w:r>
        <w:rPr>
          <w:spacing w:val="-3"/>
        </w:rPr>
        <w:t>p</w:t>
      </w:r>
      <w:r>
        <w:t>e</w:t>
      </w:r>
      <w:r>
        <w:rPr>
          <w:spacing w:val="-3"/>
        </w:rPr>
        <w:t>c</w:t>
      </w:r>
      <w:r>
        <w:rPr>
          <w:spacing w:val="1"/>
        </w:rPr>
        <w:t>i</w:t>
      </w:r>
      <w:r>
        <w:t>al</w:t>
      </w:r>
      <w:r>
        <w:rPr>
          <w:spacing w:val="-2"/>
        </w:rPr>
        <w:t xml:space="preserve"> </w:t>
      </w:r>
      <w:r>
        <w:t>da</w:t>
      </w:r>
      <w:r>
        <w:rPr>
          <w:spacing w:val="-3"/>
        </w:rPr>
        <w:t>c</w:t>
      </w:r>
      <w:r>
        <w:t xml:space="preserve">ă </w:t>
      </w:r>
      <w:r>
        <w:rPr>
          <w:spacing w:val="1"/>
        </w:rPr>
        <w:t>l</w:t>
      </w:r>
      <w:r>
        <w:rPr>
          <w:spacing w:val="-3"/>
        </w:rPr>
        <w:t>u</w:t>
      </w:r>
      <w:r>
        <w:t>a</w:t>
      </w:r>
      <w:r>
        <w:rPr>
          <w:spacing w:val="-2"/>
        </w:rPr>
        <w:t>ţ</w:t>
      </w:r>
      <w:r>
        <w:t>i</w:t>
      </w:r>
      <w:r>
        <w:rPr>
          <w:spacing w:val="1"/>
        </w:rPr>
        <w:t xml:space="preserve"> </w:t>
      </w:r>
      <w:r>
        <w:rPr>
          <w:spacing w:val="-3"/>
        </w:rPr>
        <w:t>a</w:t>
      </w:r>
      <w:r>
        <w:rPr>
          <w:spacing w:val="1"/>
        </w:rPr>
        <w:t>l</w:t>
      </w:r>
      <w:r>
        <w:rPr>
          <w:spacing w:val="-2"/>
        </w:rPr>
        <w:t>t</w:t>
      </w:r>
      <w:r>
        <w:t>e</w:t>
      </w:r>
      <w:r>
        <w:rPr>
          <w:spacing w:val="-2"/>
        </w:rPr>
        <w:t xml:space="preserve"> </w:t>
      </w:r>
      <w:r>
        <w:rPr>
          <w:spacing w:val="-4"/>
        </w:rPr>
        <w:t>m</w:t>
      </w:r>
      <w:r>
        <w:t>ed</w:t>
      </w:r>
      <w:r>
        <w:rPr>
          <w:spacing w:val="1"/>
        </w:rPr>
        <w:t>i</w:t>
      </w:r>
      <w:r>
        <w:t>ca</w:t>
      </w:r>
      <w:r>
        <w:rPr>
          <w:spacing w:val="-4"/>
        </w:rPr>
        <w:t>m</w:t>
      </w:r>
      <w:r>
        <w:t>en</w:t>
      </w:r>
      <w:r>
        <w:rPr>
          <w:spacing w:val="1"/>
        </w:rPr>
        <w:t>t</w:t>
      </w:r>
      <w:r>
        <w:t>e care</w:t>
      </w:r>
      <w:r>
        <w:rPr>
          <w:spacing w:val="-2"/>
        </w:rPr>
        <w:t xml:space="preserve"> </w:t>
      </w:r>
      <w:r>
        <w:t>sc</w:t>
      </w:r>
      <w:r>
        <w:rPr>
          <w:spacing w:val="-3"/>
        </w:rPr>
        <w:t>a</w:t>
      </w:r>
      <w:r>
        <w:t xml:space="preserve">d </w:t>
      </w:r>
      <w:r>
        <w:rPr>
          <w:spacing w:val="-2"/>
        </w:rPr>
        <w:t>s</w:t>
      </w:r>
      <w:r>
        <w:rPr>
          <w:spacing w:val="1"/>
        </w:rPr>
        <w:t>i</w:t>
      </w:r>
      <w:r>
        <w:t>s</w:t>
      </w:r>
      <w:r>
        <w:rPr>
          <w:spacing w:val="-2"/>
        </w:rPr>
        <w:t>t</w:t>
      </w:r>
      <w:r>
        <w:t>e</w:t>
      </w:r>
      <w:r>
        <w:rPr>
          <w:spacing w:val="-4"/>
        </w:rPr>
        <w:t>m</w:t>
      </w:r>
      <w:r>
        <w:t>ul</w:t>
      </w:r>
      <w:r>
        <w:rPr>
          <w:spacing w:val="1"/>
        </w:rPr>
        <w:t xml:space="preserve"> i</w:t>
      </w:r>
      <w:r>
        <w:rPr>
          <w:spacing w:val="-4"/>
        </w:rPr>
        <w:t>m</w:t>
      </w:r>
      <w:r>
        <w:t>un, r</w:t>
      </w:r>
      <w:r>
        <w:rPr>
          <w:spacing w:val="-3"/>
        </w:rPr>
        <w:t>e</w:t>
      </w:r>
      <w:r>
        <w:t>ac</w:t>
      </w:r>
      <w:r>
        <w:rPr>
          <w:spacing w:val="-2"/>
        </w:rPr>
        <w:t>t</w:t>
      </w:r>
      <w:r>
        <w:rPr>
          <w:spacing w:val="1"/>
        </w:rPr>
        <w:t>i</w:t>
      </w:r>
      <w:r>
        <w:rPr>
          <w:spacing w:val="-3"/>
        </w:rPr>
        <w:t>v</w:t>
      </w:r>
      <w:r>
        <w:t>area</w:t>
      </w:r>
      <w:r>
        <w:rPr>
          <w:spacing w:val="-2"/>
        </w:rPr>
        <w:t xml:space="preserve"> </w:t>
      </w:r>
      <w:r>
        <w:rPr>
          <w:spacing w:val="1"/>
        </w:rPr>
        <w:t>V</w:t>
      </w:r>
      <w:r>
        <w:rPr>
          <w:spacing w:val="-1"/>
        </w:rPr>
        <w:t>H</w:t>
      </w:r>
      <w:r>
        <w:t>B</w:t>
      </w:r>
      <w:r>
        <w:rPr>
          <w:spacing w:val="-1"/>
        </w:rPr>
        <w:t xml:space="preserve"> </w:t>
      </w:r>
      <w:r>
        <w:t>po</w:t>
      </w:r>
      <w:r>
        <w:rPr>
          <w:spacing w:val="-3"/>
        </w:rPr>
        <w:t>a</w:t>
      </w:r>
      <w:r>
        <w:rPr>
          <w:spacing w:val="1"/>
        </w:rPr>
        <w:t>t</w:t>
      </w:r>
      <w:r>
        <w:t>e</w:t>
      </w:r>
      <w:r>
        <w:rPr>
          <w:spacing w:val="-2"/>
        </w:rPr>
        <w:t xml:space="preserve"> </w:t>
      </w:r>
      <w:r>
        <w:t>a</w:t>
      </w:r>
      <w:r>
        <w:rPr>
          <w:spacing w:val="-4"/>
        </w:rPr>
        <w:t>m</w:t>
      </w:r>
      <w:r>
        <w:t>en</w:t>
      </w:r>
      <w:r>
        <w:rPr>
          <w:spacing w:val="1"/>
        </w:rPr>
        <w:t>i</w:t>
      </w:r>
      <w:r>
        <w:t>n</w:t>
      </w:r>
      <w:r>
        <w:rPr>
          <w:spacing w:val="1"/>
        </w:rPr>
        <w:t>ţ</w:t>
      </w:r>
      <w:r>
        <w:t xml:space="preserve">a </w:t>
      </w:r>
      <w:r>
        <w:rPr>
          <w:spacing w:val="-3"/>
        </w:rPr>
        <w:t>v</w:t>
      </w:r>
      <w:r>
        <w:rPr>
          <w:spacing w:val="1"/>
        </w:rPr>
        <w:t>i</w:t>
      </w:r>
      <w:r>
        <w:rPr>
          <w:spacing w:val="-3"/>
        </w:rPr>
        <w:t>a</w:t>
      </w:r>
      <w:r>
        <w:rPr>
          <w:spacing w:val="1"/>
        </w:rPr>
        <w:t>ţ</w:t>
      </w:r>
      <w:r>
        <w:t>a.</w:t>
      </w:r>
    </w:p>
    <w:p w14:paraId="4154DACB" w14:textId="77777777" w:rsidR="00C04CAD" w:rsidRDefault="00C04CAD">
      <w:pPr>
        <w:tabs>
          <w:tab w:val="clear" w:pos="567"/>
        </w:tabs>
        <w:kinsoku w:val="0"/>
        <w:overflowPunct w:val="0"/>
        <w:autoSpaceDE w:val="0"/>
        <w:autoSpaceDN w:val="0"/>
        <w:adjustRightInd w:val="0"/>
        <w:spacing w:line="240" w:lineRule="auto"/>
        <w:ind w:left="567" w:hanging="567"/>
      </w:pPr>
    </w:p>
    <w:p w14:paraId="6F5A703D" w14:textId="77777777" w:rsidR="00C04CAD" w:rsidRDefault="00060E34">
      <w:pPr>
        <w:tabs>
          <w:tab w:val="clear" w:pos="567"/>
        </w:tabs>
        <w:kinsoku w:val="0"/>
        <w:overflowPunct w:val="0"/>
        <w:autoSpaceDE w:val="0"/>
        <w:autoSpaceDN w:val="0"/>
        <w:adjustRightInd w:val="0"/>
        <w:spacing w:line="240" w:lineRule="auto"/>
        <w:ind w:left="567" w:hanging="567"/>
      </w:pPr>
      <w:r>
        <w:t>Vârsta peste 65 ani</w:t>
      </w:r>
    </w:p>
    <w:p w14:paraId="7B90D3D6" w14:textId="77777777" w:rsidR="00C04CAD" w:rsidRDefault="00C04CAD">
      <w:pPr>
        <w:tabs>
          <w:tab w:val="clear" w:pos="567"/>
        </w:tabs>
        <w:kinsoku w:val="0"/>
        <w:overflowPunct w:val="0"/>
        <w:autoSpaceDE w:val="0"/>
        <w:autoSpaceDN w:val="0"/>
        <w:adjustRightInd w:val="0"/>
        <w:spacing w:line="240" w:lineRule="auto"/>
        <w:ind w:left="567" w:hanging="567"/>
      </w:pPr>
    </w:p>
    <w:p w14:paraId="7E1BA65C"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t>acă a</w:t>
      </w:r>
      <w:r>
        <w:rPr>
          <w:spacing w:val="-3"/>
        </w:rPr>
        <w:t>v</w:t>
      </w:r>
      <w:r>
        <w:t>e</w:t>
      </w:r>
      <w:r>
        <w:rPr>
          <w:spacing w:val="-2"/>
        </w:rPr>
        <w:t>ţ</w:t>
      </w:r>
      <w:r>
        <w:t>i</w:t>
      </w:r>
      <w:r>
        <w:rPr>
          <w:spacing w:val="1"/>
        </w:rPr>
        <w:t xml:space="preserve"> </w:t>
      </w:r>
      <w:r>
        <w:rPr>
          <w:spacing w:val="-4"/>
        </w:rPr>
        <w:t>m</w:t>
      </w:r>
      <w:r>
        <w:t xml:space="preserve">ai </w:t>
      </w:r>
      <w:r>
        <w:rPr>
          <w:spacing w:val="-4"/>
        </w:rPr>
        <w:t>m</w:t>
      </w:r>
      <w:r>
        <w:t>u</w:t>
      </w:r>
      <w:r>
        <w:rPr>
          <w:spacing w:val="1"/>
        </w:rPr>
        <w:t>l</w:t>
      </w:r>
      <w:r>
        <w:t>t</w:t>
      </w:r>
      <w:r>
        <w:rPr>
          <w:spacing w:val="1"/>
        </w:rPr>
        <w:t xml:space="preserve"> </w:t>
      </w:r>
      <w:r>
        <w:t>de 65</w:t>
      </w:r>
      <w:r>
        <w:rPr>
          <w:spacing w:val="-3"/>
        </w:rPr>
        <w:t xml:space="preserve"> </w:t>
      </w:r>
      <w:r>
        <w:t>ani</w:t>
      </w:r>
      <w:r>
        <w:rPr>
          <w:spacing w:val="1"/>
        </w:rPr>
        <w:t xml:space="preserve"> </w:t>
      </w:r>
      <w:r>
        <w:t>p</w:t>
      </w:r>
      <w:r>
        <w:rPr>
          <w:spacing w:val="-3"/>
        </w:rPr>
        <w:t>u</w:t>
      </w:r>
      <w:r>
        <w:rPr>
          <w:spacing w:val="1"/>
        </w:rPr>
        <w:t>t</w:t>
      </w:r>
      <w:r>
        <w:rPr>
          <w:spacing w:val="-3"/>
        </w:rPr>
        <w:t>e</w:t>
      </w:r>
      <w:r>
        <w:rPr>
          <w:spacing w:val="-2"/>
        </w:rPr>
        <w:t>ţ</w:t>
      </w:r>
      <w:r>
        <w:t>i</w:t>
      </w:r>
      <w:r>
        <w:rPr>
          <w:spacing w:val="1"/>
        </w:rPr>
        <w:t xml:space="preserve"> </w:t>
      </w:r>
      <w:r>
        <w:rPr>
          <w:spacing w:val="-2"/>
        </w:rPr>
        <w:t>f</w:t>
      </w:r>
      <w:r>
        <w:t>i</w:t>
      </w:r>
      <w:r>
        <w:rPr>
          <w:spacing w:val="1"/>
        </w:rPr>
        <w:t xml:space="preserve"> </w:t>
      </w:r>
      <w:r>
        <w:rPr>
          <w:spacing w:val="-4"/>
        </w:rPr>
        <w:t>m</w:t>
      </w:r>
      <w:r>
        <w:t>ai</w:t>
      </w:r>
      <w:r>
        <w:rPr>
          <w:spacing w:val="1"/>
        </w:rPr>
        <w:t xml:space="preserve"> </w:t>
      </w:r>
      <w:r>
        <w:t>sus</w:t>
      </w:r>
      <w:r>
        <w:rPr>
          <w:spacing w:val="-3"/>
        </w:rPr>
        <w:t>c</w:t>
      </w:r>
      <w:r>
        <w:t>e</w:t>
      </w:r>
      <w:r>
        <w:rPr>
          <w:spacing w:val="-1"/>
        </w:rPr>
        <w:t>p</w:t>
      </w:r>
      <w:r>
        <w:rPr>
          <w:spacing w:val="-2"/>
        </w:rPr>
        <w:t>t</w:t>
      </w:r>
      <w:r>
        <w:rPr>
          <w:spacing w:val="1"/>
        </w:rPr>
        <w:t>i</w:t>
      </w:r>
      <w:r>
        <w:rPr>
          <w:spacing w:val="-3"/>
        </w:rPr>
        <w:t>b</w:t>
      </w:r>
      <w:r>
        <w:rPr>
          <w:spacing w:val="1"/>
        </w:rPr>
        <w:t>i</w:t>
      </w:r>
      <w:r>
        <w:t>l</w:t>
      </w:r>
      <w:r>
        <w:rPr>
          <w:spacing w:val="-2"/>
        </w:rPr>
        <w:t xml:space="preserve"> </w:t>
      </w:r>
      <w:r>
        <w:rPr>
          <w:spacing w:val="1"/>
        </w:rPr>
        <w:t>l</w:t>
      </w:r>
      <w:r>
        <w:t>a</w:t>
      </w:r>
      <w:r>
        <w:rPr>
          <w:spacing w:val="-2"/>
        </w:rPr>
        <w:t xml:space="preserve"> </w:t>
      </w:r>
      <w:r>
        <w:rPr>
          <w:spacing w:val="1"/>
        </w:rPr>
        <w:t>i</w:t>
      </w:r>
      <w:r>
        <w:t>n</w:t>
      </w:r>
      <w:r>
        <w:rPr>
          <w:spacing w:val="-2"/>
        </w:rPr>
        <w:t>f</w:t>
      </w:r>
      <w:r>
        <w:t>e</w:t>
      </w:r>
      <w:r>
        <w:rPr>
          <w:spacing w:val="-3"/>
        </w:rPr>
        <w:t>c</w:t>
      </w:r>
      <w:r>
        <w:rPr>
          <w:spacing w:val="-2"/>
        </w:rPr>
        <w:t>ţ</w:t>
      </w:r>
      <w:r>
        <w:rPr>
          <w:spacing w:val="1"/>
        </w:rPr>
        <w:t>ii</w:t>
      </w:r>
      <w:r>
        <w:rPr>
          <w:spacing w:val="-2"/>
          <w:szCs w:val="22"/>
          <w:lang w:eastAsia="en-US" w:bidi="ar-SA"/>
        </w:rPr>
        <w:t xml:space="preserve"> în timp ce </w:t>
      </w:r>
      <w:r>
        <w:rPr>
          <w:spacing w:val="-3"/>
          <w:szCs w:val="22"/>
          <w:lang w:eastAsia="en-US" w:bidi="ar-SA"/>
        </w:rPr>
        <w:t>u</w:t>
      </w:r>
      <w:r>
        <w:rPr>
          <w:spacing w:val="1"/>
          <w:szCs w:val="22"/>
          <w:lang w:eastAsia="en-US" w:bidi="ar-SA"/>
        </w:rPr>
        <w:t>t</w:t>
      </w:r>
      <w:r>
        <w:rPr>
          <w:spacing w:val="-2"/>
          <w:szCs w:val="22"/>
          <w:lang w:eastAsia="en-US" w:bidi="ar-SA"/>
        </w:rPr>
        <w:t>i</w:t>
      </w:r>
      <w:r>
        <w:rPr>
          <w:spacing w:val="1"/>
          <w:szCs w:val="22"/>
          <w:lang w:eastAsia="en-US" w:bidi="ar-SA"/>
        </w:rPr>
        <w:t>li</w:t>
      </w:r>
      <w:r>
        <w:rPr>
          <w:spacing w:val="-3"/>
          <w:szCs w:val="22"/>
          <w:lang w:eastAsia="en-US" w:bidi="ar-SA"/>
        </w:rPr>
        <w:t>z</w:t>
      </w:r>
      <w:r>
        <w:rPr>
          <w:szCs w:val="22"/>
          <w:lang w:eastAsia="en-US" w:bidi="ar-SA"/>
        </w:rPr>
        <w:t>a</w:t>
      </w:r>
      <w:r>
        <w:rPr>
          <w:spacing w:val="-2"/>
          <w:szCs w:val="22"/>
          <w:lang w:eastAsia="en-US" w:bidi="ar-SA"/>
        </w:rPr>
        <w:t>ţ</w:t>
      </w:r>
      <w:r>
        <w:rPr>
          <w:szCs w:val="22"/>
          <w:lang w:eastAsia="en-US" w:bidi="ar-SA"/>
        </w:rPr>
        <w:t>i</w:t>
      </w:r>
      <w:r>
        <w:rPr>
          <w:spacing w:val="1"/>
          <w:szCs w:val="22"/>
          <w:lang w:eastAsia="en-US" w:bidi="ar-SA"/>
        </w:rPr>
        <w:t xml:space="preserve"> </w:t>
      </w:r>
      <w:r>
        <w:rPr>
          <w:spacing w:val="-1"/>
          <w:szCs w:val="22"/>
          <w:lang w:eastAsia="en-US" w:bidi="ar-SA"/>
        </w:rPr>
        <w:t>AMGEVITA</w:t>
      </w:r>
      <w:r>
        <w:rPr>
          <w:spacing w:val="1"/>
        </w:rPr>
        <w:t>.</w:t>
      </w:r>
      <w:r>
        <w:rPr>
          <w:spacing w:val="-1"/>
        </w:rPr>
        <w:t xml:space="preserve"> D</w:t>
      </w:r>
      <w:r>
        <w:t>u</w:t>
      </w:r>
      <w:r>
        <w:rPr>
          <w:spacing w:val="-4"/>
        </w:rPr>
        <w:t>m</w:t>
      </w:r>
      <w:r>
        <w:t>nea</w:t>
      </w:r>
      <w:r>
        <w:rPr>
          <w:spacing w:val="-3"/>
        </w:rPr>
        <w:t>v</w:t>
      </w:r>
      <w:r>
        <w:t>oas</w:t>
      </w:r>
      <w:r>
        <w:rPr>
          <w:spacing w:val="1"/>
        </w:rPr>
        <w:t>t</w:t>
      </w:r>
      <w:r>
        <w:t xml:space="preserve">ră </w:t>
      </w:r>
      <w:r>
        <w:rPr>
          <w:spacing w:val="-2"/>
        </w:rPr>
        <w:t>ş</w:t>
      </w:r>
      <w:r>
        <w:t>i</w:t>
      </w:r>
      <w:r>
        <w:rPr>
          <w:spacing w:val="1"/>
        </w:rPr>
        <w:t xml:space="preserve"> </w:t>
      </w:r>
      <w:r>
        <w:rPr>
          <w:spacing w:val="-4"/>
        </w:rPr>
        <w:t>m</w:t>
      </w:r>
      <w:r>
        <w:t>ed</w:t>
      </w:r>
      <w:r>
        <w:rPr>
          <w:spacing w:val="1"/>
        </w:rPr>
        <w:t>i</w:t>
      </w:r>
      <w:r>
        <w:t>cul</w:t>
      </w:r>
      <w:r>
        <w:rPr>
          <w:spacing w:val="-4"/>
        </w:rPr>
        <w:t xml:space="preserve"> </w:t>
      </w:r>
      <w:r>
        <w:t>du</w:t>
      </w:r>
      <w:r>
        <w:rPr>
          <w:spacing w:val="-4"/>
        </w:rPr>
        <w:t>m</w:t>
      </w:r>
      <w:r>
        <w:t>nea</w:t>
      </w:r>
      <w:r>
        <w:rPr>
          <w:spacing w:val="-3"/>
        </w:rPr>
        <w:t>v</w:t>
      </w:r>
      <w:r>
        <w:t>oas</w:t>
      </w:r>
      <w:r>
        <w:rPr>
          <w:spacing w:val="1"/>
        </w:rPr>
        <w:t>t</w:t>
      </w:r>
      <w:r>
        <w:t>ră</w:t>
      </w:r>
      <w:r>
        <w:rPr>
          <w:spacing w:val="-2"/>
        </w:rPr>
        <w:t xml:space="preserve"> </w:t>
      </w:r>
      <w:r>
        <w:rPr>
          <w:spacing w:val="1"/>
        </w:rPr>
        <w:t>t</w:t>
      </w:r>
      <w:r>
        <w:t>r</w:t>
      </w:r>
      <w:r>
        <w:rPr>
          <w:spacing w:val="-3"/>
        </w:rPr>
        <w:t>e</w:t>
      </w:r>
      <w:r>
        <w:t>bu</w:t>
      </w:r>
      <w:r>
        <w:rPr>
          <w:spacing w:val="-2"/>
        </w:rPr>
        <w:t>i</w:t>
      </w:r>
      <w:r>
        <w:t>e să</w:t>
      </w:r>
      <w:r>
        <w:rPr>
          <w:spacing w:val="-2"/>
        </w:rPr>
        <w:t xml:space="preserve"> </w:t>
      </w:r>
      <w:r>
        <w:rPr>
          <w:spacing w:val="-3"/>
        </w:rPr>
        <w:t>a</w:t>
      </w:r>
      <w:r>
        <w:t>cord</w:t>
      </w:r>
      <w:r>
        <w:rPr>
          <w:spacing w:val="-3"/>
        </w:rPr>
        <w:t>a</w:t>
      </w:r>
      <w:r>
        <w:rPr>
          <w:spacing w:val="1"/>
        </w:rPr>
        <w:t>ţ</w:t>
      </w:r>
      <w:r>
        <w:t>i</w:t>
      </w:r>
      <w:r>
        <w:rPr>
          <w:spacing w:val="-2"/>
        </w:rPr>
        <w:t xml:space="preserve"> </w:t>
      </w:r>
      <w:r>
        <w:t>a</w:t>
      </w:r>
      <w:r>
        <w:rPr>
          <w:spacing w:val="-2"/>
        </w:rPr>
        <w:t>t</w:t>
      </w:r>
      <w:r>
        <w:t>en</w:t>
      </w:r>
      <w:r>
        <w:rPr>
          <w:spacing w:val="-2"/>
        </w:rPr>
        <w:t>ţ</w:t>
      </w:r>
      <w:r>
        <w:rPr>
          <w:spacing w:val="1"/>
        </w:rPr>
        <w:t>i</w:t>
      </w:r>
      <w:r>
        <w:t xml:space="preserve">e </w:t>
      </w:r>
      <w:r>
        <w:rPr>
          <w:spacing w:val="-3"/>
        </w:rPr>
        <w:t>d</w:t>
      </w:r>
      <w:r>
        <w:t>eo</w:t>
      </w:r>
      <w:r>
        <w:rPr>
          <w:spacing w:val="-2"/>
        </w:rPr>
        <w:t>s</w:t>
      </w:r>
      <w:r>
        <w:t>eb</w:t>
      </w:r>
      <w:r>
        <w:rPr>
          <w:spacing w:val="-2"/>
        </w:rPr>
        <w:t>i</w:t>
      </w:r>
      <w:r>
        <w:rPr>
          <w:spacing w:val="1"/>
        </w:rPr>
        <w:t>t</w:t>
      </w:r>
      <w:r>
        <w:t>ă</w:t>
      </w:r>
      <w:r>
        <w:rPr>
          <w:spacing w:val="-2"/>
        </w:rPr>
        <w:t xml:space="preserve"> </w:t>
      </w:r>
      <w:r>
        <w:t>s</w:t>
      </w:r>
      <w:r>
        <w:rPr>
          <w:spacing w:val="-3"/>
        </w:rPr>
        <w:t>e</w:t>
      </w:r>
      <w:r>
        <w:rPr>
          <w:spacing w:val="-4"/>
        </w:rPr>
        <w:t>m</w:t>
      </w:r>
      <w:r>
        <w:t>ne</w:t>
      </w:r>
      <w:r>
        <w:rPr>
          <w:spacing w:val="1"/>
        </w:rPr>
        <w:t>l</w:t>
      </w:r>
      <w:r>
        <w:t>or</w:t>
      </w:r>
      <w:r>
        <w:rPr>
          <w:spacing w:val="1"/>
        </w:rPr>
        <w:t xml:space="preserve"> </w:t>
      </w:r>
      <w:r>
        <w:t xml:space="preserve">de </w:t>
      </w:r>
      <w:r>
        <w:rPr>
          <w:spacing w:val="1"/>
        </w:rPr>
        <w:t>i</w:t>
      </w:r>
      <w:r>
        <w:t>nf</w:t>
      </w:r>
      <w:r>
        <w:rPr>
          <w:spacing w:val="-3"/>
        </w:rPr>
        <w:t>e</w:t>
      </w:r>
      <w:r>
        <w:t>c</w:t>
      </w:r>
      <w:r>
        <w:rPr>
          <w:spacing w:val="-2"/>
        </w:rPr>
        <w:t>ţ</w:t>
      </w:r>
      <w:r>
        <w:rPr>
          <w:spacing w:val="1"/>
        </w:rPr>
        <w:t>i</w:t>
      </w:r>
      <w:r>
        <w:t>e</w:t>
      </w:r>
      <w:r>
        <w:rPr>
          <w:spacing w:val="-2"/>
        </w:rPr>
        <w:t xml:space="preserve"> </w:t>
      </w:r>
      <w:r>
        <w:rPr>
          <w:spacing w:val="1"/>
        </w:rPr>
        <w:t>î</w:t>
      </w:r>
      <w:r>
        <w:t>n</w:t>
      </w:r>
      <w:r>
        <w:rPr>
          <w:spacing w:val="-3"/>
        </w:rPr>
        <w:t xml:space="preserve"> </w:t>
      </w:r>
      <w:r>
        <w:rPr>
          <w:spacing w:val="1"/>
        </w:rPr>
        <w:t>ti</w:t>
      </w:r>
      <w:r>
        <w:rPr>
          <w:spacing w:val="-4"/>
        </w:rPr>
        <w:t>m</w:t>
      </w:r>
      <w:r>
        <w:t xml:space="preserve">pul </w:t>
      </w:r>
      <w:r>
        <w:rPr>
          <w:spacing w:val="-2"/>
        </w:rPr>
        <w:t>t</w:t>
      </w:r>
      <w:r>
        <w:t>r</w:t>
      </w:r>
      <w:r>
        <w:rPr>
          <w:spacing w:val="-3"/>
        </w:rPr>
        <w:t>a</w:t>
      </w:r>
      <w:r>
        <w:rPr>
          <w:spacing w:val="1"/>
        </w:rPr>
        <w:t>t</w:t>
      </w:r>
      <w:r>
        <w:t>a</w:t>
      </w:r>
      <w:r>
        <w:rPr>
          <w:spacing w:val="-4"/>
        </w:rPr>
        <w:t>m</w:t>
      </w:r>
      <w:r>
        <w:t>en</w:t>
      </w:r>
      <w:r>
        <w:rPr>
          <w:spacing w:val="-2"/>
        </w:rPr>
        <w:t>t</w:t>
      </w:r>
      <w:r>
        <w:t>u</w:t>
      </w:r>
      <w:r>
        <w:rPr>
          <w:spacing w:val="1"/>
        </w:rPr>
        <w:t>l</w:t>
      </w:r>
      <w:r>
        <w:t>ui</w:t>
      </w:r>
      <w:r>
        <w:rPr>
          <w:spacing w:val="-2"/>
        </w:rPr>
        <w:t xml:space="preserve"> </w:t>
      </w:r>
      <w:r>
        <w:t xml:space="preserve">cu </w:t>
      </w:r>
      <w:r>
        <w:rPr>
          <w:spacing w:val="-2"/>
          <w:szCs w:val="22"/>
          <w:lang w:eastAsia="en-US" w:bidi="ar-SA"/>
        </w:rPr>
        <w:t>AMGEVITA</w:t>
      </w:r>
      <w:r>
        <w:t xml:space="preserve">. </w:t>
      </w:r>
      <w:r>
        <w:rPr>
          <w:spacing w:val="-1"/>
        </w:rPr>
        <w:t>E</w:t>
      </w:r>
      <w:r>
        <w:rPr>
          <w:spacing w:val="-2"/>
        </w:rPr>
        <w:t>s</w:t>
      </w:r>
      <w:r>
        <w:rPr>
          <w:spacing w:val="1"/>
        </w:rPr>
        <w:t>t</w:t>
      </w:r>
      <w:r>
        <w:t>e</w:t>
      </w:r>
      <w:r>
        <w:rPr>
          <w:spacing w:val="-2"/>
        </w:rPr>
        <w:t xml:space="preserve"> </w:t>
      </w:r>
      <w:r>
        <w:rPr>
          <w:spacing w:val="1"/>
        </w:rPr>
        <w:t>i</w:t>
      </w:r>
      <w:r>
        <w:rPr>
          <w:spacing w:val="-4"/>
        </w:rPr>
        <w:t>m</w:t>
      </w:r>
      <w:r>
        <w:t>por</w:t>
      </w:r>
      <w:r>
        <w:rPr>
          <w:spacing w:val="1"/>
        </w:rPr>
        <w:t>t</w:t>
      </w:r>
      <w:r>
        <w:t>a</w:t>
      </w:r>
      <w:r>
        <w:rPr>
          <w:spacing w:val="-3"/>
        </w:rPr>
        <w:t>n</w:t>
      </w:r>
      <w:r>
        <w:t>t</w:t>
      </w:r>
      <w:r>
        <w:rPr>
          <w:spacing w:val="1"/>
        </w:rPr>
        <w:t xml:space="preserve"> </w:t>
      </w:r>
      <w:r>
        <w:t>să</w:t>
      </w:r>
      <w:r>
        <w:rPr>
          <w:spacing w:val="-2"/>
        </w:rPr>
        <w:t xml:space="preserve"> </w:t>
      </w:r>
      <w:r>
        <w:t>spun</w:t>
      </w:r>
      <w:r>
        <w:rPr>
          <w:spacing w:val="-3"/>
        </w:rPr>
        <w:t>e</w:t>
      </w:r>
      <w:r>
        <w:rPr>
          <w:spacing w:val="-2"/>
        </w:rPr>
        <w:t>ţ</w:t>
      </w:r>
      <w:r>
        <w:t>i</w:t>
      </w:r>
      <w:r>
        <w:rPr>
          <w:spacing w:val="1"/>
        </w:rPr>
        <w:t xml:space="preserve"> </w:t>
      </w:r>
      <w:r>
        <w:rPr>
          <w:spacing w:val="-4"/>
        </w:rPr>
        <w:t>m</w:t>
      </w:r>
      <w:r>
        <w:t>ed</w:t>
      </w:r>
      <w:r>
        <w:rPr>
          <w:spacing w:val="1"/>
        </w:rPr>
        <w:t>i</w:t>
      </w:r>
      <w:r>
        <w:t>cu</w:t>
      </w:r>
      <w:r>
        <w:rPr>
          <w:spacing w:val="1"/>
        </w:rPr>
        <w:t>l</w:t>
      </w:r>
      <w:r>
        <w:rPr>
          <w:spacing w:val="-3"/>
        </w:rPr>
        <w:t>u</w:t>
      </w:r>
      <w:r>
        <w:t>i</w:t>
      </w:r>
      <w:r>
        <w:rPr>
          <w:spacing w:val="1"/>
        </w:rPr>
        <w:t xml:space="preserve"> </w:t>
      </w:r>
      <w:r>
        <w:rPr>
          <w:spacing w:val="-3"/>
        </w:rPr>
        <w:t>d</w:t>
      </w:r>
      <w:r>
        <w:t>u</w:t>
      </w:r>
      <w:r>
        <w:rPr>
          <w:spacing w:val="-4"/>
        </w:rPr>
        <w:t>m</w:t>
      </w:r>
      <w:r>
        <w:t>nea</w:t>
      </w:r>
      <w:r>
        <w:rPr>
          <w:spacing w:val="-3"/>
        </w:rPr>
        <w:t>v</w:t>
      </w:r>
      <w:r>
        <w:t>oas</w:t>
      </w:r>
      <w:r>
        <w:rPr>
          <w:spacing w:val="1"/>
        </w:rPr>
        <w:t>t</w:t>
      </w:r>
      <w:r>
        <w:t>ră dacă a</w:t>
      </w:r>
      <w:r>
        <w:rPr>
          <w:spacing w:val="-3"/>
        </w:rPr>
        <w:t>v</w:t>
      </w:r>
      <w:r>
        <w:t>e</w:t>
      </w:r>
      <w:r>
        <w:rPr>
          <w:spacing w:val="-2"/>
        </w:rPr>
        <w:t>ţ</w:t>
      </w:r>
      <w:r>
        <w:t>i</w:t>
      </w:r>
      <w:r>
        <w:rPr>
          <w:spacing w:val="1"/>
        </w:rPr>
        <w:t xml:space="preserve"> </w:t>
      </w:r>
      <w:r>
        <w:rPr>
          <w:spacing w:val="-2"/>
        </w:rPr>
        <w:t>s</w:t>
      </w:r>
      <w:r>
        <w:rPr>
          <w:spacing w:val="1"/>
        </w:rPr>
        <w:t>i</w:t>
      </w:r>
      <w:r>
        <w:rPr>
          <w:spacing w:val="-4"/>
        </w:rPr>
        <w:t>m</w:t>
      </w:r>
      <w:r>
        <w:t>p</w:t>
      </w:r>
      <w:r>
        <w:rPr>
          <w:spacing w:val="1"/>
        </w:rPr>
        <w:t>t</w:t>
      </w:r>
      <w:r>
        <w:t>o</w:t>
      </w:r>
      <w:r>
        <w:rPr>
          <w:spacing w:val="-4"/>
        </w:rPr>
        <w:t>m</w:t>
      </w:r>
      <w:r>
        <w:t xml:space="preserve">e de </w:t>
      </w:r>
      <w:r>
        <w:rPr>
          <w:spacing w:val="1"/>
        </w:rPr>
        <w:t>i</w:t>
      </w:r>
      <w:r>
        <w:t>n</w:t>
      </w:r>
      <w:r>
        <w:rPr>
          <w:spacing w:val="-2"/>
        </w:rPr>
        <w:t>f</w:t>
      </w:r>
      <w:r>
        <w:t>ec</w:t>
      </w:r>
      <w:r>
        <w:rPr>
          <w:spacing w:val="-2"/>
        </w:rPr>
        <w:t>ţ</w:t>
      </w:r>
      <w:r>
        <w:rPr>
          <w:spacing w:val="1"/>
        </w:rPr>
        <w:t>i</w:t>
      </w:r>
      <w:r>
        <w:t xml:space="preserve">e </w:t>
      </w:r>
      <w:r>
        <w:rPr>
          <w:spacing w:val="-3"/>
        </w:rPr>
        <w:t>c</w:t>
      </w:r>
      <w:r>
        <w:t>um</w:t>
      </w:r>
      <w:r>
        <w:rPr>
          <w:spacing w:val="-4"/>
        </w:rPr>
        <w:t xml:space="preserve"> </w:t>
      </w:r>
      <w:r>
        <w:t>sun</w:t>
      </w:r>
      <w:r>
        <w:rPr>
          <w:spacing w:val="1"/>
        </w:rPr>
        <w:t>t</w:t>
      </w:r>
      <w:r>
        <w:t>:</w:t>
      </w:r>
      <w:r>
        <w:rPr>
          <w:spacing w:val="-2"/>
        </w:rPr>
        <w:t xml:space="preserve"> </w:t>
      </w:r>
      <w:r>
        <w:t>fe</w:t>
      </w:r>
      <w:r>
        <w:rPr>
          <w:spacing w:val="-3"/>
        </w:rPr>
        <w:t>b</w:t>
      </w:r>
      <w:r>
        <w:t xml:space="preserve">ră, </w:t>
      </w:r>
      <w:r>
        <w:rPr>
          <w:spacing w:val="-2"/>
        </w:rPr>
        <w:t>r</w:t>
      </w:r>
      <w:r>
        <w:t>ăn</w:t>
      </w:r>
      <w:r>
        <w:rPr>
          <w:spacing w:val="-2"/>
        </w:rPr>
        <w:t>i</w:t>
      </w:r>
      <w:r>
        <w:t>,</w:t>
      </w:r>
      <w:r>
        <w:rPr>
          <w:spacing w:val="-3"/>
        </w:rPr>
        <w:t xml:space="preserve"> </w:t>
      </w:r>
      <w:r>
        <w:rPr>
          <w:spacing w:val="-3"/>
          <w:szCs w:val="22"/>
          <w:lang w:eastAsia="en-US" w:bidi="ar-SA"/>
        </w:rPr>
        <w:t xml:space="preserve">senzaţie de </w:t>
      </w:r>
      <w:r>
        <w:t>obose</w:t>
      </w:r>
      <w:r>
        <w:rPr>
          <w:spacing w:val="-3"/>
        </w:rPr>
        <w:t>a</w:t>
      </w:r>
      <w:r>
        <w:rPr>
          <w:spacing w:val="1"/>
        </w:rPr>
        <w:t>l</w:t>
      </w:r>
      <w:r>
        <w:t>ă</w:t>
      </w:r>
      <w:r>
        <w:rPr>
          <w:spacing w:val="-2"/>
        </w:rPr>
        <w:t xml:space="preserve"> </w:t>
      </w:r>
      <w:r>
        <w:t xml:space="preserve">sau </w:t>
      </w:r>
      <w:r>
        <w:rPr>
          <w:spacing w:val="-3"/>
        </w:rPr>
        <w:t>p</w:t>
      </w:r>
      <w:r>
        <w:t>ro</w:t>
      </w:r>
      <w:r>
        <w:rPr>
          <w:spacing w:val="-3"/>
        </w:rPr>
        <w:t>b</w:t>
      </w:r>
      <w:r>
        <w:rPr>
          <w:spacing w:val="1"/>
        </w:rPr>
        <w:t>l</w:t>
      </w:r>
      <w:r>
        <w:t>e</w:t>
      </w:r>
      <w:r>
        <w:rPr>
          <w:spacing w:val="-4"/>
        </w:rPr>
        <w:t>m</w:t>
      </w:r>
      <w:r>
        <w:t>e den</w:t>
      </w:r>
      <w:r>
        <w:rPr>
          <w:spacing w:val="-2"/>
        </w:rPr>
        <w:t>t</w:t>
      </w:r>
      <w:r>
        <w:t>are.</w:t>
      </w:r>
    </w:p>
    <w:p w14:paraId="05CA0DBD" w14:textId="77777777" w:rsidR="00C04CAD" w:rsidRDefault="00C04CAD">
      <w:pPr>
        <w:tabs>
          <w:tab w:val="clear" w:pos="567"/>
        </w:tabs>
        <w:kinsoku w:val="0"/>
        <w:overflowPunct w:val="0"/>
        <w:autoSpaceDE w:val="0"/>
        <w:autoSpaceDN w:val="0"/>
        <w:adjustRightInd w:val="0"/>
        <w:spacing w:line="240" w:lineRule="auto"/>
        <w:ind w:left="567" w:hanging="567"/>
      </w:pPr>
    </w:p>
    <w:p w14:paraId="337DB7F2" w14:textId="77777777" w:rsidR="00C04CAD" w:rsidRDefault="00060E34">
      <w:pPr>
        <w:tabs>
          <w:tab w:val="clear" w:pos="567"/>
        </w:tabs>
        <w:kinsoku w:val="0"/>
        <w:overflowPunct w:val="0"/>
        <w:autoSpaceDE w:val="0"/>
        <w:autoSpaceDN w:val="0"/>
        <w:adjustRightInd w:val="0"/>
        <w:spacing w:line="240" w:lineRule="auto"/>
        <w:ind w:left="567" w:hanging="567"/>
      </w:pPr>
      <w:r>
        <w:t>Procedură chirurgicală sau stomatologică</w:t>
      </w:r>
    </w:p>
    <w:p w14:paraId="79067FCC" w14:textId="77777777" w:rsidR="00C04CAD" w:rsidRDefault="00C04CAD">
      <w:pPr>
        <w:tabs>
          <w:tab w:val="clear" w:pos="567"/>
        </w:tabs>
        <w:kinsoku w:val="0"/>
        <w:overflowPunct w:val="0"/>
        <w:autoSpaceDE w:val="0"/>
        <w:autoSpaceDN w:val="0"/>
        <w:adjustRightInd w:val="0"/>
        <w:spacing w:line="240" w:lineRule="auto"/>
        <w:ind w:left="567" w:hanging="567"/>
      </w:pPr>
    </w:p>
    <w:p w14:paraId="0961C0DB"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t>acă su</w:t>
      </w:r>
      <w:r>
        <w:rPr>
          <w:spacing w:val="-3"/>
        </w:rPr>
        <w:t>n</w:t>
      </w:r>
      <w:r>
        <w:rPr>
          <w:spacing w:val="1"/>
        </w:rPr>
        <w:t>t</w:t>
      </w:r>
      <w:r>
        <w:rPr>
          <w:spacing w:val="-3"/>
        </w:rPr>
        <w:t>e</w:t>
      </w:r>
      <w:r>
        <w:rPr>
          <w:spacing w:val="1"/>
        </w:rPr>
        <w:t>ţ</w:t>
      </w:r>
      <w:r>
        <w:t>i</w:t>
      </w:r>
      <w:r>
        <w:rPr>
          <w:spacing w:val="-2"/>
        </w:rPr>
        <w:t xml:space="preserve"> </w:t>
      </w:r>
      <w:r>
        <w:t>pro</w:t>
      </w:r>
      <w:r>
        <w:rPr>
          <w:spacing w:val="-3"/>
        </w:rPr>
        <w:t>g</w:t>
      </w:r>
      <w:r>
        <w:t>ra</w:t>
      </w:r>
      <w:r>
        <w:rPr>
          <w:spacing w:val="-4"/>
        </w:rPr>
        <w:t>m</w:t>
      </w:r>
      <w:r>
        <w:t>at</w:t>
      </w:r>
      <w:r>
        <w:rPr>
          <w:spacing w:val="1"/>
        </w:rPr>
        <w:t xml:space="preserve"> </w:t>
      </w:r>
      <w:r>
        <w:t>să</w:t>
      </w:r>
      <w:r>
        <w:rPr>
          <w:spacing w:val="-2"/>
        </w:rPr>
        <w:t xml:space="preserve"> </w:t>
      </w:r>
      <w:r>
        <w:rPr>
          <w:spacing w:val="-3"/>
        </w:rPr>
        <w:t>e</w:t>
      </w:r>
      <w:r>
        <w:t>fe</w:t>
      </w:r>
      <w:r>
        <w:rPr>
          <w:spacing w:val="-3"/>
        </w:rPr>
        <w:t>c</w:t>
      </w:r>
      <w:r>
        <w:rPr>
          <w:spacing w:val="1"/>
        </w:rPr>
        <w:t>t</w:t>
      </w:r>
      <w:r>
        <w:t>u</w:t>
      </w:r>
      <w:r>
        <w:rPr>
          <w:spacing w:val="-3"/>
        </w:rPr>
        <w:t>a</w:t>
      </w:r>
      <w:r>
        <w:rPr>
          <w:spacing w:val="1"/>
        </w:rPr>
        <w:t>ţ</w:t>
      </w:r>
      <w:r>
        <w:t>i</w:t>
      </w:r>
      <w:r>
        <w:rPr>
          <w:spacing w:val="-2"/>
        </w:rPr>
        <w:t xml:space="preserve"> </w:t>
      </w:r>
      <w:r>
        <w:rPr>
          <w:spacing w:val="1"/>
        </w:rPr>
        <w:t>i</w:t>
      </w:r>
      <w:r>
        <w:t>n</w:t>
      </w:r>
      <w:r>
        <w:rPr>
          <w:spacing w:val="-2"/>
        </w:rPr>
        <w:t>t</w:t>
      </w:r>
      <w:r>
        <w:t>er</w:t>
      </w:r>
      <w:r>
        <w:rPr>
          <w:spacing w:val="-3"/>
        </w:rPr>
        <w:t>v</w:t>
      </w:r>
      <w:r>
        <w:t>en</w:t>
      </w:r>
      <w:r>
        <w:rPr>
          <w:spacing w:val="-2"/>
        </w:rPr>
        <w:t>ţ</w:t>
      </w:r>
      <w:r>
        <w:rPr>
          <w:spacing w:val="1"/>
        </w:rPr>
        <w:t>i</w:t>
      </w:r>
      <w:r>
        <w:t>i</w:t>
      </w:r>
      <w:r>
        <w:rPr>
          <w:spacing w:val="-2"/>
        </w:rPr>
        <w:t xml:space="preserve"> </w:t>
      </w:r>
      <w:r>
        <w:t>c</w:t>
      </w:r>
      <w:r>
        <w:rPr>
          <w:spacing w:val="-3"/>
        </w:rPr>
        <w:t>h</w:t>
      </w:r>
      <w:r>
        <w:rPr>
          <w:spacing w:val="1"/>
        </w:rPr>
        <w:t>i</w:t>
      </w:r>
      <w:r>
        <w:t>r</w:t>
      </w:r>
      <w:r>
        <w:rPr>
          <w:spacing w:val="-3"/>
        </w:rPr>
        <w:t>u</w:t>
      </w:r>
      <w:r>
        <w:t>r</w:t>
      </w:r>
      <w:r>
        <w:rPr>
          <w:spacing w:val="-3"/>
        </w:rPr>
        <w:t>g</w:t>
      </w:r>
      <w:r>
        <w:rPr>
          <w:spacing w:val="1"/>
        </w:rPr>
        <w:t>i</w:t>
      </w:r>
      <w:r>
        <w:t>ca</w:t>
      </w:r>
      <w:r>
        <w:rPr>
          <w:spacing w:val="1"/>
        </w:rPr>
        <w:t>l</w:t>
      </w:r>
      <w:r>
        <w:t>e</w:t>
      </w:r>
      <w:r>
        <w:rPr>
          <w:spacing w:val="-2"/>
        </w:rPr>
        <w:t xml:space="preserve"> </w:t>
      </w:r>
      <w:r>
        <w:t>sau</w:t>
      </w:r>
      <w:r>
        <w:rPr>
          <w:spacing w:val="-3"/>
        </w:rPr>
        <w:t xml:space="preserve"> </w:t>
      </w:r>
      <w:r>
        <w:t>de</w:t>
      </w:r>
      <w:r>
        <w:rPr>
          <w:spacing w:val="-3"/>
        </w:rPr>
        <w:t>n</w:t>
      </w:r>
      <w:r>
        <w:rPr>
          <w:spacing w:val="1"/>
        </w:rPr>
        <w:t>t</w:t>
      </w:r>
      <w:r>
        <w:t>a</w:t>
      </w:r>
      <w:r>
        <w:rPr>
          <w:spacing w:val="-2"/>
        </w:rPr>
        <w:t>r</w:t>
      </w:r>
      <w:r>
        <w:t xml:space="preserve">e </w:t>
      </w:r>
      <w:r>
        <w:rPr>
          <w:spacing w:val="1"/>
        </w:rPr>
        <w:t>i</w:t>
      </w:r>
      <w:r>
        <w:rPr>
          <w:spacing w:val="-3"/>
        </w:rPr>
        <w:t>n</w:t>
      </w:r>
      <w:r>
        <w:t>f</w:t>
      </w:r>
      <w:r>
        <w:rPr>
          <w:spacing w:val="-3"/>
        </w:rPr>
        <w:t>o</w:t>
      </w:r>
      <w:r>
        <w:t>r</w:t>
      </w:r>
      <w:r>
        <w:rPr>
          <w:spacing w:val="-4"/>
        </w:rPr>
        <w:t>m</w:t>
      </w:r>
      <w:r>
        <w:t>a</w:t>
      </w:r>
      <w:r>
        <w:rPr>
          <w:spacing w:val="1"/>
        </w:rPr>
        <w:t>ţ</w:t>
      </w:r>
      <w:r>
        <w:t>i</w:t>
      </w:r>
      <w:r>
        <w:rPr>
          <w:spacing w:val="-2"/>
        </w:rPr>
        <w:t xml:space="preserve"> </w:t>
      </w:r>
      <w:r>
        <w:rPr>
          <w:spacing w:val="-4"/>
        </w:rPr>
        <w:t>m</w:t>
      </w:r>
      <w:r>
        <w:t>ed</w:t>
      </w:r>
      <w:r>
        <w:rPr>
          <w:spacing w:val="1"/>
        </w:rPr>
        <w:t>i</w:t>
      </w:r>
      <w:r>
        <w:t>cul du</w:t>
      </w:r>
      <w:r>
        <w:rPr>
          <w:spacing w:val="-4"/>
        </w:rPr>
        <w:t>m</w:t>
      </w:r>
      <w:r>
        <w:t>nea</w:t>
      </w:r>
      <w:r>
        <w:rPr>
          <w:spacing w:val="-3"/>
        </w:rPr>
        <w:t>v</w:t>
      </w:r>
      <w:r>
        <w:t>oas</w:t>
      </w:r>
      <w:r>
        <w:rPr>
          <w:spacing w:val="1"/>
        </w:rPr>
        <w:t>t</w:t>
      </w:r>
      <w:r>
        <w:t xml:space="preserve">ră </w:t>
      </w:r>
      <w:r>
        <w:rPr>
          <w:spacing w:val="-3"/>
        </w:rPr>
        <w:t>c</w:t>
      </w:r>
      <w:r>
        <w:t>ă s</w:t>
      </w:r>
      <w:r>
        <w:rPr>
          <w:spacing w:val="-3"/>
        </w:rPr>
        <w:t>u</w:t>
      </w:r>
      <w:r>
        <w:t>n</w:t>
      </w:r>
      <w:r>
        <w:rPr>
          <w:spacing w:val="1"/>
        </w:rPr>
        <w:t>t</w:t>
      </w:r>
      <w:r>
        <w:rPr>
          <w:spacing w:val="-3"/>
        </w:rPr>
        <w:t>e</w:t>
      </w:r>
      <w:r>
        <w:rPr>
          <w:spacing w:val="1"/>
        </w:rPr>
        <w:t>ţ</w:t>
      </w:r>
      <w:r>
        <w:t>i</w:t>
      </w:r>
      <w:r>
        <w:rPr>
          <w:spacing w:val="-2"/>
        </w:rPr>
        <w:t xml:space="preserve"> s</w:t>
      </w:r>
      <w:r>
        <w:t xml:space="preserve">ub </w:t>
      </w:r>
      <w:r>
        <w:rPr>
          <w:spacing w:val="1"/>
        </w:rPr>
        <w:t>t</w:t>
      </w:r>
      <w:r>
        <w:rPr>
          <w:spacing w:val="-2"/>
        </w:rPr>
        <w:t>r</w:t>
      </w:r>
      <w:r>
        <w:t>a</w:t>
      </w:r>
      <w:r>
        <w:rPr>
          <w:spacing w:val="-2"/>
        </w:rPr>
        <w:t>t</w:t>
      </w:r>
      <w:r>
        <w:t>a</w:t>
      </w:r>
      <w:r>
        <w:rPr>
          <w:spacing w:val="-4"/>
        </w:rPr>
        <w:t>m</w:t>
      </w:r>
      <w:r>
        <w:t>ent</w:t>
      </w:r>
      <w:r>
        <w:rPr>
          <w:spacing w:val="1"/>
        </w:rPr>
        <w:t xml:space="preserve"> </w:t>
      </w:r>
      <w:r>
        <w:t xml:space="preserve">cu </w:t>
      </w:r>
      <w:r>
        <w:rPr>
          <w:spacing w:val="-1"/>
          <w:szCs w:val="22"/>
          <w:lang w:eastAsia="en-US" w:bidi="ar-SA"/>
        </w:rPr>
        <w:t>AMGEVITA</w:t>
      </w:r>
      <w:r>
        <w:t>.</w:t>
      </w:r>
      <w:r>
        <w:rPr>
          <w:spacing w:val="-3"/>
        </w:rPr>
        <w:t xml:space="preserve"> </w:t>
      </w:r>
      <w:r>
        <w:rPr>
          <w:spacing w:val="-2"/>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 xml:space="preserve">ă </w:t>
      </w:r>
      <w:r>
        <w:rPr>
          <w:spacing w:val="-3"/>
        </w:rPr>
        <w:t>p</w:t>
      </w:r>
      <w:r>
        <w:t>oa</w:t>
      </w:r>
      <w:r>
        <w:rPr>
          <w:spacing w:val="1"/>
        </w:rPr>
        <w:t>t</w:t>
      </w:r>
      <w:r>
        <w:t>e</w:t>
      </w:r>
      <w:r>
        <w:rPr>
          <w:spacing w:val="-2"/>
        </w:rPr>
        <w:t xml:space="preserve"> </w:t>
      </w:r>
      <w:r>
        <w:t>re</w:t>
      </w:r>
      <w:r>
        <w:rPr>
          <w:spacing w:val="-3"/>
        </w:rPr>
        <w:t>c</w:t>
      </w:r>
      <w:r>
        <w:t>o</w:t>
      </w:r>
      <w:r>
        <w:rPr>
          <w:spacing w:val="-4"/>
        </w:rPr>
        <w:t>m</w:t>
      </w:r>
      <w:r>
        <w:t xml:space="preserve">anda </w:t>
      </w:r>
      <w:r>
        <w:rPr>
          <w:spacing w:val="1"/>
        </w:rPr>
        <w:t>î</w:t>
      </w:r>
      <w:r>
        <w:t>n</w:t>
      </w:r>
      <w:r>
        <w:rPr>
          <w:spacing w:val="-2"/>
        </w:rPr>
        <w:t>t</w:t>
      </w:r>
      <w:r>
        <w:t>re</w:t>
      </w:r>
      <w:r>
        <w:rPr>
          <w:spacing w:val="-2"/>
        </w:rPr>
        <w:t>r</w:t>
      </w:r>
      <w:r>
        <w:t>up</w:t>
      </w:r>
      <w:r>
        <w:rPr>
          <w:spacing w:val="-3"/>
        </w:rPr>
        <w:t>e</w:t>
      </w:r>
      <w:r>
        <w:t>rea</w:t>
      </w:r>
      <w:r>
        <w:rPr>
          <w:spacing w:val="-2"/>
        </w:rPr>
        <w:t xml:space="preserve"> </w:t>
      </w:r>
      <w:r>
        <w:rPr>
          <w:spacing w:val="1"/>
        </w:rPr>
        <w:t>t</w:t>
      </w:r>
      <w:r>
        <w:t>e</w:t>
      </w:r>
      <w:r>
        <w:rPr>
          <w:spacing w:val="-4"/>
        </w:rPr>
        <w:t>m</w:t>
      </w:r>
      <w:r>
        <w:t>pora</w:t>
      </w:r>
      <w:r>
        <w:rPr>
          <w:spacing w:val="-2"/>
        </w:rPr>
        <w:t>r</w:t>
      </w:r>
      <w:r>
        <w:t>ă a</w:t>
      </w:r>
      <w:r>
        <w:rPr>
          <w:spacing w:val="-2"/>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u</w:t>
      </w:r>
      <w:r>
        <w:rPr>
          <w:spacing w:val="1"/>
        </w:rPr>
        <w:t>l</w:t>
      </w:r>
      <w:r>
        <w:rPr>
          <w:spacing w:val="-3"/>
        </w:rPr>
        <w:t>u</w:t>
      </w:r>
      <w:r>
        <w:t>i</w:t>
      </w:r>
      <w:r>
        <w:rPr>
          <w:spacing w:val="1"/>
        </w:rPr>
        <w:t xml:space="preserve"> </w:t>
      </w:r>
      <w:r>
        <w:t>cu</w:t>
      </w:r>
      <w:r>
        <w:rPr>
          <w:spacing w:val="-3"/>
        </w:rPr>
        <w:t xml:space="preserve"> </w:t>
      </w:r>
      <w:r>
        <w:rPr>
          <w:spacing w:val="-1"/>
          <w:szCs w:val="22"/>
          <w:lang w:eastAsia="en-US" w:bidi="ar-SA"/>
        </w:rPr>
        <w:t>AMGEVITA</w:t>
      </w:r>
      <w:r>
        <w:t>.</w:t>
      </w:r>
    </w:p>
    <w:p w14:paraId="06303BE6" w14:textId="77777777" w:rsidR="00C04CAD" w:rsidRDefault="00C04CAD">
      <w:pPr>
        <w:tabs>
          <w:tab w:val="clear" w:pos="567"/>
        </w:tabs>
        <w:kinsoku w:val="0"/>
        <w:overflowPunct w:val="0"/>
        <w:autoSpaceDE w:val="0"/>
        <w:autoSpaceDN w:val="0"/>
        <w:adjustRightInd w:val="0"/>
        <w:spacing w:line="240" w:lineRule="auto"/>
        <w:ind w:hanging="567"/>
      </w:pPr>
    </w:p>
    <w:p w14:paraId="03768BB9" w14:textId="77777777" w:rsidR="00C04CAD" w:rsidRDefault="00060E34">
      <w:pPr>
        <w:tabs>
          <w:tab w:val="clear" w:pos="567"/>
        </w:tabs>
        <w:kinsoku w:val="0"/>
        <w:overflowPunct w:val="0"/>
        <w:autoSpaceDE w:val="0"/>
        <w:autoSpaceDN w:val="0"/>
        <w:adjustRightInd w:val="0"/>
        <w:spacing w:line="240" w:lineRule="auto"/>
        <w:ind w:hanging="567"/>
      </w:pPr>
      <w:r>
        <w:tab/>
        <w:t>Boală demielinizantă</w:t>
      </w:r>
    </w:p>
    <w:p w14:paraId="75DAEF47" w14:textId="77777777" w:rsidR="00C04CAD" w:rsidRDefault="00C04CAD">
      <w:pPr>
        <w:tabs>
          <w:tab w:val="clear" w:pos="567"/>
        </w:tabs>
        <w:kinsoku w:val="0"/>
        <w:overflowPunct w:val="0"/>
        <w:autoSpaceDE w:val="0"/>
        <w:autoSpaceDN w:val="0"/>
        <w:adjustRightInd w:val="0"/>
        <w:spacing w:line="240" w:lineRule="auto"/>
        <w:ind w:hanging="567"/>
      </w:pPr>
    </w:p>
    <w:p w14:paraId="6B1A6409"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rPr>
          <w:spacing w:val="-1"/>
        </w:rPr>
        <w:t>D</w:t>
      </w:r>
      <w:r>
        <w:t>acă a</w:t>
      </w:r>
      <w:r>
        <w:rPr>
          <w:spacing w:val="-3"/>
        </w:rPr>
        <w:t>v</w:t>
      </w:r>
      <w:r>
        <w:t>e</w:t>
      </w:r>
      <w:r>
        <w:rPr>
          <w:spacing w:val="-2"/>
        </w:rPr>
        <w:t>ţ</w:t>
      </w:r>
      <w:r>
        <w:t>i s</w:t>
      </w:r>
      <w:r>
        <w:rPr>
          <w:spacing w:val="-3"/>
        </w:rPr>
        <w:t>a</w:t>
      </w:r>
      <w:r>
        <w:t>u de</w:t>
      </w:r>
      <w:r>
        <w:rPr>
          <w:spacing w:val="-3"/>
        </w:rPr>
        <w:t>zv</w:t>
      </w:r>
      <w:r>
        <w:t>o</w:t>
      </w:r>
      <w:r>
        <w:rPr>
          <w:spacing w:val="1"/>
        </w:rPr>
        <w:t>lt</w:t>
      </w:r>
      <w:r>
        <w:rPr>
          <w:spacing w:val="-3"/>
        </w:rPr>
        <w:t>a</w:t>
      </w:r>
      <w:r>
        <w:rPr>
          <w:spacing w:val="1"/>
        </w:rPr>
        <w:t>ţ</w:t>
      </w:r>
      <w:r>
        <w:t>i</w:t>
      </w:r>
      <w:r>
        <w:rPr>
          <w:spacing w:val="1"/>
        </w:rPr>
        <w:t xml:space="preserve"> </w:t>
      </w:r>
      <w:r>
        <w:t>o</w:t>
      </w:r>
      <w:r>
        <w:rPr>
          <w:spacing w:val="-3"/>
        </w:rPr>
        <w:t xml:space="preserve"> </w:t>
      </w:r>
      <w:r>
        <w:t>boa</w:t>
      </w:r>
      <w:r>
        <w:rPr>
          <w:spacing w:val="1"/>
        </w:rPr>
        <w:t>l</w:t>
      </w:r>
      <w:r>
        <w:t>ă</w:t>
      </w:r>
      <w:r>
        <w:rPr>
          <w:spacing w:val="-2"/>
        </w:rPr>
        <w:t xml:space="preserve"> </w:t>
      </w:r>
      <w:r>
        <w:t>de</w:t>
      </w:r>
      <w:r>
        <w:rPr>
          <w:spacing w:val="-4"/>
        </w:rPr>
        <w:t>m</w:t>
      </w:r>
      <w:r>
        <w:rPr>
          <w:spacing w:val="1"/>
        </w:rPr>
        <w:t>i</w:t>
      </w:r>
      <w:r>
        <w:t>e</w:t>
      </w:r>
      <w:r>
        <w:rPr>
          <w:spacing w:val="-2"/>
        </w:rPr>
        <w:t>l</w:t>
      </w:r>
      <w:r>
        <w:rPr>
          <w:spacing w:val="1"/>
        </w:rPr>
        <w:t>i</w:t>
      </w:r>
      <w:r>
        <w:t>n</w:t>
      </w:r>
      <w:r>
        <w:rPr>
          <w:spacing w:val="1"/>
        </w:rPr>
        <w:t>i</w:t>
      </w:r>
      <w:r>
        <w:rPr>
          <w:spacing w:val="-3"/>
        </w:rPr>
        <w:t>z</w:t>
      </w:r>
      <w:r>
        <w:t>a</w:t>
      </w:r>
      <w:r>
        <w:rPr>
          <w:spacing w:val="-3"/>
        </w:rPr>
        <w:t>n</w:t>
      </w:r>
      <w:r>
        <w:rPr>
          <w:spacing w:val="1"/>
        </w:rPr>
        <w:t>t</w:t>
      </w:r>
      <w:r>
        <w:t xml:space="preserve">ă </w:t>
      </w:r>
      <w:r>
        <w:rPr>
          <w:spacing w:val="-3"/>
        </w:rPr>
        <w:t>c</w:t>
      </w:r>
      <w:r>
        <w:t>um</w:t>
      </w:r>
      <w:r>
        <w:rPr>
          <w:spacing w:val="-4"/>
        </w:rPr>
        <w:t xml:space="preserve"> </w:t>
      </w:r>
      <w:r>
        <w:t>es</w:t>
      </w:r>
      <w:r>
        <w:rPr>
          <w:spacing w:val="1"/>
        </w:rPr>
        <w:t>t</w:t>
      </w:r>
      <w:r>
        <w:t>e</w:t>
      </w:r>
      <w:r>
        <w:rPr>
          <w:spacing w:val="-2"/>
        </w:rPr>
        <w:t xml:space="preserve"> </w:t>
      </w:r>
      <w:r>
        <w:t>sc</w:t>
      </w:r>
      <w:r>
        <w:rPr>
          <w:spacing w:val="-2"/>
        </w:rPr>
        <w:t>l</w:t>
      </w:r>
      <w:r>
        <w:t>ero</w:t>
      </w:r>
      <w:r>
        <w:rPr>
          <w:spacing w:val="-3"/>
        </w:rPr>
        <w:t>z</w:t>
      </w:r>
      <w:r>
        <w:t xml:space="preserve">a </w:t>
      </w:r>
      <w:r>
        <w:rPr>
          <w:spacing w:val="-4"/>
        </w:rPr>
        <w:t>m</w:t>
      </w:r>
      <w:r>
        <w:t>u</w:t>
      </w:r>
      <w:r>
        <w:rPr>
          <w:spacing w:val="1"/>
        </w:rPr>
        <w:t>l</w:t>
      </w:r>
      <w:r>
        <w:rPr>
          <w:spacing w:val="-2"/>
        </w:rPr>
        <w:t>t</w:t>
      </w:r>
      <w:r>
        <w:rPr>
          <w:spacing w:val="1"/>
        </w:rPr>
        <w:t>i</w:t>
      </w:r>
      <w:r>
        <w:t>p</w:t>
      </w:r>
      <w:r>
        <w:rPr>
          <w:spacing w:val="-2"/>
        </w:rPr>
        <w:t>l</w:t>
      </w:r>
      <w:r>
        <w:t xml:space="preserve">ă, </w:t>
      </w:r>
      <w:r>
        <w:rPr>
          <w:spacing w:val="-4"/>
        </w:rPr>
        <w:t>m</w:t>
      </w:r>
      <w:r>
        <w:t>ed</w:t>
      </w:r>
      <w:r>
        <w:rPr>
          <w:spacing w:val="1"/>
        </w:rPr>
        <w:t>i</w:t>
      </w:r>
      <w:r>
        <w:rPr>
          <w:spacing w:val="-3"/>
        </w:rPr>
        <w:t>c</w:t>
      </w:r>
      <w:r>
        <w:t>ul du</w:t>
      </w:r>
      <w:r>
        <w:rPr>
          <w:spacing w:val="-4"/>
        </w:rPr>
        <w:t>m</w:t>
      </w:r>
      <w:r>
        <w:t>nea</w:t>
      </w:r>
      <w:r>
        <w:rPr>
          <w:spacing w:val="-3"/>
        </w:rPr>
        <w:t>v</w:t>
      </w:r>
      <w:r>
        <w:t>oas</w:t>
      </w:r>
      <w:r>
        <w:rPr>
          <w:spacing w:val="1"/>
        </w:rPr>
        <w:t>t</w:t>
      </w:r>
      <w:r>
        <w:t xml:space="preserve">ră </w:t>
      </w:r>
      <w:r>
        <w:rPr>
          <w:spacing w:val="-3"/>
        </w:rPr>
        <w:t>v</w:t>
      </w:r>
      <w:r>
        <w:t>a de</w:t>
      </w:r>
      <w:r>
        <w:rPr>
          <w:spacing w:val="-3"/>
        </w:rPr>
        <w:t>c</w:t>
      </w:r>
      <w:r>
        <w:rPr>
          <w:spacing w:val="1"/>
        </w:rPr>
        <w:t>i</w:t>
      </w:r>
      <w:r>
        <w:rPr>
          <w:spacing w:val="-3"/>
        </w:rPr>
        <w:t>d</w:t>
      </w:r>
      <w:r>
        <w:t xml:space="preserve">e </w:t>
      </w:r>
      <w:r>
        <w:rPr>
          <w:spacing w:val="-3"/>
        </w:rPr>
        <w:t>d</w:t>
      </w:r>
      <w:r>
        <w:t>acă</w:t>
      </w:r>
      <w:r>
        <w:rPr>
          <w:spacing w:val="-2"/>
        </w:rPr>
        <w:t xml:space="preserve"> </w:t>
      </w:r>
      <w:r>
        <w:rPr>
          <w:spacing w:val="1"/>
        </w:rPr>
        <w:t>t</w:t>
      </w:r>
      <w:r>
        <w:t>re</w:t>
      </w:r>
      <w:r>
        <w:rPr>
          <w:spacing w:val="-3"/>
        </w:rPr>
        <w:t>b</w:t>
      </w:r>
      <w:r>
        <w:t>u</w:t>
      </w:r>
      <w:r>
        <w:rPr>
          <w:spacing w:val="1"/>
        </w:rPr>
        <w:t>i</w:t>
      </w:r>
      <w:r>
        <w:t>e</w:t>
      </w:r>
      <w:r>
        <w:rPr>
          <w:spacing w:val="-2"/>
        </w:rPr>
        <w:t xml:space="preserve"> </w:t>
      </w:r>
      <w:r>
        <w:t>să</w:t>
      </w:r>
      <w:r>
        <w:rPr>
          <w:spacing w:val="-2"/>
        </w:rPr>
        <w:t xml:space="preserve"> </w:t>
      </w:r>
      <w:r>
        <w:t>f</w:t>
      </w:r>
      <w:r>
        <w:rPr>
          <w:spacing w:val="-2"/>
        </w:rPr>
        <w:t>i</w:t>
      </w:r>
      <w:r>
        <w:rPr>
          <w:spacing w:val="1"/>
        </w:rPr>
        <w:t>ţ</w:t>
      </w:r>
      <w:r>
        <w:t>i</w:t>
      </w:r>
      <w:r>
        <w:rPr>
          <w:spacing w:val="-2"/>
        </w:rPr>
        <w:t xml:space="preserve"> </w:t>
      </w:r>
      <w:r>
        <w:rPr>
          <w:spacing w:val="1"/>
        </w:rPr>
        <w:t>t</w:t>
      </w:r>
      <w:r>
        <w:rPr>
          <w:spacing w:val="-2"/>
        </w:rPr>
        <w:t>r</w:t>
      </w:r>
      <w:r>
        <w:t>a</w:t>
      </w:r>
      <w:r>
        <w:rPr>
          <w:spacing w:val="-2"/>
        </w:rPr>
        <w:t>t</w:t>
      </w:r>
      <w:r>
        <w:t>at</w:t>
      </w:r>
      <w:r>
        <w:rPr>
          <w:spacing w:val="-2"/>
        </w:rPr>
        <w:t xml:space="preserve"> </w:t>
      </w:r>
      <w:r>
        <w:t>cu</w:t>
      </w:r>
      <w:r>
        <w:rPr>
          <w:spacing w:val="-3"/>
        </w:rPr>
        <w:t xml:space="preserve"> </w:t>
      </w:r>
      <w:r>
        <w:rPr>
          <w:spacing w:val="-1"/>
          <w:szCs w:val="22"/>
          <w:lang w:eastAsia="en-US" w:bidi="ar-SA"/>
        </w:rPr>
        <w:t>AMGEVITA</w:t>
      </w:r>
      <w:r>
        <w:t xml:space="preserve"> sau </w:t>
      </w:r>
      <w:r>
        <w:rPr>
          <w:spacing w:val="-2"/>
        </w:rPr>
        <w:t>s</w:t>
      </w:r>
      <w:r>
        <w:t>ă co</w:t>
      </w:r>
      <w:r>
        <w:rPr>
          <w:spacing w:val="-3"/>
        </w:rPr>
        <w:t>n</w:t>
      </w:r>
      <w:r>
        <w:rPr>
          <w:spacing w:val="1"/>
        </w:rPr>
        <w:t>t</w:t>
      </w:r>
      <w:r>
        <w:rPr>
          <w:spacing w:val="-2"/>
        </w:rPr>
        <w:t>i</w:t>
      </w:r>
      <w:r>
        <w:t>nu</w:t>
      </w:r>
      <w:r>
        <w:rPr>
          <w:spacing w:val="-3"/>
        </w:rPr>
        <w:t>a</w:t>
      </w:r>
      <w:r>
        <w:rPr>
          <w:spacing w:val="1"/>
        </w:rPr>
        <w:t>ţ</w:t>
      </w:r>
      <w:r>
        <w:t>i</w:t>
      </w:r>
      <w:r>
        <w:rPr>
          <w:spacing w:val="1"/>
        </w:rPr>
        <w:t xml:space="preserve"> </w:t>
      </w:r>
      <w:r>
        <w:rPr>
          <w:spacing w:val="-2"/>
        </w:rPr>
        <w:t>s</w:t>
      </w:r>
      <w:r>
        <w:t>ă</w:t>
      </w:r>
      <w:r>
        <w:rPr>
          <w:spacing w:val="-2"/>
        </w:rPr>
        <w:t xml:space="preserve"> </w:t>
      </w:r>
      <w:r>
        <w:t>f</w:t>
      </w:r>
      <w:r>
        <w:rPr>
          <w:spacing w:val="-2"/>
        </w:rPr>
        <w:t>i</w:t>
      </w:r>
      <w:r>
        <w:rPr>
          <w:spacing w:val="1"/>
        </w:rPr>
        <w:t>ţ</w:t>
      </w:r>
      <w:r>
        <w:t>i</w:t>
      </w:r>
      <w:r>
        <w:rPr>
          <w:spacing w:val="-2"/>
        </w:rPr>
        <w:t xml:space="preserve"> </w:t>
      </w:r>
      <w:r>
        <w:rPr>
          <w:spacing w:val="1"/>
        </w:rPr>
        <w:t>t</w:t>
      </w:r>
      <w:r>
        <w:rPr>
          <w:spacing w:val="-2"/>
        </w:rPr>
        <w:t>r</w:t>
      </w:r>
      <w:r>
        <w:t>a</w:t>
      </w:r>
      <w:r>
        <w:rPr>
          <w:spacing w:val="1"/>
        </w:rPr>
        <w:t>t</w:t>
      </w:r>
      <w:r>
        <w:rPr>
          <w:spacing w:val="-3"/>
        </w:rPr>
        <w:t>a</w:t>
      </w:r>
      <w:r>
        <w:rPr>
          <w:spacing w:val="1"/>
        </w:rPr>
        <w:t>ţ</w:t>
      </w:r>
      <w:r>
        <w:t>i</w:t>
      </w:r>
      <w:r>
        <w:rPr>
          <w:spacing w:val="-2"/>
        </w:rPr>
        <w:t xml:space="preserve"> </w:t>
      </w:r>
      <w:r>
        <w:t xml:space="preserve">cu </w:t>
      </w:r>
      <w:r>
        <w:rPr>
          <w:spacing w:val="-1"/>
          <w:szCs w:val="22"/>
          <w:lang w:eastAsia="en-US" w:bidi="ar-SA"/>
        </w:rPr>
        <w:t>AMGEVITA</w:t>
      </w:r>
      <w:r>
        <w:t xml:space="preserve">. </w:t>
      </w:r>
      <w:r>
        <w:rPr>
          <w:spacing w:val="-1"/>
        </w:rPr>
        <w:t>S</w:t>
      </w:r>
      <w:r>
        <w:t>pune</w:t>
      </w:r>
      <w:r>
        <w:rPr>
          <w:spacing w:val="-2"/>
        </w:rPr>
        <w:t>ţ</w:t>
      </w:r>
      <w:r>
        <w:t>i</w:t>
      </w:r>
      <w:r>
        <w:rPr>
          <w:spacing w:val="-2"/>
        </w:rPr>
        <w:t xml:space="preserve"> </w:t>
      </w:r>
      <w:r>
        <w:rPr>
          <w:spacing w:val="1"/>
        </w:rPr>
        <w:t>i</w:t>
      </w:r>
      <w:r>
        <w:rPr>
          <w:spacing w:val="-4"/>
        </w:rPr>
        <w:t>m</w:t>
      </w:r>
      <w:r>
        <w:t>ed</w:t>
      </w:r>
      <w:r>
        <w:rPr>
          <w:spacing w:val="1"/>
        </w:rPr>
        <w:t>i</w:t>
      </w:r>
      <w:r>
        <w:t>at</w:t>
      </w:r>
      <w:r>
        <w:rPr>
          <w:spacing w:val="1"/>
        </w:rPr>
        <w:t xml:space="preserve"> </w:t>
      </w:r>
      <w:r>
        <w:rPr>
          <w:spacing w:val="-4"/>
        </w:rPr>
        <w:t>m</w:t>
      </w:r>
      <w:r>
        <w:t>ed</w:t>
      </w:r>
      <w:r>
        <w:rPr>
          <w:spacing w:val="1"/>
        </w:rPr>
        <w:t>i</w:t>
      </w:r>
      <w:r>
        <w:t>c</w:t>
      </w:r>
      <w:r>
        <w:rPr>
          <w:spacing w:val="-3"/>
        </w:rPr>
        <w:t>u</w:t>
      </w:r>
      <w:r>
        <w:rPr>
          <w:spacing w:val="1"/>
        </w:rPr>
        <w:t>l</w:t>
      </w:r>
      <w:r>
        <w:rPr>
          <w:spacing w:val="-3"/>
        </w:rPr>
        <w:t>u</w:t>
      </w:r>
      <w:r>
        <w:t>i</w:t>
      </w:r>
      <w:r>
        <w:rPr>
          <w:spacing w:val="1"/>
        </w:rPr>
        <w:t xml:space="preserve"> </w:t>
      </w:r>
      <w:r>
        <w:t>du</w:t>
      </w:r>
      <w:r>
        <w:rPr>
          <w:spacing w:val="-4"/>
        </w:rPr>
        <w:t>m</w:t>
      </w:r>
      <w:r>
        <w:t>nea</w:t>
      </w:r>
      <w:r>
        <w:rPr>
          <w:spacing w:val="-3"/>
        </w:rPr>
        <w:t>v</w:t>
      </w:r>
      <w:r>
        <w:t>oas</w:t>
      </w:r>
      <w:r>
        <w:rPr>
          <w:spacing w:val="-2"/>
        </w:rPr>
        <w:t>t</w:t>
      </w:r>
      <w:r>
        <w:t>ră d</w:t>
      </w:r>
      <w:r>
        <w:rPr>
          <w:spacing w:val="-3"/>
        </w:rPr>
        <w:t>ac</w:t>
      </w:r>
      <w:r>
        <w:t>ă a</w:t>
      </w:r>
      <w:r>
        <w:rPr>
          <w:spacing w:val="-3"/>
        </w:rPr>
        <w:t>v</w:t>
      </w:r>
      <w:r>
        <w:t>e</w:t>
      </w:r>
      <w:r>
        <w:rPr>
          <w:spacing w:val="1"/>
        </w:rPr>
        <w:t>ţ</w:t>
      </w:r>
      <w:r>
        <w:t>i</w:t>
      </w:r>
      <w:r>
        <w:rPr>
          <w:spacing w:val="-2"/>
        </w:rPr>
        <w:t xml:space="preserve"> </w:t>
      </w:r>
      <w:r>
        <w:t>s</w:t>
      </w:r>
      <w:r>
        <w:rPr>
          <w:spacing w:val="1"/>
        </w:rPr>
        <w:t>i</w:t>
      </w:r>
      <w:r>
        <w:rPr>
          <w:spacing w:val="-4"/>
        </w:rPr>
        <w:t>m</w:t>
      </w:r>
      <w:r>
        <w:t>p</w:t>
      </w:r>
      <w:r>
        <w:rPr>
          <w:spacing w:val="1"/>
        </w:rPr>
        <w:t>t</w:t>
      </w:r>
      <w:r>
        <w:t>o</w:t>
      </w:r>
      <w:r>
        <w:rPr>
          <w:spacing w:val="-4"/>
        </w:rPr>
        <w:t>m</w:t>
      </w:r>
      <w:r>
        <w:t>e cum</w:t>
      </w:r>
      <w:r>
        <w:rPr>
          <w:spacing w:val="-4"/>
        </w:rPr>
        <w:t xml:space="preserve"> </w:t>
      </w:r>
      <w:r>
        <w:t>sunt</w:t>
      </w:r>
      <w:r>
        <w:rPr>
          <w:spacing w:val="1"/>
        </w:rPr>
        <w:t xml:space="preserve"> </w:t>
      </w:r>
      <w:r>
        <w:rPr>
          <w:spacing w:val="-4"/>
        </w:rPr>
        <w:t>m</w:t>
      </w:r>
      <w:r>
        <w:t>od</w:t>
      </w:r>
      <w:r>
        <w:rPr>
          <w:spacing w:val="1"/>
        </w:rPr>
        <w:t>i</w:t>
      </w:r>
      <w:r>
        <w:t>f</w:t>
      </w:r>
      <w:r>
        <w:rPr>
          <w:spacing w:val="1"/>
        </w:rPr>
        <w:t>i</w:t>
      </w:r>
      <w:r>
        <w:t>c</w:t>
      </w:r>
      <w:r>
        <w:rPr>
          <w:spacing w:val="-3"/>
        </w:rPr>
        <w:t>ă</w:t>
      </w:r>
      <w:r>
        <w:t>ri</w:t>
      </w:r>
      <w:r>
        <w:rPr>
          <w:spacing w:val="-2"/>
        </w:rPr>
        <w:t xml:space="preserve"> </w:t>
      </w:r>
      <w:r>
        <w:t>a</w:t>
      </w:r>
      <w:r>
        <w:rPr>
          <w:spacing w:val="1"/>
        </w:rPr>
        <w:t xml:space="preserve">le </w:t>
      </w:r>
      <w:r>
        <w:rPr>
          <w:spacing w:val="-3"/>
        </w:rPr>
        <w:t>v</w:t>
      </w:r>
      <w:r>
        <w:t>eder</w:t>
      </w:r>
      <w:r>
        <w:rPr>
          <w:spacing w:val="1"/>
        </w:rPr>
        <w:t>i</w:t>
      </w:r>
      <w:r>
        <w:t>i</w:t>
      </w:r>
      <w:r>
        <w:rPr>
          <w:spacing w:val="-2"/>
        </w:rPr>
        <w:t xml:space="preserve"> </w:t>
      </w:r>
      <w:r>
        <w:t>du</w:t>
      </w:r>
      <w:r>
        <w:rPr>
          <w:spacing w:val="-4"/>
        </w:rPr>
        <w:t>m</w:t>
      </w:r>
      <w:r>
        <w:t>nea</w:t>
      </w:r>
      <w:r>
        <w:rPr>
          <w:spacing w:val="-3"/>
        </w:rPr>
        <w:t>v</w:t>
      </w:r>
      <w:r>
        <w:t>oas</w:t>
      </w:r>
      <w:r>
        <w:rPr>
          <w:spacing w:val="1"/>
        </w:rPr>
        <w:t>t</w:t>
      </w:r>
      <w:r>
        <w:rPr>
          <w:spacing w:val="-2"/>
        </w:rPr>
        <w:t>r</w:t>
      </w:r>
      <w:r>
        <w:t xml:space="preserve">e, </w:t>
      </w:r>
      <w:r>
        <w:rPr>
          <w:spacing w:val="-2"/>
        </w:rPr>
        <w:t>s</w:t>
      </w:r>
      <w:r>
        <w:rPr>
          <w:spacing w:val="1"/>
        </w:rPr>
        <w:t>l</w:t>
      </w:r>
      <w:r>
        <w:rPr>
          <w:spacing w:val="-3"/>
        </w:rPr>
        <w:t>ă</w:t>
      </w:r>
      <w:r>
        <w:t>b</w:t>
      </w:r>
      <w:r>
        <w:rPr>
          <w:spacing w:val="1"/>
        </w:rPr>
        <w:t>i</w:t>
      </w:r>
      <w:r>
        <w:rPr>
          <w:spacing w:val="-3"/>
        </w:rPr>
        <w:t>c</w:t>
      </w:r>
      <w:r>
        <w:rPr>
          <w:spacing w:val="1"/>
        </w:rPr>
        <w:t>iu</w:t>
      </w:r>
      <w:r>
        <w:t xml:space="preserve">ne a </w:t>
      </w:r>
      <w:r>
        <w:rPr>
          <w:spacing w:val="-4"/>
        </w:rPr>
        <w:t>m</w:t>
      </w:r>
      <w:r>
        <w:t>â</w:t>
      </w:r>
      <w:r>
        <w:rPr>
          <w:spacing w:val="1"/>
        </w:rPr>
        <w:t>i</w:t>
      </w:r>
      <w:r>
        <w:rPr>
          <w:spacing w:val="-3"/>
        </w:rPr>
        <w:t>n</w:t>
      </w:r>
      <w:r>
        <w:rPr>
          <w:spacing w:val="1"/>
        </w:rPr>
        <w:t>il</w:t>
      </w:r>
      <w:r>
        <w:rPr>
          <w:spacing w:val="-3"/>
        </w:rPr>
        <w:t>o</w:t>
      </w:r>
      <w:r>
        <w:t>r</w:t>
      </w:r>
      <w:r>
        <w:rPr>
          <w:spacing w:val="1"/>
        </w:rPr>
        <w:t xml:space="preserve"> </w:t>
      </w:r>
      <w:r>
        <w:rPr>
          <w:spacing w:val="-2"/>
        </w:rPr>
        <w:t>s</w:t>
      </w:r>
      <w:r>
        <w:t xml:space="preserve">au </w:t>
      </w:r>
      <w:r>
        <w:rPr>
          <w:spacing w:val="-3"/>
        </w:rPr>
        <w:t>p</w:t>
      </w:r>
      <w:r>
        <w:rPr>
          <w:spacing w:val="1"/>
        </w:rPr>
        <w:t>i</w:t>
      </w:r>
      <w:r>
        <w:t>c</w:t>
      </w:r>
      <w:r>
        <w:rPr>
          <w:spacing w:val="-2"/>
        </w:rPr>
        <w:t>i</w:t>
      </w:r>
      <w:r>
        <w:t>o</w:t>
      </w:r>
      <w:r>
        <w:rPr>
          <w:spacing w:val="-3"/>
        </w:rPr>
        <w:t>a</w:t>
      </w:r>
      <w:r>
        <w:t>re</w:t>
      </w:r>
      <w:r>
        <w:rPr>
          <w:spacing w:val="1"/>
        </w:rPr>
        <w:t>l</w:t>
      </w:r>
      <w:r>
        <w:rPr>
          <w:spacing w:val="-3"/>
        </w:rPr>
        <w:t>o</w:t>
      </w:r>
      <w:r>
        <w:t>r</w:t>
      </w:r>
      <w:r>
        <w:rPr>
          <w:spacing w:val="1"/>
        </w:rPr>
        <w:t xml:space="preserve"> </w:t>
      </w:r>
      <w:r>
        <w:rPr>
          <w:spacing w:val="-2"/>
        </w:rPr>
        <w:t>s</w:t>
      </w:r>
      <w:r>
        <w:t>au a</w:t>
      </w:r>
      <w:r>
        <w:rPr>
          <w:spacing w:val="-4"/>
        </w:rPr>
        <w:t>m</w:t>
      </w:r>
      <w:r>
        <w:t>or</w:t>
      </w:r>
      <w:r>
        <w:rPr>
          <w:spacing w:val="1"/>
        </w:rPr>
        <w:t>ţ</w:t>
      </w:r>
      <w:r>
        <w:rPr>
          <w:spacing w:val="-3"/>
        </w:rPr>
        <w:t>e</w:t>
      </w:r>
      <w:r>
        <w:rPr>
          <w:spacing w:val="1"/>
        </w:rPr>
        <w:t>l</w:t>
      </w:r>
      <w:r>
        <w:t>i</w:t>
      </w:r>
      <w:r>
        <w:rPr>
          <w:spacing w:val="-2"/>
        </w:rPr>
        <w:t xml:space="preserve"> </w:t>
      </w:r>
      <w:r>
        <w:t>sau</w:t>
      </w:r>
      <w:r>
        <w:rPr>
          <w:spacing w:val="-3"/>
        </w:rPr>
        <w:t xml:space="preserve"> </w:t>
      </w:r>
      <w:r>
        <w:t>f</w:t>
      </w:r>
      <w:r>
        <w:rPr>
          <w:spacing w:val="-3"/>
        </w:rPr>
        <w:t>u</w:t>
      </w:r>
      <w:r>
        <w:t>rn</w:t>
      </w:r>
      <w:r>
        <w:rPr>
          <w:spacing w:val="-2"/>
        </w:rPr>
        <w:t>i</w:t>
      </w:r>
      <w:r>
        <w:t>că</w:t>
      </w:r>
      <w:r>
        <w:rPr>
          <w:spacing w:val="1"/>
        </w:rPr>
        <w:t>t</w:t>
      </w:r>
      <w:r>
        <w:rPr>
          <w:spacing w:val="-3"/>
        </w:rPr>
        <w:t>u</w:t>
      </w:r>
      <w:r>
        <w:t>ri</w:t>
      </w:r>
      <w:r>
        <w:rPr>
          <w:spacing w:val="-2"/>
        </w:rPr>
        <w:t xml:space="preserve"> </w:t>
      </w:r>
      <w:r>
        <w:rPr>
          <w:spacing w:val="1"/>
        </w:rPr>
        <w:t>î</w:t>
      </w:r>
      <w:r>
        <w:t xml:space="preserve">n </w:t>
      </w:r>
      <w:r>
        <w:rPr>
          <w:spacing w:val="-3"/>
        </w:rPr>
        <w:t>o</w:t>
      </w:r>
      <w:r>
        <w:t>r</w:t>
      </w:r>
      <w:r>
        <w:rPr>
          <w:spacing w:val="-2"/>
        </w:rPr>
        <w:t>i</w:t>
      </w:r>
      <w:r>
        <w:t>ce par</w:t>
      </w:r>
      <w:r>
        <w:rPr>
          <w:spacing w:val="-2"/>
        </w:rPr>
        <w:t>t</w:t>
      </w:r>
      <w:r>
        <w:t>e a</w:t>
      </w:r>
      <w:r>
        <w:rPr>
          <w:spacing w:val="-2"/>
        </w:rPr>
        <w:t xml:space="preserve"> </w:t>
      </w:r>
      <w:r>
        <w:t>cor</w:t>
      </w:r>
      <w:r>
        <w:rPr>
          <w:spacing w:val="-3"/>
        </w:rPr>
        <w:t>p</w:t>
      </w:r>
      <w:r>
        <w:t>u</w:t>
      </w:r>
      <w:r>
        <w:rPr>
          <w:spacing w:val="1"/>
        </w:rPr>
        <w:t>l</w:t>
      </w:r>
      <w:r>
        <w:rPr>
          <w:spacing w:val="-3"/>
        </w:rPr>
        <w:t>u</w:t>
      </w:r>
      <w:r>
        <w:rPr>
          <w:spacing w:val="1"/>
        </w:rPr>
        <w:t>i</w:t>
      </w:r>
      <w:r>
        <w:t>.</w:t>
      </w:r>
    </w:p>
    <w:p w14:paraId="6E7CA72D" w14:textId="77777777" w:rsidR="00C04CAD" w:rsidRDefault="00C04CAD">
      <w:pPr>
        <w:tabs>
          <w:tab w:val="clear" w:pos="567"/>
        </w:tabs>
        <w:kinsoku w:val="0"/>
        <w:overflowPunct w:val="0"/>
        <w:autoSpaceDE w:val="0"/>
        <w:autoSpaceDN w:val="0"/>
        <w:adjustRightInd w:val="0"/>
        <w:spacing w:line="240" w:lineRule="auto"/>
        <w:ind w:left="567" w:hanging="567"/>
      </w:pPr>
    </w:p>
    <w:p w14:paraId="3F265791" w14:textId="77777777" w:rsidR="00C04CAD" w:rsidRDefault="00060E34">
      <w:pPr>
        <w:tabs>
          <w:tab w:val="clear" w:pos="567"/>
        </w:tabs>
        <w:kinsoku w:val="0"/>
        <w:overflowPunct w:val="0"/>
        <w:autoSpaceDE w:val="0"/>
        <w:autoSpaceDN w:val="0"/>
        <w:adjustRightInd w:val="0"/>
        <w:spacing w:line="240" w:lineRule="auto"/>
        <w:ind w:left="567" w:hanging="567"/>
      </w:pPr>
      <w:r>
        <w:t>Vaccinări</w:t>
      </w:r>
    </w:p>
    <w:p w14:paraId="3CFA3702" w14:textId="77777777" w:rsidR="00C04CAD" w:rsidRDefault="00C04CAD">
      <w:pPr>
        <w:tabs>
          <w:tab w:val="clear" w:pos="567"/>
        </w:tabs>
        <w:kinsoku w:val="0"/>
        <w:overflowPunct w:val="0"/>
        <w:autoSpaceDE w:val="0"/>
        <w:autoSpaceDN w:val="0"/>
        <w:adjustRightInd w:val="0"/>
        <w:spacing w:line="240" w:lineRule="auto"/>
        <w:ind w:left="567" w:hanging="567"/>
      </w:pPr>
    </w:p>
    <w:p w14:paraId="661D1FB1"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rPr>
          <w:spacing w:val="-1"/>
        </w:rPr>
        <w:t>A</w:t>
      </w:r>
      <w:r>
        <w:t>nu</w:t>
      </w:r>
      <w:r>
        <w:rPr>
          <w:spacing w:val="-4"/>
        </w:rPr>
        <w:t>m</w:t>
      </w:r>
      <w:r>
        <w:rPr>
          <w:spacing w:val="1"/>
        </w:rPr>
        <w:t>it</w:t>
      </w:r>
      <w:r>
        <w:t xml:space="preserve">e </w:t>
      </w:r>
      <w:r>
        <w:rPr>
          <w:spacing w:val="-3"/>
        </w:rPr>
        <w:t>v</w:t>
      </w:r>
      <w:r>
        <w:t>acc</w:t>
      </w:r>
      <w:r>
        <w:rPr>
          <w:spacing w:val="1"/>
        </w:rPr>
        <w:t>i</w:t>
      </w:r>
      <w:r>
        <w:t>n</w:t>
      </w:r>
      <w:r>
        <w:rPr>
          <w:spacing w:val="-3"/>
        </w:rPr>
        <w:t>u</w:t>
      </w:r>
      <w:r>
        <w:t>ri</w:t>
      </w:r>
      <w:r>
        <w:rPr>
          <w:spacing w:val="1"/>
        </w:rPr>
        <w:t xml:space="preserve"> conțin forme vii, dar atenuate ale unor bacterii sau virusuri care pot cauza o boală și care </w:t>
      </w:r>
      <w:r>
        <w:rPr>
          <w:spacing w:val="-3"/>
        </w:rPr>
        <w:t>p</w:t>
      </w:r>
      <w:r>
        <w:t>ot</w:t>
      </w:r>
      <w:r>
        <w:rPr>
          <w:spacing w:val="1"/>
        </w:rPr>
        <w:t xml:space="preserve"> </w:t>
      </w:r>
      <w:r>
        <w:rPr>
          <w:spacing w:val="-3"/>
        </w:rPr>
        <w:t>d</w:t>
      </w:r>
      <w:r>
        <w:t>e</w:t>
      </w:r>
      <w:r>
        <w:rPr>
          <w:spacing w:val="-2"/>
        </w:rPr>
        <w:t>t</w:t>
      </w:r>
      <w:r>
        <w:rPr>
          <w:spacing w:val="-3"/>
        </w:rPr>
        <w:t>e</w:t>
      </w:r>
      <w:r>
        <w:t>r</w:t>
      </w:r>
      <w:r>
        <w:rPr>
          <w:spacing w:val="-4"/>
        </w:rPr>
        <w:t>m</w:t>
      </w:r>
      <w:r>
        <w:rPr>
          <w:spacing w:val="1"/>
        </w:rPr>
        <w:t>i</w:t>
      </w:r>
      <w:r>
        <w:t xml:space="preserve">na </w:t>
      </w:r>
      <w:r>
        <w:rPr>
          <w:spacing w:val="1"/>
        </w:rPr>
        <w:t>i</w:t>
      </w:r>
      <w:r>
        <w:t>n</w:t>
      </w:r>
      <w:r>
        <w:rPr>
          <w:spacing w:val="-2"/>
        </w:rPr>
        <w:t>f</w:t>
      </w:r>
      <w:r>
        <w:t>e</w:t>
      </w:r>
      <w:r>
        <w:rPr>
          <w:spacing w:val="-3"/>
        </w:rPr>
        <w:t>c</w:t>
      </w:r>
      <w:r>
        <w:rPr>
          <w:spacing w:val="1"/>
        </w:rPr>
        <w:t>ţ</w:t>
      </w:r>
      <w:r>
        <w:rPr>
          <w:spacing w:val="-2"/>
        </w:rPr>
        <w:t>i</w:t>
      </w:r>
      <w:r>
        <w:t>i</w:t>
      </w:r>
      <w:r>
        <w:rPr>
          <w:spacing w:val="1"/>
        </w:rPr>
        <w:t xml:space="preserve"> </w:t>
      </w:r>
      <w:r>
        <w:rPr>
          <w:spacing w:val="-2"/>
        </w:rPr>
        <w:t>ş</w:t>
      </w:r>
      <w:r>
        <w:t>i</w:t>
      </w:r>
      <w:r>
        <w:rPr>
          <w:spacing w:val="1"/>
        </w:rPr>
        <w:t xml:space="preserve"> </w:t>
      </w:r>
      <w:r>
        <w:t>nu</w:t>
      </w:r>
      <w:r>
        <w:rPr>
          <w:spacing w:val="-3"/>
        </w:rPr>
        <w:t xml:space="preserve"> </w:t>
      </w:r>
      <w:r>
        <w:rPr>
          <w:spacing w:val="1"/>
        </w:rPr>
        <w:t>t</w:t>
      </w:r>
      <w:r>
        <w:t>r</w:t>
      </w:r>
      <w:r>
        <w:rPr>
          <w:spacing w:val="-3"/>
        </w:rPr>
        <w:t>e</w:t>
      </w:r>
      <w:r>
        <w:t>bu</w:t>
      </w:r>
      <w:r>
        <w:rPr>
          <w:spacing w:val="-2"/>
        </w:rPr>
        <w:t>i</w:t>
      </w:r>
      <w:r>
        <w:t>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rPr>
          <w:spacing w:val="1"/>
        </w:rPr>
        <w:t>t</w:t>
      </w:r>
      <w:r>
        <w:t xml:space="preserve">e </w:t>
      </w:r>
      <w:r>
        <w:rPr>
          <w:spacing w:val="-2"/>
        </w:rPr>
        <w:t>î</w:t>
      </w:r>
      <w:r>
        <w:t xml:space="preserve">n </w:t>
      </w:r>
      <w:r>
        <w:rPr>
          <w:spacing w:val="-2"/>
        </w:rPr>
        <w:t>t</w:t>
      </w:r>
      <w:r>
        <w:rPr>
          <w:spacing w:val="1"/>
        </w:rPr>
        <w:t>i</w:t>
      </w:r>
      <w:r>
        <w:rPr>
          <w:spacing w:val="-4"/>
        </w:rPr>
        <w:t>m</w:t>
      </w:r>
      <w:r>
        <w:t>pul</w:t>
      </w:r>
      <w:r>
        <w:rPr>
          <w:spacing w:val="1"/>
        </w:rPr>
        <w:t xml:space="preserve"> t</w:t>
      </w:r>
      <w:r>
        <w:rPr>
          <w:spacing w:val="-2"/>
        </w:rPr>
        <w:t>r</w:t>
      </w:r>
      <w:r>
        <w:t>a</w:t>
      </w:r>
      <w:r>
        <w:rPr>
          <w:spacing w:val="-2"/>
        </w:rPr>
        <w:t>t</w:t>
      </w:r>
      <w:r>
        <w:rPr>
          <w:spacing w:val="-3"/>
        </w:rPr>
        <w:t>a</w:t>
      </w:r>
      <w:r>
        <w:rPr>
          <w:spacing w:val="-4"/>
        </w:rPr>
        <w:t>m</w:t>
      </w:r>
      <w:r>
        <w:t>en</w:t>
      </w:r>
      <w:r>
        <w:rPr>
          <w:spacing w:val="1"/>
        </w:rPr>
        <w:t>t</w:t>
      </w:r>
      <w:r>
        <w:t>u</w:t>
      </w:r>
      <w:r>
        <w:rPr>
          <w:spacing w:val="1"/>
        </w:rPr>
        <w:t>l</w:t>
      </w:r>
      <w:r>
        <w:t>ui</w:t>
      </w:r>
      <w:r>
        <w:rPr>
          <w:spacing w:val="1"/>
        </w:rPr>
        <w:t xml:space="preserve"> </w:t>
      </w:r>
      <w:r>
        <w:rPr>
          <w:spacing w:val="-3"/>
        </w:rPr>
        <w:t>c</w:t>
      </w:r>
      <w:r>
        <w:t xml:space="preserve">u </w:t>
      </w:r>
      <w:r>
        <w:rPr>
          <w:spacing w:val="-1"/>
          <w:szCs w:val="22"/>
          <w:lang w:eastAsia="en-US" w:bidi="ar-SA"/>
        </w:rPr>
        <w:t>AMGEVITA</w:t>
      </w:r>
      <w:r>
        <w:t xml:space="preserve">. </w:t>
      </w:r>
      <w:r>
        <w:rPr>
          <w:spacing w:val="1"/>
        </w:rPr>
        <w:t>V</w:t>
      </w:r>
      <w:r>
        <w:t>ă</w:t>
      </w:r>
      <w:r>
        <w:rPr>
          <w:spacing w:val="-2"/>
        </w:rPr>
        <w:t xml:space="preserve"> </w:t>
      </w:r>
      <w:r>
        <w:t>ru</w:t>
      </w:r>
      <w:r>
        <w:rPr>
          <w:spacing w:val="-3"/>
        </w:rPr>
        <w:t>g</w:t>
      </w:r>
      <w:r>
        <w:t>ăm</w:t>
      </w:r>
      <w:r>
        <w:rPr>
          <w:spacing w:val="-4"/>
        </w:rPr>
        <w:t xml:space="preserve"> </w:t>
      </w:r>
      <w:r>
        <w:t>să spu</w:t>
      </w:r>
      <w:r>
        <w:rPr>
          <w:spacing w:val="-3"/>
        </w:rPr>
        <w:t>n</w:t>
      </w:r>
      <w:r>
        <w:t>e</w:t>
      </w:r>
      <w:r>
        <w:rPr>
          <w:spacing w:val="1"/>
        </w:rPr>
        <w:t>ţ</w:t>
      </w:r>
      <w:r>
        <w:t>i</w:t>
      </w:r>
      <w:r>
        <w:rPr>
          <w:spacing w:val="1"/>
        </w:rPr>
        <w:t xml:space="preserve"> </w:t>
      </w:r>
      <w:r>
        <w:rPr>
          <w:spacing w:val="-4"/>
        </w:rPr>
        <w:t>m</w:t>
      </w:r>
      <w:r>
        <w:t>ed</w:t>
      </w:r>
      <w:r>
        <w:rPr>
          <w:spacing w:val="1"/>
        </w:rPr>
        <w:t>i</w:t>
      </w:r>
      <w:r>
        <w:rPr>
          <w:spacing w:val="-3"/>
        </w:rPr>
        <w:t>c</w:t>
      </w:r>
      <w:r>
        <w:t>u</w:t>
      </w:r>
      <w:r>
        <w:rPr>
          <w:spacing w:val="1"/>
        </w:rPr>
        <w:t>l</w:t>
      </w:r>
      <w:r>
        <w:rPr>
          <w:spacing w:val="-3"/>
        </w:rPr>
        <w:t>u</w:t>
      </w:r>
      <w:r>
        <w:t>i</w:t>
      </w:r>
      <w:r>
        <w:rPr>
          <w:spacing w:val="1"/>
        </w:rPr>
        <w:t xml:space="preserve"> </w:t>
      </w:r>
      <w:r>
        <w:t>du</w:t>
      </w:r>
      <w:r>
        <w:rPr>
          <w:spacing w:val="-4"/>
        </w:rPr>
        <w:t>m</w:t>
      </w:r>
      <w:r>
        <w:t>nea</w:t>
      </w:r>
      <w:r>
        <w:rPr>
          <w:spacing w:val="-3"/>
        </w:rPr>
        <w:t>v</w:t>
      </w:r>
      <w:r>
        <w:t>oas</w:t>
      </w:r>
      <w:r>
        <w:rPr>
          <w:spacing w:val="-2"/>
        </w:rPr>
        <w:t>tr</w:t>
      </w:r>
      <w:r>
        <w:t xml:space="preserve">ă </w:t>
      </w:r>
      <w:r>
        <w:rPr>
          <w:spacing w:val="1"/>
        </w:rPr>
        <w:t>î</w:t>
      </w:r>
      <w:r>
        <w:t>n</w:t>
      </w:r>
      <w:r>
        <w:rPr>
          <w:spacing w:val="-3"/>
        </w:rPr>
        <w:t>a</w:t>
      </w:r>
      <w:r>
        <w:rPr>
          <w:spacing w:val="1"/>
        </w:rPr>
        <w:t>i</w:t>
      </w:r>
      <w:r>
        <w:rPr>
          <w:spacing w:val="-3"/>
        </w:rPr>
        <w:t>n</w:t>
      </w:r>
      <w:r>
        <w:rPr>
          <w:spacing w:val="1"/>
        </w:rPr>
        <w:t>t</w:t>
      </w:r>
      <w:r>
        <w:t>e de</w:t>
      </w:r>
      <w:r>
        <w:rPr>
          <w:spacing w:val="-2"/>
        </w:rPr>
        <w:t xml:space="preserve"> </w:t>
      </w:r>
      <w:r>
        <w:t xml:space="preserve">a </w:t>
      </w:r>
      <w:r>
        <w:rPr>
          <w:spacing w:val="-3"/>
        </w:rPr>
        <w:t>v</w:t>
      </w:r>
      <w:r>
        <w:t>i</w:t>
      </w:r>
      <w:r>
        <w:rPr>
          <w:spacing w:val="1"/>
        </w:rPr>
        <w:t xml:space="preserve"> </w:t>
      </w:r>
      <w:r>
        <w:t>se</w:t>
      </w:r>
      <w:r>
        <w:rPr>
          <w:spacing w:val="-2"/>
        </w:rPr>
        <w:t xml:space="preserve"> </w:t>
      </w:r>
      <w:r>
        <w:t>ad</w:t>
      </w:r>
      <w:r>
        <w:rPr>
          <w:spacing w:val="-4"/>
        </w:rPr>
        <w:t>m</w:t>
      </w:r>
      <w:r>
        <w:rPr>
          <w:spacing w:val="1"/>
        </w:rPr>
        <w:t>i</w:t>
      </w:r>
      <w:r>
        <w:t>n</w:t>
      </w:r>
      <w:r>
        <w:rPr>
          <w:spacing w:val="1"/>
        </w:rPr>
        <w:t>i</w:t>
      </w:r>
      <w:r>
        <w:rPr>
          <w:spacing w:val="-2"/>
        </w:rPr>
        <w:t>st</w:t>
      </w:r>
      <w:r>
        <w:t>ra o</w:t>
      </w:r>
      <w:r>
        <w:rPr>
          <w:spacing w:val="-2"/>
        </w:rPr>
        <w:t>r</w:t>
      </w:r>
      <w:r>
        <w:rPr>
          <w:spacing w:val="1"/>
        </w:rPr>
        <w:t>i</w:t>
      </w:r>
      <w:r>
        <w:rPr>
          <w:spacing w:val="-3"/>
        </w:rPr>
        <w:t>c</w:t>
      </w:r>
      <w:r>
        <w:t xml:space="preserve">e </w:t>
      </w:r>
      <w:r>
        <w:rPr>
          <w:spacing w:val="-3"/>
        </w:rPr>
        <w:t>v</w:t>
      </w:r>
      <w:r>
        <w:t>acc</w:t>
      </w:r>
      <w:r>
        <w:rPr>
          <w:spacing w:val="1"/>
        </w:rPr>
        <w:t>i</w:t>
      </w:r>
      <w:r>
        <w:t xml:space="preserve">n. </w:t>
      </w:r>
      <w:r>
        <w:rPr>
          <w:spacing w:val="-1"/>
          <w:szCs w:val="22"/>
          <w:lang w:eastAsia="en-US" w:bidi="ar-SA"/>
        </w:rPr>
        <w:t>Înaintea</w:t>
      </w:r>
      <w:r>
        <w:rPr>
          <w:spacing w:val="-2"/>
        </w:rPr>
        <w:t xml:space="preserve"> </w:t>
      </w:r>
      <w:r>
        <w:rPr>
          <w:spacing w:val="1"/>
        </w:rPr>
        <w:t>î</w:t>
      </w:r>
      <w:r>
        <w:t>n</w:t>
      </w:r>
      <w:r>
        <w:rPr>
          <w:spacing w:val="-3"/>
        </w:rPr>
        <w:t>c</w:t>
      </w:r>
      <w:r>
        <w:t>ep</w:t>
      </w:r>
      <w:r>
        <w:rPr>
          <w:spacing w:val="-3"/>
        </w:rPr>
        <w:t>e</w:t>
      </w:r>
      <w:r>
        <w:t>r</w:t>
      </w:r>
      <w:r>
        <w:rPr>
          <w:spacing w:val="-2"/>
        </w:rPr>
        <w:t>i</w:t>
      </w:r>
      <w:r>
        <w:t>i</w:t>
      </w:r>
      <w:r>
        <w:rPr>
          <w:spacing w:val="1"/>
        </w:rPr>
        <w:t xml:space="preserve"> </w:t>
      </w:r>
      <w:r>
        <w:rPr>
          <w:spacing w:val="-2"/>
        </w:rPr>
        <w:t>tr</w:t>
      </w:r>
      <w: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 xml:space="preserve">cu </w:t>
      </w:r>
      <w:r>
        <w:rPr>
          <w:spacing w:val="-1"/>
          <w:szCs w:val="22"/>
          <w:lang w:eastAsia="en-US" w:bidi="ar-SA"/>
        </w:rPr>
        <w:t>AMGEVITA</w:t>
      </w:r>
      <w:r>
        <w:t xml:space="preserve">, </w:t>
      </w:r>
      <w:r>
        <w:rPr>
          <w:spacing w:val="-2"/>
        </w:rPr>
        <w:t>s</w:t>
      </w:r>
      <w:r>
        <w:t xml:space="preserve">e </w:t>
      </w:r>
      <w:r>
        <w:rPr>
          <w:spacing w:val="-2"/>
        </w:rPr>
        <w:t>r</w:t>
      </w:r>
      <w:r>
        <w:t>eco</w:t>
      </w:r>
      <w:r>
        <w:rPr>
          <w:spacing w:val="-4"/>
        </w:rPr>
        <w:t>m</w:t>
      </w:r>
      <w:r>
        <w:t xml:space="preserve">andă ca </w:t>
      </w:r>
      <w:r>
        <w:rPr>
          <w:spacing w:val="-3"/>
        </w:rPr>
        <w:t>p</w:t>
      </w:r>
      <w:r>
        <w:t>a</w:t>
      </w:r>
      <w:r>
        <w:rPr>
          <w:spacing w:val="-3"/>
        </w:rPr>
        <w:t>c</w:t>
      </w:r>
      <w:r>
        <w:rPr>
          <w:spacing w:val="1"/>
        </w:rPr>
        <w:t>i</w:t>
      </w:r>
      <w:r>
        <w:t>e</w:t>
      </w:r>
      <w:r>
        <w:rPr>
          <w:spacing w:val="-3"/>
        </w:rPr>
        <w:t>n</w:t>
      </w:r>
      <w:r>
        <w:rPr>
          <w:spacing w:val="1"/>
        </w:rPr>
        <w:t>ţ</w:t>
      </w:r>
      <w:r>
        <w:rPr>
          <w:spacing w:val="-2"/>
        </w:rPr>
        <w:t>i</w:t>
      </w:r>
      <w:r>
        <w:t>i co</w:t>
      </w:r>
      <w:r>
        <w:rPr>
          <w:spacing w:val="-3"/>
        </w:rPr>
        <w:t>p</w:t>
      </w:r>
      <w:r>
        <w:rPr>
          <w:spacing w:val="1"/>
        </w:rPr>
        <w:t>i</w:t>
      </w:r>
      <w:r>
        <w:rPr>
          <w:spacing w:val="-2"/>
        </w:rPr>
        <w:t>i</w:t>
      </w:r>
      <w:r>
        <w:t>, dacă</w:t>
      </w:r>
      <w:r>
        <w:rPr>
          <w:spacing w:val="-2"/>
        </w:rPr>
        <w:t xml:space="preserve"> </w:t>
      </w:r>
      <w:r>
        <w:t>e</w:t>
      </w:r>
      <w:r>
        <w:rPr>
          <w:spacing w:val="-2"/>
        </w:rPr>
        <w:t>s</w:t>
      </w:r>
      <w:r>
        <w:rPr>
          <w:spacing w:val="1"/>
        </w:rPr>
        <w:t>t</w:t>
      </w:r>
      <w:r>
        <w:t>e pos</w:t>
      </w:r>
      <w:r>
        <w:rPr>
          <w:spacing w:val="1"/>
        </w:rPr>
        <w:t>i</w:t>
      </w:r>
      <w:r>
        <w:rPr>
          <w:spacing w:val="-3"/>
        </w:rPr>
        <w:t>b</w:t>
      </w:r>
      <w:r>
        <w:rPr>
          <w:spacing w:val="1"/>
        </w:rPr>
        <w:t>il</w:t>
      </w:r>
      <w:r>
        <w:t>,</w:t>
      </w:r>
      <w:r>
        <w:rPr>
          <w:spacing w:val="-3"/>
        </w:rPr>
        <w:t xml:space="preserve"> </w:t>
      </w:r>
      <w:r>
        <w:t>să</w:t>
      </w:r>
      <w:r>
        <w:rPr>
          <w:spacing w:val="-2"/>
        </w:rPr>
        <w:t xml:space="preserve"> </w:t>
      </w:r>
      <w:r>
        <w:t>f</w:t>
      </w:r>
      <w:r>
        <w:rPr>
          <w:spacing w:val="-2"/>
        </w:rPr>
        <w:t>i</w:t>
      </w:r>
      <w:r>
        <w:t xml:space="preserve">e </w:t>
      </w:r>
      <w:r>
        <w:rPr>
          <w:spacing w:val="-3"/>
        </w:rPr>
        <w:t>v</w:t>
      </w:r>
      <w:r>
        <w:t>acc</w:t>
      </w:r>
      <w:r>
        <w:rPr>
          <w:spacing w:val="1"/>
        </w:rPr>
        <w:t>i</w:t>
      </w:r>
      <w:r>
        <w:rPr>
          <w:spacing w:val="-3"/>
        </w:rPr>
        <w:t>n</w:t>
      </w:r>
      <w:r>
        <w:t>a</w:t>
      </w:r>
      <w:r>
        <w:rPr>
          <w:spacing w:val="-2"/>
        </w:rPr>
        <w:t>ţ</w:t>
      </w:r>
      <w:r>
        <w:t>i</w:t>
      </w:r>
      <w:r>
        <w:rPr>
          <w:spacing w:val="1"/>
        </w:rPr>
        <w:t xml:space="preserve"> </w:t>
      </w:r>
      <w:r>
        <w:rPr>
          <w:spacing w:val="-2"/>
        </w:rPr>
        <w:t>l</w:t>
      </w:r>
      <w:r>
        <w:t xml:space="preserve">a </w:t>
      </w:r>
      <w:r>
        <w:rPr>
          <w:spacing w:val="-3"/>
        </w:rPr>
        <w:t>z</w:t>
      </w:r>
      <w:r>
        <w:rPr>
          <w:spacing w:val="-2"/>
        </w:rPr>
        <w:t>i</w:t>
      </w:r>
      <w:r>
        <w:t xml:space="preserve">, </w:t>
      </w:r>
      <w:r>
        <w:rPr>
          <w:spacing w:val="1"/>
        </w:rPr>
        <w:t>î</w:t>
      </w:r>
      <w:r>
        <w:t>n c</w:t>
      </w:r>
      <w:r>
        <w:rPr>
          <w:spacing w:val="-3"/>
        </w:rPr>
        <w:t>o</w:t>
      </w:r>
      <w:r>
        <w:t>nc</w:t>
      </w:r>
      <w:r>
        <w:rPr>
          <w:spacing w:val="-3"/>
        </w:rPr>
        <w:t>o</w:t>
      </w:r>
      <w:r>
        <w:t>rda</w:t>
      </w:r>
      <w:r>
        <w:rPr>
          <w:spacing w:val="-3"/>
        </w:rPr>
        <w:t>n</w:t>
      </w:r>
      <w:r>
        <w:rPr>
          <w:spacing w:val="1"/>
        </w:rPr>
        <w:t>ţ</w:t>
      </w:r>
      <w:r>
        <w:t xml:space="preserve">ă </w:t>
      </w:r>
      <w:r>
        <w:rPr>
          <w:spacing w:val="-3"/>
        </w:rPr>
        <w:t>c</w:t>
      </w:r>
      <w:r>
        <w:t xml:space="preserve">u </w:t>
      </w:r>
      <w:r>
        <w:rPr>
          <w:szCs w:val="22"/>
          <w:lang w:eastAsia="en-US" w:bidi="ar-SA"/>
        </w:rPr>
        <w:t>ghidurile în vigoare</w:t>
      </w:r>
      <w:r>
        <w:rPr>
          <w:spacing w:val="1"/>
        </w:rPr>
        <w:t xml:space="preserve"> </w:t>
      </w:r>
      <w:r>
        <w:rPr>
          <w:spacing w:val="-3"/>
        </w:rPr>
        <w:t>p</w:t>
      </w:r>
      <w:r>
        <w:t>r</w:t>
      </w:r>
      <w:r>
        <w:rPr>
          <w:spacing w:val="1"/>
        </w:rPr>
        <w:t>i</w:t>
      </w:r>
      <w:r>
        <w:rPr>
          <w:spacing w:val="-3"/>
        </w:rPr>
        <w:t>v</w:t>
      </w:r>
      <w:r>
        <w:rPr>
          <w:spacing w:val="1"/>
        </w:rPr>
        <w:t>i</w:t>
      </w:r>
      <w:r>
        <w:t>nd</w:t>
      </w:r>
      <w:r>
        <w:rPr>
          <w:spacing w:val="-3"/>
        </w:rPr>
        <w:t xml:space="preserve"> </w:t>
      </w:r>
      <w:r>
        <w:rPr>
          <w:spacing w:val="1"/>
        </w:rPr>
        <w:t>i</w:t>
      </w:r>
      <w:r>
        <w:rPr>
          <w:spacing w:val="-4"/>
        </w:rPr>
        <w:t>m</w:t>
      </w:r>
      <w:r>
        <w:t>un</w:t>
      </w:r>
      <w:r>
        <w:rPr>
          <w:spacing w:val="1"/>
        </w:rPr>
        <w:t>i</w:t>
      </w:r>
      <w:r>
        <w:rPr>
          <w:spacing w:val="-3"/>
        </w:rPr>
        <w:t>z</w:t>
      </w:r>
      <w:r>
        <w:t xml:space="preserve">area. </w:t>
      </w:r>
    </w:p>
    <w:p w14:paraId="0655AC96"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rPr>
          <w:spacing w:val="-1"/>
        </w:rPr>
        <w:t>D</w:t>
      </w:r>
      <w:r>
        <w:t>a</w:t>
      </w:r>
      <w:r>
        <w:rPr>
          <w:spacing w:val="-3"/>
        </w:rPr>
        <w:t>c</w:t>
      </w:r>
      <w:r>
        <w:t>ă a</w:t>
      </w:r>
      <w:r>
        <w:rPr>
          <w:spacing w:val="1"/>
        </w:rPr>
        <w:t>ţ</w:t>
      </w:r>
      <w:r>
        <w:t>i</w:t>
      </w:r>
      <w:r>
        <w:rPr>
          <w:spacing w:val="-2"/>
        </w:rPr>
        <w:t xml:space="preserve"> </w:t>
      </w:r>
      <w:r>
        <w:t>u</w:t>
      </w:r>
      <w:r>
        <w:rPr>
          <w:spacing w:val="-2"/>
        </w:rPr>
        <w:t>t</w:t>
      </w:r>
      <w:r>
        <w:rPr>
          <w:spacing w:val="1"/>
        </w:rPr>
        <w:t>i</w:t>
      </w:r>
      <w:r>
        <w:rPr>
          <w:spacing w:val="-2"/>
        </w:rPr>
        <w:t>l</w:t>
      </w:r>
      <w:r>
        <w:rPr>
          <w:spacing w:val="1"/>
        </w:rPr>
        <w:t>i</w:t>
      </w:r>
      <w:r>
        <w:rPr>
          <w:spacing w:val="-3"/>
        </w:rPr>
        <w:t>z</w:t>
      </w:r>
      <w:r>
        <w:t>at</w:t>
      </w:r>
      <w:r>
        <w:rPr>
          <w:spacing w:val="1"/>
        </w:rPr>
        <w:t xml:space="preserve"> </w:t>
      </w:r>
      <w:r>
        <w:rPr>
          <w:spacing w:val="-1"/>
          <w:szCs w:val="22"/>
          <w:lang w:eastAsia="en-US" w:bidi="ar-SA"/>
        </w:rPr>
        <w:t>AMGEVITA</w:t>
      </w:r>
      <w:r>
        <w:t xml:space="preserve"> </w:t>
      </w:r>
      <w:r>
        <w:rPr>
          <w:spacing w:val="-1"/>
          <w:szCs w:val="22"/>
          <w:lang w:eastAsia="en-US" w:bidi="ar-SA"/>
        </w:rPr>
        <w:t xml:space="preserve">pe perioada sarcinii, copilul dumneavoastră poate avea un risc crescut de infecţii timp de cel puţin 5 luni de la ultima doză </w:t>
      </w:r>
      <w:r>
        <w:t>pe care</w:t>
      </w:r>
      <w:r>
        <w:rPr>
          <w:spacing w:val="-2"/>
        </w:rPr>
        <w:t xml:space="preserve"> </w:t>
      </w:r>
      <w:r>
        <w:t>a</w:t>
      </w:r>
      <w:r>
        <w:rPr>
          <w:spacing w:val="-2"/>
        </w:rPr>
        <w:t>ţ</w:t>
      </w:r>
      <w:r>
        <w:t>i</w:t>
      </w:r>
      <w:r>
        <w:rPr>
          <w:spacing w:val="1"/>
        </w:rPr>
        <w:t xml:space="preserve"> </w:t>
      </w:r>
      <w:r>
        <w:rPr>
          <w:spacing w:val="-3"/>
        </w:rPr>
        <w:t>u</w:t>
      </w:r>
      <w:r>
        <w:rPr>
          <w:spacing w:val="1"/>
        </w:rPr>
        <w:t>t</w:t>
      </w:r>
      <w:r>
        <w:rPr>
          <w:spacing w:val="-2"/>
        </w:rPr>
        <w:t>i</w:t>
      </w:r>
      <w:r>
        <w:rPr>
          <w:spacing w:val="1"/>
        </w:rPr>
        <w:t>li</w:t>
      </w:r>
      <w:r>
        <w:rPr>
          <w:spacing w:val="-3"/>
        </w:rPr>
        <w:t>za</w:t>
      </w:r>
      <w:r>
        <w:rPr>
          <w:spacing w:val="1"/>
        </w:rPr>
        <w:t>t</w:t>
      </w:r>
      <w:r>
        <w:rPr>
          <w:spacing w:val="-4"/>
        </w:rPr>
        <w:t>-</w:t>
      </w:r>
      <w:r>
        <w:t xml:space="preserve">o </w:t>
      </w:r>
      <w:r>
        <w:rPr>
          <w:spacing w:val="1"/>
        </w:rPr>
        <w:t>î</w:t>
      </w:r>
      <w:r>
        <w:t xml:space="preserve">n </w:t>
      </w:r>
      <w:r>
        <w:rPr>
          <w:spacing w:val="1"/>
        </w:rPr>
        <w:t>ti</w:t>
      </w:r>
      <w:r>
        <w:rPr>
          <w:spacing w:val="-4"/>
        </w:rPr>
        <w:t>m</w:t>
      </w:r>
      <w:r>
        <w:t>pul sar</w:t>
      </w:r>
      <w:r>
        <w:rPr>
          <w:spacing w:val="-3"/>
        </w:rPr>
        <w:t>c</w:t>
      </w:r>
      <w:r>
        <w:rPr>
          <w:spacing w:val="1"/>
        </w:rPr>
        <w:t>i</w:t>
      </w:r>
      <w:r>
        <w:rPr>
          <w:spacing w:val="-3"/>
        </w:rPr>
        <w:t>n</w:t>
      </w:r>
      <w:r>
        <w:rPr>
          <w:spacing w:val="1"/>
        </w:rPr>
        <w:t>ii</w:t>
      </w:r>
      <w:r>
        <w:t xml:space="preserve">. </w:t>
      </w:r>
      <w:r>
        <w:rPr>
          <w:spacing w:val="-3"/>
        </w:rPr>
        <w:t>E</w:t>
      </w:r>
      <w:r>
        <w:t>s</w:t>
      </w:r>
      <w:r>
        <w:rPr>
          <w:spacing w:val="-2"/>
        </w:rPr>
        <w:t>t</w:t>
      </w:r>
      <w:r>
        <w:t xml:space="preserve">e </w:t>
      </w:r>
      <w:r>
        <w:rPr>
          <w:spacing w:val="1"/>
        </w:rPr>
        <w:t>i</w:t>
      </w:r>
      <w:r>
        <w:rPr>
          <w:spacing w:val="-4"/>
        </w:rPr>
        <w:t>m</w:t>
      </w:r>
      <w:r>
        <w:t>por</w:t>
      </w:r>
      <w:r>
        <w:rPr>
          <w:spacing w:val="1"/>
        </w:rPr>
        <w:t>t</w:t>
      </w:r>
      <w:r>
        <w:rPr>
          <w:spacing w:val="-3"/>
        </w:rPr>
        <w:t>a</w:t>
      </w:r>
      <w:r>
        <w:t>nt</w:t>
      </w:r>
      <w:r>
        <w:rPr>
          <w:spacing w:val="-2"/>
        </w:rPr>
        <w:t xml:space="preserve"> </w:t>
      </w:r>
      <w:r>
        <w:t xml:space="preserve">să </w:t>
      </w:r>
      <w:r>
        <w:rPr>
          <w:spacing w:val="-2"/>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co</w:t>
      </w:r>
      <w:r>
        <w:rPr>
          <w:spacing w:val="-3"/>
        </w:rPr>
        <w:t>p</w:t>
      </w:r>
      <w:r>
        <w:rPr>
          <w:spacing w:val="1"/>
        </w:rPr>
        <w:t>il</w:t>
      </w:r>
      <w:r>
        <w:rPr>
          <w:spacing w:val="-3"/>
        </w:rPr>
        <w:t>u</w:t>
      </w:r>
      <w:r>
        <w:rPr>
          <w:spacing w:val="1"/>
        </w:rPr>
        <w:t>l</w:t>
      </w:r>
      <w:r>
        <w:rPr>
          <w:spacing w:val="-3"/>
        </w:rPr>
        <w:t>u</w:t>
      </w:r>
      <w:r>
        <w:t>i</w:t>
      </w:r>
      <w:r>
        <w:rPr>
          <w:spacing w:val="-2"/>
        </w:rPr>
        <w:t xml:space="preserve"> </w:t>
      </w:r>
      <w:r>
        <w:t>du</w:t>
      </w:r>
      <w:r>
        <w:rPr>
          <w:spacing w:val="-4"/>
        </w:rPr>
        <w:t>m</w:t>
      </w:r>
      <w:r>
        <w:t>nea</w:t>
      </w:r>
      <w:r>
        <w:rPr>
          <w:spacing w:val="-3"/>
        </w:rPr>
        <w:t>v</w:t>
      </w:r>
      <w:r>
        <w:t>oas</w:t>
      </w:r>
      <w:r>
        <w:rPr>
          <w:spacing w:val="1"/>
        </w:rPr>
        <w:t>t</w:t>
      </w:r>
      <w:r>
        <w:t xml:space="preserve">ră </w:t>
      </w:r>
      <w:r>
        <w:rPr>
          <w:spacing w:val="-2"/>
        </w:rPr>
        <w:t>s</w:t>
      </w:r>
      <w:r>
        <w:t xml:space="preserve">au </w:t>
      </w:r>
      <w:r>
        <w:rPr>
          <w:spacing w:val="-3"/>
        </w:rPr>
        <w:t>a</w:t>
      </w:r>
      <w:r>
        <w:rPr>
          <w:spacing w:val="1"/>
        </w:rPr>
        <w:t>l</w:t>
      </w:r>
      <w:r>
        <w:rPr>
          <w:spacing w:val="-2"/>
        </w:rPr>
        <w:t>t</w:t>
      </w:r>
      <w:r>
        <w:t>ui</w:t>
      </w:r>
      <w:r>
        <w:rPr>
          <w:spacing w:val="1"/>
        </w:rPr>
        <w:t xml:space="preserve"> </w:t>
      </w:r>
      <w:r>
        <w:rPr>
          <w:spacing w:val="-3"/>
        </w:rPr>
        <w:t>p</w:t>
      </w:r>
      <w:r>
        <w:rPr>
          <w:spacing w:val="-2"/>
        </w:rPr>
        <w:t>r</w:t>
      </w:r>
      <w:r>
        <w:t>ofe</w:t>
      </w:r>
      <w:r>
        <w:rPr>
          <w:spacing w:val="-2"/>
        </w:rPr>
        <w:t>s</w:t>
      </w:r>
      <w:r>
        <w:rPr>
          <w:spacing w:val="1"/>
        </w:rPr>
        <w:t>i</w:t>
      </w:r>
      <w:r>
        <w:t>o</w:t>
      </w:r>
      <w:r>
        <w:rPr>
          <w:spacing w:val="-3"/>
        </w:rPr>
        <w:t>n</w:t>
      </w:r>
      <w:r>
        <w:rPr>
          <w:spacing w:val="1"/>
        </w:rPr>
        <w:t>i</w:t>
      </w:r>
      <w:r>
        <w:rPr>
          <w:spacing w:val="-2"/>
        </w:rPr>
        <w:t>s</w:t>
      </w:r>
      <w:r>
        <w:t>t</w:t>
      </w:r>
      <w:r>
        <w:rPr>
          <w:spacing w:val="1"/>
        </w:rPr>
        <w:t xml:space="preserve"> </w:t>
      </w:r>
      <w:r>
        <w:t>d</w:t>
      </w:r>
      <w:r>
        <w:rPr>
          <w:spacing w:val="1"/>
        </w:rPr>
        <w:t>i</w:t>
      </w:r>
      <w:r>
        <w:t>n do</w:t>
      </w:r>
      <w:r>
        <w:rPr>
          <w:spacing w:val="-4"/>
        </w:rPr>
        <w:t>m</w:t>
      </w:r>
      <w:r>
        <w:t>en</w:t>
      </w:r>
      <w:r>
        <w:rPr>
          <w:spacing w:val="1"/>
        </w:rPr>
        <w:t>i</w:t>
      </w:r>
      <w:r>
        <w:t>ul</w:t>
      </w:r>
      <w:r>
        <w:rPr>
          <w:spacing w:val="1"/>
        </w:rPr>
        <w:t xml:space="preserve"> </w:t>
      </w:r>
      <w:r>
        <w:t>s</w:t>
      </w:r>
      <w:r>
        <w:rPr>
          <w:spacing w:val="-3"/>
        </w:rPr>
        <w:t>ă</w:t>
      </w:r>
      <w:r>
        <w:t>nă</w:t>
      </w:r>
      <w:r>
        <w:rPr>
          <w:spacing w:val="-2"/>
        </w:rPr>
        <w:t>t</w:t>
      </w:r>
      <w:r>
        <w:t>ă</w:t>
      </w:r>
      <w:r>
        <w:rPr>
          <w:spacing w:val="-2"/>
        </w:rPr>
        <w:t>ţ</w:t>
      </w:r>
      <w:r>
        <w:rPr>
          <w:spacing w:val="1"/>
        </w:rPr>
        <w:t>i</w:t>
      </w:r>
      <w:r>
        <w:t>i</w:t>
      </w:r>
      <w:r>
        <w:rPr>
          <w:spacing w:val="-2"/>
        </w:rPr>
        <w:t xml:space="preserve"> </w:t>
      </w:r>
      <w:r>
        <w:t xml:space="preserve">că </w:t>
      </w:r>
      <w:r>
        <w:rPr>
          <w:spacing w:val="-3"/>
        </w:rPr>
        <w:t>a</w:t>
      </w:r>
      <w:r>
        <w:rPr>
          <w:spacing w:val="1"/>
        </w:rPr>
        <w:t>ţ</w:t>
      </w:r>
      <w:r>
        <w:t>i</w:t>
      </w:r>
      <w:r>
        <w:rPr>
          <w:spacing w:val="-2"/>
        </w:rPr>
        <w:t xml:space="preserve"> </w:t>
      </w:r>
      <w:r>
        <w:t>u</w:t>
      </w:r>
      <w:r>
        <w:rPr>
          <w:spacing w:val="-2"/>
        </w:rPr>
        <w:t>ti</w:t>
      </w:r>
      <w:r>
        <w:rPr>
          <w:spacing w:val="1"/>
        </w:rPr>
        <w:t>li</w:t>
      </w:r>
      <w:r>
        <w:rPr>
          <w:spacing w:val="-3"/>
        </w:rPr>
        <w:t>z</w:t>
      </w:r>
      <w:r>
        <w:t>at</w:t>
      </w:r>
      <w:r>
        <w:rPr>
          <w:spacing w:val="1"/>
        </w:rPr>
        <w:t xml:space="preserve"> </w:t>
      </w:r>
      <w:r>
        <w:rPr>
          <w:spacing w:val="-1"/>
          <w:szCs w:val="22"/>
          <w:lang w:eastAsia="en-US" w:bidi="ar-SA"/>
        </w:rPr>
        <w:t>AMGEVITA</w:t>
      </w:r>
      <w:r>
        <w:rPr>
          <w:spacing w:val="-2"/>
        </w:rPr>
        <w:t xml:space="preserve"> </w:t>
      </w:r>
      <w:r>
        <w:rPr>
          <w:spacing w:val="1"/>
        </w:rPr>
        <w:t>î</w:t>
      </w:r>
      <w:r>
        <w:t>n</w:t>
      </w:r>
      <w:r>
        <w:rPr>
          <w:spacing w:val="-3"/>
        </w:rPr>
        <w:t xml:space="preserve"> </w:t>
      </w:r>
      <w:r>
        <w:rPr>
          <w:spacing w:val="1"/>
        </w:rPr>
        <w:t>ti</w:t>
      </w:r>
      <w:r>
        <w:rPr>
          <w:spacing w:val="-4"/>
        </w:rPr>
        <w:t>m</w:t>
      </w:r>
      <w:r>
        <w:t>pul</w:t>
      </w:r>
      <w:r>
        <w:rPr>
          <w:spacing w:val="1"/>
        </w:rPr>
        <w:t xml:space="preserve"> </w:t>
      </w:r>
      <w:r>
        <w:t>s</w:t>
      </w:r>
      <w:r>
        <w:rPr>
          <w:spacing w:val="-3"/>
        </w:rPr>
        <w:t>a</w:t>
      </w:r>
      <w:r>
        <w:t>r</w:t>
      </w:r>
      <w:r>
        <w:rPr>
          <w:spacing w:val="-3"/>
        </w:rPr>
        <w:t>c</w:t>
      </w:r>
      <w:r>
        <w:rPr>
          <w:spacing w:val="-2"/>
        </w:rPr>
        <w:t>i</w:t>
      </w:r>
      <w:r>
        <w:t>n</w:t>
      </w:r>
      <w:r>
        <w:rPr>
          <w:spacing w:val="1"/>
        </w:rPr>
        <w:t>ii</w:t>
      </w:r>
      <w:r>
        <w:t>,</w:t>
      </w:r>
      <w:r>
        <w:rPr>
          <w:spacing w:val="-3"/>
        </w:rPr>
        <w:t xml:space="preserve"> </w:t>
      </w:r>
      <w:r>
        <w:t>a</w:t>
      </w:r>
      <w:r>
        <w:rPr>
          <w:spacing w:val="-2"/>
        </w:rPr>
        <w:t>s</w:t>
      </w:r>
      <w:r>
        <w:rPr>
          <w:spacing w:val="1"/>
        </w:rPr>
        <w:t>t</w:t>
      </w:r>
      <w:r>
        <w:t>f</w:t>
      </w:r>
      <w:r>
        <w:rPr>
          <w:spacing w:val="-3"/>
        </w:rPr>
        <w:t>e</w:t>
      </w:r>
      <w:r>
        <w:t>l</w:t>
      </w:r>
      <w:r>
        <w:rPr>
          <w:spacing w:val="1"/>
        </w:rPr>
        <w:t xml:space="preserve"> </w:t>
      </w:r>
      <w:r>
        <w:rPr>
          <w:spacing w:val="-3"/>
        </w:rPr>
        <w:t>e</w:t>
      </w:r>
      <w:r>
        <w:t>i</w:t>
      </w:r>
      <w:r>
        <w:rPr>
          <w:spacing w:val="1"/>
        </w:rPr>
        <w:t xml:space="preserve"> </w:t>
      </w:r>
      <w:r>
        <w:t>p</w:t>
      </w:r>
      <w:r>
        <w:rPr>
          <w:spacing w:val="-3"/>
        </w:rPr>
        <w:t>o</w:t>
      </w:r>
      <w:r>
        <w:t>t</w:t>
      </w:r>
      <w:r>
        <w:rPr>
          <w:spacing w:val="1"/>
        </w:rPr>
        <w:t xml:space="preserve"> </w:t>
      </w:r>
      <w:r>
        <w:t>d</w:t>
      </w:r>
      <w:r>
        <w:rPr>
          <w:spacing w:val="-2"/>
        </w:rPr>
        <w:t>e</w:t>
      </w:r>
      <w:r>
        <w:t>c</w:t>
      </w:r>
      <w:r>
        <w:rPr>
          <w:spacing w:val="1"/>
        </w:rPr>
        <w:t>i</w:t>
      </w:r>
      <w:r>
        <w:rPr>
          <w:spacing w:val="-4"/>
        </w:rPr>
        <w:t>d</w:t>
      </w:r>
      <w:r>
        <w:t>e câ</w:t>
      </w:r>
      <w:r>
        <w:rPr>
          <w:spacing w:val="-3"/>
        </w:rPr>
        <w:t>n</w:t>
      </w:r>
      <w:r>
        <w:t>d ar</w:t>
      </w:r>
      <w:r>
        <w:rPr>
          <w:spacing w:val="-2"/>
        </w:rPr>
        <w:t xml:space="preserve"> </w:t>
      </w:r>
      <w:r>
        <w:rPr>
          <w:spacing w:val="1"/>
        </w:rPr>
        <w:t>t</w:t>
      </w:r>
      <w:r>
        <w:t>r</w:t>
      </w:r>
      <w:r>
        <w:rPr>
          <w:spacing w:val="-3"/>
        </w:rPr>
        <w:t>e</w:t>
      </w:r>
      <w:r>
        <w:t>bui</w:t>
      </w:r>
      <w:r>
        <w:rPr>
          <w:spacing w:val="-2"/>
        </w:rPr>
        <w:t xml:space="preserve"> </w:t>
      </w:r>
      <w:r>
        <w:t>să pr</w:t>
      </w:r>
      <w:r>
        <w:rPr>
          <w:spacing w:val="1"/>
        </w:rPr>
        <w:t>i</w:t>
      </w:r>
      <w:r>
        <w:rPr>
          <w:spacing w:val="-4"/>
        </w:rPr>
        <w:t>m</w:t>
      </w:r>
      <w:r>
        <w:t>ească</w:t>
      </w:r>
      <w:r>
        <w:rPr>
          <w:spacing w:val="-3"/>
        </w:rPr>
        <w:t xml:space="preserve"> </w:t>
      </w:r>
      <w:r>
        <w:t>co</w:t>
      </w:r>
      <w:r>
        <w:rPr>
          <w:spacing w:val="-3"/>
        </w:rPr>
        <w:t>p</w:t>
      </w:r>
      <w:r>
        <w:rPr>
          <w:spacing w:val="1"/>
        </w:rPr>
        <w:t>il</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u</w:t>
      </w:r>
      <w:r>
        <w:t xml:space="preserve">n </w:t>
      </w:r>
      <w:r>
        <w:rPr>
          <w:spacing w:val="-3"/>
        </w:rPr>
        <w:t>v</w:t>
      </w:r>
      <w:r>
        <w:t>acc</w:t>
      </w:r>
      <w:r>
        <w:rPr>
          <w:spacing w:val="1"/>
        </w:rPr>
        <w:t>i</w:t>
      </w:r>
      <w:r>
        <w:t>n.</w:t>
      </w:r>
    </w:p>
    <w:p w14:paraId="1FCA9D75" w14:textId="77777777" w:rsidR="00C04CAD" w:rsidRDefault="00C04CAD">
      <w:pPr>
        <w:tabs>
          <w:tab w:val="clear" w:pos="567"/>
        </w:tabs>
        <w:kinsoku w:val="0"/>
        <w:overflowPunct w:val="0"/>
        <w:autoSpaceDE w:val="0"/>
        <w:autoSpaceDN w:val="0"/>
        <w:adjustRightInd w:val="0"/>
        <w:spacing w:line="240" w:lineRule="auto"/>
      </w:pPr>
    </w:p>
    <w:p w14:paraId="3B07565D" w14:textId="77777777" w:rsidR="00C04CAD" w:rsidRDefault="00060E34">
      <w:pPr>
        <w:tabs>
          <w:tab w:val="clear" w:pos="567"/>
        </w:tabs>
        <w:kinsoku w:val="0"/>
        <w:overflowPunct w:val="0"/>
        <w:autoSpaceDE w:val="0"/>
        <w:autoSpaceDN w:val="0"/>
        <w:adjustRightInd w:val="0"/>
        <w:spacing w:line="240" w:lineRule="auto"/>
      </w:pPr>
      <w:r>
        <w:t>Insuficiență cardiacă</w:t>
      </w:r>
    </w:p>
    <w:p w14:paraId="238904DB" w14:textId="77777777" w:rsidR="00C04CAD" w:rsidRDefault="00C04CAD">
      <w:pPr>
        <w:tabs>
          <w:tab w:val="clear" w:pos="567"/>
        </w:tabs>
        <w:kinsoku w:val="0"/>
        <w:overflowPunct w:val="0"/>
        <w:autoSpaceDE w:val="0"/>
        <w:autoSpaceDN w:val="0"/>
        <w:adjustRightInd w:val="0"/>
        <w:spacing w:line="240" w:lineRule="auto"/>
      </w:pPr>
    </w:p>
    <w:p w14:paraId="5A8BFB95"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t>acă a</w:t>
      </w:r>
      <w:r>
        <w:rPr>
          <w:spacing w:val="-3"/>
        </w:rPr>
        <w:t>v</w:t>
      </w:r>
      <w:r>
        <w:t>e</w:t>
      </w:r>
      <w:r>
        <w:rPr>
          <w:spacing w:val="-2"/>
        </w:rPr>
        <w:t>ţ</w:t>
      </w:r>
      <w:r>
        <w:t>i</w:t>
      </w:r>
      <w:r>
        <w:rPr>
          <w:spacing w:val="1"/>
        </w:rPr>
        <w:t xml:space="preserve"> i</w:t>
      </w:r>
      <w:r>
        <w:rPr>
          <w:spacing w:val="-3"/>
        </w:rPr>
        <w:t>n</w:t>
      </w:r>
      <w:r>
        <w:t>su</w:t>
      </w:r>
      <w:r>
        <w:rPr>
          <w:spacing w:val="-2"/>
        </w:rPr>
        <w:t>f</w:t>
      </w:r>
      <w:r>
        <w:rPr>
          <w:spacing w:val="1"/>
        </w:rPr>
        <w:t>i</w:t>
      </w:r>
      <w:r>
        <w:rPr>
          <w:spacing w:val="-3"/>
        </w:rPr>
        <w:t>c</w:t>
      </w:r>
      <w:r>
        <w:rPr>
          <w:spacing w:val="1"/>
        </w:rPr>
        <w:t>i</w:t>
      </w:r>
      <w:r>
        <w:t>e</w:t>
      </w:r>
      <w:r>
        <w:rPr>
          <w:spacing w:val="-3"/>
        </w:rPr>
        <w:t>n</w:t>
      </w:r>
      <w:r>
        <w:rPr>
          <w:spacing w:val="1"/>
        </w:rPr>
        <w:t>ţ</w:t>
      </w:r>
      <w:r>
        <w:t xml:space="preserve">ă </w:t>
      </w:r>
      <w:r>
        <w:rPr>
          <w:spacing w:val="-3"/>
        </w:rPr>
        <w:t>c</w:t>
      </w:r>
      <w:r>
        <w:t>ar</w:t>
      </w:r>
      <w:r>
        <w:rPr>
          <w:spacing w:val="-3"/>
        </w:rPr>
        <w:t>d</w:t>
      </w:r>
      <w:r>
        <w:rPr>
          <w:spacing w:val="1"/>
        </w:rPr>
        <w:t>i</w:t>
      </w:r>
      <w:r>
        <w:t>acă</w:t>
      </w:r>
      <w:r>
        <w:rPr>
          <w:spacing w:val="-2"/>
        </w:rPr>
        <w:t xml:space="preserve"> </w:t>
      </w:r>
      <w:r>
        <w:t>uş</w:t>
      </w:r>
      <w:r>
        <w:rPr>
          <w:spacing w:val="-3"/>
        </w:rPr>
        <w:t>o</w:t>
      </w:r>
      <w:r>
        <w:t>ară</w:t>
      </w:r>
      <w:r>
        <w:rPr>
          <w:spacing w:val="-2"/>
        </w:rPr>
        <w:t xml:space="preserve"> </w:t>
      </w:r>
      <w:r>
        <w:t>şi</w:t>
      </w:r>
      <w:r>
        <w:rPr>
          <w:spacing w:val="-2"/>
        </w:rPr>
        <w:t xml:space="preserve"> </w:t>
      </w:r>
      <w:r>
        <w:t>sun</w:t>
      </w:r>
      <w:r>
        <w:rPr>
          <w:spacing w:val="-2"/>
        </w:rPr>
        <w:t>t</w:t>
      </w:r>
      <w:r>
        <w:t>e</w:t>
      </w:r>
      <w:r>
        <w:rPr>
          <w:spacing w:val="-2"/>
        </w:rPr>
        <w:t>ţ</w:t>
      </w:r>
      <w:r>
        <w:t>i</w:t>
      </w:r>
      <w:r>
        <w:rPr>
          <w:spacing w:val="1"/>
        </w:rPr>
        <w:t xml:space="preserve"> </w:t>
      </w:r>
      <w:r>
        <w:rPr>
          <w:spacing w:val="-2"/>
        </w:rPr>
        <w:t>t</w:t>
      </w:r>
      <w:r>
        <w:t>r</w:t>
      </w:r>
      <w:r>
        <w:rPr>
          <w:spacing w:val="-3"/>
        </w:rPr>
        <w:t>a</w:t>
      </w:r>
      <w:r>
        <w:rPr>
          <w:spacing w:val="1"/>
        </w:rPr>
        <w:t>t</w:t>
      </w:r>
      <w:r>
        <w:rPr>
          <w:spacing w:val="-3"/>
        </w:rPr>
        <w:t>a</w:t>
      </w:r>
      <w:r>
        <w:t>t</w:t>
      </w:r>
      <w:r>
        <w:rPr>
          <w:spacing w:val="-2"/>
        </w:rPr>
        <w:t xml:space="preserve"> </w:t>
      </w:r>
      <w:r>
        <w:t xml:space="preserve">cu </w:t>
      </w:r>
      <w:r>
        <w:rPr>
          <w:spacing w:val="-1"/>
          <w:szCs w:val="22"/>
          <w:lang w:eastAsia="en-US" w:bidi="ar-SA"/>
        </w:rPr>
        <w:t>AMGEVITA</w:t>
      </w:r>
      <w:r>
        <w:t>, e</w:t>
      </w:r>
      <w:r>
        <w:rPr>
          <w:spacing w:val="-3"/>
        </w:rPr>
        <w:t>v</w:t>
      </w:r>
      <w:r>
        <w:t>o</w:t>
      </w:r>
      <w:r>
        <w:rPr>
          <w:spacing w:val="1"/>
        </w:rPr>
        <w:t>l</w:t>
      </w:r>
      <w:r>
        <w:rPr>
          <w:spacing w:val="-3"/>
        </w:rPr>
        <w:t>u</w:t>
      </w:r>
      <w:r>
        <w:rPr>
          <w:spacing w:val="1"/>
        </w:rPr>
        <w:t>ţi</w:t>
      </w:r>
      <w:r>
        <w:t>a</w:t>
      </w:r>
      <w:r>
        <w:rPr>
          <w:spacing w:val="-2"/>
        </w:rPr>
        <w:t xml:space="preserve"> </w:t>
      </w:r>
      <w:r>
        <w:rPr>
          <w:spacing w:val="1"/>
        </w:rPr>
        <w:t>i</w:t>
      </w:r>
      <w:r>
        <w:t>n</w:t>
      </w:r>
      <w:r>
        <w:rPr>
          <w:spacing w:val="-2"/>
        </w:rPr>
        <w:t>s</w:t>
      </w:r>
      <w:r>
        <w:t>u</w:t>
      </w:r>
      <w:r>
        <w:rPr>
          <w:spacing w:val="-2"/>
        </w:rPr>
        <w:t>f</w:t>
      </w:r>
      <w:r>
        <w:rPr>
          <w:spacing w:val="1"/>
        </w:rPr>
        <w:t>i</w:t>
      </w:r>
      <w:r>
        <w:rPr>
          <w:spacing w:val="-3"/>
        </w:rPr>
        <w:t>c</w:t>
      </w:r>
      <w:r>
        <w:rPr>
          <w:spacing w:val="1"/>
        </w:rPr>
        <w:t>i</w:t>
      </w:r>
      <w:r>
        <w:t>e</w:t>
      </w:r>
      <w:r>
        <w:rPr>
          <w:spacing w:val="-3"/>
        </w:rPr>
        <w:t>n</w:t>
      </w:r>
      <w:r>
        <w:rPr>
          <w:spacing w:val="1"/>
        </w:rPr>
        <w:t>ţ</w:t>
      </w:r>
      <w:r>
        <w:t>ei car</w:t>
      </w:r>
      <w:r>
        <w:rPr>
          <w:spacing w:val="-3"/>
        </w:rPr>
        <w:t>d</w:t>
      </w:r>
      <w:r>
        <w:rPr>
          <w:spacing w:val="1"/>
        </w:rPr>
        <w:t>i</w:t>
      </w:r>
      <w:r>
        <w:t>a</w:t>
      </w:r>
      <w:r>
        <w:rPr>
          <w:spacing w:val="-3"/>
        </w:rPr>
        <w:t>c</w:t>
      </w:r>
      <w:r>
        <w:t xml:space="preserve">e </w:t>
      </w:r>
      <w:r>
        <w:rPr>
          <w:spacing w:val="-2"/>
        </w:rPr>
        <w:t>t</w:t>
      </w:r>
      <w:r>
        <w:t>reb</w:t>
      </w:r>
      <w:r>
        <w:rPr>
          <w:spacing w:val="-3"/>
        </w:rPr>
        <w:t>u</w:t>
      </w:r>
      <w:r>
        <w:rPr>
          <w:spacing w:val="1"/>
        </w:rPr>
        <w:t>i</w:t>
      </w:r>
      <w:r>
        <w:t xml:space="preserve">e </w:t>
      </w:r>
      <w:r>
        <w:rPr>
          <w:spacing w:val="-4"/>
        </w:rPr>
        <w:t>m</w:t>
      </w:r>
      <w:r>
        <w:t>on</w:t>
      </w:r>
      <w:r>
        <w:rPr>
          <w:spacing w:val="1"/>
        </w:rPr>
        <w:t>i</w:t>
      </w:r>
      <w:r>
        <w:rPr>
          <w:spacing w:val="-2"/>
        </w:rPr>
        <w:t>t</w:t>
      </w:r>
      <w:r>
        <w:t>o</w:t>
      </w:r>
      <w:r>
        <w:rPr>
          <w:spacing w:val="-2"/>
        </w:rPr>
        <w:t>r</w:t>
      </w:r>
      <w:r>
        <w:rPr>
          <w:spacing w:val="1"/>
        </w:rPr>
        <w:t>i</w:t>
      </w:r>
      <w:r>
        <w:rPr>
          <w:spacing w:val="-3"/>
        </w:rPr>
        <w:t>z</w:t>
      </w:r>
      <w:r>
        <w:t>a</w:t>
      </w:r>
      <w:r>
        <w:rPr>
          <w:spacing w:val="1"/>
        </w:rPr>
        <w:t>t</w:t>
      </w:r>
      <w:r>
        <w:t xml:space="preserve">ă </w:t>
      </w:r>
      <w:r>
        <w:rPr>
          <w:spacing w:val="-2"/>
        </w:rPr>
        <w:t>î</w:t>
      </w:r>
      <w:r>
        <w:t>nde</w:t>
      </w:r>
      <w:r>
        <w:rPr>
          <w:spacing w:val="-3"/>
        </w:rPr>
        <w:t>a</w:t>
      </w:r>
      <w:r>
        <w:t>pr</w:t>
      </w:r>
      <w:r>
        <w:rPr>
          <w:spacing w:val="-3"/>
        </w:rPr>
        <w:t>o</w:t>
      </w:r>
      <w:r>
        <w:t xml:space="preserve">ape </w:t>
      </w:r>
      <w:r>
        <w:rPr>
          <w:spacing w:val="-3"/>
        </w:rPr>
        <w:t>d</w:t>
      </w:r>
      <w:r>
        <w:t>e c</w:t>
      </w:r>
      <w:r>
        <w:rPr>
          <w:spacing w:val="-3"/>
        </w:rPr>
        <w:t>ă</w:t>
      </w:r>
      <w:r>
        <w:rPr>
          <w:spacing w:val="1"/>
        </w:rPr>
        <w:t>t</w:t>
      </w:r>
      <w:r>
        <w:rPr>
          <w:spacing w:val="-2"/>
        </w:rPr>
        <w:t>r</w:t>
      </w:r>
      <w:r>
        <w:t xml:space="preserve">e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1"/>
        </w:rPr>
        <w:t>E</w:t>
      </w:r>
      <w:r>
        <w:rPr>
          <w:spacing w:val="-2"/>
        </w:rPr>
        <w:t>s</w:t>
      </w:r>
      <w:r>
        <w:rPr>
          <w:spacing w:val="1"/>
        </w:rPr>
        <w:t>t</w:t>
      </w:r>
      <w:r>
        <w:t>e</w:t>
      </w:r>
      <w:r>
        <w:rPr>
          <w:spacing w:val="-2"/>
        </w:rPr>
        <w:t xml:space="preserve"> i</w:t>
      </w:r>
      <w:r>
        <w:rPr>
          <w:spacing w:val="-4"/>
        </w:rPr>
        <w:t>m</w:t>
      </w:r>
      <w:r>
        <w:t>por</w:t>
      </w:r>
      <w:r>
        <w:rPr>
          <w:spacing w:val="1"/>
        </w:rPr>
        <w:t>t</w:t>
      </w:r>
      <w:r>
        <w:t>ant</w:t>
      </w:r>
      <w:r>
        <w:rPr>
          <w:spacing w:val="1"/>
        </w:rPr>
        <w:t xml:space="preserve"> </w:t>
      </w:r>
      <w:r>
        <w:rPr>
          <w:spacing w:val="-2"/>
        </w:rPr>
        <w:t>s</w:t>
      </w:r>
      <w:r>
        <w:t>ă</w:t>
      </w:r>
      <w:r>
        <w:rPr>
          <w:spacing w:val="-4"/>
        </w:rPr>
        <w:t>-</w:t>
      </w:r>
      <w:r>
        <w:t>i co</w:t>
      </w:r>
      <w:r>
        <w:rPr>
          <w:spacing w:val="-4"/>
        </w:rPr>
        <w:t>m</w:t>
      </w:r>
      <w:r>
        <w:t>un</w:t>
      </w:r>
      <w:r>
        <w:rPr>
          <w:spacing w:val="1"/>
        </w:rPr>
        <w:t>i</w:t>
      </w:r>
      <w:r>
        <w:t>ca</w:t>
      </w:r>
      <w:r>
        <w:rPr>
          <w:spacing w:val="-2"/>
        </w:rPr>
        <w:t>ţ</w:t>
      </w:r>
      <w:r>
        <w:t>i</w:t>
      </w:r>
      <w:r>
        <w:rPr>
          <w:spacing w:val="1"/>
        </w:rPr>
        <w:t xml:space="preserve"> </w:t>
      </w:r>
      <w:r>
        <w:rPr>
          <w:spacing w:val="-4"/>
        </w:rPr>
        <w:t>m</w:t>
      </w:r>
      <w:r>
        <w:t>ed</w:t>
      </w:r>
      <w:r>
        <w:rPr>
          <w:spacing w:val="1"/>
        </w:rPr>
        <w:t>i</w:t>
      </w:r>
      <w:r>
        <w:t>cu</w:t>
      </w:r>
      <w:r>
        <w:rPr>
          <w:spacing w:val="-2"/>
        </w:rPr>
        <w:t>l</w:t>
      </w:r>
      <w:r>
        <w:t>ui</w:t>
      </w:r>
      <w:r>
        <w:rPr>
          <w:spacing w:val="1"/>
        </w:rPr>
        <w:t xml:space="preserve"> </w:t>
      </w:r>
      <w:r>
        <w:rPr>
          <w:spacing w:val="-3"/>
        </w:rPr>
        <w:t>d</w:t>
      </w:r>
      <w:r>
        <w:t>acă</w:t>
      </w:r>
      <w:r>
        <w:rPr>
          <w:spacing w:val="-2"/>
        </w:rPr>
        <w:t xml:space="preserve"> </w:t>
      </w:r>
      <w:r>
        <w:t>a</w:t>
      </w:r>
      <w:r>
        <w:rPr>
          <w:spacing w:val="1"/>
        </w:rPr>
        <w:t>ţ</w:t>
      </w:r>
      <w:r>
        <w:t>i</w:t>
      </w:r>
      <w:r>
        <w:rPr>
          <w:spacing w:val="-2"/>
        </w:rPr>
        <w:t xml:space="preserve"> </w:t>
      </w:r>
      <w:r>
        <w:t>avut</w:t>
      </w:r>
      <w:r>
        <w:rPr>
          <w:spacing w:val="-2"/>
        </w:rPr>
        <w:t xml:space="preserve"> </w:t>
      </w:r>
      <w:r>
        <w:t>sau</w:t>
      </w:r>
      <w:r>
        <w:rPr>
          <w:spacing w:val="-3"/>
        </w:rPr>
        <w:t xml:space="preserve"> </w:t>
      </w:r>
      <w:r>
        <w:rPr>
          <w:spacing w:val="-2"/>
        </w:rPr>
        <w:t>aveţ</w:t>
      </w:r>
      <w:r>
        <w:t>i</w:t>
      </w:r>
      <w:r>
        <w:rPr>
          <w:spacing w:val="1"/>
        </w:rPr>
        <w:t xml:space="preserve"> </w:t>
      </w:r>
      <w:r>
        <w:t>o</w:t>
      </w:r>
      <w:r>
        <w:rPr>
          <w:spacing w:val="-3"/>
        </w:rPr>
        <w:t xml:space="preserve"> a</w:t>
      </w:r>
      <w:r>
        <w:t>fe</w:t>
      </w:r>
      <w:r>
        <w:rPr>
          <w:spacing w:val="-3"/>
        </w:rPr>
        <w:t>c</w:t>
      </w:r>
      <w:r>
        <w:rPr>
          <w:spacing w:val="1"/>
        </w:rPr>
        <w:t>ţi</w:t>
      </w:r>
      <w:r>
        <w:t>u</w:t>
      </w:r>
      <w:r>
        <w:rPr>
          <w:spacing w:val="-3"/>
        </w:rPr>
        <w:t>n</w:t>
      </w:r>
      <w:r>
        <w:t>e c</w:t>
      </w:r>
      <w:r>
        <w:rPr>
          <w:spacing w:val="-3"/>
        </w:rPr>
        <w:t>a</w:t>
      </w:r>
      <w:r>
        <w:t>r</w:t>
      </w:r>
      <w:r>
        <w:rPr>
          <w:spacing w:val="-3"/>
        </w:rPr>
        <w:t>d</w:t>
      </w:r>
      <w:r>
        <w:rPr>
          <w:spacing w:val="1"/>
        </w:rPr>
        <w:t>i</w:t>
      </w:r>
      <w:r>
        <w:t>a</w:t>
      </w:r>
      <w:r>
        <w:rPr>
          <w:spacing w:val="-3"/>
        </w:rPr>
        <w:t>c</w:t>
      </w:r>
      <w:r>
        <w:t xml:space="preserve">ă </w:t>
      </w:r>
      <w:r>
        <w:rPr>
          <w:spacing w:val="-3"/>
        </w:rPr>
        <w:t>g</w:t>
      </w:r>
      <w:r>
        <w:t>ra</w:t>
      </w:r>
      <w:r>
        <w:rPr>
          <w:spacing w:val="-3"/>
        </w:rPr>
        <w:t>v</w:t>
      </w:r>
      <w:r>
        <w:t xml:space="preserve">ă. </w:t>
      </w:r>
      <w:r>
        <w:rPr>
          <w:spacing w:val="-1"/>
        </w:rPr>
        <w:t>D</w:t>
      </w:r>
      <w:r>
        <w:t>acă p</w:t>
      </w:r>
      <w:r>
        <w:rPr>
          <w:spacing w:val="-2"/>
        </w:rPr>
        <w:t>r</w:t>
      </w:r>
      <w:r>
        <w:t>e</w:t>
      </w:r>
      <w:r>
        <w:rPr>
          <w:spacing w:val="-3"/>
        </w:rPr>
        <w:t>z</w:t>
      </w:r>
      <w:r>
        <w:t>en</w:t>
      </w:r>
      <w:r>
        <w:rPr>
          <w:spacing w:val="1"/>
        </w:rPr>
        <w:t>t</w:t>
      </w:r>
      <w:r>
        <w:rPr>
          <w:spacing w:val="-3"/>
        </w:rPr>
        <w:t>a</w:t>
      </w:r>
      <w:r>
        <w:rPr>
          <w:spacing w:val="1"/>
        </w:rPr>
        <w:t>ţ</w:t>
      </w:r>
      <w:r>
        <w:t>i s</w:t>
      </w:r>
      <w:r>
        <w:rPr>
          <w:spacing w:val="1"/>
        </w:rPr>
        <w:t>i</w:t>
      </w:r>
      <w:r>
        <w:rPr>
          <w:spacing w:val="-4"/>
        </w:rPr>
        <w:t>m</w:t>
      </w:r>
      <w:r>
        <w:t>p</w:t>
      </w:r>
      <w:r>
        <w:rPr>
          <w:spacing w:val="1"/>
        </w:rPr>
        <w:t>t</w:t>
      </w:r>
      <w:r>
        <w:t>o</w:t>
      </w:r>
      <w:r>
        <w:rPr>
          <w:spacing w:val="-4"/>
        </w:rPr>
        <w:t>m</w:t>
      </w:r>
      <w:r>
        <w:t>e noi</w:t>
      </w:r>
      <w:r>
        <w:rPr>
          <w:spacing w:val="1"/>
        </w:rPr>
        <w:t xml:space="preserve"> </w:t>
      </w:r>
      <w:r>
        <w:t>sau</w:t>
      </w:r>
      <w:r>
        <w:rPr>
          <w:spacing w:val="-3"/>
        </w:rPr>
        <w:t xml:space="preserve"> </w:t>
      </w:r>
      <w:r>
        <w:t>a</w:t>
      </w:r>
      <w:r>
        <w:rPr>
          <w:spacing w:val="-3"/>
        </w:rPr>
        <w:t>g</w:t>
      </w:r>
      <w:r>
        <w:t>ra</w:t>
      </w:r>
      <w:r>
        <w:rPr>
          <w:spacing w:val="-3"/>
        </w:rPr>
        <w:t>v</w:t>
      </w:r>
      <w:r>
        <w:t>an</w:t>
      </w:r>
      <w:r>
        <w:rPr>
          <w:spacing w:val="-2"/>
        </w:rPr>
        <w:t>t</w:t>
      </w:r>
      <w:r>
        <w:t xml:space="preserve">e de </w:t>
      </w:r>
      <w:r>
        <w:rPr>
          <w:spacing w:val="-2"/>
        </w:rPr>
        <w:t>i</w:t>
      </w:r>
      <w:r>
        <w:t>ns</w:t>
      </w:r>
      <w:r>
        <w:rPr>
          <w:spacing w:val="-3"/>
        </w:rPr>
        <w:t>u</w:t>
      </w:r>
      <w:r>
        <w:t>f</w:t>
      </w:r>
      <w:r>
        <w:rPr>
          <w:spacing w:val="1"/>
        </w:rPr>
        <w:t>i</w:t>
      </w:r>
      <w:r>
        <w:rPr>
          <w:spacing w:val="-3"/>
        </w:rPr>
        <w:t>c</w:t>
      </w:r>
      <w:r>
        <w:rPr>
          <w:spacing w:val="1"/>
        </w:rPr>
        <w:t>i</w:t>
      </w:r>
      <w:r>
        <w:t>e</w:t>
      </w:r>
      <w:r>
        <w:rPr>
          <w:spacing w:val="-3"/>
        </w:rPr>
        <w:t>n</w:t>
      </w:r>
      <w:r>
        <w:rPr>
          <w:spacing w:val="1"/>
        </w:rPr>
        <w:t>ţ</w:t>
      </w:r>
      <w:r>
        <w:t>ă</w:t>
      </w:r>
      <w:r>
        <w:rPr>
          <w:spacing w:val="-2"/>
        </w:rPr>
        <w:t xml:space="preserve"> </w:t>
      </w:r>
      <w:r>
        <w:t>ca</w:t>
      </w:r>
      <w:r>
        <w:rPr>
          <w:spacing w:val="-2"/>
        </w:rPr>
        <w:t>r</w:t>
      </w:r>
      <w:r>
        <w:t>d</w:t>
      </w:r>
      <w:r>
        <w:rPr>
          <w:spacing w:val="1"/>
        </w:rPr>
        <w:t>i</w:t>
      </w:r>
      <w:r>
        <w:rPr>
          <w:spacing w:val="-3"/>
        </w:rPr>
        <w:t>a</w:t>
      </w:r>
      <w:r>
        <w:t>că</w:t>
      </w:r>
      <w:r>
        <w:rPr>
          <w:spacing w:val="-2"/>
        </w:rPr>
        <w:t xml:space="preserve"> (</w:t>
      </w:r>
      <w:r>
        <w:t>de exe</w:t>
      </w:r>
      <w:r>
        <w:rPr>
          <w:spacing w:val="-4"/>
        </w:rPr>
        <w:t>m</w:t>
      </w:r>
      <w:r>
        <w:t>p</w:t>
      </w:r>
      <w:r>
        <w:rPr>
          <w:spacing w:val="1"/>
        </w:rPr>
        <w:t>l</w:t>
      </w:r>
      <w:r>
        <w:t xml:space="preserve">u </w:t>
      </w:r>
      <w:r>
        <w:rPr>
          <w:spacing w:val="-3"/>
        </w:rPr>
        <w:t>d</w:t>
      </w:r>
      <w:r>
        <w:rPr>
          <w:spacing w:val="1"/>
        </w:rPr>
        <w:t>i</w:t>
      </w:r>
      <w:r>
        <w:rPr>
          <w:spacing w:val="-2"/>
        </w:rPr>
        <w:t>f</w:t>
      </w:r>
      <w:r>
        <w:rPr>
          <w:spacing w:val="1"/>
        </w:rPr>
        <w:t>i</w:t>
      </w:r>
      <w:r>
        <w:t>c</w:t>
      </w:r>
      <w:r>
        <w:rPr>
          <w:spacing w:val="-3"/>
        </w:rPr>
        <w:t>u</w:t>
      </w:r>
      <w:r>
        <w:rPr>
          <w:spacing w:val="1"/>
        </w:rPr>
        <w:t>l</w:t>
      </w:r>
      <w:r>
        <w:rPr>
          <w:spacing w:val="-2"/>
        </w:rPr>
        <w:t>t</w:t>
      </w:r>
      <w:r>
        <w:t>ă</w:t>
      </w:r>
      <w:r>
        <w:rPr>
          <w:spacing w:val="-2"/>
        </w:rPr>
        <w:t>ţ</w:t>
      </w:r>
      <w:r>
        <w:t>i</w:t>
      </w:r>
      <w:r>
        <w:rPr>
          <w:spacing w:val="1"/>
        </w:rPr>
        <w:t xml:space="preserve"> î</w:t>
      </w:r>
      <w:r>
        <w:t>n</w:t>
      </w:r>
      <w:r>
        <w:rPr>
          <w:spacing w:val="-3"/>
        </w:rPr>
        <w:t xml:space="preserve"> </w:t>
      </w:r>
      <w:r>
        <w:t>r</w:t>
      </w:r>
      <w:r>
        <w:rPr>
          <w:spacing w:val="-3"/>
        </w:rPr>
        <w:t>e</w:t>
      </w:r>
      <w:r>
        <w:t>sp</w:t>
      </w:r>
      <w:r>
        <w:rPr>
          <w:spacing w:val="1"/>
        </w:rPr>
        <w:t>i</w:t>
      </w:r>
      <w:r>
        <w:rPr>
          <w:spacing w:val="-2"/>
        </w:rPr>
        <w:t>r</w:t>
      </w:r>
      <w:r>
        <w:t>a</w:t>
      </w:r>
      <w:r>
        <w:rPr>
          <w:spacing w:val="-2"/>
        </w:rPr>
        <w:t>ţ</w:t>
      </w:r>
      <w:r>
        <w:rPr>
          <w:spacing w:val="1"/>
        </w:rPr>
        <w:t>i</w:t>
      </w:r>
      <w:r>
        <w:t>e</w:t>
      </w:r>
      <w:r>
        <w:rPr>
          <w:spacing w:val="-2"/>
        </w:rPr>
        <w:t xml:space="preserve"> </w:t>
      </w:r>
      <w:r>
        <w:t>sau u</w:t>
      </w:r>
      <w:r>
        <w:rPr>
          <w:spacing w:val="-4"/>
        </w:rPr>
        <w:t>m</w:t>
      </w:r>
      <w:r>
        <w:t>f</w:t>
      </w:r>
      <w:r>
        <w:rPr>
          <w:spacing w:val="1"/>
        </w:rPr>
        <w:t>l</w:t>
      </w:r>
      <w:r>
        <w:t>area</w:t>
      </w:r>
      <w:r>
        <w:rPr>
          <w:spacing w:val="-2"/>
        </w:rPr>
        <w:t xml:space="preserve"> </w:t>
      </w:r>
      <w:r>
        <w:t>p</w:t>
      </w:r>
      <w:r>
        <w:rPr>
          <w:spacing w:val="1"/>
        </w:rPr>
        <w:t>i</w:t>
      </w:r>
      <w:r>
        <w:rPr>
          <w:spacing w:val="-3"/>
        </w:rPr>
        <w:t>c</w:t>
      </w:r>
      <w:r>
        <w:rPr>
          <w:spacing w:val="1"/>
        </w:rPr>
        <w:t>i</w:t>
      </w:r>
      <w:r>
        <w:t>o</w:t>
      </w:r>
      <w:r>
        <w:rPr>
          <w:spacing w:val="-3"/>
        </w:rPr>
        <w:t>a</w:t>
      </w:r>
      <w:r>
        <w:t>r</w:t>
      </w:r>
      <w:r>
        <w:rPr>
          <w:spacing w:val="-3"/>
        </w:rPr>
        <w:t>e</w:t>
      </w:r>
      <w:r>
        <w:rPr>
          <w:spacing w:val="1"/>
        </w:rPr>
        <w:t>l</w:t>
      </w:r>
      <w:r>
        <w:t>o</w:t>
      </w:r>
      <w:r>
        <w:rPr>
          <w:spacing w:val="-2"/>
        </w:rPr>
        <w:t>r</w:t>
      </w:r>
      <w:r>
        <w:t>), a</w:t>
      </w:r>
      <w:r>
        <w:rPr>
          <w:spacing w:val="-3"/>
        </w:rPr>
        <w:t>d</w:t>
      </w:r>
      <w:r>
        <w:t>r</w:t>
      </w:r>
      <w:r>
        <w:rPr>
          <w:spacing w:val="-3"/>
        </w:rPr>
        <w:t>e</w:t>
      </w:r>
      <w:r>
        <w:rPr>
          <w:spacing w:val="-2"/>
        </w:rPr>
        <w:t>s</w:t>
      </w:r>
      <w:r>
        <w:t>a</w:t>
      </w:r>
      <w:r>
        <w:rPr>
          <w:spacing w:val="1"/>
        </w:rPr>
        <w:t>ţ</w:t>
      </w:r>
      <w:r>
        <w:t>i</w:t>
      </w:r>
      <w:r>
        <w:rPr>
          <w:spacing w:val="-4"/>
        </w:rPr>
        <w:t>-</w:t>
      </w:r>
      <w:r>
        <w:rPr>
          <w:spacing w:val="-3"/>
        </w:rPr>
        <w:t>v</w:t>
      </w:r>
      <w:r>
        <w:t xml:space="preserve">ă </w:t>
      </w:r>
      <w:r>
        <w:rPr>
          <w:spacing w:val="1"/>
        </w:rPr>
        <w:t>i</w:t>
      </w:r>
      <w:r>
        <w:rPr>
          <w:spacing w:val="-4"/>
        </w:rPr>
        <w:t>m</w:t>
      </w:r>
      <w:r>
        <w:t>ed</w:t>
      </w:r>
      <w:r>
        <w:rPr>
          <w:spacing w:val="1"/>
        </w:rPr>
        <w:t>i</w:t>
      </w:r>
      <w:r>
        <w:t>at</w:t>
      </w:r>
      <w:r>
        <w:rPr>
          <w:spacing w:val="1"/>
        </w:rPr>
        <w:t xml:space="preserve"> </w:t>
      </w:r>
      <w:r>
        <w:rPr>
          <w:spacing w:val="-4"/>
        </w:rPr>
        <w:t>m</w:t>
      </w:r>
      <w:r>
        <w:t>ed</w:t>
      </w:r>
      <w:r>
        <w:rPr>
          <w:spacing w:val="1"/>
        </w:rPr>
        <w:t>i</w:t>
      </w:r>
      <w:r>
        <w:t>cu</w:t>
      </w:r>
      <w:r>
        <w:rPr>
          <w:spacing w:val="1"/>
        </w:rPr>
        <w:t>l</w:t>
      </w:r>
      <w:r>
        <w:rPr>
          <w:spacing w:val="-3"/>
        </w:rPr>
        <w:t>u</w:t>
      </w:r>
      <w:r>
        <w:t>i</w:t>
      </w:r>
      <w:r>
        <w:rPr>
          <w:spacing w:val="1"/>
        </w:rPr>
        <w:t xml:space="preserve"> </w:t>
      </w:r>
      <w:r>
        <w:t>d</w:t>
      </w:r>
      <w:r>
        <w:rPr>
          <w:spacing w:val="-3"/>
        </w:rPr>
        <w:t>u</w:t>
      </w:r>
      <w:r>
        <w:rPr>
          <w:spacing w:val="-4"/>
        </w:rPr>
        <w:t>m</w:t>
      </w:r>
      <w:r>
        <w:t>nea</w:t>
      </w:r>
      <w:r>
        <w:rPr>
          <w:spacing w:val="-3"/>
        </w:rPr>
        <w:t>v</w:t>
      </w:r>
      <w:r>
        <w:t>oas</w:t>
      </w:r>
      <w:r>
        <w:rPr>
          <w:spacing w:val="1"/>
        </w:rPr>
        <w:t>t</w:t>
      </w:r>
      <w:r>
        <w:t xml:space="preserve">ră. Medicul dumneavoastră va decide dacă </w:t>
      </w:r>
      <w:r>
        <w:rPr>
          <w:szCs w:val="22"/>
        </w:rPr>
        <w:t xml:space="preserve">puteţi utiliza </w:t>
      </w:r>
      <w:r>
        <w:t>AMGEVITA.</w:t>
      </w:r>
    </w:p>
    <w:p w14:paraId="473F5B8B" w14:textId="77777777" w:rsidR="00C04CAD" w:rsidRDefault="00C04CAD">
      <w:pPr>
        <w:kinsoku w:val="0"/>
        <w:overflowPunct w:val="0"/>
        <w:autoSpaceDE w:val="0"/>
        <w:autoSpaceDN w:val="0"/>
        <w:adjustRightInd w:val="0"/>
        <w:spacing w:line="240" w:lineRule="auto"/>
        <w:ind w:left="567" w:hanging="567"/>
      </w:pPr>
    </w:p>
    <w:p w14:paraId="64A7CA39" w14:textId="77777777" w:rsidR="00C04CAD" w:rsidRDefault="00060E34">
      <w:pPr>
        <w:kinsoku w:val="0"/>
        <w:overflowPunct w:val="0"/>
        <w:autoSpaceDE w:val="0"/>
        <w:autoSpaceDN w:val="0"/>
        <w:adjustRightInd w:val="0"/>
        <w:spacing w:line="240" w:lineRule="auto"/>
        <w:ind w:left="567" w:hanging="567"/>
      </w:pPr>
      <w:r>
        <w:t>Febră, vânătăi, sângerări saupiele foarte palidă</w:t>
      </w:r>
    </w:p>
    <w:p w14:paraId="1405C7AC" w14:textId="77777777" w:rsidR="00C04CAD" w:rsidRDefault="00C04CAD">
      <w:pPr>
        <w:kinsoku w:val="0"/>
        <w:overflowPunct w:val="0"/>
        <w:autoSpaceDE w:val="0"/>
        <w:autoSpaceDN w:val="0"/>
        <w:adjustRightInd w:val="0"/>
        <w:spacing w:line="240" w:lineRule="auto"/>
        <w:ind w:left="567" w:hanging="567"/>
      </w:pPr>
    </w:p>
    <w:p w14:paraId="3CC9D898"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L</w:t>
      </w:r>
      <w:r>
        <w:t>a un</w:t>
      </w:r>
      <w:r>
        <w:rPr>
          <w:spacing w:val="-2"/>
        </w:rPr>
        <w:t>i</w:t>
      </w:r>
      <w:r>
        <w:t>i</w:t>
      </w:r>
      <w:r>
        <w:rPr>
          <w:spacing w:val="1"/>
        </w:rPr>
        <w:t xml:space="preserve"> </w:t>
      </w:r>
      <w:r>
        <w:t>p</w:t>
      </w:r>
      <w:r>
        <w:rPr>
          <w:spacing w:val="-3"/>
        </w:rPr>
        <w:t>a</w:t>
      </w:r>
      <w:r>
        <w:t>c</w:t>
      </w:r>
      <w:r>
        <w:rPr>
          <w:spacing w:val="1"/>
        </w:rPr>
        <w:t>i</w:t>
      </w:r>
      <w:r>
        <w:rPr>
          <w:spacing w:val="-3"/>
        </w:rPr>
        <w:t>e</w:t>
      </w:r>
      <w:r>
        <w:t>n</w:t>
      </w:r>
      <w:r>
        <w:rPr>
          <w:spacing w:val="-2"/>
        </w:rPr>
        <w:t>ţ</w:t>
      </w:r>
      <w:r>
        <w:rPr>
          <w:spacing w:val="1"/>
        </w:rPr>
        <w:t>i</w:t>
      </w:r>
      <w:r>
        <w:t xml:space="preserve">, </w:t>
      </w:r>
      <w:r>
        <w:rPr>
          <w:spacing w:val="-3"/>
        </w:rPr>
        <w:t>o</w:t>
      </w:r>
      <w:r>
        <w:t>r</w:t>
      </w:r>
      <w:r>
        <w:rPr>
          <w:spacing w:val="-3"/>
        </w:rPr>
        <w:t>g</w:t>
      </w:r>
      <w:r>
        <w:t>an</w:t>
      </w:r>
      <w:r>
        <w:rPr>
          <w:spacing w:val="1"/>
        </w:rPr>
        <w:t>i</w:t>
      </w:r>
      <w:r>
        <w:t>s</w:t>
      </w:r>
      <w:r>
        <w:rPr>
          <w:spacing w:val="-4"/>
        </w:rPr>
        <w:t>m</w:t>
      </w:r>
      <w:r>
        <w:t>ul</w:t>
      </w:r>
      <w:r>
        <w:rPr>
          <w:spacing w:val="1"/>
        </w:rPr>
        <w:t xml:space="preserve"> </w:t>
      </w:r>
      <w:r>
        <w:t>po</w:t>
      </w:r>
      <w:r>
        <w:rPr>
          <w:spacing w:val="-3"/>
        </w:rPr>
        <w:t>a</w:t>
      </w:r>
      <w:r>
        <w:rPr>
          <w:spacing w:val="1"/>
        </w:rPr>
        <w:t>t</w:t>
      </w:r>
      <w:r>
        <w:t xml:space="preserve">e </w:t>
      </w:r>
      <w:r>
        <w:rPr>
          <w:spacing w:val="-2"/>
        </w:rPr>
        <w:t>s</w:t>
      </w:r>
      <w:r>
        <w:t xml:space="preserve">ă nu </w:t>
      </w:r>
      <w:r>
        <w:rPr>
          <w:spacing w:val="-4"/>
        </w:rPr>
        <w:t>m</w:t>
      </w:r>
      <w:r>
        <w:t>ai</w:t>
      </w:r>
      <w:r>
        <w:rPr>
          <w:spacing w:val="1"/>
        </w:rPr>
        <w:t xml:space="preserve"> </w:t>
      </w:r>
      <w:r>
        <w:rPr>
          <w:spacing w:val="-3"/>
        </w:rPr>
        <w:t>p</w:t>
      </w:r>
      <w:r>
        <w:t>rodu</w:t>
      </w:r>
      <w:r>
        <w:rPr>
          <w:spacing w:val="-3"/>
        </w:rPr>
        <w:t>c</w:t>
      </w:r>
      <w:r>
        <w:t xml:space="preserve">ă </w:t>
      </w:r>
      <w:r>
        <w:rPr>
          <w:spacing w:val="-2"/>
        </w:rPr>
        <w:t>s</w:t>
      </w:r>
      <w:r>
        <w:t>uf</w:t>
      </w:r>
      <w:r>
        <w:rPr>
          <w:spacing w:val="1"/>
        </w:rPr>
        <w:t>i</w:t>
      </w:r>
      <w:r>
        <w:rPr>
          <w:spacing w:val="-3"/>
        </w:rPr>
        <w:t>c</w:t>
      </w:r>
      <w:r>
        <w:rPr>
          <w:spacing w:val="1"/>
        </w:rPr>
        <w:t>i</w:t>
      </w:r>
      <w:r>
        <w:t>e</w:t>
      </w:r>
      <w:r>
        <w:rPr>
          <w:spacing w:val="-3"/>
        </w:rPr>
        <w:t>n</w:t>
      </w:r>
      <w:r>
        <w:rPr>
          <w:spacing w:val="1"/>
        </w:rPr>
        <w:t>t</w:t>
      </w:r>
      <w:r>
        <w:t>e</w:t>
      </w:r>
      <w:r>
        <w:rPr>
          <w:spacing w:val="-2"/>
        </w:rPr>
        <w:t xml:space="preserve"> </w:t>
      </w:r>
      <w:r>
        <w:t>c</w:t>
      </w:r>
      <w:r>
        <w:rPr>
          <w:spacing w:val="-3"/>
        </w:rPr>
        <w:t>e</w:t>
      </w:r>
      <w:r>
        <w:rPr>
          <w:spacing w:val="1"/>
        </w:rPr>
        <w:t>l</w:t>
      </w:r>
      <w:r>
        <w:t>u</w:t>
      </w:r>
      <w:r>
        <w:rPr>
          <w:spacing w:val="-2"/>
        </w:rPr>
        <w:t>l</w:t>
      </w:r>
      <w:r>
        <w:t>e san</w:t>
      </w:r>
      <w:r>
        <w:rPr>
          <w:spacing w:val="-3"/>
        </w:rPr>
        <w:t>g</w:t>
      </w:r>
      <w:r>
        <w:t>u</w:t>
      </w:r>
      <w:r>
        <w:rPr>
          <w:spacing w:val="1"/>
        </w:rPr>
        <w:t>i</w:t>
      </w:r>
      <w:r>
        <w:rPr>
          <w:spacing w:val="-3"/>
        </w:rPr>
        <w:t>n</w:t>
      </w:r>
      <w:r>
        <w:t>e c</w:t>
      </w:r>
      <w:r>
        <w:rPr>
          <w:spacing w:val="-3"/>
        </w:rPr>
        <w:t>a</w:t>
      </w:r>
      <w:r>
        <w:t xml:space="preserve">re </w:t>
      </w:r>
      <w:r>
        <w:rPr>
          <w:spacing w:val="-3"/>
        </w:rPr>
        <w:t>a</w:t>
      </w:r>
      <w:r>
        <w:rPr>
          <w:spacing w:val="1"/>
        </w:rPr>
        <w:t>j</w:t>
      </w:r>
      <w:r>
        <w:t>u</w:t>
      </w:r>
      <w:r>
        <w:rPr>
          <w:spacing w:val="-2"/>
        </w:rPr>
        <w:t>t</w:t>
      </w:r>
      <w:r>
        <w:t>ă or</w:t>
      </w:r>
      <w:r>
        <w:rPr>
          <w:spacing w:val="-3"/>
        </w:rPr>
        <w:t>g</w:t>
      </w:r>
      <w:r>
        <w:t>an</w:t>
      </w:r>
      <w:r>
        <w:rPr>
          <w:spacing w:val="1"/>
        </w:rPr>
        <w:t>i</w:t>
      </w:r>
      <w:r>
        <w:t>s</w:t>
      </w:r>
      <w:r>
        <w:rPr>
          <w:spacing w:val="-4"/>
        </w:rPr>
        <w:t>m</w:t>
      </w:r>
      <w:r>
        <w:t>ul</w:t>
      </w:r>
      <w:r>
        <w:rPr>
          <w:spacing w:val="1"/>
        </w:rPr>
        <w:t xml:space="preserve"> </w:t>
      </w:r>
      <w:r>
        <w:t>du</w:t>
      </w:r>
      <w:r>
        <w:rPr>
          <w:spacing w:val="-4"/>
        </w:rPr>
        <w:t>m</w:t>
      </w:r>
      <w:r>
        <w:t>nea</w:t>
      </w:r>
      <w:r>
        <w:rPr>
          <w:spacing w:val="-3"/>
        </w:rPr>
        <w:t>v</w:t>
      </w:r>
      <w:r>
        <w:t>oas</w:t>
      </w:r>
      <w:r>
        <w:rPr>
          <w:spacing w:val="1"/>
        </w:rPr>
        <w:t>t</w:t>
      </w:r>
      <w:r>
        <w:rPr>
          <w:spacing w:val="-2"/>
        </w:rPr>
        <w:t>r</w:t>
      </w:r>
      <w:r>
        <w:t>ă</w:t>
      </w:r>
      <w:r>
        <w:rPr>
          <w:spacing w:val="-2"/>
        </w:rPr>
        <w:t xml:space="preserve"> </w:t>
      </w:r>
      <w:r>
        <w:rPr>
          <w:spacing w:val="1"/>
        </w:rPr>
        <w:t>î</w:t>
      </w:r>
      <w:r>
        <w:t xml:space="preserve">n </w:t>
      </w:r>
      <w:r>
        <w:rPr>
          <w:spacing w:val="1"/>
        </w:rPr>
        <w:t>l</w:t>
      </w:r>
      <w:r>
        <w:rPr>
          <w:spacing w:val="-3"/>
        </w:rPr>
        <w:t>u</w:t>
      </w:r>
      <w:r>
        <w:t>p</w:t>
      </w:r>
      <w:r>
        <w:rPr>
          <w:spacing w:val="1"/>
        </w:rPr>
        <w:t>t</w:t>
      </w:r>
      <w:r>
        <w:t>a</w:t>
      </w:r>
      <w:r>
        <w:rPr>
          <w:spacing w:val="-2"/>
        </w:rPr>
        <w:t xml:space="preserve"> </w:t>
      </w:r>
      <w:r>
        <w:t>co</w:t>
      </w:r>
      <w:r>
        <w:rPr>
          <w:spacing w:val="-3"/>
        </w:rPr>
        <w:t>n</w:t>
      </w:r>
      <w:r>
        <w:rPr>
          <w:spacing w:val="1"/>
        </w:rPr>
        <w:t>t</w:t>
      </w:r>
      <w:r>
        <w:rPr>
          <w:spacing w:val="-2"/>
        </w:rPr>
        <w:t>r</w:t>
      </w:r>
      <w:r>
        <w:t xml:space="preserve">a </w:t>
      </w:r>
      <w:r>
        <w:rPr>
          <w:spacing w:val="1"/>
        </w:rPr>
        <w:t>i</w:t>
      </w:r>
      <w:r>
        <w:rPr>
          <w:spacing w:val="-3"/>
        </w:rPr>
        <w:t>n</w:t>
      </w:r>
      <w:r>
        <w:t>fe</w:t>
      </w:r>
      <w:r>
        <w:rPr>
          <w:spacing w:val="-3"/>
        </w:rPr>
        <w:t>c</w:t>
      </w:r>
      <w:r>
        <w:rPr>
          <w:spacing w:val="1"/>
        </w:rPr>
        <w:t>ţ</w:t>
      </w:r>
      <w:r>
        <w:rPr>
          <w:spacing w:val="-2"/>
        </w:rPr>
        <w:t>i</w:t>
      </w:r>
      <w:r>
        <w:rPr>
          <w:spacing w:val="1"/>
        </w:rPr>
        <w:t>i</w:t>
      </w:r>
      <w:r>
        <w:rPr>
          <w:spacing w:val="-2"/>
        </w:rPr>
        <w:t>l</w:t>
      </w:r>
      <w:r>
        <w:t>or</w:t>
      </w:r>
      <w:r>
        <w:rPr>
          <w:spacing w:val="-2"/>
        </w:rPr>
        <w:t xml:space="preserve"> </w:t>
      </w:r>
      <w:r>
        <w:t>s</w:t>
      </w:r>
      <w:r>
        <w:rPr>
          <w:spacing w:val="-3"/>
        </w:rPr>
        <w:t>a</w:t>
      </w:r>
      <w:r>
        <w:t xml:space="preserve">u </w:t>
      </w:r>
      <w:r>
        <w:rPr>
          <w:spacing w:val="-3"/>
        </w:rPr>
        <w:t>v</w:t>
      </w:r>
      <w:r>
        <w:t xml:space="preserve">ă </w:t>
      </w:r>
      <w:r>
        <w:rPr>
          <w:spacing w:val="-3"/>
        </w:rPr>
        <w:t>a</w:t>
      </w:r>
      <w:r>
        <w:rPr>
          <w:spacing w:val="3"/>
        </w:rPr>
        <w:t>j</w:t>
      </w:r>
      <w:r>
        <w:t>u</w:t>
      </w:r>
      <w:r>
        <w:rPr>
          <w:spacing w:val="-2"/>
        </w:rPr>
        <w:t>t</w:t>
      </w:r>
      <w:r>
        <w:t xml:space="preserve">ă </w:t>
      </w:r>
      <w:r>
        <w:rPr>
          <w:spacing w:val="1"/>
        </w:rPr>
        <w:t>î</w:t>
      </w:r>
      <w:r>
        <w:t>n</w:t>
      </w:r>
      <w:r>
        <w:rPr>
          <w:spacing w:val="-3"/>
        </w:rPr>
        <w:t xml:space="preserve"> </w:t>
      </w:r>
      <w:r>
        <w:t>op</w:t>
      </w:r>
      <w:r>
        <w:rPr>
          <w:spacing w:val="-2"/>
        </w:rPr>
        <w:t>r</w:t>
      </w:r>
      <w:r>
        <w:rPr>
          <w:spacing w:val="1"/>
        </w:rPr>
        <w:t>i</w:t>
      </w:r>
      <w:r>
        <w:rPr>
          <w:spacing w:val="-2"/>
        </w:rPr>
        <w:t>r</w:t>
      </w:r>
      <w:r>
        <w:t xml:space="preserve">ea </w:t>
      </w:r>
      <w:r>
        <w:rPr>
          <w:spacing w:val="-2"/>
        </w:rPr>
        <w:t>s</w:t>
      </w:r>
      <w:r>
        <w:t>ân</w:t>
      </w:r>
      <w:r>
        <w:rPr>
          <w:spacing w:val="-3"/>
        </w:rPr>
        <w:t>g</w:t>
      </w:r>
      <w:r>
        <w:t>e</w:t>
      </w:r>
      <w:r>
        <w:rPr>
          <w:spacing w:val="-2"/>
        </w:rPr>
        <w:t>r</w:t>
      </w:r>
      <w:r>
        <w:t>ăr</w:t>
      </w:r>
      <w:r>
        <w:rPr>
          <w:spacing w:val="-2"/>
        </w:rPr>
        <w:t>i</w:t>
      </w:r>
      <w:r>
        <w:rPr>
          <w:spacing w:val="1"/>
        </w:rPr>
        <w:t>l</w:t>
      </w:r>
      <w:r>
        <w:t>o</w:t>
      </w:r>
      <w:r>
        <w:rPr>
          <w:spacing w:val="-2"/>
        </w:rPr>
        <w:t>r</w:t>
      </w:r>
      <w:r>
        <w:t xml:space="preserve">. </w:t>
      </w:r>
      <w:r>
        <w:rPr>
          <w:spacing w:val="-1"/>
        </w:rPr>
        <w:t>D</w:t>
      </w:r>
      <w:r>
        <w:t>acă apar</w:t>
      </w:r>
      <w:r>
        <w:rPr>
          <w:spacing w:val="-2"/>
        </w:rPr>
        <w:t xml:space="preserve"> </w:t>
      </w:r>
      <w:r>
        <w:t>fe</w:t>
      </w:r>
      <w:r>
        <w:rPr>
          <w:spacing w:val="-3"/>
        </w:rPr>
        <w:t>b</w:t>
      </w:r>
      <w:r>
        <w:t xml:space="preserve">ră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t xml:space="preserve">ă, </w:t>
      </w:r>
      <w:r>
        <w:rPr>
          <w:spacing w:val="-3"/>
        </w:rPr>
        <w:t>v</w:t>
      </w:r>
      <w:r>
        <w:t>ân</w:t>
      </w:r>
      <w:r>
        <w:rPr>
          <w:spacing w:val="-3"/>
        </w:rPr>
        <w:t>ă</w:t>
      </w:r>
      <w:r>
        <w:rPr>
          <w:spacing w:val="1"/>
        </w:rPr>
        <w:t>t</w:t>
      </w:r>
      <w:r>
        <w:t>ăi</w:t>
      </w:r>
      <w:r>
        <w:rPr>
          <w:spacing w:val="-2"/>
        </w:rPr>
        <w:t xml:space="preserve"> </w:t>
      </w:r>
      <w:r>
        <w:t>sau</w:t>
      </w:r>
      <w:r>
        <w:rPr>
          <w:spacing w:val="-3"/>
        </w:rPr>
        <w:t xml:space="preserve"> </w:t>
      </w:r>
      <w:r>
        <w:t>sân</w:t>
      </w:r>
      <w:r>
        <w:rPr>
          <w:spacing w:val="-3"/>
        </w:rPr>
        <w:t>g</w:t>
      </w:r>
      <w:r>
        <w:t>er</w:t>
      </w:r>
      <w:r>
        <w:rPr>
          <w:spacing w:val="-3"/>
        </w:rPr>
        <w:t>a</w:t>
      </w:r>
      <w:r>
        <w:rPr>
          <w:spacing w:val="1"/>
        </w:rPr>
        <w:t>ţ</w:t>
      </w:r>
      <w:r>
        <w:t>i</w:t>
      </w:r>
      <w:r>
        <w:rPr>
          <w:spacing w:val="-2"/>
        </w:rPr>
        <w:t xml:space="preserve"> </w:t>
      </w:r>
      <w:r>
        <w:t>fo</w:t>
      </w:r>
      <w:r>
        <w:rPr>
          <w:spacing w:val="-3"/>
        </w:rPr>
        <w:t>a</w:t>
      </w:r>
      <w:r>
        <w:t>r</w:t>
      </w:r>
      <w:r>
        <w:rPr>
          <w:spacing w:val="-2"/>
        </w:rPr>
        <w:t>t</w:t>
      </w:r>
      <w:r>
        <w:t>e u</w:t>
      </w:r>
      <w:r>
        <w:rPr>
          <w:spacing w:val="-2"/>
        </w:rPr>
        <w:t>ş</w:t>
      </w:r>
      <w:r>
        <w:t>or</w:t>
      </w:r>
      <w:r>
        <w:rPr>
          <w:spacing w:val="-2"/>
        </w:rPr>
        <w:t xml:space="preserve"> </w:t>
      </w:r>
      <w:r>
        <w:t>sau s</w:t>
      </w:r>
      <w:r>
        <w:rPr>
          <w:spacing w:val="-3"/>
        </w:rPr>
        <w:t>u</w:t>
      </w:r>
      <w:r>
        <w:t>n</w:t>
      </w:r>
      <w:r>
        <w:rPr>
          <w:spacing w:val="1"/>
        </w:rPr>
        <w:t>t</w:t>
      </w:r>
      <w:r>
        <w:rPr>
          <w:spacing w:val="-3"/>
        </w:rPr>
        <w:t>e</w:t>
      </w:r>
      <w:r>
        <w:rPr>
          <w:spacing w:val="-2"/>
        </w:rPr>
        <w:t>ţ</w:t>
      </w:r>
      <w:r>
        <w:t>i</w:t>
      </w:r>
      <w:r>
        <w:rPr>
          <w:spacing w:val="1"/>
        </w:rPr>
        <w:t xml:space="preserve"> </w:t>
      </w:r>
      <w:r>
        <w:t>f</w:t>
      </w:r>
      <w:r>
        <w:rPr>
          <w:spacing w:val="-3"/>
        </w:rPr>
        <w:t>o</w:t>
      </w:r>
      <w:r>
        <w:t>a</w:t>
      </w:r>
      <w:r>
        <w:rPr>
          <w:spacing w:val="-2"/>
        </w:rPr>
        <w:t>r</w:t>
      </w:r>
      <w:r>
        <w:rPr>
          <w:spacing w:val="1"/>
        </w:rPr>
        <w:t>t</w:t>
      </w:r>
      <w:r>
        <w:t>e p</w:t>
      </w:r>
      <w:r>
        <w:rPr>
          <w:spacing w:val="-3"/>
        </w:rPr>
        <w:t>a</w:t>
      </w:r>
      <w:r>
        <w:rPr>
          <w:spacing w:val="1"/>
        </w:rPr>
        <w:t>l</w:t>
      </w:r>
      <w:r>
        <w:rPr>
          <w:spacing w:val="-2"/>
        </w:rPr>
        <w:t>i</w:t>
      </w:r>
      <w:r>
        <w:t>d, a</w:t>
      </w:r>
      <w:r>
        <w:rPr>
          <w:spacing w:val="-3"/>
        </w:rPr>
        <w:t>n</w:t>
      </w:r>
      <w:r>
        <w:t>un</w:t>
      </w:r>
      <w:r>
        <w:rPr>
          <w:spacing w:val="1"/>
        </w:rPr>
        <w:t>ţ</w:t>
      </w:r>
      <w:r>
        <w:rPr>
          <w:spacing w:val="-3"/>
        </w:rPr>
        <w:t>a</w:t>
      </w:r>
      <w:r>
        <w:rPr>
          <w:spacing w:val="1"/>
        </w:rPr>
        <w:t>ţ</w:t>
      </w:r>
      <w:r>
        <w:t>i</w:t>
      </w:r>
      <w:r>
        <w:rPr>
          <w:spacing w:val="1"/>
        </w:rPr>
        <w:t xml:space="preserve"> </w:t>
      </w:r>
      <w:r>
        <w:rPr>
          <w:spacing w:val="-4"/>
        </w:rPr>
        <w:t>m</w:t>
      </w:r>
      <w:r>
        <w:t>ed</w:t>
      </w:r>
      <w:r>
        <w:rPr>
          <w:spacing w:val="1"/>
        </w:rPr>
        <w:t>i</w:t>
      </w:r>
      <w:r>
        <w:t>c</w:t>
      </w:r>
      <w:r>
        <w:rPr>
          <w:spacing w:val="-3"/>
        </w:rPr>
        <w:t>u</w:t>
      </w:r>
      <w:r>
        <w:t xml:space="preserve">l </w:t>
      </w:r>
      <w:r>
        <w:rPr>
          <w:spacing w:val="1"/>
        </w:rPr>
        <w:t>i</w:t>
      </w:r>
      <w:r>
        <w:rPr>
          <w:spacing w:val="-4"/>
        </w:rPr>
        <w:t>m</w:t>
      </w:r>
      <w:r>
        <w:t>ed</w:t>
      </w:r>
      <w:r>
        <w:rPr>
          <w:spacing w:val="1"/>
        </w:rPr>
        <w:t>i</w:t>
      </w:r>
      <w:r>
        <w:t>a</w:t>
      </w:r>
      <w:r>
        <w:rPr>
          <w:spacing w:val="1"/>
        </w:rPr>
        <w:t>t</w:t>
      </w:r>
      <w:r>
        <w:t>.</w:t>
      </w:r>
      <w:r>
        <w:rPr>
          <w:spacing w:val="-3"/>
        </w:rPr>
        <w:t xml:space="preserve"> </w:t>
      </w:r>
      <w:r>
        <w:t>Me</w:t>
      </w:r>
      <w:r>
        <w:rPr>
          <w:spacing w:val="-3"/>
        </w:rPr>
        <w:t>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p</w:t>
      </w:r>
      <w:r>
        <w:t>oa</w:t>
      </w:r>
      <w:r>
        <w:rPr>
          <w:spacing w:val="-2"/>
        </w:rPr>
        <w:t>t</w:t>
      </w:r>
      <w:r>
        <w:t>e d</w:t>
      </w:r>
      <w:r>
        <w:rPr>
          <w:spacing w:val="-3"/>
        </w:rPr>
        <w:t>e</w:t>
      </w:r>
      <w:r>
        <w:t>c</w:t>
      </w:r>
      <w:r>
        <w:rPr>
          <w:spacing w:val="1"/>
        </w:rPr>
        <w:t>i</w:t>
      </w:r>
      <w:r>
        <w:rPr>
          <w:spacing w:val="-3"/>
        </w:rPr>
        <w:t>d</w:t>
      </w:r>
      <w:r>
        <w:t xml:space="preserve">e </w:t>
      </w:r>
      <w:r>
        <w:rPr>
          <w:spacing w:val="1"/>
        </w:rPr>
        <w:t>î</w:t>
      </w:r>
      <w:r>
        <w:rPr>
          <w:spacing w:val="-3"/>
        </w:rPr>
        <w:t>n</w:t>
      </w:r>
      <w:r>
        <w:rPr>
          <w:spacing w:val="1"/>
        </w:rPr>
        <w:t>t</w:t>
      </w:r>
      <w:r>
        <w:rPr>
          <w:spacing w:val="-2"/>
        </w:rPr>
        <w:t>r</w:t>
      </w:r>
      <w:r>
        <w:t>eru</w:t>
      </w:r>
      <w:r>
        <w:rPr>
          <w:spacing w:val="-3"/>
        </w:rPr>
        <w:t>p</w:t>
      </w:r>
      <w:r>
        <w:t>erea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w:t>
      </w:r>
      <w:r>
        <w:rPr>
          <w:spacing w:val="1"/>
        </w:rPr>
        <w:t>l</w:t>
      </w:r>
      <w:r>
        <w:rPr>
          <w:spacing w:val="-3"/>
        </w:rPr>
        <w:t>u</w:t>
      </w:r>
      <w:r>
        <w:rPr>
          <w:spacing w:val="1"/>
        </w:rPr>
        <w:t>i</w:t>
      </w:r>
      <w:r>
        <w:t>.</w:t>
      </w:r>
    </w:p>
    <w:p w14:paraId="26870128" w14:textId="77777777" w:rsidR="00C04CAD" w:rsidRDefault="00C04CAD">
      <w:pPr>
        <w:tabs>
          <w:tab w:val="clear" w:pos="567"/>
        </w:tabs>
        <w:kinsoku w:val="0"/>
        <w:overflowPunct w:val="0"/>
        <w:autoSpaceDE w:val="0"/>
        <w:autoSpaceDN w:val="0"/>
        <w:adjustRightInd w:val="0"/>
        <w:spacing w:line="240" w:lineRule="auto"/>
        <w:ind w:left="567" w:hanging="567"/>
      </w:pPr>
    </w:p>
    <w:p w14:paraId="24442F61" w14:textId="77777777" w:rsidR="00C04CAD" w:rsidRDefault="00060E34">
      <w:pPr>
        <w:keepNext/>
        <w:keepLines/>
        <w:tabs>
          <w:tab w:val="clear" w:pos="567"/>
        </w:tabs>
        <w:kinsoku w:val="0"/>
        <w:overflowPunct w:val="0"/>
        <w:autoSpaceDE w:val="0"/>
        <w:autoSpaceDN w:val="0"/>
        <w:adjustRightInd w:val="0"/>
        <w:spacing w:line="240" w:lineRule="auto"/>
        <w:ind w:left="567" w:hanging="567"/>
      </w:pPr>
      <w:r>
        <w:t>Cancer</w:t>
      </w:r>
    </w:p>
    <w:p w14:paraId="66DA5987" w14:textId="77777777" w:rsidR="00C04CAD" w:rsidRDefault="00C04CAD">
      <w:pPr>
        <w:keepNext/>
        <w:keepLines/>
        <w:tabs>
          <w:tab w:val="clear" w:pos="567"/>
        </w:tabs>
        <w:kinsoku w:val="0"/>
        <w:overflowPunct w:val="0"/>
        <w:autoSpaceDE w:val="0"/>
        <w:autoSpaceDN w:val="0"/>
        <w:adjustRightInd w:val="0"/>
        <w:spacing w:line="240" w:lineRule="auto"/>
        <w:ind w:left="567" w:hanging="567"/>
      </w:pPr>
    </w:p>
    <w:p w14:paraId="61A98035"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E</w:t>
      </w:r>
      <w:r>
        <w:t>x</w:t>
      </w:r>
      <w:r>
        <w:rPr>
          <w:spacing w:val="1"/>
        </w:rPr>
        <w:t>i</w:t>
      </w:r>
      <w:r>
        <w:rPr>
          <w:spacing w:val="-2"/>
        </w:rPr>
        <w:t>s</w:t>
      </w:r>
      <w:r>
        <w:rPr>
          <w:spacing w:val="1"/>
        </w:rPr>
        <w:t>t</w:t>
      </w:r>
      <w:r>
        <w:t xml:space="preserve">ă </w:t>
      </w:r>
      <w:r>
        <w:rPr>
          <w:spacing w:val="-2"/>
        </w:rPr>
        <w:t>f</w:t>
      </w:r>
      <w:r>
        <w:t>oa</w:t>
      </w:r>
      <w:r>
        <w:rPr>
          <w:spacing w:val="-2"/>
        </w:rPr>
        <w:t>r</w:t>
      </w:r>
      <w:r>
        <w:rPr>
          <w:spacing w:val="1"/>
        </w:rPr>
        <w:t>t</w:t>
      </w:r>
      <w:r>
        <w:t>e</w:t>
      </w:r>
      <w:r>
        <w:rPr>
          <w:spacing w:val="-2"/>
        </w:rPr>
        <w:t xml:space="preserve"> </w:t>
      </w:r>
      <w:r>
        <w:t>r</w:t>
      </w:r>
      <w:r>
        <w:rPr>
          <w:spacing w:val="-3"/>
        </w:rPr>
        <w:t>a</w:t>
      </w:r>
      <w:r>
        <w:t xml:space="preserve">re </w:t>
      </w:r>
      <w:r>
        <w:rPr>
          <w:spacing w:val="-3"/>
        </w:rPr>
        <w:t>c</w:t>
      </w:r>
      <w:r>
        <w:t>a</w:t>
      </w:r>
      <w:r>
        <w:rPr>
          <w:spacing w:val="-3"/>
        </w:rPr>
        <w:t>z</w:t>
      </w:r>
      <w:r>
        <w:t>uri</w:t>
      </w:r>
      <w:r>
        <w:rPr>
          <w:spacing w:val="1"/>
        </w:rPr>
        <w:t xml:space="preserve"> </w:t>
      </w:r>
      <w:r>
        <w:rPr>
          <w:spacing w:val="-3"/>
        </w:rPr>
        <w:t>d</w:t>
      </w:r>
      <w:r>
        <w:t>e</w:t>
      </w:r>
      <w:r>
        <w:rPr>
          <w:spacing w:val="-2"/>
        </w:rPr>
        <w:t xml:space="preserve"> </w:t>
      </w:r>
      <w:r>
        <w:t>anu</w:t>
      </w:r>
      <w:r>
        <w:rPr>
          <w:spacing w:val="-4"/>
        </w:rPr>
        <w:t>m</w:t>
      </w:r>
      <w:r>
        <w:rPr>
          <w:spacing w:val="1"/>
        </w:rPr>
        <w:t>it</w:t>
      </w:r>
      <w:r>
        <w:t>e f</w:t>
      </w:r>
      <w:r>
        <w:rPr>
          <w:spacing w:val="-3"/>
        </w:rPr>
        <w:t>o</w:t>
      </w:r>
      <w:r>
        <w:t>r</w:t>
      </w:r>
      <w:r>
        <w:rPr>
          <w:spacing w:val="-4"/>
        </w:rPr>
        <w:t>m</w:t>
      </w:r>
      <w:r>
        <w:t>e de ca</w:t>
      </w:r>
      <w:r>
        <w:rPr>
          <w:spacing w:val="-3"/>
        </w:rPr>
        <w:t>n</w:t>
      </w:r>
      <w:r>
        <w:t>cer</w:t>
      </w:r>
      <w:r>
        <w:rPr>
          <w:spacing w:val="-2"/>
        </w:rPr>
        <w:t xml:space="preserve"> </w:t>
      </w:r>
      <w:r>
        <w:rPr>
          <w:spacing w:val="1"/>
        </w:rPr>
        <w:t>l</w:t>
      </w:r>
      <w:r>
        <w:t>a</w:t>
      </w:r>
      <w:r>
        <w:rPr>
          <w:spacing w:val="-3"/>
        </w:rPr>
        <w:t xml:space="preserve"> </w:t>
      </w:r>
      <w:r>
        <w:t>cop</w:t>
      </w:r>
      <w:r>
        <w:rPr>
          <w:spacing w:val="-2"/>
        </w:rPr>
        <w:t>i</w:t>
      </w:r>
      <w:r>
        <w:t>i</w:t>
      </w:r>
      <w:r>
        <w:rPr>
          <w:spacing w:val="1"/>
        </w:rPr>
        <w:t xml:space="preserve"> </w:t>
      </w:r>
      <w:r>
        <w:rPr>
          <w:spacing w:val="-2"/>
        </w:rPr>
        <w:t>ş</w:t>
      </w:r>
      <w:r>
        <w:t>i</w:t>
      </w:r>
      <w:r>
        <w:rPr>
          <w:spacing w:val="1"/>
        </w:rPr>
        <w:t xml:space="preserve"> </w:t>
      </w:r>
      <w:r>
        <w:t>ad</w:t>
      </w:r>
      <w:r>
        <w:rPr>
          <w:spacing w:val="-3"/>
        </w:rPr>
        <w:t>u</w:t>
      </w:r>
      <w:r>
        <w:rPr>
          <w:spacing w:val="1"/>
        </w:rPr>
        <w:t>l</w:t>
      </w:r>
      <w:r>
        <w:rPr>
          <w:spacing w:val="-2"/>
        </w:rPr>
        <w:t>ţ</w:t>
      </w:r>
      <w:r>
        <w:t>i</w:t>
      </w:r>
      <w:r>
        <w:rPr>
          <w:spacing w:val="-2"/>
        </w:rPr>
        <w:t xml:space="preserve"> </w:t>
      </w:r>
      <w:r>
        <w:rPr>
          <w:spacing w:val="1"/>
        </w:rPr>
        <w:t>t</w:t>
      </w:r>
      <w:r>
        <w:t>r</w:t>
      </w:r>
      <w:r>
        <w:rPr>
          <w:spacing w:val="-3"/>
        </w:rPr>
        <w:t>a</w:t>
      </w:r>
      <w:r>
        <w:rPr>
          <w:spacing w:val="1"/>
        </w:rPr>
        <w:t>t</w:t>
      </w:r>
      <w:r>
        <w:rPr>
          <w:spacing w:val="-3"/>
        </w:rPr>
        <w:t>a</w:t>
      </w:r>
      <w:r>
        <w:rPr>
          <w:spacing w:val="1"/>
        </w:rPr>
        <w:t>ţ</w:t>
      </w:r>
      <w:r>
        <w:t>i</w:t>
      </w:r>
      <w:r>
        <w:rPr>
          <w:spacing w:val="-2"/>
        </w:rPr>
        <w:t xml:space="preserve"> </w:t>
      </w:r>
      <w:r>
        <w:t xml:space="preserve">cu </w:t>
      </w:r>
      <w:r>
        <w:rPr>
          <w:spacing w:val="-1"/>
          <w:szCs w:val="22"/>
          <w:lang w:eastAsia="en-US" w:bidi="ar-SA"/>
        </w:rPr>
        <w:t>adalimumab</w:t>
      </w:r>
      <w:r>
        <w:t xml:space="preserve"> s</w:t>
      </w:r>
      <w:r>
        <w:rPr>
          <w:spacing w:val="-1"/>
        </w:rPr>
        <w:t>a</w:t>
      </w:r>
      <w:r>
        <w:t>u cu a</w:t>
      </w:r>
      <w:r>
        <w:rPr>
          <w:spacing w:val="1"/>
        </w:rPr>
        <w:t>l</w:t>
      </w:r>
      <w:r>
        <w:rPr>
          <w:spacing w:val="-2"/>
        </w:rPr>
        <w:t>ţ</w:t>
      </w:r>
      <w:r>
        <w:t>i</w:t>
      </w:r>
      <w:r>
        <w:rPr>
          <w:spacing w:val="1"/>
        </w:rPr>
        <w:t xml:space="preserve"> </w:t>
      </w:r>
      <w:r>
        <w:rPr>
          <w:spacing w:val="-3"/>
        </w:rPr>
        <w:t>b</w:t>
      </w:r>
      <w:r>
        <w:rPr>
          <w:spacing w:val="1"/>
        </w:rPr>
        <w:t>l</w:t>
      </w:r>
      <w:r>
        <w:t>oc</w:t>
      </w:r>
      <w:r>
        <w:rPr>
          <w:spacing w:val="-3"/>
        </w:rPr>
        <w:t>a</w:t>
      </w:r>
      <w:r>
        <w:t>n</w:t>
      </w:r>
      <w:r>
        <w:rPr>
          <w:spacing w:val="-2"/>
        </w:rPr>
        <w:t>ţ</w:t>
      </w:r>
      <w:r>
        <w:t>i</w:t>
      </w:r>
      <w:r>
        <w:rPr>
          <w:spacing w:val="1"/>
        </w:rPr>
        <w:t xml:space="preserve"> </w:t>
      </w:r>
      <w:r>
        <w:rPr>
          <w:spacing w:val="-3"/>
        </w:rPr>
        <w:t>a</w:t>
      </w:r>
      <w:r>
        <w:t>i</w:t>
      </w:r>
      <w:r>
        <w:rPr>
          <w:spacing w:val="-2"/>
        </w:rPr>
        <w:t xml:space="preserve"> </w:t>
      </w:r>
      <w:r>
        <w:rPr>
          <w:spacing w:val="1"/>
        </w:rPr>
        <w:t>T</w:t>
      </w:r>
      <w:r>
        <w:rPr>
          <w:spacing w:val="-1"/>
        </w:rPr>
        <w:t>NF</w:t>
      </w:r>
      <w:r>
        <w:t xml:space="preserve">. </w:t>
      </w:r>
      <w:r>
        <w:rPr>
          <w:spacing w:val="-1"/>
        </w:rPr>
        <w:t>P</w:t>
      </w:r>
      <w:r>
        <w:t>e</w:t>
      </w:r>
      <w:r>
        <w:rPr>
          <w:spacing w:val="-2"/>
        </w:rPr>
        <w:t>r</w:t>
      </w:r>
      <w:r>
        <w:t>so</w:t>
      </w:r>
      <w:r>
        <w:rPr>
          <w:spacing w:val="-3"/>
        </w:rPr>
        <w:t>a</w:t>
      </w:r>
      <w:r>
        <w:t>ne</w:t>
      </w:r>
      <w:r>
        <w:rPr>
          <w:spacing w:val="1"/>
        </w:rPr>
        <w:t>l</w:t>
      </w:r>
      <w:r>
        <w:t>e</w:t>
      </w:r>
      <w:r>
        <w:rPr>
          <w:spacing w:val="-2"/>
        </w:rPr>
        <w:t xml:space="preserve"> </w:t>
      </w:r>
      <w:r>
        <w:t>cu p</w:t>
      </w:r>
      <w:r>
        <w:rPr>
          <w:spacing w:val="-3"/>
        </w:rPr>
        <w:t>o</w:t>
      </w:r>
      <w:r>
        <w:rPr>
          <w:spacing w:val="1"/>
        </w:rPr>
        <w:t>l</w:t>
      </w:r>
      <w:r>
        <w:rPr>
          <w:spacing w:val="-2"/>
        </w:rPr>
        <w:t>i</w:t>
      </w:r>
      <w:r>
        <w:t>a</w:t>
      </w:r>
      <w:r>
        <w:rPr>
          <w:spacing w:val="-2"/>
        </w:rPr>
        <w:t>r</w:t>
      </w:r>
      <w:r>
        <w:rPr>
          <w:spacing w:val="1"/>
        </w:rPr>
        <w:t>t</w:t>
      </w:r>
      <w:r>
        <w:rPr>
          <w:spacing w:val="-2"/>
        </w:rPr>
        <w:t>r</w:t>
      </w:r>
      <w:r>
        <w:rPr>
          <w:spacing w:val="1"/>
        </w:rPr>
        <w:t>it</w:t>
      </w:r>
      <w:r>
        <w:t>ă</w:t>
      </w:r>
      <w:r>
        <w:rPr>
          <w:spacing w:val="-2"/>
        </w:rPr>
        <w:t xml:space="preserve"> </w:t>
      </w:r>
      <w:r>
        <w:t>r</w:t>
      </w:r>
      <w:r>
        <w:rPr>
          <w:spacing w:val="-3"/>
        </w:rPr>
        <w:t>e</w:t>
      </w:r>
      <w:r>
        <w:t>u</w:t>
      </w:r>
      <w:r>
        <w:rPr>
          <w:spacing w:val="-4"/>
        </w:rPr>
        <w:t>m</w:t>
      </w:r>
      <w:r>
        <w:t>a</w:t>
      </w:r>
      <w:r>
        <w:rPr>
          <w:spacing w:val="1"/>
        </w:rPr>
        <w:t>t</w:t>
      </w:r>
      <w:r>
        <w:t>o</w:t>
      </w:r>
      <w:r>
        <w:rPr>
          <w:spacing w:val="-2"/>
        </w:rPr>
        <w:t>i</w:t>
      </w:r>
      <w:r>
        <w:t xml:space="preserve">dă </w:t>
      </w:r>
      <w:r>
        <w:rPr>
          <w:spacing w:val="-4"/>
        </w:rPr>
        <w:t>m</w:t>
      </w:r>
      <w:r>
        <w:t>ai</w:t>
      </w:r>
      <w:r>
        <w:rPr>
          <w:spacing w:val="1"/>
        </w:rPr>
        <w:t xml:space="preserve"> </w:t>
      </w:r>
      <w:r>
        <w:rPr>
          <w:szCs w:val="22"/>
          <w:lang w:eastAsia="en-US" w:bidi="ar-SA"/>
        </w:rPr>
        <w:t>gra</w:t>
      </w:r>
      <w:r>
        <w:rPr>
          <w:spacing w:val="-3"/>
          <w:szCs w:val="22"/>
          <w:lang w:eastAsia="en-US" w:bidi="ar-SA"/>
        </w:rPr>
        <w:t>v</w:t>
      </w:r>
      <w:r>
        <w:rPr>
          <w:szCs w:val="22"/>
          <w:lang w:eastAsia="en-US" w:bidi="ar-SA"/>
        </w:rPr>
        <w:t>ă</w:t>
      </w:r>
      <w:r>
        <w:t xml:space="preserve"> </w:t>
      </w:r>
      <w:r>
        <w:rPr>
          <w:spacing w:val="-3"/>
        </w:rPr>
        <w:t>c</w:t>
      </w:r>
      <w:r>
        <w:t>a</w:t>
      </w:r>
      <w:r>
        <w:rPr>
          <w:spacing w:val="-2"/>
        </w:rPr>
        <w:t>r</w:t>
      </w:r>
      <w:r>
        <w:t>e au a</w:t>
      </w:r>
      <w:r>
        <w:rPr>
          <w:spacing w:val="-3"/>
        </w:rPr>
        <w:t>v</w:t>
      </w:r>
      <w:r>
        <w:t>ut</w:t>
      </w:r>
      <w:r>
        <w:rPr>
          <w:spacing w:val="-2"/>
        </w:rPr>
        <w:t xml:space="preserve"> </w:t>
      </w:r>
      <w:r>
        <w:t>afe</w:t>
      </w:r>
      <w:r>
        <w:rPr>
          <w:spacing w:val="-3"/>
        </w:rPr>
        <w:t>c</w:t>
      </w:r>
      <w:r>
        <w:rPr>
          <w:spacing w:val="1"/>
        </w:rPr>
        <w:t>ţ</w:t>
      </w:r>
      <w:r>
        <w:rPr>
          <w:spacing w:val="-2"/>
        </w:rPr>
        <w:t>i</w:t>
      </w:r>
      <w:r>
        <w:t xml:space="preserve">unea </w:t>
      </w:r>
      <w:r>
        <w:rPr>
          <w:spacing w:val="1"/>
        </w:rPr>
        <w:t>ti</w:t>
      </w:r>
      <w:r>
        <w:rPr>
          <w:spacing w:val="-4"/>
        </w:rPr>
        <w:t>m</w:t>
      </w:r>
      <w:r>
        <w:t xml:space="preserve">p </w:t>
      </w:r>
      <w:r>
        <w:rPr>
          <w:spacing w:val="1"/>
        </w:rPr>
        <w:t>î</w:t>
      </w:r>
      <w:r>
        <w:t>nd</w:t>
      </w:r>
      <w:r>
        <w:rPr>
          <w:spacing w:val="-3"/>
        </w:rPr>
        <w:t>e</w:t>
      </w:r>
      <w:r>
        <w:rPr>
          <w:spacing w:val="1"/>
        </w:rPr>
        <w:t>l</w:t>
      </w:r>
      <w:r>
        <w:t>un</w:t>
      </w:r>
      <w:r>
        <w:rPr>
          <w:spacing w:val="-3"/>
        </w:rPr>
        <w:t>g</w:t>
      </w:r>
      <w:r>
        <w:t>a</w:t>
      </w:r>
      <w:r>
        <w:rPr>
          <w:spacing w:val="1"/>
        </w:rPr>
        <w:t>t</w:t>
      </w:r>
      <w:r>
        <w:t xml:space="preserve">, </w:t>
      </w:r>
      <w:r>
        <w:rPr>
          <w:spacing w:val="-3"/>
        </w:rPr>
        <w:t>a</w:t>
      </w:r>
      <w:r>
        <w:t>u un</w:t>
      </w:r>
      <w:r>
        <w:rPr>
          <w:spacing w:val="-3"/>
        </w:rPr>
        <w:t xml:space="preserve"> </w:t>
      </w:r>
      <w:r>
        <w:t>r</w:t>
      </w:r>
      <w:r>
        <w:rPr>
          <w:spacing w:val="1"/>
        </w:rPr>
        <w:t>i</w:t>
      </w:r>
      <w:r>
        <w:rPr>
          <w:spacing w:val="-2"/>
        </w:rPr>
        <w:t>s</w:t>
      </w:r>
      <w:r>
        <w:t>c</w:t>
      </w:r>
      <w:r>
        <w:rPr>
          <w:spacing w:val="-2"/>
        </w:rPr>
        <w:t xml:space="preserve"> </w:t>
      </w:r>
      <w:r>
        <w:rPr>
          <w:spacing w:val="-4"/>
        </w:rPr>
        <w:t>m</w:t>
      </w:r>
      <w:r>
        <w:t>ai</w:t>
      </w:r>
      <w:r>
        <w:rPr>
          <w:spacing w:val="3"/>
        </w:rPr>
        <w:t xml:space="preserve"> </w:t>
      </w:r>
      <w:r>
        <w:rPr>
          <w:spacing w:val="-4"/>
        </w:rPr>
        <w:t>m</w:t>
      </w:r>
      <w:r>
        <w:t>are de</w:t>
      </w:r>
      <w:r>
        <w:rPr>
          <w:spacing w:val="-3"/>
        </w:rPr>
        <w:t>c</w:t>
      </w:r>
      <w:r>
        <w:t>ât</w:t>
      </w:r>
      <w:r>
        <w:rPr>
          <w:spacing w:val="1"/>
        </w:rPr>
        <w:t xml:space="preserve"> </w:t>
      </w:r>
      <w:r>
        <w:rPr>
          <w:spacing w:val="-4"/>
        </w:rPr>
        <w:t>m</w:t>
      </w:r>
      <w:r>
        <w:t>ed</w:t>
      </w:r>
      <w:r>
        <w:rPr>
          <w:spacing w:val="1"/>
        </w:rPr>
        <w:t>i</w:t>
      </w:r>
      <w:r>
        <w:t>a</w:t>
      </w:r>
      <w:r>
        <w:rPr>
          <w:spacing w:val="-2"/>
        </w:rPr>
        <w:t xml:space="preserve"> </w:t>
      </w:r>
      <w:r>
        <w:rPr>
          <w:spacing w:val="1"/>
        </w:rPr>
        <w:t>î</w:t>
      </w:r>
      <w:r>
        <w:t xml:space="preserve">n </w:t>
      </w:r>
      <w:r>
        <w:rPr>
          <w:spacing w:val="-3"/>
        </w:rPr>
        <w:t>de</w:t>
      </w:r>
      <w:r>
        <w:t>z</w:t>
      </w:r>
      <w:r>
        <w:rPr>
          <w:spacing w:val="-3"/>
        </w:rPr>
        <w:t>v</w:t>
      </w:r>
      <w:r>
        <w:t>o</w:t>
      </w:r>
      <w:r>
        <w:rPr>
          <w:spacing w:val="1"/>
        </w:rPr>
        <w:t>lt</w:t>
      </w:r>
      <w:r>
        <w:t>a</w:t>
      </w:r>
      <w:r>
        <w:rPr>
          <w:spacing w:val="-2"/>
        </w:rPr>
        <w:t>r</w:t>
      </w:r>
      <w:r>
        <w:t>ea</w:t>
      </w:r>
      <w:r>
        <w:rPr>
          <w:spacing w:val="-2"/>
        </w:rPr>
        <w:t xml:space="preserve"> </w:t>
      </w:r>
      <w:r>
        <w:rPr>
          <w:spacing w:val="1"/>
        </w:rPr>
        <w:t>li</w:t>
      </w:r>
      <w:r>
        <w:rPr>
          <w:spacing w:val="-4"/>
        </w:rPr>
        <w:t>m</w:t>
      </w:r>
      <w:r>
        <w:t>fo</w:t>
      </w:r>
      <w:r>
        <w:rPr>
          <w:spacing w:val="-4"/>
        </w:rPr>
        <w:t>m</w:t>
      </w:r>
      <w:r>
        <w:t>u</w:t>
      </w:r>
      <w:r>
        <w:rPr>
          <w:spacing w:val="1"/>
        </w:rPr>
        <w:t>l</w:t>
      </w:r>
      <w:r>
        <w:t>ui</w:t>
      </w:r>
      <w:r>
        <w:rPr>
          <w:spacing w:val="1"/>
        </w:rPr>
        <w:t xml:space="preserve"> </w:t>
      </w:r>
      <w:r>
        <w:t>(</w:t>
      </w:r>
      <w:r>
        <w:rPr>
          <w:spacing w:val="-3"/>
        </w:rPr>
        <w:t>u</w:t>
      </w:r>
      <w:r>
        <w:t>n c</w:t>
      </w:r>
      <w:r>
        <w:rPr>
          <w:spacing w:val="-3"/>
        </w:rPr>
        <w:t>a</w:t>
      </w:r>
      <w:r>
        <w:t>nc</w:t>
      </w:r>
      <w:r>
        <w:rPr>
          <w:spacing w:val="-3"/>
        </w:rPr>
        <w:t>e</w:t>
      </w:r>
      <w:r>
        <w:t>r care</w:t>
      </w:r>
      <w:r>
        <w:rPr>
          <w:spacing w:val="-2"/>
        </w:rPr>
        <w:t xml:space="preserve"> </w:t>
      </w:r>
      <w:r>
        <w:t>a</w:t>
      </w:r>
      <w:r>
        <w:rPr>
          <w:spacing w:val="-2"/>
        </w:rPr>
        <w:t>f</w:t>
      </w:r>
      <w:r>
        <w:t>ec</w:t>
      </w:r>
      <w:r>
        <w:rPr>
          <w:spacing w:val="-2"/>
        </w:rPr>
        <w:t>t</w:t>
      </w:r>
      <w:r>
        <w:t>ea</w:t>
      </w:r>
      <w:r>
        <w:rPr>
          <w:spacing w:val="-3"/>
        </w:rPr>
        <w:t>z</w:t>
      </w:r>
      <w:r>
        <w:t xml:space="preserve">ă </w:t>
      </w:r>
      <w:r>
        <w:rPr>
          <w:spacing w:val="-2"/>
        </w:rPr>
        <w:t>s</w:t>
      </w:r>
      <w:r>
        <w:rPr>
          <w:spacing w:val="1"/>
        </w:rPr>
        <w:t>i</w:t>
      </w:r>
      <w:r>
        <w:t>s</w:t>
      </w:r>
      <w:r>
        <w:rPr>
          <w:spacing w:val="-2"/>
        </w:rPr>
        <w:t>t</w:t>
      </w:r>
      <w:r>
        <w:t>e</w:t>
      </w:r>
      <w:r>
        <w:rPr>
          <w:spacing w:val="-4"/>
        </w:rPr>
        <w:t>m</w:t>
      </w:r>
      <w:r>
        <w:t>ul</w:t>
      </w:r>
      <w:r>
        <w:rPr>
          <w:spacing w:val="1"/>
        </w:rPr>
        <w:t xml:space="preserve"> li</w:t>
      </w:r>
      <w:r>
        <w:rPr>
          <w:spacing w:val="-4"/>
        </w:rPr>
        <w:t>m</w:t>
      </w:r>
      <w:r>
        <w:t>fa</w:t>
      </w:r>
      <w:r>
        <w:rPr>
          <w:spacing w:val="1"/>
        </w:rPr>
        <w:t>t</w:t>
      </w:r>
      <w:r>
        <w:rPr>
          <w:spacing w:val="-2"/>
        </w:rPr>
        <w:t>i</w:t>
      </w:r>
      <w:r>
        <w:t>c)</w:t>
      </w:r>
      <w:r>
        <w:rPr>
          <w:spacing w:val="-2"/>
        </w:rPr>
        <w:t xml:space="preserve"> </w:t>
      </w:r>
      <w:r>
        <w:t>şi</w:t>
      </w:r>
      <w:r>
        <w:rPr>
          <w:spacing w:val="1"/>
        </w:rPr>
        <w:t xml:space="preserve"> </w:t>
      </w:r>
      <w:r>
        <w:t>a</w:t>
      </w:r>
      <w:r>
        <w:rPr>
          <w:spacing w:val="-2"/>
        </w:rPr>
        <w:t xml:space="preserve"> </w:t>
      </w:r>
      <w:r>
        <w:rPr>
          <w:spacing w:val="1"/>
        </w:rPr>
        <w:t>l</w:t>
      </w:r>
      <w:r>
        <w:rPr>
          <w:spacing w:val="-3"/>
        </w:rPr>
        <w:t>e</w:t>
      </w:r>
      <w:r>
        <w:t>uce</w:t>
      </w:r>
      <w:r>
        <w:rPr>
          <w:spacing w:val="-4"/>
        </w:rPr>
        <w:t>m</w:t>
      </w:r>
      <w:r>
        <w:rPr>
          <w:spacing w:val="1"/>
        </w:rPr>
        <w:t>i</w:t>
      </w:r>
      <w:r>
        <w:t>ei</w:t>
      </w:r>
      <w:r>
        <w:rPr>
          <w:spacing w:val="-2"/>
        </w:rPr>
        <w:t xml:space="preserve"> </w:t>
      </w:r>
      <w:r>
        <w:t>(un</w:t>
      </w:r>
      <w:r>
        <w:rPr>
          <w:spacing w:val="-3"/>
        </w:rPr>
        <w:t xml:space="preserve"> </w:t>
      </w:r>
      <w:r>
        <w:t>can</w:t>
      </w:r>
      <w:r>
        <w:rPr>
          <w:spacing w:val="-4"/>
        </w:rPr>
        <w:t>c</w:t>
      </w:r>
      <w:r>
        <w:t>er</w:t>
      </w:r>
      <w:r>
        <w:rPr>
          <w:spacing w:val="-2"/>
        </w:rPr>
        <w:t xml:space="preserve"> </w:t>
      </w:r>
      <w:r>
        <w:t>ca</w:t>
      </w:r>
      <w:r>
        <w:rPr>
          <w:spacing w:val="-2"/>
        </w:rPr>
        <w:t>r</w:t>
      </w:r>
      <w:r>
        <w:t xml:space="preserve">e </w:t>
      </w:r>
      <w:r>
        <w:rPr>
          <w:spacing w:val="-3"/>
        </w:rPr>
        <w:t>a</w:t>
      </w:r>
      <w:r>
        <w:t>fe</w:t>
      </w:r>
      <w:r>
        <w:rPr>
          <w:spacing w:val="-3"/>
        </w:rPr>
        <w:t>c</w:t>
      </w:r>
      <w:r>
        <w:rPr>
          <w:spacing w:val="1"/>
        </w:rPr>
        <w:t>t</w:t>
      </w:r>
      <w:r>
        <w:t>ea</w:t>
      </w:r>
      <w:r>
        <w:rPr>
          <w:spacing w:val="-3"/>
        </w:rPr>
        <w:t>z</w:t>
      </w:r>
      <w:r>
        <w:t xml:space="preserve">ă </w:t>
      </w:r>
      <w:r>
        <w:rPr>
          <w:spacing w:val="-2"/>
        </w:rPr>
        <w:t>s</w:t>
      </w:r>
      <w:r>
        <w:t>â</w:t>
      </w:r>
      <w:r>
        <w:rPr>
          <w:spacing w:val="-3"/>
        </w:rPr>
        <w:t>ng</w:t>
      </w:r>
      <w:r>
        <w:t>e</w:t>
      </w:r>
      <w:r>
        <w:rPr>
          <w:spacing w:val="1"/>
        </w:rPr>
        <w:t>l</w:t>
      </w:r>
      <w:r>
        <w:t xml:space="preserve">e şi </w:t>
      </w:r>
      <w:r>
        <w:rPr>
          <w:spacing w:val="-4"/>
        </w:rPr>
        <w:t>m</w:t>
      </w:r>
      <w:r>
        <w:t>ăd</w:t>
      </w:r>
      <w:r>
        <w:rPr>
          <w:spacing w:val="2"/>
        </w:rPr>
        <w:t>u</w:t>
      </w:r>
      <w:r>
        <w:rPr>
          <w:spacing w:val="-3"/>
        </w:rPr>
        <w:t>v</w:t>
      </w:r>
      <w:r>
        <w:t>a osoas</w:t>
      </w:r>
      <w:r>
        <w:rPr>
          <w:spacing w:val="-3"/>
        </w:rPr>
        <w:t>ă</w:t>
      </w:r>
      <w:r>
        <w:t xml:space="preserve">). </w:t>
      </w:r>
    </w:p>
    <w:p w14:paraId="3EA86E3C"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D</w:t>
      </w:r>
      <w:r>
        <w:rPr>
          <w:spacing w:val="-3"/>
        </w:rPr>
        <w:t>a</w:t>
      </w:r>
      <w:r>
        <w:t xml:space="preserve">că </w:t>
      </w:r>
      <w:r>
        <w:rPr>
          <w:spacing w:val="-3"/>
        </w:rPr>
        <w:t>u</w:t>
      </w:r>
      <w:r>
        <w:rPr>
          <w:spacing w:val="1"/>
        </w:rPr>
        <w:t>t</w:t>
      </w:r>
      <w:r>
        <w:rPr>
          <w:spacing w:val="-2"/>
        </w:rPr>
        <w:t>i</w:t>
      </w:r>
      <w:r>
        <w:rPr>
          <w:spacing w:val="1"/>
        </w:rPr>
        <w:t>l</w:t>
      </w:r>
      <w:r>
        <w:rPr>
          <w:spacing w:val="-2"/>
        </w:rPr>
        <w:t>i</w:t>
      </w:r>
      <w:r>
        <w:rPr>
          <w:spacing w:val="-3"/>
        </w:rPr>
        <w:t>z</w:t>
      </w:r>
      <w:r>
        <w:t>a</w:t>
      </w:r>
      <w:r>
        <w:rPr>
          <w:spacing w:val="1"/>
        </w:rPr>
        <w:t>ţ</w:t>
      </w:r>
      <w:r>
        <w:t>i</w:t>
      </w:r>
      <w:r>
        <w:rPr>
          <w:spacing w:val="1"/>
        </w:rPr>
        <w:t xml:space="preserve"> </w:t>
      </w:r>
      <w:r>
        <w:rPr>
          <w:spacing w:val="-1"/>
          <w:szCs w:val="22"/>
          <w:lang w:eastAsia="en-US" w:bidi="ar-SA"/>
        </w:rPr>
        <w:t>AMGEVITA</w:t>
      </w:r>
      <w:r>
        <w:t xml:space="preserve"> po</w:t>
      </w:r>
      <w:r>
        <w:rPr>
          <w:spacing w:val="-3"/>
        </w:rPr>
        <w:t>a</w:t>
      </w:r>
      <w:r>
        <w:rPr>
          <w:spacing w:val="1"/>
        </w:rPr>
        <w:t>t</w:t>
      </w:r>
      <w:r>
        <w:t>e</w:t>
      </w:r>
      <w:r>
        <w:rPr>
          <w:spacing w:val="-2"/>
        </w:rPr>
        <w:t xml:space="preserve"> </w:t>
      </w:r>
      <w:r>
        <w:t xml:space="preserve">să </w:t>
      </w:r>
      <w:r>
        <w:rPr>
          <w:spacing w:val="-3"/>
        </w:rPr>
        <w:t>c</w:t>
      </w:r>
      <w:r>
        <w:t>re</w:t>
      </w:r>
      <w:r>
        <w:rPr>
          <w:spacing w:val="-3"/>
        </w:rPr>
        <w:t>a</w:t>
      </w:r>
      <w:r>
        <w:t>s</w:t>
      </w:r>
      <w:r>
        <w:rPr>
          <w:spacing w:val="-3"/>
        </w:rPr>
        <w:t>c</w:t>
      </w:r>
      <w:r>
        <w:t>ă r</w:t>
      </w:r>
      <w:r>
        <w:rPr>
          <w:spacing w:val="-2"/>
        </w:rPr>
        <w:t>i</w:t>
      </w:r>
      <w:r>
        <w:t>sc</w:t>
      </w:r>
      <w:r>
        <w:rPr>
          <w:spacing w:val="-3"/>
        </w:rPr>
        <w:t>u</w:t>
      </w:r>
      <w:r>
        <w:t>l</w:t>
      </w:r>
      <w:r>
        <w:rPr>
          <w:spacing w:val="1"/>
        </w:rPr>
        <w:t xml:space="preserve"> </w:t>
      </w:r>
      <w:r>
        <w:t>a</w:t>
      </w:r>
      <w:r>
        <w:rPr>
          <w:spacing w:val="-3"/>
        </w:rPr>
        <w:t>p</w:t>
      </w:r>
      <w:r>
        <w:t>a</w:t>
      </w:r>
      <w:r>
        <w:rPr>
          <w:spacing w:val="-2"/>
        </w:rPr>
        <w:t>r</w:t>
      </w:r>
      <w:r>
        <w:rPr>
          <w:spacing w:val="1"/>
        </w:rPr>
        <w:t>i</w:t>
      </w:r>
      <w:r>
        <w:rPr>
          <w:spacing w:val="-2"/>
        </w:rPr>
        <w:t>ţ</w:t>
      </w:r>
      <w:r>
        <w:rPr>
          <w:spacing w:val="1"/>
        </w:rPr>
        <w:t>i</w:t>
      </w:r>
      <w:r>
        <w:t>ei</w:t>
      </w:r>
      <w:r>
        <w:rPr>
          <w:spacing w:val="-2"/>
        </w:rPr>
        <w:t xml:space="preserve"> l</w:t>
      </w:r>
      <w:r>
        <w:rPr>
          <w:spacing w:val="1"/>
        </w:rPr>
        <w:t>i</w:t>
      </w:r>
      <w:r>
        <w:rPr>
          <w:spacing w:val="-4"/>
        </w:rPr>
        <w:t>m</w:t>
      </w:r>
      <w:r>
        <w:t>fo</w:t>
      </w:r>
      <w:r>
        <w:rPr>
          <w:spacing w:val="-4"/>
        </w:rPr>
        <w:t>m</w:t>
      </w:r>
      <w:r>
        <w:t>u</w:t>
      </w:r>
      <w:r>
        <w:rPr>
          <w:spacing w:val="1"/>
        </w:rPr>
        <w:t>l</w:t>
      </w:r>
      <w:r>
        <w:t>u</w:t>
      </w:r>
      <w:r>
        <w:rPr>
          <w:spacing w:val="1"/>
        </w:rPr>
        <w:t>i</w:t>
      </w:r>
      <w:r>
        <w:t xml:space="preserve">, </w:t>
      </w:r>
      <w:r>
        <w:rPr>
          <w:spacing w:val="-2"/>
        </w:rPr>
        <w:t>l</w:t>
      </w:r>
      <w:r>
        <w:t>euce</w:t>
      </w:r>
      <w:r>
        <w:rPr>
          <w:spacing w:val="-4"/>
        </w:rPr>
        <w:t>m</w:t>
      </w:r>
      <w:r>
        <w:rPr>
          <w:spacing w:val="1"/>
        </w:rPr>
        <w:t>i</w:t>
      </w:r>
      <w:r>
        <w:t>e</w:t>
      </w:r>
      <w:r>
        <w:rPr>
          <w:spacing w:val="1"/>
        </w:rPr>
        <w:t>i</w:t>
      </w:r>
      <w:r>
        <w:t>, sau a</w:t>
      </w:r>
      <w:r>
        <w:rPr>
          <w:spacing w:val="-2"/>
        </w:rPr>
        <w:t xml:space="preserve"> </w:t>
      </w:r>
      <w:r>
        <w:t>a</w:t>
      </w:r>
      <w:r>
        <w:rPr>
          <w:spacing w:val="-2"/>
        </w:rPr>
        <w:t>l</w:t>
      </w:r>
      <w:r>
        <w:rPr>
          <w:spacing w:val="1"/>
        </w:rPr>
        <w:t>t</w:t>
      </w:r>
      <w:r>
        <w:rPr>
          <w:spacing w:val="-1"/>
        </w:rPr>
        <w:t>o</w:t>
      </w:r>
      <w:r>
        <w:t>r</w:t>
      </w:r>
      <w:r>
        <w:rPr>
          <w:spacing w:val="-2"/>
        </w:rPr>
        <w:t xml:space="preserve"> </w:t>
      </w:r>
      <w:r>
        <w:rPr>
          <w:spacing w:val="1"/>
        </w:rPr>
        <w:t>t</w:t>
      </w:r>
      <w:r>
        <w:rPr>
          <w:spacing w:val="-2"/>
        </w:rPr>
        <w:t>i</w:t>
      </w:r>
      <w:r>
        <w:t>pu</w:t>
      </w:r>
      <w:r>
        <w:rPr>
          <w:spacing w:val="-2"/>
        </w:rPr>
        <w:t>r</w:t>
      </w:r>
      <w:r>
        <w:t>i</w:t>
      </w:r>
      <w:r>
        <w:rPr>
          <w:spacing w:val="1"/>
        </w:rPr>
        <w:t xml:space="preserve"> </w:t>
      </w:r>
      <w:r>
        <w:t>de</w:t>
      </w:r>
      <w:r>
        <w:rPr>
          <w:spacing w:val="-2"/>
        </w:rPr>
        <w:t xml:space="preserve"> </w:t>
      </w:r>
      <w:r>
        <w:t>can</w:t>
      </w:r>
      <w:r>
        <w:rPr>
          <w:spacing w:val="-3"/>
        </w:rPr>
        <w:t>c</w:t>
      </w:r>
      <w:r>
        <w:t>er.</w:t>
      </w:r>
      <w:r>
        <w:rPr>
          <w:spacing w:val="-3"/>
        </w:rPr>
        <w:t xml:space="preserve"> </w:t>
      </w:r>
      <w:r>
        <w:rPr>
          <w:spacing w:val="-1"/>
        </w:rPr>
        <w:t>R</w:t>
      </w:r>
      <w:r>
        <w:t>are</w:t>
      </w:r>
      <w:r>
        <w:rPr>
          <w:spacing w:val="-3"/>
        </w:rPr>
        <w:t>o</w:t>
      </w:r>
      <w:r>
        <w:t>r</w:t>
      </w:r>
      <w:r>
        <w:rPr>
          <w:spacing w:val="1"/>
        </w:rPr>
        <w:t>i</w:t>
      </w:r>
      <w:r>
        <w:t>,</w:t>
      </w:r>
      <w:r>
        <w:rPr>
          <w:spacing w:val="-3"/>
        </w:rPr>
        <w:t xml:space="preserve"> </w:t>
      </w:r>
      <w:r>
        <w:rPr>
          <w:spacing w:val="1"/>
        </w:rPr>
        <w:t>l</w:t>
      </w:r>
      <w:r>
        <w:t xml:space="preserve">a </w:t>
      </w:r>
      <w:r>
        <w:rPr>
          <w:spacing w:val="-3"/>
        </w:rPr>
        <w:t>p</w:t>
      </w:r>
      <w:r>
        <w:t>a</w:t>
      </w:r>
      <w:r>
        <w:rPr>
          <w:spacing w:val="-3"/>
        </w:rPr>
        <w:t>c</w:t>
      </w:r>
      <w:r>
        <w:rPr>
          <w:spacing w:val="1"/>
        </w:rPr>
        <w:t>i</w:t>
      </w:r>
      <w:r>
        <w:t>e</w:t>
      </w:r>
      <w:r>
        <w:rPr>
          <w:spacing w:val="-3"/>
        </w:rPr>
        <w:t>n</w:t>
      </w:r>
      <w:r>
        <w:rPr>
          <w:spacing w:val="1"/>
        </w:rPr>
        <w:t>ţ</w:t>
      </w:r>
      <w:r>
        <w:rPr>
          <w:spacing w:val="-2"/>
        </w:rPr>
        <w:t>i</w:t>
      </w:r>
      <w:r>
        <w:t>i</w:t>
      </w:r>
      <w:r>
        <w:rPr>
          <w:spacing w:val="1"/>
        </w:rPr>
        <w:t xml:space="preserve"> </w:t>
      </w:r>
      <w:r>
        <w:t>c</w:t>
      </w:r>
      <w:r>
        <w:rPr>
          <w:spacing w:val="-3"/>
        </w:rPr>
        <w:t>a</w:t>
      </w:r>
      <w:r>
        <w:t xml:space="preserve">re </w:t>
      </w:r>
      <w:r>
        <w:rPr>
          <w:spacing w:val="-3"/>
        </w:rPr>
        <w:t>u</w:t>
      </w:r>
      <w:r>
        <w:rPr>
          <w:spacing w:val="1"/>
        </w:rPr>
        <w:t>t</w:t>
      </w:r>
      <w:r>
        <w:rPr>
          <w:spacing w:val="-2"/>
        </w:rPr>
        <w:t>i</w:t>
      </w:r>
      <w:r>
        <w:rPr>
          <w:spacing w:val="1"/>
        </w:rPr>
        <w:t>li</w:t>
      </w:r>
      <w:r>
        <w:rPr>
          <w:spacing w:val="-3"/>
        </w:rPr>
        <w:t>z</w:t>
      </w:r>
      <w:r>
        <w:t>ea</w:t>
      </w:r>
      <w:r>
        <w:rPr>
          <w:spacing w:val="-3"/>
        </w:rPr>
        <w:t>z</w:t>
      </w:r>
      <w:r>
        <w:t xml:space="preserve">ă </w:t>
      </w:r>
      <w:r>
        <w:rPr>
          <w:spacing w:val="-1"/>
          <w:szCs w:val="22"/>
          <w:lang w:eastAsia="en-US" w:bidi="ar-SA"/>
        </w:rPr>
        <w:t>adalimumab</w:t>
      </w:r>
      <w:r>
        <w:t>, s</w:t>
      </w:r>
      <w:r>
        <w:rPr>
          <w:spacing w:val="-6"/>
        </w:rPr>
        <w:t>-</w:t>
      </w:r>
      <w:r>
        <w:t>a obser</w:t>
      </w:r>
      <w:r>
        <w:rPr>
          <w:spacing w:val="-3"/>
        </w:rPr>
        <w:t>va</w:t>
      </w:r>
      <w:r>
        <w:t>t</w:t>
      </w:r>
      <w:r>
        <w:rPr>
          <w:spacing w:val="1"/>
        </w:rPr>
        <w:t xml:space="preserve"> </w:t>
      </w:r>
      <w:r>
        <w:t>un</w:t>
      </w:r>
      <w:r>
        <w:rPr>
          <w:spacing w:val="-3"/>
        </w:rPr>
        <w:t xml:space="preserve"> </w:t>
      </w:r>
      <w:r>
        <w:rPr>
          <w:spacing w:val="1"/>
        </w:rPr>
        <w:t>ti</w:t>
      </w:r>
      <w:r>
        <w:t>p spe</w:t>
      </w:r>
      <w:r>
        <w:rPr>
          <w:spacing w:val="-3"/>
        </w:rPr>
        <w:t>c</w:t>
      </w:r>
      <w:r>
        <w:rPr>
          <w:spacing w:val="1"/>
        </w:rPr>
        <w:t>i</w:t>
      </w:r>
      <w:r>
        <w:rPr>
          <w:spacing w:val="-2"/>
        </w:rPr>
        <w:t>f</w:t>
      </w:r>
      <w:r>
        <w:rPr>
          <w:spacing w:val="1"/>
        </w:rPr>
        <w:t>i</w:t>
      </w:r>
      <w:r>
        <w:t xml:space="preserve">c </w:t>
      </w:r>
      <w:r>
        <w:rPr>
          <w:szCs w:val="22"/>
          <w:lang w:eastAsia="en-US" w:bidi="ar-SA"/>
        </w:rPr>
        <w:t xml:space="preserve">şi sever </w:t>
      </w:r>
      <w:r>
        <w:rPr>
          <w:spacing w:val="-3"/>
        </w:rPr>
        <w:t>d</w:t>
      </w:r>
      <w:r>
        <w:t xml:space="preserve">e </w:t>
      </w:r>
      <w:r>
        <w:rPr>
          <w:spacing w:val="-2"/>
        </w:rPr>
        <w:t>l</w:t>
      </w:r>
      <w:r>
        <w:rPr>
          <w:spacing w:val="1"/>
        </w:rPr>
        <w:t>i</w:t>
      </w:r>
      <w:r>
        <w:rPr>
          <w:spacing w:val="-4"/>
        </w:rPr>
        <w:t>m</w:t>
      </w:r>
      <w:r>
        <w:t>fo</w:t>
      </w:r>
      <w:r>
        <w:rPr>
          <w:spacing w:val="-4"/>
        </w:rPr>
        <w:t>m</w:t>
      </w:r>
      <w:r>
        <w:t xml:space="preserve">. </w:t>
      </w:r>
      <w:r>
        <w:rPr>
          <w:spacing w:val="-1"/>
        </w:rPr>
        <w:t>U</w:t>
      </w:r>
      <w:r>
        <w:t>n</w:t>
      </w:r>
      <w:r>
        <w:rPr>
          <w:spacing w:val="1"/>
        </w:rPr>
        <w:t>i</w:t>
      </w:r>
      <w:r>
        <w:t>i</w:t>
      </w:r>
      <w:r>
        <w:rPr>
          <w:spacing w:val="1"/>
        </w:rPr>
        <w:t xml:space="preserve"> </w:t>
      </w:r>
      <w:r>
        <w:t>d</w:t>
      </w:r>
      <w:r>
        <w:rPr>
          <w:spacing w:val="-2"/>
        </w:rPr>
        <w:t>i</w:t>
      </w:r>
      <w:r>
        <w:t>n</w:t>
      </w:r>
      <w:r>
        <w:rPr>
          <w:spacing w:val="1"/>
        </w:rPr>
        <w:t>t</w:t>
      </w:r>
      <w:r>
        <w:t>re</w:t>
      </w:r>
      <w:r>
        <w:rPr>
          <w:spacing w:val="-2"/>
        </w:rPr>
        <w:t xml:space="preserve"> </w:t>
      </w:r>
      <w:r>
        <w:t>ac</w:t>
      </w:r>
      <w:r>
        <w:rPr>
          <w:spacing w:val="-3"/>
        </w:rPr>
        <w:t>e</w:t>
      </w:r>
      <w:r>
        <w:t>ş</w:t>
      </w:r>
      <w:r>
        <w:rPr>
          <w:spacing w:val="-2"/>
        </w:rPr>
        <w:t>t</w:t>
      </w:r>
      <w:r>
        <w:t>i</w:t>
      </w:r>
      <w:r>
        <w:rPr>
          <w:spacing w:val="1"/>
        </w:rPr>
        <w:t xml:space="preserve"> </w:t>
      </w:r>
      <w:r>
        <w:rPr>
          <w:spacing w:val="-1"/>
        </w:rPr>
        <w:t>p</w:t>
      </w:r>
      <w:r>
        <w:rPr>
          <w:spacing w:val="-3"/>
        </w:rPr>
        <w:t>a</w:t>
      </w:r>
      <w:r>
        <w:t>c</w:t>
      </w:r>
      <w:r>
        <w:rPr>
          <w:spacing w:val="-2"/>
        </w:rPr>
        <w:t>i</w:t>
      </w:r>
      <w:r>
        <w:t>en</w:t>
      </w:r>
      <w:r>
        <w:rPr>
          <w:spacing w:val="-2"/>
        </w:rPr>
        <w:t>ţ</w:t>
      </w:r>
      <w:r>
        <w:t>i</w:t>
      </w:r>
      <w:r>
        <w:rPr>
          <w:spacing w:val="1"/>
        </w:rPr>
        <w:t xml:space="preserve"> </w:t>
      </w:r>
      <w:r>
        <w:rPr>
          <w:spacing w:val="-3"/>
        </w:rPr>
        <w:t>e</w:t>
      </w:r>
      <w:r>
        <w:t>rau</w:t>
      </w:r>
      <w:r>
        <w:rPr>
          <w:spacing w:val="-3"/>
        </w:rPr>
        <w:t xml:space="preserve"> </w:t>
      </w:r>
      <w:r>
        <w:rPr>
          <w:spacing w:val="1"/>
        </w:rPr>
        <w:t>t</w:t>
      </w:r>
      <w:r>
        <w:rPr>
          <w:spacing w:val="-2"/>
        </w:rPr>
        <w:t>r</w:t>
      </w:r>
      <w:r>
        <w:t>a</w:t>
      </w:r>
      <w:r>
        <w:rPr>
          <w:spacing w:val="-2"/>
        </w:rPr>
        <w:t>t</w:t>
      </w:r>
      <w:r>
        <w:t>a</w:t>
      </w:r>
      <w:r>
        <w:rPr>
          <w:spacing w:val="1"/>
        </w:rPr>
        <w:t>ţ</w:t>
      </w:r>
      <w:r>
        <w:t>i</w:t>
      </w:r>
      <w:r>
        <w:rPr>
          <w:spacing w:val="-2"/>
        </w:rPr>
        <w:t xml:space="preserve"> </w:t>
      </w:r>
      <w:r>
        <w:t xml:space="preserve">de </w:t>
      </w:r>
      <w:r>
        <w:rPr>
          <w:spacing w:val="-3"/>
        </w:rPr>
        <w:t>a</w:t>
      </w:r>
      <w:r>
        <w:t>se</w:t>
      </w:r>
      <w:r>
        <w:rPr>
          <w:spacing w:val="-4"/>
        </w:rPr>
        <w:t>m</w:t>
      </w:r>
      <w:r>
        <w:t>enea cu</w:t>
      </w:r>
      <w:r>
        <w:rPr>
          <w:spacing w:val="-3"/>
        </w:rPr>
        <w:t xml:space="preserve"> </w:t>
      </w:r>
      <w:r>
        <w:t>a</w:t>
      </w:r>
      <w:r>
        <w:rPr>
          <w:spacing w:val="-3"/>
        </w:rPr>
        <w:t>z</w:t>
      </w:r>
      <w:r>
        <w:t>a</w:t>
      </w:r>
      <w:r>
        <w:rPr>
          <w:spacing w:val="1"/>
        </w:rPr>
        <w:t>t</w:t>
      </w:r>
      <w:r>
        <w:rPr>
          <w:spacing w:val="-2"/>
        </w:rPr>
        <w:t>i</w:t>
      </w:r>
      <w:r>
        <w:t>op</w:t>
      </w:r>
      <w:r>
        <w:rPr>
          <w:spacing w:val="-2"/>
        </w:rPr>
        <w:t>r</w:t>
      </w:r>
      <w:r>
        <w:rPr>
          <w:spacing w:val="1"/>
        </w:rPr>
        <w:t>i</w:t>
      </w:r>
      <w:r>
        <w:t xml:space="preserve">nă </w:t>
      </w:r>
      <w:r>
        <w:rPr>
          <w:spacing w:val="-2"/>
        </w:rPr>
        <w:t>s</w:t>
      </w:r>
      <w:r>
        <w:t>au 6</w:t>
      </w:r>
      <w:r>
        <w:rPr>
          <w:spacing w:val="-2"/>
        </w:rPr>
        <w:t>-</w:t>
      </w:r>
      <w:r>
        <w:rPr>
          <w:spacing w:val="-4"/>
        </w:rPr>
        <w:t>m</w:t>
      </w:r>
      <w:r>
        <w:t>ercap</w:t>
      </w:r>
      <w:r>
        <w:rPr>
          <w:spacing w:val="1"/>
        </w:rPr>
        <w:t>t</w:t>
      </w:r>
      <w:r>
        <w:t>opu</w:t>
      </w:r>
      <w:r>
        <w:rPr>
          <w:spacing w:val="-2"/>
        </w:rPr>
        <w:t>r</w:t>
      </w:r>
      <w:r>
        <w:rPr>
          <w:spacing w:val="1"/>
        </w:rPr>
        <w:t>i</w:t>
      </w:r>
      <w:r>
        <w:t>nă.</w:t>
      </w:r>
      <w:r>
        <w:rPr>
          <w:spacing w:val="-3"/>
        </w:rPr>
        <w:t xml:space="preserve"> </w:t>
      </w:r>
      <w:r>
        <w:rPr>
          <w:spacing w:val="-1"/>
        </w:rPr>
        <w:t>S</w:t>
      </w:r>
      <w:r>
        <w:t>pun</w:t>
      </w:r>
      <w:r>
        <w:rPr>
          <w:spacing w:val="-3"/>
        </w:rPr>
        <w:t>e</w:t>
      </w:r>
      <w:r>
        <w:rPr>
          <w:spacing w:val="1"/>
        </w:rPr>
        <w:t>ţ</w:t>
      </w:r>
      <w:r>
        <w:t>i</w:t>
      </w:r>
      <w:r>
        <w:rPr>
          <w:spacing w:val="-4"/>
        </w:rPr>
        <w:t xml:space="preserve"> m</w:t>
      </w:r>
      <w:r>
        <w:t>ed</w:t>
      </w:r>
      <w:r>
        <w:rPr>
          <w:spacing w:val="1"/>
        </w:rPr>
        <w:t>i</w:t>
      </w:r>
      <w:r>
        <w:t>cu</w:t>
      </w:r>
      <w:r>
        <w:rPr>
          <w:spacing w:val="1"/>
        </w:rPr>
        <w:t>l</w:t>
      </w:r>
      <w:r>
        <w:t>ui</w:t>
      </w:r>
      <w:r>
        <w:rPr>
          <w:spacing w:val="-2"/>
        </w:rPr>
        <w:t xml:space="preserve"> </w:t>
      </w:r>
      <w:r>
        <w:t>du</w:t>
      </w:r>
      <w:r>
        <w:rPr>
          <w:spacing w:val="-4"/>
        </w:rPr>
        <w:t>m</w:t>
      </w:r>
      <w:r>
        <w:t>nea</w:t>
      </w:r>
      <w:r>
        <w:rPr>
          <w:spacing w:val="-3"/>
        </w:rPr>
        <w:t>v</w:t>
      </w:r>
      <w:r>
        <w:t>oas</w:t>
      </w:r>
      <w:r>
        <w:rPr>
          <w:spacing w:val="1"/>
        </w:rPr>
        <w:t>t</w:t>
      </w:r>
      <w:r>
        <w:rPr>
          <w:spacing w:val="-2"/>
        </w:rPr>
        <w:t>r</w:t>
      </w:r>
      <w:r>
        <w:t xml:space="preserve">ă </w:t>
      </w:r>
      <w:r>
        <w:rPr>
          <w:spacing w:val="-3"/>
        </w:rPr>
        <w:t>d</w:t>
      </w:r>
      <w:r>
        <w:t xml:space="preserve">acă </w:t>
      </w:r>
      <w:r>
        <w:rPr>
          <w:spacing w:val="-3"/>
        </w:rPr>
        <w:t>u</w:t>
      </w:r>
      <w:r>
        <w:rPr>
          <w:spacing w:val="1"/>
        </w:rPr>
        <w:t>t</w:t>
      </w:r>
      <w:r>
        <w:rPr>
          <w:spacing w:val="-2"/>
        </w:rPr>
        <w:t>i</w:t>
      </w:r>
      <w:r>
        <w:rPr>
          <w:spacing w:val="1"/>
        </w:rPr>
        <w:t>li</w:t>
      </w:r>
      <w:r>
        <w:rPr>
          <w:spacing w:val="-3"/>
        </w:rPr>
        <w:t>z</w:t>
      </w:r>
      <w:r>
        <w:t>a</w:t>
      </w:r>
      <w:r>
        <w:rPr>
          <w:spacing w:val="-2"/>
        </w:rPr>
        <w:t>ţ</w:t>
      </w:r>
      <w:r>
        <w:t>i</w:t>
      </w:r>
      <w:r>
        <w:rPr>
          <w:spacing w:val="1"/>
        </w:rPr>
        <w:t xml:space="preserve"> </w:t>
      </w:r>
      <w:r>
        <w:t>a</w:t>
      </w:r>
      <w:r>
        <w:rPr>
          <w:spacing w:val="-3"/>
        </w:rPr>
        <w:t>za</w:t>
      </w:r>
      <w:r>
        <w:rPr>
          <w:spacing w:val="1"/>
        </w:rPr>
        <w:t>ti</w:t>
      </w:r>
      <w:r>
        <w:t>o</w:t>
      </w:r>
      <w:r>
        <w:rPr>
          <w:spacing w:val="-3"/>
        </w:rPr>
        <w:t>p</w:t>
      </w:r>
      <w:r>
        <w:t>r</w:t>
      </w:r>
      <w:r>
        <w:rPr>
          <w:spacing w:val="-2"/>
        </w:rPr>
        <w:t>i</w:t>
      </w:r>
      <w:r>
        <w:t xml:space="preserve">nă </w:t>
      </w:r>
      <w:r>
        <w:rPr>
          <w:spacing w:val="-2"/>
        </w:rPr>
        <w:t>s</w:t>
      </w:r>
      <w:r>
        <w:t>au 6</w:t>
      </w:r>
      <w:r>
        <w:rPr>
          <w:spacing w:val="-2"/>
        </w:rPr>
        <w:t>-</w:t>
      </w:r>
      <w:r>
        <w:rPr>
          <w:spacing w:val="-4"/>
        </w:rPr>
        <w:t>m</w:t>
      </w:r>
      <w:r>
        <w:t>ercap</w:t>
      </w:r>
      <w:r>
        <w:rPr>
          <w:spacing w:val="1"/>
        </w:rPr>
        <w:t>t</w:t>
      </w:r>
      <w:r>
        <w:t>opu</w:t>
      </w:r>
      <w:r>
        <w:rPr>
          <w:spacing w:val="-2"/>
        </w:rPr>
        <w:t>r</w:t>
      </w:r>
      <w:r>
        <w:rPr>
          <w:spacing w:val="1"/>
        </w:rPr>
        <w:t>i</w:t>
      </w:r>
      <w:r>
        <w:t>nă</w:t>
      </w:r>
      <w:r>
        <w:rPr>
          <w:spacing w:val="-2"/>
        </w:rPr>
        <w:t xml:space="preserve"> </w:t>
      </w:r>
      <w:r>
        <w:t>con</w:t>
      </w:r>
      <w:r>
        <w:rPr>
          <w:spacing w:val="-3"/>
        </w:rPr>
        <w:t>c</w:t>
      </w:r>
      <w:r>
        <w:t>o</w:t>
      </w:r>
      <w:r>
        <w:rPr>
          <w:spacing w:val="-4"/>
        </w:rPr>
        <w:t>m</w:t>
      </w:r>
      <w:r>
        <w:rPr>
          <w:spacing w:val="1"/>
        </w:rPr>
        <w:t>it</w:t>
      </w:r>
      <w:r>
        <w:t>ent</w:t>
      </w:r>
      <w:r>
        <w:rPr>
          <w:spacing w:val="1"/>
        </w:rPr>
        <w:t xml:space="preserve"> </w:t>
      </w:r>
      <w:r>
        <w:rPr>
          <w:spacing w:val="-3"/>
        </w:rPr>
        <w:t>c</w:t>
      </w:r>
      <w:r>
        <w:t xml:space="preserve">u </w:t>
      </w:r>
      <w:r>
        <w:rPr>
          <w:spacing w:val="-1"/>
          <w:szCs w:val="22"/>
          <w:lang w:eastAsia="en-US" w:bidi="ar-SA"/>
        </w:rPr>
        <w:t>AMGEVITA</w:t>
      </w:r>
      <w:r>
        <w:t xml:space="preserve">. </w:t>
      </w:r>
    </w:p>
    <w:p w14:paraId="5E99CCBC"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4"/>
        </w:rPr>
        <w:t>Î</w:t>
      </w:r>
      <w:r>
        <w:t>n p</w:t>
      </w:r>
      <w:r>
        <w:rPr>
          <w:spacing w:val="1"/>
        </w:rPr>
        <w:t>l</w:t>
      </w:r>
      <w:r>
        <w:t>us, au</w:t>
      </w:r>
      <w:r>
        <w:rPr>
          <w:spacing w:val="-3"/>
        </w:rPr>
        <w:t xml:space="preserve"> </w:t>
      </w:r>
      <w:r>
        <w:rPr>
          <w:spacing w:val="-2"/>
        </w:rPr>
        <w:t>f</w:t>
      </w:r>
      <w:r>
        <w:t>ost</w:t>
      </w:r>
      <w:r>
        <w:rPr>
          <w:spacing w:val="1"/>
        </w:rPr>
        <w:t xml:space="preserve"> </w:t>
      </w:r>
      <w:r>
        <w:t>o</w:t>
      </w:r>
      <w:r>
        <w:rPr>
          <w:spacing w:val="-3"/>
        </w:rPr>
        <w:t>b</w:t>
      </w:r>
      <w:r>
        <w:t>s</w:t>
      </w:r>
      <w:r>
        <w:rPr>
          <w:spacing w:val="-3"/>
        </w:rPr>
        <w:t>e</w:t>
      </w:r>
      <w:r>
        <w:t>r</w:t>
      </w:r>
      <w:r>
        <w:rPr>
          <w:spacing w:val="-3"/>
        </w:rPr>
        <w:t>v</w:t>
      </w:r>
      <w:r>
        <w:t>a</w:t>
      </w:r>
      <w:r>
        <w:rPr>
          <w:spacing w:val="1"/>
        </w:rPr>
        <w:t>t</w:t>
      </w:r>
      <w:r>
        <w:t xml:space="preserve">e </w:t>
      </w:r>
      <w:r>
        <w:rPr>
          <w:spacing w:val="-3"/>
        </w:rPr>
        <w:t>c</w:t>
      </w:r>
      <w:r>
        <w:t>a</w:t>
      </w:r>
      <w:r>
        <w:rPr>
          <w:spacing w:val="-3"/>
        </w:rPr>
        <w:t>z</w:t>
      </w:r>
      <w:r>
        <w:t>uri</w:t>
      </w:r>
      <w:r>
        <w:rPr>
          <w:spacing w:val="1"/>
        </w:rPr>
        <w:t xml:space="preserve"> </w:t>
      </w:r>
      <w:r>
        <w:rPr>
          <w:spacing w:val="-3"/>
        </w:rPr>
        <w:t>d</w:t>
      </w:r>
      <w:r>
        <w:t>e ca</w:t>
      </w:r>
      <w:r>
        <w:rPr>
          <w:spacing w:val="-3"/>
        </w:rPr>
        <w:t>n</w:t>
      </w:r>
      <w:r>
        <w:t>cere</w:t>
      </w:r>
      <w:r>
        <w:rPr>
          <w:spacing w:val="-2"/>
        </w:rPr>
        <w:t xml:space="preserve"> </w:t>
      </w:r>
      <w:r>
        <w:t>cu</w:t>
      </w:r>
      <w:r>
        <w:rPr>
          <w:spacing w:val="-2"/>
        </w:rPr>
        <w:t>t</w:t>
      </w:r>
      <w:r>
        <w:t>an</w:t>
      </w:r>
      <w:r>
        <w:rPr>
          <w:spacing w:val="-3"/>
        </w:rPr>
        <w:t>a</w:t>
      </w:r>
      <w:r>
        <w:rPr>
          <w:spacing w:val="1"/>
        </w:rPr>
        <w:t>t</w:t>
      </w:r>
      <w:r>
        <w:t xml:space="preserve">e de </w:t>
      </w:r>
      <w:r>
        <w:rPr>
          <w:spacing w:val="-2"/>
        </w:rPr>
        <w:t>t</w:t>
      </w:r>
      <w:r>
        <w:rPr>
          <w:spacing w:val="1"/>
        </w:rPr>
        <w:t>i</w:t>
      </w:r>
      <w:r>
        <w:t>p ne</w:t>
      </w:r>
      <w:r>
        <w:rPr>
          <w:spacing w:val="-2"/>
        </w:rPr>
        <w:t>-</w:t>
      </w:r>
      <w:r>
        <w:rPr>
          <w:spacing w:val="-4"/>
        </w:rPr>
        <w:t>m</w:t>
      </w:r>
      <w:r>
        <w:t>e</w:t>
      </w:r>
      <w:r>
        <w:rPr>
          <w:spacing w:val="1"/>
        </w:rPr>
        <w:t>l</w:t>
      </w:r>
      <w:r>
        <w:t>anom</w:t>
      </w:r>
      <w:r>
        <w:rPr>
          <w:spacing w:val="-4"/>
        </w:rPr>
        <w:t xml:space="preserve"> </w:t>
      </w:r>
      <w:r>
        <w:rPr>
          <w:spacing w:val="1"/>
        </w:rPr>
        <w:t>l</w:t>
      </w:r>
      <w:r>
        <w:t>a pa</w:t>
      </w:r>
      <w:r>
        <w:rPr>
          <w:spacing w:val="-3"/>
        </w:rPr>
        <w:t>c</w:t>
      </w:r>
      <w:r>
        <w:rPr>
          <w:spacing w:val="1"/>
        </w:rPr>
        <w:t>i</w:t>
      </w:r>
      <w:r>
        <w:rPr>
          <w:spacing w:val="-3"/>
        </w:rPr>
        <w:t>e</w:t>
      </w:r>
      <w:r>
        <w:t>n</w:t>
      </w:r>
      <w:r>
        <w:rPr>
          <w:spacing w:val="1"/>
        </w:rPr>
        <w:t>ţ</w:t>
      </w:r>
      <w:r>
        <w:rPr>
          <w:spacing w:val="-2"/>
        </w:rPr>
        <w:t>i</w:t>
      </w:r>
      <w:r>
        <w:t>i</w:t>
      </w:r>
      <w:r>
        <w:rPr>
          <w:spacing w:val="1"/>
        </w:rPr>
        <w:t xml:space="preserve"> </w:t>
      </w:r>
      <w:r>
        <w:t>c</w:t>
      </w:r>
      <w:r>
        <w:rPr>
          <w:spacing w:val="-3"/>
        </w:rPr>
        <w:t>a</w:t>
      </w:r>
      <w:r>
        <w:t xml:space="preserve">re </w:t>
      </w:r>
      <w:r>
        <w:rPr>
          <w:spacing w:val="-3"/>
        </w:rPr>
        <w:t>u</w:t>
      </w:r>
      <w:r>
        <w:rPr>
          <w:spacing w:val="-2"/>
        </w:rPr>
        <w:t>t</w:t>
      </w:r>
      <w:r>
        <w:rPr>
          <w:spacing w:val="1"/>
        </w:rPr>
        <w:t>i</w:t>
      </w:r>
      <w:r>
        <w:rPr>
          <w:spacing w:val="-2"/>
        </w:rPr>
        <w:t>l</w:t>
      </w:r>
      <w:r>
        <w:rPr>
          <w:spacing w:val="1"/>
        </w:rPr>
        <w:t>i</w:t>
      </w:r>
      <w:r>
        <w:rPr>
          <w:spacing w:val="-3"/>
        </w:rPr>
        <w:t>z</w:t>
      </w:r>
      <w:r>
        <w:t>ea</w:t>
      </w:r>
      <w:r>
        <w:rPr>
          <w:spacing w:val="-3"/>
        </w:rPr>
        <w:t>z</w:t>
      </w:r>
      <w:r>
        <w:t xml:space="preserve">ă </w:t>
      </w:r>
      <w:r>
        <w:rPr>
          <w:spacing w:val="-1"/>
          <w:szCs w:val="22"/>
          <w:lang w:eastAsia="en-US" w:bidi="ar-SA"/>
        </w:rPr>
        <w:t>adalimumab</w:t>
      </w:r>
      <w:r>
        <w:t xml:space="preserve">. </w:t>
      </w: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 xml:space="preserve">dacă </w:t>
      </w:r>
      <w:r>
        <w:rPr>
          <w:spacing w:val="-3"/>
        </w:rPr>
        <w:t>v</w:t>
      </w:r>
      <w:r>
        <w:t>ă apar</w:t>
      </w:r>
      <w:r>
        <w:rPr>
          <w:spacing w:val="1"/>
        </w:rPr>
        <w:t xml:space="preserve"> </w:t>
      </w:r>
      <w:r>
        <w:t>n</w:t>
      </w:r>
      <w:r>
        <w:rPr>
          <w:spacing w:val="-3"/>
        </w:rPr>
        <w:t>o</w:t>
      </w:r>
      <w:r>
        <w:t>i</w:t>
      </w:r>
      <w:r>
        <w:rPr>
          <w:spacing w:val="1"/>
        </w:rPr>
        <w:t xml:space="preserve"> </w:t>
      </w:r>
      <w:r>
        <w:rPr>
          <w:spacing w:val="-2"/>
        </w:rPr>
        <w:t>l</w:t>
      </w:r>
      <w:r>
        <w:t>e</w:t>
      </w:r>
      <w:r>
        <w:rPr>
          <w:spacing w:val="-3"/>
        </w:rPr>
        <w:t>z</w:t>
      </w:r>
      <w:r>
        <w:rPr>
          <w:spacing w:val="1"/>
        </w:rPr>
        <w:t>i</w:t>
      </w:r>
      <w:r>
        <w:t>uni</w:t>
      </w:r>
      <w:r>
        <w:rPr>
          <w:spacing w:val="-2"/>
        </w:rPr>
        <w:t xml:space="preserve"> </w:t>
      </w:r>
      <w:r>
        <w:t>a</w:t>
      </w:r>
      <w:r>
        <w:rPr>
          <w:spacing w:val="-2"/>
        </w:rPr>
        <w:t>l</w:t>
      </w:r>
      <w:r>
        <w:t>e p</w:t>
      </w:r>
      <w:r>
        <w:rPr>
          <w:spacing w:val="-2"/>
        </w:rPr>
        <w:t>i</w:t>
      </w:r>
      <w:r>
        <w:t>e</w:t>
      </w:r>
      <w:r>
        <w:rPr>
          <w:spacing w:val="-2"/>
        </w:rPr>
        <w:t>l</w:t>
      </w:r>
      <w:r>
        <w:rPr>
          <w:spacing w:val="1"/>
        </w:rPr>
        <w:t>i</w:t>
      </w:r>
      <w:r>
        <w:t>i</w:t>
      </w:r>
      <w:r>
        <w:rPr>
          <w:spacing w:val="-2"/>
        </w:rPr>
        <w:t xml:space="preserve"> </w:t>
      </w:r>
      <w:r>
        <w:t>sau d</w:t>
      </w:r>
      <w:r>
        <w:rPr>
          <w:spacing w:val="-3"/>
        </w:rPr>
        <w:t>a</w:t>
      </w:r>
      <w:r>
        <w:t xml:space="preserve">că </w:t>
      </w:r>
      <w:r>
        <w:rPr>
          <w:spacing w:val="-3"/>
        </w:rPr>
        <w:t>a</w:t>
      </w:r>
      <w:r>
        <w:t>par</w:t>
      </w:r>
      <w:r>
        <w:rPr>
          <w:spacing w:val="1"/>
        </w:rPr>
        <w:t xml:space="preserve"> </w:t>
      </w:r>
      <w:r>
        <w:rPr>
          <w:spacing w:val="-4"/>
        </w:rPr>
        <w:t>m</w:t>
      </w:r>
      <w:r>
        <w:t>od</w:t>
      </w:r>
      <w:r>
        <w:rPr>
          <w:spacing w:val="1"/>
        </w:rPr>
        <w:t>i</w:t>
      </w:r>
      <w:r>
        <w:rPr>
          <w:spacing w:val="-2"/>
        </w:rPr>
        <w:t>f</w:t>
      </w:r>
      <w:r>
        <w:rPr>
          <w:spacing w:val="1"/>
        </w:rPr>
        <w:t>i</w:t>
      </w:r>
      <w:r>
        <w:rPr>
          <w:spacing w:val="-3"/>
        </w:rPr>
        <w:t>c</w:t>
      </w:r>
      <w:r>
        <w:t>ă</w:t>
      </w:r>
      <w:r>
        <w:rPr>
          <w:spacing w:val="-2"/>
        </w:rPr>
        <w:t>r</w:t>
      </w:r>
      <w:r>
        <w:t>i</w:t>
      </w:r>
      <w:r>
        <w:rPr>
          <w:spacing w:val="1"/>
        </w:rPr>
        <w:t xml:space="preserve"> </w:t>
      </w:r>
      <w:r>
        <w:rPr>
          <w:spacing w:val="-3"/>
        </w:rPr>
        <w:t>a</w:t>
      </w:r>
      <w:r>
        <w:rPr>
          <w:spacing w:val="-2"/>
        </w:rPr>
        <w:t>l</w:t>
      </w:r>
      <w:r>
        <w:t xml:space="preserve">e </w:t>
      </w:r>
      <w:r>
        <w:rPr>
          <w:spacing w:val="1"/>
        </w:rPr>
        <w:t>l</w:t>
      </w:r>
      <w:r>
        <w:t>e</w:t>
      </w:r>
      <w:r>
        <w:rPr>
          <w:spacing w:val="-3"/>
        </w:rPr>
        <w:t>z</w:t>
      </w:r>
      <w:r>
        <w:rPr>
          <w:spacing w:val="1"/>
        </w:rPr>
        <w:t>i</w:t>
      </w:r>
      <w:r>
        <w:t>u</w:t>
      </w:r>
      <w:r>
        <w:rPr>
          <w:spacing w:val="-3"/>
        </w:rPr>
        <w:t>n</w:t>
      </w:r>
      <w:r>
        <w:rPr>
          <w:spacing w:val="1"/>
        </w:rPr>
        <w:t>i</w:t>
      </w:r>
      <w:r>
        <w:rPr>
          <w:spacing w:val="-2"/>
        </w:rPr>
        <w:t>l</w:t>
      </w:r>
      <w:r>
        <w:t>or</w:t>
      </w:r>
      <w:r>
        <w:rPr>
          <w:spacing w:val="1"/>
        </w:rPr>
        <w:t xml:space="preserve"> </w:t>
      </w:r>
      <w:r>
        <w:rPr>
          <w:spacing w:val="-3"/>
        </w:rPr>
        <w:t>e</w:t>
      </w:r>
      <w:r>
        <w:t>x</w:t>
      </w:r>
      <w:r>
        <w:rPr>
          <w:spacing w:val="-2"/>
        </w:rPr>
        <w:t>i</w:t>
      </w:r>
      <w:r>
        <w:t>s</w:t>
      </w:r>
      <w:r>
        <w:rPr>
          <w:spacing w:val="1"/>
        </w:rPr>
        <w:t>t</w:t>
      </w:r>
      <w:r>
        <w:rPr>
          <w:spacing w:val="-3"/>
        </w:rPr>
        <w:t>e</w:t>
      </w:r>
      <w:r>
        <w:t>n</w:t>
      </w:r>
      <w:r>
        <w:rPr>
          <w:spacing w:val="1"/>
        </w:rPr>
        <w:t>t</w:t>
      </w:r>
      <w:r>
        <w:t>e</w:t>
      </w:r>
      <w:r>
        <w:rPr>
          <w:spacing w:val="-2"/>
        </w:rPr>
        <w:t xml:space="preserve"> </w:t>
      </w:r>
      <w:r>
        <w:rPr>
          <w:spacing w:val="1"/>
        </w:rPr>
        <w:t>î</w:t>
      </w:r>
      <w:r>
        <w:t>n</w:t>
      </w:r>
      <w:r>
        <w:rPr>
          <w:spacing w:val="-3"/>
        </w:rPr>
        <w:t xml:space="preserve"> </w:t>
      </w:r>
      <w:r>
        <w:rPr>
          <w:spacing w:val="1"/>
        </w:rPr>
        <w:t>ti</w:t>
      </w:r>
      <w:r>
        <w:rPr>
          <w:spacing w:val="-4"/>
        </w:rPr>
        <w:t>m</w:t>
      </w:r>
      <w:r>
        <w:t xml:space="preserve">pul </w:t>
      </w:r>
      <w:r>
        <w:rPr>
          <w:spacing w:val="1"/>
        </w:rPr>
        <w:t>t</w:t>
      </w:r>
      <w:r>
        <w:t>r</w:t>
      </w:r>
      <w:r>
        <w:rPr>
          <w:spacing w:val="-3"/>
        </w:rPr>
        <w:t>a</w:t>
      </w:r>
      <w:r>
        <w:rPr>
          <w:spacing w:val="1"/>
        </w:rPr>
        <w:t>t</w:t>
      </w:r>
      <w:r>
        <w:t>a</w:t>
      </w:r>
      <w:r>
        <w:rPr>
          <w:spacing w:val="-4"/>
        </w:rPr>
        <w:t>m</w:t>
      </w:r>
      <w:r>
        <w:t>en</w:t>
      </w:r>
      <w:r>
        <w:rPr>
          <w:spacing w:val="1"/>
        </w:rPr>
        <w:t>t</w:t>
      </w:r>
      <w:r>
        <w:rPr>
          <w:spacing w:val="-3"/>
        </w:rPr>
        <w:t>u</w:t>
      </w:r>
      <w:r>
        <w:rPr>
          <w:spacing w:val="1"/>
        </w:rPr>
        <w:t>l</w:t>
      </w:r>
      <w:r>
        <w:t>ui</w:t>
      </w:r>
      <w:r>
        <w:rPr>
          <w:spacing w:val="-2"/>
        </w:rPr>
        <w:t xml:space="preserve"> </w:t>
      </w:r>
      <w:r>
        <w:t xml:space="preserve">sau </w:t>
      </w:r>
      <w:r>
        <w:rPr>
          <w:spacing w:val="-3"/>
        </w:rPr>
        <w:t>d</w:t>
      </w:r>
      <w:r>
        <w:t>upă.</w:t>
      </w:r>
      <w:r>
        <w:rPr>
          <w:szCs w:val="22"/>
          <w:lang w:eastAsia="en-US" w:bidi="ar-SA"/>
        </w:rPr>
        <w:t xml:space="preserve"> </w:t>
      </w:r>
    </w:p>
    <w:p w14:paraId="4D503970"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rPr>
      </w:pPr>
      <w:r>
        <w:rPr>
          <w:spacing w:val="-1"/>
          <w:szCs w:val="22"/>
        </w:rPr>
        <w:t>A</w:t>
      </w:r>
      <w:r>
        <w:rPr>
          <w:szCs w:val="22"/>
        </w:rPr>
        <w:t>u fo</w:t>
      </w:r>
      <w:r>
        <w:rPr>
          <w:spacing w:val="-2"/>
          <w:szCs w:val="22"/>
        </w:rPr>
        <w:t>s</w:t>
      </w:r>
      <w:r>
        <w:rPr>
          <w:szCs w:val="22"/>
        </w:rPr>
        <w:t>t</w:t>
      </w:r>
      <w:r>
        <w:rPr>
          <w:spacing w:val="1"/>
          <w:szCs w:val="22"/>
        </w:rPr>
        <w:t xml:space="preserve"> </w:t>
      </w:r>
      <w:r>
        <w:rPr>
          <w:szCs w:val="22"/>
        </w:rPr>
        <w:t>r</w:t>
      </w:r>
      <w:r>
        <w:rPr>
          <w:spacing w:val="-3"/>
          <w:szCs w:val="22"/>
        </w:rPr>
        <w:t>a</w:t>
      </w:r>
      <w:r>
        <w:rPr>
          <w:szCs w:val="22"/>
        </w:rPr>
        <w:t>po</w:t>
      </w:r>
      <w:r>
        <w:rPr>
          <w:spacing w:val="-2"/>
          <w:szCs w:val="22"/>
        </w:rPr>
        <w:t>r</w:t>
      </w:r>
      <w:r>
        <w:rPr>
          <w:spacing w:val="1"/>
          <w:szCs w:val="22"/>
        </w:rPr>
        <w:t>t</w:t>
      </w:r>
      <w:r>
        <w:rPr>
          <w:spacing w:val="-3"/>
          <w:szCs w:val="22"/>
        </w:rPr>
        <w:t>a</w:t>
      </w:r>
      <w:r>
        <w:rPr>
          <w:spacing w:val="1"/>
          <w:szCs w:val="22"/>
        </w:rPr>
        <w:t>t</w:t>
      </w:r>
      <w:r>
        <w:rPr>
          <w:szCs w:val="22"/>
        </w:rPr>
        <w:t xml:space="preserve">e </w:t>
      </w:r>
      <w:r>
        <w:rPr>
          <w:spacing w:val="-3"/>
          <w:szCs w:val="22"/>
        </w:rPr>
        <w:t>c</w:t>
      </w:r>
      <w:r>
        <w:rPr>
          <w:szCs w:val="22"/>
        </w:rPr>
        <w:t>a</w:t>
      </w:r>
      <w:r>
        <w:rPr>
          <w:spacing w:val="-3"/>
          <w:szCs w:val="22"/>
        </w:rPr>
        <w:t>z</w:t>
      </w:r>
      <w:r>
        <w:rPr>
          <w:szCs w:val="22"/>
        </w:rPr>
        <w:t>uri</w:t>
      </w:r>
      <w:r>
        <w:rPr>
          <w:spacing w:val="1"/>
          <w:szCs w:val="22"/>
        </w:rPr>
        <w:t xml:space="preserve"> </w:t>
      </w:r>
      <w:r>
        <w:rPr>
          <w:spacing w:val="-3"/>
          <w:szCs w:val="22"/>
        </w:rPr>
        <w:t>d</w:t>
      </w:r>
      <w:r>
        <w:rPr>
          <w:szCs w:val="22"/>
        </w:rPr>
        <w:t>e</w:t>
      </w:r>
      <w:r>
        <w:rPr>
          <w:spacing w:val="-2"/>
          <w:szCs w:val="22"/>
        </w:rPr>
        <w:t xml:space="preserve"> </w:t>
      </w:r>
      <w:r>
        <w:rPr>
          <w:szCs w:val="22"/>
          <w:lang w:eastAsia="en-US" w:bidi="ar-SA"/>
        </w:rPr>
        <w:t>canc</w:t>
      </w:r>
      <w:r>
        <w:rPr>
          <w:spacing w:val="-3"/>
          <w:szCs w:val="22"/>
          <w:lang w:eastAsia="en-US" w:bidi="ar-SA"/>
        </w:rPr>
        <w:t>e</w:t>
      </w:r>
      <w:r>
        <w:rPr>
          <w:szCs w:val="22"/>
          <w:lang w:eastAsia="en-US" w:bidi="ar-SA"/>
        </w:rPr>
        <w:t>re</w:t>
      </w:r>
      <w:r>
        <w:rPr>
          <w:szCs w:val="22"/>
        </w:rPr>
        <w:t xml:space="preserve">, </w:t>
      </w:r>
      <w:r>
        <w:rPr>
          <w:spacing w:val="-3"/>
          <w:szCs w:val="22"/>
        </w:rPr>
        <w:t>a</w:t>
      </w:r>
      <w:r>
        <w:rPr>
          <w:spacing w:val="1"/>
          <w:szCs w:val="22"/>
        </w:rPr>
        <w:t>l</w:t>
      </w:r>
      <w:r>
        <w:rPr>
          <w:spacing w:val="-2"/>
          <w:szCs w:val="22"/>
        </w:rPr>
        <w:t>t</w:t>
      </w:r>
      <w:r>
        <w:rPr>
          <w:szCs w:val="22"/>
        </w:rPr>
        <w:t>e</w:t>
      </w:r>
      <w:r>
        <w:rPr>
          <w:spacing w:val="-2"/>
          <w:szCs w:val="22"/>
        </w:rPr>
        <w:t>l</w:t>
      </w:r>
      <w:r>
        <w:rPr>
          <w:szCs w:val="22"/>
        </w:rPr>
        <w:t>e de</w:t>
      </w:r>
      <w:r>
        <w:rPr>
          <w:spacing w:val="-3"/>
          <w:szCs w:val="22"/>
        </w:rPr>
        <w:t>c</w:t>
      </w:r>
      <w:r>
        <w:rPr>
          <w:szCs w:val="22"/>
        </w:rPr>
        <w:t>ât</w:t>
      </w:r>
      <w:r>
        <w:rPr>
          <w:spacing w:val="-2"/>
          <w:szCs w:val="22"/>
        </w:rPr>
        <w:t xml:space="preserve"> </w:t>
      </w:r>
      <w:r>
        <w:rPr>
          <w:spacing w:val="1"/>
          <w:szCs w:val="22"/>
        </w:rPr>
        <w:t>li</w:t>
      </w:r>
      <w:r>
        <w:rPr>
          <w:spacing w:val="-4"/>
          <w:szCs w:val="22"/>
        </w:rPr>
        <w:t>m</w:t>
      </w:r>
      <w:r>
        <w:rPr>
          <w:szCs w:val="22"/>
        </w:rPr>
        <w:t>fo</w:t>
      </w:r>
      <w:r>
        <w:rPr>
          <w:spacing w:val="-4"/>
          <w:szCs w:val="22"/>
        </w:rPr>
        <w:t>m</w:t>
      </w:r>
      <w:r>
        <w:rPr>
          <w:szCs w:val="22"/>
        </w:rPr>
        <w:t xml:space="preserve">, </w:t>
      </w:r>
      <w:r>
        <w:rPr>
          <w:spacing w:val="1"/>
          <w:szCs w:val="22"/>
        </w:rPr>
        <w:t>l</w:t>
      </w:r>
      <w:r>
        <w:rPr>
          <w:szCs w:val="22"/>
        </w:rPr>
        <w:t>a p</w:t>
      </w:r>
      <w:r>
        <w:rPr>
          <w:spacing w:val="-3"/>
          <w:szCs w:val="22"/>
        </w:rPr>
        <w:t>a</w:t>
      </w:r>
      <w:r>
        <w:rPr>
          <w:szCs w:val="22"/>
        </w:rPr>
        <w:t>c</w:t>
      </w:r>
      <w:r>
        <w:rPr>
          <w:spacing w:val="-2"/>
          <w:szCs w:val="22"/>
        </w:rPr>
        <w:t>i</w:t>
      </w:r>
      <w:r>
        <w:rPr>
          <w:szCs w:val="22"/>
        </w:rPr>
        <w:t>en</w:t>
      </w:r>
      <w:r>
        <w:rPr>
          <w:spacing w:val="-2"/>
          <w:szCs w:val="22"/>
        </w:rPr>
        <w:t>ţ</w:t>
      </w:r>
      <w:r>
        <w:rPr>
          <w:spacing w:val="1"/>
          <w:szCs w:val="22"/>
        </w:rPr>
        <w:t>i</w:t>
      </w:r>
      <w:r>
        <w:rPr>
          <w:szCs w:val="22"/>
        </w:rPr>
        <w:t>i</w:t>
      </w:r>
      <w:r>
        <w:rPr>
          <w:spacing w:val="-2"/>
          <w:szCs w:val="22"/>
        </w:rPr>
        <w:t xml:space="preserve"> </w:t>
      </w:r>
      <w:r>
        <w:rPr>
          <w:szCs w:val="22"/>
        </w:rPr>
        <w:t>cu un</w:t>
      </w:r>
      <w:r>
        <w:rPr>
          <w:spacing w:val="-3"/>
          <w:szCs w:val="22"/>
        </w:rPr>
        <w:t xml:space="preserve"> </w:t>
      </w:r>
      <w:r>
        <w:rPr>
          <w:szCs w:val="22"/>
        </w:rPr>
        <w:t>anu</w:t>
      </w:r>
      <w:r>
        <w:rPr>
          <w:spacing w:val="-4"/>
          <w:szCs w:val="22"/>
        </w:rPr>
        <w:t>m</w:t>
      </w:r>
      <w:r>
        <w:rPr>
          <w:spacing w:val="1"/>
          <w:szCs w:val="22"/>
        </w:rPr>
        <w:t>i</w:t>
      </w:r>
      <w:r>
        <w:rPr>
          <w:szCs w:val="22"/>
        </w:rPr>
        <w:t>t</w:t>
      </w:r>
      <w:r>
        <w:rPr>
          <w:spacing w:val="1"/>
          <w:szCs w:val="22"/>
        </w:rPr>
        <w:t xml:space="preserve"> </w:t>
      </w:r>
      <w:r>
        <w:rPr>
          <w:spacing w:val="-2"/>
          <w:szCs w:val="22"/>
        </w:rPr>
        <w:t>ti</w:t>
      </w:r>
      <w:r>
        <w:rPr>
          <w:szCs w:val="22"/>
        </w:rPr>
        <w:t xml:space="preserve">p de </w:t>
      </w:r>
      <w:r>
        <w:rPr>
          <w:spacing w:val="-3"/>
          <w:szCs w:val="22"/>
        </w:rPr>
        <w:t>a</w:t>
      </w:r>
      <w:r>
        <w:rPr>
          <w:szCs w:val="22"/>
        </w:rPr>
        <w:t>fe</w:t>
      </w:r>
      <w:r>
        <w:rPr>
          <w:spacing w:val="-3"/>
          <w:szCs w:val="22"/>
        </w:rPr>
        <w:t>c</w:t>
      </w:r>
      <w:r>
        <w:rPr>
          <w:spacing w:val="1"/>
          <w:szCs w:val="22"/>
        </w:rPr>
        <w:t>ţi</w:t>
      </w:r>
      <w:r>
        <w:rPr>
          <w:spacing w:val="-3"/>
          <w:szCs w:val="22"/>
        </w:rPr>
        <w:t>u</w:t>
      </w:r>
      <w:r>
        <w:rPr>
          <w:szCs w:val="22"/>
        </w:rPr>
        <w:t>ne pu</w:t>
      </w:r>
      <w:r>
        <w:rPr>
          <w:spacing w:val="1"/>
          <w:szCs w:val="22"/>
        </w:rPr>
        <w:t>l</w:t>
      </w:r>
      <w:r>
        <w:rPr>
          <w:spacing w:val="-4"/>
          <w:szCs w:val="22"/>
        </w:rPr>
        <w:t>m</w:t>
      </w:r>
      <w:r>
        <w:rPr>
          <w:szCs w:val="22"/>
        </w:rPr>
        <w:t>onară nu</w:t>
      </w:r>
      <w:r>
        <w:rPr>
          <w:spacing w:val="-4"/>
          <w:szCs w:val="22"/>
        </w:rPr>
        <w:t>m</w:t>
      </w:r>
      <w:r>
        <w:rPr>
          <w:spacing w:val="1"/>
          <w:szCs w:val="22"/>
        </w:rPr>
        <w:t>it</w:t>
      </w:r>
      <w:r>
        <w:rPr>
          <w:szCs w:val="22"/>
        </w:rPr>
        <w:t>ă</w:t>
      </w:r>
      <w:r>
        <w:rPr>
          <w:spacing w:val="-2"/>
          <w:szCs w:val="22"/>
        </w:rPr>
        <w:t xml:space="preserve"> </w:t>
      </w:r>
      <w:r>
        <w:rPr>
          <w:spacing w:val="-1"/>
          <w:szCs w:val="22"/>
        </w:rPr>
        <w:t>B</w:t>
      </w:r>
      <w:r>
        <w:rPr>
          <w:szCs w:val="22"/>
        </w:rPr>
        <w:t>oa</w:t>
      </w:r>
      <w:r>
        <w:rPr>
          <w:spacing w:val="-2"/>
          <w:szCs w:val="22"/>
        </w:rPr>
        <w:t>l</w:t>
      </w:r>
      <w:r>
        <w:rPr>
          <w:szCs w:val="22"/>
        </w:rPr>
        <w:t xml:space="preserve">ă </w:t>
      </w:r>
      <w:r>
        <w:rPr>
          <w:spacing w:val="-3"/>
          <w:szCs w:val="22"/>
        </w:rPr>
        <w:t>P</w:t>
      </w:r>
      <w:r>
        <w:rPr>
          <w:szCs w:val="22"/>
        </w:rPr>
        <w:t>u</w:t>
      </w:r>
      <w:r>
        <w:rPr>
          <w:spacing w:val="1"/>
          <w:szCs w:val="22"/>
        </w:rPr>
        <w:t>l</w:t>
      </w:r>
      <w:r>
        <w:rPr>
          <w:spacing w:val="-4"/>
          <w:szCs w:val="22"/>
        </w:rPr>
        <w:t>m</w:t>
      </w:r>
      <w:r>
        <w:rPr>
          <w:szCs w:val="22"/>
        </w:rPr>
        <w:t xml:space="preserve">onară </w:t>
      </w:r>
      <w:r>
        <w:rPr>
          <w:spacing w:val="-1"/>
          <w:szCs w:val="22"/>
        </w:rPr>
        <w:t>O</w:t>
      </w:r>
      <w:r>
        <w:rPr>
          <w:szCs w:val="22"/>
        </w:rPr>
        <w:t>b</w:t>
      </w:r>
      <w:r>
        <w:rPr>
          <w:spacing w:val="-2"/>
          <w:szCs w:val="22"/>
        </w:rPr>
        <w:t>s</w:t>
      </w:r>
      <w:r>
        <w:rPr>
          <w:spacing w:val="1"/>
          <w:szCs w:val="22"/>
        </w:rPr>
        <w:t>t</w:t>
      </w:r>
      <w:r>
        <w:rPr>
          <w:szCs w:val="22"/>
        </w:rPr>
        <w:t>r</w:t>
      </w:r>
      <w:r>
        <w:rPr>
          <w:spacing w:val="-3"/>
          <w:szCs w:val="22"/>
        </w:rPr>
        <w:t>u</w:t>
      </w:r>
      <w:r>
        <w:rPr>
          <w:szCs w:val="22"/>
        </w:rPr>
        <w:t>c</w:t>
      </w:r>
      <w:r>
        <w:rPr>
          <w:spacing w:val="-2"/>
          <w:szCs w:val="22"/>
        </w:rPr>
        <w:t>t</w:t>
      </w:r>
      <w:r>
        <w:rPr>
          <w:spacing w:val="1"/>
          <w:szCs w:val="22"/>
        </w:rPr>
        <w:t>i</w:t>
      </w:r>
      <w:r>
        <w:rPr>
          <w:spacing w:val="-3"/>
          <w:szCs w:val="22"/>
        </w:rPr>
        <w:t>v</w:t>
      </w:r>
      <w:r>
        <w:rPr>
          <w:szCs w:val="22"/>
        </w:rPr>
        <w:t xml:space="preserve">ă </w:t>
      </w:r>
      <w:r>
        <w:rPr>
          <w:spacing w:val="-1"/>
          <w:szCs w:val="22"/>
        </w:rPr>
        <w:t>C</w:t>
      </w:r>
      <w:r>
        <w:rPr>
          <w:szCs w:val="22"/>
        </w:rPr>
        <w:t>ro</w:t>
      </w:r>
      <w:r>
        <w:rPr>
          <w:spacing w:val="-3"/>
          <w:szCs w:val="22"/>
        </w:rPr>
        <w:t>n</w:t>
      </w:r>
      <w:r>
        <w:rPr>
          <w:spacing w:val="1"/>
          <w:szCs w:val="22"/>
        </w:rPr>
        <w:t>i</w:t>
      </w:r>
      <w:r>
        <w:rPr>
          <w:szCs w:val="22"/>
        </w:rPr>
        <w:t>că</w:t>
      </w:r>
      <w:r>
        <w:rPr>
          <w:spacing w:val="-2"/>
          <w:szCs w:val="22"/>
        </w:rPr>
        <w:t xml:space="preserve"> </w:t>
      </w:r>
      <w:r>
        <w:rPr>
          <w:szCs w:val="22"/>
        </w:rPr>
        <w:t>(</w:t>
      </w:r>
      <w:r>
        <w:rPr>
          <w:spacing w:val="-1"/>
          <w:szCs w:val="22"/>
        </w:rPr>
        <w:t>BPOC</w:t>
      </w:r>
      <w:r>
        <w:rPr>
          <w:szCs w:val="22"/>
        </w:rPr>
        <w:t>)</w:t>
      </w:r>
      <w:r>
        <w:rPr>
          <w:spacing w:val="1"/>
          <w:szCs w:val="22"/>
        </w:rPr>
        <w:t xml:space="preserve"> </w:t>
      </w:r>
      <w:r>
        <w:rPr>
          <w:spacing w:val="-2"/>
          <w:szCs w:val="22"/>
        </w:rPr>
        <w:t>t</w:t>
      </w:r>
      <w:r>
        <w:rPr>
          <w:szCs w:val="22"/>
        </w:rPr>
        <w:t>r</w:t>
      </w:r>
      <w:r>
        <w:rPr>
          <w:spacing w:val="-3"/>
          <w:szCs w:val="22"/>
        </w:rPr>
        <w:t>a</w:t>
      </w:r>
      <w:r>
        <w:rPr>
          <w:spacing w:val="1"/>
          <w:szCs w:val="22"/>
        </w:rPr>
        <w:t>t</w:t>
      </w:r>
      <w:r>
        <w:rPr>
          <w:szCs w:val="22"/>
        </w:rPr>
        <w:t>a</w:t>
      </w:r>
      <w:r>
        <w:rPr>
          <w:spacing w:val="-2"/>
          <w:szCs w:val="22"/>
        </w:rPr>
        <w:t>ţ</w:t>
      </w:r>
      <w:r>
        <w:rPr>
          <w:szCs w:val="22"/>
        </w:rPr>
        <w:t>i</w:t>
      </w:r>
      <w:r>
        <w:rPr>
          <w:spacing w:val="1"/>
          <w:szCs w:val="22"/>
        </w:rPr>
        <w:t xml:space="preserve"> </w:t>
      </w:r>
      <w:r>
        <w:rPr>
          <w:spacing w:val="-3"/>
          <w:szCs w:val="22"/>
        </w:rPr>
        <w:t>c</w:t>
      </w:r>
      <w:r>
        <w:rPr>
          <w:szCs w:val="22"/>
        </w:rPr>
        <w:t xml:space="preserve">u un </w:t>
      </w:r>
      <w:r>
        <w:rPr>
          <w:spacing w:val="-3"/>
          <w:szCs w:val="22"/>
        </w:rPr>
        <w:t>a</w:t>
      </w:r>
      <w:r>
        <w:rPr>
          <w:spacing w:val="1"/>
          <w:szCs w:val="22"/>
        </w:rPr>
        <w:t>l</w:t>
      </w:r>
      <w:r>
        <w:rPr>
          <w:szCs w:val="22"/>
        </w:rPr>
        <w:t>t</w:t>
      </w:r>
      <w:r>
        <w:rPr>
          <w:spacing w:val="-2"/>
          <w:szCs w:val="22"/>
        </w:rPr>
        <w:t xml:space="preserve"> </w:t>
      </w:r>
      <w:r>
        <w:rPr>
          <w:szCs w:val="22"/>
        </w:rPr>
        <w:t>b</w:t>
      </w:r>
      <w:r>
        <w:rPr>
          <w:spacing w:val="1"/>
          <w:szCs w:val="22"/>
        </w:rPr>
        <w:t>l</w:t>
      </w:r>
      <w:r>
        <w:rPr>
          <w:szCs w:val="22"/>
        </w:rPr>
        <w:t>o</w:t>
      </w:r>
      <w:r>
        <w:rPr>
          <w:spacing w:val="-3"/>
          <w:szCs w:val="22"/>
        </w:rPr>
        <w:t>c</w:t>
      </w:r>
      <w:r>
        <w:rPr>
          <w:szCs w:val="22"/>
        </w:rPr>
        <w:t>ant</w:t>
      </w:r>
      <w:r>
        <w:rPr>
          <w:spacing w:val="1"/>
          <w:szCs w:val="22"/>
        </w:rPr>
        <w:t xml:space="preserve"> </w:t>
      </w:r>
      <w:r>
        <w:rPr>
          <w:spacing w:val="-3"/>
          <w:szCs w:val="22"/>
        </w:rPr>
        <w:t>d</w:t>
      </w:r>
      <w:r>
        <w:rPr>
          <w:szCs w:val="22"/>
        </w:rPr>
        <w:t xml:space="preserve">e </w:t>
      </w:r>
      <w:r>
        <w:rPr>
          <w:spacing w:val="1"/>
          <w:szCs w:val="22"/>
        </w:rPr>
        <w:t>T</w:t>
      </w:r>
      <w:r>
        <w:rPr>
          <w:spacing w:val="-1"/>
          <w:szCs w:val="22"/>
        </w:rPr>
        <w:t>NF</w:t>
      </w:r>
      <w:r>
        <w:rPr>
          <w:szCs w:val="22"/>
        </w:rPr>
        <w:t xml:space="preserve">. </w:t>
      </w:r>
      <w:r>
        <w:rPr>
          <w:spacing w:val="-1"/>
          <w:szCs w:val="22"/>
        </w:rPr>
        <w:t>D</w:t>
      </w:r>
      <w:r>
        <w:rPr>
          <w:szCs w:val="22"/>
        </w:rPr>
        <w:t>a</w:t>
      </w:r>
      <w:r>
        <w:rPr>
          <w:spacing w:val="-3"/>
          <w:szCs w:val="22"/>
        </w:rPr>
        <w:t>c</w:t>
      </w:r>
      <w:r>
        <w:rPr>
          <w:szCs w:val="22"/>
        </w:rPr>
        <w:t>ă a</w:t>
      </w:r>
      <w:r>
        <w:rPr>
          <w:spacing w:val="-3"/>
          <w:szCs w:val="22"/>
        </w:rPr>
        <w:t>v</w:t>
      </w:r>
      <w:r>
        <w:rPr>
          <w:szCs w:val="22"/>
        </w:rPr>
        <w:t>e</w:t>
      </w:r>
      <w:r>
        <w:rPr>
          <w:spacing w:val="-2"/>
          <w:szCs w:val="22"/>
        </w:rPr>
        <w:t>ţ</w:t>
      </w:r>
      <w:r>
        <w:rPr>
          <w:szCs w:val="22"/>
        </w:rPr>
        <w:t>i</w:t>
      </w:r>
      <w:r>
        <w:rPr>
          <w:spacing w:val="1"/>
          <w:szCs w:val="22"/>
        </w:rPr>
        <w:t xml:space="preserve"> </w:t>
      </w:r>
      <w:r>
        <w:rPr>
          <w:spacing w:val="-1"/>
          <w:szCs w:val="22"/>
        </w:rPr>
        <w:t>BPOC</w:t>
      </w:r>
      <w:r>
        <w:rPr>
          <w:szCs w:val="22"/>
        </w:rPr>
        <w:t>, s</w:t>
      </w:r>
      <w:r>
        <w:rPr>
          <w:spacing w:val="-3"/>
          <w:szCs w:val="22"/>
        </w:rPr>
        <w:t>a</w:t>
      </w:r>
      <w:r>
        <w:rPr>
          <w:szCs w:val="22"/>
        </w:rPr>
        <w:t>u sun</w:t>
      </w:r>
      <w:r>
        <w:rPr>
          <w:spacing w:val="-2"/>
          <w:szCs w:val="22"/>
        </w:rPr>
        <w:t>t</w:t>
      </w:r>
      <w:r>
        <w:rPr>
          <w:szCs w:val="22"/>
        </w:rPr>
        <w:t>e</w:t>
      </w:r>
      <w:r>
        <w:rPr>
          <w:spacing w:val="-2"/>
          <w:szCs w:val="22"/>
        </w:rPr>
        <w:t>ţ</w:t>
      </w:r>
      <w:r>
        <w:rPr>
          <w:szCs w:val="22"/>
        </w:rPr>
        <w:t>i</w:t>
      </w:r>
      <w:r>
        <w:rPr>
          <w:spacing w:val="1"/>
          <w:szCs w:val="22"/>
        </w:rPr>
        <w:t xml:space="preserve"> </w:t>
      </w:r>
      <w:r>
        <w:rPr>
          <w:szCs w:val="22"/>
        </w:rPr>
        <w:t xml:space="preserve">un </w:t>
      </w:r>
      <w:r>
        <w:rPr>
          <w:spacing w:val="-4"/>
          <w:szCs w:val="22"/>
        </w:rPr>
        <w:t>m</w:t>
      </w:r>
      <w:r>
        <w:rPr>
          <w:szCs w:val="22"/>
        </w:rPr>
        <w:t>are</w:t>
      </w:r>
      <w:r>
        <w:rPr>
          <w:spacing w:val="-2"/>
          <w:szCs w:val="22"/>
        </w:rPr>
        <w:t xml:space="preserve"> </w:t>
      </w:r>
      <w:r>
        <w:rPr>
          <w:szCs w:val="22"/>
        </w:rPr>
        <w:t>fu</w:t>
      </w:r>
      <w:r>
        <w:rPr>
          <w:spacing w:val="-4"/>
          <w:szCs w:val="22"/>
        </w:rPr>
        <w:t>m</w:t>
      </w:r>
      <w:r>
        <w:rPr>
          <w:szCs w:val="22"/>
        </w:rPr>
        <w:t>ă</w:t>
      </w:r>
      <w:r>
        <w:rPr>
          <w:spacing w:val="1"/>
          <w:szCs w:val="22"/>
        </w:rPr>
        <w:t>t</w:t>
      </w:r>
      <w:r>
        <w:rPr>
          <w:szCs w:val="22"/>
        </w:rPr>
        <w:t>or,</w:t>
      </w:r>
      <w:r>
        <w:rPr>
          <w:spacing w:val="-3"/>
          <w:szCs w:val="22"/>
        </w:rPr>
        <w:t xml:space="preserve"> </w:t>
      </w:r>
      <w:r>
        <w:rPr>
          <w:spacing w:val="-2"/>
          <w:szCs w:val="22"/>
        </w:rPr>
        <w:t>t</w:t>
      </w:r>
      <w:r>
        <w:rPr>
          <w:szCs w:val="22"/>
        </w:rPr>
        <w:t>reb</w:t>
      </w:r>
      <w:r>
        <w:rPr>
          <w:spacing w:val="-3"/>
          <w:szCs w:val="22"/>
        </w:rPr>
        <w:t>u</w:t>
      </w:r>
      <w:r>
        <w:rPr>
          <w:spacing w:val="1"/>
          <w:szCs w:val="22"/>
        </w:rPr>
        <w:t>i</w:t>
      </w:r>
      <w:r>
        <w:rPr>
          <w:szCs w:val="22"/>
        </w:rPr>
        <w:t xml:space="preserve">e </w:t>
      </w:r>
      <w:r>
        <w:rPr>
          <w:spacing w:val="-2"/>
          <w:szCs w:val="22"/>
        </w:rPr>
        <w:t>s</w:t>
      </w:r>
      <w:r>
        <w:rPr>
          <w:szCs w:val="22"/>
        </w:rPr>
        <w:t>ă d</w:t>
      </w:r>
      <w:r>
        <w:rPr>
          <w:spacing w:val="-2"/>
          <w:szCs w:val="22"/>
        </w:rPr>
        <w:t>i</w:t>
      </w:r>
      <w:r>
        <w:rPr>
          <w:szCs w:val="22"/>
        </w:rPr>
        <w:t>sc</w:t>
      </w:r>
      <w:r>
        <w:rPr>
          <w:spacing w:val="-3"/>
          <w:szCs w:val="22"/>
        </w:rPr>
        <w:t>u</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spacing w:val="-4"/>
          <w:szCs w:val="22"/>
        </w:rPr>
        <w:t>m</w:t>
      </w:r>
      <w:r>
        <w:rPr>
          <w:szCs w:val="22"/>
        </w:rPr>
        <w:t>ed</w:t>
      </w:r>
      <w:r>
        <w:rPr>
          <w:spacing w:val="1"/>
          <w:szCs w:val="22"/>
        </w:rPr>
        <w:t>i</w:t>
      </w:r>
      <w:r>
        <w:rPr>
          <w:spacing w:val="-3"/>
          <w:szCs w:val="22"/>
        </w:rPr>
        <w:t>c</w:t>
      </w:r>
      <w:r>
        <w:rPr>
          <w:szCs w:val="22"/>
        </w:rPr>
        <w:t>ul du</w:t>
      </w:r>
      <w:r>
        <w:rPr>
          <w:spacing w:val="-4"/>
          <w:szCs w:val="22"/>
        </w:rPr>
        <w:t>m</w:t>
      </w:r>
      <w:r>
        <w:rPr>
          <w:szCs w:val="22"/>
        </w:rPr>
        <w:t>nea</w:t>
      </w:r>
      <w:r>
        <w:rPr>
          <w:spacing w:val="-3"/>
          <w:szCs w:val="22"/>
        </w:rPr>
        <w:t>v</w:t>
      </w:r>
      <w:r>
        <w:rPr>
          <w:szCs w:val="22"/>
        </w:rPr>
        <w:t>oas</w:t>
      </w:r>
      <w:r>
        <w:rPr>
          <w:spacing w:val="1"/>
          <w:szCs w:val="22"/>
        </w:rPr>
        <w:t>t</w:t>
      </w:r>
      <w:r>
        <w:rPr>
          <w:szCs w:val="22"/>
        </w:rPr>
        <w:t xml:space="preserve">ră </w:t>
      </w:r>
      <w:r>
        <w:rPr>
          <w:spacing w:val="-3"/>
          <w:szCs w:val="22"/>
        </w:rPr>
        <w:t>d</w:t>
      </w:r>
      <w:r>
        <w:rPr>
          <w:szCs w:val="22"/>
        </w:rPr>
        <w:t>acă</w:t>
      </w:r>
      <w:r>
        <w:rPr>
          <w:spacing w:val="-2"/>
          <w:szCs w:val="22"/>
        </w:rPr>
        <w:t xml:space="preserve"> </w:t>
      </w:r>
      <w:r>
        <w:rPr>
          <w:spacing w:val="1"/>
          <w:szCs w:val="22"/>
        </w:rPr>
        <w:t>t</w:t>
      </w:r>
      <w:r>
        <w:rPr>
          <w:spacing w:val="-2"/>
          <w:szCs w:val="22"/>
        </w:rPr>
        <w:t>r</w:t>
      </w:r>
      <w:r>
        <w:rPr>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 xml:space="preserve">cu </w:t>
      </w:r>
      <w:r>
        <w:rPr>
          <w:spacing w:val="-3"/>
          <w:szCs w:val="22"/>
        </w:rPr>
        <w:t>b</w:t>
      </w:r>
      <w:r>
        <w:rPr>
          <w:spacing w:val="1"/>
          <w:szCs w:val="22"/>
        </w:rPr>
        <w:t>l</w:t>
      </w:r>
      <w:r>
        <w:rPr>
          <w:spacing w:val="-3"/>
          <w:szCs w:val="22"/>
        </w:rPr>
        <w:t>o</w:t>
      </w:r>
      <w:r>
        <w:rPr>
          <w:szCs w:val="22"/>
        </w:rPr>
        <w:t>ca</w:t>
      </w:r>
      <w:r>
        <w:rPr>
          <w:spacing w:val="-3"/>
          <w:szCs w:val="22"/>
        </w:rPr>
        <w:t>n</w:t>
      </w:r>
      <w:r>
        <w:rPr>
          <w:spacing w:val="1"/>
          <w:szCs w:val="22"/>
        </w:rPr>
        <w:t>ţ</w:t>
      </w:r>
      <w:r>
        <w:rPr>
          <w:szCs w:val="22"/>
        </w:rPr>
        <w:t>i</w:t>
      </w:r>
      <w:r>
        <w:rPr>
          <w:spacing w:val="1"/>
          <w:szCs w:val="22"/>
        </w:rPr>
        <w:t xml:space="preserve"> </w:t>
      </w:r>
      <w:r>
        <w:rPr>
          <w:spacing w:val="-3"/>
          <w:szCs w:val="22"/>
        </w:rPr>
        <w:t>d</w:t>
      </w:r>
      <w:r>
        <w:rPr>
          <w:szCs w:val="22"/>
        </w:rPr>
        <w:t>e</w:t>
      </w:r>
      <w:r>
        <w:rPr>
          <w:spacing w:val="-2"/>
          <w:szCs w:val="22"/>
        </w:rPr>
        <w:t xml:space="preserve"> </w:t>
      </w:r>
      <w:r>
        <w:rPr>
          <w:spacing w:val="1"/>
          <w:szCs w:val="22"/>
        </w:rPr>
        <w:t>T</w:t>
      </w:r>
      <w:r>
        <w:rPr>
          <w:spacing w:val="-1"/>
          <w:szCs w:val="22"/>
        </w:rPr>
        <w:t>N</w:t>
      </w:r>
      <w:r>
        <w:rPr>
          <w:szCs w:val="22"/>
        </w:rPr>
        <w:t>F</w:t>
      </w:r>
      <w:r>
        <w:rPr>
          <w:spacing w:val="-1"/>
          <w:szCs w:val="22"/>
        </w:rPr>
        <w:t xml:space="preserve"> </w:t>
      </w:r>
      <w:r>
        <w:rPr>
          <w:szCs w:val="22"/>
        </w:rPr>
        <w:t>e</w:t>
      </w:r>
      <w:r>
        <w:rPr>
          <w:spacing w:val="-2"/>
          <w:szCs w:val="22"/>
        </w:rPr>
        <w:t>s</w:t>
      </w:r>
      <w:r>
        <w:rPr>
          <w:spacing w:val="1"/>
          <w:szCs w:val="22"/>
        </w:rPr>
        <w:t>t</w:t>
      </w:r>
      <w:r>
        <w:rPr>
          <w:szCs w:val="22"/>
        </w:rPr>
        <w:t>e a</w:t>
      </w:r>
      <w:r>
        <w:rPr>
          <w:spacing w:val="-3"/>
          <w:szCs w:val="22"/>
        </w:rPr>
        <w:t>d</w:t>
      </w:r>
      <w:r>
        <w:rPr>
          <w:szCs w:val="22"/>
        </w:rPr>
        <w:t>ec</w:t>
      </w:r>
      <w:r>
        <w:rPr>
          <w:spacing w:val="-3"/>
          <w:szCs w:val="22"/>
        </w:rPr>
        <w:t>v</w:t>
      </w:r>
      <w:r>
        <w:rPr>
          <w:szCs w:val="22"/>
        </w:rPr>
        <w:t>at</w:t>
      </w:r>
      <w:r>
        <w:rPr>
          <w:spacing w:val="1"/>
          <w:szCs w:val="22"/>
        </w:rPr>
        <w:t xml:space="preserve"> </w:t>
      </w:r>
      <w:r>
        <w:rPr>
          <w:spacing w:val="-3"/>
          <w:szCs w:val="22"/>
        </w:rPr>
        <w:t>p</w:t>
      </w:r>
      <w:r>
        <w:rPr>
          <w:szCs w:val="22"/>
        </w:rPr>
        <w:t>en</w:t>
      </w:r>
      <w:r>
        <w:rPr>
          <w:spacing w:val="-2"/>
          <w:szCs w:val="22"/>
        </w:rPr>
        <w:t>t</w:t>
      </w:r>
      <w:r>
        <w:rPr>
          <w:szCs w:val="22"/>
        </w:rPr>
        <w:t>ru du</w:t>
      </w:r>
      <w:r>
        <w:rPr>
          <w:spacing w:val="-4"/>
          <w:szCs w:val="22"/>
        </w:rPr>
        <w:t>m</w:t>
      </w:r>
      <w:r>
        <w:rPr>
          <w:szCs w:val="22"/>
        </w:rPr>
        <w:t>nea</w:t>
      </w:r>
      <w:r>
        <w:rPr>
          <w:spacing w:val="-3"/>
          <w:szCs w:val="22"/>
        </w:rPr>
        <w:t>v</w:t>
      </w:r>
      <w:r>
        <w:rPr>
          <w:szCs w:val="22"/>
        </w:rPr>
        <w:t>oas</w:t>
      </w:r>
      <w:r>
        <w:rPr>
          <w:spacing w:val="-2"/>
          <w:szCs w:val="22"/>
        </w:rPr>
        <w:t>t</w:t>
      </w:r>
      <w:r>
        <w:rPr>
          <w:szCs w:val="22"/>
        </w:rPr>
        <w:t>ră.</w:t>
      </w:r>
    </w:p>
    <w:p w14:paraId="19B8622B" w14:textId="77777777" w:rsidR="00C04CAD" w:rsidRDefault="00C04CAD">
      <w:pPr>
        <w:tabs>
          <w:tab w:val="clear" w:pos="567"/>
        </w:tabs>
        <w:kinsoku w:val="0"/>
        <w:overflowPunct w:val="0"/>
        <w:autoSpaceDE w:val="0"/>
        <w:autoSpaceDN w:val="0"/>
        <w:adjustRightInd w:val="0"/>
        <w:spacing w:line="240" w:lineRule="auto"/>
        <w:rPr>
          <w:szCs w:val="22"/>
        </w:rPr>
      </w:pPr>
    </w:p>
    <w:p w14:paraId="519AD55A"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Bo</w:t>
      </w:r>
      <w:ins w:id="9" w:author="Author">
        <w:r>
          <w:rPr>
            <w:szCs w:val="22"/>
          </w:rPr>
          <w:t>a</w:t>
        </w:r>
      </w:ins>
      <w:r>
        <w:rPr>
          <w:szCs w:val="22"/>
        </w:rPr>
        <w:t>l</w:t>
      </w:r>
      <w:del w:id="10" w:author="Author">
        <w:r>
          <w:rPr>
            <w:szCs w:val="22"/>
          </w:rPr>
          <w:delText>i</w:delText>
        </w:r>
      </w:del>
      <w:ins w:id="11" w:author="Author">
        <w:r>
          <w:rPr>
            <w:szCs w:val="22"/>
          </w:rPr>
          <w:t>ă</w:t>
        </w:r>
      </w:ins>
      <w:r>
        <w:rPr>
          <w:szCs w:val="22"/>
        </w:rPr>
        <w:t xml:space="preserve"> autoimun</w:t>
      </w:r>
      <w:del w:id="12" w:author="Author">
        <w:r>
          <w:rPr>
            <w:szCs w:val="22"/>
          </w:rPr>
          <w:delText>e</w:delText>
        </w:r>
      </w:del>
      <w:ins w:id="13" w:author="Author">
        <w:r>
          <w:rPr>
            <w:szCs w:val="22"/>
          </w:rPr>
          <w:t>ă</w:t>
        </w:r>
      </w:ins>
    </w:p>
    <w:p w14:paraId="3BF7AD58" w14:textId="77777777" w:rsidR="00C04CAD" w:rsidRDefault="00C04CAD">
      <w:pPr>
        <w:pStyle w:val="ListParagraph"/>
        <w:spacing w:line="240" w:lineRule="auto"/>
        <w:rPr>
          <w:szCs w:val="22"/>
        </w:rPr>
      </w:pPr>
    </w:p>
    <w:p w14:paraId="27C1E608"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rPr>
          <w:szCs w:val="22"/>
        </w:rPr>
      </w:pPr>
      <w:r>
        <w:rPr>
          <w:szCs w:val="22"/>
        </w:rPr>
        <w:t xml:space="preserve">Rar, tratamentul cu AMGEVITA poate determina un sindrom asemănător lupusului. Contactati-l pe medicul dumneavoastră dacă apar simptome cum ar fi erupție cutanată neexplicată persistentă, febră, dureri ale articulațiilor sau oboseală. </w:t>
      </w:r>
    </w:p>
    <w:p w14:paraId="54A28B4F" w14:textId="77777777" w:rsidR="00C04CAD" w:rsidRDefault="00C04CAD">
      <w:pPr>
        <w:numPr>
          <w:ilvl w:val="12"/>
          <w:numId w:val="0"/>
        </w:numPr>
        <w:tabs>
          <w:tab w:val="clear" w:pos="567"/>
        </w:tabs>
        <w:spacing w:line="240" w:lineRule="auto"/>
        <w:ind w:right="-2"/>
        <w:rPr>
          <w:szCs w:val="22"/>
        </w:rPr>
      </w:pPr>
    </w:p>
    <w:p w14:paraId="7AC73DB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a creşte gradul de trasabilitate a acestui medicament, medicul dumneavoastră sau farmacistul trebuie să înregistreze denumirea şi numărul seriei de fabricaţie ale medicamentului care v-a fost eliberat în fişa dumneavoastră de pacient. Şi dumneavoastră vă puteţi nota aceste informaţii în cazul în care v-ar fi solicitate în viitor.</w:t>
      </w:r>
    </w:p>
    <w:p w14:paraId="4896DA5D" w14:textId="77777777" w:rsidR="00C04CAD" w:rsidRDefault="00C04CAD">
      <w:pPr>
        <w:keepNext/>
        <w:numPr>
          <w:ilvl w:val="12"/>
          <w:numId w:val="0"/>
        </w:numPr>
        <w:tabs>
          <w:tab w:val="clear" w:pos="567"/>
        </w:tabs>
        <w:spacing w:line="240" w:lineRule="auto"/>
        <w:rPr>
          <w:b/>
          <w:szCs w:val="22"/>
        </w:rPr>
      </w:pPr>
    </w:p>
    <w:p w14:paraId="5E43EFA2" w14:textId="77777777" w:rsidR="00C04CAD" w:rsidRDefault="00060E34">
      <w:pPr>
        <w:keepNext/>
        <w:numPr>
          <w:ilvl w:val="12"/>
          <w:numId w:val="0"/>
        </w:numPr>
        <w:tabs>
          <w:tab w:val="clear" w:pos="567"/>
        </w:tabs>
        <w:spacing w:line="240" w:lineRule="auto"/>
        <w:rPr>
          <w:b/>
          <w:bCs/>
        </w:rPr>
      </w:pPr>
      <w:r>
        <w:rPr>
          <w:b/>
        </w:rPr>
        <w:t>Copii și adolescenți</w:t>
      </w:r>
    </w:p>
    <w:p w14:paraId="6F4D0F7D" w14:textId="77777777" w:rsidR="00C04CAD" w:rsidRDefault="00C04CAD">
      <w:pPr>
        <w:keepNext/>
        <w:numPr>
          <w:ilvl w:val="12"/>
          <w:numId w:val="0"/>
        </w:numPr>
        <w:tabs>
          <w:tab w:val="clear" w:pos="567"/>
        </w:tabs>
        <w:spacing w:line="240" w:lineRule="auto"/>
        <w:rPr>
          <w:b/>
        </w:rPr>
      </w:pPr>
    </w:p>
    <w:p w14:paraId="7A580EFD" w14:textId="77777777" w:rsidR="00C04CAD" w:rsidRDefault="00060E34">
      <w:pPr>
        <w:pStyle w:val="ListParagraph"/>
        <w:numPr>
          <w:ilvl w:val="0"/>
          <w:numId w:val="53"/>
        </w:numPr>
        <w:tabs>
          <w:tab w:val="clear" w:pos="567"/>
        </w:tabs>
        <w:kinsoku w:val="0"/>
        <w:overflowPunct w:val="0"/>
        <w:autoSpaceDE w:val="0"/>
        <w:autoSpaceDN w:val="0"/>
        <w:adjustRightInd w:val="0"/>
        <w:spacing w:line="240" w:lineRule="auto"/>
        <w:ind w:left="567" w:hanging="567"/>
      </w:pPr>
      <w:r>
        <w:rPr>
          <w:spacing w:val="1"/>
        </w:rPr>
        <w:t>V</w:t>
      </w:r>
      <w:r>
        <w:t>a</w:t>
      </w:r>
      <w:r>
        <w:rPr>
          <w:spacing w:val="-3"/>
        </w:rPr>
        <w:t>c</w:t>
      </w:r>
      <w:r>
        <w:t>c</w:t>
      </w:r>
      <w:r>
        <w:rPr>
          <w:spacing w:val="1"/>
        </w:rPr>
        <w:t>i</w:t>
      </w:r>
      <w:r>
        <w:rPr>
          <w:spacing w:val="-3"/>
        </w:rPr>
        <w:t>n</w:t>
      </w:r>
      <w:r>
        <w:t>ă</w:t>
      </w:r>
      <w:r>
        <w:rPr>
          <w:spacing w:val="-2"/>
        </w:rPr>
        <w:t>r</w:t>
      </w:r>
      <w:r>
        <w:rPr>
          <w:spacing w:val="1"/>
        </w:rPr>
        <w:t>i</w:t>
      </w:r>
      <w:r>
        <w:t>:</w:t>
      </w:r>
      <w:r>
        <w:rPr>
          <w:spacing w:val="-2"/>
        </w:rPr>
        <w:t xml:space="preserve"> </w:t>
      </w:r>
      <w:r>
        <w:t>dacă</w:t>
      </w:r>
      <w:r>
        <w:rPr>
          <w:spacing w:val="-2"/>
        </w:rPr>
        <w:t xml:space="preserve"> </w:t>
      </w:r>
      <w:r>
        <w:t>e</w:t>
      </w:r>
      <w:r>
        <w:rPr>
          <w:spacing w:val="-2"/>
        </w:rPr>
        <w:t>s</w:t>
      </w:r>
      <w:r>
        <w:rPr>
          <w:spacing w:val="1"/>
        </w:rPr>
        <w:t>t</w:t>
      </w:r>
      <w:r>
        <w:t>e p</w:t>
      </w:r>
      <w:r>
        <w:rPr>
          <w:spacing w:val="-3"/>
        </w:rPr>
        <w:t>o</w:t>
      </w:r>
      <w:r>
        <w:t>s</w:t>
      </w:r>
      <w:r>
        <w:rPr>
          <w:spacing w:val="1"/>
        </w:rPr>
        <w:t>i</w:t>
      </w:r>
      <w:r>
        <w:rPr>
          <w:spacing w:val="-3"/>
        </w:rPr>
        <w:t>b</w:t>
      </w:r>
      <w:r>
        <w:rPr>
          <w:spacing w:val="1"/>
        </w:rPr>
        <w:t>i</w:t>
      </w:r>
      <w:r>
        <w:rPr>
          <w:spacing w:val="-2"/>
        </w:rPr>
        <w:t>l</w:t>
      </w:r>
      <w:r>
        <w:t>, cop</w:t>
      </w:r>
      <w:r>
        <w:rPr>
          <w:spacing w:val="-2"/>
        </w:rPr>
        <w:t>i</w:t>
      </w:r>
      <w:r>
        <w:rPr>
          <w:spacing w:val="1"/>
        </w:rPr>
        <w:t>l</w:t>
      </w:r>
      <w:r>
        <w:rPr>
          <w:spacing w:val="-3"/>
        </w:rPr>
        <w:t>u</w:t>
      </w:r>
      <w:r>
        <w:t>l</w:t>
      </w:r>
      <w:r>
        <w:rPr>
          <w:spacing w:val="1"/>
        </w:rPr>
        <w:t xml:space="preserve"> </w:t>
      </w:r>
      <w:r>
        <w:t>du</w:t>
      </w:r>
      <w:r>
        <w:rPr>
          <w:spacing w:val="-4"/>
        </w:rPr>
        <w:t>m</w:t>
      </w:r>
      <w:r>
        <w:t>nea</w:t>
      </w:r>
      <w:r>
        <w:rPr>
          <w:spacing w:val="-3"/>
        </w:rPr>
        <w:t>v</w:t>
      </w:r>
      <w:r>
        <w:t>oas</w:t>
      </w:r>
      <w:r>
        <w:rPr>
          <w:spacing w:val="1"/>
        </w:rPr>
        <w:t>t</w:t>
      </w:r>
      <w:r>
        <w:rPr>
          <w:spacing w:val="-2"/>
        </w:rPr>
        <w:t>r</w:t>
      </w:r>
      <w:r>
        <w:t xml:space="preserve">ă </w:t>
      </w:r>
      <w:r>
        <w:rPr>
          <w:spacing w:val="-2"/>
        </w:rPr>
        <w:t>t</w:t>
      </w:r>
      <w:r>
        <w:t>r</w:t>
      </w:r>
      <w:r>
        <w:rPr>
          <w:spacing w:val="-3"/>
        </w:rPr>
        <w:t>e</w:t>
      </w:r>
      <w:r>
        <w:t>bu</w:t>
      </w:r>
      <w:r>
        <w:rPr>
          <w:spacing w:val="1"/>
        </w:rPr>
        <w:t>i</w:t>
      </w:r>
      <w:r>
        <w:t>e</w:t>
      </w:r>
      <w:r>
        <w:rPr>
          <w:spacing w:val="-2"/>
        </w:rPr>
        <w:t xml:space="preserve"> </w:t>
      </w:r>
      <w:r>
        <w:t xml:space="preserve">să </w:t>
      </w:r>
      <w:r>
        <w:rPr>
          <w:spacing w:val="-2"/>
        </w:rPr>
        <w:t>f</w:t>
      </w:r>
      <w:r>
        <w:rPr>
          <w:spacing w:val="1"/>
        </w:rPr>
        <w:t>i</w:t>
      </w:r>
      <w:r>
        <w:t>e</w:t>
      </w:r>
      <w:r>
        <w:rPr>
          <w:spacing w:val="-2"/>
        </w:rPr>
        <w:t xml:space="preserve"> </w:t>
      </w:r>
      <w:r>
        <w:rPr>
          <w:spacing w:val="1"/>
        </w:rPr>
        <w:t>l</w:t>
      </w:r>
      <w:r>
        <w:t xml:space="preserve">a </w:t>
      </w:r>
      <w:r>
        <w:rPr>
          <w:spacing w:val="-3"/>
        </w:rPr>
        <w:t>z</w:t>
      </w:r>
      <w:r>
        <w:t>i</w:t>
      </w:r>
      <w:r>
        <w:rPr>
          <w:spacing w:val="-2"/>
        </w:rPr>
        <w:t xml:space="preserve"> </w:t>
      </w:r>
      <w:r>
        <w:t xml:space="preserve">cu </w:t>
      </w:r>
      <w:r>
        <w:rPr>
          <w:spacing w:val="1"/>
        </w:rPr>
        <w:t>t</w:t>
      </w:r>
      <w:r>
        <w:rPr>
          <w:spacing w:val="-3"/>
        </w:rPr>
        <w:t>o</w:t>
      </w:r>
      <w:r>
        <w:t>a</w:t>
      </w:r>
      <w:r>
        <w:rPr>
          <w:spacing w:val="-2"/>
        </w:rPr>
        <w:t>t</w:t>
      </w:r>
      <w:r>
        <w:t xml:space="preserve">e </w:t>
      </w:r>
      <w:r>
        <w:rPr>
          <w:spacing w:val="-3"/>
        </w:rPr>
        <w:t>v</w:t>
      </w:r>
      <w:r>
        <w:t>acc</w:t>
      </w:r>
      <w:r>
        <w:rPr>
          <w:spacing w:val="1"/>
        </w:rPr>
        <w:t>i</w:t>
      </w:r>
      <w:r>
        <w:t>n</w:t>
      </w:r>
      <w:r>
        <w:rPr>
          <w:spacing w:val="-3"/>
        </w:rPr>
        <w:t>ă</w:t>
      </w:r>
      <w:r>
        <w:t>r</w:t>
      </w:r>
      <w:r>
        <w:rPr>
          <w:spacing w:val="-2"/>
        </w:rPr>
        <w:t>i</w:t>
      </w:r>
      <w:r>
        <w:rPr>
          <w:spacing w:val="1"/>
        </w:rPr>
        <w:t>l</w:t>
      </w:r>
      <w:r>
        <w:t xml:space="preserve">e </w:t>
      </w:r>
      <w:r>
        <w:rPr>
          <w:spacing w:val="1"/>
        </w:rPr>
        <w:t>î</w:t>
      </w:r>
      <w:r>
        <w:t>n</w:t>
      </w:r>
      <w:r>
        <w:rPr>
          <w:spacing w:val="-3"/>
        </w:rPr>
        <w:t>a</w:t>
      </w:r>
      <w:r>
        <w:rPr>
          <w:spacing w:val="1"/>
        </w:rPr>
        <w:t>i</w:t>
      </w:r>
      <w:r>
        <w:t>n</w:t>
      </w:r>
      <w:r>
        <w:rPr>
          <w:spacing w:val="-2"/>
        </w:rPr>
        <w:t>t</w:t>
      </w:r>
      <w:r>
        <w:t xml:space="preserve">e să </w:t>
      </w:r>
      <w:r>
        <w:rPr>
          <w:spacing w:val="-3"/>
        </w:rPr>
        <w:t>u</w:t>
      </w:r>
      <w:r>
        <w:rPr>
          <w:spacing w:val="-2"/>
        </w:rPr>
        <w:t>t</w:t>
      </w:r>
      <w:r>
        <w:rPr>
          <w:spacing w:val="1"/>
        </w:rPr>
        <w:t>i</w:t>
      </w:r>
      <w:r>
        <w:rPr>
          <w:spacing w:val="-2"/>
        </w:rPr>
        <w:t>l</w:t>
      </w:r>
      <w:r>
        <w:rPr>
          <w:spacing w:val="1"/>
        </w:rPr>
        <w:t>i</w:t>
      </w:r>
      <w:r>
        <w:rPr>
          <w:spacing w:val="-3"/>
        </w:rPr>
        <w:t>z</w:t>
      </w:r>
      <w:r>
        <w:t>e</w:t>
      </w:r>
      <w:r>
        <w:rPr>
          <w:spacing w:val="-3"/>
        </w:rPr>
        <w:t>z</w:t>
      </w:r>
      <w:r>
        <w:t xml:space="preserve">e </w:t>
      </w:r>
      <w:r>
        <w:rPr>
          <w:spacing w:val="-1"/>
          <w:szCs w:val="22"/>
          <w:lang w:eastAsia="en-US" w:bidi="ar-SA"/>
        </w:rPr>
        <w:t>AMGEVITA</w:t>
      </w:r>
      <w:r>
        <w:t>.</w:t>
      </w:r>
    </w:p>
    <w:p w14:paraId="1F44055C"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0F8E613B" w14:textId="77777777" w:rsidR="00C04CAD" w:rsidRDefault="00060E34">
      <w:pPr>
        <w:pStyle w:val="ListParagraph"/>
        <w:numPr>
          <w:ilvl w:val="0"/>
          <w:numId w:val="53"/>
        </w:numPr>
        <w:tabs>
          <w:tab w:val="clear" w:pos="567"/>
        </w:tabs>
        <w:kinsoku w:val="0"/>
        <w:overflowPunct w:val="0"/>
        <w:autoSpaceDE w:val="0"/>
        <w:autoSpaceDN w:val="0"/>
        <w:adjustRightInd w:val="0"/>
        <w:spacing w:line="240" w:lineRule="auto"/>
        <w:ind w:left="567" w:hanging="567"/>
      </w:pPr>
      <w:r>
        <w:rPr>
          <w:spacing w:val="-1"/>
        </w:rPr>
        <w:t>N</w:t>
      </w:r>
      <w:r>
        <w:t>u ad</w:t>
      </w:r>
      <w:r>
        <w:rPr>
          <w:spacing w:val="-4"/>
        </w:rPr>
        <w:t>m</w:t>
      </w:r>
      <w:r>
        <w:rPr>
          <w:spacing w:val="1"/>
        </w:rPr>
        <w:t>i</w:t>
      </w:r>
      <w:r>
        <w:t>n</w:t>
      </w:r>
      <w:r>
        <w:rPr>
          <w:spacing w:val="1"/>
        </w:rPr>
        <w:t>i</w:t>
      </w:r>
      <w:r>
        <w:t>s</w:t>
      </w:r>
      <w:r>
        <w:rPr>
          <w:spacing w:val="-2"/>
        </w:rPr>
        <w:t>t</w:t>
      </w:r>
      <w:r>
        <w:t>r</w:t>
      </w:r>
      <w:r>
        <w:rPr>
          <w:spacing w:val="-3"/>
        </w:rPr>
        <w:t>a</w:t>
      </w:r>
      <w:r>
        <w:rPr>
          <w:spacing w:val="1"/>
        </w:rPr>
        <w:t>ţ</w:t>
      </w:r>
      <w:r>
        <w:t>i</w:t>
      </w:r>
      <w:r>
        <w:rPr>
          <w:spacing w:val="1"/>
        </w:rPr>
        <w:t xml:space="preserve"> </w:t>
      </w:r>
      <w:r>
        <w:rPr>
          <w:spacing w:val="-1"/>
          <w:szCs w:val="22"/>
          <w:lang w:eastAsia="en-US" w:bidi="ar-SA"/>
        </w:rPr>
        <w:t>AMGEVITA</w:t>
      </w:r>
      <w:r>
        <w:rPr>
          <w:spacing w:val="-2"/>
        </w:rPr>
        <w:t xml:space="preserve"> </w:t>
      </w:r>
      <w:r>
        <w:rPr>
          <w:spacing w:val="1"/>
        </w:rPr>
        <w:t>l</w:t>
      </w:r>
      <w:r>
        <w:t>a</w:t>
      </w:r>
      <w:r>
        <w:rPr>
          <w:spacing w:val="-2"/>
        </w:rPr>
        <w:t xml:space="preserve"> </w:t>
      </w:r>
      <w:r>
        <w:t>cop</w:t>
      </w:r>
      <w:r>
        <w:rPr>
          <w:spacing w:val="-2"/>
        </w:rPr>
        <w:t>i</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it</w:t>
      </w:r>
      <w:r>
        <w:t>ă</w:t>
      </w:r>
      <w:r>
        <w:rPr>
          <w:spacing w:val="-5"/>
        </w:rPr>
        <w:t xml:space="preserve"> </w:t>
      </w:r>
      <w:r>
        <w:rPr>
          <w:spacing w:val="3"/>
        </w:rPr>
        <w:t>j</w:t>
      </w:r>
      <w:r>
        <w:t>u</w:t>
      </w:r>
      <w:r>
        <w:rPr>
          <w:spacing w:val="-3"/>
        </w:rPr>
        <w:t>v</w:t>
      </w:r>
      <w:r>
        <w:t>en</w:t>
      </w:r>
      <w:r>
        <w:rPr>
          <w:spacing w:val="-2"/>
        </w:rPr>
        <w:t>i</w:t>
      </w:r>
      <w:r>
        <w:rPr>
          <w:spacing w:val="1"/>
        </w:rPr>
        <w:t>l</w:t>
      </w:r>
      <w:r>
        <w:t>ă</w:t>
      </w:r>
      <w:r>
        <w:rPr>
          <w:spacing w:val="-2"/>
        </w:rPr>
        <w:t xml:space="preserve"> </w:t>
      </w:r>
      <w:r>
        <w:rPr>
          <w:spacing w:val="1"/>
        </w:rPr>
        <w:t>i</w:t>
      </w:r>
      <w:r>
        <w:rPr>
          <w:spacing w:val="-3"/>
        </w:rPr>
        <w:t>d</w:t>
      </w:r>
      <w:r>
        <w:rPr>
          <w:spacing w:val="1"/>
        </w:rPr>
        <w:t>i</w:t>
      </w:r>
      <w:r>
        <w:rPr>
          <w:spacing w:val="-3"/>
        </w:rPr>
        <w:t>o</w:t>
      </w:r>
      <w:r>
        <w:t>pa</w:t>
      </w:r>
      <w:r>
        <w:rPr>
          <w:spacing w:val="-2"/>
        </w:rPr>
        <w:t>t</w:t>
      </w:r>
      <w:r>
        <w:rPr>
          <w:spacing w:val="1"/>
        </w:rPr>
        <w:t>i</w:t>
      </w:r>
      <w:r>
        <w:t>că</w:t>
      </w:r>
      <w:r>
        <w:rPr>
          <w:spacing w:val="-2"/>
        </w:rPr>
        <w:t xml:space="preserve"> </w:t>
      </w:r>
      <w:r>
        <w:t>for</w:t>
      </w:r>
      <w:r>
        <w:rPr>
          <w:spacing w:val="-4"/>
        </w:rPr>
        <w:t>m</w:t>
      </w:r>
      <w:r>
        <w:t xml:space="preserve">a </w:t>
      </w:r>
      <w:r>
        <w:rPr>
          <w:szCs w:val="22"/>
          <w:lang w:eastAsia="en-US" w:bidi="ar-SA"/>
        </w:rPr>
        <w:t>po</w:t>
      </w:r>
      <w:r>
        <w:rPr>
          <w:spacing w:val="-2"/>
          <w:szCs w:val="22"/>
          <w:lang w:eastAsia="en-US" w:bidi="ar-SA"/>
        </w:rPr>
        <w:t>l</w:t>
      </w:r>
      <w:r>
        <w:rPr>
          <w:spacing w:val="1"/>
          <w:szCs w:val="22"/>
          <w:lang w:eastAsia="en-US" w:bidi="ar-SA"/>
        </w:rPr>
        <w:t>i</w:t>
      </w:r>
      <w:r>
        <w:rPr>
          <w:spacing w:val="-3"/>
          <w:szCs w:val="22"/>
          <w:lang w:eastAsia="en-US" w:bidi="ar-SA"/>
        </w:rPr>
        <w:t>a</w:t>
      </w:r>
      <w:r>
        <w:rPr>
          <w:szCs w:val="22"/>
          <w:lang w:eastAsia="en-US" w:bidi="ar-SA"/>
        </w:rPr>
        <w:t>r</w:t>
      </w:r>
      <w:r>
        <w:rPr>
          <w:spacing w:val="-2"/>
          <w:szCs w:val="22"/>
          <w:lang w:eastAsia="en-US" w:bidi="ar-SA"/>
        </w:rPr>
        <w:t>t</w:t>
      </w:r>
      <w:r>
        <w:rPr>
          <w:spacing w:val="1"/>
          <w:szCs w:val="22"/>
          <w:lang w:eastAsia="en-US" w:bidi="ar-SA"/>
        </w:rPr>
        <w:t>i</w:t>
      </w:r>
      <w:r>
        <w:rPr>
          <w:szCs w:val="22"/>
          <w:lang w:eastAsia="en-US" w:bidi="ar-SA"/>
        </w:rPr>
        <w:t>c</w:t>
      </w:r>
      <w:r>
        <w:rPr>
          <w:spacing w:val="-3"/>
          <w:szCs w:val="22"/>
          <w:lang w:eastAsia="en-US" w:bidi="ar-SA"/>
        </w:rPr>
        <w:t>u</w:t>
      </w:r>
      <w:r>
        <w:rPr>
          <w:spacing w:val="1"/>
          <w:szCs w:val="22"/>
          <w:lang w:eastAsia="en-US" w:bidi="ar-SA"/>
        </w:rPr>
        <w:t>l</w:t>
      </w:r>
      <w:r>
        <w:rPr>
          <w:szCs w:val="22"/>
          <w:lang w:eastAsia="en-US" w:bidi="ar-SA"/>
        </w:rPr>
        <w:t>a</w:t>
      </w:r>
      <w:r>
        <w:rPr>
          <w:spacing w:val="-2"/>
          <w:szCs w:val="22"/>
          <w:lang w:eastAsia="en-US" w:bidi="ar-SA"/>
        </w:rPr>
        <w:t>r</w:t>
      </w:r>
      <w:r>
        <w:rPr>
          <w:szCs w:val="22"/>
          <w:lang w:eastAsia="en-US" w:bidi="ar-SA"/>
        </w:rPr>
        <w:t xml:space="preserve">ă </w:t>
      </w:r>
      <w:r>
        <w:rPr>
          <w:spacing w:val="-3"/>
          <w:szCs w:val="22"/>
          <w:lang w:eastAsia="en-US" w:bidi="ar-SA"/>
        </w:rPr>
        <w:t>c</w:t>
      </w:r>
      <w:r>
        <w:rPr>
          <w:szCs w:val="22"/>
          <w:lang w:eastAsia="en-US" w:bidi="ar-SA"/>
        </w:rPr>
        <w:t>are</w:t>
      </w:r>
      <w:r>
        <w:t xml:space="preserve"> </w:t>
      </w:r>
      <w:r>
        <w:rPr>
          <w:spacing w:val="-3"/>
        </w:rPr>
        <w:t>a</w:t>
      </w:r>
      <w:r>
        <w:t xml:space="preserve">u </w:t>
      </w:r>
      <w:r>
        <w:rPr>
          <w:spacing w:val="-3"/>
        </w:rPr>
        <w:t>v</w:t>
      </w:r>
      <w:r>
        <w:t>âr</w:t>
      </w:r>
      <w:r>
        <w:rPr>
          <w:spacing w:val="-2"/>
        </w:rPr>
        <w:t>s</w:t>
      </w:r>
      <w:r>
        <w:rPr>
          <w:spacing w:val="1"/>
        </w:rPr>
        <w:t>t</w:t>
      </w:r>
      <w:r>
        <w:t>a sub 2 a</w:t>
      </w:r>
      <w:r>
        <w:rPr>
          <w:spacing w:val="-3"/>
        </w:rPr>
        <w:t>n</w:t>
      </w:r>
      <w:r>
        <w:rPr>
          <w:spacing w:val="1"/>
        </w:rPr>
        <w:t>i</w:t>
      </w:r>
      <w:r>
        <w:t>.</w:t>
      </w:r>
    </w:p>
    <w:p w14:paraId="6434E0DC"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5BA33C40" w14:textId="77777777" w:rsidR="00C04CAD" w:rsidRDefault="00060E34">
      <w:pPr>
        <w:pStyle w:val="ListParagraph"/>
        <w:numPr>
          <w:ilvl w:val="0"/>
          <w:numId w:val="53"/>
        </w:numPr>
        <w:tabs>
          <w:tab w:val="clear" w:pos="567"/>
        </w:tabs>
        <w:kinsoku w:val="0"/>
        <w:overflowPunct w:val="0"/>
        <w:autoSpaceDE w:val="0"/>
        <w:autoSpaceDN w:val="0"/>
        <w:adjustRightInd w:val="0"/>
        <w:spacing w:line="240" w:lineRule="auto"/>
        <w:ind w:left="567" w:hanging="567"/>
      </w:pPr>
      <w:r>
        <w:t>Nu administrați AMGEVITA la copii cu psoriazis în plăci care au vârsta sub 4 ani.</w:t>
      </w:r>
    </w:p>
    <w:p w14:paraId="204B4569" w14:textId="77777777" w:rsidR="00C04CAD" w:rsidRDefault="00C04CAD">
      <w:pPr>
        <w:pStyle w:val="ListParagraph"/>
        <w:spacing w:line="240" w:lineRule="auto"/>
      </w:pPr>
    </w:p>
    <w:p w14:paraId="02B27EAD" w14:textId="77777777" w:rsidR="00C04CAD" w:rsidRDefault="00060E34">
      <w:pPr>
        <w:pStyle w:val="ListParagraph"/>
        <w:numPr>
          <w:ilvl w:val="0"/>
          <w:numId w:val="53"/>
        </w:numPr>
        <w:tabs>
          <w:tab w:val="clear" w:pos="567"/>
        </w:tabs>
        <w:kinsoku w:val="0"/>
        <w:overflowPunct w:val="0"/>
        <w:autoSpaceDE w:val="0"/>
        <w:autoSpaceDN w:val="0"/>
        <w:adjustRightInd w:val="0"/>
        <w:spacing w:line="240" w:lineRule="auto"/>
        <w:ind w:left="567" w:hanging="567"/>
      </w:pPr>
      <w:r>
        <w:t>Nu administrați AMGEVITA la copii cu boala Crohn sau cu colită ulcerativă care au vârsta sub 6 ani.</w:t>
      </w:r>
    </w:p>
    <w:p w14:paraId="14B268CD" w14:textId="77777777" w:rsidR="00C04CAD" w:rsidRDefault="00C04CAD">
      <w:pPr>
        <w:keepNext/>
        <w:numPr>
          <w:ilvl w:val="12"/>
          <w:numId w:val="0"/>
        </w:numPr>
        <w:tabs>
          <w:tab w:val="clear" w:pos="567"/>
        </w:tabs>
        <w:spacing w:line="240" w:lineRule="auto"/>
        <w:rPr>
          <w:b/>
          <w:bCs/>
        </w:rPr>
      </w:pPr>
    </w:p>
    <w:p w14:paraId="1B6B2B90" w14:textId="77777777" w:rsidR="00C04CAD" w:rsidRDefault="00060E34">
      <w:pPr>
        <w:keepNext/>
        <w:numPr>
          <w:ilvl w:val="12"/>
          <w:numId w:val="0"/>
        </w:numPr>
        <w:tabs>
          <w:tab w:val="clear" w:pos="567"/>
        </w:tabs>
        <w:spacing w:line="240" w:lineRule="auto"/>
        <w:ind w:right="-2"/>
        <w:rPr>
          <w:b/>
        </w:rPr>
      </w:pPr>
      <w:r>
        <w:rPr>
          <w:b/>
        </w:rPr>
        <w:t>AMGEVITA împreună cu alte medicamente</w:t>
      </w:r>
    </w:p>
    <w:p w14:paraId="7972E86F" w14:textId="77777777" w:rsidR="00C04CAD" w:rsidRDefault="00C04CAD">
      <w:pPr>
        <w:tabs>
          <w:tab w:val="clear" w:pos="567"/>
        </w:tabs>
        <w:kinsoku w:val="0"/>
        <w:overflowPunct w:val="0"/>
        <w:autoSpaceDE w:val="0"/>
        <w:autoSpaceDN w:val="0"/>
        <w:adjustRightInd w:val="0"/>
        <w:spacing w:line="240" w:lineRule="auto"/>
      </w:pPr>
    </w:p>
    <w:p w14:paraId="484BE236" w14:textId="77777777" w:rsidR="00C04CAD" w:rsidRDefault="00060E34">
      <w:pPr>
        <w:tabs>
          <w:tab w:val="clear" w:pos="567"/>
        </w:tabs>
        <w:kinsoku w:val="0"/>
        <w:overflowPunct w:val="0"/>
        <w:autoSpaceDE w:val="0"/>
        <w:autoSpaceDN w:val="0"/>
        <w:adjustRightInd w:val="0"/>
        <w:spacing w:line="240" w:lineRule="auto"/>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sau</w:t>
      </w:r>
      <w:r>
        <w:rPr>
          <w:spacing w:val="-3"/>
        </w:rPr>
        <w:t xml:space="preserve"> </w:t>
      </w:r>
      <w:r>
        <w:t>far</w:t>
      </w:r>
      <w:r>
        <w:rPr>
          <w:spacing w:val="-4"/>
        </w:rPr>
        <w:t>m</w:t>
      </w:r>
      <w:r>
        <w:t>ac</w:t>
      </w:r>
      <w:r>
        <w:rPr>
          <w:spacing w:val="-2"/>
        </w:rPr>
        <w:t>i</w:t>
      </w:r>
      <w:r>
        <w:t>s</w:t>
      </w:r>
      <w:r>
        <w:rPr>
          <w:spacing w:val="1"/>
        </w:rPr>
        <w:t>t</w:t>
      </w:r>
      <w:r>
        <w:rPr>
          <w:spacing w:val="-3"/>
        </w:rPr>
        <w:t>u</w:t>
      </w:r>
      <w:r>
        <w:rPr>
          <w:spacing w:val="1"/>
        </w:rPr>
        <w:t>l</w:t>
      </w:r>
      <w:r>
        <w:rPr>
          <w:spacing w:val="-3"/>
        </w:rPr>
        <w:t>u</w:t>
      </w:r>
      <w:r>
        <w:t>i</w:t>
      </w:r>
      <w:r>
        <w:rPr>
          <w:spacing w:val="1"/>
        </w:rPr>
        <w:t xml:space="preserve"> </w:t>
      </w:r>
      <w:r>
        <w:rPr>
          <w:spacing w:val="-3"/>
        </w:rPr>
        <w:t>d</w:t>
      </w:r>
      <w:r>
        <w:t>acă</w:t>
      </w:r>
      <w:r>
        <w:rPr>
          <w:spacing w:val="-2"/>
        </w:rPr>
        <w:t xml:space="preserve"> </w:t>
      </w:r>
      <w:r>
        <w:rPr>
          <w:spacing w:val="1"/>
        </w:rPr>
        <w:t>l</w:t>
      </w:r>
      <w:r>
        <w:t>u</w:t>
      </w:r>
      <w:r>
        <w:rPr>
          <w:spacing w:val="-3"/>
        </w:rPr>
        <w:t>a</w:t>
      </w:r>
      <w:r>
        <w:rPr>
          <w:spacing w:val="1"/>
        </w:rPr>
        <w:t>ţi</w:t>
      </w:r>
      <w:r>
        <w:t>,</w:t>
      </w:r>
      <w:r>
        <w:rPr>
          <w:spacing w:val="-3"/>
        </w:rPr>
        <w:t xml:space="preserve"> </w:t>
      </w:r>
      <w:r>
        <w:t>a</w:t>
      </w:r>
      <w:r>
        <w:rPr>
          <w:spacing w:val="-2"/>
        </w:rPr>
        <w:t>ţ</w:t>
      </w:r>
      <w:r>
        <w:t>i</w:t>
      </w:r>
      <w:r>
        <w:rPr>
          <w:spacing w:val="1"/>
        </w:rPr>
        <w:t xml:space="preserve"> l</w:t>
      </w:r>
      <w:r>
        <w:rPr>
          <w:spacing w:val="-3"/>
        </w:rPr>
        <w:t>u</w:t>
      </w:r>
      <w:r>
        <w:t>at</w:t>
      </w:r>
      <w:r>
        <w:rPr>
          <w:spacing w:val="-2"/>
        </w:rPr>
        <w:t xml:space="preserve"> </w:t>
      </w:r>
      <w:r>
        <w:t>re</w:t>
      </w:r>
      <w:r>
        <w:rPr>
          <w:spacing w:val="-3"/>
        </w:rPr>
        <w:t>c</w:t>
      </w:r>
      <w:r>
        <w:t>ent</w:t>
      </w:r>
      <w:r>
        <w:rPr>
          <w:spacing w:val="-2"/>
        </w:rPr>
        <w:t xml:space="preserve"> </w:t>
      </w:r>
      <w:r>
        <w:t>sau</w:t>
      </w:r>
      <w:r>
        <w:rPr>
          <w:spacing w:val="-3"/>
        </w:rPr>
        <w:t xml:space="preserve"> </w:t>
      </w:r>
      <w:r>
        <w:t>s</w:t>
      </w:r>
      <w:r>
        <w:rPr>
          <w:spacing w:val="-5"/>
        </w:rPr>
        <w:t>-</w:t>
      </w:r>
      <w:r>
        <w:t>ar</w:t>
      </w:r>
      <w:r>
        <w:rPr>
          <w:spacing w:val="1"/>
        </w:rPr>
        <w:t xml:space="preserve"> </w:t>
      </w:r>
      <w:r>
        <w:t>pu</w:t>
      </w:r>
      <w:r>
        <w:rPr>
          <w:spacing w:val="1"/>
        </w:rPr>
        <w:t>t</w:t>
      </w:r>
      <w:r>
        <w:t>ea</w:t>
      </w:r>
      <w:r>
        <w:rPr>
          <w:spacing w:val="-2"/>
        </w:rPr>
        <w:t xml:space="preserve"> </w:t>
      </w:r>
      <w:r>
        <w:t xml:space="preserve">să </w:t>
      </w:r>
      <w:r>
        <w:rPr>
          <w:spacing w:val="-2"/>
        </w:rPr>
        <w:t>l</w:t>
      </w:r>
      <w:r>
        <w:t>ua</w:t>
      </w:r>
      <w:r>
        <w:rPr>
          <w:spacing w:val="-2"/>
        </w:rPr>
        <w:t>ţ</w:t>
      </w:r>
      <w:r>
        <w:t>i or</w:t>
      </w:r>
      <w:r>
        <w:rPr>
          <w:spacing w:val="1"/>
        </w:rPr>
        <w:t>i</w:t>
      </w:r>
      <w:r>
        <w:rPr>
          <w:spacing w:val="-3"/>
        </w:rPr>
        <w:t>c</w:t>
      </w:r>
      <w:r>
        <w:t xml:space="preserve">e </w:t>
      </w:r>
      <w:r>
        <w:rPr>
          <w:spacing w:val="-3"/>
        </w:rPr>
        <w:t>a</w:t>
      </w:r>
      <w:r>
        <w:rPr>
          <w:spacing w:val="1"/>
        </w:rPr>
        <w:t>l</w:t>
      </w:r>
      <w:r>
        <w:t>t</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p>
    <w:p w14:paraId="2231FD12" w14:textId="77777777" w:rsidR="00C04CAD" w:rsidRDefault="00C04CAD">
      <w:pPr>
        <w:tabs>
          <w:tab w:val="clear" w:pos="567"/>
        </w:tabs>
        <w:kinsoku w:val="0"/>
        <w:overflowPunct w:val="0"/>
        <w:autoSpaceDE w:val="0"/>
        <w:autoSpaceDN w:val="0"/>
        <w:adjustRightInd w:val="0"/>
        <w:spacing w:line="240" w:lineRule="auto"/>
      </w:pPr>
    </w:p>
    <w:p w14:paraId="72C67201"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t xml:space="preserve"> se po</w:t>
      </w:r>
      <w:r>
        <w:rPr>
          <w:spacing w:val="-3"/>
        </w:rPr>
        <w:t>a</w:t>
      </w:r>
      <w:r>
        <w:rPr>
          <w:spacing w:val="1"/>
        </w:rPr>
        <w:t>t</w:t>
      </w:r>
      <w:r>
        <w:t xml:space="preserve">e </w:t>
      </w:r>
      <w:r>
        <w:rPr>
          <w:spacing w:val="-3"/>
        </w:rPr>
        <w:t>u</w:t>
      </w:r>
      <w:r>
        <w:rPr>
          <w:spacing w:val="-2"/>
        </w:rPr>
        <w:t>t</w:t>
      </w:r>
      <w:r>
        <w:rPr>
          <w:spacing w:val="1"/>
        </w:rPr>
        <w:t>i</w:t>
      </w:r>
      <w:r>
        <w:rPr>
          <w:spacing w:val="-2"/>
        </w:rPr>
        <w:t>l</w:t>
      </w:r>
      <w:r>
        <w:rPr>
          <w:spacing w:val="1"/>
        </w:rPr>
        <w:t>i</w:t>
      </w:r>
      <w:r>
        <w:rPr>
          <w:spacing w:val="-3"/>
        </w:rPr>
        <w:t>z</w:t>
      </w:r>
      <w:r>
        <w:t xml:space="preserve">a </w:t>
      </w:r>
      <w:r>
        <w:rPr>
          <w:spacing w:val="1"/>
        </w:rPr>
        <w:t>î</w:t>
      </w:r>
      <w:r>
        <w:rPr>
          <w:spacing w:val="-4"/>
        </w:rPr>
        <w:t>m</w:t>
      </w:r>
      <w:r>
        <w:t>preună</w:t>
      </w:r>
      <w:r>
        <w:rPr>
          <w:spacing w:val="-2"/>
        </w:rPr>
        <w:t xml:space="preserve"> </w:t>
      </w:r>
      <w:r>
        <w:t xml:space="preserve">cu </w:t>
      </w:r>
      <w:r>
        <w:rPr>
          <w:spacing w:val="-4"/>
        </w:rPr>
        <w:t>m</w:t>
      </w:r>
      <w:r>
        <w:t>e</w:t>
      </w:r>
      <w:r>
        <w:rPr>
          <w:spacing w:val="1"/>
        </w:rPr>
        <w:t>t</w:t>
      </w:r>
      <w:r>
        <w:t>o</w:t>
      </w:r>
      <w:r>
        <w:rPr>
          <w:spacing w:val="-2"/>
        </w:rPr>
        <w:t>t</w:t>
      </w:r>
      <w:r>
        <w:t>re</w:t>
      </w:r>
      <w:r>
        <w:rPr>
          <w:spacing w:val="-3"/>
        </w:rPr>
        <w:t>x</w:t>
      </w:r>
      <w:r>
        <w:t>at</w:t>
      </w:r>
      <w:r>
        <w:rPr>
          <w:spacing w:val="1"/>
        </w:rPr>
        <w:t xml:space="preserve"> </w:t>
      </w:r>
      <w:r>
        <w:rPr>
          <w:spacing w:val="-2"/>
        </w:rPr>
        <w:t>s</w:t>
      </w:r>
      <w:r>
        <w:t xml:space="preserve">au </w:t>
      </w:r>
      <w:r>
        <w:rPr>
          <w:spacing w:val="-3"/>
        </w:rPr>
        <w:t>c</w:t>
      </w:r>
      <w:r>
        <w:t>u</w:t>
      </w:r>
      <w:r>
        <w:rPr>
          <w:spacing w:val="-3"/>
        </w:rPr>
        <w:t xml:space="preserve"> </w:t>
      </w:r>
      <w:r>
        <w:t>al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3"/>
        </w:rPr>
        <w:t>a</w:t>
      </w:r>
      <w:r>
        <w:t>n</w:t>
      </w:r>
      <w:r>
        <w:rPr>
          <w:spacing w:val="-2"/>
        </w:rPr>
        <w:t>t</w:t>
      </w:r>
      <w:r>
        <w:t>i</w:t>
      </w:r>
      <w:r>
        <w:rPr>
          <w:spacing w:val="-4"/>
        </w:rPr>
        <w:t>-</w:t>
      </w:r>
      <w:r>
        <w:t>reu</w:t>
      </w:r>
      <w:r>
        <w:rPr>
          <w:spacing w:val="-2"/>
        </w:rPr>
        <w:t>m</w:t>
      </w:r>
      <w:r>
        <w:t>a</w:t>
      </w:r>
      <w:r>
        <w:rPr>
          <w:spacing w:val="1"/>
        </w:rPr>
        <w:t>t</w:t>
      </w:r>
      <w:r>
        <w:rPr>
          <w:spacing w:val="-2"/>
        </w:rPr>
        <w:t>i</w:t>
      </w:r>
      <w:r>
        <w:t xml:space="preserve">ce </w:t>
      </w:r>
      <w:r>
        <w:rPr>
          <w:spacing w:val="-4"/>
        </w:rPr>
        <w:t>m</w:t>
      </w:r>
      <w:r>
        <w:t>od</w:t>
      </w:r>
      <w:r>
        <w:rPr>
          <w:spacing w:val="1"/>
        </w:rPr>
        <w:t>i</w:t>
      </w:r>
      <w:r>
        <w:rPr>
          <w:spacing w:val="-2"/>
        </w:rPr>
        <w:t>f</w:t>
      </w:r>
      <w:r>
        <w:rPr>
          <w:spacing w:val="1"/>
        </w:rPr>
        <w:t>i</w:t>
      </w:r>
      <w:r>
        <w:t>c</w:t>
      </w:r>
      <w:r>
        <w:rPr>
          <w:spacing w:val="-3"/>
        </w:rPr>
        <w:t>a</w:t>
      </w:r>
      <w:r>
        <w:rPr>
          <w:spacing w:val="1"/>
        </w:rPr>
        <w:t>t</w:t>
      </w:r>
      <w:r>
        <w:t>o</w:t>
      </w:r>
      <w:r>
        <w:rPr>
          <w:spacing w:val="-3"/>
        </w:rPr>
        <w:t>a</w:t>
      </w:r>
      <w:r>
        <w:t>re de bo</w:t>
      </w:r>
      <w:r>
        <w:rPr>
          <w:spacing w:val="-3"/>
        </w:rPr>
        <w:t>a</w:t>
      </w:r>
      <w:r>
        <w:rPr>
          <w:spacing w:val="1"/>
        </w:rPr>
        <w:t>l</w:t>
      </w:r>
      <w:r>
        <w:t>ă</w:t>
      </w:r>
      <w:r>
        <w:rPr>
          <w:spacing w:val="-2"/>
        </w:rPr>
        <w:t xml:space="preserve"> </w:t>
      </w:r>
      <w:r>
        <w:t>(s</w:t>
      </w:r>
      <w:r>
        <w:rPr>
          <w:spacing w:val="-3"/>
        </w:rPr>
        <w:t>u</w:t>
      </w:r>
      <w:r>
        <w:rPr>
          <w:spacing w:val="1"/>
        </w:rPr>
        <w:t>l</w:t>
      </w:r>
      <w:r>
        <w:t>f</w:t>
      </w:r>
      <w:r>
        <w:rPr>
          <w:spacing w:val="-3"/>
        </w:rPr>
        <w:t>a</w:t>
      </w:r>
      <w:r>
        <w:t>s</w:t>
      </w:r>
      <w:r>
        <w:rPr>
          <w:spacing w:val="-3"/>
        </w:rPr>
        <w:t>a</w:t>
      </w:r>
      <w:r>
        <w:rPr>
          <w:spacing w:val="1"/>
        </w:rPr>
        <w:t>l</w:t>
      </w:r>
      <w:r>
        <w:t>a</w:t>
      </w:r>
      <w:r>
        <w:rPr>
          <w:spacing w:val="-3"/>
        </w:rPr>
        <w:t>z</w:t>
      </w:r>
      <w:r>
        <w:rPr>
          <w:spacing w:val="1"/>
        </w:rPr>
        <w:t>i</w:t>
      </w:r>
      <w:r>
        <w:t>nă,</w:t>
      </w:r>
      <w:r>
        <w:rPr>
          <w:spacing w:val="-3"/>
        </w:rPr>
        <w:t xml:space="preserve"> </w:t>
      </w:r>
      <w:r>
        <w:t>h</w:t>
      </w:r>
      <w:r>
        <w:rPr>
          <w:spacing w:val="1"/>
        </w:rPr>
        <w:t>i</w:t>
      </w:r>
      <w:r>
        <w:rPr>
          <w:spacing w:val="-3"/>
        </w:rPr>
        <w:t>d</w:t>
      </w:r>
      <w:r>
        <w:t>rox</w:t>
      </w:r>
      <w:r>
        <w:rPr>
          <w:spacing w:val="-2"/>
        </w:rPr>
        <w:t>i</w:t>
      </w:r>
      <w:r>
        <w:t>c</w:t>
      </w:r>
      <w:r>
        <w:rPr>
          <w:spacing w:val="1"/>
        </w:rPr>
        <w:t>l</w:t>
      </w:r>
      <w:r>
        <w:rPr>
          <w:spacing w:val="-3"/>
        </w:rPr>
        <w:t>o</w:t>
      </w:r>
      <w:r>
        <w:t>roc</w:t>
      </w:r>
      <w:r>
        <w:rPr>
          <w:spacing w:val="-3"/>
        </w:rPr>
        <w:t>h</w:t>
      </w:r>
      <w:r>
        <w:rPr>
          <w:spacing w:val="1"/>
        </w:rPr>
        <w:t>i</w:t>
      </w:r>
      <w:r>
        <w:t>n</w:t>
      </w:r>
      <w:r>
        <w:rPr>
          <w:spacing w:val="-3"/>
        </w:rPr>
        <w:t>ă</w:t>
      </w:r>
      <w:r>
        <w:t xml:space="preserve">, </w:t>
      </w:r>
      <w:r>
        <w:rPr>
          <w:spacing w:val="1"/>
        </w:rPr>
        <w:t>l</w:t>
      </w:r>
      <w:r>
        <w:rPr>
          <w:spacing w:val="-3"/>
        </w:rPr>
        <w:t>e</w:t>
      </w:r>
      <w:r>
        <w:t>f</w:t>
      </w:r>
      <w:r>
        <w:rPr>
          <w:spacing w:val="-2"/>
        </w:rPr>
        <w:t>l</w:t>
      </w:r>
      <w:r>
        <w:t>uno</w:t>
      </w:r>
      <w:r>
        <w:rPr>
          <w:spacing w:val="-4"/>
        </w:rPr>
        <w:t>m</w:t>
      </w:r>
      <w:r>
        <w:rPr>
          <w:spacing w:val="1"/>
        </w:rPr>
        <w:t>i</w:t>
      </w:r>
      <w:r>
        <w:t>dă</w:t>
      </w:r>
      <w:r>
        <w:rPr>
          <w:spacing w:val="-2"/>
        </w:rPr>
        <w:t xml:space="preserve"> </w:t>
      </w:r>
      <w:r>
        <w:t>şi</w:t>
      </w:r>
      <w:r>
        <w:rPr>
          <w:spacing w:val="1"/>
        </w:rPr>
        <w:t xml:space="preserve"> </w:t>
      </w:r>
      <w:r>
        <w:rPr>
          <w:spacing w:val="-3"/>
        </w:rPr>
        <w:t>p</w:t>
      </w:r>
      <w:r>
        <w:t>rep</w:t>
      </w:r>
      <w:r>
        <w:rPr>
          <w:spacing w:val="-3"/>
        </w:rPr>
        <w:t>a</w:t>
      </w:r>
      <w:r>
        <w:t>r</w:t>
      </w:r>
      <w:r>
        <w:rPr>
          <w:spacing w:val="-3"/>
        </w:rPr>
        <w:t>a</w:t>
      </w:r>
      <w:r>
        <w:rPr>
          <w:spacing w:val="1"/>
        </w:rPr>
        <w:t>t</w:t>
      </w:r>
      <w:r>
        <w:t>e</w:t>
      </w:r>
      <w:r>
        <w:rPr>
          <w:spacing w:val="-2"/>
        </w:rPr>
        <w:t xml:space="preserve"> </w:t>
      </w:r>
      <w:r>
        <w:rPr>
          <w:spacing w:val="1"/>
        </w:rPr>
        <w:t>i</w:t>
      </w:r>
      <w:r>
        <w:rPr>
          <w:spacing w:val="-3"/>
        </w:rPr>
        <w:t>n</w:t>
      </w:r>
      <w:r>
        <w:rPr>
          <w:spacing w:val="1"/>
        </w:rPr>
        <w:t>j</w:t>
      </w:r>
      <w:r>
        <w:t>e</w:t>
      </w:r>
      <w:r>
        <w:rPr>
          <w:spacing w:val="-3"/>
        </w:rPr>
        <w:t>c</w:t>
      </w:r>
      <w:r>
        <w:rPr>
          <w:spacing w:val="1"/>
        </w:rPr>
        <w:t>t</w:t>
      </w:r>
      <w:r>
        <w:t>a</w:t>
      </w:r>
      <w:r>
        <w:rPr>
          <w:spacing w:val="-3"/>
        </w:rPr>
        <w:t>b</w:t>
      </w:r>
      <w:r>
        <w:rPr>
          <w:spacing w:val="1"/>
        </w:rPr>
        <w:t>il</w:t>
      </w:r>
      <w:r>
        <w:t>e</w:t>
      </w:r>
      <w:r>
        <w:rPr>
          <w:spacing w:val="-2"/>
        </w:rPr>
        <w:t xml:space="preserve"> </w:t>
      </w:r>
      <w:r>
        <w:t>pe</w:t>
      </w:r>
      <w:r>
        <w:rPr>
          <w:spacing w:val="-2"/>
        </w:rPr>
        <w:t xml:space="preserve"> </w:t>
      </w:r>
      <w:r>
        <w:t>ba</w:t>
      </w:r>
      <w:r>
        <w:rPr>
          <w:spacing w:val="-3"/>
        </w:rPr>
        <w:t>z</w:t>
      </w:r>
      <w:r>
        <w:t>ă de a</w:t>
      </w:r>
      <w:r>
        <w:rPr>
          <w:spacing w:val="-3"/>
        </w:rPr>
        <w:t>u</w:t>
      </w:r>
      <w:r>
        <w:t>r</w:t>
      </w:r>
      <w:r>
        <w:rPr>
          <w:szCs w:val="22"/>
          <w:lang w:eastAsia="en-US" w:bidi="ar-SA"/>
        </w:rPr>
        <w:t>),</w:t>
      </w:r>
      <w:r>
        <w:rPr>
          <w:spacing w:val="-2"/>
        </w:rPr>
        <w:t xml:space="preserve"> </w:t>
      </w:r>
      <w:r>
        <w:t>s</w:t>
      </w:r>
      <w:r>
        <w:rPr>
          <w:spacing w:val="1"/>
        </w:rPr>
        <w:t>t</w:t>
      </w:r>
      <w:r>
        <w:rPr>
          <w:spacing w:val="-3"/>
        </w:rPr>
        <w:t>e</w:t>
      </w:r>
      <w:r>
        <w:t>r</w:t>
      </w:r>
      <w:r>
        <w:rPr>
          <w:spacing w:val="-3"/>
        </w:rPr>
        <w:t>o</w:t>
      </w:r>
      <w:r>
        <w:rPr>
          <w:spacing w:val="1"/>
        </w:rPr>
        <w:t>i</w:t>
      </w:r>
      <w:r>
        <w:rPr>
          <w:spacing w:val="-3"/>
        </w:rPr>
        <w:t>z</w:t>
      </w:r>
      <w:r>
        <w:t xml:space="preserve">i sau </w:t>
      </w:r>
      <w:r>
        <w:rPr>
          <w:spacing w:val="-4"/>
        </w:rPr>
        <w:t>m</w:t>
      </w:r>
      <w:r>
        <w:t>ed</w:t>
      </w:r>
      <w:r>
        <w:rPr>
          <w:spacing w:val="1"/>
        </w:rPr>
        <w:t>i</w:t>
      </w:r>
      <w:r>
        <w:t>ca</w:t>
      </w:r>
      <w:r>
        <w:rPr>
          <w:spacing w:val="-4"/>
        </w:rPr>
        <w:t>m</w:t>
      </w:r>
      <w:r>
        <w:t>en</w:t>
      </w:r>
      <w:r>
        <w:rPr>
          <w:spacing w:val="1"/>
        </w:rPr>
        <w:t>t</w:t>
      </w:r>
      <w:r>
        <w:t xml:space="preserve">e </w:t>
      </w:r>
      <w:r>
        <w:rPr>
          <w:spacing w:val="-3"/>
        </w:rPr>
        <w:t>p</w:t>
      </w:r>
      <w:r>
        <w:t>en</w:t>
      </w:r>
      <w:r>
        <w:rPr>
          <w:spacing w:val="-2"/>
        </w:rPr>
        <w:t>t</w:t>
      </w:r>
      <w:r>
        <w:t>ru d</w:t>
      </w:r>
      <w:r>
        <w:rPr>
          <w:spacing w:val="-3"/>
        </w:rPr>
        <w:t>u</w:t>
      </w:r>
      <w:r>
        <w:t>re</w:t>
      </w:r>
      <w:r>
        <w:rPr>
          <w:spacing w:val="-2"/>
        </w:rPr>
        <w:t>r</w:t>
      </w:r>
      <w:r>
        <w:t xml:space="preserve">e </w:t>
      </w:r>
      <w:r>
        <w:rPr>
          <w:spacing w:val="1"/>
        </w:rPr>
        <w:t>i</w:t>
      </w:r>
      <w:r>
        <w:rPr>
          <w:spacing w:val="-3"/>
        </w:rPr>
        <w:t>n</w:t>
      </w:r>
      <w:r>
        <w:t>c</w:t>
      </w:r>
      <w:r>
        <w:rPr>
          <w:spacing w:val="1"/>
        </w:rPr>
        <w:t>l</w:t>
      </w:r>
      <w:r>
        <w:rPr>
          <w:spacing w:val="-3"/>
        </w:rPr>
        <w:t>u</w:t>
      </w:r>
      <w:r>
        <w:t>s</w:t>
      </w:r>
      <w:r>
        <w:rPr>
          <w:spacing w:val="1"/>
        </w:rPr>
        <w:t>i</w:t>
      </w:r>
      <w:r>
        <w:t>v</w:t>
      </w:r>
      <w:r>
        <w:rPr>
          <w:spacing w:val="-3"/>
        </w:rPr>
        <w:t xml:space="preserve"> </w:t>
      </w:r>
      <w:r>
        <w:rPr>
          <w:spacing w:val="-4"/>
        </w:rPr>
        <w:t>m</w:t>
      </w:r>
      <w:r>
        <w:t>ed</w:t>
      </w:r>
      <w:r>
        <w:rPr>
          <w:spacing w:val="1"/>
        </w:rPr>
        <w:t>i</w:t>
      </w:r>
      <w:r>
        <w:t>ca</w:t>
      </w:r>
      <w:r>
        <w:rPr>
          <w:spacing w:val="-4"/>
        </w:rPr>
        <w:t>m</w:t>
      </w:r>
      <w:r>
        <w:t>en</w:t>
      </w:r>
      <w:r>
        <w:rPr>
          <w:spacing w:val="1"/>
        </w:rPr>
        <w:t>t</w:t>
      </w:r>
      <w:r>
        <w:t>e</w:t>
      </w:r>
      <w:r>
        <w:rPr>
          <w:spacing w:val="-2"/>
        </w:rPr>
        <w:t>l</w:t>
      </w:r>
      <w:r>
        <w:t>e an</w:t>
      </w:r>
      <w:r>
        <w:rPr>
          <w:spacing w:val="-2"/>
        </w:rPr>
        <w:t>t</w:t>
      </w:r>
      <w:r>
        <w:t>i</w:t>
      </w:r>
      <w:r>
        <w:rPr>
          <w:spacing w:val="-3"/>
          <w:szCs w:val="22"/>
          <w:lang w:eastAsia="en-US" w:bidi="ar-SA"/>
        </w:rPr>
        <w:t>-</w:t>
      </w:r>
      <w:r>
        <w:rPr>
          <w:spacing w:val="1"/>
        </w:rPr>
        <w:t>i</w:t>
      </w:r>
      <w:r>
        <w:t>n</w:t>
      </w:r>
      <w:r>
        <w:rPr>
          <w:spacing w:val="-2"/>
        </w:rPr>
        <w:t>f</w:t>
      </w:r>
      <w:r>
        <w:rPr>
          <w:spacing w:val="1"/>
        </w:rPr>
        <w:t>l</w:t>
      </w:r>
      <w:r>
        <w:t>a</w:t>
      </w:r>
      <w:r>
        <w:rPr>
          <w:spacing w:val="-4"/>
        </w:rPr>
        <w:t>m</w:t>
      </w:r>
      <w:r>
        <w:t>a</w:t>
      </w:r>
      <w:r>
        <w:rPr>
          <w:spacing w:val="1"/>
        </w:rPr>
        <w:t>t</w:t>
      </w:r>
      <w:r>
        <w:t>oa</w:t>
      </w:r>
      <w:r>
        <w:rPr>
          <w:spacing w:val="-2"/>
        </w:rPr>
        <w:t>r</w:t>
      </w:r>
      <w:r>
        <w:t>e n</w:t>
      </w:r>
      <w:r>
        <w:rPr>
          <w:spacing w:val="-3"/>
        </w:rPr>
        <w:t>e</w:t>
      </w:r>
      <w:r>
        <w:t>s</w:t>
      </w:r>
      <w:r>
        <w:rPr>
          <w:spacing w:val="-2"/>
        </w:rPr>
        <w:t>t</w:t>
      </w:r>
      <w:r>
        <w:t>er</w:t>
      </w:r>
      <w:r>
        <w:rPr>
          <w:spacing w:val="-3"/>
        </w:rPr>
        <w:t>o</w:t>
      </w:r>
      <w:r>
        <w:rPr>
          <w:spacing w:val="-2"/>
        </w:rPr>
        <w:t>i</w:t>
      </w:r>
      <w:r>
        <w:t>d</w:t>
      </w:r>
      <w:r>
        <w:rPr>
          <w:spacing w:val="1"/>
        </w:rPr>
        <w:t>i</w:t>
      </w:r>
      <w:r>
        <w:t>ene</w:t>
      </w:r>
      <w:r>
        <w:rPr>
          <w:spacing w:val="-2"/>
        </w:rPr>
        <w:t xml:space="preserve"> </w:t>
      </w:r>
      <w:r>
        <w:t>(</w:t>
      </w:r>
      <w:r>
        <w:rPr>
          <w:spacing w:val="-1"/>
          <w:szCs w:val="22"/>
        </w:rPr>
        <w:t>A</w:t>
      </w:r>
      <w:r>
        <w:rPr>
          <w:spacing w:val="-4"/>
          <w:szCs w:val="22"/>
        </w:rPr>
        <w:t>I</w:t>
      </w:r>
      <w:r>
        <w:rPr>
          <w:spacing w:val="-1"/>
          <w:szCs w:val="22"/>
        </w:rPr>
        <w:t>NS</w:t>
      </w:r>
      <w:r>
        <w:rPr>
          <w:szCs w:val="22"/>
        </w:rPr>
        <w:t>).</w:t>
      </w:r>
    </w:p>
    <w:p w14:paraId="421081BB" w14:textId="77777777" w:rsidR="00C04CAD" w:rsidRDefault="00C04CAD">
      <w:pPr>
        <w:tabs>
          <w:tab w:val="clear" w:pos="567"/>
        </w:tabs>
        <w:kinsoku w:val="0"/>
        <w:overflowPunct w:val="0"/>
        <w:autoSpaceDE w:val="0"/>
        <w:autoSpaceDN w:val="0"/>
        <w:adjustRightInd w:val="0"/>
        <w:spacing w:line="240" w:lineRule="auto"/>
        <w:rPr>
          <w:szCs w:val="22"/>
        </w:rPr>
      </w:pPr>
    </w:p>
    <w:p w14:paraId="0E4DB608"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N</w:t>
      </w:r>
      <w:r>
        <w:rPr>
          <w:szCs w:val="22"/>
        </w:rPr>
        <w:t xml:space="preserve">u </w:t>
      </w:r>
      <w:r>
        <w:rPr>
          <w:spacing w:val="1"/>
          <w:szCs w:val="22"/>
        </w:rPr>
        <w:t>t</w:t>
      </w:r>
      <w:r>
        <w:rPr>
          <w:szCs w:val="22"/>
        </w:rPr>
        <w:t>r</w:t>
      </w:r>
      <w:r>
        <w:rPr>
          <w:spacing w:val="-3"/>
          <w:szCs w:val="22"/>
        </w:rPr>
        <w:t>e</w:t>
      </w:r>
      <w:r>
        <w:rPr>
          <w:szCs w:val="22"/>
        </w:rPr>
        <w:t>bu</w:t>
      </w:r>
      <w:r>
        <w:rPr>
          <w:spacing w:val="-2"/>
          <w:szCs w:val="22"/>
        </w:rPr>
        <w:t>i</w:t>
      </w:r>
      <w:r>
        <w:rPr>
          <w:szCs w:val="22"/>
        </w:rPr>
        <w:t>e să</w:t>
      </w:r>
      <w:r>
        <w:rPr>
          <w:spacing w:val="-2"/>
          <w:szCs w:val="22"/>
        </w:rPr>
        <w:t xml:space="preserve"> </w:t>
      </w:r>
      <w:r>
        <w:rPr>
          <w:spacing w:val="1"/>
          <w:szCs w:val="22"/>
        </w:rPr>
        <w:t>l</w:t>
      </w:r>
      <w:r>
        <w:rPr>
          <w:szCs w:val="22"/>
        </w:rPr>
        <w:t>u</w:t>
      </w:r>
      <w:r>
        <w:rPr>
          <w:spacing w:val="-3"/>
          <w:szCs w:val="22"/>
        </w:rPr>
        <w:t>a</w:t>
      </w:r>
      <w:r>
        <w:rPr>
          <w:spacing w:val="1"/>
          <w:szCs w:val="22"/>
        </w:rPr>
        <w:t>ţ</w:t>
      </w:r>
      <w:r>
        <w:rPr>
          <w:szCs w:val="22"/>
        </w:rPr>
        <w:t>i</w:t>
      </w:r>
      <w:r>
        <w:rPr>
          <w:spacing w:val="1"/>
          <w:szCs w:val="22"/>
        </w:rPr>
        <w:t xml:space="preserve"> </w:t>
      </w:r>
      <w:r>
        <w:rPr>
          <w:spacing w:val="-1"/>
          <w:szCs w:val="22"/>
          <w:lang w:eastAsia="en-US" w:bidi="ar-SA"/>
        </w:rPr>
        <w:t>AMGEVITA</w:t>
      </w:r>
      <w:r>
        <w:rPr>
          <w:spacing w:val="-5"/>
          <w:szCs w:val="22"/>
        </w:rPr>
        <w:t xml:space="preserve"> </w:t>
      </w:r>
      <w:r>
        <w:rPr>
          <w:spacing w:val="1"/>
          <w:szCs w:val="22"/>
        </w:rPr>
        <w:t>î</w:t>
      </w:r>
      <w:r>
        <w:rPr>
          <w:spacing w:val="-4"/>
          <w:szCs w:val="22"/>
        </w:rPr>
        <w:t>m</w:t>
      </w:r>
      <w:r>
        <w:rPr>
          <w:szCs w:val="22"/>
        </w:rPr>
        <w:t xml:space="preserve">preună cu </w:t>
      </w:r>
      <w:r>
        <w:rPr>
          <w:spacing w:val="-4"/>
          <w:szCs w:val="22"/>
        </w:rPr>
        <w:t>m</w:t>
      </w:r>
      <w:r>
        <w:rPr>
          <w:szCs w:val="22"/>
        </w:rPr>
        <w:t>ed</w:t>
      </w:r>
      <w:r>
        <w:rPr>
          <w:spacing w:val="1"/>
          <w:szCs w:val="22"/>
        </w:rPr>
        <w:t>i</w:t>
      </w:r>
      <w:r>
        <w:rPr>
          <w:spacing w:val="-3"/>
          <w:szCs w:val="22"/>
        </w:rPr>
        <w:t>c</w:t>
      </w:r>
      <w:r>
        <w:rPr>
          <w:szCs w:val="22"/>
        </w:rPr>
        <w:t>a</w:t>
      </w:r>
      <w:r>
        <w:rPr>
          <w:spacing w:val="-4"/>
          <w:szCs w:val="22"/>
        </w:rPr>
        <w:t>m</w:t>
      </w:r>
      <w:r>
        <w:rPr>
          <w:szCs w:val="22"/>
        </w:rPr>
        <w:t>en</w:t>
      </w:r>
      <w:r>
        <w:rPr>
          <w:spacing w:val="1"/>
          <w:szCs w:val="22"/>
        </w:rPr>
        <w:t>t</w:t>
      </w:r>
      <w:r>
        <w:rPr>
          <w:szCs w:val="22"/>
        </w:rPr>
        <w:t>e</w:t>
      </w:r>
      <w:r>
        <w:rPr>
          <w:spacing w:val="-2"/>
          <w:szCs w:val="22"/>
        </w:rPr>
        <w:t xml:space="preserve"> </w:t>
      </w:r>
      <w:r>
        <w:rPr>
          <w:szCs w:val="22"/>
        </w:rPr>
        <w:t>care</w:t>
      </w:r>
      <w:r>
        <w:rPr>
          <w:spacing w:val="-2"/>
          <w:szCs w:val="22"/>
        </w:rPr>
        <w:t xml:space="preserve"> </w:t>
      </w:r>
      <w:r>
        <w:rPr>
          <w:szCs w:val="22"/>
        </w:rPr>
        <w:t>co</w:t>
      </w:r>
      <w:r>
        <w:rPr>
          <w:spacing w:val="-3"/>
          <w:szCs w:val="22"/>
        </w:rPr>
        <w:t>n</w:t>
      </w:r>
      <w:r>
        <w:rPr>
          <w:spacing w:val="1"/>
          <w:szCs w:val="22"/>
        </w:rPr>
        <w:t>ţi</w:t>
      </w:r>
      <w:r>
        <w:rPr>
          <w:szCs w:val="22"/>
        </w:rPr>
        <w:t>n</w:t>
      </w:r>
      <w:r>
        <w:rPr>
          <w:spacing w:val="-3"/>
          <w:szCs w:val="22"/>
        </w:rPr>
        <w:t xml:space="preserve"> </w:t>
      </w:r>
      <w:r>
        <w:rPr>
          <w:szCs w:val="22"/>
        </w:rPr>
        <w:t>sub</w:t>
      </w:r>
      <w:r>
        <w:rPr>
          <w:spacing w:val="-2"/>
          <w:szCs w:val="22"/>
        </w:rPr>
        <w:t>s</w:t>
      </w:r>
      <w:r>
        <w:rPr>
          <w:spacing w:val="1"/>
          <w:szCs w:val="22"/>
        </w:rPr>
        <w:t>t</w:t>
      </w:r>
      <w:r>
        <w:rPr>
          <w:szCs w:val="22"/>
        </w:rPr>
        <w:t>a</w:t>
      </w:r>
      <w:r>
        <w:rPr>
          <w:spacing w:val="-3"/>
          <w:szCs w:val="22"/>
        </w:rPr>
        <w:t>n</w:t>
      </w:r>
      <w:r>
        <w:rPr>
          <w:spacing w:val="1"/>
          <w:szCs w:val="22"/>
        </w:rPr>
        <w:t>ţ</w:t>
      </w:r>
      <w:r>
        <w:rPr>
          <w:szCs w:val="22"/>
        </w:rPr>
        <w:t>ele</w:t>
      </w:r>
      <w:r>
        <w:rPr>
          <w:spacing w:val="-2"/>
          <w:szCs w:val="22"/>
        </w:rPr>
        <w:t xml:space="preserve"> </w:t>
      </w:r>
      <w:r>
        <w:rPr>
          <w:szCs w:val="22"/>
        </w:rPr>
        <w:t>ac</w:t>
      </w:r>
      <w:r>
        <w:rPr>
          <w:spacing w:val="-2"/>
          <w:szCs w:val="22"/>
        </w:rPr>
        <w:t>t</w:t>
      </w:r>
      <w:r>
        <w:rPr>
          <w:spacing w:val="1"/>
          <w:szCs w:val="22"/>
        </w:rPr>
        <w:t>i</w:t>
      </w:r>
      <w:r>
        <w:rPr>
          <w:spacing w:val="-3"/>
          <w:szCs w:val="22"/>
        </w:rPr>
        <w:t>v</w:t>
      </w:r>
      <w:r>
        <w:rPr>
          <w:szCs w:val="22"/>
        </w:rPr>
        <w:t>e ana</w:t>
      </w:r>
      <w:r>
        <w:rPr>
          <w:spacing w:val="-3"/>
          <w:szCs w:val="22"/>
        </w:rPr>
        <w:t>k</w:t>
      </w:r>
      <w:r>
        <w:rPr>
          <w:spacing w:val="1"/>
          <w:szCs w:val="22"/>
        </w:rPr>
        <w:t>i</w:t>
      </w:r>
      <w:r>
        <w:rPr>
          <w:szCs w:val="22"/>
        </w:rPr>
        <w:t>n</w:t>
      </w:r>
      <w:r>
        <w:rPr>
          <w:spacing w:val="-2"/>
          <w:szCs w:val="22"/>
        </w:rPr>
        <w:t>r</w:t>
      </w:r>
      <w:r>
        <w:rPr>
          <w:szCs w:val="22"/>
        </w:rPr>
        <w:t>a sau aba</w:t>
      </w:r>
      <w:r>
        <w:rPr>
          <w:spacing w:val="-2"/>
          <w:szCs w:val="22"/>
        </w:rPr>
        <w:t>t</w:t>
      </w:r>
      <w:r>
        <w:rPr>
          <w:szCs w:val="22"/>
        </w:rPr>
        <w:t>ace</w:t>
      </w:r>
      <w:r>
        <w:rPr>
          <w:spacing w:val="-3"/>
          <w:szCs w:val="22"/>
        </w:rPr>
        <w:t>p</w:t>
      </w:r>
      <w:r>
        <w:rPr>
          <w:spacing w:val="1"/>
          <w:szCs w:val="22"/>
        </w:rPr>
        <w:t>t din cauza riscului crescut de infecții grave</w:t>
      </w:r>
      <w:r>
        <w:rPr>
          <w:szCs w:val="22"/>
        </w:rPr>
        <w:t xml:space="preserve">. </w:t>
      </w:r>
      <w:r>
        <w:rPr>
          <w:spacing w:val="-2"/>
          <w:szCs w:val="22"/>
        </w:rPr>
        <w:t>D</w:t>
      </w:r>
      <w:r>
        <w:rPr>
          <w:spacing w:val="-3"/>
          <w:szCs w:val="22"/>
        </w:rPr>
        <w:t>a</w:t>
      </w:r>
      <w:r>
        <w:rPr>
          <w:szCs w:val="22"/>
        </w:rPr>
        <w:t>că a</w:t>
      </w:r>
      <w:r>
        <w:rPr>
          <w:spacing w:val="-3"/>
          <w:szCs w:val="22"/>
        </w:rPr>
        <w:t>v</w:t>
      </w:r>
      <w:r>
        <w:rPr>
          <w:szCs w:val="22"/>
        </w:rPr>
        <w:t>e</w:t>
      </w:r>
      <w:r>
        <w:rPr>
          <w:spacing w:val="-2"/>
          <w:szCs w:val="22"/>
        </w:rPr>
        <w:t>ţ</w:t>
      </w:r>
      <w:r>
        <w:rPr>
          <w:szCs w:val="22"/>
        </w:rPr>
        <w:t>i</w:t>
      </w:r>
      <w:r>
        <w:rPr>
          <w:spacing w:val="1"/>
          <w:szCs w:val="22"/>
        </w:rPr>
        <w:t xml:space="preserve"> </w:t>
      </w:r>
      <w:r>
        <w:rPr>
          <w:spacing w:val="-2"/>
          <w:szCs w:val="22"/>
        </w:rPr>
        <w:t>î</w:t>
      </w:r>
      <w:r>
        <w:rPr>
          <w:szCs w:val="22"/>
        </w:rPr>
        <w:t>n</w:t>
      </w:r>
      <w:r>
        <w:rPr>
          <w:spacing w:val="-2"/>
          <w:szCs w:val="22"/>
        </w:rPr>
        <w:t>t</w:t>
      </w:r>
      <w:r>
        <w:rPr>
          <w:szCs w:val="22"/>
        </w:rPr>
        <w:t>re</w:t>
      </w:r>
      <w:r>
        <w:rPr>
          <w:spacing w:val="-3"/>
          <w:szCs w:val="22"/>
        </w:rPr>
        <w:t>b</w:t>
      </w:r>
      <w:r>
        <w:rPr>
          <w:szCs w:val="22"/>
        </w:rPr>
        <w:t>ăr</w:t>
      </w:r>
      <w:r>
        <w:rPr>
          <w:spacing w:val="1"/>
          <w:szCs w:val="22"/>
        </w:rPr>
        <w:t>i</w:t>
      </w:r>
      <w:r>
        <w:rPr>
          <w:szCs w:val="22"/>
        </w:rPr>
        <w:t xml:space="preserve">, </w:t>
      </w:r>
      <w:r>
        <w:rPr>
          <w:spacing w:val="-3"/>
          <w:szCs w:val="22"/>
        </w:rPr>
        <w:t>v</w:t>
      </w:r>
      <w:r>
        <w:rPr>
          <w:szCs w:val="22"/>
        </w:rPr>
        <w:t>ă</w:t>
      </w:r>
      <w:r>
        <w:rPr>
          <w:spacing w:val="-2"/>
          <w:szCs w:val="22"/>
        </w:rPr>
        <w:t xml:space="preserve"> </w:t>
      </w:r>
      <w:r>
        <w:rPr>
          <w:szCs w:val="22"/>
        </w:rPr>
        <w:t>ru</w:t>
      </w:r>
      <w:r>
        <w:rPr>
          <w:spacing w:val="-3"/>
          <w:szCs w:val="22"/>
        </w:rPr>
        <w:t>g</w:t>
      </w:r>
      <w:r>
        <w:rPr>
          <w:szCs w:val="22"/>
        </w:rPr>
        <w:t>ăm</w:t>
      </w:r>
      <w:r>
        <w:rPr>
          <w:spacing w:val="-4"/>
          <w:szCs w:val="22"/>
        </w:rPr>
        <w:t xml:space="preserve"> </w:t>
      </w:r>
      <w:r>
        <w:rPr>
          <w:szCs w:val="22"/>
        </w:rPr>
        <w:t>d</w:t>
      </w:r>
      <w:r>
        <w:rPr>
          <w:spacing w:val="1"/>
          <w:szCs w:val="22"/>
        </w:rPr>
        <w:t>i</w:t>
      </w:r>
      <w:r>
        <w:rPr>
          <w:szCs w:val="22"/>
        </w:rPr>
        <w:t>scu</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2"/>
          <w:szCs w:val="22"/>
        </w:rPr>
        <w:t>t</w:t>
      </w:r>
      <w:r>
        <w:rPr>
          <w:szCs w:val="22"/>
        </w:rPr>
        <w:t>ră.</w:t>
      </w:r>
    </w:p>
    <w:p w14:paraId="564D153D" w14:textId="77777777" w:rsidR="00C04CAD" w:rsidRDefault="00C04CAD">
      <w:pPr>
        <w:numPr>
          <w:ilvl w:val="12"/>
          <w:numId w:val="0"/>
        </w:numPr>
        <w:tabs>
          <w:tab w:val="clear" w:pos="567"/>
          <w:tab w:val="left" w:pos="1290"/>
        </w:tabs>
        <w:spacing w:line="240" w:lineRule="auto"/>
        <w:ind w:right="-2"/>
        <w:rPr>
          <w:szCs w:val="22"/>
        </w:rPr>
      </w:pPr>
    </w:p>
    <w:p w14:paraId="6634B82C" w14:textId="77777777" w:rsidR="00C04CAD" w:rsidRDefault="00060E34">
      <w:pPr>
        <w:numPr>
          <w:ilvl w:val="12"/>
          <w:numId w:val="0"/>
        </w:numPr>
        <w:tabs>
          <w:tab w:val="clear" w:pos="567"/>
        </w:tabs>
        <w:spacing w:line="240" w:lineRule="auto"/>
        <w:ind w:right="-2"/>
        <w:outlineLvl w:val="0"/>
        <w:rPr>
          <w:b/>
          <w:szCs w:val="22"/>
        </w:rPr>
      </w:pPr>
      <w:r>
        <w:rPr>
          <w:b/>
          <w:szCs w:val="22"/>
        </w:rPr>
        <w:t>Sarcina și alăptarea</w:t>
      </w:r>
    </w:p>
    <w:p w14:paraId="0F8A6939" w14:textId="77777777" w:rsidR="00C04CAD" w:rsidRDefault="00C04CAD">
      <w:pPr>
        <w:pStyle w:val="EMEANormal"/>
        <w:keepNext/>
        <w:rPr>
          <w:b/>
          <w:bCs/>
          <w:szCs w:val="22"/>
          <w:lang w:val="ro-RO"/>
        </w:rPr>
      </w:pPr>
    </w:p>
    <w:p w14:paraId="4BF35F23" w14:textId="77777777" w:rsidR="00C04CAD" w:rsidRDefault="00060E34">
      <w:pPr>
        <w:numPr>
          <w:ilvl w:val="0"/>
          <w:numId w:val="54"/>
        </w:numPr>
        <w:tabs>
          <w:tab w:val="clear" w:pos="567"/>
        </w:tabs>
        <w:spacing w:line="240" w:lineRule="auto"/>
        <w:ind w:left="567" w:hanging="567"/>
        <w:rPr>
          <w:b/>
          <w:bCs/>
          <w:szCs w:val="22"/>
        </w:rPr>
      </w:pPr>
      <w:r>
        <w:rPr>
          <w:szCs w:val="22"/>
        </w:rPr>
        <w:t xml:space="preserve">Trebuie să luați în considerare utilizarea măsurilor de contracepţie corespunzătoare pentru prevenirea sarcinii şi să continuați să le utilizați pe o perioadă de minim 5 luni după ultimul tratament cu AMGEVITA. </w:t>
      </w:r>
    </w:p>
    <w:p w14:paraId="52959ABB" w14:textId="77777777" w:rsidR="00C04CAD" w:rsidRDefault="00060E34">
      <w:pPr>
        <w:numPr>
          <w:ilvl w:val="0"/>
          <w:numId w:val="54"/>
        </w:numPr>
        <w:tabs>
          <w:tab w:val="clear" w:pos="567"/>
        </w:tabs>
        <w:spacing w:line="240" w:lineRule="auto"/>
        <w:ind w:left="567" w:hanging="567"/>
        <w:rPr>
          <w:szCs w:val="22"/>
        </w:rPr>
      </w:pPr>
      <w:r>
        <w:rPr>
          <w:szCs w:val="22"/>
        </w:rPr>
        <w:t>Dacă sunteți gravidă, credeți că sunteți gravidă sau intenționați să aveți un copil, adresați-vă medicului dumneavoastră pentru recomandări privind administrarea acestui medicament.</w:t>
      </w:r>
    </w:p>
    <w:p w14:paraId="505DC9AE"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unei sarcini numai dacă este necesar.</w:t>
      </w:r>
    </w:p>
    <w:p w14:paraId="390EF892" w14:textId="77777777" w:rsidR="00C04CAD" w:rsidRDefault="00060E34">
      <w:pPr>
        <w:numPr>
          <w:ilvl w:val="0"/>
          <w:numId w:val="54"/>
        </w:numPr>
        <w:tabs>
          <w:tab w:val="clear" w:pos="567"/>
        </w:tabs>
        <w:spacing w:line="240" w:lineRule="auto"/>
        <w:ind w:left="567" w:hanging="567"/>
        <w:rPr>
          <w:szCs w:val="22"/>
        </w:rPr>
      </w:pPr>
      <w:r>
        <w:rPr>
          <w:szCs w:val="22"/>
        </w:rPr>
        <w:t>În conformitate cu un studiu privind sarcina, nu a existat un risc mai mare de malformații congenitale atunci când mama a primit AMGEVITA în timpul sarcinii, comparativ cu mamele cu aceeași boală care nu au primit AMGEVITA.</w:t>
      </w:r>
    </w:p>
    <w:p w14:paraId="0E62C326"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alăptării.</w:t>
      </w:r>
    </w:p>
    <w:p w14:paraId="7DE52E91" w14:textId="77777777" w:rsidR="00C04CAD" w:rsidRDefault="00060E34">
      <w:pPr>
        <w:numPr>
          <w:ilvl w:val="0"/>
          <w:numId w:val="54"/>
        </w:numPr>
        <w:tabs>
          <w:tab w:val="clear" w:pos="567"/>
        </w:tabs>
        <w:spacing w:line="240" w:lineRule="auto"/>
        <w:ind w:left="567" w:hanging="567"/>
        <w:rPr>
          <w:szCs w:val="22"/>
        </w:rPr>
      </w:pPr>
      <w:r>
        <w:rPr>
          <w:szCs w:val="22"/>
        </w:rPr>
        <w:t xml:space="preserve">Dacă aţi utilizat AMGEVITA în perioada sarcinii, copilul dumneavoastră poate avea un risc crescut de infecţie. </w:t>
      </w:r>
    </w:p>
    <w:p w14:paraId="5C385F7E" w14:textId="77777777" w:rsidR="00C04CAD" w:rsidRDefault="00060E34">
      <w:pPr>
        <w:numPr>
          <w:ilvl w:val="0"/>
          <w:numId w:val="54"/>
        </w:numPr>
        <w:tabs>
          <w:tab w:val="clear" w:pos="567"/>
        </w:tabs>
        <w:spacing w:line="240" w:lineRule="auto"/>
        <w:ind w:left="567" w:hanging="567"/>
        <w:rPr>
          <w:szCs w:val="22"/>
        </w:rPr>
      </w:pPr>
      <w:r>
        <w:rPr>
          <w:szCs w:val="22"/>
        </w:rPr>
        <w:t>Înainte să primească copilul dumneavoastră orice vaccin, este important să spuneţi medicului copilului dumneavoastră sau altui profesionist din domeniul sănătăţii despre utilizarea AMGEVITA în timpul sarcinii dumneavoastră (pentru mai multe informaţii referitoare la vaccinuri, consultați capitolul ”Atenționări și precauții”).</w:t>
      </w:r>
    </w:p>
    <w:p w14:paraId="79B4577C" w14:textId="77777777" w:rsidR="00C04CAD" w:rsidRDefault="00C04CAD">
      <w:pPr>
        <w:numPr>
          <w:ilvl w:val="12"/>
          <w:numId w:val="0"/>
        </w:numPr>
        <w:tabs>
          <w:tab w:val="clear" w:pos="567"/>
        </w:tabs>
        <w:spacing w:line="240" w:lineRule="auto"/>
        <w:rPr>
          <w:szCs w:val="22"/>
        </w:rPr>
      </w:pPr>
    </w:p>
    <w:p w14:paraId="168D33C6" w14:textId="77777777" w:rsidR="00C04CAD" w:rsidRDefault="00060E34">
      <w:pPr>
        <w:numPr>
          <w:ilvl w:val="12"/>
          <w:numId w:val="0"/>
        </w:numPr>
        <w:tabs>
          <w:tab w:val="clear" w:pos="567"/>
        </w:tabs>
        <w:spacing w:line="240" w:lineRule="auto"/>
        <w:ind w:right="-2"/>
        <w:outlineLvl w:val="0"/>
        <w:rPr>
          <w:szCs w:val="22"/>
        </w:rPr>
      </w:pPr>
      <w:r>
        <w:rPr>
          <w:b/>
          <w:szCs w:val="22"/>
        </w:rPr>
        <w:t>Conducerea vehiculelor și folosirea utilajelor</w:t>
      </w:r>
    </w:p>
    <w:p w14:paraId="4207F2FE" w14:textId="77777777" w:rsidR="00C04CAD" w:rsidRDefault="00C04CAD">
      <w:pPr>
        <w:numPr>
          <w:ilvl w:val="12"/>
          <w:numId w:val="0"/>
        </w:numPr>
        <w:tabs>
          <w:tab w:val="clear" w:pos="567"/>
        </w:tabs>
        <w:spacing w:line="240" w:lineRule="auto"/>
        <w:ind w:right="-2"/>
        <w:rPr>
          <w:szCs w:val="22"/>
        </w:rPr>
      </w:pPr>
    </w:p>
    <w:p w14:paraId="4601DFBA"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poate influenţa în mică măsură capacitatea dumneavoastră dea conduce vehicule, biciclete, sau de a folosi utilaje. După administrarea de </w:t>
      </w:r>
      <w:r>
        <w:rPr>
          <w:szCs w:val="22"/>
          <w:lang w:eastAsia="en-US" w:bidi="ar-SA"/>
        </w:rPr>
        <w:t xml:space="preserve">AMGEVITA </w:t>
      </w:r>
      <w:r>
        <w:rPr>
          <w:szCs w:val="22"/>
        </w:rPr>
        <w:t>poate să apară senzaţia că se învârte casa (vertij) şi tulburări de vedere.</w:t>
      </w:r>
    </w:p>
    <w:p w14:paraId="50F0BA29" w14:textId="77777777" w:rsidR="00C04CAD" w:rsidRDefault="00C04CAD">
      <w:pPr>
        <w:tabs>
          <w:tab w:val="clear" w:pos="567"/>
        </w:tabs>
        <w:kinsoku w:val="0"/>
        <w:overflowPunct w:val="0"/>
        <w:autoSpaceDE w:val="0"/>
        <w:autoSpaceDN w:val="0"/>
        <w:adjustRightInd w:val="0"/>
        <w:spacing w:line="240" w:lineRule="auto"/>
        <w:rPr>
          <w:szCs w:val="22"/>
        </w:rPr>
      </w:pPr>
    </w:p>
    <w:p w14:paraId="3E229DB2"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AMGEVITA conţine sodiu</w:t>
      </w:r>
    </w:p>
    <w:p w14:paraId="5108979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1AC8B91" w14:textId="77777777" w:rsidR="00C04CAD" w:rsidRDefault="00060E34">
      <w:pPr>
        <w:numPr>
          <w:ilvl w:val="12"/>
          <w:numId w:val="0"/>
        </w:numPr>
        <w:tabs>
          <w:tab w:val="clear" w:pos="567"/>
        </w:tabs>
        <w:spacing w:line="240" w:lineRule="auto"/>
        <w:ind w:right="-2"/>
        <w:outlineLvl w:val="0"/>
        <w:rPr>
          <w:b/>
          <w:szCs w:val="22"/>
        </w:rPr>
      </w:pPr>
      <w:r>
        <w:rPr>
          <w:szCs w:val="22"/>
          <w:lang w:eastAsia="en-US" w:bidi="ar-SA"/>
        </w:rPr>
        <w:t>Acest medicament conţine sodiu mai puţin de 1 mmol (23 mg) per doză de 0,8 ml, adică practic „nu conţine sodiu”.</w:t>
      </w:r>
    </w:p>
    <w:p w14:paraId="63732259" w14:textId="77777777" w:rsidR="00C04CAD" w:rsidRDefault="00C04CAD">
      <w:pPr>
        <w:numPr>
          <w:ilvl w:val="12"/>
          <w:numId w:val="0"/>
        </w:numPr>
        <w:tabs>
          <w:tab w:val="clear" w:pos="567"/>
        </w:tabs>
        <w:spacing w:line="240" w:lineRule="auto"/>
        <w:ind w:right="-2"/>
        <w:rPr>
          <w:szCs w:val="22"/>
        </w:rPr>
      </w:pPr>
    </w:p>
    <w:p w14:paraId="52F9A705" w14:textId="77777777" w:rsidR="00C04CAD" w:rsidRDefault="00C04CAD">
      <w:pPr>
        <w:numPr>
          <w:ilvl w:val="12"/>
          <w:numId w:val="0"/>
        </w:numPr>
        <w:tabs>
          <w:tab w:val="clear" w:pos="567"/>
        </w:tabs>
        <w:spacing w:line="240" w:lineRule="auto"/>
        <w:ind w:right="-2"/>
      </w:pPr>
    </w:p>
    <w:p w14:paraId="4E8939DD" w14:textId="77777777" w:rsidR="00C04CAD" w:rsidRDefault="00060E34">
      <w:pPr>
        <w:keepNext/>
        <w:numPr>
          <w:ilvl w:val="0"/>
          <w:numId w:val="49"/>
        </w:numPr>
        <w:spacing w:line="240" w:lineRule="auto"/>
        <w:ind w:left="567" w:hanging="567"/>
        <w:rPr>
          <w:b/>
          <w:bCs/>
        </w:rPr>
      </w:pPr>
      <w:r>
        <w:rPr>
          <w:b/>
        </w:rPr>
        <w:t>Cum să utilizați AMGEVITA</w:t>
      </w:r>
    </w:p>
    <w:p w14:paraId="017DC555" w14:textId="77777777" w:rsidR="00C04CAD" w:rsidRDefault="00C04CAD">
      <w:pPr>
        <w:keepNext/>
        <w:numPr>
          <w:ilvl w:val="12"/>
          <w:numId w:val="0"/>
        </w:numPr>
        <w:tabs>
          <w:tab w:val="clear" w:pos="567"/>
        </w:tabs>
        <w:spacing w:line="240" w:lineRule="auto"/>
        <w:ind w:right="-2"/>
      </w:pPr>
    </w:p>
    <w:p w14:paraId="5107EC86" w14:textId="77777777" w:rsidR="00C04CAD" w:rsidRDefault="00060E34">
      <w:pPr>
        <w:tabs>
          <w:tab w:val="clear" w:pos="567"/>
        </w:tabs>
        <w:kinsoku w:val="0"/>
        <w:overflowPunct w:val="0"/>
        <w:autoSpaceDE w:val="0"/>
        <w:autoSpaceDN w:val="0"/>
        <w:adjustRightInd w:val="0"/>
        <w:spacing w:line="240" w:lineRule="auto"/>
      </w:pPr>
      <w:r>
        <w:rPr>
          <w:spacing w:val="-1"/>
        </w:rPr>
        <w:t>L</w:t>
      </w:r>
      <w:r>
        <w:t>ua</w:t>
      </w:r>
      <w:r>
        <w:rPr>
          <w:spacing w:val="-2"/>
        </w:rPr>
        <w:t>ţ</w:t>
      </w:r>
      <w:r>
        <w:t>i</w:t>
      </w:r>
      <w:r>
        <w:rPr>
          <w:spacing w:val="1"/>
        </w:rPr>
        <w:t xml:space="preserve"> î</w:t>
      </w:r>
      <w:r>
        <w:rPr>
          <w:spacing w:val="-3"/>
        </w:rPr>
        <w:t>n</w:t>
      </w:r>
      <w:r>
        <w:rPr>
          <w:spacing w:val="1"/>
        </w:rPr>
        <w:t>t</w:t>
      </w:r>
      <w:r>
        <w:rPr>
          <w:spacing w:val="-3"/>
        </w:rPr>
        <w:t>o</w:t>
      </w:r>
      <w:r>
        <w:rPr>
          <w:spacing w:val="1"/>
        </w:rPr>
        <w:t>t</w:t>
      </w:r>
      <w:r>
        <w:t>dea</w:t>
      </w:r>
      <w:r>
        <w:rPr>
          <w:spacing w:val="-3"/>
        </w:rPr>
        <w:t>u</w:t>
      </w:r>
      <w:r>
        <w:t xml:space="preserve">na </w:t>
      </w:r>
      <w:r>
        <w:rPr>
          <w:spacing w:val="-3"/>
        </w:rPr>
        <w:t>a</w:t>
      </w:r>
      <w:r>
        <w:t>ce</w:t>
      </w:r>
      <w:r>
        <w:rPr>
          <w:spacing w:val="-2"/>
        </w:rPr>
        <w:t>s</w:t>
      </w:r>
      <w:r>
        <w:t>t</w:t>
      </w:r>
      <w:r>
        <w:rPr>
          <w:spacing w:val="1"/>
        </w:rPr>
        <w:t xml:space="preserve"> </w:t>
      </w:r>
      <w:r>
        <w:rPr>
          <w:spacing w:val="-4"/>
        </w:rPr>
        <w:t>m</w:t>
      </w:r>
      <w:r>
        <w:t>ed</w:t>
      </w:r>
      <w:r>
        <w:rPr>
          <w:spacing w:val="1"/>
        </w:rPr>
        <w:t>i</w:t>
      </w:r>
      <w:r>
        <w:t>ca</w:t>
      </w:r>
      <w:r>
        <w:rPr>
          <w:spacing w:val="-4"/>
        </w:rPr>
        <w:t>m</w:t>
      </w:r>
      <w:r>
        <w:t>ent</w:t>
      </w:r>
      <w:r>
        <w:rPr>
          <w:spacing w:val="1"/>
        </w:rPr>
        <w:t xml:space="preserve"> </w:t>
      </w:r>
      <w:r>
        <w:rPr>
          <w:spacing w:val="-3"/>
        </w:rPr>
        <w:t>e</w:t>
      </w:r>
      <w:r>
        <w:t>xa</w:t>
      </w:r>
      <w:r>
        <w:rPr>
          <w:spacing w:val="-3"/>
        </w:rPr>
        <w:t>c</w:t>
      </w:r>
      <w:r>
        <w:t>t</w:t>
      </w:r>
      <w:r>
        <w:rPr>
          <w:spacing w:val="1"/>
        </w:rPr>
        <w:t xml:space="preserve"> </w:t>
      </w:r>
      <w:r>
        <w:t>a</w:t>
      </w:r>
      <w:r>
        <w:rPr>
          <w:spacing w:val="-2"/>
        </w:rPr>
        <w:t>ş</w:t>
      </w:r>
      <w:r>
        <w:t>a cum</w:t>
      </w:r>
      <w:r>
        <w:rPr>
          <w:spacing w:val="-4"/>
        </w:rPr>
        <w:t xml:space="preserve"> </w:t>
      </w:r>
      <w:r>
        <w:t>v</w:t>
      </w:r>
      <w:r>
        <w:rPr>
          <w:spacing w:val="-4"/>
        </w:rPr>
        <w:t>-</w:t>
      </w:r>
      <w:r>
        <w:t>a</w:t>
      </w:r>
      <w:r>
        <w:rPr>
          <w:spacing w:val="2"/>
        </w:rPr>
        <w:t xml:space="preserve"> </w:t>
      </w:r>
      <w:r>
        <w:t xml:space="preserve">spus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ră s</w:t>
      </w:r>
      <w:r>
        <w:rPr>
          <w:spacing w:val="-3"/>
        </w:rPr>
        <w:t>a</w:t>
      </w:r>
      <w:r>
        <w:t xml:space="preserve">u </w:t>
      </w:r>
      <w:r>
        <w:rPr>
          <w:spacing w:val="-2"/>
        </w:rPr>
        <w:t>f</w:t>
      </w:r>
      <w:r>
        <w:t>ar</w:t>
      </w:r>
      <w:r>
        <w:rPr>
          <w:spacing w:val="-4"/>
        </w:rPr>
        <w:t>m</w:t>
      </w:r>
      <w:r>
        <w:t>ac</w:t>
      </w:r>
      <w:r>
        <w:rPr>
          <w:spacing w:val="1"/>
        </w:rPr>
        <w:t>i</w:t>
      </w:r>
      <w:r>
        <w:rPr>
          <w:spacing w:val="-2"/>
        </w:rPr>
        <w:t>s</w:t>
      </w:r>
      <w:r>
        <w:rPr>
          <w:spacing w:val="1"/>
        </w:rPr>
        <w:t>t</w:t>
      </w:r>
      <w:r>
        <w:t>u</w:t>
      </w:r>
      <w:r>
        <w:rPr>
          <w:spacing w:val="1"/>
        </w:rPr>
        <w:t>l</w:t>
      </w:r>
      <w:r>
        <w:t xml:space="preserve">. </w:t>
      </w:r>
      <w:r>
        <w:rPr>
          <w:spacing w:val="-1"/>
        </w:rPr>
        <w:t>D</w:t>
      </w:r>
      <w:r>
        <w:t>acă nu</w:t>
      </w:r>
      <w:r>
        <w:rPr>
          <w:spacing w:val="-3"/>
        </w:rPr>
        <w:t xml:space="preserve"> </w:t>
      </w:r>
      <w:r>
        <w:t>sun</w:t>
      </w:r>
      <w:r>
        <w:rPr>
          <w:spacing w:val="-2"/>
        </w:rPr>
        <w:t>t</w:t>
      </w:r>
      <w:r>
        <w:t>e</w:t>
      </w:r>
      <w:r>
        <w:rPr>
          <w:spacing w:val="-2"/>
        </w:rPr>
        <w:t>ţ</w:t>
      </w:r>
      <w:r>
        <w:t>i</w:t>
      </w:r>
      <w:r>
        <w:rPr>
          <w:spacing w:val="1"/>
        </w:rPr>
        <w:t xml:space="preserve"> </w:t>
      </w:r>
      <w:r>
        <w:rPr>
          <w:spacing w:val="-2"/>
        </w:rPr>
        <w:t>s</w:t>
      </w:r>
      <w:r>
        <w:rPr>
          <w:spacing w:val="1"/>
        </w:rPr>
        <w:t>i</w:t>
      </w:r>
      <w:r>
        <w:rPr>
          <w:spacing w:val="-3"/>
        </w:rPr>
        <w:t>g</w:t>
      </w:r>
      <w:r>
        <w:t xml:space="preserve">ur, </w:t>
      </w:r>
      <w:r>
        <w:rPr>
          <w:spacing w:val="1"/>
        </w:rPr>
        <w:t>î</w:t>
      </w:r>
      <w:r>
        <w:rPr>
          <w:spacing w:val="-3"/>
        </w:rPr>
        <w:t>n</w:t>
      </w:r>
      <w:r>
        <w:rPr>
          <w:spacing w:val="1"/>
        </w:rPr>
        <w:t>t</w:t>
      </w:r>
      <w:r>
        <w:rPr>
          <w:spacing w:val="-2"/>
        </w:rPr>
        <w:t>r</w:t>
      </w:r>
      <w:r>
        <w:rPr>
          <w:spacing w:val="-3"/>
        </w:rPr>
        <w:t>e</w:t>
      </w:r>
      <w:r>
        <w:t>ba</w:t>
      </w:r>
      <w:r>
        <w:rPr>
          <w:spacing w:val="-2"/>
        </w:rPr>
        <w:t>ţ</w:t>
      </w:r>
      <w:r>
        <w:t>i</w:t>
      </w:r>
      <w:r>
        <w:rPr>
          <w:spacing w:val="1"/>
        </w:rPr>
        <w:t xml:space="preserve"> </w:t>
      </w:r>
      <w:r>
        <w:rPr>
          <w:spacing w:val="-4"/>
        </w:rPr>
        <w:t>m</w:t>
      </w:r>
      <w:r>
        <w:t>ed</w:t>
      </w:r>
      <w:r>
        <w:rPr>
          <w:spacing w:val="1"/>
        </w:rPr>
        <w:t>i</w:t>
      </w:r>
      <w:r>
        <w:t>cul</w:t>
      </w:r>
      <w:r>
        <w:rPr>
          <w:spacing w:val="-2"/>
        </w:rPr>
        <w:t xml:space="preserve"> </w:t>
      </w:r>
      <w:r>
        <w:t>du</w:t>
      </w:r>
      <w:r>
        <w:rPr>
          <w:spacing w:val="-4"/>
        </w:rPr>
        <w:t>m</w:t>
      </w:r>
      <w:r>
        <w:t>nea</w:t>
      </w:r>
      <w:r>
        <w:rPr>
          <w:spacing w:val="-3"/>
        </w:rPr>
        <w:t>v</w:t>
      </w:r>
      <w:r>
        <w:t>oas</w:t>
      </w:r>
      <w:r>
        <w:rPr>
          <w:spacing w:val="1"/>
        </w:rPr>
        <w:t>t</w:t>
      </w:r>
      <w:r>
        <w:rPr>
          <w:spacing w:val="-2"/>
        </w:rPr>
        <w:t>r</w:t>
      </w:r>
      <w:r>
        <w:t>ă sau</w:t>
      </w:r>
      <w:r>
        <w:rPr>
          <w:spacing w:val="-3"/>
        </w:rPr>
        <w:t xml:space="preserve"> </w:t>
      </w:r>
      <w:r>
        <w:t>f</w:t>
      </w:r>
      <w:r>
        <w:rPr>
          <w:spacing w:val="-3"/>
        </w:rPr>
        <w:t>a</w:t>
      </w:r>
      <w:r>
        <w:t>r</w:t>
      </w:r>
      <w:r>
        <w:rPr>
          <w:spacing w:val="-4"/>
        </w:rPr>
        <w:t>m</w:t>
      </w:r>
      <w:r>
        <w:t>ac</w:t>
      </w:r>
      <w:r>
        <w:rPr>
          <w:spacing w:val="1"/>
        </w:rPr>
        <w:t>i</w:t>
      </w:r>
      <w:r>
        <w:t>s</w:t>
      </w:r>
      <w:r>
        <w:rPr>
          <w:spacing w:val="1"/>
        </w:rPr>
        <w:t>t</w:t>
      </w:r>
      <w:r>
        <w:rPr>
          <w:spacing w:val="-3"/>
        </w:rPr>
        <w:t>u</w:t>
      </w:r>
      <w:r>
        <w:rPr>
          <w:spacing w:val="1"/>
        </w:rPr>
        <w:t>l</w:t>
      </w:r>
      <w:r>
        <w:t xml:space="preserve">. </w:t>
      </w:r>
    </w:p>
    <w:p w14:paraId="3809B5AF" w14:textId="77777777" w:rsidR="00C04CAD" w:rsidRDefault="00C04CAD">
      <w:pPr>
        <w:tabs>
          <w:tab w:val="clear" w:pos="567"/>
        </w:tabs>
        <w:kinsoku w:val="0"/>
        <w:overflowPunct w:val="0"/>
        <w:autoSpaceDE w:val="0"/>
        <w:autoSpaceDN w:val="0"/>
        <w:adjustRightInd w:val="0"/>
        <w:spacing w:line="240" w:lineRule="auto"/>
      </w:pPr>
    </w:p>
    <w:p w14:paraId="678BDA2E" w14:textId="77777777" w:rsidR="00C04CAD" w:rsidRDefault="00060E34">
      <w:pPr>
        <w:keepNext/>
        <w:tabs>
          <w:tab w:val="clear" w:pos="567"/>
        </w:tabs>
        <w:kinsoku w:val="0"/>
        <w:overflowPunct w:val="0"/>
        <w:autoSpaceDE w:val="0"/>
        <w:autoSpaceDN w:val="0"/>
        <w:adjustRightInd w:val="0"/>
        <w:spacing w:line="240" w:lineRule="auto"/>
        <w:rPr>
          <w:u w:val="single"/>
        </w:rPr>
      </w:pPr>
      <w:r>
        <w:rPr>
          <w:spacing w:val="-1"/>
          <w:u w:val="single"/>
        </w:rPr>
        <w:t>A</w:t>
      </w:r>
      <w:r>
        <w:rPr>
          <w:u w:val="single"/>
        </w:rPr>
        <w:t>du</w:t>
      </w:r>
      <w:r>
        <w:rPr>
          <w:spacing w:val="1"/>
          <w:u w:val="single"/>
        </w:rPr>
        <w:t>l</w:t>
      </w:r>
      <w:r>
        <w:rPr>
          <w:spacing w:val="-2"/>
          <w:u w:val="single"/>
        </w:rPr>
        <w:t>ţ</w:t>
      </w:r>
      <w:r>
        <w:rPr>
          <w:u w:val="single"/>
        </w:rPr>
        <w:t>i cu po</w:t>
      </w:r>
      <w:r>
        <w:rPr>
          <w:spacing w:val="-2"/>
          <w:u w:val="single"/>
        </w:rPr>
        <w:t>l</w:t>
      </w:r>
      <w:r>
        <w:rPr>
          <w:spacing w:val="1"/>
          <w:u w:val="single"/>
        </w:rPr>
        <w:t>i</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dă, a</w:t>
      </w:r>
      <w:r>
        <w:rPr>
          <w:spacing w:val="-2"/>
          <w:u w:val="single"/>
        </w:rPr>
        <w:t>r</w:t>
      </w:r>
      <w:r>
        <w:rPr>
          <w:spacing w:val="1"/>
          <w:u w:val="single"/>
        </w:rPr>
        <w:t>t</w:t>
      </w:r>
      <w:r>
        <w:rPr>
          <w:spacing w:val="-2"/>
          <w:u w:val="single"/>
        </w:rPr>
        <w:t>r</w:t>
      </w:r>
      <w:r>
        <w:rPr>
          <w:spacing w:val="1"/>
          <w:u w:val="single"/>
        </w:rPr>
        <w:t>it</w:t>
      </w:r>
      <w:r>
        <w:rPr>
          <w:u w:val="single"/>
        </w:rPr>
        <w:t>ă ps</w:t>
      </w:r>
      <w:r>
        <w:rPr>
          <w:spacing w:val="-3"/>
          <w:u w:val="single"/>
        </w:rPr>
        <w:t>o</w:t>
      </w:r>
      <w:r>
        <w:rPr>
          <w:u w:val="single"/>
        </w:rPr>
        <w:t>r</w:t>
      </w:r>
      <w:r>
        <w:rPr>
          <w:spacing w:val="-2"/>
          <w:u w:val="single"/>
        </w:rPr>
        <w:t>i</w:t>
      </w:r>
      <w:r>
        <w:rPr>
          <w:u w:val="single"/>
        </w:rPr>
        <w:t>a</w:t>
      </w:r>
      <w:r>
        <w:rPr>
          <w:spacing w:val="-3"/>
          <w:u w:val="single"/>
        </w:rPr>
        <w:t>z</w:t>
      </w:r>
      <w:r>
        <w:rPr>
          <w:spacing w:val="1"/>
          <w:u w:val="single"/>
        </w:rPr>
        <w:t>i</w:t>
      </w:r>
      <w:r>
        <w:rPr>
          <w:u w:val="single"/>
        </w:rPr>
        <w:t xml:space="preserve">că, </w:t>
      </w:r>
      <w:r>
        <w:rPr>
          <w:spacing w:val="-2"/>
          <w:u w:val="single"/>
        </w:rPr>
        <w:t>s</w:t>
      </w:r>
      <w:r>
        <w:rPr>
          <w:u w:val="single"/>
        </w:rPr>
        <w:t>p</w:t>
      </w:r>
      <w:r>
        <w:rPr>
          <w:spacing w:val="-3"/>
          <w:u w:val="single"/>
        </w:rPr>
        <w:t>o</w:t>
      </w:r>
      <w:r>
        <w:rPr>
          <w:u w:val="single"/>
        </w:rPr>
        <w:t>nd</w:t>
      </w:r>
      <w:r>
        <w:rPr>
          <w:spacing w:val="1"/>
          <w:u w:val="single"/>
        </w:rPr>
        <w:t>i</w:t>
      </w:r>
      <w:r>
        <w:rPr>
          <w:spacing w:val="-2"/>
          <w:u w:val="single"/>
        </w:rPr>
        <w:t>l</w:t>
      </w:r>
      <w:r>
        <w:rPr>
          <w:spacing w:val="1"/>
          <w:u w:val="single"/>
        </w:rPr>
        <w:t>i</w:t>
      </w:r>
      <w:r>
        <w:rPr>
          <w:spacing w:val="-2"/>
          <w:u w:val="single"/>
        </w:rPr>
        <w:t>t</w:t>
      </w:r>
      <w:r>
        <w:rPr>
          <w:u w:val="single"/>
        </w:rPr>
        <w:t>ă a</w:t>
      </w:r>
      <w:r>
        <w:rPr>
          <w:spacing w:val="-3"/>
          <w:u w:val="single"/>
        </w:rPr>
        <w:t>n</w:t>
      </w:r>
      <w:r>
        <w:rPr>
          <w:u w:val="single"/>
        </w:rPr>
        <w:t>ch</w:t>
      </w:r>
      <w:r>
        <w:rPr>
          <w:spacing w:val="-2"/>
          <w:u w:val="single"/>
        </w:rPr>
        <w:t>i</w:t>
      </w:r>
      <w:r>
        <w:rPr>
          <w:spacing w:val="1"/>
          <w:u w:val="single"/>
        </w:rPr>
        <w:t>l</w:t>
      </w:r>
      <w:r>
        <w:rPr>
          <w:u w:val="single"/>
        </w:rPr>
        <w:t>o</w:t>
      </w:r>
      <w:r>
        <w:rPr>
          <w:spacing w:val="-2"/>
          <w:u w:val="single"/>
        </w:rPr>
        <w:t>z</w:t>
      </w:r>
      <w:r>
        <w:rPr>
          <w:u w:val="single"/>
        </w:rPr>
        <w:t>an</w:t>
      </w:r>
      <w:r>
        <w:rPr>
          <w:spacing w:val="-2"/>
          <w:u w:val="single"/>
        </w:rPr>
        <w:t>t</w:t>
      </w:r>
      <w:r>
        <w:rPr>
          <w:u w:val="single"/>
        </w:rPr>
        <w:t>ă s</w:t>
      </w:r>
      <w:r>
        <w:rPr>
          <w:spacing w:val="-3"/>
          <w:u w:val="single"/>
        </w:rPr>
        <w:t>a</w:t>
      </w:r>
      <w:r>
        <w:rPr>
          <w:u w:val="single"/>
        </w:rPr>
        <w:t>u sp</w:t>
      </w:r>
      <w:r>
        <w:rPr>
          <w:spacing w:val="-3"/>
          <w:u w:val="single"/>
        </w:rPr>
        <w:t>o</w:t>
      </w:r>
      <w:r>
        <w:rPr>
          <w:u w:val="single"/>
        </w:rPr>
        <w:t>nd</w:t>
      </w:r>
      <w:r>
        <w:rPr>
          <w:spacing w:val="1"/>
          <w:u w:val="single"/>
        </w:rPr>
        <w:t>i</w:t>
      </w:r>
      <w:r>
        <w:rPr>
          <w:spacing w:val="-2"/>
          <w:u w:val="single"/>
        </w:rPr>
        <w:t>l</w:t>
      </w:r>
      <w:r>
        <w:rPr>
          <w:u w:val="single"/>
        </w:rPr>
        <w:t>oa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ă a</w:t>
      </w:r>
      <w:r>
        <w:rPr>
          <w:spacing w:val="-3"/>
          <w:u w:val="single"/>
        </w:rPr>
        <w:t>x</w:t>
      </w:r>
      <w:r>
        <w:rPr>
          <w:spacing w:val="1"/>
          <w:u w:val="single"/>
        </w:rPr>
        <w:t>i</w:t>
      </w:r>
      <w:r>
        <w:rPr>
          <w:spacing w:val="-3"/>
          <w:u w:val="single"/>
        </w:rPr>
        <w:t>a</w:t>
      </w:r>
      <w:r>
        <w:rPr>
          <w:spacing w:val="1"/>
          <w:u w:val="single"/>
        </w:rPr>
        <w:t>l</w:t>
      </w:r>
      <w:r>
        <w:rPr>
          <w:u w:val="single"/>
        </w:rPr>
        <w:t>ă fă</w:t>
      </w:r>
      <w:r>
        <w:rPr>
          <w:spacing w:val="-2"/>
          <w:u w:val="single"/>
        </w:rPr>
        <w:t>r</w:t>
      </w:r>
      <w:r>
        <w:rPr>
          <w:u w:val="single"/>
        </w:rPr>
        <w:t>ă do</w:t>
      </w:r>
      <w:r>
        <w:rPr>
          <w:spacing w:val="-3"/>
          <w:u w:val="single"/>
        </w:rPr>
        <w:t>v</w:t>
      </w:r>
      <w:r>
        <w:rPr>
          <w:u w:val="single"/>
        </w:rPr>
        <w:t xml:space="preserve">adă </w:t>
      </w:r>
      <w:r>
        <w:rPr>
          <w:spacing w:val="-2"/>
          <w:u w:val="single"/>
        </w:rPr>
        <w:t>r</w:t>
      </w:r>
      <w:r>
        <w:rPr>
          <w:u w:val="single"/>
        </w:rPr>
        <w:t>ad</w:t>
      </w:r>
      <w:r>
        <w:rPr>
          <w:spacing w:val="-2"/>
          <w:u w:val="single"/>
        </w:rPr>
        <w:t>i</w:t>
      </w:r>
      <w:r>
        <w:rPr>
          <w:u w:val="single"/>
        </w:rPr>
        <w:t>o</w:t>
      </w:r>
      <w:r>
        <w:rPr>
          <w:spacing w:val="1"/>
          <w:u w:val="single"/>
        </w:rPr>
        <w:t>l</w:t>
      </w:r>
      <w:r>
        <w:rPr>
          <w:u w:val="single"/>
        </w:rPr>
        <w:t>o</w:t>
      </w:r>
      <w:r>
        <w:rPr>
          <w:spacing w:val="-3"/>
          <w:u w:val="single"/>
        </w:rPr>
        <w:t>g</w:t>
      </w:r>
      <w:r>
        <w:rPr>
          <w:spacing w:val="1"/>
          <w:u w:val="single"/>
        </w:rPr>
        <w:t>i</w:t>
      </w:r>
      <w:r>
        <w:rPr>
          <w:spacing w:val="-3"/>
          <w:u w:val="single"/>
        </w:rPr>
        <w:t>c</w:t>
      </w:r>
      <w:r>
        <w:rPr>
          <w:u w:val="single"/>
        </w:rPr>
        <w:t xml:space="preserve">ă a </w:t>
      </w:r>
      <w:r>
        <w:rPr>
          <w:spacing w:val="-2"/>
          <w:u w:val="single"/>
        </w:rPr>
        <w:t>s</w:t>
      </w:r>
      <w:r>
        <w:rPr>
          <w:u w:val="single"/>
        </w:rPr>
        <w:t>pond</w:t>
      </w:r>
      <w:r>
        <w:rPr>
          <w:spacing w:val="-2"/>
          <w:u w:val="single"/>
        </w:rPr>
        <w:t>i</w:t>
      </w:r>
      <w:r>
        <w:rPr>
          <w:spacing w:val="1"/>
          <w:u w:val="single"/>
        </w:rPr>
        <w:t>l</w:t>
      </w:r>
      <w:r>
        <w:rPr>
          <w:spacing w:val="-2"/>
          <w:u w:val="single"/>
        </w:rPr>
        <w:t>i</w:t>
      </w:r>
      <w:r>
        <w:rPr>
          <w:spacing w:val="1"/>
          <w:u w:val="single"/>
        </w:rPr>
        <w:t>t</w:t>
      </w:r>
      <w:r>
        <w:rPr>
          <w:spacing w:val="-3"/>
          <w:u w:val="single"/>
        </w:rPr>
        <w:t>e</w:t>
      </w:r>
      <w:r>
        <w:rPr>
          <w:u w:val="single"/>
        </w:rPr>
        <w:t>i an</w:t>
      </w:r>
      <w:r>
        <w:rPr>
          <w:spacing w:val="-3"/>
          <w:u w:val="single"/>
        </w:rPr>
        <w:t>c</w:t>
      </w:r>
      <w:r>
        <w:rPr>
          <w:u w:val="single"/>
        </w:rPr>
        <w:t>h</w:t>
      </w:r>
      <w:r>
        <w:rPr>
          <w:spacing w:val="-2"/>
          <w:u w:val="single"/>
        </w:rPr>
        <w:t>i</w:t>
      </w:r>
      <w:r>
        <w:rPr>
          <w:spacing w:val="1"/>
          <w:u w:val="single"/>
        </w:rPr>
        <w:t>l</w:t>
      </w:r>
      <w:r>
        <w:rPr>
          <w:u w:val="single"/>
        </w:rPr>
        <w:t>o</w:t>
      </w:r>
      <w:r>
        <w:rPr>
          <w:spacing w:val="-3"/>
          <w:u w:val="single"/>
        </w:rPr>
        <w:t>z</w:t>
      </w:r>
      <w:r>
        <w:rPr>
          <w:u w:val="single"/>
        </w:rPr>
        <w:t>an</w:t>
      </w:r>
      <w:r>
        <w:rPr>
          <w:spacing w:val="1"/>
          <w:u w:val="single"/>
        </w:rPr>
        <w:t>t</w:t>
      </w:r>
      <w:r>
        <w:rPr>
          <w:u w:val="single"/>
        </w:rPr>
        <w:t>e</w:t>
      </w:r>
    </w:p>
    <w:p w14:paraId="7B3E0E38" w14:textId="77777777" w:rsidR="00C04CAD" w:rsidRDefault="00C04CAD">
      <w:pPr>
        <w:keepNext/>
        <w:tabs>
          <w:tab w:val="clear" w:pos="567"/>
        </w:tabs>
        <w:kinsoku w:val="0"/>
        <w:overflowPunct w:val="0"/>
        <w:autoSpaceDE w:val="0"/>
        <w:autoSpaceDN w:val="0"/>
        <w:adjustRightInd w:val="0"/>
        <w:spacing w:line="240" w:lineRule="auto"/>
      </w:pPr>
    </w:p>
    <w:p w14:paraId="16B46FAF"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w:t>
      </w:r>
      <w:r>
        <w:rPr>
          <w:spacing w:val="1"/>
        </w:rPr>
        <w:t>i</w:t>
      </w:r>
      <w:r>
        <w:rPr>
          <w:spacing w:val="-3"/>
        </w:rPr>
        <w:t>n</w:t>
      </w:r>
      <w:r>
        <w:rPr>
          <w:spacing w:val="1"/>
        </w:rPr>
        <w:t>j</w:t>
      </w:r>
      <w:r>
        <w:rPr>
          <w:spacing w:val="-3"/>
        </w:rPr>
        <w:t>e</w:t>
      </w:r>
      <w:r>
        <w:t>c</w:t>
      </w:r>
      <w:r>
        <w:rPr>
          <w:spacing w:val="1"/>
        </w:rPr>
        <w:t>t</w:t>
      </w:r>
      <w:r>
        <w:rPr>
          <w:spacing w:val="-3"/>
        </w:rPr>
        <w:t>e</w:t>
      </w:r>
      <w:r>
        <w:t>a</w:t>
      </w:r>
      <w:r>
        <w:rPr>
          <w:spacing w:val="-3"/>
        </w:rPr>
        <w:t>z</w:t>
      </w:r>
      <w:r>
        <w:t xml:space="preserve">ă sub </w:t>
      </w:r>
      <w:r>
        <w:rPr>
          <w:spacing w:val="-3"/>
        </w:rPr>
        <w:t>p</w:t>
      </w:r>
      <w:r>
        <w:rPr>
          <w:spacing w:val="-2"/>
        </w:rPr>
        <w:t>i</w:t>
      </w:r>
      <w:r>
        <w:t>e</w:t>
      </w:r>
      <w:r>
        <w:rPr>
          <w:spacing w:val="1"/>
        </w:rPr>
        <w:t>l</w:t>
      </w:r>
      <w:r>
        <w:t>e</w:t>
      </w:r>
      <w:r>
        <w:rPr>
          <w:spacing w:val="-2"/>
        </w:rPr>
        <w:t xml:space="preserve"> </w:t>
      </w:r>
      <w:r>
        <w:t>(u</w:t>
      </w:r>
      <w:r>
        <w:rPr>
          <w:spacing w:val="-2"/>
        </w:rPr>
        <w:t>t</w:t>
      </w:r>
      <w:r>
        <w:rPr>
          <w:spacing w:val="1"/>
        </w:rPr>
        <w:t>i</w:t>
      </w:r>
      <w:r>
        <w:rPr>
          <w:spacing w:val="-2"/>
        </w:rPr>
        <w:t>l</w:t>
      </w:r>
      <w:r>
        <w:rPr>
          <w:spacing w:val="1"/>
        </w:rPr>
        <w:t>i</w:t>
      </w:r>
      <w:r>
        <w:rPr>
          <w:spacing w:val="-3"/>
        </w:rPr>
        <w:t>z</w:t>
      </w:r>
      <w:r>
        <w:t>are</w:t>
      </w:r>
      <w:r>
        <w:rPr>
          <w:spacing w:val="-2"/>
        </w:rPr>
        <w:t xml:space="preserve"> </w:t>
      </w:r>
      <w:r>
        <w:t>sub</w:t>
      </w:r>
      <w:r>
        <w:rPr>
          <w:spacing w:val="-3"/>
        </w:rPr>
        <w:t>c</w:t>
      </w:r>
      <w:r>
        <w:t>u</w:t>
      </w:r>
      <w:r>
        <w:rPr>
          <w:spacing w:val="1"/>
        </w:rPr>
        <w:t>t</w:t>
      </w:r>
      <w:r>
        <w:rPr>
          <w:spacing w:val="-3"/>
        </w:rPr>
        <w:t>a</w:t>
      </w:r>
      <w:r>
        <w:t>na</w:t>
      </w:r>
      <w:r>
        <w:rPr>
          <w:spacing w:val="-2"/>
        </w:rPr>
        <w:t>t</w:t>
      </w:r>
      <w:r>
        <w:t>ă).</w:t>
      </w:r>
      <w:r>
        <w:rPr>
          <w:spacing w:val="-3"/>
        </w:rPr>
        <w:t xml:space="preserve"> </w:t>
      </w:r>
      <w:r>
        <w:rPr>
          <w:spacing w:val="-1"/>
        </w:rPr>
        <w:t>D</w:t>
      </w:r>
      <w:r>
        <w:t>o</w:t>
      </w:r>
      <w:r>
        <w:rPr>
          <w:spacing w:val="-3"/>
        </w:rPr>
        <w:t>z</w:t>
      </w:r>
      <w:r>
        <w:t>a ob</w:t>
      </w:r>
      <w:r>
        <w:rPr>
          <w:spacing w:val="1"/>
        </w:rPr>
        <w:t>i</w:t>
      </w:r>
      <w:r>
        <w:t>şn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ad</w:t>
      </w:r>
      <w:r>
        <w:rPr>
          <w:spacing w:val="-3"/>
        </w:rPr>
        <w:t>u</w:t>
      </w:r>
      <w:r>
        <w:rPr>
          <w:spacing w:val="1"/>
        </w:rPr>
        <w:t>l</w:t>
      </w:r>
      <w:r>
        <w:rPr>
          <w:spacing w:val="-2"/>
        </w:rPr>
        <w:t>ţ</w:t>
      </w:r>
      <w:r>
        <w:t>i</w:t>
      </w:r>
      <w:r>
        <w:rPr>
          <w:spacing w:val="1"/>
        </w:rPr>
        <w:t xml:space="preserve"> </w:t>
      </w:r>
      <w:r>
        <w:t>cu p</w:t>
      </w:r>
      <w:r>
        <w:rPr>
          <w:spacing w:val="-3"/>
        </w:rPr>
        <w:t>o</w:t>
      </w:r>
      <w:r>
        <w:rPr>
          <w:spacing w:val="-2"/>
        </w:rPr>
        <w:t>l</w:t>
      </w:r>
      <w:r>
        <w:rPr>
          <w:spacing w:val="1"/>
        </w:rPr>
        <w:t>i</w:t>
      </w:r>
      <w:r>
        <w:t>a</w:t>
      </w:r>
      <w:r>
        <w:rPr>
          <w:spacing w:val="-2"/>
        </w:rPr>
        <w:t>r</w:t>
      </w:r>
      <w:r>
        <w:rPr>
          <w:spacing w:val="1"/>
        </w:rPr>
        <w:t>t</w:t>
      </w:r>
      <w:r>
        <w:rPr>
          <w:spacing w:val="-2"/>
        </w:rPr>
        <w:t>r</w:t>
      </w:r>
      <w:r>
        <w:rPr>
          <w:spacing w:val="1"/>
        </w:rPr>
        <w:t>i</w:t>
      </w:r>
      <w:r>
        <w:rPr>
          <w:spacing w:val="-2"/>
        </w:rPr>
        <w:t>t</w:t>
      </w:r>
      <w:r>
        <w:t>ă reu</w:t>
      </w:r>
      <w:r>
        <w:rPr>
          <w:spacing w:val="-4"/>
        </w:rPr>
        <w:t>m</w:t>
      </w:r>
      <w:r>
        <w:t>a</w:t>
      </w:r>
      <w:r>
        <w:rPr>
          <w:spacing w:val="1"/>
        </w:rPr>
        <w:t>t</w:t>
      </w:r>
      <w:r>
        <w:t>o</w:t>
      </w:r>
      <w:r>
        <w:rPr>
          <w:spacing w:val="1"/>
        </w:rPr>
        <w:t>i</w:t>
      </w:r>
      <w:r>
        <w:rPr>
          <w:spacing w:val="-3"/>
        </w:rPr>
        <w:t>d</w:t>
      </w:r>
      <w:r>
        <w:t>ă, sp</w:t>
      </w:r>
      <w:r>
        <w:rPr>
          <w:spacing w:val="-3"/>
        </w:rPr>
        <w:t>o</w:t>
      </w:r>
      <w:r>
        <w:t>nd</w:t>
      </w:r>
      <w:r>
        <w:rPr>
          <w:spacing w:val="-2"/>
        </w:rPr>
        <w:t>i</w:t>
      </w:r>
      <w:r>
        <w:rPr>
          <w:spacing w:val="1"/>
        </w:rPr>
        <w:t>l</w:t>
      </w:r>
      <w:r>
        <w:rPr>
          <w:spacing w:val="-2"/>
        </w:rPr>
        <w:t>i</w:t>
      </w:r>
      <w:r>
        <w:rPr>
          <w:spacing w:val="1"/>
        </w:rPr>
        <w:t>t</w:t>
      </w:r>
      <w:r>
        <w:t>ă</w:t>
      </w:r>
      <w:r>
        <w:rPr>
          <w:spacing w:val="-2"/>
        </w:rPr>
        <w:t xml:space="preserve"> </w:t>
      </w:r>
      <w:r>
        <w:t>anc</w:t>
      </w:r>
      <w:r>
        <w:rPr>
          <w:spacing w:val="-3"/>
        </w:rPr>
        <w:t>h</w:t>
      </w:r>
      <w:r>
        <w:rPr>
          <w:spacing w:val="1"/>
        </w:rPr>
        <w:t>il</w:t>
      </w:r>
      <w:r>
        <w:t>o</w:t>
      </w:r>
      <w:r>
        <w:rPr>
          <w:spacing w:val="-3"/>
        </w:rPr>
        <w:t>z</w:t>
      </w:r>
      <w:r>
        <w:t>a</w:t>
      </w:r>
      <w:r>
        <w:rPr>
          <w:spacing w:val="-3"/>
        </w:rPr>
        <w:t>n</w:t>
      </w:r>
      <w:r>
        <w:rPr>
          <w:spacing w:val="1"/>
        </w:rPr>
        <w:t>t</w:t>
      </w:r>
      <w:r>
        <w:t>ă</w:t>
      </w:r>
      <w:r>
        <w:rPr>
          <w:szCs w:val="22"/>
          <w:lang w:eastAsia="en-US" w:bidi="ar-SA"/>
        </w:rPr>
        <w:t>,</w:t>
      </w:r>
      <w:r>
        <w:t xml:space="preserve"> s</w:t>
      </w:r>
      <w:r>
        <w:rPr>
          <w:spacing w:val="-3"/>
        </w:rPr>
        <w:t>p</w:t>
      </w:r>
      <w:r>
        <w:t>ond</w:t>
      </w:r>
      <w:r>
        <w:rPr>
          <w:spacing w:val="-2"/>
        </w:rPr>
        <w:t>i</w:t>
      </w:r>
      <w:r>
        <w:rPr>
          <w:spacing w:val="1"/>
        </w:rPr>
        <w:t>l</w:t>
      </w:r>
      <w:r>
        <w:t>o</w:t>
      </w:r>
      <w:r>
        <w:rPr>
          <w:spacing w:val="-3"/>
        </w:rPr>
        <w:t>a</w:t>
      </w:r>
      <w:r>
        <w:t>r</w:t>
      </w:r>
      <w:r>
        <w:rPr>
          <w:spacing w:val="-2"/>
        </w:rPr>
        <w:t>t</w:t>
      </w:r>
      <w:r>
        <w:t>r</w:t>
      </w:r>
      <w:r>
        <w:rPr>
          <w:spacing w:val="-2"/>
        </w:rPr>
        <w:t>i</w:t>
      </w:r>
      <w:r>
        <w:rPr>
          <w:spacing w:val="1"/>
        </w:rPr>
        <w:t>t</w:t>
      </w:r>
      <w:r>
        <w:t>ă</w:t>
      </w:r>
      <w:r>
        <w:rPr>
          <w:spacing w:val="-2"/>
        </w:rPr>
        <w:t xml:space="preserve"> </w:t>
      </w:r>
      <w:r>
        <w:t>ax</w:t>
      </w:r>
      <w:r>
        <w:rPr>
          <w:spacing w:val="-2"/>
        </w:rPr>
        <w:t>i</w:t>
      </w:r>
      <w:r>
        <w:rPr>
          <w:spacing w:val="-3"/>
        </w:rPr>
        <w:t>a</w:t>
      </w:r>
      <w:r>
        <w:rPr>
          <w:spacing w:val="1"/>
        </w:rPr>
        <w:t>l</w:t>
      </w:r>
      <w:r>
        <w:t xml:space="preserve">ă </w:t>
      </w:r>
      <w:r>
        <w:rPr>
          <w:spacing w:val="-2"/>
        </w:rPr>
        <w:t>f</w:t>
      </w:r>
      <w:r>
        <w:t>ără</w:t>
      </w:r>
      <w:r>
        <w:rPr>
          <w:spacing w:val="-2"/>
        </w:rPr>
        <w:t xml:space="preserve"> </w:t>
      </w:r>
      <w:r>
        <w:t>do</w:t>
      </w:r>
      <w:r>
        <w:rPr>
          <w:spacing w:val="-3"/>
        </w:rPr>
        <w:t>v</w:t>
      </w:r>
      <w:r>
        <w:t xml:space="preserve">adă </w:t>
      </w:r>
      <w:r>
        <w:rPr>
          <w:spacing w:val="-2"/>
        </w:rPr>
        <w:t>r</w:t>
      </w:r>
      <w:r>
        <w:t>ad</w:t>
      </w:r>
      <w:r>
        <w:rPr>
          <w:spacing w:val="-2"/>
        </w:rPr>
        <w:t>i</w:t>
      </w:r>
      <w:r>
        <w:t>o</w:t>
      </w:r>
      <w:r>
        <w:rPr>
          <w:spacing w:val="1"/>
        </w:rPr>
        <w:t>l</w:t>
      </w:r>
      <w:r>
        <w:t>o</w:t>
      </w:r>
      <w:r>
        <w:rPr>
          <w:spacing w:val="-3"/>
        </w:rPr>
        <w:t>g</w:t>
      </w:r>
      <w:r>
        <w:rPr>
          <w:spacing w:val="1"/>
        </w:rPr>
        <w:t>i</w:t>
      </w:r>
      <w:r>
        <w:rPr>
          <w:spacing w:val="-3"/>
        </w:rPr>
        <w:t>c</w:t>
      </w:r>
      <w:r>
        <w:t>ă a</w:t>
      </w:r>
      <w:r>
        <w:rPr>
          <w:spacing w:val="-2"/>
        </w:rPr>
        <w:t xml:space="preserve"> </w:t>
      </w:r>
      <w:r>
        <w:t>spon</w:t>
      </w:r>
      <w:r>
        <w:rPr>
          <w:spacing w:val="-3"/>
        </w:rPr>
        <w:t>d</w:t>
      </w:r>
      <w:r>
        <w:rPr>
          <w:spacing w:val="1"/>
        </w:rPr>
        <w:t>i</w:t>
      </w:r>
      <w:r>
        <w:rPr>
          <w:spacing w:val="-2"/>
        </w:rPr>
        <w:t>l</w:t>
      </w:r>
      <w:r>
        <w:rPr>
          <w:spacing w:val="1"/>
        </w:rPr>
        <w:t>it</w:t>
      </w:r>
      <w:r>
        <w:rPr>
          <w:spacing w:val="-3"/>
        </w:rPr>
        <w:t>e</w:t>
      </w:r>
      <w:r>
        <w:t>i anch</w:t>
      </w:r>
      <w:r>
        <w:rPr>
          <w:spacing w:val="-2"/>
        </w:rPr>
        <w:t>i</w:t>
      </w:r>
      <w:r>
        <w:rPr>
          <w:spacing w:val="1"/>
        </w:rPr>
        <w:t>l</w:t>
      </w:r>
      <w:r>
        <w:t>o</w:t>
      </w:r>
      <w:r>
        <w:rPr>
          <w:spacing w:val="-3"/>
        </w:rPr>
        <w:t>z</w:t>
      </w:r>
      <w:r>
        <w:t>an</w:t>
      </w:r>
      <w:r>
        <w:rPr>
          <w:spacing w:val="-2"/>
        </w:rPr>
        <w:t>t</w:t>
      </w:r>
      <w:r>
        <w:t xml:space="preserve">e </w:t>
      </w:r>
      <w:r>
        <w:rPr>
          <w:spacing w:val="-2"/>
        </w:rPr>
        <w:t>ş</w:t>
      </w:r>
      <w:r>
        <w:t>i</w:t>
      </w:r>
      <w:r>
        <w:rPr>
          <w:spacing w:val="1"/>
        </w:rPr>
        <w:t xml:space="preserve"> </w:t>
      </w:r>
      <w:r>
        <w:t>pe</w:t>
      </w:r>
      <w:r>
        <w:rPr>
          <w:spacing w:val="-3"/>
        </w:rPr>
        <w:t>n</w:t>
      </w:r>
      <w:r>
        <w:rPr>
          <w:spacing w:val="1"/>
        </w:rPr>
        <w:t>t</w:t>
      </w:r>
      <w:r>
        <w:rPr>
          <w:spacing w:val="-2"/>
        </w:rPr>
        <w:t>r</w:t>
      </w:r>
      <w:r>
        <w:t>u pa</w:t>
      </w:r>
      <w:r>
        <w:rPr>
          <w:spacing w:val="-3"/>
        </w:rPr>
        <w:t>c</w:t>
      </w:r>
      <w:r>
        <w:rPr>
          <w:spacing w:val="1"/>
        </w:rPr>
        <w:t>i</w:t>
      </w:r>
      <w:r>
        <w:rPr>
          <w:spacing w:val="-3"/>
        </w:rPr>
        <w:t>e</w:t>
      </w:r>
      <w:r>
        <w:t>n</w:t>
      </w:r>
      <w:r>
        <w:rPr>
          <w:spacing w:val="1"/>
        </w:rPr>
        <w:t>ţ</w:t>
      </w:r>
      <w:r>
        <w:rPr>
          <w:spacing w:val="-2"/>
        </w:rPr>
        <w:t>i</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w:t>
      </w:r>
      <w:r>
        <w:rPr>
          <w:spacing w:val="-2"/>
        </w:rPr>
        <w:t>t</w:t>
      </w:r>
      <w:r>
        <w:t>ă ps</w:t>
      </w:r>
      <w:r>
        <w:rPr>
          <w:spacing w:val="-3"/>
        </w:rPr>
        <w:t>o</w:t>
      </w:r>
      <w:r>
        <w:t>r</w:t>
      </w:r>
      <w:r>
        <w:rPr>
          <w:spacing w:val="-2"/>
        </w:rPr>
        <w:t>i</w:t>
      </w:r>
      <w:r>
        <w:t>a</w:t>
      </w:r>
      <w:r>
        <w:rPr>
          <w:spacing w:val="-3"/>
        </w:rPr>
        <w:t>z</w:t>
      </w:r>
      <w:r>
        <w:rPr>
          <w:spacing w:val="1"/>
        </w:rPr>
        <w:t>i</w:t>
      </w:r>
      <w:r>
        <w:t xml:space="preserve">că </w:t>
      </w:r>
      <w:r>
        <w:rPr>
          <w:spacing w:val="-3"/>
        </w:rPr>
        <w:t>e</w:t>
      </w:r>
      <w:r>
        <w:t>s</w:t>
      </w:r>
      <w:r>
        <w:rPr>
          <w:spacing w:val="-2"/>
        </w:rPr>
        <w:t>t</w:t>
      </w:r>
      <w:r>
        <w:t>e de 40 </w:t>
      </w:r>
      <w:r>
        <w:rPr>
          <w:spacing w:val="-4"/>
        </w:rPr>
        <w:t>m</w:t>
      </w:r>
      <w:r>
        <w:t>g ad</w:t>
      </w:r>
      <w:r>
        <w:rPr>
          <w:spacing w:val="-4"/>
        </w:rPr>
        <w:t>m</w:t>
      </w:r>
      <w:r>
        <w:rPr>
          <w:spacing w:val="1"/>
        </w:rPr>
        <w:t>i</w:t>
      </w:r>
      <w:r>
        <w:t>n</w:t>
      </w:r>
      <w:r>
        <w:rPr>
          <w:spacing w:val="1"/>
        </w:rPr>
        <w:t>i</w:t>
      </w:r>
      <w:r>
        <w:t>s</w:t>
      </w:r>
      <w:r>
        <w:rPr>
          <w:spacing w:val="1"/>
        </w:rPr>
        <w:t>t</w:t>
      </w:r>
      <w:r>
        <w:rPr>
          <w:spacing w:val="-2"/>
        </w:rPr>
        <w:t>r</w:t>
      </w:r>
      <w:r>
        <w:t>a</w:t>
      </w:r>
      <w:r>
        <w:rPr>
          <w:spacing w:val="1"/>
        </w:rPr>
        <w:t>t</w:t>
      </w:r>
      <w:r>
        <w:t>ă</w:t>
      </w:r>
      <w:r>
        <w:rPr>
          <w:spacing w:val="-2"/>
        </w:rPr>
        <w:t xml:space="preserve"> </w:t>
      </w:r>
      <w:r>
        <w:t>d</w:t>
      </w:r>
      <w:r>
        <w:rPr>
          <w:spacing w:val="1"/>
        </w:rPr>
        <w:t>i</w:t>
      </w:r>
      <w:r>
        <w:t>n</w:t>
      </w:r>
      <w:r>
        <w:rPr>
          <w:spacing w:val="-3"/>
        </w:rPr>
        <w:t xml:space="preserve"> </w:t>
      </w:r>
      <w:r>
        <w:t xml:space="preserve">două </w:t>
      </w:r>
      <w:r>
        <w:rPr>
          <w:spacing w:val="1"/>
        </w:rPr>
        <w:t>î</w:t>
      </w:r>
      <w:r>
        <w:t>n do</w:t>
      </w:r>
      <w:r>
        <w:rPr>
          <w:spacing w:val="-3"/>
        </w:rPr>
        <w:t>u</w:t>
      </w:r>
      <w:r>
        <w:t>ă să</w:t>
      </w:r>
      <w:r>
        <w:rPr>
          <w:spacing w:val="-3"/>
        </w:rPr>
        <w:t>p</w:t>
      </w:r>
      <w:r>
        <w:rPr>
          <w:spacing w:val="1"/>
        </w:rPr>
        <w:t>t</w:t>
      </w:r>
      <w:r>
        <w:t>ă</w:t>
      </w:r>
      <w:r>
        <w:rPr>
          <w:spacing w:val="-4"/>
        </w:rPr>
        <w:t>m</w:t>
      </w:r>
      <w:r>
        <w:t>ân</w:t>
      </w:r>
      <w:r>
        <w:rPr>
          <w:spacing w:val="1"/>
        </w:rPr>
        <w:t>i</w:t>
      </w:r>
      <w:r>
        <w:t xml:space="preserve">, </w:t>
      </w:r>
      <w:r>
        <w:rPr>
          <w:spacing w:val="-2"/>
        </w:rPr>
        <w:t>s</w:t>
      </w:r>
      <w:r>
        <w:t xml:space="preserve">ub </w:t>
      </w:r>
      <w:r>
        <w:rPr>
          <w:spacing w:val="-2"/>
        </w:rPr>
        <w:t>f</w:t>
      </w:r>
      <w:r>
        <w:t>o</w:t>
      </w:r>
      <w:r>
        <w:rPr>
          <w:spacing w:val="-2"/>
        </w:rPr>
        <w:t>r</w:t>
      </w:r>
      <w:r>
        <w:rPr>
          <w:spacing w:val="-4"/>
        </w:rPr>
        <w:t>m</w:t>
      </w:r>
      <w:r>
        <w:t>a unei</w:t>
      </w:r>
      <w:r>
        <w:rPr>
          <w:spacing w:val="1"/>
        </w:rPr>
        <w:t xml:space="preserve"> </w:t>
      </w:r>
      <w:r>
        <w:t>do</w:t>
      </w:r>
      <w:r>
        <w:rPr>
          <w:spacing w:val="-3"/>
        </w:rPr>
        <w:t>z</w:t>
      </w:r>
      <w:r>
        <w:t>e un</w:t>
      </w:r>
      <w:r>
        <w:rPr>
          <w:spacing w:val="-2"/>
        </w:rPr>
        <w:t>i</w:t>
      </w:r>
      <w:r>
        <w:t>ce.</w:t>
      </w:r>
    </w:p>
    <w:p w14:paraId="232D516F" w14:textId="77777777" w:rsidR="00C04CAD" w:rsidRDefault="00C04CAD">
      <w:pPr>
        <w:tabs>
          <w:tab w:val="clear" w:pos="567"/>
        </w:tabs>
        <w:kinsoku w:val="0"/>
        <w:overflowPunct w:val="0"/>
        <w:autoSpaceDE w:val="0"/>
        <w:autoSpaceDN w:val="0"/>
        <w:adjustRightInd w:val="0"/>
        <w:spacing w:line="240" w:lineRule="auto"/>
      </w:pPr>
    </w:p>
    <w:p w14:paraId="1C99E665" w14:textId="77777777" w:rsidR="00C04CAD" w:rsidRDefault="00060E34">
      <w:pPr>
        <w:tabs>
          <w:tab w:val="clear" w:pos="567"/>
        </w:tabs>
        <w:kinsoku w:val="0"/>
        <w:overflowPunct w:val="0"/>
        <w:autoSpaceDE w:val="0"/>
        <w:autoSpaceDN w:val="0"/>
        <w:adjustRightInd w:val="0"/>
        <w:spacing w:line="240" w:lineRule="auto"/>
      </w:pPr>
      <w:r>
        <w:rPr>
          <w:spacing w:val="-1"/>
        </w:rPr>
        <w:t>D</w:t>
      </w:r>
      <w:r>
        <w:t>acă a</w:t>
      </w:r>
      <w:r>
        <w:rPr>
          <w:spacing w:val="-3"/>
        </w:rPr>
        <w:t>v</w:t>
      </w:r>
      <w:r>
        <w:t>e</w:t>
      </w:r>
      <w:r>
        <w:rPr>
          <w:spacing w:val="-2"/>
        </w:rPr>
        <w:t>ţ</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rPr>
          <w:spacing w:val="-3"/>
        </w:rPr>
        <w:t>o</w:t>
      </w:r>
      <w:r>
        <w:rPr>
          <w:spacing w:val="1"/>
        </w:rPr>
        <w:t>i</w:t>
      </w:r>
      <w:r>
        <w:t xml:space="preserve">dă </w:t>
      </w:r>
      <w:r>
        <w:rPr>
          <w:spacing w:val="-2"/>
        </w:rPr>
        <w:t>ş</w:t>
      </w:r>
      <w:r>
        <w:t>i</w:t>
      </w:r>
      <w:r>
        <w:rPr>
          <w:spacing w:val="1"/>
        </w:rPr>
        <w:t xml:space="preserve"> </w:t>
      </w:r>
      <w:r>
        <w:t xml:space="preserve">nu </w:t>
      </w:r>
      <w:r>
        <w:rPr>
          <w:spacing w:val="-3"/>
        </w:rPr>
        <w:t>v</w:t>
      </w:r>
      <w:r>
        <w:t>i</w:t>
      </w:r>
      <w:r>
        <w:rPr>
          <w:spacing w:val="-2"/>
        </w:rPr>
        <w:t xml:space="preserve"> </w:t>
      </w:r>
      <w:r>
        <w:t>se ad</w:t>
      </w:r>
      <w:r>
        <w:rPr>
          <w:spacing w:val="-4"/>
        </w:rPr>
        <w:t>m</w:t>
      </w:r>
      <w:r>
        <w:rPr>
          <w:spacing w:val="1"/>
        </w:rPr>
        <w:t>i</w:t>
      </w:r>
      <w:r>
        <w:t>n</w:t>
      </w:r>
      <w:r>
        <w:rPr>
          <w:spacing w:val="-2"/>
        </w:rPr>
        <w:t>i</w:t>
      </w:r>
      <w:r>
        <w:t>s</w:t>
      </w:r>
      <w:r>
        <w:rPr>
          <w:spacing w:val="-2"/>
        </w:rPr>
        <w:t>tr</w:t>
      </w:r>
      <w:r>
        <w:t>ea</w:t>
      </w:r>
      <w:r>
        <w:rPr>
          <w:spacing w:val="-3"/>
        </w:rPr>
        <w:t>z</w:t>
      </w:r>
      <w:r>
        <w:t xml:space="preserve">ă </w:t>
      </w:r>
      <w:r>
        <w:rPr>
          <w:spacing w:val="-4"/>
        </w:rPr>
        <w:t>m</w:t>
      </w:r>
      <w:r>
        <w:t>e</w:t>
      </w:r>
      <w:r>
        <w:rPr>
          <w:spacing w:val="1"/>
        </w:rPr>
        <w:t>t</w:t>
      </w:r>
      <w:r>
        <w:t>o</w:t>
      </w:r>
      <w:r>
        <w:rPr>
          <w:spacing w:val="1"/>
        </w:rPr>
        <w:t>t</w:t>
      </w:r>
      <w:r>
        <w:t>re</w:t>
      </w:r>
      <w:r>
        <w:rPr>
          <w:spacing w:val="-3"/>
        </w:rPr>
        <w:t>x</w:t>
      </w:r>
      <w:r>
        <w:t>at</w:t>
      </w:r>
      <w:r>
        <w:rPr>
          <w:spacing w:val="-2"/>
        </w:rPr>
        <w:t xml:space="preserve"> </w:t>
      </w:r>
      <w:r>
        <w:t>con</w:t>
      </w:r>
      <w:r>
        <w:rPr>
          <w:spacing w:val="-3"/>
        </w:rPr>
        <w:t>c</w:t>
      </w:r>
      <w:r>
        <w:t>o</w:t>
      </w:r>
      <w:r>
        <w:rPr>
          <w:spacing w:val="-4"/>
        </w:rPr>
        <w:t>m</w:t>
      </w:r>
      <w:r>
        <w:rPr>
          <w:spacing w:val="1"/>
        </w:rPr>
        <w:t>it</w:t>
      </w:r>
      <w:r>
        <w:rPr>
          <w:spacing w:val="-3"/>
        </w:rPr>
        <w:t>e</w:t>
      </w:r>
      <w:r>
        <w:t>nt</w:t>
      </w:r>
      <w:r>
        <w:rPr>
          <w:spacing w:val="1"/>
        </w:rPr>
        <w:t xml:space="preserve"> </w:t>
      </w:r>
      <w:r>
        <w:t xml:space="preserve">cu </w:t>
      </w:r>
      <w:r>
        <w:rPr>
          <w:spacing w:val="-1"/>
          <w:szCs w:val="22"/>
          <w:lang w:eastAsia="en-US" w:bidi="ar-SA"/>
        </w:rPr>
        <w:t>AMGEVITA</w:t>
      </w:r>
      <w:r>
        <w:t xml:space="preserve">, </w:t>
      </w:r>
      <w:r>
        <w:rPr>
          <w:spacing w:val="-4"/>
        </w:rPr>
        <w:t>m</w:t>
      </w:r>
      <w:r>
        <w:t>ed</w:t>
      </w:r>
      <w:r>
        <w:rPr>
          <w:spacing w:val="1"/>
        </w:rPr>
        <w:t>i</w:t>
      </w:r>
      <w:r>
        <w:rPr>
          <w:spacing w:val="-3"/>
        </w:rPr>
        <w:t>c</w:t>
      </w:r>
      <w:r>
        <w:t>ul du</w:t>
      </w:r>
      <w:r>
        <w:rPr>
          <w:spacing w:val="-4"/>
        </w:rPr>
        <w:t>m</w:t>
      </w:r>
      <w:r>
        <w:t>nea</w:t>
      </w:r>
      <w:r>
        <w:rPr>
          <w:spacing w:val="-3"/>
        </w:rPr>
        <w:t>v</w:t>
      </w:r>
      <w:r>
        <w:t>oas</w:t>
      </w:r>
      <w:r>
        <w:rPr>
          <w:spacing w:val="1"/>
        </w:rPr>
        <w:t>t</w:t>
      </w:r>
      <w:r>
        <w:t>ră p</w:t>
      </w:r>
      <w:r>
        <w:rPr>
          <w:spacing w:val="-3"/>
        </w:rPr>
        <w:t>o</w:t>
      </w:r>
      <w:r>
        <w:t>a</w:t>
      </w:r>
      <w:r>
        <w:rPr>
          <w:spacing w:val="-2"/>
        </w:rPr>
        <w:t>t</w:t>
      </w:r>
      <w:r>
        <w:t>e d</w:t>
      </w:r>
      <w:r>
        <w:rPr>
          <w:spacing w:val="-3"/>
        </w:rPr>
        <w:t>e</w:t>
      </w:r>
      <w:r>
        <w:t>c</w:t>
      </w:r>
      <w:r>
        <w:rPr>
          <w:spacing w:val="1"/>
        </w:rPr>
        <w:t>i</w:t>
      </w:r>
      <w:r>
        <w:rPr>
          <w:spacing w:val="-3"/>
        </w:rPr>
        <w:t>d</w:t>
      </w:r>
      <w:r>
        <w:t xml:space="preserve">e să </w:t>
      </w:r>
      <w:r>
        <w:rPr>
          <w:spacing w:val="-3"/>
        </w:rPr>
        <w:t>v</w:t>
      </w:r>
      <w:r>
        <w:t>ă ad</w:t>
      </w:r>
      <w:r>
        <w:rPr>
          <w:spacing w:val="-4"/>
        </w:rPr>
        <w:t>m</w:t>
      </w:r>
      <w:r>
        <w:rPr>
          <w:spacing w:val="1"/>
        </w:rPr>
        <w:t>i</w:t>
      </w:r>
      <w:r>
        <w:t>n</w:t>
      </w:r>
      <w:r>
        <w:rPr>
          <w:spacing w:val="1"/>
        </w:rPr>
        <w:t>i</w:t>
      </w:r>
      <w:r>
        <w:rPr>
          <w:spacing w:val="-2"/>
        </w:rPr>
        <w:t>s</w:t>
      </w:r>
      <w:r>
        <w:rPr>
          <w:spacing w:val="1"/>
        </w:rPr>
        <w:t>t</w:t>
      </w:r>
      <w:r>
        <w:rPr>
          <w:spacing w:val="-2"/>
        </w:rPr>
        <w:t>r</w:t>
      </w:r>
      <w:r>
        <w:t>e</w:t>
      </w:r>
      <w:r>
        <w:rPr>
          <w:spacing w:val="-3"/>
        </w:rPr>
        <w:t>z</w:t>
      </w:r>
      <w:r>
        <w:t>e 40 </w:t>
      </w:r>
      <w:r>
        <w:rPr>
          <w:spacing w:val="-4"/>
        </w:rPr>
        <w:t>m</w:t>
      </w:r>
      <w:r>
        <w:t>g săp</w:t>
      </w:r>
      <w:r>
        <w:rPr>
          <w:spacing w:val="1"/>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572866B7" w14:textId="77777777" w:rsidR="00C04CAD" w:rsidRDefault="00C04CAD">
      <w:pPr>
        <w:tabs>
          <w:tab w:val="clear" w:pos="567"/>
        </w:tabs>
        <w:kinsoku w:val="0"/>
        <w:overflowPunct w:val="0"/>
        <w:autoSpaceDE w:val="0"/>
        <w:autoSpaceDN w:val="0"/>
        <w:adjustRightInd w:val="0"/>
        <w:spacing w:line="240" w:lineRule="auto"/>
      </w:pPr>
    </w:p>
    <w:p w14:paraId="43F952E5" w14:textId="77777777" w:rsidR="00C04CAD" w:rsidRDefault="00060E34">
      <w:pPr>
        <w:tabs>
          <w:tab w:val="clear" w:pos="567"/>
        </w:tabs>
        <w:kinsoku w:val="0"/>
        <w:overflowPunct w:val="0"/>
        <w:autoSpaceDE w:val="0"/>
        <w:autoSpaceDN w:val="0"/>
        <w:adjustRightInd w:val="0"/>
        <w:spacing w:line="240" w:lineRule="auto"/>
      </w:pPr>
      <w:r>
        <w:rPr>
          <w:spacing w:val="-1"/>
        </w:rPr>
        <w:t>D</w:t>
      </w:r>
      <w:r>
        <w:t>acă a</w:t>
      </w:r>
      <w:r>
        <w:rPr>
          <w:spacing w:val="-3"/>
        </w:rPr>
        <w:t>v</w:t>
      </w:r>
      <w:r>
        <w:t>e</w:t>
      </w:r>
      <w:r>
        <w:rPr>
          <w:spacing w:val="-2"/>
        </w:rPr>
        <w:t>ţ</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rPr>
          <w:spacing w:val="-3"/>
        </w:rPr>
        <w:t>o</w:t>
      </w:r>
      <w:r>
        <w:rPr>
          <w:spacing w:val="1"/>
        </w:rPr>
        <w:t>i</w:t>
      </w:r>
      <w:r>
        <w:t xml:space="preserve">dă </w:t>
      </w:r>
      <w:r>
        <w:rPr>
          <w:spacing w:val="-2"/>
        </w:rPr>
        <w:t>ş</w:t>
      </w:r>
      <w:r>
        <w:t>i</w:t>
      </w:r>
      <w:r>
        <w:rPr>
          <w:spacing w:val="1"/>
        </w:rPr>
        <w:t xml:space="preserve"> </w:t>
      </w:r>
      <w:r>
        <w:t xml:space="preserve">nu </w:t>
      </w:r>
      <w:r>
        <w:rPr>
          <w:spacing w:val="-3"/>
        </w:rPr>
        <w:t>v</w:t>
      </w:r>
      <w:r>
        <w:t>i</w:t>
      </w:r>
      <w:r>
        <w:rPr>
          <w:spacing w:val="-2"/>
        </w:rPr>
        <w:t xml:space="preserve"> </w:t>
      </w:r>
      <w:r>
        <w:t>se ad</w:t>
      </w:r>
      <w:r>
        <w:rPr>
          <w:spacing w:val="-4"/>
        </w:rPr>
        <w:t>m</w:t>
      </w:r>
      <w:r>
        <w:rPr>
          <w:spacing w:val="1"/>
        </w:rPr>
        <w:t>i</w:t>
      </w:r>
      <w:r>
        <w:t>n</w:t>
      </w:r>
      <w:r>
        <w:rPr>
          <w:spacing w:val="-2"/>
        </w:rPr>
        <w:t>i</w:t>
      </w:r>
      <w:r>
        <w:t>s</w:t>
      </w:r>
      <w:r>
        <w:rPr>
          <w:spacing w:val="-2"/>
        </w:rPr>
        <w:t>tr</w:t>
      </w:r>
      <w:r>
        <w:t>ea</w:t>
      </w:r>
      <w:r>
        <w:rPr>
          <w:spacing w:val="-3"/>
        </w:rPr>
        <w:t>z</w:t>
      </w:r>
      <w:r>
        <w:t xml:space="preserve">ă </w:t>
      </w:r>
      <w:r>
        <w:rPr>
          <w:spacing w:val="-4"/>
        </w:rPr>
        <w:t>m</w:t>
      </w:r>
      <w:r>
        <w:t>e</w:t>
      </w:r>
      <w:r>
        <w:rPr>
          <w:spacing w:val="1"/>
        </w:rPr>
        <w:t>t</w:t>
      </w:r>
      <w:r>
        <w:t>o</w:t>
      </w:r>
      <w:r>
        <w:rPr>
          <w:spacing w:val="1"/>
        </w:rPr>
        <w:t>t</w:t>
      </w:r>
      <w:r>
        <w:t>re</w:t>
      </w:r>
      <w:r>
        <w:rPr>
          <w:spacing w:val="-3"/>
        </w:rPr>
        <w:t>x</w:t>
      </w:r>
      <w:r>
        <w:t>at</w:t>
      </w:r>
      <w:r>
        <w:rPr>
          <w:spacing w:val="-2"/>
        </w:rPr>
        <w:t xml:space="preserve"> </w:t>
      </w:r>
      <w:r>
        <w:t>con</w:t>
      </w:r>
      <w:r>
        <w:rPr>
          <w:spacing w:val="-3"/>
        </w:rPr>
        <w:t>c</w:t>
      </w:r>
      <w:r>
        <w:t>o</w:t>
      </w:r>
      <w:r>
        <w:rPr>
          <w:spacing w:val="-4"/>
        </w:rPr>
        <w:t>m</w:t>
      </w:r>
      <w:r>
        <w:rPr>
          <w:spacing w:val="1"/>
        </w:rPr>
        <w:t>it</w:t>
      </w:r>
      <w:r>
        <w:rPr>
          <w:spacing w:val="-3"/>
        </w:rPr>
        <w:t>e</w:t>
      </w:r>
      <w:r>
        <w:t>nt</w:t>
      </w:r>
      <w:r>
        <w:rPr>
          <w:spacing w:val="1"/>
        </w:rPr>
        <w:t xml:space="preserve"> </w:t>
      </w:r>
      <w:r>
        <w:t xml:space="preserve">cu </w:t>
      </w:r>
      <w:r>
        <w:rPr>
          <w:spacing w:val="-1"/>
          <w:szCs w:val="22"/>
          <w:lang w:eastAsia="en-US" w:bidi="ar-SA"/>
        </w:rPr>
        <w:t>AMGEVITA</w:t>
      </w:r>
      <w:r>
        <w:t xml:space="preserve">, </w:t>
      </w:r>
      <w:r>
        <w:rPr>
          <w:spacing w:val="-4"/>
        </w:rPr>
        <w:t>m</w:t>
      </w:r>
      <w:r>
        <w:t>ed</w:t>
      </w:r>
      <w:r>
        <w:rPr>
          <w:spacing w:val="1"/>
        </w:rPr>
        <w:t>i</w:t>
      </w:r>
      <w:r>
        <w:rPr>
          <w:spacing w:val="-3"/>
        </w:rPr>
        <w:t>c</w:t>
      </w:r>
      <w:r>
        <w:t>ul du</w:t>
      </w:r>
      <w:r>
        <w:rPr>
          <w:spacing w:val="-4"/>
        </w:rPr>
        <w:t>m</w:t>
      </w:r>
      <w:r>
        <w:t>nea</w:t>
      </w:r>
      <w:r>
        <w:rPr>
          <w:spacing w:val="-3"/>
        </w:rPr>
        <w:t>v</w:t>
      </w:r>
      <w:r>
        <w:t>oas</w:t>
      </w:r>
      <w:r>
        <w:rPr>
          <w:spacing w:val="1"/>
        </w:rPr>
        <w:t>t</w:t>
      </w:r>
      <w:r>
        <w:t>ră p</w:t>
      </w:r>
      <w:r>
        <w:rPr>
          <w:spacing w:val="-3"/>
        </w:rPr>
        <w:t>o</w:t>
      </w:r>
      <w:r>
        <w:t>a</w:t>
      </w:r>
      <w:r>
        <w:rPr>
          <w:spacing w:val="-2"/>
        </w:rPr>
        <w:t>t</w:t>
      </w:r>
      <w:r>
        <w:t>e d</w:t>
      </w:r>
      <w:r>
        <w:rPr>
          <w:spacing w:val="-3"/>
        </w:rPr>
        <w:t>e</w:t>
      </w:r>
      <w:r>
        <w:t>c</w:t>
      </w:r>
      <w:r>
        <w:rPr>
          <w:spacing w:val="1"/>
        </w:rPr>
        <w:t>i</w:t>
      </w:r>
      <w:r>
        <w:rPr>
          <w:spacing w:val="-3"/>
        </w:rPr>
        <w:t>d</w:t>
      </w:r>
      <w:r>
        <w:t xml:space="preserve">e să </w:t>
      </w:r>
      <w:r>
        <w:rPr>
          <w:spacing w:val="-3"/>
        </w:rPr>
        <w:t>v</w:t>
      </w:r>
      <w:r>
        <w:t>ă ad</w:t>
      </w:r>
      <w:r>
        <w:rPr>
          <w:spacing w:val="-4"/>
        </w:rPr>
        <w:t>m</w:t>
      </w:r>
      <w:r>
        <w:rPr>
          <w:spacing w:val="1"/>
        </w:rPr>
        <w:t>i</w:t>
      </w:r>
      <w:r>
        <w:t>n</w:t>
      </w:r>
      <w:r>
        <w:rPr>
          <w:spacing w:val="1"/>
        </w:rPr>
        <w:t>i</w:t>
      </w:r>
      <w:r>
        <w:rPr>
          <w:spacing w:val="-2"/>
        </w:rPr>
        <w:t>s</w:t>
      </w:r>
      <w:r>
        <w:rPr>
          <w:spacing w:val="1"/>
        </w:rPr>
        <w:t>t</w:t>
      </w:r>
      <w:r>
        <w:rPr>
          <w:spacing w:val="-2"/>
        </w:rPr>
        <w:t>r</w:t>
      </w:r>
      <w:r>
        <w:t>e</w:t>
      </w:r>
      <w:r>
        <w:rPr>
          <w:spacing w:val="-3"/>
        </w:rPr>
        <w:t>z</w:t>
      </w:r>
      <w:r>
        <w:t>e 40 </w:t>
      </w:r>
      <w:r>
        <w:rPr>
          <w:spacing w:val="-4"/>
        </w:rPr>
        <w:t>m</w:t>
      </w:r>
      <w:r>
        <w:t>g săp</w:t>
      </w:r>
      <w:r>
        <w:rPr>
          <w:spacing w:val="1"/>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4EEE01EB" w14:textId="77777777" w:rsidR="00C04CAD" w:rsidRDefault="00C04CAD">
      <w:pPr>
        <w:tabs>
          <w:tab w:val="clear" w:pos="567"/>
        </w:tabs>
        <w:kinsoku w:val="0"/>
        <w:overflowPunct w:val="0"/>
        <w:autoSpaceDE w:val="0"/>
        <w:autoSpaceDN w:val="0"/>
        <w:adjustRightInd w:val="0"/>
        <w:spacing w:line="240" w:lineRule="auto"/>
      </w:pPr>
    </w:p>
    <w:p w14:paraId="1BCC6F56" w14:textId="77777777" w:rsidR="00C04CAD" w:rsidRDefault="00060E34">
      <w:pPr>
        <w:tabs>
          <w:tab w:val="clear" w:pos="567"/>
        </w:tabs>
        <w:kinsoku w:val="0"/>
        <w:overflowPunct w:val="0"/>
        <w:autoSpaceDE w:val="0"/>
        <w:autoSpaceDN w:val="0"/>
        <w:adjustRightInd w:val="0"/>
        <w:spacing w:line="240" w:lineRule="auto"/>
        <w:rPr>
          <w:u w:val="single"/>
        </w:rPr>
      </w:pPr>
      <w:r>
        <w:rPr>
          <w:spacing w:val="-1"/>
          <w:u w:val="single"/>
        </w:rPr>
        <w:t>C</w:t>
      </w:r>
      <w:r>
        <w:rPr>
          <w:u w:val="single"/>
        </w:rPr>
        <w:t>op</w:t>
      </w:r>
      <w:r>
        <w:rPr>
          <w:spacing w:val="1"/>
          <w:u w:val="single"/>
        </w:rPr>
        <w:t>i</w:t>
      </w:r>
      <w:r>
        <w:rPr>
          <w:u w:val="single"/>
        </w:rPr>
        <w:t>i, adolescenți și adulți</w:t>
      </w:r>
      <w:r>
        <w:rPr>
          <w:spacing w:val="-2"/>
          <w:u w:val="single"/>
        </w:rPr>
        <w:t xml:space="preserve"> </w:t>
      </w:r>
      <w:r>
        <w:rPr>
          <w:u w:val="single"/>
        </w:rPr>
        <w:t xml:space="preserve">cu </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1"/>
          <w:u w:val="single"/>
        </w:rPr>
        <w:t>j</w:t>
      </w:r>
      <w:r>
        <w:rPr>
          <w:u w:val="single"/>
        </w:rPr>
        <w:t>u</w:t>
      </w:r>
      <w:r>
        <w:rPr>
          <w:spacing w:val="-3"/>
          <w:u w:val="single"/>
        </w:rPr>
        <w:t>v</w:t>
      </w:r>
      <w:r>
        <w:rPr>
          <w:u w:val="single"/>
        </w:rPr>
        <w:t>en</w:t>
      </w:r>
      <w:r>
        <w:rPr>
          <w:spacing w:val="-2"/>
          <w:u w:val="single"/>
        </w:rPr>
        <w:t>i</w:t>
      </w:r>
      <w:r>
        <w:rPr>
          <w:spacing w:val="1"/>
          <w:u w:val="single"/>
        </w:rPr>
        <w:t>l</w:t>
      </w:r>
      <w:r>
        <w:rPr>
          <w:u w:val="single"/>
        </w:rPr>
        <w:t xml:space="preserve">ă </w:t>
      </w:r>
      <w:r>
        <w:rPr>
          <w:spacing w:val="-2"/>
          <w:u w:val="single"/>
        </w:rPr>
        <w:t>i</w:t>
      </w:r>
      <w:r>
        <w:rPr>
          <w:u w:val="single"/>
        </w:rPr>
        <w:t>d</w:t>
      </w:r>
      <w:r>
        <w:rPr>
          <w:spacing w:val="-2"/>
          <w:u w:val="single"/>
        </w:rPr>
        <w:t>i</w:t>
      </w:r>
      <w:r>
        <w:rPr>
          <w:u w:val="single"/>
        </w:rPr>
        <w:t>opa</w:t>
      </w:r>
      <w:r>
        <w:rPr>
          <w:spacing w:val="-2"/>
          <w:u w:val="single"/>
        </w:rPr>
        <w:t>t</w:t>
      </w:r>
      <w:r>
        <w:rPr>
          <w:spacing w:val="1"/>
          <w:u w:val="single"/>
        </w:rPr>
        <w:t>i</w:t>
      </w:r>
      <w:r>
        <w:rPr>
          <w:u w:val="single"/>
        </w:rPr>
        <w:t>că f</w:t>
      </w:r>
      <w:r>
        <w:rPr>
          <w:spacing w:val="-3"/>
          <w:u w:val="single"/>
        </w:rPr>
        <w:t>o</w:t>
      </w:r>
      <w:r>
        <w:rPr>
          <w:u w:val="single"/>
        </w:rPr>
        <w:t>r</w:t>
      </w:r>
      <w:r>
        <w:rPr>
          <w:spacing w:val="-4"/>
          <w:u w:val="single"/>
        </w:rPr>
        <w:t>m</w:t>
      </w:r>
      <w:r>
        <w:rPr>
          <w:u w:val="single"/>
        </w:rPr>
        <w:t>a po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ră</w:t>
      </w:r>
    </w:p>
    <w:p w14:paraId="0CD7FD5A" w14:textId="77777777" w:rsidR="00C04CAD" w:rsidRDefault="00C04CAD">
      <w:pPr>
        <w:tabs>
          <w:tab w:val="clear" w:pos="567"/>
        </w:tabs>
        <w:kinsoku w:val="0"/>
        <w:overflowPunct w:val="0"/>
        <w:autoSpaceDE w:val="0"/>
        <w:autoSpaceDN w:val="0"/>
        <w:adjustRightInd w:val="0"/>
        <w:spacing w:line="240" w:lineRule="auto"/>
      </w:pPr>
    </w:p>
    <w:p w14:paraId="551F27A2" w14:textId="77777777" w:rsidR="00C04CAD" w:rsidRDefault="00060E34">
      <w:pPr>
        <w:tabs>
          <w:tab w:val="clear" w:pos="567"/>
        </w:tabs>
        <w:kinsoku w:val="0"/>
        <w:overflowPunct w:val="0"/>
        <w:autoSpaceDE w:val="0"/>
        <w:autoSpaceDN w:val="0"/>
        <w:adjustRightInd w:val="0"/>
        <w:spacing w:line="240" w:lineRule="auto"/>
        <w:rPr>
          <w:i/>
        </w:rPr>
      </w:pPr>
      <w:r>
        <w:rPr>
          <w:i/>
        </w:rPr>
        <w:t>Copii și adolescenți începând cu vârsta de 2 ani și greutatea de la 10 kg la mai puțin de 30 kg</w:t>
      </w:r>
    </w:p>
    <w:p w14:paraId="274045B3" w14:textId="77777777" w:rsidR="00C04CAD" w:rsidRDefault="00C04CAD">
      <w:pPr>
        <w:tabs>
          <w:tab w:val="clear" w:pos="567"/>
        </w:tabs>
        <w:kinsoku w:val="0"/>
        <w:overflowPunct w:val="0"/>
        <w:autoSpaceDE w:val="0"/>
        <w:autoSpaceDN w:val="0"/>
        <w:adjustRightInd w:val="0"/>
        <w:spacing w:line="240" w:lineRule="auto"/>
        <w:rPr>
          <w:i/>
        </w:rPr>
      </w:pPr>
    </w:p>
    <w:p w14:paraId="67BEA151" w14:textId="77777777" w:rsidR="00C04CAD" w:rsidRDefault="00060E34">
      <w:pPr>
        <w:tabs>
          <w:tab w:val="clear" w:pos="567"/>
        </w:tabs>
        <w:kinsoku w:val="0"/>
        <w:overflowPunct w:val="0"/>
        <w:autoSpaceDE w:val="0"/>
        <w:autoSpaceDN w:val="0"/>
        <w:adjustRightInd w:val="0"/>
        <w:spacing w:line="240" w:lineRule="auto"/>
      </w:pPr>
      <w:r>
        <w:t>Doza recomandată de AMGEVITA este de 20 mg la două săptămâni.</w:t>
      </w:r>
    </w:p>
    <w:p w14:paraId="173F9099" w14:textId="77777777" w:rsidR="00C04CAD" w:rsidRDefault="00C04CAD">
      <w:pPr>
        <w:tabs>
          <w:tab w:val="clear" w:pos="567"/>
        </w:tabs>
        <w:kinsoku w:val="0"/>
        <w:overflowPunct w:val="0"/>
        <w:autoSpaceDE w:val="0"/>
        <w:autoSpaceDN w:val="0"/>
        <w:adjustRightInd w:val="0"/>
        <w:spacing w:line="240" w:lineRule="auto"/>
      </w:pPr>
    </w:p>
    <w:p w14:paraId="7C9AEDD5" w14:textId="77777777" w:rsidR="00C04CAD" w:rsidRDefault="00060E34">
      <w:pPr>
        <w:tabs>
          <w:tab w:val="clear" w:pos="567"/>
        </w:tabs>
        <w:kinsoku w:val="0"/>
        <w:overflowPunct w:val="0"/>
        <w:autoSpaceDE w:val="0"/>
        <w:autoSpaceDN w:val="0"/>
        <w:adjustRightInd w:val="0"/>
        <w:spacing w:line="240" w:lineRule="auto"/>
        <w:rPr>
          <w:i/>
        </w:rPr>
      </w:pPr>
      <w:r>
        <w:rPr>
          <w:i/>
        </w:rPr>
        <w:t>Copii, adolescenți și adulți începând cu vârsta de 2 ani și greutatea de 30 kg sau mai mult</w:t>
      </w:r>
    </w:p>
    <w:p w14:paraId="5EA303AE" w14:textId="77777777" w:rsidR="00C04CAD" w:rsidRDefault="00C04CAD">
      <w:pPr>
        <w:tabs>
          <w:tab w:val="clear" w:pos="567"/>
        </w:tabs>
        <w:kinsoku w:val="0"/>
        <w:overflowPunct w:val="0"/>
        <w:autoSpaceDE w:val="0"/>
        <w:autoSpaceDN w:val="0"/>
        <w:adjustRightInd w:val="0"/>
        <w:spacing w:line="240" w:lineRule="auto"/>
      </w:pPr>
    </w:p>
    <w:p w14:paraId="2ED11B6E" w14:textId="77777777" w:rsidR="00C04CAD" w:rsidRDefault="00060E34">
      <w:pPr>
        <w:tabs>
          <w:tab w:val="clear" w:pos="567"/>
        </w:tabs>
        <w:kinsoku w:val="0"/>
        <w:overflowPunct w:val="0"/>
        <w:autoSpaceDE w:val="0"/>
        <w:autoSpaceDN w:val="0"/>
        <w:adjustRightInd w:val="0"/>
        <w:spacing w:line="240" w:lineRule="auto"/>
      </w:pPr>
      <w:r>
        <w:t>Doza recomandată de AMGEVITA este de 40 mg la două săptămâni.</w:t>
      </w:r>
    </w:p>
    <w:p w14:paraId="2716100C" w14:textId="77777777" w:rsidR="00C04CAD" w:rsidRDefault="00C04CAD">
      <w:pPr>
        <w:tabs>
          <w:tab w:val="clear" w:pos="567"/>
        </w:tabs>
        <w:kinsoku w:val="0"/>
        <w:overflowPunct w:val="0"/>
        <w:autoSpaceDE w:val="0"/>
        <w:autoSpaceDN w:val="0"/>
        <w:adjustRightInd w:val="0"/>
        <w:spacing w:line="240" w:lineRule="auto"/>
      </w:pPr>
    </w:p>
    <w:p w14:paraId="147261F9" w14:textId="77777777" w:rsidR="00C04CAD" w:rsidRDefault="00060E34">
      <w:pPr>
        <w:tabs>
          <w:tab w:val="clear" w:pos="567"/>
        </w:tabs>
        <w:kinsoku w:val="0"/>
        <w:overflowPunct w:val="0"/>
        <w:autoSpaceDE w:val="0"/>
        <w:autoSpaceDN w:val="0"/>
        <w:adjustRightInd w:val="0"/>
        <w:spacing w:line="240" w:lineRule="auto"/>
      </w:pPr>
      <w:r>
        <w:rPr>
          <w:spacing w:val="-1"/>
          <w:u w:val="single"/>
        </w:rPr>
        <w:t>C</w:t>
      </w:r>
      <w:r>
        <w:rPr>
          <w:u w:val="single"/>
        </w:rPr>
        <w:t>op</w:t>
      </w:r>
      <w:r>
        <w:rPr>
          <w:spacing w:val="1"/>
          <w:u w:val="single"/>
        </w:rPr>
        <w:t>i</w:t>
      </w:r>
      <w:r>
        <w:rPr>
          <w:u w:val="single"/>
        </w:rPr>
        <w:t xml:space="preserve">i, adolescenți și adulți cu </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3"/>
          <w:u w:val="single"/>
        </w:rPr>
        <w:t>a</w:t>
      </w:r>
      <w:r>
        <w:rPr>
          <w:u w:val="single"/>
        </w:rPr>
        <w:t>so</w:t>
      </w:r>
      <w:r>
        <w:rPr>
          <w:spacing w:val="-3"/>
          <w:u w:val="single"/>
        </w:rPr>
        <w:t>c</w:t>
      </w:r>
      <w:r>
        <w:rPr>
          <w:spacing w:val="1"/>
          <w:u w:val="single"/>
        </w:rPr>
        <w:t>i</w:t>
      </w:r>
      <w:r>
        <w:rPr>
          <w:spacing w:val="-3"/>
          <w:u w:val="single"/>
        </w:rPr>
        <w:t>a</w:t>
      </w:r>
      <w:r>
        <w:rPr>
          <w:spacing w:val="1"/>
          <w:u w:val="single"/>
        </w:rPr>
        <w:t>t</w:t>
      </w:r>
      <w:r>
        <w:rPr>
          <w:u w:val="single"/>
        </w:rPr>
        <w:t>ă e</w:t>
      </w:r>
      <w:r>
        <w:rPr>
          <w:spacing w:val="-3"/>
          <w:u w:val="single"/>
        </w:rPr>
        <w:t>n</w:t>
      </w:r>
      <w:r>
        <w:rPr>
          <w:spacing w:val="-2"/>
          <w:u w:val="single"/>
        </w:rPr>
        <w:t>t</w:t>
      </w:r>
      <w:r>
        <w:rPr>
          <w:u w:val="single"/>
        </w:rPr>
        <w:t>e</w:t>
      </w:r>
      <w:r>
        <w:rPr>
          <w:spacing w:val="-3"/>
          <w:u w:val="single"/>
        </w:rPr>
        <w:t>z</w:t>
      </w:r>
      <w:r>
        <w:rPr>
          <w:spacing w:val="1"/>
          <w:u w:val="single"/>
        </w:rPr>
        <w:t>it</w:t>
      </w:r>
      <w:r>
        <w:rPr>
          <w:spacing w:val="-3"/>
          <w:u w:val="single"/>
        </w:rPr>
        <w:t>e</w:t>
      </w:r>
      <w:r>
        <w:rPr>
          <w:u w:val="single"/>
        </w:rPr>
        <w:t>i</w:t>
      </w:r>
    </w:p>
    <w:p w14:paraId="0325371F" w14:textId="77777777" w:rsidR="00C04CAD" w:rsidRDefault="00C04CAD">
      <w:pPr>
        <w:tabs>
          <w:tab w:val="clear" w:pos="567"/>
        </w:tabs>
        <w:kinsoku w:val="0"/>
        <w:overflowPunct w:val="0"/>
        <w:autoSpaceDE w:val="0"/>
        <w:autoSpaceDN w:val="0"/>
        <w:adjustRightInd w:val="0"/>
        <w:spacing w:line="240" w:lineRule="auto"/>
      </w:pPr>
    </w:p>
    <w:p w14:paraId="45C05370" w14:textId="77777777" w:rsidR="00C04CAD" w:rsidRDefault="00060E34">
      <w:pPr>
        <w:tabs>
          <w:tab w:val="clear" w:pos="567"/>
        </w:tabs>
        <w:kinsoku w:val="0"/>
        <w:overflowPunct w:val="0"/>
        <w:autoSpaceDE w:val="0"/>
        <w:autoSpaceDN w:val="0"/>
        <w:adjustRightInd w:val="0"/>
        <w:spacing w:line="240" w:lineRule="auto"/>
      </w:pPr>
      <w:r>
        <w:rPr>
          <w:i/>
        </w:rPr>
        <w:t>Copii și adolescenți începând cu vârsta de 6 ani și greutatea de la 15 kg la mai puțin de 30 kg</w:t>
      </w:r>
    </w:p>
    <w:p w14:paraId="7E4DCBD9" w14:textId="77777777" w:rsidR="00C04CAD" w:rsidRDefault="00C04CAD">
      <w:pPr>
        <w:tabs>
          <w:tab w:val="clear" w:pos="567"/>
        </w:tabs>
        <w:kinsoku w:val="0"/>
        <w:overflowPunct w:val="0"/>
        <w:autoSpaceDE w:val="0"/>
        <w:autoSpaceDN w:val="0"/>
        <w:adjustRightInd w:val="0"/>
        <w:spacing w:line="240" w:lineRule="auto"/>
      </w:pPr>
    </w:p>
    <w:p w14:paraId="099244B6" w14:textId="77777777" w:rsidR="00C04CAD" w:rsidRDefault="00060E34">
      <w:pPr>
        <w:tabs>
          <w:tab w:val="clear" w:pos="567"/>
        </w:tabs>
        <w:kinsoku w:val="0"/>
        <w:overflowPunct w:val="0"/>
        <w:autoSpaceDE w:val="0"/>
        <w:autoSpaceDN w:val="0"/>
        <w:adjustRightInd w:val="0"/>
        <w:spacing w:line="240" w:lineRule="auto"/>
      </w:pPr>
      <w:r>
        <w:t>Doza recomandată de AMGEVITA este de 20 mg la două săptămâni.</w:t>
      </w:r>
    </w:p>
    <w:p w14:paraId="4B62BDC7" w14:textId="77777777" w:rsidR="00C04CAD" w:rsidRDefault="00C04CAD">
      <w:pPr>
        <w:tabs>
          <w:tab w:val="clear" w:pos="567"/>
        </w:tabs>
        <w:kinsoku w:val="0"/>
        <w:overflowPunct w:val="0"/>
        <w:autoSpaceDE w:val="0"/>
        <w:autoSpaceDN w:val="0"/>
        <w:adjustRightInd w:val="0"/>
        <w:spacing w:line="240" w:lineRule="auto"/>
      </w:pPr>
    </w:p>
    <w:p w14:paraId="261755F5" w14:textId="77777777" w:rsidR="00C04CAD" w:rsidRDefault="00060E34">
      <w:pPr>
        <w:tabs>
          <w:tab w:val="clear" w:pos="567"/>
        </w:tabs>
        <w:kinsoku w:val="0"/>
        <w:overflowPunct w:val="0"/>
        <w:autoSpaceDE w:val="0"/>
        <w:autoSpaceDN w:val="0"/>
        <w:adjustRightInd w:val="0"/>
        <w:spacing w:line="240" w:lineRule="auto"/>
        <w:rPr>
          <w:i/>
        </w:rPr>
      </w:pPr>
      <w:r>
        <w:rPr>
          <w:i/>
        </w:rPr>
        <w:t>Copii, adolescenți și adulți începând cu vârsta de 6 ani și greutatea de 30 kg sau mai mult</w:t>
      </w:r>
    </w:p>
    <w:p w14:paraId="68496999" w14:textId="77777777" w:rsidR="00C04CAD" w:rsidRDefault="00C04CAD">
      <w:pPr>
        <w:tabs>
          <w:tab w:val="clear" w:pos="567"/>
        </w:tabs>
        <w:kinsoku w:val="0"/>
        <w:overflowPunct w:val="0"/>
        <w:autoSpaceDE w:val="0"/>
        <w:autoSpaceDN w:val="0"/>
        <w:adjustRightInd w:val="0"/>
        <w:spacing w:line="240" w:lineRule="auto"/>
        <w:rPr>
          <w:i/>
        </w:rPr>
      </w:pPr>
    </w:p>
    <w:p w14:paraId="63650B5D" w14:textId="77777777" w:rsidR="00C04CAD" w:rsidRDefault="00060E34">
      <w:pPr>
        <w:tabs>
          <w:tab w:val="clear" w:pos="567"/>
        </w:tabs>
        <w:kinsoku w:val="0"/>
        <w:overflowPunct w:val="0"/>
        <w:autoSpaceDE w:val="0"/>
        <w:autoSpaceDN w:val="0"/>
        <w:adjustRightInd w:val="0"/>
        <w:spacing w:line="240" w:lineRule="auto"/>
      </w:pPr>
      <w:r>
        <w:t>Doza recomandată de AMGEVITA este de 40 mg la două săptămâni.</w:t>
      </w:r>
    </w:p>
    <w:p w14:paraId="3671E77F" w14:textId="77777777" w:rsidR="00C04CAD" w:rsidRDefault="00C04CAD">
      <w:pPr>
        <w:tabs>
          <w:tab w:val="clear" w:pos="567"/>
        </w:tabs>
        <w:kinsoku w:val="0"/>
        <w:overflowPunct w:val="0"/>
        <w:autoSpaceDE w:val="0"/>
        <w:autoSpaceDN w:val="0"/>
        <w:adjustRightInd w:val="0"/>
        <w:spacing w:line="240" w:lineRule="auto"/>
      </w:pPr>
    </w:p>
    <w:p w14:paraId="4ACABE84" w14:textId="77777777" w:rsidR="00C04CAD" w:rsidRDefault="00060E34">
      <w:pPr>
        <w:tabs>
          <w:tab w:val="clear" w:pos="567"/>
        </w:tabs>
        <w:kinsoku w:val="0"/>
        <w:overflowPunct w:val="0"/>
        <w:autoSpaceDE w:val="0"/>
        <w:autoSpaceDN w:val="0"/>
        <w:adjustRightInd w:val="0"/>
        <w:spacing w:line="240" w:lineRule="auto"/>
      </w:pPr>
      <w:r>
        <w:rPr>
          <w:spacing w:val="-1"/>
          <w:u w:val="single"/>
        </w:rPr>
        <w:t>A</w:t>
      </w:r>
      <w:r>
        <w:rPr>
          <w:u w:val="single"/>
        </w:rPr>
        <w:t>du</w:t>
      </w:r>
      <w:r>
        <w:rPr>
          <w:spacing w:val="1"/>
          <w:u w:val="single"/>
        </w:rPr>
        <w:t>l</w:t>
      </w:r>
      <w:r>
        <w:rPr>
          <w:spacing w:val="-2"/>
          <w:u w:val="single"/>
        </w:rPr>
        <w:t>ţ</w:t>
      </w:r>
      <w:r>
        <w:rPr>
          <w:u w:val="single"/>
        </w:rPr>
        <w:t>i cu pso</w:t>
      </w:r>
      <w:r>
        <w:rPr>
          <w:spacing w:val="-2"/>
          <w:u w:val="single"/>
        </w:rPr>
        <w:t>r</w:t>
      </w:r>
      <w:r>
        <w:rPr>
          <w:spacing w:val="1"/>
          <w:u w:val="single"/>
        </w:rPr>
        <w:t>i</w:t>
      </w:r>
      <w:r>
        <w:rPr>
          <w:u w:val="single"/>
        </w:rPr>
        <w:t>a</w:t>
      </w:r>
      <w:r>
        <w:rPr>
          <w:spacing w:val="-2"/>
          <w:u w:val="single"/>
        </w:rPr>
        <w:t>z</w:t>
      </w:r>
      <w:r>
        <w:rPr>
          <w:spacing w:val="1"/>
          <w:u w:val="single"/>
        </w:rPr>
        <w:t>i</w:t>
      </w:r>
      <w:r>
        <w:rPr>
          <w:u w:val="single"/>
        </w:rPr>
        <w:t>s</w:t>
      </w:r>
      <w:r>
        <w:rPr>
          <w:spacing w:val="1"/>
          <w:u w:val="single"/>
        </w:rPr>
        <w:t xml:space="preserve"> î</w:t>
      </w:r>
      <w:r>
        <w:rPr>
          <w:u w:val="single"/>
        </w:rPr>
        <w:t>n p</w:t>
      </w:r>
      <w:r>
        <w:rPr>
          <w:spacing w:val="-2"/>
          <w:u w:val="single"/>
        </w:rPr>
        <w:t>l</w:t>
      </w:r>
      <w:r>
        <w:rPr>
          <w:u w:val="single"/>
        </w:rPr>
        <w:t xml:space="preserve">ăci </w:t>
      </w:r>
    </w:p>
    <w:p w14:paraId="5EFB9D73" w14:textId="77777777" w:rsidR="00C04CAD" w:rsidRDefault="00C04CAD">
      <w:pPr>
        <w:tabs>
          <w:tab w:val="clear" w:pos="567"/>
        </w:tabs>
        <w:kinsoku w:val="0"/>
        <w:overflowPunct w:val="0"/>
        <w:autoSpaceDE w:val="0"/>
        <w:autoSpaceDN w:val="0"/>
        <w:adjustRightInd w:val="0"/>
        <w:spacing w:line="240" w:lineRule="auto"/>
      </w:pPr>
    </w:p>
    <w:p w14:paraId="75D43A43" w14:textId="77777777" w:rsidR="00C04CAD" w:rsidRDefault="00060E34">
      <w:pPr>
        <w:tabs>
          <w:tab w:val="clear" w:pos="567"/>
        </w:tabs>
        <w:kinsoku w:val="0"/>
        <w:overflowPunct w:val="0"/>
        <w:autoSpaceDE w:val="0"/>
        <w:autoSpaceDN w:val="0"/>
        <w:adjustRightInd w:val="0"/>
        <w:spacing w:line="240" w:lineRule="auto"/>
      </w:pPr>
      <w:r>
        <w:rPr>
          <w:spacing w:val="-1"/>
        </w:rPr>
        <w:t>L</w:t>
      </w:r>
      <w:r>
        <w:t>a ad</w:t>
      </w:r>
      <w:r>
        <w:rPr>
          <w:spacing w:val="-3"/>
        </w:rPr>
        <w:t>u</w:t>
      </w:r>
      <w:r>
        <w:t>l</w:t>
      </w:r>
      <w:r>
        <w:rPr>
          <w:spacing w:val="-2"/>
        </w:rPr>
        <w:t>ţ</w:t>
      </w:r>
      <w:r>
        <w:t>i</w:t>
      </w:r>
      <w:r>
        <w:rPr>
          <w:spacing w:val="1"/>
        </w:rPr>
        <w:t xml:space="preserve"> </w:t>
      </w:r>
      <w:r>
        <w:t>do</w:t>
      </w:r>
      <w:r>
        <w:rPr>
          <w:spacing w:val="-3"/>
        </w:rPr>
        <w:t>z</w:t>
      </w:r>
      <w:r>
        <w:t xml:space="preserve">a </w:t>
      </w:r>
      <w:r>
        <w:rPr>
          <w:spacing w:val="-2"/>
        </w:rPr>
        <w:t>r</w:t>
      </w:r>
      <w:r>
        <w:t>eco</w:t>
      </w:r>
      <w:r>
        <w:rPr>
          <w:spacing w:val="-4"/>
        </w:rPr>
        <w:t>m</w:t>
      </w:r>
      <w:r>
        <w:t>anda</w:t>
      </w:r>
      <w:r>
        <w:rPr>
          <w:spacing w:val="1"/>
        </w:rPr>
        <w:t>t</w:t>
      </w:r>
      <w:r>
        <w:t>ă</w:t>
      </w:r>
      <w:r>
        <w:rPr>
          <w:spacing w:val="-2"/>
        </w:rPr>
        <w:t xml:space="preserve"> </w:t>
      </w:r>
      <w:r>
        <w:t>pen</w:t>
      </w:r>
      <w:r>
        <w:rPr>
          <w:spacing w:val="-2"/>
        </w:rPr>
        <w:t>t</w:t>
      </w:r>
      <w:r>
        <w:t xml:space="preserve">ru </w:t>
      </w:r>
      <w:r>
        <w:rPr>
          <w:spacing w:val="-2"/>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ps</w:t>
      </w:r>
      <w:r>
        <w:rPr>
          <w:spacing w:val="-3"/>
        </w:rPr>
        <w:t>o</w:t>
      </w:r>
      <w:r>
        <w:t>r</w:t>
      </w:r>
      <w:r>
        <w:rPr>
          <w:spacing w:val="-2"/>
        </w:rPr>
        <w:t>i</w:t>
      </w:r>
      <w:r>
        <w:t>a</w:t>
      </w:r>
      <w:r>
        <w:rPr>
          <w:spacing w:val="-3"/>
        </w:rPr>
        <w:t>z</w:t>
      </w:r>
      <w:r>
        <w:rPr>
          <w:spacing w:val="1"/>
        </w:rPr>
        <w:t>i</w:t>
      </w:r>
      <w:r>
        <w:t>su</w:t>
      </w:r>
      <w:r>
        <w:rPr>
          <w:spacing w:val="1"/>
        </w:rPr>
        <w:t>l</w:t>
      </w:r>
      <w:r>
        <w:rPr>
          <w:spacing w:val="-3"/>
        </w:rPr>
        <w:t>u</w:t>
      </w:r>
      <w:r>
        <w:t xml:space="preserve">i </w:t>
      </w:r>
      <w:r>
        <w:rPr>
          <w:spacing w:val="1"/>
        </w:rPr>
        <w:t>î</w:t>
      </w:r>
      <w:r>
        <w:t>n p</w:t>
      </w:r>
      <w:r>
        <w:rPr>
          <w:spacing w:val="-2"/>
        </w:rPr>
        <w:t>l</w:t>
      </w:r>
      <w:r>
        <w:t xml:space="preserve">ăci, </w:t>
      </w:r>
      <w:r>
        <w:rPr>
          <w:spacing w:val="-3"/>
        </w:rPr>
        <w:t>e</w:t>
      </w:r>
      <w:r>
        <w:t>s</w:t>
      </w:r>
      <w:r>
        <w:rPr>
          <w:spacing w:val="1"/>
        </w:rPr>
        <w:t>t</w:t>
      </w:r>
      <w:r>
        <w:t>e</w:t>
      </w:r>
      <w:r>
        <w:rPr>
          <w:spacing w:val="-2"/>
        </w:rPr>
        <w:t xml:space="preserve"> </w:t>
      </w:r>
      <w:r>
        <w:t>o do</w:t>
      </w:r>
      <w:r>
        <w:rPr>
          <w:spacing w:val="-3"/>
        </w:rPr>
        <w:t>z</w:t>
      </w:r>
      <w:r>
        <w:t xml:space="preserve">ă </w:t>
      </w:r>
      <w:r>
        <w:rPr>
          <w:spacing w:val="1"/>
        </w:rPr>
        <w:t>i</w:t>
      </w:r>
      <w:r>
        <w:rPr>
          <w:spacing w:val="-3"/>
        </w:rPr>
        <w:t>n</w:t>
      </w:r>
      <w:r>
        <w:rPr>
          <w:spacing w:val="1"/>
        </w:rPr>
        <w:t>i</w:t>
      </w:r>
      <w:r>
        <w:rPr>
          <w:spacing w:val="-2"/>
        </w:rPr>
        <w:t>ţ</w:t>
      </w:r>
      <w:r>
        <w:rPr>
          <w:spacing w:val="1"/>
        </w:rPr>
        <w:t>i</w:t>
      </w:r>
      <w:r>
        <w:rPr>
          <w:spacing w:val="-3"/>
        </w:rPr>
        <w:t>a</w:t>
      </w:r>
      <w:r>
        <w:rPr>
          <w:spacing w:val="1"/>
        </w:rPr>
        <w:t>l</w:t>
      </w:r>
      <w:r>
        <w:t xml:space="preserve">ă </w:t>
      </w:r>
      <w:r>
        <w:rPr>
          <w:spacing w:val="-3"/>
        </w:rPr>
        <w:t>d</w:t>
      </w:r>
      <w:r>
        <w:t>e</w:t>
      </w:r>
      <w:r>
        <w:rPr>
          <w:spacing w:val="-2"/>
        </w:rPr>
        <w:t xml:space="preserve"> </w:t>
      </w:r>
      <w:r>
        <w:t>80 </w:t>
      </w:r>
      <w:r>
        <w:rPr>
          <w:spacing w:val="-2"/>
        </w:rPr>
        <w:t>m</w:t>
      </w:r>
      <w:r>
        <w:t>g (</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rPr>
          <w:spacing w:val="-3"/>
        </w:rPr>
        <w:t xml:space="preserve"> </w:t>
      </w:r>
      <w:r>
        <w:t>ur</w:t>
      </w:r>
      <w:r>
        <w:rPr>
          <w:spacing w:val="-4"/>
        </w:rPr>
        <w:t>m</w:t>
      </w:r>
      <w:r>
        <w:t>a</w:t>
      </w:r>
      <w:r>
        <w:rPr>
          <w:spacing w:val="1"/>
        </w:rPr>
        <w:t>t</w:t>
      </w:r>
      <w:r>
        <w:t xml:space="preserve">ă, după o </w:t>
      </w:r>
      <w:r>
        <w:rPr>
          <w:spacing w:val="-2"/>
        </w:rPr>
        <w:t>s</w:t>
      </w:r>
      <w:r>
        <w:t>ăp</w:t>
      </w:r>
      <w:r>
        <w:rPr>
          <w:spacing w:val="-2"/>
        </w:rPr>
        <w:t>t</w:t>
      </w:r>
      <w:r>
        <w:t>ă</w:t>
      </w:r>
      <w:r>
        <w:rPr>
          <w:spacing w:val="-4"/>
        </w:rPr>
        <w:t>m</w:t>
      </w:r>
      <w:r>
        <w:t xml:space="preserve">ână, de o </w:t>
      </w:r>
      <w:r>
        <w:rPr>
          <w:spacing w:val="-3"/>
        </w:rPr>
        <w:t>d</w:t>
      </w:r>
      <w:r>
        <w:t>o</w:t>
      </w:r>
      <w:r>
        <w:rPr>
          <w:spacing w:val="-3"/>
        </w:rPr>
        <w:t>z</w:t>
      </w:r>
      <w:r>
        <w:t>ă de 40 </w:t>
      </w:r>
      <w:r>
        <w:rPr>
          <w:spacing w:val="-4"/>
        </w:rPr>
        <w:t>m</w:t>
      </w:r>
      <w:r>
        <w:t>g</w:t>
      </w:r>
      <w:r>
        <w:rPr>
          <w:spacing w:val="-3"/>
        </w:rPr>
        <w:t xml:space="preserve"> </w:t>
      </w:r>
      <w:r>
        <w:t>a</w:t>
      </w:r>
      <w:r>
        <w:rPr>
          <w:spacing w:val="2"/>
        </w:rPr>
        <w:t>d</w:t>
      </w:r>
      <w:r>
        <w:rPr>
          <w:spacing w:val="-4"/>
        </w:rPr>
        <w:t>m</w:t>
      </w:r>
      <w:r>
        <w:rPr>
          <w:spacing w:val="1"/>
        </w:rPr>
        <w:t>i</w:t>
      </w:r>
      <w:r>
        <w:t>n</w:t>
      </w:r>
      <w:r>
        <w:rPr>
          <w:spacing w:val="1"/>
        </w:rPr>
        <w:t>i</w:t>
      </w:r>
      <w:r>
        <w:rPr>
          <w:spacing w:val="-2"/>
        </w:rPr>
        <w:t>s</w:t>
      </w:r>
      <w:r>
        <w:rPr>
          <w:spacing w:val="1"/>
        </w:rPr>
        <w:t>t</w:t>
      </w:r>
      <w:r>
        <w:t>r</w:t>
      </w:r>
      <w:r>
        <w:rPr>
          <w:spacing w:val="-3"/>
        </w:rPr>
        <w:t>a</w:t>
      </w:r>
      <w:r>
        <w:rPr>
          <w:spacing w:val="1"/>
        </w:rPr>
        <w:t>t</w:t>
      </w:r>
      <w:r>
        <w:t>ă o</w:t>
      </w:r>
      <w:r>
        <w:rPr>
          <w:spacing w:val="-3"/>
        </w:rPr>
        <w:t xml:space="preserve"> d</w:t>
      </w:r>
      <w:r>
        <w:t>a</w:t>
      </w:r>
      <w:r>
        <w:rPr>
          <w:spacing w:val="1"/>
        </w:rPr>
        <w:t>t</w:t>
      </w:r>
      <w:r>
        <w:t>ă</w:t>
      </w:r>
      <w:r>
        <w:rPr>
          <w:spacing w:val="-2"/>
        </w:rPr>
        <w:t xml:space="preserve"> </w:t>
      </w:r>
      <w:r>
        <w:rPr>
          <w:spacing w:val="1"/>
        </w:rPr>
        <w:t>l</w:t>
      </w:r>
      <w:r>
        <w:t>a d</w:t>
      </w:r>
      <w:r>
        <w:rPr>
          <w:spacing w:val="-3"/>
        </w:rPr>
        <w:t>o</w:t>
      </w:r>
      <w:r>
        <w:t xml:space="preserve">uă </w:t>
      </w:r>
      <w:r>
        <w:rPr>
          <w:spacing w:val="-2"/>
        </w:rPr>
        <w:t>s</w:t>
      </w:r>
      <w:r>
        <w:t>ăp</w:t>
      </w:r>
      <w:r>
        <w:rPr>
          <w:spacing w:val="-2"/>
        </w:rPr>
        <w:t>t</w:t>
      </w:r>
      <w:r>
        <w:t>ă</w:t>
      </w:r>
      <w:r>
        <w:rPr>
          <w:spacing w:val="-4"/>
        </w:rPr>
        <w:t>m</w:t>
      </w:r>
      <w:r>
        <w:t>ân</w:t>
      </w:r>
      <w:r>
        <w:rPr>
          <w:spacing w:val="1"/>
        </w:rPr>
        <w:t>i</w:t>
      </w:r>
      <w:r>
        <w:t>.</w:t>
      </w:r>
      <w:r>
        <w:rPr>
          <w:spacing w:val="-3"/>
        </w:rPr>
        <w:t xml:space="preserve"> </w:t>
      </w:r>
      <w:r>
        <w:rPr>
          <w:spacing w:val="1"/>
        </w:rPr>
        <w:t>T</w:t>
      </w:r>
      <w:r>
        <w:t>re</w:t>
      </w:r>
      <w:r>
        <w:rPr>
          <w:spacing w:val="-3"/>
        </w:rPr>
        <w:t>b</w:t>
      </w:r>
      <w:r>
        <w:t>u</w:t>
      </w:r>
      <w:r>
        <w:rPr>
          <w:spacing w:val="1"/>
        </w:rPr>
        <w:t>i</w:t>
      </w:r>
      <w:r>
        <w:t xml:space="preserve">e </w:t>
      </w:r>
      <w:r>
        <w:rPr>
          <w:spacing w:val="-2"/>
        </w:rPr>
        <w:t>s</w:t>
      </w:r>
      <w:r>
        <w:t>ă co</w:t>
      </w:r>
      <w:r>
        <w:rPr>
          <w:spacing w:val="-3"/>
        </w:rPr>
        <w:t>n</w:t>
      </w:r>
      <w:r>
        <w:rPr>
          <w:spacing w:val="1"/>
        </w:rPr>
        <w:t>t</w:t>
      </w:r>
      <w:r>
        <w:rPr>
          <w:spacing w:val="-2"/>
        </w:rPr>
        <w:t>i</w:t>
      </w:r>
      <w:r>
        <w:t>nu</w:t>
      </w:r>
      <w:r>
        <w:rPr>
          <w:spacing w:val="-3"/>
        </w:rPr>
        <w:t>a</w:t>
      </w:r>
      <w:r>
        <w:rPr>
          <w:spacing w:val="1"/>
        </w:rPr>
        <w:t>ţ</w:t>
      </w:r>
      <w:r>
        <w:t xml:space="preserve">i </w:t>
      </w:r>
      <w:r>
        <w:rPr>
          <w:spacing w:val="1"/>
        </w:rPr>
        <w:t>i</w:t>
      </w:r>
      <w:r>
        <w:rPr>
          <w:spacing w:val="-3"/>
        </w:rPr>
        <w:t>n</w:t>
      </w:r>
      <w:r>
        <w:rPr>
          <w:spacing w:val="1"/>
        </w:rPr>
        <w:t>j</w:t>
      </w:r>
      <w:r>
        <w:t>ec</w:t>
      </w:r>
      <w:r>
        <w:rPr>
          <w:spacing w:val="-2"/>
        </w:rPr>
        <w:t>ţ</w:t>
      </w:r>
      <w:r>
        <w:rPr>
          <w:spacing w:val="1"/>
        </w:rPr>
        <w:t>i</w:t>
      </w:r>
      <w:r>
        <w:rPr>
          <w:spacing w:val="-2"/>
        </w:rPr>
        <w:t>i</w:t>
      </w:r>
      <w:r>
        <w:rPr>
          <w:spacing w:val="1"/>
        </w:rPr>
        <w:t>l</w:t>
      </w:r>
      <w:r>
        <w:t>e</w:t>
      </w:r>
      <w:r>
        <w:rPr>
          <w:spacing w:val="-2"/>
        </w:rPr>
        <w:t xml:space="preserve"> </w:t>
      </w:r>
      <w:r>
        <w:t xml:space="preserve">cu </w:t>
      </w:r>
      <w:r>
        <w:rPr>
          <w:spacing w:val="-1"/>
          <w:szCs w:val="22"/>
          <w:lang w:eastAsia="en-US" w:bidi="ar-SA"/>
        </w:rPr>
        <w:t>AMGEVITA</w:t>
      </w:r>
      <w:r>
        <w:t xml:space="preserve"> </w:t>
      </w:r>
      <w:r>
        <w:rPr>
          <w:spacing w:val="-3"/>
        </w:rPr>
        <w:t>c</w:t>
      </w:r>
      <w:r>
        <w:t>ât</w:t>
      </w:r>
      <w:r>
        <w:rPr>
          <w:spacing w:val="-2"/>
        </w:rPr>
        <w:t xml:space="preserve"> </w:t>
      </w:r>
      <w:r>
        <w:rPr>
          <w:spacing w:val="1"/>
        </w:rPr>
        <w:t>ti</w:t>
      </w:r>
      <w:r>
        <w:rPr>
          <w:spacing w:val="-4"/>
        </w:rPr>
        <w:t>m</w:t>
      </w:r>
      <w:r>
        <w:t xml:space="preserve">p </w:t>
      </w:r>
      <w:r>
        <w:rPr>
          <w:spacing w:val="-3"/>
        </w:rPr>
        <w:t>v</w:t>
      </w:r>
      <w:r>
        <w:t>ă reco</w:t>
      </w:r>
      <w:r>
        <w:rPr>
          <w:spacing w:val="-4"/>
        </w:rPr>
        <w:t>m</w:t>
      </w:r>
      <w:r>
        <w:t xml:space="preserve">andă </w:t>
      </w:r>
      <w:r>
        <w:rPr>
          <w:spacing w:val="-4"/>
        </w:rPr>
        <w:t>m</w:t>
      </w:r>
      <w:r>
        <w:t>ed</w:t>
      </w:r>
      <w:r>
        <w:rPr>
          <w:spacing w:val="1"/>
        </w:rPr>
        <w:t>i</w:t>
      </w:r>
      <w:r>
        <w:t>cul</w:t>
      </w:r>
      <w:r>
        <w:rPr>
          <w:spacing w:val="-2"/>
        </w:rPr>
        <w:t xml:space="preserve"> </w:t>
      </w:r>
      <w:r>
        <w:t>d</w:t>
      </w:r>
      <w:r>
        <w:rPr>
          <w:spacing w:val="-3"/>
        </w:rPr>
        <w:t>u</w:t>
      </w:r>
      <w:r>
        <w:rPr>
          <w:spacing w:val="-4"/>
        </w:rPr>
        <w:t>m</w:t>
      </w:r>
      <w:r>
        <w:t>nea</w:t>
      </w:r>
      <w:r>
        <w:rPr>
          <w:spacing w:val="-3"/>
        </w:rPr>
        <w:t>v</w:t>
      </w:r>
      <w:r>
        <w:t>oas</w:t>
      </w:r>
      <w:r>
        <w:rPr>
          <w:spacing w:val="1"/>
        </w:rPr>
        <w:t>t</w:t>
      </w:r>
      <w:r>
        <w:t>ră.</w:t>
      </w:r>
      <w:r>
        <w:rPr>
          <w:spacing w:val="-1"/>
        </w:rPr>
        <w:t xml:space="preserve"> </w:t>
      </w:r>
      <w:r>
        <w:rPr>
          <w:spacing w:val="-4"/>
        </w:rPr>
        <w:t>Î</w:t>
      </w:r>
      <w:r>
        <w:t>n func</w:t>
      </w:r>
      <w:r>
        <w:rPr>
          <w:spacing w:val="-2"/>
        </w:rPr>
        <w:t>ţ</w:t>
      </w:r>
      <w:r>
        <w:rPr>
          <w:spacing w:val="1"/>
        </w:rPr>
        <w:t>i</w:t>
      </w:r>
      <w:r>
        <w:t xml:space="preserve">e </w:t>
      </w:r>
      <w:r>
        <w:rPr>
          <w:spacing w:val="-3"/>
        </w:rPr>
        <w:t>d</w:t>
      </w:r>
      <w:r>
        <w:t>e</w:t>
      </w:r>
      <w:r>
        <w:rPr>
          <w:spacing w:val="-2"/>
        </w:rPr>
        <w:t xml:space="preserve"> </w:t>
      </w:r>
      <w:r>
        <w:t>răsp</w:t>
      </w:r>
      <w:r>
        <w:rPr>
          <w:spacing w:val="-3"/>
        </w:rPr>
        <w:t>u</w:t>
      </w:r>
      <w:r>
        <w:t>ns</w:t>
      </w:r>
      <w:r>
        <w:rPr>
          <w:spacing w:val="-3"/>
        </w:rPr>
        <w:t>u</w:t>
      </w:r>
      <w:r>
        <w:t>l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du</w:t>
      </w:r>
      <w:r>
        <w:rPr>
          <w:spacing w:val="-4"/>
        </w:rPr>
        <w:t>m</w:t>
      </w:r>
      <w:r>
        <w:t>nea</w:t>
      </w:r>
      <w:r>
        <w:rPr>
          <w:spacing w:val="-3"/>
        </w:rPr>
        <w:t>v</w:t>
      </w:r>
      <w:r>
        <w:t>oas</w:t>
      </w:r>
      <w:r>
        <w:rPr>
          <w:spacing w:val="-2"/>
        </w:rPr>
        <w:t>t</w:t>
      </w:r>
      <w:r>
        <w:t xml:space="preserve">ră </w:t>
      </w:r>
      <w:r>
        <w:rPr>
          <w:spacing w:val="-3"/>
        </w:rPr>
        <w:t>p</w:t>
      </w:r>
      <w:r>
        <w:t>oa</w:t>
      </w:r>
      <w:r>
        <w:rPr>
          <w:spacing w:val="1"/>
        </w:rPr>
        <w:t>t</w:t>
      </w:r>
      <w:r>
        <w:t>e</w:t>
      </w:r>
      <w:r>
        <w:rPr>
          <w:spacing w:val="-2"/>
        </w:rPr>
        <w:t xml:space="preserve"> </w:t>
      </w:r>
      <w:r>
        <w:t xml:space="preserve">să </w:t>
      </w:r>
      <w:r>
        <w:rPr>
          <w:spacing w:val="-3"/>
        </w:rPr>
        <w:t>c</w:t>
      </w:r>
      <w:r>
        <w:t>r</w:t>
      </w:r>
      <w:r>
        <w:rPr>
          <w:spacing w:val="-3"/>
        </w:rPr>
        <w:t>e</w:t>
      </w:r>
      <w:r>
        <w:t>ască</w:t>
      </w:r>
      <w:r>
        <w:rPr>
          <w:spacing w:val="-2"/>
        </w:rPr>
        <w:t xml:space="preserve"> </w:t>
      </w:r>
      <w:r>
        <w:t>d</w:t>
      </w:r>
      <w:r>
        <w:rPr>
          <w:spacing w:val="-3"/>
        </w:rPr>
        <w:t>oza</w:t>
      </w:r>
      <w:r>
        <w:rPr>
          <w:spacing w:val="1"/>
        </w:rPr>
        <w:t xml:space="preserve"> l</w:t>
      </w:r>
      <w:r>
        <w:t>a 40</w:t>
      </w:r>
      <w:r>
        <w:rPr>
          <w:spacing w:val="-3"/>
        </w:rPr>
        <w:t> </w:t>
      </w:r>
      <w:r>
        <w:rPr>
          <w:spacing w:val="-2"/>
        </w:rPr>
        <w:t>m</w:t>
      </w:r>
      <w:r>
        <w:t>g săp</w:t>
      </w:r>
      <w:r>
        <w:rPr>
          <w:spacing w:val="-2"/>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69CC1559" w14:textId="77777777" w:rsidR="00C04CAD" w:rsidRDefault="00C04CAD">
      <w:pPr>
        <w:tabs>
          <w:tab w:val="clear" w:pos="567"/>
        </w:tabs>
        <w:kinsoku w:val="0"/>
        <w:overflowPunct w:val="0"/>
        <w:autoSpaceDE w:val="0"/>
        <w:autoSpaceDN w:val="0"/>
        <w:adjustRightInd w:val="0"/>
        <w:spacing w:line="240" w:lineRule="auto"/>
      </w:pPr>
    </w:p>
    <w:p w14:paraId="555BDEA8"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C</w:t>
      </w:r>
      <w:r>
        <w:rPr>
          <w:u w:val="single"/>
        </w:rPr>
        <w:t>op</w:t>
      </w:r>
      <w:r>
        <w:rPr>
          <w:spacing w:val="1"/>
          <w:u w:val="single"/>
        </w:rPr>
        <w:t>i</w:t>
      </w:r>
      <w:r>
        <w:rPr>
          <w:u w:val="single"/>
        </w:rPr>
        <w:t>i</w:t>
      </w:r>
      <w:r>
        <w:rPr>
          <w:spacing w:val="-2"/>
          <w:u w:val="single"/>
        </w:rPr>
        <w:t xml:space="preserve"> </w:t>
      </w:r>
      <w:r>
        <w:rPr>
          <w:u w:val="single"/>
        </w:rPr>
        <w:t>și</w:t>
      </w:r>
      <w:r>
        <w:rPr>
          <w:spacing w:val="-3"/>
          <w:u w:val="single"/>
        </w:rPr>
        <w:t xml:space="preserve"> </w:t>
      </w:r>
      <w:r>
        <w:rPr>
          <w:u w:val="single"/>
        </w:rPr>
        <w:t>ado</w:t>
      </w:r>
      <w:r>
        <w:rPr>
          <w:spacing w:val="-2"/>
          <w:u w:val="single"/>
        </w:rPr>
        <w:t>l</w:t>
      </w:r>
      <w:r>
        <w:rPr>
          <w:u w:val="single"/>
        </w:rPr>
        <w:t>es</w:t>
      </w:r>
      <w:r>
        <w:rPr>
          <w:spacing w:val="-3"/>
          <w:u w:val="single"/>
        </w:rPr>
        <w:t>c</w:t>
      </w:r>
      <w:r>
        <w:rPr>
          <w:u w:val="single"/>
        </w:rPr>
        <w:t>en</w:t>
      </w:r>
      <w:r>
        <w:rPr>
          <w:spacing w:val="-2"/>
          <w:u w:val="single"/>
        </w:rPr>
        <w:t>ţ</w:t>
      </w:r>
      <w:r>
        <w:rPr>
          <w:u w:val="single"/>
        </w:rPr>
        <w:t xml:space="preserve">i cu psoriazis </w:t>
      </w:r>
      <w:r>
        <w:rPr>
          <w:spacing w:val="1"/>
          <w:u w:val="single"/>
        </w:rPr>
        <w:t>î</w:t>
      </w:r>
      <w:r>
        <w:rPr>
          <w:u w:val="single"/>
        </w:rPr>
        <w:t>n p</w:t>
      </w:r>
      <w:r>
        <w:rPr>
          <w:spacing w:val="-2"/>
          <w:u w:val="single"/>
        </w:rPr>
        <w:t>l</w:t>
      </w:r>
      <w:r>
        <w:rPr>
          <w:u w:val="single"/>
        </w:rPr>
        <w:t>ăci</w:t>
      </w:r>
    </w:p>
    <w:p w14:paraId="4079BF61" w14:textId="77777777" w:rsidR="00C04CAD" w:rsidRDefault="00C04CAD">
      <w:pPr>
        <w:keepNext/>
        <w:tabs>
          <w:tab w:val="clear" w:pos="567"/>
        </w:tabs>
        <w:kinsoku w:val="0"/>
        <w:overflowPunct w:val="0"/>
        <w:autoSpaceDE w:val="0"/>
        <w:autoSpaceDN w:val="0"/>
        <w:adjustRightInd w:val="0"/>
        <w:spacing w:line="240" w:lineRule="auto"/>
      </w:pPr>
    </w:p>
    <w:p w14:paraId="19AFB8BE" w14:textId="77777777" w:rsidR="00C04CAD" w:rsidRDefault="00060E34">
      <w:pPr>
        <w:keepNext/>
        <w:tabs>
          <w:tab w:val="clear" w:pos="567"/>
        </w:tabs>
        <w:kinsoku w:val="0"/>
        <w:overflowPunct w:val="0"/>
        <w:autoSpaceDE w:val="0"/>
        <w:autoSpaceDN w:val="0"/>
        <w:adjustRightInd w:val="0"/>
        <w:spacing w:line="240" w:lineRule="auto"/>
      </w:pPr>
      <w:r>
        <w:rPr>
          <w:i/>
        </w:rPr>
        <w:t>Copii și adolescenți începând cu vârsta de 4 ani până la vârsta de 17 ani și greutatea de la 15 kg la mai puțin de 30 kg</w:t>
      </w:r>
    </w:p>
    <w:p w14:paraId="054F15F6" w14:textId="77777777" w:rsidR="00C04CAD" w:rsidRDefault="00C04CAD">
      <w:pPr>
        <w:keepNext/>
        <w:tabs>
          <w:tab w:val="clear" w:pos="567"/>
        </w:tabs>
        <w:kinsoku w:val="0"/>
        <w:overflowPunct w:val="0"/>
        <w:autoSpaceDE w:val="0"/>
        <w:autoSpaceDN w:val="0"/>
        <w:adjustRightInd w:val="0"/>
        <w:spacing w:line="240" w:lineRule="auto"/>
      </w:pPr>
    </w:p>
    <w:p w14:paraId="460A360A"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20 mg, urmată de o doză de 20 mg o săptămână mai târziu. Apoi, doza obișnuită este de 20 mg administrată la două săptămâni.</w:t>
      </w:r>
    </w:p>
    <w:p w14:paraId="10C7F5E7" w14:textId="77777777" w:rsidR="00C04CAD" w:rsidRDefault="00C04CAD">
      <w:pPr>
        <w:tabs>
          <w:tab w:val="clear" w:pos="567"/>
        </w:tabs>
        <w:kinsoku w:val="0"/>
        <w:overflowPunct w:val="0"/>
        <w:autoSpaceDE w:val="0"/>
        <w:autoSpaceDN w:val="0"/>
        <w:adjustRightInd w:val="0"/>
        <w:spacing w:line="240" w:lineRule="auto"/>
      </w:pPr>
    </w:p>
    <w:p w14:paraId="62315158" w14:textId="77777777" w:rsidR="00C04CAD" w:rsidRDefault="00060E34">
      <w:pPr>
        <w:tabs>
          <w:tab w:val="clear" w:pos="567"/>
        </w:tabs>
        <w:kinsoku w:val="0"/>
        <w:overflowPunct w:val="0"/>
        <w:autoSpaceDE w:val="0"/>
        <w:autoSpaceDN w:val="0"/>
        <w:adjustRightInd w:val="0"/>
        <w:spacing w:line="240" w:lineRule="auto"/>
      </w:pPr>
      <w:r>
        <w:rPr>
          <w:i/>
        </w:rPr>
        <w:t>Copii și adolescenți începând cu vârsta de 4 ani până la vârsta de 17 ani și greutatea de 30 kg sau mai mult</w:t>
      </w:r>
    </w:p>
    <w:p w14:paraId="190A802D" w14:textId="77777777" w:rsidR="00C04CAD" w:rsidRDefault="00C04CAD">
      <w:pPr>
        <w:tabs>
          <w:tab w:val="clear" w:pos="567"/>
        </w:tabs>
        <w:kinsoku w:val="0"/>
        <w:overflowPunct w:val="0"/>
        <w:autoSpaceDE w:val="0"/>
        <w:autoSpaceDN w:val="0"/>
        <w:adjustRightInd w:val="0"/>
        <w:spacing w:line="240" w:lineRule="auto"/>
      </w:pPr>
    </w:p>
    <w:p w14:paraId="42E404B5"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40 mg, urmată de o doză de 40 mg o săptămână mai târziu. Apoi, doza obișnuită este de 40 mg administrată la două săptămâni.</w:t>
      </w:r>
    </w:p>
    <w:p w14:paraId="40955CBC" w14:textId="77777777" w:rsidR="00C04CAD" w:rsidRDefault="00C04CAD">
      <w:pPr>
        <w:tabs>
          <w:tab w:val="clear" w:pos="567"/>
        </w:tabs>
        <w:kinsoku w:val="0"/>
        <w:overflowPunct w:val="0"/>
        <w:autoSpaceDE w:val="0"/>
        <w:autoSpaceDN w:val="0"/>
        <w:adjustRightInd w:val="0"/>
        <w:spacing w:line="240" w:lineRule="auto"/>
      </w:pPr>
    </w:p>
    <w:p w14:paraId="3D136EF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hidrosadenită supurativă</w:t>
      </w:r>
    </w:p>
    <w:p w14:paraId="2D95BFD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4ECA1F2" w14:textId="77777777" w:rsidR="00C04CAD" w:rsidRDefault="00060E34">
      <w:pPr>
        <w:tabs>
          <w:tab w:val="clear" w:pos="567"/>
        </w:tabs>
        <w:kinsoku w:val="0"/>
        <w:overflowPunct w:val="0"/>
        <w:autoSpaceDE w:val="0"/>
        <w:autoSpaceDN w:val="0"/>
        <w:adjustRightInd w:val="0"/>
        <w:spacing w:line="240" w:lineRule="auto"/>
      </w:pPr>
      <w:r>
        <w:rPr>
          <w:spacing w:val="-2"/>
        </w:rPr>
        <w:t>D</w:t>
      </w:r>
      <w:r>
        <w:t>o</w:t>
      </w:r>
      <w:r>
        <w:rPr>
          <w:spacing w:val="-3"/>
        </w:rPr>
        <w:t>z</w:t>
      </w:r>
      <w:r>
        <w:t>a ob</w:t>
      </w:r>
      <w:r>
        <w:rPr>
          <w:spacing w:val="1"/>
        </w:rPr>
        <w:t>i</w:t>
      </w:r>
      <w:r>
        <w:t>șn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h</w:t>
      </w:r>
      <w:r>
        <w:rPr>
          <w:spacing w:val="1"/>
        </w:rPr>
        <w:t>i</w:t>
      </w:r>
      <w:r>
        <w:rPr>
          <w:spacing w:val="-3"/>
        </w:rPr>
        <w:t>d</w:t>
      </w:r>
      <w:r>
        <w:rPr>
          <w:spacing w:val="-2"/>
        </w:rPr>
        <w:t>r</w:t>
      </w:r>
      <w:r>
        <w:t>osade</w:t>
      </w:r>
      <w:r>
        <w:rPr>
          <w:spacing w:val="-3"/>
        </w:rPr>
        <w:t>n</w:t>
      </w:r>
      <w:r>
        <w:rPr>
          <w:spacing w:val="1"/>
        </w:rPr>
        <w:t>i</w:t>
      </w:r>
      <w:r>
        <w:rPr>
          <w:spacing w:val="-2"/>
        </w:rPr>
        <w:t>t</w:t>
      </w:r>
      <w:r>
        <w:t>a s</w:t>
      </w:r>
      <w:r>
        <w:rPr>
          <w:spacing w:val="-3"/>
        </w:rPr>
        <w:t>u</w:t>
      </w:r>
      <w:r>
        <w:t>pur</w:t>
      </w:r>
      <w:r>
        <w:rPr>
          <w:spacing w:val="-3"/>
        </w:rPr>
        <w:t>a</w:t>
      </w:r>
      <w:r>
        <w:rPr>
          <w:spacing w:val="-2"/>
        </w:rPr>
        <w:t>t</w:t>
      </w:r>
      <w:r>
        <w:rPr>
          <w:spacing w:val="1"/>
        </w:rPr>
        <w:t>i</w:t>
      </w:r>
      <w:r>
        <w:rPr>
          <w:spacing w:val="-3"/>
        </w:rPr>
        <w:t>v</w:t>
      </w:r>
      <w:r>
        <w:t>ă es</w:t>
      </w:r>
      <w:r>
        <w:rPr>
          <w:spacing w:val="-2"/>
        </w:rPr>
        <w:t>t</w:t>
      </w:r>
      <w:r>
        <w:t>e o</w:t>
      </w:r>
      <w:r>
        <w:rPr>
          <w:spacing w:val="-3"/>
        </w:rPr>
        <w:t xml:space="preserve"> </w:t>
      </w:r>
      <w:r>
        <w:t>do</w:t>
      </w:r>
      <w:r>
        <w:rPr>
          <w:spacing w:val="-3"/>
        </w:rPr>
        <w:t>z</w:t>
      </w:r>
      <w:r>
        <w:t xml:space="preserve">ă </w:t>
      </w:r>
      <w:r>
        <w:rPr>
          <w:spacing w:val="1"/>
        </w:rPr>
        <w:t>i</w:t>
      </w:r>
      <w:r>
        <w:t>n</w:t>
      </w:r>
      <w:r>
        <w:rPr>
          <w:spacing w:val="-2"/>
        </w:rPr>
        <w:t>i</w:t>
      </w:r>
      <w:r>
        <w:rPr>
          <w:spacing w:val="1"/>
        </w:rPr>
        <w:t>ț</w:t>
      </w:r>
      <w:r>
        <w:rPr>
          <w:spacing w:val="-2"/>
        </w:rPr>
        <w:t>i</w:t>
      </w:r>
      <w:r>
        <w:t>a</w:t>
      </w:r>
      <w:r>
        <w:rPr>
          <w:spacing w:val="1"/>
        </w:rPr>
        <w:t>l</w:t>
      </w:r>
      <w:r>
        <w:t>ă</w:t>
      </w:r>
      <w:r>
        <w:rPr>
          <w:spacing w:val="-2"/>
        </w:rPr>
        <w:t xml:space="preserve"> </w:t>
      </w:r>
      <w:r>
        <w:t>de 1</w:t>
      </w:r>
      <w:r>
        <w:rPr>
          <w:spacing w:val="-3"/>
        </w:rPr>
        <w:t>6</w:t>
      </w:r>
      <w:r>
        <w:t>0 </w:t>
      </w:r>
      <w:r>
        <w:rPr>
          <w:spacing w:val="-4"/>
        </w:rPr>
        <w:t>m</w:t>
      </w:r>
      <w:r>
        <w:t>g</w:t>
      </w:r>
      <w:r>
        <w:rPr>
          <w:spacing w:val="-3"/>
        </w:rPr>
        <w:t xml:space="preserve"> </w:t>
      </w:r>
      <w:r>
        <w:t>(sub for</w:t>
      </w:r>
      <w:r>
        <w:rPr>
          <w:spacing w:val="-4"/>
        </w:rPr>
        <w:t>m</w:t>
      </w:r>
      <w:r>
        <w:t xml:space="preserve">ă de </w:t>
      </w:r>
      <w:r>
        <w:rPr>
          <w:szCs w:val="22"/>
          <w:lang w:eastAsia="en-US" w:bidi="ar-SA"/>
        </w:rPr>
        <w:t>patru</w:t>
      </w:r>
      <w:r>
        <w:rPr>
          <w:spacing w:val="-3"/>
        </w:rPr>
        <w:t xml:space="preserve"> </w:t>
      </w:r>
      <w:r>
        <w:rPr>
          <w:spacing w:val="1"/>
        </w:rPr>
        <w:t>i</w:t>
      </w:r>
      <w:r>
        <w:rPr>
          <w:spacing w:val="-3"/>
        </w:rPr>
        <w:t>n</w:t>
      </w:r>
      <w:r>
        <w:rPr>
          <w:spacing w:val="1"/>
        </w:rPr>
        <w:t>j</w:t>
      </w:r>
      <w:r>
        <w:t>e</w:t>
      </w:r>
      <w:r>
        <w:rPr>
          <w:spacing w:val="-3"/>
        </w:rPr>
        <w:t>c</w:t>
      </w:r>
      <w:r>
        <w:rPr>
          <w:spacing w:val="1"/>
        </w:rPr>
        <w:t>ț</w:t>
      </w:r>
      <w:r>
        <w:rPr>
          <w:spacing w:val="-2"/>
        </w:rPr>
        <w:t>i</w:t>
      </w:r>
      <w:r>
        <w:t xml:space="preserve">i </w:t>
      </w:r>
      <w:r>
        <w:rPr>
          <w:szCs w:val="22"/>
          <w:lang w:eastAsia="en-US" w:bidi="ar-SA"/>
        </w:rPr>
        <w:t xml:space="preserve">a câte 40 mg </w:t>
      </w:r>
      <w:r>
        <w:rPr>
          <w:spacing w:val="1"/>
        </w:rPr>
        <w:t>î</w:t>
      </w:r>
      <w:r>
        <w:t>n</w:t>
      </w:r>
      <w:r>
        <w:rPr>
          <w:spacing w:val="-2"/>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 xml:space="preserve">i </w:t>
      </w:r>
      <w:r>
        <w:rPr>
          <w:szCs w:val="22"/>
          <w:lang w:eastAsia="en-US" w:bidi="ar-SA"/>
        </w:rPr>
        <w:t>a câte 40 mg</w:t>
      </w:r>
      <w:r>
        <w:rPr>
          <w:spacing w:val="1"/>
          <w:szCs w:val="22"/>
          <w:lang w:eastAsia="en-US" w:bidi="ar-SA"/>
        </w:rPr>
        <w:t xml:space="preserve"> </w:t>
      </w:r>
      <w:r>
        <w:t>pe</w:t>
      </w:r>
      <w:r>
        <w:rPr>
          <w:spacing w:val="-2"/>
        </w:rPr>
        <w:t xml:space="preserve"> </w:t>
      </w:r>
      <w:r>
        <w:rPr>
          <w:spacing w:val="-3"/>
        </w:rPr>
        <w:t>z</w:t>
      </w:r>
      <w:r>
        <w:rPr>
          <w:spacing w:val="1"/>
        </w:rPr>
        <w:t>i</w:t>
      </w:r>
      <w:r>
        <w:t xml:space="preserve">, două </w:t>
      </w:r>
      <w:r>
        <w:rPr>
          <w:spacing w:val="-3"/>
        </w:rPr>
        <w:t>z</w:t>
      </w:r>
      <w:r>
        <w:rPr>
          <w:spacing w:val="1"/>
        </w:rPr>
        <w:t>i</w:t>
      </w:r>
      <w:r>
        <w:rPr>
          <w:spacing w:val="-2"/>
        </w:rPr>
        <w:t>l</w:t>
      </w:r>
      <w:r>
        <w:t>e co</w:t>
      </w:r>
      <w:r>
        <w:rPr>
          <w:spacing w:val="-3"/>
        </w:rPr>
        <w:t>n</w:t>
      </w:r>
      <w:r>
        <w:t>sec</w:t>
      </w:r>
      <w:r>
        <w:rPr>
          <w:spacing w:val="-3"/>
        </w:rPr>
        <w:t>u</w:t>
      </w:r>
      <w:r>
        <w:rPr>
          <w:spacing w:val="-2"/>
        </w:rPr>
        <w:t>t</w:t>
      </w:r>
      <w:r>
        <w:rPr>
          <w:spacing w:val="1"/>
        </w:rPr>
        <w:t>i</w:t>
      </w:r>
      <w:r>
        <w:rPr>
          <w:spacing w:val="-3"/>
        </w:rPr>
        <w:t>v</w:t>
      </w:r>
      <w:r>
        <w:t>e), u</w:t>
      </w:r>
      <w:r>
        <w:rPr>
          <w:spacing w:val="-2"/>
        </w:rPr>
        <w:t>r</w:t>
      </w:r>
      <w:r>
        <w:rPr>
          <w:spacing w:val="-4"/>
        </w:rPr>
        <w:t>m</w:t>
      </w:r>
      <w:r>
        <w:t>a</w:t>
      </w:r>
      <w:r>
        <w:rPr>
          <w:spacing w:val="1"/>
        </w:rPr>
        <w:t>t</w:t>
      </w:r>
      <w:r>
        <w:t>ă de o do</w:t>
      </w:r>
      <w:r>
        <w:rPr>
          <w:spacing w:val="-3"/>
        </w:rPr>
        <w:t>z</w:t>
      </w:r>
      <w:r>
        <w:t xml:space="preserve">ă de </w:t>
      </w:r>
      <w:r>
        <w:rPr>
          <w:spacing w:val="-3"/>
        </w:rPr>
        <w:t>8</w:t>
      </w:r>
      <w:r>
        <w:t>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t>)</w:t>
      </w:r>
      <w:r>
        <w:rPr>
          <w:spacing w:val="1"/>
        </w:rPr>
        <w:t xml:space="preserve"> </w:t>
      </w:r>
      <w:r>
        <w:t>după</w:t>
      </w:r>
      <w:r>
        <w:rPr>
          <w:spacing w:val="-2"/>
        </w:rPr>
        <w:t xml:space="preserve"> </w:t>
      </w:r>
      <w:r>
        <w:t>două</w:t>
      </w:r>
      <w:r>
        <w:rPr>
          <w:spacing w:val="-2"/>
        </w:rPr>
        <w:t xml:space="preserve"> </w:t>
      </w:r>
      <w:r>
        <w:t>s</w:t>
      </w:r>
      <w:r>
        <w:rPr>
          <w:spacing w:val="-3"/>
        </w:rPr>
        <w:t>ă</w:t>
      </w:r>
      <w:r>
        <w:t>p</w:t>
      </w:r>
      <w:r>
        <w:rPr>
          <w:spacing w:val="1"/>
        </w:rPr>
        <w:t>t</w:t>
      </w:r>
      <w:r>
        <w:t>ă</w:t>
      </w:r>
      <w:r>
        <w:rPr>
          <w:spacing w:val="-4"/>
        </w:rPr>
        <w:t>m</w:t>
      </w:r>
      <w:r>
        <w:t>ân</w:t>
      </w:r>
      <w:r>
        <w:rPr>
          <w:spacing w:val="1"/>
        </w:rPr>
        <w:t>i</w:t>
      </w:r>
      <w:r>
        <w:t xml:space="preserve">. </w:t>
      </w:r>
      <w:r>
        <w:rPr>
          <w:spacing w:val="-1"/>
        </w:rPr>
        <w:t>D</w:t>
      </w:r>
      <w:r>
        <w:t>upă</w:t>
      </w:r>
      <w:r>
        <w:rPr>
          <w:spacing w:val="-2"/>
        </w:rPr>
        <w:t xml:space="preserve"> </w:t>
      </w:r>
      <w:r>
        <w:t>a</w:t>
      </w:r>
      <w:r>
        <w:rPr>
          <w:spacing w:val="-2"/>
        </w:rPr>
        <w:t>l</w:t>
      </w:r>
      <w:r>
        <w:rPr>
          <w:spacing w:val="1"/>
        </w:rPr>
        <w:t>t</w:t>
      </w:r>
      <w:r>
        <w:t>e d</w:t>
      </w:r>
      <w:r>
        <w:rPr>
          <w:spacing w:val="-3"/>
        </w:rPr>
        <w:t>o</w:t>
      </w:r>
      <w:r>
        <w:t xml:space="preserve">uă </w:t>
      </w:r>
      <w:r>
        <w:rPr>
          <w:spacing w:val="-2"/>
        </w:rPr>
        <w:t>s</w:t>
      </w:r>
      <w:r>
        <w:rPr>
          <w:spacing w:val="-3"/>
        </w:rPr>
        <w:t>ă</w:t>
      </w:r>
      <w:r>
        <w:t>p</w:t>
      </w:r>
      <w:r>
        <w:rPr>
          <w:spacing w:val="1"/>
        </w:rPr>
        <w:t>t</w:t>
      </w:r>
      <w:r>
        <w:t>ă</w:t>
      </w:r>
      <w:r>
        <w:rPr>
          <w:spacing w:val="-4"/>
        </w:rPr>
        <w:t>m</w:t>
      </w:r>
      <w:r>
        <w:t>ân</w:t>
      </w:r>
      <w:r>
        <w:rPr>
          <w:spacing w:val="1"/>
        </w:rPr>
        <w:t>i</w:t>
      </w:r>
      <w:r>
        <w:t>, se</w:t>
      </w:r>
      <w:r>
        <w:rPr>
          <w:spacing w:val="-2"/>
        </w:rPr>
        <w:t xml:space="preserve"> </w:t>
      </w:r>
      <w:r>
        <w:t>co</w:t>
      </w:r>
      <w:r>
        <w:rPr>
          <w:spacing w:val="-3"/>
        </w:rPr>
        <w:t>n</w:t>
      </w:r>
      <w:r>
        <w:rPr>
          <w:spacing w:val="1"/>
        </w:rPr>
        <w:t>ti</w:t>
      </w:r>
      <w:r>
        <w:rPr>
          <w:spacing w:val="-3"/>
        </w:rPr>
        <w:t>n</w:t>
      </w:r>
      <w:r>
        <w:t>uă cu</w:t>
      </w:r>
      <w:r>
        <w:rPr>
          <w:spacing w:val="-3"/>
        </w:rPr>
        <w:t xml:space="preserve"> </w:t>
      </w:r>
      <w:r>
        <w:t xml:space="preserve">o </w:t>
      </w:r>
      <w:r>
        <w:rPr>
          <w:spacing w:val="-3"/>
        </w:rPr>
        <w:t>d</w:t>
      </w:r>
      <w:r>
        <w:t>o</w:t>
      </w:r>
      <w:r>
        <w:rPr>
          <w:spacing w:val="-3"/>
        </w:rPr>
        <w:t>z</w:t>
      </w:r>
      <w:r>
        <w:t>ă de 40 </w:t>
      </w:r>
      <w:r>
        <w:rPr>
          <w:spacing w:val="-4"/>
        </w:rPr>
        <w:t>m</w:t>
      </w:r>
      <w:r>
        <w:t>g săp</w:t>
      </w:r>
      <w:r>
        <w:rPr>
          <w:spacing w:val="-2"/>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 conform recomandărilor medicului dumneavoastră</w:t>
      </w:r>
      <w:r>
        <w:t xml:space="preserve">. </w:t>
      </w:r>
      <w:r>
        <w:rPr>
          <w:spacing w:val="-1"/>
        </w:rPr>
        <w:t>S</w:t>
      </w:r>
      <w:r>
        <w:t>e</w:t>
      </w:r>
      <w:r>
        <w:rPr>
          <w:spacing w:val="-2"/>
        </w:rPr>
        <w:t xml:space="preserve"> </w:t>
      </w:r>
      <w:r>
        <w:t>reco</w:t>
      </w:r>
      <w:r>
        <w:rPr>
          <w:spacing w:val="-4"/>
        </w:rPr>
        <w:t>m</w:t>
      </w:r>
      <w:r>
        <w:t>andă</w:t>
      </w:r>
      <w:r>
        <w:rPr>
          <w:spacing w:val="-2"/>
        </w:rPr>
        <w:t xml:space="preserve"> </w:t>
      </w:r>
      <w:r>
        <w:t>să s</w:t>
      </w:r>
      <w:r>
        <w:rPr>
          <w:spacing w:val="-3"/>
        </w:rPr>
        <w:t>p</w:t>
      </w:r>
      <w:r>
        <w:t>ă</w:t>
      </w:r>
      <w:r>
        <w:rPr>
          <w:spacing w:val="1"/>
        </w:rPr>
        <w:t>l</w:t>
      </w:r>
      <w:r>
        <w:rPr>
          <w:spacing w:val="-3"/>
        </w:rPr>
        <w:t>a</w:t>
      </w:r>
      <w:r>
        <w:rPr>
          <w:spacing w:val="1"/>
        </w:rPr>
        <w:t>ţ</w:t>
      </w:r>
      <w:r>
        <w:t>i</w:t>
      </w:r>
      <w:r>
        <w:rPr>
          <w:spacing w:val="1"/>
        </w:rPr>
        <w:t xml:space="preserve"> </w:t>
      </w:r>
      <w:r>
        <w:rPr>
          <w:spacing w:val="-3"/>
        </w:rPr>
        <w:t>z</w:t>
      </w:r>
      <w:r>
        <w:rPr>
          <w:spacing w:val="-2"/>
        </w:rPr>
        <w:t>i</w:t>
      </w:r>
      <w:r>
        <w:rPr>
          <w:spacing w:val="1"/>
        </w:rPr>
        <w:t>l</w:t>
      </w:r>
      <w:r>
        <w:rPr>
          <w:spacing w:val="-3"/>
        </w:rPr>
        <w:t>n</w:t>
      </w:r>
      <w:r>
        <w:rPr>
          <w:spacing w:val="1"/>
        </w:rPr>
        <w:t>i</w:t>
      </w:r>
      <w:r>
        <w:t>c cu</w:t>
      </w:r>
      <w:r>
        <w:rPr>
          <w:spacing w:val="-3"/>
        </w:rPr>
        <w:t xml:space="preserve"> </w:t>
      </w:r>
      <w:r>
        <w:t>un a</w:t>
      </w:r>
      <w:r>
        <w:rPr>
          <w:spacing w:val="-3"/>
        </w:rPr>
        <w:t>n</w:t>
      </w:r>
      <w:r>
        <w:rPr>
          <w:spacing w:val="1"/>
        </w:rPr>
        <w:t>t</w:t>
      </w:r>
      <w:r>
        <w:rPr>
          <w:spacing w:val="-2"/>
        </w:rPr>
        <w:t>is</w:t>
      </w:r>
      <w:r>
        <w:t>ep</w:t>
      </w:r>
      <w:r>
        <w:rPr>
          <w:spacing w:val="-2"/>
        </w:rPr>
        <w:t>t</w:t>
      </w:r>
      <w:r>
        <w:rPr>
          <w:spacing w:val="1"/>
        </w:rPr>
        <w:t>i</w:t>
      </w:r>
      <w:r>
        <w:t xml:space="preserve">c </w:t>
      </w:r>
      <w:r>
        <w:rPr>
          <w:spacing w:val="-3"/>
        </w:rPr>
        <w:t>z</w:t>
      </w:r>
      <w:r>
        <w:rPr>
          <w:spacing w:val="-1"/>
        </w:rPr>
        <w:t>o</w:t>
      </w:r>
      <w:r>
        <w:t>ne</w:t>
      </w:r>
      <w:r>
        <w:rPr>
          <w:spacing w:val="-2"/>
        </w:rPr>
        <w:t>l</w:t>
      </w:r>
      <w:r>
        <w:t xml:space="preserve">e </w:t>
      </w:r>
      <w:r>
        <w:rPr>
          <w:spacing w:val="-3"/>
        </w:rPr>
        <w:t>a</w:t>
      </w:r>
      <w:r>
        <w:t>fe</w:t>
      </w:r>
      <w:r>
        <w:rPr>
          <w:spacing w:val="-3"/>
        </w:rPr>
        <w:t>c</w:t>
      </w:r>
      <w:r>
        <w:rPr>
          <w:spacing w:val="1"/>
        </w:rPr>
        <w:t>t</w:t>
      </w:r>
      <w:r>
        <w:rPr>
          <w:spacing w:val="-3"/>
        </w:rPr>
        <w:t>a</w:t>
      </w:r>
      <w:r>
        <w:rPr>
          <w:spacing w:val="1"/>
        </w:rPr>
        <w:t>t</w:t>
      </w:r>
      <w:r>
        <w:t>e.</w:t>
      </w:r>
    </w:p>
    <w:p w14:paraId="650DA5C4" w14:textId="77777777" w:rsidR="00C04CAD" w:rsidRDefault="00C04CAD">
      <w:pPr>
        <w:tabs>
          <w:tab w:val="clear" w:pos="567"/>
        </w:tabs>
        <w:kinsoku w:val="0"/>
        <w:overflowPunct w:val="0"/>
        <w:autoSpaceDE w:val="0"/>
        <w:autoSpaceDN w:val="0"/>
        <w:adjustRightInd w:val="0"/>
        <w:spacing w:line="240" w:lineRule="auto"/>
      </w:pPr>
    </w:p>
    <w:p w14:paraId="579D3CC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 xml:space="preserve">Hidrosadenită supurativă la adolescenți de la vârsta de 12 </w:t>
      </w:r>
      <w:r>
        <w:rPr>
          <w:szCs w:val="22"/>
          <w:u w:val="single"/>
        </w:rPr>
        <w:t xml:space="preserve">până </w:t>
      </w:r>
      <w:r>
        <w:rPr>
          <w:szCs w:val="22"/>
          <w:u w:val="single"/>
          <w:lang w:eastAsia="en-US" w:bidi="ar-SA"/>
        </w:rPr>
        <w:t>la 17 ani cu greutatea de 30 kg sau mai mult</w:t>
      </w:r>
    </w:p>
    <w:p w14:paraId="4631595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E3D172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de AMGEVITA este o doză inițială de 80 mg (sub formă de două injecții a 40 mg într-o zi), urmată, </w:t>
      </w:r>
      <w:r>
        <w:rPr>
          <w:szCs w:val="22"/>
        </w:rPr>
        <w:t>după o săptămână,</w:t>
      </w:r>
      <w:r>
        <w:rPr>
          <w:szCs w:val="22"/>
          <w:lang w:eastAsia="en-US" w:bidi="ar-SA"/>
        </w:rPr>
        <w:t xml:space="preserve"> de </w:t>
      </w:r>
      <w:r>
        <w:rPr>
          <w:szCs w:val="22"/>
        </w:rPr>
        <w:t xml:space="preserve">o doză de </w:t>
      </w:r>
      <w:r>
        <w:rPr>
          <w:szCs w:val="22"/>
          <w:lang w:eastAsia="en-US" w:bidi="ar-SA"/>
        </w:rPr>
        <w:t xml:space="preserve">40 mg la fiecare </w:t>
      </w:r>
      <w:r>
        <w:rPr>
          <w:szCs w:val="22"/>
        </w:rPr>
        <w:t>două</w:t>
      </w:r>
      <w:r>
        <w:rPr>
          <w:szCs w:val="22"/>
          <w:lang w:eastAsia="en-US" w:bidi="ar-SA"/>
        </w:rPr>
        <w:t xml:space="preserve"> săptămâni. Dacă nu </w:t>
      </w:r>
      <w:r>
        <w:rPr>
          <w:szCs w:val="22"/>
        </w:rPr>
        <w:t xml:space="preserve">răspundeți corespunzător </w:t>
      </w:r>
      <w:r>
        <w:rPr>
          <w:szCs w:val="22"/>
          <w:lang w:eastAsia="en-US" w:bidi="ar-SA"/>
        </w:rPr>
        <w:t xml:space="preserve">la AMGEVITA 40 mg la două săptămâni, medicul dumneavoastră poate </w:t>
      </w:r>
      <w:r>
        <w:rPr>
          <w:szCs w:val="22"/>
        </w:rPr>
        <w:t>să crească doza</w:t>
      </w:r>
      <w:r>
        <w:rPr>
          <w:szCs w:val="22"/>
          <w:lang w:eastAsia="en-US" w:bidi="ar-SA"/>
        </w:rPr>
        <w:t xml:space="preserve"> la 40 mg săptămânal sau 80 mg la două săptămâni.</w:t>
      </w:r>
    </w:p>
    <w:p w14:paraId="38AEF88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B80611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Se recomandă să </w:t>
      </w:r>
      <w:r>
        <w:rPr>
          <w:szCs w:val="22"/>
        </w:rPr>
        <w:t>spălaţi zilnic cu un antiseptic zonele afectate</w:t>
      </w:r>
      <w:r>
        <w:rPr>
          <w:szCs w:val="22"/>
          <w:lang w:eastAsia="en-US" w:bidi="ar-SA"/>
        </w:rPr>
        <w:t>.</w:t>
      </w:r>
    </w:p>
    <w:p w14:paraId="77190B89" w14:textId="77777777" w:rsidR="00C04CAD" w:rsidRDefault="00C04CAD">
      <w:pPr>
        <w:tabs>
          <w:tab w:val="clear" w:pos="567"/>
        </w:tabs>
        <w:kinsoku w:val="0"/>
        <w:overflowPunct w:val="0"/>
        <w:autoSpaceDE w:val="0"/>
        <w:autoSpaceDN w:val="0"/>
        <w:adjustRightInd w:val="0"/>
        <w:spacing w:line="240" w:lineRule="auto"/>
      </w:pPr>
    </w:p>
    <w:p w14:paraId="16DC8DB8" w14:textId="77777777" w:rsidR="00C04CAD" w:rsidRDefault="00060E34">
      <w:pPr>
        <w:keepNext/>
        <w:keepLines/>
        <w:tabs>
          <w:tab w:val="clear" w:pos="567"/>
        </w:tabs>
        <w:kinsoku w:val="0"/>
        <w:overflowPunct w:val="0"/>
        <w:autoSpaceDE w:val="0"/>
        <w:autoSpaceDN w:val="0"/>
        <w:adjustRightInd w:val="0"/>
        <w:spacing w:line="240" w:lineRule="auto"/>
      </w:pPr>
      <w:r>
        <w:rPr>
          <w:spacing w:val="-1"/>
          <w:u w:val="single"/>
        </w:rPr>
        <w:t>A</w:t>
      </w:r>
      <w:r>
        <w:rPr>
          <w:u w:val="single"/>
        </w:rPr>
        <w:t>du</w:t>
      </w:r>
      <w:r>
        <w:rPr>
          <w:spacing w:val="1"/>
          <w:u w:val="single"/>
        </w:rPr>
        <w:t>l</w:t>
      </w:r>
      <w:r>
        <w:rPr>
          <w:spacing w:val="-2"/>
          <w:u w:val="single"/>
        </w:rPr>
        <w:t>ţ</w:t>
      </w:r>
      <w:r>
        <w:rPr>
          <w:u w:val="single"/>
        </w:rPr>
        <w:t>i cu bo</w:t>
      </w:r>
      <w:r>
        <w:rPr>
          <w:spacing w:val="-3"/>
          <w:u w:val="single"/>
        </w:rPr>
        <w:t>a</w:t>
      </w:r>
      <w:r>
        <w:rPr>
          <w:spacing w:val="1"/>
          <w:u w:val="single"/>
        </w:rPr>
        <w:t>l</w:t>
      </w:r>
      <w:r>
        <w:rPr>
          <w:u w:val="single"/>
        </w:rPr>
        <w:t xml:space="preserve">ă </w:t>
      </w:r>
      <w:r>
        <w:rPr>
          <w:spacing w:val="-1"/>
          <w:u w:val="single"/>
        </w:rPr>
        <w:t>C</w:t>
      </w:r>
      <w:r>
        <w:rPr>
          <w:u w:val="single"/>
        </w:rPr>
        <w:t>r</w:t>
      </w:r>
      <w:r>
        <w:rPr>
          <w:spacing w:val="-3"/>
          <w:u w:val="single"/>
        </w:rPr>
        <w:t>o</w:t>
      </w:r>
      <w:r>
        <w:rPr>
          <w:u w:val="single"/>
        </w:rPr>
        <w:t>hn</w:t>
      </w:r>
    </w:p>
    <w:p w14:paraId="26358491" w14:textId="77777777" w:rsidR="00C04CAD" w:rsidRDefault="00C04CAD">
      <w:pPr>
        <w:tabs>
          <w:tab w:val="clear" w:pos="567"/>
        </w:tabs>
        <w:kinsoku w:val="0"/>
        <w:overflowPunct w:val="0"/>
        <w:autoSpaceDE w:val="0"/>
        <w:autoSpaceDN w:val="0"/>
        <w:adjustRightInd w:val="0"/>
        <w:spacing w:line="240" w:lineRule="auto"/>
      </w:pPr>
    </w:p>
    <w:p w14:paraId="6E2B7568"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a ob</w:t>
      </w:r>
      <w:r>
        <w:rPr>
          <w:spacing w:val="1"/>
        </w:rPr>
        <w:t>i</w:t>
      </w:r>
      <w:r>
        <w:t>şn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bo</w:t>
      </w:r>
      <w:r>
        <w:rPr>
          <w:spacing w:val="-3"/>
        </w:rPr>
        <w:t>a</w:t>
      </w:r>
      <w:r>
        <w:rPr>
          <w:spacing w:val="-2"/>
        </w:rPr>
        <w:t>l</w:t>
      </w:r>
      <w:r>
        <w:t xml:space="preserve">a </w:t>
      </w:r>
      <w:r>
        <w:rPr>
          <w:spacing w:val="-1"/>
        </w:rPr>
        <w:t>C</w:t>
      </w:r>
      <w:r>
        <w:t>rohn</w:t>
      </w:r>
      <w:r>
        <w:rPr>
          <w:spacing w:val="-3"/>
        </w:rPr>
        <w:t xml:space="preserve"> </w:t>
      </w:r>
      <w:r>
        <w:t>es</w:t>
      </w:r>
      <w:r>
        <w:rPr>
          <w:spacing w:val="-2"/>
        </w:rPr>
        <w:t>t</w:t>
      </w:r>
      <w:r>
        <w:t>e de</w:t>
      </w:r>
      <w:r>
        <w:rPr>
          <w:spacing w:val="-2"/>
        </w:rPr>
        <w:t xml:space="preserve"> </w:t>
      </w:r>
      <w:r>
        <w:t>80 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pacing w:val="1"/>
        </w:rPr>
        <w:t>i</w:t>
      </w:r>
      <w:r>
        <w:t>n</w:t>
      </w:r>
      <w:r>
        <w:rPr>
          <w:spacing w:val="1"/>
        </w:rPr>
        <w:t>iţ</w:t>
      </w:r>
      <w:r>
        <w:rPr>
          <w:spacing w:val="-2"/>
        </w:rPr>
        <w:t>i</w:t>
      </w:r>
      <w:r>
        <w:t xml:space="preserve">al </w:t>
      </w:r>
      <w:r>
        <w:rPr>
          <w:spacing w:val="-3"/>
        </w:rPr>
        <w:t>u</w:t>
      </w:r>
      <w:r>
        <w:t>r</w:t>
      </w:r>
      <w:r>
        <w:rPr>
          <w:spacing w:val="-4"/>
        </w:rPr>
        <w:t>m</w:t>
      </w:r>
      <w:r>
        <w:t>a</w:t>
      </w:r>
      <w:r>
        <w:rPr>
          <w:spacing w:val="1"/>
        </w:rPr>
        <w:t>t</w:t>
      </w:r>
      <w:r>
        <w:t>ă ap</w:t>
      </w:r>
      <w:r>
        <w:rPr>
          <w:spacing w:val="-3"/>
        </w:rPr>
        <w:t>o</w:t>
      </w:r>
      <w:r>
        <w:t>i</w:t>
      </w:r>
      <w:r>
        <w:rPr>
          <w:spacing w:val="1"/>
        </w:rPr>
        <w:t xml:space="preserve"> </w:t>
      </w:r>
      <w:r>
        <w:t>de</w:t>
      </w:r>
      <w:r>
        <w:rPr>
          <w:spacing w:val="-2"/>
        </w:rPr>
        <w:t xml:space="preserve"> </w:t>
      </w:r>
      <w:r>
        <w:t>40 </w:t>
      </w:r>
      <w:r>
        <w:rPr>
          <w:spacing w:val="-4"/>
        </w:rPr>
        <w:t>m</w:t>
      </w:r>
      <w:r>
        <w:t>g</w:t>
      </w:r>
      <w:r>
        <w:rPr>
          <w:spacing w:val="-3"/>
        </w:rPr>
        <w:t xml:space="preserve"> </w:t>
      </w:r>
      <w:r>
        <w:rPr>
          <w:spacing w:val="1"/>
        </w:rPr>
        <w:t>l</w:t>
      </w:r>
      <w:r>
        <w:t xml:space="preserve">a două </w:t>
      </w:r>
      <w:r>
        <w:rPr>
          <w:spacing w:val="-2"/>
        </w:rPr>
        <w:t>s</w:t>
      </w:r>
      <w:r>
        <w:t>ăp</w:t>
      </w:r>
      <w:r>
        <w:rPr>
          <w:spacing w:val="-2"/>
        </w:rPr>
        <w:t>t</w:t>
      </w:r>
      <w:r>
        <w:t>ă</w:t>
      </w:r>
      <w:r>
        <w:rPr>
          <w:spacing w:val="-4"/>
        </w:rPr>
        <w:t>m</w:t>
      </w:r>
      <w:r>
        <w:t xml:space="preserve">âni, două </w:t>
      </w:r>
      <w:r>
        <w:rPr>
          <w:spacing w:val="-2"/>
        </w:rPr>
        <w:t>s</w:t>
      </w:r>
      <w:r>
        <w:t>ăp</w:t>
      </w:r>
      <w:r>
        <w:rPr>
          <w:spacing w:val="-2"/>
        </w:rPr>
        <w:t>t</w:t>
      </w:r>
      <w:r>
        <w:t>ă</w:t>
      </w:r>
      <w:r>
        <w:rPr>
          <w:spacing w:val="-4"/>
        </w:rPr>
        <w:t>m</w:t>
      </w:r>
      <w:r>
        <w:t>âni</w:t>
      </w:r>
      <w:r>
        <w:rPr>
          <w:spacing w:val="1"/>
        </w:rPr>
        <w:t xml:space="preserve"> </w:t>
      </w:r>
      <w:r>
        <w:rPr>
          <w:spacing w:val="-4"/>
        </w:rPr>
        <w:t>m</w:t>
      </w:r>
      <w:r>
        <w:t>ai</w:t>
      </w:r>
      <w:r>
        <w:rPr>
          <w:spacing w:val="1"/>
        </w:rPr>
        <w:t xml:space="preserve"> t</w:t>
      </w:r>
      <w:r>
        <w:t>âr</w:t>
      </w:r>
      <w:r>
        <w:rPr>
          <w:spacing w:val="-3"/>
        </w:rPr>
        <w:t>z</w:t>
      </w:r>
      <w:r>
        <w:rPr>
          <w:spacing w:val="1"/>
        </w:rPr>
        <w:t>i</w:t>
      </w:r>
      <w:r>
        <w:rPr>
          <w:spacing w:val="-1"/>
        </w:rPr>
        <w:t>u</w:t>
      </w:r>
      <w:r>
        <w:t>.</w:t>
      </w:r>
      <w:r>
        <w:rPr>
          <w:spacing w:val="-3"/>
        </w:rPr>
        <w:t xml:space="preserve"> </w:t>
      </w:r>
      <w:r>
        <w:rPr>
          <w:spacing w:val="-1"/>
        </w:rPr>
        <w:t>D</w:t>
      </w:r>
      <w:r>
        <w:t>acă e</w:t>
      </w:r>
      <w:r>
        <w:rPr>
          <w:spacing w:val="-2"/>
        </w:rPr>
        <w:t>s</w:t>
      </w:r>
      <w:r>
        <w:rPr>
          <w:spacing w:val="1"/>
        </w:rPr>
        <w:t>t</w:t>
      </w:r>
      <w:r>
        <w:t>e</w:t>
      </w:r>
      <w:r>
        <w:rPr>
          <w:spacing w:val="-2"/>
        </w:rPr>
        <w:t xml:space="preserve"> </w:t>
      </w:r>
      <w:r>
        <w:t>nec</w:t>
      </w:r>
      <w:r>
        <w:rPr>
          <w:spacing w:val="-3"/>
        </w:rPr>
        <w:t>e</w:t>
      </w:r>
      <w:r>
        <w:t>s</w:t>
      </w:r>
      <w:r>
        <w:rPr>
          <w:spacing w:val="-3"/>
        </w:rPr>
        <w:t>a</w:t>
      </w:r>
      <w:r>
        <w:t>r</w:t>
      </w:r>
      <w:r>
        <w:rPr>
          <w:spacing w:val="1"/>
        </w:rPr>
        <w:t xml:space="preserve"> </w:t>
      </w:r>
      <w:r>
        <w:t>un</w:t>
      </w:r>
      <w:r>
        <w:rPr>
          <w:spacing w:val="-3"/>
        </w:rPr>
        <w:t xml:space="preserve"> </w:t>
      </w:r>
      <w:r>
        <w:t>răsp</w:t>
      </w:r>
      <w:r>
        <w:rPr>
          <w:spacing w:val="-3"/>
        </w:rPr>
        <w:t>u</w:t>
      </w:r>
      <w:r>
        <w:t xml:space="preserve">ns </w:t>
      </w:r>
      <w:r>
        <w:rPr>
          <w:spacing w:val="-4"/>
        </w:rPr>
        <w:t>m</w:t>
      </w:r>
      <w:r>
        <w:t>ai</w:t>
      </w:r>
      <w:r>
        <w:rPr>
          <w:spacing w:val="1"/>
        </w:rPr>
        <w:t xml:space="preserve"> </w:t>
      </w:r>
      <w:r>
        <w:t>ra</w:t>
      </w:r>
      <w:r>
        <w:rPr>
          <w:spacing w:val="-3"/>
        </w:rPr>
        <w:t>p</w:t>
      </w:r>
      <w:r>
        <w:rPr>
          <w:spacing w:val="1"/>
        </w:rPr>
        <w:t>i</w:t>
      </w:r>
      <w:r>
        <w:t xml:space="preserve">d,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ă po</w:t>
      </w:r>
      <w:r>
        <w:rPr>
          <w:spacing w:val="-3"/>
        </w:rPr>
        <w:t>a</w:t>
      </w:r>
      <w:r>
        <w:rPr>
          <w:spacing w:val="1"/>
        </w:rPr>
        <w:t>t</w:t>
      </w:r>
      <w:r>
        <w:t>e pre</w:t>
      </w:r>
      <w:r>
        <w:rPr>
          <w:spacing w:val="-2"/>
        </w:rPr>
        <w:t>s</w:t>
      </w:r>
      <w:r>
        <w:t>c</w:t>
      </w:r>
      <w:r>
        <w:rPr>
          <w:spacing w:val="-2"/>
        </w:rPr>
        <w:t>r</w:t>
      </w:r>
      <w:r>
        <w:rPr>
          <w:spacing w:val="1"/>
        </w:rPr>
        <w:t>i</w:t>
      </w:r>
      <w:r>
        <w:t xml:space="preserve">e o </w:t>
      </w:r>
      <w:r>
        <w:rPr>
          <w:spacing w:val="-3"/>
        </w:rPr>
        <w:t>d</w:t>
      </w:r>
      <w:r>
        <w:t>o</w:t>
      </w:r>
      <w:r>
        <w:rPr>
          <w:spacing w:val="-3"/>
        </w:rPr>
        <w:t>z</w:t>
      </w:r>
      <w:r>
        <w:t xml:space="preserve">ă </w:t>
      </w:r>
      <w:r>
        <w:rPr>
          <w:spacing w:val="1"/>
        </w:rPr>
        <w:t>i</w:t>
      </w:r>
      <w:r>
        <w:t>n</w:t>
      </w:r>
      <w:r>
        <w:rPr>
          <w:spacing w:val="-2"/>
        </w:rPr>
        <w:t>iţ</w:t>
      </w:r>
      <w:r>
        <w:rPr>
          <w:spacing w:val="1"/>
        </w:rPr>
        <w:t>i</w:t>
      </w:r>
      <w:r>
        <w:t>a</w:t>
      </w:r>
      <w:r>
        <w:rPr>
          <w:spacing w:val="-2"/>
        </w:rPr>
        <w:t>l</w:t>
      </w:r>
      <w:r>
        <w:t xml:space="preserve">ă de </w:t>
      </w:r>
      <w:r>
        <w:rPr>
          <w:spacing w:val="-3"/>
        </w:rPr>
        <w:t>1</w:t>
      </w:r>
      <w:r>
        <w:t>60 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patru</w:t>
      </w:r>
      <w:r>
        <w:t xml:space="preserve"> </w:t>
      </w:r>
      <w:r>
        <w:rPr>
          <w:spacing w:val="1"/>
        </w:rPr>
        <w:t>i</w:t>
      </w:r>
      <w:r>
        <w:rPr>
          <w:spacing w:val="-3"/>
        </w:rPr>
        <w:t>n</w:t>
      </w:r>
      <w:r>
        <w:rPr>
          <w:spacing w:val="1"/>
        </w:rPr>
        <w:t>j</w:t>
      </w:r>
      <w:r>
        <w:rPr>
          <w:spacing w:val="-3"/>
        </w:rPr>
        <w:t>e</w:t>
      </w:r>
      <w:r>
        <w:t>c</w:t>
      </w:r>
      <w:r>
        <w:rPr>
          <w:spacing w:val="1"/>
        </w:rPr>
        <w:t>ţ</w:t>
      </w:r>
      <w:r>
        <w:rPr>
          <w:spacing w:val="-2"/>
        </w:rPr>
        <w:t>i</w:t>
      </w:r>
      <w:r>
        <w:t xml:space="preserve">i </w:t>
      </w:r>
      <w:r>
        <w:rPr>
          <w:szCs w:val="22"/>
          <w:lang w:eastAsia="en-US" w:bidi="ar-SA"/>
        </w:rPr>
        <w:t xml:space="preserve">a câte 40 mg </w:t>
      </w:r>
      <w:r>
        <w:rPr>
          <w:spacing w:val="1"/>
        </w:rPr>
        <w:t>î</w:t>
      </w:r>
      <w:r>
        <w:t>n</w:t>
      </w:r>
      <w:r>
        <w:rPr>
          <w:spacing w:val="-2"/>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ţ</w:t>
      </w:r>
      <w:r>
        <w:rPr>
          <w:spacing w:val="-2"/>
        </w:rPr>
        <w:t>i</w:t>
      </w:r>
      <w:r>
        <w:t>i</w:t>
      </w:r>
      <w:r>
        <w:rPr>
          <w:spacing w:val="1"/>
          <w:szCs w:val="22"/>
          <w:lang w:eastAsia="en-US" w:bidi="ar-SA"/>
        </w:rPr>
        <w:t xml:space="preserve"> a câte 40 mg</w:t>
      </w:r>
      <w:r>
        <w:rPr>
          <w:spacing w:val="1"/>
        </w:rPr>
        <w:t xml:space="preserve"> </w:t>
      </w:r>
      <w:r>
        <w:rPr>
          <w:spacing w:val="-3"/>
        </w:rPr>
        <w:t>p</w:t>
      </w:r>
      <w:r>
        <w:t xml:space="preserve">e </w:t>
      </w:r>
      <w:r>
        <w:rPr>
          <w:spacing w:val="-3"/>
        </w:rPr>
        <w:t>z</w:t>
      </w:r>
      <w:r>
        <w:rPr>
          <w:spacing w:val="1"/>
        </w:rPr>
        <w:t>i</w:t>
      </w:r>
      <w:r>
        <w:t xml:space="preserve">, două </w:t>
      </w:r>
      <w:r>
        <w:rPr>
          <w:spacing w:val="-3"/>
        </w:rPr>
        <w:t>z</w:t>
      </w:r>
      <w:r>
        <w:rPr>
          <w:spacing w:val="-2"/>
        </w:rPr>
        <w:t>i</w:t>
      </w:r>
      <w:r>
        <w:rPr>
          <w:spacing w:val="1"/>
        </w:rPr>
        <w:t>l</w:t>
      </w:r>
      <w:r>
        <w:t>e cons</w:t>
      </w:r>
      <w:r>
        <w:rPr>
          <w:spacing w:val="-3"/>
        </w:rPr>
        <w:t>e</w:t>
      </w:r>
      <w:r>
        <w:t>cu</w:t>
      </w:r>
      <w:r>
        <w:rPr>
          <w:spacing w:val="-2"/>
        </w:rPr>
        <w:t>t</w:t>
      </w:r>
      <w:r>
        <w:rPr>
          <w:spacing w:val="1"/>
        </w:rPr>
        <w:t>i</w:t>
      </w:r>
      <w:r>
        <w:rPr>
          <w:spacing w:val="-3"/>
        </w:rPr>
        <w:t>v</w:t>
      </w:r>
      <w:r>
        <w:t>), ur</w:t>
      </w:r>
      <w:r>
        <w:rPr>
          <w:spacing w:val="-4"/>
        </w:rPr>
        <w:t>m</w:t>
      </w:r>
      <w:r>
        <w:t>a</w:t>
      </w:r>
      <w:r>
        <w:rPr>
          <w:spacing w:val="1"/>
        </w:rPr>
        <w:t>t</w:t>
      </w:r>
      <w:r>
        <w:t xml:space="preserve">ă </w:t>
      </w:r>
      <w:r>
        <w:rPr>
          <w:spacing w:val="-3"/>
        </w:rPr>
        <w:t>d</w:t>
      </w:r>
      <w:r>
        <w:t>e 80</w:t>
      </w:r>
      <w:r>
        <w:rPr>
          <w:spacing w:val="-3"/>
        </w:rPr>
        <w:t> </w:t>
      </w:r>
      <w:r>
        <w:rPr>
          <w:spacing w:val="-2"/>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t>două săp</w:t>
      </w:r>
      <w:r>
        <w:rPr>
          <w:spacing w:val="1"/>
        </w:rPr>
        <w:t>t</w:t>
      </w:r>
      <w:r>
        <w:t>ă</w:t>
      </w:r>
      <w:r>
        <w:rPr>
          <w:spacing w:val="-4"/>
        </w:rPr>
        <w:t>m</w:t>
      </w:r>
      <w:r>
        <w:t>âni</w:t>
      </w:r>
      <w:r>
        <w:rPr>
          <w:spacing w:val="1"/>
        </w:rPr>
        <w:t xml:space="preserve"> </w:t>
      </w:r>
      <w:r>
        <w:rPr>
          <w:spacing w:val="-4"/>
        </w:rPr>
        <w:t>m</w:t>
      </w:r>
      <w:r>
        <w:t>ai</w:t>
      </w:r>
      <w:r>
        <w:rPr>
          <w:spacing w:val="1"/>
        </w:rPr>
        <w:t xml:space="preserve"> </w:t>
      </w:r>
      <w:r>
        <w:rPr>
          <w:spacing w:val="-2"/>
        </w:rPr>
        <w:t>t</w:t>
      </w:r>
      <w:r>
        <w:t>â</w:t>
      </w:r>
      <w:r>
        <w:rPr>
          <w:spacing w:val="-2"/>
        </w:rPr>
        <w:t>r</w:t>
      </w:r>
      <w:r>
        <w:rPr>
          <w:spacing w:val="-3"/>
        </w:rPr>
        <w:t>z</w:t>
      </w:r>
      <w:r>
        <w:rPr>
          <w:spacing w:val="1"/>
        </w:rPr>
        <w:t>i</w:t>
      </w:r>
      <w:r>
        <w:t>u şi</w:t>
      </w:r>
      <w:r>
        <w:rPr>
          <w:spacing w:val="1"/>
        </w:rPr>
        <w:t xml:space="preserve"> </w:t>
      </w:r>
      <w:r>
        <w:t>a</w:t>
      </w:r>
      <w:r>
        <w:rPr>
          <w:spacing w:val="-3"/>
        </w:rPr>
        <w:t>p</w:t>
      </w:r>
      <w:r>
        <w:t>oi</w:t>
      </w:r>
      <w:r>
        <w:rPr>
          <w:spacing w:val="1"/>
        </w:rPr>
        <w:t xml:space="preserve"> </w:t>
      </w:r>
      <w:r>
        <w:rPr>
          <w:spacing w:val="-3"/>
        </w:rPr>
        <w:t>4</w:t>
      </w:r>
      <w:r>
        <w:t>0 </w:t>
      </w:r>
      <w:r>
        <w:rPr>
          <w:spacing w:val="-4"/>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w:t>
      </w:r>
      <w:r>
        <w:rPr>
          <w:spacing w:val="1"/>
        </w:rPr>
        <w:t>i</w:t>
      </w:r>
      <w:r>
        <w:t xml:space="preserve">. </w:t>
      </w:r>
      <w:r>
        <w:rPr>
          <w:spacing w:val="-4"/>
        </w:rPr>
        <w:t>Î</w:t>
      </w:r>
      <w:r>
        <w:t>n func</w:t>
      </w:r>
      <w:r>
        <w:rPr>
          <w:spacing w:val="-2"/>
        </w:rPr>
        <w:t>ţ</w:t>
      </w:r>
      <w:r>
        <w:rPr>
          <w:spacing w:val="1"/>
        </w:rPr>
        <w:t>i</w:t>
      </w:r>
      <w:r>
        <w:t>e de r</w:t>
      </w:r>
      <w:r>
        <w:rPr>
          <w:spacing w:val="-3"/>
        </w:rPr>
        <w:t>ă</w:t>
      </w:r>
      <w:r>
        <w:t>spun</w:t>
      </w:r>
      <w:r>
        <w:rPr>
          <w:spacing w:val="-2"/>
        </w:rPr>
        <w:t>s</w:t>
      </w:r>
      <w:r>
        <w:t>ul</w:t>
      </w:r>
      <w:r>
        <w:rPr>
          <w:spacing w:val="1"/>
        </w:rPr>
        <w:t xml:space="preserve"> </w:t>
      </w:r>
      <w:r>
        <w:rPr>
          <w:spacing w:val="-3"/>
        </w:rPr>
        <w:t>d</w:t>
      </w:r>
      <w:r>
        <w:t>u</w:t>
      </w:r>
      <w:r>
        <w:rPr>
          <w:spacing w:val="-4"/>
        </w:rPr>
        <w:t>m</w:t>
      </w:r>
      <w:r>
        <w:t>nea</w:t>
      </w:r>
      <w:r>
        <w:rPr>
          <w:spacing w:val="-3"/>
        </w:rPr>
        <w:t>v</w:t>
      </w:r>
      <w:r>
        <w:t>oas</w:t>
      </w:r>
      <w:r>
        <w:rPr>
          <w:spacing w:val="1"/>
        </w:rPr>
        <w:t>t</w:t>
      </w:r>
      <w:r>
        <w:rPr>
          <w:spacing w:val="-2"/>
        </w:rPr>
        <w:t>r</w:t>
      </w:r>
      <w:r>
        <w:t xml:space="preserve">ă </w:t>
      </w:r>
      <w:r>
        <w:rPr>
          <w:spacing w:val="1"/>
        </w:rPr>
        <w:t>l</w:t>
      </w:r>
      <w:r>
        <w:t>a</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 xml:space="preserve">, </w:t>
      </w:r>
      <w:r>
        <w:rPr>
          <w:spacing w:val="-4"/>
        </w:rPr>
        <w:t>m</w:t>
      </w:r>
      <w:r>
        <w:t>ed</w:t>
      </w:r>
      <w:r>
        <w:rPr>
          <w:spacing w:val="1"/>
        </w:rPr>
        <w:t>i</w:t>
      </w:r>
      <w:r>
        <w:t>c</w:t>
      </w:r>
      <w:r>
        <w:rPr>
          <w:spacing w:val="-3"/>
        </w:rPr>
        <w:t>u</w:t>
      </w:r>
      <w:r>
        <w:t>l</w:t>
      </w:r>
      <w:r>
        <w:rPr>
          <w:spacing w:val="1"/>
        </w:rPr>
        <w:t xml:space="preserve"> </w:t>
      </w:r>
      <w:r>
        <w:t>d</w:t>
      </w:r>
      <w:r>
        <w:rPr>
          <w:spacing w:val="-3"/>
        </w:rPr>
        <w:t>u</w:t>
      </w:r>
      <w:r>
        <w:rPr>
          <w:spacing w:val="-4"/>
        </w:rPr>
        <w:t>m</w:t>
      </w:r>
      <w:r>
        <w:t>nea</w:t>
      </w:r>
      <w:r>
        <w:rPr>
          <w:spacing w:val="-3"/>
        </w:rPr>
        <w:t>v</w:t>
      </w:r>
      <w:r>
        <w:t>oas</w:t>
      </w:r>
      <w:r>
        <w:rPr>
          <w:spacing w:val="1"/>
        </w:rPr>
        <w:t>t</w:t>
      </w:r>
      <w:r>
        <w:t>ră po</w:t>
      </w:r>
      <w:r>
        <w:rPr>
          <w:spacing w:val="-3"/>
        </w:rPr>
        <w:t>a</w:t>
      </w:r>
      <w:r>
        <w:rPr>
          <w:spacing w:val="1"/>
        </w:rPr>
        <w:t>t</w:t>
      </w:r>
      <w:r>
        <w:t>e</w:t>
      </w:r>
      <w:r>
        <w:rPr>
          <w:spacing w:val="-2"/>
        </w:rPr>
        <w:t xml:space="preserve"> </w:t>
      </w:r>
      <w:r>
        <w:t>cr</w:t>
      </w:r>
      <w:r>
        <w:rPr>
          <w:spacing w:val="-3"/>
        </w:rPr>
        <w:t>e</w:t>
      </w:r>
      <w:r>
        <w:t>ş</w:t>
      </w:r>
      <w:r>
        <w:rPr>
          <w:spacing w:val="-2"/>
        </w:rPr>
        <w:t>t</w:t>
      </w:r>
      <w:r>
        <w:t xml:space="preserve">e </w:t>
      </w:r>
      <w:r>
        <w:rPr>
          <w:spacing w:val="-3"/>
        </w:rPr>
        <w:t>d</w:t>
      </w:r>
      <w:r>
        <w:t>o</w:t>
      </w:r>
      <w:r>
        <w:rPr>
          <w:spacing w:val="-2"/>
        </w:rPr>
        <w:t>za</w:t>
      </w:r>
      <w:r>
        <w:rPr>
          <w:spacing w:val="1"/>
        </w:rPr>
        <w:t xml:space="preserve"> </w:t>
      </w:r>
      <w:r>
        <w:rPr>
          <w:spacing w:val="-2"/>
        </w:rPr>
        <w:t xml:space="preserve">la </w:t>
      </w:r>
      <w:r>
        <w:t>40 </w:t>
      </w:r>
      <w:r>
        <w:rPr>
          <w:spacing w:val="-2"/>
        </w:rPr>
        <w:t>m</w:t>
      </w:r>
      <w:r>
        <w:t>g</w:t>
      </w:r>
      <w:r>
        <w:rPr>
          <w:spacing w:val="-3"/>
        </w:rPr>
        <w:t xml:space="preserve"> </w:t>
      </w:r>
      <w:r>
        <w:t>săp</w:t>
      </w:r>
      <w:r>
        <w:rPr>
          <w:spacing w:val="1"/>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1444029B" w14:textId="77777777" w:rsidR="00C04CAD" w:rsidRDefault="00C04CAD">
      <w:pPr>
        <w:tabs>
          <w:tab w:val="clear" w:pos="567"/>
        </w:tabs>
        <w:kinsoku w:val="0"/>
        <w:overflowPunct w:val="0"/>
        <w:autoSpaceDE w:val="0"/>
        <w:autoSpaceDN w:val="0"/>
        <w:adjustRightInd w:val="0"/>
        <w:spacing w:line="240" w:lineRule="auto"/>
      </w:pPr>
    </w:p>
    <w:p w14:paraId="1024B679" w14:textId="77777777" w:rsidR="00C04CAD" w:rsidRDefault="00060E34">
      <w:pPr>
        <w:tabs>
          <w:tab w:val="clear" w:pos="567"/>
        </w:tabs>
        <w:kinsoku w:val="0"/>
        <w:overflowPunct w:val="0"/>
        <w:autoSpaceDE w:val="0"/>
        <w:autoSpaceDN w:val="0"/>
        <w:adjustRightInd w:val="0"/>
        <w:spacing w:line="240" w:lineRule="auto"/>
      </w:pPr>
      <w:r>
        <w:rPr>
          <w:spacing w:val="-1"/>
          <w:u w:val="single"/>
        </w:rPr>
        <w:t>C</w:t>
      </w:r>
      <w:r>
        <w:rPr>
          <w:u w:val="single"/>
        </w:rPr>
        <w:t>op</w:t>
      </w:r>
      <w:r>
        <w:rPr>
          <w:spacing w:val="1"/>
          <w:u w:val="single"/>
        </w:rPr>
        <w:t>i</w:t>
      </w:r>
      <w:r>
        <w:rPr>
          <w:u w:val="single"/>
        </w:rPr>
        <w:t>i și ado</w:t>
      </w:r>
      <w:r>
        <w:rPr>
          <w:spacing w:val="-2"/>
          <w:u w:val="single"/>
        </w:rPr>
        <w:t>l</w:t>
      </w:r>
      <w:r>
        <w:rPr>
          <w:u w:val="single"/>
        </w:rPr>
        <w:t>es</w:t>
      </w:r>
      <w:r>
        <w:rPr>
          <w:spacing w:val="-3"/>
          <w:u w:val="single"/>
        </w:rPr>
        <w:t>c</w:t>
      </w:r>
      <w:r>
        <w:rPr>
          <w:u w:val="single"/>
        </w:rPr>
        <w:t>en</w:t>
      </w:r>
      <w:r>
        <w:rPr>
          <w:spacing w:val="-2"/>
          <w:u w:val="single"/>
        </w:rPr>
        <w:t>ţ</w:t>
      </w:r>
      <w:r>
        <w:rPr>
          <w:u w:val="single"/>
        </w:rPr>
        <w:t>i cu b</w:t>
      </w:r>
      <w:r>
        <w:rPr>
          <w:spacing w:val="-3"/>
          <w:u w:val="single"/>
        </w:rPr>
        <w:t>o</w:t>
      </w:r>
      <w:r>
        <w:rPr>
          <w:u w:val="single"/>
        </w:rPr>
        <w:t>a</w:t>
      </w:r>
      <w:r>
        <w:rPr>
          <w:spacing w:val="1"/>
          <w:u w:val="single"/>
        </w:rPr>
        <w:t>l</w:t>
      </w:r>
      <w:r>
        <w:rPr>
          <w:u w:val="single"/>
        </w:rPr>
        <w:t xml:space="preserve">ă </w:t>
      </w:r>
      <w:r>
        <w:rPr>
          <w:spacing w:val="-4"/>
          <w:u w:val="single"/>
        </w:rPr>
        <w:t>C</w:t>
      </w:r>
      <w:r>
        <w:rPr>
          <w:u w:val="single"/>
        </w:rPr>
        <w:t>rohn</w:t>
      </w:r>
    </w:p>
    <w:p w14:paraId="6B790257" w14:textId="77777777" w:rsidR="00C04CAD" w:rsidRDefault="00C04CAD">
      <w:pPr>
        <w:tabs>
          <w:tab w:val="clear" w:pos="567"/>
        </w:tabs>
        <w:kinsoku w:val="0"/>
        <w:overflowPunct w:val="0"/>
        <w:autoSpaceDE w:val="0"/>
        <w:autoSpaceDN w:val="0"/>
        <w:adjustRightInd w:val="0"/>
        <w:spacing w:line="240" w:lineRule="auto"/>
      </w:pPr>
    </w:p>
    <w:p w14:paraId="1C5BC143" w14:textId="77777777" w:rsidR="00C04CAD" w:rsidRDefault="00060E34">
      <w:pPr>
        <w:tabs>
          <w:tab w:val="clear" w:pos="567"/>
        </w:tabs>
        <w:kinsoku w:val="0"/>
        <w:overflowPunct w:val="0"/>
        <w:autoSpaceDE w:val="0"/>
        <w:autoSpaceDN w:val="0"/>
        <w:adjustRightInd w:val="0"/>
        <w:spacing w:line="240" w:lineRule="auto"/>
        <w:rPr>
          <w:u w:val="single"/>
        </w:rPr>
      </w:pPr>
      <w:r>
        <w:rPr>
          <w:i/>
          <w:spacing w:val="-1"/>
        </w:rPr>
        <w:t>C</w:t>
      </w:r>
      <w:r>
        <w:rPr>
          <w:i/>
        </w:rPr>
        <w:t>op</w:t>
      </w:r>
      <w:r>
        <w:rPr>
          <w:i/>
          <w:spacing w:val="1"/>
        </w:rPr>
        <w:t>i</w:t>
      </w:r>
      <w:r>
        <w:rPr>
          <w:i/>
        </w:rPr>
        <w:t>i și ado</w:t>
      </w:r>
      <w:r>
        <w:rPr>
          <w:i/>
          <w:spacing w:val="-2"/>
        </w:rPr>
        <w:t>l</w:t>
      </w:r>
      <w:r>
        <w:rPr>
          <w:i/>
        </w:rPr>
        <w:t>es</w:t>
      </w:r>
      <w:r>
        <w:rPr>
          <w:i/>
          <w:spacing w:val="-3"/>
        </w:rPr>
        <w:t>c</w:t>
      </w:r>
      <w:r>
        <w:rPr>
          <w:i/>
        </w:rPr>
        <w:t>en</w:t>
      </w:r>
      <w:r>
        <w:rPr>
          <w:i/>
          <w:spacing w:val="-2"/>
        </w:rPr>
        <w:t>ţ</w:t>
      </w:r>
      <w:r>
        <w:rPr>
          <w:i/>
        </w:rPr>
        <w:t xml:space="preserve">i cu vârsta de 6 ani până la vârsta de 17 ani și </w:t>
      </w:r>
      <w:r>
        <w:rPr>
          <w:i/>
          <w:spacing w:val="-3"/>
        </w:rPr>
        <w:t>g</w:t>
      </w:r>
      <w:r>
        <w:rPr>
          <w:i/>
          <w:spacing w:val="-2"/>
        </w:rPr>
        <w:t>r</w:t>
      </w:r>
      <w:r>
        <w:rPr>
          <w:i/>
        </w:rPr>
        <w:t>eu</w:t>
      </w:r>
      <w:r>
        <w:rPr>
          <w:i/>
          <w:spacing w:val="1"/>
        </w:rPr>
        <w:t>t</w:t>
      </w:r>
      <w:r>
        <w:rPr>
          <w:i/>
          <w:spacing w:val="-3"/>
        </w:rPr>
        <w:t>a</w:t>
      </w:r>
      <w:r>
        <w:rPr>
          <w:i/>
          <w:spacing w:val="1"/>
        </w:rPr>
        <w:t>t</w:t>
      </w:r>
      <w:r>
        <w:rPr>
          <w:i/>
        </w:rPr>
        <w:t xml:space="preserve">ea </w:t>
      </w:r>
      <w:r>
        <w:rPr>
          <w:i/>
          <w:spacing w:val="-4"/>
        </w:rPr>
        <w:t>m</w:t>
      </w:r>
      <w:r>
        <w:rPr>
          <w:i/>
        </w:rPr>
        <w:t>ai mică de 40 </w:t>
      </w:r>
      <w:r>
        <w:rPr>
          <w:i/>
          <w:spacing w:val="-3"/>
        </w:rPr>
        <w:t>kg</w:t>
      </w:r>
    </w:p>
    <w:p w14:paraId="0711F259" w14:textId="77777777" w:rsidR="00C04CAD" w:rsidRDefault="00C04CAD">
      <w:pPr>
        <w:tabs>
          <w:tab w:val="clear" w:pos="567"/>
        </w:tabs>
        <w:kinsoku w:val="0"/>
        <w:overflowPunct w:val="0"/>
        <w:autoSpaceDE w:val="0"/>
        <w:autoSpaceDN w:val="0"/>
        <w:adjustRightInd w:val="0"/>
        <w:spacing w:line="240" w:lineRule="auto"/>
      </w:pPr>
    </w:p>
    <w:p w14:paraId="568AECFD"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 xml:space="preserve">a </w:t>
      </w:r>
      <w:r>
        <w:rPr>
          <w:spacing w:val="1"/>
        </w:rPr>
        <w:t>recomandat</w:t>
      </w:r>
      <w:r>
        <w:t>ă e</w:t>
      </w:r>
      <w:r>
        <w:rPr>
          <w:spacing w:val="-2"/>
        </w:rPr>
        <w:t>s</w:t>
      </w:r>
      <w:r>
        <w:rPr>
          <w:spacing w:val="1"/>
        </w:rPr>
        <w:t>t</w:t>
      </w:r>
      <w:r>
        <w:t xml:space="preserve">e </w:t>
      </w:r>
      <w:r>
        <w:rPr>
          <w:spacing w:val="-3"/>
        </w:rPr>
        <w:t>d</w:t>
      </w:r>
      <w:r>
        <w:t>e 40 </w:t>
      </w:r>
      <w:r>
        <w:rPr>
          <w:spacing w:val="-4"/>
        </w:rPr>
        <w:t>m</w:t>
      </w:r>
      <w:r>
        <w:t xml:space="preserve">g </w:t>
      </w:r>
      <w:r>
        <w:rPr>
          <w:spacing w:val="1"/>
        </w:rPr>
        <w:t>i</w:t>
      </w:r>
      <w:r>
        <w:t>n</w:t>
      </w:r>
      <w:r>
        <w:rPr>
          <w:spacing w:val="-2"/>
        </w:rPr>
        <w:t>i</w:t>
      </w:r>
      <w:r>
        <w:rPr>
          <w:spacing w:val="1"/>
        </w:rPr>
        <w:t>ţ</w:t>
      </w:r>
      <w:r>
        <w:rPr>
          <w:spacing w:val="-2"/>
        </w:rPr>
        <w:t>i</w:t>
      </w:r>
      <w:r>
        <w:t>a</w:t>
      </w:r>
      <w:r>
        <w:rPr>
          <w:spacing w:val="1"/>
        </w:rPr>
        <w:t>l</w:t>
      </w:r>
      <w:r>
        <w:t xml:space="preserve">, </w:t>
      </w:r>
      <w:r>
        <w:rPr>
          <w:spacing w:val="-3"/>
        </w:rPr>
        <w:t>u</w:t>
      </w:r>
      <w:r>
        <w:t>r</w:t>
      </w:r>
      <w:r>
        <w:rPr>
          <w:spacing w:val="-4"/>
        </w:rPr>
        <w:t>m</w:t>
      </w:r>
      <w:r>
        <w:t>a</w:t>
      </w:r>
      <w:r>
        <w:rPr>
          <w:spacing w:val="1"/>
        </w:rPr>
        <w:t>t</w:t>
      </w:r>
      <w:r>
        <w:t>ă de</w:t>
      </w:r>
      <w:r>
        <w:rPr>
          <w:spacing w:val="-2"/>
        </w:rPr>
        <w:t xml:space="preserve"> </w:t>
      </w:r>
      <w:r>
        <w:t>20 </w:t>
      </w:r>
      <w:r>
        <w:rPr>
          <w:spacing w:val="-4"/>
        </w:rPr>
        <w:t>m</w:t>
      </w:r>
      <w:r>
        <w:t>g</w:t>
      </w:r>
      <w:r>
        <w:rPr>
          <w:spacing w:val="-3"/>
        </w:rPr>
        <w:t xml:space="preserve"> </w:t>
      </w:r>
      <w:r>
        <w:t>d</w:t>
      </w:r>
      <w:r>
        <w:rPr>
          <w:spacing w:val="2"/>
        </w:rPr>
        <w:t>u</w:t>
      </w:r>
      <w:r>
        <w:t>pă două</w:t>
      </w:r>
      <w:r>
        <w:rPr>
          <w:spacing w:val="-2"/>
        </w:rPr>
        <w:t xml:space="preserve"> </w:t>
      </w:r>
      <w:r>
        <w:t>să</w:t>
      </w:r>
      <w:r>
        <w:rPr>
          <w:spacing w:val="-3"/>
        </w:rPr>
        <w:t>p</w:t>
      </w:r>
      <w:r>
        <w:rPr>
          <w:spacing w:val="1"/>
        </w:rPr>
        <w:t>t</w:t>
      </w:r>
      <w:r>
        <w:t>ă</w:t>
      </w:r>
      <w:r>
        <w:rPr>
          <w:spacing w:val="-4"/>
        </w:rPr>
        <w:t>m</w:t>
      </w:r>
      <w:r>
        <w:t>ân</w:t>
      </w:r>
      <w:r>
        <w:rPr>
          <w:spacing w:val="1"/>
        </w:rPr>
        <w:t>i</w:t>
      </w:r>
      <w:r>
        <w:t xml:space="preserve">. </w:t>
      </w:r>
      <w:r>
        <w:rPr>
          <w:spacing w:val="-1"/>
        </w:rPr>
        <w:t>D</w:t>
      </w:r>
      <w:r>
        <w:t>a</w:t>
      </w:r>
      <w:r>
        <w:rPr>
          <w:spacing w:val="-3"/>
        </w:rPr>
        <w:t>c</w:t>
      </w:r>
      <w:r>
        <w:t>ă e</w:t>
      </w:r>
      <w:r>
        <w:rPr>
          <w:spacing w:val="-2"/>
        </w:rPr>
        <w:t>s</w:t>
      </w:r>
      <w:r>
        <w:rPr>
          <w:spacing w:val="1"/>
        </w:rPr>
        <w:t>t</w:t>
      </w:r>
      <w:r>
        <w:t>e n</w:t>
      </w:r>
      <w:r>
        <w:rPr>
          <w:spacing w:val="-3"/>
        </w:rPr>
        <w:t>e</w:t>
      </w:r>
      <w:r>
        <w:t>ce</w:t>
      </w:r>
      <w:r>
        <w:rPr>
          <w:spacing w:val="-2"/>
        </w:rPr>
        <w:t>s</w:t>
      </w:r>
      <w:r>
        <w:t>ar</w:t>
      </w:r>
      <w:r>
        <w:rPr>
          <w:spacing w:val="1"/>
        </w:rPr>
        <w:t xml:space="preserve"> </w:t>
      </w:r>
      <w:r>
        <w:rPr>
          <w:spacing w:val="-3"/>
        </w:rPr>
        <w:t>u</w:t>
      </w:r>
      <w:r>
        <w:t>n răsp</w:t>
      </w:r>
      <w:r>
        <w:rPr>
          <w:spacing w:val="-3"/>
        </w:rPr>
        <w:t>u</w:t>
      </w:r>
      <w:r>
        <w:t xml:space="preserve">ns </w:t>
      </w:r>
      <w:r>
        <w:rPr>
          <w:spacing w:val="-4"/>
        </w:rPr>
        <w:t>m</w:t>
      </w:r>
      <w:r>
        <w:t>ai</w:t>
      </w:r>
      <w:r>
        <w:rPr>
          <w:spacing w:val="1"/>
        </w:rPr>
        <w:t xml:space="preserve"> </w:t>
      </w:r>
      <w:r>
        <w:t>r</w:t>
      </w:r>
      <w:r>
        <w:rPr>
          <w:spacing w:val="-3"/>
        </w:rPr>
        <w:t>a</w:t>
      </w:r>
      <w:r>
        <w:t>p</w:t>
      </w:r>
      <w:r>
        <w:rPr>
          <w:spacing w:val="1"/>
        </w:rPr>
        <w:t>i</w:t>
      </w:r>
      <w:r>
        <w:t xml:space="preserve">d, </w:t>
      </w:r>
      <w:r>
        <w:rPr>
          <w:spacing w:val="-4"/>
        </w:rPr>
        <w:t>m</w:t>
      </w:r>
      <w:r>
        <w:t>ed</w:t>
      </w:r>
      <w:r>
        <w:rPr>
          <w:spacing w:val="1"/>
        </w:rPr>
        <w:t>i</w:t>
      </w:r>
      <w:r>
        <w:rPr>
          <w:spacing w:val="-3"/>
        </w:rPr>
        <w:t>c</w:t>
      </w:r>
      <w:r>
        <w:t>ul</w:t>
      </w:r>
      <w:r>
        <w:rPr>
          <w:spacing w:val="-2"/>
        </w:rPr>
        <w:t xml:space="preserve"> </w:t>
      </w:r>
      <w:r>
        <w:t>cop</w:t>
      </w:r>
      <w:r>
        <w:rPr>
          <w:spacing w:val="-2"/>
        </w:rPr>
        <w:t>i</w:t>
      </w:r>
      <w:r>
        <w:rPr>
          <w:spacing w:val="1"/>
        </w:rPr>
        <w:t>l</w:t>
      </w:r>
      <w:r>
        <w:t>u</w:t>
      </w:r>
      <w:r>
        <w:rPr>
          <w:spacing w:val="-2"/>
        </w:rPr>
        <w:t>l</w:t>
      </w:r>
      <w:r>
        <w:t>ui</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ă</w:t>
      </w:r>
      <w:r>
        <w:rPr>
          <w:spacing w:val="-2"/>
        </w:rPr>
        <w:t xml:space="preserve"> poate </w:t>
      </w:r>
      <w:r>
        <w:t>pre</w:t>
      </w:r>
      <w:r>
        <w:rPr>
          <w:spacing w:val="-2"/>
        </w:rPr>
        <w:t>s</w:t>
      </w:r>
      <w:r>
        <w:t>c</w:t>
      </w:r>
      <w:r>
        <w:rPr>
          <w:spacing w:val="-2"/>
        </w:rPr>
        <w:t>r</w:t>
      </w:r>
      <w:r>
        <w:rPr>
          <w:spacing w:val="1"/>
        </w:rPr>
        <w:t>i</w:t>
      </w:r>
      <w:r>
        <w:t xml:space="preserve">e o </w:t>
      </w:r>
      <w:r>
        <w:rPr>
          <w:spacing w:val="-3"/>
        </w:rPr>
        <w:t>d</w:t>
      </w:r>
      <w:r>
        <w:t>o</w:t>
      </w:r>
      <w:r>
        <w:rPr>
          <w:spacing w:val="-3"/>
        </w:rPr>
        <w:t>z</w:t>
      </w:r>
      <w:r>
        <w:t xml:space="preserve">ă </w:t>
      </w:r>
      <w:r>
        <w:rPr>
          <w:spacing w:val="1"/>
        </w:rPr>
        <w:t>i</w:t>
      </w:r>
      <w:r>
        <w:rPr>
          <w:spacing w:val="-3"/>
        </w:rPr>
        <w:t>n</w:t>
      </w:r>
      <w:r>
        <w:rPr>
          <w:spacing w:val="1"/>
        </w:rPr>
        <w:t>i</w:t>
      </w:r>
      <w:r>
        <w:rPr>
          <w:spacing w:val="-2"/>
        </w:rPr>
        <w:t>ţ</w:t>
      </w:r>
      <w:r>
        <w:rPr>
          <w:spacing w:val="1"/>
        </w:rPr>
        <w:t>i</w:t>
      </w:r>
      <w:r>
        <w:t>a</w:t>
      </w:r>
      <w:r>
        <w:rPr>
          <w:spacing w:val="-2"/>
        </w:rPr>
        <w:t>l</w:t>
      </w:r>
      <w:r>
        <w:t>ă de</w:t>
      </w:r>
      <w:r>
        <w:rPr>
          <w:spacing w:val="-2"/>
        </w:rPr>
        <w:t xml:space="preserve"> </w:t>
      </w:r>
      <w:r>
        <w:t>80 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rPr>
          <w:spacing w:val="-3"/>
        </w:rPr>
        <w:t>e</w:t>
      </w:r>
      <w:r>
        <w:t>c</w:t>
      </w:r>
      <w:r>
        <w:rPr>
          <w:spacing w:val="-2"/>
        </w:rPr>
        <w:t>ţ</w:t>
      </w:r>
      <w:r>
        <w:rPr>
          <w:spacing w:val="1"/>
        </w:rPr>
        <w:t>i</w:t>
      </w:r>
      <w:r>
        <w:t>i</w:t>
      </w:r>
      <w:r>
        <w:rPr>
          <w:spacing w:val="-2"/>
          <w:szCs w:val="22"/>
          <w:lang w:eastAsia="en-US" w:bidi="ar-SA"/>
        </w:rPr>
        <w:t xml:space="preserve"> a câte 40 mg</w:t>
      </w:r>
      <w:r>
        <w:rPr>
          <w:spacing w:val="-2"/>
        </w:rPr>
        <w:t xml:space="preserve"> </w:t>
      </w:r>
      <w:r>
        <w:rPr>
          <w:spacing w:val="1"/>
        </w:rPr>
        <w:t>î</w:t>
      </w:r>
      <w:r>
        <w:rPr>
          <w:spacing w:val="-3"/>
        </w:rPr>
        <w:t>n</w:t>
      </w:r>
      <w:r>
        <w:rPr>
          <w:spacing w:val="1"/>
        </w:rPr>
        <w:t>t</w:t>
      </w:r>
      <w:r>
        <w:t>r</w:t>
      </w:r>
      <w:r>
        <w:rPr>
          <w:spacing w:val="-4"/>
        </w:rPr>
        <w:t>-</w:t>
      </w:r>
      <w:r>
        <w:t xml:space="preserve">o </w:t>
      </w:r>
      <w:r>
        <w:rPr>
          <w:spacing w:val="-3"/>
        </w:rPr>
        <w:t>z</w:t>
      </w:r>
      <w:r>
        <w:rPr>
          <w:spacing w:val="1"/>
        </w:rPr>
        <w:t>i</w:t>
      </w:r>
      <w:r>
        <w:t>)</w:t>
      </w:r>
      <w:r>
        <w:rPr>
          <w:spacing w:val="1"/>
        </w:rPr>
        <w:t xml:space="preserve"> </w:t>
      </w:r>
      <w:r>
        <w:t>ur</w:t>
      </w:r>
      <w:r>
        <w:rPr>
          <w:spacing w:val="-4"/>
        </w:rPr>
        <w:t>m</w:t>
      </w:r>
      <w:r>
        <w:t>a</w:t>
      </w:r>
      <w:r>
        <w:rPr>
          <w:spacing w:val="1"/>
        </w:rPr>
        <w:t>t</w:t>
      </w:r>
      <w:r>
        <w:t>ă de 40 </w:t>
      </w:r>
      <w:r>
        <w:rPr>
          <w:spacing w:val="-4"/>
        </w:rPr>
        <w:t>m</w:t>
      </w:r>
      <w:r>
        <w:t>g</w:t>
      </w:r>
      <w:r>
        <w:rPr>
          <w:spacing w:val="-3"/>
        </w:rPr>
        <w:t xml:space="preserve"> </w:t>
      </w:r>
      <w:r>
        <w:t xml:space="preserve">după două </w:t>
      </w:r>
      <w:r>
        <w:rPr>
          <w:spacing w:val="-2"/>
        </w:rPr>
        <w:t>s</w:t>
      </w:r>
      <w:r>
        <w:t>ăp</w:t>
      </w:r>
      <w:r>
        <w:rPr>
          <w:spacing w:val="-2"/>
        </w:rPr>
        <w:t>t</w:t>
      </w:r>
      <w:r>
        <w:rPr>
          <w:spacing w:val="-3"/>
        </w:rPr>
        <w:t>ă</w:t>
      </w:r>
      <w:r>
        <w:rPr>
          <w:spacing w:val="-4"/>
        </w:rPr>
        <w:t>m</w:t>
      </w:r>
      <w:r>
        <w:t>ân</w:t>
      </w:r>
      <w:r>
        <w:rPr>
          <w:spacing w:val="1"/>
        </w:rPr>
        <w:t>i</w:t>
      </w:r>
      <w:r>
        <w:t>.</w:t>
      </w:r>
    </w:p>
    <w:p w14:paraId="2AB289A4" w14:textId="77777777" w:rsidR="00C04CAD" w:rsidRDefault="00C04CAD">
      <w:pPr>
        <w:tabs>
          <w:tab w:val="clear" w:pos="567"/>
        </w:tabs>
        <w:kinsoku w:val="0"/>
        <w:overflowPunct w:val="0"/>
        <w:autoSpaceDE w:val="0"/>
        <w:autoSpaceDN w:val="0"/>
        <w:adjustRightInd w:val="0"/>
        <w:spacing w:line="240" w:lineRule="auto"/>
      </w:pPr>
    </w:p>
    <w:p w14:paraId="1E57295A" w14:textId="77777777" w:rsidR="00C04CAD" w:rsidRDefault="00060E34">
      <w:pPr>
        <w:tabs>
          <w:tab w:val="clear" w:pos="567"/>
        </w:tabs>
        <w:kinsoku w:val="0"/>
        <w:overflowPunct w:val="0"/>
        <w:autoSpaceDE w:val="0"/>
        <w:autoSpaceDN w:val="0"/>
        <w:adjustRightInd w:val="0"/>
        <w:spacing w:line="240" w:lineRule="auto"/>
      </w:pPr>
      <w:r>
        <w:rPr>
          <w:spacing w:val="-1"/>
        </w:rPr>
        <w:t>U</w:t>
      </w:r>
      <w:r>
        <w:rPr>
          <w:spacing w:val="1"/>
        </w:rPr>
        <w:t>lt</w:t>
      </w:r>
      <w:r>
        <w:rPr>
          <w:spacing w:val="-3"/>
        </w:rPr>
        <w:t>e</w:t>
      </w:r>
      <w:r>
        <w:t>r</w:t>
      </w:r>
      <w:r>
        <w:rPr>
          <w:spacing w:val="1"/>
        </w:rPr>
        <w:t>i</w:t>
      </w:r>
      <w:r>
        <w:rPr>
          <w:spacing w:val="-3"/>
        </w:rPr>
        <w:t>o</w:t>
      </w:r>
      <w:r>
        <w:t>r, do</w:t>
      </w:r>
      <w:r>
        <w:rPr>
          <w:spacing w:val="-3"/>
        </w:rPr>
        <w:t>z</w:t>
      </w:r>
      <w:r>
        <w:t xml:space="preserve">a </w:t>
      </w:r>
      <w:r>
        <w:rPr>
          <w:spacing w:val="-2"/>
        </w:rPr>
        <w:t>recomandat</w:t>
      </w:r>
      <w:r>
        <w:t xml:space="preserve">ă </w:t>
      </w:r>
      <w:r>
        <w:rPr>
          <w:spacing w:val="-3"/>
        </w:rPr>
        <w:t>e</w:t>
      </w:r>
      <w:r>
        <w:t>s</w:t>
      </w:r>
      <w:r>
        <w:rPr>
          <w:spacing w:val="1"/>
        </w:rPr>
        <w:t>t</w:t>
      </w:r>
      <w:r>
        <w:t>e</w:t>
      </w:r>
      <w:r>
        <w:rPr>
          <w:spacing w:val="-2"/>
        </w:rPr>
        <w:t xml:space="preserve"> </w:t>
      </w:r>
      <w:r>
        <w:rPr>
          <w:spacing w:val="-3"/>
        </w:rPr>
        <w:t>d</w:t>
      </w:r>
      <w:r>
        <w:t>e 20 </w:t>
      </w:r>
      <w:r>
        <w:rPr>
          <w:spacing w:val="-4"/>
        </w:rPr>
        <w:t>m</w:t>
      </w:r>
      <w:r>
        <w:t>g</w:t>
      </w:r>
      <w:r>
        <w:rPr>
          <w:spacing w:val="-3"/>
        </w:rPr>
        <w:t xml:space="preserve"> </w:t>
      </w:r>
      <w:r>
        <w:rPr>
          <w:spacing w:val="1"/>
        </w:rPr>
        <w:t>l</w:t>
      </w:r>
      <w:r>
        <w:t>a două să</w:t>
      </w:r>
      <w:r>
        <w:rPr>
          <w:spacing w:val="-3"/>
        </w:rPr>
        <w:t>p</w:t>
      </w:r>
      <w:r>
        <w:rPr>
          <w:spacing w:val="1"/>
        </w:rPr>
        <w:t>t</w:t>
      </w:r>
      <w:r>
        <w:t>ă</w:t>
      </w:r>
      <w:r>
        <w:rPr>
          <w:spacing w:val="-4"/>
        </w:rPr>
        <w:t>m</w:t>
      </w:r>
      <w:r>
        <w:t>ân</w:t>
      </w:r>
      <w:r>
        <w:rPr>
          <w:spacing w:val="1"/>
        </w:rPr>
        <w:t>i</w:t>
      </w:r>
      <w:r>
        <w:t>.</w:t>
      </w:r>
      <w:r>
        <w:rPr>
          <w:spacing w:val="-3"/>
        </w:rPr>
        <w:t xml:space="preserve"> </w:t>
      </w:r>
      <w:r>
        <w:rPr>
          <w:spacing w:val="-4"/>
        </w:rPr>
        <w:t>Î</w:t>
      </w:r>
      <w:r>
        <w:t>n func</w:t>
      </w:r>
      <w:r>
        <w:rPr>
          <w:spacing w:val="1"/>
        </w:rPr>
        <w:t>ţi</w:t>
      </w:r>
      <w:r>
        <w:t>e</w:t>
      </w:r>
      <w:r>
        <w:rPr>
          <w:spacing w:val="-2"/>
        </w:rPr>
        <w:t xml:space="preserve"> </w:t>
      </w:r>
      <w:r>
        <w:t xml:space="preserve">de </w:t>
      </w:r>
      <w:r>
        <w:rPr>
          <w:spacing w:val="-2"/>
        </w:rPr>
        <w:t>r</w:t>
      </w:r>
      <w:r>
        <w:t>ăsp</w:t>
      </w:r>
      <w:r>
        <w:rPr>
          <w:spacing w:val="-3"/>
        </w:rPr>
        <w:t>u</w:t>
      </w:r>
      <w:r>
        <w:t>ns</w:t>
      </w:r>
      <w:r>
        <w:rPr>
          <w:spacing w:val="-3"/>
        </w:rPr>
        <w:t>u</w:t>
      </w:r>
      <w:r>
        <w:t>l</w:t>
      </w:r>
      <w:r>
        <w:rPr>
          <w:spacing w:val="1"/>
        </w:rPr>
        <w:t xml:space="preserve"> </w:t>
      </w:r>
      <w:r>
        <w:t>co</w:t>
      </w:r>
      <w:r>
        <w:rPr>
          <w:spacing w:val="-3"/>
        </w:rPr>
        <w:t>p</w:t>
      </w:r>
      <w:r>
        <w:rPr>
          <w:spacing w:val="1"/>
        </w:rPr>
        <w:t>il</w:t>
      </w:r>
      <w:r>
        <w:rPr>
          <w:spacing w:val="-3"/>
        </w:rPr>
        <w:t>u</w:t>
      </w:r>
      <w:r>
        <w:rPr>
          <w:spacing w:val="1"/>
        </w:rPr>
        <w:t>l</w:t>
      </w:r>
      <w:r>
        <w:t>ui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w:t>
      </w:r>
      <w:r>
        <w:rPr>
          <w:spacing w:val="-1"/>
        </w:rPr>
        <w:t>d</w:t>
      </w:r>
      <w:r>
        <w:rPr>
          <w:spacing w:val="1"/>
        </w:rPr>
        <w:t>i</w:t>
      </w:r>
      <w:r>
        <w:t>cul</w:t>
      </w:r>
      <w:r>
        <w:rPr>
          <w:spacing w:val="1"/>
        </w:rPr>
        <w:t xml:space="preserve"> </w:t>
      </w:r>
      <w:r>
        <w:t>c</w:t>
      </w:r>
      <w:r>
        <w:rPr>
          <w:spacing w:val="-3"/>
        </w:rPr>
        <w:t>o</w:t>
      </w:r>
      <w:r>
        <w:t>p</w:t>
      </w:r>
      <w:r>
        <w:rPr>
          <w:spacing w:val="-2"/>
        </w:rPr>
        <w:t>i</w:t>
      </w:r>
      <w:r>
        <w:rPr>
          <w:spacing w:val="1"/>
        </w:rPr>
        <w:t>l</w:t>
      </w:r>
      <w:r>
        <w:t>u</w:t>
      </w:r>
      <w:r>
        <w:rPr>
          <w:spacing w:val="1"/>
        </w:rPr>
        <w:t>l</w:t>
      </w:r>
      <w:r>
        <w:rPr>
          <w:spacing w:val="-3"/>
        </w:rPr>
        <w:t>u</w:t>
      </w:r>
      <w:r>
        <w:t>i</w:t>
      </w:r>
      <w:r>
        <w:rPr>
          <w:spacing w:val="1"/>
        </w:rPr>
        <w:t xml:space="preserve"> </w:t>
      </w:r>
      <w:r>
        <w:t>du</w:t>
      </w:r>
      <w:r>
        <w:rPr>
          <w:spacing w:val="-4"/>
        </w:rPr>
        <w:t>m</w:t>
      </w:r>
      <w:r>
        <w:t>ne</w:t>
      </w:r>
      <w:r>
        <w:rPr>
          <w:spacing w:val="-3"/>
        </w:rPr>
        <w:t>av</w:t>
      </w:r>
      <w:r>
        <w:t>oas</w:t>
      </w:r>
      <w:r>
        <w:rPr>
          <w:spacing w:val="1"/>
        </w:rPr>
        <w:t>t</w:t>
      </w:r>
      <w:r>
        <w:t>ră</w:t>
      </w:r>
      <w:r>
        <w:rPr>
          <w:spacing w:val="-2"/>
        </w:rPr>
        <w:t xml:space="preserve"> </w:t>
      </w:r>
      <w:r>
        <w:t>po</w:t>
      </w:r>
      <w:r>
        <w:rPr>
          <w:spacing w:val="-3"/>
        </w:rPr>
        <w:t>a</w:t>
      </w:r>
      <w:r>
        <w:rPr>
          <w:spacing w:val="1"/>
        </w:rPr>
        <w:t>t</w:t>
      </w:r>
      <w:r>
        <w:t xml:space="preserve">e </w:t>
      </w:r>
      <w:r>
        <w:rPr>
          <w:spacing w:val="-3"/>
        </w:rPr>
        <w:t>c</w:t>
      </w:r>
      <w:r>
        <w:t>re</w:t>
      </w:r>
      <w:r>
        <w:rPr>
          <w:spacing w:val="-2"/>
        </w:rPr>
        <w:t>ş</w:t>
      </w:r>
      <w:r>
        <w:rPr>
          <w:spacing w:val="1"/>
        </w:rPr>
        <w:t>t</w:t>
      </w:r>
      <w:r>
        <w:t>e</w:t>
      </w:r>
      <w:r>
        <w:rPr>
          <w:spacing w:val="-2"/>
        </w:rPr>
        <w:t xml:space="preserve"> </w:t>
      </w:r>
      <w:r>
        <w:t>f</w:t>
      </w:r>
      <w:r>
        <w:rPr>
          <w:spacing w:val="-2"/>
        </w:rPr>
        <w:t>r</w:t>
      </w:r>
      <w:r>
        <w:t>ec</w:t>
      </w:r>
      <w:r>
        <w:rPr>
          <w:spacing w:val="-3"/>
        </w:rPr>
        <w:t>v</w:t>
      </w:r>
      <w:r>
        <w:t>en</w:t>
      </w:r>
      <w:r>
        <w:rPr>
          <w:spacing w:val="1"/>
        </w:rPr>
        <w:t>ţ</w:t>
      </w:r>
      <w:r>
        <w:t>a do</w:t>
      </w:r>
      <w:r>
        <w:rPr>
          <w:spacing w:val="-3"/>
        </w:rPr>
        <w:t>z</w:t>
      </w:r>
      <w:r>
        <w:t>ei</w:t>
      </w:r>
      <w:r>
        <w:rPr>
          <w:spacing w:val="-2"/>
        </w:rPr>
        <w:t xml:space="preserve"> </w:t>
      </w:r>
      <w:r>
        <w:rPr>
          <w:spacing w:val="1"/>
        </w:rPr>
        <w:t>l</w:t>
      </w:r>
      <w:r>
        <w:t>a</w:t>
      </w:r>
      <w:r>
        <w:rPr>
          <w:spacing w:val="-2"/>
        </w:rPr>
        <w:t xml:space="preserve"> </w:t>
      </w:r>
      <w:r>
        <w:t>20 </w:t>
      </w:r>
      <w:r>
        <w:rPr>
          <w:spacing w:val="-4"/>
        </w:rPr>
        <w:t>m</w:t>
      </w:r>
      <w:r>
        <w:t>g</w:t>
      </w:r>
      <w:r>
        <w:rPr>
          <w:spacing w:val="-3"/>
        </w:rPr>
        <w:t xml:space="preserve"> </w:t>
      </w:r>
      <w:r>
        <w:rPr>
          <w:spacing w:val="1"/>
        </w:rPr>
        <w:t>î</w:t>
      </w:r>
      <w:r>
        <w:t>n f</w:t>
      </w:r>
      <w:r>
        <w:rPr>
          <w:spacing w:val="1"/>
        </w:rPr>
        <w:t>i</w:t>
      </w:r>
      <w:r>
        <w:rPr>
          <w:spacing w:val="-3"/>
        </w:rPr>
        <w:t>e</w:t>
      </w:r>
      <w:r>
        <w:t>ca</w:t>
      </w:r>
      <w:r>
        <w:rPr>
          <w:spacing w:val="-2"/>
        </w:rPr>
        <w:t>r</w:t>
      </w:r>
      <w:r>
        <w:t>e s</w:t>
      </w:r>
      <w:r>
        <w:rPr>
          <w:spacing w:val="-3"/>
        </w:rPr>
        <w:t>ă</w:t>
      </w:r>
      <w:r>
        <w:t>p</w:t>
      </w:r>
      <w:r>
        <w:rPr>
          <w:spacing w:val="1"/>
        </w:rPr>
        <w:t>t</w:t>
      </w:r>
      <w:r>
        <w:t>ă</w:t>
      </w:r>
      <w:r>
        <w:rPr>
          <w:spacing w:val="-4"/>
        </w:rPr>
        <w:t>m</w:t>
      </w:r>
      <w:r>
        <w:t>ână.</w:t>
      </w:r>
    </w:p>
    <w:p w14:paraId="10DA3432" w14:textId="77777777" w:rsidR="00C04CAD" w:rsidRDefault="00C04CAD">
      <w:pPr>
        <w:tabs>
          <w:tab w:val="clear" w:pos="567"/>
        </w:tabs>
        <w:kinsoku w:val="0"/>
        <w:overflowPunct w:val="0"/>
        <w:autoSpaceDE w:val="0"/>
        <w:autoSpaceDN w:val="0"/>
        <w:adjustRightInd w:val="0"/>
        <w:spacing w:line="240" w:lineRule="auto"/>
      </w:pPr>
    </w:p>
    <w:p w14:paraId="1E11151E" w14:textId="77777777" w:rsidR="00C04CAD" w:rsidRDefault="00060E34">
      <w:pPr>
        <w:tabs>
          <w:tab w:val="clear" w:pos="567"/>
        </w:tabs>
        <w:kinsoku w:val="0"/>
        <w:overflowPunct w:val="0"/>
        <w:autoSpaceDE w:val="0"/>
        <w:autoSpaceDN w:val="0"/>
        <w:adjustRightInd w:val="0"/>
        <w:spacing w:line="240" w:lineRule="auto"/>
      </w:pPr>
      <w:r>
        <w:rPr>
          <w:i/>
          <w:spacing w:val="-1"/>
        </w:rPr>
        <w:t>C</w:t>
      </w:r>
      <w:r>
        <w:rPr>
          <w:i/>
        </w:rPr>
        <w:t>op</w:t>
      </w:r>
      <w:r>
        <w:rPr>
          <w:i/>
          <w:spacing w:val="1"/>
        </w:rPr>
        <w:t>i</w:t>
      </w:r>
      <w:r>
        <w:rPr>
          <w:i/>
        </w:rPr>
        <w:t>i și ado</w:t>
      </w:r>
      <w:r>
        <w:rPr>
          <w:i/>
          <w:spacing w:val="-2"/>
        </w:rPr>
        <w:t>l</w:t>
      </w:r>
      <w:r>
        <w:rPr>
          <w:i/>
        </w:rPr>
        <w:t>es</w:t>
      </w:r>
      <w:r>
        <w:rPr>
          <w:i/>
          <w:spacing w:val="-3"/>
        </w:rPr>
        <w:t>c</w:t>
      </w:r>
      <w:r>
        <w:rPr>
          <w:i/>
        </w:rPr>
        <w:t>en</w:t>
      </w:r>
      <w:r>
        <w:rPr>
          <w:i/>
          <w:spacing w:val="-2"/>
        </w:rPr>
        <w:t>ţ</w:t>
      </w:r>
      <w:r>
        <w:rPr>
          <w:i/>
        </w:rPr>
        <w:t xml:space="preserve">i cu vârsta de 6 ani până la vârsta de 17 ani și </w:t>
      </w:r>
      <w:r>
        <w:rPr>
          <w:i/>
          <w:spacing w:val="-3"/>
        </w:rPr>
        <w:t>g</w:t>
      </w:r>
      <w:r>
        <w:rPr>
          <w:i/>
          <w:spacing w:val="-2"/>
        </w:rPr>
        <w:t>r</w:t>
      </w:r>
      <w:r>
        <w:rPr>
          <w:i/>
        </w:rPr>
        <w:t>eu</w:t>
      </w:r>
      <w:r>
        <w:rPr>
          <w:i/>
          <w:spacing w:val="1"/>
        </w:rPr>
        <w:t>t</w:t>
      </w:r>
      <w:r>
        <w:rPr>
          <w:i/>
          <w:spacing w:val="-3"/>
        </w:rPr>
        <w:t>a</w:t>
      </w:r>
      <w:r>
        <w:rPr>
          <w:i/>
          <w:spacing w:val="1"/>
        </w:rPr>
        <w:t>t</w:t>
      </w:r>
      <w:r>
        <w:rPr>
          <w:i/>
        </w:rPr>
        <w:t>ea de 40 </w:t>
      </w:r>
      <w:r>
        <w:rPr>
          <w:i/>
          <w:spacing w:val="-3"/>
        </w:rPr>
        <w:t>kg sau mai mult</w:t>
      </w:r>
    </w:p>
    <w:p w14:paraId="1063E729" w14:textId="77777777" w:rsidR="00C04CAD" w:rsidRDefault="00C04CAD">
      <w:pPr>
        <w:tabs>
          <w:tab w:val="clear" w:pos="567"/>
        </w:tabs>
        <w:kinsoku w:val="0"/>
        <w:overflowPunct w:val="0"/>
        <w:autoSpaceDE w:val="0"/>
        <w:autoSpaceDN w:val="0"/>
        <w:adjustRightInd w:val="0"/>
        <w:spacing w:line="240" w:lineRule="auto"/>
      </w:pPr>
    </w:p>
    <w:p w14:paraId="63A7B967"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 xml:space="preserve">a </w:t>
      </w:r>
      <w:r>
        <w:rPr>
          <w:spacing w:val="-2"/>
        </w:rPr>
        <w:t>recomandat</w:t>
      </w:r>
      <w:r>
        <w:t>ă e</w:t>
      </w:r>
      <w:r>
        <w:rPr>
          <w:spacing w:val="-2"/>
        </w:rPr>
        <w:t>s</w:t>
      </w:r>
      <w:r>
        <w:rPr>
          <w:spacing w:val="1"/>
        </w:rPr>
        <w:t>t</w:t>
      </w:r>
      <w:r>
        <w:t xml:space="preserve">e </w:t>
      </w:r>
      <w:r>
        <w:rPr>
          <w:spacing w:val="-3"/>
        </w:rPr>
        <w:t>d</w:t>
      </w:r>
      <w:r>
        <w:t>e 80 </w:t>
      </w:r>
      <w:r>
        <w:rPr>
          <w:spacing w:val="-4"/>
        </w:rPr>
        <w:t>m</w:t>
      </w:r>
      <w:r>
        <w:t>g (</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pacing w:val="1"/>
        </w:rPr>
        <w:t>i</w:t>
      </w:r>
      <w:r>
        <w:t>n</w:t>
      </w:r>
      <w:r>
        <w:rPr>
          <w:spacing w:val="-2"/>
        </w:rPr>
        <w:t>i</w:t>
      </w:r>
      <w:r>
        <w:rPr>
          <w:spacing w:val="1"/>
        </w:rPr>
        <w:t>ţ</w:t>
      </w:r>
      <w:r>
        <w:rPr>
          <w:spacing w:val="-2"/>
        </w:rPr>
        <w:t>i</w:t>
      </w:r>
      <w:r>
        <w:t>al</w:t>
      </w:r>
      <w:r>
        <w:rPr>
          <w:spacing w:val="1"/>
        </w:rPr>
        <w:t xml:space="preserve"> </w:t>
      </w:r>
      <w:r>
        <w:rPr>
          <w:spacing w:val="-3"/>
        </w:rPr>
        <w:t>u</w:t>
      </w:r>
      <w:r>
        <w:t>r</w:t>
      </w:r>
      <w:r>
        <w:rPr>
          <w:spacing w:val="-4"/>
        </w:rPr>
        <w:t>m</w:t>
      </w:r>
      <w:r>
        <w:t>a</w:t>
      </w:r>
      <w:r>
        <w:rPr>
          <w:spacing w:val="1"/>
        </w:rPr>
        <w:t>t</w:t>
      </w:r>
      <w:r>
        <w:t xml:space="preserve">ă de </w:t>
      </w:r>
      <w:r>
        <w:rPr>
          <w:spacing w:val="-3"/>
        </w:rPr>
        <w:t>4</w:t>
      </w:r>
      <w:r>
        <w:t>0 </w:t>
      </w:r>
      <w:r>
        <w:rPr>
          <w:spacing w:val="-4"/>
        </w:rPr>
        <w:t>m</w:t>
      </w:r>
      <w:r>
        <w:t>g</w:t>
      </w:r>
      <w:r>
        <w:rPr>
          <w:spacing w:val="-3"/>
        </w:rPr>
        <w:t xml:space="preserve"> </w:t>
      </w:r>
      <w:r>
        <w:t>do</w:t>
      </w:r>
      <w:r>
        <w:rPr>
          <w:spacing w:val="2"/>
        </w:rPr>
        <w:t>u</w:t>
      </w:r>
      <w:r>
        <w:t>ă să</w:t>
      </w:r>
      <w:r>
        <w:rPr>
          <w:spacing w:val="-3"/>
        </w:rPr>
        <w:t>p</w:t>
      </w:r>
      <w:r>
        <w:rPr>
          <w:spacing w:val="1"/>
        </w:rPr>
        <w:t>t</w:t>
      </w:r>
      <w:r>
        <w:t>ă</w:t>
      </w:r>
      <w:r>
        <w:rPr>
          <w:spacing w:val="-4"/>
        </w:rPr>
        <w:t>m</w:t>
      </w:r>
      <w:r>
        <w:t>âni</w:t>
      </w:r>
      <w:r>
        <w:rPr>
          <w:spacing w:val="1"/>
        </w:rPr>
        <w:t xml:space="preserve"> </w:t>
      </w:r>
      <w:r>
        <w:rPr>
          <w:spacing w:val="-4"/>
        </w:rPr>
        <w:t>m</w:t>
      </w:r>
      <w:r>
        <w:t>ai</w:t>
      </w:r>
      <w:r>
        <w:rPr>
          <w:spacing w:val="1"/>
        </w:rPr>
        <w:t xml:space="preserve"> t</w:t>
      </w:r>
      <w:r>
        <w:rPr>
          <w:spacing w:val="-3"/>
        </w:rPr>
        <w:t>â</w:t>
      </w:r>
      <w:r>
        <w:t>r</w:t>
      </w:r>
      <w:r>
        <w:rPr>
          <w:spacing w:val="-3"/>
        </w:rPr>
        <w:t>z</w:t>
      </w:r>
      <w:r>
        <w:rPr>
          <w:spacing w:val="1"/>
        </w:rPr>
        <w:t>i</w:t>
      </w:r>
      <w:r>
        <w:t xml:space="preserve">u. </w:t>
      </w:r>
      <w:r>
        <w:rPr>
          <w:spacing w:val="-4"/>
        </w:rPr>
        <w:t>Î</w:t>
      </w:r>
      <w:r>
        <w:t>n ca</w:t>
      </w:r>
      <w:r>
        <w:rPr>
          <w:spacing w:val="-3"/>
        </w:rPr>
        <w:t>z</w:t>
      </w:r>
      <w:r>
        <w:t>ul</w:t>
      </w:r>
      <w:r>
        <w:rPr>
          <w:spacing w:val="1"/>
        </w:rPr>
        <w:t xml:space="preserve"> î</w:t>
      </w:r>
      <w:r>
        <w:t xml:space="preserve">n </w:t>
      </w:r>
      <w:r>
        <w:rPr>
          <w:spacing w:val="-3"/>
        </w:rPr>
        <w:t>c</w:t>
      </w:r>
      <w:r>
        <w:t>a</w:t>
      </w:r>
      <w:r>
        <w:rPr>
          <w:spacing w:val="-2"/>
        </w:rPr>
        <w:t>r</w:t>
      </w:r>
      <w:r>
        <w:t>e e</w:t>
      </w:r>
      <w:r>
        <w:rPr>
          <w:spacing w:val="-2"/>
        </w:rPr>
        <w:t>s</w:t>
      </w:r>
      <w:r>
        <w:rPr>
          <w:spacing w:val="1"/>
        </w:rPr>
        <w:t>t</w:t>
      </w:r>
      <w:r>
        <w:t>e nece</w:t>
      </w:r>
      <w:r>
        <w:rPr>
          <w:spacing w:val="-2"/>
        </w:rPr>
        <w:t>s</w:t>
      </w:r>
      <w:r>
        <w:t>ar</w:t>
      </w:r>
      <w:r>
        <w:rPr>
          <w:spacing w:val="1"/>
        </w:rPr>
        <w:t xml:space="preserve"> </w:t>
      </w:r>
      <w:r>
        <w:rPr>
          <w:spacing w:val="-3"/>
        </w:rPr>
        <w:t>u</w:t>
      </w:r>
      <w:r>
        <w:t>n r</w:t>
      </w:r>
      <w:r>
        <w:rPr>
          <w:spacing w:val="-3"/>
        </w:rPr>
        <w:t>ă</w:t>
      </w:r>
      <w:r>
        <w:t>spu</w:t>
      </w:r>
      <w:r>
        <w:rPr>
          <w:spacing w:val="-3"/>
        </w:rPr>
        <w:t>n</w:t>
      </w:r>
      <w:r>
        <w:t xml:space="preserve">s </w:t>
      </w:r>
      <w:r>
        <w:rPr>
          <w:spacing w:val="-4"/>
        </w:rPr>
        <w:t>m</w:t>
      </w:r>
      <w:r>
        <w:t>ai</w:t>
      </w:r>
      <w:r>
        <w:rPr>
          <w:spacing w:val="1"/>
        </w:rPr>
        <w:t xml:space="preserve"> </w:t>
      </w:r>
      <w:r>
        <w:t>ra</w:t>
      </w:r>
      <w:r>
        <w:rPr>
          <w:spacing w:val="-3"/>
        </w:rPr>
        <w:t>p</w:t>
      </w:r>
      <w:r>
        <w:rPr>
          <w:spacing w:val="-2"/>
        </w:rPr>
        <w:t>i</w:t>
      </w:r>
      <w:r>
        <w:t xml:space="preserve">d, </w:t>
      </w:r>
      <w:r>
        <w:rPr>
          <w:spacing w:val="-4"/>
        </w:rPr>
        <w:t>m</w:t>
      </w:r>
      <w:r>
        <w:t>ed</w:t>
      </w:r>
      <w:r>
        <w:rPr>
          <w:spacing w:val="1"/>
        </w:rPr>
        <w:t>i</w:t>
      </w:r>
      <w:r>
        <w:t>cul</w:t>
      </w:r>
      <w:r>
        <w:rPr>
          <w:spacing w:val="1"/>
        </w:rPr>
        <w:t xml:space="preserve"> </w:t>
      </w:r>
      <w:r>
        <w:rPr>
          <w:spacing w:val="-3"/>
        </w:rPr>
        <w:t>c</w:t>
      </w:r>
      <w:r>
        <w:t>op</w:t>
      </w:r>
      <w:r>
        <w:rPr>
          <w:spacing w:val="-2"/>
        </w:rPr>
        <w:t>i</w:t>
      </w:r>
      <w:r>
        <w:rPr>
          <w:spacing w:val="1"/>
        </w:rPr>
        <w:t>l</w:t>
      </w:r>
      <w:r>
        <w:t>u</w:t>
      </w:r>
      <w:r>
        <w:rPr>
          <w:spacing w:val="-2"/>
        </w:rPr>
        <w:t>l</w:t>
      </w:r>
      <w:r>
        <w:t>ui</w:t>
      </w:r>
      <w:r>
        <w:rPr>
          <w:spacing w:val="1"/>
        </w:rPr>
        <w:t xml:space="preserve"> </w:t>
      </w:r>
      <w:r>
        <w:rPr>
          <w:spacing w:val="-3"/>
        </w:rPr>
        <w:t>d</w:t>
      </w:r>
      <w:r>
        <w:t>u</w:t>
      </w:r>
      <w:r>
        <w:rPr>
          <w:spacing w:val="-4"/>
        </w:rPr>
        <w:t>m</w:t>
      </w:r>
      <w:r>
        <w:t>nea</w:t>
      </w:r>
      <w:r>
        <w:rPr>
          <w:spacing w:val="-3"/>
        </w:rPr>
        <w:t>v</w:t>
      </w:r>
      <w:r>
        <w:t>oas</w:t>
      </w:r>
      <w:r>
        <w:rPr>
          <w:spacing w:val="1"/>
        </w:rPr>
        <w:t>t</w:t>
      </w:r>
      <w:r>
        <w:rPr>
          <w:spacing w:val="-2"/>
        </w:rPr>
        <w:t>r</w:t>
      </w:r>
      <w:r>
        <w:t>ă po</w:t>
      </w:r>
      <w:r>
        <w:rPr>
          <w:spacing w:val="-3"/>
        </w:rPr>
        <w:t>a</w:t>
      </w:r>
      <w:r>
        <w:rPr>
          <w:spacing w:val="1"/>
        </w:rPr>
        <w:t>t</w:t>
      </w:r>
      <w:r>
        <w:t xml:space="preserve">e </w:t>
      </w:r>
      <w:r>
        <w:rPr>
          <w:spacing w:val="-3"/>
        </w:rPr>
        <w:t>p</w:t>
      </w:r>
      <w:r>
        <w:t>re</w:t>
      </w:r>
      <w:r>
        <w:rPr>
          <w:spacing w:val="-2"/>
        </w:rPr>
        <w:t>s</w:t>
      </w:r>
      <w:r>
        <w:t>c</w:t>
      </w:r>
      <w:r>
        <w:rPr>
          <w:spacing w:val="-2"/>
        </w:rPr>
        <w:t>r</w:t>
      </w:r>
      <w:r>
        <w:rPr>
          <w:spacing w:val="1"/>
        </w:rPr>
        <w:t>i</w:t>
      </w:r>
      <w:r>
        <w:t>e o</w:t>
      </w:r>
      <w:r>
        <w:rPr>
          <w:spacing w:val="-3"/>
        </w:rPr>
        <w:t xml:space="preserve"> </w:t>
      </w:r>
      <w:r>
        <w:t>d</w:t>
      </w:r>
      <w:r>
        <w:rPr>
          <w:spacing w:val="-3"/>
        </w:rPr>
        <w:t>oz</w:t>
      </w:r>
      <w:r>
        <w:t xml:space="preserve">ă </w:t>
      </w:r>
      <w:r>
        <w:rPr>
          <w:spacing w:val="1"/>
        </w:rPr>
        <w:t>i</w:t>
      </w:r>
      <w:r>
        <w:t>n</w:t>
      </w:r>
      <w:r>
        <w:rPr>
          <w:spacing w:val="1"/>
        </w:rPr>
        <w:t>i</w:t>
      </w:r>
      <w:r>
        <w:rPr>
          <w:spacing w:val="-2"/>
        </w:rPr>
        <w:t>ţ</w:t>
      </w:r>
      <w:r>
        <w:rPr>
          <w:spacing w:val="1"/>
        </w:rPr>
        <w:t>i</w:t>
      </w:r>
      <w:r>
        <w:rPr>
          <w:spacing w:val="-3"/>
        </w:rPr>
        <w:t>a</w:t>
      </w:r>
      <w:r>
        <w:rPr>
          <w:spacing w:val="1"/>
        </w:rPr>
        <w:t>l</w:t>
      </w:r>
      <w:r>
        <w:t xml:space="preserve">ă </w:t>
      </w:r>
      <w:r>
        <w:rPr>
          <w:spacing w:val="-3"/>
        </w:rPr>
        <w:t>d</w:t>
      </w:r>
      <w:r>
        <w:t>e 160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patru</w:t>
      </w:r>
      <w:r>
        <w:t xml:space="preserve"> </w:t>
      </w:r>
      <w:r>
        <w:rPr>
          <w:spacing w:val="1"/>
        </w:rPr>
        <w:t>i</w:t>
      </w:r>
      <w:r>
        <w:rPr>
          <w:spacing w:val="-3"/>
        </w:rPr>
        <w:t>n</w:t>
      </w:r>
      <w:r>
        <w:rPr>
          <w:spacing w:val="-2"/>
        </w:rPr>
        <w:t>j</w:t>
      </w:r>
      <w:r>
        <w:t>ec</w:t>
      </w:r>
      <w:r>
        <w:rPr>
          <w:spacing w:val="-2"/>
        </w:rPr>
        <w:t>ţ</w:t>
      </w:r>
      <w:r>
        <w:rPr>
          <w:spacing w:val="1"/>
        </w:rPr>
        <w:t>i</w:t>
      </w:r>
      <w:r>
        <w:t xml:space="preserve">i </w:t>
      </w:r>
      <w:r>
        <w:rPr>
          <w:szCs w:val="22"/>
          <w:lang w:eastAsia="en-US" w:bidi="ar-SA"/>
        </w:rPr>
        <w:t>a câte 40 mg</w:t>
      </w:r>
      <w:r>
        <w:rPr>
          <w:spacing w:val="-2"/>
          <w:szCs w:val="22"/>
          <w:lang w:eastAsia="en-US" w:bidi="ar-SA"/>
        </w:rPr>
        <w:t xml:space="preserve"> </w:t>
      </w:r>
      <w:r>
        <w:rPr>
          <w:spacing w:val="1"/>
        </w:rPr>
        <w:t>î</w:t>
      </w:r>
      <w:r>
        <w:rPr>
          <w:spacing w:val="-3"/>
        </w:rPr>
        <w:t>n</w:t>
      </w:r>
      <w:r>
        <w:rPr>
          <w:spacing w:val="1"/>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rPr>
          <w:spacing w:val="-3"/>
        </w:rPr>
        <w:t>e</w:t>
      </w:r>
      <w:r>
        <w:t>c</w:t>
      </w:r>
      <w:r>
        <w:rPr>
          <w:spacing w:val="-2"/>
        </w:rPr>
        <w:t>ţ</w:t>
      </w:r>
      <w:r>
        <w:rPr>
          <w:spacing w:val="1"/>
        </w:rPr>
        <w:t>i</w:t>
      </w:r>
      <w:r>
        <w:t>i</w:t>
      </w:r>
      <w:r>
        <w:rPr>
          <w:szCs w:val="22"/>
          <w:lang w:eastAsia="en-US" w:bidi="ar-SA"/>
        </w:rPr>
        <w:t xml:space="preserve"> a câte 40 mg</w:t>
      </w:r>
      <w:r>
        <w:rPr>
          <w:spacing w:val="-2"/>
        </w:rPr>
        <w:t xml:space="preserve"> </w:t>
      </w:r>
      <w:r>
        <w:t xml:space="preserve">pe </w:t>
      </w:r>
      <w:r>
        <w:rPr>
          <w:spacing w:val="-3"/>
        </w:rPr>
        <w:t>z</w:t>
      </w:r>
      <w:r>
        <w:rPr>
          <w:spacing w:val="1"/>
        </w:rPr>
        <w:t>i</w:t>
      </w:r>
      <w:r>
        <w:t xml:space="preserve">, </w:t>
      </w:r>
      <w:r>
        <w:rPr>
          <w:spacing w:val="-2"/>
        </w:rPr>
        <w:t>t</w:t>
      </w:r>
      <w:r>
        <w:rPr>
          <w:spacing w:val="1"/>
        </w:rPr>
        <w:t>i</w:t>
      </w:r>
      <w:r>
        <w:rPr>
          <w:spacing w:val="-4"/>
        </w:rPr>
        <w:t>m</w:t>
      </w:r>
      <w:r>
        <w:t xml:space="preserve">p de două </w:t>
      </w:r>
      <w:r>
        <w:rPr>
          <w:spacing w:val="-3"/>
        </w:rPr>
        <w:t>z</w:t>
      </w:r>
      <w:r>
        <w:rPr>
          <w:spacing w:val="1"/>
        </w:rPr>
        <w:t>il</w:t>
      </w:r>
      <w:r>
        <w:t xml:space="preserve">e </w:t>
      </w:r>
      <w:r>
        <w:rPr>
          <w:spacing w:val="-3"/>
        </w:rPr>
        <w:t>c</w:t>
      </w:r>
      <w:r>
        <w:t>ons</w:t>
      </w:r>
      <w:r>
        <w:rPr>
          <w:spacing w:val="-3"/>
        </w:rPr>
        <w:t>ec</w:t>
      </w:r>
      <w:r>
        <w:t>u</w:t>
      </w:r>
      <w:r>
        <w:rPr>
          <w:spacing w:val="1"/>
        </w:rPr>
        <w:t>ti</w:t>
      </w:r>
      <w:r>
        <w:rPr>
          <w:spacing w:val="-3"/>
        </w:rPr>
        <w:t>v</w:t>
      </w:r>
      <w:r>
        <w:t xml:space="preserve">), </w:t>
      </w:r>
      <w:r>
        <w:rPr>
          <w:spacing w:val="-3"/>
        </w:rPr>
        <w:t>u</w:t>
      </w:r>
      <w:r>
        <w:t>r</w:t>
      </w:r>
      <w:r>
        <w:rPr>
          <w:spacing w:val="-4"/>
        </w:rPr>
        <w:t>m</w:t>
      </w:r>
      <w:r>
        <w:t>a</w:t>
      </w:r>
      <w:r>
        <w:rPr>
          <w:spacing w:val="1"/>
        </w:rPr>
        <w:t>t</w:t>
      </w:r>
      <w:r>
        <w:t>ă de 80 </w:t>
      </w:r>
      <w:r>
        <w:rPr>
          <w:spacing w:val="-2"/>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t>două să</w:t>
      </w:r>
      <w:r>
        <w:rPr>
          <w:spacing w:val="-3"/>
        </w:rPr>
        <w:t>p</w:t>
      </w:r>
      <w:r>
        <w:rPr>
          <w:spacing w:val="1"/>
        </w:rPr>
        <w:t>t</w:t>
      </w:r>
      <w:r>
        <w:t>ă</w:t>
      </w:r>
      <w:r>
        <w:rPr>
          <w:spacing w:val="-4"/>
        </w:rPr>
        <w:t>m</w:t>
      </w:r>
      <w:r>
        <w:t>âni</w:t>
      </w:r>
      <w:r>
        <w:rPr>
          <w:spacing w:val="1"/>
        </w:rPr>
        <w:t xml:space="preserve"> </w:t>
      </w:r>
      <w:r>
        <w:rPr>
          <w:spacing w:val="-4"/>
        </w:rPr>
        <w:t>m</w:t>
      </w:r>
      <w:r>
        <w:t>ai</w:t>
      </w:r>
      <w:r>
        <w:rPr>
          <w:spacing w:val="1"/>
        </w:rPr>
        <w:t xml:space="preserve"> t</w:t>
      </w:r>
      <w:r>
        <w:t>âr</w:t>
      </w:r>
      <w:r>
        <w:rPr>
          <w:spacing w:val="-3"/>
        </w:rPr>
        <w:t>z</w:t>
      </w:r>
      <w:r>
        <w:rPr>
          <w:spacing w:val="1"/>
        </w:rPr>
        <w:t>i</w:t>
      </w:r>
      <w:r>
        <w:t>u.</w:t>
      </w:r>
    </w:p>
    <w:p w14:paraId="34809663" w14:textId="77777777" w:rsidR="00C04CAD" w:rsidRDefault="00C04CAD">
      <w:pPr>
        <w:tabs>
          <w:tab w:val="clear" w:pos="567"/>
        </w:tabs>
        <w:kinsoku w:val="0"/>
        <w:overflowPunct w:val="0"/>
        <w:autoSpaceDE w:val="0"/>
        <w:autoSpaceDN w:val="0"/>
        <w:adjustRightInd w:val="0"/>
        <w:spacing w:line="240" w:lineRule="auto"/>
      </w:pPr>
    </w:p>
    <w:p w14:paraId="44161201" w14:textId="77777777" w:rsidR="00C04CAD" w:rsidRDefault="00060E34">
      <w:pPr>
        <w:tabs>
          <w:tab w:val="clear" w:pos="567"/>
        </w:tabs>
        <w:kinsoku w:val="0"/>
        <w:overflowPunct w:val="0"/>
        <w:autoSpaceDE w:val="0"/>
        <w:autoSpaceDN w:val="0"/>
        <w:adjustRightInd w:val="0"/>
        <w:spacing w:line="240" w:lineRule="auto"/>
      </w:pPr>
      <w:r>
        <w:rPr>
          <w:spacing w:val="-1"/>
        </w:rPr>
        <w:t>U</w:t>
      </w:r>
      <w:r>
        <w:rPr>
          <w:spacing w:val="1"/>
        </w:rPr>
        <w:t>lt</w:t>
      </w:r>
      <w:r>
        <w:rPr>
          <w:spacing w:val="-3"/>
        </w:rPr>
        <w:t>e</w:t>
      </w:r>
      <w:r>
        <w:t>r</w:t>
      </w:r>
      <w:r>
        <w:rPr>
          <w:spacing w:val="1"/>
        </w:rPr>
        <w:t>i</w:t>
      </w:r>
      <w:r>
        <w:rPr>
          <w:spacing w:val="-3"/>
        </w:rPr>
        <w:t>o</w:t>
      </w:r>
      <w:r>
        <w:t>r, do</w:t>
      </w:r>
      <w:r>
        <w:rPr>
          <w:spacing w:val="-3"/>
        </w:rPr>
        <w:t>z</w:t>
      </w:r>
      <w:r>
        <w:t xml:space="preserve">a </w:t>
      </w:r>
      <w:r>
        <w:rPr>
          <w:spacing w:val="-2"/>
        </w:rPr>
        <w:t>recomandat</w:t>
      </w:r>
      <w:r>
        <w:t xml:space="preserve">ă </w:t>
      </w:r>
      <w:r>
        <w:rPr>
          <w:spacing w:val="-3"/>
        </w:rPr>
        <w:t>e</w:t>
      </w:r>
      <w:r>
        <w:t>s</w:t>
      </w:r>
      <w:r>
        <w:rPr>
          <w:spacing w:val="1"/>
        </w:rPr>
        <w:t>t</w:t>
      </w:r>
      <w:r>
        <w:t>e</w:t>
      </w:r>
      <w:r>
        <w:rPr>
          <w:spacing w:val="-2"/>
        </w:rPr>
        <w:t xml:space="preserve"> </w:t>
      </w:r>
      <w:r>
        <w:rPr>
          <w:spacing w:val="-3"/>
        </w:rPr>
        <w:t>d</w:t>
      </w:r>
      <w:r>
        <w:t>e 40 </w:t>
      </w:r>
      <w:r>
        <w:rPr>
          <w:spacing w:val="-4"/>
        </w:rPr>
        <w:t>m</w:t>
      </w:r>
      <w:r>
        <w:t>g</w:t>
      </w:r>
      <w:r>
        <w:rPr>
          <w:spacing w:val="-3"/>
        </w:rPr>
        <w:t xml:space="preserve"> </w:t>
      </w:r>
      <w:r>
        <w:rPr>
          <w:spacing w:val="1"/>
        </w:rPr>
        <w:t>l</w:t>
      </w:r>
      <w:r>
        <w:t>a două să</w:t>
      </w:r>
      <w:r>
        <w:rPr>
          <w:spacing w:val="-3"/>
        </w:rPr>
        <w:t>p</w:t>
      </w:r>
      <w:r>
        <w:rPr>
          <w:spacing w:val="1"/>
        </w:rPr>
        <w:t>t</w:t>
      </w:r>
      <w:r>
        <w:t>ă</w:t>
      </w:r>
      <w:r>
        <w:rPr>
          <w:spacing w:val="-4"/>
        </w:rPr>
        <w:t>m</w:t>
      </w:r>
      <w:r>
        <w:t>ân</w:t>
      </w:r>
      <w:r>
        <w:rPr>
          <w:spacing w:val="1"/>
        </w:rPr>
        <w:t>i</w:t>
      </w:r>
      <w:r>
        <w:t>.</w:t>
      </w:r>
      <w:r>
        <w:rPr>
          <w:spacing w:val="-3"/>
        </w:rPr>
        <w:t xml:space="preserve"> </w:t>
      </w:r>
      <w:r>
        <w:rPr>
          <w:spacing w:val="-4"/>
        </w:rPr>
        <w:t>Î</w:t>
      </w:r>
      <w:r>
        <w:t>n func</w:t>
      </w:r>
      <w:r>
        <w:rPr>
          <w:spacing w:val="1"/>
        </w:rPr>
        <w:t>ţi</w:t>
      </w:r>
      <w:r>
        <w:t>e</w:t>
      </w:r>
      <w:r>
        <w:rPr>
          <w:spacing w:val="-2"/>
        </w:rPr>
        <w:t xml:space="preserve"> </w:t>
      </w:r>
      <w:r>
        <w:t xml:space="preserve">de </w:t>
      </w:r>
      <w:r>
        <w:rPr>
          <w:spacing w:val="-2"/>
        </w:rPr>
        <w:t>r</w:t>
      </w:r>
      <w:r>
        <w:t>ăsp</w:t>
      </w:r>
      <w:r>
        <w:rPr>
          <w:spacing w:val="-3"/>
        </w:rPr>
        <w:t>u</w:t>
      </w:r>
      <w:r>
        <w:t>ns</w:t>
      </w:r>
      <w:r>
        <w:rPr>
          <w:spacing w:val="-3"/>
        </w:rPr>
        <w:t>u</w:t>
      </w:r>
      <w:r>
        <w:t>l</w:t>
      </w:r>
      <w:r>
        <w:rPr>
          <w:spacing w:val="1"/>
        </w:rPr>
        <w:t xml:space="preserve"> </w:t>
      </w:r>
      <w:r>
        <w:t>co</w:t>
      </w:r>
      <w:r>
        <w:rPr>
          <w:spacing w:val="-3"/>
        </w:rPr>
        <w:t>p</w:t>
      </w:r>
      <w:r>
        <w:rPr>
          <w:spacing w:val="1"/>
        </w:rPr>
        <w:t>il</w:t>
      </w:r>
      <w:r>
        <w:rPr>
          <w:spacing w:val="-3"/>
        </w:rPr>
        <w:t>u</w:t>
      </w:r>
      <w:r>
        <w:rPr>
          <w:spacing w:val="1"/>
        </w:rPr>
        <w:t>l</w:t>
      </w:r>
      <w:r>
        <w:t>ui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c</w:t>
      </w:r>
      <w:r>
        <w:rPr>
          <w:spacing w:val="-3"/>
        </w:rPr>
        <w:t>o</w:t>
      </w:r>
      <w:r>
        <w:t>p</w:t>
      </w:r>
      <w:r>
        <w:rPr>
          <w:spacing w:val="-2"/>
        </w:rPr>
        <w:t>i</w:t>
      </w:r>
      <w:r>
        <w:rPr>
          <w:spacing w:val="1"/>
        </w:rPr>
        <w:t>l</w:t>
      </w:r>
      <w:r>
        <w:t>u</w:t>
      </w:r>
      <w:r>
        <w:rPr>
          <w:spacing w:val="1"/>
        </w:rPr>
        <w:t>l</w:t>
      </w:r>
      <w:r>
        <w:rPr>
          <w:spacing w:val="-3"/>
        </w:rPr>
        <w:t>u</w:t>
      </w:r>
      <w:r>
        <w:t>i</w:t>
      </w:r>
      <w:r>
        <w:rPr>
          <w:spacing w:val="1"/>
        </w:rPr>
        <w:t xml:space="preserve"> </w:t>
      </w:r>
      <w:r>
        <w:t>du</w:t>
      </w:r>
      <w:r>
        <w:rPr>
          <w:spacing w:val="-4"/>
        </w:rPr>
        <w:t>m</w:t>
      </w:r>
      <w:r>
        <w:t>ne</w:t>
      </w:r>
      <w:r>
        <w:rPr>
          <w:spacing w:val="-3"/>
        </w:rPr>
        <w:t>av</w:t>
      </w:r>
      <w:r>
        <w:t>oas</w:t>
      </w:r>
      <w:r>
        <w:rPr>
          <w:spacing w:val="1"/>
        </w:rPr>
        <w:t>t</w:t>
      </w:r>
      <w:r>
        <w:t>ră</w:t>
      </w:r>
      <w:r>
        <w:rPr>
          <w:spacing w:val="-2"/>
        </w:rPr>
        <w:t xml:space="preserve"> </w:t>
      </w:r>
      <w:r>
        <w:t>po</w:t>
      </w:r>
      <w:r>
        <w:rPr>
          <w:spacing w:val="-3"/>
        </w:rPr>
        <w:t>a</w:t>
      </w:r>
      <w:r>
        <w:rPr>
          <w:spacing w:val="1"/>
        </w:rPr>
        <w:t>t</w:t>
      </w:r>
      <w:r>
        <w:t xml:space="preserve">e </w:t>
      </w:r>
      <w:r>
        <w:rPr>
          <w:spacing w:val="-3"/>
        </w:rPr>
        <w:t>c</w:t>
      </w:r>
      <w:r>
        <w:t>re</w:t>
      </w:r>
      <w:r>
        <w:rPr>
          <w:spacing w:val="-2"/>
        </w:rPr>
        <w:t>ş</w:t>
      </w:r>
      <w:r>
        <w:rPr>
          <w:spacing w:val="1"/>
        </w:rPr>
        <w:t>t</w:t>
      </w:r>
      <w:r>
        <w:t>e</w:t>
      </w:r>
      <w:r>
        <w:rPr>
          <w:spacing w:val="-2"/>
        </w:rPr>
        <w:t xml:space="preserve"> </w:t>
      </w:r>
      <w:r>
        <w:t>do</w:t>
      </w:r>
      <w:r>
        <w:rPr>
          <w:spacing w:val="-3"/>
        </w:rPr>
        <w:t>za</w:t>
      </w:r>
      <w:r>
        <w:rPr>
          <w:spacing w:val="-2"/>
        </w:rPr>
        <w:t xml:space="preserve"> </w:t>
      </w:r>
      <w:r>
        <w:rPr>
          <w:spacing w:val="1"/>
        </w:rPr>
        <w:t>l</w:t>
      </w:r>
      <w:r>
        <w:t>a</w:t>
      </w:r>
      <w:r>
        <w:rPr>
          <w:spacing w:val="-2"/>
        </w:rPr>
        <w:t xml:space="preserve"> </w:t>
      </w:r>
      <w:r>
        <w:t>40 </w:t>
      </w:r>
      <w:r>
        <w:rPr>
          <w:spacing w:val="-4"/>
        </w:rPr>
        <w:t>m</w:t>
      </w:r>
      <w:r>
        <w:t>g</w:t>
      </w:r>
      <w:r>
        <w:rPr>
          <w:spacing w:val="-3"/>
        </w:rPr>
        <w:t xml:space="preserve"> </w:t>
      </w:r>
      <w:r>
        <w:rPr>
          <w:spacing w:val="1"/>
        </w:rPr>
        <w:t>î</w:t>
      </w:r>
      <w:r>
        <w:t>n f</w:t>
      </w:r>
      <w:r>
        <w:rPr>
          <w:spacing w:val="1"/>
        </w:rPr>
        <w:t>i</w:t>
      </w:r>
      <w:r>
        <w:rPr>
          <w:spacing w:val="-3"/>
        </w:rPr>
        <w:t>e</w:t>
      </w:r>
      <w:r>
        <w:t>ca</w:t>
      </w:r>
      <w:r>
        <w:rPr>
          <w:spacing w:val="-2"/>
        </w:rPr>
        <w:t>r</w:t>
      </w:r>
      <w:r>
        <w:t>e s</w:t>
      </w:r>
      <w:r>
        <w:rPr>
          <w:spacing w:val="-3"/>
        </w:rPr>
        <w:t>ă</w:t>
      </w:r>
      <w:r>
        <w:t>p</w:t>
      </w:r>
      <w:r>
        <w:rPr>
          <w:spacing w:val="1"/>
        </w:rPr>
        <w:t>t</w:t>
      </w:r>
      <w:r>
        <w:t>ă</w:t>
      </w:r>
      <w:r>
        <w:rPr>
          <w:spacing w:val="-4"/>
        </w:rPr>
        <w:t>m</w:t>
      </w:r>
      <w:r>
        <w:t xml:space="preserve">ână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1DBD997D" w14:textId="77777777" w:rsidR="00C04CAD" w:rsidRDefault="00C04CAD">
      <w:pPr>
        <w:tabs>
          <w:tab w:val="clear" w:pos="567"/>
        </w:tabs>
        <w:kinsoku w:val="0"/>
        <w:overflowPunct w:val="0"/>
        <w:autoSpaceDE w:val="0"/>
        <w:autoSpaceDN w:val="0"/>
        <w:adjustRightInd w:val="0"/>
        <w:spacing w:line="240" w:lineRule="auto"/>
      </w:pPr>
    </w:p>
    <w:p w14:paraId="0DB6242F"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A</w:t>
      </w:r>
      <w:r>
        <w:rPr>
          <w:u w:val="single"/>
        </w:rPr>
        <w:t>du</w:t>
      </w:r>
      <w:r>
        <w:rPr>
          <w:spacing w:val="1"/>
          <w:u w:val="single"/>
        </w:rPr>
        <w:t>l</w:t>
      </w:r>
      <w:r>
        <w:rPr>
          <w:spacing w:val="-2"/>
          <w:u w:val="single"/>
        </w:rPr>
        <w:t>ţ</w:t>
      </w:r>
      <w:r>
        <w:rPr>
          <w:u w:val="single"/>
        </w:rPr>
        <w:t>i cu co</w:t>
      </w:r>
      <w:r>
        <w:rPr>
          <w:spacing w:val="-2"/>
          <w:u w:val="single"/>
        </w:rPr>
        <w:t>l</w:t>
      </w:r>
      <w:r>
        <w:rPr>
          <w:spacing w:val="1"/>
          <w:u w:val="single"/>
        </w:rPr>
        <w:t>i</w:t>
      </w:r>
      <w:r>
        <w:rPr>
          <w:spacing w:val="-2"/>
          <w:u w:val="single"/>
        </w:rPr>
        <w:t>t</w:t>
      </w:r>
      <w:r>
        <w:rPr>
          <w:u w:val="single"/>
        </w:rPr>
        <w:t>ă u</w:t>
      </w:r>
      <w:r>
        <w:rPr>
          <w:spacing w:val="-2"/>
          <w:u w:val="single"/>
        </w:rPr>
        <w:t>l</w:t>
      </w:r>
      <w:r>
        <w:rPr>
          <w:u w:val="single"/>
        </w:rPr>
        <w:t>c</w:t>
      </w:r>
      <w:r>
        <w:rPr>
          <w:spacing w:val="-3"/>
          <w:u w:val="single"/>
        </w:rPr>
        <w:t>e</w:t>
      </w:r>
      <w:r>
        <w:rPr>
          <w:u w:val="single"/>
        </w:rPr>
        <w:t>ra</w:t>
      </w:r>
      <w:r>
        <w:rPr>
          <w:spacing w:val="-2"/>
          <w:u w:val="single"/>
        </w:rPr>
        <w:t>t</w:t>
      </w:r>
      <w:r>
        <w:rPr>
          <w:spacing w:val="1"/>
          <w:u w:val="single"/>
        </w:rPr>
        <w:t>i</w:t>
      </w:r>
      <w:r>
        <w:rPr>
          <w:spacing w:val="-3"/>
          <w:u w:val="single"/>
        </w:rPr>
        <w:t>v</w:t>
      </w:r>
      <w:r>
        <w:rPr>
          <w:u w:val="single"/>
        </w:rPr>
        <w:t xml:space="preserve">ă </w:t>
      </w:r>
    </w:p>
    <w:p w14:paraId="1F96D566" w14:textId="77777777" w:rsidR="00C04CAD" w:rsidRDefault="00C04CAD">
      <w:pPr>
        <w:keepNext/>
        <w:tabs>
          <w:tab w:val="clear" w:pos="567"/>
        </w:tabs>
        <w:kinsoku w:val="0"/>
        <w:overflowPunct w:val="0"/>
        <w:autoSpaceDE w:val="0"/>
        <w:autoSpaceDN w:val="0"/>
        <w:adjustRightInd w:val="0"/>
        <w:spacing w:line="240" w:lineRule="auto"/>
      </w:pPr>
    </w:p>
    <w:p w14:paraId="788577FA"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ad</w:t>
      </w:r>
      <w:r>
        <w:rPr>
          <w:spacing w:val="-3"/>
        </w:rPr>
        <w:t>u</w:t>
      </w:r>
      <w:r>
        <w:rPr>
          <w:spacing w:val="-2"/>
        </w:rPr>
        <w:t>l</w:t>
      </w:r>
      <w:r>
        <w:rPr>
          <w:spacing w:val="1"/>
        </w:rPr>
        <w:t>ţ</w:t>
      </w:r>
      <w:r>
        <w:t>i</w:t>
      </w:r>
      <w:r>
        <w:rPr>
          <w:spacing w:val="1"/>
        </w:rPr>
        <w:t xml:space="preserve"> </w:t>
      </w:r>
      <w:r>
        <w:rPr>
          <w:spacing w:val="-3"/>
        </w:rPr>
        <w:t>c</w:t>
      </w:r>
      <w:r>
        <w:t>u c</w:t>
      </w:r>
      <w:r>
        <w:rPr>
          <w:spacing w:val="-3"/>
        </w:rPr>
        <w:t>o</w:t>
      </w:r>
      <w:r>
        <w:rPr>
          <w:spacing w:val="1"/>
        </w:rPr>
        <w:t>l</w:t>
      </w:r>
      <w:r>
        <w:rPr>
          <w:spacing w:val="-2"/>
        </w:rPr>
        <w:t>i</w:t>
      </w:r>
      <w:r>
        <w:rPr>
          <w:spacing w:val="1"/>
        </w:rPr>
        <w:t>t</w:t>
      </w:r>
      <w:r>
        <w:t>ă</w:t>
      </w:r>
      <w:r>
        <w:rPr>
          <w:spacing w:val="-2"/>
        </w:rPr>
        <w:t xml:space="preserve"> </w:t>
      </w:r>
      <w:r>
        <w:t>u</w:t>
      </w:r>
      <w:r>
        <w:rPr>
          <w:spacing w:val="1"/>
        </w:rPr>
        <w:t>l</w:t>
      </w:r>
      <w:r>
        <w:t>c</w:t>
      </w:r>
      <w:r>
        <w:rPr>
          <w:spacing w:val="-3"/>
        </w:rPr>
        <w:t>e</w:t>
      </w:r>
      <w:r>
        <w:t>r</w:t>
      </w:r>
      <w:r>
        <w:rPr>
          <w:spacing w:val="-3"/>
        </w:rPr>
        <w:t>a</w:t>
      </w:r>
      <w:r>
        <w:rPr>
          <w:spacing w:val="1"/>
        </w:rPr>
        <w:t>ti</w:t>
      </w:r>
      <w:r>
        <w:rPr>
          <w:spacing w:val="-3"/>
        </w:rPr>
        <w:t>v</w:t>
      </w:r>
      <w:r>
        <w:t>ă do</w:t>
      </w:r>
      <w:r>
        <w:rPr>
          <w:spacing w:val="-3"/>
        </w:rPr>
        <w:t>z</w:t>
      </w:r>
      <w:r>
        <w:t>a o</w:t>
      </w:r>
      <w:r>
        <w:rPr>
          <w:spacing w:val="-3"/>
        </w:rPr>
        <w:t>b</w:t>
      </w:r>
      <w:r>
        <w:rPr>
          <w:spacing w:val="1"/>
        </w:rPr>
        <w:t>i</w:t>
      </w:r>
      <w:r>
        <w:t>şn</w:t>
      </w:r>
      <w:r>
        <w:rPr>
          <w:spacing w:val="-3"/>
        </w:rPr>
        <w:t>u</w:t>
      </w:r>
      <w:r>
        <w:rPr>
          <w:spacing w:val="1"/>
        </w:rPr>
        <w:t>i</w:t>
      </w:r>
      <w:r>
        <w:rPr>
          <w:spacing w:val="-2"/>
        </w:rPr>
        <w:t>t</w:t>
      </w:r>
      <w:r>
        <w:t xml:space="preserve">ă </w:t>
      </w:r>
      <w:r>
        <w:rPr>
          <w:spacing w:val="-3"/>
        </w:rPr>
        <w:t>d</w:t>
      </w:r>
      <w:r>
        <w:t xml:space="preserve">e </w:t>
      </w:r>
      <w:r>
        <w:rPr>
          <w:spacing w:val="-1"/>
          <w:szCs w:val="22"/>
          <w:lang w:eastAsia="en-US" w:bidi="ar-SA"/>
        </w:rPr>
        <w:t>AMGEVITA</w:t>
      </w:r>
      <w:r>
        <w:t xml:space="preserve"> e</w:t>
      </w:r>
      <w:r>
        <w:rPr>
          <w:spacing w:val="-2"/>
        </w:rPr>
        <w:t>s</w:t>
      </w:r>
      <w:r>
        <w:rPr>
          <w:spacing w:val="1"/>
        </w:rPr>
        <w:t>t</w:t>
      </w:r>
      <w:r>
        <w:t>e 160</w:t>
      </w:r>
      <w:r>
        <w:rPr>
          <w:spacing w:val="-3"/>
        </w:rPr>
        <w:t> </w:t>
      </w:r>
      <w:r>
        <w:rPr>
          <w:spacing w:val="-2"/>
        </w:rPr>
        <w:t>m</w:t>
      </w:r>
      <w:r>
        <w:t>g</w:t>
      </w:r>
      <w:r>
        <w:rPr>
          <w:spacing w:val="-3"/>
        </w:rPr>
        <w:t xml:space="preserve"> </w:t>
      </w:r>
      <w:r>
        <w:rPr>
          <w:spacing w:val="-3"/>
          <w:szCs w:val="22"/>
          <w:lang w:eastAsia="en-US" w:bidi="ar-SA"/>
        </w:rPr>
        <w:t>iniţial</w:t>
      </w:r>
      <w:r>
        <w:t xml:space="preserve"> (sub</w:t>
      </w:r>
      <w:r>
        <w:rPr>
          <w:spacing w:val="-3"/>
        </w:rPr>
        <w:t xml:space="preserve"> </w:t>
      </w:r>
      <w:r>
        <w:t>f</w:t>
      </w:r>
      <w:r>
        <w:rPr>
          <w:spacing w:val="-3"/>
        </w:rPr>
        <w:t>o</w:t>
      </w:r>
      <w:r>
        <w:t>r</w:t>
      </w:r>
      <w:r>
        <w:rPr>
          <w:spacing w:val="-4"/>
        </w:rPr>
        <w:t>m</w:t>
      </w:r>
      <w:r>
        <w:t>ă de pa</w:t>
      </w:r>
      <w:r>
        <w:rPr>
          <w:spacing w:val="-2"/>
        </w:rPr>
        <w:t>t</w:t>
      </w:r>
      <w:r>
        <w:t xml:space="preserve">ru </w:t>
      </w:r>
      <w:r>
        <w:rPr>
          <w:spacing w:val="-2"/>
        </w:rPr>
        <w:t>i</w:t>
      </w:r>
      <w:r>
        <w:rPr>
          <w:spacing w:val="-3"/>
        </w:rPr>
        <w:t>n</w:t>
      </w:r>
      <w:r>
        <w:rPr>
          <w:spacing w:val="3"/>
        </w:rPr>
        <w:t>j</w:t>
      </w:r>
      <w:r>
        <w:rPr>
          <w:spacing w:val="-3"/>
        </w:rPr>
        <w:t>e</w:t>
      </w:r>
      <w:r>
        <w:t>c</w:t>
      </w:r>
      <w:r>
        <w:rPr>
          <w:spacing w:val="-2"/>
        </w:rPr>
        <w:t>ţ</w:t>
      </w:r>
      <w:r>
        <w:rPr>
          <w:spacing w:val="1"/>
        </w:rPr>
        <w:t>i</w:t>
      </w:r>
      <w:r>
        <w:t xml:space="preserve">i </w:t>
      </w:r>
      <w:r>
        <w:rPr>
          <w:szCs w:val="22"/>
          <w:lang w:eastAsia="en-US" w:bidi="ar-SA"/>
        </w:rPr>
        <w:t>a câte 40 mg</w:t>
      </w:r>
      <w:r>
        <w:rPr>
          <w:spacing w:val="-2"/>
          <w:szCs w:val="22"/>
          <w:lang w:eastAsia="en-US" w:bidi="ar-SA"/>
        </w:rPr>
        <w:t xml:space="preserve"> </w:t>
      </w:r>
      <w:r>
        <w:rPr>
          <w:spacing w:val="1"/>
        </w:rPr>
        <w:t>î</w:t>
      </w:r>
      <w:r>
        <w:rPr>
          <w:spacing w:val="-3"/>
        </w:rPr>
        <w:t>n</w:t>
      </w:r>
      <w:r>
        <w:rPr>
          <w:spacing w:val="1"/>
        </w:rPr>
        <w:t>t</w:t>
      </w:r>
      <w:r>
        <w:t>r</w:t>
      </w:r>
      <w:r>
        <w:rPr>
          <w:spacing w:val="-4"/>
        </w:rPr>
        <w:t>-</w:t>
      </w:r>
      <w:r>
        <w:t xml:space="preserve">o </w:t>
      </w:r>
      <w:r>
        <w:rPr>
          <w:spacing w:val="-3"/>
        </w:rPr>
        <w:t>z</w:t>
      </w:r>
      <w:r>
        <w:t>i</w:t>
      </w:r>
      <w:r>
        <w:rPr>
          <w:spacing w:val="1"/>
        </w:rPr>
        <w:t xml:space="preserve"> </w:t>
      </w:r>
      <w:r>
        <w:t>sau de</w:t>
      </w:r>
      <w:r>
        <w:rPr>
          <w:spacing w:val="-2"/>
        </w:rPr>
        <w:t xml:space="preserve"> </w:t>
      </w:r>
      <w:r>
        <w:t>două</w:t>
      </w:r>
      <w:r>
        <w:rPr>
          <w:spacing w:val="-2"/>
        </w:rPr>
        <w:t xml:space="preserve"> </w:t>
      </w:r>
      <w:r>
        <w:rPr>
          <w:spacing w:val="1"/>
        </w:rPr>
        <w:t>i</w:t>
      </w:r>
      <w:r>
        <w:rPr>
          <w:spacing w:val="-3"/>
        </w:rPr>
        <w:t>n</w:t>
      </w:r>
      <w:r>
        <w:rPr>
          <w:spacing w:val="1"/>
        </w:rPr>
        <w:t>j</w:t>
      </w:r>
      <w:r>
        <w:t>e</w:t>
      </w:r>
      <w:r>
        <w:rPr>
          <w:spacing w:val="-3"/>
        </w:rPr>
        <w:t>c</w:t>
      </w:r>
      <w:r>
        <w:rPr>
          <w:spacing w:val="1"/>
        </w:rPr>
        <w:t>ţ</w:t>
      </w:r>
      <w:r>
        <w:rPr>
          <w:spacing w:val="-2"/>
        </w:rPr>
        <w:t>i</w:t>
      </w:r>
      <w:r>
        <w:t>i</w:t>
      </w:r>
      <w:r>
        <w:rPr>
          <w:spacing w:val="1"/>
        </w:rPr>
        <w:t xml:space="preserve"> </w:t>
      </w:r>
      <w:r>
        <w:rPr>
          <w:spacing w:val="1"/>
          <w:szCs w:val="22"/>
          <w:lang w:eastAsia="en-US" w:bidi="ar-SA"/>
        </w:rPr>
        <w:t xml:space="preserve">a câte 40 mg </w:t>
      </w:r>
      <w:r>
        <w:t xml:space="preserve">pe </w:t>
      </w:r>
      <w:r>
        <w:rPr>
          <w:spacing w:val="-3"/>
        </w:rPr>
        <w:t>z</w:t>
      </w:r>
      <w:r>
        <w:rPr>
          <w:spacing w:val="1"/>
        </w:rPr>
        <w:t>i</w:t>
      </w:r>
      <w:r>
        <w:t>,</w:t>
      </w:r>
      <w:r>
        <w:rPr>
          <w:spacing w:val="-3"/>
        </w:rPr>
        <w:t xml:space="preserve"> </w:t>
      </w:r>
      <w:r>
        <w:t xml:space="preserve">două </w:t>
      </w:r>
      <w:r>
        <w:rPr>
          <w:spacing w:val="-3"/>
        </w:rPr>
        <w:t>z</w:t>
      </w:r>
      <w:r>
        <w:rPr>
          <w:spacing w:val="1"/>
        </w:rPr>
        <w:t>i</w:t>
      </w:r>
      <w:r>
        <w:rPr>
          <w:spacing w:val="-2"/>
        </w:rPr>
        <w:t>l</w:t>
      </w:r>
      <w:r>
        <w:t>e cons</w:t>
      </w:r>
      <w:r>
        <w:rPr>
          <w:spacing w:val="-3"/>
        </w:rPr>
        <w:t>e</w:t>
      </w:r>
      <w:r>
        <w:t>cu</w:t>
      </w:r>
      <w:r>
        <w:rPr>
          <w:spacing w:val="-2"/>
        </w:rPr>
        <w:t>t</w:t>
      </w:r>
      <w:r>
        <w:rPr>
          <w:spacing w:val="1"/>
        </w:rPr>
        <w:t>i</w:t>
      </w:r>
      <w:r>
        <w:rPr>
          <w:spacing w:val="-3"/>
        </w:rPr>
        <w:t>v</w:t>
      </w:r>
      <w:r>
        <w:rPr>
          <w:szCs w:val="22"/>
          <w:lang w:eastAsia="en-US" w:bidi="ar-SA"/>
        </w:rPr>
        <w:t>), urmate de</w:t>
      </w:r>
      <w:r>
        <w:rPr>
          <w:spacing w:val="-2"/>
        </w:rPr>
        <w:t xml:space="preserve"> </w:t>
      </w:r>
      <w:r>
        <w:t>80 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zCs w:val="22"/>
          <w:lang w:eastAsia="en-US" w:bidi="ar-SA"/>
        </w:rPr>
        <w:t>două săptamâni mai târziu</w:t>
      </w:r>
      <w:r>
        <w:rPr>
          <w:spacing w:val="1"/>
          <w:szCs w:val="22"/>
          <w:lang w:eastAsia="en-US" w:bidi="ar-SA"/>
        </w:rPr>
        <w:t>,</w:t>
      </w:r>
      <w:r>
        <w:t xml:space="preserve"> şi</w:t>
      </w:r>
      <w:r>
        <w:rPr>
          <w:spacing w:val="-2"/>
        </w:rPr>
        <w:t xml:space="preserve"> </w:t>
      </w:r>
      <w:r>
        <w:t>după</w:t>
      </w:r>
      <w:r>
        <w:rPr>
          <w:spacing w:val="-2"/>
        </w:rPr>
        <w:t xml:space="preserve"> </w:t>
      </w:r>
      <w:r>
        <w:t>ac</w:t>
      </w:r>
      <w:r>
        <w:rPr>
          <w:spacing w:val="-3"/>
        </w:rPr>
        <w:t>e</w:t>
      </w:r>
      <w:r>
        <w:t>ea 40</w:t>
      </w:r>
      <w:r>
        <w:rPr>
          <w:spacing w:val="-5"/>
        </w:rPr>
        <w:t> </w:t>
      </w:r>
      <w:r>
        <w:rPr>
          <w:spacing w:val="-2"/>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w:t>
      </w:r>
      <w:r>
        <w:rPr>
          <w:spacing w:val="1"/>
        </w:rPr>
        <w:t>i</w:t>
      </w:r>
      <w:r>
        <w:t xml:space="preserve">. </w:t>
      </w:r>
      <w:r>
        <w:rPr>
          <w:spacing w:val="-4"/>
        </w:rPr>
        <w:t>Î</w:t>
      </w:r>
      <w:r>
        <w:t>n f</w:t>
      </w:r>
      <w:r>
        <w:rPr>
          <w:spacing w:val="-3"/>
        </w:rPr>
        <w:t>u</w:t>
      </w:r>
      <w:r>
        <w:t>nc</w:t>
      </w:r>
      <w:r>
        <w:rPr>
          <w:spacing w:val="-2"/>
        </w:rPr>
        <w:t>ţ</w:t>
      </w:r>
      <w:r>
        <w:rPr>
          <w:spacing w:val="1"/>
        </w:rPr>
        <w:t>i</w:t>
      </w:r>
      <w:r>
        <w:t>e de</w:t>
      </w:r>
      <w:r>
        <w:rPr>
          <w:spacing w:val="-2"/>
        </w:rPr>
        <w:t xml:space="preserve"> </w:t>
      </w:r>
      <w:r>
        <w:t>r</w:t>
      </w:r>
      <w:r>
        <w:rPr>
          <w:spacing w:val="-3"/>
        </w:rPr>
        <w:t>ă</w:t>
      </w:r>
      <w:r>
        <w:t>spun</w:t>
      </w:r>
      <w:r>
        <w:rPr>
          <w:spacing w:val="-2"/>
        </w:rPr>
        <w:t>s</w:t>
      </w:r>
      <w:r>
        <w:t>ul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du</w:t>
      </w:r>
      <w:r>
        <w:rPr>
          <w:spacing w:val="-4"/>
        </w:rPr>
        <w:t>m</w:t>
      </w:r>
      <w:r>
        <w:t>nea</w:t>
      </w:r>
      <w:r>
        <w:rPr>
          <w:spacing w:val="-3"/>
        </w:rPr>
        <w:t>v</w:t>
      </w:r>
      <w:r>
        <w:t>oas</w:t>
      </w:r>
      <w:r>
        <w:rPr>
          <w:spacing w:val="-2"/>
        </w:rPr>
        <w:t>t</w:t>
      </w:r>
      <w:r>
        <w:t xml:space="preserve">ră </w:t>
      </w:r>
      <w:r>
        <w:rPr>
          <w:spacing w:val="-3"/>
        </w:rPr>
        <w:t>p</w:t>
      </w:r>
      <w:r>
        <w:t>oa</w:t>
      </w:r>
      <w:r>
        <w:rPr>
          <w:spacing w:val="1"/>
        </w:rPr>
        <w:t>t</w:t>
      </w:r>
      <w:r>
        <w:t>e</w:t>
      </w:r>
      <w:r>
        <w:rPr>
          <w:spacing w:val="-2"/>
        </w:rPr>
        <w:t xml:space="preserve"> </w:t>
      </w:r>
      <w:r>
        <w:t>cr</w:t>
      </w:r>
      <w:r>
        <w:rPr>
          <w:spacing w:val="-3"/>
        </w:rPr>
        <w:t>e</w:t>
      </w:r>
      <w:r>
        <w:t>ş</w:t>
      </w:r>
      <w:r>
        <w:rPr>
          <w:spacing w:val="-2"/>
        </w:rPr>
        <w:t>t</w:t>
      </w:r>
      <w:r>
        <w:t>e do</w:t>
      </w:r>
      <w:r>
        <w:rPr>
          <w:spacing w:val="-3"/>
        </w:rPr>
        <w:t>z</w:t>
      </w:r>
      <w:r>
        <w:t xml:space="preserve">a </w:t>
      </w:r>
      <w:r>
        <w:rPr>
          <w:spacing w:val="-2"/>
        </w:rPr>
        <w:t>l</w:t>
      </w:r>
      <w:r>
        <w:t>a 40 </w:t>
      </w:r>
      <w:r>
        <w:rPr>
          <w:spacing w:val="-4"/>
        </w:rPr>
        <w:t>m</w:t>
      </w:r>
      <w:r>
        <w:t>g</w:t>
      </w:r>
      <w:r>
        <w:rPr>
          <w:spacing w:val="-3"/>
        </w:rPr>
        <w:t xml:space="preserve"> </w:t>
      </w:r>
      <w:r>
        <w:rPr>
          <w:spacing w:val="2"/>
        </w:rPr>
        <w:t>s</w:t>
      </w:r>
      <w:r>
        <w:t>ăp</w:t>
      </w:r>
      <w:r>
        <w:rPr>
          <w:spacing w:val="1"/>
        </w:rPr>
        <w:t>t</w:t>
      </w:r>
      <w:r>
        <w:t>ă</w:t>
      </w:r>
      <w:r>
        <w:rPr>
          <w:spacing w:val="-4"/>
        </w:rPr>
        <w:t>m</w:t>
      </w:r>
      <w:r>
        <w:t>âna</w:t>
      </w:r>
      <w:r>
        <w:rPr>
          <w:spacing w:val="1"/>
        </w:rPr>
        <w:t xml:space="preserve">l </w:t>
      </w:r>
      <w:r>
        <w:t xml:space="preserve">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3358AE6D" w14:textId="77777777" w:rsidR="00C04CAD" w:rsidRDefault="00C04CAD">
      <w:pPr>
        <w:tabs>
          <w:tab w:val="clear" w:pos="567"/>
        </w:tabs>
        <w:kinsoku w:val="0"/>
        <w:overflowPunct w:val="0"/>
        <w:autoSpaceDE w:val="0"/>
        <w:autoSpaceDN w:val="0"/>
        <w:adjustRightInd w:val="0"/>
        <w:spacing w:line="240" w:lineRule="auto"/>
      </w:pPr>
    </w:p>
    <w:p w14:paraId="6C286822"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cu colită ulcerativă </w:t>
      </w:r>
    </w:p>
    <w:p w14:paraId="652FC6B4"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74E6C606"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mai mică de 40 kg </w:t>
      </w:r>
    </w:p>
    <w:p w14:paraId="5447BDD4"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5F4A4C5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80 mg (sub formă de două injecții a 40 mg într-o zi), urmată de 40 mg (sub formă de o injecție a 40 mg) două săptămâni mai târziu. Ulterior, doza uzuală este de 40 mg la două săptămâni. </w:t>
      </w:r>
    </w:p>
    <w:p w14:paraId="405FE67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A197843"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Pacienții care împlinesc vârsta de 18 ani în timp ce li se administrează doza de 40 mg la două săptămâni, trebuie să continue cu doza prescrisă. </w:t>
      </w:r>
    </w:p>
    <w:p w14:paraId="7E27870A"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4D748FA1"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de 40 kg sau mai mult </w:t>
      </w:r>
    </w:p>
    <w:p w14:paraId="0BB6FD37"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61CE5C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160 mg (sub formă de patru injecții a 40 mg într-o zi sau de două injecții a 40 mg pe zi timp de două zile consecutive), urmată de 80 mg (sub formă de două injecții a 40 mg într-o zi) două săptămâni mai târziu. Ulterior, doza uzuală este de 80 mg la două săptămâni. </w:t>
      </w:r>
    </w:p>
    <w:p w14:paraId="1DA798A6"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4197E93A" w14:textId="77777777" w:rsidR="00C04CAD" w:rsidRDefault="00060E34">
      <w:pPr>
        <w:tabs>
          <w:tab w:val="clear" w:pos="567"/>
        </w:tabs>
        <w:kinsoku w:val="0"/>
        <w:overflowPunct w:val="0"/>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împlinesc vârsta de 18 ani în timp ce li se administrează doza de 80 mg la două săptămâni trebuie să continue cu doza prescrisă.</w:t>
      </w:r>
    </w:p>
    <w:p w14:paraId="7BDB3680"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23C6C3F0" w14:textId="77777777" w:rsidR="00C04CAD" w:rsidRDefault="00060E34">
      <w:pPr>
        <w:tabs>
          <w:tab w:val="clear" w:pos="567"/>
        </w:tabs>
        <w:kinsoku w:val="0"/>
        <w:overflowPunct w:val="0"/>
        <w:autoSpaceDE w:val="0"/>
        <w:autoSpaceDN w:val="0"/>
        <w:adjustRightInd w:val="0"/>
        <w:spacing w:line="240" w:lineRule="auto"/>
      </w:pPr>
      <w:r>
        <w:rPr>
          <w:spacing w:val="-1"/>
          <w:u w:val="single"/>
        </w:rPr>
        <w:t>A</w:t>
      </w:r>
      <w:r>
        <w:rPr>
          <w:u w:val="single"/>
        </w:rPr>
        <w:t>du</w:t>
      </w:r>
      <w:r>
        <w:rPr>
          <w:spacing w:val="1"/>
          <w:u w:val="single"/>
        </w:rPr>
        <w:t>l</w:t>
      </w:r>
      <w:r>
        <w:rPr>
          <w:spacing w:val="-2"/>
          <w:u w:val="single"/>
        </w:rPr>
        <w:t>ț</w:t>
      </w:r>
      <w:r>
        <w:rPr>
          <w:u w:val="single"/>
        </w:rPr>
        <w:t>i cu u</w:t>
      </w:r>
      <w:r>
        <w:rPr>
          <w:spacing w:val="-3"/>
          <w:u w:val="single"/>
        </w:rPr>
        <w:t>v</w:t>
      </w:r>
      <w:r>
        <w:rPr>
          <w:u w:val="single"/>
        </w:rPr>
        <w:t>e</w:t>
      </w:r>
      <w:r>
        <w:rPr>
          <w:spacing w:val="1"/>
          <w:u w:val="single"/>
        </w:rPr>
        <w:t>it</w:t>
      </w:r>
      <w:r>
        <w:rPr>
          <w:u w:val="single"/>
        </w:rPr>
        <w:t>ă non</w:t>
      </w:r>
      <w:r>
        <w:rPr>
          <w:spacing w:val="-4"/>
          <w:u w:val="single"/>
        </w:rPr>
        <w:t>-</w:t>
      </w:r>
      <w:r>
        <w:rPr>
          <w:spacing w:val="1"/>
          <w:u w:val="single"/>
        </w:rPr>
        <w:t>i</w:t>
      </w:r>
      <w:r>
        <w:rPr>
          <w:u w:val="single"/>
        </w:rPr>
        <w:t>nfe</w:t>
      </w:r>
      <w:r>
        <w:rPr>
          <w:spacing w:val="-3"/>
          <w:u w:val="single"/>
        </w:rPr>
        <w:t>c</w:t>
      </w:r>
      <w:r>
        <w:rPr>
          <w:spacing w:val="1"/>
          <w:u w:val="single"/>
        </w:rPr>
        <w:t>ţ</w:t>
      </w:r>
      <w:r>
        <w:rPr>
          <w:spacing w:val="-2"/>
          <w:u w:val="single"/>
        </w:rPr>
        <w:t>i</w:t>
      </w:r>
      <w:r>
        <w:rPr>
          <w:u w:val="single"/>
        </w:rPr>
        <w:t>oasă</w:t>
      </w:r>
    </w:p>
    <w:p w14:paraId="1B579659" w14:textId="77777777" w:rsidR="00C04CAD" w:rsidRDefault="00C04CAD">
      <w:pPr>
        <w:tabs>
          <w:tab w:val="clear" w:pos="567"/>
        </w:tabs>
        <w:kinsoku w:val="0"/>
        <w:overflowPunct w:val="0"/>
        <w:autoSpaceDE w:val="0"/>
        <w:autoSpaceDN w:val="0"/>
        <w:adjustRightInd w:val="0"/>
        <w:spacing w:line="240" w:lineRule="auto"/>
        <w:rPr>
          <w:szCs w:val="22"/>
        </w:rPr>
      </w:pPr>
    </w:p>
    <w:p w14:paraId="0A2F84BD"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o</w:t>
      </w:r>
      <w:r>
        <w:rPr>
          <w:spacing w:val="-3"/>
          <w:szCs w:val="22"/>
        </w:rPr>
        <w:t>z</w:t>
      </w:r>
      <w:r>
        <w:rPr>
          <w:szCs w:val="22"/>
        </w:rPr>
        <w:t xml:space="preserve">a </w:t>
      </w:r>
      <w:r>
        <w:rPr>
          <w:spacing w:val="-2"/>
        </w:rPr>
        <w:t>recomandat</w:t>
      </w:r>
      <w:r>
        <w:t>ă</w:t>
      </w:r>
      <w:r>
        <w:rPr>
          <w:szCs w:val="22"/>
        </w:rPr>
        <w:t xml:space="preserve"> pe</w:t>
      </w:r>
      <w:r>
        <w:rPr>
          <w:spacing w:val="-3"/>
          <w:szCs w:val="22"/>
        </w:rPr>
        <w:t>n</w:t>
      </w:r>
      <w:r>
        <w:rPr>
          <w:spacing w:val="1"/>
          <w:szCs w:val="22"/>
        </w:rPr>
        <w:t>t</w:t>
      </w:r>
      <w:r>
        <w:rPr>
          <w:szCs w:val="22"/>
        </w:rPr>
        <w:t>ru</w:t>
      </w:r>
      <w:r>
        <w:rPr>
          <w:spacing w:val="-3"/>
          <w:szCs w:val="22"/>
        </w:rPr>
        <w:t xml:space="preserve"> </w:t>
      </w:r>
      <w:r>
        <w:rPr>
          <w:szCs w:val="22"/>
        </w:rPr>
        <w:t>ad</w:t>
      </w:r>
      <w:r>
        <w:rPr>
          <w:spacing w:val="-3"/>
          <w:szCs w:val="22"/>
        </w:rPr>
        <w:t>u</w:t>
      </w:r>
      <w:r>
        <w:rPr>
          <w:spacing w:val="1"/>
          <w:szCs w:val="22"/>
        </w:rPr>
        <w:t>l</w:t>
      </w:r>
      <w:r>
        <w:rPr>
          <w:spacing w:val="-2"/>
          <w:szCs w:val="22"/>
        </w:rPr>
        <w:t>ț</w:t>
      </w:r>
      <w:r>
        <w:rPr>
          <w:spacing w:val="1"/>
          <w:szCs w:val="22"/>
        </w:rPr>
        <w:t>i</w:t>
      </w:r>
      <w:r>
        <w:rPr>
          <w:szCs w:val="22"/>
        </w:rPr>
        <w:t>i</w:t>
      </w:r>
      <w:r>
        <w:rPr>
          <w:spacing w:val="-2"/>
          <w:szCs w:val="22"/>
        </w:rPr>
        <w:t xml:space="preserve"> </w:t>
      </w:r>
      <w:r>
        <w:rPr>
          <w:szCs w:val="22"/>
        </w:rPr>
        <w:t>cu u</w:t>
      </w:r>
      <w:r>
        <w:rPr>
          <w:spacing w:val="-3"/>
          <w:szCs w:val="22"/>
        </w:rPr>
        <w:t>v</w:t>
      </w:r>
      <w:r>
        <w:rPr>
          <w:szCs w:val="22"/>
        </w:rPr>
        <w:t>e</w:t>
      </w:r>
      <w:r>
        <w:rPr>
          <w:spacing w:val="1"/>
          <w:szCs w:val="22"/>
        </w:rPr>
        <w:t>i</w:t>
      </w:r>
      <w:r>
        <w:rPr>
          <w:spacing w:val="-2"/>
          <w:szCs w:val="22"/>
        </w:rPr>
        <w:t>t</w:t>
      </w:r>
      <w:r>
        <w:rPr>
          <w:szCs w:val="22"/>
        </w:rPr>
        <w:t>ă non</w:t>
      </w:r>
      <w:r>
        <w:rPr>
          <w:spacing w:val="-4"/>
          <w:szCs w:val="22"/>
        </w:rPr>
        <w:t>-</w:t>
      </w:r>
      <w:r>
        <w:rPr>
          <w:spacing w:val="1"/>
          <w:szCs w:val="22"/>
        </w:rPr>
        <w:t>i</w:t>
      </w:r>
      <w:r>
        <w:rPr>
          <w:szCs w:val="22"/>
        </w:rPr>
        <w:t>nfe</w:t>
      </w:r>
      <w:r>
        <w:rPr>
          <w:spacing w:val="-2"/>
          <w:szCs w:val="22"/>
        </w:rPr>
        <w:t>c</w:t>
      </w:r>
      <w:r>
        <w:rPr>
          <w:spacing w:val="1"/>
          <w:szCs w:val="22"/>
        </w:rPr>
        <w:t>ţ</w:t>
      </w:r>
      <w:r>
        <w:rPr>
          <w:spacing w:val="-2"/>
          <w:szCs w:val="22"/>
        </w:rPr>
        <w:t>i</w:t>
      </w:r>
      <w:r>
        <w:rPr>
          <w:szCs w:val="22"/>
        </w:rPr>
        <w:t>oa</w:t>
      </w:r>
      <w:r>
        <w:rPr>
          <w:spacing w:val="-2"/>
          <w:szCs w:val="22"/>
        </w:rPr>
        <w:t>s</w:t>
      </w:r>
      <w:r>
        <w:rPr>
          <w:szCs w:val="22"/>
        </w:rPr>
        <w:t>ă e</w:t>
      </w:r>
      <w:r>
        <w:rPr>
          <w:spacing w:val="-2"/>
          <w:szCs w:val="22"/>
        </w:rPr>
        <w:t>s</w:t>
      </w:r>
      <w:r>
        <w:rPr>
          <w:spacing w:val="1"/>
          <w:szCs w:val="22"/>
        </w:rPr>
        <w:t>t</w:t>
      </w:r>
      <w:r>
        <w:rPr>
          <w:szCs w:val="22"/>
        </w:rPr>
        <w:t>e o do</w:t>
      </w:r>
      <w:r>
        <w:rPr>
          <w:spacing w:val="-3"/>
          <w:szCs w:val="22"/>
        </w:rPr>
        <w:t>z</w:t>
      </w:r>
      <w:r>
        <w:rPr>
          <w:szCs w:val="22"/>
        </w:rPr>
        <w:t>ă</w:t>
      </w:r>
      <w:r>
        <w:rPr>
          <w:spacing w:val="-2"/>
          <w:szCs w:val="22"/>
        </w:rPr>
        <w:t xml:space="preserve"> </w:t>
      </w:r>
      <w:r>
        <w:rPr>
          <w:spacing w:val="1"/>
          <w:szCs w:val="22"/>
        </w:rPr>
        <w:t>i</w:t>
      </w:r>
      <w:r>
        <w:rPr>
          <w:szCs w:val="22"/>
        </w:rPr>
        <w:t>n</w:t>
      </w:r>
      <w:r>
        <w:rPr>
          <w:spacing w:val="-2"/>
          <w:szCs w:val="22"/>
        </w:rPr>
        <w:t>i</w:t>
      </w:r>
      <w:r>
        <w:rPr>
          <w:spacing w:val="1"/>
          <w:szCs w:val="22"/>
        </w:rPr>
        <w:t>ț</w:t>
      </w:r>
      <w:r>
        <w:rPr>
          <w:spacing w:val="-2"/>
          <w:szCs w:val="22"/>
        </w:rPr>
        <w:t>i</w:t>
      </w:r>
      <w:r>
        <w:rPr>
          <w:szCs w:val="22"/>
        </w:rPr>
        <w:t>a</w:t>
      </w:r>
      <w:r>
        <w:rPr>
          <w:spacing w:val="-2"/>
          <w:szCs w:val="22"/>
        </w:rPr>
        <w:t>l</w:t>
      </w:r>
      <w:r>
        <w:rPr>
          <w:szCs w:val="22"/>
        </w:rPr>
        <w:t xml:space="preserve">ă de </w:t>
      </w:r>
      <w:r>
        <w:rPr>
          <w:spacing w:val="-3"/>
          <w:szCs w:val="22"/>
        </w:rPr>
        <w:t>8</w:t>
      </w:r>
      <w:r>
        <w:rPr>
          <w:szCs w:val="22"/>
        </w:rPr>
        <w:t>0 </w:t>
      </w:r>
      <w:r>
        <w:rPr>
          <w:spacing w:val="-4"/>
          <w:szCs w:val="22"/>
        </w:rPr>
        <w:t>m</w:t>
      </w:r>
      <w:r>
        <w:rPr>
          <w:spacing w:val="-3"/>
          <w:szCs w:val="22"/>
        </w:rPr>
        <w:t xml:space="preserve">g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rPr>
          <w:szCs w:val="22"/>
        </w:rPr>
        <w:t>,</w:t>
      </w:r>
      <w:r>
        <w:rPr>
          <w:spacing w:val="2"/>
          <w:szCs w:val="22"/>
        </w:rPr>
        <w:t xml:space="preserve"> </w:t>
      </w:r>
      <w:r>
        <w:rPr>
          <w:szCs w:val="22"/>
        </w:rPr>
        <w:t>ur</w:t>
      </w:r>
      <w:r>
        <w:rPr>
          <w:spacing w:val="-4"/>
          <w:szCs w:val="22"/>
        </w:rPr>
        <w:t>m</w:t>
      </w:r>
      <w:r>
        <w:rPr>
          <w:szCs w:val="22"/>
        </w:rPr>
        <w:t>a</w:t>
      </w:r>
      <w:r>
        <w:rPr>
          <w:spacing w:val="1"/>
          <w:szCs w:val="22"/>
        </w:rPr>
        <w:t>t</w:t>
      </w:r>
      <w:r>
        <w:rPr>
          <w:szCs w:val="22"/>
        </w:rPr>
        <w:t>ă de 40</w:t>
      </w:r>
      <w:r>
        <w:rPr>
          <w:spacing w:val="-3"/>
          <w:szCs w:val="22"/>
        </w:rPr>
        <w:t> </w:t>
      </w:r>
      <w:r>
        <w:rPr>
          <w:spacing w:val="-2"/>
          <w:szCs w:val="22"/>
        </w:rPr>
        <w:t>m</w:t>
      </w:r>
      <w:r>
        <w:rPr>
          <w:szCs w:val="22"/>
        </w:rPr>
        <w:t>g 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t</w:t>
      </w:r>
      <w:r>
        <w:rPr>
          <w:szCs w:val="22"/>
        </w:rPr>
        <w:t xml:space="preserve">ă o </w:t>
      </w:r>
      <w:r>
        <w:rPr>
          <w:spacing w:val="-3"/>
          <w:szCs w:val="22"/>
        </w:rPr>
        <w:t>d</w:t>
      </w:r>
      <w:r>
        <w:rPr>
          <w:szCs w:val="22"/>
        </w:rPr>
        <w:t>a</w:t>
      </w:r>
      <w:r>
        <w:rPr>
          <w:spacing w:val="-2"/>
          <w:szCs w:val="22"/>
        </w:rPr>
        <w:t>t</w:t>
      </w:r>
      <w:r>
        <w:rPr>
          <w:szCs w:val="22"/>
        </w:rPr>
        <w:t xml:space="preserve">ă </w:t>
      </w:r>
      <w:r>
        <w:rPr>
          <w:spacing w:val="1"/>
          <w:szCs w:val="22"/>
        </w:rPr>
        <w:t>l</w:t>
      </w:r>
      <w:r>
        <w:rPr>
          <w:szCs w:val="22"/>
        </w:rPr>
        <w:t>a</w:t>
      </w:r>
      <w:r>
        <w:rPr>
          <w:spacing w:val="-2"/>
          <w:szCs w:val="22"/>
        </w:rPr>
        <w:t xml:space="preserve"> </w:t>
      </w:r>
      <w:r>
        <w:rPr>
          <w:szCs w:val="22"/>
        </w:rPr>
        <w:t>două</w:t>
      </w:r>
      <w:r>
        <w:rPr>
          <w:spacing w:val="-2"/>
          <w:szCs w:val="22"/>
        </w:rPr>
        <w:t xml:space="preserve"> </w:t>
      </w:r>
      <w:r>
        <w:rPr>
          <w:szCs w:val="22"/>
        </w:rPr>
        <w:t>săp</w:t>
      </w:r>
      <w:r>
        <w:rPr>
          <w:spacing w:val="-2"/>
          <w:szCs w:val="22"/>
        </w:rPr>
        <w:t>t</w:t>
      </w:r>
      <w:r>
        <w:rPr>
          <w:szCs w:val="22"/>
        </w:rPr>
        <w:t>ă</w:t>
      </w:r>
      <w:r>
        <w:rPr>
          <w:spacing w:val="-4"/>
          <w:szCs w:val="22"/>
        </w:rPr>
        <w:t>m</w:t>
      </w:r>
      <w:r>
        <w:rPr>
          <w:szCs w:val="22"/>
        </w:rPr>
        <w:t>âni</w:t>
      </w:r>
      <w:r>
        <w:rPr>
          <w:spacing w:val="1"/>
          <w:szCs w:val="22"/>
        </w:rPr>
        <w:t xml:space="preserve"> î</w:t>
      </w:r>
      <w:r>
        <w:rPr>
          <w:szCs w:val="22"/>
        </w:rPr>
        <w:t>n</w:t>
      </w:r>
      <w:r>
        <w:rPr>
          <w:spacing w:val="-3"/>
          <w:szCs w:val="22"/>
        </w:rPr>
        <w:t>c</w:t>
      </w:r>
      <w:r>
        <w:rPr>
          <w:szCs w:val="22"/>
        </w:rPr>
        <w:t>epâ</w:t>
      </w:r>
      <w:r>
        <w:rPr>
          <w:spacing w:val="-3"/>
          <w:szCs w:val="22"/>
        </w:rPr>
        <w:t>n</w:t>
      </w:r>
      <w:r>
        <w:rPr>
          <w:szCs w:val="22"/>
        </w:rPr>
        <w:t xml:space="preserve">d cu </w:t>
      </w:r>
      <w:r>
        <w:rPr>
          <w:spacing w:val="-3"/>
          <w:szCs w:val="22"/>
        </w:rPr>
        <w:t>p</w:t>
      </w:r>
      <w:r>
        <w:rPr>
          <w:szCs w:val="22"/>
        </w:rPr>
        <w:t>r</w:t>
      </w:r>
      <w:r>
        <w:rPr>
          <w:spacing w:val="-2"/>
          <w:szCs w:val="22"/>
        </w:rPr>
        <w:t>i</w:t>
      </w:r>
      <w:r>
        <w:rPr>
          <w:spacing w:val="-4"/>
          <w:szCs w:val="22"/>
        </w:rPr>
        <w:t>m</w:t>
      </w:r>
      <w:r>
        <w:rPr>
          <w:szCs w:val="22"/>
        </w:rPr>
        <w:t>a săp</w:t>
      </w:r>
      <w:r>
        <w:rPr>
          <w:spacing w:val="1"/>
          <w:szCs w:val="22"/>
        </w:rPr>
        <w:t>t</w:t>
      </w:r>
      <w:r>
        <w:rPr>
          <w:szCs w:val="22"/>
        </w:rPr>
        <w:t>ă</w:t>
      </w:r>
      <w:r>
        <w:rPr>
          <w:spacing w:val="-4"/>
          <w:szCs w:val="22"/>
        </w:rPr>
        <w:t>m</w:t>
      </w:r>
      <w:r>
        <w:rPr>
          <w:szCs w:val="22"/>
        </w:rPr>
        <w:t>ână după do</w:t>
      </w:r>
      <w:r>
        <w:rPr>
          <w:spacing w:val="-3"/>
          <w:szCs w:val="22"/>
        </w:rPr>
        <w:t>z</w:t>
      </w:r>
      <w:r>
        <w:rPr>
          <w:szCs w:val="22"/>
        </w:rPr>
        <w:t>a</w:t>
      </w:r>
      <w:r>
        <w:rPr>
          <w:spacing w:val="-2"/>
          <w:szCs w:val="22"/>
        </w:rPr>
        <w:t xml:space="preserve"> </w:t>
      </w:r>
      <w:r>
        <w:rPr>
          <w:spacing w:val="1"/>
          <w:szCs w:val="22"/>
        </w:rPr>
        <w:t>i</w:t>
      </w:r>
      <w:r>
        <w:rPr>
          <w:spacing w:val="-3"/>
          <w:szCs w:val="22"/>
        </w:rPr>
        <w:t>n</w:t>
      </w:r>
      <w:r>
        <w:rPr>
          <w:spacing w:val="1"/>
          <w:szCs w:val="22"/>
        </w:rPr>
        <w:t>i</w:t>
      </w:r>
      <w:r>
        <w:rPr>
          <w:spacing w:val="-2"/>
          <w:szCs w:val="22"/>
        </w:rPr>
        <w:t>ț</w:t>
      </w:r>
      <w:r>
        <w:rPr>
          <w:spacing w:val="1"/>
          <w:szCs w:val="22"/>
        </w:rPr>
        <w:t>i</w:t>
      </w:r>
      <w:r>
        <w:rPr>
          <w:szCs w:val="22"/>
        </w:rPr>
        <w:t>a</w:t>
      </w:r>
      <w:r>
        <w:rPr>
          <w:spacing w:val="-2"/>
          <w:szCs w:val="22"/>
        </w:rPr>
        <w:t>l</w:t>
      </w:r>
      <w:r>
        <w:rPr>
          <w:szCs w:val="22"/>
        </w:rPr>
        <w:t>ă.</w:t>
      </w:r>
      <w:r>
        <w:rPr>
          <w:spacing w:val="-3"/>
          <w:szCs w:val="22"/>
        </w:rPr>
        <w:t xml:space="preserve"> </w:t>
      </w:r>
      <w:r>
        <w:rPr>
          <w:spacing w:val="2"/>
          <w:szCs w:val="22"/>
        </w:rPr>
        <w:t>T</w:t>
      </w:r>
      <w:r>
        <w:rPr>
          <w:spacing w:val="-2"/>
          <w:szCs w:val="22"/>
        </w:rPr>
        <w:t>r</w:t>
      </w:r>
      <w:r>
        <w:rPr>
          <w:szCs w:val="22"/>
        </w:rPr>
        <w:t>eb</w:t>
      </w:r>
      <w:r>
        <w:rPr>
          <w:spacing w:val="-3"/>
          <w:szCs w:val="22"/>
        </w:rPr>
        <w:t>u</w:t>
      </w:r>
      <w:r>
        <w:rPr>
          <w:spacing w:val="1"/>
          <w:szCs w:val="22"/>
        </w:rPr>
        <w:t>i</w:t>
      </w:r>
      <w:r>
        <w:rPr>
          <w:szCs w:val="22"/>
        </w:rPr>
        <w:t xml:space="preserve">e </w:t>
      </w:r>
      <w:r>
        <w:rPr>
          <w:spacing w:val="-2"/>
          <w:szCs w:val="22"/>
        </w:rPr>
        <w:t xml:space="preserve">să </w:t>
      </w:r>
      <w:r>
        <w:rPr>
          <w:szCs w:val="22"/>
        </w:rPr>
        <w:t>con</w:t>
      </w:r>
      <w:r>
        <w:rPr>
          <w:spacing w:val="-2"/>
          <w:szCs w:val="22"/>
        </w:rPr>
        <w:t>t</w:t>
      </w:r>
      <w:r>
        <w:rPr>
          <w:spacing w:val="1"/>
          <w:szCs w:val="22"/>
        </w:rPr>
        <w:t>i</w:t>
      </w:r>
      <w:r>
        <w:rPr>
          <w:szCs w:val="22"/>
        </w:rPr>
        <w:t>nu</w:t>
      </w:r>
      <w:r>
        <w:rPr>
          <w:spacing w:val="-3"/>
          <w:szCs w:val="22"/>
        </w:rPr>
        <w:t>a</w:t>
      </w:r>
      <w:r>
        <w:rPr>
          <w:spacing w:val="1"/>
          <w:szCs w:val="22"/>
        </w:rPr>
        <w:t>ț</w:t>
      </w:r>
      <w:r>
        <w:rPr>
          <w:szCs w:val="22"/>
        </w:rPr>
        <w:t>i</w:t>
      </w:r>
      <w:r>
        <w:rPr>
          <w:spacing w:val="-2"/>
          <w:szCs w:val="22"/>
        </w:rPr>
        <w:t xml:space="preserve"> </w:t>
      </w:r>
      <w:r>
        <w:rPr>
          <w:szCs w:val="22"/>
        </w:rPr>
        <w:t xml:space="preserve">să </w:t>
      </w:r>
      <w:r>
        <w:rPr>
          <w:spacing w:val="-3"/>
          <w:szCs w:val="22"/>
        </w:rPr>
        <w:t>u</w:t>
      </w:r>
      <w:r>
        <w:rPr>
          <w:spacing w:val="1"/>
          <w:szCs w:val="22"/>
        </w:rPr>
        <w:t>t</w:t>
      </w:r>
      <w:r>
        <w:rPr>
          <w:spacing w:val="-2"/>
          <w:szCs w:val="22"/>
        </w:rPr>
        <w:t>i</w:t>
      </w:r>
      <w:r>
        <w:rPr>
          <w:spacing w:val="1"/>
          <w:szCs w:val="22"/>
        </w:rPr>
        <w:t>li</w:t>
      </w:r>
      <w:r>
        <w:rPr>
          <w:spacing w:val="-3"/>
          <w:szCs w:val="22"/>
        </w:rPr>
        <w:t>za</w:t>
      </w:r>
      <w:r>
        <w:rPr>
          <w:spacing w:val="1"/>
          <w:szCs w:val="22"/>
        </w:rPr>
        <w:t>ţ</w:t>
      </w:r>
      <w:r>
        <w:rPr>
          <w:szCs w:val="22"/>
        </w:rPr>
        <w:t>i</w:t>
      </w:r>
      <w:r>
        <w:rPr>
          <w:spacing w:val="1"/>
          <w:szCs w:val="22"/>
        </w:rPr>
        <w:t xml:space="preserve"> </w:t>
      </w:r>
      <w:r>
        <w:rPr>
          <w:spacing w:val="-1"/>
          <w:szCs w:val="22"/>
          <w:lang w:eastAsia="en-US" w:bidi="ar-SA"/>
        </w:rPr>
        <w:t>AMGEVITA</w:t>
      </w:r>
      <w:r>
        <w:rPr>
          <w:szCs w:val="22"/>
        </w:rPr>
        <w:t xml:space="preserve"> </w:t>
      </w:r>
      <w:r>
        <w:rPr>
          <w:spacing w:val="-3"/>
          <w:szCs w:val="22"/>
        </w:rPr>
        <w:t>a</w:t>
      </w:r>
      <w:r>
        <w:rPr>
          <w:spacing w:val="1"/>
          <w:szCs w:val="22"/>
        </w:rPr>
        <w:t>t</w:t>
      </w:r>
      <w:r>
        <w:rPr>
          <w:spacing w:val="-3"/>
          <w:szCs w:val="22"/>
        </w:rPr>
        <w:t>â</w:t>
      </w:r>
      <w:r>
        <w:rPr>
          <w:spacing w:val="1"/>
          <w:szCs w:val="22"/>
        </w:rPr>
        <w:t>t</w:t>
      </w:r>
      <w:r>
        <w:rPr>
          <w:szCs w:val="22"/>
        </w:rPr>
        <w:t xml:space="preserve">a </w:t>
      </w:r>
      <w:r>
        <w:rPr>
          <w:spacing w:val="-2"/>
          <w:szCs w:val="22"/>
        </w:rPr>
        <w:t>t</w:t>
      </w:r>
      <w:r>
        <w:rPr>
          <w:spacing w:val="1"/>
          <w:szCs w:val="22"/>
        </w:rPr>
        <w:t>i</w:t>
      </w:r>
      <w:r>
        <w:rPr>
          <w:spacing w:val="-4"/>
          <w:szCs w:val="22"/>
        </w:rPr>
        <w:t>m</w:t>
      </w:r>
      <w:r>
        <w:rPr>
          <w:szCs w:val="22"/>
        </w:rPr>
        <w:t>p cât</w:t>
      </w:r>
      <w:r>
        <w:rPr>
          <w:spacing w:val="1"/>
          <w:szCs w:val="22"/>
        </w:rPr>
        <w:t xml:space="preserve">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w:t>
      </w:r>
      <w:r>
        <w:rPr>
          <w:spacing w:val="-3"/>
          <w:szCs w:val="22"/>
        </w:rPr>
        <w:t>u</w:t>
      </w:r>
      <w:r>
        <w:rPr>
          <w:spacing w:val="-4"/>
          <w:szCs w:val="22"/>
        </w:rPr>
        <w:t>m</w:t>
      </w:r>
      <w:r>
        <w:rPr>
          <w:szCs w:val="22"/>
        </w:rPr>
        <w:t>nea</w:t>
      </w:r>
      <w:r>
        <w:rPr>
          <w:spacing w:val="-3"/>
          <w:szCs w:val="22"/>
        </w:rPr>
        <w:t>v</w:t>
      </w:r>
      <w:r>
        <w:rPr>
          <w:szCs w:val="22"/>
        </w:rPr>
        <w:t>oas</w:t>
      </w:r>
      <w:r>
        <w:rPr>
          <w:spacing w:val="1"/>
          <w:szCs w:val="22"/>
        </w:rPr>
        <w:t>t</w:t>
      </w:r>
      <w:r>
        <w:rPr>
          <w:szCs w:val="22"/>
        </w:rPr>
        <w:t>ră v</w:t>
      </w:r>
      <w:r>
        <w:rPr>
          <w:spacing w:val="-5"/>
          <w:szCs w:val="22"/>
        </w:rPr>
        <w:t>-</w:t>
      </w:r>
      <w:r>
        <w:rPr>
          <w:szCs w:val="22"/>
        </w:rPr>
        <w:t>a reco</w:t>
      </w:r>
      <w:r>
        <w:rPr>
          <w:spacing w:val="-4"/>
          <w:szCs w:val="22"/>
        </w:rPr>
        <w:t>m</w:t>
      </w:r>
      <w:r>
        <w:rPr>
          <w:szCs w:val="22"/>
        </w:rPr>
        <w:t>andat.</w:t>
      </w:r>
    </w:p>
    <w:p w14:paraId="5C04072C" w14:textId="77777777" w:rsidR="00C04CAD" w:rsidRDefault="00C04CAD">
      <w:pPr>
        <w:tabs>
          <w:tab w:val="clear" w:pos="567"/>
        </w:tabs>
        <w:kinsoku w:val="0"/>
        <w:overflowPunct w:val="0"/>
        <w:autoSpaceDE w:val="0"/>
        <w:autoSpaceDN w:val="0"/>
        <w:adjustRightInd w:val="0"/>
        <w:spacing w:line="240" w:lineRule="auto"/>
        <w:rPr>
          <w:szCs w:val="22"/>
        </w:rPr>
      </w:pPr>
    </w:p>
    <w:p w14:paraId="21940BE3" w14:textId="77777777" w:rsidR="00C04CAD" w:rsidRDefault="00060E34">
      <w:pPr>
        <w:numPr>
          <w:ilvl w:val="12"/>
          <w:numId w:val="0"/>
        </w:numPr>
        <w:tabs>
          <w:tab w:val="clear" w:pos="567"/>
        </w:tabs>
        <w:spacing w:line="240" w:lineRule="auto"/>
        <w:ind w:right="-2"/>
        <w:rPr>
          <w:szCs w:val="22"/>
        </w:rPr>
      </w:pP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u</w:t>
      </w:r>
      <w:r>
        <w:rPr>
          <w:spacing w:val="-3"/>
          <w:szCs w:val="22"/>
        </w:rPr>
        <w:t>v</w:t>
      </w:r>
      <w:r>
        <w:rPr>
          <w:szCs w:val="22"/>
        </w:rPr>
        <w:t>e</w:t>
      </w:r>
      <w:r>
        <w:rPr>
          <w:spacing w:val="1"/>
          <w:szCs w:val="22"/>
        </w:rPr>
        <w:t>it</w:t>
      </w:r>
      <w:r>
        <w:rPr>
          <w:szCs w:val="22"/>
        </w:rPr>
        <w:t>ă</w:t>
      </w:r>
      <w:r>
        <w:rPr>
          <w:spacing w:val="-3"/>
          <w:szCs w:val="22"/>
        </w:rPr>
        <w:t xml:space="preserve"> </w:t>
      </w:r>
      <w:r>
        <w:rPr>
          <w:szCs w:val="22"/>
        </w:rPr>
        <w:t>non</w:t>
      </w:r>
      <w:r>
        <w:rPr>
          <w:spacing w:val="-4"/>
          <w:szCs w:val="22"/>
        </w:rPr>
        <w:t>-</w:t>
      </w:r>
      <w:r>
        <w:rPr>
          <w:spacing w:val="1"/>
          <w:szCs w:val="22"/>
        </w:rPr>
        <w:t>i</w:t>
      </w:r>
      <w:r>
        <w:rPr>
          <w:szCs w:val="22"/>
        </w:rPr>
        <w:t>nfe</w:t>
      </w:r>
      <w:r>
        <w:rPr>
          <w:spacing w:val="-3"/>
          <w:szCs w:val="22"/>
        </w:rPr>
        <w:t>c</w:t>
      </w:r>
      <w:r>
        <w:rPr>
          <w:spacing w:val="1"/>
          <w:szCs w:val="22"/>
        </w:rPr>
        <w:t>ţi</w:t>
      </w:r>
      <w:r>
        <w:rPr>
          <w:spacing w:val="-3"/>
          <w:szCs w:val="22"/>
        </w:rPr>
        <w:t>o</w:t>
      </w:r>
      <w:r>
        <w:rPr>
          <w:szCs w:val="22"/>
        </w:rPr>
        <w:t>as</w:t>
      </w:r>
      <w:r>
        <w:rPr>
          <w:spacing w:val="-3"/>
          <w:szCs w:val="22"/>
        </w:rPr>
        <w:t>ă</w:t>
      </w:r>
      <w:r>
        <w:rPr>
          <w:szCs w:val="22"/>
        </w:rPr>
        <w:t xml:space="preserve">, </w:t>
      </w:r>
      <w:r>
        <w:rPr>
          <w:spacing w:val="1"/>
          <w:szCs w:val="22"/>
        </w:rPr>
        <w:t>î</w:t>
      </w:r>
      <w:r>
        <w:rPr>
          <w:szCs w:val="22"/>
        </w:rPr>
        <w:t>n</w:t>
      </w:r>
      <w:r>
        <w:rPr>
          <w:spacing w:val="-3"/>
          <w:szCs w:val="22"/>
        </w:rPr>
        <w:t xml:space="preserve"> </w:t>
      </w:r>
      <w:r>
        <w:rPr>
          <w:spacing w:val="1"/>
          <w:szCs w:val="22"/>
        </w:rPr>
        <w:t>ti</w:t>
      </w:r>
      <w:r>
        <w:rPr>
          <w:spacing w:val="-4"/>
          <w:szCs w:val="22"/>
        </w:rPr>
        <w:t>m</w:t>
      </w:r>
      <w:r>
        <w:rPr>
          <w:szCs w:val="22"/>
        </w:rPr>
        <w:t>pul</w:t>
      </w:r>
      <w:r>
        <w:rPr>
          <w:spacing w:val="1"/>
          <w:szCs w:val="22"/>
        </w:rPr>
        <w:t xml:space="preserve"> </w:t>
      </w:r>
      <w:r>
        <w:rPr>
          <w:spacing w:val="-3"/>
          <w:szCs w:val="22"/>
        </w:rPr>
        <w:t>u</w:t>
      </w:r>
      <w:r>
        <w:rPr>
          <w:spacing w:val="1"/>
          <w:szCs w:val="22"/>
        </w:rPr>
        <w:t>t</w:t>
      </w:r>
      <w:r>
        <w:rPr>
          <w:spacing w:val="-2"/>
          <w:szCs w:val="22"/>
        </w:rPr>
        <w:t>i</w:t>
      </w:r>
      <w:r>
        <w:rPr>
          <w:spacing w:val="1"/>
          <w:szCs w:val="22"/>
        </w:rPr>
        <w:t>li</w:t>
      </w:r>
      <w:r>
        <w:rPr>
          <w:spacing w:val="-3"/>
          <w:szCs w:val="22"/>
        </w:rPr>
        <w:t>ză</w:t>
      </w:r>
      <w:r>
        <w:rPr>
          <w:szCs w:val="22"/>
        </w:rPr>
        <w:t>r</w:t>
      </w:r>
      <w:r>
        <w:rPr>
          <w:spacing w:val="-2"/>
          <w:szCs w:val="22"/>
        </w:rPr>
        <w:t>i</w:t>
      </w:r>
      <w:r>
        <w:rPr>
          <w:szCs w:val="22"/>
        </w:rPr>
        <w:t>i</w:t>
      </w:r>
      <w:r>
        <w:rPr>
          <w:spacing w:val="1"/>
          <w:szCs w:val="22"/>
        </w:rPr>
        <w:t xml:space="preserve"> </w:t>
      </w:r>
      <w:r>
        <w:rPr>
          <w:spacing w:val="-1"/>
          <w:szCs w:val="22"/>
          <w:lang w:eastAsia="en-US" w:bidi="ar-SA"/>
        </w:rPr>
        <w:t>AMGEVITA</w:t>
      </w:r>
      <w:r>
        <w:rPr>
          <w:szCs w:val="22"/>
        </w:rPr>
        <w:t>, se</w:t>
      </w:r>
      <w:r>
        <w:rPr>
          <w:spacing w:val="-2"/>
          <w:szCs w:val="22"/>
        </w:rPr>
        <w:t xml:space="preserve"> </w:t>
      </w:r>
      <w:r>
        <w:rPr>
          <w:szCs w:val="22"/>
        </w:rPr>
        <w:t>po</w:t>
      </w:r>
      <w:r>
        <w:rPr>
          <w:spacing w:val="-3"/>
          <w:szCs w:val="22"/>
        </w:rPr>
        <w:t>a</w:t>
      </w:r>
      <w:r>
        <w:rPr>
          <w:spacing w:val="1"/>
          <w:szCs w:val="22"/>
        </w:rPr>
        <w:t>t</w:t>
      </w:r>
      <w:r>
        <w:rPr>
          <w:szCs w:val="22"/>
        </w:rPr>
        <w:t>e c</w:t>
      </w:r>
      <w:r>
        <w:rPr>
          <w:spacing w:val="-3"/>
          <w:szCs w:val="22"/>
        </w:rPr>
        <w:t>o</w:t>
      </w:r>
      <w:r>
        <w:rPr>
          <w:szCs w:val="22"/>
        </w:rPr>
        <w:t>n</w:t>
      </w:r>
      <w:r>
        <w:rPr>
          <w:spacing w:val="-2"/>
          <w:szCs w:val="22"/>
        </w:rPr>
        <w:t>t</w:t>
      </w:r>
      <w:r>
        <w:rPr>
          <w:spacing w:val="1"/>
          <w:szCs w:val="22"/>
        </w:rPr>
        <w:t>i</w:t>
      </w:r>
      <w:r>
        <w:rPr>
          <w:spacing w:val="-3"/>
          <w:szCs w:val="22"/>
        </w:rPr>
        <w:t>n</w:t>
      </w:r>
      <w:r>
        <w:rPr>
          <w:szCs w:val="22"/>
        </w:rPr>
        <w:t xml:space="preserve">ua </w:t>
      </w:r>
      <w:r>
        <w:rPr>
          <w:spacing w:val="-2"/>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u cor</w:t>
      </w:r>
      <w:r>
        <w:rPr>
          <w:spacing w:val="-2"/>
          <w:szCs w:val="22"/>
        </w:rPr>
        <w:t>t</w:t>
      </w:r>
      <w:r>
        <w:rPr>
          <w:spacing w:val="1"/>
          <w:szCs w:val="22"/>
        </w:rPr>
        <w:t>i</w:t>
      </w:r>
      <w:r>
        <w:rPr>
          <w:szCs w:val="22"/>
        </w:rPr>
        <w:t>c</w:t>
      </w:r>
      <w:r>
        <w:rPr>
          <w:spacing w:val="-3"/>
          <w:szCs w:val="22"/>
        </w:rPr>
        <w:t>o</w:t>
      </w:r>
      <w:r>
        <w:rPr>
          <w:szCs w:val="22"/>
        </w:rPr>
        <w:t>s</w:t>
      </w:r>
      <w:r>
        <w:rPr>
          <w:spacing w:val="-2"/>
          <w:szCs w:val="22"/>
        </w:rPr>
        <w:t>t</w:t>
      </w:r>
      <w:r>
        <w:rPr>
          <w:szCs w:val="22"/>
        </w:rPr>
        <w:t>er</w:t>
      </w:r>
      <w:r>
        <w:rPr>
          <w:spacing w:val="-3"/>
          <w:szCs w:val="22"/>
        </w:rPr>
        <w:t>o</w:t>
      </w:r>
      <w:r>
        <w:rPr>
          <w:spacing w:val="1"/>
          <w:szCs w:val="22"/>
        </w:rPr>
        <w:t>i</w:t>
      </w:r>
      <w:r>
        <w:rPr>
          <w:spacing w:val="-3"/>
          <w:szCs w:val="22"/>
        </w:rPr>
        <w:t>z</w:t>
      </w:r>
      <w:r>
        <w:rPr>
          <w:szCs w:val="22"/>
        </w:rPr>
        <w:t>i</w:t>
      </w:r>
      <w:r>
        <w:rPr>
          <w:spacing w:val="1"/>
          <w:szCs w:val="22"/>
        </w:rPr>
        <w:t xml:space="preserve"> </w:t>
      </w:r>
      <w:r>
        <w:rPr>
          <w:szCs w:val="22"/>
        </w:rPr>
        <w:t>s</w:t>
      </w:r>
      <w:r>
        <w:rPr>
          <w:spacing w:val="-3"/>
          <w:szCs w:val="22"/>
        </w:rPr>
        <w:t>a</w:t>
      </w:r>
      <w:r>
        <w:rPr>
          <w:szCs w:val="22"/>
        </w:rPr>
        <w:t xml:space="preserve">u cu </w:t>
      </w:r>
      <w:r>
        <w:rPr>
          <w:spacing w:val="-3"/>
          <w:szCs w:val="22"/>
        </w:rPr>
        <w:t>a</w:t>
      </w:r>
      <w:r>
        <w:rPr>
          <w:spacing w:val="-2"/>
          <w:szCs w:val="22"/>
        </w:rPr>
        <w:t>l</w:t>
      </w:r>
      <w:r>
        <w:rPr>
          <w:spacing w:val="1"/>
          <w:szCs w:val="22"/>
        </w:rPr>
        <w:t>t</w:t>
      </w:r>
      <w:r>
        <w:rPr>
          <w:szCs w:val="22"/>
        </w:rPr>
        <w:t>e</w:t>
      </w:r>
      <w:r>
        <w:rPr>
          <w:spacing w:val="-2"/>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 c</w:t>
      </w:r>
      <w:r>
        <w:rPr>
          <w:spacing w:val="-3"/>
          <w:szCs w:val="22"/>
        </w:rPr>
        <w:t>a</w:t>
      </w:r>
      <w:r>
        <w:rPr>
          <w:szCs w:val="22"/>
        </w:rPr>
        <w:t xml:space="preserve">re </w:t>
      </w:r>
      <w:r>
        <w:rPr>
          <w:spacing w:val="-2"/>
          <w:szCs w:val="22"/>
        </w:rPr>
        <w:t>i</w:t>
      </w:r>
      <w:r>
        <w:rPr>
          <w:szCs w:val="22"/>
        </w:rPr>
        <w:t>n</w:t>
      </w:r>
      <w:r>
        <w:rPr>
          <w:spacing w:val="-2"/>
          <w:szCs w:val="22"/>
        </w:rPr>
        <w:t>f</w:t>
      </w:r>
      <w:r>
        <w:rPr>
          <w:spacing w:val="1"/>
          <w:szCs w:val="22"/>
        </w:rPr>
        <w:t>l</w:t>
      </w:r>
      <w:r>
        <w:rPr>
          <w:szCs w:val="22"/>
        </w:rPr>
        <w:t>ue</w:t>
      </w:r>
      <w:r>
        <w:rPr>
          <w:spacing w:val="-3"/>
          <w:szCs w:val="22"/>
        </w:rPr>
        <w:t>n</w:t>
      </w:r>
      <w:r>
        <w:rPr>
          <w:spacing w:val="1"/>
          <w:szCs w:val="22"/>
        </w:rPr>
        <w:t>ț</w:t>
      </w:r>
      <w:r>
        <w:rPr>
          <w:spacing w:val="-3"/>
          <w:szCs w:val="22"/>
        </w:rPr>
        <w:t>e</w:t>
      </w:r>
      <w:r>
        <w:rPr>
          <w:szCs w:val="22"/>
        </w:rPr>
        <w:t>a</w:t>
      </w:r>
      <w:r>
        <w:rPr>
          <w:spacing w:val="-3"/>
          <w:szCs w:val="22"/>
        </w:rPr>
        <w:t>z</w:t>
      </w:r>
      <w:r>
        <w:rPr>
          <w:szCs w:val="22"/>
        </w:rPr>
        <w:t>ă s</w:t>
      </w:r>
      <w:r>
        <w:rPr>
          <w:spacing w:val="1"/>
          <w:szCs w:val="22"/>
        </w:rPr>
        <w:t>i</w:t>
      </w:r>
      <w:r>
        <w:rPr>
          <w:spacing w:val="-2"/>
          <w:szCs w:val="22"/>
        </w:rPr>
        <w:t>s</w:t>
      </w:r>
      <w:r>
        <w:rPr>
          <w:spacing w:val="1"/>
          <w:szCs w:val="22"/>
        </w:rPr>
        <w:t>t</w:t>
      </w:r>
      <w:r>
        <w:rPr>
          <w:szCs w:val="22"/>
        </w:rPr>
        <w:t>e</w:t>
      </w:r>
      <w:r>
        <w:rPr>
          <w:spacing w:val="-4"/>
          <w:szCs w:val="22"/>
        </w:rPr>
        <w:t>m</w:t>
      </w:r>
      <w:r>
        <w:rPr>
          <w:szCs w:val="22"/>
        </w:rPr>
        <w:t>ul</w:t>
      </w:r>
      <w:r>
        <w:rPr>
          <w:spacing w:val="1"/>
          <w:szCs w:val="22"/>
        </w:rPr>
        <w:t xml:space="preserve"> i</w:t>
      </w:r>
      <w:r>
        <w:rPr>
          <w:spacing w:val="-4"/>
          <w:szCs w:val="22"/>
        </w:rPr>
        <w:t>m</w:t>
      </w:r>
      <w:r>
        <w:rPr>
          <w:szCs w:val="22"/>
        </w:rPr>
        <w:t>un</w:t>
      </w:r>
      <w:r>
        <w:rPr>
          <w:spacing w:val="1"/>
          <w:szCs w:val="22"/>
        </w:rPr>
        <w:t>it</w:t>
      </w:r>
      <w:r>
        <w:rPr>
          <w:spacing w:val="-3"/>
          <w:szCs w:val="22"/>
        </w:rPr>
        <w:t>a</w:t>
      </w:r>
      <w:r>
        <w:rPr>
          <w:szCs w:val="22"/>
        </w:rPr>
        <w:t xml:space="preserve">r. </w:t>
      </w:r>
      <w:r>
        <w:rPr>
          <w:spacing w:val="-1"/>
          <w:szCs w:val="22"/>
          <w:lang w:eastAsia="en-US" w:bidi="ar-SA"/>
        </w:rPr>
        <w:t>AMGEVITA</w:t>
      </w:r>
      <w:r>
        <w:rPr>
          <w:spacing w:val="-2"/>
          <w:szCs w:val="22"/>
        </w:rPr>
        <w:t xml:space="preserve"> </w:t>
      </w:r>
      <w:r>
        <w:rPr>
          <w:szCs w:val="22"/>
        </w:rPr>
        <w:t>po</w:t>
      </w:r>
      <w:r>
        <w:rPr>
          <w:spacing w:val="-3"/>
          <w:szCs w:val="22"/>
        </w:rPr>
        <w:t>a</w:t>
      </w:r>
      <w:r>
        <w:rPr>
          <w:spacing w:val="1"/>
          <w:szCs w:val="22"/>
        </w:rPr>
        <w:t>t</w:t>
      </w:r>
      <w:r>
        <w:rPr>
          <w:szCs w:val="22"/>
        </w:rPr>
        <w:t xml:space="preserve">e </w:t>
      </w:r>
      <w:r>
        <w:rPr>
          <w:spacing w:val="-2"/>
          <w:szCs w:val="22"/>
        </w:rPr>
        <w:t>f</w:t>
      </w:r>
      <w:r>
        <w:rPr>
          <w:szCs w:val="22"/>
        </w:rPr>
        <w:t>i</w:t>
      </w:r>
      <w:r>
        <w:rPr>
          <w:spacing w:val="1"/>
          <w:szCs w:val="22"/>
        </w:rPr>
        <w:t xml:space="preserve"> </w:t>
      </w:r>
      <w:r>
        <w:rPr>
          <w:spacing w:val="-3"/>
          <w:szCs w:val="22"/>
        </w:rPr>
        <w:t xml:space="preserve">de </w:t>
      </w:r>
      <w:r>
        <w:rPr>
          <w:szCs w:val="22"/>
        </w:rPr>
        <w:t>ase</w:t>
      </w:r>
      <w:r>
        <w:rPr>
          <w:spacing w:val="-4"/>
          <w:szCs w:val="22"/>
        </w:rPr>
        <w:t>m</w:t>
      </w:r>
      <w:r>
        <w:rPr>
          <w:szCs w:val="22"/>
        </w:rPr>
        <w:t>enea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rat</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pacing w:val="-3"/>
          <w:szCs w:val="22"/>
        </w:rPr>
        <w:t>e</w:t>
      </w:r>
      <w:r>
        <w:rPr>
          <w:szCs w:val="22"/>
        </w:rPr>
        <w:t>ra</w:t>
      </w:r>
      <w:r>
        <w:rPr>
          <w:spacing w:val="-3"/>
          <w:szCs w:val="22"/>
        </w:rPr>
        <w:t>p</w:t>
      </w:r>
      <w:r>
        <w:rPr>
          <w:spacing w:val="1"/>
          <w:szCs w:val="22"/>
        </w:rPr>
        <w:t>i</w:t>
      </w:r>
      <w:r>
        <w:rPr>
          <w:szCs w:val="22"/>
        </w:rPr>
        <w:t>e.</w:t>
      </w:r>
    </w:p>
    <w:p w14:paraId="4798C254" w14:textId="77777777" w:rsidR="00C04CAD" w:rsidRDefault="00C04CAD">
      <w:pPr>
        <w:numPr>
          <w:ilvl w:val="12"/>
          <w:numId w:val="0"/>
        </w:numPr>
        <w:tabs>
          <w:tab w:val="clear" w:pos="567"/>
        </w:tabs>
        <w:spacing w:line="240" w:lineRule="auto"/>
        <w:ind w:right="-2"/>
        <w:rPr>
          <w:szCs w:val="22"/>
        </w:rPr>
      </w:pPr>
    </w:p>
    <w:p w14:paraId="4A63F991" w14:textId="77777777" w:rsidR="00C04CAD" w:rsidRDefault="00060E34">
      <w:pPr>
        <w:numPr>
          <w:ilvl w:val="12"/>
          <w:numId w:val="0"/>
        </w:numPr>
        <w:tabs>
          <w:tab w:val="clear" w:pos="567"/>
        </w:tabs>
        <w:spacing w:line="240" w:lineRule="auto"/>
        <w:ind w:right="-2"/>
        <w:rPr>
          <w:szCs w:val="22"/>
        </w:rPr>
      </w:pPr>
      <w:r>
        <w:rPr>
          <w:szCs w:val="22"/>
          <w:u w:val="single"/>
        </w:rPr>
        <w:t>Copii și adolescenți cu uveită cronică non-infecțioasă cu vârsta de la 2 ani</w:t>
      </w:r>
    </w:p>
    <w:p w14:paraId="7869FC79" w14:textId="77777777" w:rsidR="00C04CAD" w:rsidRDefault="00C04CAD">
      <w:pPr>
        <w:numPr>
          <w:ilvl w:val="12"/>
          <w:numId w:val="0"/>
        </w:numPr>
        <w:tabs>
          <w:tab w:val="clear" w:pos="567"/>
        </w:tabs>
        <w:spacing w:line="240" w:lineRule="auto"/>
        <w:ind w:right="-2"/>
        <w:rPr>
          <w:szCs w:val="22"/>
        </w:rPr>
      </w:pPr>
    </w:p>
    <w:p w14:paraId="1507B521" w14:textId="77777777" w:rsidR="00C04CAD" w:rsidRDefault="00060E34">
      <w:pPr>
        <w:numPr>
          <w:ilvl w:val="12"/>
          <w:numId w:val="0"/>
        </w:numPr>
        <w:tabs>
          <w:tab w:val="clear" w:pos="567"/>
        </w:tabs>
        <w:spacing w:line="240" w:lineRule="auto"/>
        <w:ind w:right="-2"/>
        <w:rPr>
          <w:szCs w:val="22"/>
        </w:rPr>
      </w:pPr>
      <w:r>
        <w:rPr>
          <w:i/>
          <w:szCs w:val="22"/>
        </w:rPr>
        <w:t xml:space="preserve">Copii și adolescenți cu vârsta de la 2 ani </w:t>
      </w:r>
      <w:r>
        <w:rPr>
          <w:i/>
          <w:szCs w:val="24"/>
        </w:rPr>
        <w:t xml:space="preserve">cu greutatea mai mică de </w:t>
      </w:r>
      <w:r>
        <w:rPr>
          <w:i/>
          <w:szCs w:val="22"/>
        </w:rPr>
        <w:t>30 kg</w:t>
      </w:r>
    </w:p>
    <w:p w14:paraId="63BC808A" w14:textId="77777777" w:rsidR="00C04CAD" w:rsidRDefault="00C04CAD">
      <w:pPr>
        <w:numPr>
          <w:ilvl w:val="12"/>
          <w:numId w:val="0"/>
        </w:numPr>
        <w:tabs>
          <w:tab w:val="clear" w:pos="567"/>
        </w:tabs>
        <w:spacing w:line="240" w:lineRule="auto"/>
        <w:ind w:right="-2"/>
        <w:rPr>
          <w:szCs w:val="22"/>
        </w:rPr>
      </w:pPr>
    </w:p>
    <w:p w14:paraId="519C07E5" w14:textId="77777777" w:rsidR="00C04CAD" w:rsidRDefault="00060E34">
      <w:pPr>
        <w:numPr>
          <w:ilvl w:val="12"/>
          <w:numId w:val="0"/>
        </w:numPr>
        <w:tabs>
          <w:tab w:val="clear" w:pos="567"/>
        </w:tabs>
        <w:spacing w:line="240" w:lineRule="auto"/>
        <w:ind w:right="-2"/>
        <w:rPr>
          <w:szCs w:val="22"/>
        </w:rPr>
      </w:pPr>
      <w:r>
        <w:rPr>
          <w:szCs w:val="22"/>
        </w:rPr>
        <w:t xml:space="preserve">Doza </w:t>
      </w:r>
      <w:r>
        <w:rPr>
          <w:szCs w:val="24"/>
        </w:rPr>
        <w:t xml:space="preserve">uzuală </w:t>
      </w:r>
      <w:r>
        <w:rPr>
          <w:szCs w:val="22"/>
        </w:rPr>
        <w:t xml:space="preserve">de AMGEVITA este de 20 mg la două săptămâni </w:t>
      </w:r>
      <w:r>
        <w:rPr>
          <w:szCs w:val="24"/>
        </w:rPr>
        <w:t xml:space="preserve">administrată asociat cu </w:t>
      </w:r>
      <w:r>
        <w:rPr>
          <w:szCs w:val="22"/>
        </w:rPr>
        <w:t>metotrexat.</w:t>
      </w:r>
    </w:p>
    <w:p w14:paraId="69E7CD42" w14:textId="77777777" w:rsidR="00C04CAD" w:rsidRDefault="00C04CAD">
      <w:pPr>
        <w:numPr>
          <w:ilvl w:val="12"/>
          <w:numId w:val="0"/>
        </w:numPr>
        <w:tabs>
          <w:tab w:val="clear" w:pos="567"/>
        </w:tabs>
        <w:spacing w:line="240" w:lineRule="auto"/>
        <w:ind w:right="-2"/>
        <w:rPr>
          <w:szCs w:val="22"/>
        </w:rPr>
      </w:pPr>
    </w:p>
    <w:p w14:paraId="7CBA3A7C" w14:textId="77777777" w:rsidR="00C04CAD" w:rsidRDefault="00060E34">
      <w:pPr>
        <w:numPr>
          <w:ilvl w:val="12"/>
          <w:numId w:val="0"/>
        </w:numPr>
        <w:tabs>
          <w:tab w:val="clear" w:pos="567"/>
        </w:tabs>
        <w:spacing w:line="240" w:lineRule="auto"/>
        <w:ind w:right="-2"/>
        <w:rPr>
          <w:szCs w:val="22"/>
        </w:rPr>
      </w:pPr>
      <w:r>
        <w:rPr>
          <w:szCs w:val="22"/>
        </w:rPr>
        <w:t xml:space="preserve">Medicul </w:t>
      </w:r>
      <w:r>
        <w:rPr>
          <w:szCs w:val="24"/>
        </w:rPr>
        <w:t xml:space="preserve">copilului </w:t>
      </w:r>
      <w:r>
        <w:rPr>
          <w:szCs w:val="22"/>
        </w:rPr>
        <w:t xml:space="preserve">dumneavoastră vă poate prescrie o doză inițială de 40 mg care se poate administra cu o săptămână înainte </w:t>
      </w:r>
      <w:r>
        <w:rPr>
          <w:szCs w:val="24"/>
        </w:rPr>
        <w:t>să începeți doza uzuală</w:t>
      </w:r>
      <w:r>
        <w:rPr>
          <w:szCs w:val="22"/>
        </w:rPr>
        <w:t>.</w:t>
      </w:r>
    </w:p>
    <w:p w14:paraId="0F629B44" w14:textId="77777777" w:rsidR="00C04CAD" w:rsidRDefault="00C04CAD">
      <w:pPr>
        <w:numPr>
          <w:ilvl w:val="12"/>
          <w:numId w:val="0"/>
        </w:numPr>
        <w:tabs>
          <w:tab w:val="clear" w:pos="567"/>
        </w:tabs>
        <w:spacing w:line="240" w:lineRule="auto"/>
        <w:ind w:right="-2"/>
        <w:rPr>
          <w:szCs w:val="22"/>
        </w:rPr>
      </w:pPr>
    </w:p>
    <w:p w14:paraId="54EB28B0" w14:textId="77777777" w:rsidR="00C04CAD" w:rsidRDefault="00060E34">
      <w:pPr>
        <w:numPr>
          <w:ilvl w:val="12"/>
          <w:numId w:val="0"/>
        </w:numPr>
        <w:tabs>
          <w:tab w:val="clear" w:pos="567"/>
        </w:tabs>
        <w:spacing w:line="240" w:lineRule="auto"/>
        <w:ind w:right="-2"/>
        <w:rPr>
          <w:spacing w:val="1"/>
          <w:szCs w:val="22"/>
        </w:rPr>
      </w:pPr>
      <w:r>
        <w:rPr>
          <w:i/>
          <w:spacing w:val="1"/>
          <w:szCs w:val="22"/>
        </w:rPr>
        <w:t xml:space="preserve">Copii și adolescenți cu vârsta de la 2 ani </w:t>
      </w:r>
      <w:r>
        <w:rPr>
          <w:i/>
          <w:szCs w:val="24"/>
        </w:rPr>
        <w:t>cu greutatea de</w:t>
      </w:r>
      <w:r>
        <w:rPr>
          <w:i/>
          <w:spacing w:val="1"/>
          <w:szCs w:val="22"/>
        </w:rPr>
        <w:t xml:space="preserve"> 30 kg sau mai mult</w:t>
      </w:r>
    </w:p>
    <w:p w14:paraId="5C84CF7D" w14:textId="77777777" w:rsidR="00C04CAD" w:rsidRDefault="00C04CAD">
      <w:pPr>
        <w:numPr>
          <w:ilvl w:val="12"/>
          <w:numId w:val="0"/>
        </w:numPr>
        <w:tabs>
          <w:tab w:val="clear" w:pos="567"/>
        </w:tabs>
        <w:spacing w:line="240" w:lineRule="auto"/>
        <w:ind w:right="-2"/>
        <w:rPr>
          <w:spacing w:val="1"/>
          <w:szCs w:val="22"/>
        </w:rPr>
      </w:pPr>
    </w:p>
    <w:p w14:paraId="6E18C94C" w14:textId="77777777" w:rsidR="00C04CAD" w:rsidRDefault="00060E34">
      <w:pPr>
        <w:numPr>
          <w:ilvl w:val="12"/>
          <w:numId w:val="0"/>
        </w:numPr>
        <w:tabs>
          <w:tab w:val="clear" w:pos="567"/>
        </w:tabs>
        <w:spacing w:line="240" w:lineRule="auto"/>
        <w:ind w:right="-2"/>
        <w:rPr>
          <w:spacing w:val="1"/>
          <w:szCs w:val="22"/>
        </w:rPr>
      </w:pPr>
      <w:r>
        <w:rPr>
          <w:spacing w:val="1"/>
          <w:szCs w:val="22"/>
        </w:rPr>
        <w:t xml:space="preserve">Doza </w:t>
      </w:r>
      <w:r>
        <w:rPr>
          <w:szCs w:val="24"/>
        </w:rPr>
        <w:t xml:space="preserve">uzuală </w:t>
      </w:r>
      <w:r>
        <w:rPr>
          <w:spacing w:val="1"/>
          <w:szCs w:val="22"/>
        </w:rPr>
        <w:t xml:space="preserve">de AMGEVITA este de 40 mg </w:t>
      </w:r>
      <w:r>
        <w:rPr>
          <w:szCs w:val="24"/>
        </w:rPr>
        <w:t>la două săptămâni administrată asociat cu metotrexat</w:t>
      </w:r>
      <w:r>
        <w:rPr>
          <w:spacing w:val="1"/>
          <w:szCs w:val="22"/>
        </w:rPr>
        <w:t>.</w:t>
      </w:r>
    </w:p>
    <w:p w14:paraId="47EF4F1C" w14:textId="77777777" w:rsidR="00C04CAD" w:rsidRDefault="00C04CAD">
      <w:pPr>
        <w:numPr>
          <w:ilvl w:val="12"/>
          <w:numId w:val="0"/>
        </w:numPr>
        <w:tabs>
          <w:tab w:val="clear" w:pos="567"/>
        </w:tabs>
        <w:spacing w:line="240" w:lineRule="auto"/>
        <w:ind w:right="-2"/>
        <w:rPr>
          <w:spacing w:val="1"/>
          <w:szCs w:val="22"/>
        </w:rPr>
      </w:pPr>
    </w:p>
    <w:p w14:paraId="42BAD198" w14:textId="77777777" w:rsidR="00C04CAD" w:rsidRDefault="00060E34">
      <w:pPr>
        <w:numPr>
          <w:ilvl w:val="12"/>
          <w:numId w:val="0"/>
        </w:numPr>
        <w:tabs>
          <w:tab w:val="clear" w:pos="567"/>
        </w:tabs>
        <w:spacing w:line="240" w:lineRule="auto"/>
        <w:ind w:right="-2"/>
        <w:rPr>
          <w:szCs w:val="22"/>
        </w:rPr>
      </w:pPr>
      <w:r>
        <w:rPr>
          <w:spacing w:val="1"/>
          <w:szCs w:val="22"/>
        </w:rPr>
        <w:t xml:space="preserve">Medicul dumneavoastră vă poate prescrie o doză inițială de 80 mg care se poate administra cu o săptămână înainte </w:t>
      </w:r>
      <w:r>
        <w:rPr>
          <w:szCs w:val="24"/>
        </w:rPr>
        <w:t>să începeți doza uzuală</w:t>
      </w:r>
      <w:r>
        <w:rPr>
          <w:spacing w:val="1"/>
          <w:szCs w:val="22"/>
        </w:rPr>
        <w:t>.</w:t>
      </w:r>
    </w:p>
    <w:p w14:paraId="140787B1" w14:textId="77777777" w:rsidR="00C04CAD" w:rsidRDefault="00C04CAD">
      <w:pPr>
        <w:numPr>
          <w:ilvl w:val="12"/>
          <w:numId w:val="0"/>
        </w:numPr>
        <w:tabs>
          <w:tab w:val="clear" w:pos="567"/>
        </w:tabs>
        <w:spacing w:line="240" w:lineRule="auto"/>
        <w:ind w:right="-2"/>
        <w:rPr>
          <w:szCs w:val="22"/>
        </w:rPr>
      </w:pPr>
    </w:p>
    <w:p w14:paraId="7FED521C"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Mod</w:t>
      </w:r>
      <w:r>
        <w:rPr>
          <w:b/>
          <w:spacing w:val="-1"/>
          <w:szCs w:val="22"/>
        </w:rPr>
        <w:t xml:space="preserve"> </w:t>
      </w:r>
      <w:r>
        <w:rPr>
          <w:b/>
          <w:spacing w:val="-2"/>
          <w:szCs w:val="22"/>
        </w:rPr>
        <w:t>ș</w:t>
      </w:r>
      <w:r>
        <w:rPr>
          <w:b/>
          <w:szCs w:val="22"/>
        </w:rPr>
        <w:t>i</w:t>
      </w:r>
      <w:r>
        <w:rPr>
          <w:b/>
          <w:spacing w:val="1"/>
          <w:szCs w:val="22"/>
        </w:rPr>
        <w:t xml:space="preserve"> </w:t>
      </w:r>
      <w:r>
        <w:rPr>
          <w:b/>
          <w:szCs w:val="22"/>
        </w:rPr>
        <w:t>c</w:t>
      </w:r>
      <w:r>
        <w:rPr>
          <w:b/>
          <w:spacing w:val="-3"/>
          <w:szCs w:val="22"/>
        </w:rPr>
        <w:t>a</w:t>
      </w:r>
      <w:r>
        <w:rPr>
          <w:b/>
          <w:spacing w:val="1"/>
          <w:szCs w:val="22"/>
        </w:rPr>
        <w:t>l</w:t>
      </w:r>
      <w:r>
        <w:rPr>
          <w:b/>
          <w:szCs w:val="22"/>
        </w:rPr>
        <w:t xml:space="preserve">e </w:t>
      </w:r>
      <w:r>
        <w:rPr>
          <w:b/>
          <w:spacing w:val="-1"/>
          <w:szCs w:val="22"/>
        </w:rPr>
        <w:t>d</w:t>
      </w:r>
      <w:r>
        <w:rPr>
          <w:b/>
          <w:szCs w:val="22"/>
        </w:rPr>
        <w:t>e</w:t>
      </w:r>
      <w:r>
        <w:rPr>
          <w:b/>
          <w:spacing w:val="-2"/>
          <w:szCs w:val="22"/>
        </w:rPr>
        <w:t xml:space="preserve"> </w:t>
      </w:r>
      <w:r>
        <w:rPr>
          <w:b/>
          <w:szCs w:val="22"/>
        </w:rPr>
        <w:t>a</w:t>
      </w:r>
      <w:r>
        <w:rPr>
          <w:b/>
          <w:spacing w:val="-1"/>
          <w:szCs w:val="22"/>
        </w:rPr>
        <w:t>d</w:t>
      </w:r>
      <w:r>
        <w:rPr>
          <w:b/>
          <w:spacing w:val="-2"/>
          <w:szCs w:val="22"/>
        </w:rPr>
        <w:t>m</w:t>
      </w:r>
      <w:r>
        <w:rPr>
          <w:b/>
          <w:spacing w:val="1"/>
          <w:szCs w:val="22"/>
        </w:rPr>
        <w:t>i</w:t>
      </w:r>
      <w:r>
        <w:rPr>
          <w:b/>
          <w:spacing w:val="-1"/>
          <w:szCs w:val="22"/>
        </w:rPr>
        <w:t>n</w:t>
      </w:r>
      <w:r>
        <w:rPr>
          <w:b/>
          <w:spacing w:val="-2"/>
          <w:szCs w:val="22"/>
        </w:rPr>
        <w:t>i</w:t>
      </w:r>
      <w:r>
        <w:rPr>
          <w:b/>
          <w:szCs w:val="22"/>
        </w:rPr>
        <w:t>st</w:t>
      </w:r>
      <w:r>
        <w:rPr>
          <w:b/>
          <w:spacing w:val="-3"/>
          <w:szCs w:val="22"/>
        </w:rPr>
        <w:t>ra</w:t>
      </w:r>
      <w:r>
        <w:rPr>
          <w:b/>
          <w:szCs w:val="22"/>
        </w:rPr>
        <w:t>re</w:t>
      </w:r>
    </w:p>
    <w:p w14:paraId="4E7400F2" w14:textId="77777777" w:rsidR="00C04CAD" w:rsidRDefault="00C04CAD">
      <w:pPr>
        <w:tabs>
          <w:tab w:val="clear" w:pos="567"/>
        </w:tabs>
        <w:kinsoku w:val="0"/>
        <w:overflowPunct w:val="0"/>
        <w:autoSpaceDE w:val="0"/>
        <w:autoSpaceDN w:val="0"/>
        <w:adjustRightInd w:val="0"/>
        <w:spacing w:line="240" w:lineRule="auto"/>
        <w:rPr>
          <w:szCs w:val="22"/>
        </w:rPr>
      </w:pPr>
    </w:p>
    <w:p w14:paraId="535518A8" w14:textId="77777777" w:rsidR="00C04CAD" w:rsidRDefault="00060E34">
      <w:pPr>
        <w:autoSpaceDE w:val="0"/>
        <w:autoSpaceDN w:val="0"/>
        <w:adjustRightInd w:val="0"/>
        <w:spacing w:line="240" w:lineRule="auto"/>
        <w:rPr>
          <w:szCs w:val="22"/>
        </w:rPr>
      </w:pPr>
      <w:r>
        <w:rPr>
          <w:spacing w:val="-1"/>
          <w:szCs w:val="22"/>
          <w:lang w:eastAsia="en-US" w:bidi="ar-SA"/>
        </w:rPr>
        <w:t>AMGEVITA</w:t>
      </w:r>
      <w:r>
        <w:rPr>
          <w:szCs w:val="22"/>
        </w:rPr>
        <w:t xml:space="preserve"> se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pacing w:val="-2"/>
          <w:szCs w:val="22"/>
        </w:rPr>
        <w:t>r</w:t>
      </w:r>
      <w:r>
        <w:rPr>
          <w:szCs w:val="22"/>
        </w:rPr>
        <w:t>ea</w:t>
      </w:r>
      <w:r>
        <w:rPr>
          <w:spacing w:val="-3"/>
          <w:szCs w:val="22"/>
        </w:rPr>
        <w:t>z</w:t>
      </w:r>
      <w:r>
        <w:rPr>
          <w:szCs w:val="22"/>
        </w:rPr>
        <w:t>ă p</w:t>
      </w:r>
      <w:r>
        <w:rPr>
          <w:spacing w:val="-2"/>
          <w:szCs w:val="22"/>
        </w:rPr>
        <w:t>r</w:t>
      </w:r>
      <w:r>
        <w:rPr>
          <w:spacing w:val="1"/>
          <w:szCs w:val="22"/>
        </w:rPr>
        <w:t>i</w:t>
      </w:r>
      <w:r>
        <w:rPr>
          <w:szCs w:val="22"/>
        </w:rPr>
        <w:t xml:space="preserve">n </w:t>
      </w:r>
      <w:r>
        <w:rPr>
          <w:spacing w:val="1"/>
          <w:szCs w:val="22"/>
        </w:rPr>
        <w:t>i</w:t>
      </w:r>
      <w:r>
        <w:rPr>
          <w:spacing w:val="-3"/>
          <w:szCs w:val="22"/>
        </w:rPr>
        <w:t>n</w:t>
      </w:r>
      <w:r>
        <w:rPr>
          <w:spacing w:val="1"/>
          <w:szCs w:val="22"/>
        </w:rPr>
        <w:t>j</w:t>
      </w:r>
      <w:r>
        <w:rPr>
          <w:spacing w:val="-3"/>
          <w:szCs w:val="22"/>
        </w:rPr>
        <w:t>e</w:t>
      </w:r>
      <w:r>
        <w:rPr>
          <w:szCs w:val="22"/>
        </w:rPr>
        <w:t>c</w:t>
      </w:r>
      <w:r>
        <w:rPr>
          <w:spacing w:val="1"/>
          <w:szCs w:val="22"/>
        </w:rPr>
        <w:t>t</w:t>
      </w:r>
      <w:r>
        <w:rPr>
          <w:spacing w:val="-3"/>
          <w:szCs w:val="22"/>
        </w:rPr>
        <w:t>a</w:t>
      </w:r>
      <w:r>
        <w:rPr>
          <w:szCs w:val="22"/>
        </w:rPr>
        <w:t>re</w:t>
      </w:r>
      <w:r>
        <w:rPr>
          <w:spacing w:val="-2"/>
          <w:szCs w:val="22"/>
        </w:rPr>
        <w:t xml:space="preserve"> </w:t>
      </w:r>
      <w:r>
        <w:rPr>
          <w:szCs w:val="22"/>
        </w:rPr>
        <w:t xml:space="preserve">sub </w:t>
      </w:r>
      <w:r>
        <w:rPr>
          <w:spacing w:val="-3"/>
          <w:szCs w:val="22"/>
        </w:rPr>
        <w:t>p</w:t>
      </w:r>
      <w:r>
        <w:rPr>
          <w:spacing w:val="1"/>
          <w:szCs w:val="22"/>
        </w:rPr>
        <w:t>i</w:t>
      </w:r>
      <w:r>
        <w:rPr>
          <w:spacing w:val="-3"/>
          <w:szCs w:val="22"/>
        </w:rPr>
        <w:t>e</w:t>
      </w:r>
      <w:r>
        <w:rPr>
          <w:spacing w:val="1"/>
          <w:szCs w:val="22"/>
        </w:rPr>
        <w:t>l</w:t>
      </w:r>
      <w:r>
        <w:rPr>
          <w:szCs w:val="22"/>
        </w:rPr>
        <w:t xml:space="preserve">e </w:t>
      </w:r>
      <w:r>
        <w:rPr>
          <w:spacing w:val="-2"/>
          <w:szCs w:val="22"/>
        </w:rPr>
        <w:t>(i</w:t>
      </w:r>
      <w:r>
        <w:rPr>
          <w:spacing w:val="-3"/>
          <w:szCs w:val="22"/>
        </w:rPr>
        <w:t>n</w:t>
      </w:r>
      <w:r>
        <w:rPr>
          <w:spacing w:val="3"/>
          <w:szCs w:val="22"/>
        </w:rPr>
        <w:t>j</w:t>
      </w:r>
      <w:r>
        <w:rPr>
          <w:szCs w:val="22"/>
        </w:rPr>
        <w:t>e</w:t>
      </w:r>
      <w:r>
        <w:rPr>
          <w:spacing w:val="-3"/>
          <w:szCs w:val="22"/>
        </w:rPr>
        <w:t>c</w:t>
      </w:r>
      <w:r>
        <w:rPr>
          <w:spacing w:val="1"/>
          <w:szCs w:val="22"/>
        </w:rPr>
        <w:t>t</w:t>
      </w:r>
      <w:r>
        <w:rPr>
          <w:spacing w:val="-3"/>
          <w:szCs w:val="22"/>
        </w:rPr>
        <w:t>a</w:t>
      </w:r>
      <w:r>
        <w:rPr>
          <w:szCs w:val="22"/>
        </w:rPr>
        <w:t xml:space="preserve">re </w:t>
      </w:r>
      <w:r>
        <w:rPr>
          <w:spacing w:val="-2"/>
          <w:szCs w:val="22"/>
        </w:rPr>
        <w:t>s</w:t>
      </w:r>
      <w:r>
        <w:rPr>
          <w:szCs w:val="22"/>
        </w:rPr>
        <w:t>ubc</w:t>
      </w:r>
      <w:r>
        <w:rPr>
          <w:spacing w:val="-3"/>
          <w:szCs w:val="22"/>
        </w:rPr>
        <w:t>u</w:t>
      </w:r>
      <w:r>
        <w:rPr>
          <w:spacing w:val="1"/>
          <w:szCs w:val="22"/>
        </w:rPr>
        <w:t>t</w:t>
      </w:r>
      <w:r>
        <w:rPr>
          <w:szCs w:val="22"/>
        </w:rPr>
        <w:t>an</w:t>
      </w:r>
      <w:r>
        <w:rPr>
          <w:spacing w:val="-3"/>
          <w:szCs w:val="22"/>
        </w:rPr>
        <w:t>a</w:t>
      </w:r>
      <w:r>
        <w:rPr>
          <w:spacing w:val="1"/>
          <w:szCs w:val="22"/>
        </w:rPr>
        <w:t>t</w:t>
      </w:r>
      <w:r>
        <w:rPr>
          <w:spacing w:val="-3"/>
          <w:szCs w:val="22"/>
        </w:rPr>
        <w:t>ă</w:t>
      </w:r>
      <w:r>
        <w:rPr>
          <w:szCs w:val="22"/>
        </w:rPr>
        <w:t>).</w:t>
      </w:r>
    </w:p>
    <w:p w14:paraId="029FCF95" w14:textId="77777777" w:rsidR="00C04CAD" w:rsidRDefault="00C04CAD">
      <w:pPr>
        <w:autoSpaceDE w:val="0"/>
        <w:autoSpaceDN w:val="0"/>
        <w:adjustRightInd w:val="0"/>
        <w:spacing w:line="240" w:lineRule="auto"/>
        <w:rPr>
          <w:szCs w:val="22"/>
        </w:rPr>
      </w:pPr>
    </w:p>
    <w:p w14:paraId="47EB45D8" w14:textId="77777777" w:rsidR="00C04CAD" w:rsidRDefault="00060E34">
      <w:pPr>
        <w:autoSpaceDE w:val="0"/>
        <w:autoSpaceDN w:val="0"/>
        <w:adjustRightInd w:val="0"/>
        <w:spacing w:line="240" w:lineRule="auto"/>
        <w:rPr>
          <w:b/>
          <w:szCs w:val="22"/>
        </w:rPr>
      </w:pPr>
      <w:r>
        <w:rPr>
          <w:szCs w:val="22"/>
        </w:rPr>
        <w:t>Instrucțiuni detaliate privind modul de injectare al AMGEVITA sunt furnizate la punctul „Instrucțiuni de utilizare”.</w:t>
      </w:r>
    </w:p>
    <w:p w14:paraId="27E34A96" w14:textId="77777777" w:rsidR="00C04CAD" w:rsidRDefault="00C04CAD">
      <w:pPr>
        <w:autoSpaceDE w:val="0"/>
        <w:autoSpaceDN w:val="0"/>
        <w:adjustRightInd w:val="0"/>
        <w:spacing w:line="240" w:lineRule="auto"/>
        <w:rPr>
          <w:b/>
          <w:szCs w:val="22"/>
        </w:rPr>
      </w:pPr>
    </w:p>
    <w:p w14:paraId="55B1222D"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 xml:space="preserve">acă </w:t>
      </w:r>
      <w:r>
        <w:rPr>
          <w:b/>
          <w:spacing w:val="-1"/>
          <w:szCs w:val="22"/>
        </w:rPr>
        <w:t>u</w:t>
      </w:r>
      <w:r>
        <w:rPr>
          <w:b/>
          <w:spacing w:val="-2"/>
          <w:szCs w:val="22"/>
        </w:rPr>
        <w:t>t</w:t>
      </w:r>
      <w:r>
        <w:rPr>
          <w:b/>
          <w:spacing w:val="1"/>
          <w:szCs w:val="22"/>
        </w:rPr>
        <w:t>i</w:t>
      </w:r>
      <w:r>
        <w:rPr>
          <w:b/>
          <w:spacing w:val="-2"/>
          <w:szCs w:val="22"/>
        </w:rPr>
        <w:t>l</w:t>
      </w:r>
      <w:r>
        <w:rPr>
          <w:b/>
          <w:spacing w:val="1"/>
          <w:szCs w:val="22"/>
        </w:rPr>
        <w:t>i</w:t>
      </w:r>
      <w:r>
        <w:rPr>
          <w:b/>
          <w:spacing w:val="-3"/>
          <w:szCs w:val="22"/>
        </w:rPr>
        <w:t>z</w:t>
      </w:r>
      <w:r>
        <w:rPr>
          <w:b/>
          <w:szCs w:val="22"/>
        </w:rPr>
        <w:t>aţi</w:t>
      </w:r>
      <w:r>
        <w:rPr>
          <w:b/>
          <w:spacing w:val="-2"/>
          <w:szCs w:val="22"/>
        </w:rPr>
        <w:t xml:space="preserve"> </w:t>
      </w:r>
      <w:r>
        <w:rPr>
          <w:b/>
          <w:szCs w:val="22"/>
        </w:rPr>
        <w:t>mai</w:t>
      </w:r>
      <w:r>
        <w:rPr>
          <w:b/>
          <w:spacing w:val="-2"/>
          <w:szCs w:val="22"/>
        </w:rPr>
        <w:t xml:space="preserve"> </w:t>
      </w:r>
      <w:r>
        <w:rPr>
          <w:b/>
          <w:szCs w:val="22"/>
        </w:rPr>
        <w:t>m</w:t>
      </w:r>
      <w:r>
        <w:rPr>
          <w:b/>
          <w:spacing w:val="-3"/>
          <w:szCs w:val="22"/>
        </w:rPr>
        <w:t>u</w:t>
      </w:r>
      <w:r>
        <w:rPr>
          <w:b/>
          <w:spacing w:val="1"/>
          <w:szCs w:val="22"/>
        </w:rPr>
        <w:t>l</w:t>
      </w:r>
      <w:r>
        <w:rPr>
          <w:b/>
          <w:szCs w:val="22"/>
        </w:rPr>
        <w:t>t</w:t>
      </w:r>
      <w:r>
        <w:rPr>
          <w:b/>
          <w:spacing w:val="1"/>
          <w:szCs w:val="22"/>
        </w:rPr>
        <w:t xml:space="preserve"> </w:t>
      </w:r>
      <w:r>
        <w:rPr>
          <w:b/>
          <w:spacing w:val="-3"/>
          <w:szCs w:val="22"/>
        </w:rPr>
        <w:t>de</w:t>
      </w:r>
      <w:r>
        <w:rPr>
          <w:b/>
          <w:szCs w:val="22"/>
        </w:rPr>
        <w:t>cât</w:t>
      </w:r>
      <w:r>
        <w:rPr>
          <w:b/>
          <w:spacing w:val="1"/>
          <w:szCs w:val="22"/>
        </w:rPr>
        <w:t xml:space="preserve"> </w:t>
      </w:r>
      <w:r>
        <w:rPr>
          <w:b/>
          <w:spacing w:val="-2"/>
          <w:szCs w:val="22"/>
        </w:rPr>
        <w:t>t</w:t>
      </w:r>
      <w:r>
        <w:rPr>
          <w:b/>
          <w:szCs w:val="22"/>
        </w:rPr>
        <w:t>re</w:t>
      </w:r>
      <w:r>
        <w:rPr>
          <w:b/>
          <w:spacing w:val="-1"/>
          <w:szCs w:val="22"/>
        </w:rPr>
        <w:t>b</w:t>
      </w:r>
      <w:r>
        <w:rPr>
          <w:b/>
          <w:spacing w:val="-3"/>
          <w:szCs w:val="22"/>
        </w:rPr>
        <w:t>u</w:t>
      </w:r>
      <w:r>
        <w:rPr>
          <w:b/>
          <w:spacing w:val="1"/>
          <w:szCs w:val="22"/>
        </w:rPr>
        <w:t>i</w:t>
      </w:r>
      <w:r>
        <w:rPr>
          <w:b/>
          <w:szCs w:val="22"/>
        </w:rPr>
        <w:t xml:space="preserve">e </w:t>
      </w:r>
      <w:r>
        <w:rPr>
          <w:b/>
          <w:spacing w:val="-3"/>
          <w:szCs w:val="22"/>
        </w:rPr>
        <w:t>d</w:t>
      </w:r>
      <w:r>
        <w:rPr>
          <w:b/>
          <w:spacing w:val="1"/>
          <w:szCs w:val="22"/>
        </w:rPr>
        <w:t>i</w:t>
      </w:r>
      <w:r>
        <w:rPr>
          <w:b/>
          <w:szCs w:val="22"/>
        </w:rPr>
        <w:t>n</w:t>
      </w:r>
      <w:r>
        <w:rPr>
          <w:b/>
          <w:spacing w:val="-1"/>
          <w:szCs w:val="22"/>
        </w:rPr>
        <w:t xml:space="preserve"> </w:t>
      </w:r>
      <w:r>
        <w:rPr>
          <w:b/>
          <w:bCs/>
          <w:spacing w:val="1"/>
          <w:szCs w:val="22"/>
          <w:lang w:eastAsia="en-US" w:bidi="ar-SA"/>
        </w:rPr>
        <w:t>AMGEVITA</w:t>
      </w:r>
    </w:p>
    <w:p w14:paraId="0778EF58" w14:textId="77777777" w:rsidR="00C04CAD" w:rsidRDefault="00C04CAD">
      <w:pPr>
        <w:tabs>
          <w:tab w:val="clear" w:pos="567"/>
        </w:tabs>
        <w:kinsoku w:val="0"/>
        <w:overflowPunct w:val="0"/>
        <w:autoSpaceDE w:val="0"/>
        <w:autoSpaceDN w:val="0"/>
        <w:adjustRightInd w:val="0"/>
        <w:spacing w:line="240" w:lineRule="auto"/>
        <w:rPr>
          <w:szCs w:val="22"/>
        </w:rPr>
      </w:pPr>
    </w:p>
    <w:p w14:paraId="4582B206"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 xml:space="preserve">acă </w:t>
      </w:r>
      <w:r>
        <w:rPr>
          <w:spacing w:val="-3"/>
          <w:szCs w:val="22"/>
        </w:rPr>
        <w:t>v</w:t>
      </w:r>
      <w:r>
        <w:rPr>
          <w:szCs w:val="22"/>
        </w:rPr>
        <w:t>ă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pacing w:val="1"/>
          <w:szCs w:val="22"/>
        </w:rPr>
        <w:t>ţ</w:t>
      </w:r>
      <w:r>
        <w:rPr>
          <w:szCs w:val="22"/>
        </w:rPr>
        <w:t>i</w:t>
      </w:r>
      <w:r>
        <w:rPr>
          <w:spacing w:val="-2"/>
          <w:szCs w:val="22"/>
        </w:rPr>
        <w:t xml:space="preserve"> </w:t>
      </w:r>
      <w:r>
        <w:rPr>
          <w:szCs w:val="22"/>
        </w:rPr>
        <w:t>ac</w:t>
      </w:r>
      <w:r>
        <w:rPr>
          <w:spacing w:val="-3"/>
          <w:szCs w:val="22"/>
        </w:rPr>
        <w:t>c</w:t>
      </w:r>
      <w:r>
        <w:rPr>
          <w:spacing w:val="1"/>
          <w:szCs w:val="22"/>
        </w:rPr>
        <w:t>i</w:t>
      </w:r>
      <w:r>
        <w:rPr>
          <w:szCs w:val="22"/>
        </w:rPr>
        <w:t>d</w:t>
      </w:r>
      <w:r>
        <w:rPr>
          <w:spacing w:val="-3"/>
          <w:szCs w:val="22"/>
        </w:rPr>
        <w:t>e</w:t>
      </w:r>
      <w:r>
        <w:rPr>
          <w:szCs w:val="22"/>
        </w:rPr>
        <w:t>n</w:t>
      </w:r>
      <w:r>
        <w:rPr>
          <w:spacing w:val="1"/>
          <w:szCs w:val="22"/>
        </w:rPr>
        <w:t>t</w:t>
      </w:r>
      <w:r>
        <w:rPr>
          <w:spacing w:val="-3"/>
          <w:szCs w:val="22"/>
        </w:rPr>
        <w:t>a</w:t>
      </w:r>
      <w:r>
        <w:rPr>
          <w:szCs w:val="22"/>
        </w:rPr>
        <w:t>l</w:t>
      </w:r>
      <w:r>
        <w:rPr>
          <w:spacing w:val="1"/>
          <w:szCs w:val="22"/>
        </w:rPr>
        <w:t xml:space="preserve"> </w:t>
      </w:r>
      <w:r>
        <w:rPr>
          <w:spacing w:val="-1"/>
          <w:szCs w:val="22"/>
          <w:lang w:eastAsia="en-US" w:bidi="ar-SA"/>
        </w:rPr>
        <w:t>AMGEVITA</w:t>
      </w:r>
      <w:r>
        <w:rPr>
          <w:szCs w:val="22"/>
        </w:rPr>
        <w:t xml:space="preserve"> </w:t>
      </w:r>
      <w:r>
        <w:rPr>
          <w:spacing w:val="-4"/>
          <w:szCs w:val="22"/>
        </w:rPr>
        <w:t>m</w:t>
      </w:r>
      <w:r>
        <w:rPr>
          <w:szCs w:val="22"/>
        </w:rPr>
        <w:t>ai</w:t>
      </w:r>
      <w:r>
        <w:rPr>
          <w:spacing w:val="1"/>
          <w:szCs w:val="22"/>
        </w:rPr>
        <w:t xml:space="preserve"> </w:t>
      </w:r>
      <w:r>
        <w:rPr>
          <w:szCs w:val="22"/>
        </w:rPr>
        <w:t xml:space="preserve">des </w:t>
      </w:r>
      <w:r>
        <w:rPr>
          <w:spacing w:val="-3"/>
          <w:szCs w:val="22"/>
        </w:rPr>
        <w:t>d</w:t>
      </w:r>
      <w:r>
        <w:rPr>
          <w:szCs w:val="22"/>
        </w:rPr>
        <w:t>ec</w:t>
      </w:r>
      <w:r>
        <w:rPr>
          <w:spacing w:val="-3"/>
          <w:szCs w:val="22"/>
        </w:rPr>
        <w:t>â</w:t>
      </w:r>
      <w:r>
        <w:rPr>
          <w:szCs w:val="22"/>
        </w:rPr>
        <w:t>t</w:t>
      </w:r>
      <w:r>
        <w:rPr>
          <w:spacing w:val="-2"/>
          <w:szCs w:val="22"/>
        </w:rPr>
        <w:t xml:space="preserve"> </w:t>
      </w:r>
      <w:r>
        <w:rPr>
          <w:spacing w:val="-1"/>
          <w:szCs w:val="22"/>
        </w:rPr>
        <w:t>v</w:t>
      </w:r>
      <w:r>
        <w:rPr>
          <w:spacing w:val="-4"/>
          <w:szCs w:val="22"/>
        </w:rPr>
        <w:t>-</w:t>
      </w:r>
      <w:r>
        <w:rPr>
          <w:szCs w:val="22"/>
        </w:rPr>
        <w:t xml:space="preserve">a </w:t>
      </w:r>
      <w:r>
        <w:rPr>
          <w:spacing w:val="1"/>
          <w:szCs w:val="22"/>
        </w:rPr>
        <w:t>i</w:t>
      </w:r>
      <w:r>
        <w:rPr>
          <w:szCs w:val="22"/>
        </w:rPr>
        <w:t>nd</w:t>
      </w:r>
      <w:r>
        <w:rPr>
          <w:spacing w:val="1"/>
          <w:szCs w:val="22"/>
        </w:rPr>
        <w:t>i</w:t>
      </w:r>
      <w:r>
        <w:rPr>
          <w:szCs w:val="22"/>
        </w:rPr>
        <w:t>c</w:t>
      </w:r>
      <w:r>
        <w:rPr>
          <w:spacing w:val="-3"/>
          <w:szCs w:val="22"/>
        </w:rPr>
        <w:t>a</w:t>
      </w:r>
      <w:r>
        <w:rPr>
          <w:szCs w:val="22"/>
        </w:rPr>
        <w:t>t</w:t>
      </w:r>
      <w:r>
        <w:rPr>
          <w:spacing w:val="1"/>
          <w:szCs w:val="22"/>
        </w:rPr>
        <w:t xml:space="preserve"> </w:t>
      </w:r>
      <w:r>
        <w:rPr>
          <w:spacing w:val="-4"/>
          <w:szCs w:val="22"/>
        </w:rPr>
        <w:t>m</w:t>
      </w:r>
      <w:r>
        <w:rPr>
          <w:szCs w:val="22"/>
        </w:rPr>
        <w:t>ed</w:t>
      </w:r>
      <w:r>
        <w:rPr>
          <w:spacing w:val="1"/>
          <w:szCs w:val="22"/>
        </w:rPr>
        <w:t>i</w:t>
      </w:r>
      <w:r>
        <w:rPr>
          <w:szCs w:val="22"/>
        </w:rPr>
        <w:t>cul</w:t>
      </w:r>
      <w:r>
        <w:rPr>
          <w:spacing w:val="-2"/>
          <w:szCs w:val="22"/>
        </w:rPr>
        <w:t xml:space="preserve"> </w:t>
      </w:r>
      <w:r>
        <w:rPr>
          <w:szCs w:val="22"/>
        </w:rPr>
        <w:t>du</w:t>
      </w:r>
      <w:r>
        <w:rPr>
          <w:spacing w:val="-4"/>
          <w:szCs w:val="22"/>
        </w:rPr>
        <w:t>m</w:t>
      </w:r>
      <w:r>
        <w:rPr>
          <w:szCs w:val="22"/>
        </w:rPr>
        <w:t>nea</w:t>
      </w:r>
      <w:r>
        <w:rPr>
          <w:spacing w:val="-3"/>
          <w:szCs w:val="22"/>
        </w:rPr>
        <w:t>v</w:t>
      </w:r>
      <w:r>
        <w:rPr>
          <w:szCs w:val="22"/>
        </w:rPr>
        <w:t>oas</w:t>
      </w:r>
      <w:r>
        <w:rPr>
          <w:spacing w:val="1"/>
          <w:szCs w:val="22"/>
        </w:rPr>
        <w:t>t</w:t>
      </w:r>
      <w:r>
        <w:rPr>
          <w:szCs w:val="22"/>
        </w:rPr>
        <w:t>ră</w:t>
      </w:r>
      <w:r>
        <w:rPr>
          <w:spacing w:val="-2"/>
          <w:szCs w:val="22"/>
        </w:rPr>
        <w:t xml:space="preserve"> </w:t>
      </w:r>
      <w:r>
        <w:rPr>
          <w:szCs w:val="22"/>
        </w:rPr>
        <w:t>sau far</w:t>
      </w:r>
      <w:r>
        <w:rPr>
          <w:spacing w:val="-4"/>
          <w:szCs w:val="22"/>
        </w:rPr>
        <w:t>m</w:t>
      </w:r>
      <w:r>
        <w:rPr>
          <w:szCs w:val="22"/>
        </w:rPr>
        <w:t>ac</w:t>
      </w:r>
      <w:r>
        <w:rPr>
          <w:spacing w:val="1"/>
          <w:szCs w:val="22"/>
        </w:rPr>
        <w:t>i</w:t>
      </w:r>
      <w:r>
        <w:rPr>
          <w:spacing w:val="-2"/>
          <w:szCs w:val="22"/>
        </w:rPr>
        <w:t>s</w:t>
      </w:r>
      <w:r>
        <w:rPr>
          <w:spacing w:val="1"/>
          <w:szCs w:val="22"/>
        </w:rPr>
        <w:t>t</w:t>
      </w:r>
      <w:r>
        <w:rPr>
          <w:spacing w:val="-3"/>
          <w:szCs w:val="22"/>
        </w:rPr>
        <w:t>u</w:t>
      </w:r>
      <w:r>
        <w:rPr>
          <w:szCs w:val="22"/>
        </w:rPr>
        <w:t xml:space="preserve">l, </w:t>
      </w:r>
      <w:r>
        <w:rPr>
          <w:spacing w:val="-3"/>
          <w:szCs w:val="22"/>
        </w:rPr>
        <w:t>a</w:t>
      </w:r>
      <w:r>
        <w:rPr>
          <w:szCs w:val="22"/>
        </w:rPr>
        <w:t>nu</w:t>
      </w:r>
      <w:r>
        <w:rPr>
          <w:spacing w:val="-3"/>
          <w:szCs w:val="22"/>
        </w:rPr>
        <w:t>n</w:t>
      </w:r>
      <w:r>
        <w:rPr>
          <w:spacing w:val="1"/>
          <w:szCs w:val="22"/>
        </w:rPr>
        <w:t>ţ</w:t>
      </w:r>
      <w:r>
        <w:rPr>
          <w:szCs w:val="22"/>
        </w:rPr>
        <w:t>a</w:t>
      </w:r>
      <w:r>
        <w:rPr>
          <w:spacing w:val="-2"/>
          <w:szCs w:val="22"/>
        </w:rPr>
        <w:t>ţ</w:t>
      </w:r>
      <w:r>
        <w:rPr>
          <w:szCs w:val="22"/>
        </w:rPr>
        <w:t>i</w:t>
      </w:r>
      <w:r>
        <w:rPr>
          <w:spacing w:val="1"/>
          <w:szCs w:val="22"/>
        </w:rPr>
        <w:t xml:space="preserve">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2"/>
          <w:szCs w:val="22"/>
        </w:rPr>
        <w:t>t</w:t>
      </w:r>
      <w:r>
        <w:rPr>
          <w:szCs w:val="22"/>
        </w:rPr>
        <w:t>ră</w:t>
      </w:r>
      <w:r>
        <w:rPr>
          <w:spacing w:val="-2"/>
          <w:szCs w:val="22"/>
        </w:rPr>
        <w:t xml:space="preserve"> </w:t>
      </w:r>
      <w:r>
        <w:rPr>
          <w:szCs w:val="22"/>
        </w:rPr>
        <w:t xml:space="preserve">sau </w:t>
      </w:r>
      <w:r>
        <w:rPr>
          <w:spacing w:val="-2"/>
          <w:szCs w:val="22"/>
        </w:rPr>
        <w:t>f</w:t>
      </w:r>
      <w:r>
        <w:rPr>
          <w:szCs w:val="22"/>
        </w:rPr>
        <w:t>ar</w:t>
      </w:r>
      <w:r>
        <w:rPr>
          <w:spacing w:val="-4"/>
          <w:szCs w:val="22"/>
        </w:rPr>
        <w:t>m</w:t>
      </w:r>
      <w:r>
        <w:rPr>
          <w:szCs w:val="22"/>
        </w:rPr>
        <w:t>ac</w:t>
      </w:r>
      <w:r>
        <w:rPr>
          <w:spacing w:val="1"/>
          <w:szCs w:val="22"/>
        </w:rPr>
        <w:t>i</w:t>
      </w:r>
      <w:r>
        <w:rPr>
          <w:spacing w:val="-2"/>
          <w:szCs w:val="22"/>
        </w:rPr>
        <w:t>s</w:t>
      </w:r>
      <w:r>
        <w:rPr>
          <w:spacing w:val="1"/>
          <w:szCs w:val="22"/>
        </w:rPr>
        <w:t>t</w:t>
      </w:r>
      <w:r>
        <w:rPr>
          <w:spacing w:val="-3"/>
          <w:szCs w:val="22"/>
        </w:rPr>
        <w:t>u</w:t>
      </w:r>
      <w:r>
        <w:rPr>
          <w:szCs w:val="22"/>
        </w:rPr>
        <w:t>l</w:t>
      </w:r>
      <w:r>
        <w:rPr>
          <w:spacing w:val="1"/>
          <w:szCs w:val="22"/>
        </w:rPr>
        <w:t xml:space="preserve"> </w:t>
      </w:r>
      <w:r>
        <w:rPr>
          <w:spacing w:val="-2"/>
          <w:szCs w:val="22"/>
        </w:rPr>
        <w:t>ş</w:t>
      </w:r>
      <w:r>
        <w:rPr>
          <w:szCs w:val="22"/>
        </w:rPr>
        <w:t>i</w:t>
      </w:r>
      <w:r>
        <w:rPr>
          <w:spacing w:val="1"/>
          <w:szCs w:val="22"/>
        </w:rPr>
        <w:t xml:space="preserve"> </w:t>
      </w:r>
      <w:r>
        <w:rPr>
          <w:szCs w:val="22"/>
        </w:rPr>
        <w:t>să</w:t>
      </w:r>
      <w:r>
        <w:rPr>
          <w:spacing w:val="-4"/>
          <w:szCs w:val="22"/>
        </w:rPr>
        <w:t>-</w:t>
      </w:r>
      <w:r>
        <w:rPr>
          <w:szCs w:val="22"/>
        </w:rPr>
        <w:t>i</w:t>
      </w:r>
      <w:r>
        <w:rPr>
          <w:spacing w:val="1"/>
          <w:szCs w:val="22"/>
        </w:rPr>
        <w:t xml:space="preserve"> </w:t>
      </w:r>
      <w:r>
        <w:rPr>
          <w:szCs w:val="22"/>
        </w:rPr>
        <w:t>spu</w:t>
      </w:r>
      <w:r>
        <w:rPr>
          <w:spacing w:val="-3"/>
          <w:szCs w:val="22"/>
        </w:rPr>
        <w:t>n</w:t>
      </w:r>
      <w:r>
        <w:rPr>
          <w:szCs w:val="22"/>
        </w:rPr>
        <w:t>e</w:t>
      </w:r>
      <w:r>
        <w:rPr>
          <w:spacing w:val="1"/>
          <w:szCs w:val="22"/>
        </w:rPr>
        <w:t>ţ</w:t>
      </w:r>
      <w:r>
        <w:rPr>
          <w:szCs w:val="22"/>
        </w:rPr>
        <w:t>i</w:t>
      </w:r>
      <w:r>
        <w:rPr>
          <w:spacing w:val="-2"/>
          <w:szCs w:val="22"/>
        </w:rPr>
        <w:t xml:space="preserve"> </w:t>
      </w:r>
      <w:r>
        <w:rPr>
          <w:szCs w:val="22"/>
        </w:rPr>
        <w:t>ac</w:t>
      </w:r>
      <w:r>
        <w:rPr>
          <w:spacing w:val="-3"/>
          <w:szCs w:val="22"/>
        </w:rPr>
        <w:t>e</w:t>
      </w:r>
      <w:r>
        <w:rPr>
          <w:szCs w:val="22"/>
        </w:rPr>
        <w:t>s</w:t>
      </w:r>
      <w:r>
        <w:rPr>
          <w:spacing w:val="1"/>
          <w:szCs w:val="22"/>
        </w:rPr>
        <w:t>t</w:t>
      </w:r>
      <w:r>
        <w:rPr>
          <w:spacing w:val="-3"/>
          <w:szCs w:val="22"/>
        </w:rPr>
        <w:t>u</w:t>
      </w:r>
      <w:r>
        <w:rPr>
          <w:spacing w:val="1"/>
          <w:szCs w:val="22"/>
        </w:rPr>
        <w:t>i</w:t>
      </w:r>
      <w:r>
        <w:rPr>
          <w:spacing w:val="-3"/>
          <w:szCs w:val="22"/>
        </w:rPr>
        <w:t>a</w:t>
      </w:r>
      <w:r>
        <w:rPr>
          <w:spacing w:val="1"/>
          <w:szCs w:val="22"/>
        </w:rPr>
        <w:t>/</w:t>
      </w:r>
      <w:r>
        <w:rPr>
          <w:szCs w:val="22"/>
        </w:rPr>
        <w:t>a</w:t>
      </w:r>
      <w:r>
        <w:rPr>
          <w:spacing w:val="-3"/>
          <w:szCs w:val="22"/>
        </w:rPr>
        <w:t>c</w:t>
      </w:r>
      <w:r>
        <w:rPr>
          <w:szCs w:val="22"/>
        </w:rPr>
        <w:t>e</w:t>
      </w:r>
      <w:r>
        <w:rPr>
          <w:spacing w:val="-2"/>
          <w:szCs w:val="22"/>
        </w:rPr>
        <w:t>s</w:t>
      </w:r>
      <w:r>
        <w:rPr>
          <w:spacing w:val="1"/>
          <w:szCs w:val="22"/>
        </w:rPr>
        <w:t>t</w:t>
      </w:r>
      <w:r>
        <w:rPr>
          <w:szCs w:val="22"/>
        </w:rPr>
        <w:t>e</w:t>
      </w:r>
      <w:r>
        <w:rPr>
          <w:spacing w:val="-2"/>
          <w:szCs w:val="22"/>
        </w:rPr>
        <w:t>i</w:t>
      </w:r>
      <w:r>
        <w:rPr>
          <w:szCs w:val="22"/>
        </w:rPr>
        <w:t xml:space="preserve">a că </w:t>
      </w:r>
      <w:r>
        <w:rPr>
          <w:spacing w:val="-3"/>
          <w:szCs w:val="22"/>
        </w:rPr>
        <w:t>a</w:t>
      </w:r>
      <w:r>
        <w:rPr>
          <w:spacing w:val="1"/>
          <w:szCs w:val="22"/>
        </w:rPr>
        <w:t>ţ</w:t>
      </w:r>
      <w:r>
        <w:rPr>
          <w:szCs w:val="22"/>
        </w:rPr>
        <w:t>i</w:t>
      </w:r>
      <w:r>
        <w:rPr>
          <w:spacing w:val="1"/>
          <w:szCs w:val="22"/>
        </w:rPr>
        <w:t xml:space="preserve"> </w:t>
      </w:r>
      <w:r>
        <w:rPr>
          <w:spacing w:val="-3"/>
          <w:szCs w:val="22"/>
        </w:rPr>
        <w:t>u</w:t>
      </w:r>
      <w:r>
        <w:rPr>
          <w:spacing w:val="1"/>
          <w:szCs w:val="22"/>
        </w:rPr>
        <w:t>t</w:t>
      </w:r>
      <w:r>
        <w:rPr>
          <w:spacing w:val="-2"/>
          <w:szCs w:val="22"/>
        </w:rPr>
        <w:t>i</w:t>
      </w:r>
      <w:r>
        <w:rPr>
          <w:spacing w:val="1"/>
          <w:szCs w:val="22"/>
        </w:rPr>
        <w:t>li</w:t>
      </w:r>
      <w:r>
        <w:rPr>
          <w:spacing w:val="-3"/>
          <w:szCs w:val="22"/>
        </w:rPr>
        <w:t>za</w:t>
      </w:r>
      <w:r>
        <w:rPr>
          <w:szCs w:val="22"/>
        </w:rPr>
        <w:t>t</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zCs w:val="22"/>
        </w:rPr>
        <w:t>u</w:t>
      </w:r>
      <w:r>
        <w:rPr>
          <w:spacing w:val="1"/>
          <w:szCs w:val="22"/>
        </w:rPr>
        <w:t>l</w:t>
      </w:r>
      <w:r>
        <w:rPr>
          <w:szCs w:val="22"/>
        </w:rPr>
        <w:t xml:space="preserve">t. </w:t>
      </w:r>
      <w:r>
        <w:rPr>
          <w:spacing w:val="-1"/>
          <w:szCs w:val="22"/>
        </w:rPr>
        <w:t>P</w:t>
      </w:r>
      <w:r>
        <w:rPr>
          <w:szCs w:val="22"/>
        </w:rPr>
        <w:t>ur</w:t>
      </w:r>
      <w:r>
        <w:rPr>
          <w:spacing w:val="-2"/>
          <w:szCs w:val="22"/>
        </w:rPr>
        <w:t>t</w:t>
      </w:r>
      <w:r>
        <w:rPr>
          <w:szCs w:val="22"/>
        </w:rPr>
        <w:t>a</w:t>
      </w:r>
      <w:r>
        <w:rPr>
          <w:spacing w:val="-2"/>
          <w:szCs w:val="22"/>
        </w:rPr>
        <w:t>ţ</w:t>
      </w:r>
      <w:r>
        <w:rPr>
          <w:szCs w:val="22"/>
        </w:rPr>
        <w:t>i</w:t>
      </w:r>
      <w:r>
        <w:rPr>
          <w:spacing w:val="1"/>
          <w:szCs w:val="22"/>
        </w:rPr>
        <w:t xml:space="preserve"> </w:t>
      </w:r>
      <w:r>
        <w:rPr>
          <w:spacing w:val="-4"/>
          <w:szCs w:val="22"/>
        </w:rPr>
        <w:t>m</w:t>
      </w:r>
      <w:r>
        <w:rPr>
          <w:szCs w:val="22"/>
        </w:rPr>
        <w:t xml:space="preserve">ereu </w:t>
      </w:r>
      <w:r>
        <w:rPr>
          <w:spacing w:val="-2"/>
          <w:szCs w:val="22"/>
        </w:rPr>
        <w:t>l</w:t>
      </w:r>
      <w:r>
        <w:rPr>
          <w:szCs w:val="22"/>
        </w:rPr>
        <w:t>a du</w:t>
      </w:r>
      <w:r>
        <w:rPr>
          <w:spacing w:val="-4"/>
          <w:szCs w:val="22"/>
        </w:rPr>
        <w:t>m</w:t>
      </w:r>
      <w:r>
        <w:rPr>
          <w:szCs w:val="22"/>
        </w:rPr>
        <w:t>nea</w:t>
      </w:r>
      <w:r>
        <w:rPr>
          <w:spacing w:val="-3"/>
          <w:szCs w:val="22"/>
        </w:rPr>
        <w:t>v</w:t>
      </w:r>
      <w:r>
        <w:rPr>
          <w:szCs w:val="22"/>
        </w:rPr>
        <w:t>oas</w:t>
      </w:r>
      <w:r>
        <w:rPr>
          <w:spacing w:val="-2"/>
          <w:szCs w:val="22"/>
        </w:rPr>
        <w:t>t</w:t>
      </w:r>
      <w:r>
        <w:rPr>
          <w:szCs w:val="22"/>
        </w:rPr>
        <w:t xml:space="preserve">ră </w:t>
      </w:r>
      <w:r>
        <w:rPr>
          <w:szCs w:val="22"/>
          <w:lang w:eastAsia="en-US" w:bidi="ar-SA"/>
        </w:rPr>
        <w:t>cutia</w:t>
      </w:r>
      <w:r>
        <w:rPr>
          <w:spacing w:val="1"/>
          <w:szCs w:val="22"/>
          <w:lang w:eastAsia="en-US" w:bidi="ar-SA"/>
        </w:rPr>
        <w:t xml:space="preserve"> </w:t>
      </w:r>
      <w:r>
        <w:rPr>
          <w:szCs w:val="22"/>
          <w:lang w:eastAsia="en-US" w:bidi="ar-SA"/>
        </w:rPr>
        <w:t>e</w:t>
      </w:r>
      <w:r>
        <w:rPr>
          <w:spacing w:val="-3"/>
          <w:szCs w:val="22"/>
          <w:lang w:eastAsia="en-US" w:bidi="ar-SA"/>
        </w:rPr>
        <w:t>x</w:t>
      </w:r>
      <w:r>
        <w:rPr>
          <w:spacing w:val="1"/>
          <w:szCs w:val="22"/>
          <w:lang w:eastAsia="en-US" w:bidi="ar-SA"/>
        </w:rPr>
        <w:t>t</w:t>
      </w:r>
      <w:r>
        <w:rPr>
          <w:spacing w:val="-3"/>
          <w:szCs w:val="22"/>
          <w:lang w:eastAsia="en-US" w:bidi="ar-SA"/>
        </w:rPr>
        <w:t>e</w:t>
      </w:r>
      <w:r>
        <w:rPr>
          <w:szCs w:val="22"/>
          <w:lang w:eastAsia="en-US" w:bidi="ar-SA"/>
        </w:rPr>
        <w:t>r</w:t>
      </w:r>
      <w:r>
        <w:rPr>
          <w:spacing w:val="-2"/>
          <w:szCs w:val="22"/>
          <w:lang w:eastAsia="en-US" w:bidi="ar-SA"/>
        </w:rPr>
        <w:t>i</w:t>
      </w:r>
      <w:r>
        <w:rPr>
          <w:szCs w:val="22"/>
          <w:lang w:eastAsia="en-US" w:bidi="ar-SA"/>
        </w:rPr>
        <w:t>oară</w:t>
      </w:r>
      <w:r>
        <w:rPr>
          <w:spacing w:val="1"/>
          <w:szCs w:val="22"/>
          <w:lang w:eastAsia="en-US" w:bidi="ar-SA"/>
        </w:rPr>
        <w:t xml:space="preserve"> </w:t>
      </w:r>
      <w:r>
        <w:rPr>
          <w:szCs w:val="22"/>
          <w:lang w:eastAsia="en-US" w:bidi="ar-SA"/>
        </w:rPr>
        <w:t>a acestui medicament</w:t>
      </w:r>
      <w:r>
        <w:rPr>
          <w:szCs w:val="22"/>
        </w:rPr>
        <w:t>,</w:t>
      </w:r>
      <w:r>
        <w:rPr>
          <w:spacing w:val="-3"/>
          <w:szCs w:val="22"/>
        </w:rPr>
        <w:t xml:space="preserve"> </w:t>
      </w:r>
      <w:r>
        <w:rPr>
          <w:szCs w:val="22"/>
        </w:rPr>
        <w:t>ch</w:t>
      </w:r>
      <w:r>
        <w:rPr>
          <w:spacing w:val="-2"/>
          <w:szCs w:val="22"/>
        </w:rPr>
        <w:t>i</w:t>
      </w:r>
      <w:r>
        <w:rPr>
          <w:szCs w:val="22"/>
        </w:rPr>
        <w:t xml:space="preserve">ar dacă </w:t>
      </w:r>
      <w:r>
        <w:rPr>
          <w:spacing w:val="-3"/>
          <w:szCs w:val="22"/>
        </w:rPr>
        <w:t>e</w:t>
      </w:r>
      <w:r>
        <w:rPr>
          <w:szCs w:val="22"/>
        </w:rPr>
        <w:t>s</w:t>
      </w:r>
      <w:r>
        <w:rPr>
          <w:spacing w:val="-2"/>
          <w:szCs w:val="22"/>
        </w:rPr>
        <w:t>t</w:t>
      </w:r>
      <w:r>
        <w:rPr>
          <w:szCs w:val="22"/>
        </w:rPr>
        <w:t xml:space="preserve">e </w:t>
      </w:r>
      <w:r>
        <w:rPr>
          <w:spacing w:val="-3"/>
          <w:szCs w:val="22"/>
          <w:lang w:eastAsia="en-US" w:bidi="ar-SA"/>
        </w:rPr>
        <w:t>g</w:t>
      </w:r>
      <w:r>
        <w:rPr>
          <w:szCs w:val="22"/>
          <w:lang w:eastAsia="en-US" w:bidi="ar-SA"/>
        </w:rPr>
        <w:t>oa</w:t>
      </w:r>
      <w:r>
        <w:rPr>
          <w:spacing w:val="1"/>
          <w:szCs w:val="22"/>
          <w:lang w:eastAsia="en-US" w:bidi="ar-SA"/>
        </w:rPr>
        <w:t>l</w:t>
      </w:r>
      <w:r>
        <w:rPr>
          <w:szCs w:val="22"/>
          <w:lang w:eastAsia="en-US" w:bidi="ar-SA"/>
        </w:rPr>
        <w:t>ă</w:t>
      </w:r>
      <w:r>
        <w:rPr>
          <w:szCs w:val="22"/>
        </w:rPr>
        <w:t>.</w:t>
      </w:r>
    </w:p>
    <w:p w14:paraId="41F46CB7" w14:textId="77777777" w:rsidR="00C04CAD" w:rsidRDefault="00C04CAD">
      <w:pPr>
        <w:tabs>
          <w:tab w:val="clear" w:pos="567"/>
        </w:tabs>
        <w:kinsoku w:val="0"/>
        <w:overflowPunct w:val="0"/>
        <w:autoSpaceDE w:val="0"/>
        <w:autoSpaceDN w:val="0"/>
        <w:adjustRightInd w:val="0"/>
        <w:spacing w:line="240" w:lineRule="auto"/>
        <w:rPr>
          <w:szCs w:val="22"/>
        </w:rPr>
      </w:pPr>
    </w:p>
    <w:p w14:paraId="58FB8ED5"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 xml:space="preserve">acă </w:t>
      </w:r>
      <w:r>
        <w:rPr>
          <w:b/>
          <w:spacing w:val="-1"/>
          <w:szCs w:val="22"/>
        </w:rPr>
        <w:t>u</w:t>
      </w:r>
      <w:r>
        <w:rPr>
          <w:b/>
          <w:spacing w:val="-2"/>
          <w:szCs w:val="22"/>
        </w:rPr>
        <w:t>i</w:t>
      </w:r>
      <w:r>
        <w:rPr>
          <w:b/>
          <w:szCs w:val="22"/>
        </w:rPr>
        <w:t>ta</w:t>
      </w:r>
      <w:r>
        <w:rPr>
          <w:b/>
          <w:spacing w:val="-2"/>
          <w:szCs w:val="22"/>
        </w:rPr>
        <w:t>ţ</w:t>
      </w:r>
      <w:r>
        <w:rPr>
          <w:b/>
          <w:szCs w:val="22"/>
        </w:rPr>
        <w:t>i</w:t>
      </w:r>
      <w:r>
        <w:rPr>
          <w:b/>
          <w:spacing w:val="1"/>
          <w:szCs w:val="22"/>
        </w:rPr>
        <w:t xml:space="preserve"> </w:t>
      </w:r>
      <w:r>
        <w:rPr>
          <w:b/>
          <w:szCs w:val="22"/>
        </w:rPr>
        <w:t xml:space="preserve">să </w:t>
      </w:r>
      <w:r>
        <w:rPr>
          <w:b/>
          <w:spacing w:val="-3"/>
          <w:szCs w:val="22"/>
        </w:rPr>
        <w:t>u</w:t>
      </w:r>
      <w:r>
        <w:rPr>
          <w:b/>
          <w:szCs w:val="22"/>
        </w:rPr>
        <w:t>t</w:t>
      </w:r>
      <w:r>
        <w:rPr>
          <w:b/>
          <w:spacing w:val="-2"/>
          <w:szCs w:val="22"/>
        </w:rPr>
        <w:t>i</w:t>
      </w:r>
      <w:r>
        <w:rPr>
          <w:b/>
          <w:spacing w:val="1"/>
          <w:szCs w:val="22"/>
        </w:rPr>
        <w:t>li</w:t>
      </w:r>
      <w:r>
        <w:rPr>
          <w:b/>
          <w:spacing w:val="-3"/>
          <w:szCs w:val="22"/>
        </w:rPr>
        <w:t>z</w:t>
      </w:r>
      <w:r>
        <w:rPr>
          <w:b/>
          <w:szCs w:val="22"/>
        </w:rPr>
        <w:t>a</w:t>
      </w:r>
      <w:r>
        <w:rPr>
          <w:b/>
          <w:spacing w:val="-2"/>
          <w:szCs w:val="22"/>
        </w:rPr>
        <w:t>ţ</w:t>
      </w:r>
      <w:r>
        <w:rPr>
          <w:b/>
          <w:szCs w:val="22"/>
        </w:rPr>
        <w:t>i</w:t>
      </w:r>
      <w:r>
        <w:rPr>
          <w:b/>
          <w:spacing w:val="-2"/>
          <w:szCs w:val="22"/>
        </w:rPr>
        <w:t xml:space="preserve"> </w:t>
      </w:r>
      <w:r>
        <w:rPr>
          <w:b/>
          <w:bCs/>
          <w:spacing w:val="1"/>
          <w:szCs w:val="22"/>
          <w:lang w:eastAsia="en-US" w:bidi="ar-SA"/>
        </w:rPr>
        <w:t>AMGEVITA</w:t>
      </w:r>
    </w:p>
    <w:p w14:paraId="45A35FDD" w14:textId="77777777" w:rsidR="00C04CAD" w:rsidRDefault="00C04CAD">
      <w:pPr>
        <w:tabs>
          <w:tab w:val="clear" w:pos="567"/>
        </w:tabs>
        <w:kinsoku w:val="0"/>
        <w:overflowPunct w:val="0"/>
        <w:autoSpaceDE w:val="0"/>
        <w:autoSpaceDN w:val="0"/>
        <w:adjustRightInd w:val="0"/>
        <w:spacing w:line="240" w:lineRule="auto"/>
        <w:rPr>
          <w:szCs w:val="22"/>
        </w:rPr>
      </w:pPr>
    </w:p>
    <w:p w14:paraId="27A17D0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 xml:space="preserve">acă </w:t>
      </w:r>
      <w:r>
        <w:rPr>
          <w:spacing w:val="-3"/>
          <w:szCs w:val="22"/>
        </w:rPr>
        <w:t>u</w:t>
      </w:r>
      <w:r>
        <w:rPr>
          <w:spacing w:val="1"/>
          <w:szCs w:val="22"/>
        </w:rPr>
        <w:t>it</w:t>
      </w:r>
      <w:r>
        <w:rPr>
          <w:spacing w:val="-3"/>
          <w:szCs w:val="22"/>
        </w:rPr>
        <w:t>a</w:t>
      </w:r>
      <w:r>
        <w:rPr>
          <w:spacing w:val="1"/>
          <w:szCs w:val="22"/>
        </w:rPr>
        <w:t>ţ</w:t>
      </w:r>
      <w:r>
        <w:rPr>
          <w:szCs w:val="22"/>
        </w:rPr>
        <w:t>i</w:t>
      </w:r>
      <w:r>
        <w:rPr>
          <w:spacing w:val="-2"/>
          <w:szCs w:val="22"/>
        </w:rPr>
        <w:t xml:space="preserve"> </w:t>
      </w:r>
      <w:r>
        <w:rPr>
          <w:szCs w:val="22"/>
        </w:rPr>
        <w:t xml:space="preserve">să </w:t>
      </w:r>
      <w:r>
        <w:rPr>
          <w:spacing w:val="-3"/>
          <w:szCs w:val="22"/>
        </w:rPr>
        <w:t>v</w:t>
      </w:r>
      <w:r>
        <w:rPr>
          <w:szCs w:val="22"/>
        </w:rPr>
        <w:t xml:space="preserve">ă </w:t>
      </w:r>
      <w:r>
        <w:rPr>
          <w:spacing w:val="-2"/>
          <w:szCs w:val="22"/>
        </w:rPr>
        <w:t>f</w:t>
      </w:r>
      <w:r>
        <w:rPr>
          <w:szCs w:val="22"/>
        </w:rPr>
        <w:t>ac</w:t>
      </w:r>
      <w:r>
        <w:rPr>
          <w:spacing w:val="-3"/>
          <w:szCs w:val="22"/>
        </w:rPr>
        <w:t>e</w:t>
      </w:r>
      <w:r>
        <w:rPr>
          <w:spacing w:val="1"/>
          <w:szCs w:val="22"/>
        </w:rPr>
        <w:t>ţ</w:t>
      </w:r>
      <w:r>
        <w:rPr>
          <w:szCs w:val="22"/>
        </w:rPr>
        <w:t>i</w:t>
      </w:r>
      <w:r>
        <w:rPr>
          <w:spacing w:val="1"/>
          <w:szCs w:val="22"/>
        </w:rPr>
        <w:t xml:space="preserve"> </w:t>
      </w:r>
      <w:r>
        <w:rPr>
          <w:szCs w:val="22"/>
        </w:rPr>
        <w:t>o</w:t>
      </w:r>
      <w:r>
        <w:rPr>
          <w:spacing w:val="-3"/>
          <w:szCs w:val="22"/>
        </w:rPr>
        <w:t xml:space="preserve"> </w:t>
      </w:r>
      <w:r>
        <w:rPr>
          <w:spacing w:val="1"/>
          <w:szCs w:val="22"/>
        </w:rPr>
        <w:t>i</w:t>
      </w:r>
      <w:r>
        <w:rPr>
          <w:spacing w:val="-3"/>
          <w:szCs w:val="22"/>
        </w:rPr>
        <w:t>n</w:t>
      </w:r>
      <w:r>
        <w:rPr>
          <w:spacing w:val="-2"/>
          <w:szCs w:val="22"/>
        </w:rPr>
        <w:t>j</w:t>
      </w:r>
      <w:r>
        <w:rPr>
          <w:szCs w:val="22"/>
        </w:rPr>
        <w:t>ec</w:t>
      </w:r>
      <w:r>
        <w:rPr>
          <w:spacing w:val="-2"/>
          <w:szCs w:val="22"/>
        </w:rPr>
        <w:t>ţ</w:t>
      </w:r>
      <w:r>
        <w:rPr>
          <w:spacing w:val="1"/>
          <w:szCs w:val="22"/>
        </w:rPr>
        <w:t>i</w:t>
      </w:r>
      <w:r>
        <w:rPr>
          <w:szCs w:val="22"/>
        </w:rPr>
        <w:t>e,</w:t>
      </w:r>
      <w:r>
        <w:rPr>
          <w:spacing w:val="-3"/>
          <w:szCs w:val="22"/>
        </w:rPr>
        <w:t xml:space="preserve"> </w:t>
      </w:r>
      <w:r>
        <w:rPr>
          <w:spacing w:val="1"/>
          <w:szCs w:val="22"/>
        </w:rPr>
        <w:t>t</w:t>
      </w:r>
      <w:r>
        <w:rPr>
          <w:szCs w:val="22"/>
        </w:rPr>
        <w:t>r</w:t>
      </w:r>
      <w:r>
        <w:rPr>
          <w:spacing w:val="-3"/>
          <w:szCs w:val="22"/>
        </w:rPr>
        <w:t>e</w:t>
      </w:r>
      <w:r>
        <w:rPr>
          <w:szCs w:val="22"/>
        </w:rPr>
        <w:t>bu</w:t>
      </w:r>
      <w:r>
        <w:rPr>
          <w:spacing w:val="-2"/>
          <w:szCs w:val="22"/>
        </w:rPr>
        <w:t>i</w:t>
      </w:r>
      <w:r>
        <w:rPr>
          <w:szCs w:val="22"/>
        </w:rPr>
        <w:t xml:space="preserve">e să </w:t>
      </w:r>
      <w:r>
        <w:rPr>
          <w:spacing w:val="-3"/>
          <w:szCs w:val="22"/>
          <w:lang w:eastAsia="en-US" w:bidi="ar-SA"/>
        </w:rPr>
        <w:t>vă</w:t>
      </w:r>
      <w:r>
        <w:rPr>
          <w:szCs w:val="22"/>
        </w:rPr>
        <w:t xml:space="preserve"> ad</w:t>
      </w:r>
      <w:r>
        <w:rPr>
          <w:spacing w:val="-5"/>
          <w:szCs w:val="22"/>
        </w:rPr>
        <w:t>m</w:t>
      </w:r>
      <w:r>
        <w:rPr>
          <w:spacing w:val="1"/>
          <w:szCs w:val="22"/>
        </w:rPr>
        <w:t>i</w:t>
      </w:r>
      <w:r>
        <w:rPr>
          <w:szCs w:val="22"/>
        </w:rPr>
        <w:t>n</w:t>
      </w:r>
      <w:r>
        <w:rPr>
          <w:spacing w:val="-2"/>
          <w:szCs w:val="22"/>
        </w:rPr>
        <w:t>i</w:t>
      </w:r>
      <w:r>
        <w:rPr>
          <w:szCs w:val="22"/>
        </w:rPr>
        <w:t>s</w:t>
      </w:r>
      <w:r>
        <w:rPr>
          <w:spacing w:val="-2"/>
          <w:szCs w:val="22"/>
        </w:rPr>
        <w:t>t</w:t>
      </w:r>
      <w:r>
        <w:rPr>
          <w:szCs w:val="22"/>
        </w:rPr>
        <w:t>ra</w:t>
      </w:r>
      <w:r>
        <w:rPr>
          <w:spacing w:val="-2"/>
          <w:szCs w:val="22"/>
        </w:rPr>
        <w:t>ţ</w:t>
      </w:r>
      <w:r>
        <w:rPr>
          <w:szCs w:val="22"/>
        </w:rPr>
        <w:t>i</w:t>
      </w:r>
      <w:r>
        <w:rPr>
          <w:spacing w:val="1"/>
          <w:szCs w:val="22"/>
        </w:rPr>
        <w:t xml:space="preserve"> </w:t>
      </w:r>
      <w:r>
        <w:rPr>
          <w:szCs w:val="22"/>
        </w:rPr>
        <w:t>următoarea</w:t>
      </w:r>
      <w:r>
        <w:rPr>
          <w:spacing w:val="1"/>
          <w:szCs w:val="22"/>
        </w:rPr>
        <w:t xml:space="preserve"> </w:t>
      </w:r>
      <w:r>
        <w:rPr>
          <w:szCs w:val="22"/>
        </w:rPr>
        <w:t>doză de AMGEVITA</w:t>
      </w:r>
      <w:r>
        <w:rPr>
          <w:spacing w:val="1"/>
          <w:szCs w:val="22"/>
        </w:rPr>
        <w:t xml:space="preserve"> i</w:t>
      </w:r>
      <w:r>
        <w:rPr>
          <w:spacing w:val="-4"/>
          <w:szCs w:val="22"/>
        </w:rPr>
        <w:t>m</w:t>
      </w:r>
      <w:r>
        <w:rPr>
          <w:szCs w:val="22"/>
        </w:rPr>
        <w:t>ed</w:t>
      </w:r>
      <w:r>
        <w:rPr>
          <w:spacing w:val="1"/>
          <w:szCs w:val="22"/>
        </w:rPr>
        <w:t>i</w:t>
      </w:r>
      <w:r>
        <w:rPr>
          <w:szCs w:val="22"/>
        </w:rPr>
        <w:t>at</w:t>
      </w:r>
      <w:r>
        <w:rPr>
          <w:spacing w:val="-2"/>
          <w:szCs w:val="22"/>
        </w:rPr>
        <w:t xml:space="preserve"> </w:t>
      </w:r>
      <w:r>
        <w:rPr>
          <w:szCs w:val="22"/>
        </w:rPr>
        <w:t xml:space="preserve">ce </w:t>
      </w:r>
      <w:r>
        <w:rPr>
          <w:spacing w:val="-3"/>
          <w:szCs w:val="22"/>
        </w:rPr>
        <w:t>v</w:t>
      </w:r>
      <w:r>
        <w:rPr>
          <w:szCs w:val="22"/>
        </w:rPr>
        <w:t>ă aduc</w:t>
      </w:r>
      <w:r>
        <w:rPr>
          <w:spacing w:val="-3"/>
          <w:szCs w:val="22"/>
        </w:rPr>
        <w:t>e</w:t>
      </w:r>
      <w:r>
        <w:rPr>
          <w:spacing w:val="1"/>
          <w:szCs w:val="22"/>
        </w:rPr>
        <w:t>ţ</w:t>
      </w:r>
      <w:r>
        <w:rPr>
          <w:szCs w:val="22"/>
        </w:rPr>
        <w:t>i</w:t>
      </w:r>
      <w:r>
        <w:rPr>
          <w:spacing w:val="-2"/>
          <w:szCs w:val="22"/>
        </w:rPr>
        <w:t xml:space="preserve"> </w:t>
      </w:r>
      <w:r>
        <w:rPr>
          <w:szCs w:val="22"/>
        </w:rPr>
        <w:t>a</w:t>
      </w:r>
      <w:r>
        <w:rPr>
          <w:spacing w:val="-4"/>
          <w:szCs w:val="22"/>
        </w:rPr>
        <w:t>m</w:t>
      </w:r>
      <w:r>
        <w:rPr>
          <w:spacing w:val="1"/>
          <w:szCs w:val="22"/>
        </w:rPr>
        <w:t>i</w:t>
      </w:r>
      <w:r>
        <w:rPr>
          <w:szCs w:val="22"/>
        </w:rPr>
        <w:t>n</w:t>
      </w:r>
      <w:r>
        <w:rPr>
          <w:spacing w:val="1"/>
          <w:szCs w:val="22"/>
        </w:rPr>
        <w:t>t</w:t>
      </w:r>
      <w:r>
        <w:rPr>
          <w:szCs w:val="22"/>
        </w:rPr>
        <w:t xml:space="preserve">e. </w:t>
      </w:r>
      <w:r>
        <w:rPr>
          <w:spacing w:val="-1"/>
          <w:szCs w:val="22"/>
        </w:rPr>
        <w:t>A</w:t>
      </w:r>
      <w:r>
        <w:rPr>
          <w:szCs w:val="22"/>
        </w:rPr>
        <w:t>p</w:t>
      </w:r>
      <w:r>
        <w:rPr>
          <w:spacing w:val="-3"/>
          <w:szCs w:val="22"/>
        </w:rPr>
        <w:t>o</w:t>
      </w:r>
      <w:r>
        <w:rPr>
          <w:szCs w:val="22"/>
        </w:rPr>
        <w:t>i</w:t>
      </w:r>
      <w:r>
        <w:rPr>
          <w:spacing w:val="1"/>
          <w:szCs w:val="22"/>
        </w:rPr>
        <w:t xml:space="preserve"> </w:t>
      </w:r>
      <w:r>
        <w:rPr>
          <w:szCs w:val="22"/>
        </w:rPr>
        <w:t>ad</w:t>
      </w:r>
      <w:r>
        <w:rPr>
          <w:spacing w:val="-4"/>
          <w:szCs w:val="22"/>
        </w:rPr>
        <w:t>m</w:t>
      </w:r>
      <w:r>
        <w:rPr>
          <w:spacing w:val="1"/>
          <w:szCs w:val="22"/>
        </w:rPr>
        <w:t>i</w:t>
      </w:r>
      <w:r>
        <w:rPr>
          <w:spacing w:val="-3"/>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ţi</w:t>
      </w:r>
      <w:r>
        <w:rPr>
          <w:spacing w:val="-4"/>
          <w:szCs w:val="22"/>
        </w:rPr>
        <w:t>-</w:t>
      </w:r>
      <w:r>
        <w:rPr>
          <w:spacing w:val="-3"/>
          <w:szCs w:val="22"/>
        </w:rPr>
        <w:t>v</w:t>
      </w:r>
      <w:r>
        <w:rPr>
          <w:szCs w:val="22"/>
        </w:rPr>
        <w:t>ă ur</w:t>
      </w:r>
      <w:r>
        <w:rPr>
          <w:spacing w:val="-4"/>
          <w:szCs w:val="22"/>
        </w:rPr>
        <w:t>m</w:t>
      </w:r>
      <w:r>
        <w:rPr>
          <w:szCs w:val="22"/>
        </w:rPr>
        <w:t>ă</w:t>
      </w:r>
      <w:r>
        <w:rPr>
          <w:spacing w:val="1"/>
          <w:szCs w:val="22"/>
        </w:rPr>
        <w:t>t</w:t>
      </w:r>
      <w:r>
        <w:rPr>
          <w:szCs w:val="22"/>
        </w:rPr>
        <w:t>oarea do</w:t>
      </w:r>
      <w:r>
        <w:rPr>
          <w:spacing w:val="-3"/>
          <w:szCs w:val="22"/>
        </w:rPr>
        <w:t>z</w:t>
      </w:r>
      <w:r>
        <w:rPr>
          <w:szCs w:val="22"/>
        </w:rPr>
        <w:t>ă</w:t>
      </w:r>
      <w:r>
        <w:rPr>
          <w:spacing w:val="-2"/>
          <w:szCs w:val="22"/>
        </w:rPr>
        <w:t xml:space="preserve"> î</w:t>
      </w:r>
      <w:r>
        <w:rPr>
          <w:szCs w:val="22"/>
        </w:rPr>
        <w:t xml:space="preserve">n </w:t>
      </w:r>
      <w:r>
        <w:rPr>
          <w:spacing w:val="-3"/>
          <w:szCs w:val="22"/>
        </w:rPr>
        <w:t>z</w:t>
      </w:r>
      <w:r>
        <w:rPr>
          <w:spacing w:val="1"/>
          <w:szCs w:val="22"/>
        </w:rPr>
        <w:t>i</w:t>
      </w:r>
      <w:r>
        <w:rPr>
          <w:szCs w:val="22"/>
        </w:rPr>
        <w:t>ua pro</w:t>
      </w:r>
      <w:r>
        <w:rPr>
          <w:spacing w:val="-3"/>
          <w:szCs w:val="22"/>
        </w:rPr>
        <w:t>g</w:t>
      </w:r>
      <w:r>
        <w:rPr>
          <w:szCs w:val="22"/>
        </w:rPr>
        <w:t>ra</w:t>
      </w:r>
      <w:r>
        <w:rPr>
          <w:spacing w:val="-4"/>
          <w:szCs w:val="22"/>
        </w:rPr>
        <w:t>m</w:t>
      </w:r>
      <w:r>
        <w:rPr>
          <w:szCs w:val="22"/>
        </w:rPr>
        <w:t>a</w:t>
      </w:r>
      <w:r>
        <w:rPr>
          <w:spacing w:val="1"/>
          <w:szCs w:val="22"/>
        </w:rPr>
        <w:t>t</w:t>
      </w:r>
      <w:r>
        <w:rPr>
          <w:szCs w:val="22"/>
        </w:rPr>
        <w:t>ă</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zCs w:val="22"/>
        </w:rPr>
        <w:t>a</w:t>
      </w:r>
      <w:r>
        <w:rPr>
          <w:spacing w:val="-2"/>
          <w:szCs w:val="22"/>
        </w:rPr>
        <w:t>l</w:t>
      </w:r>
      <w:r>
        <w:rPr>
          <w:szCs w:val="22"/>
        </w:rPr>
        <w:t xml:space="preserve">, </w:t>
      </w:r>
      <w:r>
        <w:rPr>
          <w:spacing w:val="-3"/>
          <w:szCs w:val="22"/>
        </w:rPr>
        <w:t>c</w:t>
      </w:r>
      <w:r>
        <w:rPr>
          <w:szCs w:val="22"/>
        </w:rPr>
        <w:t>a şi</w:t>
      </w:r>
      <w:r>
        <w:rPr>
          <w:spacing w:val="-2"/>
          <w:szCs w:val="22"/>
        </w:rPr>
        <w:t xml:space="preserve"> </w:t>
      </w:r>
      <w:r>
        <w:rPr>
          <w:szCs w:val="22"/>
        </w:rPr>
        <w:t>cum</w:t>
      </w:r>
      <w:r>
        <w:rPr>
          <w:spacing w:val="-4"/>
          <w:szCs w:val="22"/>
        </w:rPr>
        <w:t xml:space="preserve"> </w:t>
      </w:r>
      <w:r>
        <w:rPr>
          <w:szCs w:val="22"/>
        </w:rPr>
        <w:t>nu a</w:t>
      </w:r>
      <w:r>
        <w:rPr>
          <w:spacing w:val="1"/>
          <w:szCs w:val="22"/>
        </w:rPr>
        <w:t>ţ</w:t>
      </w:r>
      <w:r>
        <w:rPr>
          <w:szCs w:val="22"/>
        </w:rPr>
        <w:t>i</w:t>
      </w:r>
      <w:r>
        <w:rPr>
          <w:spacing w:val="-2"/>
          <w:szCs w:val="22"/>
        </w:rPr>
        <w:t xml:space="preserve"> </w:t>
      </w:r>
      <w:r>
        <w:rPr>
          <w:szCs w:val="22"/>
        </w:rPr>
        <w:t>fi u</w:t>
      </w:r>
      <w:r>
        <w:rPr>
          <w:spacing w:val="1"/>
          <w:szCs w:val="22"/>
        </w:rPr>
        <w:t>i</w:t>
      </w:r>
      <w:r>
        <w:rPr>
          <w:spacing w:val="-2"/>
          <w:szCs w:val="22"/>
        </w:rPr>
        <w:t>t</w:t>
      </w:r>
      <w:r>
        <w:rPr>
          <w:szCs w:val="22"/>
        </w:rPr>
        <w:t>at</w:t>
      </w:r>
      <w:r>
        <w:rPr>
          <w:spacing w:val="1"/>
          <w:szCs w:val="22"/>
        </w:rPr>
        <w:t xml:space="preserve"> </w:t>
      </w:r>
      <w:r>
        <w:rPr>
          <w:spacing w:val="-2"/>
          <w:szCs w:val="22"/>
        </w:rPr>
        <w:t>s</w:t>
      </w:r>
      <w:r>
        <w:rPr>
          <w:szCs w:val="22"/>
        </w:rPr>
        <w:t xml:space="preserve">ă </w:t>
      </w:r>
      <w:r>
        <w:rPr>
          <w:spacing w:val="-3"/>
          <w:szCs w:val="22"/>
        </w:rPr>
        <w:t>v</w:t>
      </w:r>
      <w:r>
        <w:rPr>
          <w:szCs w:val="22"/>
        </w:rPr>
        <w:t>ă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pacing w:val="-2"/>
          <w:szCs w:val="22"/>
        </w:rPr>
        <w:t>ţ</w:t>
      </w:r>
      <w:r>
        <w:rPr>
          <w:szCs w:val="22"/>
        </w:rPr>
        <w:t>i</w:t>
      </w:r>
      <w:r>
        <w:rPr>
          <w:spacing w:val="1"/>
          <w:szCs w:val="22"/>
        </w:rPr>
        <w:t xml:space="preserve"> </w:t>
      </w:r>
      <w:r>
        <w:rPr>
          <w:szCs w:val="22"/>
        </w:rPr>
        <w:t>o d</w:t>
      </w:r>
      <w:r>
        <w:rPr>
          <w:spacing w:val="-3"/>
          <w:szCs w:val="22"/>
        </w:rPr>
        <w:t>oz</w:t>
      </w:r>
      <w:r>
        <w:rPr>
          <w:szCs w:val="22"/>
        </w:rPr>
        <w:t>ă.</w:t>
      </w:r>
    </w:p>
    <w:p w14:paraId="7945290F" w14:textId="77777777" w:rsidR="00C04CAD" w:rsidRDefault="00C04CAD">
      <w:pPr>
        <w:tabs>
          <w:tab w:val="clear" w:pos="567"/>
        </w:tabs>
        <w:kinsoku w:val="0"/>
        <w:overflowPunct w:val="0"/>
        <w:autoSpaceDE w:val="0"/>
        <w:autoSpaceDN w:val="0"/>
        <w:adjustRightInd w:val="0"/>
        <w:spacing w:line="240" w:lineRule="auto"/>
        <w:rPr>
          <w:szCs w:val="22"/>
        </w:rPr>
      </w:pPr>
    </w:p>
    <w:p w14:paraId="6D453043"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acă o</w:t>
      </w:r>
      <w:r>
        <w:rPr>
          <w:b/>
          <w:spacing w:val="-1"/>
          <w:szCs w:val="22"/>
        </w:rPr>
        <w:t>p</w:t>
      </w:r>
      <w:r>
        <w:rPr>
          <w:b/>
          <w:spacing w:val="-3"/>
          <w:szCs w:val="22"/>
        </w:rPr>
        <w:t>r</w:t>
      </w:r>
      <w:r>
        <w:rPr>
          <w:b/>
          <w:spacing w:val="1"/>
          <w:szCs w:val="22"/>
        </w:rPr>
        <w:t>i</w:t>
      </w:r>
      <w:r>
        <w:rPr>
          <w:b/>
          <w:spacing w:val="-2"/>
          <w:szCs w:val="22"/>
        </w:rPr>
        <w:t>ţ</w:t>
      </w:r>
      <w:r>
        <w:rPr>
          <w:b/>
          <w:szCs w:val="22"/>
        </w:rPr>
        <w:t>i</w:t>
      </w:r>
      <w:r>
        <w:rPr>
          <w:b/>
          <w:spacing w:val="1"/>
          <w:szCs w:val="22"/>
        </w:rPr>
        <w:t xml:space="preserve"> </w:t>
      </w:r>
      <w:r>
        <w:rPr>
          <w:b/>
          <w:spacing w:val="-1"/>
          <w:szCs w:val="22"/>
        </w:rPr>
        <w:t>u</w:t>
      </w:r>
      <w:r>
        <w:rPr>
          <w:b/>
          <w:spacing w:val="-2"/>
          <w:szCs w:val="22"/>
        </w:rPr>
        <w:t>t</w:t>
      </w:r>
      <w:r>
        <w:rPr>
          <w:b/>
          <w:spacing w:val="1"/>
          <w:szCs w:val="22"/>
        </w:rPr>
        <w:t>i</w:t>
      </w:r>
      <w:r>
        <w:rPr>
          <w:b/>
          <w:spacing w:val="-2"/>
          <w:szCs w:val="22"/>
        </w:rPr>
        <w:t>l</w:t>
      </w:r>
      <w:r>
        <w:rPr>
          <w:b/>
          <w:spacing w:val="1"/>
          <w:szCs w:val="22"/>
        </w:rPr>
        <w:t>i</w:t>
      </w:r>
      <w:r>
        <w:rPr>
          <w:b/>
          <w:spacing w:val="-3"/>
          <w:szCs w:val="22"/>
        </w:rPr>
        <w:t>z</w:t>
      </w:r>
      <w:r>
        <w:rPr>
          <w:b/>
          <w:szCs w:val="22"/>
        </w:rPr>
        <w:t>area</w:t>
      </w:r>
      <w:r>
        <w:rPr>
          <w:b/>
          <w:spacing w:val="-3"/>
          <w:szCs w:val="22"/>
        </w:rPr>
        <w:t xml:space="preserve"> </w:t>
      </w:r>
      <w:r>
        <w:rPr>
          <w:b/>
          <w:bCs/>
          <w:spacing w:val="1"/>
          <w:szCs w:val="22"/>
          <w:lang w:eastAsia="en-US" w:bidi="ar-SA"/>
        </w:rPr>
        <w:t>AMGEVITA</w:t>
      </w:r>
    </w:p>
    <w:p w14:paraId="12597873" w14:textId="77777777" w:rsidR="00C04CAD" w:rsidRDefault="00C04CAD">
      <w:pPr>
        <w:tabs>
          <w:tab w:val="clear" w:pos="567"/>
        </w:tabs>
        <w:kinsoku w:val="0"/>
        <w:overflowPunct w:val="0"/>
        <w:autoSpaceDE w:val="0"/>
        <w:autoSpaceDN w:val="0"/>
        <w:adjustRightInd w:val="0"/>
        <w:spacing w:line="240" w:lineRule="auto"/>
        <w:rPr>
          <w:szCs w:val="22"/>
        </w:rPr>
      </w:pPr>
    </w:p>
    <w:p w14:paraId="0D6E7BDE"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ec</w:t>
      </w:r>
      <w:r>
        <w:rPr>
          <w:spacing w:val="1"/>
          <w:szCs w:val="22"/>
        </w:rPr>
        <w:t>i</w:t>
      </w:r>
      <w:r>
        <w:rPr>
          <w:spacing w:val="-3"/>
          <w:szCs w:val="22"/>
        </w:rPr>
        <w:t>z</w:t>
      </w:r>
      <w:r>
        <w:rPr>
          <w:spacing w:val="1"/>
          <w:szCs w:val="22"/>
        </w:rPr>
        <w:t>i</w:t>
      </w:r>
      <w:r>
        <w:rPr>
          <w:szCs w:val="22"/>
        </w:rPr>
        <w:t xml:space="preserve">a </w:t>
      </w:r>
      <w:r>
        <w:rPr>
          <w:spacing w:val="-3"/>
          <w:szCs w:val="22"/>
        </w:rPr>
        <w:t>d</w:t>
      </w:r>
      <w:r>
        <w:rPr>
          <w:szCs w:val="22"/>
        </w:rPr>
        <w:t>e a o</w:t>
      </w:r>
      <w:r>
        <w:rPr>
          <w:spacing w:val="-3"/>
          <w:szCs w:val="22"/>
        </w:rPr>
        <w:t>p</w:t>
      </w:r>
      <w:r>
        <w:rPr>
          <w:szCs w:val="22"/>
        </w:rPr>
        <w:t>ri</w:t>
      </w:r>
      <w:r>
        <w:rPr>
          <w:spacing w:val="-2"/>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ar</w:t>
      </w:r>
      <w:r>
        <w:rPr>
          <w:spacing w:val="-3"/>
          <w:szCs w:val="22"/>
        </w:rPr>
        <w:t>e</w:t>
      </w:r>
      <w:r>
        <w:rPr>
          <w:szCs w:val="22"/>
        </w:rPr>
        <w:t>a</w:t>
      </w:r>
      <w:r>
        <w:rPr>
          <w:spacing w:val="-2"/>
          <w:szCs w:val="22"/>
        </w:rPr>
        <w:t xml:space="preserve"> </w:t>
      </w:r>
      <w:r>
        <w:rPr>
          <w:spacing w:val="-1"/>
          <w:szCs w:val="22"/>
          <w:lang w:eastAsia="en-US" w:bidi="ar-SA"/>
        </w:rPr>
        <w:t>AMGEVITA</w:t>
      </w:r>
      <w:r>
        <w:rPr>
          <w:szCs w:val="22"/>
        </w:rPr>
        <w:t xml:space="preserve"> </w:t>
      </w:r>
      <w:r>
        <w:rPr>
          <w:spacing w:val="1"/>
          <w:szCs w:val="22"/>
        </w:rPr>
        <w:t>t</w:t>
      </w:r>
      <w:r>
        <w:rPr>
          <w:szCs w:val="22"/>
        </w:rPr>
        <w:t>r</w:t>
      </w:r>
      <w:r>
        <w:rPr>
          <w:spacing w:val="-3"/>
          <w:szCs w:val="22"/>
        </w:rPr>
        <w:t>e</w:t>
      </w:r>
      <w:r>
        <w:rPr>
          <w:szCs w:val="22"/>
        </w:rPr>
        <w:t>bu</w:t>
      </w:r>
      <w:r>
        <w:rPr>
          <w:spacing w:val="-2"/>
          <w:szCs w:val="22"/>
        </w:rPr>
        <w:t>i</w:t>
      </w:r>
      <w:r>
        <w:rPr>
          <w:szCs w:val="22"/>
        </w:rPr>
        <w:t>e să</w:t>
      </w:r>
      <w:r>
        <w:rPr>
          <w:spacing w:val="-2"/>
          <w:szCs w:val="22"/>
        </w:rPr>
        <w:t xml:space="preserve"> </w:t>
      </w:r>
      <w:r>
        <w:rPr>
          <w:szCs w:val="22"/>
          <w:lang w:eastAsia="en-US" w:bidi="ar-SA"/>
        </w:rPr>
        <w:t xml:space="preserve">o </w:t>
      </w:r>
      <w:r>
        <w:rPr>
          <w:spacing w:val="-3"/>
          <w:szCs w:val="22"/>
          <w:lang w:eastAsia="en-US" w:bidi="ar-SA"/>
        </w:rPr>
        <w:t>d</w:t>
      </w:r>
      <w:r>
        <w:rPr>
          <w:spacing w:val="1"/>
          <w:szCs w:val="22"/>
          <w:lang w:eastAsia="en-US" w:bidi="ar-SA"/>
        </w:rPr>
        <w:t>i</w:t>
      </w:r>
      <w:r>
        <w:rPr>
          <w:szCs w:val="22"/>
          <w:lang w:eastAsia="en-US" w:bidi="ar-SA"/>
        </w:rPr>
        <w:t>s</w:t>
      </w:r>
      <w:r>
        <w:rPr>
          <w:spacing w:val="-3"/>
          <w:szCs w:val="22"/>
          <w:lang w:eastAsia="en-US" w:bidi="ar-SA"/>
        </w:rPr>
        <w:t>c</w:t>
      </w:r>
      <w:r>
        <w:rPr>
          <w:szCs w:val="22"/>
          <w:lang w:eastAsia="en-US" w:bidi="ar-SA"/>
        </w:rPr>
        <w:t>u</w:t>
      </w:r>
      <w:r>
        <w:rPr>
          <w:spacing w:val="-2"/>
          <w:szCs w:val="22"/>
          <w:lang w:eastAsia="en-US" w:bidi="ar-SA"/>
        </w:rPr>
        <w:t>t</w:t>
      </w:r>
      <w:r>
        <w:rPr>
          <w:szCs w:val="22"/>
          <w:lang w:eastAsia="en-US" w:bidi="ar-SA"/>
        </w:rPr>
        <w:t>aţi</w:t>
      </w:r>
      <w:r>
        <w:rPr>
          <w:szCs w:val="22"/>
        </w:rPr>
        <w:t xml:space="preserve"> cu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1"/>
          <w:szCs w:val="22"/>
        </w:rPr>
        <w:t>t</w:t>
      </w:r>
      <w:r>
        <w:rPr>
          <w:spacing w:val="-2"/>
          <w:szCs w:val="22"/>
        </w:rPr>
        <w:t>r</w:t>
      </w:r>
      <w:r>
        <w:rPr>
          <w:szCs w:val="22"/>
        </w:rPr>
        <w:t xml:space="preserve">ă. </w:t>
      </w:r>
      <w:r>
        <w:rPr>
          <w:spacing w:val="-1"/>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e du</w:t>
      </w:r>
      <w:r>
        <w:rPr>
          <w:spacing w:val="-4"/>
          <w:szCs w:val="22"/>
        </w:rPr>
        <w:t>m</w:t>
      </w:r>
      <w:r>
        <w:rPr>
          <w:szCs w:val="22"/>
        </w:rPr>
        <w:t>nea</w:t>
      </w:r>
      <w:r>
        <w:rPr>
          <w:spacing w:val="-3"/>
          <w:szCs w:val="22"/>
        </w:rPr>
        <w:t>v</w:t>
      </w:r>
      <w:r>
        <w:rPr>
          <w:szCs w:val="22"/>
        </w:rPr>
        <w:t>oas</w:t>
      </w:r>
      <w:r>
        <w:rPr>
          <w:spacing w:val="1"/>
          <w:szCs w:val="22"/>
        </w:rPr>
        <w:t>t</w:t>
      </w:r>
      <w:r>
        <w:rPr>
          <w:szCs w:val="22"/>
        </w:rPr>
        <w:t>ră p</w:t>
      </w:r>
      <w:r>
        <w:rPr>
          <w:spacing w:val="-3"/>
          <w:szCs w:val="22"/>
        </w:rPr>
        <w:t>o</w:t>
      </w:r>
      <w:r>
        <w:rPr>
          <w:szCs w:val="22"/>
        </w:rPr>
        <w:t>t</w:t>
      </w:r>
      <w:r>
        <w:rPr>
          <w:spacing w:val="1"/>
          <w:szCs w:val="22"/>
        </w:rPr>
        <w:t xml:space="preserve"> </w:t>
      </w:r>
      <w:r>
        <w:rPr>
          <w:spacing w:val="-2"/>
          <w:szCs w:val="22"/>
        </w:rPr>
        <w:t>s</w:t>
      </w:r>
      <w:r>
        <w:rPr>
          <w:szCs w:val="22"/>
        </w:rPr>
        <w:t xml:space="preserve">ă </w:t>
      </w:r>
      <w:r>
        <w:rPr>
          <w:spacing w:val="-2"/>
          <w:szCs w:val="22"/>
        </w:rPr>
        <w:t>r</w:t>
      </w:r>
      <w:r>
        <w:rPr>
          <w:szCs w:val="22"/>
        </w:rPr>
        <w:t>e</w:t>
      </w:r>
      <w:r>
        <w:rPr>
          <w:spacing w:val="-3"/>
          <w:szCs w:val="22"/>
        </w:rPr>
        <w:t>v</w:t>
      </w:r>
      <w:r>
        <w:rPr>
          <w:spacing w:val="1"/>
          <w:szCs w:val="22"/>
        </w:rPr>
        <w:t>i</w:t>
      </w:r>
      <w:r>
        <w:rPr>
          <w:szCs w:val="22"/>
        </w:rPr>
        <w:t>nă după</w:t>
      </w:r>
      <w:r>
        <w:rPr>
          <w:spacing w:val="-2"/>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rup</w:t>
      </w:r>
      <w:r>
        <w:rPr>
          <w:spacing w:val="-3"/>
          <w:szCs w:val="22"/>
        </w:rPr>
        <w:t>e</w:t>
      </w:r>
      <w:r>
        <w:rPr>
          <w:szCs w:val="22"/>
        </w:rPr>
        <w:t>re.</w:t>
      </w:r>
    </w:p>
    <w:p w14:paraId="6292ADF1" w14:textId="77777777" w:rsidR="00C04CAD" w:rsidRDefault="00C04CAD">
      <w:pPr>
        <w:tabs>
          <w:tab w:val="clear" w:pos="567"/>
        </w:tabs>
        <w:kinsoku w:val="0"/>
        <w:overflowPunct w:val="0"/>
        <w:autoSpaceDE w:val="0"/>
        <w:autoSpaceDN w:val="0"/>
        <w:adjustRightInd w:val="0"/>
        <w:spacing w:line="240" w:lineRule="auto"/>
        <w:rPr>
          <w:szCs w:val="22"/>
        </w:rPr>
      </w:pPr>
    </w:p>
    <w:p w14:paraId="3027DC88" w14:textId="77777777" w:rsidR="00C04CAD" w:rsidRDefault="00060E34">
      <w:pPr>
        <w:autoSpaceDE w:val="0"/>
        <w:autoSpaceDN w:val="0"/>
        <w:adjustRightInd w:val="0"/>
        <w:spacing w:line="240" w:lineRule="auto"/>
        <w:rPr>
          <w:b/>
          <w:szCs w:val="22"/>
        </w:rPr>
      </w:pPr>
      <w:r>
        <w:rPr>
          <w:spacing w:val="-1"/>
          <w:szCs w:val="22"/>
        </w:rPr>
        <w:t>D</w:t>
      </w:r>
      <w:r>
        <w:rPr>
          <w:szCs w:val="22"/>
        </w:rPr>
        <w:t>acă a</w:t>
      </w:r>
      <w:r>
        <w:rPr>
          <w:spacing w:val="-3"/>
          <w:szCs w:val="22"/>
        </w:rPr>
        <w:t>v</w:t>
      </w:r>
      <w:r>
        <w:rPr>
          <w:szCs w:val="22"/>
        </w:rPr>
        <w:t>e</w:t>
      </w:r>
      <w:r>
        <w:rPr>
          <w:spacing w:val="-2"/>
          <w:szCs w:val="22"/>
        </w:rPr>
        <w:t>ţ</w:t>
      </w:r>
      <w:r>
        <w:rPr>
          <w:szCs w:val="22"/>
        </w:rPr>
        <w:t>i</w:t>
      </w:r>
      <w:r>
        <w:rPr>
          <w:spacing w:val="1"/>
          <w:szCs w:val="22"/>
        </w:rPr>
        <w:t xml:space="preserve"> </w:t>
      </w:r>
      <w:r>
        <w:rPr>
          <w:spacing w:val="-3"/>
          <w:szCs w:val="22"/>
        </w:rPr>
        <w:t>a</w:t>
      </w:r>
      <w:r>
        <w:rPr>
          <w:spacing w:val="1"/>
          <w:szCs w:val="22"/>
        </w:rPr>
        <w:t>lt</w:t>
      </w:r>
      <w:r>
        <w:rPr>
          <w:szCs w:val="22"/>
        </w:rPr>
        <w:t>e</w:t>
      </w:r>
      <w:r>
        <w:rPr>
          <w:spacing w:val="-2"/>
          <w:szCs w:val="22"/>
        </w:rPr>
        <w:t xml:space="preserve"> </w:t>
      </w:r>
      <w:r>
        <w:rPr>
          <w:spacing w:val="1"/>
          <w:szCs w:val="22"/>
        </w:rPr>
        <w:t>î</w:t>
      </w:r>
      <w:r>
        <w:rPr>
          <w:spacing w:val="-3"/>
          <w:szCs w:val="22"/>
        </w:rPr>
        <w:t>n</w:t>
      </w:r>
      <w:r>
        <w:rPr>
          <w:spacing w:val="1"/>
          <w:szCs w:val="22"/>
        </w:rPr>
        <w:t>t</w:t>
      </w:r>
      <w:r>
        <w:rPr>
          <w:spacing w:val="-2"/>
          <w:szCs w:val="22"/>
        </w:rPr>
        <w:t>r</w:t>
      </w:r>
      <w:r>
        <w:rPr>
          <w:szCs w:val="22"/>
        </w:rPr>
        <w:t>ebă</w:t>
      </w:r>
      <w:r>
        <w:rPr>
          <w:spacing w:val="-2"/>
          <w:szCs w:val="22"/>
        </w:rPr>
        <w:t>r</w:t>
      </w:r>
      <w:r>
        <w:rPr>
          <w:szCs w:val="22"/>
        </w:rPr>
        <w:t>i</w:t>
      </w:r>
      <w:r>
        <w:rPr>
          <w:spacing w:val="1"/>
          <w:szCs w:val="22"/>
        </w:rPr>
        <w:t xml:space="preserve"> </w:t>
      </w:r>
      <w:r>
        <w:rPr>
          <w:spacing w:val="-2"/>
          <w:szCs w:val="22"/>
        </w:rPr>
        <w:t>s</w:t>
      </w:r>
      <w:r>
        <w:rPr>
          <w:spacing w:val="-3"/>
          <w:szCs w:val="22"/>
        </w:rPr>
        <w:t>u</w:t>
      </w:r>
      <w:r>
        <w:rPr>
          <w:szCs w:val="22"/>
        </w:rPr>
        <w:t>p</w:t>
      </w:r>
      <w:r>
        <w:rPr>
          <w:spacing w:val="1"/>
          <w:szCs w:val="22"/>
        </w:rPr>
        <w:t>li</w:t>
      </w:r>
      <w:r>
        <w:rPr>
          <w:spacing w:val="-4"/>
          <w:szCs w:val="22"/>
        </w:rPr>
        <w:t>m</w:t>
      </w:r>
      <w:r>
        <w:rPr>
          <w:szCs w:val="22"/>
        </w:rPr>
        <w:t>en</w:t>
      </w:r>
      <w:r>
        <w:rPr>
          <w:spacing w:val="1"/>
          <w:szCs w:val="22"/>
        </w:rPr>
        <w:t>t</w:t>
      </w:r>
      <w:r>
        <w:rPr>
          <w:spacing w:val="-3"/>
          <w:szCs w:val="22"/>
        </w:rPr>
        <w:t>a</w:t>
      </w:r>
      <w:r>
        <w:rPr>
          <w:szCs w:val="22"/>
        </w:rPr>
        <w:t xml:space="preserve">re </w:t>
      </w:r>
      <w:r>
        <w:rPr>
          <w:spacing w:val="-3"/>
          <w:szCs w:val="22"/>
        </w:rPr>
        <w:t>p</w:t>
      </w:r>
      <w:r>
        <w:rPr>
          <w:szCs w:val="22"/>
        </w:rPr>
        <w:t>r</w:t>
      </w:r>
      <w:r>
        <w:rPr>
          <w:spacing w:val="1"/>
          <w:szCs w:val="22"/>
        </w:rPr>
        <w:t>i</w:t>
      </w:r>
      <w:r>
        <w:rPr>
          <w:spacing w:val="-3"/>
          <w:szCs w:val="22"/>
        </w:rPr>
        <w:t>v</w:t>
      </w:r>
      <w:r>
        <w:rPr>
          <w:spacing w:val="1"/>
          <w:szCs w:val="22"/>
        </w:rPr>
        <w:t>i</w:t>
      </w:r>
      <w:r>
        <w:rPr>
          <w:szCs w:val="22"/>
        </w:rPr>
        <w:t>nd</w:t>
      </w:r>
      <w:r>
        <w:rPr>
          <w:spacing w:val="-4"/>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ar</w:t>
      </w:r>
      <w:r>
        <w:rPr>
          <w:spacing w:val="-3"/>
          <w:szCs w:val="22"/>
        </w:rPr>
        <w:t>e</w:t>
      </w:r>
      <w:r>
        <w:rPr>
          <w:szCs w:val="22"/>
        </w:rPr>
        <w:t>a ac</w:t>
      </w:r>
      <w:r>
        <w:rPr>
          <w:spacing w:val="-3"/>
          <w:szCs w:val="22"/>
        </w:rPr>
        <w:t>e</w:t>
      </w:r>
      <w:r>
        <w:rPr>
          <w:szCs w:val="22"/>
        </w:rPr>
        <w:t>s</w:t>
      </w:r>
      <w:r>
        <w:rPr>
          <w:spacing w:val="1"/>
          <w:szCs w:val="22"/>
        </w:rPr>
        <w:t>t</w:t>
      </w:r>
      <w:r>
        <w:rPr>
          <w:spacing w:val="-3"/>
          <w:szCs w:val="22"/>
        </w:rPr>
        <w:t>u</w:t>
      </w:r>
      <w:r>
        <w:rPr>
          <w:szCs w:val="22"/>
        </w:rPr>
        <w:t>i</w:t>
      </w:r>
      <w:r>
        <w:rPr>
          <w:spacing w:val="1"/>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w:t>
      </w:r>
      <w:r>
        <w:rPr>
          <w:spacing w:val="-1"/>
          <w:szCs w:val="22"/>
        </w:rPr>
        <w:t>n</w:t>
      </w:r>
      <w:r>
        <w:rPr>
          <w:spacing w:val="1"/>
          <w:szCs w:val="22"/>
        </w:rPr>
        <w:t>t</w:t>
      </w:r>
      <w:r>
        <w:rPr>
          <w:szCs w:val="22"/>
        </w:rPr>
        <w:t>,</w:t>
      </w:r>
      <w:r>
        <w:rPr>
          <w:spacing w:val="-3"/>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ba</w:t>
      </w:r>
      <w:r>
        <w:rPr>
          <w:spacing w:val="-2"/>
          <w:szCs w:val="22"/>
        </w:rPr>
        <w:t>ţ</w:t>
      </w:r>
      <w:r>
        <w:rPr>
          <w:szCs w:val="22"/>
        </w:rPr>
        <w:t>i</w:t>
      </w:r>
      <w:r>
        <w:rPr>
          <w:spacing w:val="1"/>
          <w:szCs w:val="22"/>
        </w:rPr>
        <w:t xml:space="preserve"> </w:t>
      </w:r>
      <w:r>
        <w:rPr>
          <w:spacing w:val="-4"/>
          <w:szCs w:val="22"/>
        </w:rPr>
        <w:t>m</w:t>
      </w:r>
      <w:r>
        <w:rPr>
          <w:szCs w:val="22"/>
        </w:rPr>
        <w:t>ed</w:t>
      </w:r>
      <w:r>
        <w:rPr>
          <w:spacing w:val="1"/>
          <w:szCs w:val="22"/>
        </w:rPr>
        <w:t>i</w:t>
      </w:r>
      <w:r>
        <w:rPr>
          <w:szCs w:val="22"/>
        </w:rPr>
        <w:t>cul du</w:t>
      </w:r>
      <w:r>
        <w:rPr>
          <w:spacing w:val="-4"/>
          <w:szCs w:val="22"/>
        </w:rPr>
        <w:t>m</w:t>
      </w:r>
      <w:r>
        <w:rPr>
          <w:szCs w:val="22"/>
        </w:rPr>
        <w:t>nea</w:t>
      </w:r>
      <w:r>
        <w:rPr>
          <w:spacing w:val="-3"/>
          <w:szCs w:val="22"/>
        </w:rPr>
        <w:t>v</w:t>
      </w:r>
      <w:r>
        <w:rPr>
          <w:szCs w:val="22"/>
        </w:rPr>
        <w:t>oas</w:t>
      </w:r>
      <w:r>
        <w:rPr>
          <w:spacing w:val="1"/>
          <w:szCs w:val="22"/>
        </w:rPr>
        <w:t>t</w:t>
      </w:r>
      <w:r>
        <w:rPr>
          <w:szCs w:val="22"/>
        </w:rPr>
        <w:t xml:space="preserve">ră </w:t>
      </w:r>
      <w:r>
        <w:rPr>
          <w:spacing w:val="-2"/>
          <w:szCs w:val="22"/>
        </w:rPr>
        <w:t>s</w:t>
      </w:r>
      <w:r>
        <w:rPr>
          <w:szCs w:val="22"/>
        </w:rPr>
        <w:t>au</w:t>
      </w:r>
      <w:r>
        <w:rPr>
          <w:spacing w:val="-3"/>
          <w:szCs w:val="22"/>
        </w:rPr>
        <w:t xml:space="preserve"> </w:t>
      </w:r>
      <w:r>
        <w:rPr>
          <w:szCs w:val="22"/>
        </w:rPr>
        <w:t>far</w:t>
      </w:r>
      <w:r>
        <w:rPr>
          <w:spacing w:val="-4"/>
          <w:szCs w:val="22"/>
        </w:rPr>
        <w:t>m</w:t>
      </w:r>
      <w:r>
        <w:rPr>
          <w:szCs w:val="22"/>
        </w:rPr>
        <w:t>ac</w:t>
      </w:r>
      <w:r>
        <w:rPr>
          <w:spacing w:val="-2"/>
          <w:szCs w:val="22"/>
        </w:rPr>
        <w:t>i</w:t>
      </w:r>
      <w:r>
        <w:rPr>
          <w:szCs w:val="22"/>
        </w:rPr>
        <w:t>s</w:t>
      </w:r>
      <w:r>
        <w:rPr>
          <w:spacing w:val="1"/>
          <w:szCs w:val="22"/>
        </w:rPr>
        <w:t>t</w:t>
      </w:r>
      <w:r>
        <w:rPr>
          <w:spacing w:val="-3"/>
          <w:szCs w:val="22"/>
        </w:rPr>
        <w:t>u</w:t>
      </w:r>
      <w:r>
        <w:rPr>
          <w:spacing w:val="1"/>
          <w:szCs w:val="22"/>
        </w:rPr>
        <w:t>l</w:t>
      </w:r>
      <w:r>
        <w:rPr>
          <w:szCs w:val="22"/>
        </w:rPr>
        <w:t>.</w:t>
      </w:r>
    </w:p>
    <w:p w14:paraId="0444090E" w14:textId="77777777" w:rsidR="00C04CAD" w:rsidRDefault="00C04CAD">
      <w:pPr>
        <w:autoSpaceDE w:val="0"/>
        <w:autoSpaceDN w:val="0"/>
        <w:adjustRightInd w:val="0"/>
        <w:spacing w:line="240" w:lineRule="auto"/>
        <w:rPr>
          <w:bCs/>
        </w:rPr>
      </w:pPr>
    </w:p>
    <w:p w14:paraId="411C01AD" w14:textId="77777777" w:rsidR="00C04CAD" w:rsidRDefault="00C04CAD">
      <w:pPr>
        <w:numPr>
          <w:ilvl w:val="12"/>
          <w:numId w:val="0"/>
        </w:numPr>
        <w:tabs>
          <w:tab w:val="clear" w:pos="567"/>
        </w:tabs>
        <w:spacing w:line="240" w:lineRule="auto"/>
      </w:pPr>
    </w:p>
    <w:p w14:paraId="6A792E66" w14:textId="77777777" w:rsidR="00C04CAD" w:rsidRDefault="00060E34">
      <w:pPr>
        <w:keepNext/>
        <w:numPr>
          <w:ilvl w:val="0"/>
          <w:numId w:val="49"/>
        </w:numPr>
        <w:spacing w:line="240" w:lineRule="auto"/>
        <w:ind w:left="567" w:hanging="567"/>
      </w:pPr>
      <w:r>
        <w:rPr>
          <w:b/>
        </w:rPr>
        <w:t>Reacții adverse posibile</w:t>
      </w:r>
    </w:p>
    <w:p w14:paraId="45F5F61E" w14:textId="77777777" w:rsidR="00C04CAD" w:rsidRDefault="00C04CAD">
      <w:pPr>
        <w:keepNext/>
        <w:numPr>
          <w:ilvl w:val="12"/>
          <w:numId w:val="0"/>
        </w:numPr>
        <w:tabs>
          <w:tab w:val="clear" w:pos="567"/>
        </w:tabs>
        <w:spacing w:line="240" w:lineRule="auto"/>
      </w:pPr>
    </w:p>
    <w:p w14:paraId="07EFA86E" w14:textId="77777777" w:rsidR="00C04CAD" w:rsidRDefault="00060E34">
      <w:pPr>
        <w:numPr>
          <w:ilvl w:val="12"/>
          <w:numId w:val="0"/>
        </w:numPr>
        <w:tabs>
          <w:tab w:val="clear" w:pos="567"/>
        </w:tabs>
        <w:spacing w:line="240" w:lineRule="auto"/>
        <w:ind w:right="-29"/>
      </w:pPr>
      <w:r>
        <w:rPr>
          <w:spacing w:val="-1"/>
        </w:rPr>
        <w:t>C</w:t>
      </w:r>
      <w:r>
        <w:t xml:space="preserve">a </w:t>
      </w:r>
      <w:r>
        <w:rPr>
          <w:spacing w:val="1"/>
        </w:rPr>
        <w:t>t</w:t>
      </w:r>
      <w:r>
        <w:t>o</w:t>
      </w:r>
      <w:r>
        <w:rPr>
          <w:spacing w:val="-3"/>
        </w:rPr>
        <w:t>a</w:t>
      </w:r>
      <w:r>
        <w:rPr>
          <w:spacing w:val="1"/>
        </w:rPr>
        <w:t>t</w:t>
      </w:r>
      <w:r>
        <w:t xml:space="preserve">e </w:t>
      </w:r>
      <w:r>
        <w:rPr>
          <w:spacing w:val="-4"/>
        </w:rPr>
        <w:t>m</w:t>
      </w:r>
      <w:r>
        <w:t>ed</w:t>
      </w:r>
      <w:r>
        <w:rPr>
          <w:spacing w:val="1"/>
        </w:rPr>
        <w:t>i</w:t>
      </w:r>
      <w:r>
        <w:t>ca</w:t>
      </w:r>
      <w:r>
        <w:rPr>
          <w:spacing w:val="-4"/>
        </w:rPr>
        <w:t>m</w:t>
      </w:r>
      <w:r>
        <w:t>en</w:t>
      </w:r>
      <w:r>
        <w:rPr>
          <w:spacing w:val="1"/>
        </w:rPr>
        <w:t>t</w:t>
      </w:r>
      <w:r>
        <w:rPr>
          <w:spacing w:val="-3"/>
        </w:rPr>
        <w:t>e</w:t>
      </w:r>
      <w:r>
        <w:rPr>
          <w:spacing w:val="1"/>
        </w:rPr>
        <w:t>l</w:t>
      </w:r>
      <w:r>
        <w:t>e,</w:t>
      </w:r>
      <w:r>
        <w:rPr>
          <w:spacing w:val="-3"/>
        </w:rPr>
        <w:t xml:space="preserve"> </w:t>
      </w:r>
      <w:r>
        <w:t>a</w:t>
      </w:r>
      <w:r>
        <w:rPr>
          <w:spacing w:val="-3"/>
        </w:rPr>
        <w:t>c</w:t>
      </w:r>
      <w:r>
        <w:t>est</w:t>
      </w:r>
      <w:r>
        <w:rPr>
          <w:spacing w:val="1"/>
        </w:rPr>
        <w:t xml:space="preserve"> </w:t>
      </w:r>
      <w:r>
        <w:rPr>
          <w:spacing w:val="-4"/>
        </w:rPr>
        <w:t>m</w:t>
      </w:r>
      <w:r>
        <w:t>ed</w:t>
      </w:r>
      <w:r>
        <w:rPr>
          <w:spacing w:val="1"/>
        </w:rPr>
        <w:t>i</w:t>
      </w:r>
      <w:r>
        <w:rPr>
          <w:spacing w:val="-3"/>
        </w:rPr>
        <w:t>c</w:t>
      </w:r>
      <w:r>
        <w:t>a</w:t>
      </w:r>
      <w:r>
        <w:rPr>
          <w:spacing w:val="-4"/>
        </w:rPr>
        <w:t>m</w:t>
      </w:r>
      <w:r>
        <w:t>ent</w:t>
      </w:r>
      <w:r>
        <w:rPr>
          <w:spacing w:val="1"/>
        </w:rPr>
        <w:t xml:space="preserve"> </w:t>
      </w:r>
      <w:r>
        <w:t>po</w:t>
      </w:r>
      <w:r>
        <w:rPr>
          <w:spacing w:val="-3"/>
        </w:rPr>
        <w:t>a</w:t>
      </w:r>
      <w:r>
        <w:rPr>
          <w:spacing w:val="1"/>
        </w:rPr>
        <w:t>t</w:t>
      </w:r>
      <w:r>
        <w:t xml:space="preserve">e </w:t>
      </w:r>
      <w:r>
        <w:rPr>
          <w:spacing w:val="-3"/>
        </w:rPr>
        <w:t>p</w:t>
      </w:r>
      <w:r>
        <w:t>ro</w:t>
      </w:r>
      <w:r>
        <w:rPr>
          <w:spacing w:val="-3"/>
        </w:rPr>
        <w:t>v</w:t>
      </w:r>
      <w:r>
        <w:t xml:space="preserve">oca </w:t>
      </w:r>
      <w:r>
        <w:rPr>
          <w:spacing w:val="-2"/>
        </w:rPr>
        <w:t>r</w:t>
      </w:r>
      <w:r>
        <w:t>ea</w:t>
      </w:r>
      <w:r>
        <w:rPr>
          <w:spacing w:val="-3"/>
        </w:rPr>
        <w:t>c</w:t>
      </w:r>
      <w:r>
        <w:rPr>
          <w:spacing w:val="1"/>
        </w:rPr>
        <w:t>ţ</w:t>
      </w:r>
      <w:r>
        <w:rPr>
          <w:spacing w:val="-2"/>
        </w:rPr>
        <w:t>i</w:t>
      </w:r>
      <w:r>
        <w:t>i</w:t>
      </w:r>
      <w:r>
        <w:rPr>
          <w:spacing w:val="1"/>
        </w:rPr>
        <w:t xml:space="preserve"> </w:t>
      </w:r>
      <w:r>
        <w:t>ad</w:t>
      </w:r>
      <w:r>
        <w:rPr>
          <w:spacing w:val="-3"/>
        </w:rPr>
        <w:t>v</w:t>
      </w:r>
      <w:r>
        <w:t>e</w:t>
      </w:r>
      <w:r>
        <w:rPr>
          <w:spacing w:val="-2"/>
        </w:rPr>
        <w:t>r</w:t>
      </w:r>
      <w:r>
        <w:t xml:space="preserve">se, </w:t>
      </w:r>
      <w:r>
        <w:rPr>
          <w:spacing w:val="-3"/>
        </w:rPr>
        <w:t>c</w:t>
      </w:r>
      <w:r>
        <w:t xml:space="preserve">u </w:t>
      </w:r>
      <w:r>
        <w:rPr>
          <w:spacing w:val="1"/>
        </w:rPr>
        <w:t>t</w:t>
      </w:r>
      <w:r>
        <w:rPr>
          <w:spacing w:val="-3"/>
        </w:rPr>
        <w:t>o</w:t>
      </w:r>
      <w:r>
        <w:t>a</w:t>
      </w:r>
      <w:r>
        <w:rPr>
          <w:spacing w:val="-2"/>
        </w:rPr>
        <w:t>t</w:t>
      </w:r>
      <w:r>
        <w:t>e</w:t>
      </w:r>
      <w:r>
        <w:rPr>
          <w:spacing w:val="-2"/>
        </w:rPr>
        <w:t xml:space="preserve"> </w:t>
      </w:r>
      <w:r>
        <w:t>că nu</w:t>
      </w:r>
      <w:r>
        <w:rPr>
          <w:spacing w:val="-3"/>
        </w:rPr>
        <w:t xml:space="preserve"> </w:t>
      </w:r>
      <w:r>
        <w:t>apar</w:t>
      </w:r>
      <w:r>
        <w:rPr>
          <w:spacing w:val="-2"/>
        </w:rPr>
        <w:t xml:space="preserve"> </w:t>
      </w:r>
      <w:r>
        <w:rPr>
          <w:spacing w:val="1"/>
        </w:rPr>
        <w:t>l</w:t>
      </w:r>
      <w:r>
        <w:t>a</w:t>
      </w:r>
      <w:r>
        <w:rPr>
          <w:spacing w:val="-2"/>
        </w:rPr>
        <w:t xml:space="preserve"> </w:t>
      </w:r>
      <w:r>
        <w:rPr>
          <w:spacing w:val="1"/>
        </w:rPr>
        <w:t>t</w:t>
      </w:r>
      <w:r>
        <w:t>o</w:t>
      </w:r>
      <w:r>
        <w:rPr>
          <w:spacing w:val="-3"/>
        </w:rPr>
        <w:t>a</w:t>
      </w:r>
      <w:r>
        <w:rPr>
          <w:spacing w:val="1"/>
        </w:rPr>
        <w:t>t</w:t>
      </w:r>
      <w:r>
        <w:t>e pers</w:t>
      </w:r>
      <w:r>
        <w:rPr>
          <w:spacing w:val="-3"/>
        </w:rPr>
        <w:t>o</w:t>
      </w:r>
      <w:r>
        <w:t>an</w:t>
      </w:r>
      <w:r>
        <w:rPr>
          <w:spacing w:val="-3"/>
        </w:rPr>
        <w:t>e</w:t>
      </w:r>
      <w:r>
        <w:rPr>
          <w:spacing w:val="1"/>
        </w:rPr>
        <w:t>l</w:t>
      </w:r>
      <w:r>
        <w:t>e.</w:t>
      </w:r>
      <w:r>
        <w:rPr>
          <w:spacing w:val="-3"/>
        </w:rPr>
        <w:t xml:space="preserve"> </w:t>
      </w:r>
      <w:r>
        <w:t>M</w:t>
      </w:r>
      <w:r>
        <w:rPr>
          <w:spacing w:val="-3"/>
        </w:rPr>
        <w:t>a</w:t>
      </w:r>
      <w:r>
        <w:rPr>
          <w:spacing w:val="1"/>
        </w:rPr>
        <w:t>j</w:t>
      </w:r>
      <w:r>
        <w:t>o</w:t>
      </w:r>
      <w:r>
        <w:rPr>
          <w:spacing w:val="-2"/>
        </w:rPr>
        <w:t>r</w:t>
      </w:r>
      <w:r>
        <w:rPr>
          <w:spacing w:val="1"/>
        </w:rPr>
        <w:t>i</w:t>
      </w:r>
      <w:r>
        <w:rPr>
          <w:spacing w:val="-2"/>
        </w:rPr>
        <w:t>t</w:t>
      </w:r>
      <w:r>
        <w:t>a</w:t>
      </w:r>
      <w:r>
        <w:rPr>
          <w:spacing w:val="1"/>
        </w:rPr>
        <w:t>t</w:t>
      </w:r>
      <w:r>
        <w:rPr>
          <w:spacing w:val="-3"/>
        </w:rPr>
        <w:t>e</w:t>
      </w:r>
      <w:r>
        <w:t xml:space="preserve">a </w:t>
      </w:r>
      <w:r>
        <w:rPr>
          <w:spacing w:val="-2"/>
        </w:rPr>
        <w:t>r</w:t>
      </w:r>
      <w:r>
        <w:t>e</w:t>
      </w:r>
      <w:r>
        <w:rPr>
          <w:spacing w:val="-3"/>
        </w:rPr>
        <w:t>a</w:t>
      </w:r>
      <w:r>
        <w:t>c</w:t>
      </w:r>
      <w:r>
        <w:rPr>
          <w:spacing w:val="1"/>
        </w:rPr>
        <w:t>ţ</w:t>
      </w:r>
      <w:r>
        <w:rPr>
          <w:spacing w:val="-2"/>
        </w:rPr>
        <w:t>i</w:t>
      </w:r>
      <w:r>
        <w:rPr>
          <w:spacing w:val="1"/>
        </w:rPr>
        <w:t>i</w:t>
      </w:r>
      <w:r>
        <w:rPr>
          <w:spacing w:val="-2"/>
        </w:rPr>
        <w:t>l</w:t>
      </w:r>
      <w:r>
        <w:t>or</w:t>
      </w:r>
      <w:r>
        <w:rPr>
          <w:spacing w:val="1"/>
        </w:rPr>
        <w:t xml:space="preserve"> </w:t>
      </w:r>
      <w:r>
        <w:rPr>
          <w:spacing w:val="-3"/>
        </w:rPr>
        <w:t>a</w:t>
      </w:r>
      <w:r>
        <w:t>d</w:t>
      </w:r>
      <w:r>
        <w:rPr>
          <w:spacing w:val="-3"/>
        </w:rPr>
        <w:t>v</w:t>
      </w:r>
      <w:r>
        <w:t>erse</w:t>
      </w:r>
      <w:r>
        <w:rPr>
          <w:spacing w:val="-3"/>
        </w:rPr>
        <w:t xml:space="preserve"> </w:t>
      </w:r>
      <w:r>
        <w:t>sunt</w:t>
      </w:r>
      <w:r>
        <w:rPr>
          <w:spacing w:val="-2"/>
        </w:rPr>
        <w:t xml:space="preserve"> </w:t>
      </w:r>
      <w:r>
        <w:t>uş</w:t>
      </w:r>
      <w:r>
        <w:rPr>
          <w:spacing w:val="-3"/>
        </w:rPr>
        <w:t>o</w:t>
      </w:r>
      <w:r>
        <w:t>are</w:t>
      </w:r>
      <w:r>
        <w:rPr>
          <w:spacing w:val="-2"/>
        </w:rPr>
        <w:t xml:space="preserve"> s</w:t>
      </w:r>
      <w:r>
        <w:t xml:space="preserve">au </w:t>
      </w:r>
      <w:r>
        <w:rPr>
          <w:spacing w:val="-4"/>
        </w:rPr>
        <w:t>m</w:t>
      </w:r>
      <w:r>
        <w:t>odera</w:t>
      </w:r>
      <w:r>
        <w:rPr>
          <w:spacing w:val="-2"/>
        </w:rPr>
        <w:t>t</w:t>
      </w:r>
      <w:r>
        <w:t>e.</w:t>
      </w:r>
      <w:r>
        <w:rPr>
          <w:spacing w:val="-3"/>
        </w:rPr>
        <w:t xml:space="preserve"> </w:t>
      </w:r>
      <w:r>
        <w:rPr>
          <w:spacing w:val="1"/>
        </w:rPr>
        <w:t>T</w:t>
      </w:r>
      <w:r>
        <w:t>o</w:t>
      </w:r>
      <w:r>
        <w:rPr>
          <w:spacing w:val="-2"/>
        </w:rPr>
        <w:t>t</w:t>
      </w:r>
      <w:r>
        <w:t>uş</w:t>
      </w:r>
      <w:r>
        <w:rPr>
          <w:spacing w:val="1"/>
        </w:rPr>
        <w:t>i</w:t>
      </w:r>
      <w:r>
        <w:t>,</w:t>
      </w:r>
      <w:r>
        <w:rPr>
          <w:spacing w:val="-3"/>
        </w:rPr>
        <w:t xml:space="preserve"> </w:t>
      </w:r>
      <w:r>
        <w:t>un</w:t>
      </w:r>
      <w:r>
        <w:rPr>
          <w:spacing w:val="-3"/>
        </w:rPr>
        <w:t>e</w:t>
      </w:r>
      <w:r>
        <w:rPr>
          <w:spacing w:val="1"/>
        </w:rPr>
        <w:t>l</w:t>
      </w:r>
      <w:r>
        <w:t>e</w:t>
      </w:r>
      <w:r>
        <w:rPr>
          <w:spacing w:val="-2"/>
        </w:rPr>
        <w:t xml:space="preserve"> </w:t>
      </w:r>
      <w:r>
        <w:t>pot</w:t>
      </w:r>
      <w:r>
        <w:rPr>
          <w:spacing w:val="1"/>
        </w:rPr>
        <w:t xml:space="preserve"> </w:t>
      </w:r>
      <w:r>
        <w:rPr>
          <w:spacing w:val="-2"/>
        </w:rPr>
        <w:t>f</w:t>
      </w:r>
      <w:r>
        <w:t>i</w:t>
      </w:r>
      <w:r>
        <w:rPr>
          <w:spacing w:val="1"/>
        </w:rPr>
        <w:t xml:space="preserve"> </w:t>
      </w:r>
      <w:r>
        <w:rPr>
          <w:spacing w:val="-3"/>
        </w:rPr>
        <w:t>g</w:t>
      </w:r>
      <w:r>
        <w:t>ra</w:t>
      </w:r>
      <w:r>
        <w:rPr>
          <w:spacing w:val="-3"/>
        </w:rPr>
        <w:t>v</w:t>
      </w:r>
      <w:r>
        <w:t>e şi</w:t>
      </w:r>
      <w:r>
        <w:rPr>
          <w:spacing w:val="-2"/>
        </w:rPr>
        <w:t xml:space="preserve"> </w:t>
      </w:r>
      <w:r>
        <w:t>pot nece</w:t>
      </w:r>
      <w:r>
        <w:rPr>
          <w:spacing w:val="-2"/>
        </w:rPr>
        <w:t>s</w:t>
      </w:r>
      <w:r>
        <w:rPr>
          <w:spacing w:val="1"/>
        </w:rPr>
        <w:t>i</w:t>
      </w:r>
      <w:r>
        <w:rPr>
          <w:spacing w:val="-2"/>
        </w:rPr>
        <w:t>t</w:t>
      </w:r>
      <w:r>
        <w:t xml:space="preserve">a </w:t>
      </w:r>
      <w:r>
        <w:rPr>
          <w:spacing w:val="-2"/>
        </w:rPr>
        <w:t>t</w:t>
      </w:r>
      <w:r>
        <w:t>r</w:t>
      </w:r>
      <w:r>
        <w:rPr>
          <w:spacing w:val="-3"/>
        </w:rPr>
        <w:t>a</w:t>
      </w:r>
      <w:r>
        <w:rPr>
          <w:spacing w:val="1"/>
        </w:rPr>
        <w:t>t</w:t>
      </w:r>
      <w:r>
        <w:t>a</w:t>
      </w:r>
      <w:r>
        <w:rPr>
          <w:spacing w:val="-4"/>
        </w:rPr>
        <w:t>m</w:t>
      </w:r>
      <w:r>
        <w:t>en</w:t>
      </w:r>
      <w:r>
        <w:rPr>
          <w:spacing w:val="1"/>
        </w:rPr>
        <w:t>t</w:t>
      </w:r>
      <w:r>
        <w:t xml:space="preserve">. </w:t>
      </w:r>
      <w:r>
        <w:rPr>
          <w:spacing w:val="-1"/>
        </w:rPr>
        <w:t>R</w:t>
      </w:r>
      <w:r>
        <w:t>e</w:t>
      </w:r>
      <w:r>
        <w:rPr>
          <w:spacing w:val="-3"/>
        </w:rPr>
        <w:t>a</w:t>
      </w:r>
      <w:r>
        <w:t>c</w:t>
      </w:r>
      <w:r>
        <w:rPr>
          <w:spacing w:val="-2"/>
        </w:rPr>
        <w:t>ţ</w:t>
      </w:r>
      <w:r>
        <w:rPr>
          <w:spacing w:val="1"/>
        </w:rPr>
        <w:t>i</w:t>
      </w:r>
      <w:r>
        <w:rPr>
          <w:spacing w:val="-2"/>
        </w:rPr>
        <w:t>il</w:t>
      </w:r>
      <w:r>
        <w:t>e ad</w:t>
      </w:r>
      <w:r>
        <w:rPr>
          <w:spacing w:val="-3"/>
        </w:rPr>
        <w:t>v</w:t>
      </w:r>
      <w:r>
        <w:t>erse</w:t>
      </w:r>
      <w:r>
        <w:rPr>
          <w:spacing w:val="-2"/>
        </w:rPr>
        <w:t xml:space="preserve"> </w:t>
      </w:r>
      <w:r>
        <w:t>pot</w:t>
      </w:r>
      <w:r>
        <w:rPr>
          <w:spacing w:val="-2"/>
        </w:rPr>
        <w:t xml:space="preserve"> </w:t>
      </w:r>
      <w:r>
        <w:t>ap</w:t>
      </w:r>
      <w:r>
        <w:rPr>
          <w:spacing w:val="-3"/>
        </w:rPr>
        <w:t>ă</w:t>
      </w:r>
      <w:r>
        <w:t>rea</w:t>
      </w:r>
      <w:r>
        <w:rPr>
          <w:spacing w:val="-2"/>
        </w:rPr>
        <w:t xml:space="preserve"> </w:t>
      </w:r>
      <w:r>
        <w:t>până</w:t>
      </w:r>
      <w:r>
        <w:rPr>
          <w:spacing w:val="-2"/>
        </w:rPr>
        <w:t xml:space="preserve"> l</w:t>
      </w:r>
      <w:r>
        <w:t>a c</w:t>
      </w:r>
      <w:r>
        <w:rPr>
          <w:spacing w:val="-3"/>
        </w:rPr>
        <w:t>e</w:t>
      </w:r>
      <w:r>
        <w:t>l</w:t>
      </w:r>
      <w:r>
        <w:rPr>
          <w:spacing w:val="1"/>
        </w:rPr>
        <w:t xml:space="preserve"> </w:t>
      </w:r>
      <w:r>
        <w:t>pu</w:t>
      </w:r>
      <w:r>
        <w:rPr>
          <w:spacing w:val="-2"/>
        </w:rPr>
        <w:t>ţ</w:t>
      </w:r>
      <w:r>
        <w:rPr>
          <w:spacing w:val="1"/>
        </w:rPr>
        <w:t>i</w:t>
      </w:r>
      <w:r>
        <w:t>n</w:t>
      </w:r>
      <w:r>
        <w:rPr>
          <w:spacing w:val="-2"/>
        </w:rPr>
        <w:t xml:space="preserve"> </w:t>
      </w:r>
      <w:r>
        <w:t>4</w:t>
      </w:r>
      <w:r>
        <w:rPr>
          <w:spacing w:val="-3"/>
        </w:rPr>
        <w:t xml:space="preserve"> </w:t>
      </w:r>
      <w:r>
        <w:rPr>
          <w:spacing w:val="1"/>
        </w:rPr>
        <w:t>l</w:t>
      </w:r>
      <w:r>
        <w:t>u</w:t>
      </w:r>
      <w:r>
        <w:rPr>
          <w:spacing w:val="-3"/>
        </w:rPr>
        <w:t>n</w:t>
      </w:r>
      <w:r>
        <w:t>i</w:t>
      </w:r>
      <w:r>
        <w:rPr>
          <w:spacing w:val="1"/>
        </w:rPr>
        <w:t xml:space="preserve"> </w:t>
      </w:r>
      <w:r>
        <w:t>du</w:t>
      </w:r>
      <w:r>
        <w:rPr>
          <w:spacing w:val="-3"/>
        </w:rPr>
        <w:t>p</w:t>
      </w:r>
      <w:r>
        <w:t xml:space="preserve">ă </w:t>
      </w:r>
      <w:r>
        <w:rPr>
          <w:spacing w:val="-3"/>
        </w:rPr>
        <w:t>u</w:t>
      </w:r>
      <w:r>
        <w:rPr>
          <w:spacing w:val="1"/>
        </w:rPr>
        <w:t>l</w:t>
      </w:r>
      <w:r>
        <w:rPr>
          <w:spacing w:val="-2"/>
        </w:rPr>
        <w:t>ti</w:t>
      </w:r>
      <w:r>
        <w:rPr>
          <w:spacing w:val="-4"/>
        </w:rPr>
        <w:t>m</w:t>
      </w:r>
      <w:r>
        <w:t xml:space="preserve">a </w:t>
      </w:r>
      <w:r>
        <w:rPr>
          <w:spacing w:val="1"/>
        </w:rPr>
        <w:t>i</w:t>
      </w:r>
      <w:r>
        <w:t>n</w:t>
      </w:r>
      <w:r>
        <w:rPr>
          <w:spacing w:val="1"/>
        </w:rPr>
        <w:t>j</w:t>
      </w:r>
      <w:r>
        <w:t>ec</w:t>
      </w:r>
      <w:r>
        <w:rPr>
          <w:spacing w:val="-2"/>
        </w:rPr>
        <w:t>ţ</w:t>
      </w:r>
      <w:r>
        <w:rPr>
          <w:spacing w:val="1"/>
        </w:rPr>
        <w:t>i</w:t>
      </w:r>
      <w:r>
        <w:t>e</w:t>
      </w:r>
      <w:r>
        <w:rPr>
          <w:spacing w:val="-2"/>
        </w:rPr>
        <w:t xml:space="preserve"> </w:t>
      </w:r>
      <w:r>
        <w:t xml:space="preserve">de </w:t>
      </w:r>
      <w:r>
        <w:rPr>
          <w:spacing w:val="-1"/>
        </w:rPr>
        <w:t>AMGEVITA</w:t>
      </w:r>
      <w:r>
        <w:t>.</w:t>
      </w:r>
    </w:p>
    <w:p w14:paraId="101D3B09" w14:textId="77777777" w:rsidR="00C04CAD" w:rsidRDefault="00C04CAD">
      <w:pPr>
        <w:numPr>
          <w:ilvl w:val="12"/>
          <w:numId w:val="0"/>
        </w:numPr>
        <w:tabs>
          <w:tab w:val="clear" w:pos="567"/>
        </w:tabs>
        <w:spacing w:line="240" w:lineRule="auto"/>
        <w:ind w:right="-29"/>
      </w:pPr>
    </w:p>
    <w:p w14:paraId="4C6E8F27" w14:textId="77777777" w:rsidR="00C04CAD" w:rsidRDefault="00060E34">
      <w:pPr>
        <w:tabs>
          <w:tab w:val="clear" w:pos="567"/>
        </w:tabs>
        <w:kinsoku w:val="0"/>
        <w:overflowPunct w:val="0"/>
        <w:autoSpaceDE w:val="0"/>
        <w:autoSpaceDN w:val="0"/>
        <w:adjustRightInd w:val="0"/>
        <w:spacing w:line="240" w:lineRule="auto"/>
      </w:pPr>
      <w:r>
        <w:t>Adresaţi-vă imediat medicului dumneavoastră dacă observaţi oricare dintre următoarele semne de reacții alergice sau insuficiență cardiacă:</w:t>
      </w:r>
    </w:p>
    <w:p w14:paraId="48769E90"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Erupţie gravă, urticarie sau alte semne de reacţie alergică;</w:t>
      </w:r>
    </w:p>
    <w:p w14:paraId="09ADDA86"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Umflarea feţei, a mâinilor, a picioarelor;</w:t>
      </w:r>
    </w:p>
    <w:p w14:paraId="6DA502D8"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Dificultăţi la respiraţie, la înghiţire;</w:t>
      </w:r>
    </w:p>
    <w:p w14:paraId="6E6B1333"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Dificultate larespiraţie la efort sau în poziţie orizontală sau umflarea picioarelor.</w:t>
      </w:r>
    </w:p>
    <w:p w14:paraId="1CCC79C0" w14:textId="77777777" w:rsidR="00C04CAD" w:rsidRDefault="00C04CAD">
      <w:pPr>
        <w:numPr>
          <w:ilvl w:val="12"/>
          <w:numId w:val="0"/>
        </w:numPr>
        <w:tabs>
          <w:tab w:val="clear" w:pos="567"/>
        </w:tabs>
        <w:spacing w:line="240" w:lineRule="auto"/>
        <w:ind w:right="-29"/>
      </w:pPr>
    </w:p>
    <w:p w14:paraId="6B6775B7" w14:textId="77777777" w:rsidR="00C04CAD" w:rsidRDefault="00060E34">
      <w:pPr>
        <w:tabs>
          <w:tab w:val="clear" w:pos="567"/>
        </w:tabs>
        <w:kinsoku w:val="0"/>
        <w:overflowPunct w:val="0"/>
        <w:autoSpaceDE w:val="0"/>
        <w:autoSpaceDN w:val="0"/>
        <w:adjustRightInd w:val="0"/>
        <w:spacing w:line="240" w:lineRule="auto"/>
      </w:pPr>
      <w:r>
        <w:t>Adresaţi-vă cât mai repede medicului dumneavoastră dacă observaţi oricare dintre următoarele manifestări:</w:t>
      </w:r>
    </w:p>
    <w:p w14:paraId="7B1BEBCE"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rPr>
          <w:spacing w:val="-1"/>
        </w:rPr>
        <w:t>S</w:t>
      </w:r>
      <w:r>
        <w:t>e</w:t>
      </w:r>
      <w:r>
        <w:rPr>
          <w:spacing w:val="-4"/>
        </w:rPr>
        <w:t>m</w:t>
      </w:r>
      <w:r>
        <w:t xml:space="preserve">ne de </w:t>
      </w:r>
      <w:r>
        <w:rPr>
          <w:spacing w:val="1"/>
        </w:rPr>
        <w:t>i</w:t>
      </w:r>
      <w:r>
        <w:t>n</w:t>
      </w:r>
      <w:r>
        <w:rPr>
          <w:spacing w:val="-2"/>
        </w:rPr>
        <w:t>f</w:t>
      </w:r>
      <w:r>
        <w:t>ec</w:t>
      </w:r>
      <w:r>
        <w:rPr>
          <w:spacing w:val="-2"/>
        </w:rPr>
        <w:t>ţ</w:t>
      </w:r>
      <w:r>
        <w:rPr>
          <w:spacing w:val="1"/>
        </w:rPr>
        <w:t>i</w:t>
      </w:r>
      <w:r>
        <w:t>e</w:t>
      </w:r>
      <w:r>
        <w:rPr>
          <w:spacing w:val="-2"/>
        </w:rPr>
        <w:t xml:space="preserve"> </w:t>
      </w:r>
      <w:r>
        <w:t>cum</w:t>
      </w:r>
      <w:r>
        <w:rPr>
          <w:spacing w:val="-4"/>
        </w:rPr>
        <w:t xml:space="preserve"> </w:t>
      </w:r>
      <w:r>
        <w:t>sunt</w:t>
      </w:r>
      <w:r>
        <w:rPr>
          <w:spacing w:val="-2"/>
        </w:rPr>
        <w:t xml:space="preserve"> </w:t>
      </w:r>
      <w:r>
        <w:t>feb</w:t>
      </w:r>
      <w:r>
        <w:rPr>
          <w:spacing w:val="-2"/>
        </w:rPr>
        <w:t>r</w:t>
      </w:r>
      <w:r>
        <w:t xml:space="preserve">ă, </w:t>
      </w:r>
      <w:r>
        <w:rPr>
          <w:spacing w:val="-2"/>
        </w:rPr>
        <w:t>s</w:t>
      </w:r>
      <w:r>
        <w:rPr>
          <w:spacing w:val="1"/>
        </w:rPr>
        <w:t>t</w:t>
      </w:r>
      <w:r>
        <w:rPr>
          <w:spacing w:val="-3"/>
        </w:rPr>
        <w:t>a</w:t>
      </w:r>
      <w:r>
        <w:t>re de</w:t>
      </w:r>
      <w:r>
        <w:rPr>
          <w:spacing w:val="-2"/>
        </w:rPr>
        <w:t xml:space="preserve"> </w:t>
      </w:r>
      <w:r>
        <w:t>r</w:t>
      </w:r>
      <w:r>
        <w:rPr>
          <w:spacing w:val="-3"/>
        </w:rPr>
        <w:t>ă</w:t>
      </w:r>
      <w:r>
        <w:t>u, p</w:t>
      </w:r>
      <w:r>
        <w:rPr>
          <w:spacing w:val="-2"/>
        </w:rPr>
        <w:t>l</w:t>
      </w:r>
      <w:r>
        <w:t>ă</w:t>
      </w:r>
      <w:r>
        <w:rPr>
          <w:spacing w:val="-3"/>
        </w:rPr>
        <w:t>g</w:t>
      </w:r>
      <w:r>
        <w:rPr>
          <w:spacing w:val="1"/>
        </w:rPr>
        <w:t>i</w:t>
      </w:r>
      <w:r>
        <w:t xml:space="preserve">, </w:t>
      </w:r>
      <w:r>
        <w:rPr>
          <w:spacing w:val="-3"/>
        </w:rPr>
        <w:t>p</w:t>
      </w:r>
      <w:r>
        <w:t>rob</w:t>
      </w:r>
      <w:r>
        <w:rPr>
          <w:spacing w:val="-2"/>
        </w:rPr>
        <w:t>l</w:t>
      </w:r>
      <w:r>
        <w:t>e</w:t>
      </w:r>
      <w:r>
        <w:rPr>
          <w:spacing w:val="-4"/>
        </w:rPr>
        <w:t>m</w:t>
      </w:r>
      <w:r>
        <w:t>e den</w:t>
      </w:r>
      <w:r>
        <w:rPr>
          <w:spacing w:val="1"/>
        </w:rPr>
        <w:t>t</w:t>
      </w:r>
      <w:r>
        <w:rPr>
          <w:spacing w:val="-3"/>
        </w:rPr>
        <w:t>a</w:t>
      </w:r>
      <w:r>
        <w:t xml:space="preserve">re, </w:t>
      </w:r>
      <w:r>
        <w:rPr>
          <w:spacing w:val="-2"/>
        </w:rPr>
        <w:t>s</w:t>
      </w:r>
      <w:r>
        <w:t>en</w:t>
      </w:r>
      <w:r>
        <w:rPr>
          <w:spacing w:val="-3"/>
        </w:rPr>
        <w:t>z</w:t>
      </w:r>
      <w:r>
        <w:t>a</w:t>
      </w:r>
      <w:r>
        <w:rPr>
          <w:spacing w:val="-2"/>
        </w:rPr>
        <w:t>ţ</w:t>
      </w:r>
      <w:r>
        <w:rPr>
          <w:spacing w:val="1"/>
        </w:rPr>
        <w:t>i</w:t>
      </w:r>
      <w:r>
        <w:t xml:space="preserve">e </w:t>
      </w:r>
      <w:r>
        <w:rPr>
          <w:spacing w:val="-3"/>
        </w:rPr>
        <w:t>d</w:t>
      </w:r>
      <w:r>
        <w:t>e ar</w:t>
      </w:r>
      <w:r>
        <w:rPr>
          <w:spacing w:val="-2"/>
        </w:rPr>
        <w:t>s</w:t>
      </w:r>
      <w:r>
        <w:t>ură</w:t>
      </w:r>
      <w:r>
        <w:rPr>
          <w:spacing w:val="-2"/>
        </w:rPr>
        <w:t xml:space="preserve"> </w:t>
      </w:r>
      <w:r>
        <w:rPr>
          <w:spacing w:val="1"/>
        </w:rPr>
        <w:t>l</w:t>
      </w:r>
      <w:r>
        <w:t>a ur</w:t>
      </w:r>
      <w:r>
        <w:rPr>
          <w:spacing w:val="1"/>
        </w:rPr>
        <w:t>i</w:t>
      </w:r>
      <w:r>
        <w:rPr>
          <w:spacing w:val="-3"/>
        </w:rPr>
        <w:t>n</w:t>
      </w:r>
      <w:r>
        <w:t>ar</w:t>
      </w:r>
      <w:r>
        <w:rPr>
          <w:spacing w:val="-3"/>
        </w:rPr>
        <w:t>e</w:t>
      </w:r>
      <w:r>
        <w:t>;</w:t>
      </w:r>
    </w:p>
    <w:p w14:paraId="793247A0"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t>Senzaţie de slăbiciune sau de oboseală;</w:t>
      </w:r>
    </w:p>
    <w:p w14:paraId="18F2C6D4"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t>Tuse;</w:t>
      </w:r>
    </w:p>
    <w:p w14:paraId="34C276AD"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Furnicături;</w:t>
      </w:r>
    </w:p>
    <w:p w14:paraId="234FA583"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Amorţeală;</w:t>
      </w:r>
    </w:p>
    <w:p w14:paraId="418D6430"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Vedere dublă;</w:t>
      </w:r>
    </w:p>
    <w:p w14:paraId="684957DB"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Slăbiciune a mâinilor sau a picioarelor;</w:t>
      </w:r>
    </w:p>
    <w:p w14:paraId="60BC6544"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Semne ale cancerului de piele, cum sunt o inflamaţie sau o rană deschisă care nu se vindecă;</w:t>
      </w:r>
    </w:p>
    <w:p w14:paraId="3685D372"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Semne şi simptome care sugerează tulburări sanguine cum sunt febră persistentă, vânătăi, sângerări, paloare.</w:t>
      </w:r>
    </w:p>
    <w:p w14:paraId="470D8BE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DBD5F21" w14:textId="77777777" w:rsidR="00C04CAD" w:rsidRDefault="00060E34">
      <w:pPr>
        <w:keepNext/>
        <w:tabs>
          <w:tab w:val="clear" w:pos="567"/>
        </w:tabs>
        <w:kinsoku w:val="0"/>
        <w:overflowPunct w:val="0"/>
        <w:autoSpaceDE w:val="0"/>
        <w:autoSpaceDN w:val="0"/>
        <w:adjustRightInd w:val="0"/>
        <w:spacing w:line="240" w:lineRule="auto"/>
        <w:rPr>
          <w:spacing w:val="-1"/>
          <w:szCs w:val="22"/>
          <w:lang w:eastAsia="en-US" w:bidi="ar-SA"/>
        </w:rPr>
      </w:pPr>
      <w:r>
        <w:rPr>
          <w:spacing w:val="-1"/>
        </w:rPr>
        <w:t>S</w:t>
      </w:r>
      <w:r>
        <w:rPr>
          <w:spacing w:val="1"/>
        </w:rPr>
        <w:t>i</w:t>
      </w:r>
      <w:r>
        <w:rPr>
          <w:spacing w:val="-4"/>
        </w:rPr>
        <w:t>m</w:t>
      </w:r>
      <w:r>
        <w:t>p</w:t>
      </w:r>
      <w:r>
        <w:rPr>
          <w:spacing w:val="1"/>
        </w:rPr>
        <w:t>t</w:t>
      </w:r>
      <w:r>
        <w:rPr>
          <w:spacing w:val="-1"/>
        </w:rPr>
        <w:t>o</w:t>
      </w:r>
      <w:r>
        <w:rPr>
          <w:spacing w:val="-4"/>
        </w:rPr>
        <w:t>m</w:t>
      </w:r>
      <w:r>
        <w:t>e</w:t>
      </w:r>
      <w:r>
        <w:rPr>
          <w:spacing w:val="1"/>
        </w:rPr>
        <w:t>l</w:t>
      </w:r>
      <w:r>
        <w:t>e des</w:t>
      </w:r>
      <w:r>
        <w:rPr>
          <w:spacing w:val="-3"/>
        </w:rPr>
        <w:t>c</w:t>
      </w:r>
      <w:r>
        <w:t>r</w:t>
      </w:r>
      <w:r>
        <w:rPr>
          <w:spacing w:val="1"/>
        </w:rPr>
        <w:t>i</w:t>
      </w:r>
      <w:r>
        <w:rPr>
          <w:spacing w:val="-2"/>
        </w:rPr>
        <w:t>s</w:t>
      </w:r>
      <w:r>
        <w:t xml:space="preserve">e </w:t>
      </w:r>
      <w:r>
        <w:rPr>
          <w:spacing w:val="-4"/>
        </w:rPr>
        <w:t>m</w:t>
      </w:r>
      <w:r>
        <w:t>ai</w:t>
      </w:r>
      <w:r>
        <w:rPr>
          <w:spacing w:val="1"/>
        </w:rPr>
        <w:t xml:space="preserve"> </w:t>
      </w:r>
      <w:r>
        <w:rPr>
          <w:spacing w:val="-2"/>
        </w:rPr>
        <w:t>s</w:t>
      </w:r>
      <w:r>
        <w:t>us pot</w:t>
      </w:r>
      <w:r>
        <w:rPr>
          <w:spacing w:val="-2"/>
        </w:rPr>
        <w:t xml:space="preserve"> f</w:t>
      </w:r>
      <w:r>
        <w:t>i</w:t>
      </w:r>
      <w:r>
        <w:rPr>
          <w:spacing w:val="1"/>
        </w:rPr>
        <w:t xml:space="preserve"> </w:t>
      </w:r>
      <w:r>
        <w:t>se</w:t>
      </w:r>
      <w:r>
        <w:rPr>
          <w:spacing w:val="-4"/>
        </w:rPr>
        <w:t>m</w:t>
      </w:r>
      <w:r>
        <w:t>ne a</w:t>
      </w:r>
      <w:r>
        <w:rPr>
          <w:spacing w:val="-2"/>
        </w:rPr>
        <w:t>l</w:t>
      </w:r>
      <w:r>
        <w:t>e r</w:t>
      </w:r>
      <w:r>
        <w:rPr>
          <w:spacing w:val="-3"/>
        </w:rPr>
        <w:t>e</w:t>
      </w:r>
      <w:r>
        <w:t>a</w:t>
      </w:r>
      <w:r>
        <w:rPr>
          <w:spacing w:val="-3"/>
        </w:rPr>
        <w:t>c</w:t>
      </w:r>
      <w:r>
        <w:rPr>
          <w:spacing w:val="1"/>
        </w:rPr>
        <w:t>ţ</w:t>
      </w:r>
      <w:r>
        <w:rPr>
          <w:spacing w:val="-2"/>
        </w:rPr>
        <w:t>i</w:t>
      </w:r>
      <w:r>
        <w:rPr>
          <w:spacing w:val="1"/>
        </w:rPr>
        <w:t>il</w:t>
      </w:r>
      <w:r>
        <w:rPr>
          <w:spacing w:val="-3"/>
        </w:rPr>
        <w:t>o</w:t>
      </w:r>
      <w:r>
        <w:t>r</w:t>
      </w:r>
      <w:r>
        <w:rPr>
          <w:spacing w:val="1"/>
        </w:rPr>
        <w:t xml:space="preserve"> </w:t>
      </w:r>
      <w:r>
        <w:t>ad</w:t>
      </w:r>
      <w:r>
        <w:rPr>
          <w:spacing w:val="-3"/>
        </w:rPr>
        <w:t>v</w:t>
      </w:r>
      <w:r>
        <w:t>er</w:t>
      </w:r>
      <w:r>
        <w:rPr>
          <w:spacing w:val="-2"/>
        </w:rPr>
        <w:t>s</w:t>
      </w:r>
      <w:r>
        <w:t>e enu</w:t>
      </w:r>
      <w:r>
        <w:rPr>
          <w:spacing w:val="-4"/>
        </w:rPr>
        <w:t>m</w:t>
      </w:r>
      <w:r>
        <w:t>er</w:t>
      </w:r>
      <w:r>
        <w:rPr>
          <w:spacing w:val="-3"/>
        </w:rPr>
        <w:t>a</w:t>
      </w:r>
      <w:r>
        <w:rPr>
          <w:spacing w:val="1"/>
        </w:rPr>
        <w:t>t</w:t>
      </w:r>
      <w:r>
        <w:t xml:space="preserve">e </w:t>
      </w:r>
      <w:r>
        <w:rPr>
          <w:spacing w:val="-4"/>
        </w:rPr>
        <w:t>m</w:t>
      </w:r>
      <w:r>
        <w:t>ai</w:t>
      </w:r>
      <w:r>
        <w:rPr>
          <w:spacing w:val="-2"/>
        </w:rPr>
        <w:t xml:space="preserve"> </w:t>
      </w:r>
      <w:r>
        <w:rPr>
          <w:spacing w:val="3"/>
        </w:rPr>
        <w:t>j</w:t>
      </w:r>
      <w:r>
        <w:rPr>
          <w:spacing w:val="-3"/>
        </w:rPr>
        <w:t>o</w:t>
      </w:r>
      <w:r>
        <w:t>s, c</w:t>
      </w:r>
      <w:r>
        <w:rPr>
          <w:spacing w:val="-3"/>
        </w:rPr>
        <w:t>a</w:t>
      </w:r>
      <w:r>
        <w:t>re au</w:t>
      </w:r>
      <w:r>
        <w:rPr>
          <w:spacing w:val="-3"/>
        </w:rPr>
        <w:t xml:space="preserve"> </w:t>
      </w:r>
      <w:r>
        <w:t>fo</w:t>
      </w:r>
      <w:r>
        <w:rPr>
          <w:spacing w:val="-2"/>
        </w:rPr>
        <w:t>s</w:t>
      </w:r>
      <w:r>
        <w:t>t obser</w:t>
      </w:r>
      <w:r>
        <w:rPr>
          <w:spacing w:val="-3"/>
        </w:rPr>
        <w:t>v</w:t>
      </w:r>
      <w:r>
        <w:t>a</w:t>
      </w:r>
      <w:r>
        <w:rPr>
          <w:spacing w:val="-2"/>
        </w:rPr>
        <w:t>t</w:t>
      </w:r>
      <w:r>
        <w:t xml:space="preserve">e </w:t>
      </w:r>
      <w:r>
        <w:rPr>
          <w:spacing w:val="-2"/>
        </w:rPr>
        <w:t>l</w:t>
      </w:r>
      <w:r>
        <w:t>a ad</w:t>
      </w:r>
      <w:r>
        <w:rPr>
          <w:spacing w:val="-4"/>
        </w:rPr>
        <w:t>m</w:t>
      </w:r>
      <w:r>
        <w:rPr>
          <w:spacing w:val="1"/>
        </w:rPr>
        <w:t>i</w:t>
      </w:r>
      <w:r>
        <w:t>n</w:t>
      </w:r>
      <w:r>
        <w:rPr>
          <w:spacing w:val="1"/>
        </w:rPr>
        <w:t>i</w:t>
      </w:r>
      <w:r>
        <w:rPr>
          <w:spacing w:val="-2"/>
        </w:rPr>
        <w:t>s</w:t>
      </w:r>
      <w:r>
        <w:rPr>
          <w:spacing w:val="1"/>
        </w:rPr>
        <w:t>t</w:t>
      </w:r>
      <w:r>
        <w:rPr>
          <w:spacing w:val="-2"/>
        </w:rPr>
        <w:t>r</w:t>
      </w:r>
      <w:r>
        <w:t>a</w:t>
      </w:r>
      <w:r>
        <w:rPr>
          <w:spacing w:val="-2"/>
        </w:rPr>
        <w:t>r</w:t>
      </w:r>
      <w:r>
        <w:t>ea</w:t>
      </w:r>
      <w:r>
        <w:rPr>
          <w:spacing w:val="-2"/>
        </w:rPr>
        <w:t xml:space="preserve"> </w:t>
      </w:r>
      <w:r>
        <w:t>adalimumab</w:t>
      </w:r>
    </w:p>
    <w:p w14:paraId="14F76E00" w14:textId="77777777" w:rsidR="00C04CAD" w:rsidRDefault="00C04CAD">
      <w:pPr>
        <w:numPr>
          <w:ilvl w:val="12"/>
          <w:numId w:val="0"/>
        </w:numPr>
        <w:tabs>
          <w:tab w:val="clear" w:pos="567"/>
        </w:tabs>
        <w:spacing w:line="240" w:lineRule="auto"/>
        <w:ind w:right="-29"/>
        <w:rPr>
          <w:szCs w:val="22"/>
        </w:rPr>
      </w:pPr>
    </w:p>
    <w:p w14:paraId="7343B6F6" w14:textId="77777777" w:rsidR="00C04CAD" w:rsidRDefault="00060E34">
      <w:pPr>
        <w:tabs>
          <w:tab w:val="clear" w:pos="567"/>
        </w:tabs>
        <w:kinsoku w:val="0"/>
        <w:overflowPunct w:val="0"/>
        <w:autoSpaceDE w:val="0"/>
        <w:autoSpaceDN w:val="0"/>
        <w:adjustRightInd w:val="0"/>
        <w:spacing w:line="240" w:lineRule="auto"/>
        <w:rPr>
          <w:b/>
        </w:rPr>
      </w:pPr>
      <w:r>
        <w:rPr>
          <w:spacing w:val="-1"/>
          <w:szCs w:val="22"/>
          <w:lang w:eastAsia="en-US" w:bidi="ar-SA"/>
        </w:rPr>
        <w:t>F</w:t>
      </w:r>
      <w:r>
        <w:rPr>
          <w:szCs w:val="22"/>
          <w:lang w:eastAsia="en-US" w:bidi="ar-SA"/>
        </w:rPr>
        <w:t>oar</w:t>
      </w:r>
      <w:r>
        <w:rPr>
          <w:spacing w:val="-2"/>
          <w:szCs w:val="22"/>
          <w:lang w:eastAsia="en-US" w:bidi="ar-SA"/>
        </w:rPr>
        <w:t>t</w:t>
      </w:r>
      <w:r>
        <w:rPr>
          <w:szCs w:val="22"/>
          <w:lang w:eastAsia="en-US" w:bidi="ar-SA"/>
        </w:rPr>
        <w:t>e</w:t>
      </w:r>
      <w:r>
        <w:t xml:space="preserve"> </w:t>
      </w:r>
      <w:r>
        <w:rPr>
          <w:spacing w:val="-2"/>
        </w:rPr>
        <w:t>f</w:t>
      </w:r>
      <w:r>
        <w:t>rec</w:t>
      </w:r>
      <w:r>
        <w:rPr>
          <w:spacing w:val="-3"/>
        </w:rPr>
        <w:t>v</w:t>
      </w:r>
      <w:r>
        <w:t>e</w:t>
      </w:r>
      <w:r>
        <w:rPr>
          <w:spacing w:val="-3"/>
        </w:rPr>
        <w:t>n</w:t>
      </w:r>
      <w:r>
        <w:rPr>
          <w:spacing w:val="1"/>
        </w:rPr>
        <w:t>t</w:t>
      </w:r>
      <w:r>
        <w:t>e</w:t>
      </w:r>
      <w:r>
        <w:rPr>
          <w:b/>
        </w:rPr>
        <w:t xml:space="preserve"> </w:t>
      </w:r>
      <w:r>
        <w:rPr>
          <w:spacing w:val="-2"/>
        </w:rPr>
        <w:t>(</w:t>
      </w:r>
      <w:r>
        <w:t>pot</w:t>
      </w:r>
      <w:r>
        <w:rPr>
          <w:spacing w:val="-2"/>
        </w:rPr>
        <w:t xml:space="preserve"> </w:t>
      </w:r>
      <w:r>
        <w:t>să apară la maimultde 1 persoană din 10)</w:t>
      </w:r>
    </w:p>
    <w:p w14:paraId="07CEE7B8"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reacţiilaloculadministrării(inclusivdurere,</w:t>
      </w:r>
      <w:r>
        <w:rPr>
          <w:szCs w:val="22"/>
          <w:lang w:eastAsia="en-US" w:bidi="ar-SA"/>
        </w:rPr>
        <w:t>umflare</w:t>
      </w:r>
      <w:r>
        <w:t>, roşeaţă saumâncărimi</w:t>
      </w:r>
      <w:r>
        <w:rPr>
          <w:szCs w:val="22"/>
          <w:lang w:eastAsia="en-US" w:bidi="ar-SA"/>
        </w:rPr>
        <w:t>);</w:t>
      </w:r>
    </w:p>
    <w:p w14:paraId="279C2422"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infecţii ale căilor respiratorii (inclusiv răceală, secreţii nazale, sinuzită, pneumonie);</w:t>
      </w:r>
    </w:p>
    <w:p w14:paraId="2C22FF39"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de cap;</w:t>
      </w:r>
    </w:p>
    <w:p w14:paraId="55A60380"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abdominale;</w:t>
      </w:r>
    </w:p>
    <w:p w14:paraId="5CE11E83"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greaţă şi vărsături;</w:t>
      </w:r>
    </w:p>
    <w:p w14:paraId="435C7FB3"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erupţie cutanată;</w:t>
      </w:r>
    </w:p>
    <w:p w14:paraId="4E9BD662"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musculare şi osoase.</w:t>
      </w:r>
    </w:p>
    <w:p w14:paraId="4B7C5E12" w14:textId="77777777" w:rsidR="00C04CAD" w:rsidRDefault="00C04CAD">
      <w:pPr>
        <w:tabs>
          <w:tab w:val="clear" w:pos="567"/>
        </w:tabs>
        <w:kinsoku w:val="0"/>
        <w:overflowPunct w:val="0"/>
        <w:autoSpaceDE w:val="0"/>
        <w:autoSpaceDN w:val="0"/>
        <w:adjustRightInd w:val="0"/>
        <w:spacing w:line="240" w:lineRule="auto"/>
      </w:pPr>
    </w:p>
    <w:p w14:paraId="7D31A4AA"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 xml:space="preserve">Frecvente </w:t>
      </w:r>
      <w:r>
        <w:t>(pot să apară până la 1 persoană din 10)</w:t>
      </w:r>
    </w:p>
    <w:p w14:paraId="7486FC9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rPr>
          <w:spacing w:val="1"/>
        </w:rPr>
        <w:t>i</w:t>
      </w:r>
      <w:r>
        <w:t>nf</w:t>
      </w:r>
      <w:r>
        <w:rPr>
          <w:spacing w:val="-3"/>
        </w:rPr>
        <w:t>e</w:t>
      </w:r>
      <w:r>
        <w:t>c</w:t>
      </w:r>
      <w:r>
        <w:rPr>
          <w:spacing w:val="-2"/>
        </w:rPr>
        <w:t>ţ</w:t>
      </w:r>
      <w:r>
        <w:rPr>
          <w:spacing w:val="1"/>
        </w:rPr>
        <w:t>i</w:t>
      </w:r>
      <w:r>
        <w:t>i</w:t>
      </w:r>
      <w:r>
        <w:rPr>
          <w:spacing w:val="-2"/>
        </w:rPr>
        <w:t xml:space="preserve"> </w:t>
      </w:r>
      <w:r>
        <w:rPr>
          <w:szCs w:val="22"/>
          <w:lang w:eastAsia="en-US" w:bidi="ar-SA"/>
        </w:rPr>
        <w:t>grave</w:t>
      </w:r>
      <w:r>
        <w:rPr>
          <w:spacing w:val="-2"/>
        </w:rPr>
        <w:t xml:space="preserve"> </w:t>
      </w:r>
      <w:r>
        <w:t>(</w:t>
      </w:r>
      <w:r>
        <w:rPr>
          <w:spacing w:val="-2"/>
        </w:rPr>
        <w:t>i</w:t>
      </w:r>
      <w:r>
        <w:t>nc</w:t>
      </w:r>
      <w:r>
        <w:rPr>
          <w:spacing w:val="-2"/>
        </w:rPr>
        <w:t>l</w:t>
      </w:r>
      <w:r>
        <w:t>us</w:t>
      </w:r>
      <w:r>
        <w:rPr>
          <w:spacing w:val="1"/>
        </w:rPr>
        <w:t>i</w:t>
      </w:r>
      <w:r>
        <w:t>v</w:t>
      </w:r>
      <w:r>
        <w:rPr>
          <w:spacing w:val="-3"/>
        </w:rPr>
        <w:t xml:space="preserve"> </w:t>
      </w:r>
      <w:r>
        <w:t>se</w:t>
      </w:r>
      <w:r>
        <w:rPr>
          <w:spacing w:val="-3"/>
        </w:rPr>
        <w:t>p</w:t>
      </w:r>
      <w:r>
        <w:rPr>
          <w:spacing w:val="1"/>
        </w:rPr>
        <w:t>ti</w:t>
      </w:r>
      <w:r>
        <w:rPr>
          <w:spacing w:val="-3"/>
        </w:rPr>
        <w:t>c</w:t>
      </w:r>
      <w:r>
        <w:t>e</w:t>
      </w:r>
      <w:r>
        <w:rPr>
          <w:spacing w:val="-4"/>
        </w:rPr>
        <w:t>m</w:t>
      </w:r>
      <w:r>
        <w:rPr>
          <w:spacing w:val="1"/>
        </w:rPr>
        <w:t>i</w:t>
      </w:r>
      <w:r>
        <w:t>e şi</w:t>
      </w:r>
      <w:r>
        <w:rPr>
          <w:spacing w:val="1"/>
        </w:rPr>
        <w:t xml:space="preserve"> </w:t>
      </w:r>
      <w:r>
        <w:rPr>
          <w:spacing w:val="-3"/>
        </w:rPr>
        <w:t>g</w:t>
      </w:r>
      <w:r>
        <w:t>r</w:t>
      </w:r>
      <w:r>
        <w:rPr>
          <w:spacing w:val="-2"/>
        </w:rPr>
        <w:t>i</w:t>
      </w:r>
      <w:r>
        <w:t>pă</w:t>
      </w:r>
      <w:r>
        <w:rPr>
          <w:spacing w:val="-2"/>
        </w:rPr>
        <w:t>)</w:t>
      </w:r>
      <w:r>
        <w:t>;</w:t>
      </w:r>
    </w:p>
    <w:p w14:paraId="7994861D"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infecții intestinale (inclusiv gastroenterită);</w:t>
      </w:r>
    </w:p>
    <w:p w14:paraId="51EA0A5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cutanate (inclusiv celulită şi herpes zoster);</w:t>
      </w:r>
    </w:p>
    <w:p w14:paraId="1A9B4C3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urechii;</w:t>
      </w:r>
    </w:p>
    <w:p w14:paraId="52C71AE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gurii (inclusiv infecţii dentare şi abces rece);</w:t>
      </w:r>
    </w:p>
    <w:p w14:paraId="3B5F78EA"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tractului genital;</w:t>
      </w:r>
    </w:p>
    <w:p w14:paraId="58AE8BE9"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tractului urinar;</w:t>
      </w:r>
    </w:p>
    <w:p w14:paraId="3B3A60DB"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micotice;</w:t>
      </w:r>
    </w:p>
    <w:p w14:paraId="49A28B06"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articulaţiilor;</w:t>
      </w:r>
    </w:p>
    <w:p w14:paraId="7BBC3A5F"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tumori benigne;</w:t>
      </w:r>
    </w:p>
    <w:p w14:paraId="7F183C8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cancer cutanat;</w:t>
      </w:r>
    </w:p>
    <w:p w14:paraId="5FD6139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reacţii alergice (inclusiv alergii sezoniere);</w:t>
      </w:r>
    </w:p>
    <w:p w14:paraId="32B9F23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deshidratare;</w:t>
      </w:r>
    </w:p>
    <w:p w14:paraId="228D7BC6"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modificarea dispoziţiei (inclusiv depresie);</w:t>
      </w:r>
    </w:p>
    <w:p w14:paraId="28D22E5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anxietate;</w:t>
      </w:r>
    </w:p>
    <w:p w14:paraId="2248065D"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tulburări ale somnului;</w:t>
      </w:r>
    </w:p>
    <w:p w14:paraId="4028D9F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tulburări senzoriale cum sunt furnicături, înţepături sau amorţeli;</w:t>
      </w:r>
    </w:p>
    <w:p w14:paraId="7A3E3A0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migrenă;</w:t>
      </w:r>
    </w:p>
    <w:p w14:paraId="40444CC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 xml:space="preserve">compresie a rădăcinii nervoase (inclusiv dureri </w:t>
      </w:r>
      <w:r>
        <w:rPr>
          <w:szCs w:val="22"/>
          <w:lang w:eastAsia="en-US" w:bidi="ar-SA"/>
        </w:rPr>
        <w:t>joase de spate</w:t>
      </w:r>
      <w:r>
        <w:t xml:space="preserve"> şi dureri de picioare);</w:t>
      </w:r>
    </w:p>
    <w:p w14:paraId="1743018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de vedere;</w:t>
      </w:r>
    </w:p>
    <w:p w14:paraId="009D921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inflamaţia ochilor;</w:t>
      </w:r>
    </w:p>
    <w:p w14:paraId="37F99F1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pleoapelor şi umflarea ochilor;</w:t>
      </w:r>
    </w:p>
    <w:p w14:paraId="7E5849E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vertij (senzație de amețeală sau că se învârte casa);</w:t>
      </w:r>
    </w:p>
    <w:p w14:paraId="1C1842D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senzaţie că inima bate repede;</w:t>
      </w:r>
    </w:p>
    <w:p w14:paraId="69C8176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tensiune arterială mare;</w:t>
      </w:r>
    </w:p>
    <w:p w14:paraId="3C35BAB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roşeaţă;</w:t>
      </w:r>
    </w:p>
    <w:p w14:paraId="74487CC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hematom;</w:t>
      </w:r>
    </w:p>
    <w:p w14:paraId="1BE6F18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tuse;</w:t>
      </w:r>
    </w:p>
    <w:p w14:paraId="05CB78DF"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astm bronșic;</w:t>
      </w:r>
    </w:p>
    <w:p w14:paraId="69E8AD6B"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scurtarea respiraţiei;</w:t>
      </w:r>
    </w:p>
    <w:p w14:paraId="1E51DAB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sângerări gastro-intestinale;</w:t>
      </w:r>
    </w:p>
    <w:p w14:paraId="4541114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dispepsie (indigestie, balonare, arsuri);</w:t>
      </w:r>
    </w:p>
    <w:p w14:paraId="6C3F8B8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boală de reflux a acidului gastric;</w:t>
      </w:r>
    </w:p>
    <w:p w14:paraId="5CD7CA19"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sindrom sicca (inclusiv ochi uscaţi şi gură uscată);</w:t>
      </w:r>
    </w:p>
    <w:p w14:paraId="5D71133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mâncărime;</w:t>
      </w:r>
    </w:p>
    <w:p w14:paraId="55FA578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erupţie însoţită de mâncărime;</w:t>
      </w:r>
    </w:p>
    <w:p w14:paraId="7FFBD0BE"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vânătăi;</w:t>
      </w:r>
    </w:p>
    <w:p w14:paraId="7A8403E7"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pielii (ca de exemplu eczemă);</w:t>
      </w:r>
    </w:p>
    <w:p w14:paraId="3596B0ED"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ruperea unghiilor degetelor de la mâini şi picioare;</w:t>
      </w:r>
    </w:p>
    <w:p w14:paraId="710E3F4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transpiraţii abundente;</w:t>
      </w:r>
    </w:p>
    <w:p w14:paraId="4A9D5B3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căderea părului;</w:t>
      </w:r>
    </w:p>
    <w:p w14:paraId="11C0DBE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apariţia de leziuni noi sau agravarea psoriazisului;</w:t>
      </w:r>
    </w:p>
    <w:p w14:paraId="2EC0994A"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spasme musculare;</w:t>
      </w:r>
    </w:p>
    <w:p w14:paraId="2DC56F1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sânge în urină;</w:t>
      </w:r>
    </w:p>
    <w:p w14:paraId="0A43C2F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renale;</w:t>
      </w:r>
    </w:p>
    <w:p w14:paraId="649A352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dureri de piept;</w:t>
      </w:r>
    </w:p>
    <w:p w14:paraId="0AF5C2FB"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w:t>
      </w:r>
    </w:p>
    <w:p w14:paraId="1145D84D"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febră;</w:t>
      </w:r>
    </w:p>
    <w:p w14:paraId="3F87AF8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scăderea numărului de trombocite care duce la creşterea riscului de sângerare sau de apariţie a vânătăilor;</w:t>
      </w:r>
    </w:p>
    <w:p w14:paraId="5365B8AA"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ale vindecării.</w:t>
      </w:r>
    </w:p>
    <w:p w14:paraId="006A3DCF" w14:textId="77777777" w:rsidR="00C04CAD" w:rsidRDefault="00C04CAD">
      <w:pPr>
        <w:numPr>
          <w:ilvl w:val="12"/>
          <w:numId w:val="0"/>
        </w:numPr>
        <w:tabs>
          <w:tab w:val="clear" w:pos="567"/>
        </w:tabs>
        <w:spacing w:line="240" w:lineRule="auto"/>
        <w:ind w:right="-29"/>
        <w:rPr>
          <w:szCs w:val="22"/>
        </w:rPr>
      </w:pPr>
    </w:p>
    <w:p w14:paraId="06D1DED5"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 xml:space="preserve">Mai </w:t>
      </w:r>
      <w:r>
        <w:t>puţin frecvente (pot să apară până la 1 persoană din 100)</w:t>
      </w:r>
    </w:p>
    <w:p w14:paraId="3C5E407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pacing w:val="1"/>
          <w:szCs w:val="22"/>
          <w:lang w:eastAsia="en-US" w:bidi="ar-SA"/>
        </w:rPr>
        <w:t>i</w:t>
      </w:r>
      <w:r>
        <w:rPr>
          <w:szCs w:val="22"/>
          <w:lang w:eastAsia="en-US" w:bidi="ar-SA"/>
        </w:rPr>
        <w:t>nf</w:t>
      </w:r>
      <w:r>
        <w:rPr>
          <w:spacing w:val="-3"/>
          <w:szCs w:val="22"/>
          <w:lang w:eastAsia="en-US" w:bidi="ar-SA"/>
        </w:rPr>
        <w:t>e</w:t>
      </w:r>
      <w:r>
        <w:rPr>
          <w:szCs w:val="22"/>
          <w:lang w:eastAsia="en-US" w:bidi="ar-SA"/>
        </w:rPr>
        <w:t>c</w:t>
      </w:r>
      <w:r>
        <w:rPr>
          <w:spacing w:val="-2"/>
          <w:szCs w:val="22"/>
          <w:lang w:eastAsia="en-US" w:bidi="ar-SA"/>
        </w:rPr>
        <w:t>ţ</w:t>
      </w:r>
      <w:r>
        <w:rPr>
          <w:spacing w:val="1"/>
          <w:szCs w:val="22"/>
          <w:lang w:eastAsia="en-US" w:bidi="ar-SA"/>
        </w:rPr>
        <w:t>i</w:t>
      </w:r>
      <w:r>
        <w:rPr>
          <w:szCs w:val="22"/>
          <w:lang w:eastAsia="en-US" w:bidi="ar-SA"/>
        </w:rPr>
        <w:t>i</w:t>
      </w:r>
      <w:r>
        <w:rPr>
          <w:spacing w:val="-2"/>
          <w:szCs w:val="22"/>
          <w:lang w:eastAsia="en-US" w:bidi="ar-SA"/>
        </w:rPr>
        <w:t xml:space="preserve"> </w:t>
      </w:r>
      <w:r>
        <w:rPr>
          <w:szCs w:val="22"/>
          <w:lang w:eastAsia="en-US" w:bidi="ar-SA"/>
        </w:rPr>
        <w:t>opo</w:t>
      </w:r>
      <w:r>
        <w:rPr>
          <w:spacing w:val="-2"/>
          <w:szCs w:val="22"/>
          <w:lang w:eastAsia="en-US" w:bidi="ar-SA"/>
        </w:rPr>
        <w:t>r</w:t>
      </w:r>
      <w:r>
        <w:rPr>
          <w:spacing w:val="1"/>
          <w:szCs w:val="22"/>
          <w:lang w:eastAsia="en-US" w:bidi="ar-SA"/>
        </w:rPr>
        <w:t>t</w:t>
      </w:r>
      <w:r>
        <w:rPr>
          <w:szCs w:val="22"/>
          <w:lang w:eastAsia="en-US" w:bidi="ar-SA"/>
        </w:rPr>
        <w:t>u</w:t>
      </w:r>
      <w:r>
        <w:rPr>
          <w:spacing w:val="-3"/>
          <w:szCs w:val="22"/>
          <w:lang w:eastAsia="en-US" w:bidi="ar-SA"/>
        </w:rPr>
        <w:t>n</w:t>
      </w:r>
      <w:r>
        <w:rPr>
          <w:spacing w:val="1"/>
          <w:szCs w:val="22"/>
          <w:lang w:eastAsia="en-US" w:bidi="ar-SA"/>
        </w:rPr>
        <w:t>i</w:t>
      </w:r>
      <w:r>
        <w:rPr>
          <w:spacing w:val="-2"/>
          <w:szCs w:val="22"/>
          <w:lang w:eastAsia="en-US" w:bidi="ar-SA"/>
        </w:rPr>
        <w:t>s</w:t>
      </w:r>
      <w:r>
        <w:rPr>
          <w:spacing w:val="1"/>
          <w:szCs w:val="22"/>
          <w:lang w:eastAsia="en-US" w:bidi="ar-SA"/>
        </w:rPr>
        <w:t>t</w:t>
      </w:r>
      <w:r>
        <w:rPr>
          <w:szCs w:val="22"/>
          <w:lang w:eastAsia="en-US" w:bidi="ar-SA"/>
        </w:rPr>
        <w:t>e</w:t>
      </w:r>
      <w:r>
        <w:rPr>
          <w:spacing w:val="-2"/>
          <w:szCs w:val="22"/>
          <w:lang w:eastAsia="en-US" w:bidi="ar-SA"/>
        </w:rPr>
        <w:t xml:space="preserve"> </w:t>
      </w:r>
      <w:r>
        <w:rPr>
          <w:szCs w:val="22"/>
          <w:lang w:eastAsia="en-US" w:bidi="ar-SA"/>
        </w:rPr>
        <w:t>(c</w:t>
      </w:r>
      <w:r>
        <w:rPr>
          <w:spacing w:val="-3"/>
          <w:szCs w:val="22"/>
          <w:lang w:eastAsia="en-US" w:bidi="ar-SA"/>
        </w:rPr>
        <w:t>a</w:t>
      </w:r>
      <w:r>
        <w:rPr>
          <w:szCs w:val="22"/>
          <w:lang w:eastAsia="en-US" w:bidi="ar-SA"/>
        </w:rPr>
        <w:t>re</w:t>
      </w:r>
      <w:r>
        <w:rPr>
          <w:spacing w:val="-2"/>
          <w:szCs w:val="22"/>
          <w:lang w:eastAsia="en-US" w:bidi="ar-SA"/>
        </w:rPr>
        <w:t xml:space="preserve"> </w:t>
      </w:r>
      <w:r>
        <w:rPr>
          <w:spacing w:val="1"/>
          <w:szCs w:val="22"/>
          <w:lang w:eastAsia="en-US" w:bidi="ar-SA"/>
        </w:rPr>
        <w:t>i</w:t>
      </w:r>
      <w:r>
        <w:rPr>
          <w:spacing w:val="-3"/>
          <w:szCs w:val="22"/>
          <w:lang w:eastAsia="en-US" w:bidi="ar-SA"/>
        </w:rPr>
        <w:t>n</w:t>
      </w:r>
      <w:r>
        <w:rPr>
          <w:szCs w:val="22"/>
          <w:lang w:eastAsia="en-US" w:bidi="ar-SA"/>
        </w:rPr>
        <w:t>c</w:t>
      </w:r>
      <w:r>
        <w:rPr>
          <w:spacing w:val="1"/>
          <w:szCs w:val="22"/>
          <w:lang w:eastAsia="en-US" w:bidi="ar-SA"/>
        </w:rPr>
        <w:t>l</w:t>
      </w:r>
      <w:r>
        <w:rPr>
          <w:szCs w:val="22"/>
          <w:lang w:eastAsia="en-US" w:bidi="ar-SA"/>
        </w:rPr>
        <w:t>ud</w:t>
      </w:r>
      <w:r>
        <w:rPr>
          <w:spacing w:val="-3"/>
          <w:szCs w:val="22"/>
          <w:lang w:eastAsia="en-US" w:bidi="ar-SA"/>
        </w:rPr>
        <w:t xml:space="preserve"> </w:t>
      </w:r>
      <w:r>
        <w:rPr>
          <w:spacing w:val="1"/>
          <w:szCs w:val="22"/>
          <w:lang w:eastAsia="en-US" w:bidi="ar-SA"/>
        </w:rPr>
        <w:t>t</w:t>
      </w:r>
      <w:r>
        <w:rPr>
          <w:szCs w:val="22"/>
          <w:lang w:eastAsia="en-US" w:bidi="ar-SA"/>
        </w:rPr>
        <w:t>ub</w:t>
      </w:r>
      <w:r>
        <w:rPr>
          <w:spacing w:val="-3"/>
          <w:szCs w:val="22"/>
          <w:lang w:eastAsia="en-US" w:bidi="ar-SA"/>
        </w:rPr>
        <w:t>e</w:t>
      </w:r>
      <w:r>
        <w:rPr>
          <w:szCs w:val="22"/>
          <w:lang w:eastAsia="en-US" w:bidi="ar-SA"/>
        </w:rPr>
        <w:t>rc</w:t>
      </w:r>
      <w:r>
        <w:rPr>
          <w:spacing w:val="-3"/>
          <w:szCs w:val="22"/>
          <w:lang w:eastAsia="en-US" w:bidi="ar-SA"/>
        </w:rPr>
        <w:t>u</w:t>
      </w:r>
      <w:r>
        <w:rPr>
          <w:spacing w:val="1"/>
          <w:szCs w:val="22"/>
          <w:lang w:eastAsia="en-US" w:bidi="ar-SA"/>
        </w:rPr>
        <w:t>l</w:t>
      </w:r>
      <w:r>
        <w:rPr>
          <w:szCs w:val="22"/>
          <w:lang w:eastAsia="en-US" w:bidi="ar-SA"/>
        </w:rPr>
        <w:t>o</w:t>
      </w:r>
      <w:r>
        <w:rPr>
          <w:spacing w:val="-3"/>
          <w:szCs w:val="22"/>
          <w:lang w:eastAsia="en-US" w:bidi="ar-SA"/>
        </w:rPr>
        <w:t>z</w:t>
      </w:r>
      <w:r>
        <w:rPr>
          <w:szCs w:val="22"/>
          <w:lang w:eastAsia="en-US" w:bidi="ar-SA"/>
        </w:rPr>
        <w:t xml:space="preserve">ă </w:t>
      </w:r>
      <w:r>
        <w:rPr>
          <w:spacing w:val="-2"/>
          <w:szCs w:val="22"/>
          <w:lang w:eastAsia="en-US" w:bidi="ar-SA"/>
        </w:rPr>
        <w:t>ş</w:t>
      </w:r>
      <w:r>
        <w:rPr>
          <w:szCs w:val="22"/>
          <w:lang w:eastAsia="en-US" w:bidi="ar-SA"/>
        </w:rPr>
        <w:t>i</w:t>
      </w:r>
      <w:r>
        <w:rPr>
          <w:spacing w:val="1"/>
          <w:szCs w:val="22"/>
          <w:lang w:eastAsia="en-US" w:bidi="ar-SA"/>
        </w:rPr>
        <w:t xml:space="preserve"> </w:t>
      </w:r>
      <w:r>
        <w:rPr>
          <w:spacing w:val="-3"/>
          <w:szCs w:val="22"/>
          <w:lang w:eastAsia="en-US" w:bidi="ar-SA"/>
        </w:rPr>
        <w:t>a</w:t>
      </w:r>
      <w:r>
        <w:rPr>
          <w:spacing w:val="1"/>
          <w:szCs w:val="22"/>
          <w:lang w:eastAsia="en-US" w:bidi="ar-SA"/>
        </w:rPr>
        <w:t>lt</w:t>
      </w:r>
      <w:r>
        <w:rPr>
          <w:szCs w:val="22"/>
          <w:lang w:eastAsia="en-US" w:bidi="ar-SA"/>
        </w:rPr>
        <w:t>e</w:t>
      </w:r>
      <w:r>
        <w:rPr>
          <w:spacing w:val="-2"/>
          <w:szCs w:val="22"/>
          <w:lang w:eastAsia="en-US" w:bidi="ar-SA"/>
        </w:rPr>
        <w:t xml:space="preserve"> </w:t>
      </w:r>
      <w:r>
        <w:rPr>
          <w:spacing w:val="1"/>
          <w:szCs w:val="22"/>
          <w:lang w:eastAsia="en-US" w:bidi="ar-SA"/>
        </w:rPr>
        <w:t>i</w:t>
      </w:r>
      <w:r>
        <w:rPr>
          <w:spacing w:val="-3"/>
          <w:szCs w:val="22"/>
          <w:lang w:eastAsia="en-US" w:bidi="ar-SA"/>
        </w:rPr>
        <w:t>n</w:t>
      </w:r>
      <w:r>
        <w:rPr>
          <w:szCs w:val="22"/>
          <w:lang w:eastAsia="en-US" w:bidi="ar-SA"/>
        </w:rPr>
        <w:t>f</w:t>
      </w:r>
      <w:r>
        <w:rPr>
          <w:spacing w:val="-3"/>
          <w:szCs w:val="22"/>
          <w:lang w:eastAsia="en-US" w:bidi="ar-SA"/>
        </w:rPr>
        <w:t>e</w:t>
      </w:r>
      <w:r>
        <w:rPr>
          <w:szCs w:val="22"/>
          <w:lang w:eastAsia="en-US" w:bidi="ar-SA"/>
        </w:rPr>
        <w:t>c</w:t>
      </w:r>
      <w:r>
        <w:rPr>
          <w:spacing w:val="1"/>
          <w:szCs w:val="22"/>
          <w:lang w:eastAsia="en-US" w:bidi="ar-SA"/>
        </w:rPr>
        <w:t>ţ</w:t>
      </w:r>
      <w:r>
        <w:rPr>
          <w:spacing w:val="-2"/>
          <w:szCs w:val="22"/>
          <w:lang w:eastAsia="en-US" w:bidi="ar-SA"/>
        </w:rPr>
        <w:t>i</w:t>
      </w:r>
      <w:r>
        <w:rPr>
          <w:szCs w:val="22"/>
          <w:lang w:eastAsia="en-US" w:bidi="ar-SA"/>
        </w:rPr>
        <w:t>i</w:t>
      </w:r>
      <w:r>
        <w:rPr>
          <w:spacing w:val="1"/>
          <w:szCs w:val="22"/>
          <w:lang w:eastAsia="en-US" w:bidi="ar-SA"/>
        </w:rPr>
        <w:t xml:space="preserve"> </w:t>
      </w:r>
      <w:r>
        <w:rPr>
          <w:spacing w:val="-3"/>
          <w:szCs w:val="22"/>
          <w:lang w:eastAsia="en-US" w:bidi="ar-SA"/>
        </w:rPr>
        <w:t>c</w:t>
      </w:r>
      <w:r>
        <w:rPr>
          <w:szCs w:val="22"/>
          <w:lang w:eastAsia="en-US" w:bidi="ar-SA"/>
        </w:rPr>
        <w:t>are</w:t>
      </w:r>
      <w:r>
        <w:rPr>
          <w:spacing w:val="-2"/>
          <w:szCs w:val="22"/>
          <w:lang w:eastAsia="en-US" w:bidi="ar-SA"/>
        </w:rPr>
        <w:t xml:space="preserve"> </w:t>
      </w:r>
      <w:r>
        <w:rPr>
          <w:szCs w:val="22"/>
          <w:lang w:eastAsia="en-US" w:bidi="ar-SA"/>
        </w:rPr>
        <w:t>ap</w:t>
      </w:r>
      <w:r>
        <w:rPr>
          <w:spacing w:val="-3"/>
          <w:szCs w:val="22"/>
          <w:lang w:eastAsia="en-US" w:bidi="ar-SA"/>
        </w:rPr>
        <w:t>a</w:t>
      </w:r>
      <w:r>
        <w:rPr>
          <w:szCs w:val="22"/>
          <w:lang w:eastAsia="en-US" w:bidi="ar-SA"/>
        </w:rPr>
        <w:t>r</w:t>
      </w:r>
      <w:r>
        <w:rPr>
          <w:spacing w:val="1"/>
          <w:szCs w:val="22"/>
          <w:lang w:eastAsia="en-US" w:bidi="ar-SA"/>
        </w:rPr>
        <w:t xml:space="preserve"> </w:t>
      </w:r>
      <w:r>
        <w:rPr>
          <w:spacing w:val="-3"/>
          <w:szCs w:val="22"/>
          <w:lang w:eastAsia="en-US" w:bidi="ar-SA"/>
        </w:rPr>
        <w:t>a</w:t>
      </w:r>
      <w:r>
        <w:rPr>
          <w:spacing w:val="1"/>
          <w:szCs w:val="22"/>
          <w:lang w:eastAsia="en-US" w:bidi="ar-SA"/>
        </w:rPr>
        <w:t>t</w:t>
      </w:r>
      <w:r>
        <w:rPr>
          <w:szCs w:val="22"/>
          <w:lang w:eastAsia="en-US" w:bidi="ar-SA"/>
        </w:rPr>
        <w:t>un</w:t>
      </w:r>
      <w:r>
        <w:rPr>
          <w:spacing w:val="-3"/>
          <w:szCs w:val="22"/>
          <w:lang w:eastAsia="en-US" w:bidi="ar-SA"/>
        </w:rPr>
        <w:t>c</w:t>
      </w:r>
      <w:r>
        <w:rPr>
          <w:szCs w:val="22"/>
          <w:lang w:eastAsia="en-US" w:bidi="ar-SA"/>
        </w:rPr>
        <w:t>i</w:t>
      </w:r>
      <w:r>
        <w:rPr>
          <w:spacing w:val="1"/>
          <w:szCs w:val="22"/>
          <w:lang w:eastAsia="en-US" w:bidi="ar-SA"/>
        </w:rPr>
        <w:t xml:space="preserve"> </w:t>
      </w:r>
      <w:r>
        <w:rPr>
          <w:spacing w:val="-3"/>
          <w:szCs w:val="22"/>
          <w:lang w:eastAsia="en-US" w:bidi="ar-SA"/>
        </w:rPr>
        <w:t>c</w:t>
      </w:r>
      <w:r>
        <w:rPr>
          <w:szCs w:val="22"/>
          <w:lang w:eastAsia="en-US" w:bidi="ar-SA"/>
        </w:rPr>
        <w:t xml:space="preserve">ând </w:t>
      </w:r>
      <w:r>
        <w:rPr>
          <w:spacing w:val="-2"/>
          <w:szCs w:val="22"/>
          <w:lang w:eastAsia="en-US" w:bidi="ar-SA"/>
        </w:rPr>
        <w:t>r</w:t>
      </w:r>
      <w:r>
        <w:rPr>
          <w:spacing w:val="-3"/>
          <w:szCs w:val="22"/>
          <w:lang w:eastAsia="en-US" w:bidi="ar-SA"/>
        </w:rPr>
        <w:t>ez</w:t>
      </w:r>
      <w:r>
        <w:rPr>
          <w:spacing w:val="1"/>
          <w:szCs w:val="22"/>
          <w:lang w:eastAsia="en-US" w:bidi="ar-SA"/>
        </w:rPr>
        <w:t>i</w:t>
      </w:r>
      <w:r>
        <w:rPr>
          <w:szCs w:val="22"/>
          <w:lang w:eastAsia="en-US" w:bidi="ar-SA"/>
        </w:rPr>
        <w:t>s</w:t>
      </w:r>
      <w:r>
        <w:rPr>
          <w:spacing w:val="1"/>
          <w:szCs w:val="22"/>
          <w:lang w:eastAsia="en-US" w:bidi="ar-SA"/>
        </w:rPr>
        <w:t>t</w:t>
      </w:r>
      <w:r>
        <w:rPr>
          <w:szCs w:val="22"/>
          <w:lang w:eastAsia="en-US" w:bidi="ar-SA"/>
        </w:rPr>
        <w:t>e</w:t>
      </w:r>
      <w:r>
        <w:rPr>
          <w:spacing w:val="-3"/>
          <w:szCs w:val="22"/>
          <w:lang w:eastAsia="en-US" w:bidi="ar-SA"/>
        </w:rPr>
        <w:t>n</w:t>
      </w:r>
      <w:r>
        <w:rPr>
          <w:spacing w:val="1"/>
          <w:szCs w:val="22"/>
          <w:lang w:eastAsia="en-US" w:bidi="ar-SA"/>
        </w:rPr>
        <w:t>ţ</w:t>
      </w:r>
      <w:r>
        <w:rPr>
          <w:szCs w:val="22"/>
          <w:lang w:eastAsia="en-US" w:bidi="ar-SA"/>
        </w:rPr>
        <w:t>a or</w:t>
      </w:r>
      <w:r>
        <w:rPr>
          <w:spacing w:val="-3"/>
          <w:szCs w:val="22"/>
          <w:lang w:eastAsia="en-US" w:bidi="ar-SA"/>
        </w:rPr>
        <w:t>g</w:t>
      </w:r>
      <w:r>
        <w:rPr>
          <w:szCs w:val="22"/>
          <w:lang w:eastAsia="en-US" w:bidi="ar-SA"/>
        </w:rPr>
        <w:t>an</w:t>
      </w:r>
      <w:r>
        <w:rPr>
          <w:spacing w:val="1"/>
          <w:szCs w:val="22"/>
          <w:lang w:eastAsia="en-US" w:bidi="ar-SA"/>
        </w:rPr>
        <w:t>i</w:t>
      </w:r>
      <w:r>
        <w:rPr>
          <w:szCs w:val="22"/>
          <w:lang w:eastAsia="en-US" w:bidi="ar-SA"/>
        </w:rPr>
        <w:t>s</w:t>
      </w:r>
      <w:r>
        <w:rPr>
          <w:spacing w:val="-4"/>
          <w:szCs w:val="22"/>
          <w:lang w:eastAsia="en-US" w:bidi="ar-SA"/>
        </w:rPr>
        <w:t>m</w:t>
      </w:r>
      <w:r>
        <w:rPr>
          <w:szCs w:val="22"/>
          <w:lang w:eastAsia="en-US" w:bidi="ar-SA"/>
        </w:rPr>
        <w:t>u</w:t>
      </w:r>
      <w:r>
        <w:rPr>
          <w:spacing w:val="1"/>
          <w:szCs w:val="22"/>
          <w:lang w:eastAsia="en-US" w:bidi="ar-SA"/>
        </w:rPr>
        <w:t>l</w:t>
      </w:r>
      <w:r>
        <w:rPr>
          <w:szCs w:val="22"/>
          <w:lang w:eastAsia="en-US" w:bidi="ar-SA"/>
        </w:rPr>
        <w:t>ui</w:t>
      </w:r>
      <w:r>
        <w:rPr>
          <w:spacing w:val="-2"/>
          <w:szCs w:val="22"/>
          <w:lang w:eastAsia="en-US" w:bidi="ar-SA"/>
        </w:rPr>
        <w:t xml:space="preserve"> </w:t>
      </w:r>
      <w:r>
        <w:rPr>
          <w:spacing w:val="1"/>
          <w:szCs w:val="22"/>
          <w:lang w:eastAsia="en-US" w:bidi="ar-SA"/>
        </w:rPr>
        <w:t>l</w:t>
      </w:r>
      <w:r>
        <w:rPr>
          <w:szCs w:val="22"/>
          <w:lang w:eastAsia="en-US" w:bidi="ar-SA"/>
        </w:rPr>
        <w:t xml:space="preserve">a </w:t>
      </w:r>
      <w:r>
        <w:rPr>
          <w:spacing w:val="-3"/>
          <w:szCs w:val="22"/>
          <w:lang w:eastAsia="en-US" w:bidi="ar-SA"/>
        </w:rPr>
        <w:t>b</w:t>
      </w:r>
      <w:r>
        <w:rPr>
          <w:szCs w:val="22"/>
          <w:lang w:eastAsia="en-US" w:bidi="ar-SA"/>
        </w:rPr>
        <w:t>o</w:t>
      </w:r>
      <w:r>
        <w:rPr>
          <w:spacing w:val="-2"/>
          <w:szCs w:val="22"/>
          <w:lang w:eastAsia="en-US" w:bidi="ar-SA"/>
        </w:rPr>
        <w:t>l</w:t>
      </w:r>
      <w:r>
        <w:rPr>
          <w:szCs w:val="22"/>
          <w:lang w:eastAsia="en-US" w:bidi="ar-SA"/>
        </w:rPr>
        <w:t>i</w:t>
      </w:r>
      <w:r>
        <w:rPr>
          <w:spacing w:val="1"/>
          <w:szCs w:val="22"/>
          <w:lang w:eastAsia="en-US" w:bidi="ar-SA"/>
        </w:rPr>
        <w:t xml:space="preserve"> </w:t>
      </w:r>
      <w:r>
        <w:rPr>
          <w:szCs w:val="22"/>
          <w:lang w:eastAsia="en-US" w:bidi="ar-SA"/>
        </w:rPr>
        <w:t>e</w:t>
      </w:r>
      <w:r>
        <w:rPr>
          <w:spacing w:val="-2"/>
          <w:szCs w:val="22"/>
          <w:lang w:eastAsia="en-US" w:bidi="ar-SA"/>
        </w:rPr>
        <w:t>s</w:t>
      </w:r>
      <w:r>
        <w:rPr>
          <w:spacing w:val="1"/>
          <w:szCs w:val="22"/>
          <w:lang w:eastAsia="en-US" w:bidi="ar-SA"/>
        </w:rPr>
        <w:t>t</w:t>
      </w:r>
      <w:r>
        <w:rPr>
          <w:szCs w:val="22"/>
          <w:lang w:eastAsia="en-US" w:bidi="ar-SA"/>
        </w:rPr>
        <w:t>e</w:t>
      </w:r>
      <w:r>
        <w:rPr>
          <w:spacing w:val="-2"/>
          <w:szCs w:val="22"/>
          <w:lang w:eastAsia="en-US" w:bidi="ar-SA"/>
        </w:rPr>
        <w:t xml:space="preserve"> </w:t>
      </w:r>
      <w:r>
        <w:rPr>
          <w:szCs w:val="22"/>
          <w:lang w:eastAsia="en-US" w:bidi="ar-SA"/>
        </w:rPr>
        <w:t>s</w:t>
      </w:r>
      <w:r>
        <w:rPr>
          <w:spacing w:val="-3"/>
          <w:szCs w:val="22"/>
          <w:lang w:eastAsia="en-US" w:bidi="ar-SA"/>
        </w:rPr>
        <w:t>c</w:t>
      </w:r>
      <w:r>
        <w:rPr>
          <w:szCs w:val="22"/>
          <w:lang w:eastAsia="en-US" w:bidi="ar-SA"/>
        </w:rPr>
        <w:t>ă</w:t>
      </w:r>
      <w:r>
        <w:rPr>
          <w:spacing w:val="-3"/>
          <w:szCs w:val="22"/>
          <w:lang w:eastAsia="en-US" w:bidi="ar-SA"/>
        </w:rPr>
        <w:t>z</w:t>
      </w:r>
      <w:r>
        <w:rPr>
          <w:szCs w:val="22"/>
          <w:lang w:eastAsia="en-US" w:bidi="ar-SA"/>
        </w:rPr>
        <w:t>u</w:t>
      </w:r>
      <w:r>
        <w:rPr>
          <w:spacing w:val="1"/>
          <w:szCs w:val="22"/>
          <w:lang w:eastAsia="en-US" w:bidi="ar-SA"/>
        </w:rPr>
        <w:t>t</w:t>
      </w:r>
      <w:r>
        <w:rPr>
          <w:szCs w:val="22"/>
          <w:lang w:eastAsia="en-US" w:bidi="ar-SA"/>
        </w:rPr>
        <w:t>ă</w:t>
      </w:r>
      <w:r>
        <w:rPr>
          <w:spacing w:val="-2"/>
          <w:szCs w:val="22"/>
          <w:lang w:eastAsia="en-US" w:bidi="ar-SA"/>
        </w:rPr>
        <w:t>)</w:t>
      </w:r>
      <w:r>
        <w:rPr>
          <w:szCs w:val="22"/>
          <w:lang w:eastAsia="en-US" w:bidi="ar-SA"/>
        </w:rPr>
        <w:t>;</w:t>
      </w:r>
    </w:p>
    <w:p w14:paraId="06DACA5E"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neurologice (inclusiv meningită virală);</w:t>
      </w:r>
    </w:p>
    <w:p w14:paraId="12922077"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ale ochilor;</w:t>
      </w:r>
    </w:p>
    <w:p w14:paraId="0AF41E1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bacteriene;</w:t>
      </w:r>
    </w:p>
    <w:p w14:paraId="52324BCA"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diverticulită (inflamaţie şi infecţie ale intestinului gros);</w:t>
      </w:r>
    </w:p>
    <w:p w14:paraId="6E926783"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cancer, inclusiv cancer care afectează sistemul limfatic (limfom) și melanom (cancer de piele);</w:t>
      </w:r>
    </w:p>
    <w:p w14:paraId="0199F25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ale sistemului imunitar care ar putea afecta plămânii, pielea şi ganglionii limfatici (cel mai frecvent se prezintă ca sarcoidoză);</w:t>
      </w:r>
    </w:p>
    <w:p w14:paraId="09F2E73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vasculită (inflamarea vaselor de sânge);</w:t>
      </w:r>
    </w:p>
    <w:p w14:paraId="469D339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tremor;</w:t>
      </w:r>
    </w:p>
    <w:p w14:paraId="17D15B46"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neuropatie;</w:t>
      </w:r>
    </w:p>
    <w:p w14:paraId="55A750C3"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accident vascular cerebral;</w:t>
      </w:r>
    </w:p>
    <w:p w14:paraId="0ED23BDC"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pierderea auzului, zgomote în urechi;</w:t>
      </w:r>
    </w:p>
    <w:p w14:paraId="324F136E"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senzaţie că bătăile inimii sunt neregulate ca de exemplu lipsa unei bătăi;</w:t>
      </w:r>
    </w:p>
    <w:p w14:paraId="1EA938C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cardiace care pot determina scurtarea respiraţiei sau umflarea gleznelor;</w:t>
      </w:r>
    </w:p>
    <w:p w14:paraId="5CF31D2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infarct miocardic;</w:t>
      </w:r>
    </w:p>
    <w:p w14:paraId="75B14CBB"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dilatarea peretelui unei artere importante, inflamaţie a unei vene şi cheag pe venă, obstrucţie a unui vas de sânge;</w:t>
      </w:r>
    </w:p>
    <w:p w14:paraId="2DD9A8A8"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boli pulmonare care determină scurtarea respiraţiei (inclusiv inflamaţii);</w:t>
      </w:r>
    </w:p>
    <w:p w14:paraId="1227FF4A"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embolie pulmonară (blocaj al unei artere pulmonare);</w:t>
      </w:r>
    </w:p>
    <w:p w14:paraId="23796D96"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revărsat pleural (acumulare anormală de lichid în spaţiul pleural);</w:t>
      </w:r>
    </w:p>
    <w:p w14:paraId="046DD3B6"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pancreatită care determină durere puternică abdominală şi de spate;</w:t>
      </w:r>
    </w:p>
    <w:p w14:paraId="045F93C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dificultate la înghiţire;</w:t>
      </w:r>
    </w:p>
    <w:p w14:paraId="61B52F01"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 al feţei;</w:t>
      </w:r>
    </w:p>
    <w:p w14:paraId="7ED920E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vezicii biliare, pietre în vezica biliară;</w:t>
      </w:r>
    </w:p>
    <w:p w14:paraId="6AD08BE5"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ficat gras;</w:t>
      </w:r>
    </w:p>
    <w:p w14:paraId="5D93B6C4"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transpiraţii nocturne;</w:t>
      </w:r>
    </w:p>
    <w:p w14:paraId="06D770AC"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rPr>
          <w:szCs w:val="22"/>
          <w:lang w:eastAsia="en-US" w:bidi="ar-SA"/>
        </w:rPr>
        <w:t>cicatrice</w:t>
      </w:r>
      <w:r>
        <w:t>;</w:t>
      </w:r>
    </w:p>
    <w:p w14:paraId="120A2671"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oboseală musculară neobişnuită;</w:t>
      </w:r>
    </w:p>
    <w:p w14:paraId="2A717A1E"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lupus eritematos sistemic (inclusiv inflamaţia pielii, inimii, plămânului, articulaţiilor şi a altor organe);</w:t>
      </w:r>
    </w:p>
    <w:p w14:paraId="5E66AC2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rPr>
          <w:szCs w:val="22"/>
          <w:lang w:eastAsia="en-US" w:bidi="ar-SA"/>
        </w:rPr>
        <w:t>întreruperi ale</w:t>
      </w:r>
      <w:r>
        <w:t xml:space="preserve"> somnului;</w:t>
      </w:r>
    </w:p>
    <w:p w14:paraId="23E783E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impotenţă;</w:t>
      </w:r>
    </w:p>
    <w:p w14:paraId="03BB003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inflamaţii.</w:t>
      </w:r>
    </w:p>
    <w:p w14:paraId="38032D25" w14:textId="77777777" w:rsidR="00C04CAD" w:rsidRDefault="00C04CAD">
      <w:pPr>
        <w:numPr>
          <w:ilvl w:val="12"/>
          <w:numId w:val="0"/>
        </w:numPr>
        <w:tabs>
          <w:tab w:val="clear" w:pos="567"/>
        </w:tabs>
        <w:spacing w:line="240" w:lineRule="auto"/>
        <w:ind w:right="-29"/>
      </w:pPr>
    </w:p>
    <w:p w14:paraId="6CE7BA02" w14:textId="77777777" w:rsidR="00C04CAD" w:rsidRDefault="00060E34">
      <w:pPr>
        <w:keepNext/>
        <w:tabs>
          <w:tab w:val="clear" w:pos="567"/>
        </w:tabs>
        <w:kinsoku w:val="0"/>
        <w:overflowPunct w:val="0"/>
        <w:autoSpaceDE w:val="0"/>
        <w:autoSpaceDN w:val="0"/>
        <w:adjustRightInd w:val="0"/>
        <w:spacing w:line="240" w:lineRule="auto"/>
        <w:rPr>
          <w:b/>
        </w:rPr>
      </w:pPr>
      <w:r>
        <w:rPr>
          <w:szCs w:val="22"/>
          <w:lang w:eastAsia="en-US" w:bidi="ar-SA"/>
        </w:rPr>
        <w:t xml:space="preserve">Rare </w:t>
      </w:r>
      <w:r>
        <w:t>(pot să apară până la 1 persoană din 1000)</w:t>
      </w:r>
    </w:p>
    <w:p w14:paraId="10D7C934"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pacing w:val="1"/>
          <w:szCs w:val="22"/>
          <w:lang w:eastAsia="en-US" w:bidi="ar-SA"/>
        </w:rPr>
        <w:t>l</w:t>
      </w:r>
      <w:r>
        <w:rPr>
          <w:szCs w:val="22"/>
          <w:lang w:eastAsia="en-US" w:bidi="ar-SA"/>
        </w:rPr>
        <w:t>eu</w:t>
      </w:r>
      <w:r>
        <w:rPr>
          <w:spacing w:val="-3"/>
          <w:szCs w:val="22"/>
          <w:lang w:eastAsia="en-US" w:bidi="ar-SA"/>
        </w:rPr>
        <w:t>c</w:t>
      </w:r>
      <w:r>
        <w:rPr>
          <w:szCs w:val="22"/>
          <w:lang w:eastAsia="en-US" w:bidi="ar-SA"/>
        </w:rPr>
        <w:t>e</w:t>
      </w:r>
      <w:r>
        <w:rPr>
          <w:spacing w:val="-4"/>
          <w:szCs w:val="22"/>
          <w:lang w:eastAsia="en-US" w:bidi="ar-SA"/>
        </w:rPr>
        <w:t>m</w:t>
      </w:r>
      <w:r>
        <w:rPr>
          <w:spacing w:val="1"/>
          <w:szCs w:val="22"/>
          <w:lang w:eastAsia="en-US" w:bidi="ar-SA"/>
        </w:rPr>
        <w:t>i</w:t>
      </w:r>
      <w:r>
        <w:rPr>
          <w:szCs w:val="22"/>
          <w:lang w:eastAsia="en-US" w:bidi="ar-SA"/>
        </w:rPr>
        <w:t>e (ca</w:t>
      </w:r>
      <w:r>
        <w:rPr>
          <w:spacing w:val="-3"/>
          <w:szCs w:val="22"/>
          <w:lang w:eastAsia="en-US" w:bidi="ar-SA"/>
        </w:rPr>
        <w:t>n</w:t>
      </w:r>
      <w:r>
        <w:rPr>
          <w:szCs w:val="22"/>
          <w:lang w:eastAsia="en-US" w:bidi="ar-SA"/>
        </w:rPr>
        <w:t>c</w:t>
      </w:r>
      <w:r>
        <w:rPr>
          <w:spacing w:val="-3"/>
          <w:szCs w:val="22"/>
          <w:lang w:eastAsia="en-US" w:bidi="ar-SA"/>
        </w:rPr>
        <w:t>e</w:t>
      </w:r>
      <w:r>
        <w:rPr>
          <w:szCs w:val="22"/>
          <w:lang w:eastAsia="en-US" w:bidi="ar-SA"/>
        </w:rPr>
        <w:t>r</w:t>
      </w:r>
      <w:r>
        <w:rPr>
          <w:spacing w:val="1"/>
          <w:szCs w:val="22"/>
          <w:lang w:eastAsia="en-US" w:bidi="ar-SA"/>
        </w:rPr>
        <w:t xml:space="preserve"> </w:t>
      </w:r>
      <w:r>
        <w:rPr>
          <w:szCs w:val="22"/>
          <w:lang w:eastAsia="en-US" w:bidi="ar-SA"/>
        </w:rPr>
        <w:t>c</w:t>
      </w:r>
      <w:r>
        <w:rPr>
          <w:spacing w:val="-3"/>
          <w:szCs w:val="22"/>
          <w:lang w:eastAsia="en-US" w:bidi="ar-SA"/>
        </w:rPr>
        <w:t>a</w:t>
      </w:r>
      <w:r>
        <w:rPr>
          <w:szCs w:val="22"/>
          <w:lang w:eastAsia="en-US" w:bidi="ar-SA"/>
        </w:rPr>
        <w:t xml:space="preserve">re </w:t>
      </w:r>
      <w:r>
        <w:rPr>
          <w:spacing w:val="-3"/>
          <w:szCs w:val="22"/>
          <w:lang w:eastAsia="en-US" w:bidi="ar-SA"/>
        </w:rPr>
        <w:t>a</w:t>
      </w:r>
      <w:r>
        <w:rPr>
          <w:szCs w:val="22"/>
          <w:lang w:eastAsia="en-US" w:bidi="ar-SA"/>
        </w:rPr>
        <w:t>f</w:t>
      </w:r>
      <w:r>
        <w:rPr>
          <w:spacing w:val="-3"/>
          <w:szCs w:val="22"/>
          <w:lang w:eastAsia="en-US" w:bidi="ar-SA"/>
        </w:rPr>
        <w:t>e</w:t>
      </w:r>
      <w:r>
        <w:rPr>
          <w:szCs w:val="22"/>
          <w:lang w:eastAsia="en-US" w:bidi="ar-SA"/>
        </w:rPr>
        <w:t>c</w:t>
      </w:r>
      <w:r>
        <w:rPr>
          <w:spacing w:val="-2"/>
          <w:szCs w:val="22"/>
          <w:lang w:eastAsia="en-US" w:bidi="ar-SA"/>
        </w:rPr>
        <w:t>t</w:t>
      </w:r>
      <w:r>
        <w:rPr>
          <w:szCs w:val="22"/>
          <w:lang w:eastAsia="en-US" w:bidi="ar-SA"/>
        </w:rPr>
        <w:t>ea</w:t>
      </w:r>
      <w:r>
        <w:rPr>
          <w:spacing w:val="-3"/>
          <w:szCs w:val="22"/>
          <w:lang w:eastAsia="en-US" w:bidi="ar-SA"/>
        </w:rPr>
        <w:t>z</w:t>
      </w:r>
      <w:r>
        <w:rPr>
          <w:szCs w:val="22"/>
          <w:lang w:eastAsia="en-US" w:bidi="ar-SA"/>
        </w:rPr>
        <w:t>ă sân</w:t>
      </w:r>
      <w:r>
        <w:rPr>
          <w:spacing w:val="-3"/>
          <w:szCs w:val="22"/>
          <w:lang w:eastAsia="en-US" w:bidi="ar-SA"/>
        </w:rPr>
        <w:t>g</w:t>
      </w:r>
      <w:r>
        <w:rPr>
          <w:szCs w:val="22"/>
          <w:lang w:eastAsia="en-US" w:bidi="ar-SA"/>
        </w:rPr>
        <w:t>e</w:t>
      </w:r>
      <w:r>
        <w:rPr>
          <w:spacing w:val="1"/>
          <w:szCs w:val="22"/>
          <w:lang w:eastAsia="en-US" w:bidi="ar-SA"/>
        </w:rPr>
        <w:t>l</w:t>
      </w:r>
      <w:r>
        <w:rPr>
          <w:szCs w:val="22"/>
          <w:lang w:eastAsia="en-US" w:bidi="ar-SA"/>
        </w:rPr>
        <w:t>e</w:t>
      </w:r>
      <w:r>
        <w:rPr>
          <w:spacing w:val="-2"/>
          <w:szCs w:val="22"/>
          <w:lang w:eastAsia="en-US" w:bidi="ar-SA"/>
        </w:rPr>
        <w:t xml:space="preserve"> </w:t>
      </w:r>
      <w:r>
        <w:rPr>
          <w:szCs w:val="22"/>
          <w:lang w:eastAsia="en-US" w:bidi="ar-SA"/>
        </w:rPr>
        <w:t>şi</w:t>
      </w:r>
      <w:r>
        <w:rPr>
          <w:spacing w:val="1"/>
          <w:szCs w:val="22"/>
          <w:lang w:eastAsia="en-US" w:bidi="ar-SA"/>
        </w:rPr>
        <w:t xml:space="preserve"> </w:t>
      </w:r>
      <w:r>
        <w:rPr>
          <w:spacing w:val="-4"/>
          <w:szCs w:val="22"/>
          <w:lang w:eastAsia="en-US" w:bidi="ar-SA"/>
        </w:rPr>
        <w:t>m</w:t>
      </w:r>
      <w:r>
        <w:rPr>
          <w:szCs w:val="22"/>
          <w:lang w:eastAsia="en-US" w:bidi="ar-SA"/>
        </w:rPr>
        <w:t>ădu</w:t>
      </w:r>
      <w:r>
        <w:rPr>
          <w:spacing w:val="-3"/>
          <w:szCs w:val="22"/>
          <w:lang w:eastAsia="en-US" w:bidi="ar-SA"/>
        </w:rPr>
        <w:t>v</w:t>
      </w:r>
      <w:r>
        <w:rPr>
          <w:szCs w:val="22"/>
          <w:lang w:eastAsia="en-US" w:bidi="ar-SA"/>
        </w:rPr>
        <w:t>a os</w:t>
      </w:r>
      <w:r>
        <w:rPr>
          <w:spacing w:val="-3"/>
          <w:szCs w:val="22"/>
          <w:lang w:eastAsia="en-US" w:bidi="ar-SA"/>
        </w:rPr>
        <w:t>o</w:t>
      </w:r>
      <w:r>
        <w:rPr>
          <w:szCs w:val="22"/>
          <w:lang w:eastAsia="en-US" w:bidi="ar-SA"/>
        </w:rPr>
        <w:t>asă</w:t>
      </w:r>
      <w:r>
        <w:rPr>
          <w:spacing w:val="-2"/>
          <w:szCs w:val="22"/>
          <w:lang w:eastAsia="en-US" w:bidi="ar-SA"/>
        </w:rPr>
        <w:t>)</w:t>
      </w:r>
      <w:r>
        <w:rPr>
          <w:szCs w:val="22"/>
          <w:lang w:eastAsia="en-US" w:bidi="ar-SA"/>
        </w:rPr>
        <w:t>;</w:t>
      </w:r>
    </w:p>
    <w:p w14:paraId="414E87B6"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val="en-US" w:eastAsia="en-US" w:bidi="ar-SA"/>
        </w:rPr>
      </w:pPr>
      <w:r>
        <w:rPr>
          <w:szCs w:val="22"/>
          <w:lang w:val="en-US" w:eastAsia="en-US" w:bidi="ar-SA"/>
        </w:rPr>
        <w:t>rea</w:t>
      </w:r>
      <w:r>
        <w:rPr>
          <w:spacing w:val="-3"/>
          <w:szCs w:val="22"/>
          <w:lang w:val="en-US" w:eastAsia="en-US" w:bidi="ar-SA"/>
        </w:rPr>
        <w:t>c</w:t>
      </w:r>
      <w:r>
        <w:rPr>
          <w:spacing w:val="1"/>
          <w:szCs w:val="22"/>
          <w:lang w:val="en-US" w:eastAsia="en-US" w:bidi="ar-SA"/>
        </w:rPr>
        <w:t>ţ</w:t>
      </w:r>
      <w:r>
        <w:rPr>
          <w:spacing w:val="-2"/>
          <w:szCs w:val="22"/>
          <w:lang w:val="en-US" w:eastAsia="en-US" w:bidi="ar-SA"/>
        </w:rPr>
        <w:t>i</w:t>
      </w:r>
      <w:r>
        <w:rPr>
          <w:szCs w:val="22"/>
          <w:lang w:val="en-US" w:eastAsia="en-US" w:bidi="ar-SA"/>
        </w:rPr>
        <w:t>i</w:t>
      </w:r>
      <w:r>
        <w:rPr>
          <w:spacing w:val="1"/>
          <w:szCs w:val="22"/>
          <w:lang w:val="en-US" w:eastAsia="en-US" w:bidi="ar-SA"/>
        </w:rPr>
        <w:t xml:space="preserve"> </w:t>
      </w:r>
      <w:r>
        <w:rPr>
          <w:spacing w:val="-3"/>
          <w:szCs w:val="22"/>
          <w:lang w:val="en-US" w:eastAsia="en-US" w:bidi="ar-SA"/>
        </w:rPr>
        <w:t>a</w:t>
      </w:r>
      <w:r>
        <w:rPr>
          <w:spacing w:val="1"/>
          <w:szCs w:val="22"/>
          <w:lang w:val="en-US" w:eastAsia="en-US" w:bidi="ar-SA"/>
        </w:rPr>
        <w:t>l</w:t>
      </w:r>
      <w:r>
        <w:rPr>
          <w:spacing w:val="-3"/>
          <w:szCs w:val="22"/>
          <w:lang w:val="en-US" w:eastAsia="en-US" w:bidi="ar-SA"/>
        </w:rPr>
        <w:t>e</w:t>
      </w:r>
      <w:r>
        <w:rPr>
          <w:szCs w:val="22"/>
          <w:lang w:val="en-US" w:eastAsia="en-US" w:bidi="ar-SA"/>
        </w:rPr>
        <w:t>r</w:t>
      </w:r>
      <w:r>
        <w:rPr>
          <w:spacing w:val="-3"/>
          <w:szCs w:val="22"/>
          <w:lang w:val="en-US" w:eastAsia="en-US" w:bidi="ar-SA"/>
        </w:rPr>
        <w:t>g</w:t>
      </w:r>
      <w:r>
        <w:rPr>
          <w:spacing w:val="1"/>
          <w:szCs w:val="22"/>
          <w:lang w:val="en-US" w:eastAsia="en-US" w:bidi="ar-SA"/>
        </w:rPr>
        <w:t>i</w:t>
      </w:r>
      <w:r>
        <w:rPr>
          <w:szCs w:val="22"/>
          <w:lang w:val="en-US" w:eastAsia="en-US" w:bidi="ar-SA"/>
        </w:rPr>
        <w:t xml:space="preserve">ce </w:t>
      </w:r>
      <w:r>
        <w:rPr>
          <w:spacing w:val="-2"/>
          <w:szCs w:val="22"/>
          <w:lang w:val="en-US" w:eastAsia="en-US" w:bidi="ar-SA"/>
        </w:rPr>
        <w:t>s</w:t>
      </w:r>
      <w:r>
        <w:rPr>
          <w:szCs w:val="22"/>
          <w:lang w:val="en-US" w:eastAsia="en-US" w:bidi="ar-SA"/>
        </w:rPr>
        <w:t>e</w:t>
      </w:r>
      <w:r>
        <w:rPr>
          <w:spacing w:val="-3"/>
          <w:szCs w:val="22"/>
          <w:lang w:val="en-US" w:eastAsia="en-US" w:bidi="ar-SA"/>
        </w:rPr>
        <w:t>v</w:t>
      </w:r>
      <w:r>
        <w:rPr>
          <w:szCs w:val="22"/>
          <w:lang w:val="en-US" w:eastAsia="en-US" w:bidi="ar-SA"/>
        </w:rPr>
        <w:t>ere</w:t>
      </w:r>
      <w:r>
        <w:rPr>
          <w:spacing w:val="-2"/>
          <w:szCs w:val="22"/>
          <w:lang w:val="en-US" w:eastAsia="en-US" w:bidi="ar-SA"/>
        </w:rPr>
        <w:t xml:space="preserve"> </w:t>
      </w:r>
      <w:r>
        <w:rPr>
          <w:spacing w:val="1"/>
          <w:szCs w:val="22"/>
          <w:lang w:val="en-US" w:eastAsia="en-US" w:bidi="ar-SA"/>
        </w:rPr>
        <w:t>î</w:t>
      </w:r>
      <w:r>
        <w:rPr>
          <w:szCs w:val="22"/>
          <w:lang w:val="en-US" w:eastAsia="en-US" w:bidi="ar-SA"/>
        </w:rPr>
        <w:t>ns</w:t>
      </w:r>
      <w:r>
        <w:rPr>
          <w:spacing w:val="-3"/>
          <w:szCs w:val="22"/>
          <w:lang w:val="en-US" w:eastAsia="en-US" w:bidi="ar-SA"/>
        </w:rPr>
        <w:t>o</w:t>
      </w:r>
      <w:r>
        <w:rPr>
          <w:spacing w:val="-2"/>
          <w:szCs w:val="22"/>
          <w:lang w:val="en-US" w:eastAsia="en-US" w:bidi="ar-SA"/>
        </w:rPr>
        <w:t>ţ</w:t>
      </w:r>
      <w:r>
        <w:rPr>
          <w:spacing w:val="1"/>
          <w:szCs w:val="22"/>
          <w:lang w:val="en-US" w:eastAsia="en-US" w:bidi="ar-SA"/>
        </w:rPr>
        <w:t>it</w:t>
      </w:r>
      <w:r>
        <w:rPr>
          <w:szCs w:val="22"/>
          <w:lang w:val="en-US" w:eastAsia="en-US" w:bidi="ar-SA"/>
        </w:rPr>
        <w:t>e</w:t>
      </w:r>
      <w:r>
        <w:rPr>
          <w:spacing w:val="-2"/>
          <w:szCs w:val="22"/>
          <w:lang w:val="en-US" w:eastAsia="en-US" w:bidi="ar-SA"/>
        </w:rPr>
        <w:t xml:space="preserve"> </w:t>
      </w:r>
      <w:r>
        <w:rPr>
          <w:szCs w:val="22"/>
          <w:lang w:val="en-US" w:eastAsia="en-US" w:bidi="ar-SA"/>
        </w:rPr>
        <w:t>de ş</w:t>
      </w:r>
      <w:r>
        <w:rPr>
          <w:spacing w:val="-3"/>
          <w:szCs w:val="22"/>
          <w:lang w:val="en-US" w:eastAsia="en-US" w:bidi="ar-SA"/>
        </w:rPr>
        <w:t>o</w:t>
      </w:r>
      <w:r>
        <w:rPr>
          <w:szCs w:val="22"/>
          <w:lang w:val="en-US" w:eastAsia="en-US" w:bidi="ar-SA"/>
        </w:rPr>
        <w:t>c;</w:t>
      </w:r>
    </w:p>
    <w:p w14:paraId="7CB93751"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scleroză multiplă;</w:t>
      </w:r>
    </w:p>
    <w:p w14:paraId="688C1556"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nervoase (ca de exemplu inflamaţia nervilor optici şi sindrom Guillain-Barré care poate determina slăbiciune musculară, senzaţii anormale, furnicături la nivelul braţelor şi a părţii superioare a corpului);</w:t>
      </w:r>
    </w:p>
    <w:p w14:paraId="611B6845"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oprirea pompării sângelui de către inimă;</w:t>
      </w:r>
    </w:p>
    <w:p w14:paraId="737C0BB6"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fibroză pulmonară (cicatrizare a plămânului).</w:t>
      </w:r>
    </w:p>
    <w:p w14:paraId="78DA2D7D"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perforaţie intestinală (gaură în peretele intestinului);</w:t>
      </w:r>
    </w:p>
    <w:p w14:paraId="651015A9"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hepatită (inflamația ficatului);</w:t>
      </w:r>
    </w:p>
    <w:p w14:paraId="351BDAF9"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reactivarea hepatitei B;</w:t>
      </w:r>
    </w:p>
    <w:p w14:paraId="08AC4F7D"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hepatită autoimună (inflamaţie a ficatului cauzată de propriul sistem imunitar);</w:t>
      </w:r>
    </w:p>
    <w:p w14:paraId="55721765"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vasculită cutanată (inflamaţie a vaselor de sânge de la nivelul pielii);</w:t>
      </w:r>
    </w:p>
    <w:p w14:paraId="14F8653F"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sindrom Stevens-Johnson (reacție care poate pune viața în pericol, cu simptome asemănătoare gripei și erupții cu vezicule);</w:t>
      </w:r>
    </w:p>
    <w:p w14:paraId="1850D66A"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 al feţei asociat cu reacţii alergice;</w:t>
      </w:r>
    </w:p>
    <w:p w14:paraId="703E60A5"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eritem polimorf (erupţie cutanată inflamatorie);</w:t>
      </w:r>
    </w:p>
    <w:p w14:paraId="240E865D"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rPr>
      </w:pPr>
      <w:r>
        <w:rPr>
          <w:szCs w:val="22"/>
          <w:lang w:eastAsia="en-US" w:bidi="ar-SA"/>
        </w:rPr>
        <w:t>sindrom asemănător lupusului;</w:t>
      </w:r>
    </w:p>
    <w:p w14:paraId="5C457154" w14:textId="77777777" w:rsidR="00C04CAD" w:rsidRDefault="00060E34">
      <w:pPr>
        <w:pStyle w:val="EMEANormal"/>
        <w:numPr>
          <w:ilvl w:val="0"/>
          <w:numId w:val="60"/>
        </w:numPr>
        <w:tabs>
          <w:tab w:val="clear" w:pos="562"/>
        </w:tabs>
        <w:ind w:left="567" w:hanging="567"/>
        <w:rPr>
          <w:szCs w:val="22"/>
          <w:lang w:val="ro-RO"/>
        </w:rPr>
      </w:pPr>
      <w:r>
        <w:rPr>
          <w:szCs w:val="22"/>
          <w:lang w:val="ro-RO"/>
        </w:rPr>
        <w:t>angioedem (umflare localizată a pielii);</w:t>
      </w:r>
    </w:p>
    <w:p w14:paraId="6F1991A8" w14:textId="77777777" w:rsidR="00C04CAD" w:rsidRDefault="00060E34">
      <w:pPr>
        <w:pStyle w:val="EMEANormal"/>
        <w:numPr>
          <w:ilvl w:val="0"/>
          <w:numId w:val="60"/>
        </w:numPr>
        <w:tabs>
          <w:tab w:val="clear" w:pos="562"/>
        </w:tabs>
        <w:ind w:left="567" w:hanging="567"/>
        <w:rPr>
          <w:szCs w:val="22"/>
          <w:lang w:val="ro-RO"/>
        </w:rPr>
      </w:pPr>
      <w:r>
        <w:rPr>
          <w:szCs w:val="22"/>
          <w:lang w:val="ro-RO"/>
        </w:rPr>
        <w:t>reacție</w:t>
      </w:r>
      <w:r>
        <w:rPr>
          <w:lang w:val="ro-RO"/>
        </w:rPr>
        <w:t xml:space="preserve"> pe piele de tip lichenoid (erupție roșiatică-purpurie pe piele care produce mâncărime)</w:t>
      </w:r>
      <w:r>
        <w:rPr>
          <w:szCs w:val="22"/>
          <w:lang w:val="ro-RO"/>
        </w:rPr>
        <w:t>.</w:t>
      </w:r>
    </w:p>
    <w:p w14:paraId="42F5DAAF" w14:textId="77777777" w:rsidR="00C04CAD" w:rsidRDefault="00C04CAD">
      <w:pPr>
        <w:numPr>
          <w:ilvl w:val="12"/>
          <w:numId w:val="0"/>
        </w:numPr>
        <w:tabs>
          <w:tab w:val="clear" w:pos="567"/>
        </w:tabs>
        <w:spacing w:line="240" w:lineRule="auto"/>
        <w:ind w:right="-29"/>
        <w:rPr>
          <w:szCs w:val="22"/>
        </w:rPr>
      </w:pPr>
    </w:p>
    <w:p w14:paraId="6CD340C4"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Cu frecvență necunoscută (frecvenţa nu poate fi estimată din datele disponibile)</w:t>
      </w:r>
    </w:p>
    <w:p w14:paraId="7F688D32" w14:textId="77777777" w:rsidR="00C04CAD" w:rsidRDefault="00060E34">
      <w:pPr>
        <w:pStyle w:val="ListParagraph"/>
        <w:keepNext/>
        <w:numPr>
          <w:ilvl w:val="0"/>
          <w:numId w:val="61"/>
        </w:numPr>
        <w:tabs>
          <w:tab w:val="clear" w:pos="567"/>
        </w:tabs>
        <w:kinsoku w:val="0"/>
        <w:overflowPunct w:val="0"/>
        <w:autoSpaceDE w:val="0"/>
        <w:autoSpaceDN w:val="0"/>
        <w:adjustRightInd w:val="0"/>
        <w:spacing w:line="240" w:lineRule="auto"/>
        <w:ind w:left="567" w:hanging="567"/>
      </w:pPr>
      <w:r>
        <w:rPr>
          <w:spacing w:val="1"/>
        </w:rPr>
        <w:t>li</w:t>
      </w:r>
      <w:r>
        <w:rPr>
          <w:spacing w:val="-4"/>
        </w:rPr>
        <w:t>m</w:t>
      </w:r>
      <w:r>
        <w:t>fom</w:t>
      </w:r>
      <w:r>
        <w:rPr>
          <w:spacing w:val="-4"/>
        </w:rPr>
        <w:t xml:space="preserve"> </w:t>
      </w:r>
      <w:r>
        <w:t>hepa</w:t>
      </w:r>
      <w:r>
        <w:rPr>
          <w:spacing w:val="1"/>
        </w:rPr>
        <w:t>t</w:t>
      </w:r>
      <w:r>
        <w:t>os</w:t>
      </w:r>
      <w:r>
        <w:rPr>
          <w:spacing w:val="-3"/>
        </w:rPr>
        <w:t>p</w:t>
      </w:r>
      <w:r>
        <w:rPr>
          <w:spacing w:val="1"/>
        </w:rPr>
        <w:t>l</w:t>
      </w:r>
      <w:r>
        <w:t>e</w:t>
      </w:r>
      <w:r>
        <w:rPr>
          <w:spacing w:val="-3"/>
        </w:rPr>
        <w:t>n</w:t>
      </w:r>
      <w:r>
        <w:rPr>
          <w:spacing w:val="1"/>
        </w:rPr>
        <w:t>i</w:t>
      </w:r>
      <w:r>
        <w:t>c</w:t>
      </w:r>
      <w:r>
        <w:rPr>
          <w:spacing w:val="-2"/>
        </w:rPr>
        <w:t xml:space="preserve"> </w:t>
      </w:r>
      <w:r>
        <w:t>cu c</w:t>
      </w:r>
      <w:r>
        <w:rPr>
          <w:spacing w:val="-3"/>
        </w:rPr>
        <w:t>e</w:t>
      </w:r>
      <w:r>
        <w:rPr>
          <w:spacing w:val="1"/>
        </w:rPr>
        <w:t>l</w:t>
      </w:r>
      <w:r>
        <w:t>u</w:t>
      </w:r>
      <w:r>
        <w:rPr>
          <w:spacing w:val="-2"/>
        </w:rPr>
        <w:t>l</w:t>
      </w:r>
      <w:r>
        <w:t>e</w:t>
      </w:r>
      <w:r>
        <w:rPr>
          <w:spacing w:val="-2"/>
        </w:rPr>
        <w:t xml:space="preserve"> </w:t>
      </w:r>
      <w:r>
        <w:t>T</w:t>
      </w:r>
      <w:r>
        <w:rPr>
          <w:spacing w:val="2"/>
        </w:rPr>
        <w:t xml:space="preserve"> </w:t>
      </w:r>
      <w:r>
        <w:t>(o</w:t>
      </w:r>
      <w:r>
        <w:rPr>
          <w:spacing w:val="-3"/>
        </w:rPr>
        <w:t xml:space="preserve"> </w:t>
      </w:r>
      <w:r>
        <w:t>f</w:t>
      </w:r>
      <w:r>
        <w:rPr>
          <w:spacing w:val="-3"/>
        </w:rPr>
        <w:t>o</w:t>
      </w:r>
      <w:r>
        <w:t>r</w:t>
      </w:r>
      <w:r>
        <w:rPr>
          <w:spacing w:val="-4"/>
        </w:rPr>
        <w:t>m</w:t>
      </w:r>
      <w:r>
        <w:t xml:space="preserve">ă rară </w:t>
      </w:r>
      <w:r>
        <w:rPr>
          <w:spacing w:val="-3"/>
        </w:rPr>
        <w:t>d</w:t>
      </w:r>
      <w:r>
        <w:t>e c</w:t>
      </w:r>
      <w:r>
        <w:rPr>
          <w:spacing w:val="-3"/>
        </w:rPr>
        <w:t>a</w:t>
      </w:r>
      <w:r>
        <w:t>n</w:t>
      </w:r>
      <w:r>
        <w:rPr>
          <w:spacing w:val="-3"/>
        </w:rPr>
        <w:t>c</w:t>
      </w:r>
      <w:r>
        <w:t>er</w:t>
      </w:r>
      <w:r>
        <w:rPr>
          <w:spacing w:val="1"/>
        </w:rPr>
        <w:t xml:space="preserve"> </w:t>
      </w:r>
      <w:r>
        <w:rPr>
          <w:spacing w:val="-3"/>
        </w:rPr>
        <w:t>a</w:t>
      </w:r>
      <w:r>
        <w:t>l</w:t>
      </w:r>
      <w:r>
        <w:rPr>
          <w:spacing w:val="1"/>
        </w:rPr>
        <w:t xml:space="preserve"> </w:t>
      </w:r>
      <w:r>
        <w:t>s</w:t>
      </w:r>
      <w:r>
        <w:rPr>
          <w:spacing w:val="-3"/>
        </w:rPr>
        <w:t>â</w:t>
      </w:r>
      <w:r>
        <w:t>n</w:t>
      </w:r>
      <w:r>
        <w:rPr>
          <w:spacing w:val="-3"/>
        </w:rPr>
        <w:t>g</w:t>
      </w:r>
      <w:r>
        <w:t>e</w:t>
      </w:r>
      <w:r>
        <w:rPr>
          <w:spacing w:val="1"/>
        </w:rPr>
        <w:t>l</w:t>
      </w:r>
      <w:r>
        <w:t>ui</w:t>
      </w:r>
      <w:r>
        <w:rPr>
          <w:spacing w:val="-2"/>
        </w:rPr>
        <w:t xml:space="preserve"> </w:t>
      </w:r>
      <w:r>
        <w:t>ca</w:t>
      </w:r>
      <w:r>
        <w:rPr>
          <w:spacing w:val="-2"/>
        </w:rPr>
        <w:t>r</w:t>
      </w:r>
      <w:r>
        <w:t xml:space="preserve">e </w:t>
      </w:r>
      <w:r>
        <w:rPr>
          <w:spacing w:val="-1"/>
        </w:rPr>
        <w:t>d</w:t>
      </w:r>
      <w:r>
        <w:t>e</w:t>
      </w:r>
      <w:r>
        <w:rPr>
          <w:spacing w:val="-2"/>
        </w:rPr>
        <w:t xml:space="preserve"> </w:t>
      </w:r>
      <w:r>
        <w:t>ob</w:t>
      </w:r>
      <w:r>
        <w:rPr>
          <w:spacing w:val="-2"/>
        </w:rPr>
        <w:t>i</w:t>
      </w:r>
      <w:r>
        <w:t>cei</w:t>
      </w:r>
      <w:r>
        <w:rPr>
          <w:spacing w:val="-2"/>
        </w:rPr>
        <w:t xml:space="preserve"> </w:t>
      </w:r>
      <w:r>
        <w:t>are</w:t>
      </w:r>
      <w:r>
        <w:rPr>
          <w:spacing w:val="-2"/>
        </w:rPr>
        <w:t xml:space="preserve"> </w:t>
      </w:r>
      <w:r>
        <w:t>re</w:t>
      </w:r>
      <w:r>
        <w:rPr>
          <w:spacing w:val="-3"/>
        </w:rPr>
        <w:t>z</w:t>
      </w:r>
      <w:r>
        <w:t>u</w:t>
      </w:r>
      <w:r>
        <w:rPr>
          <w:spacing w:val="-2"/>
        </w:rPr>
        <w:t>l</w:t>
      </w:r>
      <w:r>
        <w:rPr>
          <w:spacing w:val="1"/>
        </w:rPr>
        <w:t>t</w:t>
      </w:r>
      <w:r>
        <w:t xml:space="preserve">at </w:t>
      </w:r>
      <w:r>
        <w:rPr>
          <w:spacing w:val="1"/>
        </w:rPr>
        <w:t>l</w:t>
      </w:r>
      <w:r>
        <w:t>e</w:t>
      </w:r>
      <w:r>
        <w:rPr>
          <w:spacing w:val="-2"/>
        </w:rPr>
        <w:t>t</w:t>
      </w:r>
      <w:r>
        <w:t>a</w:t>
      </w:r>
      <w:r>
        <w:rPr>
          <w:spacing w:val="-2"/>
        </w:rPr>
        <w:t>l</w:t>
      </w:r>
      <w:r>
        <w:t>);</w:t>
      </w:r>
    </w:p>
    <w:p w14:paraId="68FDA9E1"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pPr>
      <w:r>
        <w:t>carcinom cu celule Merkel (un tip de cancer de piele);</w:t>
      </w:r>
    </w:p>
    <w:p w14:paraId="666AFA2C"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rPr>
          <w:szCs w:val="22"/>
        </w:rPr>
      </w:pPr>
      <w:r>
        <w:rPr>
          <w:szCs w:val="22"/>
        </w:rPr>
        <w:t>sarcom Kaposi, un cancer rar asociat infecției cu virusul herpetic uman 8. Sarcomul Kaposi se manifestă cel mai frecvent sub formă de leziuni vineții pe piele</w:t>
      </w:r>
      <w:r>
        <w:t>;</w:t>
      </w:r>
    </w:p>
    <w:p w14:paraId="310C573B"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pPr>
      <w:r>
        <w:t>insuficienţă hepatică</w:t>
      </w:r>
      <w:r>
        <w:rPr>
          <w:szCs w:val="22"/>
          <w:lang w:eastAsia="en-US" w:bidi="ar-SA"/>
        </w:rPr>
        <w:t>;</w:t>
      </w:r>
    </w:p>
    <w:p w14:paraId="417B45D4" w14:textId="77777777" w:rsidR="00C04CAD" w:rsidRDefault="00060E34">
      <w:pPr>
        <w:pStyle w:val="ListParagraph"/>
        <w:numPr>
          <w:ilvl w:val="0"/>
          <w:numId w:val="61"/>
        </w:numPr>
        <w:tabs>
          <w:tab w:val="clear" w:pos="567"/>
        </w:tabs>
        <w:spacing w:line="240" w:lineRule="auto"/>
        <w:ind w:left="567" w:hanging="567"/>
      </w:pPr>
      <w:r>
        <w:t>agravare a unei afecţiuni numită dermatomiozită (descrisă ca o erupţie pe piele însoţită de slăbiciune musculară);</w:t>
      </w:r>
    </w:p>
    <w:p w14:paraId="3132B63A" w14:textId="77777777" w:rsidR="00C04CAD" w:rsidRDefault="00060E34">
      <w:pPr>
        <w:pStyle w:val="ListParagraph"/>
        <w:numPr>
          <w:ilvl w:val="0"/>
          <w:numId w:val="61"/>
        </w:numPr>
        <w:tabs>
          <w:tab w:val="clear" w:pos="567"/>
        </w:tabs>
        <w:spacing w:line="240" w:lineRule="auto"/>
        <w:ind w:left="567" w:hanging="567"/>
      </w:pPr>
      <w:r>
        <w:t>creștere în greutate (pentru majoritatea pacienților, creșterea în greutate a fost mică).</w:t>
      </w:r>
    </w:p>
    <w:p w14:paraId="01858B3E" w14:textId="77777777" w:rsidR="00C04CAD" w:rsidRDefault="00C04CAD">
      <w:pPr>
        <w:numPr>
          <w:ilvl w:val="12"/>
          <w:numId w:val="0"/>
        </w:numPr>
        <w:tabs>
          <w:tab w:val="clear" w:pos="567"/>
        </w:tabs>
        <w:spacing w:line="240" w:lineRule="auto"/>
        <w:ind w:right="-29"/>
      </w:pPr>
    </w:p>
    <w:p w14:paraId="7B3B7787" w14:textId="77777777" w:rsidR="00C04CAD" w:rsidRDefault="00060E34">
      <w:pPr>
        <w:tabs>
          <w:tab w:val="clear" w:pos="567"/>
        </w:tabs>
        <w:kinsoku w:val="0"/>
        <w:overflowPunct w:val="0"/>
        <w:autoSpaceDE w:val="0"/>
        <w:autoSpaceDN w:val="0"/>
        <w:adjustRightInd w:val="0"/>
        <w:spacing w:line="240" w:lineRule="auto"/>
        <w:rPr>
          <w:lang w:val="it-IT"/>
        </w:rPr>
      </w:pPr>
      <w:r>
        <w:rPr>
          <w:spacing w:val="-1"/>
        </w:rPr>
        <w:t>U</w:t>
      </w:r>
      <w:r>
        <w:t>ne</w:t>
      </w:r>
      <w:r>
        <w:rPr>
          <w:spacing w:val="1"/>
        </w:rPr>
        <w:t>l</w:t>
      </w:r>
      <w:r>
        <w:t>e</w:t>
      </w:r>
      <w:r>
        <w:rPr>
          <w:spacing w:val="-2"/>
        </w:rPr>
        <w:t xml:space="preserve"> </w:t>
      </w:r>
      <w:r>
        <w:t>re</w:t>
      </w:r>
      <w:r>
        <w:rPr>
          <w:spacing w:val="-3"/>
        </w:rPr>
        <w:t>a</w:t>
      </w:r>
      <w:r>
        <w:t>c</w:t>
      </w:r>
      <w:r>
        <w:rPr>
          <w:spacing w:val="-2"/>
        </w:rPr>
        <w:t>ţ</w:t>
      </w:r>
      <w:r>
        <w:rPr>
          <w:spacing w:val="1"/>
        </w:rPr>
        <w:t>i</w:t>
      </w:r>
      <w:r>
        <w:t>i</w:t>
      </w:r>
      <w:r>
        <w:rPr>
          <w:spacing w:val="-2"/>
        </w:rPr>
        <w:t xml:space="preserve"> </w:t>
      </w:r>
      <w:r>
        <w:t>ad</w:t>
      </w:r>
      <w:r>
        <w:rPr>
          <w:spacing w:val="-3"/>
        </w:rPr>
        <w:t>v</w:t>
      </w:r>
      <w:r>
        <w:t>erse</w:t>
      </w:r>
      <w:r>
        <w:rPr>
          <w:spacing w:val="-2"/>
        </w:rPr>
        <w:t xml:space="preserve"> </w:t>
      </w:r>
      <w:r>
        <w:t>obs</w:t>
      </w:r>
      <w:r>
        <w:rPr>
          <w:spacing w:val="-3"/>
        </w:rPr>
        <w:t>e</w:t>
      </w:r>
      <w:r>
        <w:rPr>
          <w:spacing w:val="-2"/>
        </w:rPr>
        <w:t>r</w:t>
      </w:r>
      <w:r>
        <w:rPr>
          <w:spacing w:val="-3"/>
        </w:rPr>
        <w:t>v</w:t>
      </w:r>
      <w:r>
        <w:t>a</w:t>
      </w:r>
      <w:r>
        <w:rPr>
          <w:spacing w:val="1"/>
        </w:rPr>
        <w:t>t</w:t>
      </w:r>
      <w:r>
        <w:t xml:space="preserve">e </w:t>
      </w:r>
      <w:r>
        <w:rPr>
          <w:spacing w:val="1"/>
        </w:rPr>
        <w:t>l</w:t>
      </w:r>
      <w:r>
        <w:t xml:space="preserve">a </w:t>
      </w:r>
      <w:r>
        <w:rPr>
          <w:spacing w:val="-1"/>
        </w:rPr>
        <w:t>adalimumab</w:t>
      </w:r>
      <w:r>
        <w:rPr>
          <w:spacing w:val="-2"/>
        </w:rPr>
        <w:t xml:space="preserve"> </w:t>
      </w:r>
      <w:r>
        <w:t>nu au</w:t>
      </w:r>
      <w:r>
        <w:rPr>
          <w:spacing w:val="-3"/>
        </w:rPr>
        <w:t xml:space="preserve"> </w:t>
      </w:r>
      <w:r>
        <w:t>fo</w:t>
      </w:r>
      <w:r>
        <w:rPr>
          <w:spacing w:val="-2"/>
        </w:rPr>
        <w:t>s</w:t>
      </w:r>
      <w:r>
        <w:t>t</w:t>
      </w:r>
      <w:r>
        <w:rPr>
          <w:spacing w:val="-2"/>
        </w:rPr>
        <w:t xml:space="preserve"> î</w:t>
      </w:r>
      <w:r>
        <w:t>nso</w:t>
      </w:r>
      <w:r>
        <w:rPr>
          <w:spacing w:val="-2"/>
        </w:rPr>
        <w:t>ţ</w:t>
      </w:r>
      <w:r>
        <w:rPr>
          <w:spacing w:val="1"/>
        </w:rPr>
        <w:t>i</w:t>
      </w:r>
      <w:r>
        <w:rPr>
          <w:spacing w:val="-2"/>
        </w:rPr>
        <w:t>t</w:t>
      </w:r>
      <w:r>
        <w:t>e de</w:t>
      </w:r>
      <w:r>
        <w:rPr>
          <w:spacing w:val="-2"/>
        </w:rPr>
        <w:t xml:space="preserve"> </w:t>
      </w:r>
      <w:r>
        <w:t>s</w:t>
      </w:r>
      <w:r>
        <w:rPr>
          <w:spacing w:val="1"/>
        </w:rPr>
        <w:t>i</w:t>
      </w:r>
      <w:r>
        <w:rPr>
          <w:spacing w:val="-4"/>
        </w:rPr>
        <w:t>m</w:t>
      </w:r>
      <w:r>
        <w:t>p</w:t>
      </w:r>
      <w:r>
        <w:rPr>
          <w:spacing w:val="1"/>
        </w:rPr>
        <w:t>t</w:t>
      </w:r>
      <w:r>
        <w:t>o</w:t>
      </w:r>
      <w:r>
        <w:rPr>
          <w:spacing w:val="-4"/>
        </w:rPr>
        <w:t>m</w:t>
      </w:r>
      <w:r>
        <w:t>e şi</w:t>
      </w:r>
      <w:r>
        <w:rPr>
          <w:spacing w:val="1"/>
        </w:rPr>
        <w:t xml:space="preserve"> </w:t>
      </w:r>
      <w:r>
        <w:t>pot</w:t>
      </w:r>
      <w:r>
        <w:rPr>
          <w:spacing w:val="-2"/>
        </w:rPr>
        <w:t xml:space="preserve"> f</w:t>
      </w:r>
      <w:r>
        <w:t>i</w:t>
      </w:r>
      <w:r>
        <w:rPr>
          <w:spacing w:val="1"/>
        </w:rPr>
        <w:t xml:space="preserve"> </w:t>
      </w:r>
      <w:r>
        <w:t>d</w:t>
      </w:r>
      <w:r>
        <w:rPr>
          <w:spacing w:val="-3"/>
        </w:rPr>
        <w:t>e</w:t>
      </w:r>
      <w:r>
        <w:rPr>
          <w:spacing w:val="1"/>
        </w:rPr>
        <w:t>t</w:t>
      </w:r>
      <w:r>
        <w:t>e</w:t>
      </w:r>
      <w:r>
        <w:rPr>
          <w:spacing w:val="-3"/>
        </w:rPr>
        <w:t>c</w:t>
      </w:r>
      <w:r>
        <w:rPr>
          <w:spacing w:val="1"/>
        </w:rPr>
        <w:t>t</w:t>
      </w:r>
      <w:r>
        <w:rPr>
          <w:spacing w:val="-3"/>
        </w:rPr>
        <w:t>a</w:t>
      </w:r>
      <w:r>
        <w:rPr>
          <w:spacing w:val="1"/>
        </w:rPr>
        <w:t>t</w:t>
      </w:r>
      <w:r>
        <w:t>e nu</w:t>
      </w:r>
      <w:r>
        <w:rPr>
          <w:spacing w:val="-4"/>
        </w:rPr>
        <w:t>m</w:t>
      </w:r>
      <w:r>
        <w:t>ai pr</w:t>
      </w:r>
      <w:r>
        <w:rPr>
          <w:spacing w:val="1"/>
        </w:rPr>
        <w:t>i</w:t>
      </w:r>
      <w:r>
        <w:t>n</w:t>
      </w:r>
      <w:r>
        <w:rPr>
          <w:spacing w:val="-3"/>
        </w:rPr>
        <w:t xml:space="preserve"> </w:t>
      </w:r>
      <w:r>
        <w:rPr>
          <w:spacing w:val="1"/>
        </w:rPr>
        <w:t>t</w:t>
      </w:r>
      <w:r>
        <w:rPr>
          <w:spacing w:val="-3"/>
        </w:rPr>
        <w:t>e</w:t>
      </w:r>
      <w:r>
        <w:t>s</w:t>
      </w:r>
      <w:r>
        <w:rPr>
          <w:spacing w:val="1"/>
        </w:rPr>
        <w:t>t</w:t>
      </w:r>
      <w:r>
        <w:t>e</w:t>
      </w:r>
      <w:r>
        <w:rPr>
          <w:spacing w:val="-2"/>
        </w:rPr>
        <w:t xml:space="preserve"> </w:t>
      </w:r>
      <w:r>
        <w:t>de</w:t>
      </w:r>
      <w:r>
        <w:rPr>
          <w:spacing w:val="-2"/>
        </w:rPr>
        <w:t xml:space="preserve"> </w:t>
      </w:r>
      <w:r>
        <w:rPr>
          <w:spacing w:val="1"/>
        </w:rPr>
        <w:t>l</w:t>
      </w:r>
      <w:r>
        <w:t>ab</w:t>
      </w:r>
      <w:r>
        <w:rPr>
          <w:spacing w:val="-3"/>
        </w:rPr>
        <w:t>o</w:t>
      </w:r>
      <w:r>
        <w:t>r</w:t>
      </w:r>
      <w:r>
        <w:rPr>
          <w:spacing w:val="-3"/>
        </w:rPr>
        <w:t>a</w:t>
      </w:r>
      <w:r>
        <w:rPr>
          <w:spacing w:val="1"/>
        </w:rPr>
        <w:t>t</w:t>
      </w:r>
      <w:r>
        <w:t xml:space="preserve">or. </w:t>
      </w:r>
      <w:r>
        <w:rPr>
          <w:spacing w:val="-1"/>
          <w:lang w:val="it-IT"/>
        </w:rPr>
        <w:t>A</w:t>
      </w:r>
      <w:r>
        <w:rPr>
          <w:lang w:val="it-IT"/>
        </w:rPr>
        <w:t>ces</w:t>
      </w:r>
      <w:r>
        <w:rPr>
          <w:spacing w:val="-2"/>
          <w:lang w:val="it-IT"/>
        </w:rPr>
        <w:t>t</w:t>
      </w:r>
      <w:r>
        <w:rPr>
          <w:lang w:val="it-IT"/>
        </w:rPr>
        <w:t>ea</w:t>
      </w:r>
      <w:r>
        <w:rPr>
          <w:spacing w:val="-2"/>
          <w:lang w:val="it-IT"/>
        </w:rPr>
        <w:t xml:space="preserve"> </w:t>
      </w:r>
      <w:r>
        <w:rPr>
          <w:spacing w:val="1"/>
          <w:lang w:val="it-IT"/>
        </w:rPr>
        <w:t>i</w:t>
      </w:r>
      <w:r>
        <w:rPr>
          <w:lang w:val="it-IT"/>
        </w:rPr>
        <w:t>n</w:t>
      </w:r>
      <w:r>
        <w:rPr>
          <w:spacing w:val="-3"/>
          <w:lang w:val="it-IT"/>
        </w:rPr>
        <w:t>c</w:t>
      </w:r>
      <w:r>
        <w:rPr>
          <w:spacing w:val="1"/>
          <w:lang w:val="it-IT"/>
        </w:rPr>
        <w:t>l</w:t>
      </w:r>
      <w:r>
        <w:rPr>
          <w:lang w:val="it-IT"/>
        </w:rPr>
        <w:t>ud:</w:t>
      </w:r>
    </w:p>
    <w:p w14:paraId="3365641D" w14:textId="77777777" w:rsidR="00C04CAD" w:rsidRDefault="00C04CAD">
      <w:pPr>
        <w:tabs>
          <w:tab w:val="clear" w:pos="567"/>
        </w:tabs>
        <w:kinsoku w:val="0"/>
        <w:overflowPunct w:val="0"/>
        <w:autoSpaceDE w:val="0"/>
        <w:autoSpaceDN w:val="0"/>
        <w:adjustRightInd w:val="0"/>
        <w:spacing w:line="240" w:lineRule="auto"/>
        <w:rPr>
          <w:b/>
        </w:rPr>
      </w:pPr>
    </w:p>
    <w:p w14:paraId="53BE8B78"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 xml:space="preserve">Foarte </w:t>
      </w:r>
      <w:r>
        <w:t>frecvente (pot să apară la mai mult de 1 persoană din 10)</w:t>
      </w:r>
    </w:p>
    <w:p w14:paraId="4FF959C1"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scăderea numărului de celule albe în sânge;</w:t>
      </w:r>
    </w:p>
    <w:p w14:paraId="2BF50ED1"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scăderea numărului de celule roşii în sânge;</w:t>
      </w:r>
    </w:p>
    <w:p w14:paraId="73462943"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creşterea concentrațiilor grăsimilor în sânge;</w:t>
      </w:r>
    </w:p>
    <w:p w14:paraId="65A9D82A"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creşterea valorilor enzimelor hepatice.</w:t>
      </w:r>
    </w:p>
    <w:p w14:paraId="3FD6A198" w14:textId="77777777" w:rsidR="00C04CAD" w:rsidRDefault="00C04CAD">
      <w:pPr>
        <w:pStyle w:val="ListParagraph"/>
        <w:tabs>
          <w:tab w:val="clear" w:pos="567"/>
        </w:tabs>
        <w:kinsoku w:val="0"/>
        <w:overflowPunct w:val="0"/>
        <w:autoSpaceDE w:val="0"/>
        <w:autoSpaceDN w:val="0"/>
        <w:adjustRightInd w:val="0"/>
        <w:spacing w:line="240" w:lineRule="auto"/>
        <w:ind w:left="360"/>
      </w:pPr>
    </w:p>
    <w:p w14:paraId="280211FF"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 xml:space="preserve">Frecvente </w:t>
      </w:r>
      <w:r>
        <w:t>(pot să apară până la 1 persoană din 10)</w:t>
      </w:r>
    </w:p>
    <w:p w14:paraId="72792BF1"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numărului de celule albe în sânge;</w:t>
      </w:r>
    </w:p>
    <w:p w14:paraId="2D97A141"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numărului de trombocite în sânge;</w:t>
      </w:r>
    </w:p>
    <w:p w14:paraId="2D121940"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acidului uric în sânge;</w:t>
      </w:r>
    </w:p>
    <w:p w14:paraId="2A5F6F8A"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valori modificate ale sodiului în sânge;</w:t>
      </w:r>
    </w:p>
    <w:p w14:paraId="2A46B8F5"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calciului în sânge;</w:t>
      </w:r>
    </w:p>
    <w:p w14:paraId="76324ED7"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fosforului în sânge;</w:t>
      </w:r>
    </w:p>
    <w:p w14:paraId="03078505"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zahărului în sânge;</w:t>
      </w:r>
    </w:p>
    <w:p w14:paraId="5286CE7B"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valorilor lactat dehidrogenazei în sânge;</w:t>
      </w:r>
    </w:p>
    <w:p w14:paraId="18AC3156"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prezenţa autoanticorpilor în sânge;</w:t>
      </w:r>
    </w:p>
    <w:p w14:paraId="20ED62E5"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potasiului în sânge.</w:t>
      </w:r>
    </w:p>
    <w:p w14:paraId="4DF7BCF0" w14:textId="77777777" w:rsidR="00C04CAD" w:rsidRDefault="00C04CAD">
      <w:pPr>
        <w:tabs>
          <w:tab w:val="clear" w:pos="567"/>
        </w:tabs>
        <w:kinsoku w:val="0"/>
        <w:overflowPunct w:val="0"/>
        <w:autoSpaceDE w:val="0"/>
        <w:autoSpaceDN w:val="0"/>
        <w:adjustRightInd w:val="0"/>
        <w:spacing w:line="240" w:lineRule="auto"/>
        <w:ind w:left="567" w:hanging="567"/>
      </w:pPr>
    </w:p>
    <w:p w14:paraId="3418238C" w14:textId="77777777" w:rsidR="00C04CAD" w:rsidRDefault="00060E34">
      <w:pPr>
        <w:tabs>
          <w:tab w:val="clear" w:pos="567"/>
        </w:tabs>
        <w:kinsoku w:val="0"/>
        <w:overflowPunct w:val="0"/>
        <w:autoSpaceDE w:val="0"/>
        <w:autoSpaceDN w:val="0"/>
        <w:adjustRightInd w:val="0"/>
        <w:spacing w:line="240" w:lineRule="auto"/>
        <w:ind w:left="567" w:hanging="567"/>
      </w:pPr>
      <w:r>
        <w:rPr>
          <w:szCs w:val="22"/>
          <w:lang w:eastAsia="en-US" w:bidi="ar-SA"/>
        </w:rPr>
        <w:t xml:space="preserve">Mai puțin frecvente </w:t>
      </w:r>
      <w:r>
        <w:t>(pot să apară până la 1 persoană din 100)</w:t>
      </w:r>
    </w:p>
    <w:p w14:paraId="1D187BF7"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creșterea valorii bilirubinei în sânge (un test de sânge care investighează funcția ficatului);</w:t>
      </w:r>
    </w:p>
    <w:p w14:paraId="4F587EDB" w14:textId="77777777" w:rsidR="00C04CAD" w:rsidRDefault="00C04CAD">
      <w:pPr>
        <w:tabs>
          <w:tab w:val="clear" w:pos="567"/>
        </w:tabs>
        <w:kinsoku w:val="0"/>
        <w:overflowPunct w:val="0"/>
        <w:autoSpaceDE w:val="0"/>
        <w:autoSpaceDN w:val="0"/>
        <w:adjustRightInd w:val="0"/>
        <w:spacing w:line="240" w:lineRule="auto"/>
        <w:ind w:left="567" w:hanging="567"/>
      </w:pPr>
    </w:p>
    <w:p w14:paraId="11078661"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 xml:space="preserve">Rare </w:t>
      </w:r>
      <w:r>
        <w:t>(pot să apară până la 1 persoană din 1000)</w:t>
      </w:r>
    </w:p>
    <w:p w14:paraId="68BB0383" w14:textId="77777777" w:rsidR="00C04CAD" w:rsidRDefault="00060E34">
      <w:pPr>
        <w:pStyle w:val="ListParagraph"/>
        <w:numPr>
          <w:ilvl w:val="0"/>
          <w:numId w:val="64"/>
        </w:numPr>
        <w:tabs>
          <w:tab w:val="clear" w:pos="567"/>
        </w:tabs>
        <w:kinsoku w:val="0"/>
        <w:overflowPunct w:val="0"/>
        <w:autoSpaceDE w:val="0"/>
        <w:autoSpaceDN w:val="0"/>
        <w:adjustRightInd w:val="0"/>
        <w:spacing w:line="240" w:lineRule="auto"/>
        <w:ind w:left="567" w:hanging="567"/>
      </w:pPr>
      <w:r>
        <w:t>scăderea numărului de celule albe, celule roşii şi de trombocite în sânge.</w:t>
      </w:r>
    </w:p>
    <w:p w14:paraId="6982B558" w14:textId="77777777" w:rsidR="00C04CAD" w:rsidRDefault="00C04CAD">
      <w:pPr>
        <w:kinsoku w:val="0"/>
        <w:overflowPunct w:val="0"/>
        <w:autoSpaceDE w:val="0"/>
        <w:autoSpaceDN w:val="0"/>
        <w:adjustRightInd w:val="0"/>
        <w:spacing w:line="240" w:lineRule="auto"/>
      </w:pPr>
    </w:p>
    <w:p w14:paraId="5673DB5E" w14:textId="77777777" w:rsidR="00C04CAD" w:rsidRDefault="00060E34">
      <w:pPr>
        <w:keepNext/>
        <w:numPr>
          <w:ilvl w:val="12"/>
          <w:numId w:val="0"/>
        </w:numPr>
        <w:spacing w:line="240" w:lineRule="auto"/>
        <w:outlineLvl w:val="0"/>
        <w:rPr>
          <w:b/>
        </w:rPr>
      </w:pPr>
      <w:r>
        <w:rPr>
          <w:b/>
          <w:szCs w:val="22"/>
        </w:rPr>
        <w:t>Raportarea reacțiilor adverse</w:t>
      </w:r>
    </w:p>
    <w:p w14:paraId="35B37C4A" w14:textId="77777777" w:rsidR="00C04CAD" w:rsidRDefault="00C04CAD">
      <w:pPr>
        <w:numPr>
          <w:ilvl w:val="12"/>
          <w:numId w:val="0"/>
        </w:numPr>
        <w:spacing w:line="240" w:lineRule="auto"/>
        <w:outlineLvl w:val="0"/>
        <w:rPr>
          <w:b/>
          <w:szCs w:val="22"/>
        </w:rPr>
      </w:pPr>
    </w:p>
    <w:p w14:paraId="41B4063D" w14:textId="77777777" w:rsidR="00C04CAD" w:rsidRDefault="00060E34">
      <w:pPr>
        <w:pStyle w:val="BodytextAgency"/>
        <w:spacing w:after="0" w:line="240" w:lineRule="auto"/>
        <w:rPr>
          <w:rFonts w:ascii="Times New Roman" w:hAnsi="Times New Roman"/>
          <w:sz w:val="22"/>
        </w:rPr>
      </w:pPr>
      <w:r>
        <w:rPr>
          <w:rFonts w:ascii="Times New Roman" w:hAnsi="Times New Roman"/>
          <w:sz w:val="22"/>
        </w:rPr>
        <w:t xml:space="preserve">Dacă manifestați orice reacții adverse, adresați-vă medicului dumneavoastră sau farmacistului. Acestea includ orice posibile reacții adverse nemenționate în acest prospect. De asemenea, puteți raporta reacțiile adverse direct prin intermediul </w:t>
      </w:r>
      <w:r>
        <w:rPr>
          <w:rFonts w:ascii="Times New Roman" w:hAnsi="Times New Roman"/>
          <w:sz w:val="22"/>
          <w:highlight w:val="lightGray"/>
        </w:rPr>
        <w:t xml:space="preserve">sistemului național de raportare, așa cum este menționat în </w:t>
      </w:r>
      <w:hyperlink r:id="rId24">
        <w:r w:rsidR="00C04CAD">
          <w:rPr>
            <w:rStyle w:val="Hyperlink"/>
            <w:rFonts w:ascii="Times New Roman" w:hAnsi="Times New Roman"/>
            <w:sz w:val="22"/>
            <w:highlight w:val="lightGray"/>
            <w:shd w:val="clear" w:color="auto" w:fill="D0CECE"/>
          </w:rPr>
          <w:t>Anexa V</w:t>
        </w:r>
      </w:hyperlink>
      <w:r>
        <w:rPr>
          <w:rFonts w:ascii="Times New Roman" w:hAnsi="Times New Roman"/>
          <w:sz w:val="22"/>
        </w:rPr>
        <w:t>. Raportând reacțiile adverse, puteți contribui la furnizarea de informații suplimentare privind siguranța acestui medicament.</w:t>
      </w:r>
    </w:p>
    <w:p w14:paraId="32602675" w14:textId="77777777" w:rsidR="00C04CAD" w:rsidRDefault="00C04CAD">
      <w:pPr>
        <w:autoSpaceDE w:val="0"/>
        <w:autoSpaceDN w:val="0"/>
        <w:adjustRightInd w:val="0"/>
        <w:spacing w:line="240" w:lineRule="auto"/>
        <w:rPr>
          <w:szCs w:val="22"/>
        </w:rPr>
      </w:pPr>
    </w:p>
    <w:p w14:paraId="2DB0173E" w14:textId="77777777" w:rsidR="00C04CAD" w:rsidRDefault="00C04CAD">
      <w:pPr>
        <w:autoSpaceDE w:val="0"/>
        <w:autoSpaceDN w:val="0"/>
        <w:adjustRightInd w:val="0"/>
        <w:spacing w:line="240" w:lineRule="auto"/>
        <w:rPr>
          <w:szCs w:val="22"/>
        </w:rPr>
      </w:pPr>
    </w:p>
    <w:p w14:paraId="57787CF7" w14:textId="77777777" w:rsidR="00C04CAD" w:rsidRDefault="00060E34">
      <w:pPr>
        <w:keepNext/>
        <w:numPr>
          <w:ilvl w:val="0"/>
          <w:numId w:val="49"/>
        </w:numPr>
        <w:spacing w:line="240" w:lineRule="auto"/>
        <w:ind w:left="561" w:hanging="567"/>
        <w:rPr>
          <w:b/>
          <w:szCs w:val="22"/>
        </w:rPr>
      </w:pPr>
      <w:r>
        <w:rPr>
          <w:b/>
        </w:rPr>
        <w:t>Cum se păstrează AMGEVITA</w:t>
      </w:r>
    </w:p>
    <w:p w14:paraId="445EE898" w14:textId="77777777" w:rsidR="00C04CAD" w:rsidRDefault="00C04CAD">
      <w:pPr>
        <w:keepNext/>
        <w:numPr>
          <w:ilvl w:val="12"/>
          <w:numId w:val="0"/>
        </w:numPr>
        <w:tabs>
          <w:tab w:val="clear" w:pos="567"/>
        </w:tabs>
        <w:spacing w:line="240" w:lineRule="auto"/>
        <w:ind w:right="-2"/>
      </w:pPr>
    </w:p>
    <w:p w14:paraId="080DF965" w14:textId="77777777" w:rsidR="00C04CAD" w:rsidRDefault="00060E34">
      <w:pPr>
        <w:tabs>
          <w:tab w:val="clear" w:pos="567"/>
        </w:tabs>
        <w:kinsoku w:val="0"/>
        <w:overflowPunct w:val="0"/>
        <w:autoSpaceDE w:val="0"/>
        <w:autoSpaceDN w:val="0"/>
        <w:adjustRightInd w:val="0"/>
        <w:spacing w:line="240" w:lineRule="auto"/>
      </w:pPr>
      <w:r>
        <w:t>Nu lăsaţi acest medicament la vederea şi îndemâna copiilor.</w:t>
      </w:r>
    </w:p>
    <w:p w14:paraId="1B2559EE" w14:textId="77777777" w:rsidR="00C04CAD" w:rsidRDefault="00C04CAD">
      <w:pPr>
        <w:tabs>
          <w:tab w:val="clear" w:pos="567"/>
        </w:tabs>
        <w:kinsoku w:val="0"/>
        <w:overflowPunct w:val="0"/>
        <w:autoSpaceDE w:val="0"/>
        <w:autoSpaceDN w:val="0"/>
        <w:adjustRightInd w:val="0"/>
        <w:spacing w:line="240" w:lineRule="auto"/>
      </w:pPr>
    </w:p>
    <w:p w14:paraId="02F7C8D2" w14:textId="77777777" w:rsidR="00C04CAD" w:rsidRDefault="00060E34">
      <w:pPr>
        <w:tabs>
          <w:tab w:val="clear" w:pos="567"/>
        </w:tabs>
        <w:kinsoku w:val="0"/>
        <w:overflowPunct w:val="0"/>
        <w:autoSpaceDE w:val="0"/>
        <w:autoSpaceDN w:val="0"/>
        <w:adjustRightInd w:val="0"/>
        <w:spacing w:line="240" w:lineRule="auto"/>
      </w:pPr>
      <w:r>
        <w:t>A nu se utiliza acest medicament după data de expirare înscrisă pe etichetă/blister</w:t>
      </w:r>
      <w:r>
        <w:rPr>
          <w:szCs w:val="22"/>
          <w:lang w:eastAsia="en-US" w:bidi="ar-SA"/>
        </w:rPr>
        <w:t xml:space="preserve"> și </w:t>
      </w:r>
      <w:r>
        <w:t>cutie după EXP:. Data expirării se referă la ultima zi a lunii respective.</w:t>
      </w:r>
    </w:p>
    <w:p w14:paraId="76DFCD18" w14:textId="77777777" w:rsidR="00C04CAD" w:rsidRDefault="00C04CAD">
      <w:pPr>
        <w:tabs>
          <w:tab w:val="clear" w:pos="567"/>
        </w:tabs>
        <w:kinsoku w:val="0"/>
        <w:overflowPunct w:val="0"/>
        <w:autoSpaceDE w:val="0"/>
        <w:autoSpaceDN w:val="0"/>
        <w:adjustRightInd w:val="0"/>
        <w:spacing w:line="240" w:lineRule="auto"/>
      </w:pPr>
    </w:p>
    <w:p w14:paraId="02CC0364" w14:textId="77777777" w:rsidR="00C04CAD" w:rsidRDefault="00060E34">
      <w:pPr>
        <w:tabs>
          <w:tab w:val="clear" w:pos="567"/>
        </w:tabs>
        <w:kinsoku w:val="0"/>
        <w:overflowPunct w:val="0"/>
        <w:autoSpaceDE w:val="0"/>
        <w:autoSpaceDN w:val="0"/>
        <w:adjustRightInd w:val="0"/>
        <w:spacing w:line="240" w:lineRule="auto"/>
      </w:pPr>
      <w:r>
        <w:t>A se păstra la frigider(2°C–8°C). A nu se congela.</w:t>
      </w:r>
    </w:p>
    <w:p w14:paraId="67AACC7F" w14:textId="77777777" w:rsidR="00C04CAD" w:rsidRDefault="00C04CAD">
      <w:pPr>
        <w:tabs>
          <w:tab w:val="clear" w:pos="567"/>
        </w:tabs>
        <w:kinsoku w:val="0"/>
        <w:overflowPunct w:val="0"/>
        <w:autoSpaceDE w:val="0"/>
        <w:autoSpaceDN w:val="0"/>
        <w:adjustRightInd w:val="0"/>
        <w:spacing w:line="240" w:lineRule="auto"/>
      </w:pPr>
    </w:p>
    <w:p w14:paraId="1E7414AF" w14:textId="77777777" w:rsidR="00C04CAD" w:rsidRDefault="00060E34">
      <w:pPr>
        <w:tabs>
          <w:tab w:val="clear" w:pos="567"/>
        </w:tabs>
        <w:kinsoku w:val="0"/>
        <w:overflowPunct w:val="0"/>
        <w:autoSpaceDE w:val="0"/>
        <w:autoSpaceDN w:val="0"/>
        <w:adjustRightInd w:val="0"/>
        <w:spacing w:line="240" w:lineRule="auto"/>
      </w:pPr>
      <w:r>
        <w:t xml:space="preserve">A se păstra în ambalajul original pentru a fi </w:t>
      </w:r>
      <w:r>
        <w:rPr>
          <w:szCs w:val="22"/>
          <w:lang w:eastAsia="en-US" w:bidi="ar-SA"/>
        </w:rPr>
        <w:t>protejat</w:t>
      </w:r>
      <w:r>
        <w:t xml:space="preserve"> de lumină.</w:t>
      </w:r>
    </w:p>
    <w:p w14:paraId="664A414F" w14:textId="77777777" w:rsidR="00C04CAD" w:rsidRDefault="00C04CAD">
      <w:pPr>
        <w:tabs>
          <w:tab w:val="clear" w:pos="567"/>
        </w:tabs>
        <w:kinsoku w:val="0"/>
        <w:overflowPunct w:val="0"/>
        <w:autoSpaceDE w:val="0"/>
        <w:autoSpaceDN w:val="0"/>
        <w:adjustRightInd w:val="0"/>
        <w:spacing w:line="240" w:lineRule="auto"/>
      </w:pPr>
    </w:p>
    <w:p w14:paraId="49B85555"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O seringă</w:t>
      </w:r>
      <w:r>
        <w:t xml:space="preserve"> </w:t>
      </w:r>
      <w:r>
        <w:rPr>
          <w:spacing w:val="-3"/>
        </w:rPr>
        <w:t>preumplută</w:t>
      </w:r>
      <w:r>
        <w:t xml:space="preserve"> </w:t>
      </w:r>
      <w:r>
        <w:rPr>
          <w:spacing w:val="-1"/>
          <w:szCs w:val="22"/>
          <w:lang w:eastAsia="en-US" w:bidi="ar-SA"/>
        </w:rPr>
        <w:t>AMGEVITA</w:t>
      </w:r>
      <w:r>
        <w:rPr>
          <w:spacing w:val="-1"/>
        </w:rPr>
        <w:t xml:space="preserve"> </w:t>
      </w:r>
      <w:r>
        <w:t>poa</w:t>
      </w:r>
      <w:r>
        <w:rPr>
          <w:spacing w:val="-2"/>
        </w:rPr>
        <w:t>t</w:t>
      </w:r>
      <w:r>
        <w:t xml:space="preserve">e </w:t>
      </w:r>
      <w:r>
        <w:rPr>
          <w:spacing w:val="-2"/>
        </w:rPr>
        <w:t>f</w:t>
      </w:r>
      <w:r>
        <w:t>i</w:t>
      </w:r>
      <w:r>
        <w:rPr>
          <w:spacing w:val="1"/>
        </w:rPr>
        <w:t xml:space="preserve"> </w:t>
      </w:r>
      <w:r>
        <w:rPr>
          <w:szCs w:val="22"/>
          <w:lang w:eastAsia="en-US" w:bidi="ar-SA"/>
        </w:rPr>
        <w:t>p</w:t>
      </w:r>
      <w:r>
        <w:rPr>
          <w:spacing w:val="-3"/>
          <w:szCs w:val="22"/>
          <w:lang w:eastAsia="en-US" w:bidi="ar-SA"/>
        </w:rPr>
        <w:t>ă</w:t>
      </w:r>
      <w:r>
        <w:rPr>
          <w:szCs w:val="22"/>
          <w:lang w:eastAsia="en-US" w:bidi="ar-SA"/>
        </w:rPr>
        <w:t>s</w:t>
      </w:r>
      <w:r>
        <w:rPr>
          <w:spacing w:val="-2"/>
          <w:szCs w:val="22"/>
          <w:lang w:eastAsia="en-US" w:bidi="ar-SA"/>
        </w:rPr>
        <w:t>t</w:t>
      </w:r>
      <w:r>
        <w:rPr>
          <w:szCs w:val="22"/>
          <w:lang w:eastAsia="en-US" w:bidi="ar-SA"/>
        </w:rPr>
        <w:t>ra</w:t>
      </w:r>
      <w:r>
        <w:rPr>
          <w:spacing w:val="-2"/>
          <w:szCs w:val="22"/>
          <w:lang w:eastAsia="en-US" w:bidi="ar-SA"/>
        </w:rPr>
        <w:t>t</w:t>
      </w:r>
      <w:r>
        <w:t xml:space="preserve">ă </w:t>
      </w:r>
      <w:r>
        <w:rPr>
          <w:spacing w:val="-2"/>
        </w:rPr>
        <w:t>l</w:t>
      </w:r>
      <w:r>
        <w:t xml:space="preserve">a </w:t>
      </w:r>
      <w:r>
        <w:rPr>
          <w:spacing w:val="1"/>
          <w:szCs w:val="22"/>
          <w:lang w:eastAsia="en-US" w:bidi="ar-SA"/>
        </w:rPr>
        <w:t>t</w:t>
      </w:r>
      <w:r>
        <w:rPr>
          <w:szCs w:val="22"/>
          <w:lang w:eastAsia="en-US" w:bidi="ar-SA"/>
        </w:rPr>
        <w:t>e</w:t>
      </w:r>
      <w:r>
        <w:rPr>
          <w:spacing w:val="-4"/>
          <w:szCs w:val="22"/>
          <w:lang w:eastAsia="en-US" w:bidi="ar-SA"/>
        </w:rPr>
        <w:t>m</w:t>
      </w:r>
      <w:r>
        <w:rPr>
          <w:szCs w:val="22"/>
          <w:lang w:eastAsia="en-US" w:bidi="ar-SA"/>
        </w:rPr>
        <w:t>pera</w:t>
      </w:r>
      <w:r>
        <w:rPr>
          <w:spacing w:val="1"/>
          <w:szCs w:val="22"/>
          <w:lang w:eastAsia="en-US" w:bidi="ar-SA"/>
        </w:rPr>
        <w:t>t</w:t>
      </w:r>
      <w:r>
        <w:rPr>
          <w:spacing w:val="-3"/>
          <w:szCs w:val="22"/>
          <w:lang w:eastAsia="en-US" w:bidi="ar-SA"/>
        </w:rPr>
        <w:t>u</w:t>
      </w:r>
      <w:r>
        <w:rPr>
          <w:szCs w:val="22"/>
          <w:lang w:eastAsia="en-US" w:bidi="ar-SA"/>
        </w:rPr>
        <w:t>ri</w:t>
      </w:r>
      <w:r>
        <w:rPr>
          <w:spacing w:val="-2"/>
          <w:szCs w:val="22"/>
          <w:lang w:eastAsia="en-US" w:bidi="ar-SA"/>
        </w:rPr>
        <w:t xml:space="preserve"> </w:t>
      </w:r>
      <w:r>
        <w:rPr>
          <w:spacing w:val="-2"/>
        </w:rPr>
        <w:t xml:space="preserve">până la </w:t>
      </w:r>
      <w:r>
        <w:rPr>
          <w:spacing w:val="-2"/>
          <w:szCs w:val="22"/>
          <w:lang w:eastAsia="en-US" w:bidi="ar-SA"/>
        </w:rPr>
        <w:t>un maximum</w:t>
      </w:r>
      <w:r>
        <w:rPr>
          <w:szCs w:val="22"/>
          <w:lang w:eastAsia="en-US" w:bidi="ar-SA"/>
        </w:rPr>
        <w:t xml:space="preserve"> de </w:t>
      </w:r>
      <w:r>
        <w:t>25</w:t>
      </w:r>
      <w:r>
        <w:rPr>
          <w:spacing w:val="-2"/>
        </w:rPr>
        <w:t>°</w:t>
      </w:r>
      <w:r>
        <w:rPr>
          <w:spacing w:val="-1"/>
        </w:rPr>
        <w:t>C</w:t>
      </w:r>
      <w:r>
        <w:rPr>
          <w:spacing w:val="1"/>
        </w:rPr>
        <w:t xml:space="preserve"> </w:t>
      </w:r>
      <w:r>
        <w:t>p</w:t>
      </w:r>
      <w:r>
        <w:rPr>
          <w:spacing w:val="-3"/>
        </w:rPr>
        <w:t>e</w:t>
      </w:r>
      <w:r>
        <w:rPr>
          <w:spacing w:val="-1"/>
        </w:rPr>
        <w:t>n</w:t>
      </w:r>
      <w:r>
        <w:rPr>
          <w:spacing w:val="-2"/>
        </w:rPr>
        <w:t>t</w:t>
      </w:r>
      <w:r>
        <w:t xml:space="preserve">ru o </w:t>
      </w:r>
      <w:r>
        <w:rPr>
          <w:spacing w:val="-3"/>
        </w:rPr>
        <w:t>p</w:t>
      </w:r>
      <w:r>
        <w:t>e</w:t>
      </w:r>
      <w:r>
        <w:rPr>
          <w:spacing w:val="-2"/>
        </w:rPr>
        <w:t>r</w:t>
      </w:r>
      <w:r>
        <w:rPr>
          <w:spacing w:val="1"/>
        </w:rPr>
        <w:t>i</w:t>
      </w:r>
      <w:r>
        <w:t>oa</w:t>
      </w:r>
      <w:r>
        <w:rPr>
          <w:spacing w:val="-3"/>
        </w:rPr>
        <w:t>d</w:t>
      </w:r>
      <w:r>
        <w:t>ă</w:t>
      </w:r>
      <w:r>
        <w:rPr>
          <w:spacing w:val="-2"/>
        </w:rPr>
        <w:t xml:space="preserve"> </w:t>
      </w:r>
      <w:r>
        <w:t xml:space="preserve">de </w:t>
      </w:r>
      <w:r>
        <w:rPr>
          <w:spacing w:val="-4"/>
          <w:szCs w:val="22"/>
          <w:lang w:eastAsia="en-US" w:bidi="ar-SA"/>
        </w:rPr>
        <w:t>până la</w:t>
      </w:r>
      <w:r>
        <w:rPr>
          <w:spacing w:val="-4"/>
        </w:rPr>
        <w:t xml:space="preserve"> </w:t>
      </w:r>
      <w:r>
        <w:t xml:space="preserve">14 </w:t>
      </w:r>
      <w:r>
        <w:rPr>
          <w:spacing w:val="-3"/>
        </w:rPr>
        <w:t>z</w:t>
      </w:r>
      <w:r>
        <w:rPr>
          <w:spacing w:val="1"/>
        </w:rPr>
        <w:t>il</w:t>
      </w:r>
      <w:r>
        <w:rPr>
          <w:spacing w:val="2"/>
        </w:rPr>
        <w:t>e</w:t>
      </w:r>
      <w:r>
        <w:rPr>
          <w:spacing w:val="2"/>
          <w:szCs w:val="22"/>
          <w:lang w:eastAsia="en-US" w:bidi="ar-SA"/>
        </w:rPr>
        <w:t xml:space="preserve">. Seringa preumplută </w:t>
      </w:r>
      <w:r>
        <w:rPr>
          <w:spacing w:val="2"/>
        </w:rPr>
        <w:t xml:space="preserve">trebuie </w:t>
      </w:r>
      <w:r>
        <w:rPr>
          <w:szCs w:val="22"/>
          <w:lang w:eastAsia="en-US" w:bidi="ar-SA"/>
        </w:rPr>
        <w:t>pro</w:t>
      </w:r>
      <w:r>
        <w:rPr>
          <w:spacing w:val="-2"/>
          <w:szCs w:val="22"/>
          <w:lang w:eastAsia="en-US" w:bidi="ar-SA"/>
        </w:rPr>
        <w:t>te</w:t>
      </w:r>
      <w:r>
        <w:rPr>
          <w:spacing w:val="3"/>
          <w:szCs w:val="22"/>
          <w:lang w:eastAsia="en-US" w:bidi="ar-SA"/>
        </w:rPr>
        <w:t>j</w:t>
      </w:r>
      <w:r>
        <w:rPr>
          <w:spacing w:val="-2"/>
          <w:szCs w:val="22"/>
          <w:lang w:eastAsia="en-US" w:bidi="ar-SA"/>
        </w:rPr>
        <w:t>a</w:t>
      </w:r>
      <w:r>
        <w:rPr>
          <w:spacing w:val="1"/>
          <w:szCs w:val="22"/>
          <w:lang w:eastAsia="en-US" w:bidi="ar-SA"/>
        </w:rPr>
        <w:t>t</w:t>
      </w:r>
      <w:r>
        <w:rPr>
          <w:szCs w:val="22"/>
          <w:lang w:eastAsia="en-US" w:bidi="ar-SA"/>
        </w:rPr>
        <w:t>ă</w:t>
      </w:r>
      <w:r>
        <w:rPr>
          <w:spacing w:val="-2"/>
          <w:szCs w:val="22"/>
          <w:lang w:eastAsia="en-US" w:bidi="ar-SA"/>
        </w:rPr>
        <w:t xml:space="preserve"> faţă </w:t>
      </w:r>
      <w:r>
        <w:rPr>
          <w:szCs w:val="22"/>
          <w:lang w:eastAsia="en-US" w:bidi="ar-SA"/>
        </w:rPr>
        <w:t xml:space="preserve">de </w:t>
      </w:r>
      <w:r>
        <w:rPr>
          <w:spacing w:val="-2"/>
          <w:szCs w:val="22"/>
          <w:lang w:eastAsia="en-US" w:bidi="ar-SA"/>
        </w:rPr>
        <w:t>l</w:t>
      </w:r>
      <w:r>
        <w:rPr>
          <w:szCs w:val="22"/>
          <w:lang w:eastAsia="en-US" w:bidi="ar-SA"/>
        </w:rPr>
        <w:t>u</w:t>
      </w:r>
      <w:r>
        <w:rPr>
          <w:spacing w:val="-4"/>
          <w:szCs w:val="22"/>
          <w:lang w:eastAsia="en-US" w:bidi="ar-SA"/>
        </w:rPr>
        <w:t>m</w:t>
      </w:r>
      <w:r>
        <w:rPr>
          <w:spacing w:val="1"/>
          <w:szCs w:val="22"/>
          <w:lang w:eastAsia="en-US" w:bidi="ar-SA"/>
        </w:rPr>
        <w:t>i</w:t>
      </w:r>
      <w:r>
        <w:rPr>
          <w:szCs w:val="22"/>
          <w:lang w:eastAsia="en-US" w:bidi="ar-SA"/>
        </w:rPr>
        <w:t>nă,</w:t>
      </w:r>
      <w:r>
        <w:t xml:space="preserve"> şi trebuie aruncată</w:t>
      </w:r>
      <w:r>
        <w:rPr>
          <w:szCs w:val="22"/>
          <w:lang w:eastAsia="en-US" w:bidi="ar-SA"/>
        </w:rPr>
        <w:t xml:space="preserve"> dacă nu se utilizează în acest interval de 14 zile</w:t>
      </w:r>
      <w:r>
        <w:t>.</w:t>
      </w:r>
    </w:p>
    <w:p w14:paraId="3FAE6B5B" w14:textId="77777777" w:rsidR="00C04CAD" w:rsidRDefault="00C04CAD">
      <w:pPr>
        <w:numPr>
          <w:ilvl w:val="12"/>
          <w:numId w:val="0"/>
        </w:numPr>
        <w:tabs>
          <w:tab w:val="clear" w:pos="567"/>
        </w:tabs>
        <w:spacing w:line="240" w:lineRule="auto"/>
        <w:ind w:right="-2"/>
        <w:rPr>
          <w:szCs w:val="22"/>
        </w:rPr>
      </w:pPr>
    </w:p>
    <w:p w14:paraId="215954DB" w14:textId="77777777" w:rsidR="00C04CAD" w:rsidRDefault="00060E34">
      <w:pPr>
        <w:numPr>
          <w:ilvl w:val="12"/>
          <w:numId w:val="0"/>
        </w:numPr>
        <w:tabs>
          <w:tab w:val="clear" w:pos="567"/>
        </w:tabs>
        <w:spacing w:line="240" w:lineRule="auto"/>
        <w:ind w:right="-2"/>
        <w:rPr>
          <w:i/>
          <w:iCs/>
          <w:szCs w:val="22"/>
        </w:rPr>
      </w:pPr>
      <w:r>
        <w:t>Nu aruncați niciun medicament pe calea apei sau a reziduurilor menajere. Întrebați farmacistul cum să aruncați medicamentele pe care nu le mai folosiți. Aceste măsuri vor ajuta la protejarea mediului.</w:t>
      </w:r>
    </w:p>
    <w:p w14:paraId="7B192461" w14:textId="77777777" w:rsidR="00C04CAD" w:rsidRDefault="00C04CAD">
      <w:pPr>
        <w:numPr>
          <w:ilvl w:val="12"/>
          <w:numId w:val="0"/>
        </w:numPr>
        <w:tabs>
          <w:tab w:val="clear" w:pos="567"/>
        </w:tabs>
        <w:spacing w:line="240" w:lineRule="auto"/>
        <w:ind w:right="-2"/>
        <w:rPr>
          <w:szCs w:val="22"/>
        </w:rPr>
      </w:pPr>
    </w:p>
    <w:p w14:paraId="0E95A0BE" w14:textId="77777777" w:rsidR="00C04CAD" w:rsidRDefault="00C04CAD">
      <w:pPr>
        <w:numPr>
          <w:ilvl w:val="12"/>
          <w:numId w:val="0"/>
        </w:numPr>
        <w:tabs>
          <w:tab w:val="clear" w:pos="567"/>
        </w:tabs>
        <w:spacing w:line="240" w:lineRule="auto"/>
        <w:ind w:right="-2"/>
        <w:rPr>
          <w:szCs w:val="22"/>
        </w:rPr>
      </w:pPr>
    </w:p>
    <w:p w14:paraId="1D44441C" w14:textId="77777777" w:rsidR="00C04CAD" w:rsidRDefault="00060E34">
      <w:pPr>
        <w:keepNext/>
        <w:numPr>
          <w:ilvl w:val="0"/>
          <w:numId w:val="49"/>
        </w:numPr>
        <w:spacing w:line="240" w:lineRule="auto"/>
        <w:ind w:left="561" w:hanging="567"/>
        <w:rPr>
          <w:b/>
        </w:rPr>
      </w:pPr>
      <w:r>
        <w:rPr>
          <w:b/>
        </w:rPr>
        <w:t>Conținutul ambalajului și alte informații</w:t>
      </w:r>
    </w:p>
    <w:p w14:paraId="5EF5AAA8" w14:textId="77777777" w:rsidR="00C04CAD" w:rsidRDefault="00C04CAD">
      <w:pPr>
        <w:keepNext/>
        <w:numPr>
          <w:ilvl w:val="12"/>
          <w:numId w:val="0"/>
        </w:numPr>
        <w:tabs>
          <w:tab w:val="clear" w:pos="567"/>
        </w:tabs>
        <w:spacing w:line="240" w:lineRule="auto"/>
      </w:pPr>
    </w:p>
    <w:p w14:paraId="11A0C99F" w14:textId="77777777" w:rsidR="00C04CAD" w:rsidRDefault="00060E34">
      <w:pPr>
        <w:numPr>
          <w:ilvl w:val="12"/>
          <w:numId w:val="0"/>
        </w:numPr>
        <w:tabs>
          <w:tab w:val="clear" w:pos="567"/>
        </w:tabs>
        <w:spacing w:line="240" w:lineRule="auto"/>
        <w:ind w:right="-2"/>
        <w:rPr>
          <w:b/>
        </w:rPr>
      </w:pPr>
      <w:r>
        <w:rPr>
          <w:b/>
        </w:rPr>
        <w:t>Ce conține AMGEVITA</w:t>
      </w:r>
    </w:p>
    <w:p w14:paraId="6063A363" w14:textId="77777777" w:rsidR="00C04CAD" w:rsidRDefault="00060E34">
      <w:pPr>
        <w:pStyle w:val="BodyText"/>
        <w:numPr>
          <w:ilvl w:val="0"/>
          <w:numId w:val="65"/>
        </w:numPr>
        <w:kinsoku w:val="0"/>
        <w:overflowPunct w:val="0"/>
        <w:autoSpaceDE w:val="0"/>
        <w:autoSpaceDN w:val="0"/>
        <w:adjustRightInd w:val="0"/>
        <w:ind w:left="567" w:hanging="567"/>
        <w:rPr>
          <w:i w:val="0"/>
          <w:color w:val="auto"/>
        </w:rPr>
      </w:pPr>
      <w:r>
        <w:rPr>
          <w:i w:val="0"/>
          <w:color w:val="auto"/>
        </w:rPr>
        <w:t>Substanţa activă este adalimumab. Fiecare seringă preumplută conţine adalimumab 20 mg în</w:t>
      </w:r>
    </w:p>
    <w:p w14:paraId="698009DE" w14:textId="77777777" w:rsidR="00C04CAD" w:rsidRDefault="00060E34">
      <w:pPr>
        <w:tabs>
          <w:tab w:val="clear" w:pos="567"/>
          <w:tab w:val="left" w:pos="426"/>
        </w:tabs>
        <w:spacing w:line="240" w:lineRule="auto"/>
        <w:ind w:left="567"/>
        <w:rPr>
          <w:szCs w:val="22"/>
        </w:rPr>
      </w:pPr>
      <w:r>
        <w:rPr>
          <w:szCs w:val="22"/>
        </w:rPr>
        <w:t>0,4 ml soluţie sau adalimumab 40 mg în 0,8 ml soluţie.</w:t>
      </w:r>
    </w:p>
    <w:p w14:paraId="700781FB" w14:textId="77777777" w:rsidR="00C04CAD" w:rsidRDefault="00060E34">
      <w:pPr>
        <w:pStyle w:val="BodyText"/>
        <w:numPr>
          <w:ilvl w:val="0"/>
          <w:numId w:val="65"/>
        </w:numPr>
        <w:kinsoku w:val="0"/>
        <w:overflowPunct w:val="0"/>
        <w:autoSpaceDE w:val="0"/>
        <w:autoSpaceDN w:val="0"/>
        <w:adjustRightInd w:val="0"/>
        <w:ind w:left="567" w:hanging="567"/>
        <w:rPr>
          <w:i w:val="0"/>
          <w:color w:val="auto"/>
        </w:rPr>
      </w:pPr>
      <w:r>
        <w:rPr>
          <w:i w:val="0"/>
          <w:color w:val="auto"/>
        </w:rPr>
        <w:t>Celelalte componente sunt acid acetic glacial, sucroză, polisorbat 80, hidroxid de sodiu şi apă pentru preparate injectabile.</w:t>
      </w:r>
    </w:p>
    <w:p w14:paraId="6B126F72" w14:textId="77777777" w:rsidR="00C04CAD" w:rsidRDefault="00C04CAD">
      <w:pPr>
        <w:keepNext/>
        <w:tabs>
          <w:tab w:val="clear" w:pos="567"/>
        </w:tabs>
        <w:spacing w:line="240" w:lineRule="auto"/>
        <w:ind w:right="-2"/>
        <w:rPr>
          <w:szCs w:val="22"/>
        </w:rPr>
      </w:pPr>
    </w:p>
    <w:p w14:paraId="3D4A4C98" w14:textId="77777777" w:rsidR="00C04CAD" w:rsidRDefault="00060E34">
      <w:pPr>
        <w:numPr>
          <w:ilvl w:val="12"/>
          <w:numId w:val="0"/>
        </w:numPr>
        <w:tabs>
          <w:tab w:val="clear" w:pos="567"/>
        </w:tabs>
        <w:spacing w:line="240" w:lineRule="auto"/>
        <w:ind w:right="-2"/>
        <w:rPr>
          <w:b/>
          <w:szCs w:val="22"/>
        </w:rPr>
      </w:pPr>
      <w:r>
        <w:rPr>
          <w:b/>
          <w:szCs w:val="22"/>
        </w:rPr>
        <w:t>Cum arată AMGEVITA și conținutul ambalajului</w:t>
      </w:r>
    </w:p>
    <w:p w14:paraId="66693783" w14:textId="77777777" w:rsidR="00C04CAD" w:rsidRDefault="00C04CAD">
      <w:pPr>
        <w:numPr>
          <w:ilvl w:val="12"/>
          <w:numId w:val="0"/>
        </w:numPr>
        <w:tabs>
          <w:tab w:val="clear" w:pos="567"/>
        </w:tabs>
        <w:spacing w:line="240" w:lineRule="auto"/>
        <w:rPr>
          <w:szCs w:val="22"/>
        </w:rPr>
      </w:pPr>
    </w:p>
    <w:p w14:paraId="6D8383B0" w14:textId="77777777" w:rsidR="00C04CAD" w:rsidRDefault="00060E34">
      <w:pPr>
        <w:tabs>
          <w:tab w:val="clear" w:pos="567"/>
        </w:tabs>
        <w:autoSpaceDE w:val="0"/>
        <w:autoSpaceDN w:val="0"/>
        <w:adjustRightInd w:val="0"/>
        <w:spacing w:line="240" w:lineRule="auto"/>
        <w:rPr>
          <w:b/>
          <w:bCs/>
          <w:szCs w:val="22"/>
          <w:lang w:eastAsia="en-US" w:bidi="ar-SA"/>
        </w:rPr>
      </w:pPr>
      <w:r>
        <w:rPr>
          <w:szCs w:val="22"/>
          <w:lang w:eastAsia="en-US" w:bidi="ar-SA"/>
        </w:rPr>
        <w:t xml:space="preserve">AMGEVITA este o soluție limpede </w:t>
      </w:r>
      <w:r>
        <w:rPr>
          <w:szCs w:val="22"/>
        </w:rPr>
        <w:t>şi incoloră până la uşor gălbuie</w:t>
      </w:r>
      <w:r>
        <w:rPr>
          <w:szCs w:val="22"/>
          <w:lang w:eastAsia="en-US" w:bidi="ar-SA"/>
        </w:rPr>
        <w:t>.</w:t>
      </w:r>
    </w:p>
    <w:p w14:paraId="695FF4B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13CF5F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Fiecareambalajconţine1 seringă preumplută de unică utilizare de 20 mg (cu piston de culoare galbenă). </w:t>
      </w:r>
    </w:p>
    <w:p w14:paraId="3AB4CF8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Fiecareambalajconţine1,2, 4 sau6 seringi preumplute de unică utilizare de 40 mg (cu piston de culoare albastră).</w:t>
      </w:r>
    </w:p>
    <w:p w14:paraId="458992B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CDF37C" w14:textId="77777777" w:rsidR="00C04CAD" w:rsidRDefault="00060E34">
      <w:pPr>
        <w:keepNext/>
        <w:numPr>
          <w:ilvl w:val="12"/>
          <w:numId w:val="0"/>
        </w:numPr>
        <w:tabs>
          <w:tab w:val="clear" w:pos="567"/>
        </w:tabs>
        <w:spacing w:line="240" w:lineRule="auto"/>
        <w:ind w:right="-2"/>
        <w:rPr>
          <w:b/>
          <w:szCs w:val="22"/>
        </w:rPr>
      </w:pPr>
      <w:r>
        <w:rPr>
          <w:b/>
          <w:szCs w:val="22"/>
        </w:rPr>
        <w:t>Deținătorul autorizației de punere pe piață și fabricantul</w:t>
      </w:r>
    </w:p>
    <w:p w14:paraId="7D02ABB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Amgen Europe B.V.</w:t>
      </w:r>
    </w:p>
    <w:p w14:paraId="6A81A8B9"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Minervum 7061</w:t>
      </w:r>
    </w:p>
    <w:p w14:paraId="0B32B22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4817 ZK Breda</w:t>
      </w:r>
    </w:p>
    <w:p w14:paraId="32E84533" w14:textId="77777777" w:rsidR="00C04CAD" w:rsidRDefault="00060E34">
      <w:pPr>
        <w:numPr>
          <w:ilvl w:val="12"/>
          <w:numId w:val="0"/>
        </w:numPr>
        <w:tabs>
          <w:tab w:val="clear" w:pos="567"/>
        </w:tabs>
        <w:spacing w:line="240" w:lineRule="auto"/>
        <w:ind w:right="-2"/>
        <w:rPr>
          <w:szCs w:val="22"/>
        </w:rPr>
      </w:pPr>
      <w:r>
        <w:rPr>
          <w:szCs w:val="22"/>
          <w:lang w:eastAsia="en-US" w:bidi="ar-SA"/>
        </w:rPr>
        <w:t>Olanda</w:t>
      </w:r>
    </w:p>
    <w:p w14:paraId="13B38B9F" w14:textId="77777777" w:rsidR="00C04CAD" w:rsidRDefault="00C04CAD">
      <w:pPr>
        <w:numPr>
          <w:ilvl w:val="12"/>
          <w:numId w:val="0"/>
        </w:numPr>
        <w:tabs>
          <w:tab w:val="clear" w:pos="567"/>
        </w:tabs>
        <w:spacing w:line="240" w:lineRule="auto"/>
        <w:ind w:right="-2"/>
        <w:rPr>
          <w:szCs w:val="22"/>
        </w:rPr>
      </w:pPr>
    </w:p>
    <w:p w14:paraId="6A002149" w14:textId="77777777" w:rsidR="00C04CAD" w:rsidRDefault="00060E34">
      <w:pPr>
        <w:tabs>
          <w:tab w:val="clear" w:pos="567"/>
        </w:tabs>
        <w:kinsoku w:val="0"/>
        <w:overflowPunct w:val="0"/>
        <w:autoSpaceDE w:val="0"/>
        <w:autoSpaceDN w:val="0"/>
        <w:adjustRightInd w:val="0"/>
        <w:spacing w:line="240" w:lineRule="auto"/>
        <w:rPr>
          <w:b/>
          <w:szCs w:val="22"/>
          <w:highlight w:val="lightGray"/>
          <w:lang w:eastAsia="en-US" w:bidi="ar-SA"/>
        </w:rPr>
      </w:pPr>
      <w:r>
        <w:rPr>
          <w:b/>
          <w:szCs w:val="22"/>
          <w:highlight w:val="lightGray"/>
          <w:lang w:eastAsia="en-US" w:bidi="ar-SA"/>
        </w:rPr>
        <w:t>Deţinătorulautorizaţieide punere pe piaţă</w:t>
      </w:r>
    </w:p>
    <w:p w14:paraId="2209D526"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Europe B.V.</w:t>
      </w:r>
    </w:p>
    <w:p w14:paraId="6E42CE4C"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Minervum 7061</w:t>
      </w:r>
    </w:p>
    <w:p w14:paraId="13F11BFE"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4817 ZK Breda</w:t>
      </w:r>
    </w:p>
    <w:p w14:paraId="23CBA5C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Olanda</w:t>
      </w:r>
    </w:p>
    <w:p w14:paraId="56A3C09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31F95DA" w14:textId="77777777" w:rsidR="00C04CAD" w:rsidRDefault="00060E34">
      <w:pPr>
        <w:tabs>
          <w:tab w:val="clear" w:pos="567"/>
        </w:tabs>
        <w:kinsoku w:val="0"/>
        <w:overflowPunct w:val="0"/>
        <w:autoSpaceDE w:val="0"/>
        <w:autoSpaceDN w:val="0"/>
        <w:adjustRightInd w:val="0"/>
        <w:spacing w:line="240" w:lineRule="auto"/>
        <w:outlineLvl w:val="0"/>
        <w:rPr>
          <w:szCs w:val="22"/>
          <w:highlight w:val="lightGray"/>
          <w:lang w:eastAsia="en-US" w:bidi="ar-SA"/>
        </w:rPr>
      </w:pPr>
      <w:r>
        <w:rPr>
          <w:b/>
          <w:bCs/>
          <w:szCs w:val="22"/>
          <w:highlight w:val="lightGray"/>
          <w:lang w:eastAsia="en-US" w:bidi="ar-SA"/>
        </w:rPr>
        <w:t>Fabricantul</w:t>
      </w:r>
    </w:p>
    <w:p w14:paraId="4DC4ACDA"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Technology Ireland UC</w:t>
      </w:r>
    </w:p>
    <w:p w14:paraId="0D280D2D"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Pottery Road</w:t>
      </w:r>
    </w:p>
    <w:p w14:paraId="548E32FD"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Dun Laoghaire</w:t>
      </w:r>
    </w:p>
    <w:p w14:paraId="6E47043A"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Co Dublin</w:t>
      </w:r>
    </w:p>
    <w:p w14:paraId="357A09A0" w14:textId="77777777" w:rsidR="00C04CAD" w:rsidRDefault="00060E34">
      <w:pPr>
        <w:numPr>
          <w:ilvl w:val="12"/>
          <w:numId w:val="0"/>
        </w:numPr>
        <w:tabs>
          <w:tab w:val="clear" w:pos="567"/>
        </w:tabs>
        <w:spacing w:line="240" w:lineRule="auto"/>
        <w:ind w:right="-2"/>
      </w:pPr>
      <w:r>
        <w:rPr>
          <w:szCs w:val="24"/>
          <w:highlight w:val="lightGray"/>
          <w:lang w:eastAsia="en-US" w:bidi="ar-SA"/>
        </w:rPr>
        <w:t>Irlanda</w:t>
      </w:r>
    </w:p>
    <w:p w14:paraId="25D00FF9" w14:textId="77777777" w:rsidR="00C04CAD" w:rsidRDefault="00C04CAD">
      <w:pPr>
        <w:numPr>
          <w:ilvl w:val="12"/>
          <w:numId w:val="0"/>
        </w:numPr>
        <w:tabs>
          <w:tab w:val="clear" w:pos="567"/>
        </w:tabs>
        <w:spacing w:line="240" w:lineRule="auto"/>
        <w:ind w:right="-2"/>
      </w:pPr>
    </w:p>
    <w:p w14:paraId="3A019CEC" w14:textId="77777777" w:rsidR="00C04CAD" w:rsidRDefault="00060E34">
      <w:pPr>
        <w:keepNext/>
        <w:spacing w:line="240" w:lineRule="auto"/>
        <w:rPr>
          <w:lang w:eastAsia="ja-JP"/>
        </w:rPr>
      </w:pPr>
      <w:r>
        <w:rPr>
          <w:b/>
          <w:bCs/>
          <w:szCs w:val="22"/>
          <w:highlight w:val="lightGray"/>
          <w:lang w:eastAsia="en-US" w:bidi="ar-SA"/>
        </w:rPr>
        <w:t>Fabricantul</w:t>
      </w:r>
    </w:p>
    <w:p w14:paraId="6AEDDEED" w14:textId="77777777" w:rsidR="00C04CAD" w:rsidRDefault="00060E34">
      <w:pPr>
        <w:keepNext/>
        <w:spacing w:line="240" w:lineRule="auto"/>
        <w:rPr>
          <w:highlight w:val="lightGray"/>
          <w:lang w:eastAsia="ja-JP"/>
        </w:rPr>
      </w:pPr>
      <w:r>
        <w:rPr>
          <w:highlight w:val="lightGray"/>
          <w:lang w:eastAsia="ja-JP"/>
        </w:rPr>
        <w:t>Amgen NV</w:t>
      </w:r>
    </w:p>
    <w:p w14:paraId="428E1818" w14:textId="77777777" w:rsidR="00C04CAD" w:rsidRDefault="00060E34">
      <w:pPr>
        <w:autoSpaceDE w:val="0"/>
        <w:autoSpaceDN w:val="0"/>
        <w:spacing w:line="240" w:lineRule="auto"/>
        <w:rPr>
          <w:highlight w:val="lightGray"/>
          <w:lang w:eastAsia="ja-JP"/>
        </w:rPr>
      </w:pPr>
      <w:r>
        <w:rPr>
          <w:highlight w:val="lightGray"/>
          <w:lang w:eastAsia="ja-JP"/>
        </w:rPr>
        <w:t>Telecomlaan 5-7</w:t>
      </w:r>
    </w:p>
    <w:p w14:paraId="603F1D12" w14:textId="77777777" w:rsidR="00C04CAD" w:rsidRDefault="00060E34">
      <w:pPr>
        <w:spacing w:line="240" w:lineRule="auto"/>
        <w:rPr>
          <w:highlight w:val="lightGray"/>
          <w:lang w:eastAsia="ja-JP"/>
        </w:rPr>
      </w:pPr>
      <w:r>
        <w:rPr>
          <w:highlight w:val="lightGray"/>
          <w:lang w:eastAsia="ja-JP"/>
        </w:rPr>
        <w:t>1831 Diegem</w:t>
      </w:r>
    </w:p>
    <w:p w14:paraId="704B18E6" w14:textId="77777777" w:rsidR="00C04CAD" w:rsidRDefault="00060E34">
      <w:pPr>
        <w:numPr>
          <w:ilvl w:val="12"/>
          <w:numId w:val="0"/>
        </w:numPr>
        <w:tabs>
          <w:tab w:val="clear" w:pos="567"/>
        </w:tabs>
        <w:spacing w:line="240" w:lineRule="auto"/>
        <w:ind w:right="-2"/>
      </w:pPr>
      <w:r>
        <w:rPr>
          <w:highlight w:val="lightGray"/>
          <w:lang w:eastAsia="ja-JP"/>
        </w:rPr>
        <w:t>Belgia</w:t>
      </w:r>
    </w:p>
    <w:p w14:paraId="0C0715D6" w14:textId="77777777" w:rsidR="00C04CAD" w:rsidRDefault="00C04CAD">
      <w:pPr>
        <w:numPr>
          <w:ilvl w:val="12"/>
          <w:numId w:val="0"/>
        </w:numPr>
        <w:tabs>
          <w:tab w:val="clear" w:pos="567"/>
        </w:tabs>
        <w:spacing w:line="240" w:lineRule="auto"/>
        <w:ind w:right="-2"/>
      </w:pPr>
    </w:p>
    <w:p w14:paraId="06DD63F9" w14:textId="77777777" w:rsidR="00C04CAD" w:rsidRDefault="00060E34">
      <w:pPr>
        <w:keepNext/>
        <w:numPr>
          <w:ilvl w:val="12"/>
          <w:numId w:val="0"/>
        </w:numPr>
        <w:tabs>
          <w:tab w:val="clear" w:pos="567"/>
        </w:tabs>
        <w:spacing w:line="240" w:lineRule="auto"/>
        <w:ind w:right="-2"/>
        <w:rPr>
          <w:szCs w:val="22"/>
        </w:rPr>
      </w:pPr>
      <w:bookmarkStart w:id="14" w:name="_Hlk104982141"/>
      <w:r>
        <w:t>Pentru orice informații referitoare la acest medicament, vă rugăm să contactați reprezentanța locală a deținătorului autorizației de punere pe piață:</w:t>
      </w:r>
    </w:p>
    <w:p w14:paraId="765107E4" w14:textId="77777777" w:rsidR="00C04CAD" w:rsidRDefault="00C04CAD">
      <w:pPr>
        <w:keepNext/>
        <w:spacing w:line="240" w:lineRule="auto"/>
        <w:rPr>
          <w:szCs w:val="22"/>
        </w:rPr>
      </w:pPr>
    </w:p>
    <w:tbl>
      <w:tblPr>
        <w:tblW w:w="9356" w:type="dxa"/>
        <w:tblLook w:val="04A0" w:firstRow="1" w:lastRow="0" w:firstColumn="1" w:lastColumn="0" w:noHBand="0" w:noVBand="1"/>
      </w:tblPr>
      <w:tblGrid>
        <w:gridCol w:w="4677"/>
        <w:gridCol w:w="4679"/>
      </w:tblGrid>
      <w:tr w:rsidR="00C04CAD" w14:paraId="5929C4C3" w14:textId="77777777">
        <w:trPr>
          <w:cantSplit/>
        </w:trPr>
        <w:tc>
          <w:tcPr>
            <w:tcW w:w="4677" w:type="dxa"/>
          </w:tcPr>
          <w:p w14:paraId="1DA8BE20" w14:textId="77777777" w:rsidR="00C04CAD" w:rsidRDefault="00060E34">
            <w:pPr>
              <w:keepNext/>
              <w:spacing w:line="240" w:lineRule="auto"/>
              <w:rPr>
                <w:rFonts w:eastAsia="PMingLiU"/>
                <w:szCs w:val="22"/>
                <w:lang w:eastAsia="en-US" w:bidi="ar-SA"/>
              </w:rPr>
            </w:pPr>
            <w:r>
              <w:rPr>
                <w:rFonts w:eastAsia="PMingLiU"/>
                <w:b/>
                <w:szCs w:val="22"/>
                <w:lang w:eastAsia="en-US" w:bidi="ar-SA"/>
              </w:rPr>
              <w:t>België/Belgique/Belgien</w:t>
            </w:r>
          </w:p>
          <w:p w14:paraId="6D9294AF" w14:textId="77777777" w:rsidR="00C04CAD" w:rsidRDefault="00060E34">
            <w:pPr>
              <w:keepNext/>
              <w:spacing w:line="240" w:lineRule="auto"/>
              <w:rPr>
                <w:rFonts w:eastAsia="PMingLiU"/>
                <w:szCs w:val="22"/>
                <w:lang w:eastAsia="en-US" w:bidi="ar-SA"/>
              </w:rPr>
            </w:pPr>
            <w:r>
              <w:rPr>
                <w:rFonts w:eastAsia="PMingLiU"/>
                <w:szCs w:val="22"/>
                <w:lang w:eastAsia="en-US" w:bidi="ar-SA"/>
              </w:rPr>
              <w:t>s.a. Amgen n.v.</w:t>
            </w:r>
          </w:p>
          <w:p w14:paraId="2B5EED38" w14:textId="77777777" w:rsidR="00C04CAD" w:rsidRDefault="00060E34">
            <w:pPr>
              <w:keepNext/>
              <w:tabs>
                <w:tab w:val="clear" w:pos="567"/>
              </w:tabs>
              <w:autoSpaceDE w:val="0"/>
              <w:autoSpaceDN w:val="0"/>
              <w:adjustRightInd w:val="0"/>
              <w:spacing w:line="240" w:lineRule="auto"/>
              <w:rPr>
                <w:szCs w:val="22"/>
                <w:lang w:eastAsia="en-US" w:bidi="ar-SA"/>
              </w:rPr>
            </w:pPr>
            <w:r>
              <w:rPr>
                <w:szCs w:val="22"/>
              </w:rPr>
              <w:t>Tél/</w:t>
            </w:r>
            <w:r>
              <w:rPr>
                <w:szCs w:val="22"/>
                <w:lang w:eastAsia="en-US" w:bidi="ar-SA"/>
              </w:rPr>
              <w:t>Tel: +32 (0)2 7752711</w:t>
            </w:r>
          </w:p>
          <w:p w14:paraId="73BF49B1" w14:textId="77777777" w:rsidR="00C04CAD" w:rsidRDefault="00C04CAD">
            <w:pPr>
              <w:keepNext/>
              <w:tabs>
                <w:tab w:val="clear" w:pos="567"/>
              </w:tabs>
              <w:autoSpaceDE w:val="0"/>
              <w:autoSpaceDN w:val="0"/>
              <w:adjustRightInd w:val="0"/>
              <w:spacing w:line="240" w:lineRule="auto"/>
              <w:rPr>
                <w:szCs w:val="22"/>
                <w:lang w:eastAsia="en-US" w:bidi="ar-SA"/>
              </w:rPr>
            </w:pPr>
          </w:p>
        </w:tc>
        <w:tc>
          <w:tcPr>
            <w:tcW w:w="4679" w:type="dxa"/>
          </w:tcPr>
          <w:p w14:paraId="0C7B0F07" w14:textId="77777777" w:rsidR="00C04CAD" w:rsidRDefault="00060E34">
            <w:pPr>
              <w:keepNext/>
              <w:spacing w:line="240" w:lineRule="auto"/>
              <w:rPr>
                <w:rFonts w:eastAsia="PMingLiU"/>
                <w:b/>
                <w:szCs w:val="22"/>
                <w:lang w:eastAsia="en-US" w:bidi="ar-SA"/>
              </w:rPr>
            </w:pPr>
            <w:r>
              <w:rPr>
                <w:rFonts w:eastAsia="PMingLiU"/>
                <w:b/>
                <w:szCs w:val="22"/>
                <w:lang w:eastAsia="en-US" w:bidi="ar-SA"/>
              </w:rPr>
              <w:t>Lietuva</w:t>
            </w:r>
          </w:p>
          <w:p w14:paraId="67FC3F9B" w14:textId="77777777" w:rsidR="00C04CAD" w:rsidRDefault="00060E34">
            <w:pPr>
              <w:keepNext/>
              <w:spacing w:line="240" w:lineRule="auto"/>
              <w:rPr>
                <w:rFonts w:eastAsia="PMingLiU"/>
                <w:bCs/>
                <w:szCs w:val="22"/>
                <w:lang w:eastAsia="en-US" w:bidi="ar-SA"/>
              </w:rPr>
            </w:pPr>
            <w:r>
              <w:rPr>
                <w:rFonts w:eastAsia="PMingLiU"/>
                <w:szCs w:val="22"/>
                <w:lang w:eastAsia="en-US" w:bidi="ar-SA"/>
              </w:rPr>
              <w:t>Amgen Switzerland AG Vilniaus filialas</w:t>
            </w:r>
          </w:p>
          <w:p w14:paraId="532102C3" w14:textId="77777777" w:rsidR="00C04CAD" w:rsidRDefault="00060E34">
            <w:pPr>
              <w:keepNext/>
              <w:spacing w:line="240" w:lineRule="auto"/>
              <w:rPr>
                <w:rFonts w:eastAsia="PMingLiU"/>
                <w:bCs/>
                <w:szCs w:val="22"/>
                <w:lang w:eastAsia="en-US" w:bidi="ar-SA"/>
              </w:rPr>
            </w:pPr>
            <w:r>
              <w:rPr>
                <w:rFonts w:eastAsia="PMingLiU"/>
                <w:bCs/>
                <w:szCs w:val="22"/>
                <w:lang w:eastAsia="en-US" w:bidi="ar-SA"/>
              </w:rPr>
              <w:t>Tel</w:t>
            </w:r>
            <w:del w:id="15" w:author="Author">
              <w:r>
                <w:rPr>
                  <w:rFonts w:eastAsia="PMingLiU"/>
                  <w:bCs/>
                  <w:szCs w:val="22"/>
                  <w:lang w:eastAsia="en-US" w:bidi="ar-SA"/>
                </w:rPr>
                <w:delText>:</w:delText>
              </w:r>
            </w:del>
            <w:ins w:id="16" w:author="Author">
              <w:r>
                <w:rPr>
                  <w:rFonts w:eastAsia="PMingLiU"/>
                  <w:bCs/>
                  <w:szCs w:val="22"/>
                  <w:lang w:eastAsia="en-US" w:bidi="ar-SA"/>
                </w:rPr>
                <w:t>.</w:t>
              </w:r>
            </w:ins>
            <w:r>
              <w:rPr>
                <w:rFonts w:eastAsia="PMingLiU"/>
                <w:bCs/>
                <w:szCs w:val="22"/>
                <w:lang w:eastAsia="en-US" w:bidi="ar-SA"/>
              </w:rPr>
              <w:t xml:space="preserve"> +370 5 219 7474</w:t>
            </w:r>
          </w:p>
          <w:p w14:paraId="3473CA6F" w14:textId="77777777" w:rsidR="00C04CAD" w:rsidRDefault="00C04CAD">
            <w:pPr>
              <w:keepNext/>
              <w:tabs>
                <w:tab w:val="clear" w:pos="567"/>
              </w:tabs>
              <w:autoSpaceDE w:val="0"/>
              <w:autoSpaceDN w:val="0"/>
              <w:adjustRightInd w:val="0"/>
              <w:spacing w:line="240" w:lineRule="auto"/>
              <w:rPr>
                <w:szCs w:val="22"/>
                <w:lang w:eastAsia="en-US" w:bidi="ar-SA"/>
              </w:rPr>
            </w:pPr>
          </w:p>
        </w:tc>
      </w:tr>
      <w:tr w:rsidR="00C04CAD" w14:paraId="31DC9DBD" w14:textId="77777777">
        <w:trPr>
          <w:cantSplit/>
        </w:trPr>
        <w:tc>
          <w:tcPr>
            <w:tcW w:w="4677" w:type="dxa"/>
          </w:tcPr>
          <w:p w14:paraId="326E4EC6" w14:textId="77777777" w:rsidR="00C04CAD" w:rsidRDefault="00060E34">
            <w:pPr>
              <w:tabs>
                <w:tab w:val="clear" w:pos="567"/>
              </w:tabs>
              <w:autoSpaceDE w:val="0"/>
              <w:autoSpaceDN w:val="0"/>
              <w:adjustRightInd w:val="0"/>
              <w:spacing w:line="240" w:lineRule="auto"/>
              <w:rPr>
                <w:b/>
                <w:szCs w:val="22"/>
                <w:lang w:eastAsia="en-US" w:bidi="ar-SA"/>
              </w:rPr>
            </w:pPr>
            <w:r>
              <w:rPr>
                <w:b/>
                <w:szCs w:val="22"/>
                <w:lang w:eastAsia="en-US" w:bidi="ar-SA"/>
              </w:rPr>
              <w:t>България</w:t>
            </w:r>
          </w:p>
          <w:p w14:paraId="4CD0C4EA" w14:textId="77777777" w:rsidR="00C04CAD" w:rsidRDefault="00060E34">
            <w:pPr>
              <w:spacing w:line="240" w:lineRule="auto"/>
              <w:rPr>
                <w:rFonts w:eastAsia="PMingLiU"/>
                <w:szCs w:val="22"/>
                <w:lang w:eastAsia="en-US" w:bidi="ar-SA"/>
              </w:rPr>
            </w:pPr>
            <w:r>
              <w:rPr>
                <w:rFonts w:eastAsia="Arial Unicode MS"/>
                <w:szCs w:val="22"/>
                <w:lang w:eastAsia="en-GB" w:bidi="ar-SA"/>
              </w:rPr>
              <w:t>Амджен България</w:t>
            </w:r>
            <w:r>
              <w:rPr>
                <w:rFonts w:eastAsia="PMingLiU"/>
                <w:szCs w:val="22"/>
                <w:lang w:eastAsia="en-US" w:bidi="ar-SA"/>
              </w:rPr>
              <w:t xml:space="preserve"> ЕООД</w:t>
            </w:r>
          </w:p>
          <w:p w14:paraId="001F2DB0" w14:textId="77777777" w:rsidR="00C04CAD" w:rsidRDefault="00060E34">
            <w:pPr>
              <w:spacing w:line="240" w:lineRule="auto"/>
              <w:rPr>
                <w:rFonts w:eastAsia="Arial Unicode MS"/>
                <w:bCs/>
                <w:szCs w:val="22"/>
                <w:lang w:eastAsia="en-US" w:bidi="ar-SA"/>
              </w:rPr>
            </w:pPr>
            <w:r>
              <w:rPr>
                <w:rFonts w:eastAsia="PMingLiU"/>
                <w:szCs w:val="22"/>
                <w:lang w:eastAsia="en-US" w:bidi="ar-SA"/>
              </w:rPr>
              <w:t>Тел</w:t>
            </w:r>
            <w:r>
              <w:rPr>
                <w:rFonts w:eastAsia="Arial Unicode MS"/>
                <w:szCs w:val="22"/>
                <w:lang w:eastAsia="en-GB" w:bidi="ar-SA"/>
              </w:rPr>
              <w:t>.: +</w:t>
            </w:r>
            <w:r>
              <w:rPr>
                <w:rFonts w:eastAsia="PMingLiU"/>
                <w:szCs w:val="22"/>
                <w:lang w:eastAsia="en-US" w:bidi="ar-SA"/>
              </w:rPr>
              <w:t xml:space="preserve">359 </w:t>
            </w:r>
            <w:r>
              <w:rPr>
                <w:rFonts w:eastAsia="Arial Unicode MS"/>
                <w:bCs/>
                <w:szCs w:val="22"/>
                <w:lang w:eastAsia="en-US" w:bidi="ar-SA"/>
              </w:rPr>
              <w:t>(0)</w:t>
            </w:r>
            <w:r>
              <w:rPr>
                <w:rFonts w:eastAsia="PMingLiU"/>
                <w:szCs w:val="22"/>
                <w:lang w:eastAsia="en-US" w:bidi="ar-SA"/>
              </w:rPr>
              <w:t>2</w:t>
            </w:r>
            <w:r>
              <w:rPr>
                <w:rFonts w:eastAsia="Arial Unicode MS"/>
                <w:bCs/>
                <w:szCs w:val="22"/>
                <w:lang w:eastAsia="en-US" w:bidi="ar-SA"/>
              </w:rPr>
              <w:t> 424 7440</w:t>
            </w:r>
          </w:p>
          <w:p w14:paraId="472862E6"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7366E09A" w14:textId="77777777" w:rsidR="00C04CAD" w:rsidRDefault="00060E34">
            <w:pPr>
              <w:spacing w:line="240" w:lineRule="auto"/>
              <w:rPr>
                <w:rFonts w:eastAsia="PMingLiU"/>
                <w:szCs w:val="22"/>
                <w:lang w:eastAsia="en-US" w:bidi="ar-SA"/>
              </w:rPr>
            </w:pPr>
            <w:r>
              <w:rPr>
                <w:rFonts w:eastAsia="PMingLiU"/>
                <w:b/>
                <w:szCs w:val="22"/>
                <w:lang w:eastAsia="en-US" w:bidi="ar-SA"/>
              </w:rPr>
              <w:t>Luxembourg/Luxemburg</w:t>
            </w:r>
          </w:p>
          <w:p w14:paraId="4CC3745F" w14:textId="77777777" w:rsidR="00C04CAD" w:rsidRDefault="00060E34">
            <w:pPr>
              <w:spacing w:line="240" w:lineRule="auto"/>
              <w:rPr>
                <w:rFonts w:eastAsia="PMingLiU"/>
                <w:szCs w:val="22"/>
                <w:lang w:eastAsia="en-US" w:bidi="ar-SA"/>
              </w:rPr>
            </w:pPr>
            <w:r>
              <w:rPr>
                <w:rFonts w:eastAsia="PMingLiU"/>
                <w:szCs w:val="22"/>
                <w:lang w:eastAsia="en-US" w:bidi="ar-SA"/>
              </w:rPr>
              <w:t xml:space="preserve">s.a. Amgen </w:t>
            </w:r>
          </w:p>
          <w:p w14:paraId="0154473E" w14:textId="77777777" w:rsidR="00C04CAD" w:rsidRDefault="00060E34">
            <w:pPr>
              <w:spacing w:line="240" w:lineRule="auto"/>
              <w:rPr>
                <w:rFonts w:eastAsia="PMingLiU"/>
                <w:szCs w:val="22"/>
                <w:lang w:eastAsia="en-US" w:bidi="ar-SA"/>
              </w:rPr>
            </w:pPr>
            <w:r>
              <w:rPr>
                <w:rFonts w:eastAsia="PMingLiU"/>
                <w:szCs w:val="22"/>
                <w:lang w:eastAsia="en-US" w:bidi="ar-SA"/>
              </w:rPr>
              <w:t>Belgique/Belgien</w:t>
            </w:r>
          </w:p>
          <w:p w14:paraId="193DCA20" w14:textId="77777777" w:rsidR="00C04CAD" w:rsidRDefault="00060E34">
            <w:pPr>
              <w:spacing w:line="240" w:lineRule="auto"/>
              <w:rPr>
                <w:rFonts w:eastAsia="PMingLiU"/>
                <w:szCs w:val="22"/>
                <w:lang w:eastAsia="en-US" w:bidi="ar-SA"/>
              </w:rPr>
            </w:pPr>
            <w:r>
              <w:rPr>
                <w:szCs w:val="22"/>
              </w:rPr>
              <w:t>Tél/</w:t>
            </w:r>
            <w:r>
              <w:rPr>
                <w:rFonts w:eastAsia="PMingLiU"/>
                <w:szCs w:val="22"/>
                <w:lang w:eastAsia="en-US" w:bidi="ar-SA"/>
              </w:rPr>
              <w:t>Tel: +32 (0)2 7752711</w:t>
            </w:r>
          </w:p>
          <w:p w14:paraId="727FF4BB"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5462724B" w14:textId="77777777">
        <w:trPr>
          <w:cantSplit/>
        </w:trPr>
        <w:tc>
          <w:tcPr>
            <w:tcW w:w="4677" w:type="dxa"/>
          </w:tcPr>
          <w:p w14:paraId="779C17D3" w14:textId="77777777" w:rsidR="00C04CAD" w:rsidRDefault="00060E34">
            <w:pPr>
              <w:keepNext/>
              <w:spacing w:line="240" w:lineRule="auto"/>
              <w:rPr>
                <w:rFonts w:eastAsia="PMingLiU"/>
                <w:b/>
                <w:lang w:eastAsia="en-US" w:bidi="ar-SA"/>
              </w:rPr>
            </w:pPr>
            <w:r>
              <w:rPr>
                <w:rFonts w:eastAsia="PMingLiU"/>
                <w:b/>
                <w:lang w:eastAsia="en-US" w:bidi="ar-SA"/>
              </w:rPr>
              <w:t>Česká republika</w:t>
            </w:r>
          </w:p>
          <w:p w14:paraId="3A4AF463" w14:textId="77777777" w:rsidR="00C04CAD" w:rsidRDefault="00060E34">
            <w:pPr>
              <w:keepNext/>
              <w:spacing w:line="240" w:lineRule="auto"/>
              <w:rPr>
                <w:rFonts w:eastAsia="PMingLiU"/>
                <w:lang w:eastAsia="en-US" w:bidi="ar-SA"/>
              </w:rPr>
            </w:pPr>
            <w:r>
              <w:rPr>
                <w:rFonts w:eastAsia="PMingLiU"/>
                <w:bCs/>
                <w:szCs w:val="22"/>
                <w:lang w:eastAsia="en-US" w:bidi="ar-SA"/>
              </w:rPr>
              <w:t>Amgen</w:t>
            </w:r>
            <w:r>
              <w:rPr>
                <w:rFonts w:eastAsia="PMingLiU"/>
                <w:lang w:eastAsia="en-US" w:bidi="ar-SA"/>
              </w:rPr>
              <w:t xml:space="preserve"> s.r.o.</w:t>
            </w:r>
          </w:p>
          <w:p w14:paraId="688E41D2" w14:textId="77777777" w:rsidR="00C04CAD" w:rsidRDefault="00060E34">
            <w:pPr>
              <w:keepNext/>
              <w:spacing w:line="240" w:lineRule="auto"/>
              <w:rPr>
                <w:rFonts w:eastAsia="PMingLiU"/>
                <w:bCs/>
                <w:szCs w:val="22"/>
                <w:lang w:eastAsia="en-US" w:bidi="ar-SA"/>
              </w:rPr>
            </w:pPr>
            <w:r>
              <w:rPr>
                <w:rFonts w:eastAsia="PMingLiU"/>
                <w:lang w:eastAsia="en-US" w:bidi="ar-SA"/>
              </w:rPr>
              <w:t xml:space="preserve">Tel: +420 </w:t>
            </w:r>
            <w:r>
              <w:rPr>
                <w:rFonts w:eastAsia="PMingLiU"/>
                <w:bCs/>
                <w:szCs w:val="22"/>
                <w:lang w:eastAsia="en-US" w:bidi="ar-SA"/>
              </w:rPr>
              <w:t>221 773 500</w:t>
            </w:r>
          </w:p>
          <w:p w14:paraId="347FF68C"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2C2229DC" w14:textId="77777777" w:rsidR="00C04CAD" w:rsidRDefault="00060E34">
            <w:pPr>
              <w:spacing w:line="240" w:lineRule="auto"/>
              <w:rPr>
                <w:rFonts w:eastAsia="PMingLiU"/>
                <w:b/>
                <w:lang w:eastAsia="en-US" w:bidi="ar-SA"/>
              </w:rPr>
            </w:pPr>
            <w:r>
              <w:rPr>
                <w:rFonts w:eastAsia="PMingLiU"/>
                <w:b/>
                <w:lang w:eastAsia="en-US" w:bidi="ar-SA"/>
              </w:rPr>
              <w:t>Magyarország</w:t>
            </w:r>
          </w:p>
          <w:p w14:paraId="35AC9DF6" w14:textId="77777777" w:rsidR="00C04CAD" w:rsidRDefault="00060E34">
            <w:pPr>
              <w:spacing w:line="240" w:lineRule="auto"/>
              <w:rPr>
                <w:rFonts w:eastAsia="PMingLiU"/>
                <w:lang w:eastAsia="en-US" w:bidi="ar-SA"/>
              </w:rPr>
            </w:pPr>
            <w:r>
              <w:rPr>
                <w:rFonts w:eastAsia="PMingLiU"/>
                <w:bCs/>
                <w:szCs w:val="22"/>
                <w:lang w:eastAsia="en-US" w:bidi="ar-SA"/>
              </w:rPr>
              <w:t>Amgen</w:t>
            </w:r>
            <w:r>
              <w:rPr>
                <w:rFonts w:eastAsia="PMingLiU"/>
                <w:lang w:eastAsia="en-US" w:bidi="ar-SA"/>
              </w:rPr>
              <w:t xml:space="preserve"> Kft.</w:t>
            </w:r>
          </w:p>
          <w:p w14:paraId="3A34B352" w14:textId="77777777" w:rsidR="00C04CAD" w:rsidRDefault="00060E34">
            <w:pPr>
              <w:spacing w:line="240" w:lineRule="auto"/>
              <w:rPr>
                <w:rFonts w:eastAsia="PMingLiU"/>
                <w:bCs/>
                <w:szCs w:val="22"/>
                <w:lang w:eastAsia="en-US" w:bidi="ar-SA"/>
              </w:rPr>
            </w:pPr>
            <w:r>
              <w:rPr>
                <w:rFonts w:eastAsia="PMingLiU"/>
                <w:lang w:eastAsia="en-US" w:bidi="ar-SA"/>
              </w:rPr>
              <w:t>Tel</w:t>
            </w:r>
            <w:r>
              <w:rPr>
                <w:rFonts w:eastAsia="PMingLiU"/>
                <w:bCs/>
                <w:szCs w:val="22"/>
                <w:lang w:eastAsia="en-US" w:bidi="ar-SA"/>
              </w:rPr>
              <w:t>.: +</w:t>
            </w:r>
            <w:r>
              <w:rPr>
                <w:rFonts w:eastAsia="PMingLiU"/>
                <w:lang w:eastAsia="en-US" w:bidi="ar-SA"/>
              </w:rPr>
              <w:t xml:space="preserve">36 1 </w:t>
            </w:r>
            <w:r>
              <w:rPr>
                <w:rFonts w:eastAsia="PMingLiU"/>
                <w:bCs/>
                <w:szCs w:val="22"/>
                <w:lang w:eastAsia="en-US" w:bidi="ar-SA"/>
              </w:rPr>
              <w:t>35 44 700</w:t>
            </w:r>
          </w:p>
          <w:p w14:paraId="12D0192C"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34C59F6C" w14:textId="77777777">
        <w:trPr>
          <w:cantSplit/>
        </w:trPr>
        <w:tc>
          <w:tcPr>
            <w:tcW w:w="4677" w:type="dxa"/>
          </w:tcPr>
          <w:p w14:paraId="5FC781C2" w14:textId="77777777" w:rsidR="00C04CAD" w:rsidRDefault="00060E34">
            <w:pPr>
              <w:spacing w:line="240" w:lineRule="auto"/>
              <w:rPr>
                <w:rFonts w:eastAsia="PMingLiU"/>
                <w:lang w:eastAsia="en-US" w:bidi="ar-SA"/>
              </w:rPr>
            </w:pPr>
            <w:r>
              <w:rPr>
                <w:rFonts w:eastAsia="PMingLiU"/>
                <w:b/>
                <w:lang w:eastAsia="en-US" w:bidi="ar-SA"/>
              </w:rPr>
              <w:t>Danmark</w:t>
            </w:r>
          </w:p>
          <w:p w14:paraId="03C9D981" w14:textId="77777777" w:rsidR="00C04CAD" w:rsidRDefault="00060E34">
            <w:pPr>
              <w:spacing w:line="240" w:lineRule="auto"/>
              <w:rPr>
                <w:rFonts w:eastAsia="PMingLiU"/>
                <w:szCs w:val="22"/>
                <w:lang w:eastAsia="en-US" w:bidi="ar-SA"/>
              </w:rPr>
            </w:pPr>
            <w:r>
              <w:rPr>
                <w:rFonts w:eastAsia="PMingLiU"/>
                <w:szCs w:val="22"/>
                <w:lang w:eastAsia="en-US" w:bidi="ar-SA"/>
              </w:rPr>
              <w:t>Amgen, filial af Amgen AB, Sverige</w:t>
            </w:r>
          </w:p>
          <w:p w14:paraId="71A9DE29" w14:textId="77777777" w:rsidR="00C04CAD" w:rsidRDefault="00060E34">
            <w:pPr>
              <w:spacing w:line="240" w:lineRule="auto"/>
              <w:rPr>
                <w:rFonts w:eastAsia="PMingLiU"/>
                <w:szCs w:val="22"/>
                <w:lang w:eastAsia="en-US" w:bidi="ar-SA"/>
              </w:rPr>
            </w:pPr>
            <w:r>
              <w:rPr>
                <w:rFonts w:eastAsia="PMingLiU"/>
                <w:lang w:eastAsia="en-US" w:bidi="ar-SA"/>
              </w:rPr>
              <w:t>Tlf</w:t>
            </w:r>
            <w:ins w:id="17" w:author="Author">
              <w:r>
                <w:rPr>
                  <w:rFonts w:eastAsia="PMingLiU"/>
                  <w:lang w:eastAsia="en-US" w:bidi="ar-SA"/>
                </w:rPr>
                <w:t>.</w:t>
              </w:r>
            </w:ins>
            <w:r>
              <w:rPr>
                <w:rFonts w:eastAsia="PMingLiU"/>
                <w:lang w:eastAsia="en-US" w:bidi="ar-SA"/>
              </w:rPr>
              <w:t xml:space="preserve">: +45 </w:t>
            </w:r>
            <w:r>
              <w:rPr>
                <w:rFonts w:eastAsia="PMingLiU"/>
                <w:szCs w:val="22"/>
                <w:lang w:eastAsia="en-US" w:bidi="ar-SA"/>
              </w:rPr>
              <w:t>39617500</w:t>
            </w:r>
          </w:p>
          <w:p w14:paraId="1CBCC2DB"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108C1E0F" w14:textId="77777777" w:rsidR="00C04CAD" w:rsidRDefault="00060E34">
            <w:pPr>
              <w:spacing w:line="240" w:lineRule="auto"/>
              <w:rPr>
                <w:rFonts w:eastAsia="PMingLiU"/>
                <w:b/>
                <w:lang w:eastAsia="en-US" w:bidi="ar-SA"/>
              </w:rPr>
            </w:pPr>
            <w:r>
              <w:rPr>
                <w:rFonts w:eastAsia="PMingLiU"/>
                <w:b/>
                <w:lang w:eastAsia="en-US" w:bidi="ar-SA"/>
              </w:rPr>
              <w:t>Malta</w:t>
            </w:r>
          </w:p>
          <w:p w14:paraId="6A69D866" w14:textId="77777777" w:rsidR="00C04CAD" w:rsidRDefault="00060E34">
            <w:pPr>
              <w:pStyle w:val="lbltxt"/>
              <w:rPr>
                <w:szCs w:val="22"/>
                <w:lang w:val="ro-RO"/>
              </w:rPr>
            </w:pPr>
            <w:r>
              <w:rPr>
                <w:szCs w:val="22"/>
                <w:lang w:val="ro-RO"/>
              </w:rPr>
              <w:t>Amgen S.r.l.</w:t>
            </w:r>
          </w:p>
          <w:p w14:paraId="799FAEAC" w14:textId="77777777" w:rsidR="00C04CAD" w:rsidRDefault="00060E34">
            <w:pPr>
              <w:pStyle w:val="lbltxt"/>
              <w:rPr>
                <w:szCs w:val="22"/>
                <w:lang w:val="ro-RO"/>
              </w:rPr>
            </w:pPr>
            <w:r>
              <w:rPr>
                <w:szCs w:val="22"/>
                <w:lang w:val="ro-RO"/>
              </w:rPr>
              <w:t>Italy</w:t>
            </w:r>
          </w:p>
          <w:p w14:paraId="7DFCF2B8" w14:textId="77777777" w:rsidR="00C04CAD" w:rsidRDefault="00060E34">
            <w:pPr>
              <w:pStyle w:val="lbltxt"/>
              <w:rPr>
                <w:szCs w:val="22"/>
                <w:lang w:val="ro-RO"/>
              </w:rPr>
            </w:pPr>
            <w:r>
              <w:rPr>
                <w:szCs w:val="22"/>
                <w:lang w:val="ro-RO"/>
              </w:rPr>
              <w:t>Tel: +39 02 6241121</w:t>
            </w:r>
          </w:p>
          <w:p w14:paraId="6BF86EF5" w14:textId="77777777" w:rsidR="00C04CAD" w:rsidRDefault="00C04CAD">
            <w:pPr>
              <w:spacing w:line="240" w:lineRule="auto"/>
              <w:rPr>
                <w:sz w:val="24"/>
                <w:szCs w:val="24"/>
                <w:lang w:eastAsia="en-US" w:bidi="ar-SA"/>
              </w:rPr>
            </w:pPr>
          </w:p>
        </w:tc>
      </w:tr>
      <w:tr w:rsidR="00C04CAD" w14:paraId="49E72DBF" w14:textId="77777777">
        <w:trPr>
          <w:cantSplit/>
        </w:trPr>
        <w:tc>
          <w:tcPr>
            <w:tcW w:w="4677" w:type="dxa"/>
          </w:tcPr>
          <w:p w14:paraId="1C81B3CD" w14:textId="77777777" w:rsidR="00C04CAD" w:rsidRDefault="00060E34">
            <w:pPr>
              <w:spacing w:line="240" w:lineRule="auto"/>
              <w:rPr>
                <w:rFonts w:eastAsia="PMingLiU"/>
                <w:lang w:eastAsia="en-US" w:bidi="ar-SA"/>
              </w:rPr>
            </w:pPr>
            <w:r>
              <w:rPr>
                <w:rFonts w:eastAsia="PMingLiU"/>
                <w:b/>
                <w:lang w:eastAsia="en-US" w:bidi="ar-SA"/>
              </w:rPr>
              <w:t>Deutschland</w:t>
            </w:r>
          </w:p>
          <w:p w14:paraId="36DB707A"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GmbH</w:t>
            </w:r>
          </w:p>
          <w:p w14:paraId="1B76CA38" w14:textId="77777777" w:rsidR="00C04CAD" w:rsidRDefault="00060E34">
            <w:pPr>
              <w:spacing w:line="240" w:lineRule="auto"/>
              <w:rPr>
                <w:rFonts w:eastAsia="PMingLiU"/>
                <w:szCs w:val="22"/>
                <w:lang w:eastAsia="en-US" w:bidi="ar-SA"/>
              </w:rPr>
            </w:pPr>
            <w:r>
              <w:rPr>
                <w:rFonts w:eastAsia="PMingLiU"/>
                <w:lang w:eastAsia="en-US" w:bidi="ar-SA"/>
              </w:rPr>
              <w:t>Tel</w:t>
            </w:r>
            <w:r>
              <w:rPr>
                <w:rFonts w:eastAsia="PMingLiU"/>
                <w:szCs w:val="22"/>
                <w:lang w:eastAsia="en-US" w:bidi="ar-SA"/>
              </w:rPr>
              <w:t>:</w:t>
            </w:r>
            <w:r>
              <w:rPr>
                <w:rFonts w:eastAsia="PMingLiU"/>
                <w:lang w:eastAsia="en-US" w:bidi="ar-SA"/>
              </w:rPr>
              <w:t xml:space="preserve"> +49 </w:t>
            </w:r>
            <w:r>
              <w:rPr>
                <w:rFonts w:eastAsia="PMingLiU"/>
                <w:szCs w:val="22"/>
                <w:lang w:eastAsia="en-US" w:bidi="ar-SA"/>
              </w:rPr>
              <w:t>89 1490960</w:t>
            </w:r>
          </w:p>
          <w:p w14:paraId="37388E47"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0FB6FBA9" w14:textId="77777777" w:rsidR="00C04CAD" w:rsidRDefault="00060E34">
            <w:pPr>
              <w:spacing w:line="240" w:lineRule="auto"/>
              <w:rPr>
                <w:rFonts w:eastAsia="PMingLiU"/>
                <w:lang w:eastAsia="en-US" w:bidi="ar-SA"/>
              </w:rPr>
            </w:pPr>
            <w:r>
              <w:rPr>
                <w:rFonts w:eastAsia="PMingLiU"/>
                <w:b/>
                <w:lang w:eastAsia="en-US" w:bidi="ar-SA"/>
              </w:rPr>
              <w:t>Nederland</w:t>
            </w:r>
          </w:p>
          <w:p w14:paraId="79E128E8"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B.V.</w:t>
            </w:r>
          </w:p>
          <w:p w14:paraId="4DEB340E" w14:textId="77777777" w:rsidR="00C04CAD" w:rsidRDefault="00060E34">
            <w:pPr>
              <w:spacing w:line="240" w:lineRule="auto"/>
              <w:rPr>
                <w:rFonts w:eastAsia="PMingLiU"/>
                <w:bCs/>
                <w:szCs w:val="22"/>
                <w:lang w:eastAsia="en-US" w:bidi="ar-SA"/>
              </w:rPr>
            </w:pPr>
            <w:r>
              <w:rPr>
                <w:rFonts w:eastAsia="PMingLiU"/>
                <w:lang w:eastAsia="en-US" w:bidi="ar-SA"/>
              </w:rPr>
              <w:t>Tel: +31 (0)</w:t>
            </w:r>
            <w:r>
              <w:rPr>
                <w:rFonts w:eastAsia="PMingLiU"/>
                <w:szCs w:val="22"/>
                <w:lang w:eastAsia="en-US" w:bidi="ar-SA"/>
              </w:rPr>
              <w:t>76 5732500</w:t>
            </w:r>
          </w:p>
          <w:p w14:paraId="5338ECF4"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7FA6A0D8" w14:textId="77777777">
        <w:trPr>
          <w:cantSplit/>
        </w:trPr>
        <w:tc>
          <w:tcPr>
            <w:tcW w:w="4677" w:type="dxa"/>
          </w:tcPr>
          <w:p w14:paraId="44D2E1D0" w14:textId="77777777" w:rsidR="00C04CAD" w:rsidRDefault="00060E34">
            <w:pPr>
              <w:spacing w:line="240" w:lineRule="auto"/>
              <w:rPr>
                <w:rFonts w:ascii="Times New Roman Bold" w:eastAsia="SimSun" w:hAnsi="Times New Roman Bold"/>
                <w:b/>
                <w:lang w:eastAsia="en-US" w:bidi="ar-SA"/>
              </w:rPr>
            </w:pPr>
            <w:r>
              <w:rPr>
                <w:rFonts w:ascii="Times New Roman Bold" w:eastAsia="SimSun" w:hAnsi="Times New Roman Bold"/>
                <w:b/>
                <w:lang w:eastAsia="en-US" w:bidi="ar-SA"/>
              </w:rPr>
              <w:t>Eesti</w:t>
            </w:r>
          </w:p>
          <w:p w14:paraId="692DB1D7" w14:textId="77777777" w:rsidR="00C04CAD" w:rsidRDefault="00060E34">
            <w:pPr>
              <w:spacing w:line="240" w:lineRule="auto"/>
              <w:rPr>
                <w:rFonts w:eastAsia="PMingLiU"/>
                <w:bCs/>
                <w:szCs w:val="22"/>
                <w:lang w:eastAsia="en-US" w:bidi="ar-SA"/>
              </w:rPr>
            </w:pPr>
            <w:r>
              <w:rPr>
                <w:rFonts w:eastAsia="PMingLiU"/>
                <w:bCs/>
                <w:szCs w:val="22"/>
                <w:lang w:eastAsia="en-US" w:bidi="ar-SA"/>
              </w:rPr>
              <w:t xml:space="preserve">Amgen Switzerland AG </w:t>
            </w:r>
            <w:r>
              <w:rPr>
                <w:rFonts w:eastAsia="PMingLiU"/>
                <w:szCs w:val="22"/>
                <w:lang w:eastAsia="en-US" w:bidi="ar-SA"/>
              </w:rPr>
              <w:t>Vilniaus filialas</w:t>
            </w:r>
          </w:p>
          <w:p w14:paraId="190C77AC" w14:textId="77777777" w:rsidR="00C04CAD" w:rsidRDefault="00060E34">
            <w:pPr>
              <w:spacing w:line="240" w:lineRule="auto"/>
              <w:rPr>
                <w:rFonts w:eastAsia="PMingLiU"/>
                <w:szCs w:val="22"/>
                <w:lang w:eastAsia="en-US" w:bidi="ar-SA"/>
              </w:rPr>
            </w:pPr>
            <w:r>
              <w:rPr>
                <w:rFonts w:eastAsia="PMingLiU"/>
                <w:lang w:eastAsia="en-US" w:bidi="ar-SA"/>
              </w:rPr>
              <w:t xml:space="preserve">Tel: +372 </w:t>
            </w:r>
            <w:r>
              <w:rPr>
                <w:rFonts w:eastAsia="PMingLiU"/>
                <w:szCs w:val="22"/>
                <w:lang w:eastAsia="en-US" w:bidi="ar-SA"/>
              </w:rPr>
              <w:t>586 09553</w:t>
            </w:r>
          </w:p>
          <w:p w14:paraId="0E57D0E9"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59F642CD" w14:textId="77777777" w:rsidR="00C04CAD" w:rsidRDefault="00060E34">
            <w:pPr>
              <w:spacing w:line="240" w:lineRule="auto"/>
              <w:rPr>
                <w:rFonts w:eastAsia="PMingLiU"/>
                <w:b/>
                <w:lang w:eastAsia="en-US" w:bidi="ar-SA"/>
              </w:rPr>
            </w:pPr>
            <w:r>
              <w:rPr>
                <w:rFonts w:eastAsia="PMingLiU"/>
                <w:b/>
                <w:lang w:eastAsia="en-US" w:bidi="ar-SA"/>
              </w:rPr>
              <w:t>Norge</w:t>
            </w:r>
          </w:p>
          <w:p w14:paraId="576D893D"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2036D00A" w14:textId="77777777" w:rsidR="00C04CAD" w:rsidRDefault="00060E34">
            <w:pPr>
              <w:spacing w:line="240" w:lineRule="auto"/>
              <w:rPr>
                <w:rFonts w:eastAsia="PMingLiU"/>
                <w:szCs w:val="22"/>
                <w:lang w:eastAsia="en-US" w:bidi="ar-SA"/>
              </w:rPr>
            </w:pPr>
            <w:r>
              <w:rPr>
                <w:rFonts w:eastAsia="PMingLiU"/>
                <w:szCs w:val="22"/>
                <w:lang w:eastAsia="en-US" w:bidi="ar-SA"/>
              </w:rPr>
              <w:t>Tlf</w:t>
            </w:r>
            <w:r>
              <w:rPr>
                <w:rFonts w:eastAsia="PMingLiU"/>
                <w:szCs w:val="16"/>
                <w:lang w:eastAsia="en-US" w:bidi="ar-SA"/>
              </w:rPr>
              <w:t xml:space="preserve">: +47 </w:t>
            </w:r>
            <w:r>
              <w:rPr>
                <w:rFonts w:eastAsia="PMingLiU"/>
                <w:szCs w:val="22"/>
                <w:lang w:eastAsia="en-US" w:bidi="ar-SA"/>
              </w:rPr>
              <w:t>23308000</w:t>
            </w:r>
          </w:p>
          <w:p w14:paraId="71D7D22B"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51F9C42B" w14:textId="77777777">
        <w:trPr>
          <w:cantSplit/>
        </w:trPr>
        <w:tc>
          <w:tcPr>
            <w:tcW w:w="4677" w:type="dxa"/>
          </w:tcPr>
          <w:p w14:paraId="36758DF5" w14:textId="77777777" w:rsidR="00C04CAD" w:rsidRDefault="00060E34">
            <w:pPr>
              <w:spacing w:line="240" w:lineRule="auto"/>
              <w:rPr>
                <w:rFonts w:eastAsia="PMingLiU"/>
                <w:b/>
                <w:lang w:eastAsia="en-US" w:bidi="ar-SA"/>
              </w:rPr>
            </w:pPr>
            <w:r>
              <w:rPr>
                <w:rFonts w:eastAsia="PMingLiU"/>
                <w:b/>
                <w:lang w:eastAsia="en-US" w:bidi="ar-SA"/>
              </w:rPr>
              <w:t>Ελλάδα</w:t>
            </w:r>
          </w:p>
          <w:p w14:paraId="56D3C3D9"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ΕλλάςΦαρμακευτικάΕ.Π.Ε. </w:t>
            </w:r>
          </w:p>
          <w:p w14:paraId="150D3F7D" w14:textId="77777777" w:rsidR="00C04CAD" w:rsidRDefault="00060E34">
            <w:pPr>
              <w:spacing w:line="240" w:lineRule="auto"/>
              <w:rPr>
                <w:rFonts w:eastAsia="PMingLiU"/>
                <w:szCs w:val="22"/>
                <w:lang w:eastAsia="en-US" w:bidi="ar-SA"/>
              </w:rPr>
            </w:pPr>
            <w:r>
              <w:rPr>
                <w:rFonts w:eastAsia="PMingLiU"/>
                <w:lang w:eastAsia="en-US" w:bidi="ar-SA"/>
              </w:rPr>
              <w:t>Τηλ</w:t>
            </w:r>
            <w:r>
              <w:rPr>
                <w:rFonts w:eastAsia="PMingLiU"/>
                <w:szCs w:val="22"/>
                <w:lang w:eastAsia="en-US" w:bidi="ar-SA"/>
              </w:rPr>
              <w:t>:</w:t>
            </w:r>
            <w:r>
              <w:rPr>
                <w:rFonts w:eastAsia="PMingLiU"/>
                <w:lang w:eastAsia="en-US" w:bidi="ar-SA"/>
              </w:rPr>
              <w:t xml:space="preserve"> +30 </w:t>
            </w:r>
            <w:r>
              <w:rPr>
                <w:rFonts w:eastAsia="PMingLiU"/>
                <w:szCs w:val="22"/>
                <w:lang w:eastAsia="en-US" w:bidi="ar-SA"/>
              </w:rPr>
              <w:t>210 3447000</w:t>
            </w:r>
          </w:p>
          <w:p w14:paraId="38496837"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732FDC98" w14:textId="77777777" w:rsidR="00C04CAD" w:rsidRDefault="00060E34">
            <w:pPr>
              <w:spacing w:line="240" w:lineRule="auto"/>
              <w:rPr>
                <w:rFonts w:eastAsia="PMingLiU"/>
                <w:lang w:eastAsia="en-US" w:bidi="ar-SA"/>
              </w:rPr>
            </w:pPr>
            <w:r>
              <w:rPr>
                <w:rFonts w:eastAsia="PMingLiU"/>
                <w:b/>
                <w:lang w:eastAsia="en-US" w:bidi="ar-SA"/>
              </w:rPr>
              <w:t>Österreich</w:t>
            </w:r>
          </w:p>
          <w:p w14:paraId="0E2EB286"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GmbH</w:t>
            </w:r>
          </w:p>
          <w:p w14:paraId="30838989" w14:textId="77777777" w:rsidR="00C04CAD" w:rsidRDefault="00060E34">
            <w:pPr>
              <w:spacing w:line="240" w:lineRule="auto"/>
              <w:rPr>
                <w:rFonts w:eastAsia="PMingLiU"/>
                <w:szCs w:val="22"/>
                <w:lang w:eastAsia="en-US" w:bidi="ar-SA"/>
              </w:rPr>
            </w:pPr>
            <w:r>
              <w:rPr>
                <w:rFonts w:eastAsia="PMingLiU"/>
                <w:lang w:eastAsia="en-US" w:bidi="ar-SA"/>
              </w:rPr>
              <w:t xml:space="preserve">Tel: +43 </w:t>
            </w:r>
            <w:r>
              <w:rPr>
                <w:rFonts w:eastAsia="PMingLiU"/>
                <w:szCs w:val="22"/>
                <w:lang w:eastAsia="en-US" w:bidi="ar-SA"/>
              </w:rPr>
              <w:t>(0)</w:t>
            </w:r>
            <w:r>
              <w:rPr>
                <w:rFonts w:eastAsia="PMingLiU"/>
                <w:lang w:eastAsia="en-US" w:bidi="ar-SA"/>
              </w:rPr>
              <w:t xml:space="preserve">1 </w:t>
            </w:r>
            <w:r>
              <w:rPr>
                <w:rFonts w:eastAsia="PMingLiU"/>
                <w:szCs w:val="22"/>
                <w:lang w:eastAsia="en-US" w:bidi="ar-SA"/>
              </w:rPr>
              <w:t>50 217</w:t>
            </w:r>
          </w:p>
          <w:p w14:paraId="414011DB"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05BEA647" w14:textId="77777777">
        <w:trPr>
          <w:cantSplit/>
        </w:trPr>
        <w:tc>
          <w:tcPr>
            <w:tcW w:w="4677" w:type="dxa"/>
          </w:tcPr>
          <w:p w14:paraId="75E775A4" w14:textId="77777777" w:rsidR="00C04CAD" w:rsidRDefault="00060E34">
            <w:pPr>
              <w:keepNext/>
              <w:spacing w:line="240" w:lineRule="auto"/>
              <w:rPr>
                <w:rFonts w:eastAsia="PMingLiU"/>
                <w:lang w:eastAsia="en-US" w:bidi="ar-SA"/>
              </w:rPr>
            </w:pPr>
            <w:r>
              <w:rPr>
                <w:rFonts w:eastAsia="PMingLiU"/>
                <w:b/>
                <w:lang w:eastAsia="en-US" w:bidi="ar-SA"/>
              </w:rPr>
              <w:t>España</w:t>
            </w:r>
          </w:p>
          <w:p w14:paraId="4B99147B" w14:textId="77777777" w:rsidR="00C04CAD" w:rsidRDefault="00060E34">
            <w:pPr>
              <w:keepNext/>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S.</w:t>
            </w:r>
            <w:r>
              <w:rPr>
                <w:rFonts w:eastAsia="PMingLiU"/>
                <w:szCs w:val="22"/>
                <w:lang w:eastAsia="en-US" w:bidi="ar-SA"/>
              </w:rPr>
              <w:t>A</w:t>
            </w:r>
            <w:r>
              <w:rPr>
                <w:rFonts w:eastAsia="PMingLiU"/>
                <w:lang w:eastAsia="en-US" w:bidi="ar-SA"/>
              </w:rPr>
              <w:t>.</w:t>
            </w:r>
          </w:p>
          <w:p w14:paraId="4AB38EEC" w14:textId="77777777" w:rsidR="00C04CAD" w:rsidRDefault="00060E34">
            <w:pPr>
              <w:keepNext/>
              <w:spacing w:line="240" w:lineRule="auto"/>
              <w:rPr>
                <w:rFonts w:eastAsia="PMingLiU"/>
                <w:sz w:val="24"/>
                <w:szCs w:val="22"/>
                <w:lang w:eastAsia="en-US" w:bidi="ar-SA"/>
              </w:rPr>
            </w:pPr>
            <w:r>
              <w:rPr>
                <w:rFonts w:eastAsia="PMingLiU"/>
                <w:lang w:eastAsia="en-US" w:bidi="ar-SA"/>
              </w:rPr>
              <w:t xml:space="preserve">Tel: +34 </w:t>
            </w:r>
            <w:r>
              <w:rPr>
                <w:rFonts w:eastAsia="PMingLiU"/>
                <w:szCs w:val="22"/>
                <w:lang w:eastAsia="en-US" w:bidi="ar-SA"/>
              </w:rPr>
              <w:t xml:space="preserve">93 600 18 60 </w:t>
            </w:r>
          </w:p>
          <w:p w14:paraId="657EBE36" w14:textId="77777777" w:rsidR="00C04CAD" w:rsidRDefault="00C04CAD">
            <w:pPr>
              <w:keepNext/>
              <w:tabs>
                <w:tab w:val="clear" w:pos="567"/>
              </w:tabs>
              <w:autoSpaceDE w:val="0"/>
              <w:autoSpaceDN w:val="0"/>
              <w:adjustRightInd w:val="0"/>
              <w:spacing w:line="240" w:lineRule="auto"/>
              <w:rPr>
                <w:sz w:val="24"/>
                <w:szCs w:val="24"/>
                <w:lang w:eastAsia="en-US" w:bidi="ar-SA"/>
              </w:rPr>
            </w:pPr>
          </w:p>
        </w:tc>
        <w:tc>
          <w:tcPr>
            <w:tcW w:w="4679" w:type="dxa"/>
          </w:tcPr>
          <w:p w14:paraId="4A540C96" w14:textId="77777777" w:rsidR="00C04CAD" w:rsidRDefault="00060E34">
            <w:pPr>
              <w:keepNext/>
              <w:spacing w:line="240" w:lineRule="auto"/>
              <w:rPr>
                <w:rFonts w:eastAsia="SimSun"/>
                <w:b/>
                <w:lang w:eastAsia="en-US" w:bidi="ar-SA"/>
              </w:rPr>
            </w:pPr>
            <w:r>
              <w:rPr>
                <w:rFonts w:eastAsia="SimSun"/>
                <w:b/>
                <w:lang w:eastAsia="en-US" w:bidi="ar-SA"/>
              </w:rPr>
              <w:t>Polska</w:t>
            </w:r>
          </w:p>
          <w:p w14:paraId="1573B0B5" w14:textId="77777777" w:rsidR="00C04CAD" w:rsidRDefault="00060E34">
            <w:pPr>
              <w:keepNext/>
              <w:spacing w:line="240" w:lineRule="auto"/>
              <w:rPr>
                <w:rFonts w:eastAsia="PMingLiU"/>
                <w:lang w:eastAsia="en-US" w:bidi="ar-SA"/>
              </w:rPr>
            </w:pPr>
            <w:r>
              <w:rPr>
                <w:rFonts w:eastAsia="PMingLiU"/>
                <w:szCs w:val="22"/>
                <w:lang w:eastAsia="en-US" w:bidi="ar-SA"/>
              </w:rPr>
              <w:t xml:space="preserve">Amgen </w:t>
            </w:r>
            <w:r>
              <w:rPr>
                <w:rFonts w:eastAsia="PMingLiU"/>
                <w:color w:val="000000"/>
                <w:szCs w:val="22"/>
                <w:lang w:eastAsia="en-GB" w:bidi="ar-SA"/>
              </w:rPr>
              <w:t>Biotechnologia</w:t>
            </w:r>
            <w:r>
              <w:rPr>
                <w:rFonts w:eastAsia="PMingLiU"/>
                <w:lang w:eastAsia="en-US" w:bidi="ar-SA"/>
              </w:rPr>
              <w:t xml:space="preserve"> Sp. z o.o.</w:t>
            </w:r>
          </w:p>
          <w:p w14:paraId="124EDDE8" w14:textId="77777777" w:rsidR="00C04CAD" w:rsidRDefault="00060E34">
            <w:pPr>
              <w:keepNext/>
              <w:spacing w:line="240" w:lineRule="auto"/>
              <w:rPr>
                <w:rFonts w:eastAsia="PMingLiU"/>
                <w:bCs/>
                <w:szCs w:val="22"/>
                <w:lang w:eastAsia="en-US" w:bidi="ar-SA"/>
              </w:rPr>
            </w:pPr>
            <w:r>
              <w:rPr>
                <w:rFonts w:eastAsia="PMingLiU"/>
                <w:lang w:eastAsia="en-US" w:bidi="ar-SA"/>
              </w:rPr>
              <w:t xml:space="preserve">Tel.: +48 22 </w:t>
            </w:r>
            <w:r>
              <w:rPr>
                <w:rFonts w:eastAsia="PMingLiU"/>
                <w:bCs/>
                <w:szCs w:val="22"/>
                <w:lang w:eastAsia="en-US" w:bidi="ar-SA"/>
              </w:rPr>
              <w:t>581 3000</w:t>
            </w:r>
          </w:p>
          <w:p w14:paraId="76A3D210" w14:textId="77777777" w:rsidR="00C04CAD" w:rsidRDefault="00C04CAD">
            <w:pPr>
              <w:keepNext/>
              <w:tabs>
                <w:tab w:val="clear" w:pos="567"/>
              </w:tabs>
              <w:autoSpaceDE w:val="0"/>
              <w:autoSpaceDN w:val="0"/>
              <w:adjustRightInd w:val="0"/>
              <w:spacing w:line="240" w:lineRule="auto"/>
              <w:rPr>
                <w:sz w:val="24"/>
                <w:szCs w:val="24"/>
                <w:lang w:eastAsia="en-US" w:bidi="ar-SA"/>
              </w:rPr>
            </w:pPr>
          </w:p>
        </w:tc>
      </w:tr>
      <w:tr w:rsidR="00C04CAD" w14:paraId="1BE9655D" w14:textId="77777777">
        <w:trPr>
          <w:cantSplit/>
        </w:trPr>
        <w:tc>
          <w:tcPr>
            <w:tcW w:w="4677" w:type="dxa"/>
          </w:tcPr>
          <w:p w14:paraId="7DFDAC02" w14:textId="77777777" w:rsidR="00C04CAD" w:rsidRDefault="00060E34">
            <w:pPr>
              <w:spacing w:line="240" w:lineRule="auto"/>
              <w:rPr>
                <w:rFonts w:eastAsia="PMingLiU"/>
                <w:szCs w:val="22"/>
                <w:lang w:eastAsia="en-US" w:bidi="ar-SA"/>
              </w:rPr>
            </w:pPr>
            <w:r>
              <w:rPr>
                <w:rFonts w:eastAsia="PMingLiU"/>
                <w:b/>
                <w:szCs w:val="22"/>
                <w:lang w:eastAsia="en-US" w:bidi="ar-SA"/>
              </w:rPr>
              <w:t>France</w:t>
            </w:r>
          </w:p>
          <w:p w14:paraId="07BCCE1A" w14:textId="77777777" w:rsidR="00C04CAD" w:rsidRDefault="00060E34">
            <w:pPr>
              <w:spacing w:line="240" w:lineRule="auto"/>
              <w:rPr>
                <w:rFonts w:eastAsia="PMingLiU"/>
                <w:szCs w:val="22"/>
                <w:lang w:eastAsia="en-US" w:bidi="ar-SA"/>
              </w:rPr>
            </w:pPr>
            <w:r>
              <w:rPr>
                <w:rFonts w:eastAsia="PMingLiU"/>
                <w:szCs w:val="22"/>
                <w:lang w:eastAsia="en-US" w:bidi="ar-SA"/>
              </w:rPr>
              <w:t>Amgen S.A.S.</w:t>
            </w:r>
          </w:p>
          <w:p w14:paraId="713B7B35" w14:textId="77777777" w:rsidR="00C04CAD" w:rsidRDefault="00060E34">
            <w:pPr>
              <w:tabs>
                <w:tab w:val="clear" w:pos="567"/>
              </w:tabs>
              <w:autoSpaceDE w:val="0"/>
              <w:autoSpaceDN w:val="0"/>
              <w:adjustRightInd w:val="0"/>
              <w:spacing w:line="240" w:lineRule="auto"/>
              <w:rPr>
                <w:szCs w:val="22"/>
                <w:lang w:eastAsia="en-IN" w:bidi="ar-SA"/>
              </w:rPr>
            </w:pPr>
            <w:r>
              <w:rPr>
                <w:szCs w:val="22"/>
                <w:lang w:eastAsia="en-US" w:bidi="ar-SA"/>
              </w:rPr>
              <w:t>Tél: +33 (0)9 69 363 363</w:t>
            </w:r>
          </w:p>
          <w:p w14:paraId="11F29033"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2192B664" w14:textId="77777777" w:rsidR="00C04CAD" w:rsidRDefault="00060E34">
            <w:pPr>
              <w:spacing w:line="240" w:lineRule="auto"/>
              <w:rPr>
                <w:rFonts w:eastAsia="PMingLiU"/>
                <w:szCs w:val="22"/>
                <w:lang w:eastAsia="en-US" w:bidi="ar-SA"/>
              </w:rPr>
            </w:pPr>
            <w:r>
              <w:rPr>
                <w:rFonts w:eastAsia="PMingLiU"/>
                <w:b/>
                <w:szCs w:val="22"/>
                <w:lang w:eastAsia="en-US" w:bidi="ar-SA"/>
              </w:rPr>
              <w:t>Portugal</w:t>
            </w:r>
          </w:p>
          <w:p w14:paraId="146BE735" w14:textId="77777777" w:rsidR="00C04CAD" w:rsidRDefault="00060E34">
            <w:pPr>
              <w:spacing w:line="240" w:lineRule="auto"/>
              <w:rPr>
                <w:rFonts w:eastAsia="PMingLiU"/>
                <w:szCs w:val="22"/>
                <w:lang w:eastAsia="en-US" w:bidi="ar-SA"/>
              </w:rPr>
            </w:pPr>
            <w:r>
              <w:rPr>
                <w:rFonts w:eastAsia="PMingLiU"/>
                <w:szCs w:val="22"/>
                <w:lang w:eastAsia="en-US" w:bidi="ar-SA"/>
              </w:rPr>
              <w:t>Amgen Biofarmacêutica, Lda.</w:t>
            </w:r>
          </w:p>
          <w:p w14:paraId="0A919DAB" w14:textId="77777777" w:rsidR="00C04CAD" w:rsidRDefault="00060E34">
            <w:pPr>
              <w:spacing w:line="240" w:lineRule="auto"/>
              <w:rPr>
                <w:rFonts w:eastAsia="PMingLiU"/>
                <w:szCs w:val="22"/>
                <w:lang w:eastAsia="en-US" w:bidi="ar-SA"/>
              </w:rPr>
            </w:pPr>
            <w:r>
              <w:rPr>
                <w:rFonts w:eastAsia="PMingLiU"/>
                <w:szCs w:val="22"/>
                <w:lang w:eastAsia="en-US" w:bidi="ar-SA"/>
              </w:rPr>
              <w:t>Tel: +351 21 4220606</w:t>
            </w:r>
          </w:p>
          <w:p w14:paraId="0F5A728E"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147BC949" w14:textId="77777777">
        <w:trPr>
          <w:cantSplit/>
        </w:trPr>
        <w:tc>
          <w:tcPr>
            <w:tcW w:w="4677" w:type="dxa"/>
          </w:tcPr>
          <w:p w14:paraId="63E267F7" w14:textId="77777777" w:rsidR="00C04CAD" w:rsidRDefault="00060E34">
            <w:pPr>
              <w:keepNext/>
              <w:keepLines/>
              <w:tabs>
                <w:tab w:val="clear" w:pos="567"/>
              </w:tabs>
              <w:autoSpaceDE w:val="0"/>
              <w:autoSpaceDN w:val="0"/>
              <w:adjustRightInd w:val="0"/>
              <w:spacing w:line="240" w:lineRule="auto"/>
              <w:rPr>
                <w:szCs w:val="22"/>
                <w:lang w:eastAsia="en-US" w:bidi="ar-SA"/>
              </w:rPr>
            </w:pPr>
            <w:r>
              <w:rPr>
                <w:b/>
                <w:szCs w:val="22"/>
                <w:lang w:eastAsia="en-US" w:bidi="ar-SA"/>
              </w:rPr>
              <w:t>Hrvatska</w:t>
            </w:r>
          </w:p>
          <w:p w14:paraId="7FBB5DFF" w14:textId="77777777" w:rsidR="00C04CAD" w:rsidRDefault="00060E34">
            <w:pPr>
              <w:keepNext/>
              <w:keepLines/>
              <w:tabs>
                <w:tab w:val="clear" w:pos="567"/>
              </w:tabs>
              <w:autoSpaceDE w:val="0"/>
              <w:autoSpaceDN w:val="0"/>
              <w:adjustRightInd w:val="0"/>
              <w:spacing w:line="240" w:lineRule="auto"/>
              <w:rPr>
                <w:szCs w:val="22"/>
                <w:lang w:eastAsia="en-US" w:bidi="ar-SA"/>
              </w:rPr>
            </w:pPr>
            <w:r>
              <w:rPr>
                <w:szCs w:val="22"/>
                <w:lang w:eastAsia="en-US" w:bidi="ar-SA"/>
              </w:rPr>
              <w:t>Amgen d.o.o.</w:t>
            </w:r>
          </w:p>
          <w:p w14:paraId="5211F5B9" w14:textId="77777777" w:rsidR="00C04CAD" w:rsidRDefault="00060E34">
            <w:pPr>
              <w:keepNext/>
              <w:keepLines/>
              <w:tabs>
                <w:tab w:val="clear" w:pos="567"/>
              </w:tabs>
              <w:autoSpaceDE w:val="0"/>
              <w:autoSpaceDN w:val="0"/>
              <w:adjustRightInd w:val="0"/>
              <w:spacing w:line="240" w:lineRule="auto"/>
              <w:rPr>
                <w:szCs w:val="22"/>
                <w:lang w:eastAsia="en-IN" w:bidi="ar-SA"/>
              </w:rPr>
            </w:pPr>
            <w:r>
              <w:rPr>
                <w:szCs w:val="22"/>
                <w:lang w:eastAsia="en-US" w:bidi="ar-SA"/>
              </w:rPr>
              <w:t>Tel: +385 (0)1 562 57 20</w:t>
            </w:r>
          </w:p>
          <w:p w14:paraId="160C9E3D" w14:textId="77777777" w:rsidR="00C04CAD" w:rsidRDefault="00C04CAD">
            <w:pPr>
              <w:keepNext/>
              <w:keepLines/>
              <w:tabs>
                <w:tab w:val="clear" w:pos="567"/>
              </w:tabs>
              <w:autoSpaceDE w:val="0"/>
              <w:autoSpaceDN w:val="0"/>
              <w:adjustRightInd w:val="0"/>
              <w:spacing w:line="240" w:lineRule="auto"/>
              <w:rPr>
                <w:szCs w:val="22"/>
                <w:lang w:eastAsia="en-US" w:bidi="ar-SA"/>
              </w:rPr>
            </w:pPr>
          </w:p>
        </w:tc>
        <w:tc>
          <w:tcPr>
            <w:tcW w:w="4679" w:type="dxa"/>
          </w:tcPr>
          <w:p w14:paraId="7D1F5071" w14:textId="77777777" w:rsidR="00C04CAD" w:rsidRDefault="00060E34">
            <w:pPr>
              <w:keepNext/>
              <w:keepLines/>
              <w:tabs>
                <w:tab w:val="clear" w:pos="567"/>
              </w:tabs>
              <w:suppressAutoHyphens/>
              <w:autoSpaceDE w:val="0"/>
              <w:autoSpaceDN w:val="0"/>
              <w:adjustRightInd w:val="0"/>
              <w:spacing w:line="240" w:lineRule="auto"/>
              <w:rPr>
                <w:b/>
                <w:szCs w:val="22"/>
                <w:lang w:eastAsia="en-US" w:bidi="ar-SA"/>
              </w:rPr>
            </w:pPr>
            <w:r>
              <w:rPr>
                <w:b/>
                <w:szCs w:val="22"/>
                <w:lang w:eastAsia="en-US" w:bidi="ar-SA"/>
              </w:rPr>
              <w:t>România</w:t>
            </w:r>
          </w:p>
          <w:p w14:paraId="355DE76D"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color w:val="000000"/>
                <w:szCs w:val="22"/>
                <w:lang w:eastAsia="en-US" w:bidi="ar-SA"/>
              </w:rPr>
              <w:t>Amgen România SRL</w:t>
            </w:r>
          </w:p>
          <w:p w14:paraId="6E841B7C" w14:textId="77777777" w:rsidR="00C04CAD" w:rsidRDefault="00060E34">
            <w:pPr>
              <w:keepNext/>
              <w:keepLines/>
              <w:spacing w:line="240" w:lineRule="auto"/>
              <w:rPr>
                <w:rFonts w:eastAsia="PMingLiU"/>
                <w:szCs w:val="22"/>
                <w:lang w:eastAsia="en-US" w:bidi="ar-SA"/>
              </w:rPr>
            </w:pPr>
            <w:r>
              <w:rPr>
                <w:rFonts w:eastAsia="PMingLiU"/>
                <w:szCs w:val="22"/>
                <w:lang w:eastAsia="en-US" w:bidi="ar-SA"/>
              </w:rPr>
              <w:t>Tel: +4021 527 3000</w:t>
            </w:r>
          </w:p>
          <w:p w14:paraId="5D1F4A8C" w14:textId="77777777" w:rsidR="00C04CAD" w:rsidRDefault="00C04CAD">
            <w:pPr>
              <w:keepNext/>
              <w:keepLines/>
              <w:tabs>
                <w:tab w:val="clear" w:pos="567"/>
              </w:tabs>
              <w:autoSpaceDE w:val="0"/>
              <w:autoSpaceDN w:val="0"/>
              <w:adjustRightInd w:val="0"/>
              <w:spacing w:line="240" w:lineRule="auto"/>
              <w:rPr>
                <w:szCs w:val="22"/>
                <w:lang w:eastAsia="en-US" w:bidi="ar-SA"/>
              </w:rPr>
            </w:pPr>
          </w:p>
        </w:tc>
      </w:tr>
      <w:tr w:rsidR="00C04CAD" w14:paraId="15F78815" w14:textId="77777777">
        <w:trPr>
          <w:cantSplit/>
        </w:trPr>
        <w:tc>
          <w:tcPr>
            <w:tcW w:w="4677" w:type="dxa"/>
          </w:tcPr>
          <w:p w14:paraId="6BE5A2A0" w14:textId="77777777" w:rsidR="00C04CAD" w:rsidRDefault="00060E34">
            <w:pPr>
              <w:spacing w:line="240" w:lineRule="auto"/>
              <w:rPr>
                <w:rFonts w:eastAsia="PMingLiU"/>
                <w:b/>
                <w:lang w:eastAsia="en-US" w:bidi="ar-SA"/>
              </w:rPr>
            </w:pPr>
            <w:r>
              <w:rPr>
                <w:rFonts w:eastAsia="PMingLiU"/>
                <w:b/>
                <w:lang w:eastAsia="en-US" w:bidi="ar-SA"/>
              </w:rPr>
              <w:t>Ireland</w:t>
            </w:r>
          </w:p>
          <w:p w14:paraId="639CBB4D" w14:textId="77777777" w:rsidR="00C04CAD" w:rsidRDefault="00060E34">
            <w:pPr>
              <w:spacing w:line="240" w:lineRule="auto"/>
              <w:rPr>
                <w:rFonts w:eastAsia="PMingLiU"/>
                <w:lang w:eastAsia="en-US" w:bidi="ar-SA"/>
              </w:rPr>
            </w:pPr>
            <w:r>
              <w:rPr>
                <w:rFonts w:eastAsia="Arial Unicode MS"/>
                <w:bCs/>
                <w:szCs w:val="22"/>
                <w:lang w:eastAsia="en-US" w:bidi="ar-SA"/>
              </w:rPr>
              <w:t>Amgen</w:t>
            </w:r>
            <w:r>
              <w:rPr>
                <w:rFonts w:eastAsia="PMingLiU"/>
                <w:lang w:eastAsia="en-US" w:bidi="ar-SA"/>
              </w:rPr>
              <w:t>Ireland Limited</w:t>
            </w:r>
          </w:p>
          <w:p w14:paraId="0ECA5776" w14:textId="77777777" w:rsidR="00C04CAD" w:rsidRDefault="00060E34">
            <w:pPr>
              <w:spacing w:line="240" w:lineRule="auto"/>
              <w:rPr>
                <w:rFonts w:ascii="CG Times" w:eastAsia="Arial Unicode MS" w:hAnsi="CG Times"/>
                <w:bCs/>
                <w:sz w:val="24"/>
                <w:szCs w:val="22"/>
                <w:lang w:eastAsia="en-US" w:bidi="ar-SA"/>
              </w:rPr>
            </w:pPr>
            <w:r>
              <w:rPr>
                <w:rFonts w:eastAsia="PMingLiU"/>
                <w:lang w:eastAsia="en-US" w:bidi="ar-SA"/>
              </w:rPr>
              <w:t>Tel: +</w:t>
            </w:r>
            <w:r>
              <w:rPr>
                <w:rFonts w:eastAsia="Arial Unicode MS"/>
                <w:bCs/>
                <w:szCs w:val="22"/>
                <w:lang w:eastAsia="en-US" w:bidi="ar-SA"/>
              </w:rPr>
              <w:t>353</w:t>
            </w:r>
            <w:r>
              <w:rPr>
                <w:rFonts w:eastAsia="PMingLiU"/>
                <w:lang w:eastAsia="en-US" w:bidi="ar-SA"/>
              </w:rPr>
              <w:t>1 8527400</w:t>
            </w:r>
          </w:p>
          <w:p w14:paraId="0389FF38" w14:textId="77777777" w:rsidR="00C04CAD" w:rsidRDefault="00C04CAD">
            <w:pPr>
              <w:spacing w:line="240" w:lineRule="auto"/>
              <w:rPr>
                <w:rFonts w:eastAsia="PMingLiU"/>
                <w:lang w:eastAsia="en-US" w:bidi="ar-SA"/>
              </w:rPr>
            </w:pPr>
          </w:p>
        </w:tc>
        <w:tc>
          <w:tcPr>
            <w:tcW w:w="4679" w:type="dxa"/>
          </w:tcPr>
          <w:p w14:paraId="6010C768" w14:textId="77777777" w:rsidR="00C04CAD" w:rsidRDefault="00060E34">
            <w:pPr>
              <w:spacing w:line="240" w:lineRule="auto"/>
              <w:rPr>
                <w:rFonts w:eastAsia="PMingLiU"/>
                <w:b/>
                <w:lang w:eastAsia="en-US" w:bidi="ar-SA"/>
              </w:rPr>
            </w:pPr>
            <w:r>
              <w:rPr>
                <w:rFonts w:eastAsia="PMingLiU"/>
                <w:b/>
                <w:lang w:eastAsia="en-US" w:bidi="ar-SA"/>
              </w:rPr>
              <w:t>Slovenija</w:t>
            </w:r>
          </w:p>
          <w:p w14:paraId="7EBEC63B" w14:textId="77777777" w:rsidR="00C04CAD" w:rsidRDefault="00060E34">
            <w:pPr>
              <w:spacing w:line="240" w:lineRule="auto"/>
              <w:rPr>
                <w:rFonts w:eastAsia="PMingLiU"/>
                <w:lang w:eastAsia="en-US" w:bidi="ar-SA"/>
              </w:rPr>
            </w:pPr>
            <w:r>
              <w:rPr>
                <w:rFonts w:eastAsia="PMingLiU"/>
                <w:szCs w:val="22"/>
                <w:lang w:eastAsia="en-US" w:bidi="ar-SA"/>
              </w:rPr>
              <w:t>AMGEN zdravila</w:t>
            </w:r>
            <w:r>
              <w:rPr>
                <w:rFonts w:eastAsia="PMingLiU"/>
                <w:lang w:eastAsia="en-US" w:bidi="ar-SA"/>
              </w:rPr>
              <w:t xml:space="preserve"> d.o.o.</w:t>
            </w:r>
          </w:p>
          <w:p w14:paraId="77C7C363" w14:textId="77777777" w:rsidR="00C04CAD" w:rsidRDefault="00060E34">
            <w:pPr>
              <w:spacing w:line="240" w:lineRule="auto"/>
              <w:rPr>
                <w:rFonts w:eastAsia="PMingLiU"/>
                <w:bCs/>
                <w:szCs w:val="22"/>
                <w:lang w:eastAsia="en-US" w:bidi="ar-SA"/>
              </w:rPr>
            </w:pPr>
            <w:r>
              <w:rPr>
                <w:rFonts w:eastAsia="PMingLiU"/>
                <w:lang w:eastAsia="en-US" w:bidi="ar-SA"/>
              </w:rPr>
              <w:t>Tel: +386 (</w:t>
            </w:r>
            <w:r>
              <w:rPr>
                <w:rFonts w:eastAsia="PMingLiU"/>
                <w:bCs/>
                <w:szCs w:val="22"/>
                <w:lang w:eastAsia="en-US" w:bidi="ar-SA"/>
              </w:rPr>
              <w:t>0)</w:t>
            </w:r>
            <w:r>
              <w:rPr>
                <w:rFonts w:eastAsia="PMingLiU"/>
                <w:lang w:eastAsia="en-US" w:bidi="ar-SA"/>
              </w:rPr>
              <w:t>1</w:t>
            </w:r>
            <w:r>
              <w:rPr>
                <w:rFonts w:eastAsia="PMingLiU"/>
                <w:bCs/>
                <w:szCs w:val="22"/>
                <w:lang w:eastAsia="en-US" w:bidi="ar-SA"/>
              </w:rPr>
              <w:t xml:space="preserve"> 585 1767</w:t>
            </w:r>
          </w:p>
          <w:p w14:paraId="459F93D7"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6D196AF2" w14:textId="77777777">
        <w:trPr>
          <w:cantSplit/>
        </w:trPr>
        <w:tc>
          <w:tcPr>
            <w:tcW w:w="4677" w:type="dxa"/>
          </w:tcPr>
          <w:p w14:paraId="542C5376" w14:textId="77777777" w:rsidR="00C04CAD" w:rsidRDefault="00060E34">
            <w:pPr>
              <w:spacing w:line="240" w:lineRule="auto"/>
              <w:rPr>
                <w:rFonts w:eastAsia="PMingLiU"/>
                <w:b/>
                <w:lang w:eastAsia="en-US" w:bidi="ar-SA"/>
              </w:rPr>
            </w:pPr>
            <w:r>
              <w:rPr>
                <w:rFonts w:eastAsia="PMingLiU"/>
                <w:b/>
                <w:lang w:eastAsia="en-US" w:bidi="ar-SA"/>
              </w:rPr>
              <w:t>Ísland</w:t>
            </w:r>
          </w:p>
          <w:p w14:paraId="438ABACC" w14:textId="77777777" w:rsidR="00C04CAD" w:rsidRDefault="00060E34">
            <w:pPr>
              <w:spacing w:line="240" w:lineRule="auto"/>
              <w:rPr>
                <w:rFonts w:eastAsia="PMingLiU"/>
                <w:lang w:eastAsia="en-US" w:bidi="ar-SA"/>
              </w:rPr>
            </w:pPr>
            <w:r>
              <w:rPr>
                <w:rFonts w:eastAsia="PMingLiU"/>
                <w:lang w:eastAsia="en-US" w:bidi="ar-SA"/>
              </w:rPr>
              <w:t>Vistor</w:t>
            </w:r>
            <w:del w:id="18" w:author="Author">
              <w:r>
                <w:rPr>
                  <w:rFonts w:eastAsia="PMingLiU"/>
                  <w:lang w:eastAsia="en-US" w:bidi="ar-SA"/>
                </w:rPr>
                <w:delText xml:space="preserve"> hf.</w:delText>
              </w:r>
            </w:del>
          </w:p>
          <w:p w14:paraId="3C2CF149" w14:textId="77777777" w:rsidR="00C04CAD" w:rsidRDefault="00060E34">
            <w:pPr>
              <w:spacing w:line="240" w:lineRule="auto"/>
              <w:rPr>
                <w:rFonts w:eastAsia="PMingLiU"/>
                <w:szCs w:val="22"/>
                <w:lang w:eastAsia="en-US" w:bidi="ar-SA"/>
              </w:rPr>
            </w:pPr>
            <w:r>
              <w:rPr>
                <w:rFonts w:eastAsia="PMingLiU"/>
                <w:szCs w:val="22"/>
                <w:lang w:eastAsia="en-US" w:bidi="ar-SA"/>
              </w:rPr>
              <w:t>Sími</w:t>
            </w:r>
            <w:r>
              <w:rPr>
                <w:rFonts w:eastAsia="PMingLiU"/>
                <w:lang w:eastAsia="en-US" w:bidi="ar-SA"/>
              </w:rPr>
              <w:t>: +354 535 7000</w:t>
            </w:r>
          </w:p>
          <w:p w14:paraId="23315ACF"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37757025" w14:textId="77777777" w:rsidR="00C04CAD" w:rsidRDefault="00060E34">
            <w:pPr>
              <w:spacing w:line="240" w:lineRule="auto"/>
              <w:rPr>
                <w:rFonts w:eastAsia="PMingLiU"/>
                <w:b/>
                <w:lang w:eastAsia="en-US" w:bidi="ar-SA"/>
              </w:rPr>
            </w:pPr>
            <w:r>
              <w:rPr>
                <w:rFonts w:eastAsia="PMingLiU"/>
                <w:b/>
                <w:lang w:eastAsia="en-US" w:bidi="ar-SA"/>
              </w:rPr>
              <w:t>Slovenská republika</w:t>
            </w:r>
          </w:p>
          <w:p w14:paraId="2F5C1714" w14:textId="77777777" w:rsidR="00C04CAD" w:rsidRDefault="00060E34">
            <w:pPr>
              <w:spacing w:line="240" w:lineRule="auto"/>
              <w:rPr>
                <w:rFonts w:eastAsia="PMingLiU"/>
                <w:lang w:eastAsia="en-US" w:bidi="ar-SA"/>
              </w:rPr>
            </w:pPr>
            <w:r>
              <w:rPr>
                <w:rFonts w:eastAsia="PMingLiU"/>
                <w:bCs/>
                <w:szCs w:val="22"/>
                <w:lang w:eastAsia="en-US" w:bidi="ar-SA"/>
              </w:rPr>
              <w:t>Amgen Slovakia</w:t>
            </w:r>
            <w:r>
              <w:rPr>
                <w:rFonts w:eastAsia="PMingLiU"/>
                <w:lang w:eastAsia="en-US" w:bidi="ar-SA"/>
              </w:rPr>
              <w:t xml:space="preserve"> s.r.o.</w:t>
            </w:r>
          </w:p>
          <w:p w14:paraId="7AEE39B9" w14:textId="77777777" w:rsidR="00C04CAD" w:rsidRDefault="00060E34">
            <w:pPr>
              <w:spacing w:line="240" w:lineRule="auto"/>
              <w:rPr>
                <w:rFonts w:eastAsia="PMingLiU"/>
                <w:bCs/>
                <w:szCs w:val="22"/>
                <w:lang w:eastAsia="en-US" w:bidi="ar-SA"/>
              </w:rPr>
            </w:pPr>
            <w:r>
              <w:rPr>
                <w:rFonts w:eastAsia="PMingLiU"/>
                <w:lang w:eastAsia="en-US" w:bidi="ar-SA"/>
              </w:rPr>
              <w:t xml:space="preserve">Tel: +421 </w:t>
            </w:r>
            <w:r>
              <w:rPr>
                <w:rFonts w:eastAsia="PMingLiU"/>
                <w:bCs/>
                <w:szCs w:val="22"/>
                <w:lang w:eastAsia="en-US" w:bidi="ar-SA"/>
              </w:rPr>
              <w:t>2 321 11449</w:t>
            </w:r>
          </w:p>
          <w:p w14:paraId="202957C9"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36B527AC" w14:textId="77777777">
        <w:trPr>
          <w:cantSplit/>
        </w:trPr>
        <w:tc>
          <w:tcPr>
            <w:tcW w:w="4677" w:type="dxa"/>
          </w:tcPr>
          <w:p w14:paraId="0328B736" w14:textId="77777777" w:rsidR="00C04CAD" w:rsidRDefault="00060E34">
            <w:pPr>
              <w:spacing w:line="240" w:lineRule="auto"/>
              <w:rPr>
                <w:rFonts w:eastAsia="PMingLiU"/>
                <w:lang w:eastAsia="en-US" w:bidi="ar-SA"/>
              </w:rPr>
            </w:pPr>
            <w:r>
              <w:rPr>
                <w:rFonts w:eastAsia="PMingLiU"/>
                <w:b/>
                <w:lang w:eastAsia="en-US" w:bidi="ar-SA"/>
              </w:rPr>
              <w:t>Italia</w:t>
            </w:r>
          </w:p>
          <w:p w14:paraId="4C09384E"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S.r.l.</w:t>
            </w:r>
          </w:p>
          <w:p w14:paraId="18C1F031" w14:textId="77777777" w:rsidR="00C04CAD" w:rsidRDefault="00060E34">
            <w:pPr>
              <w:spacing w:line="240" w:lineRule="auto"/>
              <w:rPr>
                <w:rFonts w:eastAsia="PMingLiU"/>
                <w:szCs w:val="22"/>
                <w:lang w:eastAsia="en-US" w:bidi="ar-SA"/>
              </w:rPr>
            </w:pPr>
            <w:r>
              <w:rPr>
                <w:rFonts w:eastAsia="PMingLiU"/>
                <w:lang w:eastAsia="en-US" w:bidi="ar-SA"/>
              </w:rPr>
              <w:t xml:space="preserve">Tel: +39 </w:t>
            </w:r>
            <w:r>
              <w:rPr>
                <w:rFonts w:eastAsia="PMingLiU"/>
                <w:szCs w:val="22"/>
                <w:lang w:eastAsia="en-US" w:bidi="ar-SA"/>
              </w:rPr>
              <w:t>02 6241121</w:t>
            </w:r>
          </w:p>
          <w:p w14:paraId="632848D6"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1B7F2D0F" w14:textId="77777777" w:rsidR="00C04CAD" w:rsidRDefault="00060E34">
            <w:pPr>
              <w:spacing w:line="240" w:lineRule="auto"/>
              <w:rPr>
                <w:rFonts w:eastAsia="PMingLiU"/>
                <w:lang w:eastAsia="en-US" w:bidi="ar-SA"/>
              </w:rPr>
            </w:pPr>
            <w:r>
              <w:rPr>
                <w:rFonts w:eastAsia="PMingLiU"/>
                <w:b/>
                <w:lang w:eastAsia="en-US" w:bidi="ar-SA"/>
              </w:rPr>
              <w:t>Suomi/Finland</w:t>
            </w:r>
          </w:p>
          <w:p w14:paraId="78F060D4" w14:textId="77777777" w:rsidR="00C04CAD" w:rsidRDefault="00060E34">
            <w:pPr>
              <w:pStyle w:val="lbltxt"/>
              <w:rPr>
                <w:szCs w:val="22"/>
                <w:lang w:val="ro-RO"/>
              </w:rPr>
            </w:pPr>
            <w:r>
              <w:rPr>
                <w:szCs w:val="22"/>
                <w:lang w:val="ro-RO"/>
              </w:rPr>
              <w:t>Amgen AB, sivuliike Suomessa/Amgen AB, filial i Finland</w:t>
            </w:r>
          </w:p>
          <w:p w14:paraId="38BF90B0" w14:textId="77777777" w:rsidR="00C04CAD" w:rsidRDefault="00060E34">
            <w:pPr>
              <w:spacing w:line="240" w:lineRule="auto"/>
              <w:rPr>
                <w:rFonts w:eastAsia="PMingLiU"/>
                <w:szCs w:val="22"/>
                <w:lang w:eastAsia="en-US" w:bidi="ar-SA"/>
              </w:rPr>
            </w:pPr>
            <w:r>
              <w:rPr>
                <w:rFonts w:eastAsia="PMingLiU"/>
                <w:szCs w:val="22"/>
                <w:lang w:val="nl-NL" w:eastAsia="en-US" w:bidi="ar-SA"/>
              </w:rPr>
              <w:t>Puh/Tel: +358 (0)9 54900500</w:t>
            </w:r>
          </w:p>
          <w:p w14:paraId="281E8A87" w14:textId="77777777" w:rsidR="00C04CAD" w:rsidRDefault="00C04CAD">
            <w:pPr>
              <w:spacing w:line="240" w:lineRule="auto"/>
              <w:rPr>
                <w:sz w:val="24"/>
                <w:szCs w:val="24"/>
                <w:lang w:eastAsia="en-US" w:bidi="ar-SA"/>
              </w:rPr>
            </w:pPr>
          </w:p>
        </w:tc>
      </w:tr>
      <w:tr w:rsidR="00C04CAD" w14:paraId="2D816F6D" w14:textId="77777777">
        <w:trPr>
          <w:cantSplit/>
        </w:trPr>
        <w:tc>
          <w:tcPr>
            <w:tcW w:w="4677" w:type="dxa"/>
          </w:tcPr>
          <w:p w14:paraId="5EBFC806" w14:textId="77777777" w:rsidR="00C04CAD" w:rsidRDefault="00060E34">
            <w:pPr>
              <w:spacing w:line="240" w:lineRule="auto"/>
              <w:rPr>
                <w:rFonts w:eastAsia="PMingLiU"/>
                <w:b/>
                <w:szCs w:val="22"/>
                <w:lang w:eastAsia="en-US" w:bidi="ar-SA"/>
              </w:rPr>
            </w:pPr>
            <w:r>
              <w:rPr>
                <w:rFonts w:eastAsia="PMingLiU"/>
                <w:b/>
                <w:szCs w:val="22"/>
                <w:lang w:eastAsia="en-US" w:bidi="ar-SA"/>
              </w:rPr>
              <w:t>Kύπρος</w:t>
            </w:r>
          </w:p>
          <w:p w14:paraId="7E698683"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C.A. Papaellinas Ltd</w:t>
            </w:r>
          </w:p>
          <w:p w14:paraId="315A44DB" w14:textId="77777777" w:rsidR="00C04CAD" w:rsidRDefault="00060E34">
            <w:pPr>
              <w:spacing w:line="240" w:lineRule="auto"/>
              <w:rPr>
                <w:rFonts w:eastAsia="PMingLiU"/>
                <w:szCs w:val="22"/>
                <w:lang w:eastAsia="en-US" w:bidi="ar-SA"/>
              </w:rPr>
            </w:pPr>
            <w:r>
              <w:rPr>
                <w:rFonts w:eastAsia="PMingLiU"/>
                <w:szCs w:val="22"/>
                <w:lang w:eastAsia="en-US" w:bidi="ar-SA"/>
              </w:rPr>
              <w:t>Τηλ: +357 22741 741</w:t>
            </w:r>
          </w:p>
          <w:p w14:paraId="6F10435F"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5DF58E18" w14:textId="77777777" w:rsidR="00C04CAD" w:rsidRDefault="00060E34">
            <w:pPr>
              <w:spacing w:line="240" w:lineRule="auto"/>
              <w:rPr>
                <w:rFonts w:eastAsia="PMingLiU"/>
                <w:szCs w:val="22"/>
                <w:lang w:eastAsia="en-US" w:bidi="ar-SA"/>
              </w:rPr>
            </w:pPr>
            <w:r>
              <w:rPr>
                <w:rFonts w:eastAsia="PMingLiU"/>
                <w:b/>
                <w:szCs w:val="22"/>
                <w:lang w:eastAsia="en-US" w:bidi="ar-SA"/>
              </w:rPr>
              <w:t>Sverige</w:t>
            </w:r>
          </w:p>
          <w:p w14:paraId="30590EDA"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639B9CC1" w14:textId="77777777" w:rsidR="00C04CAD" w:rsidRDefault="00060E34">
            <w:pPr>
              <w:spacing w:line="240" w:lineRule="auto"/>
              <w:rPr>
                <w:rFonts w:eastAsia="PMingLiU"/>
                <w:szCs w:val="22"/>
                <w:lang w:eastAsia="en-US" w:bidi="ar-SA"/>
              </w:rPr>
            </w:pPr>
            <w:r>
              <w:rPr>
                <w:rFonts w:eastAsia="PMingLiU"/>
                <w:szCs w:val="22"/>
                <w:lang w:eastAsia="en-US" w:bidi="ar-SA"/>
              </w:rPr>
              <w:t>Tel: +46 (0)8 6951100</w:t>
            </w:r>
          </w:p>
          <w:p w14:paraId="63D996F7"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0B308270" w14:textId="77777777">
        <w:trPr>
          <w:cantSplit/>
        </w:trPr>
        <w:tc>
          <w:tcPr>
            <w:tcW w:w="4677" w:type="dxa"/>
          </w:tcPr>
          <w:p w14:paraId="599C7F70" w14:textId="77777777" w:rsidR="00C04CAD" w:rsidRDefault="00060E34">
            <w:pPr>
              <w:spacing w:line="240" w:lineRule="auto"/>
              <w:rPr>
                <w:rFonts w:eastAsia="PMingLiU"/>
                <w:b/>
                <w:lang w:eastAsia="en-US" w:bidi="ar-SA"/>
              </w:rPr>
            </w:pPr>
            <w:r>
              <w:rPr>
                <w:rFonts w:eastAsia="PMingLiU"/>
                <w:b/>
                <w:lang w:eastAsia="en-US" w:bidi="ar-SA"/>
              </w:rPr>
              <w:t>Latvija</w:t>
            </w:r>
          </w:p>
          <w:p w14:paraId="63D1D988" w14:textId="77777777" w:rsidR="00C04CAD" w:rsidRDefault="00060E34">
            <w:pPr>
              <w:spacing w:line="240" w:lineRule="auto"/>
              <w:rPr>
                <w:rFonts w:eastAsia="PMingLiU"/>
                <w:szCs w:val="22"/>
                <w:lang w:eastAsia="en-US" w:bidi="ar-SA"/>
              </w:rPr>
            </w:pPr>
            <w:r>
              <w:rPr>
                <w:rFonts w:eastAsia="PMingLiU"/>
                <w:szCs w:val="22"/>
                <w:lang w:eastAsia="en-US" w:bidi="ar-SA"/>
              </w:rPr>
              <w:t>Amgen Switzerland AG Rīgas filiāle</w:t>
            </w:r>
          </w:p>
          <w:p w14:paraId="04931B30" w14:textId="77777777" w:rsidR="00C04CAD" w:rsidRDefault="00060E34">
            <w:pPr>
              <w:spacing w:line="240" w:lineRule="auto"/>
              <w:rPr>
                <w:rFonts w:eastAsia="PMingLiU"/>
                <w:szCs w:val="22"/>
                <w:lang w:eastAsia="en-US" w:bidi="ar-SA"/>
              </w:rPr>
            </w:pPr>
            <w:r>
              <w:rPr>
                <w:rFonts w:eastAsia="PMingLiU"/>
                <w:lang w:eastAsia="en-US" w:bidi="ar-SA"/>
              </w:rPr>
              <w:t xml:space="preserve">Tel: +371 </w:t>
            </w:r>
            <w:r>
              <w:rPr>
                <w:rFonts w:eastAsia="PMingLiU"/>
                <w:szCs w:val="22"/>
                <w:lang w:eastAsia="en-US" w:bidi="ar-SA"/>
              </w:rPr>
              <w:t>257 25888</w:t>
            </w:r>
          </w:p>
          <w:p w14:paraId="1A86BFAE"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3E743560" w14:textId="77777777" w:rsidR="00C04CAD" w:rsidRDefault="00C04CAD">
            <w:pPr>
              <w:spacing w:line="240" w:lineRule="auto"/>
              <w:rPr>
                <w:sz w:val="24"/>
                <w:szCs w:val="24"/>
                <w:lang w:eastAsia="en-US" w:bidi="ar-SA"/>
              </w:rPr>
            </w:pPr>
          </w:p>
        </w:tc>
      </w:tr>
    </w:tbl>
    <w:p w14:paraId="5F08BF01" w14:textId="77777777" w:rsidR="00C04CAD" w:rsidRDefault="00C04CAD">
      <w:pPr>
        <w:spacing w:line="240" w:lineRule="auto"/>
        <w:rPr>
          <w:szCs w:val="22"/>
        </w:rPr>
      </w:pPr>
    </w:p>
    <w:bookmarkEnd w:id="14"/>
    <w:p w14:paraId="6D946BAB" w14:textId="77777777" w:rsidR="00C04CAD" w:rsidRDefault="00060E34">
      <w:pPr>
        <w:keepNext/>
        <w:numPr>
          <w:ilvl w:val="12"/>
          <w:numId w:val="0"/>
        </w:numPr>
        <w:tabs>
          <w:tab w:val="clear" w:pos="567"/>
        </w:tabs>
        <w:spacing w:line="240" w:lineRule="auto"/>
        <w:ind w:right="-2"/>
        <w:outlineLvl w:val="0"/>
        <w:rPr>
          <w:szCs w:val="22"/>
        </w:rPr>
      </w:pPr>
      <w:r>
        <w:rPr>
          <w:b/>
        </w:rPr>
        <w:t xml:space="preserve">Acest prospect a fost revizuit în </w:t>
      </w:r>
    </w:p>
    <w:p w14:paraId="71F364F2" w14:textId="77777777" w:rsidR="00C04CAD" w:rsidRDefault="00C04CAD">
      <w:pPr>
        <w:keepNext/>
        <w:numPr>
          <w:ilvl w:val="12"/>
          <w:numId w:val="0"/>
        </w:numPr>
        <w:spacing w:line="240" w:lineRule="auto"/>
        <w:ind w:right="-2"/>
        <w:rPr>
          <w:szCs w:val="22"/>
        </w:rPr>
      </w:pPr>
    </w:p>
    <w:p w14:paraId="2174926D" w14:textId="77777777" w:rsidR="00C04CAD" w:rsidRDefault="00060E34">
      <w:pPr>
        <w:numPr>
          <w:ilvl w:val="12"/>
          <w:numId w:val="0"/>
        </w:numPr>
        <w:tabs>
          <w:tab w:val="clear" w:pos="567"/>
        </w:tabs>
        <w:spacing w:line="240" w:lineRule="auto"/>
        <w:ind w:right="-2"/>
        <w:rPr>
          <w:b/>
        </w:rPr>
      </w:pPr>
      <w:r>
        <w:rPr>
          <w:b/>
        </w:rPr>
        <w:t>Alte surse de informații</w:t>
      </w:r>
    </w:p>
    <w:p w14:paraId="1022127A" w14:textId="77777777" w:rsidR="00C04CAD" w:rsidRDefault="00C04CAD">
      <w:pPr>
        <w:numPr>
          <w:ilvl w:val="12"/>
          <w:numId w:val="0"/>
        </w:numPr>
        <w:tabs>
          <w:tab w:val="clear" w:pos="567"/>
        </w:tabs>
        <w:spacing w:line="240" w:lineRule="auto"/>
        <w:ind w:right="-2"/>
      </w:pPr>
    </w:p>
    <w:p w14:paraId="062B929D" w14:textId="77777777" w:rsidR="00C04CAD" w:rsidRDefault="00060E34">
      <w:pPr>
        <w:numPr>
          <w:ilvl w:val="12"/>
          <w:numId w:val="0"/>
        </w:numPr>
        <w:spacing w:line="240" w:lineRule="auto"/>
        <w:ind w:right="-2"/>
      </w:pPr>
      <w:r>
        <w:t xml:space="preserve">Informații detaliate privind acest medicament sunt disponibile pe site-ul Agenției Europene pentru Medicamente: </w:t>
      </w:r>
      <w:hyperlink r:id="rId25" w:history="1">
        <w:r w:rsidR="00C04CAD">
          <w:rPr>
            <w:rStyle w:val="Hyperlink"/>
            <w:szCs w:val="22"/>
          </w:rPr>
          <w:t>http://www.ema.europa.eu</w:t>
        </w:r>
      </w:hyperlink>
      <w:r>
        <w:t>.</w:t>
      </w:r>
    </w:p>
    <w:p w14:paraId="50A43EAA" w14:textId="77777777" w:rsidR="00C04CAD" w:rsidRDefault="00060E34">
      <w:pPr>
        <w:numPr>
          <w:ilvl w:val="12"/>
          <w:numId w:val="0"/>
        </w:numPr>
        <w:spacing w:line="240" w:lineRule="auto"/>
        <w:ind w:right="-2"/>
      </w:pPr>
      <w:r>
        <w:br w:type="page"/>
      </w:r>
    </w:p>
    <w:tbl>
      <w:tblPr>
        <w:tblW w:w="4999" w:type="pct"/>
        <w:tblLook w:val="04A0" w:firstRow="1" w:lastRow="0" w:firstColumn="1" w:lastColumn="0" w:noHBand="0" w:noVBand="1"/>
      </w:tblPr>
      <w:tblGrid>
        <w:gridCol w:w="1760"/>
        <w:gridCol w:w="2759"/>
        <w:gridCol w:w="2482"/>
        <w:gridCol w:w="2058"/>
      </w:tblGrid>
      <w:tr w:rsidR="00C04CAD" w14:paraId="22DF53DE"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4804F159" w14:textId="77777777" w:rsidR="00C04CAD" w:rsidRDefault="00060E34">
            <w:pPr>
              <w:keepNext/>
              <w:keepLines/>
              <w:tabs>
                <w:tab w:val="clear" w:pos="567"/>
              </w:tabs>
              <w:autoSpaceDE w:val="0"/>
              <w:autoSpaceDN w:val="0"/>
              <w:adjustRightInd w:val="0"/>
              <w:spacing w:line="240" w:lineRule="auto"/>
              <w:rPr>
                <w:szCs w:val="22"/>
                <w:lang w:eastAsia="en-US" w:bidi="ar-SA"/>
              </w:rPr>
            </w:pPr>
            <w:r>
              <w:rPr>
                <w:szCs w:val="22"/>
                <w:lang w:eastAsia="en-US" w:bidi="ar-SA"/>
              </w:rPr>
              <w:t>Instrucțiuni de utilizare:</w:t>
            </w:r>
          </w:p>
          <w:p w14:paraId="00ABCB43" w14:textId="77777777" w:rsidR="00C04CAD" w:rsidRDefault="00060E34">
            <w:pPr>
              <w:keepNext/>
              <w:keepLines/>
              <w:spacing w:line="240" w:lineRule="auto"/>
              <w:rPr>
                <w:rFonts w:eastAsia="PMingLiU"/>
                <w:szCs w:val="22"/>
                <w:lang w:eastAsia="en-US" w:bidi="ar-SA"/>
              </w:rPr>
            </w:pPr>
            <w:r>
              <w:rPr>
                <w:szCs w:val="22"/>
                <w:lang w:eastAsia="en-US" w:bidi="ar-SA"/>
              </w:rPr>
              <w:t>AMGEVITA</w:t>
            </w:r>
            <w:r>
              <w:rPr>
                <w:rFonts w:eastAsia="PMingLiU"/>
                <w:szCs w:val="22"/>
                <w:lang w:eastAsia="en-US" w:bidi="ar-SA"/>
              </w:rPr>
              <w:t xml:space="preserve"> seringă preumplută de unică utilizare</w:t>
            </w:r>
          </w:p>
          <w:p w14:paraId="59A17A57" w14:textId="77777777" w:rsidR="00C04CAD" w:rsidRDefault="00060E34">
            <w:pPr>
              <w:keepNext/>
              <w:keepLines/>
              <w:spacing w:line="240" w:lineRule="auto"/>
              <w:rPr>
                <w:rFonts w:eastAsia="PMingLiU"/>
                <w:b/>
                <w:szCs w:val="22"/>
                <w:lang w:eastAsia="en-US" w:bidi="ar-SA"/>
              </w:rPr>
            </w:pPr>
            <w:r>
              <w:rPr>
                <w:rFonts w:eastAsia="PMingLiU"/>
                <w:szCs w:val="22"/>
                <w:lang w:eastAsia="en-US" w:bidi="ar-SA"/>
              </w:rPr>
              <w:t>Pentru administrare subcutanată</w:t>
            </w:r>
          </w:p>
        </w:tc>
      </w:tr>
      <w:tr w:rsidR="00C04CAD" w14:paraId="00FC6935" w14:textId="77777777">
        <w:trPr>
          <w:trHeight w:val="73"/>
        </w:trPr>
        <w:tc>
          <w:tcPr>
            <w:tcW w:w="5000" w:type="pct"/>
            <w:gridSpan w:val="4"/>
            <w:tcBorders>
              <w:top w:val="single" w:sz="4" w:space="0" w:color="auto"/>
              <w:bottom w:val="single" w:sz="4" w:space="0" w:color="auto"/>
            </w:tcBorders>
          </w:tcPr>
          <w:p w14:paraId="6CA13F0B" w14:textId="77777777" w:rsidR="00C04CAD" w:rsidRDefault="00C04CAD">
            <w:pPr>
              <w:keepNext/>
              <w:keepLines/>
              <w:tabs>
                <w:tab w:val="clear" w:pos="567"/>
              </w:tabs>
              <w:autoSpaceDE w:val="0"/>
              <w:autoSpaceDN w:val="0"/>
              <w:adjustRightInd w:val="0"/>
              <w:spacing w:line="240" w:lineRule="auto"/>
              <w:jc w:val="center"/>
              <w:rPr>
                <w:bCs/>
                <w:sz w:val="24"/>
                <w:szCs w:val="22"/>
                <w:lang w:eastAsia="en-US" w:bidi="ar-SA"/>
              </w:rPr>
            </w:pPr>
          </w:p>
        </w:tc>
      </w:tr>
      <w:tr w:rsidR="00C04CAD" w14:paraId="1F0B068E" w14:textId="77777777">
        <w:tc>
          <w:tcPr>
            <w:tcW w:w="5000" w:type="pct"/>
            <w:gridSpan w:val="4"/>
            <w:tcBorders>
              <w:top w:val="single" w:sz="4" w:space="0" w:color="auto"/>
              <w:left w:val="single" w:sz="4" w:space="0" w:color="auto"/>
              <w:bottom w:val="single" w:sz="4" w:space="0" w:color="auto"/>
              <w:right w:val="single" w:sz="4" w:space="0" w:color="auto"/>
            </w:tcBorders>
          </w:tcPr>
          <w:p w14:paraId="6E5CD26B" w14:textId="77777777" w:rsidR="00C04CAD" w:rsidRDefault="00060E34">
            <w:pPr>
              <w:keepNext/>
              <w:keepLines/>
              <w:tabs>
                <w:tab w:val="clear" w:pos="567"/>
              </w:tabs>
              <w:autoSpaceDE w:val="0"/>
              <w:autoSpaceDN w:val="0"/>
              <w:adjustRightInd w:val="0"/>
              <w:spacing w:line="240" w:lineRule="auto"/>
              <w:jc w:val="center"/>
              <w:rPr>
                <w:b/>
                <w:bCs/>
                <w:szCs w:val="22"/>
                <w:lang w:eastAsia="en-US" w:bidi="ar-SA"/>
              </w:rPr>
            </w:pPr>
            <w:r>
              <w:rPr>
                <w:b/>
                <w:bCs/>
                <w:szCs w:val="22"/>
                <w:lang w:eastAsia="en-US" w:bidi="ar-SA"/>
              </w:rPr>
              <w:t>Prezentarea componentelor</w:t>
            </w:r>
          </w:p>
          <w:p w14:paraId="7A014D9A" w14:textId="77777777" w:rsidR="00C04CAD" w:rsidRDefault="00C04CAD">
            <w:pPr>
              <w:keepNext/>
              <w:keepLines/>
              <w:tabs>
                <w:tab w:val="clear" w:pos="567"/>
              </w:tabs>
              <w:autoSpaceDE w:val="0"/>
              <w:autoSpaceDN w:val="0"/>
              <w:adjustRightInd w:val="0"/>
              <w:spacing w:line="240" w:lineRule="auto"/>
              <w:jc w:val="center"/>
              <w:rPr>
                <w:b/>
                <w:sz w:val="24"/>
                <w:szCs w:val="22"/>
                <w:lang w:eastAsia="en-US" w:bidi="ar-SA"/>
              </w:rPr>
            </w:pPr>
          </w:p>
        </w:tc>
      </w:tr>
      <w:tr w:rsidR="00C04CAD" w14:paraId="7E070563" w14:textId="77777777">
        <w:trPr>
          <w:trHeight w:val="332"/>
        </w:trPr>
        <w:tc>
          <w:tcPr>
            <w:tcW w:w="2505" w:type="pct"/>
            <w:gridSpan w:val="2"/>
            <w:tcBorders>
              <w:top w:val="single" w:sz="4" w:space="0" w:color="auto"/>
              <w:left w:val="single" w:sz="4" w:space="0" w:color="auto"/>
              <w:bottom w:val="single" w:sz="4" w:space="0" w:color="auto"/>
              <w:right w:val="single" w:sz="4" w:space="0" w:color="auto"/>
            </w:tcBorders>
          </w:tcPr>
          <w:p w14:paraId="050747F0" w14:textId="77777777" w:rsidR="00C04CAD" w:rsidRDefault="00060E34">
            <w:pPr>
              <w:keepNext/>
              <w:keepLines/>
              <w:tabs>
                <w:tab w:val="clear" w:pos="567"/>
              </w:tabs>
              <w:autoSpaceDE w:val="0"/>
              <w:autoSpaceDN w:val="0"/>
              <w:adjustRightInd w:val="0"/>
              <w:spacing w:line="240" w:lineRule="auto"/>
              <w:jc w:val="center"/>
              <w:rPr>
                <w:b/>
                <w:bCs/>
                <w:szCs w:val="22"/>
                <w:lang w:eastAsia="en-US" w:bidi="ar-SA"/>
              </w:rPr>
            </w:pPr>
            <w:r>
              <w:rPr>
                <w:b/>
                <w:bCs/>
                <w:szCs w:val="22"/>
                <w:lang w:eastAsia="en-US" w:bidi="ar-SA"/>
              </w:rPr>
              <w:t>Înainte de utilizare</w:t>
            </w:r>
          </w:p>
        </w:tc>
        <w:tc>
          <w:tcPr>
            <w:tcW w:w="2495" w:type="pct"/>
            <w:gridSpan w:val="2"/>
            <w:tcBorders>
              <w:top w:val="single" w:sz="4" w:space="0" w:color="auto"/>
              <w:left w:val="single" w:sz="4" w:space="0" w:color="auto"/>
              <w:bottom w:val="single" w:sz="4" w:space="0" w:color="auto"/>
              <w:right w:val="single" w:sz="4" w:space="0" w:color="auto"/>
            </w:tcBorders>
          </w:tcPr>
          <w:p w14:paraId="035F6735" w14:textId="77777777" w:rsidR="00C04CAD" w:rsidRDefault="00060E34">
            <w:pPr>
              <w:keepNext/>
              <w:tabs>
                <w:tab w:val="clear" w:pos="567"/>
              </w:tabs>
              <w:autoSpaceDE w:val="0"/>
              <w:autoSpaceDN w:val="0"/>
              <w:adjustRightInd w:val="0"/>
              <w:spacing w:line="240" w:lineRule="auto"/>
              <w:jc w:val="center"/>
              <w:rPr>
                <w:b/>
                <w:bCs/>
                <w:szCs w:val="22"/>
                <w:lang w:eastAsia="en-US" w:bidi="ar-SA"/>
              </w:rPr>
            </w:pPr>
            <w:r>
              <w:rPr>
                <w:b/>
                <w:bCs/>
                <w:szCs w:val="22"/>
                <w:lang w:eastAsia="en-US" w:bidi="ar-SA"/>
              </w:rPr>
              <w:t>După utilizare</w:t>
            </w:r>
          </w:p>
        </w:tc>
      </w:tr>
      <w:tr w:rsidR="00C04CAD" w14:paraId="54E6A586" w14:textId="77777777">
        <w:trPr>
          <w:cantSplit/>
          <w:trHeight w:val="9168"/>
        </w:trPr>
        <w:tc>
          <w:tcPr>
            <w:tcW w:w="977"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544"/>
            </w:tblGrid>
            <w:tr w:rsidR="00C04CAD" w14:paraId="718CE0C9" w14:textId="77777777">
              <w:trPr>
                <w:trHeight w:val="253"/>
              </w:trPr>
              <w:tc>
                <w:tcPr>
                  <w:tcW w:w="1766" w:type="dxa"/>
                  <w:tcBorders>
                    <w:top w:val="nil"/>
                    <w:left w:val="nil"/>
                    <w:bottom w:val="nil"/>
                    <w:right w:val="nil"/>
                  </w:tcBorders>
                  <w:tcMar>
                    <w:top w:w="113" w:type="dxa"/>
                  </w:tcMar>
                  <w:vAlign w:val="bottom"/>
                </w:tcPr>
                <w:p w14:paraId="6E669C73"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Tijă piston</w:t>
                  </w:r>
                </w:p>
              </w:tc>
            </w:tr>
            <w:tr w:rsidR="00C04CAD" w14:paraId="259B2A64" w14:textId="77777777">
              <w:trPr>
                <w:trHeight w:val="1562"/>
              </w:trPr>
              <w:tc>
                <w:tcPr>
                  <w:tcW w:w="1766" w:type="dxa"/>
                  <w:tcBorders>
                    <w:top w:val="nil"/>
                    <w:left w:val="nil"/>
                    <w:bottom w:val="nil"/>
                    <w:right w:val="nil"/>
                  </w:tcBorders>
                  <w:vAlign w:val="bottom"/>
                </w:tcPr>
                <w:p w14:paraId="44986658"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Suport pentru degete</w:t>
                  </w:r>
                </w:p>
              </w:tc>
            </w:tr>
            <w:tr w:rsidR="00C04CAD" w14:paraId="7FD5A648" w14:textId="77777777">
              <w:trPr>
                <w:trHeight w:val="846"/>
              </w:trPr>
              <w:tc>
                <w:tcPr>
                  <w:tcW w:w="1766" w:type="dxa"/>
                  <w:tcBorders>
                    <w:top w:val="nil"/>
                    <w:left w:val="nil"/>
                    <w:bottom w:val="nil"/>
                    <w:right w:val="nil"/>
                  </w:tcBorders>
                  <w:vAlign w:val="bottom"/>
                </w:tcPr>
                <w:p w14:paraId="4CB611CC"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Eticheta și data expirării</w:t>
                  </w:r>
                </w:p>
              </w:tc>
            </w:tr>
            <w:tr w:rsidR="00C04CAD" w14:paraId="6FB7AB34" w14:textId="77777777">
              <w:trPr>
                <w:trHeight w:val="859"/>
              </w:trPr>
              <w:tc>
                <w:tcPr>
                  <w:tcW w:w="1766" w:type="dxa"/>
                  <w:tcBorders>
                    <w:top w:val="nil"/>
                    <w:left w:val="nil"/>
                    <w:bottom w:val="nil"/>
                    <w:right w:val="nil"/>
                  </w:tcBorders>
                  <w:vAlign w:val="bottom"/>
                </w:tcPr>
                <w:p w14:paraId="42591CEE"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Corpul seringii</w:t>
                  </w:r>
                </w:p>
              </w:tc>
            </w:tr>
            <w:tr w:rsidR="00C04CAD" w14:paraId="69F5B1EA" w14:textId="77777777">
              <w:trPr>
                <w:trHeight w:val="527"/>
              </w:trPr>
              <w:tc>
                <w:tcPr>
                  <w:tcW w:w="1766" w:type="dxa"/>
                  <w:tcBorders>
                    <w:top w:val="nil"/>
                    <w:left w:val="nil"/>
                    <w:bottom w:val="nil"/>
                    <w:right w:val="nil"/>
                  </w:tcBorders>
                  <w:vAlign w:val="bottom"/>
                </w:tcPr>
                <w:p w14:paraId="742FD470"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Medicament</w:t>
                  </w:r>
                </w:p>
              </w:tc>
            </w:tr>
            <w:tr w:rsidR="00C04CAD" w14:paraId="3F30B71F" w14:textId="77777777">
              <w:trPr>
                <w:trHeight w:val="998"/>
              </w:trPr>
              <w:tc>
                <w:tcPr>
                  <w:tcW w:w="1766" w:type="dxa"/>
                  <w:tcBorders>
                    <w:top w:val="nil"/>
                    <w:left w:val="nil"/>
                    <w:bottom w:val="nil"/>
                    <w:right w:val="nil"/>
                  </w:tcBorders>
                  <w:vAlign w:val="bottom"/>
                </w:tcPr>
                <w:p w14:paraId="11B74723" w14:textId="77777777" w:rsidR="00C04CAD" w:rsidRDefault="00060E34">
                  <w:pPr>
                    <w:keepNext/>
                    <w:keepLines/>
                    <w:tabs>
                      <w:tab w:val="clear" w:pos="567"/>
                    </w:tabs>
                    <w:autoSpaceDE w:val="0"/>
                    <w:autoSpaceDN w:val="0"/>
                    <w:adjustRightInd w:val="0"/>
                    <w:spacing w:line="240" w:lineRule="auto"/>
                    <w:ind w:right="-76"/>
                    <w:jc w:val="right"/>
                    <w:rPr>
                      <w:szCs w:val="22"/>
                      <w:lang w:eastAsia="en-US" w:bidi="ar-SA"/>
                    </w:rPr>
                  </w:pPr>
                  <w:r>
                    <w:rPr>
                      <w:szCs w:val="22"/>
                      <w:lang w:eastAsia="en-US" w:bidi="ar-SA"/>
                    </w:rPr>
                    <w:t>Capacul acului atașat</w:t>
                  </w:r>
                </w:p>
              </w:tc>
            </w:tr>
          </w:tbl>
          <w:p w14:paraId="4AEDFCF3" w14:textId="77777777" w:rsidR="00C04CAD" w:rsidRDefault="00C04CAD">
            <w:pPr>
              <w:keepNext/>
              <w:keepLines/>
              <w:tabs>
                <w:tab w:val="clear" w:pos="567"/>
              </w:tabs>
              <w:autoSpaceDE w:val="0"/>
              <w:autoSpaceDN w:val="0"/>
              <w:adjustRightInd w:val="0"/>
              <w:spacing w:line="240" w:lineRule="auto"/>
              <w:jc w:val="right"/>
              <w:rPr>
                <w:sz w:val="24"/>
                <w:szCs w:val="22"/>
                <w:lang w:eastAsia="en-US" w:bidi="ar-SA"/>
              </w:rPr>
            </w:pPr>
          </w:p>
        </w:tc>
        <w:tc>
          <w:tcPr>
            <w:tcW w:w="1528" w:type="pct"/>
            <w:tcBorders>
              <w:top w:val="single" w:sz="4" w:space="0" w:color="auto"/>
              <w:bottom w:val="single" w:sz="4" w:space="0" w:color="auto"/>
              <w:right w:val="single" w:sz="4" w:space="0" w:color="auto"/>
            </w:tcBorders>
          </w:tcPr>
          <w:p w14:paraId="270DC434" w14:textId="77777777" w:rsidR="00C04CAD" w:rsidRDefault="00060E34">
            <w:pPr>
              <w:keepNext/>
              <w:keepLines/>
              <w:tabs>
                <w:tab w:val="clear" w:pos="567"/>
              </w:tabs>
              <w:autoSpaceDE w:val="0"/>
              <w:autoSpaceDN w:val="0"/>
              <w:adjustRightInd w:val="0"/>
              <w:spacing w:line="240" w:lineRule="auto"/>
              <w:ind w:left="-75"/>
              <w:rPr>
                <w:sz w:val="24"/>
                <w:szCs w:val="22"/>
                <w:lang w:eastAsia="en-US" w:bidi="ar-SA"/>
              </w:rPr>
            </w:pPr>
            <w:r>
              <w:rPr>
                <w:noProof/>
                <w:szCs w:val="22"/>
                <w:lang w:val="en-US" w:eastAsia="zh-CN" w:bidi="ar-SA"/>
              </w:rPr>
              <w:drawing>
                <wp:inline distT="0" distB="0" distL="0" distR="0" wp14:anchorId="6C3A990C" wp14:editId="1F0E561A">
                  <wp:extent cx="1257300" cy="3470275"/>
                  <wp:effectExtent l="0" t="0" r="0" b="0"/>
                  <wp:docPr id="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257300" cy="3470275"/>
                          </a:xfrm>
                          <a:prstGeom prst="rect">
                            <a:avLst/>
                          </a:prstGeom>
                          <a:noFill/>
                          <a:ln>
                            <a:noFill/>
                          </a:ln>
                        </pic:spPr>
                      </pic:pic>
                    </a:graphicData>
                  </a:graphic>
                </wp:inline>
              </w:drawing>
            </w:r>
          </w:p>
        </w:tc>
        <w:tc>
          <w:tcPr>
            <w:tcW w:w="1354" w:type="pct"/>
            <w:tcBorders>
              <w:top w:val="single" w:sz="4" w:space="0" w:color="auto"/>
              <w:left w:val="single" w:sz="4" w:space="0" w:color="auto"/>
              <w:bottom w:val="single" w:sz="4" w:space="0" w:color="auto"/>
            </w:tcBorders>
          </w:tcPr>
          <w:p w14:paraId="562CD522" w14:textId="77777777" w:rsidR="00C04CAD" w:rsidRDefault="00060E34">
            <w:pPr>
              <w:tabs>
                <w:tab w:val="clear" w:pos="567"/>
              </w:tabs>
              <w:autoSpaceDE w:val="0"/>
              <w:autoSpaceDN w:val="0"/>
              <w:adjustRightInd w:val="0"/>
              <w:spacing w:line="240" w:lineRule="auto"/>
              <w:ind w:right="139"/>
              <w:jc w:val="right"/>
              <w:rPr>
                <w:sz w:val="24"/>
                <w:szCs w:val="22"/>
                <w:lang w:eastAsia="en-US" w:bidi="ar-SA"/>
              </w:rPr>
            </w:pPr>
            <w:r>
              <w:rPr>
                <w:noProof/>
                <w:szCs w:val="22"/>
                <w:lang w:val="en-US" w:eastAsia="zh-CN" w:bidi="ar-SA"/>
              </w:rPr>
              <w:drawing>
                <wp:inline distT="0" distB="0" distL="0" distR="0" wp14:anchorId="0409D6ED" wp14:editId="0886ED69">
                  <wp:extent cx="1350645" cy="3719830"/>
                  <wp:effectExtent l="0" t="0" r="0" b="0"/>
                  <wp:docPr id="2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350645" cy="3719830"/>
                          </a:xfrm>
                          <a:prstGeom prst="rect">
                            <a:avLst/>
                          </a:prstGeom>
                          <a:noFill/>
                          <a:ln>
                            <a:noFill/>
                          </a:ln>
                        </pic:spPr>
                      </pic:pic>
                    </a:graphicData>
                  </a:graphic>
                </wp:inline>
              </w:drawing>
            </w:r>
          </w:p>
        </w:tc>
        <w:tc>
          <w:tcPr>
            <w:tcW w:w="1141"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842"/>
            </w:tblGrid>
            <w:tr w:rsidR="00C04CAD" w14:paraId="485DEBF2" w14:textId="77777777">
              <w:trPr>
                <w:trHeight w:val="365"/>
              </w:trPr>
              <w:tc>
                <w:tcPr>
                  <w:tcW w:w="2070" w:type="dxa"/>
                  <w:tcBorders>
                    <w:top w:val="nil"/>
                    <w:left w:val="nil"/>
                    <w:bottom w:val="nil"/>
                    <w:right w:val="nil"/>
                  </w:tcBorders>
                  <w:tcMar>
                    <w:left w:w="113" w:type="dxa"/>
                  </w:tcMar>
                </w:tcPr>
                <w:p w14:paraId="10F955D1"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Tijă piston după utilizare</w:t>
                  </w:r>
                </w:p>
              </w:tc>
            </w:tr>
            <w:tr w:rsidR="00C04CAD" w14:paraId="44DC1AA7" w14:textId="77777777">
              <w:trPr>
                <w:trHeight w:val="866"/>
              </w:trPr>
              <w:tc>
                <w:tcPr>
                  <w:tcW w:w="2070" w:type="dxa"/>
                  <w:tcBorders>
                    <w:top w:val="nil"/>
                    <w:left w:val="nil"/>
                    <w:bottom w:val="nil"/>
                    <w:right w:val="nil"/>
                  </w:tcBorders>
                  <w:tcMar>
                    <w:left w:w="113" w:type="dxa"/>
                  </w:tcMar>
                </w:tcPr>
                <w:p w14:paraId="56318585"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Suport pentru degete</w:t>
                  </w:r>
                </w:p>
              </w:tc>
            </w:tr>
            <w:tr w:rsidR="00C04CAD" w14:paraId="0F8F1B19" w14:textId="77777777">
              <w:trPr>
                <w:trHeight w:val="978"/>
              </w:trPr>
              <w:tc>
                <w:tcPr>
                  <w:tcW w:w="2070" w:type="dxa"/>
                  <w:tcBorders>
                    <w:top w:val="nil"/>
                    <w:left w:val="nil"/>
                    <w:bottom w:val="nil"/>
                    <w:right w:val="nil"/>
                  </w:tcBorders>
                  <w:tcMar>
                    <w:left w:w="113" w:type="dxa"/>
                  </w:tcMar>
                </w:tcPr>
                <w:p w14:paraId="4AF7629E"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Eticheta și data expirării</w:t>
                  </w:r>
                </w:p>
              </w:tc>
            </w:tr>
            <w:tr w:rsidR="00C04CAD" w14:paraId="63B4C3BB" w14:textId="77777777">
              <w:trPr>
                <w:trHeight w:val="1671"/>
              </w:trPr>
              <w:tc>
                <w:tcPr>
                  <w:tcW w:w="2070" w:type="dxa"/>
                  <w:tcBorders>
                    <w:top w:val="nil"/>
                    <w:left w:val="nil"/>
                    <w:bottom w:val="nil"/>
                    <w:right w:val="nil"/>
                  </w:tcBorders>
                  <w:tcMar>
                    <w:left w:w="113" w:type="dxa"/>
                  </w:tcMar>
                </w:tcPr>
                <w:p w14:paraId="000F3D71"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Corpul seringii după utilizare</w:t>
                  </w:r>
                </w:p>
              </w:tc>
            </w:tr>
            <w:tr w:rsidR="00C04CAD" w14:paraId="49290DE1" w14:textId="77777777">
              <w:trPr>
                <w:trHeight w:val="1142"/>
              </w:trPr>
              <w:tc>
                <w:tcPr>
                  <w:tcW w:w="2070" w:type="dxa"/>
                  <w:tcBorders>
                    <w:top w:val="nil"/>
                    <w:left w:val="nil"/>
                    <w:bottom w:val="nil"/>
                    <w:right w:val="nil"/>
                  </w:tcBorders>
                  <w:tcMar>
                    <w:left w:w="113" w:type="dxa"/>
                  </w:tcMar>
                </w:tcPr>
                <w:p w14:paraId="28C5D92B"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Ac după utilizare</w:t>
                  </w:r>
                </w:p>
              </w:tc>
            </w:tr>
            <w:tr w:rsidR="00C04CAD" w14:paraId="55E992A3" w14:textId="77777777">
              <w:trPr>
                <w:trHeight w:val="428"/>
              </w:trPr>
              <w:tc>
                <w:tcPr>
                  <w:tcW w:w="2070" w:type="dxa"/>
                  <w:tcBorders>
                    <w:top w:val="nil"/>
                    <w:left w:val="nil"/>
                    <w:bottom w:val="nil"/>
                    <w:right w:val="nil"/>
                  </w:tcBorders>
                  <w:tcMar>
                    <w:left w:w="113" w:type="dxa"/>
                  </w:tcMar>
                </w:tcPr>
                <w:p w14:paraId="4706409D"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Capacul acului detașat</w:t>
                  </w:r>
                </w:p>
              </w:tc>
            </w:tr>
          </w:tbl>
          <w:p w14:paraId="7CAB5B9E" w14:textId="77777777" w:rsidR="00C04CAD" w:rsidRDefault="00C04CAD">
            <w:pPr>
              <w:tabs>
                <w:tab w:val="clear" w:pos="567"/>
              </w:tabs>
              <w:autoSpaceDE w:val="0"/>
              <w:autoSpaceDN w:val="0"/>
              <w:adjustRightInd w:val="0"/>
              <w:spacing w:line="240" w:lineRule="auto"/>
              <w:rPr>
                <w:sz w:val="24"/>
                <w:szCs w:val="22"/>
                <w:lang w:eastAsia="en-US" w:bidi="ar-SA"/>
              </w:rPr>
            </w:pPr>
          </w:p>
        </w:tc>
      </w:tr>
      <w:tr w:rsidR="00C04CAD" w14:paraId="646DCD55"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F68D987" w14:textId="77777777" w:rsidR="00C04CAD" w:rsidRDefault="00060E34">
            <w:pPr>
              <w:tabs>
                <w:tab w:val="clear" w:pos="567"/>
              </w:tabs>
              <w:autoSpaceDE w:val="0"/>
              <w:autoSpaceDN w:val="0"/>
              <w:adjustRightInd w:val="0"/>
              <w:spacing w:line="240" w:lineRule="auto"/>
              <w:rPr>
                <w:szCs w:val="22"/>
                <w:lang w:eastAsia="en-US" w:bidi="ar-SA"/>
              </w:rPr>
            </w:pPr>
            <w:r>
              <w:rPr>
                <w:b/>
                <w:szCs w:val="22"/>
                <w:lang w:eastAsia="en-US" w:bidi="ar-SA"/>
              </w:rPr>
              <w:t>Important</w:t>
            </w:r>
            <w:r>
              <w:rPr>
                <w:szCs w:val="22"/>
                <w:lang w:eastAsia="en-US" w:bidi="ar-SA"/>
              </w:rPr>
              <w:t>: Acul este în interior.</w:t>
            </w:r>
          </w:p>
        </w:tc>
      </w:tr>
    </w:tbl>
    <w:p w14:paraId="636B260B" w14:textId="77777777" w:rsidR="00C04CAD" w:rsidRDefault="00C04CAD">
      <w:pPr>
        <w:numPr>
          <w:ilvl w:val="12"/>
          <w:numId w:val="0"/>
        </w:numPr>
        <w:tabs>
          <w:tab w:val="left" w:pos="2657"/>
        </w:tabs>
        <w:spacing w:line="240" w:lineRule="auto"/>
        <w:ind w:left="-37" w:right="-28"/>
        <w:rPr>
          <w:szCs w:val="22"/>
        </w:rPr>
      </w:pPr>
    </w:p>
    <w:tbl>
      <w:tblPr>
        <w:tblW w:w="5047"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577"/>
      </w:tblGrid>
      <w:tr w:rsidR="00C04CAD" w14:paraId="1FBDFFC3" w14:textId="77777777">
        <w:trPr>
          <w:cantSplit/>
          <w:trHeight w:val="371"/>
        </w:trPr>
        <w:tc>
          <w:tcPr>
            <w:tcW w:w="5000" w:type="pct"/>
            <w:gridSpan w:val="2"/>
            <w:tcBorders>
              <w:bottom w:val="nil"/>
            </w:tcBorders>
            <w:tcMar>
              <w:top w:w="57" w:type="dxa"/>
              <w:left w:w="57" w:type="dxa"/>
              <w:bottom w:w="57" w:type="dxa"/>
              <w:right w:w="57" w:type="dxa"/>
            </w:tcMar>
          </w:tcPr>
          <w:p w14:paraId="209F70FB" w14:textId="77777777" w:rsidR="00C04CAD" w:rsidRDefault="00060E34">
            <w:pPr>
              <w:keepNext/>
              <w:keepLines/>
              <w:tabs>
                <w:tab w:val="clear" w:pos="567"/>
              </w:tabs>
              <w:autoSpaceDE w:val="0"/>
              <w:autoSpaceDN w:val="0"/>
              <w:adjustRightInd w:val="0"/>
              <w:spacing w:line="240" w:lineRule="auto"/>
              <w:jc w:val="center"/>
              <w:rPr>
                <w:b/>
                <w:szCs w:val="22"/>
                <w:lang w:eastAsia="en-US" w:bidi="ar-SA"/>
              </w:rPr>
            </w:pPr>
            <w:r>
              <w:rPr>
                <w:b/>
                <w:szCs w:val="22"/>
                <w:lang w:eastAsia="en-US" w:bidi="ar-SA"/>
              </w:rPr>
              <w:t>Important</w:t>
            </w:r>
          </w:p>
        </w:tc>
      </w:tr>
      <w:tr w:rsidR="00C04CAD" w14:paraId="351E8478" w14:textId="77777777">
        <w:trPr>
          <w:cantSplit/>
        </w:trPr>
        <w:tc>
          <w:tcPr>
            <w:tcW w:w="5000" w:type="pct"/>
            <w:gridSpan w:val="2"/>
            <w:tcBorders>
              <w:top w:val="nil"/>
              <w:bottom w:val="nil"/>
            </w:tcBorders>
            <w:tcMar>
              <w:top w:w="57" w:type="dxa"/>
              <w:left w:w="57" w:type="dxa"/>
              <w:bottom w:w="57" w:type="dxa"/>
              <w:right w:w="57" w:type="dxa"/>
            </w:tcMar>
          </w:tcPr>
          <w:p w14:paraId="5709A69E" w14:textId="77777777" w:rsidR="00C04CAD" w:rsidRDefault="00060E34">
            <w:pPr>
              <w:keepNext/>
              <w:keepLines/>
              <w:tabs>
                <w:tab w:val="clear" w:pos="567"/>
              </w:tabs>
              <w:suppressAutoHyphens/>
              <w:autoSpaceDE w:val="0"/>
              <w:autoSpaceDN w:val="0"/>
              <w:adjustRightInd w:val="0"/>
              <w:spacing w:line="240" w:lineRule="auto"/>
              <w:textAlignment w:val="center"/>
              <w:rPr>
                <w:rFonts w:eastAsia="MS Mincho"/>
                <w:b/>
                <w:bCs/>
                <w:szCs w:val="22"/>
                <w:lang w:eastAsia="en-US" w:bidi="ar-SA"/>
              </w:rPr>
            </w:pPr>
            <w:r>
              <w:rPr>
                <w:rFonts w:eastAsia="MS Mincho"/>
                <w:b/>
                <w:bCs/>
                <w:szCs w:val="22"/>
                <w:lang w:eastAsia="en-US" w:bidi="ar-SA"/>
              </w:rPr>
              <w:t xml:space="preserve">Înainte de a utiliza </w:t>
            </w:r>
            <w:r>
              <w:rPr>
                <w:b/>
                <w:bCs/>
                <w:color w:val="000000"/>
                <w:szCs w:val="22"/>
                <w:lang w:eastAsia="en-US" w:bidi="ar-SA"/>
              </w:rPr>
              <w:t>AMGEVITA</w:t>
            </w:r>
            <w:r>
              <w:rPr>
                <w:rFonts w:eastAsia="MS Mincho"/>
                <w:b/>
                <w:bCs/>
                <w:szCs w:val="22"/>
                <w:lang w:eastAsia="en-US" w:bidi="ar-SA"/>
              </w:rPr>
              <w:t xml:space="preserve"> seringă preumplută, citiţi aceste informaţii importante:</w:t>
            </w:r>
          </w:p>
          <w:p w14:paraId="2849DFE1" w14:textId="77777777" w:rsidR="00C04CAD" w:rsidRDefault="00C04CAD">
            <w:pPr>
              <w:keepNext/>
              <w:keepLines/>
              <w:tabs>
                <w:tab w:val="clear" w:pos="567"/>
              </w:tabs>
              <w:suppressAutoHyphens/>
              <w:autoSpaceDE w:val="0"/>
              <w:autoSpaceDN w:val="0"/>
              <w:adjustRightInd w:val="0"/>
              <w:spacing w:line="240" w:lineRule="auto"/>
              <w:textAlignment w:val="center"/>
              <w:rPr>
                <w:b/>
                <w:bCs/>
                <w:color w:val="000000"/>
                <w:szCs w:val="22"/>
                <w:lang w:eastAsia="en-US" w:bidi="ar-SA"/>
              </w:rPr>
            </w:pPr>
          </w:p>
        </w:tc>
      </w:tr>
      <w:tr w:rsidR="00C04CAD" w14:paraId="3FD18A96" w14:textId="77777777">
        <w:trPr>
          <w:cantSplit/>
          <w:trHeight w:val="299"/>
        </w:trPr>
        <w:tc>
          <w:tcPr>
            <w:tcW w:w="5000" w:type="pct"/>
            <w:gridSpan w:val="2"/>
            <w:tcBorders>
              <w:top w:val="nil"/>
              <w:bottom w:val="nil"/>
            </w:tcBorders>
            <w:tcMar>
              <w:left w:w="57" w:type="dxa"/>
            </w:tcMar>
            <w:vAlign w:val="center"/>
          </w:tcPr>
          <w:p w14:paraId="6ECCBF3D" w14:textId="77777777" w:rsidR="00C04CAD" w:rsidRDefault="00060E34">
            <w:pPr>
              <w:keepNext/>
              <w:tabs>
                <w:tab w:val="clear" w:pos="567"/>
              </w:tabs>
              <w:autoSpaceDE w:val="0"/>
              <w:autoSpaceDN w:val="0"/>
              <w:adjustRightInd w:val="0"/>
              <w:spacing w:line="240" w:lineRule="auto"/>
              <w:rPr>
                <w:b/>
                <w:bCs/>
                <w:szCs w:val="22"/>
                <w:lang w:eastAsia="en-US" w:bidi="ar-SA"/>
              </w:rPr>
            </w:pPr>
            <w:r>
              <w:rPr>
                <w:b/>
                <w:bCs/>
                <w:color w:val="000000"/>
                <w:szCs w:val="22"/>
                <w:lang w:eastAsia="en-US" w:bidi="ar-SA"/>
              </w:rPr>
              <w:t>Utilizarea AMGEVITA seringă preumplută</w:t>
            </w:r>
          </w:p>
        </w:tc>
      </w:tr>
      <w:tr w:rsidR="00C04CAD" w14:paraId="1F0AD4EB" w14:textId="77777777">
        <w:trPr>
          <w:cantSplit/>
        </w:trPr>
        <w:tc>
          <w:tcPr>
            <w:tcW w:w="311" w:type="pct"/>
            <w:tcBorders>
              <w:top w:val="nil"/>
              <w:bottom w:val="nil"/>
              <w:right w:val="nil"/>
            </w:tcBorders>
            <w:tcMar>
              <w:left w:w="57" w:type="dxa"/>
            </w:tcMar>
          </w:tcPr>
          <w:p w14:paraId="64BE670B" w14:textId="77777777" w:rsidR="00C04CAD" w:rsidRDefault="00060E34">
            <w:pPr>
              <w:keepNext/>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89" w:type="pct"/>
            <w:tcBorders>
              <w:top w:val="nil"/>
              <w:left w:val="nil"/>
              <w:bottom w:val="nil"/>
            </w:tcBorders>
            <w:tcMar>
              <w:top w:w="57" w:type="dxa"/>
              <w:left w:w="0" w:type="dxa"/>
              <w:bottom w:w="57" w:type="dxa"/>
              <w:right w:w="57" w:type="dxa"/>
            </w:tcMar>
          </w:tcPr>
          <w:p w14:paraId="778406EE" w14:textId="77777777" w:rsidR="00C04CAD" w:rsidRDefault="00060E34">
            <w:pPr>
              <w:keepNext/>
              <w:tabs>
                <w:tab w:val="clear" w:pos="567"/>
              </w:tabs>
              <w:autoSpaceDE w:val="0"/>
              <w:autoSpaceDN w:val="0"/>
              <w:adjustRightInd w:val="0"/>
              <w:spacing w:line="240" w:lineRule="auto"/>
              <w:rPr>
                <w:szCs w:val="22"/>
                <w:lang w:eastAsia="en-US" w:bidi="ar-SA"/>
              </w:rPr>
            </w:pPr>
            <w:r>
              <w:rPr>
                <w:szCs w:val="22"/>
                <w:lang w:eastAsia="en-US" w:bidi="ar-SA"/>
              </w:rPr>
              <w:t>Este important să nu încercaţi să administraţi injecţia decât după ce dumneavoastră sau persoana care vă îngrijeşte aţi primit instruire în acest sens</w:t>
            </w:r>
            <w:r>
              <w:rPr>
                <w:szCs w:val="22"/>
                <w:lang w:eastAsia="en-GB" w:bidi="ar-SA"/>
              </w:rPr>
              <w:t>.</w:t>
            </w:r>
          </w:p>
        </w:tc>
      </w:tr>
      <w:tr w:rsidR="00C04CAD" w14:paraId="402506AC" w14:textId="77777777">
        <w:trPr>
          <w:cantSplit/>
        </w:trPr>
        <w:tc>
          <w:tcPr>
            <w:tcW w:w="311" w:type="pct"/>
            <w:tcBorders>
              <w:top w:val="nil"/>
              <w:bottom w:val="single" w:sz="4" w:space="0" w:color="auto"/>
              <w:right w:val="nil"/>
            </w:tcBorders>
            <w:tcMar>
              <w:left w:w="57" w:type="dxa"/>
            </w:tcMar>
          </w:tcPr>
          <w:p w14:paraId="7D9709F8"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89" w:type="pct"/>
            <w:tcBorders>
              <w:top w:val="nil"/>
              <w:left w:val="nil"/>
              <w:bottom w:val="single" w:sz="4" w:space="0" w:color="auto"/>
            </w:tcBorders>
            <w:tcMar>
              <w:top w:w="57" w:type="dxa"/>
              <w:left w:w="0" w:type="dxa"/>
              <w:bottom w:w="57" w:type="dxa"/>
              <w:right w:w="57" w:type="dxa"/>
            </w:tcMar>
          </w:tcPr>
          <w:p w14:paraId="26665DB1"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bCs/>
                <w:szCs w:val="22"/>
                <w:lang w:eastAsia="en-US" w:bidi="ar-SA"/>
              </w:rPr>
              <w:t xml:space="preserve">utilizați </w:t>
            </w:r>
            <w:r>
              <w:rPr>
                <w:szCs w:val="22"/>
                <w:lang w:eastAsia="en-US" w:bidi="ar-SA"/>
              </w:rPr>
              <w:t xml:space="preserve">AMGEVITA dacă seringa preumplută a fost lovită prin cădere pe o suprafață dură. Este posibil ca oricare component al seringii preumplute AMGEVITA </w:t>
            </w:r>
            <w:r>
              <w:rPr>
                <w:szCs w:val="22"/>
                <w:lang w:eastAsia="en-GB" w:bidi="ar-SA"/>
              </w:rPr>
              <w:t xml:space="preserve">să se fi deteriorat chiar dacă dumneavoastră nu observaţi fisura. </w:t>
            </w:r>
            <w:r>
              <w:rPr>
                <w:szCs w:val="22"/>
                <w:lang w:eastAsia="en-US" w:bidi="ar-SA"/>
              </w:rPr>
              <w:t>Utilizați o seringă preumplută AMGEVITA nouă.</w:t>
            </w:r>
          </w:p>
        </w:tc>
      </w:tr>
    </w:tbl>
    <w:p w14:paraId="677DD73D" w14:textId="77777777" w:rsidR="00C04CAD" w:rsidRDefault="00C04CAD">
      <w:pPr>
        <w:numPr>
          <w:ilvl w:val="12"/>
          <w:numId w:val="0"/>
        </w:numPr>
        <w:tabs>
          <w:tab w:val="left" w:pos="2657"/>
        </w:tabs>
        <w:spacing w:line="240" w:lineRule="auto"/>
        <w:ind w:left="-37" w:right="-28"/>
        <w:rPr>
          <w:szCs w:val="22"/>
        </w:rPr>
      </w:pP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228"/>
      </w:tblGrid>
      <w:tr w:rsidR="00C04CAD" w14:paraId="4A970C08" w14:textId="77777777">
        <w:tc>
          <w:tcPr>
            <w:tcW w:w="5000" w:type="pct"/>
            <w:tcMar>
              <w:top w:w="28" w:type="dxa"/>
              <w:left w:w="57" w:type="dxa"/>
              <w:bottom w:w="28" w:type="dxa"/>
              <w:right w:w="57" w:type="dxa"/>
            </w:tcMar>
          </w:tcPr>
          <w:p w14:paraId="61B7286F" w14:textId="77777777" w:rsidR="00C04CAD" w:rsidRDefault="00060E34">
            <w:pPr>
              <w:keepLines/>
              <w:tabs>
                <w:tab w:val="clear" w:pos="567"/>
              </w:tabs>
              <w:suppressAutoHyphens/>
              <w:autoSpaceDE w:val="0"/>
              <w:autoSpaceDN w:val="0"/>
              <w:adjustRightInd w:val="0"/>
              <w:spacing w:line="240" w:lineRule="auto"/>
              <w:jc w:val="center"/>
              <w:textAlignment w:val="center"/>
              <w:rPr>
                <w:b/>
                <w:color w:val="000000"/>
                <w:szCs w:val="22"/>
                <w:lang w:eastAsia="en-US" w:bidi="ar-SA"/>
              </w:rPr>
            </w:pPr>
            <w:r>
              <w:rPr>
                <w:b/>
                <w:bCs/>
                <w:szCs w:val="22"/>
                <w:lang w:eastAsia="en-US" w:bidi="ar-SA"/>
              </w:rPr>
              <w:t>Etapa 1: Pregătire</w:t>
            </w:r>
          </w:p>
        </w:tc>
      </w:tr>
    </w:tbl>
    <w:p w14:paraId="1FB5635A" w14:textId="77777777" w:rsidR="00C04CAD" w:rsidRDefault="00C04CAD">
      <w:pPr>
        <w:keepNext/>
        <w:keepLines/>
        <w:tabs>
          <w:tab w:val="clear" w:pos="567"/>
        </w:tabs>
        <w:autoSpaceDE w:val="0"/>
        <w:autoSpaceDN w:val="0"/>
        <w:adjustRightInd w:val="0"/>
        <w:spacing w:line="240" w:lineRule="auto"/>
        <w:ind w:left="567" w:hanging="567"/>
        <w:rPr>
          <w:b/>
          <w:bCs/>
          <w:szCs w:val="22"/>
          <w:lang w:eastAsia="en-US" w:bidi="ar-SA"/>
        </w:rPr>
      </w:pPr>
    </w:p>
    <w:tbl>
      <w:tblPr>
        <w:tblW w:w="50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2"/>
        <w:gridCol w:w="2113"/>
        <w:gridCol w:w="6494"/>
      </w:tblGrid>
      <w:tr w:rsidR="00C04CAD" w14:paraId="0A83F0BC" w14:textId="77777777">
        <w:tc>
          <w:tcPr>
            <w:tcW w:w="332" w:type="pct"/>
            <w:tcMar>
              <w:top w:w="28" w:type="dxa"/>
              <w:left w:w="57" w:type="dxa"/>
              <w:bottom w:w="28" w:type="dxa"/>
              <w:right w:w="57" w:type="dxa"/>
            </w:tcMar>
          </w:tcPr>
          <w:p w14:paraId="0CB14260" w14:textId="77777777" w:rsidR="00C04CAD" w:rsidRDefault="00060E34">
            <w:pPr>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A.</w:t>
            </w:r>
          </w:p>
        </w:tc>
        <w:tc>
          <w:tcPr>
            <w:tcW w:w="4668" w:type="pct"/>
            <w:gridSpan w:val="2"/>
            <w:tcMar>
              <w:top w:w="28" w:type="dxa"/>
              <w:left w:w="57" w:type="dxa"/>
              <w:bottom w:w="28" w:type="dxa"/>
              <w:right w:w="57" w:type="dxa"/>
            </w:tcMar>
          </w:tcPr>
          <w:p w14:paraId="074C05B7" w14:textId="77777777" w:rsidR="00C04CAD" w:rsidRDefault="00060E34">
            <w:pPr>
              <w:tabs>
                <w:tab w:val="clear" w:pos="567"/>
              </w:tabs>
              <w:autoSpaceDE w:val="0"/>
              <w:autoSpaceDN w:val="0"/>
              <w:adjustRightInd w:val="0"/>
              <w:spacing w:line="240" w:lineRule="auto"/>
              <w:rPr>
                <w:color w:val="000000"/>
                <w:szCs w:val="22"/>
                <w:lang w:eastAsia="en-US" w:bidi="ar-SA"/>
              </w:rPr>
            </w:pPr>
            <w:r>
              <w:rPr>
                <w:bCs/>
                <w:szCs w:val="22"/>
                <w:lang w:eastAsia="en-US" w:bidi="ar-SA"/>
              </w:rPr>
              <w:t>Scoateți din ambalaj numărul necesar de seringi preumplute AMGEVITA.</w:t>
            </w:r>
          </w:p>
        </w:tc>
      </w:tr>
      <w:tr w:rsidR="00C04CAD" w14:paraId="784C9B64" w14:textId="77777777">
        <w:tc>
          <w:tcPr>
            <w:tcW w:w="5000" w:type="pct"/>
            <w:gridSpan w:val="3"/>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985"/>
              <w:gridCol w:w="7086"/>
            </w:tblGrid>
            <w:tr w:rsidR="00C04CAD" w14:paraId="1EF85C25" w14:textId="77777777">
              <w:tc>
                <w:tcPr>
                  <w:tcW w:w="1985" w:type="dxa"/>
                  <w:tcBorders>
                    <w:top w:val="nil"/>
                    <w:left w:val="nil"/>
                    <w:bottom w:val="nil"/>
                    <w:right w:val="nil"/>
                  </w:tcBorders>
                  <w:vAlign w:val="center"/>
                </w:tcPr>
                <w:p w14:paraId="02B71911"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GB" w:bidi="ar-SA"/>
                    </w:rPr>
                  </w:pPr>
                  <w:r>
                    <w:rPr>
                      <w:bCs/>
                      <w:szCs w:val="22"/>
                      <w:lang w:eastAsia="en-US" w:bidi="ar-SA"/>
                    </w:rPr>
                    <w:t>Apucați de corpul seringii pentru a scoate seringa din t</w:t>
                  </w:r>
                  <w:r>
                    <w:rPr>
                      <w:szCs w:val="22"/>
                      <w:lang w:eastAsia="en-US" w:bidi="ar-SA"/>
                    </w:rPr>
                    <w:t>ă</w:t>
                  </w:r>
                  <w:r>
                    <w:rPr>
                      <w:bCs/>
                      <w:szCs w:val="22"/>
                      <w:lang w:eastAsia="en-US" w:bidi="ar-SA"/>
                    </w:rPr>
                    <w:t>viță.</w:t>
                  </w:r>
                </w:p>
                <w:p w14:paraId="45496091"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GB" w:bidi="ar-SA"/>
                    </w:rPr>
                  </w:pPr>
                  <w:r>
                    <w:rPr>
                      <w:noProof/>
                    </w:rPr>
                    <w:drawing>
                      <wp:anchor distT="0" distB="0" distL="114300" distR="114300" simplePos="0" relativeHeight="251707392" behindDoc="1" locked="0" layoutInCell="1" allowOverlap="1" wp14:anchorId="3B4E882C" wp14:editId="3682B68E">
                        <wp:simplePos x="0" y="0"/>
                        <wp:positionH relativeFrom="column">
                          <wp:posOffset>19050</wp:posOffset>
                        </wp:positionH>
                        <wp:positionV relativeFrom="paragraph">
                          <wp:posOffset>178435</wp:posOffset>
                        </wp:positionV>
                        <wp:extent cx="1017270" cy="1191895"/>
                        <wp:effectExtent l="0" t="0" r="0" b="0"/>
                        <wp:wrapTight wrapText="bothSides">
                          <wp:wrapPolygon edited="0">
                            <wp:start x="0" y="0"/>
                            <wp:lineTo x="0" y="21404"/>
                            <wp:lineTo x="21034" y="21404"/>
                            <wp:lineTo x="21034" y="0"/>
                            <wp:lineTo x="0" y="0"/>
                          </wp:wrapPolygon>
                        </wp:wrapTight>
                        <wp:docPr id="10323055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5521"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017270" cy="1191895"/>
                                </a:xfrm>
                                <a:prstGeom prst="rect">
                                  <a:avLst/>
                                </a:prstGeom>
                                <a:noFill/>
                              </pic:spPr>
                            </pic:pic>
                          </a:graphicData>
                        </a:graphic>
                      </wp:anchor>
                    </w:drawing>
                  </w:r>
                </w:p>
                <w:p w14:paraId="2B0A67C8" w14:textId="77777777" w:rsidR="00C04CAD" w:rsidRDefault="00C04CAD">
                  <w:pPr>
                    <w:tabs>
                      <w:tab w:val="clear" w:pos="567"/>
                    </w:tabs>
                    <w:suppressAutoHyphens/>
                    <w:autoSpaceDE w:val="0"/>
                    <w:autoSpaceDN w:val="0"/>
                    <w:adjustRightInd w:val="0"/>
                    <w:spacing w:line="240" w:lineRule="auto"/>
                    <w:textAlignment w:val="center"/>
                    <w:rPr>
                      <w:color w:val="000000"/>
                      <w:szCs w:val="22"/>
                      <w:lang w:eastAsia="en-US" w:bidi="ar-SA"/>
                    </w:rPr>
                  </w:pPr>
                </w:p>
              </w:tc>
              <w:tc>
                <w:tcPr>
                  <w:tcW w:w="7086" w:type="dxa"/>
                  <w:tcBorders>
                    <w:top w:val="nil"/>
                    <w:left w:val="nil"/>
                    <w:bottom w:val="nil"/>
                    <w:right w:val="nil"/>
                  </w:tcBorders>
                </w:tcPr>
                <w:p w14:paraId="493C2A9D" w14:textId="77777777" w:rsidR="00C04CAD" w:rsidRDefault="00C04CAD">
                  <w:pPr>
                    <w:tabs>
                      <w:tab w:val="clear" w:pos="567"/>
                    </w:tabs>
                    <w:suppressAutoHyphens/>
                    <w:autoSpaceDE w:val="0"/>
                    <w:autoSpaceDN w:val="0"/>
                    <w:adjustRightInd w:val="0"/>
                    <w:spacing w:line="240" w:lineRule="auto"/>
                    <w:jc w:val="center"/>
                    <w:textAlignment w:val="center"/>
                    <w:rPr>
                      <w:color w:val="000000"/>
                      <w:szCs w:val="22"/>
                      <w:lang w:eastAsia="zh-CN" w:bidi="ar-SA"/>
                    </w:rPr>
                  </w:pPr>
                </w:p>
                <w:p w14:paraId="243BA367" w14:textId="77777777" w:rsidR="00C04CAD" w:rsidRDefault="00060E34">
                  <w:pPr>
                    <w:tabs>
                      <w:tab w:val="clear" w:pos="567"/>
                    </w:tabs>
                    <w:suppressAutoHyphens/>
                    <w:autoSpaceDE w:val="0"/>
                    <w:autoSpaceDN w:val="0"/>
                    <w:adjustRightInd w:val="0"/>
                    <w:spacing w:line="240" w:lineRule="auto"/>
                    <w:jc w:val="center"/>
                    <w:textAlignment w:val="center"/>
                    <w:rPr>
                      <w:color w:val="000000"/>
                      <w:szCs w:val="22"/>
                      <w:lang w:eastAsia="en-US" w:bidi="ar-SA"/>
                    </w:rPr>
                  </w:pPr>
                  <w:r>
                    <w:rPr>
                      <w:noProof/>
                      <w:color w:val="000000"/>
                      <w:szCs w:val="22"/>
                      <w:lang w:val="en-US" w:eastAsia="zh-CN" w:bidi="ar-SA"/>
                    </w:rPr>
                    <w:drawing>
                      <wp:inline distT="0" distB="0" distL="0" distR="0" wp14:anchorId="5555B95E" wp14:editId="524EDD0A">
                        <wp:extent cx="2753360" cy="1797685"/>
                        <wp:effectExtent l="0" t="0" r="0" b="0"/>
                        <wp:docPr id="2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53360" cy="1797685"/>
                                </a:xfrm>
                                <a:prstGeom prst="rect">
                                  <a:avLst/>
                                </a:prstGeom>
                                <a:noFill/>
                                <a:ln>
                                  <a:noFill/>
                                </a:ln>
                              </pic:spPr>
                            </pic:pic>
                          </a:graphicData>
                        </a:graphic>
                      </wp:inline>
                    </w:drawing>
                  </w:r>
                </w:p>
              </w:tc>
            </w:tr>
          </w:tbl>
          <w:p w14:paraId="38F3B3FC" w14:textId="77777777" w:rsidR="00C04CAD" w:rsidRDefault="00C04CAD">
            <w:pPr>
              <w:tabs>
                <w:tab w:val="clear" w:pos="567"/>
              </w:tabs>
              <w:suppressAutoHyphens/>
              <w:autoSpaceDE w:val="0"/>
              <w:autoSpaceDN w:val="0"/>
              <w:adjustRightInd w:val="0"/>
              <w:spacing w:line="240" w:lineRule="auto"/>
              <w:textAlignment w:val="center"/>
              <w:rPr>
                <w:color w:val="000000"/>
                <w:szCs w:val="22"/>
                <w:lang w:eastAsia="en-US" w:bidi="ar-SA"/>
              </w:rPr>
            </w:pPr>
          </w:p>
        </w:tc>
      </w:tr>
      <w:tr w:rsidR="00C04CAD" w14:paraId="74123805" w14:textId="77777777">
        <w:trPr>
          <w:trHeight w:val="941"/>
        </w:trPr>
        <w:tc>
          <w:tcPr>
            <w:tcW w:w="1478" w:type="pct"/>
            <w:gridSpan w:val="2"/>
            <w:tcBorders>
              <w:top w:val="nil"/>
              <w:bottom w:val="nil"/>
              <w:right w:val="nil"/>
            </w:tcBorders>
            <w:tcMar>
              <w:top w:w="28" w:type="dxa"/>
              <w:left w:w="57" w:type="dxa"/>
              <w:bottom w:w="28" w:type="dxa"/>
              <w:right w:w="57" w:type="dxa"/>
            </w:tcMar>
          </w:tcPr>
          <w:p w14:paraId="2DF24B28"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Țineți cu degetul arătător sau cu degetul mare de marginea tăviței, pentru a o fixa, în timp ce îndepărtați seringa.</w:t>
            </w:r>
          </w:p>
          <w:p w14:paraId="433A12E0" w14:textId="77777777" w:rsidR="00C04CAD" w:rsidRDefault="00C04CAD">
            <w:pPr>
              <w:tabs>
                <w:tab w:val="clear" w:pos="567"/>
              </w:tabs>
              <w:autoSpaceDE w:val="0"/>
              <w:autoSpaceDN w:val="0"/>
              <w:adjustRightInd w:val="0"/>
              <w:spacing w:line="240" w:lineRule="auto"/>
              <w:rPr>
                <w:sz w:val="18"/>
                <w:szCs w:val="22"/>
                <w:lang w:eastAsia="en-US" w:bidi="ar-SA"/>
              </w:rPr>
            </w:pPr>
          </w:p>
        </w:tc>
        <w:tc>
          <w:tcPr>
            <w:tcW w:w="3522" w:type="pct"/>
            <w:tcBorders>
              <w:top w:val="nil"/>
              <w:left w:val="nil"/>
              <w:bottom w:val="nil"/>
            </w:tcBorders>
            <w:tcMar>
              <w:left w:w="1134" w:type="dxa"/>
            </w:tcMar>
          </w:tcPr>
          <w:p w14:paraId="25F2F0F2" w14:textId="77777777" w:rsidR="00C04CAD" w:rsidRDefault="00060E34">
            <w:pPr>
              <w:tabs>
                <w:tab w:val="clear" w:pos="567"/>
              </w:tabs>
              <w:autoSpaceDE w:val="0"/>
              <w:autoSpaceDN w:val="0"/>
              <w:adjustRightInd w:val="0"/>
              <w:spacing w:line="240" w:lineRule="auto"/>
              <w:ind w:right="1812"/>
              <w:jc w:val="center"/>
              <w:rPr>
                <w:b/>
                <w:color w:val="FF0000"/>
                <w:szCs w:val="22"/>
                <w:lang w:eastAsia="en-US" w:bidi="ar-SA"/>
              </w:rPr>
            </w:pPr>
            <w:r>
              <w:rPr>
                <w:b/>
                <w:color w:val="FF0000"/>
                <w:szCs w:val="22"/>
                <w:lang w:eastAsia="en-US" w:bidi="ar-SA"/>
              </w:rPr>
              <w:t>Prindeți de aici</w:t>
            </w:r>
          </w:p>
        </w:tc>
      </w:tr>
      <w:tr w:rsidR="00C04CAD" w14:paraId="6EFD5720" w14:textId="77777777">
        <w:tc>
          <w:tcPr>
            <w:tcW w:w="5000" w:type="pct"/>
            <w:gridSpan w:val="3"/>
            <w:tcBorders>
              <w:top w:val="nil"/>
              <w:bottom w:val="nil"/>
            </w:tcBorders>
            <w:tcMar>
              <w:top w:w="28" w:type="dxa"/>
              <w:left w:w="57" w:type="dxa"/>
              <w:bottom w:w="28" w:type="dxa"/>
              <w:right w:w="57" w:type="dxa"/>
            </w:tcMar>
          </w:tcPr>
          <w:p w14:paraId="79FC1C49"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 xml:space="preserve">Puneți înapoi în frigider seringile rămase nefolosite, </w:t>
            </w:r>
            <w:r>
              <w:rPr>
                <w:bCs/>
                <w:szCs w:val="22"/>
                <w:lang w:eastAsia="en-US" w:bidi="ar-SA"/>
              </w:rPr>
              <w:t>în ambalajul original</w:t>
            </w:r>
            <w:r>
              <w:rPr>
                <w:color w:val="000000"/>
                <w:szCs w:val="22"/>
                <w:lang w:eastAsia="en-US" w:bidi="ar-SA"/>
              </w:rPr>
              <w:t>.</w:t>
            </w:r>
          </w:p>
          <w:p w14:paraId="57D6221E" w14:textId="77777777" w:rsidR="00C04CAD" w:rsidRDefault="00C04CAD">
            <w:pPr>
              <w:tabs>
                <w:tab w:val="clear" w:pos="567"/>
              </w:tabs>
              <w:suppressAutoHyphens/>
              <w:autoSpaceDE w:val="0"/>
              <w:autoSpaceDN w:val="0"/>
              <w:adjustRightInd w:val="0"/>
              <w:spacing w:line="240" w:lineRule="auto"/>
              <w:textAlignment w:val="center"/>
              <w:rPr>
                <w:color w:val="000000"/>
                <w:sz w:val="20"/>
                <w:szCs w:val="22"/>
                <w:lang w:eastAsia="en-US" w:bidi="ar-SA"/>
              </w:rPr>
            </w:pPr>
          </w:p>
          <w:p w14:paraId="4CE7ADA4"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Din motive de siguranță:</w:t>
            </w:r>
          </w:p>
        </w:tc>
      </w:tr>
      <w:tr w:rsidR="00C04CAD" w14:paraId="4DD0F0C7" w14:textId="77777777">
        <w:tc>
          <w:tcPr>
            <w:tcW w:w="332" w:type="pct"/>
            <w:tcBorders>
              <w:top w:val="nil"/>
              <w:bottom w:val="nil"/>
              <w:right w:val="nil"/>
            </w:tcBorders>
            <w:tcMar>
              <w:top w:w="28" w:type="dxa"/>
              <w:left w:w="57" w:type="dxa"/>
              <w:bottom w:w="28" w:type="dxa"/>
              <w:right w:w="57" w:type="dxa"/>
            </w:tcMar>
          </w:tcPr>
          <w:p w14:paraId="08044BB5"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27D91395"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bCs/>
                <w:szCs w:val="22"/>
                <w:lang w:eastAsia="en-US" w:bidi="ar-SA"/>
              </w:rPr>
              <w:t>prindeți de tija pistonului.</w:t>
            </w:r>
          </w:p>
        </w:tc>
      </w:tr>
      <w:tr w:rsidR="00C04CAD" w14:paraId="63111282" w14:textId="77777777">
        <w:tc>
          <w:tcPr>
            <w:tcW w:w="332" w:type="pct"/>
            <w:tcBorders>
              <w:top w:val="nil"/>
              <w:bottom w:val="nil"/>
              <w:right w:val="nil"/>
            </w:tcBorders>
            <w:tcMar>
              <w:top w:w="28" w:type="dxa"/>
              <w:left w:w="57" w:type="dxa"/>
              <w:bottom w:w="28" w:type="dxa"/>
              <w:right w:w="57" w:type="dxa"/>
            </w:tcMar>
          </w:tcPr>
          <w:p w14:paraId="63B1DE3A"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39A75267"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prindeți de capacul de protecție a acului.</w:t>
            </w:r>
          </w:p>
        </w:tc>
      </w:tr>
      <w:tr w:rsidR="00C04CAD" w14:paraId="72F909DC" w14:textId="77777777">
        <w:tc>
          <w:tcPr>
            <w:tcW w:w="332" w:type="pct"/>
            <w:tcBorders>
              <w:top w:val="nil"/>
              <w:bottom w:val="nil"/>
              <w:right w:val="nil"/>
            </w:tcBorders>
            <w:tcMar>
              <w:top w:w="28" w:type="dxa"/>
              <w:left w:w="57" w:type="dxa"/>
              <w:bottom w:w="28" w:type="dxa"/>
              <w:right w:w="57" w:type="dxa"/>
            </w:tcMar>
          </w:tcPr>
          <w:p w14:paraId="20FFDDF2"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12F242CA" w14:textId="77777777" w:rsidR="00C04CAD" w:rsidRDefault="00060E34">
            <w:pPr>
              <w:tabs>
                <w:tab w:val="clear" w:pos="567"/>
              </w:tabs>
              <w:autoSpaceDE w:val="0"/>
              <w:autoSpaceDN w:val="0"/>
              <w:adjustRightInd w:val="0"/>
              <w:spacing w:line="240" w:lineRule="auto"/>
              <w:rPr>
                <w:b/>
                <w:bCs/>
                <w:szCs w:val="22"/>
                <w:lang w:eastAsia="en-US" w:bidi="ar-SA"/>
              </w:rPr>
            </w:pPr>
            <w:r>
              <w:rPr>
                <w:b/>
                <w:bCs/>
                <w:szCs w:val="22"/>
                <w:lang w:eastAsia="en-US" w:bidi="ar-SA"/>
              </w:rPr>
              <w:t xml:space="preserve">Nu </w:t>
            </w:r>
            <w:r>
              <w:rPr>
                <w:bCs/>
                <w:szCs w:val="22"/>
                <w:lang w:eastAsia="en-US" w:bidi="ar-SA"/>
              </w:rPr>
              <w:t>îndepărtați capacul de protecție a acului decât în momentul în care sunteți gata pentru injectare.</w:t>
            </w:r>
          </w:p>
        </w:tc>
      </w:tr>
      <w:tr w:rsidR="00C04CAD" w14:paraId="02A0E805" w14:textId="77777777">
        <w:trPr>
          <w:trHeight w:val="337"/>
        </w:trPr>
        <w:tc>
          <w:tcPr>
            <w:tcW w:w="332" w:type="pct"/>
            <w:tcBorders>
              <w:top w:val="nil"/>
              <w:bottom w:val="nil"/>
              <w:right w:val="nil"/>
            </w:tcBorders>
            <w:tcMar>
              <w:top w:w="28" w:type="dxa"/>
              <w:left w:w="57" w:type="dxa"/>
              <w:bottom w:w="28" w:type="dxa"/>
              <w:right w:w="57" w:type="dxa"/>
            </w:tcMar>
          </w:tcPr>
          <w:p w14:paraId="56FC2BE4"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232CA41E"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bCs/>
                <w:szCs w:val="22"/>
                <w:lang w:eastAsia="en-US" w:bidi="ar-SA"/>
              </w:rPr>
              <w:t>îndepărtați suportul pentru degete. Acesta este parte componentă a seringii.</w:t>
            </w:r>
          </w:p>
        </w:tc>
      </w:tr>
      <w:tr w:rsidR="00C04CAD" w14:paraId="63A4E728" w14:textId="77777777">
        <w:tc>
          <w:tcPr>
            <w:tcW w:w="5000" w:type="pct"/>
            <w:gridSpan w:val="3"/>
            <w:tcBorders>
              <w:top w:val="nil"/>
              <w:bottom w:val="nil"/>
            </w:tcBorders>
            <w:tcMar>
              <w:top w:w="28" w:type="dxa"/>
              <w:left w:w="57" w:type="dxa"/>
              <w:bottom w:w="28" w:type="dxa"/>
              <w:right w:w="57" w:type="dxa"/>
            </w:tcMar>
          </w:tcPr>
          <w:p w14:paraId="71F1C87A" w14:textId="77777777" w:rsidR="00C04CAD" w:rsidRDefault="00060E34">
            <w:pPr>
              <w:tabs>
                <w:tab w:val="clear" w:pos="567"/>
              </w:tabs>
              <w:autoSpaceDE w:val="0"/>
              <w:autoSpaceDN w:val="0"/>
              <w:adjustRightInd w:val="0"/>
              <w:spacing w:line="240" w:lineRule="auto"/>
              <w:rPr>
                <w:szCs w:val="22"/>
                <w:lang w:eastAsia="en-US" w:bidi="ar-SA"/>
              </w:rPr>
            </w:pPr>
            <w:r>
              <w:rPr>
                <w:rFonts w:eastAsia="PMingLiU"/>
                <w:color w:val="000000"/>
                <w:szCs w:val="22"/>
                <w:lang w:eastAsia="en-US" w:bidi="ar-SA"/>
              </w:rPr>
              <w:t>Pentru ca injectarea să fie mai confortabilă</w:t>
            </w:r>
            <w:r>
              <w:rPr>
                <w:szCs w:val="22"/>
                <w:lang w:eastAsia="en-US" w:bidi="ar-SA"/>
              </w:rPr>
              <w:t xml:space="preserve">, lăsați seringa la temperatura camerei timp de </w:t>
            </w:r>
            <w:r>
              <w:rPr>
                <w:b/>
                <w:szCs w:val="22"/>
                <w:lang w:eastAsia="en-US" w:bidi="ar-SA"/>
              </w:rPr>
              <w:t xml:space="preserve">15 până la 30 </w:t>
            </w:r>
            <w:r>
              <w:rPr>
                <w:szCs w:val="22"/>
                <w:lang w:eastAsia="en-US" w:bidi="ar-SA"/>
              </w:rPr>
              <w:t>minute înainte de injectare.</w:t>
            </w:r>
          </w:p>
        </w:tc>
      </w:tr>
      <w:tr w:rsidR="00C04CAD" w14:paraId="3B34DB32" w14:textId="77777777">
        <w:tc>
          <w:tcPr>
            <w:tcW w:w="332" w:type="pct"/>
            <w:tcBorders>
              <w:top w:val="nil"/>
              <w:bottom w:val="nil"/>
              <w:right w:val="nil"/>
            </w:tcBorders>
            <w:tcMar>
              <w:top w:w="28" w:type="dxa"/>
              <w:left w:w="57" w:type="dxa"/>
              <w:bottom w:w="28" w:type="dxa"/>
              <w:right w:w="57" w:type="dxa"/>
            </w:tcMar>
          </w:tcPr>
          <w:p w14:paraId="4844DD98"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14F5F7EC" w14:textId="77777777" w:rsidR="00C04CAD" w:rsidRDefault="00060E34">
            <w:pPr>
              <w:tabs>
                <w:tab w:val="clear" w:pos="567"/>
              </w:tabs>
              <w:autoSpaceDE w:val="0"/>
              <w:autoSpaceDN w:val="0"/>
              <w:adjustRightInd w:val="0"/>
              <w:spacing w:line="240" w:lineRule="auto"/>
              <w:ind w:left="720" w:hanging="720"/>
              <w:rPr>
                <w:szCs w:val="22"/>
                <w:lang w:eastAsia="en-US" w:bidi="ar-SA"/>
              </w:rPr>
            </w:pPr>
            <w:r>
              <w:rPr>
                <w:b/>
                <w:bCs/>
                <w:szCs w:val="22"/>
                <w:lang w:eastAsia="en-US" w:bidi="ar-SA"/>
              </w:rPr>
              <w:t xml:space="preserve">Nu </w:t>
            </w:r>
            <w:r>
              <w:rPr>
                <w:bCs/>
                <w:szCs w:val="22"/>
                <w:lang w:eastAsia="en-US" w:bidi="ar-SA"/>
              </w:rPr>
              <w:t>introduceți seringa înapoi în frigider după ce a ajuns la temperatura camerei</w:t>
            </w:r>
            <w:r>
              <w:rPr>
                <w:b/>
                <w:bCs/>
                <w:szCs w:val="22"/>
                <w:lang w:eastAsia="en-US" w:bidi="ar-SA"/>
              </w:rPr>
              <w:t>.</w:t>
            </w:r>
          </w:p>
        </w:tc>
      </w:tr>
      <w:tr w:rsidR="00C04CAD" w14:paraId="29E01149" w14:textId="77777777">
        <w:tc>
          <w:tcPr>
            <w:tcW w:w="332" w:type="pct"/>
            <w:tcBorders>
              <w:top w:val="nil"/>
              <w:bottom w:val="nil"/>
              <w:right w:val="nil"/>
            </w:tcBorders>
            <w:tcMar>
              <w:top w:w="28" w:type="dxa"/>
              <w:left w:w="57" w:type="dxa"/>
              <w:bottom w:w="28" w:type="dxa"/>
              <w:right w:w="57" w:type="dxa"/>
            </w:tcMar>
          </w:tcPr>
          <w:p w14:paraId="75C9EB6C"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5E597B67" w14:textId="77777777" w:rsidR="00C04CAD" w:rsidRDefault="00060E34">
            <w:pPr>
              <w:tabs>
                <w:tab w:val="clear" w:pos="567"/>
              </w:tabs>
              <w:autoSpaceDE w:val="0"/>
              <w:autoSpaceDN w:val="0"/>
              <w:adjustRightInd w:val="0"/>
              <w:spacing w:line="240" w:lineRule="auto"/>
              <w:rPr>
                <w:b/>
                <w:bCs/>
                <w:szCs w:val="22"/>
                <w:lang w:eastAsia="en-US" w:bidi="ar-SA"/>
              </w:rPr>
            </w:pPr>
            <w:r>
              <w:rPr>
                <w:b/>
                <w:bCs/>
                <w:szCs w:val="22"/>
                <w:lang w:eastAsia="en-US" w:bidi="ar-SA"/>
              </w:rPr>
              <w:t xml:space="preserve">Nu </w:t>
            </w:r>
            <w:r>
              <w:rPr>
                <w:szCs w:val="22"/>
                <w:lang w:eastAsia="en-US" w:bidi="ar-SA"/>
              </w:rPr>
              <w:t>încercați să încălziți seringa prin utilizarea unei surse de căldură cum ar fi apă fierbinte sau cuptorul cu microunde.</w:t>
            </w:r>
          </w:p>
        </w:tc>
      </w:tr>
      <w:tr w:rsidR="00C04CAD" w14:paraId="2577489D" w14:textId="77777777">
        <w:tc>
          <w:tcPr>
            <w:tcW w:w="332" w:type="pct"/>
            <w:tcBorders>
              <w:top w:val="nil"/>
              <w:bottom w:val="nil"/>
              <w:right w:val="nil"/>
            </w:tcBorders>
            <w:tcMar>
              <w:top w:w="28" w:type="dxa"/>
              <w:left w:w="57" w:type="dxa"/>
              <w:bottom w:w="28" w:type="dxa"/>
              <w:right w:w="57" w:type="dxa"/>
            </w:tcMar>
          </w:tcPr>
          <w:p w14:paraId="1403E275"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74135A2C" w14:textId="77777777" w:rsidR="00C04CAD" w:rsidRDefault="00060E34">
            <w:pPr>
              <w:tabs>
                <w:tab w:val="clear" w:pos="567"/>
              </w:tabs>
              <w:autoSpaceDE w:val="0"/>
              <w:autoSpaceDN w:val="0"/>
              <w:adjustRightInd w:val="0"/>
              <w:spacing w:line="240" w:lineRule="auto"/>
              <w:ind w:left="720" w:hanging="720"/>
              <w:rPr>
                <w:b/>
                <w:bCs/>
                <w:szCs w:val="22"/>
                <w:lang w:eastAsia="en-US" w:bidi="ar-SA"/>
              </w:rPr>
            </w:pPr>
            <w:r>
              <w:rPr>
                <w:b/>
                <w:bCs/>
                <w:szCs w:val="22"/>
                <w:lang w:eastAsia="en-US" w:bidi="ar-SA"/>
              </w:rPr>
              <w:t xml:space="preserve">Nu </w:t>
            </w:r>
            <w:r>
              <w:rPr>
                <w:bCs/>
                <w:szCs w:val="22"/>
                <w:lang w:eastAsia="en-US" w:bidi="ar-SA"/>
              </w:rPr>
              <w:t>lăsați seringa la lumina directă a soarelui.</w:t>
            </w:r>
          </w:p>
        </w:tc>
      </w:tr>
      <w:tr w:rsidR="00C04CAD" w14:paraId="40516E36" w14:textId="77777777">
        <w:tc>
          <w:tcPr>
            <w:tcW w:w="332" w:type="pct"/>
            <w:tcBorders>
              <w:top w:val="nil"/>
              <w:bottom w:val="nil"/>
              <w:right w:val="nil"/>
            </w:tcBorders>
            <w:tcMar>
              <w:top w:w="28" w:type="dxa"/>
              <w:left w:w="57" w:type="dxa"/>
              <w:bottom w:w="28" w:type="dxa"/>
              <w:right w:w="57" w:type="dxa"/>
            </w:tcMar>
          </w:tcPr>
          <w:p w14:paraId="6C2987F9"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68" w:type="pct"/>
            <w:gridSpan w:val="2"/>
            <w:tcBorders>
              <w:top w:val="nil"/>
              <w:left w:val="nil"/>
              <w:bottom w:val="nil"/>
            </w:tcBorders>
            <w:tcMar>
              <w:left w:w="0" w:type="dxa"/>
            </w:tcMar>
          </w:tcPr>
          <w:p w14:paraId="10524C9A" w14:textId="77777777" w:rsidR="00C04CAD" w:rsidRDefault="00060E34">
            <w:pPr>
              <w:tabs>
                <w:tab w:val="clear" w:pos="567"/>
              </w:tabs>
              <w:autoSpaceDE w:val="0"/>
              <w:autoSpaceDN w:val="0"/>
              <w:adjustRightInd w:val="0"/>
              <w:spacing w:line="240" w:lineRule="auto"/>
              <w:ind w:left="720" w:hanging="720"/>
              <w:rPr>
                <w:b/>
                <w:bCs/>
                <w:szCs w:val="22"/>
                <w:lang w:eastAsia="en-US" w:bidi="ar-SA"/>
              </w:rPr>
            </w:pPr>
            <w:r>
              <w:rPr>
                <w:b/>
                <w:bCs/>
                <w:szCs w:val="22"/>
                <w:lang w:eastAsia="en-US" w:bidi="ar-SA"/>
              </w:rPr>
              <w:t xml:space="preserve">Nu </w:t>
            </w:r>
            <w:r>
              <w:rPr>
                <w:bCs/>
                <w:szCs w:val="22"/>
                <w:lang w:eastAsia="en-US" w:bidi="ar-SA"/>
              </w:rPr>
              <w:t>agitați seringa</w:t>
            </w:r>
            <w:r>
              <w:rPr>
                <w:szCs w:val="22"/>
                <w:lang w:eastAsia="en-US" w:bidi="ar-SA"/>
              </w:rPr>
              <w:t>.</w:t>
            </w:r>
          </w:p>
        </w:tc>
      </w:tr>
      <w:tr w:rsidR="00C04CAD" w14:paraId="3D51E8ED" w14:textId="77777777">
        <w:trPr>
          <w:trHeight w:val="441"/>
        </w:trPr>
        <w:tc>
          <w:tcPr>
            <w:tcW w:w="5000" w:type="pct"/>
            <w:gridSpan w:val="3"/>
            <w:tcBorders>
              <w:top w:val="nil"/>
            </w:tcBorders>
            <w:tcMar>
              <w:top w:w="28" w:type="dxa"/>
              <w:left w:w="57" w:type="dxa"/>
              <w:bottom w:w="28" w:type="dxa"/>
              <w:right w:w="57" w:type="dxa"/>
            </w:tcMar>
            <w:vAlign w:val="center"/>
          </w:tcPr>
          <w:p w14:paraId="0EFDE549" w14:textId="77777777" w:rsidR="00C04CAD" w:rsidRDefault="00060E34">
            <w:pPr>
              <w:tabs>
                <w:tab w:val="clear" w:pos="567"/>
              </w:tabs>
              <w:suppressAutoHyphens/>
              <w:autoSpaceDE w:val="0"/>
              <w:autoSpaceDN w:val="0"/>
              <w:adjustRightInd w:val="0"/>
              <w:spacing w:line="240" w:lineRule="auto"/>
              <w:textAlignment w:val="center"/>
              <w:rPr>
                <w:rFonts w:eastAsia="PMingLiU"/>
                <w:b/>
                <w:bCs/>
                <w:szCs w:val="22"/>
                <w:lang w:eastAsia="ja-JP" w:bidi="ar-SA"/>
              </w:rPr>
            </w:pPr>
            <w:r>
              <w:rPr>
                <w:rFonts w:eastAsia="PMingLiU"/>
                <w:b/>
                <w:bCs/>
                <w:color w:val="000000"/>
                <w:szCs w:val="22"/>
                <w:lang w:eastAsia="ja-JP" w:bidi="ar-SA"/>
              </w:rPr>
              <w:t xml:space="preserve">Important: </w:t>
            </w:r>
            <w:r>
              <w:rPr>
                <w:rFonts w:eastAsia="PMingLiU"/>
                <w:bCs/>
                <w:color w:val="000000"/>
                <w:szCs w:val="22"/>
                <w:lang w:eastAsia="ja-JP" w:bidi="ar-SA"/>
              </w:rPr>
              <w:t>Întotdeauna țineți seringa preumplută de corpul seringii.</w:t>
            </w:r>
          </w:p>
        </w:tc>
      </w:tr>
    </w:tbl>
    <w:p w14:paraId="0A61A9E9" w14:textId="77777777" w:rsidR="00C04CAD" w:rsidRDefault="00C04CAD">
      <w:pPr>
        <w:spacing w:line="240" w:lineRule="auto"/>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4"/>
        <w:gridCol w:w="8730"/>
      </w:tblGrid>
      <w:tr w:rsidR="00C04CAD" w14:paraId="0755940A" w14:textId="77777777">
        <w:tc>
          <w:tcPr>
            <w:tcW w:w="329" w:type="pct"/>
            <w:tcMar>
              <w:top w:w="28" w:type="dxa"/>
              <w:left w:w="57" w:type="dxa"/>
              <w:bottom w:w="28" w:type="dxa"/>
              <w:right w:w="57" w:type="dxa"/>
            </w:tcMar>
          </w:tcPr>
          <w:p w14:paraId="5FC01301" w14:textId="77777777" w:rsidR="00C04CAD" w:rsidRDefault="00060E34">
            <w:pPr>
              <w:keepNext/>
              <w:keepLines/>
              <w:tabs>
                <w:tab w:val="clear" w:pos="567"/>
              </w:tabs>
              <w:suppressAutoHyphens/>
              <w:autoSpaceDE w:val="0"/>
              <w:autoSpaceDN w:val="0"/>
              <w:adjustRightInd w:val="0"/>
              <w:spacing w:line="240" w:lineRule="auto"/>
              <w:textAlignment w:val="center"/>
              <w:rPr>
                <w:b/>
                <w:color w:val="000000"/>
                <w:szCs w:val="22"/>
                <w:lang w:eastAsia="en-US" w:bidi="ar-SA"/>
              </w:rPr>
            </w:pPr>
            <w:r>
              <w:rPr>
                <w:b/>
                <w:bCs/>
                <w:szCs w:val="22"/>
                <w:lang w:eastAsia="en-US" w:bidi="ar-SA"/>
              </w:rPr>
              <w:t>B.</w:t>
            </w:r>
          </w:p>
        </w:tc>
        <w:tc>
          <w:tcPr>
            <w:tcW w:w="4671" w:type="pct"/>
            <w:tcMar>
              <w:left w:w="57" w:type="dxa"/>
            </w:tcMar>
          </w:tcPr>
          <w:p w14:paraId="66A5F284" w14:textId="77777777" w:rsidR="00C04CAD" w:rsidRDefault="00060E34">
            <w:pPr>
              <w:keepNext/>
              <w:keepLines/>
              <w:tabs>
                <w:tab w:val="clear" w:pos="567"/>
              </w:tabs>
              <w:suppressAutoHyphens/>
              <w:autoSpaceDE w:val="0"/>
              <w:autoSpaceDN w:val="0"/>
              <w:adjustRightInd w:val="0"/>
              <w:spacing w:line="240" w:lineRule="auto"/>
              <w:textAlignment w:val="center"/>
              <w:rPr>
                <w:rFonts w:eastAsia="PMingLiU"/>
                <w:b/>
                <w:bCs/>
                <w:color w:val="000000"/>
                <w:szCs w:val="22"/>
                <w:lang w:eastAsia="ja-JP" w:bidi="ar-SA"/>
              </w:rPr>
            </w:pPr>
            <w:r>
              <w:rPr>
                <w:rFonts w:eastAsia="PMingLiU"/>
                <w:bCs/>
                <w:color w:val="000000"/>
                <w:szCs w:val="22"/>
                <w:lang w:eastAsia="ja-JP" w:bidi="ar-SA"/>
              </w:rPr>
              <w:t>Inspectați AMGEVITA seringă preumplută.</w:t>
            </w:r>
          </w:p>
        </w:tc>
      </w:tr>
      <w:tr w:rsidR="00C04CAD" w14:paraId="267B1294" w14:textId="77777777">
        <w:trPr>
          <w:trHeight w:val="3467"/>
        </w:trPr>
        <w:tc>
          <w:tcPr>
            <w:tcW w:w="5000" w:type="pct"/>
            <w:gridSpan w:val="2"/>
            <w:tcBorders>
              <w:bottom w:val="nil"/>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643"/>
              <w:gridCol w:w="199"/>
              <w:gridCol w:w="3437"/>
              <w:gridCol w:w="123"/>
            </w:tblGrid>
            <w:tr w:rsidR="00C04CAD" w14:paraId="13689DB1" w14:textId="77777777">
              <w:tc>
                <w:tcPr>
                  <w:tcW w:w="1985" w:type="dxa"/>
                  <w:tcBorders>
                    <w:top w:val="nil"/>
                    <w:left w:val="nil"/>
                    <w:bottom w:val="nil"/>
                    <w:right w:val="nil"/>
                  </w:tcBorders>
                  <w:vAlign w:val="bottom"/>
                </w:tcPr>
                <w:p w14:paraId="791CEE30" w14:textId="77777777" w:rsidR="00C04CAD" w:rsidRDefault="00C04CAD">
                  <w:pPr>
                    <w:keepNext/>
                    <w:keepLines/>
                    <w:tabs>
                      <w:tab w:val="clear" w:pos="567"/>
                    </w:tabs>
                    <w:autoSpaceDE w:val="0"/>
                    <w:autoSpaceDN w:val="0"/>
                    <w:adjustRightInd w:val="0"/>
                    <w:spacing w:line="240" w:lineRule="auto"/>
                    <w:rPr>
                      <w:bCs/>
                      <w:szCs w:val="22"/>
                      <w:lang w:eastAsia="en-US" w:bidi="ar-SA"/>
                    </w:rPr>
                  </w:pPr>
                </w:p>
              </w:tc>
              <w:tc>
                <w:tcPr>
                  <w:tcW w:w="1843" w:type="dxa"/>
                  <w:gridSpan w:val="2"/>
                  <w:tcBorders>
                    <w:top w:val="nil"/>
                    <w:left w:val="nil"/>
                    <w:bottom w:val="nil"/>
                    <w:right w:val="nil"/>
                  </w:tcBorders>
                  <w:vAlign w:val="bottom"/>
                </w:tcPr>
                <w:p w14:paraId="65EAAE3B"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Corpul seringii</w:t>
                  </w:r>
                </w:p>
              </w:tc>
              <w:tc>
                <w:tcPr>
                  <w:tcW w:w="1643" w:type="dxa"/>
                  <w:tcBorders>
                    <w:top w:val="nil"/>
                    <w:left w:val="nil"/>
                    <w:bottom w:val="nil"/>
                    <w:right w:val="nil"/>
                  </w:tcBorders>
                  <w:vAlign w:val="bottom"/>
                </w:tcPr>
                <w:p w14:paraId="772B04F1"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Eticheta cu data expirării</w:t>
                  </w:r>
                </w:p>
              </w:tc>
              <w:tc>
                <w:tcPr>
                  <w:tcW w:w="3759" w:type="dxa"/>
                  <w:gridSpan w:val="3"/>
                  <w:tcBorders>
                    <w:top w:val="nil"/>
                    <w:left w:val="nil"/>
                    <w:bottom w:val="nil"/>
                    <w:right w:val="nil"/>
                  </w:tcBorders>
                  <w:vAlign w:val="bottom"/>
                </w:tcPr>
                <w:p w14:paraId="486986E3"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Tijă piston</w:t>
                  </w:r>
                </w:p>
              </w:tc>
            </w:tr>
            <w:tr w:rsidR="00C04CAD" w14:paraId="668242BF" w14:textId="77777777">
              <w:trPr>
                <w:gridAfter w:val="1"/>
                <w:wAfter w:w="123" w:type="dxa"/>
              </w:trPr>
              <w:tc>
                <w:tcPr>
                  <w:tcW w:w="9107" w:type="dxa"/>
                  <w:gridSpan w:val="6"/>
                  <w:tcBorders>
                    <w:top w:val="nil"/>
                    <w:left w:val="nil"/>
                    <w:bottom w:val="nil"/>
                    <w:right w:val="nil"/>
                  </w:tcBorders>
                </w:tcPr>
                <w:p w14:paraId="2F764001"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rFonts w:eastAsia="Calibri"/>
                      <w:noProof/>
                      <w:szCs w:val="22"/>
                      <w:lang w:val="en-US" w:eastAsia="zh-CN" w:bidi="ar-SA"/>
                    </w:rPr>
                    <w:drawing>
                      <wp:inline distT="0" distB="0" distL="0" distR="0" wp14:anchorId="4804C54B" wp14:editId="0086E6BF">
                        <wp:extent cx="4841875" cy="1724660"/>
                        <wp:effectExtent l="0" t="0" r="0" b="0"/>
                        <wp:docPr id="2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841875" cy="1724660"/>
                                </a:xfrm>
                                <a:prstGeom prst="rect">
                                  <a:avLst/>
                                </a:prstGeom>
                                <a:noFill/>
                                <a:ln>
                                  <a:noFill/>
                                </a:ln>
                              </pic:spPr>
                            </pic:pic>
                          </a:graphicData>
                        </a:graphic>
                      </wp:inline>
                    </w:drawing>
                  </w:r>
                </w:p>
              </w:tc>
            </w:tr>
            <w:tr w:rsidR="00C04CAD" w14:paraId="1A5C3FB3" w14:textId="77777777">
              <w:trPr>
                <w:gridAfter w:val="1"/>
                <w:wAfter w:w="123" w:type="dxa"/>
              </w:trPr>
              <w:tc>
                <w:tcPr>
                  <w:tcW w:w="2552" w:type="dxa"/>
                  <w:gridSpan w:val="2"/>
                  <w:tcBorders>
                    <w:top w:val="nil"/>
                    <w:left w:val="nil"/>
                    <w:bottom w:val="nil"/>
                    <w:right w:val="nil"/>
                  </w:tcBorders>
                </w:tcPr>
                <w:p w14:paraId="2E47982B"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Capac de protecție atașat</w:t>
                  </w:r>
                </w:p>
              </w:tc>
              <w:tc>
                <w:tcPr>
                  <w:tcW w:w="3118" w:type="dxa"/>
                  <w:gridSpan w:val="3"/>
                  <w:tcBorders>
                    <w:top w:val="nil"/>
                    <w:left w:val="nil"/>
                    <w:bottom w:val="nil"/>
                    <w:right w:val="nil"/>
                  </w:tcBorders>
                </w:tcPr>
                <w:p w14:paraId="0BA569FD"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Medicament</w:t>
                  </w:r>
                </w:p>
              </w:tc>
              <w:tc>
                <w:tcPr>
                  <w:tcW w:w="3437" w:type="dxa"/>
                  <w:tcBorders>
                    <w:top w:val="nil"/>
                    <w:left w:val="nil"/>
                    <w:bottom w:val="nil"/>
                    <w:right w:val="nil"/>
                  </w:tcBorders>
                </w:tcPr>
                <w:p w14:paraId="63DFC382" w14:textId="77777777" w:rsidR="00C04CAD" w:rsidRDefault="00060E34">
                  <w:pPr>
                    <w:keepNext/>
                    <w:keepLines/>
                    <w:tabs>
                      <w:tab w:val="clear" w:pos="567"/>
                    </w:tabs>
                    <w:autoSpaceDE w:val="0"/>
                    <w:autoSpaceDN w:val="0"/>
                    <w:adjustRightInd w:val="0"/>
                    <w:spacing w:line="240" w:lineRule="auto"/>
                    <w:rPr>
                      <w:bCs/>
                      <w:szCs w:val="22"/>
                      <w:lang w:eastAsia="en-US" w:bidi="ar-SA"/>
                    </w:rPr>
                  </w:pPr>
                  <w:r>
                    <w:rPr>
                      <w:bCs/>
                      <w:szCs w:val="22"/>
                      <w:lang w:eastAsia="en-US" w:bidi="ar-SA"/>
                    </w:rPr>
                    <w:t>Suport pentru degete</w:t>
                  </w:r>
                </w:p>
              </w:tc>
            </w:tr>
          </w:tbl>
          <w:p w14:paraId="600477F6" w14:textId="77777777" w:rsidR="00C04CAD" w:rsidRDefault="00C04CAD">
            <w:pPr>
              <w:keepNext/>
              <w:keepLines/>
              <w:tabs>
                <w:tab w:val="clear" w:pos="567"/>
              </w:tabs>
              <w:autoSpaceDE w:val="0"/>
              <w:autoSpaceDN w:val="0"/>
              <w:adjustRightInd w:val="0"/>
              <w:spacing w:line="240" w:lineRule="auto"/>
              <w:rPr>
                <w:bCs/>
                <w:szCs w:val="22"/>
                <w:lang w:eastAsia="en-US" w:bidi="ar-SA"/>
              </w:rPr>
            </w:pPr>
          </w:p>
        </w:tc>
      </w:tr>
      <w:tr w:rsidR="00C04CAD" w14:paraId="0AB2CE61" w14:textId="77777777">
        <w:tc>
          <w:tcPr>
            <w:tcW w:w="5000" w:type="pct"/>
            <w:gridSpan w:val="2"/>
            <w:tcBorders>
              <w:top w:val="nil"/>
              <w:bottom w:val="nil"/>
            </w:tcBorders>
            <w:tcMar>
              <w:top w:w="28" w:type="dxa"/>
              <w:left w:w="57" w:type="dxa"/>
              <w:bottom w:w="28" w:type="dxa"/>
              <w:right w:w="57" w:type="dxa"/>
            </w:tcMar>
          </w:tcPr>
          <w:p w14:paraId="5A84750E" w14:textId="77777777" w:rsidR="00C04CAD" w:rsidRDefault="00060E34">
            <w:pPr>
              <w:keepNext/>
              <w:keepLines/>
              <w:tabs>
                <w:tab w:val="clear" w:pos="567"/>
              </w:tabs>
              <w:autoSpaceDE w:val="0"/>
              <w:autoSpaceDN w:val="0"/>
              <w:adjustRightInd w:val="0"/>
              <w:spacing w:line="240" w:lineRule="auto"/>
              <w:rPr>
                <w:b/>
                <w:bCs/>
                <w:szCs w:val="22"/>
                <w:lang w:eastAsia="en-US" w:bidi="ar-SA"/>
              </w:rPr>
            </w:pPr>
            <w:r>
              <w:rPr>
                <w:b/>
                <w:bCs/>
                <w:szCs w:val="22"/>
                <w:lang w:eastAsia="en-US" w:bidi="ar-SA"/>
              </w:rPr>
              <w:t>Întotdeauna țineți seringa de corpul său.</w:t>
            </w:r>
          </w:p>
          <w:p w14:paraId="268B8A41" w14:textId="77777777" w:rsidR="00C04CAD" w:rsidRDefault="00C04CAD">
            <w:pPr>
              <w:keepNext/>
              <w:keepLines/>
              <w:tabs>
                <w:tab w:val="clear" w:pos="567"/>
              </w:tabs>
              <w:autoSpaceDE w:val="0"/>
              <w:autoSpaceDN w:val="0"/>
              <w:adjustRightInd w:val="0"/>
              <w:spacing w:line="240" w:lineRule="auto"/>
              <w:rPr>
                <w:b/>
                <w:bCs/>
                <w:szCs w:val="22"/>
                <w:lang w:eastAsia="en-US" w:bidi="ar-SA"/>
              </w:rPr>
            </w:pPr>
          </w:p>
          <w:p w14:paraId="5243B63B" w14:textId="77777777" w:rsidR="00C04CAD" w:rsidRDefault="00060E34">
            <w:pPr>
              <w:keepNext/>
              <w:keepLines/>
              <w:tabs>
                <w:tab w:val="clear" w:pos="567"/>
              </w:tabs>
              <w:autoSpaceDE w:val="0"/>
              <w:autoSpaceDN w:val="0"/>
              <w:adjustRightInd w:val="0"/>
              <w:spacing w:line="240" w:lineRule="auto"/>
              <w:rPr>
                <w:b/>
                <w:bCs/>
                <w:szCs w:val="22"/>
                <w:lang w:eastAsia="en-US" w:bidi="ar-SA"/>
              </w:rPr>
            </w:pPr>
            <w:r>
              <w:rPr>
                <w:b/>
                <w:bCs/>
                <w:szCs w:val="22"/>
                <w:lang w:eastAsia="en-US" w:bidi="ar-SA"/>
              </w:rPr>
              <w:t>Asigurați-vă că medicamentul din seringă este limpede și de la incolor la ușor gălbui.</w:t>
            </w:r>
          </w:p>
        </w:tc>
      </w:tr>
      <w:tr w:rsidR="00C04CAD" w14:paraId="34B83589" w14:textId="77777777">
        <w:tc>
          <w:tcPr>
            <w:tcW w:w="329" w:type="pct"/>
            <w:tcBorders>
              <w:top w:val="nil"/>
              <w:bottom w:val="nil"/>
              <w:right w:val="nil"/>
            </w:tcBorders>
            <w:tcMar>
              <w:top w:w="28" w:type="dxa"/>
              <w:left w:w="57" w:type="dxa"/>
              <w:bottom w:w="28" w:type="dxa"/>
              <w:right w:w="57" w:type="dxa"/>
            </w:tcMar>
          </w:tcPr>
          <w:p w14:paraId="08A403A8" w14:textId="77777777" w:rsidR="00C04CAD" w:rsidRDefault="00060E34">
            <w:pPr>
              <w:keepNext/>
              <w:keepLines/>
              <w:tabs>
                <w:tab w:val="clear" w:pos="567"/>
              </w:tabs>
              <w:autoSpaceDE w:val="0"/>
              <w:autoSpaceDN w:val="0"/>
              <w:adjustRightInd w:val="0"/>
              <w:spacing w:line="240" w:lineRule="auto"/>
              <w:rPr>
                <w:sz w:val="24"/>
                <w:szCs w:val="22"/>
                <w:lang w:eastAsia="en-US" w:bidi="ar-SA"/>
              </w:rPr>
            </w:pPr>
            <w:r>
              <w:rPr>
                <w:color w:val="000000"/>
                <w:sz w:val="24"/>
                <w:szCs w:val="22"/>
                <w:lang w:eastAsia="en-US" w:bidi="ar-SA"/>
              </w:rPr>
              <w:t>●</w:t>
            </w:r>
          </w:p>
        </w:tc>
        <w:tc>
          <w:tcPr>
            <w:tcW w:w="4671" w:type="pct"/>
            <w:tcBorders>
              <w:top w:val="nil"/>
              <w:left w:val="nil"/>
              <w:bottom w:val="nil"/>
            </w:tcBorders>
            <w:tcMar>
              <w:left w:w="57" w:type="dxa"/>
            </w:tcMar>
          </w:tcPr>
          <w:p w14:paraId="172D0226" w14:textId="77777777" w:rsidR="00C04CAD" w:rsidRDefault="00060E34">
            <w:pPr>
              <w:keepNext/>
              <w:keepLines/>
              <w:tabs>
                <w:tab w:val="clear" w:pos="567"/>
              </w:tabs>
              <w:suppressAutoHyphens/>
              <w:autoSpaceDE w:val="0"/>
              <w:autoSpaceDN w:val="0"/>
              <w:adjustRightInd w:val="0"/>
              <w:spacing w:line="240" w:lineRule="auto"/>
              <w:textAlignment w:val="center"/>
              <w:rPr>
                <w:color w:val="000000"/>
                <w:szCs w:val="22"/>
                <w:lang w:eastAsia="en-US" w:bidi="ar-SA"/>
              </w:rPr>
            </w:pPr>
            <w:r>
              <w:rPr>
                <w:b/>
                <w:bCs/>
                <w:color w:val="000000"/>
                <w:szCs w:val="22"/>
                <w:lang w:eastAsia="en-US" w:bidi="ar-SA"/>
              </w:rPr>
              <w:t xml:space="preserve">Nu </w:t>
            </w:r>
            <w:r>
              <w:rPr>
                <w:bCs/>
                <w:color w:val="000000"/>
                <w:szCs w:val="22"/>
                <w:lang w:eastAsia="en-US" w:bidi="ar-SA"/>
              </w:rPr>
              <w:t>utilizați seringa preumplută dacă:</w:t>
            </w:r>
          </w:p>
        </w:tc>
      </w:tr>
      <w:tr w:rsidR="00C04CAD" w14:paraId="56B38426" w14:textId="77777777">
        <w:tc>
          <w:tcPr>
            <w:tcW w:w="329" w:type="pct"/>
            <w:tcBorders>
              <w:top w:val="nil"/>
              <w:bottom w:val="nil"/>
              <w:right w:val="nil"/>
            </w:tcBorders>
            <w:tcMar>
              <w:top w:w="28" w:type="dxa"/>
              <w:left w:w="57" w:type="dxa"/>
              <w:bottom w:w="28" w:type="dxa"/>
              <w:right w:w="57" w:type="dxa"/>
            </w:tcMar>
          </w:tcPr>
          <w:p w14:paraId="19EA986C" w14:textId="77777777" w:rsidR="00C04CAD" w:rsidRDefault="00C04CAD">
            <w:pPr>
              <w:tabs>
                <w:tab w:val="clear" w:pos="567"/>
              </w:tabs>
              <w:autoSpaceDE w:val="0"/>
              <w:autoSpaceDN w:val="0"/>
              <w:adjustRightInd w:val="0"/>
              <w:spacing w:line="240" w:lineRule="auto"/>
              <w:rPr>
                <w:color w:val="000000"/>
                <w:sz w:val="24"/>
                <w:szCs w:val="22"/>
                <w:lang w:eastAsia="en-US" w:bidi="ar-SA"/>
              </w:rPr>
            </w:pPr>
          </w:p>
        </w:tc>
        <w:tc>
          <w:tcPr>
            <w:tcW w:w="4671" w:type="pct"/>
            <w:tcBorders>
              <w:top w:val="nil"/>
              <w:left w:val="nil"/>
              <w:bottom w:val="nil"/>
            </w:tcBorders>
            <w:tcMar>
              <w:left w:w="57" w:type="dxa"/>
            </w:tcMar>
          </w:tcPr>
          <w:p w14:paraId="57E61DEE" w14:textId="77777777" w:rsidR="00C04CAD" w:rsidRDefault="00060E34">
            <w:pPr>
              <w:numPr>
                <w:ilvl w:val="0"/>
                <w:numId w:val="66"/>
              </w:numPr>
              <w:tabs>
                <w:tab w:val="clear" w:pos="567"/>
              </w:tabs>
              <w:suppressAutoHyphens/>
              <w:autoSpaceDE w:val="0"/>
              <w:autoSpaceDN w:val="0"/>
              <w:adjustRightInd w:val="0"/>
              <w:spacing w:line="240" w:lineRule="auto"/>
              <w:ind w:left="567" w:hanging="567"/>
              <w:contextualSpacing/>
              <w:textAlignment w:val="center"/>
              <w:rPr>
                <w:color w:val="000000"/>
                <w:szCs w:val="22"/>
                <w:lang w:eastAsia="en-US" w:bidi="ar-SA"/>
              </w:rPr>
            </w:pPr>
            <w:r>
              <w:rPr>
                <w:color w:val="000000"/>
                <w:szCs w:val="22"/>
                <w:lang w:eastAsia="en-US" w:bidi="ar-SA"/>
              </w:rPr>
              <w:t xml:space="preserve">Medicamentul este tulbure sau prezintă </w:t>
            </w:r>
            <w:r>
              <w:rPr>
                <w:szCs w:val="22"/>
                <w:lang w:eastAsia="en-US" w:bidi="ar-SA"/>
              </w:rPr>
              <w:t>modificări de culoare</w:t>
            </w:r>
            <w:r>
              <w:rPr>
                <w:color w:val="000000"/>
                <w:szCs w:val="22"/>
                <w:lang w:eastAsia="en-US" w:bidi="ar-SA"/>
              </w:rPr>
              <w:t xml:space="preserve"> sau conţine flocoane sau particule.</w:t>
            </w:r>
          </w:p>
          <w:p w14:paraId="3217243B" w14:textId="77777777" w:rsidR="00C04CAD" w:rsidRDefault="00060E34">
            <w:pPr>
              <w:numPr>
                <w:ilvl w:val="0"/>
                <w:numId w:val="66"/>
              </w:numPr>
              <w:tabs>
                <w:tab w:val="clear" w:pos="567"/>
              </w:tabs>
              <w:suppressAutoHyphens/>
              <w:autoSpaceDE w:val="0"/>
              <w:autoSpaceDN w:val="0"/>
              <w:adjustRightInd w:val="0"/>
              <w:spacing w:line="240" w:lineRule="auto"/>
              <w:ind w:left="567" w:hanging="567"/>
              <w:contextualSpacing/>
              <w:textAlignment w:val="center"/>
              <w:rPr>
                <w:color w:val="000000"/>
                <w:szCs w:val="22"/>
                <w:lang w:eastAsia="en-US" w:bidi="ar-SA"/>
              </w:rPr>
            </w:pPr>
            <w:r>
              <w:rPr>
                <w:color w:val="000000"/>
                <w:szCs w:val="22"/>
                <w:lang w:eastAsia="en-US" w:bidi="ar-SA"/>
              </w:rPr>
              <w:t>Oricare din componente pare crăpată sau spartă.</w:t>
            </w:r>
          </w:p>
          <w:p w14:paraId="3CD5AD12" w14:textId="77777777" w:rsidR="00C04CAD" w:rsidRDefault="00060E34">
            <w:pPr>
              <w:numPr>
                <w:ilvl w:val="0"/>
                <w:numId w:val="66"/>
              </w:numPr>
              <w:tabs>
                <w:tab w:val="clear" w:pos="567"/>
              </w:tabs>
              <w:suppressAutoHyphens/>
              <w:autoSpaceDE w:val="0"/>
              <w:autoSpaceDN w:val="0"/>
              <w:adjustRightInd w:val="0"/>
              <w:spacing w:line="240" w:lineRule="auto"/>
              <w:ind w:left="567" w:hanging="567"/>
              <w:contextualSpacing/>
              <w:textAlignment w:val="center"/>
              <w:rPr>
                <w:color w:val="000000"/>
                <w:szCs w:val="22"/>
                <w:lang w:eastAsia="en-US" w:bidi="ar-SA"/>
              </w:rPr>
            </w:pPr>
            <w:r>
              <w:rPr>
                <w:color w:val="000000"/>
                <w:szCs w:val="22"/>
                <w:lang w:eastAsia="en-US" w:bidi="ar-SA"/>
              </w:rPr>
              <w:t>Capacul pentru ac lipsește sau nu este atașat ferm</w:t>
            </w:r>
          </w:p>
          <w:p w14:paraId="6C5D69DF" w14:textId="77777777" w:rsidR="00C04CAD" w:rsidRDefault="00060E34">
            <w:pPr>
              <w:numPr>
                <w:ilvl w:val="0"/>
                <w:numId w:val="66"/>
              </w:numPr>
              <w:tabs>
                <w:tab w:val="clear" w:pos="567"/>
              </w:tabs>
              <w:suppressAutoHyphens/>
              <w:autoSpaceDE w:val="0"/>
              <w:autoSpaceDN w:val="0"/>
              <w:adjustRightInd w:val="0"/>
              <w:spacing w:line="240" w:lineRule="auto"/>
              <w:ind w:left="567" w:hanging="567"/>
              <w:contextualSpacing/>
              <w:textAlignment w:val="center"/>
              <w:rPr>
                <w:color w:val="000000"/>
                <w:szCs w:val="22"/>
                <w:lang w:eastAsia="en-US" w:bidi="ar-SA"/>
              </w:rPr>
            </w:pPr>
            <w:r>
              <w:rPr>
                <w:color w:val="000000"/>
                <w:szCs w:val="22"/>
                <w:lang w:eastAsia="en-US" w:bidi="ar-SA"/>
              </w:rPr>
              <w:t>Data expirării de pe etichetă este depășită.</w:t>
            </w:r>
          </w:p>
        </w:tc>
      </w:tr>
      <w:tr w:rsidR="00C04CAD" w14:paraId="4C0F8A67" w14:textId="77777777">
        <w:tc>
          <w:tcPr>
            <w:tcW w:w="5000" w:type="pct"/>
            <w:gridSpan w:val="2"/>
            <w:tcBorders>
              <w:top w:val="nil"/>
            </w:tcBorders>
            <w:tcMar>
              <w:top w:w="28" w:type="dxa"/>
              <w:left w:w="57" w:type="dxa"/>
              <w:bottom w:w="28" w:type="dxa"/>
              <w:right w:w="57" w:type="dxa"/>
            </w:tcMar>
          </w:tcPr>
          <w:p w14:paraId="3FE194A0" w14:textId="77777777" w:rsidR="00C04CAD" w:rsidRDefault="00060E34">
            <w:pPr>
              <w:tabs>
                <w:tab w:val="clear" w:pos="567"/>
              </w:tabs>
              <w:spacing w:line="240" w:lineRule="auto"/>
              <w:ind w:right="-46"/>
              <w:rPr>
                <w:color w:val="231F20"/>
                <w:szCs w:val="22"/>
                <w:lang w:eastAsia="ja-JP" w:bidi="ar-SA"/>
              </w:rPr>
            </w:pPr>
            <w:r>
              <w:rPr>
                <w:rFonts w:eastAsia="PMingLiU"/>
                <w:color w:val="000000"/>
                <w:szCs w:val="22"/>
                <w:lang w:eastAsia="ja-JP" w:bidi="ar-SA"/>
              </w:rPr>
              <w:t>În toate aceste situații, utilizați o seringă nouă.</w:t>
            </w:r>
          </w:p>
        </w:tc>
      </w:tr>
    </w:tbl>
    <w:p w14:paraId="0B3D67D0" w14:textId="77777777" w:rsidR="00C04CAD" w:rsidRDefault="00C04CAD">
      <w:pPr>
        <w:numPr>
          <w:ilvl w:val="12"/>
          <w:numId w:val="0"/>
        </w:numPr>
        <w:tabs>
          <w:tab w:val="clear" w:pos="567"/>
        </w:tabs>
        <w:spacing w:line="240" w:lineRule="auto"/>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686"/>
      </w:tblGrid>
      <w:tr w:rsidR="00C04CAD" w14:paraId="71DB7A8F" w14:textId="77777777">
        <w:tc>
          <w:tcPr>
            <w:tcW w:w="297" w:type="pct"/>
            <w:tcMar>
              <w:top w:w="28" w:type="dxa"/>
              <w:left w:w="57" w:type="dxa"/>
              <w:bottom w:w="28" w:type="dxa"/>
              <w:right w:w="57" w:type="dxa"/>
            </w:tcMar>
          </w:tcPr>
          <w:p w14:paraId="4DC45A99" w14:textId="77777777" w:rsidR="00C04CAD" w:rsidRDefault="00060E34">
            <w:pPr>
              <w:tabs>
                <w:tab w:val="clear" w:pos="567"/>
              </w:tabs>
              <w:suppressAutoHyphens/>
              <w:autoSpaceDE w:val="0"/>
              <w:autoSpaceDN w:val="0"/>
              <w:adjustRightInd w:val="0"/>
              <w:spacing w:line="240" w:lineRule="auto"/>
              <w:textAlignment w:val="center"/>
              <w:rPr>
                <w:rFonts w:eastAsia="MS Gothic"/>
                <w:b/>
                <w:color w:val="000000"/>
                <w:szCs w:val="22"/>
                <w:lang w:eastAsia="en-US" w:bidi="ar-SA"/>
              </w:rPr>
            </w:pPr>
            <w:r>
              <w:rPr>
                <w:rFonts w:eastAsia="MS Gothic"/>
                <w:b/>
                <w:bCs/>
                <w:szCs w:val="22"/>
                <w:lang w:eastAsia="en-US" w:bidi="ar-SA"/>
              </w:rPr>
              <w:t>C.</w:t>
            </w:r>
          </w:p>
        </w:tc>
        <w:tc>
          <w:tcPr>
            <w:tcW w:w="4703" w:type="pct"/>
            <w:tcMar>
              <w:left w:w="57" w:type="dxa"/>
            </w:tcMar>
          </w:tcPr>
          <w:p w14:paraId="00D476BA" w14:textId="77777777" w:rsidR="00C04CAD" w:rsidRDefault="00060E34">
            <w:pPr>
              <w:tabs>
                <w:tab w:val="clear" w:pos="567"/>
              </w:tabs>
              <w:suppressAutoHyphens/>
              <w:autoSpaceDE w:val="0"/>
              <w:autoSpaceDN w:val="0"/>
              <w:adjustRightInd w:val="0"/>
              <w:spacing w:line="240" w:lineRule="auto"/>
              <w:textAlignment w:val="center"/>
              <w:rPr>
                <w:rFonts w:eastAsia="MS Gothic"/>
                <w:bCs/>
                <w:color w:val="000000"/>
                <w:szCs w:val="22"/>
                <w:lang w:eastAsia="ja-JP" w:bidi="ar-SA"/>
              </w:rPr>
            </w:pPr>
            <w:r>
              <w:rPr>
                <w:rFonts w:eastAsia="MS Gothic"/>
                <w:bCs/>
                <w:color w:val="000000"/>
                <w:szCs w:val="22"/>
                <w:lang w:eastAsia="ja-JP" w:bidi="ar-SA"/>
              </w:rPr>
              <w:t>Adunaţi toate materialele care vă sunt necesare pentru administrarea injecţiei(iilor).</w:t>
            </w:r>
          </w:p>
        </w:tc>
      </w:tr>
      <w:tr w:rsidR="00C04CAD" w14:paraId="38A02DA9" w14:textId="77777777">
        <w:trPr>
          <w:trHeight w:val="1006"/>
        </w:trPr>
        <w:tc>
          <w:tcPr>
            <w:tcW w:w="5000" w:type="pct"/>
            <w:gridSpan w:val="2"/>
            <w:tcBorders>
              <w:bottom w:val="nil"/>
            </w:tcBorders>
          </w:tcPr>
          <w:p w14:paraId="0BF9BA9D" w14:textId="77777777" w:rsidR="00C04CAD" w:rsidRDefault="00060E34">
            <w:pPr>
              <w:tabs>
                <w:tab w:val="clear" w:pos="567"/>
              </w:tabs>
              <w:autoSpaceDE w:val="0"/>
              <w:autoSpaceDN w:val="0"/>
              <w:adjustRightInd w:val="0"/>
              <w:spacing w:line="240" w:lineRule="auto"/>
              <w:rPr>
                <w:rFonts w:eastAsia="MS Gothic"/>
                <w:szCs w:val="22"/>
                <w:lang w:eastAsia="en-GB" w:bidi="ar-SA"/>
              </w:rPr>
            </w:pPr>
            <w:r>
              <w:rPr>
                <w:rFonts w:eastAsia="PMingLiU"/>
                <w:szCs w:val="22"/>
                <w:lang w:eastAsia="en-US" w:bidi="ar-SA"/>
              </w:rPr>
              <w:t>Spălaţi-vă bine pe mâini cu apă şi săpun.</w:t>
            </w:r>
          </w:p>
          <w:p w14:paraId="0678BF07" w14:textId="77777777" w:rsidR="00C04CAD" w:rsidRDefault="00060E34">
            <w:pPr>
              <w:tabs>
                <w:tab w:val="clear" w:pos="567"/>
              </w:tabs>
              <w:autoSpaceDE w:val="0"/>
              <w:autoSpaceDN w:val="0"/>
              <w:adjustRightInd w:val="0"/>
              <w:spacing w:line="240" w:lineRule="auto"/>
              <w:rPr>
                <w:rFonts w:eastAsia="MS Gothic"/>
                <w:szCs w:val="22"/>
                <w:lang w:eastAsia="en-GB" w:bidi="ar-SA"/>
              </w:rPr>
            </w:pPr>
            <w:r>
              <w:rPr>
                <w:rFonts w:eastAsia="MS Gothic"/>
                <w:szCs w:val="22"/>
                <w:lang w:eastAsia="en-GB" w:bidi="ar-SA"/>
              </w:rPr>
              <w:t>Aşezaţi o seringă preumplută nouă, pe o suprafaţă de lucru curată, bine iluminată.</w:t>
            </w:r>
          </w:p>
          <w:p w14:paraId="6145268A" w14:textId="77777777" w:rsidR="00C04CAD" w:rsidRDefault="00C04CAD">
            <w:pPr>
              <w:tabs>
                <w:tab w:val="clear" w:pos="567"/>
              </w:tabs>
              <w:autoSpaceDE w:val="0"/>
              <w:autoSpaceDN w:val="0"/>
              <w:adjustRightInd w:val="0"/>
              <w:spacing w:line="240" w:lineRule="auto"/>
              <w:rPr>
                <w:rFonts w:eastAsia="MS Gothic"/>
                <w:szCs w:val="22"/>
                <w:lang w:eastAsia="en-GB" w:bidi="ar-SA"/>
              </w:rPr>
            </w:pPr>
          </w:p>
          <w:p w14:paraId="34E4626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rFonts w:eastAsia="PMingLiU"/>
                <w:szCs w:val="22"/>
                <w:lang w:eastAsia="en-US" w:bidi="ar-SA"/>
              </w:rPr>
              <w:t>Veţi avea nevoie de aceste materiale suplimentare, care nu se găsesc în cutia de ambalaj a medicamentului :</w:t>
            </w:r>
          </w:p>
        </w:tc>
      </w:tr>
      <w:tr w:rsidR="00C04CAD" w14:paraId="0D415564" w14:textId="77777777">
        <w:tc>
          <w:tcPr>
            <w:tcW w:w="297" w:type="pct"/>
            <w:tcBorders>
              <w:top w:val="nil"/>
              <w:bottom w:val="nil"/>
              <w:right w:val="nil"/>
            </w:tcBorders>
            <w:tcMar>
              <w:top w:w="28" w:type="dxa"/>
              <w:left w:w="57" w:type="dxa"/>
              <w:bottom w:w="28" w:type="dxa"/>
              <w:right w:w="57" w:type="dxa"/>
            </w:tcMar>
          </w:tcPr>
          <w:p w14:paraId="74048C3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703" w:type="pct"/>
            <w:tcBorders>
              <w:top w:val="nil"/>
              <w:left w:val="nil"/>
              <w:bottom w:val="nil"/>
              <w:right w:val="single" w:sz="4" w:space="0" w:color="auto"/>
            </w:tcBorders>
            <w:tcMar>
              <w:left w:w="57" w:type="dxa"/>
            </w:tcMar>
          </w:tcPr>
          <w:p w14:paraId="6D84731F"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bCs/>
                <w:szCs w:val="22"/>
                <w:lang w:eastAsia="en-GB" w:bidi="ar-SA"/>
              </w:rPr>
              <w:t>Tampoane cu alcool</w:t>
            </w:r>
          </w:p>
        </w:tc>
      </w:tr>
      <w:tr w:rsidR="00C04CAD" w14:paraId="25BC3D5D" w14:textId="77777777">
        <w:tc>
          <w:tcPr>
            <w:tcW w:w="297" w:type="pct"/>
            <w:tcBorders>
              <w:top w:val="nil"/>
              <w:bottom w:val="nil"/>
              <w:right w:val="nil"/>
            </w:tcBorders>
            <w:tcMar>
              <w:top w:w="28" w:type="dxa"/>
              <w:left w:w="57" w:type="dxa"/>
              <w:bottom w:w="28" w:type="dxa"/>
              <w:right w:w="57" w:type="dxa"/>
            </w:tcMar>
          </w:tcPr>
          <w:p w14:paraId="1E758AD0"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703" w:type="pct"/>
            <w:tcBorders>
              <w:top w:val="nil"/>
              <w:left w:val="nil"/>
              <w:bottom w:val="nil"/>
              <w:right w:val="single" w:sz="4" w:space="0" w:color="auto"/>
            </w:tcBorders>
            <w:tcMar>
              <w:left w:w="57" w:type="dxa"/>
            </w:tcMar>
          </w:tcPr>
          <w:p w14:paraId="1E5B0ADB"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bCs/>
                <w:szCs w:val="22"/>
                <w:lang w:eastAsia="en-GB" w:bidi="ar-SA"/>
              </w:rPr>
              <w:t>Tampon de vat</w:t>
            </w:r>
            <w:r>
              <w:rPr>
                <w:rFonts w:eastAsia="MS Gothic"/>
                <w:szCs w:val="22"/>
                <w:lang w:eastAsia="en-GB" w:bidi="ar-SA"/>
              </w:rPr>
              <w:t>ă sau tifon</w:t>
            </w:r>
          </w:p>
        </w:tc>
      </w:tr>
      <w:tr w:rsidR="00C04CAD" w14:paraId="00996334" w14:textId="77777777">
        <w:tc>
          <w:tcPr>
            <w:tcW w:w="297" w:type="pct"/>
            <w:tcBorders>
              <w:top w:val="nil"/>
              <w:bottom w:val="nil"/>
              <w:right w:val="nil"/>
            </w:tcBorders>
            <w:tcMar>
              <w:top w:w="28" w:type="dxa"/>
              <w:left w:w="57" w:type="dxa"/>
              <w:bottom w:w="28" w:type="dxa"/>
              <w:right w:w="57" w:type="dxa"/>
            </w:tcMar>
          </w:tcPr>
          <w:p w14:paraId="418AEF6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703" w:type="pct"/>
            <w:tcBorders>
              <w:top w:val="nil"/>
              <w:left w:val="nil"/>
              <w:bottom w:val="nil"/>
              <w:right w:val="single" w:sz="4" w:space="0" w:color="auto"/>
            </w:tcBorders>
            <w:tcMar>
              <w:left w:w="57" w:type="dxa"/>
            </w:tcMar>
          </w:tcPr>
          <w:p w14:paraId="0A0F1B5D"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szCs w:val="22"/>
                <w:lang w:eastAsia="en-GB" w:bidi="ar-SA"/>
              </w:rPr>
              <w:t>Plasture</w:t>
            </w:r>
          </w:p>
        </w:tc>
      </w:tr>
      <w:tr w:rsidR="00C04CAD" w14:paraId="74BEE1A7" w14:textId="77777777">
        <w:tc>
          <w:tcPr>
            <w:tcW w:w="297" w:type="pct"/>
            <w:tcBorders>
              <w:top w:val="nil"/>
              <w:bottom w:val="nil"/>
              <w:right w:val="nil"/>
            </w:tcBorders>
            <w:tcMar>
              <w:top w:w="28" w:type="dxa"/>
              <w:left w:w="57" w:type="dxa"/>
              <w:bottom w:w="28" w:type="dxa"/>
              <w:right w:w="57" w:type="dxa"/>
            </w:tcMar>
          </w:tcPr>
          <w:p w14:paraId="177F8002"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703" w:type="pct"/>
            <w:tcBorders>
              <w:top w:val="nil"/>
              <w:left w:val="nil"/>
              <w:bottom w:val="nil"/>
              <w:right w:val="single" w:sz="4" w:space="0" w:color="auto"/>
            </w:tcBorders>
            <w:tcMar>
              <w:left w:w="57" w:type="dxa"/>
            </w:tcMar>
          </w:tcPr>
          <w:p w14:paraId="115E9676"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szCs w:val="22"/>
                <w:lang w:eastAsia="en-GB" w:bidi="ar-SA"/>
              </w:rPr>
              <w:t>Recipient pentru eliminarea obiectelor ascuţite</w:t>
            </w:r>
          </w:p>
        </w:tc>
      </w:tr>
      <w:tr w:rsidR="00C04CAD" w14:paraId="27460170" w14:textId="77777777">
        <w:tc>
          <w:tcPr>
            <w:tcW w:w="5000" w:type="pct"/>
            <w:gridSpan w:val="2"/>
            <w:tcBorders>
              <w:top w:val="nil"/>
            </w:tcBorders>
            <w:tcMar>
              <w:top w:w="28" w:type="dxa"/>
              <w:left w:w="57" w:type="dxa"/>
              <w:bottom w:w="28" w:type="dxa"/>
              <w:right w:w="57" w:type="dxa"/>
            </w:tcMar>
          </w:tcPr>
          <w:tbl>
            <w:tblPr>
              <w:tblW w:w="0" w:type="auto"/>
              <w:tblLook w:val="04A0" w:firstRow="1" w:lastRow="0" w:firstColumn="1" w:lastColumn="0" w:noHBand="0" w:noVBand="1"/>
            </w:tblPr>
            <w:tblGrid>
              <w:gridCol w:w="2851"/>
              <w:gridCol w:w="6270"/>
            </w:tblGrid>
            <w:tr w:rsidR="00C04CAD" w14:paraId="3F6D48CE" w14:textId="77777777">
              <w:tc>
                <w:tcPr>
                  <w:tcW w:w="2835" w:type="dxa"/>
                  <w:tcBorders>
                    <w:top w:val="nil"/>
                    <w:left w:val="nil"/>
                    <w:bottom w:val="nil"/>
                    <w:right w:val="nil"/>
                  </w:tcBorders>
                  <w:vAlign w:val="center"/>
                </w:tcPr>
                <w:p w14:paraId="59E3AF60" w14:textId="77777777" w:rsidR="00C04CAD" w:rsidRDefault="00060E34">
                  <w:pPr>
                    <w:tabs>
                      <w:tab w:val="clear" w:pos="567"/>
                    </w:tabs>
                    <w:spacing w:line="240" w:lineRule="auto"/>
                    <w:ind w:right="-46"/>
                    <w:jc w:val="center"/>
                    <w:rPr>
                      <w:color w:val="231F20"/>
                      <w:szCs w:val="22"/>
                      <w:lang w:eastAsia="ja-JP" w:bidi="ar-SA"/>
                    </w:rPr>
                  </w:pPr>
                  <w:r>
                    <w:rPr>
                      <w:noProof/>
                      <w:szCs w:val="22"/>
                      <w:lang w:val="en-US" w:eastAsia="zh-CN" w:bidi="ar-SA"/>
                    </w:rPr>
                    <w:drawing>
                      <wp:inline distT="0" distB="0" distL="0" distR="0" wp14:anchorId="119E0ED9" wp14:editId="77AC65FB">
                        <wp:extent cx="1673225" cy="644525"/>
                        <wp:effectExtent l="0" t="0" r="0" b="0"/>
                        <wp:docPr id="2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673225" cy="644525"/>
                                </a:xfrm>
                                <a:prstGeom prst="rect">
                                  <a:avLst/>
                                </a:prstGeom>
                                <a:noFill/>
                                <a:ln>
                                  <a:noFill/>
                                </a:ln>
                              </pic:spPr>
                            </pic:pic>
                          </a:graphicData>
                        </a:graphic>
                      </wp:inline>
                    </w:drawing>
                  </w:r>
                </w:p>
              </w:tc>
              <w:tc>
                <w:tcPr>
                  <w:tcW w:w="6272" w:type="dxa"/>
                  <w:tcBorders>
                    <w:top w:val="nil"/>
                    <w:left w:val="nil"/>
                    <w:bottom w:val="nil"/>
                    <w:right w:val="nil"/>
                  </w:tcBorders>
                </w:tcPr>
                <w:p w14:paraId="0ECBE718" w14:textId="77777777" w:rsidR="00C04CAD" w:rsidRDefault="00060E34">
                  <w:pPr>
                    <w:tabs>
                      <w:tab w:val="clear" w:pos="567"/>
                    </w:tabs>
                    <w:spacing w:line="240" w:lineRule="auto"/>
                    <w:ind w:right="-46"/>
                    <w:rPr>
                      <w:color w:val="231F20"/>
                      <w:szCs w:val="22"/>
                      <w:lang w:eastAsia="ja-JP" w:bidi="ar-SA"/>
                    </w:rPr>
                  </w:pPr>
                  <w:r>
                    <w:rPr>
                      <w:noProof/>
                      <w:szCs w:val="22"/>
                      <w:lang w:val="en-US" w:eastAsia="zh-CN" w:bidi="ar-SA"/>
                    </w:rPr>
                    <w:drawing>
                      <wp:inline distT="0" distB="0" distL="0" distR="0" wp14:anchorId="2BD15581" wp14:editId="2E795A38">
                        <wp:extent cx="1828800" cy="1101725"/>
                        <wp:effectExtent l="0" t="0" r="0" b="0"/>
                        <wp:docPr id="2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828800" cy="1101725"/>
                                </a:xfrm>
                                <a:prstGeom prst="rect">
                                  <a:avLst/>
                                </a:prstGeom>
                                <a:noFill/>
                                <a:ln>
                                  <a:noFill/>
                                </a:ln>
                              </pic:spPr>
                            </pic:pic>
                          </a:graphicData>
                        </a:graphic>
                      </wp:inline>
                    </w:drawing>
                  </w:r>
                </w:p>
              </w:tc>
            </w:tr>
          </w:tbl>
          <w:p w14:paraId="5E8ECC71" w14:textId="77777777" w:rsidR="00C04CAD" w:rsidRDefault="00C04CAD">
            <w:pPr>
              <w:tabs>
                <w:tab w:val="clear" w:pos="567"/>
              </w:tabs>
              <w:spacing w:line="240" w:lineRule="auto"/>
              <w:ind w:right="-46"/>
              <w:rPr>
                <w:color w:val="231F20"/>
                <w:szCs w:val="22"/>
                <w:lang w:eastAsia="ja-JP" w:bidi="ar-SA"/>
              </w:rPr>
            </w:pPr>
          </w:p>
        </w:tc>
      </w:tr>
    </w:tbl>
    <w:p w14:paraId="43B1FF3A"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1B5C706E" w14:textId="77777777">
        <w:trPr>
          <w:cantSplit/>
        </w:trPr>
        <w:tc>
          <w:tcPr>
            <w:tcW w:w="303" w:type="pct"/>
            <w:tcMar>
              <w:top w:w="28" w:type="dxa"/>
              <w:left w:w="57" w:type="dxa"/>
              <w:bottom w:w="28" w:type="dxa"/>
              <w:right w:w="57" w:type="dxa"/>
            </w:tcMar>
          </w:tcPr>
          <w:p w14:paraId="1E99303C" w14:textId="77777777" w:rsidR="00C04CAD" w:rsidRDefault="00060E34">
            <w:pPr>
              <w:keepNext/>
              <w:tabs>
                <w:tab w:val="clear" w:pos="567"/>
              </w:tabs>
              <w:suppressAutoHyphens/>
              <w:autoSpaceDE w:val="0"/>
              <w:autoSpaceDN w:val="0"/>
              <w:adjustRightInd w:val="0"/>
              <w:spacing w:line="240" w:lineRule="auto"/>
              <w:textAlignment w:val="center"/>
              <w:rPr>
                <w:rFonts w:eastAsia="MS Gothic"/>
                <w:b/>
                <w:color w:val="000000"/>
                <w:szCs w:val="22"/>
                <w:lang w:eastAsia="en-US" w:bidi="ar-SA"/>
              </w:rPr>
            </w:pPr>
            <w:r>
              <w:rPr>
                <w:rFonts w:eastAsia="MS Gothic"/>
                <w:b/>
                <w:bCs/>
                <w:szCs w:val="22"/>
                <w:lang w:eastAsia="en-US" w:bidi="ar-SA"/>
              </w:rPr>
              <w:t>D.</w:t>
            </w:r>
          </w:p>
        </w:tc>
        <w:tc>
          <w:tcPr>
            <w:tcW w:w="4697" w:type="pct"/>
            <w:tcMar>
              <w:left w:w="57" w:type="dxa"/>
            </w:tcMar>
          </w:tcPr>
          <w:p w14:paraId="75DC314E" w14:textId="77777777" w:rsidR="00C04CAD" w:rsidRDefault="00060E34">
            <w:pPr>
              <w:keepNext/>
              <w:tabs>
                <w:tab w:val="clear" w:pos="567"/>
              </w:tabs>
              <w:suppressAutoHyphens/>
              <w:autoSpaceDE w:val="0"/>
              <w:autoSpaceDN w:val="0"/>
              <w:adjustRightInd w:val="0"/>
              <w:spacing w:line="240" w:lineRule="auto"/>
              <w:textAlignment w:val="center"/>
              <w:rPr>
                <w:rFonts w:eastAsia="MS Gothic"/>
                <w:b/>
                <w:bCs/>
                <w:color w:val="000000"/>
                <w:szCs w:val="22"/>
                <w:lang w:eastAsia="ja-JP" w:bidi="ar-SA"/>
              </w:rPr>
            </w:pPr>
            <w:r>
              <w:rPr>
                <w:rFonts w:eastAsia="PMingLiU"/>
                <w:bCs/>
                <w:color w:val="000000"/>
                <w:szCs w:val="22"/>
                <w:lang w:eastAsia="ja-JP" w:bidi="ar-SA"/>
              </w:rPr>
              <w:t xml:space="preserve"> Pregătiți și dezinfectați locul (locurile) de injectare</w:t>
            </w:r>
          </w:p>
        </w:tc>
      </w:tr>
      <w:tr w:rsidR="00C04CAD" w14:paraId="148B9DA5"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38"/>
              <w:gridCol w:w="3593"/>
            </w:tblGrid>
            <w:tr w:rsidR="00C04CAD" w14:paraId="50A2ABD0" w14:textId="77777777">
              <w:trPr>
                <w:trHeight w:val="1634"/>
                <w:jc w:val="right"/>
              </w:trPr>
              <w:tc>
                <w:tcPr>
                  <w:tcW w:w="2598" w:type="dxa"/>
                  <w:vMerge w:val="restart"/>
                  <w:tcBorders>
                    <w:top w:val="nil"/>
                    <w:left w:val="nil"/>
                    <w:bottom w:val="nil"/>
                    <w:right w:val="nil"/>
                  </w:tcBorders>
                </w:tcPr>
                <w:p w14:paraId="4451DF70" w14:textId="77777777" w:rsidR="00C04CAD" w:rsidRDefault="00060E34">
                  <w:pPr>
                    <w:tabs>
                      <w:tab w:val="clear" w:pos="567"/>
                    </w:tabs>
                    <w:suppressAutoHyphens/>
                    <w:autoSpaceDE w:val="0"/>
                    <w:autoSpaceDN w:val="0"/>
                    <w:adjustRightInd w:val="0"/>
                    <w:spacing w:line="240" w:lineRule="auto"/>
                    <w:ind w:right="-108"/>
                    <w:textAlignment w:val="center"/>
                    <w:rPr>
                      <w:rFonts w:eastAsia="MS Gothic"/>
                      <w:b/>
                      <w:bCs/>
                      <w:color w:val="000000"/>
                      <w:szCs w:val="22"/>
                      <w:lang w:eastAsia="ja-JP" w:bidi="ar-SA"/>
                    </w:rPr>
                  </w:pPr>
                  <w:r>
                    <w:rPr>
                      <w:b/>
                      <w:noProof/>
                      <w:szCs w:val="22"/>
                      <w:lang w:val="en-US" w:eastAsia="zh-CN" w:bidi="ar-SA"/>
                    </w:rPr>
                    <w:drawing>
                      <wp:inline distT="0" distB="0" distL="0" distR="0" wp14:anchorId="1B0E3AF6" wp14:editId="0BF8B295">
                        <wp:extent cx="1537970" cy="2192655"/>
                        <wp:effectExtent l="0" t="0" r="0" b="0"/>
                        <wp:docPr id="2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537970" cy="2192655"/>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13F59D5D" w14:textId="77777777" w:rsidR="00C04CAD" w:rsidRDefault="00060E34">
                  <w:pPr>
                    <w:tabs>
                      <w:tab w:val="clear" w:pos="567"/>
                    </w:tabs>
                    <w:suppressAutoHyphens/>
                    <w:autoSpaceDE w:val="0"/>
                    <w:autoSpaceDN w:val="0"/>
                    <w:adjustRightInd w:val="0"/>
                    <w:spacing w:line="240" w:lineRule="auto"/>
                    <w:ind w:left="-36"/>
                    <w:textAlignment w:val="center"/>
                    <w:rPr>
                      <w:rFonts w:eastAsia="MS Gothic"/>
                      <w:bCs/>
                      <w:color w:val="000000"/>
                      <w:szCs w:val="22"/>
                      <w:lang w:eastAsia="ja-JP" w:bidi="ar-SA"/>
                    </w:rPr>
                  </w:pPr>
                  <w:r>
                    <w:rPr>
                      <w:rFonts w:eastAsia="PMingLiU"/>
                      <w:bCs/>
                      <w:color w:val="000000"/>
                      <w:szCs w:val="22"/>
                      <w:lang w:eastAsia="ja-JP" w:bidi="ar-SA"/>
                    </w:rPr>
                    <w:t>Abdomen</w:t>
                  </w:r>
                </w:p>
              </w:tc>
            </w:tr>
            <w:tr w:rsidR="00C04CAD" w14:paraId="328CDA56" w14:textId="77777777">
              <w:trPr>
                <w:jc w:val="right"/>
              </w:trPr>
              <w:tc>
                <w:tcPr>
                  <w:tcW w:w="2598" w:type="dxa"/>
                  <w:vMerge/>
                  <w:tcBorders>
                    <w:top w:val="nil"/>
                    <w:left w:val="nil"/>
                    <w:bottom w:val="nil"/>
                    <w:right w:val="nil"/>
                  </w:tcBorders>
                </w:tcPr>
                <w:p w14:paraId="0BA618CB" w14:textId="77777777" w:rsidR="00C04CAD" w:rsidRDefault="00C04CAD">
                  <w:pPr>
                    <w:tabs>
                      <w:tab w:val="clear" w:pos="567"/>
                    </w:tabs>
                    <w:suppressAutoHyphens/>
                    <w:autoSpaceDE w:val="0"/>
                    <w:autoSpaceDN w:val="0"/>
                    <w:adjustRightInd w:val="0"/>
                    <w:spacing w:line="240" w:lineRule="auto"/>
                    <w:textAlignment w:val="center"/>
                    <w:rPr>
                      <w:rFonts w:eastAsia="MS Gothic"/>
                      <w:b/>
                      <w:bCs/>
                      <w:color w:val="000000"/>
                      <w:szCs w:val="22"/>
                      <w:lang w:eastAsia="ja-JP" w:bidi="ar-SA"/>
                    </w:rPr>
                  </w:pPr>
                </w:p>
              </w:tc>
              <w:tc>
                <w:tcPr>
                  <w:tcW w:w="3593" w:type="dxa"/>
                  <w:tcBorders>
                    <w:top w:val="nil"/>
                    <w:left w:val="nil"/>
                    <w:bottom w:val="nil"/>
                    <w:right w:val="nil"/>
                  </w:tcBorders>
                  <w:vAlign w:val="center"/>
                </w:tcPr>
                <w:p w14:paraId="7E11C922" w14:textId="77777777" w:rsidR="00C04CAD" w:rsidRDefault="00C04CAD">
                  <w:pPr>
                    <w:tabs>
                      <w:tab w:val="clear" w:pos="567"/>
                    </w:tabs>
                    <w:suppressAutoHyphens/>
                    <w:autoSpaceDE w:val="0"/>
                    <w:autoSpaceDN w:val="0"/>
                    <w:adjustRightInd w:val="0"/>
                    <w:spacing w:line="240" w:lineRule="auto"/>
                    <w:ind w:left="-36"/>
                    <w:textAlignment w:val="center"/>
                    <w:rPr>
                      <w:rFonts w:eastAsia="MS Gothic"/>
                      <w:bCs/>
                      <w:color w:val="000000"/>
                      <w:szCs w:val="22"/>
                      <w:lang w:eastAsia="ja-JP" w:bidi="ar-SA"/>
                    </w:rPr>
                  </w:pPr>
                </w:p>
                <w:p w14:paraId="0B5E0FB2" w14:textId="77777777" w:rsidR="00C04CAD" w:rsidRDefault="00060E34">
                  <w:pPr>
                    <w:tabs>
                      <w:tab w:val="clear" w:pos="567"/>
                    </w:tabs>
                    <w:suppressAutoHyphens/>
                    <w:autoSpaceDE w:val="0"/>
                    <w:autoSpaceDN w:val="0"/>
                    <w:adjustRightInd w:val="0"/>
                    <w:spacing w:line="240" w:lineRule="auto"/>
                    <w:ind w:left="-36"/>
                    <w:textAlignment w:val="center"/>
                    <w:rPr>
                      <w:rFonts w:eastAsia="MS Gothic"/>
                      <w:bCs/>
                      <w:color w:val="000000"/>
                      <w:szCs w:val="22"/>
                      <w:lang w:eastAsia="ja-JP" w:bidi="ar-SA"/>
                    </w:rPr>
                  </w:pPr>
                  <w:r>
                    <w:rPr>
                      <w:rFonts w:eastAsia="PMingLiU"/>
                      <w:bCs/>
                      <w:color w:val="000000"/>
                      <w:szCs w:val="22"/>
                      <w:lang w:eastAsia="ja-JP" w:bidi="ar-SA"/>
                    </w:rPr>
                    <w:t>Coapsă</w:t>
                  </w:r>
                </w:p>
              </w:tc>
            </w:tr>
          </w:tbl>
          <w:p w14:paraId="60A0D155" w14:textId="77777777" w:rsidR="00C04CAD" w:rsidRDefault="00C04CAD">
            <w:pPr>
              <w:tabs>
                <w:tab w:val="clear" w:pos="567"/>
              </w:tabs>
              <w:autoSpaceDE w:val="0"/>
              <w:autoSpaceDN w:val="0"/>
              <w:adjustRightInd w:val="0"/>
              <w:spacing w:line="240" w:lineRule="auto"/>
              <w:rPr>
                <w:rFonts w:eastAsia="MS Gothic"/>
                <w:szCs w:val="22"/>
                <w:lang w:eastAsia="en-US" w:bidi="ar-SA"/>
              </w:rPr>
            </w:pPr>
          </w:p>
        </w:tc>
      </w:tr>
      <w:tr w:rsidR="00C04CAD" w14:paraId="6110EE83" w14:textId="77777777">
        <w:trPr>
          <w:cantSplit/>
          <w:trHeight w:val="355"/>
        </w:trPr>
        <w:tc>
          <w:tcPr>
            <w:tcW w:w="5000" w:type="pct"/>
            <w:gridSpan w:val="2"/>
            <w:tcBorders>
              <w:top w:val="nil"/>
              <w:bottom w:val="nil"/>
            </w:tcBorders>
            <w:tcMar>
              <w:top w:w="28" w:type="dxa"/>
              <w:left w:w="57" w:type="dxa"/>
              <w:bottom w:w="28" w:type="dxa"/>
              <w:right w:w="57" w:type="dxa"/>
            </w:tcMar>
          </w:tcPr>
          <w:p w14:paraId="4B2B8EC5" w14:textId="77777777" w:rsidR="00C04CAD" w:rsidRDefault="00060E34">
            <w:pPr>
              <w:tabs>
                <w:tab w:val="clear" w:pos="567"/>
              </w:tabs>
              <w:suppressAutoHyphens/>
              <w:autoSpaceDE w:val="0"/>
              <w:autoSpaceDN w:val="0"/>
              <w:adjustRightInd w:val="0"/>
              <w:spacing w:line="240" w:lineRule="auto"/>
              <w:textAlignment w:val="center"/>
              <w:rPr>
                <w:rFonts w:eastAsia="MS Gothic"/>
                <w:b/>
                <w:bCs/>
                <w:color w:val="000000"/>
                <w:szCs w:val="22"/>
                <w:lang w:eastAsia="en-US" w:bidi="ar-SA"/>
              </w:rPr>
            </w:pPr>
            <w:r>
              <w:rPr>
                <w:rFonts w:eastAsia="MS Gothic"/>
                <w:b/>
                <w:bCs/>
                <w:color w:val="000000"/>
                <w:szCs w:val="22"/>
                <w:lang w:eastAsia="en-US" w:bidi="ar-SA"/>
              </w:rPr>
              <w:t>Pute</w:t>
            </w:r>
            <w:r>
              <w:rPr>
                <w:b/>
                <w:bCs/>
                <w:color w:val="000000"/>
                <w:szCs w:val="22"/>
                <w:lang w:eastAsia="en-US" w:bidi="ar-SA"/>
              </w:rPr>
              <w:t>ț</w:t>
            </w:r>
            <w:r>
              <w:rPr>
                <w:rFonts w:eastAsia="MS Gothic"/>
                <w:b/>
                <w:bCs/>
                <w:color w:val="000000"/>
                <w:szCs w:val="22"/>
                <w:lang w:eastAsia="en-US" w:bidi="ar-SA"/>
              </w:rPr>
              <w:t>i utiliza:</w:t>
            </w:r>
          </w:p>
        </w:tc>
      </w:tr>
      <w:tr w:rsidR="00C04CAD" w14:paraId="708673F9" w14:textId="77777777">
        <w:tc>
          <w:tcPr>
            <w:tcW w:w="303" w:type="pct"/>
            <w:tcBorders>
              <w:top w:val="nil"/>
              <w:bottom w:val="nil"/>
              <w:right w:val="nil"/>
            </w:tcBorders>
            <w:tcMar>
              <w:top w:w="28" w:type="dxa"/>
              <w:left w:w="57" w:type="dxa"/>
              <w:bottom w:w="28" w:type="dxa"/>
              <w:right w:w="57" w:type="dxa"/>
            </w:tcMar>
          </w:tcPr>
          <w:p w14:paraId="619AF459"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697" w:type="pct"/>
            <w:tcBorders>
              <w:top w:val="nil"/>
              <w:left w:val="nil"/>
              <w:bottom w:val="nil"/>
            </w:tcBorders>
            <w:tcMar>
              <w:left w:w="57" w:type="dxa"/>
            </w:tcMar>
          </w:tcPr>
          <w:p w14:paraId="109CF598"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color w:val="000000"/>
                <w:szCs w:val="22"/>
                <w:lang w:eastAsia="en-US" w:bidi="ar-SA"/>
              </w:rPr>
              <w:t xml:space="preserve">Coapsa </w:t>
            </w:r>
          </w:p>
        </w:tc>
      </w:tr>
      <w:tr w:rsidR="00C04CAD" w14:paraId="11755124" w14:textId="77777777">
        <w:tc>
          <w:tcPr>
            <w:tcW w:w="303" w:type="pct"/>
            <w:tcBorders>
              <w:top w:val="nil"/>
              <w:bottom w:val="nil"/>
              <w:right w:val="nil"/>
            </w:tcBorders>
            <w:tcMar>
              <w:top w:w="28" w:type="dxa"/>
              <w:left w:w="57" w:type="dxa"/>
              <w:bottom w:w="28" w:type="dxa"/>
              <w:right w:w="57" w:type="dxa"/>
            </w:tcMar>
          </w:tcPr>
          <w:p w14:paraId="711C1AA7"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697" w:type="pct"/>
            <w:tcBorders>
              <w:top w:val="nil"/>
              <w:left w:val="nil"/>
              <w:bottom w:val="nil"/>
            </w:tcBorders>
            <w:tcMar>
              <w:left w:w="57" w:type="dxa"/>
            </w:tcMar>
          </w:tcPr>
          <w:p w14:paraId="5E377AF7"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szCs w:val="22"/>
                <w:lang w:eastAsia="en-US" w:bidi="ar-SA"/>
              </w:rPr>
              <w:t>Abdomenul, cu excepţia zonei de 5 cm din jurul ombilicului</w:t>
            </w:r>
          </w:p>
        </w:tc>
      </w:tr>
      <w:tr w:rsidR="00C04CAD" w14:paraId="0D83944B" w14:textId="77777777">
        <w:tc>
          <w:tcPr>
            <w:tcW w:w="5000" w:type="pct"/>
            <w:gridSpan w:val="2"/>
            <w:tcBorders>
              <w:top w:val="nil"/>
              <w:bottom w:val="nil"/>
            </w:tcBorders>
            <w:tcMar>
              <w:top w:w="28" w:type="dxa"/>
              <w:left w:w="57" w:type="dxa"/>
              <w:bottom w:w="28" w:type="dxa"/>
              <w:right w:w="57" w:type="dxa"/>
            </w:tcMar>
          </w:tcPr>
          <w:p w14:paraId="5CB68BC6" w14:textId="77777777" w:rsidR="00C04CAD" w:rsidRDefault="00C04CAD">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p>
          <w:p w14:paraId="621CFF86"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color w:val="000000"/>
                <w:szCs w:val="22"/>
                <w:lang w:eastAsia="en-US" w:bidi="ar-SA"/>
              </w:rPr>
              <w:t>Dezinfectaţi locul de administrare a injecţiei cu un tampon cu alcool. Lăsaţi pielea să se usuce.</w:t>
            </w:r>
          </w:p>
        </w:tc>
      </w:tr>
      <w:tr w:rsidR="00C04CAD" w14:paraId="0A1592B4" w14:textId="77777777">
        <w:tc>
          <w:tcPr>
            <w:tcW w:w="303" w:type="pct"/>
            <w:tcBorders>
              <w:top w:val="nil"/>
              <w:bottom w:val="nil"/>
              <w:right w:val="nil"/>
            </w:tcBorders>
            <w:tcMar>
              <w:top w:w="28" w:type="dxa"/>
              <w:left w:w="57" w:type="dxa"/>
              <w:bottom w:w="28" w:type="dxa"/>
              <w:right w:w="57" w:type="dxa"/>
            </w:tcMar>
          </w:tcPr>
          <w:p w14:paraId="0BDCC835"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697" w:type="pct"/>
            <w:tcBorders>
              <w:top w:val="nil"/>
              <w:left w:val="nil"/>
              <w:bottom w:val="nil"/>
            </w:tcBorders>
            <w:tcMar>
              <w:left w:w="57" w:type="dxa"/>
            </w:tcMar>
          </w:tcPr>
          <w:p w14:paraId="2FF94D41"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PMingLiU"/>
                <w:b/>
                <w:color w:val="000000"/>
                <w:szCs w:val="22"/>
                <w:lang w:eastAsia="ja-JP" w:bidi="ar-SA"/>
              </w:rPr>
              <w:t xml:space="preserve">NU </w:t>
            </w:r>
            <w:r>
              <w:rPr>
                <w:rFonts w:eastAsia="PMingLiU"/>
                <w:color w:val="000000"/>
                <w:szCs w:val="22"/>
                <w:lang w:eastAsia="ja-JP" w:bidi="ar-SA"/>
              </w:rPr>
              <w:t>mai atingeţi această zonă înainte de injectare</w:t>
            </w:r>
            <w:r>
              <w:rPr>
                <w:rFonts w:eastAsia="MS Gothic"/>
                <w:color w:val="000000"/>
                <w:szCs w:val="22"/>
                <w:lang w:eastAsia="en-US" w:bidi="ar-SA"/>
              </w:rPr>
              <w:t>.</w:t>
            </w:r>
          </w:p>
        </w:tc>
      </w:tr>
      <w:tr w:rsidR="00C04CAD" w14:paraId="44011406" w14:textId="77777777">
        <w:tc>
          <w:tcPr>
            <w:tcW w:w="303" w:type="pct"/>
            <w:tcBorders>
              <w:top w:val="nil"/>
              <w:bottom w:val="nil"/>
              <w:right w:val="nil"/>
            </w:tcBorders>
            <w:tcMar>
              <w:top w:w="28" w:type="dxa"/>
              <w:left w:w="57" w:type="dxa"/>
              <w:bottom w:w="28" w:type="dxa"/>
              <w:right w:w="57" w:type="dxa"/>
            </w:tcMar>
          </w:tcPr>
          <w:p w14:paraId="78A9BFEE"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697" w:type="pct"/>
            <w:tcBorders>
              <w:top w:val="nil"/>
              <w:left w:val="nil"/>
              <w:bottom w:val="nil"/>
            </w:tcBorders>
            <w:tcMar>
              <w:left w:w="57" w:type="dxa"/>
            </w:tcMar>
          </w:tcPr>
          <w:p w14:paraId="233504AD"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szCs w:val="22"/>
                <w:lang w:eastAsia="en-US" w:bidi="ar-SA"/>
              </w:rPr>
              <w:t>Dacă dori</w:t>
            </w:r>
            <w:r>
              <w:rPr>
                <w:szCs w:val="22"/>
                <w:lang w:eastAsia="en-US" w:bidi="ar-SA"/>
              </w:rPr>
              <w:t>ț</w:t>
            </w:r>
            <w:r>
              <w:rPr>
                <w:rFonts w:eastAsia="MS Gothic"/>
                <w:szCs w:val="22"/>
                <w:lang w:eastAsia="en-US" w:bidi="ar-SA"/>
              </w:rPr>
              <w:t>i să utilizaţi acelaşi loc de injectare, asiguraţi-vă că nu injectaţi în acelaşi punct de la locul de injectare, pe care l-a</w:t>
            </w:r>
            <w:r>
              <w:rPr>
                <w:szCs w:val="22"/>
                <w:lang w:eastAsia="en-US" w:bidi="ar-SA"/>
              </w:rPr>
              <w:t>ț</w:t>
            </w:r>
            <w:r>
              <w:rPr>
                <w:rFonts w:eastAsia="MS Gothic"/>
                <w:szCs w:val="22"/>
                <w:lang w:eastAsia="en-US" w:bidi="ar-SA"/>
              </w:rPr>
              <w:t>i utilizat la injectarea anterioară.</w:t>
            </w:r>
          </w:p>
        </w:tc>
      </w:tr>
      <w:tr w:rsidR="00C04CAD" w14:paraId="194B387D" w14:textId="77777777">
        <w:tc>
          <w:tcPr>
            <w:tcW w:w="303" w:type="pct"/>
            <w:tcBorders>
              <w:top w:val="nil"/>
              <w:bottom w:val="nil"/>
              <w:right w:val="nil"/>
            </w:tcBorders>
            <w:tcMar>
              <w:top w:w="28" w:type="dxa"/>
              <w:left w:w="57" w:type="dxa"/>
              <w:bottom w:w="28" w:type="dxa"/>
              <w:right w:w="57" w:type="dxa"/>
            </w:tcMar>
          </w:tcPr>
          <w:p w14:paraId="786A0657" w14:textId="77777777" w:rsidR="00C04CAD" w:rsidRDefault="00C04CAD">
            <w:pPr>
              <w:tabs>
                <w:tab w:val="clear" w:pos="567"/>
              </w:tabs>
              <w:autoSpaceDE w:val="0"/>
              <w:autoSpaceDN w:val="0"/>
              <w:adjustRightInd w:val="0"/>
              <w:spacing w:line="240" w:lineRule="auto"/>
              <w:rPr>
                <w:rFonts w:eastAsia="MS Gothic"/>
                <w:color w:val="000000"/>
                <w:szCs w:val="22"/>
                <w:lang w:eastAsia="en-US" w:bidi="ar-SA"/>
              </w:rPr>
            </w:pPr>
          </w:p>
        </w:tc>
        <w:tc>
          <w:tcPr>
            <w:tcW w:w="4697" w:type="pct"/>
            <w:tcBorders>
              <w:top w:val="nil"/>
              <w:left w:val="nil"/>
              <w:bottom w:val="nil"/>
            </w:tcBorders>
            <w:tcMar>
              <w:left w:w="57" w:type="dxa"/>
            </w:tcMar>
          </w:tcPr>
          <w:p w14:paraId="1682217B" w14:textId="77777777" w:rsidR="00C04CAD" w:rsidRDefault="00060E34">
            <w:pPr>
              <w:numPr>
                <w:ilvl w:val="0"/>
                <w:numId w:val="67"/>
              </w:numPr>
              <w:tabs>
                <w:tab w:val="clear" w:pos="567"/>
              </w:tabs>
              <w:autoSpaceDE w:val="0"/>
              <w:autoSpaceDN w:val="0"/>
              <w:adjustRightInd w:val="0"/>
              <w:spacing w:line="240" w:lineRule="auto"/>
              <w:ind w:left="567" w:hanging="567"/>
              <w:contextualSpacing/>
              <w:rPr>
                <w:rFonts w:eastAsia="MS Gothic"/>
                <w:szCs w:val="22"/>
                <w:lang w:eastAsia="en-US" w:bidi="ar-SA"/>
              </w:rPr>
            </w:pPr>
            <w:r>
              <w:rPr>
                <w:rFonts w:eastAsia="MS Gothic"/>
                <w:b/>
                <w:szCs w:val="22"/>
                <w:lang w:eastAsia="en-US" w:bidi="ar-SA"/>
              </w:rPr>
              <w:t xml:space="preserve">Nu </w:t>
            </w:r>
            <w:r>
              <w:rPr>
                <w:rFonts w:eastAsia="MS Gothic"/>
                <w:szCs w:val="22"/>
                <w:lang w:eastAsia="en-US" w:bidi="ar-SA"/>
              </w:rPr>
              <w:t>injecta</w:t>
            </w:r>
            <w:r>
              <w:rPr>
                <w:szCs w:val="22"/>
                <w:lang w:eastAsia="en-US" w:bidi="ar-SA"/>
              </w:rPr>
              <w:t>ț</w:t>
            </w:r>
            <w:r>
              <w:rPr>
                <w:rFonts w:eastAsia="MS Gothic"/>
                <w:szCs w:val="22"/>
                <w:lang w:eastAsia="en-US" w:bidi="ar-SA"/>
              </w:rPr>
              <w:t>i în zone în care pielea prezintă sensibilitate, vânătăi, roşeaţă sau unde este întărită. Evitaţi injectarea în zonele cu cicatrice sau vergeturi.</w:t>
            </w:r>
          </w:p>
        </w:tc>
      </w:tr>
      <w:tr w:rsidR="00C04CAD" w14:paraId="7A89C402" w14:textId="77777777">
        <w:tc>
          <w:tcPr>
            <w:tcW w:w="303" w:type="pct"/>
            <w:tcBorders>
              <w:top w:val="nil"/>
              <w:right w:val="nil"/>
            </w:tcBorders>
            <w:tcMar>
              <w:top w:w="28" w:type="dxa"/>
              <w:left w:w="57" w:type="dxa"/>
              <w:bottom w:w="28" w:type="dxa"/>
              <w:right w:w="57" w:type="dxa"/>
            </w:tcMar>
          </w:tcPr>
          <w:p w14:paraId="75C2CDDA" w14:textId="77777777" w:rsidR="00C04CAD" w:rsidRDefault="00060E34">
            <w:pPr>
              <w:tabs>
                <w:tab w:val="clear" w:pos="567"/>
              </w:tabs>
              <w:autoSpaceDE w:val="0"/>
              <w:autoSpaceDN w:val="0"/>
              <w:adjustRightInd w:val="0"/>
              <w:spacing w:line="240" w:lineRule="auto"/>
              <w:rPr>
                <w:rFonts w:eastAsia="MS Gothic"/>
                <w:szCs w:val="22"/>
                <w:lang w:eastAsia="en-US" w:bidi="ar-SA"/>
              </w:rPr>
            </w:pPr>
            <w:r>
              <w:rPr>
                <w:color w:val="000000"/>
                <w:szCs w:val="22"/>
                <w:lang w:eastAsia="en-US" w:bidi="ar-SA"/>
              </w:rPr>
              <w:t>●</w:t>
            </w:r>
          </w:p>
        </w:tc>
        <w:tc>
          <w:tcPr>
            <w:tcW w:w="4697" w:type="pct"/>
            <w:tcBorders>
              <w:top w:val="nil"/>
              <w:left w:val="nil"/>
            </w:tcBorders>
            <w:tcMar>
              <w:left w:w="57" w:type="dxa"/>
            </w:tcMar>
          </w:tcPr>
          <w:p w14:paraId="4D60181C" w14:textId="77777777" w:rsidR="00C04CAD" w:rsidRDefault="00060E34">
            <w:pPr>
              <w:tabs>
                <w:tab w:val="clear" w:pos="567"/>
              </w:tabs>
              <w:suppressAutoHyphens/>
              <w:autoSpaceDE w:val="0"/>
              <w:autoSpaceDN w:val="0"/>
              <w:adjustRightInd w:val="0"/>
              <w:spacing w:line="240" w:lineRule="auto"/>
              <w:textAlignment w:val="center"/>
              <w:rPr>
                <w:rFonts w:eastAsia="MS Gothic"/>
                <w:color w:val="000000"/>
                <w:szCs w:val="22"/>
                <w:lang w:eastAsia="en-US" w:bidi="ar-SA"/>
              </w:rPr>
            </w:pPr>
            <w:r>
              <w:rPr>
                <w:rFonts w:eastAsia="MS Gothic"/>
                <w:color w:val="000000"/>
                <w:szCs w:val="22"/>
                <w:lang w:eastAsia="en-US" w:bidi="ar-SA"/>
              </w:rPr>
              <w:t>Dacă ave</w:t>
            </w:r>
            <w:r>
              <w:rPr>
                <w:color w:val="000000"/>
                <w:szCs w:val="22"/>
                <w:lang w:eastAsia="en-US" w:bidi="ar-SA"/>
              </w:rPr>
              <w:t>ț</w:t>
            </w:r>
            <w:r>
              <w:rPr>
                <w:rFonts w:eastAsia="MS Gothic"/>
                <w:color w:val="000000"/>
                <w:szCs w:val="22"/>
                <w:lang w:eastAsia="en-US" w:bidi="ar-SA"/>
              </w:rPr>
              <w:t>i psoriasis, trebuie să evita</w:t>
            </w:r>
            <w:r>
              <w:rPr>
                <w:color w:val="000000"/>
                <w:szCs w:val="22"/>
                <w:lang w:eastAsia="en-US" w:bidi="ar-SA"/>
              </w:rPr>
              <w:t>ț</w:t>
            </w:r>
            <w:r>
              <w:rPr>
                <w:rFonts w:eastAsia="MS Gothic"/>
                <w:color w:val="000000"/>
                <w:szCs w:val="22"/>
                <w:lang w:eastAsia="en-US" w:bidi="ar-SA"/>
              </w:rPr>
              <w:t>i injectarea direct în zonele cu plăci sau leziuni reliefate, îngroşate, cu roşeaţă sau cu cruste.</w:t>
            </w:r>
          </w:p>
        </w:tc>
      </w:tr>
    </w:tbl>
    <w:p w14:paraId="123178C4"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0E7F2767" w14:textId="77777777">
        <w:tc>
          <w:tcPr>
            <w:tcW w:w="5000" w:type="pct"/>
            <w:tcMar>
              <w:top w:w="28" w:type="dxa"/>
              <w:left w:w="57" w:type="dxa"/>
              <w:bottom w:w="28" w:type="dxa"/>
              <w:right w:w="57" w:type="dxa"/>
            </w:tcMar>
          </w:tcPr>
          <w:p w14:paraId="0EF2AA62" w14:textId="77777777" w:rsidR="00C04CAD" w:rsidRDefault="00060E34">
            <w:pPr>
              <w:keepLines/>
              <w:tabs>
                <w:tab w:val="clear" w:pos="567"/>
              </w:tabs>
              <w:suppressAutoHyphens/>
              <w:autoSpaceDE w:val="0"/>
              <w:autoSpaceDN w:val="0"/>
              <w:adjustRightInd w:val="0"/>
              <w:spacing w:line="240" w:lineRule="auto"/>
              <w:jc w:val="center"/>
              <w:textAlignment w:val="center"/>
              <w:rPr>
                <w:b/>
                <w:bCs/>
                <w:color w:val="000000"/>
                <w:szCs w:val="22"/>
                <w:lang w:eastAsia="en-US" w:bidi="ar-SA"/>
              </w:rPr>
            </w:pPr>
            <w:r>
              <w:rPr>
                <w:b/>
                <w:bCs/>
                <w:szCs w:val="22"/>
                <w:lang w:eastAsia="en-US" w:bidi="ar-SA"/>
              </w:rPr>
              <w:t>Etapa 2: Pregătire</w:t>
            </w:r>
          </w:p>
        </w:tc>
      </w:tr>
    </w:tbl>
    <w:p w14:paraId="3F175DEE" w14:textId="77777777" w:rsidR="00C04CAD" w:rsidRDefault="00C04CAD">
      <w:pPr>
        <w:keepLines/>
        <w:tabs>
          <w:tab w:val="clear" w:pos="567"/>
        </w:tabs>
        <w:autoSpaceDE w:val="0"/>
        <w:autoSpaceDN w:val="0"/>
        <w:adjustRightInd w:val="0"/>
        <w:spacing w:line="240" w:lineRule="auto"/>
        <w:ind w:left="567" w:hanging="567"/>
        <w:rPr>
          <w:b/>
          <w:bCs/>
          <w:szCs w:val="22"/>
          <w:lang w:eastAsia="en-US" w:bidi="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7806B489" w14:textId="77777777">
        <w:tc>
          <w:tcPr>
            <w:tcW w:w="303" w:type="pct"/>
            <w:tcMar>
              <w:top w:w="28" w:type="dxa"/>
              <w:left w:w="57" w:type="dxa"/>
              <w:bottom w:w="28" w:type="dxa"/>
              <w:right w:w="57" w:type="dxa"/>
            </w:tcMar>
          </w:tcPr>
          <w:p w14:paraId="7E7B402F"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E.</w:t>
            </w:r>
          </w:p>
        </w:tc>
        <w:tc>
          <w:tcPr>
            <w:tcW w:w="4697" w:type="pct"/>
            <w:tcMar>
              <w:top w:w="28" w:type="dxa"/>
              <w:left w:w="57" w:type="dxa"/>
              <w:bottom w:w="28" w:type="dxa"/>
              <w:right w:w="57" w:type="dxa"/>
            </w:tcMar>
          </w:tcPr>
          <w:p w14:paraId="595A4B46"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rFonts w:eastAsia="PMingLiU"/>
                <w:szCs w:val="22"/>
                <w:lang w:eastAsia="ja-JP" w:bidi="ar-SA"/>
              </w:rPr>
              <w:t>Trageţi de capacul de protecție a acului dintr-o mişcare, în direcţia opusă corpului, atunci când sunteți pregătit pentru injectare.</w:t>
            </w:r>
          </w:p>
        </w:tc>
      </w:tr>
      <w:tr w:rsidR="00C04CAD" w14:paraId="4F4A6380" w14:textId="77777777">
        <w:trPr>
          <w:trHeight w:val="227"/>
        </w:trPr>
        <w:tc>
          <w:tcPr>
            <w:tcW w:w="5000" w:type="pct"/>
            <w:gridSpan w:val="2"/>
            <w:tcBorders>
              <w:bottom w:val="nil"/>
            </w:tcBorders>
            <w:tcMar>
              <w:top w:w="28" w:type="dxa"/>
              <w:left w:w="57" w:type="dxa"/>
              <w:bottom w:w="28" w:type="dxa"/>
              <w:right w:w="57" w:type="dxa"/>
            </w:tcMar>
          </w:tcPr>
          <w:p w14:paraId="3448F27E" w14:textId="77777777" w:rsidR="00C04CAD" w:rsidRDefault="00060E34">
            <w:pPr>
              <w:tabs>
                <w:tab w:val="clear" w:pos="567"/>
              </w:tabs>
              <w:suppressAutoHyphens/>
              <w:autoSpaceDE w:val="0"/>
              <w:autoSpaceDN w:val="0"/>
              <w:adjustRightInd w:val="0"/>
              <w:spacing w:line="240" w:lineRule="auto"/>
              <w:textAlignment w:val="center"/>
              <w:rPr>
                <w:b/>
                <w:sz w:val="10"/>
                <w:szCs w:val="10"/>
                <w:lang w:eastAsia="en-GB"/>
              </w:rPr>
            </w:pPr>
            <w:r>
              <w:rPr>
                <w:noProof/>
              </w:rPr>
              <w:drawing>
                <wp:anchor distT="0" distB="0" distL="114300" distR="114300" simplePos="0" relativeHeight="251708416" behindDoc="1" locked="0" layoutInCell="1" allowOverlap="1" wp14:anchorId="5EE7AEFB" wp14:editId="7930BD81">
                  <wp:simplePos x="0" y="0"/>
                  <wp:positionH relativeFrom="column">
                    <wp:posOffset>1905</wp:posOffset>
                  </wp:positionH>
                  <wp:positionV relativeFrom="paragraph">
                    <wp:posOffset>635</wp:posOffset>
                  </wp:positionV>
                  <wp:extent cx="1655445" cy="2109470"/>
                  <wp:effectExtent l="0" t="0" r="0" b="0"/>
                  <wp:wrapTight wrapText="bothSides">
                    <wp:wrapPolygon edited="0">
                      <wp:start x="0" y="0"/>
                      <wp:lineTo x="0" y="21457"/>
                      <wp:lineTo x="21376" y="21457"/>
                      <wp:lineTo x="21376" y="0"/>
                      <wp:lineTo x="0" y="0"/>
                    </wp:wrapPolygon>
                  </wp:wrapTight>
                  <wp:docPr id="7317691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69112"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655445" cy="2109470"/>
                          </a:xfrm>
                          <a:prstGeom prst="rect">
                            <a:avLst/>
                          </a:prstGeom>
                          <a:noFill/>
                        </pic:spPr>
                      </pic:pic>
                    </a:graphicData>
                  </a:graphic>
                </wp:anchor>
              </w:drawing>
            </w:r>
          </w:p>
          <w:p w14:paraId="6D8B9606"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1F07649C"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79AB7508"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41B5B53C"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72F6860D"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768196F5"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6489271E"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7CAE9C50"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51AF90EA"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5757318E"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4714F88A"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0A8FABD0"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44BF10B2" w14:textId="77777777" w:rsidR="00C04CAD" w:rsidRDefault="00C04CAD">
            <w:pPr>
              <w:suppressAutoHyphens/>
              <w:autoSpaceDE w:val="0"/>
              <w:autoSpaceDN w:val="0"/>
              <w:adjustRightInd w:val="0"/>
              <w:spacing w:line="240" w:lineRule="auto"/>
              <w:textAlignment w:val="center"/>
              <w:rPr>
                <w:color w:val="000000"/>
                <w:szCs w:val="22"/>
                <w:lang w:eastAsia="en-US" w:bidi="ar-SA"/>
              </w:rPr>
            </w:pPr>
          </w:p>
          <w:p w14:paraId="70F0571A" w14:textId="77777777" w:rsidR="00C04CAD" w:rsidRDefault="00060E34">
            <w:pPr>
              <w:suppressAutoHyphens/>
              <w:autoSpaceDE w:val="0"/>
              <w:autoSpaceDN w:val="0"/>
              <w:adjustRightInd w:val="0"/>
              <w:spacing w:line="240" w:lineRule="auto"/>
              <w:textAlignment w:val="center"/>
              <w:rPr>
                <w:color w:val="000000"/>
                <w:sz w:val="24"/>
                <w:szCs w:val="22"/>
                <w:lang w:eastAsia="en-US" w:bidi="ar-SA"/>
              </w:rPr>
            </w:pPr>
            <w:r>
              <w:rPr>
                <w:color w:val="000000"/>
                <w:szCs w:val="22"/>
                <w:lang w:eastAsia="en-US" w:bidi="ar-SA"/>
              </w:rPr>
              <w:t>Este normal să se vadă o picătură de lichid la vârful acului.</w:t>
            </w:r>
          </w:p>
        </w:tc>
      </w:tr>
      <w:tr w:rsidR="00C04CAD" w14:paraId="418C63E6" w14:textId="77777777">
        <w:tc>
          <w:tcPr>
            <w:tcW w:w="303" w:type="pct"/>
            <w:tcBorders>
              <w:top w:val="nil"/>
              <w:bottom w:val="nil"/>
              <w:right w:val="nil"/>
            </w:tcBorders>
            <w:tcMar>
              <w:top w:w="28" w:type="dxa"/>
              <w:left w:w="57" w:type="dxa"/>
              <w:bottom w:w="28" w:type="dxa"/>
              <w:right w:w="57" w:type="dxa"/>
            </w:tcMar>
          </w:tcPr>
          <w:p w14:paraId="73D8046E"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412EF57C"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Nu</w:t>
            </w:r>
            <w:r>
              <w:rPr>
                <w:bCs/>
                <w:szCs w:val="22"/>
                <w:lang w:eastAsia="en-US" w:bidi="ar-SA"/>
              </w:rPr>
              <w:t xml:space="preserve"> răsuciți sau îndoiți capacul de protecție a acului</w:t>
            </w:r>
            <w:r>
              <w:rPr>
                <w:szCs w:val="22"/>
                <w:lang w:eastAsia="en-US" w:bidi="ar-SA"/>
              </w:rPr>
              <w:t>.</w:t>
            </w:r>
          </w:p>
        </w:tc>
      </w:tr>
      <w:tr w:rsidR="00C04CAD" w14:paraId="21BBA298" w14:textId="77777777">
        <w:tc>
          <w:tcPr>
            <w:tcW w:w="303" w:type="pct"/>
            <w:tcBorders>
              <w:top w:val="nil"/>
              <w:bottom w:val="nil"/>
              <w:right w:val="nil"/>
            </w:tcBorders>
            <w:tcMar>
              <w:top w:w="28" w:type="dxa"/>
              <w:left w:w="57" w:type="dxa"/>
              <w:bottom w:w="28" w:type="dxa"/>
              <w:right w:w="57" w:type="dxa"/>
            </w:tcMar>
          </w:tcPr>
          <w:p w14:paraId="41E13DD4"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790DCE98" w14:textId="77777777" w:rsidR="00C04CAD" w:rsidRDefault="00060E34">
            <w:pPr>
              <w:tabs>
                <w:tab w:val="clear" w:pos="567"/>
              </w:tabs>
              <w:autoSpaceDE w:val="0"/>
              <w:autoSpaceDN w:val="0"/>
              <w:adjustRightInd w:val="0"/>
              <w:spacing w:line="240" w:lineRule="auto"/>
              <w:ind w:left="720" w:hanging="720"/>
              <w:rPr>
                <w:szCs w:val="22"/>
                <w:lang w:eastAsia="en-US" w:bidi="ar-SA"/>
              </w:rPr>
            </w:pPr>
            <w:r>
              <w:rPr>
                <w:b/>
                <w:bCs/>
                <w:szCs w:val="22"/>
                <w:lang w:eastAsia="en-US" w:bidi="ar-SA"/>
              </w:rPr>
              <w:t xml:space="preserve">Nu </w:t>
            </w:r>
            <w:r>
              <w:rPr>
                <w:bCs/>
                <w:szCs w:val="22"/>
                <w:lang w:eastAsia="en-US" w:bidi="ar-SA"/>
              </w:rPr>
              <w:t>puneți capacul de protecție a acului, înapoi pe seringă.</w:t>
            </w:r>
          </w:p>
        </w:tc>
      </w:tr>
      <w:tr w:rsidR="00C04CAD" w14:paraId="45694CB3" w14:textId="77777777">
        <w:tc>
          <w:tcPr>
            <w:tcW w:w="303" w:type="pct"/>
            <w:tcBorders>
              <w:top w:val="nil"/>
              <w:bottom w:val="nil"/>
              <w:right w:val="nil"/>
            </w:tcBorders>
            <w:tcMar>
              <w:top w:w="28" w:type="dxa"/>
              <w:left w:w="57" w:type="dxa"/>
              <w:bottom w:w="28" w:type="dxa"/>
              <w:right w:w="57" w:type="dxa"/>
            </w:tcMar>
          </w:tcPr>
          <w:p w14:paraId="365960FC"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1DEA6D21" w14:textId="77777777" w:rsidR="00C04CAD" w:rsidRDefault="00060E34">
            <w:pPr>
              <w:tabs>
                <w:tab w:val="clear" w:pos="567"/>
                <w:tab w:val="left" w:pos="5520"/>
              </w:tabs>
              <w:autoSpaceDE w:val="0"/>
              <w:autoSpaceDN w:val="0"/>
              <w:adjustRightInd w:val="0"/>
              <w:spacing w:line="240" w:lineRule="auto"/>
              <w:rPr>
                <w:szCs w:val="22"/>
                <w:lang w:eastAsia="en-US" w:bidi="ar-SA"/>
              </w:rPr>
            </w:pPr>
            <w:r>
              <w:rPr>
                <w:b/>
                <w:bCs/>
                <w:szCs w:val="22"/>
                <w:lang w:eastAsia="en-US" w:bidi="ar-SA"/>
              </w:rPr>
              <w:t>Nu</w:t>
            </w:r>
            <w:r>
              <w:rPr>
                <w:bCs/>
                <w:szCs w:val="22"/>
                <w:lang w:eastAsia="en-US" w:bidi="ar-SA"/>
              </w:rPr>
              <w:t xml:space="preserve"> îndepărtați capacul de protecție a acului decât atunci când sunteți pregătit pentru injectare.</w:t>
            </w:r>
          </w:p>
        </w:tc>
      </w:tr>
      <w:tr w:rsidR="00C04CAD" w14:paraId="4EA00A88" w14:textId="77777777">
        <w:trPr>
          <w:trHeight w:val="397"/>
        </w:trPr>
        <w:tc>
          <w:tcPr>
            <w:tcW w:w="5000" w:type="pct"/>
            <w:gridSpan w:val="2"/>
            <w:tcBorders>
              <w:top w:val="nil"/>
            </w:tcBorders>
            <w:tcMar>
              <w:top w:w="28" w:type="dxa"/>
              <w:left w:w="57" w:type="dxa"/>
              <w:bottom w:w="28" w:type="dxa"/>
              <w:right w:w="57" w:type="dxa"/>
            </w:tcMar>
            <w:vAlign w:val="center"/>
          </w:tcPr>
          <w:p w14:paraId="73B05454" w14:textId="77777777" w:rsidR="00C04CAD" w:rsidRDefault="00060E34">
            <w:pPr>
              <w:tabs>
                <w:tab w:val="clear" w:pos="567"/>
                <w:tab w:val="left" w:pos="5520"/>
              </w:tabs>
              <w:autoSpaceDE w:val="0"/>
              <w:autoSpaceDN w:val="0"/>
              <w:adjustRightInd w:val="0"/>
              <w:spacing w:line="240" w:lineRule="auto"/>
              <w:rPr>
                <w:b/>
                <w:bCs/>
                <w:szCs w:val="22"/>
                <w:lang w:eastAsia="en-US" w:bidi="ar-SA"/>
              </w:rPr>
            </w:pPr>
            <w:r>
              <w:rPr>
                <w:b/>
                <w:bCs/>
                <w:szCs w:val="22"/>
                <w:lang w:eastAsia="en-US" w:bidi="ar-SA"/>
              </w:rPr>
              <w:t xml:space="preserve">Important: </w:t>
            </w:r>
            <w:r>
              <w:rPr>
                <w:bCs/>
                <w:szCs w:val="22"/>
                <w:lang w:eastAsia="en-US" w:bidi="ar-SA"/>
              </w:rPr>
              <w:t>Capacul de protecție a acului trebuie eliminat în containerul furnizat pentru colectarea obiectelor ascuțite.</w:t>
            </w:r>
          </w:p>
        </w:tc>
      </w:tr>
    </w:tbl>
    <w:p w14:paraId="6CC0F286" w14:textId="77777777" w:rsidR="00C04CAD" w:rsidRDefault="00C04CAD">
      <w:pPr>
        <w:numPr>
          <w:ilvl w:val="12"/>
          <w:numId w:val="0"/>
        </w:numPr>
        <w:tabs>
          <w:tab w:val="clear" w:pos="567"/>
        </w:tabs>
        <w:spacing w:line="240" w:lineRule="auto"/>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C04CAD" w14:paraId="1A667F29" w14:textId="77777777">
        <w:tc>
          <w:tcPr>
            <w:tcW w:w="294" w:type="pct"/>
            <w:tcMar>
              <w:top w:w="28" w:type="dxa"/>
              <w:left w:w="57" w:type="dxa"/>
              <w:bottom w:w="28" w:type="dxa"/>
              <w:right w:w="57" w:type="dxa"/>
            </w:tcMar>
          </w:tcPr>
          <w:p w14:paraId="4124E6D5"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F.</w:t>
            </w:r>
          </w:p>
        </w:tc>
        <w:tc>
          <w:tcPr>
            <w:tcW w:w="4706" w:type="pct"/>
            <w:tcMar>
              <w:top w:w="28" w:type="dxa"/>
              <w:left w:w="57" w:type="dxa"/>
              <w:bottom w:w="28" w:type="dxa"/>
              <w:right w:w="57" w:type="dxa"/>
            </w:tcMar>
          </w:tcPr>
          <w:p w14:paraId="3FB83F70"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szCs w:val="22"/>
                <w:lang w:eastAsia="en-US" w:bidi="ar-SA"/>
              </w:rPr>
              <w:t>Prindeți între degete locul de injectare pentru a crea o suprafață fermă.</w:t>
            </w:r>
          </w:p>
        </w:tc>
      </w:tr>
      <w:tr w:rsidR="00C04CAD" w14:paraId="663FE629" w14:textId="77777777">
        <w:tc>
          <w:tcPr>
            <w:tcW w:w="5000" w:type="pct"/>
            <w:gridSpan w:val="2"/>
            <w:tcBorders>
              <w:top w:val="nil"/>
              <w:bottom w:val="nil"/>
            </w:tcBorders>
            <w:tcMar>
              <w:top w:w="28" w:type="dxa"/>
              <w:left w:w="57" w:type="dxa"/>
              <w:bottom w:w="28" w:type="dxa"/>
              <w:right w:w="57" w:type="dxa"/>
            </w:tcMar>
          </w:tcPr>
          <w:p w14:paraId="692908B5" w14:textId="77777777" w:rsidR="00C04CAD" w:rsidRDefault="00060E34">
            <w:pPr>
              <w:tabs>
                <w:tab w:val="clear" w:pos="567"/>
              </w:tabs>
              <w:autoSpaceDE w:val="0"/>
              <w:autoSpaceDN w:val="0"/>
              <w:adjustRightInd w:val="0"/>
              <w:spacing w:line="240" w:lineRule="auto"/>
              <w:ind w:left="720" w:hanging="720"/>
              <w:rPr>
                <w:b/>
                <w:bCs/>
                <w:sz w:val="24"/>
                <w:szCs w:val="22"/>
                <w:lang w:eastAsia="en-US" w:bidi="ar-SA"/>
              </w:rPr>
            </w:pPr>
            <w:r>
              <w:rPr>
                <w:noProof/>
                <w:szCs w:val="22"/>
                <w:lang w:val="en-US" w:eastAsia="zh-CN" w:bidi="ar-SA"/>
              </w:rPr>
              <w:drawing>
                <wp:inline distT="0" distB="0" distL="0" distR="0" wp14:anchorId="5DE2F466" wp14:editId="342299F7">
                  <wp:extent cx="2452370" cy="1392555"/>
                  <wp:effectExtent l="0" t="0" r="0"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452370" cy="1392555"/>
                          </a:xfrm>
                          <a:prstGeom prst="rect">
                            <a:avLst/>
                          </a:prstGeom>
                          <a:noFill/>
                          <a:ln>
                            <a:noFill/>
                          </a:ln>
                        </pic:spPr>
                      </pic:pic>
                    </a:graphicData>
                  </a:graphic>
                </wp:inline>
              </w:drawing>
            </w:r>
          </w:p>
        </w:tc>
      </w:tr>
      <w:tr w:rsidR="00C04CAD" w14:paraId="56B9208C" w14:textId="77777777">
        <w:tc>
          <w:tcPr>
            <w:tcW w:w="5000" w:type="pct"/>
            <w:gridSpan w:val="2"/>
            <w:tcBorders>
              <w:top w:val="nil"/>
              <w:bottom w:val="nil"/>
            </w:tcBorders>
            <w:tcMar>
              <w:top w:w="28" w:type="dxa"/>
              <w:left w:w="57" w:type="dxa"/>
              <w:bottom w:w="28" w:type="dxa"/>
              <w:right w:w="57" w:type="dxa"/>
            </w:tcMar>
          </w:tcPr>
          <w:p w14:paraId="3C6DAE01"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Prindeți ferm pielea între degetul mare și celelalte degete, pentru a forma un pliu cu lățimea de aproximativ 5 centimetri.</w:t>
            </w:r>
          </w:p>
        </w:tc>
      </w:tr>
      <w:tr w:rsidR="00C04CAD" w14:paraId="2192F54D" w14:textId="77777777">
        <w:trPr>
          <w:trHeight w:val="419"/>
        </w:trPr>
        <w:tc>
          <w:tcPr>
            <w:tcW w:w="5000" w:type="pct"/>
            <w:gridSpan w:val="2"/>
            <w:tcBorders>
              <w:top w:val="nil"/>
            </w:tcBorders>
            <w:tcMar>
              <w:top w:w="28" w:type="dxa"/>
              <w:left w:w="57" w:type="dxa"/>
              <w:bottom w:w="28" w:type="dxa"/>
              <w:right w:w="57" w:type="dxa"/>
            </w:tcMar>
            <w:vAlign w:val="center"/>
          </w:tcPr>
          <w:p w14:paraId="17227FF1"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Important: </w:t>
            </w:r>
            <w:r>
              <w:rPr>
                <w:bCs/>
                <w:szCs w:val="22"/>
                <w:lang w:eastAsia="en-US" w:bidi="ar-SA"/>
              </w:rPr>
              <w:t xml:space="preserve">Mențineți pliul format în timp ce injectați medicamentul. </w:t>
            </w:r>
          </w:p>
        </w:tc>
      </w:tr>
    </w:tbl>
    <w:p w14:paraId="1DD96005"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7A87CB2E" w14:textId="77777777">
        <w:tc>
          <w:tcPr>
            <w:tcW w:w="5000" w:type="pct"/>
            <w:tcMar>
              <w:top w:w="28" w:type="dxa"/>
              <w:left w:w="57" w:type="dxa"/>
              <w:bottom w:w="28" w:type="dxa"/>
              <w:right w:w="57" w:type="dxa"/>
            </w:tcMar>
          </w:tcPr>
          <w:p w14:paraId="37455983" w14:textId="77777777" w:rsidR="00C04CAD" w:rsidRDefault="00060E34">
            <w:pPr>
              <w:pStyle w:val="BULLETED"/>
              <w:widowControl/>
              <w:numPr>
                <w:ilvl w:val="0"/>
                <w:numId w:val="0"/>
              </w:numPr>
              <w:spacing w:before="0" w:line="240" w:lineRule="auto"/>
              <w:jc w:val="center"/>
              <w:rPr>
                <w:b/>
                <w:sz w:val="22"/>
                <w:szCs w:val="22"/>
                <w:lang w:val="ro-RO"/>
              </w:rPr>
            </w:pPr>
            <w:r>
              <w:rPr>
                <w:b/>
                <w:sz w:val="22"/>
                <w:szCs w:val="22"/>
                <w:lang w:val="ro-RO"/>
              </w:rPr>
              <w:t>Etapa 3: Injectarea</w:t>
            </w:r>
          </w:p>
        </w:tc>
      </w:tr>
    </w:tbl>
    <w:p w14:paraId="468AA6AF" w14:textId="77777777" w:rsidR="00C04CAD" w:rsidRDefault="00C04CAD">
      <w:pPr>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C04CAD" w14:paraId="12D6D6AD" w14:textId="77777777">
        <w:tc>
          <w:tcPr>
            <w:tcW w:w="294" w:type="pct"/>
            <w:tcMar>
              <w:top w:w="28" w:type="dxa"/>
              <w:left w:w="57" w:type="dxa"/>
              <w:bottom w:w="28" w:type="dxa"/>
              <w:right w:w="57" w:type="dxa"/>
            </w:tcMar>
          </w:tcPr>
          <w:p w14:paraId="502974E5"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G.</w:t>
            </w:r>
          </w:p>
        </w:tc>
        <w:tc>
          <w:tcPr>
            <w:tcW w:w="4706" w:type="pct"/>
            <w:tcMar>
              <w:top w:w="28" w:type="dxa"/>
              <w:left w:w="57" w:type="dxa"/>
              <w:bottom w:w="28" w:type="dxa"/>
              <w:right w:w="57" w:type="dxa"/>
            </w:tcMar>
          </w:tcPr>
          <w:p w14:paraId="61764F8E"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szCs w:val="22"/>
                <w:lang w:eastAsia="en-US" w:bidi="ar-SA"/>
              </w:rPr>
              <w:t>Mențineți pliul de piele format. Cu capacul de protecție a acului îndepărtat, introduceți seringa în piele la un unghi între 45 până la 90 de grade.</w:t>
            </w:r>
          </w:p>
        </w:tc>
      </w:tr>
      <w:tr w:rsidR="00C04CAD" w14:paraId="45E9382D" w14:textId="77777777">
        <w:tc>
          <w:tcPr>
            <w:tcW w:w="5000" w:type="pct"/>
            <w:gridSpan w:val="2"/>
            <w:tcBorders>
              <w:bottom w:val="nil"/>
            </w:tcBorders>
            <w:tcMar>
              <w:top w:w="28" w:type="dxa"/>
              <w:left w:w="57" w:type="dxa"/>
              <w:bottom w:w="28" w:type="dxa"/>
              <w:right w:w="57" w:type="dxa"/>
            </w:tcMar>
          </w:tcPr>
          <w:p w14:paraId="56F66763" w14:textId="77777777" w:rsidR="00C04CAD" w:rsidRDefault="00060E34">
            <w:pPr>
              <w:tabs>
                <w:tab w:val="clear" w:pos="567"/>
              </w:tabs>
              <w:suppressAutoHyphens/>
              <w:autoSpaceDE w:val="0"/>
              <w:autoSpaceDN w:val="0"/>
              <w:adjustRightInd w:val="0"/>
              <w:spacing w:line="240" w:lineRule="auto"/>
              <w:textAlignment w:val="center"/>
              <w:rPr>
                <w:color w:val="000000"/>
                <w:sz w:val="24"/>
                <w:szCs w:val="22"/>
                <w:lang w:eastAsia="en-US" w:bidi="ar-SA"/>
              </w:rPr>
            </w:pPr>
            <w:r>
              <w:rPr>
                <w:noProof/>
                <w:szCs w:val="22"/>
                <w:lang w:val="en-US" w:eastAsia="zh-CN" w:bidi="ar-SA"/>
              </w:rPr>
              <w:drawing>
                <wp:inline distT="0" distB="0" distL="0" distR="0" wp14:anchorId="74D9F910" wp14:editId="6934E38E">
                  <wp:extent cx="3107055" cy="1288415"/>
                  <wp:effectExtent l="0" t="0" r="0" b="0"/>
                  <wp:docPr id="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107055" cy="1288415"/>
                          </a:xfrm>
                          <a:prstGeom prst="rect">
                            <a:avLst/>
                          </a:prstGeom>
                          <a:noFill/>
                          <a:ln>
                            <a:noFill/>
                          </a:ln>
                        </pic:spPr>
                      </pic:pic>
                    </a:graphicData>
                  </a:graphic>
                </wp:inline>
              </w:drawing>
            </w:r>
          </w:p>
        </w:tc>
      </w:tr>
      <w:tr w:rsidR="00C04CAD" w14:paraId="3428D3C2" w14:textId="77777777">
        <w:tc>
          <w:tcPr>
            <w:tcW w:w="5000" w:type="pct"/>
            <w:gridSpan w:val="2"/>
            <w:tcBorders>
              <w:top w:val="nil"/>
            </w:tcBorders>
            <w:tcMar>
              <w:top w:w="28" w:type="dxa"/>
              <w:left w:w="57" w:type="dxa"/>
              <w:bottom w:w="28" w:type="dxa"/>
              <w:right w:w="57" w:type="dxa"/>
            </w:tcMar>
          </w:tcPr>
          <w:p w14:paraId="1F1CEFD0" w14:textId="77777777" w:rsidR="00C04CAD" w:rsidRDefault="00060E34">
            <w:pPr>
              <w:tabs>
                <w:tab w:val="clear" w:pos="567"/>
              </w:tabs>
              <w:suppressAutoHyphens/>
              <w:autoSpaceDE w:val="0"/>
              <w:autoSpaceDN w:val="0"/>
              <w:adjustRightInd w:val="0"/>
              <w:spacing w:line="240" w:lineRule="auto"/>
              <w:textAlignment w:val="center"/>
              <w:rPr>
                <w:b/>
                <w:color w:val="000000"/>
                <w:szCs w:val="22"/>
                <w:lang w:eastAsia="en-US" w:bidi="ar-SA"/>
              </w:rPr>
            </w:pPr>
            <w:r>
              <w:rPr>
                <w:b/>
                <w:color w:val="000000"/>
                <w:szCs w:val="22"/>
                <w:lang w:eastAsia="en-US" w:bidi="ar-SA"/>
              </w:rPr>
              <w:t xml:space="preserve">Nu </w:t>
            </w:r>
            <w:r>
              <w:rPr>
                <w:color w:val="000000"/>
                <w:szCs w:val="22"/>
                <w:lang w:eastAsia="en-US" w:bidi="ar-SA"/>
              </w:rPr>
              <w:t>așezați degetul pe tija pistonului în timp ce introduceți acul.</w:t>
            </w:r>
          </w:p>
        </w:tc>
      </w:tr>
    </w:tbl>
    <w:p w14:paraId="1D50811C" w14:textId="77777777" w:rsidR="00C04CAD" w:rsidRDefault="00C04CAD">
      <w:pPr>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C04CAD" w14:paraId="722A42E8" w14:textId="77777777">
        <w:tc>
          <w:tcPr>
            <w:tcW w:w="294" w:type="pct"/>
            <w:tcMar>
              <w:top w:w="28" w:type="dxa"/>
              <w:left w:w="57" w:type="dxa"/>
              <w:bottom w:w="28" w:type="dxa"/>
              <w:right w:w="57" w:type="dxa"/>
            </w:tcMar>
          </w:tcPr>
          <w:p w14:paraId="3475DB86"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H.</w:t>
            </w:r>
          </w:p>
        </w:tc>
        <w:tc>
          <w:tcPr>
            <w:tcW w:w="4706" w:type="pct"/>
            <w:tcMar>
              <w:top w:w="28" w:type="dxa"/>
              <w:left w:w="57" w:type="dxa"/>
              <w:bottom w:w="28" w:type="dxa"/>
              <w:right w:w="57" w:type="dxa"/>
            </w:tcMar>
          </w:tcPr>
          <w:p w14:paraId="2873810B"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szCs w:val="22"/>
                <w:lang w:eastAsia="en-US" w:bidi="ar-SA"/>
              </w:rPr>
              <w:t>Folosind o presiune lentă și constantă, împingeți tija pistonului până la capăt, până ce acesta nu mai înaintează.</w:t>
            </w:r>
          </w:p>
        </w:tc>
      </w:tr>
      <w:tr w:rsidR="00C04CAD" w14:paraId="262050BB" w14:textId="77777777">
        <w:tc>
          <w:tcPr>
            <w:tcW w:w="5000" w:type="pct"/>
            <w:gridSpan w:val="2"/>
            <w:tcMar>
              <w:top w:w="28" w:type="dxa"/>
              <w:left w:w="57" w:type="dxa"/>
              <w:bottom w:w="28" w:type="dxa"/>
              <w:right w:w="57" w:type="dxa"/>
            </w:tcMar>
          </w:tcPr>
          <w:p w14:paraId="5A55BC29" w14:textId="77777777" w:rsidR="00C04CAD" w:rsidRDefault="00060E34">
            <w:pPr>
              <w:tabs>
                <w:tab w:val="clear" w:pos="567"/>
              </w:tabs>
              <w:suppressAutoHyphens/>
              <w:autoSpaceDE w:val="0"/>
              <w:autoSpaceDN w:val="0"/>
              <w:adjustRightInd w:val="0"/>
              <w:spacing w:line="240" w:lineRule="auto"/>
              <w:textAlignment w:val="center"/>
              <w:rPr>
                <w:color w:val="000000"/>
                <w:sz w:val="24"/>
                <w:szCs w:val="22"/>
                <w:lang w:eastAsia="en-US" w:bidi="ar-SA"/>
              </w:rPr>
            </w:pPr>
            <w:r>
              <w:rPr>
                <w:noProof/>
                <w:lang w:val="en-US" w:eastAsia="zh-CN" w:bidi="ar-SA"/>
              </w:rPr>
              <w:drawing>
                <wp:inline distT="0" distB="0" distL="0" distR="0" wp14:anchorId="2D0AAB75" wp14:editId="596934FC">
                  <wp:extent cx="2930525" cy="1485900"/>
                  <wp:effectExtent l="0" t="0" r="0" b="0"/>
                  <wp:docPr id="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930525" cy="1485900"/>
                          </a:xfrm>
                          <a:prstGeom prst="rect">
                            <a:avLst/>
                          </a:prstGeom>
                          <a:noFill/>
                          <a:ln>
                            <a:noFill/>
                          </a:ln>
                        </pic:spPr>
                      </pic:pic>
                    </a:graphicData>
                  </a:graphic>
                </wp:inline>
              </w:drawing>
            </w:r>
          </w:p>
        </w:tc>
      </w:tr>
    </w:tbl>
    <w:p w14:paraId="40C5D59F" w14:textId="77777777" w:rsidR="00C04CAD" w:rsidRDefault="00C04CAD">
      <w:pPr>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C04CAD" w14:paraId="268643B4" w14:textId="77777777">
        <w:tc>
          <w:tcPr>
            <w:tcW w:w="294" w:type="pct"/>
            <w:tcMar>
              <w:top w:w="28" w:type="dxa"/>
              <w:left w:w="57" w:type="dxa"/>
              <w:bottom w:w="28" w:type="dxa"/>
              <w:right w:w="57" w:type="dxa"/>
            </w:tcMar>
          </w:tcPr>
          <w:p w14:paraId="00A11DBE"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I.</w:t>
            </w:r>
          </w:p>
        </w:tc>
        <w:tc>
          <w:tcPr>
            <w:tcW w:w="4706" w:type="pct"/>
            <w:tcMar>
              <w:top w:w="28" w:type="dxa"/>
              <w:left w:w="57" w:type="dxa"/>
              <w:bottom w:w="28" w:type="dxa"/>
              <w:right w:w="57" w:type="dxa"/>
            </w:tcMar>
          </w:tcPr>
          <w:p w14:paraId="3FFEA17E"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szCs w:val="22"/>
                <w:lang w:eastAsia="en-US" w:bidi="ar-SA"/>
              </w:rPr>
              <w:t xml:space="preserve">Când ați terminat de administrat, eliberați degetul mare, și ridicați cu o mișcare ușoară seringa de pe pielea dumneavoastră. </w:t>
            </w:r>
          </w:p>
        </w:tc>
      </w:tr>
      <w:tr w:rsidR="00C04CAD" w14:paraId="3D92ED2D" w14:textId="77777777">
        <w:tc>
          <w:tcPr>
            <w:tcW w:w="5000" w:type="pct"/>
            <w:gridSpan w:val="2"/>
            <w:tcMar>
              <w:top w:w="28" w:type="dxa"/>
              <w:left w:w="57" w:type="dxa"/>
              <w:bottom w:w="28" w:type="dxa"/>
              <w:right w:w="57" w:type="dxa"/>
            </w:tcMar>
          </w:tcPr>
          <w:p w14:paraId="07E02909" w14:textId="77777777" w:rsidR="00C04CAD" w:rsidRDefault="00060E34">
            <w:pPr>
              <w:tabs>
                <w:tab w:val="clear" w:pos="567"/>
              </w:tabs>
              <w:suppressAutoHyphens/>
              <w:autoSpaceDE w:val="0"/>
              <w:autoSpaceDN w:val="0"/>
              <w:adjustRightInd w:val="0"/>
              <w:spacing w:line="240" w:lineRule="auto"/>
              <w:textAlignment w:val="center"/>
              <w:rPr>
                <w:color w:val="000000"/>
                <w:sz w:val="24"/>
                <w:szCs w:val="22"/>
                <w:lang w:eastAsia="en-US" w:bidi="ar-SA"/>
              </w:rPr>
            </w:pPr>
            <w:r>
              <w:rPr>
                <w:noProof/>
                <w:sz w:val="16"/>
                <w:szCs w:val="16"/>
                <w:lang w:val="en-US" w:eastAsia="zh-CN" w:bidi="ar-SA"/>
              </w:rPr>
              <w:drawing>
                <wp:inline distT="0" distB="0" distL="0" distR="0" wp14:anchorId="49DEC3AF" wp14:editId="0205F13C">
                  <wp:extent cx="2473325" cy="1464945"/>
                  <wp:effectExtent l="0" t="0" r="0" b="0"/>
                  <wp:docPr id="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473325" cy="1464945"/>
                          </a:xfrm>
                          <a:prstGeom prst="rect">
                            <a:avLst/>
                          </a:prstGeom>
                          <a:noFill/>
                          <a:ln>
                            <a:noFill/>
                          </a:ln>
                        </pic:spPr>
                      </pic:pic>
                    </a:graphicData>
                  </a:graphic>
                </wp:inline>
              </w:drawing>
            </w:r>
          </w:p>
        </w:tc>
      </w:tr>
    </w:tbl>
    <w:p w14:paraId="48A1A5F2"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42270FF6" w14:textId="77777777">
        <w:tc>
          <w:tcPr>
            <w:tcW w:w="5000" w:type="pct"/>
            <w:tcMar>
              <w:top w:w="28" w:type="dxa"/>
              <w:left w:w="57" w:type="dxa"/>
              <w:bottom w:w="28" w:type="dxa"/>
              <w:right w:w="57" w:type="dxa"/>
            </w:tcMar>
          </w:tcPr>
          <w:p w14:paraId="7C682381" w14:textId="77777777" w:rsidR="00C04CAD" w:rsidRDefault="00060E34">
            <w:pPr>
              <w:pStyle w:val="BULLETED"/>
              <w:keepNext/>
              <w:keepLines/>
              <w:widowControl/>
              <w:numPr>
                <w:ilvl w:val="0"/>
                <w:numId w:val="0"/>
              </w:numPr>
              <w:spacing w:before="0" w:line="240" w:lineRule="auto"/>
              <w:jc w:val="center"/>
              <w:rPr>
                <w:b/>
                <w:sz w:val="22"/>
                <w:szCs w:val="22"/>
                <w:lang w:val="ro-RO"/>
              </w:rPr>
            </w:pPr>
            <w:r>
              <w:rPr>
                <w:b/>
                <w:sz w:val="22"/>
                <w:szCs w:val="22"/>
                <w:lang w:val="ro-RO"/>
              </w:rPr>
              <w:t>Etapa 4: Finalizare</w:t>
            </w:r>
          </w:p>
        </w:tc>
      </w:tr>
    </w:tbl>
    <w:p w14:paraId="6F9C3332" w14:textId="77777777" w:rsidR="00C04CAD" w:rsidRDefault="00C04CAD">
      <w:pPr>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C04CAD" w14:paraId="56ADCEB5" w14:textId="77777777">
        <w:tc>
          <w:tcPr>
            <w:tcW w:w="294" w:type="pct"/>
            <w:tcMar>
              <w:top w:w="28" w:type="dxa"/>
              <w:left w:w="57" w:type="dxa"/>
              <w:bottom w:w="28" w:type="dxa"/>
              <w:right w:w="57" w:type="dxa"/>
            </w:tcMar>
          </w:tcPr>
          <w:p w14:paraId="5664F568" w14:textId="77777777" w:rsidR="00C04CAD" w:rsidRDefault="00060E34">
            <w:pPr>
              <w:keepNext/>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J.</w:t>
            </w:r>
          </w:p>
        </w:tc>
        <w:tc>
          <w:tcPr>
            <w:tcW w:w="4706" w:type="pct"/>
            <w:gridSpan w:val="2"/>
            <w:tcMar>
              <w:top w:w="28" w:type="dxa"/>
              <w:left w:w="57" w:type="dxa"/>
              <w:bottom w:w="28" w:type="dxa"/>
              <w:right w:w="57" w:type="dxa"/>
            </w:tcMar>
          </w:tcPr>
          <w:p w14:paraId="7A277483"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szCs w:val="22"/>
                <w:lang w:eastAsia="en-US" w:bidi="ar-SA"/>
              </w:rPr>
              <w:t>Aruncați seringa utilizată și capacul de protecție a acului.</w:t>
            </w:r>
          </w:p>
        </w:tc>
      </w:tr>
      <w:tr w:rsidR="00C04CAD" w14:paraId="7B81B0FD" w14:textId="77777777">
        <w:trPr>
          <w:trHeight w:val="3361"/>
        </w:trPr>
        <w:tc>
          <w:tcPr>
            <w:tcW w:w="5000" w:type="pct"/>
            <w:gridSpan w:val="3"/>
            <w:tcBorders>
              <w:bottom w:val="nil"/>
            </w:tcBorders>
            <w:tcMar>
              <w:top w:w="28" w:type="dxa"/>
              <w:left w:w="57" w:type="dxa"/>
              <w:bottom w:w="28" w:type="dxa"/>
              <w:right w:w="57" w:type="dxa"/>
            </w:tcMar>
          </w:tcPr>
          <w:p w14:paraId="64DFDF2D" w14:textId="77777777" w:rsidR="00C04CAD" w:rsidRDefault="00060E34">
            <w:pPr>
              <w:keepNext/>
              <w:keepLines/>
              <w:tabs>
                <w:tab w:val="clear" w:pos="567"/>
              </w:tabs>
              <w:suppressAutoHyphens/>
              <w:autoSpaceDE w:val="0"/>
              <w:autoSpaceDN w:val="0"/>
              <w:adjustRightInd w:val="0"/>
              <w:spacing w:line="240" w:lineRule="auto"/>
              <w:textAlignment w:val="center"/>
              <w:rPr>
                <w:color w:val="000000"/>
                <w:sz w:val="24"/>
                <w:szCs w:val="22"/>
                <w:lang w:eastAsia="en-US" w:bidi="ar-SA"/>
              </w:rPr>
            </w:pPr>
            <w:r>
              <w:rPr>
                <w:rFonts w:eastAsia="PMingLiU"/>
                <w:noProof/>
                <w:sz w:val="10"/>
                <w:szCs w:val="10"/>
                <w:lang w:val="en-US" w:eastAsia="zh-CN" w:bidi="ar-SA"/>
              </w:rPr>
              <w:drawing>
                <wp:inline distT="0" distB="0" distL="0" distR="0" wp14:anchorId="39044A69" wp14:editId="789A7AE2">
                  <wp:extent cx="1641475" cy="2078355"/>
                  <wp:effectExtent l="0" t="0" r="0" b="0"/>
                  <wp:docPr id="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641475" cy="2078355"/>
                          </a:xfrm>
                          <a:prstGeom prst="rect">
                            <a:avLst/>
                          </a:prstGeom>
                          <a:noFill/>
                          <a:ln>
                            <a:noFill/>
                          </a:ln>
                        </pic:spPr>
                      </pic:pic>
                    </a:graphicData>
                  </a:graphic>
                </wp:inline>
              </w:drawing>
            </w:r>
          </w:p>
        </w:tc>
      </w:tr>
      <w:tr w:rsidR="00C04CAD" w14:paraId="6944CE69" w14:textId="77777777">
        <w:tc>
          <w:tcPr>
            <w:tcW w:w="303" w:type="pct"/>
            <w:gridSpan w:val="2"/>
            <w:tcBorders>
              <w:top w:val="nil"/>
              <w:bottom w:val="nil"/>
              <w:right w:val="nil"/>
            </w:tcBorders>
            <w:tcMar>
              <w:top w:w="28" w:type="dxa"/>
              <w:left w:w="57" w:type="dxa"/>
              <w:bottom w:w="28" w:type="dxa"/>
              <w:right w:w="57" w:type="dxa"/>
            </w:tcMar>
          </w:tcPr>
          <w:p w14:paraId="396FCC7A"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110433D3" w14:textId="77777777" w:rsidR="00C04CAD" w:rsidRDefault="00060E34">
            <w:pPr>
              <w:tabs>
                <w:tab w:val="clear" w:pos="567"/>
              </w:tabs>
              <w:autoSpaceDE w:val="0"/>
              <w:autoSpaceDN w:val="0"/>
              <w:adjustRightInd w:val="0"/>
              <w:spacing w:line="240" w:lineRule="auto"/>
              <w:rPr>
                <w:szCs w:val="22"/>
                <w:lang w:eastAsia="en-US" w:bidi="ar-SA"/>
              </w:rPr>
            </w:pPr>
            <w:r>
              <w:rPr>
                <w:b/>
                <w:szCs w:val="22"/>
                <w:lang w:eastAsia="en-US" w:bidi="ar-SA"/>
              </w:rPr>
              <w:t xml:space="preserve">Nu </w:t>
            </w:r>
            <w:r>
              <w:rPr>
                <w:szCs w:val="22"/>
                <w:lang w:eastAsia="en-US" w:bidi="ar-SA"/>
              </w:rPr>
              <w:t>reutilizați seringa folosită.</w:t>
            </w:r>
          </w:p>
        </w:tc>
      </w:tr>
      <w:tr w:rsidR="00C04CAD" w14:paraId="58B9743F" w14:textId="77777777">
        <w:tc>
          <w:tcPr>
            <w:tcW w:w="303" w:type="pct"/>
            <w:gridSpan w:val="2"/>
            <w:tcBorders>
              <w:top w:val="nil"/>
              <w:bottom w:val="nil"/>
              <w:right w:val="nil"/>
            </w:tcBorders>
            <w:tcMar>
              <w:top w:w="28" w:type="dxa"/>
              <w:left w:w="57" w:type="dxa"/>
              <w:bottom w:w="28" w:type="dxa"/>
              <w:right w:w="57" w:type="dxa"/>
            </w:tcMar>
          </w:tcPr>
          <w:p w14:paraId="0FAF8B28"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5C7A3E6B" w14:textId="77777777" w:rsidR="00C04CAD" w:rsidRDefault="00060E34">
            <w:pPr>
              <w:tabs>
                <w:tab w:val="clear" w:pos="567"/>
              </w:tabs>
              <w:autoSpaceDE w:val="0"/>
              <w:autoSpaceDN w:val="0"/>
              <w:adjustRightInd w:val="0"/>
              <w:spacing w:line="240" w:lineRule="auto"/>
              <w:rPr>
                <w:szCs w:val="22"/>
                <w:lang w:eastAsia="en-US" w:bidi="ar-SA"/>
              </w:rPr>
            </w:pPr>
            <w:r>
              <w:rPr>
                <w:b/>
                <w:szCs w:val="22"/>
                <w:lang w:eastAsia="en-US" w:bidi="ar-SA"/>
              </w:rPr>
              <w:t xml:space="preserve">Nu </w:t>
            </w:r>
            <w:r>
              <w:rPr>
                <w:szCs w:val="22"/>
                <w:lang w:eastAsia="en-US" w:bidi="ar-SA"/>
              </w:rPr>
              <w:t>utilizați cantitatea de medicament rămasă în seringa folosită.</w:t>
            </w:r>
          </w:p>
        </w:tc>
      </w:tr>
      <w:tr w:rsidR="00C04CAD" w14:paraId="3D84B662" w14:textId="77777777">
        <w:tc>
          <w:tcPr>
            <w:tcW w:w="303" w:type="pct"/>
            <w:gridSpan w:val="2"/>
            <w:tcBorders>
              <w:top w:val="nil"/>
              <w:bottom w:val="nil"/>
              <w:right w:val="nil"/>
            </w:tcBorders>
            <w:tcMar>
              <w:top w:w="28" w:type="dxa"/>
              <w:left w:w="57" w:type="dxa"/>
              <w:bottom w:w="28" w:type="dxa"/>
              <w:right w:w="57" w:type="dxa"/>
            </w:tcMar>
          </w:tcPr>
          <w:p w14:paraId="5DAD8BDF"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65DBD4EF" w14:textId="77777777" w:rsidR="00C04CAD" w:rsidRDefault="00060E34">
            <w:pPr>
              <w:tabs>
                <w:tab w:val="clear" w:pos="567"/>
              </w:tabs>
              <w:autoSpaceDE w:val="0"/>
              <w:autoSpaceDN w:val="0"/>
              <w:adjustRightInd w:val="0"/>
              <w:spacing w:line="240" w:lineRule="auto"/>
              <w:rPr>
                <w:szCs w:val="22"/>
                <w:lang w:eastAsia="en-US" w:bidi="ar-SA"/>
              </w:rPr>
            </w:pPr>
            <w:r>
              <w:rPr>
                <w:szCs w:val="22"/>
                <w:lang w:eastAsia="en-US" w:bidi="ar-SA"/>
              </w:rPr>
              <w:t xml:space="preserve">Introduceți seringa AMGEVITA utilizată în recipientul pentru eliminarea obiectelor ascuțite imediat după utilizare. </w:t>
            </w:r>
            <w:r>
              <w:rPr>
                <w:b/>
                <w:szCs w:val="22"/>
                <w:lang w:eastAsia="en-US" w:bidi="ar-SA"/>
              </w:rPr>
              <w:t>Nu</w:t>
            </w:r>
            <w:r>
              <w:rPr>
                <w:szCs w:val="22"/>
                <w:lang w:eastAsia="en-US" w:bidi="ar-SA"/>
              </w:rPr>
              <w:t xml:space="preserve"> aruncați (eliminați) seringa pe calea reziduurilor menajere.</w:t>
            </w:r>
          </w:p>
        </w:tc>
      </w:tr>
      <w:tr w:rsidR="00C04CAD" w14:paraId="740BB9CD" w14:textId="77777777">
        <w:tc>
          <w:tcPr>
            <w:tcW w:w="303" w:type="pct"/>
            <w:gridSpan w:val="2"/>
            <w:tcBorders>
              <w:top w:val="nil"/>
              <w:bottom w:val="nil"/>
              <w:right w:val="nil"/>
            </w:tcBorders>
            <w:tcMar>
              <w:top w:w="28" w:type="dxa"/>
              <w:left w:w="57" w:type="dxa"/>
              <w:bottom w:w="28" w:type="dxa"/>
              <w:right w:w="57" w:type="dxa"/>
            </w:tcMar>
          </w:tcPr>
          <w:p w14:paraId="2755941C"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191FCD17"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US" w:bidi="ar-SA"/>
              </w:rPr>
            </w:pPr>
            <w:r>
              <w:rPr>
                <w:szCs w:val="22"/>
                <w:lang w:eastAsia="en-US" w:bidi="ar-SA"/>
              </w:rPr>
              <w:t>Discutați cu medicul dumneavoastră sau farmacistul despre cum să aruncați în mod corespunzător acest dispozitiv. Este posibil să existe reglementări locale în acest sens.</w:t>
            </w:r>
          </w:p>
        </w:tc>
      </w:tr>
      <w:tr w:rsidR="00C04CAD" w14:paraId="37634680" w14:textId="77777777">
        <w:tc>
          <w:tcPr>
            <w:tcW w:w="303" w:type="pct"/>
            <w:gridSpan w:val="2"/>
            <w:tcBorders>
              <w:top w:val="nil"/>
              <w:bottom w:val="nil"/>
              <w:right w:val="nil"/>
            </w:tcBorders>
            <w:tcMar>
              <w:top w:w="28" w:type="dxa"/>
              <w:left w:w="57" w:type="dxa"/>
              <w:bottom w:w="28" w:type="dxa"/>
              <w:right w:w="57" w:type="dxa"/>
            </w:tcMar>
          </w:tcPr>
          <w:p w14:paraId="00E3F47F" w14:textId="77777777" w:rsidR="00C04CAD" w:rsidRDefault="00060E34">
            <w:pPr>
              <w:tabs>
                <w:tab w:val="clear" w:pos="567"/>
                <w:tab w:val="left" w:pos="90"/>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w:t>
            </w:r>
          </w:p>
        </w:tc>
        <w:tc>
          <w:tcPr>
            <w:tcW w:w="4697" w:type="pct"/>
            <w:tcBorders>
              <w:top w:val="nil"/>
              <w:left w:val="nil"/>
              <w:bottom w:val="nil"/>
            </w:tcBorders>
            <w:tcMar>
              <w:left w:w="0" w:type="dxa"/>
            </w:tcMar>
          </w:tcPr>
          <w:p w14:paraId="44276BE7"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Nu</w:t>
            </w:r>
            <w:r>
              <w:rPr>
                <w:szCs w:val="22"/>
                <w:lang w:eastAsia="en-US" w:bidi="ar-SA"/>
              </w:rPr>
              <w:t xml:space="preserve"> reciclați seringa sau recipientul pentru eliminarea obiectelor ascuțite; nu le aruncați pe calea reziduurilor menajere.</w:t>
            </w:r>
          </w:p>
        </w:tc>
      </w:tr>
      <w:tr w:rsidR="00C04CAD" w14:paraId="36A6EF22" w14:textId="77777777">
        <w:tc>
          <w:tcPr>
            <w:tcW w:w="5000" w:type="pct"/>
            <w:gridSpan w:val="3"/>
            <w:tcBorders>
              <w:top w:val="nil"/>
            </w:tcBorders>
            <w:tcMar>
              <w:top w:w="28" w:type="dxa"/>
              <w:left w:w="57" w:type="dxa"/>
              <w:bottom w:w="28" w:type="dxa"/>
              <w:right w:w="57" w:type="dxa"/>
            </w:tcMar>
          </w:tcPr>
          <w:p w14:paraId="769469AC" w14:textId="77777777" w:rsidR="00C04CAD" w:rsidRDefault="00060E34">
            <w:pPr>
              <w:tabs>
                <w:tab w:val="clear" w:pos="567"/>
              </w:tabs>
              <w:suppressAutoHyphens/>
              <w:autoSpaceDE w:val="0"/>
              <w:autoSpaceDN w:val="0"/>
              <w:adjustRightInd w:val="0"/>
              <w:spacing w:line="240" w:lineRule="auto"/>
              <w:textAlignment w:val="center"/>
              <w:rPr>
                <w:rFonts w:eastAsia="PMingLiU"/>
                <w:bCs/>
                <w:color w:val="000000"/>
                <w:szCs w:val="22"/>
                <w:lang w:eastAsia="ja-JP" w:bidi="ar-SA"/>
              </w:rPr>
            </w:pPr>
            <w:r>
              <w:rPr>
                <w:rFonts w:eastAsia="PMingLiU"/>
                <w:b/>
                <w:color w:val="000000"/>
                <w:szCs w:val="22"/>
                <w:lang w:eastAsia="ja-JP" w:bidi="ar-SA"/>
              </w:rPr>
              <w:t xml:space="preserve">Important: </w:t>
            </w:r>
            <w:r>
              <w:rPr>
                <w:rFonts w:eastAsia="PMingLiU"/>
                <w:color w:val="000000"/>
                <w:szCs w:val="22"/>
                <w:lang w:eastAsia="ja-JP" w:bidi="ar-SA"/>
              </w:rPr>
              <w:t xml:space="preserve">Nu lăsați niciodată recipientul pentru eliminarea obiectelor ascuțite la vederea și </w:t>
            </w:r>
            <w:r>
              <w:rPr>
                <w:rFonts w:eastAsia="PMingLiU"/>
                <w:bCs/>
                <w:color w:val="000000"/>
                <w:szCs w:val="22"/>
                <w:lang w:eastAsia="ja-JP" w:bidi="ar-SA"/>
              </w:rPr>
              <w:t>îndemâna copiilor.</w:t>
            </w:r>
          </w:p>
        </w:tc>
      </w:tr>
    </w:tbl>
    <w:p w14:paraId="3D30CABC"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69A18C8F" w14:textId="77777777">
        <w:tc>
          <w:tcPr>
            <w:tcW w:w="303" w:type="pct"/>
            <w:tcMar>
              <w:top w:w="28" w:type="dxa"/>
              <w:left w:w="57" w:type="dxa"/>
              <w:bottom w:w="28" w:type="dxa"/>
              <w:right w:w="57" w:type="dxa"/>
            </w:tcMar>
          </w:tcPr>
          <w:p w14:paraId="13DE70E8" w14:textId="77777777" w:rsidR="00C04CAD" w:rsidRDefault="00060E34">
            <w:pPr>
              <w:keepLines/>
              <w:tabs>
                <w:tab w:val="clear" w:pos="567"/>
              </w:tabs>
              <w:suppressAutoHyphens/>
              <w:autoSpaceDE w:val="0"/>
              <w:autoSpaceDN w:val="0"/>
              <w:adjustRightInd w:val="0"/>
              <w:spacing w:line="240" w:lineRule="auto"/>
              <w:textAlignment w:val="center"/>
              <w:rPr>
                <w:b/>
                <w:color w:val="000000"/>
                <w:szCs w:val="22"/>
                <w:lang w:eastAsia="en-US" w:bidi="ar-SA"/>
              </w:rPr>
            </w:pPr>
            <w:r>
              <w:rPr>
                <w:b/>
                <w:szCs w:val="22"/>
                <w:lang w:eastAsia="en-US" w:bidi="ar-SA"/>
              </w:rPr>
              <w:t>K.</w:t>
            </w:r>
          </w:p>
        </w:tc>
        <w:tc>
          <w:tcPr>
            <w:tcW w:w="4697" w:type="pct"/>
            <w:tcMar>
              <w:top w:w="28" w:type="dxa"/>
              <w:left w:w="57" w:type="dxa"/>
              <w:bottom w:w="28" w:type="dxa"/>
              <w:right w:w="57" w:type="dxa"/>
            </w:tcMar>
          </w:tcPr>
          <w:p w14:paraId="579E2941" w14:textId="77777777" w:rsidR="00C04CAD" w:rsidRDefault="00060E34">
            <w:pPr>
              <w:keepLines/>
              <w:tabs>
                <w:tab w:val="clear" w:pos="567"/>
              </w:tabs>
              <w:autoSpaceDE w:val="0"/>
              <w:autoSpaceDN w:val="0"/>
              <w:adjustRightInd w:val="0"/>
              <w:spacing w:line="240" w:lineRule="auto"/>
              <w:rPr>
                <w:color w:val="000000"/>
                <w:szCs w:val="22"/>
                <w:lang w:eastAsia="en-US" w:bidi="ar-SA"/>
              </w:rPr>
            </w:pPr>
            <w:r>
              <w:rPr>
                <w:szCs w:val="22"/>
                <w:lang w:eastAsia="en-US" w:bidi="ar-SA"/>
              </w:rPr>
              <w:t>Examinați locul de administrare a injecției.</w:t>
            </w:r>
          </w:p>
        </w:tc>
      </w:tr>
      <w:tr w:rsidR="00C04CAD" w14:paraId="3A2FD672" w14:textId="77777777">
        <w:tc>
          <w:tcPr>
            <w:tcW w:w="5000" w:type="pct"/>
            <w:gridSpan w:val="2"/>
            <w:tcMar>
              <w:top w:w="28" w:type="dxa"/>
              <w:left w:w="57" w:type="dxa"/>
              <w:bottom w:w="28" w:type="dxa"/>
              <w:right w:w="57" w:type="dxa"/>
            </w:tcMar>
          </w:tcPr>
          <w:p w14:paraId="759A4401" w14:textId="77777777" w:rsidR="00C04CAD" w:rsidRDefault="00060E34">
            <w:pPr>
              <w:tabs>
                <w:tab w:val="clear" w:pos="567"/>
              </w:tabs>
              <w:suppressAutoHyphens/>
              <w:autoSpaceDE w:val="0"/>
              <w:autoSpaceDN w:val="0"/>
              <w:adjustRightInd w:val="0"/>
              <w:spacing w:line="240" w:lineRule="auto"/>
              <w:textAlignment w:val="center"/>
              <w:rPr>
                <w:color w:val="000000"/>
                <w:szCs w:val="22"/>
                <w:lang w:eastAsia="en-US" w:bidi="ar-SA"/>
              </w:rPr>
            </w:pPr>
            <w:r>
              <w:rPr>
                <w:color w:val="000000"/>
                <w:szCs w:val="22"/>
                <w:lang w:eastAsia="en-US" w:bidi="ar-SA"/>
              </w:rPr>
              <w:t xml:space="preserve">Dacă vedeți sânge, țineți apăsat un tampon de vată sau o compresă de tifon la locul injectării. </w:t>
            </w:r>
            <w:r>
              <w:rPr>
                <w:b/>
                <w:color w:val="000000"/>
                <w:szCs w:val="22"/>
                <w:lang w:eastAsia="en-US" w:bidi="ar-SA"/>
              </w:rPr>
              <w:t>Nu</w:t>
            </w:r>
            <w:r>
              <w:rPr>
                <w:color w:val="000000"/>
                <w:szCs w:val="22"/>
                <w:lang w:eastAsia="en-US" w:bidi="ar-SA"/>
              </w:rPr>
              <w:t xml:space="preserve"> frecați locul de administrare al injecției. Aplicați un plasture daca este necesar.</w:t>
            </w:r>
          </w:p>
        </w:tc>
      </w:tr>
    </w:tbl>
    <w:p w14:paraId="5842A576" w14:textId="77777777" w:rsidR="00C04CAD" w:rsidRDefault="00C04CAD">
      <w:pPr>
        <w:numPr>
          <w:ilvl w:val="12"/>
          <w:numId w:val="0"/>
        </w:numPr>
        <w:tabs>
          <w:tab w:val="clear" w:pos="567"/>
        </w:tabs>
        <w:spacing w:line="240" w:lineRule="auto"/>
      </w:pPr>
    </w:p>
    <w:p w14:paraId="0FD275BD" w14:textId="77777777" w:rsidR="00C04CAD" w:rsidRDefault="00C04CAD">
      <w:pPr>
        <w:numPr>
          <w:ilvl w:val="12"/>
          <w:numId w:val="0"/>
        </w:numPr>
        <w:tabs>
          <w:tab w:val="clear" w:pos="567"/>
        </w:tabs>
        <w:spacing w:line="240" w:lineRule="auto"/>
      </w:pPr>
    </w:p>
    <w:p w14:paraId="17FB8D48" w14:textId="77777777" w:rsidR="00C04CAD" w:rsidRDefault="00C04CAD">
      <w:pPr>
        <w:numPr>
          <w:ilvl w:val="12"/>
          <w:numId w:val="0"/>
        </w:numPr>
        <w:tabs>
          <w:tab w:val="clear" w:pos="567"/>
        </w:tabs>
        <w:spacing w:line="240" w:lineRule="auto"/>
      </w:pPr>
    </w:p>
    <w:p w14:paraId="2867D0C9" w14:textId="77777777" w:rsidR="00C04CAD" w:rsidRDefault="00C04CAD">
      <w:pPr>
        <w:numPr>
          <w:ilvl w:val="12"/>
          <w:numId w:val="0"/>
        </w:numPr>
        <w:tabs>
          <w:tab w:val="clear" w:pos="567"/>
        </w:tabs>
        <w:spacing w:line="240" w:lineRule="auto"/>
      </w:pPr>
    </w:p>
    <w:p w14:paraId="31C16964" w14:textId="77777777" w:rsidR="00C04CAD" w:rsidRDefault="00C04CAD">
      <w:pPr>
        <w:numPr>
          <w:ilvl w:val="12"/>
          <w:numId w:val="0"/>
        </w:numPr>
        <w:tabs>
          <w:tab w:val="clear" w:pos="567"/>
        </w:tabs>
        <w:spacing w:line="240" w:lineRule="auto"/>
      </w:pPr>
    </w:p>
    <w:p w14:paraId="63F4E7E9" w14:textId="77777777" w:rsidR="00C04CAD" w:rsidRDefault="00C04CAD">
      <w:pPr>
        <w:numPr>
          <w:ilvl w:val="12"/>
          <w:numId w:val="0"/>
        </w:numPr>
        <w:tabs>
          <w:tab w:val="clear" w:pos="567"/>
        </w:tabs>
        <w:spacing w:line="240" w:lineRule="auto"/>
      </w:pPr>
    </w:p>
    <w:p w14:paraId="4571B388" w14:textId="77777777" w:rsidR="00C04CAD" w:rsidRDefault="00C04CAD">
      <w:pPr>
        <w:numPr>
          <w:ilvl w:val="12"/>
          <w:numId w:val="0"/>
        </w:numPr>
        <w:tabs>
          <w:tab w:val="clear" w:pos="567"/>
        </w:tabs>
        <w:spacing w:line="240" w:lineRule="auto"/>
      </w:pPr>
    </w:p>
    <w:p w14:paraId="360132BC" w14:textId="77777777" w:rsidR="00C04CAD" w:rsidRDefault="00060E34">
      <w:pPr>
        <w:numPr>
          <w:ilvl w:val="12"/>
          <w:numId w:val="0"/>
        </w:numPr>
        <w:spacing w:line="240" w:lineRule="auto"/>
        <w:ind w:right="-2"/>
      </w:pPr>
      <w:r>
        <w:br w:type="page"/>
      </w:r>
    </w:p>
    <w:p w14:paraId="67043754" w14:textId="77777777" w:rsidR="00C04CAD" w:rsidRDefault="00060E34">
      <w:pPr>
        <w:keepNext/>
        <w:tabs>
          <w:tab w:val="clear" w:pos="567"/>
        </w:tabs>
        <w:kinsoku w:val="0"/>
        <w:overflowPunct w:val="0"/>
        <w:autoSpaceDE w:val="0"/>
        <w:autoSpaceDN w:val="0"/>
        <w:adjustRightInd w:val="0"/>
        <w:spacing w:line="240" w:lineRule="auto"/>
        <w:jc w:val="center"/>
        <w:outlineLvl w:val="0"/>
        <w:rPr>
          <w:b/>
          <w:bCs/>
          <w:szCs w:val="22"/>
          <w:lang w:eastAsia="en-US" w:bidi="ar-SA"/>
        </w:rPr>
      </w:pPr>
      <w:r>
        <w:rPr>
          <w:b/>
          <w:bCs/>
          <w:szCs w:val="22"/>
          <w:lang w:eastAsia="en-US" w:bidi="ar-SA"/>
        </w:rPr>
        <w:t>Prospect: Informaţii pentru pacient</w:t>
      </w:r>
    </w:p>
    <w:p w14:paraId="27CB73F9" w14:textId="77777777" w:rsidR="00C04CAD" w:rsidRDefault="00C04CAD">
      <w:pPr>
        <w:tabs>
          <w:tab w:val="clear" w:pos="567"/>
        </w:tabs>
        <w:autoSpaceDE w:val="0"/>
        <w:autoSpaceDN w:val="0"/>
        <w:adjustRightInd w:val="0"/>
        <w:spacing w:line="240" w:lineRule="auto"/>
        <w:rPr>
          <w:b/>
          <w:sz w:val="24"/>
          <w:szCs w:val="24"/>
          <w:lang w:eastAsia="en-US" w:bidi="ar-SA"/>
        </w:rPr>
      </w:pPr>
    </w:p>
    <w:p w14:paraId="432CE4DC"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40 mg soluţie injectabilă în pen preumplut</w:t>
      </w:r>
    </w:p>
    <w:p w14:paraId="2C5497C0" w14:textId="77777777" w:rsidR="00C04CAD" w:rsidRDefault="00060E34">
      <w:pPr>
        <w:tabs>
          <w:tab w:val="clear" w:pos="567"/>
        </w:tabs>
        <w:kinsoku w:val="0"/>
        <w:overflowPunct w:val="0"/>
        <w:autoSpaceDE w:val="0"/>
        <w:autoSpaceDN w:val="0"/>
        <w:adjustRightInd w:val="0"/>
        <w:spacing w:line="240" w:lineRule="auto"/>
        <w:jc w:val="center"/>
        <w:rPr>
          <w:szCs w:val="22"/>
          <w:lang w:eastAsia="en-US" w:bidi="ar-SA"/>
        </w:rPr>
      </w:pPr>
      <w:r>
        <w:rPr>
          <w:szCs w:val="22"/>
          <w:lang w:eastAsia="en-US" w:bidi="ar-SA"/>
        </w:rPr>
        <w:t>adalimumab</w:t>
      </w:r>
    </w:p>
    <w:p w14:paraId="444E73B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0B9506E" w14:textId="77777777" w:rsidR="00C04CAD" w:rsidRDefault="00C04CAD">
      <w:pPr>
        <w:tabs>
          <w:tab w:val="clear" w:pos="567"/>
        </w:tabs>
        <w:autoSpaceDE w:val="0"/>
        <w:autoSpaceDN w:val="0"/>
        <w:adjustRightInd w:val="0"/>
        <w:spacing w:line="240" w:lineRule="auto"/>
        <w:rPr>
          <w:b/>
          <w:bCs/>
          <w:sz w:val="24"/>
          <w:szCs w:val="24"/>
          <w:lang w:eastAsia="en-US" w:bidi="ar-SA"/>
        </w:rPr>
      </w:pPr>
    </w:p>
    <w:p w14:paraId="304F3A7E" w14:textId="77777777" w:rsidR="00C04CAD" w:rsidRDefault="00060E34">
      <w:pPr>
        <w:tabs>
          <w:tab w:val="clear" w:pos="567"/>
        </w:tabs>
        <w:suppressAutoHyphens/>
        <w:spacing w:line="240" w:lineRule="auto"/>
      </w:pPr>
      <w:r>
        <w:rPr>
          <w:b/>
        </w:rPr>
        <w:t>Citiți cu atenție și în întregime acest prospect înainte de a începe să utilizați acest medicament deoarece conține informații importante pentru dumneavoastră.</w:t>
      </w:r>
    </w:p>
    <w:p w14:paraId="6A83C5E4" w14:textId="77777777" w:rsidR="00C04CAD" w:rsidRDefault="00060E34">
      <w:pPr>
        <w:numPr>
          <w:ilvl w:val="0"/>
          <w:numId w:val="47"/>
        </w:numPr>
        <w:tabs>
          <w:tab w:val="clear" w:pos="567"/>
        </w:tabs>
        <w:spacing w:line="240" w:lineRule="auto"/>
        <w:ind w:left="567" w:right="-2" w:hanging="567"/>
      </w:pPr>
      <w:r>
        <w:t xml:space="preserve">Păstrați acest prospect. S-ar putea să fie necesar să-l recitiți. </w:t>
      </w:r>
    </w:p>
    <w:p w14:paraId="5C4BBF07" w14:textId="77777777" w:rsidR="00C04CAD" w:rsidRDefault="00060E34">
      <w:pPr>
        <w:pStyle w:val="ListParagraph"/>
        <w:numPr>
          <w:ilvl w:val="0"/>
          <w:numId w:val="47"/>
        </w:numPr>
        <w:spacing w:line="240" w:lineRule="auto"/>
        <w:ind w:left="567" w:hanging="567"/>
      </w:pPr>
      <w:r>
        <w:t xml:space="preserve">Medicul dumneavoastră vă va da de asemenea un </w:t>
      </w:r>
      <w:r>
        <w:rPr>
          <w:b/>
        </w:rPr>
        <w:t xml:space="preserve">Card de </w:t>
      </w:r>
      <w:r>
        <w:rPr>
          <w:b/>
          <w:szCs w:val="22"/>
        </w:rPr>
        <w:t xml:space="preserve">avertizare al pacientului </w:t>
      </w:r>
      <w:r>
        <w:t xml:space="preserve">care conţine informaţii importante privind siguranţa, informaţii de care aveţi nevoie pentru a fi atenţionaţi înainte de a utiliza AMGEVITA şi în timpul tratamentului cu AMGEVITA. Păstraţi asupra dumneavoastră acest </w:t>
      </w:r>
      <w:r>
        <w:rPr>
          <w:b/>
        </w:rPr>
        <w:t xml:space="preserve">Card de </w:t>
      </w:r>
      <w:r>
        <w:rPr>
          <w:b/>
          <w:szCs w:val="22"/>
        </w:rPr>
        <w:t>avertizare al pacientului</w:t>
      </w:r>
      <w:r>
        <w:t>.</w:t>
      </w:r>
    </w:p>
    <w:p w14:paraId="60EC4B67" w14:textId="77777777" w:rsidR="00C04CAD" w:rsidRDefault="00060E34">
      <w:pPr>
        <w:pStyle w:val="ListParagraph"/>
        <w:numPr>
          <w:ilvl w:val="0"/>
          <w:numId w:val="47"/>
        </w:numPr>
        <w:spacing w:line="240" w:lineRule="auto"/>
        <w:ind w:left="567" w:hanging="567"/>
      </w:pPr>
      <w:r>
        <w:t>Dacă aveţi orice întrebări suplimentare, adresaţi-vă medicului dumneavoastră sau farmacistului.</w:t>
      </w:r>
    </w:p>
    <w:p w14:paraId="6415A2C8" w14:textId="77777777" w:rsidR="00C04CAD" w:rsidRDefault="00060E34">
      <w:pPr>
        <w:pStyle w:val="BodyText"/>
        <w:numPr>
          <w:ilvl w:val="0"/>
          <w:numId w:val="47"/>
        </w:numPr>
        <w:tabs>
          <w:tab w:val="left" w:pos="567"/>
        </w:tabs>
        <w:kinsoku w:val="0"/>
        <w:overflowPunct w:val="0"/>
        <w:autoSpaceDE w:val="0"/>
        <w:autoSpaceDN w:val="0"/>
        <w:adjustRightInd w:val="0"/>
        <w:ind w:left="567" w:hanging="567"/>
        <w:rPr>
          <w:i w:val="0"/>
          <w:color w:val="auto"/>
        </w:rPr>
      </w:pPr>
      <w:r>
        <w:rPr>
          <w:i w:val="0"/>
          <w:color w:val="auto"/>
        </w:rPr>
        <w:t>Acest medicament a fost prescris numai pentru dumneavoastră. Nu trebuie să-l daţi altor persoane. Le poate face rău, chiar dacă au aceleaşi semne de boală cu ale dumneavoastră.</w:t>
      </w:r>
    </w:p>
    <w:p w14:paraId="2D12AFDE" w14:textId="77777777" w:rsidR="00C04CAD" w:rsidRDefault="00060E34">
      <w:pPr>
        <w:pStyle w:val="BodyText"/>
        <w:numPr>
          <w:ilvl w:val="0"/>
          <w:numId w:val="47"/>
        </w:numPr>
        <w:tabs>
          <w:tab w:val="left" w:pos="567"/>
        </w:tabs>
        <w:kinsoku w:val="0"/>
        <w:overflowPunct w:val="0"/>
        <w:autoSpaceDE w:val="0"/>
        <w:autoSpaceDN w:val="0"/>
        <w:adjustRightInd w:val="0"/>
        <w:ind w:left="567" w:hanging="567"/>
        <w:rPr>
          <w:i w:val="0"/>
          <w:color w:val="auto"/>
        </w:rPr>
      </w:pPr>
      <w:r>
        <w:rPr>
          <w:i w:val="0"/>
          <w:color w:val="auto"/>
        </w:rPr>
        <w:t>Dacă aveţi orice reacţie adversă spuneţi medicului dumneavoastră sau farmacistului. Aceasta include orice posibilă reacţie adversă nemenţionată în acest prospect (vezi pct. 4).</w:t>
      </w:r>
    </w:p>
    <w:p w14:paraId="40F1AFFD" w14:textId="77777777" w:rsidR="00C04CAD" w:rsidRDefault="00C04CAD">
      <w:pPr>
        <w:tabs>
          <w:tab w:val="clear" w:pos="567"/>
        </w:tabs>
        <w:spacing w:line="240" w:lineRule="auto"/>
        <w:ind w:right="-2"/>
      </w:pPr>
    </w:p>
    <w:p w14:paraId="12F95CAC" w14:textId="77777777" w:rsidR="00C04CAD" w:rsidRDefault="00060E34">
      <w:pPr>
        <w:keepNext/>
        <w:numPr>
          <w:ilvl w:val="12"/>
          <w:numId w:val="0"/>
        </w:numPr>
        <w:tabs>
          <w:tab w:val="clear" w:pos="567"/>
        </w:tabs>
        <w:spacing w:line="240" w:lineRule="auto"/>
        <w:ind w:right="-2"/>
        <w:outlineLvl w:val="0"/>
      </w:pPr>
      <w:r>
        <w:rPr>
          <w:b/>
        </w:rPr>
        <w:t>Ce găsiți în acest prospect</w:t>
      </w:r>
    </w:p>
    <w:p w14:paraId="0364EB36" w14:textId="77777777" w:rsidR="00C04CAD" w:rsidRDefault="00C04CAD">
      <w:pPr>
        <w:keepNext/>
        <w:numPr>
          <w:ilvl w:val="12"/>
          <w:numId w:val="0"/>
        </w:numPr>
        <w:tabs>
          <w:tab w:val="clear" w:pos="567"/>
        </w:tabs>
        <w:spacing w:line="240" w:lineRule="auto"/>
        <w:ind w:right="-2"/>
        <w:outlineLvl w:val="0"/>
      </w:pPr>
    </w:p>
    <w:p w14:paraId="51A016FC" w14:textId="77777777" w:rsidR="00C04CAD" w:rsidRDefault="00060E34">
      <w:pPr>
        <w:pStyle w:val="ListParagraph"/>
        <w:numPr>
          <w:ilvl w:val="0"/>
          <w:numId w:val="68"/>
        </w:numPr>
        <w:spacing w:line="240" w:lineRule="auto"/>
        <w:ind w:left="567" w:hanging="567"/>
      </w:pPr>
      <w:r>
        <w:t xml:space="preserve">Ce este </w:t>
      </w:r>
      <w:r>
        <w:rPr>
          <w:spacing w:val="-1"/>
        </w:rPr>
        <w:t>AMGEVITA</w:t>
      </w:r>
      <w:r>
        <w:t xml:space="preserve"> și pentru ce se utilizează </w:t>
      </w:r>
    </w:p>
    <w:p w14:paraId="059EAD5F" w14:textId="77777777" w:rsidR="00C04CAD" w:rsidRDefault="00060E34">
      <w:pPr>
        <w:pStyle w:val="ListParagraph"/>
        <w:numPr>
          <w:ilvl w:val="0"/>
          <w:numId w:val="68"/>
        </w:numPr>
        <w:spacing w:line="240" w:lineRule="auto"/>
        <w:ind w:left="567" w:hanging="567"/>
      </w:pPr>
      <w:r>
        <w:t xml:space="preserve">Ce trebuie să știți înainte să utilizați </w:t>
      </w:r>
      <w:r>
        <w:rPr>
          <w:spacing w:val="-1"/>
        </w:rPr>
        <w:t>AMGEVITA</w:t>
      </w:r>
      <w:r>
        <w:t xml:space="preserve"> </w:t>
      </w:r>
    </w:p>
    <w:p w14:paraId="336DD799" w14:textId="77777777" w:rsidR="00C04CAD" w:rsidRDefault="00060E34">
      <w:pPr>
        <w:pStyle w:val="ListParagraph"/>
        <w:numPr>
          <w:ilvl w:val="0"/>
          <w:numId w:val="68"/>
        </w:numPr>
        <w:spacing w:line="240" w:lineRule="auto"/>
        <w:ind w:left="567" w:hanging="567"/>
      </w:pPr>
      <w:r>
        <w:t xml:space="preserve">Cum să utilizați </w:t>
      </w:r>
      <w:r>
        <w:rPr>
          <w:spacing w:val="-1"/>
        </w:rPr>
        <w:t>AMGEVITA</w:t>
      </w:r>
      <w:r>
        <w:t xml:space="preserve"> </w:t>
      </w:r>
    </w:p>
    <w:p w14:paraId="17F4EA5E" w14:textId="77777777" w:rsidR="00C04CAD" w:rsidRDefault="00060E34">
      <w:pPr>
        <w:pStyle w:val="ListParagraph"/>
        <w:numPr>
          <w:ilvl w:val="0"/>
          <w:numId w:val="68"/>
        </w:numPr>
        <w:spacing w:line="240" w:lineRule="auto"/>
        <w:ind w:left="567" w:hanging="567"/>
      </w:pPr>
      <w:r>
        <w:t xml:space="preserve">Reacții adverse posibile </w:t>
      </w:r>
    </w:p>
    <w:p w14:paraId="29CFCD33" w14:textId="77777777" w:rsidR="00C04CAD" w:rsidRDefault="00060E34">
      <w:pPr>
        <w:pStyle w:val="ListParagraph"/>
        <w:numPr>
          <w:ilvl w:val="0"/>
          <w:numId w:val="68"/>
        </w:numPr>
        <w:spacing w:line="240" w:lineRule="auto"/>
        <w:ind w:left="567" w:hanging="567"/>
      </w:pPr>
      <w:r>
        <w:t xml:space="preserve">Cum se păstrează </w:t>
      </w:r>
      <w:r>
        <w:rPr>
          <w:spacing w:val="-1"/>
        </w:rPr>
        <w:t>AMGEVITA</w:t>
      </w:r>
      <w:r>
        <w:t xml:space="preserve"> </w:t>
      </w:r>
    </w:p>
    <w:p w14:paraId="23FFE815" w14:textId="77777777" w:rsidR="00C04CAD" w:rsidRDefault="00060E34">
      <w:pPr>
        <w:pStyle w:val="ListParagraph"/>
        <w:numPr>
          <w:ilvl w:val="0"/>
          <w:numId w:val="68"/>
        </w:numPr>
        <w:spacing w:line="240" w:lineRule="auto"/>
        <w:ind w:left="567" w:hanging="567"/>
      </w:pPr>
      <w:r>
        <w:t>Conținutul ambalajului și alte informații</w:t>
      </w:r>
    </w:p>
    <w:p w14:paraId="2B773D34" w14:textId="77777777" w:rsidR="00C04CAD" w:rsidRDefault="00C04CAD">
      <w:pPr>
        <w:numPr>
          <w:ilvl w:val="12"/>
          <w:numId w:val="0"/>
        </w:numPr>
        <w:tabs>
          <w:tab w:val="clear" w:pos="567"/>
        </w:tabs>
        <w:spacing w:line="240" w:lineRule="auto"/>
        <w:ind w:right="-2"/>
      </w:pPr>
    </w:p>
    <w:p w14:paraId="1873C9FC" w14:textId="77777777" w:rsidR="00C04CAD" w:rsidRDefault="00C04CAD">
      <w:pPr>
        <w:numPr>
          <w:ilvl w:val="12"/>
          <w:numId w:val="0"/>
        </w:numPr>
        <w:tabs>
          <w:tab w:val="clear" w:pos="567"/>
        </w:tabs>
        <w:spacing w:line="240" w:lineRule="auto"/>
        <w:rPr>
          <w:szCs w:val="22"/>
        </w:rPr>
      </w:pPr>
    </w:p>
    <w:p w14:paraId="2D189713" w14:textId="77777777" w:rsidR="00C04CAD" w:rsidRDefault="00060E34">
      <w:pPr>
        <w:pStyle w:val="ListParagraph"/>
        <w:tabs>
          <w:tab w:val="clear" w:pos="567"/>
        </w:tabs>
        <w:spacing w:line="240" w:lineRule="auto"/>
        <w:ind w:left="567" w:hanging="567"/>
      </w:pPr>
      <w:r>
        <w:rPr>
          <w:b/>
        </w:rPr>
        <w:t>1.</w:t>
      </w:r>
      <w:r>
        <w:rPr>
          <w:b/>
        </w:rPr>
        <w:tab/>
        <w:t xml:space="preserve">Ce este </w:t>
      </w:r>
      <w:r>
        <w:rPr>
          <w:b/>
          <w:spacing w:val="-1"/>
        </w:rPr>
        <w:t>AMGEVITA</w:t>
      </w:r>
      <w:r>
        <w:rPr>
          <w:b/>
        </w:rPr>
        <w:t xml:space="preserve"> și pentru ce se utilizează</w:t>
      </w:r>
    </w:p>
    <w:p w14:paraId="2368752B" w14:textId="77777777" w:rsidR="00C04CAD" w:rsidRDefault="00C04CAD">
      <w:pPr>
        <w:numPr>
          <w:ilvl w:val="12"/>
          <w:numId w:val="0"/>
        </w:numPr>
        <w:tabs>
          <w:tab w:val="clear" w:pos="567"/>
        </w:tabs>
        <w:spacing w:line="240" w:lineRule="auto"/>
      </w:pPr>
    </w:p>
    <w:p w14:paraId="7963AE1C" w14:textId="77777777" w:rsidR="00C04CAD" w:rsidRDefault="00060E34">
      <w:pPr>
        <w:tabs>
          <w:tab w:val="clear" w:pos="567"/>
        </w:tabs>
        <w:kinsoku w:val="0"/>
        <w:overflowPunct w:val="0"/>
        <w:autoSpaceDE w:val="0"/>
        <w:autoSpaceDN w:val="0"/>
        <w:adjustRightInd w:val="0"/>
        <w:spacing w:line="240" w:lineRule="auto"/>
        <w:rPr>
          <w:spacing w:val="-1"/>
          <w:szCs w:val="22"/>
          <w:lang w:eastAsia="en-US" w:bidi="ar-SA"/>
        </w:rPr>
      </w:pPr>
      <w:r>
        <w:rPr>
          <w:spacing w:val="-1"/>
          <w:szCs w:val="22"/>
          <w:lang w:eastAsia="en-US" w:bidi="ar-SA"/>
        </w:rPr>
        <w:t>AMGEVITA</w:t>
      </w:r>
      <w:r>
        <w:t xml:space="preserve"> con</w:t>
      </w:r>
      <w:r>
        <w:rPr>
          <w:spacing w:val="-2"/>
        </w:rPr>
        <w:t>ţ</w:t>
      </w:r>
      <w:r>
        <w:rPr>
          <w:spacing w:val="1"/>
        </w:rPr>
        <w:t>i</w:t>
      </w:r>
      <w:r>
        <w:t>ne</w:t>
      </w:r>
      <w:r>
        <w:rPr>
          <w:spacing w:val="-2"/>
        </w:rPr>
        <w:t xml:space="preserve"> </w:t>
      </w:r>
      <w:r>
        <w:t>sub</w:t>
      </w:r>
      <w:r>
        <w:rPr>
          <w:spacing w:val="-2"/>
        </w:rPr>
        <w:t>s</w:t>
      </w:r>
      <w:r>
        <w:rPr>
          <w:spacing w:val="1"/>
        </w:rPr>
        <w:t>t</w:t>
      </w:r>
      <w:r>
        <w:t>a</w:t>
      </w:r>
      <w:r>
        <w:rPr>
          <w:spacing w:val="-3"/>
        </w:rPr>
        <w:t>n</w:t>
      </w:r>
      <w:r>
        <w:rPr>
          <w:spacing w:val="1"/>
        </w:rPr>
        <w:t>ţ</w:t>
      </w:r>
      <w:r>
        <w:t>a</w:t>
      </w:r>
      <w:r>
        <w:rPr>
          <w:spacing w:val="-2"/>
        </w:rPr>
        <w:t xml:space="preserve"> </w:t>
      </w:r>
      <w:r>
        <w:rPr>
          <w:spacing w:val="-3"/>
        </w:rPr>
        <w:t>a</w:t>
      </w:r>
      <w:r>
        <w:t>c</w:t>
      </w:r>
      <w:r>
        <w:rPr>
          <w:spacing w:val="1"/>
        </w:rPr>
        <w:t>ti</w:t>
      </w:r>
      <w:r>
        <w:rPr>
          <w:spacing w:val="-3"/>
        </w:rPr>
        <w:t>v</w:t>
      </w:r>
      <w:r>
        <w:t>ă a</w:t>
      </w:r>
      <w:r>
        <w:rPr>
          <w:spacing w:val="-3"/>
        </w:rPr>
        <w:t>d</w:t>
      </w:r>
      <w:r>
        <w:t>a</w:t>
      </w:r>
      <w:r>
        <w:rPr>
          <w:spacing w:val="-2"/>
        </w:rPr>
        <w:t>l</w:t>
      </w:r>
      <w:r>
        <w:rPr>
          <w:spacing w:val="1"/>
        </w:rPr>
        <w:t>i</w:t>
      </w:r>
      <w:r>
        <w:rPr>
          <w:spacing w:val="-4"/>
        </w:rPr>
        <w:t>m</w:t>
      </w:r>
      <w:r>
        <w:rPr>
          <w:spacing w:val="2"/>
        </w:rPr>
        <w:t>u</w:t>
      </w:r>
      <w:r>
        <w:rPr>
          <w:spacing w:val="-4"/>
        </w:rPr>
        <w:t>m</w:t>
      </w:r>
      <w:r>
        <w:t>ab, un medicament care acționează asupra sistemului imunitar (de apărare) al organismului.</w:t>
      </w:r>
      <w:r>
        <w:rPr>
          <w:spacing w:val="-1"/>
        </w:rPr>
        <w:t xml:space="preserve"> </w:t>
      </w:r>
    </w:p>
    <w:p w14:paraId="001B70EC" w14:textId="77777777" w:rsidR="00C04CAD" w:rsidRDefault="00C04CAD">
      <w:pPr>
        <w:tabs>
          <w:tab w:val="clear" w:pos="567"/>
        </w:tabs>
        <w:kinsoku w:val="0"/>
        <w:overflowPunct w:val="0"/>
        <w:autoSpaceDE w:val="0"/>
        <w:autoSpaceDN w:val="0"/>
        <w:adjustRightInd w:val="0"/>
        <w:spacing w:line="240" w:lineRule="auto"/>
        <w:rPr>
          <w:spacing w:val="-1"/>
          <w:szCs w:val="22"/>
          <w:lang w:eastAsia="en-US" w:bidi="ar-SA"/>
        </w:rPr>
      </w:pPr>
    </w:p>
    <w:p w14:paraId="37C7ADE1" w14:textId="77777777" w:rsidR="00C04CAD" w:rsidRDefault="00060E34">
      <w:pPr>
        <w:tabs>
          <w:tab w:val="clear" w:pos="567"/>
        </w:tabs>
        <w:kinsoku w:val="0"/>
        <w:overflowPunct w:val="0"/>
        <w:autoSpaceDE w:val="0"/>
        <w:autoSpaceDN w:val="0"/>
        <w:adjustRightInd w:val="0"/>
        <w:spacing w:line="240" w:lineRule="auto"/>
        <w:rPr>
          <w:spacing w:val="-2"/>
          <w:szCs w:val="22"/>
        </w:rPr>
      </w:pPr>
      <w:r>
        <w:rPr>
          <w:spacing w:val="-1"/>
          <w:szCs w:val="22"/>
          <w:lang w:eastAsia="en-US" w:bidi="ar-SA"/>
        </w:rPr>
        <w:t>AMGEVITA</w:t>
      </w:r>
      <w:r>
        <w:rPr>
          <w:szCs w:val="22"/>
        </w:rPr>
        <w:t xml:space="preserve"> es</w:t>
      </w:r>
      <w:r>
        <w:rPr>
          <w:spacing w:val="-2"/>
          <w:szCs w:val="22"/>
        </w:rPr>
        <w:t>t</w:t>
      </w:r>
      <w:r>
        <w:rPr>
          <w:szCs w:val="22"/>
        </w:rPr>
        <w:t>e de</w:t>
      </w:r>
      <w:r>
        <w:rPr>
          <w:spacing w:val="-2"/>
          <w:szCs w:val="22"/>
        </w:rPr>
        <w:t>s</w:t>
      </w:r>
      <w:r>
        <w:rPr>
          <w:spacing w:val="1"/>
          <w:szCs w:val="22"/>
        </w:rPr>
        <w:t>t</w:t>
      </w:r>
      <w:r>
        <w:rPr>
          <w:spacing w:val="-2"/>
          <w:szCs w:val="22"/>
        </w:rPr>
        <w:t>i</w:t>
      </w:r>
      <w:r>
        <w:rPr>
          <w:szCs w:val="22"/>
        </w:rPr>
        <w:t>nat</w:t>
      </w:r>
      <w:r>
        <w:rPr>
          <w:spacing w:val="-2"/>
          <w:szCs w:val="22"/>
        </w:rPr>
        <w:t xml:space="preserve"> t</w:t>
      </w:r>
      <w:r>
        <w:rPr>
          <w:szCs w:val="22"/>
        </w:rPr>
        <w:t>ra</w:t>
      </w:r>
      <w:r>
        <w:rPr>
          <w:spacing w:val="-2"/>
          <w:szCs w:val="22"/>
        </w:rPr>
        <w:t>t</w:t>
      </w:r>
      <w:r>
        <w:rPr>
          <w:szCs w:val="22"/>
        </w:rPr>
        <w:t>a</w:t>
      </w:r>
      <w:r>
        <w:rPr>
          <w:spacing w:val="-2"/>
          <w:szCs w:val="22"/>
        </w:rPr>
        <w:t>m</w:t>
      </w:r>
      <w:r>
        <w:rPr>
          <w:szCs w:val="22"/>
        </w:rPr>
        <w:t>en</w:t>
      </w:r>
      <w:r>
        <w:rPr>
          <w:spacing w:val="1"/>
          <w:szCs w:val="22"/>
        </w:rPr>
        <w:t>t</w:t>
      </w:r>
      <w:r>
        <w:rPr>
          <w:spacing w:val="-3"/>
          <w:szCs w:val="22"/>
        </w:rPr>
        <w:t>u</w:t>
      </w:r>
      <w:r>
        <w:rPr>
          <w:spacing w:val="1"/>
          <w:szCs w:val="22"/>
        </w:rPr>
        <w:t>l</w:t>
      </w:r>
      <w:r>
        <w:rPr>
          <w:szCs w:val="22"/>
        </w:rPr>
        <w:t>ui</w:t>
      </w:r>
      <w:r>
        <w:rPr>
          <w:spacing w:val="-2"/>
          <w:szCs w:val="22"/>
        </w:rPr>
        <w:t xml:space="preserve"> bolilor inflamatorii descrise mai jos:</w:t>
      </w:r>
    </w:p>
    <w:p w14:paraId="026667A9"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Po</w:t>
      </w:r>
      <w:r>
        <w:rPr>
          <w:spacing w:val="-2"/>
          <w:szCs w:val="22"/>
        </w:rPr>
        <w:t>l</w:t>
      </w:r>
      <w:r>
        <w:rPr>
          <w:spacing w:val="1"/>
          <w:szCs w:val="22"/>
        </w:rPr>
        <w:t>i</w:t>
      </w:r>
      <w:r>
        <w:rPr>
          <w:spacing w:val="-3"/>
          <w:szCs w:val="22"/>
        </w:rPr>
        <w:t>a</w:t>
      </w:r>
      <w:r>
        <w:rPr>
          <w:szCs w:val="22"/>
        </w:rPr>
        <w:t>r</w:t>
      </w:r>
      <w:r>
        <w:rPr>
          <w:spacing w:val="-2"/>
          <w:szCs w:val="22"/>
        </w:rPr>
        <w:t>t</w:t>
      </w:r>
      <w:r>
        <w:rPr>
          <w:szCs w:val="22"/>
        </w:rPr>
        <w:t>r</w:t>
      </w:r>
      <w:r>
        <w:rPr>
          <w:spacing w:val="-2"/>
          <w:szCs w:val="22"/>
        </w:rPr>
        <w:t>i</w:t>
      </w:r>
      <w:r>
        <w:rPr>
          <w:spacing w:val="1"/>
          <w:szCs w:val="22"/>
        </w:rPr>
        <w:t>t</w:t>
      </w:r>
      <w:r>
        <w:rPr>
          <w:szCs w:val="22"/>
        </w:rPr>
        <w:t>ă</w:t>
      </w:r>
      <w:r>
        <w:rPr>
          <w:spacing w:val="1"/>
          <w:szCs w:val="22"/>
        </w:rPr>
        <w:t xml:space="preserve"> </w:t>
      </w:r>
      <w:r>
        <w:rPr>
          <w:szCs w:val="22"/>
        </w:rPr>
        <w:t>r</w:t>
      </w:r>
      <w:r>
        <w:rPr>
          <w:spacing w:val="-3"/>
          <w:szCs w:val="22"/>
        </w:rPr>
        <w:t>e</w:t>
      </w:r>
      <w:r>
        <w:rPr>
          <w:szCs w:val="22"/>
        </w:rPr>
        <w:t>u</w:t>
      </w:r>
      <w:r>
        <w:rPr>
          <w:spacing w:val="-4"/>
          <w:szCs w:val="22"/>
        </w:rPr>
        <w:t>m</w:t>
      </w:r>
      <w:r>
        <w:rPr>
          <w:szCs w:val="22"/>
        </w:rPr>
        <w:t>a</w:t>
      </w:r>
      <w:r>
        <w:rPr>
          <w:spacing w:val="1"/>
          <w:szCs w:val="22"/>
        </w:rPr>
        <w:t>t</w:t>
      </w:r>
      <w:r>
        <w:rPr>
          <w:szCs w:val="22"/>
        </w:rPr>
        <w:t>o</w:t>
      </w:r>
      <w:r>
        <w:rPr>
          <w:spacing w:val="-2"/>
          <w:szCs w:val="22"/>
        </w:rPr>
        <w:t>i</w:t>
      </w:r>
      <w:r>
        <w:rPr>
          <w:szCs w:val="22"/>
        </w:rPr>
        <w:t xml:space="preserve">dă </w:t>
      </w:r>
    </w:p>
    <w:p w14:paraId="2DA374DE"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pacing w:val="1"/>
          <w:szCs w:val="22"/>
        </w:rPr>
        <w:t>j</w:t>
      </w:r>
      <w:r>
        <w:rPr>
          <w:szCs w:val="22"/>
        </w:rPr>
        <w:t>u</w:t>
      </w:r>
      <w:r>
        <w:rPr>
          <w:spacing w:val="-3"/>
          <w:szCs w:val="22"/>
        </w:rPr>
        <w:t>v</w:t>
      </w:r>
      <w:r>
        <w:rPr>
          <w:szCs w:val="22"/>
        </w:rPr>
        <w:t>en</w:t>
      </w:r>
      <w:r>
        <w:rPr>
          <w:spacing w:val="-2"/>
          <w:szCs w:val="22"/>
        </w:rPr>
        <w:t>i</w:t>
      </w:r>
      <w:r>
        <w:rPr>
          <w:spacing w:val="1"/>
          <w:szCs w:val="22"/>
        </w:rPr>
        <w:t>l</w:t>
      </w:r>
      <w:r>
        <w:rPr>
          <w:szCs w:val="22"/>
        </w:rPr>
        <w:t>ă</w:t>
      </w:r>
      <w:r>
        <w:rPr>
          <w:spacing w:val="-2"/>
          <w:szCs w:val="22"/>
        </w:rPr>
        <w:t xml:space="preserve"> </w:t>
      </w:r>
      <w:r>
        <w:rPr>
          <w:spacing w:val="1"/>
          <w:szCs w:val="22"/>
        </w:rPr>
        <w:t>i</w:t>
      </w:r>
      <w:r>
        <w:rPr>
          <w:szCs w:val="22"/>
        </w:rPr>
        <w:t>d</w:t>
      </w:r>
      <w:r>
        <w:rPr>
          <w:spacing w:val="-2"/>
          <w:szCs w:val="22"/>
        </w:rPr>
        <w:t>i</w:t>
      </w:r>
      <w:r>
        <w:rPr>
          <w:szCs w:val="22"/>
        </w:rPr>
        <w:t>op</w:t>
      </w:r>
      <w:r>
        <w:rPr>
          <w:spacing w:val="-3"/>
          <w:szCs w:val="22"/>
        </w:rPr>
        <w:t>a</w:t>
      </w:r>
      <w:r>
        <w:rPr>
          <w:spacing w:val="1"/>
          <w:szCs w:val="22"/>
        </w:rPr>
        <w:t>t</w:t>
      </w:r>
      <w:r>
        <w:rPr>
          <w:spacing w:val="-2"/>
          <w:szCs w:val="22"/>
        </w:rPr>
        <w:t>i</w:t>
      </w:r>
      <w:r>
        <w:rPr>
          <w:szCs w:val="22"/>
        </w:rPr>
        <w:t>că f</w:t>
      </w:r>
      <w:r>
        <w:rPr>
          <w:spacing w:val="-3"/>
          <w:szCs w:val="22"/>
        </w:rPr>
        <w:t>o</w:t>
      </w:r>
      <w:r>
        <w:rPr>
          <w:szCs w:val="22"/>
        </w:rPr>
        <w:t>r</w:t>
      </w:r>
      <w:r>
        <w:rPr>
          <w:spacing w:val="-4"/>
          <w:szCs w:val="22"/>
        </w:rPr>
        <w:t>m</w:t>
      </w:r>
      <w:r>
        <w:rPr>
          <w:szCs w:val="22"/>
        </w:rPr>
        <w:t>a po</w:t>
      </w:r>
      <w:r>
        <w:rPr>
          <w:spacing w:val="1"/>
          <w:szCs w:val="22"/>
        </w:rPr>
        <w:t>l</w:t>
      </w:r>
      <w:r>
        <w:rPr>
          <w:spacing w:val="-2"/>
          <w:szCs w:val="22"/>
        </w:rPr>
        <w:t>i</w:t>
      </w:r>
      <w:r>
        <w:rPr>
          <w:szCs w:val="22"/>
        </w:rPr>
        <w:t>a</w:t>
      </w:r>
      <w:r>
        <w:rPr>
          <w:spacing w:val="-2"/>
          <w:szCs w:val="22"/>
        </w:rPr>
        <w:t>r</w:t>
      </w:r>
      <w:r>
        <w:rPr>
          <w:spacing w:val="1"/>
          <w:szCs w:val="22"/>
        </w:rPr>
        <w:t>t</w:t>
      </w:r>
      <w:r>
        <w:rPr>
          <w:spacing w:val="-2"/>
          <w:szCs w:val="22"/>
        </w:rPr>
        <w:t>i</w:t>
      </w:r>
      <w:r>
        <w:rPr>
          <w:szCs w:val="22"/>
        </w:rPr>
        <w:t>cu</w:t>
      </w:r>
      <w:r>
        <w:rPr>
          <w:spacing w:val="-2"/>
          <w:szCs w:val="22"/>
        </w:rPr>
        <w:t>l</w:t>
      </w:r>
      <w:r>
        <w:rPr>
          <w:szCs w:val="22"/>
        </w:rPr>
        <w:t>ară</w:t>
      </w:r>
      <w:r>
        <w:rPr>
          <w:spacing w:val="-3"/>
          <w:szCs w:val="22"/>
        </w:rPr>
        <w:t xml:space="preserve"> </w:t>
      </w:r>
    </w:p>
    <w:p w14:paraId="72C74483"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2"/>
          <w:szCs w:val="22"/>
        </w:rPr>
        <w:t xml:space="preserve"> </w:t>
      </w:r>
      <w:r>
        <w:rPr>
          <w:szCs w:val="22"/>
        </w:rPr>
        <w:t>aso</w:t>
      </w:r>
      <w:r>
        <w:rPr>
          <w:spacing w:val="-3"/>
          <w:szCs w:val="22"/>
        </w:rPr>
        <w:t>c</w:t>
      </w:r>
      <w:r>
        <w:rPr>
          <w:spacing w:val="-2"/>
          <w:szCs w:val="22"/>
        </w:rPr>
        <w:t>i</w:t>
      </w:r>
      <w:r>
        <w:rPr>
          <w:szCs w:val="22"/>
        </w:rPr>
        <w:t>a</w:t>
      </w:r>
      <w:r>
        <w:rPr>
          <w:spacing w:val="1"/>
          <w:szCs w:val="22"/>
        </w:rPr>
        <w:t>t</w:t>
      </w:r>
      <w:r>
        <w:rPr>
          <w:szCs w:val="22"/>
        </w:rPr>
        <w:t>ă</w:t>
      </w:r>
      <w:r>
        <w:rPr>
          <w:spacing w:val="-2"/>
          <w:szCs w:val="22"/>
        </w:rPr>
        <w:t xml:space="preserve"> </w:t>
      </w:r>
      <w:r>
        <w:rPr>
          <w:szCs w:val="22"/>
        </w:rPr>
        <w:t>en</w:t>
      </w:r>
      <w:r>
        <w:rPr>
          <w:spacing w:val="-2"/>
          <w:szCs w:val="22"/>
        </w:rPr>
        <w:t>t</w:t>
      </w:r>
      <w:r>
        <w:rPr>
          <w:szCs w:val="22"/>
        </w:rPr>
        <w:t>e</w:t>
      </w:r>
      <w:r>
        <w:rPr>
          <w:spacing w:val="-3"/>
          <w:szCs w:val="22"/>
        </w:rPr>
        <w:t>z</w:t>
      </w:r>
      <w:r>
        <w:rPr>
          <w:spacing w:val="1"/>
          <w:szCs w:val="22"/>
        </w:rPr>
        <w:t>it</w:t>
      </w:r>
      <w:r>
        <w:rPr>
          <w:spacing w:val="-3"/>
          <w:szCs w:val="22"/>
        </w:rPr>
        <w:t>e</w:t>
      </w:r>
      <w:r>
        <w:rPr>
          <w:spacing w:val="1"/>
          <w:szCs w:val="22"/>
        </w:rPr>
        <w:t>i</w:t>
      </w:r>
      <w:r>
        <w:rPr>
          <w:spacing w:val="-1"/>
          <w:szCs w:val="22"/>
        </w:rPr>
        <w:t xml:space="preserve"> </w:t>
      </w:r>
    </w:p>
    <w:p w14:paraId="619C3A97"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S</w:t>
      </w:r>
      <w:r>
        <w:rPr>
          <w:spacing w:val="-3"/>
          <w:szCs w:val="22"/>
        </w:rPr>
        <w:t>p</w:t>
      </w:r>
      <w:r>
        <w:rPr>
          <w:szCs w:val="22"/>
        </w:rPr>
        <w:t>ond</w:t>
      </w:r>
      <w:r>
        <w:rPr>
          <w:spacing w:val="-2"/>
          <w:szCs w:val="22"/>
        </w:rPr>
        <w:t>i</w:t>
      </w:r>
      <w:r>
        <w:rPr>
          <w:spacing w:val="1"/>
          <w:szCs w:val="22"/>
        </w:rPr>
        <w:t>l</w:t>
      </w:r>
      <w:r>
        <w:rPr>
          <w:spacing w:val="-2"/>
          <w:szCs w:val="22"/>
        </w:rPr>
        <w:t>i</w:t>
      </w:r>
      <w:r>
        <w:rPr>
          <w:spacing w:val="1"/>
          <w:szCs w:val="22"/>
        </w:rPr>
        <w:t>t</w:t>
      </w:r>
      <w:r>
        <w:rPr>
          <w:szCs w:val="22"/>
        </w:rPr>
        <w:t>ă</w:t>
      </w:r>
      <w:r>
        <w:rPr>
          <w:spacing w:val="1"/>
          <w:szCs w:val="22"/>
        </w:rPr>
        <w:t xml:space="preserve"> </w:t>
      </w:r>
      <w:r>
        <w:rPr>
          <w:szCs w:val="22"/>
        </w:rPr>
        <w:t>a</w:t>
      </w:r>
      <w:r>
        <w:rPr>
          <w:spacing w:val="-3"/>
          <w:szCs w:val="22"/>
        </w:rPr>
        <w:t>nc</w:t>
      </w:r>
      <w:r>
        <w:rPr>
          <w:szCs w:val="22"/>
        </w:rPr>
        <w:t>h</w:t>
      </w:r>
      <w:r>
        <w:rPr>
          <w:spacing w:val="1"/>
          <w:szCs w:val="22"/>
        </w:rPr>
        <w:t>il</w:t>
      </w:r>
      <w:r>
        <w:rPr>
          <w:szCs w:val="22"/>
        </w:rPr>
        <w:t>o</w:t>
      </w:r>
      <w:r>
        <w:rPr>
          <w:spacing w:val="-3"/>
          <w:szCs w:val="22"/>
        </w:rPr>
        <w:t>z</w:t>
      </w:r>
      <w:r>
        <w:rPr>
          <w:szCs w:val="22"/>
        </w:rPr>
        <w:t>a</w:t>
      </w:r>
      <w:r>
        <w:rPr>
          <w:spacing w:val="-3"/>
          <w:szCs w:val="22"/>
        </w:rPr>
        <w:t>n</w:t>
      </w:r>
      <w:r>
        <w:rPr>
          <w:spacing w:val="1"/>
          <w:szCs w:val="22"/>
        </w:rPr>
        <w:t>t</w:t>
      </w:r>
      <w:r>
        <w:rPr>
          <w:szCs w:val="22"/>
        </w:rPr>
        <w:t xml:space="preserve">ă </w:t>
      </w:r>
    </w:p>
    <w:p w14:paraId="4180AD5D"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Spo</w:t>
      </w:r>
      <w:r>
        <w:rPr>
          <w:spacing w:val="-1"/>
          <w:szCs w:val="22"/>
        </w:rPr>
        <w:t>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1"/>
          <w:szCs w:val="22"/>
        </w:rPr>
        <w:t xml:space="preserve"> </w:t>
      </w:r>
      <w:r>
        <w:rPr>
          <w:spacing w:val="-2"/>
          <w:szCs w:val="22"/>
        </w:rPr>
        <w:t>a</w:t>
      </w:r>
      <w:r>
        <w:rPr>
          <w:szCs w:val="22"/>
        </w:rPr>
        <w:t>x</w:t>
      </w:r>
      <w:r>
        <w:rPr>
          <w:spacing w:val="1"/>
          <w:szCs w:val="22"/>
        </w:rPr>
        <w:t>i</w:t>
      </w:r>
      <w:r>
        <w:rPr>
          <w:spacing w:val="-2"/>
          <w:szCs w:val="22"/>
        </w:rPr>
        <w:t>a</w:t>
      </w:r>
      <w:r>
        <w:rPr>
          <w:szCs w:val="22"/>
        </w:rPr>
        <w:t xml:space="preserve">lă </w:t>
      </w:r>
      <w:r>
        <w:rPr>
          <w:spacing w:val="-2"/>
          <w:szCs w:val="22"/>
        </w:rPr>
        <w:t>f</w:t>
      </w:r>
      <w:r>
        <w:rPr>
          <w:szCs w:val="22"/>
        </w:rPr>
        <w:t>ără</w:t>
      </w:r>
      <w:r>
        <w:rPr>
          <w:spacing w:val="-2"/>
          <w:szCs w:val="22"/>
        </w:rPr>
        <w:t xml:space="preserve"> </w:t>
      </w:r>
      <w:r>
        <w:rPr>
          <w:szCs w:val="22"/>
        </w:rPr>
        <w:t>do</w:t>
      </w:r>
      <w:r>
        <w:rPr>
          <w:spacing w:val="-3"/>
          <w:szCs w:val="22"/>
        </w:rPr>
        <w:t>v</w:t>
      </w:r>
      <w:r>
        <w:rPr>
          <w:szCs w:val="22"/>
        </w:rPr>
        <w:t>adă rad</w:t>
      </w:r>
      <w:r>
        <w:rPr>
          <w:spacing w:val="-2"/>
          <w:szCs w:val="22"/>
        </w:rPr>
        <w:t>i</w:t>
      </w:r>
      <w:r>
        <w:rPr>
          <w:spacing w:val="-1"/>
          <w:szCs w:val="22"/>
        </w:rPr>
        <w:t>o</w:t>
      </w:r>
      <w:r>
        <w:rPr>
          <w:spacing w:val="1"/>
          <w:szCs w:val="22"/>
        </w:rPr>
        <w:t>l</w:t>
      </w:r>
      <w:r>
        <w:rPr>
          <w:szCs w:val="22"/>
        </w:rPr>
        <w:t>o</w:t>
      </w:r>
      <w:r>
        <w:rPr>
          <w:spacing w:val="-3"/>
          <w:szCs w:val="22"/>
        </w:rPr>
        <w:t>g</w:t>
      </w:r>
      <w:r>
        <w:rPr>
          <w:spacing w:val="1"/>
          <w:szCs w:val="22"/>
        </w:rPr>
        <w:t>i</w:t>
      </w:r>
      <w:r>
        <w:rPr>
          <w:spacing w:val="-3"/>
          <w:szCs w:val="22"/>
        </w:rPr>
        <w:t>c</w:t>
      </w:r>
      <w:r>
        <w:rPr>
          <w:szCs w:val="22"/>
        </w:rPr>
        <w:t xml:space="preserve">ă a </w:t>
      </w:r>
      <w:r>
        <w:rPr>
          <w:spacing w:val="-2"/>
          <w:szCs w:val="22"/>
        </w:rPr>
        <w:t>s</w:t>
      </w:r>
      <w:r>
        <w:rPr>
          <w:szCs w:val="22"/>
        </w:rPr>
        <w:t>pon</w:t>
      </w:r>
      <w:r>
        <w:rPr>
          <w:spacing w:val="-3"/>
          <w:szCs w:val="22"/>
        </w:rPr>
        <w:t>d</w:t>
      </w:r>
      <w:r>
        <w:rPr>
          <w:spacing w:val="1"/>
          <w:szCs w:val="22"/>
        </w:rPr>
        <w:t>i</w:t>
      </w:r>
      <w:r>
        <w:rPr>
          <w:spacing w:val="-2"/>
          <w:szCs w:val="22"/>
        </w:rPr>
        <w:t>l</w:t>
      </w:r>
      <w:r>
        <w:rPr>
          <w:spacing w:val="1"/>
          <w:szCs w:val="22"/>
        </w:rPr>
        <w:t>i</w:t>
      </w:r>
      <w:r>
        <w:rPr>
          <w:spacing w:val="-2"/>
          <w:szCs w:val="22"/>
        </w:rPr>
        <w:t>t</w:t>
      </w:r>
      <w:r>
        <w:rPr>
          <w:szCs w:val="22"/>
        </w:rPr>
        <w:t>ei</w:t>
      </w:r>
      <w:r>
        <w:rPr>
          <w:spacing w:val="1"/>
          <w:szCs w:val="22"/>
        </w:rPr>
        <w:t xml:space="preserve"> </w:t>
      </w:r>
      <w:r>
        <w:rPr>
          <w:spacing w:val="-3"/>
          <w:szCs w:val="22"/>
        </w:rPr>
        <w:t>an</w:t>
      </w:r>
      <w:r>
        <w:rPr>
          <w:szCs w:val="22"/>
        </w:rPr>
        <w:t>ch</w:t>
      </w:r>
      <w:r>
        <w:rPr>
          <w:spacing w:val="-2"/>
          <w:szCs w:val="22"/>
        </w:rPr>
        <w:t>i</w:t>
      </w:r>
      <w:r>
        <w:rPr>
          <w:spacing w:val="1"/>
          <w:szCs w:val="22"/>
        </w:rPr>
        <w:t>l</w:t>
      </w:r>
      <w:r>
        <w:rPr>
          <w:szCs w:val="22"/>
        </w:rPr>
        <w:t>o</w:t>
      </w:r>
      <w:r>
        <w:rPr>
          <w:spacing w:val="-3"/>
          <w:szCs w:val="22"/>
        </w:rPr>
        <w:t>z</w:t>
      </w:r>
      <w:r>
        <w:rPr>
          <w:szCs w:val="22"/>
        </w:rPr>
        <w:t>an</w:t>
      </w:r>
      <w:r>
        <w:rPr>
          <w:spacing w:val="1"/>
          <w:szCs w:val="22"/>
        </w:rPr>
        <w:t>t</w:t>
      </w:r>
      <w:r>
        <w:rPr>
          <w:szCs w:val="22"/>
        </w:rPr>
        <w:t>e</w:t>
      </w:r>
      <w:r>
        <w:rPr>
          <w:spacing w:val="-3"/>
          <w:szCs w:val="22"/>
        </w:rPr>
        <w:t xml:space="preserve"> </w:t>
      </w:r>
    </w:p>
    <w:p w14:paraId="0087A1F4"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A</w:t>
      </w:r>
      <w:r>
        <w:rPr>
          <w:spacing w:val="-2"/>
          <w:szCs w:val="22"/>
        </w:rPr>
        <w:t>r</w:t>
      </w:r>
      <w:r>
        <w:rPr>
          <w:spacing w:val="1"/>
          <w:szCs w:val="22"/>
        </w:rPr>
        <w:t>t</w:t>
      </w:r>
      <w:r>
        <w:rPr>
          <w:spacing w:val="-2"/>
          <w:szCs w:val="22"/>
        </w:rPr>
        <w:t>r</w:t>
      </w:r>
      <w:r>
        <w:rPr>
          <w:spacing w:val="1"/>
          <w:szCs w:val="22"/>
        </w:rPr>
        <w:t>i</w:t>
      </w:r>
      <w:r>
        <w:rPr>
          <w:spacing w:val="-2"/>
          <w:szCs w:val="22"/>
        </w:rPr>
        <w:t>t</w:t>
      </w:r>
      <w:r>
        <w:rPr>
          <w:szCs w:val="22"/>
        </w:rPr>
        <w:t>ă</w:t>
      </w:r>
      <w:r>
        <w:rPr>
          <w:spacing w:val="1"/>
          <w:szCs w:val="22"/>
        </w:rPr>
        <w:t xml:space="preserve"> </w:t>
      </w:r>
      <w:r>
        <w:rPr>
          <w:spacing w:val="-3"/>
          <w:szCs w:val="22"/>
        </w:rPr>
        <w:t>p</w:t>
      </w:r>
      <w:r>
        <w:rPr>
          <w:szCs w:val="22"/>
        </w:rPr>
        <w:t>so</w:t>
      </w:r>
      <w:r>
        <w:rPr>
          <w:spacing w:val="-2"/>
          <w:szCs w:val="22"/>
        </w:rPr>
        <w:t>r</w:t>
      </w:r>
      <w:r>
        <w:rPr>
          <w:spacing w:val="1"/>
          <w:szCs w:val="22"/>
        </w:rPr>
        <w:t>i</w:t>
      </w:r>
      <w:r>
        <w:rPr>
          <w:szCs w:val="22"/>
        </w:rPr>
        <w:t>a</w:t>
      </w:r>
      <w:r>
        <w:rPr>
          <w:spacing w:val="-3"/>
          <w:szCs w:val="22"/>
        </w:rPr>
        <w:t>z</w:t>
      </w:r>
      <w:r>
        <w:rPr>
          <w:spacing w:val="1"/>
          <w:szCs w:val="22"/>
        </w:rPr>
        <w:t>i</w:t>
      </w:r>
      <w:r>
        <w:rPr>
          <w:spacing w:val="-3"/>
          <w:szCs w:val="22"/>
        </w:rPr>
        <w:t>c</w:t>
      </w:r>
      <w:r>
        <w:rPr>
          <w:szCs w:val="22"/>
        </w:rPr>
        <w:t xml:space="preserve">ă </w:t>
      </w:r>
    </w:p>
    <w:p w14:paraId="6E5CC6F5"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Ps</w:t>
      </w:r>
      <w:r>
        <w:rPr>
          <w:spacing w:val="-3"/>
          <w:szCs w:val="22"/>
        </w:rPr>
        <w:t>o</w:t>
      </w:r>
      <w:r>
        <w:rPr>
          <w:szCs w:val="22"/>
        </w:rPr>
        <w:t>r</w:t>
      </w:r>
      <w:r>
        <w:rPr>
          <w:spacing w:val="1"/>
          <w:szCs w:val="22"/>
        </w:rPr>
        <w:t>i</w:t>
      </w:r>
      <w:r>
        <w:rPr>
          <w:szCs w:val="22"/>
        </w:rPr>
        <w:t>a</w:t>
      </w:r>
      <w:r>
        <w:rPr>
          <w:spacing w:val="-3"/>
          <w:szCs w:val="22"/>
        </w:rPr>
        <w:t>z</w:t>
      </w:r>
      <w:r>
        <w:rPr>
          <w:spacing w:val="-2"/>
          <w:szCs w:val="22"/>
        </w:rPr>
        <w:t>i</w:t>
      </w:r>
      <w:r>
        <w:rPr>
          <w:szCs w:val="22"/>
        </w:rPr>
        <w:t xml:space="preserve">s </w:t>
      </w:r>
      <w:r>
        <w:rPr>
          <w:spacing w:val="1"/>
        </w:rPr>
        <w:t>î</w:t>
      </w:r>
      <w:r>
        <w:t>n p</w:t>
      </w:r>
      <w:r>
        <w:rPr>
          <w:spacing w:val="-2"/>
        </w:rPr>
        <w:t>l</w:t>
      </w:r>
      <w:r>
        <w:t>ăci</w:t>
      </w:r>
      <w:r>
        <w:rPr>
          <w:szCs w:val="22"/>
        </w:rPr>
        <w:t xml:space="preserve"> </w:t>
      </w:r>
    </w:p>
    <w:p w14:paraId="7849A37B"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H</w:t>
      </w:r>
      <w:r>
        <w:rPr>
          <w:spacing w:val="1"/>
          <w:szCs w:val="22"/>
        </w:rPr>
        <w:t>i</w:t>
      </w:r>
      <w:r>
        <w:rPr>
          <w:szCs w:val="22"/>
        </w:rPr>
        <w:t>d</w:t>
      </w:r>
      <w:r>
        <w:rPr>
          <w:spacing w:val="-2"/>
          <w:szCs w:val="22"/>
        </w:rPr>
        <w:t>r</w:t>
      </w:r>
      <w:r>
        <w:rPr>
          <w:szCs w:val="22"/>
        </w:rPr>
        <w:t>osa</w:t>
      </w:r>
      <w:r>
        <w:rPr>
          <w:spacing w:val="-3"/>
          <w:szCs w:val="22"/>
        </w:rPr>
        <w:t>d</w:t>
      </w:r>
      <w:r>
        <w:rPr>
          <w:szCs w:val="22"/>
        </w:rPr>
        <w:t>e</w:t>
      </w:r>
      <w:r>
        <w:rPr>
          <w:spacing w:val="-3"/>
          <w:szCs w:val="22"/>
        </w:rPr>
        <w:t>n</w:t>
      </w:r>
      <w:r>
        <w:rPr>
          <w:spacing w:val="1"/>
          <w:szCs w:val="22"/>
        </w:rPr>
        <w:t>it</w:t>
      </w:r>
      <w:r>
        <w:rPr>
          <w:szCs w:val="22"/>
        </w:rPr>
        <w:t>ă</w:t>
      </w:r>
      <w:r>
        <w:rPr>
          <w:spacing w:val="1"/>
          <w:szCs w:val="22"/>
        </w:rPr>
        <w:t xml:space="preserve"> </w:t>
      </w:r>
      <w:r>
        <w:rPr>
          <w:szCs w:val="22"/>
        </w:rPr>
        <w:t>s</w:t>
      </w:r>
      <w:r>
        <w:rPr>
          <w:spacing w:val="-3"/>
          <w:szCs w:val="22"/>
        </w:rPr>
        <w:t>u</w:t>
      </w:r>
      <w:r>
        <w:rPr>
          <w:szCs w:val="22"/>
        </w:rPr>
        <w:t>pu</w:t>
      </w:r>
      <w:r>
        <w:rPr>
          <w:spacing w:val="-2"/>
          <w:szCs w:val="22"/>
        </w:rPr>
        <w:t>r</w:t>
      </w:r>
      <w:r>
        <w:rPr>
          <w:szCs w:val="22"/>
        </w:rPr>
        <w:t>a</w:t>
      </w:r>
      <w:r>
        <w:rPr>
          <w:spacing w:val="-2"/>
          <w:szCs w:val="22"/>
        </w:rPr>
        <w:t>t</w:t>
      </w:r>
      <w:r>
        <w:rPr>
          <w:spacing w:val="1"/>
          <w:szCs w:val="22"/>
        </w:rPr>
        <w:t>i</w:t>
      </w:r>
      <w:r>
        <w:rPr>
          <w:spacing w:val="-3"/>
          <w:szCs w:val="22"/>
        </w:rPr>
        <w:t>v</w:t>
      </w:r>
      <w:r>
        <w:rPr>
          <w:szCs w:val="22"/>
        </w:rPr>
        <w:t>ă</w:t>
      </w:r>
      <w:r>
        <w:rPr>
          <w:szCs w:val="22"/>
          <w:lang w:eastAsia="en-US" w:bidi="ar-SA"/>
        </w:rPr>
        <w:t xml:space="preserve"> </w:t>
      </w:r>
    </w:p>
    <w:p w14:paraId="3C11A271"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B</w:t>
      </w:r>
      <w:r>
        <w:rPr>
          <w:szCs w:val="22"/>
          <w:lang w:eastAsia="en-US" w:bidi="ar-SA"/>
        </w:rPr>
        <w:t>oa</w:t>
      </w:r>
      <w:r>
        <w:rPr>
          <w:spacing w:val="-2"/>
          <w:szCs w:val="22"/>
          <w:lang w:eastAsia="en-US" w:bidi="ar-SA"/>
        </w:rPr>
        <w:t>l</w:t>
      </w:r>
      <w:r>
        <w:rPr>
          <w:szCs w:val="22"/>
        </w:rPr>
        <w:t>ă</w:t>
      </w:r>
      <w:r>
        <w:rPr>
          <w:szCs w:val="22"/>
          <w:lang w:eastAsia="en-US" w:bidi="ar-SA"/>
        </w:rPr>
        <w:t xml:space="preserve"> </w:t>
      </w:r>
      <w:r>
        <w:rPr>
          <w:spacing w:val="-1"/>
          <w:szCs w:val="22"/>
          <w:lang w:eastAsia="en-US" w:bidi="ar-SA"/>
        </w:rPr>
        <w:t>C</w:t>
      </w:r>
      <w:r>
        <w:rPr>
          <w:szCs w:val="22"/>
          <w:lang w:eastAsia="en-US" w:bidi="ar-SA"/>
        </w:rPr>
        <w:t>rohn</w:t>
      </w:r>
      <w:r>
        <w:rPr>
          <w:szCs w:val="22"/>
        </w:rPr>
        <w:t xml:space="preserve"> </w:t>
      </w:r>
    </w:p>
    <w:p w14:paraId="0B918D2A"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C</w:t>
      </w:r>
      <w:r>
        <w:rPr>
          <w:spacing w:val="-3"/>
          <w:szCs w:val="22"/>
        </w:rPr>
        <w:t>o</w:t>
      </w:r>
      <w:r>
        <w:rPr>
          <w:spacing w:val="-2"/>
          <w:szCs w:val="22"/>
        </w:rPr>
        <w:t>l</w:t>
      </w:r>
      <w:r>
        <w:rPr>
          <w:spacing w:val="1"/>
          <w:szCs w:val="22"/>
        </w:rPr>
        <w:t>it</w:t>
      </w:r>
      <w:r>
        <w:rPr>
          <w:szCs w:val="22"/>
        </w:rPr>
        <w:t>ă</w:t>
      </w:r>
      <w:r>
        <w:rPr>
          <w:spacing w:val="1"/>
          <w:szCs w:val="22"/>
        </w:rPr>
        <w:t xml:space="preserve"> </w:t>
      </w:r>
      <w:r>
        <w:rPr>
          <w:spacing w:val="-3"/>
          <w:szCs w:val="22"/>
        </w:rPr>
        <w:t>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lang w:eastAsia="en-US" w:bidi="ar-SA"/>
        </w:rPr>
        <w:t>ă</w:t>
      </w:r>
      <w:r>
        <w:rPr>
          <w:spacing w:val="-2"/>
          <w:szCs w:val="22"/>
        </w:rPr>
        <w:t xml:space="preserve"> </w:t>
      </w:r>
    </w:p>
    <w:p w14:paraId="69E13C01"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rPr>
        <w:t>U</w:t>
      </w:r>
      <w:r>
        <w:rPr>
          <w:spacing w:val="-3"/>
          <w:szCs w:val="22"/>
        </w:rPr>
        <w:t>v</w:t>
      </w:r>
      <w:r>
        <w:rPr>
          <w:szCs w:val="22"/>
        </w:rPr>
        <w:t>e</w:t>
      </w:r>
      <w:r>
        <w:rPr>
          <w:spacing w:val="1"/>
          <w:szCs w:val="22"/>
        </w:rPr>
        <w:t>it</w:t>
      </w:r>
      <w:r>
        <w:rPr>
          <w:szCs w:val="22"/>
        </w:rPr>
        <w:t>ă</w:t>
      </w:r>
      <w:r>
        <w:rPr>
          <w:spacing w:val="1"/>
          <w:szCs w:val="22"/>
        </w:rPr>
        <w:t xml:space="preserve"> </w:t>
      </w:r>
      <w:r>
        <w:rPr>
          <w:spacing w:val="-1"/>
          <w:szCs w:val="22"/>
        </w:rPr>
        <w:t>n</w:t>
      </w:r>
      <w:r>
        <w:rPr>
          <w:szCs w:val="22"/>
        </w:rPr>
        <w:t>on</w:t>
      </w:r>
      <w:r>
        <w:rPr>
          <w:spacing w:val="-4"/>
          <w:szCs w:val="22"/>
        </w:rPr>
        <w:t>-</w:t>
      </w:r>
      <w:r>
        <w:rPr>
          <w:spacing w:val="1"/>
          <w:szCs w:val="22"/>
        </w:rPr>
        <w:t>i</w:t>
      </w:r>
      <w:r>
        <w:rPr>
          <w:szCs w:val="22"/>
        </w:rPr>
        <w:t>nfe</w:t>
      </w:r>
      <w:r>
        <w:rPr>
          <w:spacing w:val="-3"/>
          <w:szCs w:val="22"/>
        </w:rPr>
        <w:t>c</w:t>
      </w:r>
      <w:r>
        <w:rPr>
          <w:spacing w:val="1"/>
          <w:szCs w:val="22"/>
        </w:rPr>
        <w:t>ţ</w:t>
      </w:r>
      <w:r>
        <w:rPr>
          <w:spacing w:val="-2"/>
          <w:szCs w:val="22"/>
        </w:rPr>
        <w:t>i</w:t>
      </w:r>
      <w:r>
        <w:rPr>
          <w:szCs w:val="22"/>
        </w:rPr>
        <w:t>oa</w:t>
      </w:r>
      <w:r>
        <w:rPr>
          <w:spacing w:val="-2"/>
          <w:szCs w:val="22"/>
        </w:rPr>
        <w:t>s</w:t>
      </w:r>
      <w:r>
        <w:rPr>
          <w:szCs w:val="22"/>
        </w:rPr>
        <w:t>ă</w:t>
      </w:r>
    </w:p>
    <w:p w14:paraId="00C7D19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CC0AF4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szCs w:val="22"/>
        </w:rPr>
        <w:t>S</w:t>
      </w:r>
      <w:r>
        <w:rPr>
          <w:spacing w:val="-2"/>
          <w:szCs w:val="22"/>
        </w:rPr>
        <w:t>u</w:t>
      </w:r>
      <w:r>
        <w:rPr>
          <w:szCs w:val="22"/>
        </w:rPr>
        <w:t>b</w:t>
      </w:r>
      <w:r>
        <w:rPr>
          <w:spacing w:val="-2"/>
          <w:szCs w:val="22"/>
        </w:rPr>
        <w:t>s</w:t>
      </w:r>
      <w:r>
        <w:rPr>
          <w:spacing w:val="1"/>
          <w:szCs w:val="22"/>
        </w:rPr>
        <w:t>t</w:t>
      </w:r>
      <w:r>
        <w:rPr>
          <w:szCs w:val="22"/>
        </w:rPr>
        <w:t>a</w:t>
      </w:r>
      <w:r>
        <w:rPr>
          <w:spacing w:val="-3"/>
          <w:szCs w:val="22"/>
        </w:rPr>
        <w:t>n</w:t>
      </w:r>
      <w:r>
        <w:rPr>
          <w:spacing w:val="1"/>
          <w:szCs w:val="22"/>
        </w:rPr>
        <w:t>ţ</w:t>
      </w:r>
      <w:r>
        <w:rPr>
          <w:szCs w:val="22"/>
        </w:rPr>
        <w:t>a ac</w:t>
      </w:r>
      <w:r>
        <w:rPr>
          <w:spacing w:val="-2"/>
          <w:szCs w:val="22"/>
        </w:rPr>
        <w:t>t</w:t>
      </w:r>
      <w:r>
        <w:rPr>
          <w:spacing w:val="1"/>
          <w:szCs w:val="22"/>
        </w:rPr>
        <w:t>i</w:t>
      </w:r>
      <w:r>
        <w:rPr>
          <w:spacing w:val="-3"/>
          <w:szCs w:val="22"/>
        </w:rPr>
        <w:t>v</w:t>
      </w:r>
      <w:r>
        <w:rPr>
          <w:szCs w:val="22"/>
        </w:rPr>
        <w:t>ă a AMGEVITA, ad</w:t>
      </w:r>
      <w:r>
        <w:rPr>
          <w:spacing w:val="-3"/>
          <w:szCs w:val="22"/>
        </w:rPr>
        <w:t>a</w:t>
      </w:r>
      <w:r>
        <w:rPr>
          <w:spacing w:val="1"/>
          <w:szCs w:val="22"/>
        </w:rPr>
        <w:t>li</w:t>
      </w:r>
      <w:r>
        <w:rPr>
          <w:spacing w:val="-4"/>
          <w:szCs w:val="22"/>
        </w:rPr>
        <w:t>m</w:t>
      </w:r>
      <w:r>
        <w:rPr>
          <w:szCs w:val="22"/>
        </w:rPr>
        <w:t>u</w:t>
      </w:r>
      <w:r>
        <w:rPr>
          <w:spacing w:val="-4"/>
          <w:szCs w:val="22"/>
        </w:rPr>
        <w:t>m</w:t>
      </w:r>
      <w:r>
        <w:rPr>
          <w:szCs w:val="22"/>
        </w:rPr>
        <w:t>ab, es</w:t>
      </w:r>
      <w:r>
        <w:rPr>
          <w:spacing w:val="1"/>
          <w:szCs w:val="22"/>
        </w:rPr>
        <w:t>t</w:t>
      </w:r>
      <w:r>
        <w:rPr>
          <w:szCs w:val="22"/>
        </w:rPr>
        <w:t>e un</w:t>
      </w:r>
      <w:r>
        <w:rPr>
          <w:spacing w:val="-3"/>
          <w:szCs w:val="22"/>
        </w:rPr>
        <w:t xml:space="preserve"> </w:t>
      </w:r>
      <w:r>
        <w:rPr>
          <w:szCs w:val="22"/>
        </w:rPr>
        <w:t>an</w:t>
      </w:r>
      <w:r>
        <w:rPr>
          <w:spacing w:val="-2"/>
          <w:szCs w:val="22"/>
        </w:rPr>
        <w:t>t</w:t>
      </w:r>
      <w:r>
        <w:rPr>
          <w:spacing w:val="1"/>
          <w:szCs w:val="22"/>
        </w:rPr>
        <w:t>i</w:t>
      </w:r>
      <w:r>
        <w:rPr>
          <w:szCs w:val="22"/>
        </w:rPr>
        <w:t>c</w:t>
      </w:r>
      <w:r>
        <w:rPr>
          <w:spacing w:val="-3"/>
          <w:szCs w:val="22"/>
        </w:rPr>
        <w:t>o</w:t>
      </w:r>
      <w:r>
        <w:rPr>
          <w:szCs w:val="22"/>
        </w:rPr>
        <w:t xml:space="preserve">rp </w:t>
      </w:r>
      <w:r>
        <w:rPr>
          <w:spacing w:val="-4"/>
          <w:szCs w:val="22"/>
        </w:rPr>
        <w:t>m</w:t>
      </w:r>
      <w:r>
        <w:rPr>
          <w:szCs w:val="22"/>
        </w:rPr>
        <w:t>onoc</w:t>
      </w:r>
      <w:r>
        <w:rPr>
          <w:spacing w:val="1"/>
          <w:szCs w:val="22"/>
        </w:rPr>
        <w:t>l</w:t>
      </w:r>
      <w:r>
        <w:rPr>
          <w:szCs w:val="22"/>
        </w:rPr>
        <w:t>on</w:t>
      </w:r>
      <w:r>
        <w:rPr>
          <w:spacing w:val="-3"/>
          <w:szCs w:val="22"/>
        </w:rPr>
        <w:t>a</w:t>
      </w:r>
      <w:r>
        <w:rPr>
          <w:szCs w:val="22"/>
        </w:rPr>
        <w:t>l</w:t>
      </w:r>
      <w:r>
        <w:rPr>
          <w:spacing w:val="1"/>
          <w:szCs w:val="22"/>
        </w:rPr>
        <w:t xml:space="preserve"> </w:t>
      </w:r>
      <w:r>
        <w:rPr>
          <w:szCs w:val="22"/>
        </w:rPr>
        <w:t>u</w:t>
      </w:r>
      <w:r>
        <w:rPr>
          <w:spacing w:val="-4"/>
          <w:szCs w:val="22"/>
        </w:rPr>
        <w:t>m</w:t>
      </w:r>
      <w:r>
        <w:rPr>
          <w:szCs w:val="22"/>
        </w:rPr>
        <w:t xml:space="preserve">an. </w:t>
      </w:r>
      <w:r>
        <w:rPr>
          <w:spacing w:val="-1"/>
          <w:szCs w:val="22"/>
        </w:rPr>
        <w:t>A</w:t>
      </w:r>
      <w:r>
        <w:rPr>
          <w:szCs w:val="22"/>
        </w:rPr>
        <w:t>n</w:t>
      </w:r>
      <w:r>
        <w:rPr>
          <w:spacing w:val="1"/>
          <w:szCs w:val="22"/>
        </w:rPr>
        <w:t>ti</w:t>
      </w:r>
      <w:r>
        <w:rPr>
          <w:spacing w:val="-3"/>
          <w:szCs w:val="22"/>
        </w:rPr>
        <w:t>c</w:t>
      </w:r>
      <w:r>
        <w:rPr>
          <w:szCs w:val="22"/>
        </w:rPr>
        <w:t>or</w:t>
      </w:r>
      <w:r>
        <w:rPr>
          <w:spacing w:val="-3"/>
          <w:szCs w:val="22"/>
        </w:rPr>
        <w:t>p</w:t>
      </w:r>
      <w:r>
        <w:rPr>
          <w:spacing w:val="1"/>
          <w:szCs w:val="22"/>
        </w:rPr>
        <w:t>i</w:t>
      </w:r>
      <w:r>
        <w:rPr>
          <w:szCs w:val="22"/>
        </w:rPr>
        <w:t xml:space="preserve">i </w:t>
      </w:r>
      <w:r>
        <w:rPr>
          <w:spacing w:val="-4"/>
          <w:szCs w:val="22"/>
        </w:rPr>
        <w:t>m</w:t>
      </w:r>
      <w:r>
        <w:rPr>
          <w:szCs w:val="22"/>
        </w:rPr>
        <w:t>onoc</w:t>
      </w:r>
      <w:r>
        <w:rPr>
          <w:spacing w:val="1"/>
          <w:szCs w:val="22"/>
        </w:rPr>
        <w:t>l</w:t>
      </w:r>
      <w:r>
        <w:rPr>
          <w:szCs w:val="22"/>
        </w:rPr>
        <w:t>ona</w:t>
      </w:r>
      <w:r>
        <w:rPr>
          <w:spacing w:val="-2"/>
          <w:szCs w:val="22"/>
        </w:rPr>
        <w:t>l</w:t>
      </w:r>
      <w:r>
        <w:rPr>
          <w:szCs w:val="22"/>
        </w:rPr>
        <w:t>i</w:t>
      </w:r>
      <w:r>
        <w:rPr>
          <w:spacing w:val="1"/>
          <w:szCs w:val="22"/>
        </w:rPr>
        <w:t xml:space="preserve"> </w:t>
      </w:r>
      <w:r>
        <w:rPr>
          <w:szCs w:val="22"/>
        </w:rPr>
        <w:t>su</w:t>
      </w:r>
      <w:r>
        <w:rPr>
          <w:spacing w:val="-3"/>
          <w:szCs w:val="22"/>
        </w:rPr>
        <w:t>n</w:t>
      </w:r>
      <w:r>
        <w:rPr>
          <w:szCs w:val="22"/>
        </w:rPr>
        <w:t>t</w:t>
      </w:r>
      <w:r>
        <w:rPr>
          <w:spacing w:val="1"/>
          <w:szCs w:val="22"/>
        </w:rPr>
        <w:t xml:space="preserve"> </w:t>
      </w:r>
      <w:r>
        <w:rPr>
          <w:spacing w:val="-3"/>
          <w:szCs w:val="22"/>
        </w:rPr>
        <w:t>p</w:t>
      </w:r>
      <w:r>
        <w:rPr>
          <w:szCs w:val="22"/>
        </w:rPr>
        <w:t>ro</w:t>
      </w:r>
      <w:r>
        <w:rPr>
          <w:spacing w:val="-2"/>
          <w:szCs w:val="22"/>
        </w:rPr>
        <w:t>t</w:t>
      </w:r>
      <w:r>
        <w:rPr>
          <w:szCs w:val="22"/>
        </w:rPr>
        <w:t>e</w:t>
      </w:r>
      <w:r>
        <w:rPr>
          <w:spacing w:val="1"/>
          <w:szCs w:val="22"/>
        </w:rPr>
        <w:t>i</w:t>
      </w:r>
      <w:r>
        <w:rPr>
          <w:spacing w:val="-3"/>
          <w:szCs w:val="22"/>
        </w:rPr>
        <w:t>n</w:t>
      </w:r>
      <w:r>
        <w:rPr>
          <w:szCs w:val="22"/>
        </w:rPr>
        <w:t xml:space="preserve">e </w:t>
      </w:r>
      <w:r>
        <w:rPr>
          <w:spacing w:val="-3"/>
          <w:szCs w:val="22"/>
        </w:rPr>
        <w:t>c</w:t>
      </w:r>
      <w:r>
        <w:rPr>
          <w:szCs w:val="22"/>
        </w:rPr>
        <w:t>are</w:t>
      </w:r>
      <w:r>
        <w:rPr>
          <w:spacing w:val="-2"/>
          <w:szCs w:val="22"/>
        </w:rPr>
        <w:t xml:space="preserve"> se ataşează </w:t>
      </w:r>
      <w:r>
        <w:rPr>
          <w:szCs w:val="22"/>
        </w:rPr>
        <w:t>sp</w:t>
      </w:r>
      <w:r>
        <w:rPr>
          <w:spacing w:val="-3"/>
          <w:szCs w:val="22"/>
        </w:rPr>
        <w:t>e</w:t>
      </w:r>
      <w:r>
        <w:rPr>
          <w:szCs w:val="22"/>
        </w:rPr>
        <w:t>c</w:t>
      </w:r>
      <w:r>
        <w:rPr>
          <w:spacing w:val="-2"/>
          <w:szCs w:val="22"/>
        </w:rPr>
        <w:t>i</w:t>
      </w:r>
      <w:r>
        <w:rPr>
          <w:szCs w:val="22"/>
        </w:rPr>
        <w:t>f</w:t>
      </w:r>
      <w:r>
        <w:rPr>
          <w:spacing w:val="1"/>
          <w:szCs w:val="22"/>
        </w:rPr>
        <w:t>i</w:t>
      </w:r>
      <w:r>
        <w:rPr>
          <w:spacing w:val="-3"/>
          <w:szCs w:val="22"/>
        </w:rPr>
        <w:t>c</w:t>
      </w:r>
      <w:r>
        <w:rPr>
          <w:szCs w:val="22"/>
        </w:rPr>
        <w:t xml:space="preserve"> de ţintă. </w:t>
      </w:r>
    </w:p>
    <w:p w14:paraId="57100DD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DEF72B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Ţinta adalimumabului este o proteină denumită factor de necroză tumorală (TNFα), care este implicată în sistemul imunitar (de apărare) și este prezentă în concentrații crescute în bolile inflamatorii enumerate mai sus. Prin atașarea la TNFa, AMGEVITA scade procesul de inflamare din aceste boli.</w:t>
      </w:r>
    </w:p>
    <w:p w14:paraId="0610BFD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B9C10B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Poliartrită reumatoidă</w:t>
      </w:r>
    </w:p>
    <w:p w14:paraId="3D3926A0"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48B972C" w14:textId="77777777" w:rsidR="00C04CAD" w:rsidRDefault="00060E34">
      <w:pPr>
        <w:tabs>
          <w:tab w:val="clear" w:pos="567"/>
        </w:tabs>
        <w:kinsoku w:val="0"/>
        <w:overflowPunct w:val="0"/>
        <w:autoSpaceDE w:val="0"/>
        <w:autoSpaceDN w:val="0"/>
        <w:adjustRightInd w:val="0"/>
        <w:spacing w:line="240" w:lineRule="auto"/>
      </w:pPr>
      <w:r>
        <w:rPr>
          <w:spacing w:val="-1"/>
        </w:rPr>
        <w:t>P</w:t>
      </w:r>
      <w:r>
        <w:t>o</w:t>
      </w:r>
      <w:r>
        <w:rPr>
          <w:spacing w:val="1"/>
        </w:rPr>
        <w:t>l</w:t>
      </w:r>
      <w:r>
        <w:rPr>
          <w:spacing w:val="-2"/>
        </w:rPr>
        <w:t>i</w:t>
      </w:r>
      <w:r>
        <w:t>a</w:t>
      </w:r>
      <w:r>
        <w:rPr>
          <w:spacing w:val="-2"/>
        </w:rPr>
        <w:t>r</w:t>
      </w:r>
      <w:r>
        <w:rPr>
          <w:spacing w:val="1"/>
        </w:rPr>
        <w:t>t</w:t>
      </w:r>
      <w:r>
        <w:rPr>
          <w:spacing w:val="-2"/>
        </w:rPr>
        <w:t>r</w:t>
      </w:r>
      <w:r>
        <w:rPr>
          <w:spacing w:val="1"/>
        </w:rPr>
        <w:t>it</w:t>
      </w:r>
      <w:r>
        <w:t>a</w:t>
      </w:r>
      <w:r>
        <w:rPr>
          <w:spacing w:val="-2"/>
        </w:rPr>
        <w:t xml:space="preserve"> </w:t>
      </w:r>
      <w:r>
        <w:t>reu</w:t>
      </w:r>
      <w:r>
        <w:rPr>
          <w:spacing w:val="-4"/>
        </w:rPr>
        <w:t>m</w:t>
      </w:r>
      <w:r>
        <w:t>a</w:t>
      </w:r>
      <w:r>
        <w:rPr>
          <w:spacing w:val="1"/>
        </w:rPr>
        <w:t>t</w:t>
      </w:r>
      <w:r>
        <w:rPr>
          <w:spacing w:val="-3"/>
        </w:rPr>
        <w:t>o</w:t>
      </w:r>
      <w:r>
        <w:rPr>
          <w:spacing w:val="1"/>
        </w:rPr>
        <w:t>i</w:t>
      </w:r>
      <w:r>
        <w:t>dă</w:t>
      </w:r>
      <w:r>
        <w:rPr>
          <w:spacing w:val="-2"/>
        </w:rPr>
        <w:t xml:space="preserve"> </w:t>
      </w:r>
      <w:r>
        <w:t>es</w:t>
      </w:r>
      <w:r>
        <w:rPr>
          <w:spacing w:val="-2"/>
        </w:rPr>
        <w:t>t</w:t>
      </w:r>
      <w:r>
        <w:t>e</w:t>
      </w:r>
      <w:r>
        <w:rPr>
          <w:spacing w:val="-2"/>
        </w:rPr>
        <w:t xml:space="preserve"> </w:t>
      </w:r>
      <w:r>
        <w:t>o boa</w:t>
      </w:r>
      <w:r>
        <w:rPr>
          <w:spacing w:val="-2"/>
        </w:rPr>
        <w:t>l</w:t>
      </w:r>
      <w:r>
        <w:t xml:space="preserve">ă </w:t>
      </w:r>
      <w:r>
        <w:rPr>
          <w:spacing w:val="1"/>
        </w:rPr>
        <w:t>i</w:t>
      </w:r>
      <w:r>
        <w:rPr>
          <w:spacing w:val="-3"/>
        </w:rPr>
        <w:t>n</w:t>
      </w:r>
      <w:r>
        <w:t>f</w:t>
      </w:r>
      <w:r>
        <w:rPr>
          <w:spacing w:val="-2"/>
        </w:rPr>
        <w:t>l</w:t>
      </w:r>
      <w:r>
        <w:t>a</w:t>
      </w:r>
      <w:r>
        <w:rPr>
          <w:spacing w:val="-4"/>
        </w:rPr>
        <w:t>m</w:t>
      </w:r>
      <w:r>
        <w:t>a</w:t>
      </w:r>
      <w:r>
        <w:rPr>
          <w:spacing w:val="1"/>
        </w:rPr>
        <w:t>t</w:t>
      </w:r>
      <w:r>
        <w:t>o</w:t>
      </w:r>
      <w:r>
        <w:rPr>
          <w:spacing w:val="-3"/>
        </w:rPr>
        <w:t>r</w:t>
      </w:r>
      <w:r>
        <w:rPr>
          <w:spacing w:val="1"/>
        </w:rPr>
        <w:t>i</w:t>
      </w:r>
      <w:r>
        <w:t>e a</w:t>
      </w:r>
      <w:r>
        <w:rPr>
          <w:spacing w:val="-2"/>
        </w:rPr>
        <w:t xml:space="preserve"> </w:t>
      </w:r>
      <w:r>
        <w:t>a</w:t>
      </w:r>
      <w:r>
        <w:rPr>
          <w:spacing w:val="-2"/>
        </w:rPr>
        <w:t>r</w:t>
      </w:r>
      <w:r>
        <w:rPr>
          <w:spacing w:val="1"/>
        </w:rPr>
        <w:t>ti</w:t>
      </w:r>
      <w:r>
        <w:rPr>
          <w:spacing w:val="-3"/>
        </w:rPr>
        <w:t>c</w:t>
      </w:r>
      <w:r>
        <w:t>u</w:t>
      </w:r>
      <w:r>
        <w:rPr>
          <w:spacing w:val="1"/>
        </w:rPr>
        <w:t>l</w:t>
      </w:r>
      <w:r>
        <w:rPr>
          <w:spacing w:val="-3"/>
        </w:rPr>
        <w:t>a</w:t>
      </w:r>
      <w:r>
        <w:rPr>
          <w:spacing w:val="1"/>
        </w:rPr>
        <w:t>ţ</w:t>
      </w:r>
      <w:r>
        <w:rPr>
          <w:spacing w:val="-2"/>
        </w:rPr>
        <w:t>i</w:t>
      </w:r>
      <w:r>
        <w:rPr>
          <w:spacing w:val="1"/>
        </w:rPr>
        <w:t>il</w:t>
      </w:r>
      <w:r>
        <w:rPr>
          <w:spacing w:val="-3"/>
        </w:rPr>
        <w:t>o</w:t>
      </w:r>
      <w:r>
        <w:t>r.</w:t>
      </w:r>
    </w:p>
    <w:p w14:paraId="0A336507" w14:textId="77777777" w:rsidR="00C04CAD" w:rsidRDefault="00C04CAD">
      <w:pPr>
        <w:tabs>
          <w:tab w:val="clear" w:pos="567"/>
        </w:tabs>
        <w:kinsoku w:val="0"/>
        <w:overflowPunct w:val="0"/>
        <w:autoSpaceDE w:val="0"/>
        <w:autoSpaceDN w:val="0"/>
        <w:adjustRightInd w:val="0"/>
        <w:spacing w:line="240" w:lineRule="auto"/>
      </w:pPr>
    </w:p>
    <w:p w14:paraId="70B7828D"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rPr>
          <w:spacing w:val="-2"/>
        </w:rPr>
        <w:t>r</w:t>
      </w:r>
      <w:r>
        <w:t>e</w:t>
      </w:r>
      <w:r>
        <w:rPr>
          <w:spacing w:val="-3"/>
        </w:rPr>
        <w:t>u</w:t>
      </w:r>
      <w:r>
        <w:rPr>
          <w:spacing w:val="-4"/>
        </w:rPr>
        <w:t>m</w:t>
      </w:r>
      <w:r>
        <w:t>a</w:t>
      </w:r>
      <w:r>
        <w:rPr>
          <w:spacing w:val="1"/>
        </w:rPr>
        <w:t>t</w:t>
      </w:r>
      <w:r>
        <w:t>o</w:t>
      </w:r>
      <w:r>
        <w:rPr>
          <w:spacing w:val="1"/>
        </w:rPr>
        <w:t>i</w:t>
      </w:r>
      <w:r>
        <w:t xml:space="preserve">de </w:t>
      </w:r>
      <w:r>
        <w:rPr>
          <w:spacing w:val="-2"/>
        </w:rPr>
        <w:t>l</w:t>
      </w:r>
      <w:r>
        <w:t>a ad</w:t>
      </w:r>
      <w:r>
        <w:rPr>
          <w:spacing w:val="-3"/>
        </w:rPr>
        <w:t>u</w:t>
      </w:r>
      <w:r>
        <w:rPr>
          <w:spacing w:val="1"/>
        </w:rPr>
        <w:t>lt</w:t>
      </w:r>
      <w:r>
        <w:t>.</w:t>
      </w:r>
      <w:r>
        <w:rPr>
          <w:spacing w:val="-3"/>
        </w:rPr>
        <w:t xml:space="preserve"> </w:t>
      </w:r>
      <w:r>
        <w:rPr>
          <w:spacing w:val="-1"/>
        </w:rPr>
        <w:t>D</w:t>
      </w:r>
      <w:r>
        <w:t>acă</w:t>
      </w:r>
      <w:r>
        <w:rPr>
          <w:spacing w:val="-2"/>
        </w:rPr>
        <w:t xml:space="preserve"> ave</w:t>
      </w:r>
      <w:r>
        <w:rPr>
          <w:spacing w:val="1"/>
        </w:rPr>
        <w:t>ţ</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t>ă reu</w:t>
      </w:r>
      <w:r>
        <w:rPr>
          <w:spacing w:val="-4"/>
        </w:rPr>
        <w:t>m</w:t>
      </w:r>
      <w:r>
        <w:t>a</w:t>
      </w:r>
      <w:r>
        <w:rPr>
          <w:spacing w:val="1"/>
        </w:rPr>
        <w:t>t</w:t>
      </w:r>
      <w:r>
        <w:rPr>
          <w:spacing w:val="-1"/>
        </w:rPr>
        <w:t>o</w:t>
      </w:r>
      <w:r>
        <w:rPr>
          <w:spacing w:val="1"/>
        </w:rPr>
        <w:t>i</w:t>
      </w:r>
      <w:r>
        <w:rPr>
          <w:spacing w:val="-3"/>
        </w:rPr>
        <w:t>d</w:t>
      </w:r>
      <w:r>
        <w:t>ă a</w:t>
      </w:r>
      <w:r>
        <w:rPr>
          <w:spacing w:val="-3"/>
        </w:rPr>
        <w:t>c</w:t>
      </w:r>
      <w:r>
        <w:rPr>
          <w:spacing w:val="1"/>
        </w:rPr>
        <w:t>ti</w:t>
      </w:r>
      <w:r>
        <w:rPr>
          <w:spacing w:val="-3"/>
        </w:rPr>
        <w:t>v</w:t>
      </w:r>
      <w:r>
        <w:t xml:space="preserve">ă </w:t>
      </w:r>
      <w:r>
        <w:rPr>
          <w:spacing w:val="-4"/>
        </w:rPr>
        <w:t>m</w:t>
      </w:r>
      <w:r>
        <w:t>oder</w:t>
      </w:r>
      <w:r>
        <w:rPr>
          <w:spacing w:val="-3"/>
        </w:rPr>
        <w:t>a</w:t>
      </w:r>
      <w:r>
        <w:rPr>
          <w:spacing w:val="1"/>
        </w:rPr>
        <w:t>t</w:t>
      </w:r>
      <w:r>
        <w:t>ă</w:t>
      </w:r>
      <w:r>
        <w:rPr>
          <w:spacing w:val="-2"/>
        </w:rPr>
        <w:t xml:space="preserve"> </w:t>
      </w:r>
      <w:r>
        <w:t>până</w:t>
      </w:r>
      <w:r>
        <w:rPr>
          <w:spacing w:val="-2"/>
        </w:rPr>
        <w:t xml:space="preserve"> </w:t>
      </w:r>
      <w:r>
        <w:rPr>
          <w:spacing w:val="1"/>
        </w:rPr>
        <w:t>l</w:t>
      </w:r>
      <w:r>
        <w:t xml:space="preserve">a </w:t>
      </w:r>
      <w:r>
        <w:rPr>
          <w:spacing w:val="-2"/>
        </w:rPr>
        <w:t>s</w:t>
      </w:r>
      <w:r>
        <w:t>e</w:t>
      </w:r>
      <w:r>
        <w:rPr>
          <w:spacing w:val="-3"/>
        </w:rPr>
        <w:t>v</w:t>
      </w:r>
      <w:r>
        <w:t xml:space="preserve">eră, </w:t>
      </w:r>
      <w:r>
        <w:rPr>
          <w:spacing w:val="-3"/>
        </w:rPr>
        <w:t>e</w:t>
      </w:r>
      <w:r>
        <w:t>s</w:t>
      </w:r>
      <w:r>
        <w:rPr>
          <w:spacing w:val="-2"/>
        </w:rPr>
        <w:t>t</w:t>
      </w:r>
      <w:r>
        <w:t>e po</w:t>
      </w:r>
      <w:r>
        <w:rPr>
          <w:spacing w:val="-2"/>
        </w:rPr>
        <w:t>s</w:t>
      </w:r>
      <w:r>
        <w:rPr>
          <w:spacing w:val="1"/>
        </w:rPr>
        <w:t>i</w:t>
      </w:r>
      <w:r>
        <w:rPr>
          <w:spacing w:val="-3"/>
        </w:rPr>
        <w:t>b</w:t>
      </w:r>
      <w:r>
        <w:rPr>
          <w:spacing w:val="1"/>
        </w:rPr>
        <w:t>i</w:t>
      </w:r>
      <w:r>
        <w:t>l</w:t>
      </w:r>
      <w:r>
        <w:rPr>
          <w:spacing w:val="-2"/>
        </w:rPr>
        <w:t xml:space="preserve"> </w:t>
      </w:r>
      <w:r>
        <w:t xml:space="preserve">să </w:t>
      </w:r>
      <w:r>
        <w:rPr>
          <w:spacing w:val="-3"/>
        </w:rPr>
        <w:t>v</w:t>
      </w:r>
      <w:r>
        <w:t>i</w:t>
      </w:r>
      <w:r>
        <w:rPr>
          <w:spacing w:val="1"/>
        </w:rPr>
        <w:t xml:space="preserve"> </w:t>
      </w:r>
      <w:r>
        <w:t>se</w:t>
      </w:r>
      <w:r>
        <w:rPr>
          <w:spacing w:val="-2"/>
        </w:rPr>
        <w:t xml:space="preserve"> </w:t>
      </w:r>
      <w:r>
        <w:t>ad</w:t>
      </w:r>
      <w:r>
        <w:rPr>
          <w:spacing w:val="-4"/>
        </w:rPr>
        <w:t>m</w:t>
      </w:r>
      <w:r>
        <w:rPr>
          <w:spacing w:val="1"/>
        </w:rPr>
        <w:t>i</w:t>
      </w:r>
      <w:r>
        <w:t>n</w:t>
      </w:r>
      <w:r>
        <w:rPr>
          <w:spacing w:val="1"/>
        </w:rPr>
        <w:t>i</w:t>
      </w:r>
      <w:r>
        <w:rPr>
          <w:spacing w:val="-2"/>
        </w:rPr>
        <w:t>s</w:t>
      </w:r>
      <w:r>
        <w:rPr>
          <w:spacing w:val="1"/>
        </w:rPr>
        <w:t>t</w:t>
      </w:r>
      <w:r>
        <w:t>re</w:t>
      </w:r>
      <w:r>
        <w:rPr>
          <w:spacing w:val="-3"/>
        </w:rPr>
        <w:t>z</w:t>
      </w:r>
      <w:r>
        <w:t>e</w:t>
      </w:r>
      <w:r>
        <w:rPr>
          <w:spacing w:val="-2"/>
        </w:rPr>
        <w:t xml:space="preserve"> </w:t>
      </w:r>
      <w:r>
        <w:rPr>
          <w:spacing w:val="1"/>
        </w:rPr>
        <w:t>î</w:t>
      </w:r>
      <w:r>
        <w:t>n</w:t>
      </w:r>
      <w:r>
        <w:rPr>
          <w:spacing w:val="-2"/>
        </w:rPr>
        <w:t>t</w:t>
      </w:r>
      <w:r>
        <w:t>âi</w:t>
      </w:r>
      <w:r>
        <w:rPr>
          <w:spacing w:val="-2"/>
        </w:rPr>
        <w:t xml:space="preserve"> </w:t>
      </w:r>
      <w:r>
        <w:t>a</w:t>
      </w:r>
      <w:r>
        <w:rPr>
          <w:spacing w:val="1"/>
        </w:rPr>
        <w:t>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care </w:t>
      </w:r>
      <w:r>
        <w:rPr>
          <w:spacing w:val="-4"/>
        </w:rPr>
        <w:t>m</w:t>
      </w:r>
      <w:r>
        <w:t>od</w:t>
      </w:r>
      <w:r>
        <w:rPr>
          <w:spacing w:val="-2"/>
        </w:rPr>
        <w:t>i</w:t>
      </w:r>
      <w:r>
        <w:t>f</w:t>
      </w:r>
      <w:r>
        <w:rPr>
          <w:spacing w:val="1"/>
        </w:rPr>
        <w:t>i</w:t>
      </w:r>
      <w:r>
        <w:rPr>
          <w:spacing w:val="-3"/>
        </w:rPr>
        <w:t>c</w:t>
      </w:r>
      <w:r>
        <w:t>ă e</w:t>
      </w:r>
      <w:r>
        <w:rPr>
          <w:spacing w:val="-3"/>
        </w:rPr>
        <w:t>v</w:t>
      </w:r>
      <w:r>
        <w:t>o</w:t>
      </w:r>
      <w:r>
        <w:rPr>
          <w:spacing w:val="1"/>
        </w:rPr>
        <w:t>l</w:t>
      </w:r>
      <w:r>
        <w:rPr>
          <w:spacing w:val="-3"/>
        </w:rPr>
        <w:t>u</w:t>
      </w:r>
      <w:r>
        <w:rPr>
          <w:spacing w:val="1"/>
        </w:rPr>
        <w:t>ţi</w:t>
      </w:r>
      <w:r>
        <w:t>a</w:t>
      </w:r>
      <w:r>
        <w:rPr>
          <w:spacing w:val="-2"/>
        </w:rPr>
        <w:t xml:space="preserve"> </w:t>
      </w:r>
      <w:r>
        <w:t>bo</w:t>
      </w:r>
      <w:r>
        <w:rPr>
          <w:spacing w:val="-2"/>
        </w:rPr>
        <w:t>l</w:t>
      </w:r>
      <w:r>
        <w:rPr>
          <w:spacing w:val="1"/>
        </w:rPr>
        <w:t>i</w:t>
      </w:r>
      <w:r>
        <w:rPr>
          <w:spacing w:val="-2"/>
        </w:rPr>
        <w:t>i</w:t>
      </w:r>
      <w:r>
        <w:t>, cum</w:t>
      </w:r>
      <w:r>
        <w:rPr>
          <w:spacing w:val="-4"/>
        </w:rPr>
        <w:t xml:space="preserve"> </w:t>
      </w:r>
      <w:r>
        <w:t>es</w:t>
      </w:r>
      <w:r>
        <w:rPr>
          <w:spacing w:val="1"/>
        </w:rPr>
        <w:t>t</w:t>
      </w:r>
      <w:r>
        <w:t xml:space="preserve">e </w:t>
      </w:r>
      <w:r>
        <w:rPr>
          <w:spacing w:val="-4"/>
        </w:rPr>
        <w:t>m</w:t>
      </w:r>
      <w:r>
        <w:t>e</w:t>
      </w:r>
      <w:r>
        <w:rPr>
          <w:spacing w:val="1"/>
        </w:rPr>
        <w:t>t</w:t>
      </w:r>
      <w:r>
        <w:t>o</w:t>
      </w:r>
      <w:r>
        <w:rPr>
          <w:spacing w:val="-2"/>
        </w:rPr>
        <w:t>t</w:t>
      </w:r>
      <w:r>
        <w:t>rex</w:t>
      </w:r>
      <w:r>
        <w:rPr>
          <w:spacing w:val="-3"/>
        </w:rPr>
        <w:t>a</w:t>
      </w:r>
      <w:r>
        <w:t xml:space="preserve">t. </w:t>
      </w:r>
      <w:r>
        <w:rPr>
          <w:spacing w:val="-1"/>
        </w:rPr>
        <w:t>D</w:t>
      </w:r>
      <w:r>
        <w:rPr>
          <w:spacing w:val="-3"/>
        </w:rPr>
        <w:t>a</w:t>
      </w:r>
      <w:r>
        <w:t>că</w:t>
      </w:r>
      <w:r>
        <w:rPr>
          <w:spacing w:val="-2"/>
        </w:rPr>
        <w:t xml:space="preserve"> </w:t>
      </w:r>
      <w:r>
        <w:t>nu r</w:t>
      </w:r>
      <w:r>
        <w:rPr>
          <w:spacing w:val="-3"/>
        </w:rPr>
        <w:t>ă</w:t>
      </w:r>
      <w:r>
        <w:t>spun</w:t>
      </w:r>
      <w:r>
        <w:rPr>
          <w:spacing w:val="-3"/>
        </w:rPr>
        <w:t>d</w:t>
      </w:r>
      <w:r>
        <w:t>e</w:t>
      </w:r>
      <w:r>
        <w:rPr>
          <w:spacing w:val="-2"/>
        </w:rPr>
        <w:t>ţ</w:t>
      </w:r>
      <w:r>
        <w:t>i</w:t>
      </w:r>
      <w:r>
        <w:rPr>
          <w:spacing w:val="1"/>
        </w:rPr>
        <w:t xml:space="preserve"> </w:t>
      </w:r>
      <w:r>
        <w:t>s</w:t>
      </w:r>
      <w:r>
        <w:rPr>
          <w:spacing w:val="-3"/>
        </w:rPr>
        <w:t>u</w:t>
      </w:r>
      <w:r>
        <w:t>f</w:t>
      </w:r>
      <w:r>
        <w:rPr>
          <w:spacing w:val="-2"/>
        </w:rPr>
        <w:t>i</w:t>
      </w:r>
      <w:r>
        <w:t>c</w:t>
      </w:r>
      <w:r>
        <w:rPr>
          <w:spacing w:val="1"/>
        </w:rPr>
        <w:t>i</w:t>
      </w:r>
      <w:r>
        <w:rPr>
          <w:spacing w:val="-3"/>
        </w:rPr>
        <w:t>e</w:t>
      </w:r>
      <w:r>
        <w:t>nt</w:t>
      </w:r>
      <w:r>
        <w:rPr>
          <w:spacing w:val="1"/>
        </w:rPr>
        <w:t xml:space="preserve"> </w:t>
      </w:r>
      <w:r>
        <w:rPr>
          <w:spacing w:val="-3"/>
        </w:rPr>
        <w:t>d</w:t>
      </w:r>
      <w:r>
        <w:t>e</w:t>
      </w:r>
      <w:r>
        <w:rPr>
          <w:spacing w:val="-2"/>
        </w:rPr>
        <w:t xml:space="preserve"> </w:t>
      </w:r>
      <w:r>
        <w:t>b</w:t>
      </w:r>
      <w:r>
        <w:rPr>
          <w:spacing w:val="1"/>
        </w:rPr>
        <w:t>i</w:t>
      </w:r>
      <w:r>
        <w:t>ne</w:t>
      </w:r>
      <w:r>
        <w:rPr>
          <w:spacing w:val="-2"/>
        </w:rPr>
        <w:t xml:space="preserve"> </w:t>
      </w:r>
      <w:r>
        <w:rPr>
          <w:spacing w:val="1"/>
        </w:rPr>
        <w:t>l</w:t>
      </w:r>
      <w:r>
        <w:t xml:space="preserve">a </w:t>
      </w:r>
      <w:r>
        <w:rPr>
          <w:spacing w:val="-3"/>
        </w:rPr>
        <w:t>a</w:t>
      </w:r>
      <w:r>
        <w:t>ce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3"/>
        </w:rPr>
        <w:t>v</w:t>
      </w:r>
      <w:r>
        <w:t>i</w:t>
      </w:r>
      <w:r>
        <w:rPr>
          <w:spacing w:val="1"/>
        </w:rPr>
        <w:t xml:space="preserve"> </w:t>
      </w:r>
      <w:r>
        <w:t xml:space="preserve">se </w:t>
      </w:r>
      <w:r>
        <w:rPr>
          <w:spacing w:val="-3"/>
        </w:rPr>
        <w:t>v</w:t>
      </w:r>
      <w:r>
        <w:t>a ad</w:t>
      </w:r>
      <w:r>
        <w:rPr>
          <w:spacing w:val="-4"/>
        </w:rPr>
        <w:t>m</w:t>
      </w:r>
      <w:r>
        <w:rPr>
          <w:spacing w:val="1"/>
        </w:rPr>
        <w:t>i</w:t>
      </w:r>
      <w:r>
        <w:t>n</w:t>
      </w:r>
      <w:r>
        <w:rPr>
          <w:spacing w:val="1"/>
        </w:rPr>
        <w:t>i</w:t>
      </w:r>
      <w:r>
        <w:rPr>
          <w:spacing w:val="-2"/>
        </w:rPr>
        <w:t>s</w:t>
      </w:r>
      <w:r>
        <w:rPr>
          <w:spacing w:val="1"/>
        </w:rPr>
        <w:t>t</w:t>
      </w:r>
      <w:r>
        <w:t xml:space="preserve">ra </w:t>
      </w:r>
      <w:r>
        <w:rPr>
          <w:spacing w:val="-1"/>
          <w:szCs w:val="22"/>
          <w:lang w:eastAsia="en-US" w:bidi="ar-SA"/>
        </w:rPr>
        <w:t>AMGEVITA</w:t>
      </w:r>
      <w:r>
        <w:rPr>
          <w:spacing w:val="-2"/>
        </w:rPr>
        <w:t xml:space="preserve"> </w:t>
      </w:r>
      <w:r>
        <w:rPr>
          <w:spacing w:val="1"/>
        </w:rPr>
        <w:t>î</w:t>
      </w:r>
      <w:r>
        <w:t xml:space="preserve">n </w:t>
      </w:r>
      <w:r>
        <w:rPr>
          <w:spacing w:val="-3"/>
        </w:rPr>
        <w:t>v</w:t>
      </w:r>
      <w:r>
        <w:t>ed</w:t>
      </w:r>
      <w:r>
        <w:rPr>
          <w:spacing w:val="-3"/>
        </w:rPr>
        <w:t>e</w:t>
      </w:r>
      <w:r>
        <w:t>rea</w:t>
      </w:r>
      <w:r>
        <w:rPr>
          <w:spacing w:val="-2"/>
        </w:rPr>
        <w:t xml:space="preserve"> </w:t>
      </w:r>
      <w:r>
        <w:rPr>
          <w:spacing w:val="1"/>
        </w:rPr>
        <w:t>t</w:t>
      </w:r>
      <w:r>
        <w:rPr>
          <w:spacing w:val="-2"/>
        </w:rPr>
        <w:t>r</w:t>
      </w:r>
      <w:r>
        <w:t>a</w:t>
      </w:r>
      <w:r>
        <w:rPr>
          <w:spacing w:val="1"/>
        </w:rPr>
        <w:t>t</w:t>
      </w:r>
      <w:r>
        <w:rPr>
          <w:spacing w:val="-3"/>
        </w:rPr>
        <w:t>ă</w:t>
      </w:r>
      <w:r>
        <w:t>r</w:t>
      </w:r>
      <w:r>
        <w:rPr>
          <w:spacing w:val="-2"/>
        </w:rPr>
        <w:t>i</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t>du</w:t>
      </w:r>
      <w:r>
        <w:rPr>
          <w:spacing w:val="-4"/>
        </w:rPr>
        <w:t>m</w:t>
      </w:r>
      <w:r>
        <w:t>nea</w:t>
      </w:r>
      <w:r>
        <w:rPr>
          <w:spacing w:val="-3"/>
        </w:rPr>
        <w:t>v</w:t>
      </w:r>
      <w:r>
        <w:t>oas</w:t>
      </w:r>
      <w:r>
        <w:rPr>
          <w:spacing w:val="-2"/>
        </w:rPr>
        <w:t>t</w:t>
      </w:r>
      <w:r>
        <w:t>ră</w:t>
      </w:r>
      <w:r>
        <w:rPr>
          <w:spacing w:val="-2"/>
        </w:rPr>
        <w:t xml:space="preserve"> </w:t>
      </w:r>
      <w:r>
        <w:t>reu</w:t>
      </w:r>
      <w:r>
        <w:rPr>
          <w:spacing w:val="-4"/>
        </w:rPr>
        <w:t>m</w:t>
      </w:r>
      <w:r>
        <w:t>a</w:t>
      </w:r>
      <w:r>
        <w:rPr>
          <w:spacing w:val="1"/>
        </w:rPr>
        <w:t>t</w:t>
      </w:r>
      <w:r>
        <w:t>o</w:t>
      </w:r>
      <w:r>
        <w:rPr>
          <w:spacing w:val="1"/>
        </w:rPr>
        <w:t>i</w:t>
      </w:r>
      <w:r>
        <w:rPr>
          <w:spacing w:val="-3"/>
        </w:rPr>
        <w:t>d</w:t>
      </w:r>
      <w:r>
        <w:t>e.</w:t>
      </w:r>
    </w:p>
    <w:p w14:paraId="4B18403A" w14:textId="77777777" w:rsidR="00C04CAD" w:rsidRDefault="00C04CAD">
      <w:pPr>
        <w:tabs>
          <w:tab w:val="clear" w:pos="567"/>
        </w:tabs>
        <w:kinsoku w:val="0"/>
        <w:overflowPunct w:val="0"/>
        <w:autoSpaceDE w:val="0"/>
        <w:autoSpaceDN w:val="0"/>
        <w:adjustRightInd w:val="0"/>
        <w:spacing w:line="240" w:lineRule="auto"/>
      </w:pPr>
    </w:p>
    <w:p w14:paraId="7C64C536"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poa</w:t>
      </w:r>
      <w:r>
        <w:rPr>
          <w:spacing w:val="-2"/>
        </w:rPr>
        <w:t>t</w:t>
      </w:r>
      <w:r>
        <w:t xml:space="preserve">e </w:t>
      </w:r>
      <w:r>
        <w:rPr>
          <w:spacing w:val="-2"/>
        </w:rPr>
        <w:t>f</w:t>
      </w:r>
      <w:r>
        <w:t>i</w:t>
      </w:r>
      <w:r>
        <w:rPr>
          <w:spacing w:val="1"/>
        </w:rPr>
        <w:t xml:space="preserve"> </w:t>
      </w:r>
      <w:r>
        <w:t>de</w:t>
      </w:r>
      <w:r>
        <w:rPr>
          <w:spacing w:val="-2"/>
        </w:rPr>
        <w:t xml:space="preserve"> </w:t>
      </w:r>
      <w:r>
        <w:t>ase</w:t>
      </w:r>
      <w:r>
        <w:rPr>
          <w:spacing w:val="-4"/>
        </w:rPr>
        <w:t>m</w:t>
      </w:r>
      <w:r>
        <w:t>enea f</w:t>
      </w:r>
      <w:r>
        <w:rPr>
          <w:spacing w:val="-3"/>
        </w:rPr>
        <w:t>o</w:t>
      </w:r>
      <w:r>
        <w:rPr>
          <w:spacing w:val="1"/>
        </w:rPr>
        <w:t>l</w:t>
      </w:r>
      <w:r>
        <w:t>o</w:t>
      </w:r>
      <w:r>
        <w:rPr>
          <w:spacing w:val="-2"/>
        </w:rPr>
        <w:t>s</w:t>
      </w:r>
      <w:r>
        <w:rPr>
          <w:spacing w:val="1"/>
        </w:rPr>
        <w:t>i</w:t>
      </w:r>
      <w:r>
        <w:t>t</w:t>
      </w:r>
      <w:r>
        <w:rPr>
          <w:spacing w:val="-2"/>
        </w:rPr>
        <w:t xml:space="preserve"> </w:t>
      </w:r>
      <w:r>
        <w:t>pe</w:t>
      </w:r>
      <w:r>
        <w:rPr>
          <w:spacing w:val="-3"/>
        </w:rPr>
        <w:t>n</w:t>
      </w:r>
      <w:r>
        <w:rPr>
          <w:spacing w:val="1"/>
        </w:rPr>
        <w:t>t</w:t>
      </w:r>
      <w:r>
        <w:t>ru</w:t>
      </w:r>
      <w:r>
        <w:rPr>
          <w:spacing w:val="-3"/>
        </w:rPr>
        <w:t xml:space="preserve"> </w:t>
      </w:r>
      <w:r>
        <w:t xml:space="preserve">a </w:t>
      </w:r>
      <w:r>
        <w:rPr>
          <w:spacing w:val="-2"/>
        </w:rPr>
        <w:t>t</w:t>
      </w:r>
      <w:r>
        <w:t>r</w:t>
      </w:r>
      <w:r>
        <w:rPr>
          <w:spacing w:val="-3"/>
        </w:rPr>
        <w:t>a</w:t>
      </w:r>
      <w:r>
        <w:rPr>
          <w:spacing w:val="1"/>
        </w:rPr>
        <w:t>t</w:t>
      </w:r>
      <w:r>
        <w:t>a p</w:t>
      </w:r>
      <w:r>
        <w:rPr>
          <w:spacing w:val="-3"/>
        </w:rPr>
        <w:t>o</w:t>
      </w:r>
      <w:r>
        <w:rPr>
          <w:spacing w:val="1"/>
        </w:rPr>
        <w:t>l</w:t>
      </w:r>
      <w:r>
        <w:rPr>
          <w:spacing w:val="-2"/>
        </w:rPr>
        <w:t>i</w:t>
      </w:r>
      <w:r>
        <w:t>ar</w:t>
      </w:r>
      <w:r>
        <w:rPr>
          <w:spacing w:val="-2"/>
        </w:rPr>
        <w:t>t</w:t>
      </w:r>
      <w:r>
        <w:t>r</w:t>
      </w:r>
      <w:r>
        <w:rPr>
          <w:spacing w:val="-2"/>
        </w:rPr>
        <w:t>i</w:t>
      </w:r>
      <w:r>
        <w:rPr>
          <w:spacing w:val="1"/>
        </w:rPr>
        <w:t>t</w:t>
      </w:r>
      <w:r>
        <w:t>a</w:t>
      </w:r>
      <w:r>
        <w:rPr>
          <w:spacing w:val="-2"/>
        </w:rPr>
        <w:t xml:space="preserve"> </w:t>
      </w:r>
      <w:r>
        <w:t>reu</w:t>
      </w:r>
      <w:r>
        <w:rPr>
          <w:spacing w:val="-4"/>
        </w:rPr>
        <w:t>m</w:t>
      </w:r>
      <w:r>
        <w:t>a</w:t>
      </w:r>
      <w:r>
        <w:rPr>
          <w:spacing w:val="1"/>
        </w:rPr>
        <w:t>t</w:t>
      </w:r>
      <w:r>
        <w:t>o</w:t>
      </w:r>
      <w:r>
        <w:rPr>
          <w:spacing w:val="-2"/>
        </w:rPr>
        <w:t>i</w:t>
      </w:r>
      <w:r>
        <w:t xml:space="preserve">dă </w:t>
      </w:r>
      <w:r>
        <w:rPr>
          <w:spacing w:val="-3"/>
        </w:rPr>
        <w:t>a</w:t>
      </w:r>
      <w:r>
        <w:t>c</w:t>
      </w:r>
      <w:r>
        <w:rPr>
          <w:spacing w:val="-2"/>
        </w:rPr>
        <w:t>t</w:t>
      </w:r>
      <w:r>
        <w:rPr>
          <w:spacing w:val="1"/>
        </w:rPr>
        <w:t>i</w:t>
      </w:r>
      <w:r>
        <w:rPr>
          <w:spacing w:val="-3"/>
        </w:rPr>
        <w:t>v</w:t>
      </w:r>
      <w:r>
        <w:t>ă s</w:t>
      </w:r>
      <w:r>
        <w:rPr>
          <w:spacing w:val="-3"/>
        </w:rPr>
        <w:t>ev</w:t>
      </w:r>
      <w:r>
        <w:t>eră şi</w:t>
      </w:r>
      <w:r>
        <w:rPr>
          <w:spacing w:val="1"/>
        </w:rPr>
        <w:t xml:space="preserve"> </w:t>
      </w:r>
      <w:r>
        <w:rPr>
          <w:spacing w:val="-3"/>
        </w:rPr>
        <w:t>p</w:t>
      </w:r>
      <w:r>
        <w:t>ro</w:t>
      </w:r>
      <w:r>
        <w:rPr>
          <w:spacing w:val="-3"/>
        </w:rPr>
        <w:t>g</w:t>
      </w:r>
      <w:r>
        <w:t>re</w:t>
      </w:r>
      <w:r>
        <w:rPr>
          <w:spacing w:val="-2"/>
        </w:rPr>
        <w:t>s</w:t>
      </w:r>
      <w:r>
        <w:rPr>
          <w:spacing w:val="1"/>
        </w:rPr>
        <w:t>i</w:t>
      </w:r>
      <w:r>
        <w:rPr>
          <w:spacing w:val="-3"/>
        </w:rPr>
        <w:t xml:space="preserve">vă </w:t>
      </w:r>
      <w:r>
        <w:t>fă</w:t>
      </w:r>
      <w:r>
        <w:rPr>
          <w:spacing w:val="-2"/>
        </w:rPr>
        <w:t>r</w:t>
      </w:r>
      <w:r>
        <w:t>ă să</w:t>
      </w:r>
      <w:r>
        <w:rPr>
          <w:spacing w:val="-2"/>
        </w:rPr>
        <w:t xml:space="preserve"> </w:t>
      </w:r>
      <w:r>
        <w:t>se</w:t>
      </w:r>
      <w:r>
        <w:rPr>
          <w:spacing w:val="-2"/>
        </w:rPr>
        <w:t xml:space="preserve"> </w:t>
      </w:r>
      <w:r>
        <w:t>fi</w:t>
      </w:r>
      <w:r>
        <w:rPr>
          <w:spacing w:val="1"/>
        </w:rPr>
        <w:t xml:space="preserve">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t</w:t>
      </w:r>
      <w:r>
        <w:rPr>
          <w:spacing w:val="1"/>
        </w:rPr>
        <w:t xml:space="preserve"> </w:t>
      </w:r>
      <w:r>
        <w:t>a</w:t>
      </w:r>
      <w:r>
        <w:rPr>
          <w:spacing w:val="-3"/>
        </w:rPr>
        <w:t>n</w:t>
      </w:r>
      <w:r>
        <w:rPr>
          <w:spacing w:val="-2"/>
        </w:rPr>
        <w:t>t</w:t>
      </w:r>
      <w:r>
        <w:t>er</w:t>
      </w:r>
      <w:r>
        <w:rPr>
          <w:spacing w:val="1"/>
        </w:rPr>
        <w:t>i</w:t>
      </w:r>
      <w:r>
        <w:rPr>
          <w:spacing w:val="-3"/>
        </w:rPr>
        <w:t>o</w:t>
      </w:r>
      <w:r>
        <w:t>r</w:t>
      </w:r>
      <w:r>
        <w:rPr>
          <w:spacing w:val="-2"/>
        </w:rPr>
        <w:t xml:space="preserve"> </w:t>
      </w:r>
      <w:r>
        <w:rPr>
          <w:spacing w:val="1"/>
        </w:rPr>
        <w:t>t</w:t>
      </w:r>
      <w:r>
        <w:t>r</w:t>
      </w:r>
      <w:r>
        <w:rPr>
          <w:spacing w:val="-3"/>
        </w:rPr>
        <w:t>a</w:t>
      </w:r>
      <w:r>
        <w:rPr>
          <w:spacing w:val="1"/>
        </w:rPr>
        <w:t>t</w:t>
      </w:r>
      <w:r>
        <w:t>a</w:t>
      </w:r>
      <w:r>
        <w:rPr>
          <w:spacing w:val="-4"/>
        </w:rPr>
        <w:t>m</w:t>
      </w:r>
      <w:r>
        <w:t>ent</w:t>
      </w:r>
      <w:r>
        <w:rPr>
          <w:spacing w:val="1"/>
        </w:rPr>
        <w:t xml:space="preserve"> </w:t>
      </w:r>
      <w:r>
        <w:t>cu</w:t>
      </w:r>
      <w:r>
        <w:rPr>
          <w:spacing w:val="-3"/>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w:t>
      </w:r>
    </w:p>
    <w:p w14:paraId="40EEA825" w14:textId="77777777" w:rsidR="00C04CAD" w:rsidRDefault="00C04CAD">
      <w:pPr>
        <w:tabs>
          <w:tab w:val="clear" w:pos="567"/>
        </w:tabs>
        <w:kinsoku w:val="0"/>
        <w:overflowPunct w:val="0"/>
        <w:autoSpaceDE w:val="0"/>
        <w:autoSpaceDN w:val="0"/>
        <w:adjustRightInd w:val="0"/>
        <w:spacing w:line="240" w:lineRule="auto"/>
        <w:rPr>
          <w:sz w:val="24"/>
        </w:rPr>
      </w:pPr>
    </w:p>
    <w:p w14:paraId="1EB5734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szCs w:val="22"/>
          <w:lang w:eastAsia="en-US" w:bidi="ar-SA"/>
        </w:rPr>
        <w:t>AMGEVITA</w:t>
      </w:r>
      <w:r>
        <w:t xml:space="preserve"> </w:t>
      </w:r>
      <w:r>
        <w:rPr>
          <w:spacing w:val="1"/>
        </w:rPr>
        <w:t>î</w:t>
      </w:r>
      <w:r>
        <w:rPr>
          <w:spacing w:val="-1"/>
        </w:rPr>
        <w:t>n</w:t>
      </w:r>
      <w:r>
        <w:t>c</w:t>
      </w:r>
      <w:r>
        <w:rPr>
          <w:spacing w:val="-3"/>
        </w:rPr>
        <w:t>e</w:t>
      </w:r>
      <w:r>
        <w:rPr>
          <w:spacing w:val="-2"/>
        </w:rPr>
        <w:t>t</w:t>
      </w:r>
      <w:r>
        <w:rPr>
          <w:spacing w:val="1"/>
        </w:rPr>
        <w:t>i</w:t>
      </w:r>
      <w:r>
        <w:t>ne</w:t>
      </w:r>
      <w:r>
        <w:rPr>
          <w:spacing w:val="-2"/>
        </w:rPr>
        <w:t>ş</w:t>
      </w:r>
      <w:r>
        <w:rPr>
          <w:spacing w:val="1"/>
        </w:rPr>
        <w:t>t</w:t>
      </w:r>
      <w:r>
        <w:t>e</w:t>
      </w:r>
      <w:r>
        <w:rPr>
          <w:spacing w:val="-2"/>
        </w:rPr>
        <w:t xml:space="preserve"> </w:t>
      </w:r>
      <w:r>
        <w:rPr>
          <w:spacing w:val="1"/>
        </w:rPr>
        <w:t>l</w:t>
      </w:r>
      <w:r>
        <w:t>e</w:t>
      </w:r>
      <w:r>
        <w:rPr>
          <w:spacing w:val="-3"/>
        </w:rPr>
        <w:t>z</w:t>
      </w:r>
      <w:r>
        <w:rPr>
          <w:spacing w:val="1"/>
        </w:rPr>
        <w:t>i</w:t>
      </w:r>
      <w:r>
        <w:t>u</w:t>
      </w:r>
      <w:r>
        <w:rPr>
          <w:spacing w:val="-3"/>
        </w:rPr>
        <w:t>n</w:t>
      </w:r>
      <w:r>
        <w:rPr>
          <w:spacing w:val="1"/>
        </w:rPr>
        <w:t>i</w:t>
      </w:r>
      <w:r>
        <w:rPr>
          <w:spacing w:val="-2"/>
        </w:rPr>
        <w:t>l</w:t>
      </w:r>
      <w:r>
        <w:t>e ca</w:t>
      </w:r>
      <w:r>
        <w:rPr>
          <w:spacing w:val="-2"/>
        </w:rPr>
        <w:t>rt</w:t>
      </w:r>
      <w:r>
        <w:rPr>
          <w:spacing w:val="1"/>
        </w:rPr>
        <w:t>il</w:t>
      </w:r>
      <w:r>
        <w:rPr>
          <w:spacing w:val="-3"/>
        </w:rPr>
        <w:t>a</w:t>
      </w:r>
      <w:r>
        <w:rPr>
          <w:spacing w:val="1"/>
        </w:rPr>
        <w:t>j</w:t>
      </w:r>
      <w:r>
        <w:rPr>
          <w:spacing w:val="-3"/>
        </w:rPr>
        <w:t>u</w:t>
      </w:r>
      <w:r>
        <w:rPr>
          <w:spacing w:val="1"/>
        </w:rPr>
        <w:t>l</w:t>
      </w:r>
      <w:r>
        <w:t>ui</w:t>
      </w:r>
      <w:r>
        <w:rPr>
          <w:spacing w:val="-2"/>
        </w:rPr>
        <w:t xml:space="preserve"> </w:t>
      </w:r>
      <w:r>
        <w:t>şi</w:t>
      </w:r>
      <w:r>
        <w:rPr>
          <w:spacing w:val="-2"/>
        </w:rPr>
        <w:t xml:space="preserve"> </w:t>
      </w:r>
      <w:r>
        <w:t>a</w:t>
      </w:r>
      <w:r>
        <w:rPr>
          <w:spacing w:val="1"/>
        </w:rPr>
        <w:t>l</w:t>
      </w:r>
      <w:r>
        <w:t>e</w:t>
      </w:r>
      <w:r>
        <w:rPr>
          <w:spacing w:val="-2"/>
        </w:rPr>
        <w:t xml:space="preserve"> </w:t>
      </w:r>
      <w:r>
        <w:t>os</w:t>
      </w:r>
      <w:r>
        <w:rPr>
          <w:spacing w:val="-3"/>
        </w:rPr>
        <w:t>u</w:t>
      </w:r>
      <w:r>
        <w:rPr>
          <w:spacing w:val="1"/>
        </w:rPr>
        <w:t>l</w:t>
      </w:r>
      <w:r>
        <w:t>ui</w:t>
      </w:r>
      <w:r>
        <w:rPr>
          <w:spacing w:val="-2"/>
        </w:rPr>
        <w:t xml:space="preserve"> </w:t>
      </w:r>
      <w:r>
        <w:rPr>
          <w:spacing w:val="-3"/>
        </w:rPr>
        <w:t>d</w:t>
      </w:r>
      <w:r>
        <w:t xml:space="preserve">e </w:t>
      </w:r>
      <w:r>
        <w:rPr>
          <w:spacing w:val="1"/>
        </w:rPr>
        <w:t>l</w:t>
      </w:r>
      <w:r>
        <w:t xml:space="preserve">a </w:t>
      </w:r>
      <w:r>
        <w:rPr>
          <w:spacing w:val="-3"/>
        </w:rPr>
        <w:t>n</w:t>
      </w:r>
      <w:r>
        <w:rPr>
          <w:spacing w:val="1"/>
        </w:rPr>
        <w:t>i</w:t>
      </w:r>
      <w:r>
        <w:rPr>
          <w:spacing w:val="-3"/>
        </w:rPr>
        <w:t>v</w:t>
      </w:r>
      <w:r>
        <w:t>e</w:t>
      </w:r>
      <w:r>
        <w:rPr>
          <w:spacing w:val="1"/>
        </w:rPr>
        <w:t>l</w:t>
      </w:r>
      <w:r>
        <w:rPr>
          <w:spacing w:val="-3"/>
        </w:rPr>
        <w:t>u</w:t>
      </w:r>
      <w:r>
        <w:t>l ar</w:t>
      </w:r>
      <w:r>
        <w:rPr>
          <w:spacing w:val="-2"/>
        </w:rPr>
        <w:t>t</w:t>
      </w:r>
      <w:r>
        <w:rPr>
          <w:spacing w:val="1"/>
        </w:rPr>
        <w:t>i</w:t>
      </w:r>
      <w:r>
        <w:t>c</w:t>
      </w:r>
      <w:r>
        <w:rPr>
          <w:spacing w:val="-3"/>
        </w:rPr>
        <w:t>u</w:t>
      </w:r>
      <w:r>
        <w:rPr>
          <w:spacing w:val="1"/>
        </w:rPr>
        <w:t>l</w:t>
      </w:r>
      <w:r>
        <w:rPr>
          <w:spacing w:val="-3"/>
        </w:rPr>
        <w:t>a</w:t>
      </w:r>
      <w:r>
        <w:rPr>
          <w:spacing w:val="1"/>
        </w:rPr>
        <w:t>ţ</w:t>
      </w:r>
      <w:r>
        <w:rPr>
          <w:spacing w:val="-2"/>
        </w:rPr>
        <w:t>i</w:t>
      </w:r>
      <w:r>
        <w:rPr>
          <w:spacing w:val="1"/>
        </w:rPr>
        <w:t>il</w:t>
      </w:r>
      <w:r>
        <w:rPr>
          <w:spacing w:val="-3"/>
        </w:rPr>
        <w:t>o</w:t>
      </w:r>
      <w:r>
        <w:t>r</w:t>
      </w:r>
      <w:r>
        <w:rPr>
          <w:spacing w:val="1"/>
        </w:rPr>
        <w:t xml:space="preserve"> </w:t>
      </w:r>
      <w:r>
        <w:rPr>
          <w:spacing w:val="-3"/>
        </w:rPr>
        <w:t>a</w:t>
      </w:r>
      <w:r>
        <w:t>fe</w:t>
      </w:r>
      <w:r>
        <w:rPr>
          <w:spacing w:val="-3"/>
        </w:rPr>
        <w:t>c</w:t>
      </w:r>
      <w:r>
        <w:rPr>
          <w:spacing w:val="1"/>
        </w:rPr>
        <w:t>t</w:t>
      </w:r>
      <w:r>
        <w:rPr>
          <w:spacing w:val="-3"/>
        </w:rPr>
        <w:t>a</w:t>
      </w:r>
      <w:r>
        <w:rPr>
          <w:spacing w:val="1"/>
        </w:rPr>
        <w:t>t</w:t>
      </w:r>
      <w:r>
        <w:t xml:space="preserve">e </w:t>
      </w:r>
      <w:r>
        <w:rPr>
          <w:spacing w:val="-3"/>
        </w:rPr>
        <w:t>d</w:t>
      </w:r>
      <w:r>
        <w:t xml:space="preserve">e </w:t>
      </w:r>
      <w:r>
        <w:rPr>
          <w:spacing w:val="-1"/>
        </w:rPr>
        <w:t>b</w:t>
      </w:r>
      <w:r>
        <w:rPr>
          <w:spacing w:val="-3"/>
        </w:rPr>
        <w:t>o</w:t>
      </w:r>
      <w:r>
        <w:t>a</w:t>
      </w:r>
      <w:r>
        <w:rPr>
          <w:spacing w:val="1"/>
        </w:rPr>
        <w:t>l</w:t>
      </w:r>
      <w:r>
        <w:t>ă</w:t>
      </w:r>
      <w:r>
        <w:rPr>
          <w:spacing w:val="-2"/>
        </w:rPr>
        <w:t xml:space="preserve"> </w:t>
      </w:r>
      <w:r>
        <w:t>şi</w:t>
      </w:r>
      <w:r>
        <w:rPr>
          <w:spacing w:val="-2"/>
        </w:rPr>
        <w:t xml:space="preserve"> </w:t>
      </w:r>
      <w:r>
        <w:rPr>
          <w:spacing w:val="1"/>
        </w:rPr>
        <w:t>î</w:t>
      </w:r>
      <w:r>
        <w:rPr>
          <w:spacing w:val="-4"/>
        </w:rPr>
        <w:t>m</w:t>
      </w:r>
      <w:r>
        <w:t>bună</w:t>
      </w:r>
      <w:r>
        <w:rPr>
          <w:spacing w:val="1"/>
        </w:rPr>
        <w:t>t</w:t>
      </w:r>
      <w:r>
        <w:rPr>
          <w:spacing w:val="-3"/>
        </w:rPr>
        <w:t>ă</w:t>
      </w:r>
      <w:r>
        <w:rPr>
          <w:spacing w:val="1"/>
        </w:rPr>
        <w:t>ț</w:t>
      </w:r>
      <w:r>
        <w:t>e</w:t>
      </w:r>
      <w:r>
        <w:rPr>
          <w:spacing w:val="-2"/>
        </w:rPr>
        <w:t>ș</w:t>
      </w:r>
      <w:r>
        <w:rPr>
          <w:spacing w:val="1"/>
        </w:rPr>
        <w:t>t</w:t>
      </w:r>
      <w:r>
        <w:t xml:space="preserve">e </w:t>
      </w:r>
      <w:r>
        <w:rPr>
          <w:spacing w:val="-3"/>
        </w:rPr>
        <w:t>a</w:t>
      </w:r>
      <w:r>
        <w:t>c</w:t>
      </w:r>
      <w:r>
        <w:rPr>
          <w:spacing w:val="-2"/>
        </w:rPr>
        <w:t>t</w:t>
      </w:r>
      <w:r>
        <w:rPr>
          <w:spacing w:val="1"/>
        </w:rPr>
        <w:t>i</w:t>
      </w:r>
      <w:r>
        <w:rPr>
          <w:spacing w:val="-3"/>
        </w:rPr>
        <w:t>v</w:t>
      </w:r>
      <w:r>
        <w:rPr>
          <w:spacing w:val="1"/>
        </w:rPr>
        <w:t>it</w:t>
      </w:r>
      <w:r>
        <w:rPr>
          <w:spacing w:val="-3"/>
        </w:rPr>
        <w:t>a</w:t>
      </w:r>
      <w:r>
        <w:rPr>
          <w:spacing w:val="1"/>
        </w:rPr>
        <w:t>t</w:t>
      </w:r>
      <w:r>
        <w:t>ea</w:t>
      </w:r>
      <w:r>
        <w:rPr>
          <w:spacing w:val="-2"/>
        </w:rPr>
        <w:t xml:space="preserve"> </w:t>
      </w:r>
      <w:r>
        <w:t>f</w:t>
      </w:r>
      <w:r>
        <w:rPr>
          <w:spacing w:val="1"/>
        </w:rPr>
        <w:t>i</w:t>
      </w:r>
      <w:r>
        <w:rPr>
          <w:spacing w:val="-3"/>
        </w:rPr>
        <w:t>z</w:t>
      </w:r>
      <w:r>
        <w:rPr>
          <w:spacing w:val="1"/>
        </w:rPr>
        <w:t>i</w:t>
      </w:r>
      <w:r>
        <w:rPr>
          <w:spacing w:val="-3"/>
        </w:rPr>
        <w:t>c</w:t>
      </w:r>
      <w:r>
        <w:t>ă.</w:t>
      </w:r>
    </w:p>
    <w:p w14:paraId="32142A7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AAE99A8" w14:textId="77777777" w:rsidR="00C04CAD" w:rsidRDefault="00060E34">
      <w:pPr>
        <w:tabs>
          <w:tab w:val="clear" w:pos="567"/>
        </w:tabs>
        <w:kinsoku w:val="0"/>
        <w:overflowPunct w:val="0"/>
        <w:autoSpaceDE w:val="0"/>
        <w:autoSpaceDN w:val="0"/>
        <w:adjustRightInd w:val="0"/>
        <w:spacing w:line="240" w:lineRule="auto"/>
      </w:pPr>
      <w:r>
        <w:rPr>
          <w:spacing w:val="-1"/>
        </w:rPr>
        <w:t>D</w:t>
      </w:r>
      <w:r>
        <w:t>e ob</w:t>
      </w:r>
      <w:r>
        <w:rPr>
          <w:spacing w:val="1"/>
        </w:rPr>
        <w:t>i</w:t>
      </w:r>
      <w:r>
        <w:rPr>
          <w:spacing w:val="-3"/>
        </w:rPr>
        <w:t>c</w:t>
      </w:r>
      <w:r>
        <w:t>e</w:t>
      </w:r>
      <w:r>
        <w:rPr>
          <w:spacing w:val="1"/>
        </w:rPr>
        <w:t>i</w:t>
      </w:r>
      <w:r>
        <w:t xml:space="preserve">, </w:t>
      </w:r>
      <w:r>
        <w:rPr>
          <w:spacing w:val="-1"/>
          <w:szCs w:val="22"/>
          <w:lang w:eastAsia="en-US" w:bidi="ar-SA"/>
        </w:rPr>
        <w:t>AMGEVITA</w:t>
      </w:r>
      <w:r>
        <w:rPr>
          <w:spacing w:val="-2"/>
        </w:rPr>
        <w:t xml:space="preserve"> </w:t>
      </w:r>
      <w:r>
        <w:t xml:space="preserve">se </w:t>
      </w:r>
      <w:r>
        <w:rPr>
          <w:spacing w:val="-3"/>
        </w:rPr>
        <w:t>a</w:t>
      </w:r>
      <w:r>
        <w:t>d</w:t>
      </w:r>
      <w:r>
        <w:rPr>
          <w:spacing w:val="-5"/>
        </w:rPr>
        <w:t>m</w:t>
      </w:r>
      <w:r>
        <w:rPr>
          <w:spacing w:val="1"/>
        </w:rPr>
        <w:t>i</w:t>
      </w:r>
      <w:r>
        <w:t>n</w:t>
      </w:r>
      <w:r>
        <w:rPr>
          <w:spacing w:val="1"/>
        </w:rPr>
        <w:t>i</w:t>
      </w:r>
      <w:r>
        <w:rPr>
          <w:spacing w:val="-2"/>
        </w:rPr>
        <w:t>s</w:t>
      </w:r>
      <w:r>
        <w:rPr>
          <w:spacing w:val="1"/>
        </w:rPr>
        <w:t>t</w:t>
      </w:r>
      <w:r>
        <w:t>r</w:t>
      </w:r>
      <w:r>
        <w:rPr>
          <w:spacing w:val="-3"/>
        </w:rPr>
        <w:t>e</w:t>
      </w:r>
      <w:r>
        <w:t>a</w:t>
      </w:r>
      <w:r>
        <w:rPr>
          <w:spacing w:val="-3"/>
        </w:rPr>
        <w:t>z</w:t>
      </w:r>
      <w:r>
        <w:t xml:space="preserve">ă </w:t>
      </w:r>
      <w:r>
        <w:rPr>
          <w:spacing w:val="1"/>
        </w:rPr>
        <w:t>î</w:t>
      </w:r>
      <w:r>
        <w:rPr>
          <w:spacing w:val="-4"/>
        </w:rPr>
        <w:t>m</w:t>
      </w:r>
      <w:r>
        <w:t>preună</w:t>
      </w:r>
      <w:r>
        <w:rPr>
          <w:spacing w:val="-2"/>
        </w:rPr>
        <w:t xml:space="preserve"> </w:t>
      </w:r>
      <w:r>
        <w:t xml:space="preserve">cu </w:t>
      </w:r>
      <w:r>
        <w:rPr>
          <w:spacing w:val="-4"/>
        </w:rPr>
        <w:t>m</w:t>
      </w:r>
      <w:r>
        <w:t>e</w:t>
      </w:r>
      <w:r>
        <w:rPr>
          <w:spacing w:val="1"/>
        </w:rPr>
        <w:t>t</w:t>
      </w:r>
      <w:r>
        <w:t>o</w:t>
      </w:r>
      <w:r>
        <w:rPr>
          <w:spacing w:val="1"/>
        </w:rPr>
        <w:t>t</w:t>
      </w:r>
      <w:r>
        <w:t>re</w:t>
      </w:r>
      <w:r>
        <w:rPr>
          <w:spacing w:val="-3"/>
        </w:rPr>
        <w:t>x</w:t>
      </w:r>
      <w:r>
        <w:t>a</w:t>
      </w:r>
      <w:r>
        <w:rPr>
          <w:spacing w:val="1"/>
        </w:rPr>
        <w:t>t</w:t>
      </w:r>
      <w:r>
        <w:t xml:space="preserve">. </w:t>
      </w:r>
      <w:r>
        <w:rPr>
          <w:spacing w:val="-4"/>
        </w:rPr>
        <w:t>D</w:t>
      </w:r>
      <w:r>
        <w:t xml:space="preserve">acă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2"/>
        </w:rPr>
        <w:t>s</w:t>
      </w:r>
      <w:r>
        <w:rPr>
          <w:spacing w:val="1"/>
        </w:rPr>
        <w:t>t</w:t>
      </w:r>
      <w:r>
        <w:t>a</w:t>
      </w:r>
      <w:r>
        <w:rPr>
          <w:spacing w:val="-3"/>
        </w:rPr>
        <w:t>b</w:t>
      </w:r>
      <w:r>
        <w:rPr>
          <w:spacing w:val="1"/>
        </w:rPr>
        <w:t>i</w:t>
      </w:r>
      <w:r>
        <w:rPr>
          <w:spacing w:val="-2"/>
        </w:rPr>
        <w:t>l</w:t>
      </w:r>
      <w:r>
        <w:t>e</w:t>
      </w:r>
      <w:r>
        <w:rPr>
          <w:spacing w:val="-2"/>
        </w:rPr>
        <w:t>ş</w:t>
      </w:r>
      <w:r>
        <w:rPr>
          <w:spacing w:val="1"/>
        </w:rPr>
        <w:t>t</w:t>
      </w:r>
      <w:r>
        <w:t xml:space="preserve">e că </w:t>
      </w:r>
      <w:r>
        <w:rPr>
          <w:spacing w:val="-4"/>
        </w:rPr>
        <w:t>m</w:t>
      </w:r>
      <w:r>
        <w:t>e</w:t>
      </w:r>
      <w:r>
        <w:rPr>
          <w:spacing w:val="1"/>
        </w:rPr>
        <w:t>t</w:t>
      </w:r>
      <w:r>
        <w:t>o</w:t>
      </w:r>
      <w:r>
        <w:rPr>
          <w:spacing w:val="1"/>
        </w:rPr>
        <w:t>t</w:t>
      </w:r>
      <w:r>
        <w:rPr>
          <w:spacing w:val="-2"/>
        </w:rPr>
        <w:t>r</w:t>
      </w:r>
      <w:r>
        <w:t>ex</w:t>
      </w:r>
      <w:r>
        <w:rPr>
          <w:spacing w:val="-3"/>
        </w:rPr>
        <w:t>a</w:t>
      </w:r>
      <w:r>
        <w:t>t</w:t>
      </w:r>
      <w:r>
        <w:rPr>
          <w:spacing w:val="1"/>
        </w:rPr>
        <w:t xml:space="preserve"> </w:t>
      </w:r>
      <w:r>
        <w:t>nu</w:t>
      </w:r>
      <w:r>
        <w:rPr>
          <w:spacing w:val="-3"/>
        </w:rPr>
        <w:t xml:space="preserve"> </w:t>
      </w:r>
      <w:r>
        <w:t>es</w:t>
      </w:r>
      <w:r>
        <w:rPr>
          <w:spacing w:val="-2"/>
        </w:rPr>
        <w:t>t</w:t>
      </w:r>
      <w:r>
        <w:t>e a</w:t>
      </w:r>
      <w:r>
        <w:rPr>
          <w:spacing w:val="-3"/>
        </w:rPr>
        <w:t>d</w:t>
      </w:r>
      <w:r>
        <w:t>ec</w:t>
      </w:r>
      <w:r>
        <w:rPr>
          <w:spacing w:val="-3"/>
        </w:rPr>
        <w:t>v</w:t>
      </w:r>
      <w:r>
        <w:t>a</w:t>
      </w:r>
      <w:r>
        <w:rPr>
          <w:spacing w:val="1"/>
        </w:rPr>
        <w:t>t</w:t>
      </w:r>
      <w:r>
        <w:t xml:space="preserve">, </w:t>
      </w:r>
      <w:r>
        <w:rPr>
          <w:spacing w:val="-1"/>
          <w:szCs w:val="22"/>
          <w:lang w:eastAsia="en-US" w:bidi="ar-SA"/>
        </w:rPr>
        <w:t>AMGEVITA</w:t>
      </w:r>
      <w:r>
        <w:t xml:space="preserve"> p</w:t>
      </w:r>
      <w:r>
        <w:rPr>
          <w:spacing w:val="-3"/>
        </w:rPr>
        <w:t>o</w:t>
      </w:r>
      <w:r>
        <w:t>a</w:t>
      </w:r>
      <w:r>
        <w:rPr>
          <w:spacing w:val="-2"/>
        </w:rPr>
        <w:t>t</w:t>
      </w:r>
      <w:r>
        <w:t xml:space="preserve">e </w:t>
      </w:r>
      <w:r>
        <w:rPr>
          <w:spacing w:val="-2"/>
        </w:rPr>
        <w:t>f</w:t>
      </w:r>
      <w:r>
        <w:t>i</w:t>
      </w:r>
      <w:r>
        <w:rPr>
          <w:spacing w:val="1"/>
        </w:rPr>
        <w:t xml:space="preserve"> </w:t>
      </w:r>
      <w:r>
        <w:t>ad</w:t>
      </w:r>
      <w:r>
        <w:rPr>
          <w:spacing w:val="-4"/>
        </w:rPr>
        <w:t>m</w:t>
      </w:r>
      <w:r>
        <w:rPr>
          <w:spacing w:val="1"/>
        </w:rPr>
        <w:t>i</w:t>
      </w:r>
      <w:r>
        <w:t>n</w:t>
      </w:r>
      <w:r>
        <w:rPr>
          <w:spacing w:val="1"/>
        </w:rPr>
        <w:t>i</w:t>
      </w:r>
      <w:r>
        <w:rPr>
          <w:spacing w:val="-2"/>
        </w:rPr>
        <w:t>s</w:t>
      </w:r>
      <w:r>
        <w:rPr>
          <w:spacing w:val="1"/>
        </w:rPr>
        <w:t>t</w:t>
      </w:r>
      <w:r>
        <w:t>r</w:t>
      </w:r>
      <w:r>
        <w:rPr>
          <w:spacing w:val="-3"/>
        </w:rPr>
        <w:t>a</w:t>
      </w:r>
      <w:r>
        <w:t>t</w:t>
      </w:r>
      <w:r>
        <w:rPr>
          <w:spacing w:val="1"/>
        </w:rPr>
        <w:t xml:space="preserve"> </w:t>
      </w:r>
      <w:r>
        <w:rPr>
          <w:spacing w:val="-2"/>
        </w:rPr>
        <w:t>s</w:t>
      </w:r>
      <w:r>
        <w:rPr>
          <w:spacing w:val="1"/>
        </w:rPr>
        <w:t>i</w:t>
      </w:r>
      <w:r>
        <w:t>n</w:t>
      </w:r>
      <w:r>
        <w:rPr>
          <w:spacing w:val="-3"/>
        </w:rPr>
        <w:t>g</w:t>
      </w:r>
      <w:r>
        <w:t>ur.</w:t>
      </w:r>
    </w:p>
    <w:p w14:paraId="2749AE3B" w14:textId="77777777" w:rsidR="00C04CAD" w:rsidRDefault="00C04CAD">
      <w:pPr>
        <w:tabs>
          <w:tab w:val="clear" w:pos="567"/>
        </w:tabs>
        <w:kinsoku w:val="0"/>
        <w:overflowPunct w:val="0"/>
        <w:autoSpaceDE w:val="0"/>
        <w:autoSpaceDN w:val="0"/>
        <w:adjustRightInd w:val="0"/>
        <w:spacing w:line="240" w:lineRule="auto"/>
      </w:pPr>
    </w:p>
    <w:p w14:paraId="50ADCBF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2"/>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ă </w:t>
      </w:r>
      <w:r>
        <w:rPr>
          <w:spacing w:val="3"/>
          <w:u w:val="single"/>
        </w:rPr>
        <w:t>j</w:t>
      </w:r>
      <w:r>
        <w:rPr>
          <w:u w:val="single"/>
        </w:rPr>
        <w:t>u</w:t>
      </w:r>
      <w:r>
        <w:rPr>
          <w:spacing w:val="-3"/>
          <w:u w:val="single"/>
        </w:rPr>
        <w:t>v</w:t>
      </w:r>
      <w:r>
        <w:rPr>
          <w:u w:val="single"/>
        </w:rPr>
        <w:t>e</w:t>
      </w:r>
      <w:r>
        <w:rPr>
          <w:spacing w:val="-3"/>
          <w:u w:val="single"/>
        </w:rPr>
        <w:t>n</w:t>
      </w:r>
      <w:r>
        <w:rPr>
          <w:spacing w:val="1"/>
          <w:u w:val="single"/>
        </w:rPr>
        <w:t>il</w:t>
      </w:r>
      <w:r>
        <w:rPr>
          <w:u w:val="single"/>
        </w:rPr>
        <w:t xml:space="preserve">ă </w:t>
      </w:r>
      <w:r>
        <w:rPr>
          <w:spacing w:val="1"/>
          <w:u w:val="single"/>
        </w:rPr>
        <w:t>i</w:t>
      </w:r>
      <w:r>
        <w:rPr>
          <w:spacing w:val="-3"/>
          <w:u w:val="single"/>
        </w:rPr>
        <w:t>d</w:t>
      </w:r>
      <w:r>
        <w:rPr>
          <w:spacing w:val="1"/>
          <w:u w:val="single"/>
        </w:rPr>
        <w:t>i</w:t>
      </w:r>
      <w:r>
        <w:rPr>
          <w:u w:val="single"/>
        </w:rPr>
        <w:t>op</w:t>
      </w:r>
      <w:r>
        <w:rPr>
          <w:spacing w:val="-3"/>
          <w:u w:val="single"/>
        </w:rPr>
        <w:t>a</w:t>
      </w:r>
      <w:r>
        <w:rPr>
          <w:spacing w:val="1"/>
          <w:u w:val="single"/>
        </w:rPr>
        <w:t>t</w:t>
      </w:r>
      <w:r>
        <w:rPr>
          <w:spacing w:val="-2"/>
          <w:u w:val="single"/>
        </w:rPr>
        <w:t>i</w:t>
      </w:r>
      <w:r>
        <w:rPr>
          <w:u w:val="single"/>
        </w:rPr>
        <w:t xml:space="preserve">că </w:t>
      </w:r>
      <w:r>
        <w:rPr>
          <w:spacing w:val="-2"/>
          <w:u w:val="single"/>
        </w:rPr>
        <w:t>f</w:t>
      </w:r>
      <w:r>
        <w:rPr>
          <w:u w:val="single"/>
        </w:rPr>
        <w:t>or</w:t>
      </w:r>
      <w:r>
        <w:rPr>
          <w:spacing w:val="-4"/>
          <w:u w:val="single"/>
        </w:rPr>
        <w:t>m</w:t>
      </w:r>
      <w:r>
        <w:rPr>
          <w:u w:val="single"/>
        </w:rPr>
        <w:t>a po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 xml:space="preserve">ră </w:t>
      </w:r>
      <w:r>
        <w:rPr>
          <w:spacing w:val="-2"/>
          <w:u w:val="single"/>
        </w:rPr>
        <w:t>ş</w:t>
      </w:r>
      <w:r>
        <w:rPr>
          <w:u w:val="single"/>
        </w:rPr>
        <w:t>i</w:t>
      </w:r>
      <w:r>
        <w:rPr>
          <w:spacing w:val="3"/>
          <w:u w:val="single"/>
        </w:rPr>
        <w:t xml:space="preserve"> </w:t>
      </w:r>
      <w:r>
        <w:rPr>
          <w:spacing w:val="-3"/>
          <w:u w:val="single"/>
        </w:rPr>
        <w:t>a</w:t>
      </w:r>
      <w:r>
        <w:rPr>
          <w:u w:val="single"/>
        </w:rPr>
        <w:t>r</w:t>
      </w:r>
      <w:r>
        <w:rPr>
          <w:spacing w:val="-2"/>
          <w:u w:val="single"/>
        </w:rPr>
        <w:t>t</w:t>
      </w:r>
      <w:r>
        <w:rPr>
          <w:u w:val="single"/>
        </w:rPr>
        <w:t>r</w:t>
      </w:r>
      <w:r>
        <w:rPr>
          <w:spacing w:val="-2"/>
          <w:u w:val="single"/>
        </w:rPr>
        <w:t>it</w:t>
      </w:r>
      <w:r>
        <w:rPr>
          <w:u w:val="single"/>
        </w:rPr>
        <w:t>a as</w:t>
      </w:r>
      <w:r>
        <w:rPr>
          <w:spacing w:val="-3"/>
          <w:u w:val="single"/>
        </w:rPr>
        <w:t>o</w:t>
      </w:r>
      <w:r>
        <w:rPr>
          <w:u w:val="single"/>
        </w:rPr>
        <w:t>c</w:t>
      </w:r>
      <w:r>
        <w:rPr>
          <w:spacing w:val="1"/>
          <w:u w:val="single"/>
        </w:rPr>
        <w:t>i</w:t>
      </w:r>
      <w:r>
        <w:rPr>
          <w:spacing w:val="-3"/>
          <w:u w:val="single"/>
        </w:rPr>
        <w:t>a</w:t>
      </w:r>
      <w:r>
        <w:rPr>
          <w:spacing w:val="1"/>
          <w:u w:val="single"/>
        </w:rPr>
        <w:t>t</w:t>
      </w:r>
      <w:r>
        <w:rPr>
          <w:u w:val="single"/>
        </w:rPr>
        <w:t>ă en</w:t>
      </w:r>
      <w:r>
        <w:rPr>
          <w:spacing w:val="-2"/>
          <w:u w:val="single"/>
        </w:rPr>
        <w:t>t</w:t>
      </w:r>
      <w:r>
        <w:rPr>
          <w:u w:val="single"/>
        </w:rPr>
        <w:t>e</w:t>
      </w:r>
      <w:r>
        <w:rPr>
          <w:spacing w:val="-3"/>
          <w:u w:val="single"/>
        </w:rPr>
        <w:t>z</w:t>
      </w:r>
      <w:r>
        <w:rPr>
          <w:spacing w:val="1"/>
          <w:u w:val="single"/>
        </w:rPr>
        <w:t>it</w:t>
      </w:r>
      <w:r>
        <w:rPr>
          <w:spacing w:val="-3"/>
          <w:u w:val="single"/>
        </w:rPr>
        <w:t>e</w:t>
      </w:r>
      <w:r>
        <w:rPr>
          <w:u w:val="single"/>
        </w:rPr>
        <w:t>i</w:t>
      </w:r>
    </w:p>
    <w:p w14:paraId="3677E92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13940A2" w14:textId="77777777" w:rsidR="00C04CAD" w:rsidRDefault="00060E34">
      <w:pPr>
        <w:tabs>
          <w:tab w:val="clear" w:pos="567"/>
        </w:tabs>
        <w:kinsoku w:val="0"/>
        <w:overflowPunct w:val="0"/>
        <w:autoSpaceDE w:val="0"/>
        <w:autoSpaceDN w:val="0"/>
        <w:adjustRightInd w:val="0"/>
        <w:spacing w:line="240" w:lineRule="auto"/>
      </w:pPr>
      <w:r>
        <w:rPr>
          <w:spacing w:val="-2"/>
        </w:rPr>
        <w:t>A</w:t>
      </w:r>
      <w:r>
        <w:t>r</w:t>
      </w:r>
      <w:r>
        <w:rPr>
          <w:spacing w:val="1"/>
        </w:rPr>
        <w:t>t</w:t>
      </w:r>
      <w:r>
        <w:rPr>
          <w:spacing w:val="-2"/>
        </w:rPr>
        <w:t>r</w:t>
      </w:r>
      <w:r>
        <w:rPr>
          <w:spacing w:val="1"/>
        </w:rPr>
        <w:t>i</w:t>
      </w:r>
      <w:r>
        <w:rPr>
          <w:spacing w:val="-2"/>
        </w:rPr>
        <w:t>t</w:t>
      </w:r>
      <w:r>
        <w:t>ă</w:t>
      </w:r>
      <w:r>
        <w:rPr>
          <w:spacing w:val="-2"/>
        </w:rPr>
        <w:t xml:space="preserve"> </w:t>
      </w:r>
      <w:r>
        <w:rPr>
          <w:spacing w:val="3"/>
        </w:rPr>
        <w:t>j</w:t>
      </w:r>
      <w:r>
        <w:t>u</w:t>
      </w:r>
      <w:r>
        <w:rPr>
          <w:spacing w:val="-3"/>
        </w:rPr>
        <w:t>v</w:t>
      </w:r>
      <w:r>
        <w:t>e</w:t>
      </w:r>
      <w:r>
        <w:rPr>
          <w:spacing w:val="-3"/>
        </w:rPr>
        <w:t>n</w:t>
      </w:r>
      <w:r>
        <w:rPr>
          <w:spacing w:val="1"/>
        </w:rPr>
        <w:t>il</w:t>
      </w:r>
      <w:r>
        <w:t>ă</w:t>
      </w:r>
      <w:r>
        <w:rPr>
          <w:spacing w:val="-2"/>
        </w:rPr>
        <w:t xml:space="preserve"> </w:t>
      </w:r>
      <w:r>
        <w:rPr>
          <w:spacing w:val="1"/>
        </w:rPr>
        <w:t>i</w:t>
      </w:r>
      <w:r>
        <w:rPr>
          <w:spacing w:val="-3"/>
        </w:rPr>
        <w:t>d</w:t>
      </w:r>
      <w:r>
        <w:rPr>
          <w:spacing w:val="1"/>
        </w:rPr>
        <w:t>i</w:t>
      </w:r>
      <w:r>
        <w:t>op</w:t>
      </w:r>
      <w:r>
        <w:rPr>
          <w:spacing w:val="-3"/>
        </w:rPr>
        <w:t>a</w:t>
      </w:r>
      <w:r>
        <w:rPr>
          <w:spacing w:val="1"/>
        </w:rPr>
        <w:t>t</w:t>
      </w:r>
      <w:r>
        <w:rPr>
          <w:spacing w:val="-2"/>
        </w:rPr>
        <w:t>i</w:t>
      </w:r>
      <w:r>
        <w:t>că</w:t>
      </w:r>
      <w:r>
        <w:rPr>
          <w:spacing w:val="-2"/>
        </w:rPr>
        <w:t xml:space="preserve"> f</w:t>
      </w:r>
      <w:r>
        <w:t>or</w:t>
      </w:r>
      <w:r>
        <w:rPr>
          <w:spacing w:val="-4"/>
        </w:rPr>
        <w:t>m</w:t>
      </w:r>
      <w:r>
        <w:t>a po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 xml:space="preserve">ră </w:t>
      </w:r>
      <w:r>
        <w:rPr>
          <w:spacing w:val="-2"/>
        </w:rPr>
        <w:t>ş</w:t>
      </w:r>
      <w:r>
        <w:t>i</w:t>
      </w:r>
      <w:r>
        <w:rPr>
          <w:spacing w:val="1"/>
        </w:rPr>
        <w:t xml:space="preserve"> </w:t>
      </w:r>
      <w:r>
        <w:rPr>
          <w:spacing w:val="-3"/>
        </w:rPr>
        <w:t>a</w:t>
      </w:r>
      <w:r>
        <w:t>r</w:t>
      </w:r>
      <w:r>
        <w:rPr>
          <w:spacing w:val="-2"/>
        </w:rPr>
        <w:t>t</w:t>
      </w:r>
      <w:r>
        <w:t>r</w:t>
      </w:r>
      <w:r>
        <w:rPr>
          <w:spacing w:val="-2"/>
        </w:rPr>
        <w:t>it</w:t>
      </w:r>
      <w:r>
        <w:t>a as</w:t>
      </w:r>
      <w:r>
        <w:rPr>
          <w:spacing w:val="-3"/>
        </w:rPr>
        <w:t>o</w:t>
      </w:r>
      <w:r>
        <w:t>c</w:t>
      </w:r>
      <w:r>
        <w:rPr>
          <w:spacing w:val="1"/>
        </w:rPr>
        <w:t>i</w:t>
      </w:r>
      <w:r>
        <w:rPr>
          <w:spacing w:val="-3"/>
        </w:rPr>
        <w:t>a</w:t>
      </w:r>
      <w:r>
        <w:rPr>
          <w:spacing w:val="1"/>
        </w:rPr>
        <w:t>t</w:t>
      </w:r>
      <w:r>
        <w:t>ă</w:t>
      </w:r>
      <w:r>
        <w:rPr>
          <w:spacing w:val="-2"/>
        </w:rPr>
        <w:t xml:space="preserve"> </w:t>
      </w:r>
      <w:r>
        <w:t>en</w:t>
      </w:r>
      <w:r>
        <w:rPr>
          <w:spacing w:val="-2"/>
        </w:rPr>
        <w:t>t</w:t>
      </w:r>
      <w:r>
        <w:t>e</w:t>
      </w:r>
      <w:r>
        <w:rPr>
          <w:spacing w:val="-3"/>
        </w:rPr>
        <w:t>z</w:t>
      </w:r>
      <w:r>
        <w:rPr>
          <w:spacing w:val="1"/>
        </w:rPr>
        <w:t>it</w:t>
      </w:r>
      <w:r>
        <w:rPr>
          <w:spacing w:val="-3"/>
        </w:rPr>
        <w:t>e</w:t>
      </w:r>
      <w:r>
        <w:t>i s</w:t>
      </w:r>
      <w:r>
        <w:rPr>
          <w:spacing w:val="-3"/>
        </w:rPr>
        <w:t>u</w:t>
      </w:r>
      <w:r>
        <w:t>nt</w:t>
      </w:r>
      <w:r>
        <w:rPr>
          <w:spacing w:val="1"/>
        </w:rPr>
        <w:t xml:space="preserve"> </w:t>
      </w:r>
      <w:r>
        <w:t>b</w:t>
      </w:r>
      <w:r>
        <w:rPr>
          <w:spacing w:val="-3"/>
        </w:rPr>
        <w:t>o</w:t>
      </w:r>
      <w:r>
        <w:rPr>
          <w:spacing w:val="-2"/>
        </w:rPr>
        <w:t>l</w:t>
      </w:r>
      <w:r>
        <w:t>i</w:t>
      </w:r>
      <w:r>
        <w:rPr>
          <w:spacing w:val="1"/>
        </w:rPr>
        <w:t xml:space="preserve"> i</w:t>
      </w:r>
      <w:r>
        <w:rPr>
          <w:spacing w:val="-3"/>
        </w:rPr>
        <w:t>n</w:t>
      </w:r>
      <w:r>
        <w:t>f</w:t>
      </w:r>
      <w:r>
        <w:rPr>
          <w:spacing w:val="-2"/>
        </w:rPr>
        <w:t>l</w:t>
      </w:r>
      <w:r>
        <w:t>a</w:t>
      </w:r>
      <w:r>
        <w:rPr>
          <w:spacing w:val="-4"/>
        </w:rPr>
        <w:t>m</w:t>
      </w:r>
      <w:r>
        <w:t>a</w:t>
      </w:r>
      <w:r>
        <w:rPr>
          <w:spacing w:val="1"/>
        </w:rPr>
        <w:t>t</w:t>
      </w:r>
      <w:r>
        <w:t>or</w:t>
      </w:r>
      <w:r>
        <w:rPr>
          <w:spacing w:val="-2"/>
        </w:rPr>
        <w:t>i</w:t>
      </w:r>
      <w:r>
        <w:rPr>
          <w:spacing w:val="1"/>
        </w:rPr>
        <w:t>i ale articulațiilor care apar de obicei prima oară în perioada copilăriei.</w:t>
      </w:r>
    </w:p>
    <w:p w14:paraId="7C71662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5690E89"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rPr>
          <w:szCs w:val="22"/>
          <w:lang w:eastAsia="en-US" w:bidi="ar-SA"/>
        </w:rPr>
        <w:t xml:space="preserve"> se u</w:t>
      </w:r>
      <w:r>
        <w:rPr>
          <w:spacing w:val="-2"/>
          <w:szCs w:val="22"/>
          <w:lang w:eastAsia="en-US" w:bidi="ar-SA"/>
        </w:rPr>
        <w:t>ti</w:t>
      </w:r>
      <w:r>
        <w:rPr>
          <w:spacing w:val="1"/>
          <w:szCs w:val="22"/>
          <w:lang w:eastAsia="en-US" w:bidi="ar-SA"/>
        </w:rPr>
        <w:t>li</w:t>
      </w:r>
      <w:r>
        <w:rPr>
          <w:spacing w:val="-3"/>
          <w:szCs w:val="22"/>
          <w:lang w:eastAsia="en-US" w:bidi="ar-SA"/>
        </w:rPr>
        <w:t>z</w:t>
      </w:r>
      <w:r>
        <w:rPr>
          <w:szCs w:val="22"/>
          <w:lang w:eastAsia="en-US" w:bidi="ar-SA"/>
        </w:rPr>
        <w:t>ea</w:t>
      </w:r>
      <w:r>
        <w:rPr>
          <w:spacing w:val="-3"/>
          <w:szCs w:val="22"/>
          <w:lang w:eastAsia="en-US" w:bidi="ar-SA"/>
        </w:rPr>
        <w:t>z</w:t>
      </w:r>
      <w:r>
        <w:rPr>
          <w:szCs w:val="22"/>
          <w:lang w:eastAsia="en-US" w:bidi="ar-SA"/>
        </w:rPr>
        <w:t>ă pe</w:t>
      </w:r>
      <w:r>
        <w:rPr>
          <w:spacing w:val="-3"/>
          <w:szCs w:val="22"/>
          <w:lang w:eastAsia="en-US" w:bidi="ar-SA"/>
        </w:rPr>
        <w:t>n</w:t>
      </w:r>
      <w:r>
        <w:rPr>
          <w:spacing w:val="1"/>
          <w:szCs w:val="22"/>
          <w:lang w:eastAsia="en-US" w:bidi="ar-SA"/>
        </w:rPr>
        <w:t>t</w:t>
      </w:r>
      <w:r>
        <w:rPr>
          <w:szCs w:val="22"/>
          <w:lang w:eastAsia="en-US" w:bidi="ar-SA"/>
        </w:rPr>
        <w:t>ru</w:t>
      </w:r>
      <w:r>
        <w:rPr>
          <w:spacing w:val="-3"/>
          <w:szCs w:val="22"/>
          <w:lang w:eastAsia="en-US" w:bidi="ar-SA"/>
        </w:rPr>
        <w:t xml:space="preserve"> </w:t>
      </w:r>
      <w:r>
        <w:rPr>
          <w:spacing w:val="1"/>
          <w:szCs w:val="22"/>
          <w:lang w:eastAsia="en-US" w:bidi="ar-SA"/>
        </w:rPr>
        <w:t>t</w:t>
      </w:r>
      <w:r>
        <w:rPr>
          <w:szCs w:val="22"/>
          <w:lang w:eastAsia="en-US" w:bidi="ar-SA"/>
        </w:rPr>
        <w:t>r</w:t>
      </w:r>
      <w:r>
        <w:rPr>
          <w:spacing w:val="-3"/>
          <w:szCs w:val="22"/>
          <w:lang w:eastAsia="en-US" w:bidi="ar-SA"/>
        </w:rPr>
        <w:t>a</w:t>
      </w:r>
      <w:r>
        <w:rPr>
          <w:spacing w:val="1"/>
          <w:szCs w:val="22"/>
          <w:lang w:eastAsia="en-US" w:bidi="ar-SA"/>
        </w:rPr>
        <w:t>t</w:t>
      </w:r>
      <w:r>
        <w:rPr>
          <w:szCs w:val="22"/>
          <w:lang w:eastAsia="en-US" w:bidi="ar-SA"/>
        </w:rPr>
        <w:t>a</w:t>
      </w:r>
      <w:r>
        <w:rPr>
          <w:spacing w:val="-4"/>
          <w:szCs w:val="22"/>
          <w:lang w:eastAsia="en-US" w:bidi="ar-SA"/>
        </w:rPr>
        <w:t>m</w:t>
      </w:r>
      <w:r>
        <w:rPr>
          <w:szCs w:val="22"/>
          <w:lang w:eastAsia="en-US" w:bidi="ar-SA"/>
        </w:rPr>
        <w:t>en</w:t>
      </w:r>
      <w:r>
        <w:rPr>
          <w:spacing w:val="1"/>
          <w:szCs w:val="22"/>
          <w:lang w:eastAsia="en-US" w:bidi="ar-SA"/>
        </w:rPr>
        <w:t>t</w:t>
      </w:r>
      <w:r>
        <w:rPr>
          <w:spacing w:val="-3"/>
          <w:szCs w:val="22"/>
          <w:lang w:eastAsia="en-US" w:bidi="ar-SA"/>
        </w:rPr>
        <w:t>u</w:t>
      </w:r>
      <w:r>
        <w:rPr>
          <w:szCs w:val="22"/>
          <w:lang w:eastAsia="en-US" w:bidi="ar-SA"/>
        </w:rPr>
        <w:t>l a</w:t>
      </w:r>
      <w:r>
        <w:rPr>
          <w:spacing w:val="-2"/>
          <w:szCs w:val="22"/>
          <w:lang w:eastAsia="en-US" w:bidi="ar-SA"/>
        </w:rPr>
        <w:t>r</w:t>
      </w:r>
      <w:r>
        <w:rPr>
          <w:spacing w:val="1"/>
          <w:szCs w:val="22"/>
          <w:lang w:eastAsia="en-US" w:bidi="ar-SA"/>
        </w:rPr>
        <w:t>t</w:t>
      </w:r>
      <w:r>
        <w:rPr>
          <w:spacing w:val="-2"/>
          <w:szCs w:val="22"/>
          <w:lang w:eastAsia="en-US" w:bidi="ar-SA"/>
        </w:rPr>
        <w:t>ri</w:t>
      </w:r>
      <w:r>
        <w:rPr>
          <w:spacing w:val="1"/>
          <w:szCs w:val="22"/>
          <w:lang w:eastAsia="en-US" w:bidi="ar-SA"/>
        </w:rPr>
        <w:t>t</w:t>
      </w:r>
      <w:r>
        <w:rPr>
          <w:szCs w:val="22"/>
          <w:lang w:eastAsia="en-US" w:bidi="ar-SA"/>
        </w:rPr>
        <w:t>ei</w:t>
      </w:r>
      <w:r>
        <w:rPr>
          <w:spacing w:val="-2"/>
          <w:szCs w:val="22"/>
          <w:lang w:eastAsia="en-US" w:bidi="ar-SA"/>
        </w:rPr>
        <w:t xml:space="preserve"> </w:t>
      </w:r>
      <w:r>
        <w:rPr>
          <w:spacing w:val="1"/>
          <w:szCs w:val="22"/>
          <w:lang w:eastAsia="en-US" w:bidi="ar-SA"/>
        </w:rPr>
        <w:t>j</w:t>
      </w:r>
      <w:r>
        <w:rPr>
          <w:szCs w:val="22"/>
          <w:lang w:eastAsia="en-US" w:bidi="ar-SA"/>
        </w:rPr>
        <w:t>u</w:t>
      </w:r>
      <w:r>
        <w:rPr>
          <w:spacing w:val="-3"/>
          <w:szCs w:val="22"/>
          <w:lang w:eastAsia="en-US" w:bidi="ar-SA"/>
        </w:rPr>
        <w:t>v</w:t>
      </w:r>
      <w:r>
        <w:rPr>
          <w:szCs w:val="22"/>
          <w:lang w:eastAsia="en-US" w:bidi="ar-SA"/>
        </w:rPr>
        <w:t>en</w:t>
      </w:r>
      <w:r>
        <w:rPr>
          <w:spacing w:val="-2"/>
          <w:szCs w:val="22"/>
          <w:lang w:eastAsia="en-US" w:bidi="ar-SA"/>
        </w:rPr>
        <w:t>il</w:t>
      </w:r>
      <w:r>
        <w:rPr>
          <w:szCs w:val="22"/>
          <w:lang w:eastAsia="en-US" w:bidi="ar-SA"/>
        </w:rPr>
        <w:t xml:space="preserve">e </w:t>
      </w:r>
      <w:r>
        <w:rPr>
          <w:spacing w:val="1"/>
          <w:szCs w:val="22"/>
          <w:lang w:eastAsia="en-US" w:bidi="ar-SA"/>
        </w:rPr>
        <w:t>i</w:t>
      </w:r>
      <w:r>
        <w:rPr>
          <w:spacing w:val="-3"/>
          <w:szCs w:val="22"/>
          <w:lang w:eastAsia="en-US" w:bidi="ar-SA"/>
        </w:rPr>
        <w:t>d</w:t>
      </w:r>
      <w:r>
        <w:rPr>
          <w:spacing w:val="1"/>
          <w:szCs w:val="22"/>
          <w:lang w:eastAsia="en-US" w:bidi="ar-SA"/>
        </w:rPr>
        <w:t>i</w:t>
      </w:r>
      <w:r>
        <w:rPr>
          <w:szCs w:val="22"/>
          <w:lang w:eastAsia="en-US" w:bidi="ar-SA"/>
        </w:rPr>
        <w:t>op</w:t>
      </w:r>
      <w:r>
        <w:rPr>
          <w:spacing w:val="-3"/>
          <w:szCs w:val="22"/>
          <w:lang w:eastAsia="en-US" w:bidi="ar-SA"/>
        </w:rPr>
        <w:t>a</w:t>
      </w:r>
      <w:r>
        <w:rPr>
          <w:spacing w:val="1"/>
          <w:szCs w:val="22"/>
          <w:lang w:eastAsia="en-US" w:bidi="ar-SA"/>
        </w:rPr>
        <w:t>t</w:t>
      </w:r>
      <w:r>
        <w:rPr>
          <w:spacing w:val="-2"/>
          <w:szCs w:val="22"/>
          <w:lang w:eastAsia="en-US" w:bidi="ar-SA"/>
        </w:rPr>
        <w:t>i</w:t>
      </w:r>
      <w:r>
        <w:rPr>
          <w:szCs w:val="22"/>
          <w:lang w:eastAsia="en-US" w:bidi="ar-SA"/>
        </w:rPr>
        <w:t xml:space="preserve">ce </w:t>
      </w:r>
      <w:r>
        <w:rPr>
          <w:spacing w:val="-2"/>
          <w:szCs w:val="22"/>
          <w:lang w:eastAsia="en-US" w:bidi="ar-SA"/>
        </w:rPr>
        <w:t>f</w:t>
      </w:r>
      <w:r>
        <w:rPr>
          <w:szCs w:val="22"/>
          <w:lang w:eastAsia="en-US" w:bidi="ar-SA"/>
        </w:rPr>
        <w:t>or</w:t>
      </w:r>
      <w:r>
        <w:rPr>
          <w:spacing w:val="-4"/>
          <w:szCs w:val="22"/>
          <w:lang w:eastAsia="en-US" w:bidi="ar-SA"/>
        </w:rPr>
        <w:t>m</w:t>
      </w:r>
      <w:r>
        <w:rPr>
          <w:szCs w:val="22"/>
          <w:lang w:eastAsia="en-US" w:bidi="ar-SA"/>
        </w:rPr>
        <w:t>a po</w:t>
      </w:r>
      <w:r>
        <w:rPr>
          <w:spacing w:val="-2"/>
          <w:szCs w:val="22"/>
          <w:lang w:eastAsia="en-US" w:bidi="ar-SA"/>
        </w:rPr>
        <w:t>l</w:t>
      </w:r>
      <w:r>
        <w:rPr>
          <w:spacing w:val="1"/>
          <w:szCs w:val="22"/>
          <w:lang w:eastAsia="en-US" w:bidi="ar-SA"/>
        </w:rPr>
        <w:t>i</w:t>
      </w:r>
      <w:r>
        <w:rPr>
          <w:szCs w:val="22"/>
          <w:lang w:eastAsia="en-US" w:bidi="ar-SA"/>
        </w:rPr>
        <w:t>a</w:t>
      </w:r>
      <w:r>
        <w:rPr>
          <w:spacing w:val="-2"/>
          <w:szCs w:val="22"/>
          <w:lang w:eastAsia="en-US" w:bidi="ar-SA"/>
        </w:rPr>
        <w:t>r</w:t>
      </w:r>
      <w:r>
        <w:rPr>
          <w:spacing w:val="1"/>
          <w:szCs w:val="22"/>
          <w:lang w:eastAsia="en-US" w:bidi="ar-SA"/>
        </w:rPr>
        <w:t>t</w:t>
      </w:r>
      <w:r>
        <w:rPr>
          <w:spacing w:val="-2"/>
          <w:szCs w:val="22"/>
          <w:lang w:eastAsia="en-US" w:bidi="ar-SA"/>
        </w:rPr>
        <w:t>i</w:t>
      </w:r>
      <w:r>
        <w:rPr>
          <w:spacing w:val="-3"/>
          <w:szCs w:val="22"/>
          <w:lang w:eastAsia="en-US" w:bidi="ar-SA"/>
        </w:rPr>
        <w:t>c</w:t>
      </w:r>
      <w:r>
        <w:rPr>
          <w:szCs w:val="22"/>
          <w:lang w:eastAsia="en-US" w:bidi="ar-SA"/>
        </w:rPr>
        <w:t>u</w:t>
      </w:r>
      <w:r>
        <w:rPr>
          <w:spacing w:val="1"/>
          <w:szCs w:val="22"/>
          <w:lang w:eastAsia="en-US" w:bidi="ar-SA"/>
        </w:rPr>
        <w:t>l</w:t>
      </w:r>
      <w:r>
        <w:rPr>
          <w:szCs w:val="22"/>
          <w:lang w:eastAsia="en-US" w:bidi="ar-SA"/>
        </w:rPr>
        <w:t>a</w:t>
      </w:r>
      <w:r>
        <w:rPr>
          <w:spacing w:val="-2"/>
          <w:szCs w:val="22"/>
          <w:lang w:eastAsia="en-US" w:bidi="ar-SA"/>
        </w:rPr>
        <w:t>r</w:t>
      </w:r>
      <w:r>
        <w:rPr>
          <w:szCs w:val="22"/>
          <w:lang w:eastAsia="en-US" w:bidi="ar-SA"/>
        </w:rPr>
        <w:t xml:space="preserve">ă </w:t>
      </w:r>
      <w:r>
        <w:rPr>
          <w:spacing w:val="-2"/>
          <w:szCs w:val="22"/>
          <w:lang w:eastAsia="en-US" w:bidi="ar-SA"/>
        </w:rPr>
        <w:t>l</w:t>
      </w:r>
      <w:r>
        <w:rPr>
          <w:szCs w:val="22"/>
          <w:lang w:eastAsia="en-US" w:bidi="ar-SA"/>
        </w:rPr>
        <w:t>a paci</w:t>
      </w:r>
      <w:r>
        <w:rPr>
          <w:spacing w:val="-3"/>
          <w:szCs w:val="22"/>
          <w:lang w:eastAsia="en-US" w:bidi="ar-SA"/>
        </w:rPr>
        <w:t>e</w:t>
      </w:r>
      <w:r>
        <w:rPr>
          <w:szCs w:val="22"/>
          <w:lang w:eastAsia="en-US" w:bidi="ar-SA"/>
        </w:rPr>
        <w:t>n</w:t>
      </w:r>
      <w:r>
        <w:rPr>
          <w:spacing w:val="-2"/>
          <w:szCs w:val="22"/>
          <w:lang w:eastAsia="en-US" w:bidi="ar-SA"/>
        </w:rPr>
        <w:t>ţ</w:t>
      </w:r>
      <w:r>
        <w:rPr>
          <w:szCs w:val="22"/>
          <w:lang w:eastAsia="en-US" w:bidi="ar-SA"/>
        </w:rPr>
        <w:t>i</w:t>
      </w:r>
      <w:r>
        <w:rPr>
          <w:spacing w:val="1"/>
          <w:szCs w:val="22"/>
          <w:lang w:eastAsia="en-US" w:bidi="ar-SA"/>
        </w:rPr>
        <w:t xml:space="preserve"> </w:t>
      </w:r>
      <w:r>
        <w:rPr>
          <w:szCs w:val="22"/>
          <w:lang w:eastAsia="en-US" w:bidi="ar-SA"/>
        </w:rPr>
        <w:t xml:space="preserve">cu </w:t>
      </w:r>
      <w:r>
        <w:rPr>
          <w:spacing w:val="-3"/>
          <w:szCs w:val="22"/>
          <w:lang w:eastAsia="en-US" w:bidi="ar-SA"/>
        </w:rPr>
        <w:t>v</w:t>
      </w:r>
      <w:r>
        <w:rPr>
          <w:szCs w:val="22"/>
          <w:lang w:eastAsia="en-US" w:bidi="ar-SA"/>
        </w:rPr>
        <w:t>â</w:t>
      </w:r>
      <w:r>
        <w:rPr>
          <w:spacing w:val="-2"/>
          <w:szCs w:val="22"/>
          <w:lang w:eastAsia="en-US" w:bidi="ar-SA"/>
        </w:rPr>
        <w:t>r</w:t>
      </w:r>
      <w:r>
        <w:rPr>
          <w:szCs w:val="22"/>
          <w:lang w:eastAsia="en-US" w:bidi="ar-SA"/>
        </w:rPr>
        <w:t>s</w:t>
      </w:r>
      <w:r>
        <w:rPr>
          <w:spacing w:val="1"/>
          <w:szCs w:val="22"/>
          <w:lang w:eastAsia="en-US" w:bidi="ar-SA"/>
        </w:rPr>
        <w:t>t</w:t>
      </w:r>
      <w:r>
        <w:rPr>
          <w:szCs w:val="22"/>
          <w:lang w:eastAsia="en-US" w:bidi="ar-SA"/>
        </w:rPr>
        <w:t>a</w:t>
      </w:r>
      <w:r>
        <w:rPr>
          <w:spacing w:val="-2"/>
          <w:szCs w:val="22"/>
          <w:lang w:eastAsia="en-US" w:bidi="ar-SA"/>
        </w:rPr>
        <w:t xml:space="preserve"> </w:t>
      </w:r>
      <w:r>
        <w:rPr>
          <w:spacing w:val="1"/>
          <w:szCs w:val="22"/>
          <w:lang w:eastAsia="en-US" w:bidi="ar-SA"/>
        </w:rPr>
        <w:t>de la</w:t>
      </w:r>
      <w:r>
        <w:rPr>
          <w:spacing w:val="-2"/>
          <w:szCs w:val="22"/>
          <w:lang w:eastAsia="en-US" w:bidi="ar-SA"/>
        </w:rPr>
        <w:t xml:space="preserve"> </w:t>
      </w:r>
      <w:r>
        <w:rPr>
          <w:szCs w:val="22"/>
          <w:lang w:eastAsia="en-US" w:bidi="ar-SA"/>
        </w:rPr>
        <w:t>2</w:t>
      </w:r>
      <w:r>
        <w:rPr>
          <w:spacing w:val="-3"/>
          <w:szCs w:val="22"/>
          <w:lang w:eastAsia="en-US" w:bidi="ar-SA"/>
        </w:rPr>
        <w:t xml:space="preserve"> </w:t>
      </w:r>
      <w:r>
        <w:rPr>
          <w:szCs w:val="22"/>
          <w:lang w:eastAsia="en-US" w:bidi="ar-SA"/>
        </w:rPr>
        <w:t>ani</w:t>
      </w:r>
      <w:r>
        <w:rPr>
          <w:spacing w:val="-2"/>
          <w:szCs w:val="22"/>
          <w:lang w:eastAsia="en-US" w:bidi="ar-SA"/>
        </w:rPr>
        <w:t xml:space="preserve"> </w:t>
      </w:r>
      <w:r>
        <w:rPr>
          <w:szCs w:val="22"/>
          <w:lang w:eastAsia="en-US" w:bidi="ar-SA"/>
        </w:rPr>
        <w:t>şi</w:t>
      </w:r>
      <w:r>
        <w:rPr>
          <w:spacing w:val="-2"/>
          <w:szCs w:val="22"/>
          <w:lang w:eastAsia="en-US" w:bidi="ar-SA"/>
        </w:rPr>
        <w:t xml:space="preserve"> </w:t>
      </w:r>
      <w:r>
        <w:rPr>
          <w:spacing w:val="1"/>
          <w:szCs w:val="22"/>
          <w:lang w:eastAsia="en-US" w:bidi="ar-SA"/>
        </w:rPr>
        <w:t>l</w:t>
      </w:r>
      <w:r>
        <w:rPr>
          <w:szCs w:val="22"/>
          <w:lang w:eastAsia="en-US" w:bidi="ar-SA"/>
        </w:rPr>
        <w:t>a</w:t>
      </w:r>
      <w:r>
        <w:rPr>
          <w:spacing w:val="-2"/>
          <w:szCs w:val="22"/>
          <w:lang w:eastAsia="en-US" w:bidi="ar-SA"/>
        </w:rPr>
        <w:t xml:space="preserve"> </w:t>
      </w:r>
      <w:r>
        <w:rPr>
          <w:szCs w:val="22"/>
          <w:lang w:eastAsia="en-US" w:bidi="ar-SA"/>
        </w:rPr>
        <w:t>pacie</w:t>
      </w:r>
      <w:r>
        <w:rPr>
          <w:spacing w:val="-3"/>
          <w:szCs w:val="22"/>
          <w:lang w:eastAsia="en-US" w:bidi="ar-SA"/>
        </w:rPr>
        <w:t>n</w:t>
      </w:r>
      <w:r>
        <w:rPr>
          <w:spacing w:val="1"/>
          <w:szCs w:val="22"/>
          <w:lang w:eastAsia="en-US" w:bidi="ar-SA"/>
        </w:rPr>
        <w:t>ţ</w:t>
      </w:r>
      <w:r>
        <w:rPr>
          <w:szCs w:val="22"/>
          <w:lang w:eastAsia="en-US" w:bidi="ar-SA"/>
        </w:rPr>
        <w:t>i</w:t>
      </w:r>
      <w:r>
        <w:rPr>
          <w:spacing w:val="-2"/>
          <w:szCs w:val="22"/>
          <w:lang w:eastAsia="en-US" w:bidi="ar-SA"/>
        </w:rPr>
        <w:t xml:space="preserve"> </w:t>
      </w:r>
      <w:r>
        <w:rPr>
          <w:szCs w:val="22"/>
          <w:lang w:eastAsia="en-US" w:bidi="ar-SA"/>
        </w:rPr>
        <w:t xml:space="preserve">cu </w:t>
      </w:r>
      <w:r>
        <w:rPr>
          <w:spacing w:val="-3"/>
          <w:szCs w:val="22"/>
          <w:lang w:eastAsia="en-US" w:bidi="ar-SA"/>
        </w:rPr>
        <w:t>a</w:t>
      </w:r>
      <w:r>
        <w:rPr>
          <w:szCs w:val="22"/>
          <w:lang w:eastAsia="en-US" w:bidi="ar-SA"/>
        </w:rPr>
        <w:t>r</w:t>
      </w:r>
      <w:r>
        <w:rPr>
          <w:spacing w:val="-2"/>
          <w:szCs w:val="22"/>
          <w:lang w:eastAsia="en-US" w:bidi="ar-SA"/>
        </w:rPr>
        <w:t>t</w:t>
      </w:r>
      <w:r>
        <w:rPr>
          <w:szCs w:val="22"/>
          <w:lang w:eastAsia="en-US" w:bidi="ar-SA"/>
        </w:rPr>
        <w:t>r</w:t>
      </w:r>
      <w:r>
        <w:rPr>
          <w:spacing w:val="-2"/>
          <w:szCs w:val="22"/>
          <w:lang w:eastAsia="en-US" w:bidi="ar-SA"/>
        </w:rPr>
        <w:t>i</w:t>
      </w:r>
      <w:r>
        <w:rPr>
          <w:spacing w:val="1"/>
          <w:szCs w:val="22"/>
          <w:lang w:eastAsia="en-US" w:bidi="ar-SA"/>
        </w:rPr>
        <w:t>t</w:t>
      </w:r>
      <w:r>
        <w:rPr>
          <w:szCs w:val="22"/>
          <w:lang w:eastAsia="en-US" w:bidi="ar-SA"/>
        </w:rPr>
        <w:t xml:space="preserve">ă </w:t>
      </w:r>
      <w:r>
        <w:rPr>
          <w:spacing w:val="-3"/>
          <w:szCs w:val="22"/>
          <w:lang w:eastAsia="en-US" w:bidi="ar-SA"/>
        </w:rPr>
        <w:t>a</w:t>
      </w:r>
      <w:r>
        <w:rPr>
          <w:szCs w:val="22"/>
          <w:lang w:eastAsia="en-US" w:bidi="ar-SA"/>
        </w:rPr>
        <w:t>so</w:t>
      </w:r>
      <w:r>
        <w:rPr>
          <w:spacing w:val="-3"/>
          <w:szCs w:val="22"/>
          <w:lang w:eastAsia="en-US" w:bidi="ar-SA"/>
        </w:rPr>
        <w:t>c</w:t>
      </w:r>
      <w:r>
        <w:rPr>
          <w:spacing w:val="1"/>
          <w:szCs w:val="22"/>
          <w:lang w:eastAsia="en-US" w:bidi="ar-SA"/>
        </w:rPr>
        <w:t>i</w:t>
      </w:r>
      <w:r>
        <w:rPr>
          <w:spacing w:val="-3"/>
          <w:szCs w:val="22"/>
          <w:lang w:eastAsia="en-US" w:bidi="ar-SA"/>
        </w:rPr>
        <w:t>a</w:t>
      </w:r>
      <w:r>
        <w:rPr>
          <w:spacing w:val="1"/>
          <w:szCs w:val="22"/>
          <w:lang w:eastAsia="en-US" w:bidi="ar-SA"/>
        </w:rPr>
        <w:t>t</w:t>
      </w:r>
      <w:r>
        <w:rPr>
          <w:szCs w:val="22"/>
          <w:lang w:eastAsia="en-US" w:bidi="ar-SA"/>
        </w:rPr>
        <w:t>ă e</w:t>
      </w:r>
      <w:r>
        <w:rPr>
          <w:spacing w:val="-3"/>
          <w:szCs w:val="22"/>
          <w:lang w:eastAsia="en-US" w:bidi="ar-SA"/>
        </w:rPr>
        <w:t>n</w:t>
      </w:r>
      <w:r>
        <w:rPr>
          <w:spacing w:val="-2"/>
          <w:szCs w:val="22"/>
          <w:lang w:eastAsia="en-US" w:bidi="ar-SA"/>
        </w:rPr>
        <w:t>t</w:t>
      </w:r>
      <w:r>
        <w:rPr>
          <w:szCs w:val="22"/>
          <w:lang w:eastAsia="en-US" w:bidi="ar-SA"/>
        </w:rPr>
        <w:t>e</w:t>
      </w:r>
      <w:r>
        <w:rPr>
          <w:spacing w:val="-3"/>
          <w:szCs w:val="22"/>
          <w:lang w:eastAsia="en-US" w:bidi="ar-SA"/>
        </w:rPr>
        <w:t>z</w:t>
      </w:r>
      <w:r>
        <w:rPr>
          <w:spacing w:val="1"/>
          <w:szCs w:val="22"/>
          <w:lang w:eastAsia="en-US" w:bidi="ar-SA"/>
        </w:rPr>
        <w:t>it</w:t>
      </w:r>
      <w:r>
        <w:rPr>
          <w:spacing w:val="-3"/>
          <w:szCs w:val="22"/>
          <w:lang w:eastAsia="en-US" w:bidi="ar-SA"/>
        </w:rPr>
        <w:t>e</w:t>
      </w:r>
      <w:r>
        <w:rPr>
          <w:szCs w:val="22"/>
          <w:lang w:eastAsia="en-US" w:bidi="ar-SA"/>
        </w:rPr>
        <w:t>i</w:t>
      </w:r>
      <w:r>
        <w:rPr>
          <w:spacing w:val="1"/>
          <w:szCs w:val="22"/>
          <w:lang w:eastAsia="en-US" w:bidi="ar-SA"/>
        </w:rPr>
        <w:t xml:space="preserve"> </w:t>
      </w:r>
      <w:r>
        <w:rPr>
          <w:szCs w:val="22"/>
          <w:lang w:eastAsia="en-US" w:bidi="ar-SA"/>
        </w:rPr>
        <w:t xml:space="preserve">cu </w:t>
      </w:r>
      <w:r>
        <w:rPr>
          <w:spacing w:val="-3"/>
          <w:szCs w:val="22"/>
          <w:lang w:eastAsia="en-US" w:bidi="ar-SA"/>
        </w:rPr>
        <w:t>v</w:t>
      </w:r>
      <w:r>
        <w:rPr>
          <w:szCs w:val="22"/>
          <w:lang w:eastAsia="en-US" w:bidi="ar-SA"/>
        </w:rPr>
        <w:t>âr</w:t>
      </w:r>
      <w:r>
        <w:rPr>
          <w:spacing w:val="-2"/>
          <w:szCs w:val="22"/>
          <w:lang w:eastAsia="en-US" w:bidi="ar-SA"/>
        </w:rPr>
        <w:t>s</w:t>
      </w:r>
      <w:r>
        <w:rPr>
          <w:spacing w:val="1"/>
          <w:szCs w:val="22"/>
          <w:lang w:eastAsia="en-US" w:bidi="ar-SA"/>
        </w:rPr>
        <w:t>t</w:t>
      </w:r>
      <w:r>
        <w:rPr>
          <w:szCs w:val="22"/>
          <w:lang w:eastAsia="en-US" w:bidi="ar-SA"/>
        </w:rPr>
        <w:t xml:space="preserve">a </w:t>
      </w:r>
      <w:r>
        <w:rPr>
          <w:spacing w:val="1"/>
          <w:szCs w:val="22"/>
          <w:lang w:eastAsia="en-US" w:bidi="ar-SA"/>
        </w:rPr>
        <w:t>de la</w:t>
      </w:r>
      <w:r>
        <w:rPr>
          <w:szCs w:val="22"/>
          <w:lang w:eastAsia="en-US" w:bidi="ar-SA"/>
        </w:rPr>
        <w:t xml:space="preserve"> 6 ani. </w:t>
      </w:r>
      <w:r>
        <w:rPr>
          <w:spacing w:val="-1"/>
          <w:szCs w:val="22"/>
          <w:lang w:eastAsia="en-US" w:bidi="ar-SA"/>
        </w:rPr>
        <w:t>E</w:t>
      </w:r>
      <w:r>
        <w:rPr>
          <w:spacing w:val="-2"/>
          <w:szCs w:val="22"/>
          <w:lang w:eastAsia="en-US" w:bidi="ar-SA"/>
        </w:rPr>
        <w:t>s</w:t>
      </w:r>
      <w:r>
        <w:rPr>
          <w:spacing w:val="1"/>
          <w:szCs w:val="22"/>
          <w:lang w:eastAsia="en-US" w:bidi="ar-SA"/>
        </w:rPr>
        <w:t>t</w:t>
      </w:r>
      <w:r>
        <w:rPr>
          <w:szCs w:val="22"/>
          <w:lang w:eastAsia="en-US" w:bidi="ar-SA"/>
        </w:rPr>
        <w:t>e p</w:t>
      </w:r>
      <w:r>
        <w:rPr>
          <w:spacing w:val="-3"/>
          <w:szCs w:val="22"/>
          <w:lang w:eastAsia="en-US" w:bidi="ar-SA"/>
        </w:rPr>
        <w:t>o</w:t>
      </w:r>
      <w:r>
        <w:rPr>
          <w:szCs w:val="22"/>
          <w:lang w:eastAsia="en-US" w:bidi="ar-SA"/>
        </w:rPr>
        <w:t>s</w:t>
      </w:r>
      <w:r>
        <w:rPr>
          <w:spacing w:val="1"/>
          <w:szCs w:val="22"/>
          <w:lang w:eastAsia="en-US" w:bidi="ar-SA"/>
        </w:rPr>
        <w:t>i</w:t>
      </w:r>
      <w:r>
        <w:rPr>
          <w:spacing w:val="-3"/>
          <w:szCs w:val="22"/>
          <w:lang w:eastAsia="en-US" w:bidi="ar-SA"/>
        </w:rPr>
        <w:t>b</w:t>
      </w:r>
      <w:r>
        <w:rPr>
          <w:spacing w:val="-2"/>
          <w:szCs w:val="22"/>
          <w:lang w:eastAsia="en-US" w:bidi="ar-SA"/>
        </w:rPr>
        <w:t>i</w:t>
      </w:r>
      <w:r>
        <w:rPr>
          <w:szCs w:val="22"/>
          <w:lang w:eastAsia="en-US" w:bidi="ar-SA"/>
        </w:rPr>
        <w:t>l</w:t>
      </w:r>
      <w:r>
        <w:rPr>
          <w:spacing w:val="1"/>
          <w:szCs w:val="22"/>
          <w:lang w:eastAsia="en-US" w:bidi="ar-SA"/>
        </w:rPr>
        <w:t xml:space="preserve"> </w:t>
      </w:r>
      <w:r>
        <w:rPr>
          <w:szCs w:val="22"/>
          <w:lang w:eastAsia="en-US" w:bidi="ar-SA"/>
        </w:rPr>
        <w:t xml:space="preserve">să </w:t>
      </w:r>
      <w:r>
        <w:rPr>
          <w:spacing w:val="-3"/>
          <w:szCs w:val="22"/>
          <w:lang w:eastAsia="en-US" w:bidi="ar-SA"/>
        </w:rPr>
        <w:t>v</w:t>
      </w:r>
      <w:r>
        <w:rPr>
          <w:szCs w:val="22"/>
          <w:lang w:eastAsia="en-US" w:bidi="ar-SA"/>
        </w:rPr>
        <w:t>i</w:t>
      </w:r>
      <w:r>
        <w:rPr>
          <w:spacing w:val="1"/>
          <w:szCs w:val="22"/>
          <w:lang w:eastAsia="en-US" w:bidi="ar-SA"/>
        </w:rPr>
        <w:t xml:space="preserve"> </w:t>
      </w:r>
      <w:r>
        <w:rPr>
          <w:spacing w:val="-2"/>
          <w:szCs w:val="22"/>
          <w:lang w:eastAsia="en-US" w:bidi="ar-SA"/>
        </w:rPr>
        <w:t>s</w:t>
      </w:r>
      <w:r>
        <w:rPr>
          <w:szCs w:val="22"/>
          <w:lang w:eastAsia="en-US" w:bidi="ar-SA"/>
        </w:rPr>
        <w:t>e ad</w:t>
      </w:r>
      <w:r>
        <w:rPr>
          <w:spacing w:val="-4"/>
          <w:szCs w:val="22"/>
          <w:lang w:eastAsia="en-US" w:bidi="ar-SA"/>
        </w:rPr>
        <w:t>m</w:t>
      </w:r>
      <w:r>
        <w:rPr>
          <w:spacing w:val="1"/>
          <w:szCs w:val="22"/>
          <w:lang w:eastAsia="en-US" w:bidi="ar-SA"/>
        </w:rPr>
        <w:t>i</w:t>
      </w:r>
      <w:r>
        <w:rPr>
          <w:szCs w:val="22"/>
          <w:lang w:eastAsia="en-US" w:bidi="ar-SA"/>
        </w:rPr>
        <w:t>n</w:t>
      </w:r>
      <w:r>
        <w:rPr>
          <w:spacing w:val="-2"/>
          <w:szCs w:val="22"/>
          <w:lang w:eastAsia="en-US" w:bidi="ar-SA"/>
        </w:rPr>
        <w:t>i</w:t>
      </w:r>
      <w:r>
        <w:rPr>
          <w:szCs w:val="22"/>
          <w:lang w:eastAsia="en-US" w:bidi="ar-SA"/>
        </w:rPr>
        <w:t>s</w:t>
      </w:r>
      <w:r>
        <w:rPr>
          <w:spacing w:val="-2"/>
          <w:szCs w:val="22"/>
          <w:lang w:eastAsia="en-US" w:bidi="ar-SA"/>
        </w:rPr>
        <w:t>t</w:t>
      </w:r>
      <w:r>
        <w:rPr>
          <w:szCs w:val="22"/>
          <w:lang w:eastAsia="en-US" w:bidi="ar-SA"/>
        </w:rPr>
        <w:t>re</w:t>
      </w:r>
      <w:r>
        <w:rPr>
          <w:spacing w:val="-3"/>
          <w:szCs w:val="22"/>
          <w:lang w:eastAsia="en-US" w:bidi="ar-SA"/>
        </w:rPr>
        <w:t>z</w:t>
      </w:r>
      <w:r>
        <w:rPr>
          <w:szCs w:val="22"/>
          <w:lang w:eastAsia="en-US" w:bidi="ar-SA"/>
        </w:rPr>
        <w:t xml:space="preserve">e </w:t>
      </w:r>
      <w:r>
        <w:rPr>
          <w:spacing w:val="1"/>
          <w:szCs w:val="22"/>
          <w:lang w:eastAsia="en-US" w:bidi="ar-SA"/>
        </w:rPr>
        <w:t>î</w:t>
      </w:r>
      <w:r>
        <w:rPr>
          <w:spacing w:val="-3"/>
          <w:szCs w:val="22"/>
          <w:lang w:eastAsia="en-US" w:bidi="ar-SA"/>
        </w:rPr>
        <w:t>n</w:t>
      </w:r>
      <w:r>
        <w:rPr>
          <w:spacing w:val="1"/>
          <w:szCs w:val="22"/>
          <w:lang w:eastAsia="en-US" w:bidi="ar-SA"/>
        </w:rPr>
        <w:t>t</w:t>
      </w:r>
      <w:r>
        <w:rPr>
          <w:spacing w:val="-3"/>
          <w:szCs w:val="22"/>
          <w:lang w:eastAsia="en-US" w:bidi="ar-SA"/>
        </w:rPr>
        <w:t>â</w:t>
      </w:r>
      <w:r>
        <w:rPr>
          <w:szCs w:val="22"/>
          <w:lang w:eastAsia="en-US" w:bidi="ar-SA"/>
        </w:rPr>
        <w:t>i</w:t>
      </w:r>
      <w:r>
        <w:rPr>
          <w:spacing w:val="-2"/>
          <w:szCs w:val="22"/>
          <w:lang w:eastAsia="en-US" w:bidi="ar-SA"/>
        </w:rPr>
        <w:t xml:space="preserve"> </w:t>
      </w:r>
      <w:r>
        <w:rPr>
          <w:szCs w:val="22"/>
          <w:lang w:eastAsia="en-US" w:bidi="ar-SA"/>
        </w:rPr>
        <w:t>a</w:t>
      </w:r>
      <w:r>
        <w:rPr>
          <w:spacing w:val="1"/>
          <w:szCs w:val="22"/>
          <w:lang w:eastAsia="en-US" w:bidi="ar-SA"/>
        </w:rPr>
        <w:t>l</w:t>
      </w:r>
      <w:r>
        <w:rPr>
          <w:spacing w:val="-2"/>
          <w:szCs w:val="22"/>
          <w:lang w:eastAsia="en-US" w:bidi="ar-SA"/>
        </w:rPr>
        <w:t>t</w:t>
      </w:r>
      <w:r>
        <w:rPr>
          <w:szCs w:val="22"/>
          <w:lang w:eastAsia="en-US" w:bidi="ar-SA"/>
        </w:rPr>
        <w:t xml:space="preserve">e </w:t>
      </w:r>
      <w:r>
        <w:rPr>
          <w:spacing w:val="-4"/>
          <w:szCs w:val="22"/>
          <w:lang w:eastAsia="en-US" w:bidi="ar-SA"/>
        </w:rPr>
        <w:t>m</w:t>
      </w:r>
      <w:r>
        <w:rPr>
          <w:szCs w:val="22"/>
          <w:lang w:eastAsia="en-US" w:bidi="ar-SA"/>
        </w:rPr>
        <w:t>ed</w:t>
      </w:r>
      <w:r>
        <w:rPr>
          <w:spacing w:val="1"/>
          <w:szCs w:val="22"/>
          <w:lang w:eastAsia="en-US" w:bidi="ar-SA"/>
        </w:rPr>
        <w:t>i</w:t>
      </w:r>
      <w:r>
        <w:rPr>
          <w:szCs w:val="22"/>
          <w:lang w:eastAsia="en-US" w:bidi="ar-SA"/>
        </w:rPr>
        <w:t>ca</w:t>
      </w:r>
      <w:r>
        <w:rPr>
          <w:spacing w:val="-4"/>
          <w:szCs w:val="22"/>
          <w:lang w:eastAsia="en-US" w:bidi="ar-SA"/>
        </w:rPr>
        <w:t>m</w:t>
      </w:r>
      <w:r>
        <w:rPr>
          <w:szCs w:val="22"/>
          <w:lang w:eastAsia="en-US" w:bidi="ar-SA"/>
        </w:rPr>
        <w:t>en</w:t>
      </w:r>
      <w:r>
        <w:rPr>
          <w:spacing w:val="1"/>
          <w:szCs w:val="22"/>
          <w:lang w:eastAsia="en-US" w:bidi="ar-SA"/>
        </w:rPr>
        <w:t>t</w:t>
      </w:r>
      <w:r>
        <w:rPr>
          <w:szCs w:val="22"/>
          <w:lang w:eastAsia="en-US" w:bidi="ar-SA"/>
        </w:rPr>
        <w:t xml:space="preserve">e </w:t>
      </w:r>
      <w:r>
        <w:rPr>
          <w:spacing w:val="-3"/>
          <w:szCs w:val="22"/>
          <w:lang w:eastAsia="en-US" w:bidi="ar-SA"/>
        </w:rPr>
        <w:t>c</w:t>
      </w:r>
      <w:r>
        <w:rPr>
          <w:szCs w:val="22"/>
          <w:lang w:eastAsia="en-US" w:bidi="ar-SA"/>
        </w:rPr>
        <w:t>a</w:t>
      </w:r>
      <w:r>
        <w:rPr>
          <w:spacing w:val="-2"/>
          <w:szCs w:val="22"/>
          <w:lang w:eastAsia="en-US" w:bidi="ar-SA"/>
        </w:rPr>
        <w:t>r</w:t>
      </w:r>
      <w:r>
        <w:rPr>
          <w:szCs w:val="22"/>
          <w:lang w:eastAsia="en-US" w:bidi="ar-SA"/>
        </w:rPr>
        <w:t xml:space="preserve">e </w:t>
      </w:r>
      <w:r>
        <w:rPr>
          <w:spacing w:val="-4"/>
          <w:szCs w:val="22"/>
          <w:lang w:eastAsia="en-US" w:bidi="ar-SA"/>
        </w:rPr>
        <w:t>m</w:t>
      </w:r>
      <w:r>
        <w:rPr>
          <w:szCs w:val="22"/>
          <w:lang w:eastAsia="en-US" w:bidi="ar-SA"/>
        </w:rPr>
        <w:t>od</w:t>
      </w:r>
      <w:r>
        <w:rPr>
          <w:spacing w:val="1"/>
          <w:szCs w:val="22"/>
          <w:lang w:eastAsia="en-US" w:bidi="ar-SA"/>
        </w:rPr>
        <w:t>i</w:t>
      </w:r>
      <w:r>
        <w:rPr>
          <w:spacing w:val="-2"/>
          <w:szCs w:val="22"/>
          <w:lang w:eastAsia="en-US" w:bidi="ar-SA"/>
        </w:rPr>
        <w:t>f</w:t>
      </w:r>
      <w:r>
        <w:rPr>
          <w:spacing w:val="1"/>
          <w:szCs w:val="22"/>
          <w:lang w:eastAsia="en-US" w:bidi="ar-SA"/>
        </w:rPr>
        <w:t>i</w:t>
      </w:r>
      <w:r>
        <w:rPr>
          <w:szCs w:val="22"/>
          <w:lang w:eastAsia="en-US" w:bidi="ar-SA"/>
        </w:rPr>
        <w:t>că</w:t>
      </w:r>
      <w:r>
        <w:rPr>
          <w:spacing w:val="-2"/>
          <w:szCs w:val="22"/>
          <w:lang w:eastAsia="en-US" w:bidi="ar-SA"/>
        </w:rPr>
        <w:t xml:space="preserve"> </w:t>
      </w:r>
      <w:r>
        <w:rPr>
          <w:szCs w:val="22"/>
          <w:lang w:eastAsia="en-US" w:bidi="ar-SA"/>
        </w:rPr>
        <w:t>e</w:t>
      </w:r>
      <w:r>
        <w:rPr>
          <w:spacing w:val="-3"/>
          <w:szCs w:val="22"/>
          <w:lang w:eastAsia="en-US" w:bidi="ar-SA"/>
        </w:rPr>
        <w:t>v</w:t>
      </w:r>
      <w:r>
        <w:rPr>
          <w:szCs w:val="22"/>
          <w:lang w:eastAsia="en-US" w:bidi="ar-SA"/>
        </w:rPr>
        <w:t>o</w:t>
      </w:r>
      <w:r>
        <w:rPr>
          <w:spacing w:val="1"/>
          <w:szCs w:val="22"/>
          <w:lang w:eastAsia="en-US" w:bidi="ar-SA"/>
        </w:rPr>
        <w:t>l</w:t>
      </w:r>
      <w:r>
        <w:rPr>
          <w:szCs w:val="22"/>
          <w:lang w:eastAsia="en-US" w:bidi="ar-SA"/>
        </w:rPr>
        <w:t>u</w:t>
      </w:r>
      <w:r>
        <w:rPr>
          <w:spacing w:val="-2"/>
          <w:szCs w:val="22"/>
          <w:lang w:eastAsia="en-US" w:bidi="ar-SA"/>
        </w:rPr>
        <w:t>ţ</w:t>
      </w:r>
      <w:r>
        <w:rPr>
          <w:spacing w:val="1"/>
          <w:szCs w:val="22"/>
          <w:lang w:eastAsia="en-US" w:bidi="ar-SA"/>
        </w:rPr>
        <w:t>i</w:t>
      </w:r>
      <w:r>
        <w:rPr>
          <w:szCs w:val="22"/>
          <w:lang w:eastAsia="en-US" w:bidi="ar-SA"/>
        </w:rPr>
        <w:t>a b</w:t>
      </w:r>
      <w:r>
        <w:rPr>
          <w:spacing w:val="-3"/>
          <w:szCs w:val="22"/>
          <w:lang w:eastAsia="en-US" w:bidi="ar-SA"/>
        </w:rPr>
        <w:t>o</w:t>
      </w:r>
      <w:r>
        <w:rPr>
          <w:spacing w:val="1"/>
          <w:szCs w:val="22"/>
          <w:lang w:eastAsia="en-US" w:bidi="ar-SA"/>
        </w:rPr>
        <w:t>l</w:t>
      </w:r>
      <w:r>
        <w:rPr>
          <w:spacing w:val="-2"/>
          <w:szCs w:val="22"/>
          <w:lang w:eastAsia="en-US" w:bidi="ar-SA"/>
        </w:rPr>
        <w:t>i</w:t>
      </w:r>
      <w:r>
        <w:rPr>
          <w:spacing w:val="1"/>
          <w:szCs w:val="22"/>
          <w:lang w:eastAsia="en-US" w:bidi="ar-SA"/>
        </w:rPr>
        <w:t>i</w:t>
      </w:r>
      <w:r>
        <w:rPr>
          <w:szCs w:val="22"/>
          <w:lang w:eastAsia="en-US" w:bidi="ar-SA"/>
        </w:rPr>
        <w:t>, cum</w:t>
      </w:r>
      <w:r>
        <w:rPr>
          <w:spacing w:val="-4"/>
          <w:szCs w:val="22"/>
          <w:lang w:eastAsia="en-US" w:bidi="ar-SA"/>
        </w:rPr>
        <w:t xml:space="preserve"> </w:t>
      </w:r>
      <w:r>
        <w:rPr>
          <w:szCs w:val="22"/>
          <w:lang w:eastAsia="en-US" w:bidi="ar-SA"/>
        </w:rPr>
        <w:t>es</w:t>
      </w:r>
      <w:r>
        <w:rPr>
          <w:spacing w:val="1"/>
          <w:szCs w:val="22"/>
          <w:lang w:eastAsia="en-US" w:bidi="ar-SA"/>
        </w:rPr>
        <w:t>t</w:t>
      </w:r>
      <w:r>
        <w:rPr>
          <w:szCs w:val="22"/>
          <w:lang w:eastAsia="en-US" w:bidi="ar-SA"/>
        </w:rPr>
        <w:t xml:space="preserve">e </w:t>
      </w:r>
      <w:r>
        <w:rPr>
          <w:spacing w:val="-4"/>
          <w:szCs w:val="22"/>
          <w:lang w:eastAsia="en-US" w:bidi="ar-SA"/>
        </w:rPr>
        <w:t>m</w:t>
      </w:r>
      <w:r>
        <w:rPr>
          <w:szCs w:val="22"/>
          <w:lang w:eastAsia="en-US" w:bidi="ar-SA"/>
        </w:rPr>
        <w:t>e</w:t>
      </w:r>
      <w:r>
        <w:rPr>
          <w:spacing w:val="1"/>
          <w:szCs w:val="22"/>
          <w:lang w:eastAsia="en-US" w:bidi="ar-SA"/>
        </w:rPr>
        <w:t>t</w:t>
      </w:r>
      <w:r>
        <w:rPr>
          <w:szCs w:val="22"/>
          <w:lang w:eastAsia="en-US" w:bidi="ar-SA"/>
        </w:rPr>
        <w:t>o</w:t>
      </w:r>
      <w:r>
        <w:rPr>
          <w:spacing w:val="-2"/>
          <w:szCs w:val="22"/>
          <w:lang w:eastAsia="en-US" w:bidi="ar-SA"/>
        </w:rPr>
        <w:t>t</w:t>
      </w:r>
      <w:r>
        <w:rPr>
          <w:szCs w:val="22"/>
          <w:lang w:eastAsia="en-US" w:bidi="ar-SA"/>
        </w:rPr>
        <w:t>rex</w:t>
      </w:r>
      <w:r>
        <w:rPr>
          <w:spacing w:val="-3"/>
          <w:szCs w:val="22"/>
          <w:lang w:eastAsia="en-US" w:bidi="ar-SA"/>
        </w:rPr>
        <w:t>a</w:t>
      </w:r>
      <w:r>
        <w:rPr>
          <w:szCs w:val="22"/>
          <w:lang w:eastAsia="en-US" w:bidi="ar-SA"/>
        </w:rPr>
        <w:t xml:space="preserve">t. </w:t>
      </w:r>
      <w:r>
        <w:rPr>
          <w:spacing w:val="-1"/>
        </w:rPr>
        <w:t>D</w:t>
      </w:r>
      <w:r>
        <w:t>a</w:t>
      </w:r>
      <w:r>
        <w:rPr>
          <w:spacing w:val="-3"/>
        </w:rPr>
        <w:t>c</w:t>
      </w:r>
      <w:r>
        <w:t>ă</w:t>
      </w:r>
      <w:r>
        <w:rPr>
          <w:spacing w:val="-2"/>
        </w:rPr>
        <w:t xml:space="preserve"> </w:t>
      </w:r>
      <w:r>
        <w:t>nu r</w:t>
      </w:r>
      <w:r>
        <w:rPr>
          <w:spacing w:val="-3"/>
        </w:rPr>
        <w:t>ă</w:t>
      </w:r>
      <w:r>
        <w:t>spund</w:t>
      </w:r>
      <w:r>
        <w:rPr>
          <w:spacing w:val="-3"/>
        </w:rPr>
        <w:t>e</w:t>
      </w:r>
      <w:r>
        <w:rPr>
          <w:spacing w:val="-2"/>
        </w:rPr>
        <w:t>ţ</w:t>
      </w:r>
      <w:r>
        <w:t>i</w:t>
      </w:r>
      <w:r>
        <w:rPr>
          <w:spacing w:val="1"/>
        </w:rPr>
        <w:t xml:space="preserve"> </w:t>
      </w:r>
      <w:r>
        <w:t>s</w:t>
      </w:r>
      <w:r>
        <w:rPr>
          <w:spacing w:val="-3"/>
        </w:rPr>
        <w:t>u</w:t>
      </w:r>
      <w:r>
        <w:t>f</w:t>
      </w:r>
      <w:r>
        <w:rPr>
          <w:spacing w:val="1"/>
        </w:rPr>
        <w:t>i</w:t>
      </w:r>
      <w:r>
        <w:rPr>
          <w:spacing w:val="-3"/>
        </w:rPr>
        <w:t>c</w:t>
      </w:r>
      <w:r>
        <w:rPr>
          <w:spacing w:val="1"/>
        </w:rPr>
        <w:t>i</w:t>
      </w:r>
      <w:r>
        <w:t>e</w:t>
      </w:r>
      <w:r>
        <w:rPr>
          <w:spacing w:val="-3"/>
        </w:rPr>
        <w:t>n</w:t>
      </w:r>
      <w:r>
        <w:t>t</w:t>
      </w:r>
      <w:r>
        <w:rPr>
          <w:spacing w:val="1"/>
        </w:rPr>
        <w:t xml:space="preserve"> </w:t>
      </w:r>
      <w:r>
        <w:rPr>
          <w:spacing w:val="-3"/>
        </w:rPr>
        <w:t>d</w:t>
      </w:r>
      <w:r>
        <w:t xml:space="preserve">e </w:t>
      </w:r>
      <w:r>
        <w:rPr>
          <w:spacing w:val="-3"/>
        </w:rPr>
        <w:t>b</w:t>
      </w:r>
      <w:r>
        <w:rPr>
          <w:spacing w:val="1"/>
        </w:rPr>
        <w:t>i</w:t>
      </w:r>
      <w:r>
        <w:t>ne</w:t>
      </w:r>
      <w:r>
        <w:rPr>
          <w:spacing w:val="-2"/>
        </w:rPr>
        <w:t xml:space="preserve"> </w:t>
      </w:r>
      <w:r>
        <w:rPr>
          <w:spacing w:val="1"/>
        </w:rPr>
        <w:t>l</w:t>
      </w:r>
      <w:r>
        <w:t xml:space="preserve">a </w:t>
      </w:r>
      <w:r>
        <w:rPr>
          <w:spacing w:val="-3"/>
        </w:rPr>
        <w:t>a</w:t>
      </w:r>
      <w:r>
        <w:t>ce</w:t>
      </w:r>
      <w:r>
        <w:rPr>
          <w:spacing w:val="-2"/>
        </w:rP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e,</w:t>
      </w:r>
      <w:r>
        <w:rPr>
          <w:spacing w:val="-3"/>
        </w:rPr>
        <w:t xml:space="preserve"> v</w:t>
      </w:r>
      <w:r>
        <w:t>i</w:t>
      </w:r>
      <w:r>
        <w:rPr>
          <w:spacing w:val="1"/>
        </w:rPr>
        <w:t xml:space="preserve"> </w:t>
      </w:r>
      <w:r>
        <w:t xml:space="preserve">se </w:t>
      </w:r>
      <w:r>
        <w:rPr>
          <w:spacing w:val="-3"/>
        </w:rPr>
        <w:t>v</w:t>
      </w:r>
      <w:r>
        <w:t>a ad</w:t>
      </w:r>
      <w:r>
        <w:rPr>
          <w:spacing w:val="-4"/>
        </w:rPr>
        <w:t>m</w:t>
      </w:r>
      <w:r>
        <w:rPr>
          <w:spacing w:val="1"/>
        </w:rPr>
        <w:t>i</w:t>
      </w:r>
      <w:r>
        <w:t>n</w:t>
      </w:r>
      <w:r>
        <w:rPr>
          <w:spacing w:val="1"/>
        </w:rPr>
        <w:t>i</w:t>
      </w:r>
      <w:r>
        <w:t>s</w:t>
      </w:r>
      <w:r>
        <w:rPr>
          <w:spacing w:val="-2"/>
        </w:rPr>
        <w:t>t</w:t>
      </w:r>
      <w:r>
        <w:t xml:space="preserve">ra </w:t>
      </w:r>
      <w:r>
        <w:rPr>
          <w:spacing w:val="-1"/>
          <w:szCs w:val="22"/>
          <w:lang w:eastAsia="en-US" w:bidi="ar-SA"/>
        </w:rPr>
        <w:t>AMGEVITA</w:t>
      </w:r>
      <w:r>
        <w:t xml:space="preserve"> în </w:t>
      </w:r>
      <w:r>
        <w:rPr>
          <w:spacing w:val="-3"/>
        </w:rPr>
        <w:t>v</w:t>
      </w:r>
      <w:r>
        <w:t>ede</w:t>
      </w:r>
      <w:r>
        <w:rPr>
          <w:spacing w:val="-2"/>
        </w:rPr>
        <w:t>r</w:t>
      </w:r>
      <w:r>
        <w:t xml:space="preserve">ea </w:t>
      </w:r>
      <w:r>
        <w:rPr>
          <w:spacing w:val="-2"/>
        </w:rPr>
        <w:t>t</w:t>
      </w:r>
      <w:r>
        <w:t>r</w:t>
      </w:r>
      <w:r>
        <w:rPr>
          <w:spacing w:val="-3"/>
        </w:rPr>
        <w:t>a</w:t>
      </w:r>
      <w:r>
        <w:rPr>
          <w:spacing w:val="1"/>
        </w:rPr>
        <w:t>t</w:t>
      </w:r>
      <w:r>
        <w:rPr>
          <w:spacing w:val="-3"/>
        </w:rPr>
        <w:t>ă</w:t>
      </w:r>
      <w:r>
        <w:t>r</w:t>
      </w:r>
      <w:r>
        <w:rPr>
          <w:spacing w:val="-2"/>
        </w:rPr>
        <w:t>i</w:t>
      </w:r>
      <w:r>
        <w:t>i</w:t>
      </w:r>
      <w:r>
        <w:rPr>
          <w:spacing w:val="1"/>
        </w:rPr>
        <w:t xml:space="preserve"> </w:t>
      </w:r>
      <w:r>
        <w:rPr>
          <w:spacing w:val="-3"/>
        </w:rPr>
        <w:t>a</w:t>
      </w:r>
      <w:r>
        <w:t>r</w:t>
      </w:r>
      <w:r>
        <w:rPr>
          <w:spacing w:val="1"/>
        </w:rPr>
        <w:t>t</w:t>
      </w:r>
      <w:r>
        <w:rPr>
          <w:spacing w:val="-2"/>
        </w:rPr>
        <w:t>ri</w:t>
      </w:r>
      <w:r>
        <w:rPr>
          <w:spacing w:val="1"/>
        </w:rPr>
        <w:t>t</w:t>
      </w:r>
      <w:r>
        <w:t>ei</w:t>
      </w:r>
      <w:r>
        <w:rPr>
          <w:spacing w:val="-2"/>
        </w:rPr>
        <w:t xml:space="preserve"> </w:t>
      </w:r>
      <w:r>
        <w:t>du</w:t>
      </w:r>
      <w:r>
        <w:rPr>
          <w:spacing w:val="-4"/>
        </w:rPr>
        <w:t>m</w:t>
      </w:r>
      <w:r>
        <w:t>nea</w:t>
      </w:r>
      <w:r>
        <w:rPr>
          <w:spacing w:val="-3"/>
        </w:rPr>
        <w:t>v</w:t>
      </w:r>
      <w:r>
        <w:t>oas</w:t>
      </w:r>
      <w:r>
        <w:rPr>
          <w:spacing w:val="1"/>
        </w:rPr>
        <w:t>t</w:t>
      </w:r>
      <w:r>
        <w:rPr>
          <w:spacing w:val="-2"/>
        </w:rPr>
        <w:t>r</w:t>
      </w:r>
      <w:r>
        <w:t>ă r</w:t>
      </w:r>
      <w:r>
        <w:rPr>
          <w:spacing w:val="-3"/>
        </w:rPr>
        <w:t>e</w:t>
      </w:r>
      <w:r>
        <w:t>u</w:t>
      </w:r>
      <w:r>
        <w:rPr>
          <w:spacing w:val="-2"/>
        </w:rPr>
        <w:t>m</w:t>
      </w:r>
      <w:r>
        <w:t>a</w:t>
      </w:r>
      <w:r>
        <w:rPr>
          <w:spacing w:val="1"/>
        </w:rPr>
        <w:t>t</w:t>
      </w:r>
      <w:r>
        <w:rPr>
          <w:spacing w:val="-3"/>
        </w:rPr>
        <w:t>o</w:t>
      </w:r>
      <w:r>
        <w:rPr>
          <w:spacing w:val="1"/>
        </w:rPr>
        <w:t>i</w:t>
      </w:r>
      <w:r>
        <w:t>de</w:t>
      </w:r>
      <w:r>
        <w:rPr>
          <w:spacing w:val="-2"/>
        </w:rPr>
        <w:t xml:space="preserve"> </w:t>
      </w:r>
      <w:r>
        <w:rPr>
          <w:spacing w:val="1"/>
        </w:rPr>
        <w:t>i</w:t>
      </w:r>
      <w:r>
        <w:t>d</w:t>
      </w:r>
      <w:r>
        <w:rPr>
          <w:spacing w:val="1"/>
        </w:rPr>
        <w:t>i</w:t>
      </w:r>
      <w:r>
        <w:rPr>
          <w:spacing w:val="-3"/>
        </w:rPr>
        <w:t>o</w:t>
      </w:r>
      <w:r>
        <w:t>pa</w:t>
      </w:r>
      <w:r>
        <w:rPr>
          <w:spacing w:val="-2"/>
        </w:rPr>
        <w:t>t</w:t>
      </w:r>
      <w:r>
        <w:rPr>
          <w:spacing w:val="1"/>
        </w:rPr>
        <w:t>i</w:t>
      </w:r>
      <w:r>
        <w:rPr>
          <w:spacing w:val="-3"/>
        </w:rPr>
        <w:t>c</w:t>
      </w:r>
      <w:r>
        <w:t>e</w:t>
      </w:r>
      <w:r>
        <w:rPr>
          <w:spacing w:val="-2"/>
        </w:rPr>
        <w:t xml:space="preserve"> </w:t>
      </w:r>
      <w:r>
        <w:rPr>
          <w:spacing w:val="3"/>
        </w:rPr>
        <w:t>j</w:t>
      </w:r>
      <w:r>
        <w:t>u</w:t>
      </w:r>
      <w:r>
        <w:rPr>
          <w:spacing w:val="-3"/>
        </w:rPr>
        <w:t>v</w:t>
      </w:r>
      <w:r>
        <w:t>e</w:t>
      </w:r>
      <w:r>
        <w:rPr>
          <w:spacing w:val="-3"/>
        </w:rPr>
        <w:t>n</w:t>
      </w:r>
      <w:r>
        <w:rPr>
          <w:spacing w:val="1"/>
        </w:rPr>
        <w:t>il</w:t>
      </w:r>
      <w:r>
        <w:t>e</w:t>
      </w:r>
      <w:r>
        <w:rPr>
          <w:spacing w:val="-2"/>
        </w:rPr>
        <w:t xml:space="preserve"> f</w:t>
      </w:r>
      <w:r>
        <w:t>or</w:t>
      </w:r>
      <w:r>
        <w:rPr>
          <w:spacing w:val="-4"/>
        </w:rPr>
        <w:t>m</w:t>
      </w:r>
      <w:r>
        <w:t>a po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 xml:space="preserve">ră sau </w:t>
      </w:r>
      <w:r>
        <w:rPr>
          <w:spacing w:val="-3"/>
        </w:rPr>
        <w:t>a</w:t>
      </w:r>
      <w:r>
        <w:t>r</w:t>
      </w:r>
      <w:r>
        <w:rPr>
          <w:spacing w:val="-2"/>
        </w:rPr>
        <w:t>t</w:t>
      </w:r>
      <w:r>
        <w:t>r</w:t>
      </w:r>
      <w:r>
        <w:rPr>
          <w:spacing w:val="-2"/>
        </w:rPr>
        <w:t>i</w:t>
      </w:r>
      <w:r>
        <w:rPr>
          <w:spacing w:val="1"/>
        </w:rPr>
        <w:t>t</w:t>
      </w:r>
      <w:r>
        <w:rPr>
          <w:spacing w:val="-3"/>
        </w:rPr>
        <w:t>e</w:t>
      </w:r>
      <w:r>
        <w:t>i</w:t>
      </w:r>
      <w:r>
        <w:rPr>
          <w:spacing w:val="1"/>
        </w:rPr>
        <w:t xml:space="preserve"> </w:t>
      </w:r>
      <w:r>
        <w:t>as</w:t>
      </w:r>
      <w:r>
        <w:rPr>
          <w:spacing w:val="-3"/>
        </w:rPr>
        <w:t>o</w:t>
      </w:r>
      <w:r>
        <w:t>c</w:t>
      </w:r>
      <w:r>
        <w:rPr>
          <w:spacing w:val="-2"/>
        </w:rPr>
        <w:t>i</w:t>
      </w:r>
      <w:r>
        <w:t>a</w:t>
      </w:r>
      <w:r>
        <w:rPr>
          <w:spacing w:val="1"/>
        </w:rPr>
        <w:t>t</w:t>
      </w:r>
      <w:r>
        <w:t>ă</w:t>
      </w:r>
      <w:r>
        <w:rPr>
          <w:spacing w:val="-2"/>
        </w:rPr>
        <w:t xml:space="preserve"> </w:t>
      </w:r>
      <w:r>
        <w:t>e</w:t>
      </w:r>
      <w:r>
        <w:rPr>
          <w:spacing w:val="-3"/>
        </w:rPr>
        <w:t>n</w:t>
      </w:r>
      <w:r>
        <w:rPr>
          <w:spacing w:val="1"/>
        </w:rPr>
        <w:t>t</w:t>
      </w:r>
      <w:r>
        <w:t>e</w:t>
      </w:r>
      <w:r>
        <w:rPr>
          <w:spacing w:val="-3"/>
        </w:rPr>
        <w:t>z</w:t>
      </w:r>
      <w:r>
        <w:rPr>
          <w:spacing w:val="1"/>
        </w:rPr>
        <w:t>i</w:t>
      </w:r>
      <w:r>
        <w:rPr>
          <w:spacing w:val="-2"/>
        </w:rPr>
        <w:t>t</w:t>
      </w:r>
      <w:r>
        <w:rPr>
          <w:spacing w:val="-3"/>
        </w:rPr>
        <w:t>e</w:t>
      </w:r>
      <w:r>
        <w:t>i.</w:t>
      </w:r>
    </w:p>
    <w:p w14:paraId="4A5F56F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69725BB" w14:textId="77777777" w:rsidR="00C04CAD" w:rsidRDefault="00060E34">
      <w:pPr>
        <w:tabs>
          <w:tab w:val="clear" w:pos="567"/>
        </w:tabs>
        <w:kinsoku w:val="0"/>
        <w:overflowPunct w:val="0"/>
        <w:autoSpaceDE w:val="0"/>
        <w:autoSpaceDN w:val="0"/>
        <w:adjustRightInd w:val="0"/>
        <w:spacing w:line="240" w:lineRule="auto"/>
      </w:pPr>
      <w:r>
        <w:rPr>
          <w:spacing w:val="-1"/>
          <w:u w:val="single"/>
        </w:rPr>
        <w:t>S</w:t>
      </w:r>
      <w:r>
        <w:rPr>
          <w:u w:val="single"/>
        </w:rPr>
        <w:t>pond</w:t>
      </w:r>
      <w:r>
        <w:rPr>
          <w:spacing w:val="-2"/>
          <w:u w:val="single"/>
        </w:rPr>
        <w:t>i</w:t>
      </w:r>
      <w:r>
        <w:rPr>
          <w:spacing w:val="1"/>
          <w:u w:val="single"/>
        </w:rPr>
        <w:t>l</w:t>
      </w:r>
      <w:r>
        <w:rPr>
          <w:spacing w:val="-2"/>
          <w:u w:val="single"/>
        </w:rPr>
        <w:t>i</w:t>
      </w:r>
      <w:r>
        <w:rPr>
          <w:spacing w:val="1"/>
          <w:u w:val="single"/>
        </w:rPr>
        <w:t>t</w:t>
      </w:r>
      <w:r>
        <w:rPr>
          <w:u w:val="single"/>
        </w:rPr>
        <w:t xml:space="preserve">ă </w:t>
      </w:r>
      <w:r>
        <w:rPr>
          <w:spacing w:val="-3"/>
          <w:u w:val="single"/>
        </w:rPr>
        <w:t>a</w:t>
      </w:r>
      <w:r>
        <w:rPr>
          <w:u w:val="single"/>
        </w:rPr>
        <w:t>nc</w:t>
      </w:r>
      <w:r>
        <w:rPr>
          <w:spacing w:val="-3"/>
          <w:u w:val="single"/>
        </w:rPr>
        <w:t>h</w:t>
      </w:r>
      <w:r>
        <w:rPr>
          <w:spacing w:val="1"/>
          <w:u w:val="single"/>
        </w:rPr>
        <w:t>il</w:t>
      </w:r>
      <w:r>
        <w:rPr>
          <w:u w:val="single"/>
        </w:rPr>
        <w:t>o</w:t>
      </w:r>
      <w:r>
        <w:rPr>
          <w:spacing w:val="-3"/>
          <w:u w:val="single"/>
        </w:rPr>
        <w:t>z</w:t>
      </w:r>
      <w:r>
        <w:rPr>
          <w:u w:val="single"/>
        </w:rPr>
        <w:t>a</w:t>
      </w:r>
      <w:r>
        <w:rPr>
          <w:spacing w:val="-3"/>
          <w:u w:val="single"/>
        </w:rPr>
        <w:t>n</w:t>
      </w:r>
      <w:r>
        <w:rPr>
          <w:spacing w:val="1"/>
          <w:u w:val="single"/>
        </w:rPr>
        <w:t>t</w:t>
      </w:r>
      <w:r>
        <w:rPr>
          <w:u w:val="single"/>
        </w:rPr>
        <w:t xml:space="preserve">ă </w:t>
      </w:r>
      <w:r>
        <w:rPr>
          <w:spacing w:val="-2"/>
          <w:u w:val="single"/>
        </w:rPr>
        <w:t>ş</w:t>
      </w:r>
      <w:r>
        <w:rPr>
          <w:u w:val="single"/>
        </w:rPr>
        <w:t xml:space="preserve">i </w:t>
      </w:r>
      <w:r>
        <w:rPr>
          <w:spacing w:val="-2"/>
          <w:u w:val="single"/>
        </w:rPr>
        <w:t>s</w:t>
      </w:r>
      <w:r>
        <w:rPr>
          <w:u w:val="single"/>
        </w:rPr>
        <w:t>pond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3"/>
          <w:u w:val="single"/>
        </w:rPr>
        <w:t>a</w:t>
      </w:r>
      <w:r>
        <w:rPr>
          <w:u w:val="single"/>
        </w:rPr>
        <w:t>x</w:t>
      </w:r>
      <w:r>
        <w:rPr>
          <w:spacing w:val="1"/>
          <w:u w:val="single"/>
        </w:rPr>
        <w:t>i</w:t>
      </w:r>
      <w:r>
        <w:rPr>
          <w:spacing w:val="-3"/>
          <w:u w:val="single"/>
        </w:rPr>
        <w:t>a</w:t>
      </w:r>
      <w:r>
        <w:rPr>
          <w:spacing w:val="1"/>
          <w:u w:val="single"/>
        </w:rPr>
        <w:t>l</w:t>
      </w:r>
      <w:r>
        <w:rPr>
          <w:u w:val="single"/>
        </w:rPr>
        <w:t>ă f</w:t>
      </w:r>
      <w:r>
        <w:rPr>
          <w:spacing w:val="-3"/>
          <w:u w:val="single"/>
        </w:rPr>
        <w:t>ă</w:t>
      </w:r>
      <w:r>
        <w:rPr>
          <w:u w:val="single"/>
        </w:rPr>
        <w:t>ră d</w:t>
      </w:r>
      <w:r>
        <w:rPr>
          <w:spacing w:val="-3"/>
          <w:u w:val="single"/>
        </w:rPr>
        <w:t>ov</w:t>
      </w:r>
      <w:r>
        <w:rPr>
          <w:u w:val="single"/>
        </w:rPr>
        <w:t>adă ra</w:t>
      </w:r>
      <w:r>
        <w:rPr>
          <w:spacing w:val="-3"/>
          <w:u w:val="single"/>
        </w:rPr>
        <w:t>d</w:t>
      </w:r>
      <w:r>
        <w:rPr>
          <w:spacing w:val="1"/>
          <w:u w:val="single"/>
        </w:rPr>
        <w:t>i</w:t>
      </w:r>
      <w:r>
        <w:rPr>
          <w:u w:val="single"/>
        </w:rPr>
        <w:t>o</w:t>
      </w:r>
      <w:r>
        <w:rPr>
          <w:spacing w:val="1"/>
          <w:u w:val="single"/>
        </w:rPr>
        <w:t>l</w:t>
      </w:r>
      <w:r>
        <w:rPr>
          <w:u w:val="single"/>
        </w:rPr>
        <w:t>o</w:t>
      </w:r>
      <w:r>
        <w:rPr>
          <w:spacing w:val="-3"/>
          <w:u w:val="single"/>
        </w:rPr>
        <w:t>g</w:t>
      </w:r>
      <w:r>
        <w:rPr>
          <w:spacing w:val="1"/>
          <w:u w:val="single"/>
        </w:rPr>
        <w:t>i</w:t>
      </w:r>
      <w:r>
        <w:rPr>
          <w:spacing w:val="-3"/>
          <w:u w:val="single"/>
        </w:rPr>
        <w:t>c</w:t>
      </w:r>
      <w:r>
        <w:rPr>
          <w:u w:val="single"/>
        </w:rPr>
        <w:t xml:space="preserve">ă a </w:t>
      </w:r>
      <w:r>
        <w:rPr>
          <w:spacing w:val="-2"/>
          <w:u w:val="single"/>
        </w:rPr>
        <w:t>s</w:t>
      </w:r>
      <w:r>
        <w:rPr>
          <w:u w:val="single"/>
        </w:rPr>
        <w:t>pon</w:t>
      </w:r>
      <w:r>
        <w:rPr>
          <w:spacing w:val="-3"/>
          <w:u w:val="single"/>
        </w:rPr>
        <w:t>d</w:t>
      </w:r>
      <w:r>
        <w:rPr>
          <w:spacing w:val="1"/>
          <w:u w:val="single"/>
        </w:rPr>
        <w:t>i</w:t>
      </w:r>
      <w:r>
        <w:rPr>
          <w:spacing w:val="-2"/>
          <w:u w:val="single"/>
        </w:rPr>
        <w:t>l</w:t>
      </w:r>
      <w:r>
        <w:rPr>
          <w:spacing w:val="1"/>
          <w:u w:val="single"/>
        </w:rPr>
        <w:t>i</w:t>
      </w:r>
      <w:r>
        <w:rPr>
          <w:spacing w:val="-2"/>
          <w:u w:val="single"/>
        </w:rPr>
        <w:t>t</w:t>
      </w:r>
      <w:r>
        <w:rPr>
          <w:u w:val="single"/>
        </w:rPr>
        <w:t>ei</w:t>
      </w:r>
      <w:r>
        <w:rPr>
          <w:spacing w:val="1"/>
          <w:u w:val="single"/>
        </w:rPr>
        <w:t xml:space="preserve"> </w:t>
      </w:r>
      <w:r>
        <w:rPr>
          <w:u w:val="single"/>
        </w:rPr>
        <w:t>a</w:t>
      </w:r>
      <w:r>
        <w:rPr>
          <w:spacing w:val="-3"/>
          <w:u w:val="single"/>
        </w:rPr>
        <w:t>n</w:t>
      </w:r>
      <w:r>
        <w:rPr>
          <w:u w:val="single"/>
        </w:rPr>
        <w:t>ch</w:t>
      </w:r>
      <w:r>
        <w:rPr>
          <w:spacing w:val="-2"/>
          <w:u w:val="single"/>
        </w:rPr>
        <w:t>i</w:t>
      </w:r>
      <w:r>
        <w:rPr>
          <w:spacing w:val="1"/>
          <w:u w:val="single"/>
        </w:rPr>
        <w:t>l</w:t>
      </w:r>
      <w:r>
        <w:rPr>
          <w:u w:val="single"/>
        </w:rPr>
        <w:t>o</w:t>
      </w:r>
      <w:r>
        <w:rPr>
          <w:spacing w:val="-3"/>
          <w:u w:val="single"/>
        </w:rPr>
        <w:t>z</w:t>
      </w:r>
      <w:r>
        <w:rPr>
          <w:u w:val="single"/>
        </w:rPr>
        <w:t>an</w:t>
      </w:r>
      <w:r>
        <w:rPr>
          <w:spacing w:val="-2"/>
          <w:u w:val="single"/>
        </w:rPr>
        <w:t>t</w:t>
      </w:r>
      <w:r>
        <w:rPr>
          <w:u w:val="single"/>
        </w:rPr>
        <w:t>e</w:t>
      </w:r>
    </w:p>
    <w:p w14:paraId="2F8F4A0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717D93E" w14:textId="77777777" w:rsidR="00C04CAD" w:rsidRDefault="00060E34">
      <w:pPr>
        <w:tabs>
          <w:tab w:val="clear" w:pos="567"/>
        </w:tabs>
        <w:kinsoku w:val="0"/>
        <w:overflowPunct w:val="0"/>
        <w:autoSpaceDE w:val="0"/>
        <w:autoSpaceDN w:val="0"/>
        <w:adjustRightInd w:val="0"/>
        <w:spacing w:line="240" w:lineRule="auto"/>
      </w:pPr>
      <w:r>
        <w:rPr>
          <w:spacing w:val="-1"/>
        </w:rPr>
        <w:t>S</w:t>
      </w:r>
      <w:r>
        <w:t>pond</w:t>
      </w:r>
      <w:r>
        <w:rPr>
          <w:spacing w:val="-2"/>
        </w:rPr>
        <w:t>i</w:t>
      </w:r>
      <w:r>
        <w:rPr>
          <w:spacing w:val="1"/>
        </w:rPr>
        <w:t>l</w:t>
      </w:r>
      <w:r>
        <w:rPr>
          <w:spacing w:val="-2"/>
        </w:rPr>
        <w:t>i</w:t>
      </w:r>
      <w:r>
        <w:rPr>
          <w:spacing w:val="1"/>
        </w:rPr>
        <w:t>t</w:t>
      </w:r>
      <w:r>
        <w:t xml:space="preserve">a </w:t>
      </w:r>
      <w:r>
        <w:rPr>
          <w:spacing w:val="-3"/>
        </w:rPr>
        <w:t>a</w:t>
      </w:r>
      <w:r>
        <w:t>nc</w:t>
      </w:r>
      <w:r>
        <w:rPr>
          <w:spacing w:val="-3"/>
        </w:rPr>
        <w:t>h</w:t>
      </w:r>
      <w:r>
        <w:rPr>
          <w:spacing w:val="1"/>
        </w:rPr>
        <w:t>il</w:t>
      </w:r>
      <w:r>
        <w:t>o</w:t>
      </w:r>
      <w:r>
        <w:rPr>
          <w:spacing w:val="-3"/>
        </w:rPr>
        <w:t>z</w:t>
      </w:r>
      <w:r>
        <w:t>a</w:t>
      </w:r>
      <w:r>
        <w:rPr>
          <w:spacing w:val="-3"/>
        </w:rPr>
        <w:t>n</w:t>
      </w:r>
      <w:r>
        <w:rPr>
          <w:spacing w:val="1"/>
        </w:rPr>
        <w:t>t</w:t>
      </w:r>
      <w:r>
        <w:t xml:space="preserve">ă </w:t>
      </w:r>
      <w:r>
        <w:rPr>
          <w:spacing w:val="-2"/>
        </w:rPr>
        <w:t>ş</w:t>
      </w:r>
      <w:r>
        <w:t>i</w:t>
      </w:r>
      <w:r>
        <w:rPr>
          <w:spacing w:val="1"/>
        </w:rPr>
        <w:t xml:space="preserve"> </w:t>
      </w:r>
      <w:r>
        <w:rPr>
          <w:spacing w:val="-2"/>
        </w:rPr>
        <w:t>s</w:t>
      </w:r>
      <w:r>
        <w:t>pond</w:t>
      </w:r>
      <w:r>
        <w:rPr>
          <w:spacing w:val="-2"/>
        </w:rPr>
        <w:t>i</w:t>
      </w:r>
      <w:r>
        <w:rPr>
          <w:spacing w:val="1"/>
        </w:rPr>
        <w:t>l</w:t>
      </w:r>
      <w:r>
        <w:t>o</w:t>
      </w:r>
      <w:r>
        <w:rPr>
          <w:spacing w:val="-3"/>
        </w:rPr>
        <w:t>a</w:t>
      </w:r>
      <w:r>
        <w:t>r</w:t>
      </w:r>
      <w:r>
        <w:rPr>
          <w:spacing w:val="-2"/>
        </w:rPr>
        <w:t>t</w:t>
      </w:r>
      <w:r>
        <w:t>r</w:t>
      </w:r>
      <w:r>
        <w:rPr>
          <w:spacing w:val="-2"/>
        </w:rPr>
        <w:t>i</w:t>
      </w:r>
      <w:r>
        <w:rPr>
          <w:spacing w:val="1"/>
        </w:rPr>
        <w:t>t</w:t>
      </w:r>
      <w:r>
        <w:t xml:space="preserve">a </w:t>
      </w:r>
      <w:r>
        <w:rPr>
          <w:spacing w:val="-3"/>
        </w:rPr>
        <w:t>a</w:t>
      </w:r>
      <w:r>
        <w:t>x</w:t>
      </w:r>
      <w:r>
        <w:rPr>
          <w:spacing w:val="1"/>
        </w:rPr>
        <w:t>i</w:t>
      </w:r>
      <w:r>
        <w:rPr>
          <w:spacing w:val="-3"/>
        </w:rPr>
        <w:t>a</w:t>
      </w:r>
      <w:r>
        <w:rPr>
          <w:spacing w:val="1"/>
        </w:rPr>
        <w:t>l</w:t>
      </w:r>
      <w:r>
        <w:t>ă</w:t>
      </w:r>
      <w:r>
        <w:rPr>
          <w:spacing w:val="-2"/>
        </w:rPr>
        <w:t xml:space="preserve"> </w:t>
      </w:r>
      <w:r>
        <w:t>f</w:t>
      </w:r>
      <w:r>
        <w:rPr>
          <w:spacing w:val="-3"/>
        </w:rPr>
        <w:t>ă</w:t>
      </w:r>
      <w:r>
        <w:t>ră d</w:t>
      </w:r>
      <w:r>
        <w:rPr>
          <w:spacing w:val="-3"/>
        </w:rPr>
        <w:t>ov</w:t>
      </w:r>
      <w:r>
        <w:t>adă ra</w:t>
      </w:r>
      <w:r>
        <w:rPr>
          <w:spacing w:val="-3"/>
        </w:rPr>
        <w:t>d</w:t>
      </w:r>
      <w:r>
        <w:rPr>
          <w:spacing w:val="1"/>
        </w:rPr>
        <w:t>i</w:t>
      </w:r>
      <w:r>
        <w:t>o</w:t>
      </w:r>
      <w:r>
        <w:rPr>
          <w:spacing w:val="1"/>
        </w:rPr>
        <w:t>l</w:t>
      </w:r>
      <w:r>
        <w:t>o</w:t>
      </w:r>
      <w:r>
        <w:rPr>
          <w:spacing w:val="-3"/>
        </w:rPr>
        <w:t>g</w:t>
      </w:r>
      <w:r>
        <w:rPr>
          <w:spacing w:val="1"/>
        </w:rPr>
        <w:t>i</w:t>
      </w:r>
      <w:r>
        <w:rPr>
          <w:spacing w:val="-3"/>
        </w:rPr>
        <w:t>c</w:t>
      </w:r>
      <w:r>
        <w:t xml:space="preserve">ă a </w:t>
      </w:r>
      <w:r>
        <w:rPr>
          <w:spacing w:val="-2"/>
        </w:rPr>
        <w:t>s</w:t>
      </w:r>
      <w:r>
        <w:t>pon</w:t>
      </w:r>
      <w:r>
        <w:rPr>
          <w:spacing w:val="-3"/>
        </w:rPr>
        <w:t>d</w:t>
      </w:r>
      <w:r>
        <w:rPr>
          <w:spacing w:val="1"/>
        </w:rPr>
        <w:t>i</w:t>
      </w:r>
      <w:r>
        <w:rPr>
          <w:spacing w:val="-2"/>
        </w:rPr>
        <w:t>l</w:t>
      </w:r>
      <w:r>
        <w:rPr>
          <w:spacing w:val="1"/>
        </w:rPr>
        <w:t>i</w:t>
      </w:r>
      <w:r>
        <w:rPr>
          <w:spacing w:val="-2"/>
        </w:rPr>
        <w:t>t</w:t>
      </w:r>
      <w:r>
        <w:t>ei</w:t>
      </w:r>
      <w:r>
        <w:rPr>
          <w:spacing w:val="1"/>
        </w:rPr>
        <w:t xml:space="preserve"> </w:t>
      </w:r>
      <w:r>
        <w:t>a</w:t>
      </w:r>
      <w:r>
        <w:rPr>
          <w:spacing w:val="-3"/>
        </w:rPr>
        <w:t>n</w:t>
      </w:r>
      <w:r>
        <w:t>ch</w:t>
      </w:r>
      <w:r>
        <w:rPr>
          <w:spacing w:val="-2"/>
        </w:rPr>
        <w:t>i</w:t>
      </w:r>
      <w:r>
        <w:rPr>
          <w:spacing w:val="1"/>
        </w:rPr>
        <w:t>l</w:t>
      </w:r>
      <w:r>
        <w:t>o</w:t>
      </w:r>
      <w:r>
        <w:rPr>
          <w:spacing w:val="-3"/>
        </w:rPr>
        <w:t>z</w:t>
      </w:r>
      <w:r>
        <w:t>an</w:t>
      </w:r>
      <w:r>
        <w:rPr>
          <w:spacing w:val="-2"/>
        </w:rPr>
        <w:t>t</w:t>
      </w:r>
      <w:r>
        <w:t>e su</w:t>
      </w:r>
      <w:r>
        <w:rPr>
          <w:spacing w:val="-3"/>
        </w:rPr>
        <w:t>n</w:t>
      </w:r>
      <w:r>
        <w:t>t afe</w:t>
      </w:r>
      <w:r>
        <w:rPr>
          <w:spacing w:val="-3"/>
        </w:rPr>
        <w:t>c</w:t>
      </w:r>
      <w:r>
        <w:rPr>
          <w:spacing w:val="1"/>
        </w:rPr>
        <w:t>ţ</w:t>
      </w:r>
      <w:r>
        <w:rPr>
          <w:spacing w:val="-2"/>
        </w:rPr>
        <w:t>i</w:t>
      </w:r>
      <w:r>
        <w:t>uni</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o</w:t>
      </w:r>
      <w:r>
        <w:t>r</w:t>
      </w:r>
      <w:r>
        <w:rPr>
          <w:spacing w:val="-2"/>
        </w:rPr>
        <w:t>i</w:t>
      </w:r>
      <w:r>
        <w:t>i</w:t>
      </w:r>
      <w:r>
        <w:rPr>
          <w:spacing w:val="1"/>
        </w:rPr>
        <w:t xml:space="preserve"> </w:t>
      </w:r>
      <w:r>
        <w:rPr>
          <w:spacing w:val="-3"/>
        </w:rPr>
        <w:t>a</w:t>
      </w:r>
      <w:r>
        <w:rPr>
          <w:spacing w:val="1"/>
        </w:rPr>
        <w:t>l</w:t>
      </w:r>
      <w:r>
        <w:t>e c</w:t>
      </w:r>
      <w:r>
        <w:rPr>
          <w:spacing w:val="-3"/>
        </w:rPr>
        <w:t>o</w:t>
      </w:r>
      <w:r>
        <w:rPr>
          <w:spacing w:val="1"/>
        </w:rPr>
        <w:t>l</w:t>
      </w:r>
      <w:r>
        <w:t>oan</w:t>
      </w:r>
      <w:r>
        <w:rPr>
          <w:spacing w:val="-3"/>
        </w:rPr>
        <w:t>e</w:t>
      </w:r>
      <w:r>
        <w:t>i</w:t>
      </w:r>
      <w:r>
        <w:rPr>
          <w:spacing w:val="1"/>
        </w:rPr>
        <w:t xml:space="preserve"> </w:t>
      </w:r>
      <w:r>
        <w:rPr>
          <w:spacing w:val="-3"/>
        </w:rPr>
        <w:t>v</w:t>
      </w:r>
      <w:r>
        <w:t>e</w:t>
      </w:r>
      <w:r>
        <w:rPr>
          <w:spacing w:val="-2"/>
        </w:rPr>
        <w:t>r</w:t>
      </w:r>
      <w:r>
        <w:rPr>
          <w:spacing w:val="1"/>
        </w:rPr>
        <w:t>t</w:t>
      </w:r>
      <w:r>
        <w:t>e</w:t>
      </w:r>
      <w:r>
        <w:rPr>
          <w:spacing w:val="-3"/>
        </w:rPr>
        <w:t>b</w:t>
      </w:r>
      <w:r>
        <w:t>ra</w:t>
      </w:r>
      <w:r>
        <w:rPr>
          <w:spacing w:val="-2"/>
        </w:rPr>
        <w:t>l</w:t>
      </w:r>
      <w:r>
        <w:t>e.</w:t>
      </w:r>
    </w:p>
    <w:p w14:paraId="58F5EC2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D724D37"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 sp</w:t>
      </w:r>
      <w:r>
        <w:rPr>
          <w:spacing w:val="-3"/>
        </w:rPr>
        <w:t>o</w:t>
      </w:r>
      <w:r>
        <w:t>nd</w:t>
      </w:r>
      <w:r>
        <w:rPr>
          <w:spacing w:val="-2"/>
        </w:rPr>
        <w:t>i</w:t>
      </w:r>
      <w:r>
        <w:rPr>
          <w:spacing w:val="1"/>
        </w:rPr>
        <w:t>l</w:t>
      </w:r>
      <w:r>
        <w:rPr>
          <w:spacing w:val="-2"/>
        </w:rPr>
        <w:t>i</w:t>
      </w:r>
      <w:r>
        <w:rPr>
          <w:spacing w:val="1"/>
        </w:rPr>
        <w:t>t</w:t>
      </w:r>
      <w:r>
        <w:rPr>
          <w:spacing w:val="-3"/>
        </w:rPr>
        <w:t>e</w:t>
      </w:r>
      <w:r>
        <w:t>i</w:t>
      </w:r>
      <w:r>
        <w:rPr>
          <w:spacing w:val="1"/>
        </w:rPr>
        <w:t xml:space="preserve"> </w:t>
      </w:r>
      <w:r>
        <w:t>a</w:t>
      </w:r>
      <w:r>
        <w:rPr>
          <w:spacing w:val="-3"/>
        </w:rPr>
        <w:t>nc</w:t>
      </w:r>
      <w:r>
        <w:t>h</w:t>
      </w:r>
      <w:r>
        <w:rPr>
          <w:spacing w:val="1"/>
        </w:rPr>
        <w:t>il</w:t>
      </w:r>
      <w:r>
        <w:t>o</w:t>
      </w:r>
      <w:r>
        <w:rPr>
          <w:spacing w:val="-3"/>
        </w:rPr>
        <w:t>z</w:t>
      </w:r>
      <w:r>
        <w:t>a</w:t>
      </w:r>
      <w:r>
        <w:rPr>
          <w:spacing w:val="-3"/>
        </w:rPr>
        <w:t>n</w:t>
      </w:r>
      <w:r>
        <w:rPr>
          <w:spacing w:val="1"/>
        </w:rPr>
        <w:t>t</w:t>
      </w:r>
      <w:r>
        <w:t xml:space="preserve">e </w:t>
      </w:r>
      <w:r>
        <w:rPr>
          <w:spacing w:val="-2"/>
        </w:rPr>
        <w:t>ş</w:t>
      </w:r>
      <w:r>
        <w:t>i</w:t>
      </w:r>
      <w:r>
        <w:rPr>
          <w:spacing w:val="1"/>
        </w:rPr>
        <w:t xml:space="preserve"> </w:t>
      </w:r>
      <w:r>
        <w:t>a</w:t>
      </w:r>
      <w:r>
        <w:rPr>
          <w:spacing w:val="-2"/>
        </w:rPr>
        <w:t xml:space="preserve"> </w:t>
      </w:r>
      <w:r>
        <w:t>spon</w:t>
      </w:r>
      <w:r>
        <w:rPr>
          <w:spacing w:val="-3"/>
        </w:rPr>
        <w:t>d</w:t>
      </w:r>
      <w:r>
        <w:rPr>
          <w:spacing w:val="1"/>
        </w:rPr>
        <w:t>i</w:t>
      </w:r>
      <w:r>
        <w:rPr>
          <w:spacing w:val="-2"/>
        </w:rPr>
        <w:t>l</w:t>
      </w:r>
      <w:r>
        <w:t>oa</w:t>
      </w:r>
      <w:r>
        <w:rPr>
          <w:spacing w:val="-2"/>
        </w:rPr>
        <w:t>r</w:t>
      </w:r>
      <w:r>
        <w:rPr>
          <w:spacing w:val="1"/>
        </w:rPr>
        <w:t>t</w:t>
      </w:r>
      <w:r>
        <w:rPr>
          <w:spacing w:val="-2"/>
        </w:rPr>
        <w:t>r</w:t>
      </w:r>
      <w:r>
        <w:rPr>
          <w:spacing w:val="1"/>
        </w:rPr>
        <w:t>i</w:t>
      </w:r>
      <w:r>
        <w:rPr>
          <w:spacing w:val="-2"/>
        </w:rPr>
        <w:t>t</w:t>
      </w:r>
      <w:r>
        <w:t>ei</w:t>
      </w:r>
      <w:r>
        <w:rPr>
          <w:spacing w:val="1"/>
        </w:rPr>
        <w:t xml:space="preserve"> </w:t>
      </w:r>
      <w:r>
        <w:t>a</w:t>
      </w:r>
      <w:r>
        <w:rPr>
          <w:spacing w:val="-3"/>
        </w:rPr>
        <w:t>x</w:t>
      </w:r>
      <w:r>
        <w:rPr>
          <w:spacing w:val="1"/>
        </w:rPr>
        <w:t>i</w:t>
      </w:r>
      <w:r>
        <w:rPr>
          <w:spacing w:val="-3"/>
        </w:rPr>
        <w:t>a</w:t>
      </w:r>
      <w:r>
        <w:rPr>
          <w:spacing w:val="1"/>
        </w:rPr>
        <w:t>l</w:t>
      </w:r>
      <w:r>
        <w:t>e</w:t>
      </w:r>
      <w:r>
        <w:rPr>
          <w:spacing w:val="-2"/>
        </w:rPr>
        <w:t xml:space="preserve"> </w:t>
      </w:r>
      <w:r>
        <w:t>fă</w:t>
      </w:r>
      <w:r>
        <w:rPr>
          <w:spacing w:val="-2"/>
        </w:rPr>
        <w:t>r</w:t>
      </w:r>
      <w:r>
        <w:t>ă do</w:t>
      </w:r>
      <w:r>
        <w:rPr>
          <w:spacing w:val="-3"/>
        </w:rPr>
        <w:t>v</w:t>
      </w:r>
      <w:r>
        <w:t>adă rad</w:t>
      </w:r>
      <w:r>
        <w:rPr>
          <w:spacing w:val="-2"/>
        </w:rPr>
        <w:t>i</w:t>
      </w:r>
      <w:r>
        <w:t>o</w:t>
      </w:r>
      <w:r>
        <w:rPr>
          <w:spacing w:val="1"/>
        </w:rPr>
        <w:t>l</w:t>
      </w:r>
      <w:r>
        <w:t>o</w:t>
      </w:r>
      <w:r>
        <w:rPr>
          <w:spacing w:val="-3"/>
        </w:rPr>
        <w:t>g</w:t>
      </w:r>
      <w:r>
        <w:rPr>
          <w:spacing w:val="1"/>
        </w:rPr>
        <w:t>i</w:t>
      </w:r>
      <w:r>
        <w:rPr>
          <w:spacing w:val="-3"/>
        </w:rPr>
        <w:t>c</w:t>
      </w:r>
      <w:r>
        <w:t xml:space="preserve">ă a </w:t>
      </w:r>
      <w:r>
        <w:rPr>
          <w:spacing w:val="-2"/>
        </w:rPr>
        <w:t>s</w:t>
      </w:r>
      <w:r>
        <w:t>pon</w:t>
      </w:r>
      <w:r>
        <w:rPr>
          <w:spacing w:val="-3"/>
        </w:rPr>
        <w:t>d</w:t>
      </w:r>
      <w:r>
        <w:rPr>
          <w:spacing w:val="1"/>
        </w:rPr>
        <w:t>i</w:t>
      </w:r>
      <w:r>
        <w:rPr>
          <w:spacing w:val="-2"/>
        </w:rPr>
        <w:t>l</w:t>
      </w:r>
      <w:r>
        <w:rPr>
          <w:spacing w:val="1"/>
        </w:rPr>
        <w:t>i</w:t>
      </w:r>
      <w:r>
        <w:rPr>
          <w:spacing w:val="-2"/>
        </w:rPr>
        <w:t>t</w:t>
      </w:r>
      <w:r>
        <w:t>ei</w:t>
      </w:r>
      <w:r>
        <w:rPr>
          <w:spacing w:val="1"/>
        </w:rPr>
        <w:t xml:space="preserve"> </w:t>
      </w:r>
      <w:r>
        <w:rPr>
          <w:spacing w:val="-3"/>
        </w:rPr>
        <w:t>an</w:t>
      </w:r>
      <w:r>
        <w:t>ch</w:t>
      </w:r>
      <w:r>
        <w:rPr>
          <w:spacing w:val="-2"/>
        </w:rPr>
        <w:t>i</w:t>
      </w:r>
      <w:r>
        <w:rPr>
          <w:spacing w:val="1"/>
        </w:rPr>
        <w:t>l</w:t>
      </w:r>
      <w:r>
        <w:t>o</w:t>
      </w:r>
      <w:r>
        <w:rPr>
          <w:spacing w:val="-3"/>
        </w:rPr>
        <w:t>z</w:t>
      </w:r>
      <w:r>
        <w:t>an</w:t>
      </w:r>
      <w:r>
        <w:rPr>
          <w:spacing w:val="1"/>
        </w:rPr>
        <w:t>t</w:t>
      </w:r>
      <w:r>
        <w:t>e</w:t>
      </w:r>
      <w:r>
        <w:rPr>
          <w:spacing w:val="-2"/>
        </w:rPr>
        <w:t xml:space="preserve"> </w:t>
      </w:r>
      <w:r>
        <w:rPr>
          <w:spacing w:val="1"/>
        </w:rPr>
        <w:t>l</w:t>
      </w:r>
      <w:r>
        <w:t>a</w:t>
      </w:r>
      <w:r>
        <w:rPr>
          <w:spacing w:val="-2"/>
        </w:rPr>
        <w:t xml:space="preserve"> </w:t>
      </w:r>
      <w:r>
        <w:t>adu</w:t>
      </w:r>
      <w:r>
        <w:rPr>
          <w:spacing w:val="-2"/>
        </w:rPr>
        <w:t>lţ</w:t>
      </w:r>
      <w:r>
        <w:rPr>
          <w:spacing w:val="1"/>
        </w:rPr>
        <w:t>i</w:t>
      </w:r>
      <w:r>
        <w:t xml:space="preserve">. </w:t>
      </w:r>
      <w:r>
        <w:rPr>
          <w:spacing w:val="-4"/>
        </w:rPr>
        <w:t>Î</w:t>
      </w:r>
      <w:r>
        <w:t>n ca</w:t>
      </w:r>
      <w:r>
        <w:rPr>
          <w:spacing w:val="-3"/>
        </w:rPr>
        <w:t>z</w:t>
      </w:r>
      <w:r>
        <w:t>ul</w:t>
      </w:r>
      <w:r>
        <w:rPr>
          <w:spacing w:val="1"/>
        </w:rPr>
        <w:t xml:space="preserve"> î</w:t>
      </w:r>
      <w:r>
        <w:t>n</w:t>
      </w:r>
      <w:r>
        <w:rPr>
          <w:spacing w:val="-3"/>
        </w:rPr>
        <w:t xml:space="preserve"> </w:t>
      </w:r>
      <w:r>
        <w:t>ca</w:t>
      </w:r>
      <w:r>
        <w:rPr>
          <w:spacing w:val="-2"/>
        </w:rPr>
        <w:t>r</w:t>
      </w:r>
      <w:r>
        <w:t>e a</w:t>
      </w:r>
      <w:r>
        <w:rPr>
          <w:spacing w:val="-3"/>
        </w:rPr>
        <w:t>v</w:t>
      </w:r>
      <w:r>
        <w:t>e</w:t>
      </w:r>
      <w:r>
        <w:rPr>
          <w:spacing w:val="-2"/>
        </w:rPr>
        <w:t>ţ</w:t>
      </w:r>
      <w:r>
        <w:t>i</w:t>
      </w:r>
      <w:r>
        <w:rPr>
          <w:spacing w:val="1"/>
        </w:rPr>
        <w:t xml:space="preserve"> </w:t>
      </w:r>
      <w:r>
        <w:t>sp</w:t>
      </w:r>
      <w:r>
        <w:rPr>
          <w:spacing w:val="-3"/>
        </w:rPr>
        <w:t>o</w:t>
      </w:r>
      <w:r>
        <w:t>nd</w:t>
      </w:r>
      <w:r>
        <w:rPr>
          <w:spacing w:val="-2"/>
        </w:rPr>
        <w:t>i</w:t>
      </w:r>
      <w:r>
        <w:rPr>
          <w:spacing w:val="1"/>
        </w:rPr>
        <w:t>l</w:t>
      </w:r>
      <w:r>
        <w:rPr>
          <w:spacing w:val="-2"/>
        </w:rPr>
        <w:t>i</w:t>
      </w:r>
      <w:r>
        <w:rPr>
          <w:spacing w:val="1"/>
        </w:rPr>
        <w:t>t</w:t>
      </w:r>
      <w:r>
        <w:t>ă</w:t>
      </w:r>
      <w:r>
        <w:rPr>
          <w:spacing w:val="-2"/>
        </w:rPr>
        <w:t xml:space="preserve"> </w:t>
      </w:r>
      <w:r>
        <w:t>a</w:t>
      </w:r>
      <w:r>
        <w:rPr>
          <w:spacing w:val="-3"/>
        </w:rPr>
        <w:t>n</w:t>
      </w:r>
      <w:r>
        <w:t>ch</w:t>
      </w:r>
      <w:r>
        <w:rPr>
          <w:spacing w:val="-2"/>
        </w:rPr>
        <w:t>i</w:t>
      </w:r>
      <w:r>
        <w:rPr>
          <w:spacing w:val="1"/>
        </w:rPr>
        <w:t>l</w:t>
      </w:r>
      <w:r>
        <w:t>o</w:t>
      </w:r>
      <w:r>
        <w:rPr>
          <w:spacing w:val="-3"/>
        </w:rPr>
        <w:t>z</w:t>
      </w:r>
      <w:r>
        <w:t>an</w:t>
      </w:r>
      <w:r>
        <w:rPr>
          <w:spacing w:val="1"/>
        </w:rPr>
        <w:t>t</w:t>
      </w:r>
      <w:r>
        <w:t>ă</w:t>
      </w:r>
      <w:r>
        <w:rPr>
          <w:spacing w:val="-3"/>
        </w:rPr>
        <w:t xml:space="preserve"> </w:t>
      </w:r>
      <w:r>
        <w:t>sau spon</w:t>
      </w:r>
      <w:r>
        <w:rPr>
          <w:spacing w:val="-3"/>
        </w:rPr>
        <w:t>d</w:t>
      </w:r>
      <w:r>
        <w:rPr>
          <w:spacing w:val="1"/>
        </w:rPr>
        <w:t>il</w:t>
      </w:r>
      <w:r>
        <w:rPr>
          <w:spacing w:val="-3"/>
        </w:rPr>
        <w:t>o</w:t>
      </w:r>
      <w:r>
        <w:t>a</w:t>
      </w:r>
      <w:r>
        <w:rPr>
          <w:spacing w:val="-2"/>
        </w:rPr>
        <w:t>r</w:t>
      </w:r>
      <w:r>
        <w:rPr>
          <w:spacing w:val="1"/>
        </w:rPr>
        <w:t>t</w:t>
      </w:r>
      <w:r>
        <w:rPr>
          <w:spacing w:val="-2"/>
        </w:rPr>
        <w:t>r</w:t>
      </w:r>
      <w:r>
        <w:rPr>
          <w:spacing w:val="1"/>
        </w:rPr>
        <w:t>it</w:t>
      </w:r>
      <w:r>
        <w:t>ă</w:t>
      </w:r>
      <w:r>
        <w:rPr>
          <w:spacing w:val="-2"/>
        </w:rPr>
        <w:t xml:space="preserve"> </w:t>
      </w:r>
      <w:r>
        <w:t>ax</w:t>
      </w:r>
      <w:r>
        <w:rPr>
          <w:spacing w:val="-2"/>
        </w:rPr>
        <w:t>i</w:t>
      </w:r>
      <w:r>
        <w:t>a</w:t>
      </w:r>
      <w:r>
        <w:rPr>
          <w:spacing w:val="-2"/>
        </w:rPr>
        <w:t>l</w:t>
      </w:r>
      <w:r>
        <w:t>ă f</w:t>
      </w:r>
      <w:r>
        <w:rPr>
          <w:spacing w:val="-3"/>
        </w:rPr>
        <w:t>ă</w:t>
      </w:r>
      <w:r>
        <w:t xml:space="preserve">ră </w:t>
      </w:r>
      <w:r>
        <w:rPr>
          <w:spacing w:val="-3"/>
        </w:rPr>
        <w:t>d</w:t>
      </w:r>
      <w:r>
        <w:t>o</w:t>
      </w:r>
      <w:r>
        <w:rPr>
          <w:spacing w:val="-3"/>
        </w:rPr>
        <w:t>v</w:t>
      </w:r>
      <w:r>
        <w:t>adă ra</w:t>
      </w:r>
      <w:r>
        <w:rPr>
          <w:spacing w:val="-3"/>
        </w:rPr>
        <w:t>d</w:t>
      </w:r>
      <w:r>
        <w:rPr>
          <w:spacing w:val="1"/>
        </w:rPr>
        <w:t>i</w:t>
      </w:r>
      <w:r>
        <w:t>o</w:t>
      </w:r>
      <w:r>
        <w:rPr>
          <w:spacing w:val="-2"/>
        </w:rPr>
        <w:t>l</w:t>
      </w:r>
      <w:r>
        <w:t>o</w:t>
      </w:r>
      <w:r>
        <w:rPr>
          <w:spacing w:val="-3"/>
        </w:rPr>
        <w:t>g</w:t>
      </w:r>
      <w:r>
        <w:rPr>
          <w:spacing w:val="1"/>
        </w:rPr>
        <w:t>i</w:t>
      </w:r>
      <w:r>
        <w:t>că a</w:t>
      </w:r>
      <w:r>
        <w:rPr>
          <w:spacing w:val="-2"/>
        </w:rPr>
        <w:t xml:space="preserve"> </w:t>
      </w:r>
      <w:r>
        <w:t>spon</w:t>
      </w:r>
      <w:r>
        <w:rPr>
          <w:spacing w:val="-3"/>
        </w:rPr>
        <w:t>d</w:t>
      </w:r>
      <w:r>
        <w:rPr>
          <w:spacing w:val="1"/>
        </w:rPr>
        <w:t>i</w:t>
      </w:r>
      <w:r>
        <w:rPr>
          <w:spacing w:val="-2"/>
        </w:rPr>
        <w:t>l</w:t>
      </w:r>
      <w:r>
        <w:rPr>
          <w:spacing w:val="1"/>
        </w:rPr>
        <w:t>it</w:t>
      </w:r>
      <w:r>
        <w:rPr>
          <w:spacing w:val="-3"/>
        </w:rPr>
        <w:t>e</w:t>
      </w:r>
      <w:r>
        <w:t>i</w:t>
      </w:r>
      <w:r>
        <w:rPr>
          <w:spacing w:val="1"/>
        </w:rPr>
        <w:t xml:space="preserve"> </w:t>
      </w:r>
      <w:r>
        <w:t>a</w:t>
      </w:r>
      <w:r>
        <w:rPr>
          <w:spacing w:val="-3"/>
        </w:rPr>
        <w:t>n</w:t>
      </w:r>
      <w:r>
        <w:t>ch</w:t>
      </w:r>
      <w:r>
        <w:rPr>
          <w:spacing w:val="-2"/>
        </w:rPr>
        <w:t>i</w:t>
      </w:r>
      <w:r>
        <w:rPr>
          <w:spacing w:val="1"/>
        </w:rPr>
        <w:t>l</w:t>
      </w:r>
      <w:r>
        <w:t>o</w:t>
      </w:r>
      <w:r>
        <w:rPr>
          <w:spacing w:val="-3"/>
        </w:rPr>
        <w:t>z</w:t>
      </w:r>
      <w:r>
        <w:t>an</w:t>
      </w:r>
      <w:r>
        <w:rPr>
          <w:spacing w:val="-2"/>
        </w:rPr>
        <w:t>t</w:t>
      </w:r>
      <w:r>
        <w:t xml:space="preserve">e, </w:t>
      </w:r>
      <w:r>
        <w:rPr>
          <w:spacing w:val="-3"/>
        </w:rPr>
        <w:t>v</w:t>
      </w:r>
      <w:r>
        <w:t>i</w:t>
      </w:r>
      <w:r>
        <w:rPr>
          <w:spacing w:val="1"/>
        </w:rPr>
        <w:t xml:space="preserve"> </w:t>
      </w:r>
      <w:r>
        <w:t xml:space="preserve">se </w:t>
      </w:r>
      <w:r>
        <w:rPr>
          <w:spacing w:val="-3"/>
        </w:rPr>
        <w:t>v</w:t>
      </w:r>
      <w:r>
        <w:t>or</w:t>
      </w:r>
      <w:r>
        <w:rPr>
          <w:spacing w:val="-2"/>
        </w:rPr>
        <w:t xml:space="preserve"> </w:t>
      </w:r>
      <w:r>
        <w:t>ad</w:t>
      </w:r>
      <w:r>
        <w:rPr>
          <w:spacing w:val="-4"/>
        </w:rPr>
        <w:t>m</w:t>
      </w:r>
      <w:r>
        <w:rPr>
          <w:spacing w:val="1"/>
        </w:rPr>
        <w:t>i</w:t>
      </w:r>
      <w:r>
        <w:t>n</w:t>
      </w:r>
      <w:r>
        <w:rPr>
          <w:spacing w:val="1"/>
        </w:rPr>
        <w:t>i</w:t>
      </w:r>
      <w:r>
        <w:t>s</w:t>
      </w:r>
      <w:r>
        <w:rPr>
          <w:spacing w:val="-2"/>
        </w:rPr>
        <w:t>t</w:t>
      </w:r>
      <w:r>
        <w:t>ra</w:t>
      </w:r>
      <w:r>
        <w:rPr>
          <w:spacing w:val="-2"/>
        </w:rPr>
        <w:t xml:space="preserve"> </w:t>
      </w:r>
      <w:r>
        <w:t>iniţ</w:t>
      </w:r>
      <w:r>
        <w:rPr>
          <w:spacing w:val="1"/>
        </w:rPr>
        <w:t>ial</w:t>
      </w:r>
      <w:r>
        <w:t xml:space="preserve"> a</w:t>
      </w:r>
      <w:r>
        <w:rPr>
          <w:spacing w:val="1"/>
        </w:rPr>
        <w:t>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1"/>
        </w:rPr>
        <w:t>D</w:t>
      </w:r>
      <w:r>
        <w:rPr>
          <w:spacing w:val="-3"/>
        </w:rPr>
        <w:t>a</w:t>
      </w:r>
      <w:r>
        <w:t>că nu</w:t>
      </w:r>
      <w:r>
        <w:rPr>
          <w:spacing w:val="-3"/>
        </w:rPr>
        <w:t xml:space="preserve"> </w:t>
      </w:r>
      <w:r>
        <w:t>răsp</w:t>
      </w:r>
      <w:r>
        <w:rPr>
          <w:spacing w:val="-3"/>
        </w:rPr>
        <w:t>u</w:t>
      </w:r>
      <w:r>
        <w:t>nd</w:t>
      </w:r>
      <w:r>
        <w:rPr>
          <w:spacing w:val="-3"/>
        </w:rPr>
        <w:t>e</w:t>
      </w:r>
      <w:r>
        <w:rPr>
          <w:spacing w:val="1"/>
        </w:rPr>
        <w:t>ţ</w:t>
      </w:r>
      <w:r>
        <w:t>i</w:t>
      </w:r>
      <w:r>
        <w:rPr>
          <w:spacing w:val="1"/>
        </w:rPr>
        <w:t xml:space="preserve"> </w:t>
      </w:r>
      <w:r>
        <w:rPr>
          <w:spacing w:val="-3"/>
        </w:rPr>
        <w:t>b</w:t>
      </w:r>
      <w:r>
        <w:rPr>
          <w:spacing w:val="1"/>
        </w:rPr>
        <w:t>i</w:t>
      </w:r>
      <w:r>
        <w:t>ne</w:t>
      </w:r>
      <w:r>
        <w:rPr>
          <w:spacing w:val="-2"/>
        </w:rPr>
        <w:t xml:space="preserve"> </w:t>
      </w:r>
      <w:r>
        <w:rPr>
          <w:spacing w:val="1"/>
        </w:rPr>
        <w:t>l</w:t>
      </w:r>
      <w:r>
        <w:t>a</w:t>
      </w:r>
      <w:r>
        <w:rPr>
          <w:spacing w:val="-2"/>
        </w:rPr>
        <w:t xml:space="preserve"> </w:t>
      </w:r>
      <w:r>
        <w:t>ac</w:t>
      </w:r>
      <w:r>
        <w:rPr>
          <w:spacing w:val="-3"/>
        </w:rPr>
        <w:t>e</w:t>
      </w:r>
      <w:r>
        <w:t>s</w:t>
      </w:r>
      <w:r>
        <w:rPr>
          <w:spacing w:val="1"/>
        </w:rPr>
        <w:t>t</w:t>
      </w:r>
      <w:r>
        <w:t>e</w:t>
      </w:r>
      <w:r>
        <w:rPr>
          <w:spacing w:val="-2"/>
        </w:rPr>
        <w:t xml:space="preserve"> m</w:t>
      </w:r>
      <w:r>
        <w:t>ed</w:t>
      </w:r>
      <w:r>
        <w:rPr>
          <w:spacing w:val="1"/>
        </w:rPr>
        <w:t>i</w:t>
      </w:r>
      <w:r>
        <w:rPr>
          <w:spacing w:val="-3"/>
        </w:rPr>
        <w:t>c</w:t>
      </w:r>
      <w:r>
        <w:t>a</w:t>
      </w:r>
      <w:r>
        <w:rPr>
          <w:spacing w:val="-4"/>
        </w:rPr>
        <w:t>m</w:t>
      </w:r>
      <w:r>
        <w:t>en</w:t>
      </w:r>
      <w:r>
        <w:rPr>
          <w:spacing w:val="1"/>
        </w:rPr>
        <w:t>t</w:t>
      </w:r>
      <w:r>
        <w:t xml:space="preserve">e, </w:t>
      </w:r>
      <w:r>
        <w:rPr>
          <w:spacing w:val="-3"/>
        </w:rPr>
        <w:t>v</w:t>
      </w:r>
      <w:r>
        <w:t>i</w:t>
      </w:r>
      <w:r>
        <w:rPr>
          <w:spacing w:val="1"/>
        </w:rPr>
        <w:t xml:space="preserve"> </w:t>
      </w:r>
      <w:r>
        <w:t xml:space="preserve">se </w:t>
      </w:r>
      <w:r>
        <w:rPr>
          <w:spacing w:val="-4"/>
        </w:rPr>
        <w:t>v</w:t>
      </w:r>
      <w:r>
        <w:t>a ad</w:t>
      </w:r>
      <w:r>
        <w:rPr>
          <w:spacing w:val="-4"/>
        </w:rPr>
        <w:t>m</w:t>
      </w:r>
      <w:r>
        <w:rPr>
          <w:spacing w:val="1"/>
        </w:rPr>
        <w:t>i</w:t>
      </w:r>
      <w:r>
        <w:t>n</w:t>
      </w:r>
      <w:r>
        <w:rPr>
          <w:spacing w:val="-2"/>
        </w:rPr>
        <w:t>i</w:t>
      </w:r>
      <w:r>
        <w:t>s</w:t>
      </w:r>
      <w:r>
        <w:rPr>
          <w:spacing w:val="1"/>
        </w:rPr>
        <w:t>t</w:t>
      </w:r>
      <w:r>
        <w:rPr>
          <w:spacing w:val="-2"/>
        </w:rPr>
        <w:t>r</w:t>
      </w:r>
      <w:r>
        <w:t xml:space="preserve">a </w:t>
      </w:r>
      <w:r>
        <w:rPr>
          <w:spacing w:val="-1"/>
          <w:szCs w:val="22"/>
          <w:lang w:eastAsia="en-US" w:bidi="ar-SA"/>
        </w:rPr>
        <w:t>AMGEVITA</w:t>
      </w:r>
      <w:r>
        <w:t xml:space="preserve"> pe</w:t>
      </w:r>
      <w:r>
        <w:rPr>
          <w:spacing w:val="-3"/>
        </w:rPr>
        <w:t>n</w:t>
      </w:r>
      <w:r>
        <w:rPr>
          <w:spacing w:val="1"/>
        </w:rPr>
        <w:t>t</w:t>
      </w:r>
      <w:r>
        <w:rPr>
          <w:spacing w:val="-2"/>
        </w:rPr>
        <w:t>r</w:t>
      </w:r>
      <w:r>
        <w:t>u a re</w:t>
      </w:r>
      <w:r>
        <w:rPr>
          <w:spacing w:val="-3"/>
        </w:rPr>
        <w:t>d</w:t>
      </w:r>
      <w:r>
        <w:t>uce</w:t>
      </w:r>
      <w:r>
        <w:rPr>
          <w:spacing w:val="-2"/>
        </w:rPr>
        <w:t xml:space="preserve"> </w:t>
      </w:r>
      <w:r>
        <w:t>se</w:t>
      </w:r>
      <w:r>
        <w:rPr>
          <w:spacing w:val="-4"/>
        </w:rPr>
        <w:t>m</w:t>
      </w:r>
      <w:r>
        <w:t>ne</w:t>
      </w:r>
      <w:r>
        <w:rPr>
          <w:spacing w:val="1"/>
        </w:rPr>
        <w:t>l</w:t>
      </w:r>
      <w:r>
        <w:t xml:space="preserve">e </w:t>
      </w:r>
      <w:r>
        <w:rPr>
          <w:spacing w:val="-2"/>
        </w:rPr>
        <w:t>ş</w:t>
      </w:r>
      <w:r>
        <w:t>i</w:t>
      </w:r>
      <w:r>
        <w:rPr>
          <w:spacing w:val="1"/>
        </w:rPr>
        <w:t xml:space="preserve"> </w:t>
      </w:r>
      <w:r>
        <w:rPr>
          <w:spacing w:val="-2"/>
        </w:rPr>
        <w:t>s</w:t>
      </w:r>
      <w:r>
        <w:rPr>
          <w:spacing w:val="1"/>
        </w:rPr>
        <w:t>i</w:t>
      </w:r>
      <w:r>
        <w:rPr>
          <w:spacing w:val="-4"/>
        </w:rPr>
        <w:t>m</w:t>
      </w:r>
      <w:r>
        <w:rPr>
          <w:spacing w:val="-1"/>
        </w:rPr>
        <w:t>p</w:t>
      </w:r>
      <w:r>
        <w:rPr>
          <w:spacing w:val="1"/>
        </w:rPr>
        <w:t>t</w:t>
      </w:r>
      <w:r>
        <w:t>o</w:t>
      </w:r>
      <w:r>
        <w:rPr>
          <w:spacing w:val="-4"/>
        </w:rPr>
        <w:t>m</w:t>
      </w:r>
      <w:r>
        <w:t>e</w:t>
      </w:r>
      <w:r>
        <w:rPr>
          <w:spacing w:val="1"/>
        </w:rPr>
        <w:t>l</w:t>
      </w:r>
      <w:r>
        <w:t>e ace</w:t>
      </w:r>
      <w:r>
        <w:rPr>
          <w:spacing w:val="-2"/>
        </w:rPr>
        <w:t>s</w:t>
      </w:r>
      <w:r>
        <w:rPr>
          <w:spacing w:val="1"/>
        </w:rPr>
        <w:t>t</w:t>
      </w:r>
      <w:r>
        <w:rPr>
          <w:spacing w:val="-3"/>
        </w:rPr>
        <w:t>e</w:t>
      </w:r>
      <w:r>
        <w:t>i</w:t>
      </w:r>
      <w:r>
        <w:rPr>
          <w:spacing w:val="1"/>
        </w:rPr>
        <w:t xml:space="preserve"> </w:t>
      </w:r>
      <w:r>
        <w:rPr>
          <w:spacing w:val="-1"/>
        </w:rPr>
        <w:t>b</w:t>
      </w:r>
      <w:r>
        <w:t>o</w:t>
      </w:r>
      <w:r>
        <w:rPr>
          <w:spacing w:val="-2"/>
        </w:rPr>
        <w:t>l</w:t>
      </w:r>
      <w:r>
        <w:rPr>
          <w:spacing w:val="1"/>
        </w:rPr>
        <w:t>i</w:t>
      </w:r>
      <w:r>
        <w:t>.</w:t>
      </w:r>
    </w:p>
    <w:p w14:paraId="5509332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CFB9EC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Artrită psoriazică</w:t>
      </w:r>
    </w:p>
    <w:p w14:paraId="3C081D8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E628676" w14:textId="77777777" w:rsidR="00C04CAD" w:rsidRDefault="00060E34">
      <w:pPr>
        <w:tabs>
          <w:tab w:val="clear" w:pos="567"/>
        </w:tabs>
        <w:kinsoku w:val="0"/>
        <w:overflowPunct w:val="0"/>
        <w:autoSpaceDE w:val="0"/>
        <w:autoSpaceDN w:val="0"/>
        <w:adjustRightInd w:val="0"/>
        <w:spacing w:line="240" w:lineRule="auto"/>
      </w:pPr>
      <w:r>
        <w:rPr>
          <w:spacing w:val="-1"/>
        </w:rPr>
        <w:t>A</w:t>
      </w:r>
      <w:r>
        <w:t>r</w:t>
      </w:r>
      <w:r>
        <w:rPr>
          <w:spacing w:val="1"/>
        </w:rPr>
        <w:t>t</w:t>
      </w:r>
      <w:r>
        <w:rPr>
          <w:spacing w:val="-2"/>
        </w:rPr>
        <w:t>r</w:t>
      </w:r>
      <w:r>
        <w:rPr>
          <w:spacing w:val="1"/>
        </w:rPr>
        <w:t>i</w:t>
      </w:r>
      <w:r>
        <w:rPr>
          <w:spacing w:val="-2"/>
        </w:rPr>
        <w:t>t</w:t>
      </w:r>
      <w:r>
        <w:t xml:space="preserve">a </w:t>
      </w:r>
      <w:r>
        <w:rPr>
          <w:spacing w:val="-1"/>
        </w:rPr>
        <w:t>p</w:t>
      </w:r>
      <w:r>
        <w:t>s</w:t>
      </w:r>
      <w:r>
        <w:rPr>
          <w:spacing w:val="-3"/>
        </w:rPr>
        <w:t>o</w:t>
      </w:r>
      <w:r>
        <w:t>r</w:t>
      </w:r>
      <w:r>
        <w:rPr>
          <w:spacing w:val="-2"/>
        </w:rPr>
        <w:t>i</w:t>
      </w:r>
      <w:r>
        <w:t>a</w:t>
      </w:r>
      <w:r>
        <w:rPr>
          <w:spacing w:val="-3"/>
        </w:rPr>
        <w:t>z</w:t>
      </w:r>
      <w:r>
        <w:rPr>
          <w:spacing w:val="1"/>
        </w:rPr>
        <w:t>i</w:t>
      </w:r>
      <w:r>
        <w:t>că</w:t>
      </w:r>
      <w:r>
        <w:rPr>
          <w:spacing w:val="-2"/>
        </w:rPr>
        <w:t xml:space="preserve"> </w:t>
      </w:r>
      <w:r>
        <w:t>es</w:t>
      </w:r>
      <w:r>
        <w:rPr>
          <w:spacing w:val="-2"/>
        </w:rPr>
        <w:t>t</w:t>
      </w:r>
      <w:r>
        <w:t>e o</w:t>
      </w:r>
      <w:r>
        <w:rPr>
          <w:spacing w:val="-3"/>
        </w:rPr>
        <w:t xml:space="preserve"> </w:t>
      </w:r>
      <w:r>
        <w:rPr>
          <w:spacing w:val="1"/>
        </w:rPr>
        <w:t>i</w:t>
      </w:r>
      <w:r>
        <w:t>n</w:t>
      </w:r>
      <w:r>
        <w:rPr>
          <w:spacing w:val="-2"/>
        </w:rPr>
        <w:t>fl</w:t>
      </w:r>
      <w:r>
        <w:t>a</w:t>
      </w:r>
      <w:r>
        <w:rPr>
          <w:spacing w:val="-4"/>
        </w:rPr>
        <w:t>m</w:t>
      </w:r>
      <w:r>
        <w:t>a</w:t>
      </w:r>
      <w:r>
        <w:rPr>
          <w:spacing w:val="1"/>
        </w:rPr>
        <w:t>ţi</w:t>
      </w:r>
      <w:r>
        <w:t xml:space="preserve">e a </w:t>
      </w:r>
      <w:r>
        <w:rPr>
          <w:spacing w:val="-3"/>
        </w:rPr>
        <w:t>a</w:t>
      </w:r>
      <w:r>
        <w:t>r</w:t>
      </w:r>
      <w:r>
        <w:rPr>
          <w:spacing w:val="-2"/>
        </w:rPr>
        <w:t>t</w:t>
      </w:r>
      <w:r>
        <w:rPr>
          <w:spacing w:val="1"/>
        </w:rPr>
        <w:t>i</w:t>
      </w:r>
      <w:r>
        <w:t>c</w:t>
      </w:r>
      <w:r>
        <w:rPr>
          <w:spacing w:val="-3"/>
        </w:rPr>
        <w:t>u</w:t>
      </w:r>
      <w:r>
        <w:rPr>
          <w:spacing w:val="1"/>
        </w:rPr>
        <w:t>l</w:t>
      </w:r>
      <w:r>
        <w:rPr>
          <w:spacing w:val="-3"/>
        </w:rPr>
        <w:t>a</w:t>
      </w:r>
      <w:r>
        <w:rPr>
          <w:spacing w:val="1"/>
        </w:rPr>
        <w:t>ţ</w:t>
      </w:r>
      <w:r>
        <w:rPr>
          <w:spacing w:val="-2"/>
        </w:rPr>
        <w:t>i</w:t>
      </w:r>
      <w:r>
        <w:rPr>
          <w:spacing w:val="1"/>
        </w:rPr>
        <w:t>i</w:t>
      </w:r>
      <w:r>
        <w:rPr>
          <w:spacing w:val="-2"/>
        </w:rPr>
        <w:t>l</w:t>
      </w:r>
      <w:r>
        <w:t>or</w:t>
      </w:r>
      <w:r>
        <w:rPr>
          <w:spacing w:val="1"/>
        </w:rPr>
        <w:t xml:space="preserve"> </w:t>
      </w:r>
      <w:r>
        <w:rPr>
          <w:spacing w:val="-3"/>
        </w:rPr>
        <w:t>a</w:t>
      </w:r>
      <w:r>
        <w:t>so</w:t>
      </w:r>
      <w:r>
        <w:rPr>
          <w:spacing w:val="-3"/>
        </w:rPr>
        <w:t>c</w:t>
      </w:r>
      <w:r>
        <w:rPr>
          <w:spacing w:val="-2"/>
        </w:rPr>
        <w:t>i</w:t>
      </w:r>
      <w:r>
        <w:t>a</w:t>
      </w:r>
      <w:r>
        <w:rPr>
          <w:spacing w:val="1"/>
        </w:rPr>
        <w:t>t</w:t>
      </w:r>
      <w:r>
        <w:t xml:space="preserve">ă </w:t>
      </w:r>
      <w:r>
        <w:rPr>
          <w:spacing w:val="-3"/>
        </w:rPr>
        <w:t>p</w:t>
      </w:r>
      <w:r>
        <w:t>so</w:t>
      </w:r>
      <w:r>
        <w:rPr>
          <w:spacing w:val="-2"/>
        </w:rPr>
        <w:t>r</w:t>
      </w:r>
      <w:r>
        <w:rPr>
          <w:spacing w:val="1"/>
        </w:rPr>
        <w:t>i</w:t>
      </w:r>
      <w:r>
        <w:t>a</w:t>
      </w:r>
      <w:r>
        <w:rPr>
          <w:spacing w:val="-3"/>
        </w:rPr>
        <w:t>z</w:t>
      </w:r>
      <w:r>
        <w:rPr>
          <w:spacing w:val="1"/>
        </w:rPr>
        <w:t>i</w:t>
      </w:r>
      <w:r>
        <w:rPr>
          <w:spacing w:val="-2"/>
        </w:rPr>
        <w:t>s</w:t>
      </w:r>
      <w:r>
        <w:t>u</w:t>
      </w:r>
      <w:r>
        <w:rPr>
          <w:spacing w:val="1"/>
        </w:rPr>
        <w:t>l</w:t>
      </w:r>
      <w:r>
        <w:rPr>
          <w:spacing w:val="-3"/>
        </w:rPr>
        <w:t>u</w:t>
      </w:r>
      <w:r>
        <w:rPr>
          <w:spacing w:val="1"/>
        </w:rPr>
        <w:t>i</w:t>
      </w:r>
      <w:r>
        <w:t>.</w:t>
      </w:r>
    </w:p>
    <w:p w14:paraId="44CD275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D6B49F1"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a</w:t>
      </w:r>
      <w:r>
        <w:rPr>
          <w:spacing w:val="-2"/>
        </w:rPr>
        <w:t>r</w:t>
      </w:r>
      <w:r>
        <w:rPr>
          <w:spacing w:val="1"/>
        </w:rPr>
        <w:t>t</w:t>
      </w:r>
      <w:r>
        <w:rPr>
          <w:spacing w:val="-2"/>
        </w:rPr>
        <w:t>ri</w:t>
      </w:r>
      <w:r>
        <w:rPr>
          <w:spacing w:val="1"/>
        </w:rPr>
        <w:t>t</w:t>
      </w:r>
      <w:r>
        <w:t>ei</w:t>
      </w:r>
      <w:r>
        <w:rPr>
          <w:spacing w:val="-2"/>
        </w:rPr>
        <w:t xml:space="preserve"> </w:t>
      </w:r>
      <w:r>
        <w:t>ps</w:t>
      </w:r>
      <w:r>
        <w:rPr>
          <w:spacing w:val="-3"/>
        </w:rPr>
        <w:t>o</w:t>
      </w:r>
      <w:r>
        <w:t>r</w:t>
      </w:r>
      <w:r>
        <w:rPr>
          <w:spacing w:val="1"/>
        </w:rPr>
        <w:t>i</w:t>
      </w:r>
      <w:r>
        <w:t>a</w:t>
      </w:r>
      <w:r>
        <w:rPr>
          <w:spacing w:val="-3"/>
        </w:rPr>
        <w:t>z</w:t>
      </w:r>
      <w:r>
        <w:rPr>
          <w:spacing w:val="-2"/>
        </w:rPr>
        <w:t>i</w:t>
      </w:r>
      <w:r>
        <w:t xml:space="preserve">ce </w:t>
      </w:r>
      <w:r>
        <w:rPr>
          <w:spacing w:val="-2"/>
        </w:rPr>
        <w:t>l</w:t>
      </w:r>
      <w:r>
        <w:t>a ad</w:t>
      </w:r>
      <w:r>
        <w:rPr>
          <w:spacing w:val="-3"/>
        </w:rPr>
        <w:t>u</w:t>
      </w:r>
      <w:r>
        <w:rPr>
          <w:spacing w:val="1"/>
        </w:rPr>
        <w:t>l</w:t>
      </w:r>
      <w:r>
        <w:rPr>
          <w:spacing w:val="-2"/>
        </w:rPr>
        <w:t>ţ</w:t>
      </w:r>
      <w:r>
        <w:rPr>
          <w:spacing w:val="1"/>
        </w:rPr>
        <w:t>i</w:t>
      </w:r>
      <w:r>
        <w:t>.</w:t>
      </w:r>
      <w:r>
        <w:rPr>
          <w:spacing w:val="-1"/>
        </w:rPr>
        <w:t xml:space="preserve"> </w:t>
      </w:r>
      <w:r>
        <w:rPr>
          <w:spacing w:val="-1"/>
          <w:szCs w:val="22"/>
          <w:lang w:eastAsia="en-US" w:bidi="ar-SA"/>
        </w:rPr>
        <w:t>AMGEVITA</w:t>
      </w:r>
      <w:r>
        <w:t xml:space="preserve"> </w:t>
      </w:r>
      <w:r>
        <w:rPr>
          <w:spacing w:val="1"/>
        </w:rPr>
        <w:t>î</w:t>
      </w:r>
      <w:r>
        <w:t>nc</w:t>
      </w:r>
      <w:r>
        <w:rPr>
          <w:spacing w:val="-3"/>
        </w:rPr>
        <w:t>e</w:t>
      </w:r>
      <w:r>
        <w:rPr>
          <w:spacing w:val="1"/>
        </w:rPr>
        <w:t>t</w:t>
      </w:r>
      <w:r>
        <w:rPr>
          <w:spacing w:val="-2"/>
        </w:rPr>
        <w:t>i</w:t>
      </w:r>
      <w:r>
        <w:t>ne</w:t>
      </w:r>
      <w:r>
        <w:rPr>
          <w:spacing w:val="-2"/>
        </w:rPr>
        <w:t>ş</w:t>
      </w:r>
      <w:r>
        <w:rPr>
          <w:spacing w:val="1"/>
        </w:rPr>
        <w:t>t</w:t>
      </w:r>
      <w:r>
        <w:t xml:space="preserve">e </w:t>
      </w:r>
      <w:r>
        <w:rPr>
          <w:spacing w:val="-3"/>
        </w:rPr>
        <w:t>d</w:t>
      </w:r>
      <w:r>
        <w:t>e</w:t>
      </w:r>
      <w:r>
        <w:rPr>
          <w:spacing w:val="1"/>
        </w:rPr>
        <w:t>t</w:t>
      </w:r>
      <w:r>
        <w:rPr>
          <w:spacing w:val="-3"/>
        </w:rPr>
        <w:t>e</w:t>
      </w:r>
      <w:r>
        <w:t>r</w:t>
      </w:r>
      <w:r>
        <w:rPr>
          <w:spacing w:val="-2"/>
        </w:rPr>
        <w:t>i</w:t>
      </w:r>
      <w:r>
        <w:t>or</w:t>
      </w:r>
      <w:r>
        <w:rPr>
          <w:spacing w:val="-3"/>
        </w:rPr>
        <w:t>a</w:t>
      </w:r>
      <w:r>
        <w:t>rea</w:t>
      </w:r>
      <w:r>
        <w:rPr>
          <w:spacing w:val="-2"/>
        </w:rPr>
        <w:t xml:space="preserve"> </w:t>
      </w:r>
      <w:r>
        <w:t>c</w:t>
      </w:r>
      <w:r>
        <w:rPr>
          <w:spacing w:val="-3"/>
        </w:rPr>
        <w:t>a</w:t>
      </w:r>
      <w:r>
        <w:t>r</w:t>
      </w:r>
      <w:r>
        <w:rPr>
          <w:spacing w:val="-2"/>
        </w:rPr>
        <w:t>t</w:t>
      </w:r>
      <w:r>
        <w:rPr>
          <w:spacing w:val="1"/>
        </w:rPr>
        <w:t>il</w:t>
      </w:r>
      <w:r>
        <w:rPr>
          <w:spacing w:val="-3"/>
        </w:rPr>
        <w:t>a</w:t>
      </w:r>
      <w:r>
        <w:rPr>
          <w:spacing w:val="1"/>
        </w:rPr>
        <w:t>j</w:t>
      </w:r>
      <w:r>
        <w:rPr>
          <w:spacing w:val="-3"/>
        </w:rPr>
        <w:t>u</w:t>
      </w:r>
      <w:r>
        <w:rPr>
          <w:spacing w:val="1"/>
        </w:rPr>
        <w:t>l</w:t>
      </w:r>
      <w:r>
        <w:t>ui</w:t>
      </w:r>
      <w:r>
        <w:rPr>
          <w:spacing w:val="-2"/>
        </w:rPr>
        <w:t xml:space="preserve"> </w:t>
      </w:r>
      <w:r>
        <w:t>şi</w:t>
      </w:r>
      <w:r>
        <w:rPr>
          <w:spacing w:val="-2"/>
        </w:rPr>
        <w:t xml:space="preserve"> </w:t>
      </w:r>
      <w:r>
        <w:t>a os</w:t>
      </w:r>
      <w:r>
        <w:rPr>
          <w:spacing w:val="-3"/>
        </w:rPr>
        <w:t>u</w:t>
      </w:r>
      <w:r>
        <w:rPr>
          <w:spacing w:val="1"/>
        </w:rPr>
        <w:t>l</w:t>
      </w:r>
      <w:r>
        <w:rPr>
          <w:spacing w:val="-3"/>
        </w:rPr>
        <w:t>u</w:t>
      </w:r>
      <w:r>
        <w:t>i</w:t>
      </w:r>
      <w:r>
        <w:rPr>
          <w:spacing w:val="1"/>
        </w:rPr>
        <w:t xml:space="preserve"> </w:t>
      </w:r>
      <w:r>
        <w:t>d</w:t>
      </w:r>
      <w:r>
        <w:rPr>
          <w:spacing w:val="-2"/>
        </w:rPr>
        <w:t>i</w:t>
      </w:r>
      <w:r>
        <w:t>n a</w:t>
      </w:r>
      <w:r>
        <w:rPr>
          <w:spacing w:val="-2"/>
        </w:rPr>
        <w:t>r</w:t>
      </w:r>
      <w:r>
        <w:rPr>
          <w:spacing w:val="1"/>
        </w:rPr>
        <w:t>t</w:t>
      </w:r>
      <w:r>
        <w:rPr>
          <w:spacing w:val="-2"/>
        </w:rPr>
        <w:t>i</w:t>
      </w:r>
      <w:r>
        <w:rPr>
          <w:spacing w:val="-3"/>
        </w:rPr>
        <w:t>c</w:t>
      </w:r>
      <w:r>
        <w:t>u</w:t>
      </w:r>
      <w:r>
        <w:rPr>
          <w:spacing w:val="1"/>
        </w:rPr>
        <w:t>l</w:t>
      </w:r>
      <w:r>
        <w:rPr>
          <w:spacing w:val="-3"/>
        </w:rPr>
        <w:t>a</w:t>
      </w:r>
      <w:r>
        <w:rPr>
          <w:spacing w:val="1"/>
        </w:rPr>
        <w:t>ţ</w:t>
      </w:r>
      <w:r>
        <w:rPr>
          <w:spacing w:val="-2"/>
        </w:rPr>
        <w:t>i</w:t>
      </w:r>
      <w:r>
        <w:t>i</w:t>
      </w:r>
      <w:r>
        <w:rPr>
          <w:spacing w:val="1"/>
        </w:rPr>
        <w:t xml:space="preserve"> </w:t>
      </w:r>
      <w:r>
        <w:t>d</w:t>
      </w:r>
      <w:r>
        <w:rPr>
          <w:spacing w:val="-3"/>
        </w:rPr>
        <w:t>e</w:t>
      </w:r>
      <w:r>
        <w:rPr>
          <w:spacing w:val="1"/>
        </w:rPr>
        <w:t>t</w:t>
      </w:r>
      <w:r>
        <w:t>er</w:t>
      </w:r>
      <w:r>
        <w:rPr>
          <w:spacing w:val="-4"/>
        </w:rPr>
        <w:t>m</w:t>
      </w:r>
      <w:r>
        <w:rPr>
          <w:spacing w:val="1"/>
        </w:rPr>
        <w:t>i</w:t>
      </w:r>
      <w:r>
        <w:t>n</w:t>
      </w:r>
      <w:r>
        <w:rPr>
          <w:spacing w:val="-3"/>
        </w:rPr>
        <w:t>a</w:t>
      </w:r>
      <w:r>
        <w:rPr>
          <w:spacing w:val="1"/>
        </w:rPr>
        <w:t>t</w:t>
      </w:r>
      <w:r>
        <w:t xml:space="preserve">ă </w:t>
      </w:r>
      <w:r>
        <w:rPr>
          <w:spacing w:val="-3"/>
        </w:rPr>
        <w:t>d</w:t>
      </w:r>
      <w:r>
        <w:t>e bo</w:t>
      </w:r>
      <w:r>
        <w:rPr>
          <w:spacing w:val="-3"/>
        </w:rPr>
        <w:t>a</w:t>
      </w:r>
      <w:r>
        <w:rPr>
          <w:spacing w:val="1"/>
        </w:rPr>
        <w:t>l</w:t>
      </w:r>
      <w:r>
        <w:t>ă</w:t>
      </w:r>
      <w:r>
        <w:rPr>
          <w:spacing w:val="-2"/>
        </w:rPr>
        <w:t xml:space="preserve"> </w:t>
      </w:r>
      <w:r>
        <w:t>şi</w:t>
      </w:r>
      <w:r>
        <w:rPr>
          <w:spacing w:val="1"/>
        </w:rPr>
        <w:t xml:space="preserve"> î</w:t>
      </w:r>
      <w:r>
        <w:rPr>
          <w:spacing w:val="-4"/>
        </w:rPr>
        <w:t>m</w:t>
      </w:r>
      <w:r>
        <w:t>bună</w:t>
      </w:r>
      <w:r>
        <w:rPr>
          <w:spacing w:val="-2"/>
        </w:rPr>
        <w:t>t</w:t>
      </w:r>
      <w:r>
        <w:t>ă</w:t>
      </w:r>
      <w:r>
        <w:rPr>
          <w:spacing w:val="-2"/>
        </w:rPr>
        <w:t>ţ</w:t>
      </w:r>
      <w:r>
        <w:t>eş</w:t>
      </w:r>
      <w:r>
        <w:rPr>
          <w:spacing w:val="-2"/>
        </w:rPr>
        <w:t>t</w:t>
      </w:r>
      <w:r>
        <w:t>e ac</w:t>
      </w:r>
      <w:r>
        <w:rPr>
          <w:spacing w:val="-2"/>
        </w:rPr>
        <w:t>t</w:t>
      </w:r>
      <w:r>
        <w:rPr>
          <w:spacing w:val="1"/>
        </w:rPr>
        <w:t>i</w:t>
      </w:r>
      <w:r>
        <w:rPr>
          <w:spacing w:val="-3"/>
        </w:rPr>
        <w:t>v</w:t>
      </w:r>
      <w:r>
        <w:rPr>
          <w:spacing w:val="1"/>
        </w:rPr>
        <w:t>it</w:t>
      </w:r>
      <w:r>
        <w:rPr>
          <w:spacing w:val="-3"/>
        </w:rPr>
        <w:t>a</w:t>
      </w:r>
      <w:r>
        <w:rPr>
          <w:spacing w:val="1"/>
        </w:rPr>
        <w:t>t</w:t>
      </w:r>
      <w:r>
        <w:t>ea</w:t>
      </w:r>
      <w:r>
        <w:rPr>
          <w:spacing w:val="-2"/>
        </w:rPr>
        <w:t xml:space="preserve"> </w:t>
      </w:r>
      <w:r>
        <w:t>f</w:t>
      </w:r>
      <w:r>
        <w:rPr>
          <w:spacing w:val="1"/>
        </w:rPr>
        <w:t>i</w:t>
      </w:r>
      <w:r>
        <w:rPr>
          <w:spacing w:val="-3"/>
        </w:rPr>
        <w:t>z</w:t>
      </w:r>
      <w:r>
        <w:rPr>
          <w:spacing w:val="-2"/>
        </w:rPr>
        <w:t>i</w:t>
      </w:r>
      <w:r>
        <w:t>că.</w:t>
      </w:r>
    </w:p>
    <w:p w14:paraId="6800566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FFF7B91" w14:textId="77777777" w:rsidR="00C04CAD" w:rsidRDefault="00060E34">
      <w:pPr>
        <w:tabs>
          <w:tab w:val="clear" w:pos="567"/>
        </w:tabs>
        <w:kinsoku w:val="0"/>
        <w:overflowPunct w:val="0"/>
        <w:autoSpaceDE w:val="0"/>
        <w:autoSpaceDN w:val="0"/>
        <w:adjustRightInd w:val="0"/>
        <w:spacing w:line="240" w:lineRule="auto"/>
      </w:pPr>
      <w:r>
        <w:rPr>
          <w:spacing w:val="-1"/>
          <w:u w:val="single"/>
        </w:rPr>
        <w:t>P</w:t>
      </w:r>
      <w:r>
        <w:rPr>
          <w:u w:val="single"/>
        </w:rPr>
        <w:t>so</w:t>
      </w:r>
      <w:r>
        <w:rPr>
          <w:spacing w:val="-2"/>
          <w:u w:val="single"/>
        </w:rPr>
        <w:t>r</w:t>
      </w:r>
      <w:r>
        <w:rPr>
          <w:spacing w:val="1"/>
          <w:u w:val="single"/>
        </w:rPr>
        <w:t>i</w:t>
      </w:r>
      <w:r>
        <w:rPr>
          <w:u w:val="single"/>
        </w:rPr>
        <w:t>a</w:t>
      </w:r>
      <w:r>
        <w:rPr>
          <w:spacing w:val="-3"/>
          <w:u w:val="single"/>
        </w:rPr>
        <w:t>z</w:t>
      </w:r>
      <w:r>
        <w:rPr>
          <w:spacing w:val="1"/>
          <w:u w:val="single"/>
        </w:rPr>
        <w:t>i</w:t>
      </w:r>
      <w:r>
        <w:rPr>
          <w:u w:val="single"/>
        </w:rPr>
        <w:t>s</w:t>
      </w:r>
      <w:r>
        <w:rPr>
          <w:spacing w:val="-2"/>
          <w:u w:val="single"/>
        </w:rPr>
        <w:t xml:space="preserve"> </w:t>
      </w:r>
      <w:r>
        <w:rPr>
          <w:spacing w:val="1"/>
          <w:u w:val="single"/>
        </w:rPr>
        <w:t>î</w:t>
      </w:r>
      <w:r>
        <w:rPr>
          <w:u w:val="single"/>
        </w:rPr>
        <w:t xml:space="preserve">n </w:t>
      </w:r>
      <w:r>
        <w:rPr>
          <w:spacing w:val="-3"/>
          <w:u w:val="single"/>
        </w:rPr>
        <w:t>p</w:t>
      </w:r>
      <w:r>
        <w:rPr>
          <w:spacing w:val="1"/>
          <w:u w:val="single"/>
        </w:rPr>
        <w:t>l</w:t>
      </w:r>
      <w:r>
        <w:rPr>
          <w:u w:val="single"/>
        </w:rPr>
        <w:t>ă</w:t>
      </w:r>
      <w:r>
        <w:rPr>
          <w:spacing w:val="-3"/>
          <w:u w:val="single"/>
        </w:rPr>
        <w:t>c</w:t>
      </w:r>
      <w:r>
        <w:rPr>
          <w:u w:val="single"/>
        </w:rPr>
        <w:t xml:space="preserve">i </w:t>
      </w:r>
      <w:r>
        <w:rPr>
          <w:spacing w:val="-2"/>
          <w:u w:val="single"/>
        </w:rPr>
        <w:t>l</w:t>
      </w:r>
      <w:r>
        <w:rPr>
          <w:u w:val="single"/>
        </w:rPr>
        <w:t>a ad</w:t>
      </w:r>
      <w:r>
        <w:rPr>
          <w:spacing w:val="-3"/>
          <w:u w:val="single"/>
        </w:rPr>
        <w:t>u</w:t>
      </w:r>
      <w:r>
        <w:rPr>
          <w:spacing w:val="1"/>
          <w:u w:val="single"/>
        </w:rPr>
        <w:t>l</w:t>
      </w:r>
      <w:r>
        <w:rPr>
          <w:spacing w:val="-2"/>
          <w:u w:val="single"/>
        </w:rPr>
        <w:t>ţ</w:t>
      </w:r>
      <w:r>
        <w:rPr>
          <w:u w:val="single"/>
        </w:rPr>
        <w:t xml:space="preserve">i </w:t>
      </w:r>
      <w:r>
        <w:rPr>
          <w:spacing w:val="-2"/>
          <w:u w:val="single"/>
        </w:rPr>
        <w:t>ş</w:t>
      </w:r>
      <w:r>
        <w:rPr>
          <w:u w:val="single"/>
        </w:rPr>
        <w:t>i co</w:t>
      </w:r>
      <w:r>
        <w:rPr>
          <w:spacing w:val="-3"/>
          <w:u w:val="single"/>
        </w:rPr>
        <w:t>p</w:t>
      </w:r>
      <w:r>
        <w:rPr>
          <w:spacing w:val="1"/>
          <w:u w:val="single"/>
        </w:rPr>
        <w:t>i</w:t>
      </w:r>
      <w:r>
        <w:rPr>
          <w:u w:val="single"/>
        </w:rPr>
        <w:t>i</w:t>
      </w:r>
    </w:p>
    <w:p w14:paraId="373454D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DA6F2E6" w14:textId="77777777" w:rsidR="00C04CAD" w:rsidRDefault="00060E34">
      <w:pPr>
        <w:tabs>
          <w:tab w:val="clear" w:pos="567"/>
        </w:tabs>
        <w:kinsoku w:val="0"/>
        <w:overflowPunct w:val="0"/>
        <w:autoSpaceDE w:val="0"/>
        <w:autoSpaceDN w:val="0"/>
        <w:adjustRightInd w:val="0"/>
        <w:spacing w:line="240" w:lineRule="auto"/>
      </w:pPr>
      <w:r>
        <w:rPr>
          <w:spacing w:val="-1"/>
        </w:rPr>
        <w:t>P</w:t>
      </w:r>
      <w:r>
        <w:t>so</w:t>
      </w:r>
      <w:r>
        <w:rPr>
          <w:spacing w:val="-2"/>
        </w:rPr>
        <w:t>r</w:t>
      </w:r>
      <w:r>
        <w:rPr>
          <w:spacing w:val="1"/>
        </w:rPr>
        <w:t>i</w:t>
      </w:r>
      <w:r>
        <w:t>a</w:t>
      </w:r>
      <w:r>
        <w:rPr>
          <w:spacing w:val="-3"/>
        </w:rPr>
        <w:t>z</w:t>
      </w:r>
      <w:r>
        <w:rPr>
          <w:spacing w:val="1"/>
        </w:rPr>
        <w:t>i</w:t>
      </w:r>
      <w:r>
        <w:t>s</w:t>
      </w:r>
      <w:r>
        <w:rPr>
          <w:spacing w:val="-3"/>
        </w:rPr>
        <w:t>u</w:t>
      </w:r>
      <w:r>
        <w:t>l</w:t>
      </w:r>
      <w:r>
        <w:rPr>
          <w:spacing w:val="1"/>
        </w:rPr>
        <w:t xml:space="preserve"> î</w:t>
      </w:r>
      <w:r>
        <w:t>n</w:t>
      </w:r>
      <w:r>
        <w:rPr>
          <w:spacing w:val="-3"/>
        </w:rPr>
        <w:t xml:space="preserve"> </w:t>
      </w:r>
      <w:r>
        <w:t>p</w:t>
      </w:r>
      <w:r>
        <w:rPr>
          <w:spacing w:val="-2"/>
        </w:rPr>
        <w:t>l</w:t>
      </w:r>
      <w:r>
        <w:t>ăci</w:t>
      </w:r>
      <w:r>
        <w:rPr>
          <w:spacing w:val="-2"/>
        </w:rPr>
        <w:t xml:space="preserve"> </w:t>
      </w:r>
      <w:r>
        <w:t>e</w:t>
      </w:r>
      <w:r>
        <w:rPr>
          <w:spacing w:val="-2"/>
        </w:rPr>
        <w:t>s</w:t>
      </w:r>
      <w:r>
        <w:rPr>
          <w:spacing w:val="1"/>
        </w:rPr>
        <w:t>t</w:t>
      </w:r>
      <w:r>
        <w:t>e o</w:t>
      </w:r>
      <w:r>
        <w:rPr>
          <w:spacing w:val="-3"/>
        </w:rPr>
        <w:t xml:space="preserve"> a</w:t>
      </w:r>
      <w:r>
        <w:t>fe</w:t>
      </w:r>
      <w:r>
        <w:rPr>
          <w:spacing w:val="-3"/>
        </w:rPr>
        <w:t>c</w:t>
      </w:r>
      <w:r>
        <w:rPr>
          <w:spacing w:val="1"/>
        </w:rPr>
        <w:t>ţi</w:t>
      </w:r>
      <w:r>
        <w:t>u</w:t>
      </w:r>
      <w:r>
        <w:rPr>
          <w:spacing w:val="-3"/>
        </w:rPr>
        <w:t>n</w:t>
      </w:r>
      <w:r>
        <w:t xml:space="preserve">e a </w:t>
      </w:r>
      <w:r>
        <w:rPr>
          <w:spacing w:val="-3"/>
        </w:rPr>
        <w:t>p</w:t>
      </w:r>
      <w:r>
        <w:rPr>
          <w:spacing w:val="1"/>
        </w:rPr>
        <w:t>i</w:t>
      </w:r>
      <w:r>
        <w:rPr>
          <w:spacing w:val="-3"/>
        </w:rPr>
        <w:t>e</w:t>
      </w:r>
      <w:r>
        <w:rPr>
          <w:spacing w:val="1"/>
        </w:rPr>
        <w:t>l</w:t>
      </w:r>
      <w:r>
        <w:rPr>
          <w:spacing w:val="-2"/>
        </w:rPr>
        <w:t>i</w:t>
      </w:r>
      <w:r>
        <w:t>i</w:t>
      </w:r>
      <w:r>
        <w:rPr>
          <w:spacing w:val="1"/>
        </w:rPr>
        <w:t xml:space="preserve"> </w:t>
      </w:r>
      <w:r>
        <w:rPr>
          <w:spacing w:val="-3"/>
        </w:rPr>
        <w:t>c</w:t>
      </w:r>
      <w:r>
        <w:t>are</w:t>
      </w:r>
      <w:r>
        <w:rPr>
          <w:spacing w:val="-2"/>
        </w:rPr>
        <w:t xml:space="preserve"> </w:t>
      </w:r>
      <w:r>
        <w:t>de</w:t>
      </w:r>
      <w:r>
        <w:rPr>
          <w:spacing w:val="-2"/>
        </w:rPr>
        <w:t>t</w:t>
      </w:r>
      <w:r>
        <w:t>er</w:t>
      </w:r>
      <w:r>
        <w:rPr>
          <w:spacing w:val="-4"/>
        </w:rPr>
        <w:t>m</w:t>
      </w:r>
      <w:r>
        <w:rPr>
          <w:spacing w:val="1"/>
        </w:rPr>
        <w:t>i</w:t>
      </w:r>
      <w:r>
        <w:t xml:space="preserve">nă </w:t>
      </w:r>
      <w:r>
        <w:rPr>
          <w:spacing w:val="-3"/>
        </w:rPr>
        <w:t>z</w:t>
      </w:r>
      <w:r>
        <w:t xml:space="preserve">one </w:t>
      </w:r>
      <w:r>
        <w:rPr>
          <w:spacing w:val="-3"/>
        </w:rPr>
        <w:t>d</w:t>
      </w:r>
      <w:r>
        <w:t>e p</w:t>
      </w:r>
      <w:r>
        <w:rPr>
          <w:spacing w:val="-2"/>
        </w:rPr>
        <w:t>i</w:t>
      </w:r>
      <w:r>
        <w:t>e</w:t>
      </w:r>
      <w:r>
        <w:rPr>
          <w:spacing w:val="-2"/>
        </w:rPr>
        <w:t>l</w:t>
      </w:r>
      <w:r>
        <w:t>e r</w:t>
      </w:r>
      <w:r>
        <w:rPr>
          <w:spacing w:val="-3"/>
        </w:rPr>
        <w:t>o</w:t>
      </w:r>
      <w:r>
        <w:t>ş</w:t>
      </w:r>
      <w:r>
        <w:rPr>
          <w:spacing w:val="-2"/>
        </w:rPr>
        <w:t>i</w:t>
      </w:r>
      <w:r>
        <w:rPr>
          <w:spacing w:val="1"/>
        </w:rPr>
        <w:t>i</w:t>
      </w:r>
      <w:r>
        <w:t>, cu</w:t>
      </w:r>
      <w:r>
        <w:rPr>
          <w:spacing w:val="-3"/>
        </w:rPr>
        <w:t xml:space="preserve"> co</w:t>
      </w:r>
      <w:r>
        <w:rPr>
          <w:spacing w:val="3"/>
        </w:rPr>
        <w:t>j</w:t>
      </w:r>
      <w:r>
        <w:rPr>
          <w:spacing w:val="1"/>
        </w:rPr>
        <w:t>i</w:t>
      </w:r>
      <w:r>
        <w:t>,</w:t>
      </w:r>
      <w:r>
        <w:rPr>
          <w:spacing w:val="-3"/>
        </w:rPr>
        <w:t xml:space="preserve"> </w:t>
      </w:r>
      <w:r>
        <w:t xml:space="preserve">cu </w:t>
      </w:r>
      <w:r>
        <w:rPr>
          <w:spacing w:val="-3"/>
        </w:rPr>
        <w:t>c</w:t>
      </w:r>
      <w:r>
        <w:t>ru</w:t>
      </w:r>
      <w:r>
        <w:rPr>
          <w:spacing w:val="-2"/>
        </w:rPr>
        <w:t>s</w:t>
      </w:r>
      <w:r>
        <w:rPr>
          <w:spacing w:val="1"/>
        </w:rPr>
        <w:t>t</w:t>
      </w:r>
      <w:r>
        <w:t>e acop</w:t>
      </w:r>
      <w:r>
        <w:rPr>
          <w:spacing w:val="-3"/>
        </w:rPr>
        <w:t>e</w:t>
      </w:r>
      <w:r>
        <w:t>r</w:t>
      </w:r>
      <w:r>
        <w:rPr>
          <w:spacing w:val="-2"/>
        </w:rPr>
        <w:t>i</w:t>
      </w:r>
      <w:r>
        <w:rPr>
          <w:spacing w:val="1"/>
        </w:rPr>
        <w:t>t</w:t>
      </w:r>
      <w:r>
        <w:t xml:space="preserve">e </w:t>
      </w:r>
      <w:r>
        <w:rPr>
          <w:spacing w:val="-3"/>
        </w:rPr>
        <w:t>c</w:t>
      </w:r>
      <w:r>
        <w:t>u s</w:t>
      </w:r>
      <w:r>
        <w:rPr>
          <w:spacing w:val="-3"/>
        </w:rPr>
        <w:t>o</w:t>
      </w:r>
      <w:r>
        <w:rPr>
          <w:spacing w:val="1"/>
        </w:rPr>
        <w:t>l</w:t>
      </w:r>
      <w:r>
        <w:rPr>
          <w:spacing w:val="-3"/>
        </w:rPr>
        <w:t>z</w:t>
      </w:r>
      <w:r>
        <w:t>i</w:t>
      </w:r>
      <w:r>
        <w:rPr>
          <w:spacing w:val="1"/>
        </w:rPr>
        <w:t xml:space="preserve"> </w:t>
      </w:r>
      <w:r>
        <w:t>ar</w:t>
      </w:r>
      <w:r>
        <w:rPr>
          <w:spacing w:val="-3"/>
        </w:rPr>
        <w:t>g</w:t>
      </w:r>
      <w:r>
        <w:rPr>
          <w:spacing w:val="1"/>
        </w:rPr>
        <w:t>i</w:t>
      </w:r>
      <w:r>
        <w:rPr>
          <w:spacing w:val="-3"/>
        </w:rPr>
        <w:t>n</w:t>
      </w:r>
      <w:r>
        <w:rPr>
          <w:spacing w:val="1"/>
        </w:rPr>
        <w:t>t</w:t>
      </w:r>
      <w:r>
        <w:rPr>
          <w:spacing w:val="-2"/>
        </w:rPr>
        <w:t>i</w:t>
      </w:r>
      <w:r>
        <w:rPr>
          <w:spacing w:val="1"/>
        </w:rPr>
        <w:t>i</w:t>
      </w:r>
      <w:r>
        <w:t>.</w:t>
      </w:r>
      <w:r>
        <w:rPr>
          <w:spacing w:val="-3"/>
        </w:rPr>
        <w:t xml:space="preserve"> </w:t>
      </w:r>
      <w:r>
        <w:rPr>
          <w:spacing w:val="-1"/>
        </w:rPr>
        <w:t>P</w:t>
      </w:r>
      <w:r>
        <w:t>so</w:t>
      </w:r>
      <w:r>
        <w:rPr>
          <w:spacing w:val="-2"/>
        </w:rPr>
        <w:t>r</w:t>
      </w:r>
      <w:r>
        <w:rPr>
          <w:spacing w:val="1"/>
        </w:rPr>
        <w:t>i</w:t>
      </w:r>
      <w:r>
        <w:t>a</w:t>
      </w:r>
      <w:r>
        <w:rPr>
          <w:spacing w:val="-3"/>
        </w:rPr>
        <w:t>z</w:t>
      </w:r>
      <w:r>
        <w:rPr>
          <w:spacing w:val="1"/>
        </w:rPr>
        <w:t>i</w:t>
      </w:r>
      <w:r>
        <w:t>s</w:t>
      </w:r>
      <w:r>
        <w:rPr>
          <w:spacing w:val="-3"/>
        </w:rPr>
        <w:t>u</w:t>
      </w:r>
      <w:r>
        <w:t>l</w:t>
      </w:r>
      <w:r>
        <w:rPr>
          <w:spacing w:val="1"/>
        </w:rPr>
        <w:t xml:space="preserve"> î</w:t>
      </w:r>
      <w:r>
        <w:t>n</w:t>
      </w:r>
      <w:r>
        <w:rPr>
          <w:spacing w:val="-3"/>
        </w:rPr>
        <w:t xml:space="preserve"> </w:t>
      </w:r>
      <w:r>
        <w:t>p</w:t>
      </w:r>
      <w:r>
        <w:rPr>
          <w:spacing w:val="-2"/>
        </w:rPr>
        <w:t>l</w:t>
      </w:r>
      <w:r>
        <w:t>ăci poate afecta, de asemenea, unghiile, care pot deveni fărâmicioase, se pot îngroșa și ridica de pe patul unghial, ceea ce poate fi dureros. Psoriazisul este considerat a fi cauzat</w:t>
      </w:r>
      <w:r>
        <w:rPr>
          <w:spacing w:val="-2"/>
        </w:rPr>
        <w:t xml:space="preserve"> </w:t>
      </w:r>
      <w:r>
        <w:t xml:space="preserve">de o </w:t>
      </w:r>
      <w:r>
        <w:rPr>
          <w:spacing w:val="-3"/>
        </w:rPr>
        <w:t>p</w:t>
      </w:r>
      <w:r>
        <w:t>ro</w:t>
      </w:r>
      <w:r>
        <w:rPr>
          <w:spacing w:val="-3"/>
        </w:rPr>
        <w:t>b</w:t>
      </w:r>
      <w:r>
        <w:rPr>
          <w:spacing w:val="1"/>
        </w:rPr>
        <w:t>l</w:t>
      </w:r>
      <w:r>
        <w:t>e</w:t>
      </w:r>
      <w:r>
        <w:rPr>
          <w:spacing w:val="-4"/>
        </w:rPr>
        <w:t>m</w:t>
      </w:r>
      <w:r>
        <w:t>ă a</w:t>
      </w:r>
      <w:r>
        <w:rPr>
          <w:spacing w:val="-2"/>
        </w:rPr>
        <w:t xml:space="preserve"> </w:t>
      </w:r>
      <w:r>
        <w:t>s</w:t>
      </w:r>
      <w:r>
        <w:rPr>
          <w:spacing w:val="1"/>
        </w:rPr>
        <w:t>i</w:t>
      </w:r>
      <w:r>
        <w:rPr>
          <w:spacing w:val="-2"/>
        </w:rPr>
        <w:t>s</w:t>
      </w:r>
      <w:r>
        <w:rPr>
          <w:spacing w:val="1"/>
        </w:rPr>
        <w:t>t</w:t>
      </w:r>
      <w:r>
        <w:t>e</w:t>
      </w:r>
      <w:r>
        <w:rPr>
          <w:spacing w:val="-4"/>
        </w:rPr>
        <w:t>m</w:t>
      </w:r>
      <w:r>
        <w:t>u</w:t>
      </w:r>
      <w:r>
        <w:rPr>
          <w:spacing w:val="1"/>
        </w:rPr>
        <w:t>l</w:t>
      </w:r>
      <w:r>
        <w:t>ui</w:t>
      </w:r>
      <w:r>
        <w:rPr>
          <w:spacing w:val="-2"/>
        </w:rPr>
        <w:t xml:space="preserve"> </w:t>
      </w:r>
      <w:r>
        <w:rPr>
          <w:spacing w:val="1"/>
        </w:rPr>
        <w:t>i</w:t>
      </w:r>
      <w:r>
        <w:rPr>
          <w:spacing w:val="-4"/>
        </w:rPr>
        <w:t>m</w:t>
      </w:r>
      <w:r>
        <w:t>un</w:t>
      </w:r>
      <w:r>
        <w:rPr>
          <w:spacing w:val="1"/>
        </w:rPr>
        <w:t>it</w:t>
      </w:r>
      <w:r>
        <w:rPr>
          <w:spacing w:val="-3"/>
        </w:rPr>
        <w:t>a</w:t>
      </w:r>
      <w:r>
        <w:t>r</w:t>
      </w:r>
      <w:r>
        <w:rPr>
          <w:spacing w:val="1"/>
        </w:rPr>
        <w:t xml:space="preserve"> </w:t>
      </w:r>
      <w:r>
        <w:t>al or</w:t>
      </w:r>
      <w:r>
        <w:rPr>
          <w:spacing w:val="-3"/>
        </w:rPr>
        <w:t>g</w:t>
      </w:r>
      <w:r>
        <w:t>an</w:t>
      </w:r>
      <w:r>
        <w:rPr>
          <w:spacing w:val="1"/>
        </w:rPr>
        <w:t>i</w:t>
      </w:r>
      <w:r>
        <w:t>s</w:t>
      </w:r>
      <w:r>
        <w:rPr>
          <w:spacing w:val="-4"/>
        </w:rPr>
        <w:t>m</w:t>
      </w:r>
      <w:r>
        <w:t>u</w:t>
      </w:r>
      <w:r>
        <w:rPr>
          <w:spacing w:val="1"/>
        </w:rPr>
        <w:t>l</w:t>
      </w:r>
      <w:r>
        <w:t>u</w:t>
      </w:r>
      <w:r>
        <w:rPr>
          <w:spacing w:val="1"/>
        </w:rPr>
        <w:t>i</w:t>
      </w:r>
      <w:r>
        <w:t>,</w:t>
      </w:r>
      <w:r>
        <w:rPr>
          <w:spacing w:val="-3"/>
        </w:rPr>
        <w:t xml:space="preserve"> </w:t>
      </w:r>
      <w:r>
        <w:t>ca</w:t>
      </w:r>
      <w:r>
        <w:rPr>
          <w:spacing w:val="-2"/>
        </w:rPr>
        <w:t>r</w:t>
      </w:r>
      <w:r>
        <w:t>e du</w:t>
      </w:r>
      <w:r>
        <w:rPr>
          <w:spacing w:val="-3"/>
        </w:rPr>
        <w:t>c</w:t>
      </w:r>
      <w:r>
        <w:t xml:space="preserve">e </w:t>
      </w:r>
      <w:r>
        <w:rPr>
          <w:spacing w:val="-2"/>
        </w:rPr>
        <w:t>l</w:t>
      </w:r>
      <w:r>
        <w:t>a</w:t>
      </w:r>
      <w:r>
        <w:rPr>
          <w:spacing w:val="-2"/>
        </w:rPr>
        <w:t xml:space="preserve"> </w:t>
      </w:r>
      <w:r>
        <w:t>o prod</w:t>
      </w:r>
      <w:r>
        <w:rPr>
          <w:spacing w:val="-3"/>
        </w:rPr>
        <w:t>u</w:t>
      </w:r>
      <w:r>
        <w:t>c</w:t>
      </w:r>
      <w:r>
        <w:rPr>
          <w:spacing w:val="-2"/>
        </w:rPr>
        <w:t>ț</w:t>
      </w:r>
      <w:r>
        <w:rPr>
          <w:spacing w:val="1"/>
        </w:rPr>
        <w:t>i</w:t>
      </w:r>
      <w:r>
        <w:t xml:space="preserve">e </w:t>
      </w:r>
      <w:r>
        <w:rPr>
          <w:spacing w:val="-3"/>
        </w:rPr>
        <w:t>c</w:t>
      </w:r>
      <w:r>
        <w:t>r</w:t>
      </w:r>
      <w:r>
        <w:rPr>
          <w:spacing w:val="-3"/>
        </w:rPr>
        <w:t>e</w:t>
      </w:r>
      <w:r>
        <w:t>sc</w:t>
      </w:r>
      <w:r>
        <w:rPr>
          <w:spacing w:val="-3"/>
        </w:rPr>
        <w:t>u</w:t>
      </w:r>
      <w:r>
        <w:rPr>
          <w:spacing w:val="1"/>
        </w:rPr>
        <w:t>t</w:t>
      </w:r>
      <w:r>
        <w:t>ă de</w:t>
      </w:r>
      <w:r>
        <w:rPr>
          <w:spacing w:val="-2"/>
        </w:rPr>
        <w:t xml:space="preserve"> </w:t>
      </w:r>
      <w:r>
        <w:rPr>
          <w:szCs w:val="22"/>
          <w:lang w:eastAsia="en-US" w:bidi="ar-SA"/>
        </w:rPr>
        <w:t>c</w:t>
      </w:r>
      <w:r>
        <w:rPr>
          <w:spacing w:val="-3"/>
          <w:szCs w:val="22"/>
          <w:lang w:eastAsia="en-US" w:bidi="ar-SA"/>
        </w:rPr>
        <w:t>e</w:t>
      </w:r>
      <w:r>
        <w:rPr>
          <w:spacing w:val="1"/>
          <w:szCs w:val="22"/>
          <w:lang w:eastAsia="en-US" w:bidi="ar-SA"/>
        </w:rPr>
        <w:t>l</w:t>
      </w:r>
      <w:r>
        <w:rPr>
          <w:spacing w:val="-3"/>
          <w:szCs w:val="22"/>
          <w:lang w:eastAsia="en-US" w:bidi="ar-SA"/>
        </w:rPr>
        <w:t>u</w:t>
      </w:r>
      <w:r>
        <w:rPr>
          <w:spacing w:val="1"/>
          <w:szCs w:val="22"/>
          <w:lang w:eastAsia="en-US" w:bidi="ar-SA"/>
        </w:rPr>
        <w:t>l</w:t>
      </w:r>
      <w:r>
        <w:rPr>
          <w:szCs w:val="22"/>
          <w:lang w:eastAsia="en-US" w:bidi="ar-SA"/>
        </w:rPr>
        <w:t>e</w:t>
      </w:r>
      <w:r>
        <w:t xml:space="preserve"> </w:t>
      </w:r>
      <w:r>
        <w:rPr>
          <w:spacing w:val="-3"/>
        </w:rPr>
        <w:t>a</w:t>
      </w:r>
      <w:r>
        <w:rPr>
          <w:spacing w:val="1"/>
        </w:rPr>
        <w:t>l</w:t>
      </w:r>
      <w:r>
        <w:t xml:space="preserve">e </w:t>
      </w:r>
      <w:r>
        <w:rPr>
          <w:spacing w:val="-3"/>
        </w:rPr>
        <w:t>p</w:t>
      </w:r>
      <w:r>
        <w:rPr>
          <w:spacing w:val="1"/>
        </w:rPr>
        <w:t>i</w:t>
      </w:r>
      <w:r>
        <w:rPr>
          <w:spacing w:val="-3"/>
        </w:rPr>
        <w:t>e</w:t>
      </w:r>
      <w:r>
        <w:rPr>
          <w:spacing w:val="1"/>
        </w:rPr>
        <w:t>l</w:t>
      </w:r>
      <w:r>
        <w:rPr>
          <w:spacing w:val="-2"/>
        </w:rPr>
        <w:t>i</w:t>
      </w:r>
      <w:r>
        <w:rPr>
          <w:spacing w:val="1"/>
        </w:rPr>
        <w:t>i</w:t>
      </w:r>
      <w:r>
        <w:t>.</w:t>
      </w:r>
    </w:p>
    <w:p w14:paraId="38C1500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B26DFF2"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ă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rPr>
          <w:spacing w:val="-3"/>
        </w:rPr>
        <w:t>p</w:t>
      </w:r>
      <w:r>
        <w:t>so</w:t>
      </w:r>
      <w:r>
        <w:rPr>
          <w:spacing w:val="-2"/>
        </w:rPr>
        <w:t>r</w:t>
      </w:r>
      <w:r>
        <w:rPr>
          <w:spacing w:val="1"/>
        </w:rPr>
        <w:t>i</w:t>
      </w:r>
      <w:r>
        <w:t>a</w:t>
      </w:r>
      <w:r>
        <w:rPr>
          <w:spacing w:val="-3"/>
        </w:rPr>
        <w:t>z</w:t>
      </w:r>
      <w:r>
        <w:rPr>
          <w:spacing w:val="1"/>
        </w:rPr>
        <w:t>i</w:t>
      </w:r>
      <w:r>
        <w:t>s</w:t>
      </w:r>
      <w:r>
        <w:rPr>
          <w:spacing w:val="-3"/>
        </w:rPr>
        <w:t>u</w:t>
      </w:r>
      <w:r>
        <w:rPr>
          <w:spacing w:val="-2"/>
        </w:rPr>
        <w:t>l</w:t>
      </w:r>
      <w:r>
        <w:t>ui</w:t>
      </w:r>
      <w:r>
        <w:rPr>
          <w:spacing w:val="1"/>
        </w:rPr>
        <w:t xml:space="preserve"> î</w:t>
      </w:r>
      <w:r>
        <w:t>n</w:t>
      </w:r>
      <w:r>
        <w:rPr>
          <w:spacing w:val="-3"/>
        </w:rPr>
        <w:t xml:space="preserve"> </w:t>
      </w:r>
      <w:r>
        <w:t>p</w:t>
      </w:r>
      <w:r>
        <w:rPr>
          <w:spacing w:val="-2"/>
        </w:rPr>
        <w:t>l</w:t>
      </w:r>
      <w:r>
        <w:t>ăci</w:t>
      </w:r>
      <w:r>
        <w:rPr>
          <w:spacing w:val="-2"/>
        </w:rPr>
        <w:t xml:space="preserve"> moderat p</w:t>
      </w:r>
      <w:r>
        <w:rPr>
          <w:szCs w:val="22"/>
        </w:rPr>
        <w:t>ân</w:t>
      </w:r>
      <w:r>
        <w:t>ă</w:t>
      </w:r>
      <w:r>
        <w:rPr>
          <w:szCs w:val="22"/>
        </w:rPr>
        <w:t xml:space="preserve"> la </w:t>
      </w:r>
      <w:r>
        <w:t>se</w:t>
      </w:r>
      <w:r>
        <w:rPr>
          <w:spacing w:val="-3"/>
        </w:rPr>
        <w:t>v</w:t>
      </w:r>
      <w:r>
        <w:t>er</w:t>
      </w:r>
      <w:r>
        <w:rPr>
          <w:spacing w:val="-2"/>
        </w:rPr>
        <w:t xml:space="preserve"> </w:t>
      </w:r>
      <w:r>
        <w:rPr>
          <w:spacing w:val="1"/>
        </w:rPr>
        <w:t>l</w:t>
      </w:r>
      <w:r>
        <w:t>a</w:t>
      </w:r>
      <w:r>
        <w:rPr>
          <w:spacing w:val="-1"/>
          <w:szCs w:val="22"/>
          <w:lang w:eastAsia="en-US" w:bidi="ar-SA"/>
        </w:rPr>
        <w:t xml:space="preserve"> adul</w:t>
      </w:r>
      <w:r>
        <w:rPr>
          <w:spacing w:val="-2"/>
        </w:rPr>
        <w:t>ț</w:t>
      </w:r>
      <w:r>
        <w:rPr>
          <w:spacing w:val="1"/>
        </w:rPr>
        <w:t xml:space="preserve">i. </w:t>
      </w:r>
      <w:r>
        <w:rPr>
          <w:spacing w:val="-1"/>
          <w:szCs w:val="22"/>
          <w:lang w:eastAsia="en-US" w:bidi="ar-SA"/>
        </w:rPr>
        <w:t>AMGEVITA</w:t>
      </w:r>
      <w:r>
        <w:t xml:space="preserve"> se u</w:t>
      </w:r>
      <w:r>
        <w:rPr>
          <w:spacing w:val="-2"/>
        </w:rPr>
        <w:t>ti</w:t>
      </w:r>
      <w:r>
        <w:rPr>
          <w:spacing w:val="1"/>
        </w:rPr>
        <w:t>li</w:t>
      </w:r>
      <w:r>
        <w:rPr>
          <w:spacing w:val="-3"/>
        </w:rPr>
        <w:t>z</w:t>
      </w:r>
      <w:r>
        <w:t>ea</w:t>
      </w:r>
      <w:r>
        <w:rPr>
          <w:spacing w:val="-3"/>
        </w:rPr>
        <w:t>z</w:t>
      </w:r>
      <w:r>
        <w:t xml:space="preserve">ă </w:t>
      </w:r>
      <w:r>
        <w:rPr>
          <w:spacing w:val="-2"/>
        </w:rPr>
        <w:t>ş</w:t>
      </w:r>
      <w:r>
        <w:t>i pe</w:t>
      </w:r>
      <w:r>
        <w:rPr>
          <w:spacing w:val="-3"/>
        </w:rPr>
        <w:t>n</w:t>
      </w:r>
      <w:r>
        <w:rPr>
          <w:spacing w:val="1"/>
        </w:rPr>
        <w:t>t</w:t>
      </w:r>
      <w:r>
        <w:t>ru</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rPr>
          <w:spacing w:val="-3"/>
        </w:rPr>
        <w:t>p</w:t>
      </w:r>
      <w:r>
        <w:t>so</w:t>
      </w:r>
      <w:r>
        <w:rPr>
          <w:spacing w:val="-2"/>
        </w:rPr>
        <w:t>r</w:t>
      </w:r>
      <w:r>
        <w:rPr>
          <w:spacing w:val="1"/>
        </w:rPr>
        <w:t>i</w:t>
      </w:r>
      <w:r>
        <w:t>a</w:t>
      </w:r>
      <w:r>
        <w:rPr>
          <w:spacing w:val="-3"/>
        </w:rPr>
        <w:t>z</w:t>
      </w:r>
      <w:r>
        <w:rPr>
          <w:spacing w:val="1"/>
        </w:rPr>
        <w:t>i</w:t>
      </w:r>
      <w:r>
        <w:t>s</w:t>
      </w:r>
      <w:r>
        <w:rPr>
          <w:spacing w:val="-3"/>
        </w:rPr>
        <w:t>u</w:t>
      </w:r>
      <w:r>
        <w:rPr>
          <w:spacing w:val="-2"/>
        </w:rPr>
        <w:t>l</w:t>
      </w:r>
      <w:r>
        <w:t>ui</w:t>
      </w:r>
      <w:r>
        <w:rPr>
          <w:spacing w:val="1"/>
        </w:rPr>
        <w:t xml:space="preserve"> î</w:t>
      </w:r>
      <w:r>
        <w:t>n</w:t>
      </w:r>
      <w:r>
        <w:rPr>
          <w:spacing w:val="-3"/>
        </w:rPr>
        <w:t xml:space="preserve"> </w:t>
      </w:r>
      <w:r>
        <w:t>p</w:t>
      </w:r>
      <w:r>
        <w:rPr>
          <w:spacing w:val="-2"/>
        </w:rPr>
        <w:t>l</w:t>
      </w:r>
      <w:r>
        <w:t>ăci</w:t>
      </w:r>
      <w:r>
        <w:rPr>
          <w:spacing w:val="-2"/>
        </w:rPr>
        <w:t xml:space="preserve"> </w:t>
      </w:r>
      <w:r>
        <w:t>se</w:t>
      </w:r>
      <w:r>
        <w:rPr>
          <w:spacing w:val="-3"/>
        </w:rPr>
        <w:t>v</w:t>
      </w:r>
      <w:r>
        <w:t>er</w:t>
      </w:r>
      <w:r>
        <w:rPr>
          <w:spacing w:val="-2"/>
        </w:rPr>
        <w:t xml:space="preserve"> </w:t>
      </w:r>
      <w:r>
        <w:rPr>
          <w:spacing w:val="1"/>
        </w:rPr>
        <w:t>l</w:t>
      </w:r>
      <w:r>
        <w:t xml:space="preserve">a </w:t>
      </w:r>
      <w:r>
        <w:rPr>
          <w:spacing w:val="-3"/>
        </w:rPr>
        <w:t>c</w:t>
      </w:r>
      <w:r>
        <w:t>op</w:t>
      </w:r>
      <w:r>
        <w:rPr>
          <w:spacing w:val="-2"/>
        </w:rPr>
        <w:t>i</w:t>
      </w:r>
      <w:r>
        <w:t>i</w:t>
      </w:r>
      <w:r>
        <w:rPr>
          <w:spacing w:val="1"/>
        </w:rPr>
        <w:t xml:space="preserve"> </w:t>
      </w:r>
      <w:r>
        <w:rPr>
          <w:spacing w:val="-2"/>
        </w:rPr>
        <w:t>ș</w:t>
      </w:r>
      <w:r>
        <w:t>i</w:t>
      </w:r>
      <w:r>
        <w:rPr>
          <w:spacing w:val="-2"/>
        </w:rPr>
        <w:t xml:space="preserve"> </w:t>
      </w:r>
      <w:r>
        <w:t>ado</w:t>
      </w:r>
      <w:r>
        <w:rPr>
          <w:spacing w:val="1"/>
        </w:rPr>
        <w:t>l</w:t>
      </w:r>
      <w:r>
        <w:rPr>
          <w:spacing w:val="-3"/>
        </w:rPr>
        <w:t>e</w:t>
      </w:r>
      <w:r>
        <w:t>sc</w:t>
      </w:r>
      <w:r>
        <w:rPr>
          <w:spacing w:val="-3"/>
        </w:rPr>
        <w:t>e</w:t>
      </w:r>
      <w:r>
        <w:t>n</w:t>
      </w:r>
      <w:r>
        <w:rPr>
          <w:spacing w:val="-2"/>
        </w:rPr>
        <w:t>ț</w:t>
      </w:r>
      <w:r>
        <w:t>i</w:t>
      </w:r>
      <w:r>
        <w:rPr>
          <w:spacing w:val="1"/>
        </w:rPr>
        <w:t xml:space="preserve"> </w:t>
      </w:r>
      <w:r>
        <w:t xml:space="preserve">cu </w:t>
      </w:r>
      <w:r>
        <w:rPr>
          <w:spacing w:val="-3"/>
          <w:szCs w:val="22"/>
          <w:lang w:eastAsia="en-US" w:bidi="ar-SA"/>
        </w:rPr>
        <w:t>vârsta cuprinsă între 4 și 17 ani</w:t>
      </w:r>
      <w:r>
        <w:rPr>
          <w:szCs w:val="22"/>
          <w:lang w:eastAsia="en-US" w:bidi="ar-SA"/>
        </w:rPr>
        <w:t>,</w:t>
      </w:r>
      <w:r>
        <w:t xml:space="preserve"> </w:t>
      </w:r>
      <w:r>
        <w:rPr>
          <w:spacing w:val="1"/>
        </w:rPr>
        <w:t>l</w:t>
      </w:r>
      <w:r>
        <w:t>a</w:t>
      </w:r>
      <w:r>
        <w:rPr>
          <w:spacing w:val="-2"/>
        </w:rPr>
        <w:t xml:space="preserve"> </w:t>
      </w:r>
      <w:r>
        <w:t>care</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ul</w:t>
      </w:r>
      <w:r>
        <w:rPr>
          <w:spacing w:val="-2"/>
        </w:rPr>
        <w:t xml:space="preserve"> </w:t>
      </w:r>
      <w:r>
        <w:rPr>
          <w:spacing w:val="1"/>
          <w:szCs w:val="22"/>
          <w:lang w:eastAsia="en-US" w:bidi="ar-SA"/>
        </w:rPr>
        <w:t>local</w:t>
      </w:r>
      <w:r>
        <w:t xml:space="preserve"> </w:t>
      </w:r>
      <w:r>
        <w:rPr>
          <w:spacing w:val="-2"/>
        </w:rPr>
        <w:t>ş</w:t>
      </w:r>
      <w:r>
        <w:t>i</w:t>
      </w:r>
      <w:r>
        <w:rPr>
          <w:spacing w:val="1"/>
        </w:rPr>
        <w:t xml:space="preserve"> </w:t>
      </w:r>
      <w:r>
        <w:t>f</w:t>
      </w:r>
      <w:r>
        <w:rPr>
          <w:spacing w:val="-3"/>
        </w:rPr>
        <w:t>o</w:t>
      </w:r>
      <w:r>
        <w:rPr>
          <w:spacing w:val="-2"/>
        </w:rPr>
        <w:t>t</w:t>
      </w:r>
      <w:r>
        <w:t>o</w:t>
      </w:r>
      <w:r>
        <w:rPr>
          <w:spacing w:val="1"/>
        </w:rPr>
        <w:t>t</w:t>
      </w:r>
      <w:r>
        <w:t>e</w:t>
      </w:r>
      <w:r>
        <w:rPr>
          <w:spacing w:val="-2"/>
        </w:rPr>
        <w:t>r</w:t>
      </w:r>
      <w:r>
        <w:t>ap</w:t>
      </w:r>
      <w:r>
        <w:rPr>
          <w:spacing w:val="-2"/>
        </w:rPr>
        <w:t>ii</w:t>
      </w:r>
      <w:r>
        <w:rPr>
          <w:spacing w:val="1"/>
        </w:rPr>
        <w:t>l</w:t>
      </w:r>
      <w:r>
        <w:t xml:space="preserve">e </w:t>
      </w:r>
      <w:r>
        <w:rPr>
          <w:spacing w:val="-2"/>
        </w:rPr>
        <w:t>f</w:t>
      </w:r>
      <w:r>
        <w:rPr>
          <w:spacing w:val="1"/>
        </w:rPr>
        <w:t>i</w:t>
      </w:r>
      <w:r>
        <w:t xml:space="preserve">e </w:t>
      </w:r>
      <w:r>
        <w:rPr>
          <w:spacing w:val="-3"/>
        </w:rPr>
        <w:t>n</w:t>
      </w:r>
      <w:r>
        <w:t>u au</w:t>
      </w:r>
      <w:r>
        <w:rPr>
          <w:spacing w:val="-3"/>
        </w:rPr>
        <w:t xml:space="preserve"> </w:t>
      </w:r>
      <w:r>
        <w:t>a</w:t>
      </w:r>
      <w:r>
        <w:rPr>
          <w:spacing w:val="-3"/>
        </w:rPr>
        <w:t>v</w:t>
      </w:r>
      <w:r>
        <w:t>ut</w:t>
      </w:r>
      <w:r>
        <w:rPr>
          <w:spacing w:val="1"/>
        </w:rPr>
        <w:t xml:space="preserve"> </w:t>
      </w:r>
      <w:r>
        <w:t>re</w:t>
      </w:r>
      <w:r>
        <w:rPr>
          <w:spacing w:val="-5"/>
        </w:rPr>
        <w:t>z</w:t>
      </w:r>
      <w:r>
        <w:t>u</w:t>
      </w:r>
      <w:r>
        <w:rPr>
          <w:spacing w:val="1"/>
        </w:rPr>
        <w:t>l</w:t>
      </w:r>
      <w:r>
        <w:rPr>
          <w:spacing w:val="-2"/>
        </w:rPr>
        <w:t>t</w:t>
      </w:r>
      <w:r>
        <w:t>a</w:t>
      </w:r>
      <w:r>
        <w:rPr>
          <w:spacing w:val="1"/>
        </w:rPr>
        <w:t>t</w:t>
      </w:r>
      <w:r>
        <w:t>e</w:t>
      </w:r>
      <w:r>
        <w:rPr>
          <w:spacing w:val="-2"/>
        </w:rPr>
        <w:t xml:space="preserve"> </w:t>
      </w:r>
      <w:r>
        <w:t>fo</w:t>
      </w:r>
      <w:r>
        <w:rPr>
          <w:spacing w:val="-3"/>
        </w:rPr>
        <w:t>a</w:t>
      </w:r>
      <w:r>
        <w:t>r</w:t>
      </w:r>
      <w:r>
        <w:rPr>
          <w:spacing w:val="-2"/>
        </w:rPr>
        <w:t>t</w:t>
      </w:r>
      <w:r>
        <w:t>e bu</w:t>
      </w:r>
      <w:r>
        <w:rPr>
          <w:spacing w:val="-3"/>
        </w:rPr>
        <w:t>n</w:t>
      </w:r>
      <w:r>
        <w:t>e f</w:t>
      </w:r>
      <w:r>
        <w:rPr>
          <w:spacing w:val="1"/>
        </w:rPr>
        <w:t>i</w:t>
      </w:r>
      <w:r>
        <w:t>e</w:t>
      </w:r>
      <w:r>
        <w:rPr>
          <w:spacing w:val="-2"/>
        </w:rPr>
        <w:t xml:space="preserve"> </w:t>
      </w:r>
      <w:r>
        <w:t>ac</w:t>
      </w:r>
      <w:r>
        <w:rPr>
          <w:spacing w:val="-3"/>
        </w:rPr>
        <w:t>e</w:t>
      </w:r>
      <w:r>
        <w:t>s</w:t>
      </w:r>
      <w:r>
        <w:rPr>
          <w:spacing w:val="1"/>
        </w:rPr>
        <w:t>t</w:t>
      </w:r>
      <w:r>
        <w:rPr>
          <w:spacing w:val="-3"/>
        </w:rPr>
        <w:t>e</w:t>
      </w:r>
      <w:r>
        <w:t>a nu</w:t>
      </w:r>
      <w:r>
        <w:rPr>
          <w:spacing w:val="-3"/>
        </w:rPr>
        <w:t xml:space="preserve"> </w:t>
      </w:r>
      <w:r>
        <w:t>sunt</w:t>
      </w:r>
      <w:r>
        <w:rPr>
          <w:spacing w:val="-2"/>
        </w:rPr>
        <w:t xml:space="preserve"> </w:t>
      </w:r>
      <w:r>
        <w:t>r</w:t>
      </w:r>
      <w:r>
        <w:rPr>
          <w:spacing w:val="-3"/>
        </w:rPr>
        <w:t>e</w:t>
      </w:r>
      <w:r>
        <w:t>co</w:t>
      </w:r>
      <w:r>
        <w:rPr>
          <w:spacing w:val="-4"/>
        </w:rPr>
        <w:t>m</w:t>
      </w:r>
      <w:r>
        <w:t>anda</w:t>
      </w:r>
      <w:r>
        <w:rPr>
          <w:spacing w:val="1"/>
        </w:rPr>
        <w:t>t</w:t>
      </w:r>
      <w:r>
        <w:t>e.</w:t>
      </w:r>
    </w:p>
    <w:p w14:paraId="4D6A3FD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020484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Hidrosadenită supurativă la adulți și adolescenți</w:t>
      </w:r>
    </w:p>
    <w:p w14:paraId="718129C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32C7F4E" w14:textId="77777777" w:rsidR="00C04CAD" w:rsidRDefault="00060E34">
      <w:pPr>
        <w:tabs>
          <w:tab w:val="clear" w:pos="567"/>
        </w:tabs>
        <w:kinsoku w:val="0"/>
        <w:overflowPunct w:val="0"/>
        <w:autoSpaceDE w:val="0"/>
        <w:autoSpaceDN w:val="0"/>
        <w:adjustRightInd w:val="0"/>
        <w:spacing w:line="240" w:lineRule="auto"/>
        <w:rPr>
          <w:szCs w:val="22"/>
        </w:rPr>
      </w:pPr>
      <w:r>
        <w:rPr>
          <w:spacing w:val="-2"/>
          <w:szCs w:val="22"/>
        </w:rPr>
        <w:t>H</w:t>
      </w:r>
      <w:r>
        <w:rPr>
          <w:spacing w:val="1"/>
          <w:szCs w:val="22"/>
        </w:rPr>
        <w:t>i</w:t>
      </w:r>
      <w:r>
        <w:rPr>
          <w:szCs w:val="22"/>
        </w:rPr>
        <w:t>dro</w:t>
      </w:r>
      <w:r>
        <w:rPr>
          <w:spacing w:val="-2"/>
          <w:szCs w:val="22"/>
        </w:rPr>
        <w:t>s</w:t>
      </w:r>
      <w:r>
        <w:rPr>
          <w:szCs w:val="22"/>
        </w:rPr>
        <w:t>ade</w:t>
      </w:r>
      <w:r>
        <w:rPr>
          <w:spacing w:val="-3"/>
          <w:szCs w:val="22"/>
        </w:rPr>
        <w:t>n</w:t>
      </w:r>
      <w:r>
        <w:rPr>
          <w:spacing w:val="1"/>
          <w:szCs w:val="22"/>
        </w:rPr>
        <w:t>i</w:t>
      </w:r>
      <w:r>
        <w:rPr>
          <w:spacing w:val="-2"/>
          <w:szCs w:val="22"/>
        </w:rPr>
        <w:t>t</w:t>
      </w:r>
      <w:r>
        <w:rPr>
          <w:szCs w:val="22"/>
        </w:rPr>
        <w:t>a su</w:t>
      </w:r>
      <w:r>
        <w:rPr>
          <w:spacing w:val="-3"/>
          <w:szCs w:val="22"/>
        </w:rPr>
        <w:t>p</w:t>
      </w:r>
      <w:r>
        <w:rPr>
          <w:szCs w:val="22"/>
        </w:rPr>
        <w:t>ur</w:t>
      </w:r>
      <w:r>
        <w:rPr>
          <w:spacing w:val="-3"/>
          <w:szCs w:val="22"/>
        </w:rPr>
        <w:t>a</w:t>
      </w:r>
      <w:r>
        <w:rPr>
          <w:spacing w:val="-2"/>
          <w:szCs w:val="22"/>
        </w:rPr>
        <w:t>t</w:t>
      </w:r>
      <w:r>
        <w:rPr>
          <w:spacing w:val="1"/>
          <w:szCs w:val="22"/>
        </w:rPr>
        <w:t>i</w:t>
      </w:r>
      <w:r>
        <w:rPr>
          <w:spacing w:val="-3"/>
          <w:szCs w:val="22"/>
        </w:rPr>
        <w:t>v</w:t>
      </w:r>
      <w:r>
        <w:rPr>
          <w:szCs w:val="22"/>
        </w:rPr>
        <w:t>ă (</w:t>
      </w:r>
      <w:r>
        <w:rPr>
          <w:spacing w:val="-3"/>
          <w:szCs w:val="22"/>
        </w:rPr>
        <w:t>u</w:t>
      </w:r>
      <w:r>
        <w:rPr>
          <w:szCs w:val="22"/>
        </w:rPr>
        <w:t>neo</w:t>
      </w:r>
      <w:r>
        <w:rPr>
          <w:spacing w:val="-2"/>
          <w:szCs w:val="22"/>
        </w:rPr>
        <w:t>r</w:t>
      </w:r>
      <w:r>
        <w:rPr>
          <w:szCs w:val="22"/>
        </w:rPr>
        <w:t>i</w:t>
      </w:r>
      <w:r>
        <w:rPr>
          <w:spacing w:val="1"/>
          <w:szCs w:val="22"/>
        </w:rPr>
        <w:t xml:space="preserve"> </w:t>
      </w:r>
      <w:r>
        <w:rPr>
          <w:szCs w:val="22"/>
        </w:rPr>
        <w:t>nu</w:t>
      </w:r>
      <w:r>
        <w:rPr>
          <w:spacing w:val="-4"/>
          <w:szCs w:val="22"/>
        </w:rPr>
        <w:t>m</w:t>
      </w:r>
      <w:r>
        <w:rPr>
          <w:spacing w:val="1"/>
          <w:szCs w:val="22"/>
        </w:rPr>
        <w:t>it</w:t>
      </w:r>
      <w:r>
        <w:rPr>
          <w:szCs w:val="22"/>
        </w:rPr>
        <w:t>ă</w:t>
      </w:r>
      <w:r>
        <w:rPr>
          <w:spacing w:val="-2"/>
          <w:szCs w:val="22"/>
        </w:rPr>
        <w:t xml:space="preserve"> </w:t>
      </w:r>
      <w:r>
        <w:rPr>
          <w:szCs w:val="22"/>
        </w:rPr>
        <w:t>acn</w:t>
      </w:r>
      <w:r>
        <w:rPr>
          <w:spacing w:val="-2"/>
          <w:szCs w:val="22"/>
        </w:rPr>
        <w:t>e</w:t>
      </w:r>
      <w:r>
        <w:rPr>
          <w:szCs w:val="22"/>
        </w:rPr>
        <w:t xml:space="preserve">e </w:t>
      </w:r>
      <w:r>
        <w:rPr>
          <w:spacing w:val="1"/>
          <w:szCs w:val="22"/>
        </w:rPr>
        <w:t>i</w:t>
      </w:r>
      <w:r>
        <w:rPr>
          <w:szCs w:val="22"/>
        </w:rPr>
        <w:t>n</w:t>
      </w:r>
      <w:r>
        <w:rPr>
          <w:spacing w:val="-3"/>
          <w:szCs w:val="22"/>
        </w:rPr>
        <w:t>v</w:t>
      </w:r>
      <w:r>
        <w:rPr>
          <w:szCs w:val="22"/>
        </w:rPr>
        <w:t>e</w:t>
      </w:r>
      <w:r>
        <w:rPr>
          <w:spacing w:val="-2"/>
          <w:szCs w:val="22"/>
        </w:rPr>
        <w:t>r</w:t>
      </w:r>
      <w:r>
        <w:rPr>
          <w:szCs w:val="22"/>
        </w:rPr>
        <w:t>să)</w:t>
      </w:r>
      <w:r>
        <w:rPr>
          <w:spacing w:val="-2"/>
          <w:szCs w:val="22"/>
        </w:rPr>
        <w:t xml:space="preserve"> </w:t>
      </w:r>
      <w:r>
        <w:rPr>
          <w:szCs w:val="22"/>
        </w:rPr>
        <w:t>es</w:t>
      </w:r>
      <w:r>
        <w:rPr>
          <w:spacing w:val="-2"/>
          <w:szCs w:val="22"/>
        </w:rPr>
        <w:t>t</w:t>
      </w:r>
      <w:r>
        <w:rPr>
          <w:szCs w:val="22"/>
        </w:rPr>
        <w:t xml:space="preserve">e o </w:t>
      </w:r>
      <w:r>
        <w:rPr>
          <w:spacing w:val="-3"/>
          <w:szCs w:val="22"/>
        </w:rPr>
        <w:t>a</w:t>
      </w:r>
      <w:r>
        <w:rPr>
          <w:szCs w:val="22"/>
        </w:rPr>
        <w:t>fe</w:t>
      </w:r>
      <w:r>
        <w:rPr>
          <w:spacing w:val="-3"/>
          <w:szCs w:val="22"/>
        </w:rPr>
        <w:t>c</w:t>
      </w:r>
      <w:r>
        <w:rPr>
          <w:spacing w:val="1"/>
          <w:szCs w:val="22"/>
        </w:rPr>
        <w:t>ţ</w:t>
      </w:r>
      <w:r>
        <w:rPr>
          <w:spacing w:val="-2"/>
          <w:szCs w:val="22"/>
        </w:rPr>
        <w:t>i</w:t>
      </w:r>
      <w:r>
        <w:rPr>
          <w:szCs w:val="22"/>
        </w:rPr>
        <w:t>une</w:t>
      </w:r>
      <w:r>
        <w:rPr>
          <w:spacing w:val="-2"/>
          <w:szCs w:val="22"/>
        </w:rPr>
        <w:t xml:space="preserve"> </w:t>
      </w:r>
      <w:r>
        <w:rPr>
          <w:spacing w:val="1"/>
          <w:szCs w:val="22"/>
        </w:rPr>
        <w:t>i</w:t>
      </w:r>
      <w:r>
        <w:rPr>
          <w:szCs w:val="22"/>
        </w:rPr>
        <w:t>n</w:t>
      </w:r>
      <w:r>
        <w:rPr>
          <w:spacing w:val="-2"/>
          <w:szCs w:val="22"/>
        </w:rPr>
        <w:t>f</w:t>
      </w:r>
      <w:r>
        <w:rPr>
          <w:spacing w:val="1"/>
          <w:szCs w:val="22"/>
        </w:rPr>
        <w:t>l</w:t>
      </w:r>
      <w:r>
        <w:rPr>
          <w:szCs w:val="22"/>
        </w:rPr>
        <w:t>a</w:t>
      </w:r>
      <w:r>
        <w:rPr>
          <w:spacing w:val="-4"/>
          <w:szCs w:val="22"/>
        </w:rPr>
        <w:t>m</w:t>
      </w:r>
      <w:r>
        <w:rPr>
          <w:szCs w:val="22"/>
        </w:rPr>
        <w:t>a</w:t>
      </w:r>
      <w:r>
        <w:rPr>
          <w:spacing w:val="1"/>
          <w:szCs w:val="22"/>
        </w:rPr>
        <w:t>t</w:t>
      </w:r>
      <w:r>
        <w:rPr>
          <w:szCs w:val="22"/>
        </w:rPr>
        <w:t>o</w:t>
      </w:r>
      <w:r>
        <w:rPr>
          <w:spacing w:val="-2"/>
          <w:szCs w:val="22"/>
        </w:rPr>
        <w:t>ri</w:t>
      </w:r>
      <w:r>
        <w:rPr>
          <w:szCs w:val="22"/>
        </w:rPr>
        <w:t>e cr</w:t>
      </w:r>
      <w:r>
        <w:rPr>
          <w:spacing w:val="-3"/>
          <w:szCs w:val="22"/>
        </w:rPr>
        <w:t>o</w:t>
      </w:r>
      <w:r>
        <w:rPr>
          <w:szCs w:val="22"/>
        </w:rPr>
        <w:t>n</w:t>
      </w:r>
      <w:r>
        <w:rPr>
          <w:spacing w:val="1"/>
          <w:szCs w:val="22"/>
        </w:rPr>
        <w:t>i</w:t>
      </w:r>
      <w:r>
        <w:rPr>
          <w:spacing w:val="-3"/>
          <w:szCs w:val="22"/>
        </w:rPr>
        <w:t>c</w:t>
      </w:r>
      <w:r>
        <w:rPr>
          <w:szCs w:val="22"/>
        </w:rPr>
        <w:t xml:space="preserve">ă </w:t>
      </w:r>
      <w:r>
        <w:rPr>
          <w:spacing w:val="-2"/>
          <w:szCs w:val="22"/>
        </w:rPr>
        <w:t>ş</w:t>
      </w:r>
      <w:r>
        <w:rPr>
          <w:szCs w:val="22"/>
        </w:rPr>
        <w:t>i</w:t>
      </w:r>
      <w:r>
        <w:rPr>
          <w:spacing w:val="1"/>
          <w:szCs w:val="22"/>
        </w:rPr>
        <w:t xml:space="preserve"> </w:t>
      </w:r>
      <w:r>
        <w:rPr>
          <w:szCs w:val="22"/>
        </w:rPr>
        <w:t>ad</w:t>
      </w:r>
      <w:r>
        <w:rPr>
          <w:spacing w:val="-3"/>
          <w:szCs w:val="22"/>
        </w:rPr>
        <w:t>e</w:t>
      </w:r>
      <w:r>
        <w:rPr>
          <w:szCs w:val="22"/>
        </w:rPr>
        <w:t>sea dur</w:t>
      </w:r>
      <w:r>
        <w:rPr>
          <w:spacing w:val="-3"/>
          <w:szCs w:val="22"/>
        </w:rPr>
        <w:t>e</w:t>
      </w:r>
      <w:r>
        <w:rPr>
          <w:szCs w:val="22"/>
        </w:rPr>
        <w:t>roa</w:t>
      </w:r>
      <w:r>
        <w:rPr>
          <w:spacing w:val="-2"/>
          <w:szCs w:val="22"/>
        </w:rPr>
        <w:t>s</w:t>
      </w:r>
      <w:r>
        <w:rPr>
          <w:szCs w:val="22"/>
        </w:rPr>
        <w:t xml:space="preserve">ă a </w:t>
      </w:r>
      <w:r>
        <w:rPr>
          <w:spacing w:val="-3"/>
          <w:szCs w:val="22"/>
        </w:rPr>
        <w:t>p</w:t>
      </w:r>
      <w:r>
        <w:rPr>
          <w:spacing w:val="1"/>
          <w:szCs w:val="22"/>
        </w:rPr>
        <w:t>i</w:t>
      </w:r>
      <w:r>
        <w:rPr>
          <w:spacing w:val="-3"/>
          <w:szCs w:val="22"/>
        </w:rPr>
        <w:t>e</w:t>
      </w:r>
      <w:r>
        <w:rPr>
          <w:spacing w:val="1"/>
          <w:szCs w:val="22"/>
        </w:rPr>
        <w:t>l</w:t>
      </w:r>
      <w:r>
        <w:rPr>
          <w:spacing w:val="-2"/>
          <w:szCs w:val="22"/>
        </w:rPr>
        <w:t>i</w:t>
      </w:r>
      <w:r>
        <w:rPr>
          <w:spacing w:val="1"/>
          <w:szCs w:val="22"/>
        </w:rPr>
        <w:t>i</w:t>
      </w:r>
      <w:r>
        <w:rPr>
          <w:szCs w:val="22"/>
        </w:rPr>
        <w:t xml:space="preserve">. </w:t>
      </w:r>
      <w:r>
        <w:rPr>
          <w:spacing w:val="-1"/>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 xml:space="preserve">e </w:t>
      </w:r>
      <w:r>
        <w:rPr>
          <w:spacing w:val="-3"/>
          <w:szCs w:val="22"/>
        </w:rPr>
        <w:t>p</w:t>
      </w:r>
      <w:r>
        <w:rPr>
          <w:szCs w:val="22"/>
        </w:rPr>
        <w:t>ot</w:t>
      </w:r>
      <w:r>
        <w:rPr>
          <w:spacing w:val="-2"/>
          <w:szCs w:val="22"/>
        </w:rPr>
        <w:t xml:space="preserve"> </w:t>
      </w:r>
      <w:r>
        <w:rPr>
          <w:spacing w:val="1"/>
          <w:szCs w:val="22"/>
        </w:rPr>
        <w:t>i</w:t>
      </w:r>
      <w:r>
        <w:rPr>
          <w:szCs w:val="22"/>
        </w:rPr>
        <w:t>n</w:t>
      </w:r>
      <w:r>
        <w:rPr>
          <w:spacing w:val="-3"/>
          <w:szCs w:val="22"/>
        </w:rPr>
        <w:t>c</w:t>
      </w:r>
      <w:r>
        <w:rPr>
          <w:spacing w:val="1"/>
          <w:szCs w:val="22"/>
        </w:rPr>
        <w:t>l</w:t>
      </w:r>
      <w:r>
        <w:rPr>
          <w:szCs w:val="22"/>
        </w:rPr>
        <w:t>ude</w:t>
      </w:r>
      <w:r>
        <w:rPr>
          <w:spacing w:val="-2"/>
          <w:szCs w:val="22"/>
        </w:rPr>
        <w:t xml:space="preserve"> </w:t>
      </w:r>
      <w:r>
        <w:rPr>
          <w:szCs w:val="22"/>
        </w:rPr>
        <w:t>nod</w:t>
      </w:r>
      <w:r>
        <w:rPr>
          <w:spacing w:val="-3"/>
          <w:szCs w:val="22"/>
        </w:rPr>
        <w:t>u</w:t>
      </w:r>
      <w:r>
        <w:rPr>
          <w:spacing w:val="1"/>
          <w:szCs w:val="22"/>
        </w:rPr>
        <w:t>l</w:t>
      </w:r>
      <w:r>
        <w:rPr>
          <w:szCs w:val="22"/>
        </w:rPr>
        <w:t xml:space="preserve">i </w:t>
      </w:r>
      <w:r>
        <w:rPr>
          <w:szCs w:val="22"/>
          <w:lang w:eastAsia="en-US" w:bidi="ar-SA"/>
        </w:rPr>
        <w:t>sensibili</w:t>
      </w:r>
      <w:r>
        <w:rPr>
          <w:spacing w:val="-2"/>
          <w:szCs w:val="22"/>
          <w:lang w:eastAsia="en-US" w:bidi="ar-SA"/>
        </w:rPr>
        <w:t xml:space="preserve"> </w:t>
      </w:r>
      <w:r>
        <w:rPr>
          <w:szCs w:val="22"/>
          <w:lang w:eastAsia="en-US" w:bidi="ar-SA"/>
        </w:rPr>
        <w:t>(umflături</w:t>
      </w:r>
      <w:r>
        <w:rPr>
          <w:szCs w:val="22"/>
        </w:rPr>
        <w:t>)</w:t>
      </w:r>
      <w:r>
        <w:rPr>
          <w:spacing w:val="-2"/>
          <w:szCs w:val="22"/>
        </w:rPr>
        <w:t xml:space="preserve"> </w:t>
      </w:r>
      <w:r>
        <w:rPr>
          <w:szCs w:val="22"/>
        </w:rPr>
        <w:t>şi</w:t>
      </w:r>
      <w:r>
        <w:rPr>
          <w:spacing w:val="1"/>
          <w:szCs w:val="22"/>
        </w:rPr>
        <w:t xml:space="preserve"> </w:t>
      </w:r>
      <w:r>
        <w:rPr>
          <w:spacing w:val="-3"/>
          <w:szCs w:val="22"/>
        </w:rPr>
        <w:t>a</w:t>
      </w:r>
      <w:r>
        <w:rPr>
          <w:szCs w:val="22"/>
        </w:rPr>
        <w:t>bc</w:t>
      </w:r>
      <w:r>
        <w:rPr>
          <w:spacing w:val="-3"/>
          <w:szCs w:val="22"/>
        </w:rPr>
        <w:t>e</w:t>
      </w:r>
      <w:r>
        <w:rPr>
          <w:szCs w:val="22"/>
        </w:rPr>
        <w:t xml:space="preserve">se </w:t>
      </w:r>
      <w:r>
        <w:rPr>
          <w:spacing w:val="-2"/>
          <w:szCs w:val="22"/>
        </w:rPr>
        <w:t>(</w:t>
      </w:r>
      <w:r>
        <w:rPr>
          <w:szCs w:val="22"/>
        </w:rPr>
        <w:t>f</w:t>
      </w:r>
      <w:r>
        <w:rPr>
          <w:spacing w:val="-3"/>
          <w:szCs w:val="22"/>
        </w:rPr>
        <w:t>u</w:t>
      </w:r>
      <w:r>
        <w:rPr>
          <w:spacing w:val="-2"/>
          <w:szCs w:val="22"/>
        </w:rPr>
        <w:t>r</w:t>
      </w:r>
      <w:r>
        <w:rPr>
          <w:szCs w:val="22"/>
        </w:rPr>
        <w:t>uncu</w:t>
      </w:r>
      <w:r>
        <w:rPr>
          <w:spacing w:val="-2"/>
          <w:szCs w:val="22"/>
        </w:rPr>
        <w:t>l</w:t>
      </w:r>
      <w:r>
        <w:rPr>
          <w:szCs w:val="22"/>
        </w:rPr>
        <w:t>e)</w:t>
      </w:r>
      <w:r>
        <w:rPr>
          <w:spacing w:val="1"/>
          <w:szCs w:val="22"/>
        </w:rPr>
        <w:t xml:space="preserve"> </w:t>
      </w:r>
      <w:r>
        <w:rPr>
          <w:spacing w:val="-3"/>
          <w:szCs w:val="22"/>
        </w:rPr>
        <w:t>d</w:t>
      </w:r>
      <w:r>
        <w:rPr>
          <w:spacing w:val="1"/>
          <w:szCs w:val="22"/>
        </w:rPr>
        <w:t>i</w:t>
      </w:r>
      <w:r>
        <w:rPr>
          <w:szCs w:val="22"/>
        </w:rPr>
        <w:t xml:space="preserve">n </w:t>
      </w:r>
      <w:r>
        <w:rPr>
          <w:spacing w:val="-3"/>
          <w:szCs w:val="22"/>
        </w:rPr>
        <w:t>c</w:t>
      </w:r>
      <w:r>
        <w:rPr>
          <w:szCs w:val="22"/>
        </w:rPr>
        <w:t>a</w:t>
      </w:r>
      <w:r>
        <w:rPr>
          <w:spacing w:val="-2"/>
          <w:szCs w:val="22"/>
        </w:rPr>
        <w:t>r</w:t>
      </w:r>
      <w:r>
        <w:rPr>
          <w:szCs w:val="22"/>
        </w:rPr>
        <w:t>e poa</w:t>
      </w:r>
      <w:r>
        <w:rPr>
          <w:spacing w:val="1"/>
          <w:szCs w:val="22"/>
        </w:rPr>
        <w:t>t</w:t>
      </w:r>
      <w:r>
        <w:rPr>
          <w:szCs w:val="22"/>
        </w:rPr>
        <w:t>e</w:t>
      </w:r>
      <w:r>
        <w:rPr>
          <w:spacing w:val="-2"/>
          <w:szCs w:val="22"/>
        </w:rPr>
        <w:t xml:space="preserve"> </w:t>
      </w:r>
      <w:r>
        <w:rPr>
          <w:szCs w:val="22"/>
        </w:rPr>
        <w:t>să</w:t>
      </w:r>
      <w:r>
        <w:rPr>
          <w:spacing w:val="-2"/>
          <w:szCs w:val="22"/>
        </w:rPr>
        <w:t xml:space="preserve"> </w:t>
      </w:r>
      <w:r>
        <w:rPr>
          <w:szCs w:val="22"/>
        </w:rPr>
        <w:t>cur</w:t>
      </w:r>
      <w:r>
        <w:rPr>
          <w:spacing w:val="-3"/>
          <w:szCs w:val="22"/>
        </w:rPr>
        <w:t>g</w:t>
      </w:r>
      <w:r>
        <w:rPr>
          <w:szCs w:val="22"/>
        </w:rPr>
        <w:t>ă p</w:t>
      </w:r>
      <w:r>
        <w:rPr>
          <w:spacing w:val="-3"/>
          <w:szCs w:val="22"/>
        </w:rPr>
        <w:t>u</w:t>
      </w:r>
      <w:r>
        <w:rPr>
          <w:szCs w:val="22"/>
        </w:rPr>
        <w:t xml:space="preserve">roi. </w:t>
      </w:r>
      <w:r>
        <w:rPr>
          <w:spacing w:val="-4"/>
          <w:szCs w:val="22"/>
        </w:rPr>
        <w:t>A</w:t>
      </w:r>
      <w:r>
        <w:rPr>
          <w:szCs w:val="22"/>
        </w:rPr>
        <w:t>ce</w:t>
      </w:r>
      <w:r>
        <w:rPr>
          <w:spacing w:val="-2"/>
          <w:szCs w:val="22"/>
        </w:rPr>
        <w:t>st</w:t>
      </w:r>
      <w:r>
        <w:rPr>
          <w:szCs w:val="22"/>
        </w:rPr>
        <w:t>ea a</w:t>
      </w:r>
      <w:r>
        <w:rPr>
          <w:spacing w:val="-2"/>
          <w:szCs w:val="22"/>
        </w:rPr>
        <w:t>f</w:t>
      </w:r>
      <w:r>
        <w:rPr>
          <w:szCs w:val="22"/>
        </w:rPr>
        <w:t>e</w:t>
      </w:r>
      <w:r>
        <w:rPr>
          <w:spacing w:val="-3"/>
          <w:szCs w:val="22"/>
        </w:rPr>
        <w:t>c</w:t>
      </w:r>
      <w:r>
        <w:rPr>
          <w:spacing w:val="1"/>
          <w:szCs w:val="22"/>
        </w:rPr>
        <w:t>t</w:t>
      </w:r>
      <w:r>
        <w:rPr>
          <w:szCs w:val="22"/>
        </w:rPr>
        <w:t>ea</w:t>
      </w:r>
      <w:r>
        <w:rPr>
          <w:spacing w:val="-3"/>
          <w:szCs w:val="22"/>
        </w:rPr>
        <w:t>z</w:t>
      </w:r>
      <w:r>
        <w:rPr>
          <w:szCs w:val="22"/>
        </w:rPr>
        <w:t xml:space="preserve">ă </w:t>
      </w:r>
      <w:r>
        <w:rPr>
          <w:spacing w:val="-4"/>
          <w:szCs w:val="22"/>
        </w:rPr>
        <w:t>m</w:t>
      </w:r>
      <w:r>
        <w:rPr>
          <w:szCs w:val="22"/>
        </w:rPr>
        <w:t>ai</w:t>
      </w:r>
      <w:r>
        <w:rPr>
          <w:spacing w:val="1"/>
          <w:szCs w:val="22"/>
        </w:rPr>
        <w:t xml:space="preserve"> </w:t>
      </w:r>
      <w:r>
        <w:rPr>
          <w:spacing w:val="-2"/>
          <w:szCs w:val="22"/>
        </w:rPr>
        <w:t>f</w:t>
      </w:r>
      <w:r>
        <w:rPr>
          <w:szCs w:val="22"/>
        </w:rPr>
        <w:t>rec</w:t>
      </w:r>
      <w:r>
        <w:rPr>
          <w:spacing w:val="-3"/>
          <w:szCs w:val="22"/>
        </w:rPr>
        <w:t>v</w:t>
      </w:r>
      <w:r>
        <w:rPr>
          <w:szCs w:val="22"/>
        </w:rPr>
        <w:t>ent</w:t>
      </w:r>
      <w:r>
        <w:rPr>
          <w:spacing w:val="-2"/>
          <w:szCs w:val="22"/>
        </w:rPr>
        <w:t xml:space="preserve"> </w:t>
      </w:r>
      <w:r>
        <w:rPr>
          <w:spacing w:val="-3"/>
          <w:szCs w:val="22"/>
        </w:rPr>
        <w:t>a</w:t>
      </w:r>
      <w:r>
        <w:rPr>
          <w:szCs w:val="22"/>
        </w:rPr>
        <w:t>nu</w:t>
      </w:r>
      <w:r>
        <w:rPr>
          <w:spacing w:val="-4"/>
          <w:szCs w:val="22"/>
        </w:rPr>
        <w:t>m</w:t>
      </w:r>
      <w:r>
        <w:rPr>
          <w:spacing w:val="1"/>
          <w:szCs w:val="22"/>
        </w:rPr>
        <w:t>it</w:t>
      </w:r>
      <w:r>
        <w:rPr>
          <w:szCs w:val="22"/>
        </w:rPr>
        <w:t xml:space="preserve">e </w:t>
      </w:r>
      <w:r>
        <w:rPr>
          <w:spacing w:val="-3"/>
          <w:szCs w:val="22"/>
        </w:rPr>
        <w:t>z</w:t>
      </w:r>
      <w:r>
        <w:rPr>
          <w:szCs w:val="22"/>
        </w:rPr>
        <w:t>one a</w:t>
      </w:r>
      <w:r>
        <w:rPr>
          <w:spacing w:val="-2"/>
          <w:szCs w:val="22"/>
        </w:rPr>
        <w:t>l</w:t>
      </w:r>
      <w:r>
        <w:rPr>
          <w:szCs w:val="22"/>
        </w:rPr>
        <w:t>e p</w:t>
      </w:r>
      <w:r>
        <w:rPr>
          <w:spacing w:val="-2"/>
          <w:szCs w:val="22"/>
        </w:rPr>
        <w:t>i</w:t>
      </w:r>
      <w:r>
        <w:rPr>
          <w:szCs w:val="22"/>
        </w:rPr>
        <w:t>e</w:t>
      </w:r>
      <w:r>
        <w:rPr>
          <w:spacing w:val="-2"/>
          <w:szCs w:val="22"/>
        </w:rPr>
        <w:t>l</w:t>
      </w:r>
      <w:r>
        <w:rPr>
          <w:spacing w:val="1"/>
          <w:szCs w:val="22"/>
        </w:rPr>
        <w:t>ii</w:t>
      </w:r>
      <w:r>
        <w:rPr>
          <w:szCs w:val="22"/>
        </w:rPr>
        <w:t>,</w:t>
      </w:r>
      <w:r>
        <w:rPr>
          <w:spacing w:val="-3"/>
          <w:szCs w:val="22"/>
        </w:rPr>
        <w:t xml:space="preserve"> </w:t>
      </w:r>
      <w:r>
        <w:rPr>
          <w:szCs w:val="22"/>
        </w:rPr>
        <w:t>cum</w:t>
      </w:r>
      <w:r>
        <w:rPr>
          <w:spacing w:val="-4"/>
          <w:szCs w:val="22"/>
        </w:rPr>
        <w:t xml:space="preserve"> </w:t>
      </w:r>
      <w:r>
        <w:rPr>
          <w:szCs w:val="22"/>
        </w:rPr>
        <w:t>ar</w:t>
      </w:r>
      <w:r>
        <w:rPr>
          <w:spacing w:val="1"/>
          <w:szCs w:val="22"/>
        </w:rPr>
        <w:t xml:space="preserve"> </w:t>
      </w:r>
      <w:r>
        <w:rPr>
          <w:spacing w:val="-2"/>
          <w:szCs w:val="22"/>
        </w:rPr>
        <w:t>f</w:t>
      </w:r>
      <w:r>
        <w:rPr>
          <w:szCs w:val="22"/>
        </w:rPr>
        <w:t>i</w:t>
      </w:r>
      <w:r>
        <w:rPr>
          <w:spacing w:val="1"/>
          <w:szCs w:val="22"/>
        </w:rPr>
        <w:t xml:space="preserve"> </w:t>
      </w:r>
      <w:r>
        <w:rPr>
          <w:szCs w:val="22"/>
        </w:rPr>
        <w:t>s</w:t>
      </w:r>
      <w:r>
        <w:rPr>
          <w:spacing w:val="-3"/>
          <w:szCs w:val="22"/>
        </w:rPr>
        <w:t>u</w:t>
      </w:r>
      <w:r>
        <w:rPr>
          <w:szCs w:val="22"/>
        </w:rPr>
        <w:t>b sâ</w:t>
      </w:r>
      <w:r>
        <w:rPr>
          <w:spacing w:val="-3"/>
          <w:szCs w:val="22"/>
        </w:rPr>
        <w:t>n</w:t>
      </w:r>
      <w:r>
        <w:rPr>
          <w:spacing w:val="1"/>
          <w:szCs w:val="22"/>
        </w:rPr>
        <w:t>i</w:t>
      </w:r>
      <w:r>
        <w:rPr>
          <w:szCs w:val="22"/>
        </w:rPr>
        <w:t xml:space="preserve">, </w:t>
      </w:r>
      <w:r>
        <w:rPr>
          <w:spacing w:val="-3"/>
          <w:szCs w:val="22"/>
        </w:rPr>
        <w:t>a</w:t>
      </w:r>
      <w:r>
        <w:rPr>
          <w:szCs w:val="22"/>
        </w:rPr>
        <w:t>x</w:t>
      </w:r>
      <w:r>
        <w:rPr>
          <w:spacing w:val="-2"/>
          <w:szCs w:val="22"/>
        </w:rPr>
        <w:t>i</w:t>
      </w:r>
      <w:r>
        <w:rPr>
          <w:spacing w:val="1"/>
          <w:szCs w:val="22"/>
        </w:rPr>
        <w:t>l</w:t>
      </w:r>
      <w:r>
        <w:rPr>
          <w:szCs w:val="22"/>
        </w:rPr>
        <w:t xml:space="preserve">e, </w:t>
      </w:r>
      <w:r>
        <w:rPr>
          <w:szCs w:val="22"/>
          <w:lang w:eastAsia="en-US" w:bidi="ar-SA"/>
        </w:rPr>
        <w:t>faţa internă a coap</w:t>
      </w:r>
      <w:r>
        <w:rPr>
          <w:spacing w:val="-2"/>
          <w:szCs w:val="22"/>
          <w:lang w:eastAsia="en-US" w:bidi="ar-SA"/>
        </w:rPr>
        <w:t>s</w:t>
      </w:r>
      <w:r>
        <w:rPr>
          <w:szCs w:val="22"/>
          <w:lang w:eastAsia="en-US" w:bidi="ar-SA"/>
        </w:rPr>
        <w:t>elor</w:t>
      </w:r>
      <w:r>
        <w:rPr>
          <w:szCs w:val="22"/>
        </w:rPr>
        <w:t xml:space="preserve">, </w:t>
      </w:r>
      <w:r>
        <w:rPr>
          <w:spacing w:val="-3"/>
          <w:szCs w:val="22"/>
        </w:rPr>
        <w:t>z</w:t>
      </w:r>
      <w:r>
        <w:rPr>
          <w:szCs w:val="22"/>
        </w:rPr>
        <w:t xml:space="preserve">ona </w:t>
      </w:r>
      <w:r>
        <w:rPr>
          <w:spacing w:val="1"/>
          <w:szCs w:val="22"/>
        </w:rPr>
        <w:t>i</w:t>
      </w:r>
      <w:r>
        <w:rPr>
          <w:szCs w:val="22"/>
        </w:rPr>
        <w:t>n</w:t>
      </w:r>
      <w:r>
        <w:rPr>
          <w:spacing w:val="-3"/>
          <w:szCs w:val="22"/>
        </w:rPr>
        <w:t>g</w:t>
      </w:r>
      <w:r>
        <w:rPr>
          <w:szCs w:val="22"/>
        </w:rPr>
        <w:t>h</w:t>
      </w:r>
      <w:r>
        <w:rPr>
          <w:spacing w:val="1"/>
          <w:szCs w:val="22"/>
        </w:rPr>
        <w:t>i</w:t>
      </w:r>
      <w:r>
        <w:rPr>
          <w:spacing w:val="-3"/>
          <w:szCs w:val="22"/>
        </w:rPr>
        <w:t>n</w:t>
      </w:r>
      <w:r>
        <w:rPr>
          <w:szCs w:val="22"/>
        </w:rPr>
        <w:t>a</w:t>
      </w:r>
      <w:r>
        <w:rPr>
          <w:spacing w:val="-2"/>
          <w:szCs w:val="22"/>
        </w:rPr>
        <w:t>l</w:t>
      </w:r>
      <w:r>
        <w:rPr>
          <w:szCs w:val="22"/>
        </w:rPr>
        <w:t xml:space="preserve">ă </w:t>
      </w:r>
      <w:r>
        <w:rPr>
          <w:spacing w:val="-2"/>
          <w:szCs w:val="22"/>
        </w:rPr>
        <w:t>ș</w:t>
      </w:r>
      <w:r>
        <w:rPr>
          <w:szCs w:val="22"/>
        </w:rPr>
        <w:t>i</w:t>
      </w:r>
      <w:r>
        <w:rPr>
          <w:spacing w:val="1"/>
          <w:szCs w:val="22"/>
        </w:rPr>
        <w:t xml:space="preserve"> </w:t>
      </w:r>
      <w:r>
        <w:rPr>
          <w:szCs w:val="22"/>
        </w:rPr>
        <w:t>f</w:t>
      </w:r>
      <w:r>
        <w:rPr>
          <w:spacing w:val="-3"/>
          <w:szCs w:val="22"/>
        </w:rPr>
        <w:t>e</w:t>
      </w:r>
      <w:r>
        <w:rPr>
          <w:szCs w:val="22"/>
        </w:rPr>
        <w:t xml:space="preserve">se. </w:t>
      </w:r>
      <w:r>
        <w:rPr>
          <w:spacing w:val="-1"/>
          <w:szCs w:val="22"/>
        </w:rPr>
        <w:t>C</w:t>
      </w:r>
      <w:r>
        <w:rPr>
          <w:spacing w:val="1"/>
          <w:szCs w:val="22"/>
        </w:rPr>
        <w:t>i</w:t>
      </w:r>
      <w:r>
        <w:rPr>
          <w:spacing w:val="-3"/>
          <w:szCs w:val="22"/>
        </w:rPr>
        <w:t>c</w:t>
      </w:r>
      <w:r>
        <w:rPr>
          <w:szCs w:val="22"/>
        </w:rPr>
        <w:t>a</w:t>
      </w:r>
      <w:r>
        <w:rPr>
          <w:spacing w:val="-2"/>
          <w:szCs w:val="22"/>
        </w:rPr>
        <w:t>t</w:t>
      </w:r>
      <w:r>
        <w:rPr>
          <w:szCs w:val="22"/>
        </w:rPr>
        <w:t>r</w:t>
      </w:r>
      <w:r>
        <w:rPr>
          <w:spacing w:val="1"/>
          <w:szCs w:val="22"/>
        </w:rPr>
        <w:t>i</w:t>
      </w:r>
      <w:r>
        <w:rPr>
          <w:spacing w:val="-3"/>
          <w:szCs w:val="22"/>
        </w:rPr>
        <w:t>z</w:t>
      </w:r>
      <w:r>
        <w:rPr>
          <w:szCs w:val="22"/>
        </w:rPr>
        <w:t>a</w:t>
      </w:r>
      <w:r>
        <w:rPr>
          <w:spacing w:val="-2"/>
          <w:szCs w:val="22"/>
        </w:rPr>
        <w:t>r</w:t>
      </w:r>
      <w:r>
        <w:rPr>
          <w:szCs w:val="22"/>
        </w:rPr>
        <w:t>ea p</w:t>
      </w:r>
      <w:r>
        <w:rPr>
          <w:spacing w:val="-3"/>
          <w:szCs w:val="22"/>
        </w:rPr>
        <w:t>o</w:t>
      </w:r>
      <w:r>
        <w:rPr>
          <w:szCs w:val="22"/>
        </w:rPr>
        <w:t>a</w:t>
      </w:r>
      <w:r>
        <w:rPr>
          <w:spacing w:val="-2"/>
          <w:szCs w:val="22"/>
        </w:rPr>
        <w:t>t</w:t>
      </w:r>
      <w:r>
        <w:rPr>
          <w:szCs w:val="22"/>
        </w:rPr>
        <w:t>e să</w:t>
      </w:r>
      <w:r>
        <w:rPr>
          <w:spacing w:val="-2"/>
          <w:szCs w:val="22"/>
        </w:rPr>
        <w:t xml:space="preserve"> </w:t>
      </w:r>
      <w:r>
        <w:rPr>
          <w:szCs w:val="22"/>
        </w:rPr>
        <w:t>a</w:t>
      </w:r>
      <w:r>
        <w:rPr>
          <w:spacing w:val="-3"/>
          <w:szCs w:val="22"/>
        </w:rPr>
        <w:t>p</w:t>
      </w:r>
      <w:r>
        <w:rPr>
          <w:szCs w:val="22"/>
        </w:rPr>
        <w:t>ară</w:t>
      </w:r>
      <w:r>
        <w:rPr>
          <w:spacing w:val="-2"/>
          <w:szCs w:val="22"/>
        </w:rPr>
        <w:t xml:space="preserve"> </w:t>
      </w:r>
      <w:r>
        <w:rPr>
          <w:spacing w:val="1"/>
          <w:szCs w:val="22"/>
        </w:rPr>
        <w:t>î</w:t>
      </w:r>
      <w:r>
        <w:rPr>
          <w:szCs w:val="22"/>
        </w:rPr>
        <w:t xml:space="preserve">n </w:t>
      </w:r>
      <w:r>
        <w:rPr>
          <w:spacing w:val="-3"/>
          <w:szCs w:val="22"/>
        </w:rPr>
        <w:t>z</w:t>
      </w:r>
      <w:r>
        <w:rPr>
          <w:szCs w:val="22"/>
        </w:rPr>
        <w:t>one</w:t>
      </w:r>
      <w:r>
        <w:rPr>
          <w:spacing w:val="-2"/>
          <w:szCs w:val="22"/>
        </w:rPr>
        <w:t>l</w:t>
      </w:r>
      <w:r>
        <w:rPr>
          <w:szCs w:val="22"/>
        </w:rPr>
        <w:t xml:space="preserve">e </w:t>
      </w:r>
      <w:r>
        <w:rPr>
          <w:spacing w:val="-3"/>
          <w:szCs w:val="22"/>
        </w:rPr>
        <w:t>a</w:t>
      </w:r>
      <w:r>
        <w:rPr>
          <w:szCs w:val="22"/>
        </w:rPr>
        <w:t>fe</w:t>
      </w:r>
      <w:r>
        <w:rPr>
          <w:spacing w:val="-3"/>
          <w:szCs w:val="22"/>
        </w:rPr>
        <w:t>c</w:t>
      </w:r>
      <w:r>
        <w:rPr>
          <w:spacing w:val="1"/>
          <w:szCs w:val="22"/>
        </w:rPr>
        <w:t>t</w:t>
      </w:r>
      <w:r>
        <w:rPr>
          <w:spacing w:val="-3"/>
          <w:szCs w:val="22"/>
        </w:rPr>
        <w:t>a</w:t>
      </w:r>
      <w:r>
        <w:rPr>
          <w:spacing w:val="1"/>
          <w:szCs w:val="22"/>
        </w:rPr>
        <w:t>t</w:t>
      </w:r>
      <w:r>
        <w:rPr>
          <w:szCs w:val="22"/>
        </w:rPr>
        <w:t>e.</w:t>
      </w:r>
    </w:p>
    <w:p w14:paraId="5D1C84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A0AEFA3"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h</w:t>
      </w:r>
      <w:r>
        <w:rPr>
          <w:spacing w:val="-2"/>
          <w:szCs w:val="22"/>
        </w:rPr>
        <w:t>i</w:t>
      </w:r>
      <w:r>
        <w:rPr>
          <w:szCs w:val="22"/>
        </w:rPr>
        <w:t>dr</w:t>
      </w:r>
      <w:r>
        <w:rPr>
          <w:spacing w:val="-3"/>
          <w:szCs w:val="22"/>
        </w:rPr>
        <w:t>o</w:t>
      </w:r>
      <w:r>
        <w:rPr>
          <w:szCs w:val="22"/>
        </w:rPr>
        <w:t>sade</w:t>
      </w:r>
      <w:r>
        <w:rPr>
          <w:spacing w:val="-3"/>
          <w:szCs w:val="22"/>
        </w:rPr>
        <w:t>n</w:t>
      </w:r>
      <w:r>
        <w:rPr>
          <w:spacing w:val="-2"/>
          <w:szCs w:val="22"/>
        </w:rPr>
        <w:t>i</w:t>
      </w:r>
      <w:r>
        <w:rPr>
          <w:szCs w:val="22"/>
        </w:rPr>
        <w:t>tei</w:t>
      </w:r>
      <w:r>
        <w:rPr>
          <w:spacing w:val="-2"/>
          <w:szCs w:val="22"/>
        </w:rPr>
        <w:t xml:space="preserve"> </w:t>
      </w:r>
      <w:r>
        <w:rPr>
          <w:szCs w:val="22"/>
        </w:rPr>
        <w:t>supu</w:t>
      </w:r>
      <w:r>
        <w:rPr>
          <w:spacing w:val="-2"/>
          <w:szCs w:val="22"/>
        </w:rPr>
        <w:t>r</w:t>
      </w:r>
      <w:r>
        <w:rPr>
          <w:szCs w:val="22"/>
        </w:rPr>
        <w:t>a</w:t>
      </w:r>
      <w:r>
        <w:rPr>
          <w:spacing w:val="-2"/>
          <w:szCs w:val="22"/>
        </w:rPr>
        <w:t>t</w:t>
      </w:r>
      <w:r>
        <w:rPr>
          <w:spacing w:val="1"/>
          <w:szCs w:val="22"/>
        </w:rPr>
        <w:t>i</w:t>
      </w:r>
      <w:r>
        <w:rPr>
          <w:spacing w:val="-3"/>
          <w:szCs w:val="22"/>
        </w:rPr>
        <w:t>v</w:t>
      </w:r>
      <w:r>
        <w:rPr>
          <w:szCs w:val="22"/>
        </w:rPr>
        <w:t xml:space="preserve">e </w:t>
      </w:r>
      <w:r>
        <w:rPr>
          <w:spacing w:val="1"/>
          <w:szCs w:val="22"/>
        </w:rPr>
        <w:t>l</w:t>
      </w:r>
      <w:r>
        <w:rPr>
          <w:szCs w:val="22"/>
        </w:rPr>
        <w:t xml:space="preserve">a </w:t>
      </w:r>
      <w:r>
        <w:rPr>
          <w:spacing w:val="-3"/>
          <w:szCs w:val="22"/>
        </w:rPr>
        <w:t>a</w:t>
      </w:r>
      <w:r>
        <w:rPr>
          <w:szCs w:val="22"/>
        </w:rPr>
        <w:t>du</w:t>
      </w:r>
      <w:r>
        <w:rPr>
          <w:spacing w:val="-2"/>
          <w:szCs w:val="22"/>
        </w:rPr>
        <w:t>l</w:t>
      </w:r>
      <w:r>
        <w:rPr>
          <w:spacing w:val="1"/>
          <w:szCs w:val="22"/>
        </w:rPr>
        <w:t>ți și adolescenți de la vârsta de 12 ani</w:t>
      </w:r>
      <w:r>
        <w:rPr>
          <w:szCs w:val="22"/>
        </w:rPr>
        <w:t>.</w:t>
      </w:r>
      <w:r>
        <w:rPr>
          <w:spacing w:val="-3"/>
          <w:szCs w:val="22"/>
        </w:rPr>
        <w:t xml:space="preserve"> </w:t>
      </w:r>
      <w:r>
        <w:rPr>
          <w:spacing w:val="-1"/>
          <w:szCs w:val="22"/>
          <w:lang w:eastAsia="en-US" w:bidi="ar-SA"/>
        </w:rPr>
        <w:t>AMGEVITA</w:t>
      </w:r>
      <w:r>
        <w:rPr>
          <w:szCs w:val="22"/>
        </w:rPr>
        <w:t xml:space="preserve"> po</w:t>
      </w:r>
      <w:r>
        <w:rPr>
          <w:spacing w:val="-3"/>
          <w:szCs w:val="22"/>
        </w:rPr>
        <w:t>a</w:t>
      </w:r>
      <w:r>
        <w:rPr>
          <w:spacing w:val="1"/>
          <w:szCs w:val="22"/>
        </w:rPr>
        <w:t>t</w:t>
      </w:r>
      <w:r>
        <w:rPr>
          <w:szCs w:val="22"/>
        </w:rPr>
        <w:t xml:space="preserve">e </w:t>
      </w:r>
      <w:r>
        <w:rPr>
          <w:spacing w:val="-2"/>
          <w:szCs w:val="22"/>
        </w:rPr>
        <w:t>r</w:t>
      </w:r>
      <w:r>
        <w:rPr>
          <w:szCs w:val="22"/>
        </w:rPr>
        <w:t>edu</w:t>
      </w:r>
      <w:r>
        <w:rPr>
          <w:spacing w:val="-3"/>
          <w:szCs w:val="22"/>
        </w:rPr>
        <w:t>c</w:t>
      </w:r>
      <w:r>
        <w:rPr>
          <w:szCs w:val="22"/>
        </w:rPr>
        <w:t>e nu</w:t>
      </w:r>
      <w:r>
        <w:rPr>
          <w:spacing w:val="-4"/>
          <w:szCs w:val="22"/>
        </w:rPr>
        <w:t>m</w:t>
      </w:r>
      <w:r>
        <w:rPr>
          <w:szCs w:val="22"/>
        </w:rPr>
        <w:t>ărul</w:t>
      </w:r>
      <w:r>
        <w:rPr>
          <w:spacing w:val="1"/>
          <w:szCs w:val="22"/>
        </w:rPr>
        <w:t xml:space="preserve"> </w:t>
      </w:r>
      <w:r>
        <w:rPr>
          <w:szCs w:val="22"/>
        </w:rPr>
        <w:t>de n</w:t>
      </w:r>
      <w:r>
        <w:rPr>
          <w:spacing w:val="-3"/>
          <w:szCs w:val="22"/>
        </w:rPr>
        <w:t>o</w:t>
      </w:r>
      <w:r>
        <w:rPr>
          <w:szCs w:val="22"/>
        </w:rPr>
        <w:t>du</w:t>
      </w:r>
      <w:r>
        <w:rPr>
          <w:spacing w:val="-2"/>
          <w:szCs w:val="22"/>
        </w:rPr>
        <w:t>l</w:t>
      </w:r>
      <w:r>
        <w:rPr>
          <w:szCs w:val="22"/>
        </w:rPr>
        <w:t>i</w:t>
      </w:r>
      <w:r>
        <w:rPr>
          <w:spacing w:val="1"/>
          <w:szCs w:val="22"/>
        </w:rPr>
        <w:t xml:space="preserve"> </w:t>
      </w:r>
      <w:r>
        <w:rPr>
          <w:spacing w:val="-2"/>
          <w:szCs w:val="22"/>
        </w:rPr>
        <w:t>ș</w:t>
      </w:r>
      <w:r>
        <w:rPr>
          <w:szCs w:val="22"/>
        </w:rPr>
        <w:t>i</w:t>
      </w:r>
      <w:r>
        <w:rPr>
          <w:spacing w:val="1"/>
          <w:szCs w:val="22"/>
        </w:rPr>
        <w:t xml:space="preserve"> </w:t>
      </w:r>
      <w:r>
        <w:rPr>
          <w:szCs w:val="22"/>
        </w:rPr>
        <w:t>a</w:t>
      </w:r>
      <w:r>
        <w:rPr>
          <w:spacing w:val="-3"/>
          <w:szCs w:val="22"/>
        </w:rPr>
        <w:t>b</w:t>
      </w:r>
      <w:r>
        <w:rPr>
          <w:szCs w:val="22"/>
        </w:rPr>
        <w:t>ce</w:t>
      </w:r>
      <w:r>
        <w:rPr>
          <w:spacing w:val="-2"/>
          <w:szCs w:val="22"/>
        </w:rPr>
        <w:t>s</w:t>
      </w:r>
      <w:r>
        <w:rPr>
          <w:szCs w:val="22"/>
        </w:rPr>
        <w:t>e</w:t>
      </w:r>
      <w:r>
        <w:rPr>
          <w:spacing w:val="-2"/>
          <w:szCs w:val="22"/>
        </w:rPr>
        <w:t xml:space="preserve"> </w:t>
      </w:r>
      <w:r>
        <w:rPr>
          <w:szCs w:val="22"/>
        </w:rPr>
        <w:t>pe c</w:t>
      </w:r>
      <w:r>
        <w:rPr>
          <w:spacing w:val="-3"/>
          <w:szCs w:val="22"/>
        </w:rPr>
        <w:t>a</w:t>
      </w:r>
      <w:r>
        <w:rPr>
          <w:szCs w:val="22"/>
        </w:rPr>
        <w:t>re</w:t>
      </w:r>
      <w:r>
        <w:rPr>
          <w:spacing w:val="-2"/>
          <w:szCs w:val="22"/>
        </w:rPr>
        <w:t xml:space="preserve"> </w:t>
      </w:r>
      <w:r>
        <w:rPr>
          <w:spacing w:val="1"/>
          <w:szCs w:val="22"/>
        </w:rPr>
        <w:t>l</w:t>
      </w:r>
      <w:r>
        <w:rPr>
          <w:szCs w:val="22"/>
        </w:rPr>
        <w:t>e a</w:t>
      </w:r>
      <w:r>
        <w:rPr>
          <w:spacing w:val="-3"/>
          <w:szCs w:val="22"/>
        </w:rPr>
        <w:t>v</w:t>
      </w:r>
      <w:r>
        <w:rPr>
          <w:szCs w:val="22"/>
        </w:rPr>
        <w:t>e</w:t>
      </w:r>
      <w:r>
        <w:rPr>
          <w:spacing w:val="-2"/>
          <w:szCs w:val="22"/>
        </w:rPr>
        <w:t>ţ</w:t>
      </w:r>
      <w:r>
        <w:rPr>
          <w:szCs w:val="22"/>
        </w:rPr>
        <w:t>i</w:t>
      </w:r>
      <w:r>
        <w:rPr>
          <w:spacing w:val="1"/>
          <w:szCs w:val="22"/>
        </w:rPr>
        <w:t xml:space="preserve"> </w:t>
      </w:r>
      <w:r>
        <w:rPr>
          <w:spacing w:val="-2"/>
          <w:szCs w:val="22"/>
        </w:rPr>
        <w:t>ş</w:t>
      </w:r>
      <w:r>
        <w:rPr>
          <w:szCs w:val="22"/>
        </w:rPr>
        <w:t>i d</w:t>
      </w:r>
      <w:r>
        <w:rPr>
          <w:spacing w:val="-3"/>
          <w:szCs w:val="22"/>
        </w:rPr>
        <w:t>u</w:t>
      </w:r>
      <w:r>
        <w:rPr>
          <w:szCs w:val="22"/>
        </w:rPr>
        <w:t>re</w:t>
      </w:r>
      <w:r>
        <w:rPr>
          <w:spacing w:val="-2"/>
          <w:szCs w:val="22"/>
        </w:rPr>
        <w:t>r</w:t>
      </w:r>
      <w:r>
        <w:rPr>
          <w:szCs w:val="22"/>
        </w:rPr>
        <w:t>ea</w:t>
      </w:r>
      <w:r>
        <w:rPr>
          <w:spacing w:val="-2"/>
          <w:szCs w:val="22"/>
        </w:rPr>
        <w:t xml:space="preserve"> </w:t>
      </w:r>
      <w:r>
        <w:rPr>
          <w:spacing w:val="-3"/>
          <w:szCs w:val="22"/>
        </w:rPr>
        <w:t>c</w:t>
      </w:r>
      <w:r>
        <w:rPr>
          <w:szCs w:val="22"/>
        </w:rPr>
        <w:t xml:space="preserve">are </w:t>
      </w:r>
      <w:r>
        <w:rPr>
          <w:spacing w:val="-2"/>
          <w:szCs w:val="22"/>
        </w:rPr>
        <w:t>s</w:t>
      </w:r>
      <w:r>
        <w:rPr>
          <w:szCs w:val="22"/>
        </w:rPr>
        <w:t xml:space="preserve">e </w:t>
      </w:r>
      <w:r>
        <w:rPr>
          <w:spacing w:val="-2"/>
          <w:szCs w:val="22"/>
        </w:rPr>
        <w:t>a</w:t>
      </w:r>
      <w:r>
        <w:rPr>
          <w:szCs w:val="22"/>
        </w:rPr>
        <w:t>so</w:t>
      </w:r>
      <w:r>
        <w:rPr>
          <w:spacing w:val="-2"/>
          <w:szCs w:val="22"/>
        </w:rPr>
        <w:t>c</w:t>
      </w:r>
      <w:r>
        <w:rPr>
          <w:spacing w:val="1"/>
          <w:szCs w:val="22"/>
        </w:rPr>
        <w:t>i</w:t>
      </w:r>
      <w:r>
        <w:rPr>
          <w:szCs w:val="22"/>
        </w:rPr>
        <w:t>a</w:t>
      </w:r>
      <w:r>
        <w:rPr>
          <w:spacing w:val="-2"/>
          <w:szCs w:val="22"/>
        </w:rPr>
        <w:t>z</w:t>
      </w:r>
      <w:r>
        <w:rPr>
          <w:szCs w:val="22"/>
        </w:rPr>
        <w:t>ă ad</w:t>
      </w:r>
      <w:r>
        <w:rPr>
          <w:spacing w:val="-3"/>
          <w:szCs w:val="22"/>
        </w:rPr>
        <w:t>e</w:t>
      </w:r>
      <w:r>
        <w:rPr>
          <w:szCs w:val="22"/>
        </w:rPr>
        <w:t>sea</w:t>
      </w:r>
      <w:r>
        <w:rPr>
          <w:spacing w:val="-2"/>
          <w:szCs w:val="22"/>
        </w:rPr>
        <w:t xml:space="preserve"> </w:t>
      </w:r>
      <w:r>
        <w:rPr>
          <w:szCs w:val="22"/>
        </w:rPr>
        <w:t>bo</w:t>
      </w:r>
      <w:r>
        <w:rPr>
          <w:spacing w:val="-2"/>
          <w:szCs w:val="22"/>
        </w:rPr>
        <w:t>l</w:t>
      </w:r>
      <w:r>
        <w:rPr>
          <w:spacing w:val="1"/>
          <w:szCs w:val="22"/>
        </w:rPr>
        <w:t>i</w:t>
      </w:r>
      <w:r>
        <w:rPr>
          <w:spacing w:val="-2"/>
          <w:szCs w:val="22"/>
        </w:rPr>
        <w:t>i</w:t>
      </w:r>
      <w:r>
        <w:rPr>
          <w:szCs w:val="22"/>
        </w:rPr>
        <w:t xml:space="preserve">. Este posibil să </w:t>
      </w:r>
      <w:r>
        <w:rPr>
          <w:szCs w:val="24"/>
        </w:rPr>
        <w:t>primiți inițial alte medicamente</w:t>
      </w:r>
      <w:r>
        <w:rPr>
          <w:szCs w:val="22"/>
        </w:rPr>
        <w:t>. Dacă nu răspundeți suficient de bine la aceste medicamente, vi se va administra AMGEVITA.</w:t>
      </w:r>
    </w:p>
    <w:p w14:paraId="0097FCE9"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61CE2F10"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u w:val="single"/>
        </w:rPr>
        <w:t>B</w:t>
      </w:r>
      <w:r>
        <w:rPr>
          <w:szCs w:val="22"/>
          <w:u w:val="single"/>
        </w:rPr>
        <w:t>oa</w:t>
      </w:r>
      <w:r>
        <w:rPr>
          <w:spacing w:val="1"/>
          <w:szCs w:val="22"/>
          <w:u w:val="single"/>
        </w:rPr>
        <w:t>l</w:t>
      </w:r>
      <w:r>
        <w:rPr>
          <w:szCs w:val="22"/>
          <w:u w:val="single"/>
        </w:rPr>
        <w:t xml:space="preserve">ă </w:t>
      </w:r>
      <w:r>
        <w:rPr>
          <w:spacing w:val="-4"/>
          <w:szCs w:val="22"/>
          <w:u w:val="single"/>
        </w:rPr>
        <w:t>C</w:t>
      </w:r>
      <w:r>
        <w:rPr>
          <w:szCs w:val="22"/>
          <w:u w:val="single"/>
        </w:rPr>
        <w:t>rohn</w:t>
      </w:r>
      <w:r>
        <w:rPr>
          <w:spacing w:val="-3"/>
          <w:szCs w:val="22"/>
          <w:u w:val="single"/>
        </w:rPr>
        <w:t xml:space="preserve"> </w:t>
      </w:r>
      <w:r>
        <w:rPr>
          <w:spacing w:val="1"/>
          <w:szCs w:val="22"/>
          <w:u w:val="single"/>
        </w:rPr>
        <w:t xml:space="preserve">la </w:t>
      </w:r>
      <w:r>
        <w:rPr>
          <w:spacing w:val="-3"/>
          <w:szCs w:val="22"/>
          <w:u w:val="single"/>
        </w:rPr>
        <w:t>a</w:t>
      </w:r>
      <w:r>
        <w:rPr>
          <w:szCs w:val="22"/>
          <w:u w:val="single"/>
        </w:rPr>
        <w:t>du</w:t>
      </w:r>
      <w:r>
        <w:rPr>
          <w:spacing w:val="-2"/>
          <w:szCs w:val="22"/>
          <w:u w:val="single"/>
        </w:rPr>
        <w:t>l</w:t>
      </w:r>
      <w:r>
        <w:rPr>
          <w:spacing w:val="1"/>
          <w:szCs w:val="22"/>
          <w:u w:val="single"/>
        </w:rPr>
        <w:t xml:space="preserve">ţi </w:t>
      </w:r>
      <w:r>
        <w:rPr>
          <w:szCs w:val="22"/>
          <w:u w:val="single"/>
        </w:rPr>
        <w:t>şi c</w:t>
      </w:r>
      <w:r>
        <w:rPr>
          <w:spacing w:val="-3"/>
          <w:szCs w:val="22"/>
          <w:u w:val="single"/>
        </w:rPr>
        <w:t>o</w:t>
      </w:r>
      <w:r>
        <w:rPr>
          <w:szCs w:val="22"/>
          <w:u w:val="single"/>
        </w:rPr>
        <w:t>p</w:t>
      </w:r>
      <w:r>
        <w:rPr>
          <w:spacing w:val="1"/>
          <w:szCs w:val="22"/>
          <w:u w:val="single"/>
        </w:rPr>
        <w:t>ii</w:t>
      </w:r>
    </w:p>
    <w:p w14:paraId="3DF0706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C14DA76"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B</w:t>
      </w:r>
      <w:r>
        <w:rPr>
          <w:szCs w:val="22"/>
        </w:rPr>
        <w:t>oa</w:t>
      </w:r>
      <w:r>
        <w:rPr>
          <w:spacing w:val="1"/>
          <w:szCs w:val="22"/>
        </w:rPr>
        <w:t>l</w:t>
      </w:r>
      <w:r>
        <w:rPr>
          <w:szCs w:val="22"/>
        </w:rPr>
        <w:t xml:space="preserve">a </w:t>
      </w:r>
      <w:r>
        <w:rPr>
          <w:spacing w:val="-4"/>
          <w:szCs w:val="22"/>
        </w:rPr>
        <w:t>C</w:t>
      </w:r>
      <w:r>
        <w:rPr>
          <w:szCs w:val="22"/>
        </w:rPr>
        <w:t xml:space="preserve">rohn </w:t>
      </w:r>
      <w:r>
        <w:rPr>
          <w:spacing w:val="-3"/>
          <w:szCs w:val="22"/>
        </w:rPr>
        <w:t>e</w:t>
      </w:r>
      <w:r>
        <w:rPr>
          <w:szCs w:val="22"/>
        </w:rPr>
        <w:t>s</w:t>
      </w:r>
      <w:r>
        <w:rPr>
          <w:spacing w:val="-2"/>
          <w:szCs w:val="22"/>
        </w:rPr>
        <w:t>t</w:t>
      </w:r>
      <w:r>
        <w:rPr>
          <w:szCs w:val="22"/>
        </w:rPr>
        <w:t xml:space="preserve">e o </w:t>
      </w:r>
      <w:r>
        <w:rPr>
          <w:spacing w:val="-3"/>
          <w:szCs w:val="22"/>
        </w:rPr>
        <w:t>a</w:t>
      </w:r>
      <w:r>
        <w:rPr>
          <w:szCs w:val="22"/>
        </w:rPr>
        <w:t>fe</w:t>
      </w:r>
      <w:r>
        <w:rPr>
          <w:spacing w:val="-3"/>
          <w:szCs w:val="22"/>
        </w:rPr>
        <w:t>c</w:t>
      </w:r>
      <w:r>
        <w:rPr>
          <w:spacing w:val="1"/>
          <w:szCs w:val="22"/>
        </w:rPr>
        <w:t>ţ</w:t>
      </w:r>
      <w:r>
        <w:rPr>
          <w:spacing w:val="-2"/>
          <w:szCs w:val="22"/>
        </w:rPr>
        <w:t>i</w:t>
      </w:r>
      <w:r>
        <w:rPr>
          <w:szCs w:val="22"/>
        </w:rPr>
        <w:t>u</w:t>
      </w:r>
      <w:r>
        <w:rPr>
          <w:spacing w:val="-3"/>
          <w:szCs w:val="22"/>
        </w:rPr>
        <w:t>n</w:t>
      </w:r>
      <w:r>
        <w:rPr>
          <w:szCs w:val="22"/>
        </w:rPr>
        <w:t xml:space="preserve">e </w:t>
      </w:r>
      <w:r>
        <w:rPr>
          <w:spacing w:val="1"/>
          <w:szCs w:val="22"/>
        </w:rPr>
        <w:t>i</w:t>
      </w:r>
      <w:r>
        <w:rPr>
          <w:spacing w:val="-3"/>
          <w:szCs w:val="22"/>
        </w:rPr>
        <w:t>n</w:t>
      </w:r>
      <w:r>
        <w:rPr>
          <w:szCs w:val="22"/>
        </w:rPr>
        <w:t>f</w:t>
      </w:r>
      <w:r>
        <w:rPr>
          <w:spacing w:val="1"/>
          <w:szCs w:val="22"/>
        </w:rPr>
        <w:t>l</w:t>
      </w:r>
      <w:r>
        <w:rPr>
          <w:szCs w:val="22"/>
        </w:rPr>
        <w:t>a</w:t>
      </w:r>
      <w:r>
        <w:rPr>
          <w:spacing w:val="-4"/>
          <w:szCs w:val="22"/>
        </w:rPr>
        <w:t>m</w:t>
      </w:r>
      <w:r>
        <w:rPr>
          <w:szCs w:val="22"/>
        </w:rPr>
        <w:t>a</w:t>
      </w:r>
      <w:r>
        <w:rPr>
          <w:spacing w:val="1"/>
          <w:szCs w:val="22"/>
        </w:rPr>
        <w:t>t</w:t>
      </w:r>
      <w:r>
        <w:rPr>
          <w:spacing w:val="-3"/>
          <w:szCs w:val="22"/>
        </w:rPr>
        <w:t>o</w:t>
      </w:r>
      <w:r>
        <w:rPr>
          <w:szCs w:val="22"/>
        </w:rPr>
        <w:t>r</w:t>
      </w:r>
      <w:r>
        <w:rPr>
          <w:spacing w:val="1"/>
          <w:szCs w:val="22"/>
        </w:rPr>
        <w:t>i</w:t>
      </w:r>
      <w:r>
        <w:rPr>
          <w:szCs w:val="22"/>
        </w:rPr>
        <w:t>e</w:t>
      </w:r>
      <w:r>
        <w:rPr>
          <w:spacing w:val="-2"/>
          <w:szCs w:val="22"/>
        </w:rPr>
        <w:t xml:space="preserve"> </w:t>
      </w:r>
      <w:r>
        <w:rPr>
          <w:szCs w:val="22"/>
        </w:rPr>
        <w:t xml:space="preserve">a </w:t>
      </w:r>
      <w:r>
        <w:rPr>
          <w:spacing w:val="-2"/>
          <w:szCs w:val="22"/>
        </w:rPr>
        <w:t>t</w:t>
      </w:r>
      <w:r>
        <w:rPr>
          <w:szCs w:val="22"/>
        </w:rPr>
        <w:t>r</w:t>
      </w:r>
      <w:r>
        <w:rPr>
          <w:spacing w:val="-3"/>
          <w:szCs w:val="22"/>
        </w:rPr>
        <w:t>a</w:t>
      </w:r>
      <w:r>
        <w:rPr>
          <w:szCs w:val="22"/>
        </w:rPr>
        <w:t>c</w:t>
      </w:r>
      <w:r>
        <w:rPr>
          <w:spacing w:val="1"/>
          <w:szCs w:val="22"/>
        </w:rPr>
        <w:t>t</w:t>
      </w:r>
      <w:r>
        <w:rPr>
          <w:spacing w:val="-3"/>
          <w:szCs w:val="22"/>
        </w:rPr>
        <w:t>u</w:t>
      </w:r>
      <w:r>
        <w:rPr>
          <w:spacing w:val="1"/>
          <w:szCs w:val="22"/>
        </w:rPr>
        <w:t>l</w:t>
      </w:r>
      <w:r>
        <w:rPr>
          <w:szCs w:val="22"/>
        </w:rPr>
        <w:t>ui</w:t>
      </w:r>
      <w:r>
        <w:rPr>
          <w:spacing w:val="-2"/>
          <w:szCs w:val="22"/>
        </w:rPr>
        <w:t xml:space="preserve"> </w:t>
      </w:r>
      <w:r>
        <w:rPr>
          <w:szCs w:val="22"/>
        </w:rPr>
        <w:t>d</w:t>
      </w:r>
      <w:r>
        <w:rPr>
          <w:spacing w:val="-2"/>
          <w:szCs w:val="22"/>
        </w:rPr>
        <w:t>i</w:t>
      </w:r>
      <w:r>
        <w:rPr>
          <w:spacing w:val="-3"/>
          <w:szCs w:val="22"/>
        </w:rPr>
        <w:t>g</w:t>
      </w:r>
      <w:r>
        <w:rPr>
          <w:szCs w:val="22"/>
        </w:rPr>
        <w:t>es</w:t>
      </w:r>
      <w:r>
        <w:rPr>
          <w:spacing w:val="1"/>
          <w:szCs w:val="22"/>
        </w:rPr>
        <w:t>ti</w:t>
      </w:r>
      <w:r>
        <w:rPr>
          <w:spacing w:val="-3"/>
          <w:szCs w:val="22"/>
        </w:rPr>
        <w:t>v</w:t>
      </w:r>
      <w:r>
        <w:rPr>
          <w:szCs w:val="22"/>
        </w:rPr>
        <w:t>.</w:t>
      </w:r>
    </w:p>
    <w:p w14:paraId="570DBFC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583FAA2"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zCs w:val="22"/>
        </w:rPr>
        <w:t>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b</w:t>
      </w:r>
      <w:r>
        <w:rPr>
          <w:spacing w:val="-3"/>
          <w:szCs w:val="22"/>
        </w:rPr>
        <w:t>o</w:t>
      </w:r>
      <w:r>
        <w:rPr>
          <w:spacing w:val="1"/>
          <w:szCs w:val="22"/>
        </w:rPr>
        <w:t>l</w:t>
      </w:r>
      <w:r>
        <w:rPr>
          <w:spacing w:val="-2"/>
          <w:szCs w:val="22"/>
        </w:rPr>
        <w:t>i</w:t>
      </w:r>
      <w:r>
        <w:rPr>
          <w:szCs w:val="22"/>
        </w:rPr>
        <w:t>i</w:t>
      </w:r>
      <w:r>
        <w:rPr>
          <w:spacing w:val="1"/>
          <w:szCs w:val="22"/>
        </w:rPr>
        <w:t xml:space="preserve"> </w:t>
      </w:r>
      <w:r>
        <w:rPr>
          <w:spacing w:val="-1"/>
          <w:szCs w:val="22"/>
        </w:rPr>
        <w:t>C</w:t>
      </w:r>
      <w:r>
        <w:rPr>
          <w:szCs w:val="22"/>
        </w:rPr>
        <w:t>ro</w:t>
      </w:r>
      <w:r>
        <w:rPr>
          <w:spacing w:val="-3"/>
          <w:szCs w:val="22"/>
        </w:rPr>
        <w:t>h</w:t>
      </w:r>
      <w:r>
        <w:rPr>
          <w:szCs w:val="22"/>
        </w:rPr>
        <w:t xml:space="preserve">n </w:t>
      </w:r>
      <w:r>
        <w:rPr>
          <w:spacing w:val="1"/>
          <w:szCs w:val="22"/>
        </w:rPr>
        <w:t>l</w:t>
      </w:r>
      <w:r>
        <w:rPr>
          <w:szCs w:val="22"/>
        </w:rPr>
        <w:t>a</w:t>
      </w:r>
      <w:r>
        <w:rPr>
          <w:spacing w:val="-5"/>
          <w:szCs w:val="22"/>
        </w:rPr>
        <w:t xml:space="preserve"> </w:t>
      </w:r>
      <w:r>
        <w:rPr>
          <w:szCs w:val="22"/>
        </w:rPr>
        <w:t>adu</w:t>
      </w:r>
      <w:r>
        <w:rPr>
          <w:spacing w:val="-2"/>
          <w:szCs w:val="22"/>
        </w:rPr>
        <w:t>l</w:t>
      </w:r>
      <w:r>
        <w:rPr>
          <w:spacing w:val="1"/>
          <w:szCs w:val="22"/>
        </w:rPr>
        <w:t>ţ</w:t>
      </w:r>
      <w:r>
        <w:rPr>
          <w:szCs w:val="22"/>
        </w:rPr>
        <w:t>i</w:t>
      </w:r>
      <w:r>
        <w:rPr>
          <w:spacing w:val="-2"/>
          <w:szCs w:val="22"/>
        </w:rPr>
        <w:t xml:space="preserve"> </w:t>
      </w:r>
      <w:r>
        <w:rPr>
          <w:szCs w:val="22"/>
        </w:rPr>
        <w:t>şi</w:t>
      </w:r>
      <w:r>
        <w:rPr>
          <w:spacing w:val="-2"/>
          <w:szCs w:val="22"/>
        </w:rPr>
        <w:t xml:space="preserve"> </w:t>
      </w:r>
      <w:r>
        <w:rPr>
          <w:szCs w:val="22"/>
        </w:rPr>
        <w:t>cop</w:t>
      </w:r>
      <w:r>
        <w:rPr>
          <w:spacing w:val="-2"/>
          <w:szCs w:val="22"/>
        </w:rPr>
        <w:t>i</w:t>
      </w:r>
      <w:r>
        <w:rPr>
          <w:szCs w:val="22"/>
        </w:rPr>
        <w:t>i</w:t>
      </w:r>
      <w:r>
        <w:rPr>
          <w:spacing w:val="1"/>
          <w:szCs w:val="22"/>
        </w:rPr>
        <w:t xml:space="preserve"> </w:t>
      </w:r>
      <w:r>
        <w:rPr>
          <w:szCs w:val="22"/>
        </w:rPr>
        <w:t>cu</w:t>
      </w:r>
      <w:r>
        <w:rPr>
          <w:spacing w:val="-3"/>
          <w:szCs w:val="22"/>
        </w:rPr>
        <w:t xml:space="preserve"> v</w:t>
      </w:r>
      <w:r>
        <w:rPr>
          <w:szCs w:val="22"/>
        </w:rPr>
        <w:t>ârs</w:t>
      </w:r>
      <w:r>
        <w:rPr>
          <w:spacing w:val="-2"/>
          <w:szCs w:val="22"/>
        </w:rPr>
        <w:t>t</w:t>
      </w:r>
      <w:r>
        <w:rPr>
          <w:szCs w:val="22"/>
        </w:rPr>
        <w:t xml:space="preserve">a </w:t>
      </w:r>
      <w:r>
        <w:rPr>
          <w:spacing w:val="1"/>
          <w:szCs w:val="22"/>
        </w:rPr>
        <w:t>î</w:t>
      </w:r>
      <w:r>
        <w:rPr>
          <w:spacing w:val="-3"/>
          <w:szCs w:val="22"/>
        </w:rPr>
        <w:t>n</w:t>
      </w:r>
      <w:r>
        <w:rPr>
          <w:spacing w:val="1"/>
          <w:szCs w:val="22"/>
        </w:rPr>
        <w:t>t</w:t>
      </w:r>
      <w:r>
        <w:rPr>
          <w:spacing w:val="-2"/>
          <w:szCs w:val="22"/>
        </w:rPr>
        <w:t>r</w:t>
      </w:r>
      <w:r>
        <w:rPr>
          <w:szCs w:val="22"/>
        </w:rPr>
        <w:t>e 6 şi</w:t>
      </w:r>
      <w:r>
        <w:rPr>
          <w:spacing w:val="-2"/>
          <w:szCs w:val="22"/>
        </w:rPr>
        <w:t xml:space="preserve"> </w:t>
      </w:r>
      <w:r>
        <w:rPr>
          <w:szCs w:val="22"/>
        </w:rPr>
        <w:t>17 a</w:t>
      </w:r>
      <w:r>
        <w:rPr>
          <w:spacing w:val="-3"/>
          <w:szCs w:val="22"/>
        </w:rPr>
        <w:t>n</w:t>
      </w:r>
      <w:r>
        <w:rPr>
          <w:spacing w:val="1"/>
          <w:szCs w:val="22"/>
        </w:rPr>
        <w:t>i</w:t>
      </w:r>
      <w:r>
        <w:rPr>
          <w:szCs w:val="22"/>
        </w:rPr>
        <w:t xml:space="preserve">. </w:t>
      </w:r>
      <w:r>
        <w:rPr>
          <w:spacing w:val="-1"/>
          <w:szCs w:val="22"/>
        </w:rPr>
        <w:t>D</w:t>
      </w:r>
      <w:r>
        <w:rPr>
          <w:spacing w:val="-3"/>
          <w:szCs w:val="22"/>
        </w:rPr>
        <w:t>a</w:t>
      </w:r>
      <w:r>
        <w:rPr>
          <w:szCs w:val="22"/>
        </w:rPr>
        <w:t>că a</w:t>
      </w:r>
      <w:r>
        <w:rPr>
          <w:spacing w:val="-3"/>
          <w:szCs w:val="22"/>
        </w:rPr>
        <w:t>v</w:t>
      </w:r>
      <w:r>
        <w:rPr>
          <w:szCs w:val="22"/>
        </w:rPr>
        <w:t>e</w:t>
      </w:r>
      <w:r>
        <w:rPr>
          <w:spacing w:val="1"/>
          <w:szCs w:val="22"/>
        </w:rPr>
        <w:t>ţ</w:t>
      </w:r>
      <w:r>
        <w:rPr>
          <w:szCs w:val="22"/>
        </w:rPr>
        <w:t>i</w:t>
      </w:r>
      <w:r>
        <w:rPr>
          <w:spacing w:val="1"/>
          <w:szCs w:val="22"/>
        </w:rPr>
        <w:t xml:space="preserve"> </w:t>
      </w:r>
      <w:r>
        <w:rPr>
          <w:szCs w:val="22"/>
        </w:rPr>
        <w:t>b</w:t>
      </w:r>
      <w:r>
        <w:rPr>
          <w:spacing w:val="-3"/>
          <w:szCs w:val="22"/>
        </w:rPr>
        <w:t>o</w:t>
      </w:r>
      <w:r>
        <w:rPr>
          <w:szCs w:val="22"/>
        </w:rPr>
        <w:t>a</w:t>
      </w:r>
      <w:r>
        <w:rPr>
          <w:spacing w:val="1"/>
          <w:szCs w:val="22"/>
        </w:rPr>
        <w:t>l</w:t>
      </w:r>
      <w:r>
        <w:rPr>
          <w:szCs w:val="22"/>
        </w:rPr>
        <w:t xml:space="preserve">a </w:t>
      </w:r>
      <w:r>
        <w:rPr>
          <w:spacing w:val="-4"/>
          <w:szCs w:val="22"/>
        </w:rPr>
        <w:t>C</w:t>
      </w:r>
      <w:r>
        <w:rPr>
          <w:szCs w:val="22"/>
        </w:rPr>
        <w:t xml:space="preserve">rohn, </w:t>
      </w:r>
      <w:r>
        <w:rPr>
          <w:spacing w:val="-3"/>
          <w:szCs w:val="22"/>
        </w:rPr>
        <w:t>v</w:t>
      </w:r>
      <w:r>
        <w:rPr>
          <w:szCs w:val="22"/>
        </w:rPr>
        <w:t>i</w:t>
      </w:r>
      <w:r>
        <w:rPr>
          <w:spacing w:val="-2"/>
          <w:szCs w:val="22"/>
        </w:rPr>
        <w:t xml:space="preserve"> </w:t>
      </w:r>
      <w:r>
        <w:rPr>
          <w:szCs w:val="22"/>
        </w:rPr>
        <w:t xml:space="preserve">se </w:t>
      </w:r>
      <w:r>
        <w:rPr>
          <w:spacing w:val="-3"/>
          <w:szCs w:val="22"/>
        </w:rPr>
        <w:t>v</w:t>
      </w:r>
      <w:r>
        <w:rPr>
          <w:szCs w:val="22"/>
        </w:rPr>
        <w:t>or</w:t>
      </w:r>
      <w:r>
        <w:rPr>
          <w:spacing w:val="-2"/>
          <w:szCs w:val="22"/>
        </w:rPr>
        <w:t xml:space="preserve"> </w:t>
      </w:r>
      <w:r>
        <w:rPr>
          <w:szCs w:val="22"/>
        </w:rPr>
        <w:t>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ra</w:t>
      </w:r>
      <w:r>
        <w:rPr>
          <w:spacing w:val="-2"/>
          <w:szCs w:val="22"/>
        </w:rPr>
        <w:t xml:space="preserve"> </w:t>
      </w:r>
      <w:r>
        <w:rPr>
          <w:spacing w:val="1"/>
          <w:szCs w:val="22"/>
        </w:rPr>
        <w:t>i</w:t>
      </w:r>
      <w:r>
        <w:rPr>
          <w:szCs w:val="22"/>
        </w:rPr>
        <w:t>n</w:t>
      </w:r>
      <w:r>
        <w:rPr>
          <w:spacing w:val="-2"/>
          <w:szCs w:val="22"/>
        </w:rPr>
        <w:t>i</w:t>
      </w:r>
      <w:r>
        <w:rPr>
          <w:spacing w:val="1"/>
          <w:szCs w:val="22"/>
        </w:rPr>
        <w:t>ţ</w:t>
      </w:r>
      <w:r>
        <w:rPr>
          <w:spacing w:val="-2"/>
          <w:szCs w:val="22"/>
        </w:rPr>
        <w:t>i</w:t>
      </w:r>
      <w:r>
        <w:rPr>
          <w:szCs w:val="22"/>
        </w:rPr>
        <w:t>al</w:t>
      </w:r>
      <w:r>
        <w:rPr>
          <w:spacing w:val="-2"/>
          <w:szCs w:val="22"/>
        </w:rPr>
        <w:t xml:space="preserve"> </w:t>
      </w:r>
      <w:r>
        <w:rPr>
          <w:szCs w:val="22"/>
        </w:rPr>
        <w:t>a</w:t>
      </w:r>
      <w:r>
        <w:rPr>
          <w:spacing w:val="-2"/>
          <w:szCs w:val="22"/>
        </w:rPr>
        <w:t>l</w:t>
      </w:r>
      <w:r>
        <w:rPr>
          <w:spacing w:val="1"/>
          <w:szCs w:val="22"/>
        </w:rPr>
        <w:t>t</w:t>
      </w:r>
      <w:r>
        <w:rPr>
          <w:szCs w:val="22"/>
        </w:rPr>
        <w:t xml:space="preserve">e </w:t>
      </w:r>
      <w:r>
        <w:rPr>
          <w:spacing w:val="-4"/>
          <w:szCs w:val="22"/>
        </w:rPr>
        <w:t>m</w:t>
      </w:r>
      <w:r>
        <w:rPr>
          <w:szCs w:val="22"/>
        </w:rPr>
        <w:t>ed</w:t>
      </w:r>
      <w:r>
        <w:rPr>
          <w:spacing w:val="-2"/>
          <w:szCs w:val="22"/>
        </w:rPr>
        <w:t>i</w:t>
      </w:r>
      <w:r>
        <w:rPr>
          <w:szCs w:val="22"/>
        </w:rPr>
        <w:t>ca</w:t>
      </w:r>
      <w:r>
        <w:rPr>
          <w:spacing w:val="-4"/>
          <w:szCs w:val="22"/>
        </w:rPr>
        <w:t>m</w:t>
      </w:r>
      <w:r>
        <w:rPr>
          <w:szCs w:val="22"/>
        </w:rPr>
        <w:t>en</w:t>
      </w:r>
      <w:r>
        <w:rPr>
          <w:spacing w:val="1"/>
          <w:szCs w:val="22"/>
        </w:rPr>
        <w:t>t</w:t>
      </w:r>
      <w:r>
        <w:rPr>
          <w:szCs w:val="22"/>
        </w:rPr>
        <w:t xml:space="preserve">e. </w:t>
      </w:r>
      <w:r>
        <w:rPr>
          <w:spacing w:val="-1"/>
          <w:szCs w:val="22"/>
        </w:rPr>
        <w:t>D</w:t>
      </w:r>
      <w:r>
        <w:rPr>
          <w:szCs w:val="22"/>
        </w:rPr>
        <w:t>a</w:t>
      </w:r>
      <w:r>
        <w:rPr>
          <w:spacing w:val="-3"/>
          <w:szCs w:val="22"/>
        </w:rPr>
        <w:t>c</w:t>
      </w:r>
      <w:r>
        <w:rPr>
          <w:szCs w:val="22"/>
        </w:rPr>
        <w:t xml:space="preserve">ă nu </w:t>
      </w:r>
      <w:r>
        <w:rPr>
          <w:spacing w:val="-2"/>
          <w:szCs w:val="22"/>
        </w:rPr>
        <w:t>r</w:t>
      </w:r>
      <w:r>
        <w:rPr>
          <w:szCs w:val="22"/>
        </w:rPr>
        <w:t>ăsp</w:t>
      </w:r>
      <w:r>
        <w:rPr>
          <w:spacing w:val="-3"/>
          <w:szCs w:val="22"/>
        </w:rPr>
        <w:t>u</w:t>
      </w:r>
      <w:r>
        <w:rPr>
          <w:szCs w:val="22"/>
        </w:rPr>
        <w:t>nd</w:t>
      </w:r>
      <w:r>
        <w:rPr>
          <w:spacing w:val="-3"/>
          <w:szCs w:val="22"/>
        </w:rPr>
        <w:t>e</w:t>
      </w:r>
      <w:r>
        <w:rPr>
          <w:spacing w:val="1"/>
          <w:szCs w:val="22"/>
        </w:rPr>
        <w:t>ţ</w:t>
      </w:r>
      <w:r>
        <w:rPr>
          <w:szCs w:val="22"/>
        </w:rPr>
        <w:t>i</w:t>
      </w:r>
      <w:r>
        <w:rPr>
          <w:spacing w:val="1"/>
          <w:szCs w:val="22"/>
        </w:rPr>
        <w:t xml:space="preserve"> </w:t>
      </w:r>
      <w:r>
        <w:rPr>
          <w:spacing w:val="-3"/>
          <w:szCs w:val="22"/>
        </w:rPr>
        <w:t>b</w:t>
      </w:r>
      <w:r>
        <w:rPr>
          <w:spacing w:val="1"/>
          <w:szCs w:val="22"/>
        </w:rPr>
        <w:t>i</w:t>
      </w:r>
      <w:r>
        <w:rPr>
          <w:szCs w:val="22"/>
        </w:rPr>
        <w:t>ne</w:t>
      </w:r>
      <w:r>
        <w:rPr>
          <w:spacing w:val="-2"/>
          <w:szCs w:val="22"/>
        </w:rPr>
        <w:t xml:space="preserve"> </w:t>
      </w:r>
      <w:r>
        <w:rPr>
          <w:spacing w:val="1"/>
          <w:szCs w:val="22"/>
        </w:rPr>
        <w:t>l</w:t>
      </w:r>
      <w:r>
        <w:rPr>
          <w:szCs w:val="22"/>
        </w:rPr>
        <w:t>a</w:t>
      </w:r>
      <w:r>
        <w:rPr>
          <w:spacing w:val="-2"/>
          <w:szCs w:val="22"/>
        </w:rPr>
        <w:t xml:space="preserve"> </w:t>
      </w:r>
      <w:r>
        <w:rPr>
          <w:szCs w:val="22"/>
        </w:rPr>
        <w:t>ac</w:t>
      </w:r>
      <w:r>
        <w:rPr>
          <w:spacing w:val="-3"/>
          <w:szCs w:val="22"/>
        </w:rPr>
        <w:t>e</w:t>
      </w:r>
      <w:r>
        <w:rPr>
          <w:szCs w:val="22"/>
        </w:rPr>
        <w:t>s</w:t>
      </w:r>
      <w:r>
        <w:rPr>
          <w:spacing w:val="1"/>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 xml:space="preserve">e, </w:t>
      </w:r>
      <w:r>
        <w:rPr>
          <w:spacing w:val="-3"/>
          <w:szCs w:val="22"/>
        </w:rPr>
        <w:t>v</w:t>
      </w:r>
      <w:r>
        <w:rPr>
          <w:szCs w:val="22"/>
        </w:rPr>
        <w:t>i</w:t>
      </w:r>
      <w:r>
        <w:rPr>
          <w:spacing w:val="1"/>
          <w:szCs w:val="22"/>
        </w:rPr>
        <w:t xml:space="preserve"> </w:t>
      </w:r>
      <w:r>
        <w:rPr>
          <w:szCs w:val="22"/>
        </w:rPr>
        <w:t xml:space="preserve">se </w:t>
      </w:r>
      <w:r>
        <w:rPr>
          <w:spacing w:val="-3"/>
          <w:szCs w:val="22"/>
        </w:rPr>
        <w:t>v</w:t>
      </w:r>
      <w:r>
        <w:rPr>
          <w:szCs w:val="22"/>
        </w:rPr>
        <w:t>a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 xml:space="preserve">ra </w:t>
      </w:r>
      <w:r>
        <w:rPr>
          <w:spacing w:val="-1"/>
          <w:szCs w:val="22"/>
          <w:lang w:eastAsia="en-US" w:bidi="ar-SA"/>
        </w:rPr>
        <w:t>AMGEVITA</w:t>
      </w:r>
      <w:r>
        <w:rPr>
          <w:spacing w:val="-2"/>
          <w:szCs w:val="22"/>
        </w:rPr>
        <w:t xml:space="preserve"> </w:t>
      </w:r>
      <w:r>
        <w:rPr>
          <w:szCs w:val="22"/>
        </w:rPr>
        <w:t>pe</w:t>
      </w:r>
      <w:r>
        <w:rPr>
          <w:spacing w:val="-3"/>
          <w:szCs w:val="22"/>
        </w:rPr>
        <w:t>n</w:t>
      </w:r>
      <w:r>
        <w:rPr>
          <w:spacing w:val="1"/>
          <w:szCs w:val="22"/>
        </w:rPr>
        <w:t>t</w:t>
      </w:r>
      <w:r>
        <w:rPr>
          <w:szCs w:val="22"/>
        </w:rPr>
        <w:t>ru</w:t>
      </w:r>
      <w:r>
        <w:rPr>
          <w:spacing w:val="-4"/>
          <w:szCs w:val="22"/>
        </w:rPr>
        <w:t xml:space="preserve"> </w:t>
      </w:r>
      <w:r>
        <w:rPr>
          <w:szCs w:val="22"/>
        </w:rPr>
        <w:t xml:space="preserve">a </w:t>
      </w:r>
      <w:r>
        <w:rPr>
          <w:spacing w:val="-2"/>
          <w:szCs w:val="22"/>
        </w:rPr>
        <w:t>r</w:t>
      </w:r>
      <w:r>
        <w:rPr>
          <w:szCs w:val="22"/>
        </w:rPr>
        <w:t>ed</w:t>
      </w:r>
      <w:r>
        <w:rPr>
          <w:spacing w:val="-3"/>
          <w:szCs w:val="22"/>
        </w:rPr>
        <w:t>u</w:t>
      </w:r>
      <w:r>
        <w:rPr>
          <w:szCs w:val="22"/>
        </w:rPr>
        <w:t>ce se</w:t>
      </w:r>
      <w:r>
        <w:rPr>
          <w:spacing w:val="-4"/>
          <w:szCs w:val="22"/>
        </w:rPr>
        <w:t>m</w:t>
      </w:r>
      <w:r>
        <w:rPr>
          <w:szCs w:val="22"/>
        </w:rPr>
        <w:t>ne</w:t>
      </w:r>
      <w:r>
        <w:rPr>
          <w:spacing w:val="1"/>
          <w:szCs w:val="22"/>
        </w:rPr>
        <w:t>l</w:t>
      </w:r>
      <w:r>
        <w:rPr>
          <w:szCs w:val="22"/>
        </w:rPr>
        <w:t>e</w:t>
      </w:r>
      <w:r>
        <w:rPr>
          <w:spacing w:val="-2"/>
          <w:szCs w:val="22"/>
        </w:rPr>
        <w:t xml:space="preserve"> </w:t>
      </w:r>
      <w:r>
        <w:rPr>
          <w:szCs w:val="22"/>
        </w:rPr>
        <w:t>şi</w:t>
      </w:r>
      <w:r>
        <w:rPr>
          <w:spacing w:val="-2"/>
          <w:szCs w:val="22"/>
        </w:rPr>
        <w:t xml:space="preserve"> </w:t>
      </w:r>
      <w:r>
        <w:rPr>
          <w:szCs w:val="22"/>
        </w:rPr>
        <w:t>s</w:t>
      </w:r>
      <w:r>
        <w:rPr>
          <w:spacing w:val="1"/>
          <w:szCs w:val="22"/>
        </w:rPr>
        <w:t>i</w:t>
      </w:r>
      <w:r>
        <w:rPr>
          <w:spacing w:val="-4"/>
          <w:szCs w:val="22"/>
        </w:rPr>
        <w:t>m</w:t>
      </w:r>
      <w:r>
        <w:rPr>
          <w:spacing w:val="-1"/>
          <w:szCs w:val="22"/>
        </w:rPr>
        <w:t>p</w:t>
      </w:r>
      <w:r>
        <w:rPr>
          <w:spacing w:val="1"/>
          <w:szCs w:val="22"/>
        </w:rPr>
        <w:t>t</w:t>
      </w:r>
      <w:r>
        <w:rPr>
          <w:szCs w:val="22"/>
        </w:rPr>
        <w:t>o</w:t>
      </w:r>
      <w:r>
        <w:rPr>
          <w:spacing w:val="-4"/>
          <w:szCs w:val="22"/>
        </w:rPr>
        <w:t>m</w:t>
      </w:r>
      <w:r>
        <w:rPr>
          <w:szCs w:val="22"/>
        </w:rPr>
        <w:t xml:space="preserve">ele </w:t>
      </w:r>
      <w:r>
        <w:rPr>
          <w:spacing w:val="-3"/>
          <w:szCs w:val="22"/>
        </w:rPr>
        <w:t>b</w:t>
      </w:r>
      <w:r>
        <w:rPr>
          <w:szCs w:val="22"/>
        </w:rPr>
        <w:t>o</w:t>
      </w:r>
      <w:r>
        <w:rPr>
          <w:spacing w:val="1"/>
          <w:szCs w:val="22"/>
        </w:rPr>
        <w:t>l</w:t>
      </w:r>
      <w:r>
        <w:rPr>
          <w:spacing w:val="-2"/>
          <w:szCs w:val="22"/>
        </w:rPr>
        <w:t>i</w:t>
      </w:r>
      <w:r>
        <w:rPr>
          <w:szCs w:val="22"/>
        </w:rPr>
        <w:t>i</w:t>
      </w:r>
      <w:r>
        <w:rPr>
          <w:spacing w:val="1"/>
          <w:szCs w:val="22"/>
        </w:rPr>
        <w:t xml:space="preserve"> </w:t>
      </w:r>
      <w:r>
        <w:rPr>
          <w:spacing w:val="-1"/>
          <w:szCs w:val="22"/>
        </w:rPr>
        <w:t>C</w:t>
      </w:r>
      <w:r>
        <w:rPr>
          <w:szCs w:val="22"/>
        </w:rPr>
        <w:t>ro</w:t>
      </w:r>
      <w:r>
        <w:rPr>
          <w:spacing w:val="-3"/>
          <w:szCs w:val="22"/>
        </w:rPr>
        <w:t>h</w:t>
      </w:r>
      <w:r>
        <w:rPr>
          <w:szCs w:val="22"/>
        </w:rPr>
        <w:t>n.</w:t>
      </w:r>
    </w:p>
    <w:p w14:paraId="7332E68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2C396ED" w14:textId="77777777" w:rsidR="00C04CAD" w:rsidRDefault="00060E34">
      <w:pPr>
        <w:tabs>
          <w:tab w:val="clear" w:pos="567"/>
        </w:tabs>
        <w:kinsoku w:val="0"/>
        <w:overflowPunct w:val="0"/>
        <w:autoSpaceDE w:val="0"/>
        <w:autoSpaceDN w:val="0"/>
        <w:adjustRightInd w:val="0"/>
        <w:spacing w:line="240" w:lineRule="auto"/>
        <w:rPr>
          <w:szCs w:val="22"/>
          <w:u w:val="single"/>
        </w:rPr>
      </w:pPr>
      <w:r>
        <w:rPr>
          <w:spacing w:val="-1"/>
          <w:szCs w:val="22"/>
          <w:u w:val="single"/>
        </w:rPr>
        <w:t>C</w:t>
      </w:r>
      <w:r>
        <w:rPr>
          <w:szCs w:val="22"/>
          <w:u w:val="single"/>
        </w:rPr>
        <w:t>o</w:t>
      </w:r>
      <w:r>
        <w:rPr>
          <w:spacing w:val="1"/>
          <w:szCs w:val="22"/>
          <w:u w:val="single"/>
        </w:rPr>
        <w:t>l</w:t>
      </w:r>
      <w:r>
        <w:rPr>
          <w:spacing w:val="-2"/>
          <w:szCs w:val="22"/>
          <w:u w:val="single"/>
        </w:rPr>
        <w:t>i</w:t>
      </w:r>
      <w:r>
        <w:rPr>
          <w:szCs w:val="22"/>
          <w:u w:val="single"/>
        </w:rPr>
        <w:t xml:space="preserve">tă </w:t>
      </w:r>
      <w:r>
        <w:rPr>
          <w:spacing w:val="-3"/>
          <w:szCs w:val="22"/>
          <w:u w:val="single"/>
        </w:rPr>
        <w:t>u</w:t>
      </w:r>
      <w:r>
        <w:rPr>
          <w:spacing w:val="1"/>
          <w:szCs w:val="22"/>
          <w:u w:val="single"/>
        </w:rPr>
        <w:t>l</w:t>
      </w:r>
      <w:r>
        <w:rPr>
          <w:szCs w:val="22"/>
          <w:u w:val="single"/>
        </w:rPr>
        <w:t>c</w:t>
      </w:r>
      <w:r>
        <w:rPr>
          <w:spacing w:val="-3"/>
          <w:szCs w:val="22"/>
          <w:u w:val="single"/>
        </w:rPr>
        <w:t>e</w:t>
      </w:r>
      <w:r>
        <w:rPr>
          <w:szCs w:val="22"/>
          <w:u w:val="single"/>
        </w:rPr>
        <w:t>r</w:t>
      </w:r>
      <w:r>
        <w:rPr>
          <w:spacing w:val="-3"/>
          <w:szCs w:val="22"/>
          <w:u w:val="single"/>
        </w:rPr>
        <w:t>a</w:t>
      </w:r>
      <w:r>
        <w:rPr>
          <w:spacing w:val="1"/>
          <w:szCs w:val="22"/>
          <w:u w:val="single"/>
        </w:rPr>
        <w:t>ti</w:t>
      </w:r>
      <w:r>
        <w:rPr>
          <w:spacing w:val="-3"/>
          <w:szCs w:val="22"/>
          <w:u w:val="single"/>
        </w:rPr>
        <w:t>v</w:t>
      </w:r>
      <w:r>
        <w:rPr>
          <w:szCs w:val="22"/>
          <w:u w:val="single"/>
        </w:rPr>
        <w:t>ă</w:t>
      </w:r>
      <w:r>
        <w:rPr>
          <w:spacing w:val="-1"/>
          <w:szCs w:val="22"/>
          <w:u w:val="single"/>
          <w:lang w:eastAsia="en-US" w:bidi="ar-SA"/>
        </w:rPr>
        <w:t xml:space="preserve"> la adulți și copii</w:t>
      </w:r>
    </w:p>
    <w:p w14:paraId="2481C49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15E8037"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C</w:t>
      </w:r>
      <w:r>
        <w:rPr>
          <w:szCs w:val="22"/>
        </w:rPr>
        <w:t>o</w:t>
      </w:r>
      <w:r>
        <w:rPr>
          <w:spacing w:val="1"/>
          <w:szCs w:val="22"/>
        </w:rPr>
        <w:t>l</w:t>
      </w:r>
      <w:r>
        <w:rPr>
          <w:spacing w:val="-2"/>
          <w:szCs w:val="22"/>
        </w:rPr>
        <w:t>i</w:t>
      </w:r>
      <w:r>
        <w:rPr>
          <w:spacing w:val="1"/>
          <w:szCs w:val="22"/>
        </w:rPr>
        <w:t>t</w:t>
      </w:r>
      <w:r>
        <w:rPr>
          <w:szCs w:val="22"/>
        </w:rPr>
        <w:t xml:space="preserve">a </w:t>
      </w:r>
      <w:r>
        <w:rPr>
          <w:spacing w:val="-3"/>
          <w:szCs w:val="22"/>
        </w:rPr>
        <w:t>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ă e</w:t>
      </w:r>
      <w:r>
        <w:rPr>
          <w:spacing w:val="-2"/>
          <w:szCs w:val="22"/>
        </w:rPr>
        <w:t>s</w:t>
      </w:r>
      <w:r>
        <w:rPr>
          <w:spacing w:val="1"/>
          <w:szCs w:val="22"/>
        </w:rPr>
        <w:t>t</w:t>
      </w:r>
      <w:r>
        <w:rPr>
          <w:szCs w:val="22"/>
        </w:rPr>
        <w:t>e o</w:t>
      </w:r>
      <w:r>
        <w:rPr>
          <w:spacing w:val="-3"/>
          <w:szCs w:val="22"/>
        </w:rPr>
        <w:t xml:space="preserve"> </w:t>
      </w:r>
      <w:r>
        <w:rPr>
          <w:szCs w:val="22"/>
        </w:rPr>
        <w:t>a</w:t>
      </w:r>
      <w:r>
        <w:rPr>
          <w:spacing w:val="-2"/>
          <w:szCs w:val="22"/>
        </w:rPr>
        <w:t>f</w:t>
      </w:r>
      <w:r>
        <w:rPr>
          <w:szCs w:val="22"/>
        </w:rPr>
        <w:t>e</w:t>
      </w:r>
      <w:r>
        <w:rPr>
          <w:spacing w:val="-3"/>
          <w:szCs w:val="22"/>
        </w:rPr>
        <w:t>c</w:t>
      </w:r>
      <w:r>
        <w:rPr>
          <w:spacing w:val="1"/>
          <w:szCs w:val="22"/>
        </w:rPr>
        <w:t>ţi</w:t>
      </w:r>
      <w:r>
        <w:rPr>
          <w:szCs w:val="22"/>
        </w:rPr>
        <w:t>u</w:t>
      </w:r>
      <w:r>
        <w:rPr>
          <w:spacing w:val="-3"/>
          <w:szCs w:val="22"/>
        </w:rPr>
        <w:t>n</w:t>
      </w:r>
      <w:r>
        <w:rPr>
          <w:szCs w:val="22"/>
        </w:rPr>
        <w:t xml:space="preserve">e </w:t>
      </w:r>
      <w:r>
        <w:rPr>
          <w:spacing w:val="1"/>
          <w:szCs w:val="22"/>
        </w:rPr>
        <w:t>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or</w:t>
      </w:r>
      <w:r>
        <w:rPr>
          <w:spacing w:val="-2"/>
          <w:szCs w:val="22"/>
        </w:rPr>
        <w:t>i</w:t>
      </w:r>
      <w:r>
        <w:rPr>
          <w:szCs w:val="22"/>
        </w:rPr>
        <w:t>e a</w:t>
      </w:r>
      <w:r>
        <w:rPr>
          <w:spacing w:val="-2"/>
          <w:szCs w:val="22"/>
        </w:rPr>
        <w:t xml:space="preserve"> </w:t>
      </w:r>
      <w:r>
        <w:rPr>
          <w:spacing w:val="1"/>
          <w:szCs w:val="22"/>
        </w:rPr>
        <w:t>i</w:t>
      </w:r>
      <w:r>
        <w:rPr>
          <w:szCs w:val="22"/>
        </w:rPr>
        <w:t>n</w:t>
      </w:r>
      <w:r>
        <w:rPr>
          <w:spacing w:val="-2"/>
          <w:szCs w:val="22"/>
        </w:rPr>
        <w:t>t</w:t>
      </w:r>
      <w:r>
        <w:rPr>
          <w:szCs w:val="22"/>
        </w:rPr>
        <w:t>e</w:t>
      </w:r>
      <w:r>
        <w:rPr>
          <w:spacing w:val="-2"/>
          <w:szCs w:val="22"/>
        </w:rPr>
        <w:t>s</w:t>
      </w:r>
      <w:r>
        <w:rPr>
          <w:spacing w:val="1"/>
          <w:szCs w:val="22"/>
        </w:rPr>
        <w:t>ti</w:t>
      </w:r>
      <w:r>
        <w:rPr>
          <w:spacing w:val="-3"/>
          <w:szCs w:val="22"/>
        </w:rPr>
        <w:t>n</w:t>
      </w:r>
      <w:r>
        <w:rPr>
          <w:szCs w:val="22"/>
        </w:rPr>
        <w:t>u</w:t>
      </w:r>
      <w:r>
        <w:rPr>
          <w:spacing w:val="1"/>
          <w:szCs w:val="22"/>
        </w:rPr>
        <w:t>l</w:t>
      </w:r>
      <w:r>
        <w:rPr>
          <w:szCs w:val="22"/>
        </w:rPr>
        <w:t>u</w:t>
      </w:r>
      <w:r>
        <w:rPr>
          <w:spacing w:val="1"/>
          <w:szCs w:val="22"/>
        </w:rPr>
        <w:t>i gros.</w:t>
      </w:r>
    </w:p>
    <w:p w14:paraId="4169756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5CAC053"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se u</w:t>
      </w:r>
      <w:r>
        <w:rPr>
          <w:spacing w:val="-2"/>
          <w:szCs w:val="22"/>
        </w:rPr>
        <w:t>ti</w:t>
      </w:r>
      <w:r>
        <w:rPr>
          <w:spacing w:val="1"/>
          <w:szCs w:val="22"/>
        </w:rPr>
        <w:t>li</w:t>
      </w:r>
      <w:r>
        <w:rPr>
          <w:spacing w:val="-3"/>
          <w:szCs w:val="22"/>
        </w:rPr>
        <w:t>z</w:t>
      </w:r>
      <w:r>
        <w:rPr>
          <w:szCs w:val="22"/>
        </w:rPr>
        <w:t>ea</w:t>
      </w:r>
      <w:r>
        <w:rPr>
          <w:spacing w:val="-3"/>
          <w:szCs w:val="22"/>
        </w:rPr>
        <w:t>z</w:t>
      </w:r>
      <w:r>
        <w:rPr>
          <w:szCs w:val="22"/>
        </w:rPr>
        <w:t>ă pe</w:t>
      </w:r>
      <w:r>
        <w:rPr>
          <w:spacing w:val="-3"/>
          <w:szCs w:val="22"/>
        </w:rPr>
        <w:t>n</w:t>
      </w:r>
      <w:r>
        <w:rPr>
          <w:spacing w:val="1"/>
          <w:szCs w:val="22"/>
        </w:rPr>
        <w:t>t</w:t>
      </w:r>
      <w:r>
        <w:rPr>
          <w:szCs w:val="22"/>
        </w:rPr>
        <w:t>ru</w:t>
      </w:r>
      <w:r>
        <w:rPr>
          <w:spacing w:val="-3"/>
          <w:szCs w:val="22"/>
        </w:rPr>
        <w:t xml:space="preserve"> </w:t>
      </w:r>
      <w:r>
        <w:rPr>
          <w:spacing w:val="1"/>
          <w:szCs w:val="22"/>
        </w:rPr>
        <w:t>t</w:t>
      </w:r>
      <w:r>
        <w:rPr>
          <w:szCs w:val="22"/>
        </w:rPr>
        <w:t>r</w:t>
      </w:r>
      <w:r>
        <w:rPr>
          <w:spacing w:val="-3"/>
          <w:szCs w:val="22"/>
        </w:rPr>
        <w:t>a</w:t>
      </w:r>
      <w:r>
        <w:rPr>
          <w:spacing w:val="1"/>
          <w:szCs w:val="22"/>
        </w:rPr>
        <w:t>t</w:t>
      </w:r>
      <w:r>
        <w:rPr>
          <w:szCs w:val="22"/>
        </w:rPr>
        <w:t>a</w:t>
      </w:r>
      <w:r>
        <w:rPr>
          <w:spacing w:val="-4"/>
          <w:szCs w:val="22"/>
        </w:rPr>
        <w:t>m</w:t>
      </w:r>
      <w:r>
        <w:rPr>
          <w:szCs w:val="22"/>
        </w:rPr>
        <w:t>en</w:t>
      </w:r>
      <w:r>
        <w:rPr>
          <w:spacing w:val="1"/>
          <w:szCs w:val="22"/>
        </w:rPr>
        <w:t>t</w:t>
      </w:r>
      <w:r>
        <w:rPr>
          <w:spacing w:val="-3"/>
          <w:szCs w:val="22"/>
        </w:rPr>
        <w:t>u</w:t>
      </w:r>
      <w:r>
        <w:rPr>
          <w:szCs w:val="22"/>
        </w:rPr>
        <w:t>l</w:t>
      </w:r>
      <w:r>
        <w:rPr>
          <w:spacing w:val="1"/>
          <w:szCs w:val="22"/>
        </w:rPr>
        <w:t xml:space="preserve"> </w:t>
      </w:r>
      <w:r>
        <w:rPr>
          <w:szCs w:val="22"/>
        </w:rPr>
        <w:t>c</w:t>
      </w:r>
      <w:r>
        <w:rPr>
          <w:spacing w:val="-3"/>
          <w:szCs w:val="22"/>
        </w:rPr>
        <w:t>o</w:t>
      </w:r>
      <w:r>
        <w:rPr>
          <w:spacing w:val="1"/>
          <w:szCs w:val="22"/>
        </w:rPr>
        <w:t>l</w:t>
      </w:r>
      <w:r>
        <w:rPr>
          <w:spacing w:val="-2"/>
          <w:szCs w:val="22"/>
        </w:rPr>
        <w:t>i</w:t>
      </w:r>
      <w:r>
        <w:rPr>
          <w:spacing w:val="1"/>
          <w:szCs w:val="22"/>
        </w:rPr>
        <w:t>t</w:t>
      </w:r>
      <w:r>
        <w:rPr>
          <w:spacing w:val="-3"/>
          <w:szCs w:val="22"/>
        </w:rPr>
        <w:t>e</w:t>
      </w:r>
      <w:r>
        <w:rPr>
          <w:szCs w:val="22"/>
        </w:rPr>
        <w:t>i</w:t>
      </w:r>
      <w:r>
        <w:rPr>
          <w:spacing w:val="1"/>
          <w:szCs w:val="22"/>
        </w:rPr>
        <w:t xml:space="preserve"> </w:t>
      </w:r>
      <w:r>
        <w:rPr>
          <w:szCs w:val="22"/>
        </w:rPr>
        <w:t>u</w:t>
      </w:r>
      <w:r>
        <w:rPr>
          <w:spacing w:val="-2"/>
          <w:szCs w:val="22"/>
        </w:rPr>
        <w:t>l</w:t>
      </w:r>
      <w:r>
        <w:rPr>
          <w:szCs w:val="22"/>
        </w:rPr>
        <w:t>ce</w:t>
      </w:r>
      <w:r>
        <w:rPr>
          <w:spacing w:val="-2"/>
          <w:szCs w:val="22"/>
        </w:rPr>
        <w:t>r</w:t>
      </w:r>
      <w:r>
        <w:rPr>
          <w:szCs w:val="22"/>
        </w:rPr>
        <w:t>a</w:t>
      </w:r>
      <w:r>
        <w:rPr>
          <w:spacing w:val="-2"/>
          <w:szCs w:val="22"/>
        </w:rPr>
        <w:t>ti</w:t>
      </w:r>
      <w:r>
        <w:rPr>
          <w:spacing w:val="-3"/>
          <w:szCs w:val="22"/>
        </w:rPr>
        <w:t>v</w:t>
      </w:r>
      <w:r>
        <w:rPr>
          <w:szCs w:val="22"/>
        </w:rPr>
        <w:t xml:space="preserve">e, forma moderată până la severă, </w:t>
      </w:r>
      <w:r>
        <w:rPr>
          <w:spacing w:val="1"/>
          <w:szCs w:val="22"/>
        </w:rPr>
        <w:t>l</w:t>
      </w:r>
      <w:r>
        <w:rPr>
          <w:szCs w:val="22"/>
        </w:rPr>
        <w:t>a ad</w:t>
      </w:r>
      <w:r>
        <w:rPr>
          <w:spacing w:val="-3"/>
          <w:szCs w:val="22"/>
        </w:rPr>
        <w:t>u</w:t>
      </w:r>
      <w:r>
        <w:rPr>
          <w:spacing w:val="1"/>
          <w:szCs w:val="22"/>
        </w:rPr>
        <w:t>l</w:t>
      </w:r>
      <w:r>
        <w:rPr>
          <w:spacing w:val="-2"/>
          <w:szCs w:val="22"/>
        </w:rPr>
        <w:t>ţ</w:t>
      </w:r>
      <w:r>
        <w:rPr>
          <w:spacing w:val="1"/>
          <w:szCs w:val="22"/>
        </w:rPr>
        <w:t xml:space="preserve">i </w:t>
      </w:r>
      <w:r>
        <w:rPr>
          <w:spacing w:val="-1"/>
          <w:szCs w:val="22"/>
          <w:lang w:eastAsia="en-US" w:bidi="ar-SA"/>
        </w:rPr>
        <w:t>și la copii și adolescenți cu vârsta cuprinsă între 6 și 17 ani</w:t>
      </w:r>
      <w:r>
        <w:rPr>
          <w:szCs w:val="22"/>
        </w:rPr>
        <w:t>.</w:t>
      </w:r>
      <w:r>
        <w:rPr>
          <w:spacing w:val="-1"/>
          <w:szCs w:val="22"/>
        </w:rPr>
        <w:t xml:space="preserve"> </w:t>
      </w:r>
      <w:r>
        <w:rPr>
          <w:spacing w:val="-4"/>
          <w:szCs w:val="22"/>
        </w:rPr>
        <w:t>Î</w:t>
      </w:r>
      <w:r>
        <w:rPr>
          <w:szCs w:val="22"/>
        </w:rPr>
        <w:t>n ca</w:t>
      </w:r>
      <w:r>
        <w:rPr>
          <w:spacing w:val="-3"/>
          <w:szCs w:val="22"/>
        </w:rPr>
        <w:t>z</w:t>
      </w:r>
      <w:r>
        <w:rPr>
          <w:szCs w:val="22"/>
        </w:rPr>
        <w:t>ul</w:t>
      </w:r>
      <w:r>
        <w:rPr>
          <w:spacing w:val="1"/>
          <w:szCs w:val="22"/>
        </w:rPr>
        <w:t xml:space="preserve"> î</w:t>
      </w:r>
      <w:r>
        <w:rPr>
          <w:szCs w:val="22"/>
        </w:rPr>
        <w:t xml:space="preserve">n </w:t>
      </w:r>
      <w:r>
        <w:rPr>
          <w:spacing w:val="-3"/>
          <w:szCs w:val="22"/>
        </w:rPr>
        <w:t>c</w:t>
      </w:r>
      <w:r>
        <w:rPr>
          <w:szCs w:val="22"/>
        </w:rPr>
        <w:t>are</w:t>
      </w:r>
      <w:r>
        <w:rPr>
          <w:spacing w:val="-2"/>
          <w:szCs w:val="22"/>
        </w:rPr>
        <w:t xml:space="preserve"> </w:t>
      </w:r>
      <w:r>
        <w:rPr>
          <w:szCs w:val="22"/>
        </w:rPr>
        <w:t>a</w:t>
      </w:r>
      <w:r>
        <w:rPr>
          <w:spacing w:val="-3"/>
          <w:szCs w:val="22"/>
        </w:rPr>
        <w:t>v</w:t>
      </w:r>
      <w:r>
        <w:rPr>
          <w:szCs w:val="22"/>
        </w:rPr>
        <w:t>e</w:t>
      </w:r>
      <w:r>
        <w:rPr>
          <w:spacing w:val="1"/>
          <w:szCs w:val="22"/>
        </w:rPr>
        <w:t>ţ</w:t>
      </w:r>
      <w:r>
        <w:rPr>
          <w:szCs w:val="22"/>
        </w:rPr>
        <w:t>i</w:t>
      </w:r>
      <w:r>
        <w:rPr>
          <w:spacing w:val="1"/>
          <w:szCs w:val="22"/>
        </w:rPr>
        <w:t xml:space="preserve"> </w:t>
      </w:r>
      <w:r>
        <w:rPr>
          <w:szCs w:val="22"/>
        </w:rPr>
        <w:t>c</w:t>
      </w:r>
      <w:r>
        <w:rPr>
          <w:spacing w:val="-3"/>
          <w:szCs w:val="22"/>
        </w:rPr>
        <w:t>o</w:t>
      </w:r>
      <w:r>
        <w:rPr>
          <w:spacing w:val="-2"/>
          <w:szCs w:val="22"/>
        </w:rPr>
        <w:t>l</w:t>
      </w:r>
      <w:r>
        <w:rPr>
          <w:spacing w:val="1"/>
          <w:szCs w:val="22"/>
        </w:rPr>
        <w:t>it</w:t>
      </w:r>
      <w:r>
        <w:rPr>
          <w:szCs w:val="22"/>
        </w:rPr>
        <w:t>ă u</w:t>
      </w:r>
      <w:r>
        <w:rPr>
          <w:spacing w:val="1"/>
          <w:szCs w:val="22"/>
        </w:rPr>
        <w:t>l</w:t>
      </w:r>
      <w:r>
        <w:rPr>
          <w:szCs w:val="22"/>
        </w:rPr>
        <w:t>c</w:t>
      </w:r>
      <w:r>
        <w:rPr>
          <w:spacing w:val="-3"/>
          <w:szCs w:val="22"/>
        </w:rPr>
        <w:t>e</w:t>
      </w:r>
      <w:r>
        <w:rPr>
          <w:szCs w:val="22"/>
        </w:rPr>
        <w:t>r</w:t>
      </w:r>
      <w:r>
        <w:rPr>
          <w:spacing w:val="-3"/>
          <w:szCs w:val="22"/>
        </w:rPr>
        <w:t>a</w:t>
      </w:r>
      <w:r>
        <w:rPr>
          <w:spacing w:val="1"/>
          <w:szCs w:val="22"/>
        </w:rPr>
        <w:t>ti</w:t>
      </w:r>
      <w:r>
        <w:rPr>
          <w:spacing w:val="-3"/>
          <w:szCs w:val="22"/>
        </w:rPr>
        <w:t>v</w:t>
      </w:r>
      <w:r>
        <w:rPr>
          <w:szCs w:val="22"/>
        </w:rPr>
        <w:t xml:space="preserve">ă, </w:t>
      </w:r>
      <w:r>
        <w:rPr>
          <w:spacing w:val="-3"/>
          <w:szCs w:val="22"/>
        </w:rPr>
        <w:t>v</w:t>
      </w:r>
      <w:r>
        <w:rPr>
          <w:szCs w:val="22"/>
        </w:rPr>
        <w:t>i</w:t>
      </w:r>
      <w:r>
        <w:rPr>
          <w:spacing w:val="1"/>
          <w:szCs w:val="22"/>
        </w:rPr>
        <w:t xml:space="preserve"> </w:t>
      </w:r>
      <w:r>
        <w:rPr>
          <w:szCs w:val="22"/>
        </w:rPr>
        <w:t xml:space="preserve">se </w:t>
      </w:r>
      <w:r>
        <w:rPr>
          <w:spacing w:val="-3"/>
          <w:szCs w:val="22"/>
        </w:rPr>
        <w:t>pot</w:t>
      </w:r>
      <w:r>
        <w:rPr>
          <w:spacing w:val="1"/>
          <w:szCs w:val="22"/>
        </w:rPr>
        <w:t xml:space="preserve"> </w:t>
      </w:r>
      <w:r>
        <w:rPr>
          <w:spacing w:val="-3"/>
          <w:szCs w:val="22"/>
        </w:rPr>
        <w:t>a</w:t>
      </w:r>
      <w:r>
        <w:rPr>
          <w:szCs w:val="22"/>
        </w:rPr>
        <w:t>d</w:t>
      </w:r>
      <w:r>
        <w:rPr>
          <w:spacing w:val="-4"/>
          <w:szCs w:val="22"/>
        </w:rPr>
        <w:t>m</w:t>
      </w:r>
      <w:r>
        <w:rPr>
          <w:spacing w:val="1"/>
          <w:szCs w:val="22"/>
        </w:rPr>
        <w:t>i</w:t>
      </w:r>
      <w:r>
        <w:rPr>
          <w:szCs w:val="22"/>
        </w:rPr>
        <w:t>n</w:t>
      </w:r>
      <w:r>
        <w:rPr>
          <w:spacing w:val="-2"/>
          <w:szCs w:val="22"/>
        </w:rPr>
        <w:t>i</w:t>
      </w:r>
      <w:r>
        <w:rPr>
          <w:szCs w:val="22"/>
        </w:rPr>
        <w:t>s</w:t>
      </w:r>
      <w:r>
        <w:rPr>
          <w:spacing w:val="1"/>
          <w:szCs w:val="22"/>
        </w:rPr>
        <w:t>t</w:t>
      </w:r>
      <w:r>
        <w:rPr>
          <w:spacing w:val="-2"/>
          <w:szCs w:val="22"/>
        </w:rPr>
        <w:t>r</w:t>
      </w:r>
      <w:r>
        <w:rPr>
          <w:szCs w:val="22"/>
        </w:rPr>
        <w:t xml:space="preserve">a </w:t>
      </w:r>
      <w:r>
        <w:rPr>
          <w:spacing w:val="1"/>
          <w:szCs w:val="22"/>
        </w:rPr>
        <w:t>i</w:t>
      </w:r>
      <w:r>
        <w:rPr>
          <w:spacing w:val="-3"/>
          <w:szCs w:val="22"/>
        </w:rPr>
        <w:t>n</w:t>
      </w:r>
      <w:r>
        <w:rPr>
          <w:spacing w:val="1"/>
          <w:szCs w:val="22"/>
        </w:rPr>
        <w:t>i</w:t>
      </w:r>
      <w:r>
        <w:rPr>
          <w:spacing w:val="-2"/>
          <w:szCs w:val="22"/>
        </w:rPr>
        <w:t>ţ</w:t>
      </w:r>
      <w:r>
        <w:rPr>
          <w:spacing w:val="1"/>
          <w:szCs w:val="22"/>
        </w:rPr>
        <w:t>i</w:t>
      </w:r>
      <w:r>
        <w:rPr>
          <w:spacing w:val="-3"/>
          <w:szCs w:val="22"/>
        </w:rPr>
        <w:t>a</w:t>
      </w:r>
      <w:r>
        <w:rPr>
          <w:szCs w:val="22"/>
        </w:rPr>
        <w:t>l</w:t>
      </w:r>
      <w:r>
        <w:rPr>
          <w:spacing w:val="1"/>
          <w:szCs w:val="22"/>
        </w:rPr>
        <w:t xml:space="preserve"> </w:t>
      </w:r>
      <w:r>
        <w:rPr>
          <w:spacing w:val="-3"/>
          <w:szCs w:val="22"/>
        </w:rPr>
        <w:t>a</w:t>
      </w:r>
      <w:r>
        <w:rPr>
          <w:spacing w:val="1"/>
          <w:szCs w:val="22"/>
        </w:rPr>
        <w:t>l</w:t>
      </w:r>
      <w:r>
        <w:rPr>
          <w:spacing w:val="-2"/>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2"/>
          <w:szCs w:val="22"/>
        </w:rPr>
        <w:t>t</w:t>
      </w:r>
      <w:r>
        <w:rPr>
          <w:szCs w:val="22"/>
        </w:rPr>
        <w:t xml:space="preserve">e. </w:t>
      </w:r>
      <w:r>
        <w:rPr>
          <w:spacing w:val="-2"/>
          <w:szCs w:val="22"/>
        </w:rPr>
        <w:t>D</w:t>
      </w:r>
      <w:r>
        <w:rPr>
          <w:szCs w:val="22"/>
        </w:rPr>
        <w:t xml:space="preserve">acă </w:t>
      </w:r>
      <w:r>
        <w:rPr>
          <w:spacing w:val="-3"/>
          <w:szCs w:val="22"/>
        </w:rPr>
        <w:t>n</w:t>
      </w:r>
      <w:r>
        <w:rPr>
          <w:szCs w:val="22"/>
        </w:rPr>
        <w:t>u r</w:t>
      </w:r>
      <w:r>
        <w:rPr>
          <w:spacing w:val="-3"/>
          <w:szCs w:val="22"/>
        </w:rPr>
        <w:t>ă</w:t>
      </w:r>
      <w:r>
        <w:rPr>
          <w:szCs w:val="22"/>
        </w:rPr>
        <w:t>spun</w:t>
      </w:r>
      <w:r>
        <w:rPr>
          <w:spacing w:val="-3"/>
          <w:szCs w:val="22"/>
        </w:rPr>
        <w:t>d</w:t>
      </w:r>
      <w:r>
        <w:rPr>
          <w:szCs w:val="22"/>
        </w:rPr>
        <w:t>e</w:t>
      </w:r>
      <w:r>
        <w:rPr>
          <w:spacing w:val="-2"/>
          <w:szCs w:val="22"/>
        </w:rPr>
        <w:t>ţ</w:t>
      </w:r>
      <w:r>
        <w:rPr>
          <w:szCs w:val="22"/>
        </w:rPr>
        <w:t>i</w:t>
      </w:r>
      <w:r>
        <w:rPr>
          <w:spacing w:val="1"/>
          <w:szCs w:val="22"/>
        </w:rPr>
        <w:t xml:space="preserve"> </w:t>
      </w:r>
      <w:r>
        <w:rPr>
          <w:spacing w:val="-3"/>
          <w:szCs w:val="22"/>
        </w:rPr>
        <w:t>b</w:t>
      </w:r>
      <w:r>
        <w:rPr>
          <w:spacing w:val="1"/>
          <w:szCs w:val="22"/>
        </w:rPr>
        <w:t>i</w:t>
      </w:r>
      <w:r>
        <w:rPr>
          <w:szCs w:val="22"/>
        </w:rPr>
        <w:t>ne</w:t>
      </w:r>
      <w:r>
        <w:rPr>
          <w:spacing w:val="-2"/>
          <w:szCs w:val="22"/>
        </w:rPr>
        <w:t xml:space="preserve"> l</w:t>
      </w:r>
      <w:r>
        <w:rPr>
          <w:szCs w:val="22"/>
        </w:rPr>
        <w:t>a ac</w:t>
      </w:r>
      <w:r>
        <w:rPr>
          <w:spacing w:val="-3"/>
          <w:szCs w:val="22"/>
        </w:rPr>
        <w:t>e</w:t>
      </w:r>
      <w:r>
        <w:rPr>
          <w:szCs w:val="22"/>
        </w:rPr>
        <w:t>s</w:t>
      </w:r>
      <w:r>
        <w:rPr>
          <w:spacing w:val="1"/>
          <w:szCs w:val="22"/>
        </w:rPr>
        <w:t>t</w:t>
      </w:r>
      <w:r>
        <w:rPr>
          <w:szCs w:val="22"/>
        </w:rPr>
        <w:t xml:space="preserve">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 xml:space="preserve">e, </w:t>
      </w:r>
      <w:r>
        <w:rPr>
          <w:spacing w:val="-3"/>
          <w:szCs w:val="22"/>
        </w:rPr>
        <w:t>v</w:t>
      </w:r>
      <w:r>
        <w:rPr>
          <w:szCs w:val="22"/>
        </w:rPr>
        <w:t>i</w:t>
      </w:r>
      <w:r>
        <w:rPr>
          <w:spacing w:val="1"/>
          <w:szCs w:val="22"/>
        </w:rPr>
        <w:t xml:space="preserve"> </w:t>
      </w:r>
      <w:r>
        <w:rPr>
          <w:szCs w:val="22"/>
        </w:rPr>
        <w:t xml:space="preserve">se </w:t>
      </w:r>
      <w:r>
        <w:rPr>
          <w:spacing w:val="-3"/>
          <w:szCs w:val="22"/>
        </w:rPr>
        <w:t>v</w:t>
      </w:r>
      <w:r>
        <w:rPr>
          <w:szCs w:val="22"/>
        </w:rPr>
        <w:t>a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 xml:space="preserve">ra </w:t>
      </w:r>
      <w:r>
        <w:rPr>
          <w:spacing w:val="-1"/>
          <w:szCs w:val="22"/>
          <w:lang w:eastAsia="en-US" w:bidi="ar-SA"/>
        </w:rPr>
        <w:t>AMGEVITA</w:t>
      </w:r>
      <w:r>
        <w:rPr>
          <w:spacing w:val="-2"/>
          <w:szCs w:val="22"/>
        </w:rPr>
        <w:t xml:space="preserve"> </w:t>
      </w:r>
      <w:r>
        <w:rPr>
          <w:szCs w:val="22"/>
        </w:rPr>
        <w:t>pe</w:t>
      </w:r>
      <w:r>
        <w:rPr>
          <w:spacing w:val="-3"/>
          <w:szCs w:val="22"/>
        </w:rPr>
        <w:t>n</w:t>
      </w:r>
      <w:r>
        <w:rPr>
          <w:spacing w:val="1"/>
          <w:szCs w:val="22"/>
        </w:rPr>
        <w:t>t</w:t>
      </w:r>
      <w:r>
        <w:rPr>
          <w:szCs w:val="22"/>
        </w:rPr>
        <w:t>ru</w:t>
      </w:r>
      <w:r>
        <w:rPr>
          <w:spacing w:val="-3"/>
          <w:szCs w:val="22"/>
        </w:rPr>
        <w:t xml:space="preserve"> </w:t>
      </w:r>
      <w:r>
        <w:rPr>
          <w:szCs w:val="22"/>
        </w:rPr>
        <w:t xml:space="preserve">a </w:t>
      </w:r>
      <w:r>
        <w:rPr>
          <w:spacing w:val="-2"/>
          <w:szCs w:val="22"/>
        </w:rPr>
        <w:t>r</w:t>
      </w:r>
      <w:r>
        <w:rPr>
          <w:szCs w:val="22"/>
        </w:rPr>
        <w:t>ed</w:t>
      </w:r>
      <w:r>
        <w:rPr>
          <w:spacing w:val="-3"/>
          <w:szCs w:val="22"/>
        </w:rPr>
        <w:t>u</w:t>
      </w:r>
      <w:r>
        <w:rPr>
          <w:szCs w:val="22"/>
        </w:rPr>
        <w:t>ce se</w:t>
      </w:r>
      <w:r>
        <w:rPr>
          <w:spacing w:val="-4"/>
          <w:szCs w:val="22"/>
        </w:rPr>
        <w:t>m</w:t>
      </w:r>
      <w:r>
        <w:rPr>
          <w:szCs w:val="22"/>
        </w:rPr>
        <w:t>ne</w:t>
      </w:r>
      <w:r>
        <w:rPr>
          <w:spacing w:val="1"/>
          <w:szCs w:val="22"/>
        </w:rPr>
        <w:t>l</w:t>
      </w:r>
      <w:r>
        <w:rPr>
          <w:szCs w:val="22"/>
        </w:rPr>
        <w:t>e</w:t>
      </w:r>
      <w:r>
        <w:rPr>
          <w:spacing w:val="-2"/>
          <w:szCs w:val="22"/>
        </w:rPr>
        <w:t xml:space="preserve"> </w:t>
      </w:r>
      <w:r>
        <w:rPr>
          <w:szCs w:val="22"/>
        </w:rPr>
        <w:t>şi</w:t>
      </w:r>
      <w:r>
        <w:rPr>
          <w:spacing w:val="-2"/>
          <w:szCs w:val="22"/>
        </w:rPr>
        <w:t xml:space="preserve"> </w:t>
      </w:r>
      <w:r>
        <w:rPr>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 xml:space="preserve">e </w:t>
      </w:r>
      <w:r>
        <w:rPr>
          <w:spacing w:val="-3"/>
          <w:szCs w:val="22"/>
        </w:rPr>
        <w:t>a</w:t>
      </w:r>
      <w:r>
        <w:rPr>
          <w:szCs w:val="22"/>
        </w:rPr>
        <w:t>ces</w:t>
      </w:r>
      <w:r>
        <w:rPr>
          <w:spacing w:val="-2"/>
          <w:szCs w:val="22"/>
        </w:rPr>
        <w:t>t</w:t>
      </w:r>
      <w:r>
        <w:rPr>
          <w:szCs w:val="22"/>
        </w:rPr>
        <w:t>ei</w:t>
      </w:r>
      <w:r>
        <w:rPr>
          <w:spacing w:val="-2"/>
          <w:szCs w:val="22"/>
        </w:rPr>
        <w:t xml:space="preserve"> </w:t>
      </w:r>
      <w:r>
        <w:rPr>
          <w:szCs w:val="22"/>
        </w:rPr>
        <w:t>bo</w:t>
      </w:r>
      <w:r>
        <w:rPr>
          <w:spacing w:val="-2"/>
          <w:szCs w:val="22"/>
        </w:rPr>
        <w:t>l</w:t>
      </w:r>
      <w:r>
        <w:rPr>
          <w:spacing w:val="1"/>
          <w:szCs w:val="22"/>
        </w:rPr>
        <w:t>i</w:t>
      </w:r>
      <w:r>
        <w:rPr>
          <w:szCs w:val="22"/>
        </w:rPr>
        <w:t>.</w:t>
      </w:r>
    </w:p>
    <w:p w14:paraId="4E40EEF1"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2C1B75A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Uveită non-infecţioasă la adulți și copii</w:t>
      </w:r>
    </w:p>
    <w:p w14:paraId="347C98C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AFDC45D"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U</w:t>
      </w:r>
      <w:r>
        <w:rPr>
          <w:spacing w:val="-3"/>
          <w:szCs w:val="22"/>
        </w:rPr>
        <w:t>v</w:t>
      </w:r>
      <w:r>
        <w:rPr>
          <w:szCs w:val="22"/>
        </w:rPr>
        <w:t>e</w:t>
      </w:r>
      <w:r>
        <w:rPr>
          <w:spacing w:val="1"/>
          <w:szCs w:val="22"/>
        </w:rPr>
        <w:t>it</w:t>
      </w:r>
      <w:r>
        <w:rPr>
          <w:szCs w:val="22"/>
        </w:rPr>
        <w:t>a non</w:t>
      </w:r>
      <w:r>
        <w:rPr>
          <w:spacing w:val="-4"/>
          <w:szCs w:val="22"/>
        </w:rPr>
        <w:t>-</w:t>
      </w:r>
      <w:r>
        <w:rPr>
          <w:spacing w:val="1"/>
          <w:szCs w:val="22"/>
        </w:rPr>
        <w:t>i</w:t>
      </w:r>
      <w:r>
        <w:rPr>
          <w:szCs w:val="22"/>
        </w:rPr>
        <w:t>nfe</w:t>
      </w:r>
      <w:r>
        <w:rPr>
          <w:spacing w:val="-2"/>
          <w:szCs w:val="22"/>
        </w:rPr>
        <w:t>cţ</w:t>
      </w:r>
      <w:r>
        <w:rPr>
          <w:spacing w:val="1"/>
          <w:szCs w:val="22"/>
        </w:rPr>
        <w:t>i</w:t>
      </w:r>
      <w:r>
        <w:rPr>
          <w:szCs w:val="22"/>
        </w:rPr>
        <w:t>oa</w:t>
      </w:r>
      <w:r>
        <w:rPr>
          <w:spacing w:val="-2"/>
          <w:szCs w:val="22"/>
        </w:rPr>
        <w:t>s</w:t>
      </w:r>
      <w:r>
        <w:rPr>
          <w:szCs w:val="22"/>
        </w:rPr>
        <w:t>ă e</w:t>
      </w:r>
      <w:r>
        <w:rPr>
          <w:spacing w:val="-2"/>
          <w:szCs w:val="22"/>
        </w:rPr>
        <w:t>s</w:t>
      </w:r>
      <w:r>
        <w:rPr>
          <w:spacing w:val="1"/>
          <w:szCs w:val="22"/>
        </w:rPr>
        <w:t>t</w:t>
      </w:r>
      <w:r>
        <w:rPr>
          <w:szCs w:val="22"/>
        </w:rPr>
        <w:t>e</w:t>
      </w:r>
      <w:r>
        <w:rPr>
          <w:spacing w:val="-2"/>
          <w:szCs w:val="22"/>
        </w:rPr>
        <w:t xml:space="preserve"> </w:t>
      </w:r>
      <w:r>
        <w:rPr>
          <w:szCs w:val="22"/>
        </w:rPr>
        <w:t>o boa</w:t>
      </w:r>
      <w:r>
        <w:rPr>
          <w:spacing w:val="-2"/>
          <w:szCs w:val="22"/>
        </w:rPr>
        <w:t>l</w:t>
      </w:r>
      <w:r>
        <w:rPr>
          <w:szCs w:val="22"/>
        </w:rPr>
        <w:t xml:space="preserve">ă </w:t>
      </w:r>
      <w:r>
        <w:rPr>
          <w:spacing w:val="1"/>
          <w:szCs w:val="22"/>
        </w:rPr>
        <w:t>i</w:t>
      </w:r>
      <w:r>
        <w:rPr>
          <w:spacing w:val="-3"/>
          <w:szCs w:val="22"/>
        </w:rPr>
        <w:t>n</w:t>
      </w:r>
      <w:r>
        <w:rPr>
          <w:szCs w:val="22"/>
        </w:rPr>
        <w:t>f</w:t>
      </w:r>
      <w:r>
        <w:rPr>
          <w:spacing w:val="-2"/>
          <w:szCs w:val="22"/>
        </w:rPr>
        <w:t>l</w:t>
      </w:r>
      <w:r>
        <w:rPr>
          <w:szCs w:val="22"/>
        </w:rPr>
        <w:t>a</w:t>
      </w:r>
      <w:r>
        <w:rPr>
          <w:spacing w:val="-4"/>
          <w:szCs w:val="22"/>
        </w:rPr>
        <w:t>m</w:t>
      </w:r>
      <w:r>
        <w:rPr>
          <w:szCs w:val="22"/>
        </w:rPr>
        <w:t>a</w:t>
      </w:r>
      <w:r>
        <w:rPr>
          <w:spacing w:val="1"/>
          <w:szCs w:val="22"/>
        </w:rPr>
        <w:t>t</w:t>
      </w:r>
      <w:r>
        <w:rPr>
          <w:szCs w:val="22"/>
        </w:rPr>
        <w:t>o</w:t>
      </w:r>
      <w:r>
        <w:rPr>
          <w:spacing w:val="-2"/>
          <w:szCs w:val="22"/>
        </w:rPr>
        <w:t>r</w:t>
      </w:r>
      <w:r>
        <w:rPr>
          <w:spacing w:val="1"/>
          <w:szCs w:val="22"/>
        </w:rPr>
        <w:t>i</w:t>
      </w:r>
      <w:r>
        <w:rPr>
          <w:szCs w:val="22"/>
        </w:rPr>
        <w:t xml:space="preserve">e </w:t>
      </w:r>
      <w:r>
        <w:rPr>
          <w:spacing w:val="-3"/>
          <w:szCs w:val="22"/>
        </w:rPr>
        <w:t>c</w:t>
      </w:r>
      <w:r>
        <w:rPr>
          <w:szCs w:val="22"/>
        </w:rPr>
        <w:t>are</w:t>
      </w:r>
      <w:r>
        <w:rPr>
          <w:spacing w:val="-2"/>
          <w:szCs w:val="22"/>
        </w:rPr>
        <w:t xml:space="preserve"> </w:t>
      </w:r>
      <w:r>
        <w:rPr>
          <w:szCs w:val="22"/>
        </w:rPr>
        <w:t>a</w:t>
      </w:r>
      <w:r>
        <w:rPr>
          <w:spacing w:val="-2"/>
          <w:szCs w:val="22"/>
        </w:rPr>
        <w:t>f</w:t>
      </w:r>
      <w:r>
        <w:rPr>
          <w:szCs w:val="22"/>
        </w:rPr>
        <w:t>ec</w:t>
      </w:r>
      <w:r>
        <w:rPr>
          <w:spacing w:val="1"/>
          <w:szCs w:val="22"/>
        </w:rPr>
        <w:t>t</w:t>
      </w:r>
      <w:r>
        <w:rPr>
          <w:spacing w:val="-3"/>
          <w:szCs w:val="22"/>
        </w:rPr>
        <w:t>e</w:t>
      </w:r>
      <w:r>
        <w:rPr>
          <w:szCs w:val="22"/>
        </w:rPr>
        <w:t>a</w:t>
      </w:r>
      <w:r>
        <w:rPr>
          <w:spacing w:val="-3"/>
          <w:szCs w:val="22"/>
        </w:rPr>
        <w:t>z</w:t>
      </w:r>
      <w:r>
        <w:rPr>
          <w:szCs w:val="22"/>
        </w:rPr>
        <w:t>ă anu</w:t>
      </w:r>
      <w:r>
        <w:rPr>
          <w:spacing w:val="-4"/>
          <w:szCs w:val="22"/>
        </w:rPr>
        <w:t>m</w:t>
      </w:r>
      <w:r>
        <w:rPr>
          <w:spacing w:val="1"/>
          <w:szCs w:val="22"/>
        </w:rPr>
        <w:t>it</w:t>
      </w:r>
      <w:r>
        <w:rPr>
          <w:szCs w:val="22"/>
        </w:rPr>
        <w:t xml:space="preserve">e </w:t>
      </w:r>
      <w:r>
        <w:rPr>
          <w:spacing w:val="-3"/>
          <w:szCs w:val="22"/>
        </w:rPr>
        <w:t>p</w:t>
      </w:r>
      <w:r>
        <w:rPr>
          <w:szCs w:val="22"/>
        </w:rPr>
        <w:t>ă</w:t>
      </w:r>
      <w:r>
        <w:rPr>
          <w:spacing w:val="-2"/>
          <w:szCs w:val="22"/>
        </w:rPr>
        <w:t>r</w:t>
      </w:r>
      <w:r>
        <w:rPr>
          <w:spacing w:val="1"/>
          <w:szCs w:val="22"/>
        </w:rPr>
        <w:t>ț</w:t>
      </w:r>
      <w:r>
        <w:rPr>
          <w:szCs w:val="22"/>
        </w:rPr>
        <w:t>i</w:t>
      </w:r>
      <w:r>
        <w:rPr>
          <w:spacing w:val="-2"/>
          <w:szCs w:val="22"/>
        </w:rPr>
        <w:t xml:space="preserve"> </w:t>
      </w:r>
      <w:r>
        <w:rPr>
          <w:szCs w:val="22"/>
        </w:rPr>
        <w:t>a</w:t>
      </w:r>
      <w:r>
        <w:rPr>
          <w:spacing w:val="1"/>
          <w:szCs w:val="22"/>
        </w:rPr>
        <w:t>l</w:t>
      </w:r>
      <w:r>
        <w:rPr>
          <w:szCs w:val="22"/>
        </w:rPr>
        <w:t>e</w:t>
      </w:r>
      <w:r>
        <w:rPr>
          <w:spacing w:val="-2"/>
          <w:szCs w:val="22"/>
        </w:rPr>
        <w:t xml:space="preserve"> </w:t>
      </w:r>
      <w:r>
        <w:rPr>
          <w:szCs w:val="22"/>
        </w:rPr>
        <w:t>o</w:t>
      </w:r>
      <w:r>
        <w:rPr>
          <w:spacing w:val="-3"/>
          <w:szCs w:val="22"/>
        </w:rPr>
        <w:t>c</w:t>
      </w:r>
      <w:r>
        <w:rPr>
          <w:szCs w:val="22"/>
        </w:rPr>
        <w:t>h</w:t>
      </w:r>
      <w:r>
        <w:rPr>
          <w:spacing w:val="1"/>
          <w:szCs w:val="22"/>
        </w:rPr>
        <w:t>i</w:t>
      </w:r>
      <w:r>
        <w:rPr>
          <w:szCs w:val="22"/>
        </w:rPr>
        <w:t>u</w:t>
      </w:r>
      <w:r>
        <w:rPr>
          <w:spacing w:val="-2"/>
          <w:szCs w:val="22"/>
        </w:rPr>
        <w:t>l</w:t>
      </w:r>
      <w:r>
        <w:rPr>
          <w:szCs w:val="22"/>
        </w:rPr>
        <w:t>u</w:t>
      </w:r>
      <w:r>
        <w:rPr>
          <w:spacing w:val="1"/>
          <w:szCs w:val="22"/>
        </w:rPr>
        <w:t>i</w:t>
      </w:r>
      <w:r>
        <w:rPr>
          <w:szCs w:val="22"/>
        </w:rPr>
        <w:t>.</w:t>
      </w:r>
    </w:p>
    <w:p w14:paraId="6462F4D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35863E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la adulți pentru tratamentul</w:t>
      </w:r>
    </w:p>
    <w:p w14:paraId="30FE6A4B" w14:textId="77777777" w:rsidR="00C04CAD" w:rsidRDefault="00060E34">
      <w:pPr>
        <w:pStyle w:val="EMEANormal"/>
        <w:numPr>
          <w:ilvl w:val="0"/>
          <w:numId w:val="51"/>
        </w:numPr>
        <w:rPr>
          <w:szCs w:val="22"/>
          <w:lang w:val="ro-RO"/>
        </w:rPr>
      </w:pPr>
      <w:r>
        <w:rPr>
          <w:szCs w:val="22"/>
          <w:lang w:val="ro-RO"/>
        </w:rPr>
        <w:t xml:space="preserve">Uveitei non-infecţioase cu inflamaţie care afectează partea din spate a ochiului la adulți </w:t>
      </w:r>
    </w:p>
    <w:p w14:paraId="2B408801"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rPr>
      </w:pPr>
      <w:r>
        <w:rPr>
          <w:szCs w:val="22"/>
        </w:rPr>
        <w:t>Uveitei cronice non-infecțioase cu inflamație care afectează partea din față a ochiului la copii cu vârsta de la 2 ani</w:t>
      </w:r>
    </w:p>
    <w:p w14:paraId="65AE502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B45AE13" w14:textId="77777777" w:rsidR="00C04CAD" w:rsidRDefault="00060E34">
      <w:pPr>
        <w:tabs>
          <w:tab w:val="clear" w:pos="567"/>
        </w:tabs>
        <w:spacing w:line="240" w:lineRule="auto"/>
        <w:ind w:right="-2"/>
        <w:rPr>
          <w:spacing w:val="-2"/>
          <w:szCs w:val="22"/>
          <w:lang w:eastAsia="en-US" w:bidi="ar-SA"/>
        </w:rPr>
      </w:pPr>
      <w:r>
        <w:rPr>
          <w:spacing w:val="-4"/>
          <w:szCs w:val="22"/>
          <w:lang w:eastAsia="en-US" w:bidi="ar-SA"/>
        </w:rPr>
        <w:t>A</w:t>
      </w:r>
      <w:r>
        <w:rPr>
          <w:szCs w:val="22"/>
          <w:lang w:eastAsia="en-US" w:bidi="ar-SA"/>
        </w:rPr>
        <w:t>cea</w:t>
      </w:r>
      <w:r>
        <w:rPr>
          <w:spacing w:val="-2"/>
          <w:szCs w:val="22"/>
          <w:lang w:eastAsia="en-US" w:bidi="ar-SA"/>
        </w:rPr>
        <w:t>s</w:t>
      </w:r>
      <w:r>
        <w:rPr>
          <w:spacing w:val="1"/>
          <w:szCs w:val="22"/>
          <w:lang w:eastAsia="en-US" w:bidi="ar-SA"/>
        </w:rPr>
        <w:t>t</w:t>
      </w:r>
      <w:r>
        <w:rPr>
          <w:szCs w:val="22"/>
          <w:lang w:eastAsia="en-US" w:bidi="ar-SA"/>
        </w:rPr>
        <w:t>ă</w:t>
      </w:r>
      <w:r>
        <w:rPr>
          <w:spacing w:val="-2"/>
          <w:szCs w:val="22"/>
          <w:lang w:eastAsia="en-US" w:bidi="ar-SA"/>
        </w:rPr>
        <w:t xml:space="preserve"> </w:t>
      </w:r>
      <w:r>
        <w:rPr>
          <w:spacing w:val="1"/>
          <w:szCs w:val="22"/>
          <w:lang w:eastAsia="en-US" w:bidi="ar-SA"/>
        </w:rPr>
        <w:t>i</w:t>
      </w:r>
      <w:r>
        <w:rPr>
          <w:szCs w:val="22"/>
          <w:lang w:eastAsia="en-US" w:bidi="ar-SA"/>
        </w:rPr>
        <w:t>n</w:t>
      </w:r>
      <w:r>
        <w:rPr>
          <w:spacing w:val="-2"/>
          <w:szCs w:val="22"/>
          <w:lang w:eastAsia="en-US" w:bidi="ar-SA"/>
        </w:rPr>
        <w:t>f</w:t>
      </w:r>
      <w:r>
        <w:rPr>
          <w:spacing w:val="1"/>
          <w:szCs w:val="22"/>
          <w:lang w:eastAsia="en-US" w:bidi="ar-SA"/>
        </w:rPr>
        <w:t>l</w:t>
      </w:r>
      <w:r>
        <w:rPr>
          <w:szCs w:val="22"/>
          <w:lang w:eastAsia="en-US" w:bidi="ar-SA"/>
        </w:rPr>
        <w:t>a</w:t>
      </w:r>
      <w:r>
        <w:rPr>
          <w:spacing w:val="-4"/>
          <w:szCs w:val="22"/>
          <w:lang w:eastAsia="en-US" w:bidi="ar-SA"/>
        </w:rPr>
        <w:t>m</w:t>
      </w:r>
      <w:r>
        <w:rPr>
          <w:szCs w:val="22"/>
          <w:lang w:eastAsia="en-US" w:bidi="ar-SA"/>
        </w:rPr>
        <w:t>aţ</w:t>
      </w:r>
      <w:r>
        <w:rPr>
          <w:spacing w:val="-2"/>
          <w:szCs w:val="22"/>
          <w:lang w:eastAsia="en-US" w:bidi="ar-SA"/>
        </w:rPr>
        <w:t>i</w:t>
      </w:r>
      <w:r>
        <w:rPr>
          <w:szCs w:val="22"/>
          <w:lang w:eastAsia="en-US" w:bidi="ar-SA"/>
        </w:rPr>
        <w:t xml:space="preserve">e poate </w:t>
      </w:r>
      <w:r>
        <w:t>să</w:t>
      </w:r>
      <w:r>
        <w:rPr>
          <w:szCs w:val="22"/>
          <w:lang w:eastAsia="en-US" w:bidi="ar-SA"/>
        </w:rPr>
        <w:t xml:space="preserve"> d</w:t>
      </w:r>
      <w:r>
        <w:rPr>
          <w:spacing w:val="-3"/>
          <w:szCs w:val="22"/>
          <w:lang w:eastAsia="en-US" w:bidi="ar-SA"/>
        </w:rPr>
        <w:t>e</w:t>
      </w:r>
      <w:r>
        <w:rPr>
          <w:spacing w:val="1"/>
          <w:szCs w:val="22"/>
          <w:lang w:eastAsia="en-US" w:bidi="ar-SA"/>
        </w:rPr>
        <w:t>t</w:t>
      </w:r>
      <w:r>
        <w:rPr>
          <w:szCs w:val="22"/>
          <w:lang w:eastAsia="en-US" w:bidi="ar-SA"/>
        </w:rPr>
        <w:t>er</w:t>
      </w:r>
      <w:r>
        <w:rPr>
          <w:spacing w:val="-4"/>
          <w:szCs w:val="22"/>
          <w:lang w:eastAsia="en-US" w:bidi="ar-SA"/>
        </w:rPr>
        <w:t>m</w:t>
      </w:r>
      <w:r>
        <w:rPr>
          <w:spacing w:val="1"/>
          <w:szCs w:val="22"/>
          <w:lang w:eastAsia="en-US" w:bidi="ar-SA"/>
        </w:rPr>
        <w:t>i</w:t>
      </w:r>
      <w:r>
        <w:rPr>
          <w:szCs w:val="22"/>
          <w:lang w:eastAsia="en-US" w:bidi="ar-SA"/>
        </w:rPr>
        <w:t>ne</w:t>
      </w:r>
      <w:r>
        <w:rPr>
          <w:spacing w:val="-2"/>
          <w:szCs w:val="22"/>
          <w:lang w:eastAsia="en-US" w:bidi="ar-SA"/>
        </w:rPr>
        <w:t xml:space="preserve"> </w:t>
      </w:r>
      <w:r>
        <w:rPr>
          <w:szCs w:val="22"/>
          <w:lang w:eastAsia="en-US" w:bidi="ar-SA"/>
        </w:rPr>
        <w:t>o scă</w:t>
      </w:r>
      <w:r>
        <w:rPr>
          <w:spacing w:val="-3"/>
          <w:szCs w:val="22"/>
          <w:lang w:eastAsia="en-US" w:bidi="ar-SA"/>
        </w:rPr>
        <w:t>d</w:t>
      </w:r>
      <w:r>
        <w:rPr>
          <w:szCs w:val="22"/>
          <w:lang w:eastAsia="en-US" w:bidi="ar-SA"/>
        </w:rPr>
        <w:t>e</w:t>
      </w:r>
      <w:r>
        <w:rPr>
          <w:spacing w:val="-2"/>
          <w:szCs w:val="22"/>
          <w:lang w:eastAsia="en-US" w:bidi="ar-SA"/>
        </w:rPr>
        <w:t>r</w:t>
      </w:r>
      <w:r>
        <w:rPr>
          <w:szCs w:val="22"/>
          <w:lang w:eastAsia="en-US" w:bidi="ar-SA"/>
        </w:rPr>
        <w:t xml:space="preserve">e a </w:t>
      </w:r>
      <w:r>
        <w:rPr>
          <w:spacing w:val="-3"/>
          <w:szCs w:val="22"/>
          <w:lang w:eastAsia="en-US" w:bidi="ar-SA"/>
        </w:rPr>
        <w:t>v</w:t>
      </w:r>
      <w:r>
        <w:rPr>
          <w:szCs w:val="22"/>
          <w:lang w:eastAsia="en-US" w:bidi="ar-SA"/>
        </w:rPr>
        <w:t>ede</w:t>
      </w:r>
      <w:r>
        <w:rPr>
          <w:spacing w:val="-2"/>
          <w:szCs w:val="22"/>
          <w:lang w:eastAsia="en-US" w:bidi="ar-SA"/>
        </w:rPr>
        <w:t>r</w:t>
      </w:r>
      <w:r>
        <w:rPr>
          <w:spacing w:val="1"/>
          <w:szCs w:val="22"/>
          <w:lang w:eastAsia="en-US" w:bidi="ar-SA"/>
        </w:rPr>
        <w:t>i</w:t>
      </w:r>
      <w:r>
        <w:rPr>
          <w:szCs w:val="22"/>
          <w:lang w:eastAsia="en-US" w:bidi="ar-SA"/>
        </w:rPr>
        <w:t>i</w:t>
      </w:r>
      <w:r>
        <w:rPr>
          <w:spacing w:val="-2"/>
          <w:szCs w:val="22"/>
          <w:lang w:eastAsia="en-US" w:bidi="ar-SA"/>
        </w:rPr>
        <w:t xml:space="preserve"> </w:t>
      </w:r>
      <w:r>
        <w:rPr>
          <w:szCs w:val="22"/>
          <w:lang w:eastAsia="en-US" w:bidi="ar-SA"/>
        </w:rPr>
        <w:t>ș</w:t>
      </w:r>
      <w:r>
        <w:rPr>
          <w:spacing w:val="-2"/>
          <w:szCs w:val="22"/>
          <w:lang w:eastAsia="en-US" w:bidi="ar-SA"/>
        </w:rPr>
        <w:t>i</w:t>
      </w:r>
      <w:r>
        <w:rPr>
          <w:spacing w:val="1"/>
          <w:szCs w:val="22"/>
          <w:lang w:eastAsia="en-US" w:bidi="ar-SA"/>
        </w:rPr>
        <w:t>/</w:t>
      </w:r>
      <w:r>
        <w:rPr>
          <w:spacing w:val="-2"/>
          <w:szCs w:val="22"/>
          <w:lang w:eastAsia="en-US" w:bidi="ar-SA"/>
        </w:rPr>
        <w:t>s</w:t>
      </w:r>
      <w:r>
        <w:rPr>
          <w:szCs w:val="22"/>
          <w:lang w:eastAsia="en-US" w:bidi="ar-SA"/>
        </w:rPr>
        <w:t xml:space="preserve">au </w:t>
      </w:r>
      <w:r>
        <w:rPr>
          <w:spacing w:val="-3"/>
          <w:szCs w:val="22"/>
          <w:lang w:eastAsia="en-US" w:bidi="ar-SA"/>
        </w:rPr>
        <w:t>p</w:t>
      </w:r>
      <w:r>
        <w:rPr>
          <w:szCs w:val="22"/>
          <w:lang w:eastAsia="en-US" w:bidi="ar-SA"/>
        </w:rPr>
        <w:t>re</w:t>
      </w:r>
      <w:r>
        <w:rPr>
          <w:spacing w:val="-3"/>
          <w:szCs w:val="22"/>
          <w:lang w:eastAsia="en-US" w:bidi="ar-SA"/>
        </w:rPr>
        <w:t>z</w:t>
      </w:r>
      <w:r>
        <w:rPr>
          <w:szCs w:val="22"/>
          <w:lang w:eastAsia="en-US" w:bidi="ar-SA"/>
        </w:rPr>
        <w:t>en</w:t>
      </w:r>
      <w:r>
        <w:rPr>
          <w:spacing w:val="1"/>
          <w:szCs w:val="22"/>
          <w:lang w:eastAsia="en-US" w:bidi="ar-SA"/>
        </w:rPr>
        <w:t>ț</w:t>
      </w:r>
      <w:r>
        <w:rPr>
          <w:szCs w:val="22"/>
          <w:lang w:eastAsia="en-US" w:bidi="ar-SA"/>
        </w:rPr>
        <w:t>a</w:t>
      </w:r>
      <w:r>
        <w:rPr>
          <w:spacing w:val="-2"/>
          <w:szCs w:val="22"/>
          <w:lang w:eastAsia="en-US" w:bidi="ar-SA"/>
        </w:rPr>
        <w:t xml:space="preserve"> </w:t>
      </w:r>
      <w:r>
        <w:rPr>
          <w:szCs w:val="22"/>
          <w:lang w:eastAsia="en-US" w:bidi="ar-SA"/>
        </w:rPr>
        <w:t>f</w:t>
      </w:r>
      <w:r>
        <w:rPr>
          <w:spacing w:val="-2"/>
          <w:szCs w:val="22"/>
          <w:lang w:eastAsia="en-US" w:bidi="ar-SA"/>
        </w:rPr>
        <w:t>l</w:t>
      </w:r>
      <w:r>
        <w:rPr>
          <w:szCs w:val="22"/>
          <w:lang w:eastAsia="en-US" w:bidi="ar-SA"/>
        </w:rPr>
        <w:t>oco</w:t>
      </w:r>
      <w:r>
        <w:rPr>
          <w:spacing w:val="-3"/>
          <w:szCs w:val="22"/>
          <w:lang w:eastAsia="en-US" w:bidi="ar-SA"/>
        </w:rPr>
        <w:t>a</w:t>
      </w:r>
      <w:r>
        <w:rPr>
          <w:szCs w:val="22"/>
          <w:lang w:eastAsia="en-US" w:bidi="ar-SA"/>
        </w:rPr>
        <w:t>ne</w:t>
      </w:r>
      <w:r>
        <w:rPr>
          <w:spacing w:val="-2"/>
          <w:szCs w:val="22"/>
          <w:lang w:eastAsia="en-US" w:bidi="ar-SA"/>
        </w:rPr>
        <w:t>l</w:t>
      </w:r>
      <w:r>
        <w:rPr>
          <w:szCs w:val="22"/>
          <w:lang w:eastAsia="en-US" w:bidi="ar-SA"/>
        </w:rPr>
        <w:t xml:space="preserve">or </w:t>
      </w:r>
      <w:r>
        <w:rPr>
          <w:spacing w:val="1"/>
          <w:szCs w:val="22"/>
          <w:lang w:eastAsia="en-US" w:bidi="ar-SA"/>
        </w:rPr>
        <w:t>î</w:t>
      </w:r>
      <w:r>
        <w:rPr>
          <w:szCs w:val="22"/>
          <w:lang w:eastAsia="en-US" w:bidi="ar-SA"/>
        </w:rPr>
        <w:t>n oc</w:t>
      </w:r>
      <w:r>
        <w:rPr>
          <w:spacing w:val="-3"/>
          <w:szCs w:val="22"/>
          <w:lang w:eastAsia="en-US" w:bidi="ar-SA"/>
        </w:rPr>
        <w:t>h</w:t>
      </w:r>
      <w:r>
        <w:rPr>
          <w:szCs w:val="22"/>
          <w:lang w:eastAsia="en-US" w:bidi="ar-SA"/>
        </w:rPr>
        <w:t>i</w:t>
      </w:r>
      <w:r>
        <w:rPr>
          <w:spacing w:val="1"/>
          <w:szCs w:val="22"/>
          <w:lang w:eastAsia="en-US" w:bidi="ar-SA"/>
        </w:rPr>
        <w:t xml:space="preserve"> </w:t>
      </w:r>
      <w:r>
        <w:rPr>
          <w:spacing w:val="-2"/>
          <w:szCs w:val="22"/>
          <w:lang w:eastAsia="en-US" w:bidi="ar-SA"/>
        </w:rPr>
        <w:t>(</w:t>
      </w:r>
      <w:r>
        <w:rPr>
          <w:szCs w:val="22"/>
          <w:lang w:eastAsia="en-US" w:bidi="ar-SA"/>
        </w:rPr>
        <w:t>pun</w:t>
      </w:r>
      <w:r>
        <w:rPr>
          <w:spacing w:val="-3"/>
          <w:szCs w:val="22"/>
          <w:lang w:eastAsia="en-US" w:bidi="ar-SA"/>
        </w:rPr>
        <w:t>c</w:t>
      </w:r>
      <w:r>
        <w:rPr>
          <w:szCs w:val="22"/>
          <w:lang w:eastAsia="en-US" w:bidi="ar-SA"/>
        </w:rPr>
        <w:t xml:space="preserve">te </w:t>
      </w:r>
      <w:r>
        <w:rPr>
          <w:spacing w:val="-3"/>
          <w:szCs w:val="22"/>
          <w:lang w:eastAsia="en-US" w:bidi="ar-SA"/>
        </w:rPr>
        <w:t>n</w:t>
      </w:r>
      <w:r>
        <w:rPr>
          <w:szCs w:val="22"/>
          <w:lang w:eastAsia="en-US" w:bidi="ar-SA"/>
        </w:rPr>
        <w:t>e</w:t>
      </w:r>
      <w:r>
        <w:rPr>
          <w:spacing w:val="-3"/>
          <w:szCs w:val="22"/>
          <w:lang w:eastAsia="en-US" w:bidi="ar-SA"/>
        </w:rPr>
        <w:t>g</w:t>
      </w:r>
      <w:r>
        <w:rPr>
          <w:szCs w:val="22"/>
          <w:lang w:eastAsia="en-US" w:bidi="ar-SA"/>
        </w:rPr>
        <w:t>re s</w:t>
      </w:r>
      <w:r>
        <w:rPr>
          <w:spacing w:val="-3"/>
          <w:szCs w:val="22"/>
          <w:lang w:eastAsia="en-US" w:bidi="ar-SA"/>
        </w:rPr>
        <w:t>a</w:t>
      </w:r>
      <w:r>
        <w:rPr>
          <w:szCs w:val="22"/>
          <w:lang w:eastAsia="en-US" w:bidi="ar-SA"/>
        </w:rPr>
        <w:t xml:space="preserve">u </w:t>
      </w:r>
      <w:r>
        <w:rPr>
          <w:spacing w:val="-2"/>
          <w:szCs w:val="22"/>
          <w:lang w:eastAsia="en-US" w:bidi="ar-SA"/>
        </w:rPr>
        <w:t>li</w:t>
      </w:r>
      <w:r>
        <w:rPr>
          <w:szCs w:val="22"/>
          <w:lang w:eastAsia="en-US" w:bidi="ar-SA"/>
        </w:rPr>
        <w:t>n</w:t>
      </w:r>
      <w:r>
        <w:rPr>
          <w:spacing w:val="1"/>
          <w:szCs w:val="22"/>
          <w:lang w:eastAsia="en-US" w:bidi="ar-SA"/>
        </w:rPr>
        <w:t>i</w:t>
      </w:r>
      <w:r>
        <w:rPr>
          <w:szCs w:val="22"/>
          <w:lang w:eastAsia="en-US" w:bidi="ar-SA"/>
        </w:rPr>
        <w:t>i</w:t>
      </w:r>
      <w:r>
        <w:rPr>
          <w:spacing w:val="-2"/>
          <w:szCs w:val="22"/>
          <w:lang w:eastAsia="en-US" w:bidi="ar-SA"/>
        </w:rPr>
        <w:t xml:space="preserve"> </w:t>
      </w:r>
      <w:r>
        <w:rPr>
          <w:szCs w:val="22"/>
          <w:lang w:eastAsia="en-US" w:bidi="ar-SA"/>
        </w:rPr>
        <w:t>sub</w:t>
      </w:r>
      <w:r>
        <w:rPr>
          <w:spacing w:val="-2"/>
          <w:szCs w:val="22"/>
          <w:lang w:eastAsia="en-US" w:bidi="ar-SA"/>
        </w:rPr>
        <w:t>ţ</w:t>
      </w:r>
      <w:r>
        <w:rPr>
          <w:spacing w:val="1"/>
          <w:szCs w:val="22"/>
          <w:lang w:eastAsia="en-US" w:bidi="ar-SA"/>
        </w:rPr>
        <w:t>i</w:t>
      </w:r>
      <w:r>
        <w:rPr>
          <w:spacing w:val="-2"/>
          <w:szCs w:val="22"/>
          <w:lang w:eastAsia="en-US" w:bidi="ar-SA"/>
        </w:rPr>
        <w:t>r</w:t>
      </w:r>
      <w:r>
        <w:rPr>
          <w:szCs w:val="22"/>
          <w:lang w:eastAsia="en-US" w:bidi="ar-SA"/>
        </w:rPr>
        <w:t>i</w:t>
      </w:r>
      <w:r>
        <w:rPr>
          <w:spacing w:val="1"/>
          <w:szCs w:val="22"/>
          <w:lang w:eastAsia="en-US" w:bidi="ar-SA"/>
        </w:rPr>
        <w:t xml:space="preserve"> </w:t>
      </w:r>
      <w:r>
        <w:rPr>
          <w:spacing w:val="-3"/>
          <w:szCs w:val="22"/>
          <w:lang w:eastAsia="en-US" w:bidi="ar-SA"/>
        </w:rPr>
        <w:t>c</w:t>
      </w:r>
      <w:r>
        <w:rPr>
          <w:szCs w:val="22"/>
          <w:lang w:eastAsia="en-US" w:bidi="ar-SA"/>
        </w:rPr>
        <w:t>a</w:t>
      </w:r>
      <w:r>
        <w:rPr>
          <w:spacing w:val="-2"/>
          <w:szCs w:val="22"/>
          <w:lang w:eastAsia="en-US" w:bidi="ar-SA"/>
        </w:rPr>
        <w:t>r</w:t>
      </w:r>
      <w:r>
        <w:rPr>
          <w:szCs w:val="22"/>
          <w:lang w:eastAsia="en-US" w:bidi="ar-SA"/>
        </w:rPr>
        <w:t xml:space="preserve">e se </w:t>
      </w:r>
      <w:r>
        <w:rPr>
          <w:spacing w:val="-4"/>
          <w:szCs w:val="22"/>
          <w:lang w:eastAsia="en-US" w:bidi="ar-SA"/>
        </w:rPr>
        <w:t>m</w:t>
      </w:r>
      <w:r>
        <w:rPr>
          <w:spacing w:val="1"/>
          <w:szCs w:val="22"/>
          <w:lang w:eastAsia="en-US" w:bidi="ar-SA"/>
        </w:rPr>
        <w:t>i</w:t>
      </w:r>
      <w:r>
        <w:rPr>
          <w:szCs w:val="22"/>
          <w:lang w:eastAsia="en-US" w:bidi="ar-SA"/>
        </w:rPr>
        <w:t>șcă</w:t>
      </w:r>
      <w:r>
        <w:rPr>
          <w:spacing w:val="-2"/>
          <w:szCs w:val="22"/>
          <w:lang w:eastAsia="en-US" w:bidi="ar-SA"/>
        </w:rPr>
        <w:t xml:space="preserve"> </w:t>
      </w:r>
      <w:r>
        <w:rPr>
          <w:szCs w:val="22"/>
          <w:lang w:eastAsia="en-US" w:bidi="ar-SA"/>
        </w:rPr>
        <w:t>pe</w:t>
      </w:r>
      <w:r>
        <w:rPr>
          <w:spacing w:val="-2"/>
          <w:szCs w:val="22"/>
          <w:lang w:eastAsia="en-US" w:bidi="ar-SA"/>
        </w:rPr>
        <w:t>s</w:t>
      </w:r>
      <w:r>
        <w:rPr>
          <w:spacing w:val="1"/>
          <w:szCs w:val="22"/>
          <w:lang w:eastAsia="en-US" w:bidi="ar-SA"/>
        </w:rPr>
        <w:t>t</w:t>
      </w:r>
      <w:r>
        <w:rPr>
          <w:szCs w:val="22"/>
          <w:lang w:eastAsia="en-US" w:bidi="ar-SA"/>
        </w:rPr>
        <w:t xml:space="preserve">e </w:t>
      </w:r>
      <w:r>
        <w:rPr>
          <w:spacing w:val="-3"/>
          <w:szCs w:val="22"/>
          <w:lang w:eastAsia="en-US" w:bidi="ar-SA"/>
        </w:rPr>
        <w:t>c</w:t>
      </w:r>
      <w:r>
        <w:rPr>
          <w:szCs w:val="22"/>
          <w:lang w:eastAsia="en-US" w:bidi="ar-SA"/>
        </w:rPr>
        <w:t>â</w:t>
      </w:r>
      <w:r>
        <w:rPr>
          <w:spacing w:val="-4"/>
          <w:szCs w:val="22"/>
          <w:lang w:eastAsia="en-US" w:bidi="ar-SA"/>
        </w:rPr>
        <w:t>m</w:t>
      </w:r>
      <w:r>
        <w:rPr>
          <w:szCs w:val="22"/>
          <w:lang w:eastAsia="en-US" w:bidi="ar-SA"/>
        </w:rPr>
        <w:t>pul</w:t>
      </w:r>
      <w:r>
        <w:rPr>
          <w:spacing w:val="1"/>
          <w:szCs w:val="22"/>
          <w:lang w:eastAsia="en-US" w:bidi="ar-SA"/>
        </w:rPr>
        <w:t xml:space="preserve"> </w:t>
      </w:r>
      <w:r>
        <w:rPr>
          <w:spacing w:val="-3"/>
          <w:szCs w:val="22"/>
          <w:lang w:eastAsia="en-US" w:bidi="ar-SA"/>
        </w:rPr>
        <w:t>v</w:t>
      </w:r>
      <w:r>
        <w:rPr>
          <w:spacing w:val="1"/>
          <w:szCs w:val="22"/>
          <w:lang w:eastAsia="en-US" w:bidi="ar-SA"/>
        </w:rPr>
        <w:t>i</w:t>
      </w:r>
      <w:r>
        <w:rPr>
          <w:spacing w:val="-3"/>
          <w:szCs w:val="22"/>
          <w:lang w:eastAsia="en-US" w:bidi="ar-SA"/>
        </w:rPr>
        <w:t>z</w:t>
      </w:r>
      <w:r>
        <w:rPr>
          <w:szCs w:val="22"/>
          <w:lang w:eastAsia="en-US" w:bidi="ar-SA"/>
        </w:rPr>
        <w:t>ua</w:t>
      </w:r>
      <w:r>
        <w:rPr>
          <w:spacing w:val="1"/>
          <w:szCs w:val="22"/>
          <w:lang w:eastAsia="en-US" w:bidi="ar-SA"/>
        </w:rPr>
        <w:t>l</w:t>
      </w:r>
      <w:r>
        <w:rPr>
          <w:szCs w:val="22"/>
          <w:lang w:eastAsia="en-US" w:bidi="ar-SA"/>
        </w:rPr>
        <w:t xml:space="preserve">). </w:t>
      </w:r>
      <w:r>
        <w:rPr>
          <w:spacing w:val="-1"/>
          <w:szCs w:val="22"/>
          <w:lang w:eastAsia="en-US" w:bidi="ar-SA"/>
        </w:rPr>
        <w:t>AMGEVITA</w:t>
      </w:r>
      <w:r>
        <w:rPr>
          <w:spacing w:val="-2"/>
          <w:szCs w:val="22"/>
          <w:lang w:eastAsia="en-US" w:bidi="ar-SA"/>
        </w:rPr>
        <w:t xml:space="preserve"> </w:t>
      </w:r>
      <w:r>
        <w:rPr>
          <w:szCs w:val="22"/>
          <w:lang w:eastAsia="en-US" w:bidi="ar-SA"/>
        </w:rPr>
        <w:t>ac</w:t>
      </w:r>
      <w:r>
        <w:rPr>
          <w:spacing w:val="-2"/>
          <w:szCs w:val="22"/>
          <w:lang w:eastAsia="en-US" w:bidi="ar-SA"/>
        </w:rPr>
        <w:t>ț</w:t>
      </w:r>
      <w:r>
        <w:rPr>
          <w:spacing w:val="1"/>
          <w:szCs w:val="22"/>
          <w:lang w:eastAsia="en-US" w:bidi="ar-SA"/>
        </w:rPr>
        <w:t>i</w:t>
      </w:r>
      <w:r>
        <w:rPr>
          <w:szCs w:val="22"/>
          <w:lang w:eastAsia="en-US" w:bidi="ar-SA"/>
        </w:rPr>
        <w:t>on</w:t>
      </w:r>
      <w:r>
        <w:rPr>
          <w:spacing w:val="-3"/>
          <w:szCs w:val="22"/>
          <w:lang w:eastAsia="en-US" w:bidi="ar-SA"/>
        </w:rPr>
        <w:t>e</w:t>
      </w:r>
      <w:r>
        <w:rPr>
          <w:szCs w:val="22"/>
          <w:lang w:eastAsia="en-US" w:bidi="ar-SA"/>
        </w:rPr>
        <w:t>a</w:t>
      </w:r>
      <w:r>
        <w:rPr>
          <w:spacing w:val="-3"/>
          <w:szCs w:val="22"/>
          <w:lang w:eastAsia="en-US" w:bidi="ar-SA"/>
        </w:rPr>
        <w:t>z</w:t>
      </w:r>
      <w:r>
        <w:rPr>
          <w:szCs w:val="22"/>
          <w:lang w:eastAsia="en-US" w:bidi="ar-SA"/>
        </w:rPr>
        <w:t>ă pr</w:t>
      </w:r>
      <w:r>
        <w:rPr>
          <w:spacing w:val="-2"/>
          <w:szCs w:val="22"/>
          <w:lang w:eastAsia="en-US" w:bidi="ar-SA"/>
        </w:rPr>
        <w:t>i</w:t>
      </w:r>
      <w:r>
        <w:rPr>
          <w:szCs w:val="22"/>
          <w:lang w:eastAsia="en-US" w:bidi="ar-SA"/>
        </w:rPr>
        <w:t>n redu</w:t>
      </w:r>
      <w:r>
        <w:rPr>
          <w:spacing w:val="-3"/>
          <w:szCs w:val="22"/>
          <w:lang w:eastAsia="en-US" w:bidi="ar-SA"/>
        </w:rPr>
        <w:t>c</w:t>
      </w:r>
      <w:r>
        <w:rPr>
          <w:szCs w:val="22"/>
          <w:lang w:eastAsia="en-US" w:bidi="ar-SA"/>
        </w:rPr>
        <w:t>e</w:t>
      </w:r>
      <w:r>
        <w:rPr>
          <w:spacing w:val="-2"/>
          <w:szCs w:val="22"/>
          <w:lang w:eastAsia="en-US" w:bidi="ar-SA"/>
        </w:rPr>
        <w:t>r</w:t>
      </w:r>
      <w:r>
        <w:rPr>
          <w:szCs w:val="22"/>
          <w:lang w:eastAsia="en-US" w:bidi="ar-SA"/>
        </w:rPr>
        <w:t xml:space="preserve">ea </w:t>
      </w:r>
      <w:r>
        <w:rPr>
          <w:spacing w:val="-3"/>
          <w:szCs w:val="22"/>
          <w:lang w:eastAsia="en-US" w:bidi="ar-SA"/>
        </w:rPr>
        <w:t>a</w:t>
      </w:r>
      <w:r>
        <w:rPr>
          <w:szCs w:val="22"/>
          <w:lang w:eastAsia="en-US" w:bidi="ar-SA"/>
        </w:rPr>
        <w:t>ce</w:t>
      </w:r>
      <w:r>
        <w:rPr>
          <w:spacing w:val="-2"/>
          <w:szCs w:val="22"/>
          <w:lang w:eastAsia="en-US" w:bidi="ar-SA"/>
        </w:rPr>
        <w:t>s</w:t>
      </w:r>
      <w:r>
        <w:rPr>
          <w:spacing w:val="1"/>
          <w:szCs w:val="22"/>
          <w:lang w:eastAsia="en-US" w:bidi="ar-SA"/>
        </w:rPr>
        <w:t>t</w:t>
      </w:r>
      <w:r>
        <w:rPr>
          <w:spacing w:val="-3"/>
          <w:szCs w:val="22"/>
          <w:lang w:eastAsia="en-US" w:bidi="ar-SA"/>
        </w:rPr>
        <w:t>e</w:t>
      </w:r>
      <w:r>
        <w:rPr>
          <w:szCs w:val="22"/>
          <w:lang w:eastAsia="en-US" w:bidi="ar-SA"/>
        </w:rPr>
        <w:t>i</w:t>
      </w:r>
      <w:r>
        <w:rPr>
          <w:spacing w:val="1"/>
          <w:szCs w:val="22"/>
          <w:lang w:eastAsia="en-US" w:bidi="ar-SA"/>
        </w:rPr>
        <w:t xml:space="preserve"> i</w:t>
      </w:r>
      <w:r>
        <w:rPr>
          <w:spacing w:val="-3"/>
          <w:szCs w:val="22"/>
          <w:lang w:eastAsia="en-US" w:bidi="ar-SA"/>
        </w:rPr>
        <w:t>n</w:t>
      </w:r>
      <w:r>
        <w:rPr>
          <w:szCs w:val="22"/>
          <w:lang w:eastAsia="en-US" w:bidi="ar-SA"/>
        </w:rPr>
        <w:t>f</w:t>
      </w:r>
      <w:r>
        <w:rPr>
          <w:spacing w:val="-2"/>
          <w:szCs w:val="22"/>
          <w:lang w:eastAsia="en-US" w:bidi="ar-SA"/>
        </w:rPr>
        <w:t>l</w:t>
      </w:r>
      <w:r>
        <w:rPr>
          <w:szCs w:val="22"/>
          <w:lang w:eastAsia="en-US" w:bidi="ar-SA"/>
        </w:rPr>
        <w:t>a</w:t>
      </w:r>
      <w:r>
        <w:rPr>
          <w:spacing w:val="-4"/>
          <w:szCs w:val="22"/>
          <w:lang w:eastAsia="en-US" w:bidi="ar-SA"/>
        </w:rPr>
        <w:t>m</w:t>
      </w:r>
      <w:r>
        <w:rPr>
          <w:szCs w:val="22"/>
          <w:lang w:eastAsia="en-US" w:bidi="ar-SA"/>
        </w:rPr>
        <w:t>a</w:t>
      </w:r>
      <w:r>
        <w:rPr>
          <w:spacing w:val="1"/>
          <w:szCs w:val="22"/>
          <w:lang w:eastAsia="en-US" w:bidi="ar-SA"/>
        </w:rPr>
        <w:t>ți</w:t>
      </w:r>
      <w:r>
        <w:rPr>
          <w:spacing w:val="-2"/>
          <w:szCs w:val="22"/>
          <w:lang w:eastAsia="en-US" w:bidi="ar-SA"/>
        </w:rPr>
        <w:t>i.</w:t>
      </w:r>
    </w:p>
    <w:p w14:paraId="6B33FAC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429538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0763FC8" w14:textId="77777777" w:rsidR="00C04CAD" w:rsidRDefault="00060E34">
      <w:pPr>
        <w:pStyle w:val="ListParagraph"/>
        <w:spacing w:line="240" w:lineRule="auto"/>
        <w:ind w:left="567" w:hanging="567"/>
        <w:rPr>
          <w:b/>
        </w:rPr>
      </w:pPr>
      <w:r>
        <w:rPr>
          <w:b/>
        </w:rPr>
        <w:t>2.</w:t>
      </w:r>
      <w:r>
        <w:rPr>
          <w:b/>
        </w:rPr>
        <w:tab/>
        <w:t>Ce trebuie să știți înainte să utilizați AMGEVITA</w:t>
      </w:r>
    </w:p>
    <w:p w14:paraId="5379980C" w14:textId="77777777" w:rsidR="00C04CAD" w:rsidRDefault="00C04CAD">
      <w:pPr>
        <w:keepNext/>
        <w:tabs>
          <w:tab w:val="clear" w:pos="567"/>
        </w:tabs>
        <w:autoSpaceDE w:val="0"/>
        <w:autoSpaceDN w:val="0"/>
        <w:adjustRightInd w:val="0"/>
        <w:spacing w:line="240" w:lineRule="auto"/>
        <w:rPr>
          <w:sz w:val="24"/>
          <w:szCs w:val="24"/>
          <w:lang w:eastAsia="en-US" w:bidi="ar-SA"/>
        </w:rPr>
      </w:pPr>
    </w:p>
    <w:p w14:paraId="7ACAEDA2" w14:textId="77777777" w:rsidR="00C04CAD" w:rsidRDefault="00060E34">
      <w:pPr>
        <w:keepNext/>
        <w:tabs>
          <w:tab w:val="clear" w:pos="567"/>
          <w:tab w:val="left" w:pos="679"/>
        </w:tabs>
        <w:kinsoku w:val="0"/>
        <w:overflowPunct w:val="0"/>
        <w:autoSpaceDE w:val="0"/>
        <w:autoSpaceDN w:val="0"/>
        <w:adjustRightInd w:val="0"/>
        <w:spacing w:line="240" w:lineRule="auto"/>
        <w:outlineLvl w:val="0"/>
      </w:pPr>
      <w:r>
        <w:rPr>
          <w:b/>
          <w:spacing w:val="-1"/>
        </w:rPr>
        <w:t>N</w:t>
      </w:r>
      <w:r>
        <w:rPr>
          <w:b/>
        </w:rPr>
        <w:t>u</w:t>
      </w:r>
      <w:r>
        <w:rPr>
          <w:b/>
          <w:spacing w:val="-1"/>
        </w:rPr>
        <w:t xml:space="preserve"> u</w:t>
      </w:r>
      <w:r>
        <w:rPr>
          <w:b/>
        </w:rPr>
        <w:t>t</w:t>
      </w:r>
      <w:r>
        <w:rPr>
          <w:b/>
          <w:spacing w:val="1"/>
        </w:rPr>
        <w:t>i</w:t>
      </w:r>
      <w:r>
        <w:rPr>
          <w:b/>
          <w:spacing w:val="-2"/>
        </w:rPr>
        <w:t>l</w:t>
      </w:r>
      <w:r>
        <w:rPr>
          <w:b/>
          <w:spacing w:val="1"/>
        </w:rPr>
        <w:t>i</w:t>
      </w:r>
      <w:r>
        <w:rPr>
          <w:b/>
          <w:spacing w:val="-3"/>
        </w:rPr>
        <w:t>z</w:t>
      </w:r>
      <w:r>
        <w:rPr>
          <w:b/>
        </w:rPr>
        <w:t>aţi</w:t>
      </w:r>
      <w:r>
        <w:rPr>
          <w:b/>
          <w:spacing w:val="-2"/>
        </w:rPr>
        <w:t xml:space="preserve"> </w:t>
      </w:r>
      <w:r>
        <w:rPr>
          <w:b/>
          <w:bCs/>
          <w:spacing w:val="1"/>
          <w:szCs w:val="22"/>
          <w:lang w:eastAsia="en-US" w:bidi="ar-SA"/>
        </w:rPr>
        <w:t>AMGEVITA:</w:t>
      </w:r>
    </w:p>
    <w:p w14:paraId="560B4D05" w14:textId="77777777" w:rsidR="00C04CAD" w:rsidRDefault="00C04CAD">
      <w:pPr>
        <w:keepNext/>
        <w:tabs>
          <w:tab w:val="clear" w:pos="567"/>
        </w:tabs>
        <w:autoSpaceDE w:val="0"/>
        <w:autoSpaceDN w:val="0"/>
        <w:adjustRightInd w:val="0"/>
        <w:spacing w:line="240" w:lineRule="auto"/>
        <w:rPr>
          <w:szCs w:val="22"/>
          <w:lang w:eastAsia="en-US" w:bidi="ar-SA"/>
        </w:rPr>
      </w:pPr>
    </w:p>
    <w:p w14:paraId="0A96ABAF"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hanging="567"/>
      </w:pPr>
      <w:r>
        <w:rPr>
          <w:spacing w:val="-1"/>
          <w:szCs w:val="22"/>
          <w:lang w:eastAsia="en-US" w:bidi="ar-SA"/>
        </w:rPr>
        <w:t>d</w:t>
      </w:r>
      <w:r>
        <w:rPr>
          <w:szCs w:val="22"/>
          <w:lang w:eastAsia="en-US" w:bidi="ar-SA"/>
        </w:rPr>
        <w:t>acă</w:t>
      </w:r>
      <w:r>
        <w:t xml:space="preserve"> su</w:t>
      </w:r>
      <w:r>
        <w:rPr>
          <w:spacing w:val="-3"/>
        </w:rPr>
        <w:t>n</w:t>
      </w:r>
      <w:r>
        <w:rPr>
          <w:spacing w:val="1"/>
        </w:rPr>
        <w:t>t</w:t>
      </w:r>
      <w:r>
        <w:rPr>
          <w:spacing w:val="-3"/>
        </w:rPr>
        <w:t>e</w:t>
      </w:r>
      <w:r>
        <w:rPr>
          <w:spacing w:val="1"/>
        </w:rPr>
        <w:t>ţ</w:t>
      </w:r>
      <w:r>
        <w:t>i</w:t>
      </w:r>
      <w:r>
        <w:rPr>
          <w:spacing w:val="-2"/>
        </w:rPr>
        <w:t xml:space="preserve"> </w:t>
      </w:r>
      <w:r>
        <w:t>a</w:t>
      </w:r>
      <w:r>
        <w:rPr>
          <w:spacing w:val="-2"/>
        </w:rPr>
        <w:t>l</w:t>
      </w:r>
      <w:r>
        <w:t>er</w:t>
      </w:r>
      <w:r>
        <w:rPr>
          <w:spacing w:val="-3"/>
        </w:rPr>
        <w:t>g</w:t>
      </w:r>
      <w:r>
        <w:rPr>
          <w:spacing w:val="1"/>
        </w:rPr>
        <w:t>i</w:t>
      </w:r>
      <w:r>
        <w:t>c</w:t>
      </w:r>
      <w:r>
        <w:rPr>
          <w:spacing w:val="-2"/>
        </w:rPr>
        <w:t xml:space="preserve"> </w:t>
      </w:r>
      <w:r>
        <w:rPr>
          <w:spacing w:val="1"/>
        </w:rPr>
        <w:t>l</w:t>
      </w:r>
      <w:r>
        <w:t xml:space="preserve">a </w:t>
      </w:r>
      <w:r>
        <w:rPr>
          <w:spacing w:val="-3"/>
        </w:rPr>
        <w:t>a</w:t>
      </w:r>
      <w:r>
        <w:t>da</w:t>
      </w:r>
      <w:r>
        <w:rPr>
          <w:spacing w:val="-2"/>
        </w:rPr>
        <w:t>li</w:t>
      </w:r>
      <w:r>
        <w:rPr>
          <w:spacing w:val="-4"/>
        </w:rPr>
        <w:t>m</w:t>
      </w:r>
      <w:r>
        <w:rPr>
          <w:spacing w:val="2"/>
        </w:rPr>
        <w:t>u</w:t>
      </w:r>
      <w:r>
        <w:rPr>
          <w:spacing w:val="-4"/>
        </w:rPr>
        <w:t>m</w:t>
      </w:r>
      <w:r>
        <w:t xml:space="preserve">ab sau </w:t>
      </w:r>
      <w:r>
        <w:rPr>
          <w:spacing w:val="1"/>
        </w:rPr>
        <w:t>l</w:t>
      </w:r>
      <w:r>
        <w:t xml:space="preserve">a </w:t>
      </w:r>
      <w:r>
        <w:rPr>
          <w:spacing w:val="-3"/>
        </w:rPr>
        <w:t>o</w:t>
      </w:r>
      <w:r>
        <w:t>r</w:t>
      </w:r>
      <w:r>
        <w:rPr>
          <w:spacing w:val="1"/>
        </w:rPr>
        <w:t>i</w:t>
      </w:r>
      <w:r>
        <w:rPr>
          <w:spacing w:val="-3"/>
        </w:rPr>
        <w:t>c</w:t>
      </w:r>
      <w:r>
        <w:t>are</w:t>
      </w:r>
      <w:r>
        <w:rPr>
          <w:spacing w:val="-2"/>
        </w:rPr>
        <w:t xml:space="preserve"> </w:t>
      </w:r>
      <w:r>
        <w:t>d</w:t>
      </w:r>
      <w:r>
        <w:rPr>
          <w:spacing w:val="1"/>
        </w:rPr>
        <w:t>i</w:t>
      </w:r>
      <w:r>
        <w:rPr>
          <w:spacing w:val="-3"/>
        </w:rPr>
        <w:t>n</w:t>
      </w:r>
      <w:r>
        <w:rPr>
          <w:spacing w:val="1"/>
        </w:rPr>
        <w:t>t</w:t>
      </w:r>
      <w:r>
        <w:rPr>
          <w:spacing w:val="-2"/>
        </w:rPr>
        <w:t>r</w:t>
      </w:r>
      <w:r>
        <w:t>e</w:t>
      </w:r>
      <w:r>
        <w:rPr>
          <w:spacing w:val="-2"/>
        </w:rPr>
        <w:t xml:space="preserve"> </w:t>
      </w:r>
      <w:r>
        <w:t>ce</w:t>
      </w:r>
      <w:r>
        <w:rPr>
          <w:spacing w:val="-2"/>
        </w:rPr>
        <w:t>l</w:t>
      </w:r>
      <w:r>
        <w:t>e</w:t>
      </w:r>
      <w:r>
        <w:rPr>
          <w:spacing w:val="1"/>
        </w:rPr>
        <w:t>l</w:t>
      </w:r>
      <w:r>
        <w:rPr>
          <w:spacing w:val="-3"/>
        </w:rPr>
        <w:t>a</w:t>
      </w:r>
      <w:r>
        <w:rPr>
          <w:spacing w:val="-1"/>
        </w:rPr>
        <w:t>l</w:t>
      </w:r>
      <w:r>
        <w:rPr>
          <w:spacing w:val="-2"/>
        </w:rPr>
        <w:t>t</w:t>
      </w:r>
      <w:r>
        <w:t>e co</w:t>
      </w:r>
      <w:r>
        <w:rPr>
          <w:spacing w:val="-4"/>
        </w:rPr>
        <w:t>m</w:t>
      </w:r>
      <w:r>
        <w:t>ponen</w:t>
      </w:r>
      <w:r>
        <w:rPr>
          <w:spacing w:val="-2"/>
        </w:rPr>
        <w:t>t</w:t>
      </w:r>
      <w:r>
        <w:t xml:space="preserve">e </w:t>
      </w:r>
      <w:r>
        <w:rPr>
          <w:spacing w:val="-3"/>
        </w:rPr>
        <w:t>a</w:t>
      </w:r>
      <w:r>
        <w:rPr>
          <w:spacing w:val="1"/>
        </w:rPr>
        <w:t>l</w:t>
      </w:r>
      <w:r>
        <w:t xml:space="preserve">e </w:t>
      </w:r>
      <w:r>
        <w:rPr>
          <w:spacing w:val="-4"/>
        </w:rPr>
        <w:t>m</w:t>
      </w:r>
      <w:r>
        <w:t>ed</w:t>
      </w:r>
      <w:r>
        <w:rPr>
          <w:spacing w:val="1"/>
        </w:rPr>
        <w:t>i</w:t>
      </w:r>
      <w:r>
        <w:t>ca</w:t>
      </w:r>
      <w:r>
        <w:rPr>
          <w:spacing w:val="-4"/>
        </w:rPr>
        <w:t>m</w:t>
      </w:r>
      <w:r>
        <w:t>en</w:t>
      </w:r>
      <w:r>
        <w:rPr>
          <w:spacing w:val="1"/>
        </w:rPr>
        <w:t>t</w:t>
      </w:r>
      <w:r>
        <w:t>u</w:t>
      </w:r>
      <w:r>
        <w:rPr>
          <w:spacing w:val="1"/>
        </w:rPr>
        <w:t>l</w:t>
      </w:r>
      <w:r>
        <w:t>ui</w:t>
      </w:r>
      <w:r>
        <w:rPr>
          <w:spacing w:val="-2"/>
        </w:rPr>
        <w:t xml:space="preserve"> </w:t>
      </w:r>
      <w:r>
        <w:t>(e</w:t>
      </w:r>
      <w:r>
        <w:rPr>
          <w:spacing w:val="-3"/>
        </w:rPr>
        <w:t>n</w:t>
      </w:r>
      <w:r>
        <w:t>u</w:t>
      </w:r>
      <w:r>
        <w:rPr>
          <w:spacing w:val="-4"/>
        </w:rPr>
        <w:t>m</w:t>
      </w:r>
      <w:r>
        <w:t>era</w:t>
      </w:r>
      <w:r>
        <w:rPr>
          <w:spacing w:val="-2"/>
        </w:rPr>
        <w:t>t</w:t>
      </w:r>
      <w:r>
        <w:t xml:space="preserve">e </w:t>
      </w:r>
      <w:r>
        <w:rPr>
          <w:spacing w:val="1"/>
        </w:rPr>
        <w:t>l</w:t>
      </w:r>
      <w:r>
        <w:t xml:space="preserve">a </w:t>
      </w:r>
      <w:r>
        <w:rPr>
          <w:spacing w:val="-3"/>
        </w:rPr>
        <w:t>p</w:t>
      </w:r>
      <w:r>
        <w:t>c</w:t>
      </w:r>
      <w:r>
        <w:rPr>
          <w:spacing w:val="1"/>
        </w:rPr>
        <w:t>t</w:t>
      </w:r>
      <w:r>
        <w:t>.</w:t>
      </w:r>
      <w:r>
        <w:rPr>
          <w:spacing w:val="-3"/>
        </w:rPr>
        <w:t xml:space="preserve"> </w:t>
      </w:r>
      <w:r>
        <w:t>6).</w:t>
      </w:r>
      <w:r>
        <w:rPr>
          <w:szCs w:val="22"/>
          <w:lang w:eastAsia="en-US" w:bidi="ar-SA"/>
        </w:rPr>
        <w:t xml:space="preserve"> </w:t>
      </w:r>
    </w:p>
    <w:p w14:paraId="51451D82"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hanging="567"/>
        <w:rPr>
          <w:spacing w:val="-1"/>
        </w:rPr>
      </w:pPr>
      <w:r>
        <w:rPr>
          <w:spacing w:val="-1"/>
          <w:szCs w:val="22"/>
          <w:lang w:eastAsia="en-US" w:bidi="ar-SA"/>
        </w:rPr>
        <w:t>dacă</w:t>
      </w:r>
      <w:r>
        <w:rPr>
          <w:spacing w:val="-1"/>
        </w:rPr>
        <w:t xml:space="preserve"> aveţi o infecţie severă, inclusiv tuberculoză activă, septicemie (infecție în sânge) sau alte infecții oportuniste (infecții neobișnuite asociate cu un sistem imunitar slăbit) (vezi “Atenţionări şi precauţii”). Este important să-i spuneţi medicului dumneavoastră dacă aveţi simptome ale unei infecţii, de exemplu febră, plăgi, senzaţie de oboseală, probleme dentare.</w:t>
      </w:r>
      <w:r>
        <w:rPr>
          <w:spacing w:val="-1"/>
          <w:szCs w:val="22"/>
          <w:lang w:eastAsia="en-US" w:bidi="ar-SA"/>
        </w:rPr>
        <w:t xml:space="preserve"> </w:t>
      </w:r>
    </w:p>
    <w:p w14:paraId="6389E242"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hanging="567"/>
      </w:pPr>
      <w:r>
        <w:rPr>
          <w:spacing w:val="-1"/>
          <w:szCs w:val="22"/>
          <w:lang w:eastAsia="en-US" w:bidi="ar-SA"/>
        </w:rPr>
        <w:t>dacă</w:t>
      </w:r>
      <w:r>
        <w:rPr>
          <w:spacing w:val="-1"/>
        </w:rPr>
        <w:t xml:space="preserve"> aveţi insuficienţă cardiacă moderată sau severă. Este important să-i comunicaţi medicului dacă aţi avut</w:t>
      </w:r>
      <w:r>
        <w:rPr>
          <w:spacing w:val="-2"/>
        </w:rPr>
        <w:t xml:space="preserve"> </w:t>
      </w:r>
      <w:r>
        <w:t>sau</w:t>
      </w:r>
      <w:r>
        <w:rPr>
          <w:spacing w:val="-3"/>
        </w:rPr>
        <w:t xml:space="preserve"> </w:t>
      </w:r>
      <w:r>
        <w:rPr>
          <w:spacing w:val="1"/>
        </w:rPr>
        <w:t>ave</w:t>
      </w:r>
      <w:r>
        <w:rPr>
          <w:spacing w:val="-2"/>
        </w:rPr>
        <w:t>ţ</w:t>
      </w:r>
      <w:r>
        <w:t>i</w:t>
      </w:r>
      <w:r>
        <w:rPr>
          <w:spacing w:val="-2"/>
        </w:rPr>
        <w:t xml:space="preserve"> </w:t>
      </w:r>
      <w:r>
        <w:t xml:space="preserve">o </w:t>
      </w:r>
      <w:r>
        <w:rPr>
          <w:spacing w:val="-3"/>
        </w:rPr>
        <w:t>a</w:t>
      </w:r>
      <w:r>
        <w:t>fe</w:t>
      </w:r>
      <w:r>
        <w:rPr>
          <w:spacing w:val="-3"/>
        </w:rPr>
        <w:t>c</w:t>
      </w:r>
      <w:r>
        <w:rPr>
          <w:spacing w:val="1"/>
        </w:rPr>
        <w:t>ţi</w:t>
      </w:r>
      <w:r>
        <w:rPr>
          <w:spacing w:val="-3"/>
        </w:rPr>
        <w:t>u</w:t>
      </w:r>
      <w:r>
        <w:t xml:space="preserve">ne </w:t>
      </w:r>
      <w:r>
        <w:rPr>
          <w:spacing w:val="-3"/>
        </w:rPr>
        <w:t>c</w:t>
      </w:r>
      <w:r>
        <w:t>ar</w:t>
      </w:r>
      <w:r>
        <w:rPr>
          <w:spacing w:val="-3"/>
        </w:rPr>
        <w:t>d</w:t>
      </w:r>
      <w:r>
        <w:rPr>
          <w:spacing w:val="1"/>
        </w:rPr>
        <w:t>i</w:t>
      </w:r>
      <w:r>
        <w:t>a</w:t>
      </w:r>
      <w:r>
        <w:rPr>
          <w:spacing w:val="-3"/>
        </w:rPr>
        <w:t>c</w:t>
      </w:r>
      <w:r>
        <w:t xml:space="preserve">ă </w:t>
      </w:r>
      <w:r>
        <w:rPr>
          <w:spacing w:val="-3"/>
        </w:rPr>
        <w:t>g</w:t>
      </w:r>
      <w:r>
        <w:t>r</w:t>
      </w:r>
      <w:r>
        <w:rPr>
          <w:spacing w:val="-3"/>
        </w:rPr>
        <w:t>av</w:t>
      </w:r>
      <w:r>
        <w:t>ă (</w:t>
      </w:r>
      <w:r>
        <w:rPr>
          <w:spacing w:val="-3"/>
        </w:rPr>
        <w:t>v</w:t>
      </w:r>
      <w:r>
        <w:t>e</w:t>
      </w:r>
      <w:r>
        <w:rPr>
          <w:spacing w:val="-3"/>
        </w:rPr>
        <w:t>z</w:t>
      </w:r>
      <w:r>
        <w:t>i</w:t>
      </w:r>
      <w:r>
        <w:rPr>
          <w:spacing w:val="1"/>
        </w:rPr>
        <w:t xml:space="preserve"> </w:t>
      </w:r>
      <w:r>
        <w:t>“</w:t>
      </w:r>
      <w:r>
        <w:rPr>
          <w:spacing w:val="-1"/>
        </w:rPr>
        <w:t>A</w:t>
      </w:r>
      <w:r>
        <w:rPr>
          <w:spacing w:val="1"/>
        </w:rPr>
        <w:t>t</w:t>
      </w:r>
      <w:r>
        <w:t>en</w:t>
      </w:r>
      <w:r>
        <w:rPr>
          <w:spacing w:val="-2"/>
        </w:rPr>
        <w:t>ţ</w:t>
      </w:r>
      <w:r>
        <w:rPr>
          <w:spacing w:val="1"/>
        </w:rPr>
        <w:t>i</w:t>
      </w:r>
      <w:r>
        <w:t>on</w:t>
      </w:r>
      <w:r>
        <w:rPr>
          <w:spacing w:val="-3"/>
        </w:rPr>
        <w:t>ă</w:t>
      </w:r>
      <w:r>
        <w:t>ri</w:t>
      </w:r>
      <w:r>
        <w:rPr>
          <w:spacing w:val="-2"/>
        </w:rPr>
        <w:t xml:space="preserve"> </w:t>
      </w:r>
      <w:r>
        <w:t>şi</w:t>
      </w:r>
      <w:r>
        <w:rPr>
          <w:spacing w:val="1"/>
        </w:rPr>
        <w:t xml:space="preserve"> </w:t>
      </w:r>
      <w:r>
        <w:rPr>
          <w:spacing w:val="-3"/>
        </w:rPr>
        <w:t>p</w:t>
      </w:r>
      <w:r>
        <w:t>r</w:t>
      </w:r>
      <w:r>
        <w:rPr>
          <w:spacing w:val="-3"/>
        </w:rPr>
        <w:t>e</w:t>
      </w:r>
      <w:r>
        <w:t>cau</w:t>
      </w:r>
      <w:r>
        <w:rPr>
          <w:spacing w:val="-2"/>
        </w:rPr>
        <w:t>ţ</w:t>
      </w:r>
      <w:r>
        <w:rPr>
          <w:spacing w:val="1"/>
        </w:rPr>
        <w:t>i</w:t>
      </w:r>
      <w:r>
        <w:rPr>
          <w:spacing w:val="-3"/>
        </w:rPr>
        <w:t>i</w:t>
      </w:r>
      <w:r>
        <w:t>”).</w:t>
      </w:r>
    </w:p>
    <w:p w14:paraId="3BB9FC9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91C9F19" w14:textId="77777777" w:rsidR="00C04CAD" w:rsidRDefault="00060E34">
      <w:pPr>
        <w:keepNext/>
        <w:numPr>
          <w:ilvl w:val="12"/>
          <w:numId w:val="0"/>
        </w:numPr>
        <w:tabs>
          <w:tab w:val="clear" w:pos="567"/>
        </w:tabs>
        <w:spacing w:line="240" w:lineRule="auto"/>
        <w:outlineLvl w:val="0"/>
        <w:rPr>
          <w:b/>
        </w:rPr>
      </w:pPr>
      <w:r>
        <w:rPr>
          <w:b/>
        </w:rPr>
        <w:t xml:space="preserve">Atenționări și precauții </w:t>
      </w:r>
    </w:p>
    <w:p w14:paraId="0A10654A"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320A8E3E" w14:textId="77777777" w:rsidR="00C04CAD" w:rsidRDefault="00060E34">
      <w:pPr>
        <w:keepNext/>
        <w:numPr>
          <w:ilvl w:val="12"/>
          <w:numId w:val="0"/>
        </w:numPr>
        <w:tabs>
          <w:tab w:val="clear" w:pos="567"/>
        </w:tabs>
        <w:spacing w:line="240" w:lineRule="auto"/>
        <w:rPr>
          <w:spacing w:val="-1"/>
        </w:rPr>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sau</w:t>
      </w:r>
      <w:r>
        <w:rPr>
          <w:spacing w:val="-3"/>
        </w:rPr>
        <w:t xml:space="preserve"> </w:t>
      </w:r>
      <w:r>
        <w:t>far</w:t>
      </w:r>
      <w:r>
        <w:rPr>
          <w:spacing w:val="-4"/>
        </w:rPr>
        <w:t>m</w:t>
      </w:r>
      <w:r>
        <w:t>ac</w:t>
      </w:r>
      <w:r>
        <w:rPr>
          <w:spacing w:val="-2"/>
        </w:rPr>
        <w:t>i</w:t>
      </w:r>
      <w:r>
        <w:t>s</w:t>
      </w:r>
      <w:r>
        <w:rPr>
          <w:spacing w:val="1"/>
        </w:rPr>
        <w:t>t</w:t>
      </w:r>
      <w:r>
        <w:rPr>
          <w:spacing w:val="-3"/>
        </w:rPr>
        <w:t>u</w:t>
      </w:r>
      <w:r>
        <w:rPr>
          <w:spacing w:val="1"/>
        </w:rPr>
        <w:t>l</w:t>
      </w:r>
      <w:r>
        <w:rPr>
          <w:spacing w:val="-3"/>
        </w:rPr>
        <w:t>u</w:t>
      </w:r>
      <w:r>
        <w:t>i</w:t>
      </w:r>
      <w:r>
        <w:rPr>
          <w:spacing w:val="1"/>
        </w:rPr>
        <w:t xml:space="preserve"> î</w:t>
      </w:r>
      <w:r>
        <w:rPr>
          <w:spacing w:val="-3"/>
        </w:rPr>
        <w:t>n</w:t>
      </w:r>
      <w:r>
        <w:t>a</w:t>
      </w:r>
      <w:r>
        <w:rPr>
          <w:spacing w:val="1"/>
        </w:rPr>
        <w:t>i</w:t>
      </w:r>
      <w:r>
        <w:rPr>
          <w:spacing w:val="-3"/>
        </w:rPr>
        <w:t>n</w:t>
      </w:r>
      <w:r>
        <w:rPr>
          <w:spacing w:val="1"/>
        </w:rPr>
        <w:t>t</w:t>
      </w:r>
      <w:r>
        <w:t xml:space="preserve">e </w:t>
      </w:r>
      <w:r>
        <w:rPr>
          <w:spacing w:val="-2"/>
        </w:rPr>
        <w:t>s</w:t>
      </w:r>
      <w:r>
        <w:t>ă u</w:t>
      </w:r>
      <w:r>
        <w:rPr>
          <w:spacing w:val="-2"/>
        </w:rPr>
        <w:t>t</w:t>
      </w:r>
      <w:r>
        <w:rPr>
          <w:spacing w:val="1"/>
        </w:rPr>
        <w:t>i</w:t>
      </w:r>
      <w:r>
        <w:rPr>
          <w:spacing w:val="-2"/>
        </w:rPr>
        <w:t>l</w:t>
      </w:r>
      <w:r>
        <w:rPr>
          <w:spacing w:val="1"/>
        </w:rPr>
        <w:t>i</w:t>
      </w:r>
      <w:r>
        <w:rPr>
          <w:spacing w:val="-3"/>
        </w:rPr>
        <w:t>z</w:t>
      </w:r>
      <w:r>
        <w:t>a</w:t>
      </w:r>
      <w:r>
        <w:rPr>
          <w:spacing w:val="-2"/>
        </w:rPr>
        <w:t>ţ</w:t>
      </w:r>
      <w:r>
        <w:t>i</w:t>
      </w:r>
      <w:r>
        <w:rPr>
          <w:spacing w:val="1"/>
        </w:rPr>
        <w:t xml:space="preserve"> </w:t>
      </w:r>
      <w:r>
        <w:rPr>
          <w:spacing w:val="-1"/>
          <w:szCs w:val="22"/>
        </w:rPr>
        <w:t>AMGEVITA:</w:t>
      </w:r>
    </w:p>
    <w:p w14:paraId="59FFA98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016908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Reacții alergice</w:t>
      </w:r>
    </w:p>
    <w:p w14:paraId="3CB4777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25909CB" w14:textId="77777777" w:rsidR="00C04CAD" w:rsidRDefault="00060E34">
      <w:pPr>
        <w:pStyle w:val="ListParagraph"/>
        <w:numPr>
          <w:ilvl w:val="0"/>
          <w:numId w:val="7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prezentaţi reacţii alergice simptomatice precum presiune toracică, respiraţie şuierătoare, ameţeli, edeme sau erupţii pe piele întrerupeţi injecţiile cu AMGEVITA şi adresaţi-vă imediat medicului dumneavoastră deoarece, în cazuri rare, aceste reacţii adverse pot pune viața în pericol.</w:t>
      </w:r>
    </w:p>
    <w:p w14:paraId="5CD9959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24CFB4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Infecții</w:t>
      </w:r>
    </w:p>
    <w:p w14:paraId="7E51A85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DB3021F" w14:textId="77777777" w:rsidR="00C04CAD" w:rsidRDefault="00060E34">
      <w:pPr>
        <w:pStyle w:val="ListParagraph"/>
        <w:numPr>
          <w:ilvl w:val="0"/>
          <w:numId w:val="7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o infecţie, inclusiv o infecţie de lungă durată sau una localizată (de exemplu, o ulceraţie a membrului inferior) spuneţi medicului dumneavoastră înainte de a începe să luaţi AMGEVITA. Dacă nu sunteţi sigur, contactaţi-l pe medicul dumneavoastră.</w:t>
      </w:r>
    </w:p>
    <w:p w14:paraId="776518E1" w14:textId="77777777" w:rsidR="00C04CAD" w:rsidRDefault="00060E34">
      <w:pPr>
        <w:pStyle w:val="ListParagraph"/>
        <w:numPr>
          <w:ilvl w:val="0"/>
          <w:numId w:val="74"/>
        </w:numPr>
        <w:tabs>
          <w:tab w:val="clear" w:pos="567"/>
        </w:tabs>
        <w:kinsoku w:val="0"/>
        <w:overflowPunct w:val="0"/>
        <w:autoSpaceDE w:val="0"/>
        <w:autoSpaceDN w:val="0"/>
        <w:adjustRightInd w:val="0"/>
        <w:spacing w:line="240" w:lineRule="auto"/>
        <w:ind w:left="567"/>
      </w:pPr>
      <w:r>
        <w:rPr>
          <w:szCs w:val="22"/>
          <w:lang w:eastAsia="en-US" w:bidi="ar-SA"/>
        </w:rPr>
        <w:t>Puteţi face mai uşor infecţii în timpul tratamentului cu AMGEVITA. Acest risc poate creşte dacă funcţia plămânilor dumneavoastră este afectată. Aceste infecţii pot fi grave şi includ tuberculoză, infecţii determinate de virusuri, ciuperci, paraziţi sau bacterii sau alte infecţii oportuniste şi sepsis care, în rare cazuri, vă pot pune viaţa în pericol. Este important să-i spuneţi medicului dumneavoastră dacă aveţi simptome precum febră, răni, senzaţie de oboseală, probleme dentare. Medicul dumneavoastră vă poate recomanda întreruperea temporară a tratamentului cu AMGEVITA.</w:t>
      </w:r>
    </w:p>
    <w:p w14:paraId="7C7863B9"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3196B74E"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Tuberculoză</w:t>
      </w:r>
    </w:p>
    <w:p w14:paraId="7E02F1FD"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520A8220"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Deoarece </w:t>
      </w:r>
      <w:r>
        <w:rPr>
          <w:szCs w:val="22"/>
          <w:lang w:eastAsia="en-US" w:bidi="ar-SA"/>
        </w:rPr>
        <w:t>s-au raportat cazuri de tuberculoză la pacienţii trataţi cu adalimumab, medicul dumneavoastră vă va examina, în ceea ce priveşte semnele şi simptomele de tuberculoză înainte de iniţierea tratamentului cu AMGEVITA.</w:t>
      </w:r>
      <w:r>
        <w:t xml:space="preserve"> Aceasta va include o evaluare medicală amănunțită, inclusiv un istoric medical şi teste adecvate (de exemplu: o radiografie toracică şi un test la tuberculină). Efectuarea şi rezultatele acestor teste trebuie înregistrate pe </w:t>
      </w:r>
      <w:r>
        <w:rPr>
          <w:b/>
        </w:rPr>
        <w:t xml:space="preserve">Cardul dumneavoastră de </w:t>
      </w:r>
      <w:r>
        <w:rPr>
          <w:b/>
          <w:szCs w:val="22"/>
        </w:rPr>
        <w:t>avertizare</w:t>
      </w:r>
      <w:r>
        <w:rPr>
          <w:szCs w:val="22"/>
          <w:lang w:eastAsia="en-US" w:bidi="ar-SA"/>
        </w:rPr>
        <w:t>.</w:t>
      </w:r>
      <w:r>
        <w:t xml:space="preserve"> Este foarte important să-i spuneţi medicului dumneavoastră dacă aţi avut vreodată tuberculoză sau dacă aţi fost în contact direct cu cineva care a avut tuberculoză. </w:t>
      </w:r>
    </w:p>
    <w:p w14:paraId="782EF258"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Tuberculoza se poate dezvolta în timpul tratamentului, chiar dacă ați urmat un tratament preventiv pentru tuberculoză. </w:t>
      </w:r>
    </w:p>
    <w:p w14:paraId="3C140950"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Dacă pe parcursul tratamentului sau după încheierea acestuia, apar simptome de tuberculoză (tuse persistentă, pierdere în greutate, apatie, febră uşoară), sau orice alte infecţii, comunicaţi acest lucru imediat medicului dumneavoastră.</w:t>
      </w:r>
    </w:p>
    <w:p w14:paraId="67B618E7"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4FE643C3"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pPr>
      <w:r>
        <w:t>Infecții recurente/asociate cu călătoriile</w:t>
      </w:r>
    </w:p>
    <w:p w14:paraId="4FC2749E"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pPr>
    </w:p>
    <w:p w14:paraId="7200B700" w14:textId="77777777" w:rsidR="00C04CAD" w:rsidRDefault="00060E34">
      <w:pPr>
        <w:pStyle w:val="ListParagraph"/>
        <w:numPr>
          <w:ilvl w:val="0"/>
          <w:numId w:val="76"/>
        </w:numPr>
        <w:tabs>
          <w:tab w:val="clear" w:pos="567"/>
        </w:tabs>
        <w:kinsoku w:val="0"/>
        <w:overflowPunct w:val="0"/>
        <w:autoSpaceDE w:val="0"/>
        <w:autoSpaceDN w:val="0"/>
        <w:adjustRightInd w:val="0"/>
        <w:spacing w:line="240" w:lineRule="auto"/>
        <w:ind w:left="567"/>
        <w:rPr>
          <w:szCs w:val="22"/>
          <w:lang w:eastAsia="en-US" w:bidi="ar-SA"/>
        </w:rPr>
      </w:pPr>
      <w:r>
        <w:t xml:space="preserve">Spuneţi medicului dumneavoastră dacă locuiţi sau călătoriţi în zone endemice pentru infecţiile cu ciuperci, cum sunt histoplasmoză, </w:t>
      </w:r>
      <w:r>
        <w:rPr>
          <w:szCs w:val="22"/>
          <w:lang w:eastAsia="en-US" w:bidi="ar-SA"/>
        </w:rPr>
        <w:t>coccidioidomicoză sau blastomicoză.</w:t>
      </w:r>
    </w:p>
    <w:p w14:paraId="20796088" w14:textId="77777777" w:rsidR="00C04CAD" w:rsidRDefault="00060E34">
      <w:pPr>
        <w:pStyle w:val="ListParagraph"/>
        <w:numPr>
          <w:ilvl w:val="0"/>
          <w:numId w:val="77"/>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aveţi antecedente de infecţii recidivante sau alte afecţiuni care cresc riscul de infecţii.</w:t>
      </w:r>
    </w:p>
    <w:p w14:paraId="6B78F9AD"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1B0F4B80" w14:textId="77777777" w:rsidR="00C04CAD" w:rsidRDefault="00060E34">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Virusul hepatitei B</w:t>
      </w:r>
    </w:p>
    <w:p w14:paraId="34D02579" w14:textId="77777777" w:rsidR="00C04CAD" w:rsidRDefault="00C04CAD">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p>
    <w:p w14:paraId="303A60BC" w14:textId="77777777" w:rsidR="00C04CAD" w:rsidRDefault="00060E34">
      <w:pPr>
        <w:pStyle w:val="ListParagraph"/>
        <w:numPr>
          <w:ilvl w:val="0"/>
          <w:numId w:val="7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sunteţi purtător al virusului hepatitei B (VHB), dacă aveţi hepatită B activă sau credeţi că aveţi un risc crescut să dobândiţi VHB. Medicul dumneavoastră trebuie să vă efectueze teste pentru VHB. AMGEVITA poate cauza reactivarea VHB la pacienţii purtători ai acestui virus. Rar, în unele cazuri, în special dacă luaţi alte medicamente care scad sistemul imun, reactivarea VHB poate pune viaţa în pericol.</w:t>
      </w:r>
    </w:p>
    <w:p w14:paraId="4A9DD49A"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23F1FCA7"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Vârsta peste 65 ani</w:t>
      </w:r>
    </w:p>
    <w:p w14:paraId="15764AF1"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7625C2D5" w14:textId="77777777" w:rsidR="00C04CAD" w:rsidRDefault="00060E34">
      <w:pPr>
        <w:pStyle w:val="ListParagraph"/>
        <w:numPr>
          <w:ilvl w:val="0"/>
          <w:numId w:val="7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mai mult de 65 ani puteţi fi mai susceptibil la infecţii în timp ce utilizaţi AMGEVITA. Dumneavoastră şi medicul dumneavoastră trebuie să acordaţi atenţie deosebită semnelor de infecţie în timpul tratamentului cu AMGEVITA. Este important să spuneţi medicului dumneavoastră dacă aveţi simptome de infecţie cum sunt: febră, răni, senzaţie de oboseală sau probleme dentare.</w:t>
      </w:r>
    </w:p>
    <w:p w14:paraId="21B069EE"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07DC8F61"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Procedură chirurgicală sau stomatologică</w:t>
      </w:r>
    </w:p>
    <w:p w14:paraId="33752D64"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315B352A" w14:textId="77777777" w:rsidR="00C04CAD" w:rsidRDefault="00060E34">
      <w:pPr>
        <w:pStyle w:val="ListParagraph"/>
        <w:numPr>
          <w:ilvl w:val="0"/>
          <w:numId w:val="8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sunteţi programat să efectuaţi intervenţii chirurgicale sau dentare informaţi medicul dumneavoastră că sunteţi sub tratament cu AMGEVITA. Medicul dumneavoastră vă poate recomanda întreruperea temporară a tratamentului cu AMGEVITA.</w:t>
      </w:r>
    </w:p>
    <w:p w14:paraId="13134BF3"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66556BE3"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Boală demielinizantă</w:t>
      </w:r>
    </w:p>
    <w:p w14:paraId="7618CFA9"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30E36B53" w14:textId="77777777" w:rsidR="00C04CAD" w:rsidRDefault="00060E34">
      <w:pPr>
        <w:pStyle w:val="ListParagraph"/>
        <w:numPr>
          <w:ilvl w:val="0"/>
          <w:numId w:val="8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sau dezvoltaţi o boală demielinizantă cum este scleroza multiplă, medicul dumneavoastră va decide dacă trebuie să fiţi tratat cu AMGEVITA sau să continuaţi să fiţi tratat cu AMGEVITA. Spuneţi imediat medicului dumneavoastră dacă aveţi simptome cum sunt modificări ale vederii, slăbiciune la nivelul mâinilor sau picioarelor sau amorţeli sau furnicături în orice parte a corpului.</w:t>
      </w:r>
    </w:p>
    <w:p w14:paraId="1F991C68"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4FE37FAC"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Vaccinări</w:t>
      </w:r>
    </w:p>
    <w:p w14:paraId="65A5C4AC"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2376D680"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Anumite vaccinuri </w:t>
      </w:r>
      <w:r>
        <w:t>conțin forme vii, dar atenuate ale unor bacterii sau virusuri care pot cauza o boală și care</w:t>
      </w:r>
      <w:r>
        <w:rPr>
          <w:szCs w:val="22"/>
          <w:lang w:eastAsia="en-US" w:bidi="ar-SA"/>
        </w:rPr>
        <w:t xml:space="preserve"> pot determina infecţii şi nu trebuie administrate în timpul tratamentului cu AMGEVITA. Vă rugăm să spuneţi medicului dumneavoastră înainte de a vi se administra orice vaccin. Înaintea începerii tratamentului cu AMGEVITA, se recomandă ca pacienţii copii, dacă este posibil, să fie vaccinaţi la zi, în concordanţă cu ghidurile în vigoare privind imunizarea. </w:t>
      </w:r>
    </w:p>
    <w:p w14:paraId="210FA213"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aţi utilizat AMGEVITA pe perioada sarcinii, copilul dumneavoastră poate avea un risc crescut de infecţii timp de cel puţin 5 luni de la ultima doză pe care aţi utilizat-o în timpul sarcinii. Este important să spuneţi medicului copilului dumneavoastră şi altor profesionişti din domeniul sănătăţii că aţi utilizat AMGEVITA în timpul sarcinii, astfel ei pot decide când ar trebui să i se administreze copilului dumneavoastră un vaccin.</w:t>
      </w:r>
    </w:p>
    <w:p w14:paraId="6FC987D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16E4F1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Insuficiență cardiacă</w:t>
      </w:r>
    </w:p>
    <w:p w14:paraId="1FDD713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D4DEE01" w14:textId="77777777" w:rsidR="00C04CAD" w:rsidRDefault="00060E34">
      <w:pPr>
        <w:pStyle w:val="ListParagraph"/>
        <w:numPr>
          <w:ilvl w:val="0"/>
          <w:numId w:val="8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aveţi insuficienţă cardiacă uşoară şi sunteţi tratat cu AMGEVITA, evoluţia insuficienţei cardiace trebuie monitorizată îndeaproape de către medicul dumneavoastră. Este important să-i comunicaţi medicului dacă aţi avutsau aveţi o afecţiune cardiacă gravă. Dacă prezentaţi simptome noi sau agravate de insuficienţă cardiacă (de exemplu dificultăţi în respiraţie sau umflarea picioarelor), adresaţi-vă imediat medicului dumneavoastră. </w:t>
      </w:r>
      <w:r>
        <w:t xml:space="preserve">Medicul dumneavoastră va decide dacă </w:t>
      </w:r>
      <w:r>
        <w:rPr>
          <w:szCs w:val="22"/>
        </w:rPr>
        <w:t xml:space="preserve">puteţi utiliza </w:t>
      </w:r>
      <w:r>
        <w:t>AMGEVITA.</w:t>
      </w:r>
    </w:p>
    <w:p w14:paraId="01B062BA"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66C81C2F"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Febră, vânătăi, sângerări sau piele foarte palidă</w:t>
      </w:r>
    </w:p>
    <w:p w14:paraId="25EE3422"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3E52CCE6" w14:textId="77777777" w:rsidR="00C04CAD" w:rsidRDefault="00060E34">
      <w:pPr>
        <w:pStyle w:val="ListParagraph"/>
        <w:numPr>
          <w:ilvl w:val="0"/>
          <w:numId w:val="84"/>
        </w:numPr>
        <w:tabs>
          <w:tab w:val="clear" w:pos="567"/>
        </w:tabs>
        <w:kinsoku w:val="0"/>
        <w:overflowPunct w:val="0"/>
        <w:autoSpaceDE w:val="0"/>
        <w:autoSpaceDN w:val="0"/>
        <w:adjustRightInd w:val="0"/>
        <w:spacing w:line="240" w:lineRule="auto"/>
        <w:ind w:left="567"/>
        <w:rPr>
          <w:szCs w:val="22"/>
          <w:lang w:eastAsia="en-US" w:bidi="ar-SA"/>
        </w:rPr>
      </w:pPr>
      <w:r>
        <w:t xml:space="preserve">La </w:t>
      </w:r>
      <w:r>
        <w:rPr>
          <w:szCs w:val="22"/>
          <w:lang w:eastAsia="en-US" w:bidi="ar-SA"/>
        </w:rPr>
        <w:t>unii pacienţi, organismul poate să nu mai producă suficiente celule sanguine care ajută organismul dumneavoastră în lupta contra infecţiilor sau vă ajută în oprirea sângerărilor. Dacă apar febră persistentă, vânătăi sau sângeraţi foarte uşor sau sunteţi foarte palid, anunţaţi medicul imediat. Medicul dumneavoastră poate decide întreruperea tratamentului.</w:t>
      </w:r>
    </w:p>
    <w:p w14:paraId="098B7783"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46749BE7"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Cancer</w:t>
      </w:r>
    </w:p>
    <w:p w14:paraId="028DD96B"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16DA91F3" w14:textId="77777777" w:rsidR="00C04CAD" w:rsidRDefault="00060E34">
      <w:pPr>
        <w:pStyle w:val="ListParagraph"/>
        <w:keepNext/>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Există foarte rare cazuri de anumite forme de cancer la copii şi adulţi trataţi cu adalimumab sau cu alţi blocanţi ai TNF. Persoanele cu poliartrită reumatoidă mai gravă care au avut afecţiunea timp îndelungat, au un risc mai mare decât media în dezvoltarea limfomului (cancer care afectează sistemul limfatic) şi a leucemiei (cancer care afectează sângele şi măduva osoasă). </w:t>
      </w:r>
    </w:p>
    <w:p w14:paraId="5A1DD3F8"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utilizaţi AMGEVITA poate să crească riscul apariţiei limfomului, leucemiei, sau a altor tipuri de cancer. Rareori, la pacienţii care utilizează adalimumab, s-a observat un tip specific şi sever de limfom. Unii dintre aceşti pacienţi erau trataţi de asemenea cu azatioprină sau 6-mercaptopurină. Spuneţi medicului dumneavoastră dacă utilizaţi azatioprină sau 6-mercaptopurină concomitent cu AMGEVITA. </w:t>
      </w:r>
    </w:p>
    <w:p w14:paraId="4559C6E2"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 plus, au fost observate cazuri de cancere de pielealtele decât melanom la pacienţii care utilizează adalimumab. Spuneţi medicului dumneavoastră dacă vă apar noi leziuni ale pielii sau dacă apar modificări ale leziunilor existente în timpul tratamentului sau după.</w:t>
      </w:r>
    </w:p>
    <w:p w14:paraId="202F9443" w14:textId="77777777" w:rsidR="00C04CAD" w:rsidRDefault="00060E34">
      <w:pPr>
        <w:pStyle w:val="ListParagraph"/>
        <w:numPr>
          <w:ilvl w:val="0"/>
          <w:numId w:val="8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5C577EBE" w14:textId="77777777" w:rsidR="00C04CAD" w:rsidRDefault="00C04CAD">
      <w:pPr>
        <w:spacing w:line="240" w:lineRule="auto"/>
        <w:rPr>
          <w:szCs w:val="22"/>
          <w:lang w:eastAsia="en-US" w:bidi="ar-SA"/>
        </w:rPr>
      </w:pPr>
    </w:p>
    <w:p w14:paraId="23A625E7" w14:textId="77777777" w:rsidR="00C04CAD" w:rsidRDefault="00060E34">
      <w:pPr>
        <w:spacing w:line="240" w:lineRule="auto"/>
        <w:rPr>
          <w:szCs w:val="22"/>
          <w:lang w:eastAsia="en-US" w:bidi="ar-SA"/>
        </w:rPr>
      </w:pPr>
      <w:r>
        <w:rPr>
          <w:szCs w:val="22"/>
          <w:lang w:eastAsia="en-US" w:bidi="ar-SA"/>
        </w:rPr>
        <w:t>Boli autoimune</w:t>
      </w:r>
    </w:p>
    <w:p w14:paraId="3808D175" w14:textId="77777777" w:rsidR="00C04CAD" w:rsidRDefault="00C04CAD">
      <w:pPr>
        <w:spacing w:line="240" w:lineRule="auto"/>
        <w:rPr>
          <w:szCs w:val="22"/>
          <w:lang w:eastAsia="en-US" w:bidi="ar-SA"/>
        </w:rPr>
      </w:pPr>
    </w:p>
    <w:p w14:paraId="4558345E"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rPr>
          <w:szCs w:val="22"/>
          <w:lang w:eastAsia="en-US" w:bidi="ar-SA"/>
        </w:rPr>
      </w:pPr>
      <w:r>
        <w:t>Rar, tratamentul cu AMGEVITA poate determina un sindrom asemănător lupusului. Contactati-l pe medicul dumneavoastră dacă apar simptome cum ar fi erupție cutanată neexplicată persistentă, febră, dureri ale articulațiilor sau oboseală.</w:t>
      </w:r>
    </w:p>
    <w:p w14:paraId="63DDE33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261E85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a creşte gradul de trasabilitate a acestui medicament, medicul dumneavoastră sau farmacistul trebuie să înregistreze denumirea şi numărul seriei de fabricaţie ale medicamentului care v-a fost eliberat în fişa dumneavoastră de pacient. Şi dumneavoastră vă puteţi nota aceste informaţii în cazul în care v-ar fi solicitate în viitor.</w:t>
      </w:r>
    </w:p>
    <w:p w14:paraId="111ABF53"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4A2AA0B4" w14:textId="77777777" w:rsidR="00C04CAD" w:rsidRDefault="00060E34">
      <w:pPr>
        <w:keepNext/>
        <w:numPr>
          <w:ilvl w:val="12"/>
          <w:numId w:val="0"/>
        </w:numPr>
        <w:tabs>
          <w:tab w:val="clear" w:pos="567"/>
        </w:tabs>
        <w:spacing w:line="240" w:lineRule="auto"/>
        <w:rPr>
          <w:b/>
          <w:bCs/>
        </w:rPr>
      </w:pPr>
      <w:r>
        <w:rPr>
          <w:b/>
        </w:rPr>
        <w:t>Copii și adolescenți</w:t>
      </w:r>
    </w:p>
    <w:p w14:paraId="6063F327" w14:textId="77777777" w:rsidR="00C04CAD" w:rsidRDefault="00C04CAD">
      <w:pPr>
        <w:keepNext/>
        <w:numPr>
          <w:ilvl w:val="12"/>
          <w:numId w:val="0"/>
        </w:numPr>
        <w:tabs>
          <w:tab w:val="clear" w:pos="567"/>
        </w:tabs>
        <w:spacing w:line="240" w:lineRule="auto"/>
        <w:rPr>
          <w:b/>
        </w:rPr>
      </w:pPr>
    </w:p>
    <w:p w14:paraId="7574103B"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V</w:t>
      </w:r>
      <w:r>
        <w:t>a</w:t>
      </w:r>
      <w:r>
        <w:rPr>
          <w:spacing w:val="-3"/>
        </w:rPr>
        <w:t>c</w:t>
      </w:r>
      <w:r>
        <w:t>c</w:t>
      </w:r>
      <w:r>
        <w:rPr>
          <w:spacing w:val="1"/>
        </w:rPr>
        <w:t>i</w:t>
      </w:r>
      <w:r>
        <w:rPr>
          <w:spacing w:val="-3"/>
        </w:rPr>
        <w:t>n</w:t>
      </w:r>
      <w:r>
        <w:t>ă</w:t>
      </w:r>
      <w:r>
        <w:rPr>
          <w:spacing w:val="-2"/>
        </w:rPr>
        <w:t>r</w:t>
      </w:r>
      <w:r>
        <w:rPr>
          <w:spacing w:val="1"/>
        </w:rPr>
        <w:t>i</w:t>
      </w:r>
      <w:r>
        <w:t>:</w:t>
      </w:r>
      <w:r>
        <w:rPr>
          <w:spacing w:val="-2"/>
        </w:rPr>
        <w:t xml:space="preserve"> </w:t>
      </w:r>
      <w:r>
        <w:t>dacă</w:t>
      </w:r>
      <w:r>
        <w:rPr>
          <w:spacing w:val="-2"/>
        </w:rPr>
        <w:t xml:space="preserve"> </w:t>
      </w:r>
      <w:r>
        <w:t>e</w:t>
      </w:r>
      <w:r>
        <w:rPr>
          <w:spacing w:val="-2"/>
        </w:rPr>
        <w:t>s</w:t>
      </w:r>
      <w:r>
        <w:rPr>
          <w:spacing w:val="1"/>
        </w:rPr>
        <w:t>t</w:t>
      </w:r>
      <w:r>
        <w:t>e p</w:t>
      </w:r>
      <w:r>
        <w:rPr>
          <w:spacing w:val="-3"/>
        </w:rPr>
        <w:t>o</w:t>
      </w:r>
      <w:r>
        <w:t>s</w:t>
      </w:r>
      <w:r>
        <w:rPr>
          <w:spacing w:val="1"/>
        </w:rPr>
        <w:t>i</w:t>
      </w:r>
      <w:r>
        <w:rPr>
          <w:spacing w:val="-3"/>
        </w:rPr>
        <w:t>b</w:t>
      </w:r>
      <w:r>
        <w:rPr>
          <w:spacing w:val="1"/>
        </w:rPr>
        <w:t>i</w:t>
      </w:r>
      <w:r>
        <w:rPr>
          <w:spacing w:val="-2"/>
        </w:rPr>
        <w:t>l</w:t>
      </w:r>
      <w:r>
        <w:t>, cop</w:t>
      </w:r>
      <w:r>
        <w:rPr>
          <w:spacing w:val="-2"/>
        </w:rPr>
        <w:t>i</w:t>
      </w:r>
      <w:r>
        <w:rPr>
          <w:spacing w:val="1"/>
        </w:rPr>
        <w:t>l</w:t>
      </w:r>
      <w:r>
        <w:rPr>
          <w:spacing w:val="-3"/>
        </w:rPr>
        <w:t>u</w:t>
      </w:r>
      <w:r>
        <w:t>l</w:t>
      </w:r>
      <w:r>
        <w:rPr>
          <w:spacing w:val="1"/>
        </w:rPr>
        <w:t xml:space="preserve"> </w:t>
      </w:r>
      <w:r>
        <w:t>du</w:t>
      </w:r>
      <w:r>
        <w:rPr>
          <w:spacing w:val="-4"/>
        </w:rPr>
        <w:t>m</w:t>
      </w:r>
      <w:r>
        <w:t>nea</w:t>
      </w:r>
      <w:r>
        <w:rPr>
          <w:spacing w:val="-3"/>
        </w:rPr>
        <w:t>v</w:t>
      </w:r>
      <w:r>
        <w:t>oas</w:t>
      </w:r>
      <w:r>
        <w:rPr>
          <w:spacing w:val="1"/>
        </w:rPr>
        <w:t>t</w:t>
      </w:r>
      <w:r>
        <w:rPr>
          <w:spacing w:val="-2"/>
        </w:rPr>
        <w:t>r</w:t>
      </w:r>
      <w:r>
        <w:t xml:space="preserve">ă </w:t>
      </w:r>
      <w:r>
        <w:rPr>
          <w:spacing w:val="-2"/>
        </w:rPr>
        <w:t>t</w:t>
      </w:r>
      <w:r>
        <w:t>r</w:t>
      </w:r>
      <w:r>
        <w:rPr>
          <w:spacing w:val="-3"/>
        </w:rPr>
        <w:t>e</w:t>
      </w:r>
      <w:r>
        <w:t>bu</w:t>
      </w:r>
      <w:r>
        <w:rPr>
          <w:spacing w:val="1"/>
        </w:rPr>
        <w:t>i</w:t>
      </w:r>
      <w:r>
        <w:t>e</w:t>
      </w:r>
      <w:r>
        <w:rPr>
          <w:spacing w:val="-2"/>
        </w:rPr>
        <w:t xml:space="preserve"> </w:t>
      </w:r>
      <w:r>
        <w:t xml:space="preserve">să </w:t>
      </w:r>
      <w:r>
        <w:rPr>
          <w:spacing w:val="-2"/>
        </w:rPr>
        <w:t>f</w:t>
      </w:r>
      <w:r>
        <w:rPr>
          <w:spacing w:val="1"/>
        </w:rPr>
        <w:t>i</w:t>
      </w:r>
      <w:r>
        <w:t>e</w:t>
      </w:r>
      <w:r>
        <w:rPr>
          <w:spacing w:val="-2"/>
        </w:rPr>
        <w:t xml:space="preserve"> </w:t>
      </w:r>
      <w:r>
        <w:rPr>
          <w:spacing w:val="1"/>
        </w:rPr>
        <w:t>l</w:t>
      </w:r>
      <w:r>
        <w:t xml:space="preserve">a </w:t>
      </w:r>
      <w:r>
        <w:rPr>
          <w:spacing w:val="-3"/>
        </w:rPr>
        <w:t>z</w:t>
      </w:r>
      <w:r>
        <w:t>i</w:t>
      </w:r>
      <w:r>
        <w:rPr>
          <w:spacing w:val="-2"/>
        </w:rPr>
        <w:t xml:space="preserve"> </w:t>
      </w:r>
      <w:r>
        <w:t xml:space="preserve">cu </w:t>
      </w:r>
      <w:r>
        <w:rPr>
          <w:spacing w:val="1"/>
        </w:rPr>
        <w:t>t</w:t>
      </w:r>
      <w:r>
        <w:rPr>
          <w:spacing w:val="-3"/>
        </w:rPr>
        <w:t>o</w:t>
      </w:r>
      <w:r>
        <w:t>a</w:t>
      </w:r>
      <w:r>
        <w:rPr>
          <w:spacing w:val="-2"/>
        </w:rPr>
        <w:t>t</w:t>
      </w:r>
      <w:r>
        <w:t xml:space="preserve">e </w:t>
      </w:r>
      <w:r>
        <w:rPr>
          <w:spacing w:val="-3"/>
        </w:rPr>
        <w:t>v</w:t>
      </w:r>
      <w:r>
        <w:t>acc</w:t>
      </w:r>
      <w:r>
        <w:rPr>
          <w:spacing w:val="1"/>
        </w:rPr>
        <w:t>i</w:t>
      </w:r>
      <w:r>
        <w:t>n</w:t>
      </w:r>
      <w:r>
        <w:rPr>
          <w:spacing w:val="-3"/>
        </w:rPr>
        <w:t>ă</w:t>
      </w:r>
      <w:r>
        <w:t>r</w:t>
      </w:r>
      <w:r>
        <w:rPr>
          <w:spacing w:val="-2"/>
        </w:rPr>
        <w:t>i</w:t>
      </w:r>
      <w:r>
        <w:rPr>
          <w:spacing w:val="1"/>
        </w:rPr>
        <w:t>l</w:t>
      </w:r>
      <w:r>
        <w:t xml:space="preserve">e </w:t>
      </w:r>
      <w:r>
        <w:rPr>
          <w:spacing w:val="1"/>
        </w:rPr>
        <w:t>î</w:t>
      </w:r>
      <w:r>
        <w:t>n</w:t>
      </w:r>
      <w:r>
        <w:rPr>
          <w:spacing w:val="-3"/>
        </w:rPr>
        <w:t>a</w:t>
      </w:r>
      <w:r>
        <w:rPr>
          <w:spacing w:val="1"/>
        </w:rPr>
        <w:t>i</w:t>
      </w:r>
      <w:r>
        <w:t>n</w:t>
      </w:r>
      <w:r>
        <w:rPr>
          <w:spacing w:val="-2"/>
        </w:rPr>
        <w:t>t</w:t>
      </w:r>
      <w:r>
        <w:t xml:space="preserve">e să </w:t>
      </w:r>
      <w:r>
        <w:rPr>
          <w:spacing w:val="-3"/>
        </w:rPr>
        <w:t>u</w:t>
      </w:r>
      <w:r>
        <w:rPr>
          <w:spacing w:val="-2"/>
        </w:rPr>
        <w:t>t</w:t>
      </w:r>
      <w:r>
        <w:rPr>
          <w:spacing w:val="1"/>
        </w:rPr>
        <w:t>i</w:t>
      </w:r>
      <w:r>
        <w:rPr>
          <w:spacing w:val="-2"/>
        </w:rPr>
        <w:t>l</w:t>
      </w:r>
      <w:r>
        <w:rPr>
          <w:spacing w:val="1"/>
        </w:rPr>
        <w:t>i</w:t>
      </w:r>
      <w:r>
        <w:rPr>
          <w:spacing w:val="-3"/>
        </w:rPr>
        <w:t>z</w:t>
      </w:r>
      <w:r>
        <w:t>e</w:t>
      </w:r>
      <w:r>
        <w:rPr>
          <w:spacing w:val="-3"/>
        </w:rPr>
        <w:t>z</w:t>
      </w:r>
      <w:r>
        <w:t xml:space="preserve">e </w:t>
      </w:r>
      <w:r>
        <w:rPr>
          <w:spacing w:val="-1"/>
          <w:szCs w:val="22"/>
          <w:lang w:eastAsia="en-US" w:bidi="ar-SA"/>
        </w:rPr>
        <w:t>AMGEVITA</w:t>
      </w:r>
      <w:r>
        <w:t>.</w:t>
      </w:r>
    </w:p>
    <w:p w14:paraId="009FAB50"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087BC38E"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rPr>
          <w:spacing w:val="-1"/>
        </w:rPr>
        <w:t>N</w:t>
      </w:r>
      <w:r>
        <w:t>u ad</w:t>
      </w:r>
      <w:r>
        <w:rPr>
          <w:spacing w:val="-4"/>
        </w:rPr>
        <w:t>m</w:t>
      </w:r>
      <w:r>
        <w:rPr>
          <w:spacing w:val="1"/>
        </w:rPr>
        <w:t>i</w:t>
      </w:r>
      <w:r>
        <w:t>n</w:t>
      </w:r>
      <w:r>
        <w:rPr>
          <w:spacing w:val="1"/>
        </w:rPr>
        <w:t>i</w:t>
      </w:r>
      <w:r>
        <w:t>s</w:t>
      </w:r>
      <w:r>
        <w:rPr>
          <w:spacing w:val="-2"/>
        </w:rPr>
        <w:t>t</w:t>
      </w:r>
      <w:r>
        <w:t>r</w:t>
      </w:r>
      <w:r>
        <w:rPr>
          <w:spacing w:val="-3"/>
        </w:rPr>
        <w:t>a</w:t>
      </w:r>
      <w:r>
        <w:rPr>
          <w:spacing w:val="1"/>
        </w:rPr>
        <w:t>ţ</w:t>
      </w:r>
      <w:r>
        <w:t>i</w:t>
      </w:r>
      <w:r>
        <w:rPr>
          <w:spacing w:val="1"/>
        </w:rPr>
        <w:t xml:space="preserve"> </w:t>
      </w:r>
      <w:r>
        <w:rPr>
          <w:spacing w:val="-1"/>
          <w:szCs w:val="22"/>
          <w:lang w:eastAsia="en-US" w:bidi="ar-SA"/>
        </w:rPr>
        <w:t>AMGEVITA</w:t>
      </w:r>
      <w:r>
        <w:rPr>
          <w:spacing w:val="-2"/>
        </w:rPr>
        <w:t xml:space="preserve"> </w:t>
      </w:r>
      <w:r>
        <w:rPr>
          <w:spacing w:val="1"/>
        </w:rPr>
        <w:t>l</w:t>
      </w:r>
      <w:r>
        <w:t>a</w:t>
      </w:r>
      <w:r>
        <w:rPr>
          <w:spacing w:val="-2"/>
        </w:rPr>
        <w:t xml:space="preserve"> </w:t>
      </w:r>
      <w:r>
        <w:t>cop</w:t>
      </w:r>
      <w:r>
        <w:rPr>
          <w:spacing w:val="-2"/>
        </w:rPr>
        <w:t>i</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it</w:t>
      </w:r>
      <w:r>
        <w:t>ă</w:t>
      </w:r>
      <w:r>
        <w:rPr>
          <w:spacing w:val="-5"/>
        </w:rPr>
        <w:t xml:space="preserve"> </w:t>
      </w:r>
      <w:r>
        <w:rPr>
          <w:spacing w:val="3"/>
        </w:rPr>
        <w:t>j</w:t>
      </w:r>
      <w:r>
        <w:t>u</w:t>
      </w:r>
      <w:r>
        <w:rPr>
          <w:spacing w:val="-3"/>
        </w:rPr>
        <w:t>v</w:t>
      </w:r>
      <w:r>
        <w:t>en</w:t>
      </w:r>
      <w:r>
        <w:rPr>
          <w:spacing w:val="-2"/>
        </w:rPr>
        <w:t>i</w:t>
      </w:r>
      <w:r>
        <w:rPr>
          <w:spacing w:val="1"/>
        </w:rPr>
        <w:t>l</w:t>
      </w:r>
      <w:r>
        <w:t>ă</w:t>
      </w:r>
      <w:r>
        <w:rPr>
          <w:spacing w:val="-2"/>
        </w:rPr>
        <w:t xml:space="preserve"> </w:t>
      </w:r>
      <w:r>
        <w:rPr>
          <w:spacing w:val="1"/>
        </w:rPr>
        <w:t>i</w:t>
      </w:r>
      <w:r>
        <w:rPr>
          <w:spacing w:val="-3"/>
        </w:rPr>
        <w:t>d</w:t>
      </w:r>
      <w:r>
        <w:rPr>
          <w:spacing w:val="1"/>
        </w:rPr>
        <w:t>i</w:t>
      </w:r>
      <w:r>
        <w:rPr>
          <w:spacing w:val="-3"/>
        </w:rPr>
        <w:t>o</w:t>
      </w:r>
      <w:r>
        <w:t>pa</w:t>
      </w:r>
      <w:r>
        <w:rPr>
          <w:spacing w:val="-2"/>
        </w:rPr>
        <w:t>t</w:t>
      </w:r>
      <w:r>
        <w:rPr>
          <w:spacing w:val="1"/>
        </w:rPr>
        <w:t>i</w:t>
      </w:r>
      <w:r>
        <w:t>că</w:t>
      </w:r>
      <w:r>
        <w:rPr>
          <w:spacing w:val="-2"/>
        </w:rPr>
        <w:t xml:space="preserve"> </w:t>
      </w:r>
      <w:r>
        <w:t>for</w:t>
      </w:r>
      <w:r>
        <w:rPr>
          <w:spacing w:val="-4"/>
        </w:rPr>
        <w:t>m</w:t>
      </w:r>
      <w:r>
        <w:t xml:space="preserve">a </w:t>
      </w:r>
      <w:r>
        <w:rPr>
          <w:szCs w:val="22"/>
          <w:lang w:eastAsia="en-US" w:bidi="ar-SA"/>
        </w:rPr>
        <w:t>po</w:t>
      </w:r>
      <w:r>
        <w:rPr>
          <w:spacing w:val="-2"/>
          <w:szCs w:val="22"/>
          <w:lang w:eastAsia="en-US" w:bidi="ar-SA"/>
        </w:rPr>
        <w:t>l</w:t>
      </w:r>
      <w:r>
        <w:rPr>
          <w:spacing w:val="1"/>
          <w:szCs w:val="22"/>
          <w:lang w:eastAsia="en-US" w:bidi="ar-SA"/>
        </w:rPr>
        <w:t>i</w:t>
      </w:r>
      <w:r>
        <w:rPr>
          <w:spacing w:val="-3"/>
          <w:szCs w:val="22"/>
          <w:lang w:eastAsia="en-US" w:bidi="ar-SA"/>
        </w:rPr>
        <w:t>a</w:t>
      </w:r>
      <w:r>
        <w:rPr>
          <w:szCs w:val="22"/>
          <w:lang w:eastAsia="en-US" w:bidi="ar-SA"/>
        </w:rPr>
        <w:t>r</w:t>
      </w:r>
      <w:r>
        <w:rPr>
          <w:spacing w:val="-2"/>
          <w:szCs w:val="22"/>
          <w:lang w:eastAsia="en-US" w:bidi="ar-SA"/>
        </w:rPr>
        <w:t>t</w:t>
      </w:r>
      <w:r>
        <w:rPr>
          <w:spacing w:val="1"/>
          <w:szCs w:val="22"/>
          <w:lang w:eastAsia="en-US" w:bidi="ar-SA"/>
        </w:rPr>
        <w:t>i</w:t>
      </w:r>
      <w:r>
        <w:rPr>
          <w:szCs w:val="22"/>
          <w:lang w:eastAsia="en-US" w:bidi="ar-SA"/>
        </w:rPr>
        <w:t>c</w:t>
      </w:r>
      <w:r>
        <w:rPr>
          <w:spacing w:val="-3"/>
          <w:szCs w:val="22"/>
          <w:lang w:eastAsia="en-US" w:bidi="ar-SA"/>
        </w:rPr>
        <w:t>u</w:t>
      </w:r>
      <w:r>
        <w:rPr>
          <w:spacing w:val="1"/>
          <w:szCs w:val="22"/>
          <w:lang w:eastAsia="en-US" w:bidi="ar-SA"/>
        </w:rPr>
        <w:t>l</w:t>
      </w:r>
      <w:r>
        <w:rPr>
          <w:szCs w:val="22"/>
          <w:lang w:eastAsia="en-US" w:bidi="ar-SA"/>
        </w:rPr>
        <w:t>a</w:t>
      </w:r>
      <w:r>
        <w:rPr>
          <w:spacing w:val="-2"/>
          <w:szCs w:val="22"/>
          <w:lang w:eastAsia="en-US" w:bidi="ar-SA"/>
        </w:rPr>
        <w:t>r</w:t>
      </w:r>
      <w:r>
        <w:rPr>
          <w:szCs w:val="22"/>
          <w:lang w:eastAsia="en-US" w:bidi="ar-SA"/>
        </w:rPr>
        <w:t xml:space="preserve">ă </w:t>
      </w:r>
      <w:r>
        <w:rPr>
          <w:spacing w:val="-3"/>
          <w:szCs w:val="22"/>
          <w:lang w:eastAsia="en-US" w:bidi="ar-SA"/>
        </w:rPr>
        <w:t>c</w:t>
      </w:r>
      <w:r>
        <w:rPr>
          <w:szCs w:val="22"/>
          <w:lang w:eastAsia="en-US" w:bidi="ar-SA"/>
        </w:rPr>
        <w:t>are</w:t>
      </w:r>
      <w:r>
        <w:t xml:space="preserve"> </w:t>
      </w:r>
      <w:r>
        <w:rPr>
          <w:spacing w:val="-3"/>
        </w:rPr>
        <w:t>a</w:t>
      </w:r>
      <w:r>
        <w:t xml:space="preserve">u </w:t>
      </w:r>
      <w:r>
        <w:rPr>
          <w:spacing w:val="-3"/>
        </w:rPr>
        <w:t>v</w:t>
      </w:r>
      <w:r>
        <w:t>âr</w:t>
      </w:r>
      <w:r>
        <w:rPr>
          <w:spacing w:val="-2"/>
        </w:rPr>
        <w:t>s</w:t>
      </w:r>
      <w:r>
        <w:rPr>
          <w:spacing w:val="1"/>
        </w:rPr>
        <w:t>t</w:t>
      </w:r>
      <w:r>
        <w:t>a sub 2 a</w:t>
      </w:r>
      <w:r>
        <w:rPr>
          <w:spacing w:val="-3"/>
        </w:rPr>
        <w:t>n</w:t>
      </w:r>
      <w:r>
        <w:rPr>
          <w:spacing w:val="1"/>
        </w:rPr>
        <w:t>i</w:t>
      </w:r>
      <w:r>
        <w:t>.</w:t>
      </w:r>
    </w:p>
    <w:p w14:paraId="0F09C780"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05373F3A"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t>Nu administrați AMGEVITA la copii cu psoriazis în plăci care au vârsta sub 4 ani.</w:t>
      </w:r>
    </w:p>
    <w:p w14:paraId="33813501" w14:textId="77777777" w:rsidR="00C04CAD" w:rsidRDefault="00C04CAD">
      <w:pPr>
        <w:pStyle w:val="ListParagraph"/>
        <w:spacing w:line="240" w:lineRule="auto"/>
      </w:pPr>
    </w:p>
    <w:p w14:paraId="7EDB2789" w14:textId="77777777" w:rsidR="00C04CAD" w:rsidRDefault="00060E34">
      <w:pPr>
        <w:pStyle w:val="ListParagraph"/>
        <w:numPr>
          <w:ilvl w:val="0"/>
          <w:numId w:val="47"/>
        </w:numPr>
        <w:tabs>
          <w:tab w:val="clear" w:pos="567"/>
        </w:tabs>
        <w:kinsoku w:val="0"/>
        <w:overflowPunct w:val="0"/>
        <w:autoSpaceDE w:val="0"/>
        <w:autoSpaceDN w:val="0"/>
        <w:adjustRightInd w:val="0"/>
        <w:spacing w:line="240" w:lineRule="auto"/>
        <w:ind w:left="567" w:hanging="567"/>
      </w:pPr>
      <w:r>
        <w:t>Nu administrați AMGEVITA la copii cu boala Crohn sau cu colită ulcerativă care au vârsta sub 6 ani.</w:t>
      </w:r>
    </w:p>
    <w:p w14:paraId="3888B5DB" w14:textId="77777777" w:rsidR="00C04CAD" w:rsidRDefault="00C04CAD">
      <w:pPr>
        <w:pStyle w:val="ListParagraph"/>
        <w:tabs>
          <w:tab w:val="clear" w:pos="567"/>
        </w:tabs>
        <w:kinsoku w:val="0"/>
        <w:overflowPunct w:val="0"/>
        <w:autoSpaceDE w:val="0"/>
        <w:autoSpaceDN w:val="0"/>
        <w:adjustRightInd w:val="0"/>
        <w:spacing w:line="240" w:lineRule="auto"/>
        <w:ind w:left="567"/>
        <w:rPr>
          <w:szCs w:val="22"/>
          <w:lang w:eastAsia="en-US" w:bidi="ar-SA"/>
        </w:rPr>
      </w:pPr>
    </w:p>
    <w:p w14:paraId="6FB5772F"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AMGEVITA împreună cu alte medicamente</w:t>
      </w:r>
    </w:p>
    <w:p w14:paraId="1FAA441B"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203875D" w14:textId="77777777" w:rsidR="00C04CAD" w:rsidRDefault="00060E34">
      <w:pPr>
        <w:tabs>
          <w:tab w:val="clear" w:pos="567"/>
        </w:tabs>
        <w:kinsoku w:val="0"/>
        <w:overflowPunct w:val="0"/>
        <w:autoSpaceDE w:val="0"/>
        <w:autoSpaceDN w:val="0"/>
        <w:adjustRightInd w:val="0"/>
        <w:spacing w:line="240" w:lineRule="auto"/>
      </w:pPr>
      <w:r>
        <w:rPr>
          <w:spacing w:val="-1"/>
        </w:rPr>
        <w:t>S</w:t>
      </w:r>
      <w:r>
        <w:t>pune</w:t>
      </w:r>
      <w:r>
        <w:rPr>
          <w:spacing w:val="-2"/>
        </w:rPr>
        <w:t>ţ</w:t>
      </w:r>
      <w:r>
        <w:t>i</w:t>
      </w:r>
      <w:r>
        <w:rPr>
          <w:spacing w:val="1"/>
        </w:rPr>
        <w:t xml:space="preserve"> </w:t>
      </w:r>
      <w:r>
        <w:rPr>
          <w:spacing w:val="-4"/>
        </w:rPr>
        <w:t>m</w:t>
      </w:r>
      <w:r>
        <w:t>ed</w:t>
      </w:r>
      <w:r>
        <w:rPr>
          <w:spacing w:val="1"/>
        </w:rPr>
        <w:t>i</w:t>
      </w:r>
      <w:r>
        <w:t>c</w:t>
      </w:r>
      <w:r>
        <w:rPr>
          <w:spacing w:val="-3"/>
        </w:rPr>
        <w:t>u</w:t>
      </w:r>
      <w:r>
        <w:rPr>
          <w:spacing w:val="1"/>
        </w:rPr>
        <w:t>l</w:t>
      </w:r>
      <w:r>
        <w:t>ui</w:t>
      </w:r>
      <w:r>
        <w:rPr>
          <w:spacing w:val="-2"/>
        </w:rPr>
        <w:t xml:space="preserve"> </w:t>
      </w:r>
      <w:r>
        <w:t>du</w:t>
      </w:r>
      <w:r>
        <w:rPr>
          <w:spacing w:val="-4"/>
        </w:rPr>
        <w:t>m</w:t>
      </w:r>
      <w:r>
        <w:t>nea</w:t>
      </w:r>
      <w:r>
        <w:rPr>
          <w:spacing w:val="-3"/>
        </w:rPr>
        <w:t>v</w:t>
      </w:r>
      <w:r>
        <w:t>oas</w:t>
      </w:r>
      <w:r>
        <w:rPr>
          <w:spacing w:val="1"/>
        </w:rPr>
        <w:t>t</w:t>
      </w:r>
      <w:r>
        <w:t>ră</w:t>
      </w:r>
      <w:r>
        <w:rPr>
          <w:spacing w:val="-2"/>
        </w:rPr>
        <w:t xml:space="preserve"> </w:t>
      </w:r>
      <w:r>
        <w:t>sau</w:t>
      </w:r>
      <w:r>
        <w:rPr>
          <w:spacing w:val="-3"/>
        </w:rPr>
        <w:t xml:space="preserve"> </w:t>
      </w:r>
      <w:r>
        <w:t>far</w:t>
      </w:r>
      <w:r>
        <w:rPr>
          <w:spacing w:val="-4"/>
        </w:rPr>
        <w:t>m</w:t>
      </w:r>
      <w:r>
        <w:t>ac</w:t>
      </w:r>
      <w:r>
        <w:rPr>
          <w:spacing w:val="-2"/>
        </w:rPr>
        <w:t>i</w:t>
      </w:r>
      <w:r>
        <w:t>s</w:t>
      </w:r>
      <w:r>
        <w:rPr>
          <w:spacing w:val="1"/>
        </w:rPr>
        <w:t>t</w:t>
      </w:r>
      <w:r>
        <w:rPr>
          <w:spacing w:val="-3"/>
        </w:rPr>
        <w:t>u</w:t>
      </w:r>
      <w:r>
        <w:rPr>
          <w:spacing w:val="1"/>
        </w:rPr>
        <w:t>l</w:t>
      </w:r>
      <w:r>
        <w:rPr>
          <w:spacing w:val="-3"/>
        </w:rPr>
        <w:t>u</w:t>
      </w:r>
      <w:r>
        <w:t>i</w:t>
      </w:r>
      <w:r>
        <w:rPr>
          <w:spacing w:val="1"/>
        </w:rPr>
        <w:t xml:space="preserve"> </w:t>
      </w:r>
      <w:r>
        <w:rPr>
          <w:spacing w:val="-3"/>
        </w:rPr>
        <w:t>d</w:t>
      </w:r>
      <w:r>
        <w:t>acă</w:t>
      </w:r>
      <w:r>
        <w:rPr>
          <w:spacing w:val="-2"/>
        </w:rPr>
        <w:t xml:space="preserve"> </w:t>
      </w:r>
      <w:r>
        <w:rPr>
          <w:spacing w:val="1"/>
        </w:rPr>
        <w:t>l</w:t>
      </w:r>
      <w:r>
        <w:t>u</w:t>
      </w:r>
      <w:r>
        <w:rPr>
          <w:spacing w:val="-3"/>
        </w:rPr>
        <w:t>a</w:t>
      </w:r>
      <w:r>
        <w:rPr>
          <w:spacing w:val="1"/>
        </w:rPr>
        <w:t>ţi</w:t>
      </w:r>
      <w:r>
        <w:t>,</w:t>
      </w:r>
      <w:r>
        <w:rPr>
          <w:spacing w:val="-3"/>
        </w:rPr>
        <w:t xml:space="preserve"> </w:t>
      </w:r>
      <w:r>
        <w:t>a</w:t>
      </w:r>
      <w:r>
        <w:rPr>
          <w:spacing w:val="-2"/>
        </w:rPr>
        <w:t>ţ</w:t>
      </w:r>
      <w:r>
        <w:t>i</w:t>
      </w:r>
      <w:r>
        <w:rPr>
          <w:spacing w:val="1"/>
        </w:rPr>
        <w:t xml:space="preserve"> l</w:t>
      </w:r>
      <w:r>
        <w:rPr>
          <w:spacing w:val="-3"/>
        </w:rPr>
        <w:t>u</w:t>
      </w:r>
      <w:r>
        <w:t>at</w:t>
      </w:r>
      <w:r>
        <w:rPr>
          <w:spacing w:val="-2"/>
        </w:rPr>
        <w:t xml:space="preserve"> </w:t>
      </w:r>
      <w:r>
        <w:t>re</w:t>
      </w:r>
      <w:r>
        <w:rPr>
          <w:spacing w:val="-3"/>
        </w:rPr>
        <w:t>c</w:t>
      </w:r>
      <w:r>
        <w:t>ent</w:t>
      </w:r>
      <w:r>
        <w:rPr>
          <w:spacing w:val="-2"/>
        </w:rPr>
        <w:t xml:space="preserve"> </w:t>
      </w:r>
      <w:r>
        <w:t>sau</w:t>
      </w:r>
      <w:r>
        <w:rPr>
          <w:spacing w:val="-3"/>
        </w:rPr>
        <w:t xml:space="preserve"> </w:t>
      </w:r>
      <w:r>
        <w:t>s</w:t>
      </w:r>
      <w:r>
        <w:rPr>
          <w:spacing w:val="-5"/>
        </w:rPr>
        <w:t>-</w:t>
      </w:r>
      <w:r>
        <w:t>ar</w:t>
      </w:r>
      <w:r>
        <w:rPr>
          <w:spacing w:val="1"/>
        </w:rPr>
        <w:t xml:space="preserve"> </w:t>
      </w:r>
      <w:r>
        <w:t>pu</w:t>
      </w:r>
      <w:r>
        <w:rPr>
          <w:spacing w:val="1"/>
        </w:rPr>
        <w:t>t</w:t>
      </w:r>
      <w:r>
        <w:t>ea</w:t>
      </w:r>
      <w:r>
        <w:rPr>
          <w:spacing w:val="-2"/>
        </w:rPr>
        <w:t xml:space="preserve"> </w:t>
      </w:r>
      <w:r>
        <w:t xml:space="preserve">să </w:t>
      </w:r>
      <w:r>
        <w:rPr>
          <w:spacing w:val="-2"/>
        </w:rPr>
        <w:t>l</w:t>
      </w:r>
      <w:r>
        <w:t>ua</w:t>
      </w:r>
      <w:r>
        <w:rPr>
          <w:spacing w:val="-2"/>
        </w:rPr>
        <w:t>ţ</w:t>
      </w:r>
      <w:r>
        <w:t>i or</w:t>
      </w:r>
      <w:r>
        <w:rPr>
          <w:spacing w:val="1"/>
        </w:rPr>
        <w:t>i</w:t>
      </w:r>
      <w:r>
        <w:rPr>
          <w:spacing w:val="-3"/>
        </w:rPr>
        <w:t>c</w:t>
      </w:r>
      <w:r>
        <w:t xml:space="preserve">e </w:t>
      </w:r>
      <w:r>
        <w:rPr>
          <w:spacing w:val="-3"/>
        </w:rPr>
        <w:t>a</w:t>
      </w:r>
      <w:r>
        <w:rPr>
          <w:spacing w:val="1"/>
        </w:rPr>
        <w:t>l</w:t>
      </w:r>
      <w:r>
        <w:t>t</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p>
    <w:p w14:paraId="3C6CE68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8D4D0E4"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t xml:space="preserve"> se po</w:t>
      </w:r>
      <w:r>
        <w:rPr>
          <w:spacing w:val="-3"/>
        </w:rPr>
        <w:t>a</w:t>
      </w:r>
      <w:r>
        <w:rPr>
          <w:spacing w:val="1"/>
        </w:rPr>
        <w:t>t</w:t>
      </w:r>
      <w:r>
        <w:t xml:space="preserve">e </w:t>
      </w:r>
      <w:r>
        <w:rPr>
          <w:spacing w:val="-3"/>
        </w:rPr>
        <w:t>u</w:t>
      </w:r>
      <w:r>
        <w:rPr>
          <w:spacing w:val="-2"/>
        </w:rPr>
        <w:t>t</w:t>
      </w:r>
      <w:r>
        <w:rPr>
          <w:spacing w:val="1"/>
        </w:rPr>
        <w:t>i</w:t>
      </w:r>
      <w:r>
        <w:rPr>
          <w:spacing w:val="-2"/>
        </w:rPr>
        <w:t>l</w:t>
      </w:r>
      <w:r>
        <w:rPr>
          <w:spacing w:val="1"/>
        </w:rPr>
        <w:t>i</w:t>
      </w:r>
      <w:r>
        <w:rPr>
          <w:spacing w:val="-3"/>
        </w:rPr>
        <w:t>z</w:t>
      </w:r>
      <w:r>
        <w:t xml:space="preserve">a </w:t>
      </w:r>
      <w:r>
        <w:rPr>
          <w:spacing w:val="1"/>
        </w:rPr>
        <w:t>î</w:t>
      </w:r>
      <w:r>
        <w:rPr>
          <w:spacing w:val="-4"/>
        </w:rPr>
        <w:t>m</w:t>
      </w:r>
      <w:r>
        <w:t>preună</w:t>
      </w:r>
      <w:r>
        <w:rPr>
          <w:spacing w:val="-2"/>
        </w:rPr>
        <w:t xml:space="preserve"> </w:t>
      </w:r>
      <w:r>
        <w:t xml:space="preserve">cu </w:t>
      </w:r>
      <w:r>
        <w:rPr>
          <w:spacing w:val="-4"/>
        </w:rPr>
        <w:t>m</w:t>
      </w:r>
      <w:r>
        <w:t>e</w:t>
      </w:r>
      <w:r>
        <w:rPr>
          <w:spacing w:val="1"/>
        </w:rPr>
        <w:t>t</w:t>
      </w:r>
      <w:r>
        <w:t>o</w:t>
      </w:r>
      <w:r>
        <w:rPr>
          <w:spacing w:val="-2"/>
        </w:rPr>
        <w:t>t</w:t>
      </w:r>
      <w:r>
        <w:t>re</w:t>
      </w:r>
      <w:r>
        <w:rPr>
          <w:spacing w:val="-3"/>
        </w:rPr>
        <w:t>x</w:t>
      </w:r>
      <w:r>
        <w:t>at</w:t>
      </w:r>
      <w:r>
        <w:rPr>
          <w:spacing w:val="1"/>
        </w:rPr>
        <w:t xml:space="preserve"> </w:t>
      </w:r>
      <w:r>
        <w:rPr>
          <w:spacing w:val="-2"/>
        </w:rPr>
        <w:t>s</w:t>
      </w:r>
      <w:r>
        <w:t xml:space="preserve">au </w:t>
      </w:r>
      <w:r>
        <w:rPr>
          <w:spacing w:val="-3"/>
        </w:rPr>
        <w:t>c</w:t>
      </w:r>
      <w:r>
        <w:t>u</w:t>
      </w:r>
      <w:r>
        <w:rPr>
          <w:spacing w:val="-3"/>
        </w:rPr>
        <w:t xml:space="preserve"> </w:t>
      </w:r>
      <w:r>
        <w:t>al</w:t>
      </w:r>
      <w:r>
        <w:rPr>
          <w:spacing w:val="-2"/>
        </w:rPr>
        <w:t>t</w:t>
      </w:r>
      <w:r>
        <w:t xml:space="preserve">e </w:t>
      </w:r>
      <w:r>
        <w:rPr>
          <w:spacing w:val="-4"/>
        </w:rPr>
        <w:t>m</w:t>
      </w:r>
      <w:r>
        <w:t>ed</w:t>
      </w:r>
      <w:r>
        <w:rPr>
          <w:spacing w:val="1"/>
        </w:rPr>
        <w:t>i</w:t>
      </w:r>
      <w:r>
        <w:t>ca</w:t>
      </w:r>
      <w:r>
        <w:rPr>
          <w:spacing w:val="-4"/>
        </w:rPr>
        <w:t>m</w:t>
      </w:r>
      <w:r>
        <w:t>en</w:t>
      </w:r>
      <w:r>
        <w:rPr>
          <w:spacing w:val="1"/>
        </w:rPr>
        <w:t>t</w:t>
      </w:r>
      <w:r>
        <w:t xml:space="preserve">e </w:t>
      </w:r>
      <w:r>
        <w:rPr>
          <w:spacing w:val="-3"/>
        </w:rPr>
        <w:t>a</w:t>
      </w:r>
      <w:r>
        <w:t>n</w:t>
      </w:r>
      <w:r>
        <w:rPr>
          <w:spacing w:val="-2"/>
        </w:rPr>
        <w:t>t</w:t>
      </w:r>
      <w:r>
        <w:t>i</w:t>
      </w:r>
      <w:r>
        <w:rPr>
          <w:spacing w:val="-4"/>
        </w:rPr>
        <w:t>-</w:t>
      </w:r>
      <w:r>
        <w:t>reu</w:t>
      </w:r>
      <w:r>
        <w:rPr>
          <w:spacing w:val="-2"/>
        </w:rPr>
        <w:t>m</w:t>
      </w:r>
      <w:r>
        <w:t>a</w:t>
      </w:r>
      <w:r>
        <w:rPr>
          <w:spacing w:val="1"/>
        </w:rPr>
        <w:t>t</w:t>
      </w:r>
      <w:r>
        <w:rPr>
          <w:spacing w:val="-2"/>
        </w:rPr>
        <w:t>i</w:t>
      </w:r>
      <w:r>
        <w:t xml:space="preserve">ce </w:t>
      </w:r>
      <w:r>
        <w:rPr>
          <w:spacing w:val="-4"/>
        </w:rPr>
        <w:t>m</w:t>
      </w:r>
      <w:r>
        <w:t>od</w:t>
      </w:r>
      <w:r>
        <w:rPr>
          <w:spacing w:val="1"/>
        </w:rPr>
        <w:t>i</w:t>
      </w:r>
      <w:r>
        <w:rPr>
          <w:spacing w:val="-2"/>
        </w:rPr>
        <w:t>f</w:t>
      </w:r>
      <w:r>
        <w:rPr>
          <w:spacing w:val="1"/>
        </w:rPr>
        <w:t>i</w:t>
      </w:r>
      <w:r>
        <w:t>c</w:t>
      </w:r>
      <w:r>
        <w:rPr>
          <w:spacing w:val="-3"/>
        </w:rPr>
        <w:t>a</w:t>
      </w:r>
      <w:r>
        <w:rPr>
          <w:spacing w:val="1"/>
        </w:rPr>
        <w:t>t</w:t>
      </w:r>
      <w:r>
        <w:t>o</w:t>
      </w:r>
      <w:r>
        <w:rPr>
          <w:spacing w:val="-3"/>
        </w:rPr>
        <w:t>a</w:t>
      </w:r>
      <w:r>
        <w:t>re de bo</w:t>
      </w:r>
      <w:r>
        <w:rPr>
          <w:spacing w:val="-3"/>
        </w:rPr>
        <w:t>a</w:t>
      </w:r>
      <w:r>
        <w:rPr>
          <w:spacing w:val="1"/>
        </w:rPr>
        <w:t>l</w:t>
      </w:r>
      <w:r>
        <w:t>ă</w:t>
      </w:r>
      <w:r>
        <w:rPr>
          <w:spacing w:val="-2"/>
        </w:rPr>
        <w:t xml:space="preserve"> </w:t>
      </w:r>
      <w:r>
        <w:t>(s</w:t>
      </w:r>
      <w:r>
        <w:rPr>
          <w:spacing w:val="-3"/>
        </w:rPr>
        <w:t>u</w:t>
      </w:r>
      <w:r>
        <w:rPr>
          <w:spacing w:val="1"/>
        </w:rPr>
        <w:t>l</w:t>
      </w:r>
      <w:r>
        <w:t>f</w:t>
      </w:r>
      <w:r>
        <w:rPr>
          <w:spacing w:val="-3"/>
        </w:rPr>
        <w:t>a</w:t>
      </w:r>
      <w:r>
        <w:t>s</w:t>
      </w:r>
      <w:r>
        <w:rPr>
          <w:spacing w:val="-3"/>
        </w:rPr>
        <w:t>a</w:t>
      </w:r>
      <w:r>
        <w:rPr>
          <w:spacing w:val="1"/>
        </w:rPr>
        <w:t>l</w:t>
      </w:r>
      <w:r>
        <w:t>a</w:t>
      </w:r>
      <w:r>
        <w:rPr>
          <w:spacing w:val="-3"/>
        </w:rPr>
        <w:t>z</w:t>
      </w:r>
      <w:r>
        <w:rPr>
          <w:spacing w:val="1"/>
        </w:rPr>
        <w:t>i</w:t>
      </w:r>
      <w:r>
        <w:t>nă,</w:t>
      </w:r>
      <w:r>
        <w:rPr>
          <w:spacing w:val="-3"/>
        </w:rPr>
        <w:t xml:space="preserve"> </w:t>
      </w:r>
      <w:r>
        <w:t>h</w:t>
      </w:r>
      <w:r>
        <w:rPr>
          <w:spacing w:val="1"/>
        </w:rPr>
        <w:t>i</w:t>
      </w:r>
      <w:r>
        <w:rPr>
          <w:spacing w:val="-3"/>
        </w:rPr>
        <w:t>d</w:t>
      </w:r>
      <w:r>
        <w:t>rox</w:t>
      </w:r>
      <w:r>
        <w:rPr>
          <w:spacing w:val="-2"/>
        </w:rPr>
        <w:t>i</w:t>
      </w:r>
      <w:r>
        <w:t>c</w:t>
      </w:r>
      <w:r>
        <w:rPr>
          <w:spacing w:val="1"/>
        </w:rPr>
        <w:t>l</w:t>
      </w:r>
      <w:r>
        <w:rPr>
          <w:spacing w:val="-3"/>
        </w:rPr>
        <w:t>o</w:t>
      </w:r>
      <w:r>
        <w:t>roc</w:t>
      </w:r>
      <w:r>
        <w:rPr>
          <w:spacing w:val="-3"/>
        </w:rPr>
        <w:t>h</w:t>
      </w:r>
      <w:r>
        <w:rPr>
          <w:spacing w:val="1"/>
        </w:rPr>
        <w:t>i</w:t>
      </w:r>
      <w:r>
        <w:t>n</w:t>
      </w:r>
      <w:r>
        <w:rPr>
          <w:spacing w:val="-3"/>
        </w:rPr>
        <w:t>ă</w:t>
      </w:r>
      <w:r>
        <w:t xml:space="preserve">, </w:t>
      </w:r>
      <w:r>
        <w:rPr>
          <w:spacing w:val="1"/>
        </w:rPr>
        <w:t>l</w:t>
      </w:r>
      <w:r>
        <w:rPr>
          <w:spacing w:val="-3"/>
        </w:rPr>
        <w:t>e</w:t>
      </w:r>
      <w:r>
        <w:t>f</w:t>
      </w:r>
      <w:r>
        <w:rPr>
          <w:spacing w:val="-2"/>
        </w:rPr>
        <w:t>l</w:t>
      </w:r>
      <w:r>
        <w:t>uno</w:t>
      </w:r>
      <w:r>
        <w:rPr>
          <w:spacing w:val="-4"/>
        </w:rPr>
        <w:t>m</w:t>
      </w:r>
      <w:r>
        <w:rPr>
          <w:spacing w:val="1"/>
        </w:rPr>
        <w:t>i</w:t>
      </w:r>
      <w:r>
        <w:t>dă</w:t>
      </w:r>
      <w:r>
        <w:rPr>
          <w:spacing w:val="-2"/>
        </w:rPr>
        <w:t xml:space="preserve"> </w:t>
      </w:r>
      <w:r>
        <w:t>şi</w:t>
      </w:r>
      <w:r>
        <w:rPr>
          <w:spacing w:val="1"/>
        </w:rPr>
        <w:t xml:space="preserve"> </w:t>
      </w:r>
      <w:r>
        <w:rPr>
          <w:spacing w:val="-3"/>
        </w:rPr>
        <w:t>p</w:t>
      </w:r>
      <w:r>
        <w:t>rep</w:t>
      </w:r>
      <w:r>
        <w:rPr>
          <w:spacing w:val="-3"/>
        </w:rPr>
        <w:t>a</w:t>
      </w:r>
      <w:r>
        <w:t>r</w:t>
      </w:r>
      <w:r>
        <w:rPr>
          <w:spacing w:val="-3"/>
        </w:rPr>
        <w:t>a</w:t>
      </w:r>
      <w:r>
        <w:rPr>
          <w:spacing w:val="1"/>
        </w:rPr>
        <w:t>t</w:t>
      </w:r>
      <w:r>
        <w:t>e</w:t>
      </w:r>
      <w:r>
        <w:rPr>
          <w:spacing w:val="-2"/>
        </w:rPr>
        <w:t xml:space="preserve"> </w:t>
      </w:r>
      <w:r>
        <w:rPr>
          <w:spacing w:val="1"/>
        </w:rPr>
        <w:t>i</w:t>
      </w:r>
      <w:r>
        <w:rPr>
          <w:spacing w:val="-3"/>
        </w:rPr>
        <w:t>n</w:t>
      </w:r>
      <w:r>
        <w:rPr>
          <w:spacing w:val="1"/>
        </w:rPr>
        <w:t>j</w:t>
      </w:r>
      <w:r>
        <w:t>e</w:t>
      </w:r>
      <w:r>
        <w:rPr>
          <w:spacing w:val="-3"/>
        </w:rPr>
        <w:t>c</w:t>
      </w:r>
      <w:r>
        <w:rPr>
          <w:spacing w:val="1"/>
        </w:rPr>
        <w:t>t</w:t>
      </w:r>
      <w:r>
        <w:t>a</w:t>
      </w:r>
      <w:r>
        <w:rPr>
          <w:spacing w:val="-3"/>
        </w:rPr>
        <w:t>b</w:t>
      </w:r>
      <w:r>
        <w:rPr>
          <w:spacing w:val="1"/>
        </w:rPr>
        <w:t>il</w:t>
      </w:r>
      <w:r>
        <w:t>e</w:t>
      </w:r>
      <w:r>
        <w:rPr>
          <w:spacing w:val="-2"/>
        </w:rPr>
        <w:t xml:space="preserve"> </w:t>
      </w:r>
      <w:r>
        <w:t>pe</w:t>
      </w:r>
      <w:r>
        <w:rPr>
          <w:spacing w:val="-2"/>
        </w:rPr>
        <w:t xml:space="preserve"> </w:t>
      </w:r>
      <w:r>
        <w:t>ba</w:t>
      </w:r>
      <w:r>
        <w:rPr>
          <w:spacing w:val="-3"/>
        </w:rPr>
        <w:t>z</w:t>
      </w:r>
      <w:r>
        <w:t>ă de a</w:t>
      </w:r>
      <w:r>
        <w:rPr>
          <w:spacing w:val="-3"/>
        </w:rPr>
        <w:t>u</w:t>
      </w:r>
      <w:r>
        <w:t>r</w:t>
      </w:r>
      <w:r>
        <w:rPr>
          <w:szCs w:val="22"/>
          <w:lang w:eastAsia="en-US" w:bidi="ar-SA"/>
        </w:rPr>
        <w:t>),</w:t>
      </w:r>
      <w:r>
        <w:rPr>
          <w:spacing w:val="-2"/>
        </w:rPr>
        <w:t xml:space="preserve"> </w:t>
      </w:r>
      <w:r>
        <w:t>s</w:t>
      </w:r>
      <w:r>
        <w:rPr>
          <w:spacing w:val="1"/>
        </w:rPr>
        <w:t>t</w:t>
      </w:r>
      <w:r>
        <w:rPr>
          <w:spacing w:val="-3"/>
        </w:rPr>
        <w:t>e</w:t>
      </w:r>
      <w:r>
        <w:t>r</w:t>
      </w:r>
      <w:r>
        <w:rPr>
          <w:spacing w:val="-3"/>
        </w:rPr>
        <w:t>o</w:t>
      </w:r>
      <w:r>
        <w:rPr>
          <w:spacing w:val="1"/>
        </w:rPr>
        <w:t>i</w:t>
      </w:r>
      <w:r>
        <w:rPr>
          <w:spacing w:val="-3"/>
        </w:rPr>
        <w:t>z</w:t>
      </w:r>
      <w:r>
        <w:t xml:space="preserve">i sau </w:t>
      </w:r>
      <w:r>
        <w:rPr>
          <w:spacing w:val="-4"/>
        </w:rPr>
        <w:t>m</w:t>
      </w:r>
      <w:r>
        <w:t>ed</w:t>
      </w:r>
      <w:r>
        <w:rPr>
          <w:spacing w:val="1"/>
        </w:rPr>
        <w:t>i</w:t>
      </w:r>
      <w:r>
        <w:t>ca</w:t>
      </w:r>
      <w:r>
        <w:rPr>
          <w:spacing w:val="-4"/>
        </w:rPr>
        <w:t>m</w:t>
      </w:r>
      <w:r>
        <w:t>en</w:t>
      </w:r>
      <w:r>
        <w:rPr>
          <w:spacing w:val="1"/>
        </w:rPr>
        <w:t>t</w:t>
      </w:r>
      <w:r>
        <w:t xml:space="preserve">e </w:t>
      </w:r>
      <w:r>
        <w:rPr>
          <w:spacing w:val="-3"/>
        </w:rPr>
        <w:t>p</w:t>
      </w:r>
      <w:r>
        <w:t>en</w:t>
      </w:r>
      <w:r>
        <w:rPr>
          <w:spacing w:val="-2"/>
        </w:rPr>
        <w:t>t</w:t>
      </w:r>
      <w:r>
        <w:t>ru d</w:t>
      </w:r>
      <w:r>
        <w:rPr>
          <w:spacing w:val="-3"/>
        </w:rPr>
        <w:t>u</w:t>
      </w:r>
      <w:r>
        <w:t>re</w:t>
      </w:r>
      <w:r>
        <w:rPr>
          <w:spacing w:val="-2"/>
        </w:rPr>
        <w:t>r</w:t>
      </w:r>
      <w:r>
        <w:t xml:space="preserve">e </w:t>
      </w:r>
      <w:r>
        <w:rPr>
          <w:spacing w:val="1"/>
        </w:rPr>
        <w:t>i</w:t>
      </w:r>
      <w:r>
        <w:rPr>
          <w:spacing w:val="-3"/>
        </w:rPr>
        <w:t>n</w:t>
      </w:r>
      <w:r>
        <w:t>c</w:t>
      </w:r>
      <w:r>
        <w:rPr>
          <w:spacing w:val="1"/>
        </w:rPr>
        <w:t>l</w:t>
      </w:r>
      <w:r>
        <w:rPr>
          <w:spacing w:val="-3"/>
        </w:rPr>
        <w:t>u</w:t>
      </w:r>
      <w:r>
        <w:t>s</w:t>
      </w:r>
      <w:r>
        <w:rPr>
          <w:spacing w:val="1"/>
        </w:rPr>
        <w:t>i</w:t>
      </w:r>
      <w:r>
        <w:t>v</w:t>
      </w:r>
      <w:r>
        <w:rPr>
          <w:spacing w:val="-3"/>
        </w:rPr>
        <w:t xml:space="preserve"> </w:t>
      </w:r>
      <w:r>
        <w:rPr>
          <w:spacing w:val="-4"/>
        </w:rPr>
        <w:t>m</w:t>
      </w:r>
      <w:r>
        <w:t>ed</w:t>
      </w:r>
      <w:r>
        <w:rPr>
          <w:spacing w:val="1"/>
        </w:rPr>
        <w:t>i</w:t>
      </w:r>
      <w:r>
        <w:t>ca</w:t>
      </w:r>
      <w:r>
        <w:rPr>
          <w:spacing w:val="-4"/>
        </w:rPr>
        <w:t>m</w:t>
      </w:r>
      <w:r>
        <w:t>en</w:t>
      </w:r>
      <w:r>
        <w:rPr>
          <w:spacing w:val="1"/>
        </w:rPr>
        <w:t>t</w:t>
      </w:r>
      <w:r>
        <w:t>e</w:t>
      </w:r>
      <w:r>
        <w:rPr>
          <w:spacing w:val="-2"/>
        </w:rPr>
        <w:t>l</w:t>
      </w:r>
      <w:r>
        <w:t>e an</w:t>
      </w:r>
      <w:r>
        <w:rPr>
          <w:spacing w:val="-2"/>
        </w:rPr>
        <w:t>t</w:t>
      </w:r>
      <w:r>
        <w:t>i</w:t>
      </w:r>
      <w:r>
        <w:rPr>
          <w:spacing w:val="-3"/>
          <w:szCs w:val="22"/>
          <w:lang w:eastAsia="en-US" w:bidi="ar-SA"/>
        </w:rPr>
        <w:t>-</w:t>
      </w:r>
      <w:r>
        <w:rPr>
          <w:spacing w:val="1"/>
        </w:rPr>
        <w:t>i</w:t>
      </w:r>
      <w:r>
        <w:t>n</w:t>
      </w:r>
      <w:r>
        <w:rPr>
          <w:spacing w:val="-2"/>
        </w:rPr>
        <w:t>f</w:t>
      </w:r>
      <w:r>
        <w:rPr>
          <w:spacing w:val="1"/>
        </w:rPr>
        <w:t>l</w:t>
      </w:r>
      <w:r>
        <w:t>a</w:t>
      </w:r>
      <w:r>
        <w:rPr>
          <w:spacing w:val="-4"/>
        </w:rPr>
        <w:t>m</w:t>
      </w:r>
      <w:r>
        <w:t>a</w:t>
      </w:r>
      <w:r>
        <w:rPr>
          <w:spacing w:val="1"/>
        </w:rPr>
        <w:t>t</w:t>
      </w:r>
      <w:r>
        <w:t>oa</w:t>
      </w:r>
      <w:r>
        <w:rPr>
          <w:spacing w:val="-2"/>
        </w:rPr>
        <w:t>r</w:t>
      </w:r>
      <w:r>
        <w:t>e n</w:t>
      </w:r>
      <w:r>
        <w:rPr>
          <w:spacing w:val="-3"/>
        </w:rPr>
        <w:t>e</w:t>
      </w:r>
      <w:r>
        <w:t>s</w:t>
      </w:r>
      <w:r>
        <w:rPr>
          <w:spacing w:val="-2"/>
        </w:rPr>
        <w:t>t</w:t>
      </w:r>
      <w:r>
        <w:t>er</w:t>
      </w:r>
      <w:r>
        <w:rPr>
          <w:spacing w:val="-3"/>
        </w:rPr>
        <w:t>o</w:t>
      </w:r>
      <w:r>
        <w:rPr>
          <w:spacing w:val="-2"/>
        </w:rPr>
        <w:t>i</w:t>
      </w:r>
      <w:r>
        <w:t>d</w:t>
      </w:r>
      <w:r>
        <w:rPr>
          <w:spacing w:val="1"/>
        </w:rPr>
        <w:t>i</w:t>
      </w:r>
      <w:r>
        <w:t>ene</w:t>
      </w:r>
      <w:r>
        <w:rPr>
          <w:spacing w:val="-2"/>
        </w:rPr>
        <w:t xml:space="preserve"> </w:t>
      </w:r>
      <w:r>
        <w:t>(</w:t>
      </w:r>
      <w:r>
        <w:rPr>
          <w:spacing w:val="-1"/>
          <w:szCs w:val="22"/>
        </w:rPr>
        <w:t>A</w:t>
      </w:r>
      <w:r>
        <w:rPr>
          <w:spacing w:val="-4"/>
          <w:szCs w:val="22"/>
        </w:rPr>
        <w:t>I</w:t>
      </w:r>
      <w:r>
        <w:rPr>
          <w:spacing w:val="-1"/>
          <w:szCs w:val="22"/>
        </w:rPr>
        <w:t>NS</w:t>
      </w:r>
      <w:r>
        <w:rPr>
          <w:szCs w:val="22"/>
        </w:rPr>
        <w:t>).</w:t>
      </w:r>
    </w:p>
    <w:p w14:paraId="575E7A5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E89432F"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N</w:t>
      </w:r>
      <w:r>
        <w:rPr>
          <w:szCs w:val="22"/>
        </w:rPr>
        <w:t xml:space="preserve">u </w:t>
      </w:r>
      <w:r>
        <w:rPr>
          <w:spacing w:val="1"/>
          <w:szCs w:val="22"/>
        </w:rPr>
        <w:t>t</w:t>
      </w:r>
      <w:r>
        <w:rPr>
          <w:szCs w:val="22"/>
        </w:rPr>
        <w:t>r</w:t>
      </w:r>
      <w:r>
        <w:rPr>
          <w:spacing w:val="-3"/>
          <w:szCs w:val="22"/>
        </w:rPr>
        <w:t>e</w:t>
      </w:r>
      <w:r>
        <w:rPr>
          <w:szCs w:val="22"/>
        </w:rPr>
        <w:t>bu</w:t>
      </w:r>
      <w:r>
        <w:rPr>
          <w:spacing w:val="-2"/>
          <w:szCs w:val="22"/>
        </w:rPr>
        <w:t>i</w:t>
      </w:r>
      <w:r>
        <w:rPr>
          <w:szCs w:val="22"/>
        </w:rPr>
        <w:t>e să</w:t>
      </w:r>
      <w:r>
        <w:rPr>
          <w:spacing w:val="-2"/>
          <w:szCs w:val="22"/>
        </w:rPr>
        <w:t xml:space="preserve"> </w:t>
      </w:r>
      <w:r>
        <w:rPr>
          <w:spacing w:val="1"/>
          <w:szCs w:val="22"/>
        </w:rPr>
        <w:t>l</w:t>
      </w:r>
      <w:r>
        <w:rPr>
          <w:szCs w:val="22"/>
        </w:rPr>
        <w:t>u</w:t>
      </w:r>
      <w:r>
        <w:rPr>
          <w:spacing w:val="-3"/>
          <w:szCs w:val="22"/>
        </w:rPr>
        <w:t>a</w:t>
      </w:r>
      <w:r>
        <w:rPr>
          <w:spacing w:val="1"/>
          <w:szCs w:val="22"/>
        </w:rPr>
        <w:t>ţ</w:t>
      </w:r>
      <w:r>
        <w:rPr>
          <w:szCs w:val="22"/>
        </w:rPr>
        <w:t>i</w:t>
      </w:r>
      <w:r>
        <w:rPr>
          <w:spacing w:val="1"/>
          <w:szCs w:val="22"/>
        </w:rPr>
        <w:t xml:space="preserve"> </w:t>
      </w:r>
      <w:r>
        <w:rPr>
          <w:spacing w:val="-1"/>
          <w:szCs w:val="22"/>
          <w:lang w:eastAsia="en-US" w:bidi="ar-SA"/>
        </w:rPr>
        <w:t>AMGEVITA</w:t>
      </w:r>
      <w:r>
        <w:rPr>
          <w:spacing w:val="-5"/>
          <w:szCs w:val="22"/>
        </w:rPr>
        <w:t xml:space="preserve"> </w:t>
      </w:r>
      <w:r>
        <w:rPr>
          <w:spacing w:val="1"/>
          <w:szCs w:val="22"/>
        </w:rPr>
        <w:t>î</w:t>
      </w:r>
      <w:r>
        <w:rPr>
          <w:spacing w:val="-4"/>
          <w:szCs w:val="22"/>
        </w:rPr>
        <w:t>m</w:t>
      </w:r>
      <w:r>
        <w:rPr>
          <w:szCs w:val="22"/>
        </w:rPr>
        <w:t xml:space="preserve">preună cu </w:t>
      </w:r>
      <w:r>
        <w:rPr>
          <w:spacing w:val="-4"/>
          <w:szCs w:val="22"/>
        </w:rPr>
        <w:t>m</w:t>
      </w:r>
      <w:r>
        <w:rPr>
          <w:szCs w:val="22"/>
        </w:rPr>
        <w:t>ed</w:t>
      </w:r>
      <w:r>
        <w:rPr>
          <w:spacing w:val="1"/>
          <w:szCs w:val="22"/>
        </w:rPr>
        <w:t>i</w:t>
      </w:r>
      <w:r>
        <w:rPr>
          <w:spacing w:val="-3"/>
          <w:szCs w:val="22"/>
        </w:rPr>
        <w:t>c</w:t>
      </w:r>
      <w:r>
        <w:rPr>
          <w:szCs w:val="22"/>
        </w:rPr>
        <w:t>a</w:t>
      </w:r>
      <w:r>
        <w:rPr>
          <w:spacing w:val="-4"/>
          <w:szCs w:val="22"/>
        </w:rPr>
        <w:t>m</w:t>
      </w:r>
      <w:r>
        <w:rPr>
          <w:szCs w:val="22"/>
        </w:rPr>
        <w:t>en</w:t>
      </w:r>
      <w:r>
        <w:rPr>
          <w:spacing w:val="1"/>
          <w:szCs w:val="22"/>
        </w:rPr>
        <w:t>t</w:t>
      </w:r>
      <w:r>
        <w:rPr>
          <w:szCs w:val="22"/>
        </w:rPr>
        <w:t>e</w:t>
      </w:r>
      <w:r>
        <w:rPr>
          <w:spacing w:val="-2"/>
          <w:szCs w:val="22"/>
        </w:rPr>
        <w:t xml:space="preserve"> </w:t>
      </w:r>
      <w:r>
        <w:rPr>
          <w:szCs w:val="22"/>
        </w:rPr>
        <w:t>care</w:t>
      </w:r>
      <w:r>
        <w:rPr>
          <w:spacing w:val="-2"/>
          <w:szCs w:val="22"/>
        </w:rPr>
        <w:t xml:space="preserve"> </w:t>
      </w:r>
      <w:r>
        <w:rPr>
          <w:szCs w:val="22"/>
        </w:rPr>
        <w:t>co</w:t>
      </w:r>
      <w:r>
        <w:rPr>
          <w:spacing w:val="-3"/>
          <w:szCs w:val="22"/>
        </w:rPr>
        <w:t>n</w:t>
      </w:r>
      <w:r>
        <w:rPr>
          <w:spacing w:val="1"/>
          <w:szCs w:val="22"/>
        </w:rPr>
        <w:t>ţi</w:t>
      </w:r>
      <w:r>
        <w:rPr>
          <w:szCs w:val="22"/>
        </w:rPr>
        <w:t>n</w:t>
      </w:r>
      <w:r>
        <w:rPr>
          <w:spacing w:val="-3"/>
          <w:szCs w:val="22"/>
        </w:rPr>
        <w:t xml:space="preserve"> </w:t>
      </w:r>
      <w:r>
        <w:rPr>
          <w:szCs w:val="22"/>
        </w:rPr>
        <w:t>sub</w:t>
      </w:r>
      <w:r>
        <w:rPr>
          <w:spacing w:val="-2"/>
          <w:szCs w:val="22"/>
        </w:rPr>
        <w:t>s</w:t>
      </w:r>
      <w:r>
        <w:rPr>
          <w:spacing w:val="1"/>
          <w:szCs w:val="22"/>
        </w:rPr>
        <w:t>t</w:t>
      </w:r>
      <w:r>
        <w:rPr>
          <w:szCs w:val="22"/>
        </w:rPr>
        <w:t>a</w:t>
      </w:r>
      <w:r>
        <w:rPr>
          <w:spacing w:val="-3"/>
          <w:szCs w:val="22"/>
        </w:rPr>
        <w:t>n</w:t>
      </w:r>
      <w:r>
        <w:rPr>
          <w:spacing w:val="1"/>
          <w:szCs w:val="22"/>
        </w:rPr>
        <w:t>ţ</w:t>
      </w:r>
      <w:r>
        <w:rPr>
          <w:szCs w:val="22"/>
        </w:rPr>
        <w:t>ele</w:t>
      </w:r>
      <w:r>
        <w:rPr>
          <w:spacing w:val="-2"/>
          <w:szCs w:val="22"/>
        </w:rPr>
        <w:t xml:space="preserve"> </w:t>
      </w:r>
      <w:r>
        <w:rPr>
          <w:szCs w:val="22"/>
        </w:rPr>
        <w:t>ac</w:t>
      </w:r>
      <w:r>
        <w:rPr>
          <w:spacing w:val="-2"/>
          <w:szCs w:val="22"/>
        </w:rPr>
        <w:t>t</w:t>
      </w:r>
      <w:r>
        <w:rPr>
          <w:spacing w:val="1"/>
          <w:szCs w:val="22"/>
        </w:rPr>
        <w:t>i</w:t>
      </w:r>
      <w:r>
        <w:rPr>
          <w:spacing w:val="-3"/>
          <w:szCs w:val="22"/>
        </w:rPr>
        <w:t>v</w:t>
      </w:r>
      <w:r>
        <w:rPr>
          <w:szCs w:val="22"/>
        </w:rPr>
        <w:t>e ana</w:t>
      </w:r>
      <w:r>
        <w:rPr>
          <w:spacing w:val="-3"/>
          <w:szCs w:val="22"/>
        </w:rPr>
        <w:t>k</w:t>
      </w:r>
      <w:r>
        <w:rPr>
          <w:spacing w:val="1"/>
          <w:szCs w:val="22"/>
        </w:rPr>
        <w:t>i</w:t>
      </w:r>
      <w:r>
        <w:rPr>
          <w:szCs w:val="22"/>
        </w:rPr>
        <w:t>n</w:t>
      </w:r>
      <w:r>
        <w:rPr>
          <w:spacing w:val="-2"/>
          <w:szCs w:val="22"/>
        </w:rPr>
        <w:t>r</w:t>
      </w:r>
      <w:r>
        <w:rPr>
          <w:szCs w:val="22"/>
        </w:rPr>
        <w:t>a sau aba</w:t>
      </w:r>
      <w:r>
        <w:rPr>
          <w:spacing w:val="-2"/>
          <w:szCs w:val="22"/>
        </w:rPr>
        <w:t>t</w:t>
      </w:r>
      <w:r>
        <w:rPr>
          <w:szCs w:val="22"/>
        </w:rPr>
        <w:t>ace</w:t>
      </w:r>
      <w:r>
        <w:rPr>
          <w:spacing w:val="-3"/>
          <w:szCs w:val="22"/>
        </w:rPr>
        <w:t>p</w:t>
      </w:r>
      <w:r>
        <w:rPr>
          <w:spacing w:val="1"/>
          <w:szCs w:val="22"/>
        </w:rPr>
        <w:t>t din cauza riscului crescut de infecții grave</w:t>
      </w:r>
      <w:r>
        <w:rPr>
          <w:szCs w:val="22"/>
        </w:rPr>
        <w:t xml:space="preserve">. </w:t>
      </w:r>
      <w:r>
        <w:rPr>
          <w:spacing w:val="-2"/>
          <w:szCs w:val="22"/>
        </w:rPr>
        <w:t>D</w:t>
      </w:r>
      <w:r>
        <w:rPr>
          <w:spacing w:val="-3"/>
          <w:szCs w:val="22"/>
        </w:rPr>
        <w:t>a</w:t>
      </w:r>
      <w:r>
        <w:rPr>
          <w:szCs w:val="22"/>
        </w:rPr>
        <w:t>că a</w:t>
      </w:r>
      <w:r>
        <w:rPr>
          <w:spacing w:val="-3"/>
          <w:szCs w:val="22"/>
        </w:rPr>
        <w:t>v</w:t>
      </w:r>
      <w:r>
        <w:rPr>
          <w:szCs w:val="22"/>
        </w:rPr>
        <w:t>e</w:t>
      </w:r>
      <w:r>
        <w:rPr>
          <w:spacing w:val="-2"/>
          <w:szCs w:val="22"/>
        </w:rPr>
        <w:t>ţ</w:t>
      </w:r>
      <w:r>
        <w:rPr>
          <w:szCs w:val="22"/>
        </w:rPr>
        <w:t>i</w:t>
      </w:r>
      <w:r>
        <w:rPr>
          <w:spacing w:val="1"/>
          <w:szCs w:val="22"/>
        </w:rPr>
        <w:t xml:space="preserve"> </w:t>
      </w:r>
      <w:r>
        <w:rPr>
          <w:spacing w:val="-2"/>
          <w:szCs w:val="22"/>
        </w:rPr>
        <w:t>î</w:t>
      </w:r>
      <w:r>
        <w:rPr>
          <w:szCs w:val="22"/>
        </w:rPr>
        <w:t>n</w:t>
      </w:r>
      <w:r>
        <w:rPr>
          <w:spacing w:val="-2"/>
          <w:szCs w:val="22"/>
        </w:rPr>
        <w:t>t</w:t>
      </w:r>
      <w:r>
        <w:rPr>
          <w:szCs w:val="22"/>
        </w:rPr>
        <w:t>re</w:t>
      </w:r>
      <w:r>
        <w:rPr>
          <w:spacing w:val="-3"/>
          <w:szCs w:val="22"/>
        </w:rPr>
        <w:t>b</w:t>
      </w:r>
      <w:r>
        <w:rPr>
          <w:szCs w:val="22"/>
        </w:rPr>
        <w:t>ăr</w:t>
      </w:r>
      <w:r>
        <w:rPr>
          <w:spacing w:val="1"/>
          <w:szCs w:val="22"/>
        </w:rPr>
        <w:t>i</w:t>
      </w:r>
      <w:r>
        <w:rPr>
          <w:szCs w:val="22"/>
        </w:rPr>
        <w:t xml:space="preserve">, </w:t>
      </w:r>
      <w:r>
        <w:rPr>
          <w:spacing w:val="-3"/>
          <w:szCs w:val="22"/>
        </w:rPr>
        <w:t>v</w:t>
      </w:r>
      <w:r>
        <w:rPr>
          <w:szCs w:val="22"/>
        </w:rPr>
        <w:t>ă</w:t>
      </w:r>
      <w:r>
        <w:rPr>
          <w:spacing w:val="-2"/>
          <w:szCs w:val="22"/>
        </w:rPr>
        <w:t xml:space="preserve"> </w:t>
      </w:r>
      <w:r>
        <w:rPr>
          <w:szCs w:val="22"/>
        </w:rPr>
        <w:t>ru</w:t>
      </w:r>
      <w:r>
        <w:rPr>
          <w:spacing w:val="-3"/>
          <w:szCs w:val="22"/>
        </w:rPr>
        <w:t>g</w:t>
      </w:r>
      <w:r>
        <w:rPr>
          <w:szCs w:val="22"/>
        </w:rPr>
        <w:t>ăm</w:t>
      </w:r>
      <w:r>
        <w:rPr>
          <w:spacing w:val="-4"/>
          <w:szCs w:val="22"/>
        </w:rPr>
        <w:t xml:space="preserve"> </w:t>
      </w:r>
      <w:r>
        <w:rPr>
          <w:szCs w:val="22"/>
        </w:rPr>
        <w:t>d</w:t>
      </w:r>
      <w:r>
        <w:rPr>
          <w:spacing w:val="1"/>
          <w:szCs w:val="22"/>
        </w:rPr>
        <w:t>i</w:t>
      </w:r>
      <w:r>
        <w:rPr>
          <w:szCs w:val="22"/>
        </w:rPr>
        <w:t>scu</w:t>
      </w:r>
      <w:r>
        <w:rPr>
          <w:spacing w:val="1"/>
          <w:szCs w:val="22"/>
        </w:rPr>
        <w:t>t</w:t>
      </w:r>
      <w:r>
        <w:rPr>
          <w:spacing w:val="-3"/>
          <w:szCs w:val="22"/>
        </w:rPr>
        <w:t>a</w:t>
      </w:r>
      <w:r>
        <w:rPr>
          <w:spacing w:val="1"/>
          <w:szCs w:val="22"/>
        </w:rPr>
        <w:t>ţ</w:t>
      </w:r>
      <w:r>
        <w:rPr>
          <w:szCs w:val="22"/>
        </w:rPr>
        <w:t>i</w:t>
      </w:r>
      <w:r>
        <w:rPr>
          <w:spacing w:val="-2"/>
          <w:szCs w:val="22"/>
        </w:rPr>
        <w:t xml:space="preserve"> </w:t>
      </w:r>
      <w:r>
        <w:rPr>
          <w:szCs w:val="22"/>
        </w:rPr>
        <w:t xml:space="preserve">cu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2"/>
          <w:szCs w:val="22"/>
        </w:rPr>
        <w:t>t</w:t>
      </w:r>
      <w:r>
        <w:rPr>
          <w:szCs w:val="22"/>
        </w:rPr>
        <w:t>ră.</w:t>
      </w:r>
    </w:p>
    <w:p w14:paraId="52E35683"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767AC3C4"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rPr>
        <w:t>Sarcină</w:t>
      </w:r>
      <w:r>
        <w:rPr>
          <w:b/>
          <w:bCs/>
          <w:szCs w:val="22"/>
          <w:lang w:eastAsia="en-US" w:bidi="ar-SA"/>
        </w:rPr>
        <w:t xml:space="preserve"> şi</w:t>
      </w:r>
      <w:ins w:id="19" w:author="Author">
        <w:r>
          <w:rPr>
            <w:b/>
            <w:bCs/>
            <w:szCs w:val="22"/>
            <w:lang w:eastAsia="en-US" w:bidi="ar-SA"/>
          </w:rPr>
          <w:t xml:space="preserve"> </w:t>
        </w:r>
      </w:ins>
      <w:r>
        <w:rPr>
          <w:b/>
          <w:bCs/>
          <w:szCs w:val="22"/>
          <w:lang w:eastAsia="en-US" w:bidi="ar-SA"/>
        </w:rPr>
        <w:t>alăptare</w:t>
      </w:r>
    </w:p>
    <w:p w14:paraId="5EB530C9" w14:textId="77777777" w:rsidR="00C04CAD" w:rsidRDefault="00C04CAD">
      <w:pPr>
        <w:pStyle w:val="EMEANormal"/>
        <w:keepNext/>
        <w:rPr>
          <w:b/>
          <w:bCs/>
          <w:szCs w:val="22"/>
          <w:lang w:val="ro-RO"/>
        </w:rPr>
      </w:pPr>
    </w:p>
    <w:p w14:paraId="681D6F27" w14:textId="77777777" w:rsidR="00C04CAD" w:rsidRDefault="00060E34">
      <w:pPr>
        <w:numPr>
          <w:ilvl w:val="0"/>
          <w:numId w:val="54"/>
        </w:numPr>
        <w:tabs>
          <w:tab w:val="clear" w:pos="567"/>
        </w:tabs>
        <w:spacing w:line="240" w:lineRule="auto"/>
        <w:ind w:left="567" w:hanging="567"/>
        <w:rPr>
          <w:b/>
          <w:bCs/>
          <w:szCs w:val="22"/>
        </w:rPr>
      </w:pPr>
      <w:r>
        <w:rPr>
          <w:szCs w:val="22"/>
        </w:rPr>
        <w:t xml:space="preserve">Trebuie să luați în considerare utilizarea măsurilor de contracepţie corespunzătoare pentru prevenirea sarcinii şi să continuați să le utilizați pe o perioadă de minim 5 luni după ultimul tratament cu AMGEVITA. </w:t>
      </w:r>
    </w:p>
    <w:p w14:paraId="4C3E06BB" w14:textId="77777777" w:rsidR="00C04CAD" w:rsidRDefault="00060E34">
      <w:pPr>
        <w:numPr>
          <w:ilvl w:val="0"/>
          <w:numId w:val="54"/>
        </w:numPr>
        <w:tabs>
          <w:tab w:val="clear" w:pos="567"/>
        </w:tabs>
        <w:spacing w:line="240" w:lineRule="auto"/>
        <w:ind w:left="567" w:hanging="567"/>
        <w:rPr>
          <w:szCs w:val="22"/>
        </w:rPr>
      </w:pPr>
      <w:r>
        <w:rPr>
          <w:szCs w:val="22"/>
        </w:rPr>
        <w:t>Dacă sunteți gravidă, credeți că sunteți gravidă sau intenționați să aveți un copil, adresați-vă medicului dumneavoastră pentru recomandări privind administrarea acestui medicament.</w:t>
      </w:r>
    </w:p>
    <w:p w14:paraId="02950C6E"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unei sarcini numai dacă este necesar.</w:t>
      </w:r>
    </w:p>
    <w:p w14:paraId="2B0A78EE" w14:textId="77777777" w:rsidR="00C04CAD" w:rsidRDefault="00060E34">
      <w:pPr>
        <w:numPr>
          <w:ilvl w:val="0"/>
          <w:numId w:val="54"/>
        </w:numPr>
        <w:tabs>
          <w:tab w:val="clear" w:pos="567"/>
        </w:tabs>
        <w:spacing w:line="240" w:lineRule="auto"/>
        <w:ind w:left="567" w:hanging="567"/>
        <w:rPr>
          <w:szCs w:val="22"/>
        </w:rPr>
      </w:pPr>
      <w:r>
        <w:rPr>
          <w:szCs w:val="22"/>
        </w:rPr>
        <w:t>În conformitate cu un studiu privind sarcina, nu a existat un risc mai mare de malformații congenitale atunci când mama a primit AMGEVITA în timpul sarcinii, comparativ cu mamele cu aceeași boală care nu au primit AMGEVITA.</w:t>
      </w:r>
    </w:p>
    <w:p w14:paraId="4BCE194E"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alăptării.</w:t>
      </w:r>
    </w:p>
    <w:p w14:paraId="3CADA3D2" w14:textId="77777777" w:rsidR="00C04CAD" w:rsidRDefault="00060E34">
      <w:pPr>
        <w:numPr>
          <w:ilvl w:val="0"/>
          <w:numId w:val="54"/>
        </w:numPr>
        <w:tabs>
          <w:tab w:val="clear" w:pos="567"/>
        </w:tabs>
        <w:spacing w:line="240" w:lineRule="auto"/>
        <w:ind w:left="567" w:hanging="567"/>
        <w:rPr>
          <w:szCs w:val="22"/>
        </w:rPr>
      </w:pPr>
      <w:r>
        <w:rPr>
          <w:szCs w:val="22"/>
        </w:rPr>
        <w:t xml:space="preserve">Dacă aţi utilizat AMGEVITA în perioada sarcinii, copilul dumneavoastră poate avea un risc crescut de infecţie. </w:t>
      </w:r>
    </w:p>
    <w:p w14:paraId="6C728B00" w14:textId="77777777" w:rsidR="00C04CAD" w:rsidRDefault="00060E34">
      <w:pPr>
        <w:numPr>
          <w:ilvl w:val="0"/>
          <w:numId w:val="54"/>
        </w:numPr>
        <w:tabs>
          <w:tab w:val="clear" w:pos="567"/>
        </w:tabs>
        <w:spacing w:line="240" w:lineRule="auto"/>
        <w:ind w:left="567" w:hanging="567"/>
        <w:rPr>
          <w:szCs w:val="22"/>
          <w:lang w:eastAsia="en-US" w:bidi="ar-SA"/>
        </w:rPr>
      </w:pPr>
      <w:r>
        <w:rPr>
          <w:szCs w:val="22"/>
        </w:rPr>
        <w:t>Înainte să primească copilul dumneavoastră orice vaccin, este important să spuneţi medicului copilului dumneavoastră sau altui profesionist din domeniul sănătăţii despre utilizarea AMGEVITA în timpul sarcinii dumneavoastră (pentru mai multe informaţii referitoare la vaccinuri, consultați capitolul ”Atenționări și precauții”).</w:t>
      </w:r>
    </w:p>
    <w:p w14:paraId="014B656E"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447EEC20" w14:textId="77777777" w:rsidR="00C04CAD" w:rsidRDefault="00060E34">
      <w:pPr>
        <w:numPr>
          <w:ilvl w:val="12"/>
          <w:numId w:val="0"/>
        </w:numPr>
        <w:tabs>
          <w:tab w:val="clear" w:pos="567"/>
        </w:tabs>
        <w:spacing w:line="240" w:lineRule="auto"/>
        <w:ind w:right="-2"/>
        <w:outlineLvl w:val="0"/>
        <w:rPr>
          <w:szCs w:val="22"/>
        </w:rPr>
      </w:pPr>
      <w:r>
        <w:rPr>
          <w:b/>
          <w:szCs w:val="22"/>
        </w:rPr>
        <w:t>Conducerea vehiculelor și folosirea utilajelor</w:t>
      </w:r>
    </w:p>
    <w:p w14:paraId="5435662F"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1F9E0739"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lang w:eastAsia="en-US" w:bidi="ar-SA"/>
        </w:rPr>
        <w:t>AMGEVITA</w:t>
      </w:r>
      <w:r>
        <w:rPr>
          <w:szCs w:val="22"/>
        </w:rPr>
        <w:t xml:space="preserve"> poa</w:t>
      </w:r>
      <w:r>
        <w:rPr>
          <w:spacing w:val="-2"/>
          <w:szCs w:val="22"/>
        </w:rPr>
        <w:t>t</w:t>
      </w:r>
      <w:r>
        <w:rPr>
          <w:szCs w:val="22"/>
        </w:rPr>
        <w:t xml:space="preserve">e </w:t>
      </w:r>
      <w:r>
        <w:rPr>
          <w:spacing w:val="1"/>
          <w:szCs w:val="22"/>
        </w:rPr>
        <w:t>i</w:t>
      </w:r>
      <w:r>
        <w:rPr>
          <w:spacing w:val="-3"/>
          <w:szCs w:val="22"/>
        </w:rPr>
        <w:t>n</w:t>
      </w:r>
      <w:r>
        <w:rPr>
          <w:szCs w:val="22"/>
        </w:rPr>
        <w:t>f</w:t>
      </w:r>
      <w:r>
        <w:rPr>
          <w:spacing w:val="1"/>
          <w:szCs w:val="22"/>
        </w:rPr>
        <w:t>l</w:t>
      </w:r>
      <w:r>
        <w:rPr>
          <w:spacing w:val="-3"/>
          <w:szCs w:val="22"/>
        </w:rPr>
        <w:t>u</w:t>
      </w:r>
      <w:r>
        <w:rPr>
          <w:szCs w:val="22"/>
        </w:rPr>
        <w:t>en</w:t>
      </w:r>
      <w:r>
        <w:rPr>
          <w:spacing w:val="-2"/>
          <w:szCs w:val="22"/>
        </w:rPr>
        <w:t>ţ</w:t>
      </w:r>
      <w:r>
        <w:rPr>
          <w:szCs w:val="22"/>
        </w:rPr>
        <w:t xml:space="preserve">a </w:t>
      </w:r>
      <w:r>
        <w:rPr>
          <w:spacing w:val="-2"/>
          <w:szCs w:val="22"/>
        </w:rPr>
        <w:t>î</w:t>
      </w:r>
      <w:r>
        <w:rPr>
          <w:szCs w:val="22"/>
        </w:rPr>
        <w:t>n</w:t>
      </w:r>
      <w:r>
        <w:rPr>
          <w:spacing w:val="-3"/>
          <w:szCs w:val="22"/>
        </w:rPr>
        <w:t xml:space="preserve"> </w:t>
      </w:r>
      <w:r>
        <w:rPr>
          <w:spacing w:val="-4"/>
          <w:szCs w:val="22"/>
        </w:rPr>
        <w:t>m</w:t>
      </w:r>
      <w:r>
        <w:rPr>
          <w:spacing w:val="1"/>
          <w:szCs w:val="22"/>
        </w:rPr>
        <w:t>i</w:t>
      </w:r>
      <w:r>
        <w:rPr>
          <w:szCs w:val="22"/>
        </w:rPr>
        <w:t xml:space="preserve">că </w:t>
      </w:r>
      <w:r>
        <w:rPr>
          <w:spacing w:val="-4"/>
          <w:szCs w:val="22"/>
        </w:rPr>
        <w:t>m</w:t>
      </w:r>
      <w:r>
        <w:rPr>
          <w:szCs w:val="22"/>
        </w:rPr>
        <w:t>ăsură cap</w:t>
      </w:r>
      <w:r>
        <w:rPr>
          <w:spacing w:val="-3"/>
          <w:szCs w:val="22"/>
        </w:rPr>
        <w:t>a</w:t>
      </w:r>
      <w:r>
        <w:rPr>
          <w:szCs w:val="22"/>
        </w:rPr>
        <w:t>c</w:t>
      </w:r>
      <w:r>
        <w:rPr>
          <w:spacing w:val="-2"/>
          <w:szCs w:val="22"/>
        </w:rPr>
        <w:t>i</w:t>
      </w:r>
      <w:r>
        <w:rPr>
          <w:spacing w:val="1"/>
          <w:szCs w:val="22"/>
        </w:rPr>
        <w:t>t</w:t>
      </w:r>
      <w:r>
        <w:rPr>
          <w:spacing w:val="-3"/>
          <w:szCs w:val="22"/>
        </w:rPr>
        <w:t>a</w:t>
      </w:r>
      <w:r>
        <w:rPr>
          <w:spacing w:val="1"/>
          <w:szCs w:val="22"/>
        </w:rPr>
        <w:t>t</w:t>
      </w:r>
      <w:r>
        <w:rPr>
          <w:szCs w:val="22"/>
        </w:rPr>
        <w:t xml:space="preserve">ea </w:t>
      </w:r>
      <w:r>
        <w:rPr>
          <w:spacing w:val="-3"/>
          <w:szCs w:val="22"/>
        </w:rPr>
        <w:t>du</w:t>
      </w:r>
      <w:r>
        <w:rPr>
          <w:spacing w:val="-4"/>
          <w:szCs w:val="22"/>
        </w:rPr>
        <w:t>m</w:t>
      </w:r>
      <w:r>
        <w:rPr>
          <w:szCs w:val="22"/>
        </w:rPr>
        <w:t>nea</w:t>
      </w:r>
      <w:r>
        <w:rPr>
          <w:spacing w:val="-3"/>
          <w:szCs w:val="22"/>
        </w:rPr>
        <w:t>v</w:t>
      </w:r>
      <w:r>
        <w:rPr>
          <w:szCs w:val="22"/>
        </w:rPr>
        <w:t>oas</w:t>
      </w:r>
      <w:r>
        <w:rPr>
          <w:spacing w:val="1"/>
          <w:szCs w:val="22"/>
        </w:rPr>
        <w:t>t</w:t>
      </w:r>
      <w:r>
        <w:rPr>
          <w:szCs w:val="22"/>
        </w:rPr>
        <w:t>ră de</w:t>
      </w:r>
      <w:r>
        <w:rPr>
          <w:spacing w:val="-2"/>
          <w:szCs w:val="22"/>
        </w:rPr>
        <w:t xml:space="preserve"> </w:t>
      </w:r>
      <w:r>
        <w:rPr>
          <w:szCs w:val="22"/>
        </w:rPr>
        <w:t>a co</w:t>
      </w:r>
      <w:r>
        <w:rPr>
          <w:spacing w:val="-3"/>
          <w:szCs w:val="22"/>
        </w:rPr>
        <w:t>n</w:t>
      </w:r>
      <w:r>
        <w:rPr>
          <w:szCs w:val="22"/>
        </w:rPr>
        <w:t>duce</w:t>
      </w:r>
      <w:r>
        <w:rPr>
          <w:spacing w:val="-2"/>
          <w:szCs w:val="22"/>
        </w:rPr>
        <w:t xml:space="preserve"> </w:t>
      </w:r>
      <w:r>
        <w:rPr>
          <w:spacing w:val="-3"/>
          <w:szCs w:val="22"/>
        </w:rPr>
        <w:t>v</w:t>
      </w:r>
      <w:r>
        <w:rPr>
          <w:szCs w:val="22"/>
        </w:rPr>
        <w:t>eh</w:t>
      </w:r>
      <w:r>
        <w:rPr>
          <w:spacing w:val="1"/>
          <w:szCs w:val="22"/>
        </w:rPr>
        <w:t>i</w:t>
      </w:r>
      <w:r>
        <w:rPr>
          <w:szCs w:val="22"/>
        </w:rPr>
        <w:t>cu</w:t>
      </w:r>
      <w:r>
        <w:rPr>
          <w:spacing w:val="1"/>
          <w:szCs w:val="22"/>
        </w:rPr>
        <w:t>l</w:t>
      </w:r>
      <w:r>
        <w:rPr>
          <w:spacing w:val="-4"/>
          <w:szCs w:val="22"/>
        </w:rPr>
        <w:t>e</w:t>
      </w:r>
      <w:r>
        <w:rPr>
          <w:szCs w:val="22"/>
        </w:rPr>
        <w:t>, b</w:t>
      </w:r>
      <w:r>
        <w:rPr>
          <w:spacing w:val="-2"/>
          <w:szCs w:val="22"/>
        </w:rPr>
        <w:t>i</w:t>
      </w:r>
      <w:r>
        <w:rPr>
          <w:szCs w:val="22"/>
        </w:rPr>
        <w:t>c</w:t>
      </w:r>
      <w:r>
        <w:rPr>
          <w:spacing w:val="1"/>
          <w:szCs w:val="22"/>
        </w:rPr>
        <w:t>i</w:t>
      </w:r>
      <w:r>
        <w:rPr>
          <w:spacing w:val="-3"/>
          <w:szCs w:val="22"/>
        </w:rPr>
        <w:t>c</w:t>
      </w:r>
      <w:r>
        <w:rPr>
          <w:spacing w:val="1"/>
          <w:szCs w:val="22"/>
        </w:rPr>
        <w:t>l</w:t>
      </w:r>
      <w:r>
        <w:rPr>
          <w:spacing w:val="-3"/>
          <w:szCs w:val="22"/>
        </w:rPr>
        <w:t>e</w:t>
      </w:r>
      <w:r>
        <w:rPr>
          <w:spacing w:val="1"/>
          <w:szCs w:val="22"/>
        </w:rPr>
        <w:t>t</w:t>
      </w:r>
      <w:r>
        <w:rPr>
          <w:szCs w:val="22"/>
        </w:rPr>
        <w:t>e, sau de</w:t>
      </w:r>
      <w:r>
        <w:rPr>
          <w:spacing w:val="-2"/>
          <w:szCs w:val="22"/>
        </w:rPr>
        <w:t xml:space="preserve"> </w:t>
      </w:r>
      <w:r>
        <w:rPr>
          <w:szCs w:val="22"/>
        </w:rPr>
        <w:t>a f</w:t>
      </w:r>
      <w:r>
        <w:rPr>
          <w:spacing w:val="-3"/>
          <w:szCs w:val="22"/>
        </w:rPr>
        <w:t>o</w:t>
      </w:r>
      <w:r>
        <w:rPr>
          <w:spacing w:val="1"/>
          <w:szCs w:val="22"/>
        </w:rPr>
        <w:t>l</w:t>
      </w:r>
      <w:r>
        <w:rPr>
          <w:szCs w:val="22"/>
        </w:rPr>
        <w:t>o</w:t>
      </w:r>
      <w:r>
        <w:rPr>
          <w:spacing w:val="-2"/>
          <w:szCs w:val="22"/>
        </w:rPr>
        <w:t>s</w:t>
      </w:r>
      <w:r>
        <w:rPr>
          <w:szCs w:val="22"/>
        </w:rPr>
        <w:t>i</w:t>
      </w:r>
      <w:r>
        <w:rPr>
          <w:spacing w:val="1"/>
          <w:szCs w:val="22"/>
        </w:rPr>
        <w:t xml:space="preserve"> </w:t>
      </w:r>
      <w:r>
        <w:rPr>
          <w:spacing w:val="-3"/>
          <w:szCs w:val="22"/>
        </w:rPr>
        <w:t>u</w:t>
      </w:r>
      <w:r>
        <w:rPr>
          <w:spacing w:val="1"/>
          <w:szCs w:val="22"/>
        </w:rPr>
        <w:t>t</w:t>
      </w:r>
      <w:r>
        <w:rPr>
          <w:spacing w:val="-2"/>
          <w:szCs w:val="22"/>
        </w:rPr>
        <w:t>i</w:t>
      </w:r>
      <w:r>
        <w:rPr>
          <w:spacing w:val="1"/>
          <w:szCs w:val="22"/>
        </w:rPr>
        <w:t>l</w:t>
      </w:r>
      <w:r>
        <w:rPr>
          <w:spacing w:val="-3"/>
          <w:szCs w:val="22"/>
        </w:rPr>
        <w:t>a</w:t>
      </w:r>
      <w:r>
        <w:rPr>
          <w:spacing w:val="1"/>
          <w:szCs w:val="22"/>
        </w:rPr>
        <w:t>j</w:t>
      </w:r>
      <w:r>
        <w:rPr>
          <w:szCs w:val="22"/>
        </w:rPr>
        <w:t xml:space="preserve">e. </w:t>
      </w:r>
      <w:r>
        <w:rPr>
          <w:spacing w:val="-1"/>
          <w:szCs w:val="22"/>
        </w:rPr>
        <w:t>D</w:t>
      </w:r>
      <w:r>
        <w:rPr>
          <w:szCs w:val="22"/>
        </w:rPr>
        <w:t>u</w:t>
      </w:r>
      <w:r>
        <w:rPr>
          <w:spacing w:val="-3"/>
          <w:szCs w:val="22"/>
        </w:rPr>
        <w:t>p</w:t>
      </w:r>
      <w:r>
        <w:rPr>
          <w:szCs w:val="22"/>
        </w:rPr>
        <w:t>ă</w:t>
      </w:r>
      <w:r>
        <w:rPr>
          <w:spacing w:val="-2"/>
          <w:szCs w:val="22"/>
        </w:rPr>
        <w:t xml:space="preserve"> </w:t>
      </w:r>
      <w:r>
        <w:rPr>
          <w:szCs w:val="22"/>
        </w:rPr>
        <w:t>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zCs w:val="22"/>
        </w:rPr>
        <w:t xml:space="preserve">rea </w:t>
      </w:r>
      <w:r>
        <w:rPr>
          <w:spacing w:val="-3"/>
          <w:szCs w:val="22"/>
        </w:rPr>
        <w:t>d</w:t>
      </w:r>
      <w:r>
        <w:rPr>
          <w:szCs w:val="22"/>
        </w:rPr>
        <w:t xml:space="preserve">e </w:t>
      </w:r>
      <w:r>
        <w:rPr>
          <w:spacing w:val="-1"/>
          <w:szCs w:val="22"/>
          <w:lang w:eastAsia="en-US" w:bidi="ar-SA"/>
        </w:rPr>
        <w:t>AMGEVITA</w:t>
      </w:r>
      <w:r>
        <w:rPr>
          <w:szCs w:val="22"/>
        </w:rPr>
        <w:t xml:space="preserve"> </w:t>
      </w:r>
      <w:r>
        <w:rPr>
          <w:spacing w:val="-3"/>
          <w:szCs w:val="22"/>
        </w:rPr>
        <w:t>p</w:t>
      </w:r>
      <w:r>
        <w:rPr>
          <w:szCs w:val="22"/>
        </w:rPr>
        <w:t>oa</w:t>
      </w:r>
      <w:r>
        <w:rPr>
          <w:spacing w:val="1"/>
          <w:szCs w:val="22"/>
        </w:rPr>
        <w:t>t</w:t>
      </w:r>
      <w:r>
        <w:rPr>
          <w:szCs w:val="22"/>
        </w:rPr>
        <w:t>e</w:t>
      </w:r>
      <w:r>
        <w:rPr>
          <w:spacing w:val="-2"/>
          <w:szCs w:val="22"/>
        </w:rPr>
        <w:t xml:space="preserve"> </w:t>
      </w:r>
      <w:r>
        <w:rPr>
          <w:szCs w:val="22"/>
        </w:rPr>
        <w:t xml:space="preserve">să </w:t>
      </w:r>
      <w:r>
        <w:rPr>
          <w:spacing w:val="-3"/>
          <w:szCs w:val="22"/>
        </w:rPr>
        <w:t>a</w:t>
      </w:r>
      <w:r>
        <w:rPr>
          <w:szCs w:val="22"/>
        </w:rPr>
        <w:t>pa</w:t>
      </w:r>
      <w:r>
        <w:rPr>
          <w:spacing w:val="-2"/>
          <w:szCs w:val="22"/>
        </w:rPr>
        <w:t>r</w:t>
      </w:r>
      <w:r>
        <w:rPr>
          <w:szCs w:val="22"/>
        </w:rPr>
        <w:t>ă s</w:t>
      </w:r>
      <w:r>
        <w:rPr>
          <w:spacing w:val="-3"/>
          <w:szCs w:val="22"/>
        </w:rPr>
        <w:t>e</w:t>
      </w:r>
      <w:r>
        <w:rPr>
          <w:szCs w:val="22"/>
        </w:rPr>
        <w:t>n</w:t>
      </w:r>
      <w:r>
        <w:rPr>
          <w:spacing w:val="-3"/>
          <w:szCs w:val="22"/>
        </w:rPr>
        <w:t>z</w:t>
      </w:r>
      <w:r>
        <w:rPr>
          <w:szCs w:val="22"/>
        </w:rPr>
        <w:t>a</w:t>
      </w:r>
      <w:r>
        <w:rPr>
          <w:spacing w:val="1"/>
          <w:szCs w:val="22"/>
        </w:rPr>
        <w:t>ţ</w:t>
      </w:r>
      <w:r>
        <w:rPr>
          <w:spacing w:val="-2"/>
          <w:szCs w:val="22"/>
        </w:rPr>
        <w:t>i</w:t>
      </w:r>
      <w:r>
        <w:rPr>
          <w:szCs w:val="22"/>
        </w:rPr>
        <w:t>a că</w:t>
      </w:r>
      <w:r>
        <w:rPr>
          <w:spacing w:val="-2"/>
          <w:szCs w:val="22"/>
        </w:rPr>
        <w:t xml:space="preserve"> </w:t>
      </w:r>
      <w:r>
        <w:rPr>
          <w:szCs w:val="22"/>
        </w:rPr>
        <w:t>se</w:t>
      </w:r>
      <w:r>
        <w:rPr>
          <w:spacing w:val="-2"/>
          <w:szCs w:val="22"/>
        </w:rPr>
        <w:t xml:space="preserve"> </w:t>
      </w:r>
      <w:r>
        <w:rPr>
          <w:spacing w:val="1"/>
          <w:szCs w:val="22"/>
        </w:rPr>
        <w:t>î</w:t>
      </w:r>
      <w:r>
        <w:rPr>
          <w:szCs w:val="22"/>
        </w:rPr>
        <w:t>n</w:t>
      </w:r>
      <w:r>
        <w:rPr>
          <w:spacing w:val="-3"/>
          <w:szCs w:val="22"/>
        </w:rPr>
        <w:t>v</w:t>
      </w:r>
      <w:r>
        <w:rPr>
          <w:szCs w:val="22"/>
        </w:rPr>
        <w:t>âr</w:t>
      </w:r>
      <w:r>
        <w:rPr>
          <w:spacing w:val="1"/>
          <w:szCs w:val="22"/>
        </w:rPr>
        <w:t>t</w:t>
      </w:r>
      <w:r>
        <w:rPr>
          <w:szCs w:val="22"/>
        </w:rPr>
        <w:t>e</w:t>
      </w:r>
      <w:r>
        <w:rPr>
          <w:spacing w:val="-2"/>
          <w:szCs w:val="22"/>
        </w:rPr>
        <w:t xml:space="preserve"> </w:t>
      </w:r>
      <w:r>
        <w:rPr>
          <w:szCs w:val="22"/>
        </w:rPr>
        <w:t>c</w:t>
      </w:r>
      <w:r>
        <w:rPr>
          <w:spacing w:val="-3"/>
          <w:szCs w:val="22"/>
        </w:rPr>
        <w:t>a</w:t>
      </w:r>
      <w:r>
        <w:rPr>
          <w:szCs w:val="22"/>
        </w:rPr>
        <w:t xml:space="preserve">sa (vertij) </w:t>
      </w:r>
      <w:r>
        <w:rPr>
          <w:spacing w:val="-2"/>
          <w:szCs w:val="22"/>
        </w:rPr>
        <w:t xml:space="preserve">şi </w:t>
      </w:r>
      <w:r>
        <w:rPr>
          <w:spacing w:val="1"/>
          <w:szCs w:val="22"/>
        </w:rPr>
        <w:t>t</w:t>
      </w:r>
      <w:r>
        <w:rPr>
          <w:szCs w:val="22"/>
        </w:rPr>
        <w:t>u</w:t>
      </w:r>
      <w:r>
        <w:rPr>
          <w:spacing w:val="1"/>
          <w:szCs w:val="22"/>
        </w:rPr>
        <w:t>l</w:t>
      </w:r>
      <w:r>
        <w:rPr>
          <w:spacing w:val="-3"/>
          <w:szCs w:val="22"/>
        </w:rPr>
        <w:t>b</w:t>
      </w:r>
      <w:r>
        <w:rPr>
          <w:szCs w:val="22"/>
        </w:rPr>
        <w:t>ur</w:t>
      </w:r>
      <w:r>
        <w:rPr>
          <w:spacing w:val="-3"/>
          <w:szCs w:val="22"/>
        </w:rPr>
        <w:t>ă</w:t>
      </w:r>
      <w:r>
        <w:rPr>
          <w:szCs w:val="22"/>
        </w:rPr>
        <w:t>ri</w:t>
      </w:r>
      <w:r>
        <w:rPr>
          <w:spacing w:val="-2"/>
          <w:szCs w:val="22"/>
        </w:rPr>
        <w:t xml:space="preserve"> </w:t>
      </w:r>
      <w:r>
        <w:rPr>
          <w:szCs w:val="22"/>
        </w:rPr>
        <w:t xml:space="preserve">de </w:t>
      </w:r>
      <w:r>
        <w:rPr>
          <w:spacing w:val="-3"/>
          <w:szCs w:val="22"/>
        </w:rPr>
        <w:t>v</w:t>
      </w:r>
      <w:r>
        <w:rPr>
          <w:szCs w:val="22"/>
        </w:rPr>
        <w:t>ede</w:t>
      </w:r>
      <w:r>
        <w:rPr>
          <w:spacing w:val="-2"/>
          <w:szCs w:val="22"/>
        </w:rPr>
        <w:t>r</w:t>
      </w:r>
      <w:r>
        <w:rPr>
          <w:szCs w:val="22"/>
        </w:rPr>
        <w:t>e.</w:t>
      </w:r>
    </w:p>
    <w:p w14:paraId="0C87C9A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04F20F8"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AMGEVITA conţine sodiu</w:t>
      </w:r>
    </w:p>
    <w:p w14:paraId="06B0B12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387C2B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Acest medicament conţine sodiu mai puţin de 1 mmol (23 mg) per doză de 0,8 ml, adică practic „nu conţine sodiu”.</w:t>
      </w:r>
    </w:p>
    <w:p w14:paraId="4A46834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E274AF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4735EC4" w14:textId="77777777" w:rsidR="00C04CAD" w:rsidRDefault="00060E34">
      <w:pPr>
        <w:tabs>
          <w:tab w:val="clear" w:pos="567"/>
        </w:tabs>
        <w:kinsoku w:val="0"/>
        <w:overflowPunct w:val="0"/>
        <w:autoSpaceDE w:val="0"/>
        <w:autoSpaceDN w:val="0"/>
        <w:adjustRightInd w:val="0"/>
        <w:spacing w:line="240" w:lineRule="auto"/>
        <w:ind w:left="567" w:hanging="567"/>
        <w:rPr>
          <w:b/>
          <w:szCs w:val="22"/>
          <w:lang w:eastAsia="en-US" w:bidi="ar-SA"/>
        </w:rPr>
      </w:pPr>
      <w:r>
        <w:rPr>
          <w:b/>
          <w:szCs w:val="22"/>
          <w:lang w:eastAsia="en-US" w:bidi="ar-SA"/>
        </w:rPr>
        <w:t>3.</w:t>
      </w:r>
      <w:r>
        <w:rPr>
          <w:b/>
          <w:szCs w:val="22"/>
          <w:lang w:eastAsia="en-US" w:bidi="ar-SA"/>
        </w:rPr>
        <w:tab/>
        <w:t>Cum să utilizați AMGEVITA</w:t>
      </w:r>
    </w:p>
    <w:p w14:paraId="29073CC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15B455C6" w14:textId="77777777" w:rsidR="00C04CAD" w:rsidRDefault="00060E34">
      <w:pPr>
        <w:tabs>
          <w:tab w:val="clear" w:pos="567"/>
        </w:tabs>
        <w:kinsoku w:val="0"/>
        <w:overflowPunct w:val="0"/>
        <w:autoSpaceDE w:val="0"/>
        <w:autoSpaceDN w:val="0"/>
        <w:adjustRightInd w:val="0"/>
        <w:spacing w:line="240" w:lineRule="auto"/>
      </w:pPr>
      <w:r>
        <w:rPr>
          <w:spacing w:val="-1"/>
        </w:rPr>
        <w:t>L</w:t>
      </w:r>
      <w:r>
        <w:t>ua</w:t>
      </w:r>
      <w:r>
        <w:rPr>
          <w:spacing w:val="-2"/>
        </w:rPr>
        <w:t>ţ</w:t>
      </w:r>
      <w:r>
        <w:t>i</w:t>
      </w:r>
      <w:r>
        <w:rPr>
          <w:spacing w:val="1"/>
        </w:rPr>
        <w:t xml:space="preserve"> î</w:t>
      </w:r>
      <w:r>
        <w:rPr>
          <w:spacing w:val="-3"/>
        </w:rPr>
        <w:t>n</w:t>
      </w:r>
      <w:r>
        <w:rPr>
          <w:spacing w:val="1"/>
        </w:rPr>
        <w:t>t</w:t>
      </w:r>
      <w:r>
        <w:rPr>
          <w:spacing w:val="-3"/>
        </w:rPr>
        <w:t>o</w:t>
      </w:r>
      <w:r>
        <w:rPr>
          <w:spacing w:val="1"/>
        </w:rPr>
        <w:t>t</w:t>
      </w:r>
      <w:r>
        <w:t>dea</w:t>
      </w:r>
      <w:r>
        <w:rPr>
          <w:spacing w:val="-3"/>
        </w:rPr>
        <w:t>u</w:t>
      </w:r>
      <w:r>
        <w:t xml:space="preserve">na </w:t>
      </w:r>
      <w:r>
        <w:rPr>
          <w:spacing w:val="-3"/>
        </w:rPr>
        <w:t>a</w:t>
      </w:r>
      <w:r>
        <w:t>ce</w:t>
      </w:r>
      <w:r>
        <w:rPr>
          <w:spacing w:val="-2"/>
        </w:rPr>
        <w:t>s</w:t>
      </w:r>
      <w:r>
        <w:t>t</w:t>
      </w:r>
      <w:r>
        <w:rPr>
          <w:spacing w:val="1"/>
        </w:rPr>
        <w:t xml:space="preserve"> </w:t>
      </w:r>
      <w:r>
        <w:rPr>
          <w:spacing w:val="-4"/>
        </w:rPr>
        <w:t>m</w:t>
      </w:r>
      <w:r>
        <w:t>ed</w:t>
      </w:r>
      <w:r>
        <w:rPr>
          <w:spacing w:val="1"/>
        </w:rPr>
        <w:t>i</w:t>
      </w:r>
      <w:r>
        <w:t>ca</w:t>
      </w:r>
      <w:r>
        <w:rPr>
          <w:spacing w:val="-4"/>
        </w:rPr>
        <w:t>m</w:t>
      </w:r>
      <w:r>
        <w:t>ent</w:t>
      </w:r>
      <w:r>
        <w:rPr>
          <w:spacing w:val="1"/>
        </w:rPr>
        <w:t xml:space="preserve"> </w:t>
      </w:r>
      <w:r>
        <w:rPr>
          <w:spacing w:val="-3"/>
        </w:rPr>
        <w:t>e</w:t>
      </w:r>
      <w:r>
        <w:t>xa</w:t>
      </w:r>
      <w:r>
        <w:rPr>
          <w:spacing w:val="-3"/>
        </w:rPr>
        <w:t>c</w:t>
      </w:r>
      <w:r>
        <w:t>t</w:t>
      </w:r>
      <w:r>
        <w:rPr>
          <w:spacing w:val="1"/>
        </w:rPr>
        <w:t xml:space="preserve"> </w:t>
      </w:r>
      <w:r>
        <w:t>a</w:t>
      </w:r>
      <w:r>
        <w:rPr>
          <w:spacing w:val="-2"/>
        </w:rPr>
        <w:t>ş</w:t>
      </w:r>
      <w:r>
        <w:t>a cum</w:t>
      </w:r>
      <w:r>
        <w:rPr>
          <w:spacing w:val="-4"/>
        </w:rPr>
        <w:t xml:space="preserve"> </w:t>
      </w:r>
      <w:r>
        <w:t>v</w:t>
      </w:r>
      <w:r>
        <w:rPr>
          <w:spacing w:val="-4"/>
        </w:rPr>
        <w:t>-</w:t>
      </w:r>
      <w:r>
        <w:t>a</w:t>
      </w:r>
      <w:r>
        <w:rPr>
          <w:spacing w:val="2"/>
        </w:rPr>
        <w:t xml:space="preserve"> </w:t>
      </w:r>
      <w:r>
        <w:t xml:space="preserve">spus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ră s</w:t>
      </w:r>
      <w:r>
        <w:rPr>
          <w:spacing w:val="-3"/>
        </w:rPr>
        <w:t>a</w:t>
      </w:r>
      <w:r>
        <w:t xml:space="preserve">u </w:t>
      </w:r>
      <w:r>
        <w:rPr>
          <w:spacing w:val="-2"/>
        </w:rPr>
        <w:t>f</w:t>
      </w:r>
      <w:r>
        <w:t>ar</w:t>
      </w:r>
      <w:r>
        <w:rPr>
          <w:spacing w:val="-4"/>
        </w:rPr>
        <w:t>m</w:t>
      </w:r>
      <w:r>
        <w:t>ac</w:t>
      </w:r>
      <w:r>
        <w:rPr>
          <w:spacing w:val="1"/>
        </w:rPr>
        <w:t>i</w:t>
      </w:r>
      <w:r>
        <w:rPr>
          <w:spacing w:val="-2"/>
        </w:rPr>
        <w:t>s</w:t>
      </w:r>
      <w:r>
        <w:rPr>
          <w:spacing w:val="1"/>
        </w:rPr>
        <w:t>t</w:t>
      </w:r>
      <w:r>
        <w:t>u</w:t>
      </w:r>
      <w:r>
        <w:rPr>
          <w:spacing w:val="1"/>
        </w:rPr>
        <w:t>l</w:t>
      </w:r>
      <w:r>
        <w:t xml:space="preserve">. </w:t>
      </w:r>
      <w:r>
        <w:rPr>
          <w:spacing w:val="-1"/>
        </w:rPr>
        <w:t>D</w:t>
      </w:r>
      <w:r>
        <w:t>acă nu</w:t>
      </w:r>
      <w:r>
        <w:rPr>
          <w:spacing w:val="-3"/>
        </w:rPr>
        <w:t xml:space="preserve"> </w:t>
      </w:r>
      <w:r>
        <w:t>sun</w:t>
      </w:r>
      <w:r>
        <w:rPr>
          <w:spacing w:val="-2"/>
        </w:rPr>
        <w:t>t</w:t>
      </w:r>
      <w:r>
        <w:t>e</w:t>
      </w:r>
      <w:r>
        <w:rPr>
          <w:spacing w:val="-2"/>
        </w:rPr>
        <w:t>ţ</w:t>
      </w:r>
      <w:r>
        <w:t>i</w:t>
      </w:r>
      <w:r>
        <w:rPr>
          <w:spacing w:val="1"/>
        </w:rPr>
        <w:t xml:space="preserve"> </w:t>
      </w:r>
      <w:r>
        <w:rPr>
          <w:spacing w:val="-2"/>
        </w:rPr>
        <w:t>s</w:t>
      </w:r>
      <w:r>
        <w:rPr>
          <w:spacing w:val="1"/>
        </w:rPr>
        <w:t>i</w:t>
      </w:r>
      <w:r>
        <w:rPr>
          <w:spacing w:val="-3"/>
        </w:rPr>
        <w:t>g</w:t>
      </w:r>
      <w:r>
        <w:t xml:space="preserve">ur, </w:t>
      </w:r>
      <w:r>
        <w:rPr>
          <w:spacing w:val="1"/>
        </w:rPr>
        <w:t>î</w:t>
      </w:r>
      <w:r>
        <w:rPr>
          <w:spacing w:val="-3"/>
        </w:rPr>
        <w:t>n</w:t>
      </w:r>
      <w:r>
        <w:rPr>
          <w:spacing w:val="1"/>
        </w:rPr>
        <w:t>t</w:t>
      </w:r>
      <w:r>
        <w:rPr>
          <w:spacing w:val="-2"/>
        </w:rPr>
        <w:t>r</w:t>
      </w:r>
      <w:r>
        <w:rPr>
          <w:spacing w:val="-3"/>
        </w:rPr>
        <w:t>e</w:t>
      </w:r>
      <w:r>
        <w:t>ba</w:t>
      </w:r>
      <w:r>
        <w:rPr>
          <w:spacing w:val="-2"/>
        </w:rPr>
        <w:t>ţ</w:t>
      </w:r>
      <w:r>
        <w:t>i</w:t>
      </w:r>
      <w:r>
        <w:rPr>
          <w:spacing w:val="1"/>
        </w:rPr>
        <w:t xml:space="preserve"> </w:t>
      </w:r>
      <w:r>
        <w:rPr>
          <w:spacing w:val="-4"/>
        </w:rPr>
        <w:t>m</w:t>
      </w:r>
      <w:r>
        <w:t>ed</w:t>
      </w:r>
      <w:r>
        <w:rPr>
          <w:spacing w:val="1"/>
        </w:rPr>
        <w:t>i</w:t>
      </w:r>
      <w:r>
        <w:t>cul</w:t>
      </w:r>
      <w:r>
        <w:rPr>
          <w:spacing w:val="-2"/>
        </w:rPr>
        <w:t xml:space="preserve"> </w:t>
      </w:r>
      <w:r>
        <w:t>du</w:t>
      </w:r>
      <w:r>
        <w:rPr>
          <w:spacing w:val="-4"/>
        </w:rPr>
        <w:t>m</w:t>
      </w:r>
      <w:r>
        <w:t>nea</w:t>
      </w:r>
      <w:r>
        <w:rPr>
          <w:spacing w:val="-3"/>
        </w:rPr>
        <w:t>v</w:t>
      </w:r>
      <w:r>
        <w:t>oas</w:t>
      </w:r>
      <w:r>
        <w:rPr>
          <w:spacing w:val="1"/>
        </w:rPr>
        <w:t>t</w:t>
      </w:r>
      <w:r>
        <w:rPr>
          <w:spacing w:val="-2"/>
        </w:rPr>
        <w:t>r</w:t>
      </w:r>
      <w:r>
        <w:t>ă sau</w:t>
      </w:r>
      <w:r>
        <w:rPr>
          <w:spacing w:val="-3"/>
        </w:rPr>
        <w:t xml:space="preserve"> </w:t>
      </w:r>
      <w:r>
        <w:t>f</w:t>
      </w:r>
      <w:r>
        <w:rPr>
          <w:spacing w:val="-3"/>
        </w:rPr>
        <w:t>a</w:t>
      </w:r>
      <w:r>
        <w:t>r</w:t>
      </w:r>
      <w:r>
        <w:rPr>
          <w:spacing w:val="-4"/>
        </w:rPr>
        <w:t>m</w:t>
      </w:r>
      <w:r>
        <w:t>ac</w:t>
      </w:r>
      <w:r>
        <w:rPr>
          <w:spacing w:val="1"/>
        </w:rPr>
        <w:t>i</w:t>
      </w:r>
      <w:r>
        <w:t>s</w:t>
      </w:r>
      <w:r>
        <w:rPr>
          <w:spacing w:val="1"/>
        </w:rPr>
        <w:t>t</w:t>
      </w:r>
      <w:r>
        <w:rPr>
          <w:spacing w:val="-3"/>
        </w:rPr>
        <w:t>u</w:t>
      </w:r>
      <w:r>
        <w:rPr>
          <w:spacing w:val="1"/>
        </w:rPr>
        <w:t>l</w:t>
      </w:r>
      <w:r>
        <w:t xml:space="preserve">. </w:t>
      </w:r>
    </w:p>
    <w:p w14:paraId="424B437A" w14:textId="77777777" w:rsidR="00C04CAD" w:rsidRDefault="00C04CAD">
      <w:pPr>
        <w:tabs>
          <w:tab w:val="clear" w:pos="567"/>
        </w:tabs>
        <w:kinsoku w:val="0"/>
        <w:overflowPunct w:val="0"/>
        <w:autoSpaceDE w:val="0"/>
        <w:autoSpaceDN w:val="0"/>
        <w:adjustRightInd w:val="0"/>
        <w:spacing w:line="240" w:lineRule="auto"/>
      </w:pPr>
    </w:p>
    <w:p w14:paraId="5C688226" w14:textId="77777777" w:rsidR="00C04CAD" w:rsidRDefault="00060E34">
      <w:pPr>
        <w:keepNext/>
        <w:tabs>
          <w:tab w:val="clear" w:pos="567"/>
        </w:tabs>
        <w:kinsoku w:val="0"/>
        <w:overflowPunct w:val="0"/>
        <w:autoSpaceDE w:val="0"/>
        <w:autoSpaceDN w:val="0"/>
        <w:adjustRightInd w:val="0"/>
        <w:spacing w:line="240" w:lineRule="auto"/>
        <w:rPr>
          <w:u w:val="single"/>
        </w:rPr>
      </w:pPr>
      <w:r>
        <w:rPr>
          <w:spacing w:val="-1"/>
          <w:u w:val="single"/>
        </w:rPr>
        <w:t>A</w:t>
      </w:r>
      <w:r>
        <w:rPr>
          <w:u w:val="single"/>
        </w:rPr>
        <w:t>du</w:t>
      </w:r>
      <w:r>
        <w:rPr>
          <w:spacing w:val="1"/>
          <w:u w:val="single"/>
        </w:rPr>
        <w:t>l</w:t>
      </w:r>
      <w:r>
        <w:rPr>
          <w:spacing w:val="-2"/>
          <w:u w:val="single"/>
        </w:rPr>
        <w:t>ţ</w:t>
      </w:r>
      <w:r>
        <w:rPr>
          <w:u w:val="single"/>
        </w:rPr>
        <w:t>i cu po</w:t>
      </w:r>
      <w:r>
        <w:rPr>
          <w:spacing w:val="-2"/>
          <w:u w:val="single"/>
        </w:rPr>
        <w:t>l</w:t>
      </w:r>
      <w:r>
        <w:rPr>
          <w:spacing w:val="1"/>
          <w:u w:val="single"/>
        </w:rPr>
        <w:t>i</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 xml:space="preserve">ă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dă, a</w:t>
      </w:r>
      <w:r>
        <w:rPr>
          <w:spacing w:val="-2"/>
          <w:u w:val="single"/>
        </w:rPr>
        <w:t>r</w:t>
      </w:r>
      <w:r>
        <w:rPr>
          <w:spacing w:val="1"/>
          <w:u w:val="single"/>
        </w:rPr>
        <w:t>t</w:t>
      </w:r>
      <w:r>
        <w:rPr>
          <w:spacing w:val="-2"/>
          <w:u w:val="single"/>
        </w:rPr>
        <w:t>r</w:t>
      </w:r>
      <w:r>
        <w:rPr>
          <w:spacing w:val="1"/>
          <w:u w:val="single"/>
        </w:rPr>
        <w:t>it</w:t>
      </w:r>
      <w:r>
        <w:rPr>
          <w:u w:val="single"/>
        </w:rPr>
        <w:t>ă ps</w:t>
      </w:r>
      <w:r>
        <w:rPr>
          <w:spacing w:val="-3"/>
          <w:u w:val="single"/>
        </w:rPr>
        <w:t>o</w:t>
      </w:r>
      <w:r>
        <w:rPr>
          <w:u w:val="single"/>
        </w:rPr>
        <w:t>r</w:t>
      </w:r>
      <w:r>
        <w:rPr>
          <w:spacing w:val="-2"/>
          <w:u w:val="single"/>
        </w:rPr>
        <w:t>i</w:t>
      </w:r>
      <w:r>
        <w:rPr>
          <w:u w:val="single"/>
        </w:rPr>
        <w:t>a</w:t>
      </w:r>
      <w:r>
        <w:rPr>
          <w:spacing w:val="-3"/>
          <w:u w:val="single"/>
        </w:rPr>
        <w:t>z</w:t>
      </w:r>
      <w:r>
        <w:rPr>
          <w:spacing w:val="1"/>
          <w:u w:val="single"/>
        </w:rPr>
        <w:t>i</w:t>
      </w:r>
      <w:r>
        <w:rPr>
          <w:u w:val="single"/>
        </w:rPr>
        <w:t xml:space="preserve">că, </w:t>
      </w:r>
      <w:r>
        <w:rPr>
          <w:spacing w:val="-2"/>
          <w:u w:val="single"/>
        </w:rPr>
        <w:t>s</w:t>
      </w:r>
      <w:r>
        <w:rPr>
          <w:u w:val="single"/>
        </w:rPr>
        <w:t>p</w:t>
      </w:r>
      <w:r>
        <w:rPr>
          <w:spacing w:val="-3"/>
          <w:u w:val="single"/>
        </w:rPr>
        <w:t>o</w:t>
      </w:r>
      <w:r>
        <w:rPr>
          <w:u w:val="single"/>
        </w:rPr>
        <w:t>nd</w:t>
      </w:r>
      <w:r>
        <w:rPr>
          <w:spacing w:val="1"/>
          <w:u w:val="single"/>
        </w:rPr>
        <w:t>i</w:t>
      </w:r>
      <w:r>
        <w:rPr>
          <w:spacing w:val="-2"/>
          <w:u w:val="single"/>
        </w:rPr>
        <w:t>l</w:t>
      </w:r>
      <w:r>
        <w:rPr>
          <w:spacing w:val="1"/>
          <w:u w:val="single"/>
        </w:rPr>
        <w:t>i</w:t>
      </w:r>
      <w:r>
        <w:rPr>
          <w:spacing w:val="-2"/>
          <w:u w:val="single"/>
        </w:rPr>
        <w:t>t</w:t>
      </w:r>
      <w:r>
        <w:rPr>
          <w:u w:val="single"/>
        </w:rPr>
        <w:t>ă a</w:t>
      </w:r>
      <w:r>
        <w:rPr>
          <w:spacing w:val="-3"/>
          <w:u w:val="single"/>
        </w:rPr>
        <w:t>n</w:t>
      </w:r>
      <w:r>
        <w:rPr>
          <w:u w:val="single"/>
        </w:rPr>
        <w:t>ch</w:t>
      </w:r>
      <w:r>
        <w:rPr>
          <w:spacing w:val="-2"/>
          <w:u w:val="single"/>
        </w:rPr>
        <w:t>i</w:t>
      </w:r>
      <w:r>
        <w:rPr>
          <w:spacing w:val="1"/>
          <w:u w:val="single"/>
        </w:rPr>
        <w:t>l</w:t>
      </w:r>
      <w:r>
        <w:rPr>
          <w:u w:val="single"/>
        </w:rPr>
        <w:t>o</w:t>
      </w:r>
      <w:r>
        <w:rPr>
          <w:spacing w:val="-2"/>
          <w:u w:val="single"/>
        </w:rPr>
        <w:t>z</w:t>
      </w:r>
      <w:r>
        <w:rPr>
          <w:u w:val="single"/>
        </w:rPr>
        <w:t>an</w:t>
      </w:r>
      <w:r>
        <w:rPr>
          <w:spacing w:val="-2"/>
          <w:u w:val="single"/>
        </w:rPr>
        <w:t>t</w:t>
      </w:r>
      <w:r>
        <w:rPr>
          <w:u w:val="single"/>
        </w:rPr>
        <w:t>ă s</w:t>
      </w:r>
      <w:r>
        <w:rPr>
          <w:spacing w:val="-3"/>
          <w:u w:val="single"/>
        </w:rPr>
        <w:t>a</w:t>
      </w:r>
      <w:r>
        <w:rPr>
          <w:u w:val="single"/>
        </w:rPr>
        <w:t>u sp</w:t>
      </w:r>
      <w:r>
        <w:rPr>
          <w:spacing w:val="-3"/>
          <w:u w:val="single"/>
        </w:rPr>
        <w:t>o</w:t>
      </w:r>
      <w:r>
        <w:rPr>
          <w:u w:val="single"/>
        </w:rPr>
        <w:t>nd</w:t>
      </w:r>
      <w:r>
        <w:rPr>
          <w:spacing w:val="1"/>
          <w:u w:val="single"/>
        </w:rPr>
        <w:t>i</w:t>
      </w:r>
      <w:r>
        <w:rPr>
          <w:spacing w:val="-2"/>
          <w:u w:val="single"/>
        </w:rPr>
        <w:t>l</w:t>
      </w:r>
      <w:r>
        <w:rPr>
          <w:u w:val="single"/>
        </w:rPr>
        <w:t>oa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ă a</w:t>
      </w:r>
      <w:r>
        <w:rPr>
          <w:spacing w:val="-3"/>
          <w:u w:val="single"/>
        </w:rPr>
        <w:t>x</w:t>
      </w:r>
      <w:r>
        <w:rPr>
          <w:spacing w:val="1"/>
          <w:u w:val="single"/>
        </w:rPr>
        <w:t>i</w:t>
      </w:r>
      <w:r>
        <w:rPr>
          <w:spacing w:val="-3"/>
          <w:u w:val="single"/>
        </w:rPr>
        <w:t>a</w:t>
      </w:r>
      <w:r>
        <w:rPr>
          <w:spacing w:val="1"/>
          <w:u w:val="single"/>
        </w:rPr>
        <w:t>l</w:t>
      </w:r>
      <w:r>
        <w:rPr>
          <w:u w:val="single"/>
        </w:rPr>
        <w:t>ă fă</w:t>
      </w:r>
      <w:r>
        <w:rPr>
          <w:spacing w:val="-2"/>
          <w:u w:val="single"/>
        </w:rPr>
        <w:t>r</w:t>
      </w:r>
      <w:r>
        <w:rPr>
          <w:u w:val="single"/>
        </w:rPr>
        <w:t>ă do</w:t>
      </w:r>
      <w:r>
        <w:rPr>
          <w:spacing w:val="-3"/>
          <w:u w:val="single"/>
        </w:rPr>
        <w:t>v</w:t>
      </w:r>
      <w:r>
        <w:rPr>
          <w:u w:val="single"/>
        </w:rPr>
        <w:t xml:space="preserve">adă </w:t>
      </w:r>
      <w:r>
        <w:rPr>
          <w:spacing w:val="-2"/>
          <w:u w:val="single"/>
        </w:rPr>
        <w:t>r</w:t>
      </w:r>
      <w:r>
        <w:rPr>
          <w:u w:val="single"/>
        </w:rPr>
        <w:t>ad</w:t>
      </w:r>
      <w:r>
        <w:rPr>
          <w:spacing w:val="-2"/>
          <w:u w:val="single"/>
        </w:rPr>
        <w:t>i</w:t>
      </w:r>
      <w:r>
        <w:rPr>
          <w:u w:val="single"/>
        </w:rPr>
        <w:t>o</w:t>
      </w:r>
      <w:r>
        <w:rPr>
          <w:spacing w:val="1"/>
          <w:u w:val="single"/>
        </w:rPr>
        <w:t>l</w:t>
      </w:r>
      <w:r>
        <w:rPr>
          <w:u w:val="single"/>
        </w:rPr>
        <w:t>o</w:t>
      </w:r>
      <w:r>
        <w:rPr>
          <w:spacing w:val="-3"/>
          <w:u w:val="single"/>
        </w:rPr>
        <w:t>g</w:t>
      </w:r>
      <w:r>
        <w:rPr>
          <w:spacing w:val="1"/>
          <w:u w:val="single"/>
        </w:rPr>
        <w:t>i</w:t>
      </w:r>
      <w:r>
        <w:rPr>
          <w:spacing w:val="-3"/>
          <w:u w:val="single"/>
        </w:rPr>
        <w:t>c</w:t>
      </w:r>
      <w:r>
        <w:rPr>
          <w:u w:val="single"/>
        </w:rPr>
        <w:t xml:space="preserve">ă a </w:t>
      </w:r>
      <w:r>
        <w:rPr>
          <w:spacing w:val="-2"/>
          <w:u w:val="single"/>
        </w:rPr>
        <w:t>s</w:t>
      </w:r>
      <w:r>
        <w:rPr>
          <w:u w:val="single"/>
        </w:rPr>
        <w:t>pond</w:t>
      </w:r>
      <w:r>
        <w:rPr>
          <w:spacing w:val="-2"/>
          <w:u w:val="single"/>
        </w:rPr>
        <w:t>i</w:t>
      </w:r>
      <w:r>
        <w:rPr>
          <w:spacing w:val="1"/>
          <w:u w:val="single"/>
        </w:rPr>
        <w:t>l</w:t>
      </w:r>
      <w:r>
        <w:rPr>
          <w:spacing w:val="-2"/>
          <w:u w:val="single"/>
        </w:rPr>
        <w:t>i</w:t>
      </w:r>
      <w:r>
        <w:rPr>
          <w:spacing w:val="1"/>
          <w:u w:val="single"/>
        </w:rPr>
        <w:t>t</w:t>
      </w:r>
      <w:r>
        <w:rPr>
          <w:spacing w:val="-3"/>
          <w:u w:val="single"/>
        </w:rPr>
        <w:t>e</w:t>
      </w:r>
      <w:r>
        <w:rPr>
          <w:u w:val="single"/>
        </w:rPr>
        <w:t>i an</w:t>
      </w:r>
      <w:r>
        <w:rPr>
          <w:spacing w:val="-3"/>
          <w:u w:val="single"/>
        </w:rPr>
        <w:t>c</w:t>
      </w:r>
      <w:r>
        <w:rPr>
          <w:u w:val="single"/>
        </w:rPr>
        <w:t>h</w:t>
      </w:r>
      <w:r>
        <w:rPr>
          <w:spacing w:val="-2"/>
          <w:u w:val="single"/>
        </w:rPr>
        <w:t>i</w:t>
      </w:r>
      <w:r>
        <w:rPr>
          <w:spacing w:val="1"/>
          <w:u w:val="single"/>
        </w:rPr>
        <w:t>l</w:t>
      </w:r>
      <w:r>
        <w:rPr>
          <w:u w:val="single"/>
        </w:rPr>
        <w:t>o</w:t>
      </w:r>
      <w:r>
        <w:rPr>
          <w:spacing w:val="-3"/>
          <w:u w:val="single"/>
        </w:rPr>
        <w:t>z</w:t>
      </w:r>
      <w:r>
        <w:rPr>
          <w:u w:val="single"/>
        </w:rPr>
        <w:t>an</w:t>
      </w:r>
      <w:r>
        <w:rPr>
          <w:spacing w:val="1"/>
          <w:u w:val="single"/>
        </w:rPr>
        <w:t>t</w:t>
      </w:r>
      <w:r>
        <w:rPr>
          <w:u w:val="single"/>
        </w:rPr>
        <w:t>e</w:t>
      </w:r>
    </w:p>
    <w:p w14:paraId="3055DC0C" w14:textId="77777777" w:rsidR="00C04CAD" w:rsidRDefault="00C04CAD">
      <w:pPr>
        <w:keepNext/>
        <w:tabs>
          <w:tab w:val="clear" w:pos="567"/>
        </w:tabs>
        <w:kinsoku w:val="0"/>
        <w:overflowPunct w:val="0"/>
        <w:autoSpaceDE w:val="0"/>
        <w:autoSpaceDN w:val="0"/>
        <w:adjustRightInd w:val="0"/>
        <w:spacing w:line="240" w:lineRule="auto"/>
      </w:pPr>
    </w:p>
    <w:p w14:paraId="68E795F1" w14:textId="77777777" w:rsidR="00C04CAD" w:rsidRDefault="00060E34">
      <w:pPr>
        <w:tabs>
          <w:tab w:val="clear" w:pos="567"/>
        </w:tabs>
        <w:kinsoku w:val="0"/>
        <w:overflowPunct w:val="0"/>
        <w:autoSpaceDE w:val="0"/>
        <w:autoSpaceDN w:val="0"/>
        <w:adjustRightInd w:val="0"/>
        <w:spacing w:line="240" w:lineRule="auto"/>
      </w:pPr>
      <w:r>
        <w:rPr>
          <w:spacing w:val="-1"/>
          <w:szCs w:val="22"/>
          <w:lang w:eastAsia="en-US" w:bidi="ar-SA"/>
        </w:rPr>
        <w:t>AMGEVITA</w:t>
      </w:r>
      <w:r>
        <w:t xml:space="preserve"> se </w:t>
      </w:r>
      <w:r>
        <w:rPr>
          <w:spacing w:val="1"/>
        </w:rPr>
        <w:t>i</w:t>
      </w:r>
      <w:r>
        <w:rPr>
          <w:spacing w:val="-3"/>
        </w:rPr>
        <w:t>n</w:t>
      </w:r>
      <w:r>
        <w:rPr>
          <w:spacing w:val="1"/>
        </w:rPr>
        <w:t>j</w:t>
      </w:r>
      <w:r>
        <w:rPr>
          <w:spacing w:val="-3"/>
        </w:rPr>
        <w:t>e</w:t>
      </w:r>
      <w:r>
        <w:t>c</w:t>
      </w:r>
      <w:r>
        <w:rPr>
          <w:spacing w:val="1"/>
        </w:rPr>
        <w:t>t</w:t>
      </w:r>
      <w:r>
        <w:rPr>
          <w:spacing w:val="-3"/>
        </w:rPr>
        <w:t>e</w:t>
      </w:r>
      <w:r>
        <w:t>a</w:t>
      </w:r>
      <w:r>
        <w:rPr>
          <w:spacing w:val="-3"/>
        </w:rPr>
        <w:t>z</w:t>
      </w:r>
      <w:r>
        <w:t xml:space="preserve">ă sub </w:t>
      </w:r>
      <w:r>
        <w:rPr>
          <w:spacing w:val="-3"/>
        </w:rPr>
        <w:t>p</w:t>
      </w:r>
      <w:r>
        <w:rPr>
          <w:spacing w:val="-2"/>
        </w:rPr>
        <w:t>i</w:t>
      </w:r>
      <w:r>
        <w:t>e</w:t>
      </w:r>
      <w:r>
        <w:rPr>
          <w:spacing w:val="1"/>
        </w:rPr>
        <w:t>l</w:t>
      </w:r>
      <w:r>
        <w:t>e</w:t>
      </w:r>
      <w:r>
        <w:rPr>
          <w:spacing w:val="-2"/>
        </w:rPr>
        <w:t xml:space="preserve"> </w:t>
      </w:r>
      <w:r>
        <w:t>(u</w:t>
      </w:r>
      <w:r>
        <w:rPr>
          <w:spacing w:val="-2"/>
        </w:rPr>
        <w:t>t</w:t>
      </w:r>
      <w:r>
        <w:rPr>
          <w:spacing w:val="1"/>
        </w:rPr>
        <w:t>i</w:t>
      </w:r>
      <w:r>
        <w:rPr>
          <w:spacing w:val="-2"/>
        </w:rPr>
        <w:t>l</w:t>
      </w:r>
      <w:r>
        <w:rPr>
          <w:spacing w:val="1"/>
        </w:rPr>
        <w:t>i</w:t>
      </w:r>
      <w:r>
        <w:rPr>
          <w:spacing w:val="-3"/>
        </w:rPr>
        <w:t>z</w:t>
      </w:r>
      <w:r>
        <w:t>are</w:t>
      </w:r>
      <w:r>
        <w:rPr>
          <w:spacing w:val="-2"/>
        </w:rPr>
        <w:t xml:space="preserve"> </w:t>
      </w:r>
      <w:r>
        <w:t>sub</w:t>
      </w:r>
      <w:r>
        <w:rPr>
          <w:spacing w:val="-3"/>
        </w:rPr>
        <w:t>c</w:t>
      </w:r>
      <w:r>
        <w:t>u</w:t>
      </w:r>
      <w:r>
        <w:rPr>
          <w:spacing w:val="1"/>
        </w:rPr>
        <w:t>t</w:t>
      </w:r>
      <w:r>
        <w:rPr>
          <w:spacing w:val="-3"/>
        </w:rPr>
        <w:t>a</w:t>
      </w:r>
      <w:r>
        <w:t>na</w:t>
      </w:r>
      <w:r>
        <w:rPr>
          <w:spacing w:val="-2"/>
        </w:rPr>
        <w:t>t</w:t>
      </w:r>
      <w:r>
        <w:t>ă).</w:t>
      </w:r>
      <w:r>
        <w:rPr>
          <w:spacing w:val="-3"/>
        </w:rPr>
        <w:t xml:space="preserve"> </w:t>
      </w:r>
      <w:r>
        <w:rPr>
          <w:spacing w:val="-1"/>
        </w:rPr>
        <w:t>D</w:t>
      </w:r>
      <w:r>
        <w:t>o</w:t>
      </w:r>
      <w:r>
        <w:rPr>
          <w:spacing w:val="-3"/>
        </w:rPr>
        <w:t>z</w:t>
      </w:r>
      <w:r>
        <w:t>a ob</w:t>
      </w:r>
      <w:r>
        <w:rPr>
          <w:spacing w:val="1"/>
        </w:rPr>
        <w:t>i</w:t>
      </w:r>
      <w:r>
        <w:t>şn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ad</w:t>
      </w:r>
      <w:r>
        <w:rPr>
          <w:spacing w:val="-3"/>
        </w:rPr>
        <w:t>u</w:t>
      </w:r>
      <w:r>
        <w:rPr>
          <w:spacing w:val="1"/>
        </w:rPr>
        <w:t>l</w:t>
      </w:r>
      <w:r>
        <w:rPr>
          <w:spacing w:val="-2"/>
        </w:rPr>
        <w:t>ţ</w:t>
      </w:r>
      <w:r>
        <w:t>i</w:t>
      </w:r>
      <w:r>
        <w:rPr>
          <w:spacing w:val="1"/>
        </w:rPr>
        <w:t xml:space="preserve"> </w:t>
      </w:r>
      <w:r>
        <w:t>cu p</w:t>
      </w:r>
      <w:r>
        <w:rPr>
          <w:spacing w:val="-3"/>
        </w:rPr>
        <w:t>o</w:t>
      </w:r>
      <w:r>
        <w:rPr>
          <w:spacing w:val="-2"/>
        </w:rPr>
        <w:t>l</w:t>
      </w:r>
      <w:r>
        <w:rPr>
          <w:spacing w:val="1"/>
        </w:rPr>
        <w:t>i</w:t>
      </w:r>
      <w:r>
        <w:t>a</w:t>
      </w:r>
      <w:r>
        <w:rPr>
          <w:spacing w:val="-2"/>
        </w:rPr>
        <w:t>r</w:t>
      </w:r>
      <w:r>
        <w:rPr>
          <w:spacing w:val="1"/>
        </w:rPr>
        <w:t>t</w:t>
      </w:r>
      <w:r>
        <w:rPr>
          <w:spacing w:val="-2"/>
        </w:rPr>
        <w:t>r</w:t>
      </w:r>
      <w:r>
        <w:rPr>
          <w:spacing w:val="1"/>
        </w:rPr>
        <w:t>i</w:t>
      </w:r>
      <w:r>
        <w:rPr>
          <w:spacing w:val="-2"/>
        </w:rPr>
        <w:t>t</w:t>
      </w:r>
      <w:r>
        <w:t>ă reu</w:t>
      </w:r>
      <w:r>
        <w:rPr>
          <w:spacing w:val="-4"/>
        </w:rPr>
        <w:t>m</w:t>
      </w:r>
      <w:r>
        <w:t>a</w:t>
      </w:r>
      <w:r>
        <w:rPr>
          <w:spacing w:val="1"/>
        </w:rPr>
        <w:t>t</w:t>
      </w:r>
      <w:r>
        <w:t>o</w:t>
      </w:r>
      <w:r>
        <w:rPr>
          <w:spacing w:val="1"/>
        </w:rPr>
        <w:t>i</w:t>
      </w:r>
      <w:r>
        <w:rPr>
          <w:spacing w:val="-3"/>
        </w:rPr>
        <w:t>d</w:t>
      </w:r>
      <w:r>
        <w:t>ă, sp</w:t>
      </w:r>
      <w:r>
        <w:rPr>
          <w:spacing w:val="-3"/>
        </w:rPr>
        <w:t>o</w:t>
      </w:r>
      <w:r>
        <w:t>nd</w:t>
      </w:r>
      <w:r>
        <w:rPr>
          <w:spacing w:val="-2"/>
        </w:rPr>
        <w:t>i</w:t>
      </w:r>
      <w:r>
        <w:rPr>
          <w:spacing w:val="1"/>
        </w:rPr>
        <w:t>l</w:t>
      </w:r>
      <w:r>
        <w:rPr>
          <w:spacing w:val="-2"/>
        </w:rPr>
        <w:t>i</w:t>
      </w:r>
      <w:r>
        <w:rPr>
          <w:spacing w:val="1"/>
        </w:rPr>
        <w:t>t</w:t>
      </w:r>
      <w:r>
        <w:t>ă</w:t>
      </w:r>
      <w:r>
        <w:rPr>
          <w:spacing w:val="-2"/>
        </w:rPr>
        <w:t xml:space="preserve"> </w:t>
      </w:r>
      <w:r>
        <w:t>anc</w:t>
      </w:r>
      <w:r>
        <w:rPr>
          <w:spacing w:val="-3"/>
        </w:rPr>
        <w:t>h</w:t>
      </w:r>
      <w:r>
        <w:rPr>
          <w:spacing w:val="1"/>
        </w:rPr>
        <w:t>il</w:t>
      </w:r>
      <w:r>
        <w:t>o</w:t>
      </w:r>
      <w:r>
        <w:rPr>
          <w:spacing w:val="-3"/>
        </w:rPr>
        <w:t>z</w:t>
      </w:r>
      <w:r>
        <w:t>a</w:t>
      </w:r>
      <w:r>
        <w:rPr>
          <w:spacing w:val="-3"/>
        </w:rPr>
        <w:t>n</w:t>
      </w:r>
      <w:r>
        <w:rPr>
          <w:spacing w:val="1"/>
        </w:rPr>
        <w:t>t</w:t>
      </w:r>
      <w:r>
        <w:t>ă</w:t>
      </w:r>
      <w:r>
        <w:rPr>
          <w:szCs w:val="22"/>
          <w:lang w:eastAsia="en-US" w:bidi="ar-SA"/>
        </w:rPr>
        <w:t>,</w:t>
      </w:r>
      <w:r>
        <w:t xml:space="preserve"> s</w:t>
      </w:r>
      <w:r>
        <w:rPr>
          <w:spacing w:val="-3"/>
        </w:rPr>
        <w:t>p</w:t>
      </w:r>
      <w:r>
        <w:t>ond</w:t>
      </w:r>
      <w:r>
        <w:rPr>
          <w:spacing w:val="-2"/>
        </w:rPr>
        <w:t>i</w:t>
      </w:r>
      <w:r>
        <w:rPr>
          <w:spacing w:val="1"/>
        </w:rPr>
        <w:t>l</w:t>
      </w:r>
      <w:r>
        <w:t>o</w:t>
      </w:r>
      <w:r>
        <w:rPr>
          <w:spacing w:val="-3"/>
        </w:rPr>
        <w:t>a</w:t>
      </w:r>
      <w:r>
        <w:t>r</w:t>
      </w:r>
      <w:r>
        <w:rPr>
          <w:spacing w:val="-2"/>
        </w:rPr>
        <w:t>t</w:t>
      </w:r>
      <w:r>
        <w:t>r</w:t>
      </w:r>
      <w:r>
        <w:rPr>
          <w:spacing w:val="-2"/>
        </w:rPr>
        <w:t>i</w:t>
      </w:r>
      <w:r>
        <w:rPr>
          <w:spacing w:val="1"/>
        </w:rPr>
        <w:t>t</w:t>
      </w:r>
      <w:r>
        <w:t>ă</w:t>
      </w:r>
      <w:r>
        <w:rPr>
          <w:spacing w:val="-2"/>
        </w:rPr>
        <w:t xml:space="preserve"> </w:t>
      </w:r>
      <w:r>
        <w:t>ax</w:t>
      </w:r>
      <w:r>
        <w:rPr>
          <w:spacing w:val="-2"/>
        </w:rPr>
        <w:t>i</w:t>
      </w:r>
      <w:r>
        <w:rPr>
          <w:spacing w:val="-3"/>
        </w:rPr>
        <w:t>a</w:t>
      </w:r>
      <w:r>
        <w:rPr>
          <w:spacing w:val="1"/>
        </w:rPr>
        <w:t>l</w:t>
      </w:r>
      <w:r>
        <w:t xml:space="preserve">ă </w:t>
      </w:r>
      <w:r>
        <w:rPr>
          <w:spacing w:val="-2"/>
        </w:rPr>
        <w:t>f</w:t>
      </w:r>
      <w:r>
        <w:t>ără</w:t>
      </w:r>
      <w:r>
        <w:rPr>
          <w:spacing w:val="-2"/>
        </w:rPr>
        <w:t xml:space="preserve"> </w:t>
      </w:r>
      <w:r>
        <w:t>do</w:t>
      </w:r>
      <w:r>
        <w:rPr>
          <w:spacing w:val="-3"/>
        </w:rPr>
        <w:t>v</w:t>
      </w:r>
      <w:r>
        <w:t xml:space="preserve">adă </w:t>
      </w:r>
      <w:r>
        <w:rPr>
          <w:spacing w:val="-2"/>
        </w:rPr>
        <w:t>r</w:t>
      </w:r>
      <w:r>
        <w:t>ad</w:t>
      </w:r>
      <w:r>
        <w:rPr>
          <w:spacing w:val="-2"/>
        </w:rPr>
        <w:t>i</w:t>
      </w:r>
      <w:r>
        <w:t>o</w:t>
      </w:r>
      <w:r>
        <w:rPr>
          <w:spacing w:val="1"/>
        </w:rPr>
        <w:t>l</w:t>
      </w:r>
      <w:r>
        <w:t>o</w:t>
      </w:r>
      <w:r>
        <w:rPr>
          <w:spacing w:val="-3"/>
        </w:rPr>
        <w:t>g</w:t>
      </w:r>
      <w:r>
        <w:rPr>
          <w:spacing w:val="1"/>
        </w:rPr>
        <w:t>i</w:t>
      </w:r>
      <w:r>
        <w:rPr>
          <w:spacing w:val="-3"/>
        </w:rPr>
        <w:t>c</w:t>
      </w:r>
      <w:r>
        <w:t>ă a</w:t>
      </w:r>
      <w:r>
        <w:rPr>
          <w:spacing w:val="-2"/>
        </w:rPr>
        <w:t xml:space="preserve"> </w:t>
      </w:r>
      <w:r>
        <w:t>spon</w:t>
      </w:r>
      <w:r>
        <w:rPr>
          <w:spacing w:val="-3"/>
        </w:rPr>
        <w:t>d</w:t>
      </w:r>
      <w:r>
        <w:rPr>
          <w:spacing w:val="1"/>
        </w:rPr>
        <w:t>i</w:t>
      </w:r>
      <w:r>
        <w:rPr>
          <w:spacing w:val="-2"/>
        </w:rPr>
        <w:t>l</w:t>
      </w:r>
      <w:r>
        <w:rPr>
          <w:spacing w:val="1"/>
        </w:rPr>
        <w:t>it</w:t>
      </w:r>
      <w:r>
        <w:rPr>
          <w:spacing w:val="-3"/>
        </w:rPr>
        <w:t>e</w:t>
      </w:r>
      <w:r>
        <w:t>i anch</w:t>
      </w:r>
      <w:r>
        <w:rPr>
          <w:spacing w:val="-2"/>
        </w:rPr>
        <w:t>i</w:t>
      </w:r>
      <w:r>
        <w:rPr>
          <w:spacing w:val="1"/>
        </w:rPr>
        <w:t>l</w:t>
      </w:r>
      <w:r>
        <w:t>o</w:t>
      </w:r>
      <w:r>
        <w:rPr>
          <w:spacing w:val="-3"/>
        </w:rPr>
        <w:t>z</w:t>
      </w:r>
      <w:r>
        <w:t>an</w:t>
      </w:r>
      <w:r>
        <w:rPr>
          <w:spacing w:val="-2"/>
        </w:rPr>
        <w:t>t</w:t>
      </w:r>
      <w:r>
        <w:t xml:space="preserve">e </w:t>
      </w:r>
      <w:r>
        <w:rPr>
          <w:spacing w:val="-2"/>
        </w:rPr>
        <w:t>ş</w:t>
      </w:r>
      <w:r>
        <w:t>i</w:t>
      </w:r>
      <w:r>
        <w:rPr>
          <w:spacing w:val="1"/>
        </w:rPr>
        <w:t xml:space="preserve"> </w:t>
      </w:r>
      <w:r>
        <w:t>pe</w:t>
      </w:r>
      <w:r>
        <w:rPr>
          <w:spacing w:val="-3"/>
        </w:rPr>
        <w:t>n</w:t>
      </w:r>
      <w:r>
        <w:rPr>
          <w:spacing w:val="1"/>
        </w:rPr>
        <w:t>t</w:t>
      </w:r>
      <w:r>
        <w:rPr>
          <w:spacing w:val="-2"/>
        </w:rPr>
        <w:t>r</w:t>
      </w:r>
      <w:r>
        <w:t>u pa</w:t>
      </w:r>
      <w:r>
        <w:rPr>
          <w:spacing w:val="-3"/>
        </w:rPr>
        <w:t>c</w:t>
      </w:r>
      <w:r>
        <w:rPr>
          <w:spacing w:val="1"/>
        </w:rPr>
        <w:t>i</w:t>
      </w:r>
      <w:r>
        <w:rPr>
          <w:spacing w:val="-3"/>
        </w:rPr>
        <w:t>e</w:t>
      </w:r>
      <w:r>
        <w:t>n</w:t>
      </w:r>
      <w:r>
        <w:rPr>
          <w:spacing w:val="1"/>
        </w:rPr>
        <w:t>ţ</w:t>
      </w:r>
      <w:r>
        <w:rPr>
          <w:spacing w:val="-2"/>
        </w:rPr>
        <w:t>i</w:t>
      </w:r>
      <w:r>
        <w:t>i</w:t>
      </w:r>
      <w:r>
        <w:rPr>
          <w:spacing w:val="1"/>
        </w:rPr>
        <w:t xml:space="preserve"> </w:t>
      </w:r>
      <w:r>
        <w:t>cu</w:t>
      </w:r>
      <w:r>
        <w:rPr>
          <w:spacing w:val="-3"/>
        </w:rPr>
        <w:t xml:space="preserve"> </w:t>
      </w:r>
      <w:r>
        <w:t>a</w:t>
      </w:r>
      <w:r>
        <w:rPr>
          <w:spacing w:val="-2"/>
        </w:rPr>
        <w:t>r</w:t>
      </w:r>
      <w:r>
        <w:rPr>
          <w:spacing w:val="1"/>
        </w:rPr>
        <w:t>t</w:t>
      </w:r>
      <w:r>
        <w:rPr>
          <w:spacing w:val="-2"/>
        </w:rPr>
        <w:t>r</w:t>
      </w:r>
      <w:r>
        <w:rPr>
          <w:spacing w:val="1"/>
        </w:rPr>
        <w:t>i</w:t>
      </w:r>
      <w:r>
        <w:rPr>
          <w:spacing w:val="-2"/>
        </w:rPr>
        <w:t>t</w:t>
      </w:r>
      <w:r>
        <w:t>ă ps</w:t>
      </w:r>
      <w:r>
        <w:rPr>
          <w:spacing w:val="-3"/>
        </w:rPr>
        <w:t>o</w:t>
      </w:r>
      <w:r>
        <w:t>r</w:t>
      </w:r>
      <w:r>
        <w:rPr>
          <w:spacing w:val="-2"/>
        </w:rPr>
        <w:t>i</w:t>
      </w:r>
      <w:r>
        <w:t>a</w:t>
      </w:r>
      <w:r>
        <w:rPr>
          <w:spacing w:val="-3"/>
        </w:rPr>
        <w:t>z</w:t>
      </w:r>
      <w:r>
        <w:rPr>
          <w:spacing w:val="1"/>
        </w:rPr>
        <w:t>i</w:t>
      </w:r>
      <w:r>
        <w:t xml:space="preserve">că </w:t>
      </w:r>
      <w:r>
        <w:rPr>
          <w:spacing w:val="-3"/>
        </w:rPr>
        <w:t>e</w:t>
      </w:r>
      <w:r>
        <w:t>s</w:t>
      </w:r>
      <w:r>
        <w:rPr>
          <w:spacing w:val="-2"/>
        </w:rPr>
        <w:t>t</w:t>
      </w:r>
      <w:r>
        <w:t>e de 40 </w:t>
      </w:r>
      <w:r>
        <w:rPr>
          <w:spacing w:val="-4"/>
        </w:rPr>
        <w:t>m</w:t>
      </w:r>
      <w:r>
        <w:t>g ad</w:t>
      </w:r>
      <w:r>
        <w:rPr>
          <w:spacing w:val="-4"/>
        </w:rPr>
        <w:t>m</w:t>
      </w:r>
      <w:r>
        <w:rPr>
          <w:spacing w:val="1"/>
        </w:rPr>
        <w:t>i</w:t>
      </w:r>
      <w:r>
        <w:t>n</w:t>
      </w:r>
      <w:r>
        <w:rPr>
          <w:spacing w:val="1"/>
        </w:rPr>
        <w:t>i</w:t>
      </w:r>
      <w:r>
        <w:t>s</w:t>
      </w:r>
      <w:r>
        <w:rPr>
          <w:spacing w:val="1"/>
        </w:rPr>
        <w:t>t</w:t>
      </w:r>
      <w:r>
        <w:rPr>
          <w:spacing w:val="-2"/>
        </w:rPr>
        <w:t>r</w:t>
      </w:r>
      <w:r>
        <w:t>a</w:t>
      </w:r>
      <w:r>
        <w:rPr>
          <w:spacing w:val="1"/>
        </w:rPr>
        <w:t>t</w:t>
      </w:r>
      <w:r>
        <w:t>ă</w:t>
      </w:r>
      <w:r>
        <w:rPr>
          <w:spacing w:val="-2"/>
        </w:rPr>
        <w:t xml:space="preserve"> </w:t>
      </w:r>
      <w:r>
        <w:t>d</w:t>
      </w:r>
      <w:r>
        <w:rPr>
          <w:spacing w:val="1"/>
        </w:rPr>
        <w:t>i</w:t>
      </w:r>
      <w:r>
        <w:t>n</w:t>
      </w:r>
      <w:r>
        <w:rPr>
          <w:spacing w:val="-3"/>
        </w:rPr>
        <w:t xml:space="preserve"> </w:t>
      </w:r>
      <w:r>
        <w:t xml:space="preserve">două </w:t>
      </w:r>
      <w:r>
        <w:rPr>
          <w:spacing w:val="1"/>
        </w:rPr>
        <w:t>î</w:t>
      </w:r>
      <w:r>
        <w:t>n do</w:t>
      </w:r>
      <w:r>
        <w:rPr>
          <w:spacing w:val="-3"/>
        </w:rPr>
        <w:t>u</w:t>
      </w:r>
      <w:r>
        <w:t>ă să</w:t>
      </w:r>
      <w:r>
        <w:rPr>
          <w:spacing w:val="-3"/>
        </w:rPr>
        <w:t>p</w:t>
      </w:r>
      <w:r>
        <w:rPr>
          <w:spacing w:val="1"/>
        </w:rPr>
        <w:t>t</w:t>
      </w:r>
      <w:r>
        <w:t>ă</w:t>
      </w:r>
      <w:r>
        <w:rPr>
          <w:spacing w:val="-4"/>
        </w:rPr>
        <w:t>m</w:t>
      </w:r>
      <w:r>
        <w:t>ân</w:t>
      </w:r>
      <w:r>
        <w:rPr>
          <w:spacing w:val="1"/>
        </w:rPr>
        <w:t>i</w:t>
      </w:r>
      <w:r>
        <w:t xml:space="preserve">, </w:t>
      </w:r>
      <w:r>
        <w:rPr>
          <w:spacing w:val="-2"/>
        </w:rPr>
        <w:t>s</w:t>
      </w:r>
      <w:r>
        <w:t xml:space="preserve">ub </w:t>
      </w:r>
      <w:r>
        <w:rPr>
          <w:spacing w:val="-2"/>
        </w:rPr>
        <w:t>f</w:t>
      </w:r>
      <w:r>
        <w:t>o</w:t>
      </w:r>
      <w:r>
        <w:rPr>
          <w:spacing w:val="-2"/>
        </w:rPr>
        <w:t>r</w:t>
      </w:r>
      <w:r>
        <w:rPr>
          <w:spacing w:val="-4"/>
        </w:rPr>
        <w:t>m</w:t>
      </w:r>
      <w:r>
        <w:t>a unei</w:t>
      </w:r>
      <w:r>
        <w:rPr>
          <w:spacing w:val="1"/>
        </w:rPr>
        <w:t xml:space="preserve"> </w:t>
      </w:r>
      <w:r>
        <w:t>do</w:t>
      </w:r>
      <w:r>
        <w:rPr>
          <w:spacing w:val="-3"/>
        </w:rPr>
        <w:t>z</w:t>
      </w:r>
      <w:r>
        <w:t>e un</w:t>
      </w:r>
      <w:r>
        <w:rPr>
          <w:spacing w:val="-2"/>
        </w:rPr>
        <w:t>i</w:t>
      </w:r>
      <w:r>
        <w:t>ce.</w:t>
      </w:r>
    </w:p>
    <w:p w14:paraId="177039BC" w14:textId="77777777" w:rsidR="00C04CAD" w:rsidRDefault="00C04CAD">
      <w:pPr>
        <w:tabs>
          <w:tab w:val="clear" w:pos="567"/>
        </w:tabs>
        <w:kinsoku w:val="0"/>
        <w:overflowPunct w:val="0"/>
        <w:autoSpaceDE w:val="0"/>
        <w:autoSpaceDN w:val="0"/>
        <w:adjustRightInd w:val="0"/>
        <w:spacing w:line="240" w:lineRule="auto"/>
      </w:pPr>
    </w:p>
    <w:p w14:paraId="4763AC7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rPr>
        <w:t>P</w:t>
      </w:r>
      <w:r>
        <w:t>en</w:t>
      </w:r>
      <w:r>
        <w:rPr>
          <w:spacing w:val="1"/>
        </w:rPr>
        <w:t>t</w:t>
      </w:r>
      <w:r>
        <w:rPr>
          <w:spacing w:val="-2"/>
        </w:rPr>
        <w:t>r</w:t>
      </w:r>
      <w:r>
        <w:t>u p</w:t>
      </w:r>
      <w:r>
        <w:rPr>
          <w:spacing w:val="-3"/>
        </w:rPr>
        <w:t>o</w:t>
      </w:r>
      <w:r>
        <w:rPr>
          <w:spacing w:val="1"/>
        </w:rPr>
        <w:t>li</w:t>
      </w:r>
      <w:r>
        <w:rPr>
          <w:spacing w:val="-3"/>
        </w:rPr>
        <w:t>a</w:t>
      </w:r>
      <w:r>
        <w:t>r</w:t>
      </w:r>
      <w:r>
        <w:rPr>
          <w:spacing w:val="-2"/>
        </w:rPr>
        <w:t>t</w:t>
      </w:r>
      <w:r>
        <w:t>r</w:t>
      </w:r>
      <w:r>
        <w:rPr>
          <w:spacing w:val="-2"/>
        </w:rPr>
        <w:t>i</w:t>
      </w:r>
      <w:r>
        <w:rPr>
          <w:spacing w:val="1"/>
        </w:rPr>
        <w:t>t</w:t>
      </w:r>
      <w:r>
        <w:t>a</w:t>
      </w:r>
      <w:r>
        <w:rPr>
          <w:spacing w:val="-2"/>
        </w:rPr>
        <w:t xml:space="preserve"> </w:t>
      </w:r>
      <w:r>
        <w:t>reu</w:t>
      </w:r>
      <w:r>
        <w:rPr>
          <w:spacing w:val="-4"/>
        </w:rPr>
        <w:t>m</w:t>
      </w:r>
      <w:r>
        <w:t>a</w:t>
      </w:r>
      <w:r>
        <w:rPr>
          <w:spacing w:val="1"/>
        </w:rPr>
        <w:t>t</w:t>
      </w:r>
      <w:r>
        <w:rPr>
          <w:spacing w:val="-3"/>
        </w:rPr>
        <w:t>o</w:t>
      </w:r>
      <w:r>
        <w:rPr>
          <w:spacing w:val="1"/>
        </w:rPr>
        <w:t>i</w:t>
      </w:r>
      <w:r>
        <w:rPr>
          <w:spacing w:val="-3"/>
        </w:rPr>
        <w:t>d</w:t>
      </w:r>
      <w:r>
        <w:t xml:space="preserve">ă, </w:t>
      </w:r>
      <w:r>
        <w:rPr>
          <w:spacing w:val="1"/>
        </w:rPr>
        <w:t>t</w:t>
      </w:r>
      <w:r>
        <w:rPr>
          <w:spacing w:val="-2"/>
        </w:rPr>
        <w:t>r</w:t>
      </w:r>
      <w:r>
        <w:t>a</w:t>
      </w:r>
      <w:r>
        <w:rPr>
          <w:spacing w:val="-2"/>
        </w:rPr>
        <w:t>t</w:t>
      </w:r>
      <w:r>
        <w:t>a</w:t>
      </w:r>
      <w:r>
        <w:rPr>
          <w:spacing w:val="-4"/>
        </w:rPr>
        <w:t>m</w:t>
      </w:r>
      <w:r>
        <w:t>en</w:t>
      </w:r>
      <w:r>
        <w:rPr>
          <w:spacing w:val="1"/>
        </w:rPr>
        <w:t>t</w:t>
      </w:r>
      <w:r>
        <w:t>ul</w:t>
      </w:r>
      <w:r>
        <w:rPr>
          <w:spacing w:val="1"/>
        </w:rPr>
        <w:t xml:space="preserve"> </w:t>
      </w:r>
      <w:r>
        <w:rPr>
          <w:spacing w:val="-3"/>
        </w:rPr>
        <w:t>c</w:t>
      </w:r>
      <w:r>
        <w:t xml:space="preserve">u </w:t>
      </w:r>
      <w:r>
        <w:rPr>
          <w:spacing w:val="-4"/>
        </w:rPr>
        <w:t>m</w:t>
      </w:r>
      <w:r>
        <w:t>e</w:t>
      </w:r>
      <w:r>
        <w:rPr>
          <w:spacing w:val="1"/>
        </w:rPr>
        <w:t>t</w:t>
      </w:r>
      <w:r>
        <w:t>o</w:t>
      </w:r>
      <w:r>
        <w:rPr>
          <w:spacing w:val="1"/>
        </w:rPr>
        <w:t>t</w:t>
      </w:r>
      <w:r>
        <w:rPr>
          <w:spacing w:val="-2"/>
        </w:rPr>
        <w:t>r</w:t>
      </w:r>
      <w:r>
        <w:t>ex</w:t>
      </w:r>
      <w:r>
        <w:rPr>
          <w:spacing w:val="-3"/>
        </w:rPr>
        <w:t>a</w:t>
      </w:r>
      <w:r>
        <w:t>t</w:t>
      </w:r>
      <w:r>
        <w:rPr>
          <w:spacing w:val="1"/>
        </w:rPr>
        <w:t xml:space="preserve"> </w:t>
      </w:r>
      <w:r>
        <w:t>se</w:t>
      </w:r>
      <w:r>
        <w:rPr>
          <w:spacing w:val="-2"/>
        </w:rPr>
        <w:t xml:space="preserve"> </w:t>
      </w:r>
      <w:r>
        <w:t>con</w:t>
      </w:r>
      <w:r>
        <w:rPr>
          <w:spacing w:val="-2"/>
        </w:rPr>
        <w:t>t</w:t>
      </w:r>
      <w:r>
        <w:rPr>
          <w:spacing w:val="1"/>
        </w:rPr>
        <w:t>i</w:t>
      </w:r>
      <w:r>
        <w:t>n</w:t>
      </w:r>
      <w:r>
        <w:rPr>
          <w:spacing w:val="-3"/>
        </w:rPr>
        <w:t>u</w:t>
      </w:r>
      <w:r>
        <w:t xml:space="preserve">ă </w:t>
      </w:r>
      <w:r>
        <w:rPr>
          <w:spacing w:val="1"/>
        </w:rPr>
        <w:t>î</w:t>
      </w:r>
      <w:r>
        <w:t>n</w:t>
      </w:r>
      <w:r>
        <w:rPr>
          <w:spacing w:val="-3"/>
        </w:rPr>
        <w:t xml:space="preserve"> </w:t>
      </w:r>
      <w:r>
        <w:t>pe</w:t>
      </w:r>
      <w:r>
        <w:rPr>
          <w:spacing w:val="-2"/>
        </w:rPr>
        <w:t>r</w:t>
      </w:r>
      <w:r>
        <w:rPr>
          <w:spacing w:val="1"/>
        </w:rPr>
        <w:t>i</w:t>
      </w:r>
      <w:r>
        <w:t>o</w:t>
      </w:r>
      <w:r>
        <w:rPr>
          <w:spacing w:val="-3"/>
        </w:rPr>
        <w:t>a</w:t>
      </w:r>
      <w:r>
        <w:t>da</w:t>
      </w:r>
      <w:r>
        <w:rPr>
          <w:spacing w:val="-2"/>
        </w:rPr>
        <w:t xml:space="preserve"> </w:t>
      </w:r>
      <w:r>
        <w:rPr>
          <w:spacing w:val="1"/>
        </w:rPr>
        <w:t>î</w:t>
      </w:r>
      <w:r>
        <w:t>n</w:t>
      </w:r>
      <w:r>
        <w:rPr>
          <w:spacing w:val="-3"/>
        </w:rPr>
        <w:t xml:space="preserve"> </w:t>
      </w:r>
      <w:r>
        <w:t>care</w:t>
      </w:r>
      <w:r>
        <w:rPr>
          <w:spacing w:val="-2"/>
        </w:rPr>
        <w:t xml:space="preserve"> </w:t>
      </w:r>
      <w:r>
        <w:t>u</w:t>
      </w:r>
      <w:r>
        <w:rPr>
          <w:spacing w:val="-2"/>
        </w:rPr>
        <w:t>t</w:t>
      </w:r>
      <w:r>
        <w:rPr>
          <w:spacing w:val="1"/>
        </w:rPr>
        <w:t>i</w:t>
      </w:r>
      <w:r>
        <w:rPr>
          <w:spacing w:val="-2"/>
        </w:rPr>
        <w:t>l</w:t>
      </w:r>
      <w:r>
        <w:rPr>
          <w:spacing w:val="1"/>
        </w:rPr>
        <w:t>i</w:t>
      </w:r>
      <w:r>
        <w:rPr>
          <w:spacing w:val="-3"/>
        </w:rPr>
        <w:t>z</w:t>
      </w:r>
      <w:r>
        <w:t>a</w:t>
      </w:r>
      <w:r>
        <w:rPr>
          <w:spacing w:val="1"/>
        </w:rPr>
        <w:t>ţ</w:t>
      </w:r>
      <w:r>
        <w:t xml:space="preserve">i </w:t>
      </w:r>
      <w:r>
        <w:rPr>
          <w:spacing w:val="-1"/>
          <w:szCs w:val="22"/>
          <w:lang w:eastAsia="en-US" w:bidi="ar-SA"/>
        </w:rPr>
        <w:t>AMGEVITA</w:t>
      </w:r>
      <w:r>
        <w:t xml:space="preserve">. </w:t>
      </w:r>
      <w:r>
        <w:rPr>
          <w:spacing w:val="-1"/>
        </w:rPr>
        <w:t>D</w:t>
      </w:r>
      <w:r>
        <w:t xml:space="preserve">acă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2"/>
        </w:rPr>
        <w:t>s</w:t>
      </w:r>
      <w:r>
        <w:rPr>
          <w:spacing w:val="1"/>
        </w:rPr>
        <w:t>t</w:t>
      </w:r>
      <w:r>
        <w:t>a</w:t>
      </w:r>
      <w:r>
        <w:rPr>
          <w:spacing w:val="-3"/>
        </w:rPr>
        <w:t>b</w:t>
      </w:r>
      <w:r>
        <w:rPr>
          <w:spacing w:val="-2"/>
        </w:rPr>
        <w:t>i</w:t>
      </w:r>
      <w:r>
        <w:rPr>
          <w:spacing w:val="1"/>
        </w:rPr>
        <w:t>l</w:t>
      </w:r>
      <w:r>
        <w:t>e</w:t>
      </w:r>
      <w:r>
        <w:rPr>
          <w:spacing w:val="-2"/>
        </w:rPr>
        <w:t>ş</w:t>
      </w:r>
      <w:r>
        <w:rPr>
          <w:spacing w:val="1"/>
        </w:rPr>
        <w:t>t</w:t>
      </w:r>
      <w:r>
        <w:t xml:space="preserve">e </w:t>
      </w:r>
      <w:r>
        <w:rPr>
          <w:spacing w:val="-3"/>
        </w:rPr>
        <w:t>c</w:t>
      </w:r>
      <w:r>
        <w:t xml:space="preserve">ă </w:t>
      </w:r>
      <w:r>
        <w:rPr>
          <w:spacing w:val="-4"/>
        </w:rPr>
        <w:t>m</w:t>
      </w:r>
      <w:r>
        <w:t>e</w:t>
      </w:r>
      <w:r>
        <w:rPr>
          <w:spacing w:val="1"/>
        </w:rPr>
        <w:t>t</w:t>
      </w:r>
      <w:r>
        <w:t>o</w:t>
      </w:r>
      <w:r>
        <w:rPr>
          <w:spacing w:val="1"/>
        </w:rPr>
        <w:t>t</w:t>
      </w:r>
      <w:r>
        <w:t>r</w:t>
      </w:r>
      <w:r>
        <w:rPr>
          <w:spacing w:val="-3"/>
        </w:rPr>
        <w:t>e</w:t>
      </w:r>
      <w:r>
        <w:t>xat</w:t>
      </w:r>
      <w:r>
        <w:rPr>
          <w:spacing w:val="-2"/>
        </w:rPr>
        <w:t xml:space="preserve"> </w:t>
      </w:r>
      <w:r>
        <w:t xml:space="preserve">nu </w:t>
      </w:r>
      <w:r>
        <w:rPr>
          <w:spacing w:val="-3"/>
        </w:rPr>
        <w:t>e</w:t>
      </w:r>
      <w:r>
        <w:t>s</w:t>
      </w:r>
      <w:r>
        <w:rPr>
          <w:spacing w:val="1"/>
        </w:rPr>
        <w:t>t</w:t>
      </w:r>
      <w:r>
        <w:t>e</w:t>
      </w:r>
      <w:r>
        <w:rPr>
          <w:spacing w:val="-2"/>
        </w:rPr>
        <w:t xml:space="preserve"> </w:t>
      </w:r>
      <w:r>
        <w:t>ad</w:t>
      </w:r>
      <w:r>
        <w:rPr>
          <w:spacing w:val="-3"/>
        </w:rPr>
        <w:t>e</w:t>
      </w:r>
      <w:r>
        <w:t>c</w:t>
      </w:r>
      <w:r>
        <w:rPr>
          <w:spacing w:val="-3"/>
        </w:rPr>
        <w:t>v</w:t>
      </w:r>
      <w:r>
        <w:t>a</w:t>
      </w:r>
      <w:r>
        <w:rPr>
          <w:spacing w:val="1"/>
        </w:rPr>
        <w:t>t</w:t>
      </w:r>
      <w:r>
        <w:t xml:space="preserve">, </w:t>
      </w:r>
      <w:r>
        <w:rPr>
          <w:spacing w:val="-1"/>
          <w:szCs w:val="22"/>
          <w:lang w:eastAsia="en-US" w:bidi="ar-SA"/>
        </w:rPr>
        <w:t>AMGEVITA</w:t>
      </w:r>
      <w:r>
        <w:t xml:space="preserve"> poa</w:t>
      </w:r>
      <w:r>
        <w:rPr>
          <w:spacing w:val="-2"/>
        </w:rPr>
        <w:t>t</w:t>
      </w:r>
      <w:r>
        <w:t xml:space="preserve">e </w:t>
      </w:r>
      <w:r>
        <w:rPr>
          <w:spacing w:val="-2"/>
        </w:rPr>
        <w:t>f</w:t>
      </w:r>
      <w:r>
        <w:t>i u</w:t>
      </w:r>
      <w:r>
        <w:rPr>
          <w:spacing w:val="1"/>
        </w:rPr>
        <w:t>t</w:t>
      </w:r>
      <w:r>
        <w:rPr>
          <w:spacing w:val="-2"/>
        </w:rPr>
        <w:t>i</w:t>
      </w:r>
      <w:r>
        <w:rPr>
          <w:spacing w:val="1"/>
        </w:rPr>
        <w:t>li</w:t>
      </w:r>
      <w:r>
        <w:rPr>
          <w:spacing w:val="-3"/>
        </w:rPr>
        <w:t>z</w:t>
      </w:r>
      <w:r>
        <w:t>at</w:t>
      </w:r>
      <w:r>
        <w:rPr>
          <w:spacing w:val="-2"/>
        </w:rPr>
        <w:t xml:space="preserve"> </w:t>
      </w:r>
      <w:r>
        <w:t>şi</w:t>
      </w:r>
      <w:r>
        <w:rPr>
          <w:spacing w:val="-2"/>
        </w:rPr>
        <w:t xml:space="preserve"> </w:t>
      </w:r>
      <w:r>
        <w:t>s</w:t>
      </w:r>
      <w:r>
        <w:rPr>
          <w:spacing w:val="1"/>
        </w:rPr>
        <w:t>i</w:t>
      </w:r>
      <w:r>
        <w:t>n</w:t>
      </w:r>
      <w:r>
        <w:rPr>
          <w:spacing w:val="-3"/>
        </w:rPr>
        <w:t>g</w:t>
      </w:r>
      <w:r>
        <w:t>ur.</w:t>
      </w:r>
    </w:p>
    <w:p w14:paraId="55DB98B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47F3FC8" w14:textId="77777777" w:rsidR="00C04CAD" w:rsidRDefault="00060E34">
      <w:pPr>
        <w:tabs>
          <w:tab w:val="clear" w:pos="567"/>
        </w:tabs>
        <w:kinsoku w:val="0"/>
        <w:overflowPunct w:val="0"/>
        <w:autoSpaceDE w:val="0"/>
        <w:autoSpaceDN w:val="0"/>
        <w:adjustRightInd w:val="0"/>
        <w:spacing w:line="240" w:lineRule="auto"/>
      </w:pPr>
      <w:r>
        <w:rPr>
          <w:spacing w:val="-1"/>
        </w:rPr>
        <w:t>D</w:t>
      </w:r>
      <w:r>
        <w:t>acă a</w:t>
      </w:r>
      <w:r>
        <w:rPr>
          <w:spacing w:val="-3"/>
        </w:rPr>
        <w:t>v</w:t>
      </w:r>
      <w:r>
        <w:t>e</w:t>
      </w:r>
      <w:r>
        <w:rPr>
          <w:spacing w:val="-2"/>
        </w:rPr>
        <w:t>ţ</w:t>
      </w:r>
      <w:r>
        <w:t>i</w:t>
      </w:r>
      <w:r>
        <w:rPr>
          <w:spacing w:val="1"/>
        </w:rPr>
        <w:t xml:space="preserve"> </w:t>
      </w:r>
      <w:r>
        <w:t>p</w:t>
      </w:r>
      <w:r>
        <w:rPr>
          <w:spacing w:val="-3"/>
        </w:rPr>
        <w:t>o</w:t>
      </w:r>
      <w:r>
        <w:rPr>
          <w:spacing w:val="1"/>
        </w:rPr>
        <w:t>li</w:t>
      </w:r>
      <w:r>
        <w:rPr>
          <w:spacing w:val="-3"/>
        </w:rPr>
        <w:t>a</w:t>
      </w:r>
      <w:r>
        <w:t>r</w:t>
      </w:r>
      <w:r>
        <w:rPr>
          <w:spacing w:val="-2"/>
        </w:rPr>
        <w:t>t</w:t>
      </w:r>
      <w:r>
        <w:t>r</w:t>
      </w:r>
      <w:r>
        <w:rPr>
          <w:spacing w:val="-2"/>
        </w:rPr>
        <w:t>i</w:t>
      </w:r>
      <w:r>
        <w:rPr>
          <w:spacing w:val="1"/>
        </w:rPr>
        <w:t>t</w:t>
      </w:r>
      <w:r>
        <w:t>ă</w:t>
      </w:r>
      <w:r>
        <w:rPr>
          <w:spacing w:val="-2"/>
        </w:rPr>
        <w:t xml:space="preserve"> </w:t>
      </w:r>
      <w:r>
        <w:t>reu</w:t>
      </w:r>
      <w:r>
        <w:rPr>
          <w:spacing w:val="-4"/>
        </w:rPr>
        <w:t>m</w:t>
      </w:r>
      <w:r>
        <w:t>a</w:t>
      </w:r>
      <w:r>
        <w:rPr>
          <w:spacing w:val="1"/>
        </w:rPr>
        <w:t>t</w:t>
      </w:r>
      <w:r>
        <w:rPr>
          <w:spacing w:val="-3"/>
        </w:rPr>
        <w:t>o</w:t>
      </w:r>
      <w:r>
        <w:rPr>
          <w:spacing w:val="1"/>
        </w:rPr>
        <w:t>i</w:t>
      </w:r>
      <w:r>
        <w:t xml:space="preserve">dă </w:t>
      </w:r>
      <w:r>
        <w:rPr>
          <w:spacing w:val="-2"/>
        </w:rPr>
        <w:t>ş</w:t>
      </w:r>
      <w:r>
        <w:t>i</w:t>
      </w:r>
      <w:r>
        <w:rPr>
          <w:spacing w:val="1"/>
        </w:rPr>
        <w:t xml:space="preserve"> </w:t>
      </w:r>
      <w:r>
        <w:t xml:space="preserve">nu </w:t>
      </w:r>
      <w:r>
        <w:rPr>
          <w:spacing w:val="-3"/>
        </w:rPr>
        <w:t>v</w:t>
      </w:r>
      <w:r>
        <w:t>i</w:t>
      </w:r>
      <w:r>
        <w:rPr>
          <w:spacing w:val="-2"/>
        </w:rPr>
        <w:t xml:space="preserve"> </w:t>
      </w:r>
      <w:r>
        <w:t>se ad</w:t>
      </w:r>
      <w:r>
        <w:rPr>
          <w:spacing w:val="-4"/>
        </w:rPr>
        <w:t>m</w:t>
      </w:r>
      <w:r>
        <w:rPr>
          <w:spacing w:val="1"/>
        </w:rPr>
        <w:t>i</w:t>
      </w:r>
      <w:r>
        <w:t>n</w:t>
      </w:r>
      <w:r>
        <w:rPr>
          <w:spacing w:val="-2"/>
        </w:rPr>
        <w:t>i</w:t>
      </w:r>
      <w:r>
        <w:t>s</w:t>
      </w:r>
      <w:r>
        <w:rPr>
          <w:spacing w:val="-2"/>
        </w:rPr>
        <w:t>tr</w:t>
      </w:r>
      <w:r>
        <w:t>ea</w:t>
      </w:r>
      <w:r>
        <w:rPr>
          <w:spacing w:val="-3"/>
        </w:rPr>
        <w:t>z</w:t>
      </w:r>
      <w:r>
        <w:t xml:space="preserve">ă </w:t>
      </w:r>
      <w:r>
        <w:rPr>
          <w:spacing w:val="-4"/>
        </w:rPr>
        <w:t>m</w:t>
      </w:r>
      <w:r>
        <w:t>e</w:t>
      </w:r>
      <w:r>
        <w:rPr>
          <w:spacing w:val="1"/>
        </w:rPr>
        <w:t>t</w:t>
      </w:r>
      <w:r>
        <w:t>o</w:t>
      </w:r>
      <w:r>
        <w:rPr>
          <w:spacing w:val="1"/>
        </w:rPr>
        <w:t>t</w:t>
      </w:r>
      <w:r>
        <w:t>re</w:t>
      </w:r>
      <w:r>
        <w:rPr>
          <w:spacing w:val="-3"/>
        </w:rPr>
        <w:t>x</w:t>
      </w:r>
      <w:r>
        <w:t>at</w:t>
      </w:r>
      <w:r>
        <w:rPr>
          <w:spacing w:val="-2"/>
        </w:rPr>
        <w:t xml:space="preserve"> </w:t>
      </w:r>
      <w:r>
        <w:t>con</w:t>
      </w:r>
      <w:r>
        <w:rPr>
          <w:spacing w:val="-3"/>
        </w:rPr>
        <w:t>c</w:t>
      </w:r>
      <w:r>
        <w:t>o</w:t>
      </w:r>
      <w:r>
        <w:rPr>
          <w:spacing w:val="-4"/>
        </w:rPr>
        <w:t>m</w:t>
      </w:r>
      <w:r>
        <w:rPr>
          <w:spacing w:val="1"/>
        </w:rPr>
        <w:t>it</w:t>
      </w:r>
      <w:r>
        <w:rPr>
          <w:spacing w:val="-3"/>
        </w:rPr>
        <w:t>e</w:t>
      </w:r>
      <w:r>
        <w:t>nt</w:t>
      </w:r>
      <w:r>
        <w:rPr>
          <w:spacing w:val="1"/>
        </w:rPr>
        <w:t xml:space="preserve"> </w:t>
      </w:r>
      <w:r>
        <w:t xml:space="preserve">cu </w:t>
      </w:r>
      <w:r>
        <w:rPr>
          <w:spacing w:val="-1"/>
          <w:szCs w:val="22"/>
          <w:lang w:eastAsia="en-US" w:bidi="ar-SA"/>
        </w:rPr>
        <w:t>AMGEVITA</w:t>
      </w:r>
      <w:r>
        <w:t xml:space="preserve">, </w:t>
      </w:r>
      <w:r>
        <w:rPr>
          <w:spacing w:val="-4"/>
        </w:rPr>
        <w:t>m</w:t>
      </w:r>
      <w:r>
        <w:t>ed</w:t>
      </w:r>
      <w:r>
        <w:rPr>
          <w:spacing w:val="1"/>
        </w:rPr>
        <w:t>i</w:t>
      </w:r>
      <w:r>
        <w:rPr>
          <w:spacing w:val="-3"/>
        </w:rPr>
        <w:t>c</w:t>
      </w:r>
      <w:r>
        <w:t>ul du</w:t>
      </w:r>
      <w:r>
        <w:rPr>
          <w:spacing w:val="-4"/>
        </w:rPr>
        <w:t>m</w:t>
      </w:r>
      <w:r>
        <w:t>nea</w:t>
      </w:r>
      <w:r>
        <w:rPr>
          <w:spacing w:val="-3"/>
        </w:rPr>
        <w:t>v</w:t>
      </w:r>
      <w:r>
        <w:t>oas</w:t>
      </w:r>
      <w:r>
        <w:rPr>
          <w:spacing w:val="1"/>
        </w:rPr>
        <w:t>t</w:t>
      </w:r>
      <w:r>
        <w:t>ră p</w:t>
      </w:r>
      <w:r>
        <w:rPr>
          <w:spacing w:val="-3"/>
        </w:rPr>
        <w:t>o</w:t>
      </w:r>
      <w:r>
        <w:t>a</w:t>
      </w:r>
      <w:r>
        <w:rPr>
          <w:spacing w:val="-2"/>
        </w:rPr>
        <w:t>t</w:t>
      </w:r>
      <w:r>
        <w:t>e d</w:t>
      </w:r>
      <w:r>
        <w:rPr>
          <w:spacing w:val="-3"/>
        </w:rPr>
        <w:t>e</w:t>
      </w:r>
      <w:r>
        <w:t>c</w:t>
      </w:r>
      <w:r>
        <w:rPr>
          <w:spacing w:val="1"/>
        </w:rPr>
        <w:t>i</w:t>
      </w:r>
      <w:r>
        <w:rPr>
          <w:spacing w:val="-3"/>
        </w:rPr>
        <w:t>d</w:t>
      </w:r>
      <w:r>
        <w:t xml:space="preserve">e să </w:t>
      </w:r>
      <w:r>
        <w:rPr>
          <w:spacing w:val="-3"/>
        </w:rPr>
        <w:t>v</w:t>
      </w:r>
      <w:r>
        <w:t>ă ad</w:t>
      </w:r>
      <w:r>
        <w:rPr>
          <w:spacing w:val="-4"/>
        </w:rPr>
        <w:t>m</w:t>
      </w:r>
      <w:r>
        <w:rPr>
          <w:spacing w:val="1"/>
        </w:rPr>
        <w:t>i</w:t>
      </w:r>
      <w:r>
        <w:t>n</w:t>
      </w:r>
      <w:r>
        <w:rPr>
          <w:spacing w:val="1"/>
        </w:rPr>
        <w:t>i</w:t>
      </w:r>
      <w:r>
        <w:rPr>
          <w:spacing w:val="-2"/>
        </w:rPr>
        <w:t>s</w:t>
      </w:r>
      <w:r>
        <w:rPr>
          <w:spacing w:val="1"/>
        </w:rPr>
        <w:t>t</w:t>
      </w:r>
      <w:r>
        <w:rPr>
          <w:spacing w:val="-2"/>
        </w:rPr>
        <w:t>r</w:t>
      </w:r>
      <w:r>
        <w:t>e</w:t>
      </w:r>
      <w:r>
        <w:rPr>
          <w:spacing w:val="-3"/>
        </w:rPr>
        <w:t>z</w:t>
      </w:r>
      <w:r>
        <w:t>e 40 </w:t>
      </w:r>
      <w:r>
        <w:rPr>
          <w:spacing w:val="-4"/>
        </w:rPr>
        <w:t>m</w:t>
      </w:r>
      <w:r>
        <w:t>g săp</w:t>
      </w:r>
      <w:r>
        <w:rPr>
          <w:spacing w:val="1"/>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00BED38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3C646F3"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adolescenți și adulți cu artrită juvenilă idiopatică forma poliarticulară</w:t>
      </w:r>
    </w:p>
    <w:p w14:paraId="589CAEBF"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0DE8ABE5" w14:textId="77777777" w:rsidR="00C04CAD" w:rsidRDefault="00060E34">
      <w:pPr>
        <w:keepNext/>
        <w:kinsoku w:val="0"/>
        <w:overflowPunct w:val="0"/>
        <w:autoSpaceDE w:val="0"/>
        <w:autoSpaceDN w:val="0"/>
        <w:adjustRightInd w:val="0"/>
        <w:spacing w:line="240" w:lineRule="auto"/>
        <w:rPr>
          <w:i/>
        </w:rPr>
      </w:pPr>
      <w:r>
        <w:rPr>
          <w:i/>
        </w:rPr>
        <w:t>Copii, adolescenți și adulți începând cu vârsta de 2 ani și greutatea de 30 kg sau mai mult</w:t>
      </w:r>
    </w:p>
    <w:p w14:paraId="32172B89" w14:textId="77777777" w:rsidR="00C04CAD" w:rsidRDefault="00C04CAD">
      <w:pPr>
        <w:keepNext/>
        <w:kinsoku w:val="0"/>
        <w:overflowPunct w:val="0"/>
        <w:autoSpaceDE w:val="0"/>
        <w:autoSpaceDN w:val="0"/>
        <w:adjustRightInd w:val="0"/>
        <w:spacing w:line="240" w:lineRule="auto"/>
      </w:pPr>
    </w:p>
    <w:p w14:paraId="3DEDFB37"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Doza recomandată de AMGEVITA este de 40 mg la două săptămâni.</w:t>
      </w:r>
    </w:p>
    <w:p w14:paraId="6DCB3BA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8BC6B3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adolescenți și adulți cu artrită asociată entezitei</w:t>
      </w:r>
    </w:p>
    <w:p w14:paraId="5F6A901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627DF5D" w14:textId="77777777" w:rsidR="00C04CAD" w:rsidRDefault="00060E34">
      <w:pPr>
        <w:kinsoku w:val="0"/>
        <w:overflowPunct w:val="0"/>
        <w:autoSpaceDE w:val="0"/>
        <w:autoSpaceDN w:val="0"/>
        <w:adjustRightInd w:val="0"/>
        <w:spacing w:line="240" w:lineRule="auto"/>
        <w:rPr>
          <w:i/>
        </w:rPr>
      </w:pPr>
      <w:r>
        <w:rPr>
          <w:i/>
        </w:rPr>
        <w:t>Copii, adolescenți și adulți începând cu vârsta de 6 ani și greutatea de 30 kg sau mai mult</w:t>
      </w:r>
    </w:p>
    <w:p w14:paraId="12B0AE0E" w14:textId="77777777" w:rsidR="00C04CAD" w:rsidRDefault="00C04CAD">
      <w:pPr>
        <w:kinsoku w:val="0"/>
        <w:overflowPunct w:val="0"/>
        <w:autoSpaceDE w:val="0"/>
        <w:autoSpaceDN w:val="0"/>
        <w:adjustRightInd w:val="0"/>
        <w:spacing w:line="240" w:lineRule="auto"/>
        <w:rPr>
          <w:i/>
        </w:rPr>
      </w:pPr>
    </w:p>
    <w:p w14:paraId="1F121C9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Doza recomandată de AMGEVITA este de 40 mg la două săptămâni.</w:t>
      </w:r>
    </w:p>
    <w:p w14:paraId="14DE931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9BE67FF" w14:textId="77777777" w:rsidR="00C04CAD" w:rsidRDefault="00060E34">
      <w:pPr>
        <w:tabs>
          <w:tab w:val="clear" w:pos="567"/>
        </w:tabs>
        <w:kinsoku w:val="0"/>
        <w:overflowPunct w:val="0"/>
        <w:autoSpaceDE w:val="0"/>
        <w:autoSpaceDN w:val="0"/>
        <w:adjustRightInd w:val="0"/>
        <w:spacing w:line="240" w:lineRule="auto"/>
      </w:pPr>
      <w:r>
        <w:rPr>
          <w:spacing w:val="-1"/>
          <w:u w:val="single"/>
        </w:rPr>
        <w:t>A</w:t>
      </w:r>
      <w:r>
        <w:rPr>
          <w:u w:val="single"/>
        </w:rPr>
        <w:t>du</w:t>
      </w:r>
      <w:r>
        <w:rPr>
          <w:spacing w:val="1"/>
          <w:u w:val="single"/>
        </w:rPr>
        <w:t>l</w:t>
      </w:r>
      <w:r>
        <w:rPr>
          <w:spacing w:val="-2"/>
          <w:u w:val="single"/>
        </w:rPr>
        <w:t>ţ</w:t>
      </w:r>
      <w:r>
        <w:rPr>
          <w:u w:val="single"/>
        </w:rPr>
        <w:t>i cu pso</w:t>
      </w:r>
      <w:r>
        <w:rPr>
          <w:spacing w:val="-2"/>
          <w:u w:val="single"/>
        </w:rPr>
        <w:t>r</w:t>
      </w:r>
      <w:r>
        <w:rPr>
          <w:spacing w:val="1"/>
          <w:u w:val="single"/>
        </w:rPr>
        <w:t>i</w:t>
      </w:r>
      <w:r>
        <w:rPr>
          <w:u w:val="single"/>
        </w:rPr>
        <w:t>a</w:t>
      </w:r>
      <w:r>
        <w:rPr>
          <w:spacing w:val="-2"/>
          <w:u w:val="single"/>
        </w:rPr>
        <w:t>z</w:t>
      </w:r>
      <w:r>
        <w:rPr>
          <w:spacing w:val="1"/>
          <w:u w:val="single"/>
        </w:rPr>
        <w:t>i</w:t>
      </w:r>
      <w:r>
        <w:rPr>
          <w:u w:val="single"/>
        </w:rPr>
        <w:t>s</w:t>
      </w:r>
      <w:r>
        <w:rPr>
          <w:spacing w:val="1"/>
          <w:u w:val="single"/>
        </w:rPr>
        <w:t xml:space="preserve"> î</w:t>
      </w:r>
      <w:r>
        <w:rPr>
          <w:u w:val="single"/>
        </w:rPr>
        <w:t>n p</w:t>
      </w:r>
      <w:r>
        <w:rPr>
          <w:spacing w:val="-2"/>
          <w:u w:val="single"/>
        </w:rPr>
        <w:t>l</w:t>
      </w:r>
      <w:r>
        <w:rPr>
          <w:u w:val="single"/>
        </w:rPr>
        <w:t xml:space="preserve">ăci </w:t>
      </w:r>
    </w:p>
    <w:p w14:paraId="58A87EC5" w14:textId="77777777" w:rsidR="00C04CAD" w:rsidRDefault="00C04CAD">
      <w:pPr>
        <w:tabs>
          <w:tab w:val="clear" w:pos="567"/>
        </w:tabs>
        <w:kinsoku w:val="0"/>
        <w:overflowPunct w:val="0"/>
        <w:autoSpaceDE w:val="0"/>
        <w:autoSpaceDN w:val="0"/>
        <w:adjustRightInd w:val="0"/>
        <w:spacing w:line="240" w:lineRule="auto"/>
      </w:pPr>
    </w:p>
    <w:p w14:paraId="5314434D" w14:textId="77777777" w:rsidR="00C04CAD" w:rsidRDefault="00060E34">
      <w:pPr>
        <w:tabs>
          <w:tab w:val="clear" w:pos="567"/>
        </w:tabs>
        <w:kinsoku w:val="0"/>
        <w:overflowPunct w:val="0"/>
        <w:autoSpaceDE w:val="0"/>
        <w:autoSpaceDN w:val="0"/>
        <w:adjustRightInd w:val="0"/>
        <w:spacing w:line="240" w:lineRule="auto"/>
      </w:pPr>
      <w:r>
        <w:rPr>
          <w:spacing w:val="-1"/>
        </w:rPr>
        <w:t>L</w:t>
      </w:r>
      <w:r>
        <w:t>a ad</w:t>
      </w:r>
      <w:r>
        <w:rPr>
          <w:spacing w:val="-3"/>
        </w:rPr>
        <w:t>u</w:t>
      </w:r>
      <w:r>
        <w:t>l</w:t>
      </w:r>
      <w:r>
        <w:rPr>
          <w:spacing w:val="-2"/>
        </w:rPr>
        <w:t>ţ</w:t>
      </w:r>
      <w:r>
        <w:t>i</w:t>
      </w:r>
      <w:r>
        <w:rPr>
          <w:spacing w:val="1"/>
        </w:rPr>
        <w:t xml:space="preserve"> </w:t>
      </w:r>
      <w:r>
        <w:t>do</w:t>
      </w:r>
      <w:r>
        <w:rPr>
          <w:spacing w:val="-3"/>
        </w:rPr>
        <w:t>z</w:t>
      </w:r>
      <w:r>
        <w:t xml:space="preserve">a </w:t>
      </w:r>
      <w:r>
        <w:rPr>
          <w:spacing w:val="-2"/>
        </w:rPr>
        <w:t>r</w:t>
      </w:r>
      <w:r>
        <w:t>eco</w:t>
      </w:r>
      <w:r>
        <w:rPr>
          <w:spacing w:val="-4"/>
        </w:rPr>
        <w:t>m</w:t>
      </w:r>
      <w:r>
        <w:t>anda</w:t>
      </w:r>
      <w:r>
        <w:rPr>
          <w:spacing w:val="1"/>
        </w:rPr>
        <w:t>t</w:t>
      </w:r>
      <w:r>
        <w:t>ă</w:t>
      </w:r>
      <w:r>
        <w:rPr>
          <w:spacing w:val="-2"/>
        </w:rPr>
        <w:t xml:space="preserve"> </w:t>
      </w:r>
      <w:r>
        <w:t>pen</w:t>
      </w:r>
      <w:r>
        <w:rPr>
          <w:spacing w:val="-2"/>
        </w:rPr>
        <w:t>t</w:t>
      </w:r>
      <w:r>
        <w:t xml:space="preserve">ru </w:t>
      </w:r>
      <w:r>
        <w:rPr>
          <w:spacing w:val="-2"/>
        </w:rPr>
        <w:t>t</w:t>
      </w:r>
      <w:r>
        <w:t>r</w:t>
      </w:r>
      <w:r>
        <w:rPr>
          <w:spacing w:val="-3"/>
        </w:rPr>
        <w:t>a</w:t>
      </w:r>
      <w:r>
        <w:rPr>
          <w:spacing w:val="1"/>
        </w:rPr>
        <w:t>t</w:t>
      </w:r>
      <w:r>
        <w:t>a</w:t>
      </w:r>
      <w:r>
        <w:rPr>
          <w:spacing w:val="-4"/>
        </w:rPr>
        <w:t>m</w:t>
      </w:r>
      <w:r>
        <w:t>en</w:t>
      </w:r>
      <w:r>
        <w:rPr>
          <w:spacing w:val="1"/>
        </w:rPr>
        <w:t>t</w:t>
      </w:r>
      <w:r>
        <w:rPr>
          <w:spacing w:val="-3"/>
        </w:rPr>
        <w:t>u</w:t>
      </w:r>
      <w:r>
        <w:t>l</w:t>
      </w:r>
      <w:r>
        <w:rPr>
          <w:spacing w:val="1"/>
        </w:rPr>
        <w:t xml:space="preserve"> </w:t>
      </w:r>
      <w:r>
        <w:t>ps</w:t>
      </w:r>
      <w:r>
        <w:rPr>
          <w:spacing w:val="-3"/>
        </w:rPr>
        <w:t>o</w:t>
      </w:r>
      <w:r>
        <w:t>r</w:t>
      </w:r>
      <w:r>
        <w:rPr>
          <w:spacing w:val="-2"/>
        </w:rPr>
        <w:t>i</w:t>
      </w:r>
      <w:r>
        <w:t>a</w:t>
      </w:r>
      <w:r>
        <w:rPr>
          <w:spacing w:val="-3"/>
        </w:rPr>
        <w:t>z</w:t>
      </w:r>
      <w:r>
        <w:rPr>
          <w:spacing w:val="1"/>
        </w:rPr>
        <w:t>i</w:t>
      </w:r>
      <w:r>
        <w:t>su</w:t>
      </w:r>
      <w:r>
        <w:rPr>
          <w:spacing w:val="1"/>
        </w:rPr>
        <w:t>l</w:t>
      </w:r>
      <w:r>
        <w:rPr>
          <w:spacing w:val="-3"/>
        </w:rPr>
        <w:t>u</w:t>
      </w:r>
      <w:r>
        <w:t xml:space="preserve">i </w:t>
      </w:r>
      <w:r>
        <w:rPr>
          <w:spacing w:val="1"/>
        </w:rPr>
        <w:t>î</w:t>
      </w:r>
      <w:r>
        <w:t>n p</w:t>
      </w:r>
      <w:r>
        <w:rPr>
          <w:spacing w:val="-2"/>
        </w:rPr>
        <w:t>l</w:t>
      </w:r>
      <w:r>
        <w:t xml:space="preserve">ăci, </w:t>
      </w:r>
      <w:r>
        <w:rPr>
          <w:spacing w:val="-3"/>
        </w:rPr>
        <w:t>e</w:t>
      </w:r>
      <w:r>
        <w:t>s</w:t>
      </w:r>
      <w:r>
        <w:rPr>
          <w:spacing w:val="1"/>
        </w:rPr>
        <w:t>t</w:t>
      </w:r>
      <w:r>
        <w:t>e</w:t>
      </w:r>
      <w:r>
        <w:rPr>
          <w:spacing w:val="-2"/>
        </w:rPr>
        <w:t xml:space="preserve"> </w:t>
      </w:r>
      <w:r>
        <w:t>o do</w:t>
      </w:r>
      <w:r>
        <w:rPr>
          <w:spacing w:val="-3"/>
        </w:rPr>
        <w:t>z</w:t>
      </w:r>
      <w:r>
        <w:t xml:space="preserve">ă </w:t>
      </w:r>
      <w:r>
        <w:rPr>
          <w:spacing w:val="1"/>
        </w:rPr>
        <w:t>i</w:t>
      </w:r>
      <w:r>
        <w:rPr>
          <w:spacing w:val="-3"/>
        </w:rPr>
        <w:t>n</w:t>
      </w:r>
      <w:r>
        <w:rPr>
          <w:spacing w:val="1"/>
        </w:rPr>
        <w:t>i</w:t>
      </w:r>
      <w:r>
        <w:rPr>
          <w:spacing w:val="-2"/>
        </w:rPr>
        <w:t>ţ</w:t>
      </w:r>
      <w:r>
        <w:rPr>
          <w:spacing w:val="1"/>
        </w:rPr>
        <w:t>i</w:t>
      </w:r>
      <w:r>
        <w:rPr>
          <w:spacing w:val="-3"/>
        </w:rPr>
        <w:t>a</w:t>
      </w:r>
      <w:r>
        <w:rPr>
          <w:spacing w:val="1"/>
        </w:rPr>
        <w:t>l</w:t>
      </w:r>
      <w:r>
        <w:t xml:space="preserve">ă </w:t>
      </w:r>
      <w:r>
        <w:rPr>
          <w:spacing w:val="-3"/>
        </w:rPr>
        <w:t>d</w:t>
      </w:r>
      <w:r>
        <w:t>e</w:t>
      </w:r>
      <w:r>
        <w:rPr>
          <w:spacing w:val="-2"/>
        </w:rPr>
        <w:t xml:space="preserve"> </w:t>
      </w:r>
      <w:r>
        <w:t>80 </w:t>
      </w:r>
      <w:r>
        <w:rPr>
          <w:spacing w:val="-2"/>
        </w:rPr>
        <w:t>m</w:t>
      </w:r>
      <w:r>
        <w:t>g (</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rPr>
          <w:spacing w:val="-3"/>
        </w:rPr>
        <w:t xml:space="preserve"> </w:t>
      </w:r>
      <w:r>
        <w:t>ur</w:t>
      </w:r>
      <w:r>
        <w:rPr>
          <w:spacing w:val="-4"/>
        </w:rPr>
        <w:t>m</w:t>
      </w:r>
      <w:r>
        <w:t>a</w:t>
      </w:r>
      <w:r>
        <w:rPr>
          <w:spacing w:val="1"/>
        </w:rPr>
        <w:t>t</w:t>
      </w:r>
      <w:r>
        <w:t xml:space="preserve">ă, după o </w:t>
      </w:r>
      <w:r>
        <w:rPr>
          <w:spacing w:val="-2"/>
        </w:rPr>
        <w:t>s</w:t>
      </w:r>
      <w:r>
        <w:t>ăp</w:t>
      </w:r>
      <w:r>
        <w:rPr>
          <w:spacing w:val="-2"/>
        </w:rPr>
        <w:t>t</w:t>
      </w:r>
      <w:r>
        <w:t>ă</w:t>
      </w:r>
      <w:r>
        <w:rPr>
          <w:spacing w:val="-4"/>
        </w:rPr>
        <w:t>m</w:t>
      </w:r>
      <w:r>
        <w:t xml:space="preserve">ână, de o </w:t>
      </w:r>
      <w:r>
        <w:rPr>
          <w:spacing w:val="-3"/>
        </w:rPr>
        <w:t>d</w:t>
      </w:r>
      <w:r>
        <w:t>o</w:t>
      </w:r>
      <w:r>
        <w:rPr>
          <w:spacing w:val="-3"/>
        </w:rPr>
        <w:t>z</w:t>
      </w:r>
      <w:r>
        <w:t>ă de 40 </w:t>
      </w:r>
      <w:r>
        <w:rPr>
          <w:spacing w:val="-4"/>
        </w:rPr>
        <w:t>m</w:t>
      </w:r>
      <w:r>
        <w:t>g</w:t>
      </w:r>
      <w:r>
        <w:rPr>
          <w:spacing w:val="-3"/>
        </w:rPr>
        <w:t xml:space="preserve"> </w:t>
      </w:r>
      <w:r>
        <w:t>a</w:t>
      </w:r>
      <w:r>
        <w:rPr>
          <w:spacing w:val="2"/>
        </w:rPr>
        <w:t>d</w:t>
      </w:r>
      <w:r>
        <w:rPr>
          <w:spacing w:val="-4"/>
        </w:rPr>
        <w:t>m</w:t>
      </w:r>
      <w:r>
        <w:rPr>
          <w:spacing w:val="1"/>
        </w:rPr>
        <w:t>i</w:t>
      </w:r>
      <w:r>
        <w:t>n</w:t>
      </w:r>
      <w:r>
        <w:rPr>
          <w:spacing w:val="1"/>
        </w:rPr>
        <w:t>i</w:t>
      </w:r>
      <w:r>
        <w:rPr>
          <w:spacing w:val="-2"/>
        </w:rPr>
        <w:t>s</w:t>
      </w:r>
      <w:r>
        <w:rPr>
          <w:spacing w:val="1"/>
        </w:rPr>
        <w:t>t</w:t>
      </w:r>
      <w:r>
        <w:t>r</w:t>
      </w:r>
      <w:r>
        <w:rPr>
          <w:spacing w:val="-3"/>
        </w:rPr>
        <w:t>a</w:t>
      </w:r>
      <w:r>
        <w:rPr>
          <w:spacing w:val="1"/>
        </w:rPr>
        <w:t>t</w:t>
      </w:r>
      <w:r>
        <w:t>ă o</w:t>
      </w:r>
      <w:r>
        <w:rPr>
          <w:spacing w:val="-3"/>
        </w:rPr>
        <w:t xml:space="preserve"> d</w:t>
      </w:r>
      <w:r>
        <w:t>a</w:t>
      </w:r>
      <w:r>
        <w:rPr>
          <w:spacing w:val="1"/>
        </w:rPr>
        <w:t>t</w:t>
      </w:r>
      <w:r>
        <w:t>ă</w:t>
      </w:r>
      <w:r>
        <w:rPr>
          <w:spacing w:val="-2"/>
        </w:rPr>
        <w:t xml:space="preserve"> </w:t>
      </w:r>
      <w:r>
        <w:rPr>
          <w:spacing w:val="1"/>
        </w:rPr>
        <w:t>l</w:t>
      </w:r>
      <w:r>
        <w:t>a d</w:t>
      </w:r>
      <w:r>
        <w:rPr>
          <w:spacing w:val="-3"/>
        </w:rPr>
        <w:t>o</w:t>
      </w:r>
      <w:r>
        <w:t xml:space="preserve">uă </w:t>
      </w:r>
      <w:r>
        <w:rPr>
          <w:spacing w:val="-2"/>
        </w:rPr>
        <w:t>s</w:t>
      </w:r>
      <w:r>
        <w:t>ăp</w:t>
      </w:r>
      <w:r>
        <w:rPr>
          <w:spacing w:val="-2"/>
        </w:rPr>
        <w:t>t</w:t>
      </w:r>
      <w:r>
        <w:t>ă</w:t>
      </w:r>
      <w:r>
        <w:rPr>
          <w:spacing w:val="-4"/>
        </w:rPr>
        <w:t>m</w:t>
      </w:r>
      <w:r>
        <w:t>ân</w:t>
      </w:r>
      <w:r>
        <w:rPr>
          <w:spacing w:val="1"/>
        </w:rPr>
        <w:t>i</w:t>
      </w:r>
      <w:r>
        <w:t>.</w:t>
      </w:r>
      <w:r>
        <w:rPr>
          <w:spacing w:val="-3"/>
        </w:rPr>
        <w:t xml:space="preserve"> </w:t>
      </w:r>
      <w:r>
        <w:rPr>
          <w:spacing w:val="1"/>
        </w:rPr>
        <w:t>T</w:t>
      </w:r>
      <w:r>
        <w:t>re</w:t>
      </w:r>
      <w:r>
        <w:rPr>
          <w:spacing w:val="-3"/>
        </w:rPr>
        <w:t>b</w:t>
      </w:r>
      <w:r>
        <w:t>u</w:t>
      </w:r>
      <w:r>
        <w:rPr>
          <w:spacing w:val="1"/>
        </w:rPr>
        <w:t>i</w:t>
      </w:r>
      <w:r>
        <w:t xml:space="preserve">e </w:t>
      </w:r>
      <w:r>
        <w:rPr>
          <w:spacing w:val="-2"/>
        </w:rPr>
        <w:t>s</w:t>
      </w:r>
      <w:r>
        <w:t>ă co</w:t>
      </w:r>
      <w:r>
        <w:rPr>
          <w:spacing w:val="-3"/>
        </w:rPr>
        <w:t>n</w:t>
      </w:r>
      <w:r>
        <w:rPr>
          <w:spacing w:val="1"/>
        </w:rPr>
        <w:t>t</w:t>
      </w:r>
      <w:r>
        <w:rPr>
          <w:spacing w:val="-2"/>
        </w:rPr>
        <w:t>i</w:t>
      </w:r>
      <w:r>
        <w:t>nu</w:t>
      </w:r>
      <w:r>
        <w:rPr>
          <w:spacing w:val="-3"/>
        </w:rPr>
        <w:t>a</w:t>
      </w:r>
      <w:r>
        <w:rPr>
          <w:spacing w:val="1"/>
        </w:rPr>
        <w:t>ţ</w:t>
      </w:r>
      <w:r>
        <w:t xml:space="preserve">i </w:t>
      </w:r>
      <w:r>
        <w:rPr>
          <w:spacing w:val="1"/>
        </w:rPr>
        <w:t>i</w:t>
      </w:r>
      <w:r>
        <w:rPr>
          <w:spacing w:val="-3"/>
        </w:rPr>
        <w:t>n</w:t>
      </w:r>
      <w:r>
        <w:rPr>
          <w:spacing w:val="1"/>
        </w:rPr>
        <w:t>j</w:t>
      </w:r>
      <w:r>
        <w:t>ec</w:t>
      </w:r>
      <w:r>
        <w:rPr>
          <w:spacing w:val="-2"/>
        </w:rPr>
        <w:t>ţ</w:t>
      </w:r>
      <w:r>
        <w:rPr>
          <w:spacing w:val="1"/>
        </w:rPr>
        <w:t>i</w:t>
      </w:r>
      <w:r>
        <w:rPr>
          <w:spacing w:val="-2"/>
        </w:rPr>
        <w:t>i</w:t>
      </w:r>
      <w:r>
        <w:rPr>
          <w:spacing w:val="1"/>
        </w:rPr>
        <w:t>l</w:t>
      </w:r>
      <w:r>
        <w:t>e</w:t>
      </w:r>
      <w:r>
        <w:rPr>
          <w:spacing w:val="-2"/>
        </w:rPr>
        <w:t xml:space="preserve"> </w:t>
      </w:r>
      <w:r>
        <w:t xml:space="preserve">cu </w:t>
      </w:r>
      <w:r>
        <w:rPr>
          <w:spacing w:val="-1"/>
          <w:szCs w:val="22"/>
          <w:lang w:eastAsia="en-US" w:bidi="ar-SA"/>
        </w:rPr>
        <w:t>AMGEVITA</w:t>
      </w:r>
      <w:r>
        <w:t xml:space="preserve"> </w:t>
      </w:r>
      <w:r>
        <w:rPr>
          <w:spacing w:val="-3"/>
        </w:rPr>
        <w:t>c</w:t>
      </w:r>
      <w:r>
        <w:t>ât</w:t>
      </w:r>
      <w:r>
        <w:rPr>
          <w:spacing w:val="-2"/>
        </w:rPr>
        <w:t xml:space="preserve"> </w:t>
      </w:r>
      <w:r>
        <w:rPr>
          <w:spacing w:val="1"/>
        </w:rPr>
        <w:t>ti</w:t>
      </w:r>
      <w:r>
        <w:rPr>
          <w:spacing w:val="-4"/>
        </w:rPr>
        <w:t>m</w:t>
      </w:r>
      <w:r>
        <w:t xml:space="preserve">p </w:t>
      </w:r>
      <w:r>
        <w:rPr>
          <w:spacing w:val="-3"/>
        </w:rPr>
        <w:t>v</w:t>
      </w:r>
      <w:r>
        <w:t>ă reco</w:t>
      </w:r>
      <w:r>
        <w:rPr>
          <w:spacing w:val="-4"/>
        </w:rPr>
        <w:t>m</w:t>
      </w:r>
      <w:r>
        <w:t xml:space="preserve">andă </w:t>
      </w:r>
      <w:r>
        <w:rPr>
          <w:spacing w:val="-4"/>
        </w:rPr>
        <w:t>m</w:t>
      </w:r>
      <w:r>
        <w:t>ed</w:t>
      </w:r>
      <w:r>
        <w:rPr>
          <w:spacing w:val="1"/>
        </w:rPr>
        <w:t>i</w:t>
      </w:r>
      <w:r>
        <w:t>cul</w:t>
      </w:r>
      <w:r>
        <w:rPr>
          <w:spacing w:val="-2"/>
        </w:rPr>
        <w:t xml:space="preserve"> </w:t>
      </w:r>
      <w:r>
        <w:t>d</w:t>
      </w:r>
      <w:r>
        <w:rPr>
          <w:spacing w:val="-3"/>
        </w:rPr>
        <w:t>u</w:t>
      </w:r>
      <w:r>
        <w:rPr>
          <w:spacing w:val="-4"/>
        </w:rPr>
        <w:t>m</w:t>
      </w:r>
      <w:r>
        <w:t>nea</w:t>
      </w:r>
      <w:r>
        <w:rPr>
          <w:spacing w:val="-3"/>
        </w:rPr>
        <w:t>v</w:t>
      </w:r>
      <w:r>
        <w:t>oas</w:t>
      </w:r>
      <w:r>
        <w:rPr>
          <w:spacing w:val="1"/>
        </w:rPr>
        <w:t>t</w:t>
      </w:r>
      <w:r>
        <w:t>ră.</w:t>
      </w:r>
      <w:r>
        <w:rPr>
          <w:spacing w:val="-1"/>
        </w:rPr>
        <w:t xml:space="preserve"> </w:t>
      </w:r>
      <w:r>
        <w:rPr>
          <w:spacing w:val="-4"/>
        </w:rPr>
        <w:t>Î</w:t>
      </w:r>
      <w:r>
        <w:t>n func</w:t>
      </w:r>
      <w:r>
        <w:rPr>
          <w:spacing w:val="-2"/>
        </w:rPr>
        <w:t>ţ</w:t>
      </w:r>
      <w:r>
        <w:rPr>
          <w:spacing w:val="1"/>
        </w:rPr>
        <w:t>i</w:t>
      </w:r>
      <w:r>
        <w:t xml:space="preserve">e </w:t>
      </w:r>
      <w:r>
        <w:rPr>
          <w:spacing w:val="-3"/>
        </w:rPr>
        <w:t>d</w:t>
      </w:r>
      <w:r>
        <w:t>e</w:t>
      </w:r>
      <w:r>
        <w:rPr>
          <w:spacing w:val="-2"/>
        </w:rPr>
        <w:t xml:space="preserve"> </w:t>
      </w:r>
      <w:r>
        <w:t>răsp</w:t>
      </w:r>
      <w:r>
        <w:rPr>
          <w:spacing w:val="-3"/>
        </w:rPr>
        <w:t>u</w:t>
      </w:r>
      <w:r>
        <w:t>ns</w:t>
      </w:r>
      <w:r>
        <w:rPr>
          <w:spacing w:val="-3"/>
        </w:rPr>
        <w:t>u</w:t>
      </w:r>
      <w:r>
        <w:t>l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du</w:t>
      </w:r>
      <w:r>
        <w:rPr>
          <w:spacing w:val="-4"/>
        </w:rPr>
        <w:t>m</w:t>
      </w:r>
      <w:r>
        <w:t>nea</w:t>
      </w:r>
      <w:r>
        <w:rPr>
          <w:spacing w:val="-3"/>
        </w:rPr>
        <w:t>v</w:t>
      </w:r>
      <w:r>
        <w:t>oas</w:t>
      </w:r>
      <w:r>
        <w:rPr>
          <w:spacing w:val="-2"/>
        </w:rPr>
        <w:t>t</w:t>
      </w:r>
      <w:r>
        <w:t xml:space="preserve">ră </w:t>
      </w:r>
      <w:r>
        <w:rPr>
          <w:spacing w:val="-3"/>
        </w:rPr>
        <w:t>p</w:t>
      </w:r>
      <w:r>
        <w:t>oa</w:t>
      </w:r>
      <w:r>
        <w:rPr>
          <w:spacing w:val="1"/>
        </w:rPr>
        <w:t>t</w:t>
      </w:r>
      <w:r>
        <w:t>e</w:t>
      </w:r>
      <w:r>
        <w:rPr>
          <w:spacing w:val="-2"/>
        </w:rPr>
        <w:t xml:space="preserve"> </w:t>
      </w:r>
      <w:r>
        <w:t xml:space="preserve">să </w:t>
      </w:r>
      <w:r>
        <w:rPr>
          <w:spacing w:val="-3"/>
        </w:rPr>
        <w:t>c</w:t>
      </w:r>
      <w:r>
        <w:t>r</w:t>
      </w:r>
      <w:r>
        <w:rPr>
          <w:spacing w:val="-3"/>
        </w:rPr>
        <w:t>e</w:t>
      </w:r>
      <w:r>
        <w:t>ască</w:t>
      </w:r>
      <w:r>
        <w:rPr>
          <w:spacing w:val="-2"/>
        </w:rPr>
        <w:t xml:space="preserve"> </w:t>
      </w:r>
      <w:r>
        <w:t>d</w:t>
      </w:r>
      <w:r>
        <w:rPr>
          <w:spacing w:val="-3"/>
        </w:rPr>
        <w:t>oza</w:t>
      </w:r>
      <w:r>
        <w:rPr>
          <w:spacing w:val="1"/>
        </w:rPr>
        <w:t xml:space="preserve"> l</w:t>
      </w:r>
      <w:r>
        <w:t>a 40</w:t>
      </w:r>
      <w:r>
        <w:rPr>
          <w:spacing w:val="-3"/>
        </w:rPr>
        <w:t> </w:t>
      </w:r>
      <w:r>
        <w:rPr>
          <w:spacing w:val="-2"/>
        </w:rPr>
        <w:t>m</w:t>
      </w:r>
      <w:r>
        <w:t>g săp</w:t>
      </w:r>
      <w:r>
        <w:rPr>
          <w:spacing w:val="-2"/>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4B66C4D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09ABDE8" w14:textId="77777777" w:rsidR="00C04CAD" w:rsidRDefault="00060E34">
      <w:pPr>
        <w:keepNext/>
        <w:tabs>
          <w:tab w:val="clear" w:pos="567"/>
        </w:tabs>
        <w:kinsoku w:val="0"/>
        <w:overflowPunct w:val="0"/>
        <w:autoSpaceDE w:val="0"/>
        <w:autoSpaceDN w:val="0"/>
        <w:adjustRightInd w:val="0"/>
        <w:spacing w:line="240" w:lineRule="auto"/>
      </w:pPr>
      <w:r>
        <w:rPr>
          <w:spacing w:val="-1"/>
          <w:u w:val="single"/>
        </w:rPr>
        <w:t>C</w:t>
      </w:r>
      <w:r>
        <w:rPr>
          <w:u w:val="single"/>
        </w:rPr>
        <w:t>op</w:t>
      </w:r>
      <w:r>
        <w:rPr>
          <w:spacing w:val="1"/>
          <w:u w:val="single"/>
        </w:rPr>
        <w:t>i</w:t>
      </w:r>
      <w:r>
        <w:rPr>
          <w:u w:val="single"/>
        </w:rPr>
        <w:t>i</w:t>
      </w:r>
      <w:r>
        <w:rPr>
          <w:spacing w:val="-2"/>
          <w:u w:val="single"/>
        </w:rPr>
        <w:t xml:space="preserve"> </w:t>
      </w:r>
      <w:r>
        <w:rPr>
          <w:u w:val="single"/>
        </w:rPr>
        <w:t>și</w:t>
      </w:r>
      <w:r>
        <w:rPr>
          <w:spacing w:val="-3"/>
          <w:u w:val="single"/>
        </w:rPr>
        <w:t xml:space="preserve"> </w:t>
      </w:r>
      <w:r>
        <w:rPr>
          <w:u w:val="single"/>
        </w:rPr>
        <w:t>ado</w:t>
      </w:r>
      <w:r>
        <w:rPr>
          <w:spacing w:val="-2"/>
          <w:u w:val="single"/>
        </w:rPr>
        <w:t>l</w:t>
      </w:r>
      <w:r>
        <w:rPr>
          <w:u w:val="single"/>
        </w:rPr>
        <w:t>es</w:t>
      </w:r>
      <w:r>
        <w:rPr>
          <w:spacing w:val="-3"/>
          <w:u w:val="single"/>
        </w:rPr>
        <w:t>c</w:t>
      </w:r>
      <w:r>
        <w:rPr>
          <w:u w:val="single"/>
        </w:rPr>
        <w:t>en</w:t>
      </w:r>
      <w:r>
        <w:rPr>
          <w:spacing w:val="-2"/>
          <w:u w:val="single"/>
        </w:rPr>
        <w:t>ţ</w:t>
      </w:r>
      <w:r>
        <w:rPr>
          <w:u w:val="single"/>
        </w:rPr>
        <w:t xml:space="preserve">i cu psoriazis </w:t>
      </w:r>
      <w:r>
        <w:rPr>
          <w:spacing w:val="1"/>
          <w:u w:val="single"/>
        </w:rPr>
        <w:t>î</w:t>
      </w:r>
      <w:r>
        <w:rPr>
          <w:u w:val="single"/>
        </w:rPr>
        <w:t>n p</w:t>
      </w:r>
      <w:r>
        <w:rPr>
          <w:spacing w:val="-2"/>
          <w:u w:val="single"/>
        </w:rPr>
        <w:t>l</w:t>
      </w:r>
      <w:r>
        <w:rPr>
          <w:u w:val="single"/>
        </w:rPr>
        <w:t>ăci</w:t>
      </w:r>
    </w:p>
    <w:p w14:paraId="0B74378A"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04835CD6" w14:textId="77777777" w:rsidR="00C04CAD" w:rsidRDefault="00060E34">
      <w:pPr>
        <w:keepNext/>
        <w:kinsoku w:val="0"/>
        <w:overflowPunct w:val="0"/>
        <w:autoSpaceDE w:val="0"/>
        <w:autoSpaceDN w:val="0"/>
        <w:adjustRightInd w:val="0"/>
        <w:spacing w:line="240" w:lineRule="auto"/>
      </w:pPr>
      <w:r>
        <w:rPr>
          <w:i/>
        </w:rPr>
        <w:t>Copii și adolescenți începând cu vârsta de 4 ani până la vârsta de 17 ani și greutatea de 30 kg sau mai mult</w:t>
      </w:r>
    </w:p>
    <w:p w14:paraId="3E8D3DF5" w14:textId="77777777" w:rsidR="00C04CAD" w:rsidRDefault="00C04CAD">
      <w:pPr>
        <w:kinsoku w:val="0"/>
        <w:overflowPunct w:val="0"/>
        <w:autoSpaceDE w:val="0"/>
        <w:autoSpaceDN w:val="0"/>
        <w:adjustRightInd w:val="0"/>
        <w:spacing w:line="240" w:lineRule="auto"/>
      </w:pPr>
    </w:p>
    <w:p w14:paraId="4B8EAD08"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40 mg, urmată de o doză de 40 mg o săptămână mai târziu. Apoi, doza obișnuită este de 40 mg administrată la două săptămâni.</w:t>
      </w:r>
    </w:p>
    <w:p w14:paraId="3B90DB42" w14:textId="77777777" w:rsidR="00C04CAD" w:rsidRDefault="00C04CAD">
      <w:pPr>
        <w:tabs>
          <w:tab w:val="clear" w:pos="567"/>
        </w:tabs>
        <w:kinsoku w:val="0"/>
        <w:overflowPunct w:val="0"/>
        <w:autoSpaceDE w:val="0"/>
        <w:autoSpaceDN w:val="0"/>
        <w:adjustRightInd w:val="0"/>
        <w:spacing w:line="240" w:lineRule="auto"/>
        <w:rPr>
          <w:u w:val="single"/>
        </w:rPr>
      </w:pPr>
    </w:p>
    <w:p w14:paraId="3F38342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szCs w:val="22"/>
          <w:u w:val="single"/>
          <w:lang w:eastAsia="en-US" w:bidi="ar-SA"/>
        </w:rPr>
        <w:t>A</w:t>
      </w:r>
      <w:r>
        <w:rPr>
          <w:szCs w:val="22"/>
          <w:u w:val="single"/>
          <w:lang w:eastAsia="en-US" w:bidi="ar-SA"/>
        </w:rPr>
        <w:t>du</w:t>
      </w:r>
      <w:r>
        <w:rPr>
          <w:spacing w:val="1"/>
          <w:szCs w:val="22"/>
          <w:u w:val="single"/>
          <w:lang w:eastAsia="en-US" w:bidi="ar-SA"/>
        </w:rPr>
        <w:t>l</w:t>
      </w:r>
      <w:r>
        <w:rPr>
          <w:spacing w:val="-2"/>
          <w:szCs w:val="22"/>
          <w:u w:val="single"/>
          <w:lang w:eastAsia="en-US" w:bidi="ar-SA"/>
        </w:rPr>
        <w:t>ţ</w:t>
      </w:r>
      <w:r>
        <w:rPr>
          <w:szCs w:val="22"/>
          <w:u w:val="single"/>
          <w:lang w:eastAsia="en-US" w:bidi="ar-SA"/>
        </w:rPr>
        <w:t>i cu h</w:t>
      </w:r>
      <w:r>
        <w:rPr>
          <w:spacing w:val="1"/>
          <w:szCs w:val="22"/>
          <w:u w:val="single"/>
          <w:lang w:eastAsia="en-US" w:bidi="ar-SA"/>
        </w:rPr>
        <w:t>i</w:t>
      </w:r>
      <w:r>
        <w:rPr>
          <w:spacing w:val="-3"/>
          <w:szCs w:val="22"/>
          <w:u w:val="single"/>
          <w:lang w:eastAsia="en-US" w:bidi="ar-SA"/>
        </w:rPr>
        <w:t>d</w:t>
      </w:r>
      <w:r>
        <w:rPr>
          <w:szCs w:val="22"/>
          <w:u w:val="single"/>
          <w:lang w:eastAsia="en-US" w:bidi="ar-SA"/>
        </w:rPr>
        <w:t>ros</w:t>
      </w:r>
      <w:r>
        <w:rPr>
          <w:spacing w:val="-3"/>
          <w:szCs w:val="22"/>
          <w:u w:val="single"/>
          <w:lang w:eastAsia="en-US" w:bidi="ar-SA"/>
        </w:rPr>
        <w:t>a</w:t>
      </w:r>
      <w:r>
        <w:rPr>
          <w:szCs w:val="22"/>
          <w:u w:val="single"/>
          <w:lang w:eastAsia="en-US" w:bidi="ar-SA"/>
        </w:rPr>
        <w:t>de</w:t>
      </w:r>
      <w:r>
        <w:rPr>
          <w:spacing w:val="-3"/>
          <w:szCs w:val="22"/>
          <w:u w:val="single"/>
          <w:lang w:eastAsia="en-US" w:bidi="ar-SA"/>
        </w:rPr>
        <w:t>n</w:t>
      </w:r>
      <w:r>
        <w:rPr>
          <w:spacing w:val="1"/>
          <w:szCs w:val="22"/>
          <w:u w:val="single"/>
          <w:lang w:eastAsia="en-US" w:bidi="ar-SA"/>
        </w:rPr>
        <w:t>it</w:t>
      </w:r>
      <w:r>
        <w:rPr>
          <w:szCs w:val="22"/>
          <w:u w:val="single"/>
          <w:lang w:eastAsia="en-US" w:bidi="ar-SA"/>
        </w:rPr>
        <w:t>ă su</w:t>
      </w:r>
      <w:r>
        <w:rPr>
          <w:spacing w:val="-3"/>
          <w:szCs w:val="22"/>
          <w:u w:val="single"/>
          <w:lang w:eastAsia="en-US" w:bidi="ar-SA"/>
        </w:rPr>
        <w:t>p</w:t>
      </w:r>
      <w:r>
        <w:rPr>
          <w:szCs w:val="22"/>
          <w:u w:val="single"/>
          <w:lang w:eastAsia="en-US" w:bidi="ar-SA"/>
        </w:rPr>
        <w:t>ura</w:t>
      </w:r>
      <w:r>
        <w:rPr>
          <w:spacing w:val="-2"/>
          <w:szCs w:val="22"/>
          <w:u w:val="single"/>
          <w:lang w:eastAsia="en-US" w:bidi="ar-SA"/>
        </w:rPr>
        <w:t>t</w:t>
      </w:r>
      <w:r>
        <w:rPr>
          <w:spacing w:val="1"/>
          <w:szCs w:val="22"/>
          <w:u w:val="single"/>
          <w:lang w:eastAsia="en-US" w:bidi="ar-SA"/>
        </w:rPr>
        <w:t>i</w:t>
      </w:r>
      <w:r>
        <w:rPr>
          <w:spacing w:val="-3"/>
          <w:szCs w:val="22"/>
          <w:u w:val="single"/>
          <w:lang w:eastAsia="en-US" w:bidi="ar-SA"/>
        </w:rPr>
        <w:t>v</w:t>
      </w:r>
      <w:r>
        <w:rPr>
          <w:szCs w:val="22"/>
          <w:u w:val="single"/>
          <w:lang w:eastAsia="en-US" w:bidi="ar-SA"/>
        </w:rPr>
        <w:t>ă</w:t>
      </w:r>
    </w:p>
    <w:p w14:paraId="6A360A25" w14:textId="77777777" w:rsidR="00C04CAD" w:rsidRDefault="00C04CAD">
      <w:pPr>
        <w:keepNext/>
        <w:tabs>
          <w:tab w:val="clear" w:pos="567"/>
        </w:tabs>
        <w:kinsoku w:val="0"/>
        <w:overflowPunct w:val="0"/>
        <w:autoSpaceDE w:val="0"/>
        <w:autoSpaceDN w:val="0"/>
        <w:adjustRightInd w:val="0"/>
        <w:spacing w:line="240" w:lineRule="auto"/>
      </w:pPr>
    </w:p>
    <w:p w14:paraId="363013F2" w14:textId="77777777" w:rsidR="00C04CAD" w:rsidRDefault="00060E34">
      <w:pPr>
        <w:tabs>
          <w:tab w:val="clear" w:pos="567"/>
        </w:tabs>
        <w:kinsoku w:val="0"/>
        <w:overflowPunct w:val="0"/>
        <w:autoSpaceDE w:val="0"/>
        <w:autoSpaceDN w:val="0"/>
        <w:adjustRightInd w:val="0"/>
        <w:spacing w:line="240" w:lineRule="auto"/>
      </w:pPr>
      <w:r>
        <w:rPr>
          <w:spacing w:val="-2"/>
        </w:rPr>
        <w:t>D</w:t>
      </w:r>
      <w:r>
        <w:t>o</w:t>
      </w:r>
      <w:r>
        <w:rPr>
          <w:spacing w:val="-3"/>
        </w:rPr>
        <w:t>z</w:t>
      </w:r>
      <w:r>
        <w:t>a ob</w:t>
      </w:r>
      <w:r>
        <w:rPr>
          <w:spacing w:val="1"/>
        </w:rPr>
        <w:t>i</w:t>
      </w:r>
      <w:r>
        <w:t>șn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h</w:t>
      </w:r>
      <w:r>
        <w:rPr>
          <w:spacing w:val="1"/>
        </w:rPr>
        <w:t>i</w:t>
      </w:r>
      <w:r>
        <w:rPr>
          <w:spacing w:val="-3"/>
        </w:rPr>
        <w:t>d</w:t>
      </w:r>
      <w:r>
        <w:rPr>
          <w:spacing w:val="-2"/>
        </w:rPr>
        <w:t>r</w:t>
      </w:r>
      <w:r>
        <w:t>osade</w:t>
      </w:r>
      <w:r>
        <w:rPr>
          <w:spacing w:val="-3"/>
        </w:rPr>
        <w:t>n</w:t>
      </w:r>
      <w:r>
        <w:rPr>
          <w:spacing w:val="1"/>
        </w:rPr>
        <w:t>i</w:t>
      </w:r>
      <w:r>
        <w:rPr>
          <w:spacing w:val="-2"/>
        </w:rPr>
        <w:t>t</w:t>
      </w:r>
      <w:r>
        <w:t>a s</w:t>
      </w:r>
      <w:r>
        <w:rPr>
          <w:spacing w:val="-3"/>
        </w:rPr>
        <w:t>u</w:t>
      </w:r>
      <w:r>
        <w:t>pur</w:t>
      </w:r>
      <w:r>
        <w:rPr>
          <w:spacing w:val="-3"/>
        </w:rPr>
        <w:t>a</w:t>
      </w:r>
      <w:r>
        <w:rPr>
          <w:spacing w:val="-2"/>
        </w:rPr>
        <w:t>t</w:t>
      </w:r>
      <w:r>
        <w:rPr>
          <w:spacing w:val="1"/>
        </w:rPr>
        <w:t>i</w:t>
      </w:r>
      <w:r>
        <w:rPr>
          <w:spacing w:val="-3"/>
        </w:rPr>
        <w:t>v</w:t>
      </w:r>
      <w:r>
        <w:t>ă es</w:t>
      </w:r>
      <w:r>
        <w:rPr>
          <w:spacing w:val="-2"/>
        </w:rPr>
        <w:t>t</w:t>
      </w:r>
      <w:r>
        <w:t>e o</w:t>
      </w:r>
      <w:r>
        <w:rPr>
          <w:spacing w:val="-3"/>
        </w:rPr>
        <w:t xml:space="preserve"> </w:t>
      </w:r>
      <w:r>
        <w:t>do</w:t>
      </w:r>
      <w:r>
        <w:rPr>
          <w:spacing w:val="-3"/>
        </w:rPr>
        <w:t>z</w:t>
      </w:r>
      <w:r>
        <w:t xml:space="preserve">ă </w:t>
      </w:r>
      <w:r>
        <w:rPr>
          <w:spacing w:val="1"/>
        </w:rPr>
        <w:t>i</w:t>
      </w:r>
      <w:r>
        <w:t>n</w:t>
      </w:r>
      <w:r>
        <w:rPr>
          <w:spacing w:val="-2"/>
        </w:rPr>
        <w:t>i</w:t>
      </w:r>
      <w:r>
        <w:rPr>
          <w:spacing w:val="1"/>
        </w:rPr>
        <w:t>ț</w:t>
      </w:r>
      <w:r>
        <w:rPr>
          <w:spacing w:val="-2"/>
        </w:rPr>
        <w:t>i</w:t>
      </w:r>
      <w:r>
        <w:t>a</w:t>
      </w:r>
      <w:r>
        <w:rPr>
          <w:spacing w:val="1"/>
        </w:rPr>
        <w:t>l</w:t>
      </w:r>
      <w:r>
        <w:t>ă</w:t>
      </w:r>
      <w:r>
        <w:rPr>
          <w:spacing w:val="-2"/>
        </w:rPr>
        <w:t xml:space="preserve"> </w:t>
      </w:r>
      <w:r>
        <w:t>de 1</w:t>
      </w:r>
      <w:r>
        <w:rPr>
          <w:spacing w:val="-3"/>
        </w:rPr>
        <w:t>6</w:t>
      </w:r>
      <w:r>
        <w:t>0 </w:t>
      </w:r>
      <w:r>
        <w:rPr>
          <w:spacing w:val="-4"/>
        </w:rPr>
        <w:t>m</w:t>
      </w:r>
      <w:r>
        <w:t>g</w:t>
      </w:r>
      <w:r>
        <w:rPr>
          <w:spacing w:val="-3"/>
        </w:rPr>
        <w:t xml:space="preserve"> </w:t>
      </w:r>
      <w:r>
        <w:t>(sub for</w:t>
      </w:r>
      <w:r>
        <w:rPr>
          <w:spacing w:val="-4"/>
        </w:rPr>
        <w:t>m</w:t>
      </w:r>
      <w:r>
        <w:t xml:space="preserve">ă de </w:t>
      </w:r>
      <w:r>
        <w:rPr>
          <w:szCs w:val="22"/>
          <w:lang w:eastAsia="en-US" w:bidi="ar-SA"/>
        </w:rPr>
        <w:t>patru</w:t>
      </w:r>
      <w:r>
        <w:rPr>
          <w:spacing w:val="-3"/>
        </w:rPr>
        <w:t xml:space="preserve"> </w:t>
      </w:r>
      <w:r>
        <w:rPr>
          <w:spacing w:val="1"/>
        </w:rPr>
        <w:t>i</w:t>
      </w:r>
      <w:r>
        <w:rPr>
          <w:spacing w:val="-3"/>
        </w:rPr>
        <w:t>n</w:t>
      </w:r>
      <w:r>
        <w:rPr>
          <w:spacing w:val="1"/>
        </w:rPr>
        <w:t>j</w:t>
      </w:r>
      <w:r>
        <w:t>e</w:t>
      </w:r>
      <w:r>
        <w:rPr>
          <w:spacing w:val="-3"/>
        </w:rPr>
        <w:t>c</w:t>
      </w:r>
      <w:r>
        <w:rPr>
          <w:spacing w:val="1"/>
        </w:rPr>
        <w:t>ț</w:t>
      </w:r>
      <w:r>
        <w:rPr>
          <w:spacing w:val="-2"/>
        </w:rPr>
        <w:t>i</w:t>
      </w:r>
      <w:r>
        <w:t xml:space="preserve">i </w:t>
      </w:r>
      <w:r>
        <w:rPr>
          <w:szCs w:val="22"/>
          <w:lang w:eastAsia="en-US" w:bidi="ar-SA"/>
        </w:rPr>
        <w:t xml:space="preserve">a câte 40 mg </w:t>
      </w:r>
      <w:r>
        <w:rPr>
          <w:spacing w:val="1"/>
        </w:rPr>
        <w:t>î</w:t>
      </w:r>
      <w:r>
        <w:t>n</w:t>
      </w:r>
      <w:r>
        <w:rPr>
          <w:spacing w:val="-2"/>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 xml:space="preserve">i </w:t>
      </w:r>
      <w:r>
        <w:rPr>
          <w:szCs w:val="22"/>
          <w:lang w:eastAsia="en-US" w:bidi="ar-SA"/>
        </w:rPr>
        <w:t>a câte 40 mg</w:t>
      </w:r>
      <w:r>
        <w:rPr>
          <w:spacing w:val="1"/>
          <w:szCs w:val="22"/>
          <w:lang w:eastAsia="en-US" w:bidi="ar-SA"/>
        </w:rPr>
        <w:t xml:space="preserve"> </w:t>
      </w:r>
      <w:r>
        <w:t>pe</w:t>
      </w:r>
      <w:r>
        <w:rPr>
          <w:spacing w:val="-2"/>
        </w:rPr>
        <w:t xml:space="preserve"> </w:t>
      </w:r>
      <w:r>
        <w:rPr>
          <w:spacing w:val="-3"/>
        </w:rPr>
        <w:t>z</w:t>
      </w:r>
      <w:r>
        <w:rPr>
          <w:spacing w:val="1"/>
        </w:rPr>
        <w:t>i</w:t>
      </w:r>
      <w:r>
        <w:t xml:space="preserve">, două </w:t>
      </w:r>
      <w:r>
        <w:rPr>
          <w:spacing w:val="-3"/>
        </w:rPr>
        <w:t>z</w:t>
      </w:r>
      <w:r>
        <w:rPr>
          <w:spacing w:val="1"/>
        </w:rPr>
        <w:t>i</w:t>
      </w:r>
      <w:r>
        <w:rPr>
          <w:spacing w:val="-2"/>
        </w:rPr>
        <w:t>l</w:t>
      </w:r>
      <w:r>
        <w:t>e co</w:t>
      </w:r>
      <w:r>
        <w:rPr>
          <w:spacing w:val="-3"/>
        </w:rPr>
        <w:t>n</w:t>
      </w:r>
      <w:r>
        <w:t>sec</w:t>
      </w:r>
      <w:r>
        <w:rPr>
          <w:spacing w:val="-3"/>
        </w:rPr>
        <w:t>u</w:t>
      </w:r>
      <w:r>
        <w:rPr>
          <w:spacing w:val="-2"/>
        </w:rPr>
        <w:t>t</w:t>
      </w:r>
      <w:r>
        <w:rPr>
          <w:spacing w:val="1"/>
        </w:rPr>
        <w:t>i</w:t>
      </w:r>
      <w:r>
        <w:rPr>
          <w:spacing w:val="-3"/>
        </w:rPr>
        <w:t>v</w:t>
      </w:r>
      <w:r>
        <w:t>e), u</w:t>
      </w:r>
      <w:r>
        <w:rPr>
          <w:spacing w:val="-2"/>
        </w:rPr>
        <w:t>r</w:t>
      </w:r>
      <w:r>
        <w:rPr>
          <w:spacing w:val="-4"/>
        </w:rPr>
        <w:t>m</w:t>
      </w:r>
      <w:r>
        <w:t>a</w:t>
      </w:r>
      <w:r>
        <w:rPr>
          <w:spacing w:val="1"/>
        </w:rPr>
        <w:t>t</w:t>
      </w:r>
      <w:r>
        <w:t>ă de o do</w:t>
      </w:r>
      <w:r>
        <w:rPr>
          <w:spacing w:val="-3"/>
        </w:rPr>
        <w:t>z</w:t>
      </w:r>
      <w:r>
        <w:t xml:space="preserve">ă de </w:t>
      </w:r>
      <w:r>
        <w:rPr>
          <w:spacing w:val="-3"/>
        </w:rPr>
        <w:t>8</w:t>
      </w:r>
      <w:r>
        <w:t>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t>)</w:t>
      </w:r>
      <w:r>
        <w:rPr>
          <w:spacing w:val="1"/>
        </w:rPr>
        <w:t xml:space="preserve"> </w:t>
      </w:r>
      <w:r>
        <w:t>după</w:t>
      </w:r>
      <w:r>
        <w:rPr>
          <w:spacing w:val="-2"/>
        </w:rPr>
        <w:t xml:space="preserve"> </w:t>
      </w:r>
      <w:r>
        <w:t>două</w:t>
      </w:r>
      <w:r>
        <w:rPr>
          <w:spacing w:val="-2"/>
        </w:rPr>
        <w:t xml:space="preserve"> </w:t>
      </w:r>
      <w:r>
        <w:t>s</w:t>
      </w:r>
      <w:r>
        <w:rPr>
          <w:spacing w:val="-3"/>
        </w:rPr>
        <w:t>ă</w:t>
      </w:r>
      <w:r>
        <w:t>p</w:t>
      </w:r>
      <w:r>
        <w:rPr>
          <w:spacing w:val="1"/>
        </w:rPr>
        <w:t>t</w:t>
      </w:r>
      <w:r>
        <w:t>ă</w:t>
      </w:r>
      <w:r>
        <w:rPr>
          <w:spacing w:val="-4"/>
        </w:rPr>
        <w:t>m</w:t>
      </w:r>
      <w:r>
        <w:t>ân</w:t>
      </w:r>
      <w:r>
        <w:rPr>
          <w:spacing w:val="1"/>
        </w:rPr>
        <w:t>i</w:t>
      </w:r>
      <w:r>
        <w:t xml:space="preserve">. </w:t>
      </w:r>
      <w:r>
        <w:rPr>
          <w:spacing w:val="-1"/>
        </w:rPr>
        <w:t>D</w:t>
      </w:r>
      <w:r>
        <w:t>upă</w:t>
      </w:r>
      <w:r>
        <w:rPr>
          <w:spacing w:val="-2"/>
        </w:rPr>
        <w:t xml:space="preserve"> </w:t>
      </w:r>
      <w:r>
        <w:t>a</w:t>
      </w:r>
      <w:r>
        <w:rPr>
          <w:spacing w:val="-2"/>
        </w:rPr>
        <w:t>l</w:t>
      </w:r>
      <w:r>
        <w:rPr>
          <w:spacing w:val="1"/>
        </w:rPr>
        <w:t>t</w:t>
      </w:r>
      <w:r>
        <w:t>e d</w:t>
      </w:r>
      <w:r>
        <w:rPr>
          <w:spacing w:val="-3"/>
        </w:rPr>
        <w:t>o</w:t>
      </w:r>
      <w:r>
        <w:t xml:space="preserve">uă </w:t>
      </w:r>
      <w:r>
        <w:rPr>
          <w:spacing w:val="-2"/>
        </w:rPr>
        <w:t>s</w:t>
      </w:r>
      <w:r>
        <w:rPr>
          <w:spacing w:val="-3"/>
        </w:rPr>
        <w:t>ă</w:t>
      </w:r>
      <w:r>
        <w:t>p</w:t>
      </w:r>
      <w:r>
        <w:rPr>
          <w:spacing w:val="1"/>
        </w:rPr>
        <w:t>t</w:t>
      </w:r>
      <w:r>
        <w:t>ă</w:t>
      </w:r>
      <w:r>
        <w:rPr>
          <w:spacing w:val="-4"/>
        </w:rPr>
        <w:t>m</w:t>
      </w:r>
      <w:r>
        <w:t>ân</w:t>
      </w:r>
      <w:r>
        <w:rPr>
          <w:spacing w:val="1"/>
        </w:rPr>
        <w:t>i</w:t>
      </w:r>
      <w:r>
        <w:t>, se</w:t>
      </w:r>
      <w:r>
        <w:rPr>
          <w:spacing w:val="-2"/>
        </w:rPr>
        <w:t xml:space="preserve"> </w:t>
      </w:r>
      <w:r>
        <w:t>co</w:t>
      </w:r>
      <w:r>
        <w:rPr>
          <w:spacing w:val="-3"/>
        </w:rPr>
        <w:t>n</w:t>
      </w:r>
      <w:r>
        <w:rPr>
          <w:spacing w:val="1"/>
        </w:rPr>
        <w:t>ti</w:t>
      </w:r>
      <w:r>
        <w:rPr>
          <w:spacing w:val="-3"/>
        </w:rPr>
        <w:t>n</w:t>
      </w:r>
      <w:r>
        <w:t>uă cu</w:t>
      </w:r>
      <w:r>
        <w:rPr>
          <w:spacing w:val="-3"/>
        </w:rPr>
        <w:t xml:space="preserve"> </w:t>
      </w:r>
      <w:r>
        <w:t xml:space="preserve">o </w:t>
      </w:r>
      <w:r>
        <w:rPr>
          <w:spacing w:val="-3"/>
        </w:rPr>
        <w:t>d</w:t>
      </w:r>
      <w:r>
        <w:t>o</w:t>
      </w:r>
      <w:r>
        <w:rPr>
          <w:spacing w:val="-3"/>
        </w:rPr>
        <w:t>z</w:t>
      </w:r>
      <w:r>
        <w:t>ă de 40 </w:t>
      </w:r>
      <w:r>
        <w:rPr>
          <w:spacing w:val="-4"/>
        </w:rPr>
        <w:t>m</w:t>
      </w:r>
      <w:r>
        <w:t>g săp</w:t>
      </w:r>
      <w:r>
        <w:rPr>
          <w:spacing w:val="-2"/>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 conform recomandărilor medicului dumneavoastră</w:t>
      </w:r>
      <w:r>
        <w:t xml:space="preserve">. </w:t>
      </w:r>
      <w:r>
        <w:rPr>
          <w:spacing w:val="-1"/>
        </w:rPr>
        <w:t>S</w:t>
      </w:r>
      <w:r>
        <w:t>e</w:t>
      </w:r>
      <w:r>
        <w:rPr>
          <w:spacing w:val="-2"/>
        </w:rPr>
        <w:t xml:space="preserve"> </w:t>
      </w:r>
      <w:r>
        <w:t>reco</w:t>
      </w:r>
      <w:r>
        <w:rPr>
          <w:spacing w:val="-4"/>
        </w:rPr>
        <w:t>m</w:t>
      </w:r>
      <w:r>
        <w:t>andă</w:t>
      </w:r>
      <w:r>
        <w:rPr>
          <w:spacing w:val="-2"/>
        </w:rPr>
        <w:t xml:space="preserve"> </w:t>
      </w:r>
      <w:r>
        <w:t>să s</w:t>
      </w:r>
      <w:r>
        <w:rPr>
          <w:spacing w:val="-3"/>
        </w:rPr>
        <w:t>p</w:t>
      </w:r>
      <w:r>
        <w:t>ă</w:t>
      </w:r>
      <w:r>
        <w:rPr>
          <w:spacing w:val="1"/>
        </w:rPr>
        <w:t>l</w:t>
      </w:r>
      <w:r>
        <w:rPr>
          <w:spacing w:val="-3"/>
        </w:rPr>
        <w:t>a</w:t>
      </w:r>
      <w:r>
        <w:rPr>
          <w:spacing w:val="1"/>
        </w:rPr>
        <w:t>ţ</w:t>
      </w:r>
      <w:r>
        <w:t>i</w:t>
      </w:r>
      <w:r>
        <w:rPr>
          <w:spacing w:val="1"/>
        </w:rPr>
        <w:t xml:space="preserve"> </w:t>
      </w:r>
      <w:r>
        <w:rPr>
          <w:spacing w:val="-3"/>
        </w:rPr>
        <w:t>z</w:t>
      </w:r>
      <w:r>
        <w:rPr>
          <w:spacing w:val="-2"/>
        </w:rPr>
        <w:t>i</w:t>
      </w:r>
      <w:r>
        <w:rPr>
          <w:spacing w:val="1"/>
        </w:rPr>
        <w:t>l</w:t>
      </w:r>
      <w:r>
        <w:rPr>
          <w:spacing w:val="-3"/>
        </w:rPr>
        <w:t>n</w:t>
      </w:r>
      <w:r>
        <w:rPr>
          <w:spacing w:val="1"/>
        </w:rPr>
        <w:t>i</w:t>
      </w:r>
      <w:r>
        <w:t>c cu</w:t>
      </w:r>
      <w:r>
        <w:rPr>
          <w:spacing w:val="-3"/>
        </w:rPr>
        <w:t xml:space="preserve"> </w:t>
      </w:r>
      <w:r>
        <w:t>un a</w:t>
      </w:r>
      <w:r>
        <w:rPr>
          <w:spacing w:val="-3"/>
        </w:rPr>
        <w:t>n</w:t>
      </w:r>
      <w:r>
        <w:rPr>
          <w:spacing w:val="1"/>
        </w:rPr>
        <w:t>t</w:t>
      </w:r>
      <w:r>
        <w:rPr>
          <w:spacing w:val="-2"/>
        </w:rPr>
        <w:t>is</w:t>
      </w:r>
      <w:r>
        <w:t>ep</w:t>
      </w:r>
      <w:r>
        <w:rPr>
          <w:spacing w:val="-2"/>
        </w:rPr>
        <w:t>t</w:t>
      </w:r>
      <w:r>
        <w:rPr>
          <w:spacing w:val="1"/>
        </w:rPr>
        <w:t>i</w:t>
      </w:r>
      <w:r>
        <w:t xml:space="preserve">c </w:t>
      </w:r>
      <w:r>
        <w:rPr>
          <w:spacing w:val="-3"/>
        </w:rPr>
        <w:t>z</w:t>
      </w:r>
      <w:r>
        <w:rPr>
          <w:spacing w:val="-1"/>
        </w:rPr>
        <w:t>o</w:t>
      </w:r>
      <w:r>
        <w:t>ne</w:t>
      </w:r>
      <w:r>
        <w:rPr>
          <w:spacing w:val="-2"/>
        </w:rPr>
        <w:t>l</w:t>
      </w:r>
      <w:r>
        <w:t xml:space="preserve">e </w:t>
      </w:r>
      <w:r>
        <w:rPr>
          <w:spacing w:val="-3"/>
        </w:rPr>
        <w:t>a</w:t>
      </w:r>
      <w:r>
        <w:t>fe</w:t>
      </w:r>
      <w:r>
        <w:rPr>
          <w:spacing w:val="-3"/>
        </w:rPr>
        <w:t>c</w:t>
      </w:r>
      <w:r>
        <w:rPr>
          <w:spacing w:val="1"/>
        </w:rPr>
        <w:t>t</w:t>
      </w:r>
      <w:r>
        <w:rPr>
          <w:spacing w:val="-3"/>
        </w:rPr>
        <w:t>a</w:t>
      </w:r>
      <w:r>
        <w:rPr>
          <w:spacing w:val="1"/>
        </w:rPr>
        <w:t>t</w:t>
      </w:r>
      <w:r>
        <w:t>e.</w:t>
      </w:r>
    </w:p>
    <w:p w14:paraId="6D79F0F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A1E53ED"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4"/>
          <w:u w:val="single"/>
        </w:rPr>
        <w:t>Hidrosadenită supurativă la adolescenți de la vârsta de 12 până la 17 ani, cu greutatea de 30 kg sau mai mult</w:t>
      </w:r>
    </w:p>
    <w:p w14:paraId="7886926C"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5DAC25A7"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de AMGEVITA este o doză inițială de 80 mg (sub formă de două injecții a 40 mg într-o zi), urmată, </w:t>
      </w:r>
      <w:r>
        <w:rPr>
          <w:szCs w:val="24"/>
        </w:rPr>
        <w:t>după o săptămână,</w:t>
      </w:r>
      <w:r>
        <w:rPr>
          <w:szCs w:val="22"/>
          <w:lang w:eastAsia="en-US" w:bidi="ar-SA"/>
        </w:rPr>
        <w:t xml:space="preserve"> de o </w:t>
      </w:r>
      <w:r>
        <w:rPr>
          <w:szCs w:val="24"/>
        </w:rPr>
        <w:t xml:space="preserve">doză </w:t>
      </w:r>
      <w:r>
        <w:rPr>
          <w:szCs w:val="22"/>
          <w:lang w:eastAsia="en-US" w:bidi="ar-SA"/>
        </w:rPr>
        <w:t xml:space="preserve">40 mg la fiecare două săptămâni. </w:t>
      </w:r>
      <w:r>
        <w:rPr>
          <w:szCs w:val="24"/>
        </w:rPr>
        <w:t xml:space="preserve">Dacă nu răspundeți corespunzător la </w:t>
      </w:r>
      <w:r>
        <w:rPr>
          <w:szCs w:val="22"/>
          <w:lang w:eastAsia="en-US" w:bidi="ar-SA"/>
        </w:rPr>
        <w:t xml:space="preserve">AMGEVITA 40 mg la două săptămâni, medicul dumneavoastră poate </w:t>
      </w:r>
      <w:r>
        <w:rPr>
          <w:szCs w:val="24"/>
        </w:rPr>
        <w:t>să crească doza la 40 mg săptămânal sau 80 mg la două săptămâni</w:t>
      </w:r>
      <w:r>
        <w:rPr>
          <w:szCs w:val="22"/>
          <w:lang w:eastAsia="en-US" w:bidi="ar-SA"/>
        </w:rPr>
        <w:t>.</w:t>
      </w:r>
    </w:p>
    <w:p w14:paraId="302D7194"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5A6B028C"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Se recomandă să </w:t>
      </w:r>
      <w:r>
        <w:rPr>
          <w:szCs w:val="22"/>
        </w:rPr>
        <w:t>spălaţi zilnic cu un antiseptic zonele afectate</w:t>
      </w:r>
      <w:r>
        <w:rPr>
          <w:szCs w:val="22"/>
          <w:lang w:eastAsia="en-US" w:bidi="ar-SA"/>
        </w:rPr>
        <w:t>.</w:t>
      </w:r>
    </w:p>
    <w:p w14:paraId="564D8F2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87979EC"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boală Crohn</w:t>
      </w:r>
    </w:p>
    <w:p w14:paraId="674739C2"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327FBE64"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a ob</w:t>
      </w:r>
      <w:r>
        <w:rPr>
          <w:spacing w:val="1"/>
        </w:rPr>
        <w:t>i</w:t>
      </w:r>
      <w:r>
        <w:t>şn</w:t>
      </w:r>
      <w:r>
        <w:rPr>
          <w:spacing w:val="-3"/>
        </w:rPr>
        <w:t>u</w:t>
      </w:r>
      <w:r>
        <w:rPr>
          <w:spacing w:val="1"/>
        </w:rPr>
        <w:t>i</w:t>
      </w:r>
      <w:r>
        <w:rPr>
          <w:spacing w:val="-2"/>
        </w:rPr>
        <w:t>t</w:t>
      </w:r>
      <w:r>
        <w:t>ă pe</w:t>
      </w:r>
      <w:r>
        <w:rPr>
          <w:spacing w:val="-3"/>
        </w:rPr>
        <w:t>n</w:t>
      </w:r>
      <w:r>
        <w:rPr>
          <w:spacing w:val="1"/>
        </w:rPr>
        <w:t>t</w:t>
      </w:r>
      <w:r>
        <w:t>ru</w:t>
      </w:r>
      <w:r>
        <w:rPr>
          <w:spacing w:val="-3"/>
        </w:rPr>
        <w:t xml:space="preserve"> </w:t>
      </w:r>
      <w:r>
        <w:t>bo</w:t>
      </w:r>
      <w:r>
        <w:rPr>
          <w:spacing w:val="-3"/>
        </w:rPr>
        <w:t>a</w:t>
      </w:r>
      <w:r>
        <w:rPr>
          <w:spacing w:val="-2"/>
        </w:rPr>
        <w:t>l</w:t>
      </w:r>
      <w:r>
        <w:t xml:space="preserve">a </w:t>
      </w:r>
      <w:r>
        <w:rPr>
          <w:spacing w:val="-1"/>
        </w:rPr>
        <w:t>C</w:t>
      </w:r>
      <w:r>
        <w:t>rohn</w:t>
      </w:r>
      <w:r>
        <w:rPr>
          <w:spacing w:val="-3"/>
        </w:rPr>
        <w:t xml:space="preserve"> </w:t>
      </w:r>
      <w:r>
        <w:t>es</w:t>
      </w:r>
      <w:r>
        <w:rPr>
          <w:spacing w:val="-2"/>
        </w:rPr>
        <w:t>t</w:t>
      </w:r>
      <w:r>
        <w:t>e de</w:t>
      </w:r>
      <w:r>
        <w:rPr>
          <w:spacing w:val="-2"/>
        </w:rPr>
        <w:t xml:space="preserve"> </w:t>
      </w:r>
      <w:r>
        <w:t>80 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pacing w:val="1"/>
        </w:rPr>
        <w:t>i</w:t>
      </w:r>
      <w:r>
        <w:t>n</w:t>
      </w:r>
      <w:r>
        <w:rPr>
          <w:spacing w:val="1"/>
        </w:rPr>
        <w:t>iţ</w:t>
      </w:r>
      <w:r>
        <w:rPr>
          <w:spacing w:val="-2"/>
        </w:rPr>
        <w:t>i</w:t>
      </w:r>
      <w:r>
        <w:t xml:space="preserve">al </w:t>
      </w:r>
      <w:r>
        <w:rPr>
          <w:spacing w:val="-3"/>
        </w:rPr>
        <w:t>u</w:t>
      </w:r>
      <w:r>
        <w:t>r</w:t>
      </w:r>
      <w:r>
        <w:rPr>
          <w:spacing w:val="-4"/>
        </w:rPr>
        <w:t>m</w:t>
      </w:r>
      <w:r>
        <w:t>a</w:t>
      </w:r>
      <w:r>
        <w:rPr>
          <w:spacing w:val="1"/>
        </w:rPr>
        <w:t>t</w:t>
      </w:r>
      <w:r>
        <w:t>ă ap</w:t>
      </w:r>
      <w:r>
        <w:rPr>
          <w:spacing w:val="-3"/>
        </w:rPr>
        <w:t>o</w:t>
      </w:r>
      <w:r>
        <w:t>i</w:t>
      </w:r>
      <w:r>
        <w:rPr>
          <w:spacing w:val="1"/>
        </w:rPr>
        <w:t xml:space="preserve"> </w:t>
      </w:r>
      <w:r>
        <w:t>de</w:t>
      </w:r>
      <w:r>
        <w:rPr>
          <w:spacing w:val="-2"/>
        </w:rPr>
        <w:t xml:space="preserve"> </w:t>
      </w:r>
      <w:r>
        <w:t>40 </w:t>
      </w:r>
      <w:r>
        <w:rPr>
          <w:spacing w:val="-4"/>
        </w:rPr>
        <w:t>m</w:t>
      </w:r>
      <w:r>
        <w:t>g</w:t>
      </w:r>
      <w:r>
        <w:rPr>
          <w:spacing w:val="-3"/>
        </w:rPr>
        <w:t xml:space="preserve"> </w:t>
      </w:r>
      <w:r>
        <w:rPr>
          <w:spacing w:val="1"/>
        </w:rPr>
        <w:t>l</w:t>
      </w:r>
      <w:r>
        <w:t xml:space="preserve">a două </w:t>
      </w:r>
      <w:r>
        <w:rPr>
          <w:spacing w:val="-2"/>
        </w:rPr>
        <w:t>s</w:t>
      </w:r>
      <w:r>
        <w:t>ăp</w:t>
      </w:r>
      <w:r>
        <w:rPr>
          <w:spacing w:val="-2"/>
        </w:rPr>
        <w:t>t</w:t>
      </w:r>
      <w:r>
        <w:t>ă</w:t>
      </w:r>
      <w:r>
        <w:rPr>
          <w:spacing w:val="-4"/>
        </w:rPr>
        <w:t>m</w:t>
      </w:r>
      <w:r>
        <w:t xml:space="preserve">âni, două </w:t>
      </w:r>
      <w:r>
        <w:rPr>
          <w:spacing w:val="-2"/>
        </w:rPr>
        <w:t>s</w:t>
      </w:r>
      <w:r>
        <w:t>ăp</w:t>
      </w:r>
      <w:r>
        <w:rPr>
          <w:spacing w:val="-2"/>
        </w:rPr>
        <w:t>t</w:t>
      </w:r>
      <w:r>
        <w:t>ă</w:t>
      </w:r>
      <w:r>
        <w:rPr>
          <w:spacing w:val="-4"/>
        </w:rPr>
        <w:t>m</w:t>
      </w:r>
      <w:r>
        <w:t>âni</w:t>
      </w:r>
      <w:r>
        <w:rPr>
          <w:spacing w:val="1"/>
        </w:rPr>
        <w:t xml:space="preserve"> </w:t>
      </w:r>
      <w:r>
        <w:rPr>
          <w:spacing w:val="-4"/>
        </w:rPr>
        <w:t>m</w:t>
      </w:r>
      <w:r>
        <w:t>ai</w:t>
      </w:r>
      <w:r>
        <w:rPr>
          <w:spacing w:val="1"/>
        </w:rPr>
        <w:t xml:space="preserve"> t</w:t>
      </w:r>
      <w:r>
        <w:t>âr</w:t>
      </w:r>
      <w:r>
        <w:rPr>
          <w:spacing w:val="-3"/>
        </w:rPr>
        <w:t>z</w:t>
      </w:r>
      <w:r>
        <w:rPr>
          <w:spacing w:val="1"/>
        </w:rPr>
        <w:t>i</w:t>
      </w:r>
      <w:r>
        <w:rPr>
          <w:spacing w:val="-1"/>
        </w:rPr>
        <w:t>u</w:t>
      </w:r>
      <w:r>
        <w:t>.</w:t>
      </w:r>
      <w:r>
        <w:rPr>
          <w:spacing w:val="-3"/>
        </w:rPr>
        <w:t xml:space="preserve"> </w:t>
      </w:r>
      <w:r>
        <w:rPr>
          <w:spacing w:val="-1"/>
        </w:rPr>
        <w:t>D</w:t>
      </w:r>
      <w:r>
        <w:t>acă e</w:t>
      </w:r>
      <w:r>
        <w:rPr>
          <w:spacing w:val="-2"/>
        </w:rPr>
        <w:t>s</w:t>
      </w:r>
      <w:r>
        <w:rPr>
          <w:spacing w:val="1"/>
        </w:rPr>
        <w:t>t</w:t>
      </w:r>
      <w:r>
        <w:t>e</w:t>
      </w:r>
      <w:r>
        <w:rPr>
          <w:spacing w:val="-2"/>
        </w:rPr>
        <w:t xml:space="preserve"> </w:t>
      </w:r>
      <w:r>
        <w:t>nec</w:t>
      </w:r>
      <w:r>
        <w:rPr>
          <w:spacing w:val="-3"/>
        </w:rPr>
        <w:t>e</w:t>
      </w:r>
      <w:r>
        <w:t>s</w:t>
      </w:r>
      <w:r>
        <w:rPr>
          <w:spacing w:val="-3"/>
        </w:rPr>
        <w:t>a</w:t>
      </w:r>
      <w:r>
        <w:t>r</w:t>
      </w:r>
      <w:r>
        <w:rPr>
          <w:spacing w:val="1"/>
        </w:rPr>
        <w:t xml:space="preserve"> </w:t>
      </w:r>
      <w:r>
        <w:t>un</w:t>
      </w:r>
      <w:r>
        <w:rPr>
          <w:spacing w:val="-3"/>
        </w:rPr>
        <w:t xml:space="preserve"> </w:t>
      </w:r>
      <w:r>
        <w:t>răsp</w:t>
      </w:r>
      <w:r>
        <w:rPr>
          <w:spacing w:val="-3"/>
        </w:rPr>
        <w:t>u</w:t>
      </w:r>
      <w:r>
        <w:t xml:space="preserve">ns </w:t>
      </w:r>
      <w:r>
        <w:rPr>
          <w:spacing w:val="-4"/>
        </w:rPr>
        <w:t>m</w:t>
      </w:r>
      <w:r>
        <w:t>ai</w:t>
      </w:r>
      <w:r>
        <w:rPr>
          <w:spacing w:val="1"/>
        </w:rPr>
        <w:t xml:space="preserve"> </w:t>
      </w:r>
      <w:r>
        <w:t>ra</w:t>
      </w:r>
      <w:r>
        <w:rPr>
          <w:spacing w:val="-3"/>
        </w:rPr>
        <w:t>p</w:t>
      </w:r>
      <w:r>
        <w:rPr>
          <w:spacing w:val="1"/>
        </w:rPr>
        <w:t>i</w:t>
      </w:r>
      <w:r>
        <w:t xml:space="preserve">d, </w:t>
      </w:r>
      <w:r>
        <w:rPr>
          <w:spacing w:val="-4"/>
        </w:rPr>
        <w:t>m</w:t>
      </w:r>
      <w:r>
        <w:t>ed</w:t>
      </w:r>
      <w:r>
        <w:rPr>
          <w:spacing w:val="1"/>
        </w:rPr>
        <w:t>i</w:t>
      </w:r>
      <w:r>
        <w:t>c</w:t>
      </w:r>
      <w:r>
        <w:rPr>
          <w:spacing w:val="-3"/>
        </w:rPr>
        <w:t>u</w:t>
      </w:r>
      <w:r>
        <w:t>l</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ă po</w:t>
      </w:r>
      <w:r>
        <w:rPr>
          <w:spacing w:val="-3"/>
        </w:rPr>
        <w:t>a</w:t>
      </w:r>
      <w:r>
        <w:rPr>
          <w:spacing w:val="1"/>
        </w:rPr>
        <w:t>t</w:t>
      </w:r>
      <w:r>
        <w:t>e pre</w:t>
      </w:r>
      <w:r>
        <w:rPr>
          <w:spacing w:val="-2"/>
        </w:rPr>
        <w:t>s</w:t>
      </w:r>
      <w:r>
        <w:t>c</w:t>
      </w:r>
      <w:r>
        <w:rPr>
          <w:spacing w:val="-2"/>
        </w:rPr>
        <w:t>r</w:t>
      </w:r>
      <w:r>
        <w:rPr>
          <w:spacing w:val="1"/>
        </w:rPr>
        <w:t>i</w:t>
      </w:r>
      <w:r>
        <w:t xml:space="preserve">e o </w:t>
      </w:r>
      <w:r>
        <w:rPr>
          <w:spacing w:val="-3"/>
        </w:rPr>
        <w:t>d</w:t>
      </w:r>
      <w:r>
        <w:t>o</w:t>
      </w:r>
      <w:r>
        <w:rPr>
          <w:spacing w:val="-3"/>
        </w:rPr>
        <w:t>z</w:t>
      </w:r>
      <w:r>
        <w:t xml:space="preserve">ă </w:t>
      </w:r>
      <w:r>
        <w:rPr>
          <w:spacing w:val="1"/>
        </w:rPr>
        <w:t>i</w:t>
      </w:r>
      <w:r>
        <w:t>n</w:t>
      </w:r>
      <w:r>
        <w:rPr>
          <w:spacing w:val="-2"/>
        </w:rPr>
        <w:t>iţ</w:t>
      </w:r>
      <w:r>
        <w:rPr>
          <w:spacing w:val="1"/>
        </w:rPr>
        <w:t>i</w:t>
      </w:r>
      <w:r>
        <w:t>a</w:t>
      </w:r>
      <w:r>
        <w:rPr>
          <w:spacing w:val="-2"/>
        </w:rPr>
        <w:t>l</w:t>
      </w:r>
      <w:r>
        <w:t xml:space="preserve">ă de </w:t>
      </w:r>
      <w:r>
        <w:rPr>
          <w:spacing w:val="-3"/>
        </w:rPr>
        <w:t>1</w:t>
      </w:r>
      <w:r>
        <w:t>60 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patru</w:t>
      </w:r>
      <w:r>
        <w:t xml:space="preserve"> </w:t>
      </w:r>
      <w:r>
        <w:rPr>
          <w:spacing w:val="1"/>
        </w:rPr>
        <w:t>i</w:t>
      </w:r>
      <w:r>
        <w:rPr>
          <w:spacing w:val="-3"/>
        </w:rPr>
        <w:t>n</w:t>
      </w:r>
      <w:r>
        <w:rPr>
          <w:spacing w:val="1"/>
        </w:rPr>
        <w:t>j</w:t>
      </w:r>
      <w:r>
        <w:rPr>
          <w:spacing w:val="-3"/>
        </w:rPr>
        <w:t>e</w:t>
      </w:r>
      <w:r>
        <w:t>c</w:t>
      </w:r>
      <w:r>
        <w:rPr>
          <w:spacing w:val="1"/>
        </w:rPr>
        <w:t>ţ</w:t>
      </w:r>
      <w:r>
        <w:rPr>
          <w:spacing w:val="-2"/>
        </w:rPr>
        <w:t>i</w:t>
      </w:r>
      <w:r>
        <w:t xml:space="preserve">i </w:t>
      </w:r>
      <w:r>
        <w:rPr>
          <w:szCs w:val="22"/>
          <w:lang w:eastAsia="en-US" w:bidi="ar-SA"/>
        </w:rPr>
        <w:t xml:space="preserve">a câte 40 mg </w:t>
      </w:r>
      <w:r>
        <w:rPr>
          <w:spacing w:val="1"/>
        </w:rPr>
        <w:t>î</w:t>
      </w:r>
      <w:r>
        <w:t>n</w:t>
      </w:r>
      <w:r>
        <w:rPr>
          <w:spacing w:val="-2"/>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ţ</w:t>
      </w:r>
      <w:r>
        <w:rPr>
          <w:spacing w:val="-2"/>
        </w:rPr>
        <w:t>i</w:t>
      </w:r>
      <w:r>
        <w:t>i</w:t>
      </w:r>
      <w:r>
        <w:rPr>
          <w:spacing w:val="1"/>
          <w:szCs w:val="22"/>
          <w:lang w:eastAsia="en-US" w:bidi="ar-SA"/>
        </w:rPr>
        <w:t xml:space="preserve"> a câte 40 mg</w:t>
      </w:r>
      <w:r>
        <w:rPr>
          <w:spacing w:val="1"/>
        </w:rPr>
        <w:t xml:space="preserve"> </w:t>
      </w:r>
      <w:r>
        <w:rPr>
          <w:spacing w:val="-3"/>
        </w:rPr>
        <w:t>p</w:t>
      </w:r>
      <w:r>
        <w:t xml:space="preserve">e </w:t>
      </w:r>
      <w:r>
        <w:rPr>
          <w:spacing w:val="-3"/>
        </w:rPr>
        <w:t>z</w:t>
      </w:r>
      <w:r>
        <w:rPr>
          <w:spacing w:val="1"/>
        </w:rPr>
        <w:t>i</w:t>
      </w:r>
      <w:r>
        <w:t xml:space="preserve">, două </w:t>
      </w:r>
      <w:r>
        <w:rPr>
          <w:spacing w:val="-3"/>
        </w:rPr>
        <w:t>z</w:t>
      </w:r>
      <w:r>
        <w:rPr>
          <w:spacing w:val="-2"/>
        </w:rPr>
        <w:t>i</w:t>
      </w:r>
      <w:r>
        <w:rPr>
          <w:spacing w:val="1"/>
        </w:rPr>
        <w:t>l</w:t>
      </w:r>
      <w:r>
        <w:t>e cons</w:t>
      </w:r>
      <w:r>
        <w:rPr>
          <w:spacing w:val="-3"/>
        </w:rPr>
        <w:t>e</w:t>
      </w:r>
      <w:r>
        <w:t>cu</w:t>
      </w:r>
      <w:r>
        <w:rPr>
          <w:spacing w:val="-2"/>
        </w:rPr>
        <w:t>t</w:t>
      </w:r>
      <w:r>
        <w:rPr>
          <w:spacing w:val="1"/>
        </w:rPr>
        <w:t>i</w:t>
      </w:r>
      <w:r>
        <w:rPr>
          <w:spacing w:val="-3"/>
        </w:rPr>
        <w:t>v</w:t>
      </w:r>
      <w:r>
        <w:t>), ur</w:t>
      </w:r>
      <w:r>
        <w:rPr>
          <w:spacing w:val="-4"/>
        </w:rPr>
        <w:t>m</w:t>
      </w:r>
      <w:r>
        <w:t>a</w:t>
      </w:r>
      <w:r>
        <w:rPr>
          <w:spacing w:val="1"/>
        </w:rPr>
        <w:t>t</w:t>
      </w:r>
      <w:r>
        <w:t xml:space="preserve">ă </w:t>
      </w:r>
      <w:r>
        <w:rPr>
          <w:spacing w:val="-3"/>
        </w:rPr>
        <w:t>d</w:t>
      </w:r>
      <w:r>
        <w:t>e 80</w:t>
      </w:r>
      <w:r>
        <w:rPr>
          <w:spacing w:val="-3"/>
        </w:rPr>
        <w:t> </w:t>
      </w:r>
      <w:r>
        <w:rPr>
          <w:spacing w:val="-2"/>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t>două săp</w:t>
      </w:r>
      <w:r>
        <w:rPr>
          <w:spacing w:val="1"/>
        </w:rPr>
        <w:t>t</w:t>
      </w:r>
      <w:r>
        <w:t>ă</w:t>
      </w:r>
      <w:r>
        <w:rPr>
          <w:spacing w:val="-4"/>
        </w:rPr>
        <w:t>m</w:t>
      </w:r>
      <w:r>
        <w:t>âni</w:t>
      </w:r>
      <w:r>
        <w:rPr>
          <w:spacing w:val="1"/>
        </w:rPr>
        <w:t xml:space="preserve"> </w:t>
      </w:r>
      <w:r>
        <w:rPr>
          <w:spacing w:val="-4"/>
        </w:rPr>
        <w:t>m</w:t>
      </w:r>
      <w:r>
        <w:t>ai</w:t>
      </w:r>
      <w:r>
        <w:rPr>
          <w:spacing w:val="1"/>
        </w:rPr>
        <w:t xml:space="preserve"> </w:t>
      </w:r>
      <w:r>
        <w:rPr>
          <w:spacing w:val="-2"/>
        </w:rPr>
        <w:t>t</w:t>
      </w:r>
      <w:r>
        <w:t>â</w:t>
      </w:r>
      <w:r>
        <w:rPr>
          <w:spacing w:val="-2"/>
        </w:rPr>
        <w:t>r</w:t>
      </w:r>
      <w:r>
        <w:rPr>
          <w:spacing w:val="-3"/>
        </w:rPr>
        <w:t>z</w:t>
      </w:r>
      <w:r>
        <w:rPr>
          <w:spacing w:val="1"/>
        </w:rPr>
        <w:t>i</w:t>
      </w:r>
      <w:r>
        <w:t>u şi</w:t>
      </w:r>
      <w:r>
        <w:rPr>
          <w:spacing w:val="1"/>
        </w:rPr>
        <w:t xml:space="preserve"> </w:t>
      </w:r>
      <w:r>
        <w:t>a</w:t>
      </w:r>
      <w:r>
        <w:rPr>
          <w:spacing w:val="-3"/>
        </w:rPr>
        <w:t>p</w:t>
      </w:r>
      <w:r>
        <w:t>oi</w:t>
      </w:r>
      <w:r>
        <w:rPr>
          <w:spacing w:val="1"/>
        </w:rPr>
        <w:t xml:space="preserve"> </w:t>
      </w:r>
      <w:r>
        <w:rPr>
          <w:spacing w:val="-3"/>
        </w:rPr>
        <w:t>4</w:t>
      </w:r>
      <w:r>
        <w:t>0 </w:t>
      </w:r>
      <w:r>
        <w:rPr>
          <w:spacing w:val="-4"/>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w:t>
      </w:r>
      <w:r>
        <w:rPr>
          <w:spacing w:val="1"/>
        </w:rPr>
        <w:t>i</w:t>
      </w:r>
      <w:r>
        <w:t xml:space="preserve">. </w:t>
      </w:r>
      <w:r>
        <w:rPr>
          <w:spacing w:val="-4"/>
        </w:rPr>
        <w:t>Î</w:t>
      </w:r>
      <w:r>
        <w:t>n func</w:t>
      </w:r>
      <w:r>
        <w:rPr>
          <w:spacing w:val="-2"/>
        </w:rPr>
        <w:t>ţ</w:t>
      </w:r>
      <w:r>
        <w:rPr>
          <w:spacing w:val="1"/>
        </w:rPr>
        <w:t>i</w:t>
      </w:r>
      <w:r>
        <w:t>e de r</w:t>
      </w:r>
      <w:r>
        <w:rPr>
          <w:spacing w:val="-3"/>
        </w:rPr>
        <w:t>ă</w:t>
      </w:r>
      <w:r>
        <w:t>spun</w:t>
      </w:r>
      <w:r>
        <w:rPr>
          <w:spacing w:val="-2"/>
        </w:rPr>
        <w:t>s</w:t>
      </w:r>
      <w:r>
        <w:t>ul</w:t>
      </w:r>
      <w:r>
        <w:rPr>
          <w:spacing w:val="1"/>
        </w:rPr>
        <w:t xml:space="preserve"> </w:t>
      </w:r>
      <w:r>
        <w:rPr>
          <w:spacing w:val="-3"/>
        </w:rPr>
        <w:t>d</w:t>
      </w:r>
      <w:r>
        <w:t>u</w:t>
      </w:r>
      <w:r>
        <w:rPr>
          <w:spacing w:val="-4"/>
        </w:rPr>
        <w:t>m</w:t>
      </w:r>
      <w:r>
        <w:t>nea</w:t>
      </w:r>
      <w:r>
        <w:rPr>
          <w:spacing w:val="-3"/>
        </w:rPr>
        <w:t>v</w:t>
      </w:r>
      <w:r>
        <w:t>oas</w:t>
      </w:r>
      <w:r>
        <w:rPr>
          <w:spacing w:val="1"/>
        </w:rPr>
        <w:t>t</w:t>
      </w:r>
      <w:r>
        <w:rPr>
          <w:spacing w:val="-2"/>
        </w:rPr>
        <w:t>r</w:t>
      </w:r>
      <w:r>
        <w:t xml:space="preserve">ă </w:t>
      </w:r>
      <w:r>
        <w:rPr>
          <w:spacing w:val="1"/>
        </w:rPr>
        <w:t>l</w:t>
      </w:r>
      <w:r>
        <w:t>a</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 xml:space="preserve">, </w:t>
      </w:r>
      <w:r>
        <w:rPr>
          <w:spacing w:val="-4"/>
        </w:rPr>
        <w:t>m</w:t>
      </w:r>
      <w:r>
        <w:t>ed</w:t>
      </w:r>
      <w:r>
        <w:rPr>
          <w:spacing w:val="1"/>
        </w:rPr>
        <w:t>i</w:t>
      </w:r>
      <w:r>
        <w:t>c</w:t>
      </w:r>
      <w:r>
        <w:rPr>
          <w:spacing w:val="-3"/>
        </w:rPr>
        <w:t>u</w:t>
      </w:r>
      <w:r>
        <w:t>l</w:t>
      </w:r>
      <w:r>
        <w:rPr>
          <w:spacing w:val="1"/>
        </w:rPr>
        <w:t xml:space="preserve"> </w:t>
      </w:r>
      <w:r>
        <w:t>d</w:t>
      </w:r>
      <w:r>
        <w:rPr>
          <w:spacing w:val="-3"/>
        </w:rPr>
        <w:t>u</w:t>
      </w:r>
      <w:r>
        <w:rPr>
          <w:spacing w:val="-4"/>
        </w:rPr>
        <w:t>m</w:t>
      </w:r>
      <w:r>
        <w:t>nea</w:t>
      </w:r>
      <w:r>
        <w:rPr>
          <w:spacing w:val="-3"/>
        </w:rPr>
        <w:t>v</w:t>
      </w:r>
      <w:r>
        <w:t>oas</w:t>
      </w:r>
      <w:r>
        <w:rPr>
          <w:spacing w:val="1"/>
        </w:rPr>
        <w:t>t</w:t>
      </w:r>
      <w:r>
        <w:t>ră po</w:t>
      </w:r>
      <w:r>
        <w:rPr>
          <w:spacing w:val="-3"/>
        </w:rPr>
        <w:t>a</w:t>
      </w:r>
      <w:r>
        <w:rPr>
          <w:spacing w:val="1"/>
        </w:rPr>
        <w:t>t</w:t>
      </w:r>
      <w:r>
        <w:t>e</w:t>
      </w:r>
      <w:r>
        <w:rPr>
          <w:spacing w:val="-2"/>
        </w:rPr>
        <w:t xml:space="preserve"> </w:t>
      </w:r>
      <w:r>
        <w:t>cr</w:t>
      </w:r>
      <w:r>
        <w:rPr>
          <w:spacing w:val="-3"/>
        </w:rPr>
        <w:t>e</w:t>
      </w:r>
      <w:r>
        <w:t>ş</w:t>
      </w:r>
      <w:r>
        <w:rPr>
          <w:spacing w:val="-2"/>
        </w:rPr>
        <w:t>t</w:t>
      </w:r>
      <w:r>
        <w:t xml:space="preserve">e </w:t>
      </w:r>
      <w:r>
        <w:rPr>
          <w:spacing w:val="-3"/>
        </w:rPr>
        <w:t>d</w:t>
      </w:r>
      <w:r>
        <w:t>o</w:t>
      </w:r>
      <w:r>
        <w:rPr>
          <w:spacing w:val="-2"/>
        </w:rPr>
        <w:t>za</w:t>
      </w:r>
      <w:r>
        <w:rPr>
          <w:spacing w:val="1"/>
        </w:rPr>
        <w:t xml:space="preserve"> </w:t>
      </w:r>
      <w:r>
        <w:rPr>
          <w:spacing w:val="-2"/>
        </w:rPr>
        <w:t xml:space="preserve">la </w:t>
      </w:r>
      <w:r>
        <w:t>40 </w:t>
      </w:r>
      <w:r>
        <w:rPr>
          <w:spacing w:val="-2"/>
        </w:rPr>
        <w:t>m</w:t>
      </w:r>
      <w:r>
        <w:t>g</w:t>
      </w:r>
      <w:r>
        <w:rPr>
          <w:spacing w:val="-3"/>
        </w:rPr>
        <w:t xml:space="preserve"> </w:t>
      </w:r>
      <w:r>
        <w:t>săp</w:t>
      </w:r>
      <w:r>
        <w:rPr>
          <w:spacing w:val="1"/>
        </w:rPr>
        <w:t>t</w:t>
      </w:r>
      <w:r>
        <w:t>ă</w:t>
      </w:r>
      <w:r>
        <w:rPr>
          <w:spacing w:val="-4"/>
        </w:rPr>
        <w:t>m</w:t>
      </w:r>
      <w:r>
        <w:t>âna</w:t>
      </w:r>
      <w:r>
        <w:rPr>
          <w:spacing w:val="1"/>
        </w:rPr>
        <w:t xml:space="preserve">l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69B7BFE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4A800C" w14:textId="77777777" w:rsidR="00C04CAD" w:rsidRDefault="00060E34">
      <w:pPr>
        <w:tabs>
          <w:tab w:val="clear" w:pos="567"/>
        </w:tabs>
        <w:kinsoku w:val="0"/>
        <w:overflowPunct w:val="0"/>
        <w:autoSpaceDE w:val="0"/>
        <w:autoSpaceDN w:val="0"/>
        <w:adjustRightInd w:val="0"/>
        <w:spacing w:line="240" w:lineRule="auto"/>
      </w:pPr>
      <w:r>
        <w:rPr>
          <w:spacing w:val="-1"/>
          <w:u w:val="single"/>
        </w:rPr>
        <w:t>C</w:t>
      </w:r>
      <w:r>
        <w:rPr>
          <w:u w:val="single"/>
        </w:rPr>
        <w:t>op</w:t>
      </w:r>
      <w:r>
        <w:rPr>
          <w:spacing w:val="1"/>
          <w:u w:val="single"/>
        </w:rPr>
        <w:t>i</w:t>
      </w:r>
      <w:r>
        <w:rPr>
          <w:u w:val="single"/>
        </w:rPr>
        <w:t>i și ado</w:t>
      </w:r>
      <w:r>
        <w:rPr>
          <w:spacing w:val="-2"/>
          <w:u w:val="single"/>
        </w:rPr>
        <w:t>l</w:t>
      </w:r>
      <w:r>
        <w:rPr>
          <w:u w:val="single"/>
        </w:rPr>
        <w:t>es</w:t>
      </w:r>
      <w:r>
        <w:rPr>
          <w:spacing w:val="-3"/>
          <w:u w:val="single"/>
        </w:rPr>
        <w:t>c</w:t>
      </w:r>
      <w:r>
        <w:rPr>
          <w:u w:val="single"/>
        </w:rPr>
        <w:t>en</w:t>
      </w:r>
      <w:r>
        <w:rPr>
          <w:spacing w:val="-2"/>
          <w:u w:val="single"/>
        </w:rPr>
        <w:t>ţ</w:t>
      </w:r>
      <w:r>
        <w:rPr>
          <w:u w:val="single"/>
        </w:rPr>
        <w:t>i cu b</w:t>
      </w:r>
      <w:r>
        <w:rPr>
          <w:spacing w:val="-3"/>
          <w:u w:val="single"/>
        </w:rPr>
        <w:t>o</w:t>
      </w:r>
      <w:r>
        <w:rPr>
          <w:u w:val="single"/>
        </w:rPr>
        <w:t>a</w:t>
      </w:r>
      <w:r>
        <w:rPr>
          <w:spacing w:val="1"/>
          <w:u w:val="single"/>
        </w:rPr>
        <w:t>l</w:t>
      </w:r>
      <w:r>
        <w:rPr>
          <w:u w:val="single"/>
        </w:rPr>
        <w:t xml:space="preserve">ă </w:t>
      </w:r>
      <w:r>
        <w:rPr>
          <w:spacing w:val="-4"/>
          <w:u w:val="single"/>
        </w:rPr>
        <w:t>C</w:t>
      </w:r>
      <w:r>
        <w:rPr>
          <w:u w:val="single"/>
        </w:rPr>
        <w:t>rohn</w:t>
      </w:r>
    </w:p>
    <w:p w14:paraId="4A1F38DB"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2AD50400" w14:textId="77777777" w:rsidR="00C04CAD" w:rsidRDefault="00060E34">
      <w:pPr>
        <w:tabs>
          <w:tab w:val="clear" w:pos="567"/>
        </w:tabs>
        <w:kinsoku w:val="0"/>
        <w:overflowPunct w:val="0"/>
        <w:autoSpaceDE w:val="0"/>
        <w:autoSpaceDN w:val="0"/>
        <w:adjustRightInd w:val="0"/>
        <w:spacing w:line="240" w:lineRule="auto"/>
        <w:rPr>
          <w:u w:val="single"/>
        </w:rPr>
      </w:pPr>
      <w:r>
        <w:rPr>
          <w:i/>
          <w:spacing w:val="-1"/>
        </w:rPr>
        <w:t>C</w:t>
      </w:r>
      <w:r>
        <w:rPr>
          <w:i/>
        </w:rPr>
        <w:t>op</w:t>
      </w:r>
      <w:r>
        <w:rPr>
          <w:i/>
          <w:spacing w:val="1"/>
        </w:rPr>
        <w:t>i</w:t>
      </w:r>
      <w:r>
        <w:rPr>
          <w:i/>
        </w:rPr>
        <w:t>i și ado</w:t>
      </w:r>
      <w:r>
        <w:rPr>
          <w:i/>
          <w:spacing w:val="-2"/>
        </w:rPr>
        <w:t>l</w:t>
      </w:r>
      <w:r>
        <w:rPr>
          <w:i/>
        </w:rPr>
        <w:t>es</w:t>
      </w:r>
      <w:r>
        <w:rPr>
          <w:i/>
          <w:spacing w:val="-3"/>
        </w:rPr>
        <w:t>c</w:t>
      </w:r>
      <w:r>
        <w:rPr>
          <w:i/>
        </w:rPr>
        <w:t>en</w:t>
      </w:r>
      <w:r>
        <w:rPr>
          <w:i/>
          <w:spacing w:val="-2"/>
        </w:rPr>
        <w:t>ţ</w:t>
      </w:r>
      <w:r>
        <w:rPr>
          <w:i/>
        </w:rPr>
        <w:t xml:space="preserve">i cu vârsta de 6 ani până la vârsta de 17 ani și </w:t>
      </w:r>
      <w:r>
        <w:rPr>
          <w:i/>
          <w:spacing w:val="-3"/>
        </w:rPr>
        <w:t>g</w:t>
      </w:r>
      <w:r>
        <w:rPr>
          <w:i/>
          <w:spacing w:val="-2"/>
        </w:rPr>
        <w:t>r</w:t>
      </w:r>
      <w:r>
        <w:rPr>
          <w:i/>
        </w:rPr>
        <w:t>eu</w:t>
      </w:r>
      <w:r>
        <w:rPr>
          <w:i/>
          <w:spacing w:val="1"/>
        </w:rPr>
        <w:t>t</w:t>
      </w:r>
      <w:r>
        <w:rPr>
          <w:i/>
          <w:spacing w:val="-3"/>
        </w:rPr>
        <w:t>a</w:t>
      </w:r>
      <w:r>
        <w:rPr>
          <w:i/>
          <w:spacing w:val="1"/>
        </w:rPr>
        <w:t>t</w:t>
      </w:r>
      <w:r>
        <w:rPr>
          <w:i/>
        </w:rPr>
        <w:t xml:space="preserve">ea </w:t>
      </w:r>
      <w:r>
        <w:rPr>
          <w:i/>
          <w:spacing w:val="-4"/>
        </w:rPr>
        <w:t>m</w:t>
      </w:r>
      <w:r>
        <w:rPr>
          <w:i/>
        </w:rPr>
        <w:t>ai mică de 40 </w:t>
      </w:r>
      <w:r>
        <w:rPr>
          <w:i/>
          <w:spacing w:val="-3"/>
        </w:rPr>
        <w:t>kg</w:t>
      </w:r>
    </w:p>
    <w:p w14:paraId="490730B1" w14:textId="77777777" w:rsidR="00C04CAD" w:rsidRDefault="00C04CAD">
      <w:pPr>
        <w:keepNext/>
        <w:tabs>
          <w:tab w:val="clear" w:pos="567"/>
        </w:tabs>
        <w:kinsoku w:val="0"/>
        <w:overflowPunct w:val="0"/>
        <w:autoSpaceDE w:val="0"/>
        <w:autoSpaceDN w:val="0"/>
        <w:adjustRightInd w:val="0"/>
        <w:spacing w:line="240" w:lineRule="auto"/>
        <w:rPr>
          <w:szCs w:val="22"/>
          <w:u w:val="single"/>
          <w:lang w:eastAsia="en-US" w:bidi="ar-SA"/>
        </w:rPr>
      </w:pPr>
    </w:p>
    <w:p w14:paraId="33E3D516"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 xml:space="preserve">a </w:t>
      </w:r>
      <w:r>
        <w:rPr>
          <w:spacing w:val="1"/>
        </w:rPr>
        <w:t>recomandat</w:t>
      </w:r>
      <w:r>
        <w:t>ă e</w:t>
      </w:r>
      <w:r>
        <w:rPr>
          <w:spacing w:val="-2"/>
        </w:rPr>
        <w:t>s</w:t>
      </w:r>
      <w:r>
        <w:rPr>
          <w:spacing w:val="1"/>
        </w:rPr>
        <w:t>t</w:t>
      </w:r>
      <w:r>
        <w:t xml:space="preserve">e </w:t>
      </w:r>
      <w:r>
        <w:rPr>
          <w:spacing w:val="-3"/>
        </w:rPr>
        <w:t>d</w:t>
      </w:r>
      <w:r>
        <w:t>e 40 </w:t>
      </w:r>
      <w:r>
        <w:rPr>
          <w:spacing w:val="-4"/>
        </w:rPr>
        <w:t>m</w:t>
      </w:r>
      <w:r>
        <w:t xml:space="preserve">g </w:t>
      </w:r>
      <w:r>
        <w:rPr>
          <w:spacing w:val="1"/>
        </w:rPr>
        <w:t>i</w:t>
      </w:r>
      <w:r>
        <w:t>n</w:t>
      </w:r>
      <w:r>
        <w:rPr>
          <w:spacing w:val="-2"/>
        </w:rPr>
        <w:t>i</w:t>
      </w:r>
      <w:r>
        <w:rPr>
          <w:spacing w:val="1"/>
        </w:rPr>
        <w:t>ţ</w:t>
      </w:r>
      <w:r>
        <w:rPr>
          <w:spacing w:val="-2"/>
        </w:rPr>
        <w:t>i</w:t>
      </w:r>
      <w:r>
        <w:t>a</w:t>
      </w:r>
      <w:r>
        <w:rPr>
          <w:spacing w:val="1"/>
        </w:rPr>
        <w:t>l</w:t>
      </w:r>
      <w:r>
        <w:t xml:space="preserve">, </w:t>
      </w:r>
      <w:r>
        <w:rPr>
          <w:spacing w:val="-3"/>
        </w:rPr>
        <w:t>u</w:t>
      </w:r>
      <w:r>
        <w:t>r</w:t>
      </w:r>
      <w:r>
        <w:rPr>
          <w:spacing w:val="-4"/>
        </w:rPr>
        <w:t>m</w:t>
      </w:r>
      <w:r>
        <w:t>a</w:t>
      </w:r>
      <w:r>
        <w:rPr>
          <w:spacing w:val="1"/>
        </w:rPr>
        <w:t>t</w:t>
      </w:r>
      <w:r>
        <w:t>ă de</w:t>
      </w:r>
      <w:r>
        <w:rPr>
          <w:spacing w:val="-2"/>
        </w:rPr>
        <w:t xml:space="preserve"> </w:t>
      </w:r>
      <w:r>
        <w:t>20 </w:t>
      </w:r>
      <w:r>
        <w:rPr>
          <w:spacing w:val="-4"/>
        </w:rPr>
        <w:t>m</w:t>
      </w:r>
      <w:r>
        <w:t>g</w:t>
      </w:r>
      <w:r>
        <w:rPr>
          <w:spacing w:val="-3"/>
        </w:rPr>
        <w:t xml:space="preserve"> </w:t>
      </w:r>
      <w:r>
        <w:t>d</w:t>
      </w:r>
      <w:r>
        <w:rPr>
          <w:spacing w:val="2"/>
        </w:rPr>
        <w:t>u</w:t>
      </w:r>
      <w:r>
        <w:t>pă două</w:t>
      </w:r>
      <w:r>
        <w:rPr>
          <w:spacing w:val="-2"/>
        </w:rPr>
        <w:t xml:space="preserve"> </w:t>
      </w:r>
      <w:r>
        <w:t>să</w:t>
      </w:r>
      <w:r>
        <w:rPr>
          <w:spacing w:val="-3"/>
        </w:rPr>
        <w:t>p</w:t>
      </w:r>
      <w:r>
        <w:rPr>
          <w:spacing w:val="1"/>
        </w:rPr>
        <w:t>t</w:t>
      </w:r>
      <w:r>
        <w:t>ă</w:t>
      </w:r>
      <w:r>
        <w:rPr>
          <w:spacing w:val="-4"/>
        </w:rPr>
        <w:t>m</w:t>
      </w:r>
      <w:r>
        <w:t>ân</w:t>
      </w:r>
      <w:r>
        <w:rPr>
          <w:spacing w:val="1"/>
        </w:rPr>
        <w:t>i</w:t>
      </w:r>
      <w:r>
        <w:t xml:space="preserve">. </w:t>
      </w:r>
      <w:r>
        <w:rPr>
          <w:spacing w:val="-1"/>
        </w:rPr>
        <w:t>D</w:t>
      </w:r>
      <w:r>
        <w:t>a</w:t>
      </w:r>
      <w:r>
        <w:rPr>
          <w:spacing w:val="-3"/>
        </w:rPr>
        <w:t>c</w:t>
      </w:r>
      <w:r>
        <w:t>ă e</w:t>
      </w:r>
      <w:r>
        <w:rPr>
          <w:spacing w:val="-2"/>
        </w:rPr>
        <w:t>s</w:t>
      </w:r>
      <w:r>
        <w:rPr>
          <w:spacing w:val="1"/>
        </w:rPr>
        <w:t>t</w:t>
      </w:r>
      <w:r>
        <w:t>e n</w:t>
      </w:r>
      <w:r>
        <w:rPr>
          <w:spacing w:val="-3"/>
        </w:rPr>
        <w:t>e</w:t>
      </w:r>
      <w:r>
        <w:t>ce</w:t>
      </w:r>
      <w:r>
        <w:rPr>
          <w:spacing w:val="-2"/>
        </w:rPr>
        <w:t>s</w:t>
      </w:r>
      <w:r>
        <w:t>ar</w:t>
      </w:r>
      <w:r>
        <w:rPr>
          <w:spacing w:val="1"/>
        </w:rPr>
        <w:t xml:space="preserve"> </w:t>
      </w:r>
      <w:r>
        <w:rPr>
          <w:spacing w:val="-3"/>
        </w:rPr>
        <w:t>u</w:t>
      </w:r>
      <w:r>
        <w:t>n răsp</w:t>
      </w:r>
      <w:r>
        <w:rPr>
          <w:spacing w:val="-3"/>
        </w:rPr>
        <w:t>u</w:t>
      </w:r>
      <w:r>
        <w:t xml:space="preserve">ns </w:t>
      </w:r>
      <w:r>
        <w:rPr>
          <w:spacing w:val="-4"/>
        </w:rPr>
        <w:t>m</w:t>
      </w:r>
      <w:r>
        <w:t>ai</w:t>
      </w:r>
      <w:r>
        <w:rPr>
          <w:spacing w:val="1"/>
        </w:rPr>
        <w:t xml:space="preserve"> </w:t>
      </w:r>
      <w:r>
        <w:t>r</w:t>
      </w:r>
      <w:r>
        <w:rPr>
          <w:spacing w:val="-3"/>
        </w:rPr>
        <w:t>a</w:t>
      </w:r>
      <w:r>
        <w:t>p</w:t>
      </w:r>
      <w:r>
        <w:rPr>
          <w:spacing w:val="1"/>
        </w:rPr>
        <w:t>i</w:t>
      </w:r>
      <w:r>
        <w:t xml:space="preserve">d, </w:t>
      </w:r>
      <w:r>
        <w:rPr>
          <w:spacing w:val="-4"/>
        </w:rPr>
        <w:t>m</w:t>
      </w:r>
      <w:r>
        <w:t>ed</w:t>
      </w:r>
      <w:r>
        <w:rPr>
          <w:spacing w:val="1"/>
        </w:rPr>
        <w:t>i</w:t>
      </w:r>
      <w:r>
        <w:rPr>
          <w:spacing w:val="-3"/>
        </w:rPr>
        <w:t>c</w:t>
      </w:r>
      <w:r>
        <w:t>ul</w:t>
      </w:r>
      <w:r>
        <w:rPr>
          <w:spacing w:val="-2"/>
        </w:rPr>
        <w:t xml:space="preserve"> </w:t>
      </w:r>
      <w:r>
        <w:t>cop</w:t>
      </w:r>
      <w:r>
        <w:rPr>
          <w:spacing w:val="-2"/>
        </w:rPr>
        <w:t>i</w:t>
      </w:r>
      <w:r>
        <w:rPr>
          <w:spacing w:val="1"/>
        </w:rPr>
        <w:t>l</w:t>
      </w:r>
      <w:r>
        <w:t>u</w:t>
      </w:r>
      <w:r>
        <w:rPr>
          <w:spacing w:val="-2"/>
        </w:rPr>
        <w:t>l</w:t>
      </w:r>
      <w:r>
        <w:t>ui</w:t>
      </w:r>
      <w:r>
        <w:rPr>
          <w:spacing w:val="1"/>
        </w:rPr>
        <w:t xml:space="preserve"> </w:t>
      </w:r>
      <w:r>
        <w:t>du</w:t>
      </w:r>
      <w:r>
        <w:rPr>
          <w:spacing w:val="-4"/>
        </w:rPr>
        <w:t>m</w:t>
      </w:r>
      <w:r>
        <w:t>nea</w:t>
      </w:r>
      <w:r>
        <w:rPr>
          <w:spacing w:val="-3"/>
        </w:rPr>
        <w:t>v</w:t>
      </w:r>
      <w:r>
        <w:t>oas</w:t>
      </w:r>
      <w:r>
        <w:rPr>
          <w:spacing w:val="-2"/>
        </w:rPr>
        <w:t>t</w:t>
      </w:r>
      <w:r>
        <w:t xml:space="preserve">ră </w:t>
      </w:r>
      <w:r>
        <w:rPr>
          <w:spacing w:val="-3"/>
        </w:rPr>
        <w:t>v</w:t>
      </w:r>
      <w:r>
        <w:t>ă</w:t>
      </w:r>
      <w:r>
        <w:rPr>
          <w:spacing w:val="-2"/>
        </w:rPr>
        <w:t xml:space="preserve"> poate </w:t>
      </w:r>
      <w:r>
        <w:t>pre</w:t>
      </w:r>
      <w:r>
        <w:rPr>
          <w:spacing w:val="-2"/>
        </w:rPr>
        <w:t>s</w:t>
      </w:r>
      <w:r>
        <w:t>c</w:t>
      </w:r>
      <w:r>
        <w:rPr>
          <w:spacing w:val="-2"/>
        </w:rPr>
        <w:t>r</w:t>
      </w:r>
      <w:r>
        <w:rPr>
          <w:spacing w:val="1"/>
        </w:rPr>
        <w:t>i</w:t>
      </w:r>
      <w:r>
        <w:t xml:space="preserve">e o </w:t>
      </w:r>
      <w:r>
        <w:rPr>
          <w:spacing w:val="-3"/>
        </w:rPr>
        <w:t>d</w:t>
      </w:r>
      <w:r>
        <w:t>o</w:t>
      </w:r>
      <w:r>
        <w:rPr>
          <w:spacing w:val="-3"/>
        </w:rPr>
        <w:t>z</w:t>
      </w:r>
      <w:r>
        <w:t xml:space="preserve">ă </w:t>
      </w:r>
      <w:r>
        <w:rPr>
          <w:spacing w:val="1"/>
        </w:rPr>
        <w:t>i</w:t>
      </w:r>
      <w:r>
        <w:rPr>
          <w:spacing w:val="-3"/>
        </w:rPr>
        <w:t>n</w:t>
      </w:r>
      <w:r>
        <w:rPr>
          <w:spacing w:val="1"/>
        </w:rPr>
        <w:t>i</w:t>
      </w:r>
      <w:r>
        <w:rPr>
          <w:spacing w:val="-2"/>
        </w:rPr>
        <w:t>ţ</w:t>
      </w:r>
      <w:r>
        <w:rPr>
          <w:spacing w:val="1"/>
        </w:rPr>
        <w:t>i</w:t>
      </w:r>
      <w:r>
        <w:t>a</w:t>
      </w:r>
      <w:r>
        <w:rPr>
          <w:spacing w:val="-2"/>
        </w:rPr>
        <w:t>l</w:t>
      </w:r>
      <w:r>
        <w:t>ă de</w:t>
      </w:r>
      <w:r>
        <w:rPr>
          <w:spacing w:val="-2"/>
        </w:rPr>
        <w:t xml:space="preserve"> </w:t>
      </w:r>
      <w:r>
        <w:t>80 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rPr>
          <w:spacing w:val="-3"/>
        </w:rPr>
        <w:t>e</w:t>
      </w:r>
      <w:r>
        <w:t>c</w:t>
      </w:r>
      <w:r>
        <w:rPr>
          <w:spacing w:val="-2"/>
        </w:rPr>
        <w:t>ţ</w:t>
      </w:r>
      <w:r>
        <w:rPr>
          <w:spacing w:val="1"/>
        </w:rPr>
        <w:t>i</w:t>
      </w:r>
      <w:r>
        <w:t>i</w:t>
      </w:r>
      <w:r>
        <w:rPr>
          <w:spacing w:val="-2"/>
          <w:szCs w:val="22"/>
          <w:lang w:eastAsia="en-US" w:bidi="ar-SA"/>
        </w:rPr>
        <w:t xml:space="preserve"> a câte 40 mg</w:t>
      </w:r>
      <w:r>
        <w:rPr>
          <w:spacing w:val="-2"/>
        </w:rPr>
        <w:t xml:space="preserve"> </w:t>
      </w:r>
      <w:r>
        <w:rPr>
          <w:spacing w:val="1"/>
        </w:rPr>
        <w:t>î</w:t>
      </w:r>
      <w:r>
        <w:rPr>
          <w:spacing w:val="-3"/>
        </w:rPr>
        <w:t>n</w:t>
      </w:r>
      <w:r>
        <w:rPr>
          <w:spacing w:val="1"/>
        </w:rPr>
        <w:t>t</w:t>
      </w:r>
      <w:r>
        <w:t>r</w:t>
      </w:r>
      <w:r>
        <w:rPr>
          <w:spacing w:val="-4"/>
        </w:rPr>
        <w:t>-</w:t>
      </w:r>
      <w:r>
        <w:t xml:space="preserve">o </w:t>
      </w:r>
      <w:r>
        <w:rPr>
          <w:spacing w:val="-3"/>
        </w:rPr>
        <w:t>z</w:t>
      </w:r>
      <w:r>
        <w:rPr>
          <w:spacing w:val="1"/>
        </w:rPr>
        <w:t>i</w:t>
      </w:r>
      <w:r>
        <w:t>)</w:t>
      </w:r>
      <w:r>
        <w:rPr>
          <w:spacing w:val="1"/>
        </w:rPr>
        <w:t xml:space="preserve"> </w:t>
      </w:r>
      <w:r>
        <w:t>ur</w:t>
      </w:r>
      <w:r>
        <w:rPr>
          <w:spacing w:val="-4"/>
        </w:rPr>
        <w:t>m</w:t>
      </w:r>
      <w:r>
        <w:t>a</w:t>
      </w:r>
      <w:r>
        <w:rPr>
          <w:spacing w:val="1"/>
        </w:rPr>
        <w:t>t</w:t>
      </w:r>
      <w:r>
        <w:t>ă de 40 </w:t>
      </w:r>
      <w:r>
        <w:rPr>
          <w:spacing w:val="-4"/>
        </w:rPr>
        <w:t>m</w:t>
      </w:r>
      <w:r>
        <w:t>g</w:t>
      </w:r>
      <w:r>
        <w:rPr>
          <w:spacing w:val="-3"/>
        </w:rPr>
        <w:t xml:space="preserve"> </w:t>
      </w:r>
      <w:r>
        <w:t xml:space="preserve">după două </w:t>
      </w:r>
      <w:r>
        <w:rPr>
          <w:spacing w:val="-2"/>
        </w:rPr>
        <w:t>s</w:t>
      </w:r>
      <w:r>
        <w:t>ăp</w:t>
      </w:r>
      <w:r>
        <w:rPr>
          <w:spacing w:val="-2"/>
        </w:rPr>
        <w:t>t</w:t>
      </w:r>
      <w:r>
        <w:rPr>
          <w:spacing w:val="-3"/>
        </w:rPr>
        <w:t>ă</w:t>
      </w:r>
      <w:r>
        <w:rPr>
          <w:spacing w:val="-4"/>
        </w:rPr>
        <w:t>m</w:t>
      </w:r>
      <w:r>
        <w:t>ân</w:t>
      </w:r>
      <w:r>
        <w:rPr>
          <w:spacing w:val="1"/>
        </w:rPr>
        <w:t>i</w:t>
      </w:r>
      <w:r>
        <w:t>.</w:t>
      </w:r>
    </w:p>
    <w:p w14:paraId="46727E3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160D9ED" w14:textId="77777777" w:rsidR="00C04CAD" w:rsidRDefault="00060E34">
      <w:pPr>
        <w:tabs>
          <w:tab w:val="clear" w:pos="567"/>
        </w:tabs>
        <w:kinsoku w:val="0"/>
        <w:overflowPunct w:val="0"/>
        <w:autoSpaceDE w:val="0"/>
        <w:autoSpaceDN w:val="0"/>
        <w:adjustRightInd w:val="0"/>
        <w:spacing w:line="240" w:lineRule="auto"/>
      </w:pPr>
      <w:r>
        <w:rPr>
          <w:spacing w:val="-1"/>
        </w:rPr>
        <w:t>U</w:t>
      </w:r>
      <w:r>
        <w:rPr>
          <w:spacing w:val="1"/>
        </w:rPr>
        <w:t>lt</w:t>
      </w:r>
      <w:r>
        <w:rPr>
          <w:spacing w:val="-3"/>
        </w:rPr>
        <w:t>e</w:t>
      </w:r>
      <w:r>
        <w:t>r</w:t>
      </w:r>
      <w:r>
        <w:rPr>
          <w:spacing w:val="1"/>
        </w:rPr>
        <w:t>i</w:t>
      </w:r>
      <w:r>
        <w:rPr>
          <w:spacing w:val="-3"/>
        </w:rPr>
        <w:t>o</w:t>
      </w:r>
      <w:r>
        <w:t>r, do</w:t>
      </w:r>
      <w:r>
        <w:rPr>
          <w:spacing w:val="-3"/>
        </w:rPr>
        <w:t>z</w:t>
      </w:r>
      <w:r>
        <w:t xml:space="preserve">a </w:t>
      </w:r>
      <w:r>
        <w:rPr>
          <w:spacing w:val="-2"/>
        </w:rPr>
        <w:t>recomandat</w:t>
      </w:r>
      <w:r>
        <w:t xml:space="preserve">ă </w:t>
      </w:r>
      <w:r>
        <w:rPr>
          <w:spacing w:val="-3"/>
        </w:rPr>
        <w:t>e</w:t>
      </w:r>
      <w:r>
        <w:t>s</w:t>
      </w:r>
      <w:r>
        <w:rPr>
          <w:spacing w:val="1"/>
        </w:rPr>
        <w:t>t</w:t>
      </w:r>
      <w:r>
        <w:t>e</w:t>
      </w:r>
      <w:r>
        <w:rPr>
          <w:spacing w:val="-2"/>
        </w:rPr>
        <w:t xml:space="preserve"> </w:t>
      </w:r>
      <w:r>
        <w:rPr>
          <w:spacing w:val="-3"/>
        </w:rPr>
        <w:t>d</w:t>
      </w:r>
      <w:r>
        <w:t>e 20 </w:t>
      </w:r>
      <w:r>
        <w:rPr>
          <w:spacing w:val="-4"/>
        </w:rPr>
        <w:t>m</w:t>
      </w:r>
      <w:r>
        <w:t>g</w:t>
      </w:r>
      <w:r>
        <w:rPr>
          <w:spacing w:val="-3"/>
        </w:rPr>
        <w:t xml:space="preserve"> </w:t>
      </w:r>
      <w:r>
        <w:rPr>
          <w:spacing w:val="1"/>
        </w:rPr>
        <w:t>l</w:t>
      </w:r>
      <w:r>
        <w:t>a două să</w:t>
      </w:r>
      <w:r>
        <w:rPr>
          <w:spacing w:val="-3"/>
        </w:rPr>
        <w:t>p</w:t>
      </w:r>
      <w:r>
        <w:rPr>
          <w:spacing w:val="1"/>
        </w:rPr>
        <w:t>t</w:t>
      </w:r>
      <w:r>
        <w:t>ă</w:t>
      </w:r>
      <w:r>
        <w:rPr>
          <w:spacing w:val="-4"/>
        </w:rPr>
        <w:t>m</w:t>
      </w:r>
      <w:r>
        <w:t>ân</w:t>
      </w:r>
      <w:r>
        <w:rPr>
          <w:spacing w:val="1"/>
        </w:rPr>
        <w:t>i</w:t>
      </w:r>
      <w:r>
        <w:t>.</w:t>
      </w:r>
      <w:r>
        <w:rPr>
          <w:spacing w:val="-3"/>
        </w:rPr>
        <w:t xml:space="preserve"> </w:t>
      </w:r>
      <w:r>
        <w:rPr>
          <w:spacing w:val="-4"/>
        </w:rPr>
        <w:t>Î</w:t>
      </w:r>
      <w:r>
        <w:t>n func</w:t>
      </w:r>
      <w:r>
        <w:rPr>
          <w:spacing w:val="1"/>
        </w:rPr>
        <w:t>ţi</w:t>
      </w:r>
      <w:r>
        <w:t>e</w:t>
      </w:r>
      <w:r>
        <w:rPr>
          <w:spacing w:val="-2"/>
        </w:rPr>
        <w:t xml:space="preserve"> </w:t>
      </w:r>
      <w:r>
        <w:t xml:space="preserve">de </w:t>
      </w:r>
      <w:r>
        <w:rPr>
          <w:spacing w:val="-2"/>
        </w:rPr>
        <w:t>r</w:t>
      </w:r>
      <w:r>
        <w:t>ăsp</w:t>
      </w:r>
      <w:r>
        <w:rPr>
          <w:spacing w:val="-3"/>
        </w:rPr>
        <w:t>u</w:t>
      </w:r>
      <w:r>
        <w:t>ns</w:t>
      </w:r>
      <w:r>
        <w:rPr>
          <w:spacing w:val="-3"/>
        </w:rPr>
        <w:t>u</w:t>
      </w:r>
      <w:r>
        <w:t>l</w:t>
      </w:r>
      <w:r>
        <w:rPr>
          <w:spacing w:val="1"/>
        </w:rPr>
        <w:t xml:space="preserve"> </w:t>
      </w:r>
      <w:r>
        <w:t>co</w:t>
      </w:r>
      <w:r>
        <w:rPr>
          <w:spacing w:val="-3"/>
        </w:rPr>
        <w:t>p</w:t>
      </w:r>
      <w:r>
        <w:rPr>
          <w:spacing w:val="1"/>
        </w:rPr>
        <w:t>il</w:t>
      </w:r>
      <w:r>
        <w:rPr>
          <w:spacing w:val="-3"/>
        </w:rPr>
        <w:t>u</w:t>
      </w:r>
      <w:r>
        <w:rPr>
          <w:spacing w:val="1"/>
        </w:rPr>
        <w:t>l</w:t>
      </w:r>
      <w:r>
        <w:t>ui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w:t>
      </w:r>
      <w:r>
        <w:rPr>
          <w:spacing w:val="-1"/>
        </w:rPr>
        <w:t>d</w:t>
      </w:r>
      <w:r>
        <w:rPr>
          <w:spacing w:val="1"/>
        </w:rPr>
        <w:t>i</w:t>
      </w:r>
      <w:r>
        <w:t>cul</w:t>
      </w:r>
      <w:r>
        <w:rPr>
          <w:spacing w:val="1"/>
        </w:rPr>
        <w:t xml:space="preserve"> </w:t>
      </w:r>
      <w:r>
        <w:t>c</w:t>
      </w:r>
      <w:r>
        <w:rPr>
          <w:spacing w:val="-3"/>
        </w:rPr>
        <w:t>o</w:t>
      </w:r>
      <w:r>
        <w:t>p</w:t>
      </w:r>
      <w:r>
        <w:rPr>
          <w:spacing w:val="-2"/>
        </w:rPr>
        <w:t>i</w:t>
      </w:r>
      <w:r>
        <w:rPr>
          <w:spacing w:val="1"/>
        </w:rPr>
        <w:t>l</w:t>
      </w:r>
      <w:r>
        <w:t>u</w:t>
      </w:r>
      <w:r>
        <w:rPr>
          <w:spacing w:val="1"/>
        </w:rPr>
        <w:t>l</w:t>
      </w:r>
      <w:r>
        <w:rPr>
          <w:spacing w:val="-3"/>
        </w:rPr>
        <w:t>u</w:t>
      </w:r>
      <w:r>
        <w:t>i</w:t>
      </w:r>
      <w:r>
        <w:rPr>
          <w:spacing w:val="1"/>
        </w:rPr>
        <w:t xml:space="preserve"> </w:t>
      </w:r>
      <w:r>
        <w:t>du</w:t>
      </w:r>
      <w:r>
        <w:rPr>
          <w:spacing w:val="-4"/>
        </w:rPr>
        <w:t>m</w:t>
      </w:r>
      <w:r>
        <w:t>ne</w:t>
      </w:r>
      <w:r>
        <w:rPr>
          <w:spacing w:val="-3"/>
        </w:rPr>
        <w:t>av</w:t>
      </w:r>
      <w:r>
        <w:t>oas</w:t>
      </w:r>
      <w:r>
        <w:rPr>
          <w:spacing w:val="1"/>
        </w:rPr>
        <w:t>t</w:t>
      </w:r>
      <w:r>
        <w:t>ră</w:t>
      </w:r>
      <w:r>
        <w:rPr>
          <w:spacing w:val="-2"/>
        </w:rPr>
        <w:t xml:space="preserve"> </w:t>
      </w:r>
      <w:r>
        <w:t>po</w:t>
      </w:r>
      <w:r>
        <w:rPr>
          <w:spacing w:val="-3"/>
        </w:rPr>
        <w:t>a</w:t>
      </w:r>
      <w:r>
        <w:rPr>
          <w:spacing w:val="1"/>
        </w:rPr>
        <w:t>t</w:t>
      </w:r>
      <w:r>
        <w:t xml:space="preserve">e </w:t>
      </w:r>
      <w:r>
        <w:rPr>
          <w:spacing w:val="-3"/>
        </w:rPr>
        <w:t>c</w:t>
      </w:r>
      <w:r>
        <w:t>re</w:t>
      </w:r>
      <w:r>
        <w:rPr>
          <w:spacing w:val="-2"/>
        </w:rPr>
        <w:t>ş</w:t>
      </w:r>
      <w:r>
        <w:rPr>
          <w:spacing w:val="1"/>
        </w:rPr>
        <w:t>t</w:t>
      </w:r>
      <w:r>
        <w:t>e</w:t>
      </w:r>
      <w:r>
        <w:rPr>
          <w:spacing w:val="-2"/>
        </w:rPr>
        <w:t xml:space="preserve"> </w:t>
      </w:r>
      <w:r>
        <w:t>f</w:t>
      </w:r>
      <w:r>
        <w:rPr>
          <w:spacing w:val="-2"/>
        </w:rPr>
        <w:t>r</w:t>
      </w:r>
      <w:r>
        <w:t>ec</w:t>
      </w:r>
      <w:r>
        <w:rPr>
          <w:spacing w:val="-3"/>
        </w:rPr>
        <w:t>v</w:t>
      </w:r>
      <w:r>
        <w:t>en</w:t>
      </w:r>
      <w:r>
        <w:rPr>
          <w:spacing w:val="1"/>
        </w:rPr>
        <w:t>ţ</w:t>
      </w:r>
      <w:r>
        <w:t>a do</w:t>
      </w:r>
      <w:r>
        <w:rPr>
          <w:spacing w:val="-3"/>
        </w:rPr>
        <w:t>z</w:t>
      </w:r>
      <w:r>
        <w:t>ei</w:t>
      </w:r>
      <w:r>
        <w:rPr>
          <w:spacing w:val="-2"/>
        </w:rPr>
        <w:t xml:space="preserve"> </w:t>
      </w:r>
      <w:r>
        <w:rPr>
          <w:spacing w:val="1"/>
        </w:rPr>
        <w:t>l</w:t>
      </w:r>
      <w:r>
        <w:t>a</w:t>
      </w:r>
      <w:r>
        <w:rPr>
          <w:spacing w:val="-2"/>
        </w:rPr>
        <w:t xml:space="preserve"> </w:t>
      </w:r>
      <w:r>
        <w:t>20 </w:t>
      </w:r>
      <w:r>
        <w:rPr>
          <w:spacing w:val="-4"/>
        </w:rPr>
        <w:t>m</w:t>
      </w:r>
      <w:r>
        <w:t>g</w:t>
      </w:r>
      <w:r>
        <w:rPr>
          <w:spacing w:val="-3"/>
        </w:rPr>
        <w:t xml:space="preserve"> </w:t>
      </w:r>
      <w:r>
        <w:rPr>
          <w:spacing w:val="1"/>
        </w:rPr>
        <w:t>î</w:t>
      </w:r>
      <w:r>
        <w:t>n f</w:t>
      </w:r>
      <w:r>
        <w:rPr>
          <w:spacing w:val="1"/>
        </w:rPr>
        <w:t>i</w:t>
      </w:r>
      <w:r>
        <w:rPr>
          <w:spacing w:val="-3"/>
        </w:rPr>
        <w:t>e</w:t>
      </w:r>
      <w:r>
        <w:t>ca</w:t>
      </w:r>
      <w:r>
        <w:rPr>
          <w:spacing w:val="-2"/>
        </w:rPr>
        <w:t>r</w:t>
      </w:r>
      <w:r>
        <w:t>e s</w:t>
      </w:r>
      <w:r>
        <w:rPr>
          <w:spacing w:val="-3"/>
        </w:rPr>
        <w:t>ă</w:t>
      </w:r>
      <w:r>
        <w:t>p</w:t>
      </w:r>
      <w:r>
        <w:rPr>
          <w:spacing w:val="1"/>
        </w:rPr>
        <w:t>t</w:t>
      </w:r>
      <w:r>
        <w:t>ă</w:t>
      </w:r>
      <w:r>
        <w:rPr>
          <w:spacing w:val="-4"/>
        </w:rPr>
        <w:t>m</w:t>
      </w:r>
      <w:r>
        <w:t>ână.</w:t>
      </w:r>
    </w:p>
    <w:p w14:paraId="6B9519A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2073E7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Penul preumplut de 40 mg nu poate fi utilizat pentru doza de 20 mg. Pentru doza de 20 mg este disponibilă AMGEVITA 20 mg </w:t>
      </w:r>
      <w:r>
        <w:rPr>
          <w:i/>
          <w:szCs w:val="22"/>
          <w:lang w:eastAsia="en-US" w:bidi="ar-SA"/>
        </w:rPr>
        <w:t xml:space="preserve">seringă </w:t>
      </w:r>
      <w:r>
        <w:rPr>
          <w:szCs w:val="22"/>
          <w:lang w:eastAsia="en-US" w:bidi="ar-SA"/>
        </w:rPr>
        <w:t>preumplută.</w:t>
      </w:r>
    </w:p>
    <w:p w14:paraId="7AF3563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44005D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i/>
        </w:rPr>
        <w:t>Copii și adolescenţi cu vârsta de 6 ani până la vârsta de 17 ani și greutatea de 40 kg sau mai mult</w:t>
      </w:r>
    </w:p>
    <w:p w14:paraId="072C5B2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BB299ED" w14:textId="77777777" w:rsidR="00C04CAD" w:rsidRDefault="00060E34">
      <w:pPr>
        <w:tabs>
          <w:tab w:val="clear" w:pos="567"/>
        </w:tabs>
        <w:kinsoku w:val="0"/>
        <w:overflowPunct w:val="0"/>
        <w:autoSpaceDE w:val="0"/>
        <w:autoSpaceDN w:val="0"/>
        <w:adjustRightInd w:val="0"/>
        <w:spacing w:line="240" w:lineRule="auto"/>
      </w:pPr>
      <w:r>
        <w:rPr>
          <w:spacing w:val="-1"/>
        </w:rPr>
        <w:t>D</w:t>
      </w:r>
      <w:r>
        <w:t>o</w:t>
      </w:r>
      <w:r>
        <w:rPr>
          <w:spacing w:val="-3"/>
        </w:rPr>
        <w:t>z</w:t>
      </w:r>
      <w:r>
        <w:t xml:space="preserve">a </w:t>
      </w:r>
      <w:r>
        <w:rPr>
          <w:spacing w:val="-2"/>
        </w:rPr>
        <w:t>recomandat</w:t>
      </w:r>
      <w:r>
        <w:t>ă e</w:t>
      </w:r>
      <w:r>
        <w:rPr>
          <w:spacing w:val="-2"/>
        </w:rPr>
        <w:t>s</w:t>
      </w:r>
      <w:r>
        <w:rPr>
          <w:spacing w:val="1"/>
        </w:rPr>
        <w:t>t</w:t>
      </w:r>
      <w:r>
        <w:t xml:space="preserve">e </w:t>
      </w:r>
      <w:r>
        <w:rPr>
          <w:spacing w:val="-3"/>
        </w:rPr>
        <w:t>d</w:t>
      </w:r>
      <w:r>
        <w:t>e 80 </w:t>
      </w:r>
      <w:r>
        <w:rPr>
          <w:spacing w:val="-4"/>
        </w:rPr>
        <w:t>m</w:t>
      </w:r>
      <w:r>
        <w:t>g (</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pacing w:val="1"/>
        </w:rPr>
        <w:t>i</w:t>
      </w:r>
      <w:r>
        <w:t>n</w:t>
      </w:r>
      <w:r>
        <w:rPr>
          <w:spacing w:val="-2"/>
        </w:rPr>
        <w:t>i</w:t>
      </w:r>
      <w:r>
        <w:rPr>
          <w:spacing w:val="1"/>
        </w:rPr>
        <w:t>ţ</w:t>
      </w:r>
      <w:r>
        <w:rPr>
          <w:spacing w:val="-2"/>
        </w:rPr>
        <w:t>i</w:t>
      </w:r>
      <w:r>
        <w:t>al</w:t>
      </w:r>
      <w:r>
        <w:rPr>
          <w:spacing w:val="1"/>
        </w:rPr>
        <w:t xml:space="preserve"> </w:t>
      </w:r>
      <w:r>
        <w:rPr>
          <w:spacing w:val="-3"/>
        </w:rPr>
        <w:t>u</w:t>
      </w:r>
      <w:r>
        <w:t>r</w:t>
      </w:r>
      <w:r>
        <w:rPr>
          <w:spacing w:val="-4"/>
        </w:rPr>
        <w:t>m</w:t>
      </w:r>
      <w:r>
        <w:t>a</w:t>
      </w:r>
      <w:r>
        <w:rPr>
          <w:spacing w:val="1"/>
        </w:rPr>
        <w:t>t</w:t>
      </w:r>
      <w:r>
        <w:t xml:space="preserve">ă de </w:t>
      </w:r>
      <w:r>
        <w:rPr>
          <w:spacing w:val="-3"/>
        </w:rPr>
        <w:t>4</w:t>
      </w:r>
      <w:r>
        <w:t>0 </w:t>
      </w:r>
      <w:r>
        <w:rPr>
          <w:spacing w:val="-4"/>
        </w:rPr>
        <w:t>m</w:t>
      </w:r>
      <w:r>
        <w:t>g</w:t>
      </w:r>
      <w:r>
        <w:rPr>
          <w:spacing w:val="-3"/>
        </w:rPr>
        <w:t xml:space="preserve"> </w:t>
      </w:r>
      <w:r>
        <w:t>do</w:t>
      </w:r>
      <w:r>
        <w:rPr>
          <w:spacing w:val="2"/>
        </w:rPr>
        <w:t>u</w:t>
      </w:r>
      <w:r>
        <w:t>ă să</w:t>
      </w:r>
      <w:r>
        <w:rPr>
          <w:spacing w:val="-3"/>
        </w:rPr>
        <w:t>p</w:t>
      </w:r>
      <w:r>
        <w:rPr>
          <w:spacing w:val="1"/>
        </w:rPr>
        <w:t>t</w:t>
      </w:r>
      <w:r>
        <w:t>ă</w:t>
      </w:r>
      <w:r>
        <w:rPr>
          <w:spacing w:val="-4"/>
        </w:rPr>
        <w:t>m</w:t>
      </w:r>
      <w:r>
        <w:t>âni</w:t>
      </w:r>
      <w:r>
        <w:rPr>
          <w:spacing w:val="1"/>
        </w:rPr>
        <w:t xml:space="preserve"> </w:t>
      </w:r>
      <w:r>
        <w:rPr>
          <w:spacing w:val="-4"/>
        </w:rPr>
        <w:t>m</w:t>
      </w:r>
      <w:r>
        <w:t>ai</w:t>
      </w:r>
      <w:r>
        <w:rPr>
          <w:spacing w:val="1"/>
        </w:rPr>
        <w:t xml:space="preserve"> t</w:t>
      </w:r>
      <w:r>
        <w:rPr>
          <w:spacing w:val="-3"/>
        </w:rPr>
        <w:t>â</w:t>
      </w:r>
      <w:r>
        <w:t>r</w:t>
      </w:r>
      <w:r>
        <w:rPr>
          <w:spacing w:val="-3"/>
        </w:rPr>
        <w:t>z</w:t>
      </w:r>
      <w:r>
        <w:rPr>
          <w:spacing w:val="1"/>
        </w:rPr>
        <w:t>i</w:t>
      </w:r>
      <w:r>
        <w:t xml:space="preserve">u. </w:t>
      </w:r>
      <w:r>
        <w:rPr>
          <w:spacing w:val="-4"/>
        </w:rPr>
        <w:t>Î</w:t>
      </w:r>
      <w:r>
        <w:t>n ca</w:t>
      </w:r>
      <w:r>
        <w:rPr>
          <w:spacing w:val="-3"/>
        </w:rPr>
        <w:t>z</w:t>
      </w:r>
      <w:r>
        <w:t>ul</w:t>
      </w:r>
      <w:r>
        <w:rPr>
          <w:spacing w:val="1"/>
        </w:rPr>
        <w:t xml:space="preserve"> î</w:t>
      </w:r>
      <w:r>
        <w:t xml:space="preserve">n </w:t>
      </w:r>
      <w:r>
        <w:rPr>
          <w:spacing w:val="-3"/>
        </w:rPr>
        <w:t>c</w:t>
      </w:r>
      <w:r>
        <w:t>a</w:t>
      </w:r>
      <w:r>
        <w:rPr>
          <w:spacing w:val="-2"/>
        </w:rPr>
        <w:t>r</w:t>
      </w:r>
      <w:r>
        <w:t>e e</w:t>
      </w:r>
      <w:r>
        <w:rPr>
          <w:spacing w:val="-2"/>
        </w:rPr>
        <w:t>s</w:t>
      </w:r>
      <w:r>
        <w:rPr>
          <w:spacing w:val="1"/>
        </w:rPr>
        <w:t>t</w:t>
      </w:r>
      <w:r>
        <w:t>e nece</w:t>
      </w:r>
      <w:r>
        <w:rPr>
          <w:spacing w:val="-2"/>
        </w:rPr>
        <w:t>s</w:t>
      </w:r>
      <w:r>
        <w:t>ar</w:t>
      </w:r>
      <w:r>
        <w:rPr>
          <w:spacing w:val="1"/>
        </w:rPr>
        <w:t xml:space="preserve"> </w:t>
      </w:r>
      <w:r>
        <w:rPr>
          <w:spacing w:val="-3"/>
        </w:rPr>
        <w:t>u</w:t>
      </w:r>
      <w:r>
        <w:t>n r</w:t>
      </w:r>
      <w:r>
        <w:rPr>
          <w:spacing w:val="-3"/>
        </w:rPr>
        <w:t>ă</w:t>
      </w:r>
      <w:r>
        <w:t>spu</w:t>
      </w:r>
      <w:r>
        <w:rPr>
          <w:spacing w:val="-3"/>
        </w:rPr>
        <w:t>n</w:t>
      </w:r>
      <w:r>
        <w:t xml:space="preserve">s </w:t>
      </w:r>
      <w:r>
        <w:rPr>
          <w:spacing w:val="-4"/>
        </w:rPr>
        <w:t>m</w:t>
      </w:r>
      <w:r>
        <w:t>ai</w:t>
      </w:r>
      <w:r>
        <w:rPr>
          <w:spacing w:val="1"/>
        </w:rPr>
        <w:t xml:space="preserve"> </w:t>
      </w:r>
      <w:r>
        <w:t>ra</w:t>
      </w:r>
      <w:r>
        <w:rPr>
          <w:spacing w:val="-3"/>
        </w:rPr>
        <w:t>p</w:t>
      </w:r>
      <w:r>
        <w:rPr>
          <w:spacing w:val="-2"/>
        </w:rPr>
        <w:t>i</w:t>
      </w:r>
      <w:r>
        <w:t xml:space="preserve">d, </w:t>
      </w:r>
      <w:r>
        <w:rPr>
          <w:spacing w:val="-4"/>
        </w:rPr>
        <w:t>m</w:t>
      </w:r>
      <w:r>
        <w:t>ed</w:t>
      </w:r>
      <w:r>
        <w:rPr>
          <w:spacing w:val="1"/>
        </w:rPr>
        <w:t>i</w:t>
      </w:r>
      <w:r>
        <w:t>cul</w:t>
      </w:r>
      <w:r>
        <w:rPr>
          <w:spacing w:val="1"/>
        </w:rPr>
        <w:t xml:space="preserve"> </w:t>
      </w:r>
      <w:r>
        <w:rPr>
          <w:spacing w:val="-3"/>
        </w:rPr>
        <w:t>c</w:t>
      </w:r>
      <w:r>
        <w:t>op</w:t>
      </w:r>
      <w:r>
        <w:rPr>
          <w:spacing w:val="-2"/>
        </w:rPr>
        <w:t>i</w:t>
      </w:r>
      <w:r>
        <w:rPr>
          <w:spacing w:val="1"/>
        </w:rPr>
        <w:t>l</w:t>
      </w:r>
      <w:r>
        <w:t>u</w:t>
      </w:r>
      <w:r>
        <w:rPr>
          <w:spacing w:val="-2"/>
        </w:rPr>
        <w:t>l</w:t>
      </w:r>
      <w:r>
        <w:t>ui</w:t>
      </w:r>
      <w:r>
        <w:rPr>
          <w:spacing w:val="1"/>
        </w:rPr>
        <w:t xml:space="preserve"> </w:t>
      </w:r>
      <w:r>
        <w:rPr>
          <w:spacing w:val="-3"/>
        </w:rPr>
        <w:t>d</w:t>
      </w:r>
      <w:r>
        <w:t>u</w:t>
      </w:r>
      <w:r>
        <w:rPr>
          <w:spacing w:val="-4"/>
        </w:rPr>
        <w:t>m</w:t>
      </w:r>
      <w:r>
        <w:t>nea</w:t>
      </w:r>
      <w:r>
        <w:rPr>
          <w:spacing w:val="-3"/>
        </w:rPr>
        <w:t>v</w:t>
      </w:r>
      <w:r>
        <w:t>oas</w:t>
      </w:r>
      <w:r>
        <w:rPr>
          <w:spacing w:val="1"/>
        </w:rPr>
        <w:t>t</w:t>
      </w:r>
      <w:r>
        <w:rPr>
          <w:spacing w:val="-2"/>
        </w:rPr>
        <w:t>r</w:t>
      </w:r>
      <w:r>
        <w:t>ă po</w:t>
      </w:r>
      <w:r>
        <w:rPr>
          <w:spacing w:val="-3"/>
        </w:rPr>
        <w:t>a</w:t>
      </w:r>
      <w:r>
        <w:rPr>
          <w:spacing w:val="1"/>
        </w:rPr>
        <w:t>t</w:t>
      </w:r>
      <w:r>
        <w:t xml:space="preserve">e </w:t>
      </w:r>
      <w:r>
        <w:rPr>
          <w:spacing w:val="-3"/>
        </w:rPr>
        <w:t>p</w:t>
      </w:r>
      <w:r>
        <w:t>re</w:t>
      </w:r>
      <w:r>
        <w:rPr>
          <w:spacing w:val="-2"/>
        </w:rPr>
        <w:t>s</w:t>
      </w:r>
      <w:r>
        <w:t>c</w:t>
      </w:r>
      <w:r>
        <w:rPr>
          <w:spacing w:val="-2"/>
        </w:rPr>
        <w:t>r</w:t>
      </w:r>
      <w:r>
        <w:rPr>
          <w:spacing w:val="1"/>
        </w:rPr>
        <w:t>i</w:t>
      </w:r>
      <w:r>
        <w:t>e o</w:t>
      </w:r>
      <w:r>
        <w:rPr>
          <w:spacing w:val="-3"/>
        </w:rPr>
        <w:t xml:space="preserve"> </w:t>
      </w:r>
      <w:r>
        <w:t>d</w:t>
      </w:r>
      <w:r>
        <w:rPr>
          <w:spacing w:val="-3"/>
        </w:rPr>
        <w:t>oz</w:t>
      </w:r>
      <w:r>
        <w:t xml:space="preserve">ă </w:t>
      </w:r>
      <w:r>
        <w:rPr>
          <w:spacing w:val="1"/>
        </w:rPr>
        <w:t>i</w:t>
      </w:r>
      <w:r>
        <w:t>n</w:t>
      </w:r>
      <w:r>
        <w:rPr>
          <w:spacing w:val="1"/>
        </w:rPr>
        <w:t>i</w:t>
      </w:r>
      <w:r>
        <w:rPr>
          <w:spacing w:val="-2"/>
        </w:rPr>
        <w:t>ţ</w:t>
      </w:r>
      <w:r>
        <w:rPr>
          <w:spacing w:val="1"/>
        </w:rPr>
        <w:t>i</w:t>
      </w:r>
      <w:r>
        <w:rPr>
          <w:spacing w:val="-3"/>
        </w:rPr>
        <w:t>a</w:t>
      </w:r>
      <w:r>
        <w:rPr>
          <w:spacing w:val="1"/>
        </w:rPr>
        <w:t>l</w:t>
      </w:r>
      <w:r>
        <w:t xml:space="preserve">ă </w:t>
      </w:r>
      <w:r>
        <w:rPr>
          <w:spacing w:val="-3"/>
        </w:rPr>
        <w:t>d</w:t>
      </w:r>
      <w:r>
        <w:t>e 160 </w:t>
      </w:r>
      <w:r>
        <w:rPr>
          <w:spacing w:val="-2"/>
        </w:rPr>
        <w:t>m</w:t>
      </w:r>
      <w:r>
        <w:t>g</w:t>
      </w:r>
      <w:r>
        <w:rPr>
          <w:spacing w:val="-3"/>
        </w:rPr>
        <w:t xml:space="preserve"> </w:t>
      </w:r>
      <w:r>
        <w:t>(sub f</w:t>
      </w:r>
      <w:r>
        <w:rPr>
          <w:spacing w:val="-3"/>
        </w:rPr>
        <w:t>o</w:t>
      </w:r>
      <w:r>
        <w:t>r</w:t>
      </w:r>
      <w:r>
        <w:rPr>
          <w:spacing w:val="-4"/>
        </w:rPr>
        <w:t>m</w:t>
      </w:r>
      <w:r>
        <w:t xml:space="preserve">ă de </w:t>
      </w:r>
      <w:r>
        <w:rPr>
          <w:szCs w:val="22"/>
          <w:lang w:eastAsia="en-US" w:bidi="ar-SA"/>
        </w:rPr>
        <w:t>patru</w:t>
      </w:r>
      <w:r>
        <w:t xml:space="preserve"> </w:t>
      </w:r>
      <w:r>
        <w:rPr>
          <w:spacing w:val="1"/>
        </w:rPr>
        <w:t>i</w:t>
      </w:r>
      <w:r>
        <w:rPr>
          <w:spacing w:val="-3"/>
        </w:rPr>
        <w:t>n</w:t>
      </w:r>
      <w:r>
        <w:rPr>
          <w:spacing w:val="-2"/>
        </w:rPr>
        <w:t>j</w:t>
      </w:r>
      <w:r>
        <w:t>ec</w:t>
      </w:r>
      <w:r>
        <w:rPr>
          <w:spacing w:val="-2"/>
        </w:rPr>
        <w:t>ţ</w:t>
      </w:r>
      <w:r>
        <w:rPr>
          <w:spacing w:val="1"/>
        </w:rPr>
        <w:t>i</w:t>
      </w:r>
      <w:r>
        <w:t xml:space="preserve">i </w:t>
      </w:r>
      <w:r>
        <w:rPr>
          <w:szCs w:val="22"/>
          <w:lang w:eastAsia="en-US" w:bidi="ar-SA"/>
        </w:rPr>
        <w:t>a câte 40 mg</w:t>
      </w:r>
      <w:r>
        <w:rPr>
          <w:spacing w:val="-2"/>
          <w:szCs w:val="22"/>
          <w:lang w:eastAsia="en-US" w:bidi="ar-SA"/>
        </w:rPr>
        <w:t xml:space="preserve"> </w:t>
      </w:r>
      <w:r>
        <w:rPr>
          <w:spacing w:val="1"/>
        </w:rPr>
        <w:t>î</w:t>
      </w:r>
      <w:r>
        <w:rPr>
          <w:spacing w:val="-3"/>
        </w:rPr>
        <w:t>n</w:t>
      </w:r>
      <w:r>
        <w:rPr>
          <w:spacing w:val="1"/>
        </w:rPr>
        <w:t>t</w:t>
      </w:r>
      <w:r>
        <w:t>r</w:t>
      </w:r>
      <w:r>
        <w:rPr>
          <w:spacing w:val="-4"/>
        </w:rPr>
        <w:t>-</w:t>
      </w:r>
      <w:r>
        <w:t xml:space="preserve">o </w:t>
      </w:r>
      <w:r>
        <w:rPr>
          <w:spacing w:val="-3"/>
        </w:rPr>
        <w:t>z</w:t>
      </w:r>
      <w:r>
        <w:t>i</w:t>
      </w:r>
      <w:r>
        <w:rPr>
          <w:spacing w:val="1"/>
        </w:rPr>
        <w:t xml:space="preserve"> </w:t>
      </w:r>
      <w:r>
        <w:t xml:space="preserve">sau </w:t>
      </w:r>
      <w:r>
        <w:rPr>
          <w:szCs w:val="22"/>
          <w:lang w:eastAsia="en-US" w:bidi="ar-SA"/>
        </w:rPr>
        <w:t>două</w:t>
      </w:r>
      <w:r>
        <w:t xml:space="preserve"> </w:t>
      </w:r>
      <w:r>
        <w:rPr>
          <w:spacing w:val="1"/>
        </w:rPr>
        <w:t>i</w:t>
      </w:r>
      <w:r>
        <w:rPr>
          <w:spacing w:val="-3"/>
        </w:rPr>
        <w:t>n</w:t>
      </w:r>
      <w:r>
        <w:rPr>
          <w:spacing w:val="1"/>
        </w:rPr>
        <w:t>j</w:t>
      </w:r>
      <w:r>
        <w:rPr>
          <w:spacing w:val="-3"/>
        </w:rPr>
        <w:t>e</w:t>
      </w:r>
      <w:r>
        <w:t>c</w:t>
      </w:r>
      <w:r>
        <w:rPr>
          <w:spacing w:val="-2"/>
        </w:rPr>
        <w:t>ţ</w:t>
      </w:r>
      <w:r>
        <w:rPr>
          <w:spacing w:val="1"/>
        </w:rPr>
        <w:t>i</w:t>
      </w:r>
      <w:r>
        <w:t>i</w:t>
      </w:r>
      <w:r>
        <w:rPr>
          <w:szCs w:val="22"/>
          <w:lang w:eastAsia="en-US" w:bidi="ar-SA"/>
        </w:rPr>
        <w:t xml:space="preserve"> a câte 40 mg</w:t>
      </w:r>
      <w:r>
        <w:rPr>
          <w:spacing w:val="-2"/>
        </w:rPr>
        <w:t xml:space="preserve"> </w:t>
      </w:r>
      <w:r>
        <w:t xml:space="preserve">pe </w:t>
      </w:r>
      <w:r>
        <w:rPr>
          <w:spacing w:val="-3"/>
        </w:rPr>
        <w:t>z</w:t>
      </w:r>
      <w:r>
        <w:rPr>
          <w:spacing w:val="1"/>
        </w:rPr>
        <w:t>i</w:t>
      </w:r>
      <w:r>
        <w:t xml:space="preserve">, </w:t>
      </w:r>
      <w:r>
        <w:rPr>
          <w:spacing w:val="-2"/>
        </w:rPr>
        <w:t>t</w:t>
      </w:r>
      <w:r>
        <w:rPr>
          <w:spacing w:val="1"/>
        </w:rPr>
        <w:t>i</w:t>
      </w:r>
      <w:r>
        <w:rPr>
          <w:spacing w:val="-4"/>
        </w:rPr>
        <w:t>m</w:t>
      </w:r>
      <w:r>
        <w:t xml:space="preserve">p de două </w:t>
      </w:r>
      <w:r>
        <w:rPr>
          <w:spacing w:val="-3"/>
        </w:rPr>
        <w:t>z</w:t>
      </w:r>
      <w:r>
        <w:rPr>
          <w:spacing w:val="1"/>
        </w:rPr>
        <w:t>il</w:t>
      </w:r>
      <w:r>
        <w:t xml:space="preserve">e </w:t>
      </w:r>
      <w:r>
        <w:rPr>
          <w:spacing w:val="-3"/>
        </w:rPr>
        <w:t>c</w:t>
      </w:r>
      <w:r>
        <w:t>ons</w:t>
      </w:r>
      <w:r>
        <w:rPr>
          <w:spacing w:val="-3"/>
        </w:rPr>
        <w:t>ec</w:t>
      </w:r>
      <w:r>
        <w:t>u</w:t>
      </w:r>
      <w:r>
        <w:rPr>
          <w:spacing w:val="1"/>
        </w:rPr>
        <w:t>ti</w:t>
      </w:r>
      <w:r>
        <w:rPr>
          <w:spacing w:val="-3"/>
        </w:rPr>
        <w:t>v</w:t>
      </w:r>
      <w:r>
        <w:t xml:space="preserve">), </w:t>
      </w:r>
      <w:r>
        <w:rPr>
          <w:spacing w:val="-3"/>
        </w:rPr>
        <w:t>u</w:t>
      </w:r>
      <w:r>
        <w:t>r</w:t>
      </w:r>
      <w:r>
        <w:rPr>
          <w:spacing w:val="-4"/>
        </w:rPr>
        <w:t>m</w:t>
      </w:r>
      <w:r>
        <w:t>a</w:t>
      </w:r>
      <w:r>
        <w:rPr>
          <w:spacing w:val="1"/>
        </w:rPr>
        <w:t>t</w:t>
      </w:r>
      <w:r>
        <w:t>ă de 80 </w:t>
      </w:r>
      <w:r>
        <w:rPr>
          <w:spacing w:val="-2"/>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t>două să</w:t>
      </w:r>
      <w:r>
        <w:rPr>
          <w:spacing w:val="-3"/>
        </w:rPr>
        <w:t>p</w:t>
      </w:r>
      <w:r>
        <w:rPr>
          <w:spacing w:val="1"/>
        </w:rPr>
        <w:t>t</w:t>
      </w:r>
      <w:r>
        <w:t>ă</w:t>
      </w:r>
      <w:r>
        <w:rPr>
          <w:spacing w:val="-4"/>
        </w:rPr>
        <w:t>m</w:t>
      </w:r>
      <w:r>
        <w:t>âni</w:t>
      </w:r>
      <w:r>
        <w:rPr>
          <w:spacing w:val="1"/>
        </w:rPr>
        <w:t xml:space="preserve"> </w:t>
      </w:r>
      <w:r>
        <w:rPr>
          <w:spacing w:val="-4"/>
        </w:rPr>
        <w:t>m</w:t>
      </w:r>
      <w:r>
        <w:t>ai</w:t>
      </w:r>
      <w:r>
        <w:rPr>
          <w:spacing w:val="1"/>
        </w:rPr>
        <w:t xml:space="preserve"> t</w:t>
      </w:r>
      <w:r>
        <w:t>âr</w:t>
      </w:r>
      <w:r>
        <w:rPr>
          <w:spacing w:val="-3"/>
        </w:rPr>
        <w:t>z</w:t>
      </w:r>
      <w:r>
        <w:rPr>
          <w:spacing w:val="1"/>
        </w:rPr>
        <w:t>i</w:t>
      </w:r>
      <w:r>
        <w:t>u.</w:t>
      </w:r>
    </w:p>
    <w:p w14:paraId="1DC7E50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8A90AEB" w14:textId="77777777" w:rsidR="00C04CAD" w:rsidRDefault="00060E34">
      <w:pPr>
        <w:tabs>
          <w:tab w:val="clear" w:pos="567"/>
        </w:tabs>
        <w:kinsoku w:val="0"/>
        <w:overflowPunct w:val="0"/>
        <w:autoSpaceDE w:val="0"/>
        <w:autoSpaceDN w:val="0"/>
        <w:adjustRightInd w:val="0"/>
        <w:spacing w:line="240" w:lineRule="auto"/>
      </w:pPr>
      <w:r>
        <w:rPr>
          <w:spacing w:val="-1"/>
        </w:rPr>
        <w:t>U</w:t>
      </w:r>
      <w:r>
        <w:rPr>
          <w:spacing w:val="1"/>
        </w:rPr>
        <w:t>lt</w:t>
      </w:r>
      <w:r>
        <w:rPr>
          <w:spacing w:val="-3"/>
        </w:rPr>
        <w:t>e</w:t>
      </w:r>
      <w:r>
        <w:t>r</w:t>
      </w:r>
      <w:r>
        <w:rPr>
          <w:spacing w:val="1"/>
        </w:rPr>
        <w:t>i</w:t>
      </w:r>
      <w:r>
        <w:rPr>
          <w:spacing w:val="-3"/>
        </w:rPr>
        <w:t>o</w:t>
      </w:r>
      <w:r>
        <w:t>r, do</w:t>
      </w:r>
      <w:r>
        <w:rPr>
          <w:spacing w:val="-3"/>
        </w:rPr>
        <w:t>z</w:t>
      </w:r>
      <w:r>
        <w:t xml:space="preserve">a </w:t>
      </w:r>
      <w:r>
        <w:rPr>
          <w:spacing w:val="-2"/>
        </w:rPr>
        <w:t>recomandat</w:t>
      </w:r>
      <w:r>
        <w:t xml:space="preserve">ă </w:t>
      </w:r>
      <w:r>
        <w:rPr>
          <w:spacing w:val="-3"/>
        </w:rPr>
        <w:t>e</w:t>
      </w:r>
      <w:r>
        <w:t>s</w:t>
      </w:r>
      <w:r>
        <w:rPr>
          <w:spacing w:val="1"/>
        </w:rPr>
        <w:t>t</w:t>
      </w:r>
      <w:r>
        <w:t>e</w:t>
      </w:r>
      <w:r>
        <w:rPr>
          <w:spacing w:val="-2"/>
        </w:rPr>
        <w:t xml:space="preserve"> </w:t>
      </w:r>
      <w:r>
        <w:rPr>
          <w:spacing w:val="-3"/>
        </w:rPr>
        <w:t>d</w:t>
      </w:r>
      <w:r>
        <w:t>e 40 </w:t>
      </w:r>
      <w:r>
        <w:rPr>
          <w:spacing w:val="-4"/>
        </w:rPr>
        <w:t>m</w:t>
      </w:r>
      <w:r>
        <w:t>g</w:t>
      </w:r>
      <w:r>
        <w:rPr>
          <w:spacing w:val="-3"/>
        </w:rPr>
        <w:t xml:space="preserve"> </w:t>
      </w:r>
      <w:r>
        <w:rPr>
          <w:spacing w:val="1"/>
        </w:rPr>
        <w:t>l</w:t>
      </w:r>
      <w:r>
        <w:t>a două să</w:t>
      </w:r>
      <w:r>
        <w:rPr>
          <w:spacing w:val="-3"/>
        </w:rPr>
        <w:t>p</w:t>
      </w:r>
      <w:r>
        <w:rPr>
          <w:spacing w:val="1"/>
        </w:rPr>
        <w:t>t</w:t>
      </w:r>
      <w:r>
        <w:t>ă</w:t>
      </w:r>
      <w:r>
        <w:rPr>
          <w:spacing w:val="-4"/>
        </w:rPr>
        <w:t>m</w:t>
      </w:r>
      <w:r>
        <w:t>ân</w:t>
      </w:r>
      <w:r>
        <w:rPr>
          <w:spacing w:val="1"/>
        </w:rPr>
        <w:t>i</w:t>
      </w:r>
      <w:r>
        <w:t>.</w:t>
      </w:r>
      <w:r>
        <w:rPr>
          <w:spacing w:val="-3"/>
        </w:rPr>
        <w:t xml:space="preserve"> </w:t>
      </w:r>
      <w:r>
        <w:rPr>
          <w:spacing w:val="-4"/>
        </w:rPr>
        <w:t>Î</w:t>
      </w:r>
      <w:r>
        <w:t>n func</w:t>
      </w:r>
      <w:r>
        <w:rPr>
          <w:spacing w:val="1"/>
        </w:rPr>
        <w:t>ţi</w:t>
      </w:r>
      <w:r>
        <w:t>e</w:t>
      </w:r>
      <w:r>
        <w:rPr>
          <w:spacing w:val="-2"/>
        </w:rPr>
        <w:t xml:space="preserve"> </w:t>
      </w:r>
      <w:r>
        <w:t xml:space="preserve">de </w:t>
      </w:r>
      <w:r>
        <w:rPr>
          <w:spacing w:val="-2"/>
        </w:rPr>
        <w:t>r</w:t>
      </w:r>
      <w:r>
        <w:t>ăsp</w:t>
      </w:r>
      <w:r>
        <w:rPr>
          <w:spacing w:val="-3"/>
        </w:rPr>
        <w:t>u</w:t>
      </w:r>
      <w:r>
        <w:t>ns</w:t>
      </w:r>
      <w:r>
        <w:rPr>
          <w:spacing w:val="-3"/>
        </w:rPr>
        <w:t>u</w:t>
      </w:r>
      <w:r>
        <w:t>l</w:t>
      </w:r>
      <w:r>
        <w:rPr>
          <w:spacing w:val="1"/>
        </w:rPr>
        <w:t xml:space="preserve"> </w:t>
      </w:r>
      <w:r>
        <w:t>co</w:t>
      </w:r>
      <w:r>
        <w:rPr>
          <w:spacing w:val="-3"/>
        </w:rPr>
        <w:t>p</w:t>
      </w:r>
      <w:r>
        <w:rPr>
          <w:spacing w:val="1"/>
        </w:rPr>
        <w:t>il</w:t>
      </w:r>
      <w:r>
        <w:rPr>
          <w:spacing w:val="-3"/>
        </w:rPr>
        <w:t>u</w:t>
      </w:r>
      <w:r>
        <w:rPr>
          <w:spacing w:val="1"/>
        </w:rPr>
        <w:t>l</w:t>
      </w:r>
      <w:r>
        <w:t>ui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c</w:t>
      </w:r>
      <w:r>
        <w:rPr>
          <w:spacing w:val="-3"/>
        </w:rPr>
        <w:t>o</w:t>
      </w:r>
      <w:r>
        <w:t>p</w:t>
      </w:r>
      <w:r>
        <w:rPr>
          <w:spacing w:val="-2"/>
        </w:rPr>
        <w:t>i</w:t>
      </w:r>
      <w:r>
        <w:rPr>
          <w:spacing w:val="1"/>
        </w:rPr>
        <w:t>l</w:t>
      </w:r>
      <w:r>
        <w:t>u</w:t>
      </w:r>
      <w:r>
        <w:rPr>
          <w:spacing w:val="1"/>
        </w:rPr>
        <w:t>l</w:t>
      </w:r>
      <w:r>
        <w:rPr>
          <w:spacing w:val="-3"/>
        </w:rPr>
        <w:t>u</w:t>
      </w:r>
      <w:r>
        <w:t>i</w:t>
      </w:r>
      <w:r>
        <w:rPr>
          <w:spacing w:val="1"/>
        </w:rPr>
        <w:t xml:space="preserve"> </w:t>
      </w:r>
      <w:r>
        <w:t>du</w:t>
      </w:r>
      <w:r>
        <w:rPr>
          <w:spacing w:val="-4"/>
        </w:rPr>
        <w:t>m</w:t>
      </w:r>
      <w:r>
        <w:t>ne</w:t>
      </w:r>
      <w:r>
        <w:rPr>
          <w:spacing w:val="-3"/>
        </w:rPr>
        <w:t>av</w:t>
      </w:r>
      <w:r>
        <w:t>oas</w:t>
      </w:r>
      <w:r>
        <w:rPr>
          <w:spacing w:val="1"/>
        </w:rPr>
        <w:t>t</w:t>
      </w:r>
      <w:r>
        <w:t>ră</w:t>
      </w:r>
      <w:r>
        <w:rPr>
          <w:spacing w:val="-2"/>
        </w:rPr>
        <w:t xml:space="preserve"> </w:t>
      </w:r>
      <w:r>
        <w:t>po</w:t>
      </w:r>
      <w:r>
        <w:rPr>
          <w:spacing w:val="-3"/>
        </w:rPr>
        <w:t>a</w:t>
      </w:r>
      <w:r>
        <w:rPr>
          <w:spacing w:val="1"/>
        </w:rPr>
        <w:t>t</w:t>
      </w:r>
      <w:r>
        <w:t xml:space="preserve">e </w:t>
      </w:r>
      <w:r>
        <w:rPr>
          <w:spacing w:val="-3"/>
        </w:rPr>
        <w:t>c</w:t>
      </w:r>
      <w:r>
        <w:t>re</w:t>
      </w:r>
      <w:r>
        <w:rPr>
          <w:spacing w:val="-2"/>
        </w:rPr>
        <w:t>ş</w:t>
      </w:r>
      <w:r>
        <w:rPr>
          <w:spacing w:val="1"/>
        </w:rPr>
        <w:t>t</w:t>
      </w:r>
      <w:r>
        <w:t>e</w:t>
      </w:r>
      <w:r>
        <w:rPr>
          <w:spacing w:val="-2"/>
        </w:rPr>
        <w:t xml:space="preserve"> </w:t>
      </w:r>
      <w:r>
        <w:t>do</w:t>
      </w:r>
      <w:r>
        <w:rPr>
          <w:spacing w:val="-3"/>
        </w:rPr>
        <w:t>za</w:t>
      </w:r>
      <w:r>
        <w:rPr>
          <w:spacing w:val="-2"/>
        </w:rPr>
        <w:t xml:space="preserve"> </w:t>
      </w:r>
      <w:r>
        <w:rPr>
          <w:spacing w:val="1"/>
        </w:rPr>
        <w:t>l</w:t>
      </w:r>
      <w:r>
        <w:t>a</w:t>
      </w:r>
      <w:r>
        <w:rPr>
          <w:spacing w:val="-2"/>
        </w:rPr>
        <w:t xml:space="preserve"> </w:t>
      </w:r>
      <w:r>
        <w:t>40 </w:t>
      </w:r>
      <w:r>
        <w:rPr>
          <w:spacing w:val="-4"/>
        </w:rPr>
        <w:t>m</w:t>
      </w:r>
      <w:r>
        <w:t>g</w:t>
      </w:r>
      <w:r>
        <w:rPr>
          <w:spacing w:val="-3"/>
        </w:rPr>
        <w:t xml:space="preserve"> </w:t>
      </w:r>
      <w:r>
        <w:rPr>
          <w:spacing w:val="1"/>
        </w:rPr>
        <w:t>î</w:t>
      </w:r>
      <w:r>
        <w:t>n f</w:t>
      </w:r>
      <w:r>
        <w:rPr>
          <w:spacing w:val="1"/>
        </w:rPr>
        <w:t>i</w:t>
      </w:r>
      <w:r>
        <w:rPr>
          <w:spacing w:val="-3"/>
        </w:rPr>
        <w:t>e</w:t>
      </w:r>
      <w:r>
        <w:t>ca</w:t>
      </w:r>
      <w:r>
        <w:rPr>
          <w:spacing w:val="-2"/>
        </w:rPr>
        <w:t>r</w:t>
      </w:r>
      <w:r>
        <w:t>e s</w:t>
      </w:r>
      <w:r>
        <w:rPr>
          <w:spacing w:val="-3"/>
        </w:rPr>
        <w:t>ă</w:t>
      </w:r>
      <w:r>
        <w:t>p</w:t>
      </w:r>
      <w:r>
        <w:rPr>
          <w:spacing w:val="1"/>
        </w:rPr>
        <w:t>t</w:t>
      </w:r>
      <w:r>
        <w:t>ă</w:t>
      </w:r>
      <w:r>
        <w:rPr>
          <w:spacing w:val="-4"/>
        </w:rPr>
        <w:t>m</w:t>
      </w:r>
      <w:r>
        <w:t xml:space="preserve">ână 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28148BA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73E3493"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colită ulcerativă</w:t>
      </w:r>
    </w:p>
    <w:p w14:paraId="6873BA00" w14:textId="77777777" w:rsidR="00C04CAD" w:rsidRDefault="00C04CAD">
      <w:pPr>
        <w:keepNext/>
        <w:tabs>
          <w:tab w:val="clear" w:pos="567"/>
        </w:tabs>
        <w:kinsoku w:val="0"/>
        <w:overflowPunct w:val="0"/>
        <w:autoSpaceDE w:val="0"/>
        <w:autoSpaceDN w:val="0"/>
        <w:adjustRightInd w:val="0"/>
        <w:spacing w:line="240" w:lineRule="auto"/>
      </w:pPr>
    </w:p>
    <w:p w14:paraId="3AB38098" w14:textId="77777777" w:rsidR="00C04CAD" w:rsidRDefault="00060E34">
      <w:pPr>
        <w:tabs>
          <w:tab w:val="clear" w:pos="567"/>
        </w:tabs>
        <w:kinsoku w:val="0"/>
        <w:overflowPunct w:val="0"/>
        <w:autoSpaceDE w:val="0"/>
        <w:autoSpaceDN w:val="0"/>
        <w:adjustRightInd w:val="0"/>
        <w:spacing w:line="240" w:lineRule="auto"/>
      </w:pPr>
      <w:r>
        <w:rPr>
          <w:spacing w:val="-1"/>
        </w:rPr>
        <w:t>L</w:t>
      </w:r>
      <w:r>
        <w:t>a pa</w:t>
      </w:r>
      <w:r>
        <w:rPr>
          <w:spacing w:val="-3"/>
        </w:rPr>
        <w:t>c</w:t>
      </w:r>
      <w:r>
        <w:rPr>
          <w:spacing w:val="1"/>
        </w:rPr>
        <w:t>i</w:t>
      </w:r>
      <w:r>
        <w:t>e</w:t>
      </w:r>
      <w:r>
        <w:rPr>
          <w:spacing w:val="-3"/>
        </w:rPr>
        <w:t>n</w:t>
      </w:r>
      <w:r>
        <w:rPr>
          <w:spacing w:val="1"/>
        </w:rPr>
        <w:t>ţ</w:t>
      </w:r>
      <w:r>
        <w:rPr>
          <w:spacing w:val="-2"/>
        </w:rPr>
        <w:t>i</w:t>
      </w:r>
      <w:r>
        <w:t>i</w:t>
      </w:r>
      <w:r>
        <w:rPr>
          <w:spacing w:val="1"/>
        </w:rPr>
        <w:t xml:space="preserve"> </w:t>
      </w:r>
      <w:r>
        <w:t>ad</w:t>
      </w:r>
      <w:r>
        <w:rPr>
          <w:spacing w:val="-3"/>
        </w:rPr>
        <w:t>u</w:t>
      </w:r>
      <w:r>
        <w:rPr>
          <w:spacing w:val="-2"/>
        </w:rPr>
        <w:t>l</w:t>
      </w:r>
      <w:r>
        <w:rPr>
          <w:spacing w:val="1"/>
        </w:rPr>
        <w:t>ţ</w:t>
      </w:r>
      <w:r>
        <w:t>i</w:t>
      </w:r>
      <w:r>
        <w:rPr>
          <w:spacing w:val="1"/>
        </w:rPr>
        <w:t xml:space="preserve"> </w:t>
      </w:r>
      <w:r>
        <w:rPr>
          <w:spacing w:val="-3"/>
        </w:rPr>
        <w:t>c</w:t>
      </w:r>
      <w:r>
        <w:t>u c</w:t>
      </w:r>
      <w:r>
        <w:rPr>
          <w:spacing w:val="-3"/>
        </w:rPr>
        <w:t>o</w:t>
      </w:r>
      <w:r>
        <w:rPr>
          <w:spacing w:val="1"/>
        </w:rPr>
        <w:t>l</w:t>
      </w:r>
      <w:r>
        <w:rPr>
          <w:spacing w:val="-2"/>
        </w:rPr>
        <w:t>i</w:t>
      </w:r>
      <w:r>
        <w:rPr>
          <w:spacing w:val="1"/>
        </w:rPr>
        <w:t>t</w:t>
      </w:r>
      <w:r>
        <w:t>ă</w:t>
      </w:r>
      <w:r>
        <w:rPr>
          <w:spacing w:val="-2"/>
        </w:rPr>
        <w:t xml:space="preserve"> </w:t>
      </w:r>
      <w:r>
        <w:t>u</w:t>
      </w:r>
      <w:r>
        <w:rPr>
          <w:spacing w:val="1"/>
        </w:rPr>
        <w:t>l</w:t>
      </w:r>
      <w:r>
        <w:t>c</w:t>
      </w:r>
      <w:r>
        <w:rPr>
          <w:spacing w:val="-3"/>
        </w:rPr>
        <w:t>e</w:t>
      </w:r>
      <w:r>
        <w:t>r</w:t>
      </w:r>
      <w:r>
        <w:rPr>
          <w:spacing w:val="-3"/>
        </w:rPr>
        <w:t>a</w:t>
      </w:r>
      <w:r>
        <w:rPr>
          <w:spacing w:val="1"/>
        </w:rPr>
        <w:t>ti</w:t>
      </w:r>
      <w:r>
        <w:rPr>
          <w:spacing w:val="-3"/>
        </w:rPr>
        <w:t>v</w:t>
      </w:r>
      <w:r>
        <w:t>ă do</w:t>
      </w:r>
      <w:r>
        <w:rPr>
          <w:spacing w:val="-3"/>
        </w:rPr>
        <w:t>z</w:t>
      </w:r>
      <w:r>
        <w:t>a o</w:t>
      </w:r>
      <w:r>
        <w:rPr>
          <w:spacing w:val="-3"/>
        </w:rPr>
        <w:t>b</w:t>
      </w:r>
      <w:r>
        <w:rPr>
          <w:spacing w:val="1"/>
        </w:rPr>
        <w:t>i</w:t>
      </w:r>
      <w:r>
        <w:t>şn</w:t>
      </w:r>
      <w:r>
        <w:rPr>
          <w:spacing w:val="-3"/>
        </w:rPr>
        <w:t>u</w:t>
      </w:r>
      <w:r>
        <w:rPr>
          <w:spacing w:val="1"/>
        </w:rPr>
        <w:t>i</w:t>
      </w:r>
      <w:r>
        <w:rPr>
          <w:spacing w:val="-2"/>
        </w:rPr>
        <w:t>t</w:t>
      </w:r>
      <w:r>
        <w:t xml:space="preserve">ă </w:t>
      </w:r>
      <w:r>
        <w:rPr>
          <w:spacing w:val="-3"/>
        </w:rPr>
        <w:t>d</w:t>
      </w:r>
      <w:r>
        <w:t xml:space="preserve">e </w:t>
      </w:r>
      <w:r>
        <w:rPr>
          <w:spacing w:val="-1"/>
          <w:szCs w:val="22"/>
          <w:lang w:eastAsia="en-US" w:bidi="ar-SA"/>
        </w:rPr>
        <w:t>AMGEVITA</w:t>
      </w:r>
      <w:r>
        <w:t xml:space="preserve"> e</w:t>
      </w:r>
      <w:r>
        <w:rPr>
          <w:spacing w:val="-2"/>
        </w:rPr>
        <w:t>s</w:t>
      </w:r>
      <w:r>
        <w:rPr>
          <w:spacing w:val="1"/>
        </w:rPr>
        <w:t>t</w:t>
      </w:r>
      <w:r>
        <w:t>e 160</w:t>
      </w:r>
      <w:r>
        <w:rPr>
          <w:spacing w:val="-3"/>
        </w:rPr>
        <w:t> </w:t>
      </w:r>
      <w:r>
        <w:rPr>
          <w:spacing w:val="-2"/>
        </w:rPr>
        <w:t>m</w:t>
      </w:r>
      <w:r>
        <w:t>g</w:t>
      </w:r>
      <w:r>
        <w:rPr>
          <w:spacing w:val="-3"/>
        </w:rPr>
        <w:t xml:space="preserve"> </w:t>
      </w:r>
      <w:r>
        <w:rPr>
          <w:spacing w:val="-3"/>
          <w:szCs w:val="22"/>
          <w:lang w:eastAsia="en-US" w:bidi="ar-SA"/>
        </w:rPr>
        <w:t>iniţial</w:t>
      </w:r>
      <w:r>
        <w:t xml:space="preserve"> (sub</w:t>
      </w:r>
      <w:r>
        <w:rPr>
          <w:spacing w:val="-3"/>
        </w:rPr>
        <w:t xml:space="preserve"> </w:t>
      </w:r>
      <w:r>
        <w:t>f</w:t>
      </w:r>
      <w:r>
        <w:rPr>
          <w:spacing w:val="-3"/>
        </w:rPr>
        <w:t>o</w:t>
      </w:r>
      <w:r>
        <w:t>r</w:t>
      </w:r>
      <w:r>
        <w:rPr>
          <w:spacing w:val="-4"/>
        </w:rPr>
        <w:t>m</w:t>
      </w:r>
      <w:r>
        <w:t>ă de pa</w:t>
      </w:r>
      <w:r>
        <w:rPr>
          <w:spacing w:val="-2"/>
        </w:rPr>
        <w:t>t</w:t>
      </w:r>
      <w:r>
        <w:t xml:space="preserve">ru </w:t>
      </w:r>
      <w:r>
        <w:rPr>
          <w:spacing w:val="-2"/>
        </w:rPr>
        <w:t>i</w:t>
      </w:r>
      <w:r>
        <w:rPr>
          <w:spacing w:val="-3"/>
        </w:rPr>
        <w:t>n</w:t>
      </w:r>
      <w:r>
        <w:rPr>
          <w:spacing w:val="3"/>
        </w:rPr>
        <w:t>j</w:t>
      </w:r>
      <w:r>
        <w:rPr>
          <w:spacing w:val="-3"/>
        </w:rPr>
        <w:t>e</w:t>
      </w:r>
      <w:r>
        <w:t>c</w:t>
      </w:r>
      <w:r>
        <w:rPr>
          <w:spacing w:val="-2"/>
        </w:rPr>
        <w:t>ţ</w:t>
      </w:r>
      <w:r>
        <w:rPr>
          <w:spacing w:val="1"/>
        </w:rPr>
        <w:t>i</w:t>
      </w:r>
      <w:r>
        <w:t xml:space="preserve">i </w:t>
      </w:r>
      <w:r>
        <w:rPr>
          <w:szCs w:val="22"/>
          <w:lang w:eastAsia="en-US" w:bidi="ar-SA"/>
        </w:rPr>
        <w:t>a câte 40 mg</w:t>
      </w:r>
      <w:r>
        <w:rPr>
          <w:spacing w:val="-2"/>
          <w:szCs w:val="22"/>
          <w:lang w:eastAsia="en-US" w:bidi="ar-SA"/>
        </w:rPr>
        <w:t xml:space="preserve"> </w:t>
      </w:r>
      <w:r>
        <w:rPr>
          <w:spacing w:val="1"/>
        </w:rPr>
        <w:t>î</w:t>
      </w:r>
      <w:r>
        <w:rPr>
          <w:spacing w:val="-3"/>
        </w:rPr>
        <w:t>n</w:t>
      </w:r>
      <w:r>
        <w:rPr>
          <w:spacing w:val="1"/>
        </w:rPr>
        <w:t>t</w:t>
      </w:r>
      <w:r>
        <w:t>r</w:t>
      </w:r>
      <w:r>
        <w:rPr>
          <w:spacing w:val="-4"/>
        </w:rPr>
        <w:t>-</w:t>
      </w:r>
      <w:r>
        <w:t xml:space="preserve">o </w:t>
      </w:r>
      <w:r>
        <w:rPr>
          <w:spacing w:val="-3"/>
        </w:rPr>
        <w:t>z</w:t>
      </w:r>
      <w:r>
        <w:t>i</w:t>
      </w:r>
      <w:r>
        <w:rPr>
          <w:spacing w:val="1"/>
        </w:rPr>
        <w:t xml:space="preserve"> </w:t>
      </w:r>
      <w:r>
        <w:t>sau de</w:t>
      </w:r>
      <w:r>
        <w:rPr>
          <w:spacing w:val="-2"/>
        </w:rPr>
        <w:t xml:space="preserve"> </w:t>
      </w:r>
      <w:r>
        <w:t>două</w:t>
      </w:r>
      <w:r>
        <w:rPr>
          <w:spacing w:val="-2"/>
        </w:rPr>
        <w:t xml:space="preserve"> </w:t>
      </w:r>
      <w:r>
        <w:rPr>
          <w:spacing w:val="1"/>
        </w:rPr>
        <w:t>i</w:t>
      </w:r>
      <w:r>
        <w:rPr>
          <w:spacing w:val="-3"/>
        </w:rPr>
        <w:t>n</w:t>
      </w:r>
      <w:r>
        <w:rPr>
          <w:spacing w:val="1"/>
        </w:rPr>
        <w:t>j</w:t>
      </w:r>
      <w:r>
        <w:t>e</w:t>
      </w:r>
      <w:r>
        <w:rPr>
          <w:spacing w:val="-3"/>
        </w:rPr>
        <w:t>c</w:t>
      </w:r>
      <w:r>
        <w:rPr>
          <w:spacing w:val="1"/>
        </w:rPr>
        <w:t>ţ</w:t>
      </w:r>
      <w:r>
        <w:rPr>
          <w:spacing w:val="-2"/>
        </w:rPr>
        <w:t>i</w:t>
      </w:r>
      <w:r>
        <w:t>i</w:t>
      </w:r>
      <w:r>
        <w:rPr>
          <w:spacing w:val="1"/>
        </w:rPr>
        <w:t xml:space="preserve"> </w:t>
      </w:r>
      <w:r>
        <w:rPr>
          <w:spacing w:val="1"/>
          <w:szCs w:val="22"/>
          <w:lang w:eastAsia="en-US" w:bidi="ar-SA"/>
        </w:rPr>
        <w:t xml:space="preserve">a câte 40 mg </w:t>
      </w:r>
      <w:r>
        <w:t xml:space="preserve">pe </w:t>
      </w:r>
      <w:r>
        <w:rPr>
          <w:spacing w:val="-3"/>
        </w:rPr>
        <w:t>z</w:t>
      </w:r>
      <w:r>
        <w:rPr>
          <w:spacing w:val="1"/>
        </w:rPr>
        <w:t>i</w:t>
      </w:r>
      <w:r>
        <w:t>,</w:t>
      </w:r>
      <w:r>
        <w:rPr>
          <w:spacing w:val="-3"/>
        </w:rPr>
        <w:t xml:space="preserve"> </w:t>
      </w:r>
      <w:r>
        <w:t xml:space="preserve">două </w:t>
      </w:r>
      <w:r>
        <w:rPr>
          <w:spacing w:val="-3"/>
        </w:rPr>
        <w:t>z</w:t>
      </w:r>
      <w:r>
        <w:rPr>
          <w:spacing w:val="1"/>
        </w:rPr>
        <w:t>i</w:t>
      </w:r>
      <w:r>
        <w:rPr>
          <w:spacing w:val="-2"/>
        </w:rPr>
        <w:t>l</w:t>
      </w:r>
      <w:r>
        <w:t>e cons</w:t>
      </w:r>
      <w:r>
        <w:rPr>
          <w:spacing w:val="-3"/>
        </w:rPr>
        <w:t>e</w:t>
      </w:r>
      <w:r>
        <w:t>cu</w:t>
      </w:r>
      <w:r>
        <w:rPr>
          <w:spacing w:val="-2"/>
        </w:rPr>
        <w:t>t</w:t>
      </w:r>
      <w:r>
        <w:rPr>
          <w:spacing w:val="1"/>
        </w:rPr>
        <w:t>i</w:t>
      </w:r>
      <w:r>
        <w:rPr>
          <w:spacing w:val="-3"/>
        </w:rPr>
        <w:t>v</w:t>
      </w:r>
      <w:r>
        <w:rPr>
          <w:szCs w:val="22"/>
          <w:lang w:eastAsia="en-US" w:bidi="ar-SA"/>
        </w:rPr>
        <w:t>), urmate de</w:t>
      </w:r>
      <w:r>
        <w:rPr>
          <w:spacing w:val="-2"/>
        </w:rPr>
        <w:t xml:space="preserve"> </w:t>
      </w:r>
      <w:r>
        <w:t>80 </w:t>
      </w:r>
      <w:r>
        <w:rPr>
          <w:spacing w:val="-4"/>
        </w:rPr>
        <w:t>m</w:t>
      </w:r>
      <w:r>
        <w:t>g</w:t>
      </w:r>
      <w:r>
        <w:rPr>
          <w:spacing w:val="-3"/>
        </w:rPr>
        <w:t xml:space="preserve">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 xml:space="preserve">i) </w:t>
      </w:r>
      <w:r>
        <w:rPr>
          <w:szCs w:val="22"/>
          <w:lang w:eastAsia="en-US" w:bidi="ar-SA"/>
        </w:rPr>
        <w:t>două săptamâni mai târziu</w:t>
      </w:r>
      <w:r>
        <w:rPr>
          <w:spacing w:val="1"/>
          <w:szCs w:val="22"/>
          <w:lang w:eastAsia="en-US" w:bidi="ar-SA"/>
        </w:rPr>
        <w:t>,</w:t>
      </w:r>
      <w:r>
        <w:t xml:space="preserve"> şi</w:t>
      </w:r>
      <w:r>
        <w:rPr>
          <w:spacing w:val="-2"/>
        </w:rPr>
        <w:t xml:space="preserve"> </w:t>
      </w:r>
      <w:r>
        <w:t>după</w:t>
      </w:r>
      <w:r>
        <w:rPr>
          <w:spacing w:val="-2"/>
        </w:rPr>
        <w:t xml:space="preserve"> </w:t>
      </w:r>
      <w:r>
        <w:t>ac</w:t>
      </w:r>
      <w:r>
        <w:rPr>
          <w:spacing w:val="-3"/>
        </w:rPr>
        <w:t>e</w:t>
      </w:r>
      <w:r>
        <w:t>ea 40</w:t>
      </w:r>
      <w:r>
        <w:rPr>
          <w:spacing w:val="-5"/>
        </w:rPr>
        <w:t> </w:t>
      </w:r>
      <w:r>
        <w:rPr>
          <w:spacing w:val="-2"/>
        </w:rPr>
        <w:t>m</w:t>
      </w:r>
      <w:r>
        <w:t>g</w:t>
      </w:r>
      <w:r>
        <w:rPr>
          <w:spacing w:val="-3"/>
        </w:rPr>
        <w:t xml:space="preserve"> </w:t>
      </w:r>
      <w:r>
        <w:rPr>
          <w:spacing w:val="1"/>
        </w:rPr>
        <w:t>l</w:t>
      </w:r>
      <w:r>
        <w:t>a două s</w:t>
      </w:r>
      <w:r>
        <w:rPr>
          <w:spacing w:val="-3"/>
        </w:rPr>
        <w:t>ă</w:t>
      </w:r>
      <w:r>
        <w:t>p</w:t>
      </w:r>
      <w:r>
        <w:rPr>
          <w:spacing w:val="1"/>
        </w:rPr>
        <w:t>t</w:t>
      </w:r>
      <w:r>
        <w:t>ă</w:t>
      </w:r>
      <w:r>
        <w:rPr>
          <w:spacing w:val="-4"/>
        </w:rPr>
        <w:t>m</w:t>
      </w:r>
      <w:r>
        <w:t>ân</w:t>
      </w:r>
      <w:r>
        <w:rPr>
          <w:spacing w:val="1"/>
        </w:rPr>
        <w:t>i</w:t>
      </w:r>
      <w:r>
        <w:t xml:space="preserve">. </w:t>
      </w:r>
      <w:r>
        <w:rPr>
          <w:spacing w:val="-4"/>
        </w:rPr>
        <w:t>Î</w:t>
      </w:r>
      <w:r>
        <w:t>n f</w:t>
      </w:r>
      <w:r>
        <w:rPr>
          <w:spacing w:val="-3"/>
        </w:rPr>
        <w:t>u</w:t>
      </w:r>
      <w:r>
        <w:t>nc</w:t>
      </w:r>
      <w:r>
        <w:rPr>
          <w:spacing w:val="-2"/>
        </w:rPr>
        <w:t>ţ</w:t>
      </w:r>
      <w:r>
        <w:rPr>
          <w:spacing w:val="1"/>
        </w:rPr>
        <w:t>i</w:t>
      </w:r>
      <w:r>
        <w:t>e de</w:t>
      </w:r>
      <w:r>
        <w:rPr>
          <w:spacing w:val="-2"/>
        </w:rPr>
        <w:t xml:space="preserve"> </w:t>
      </w:r>
      <w:r>
        <w:t>r</w:t>
      </w:r>
      <w:r>
        <w:rPr>
          <w:spacing w:val="-3"/>
        </w:rPr>
        <w:t>ă</w:t>
      </w:r>
      <w:r>
        <w:t>spun</w:t>
      </w:r>
      <w:r>
        <w:rPr>
          <w:spacing w:val="-2"/>
        </w:rPr>
        <w:t>s</w:t>
      </w:r>
      <w:r>
        <w:t>ul du</w:t>
      </w:r>
      <w:r>
        <w:rPr>
          <w:spacing w:val="-4"/>
        </w:rPr>
        <w:t>m</w:t>
      </w:r>
      <w:r>
        <w:t>nea</w:t>
      </w:r>
      <w:r>
        <w:rPr>
          <w:spacing w:val="-3"/>
        </w:rPr>
        <w:t>v</w:t>
      </w:r>
      <w:r>
        <w:t>oas</w:t>
      </w:r>
      <w:r>
        <w:rPr>
          <w:spacing w:val="1"/>
        </w:rPr>
        <w:t>t</w:t>
      </w:r>
      <w:r>
        <w:t>ră</w:t>
      </w:r>
      <w:r>
        <w:rPr>
          <w:spacing w:val="-2"/>
        </w:rPr>
        <w:t xml:space="preserve"> </w:t>
      </w:r>
      <w:r>
        <w:rPr>
          <w:spacing w:val="1"/>
        </w:rPr>
        <w:t>l</w:t>
      </w:r>
      <w:r>
        <w:t>a</w:t>
      </w:r>
      <w:r>
        <w:rPr>
          <w:spacing w:val="-2"/>
        </w:rPr>
        <w:t xml:space="preserve"> </w:t>
      </w:r>
      <w:r>
        <w:rPr>
          <w:spacing w:val="1"/>
        </w:rPr>
        <w:t>t</w:t>
      </w:r>
      <w:r>
        <w:t>r</w:t>
      </w:r>
      <w:r>
        <w:rPr>
          <w:spacing w:val="-3"/>
        </w:rPr>
        <w:t>a</w:t>
      </w:r>
      <w:r>
        <w:rPr>
          <w:spacing w:val="1"/>
        </w:rPr>
        <w:t>t</w:t>
      </w:r>
      <w:r>
        <w:t>a</w:t>
      </w:r>
      <w:r>
        <w:rPr>
          <w:spacing w:val="-4"/>
        </w:rPr>
        <w:t>m</w:t>
      </w:r>
      <w:r>
        <w:t>en</w:t>
      </w:r>
      <w:r>
        <w:rPr>
          <w:spacing w:val="-2"/>
        </w:rPr>
        <w:t>t</w:t>
      </w:r>
      <w:r>
        <w:t xml:space="preserve">, </w:t>
      </w:r>
      <w:r>
        <w:rPr>
          <w:spacing w:val="-4"/>
        </w:rPr>
        <w:t>m</w:t>
      </w:r>
      <w:r>
        <w:t>ed</w:t>
      </w:r>
      <w:r>
        <w:rPr>
          <w:spacing w:val="1"/>
        </w:rPr>
        <w:t>i</w:t>
      </w:r>
      <w:r>
        <w:t>cul</w:t>
      </w:r>
      <w:r>
        <w:rPr>
          <w:spacing w:val="1"/>
        </w:rPr>
        <w:t xml:space="preserve"> </w:t>
      </w:r>
      <w:r>
        <w:t>du</w:t>
      </w:r>
      <w:r>
        <w:rPr>
          <w:spacing w:val="-4"/>
        </w:rPr>
        <w:t>m</w:t>
      </w:r>
      <w:r>
        <w:t>nea</w:t>
      </w:r>
      <w:r>
        <w:rPr>
          <w:spacing w:val="-3"/>
        </w:rPr>
        <w:t>v</w:t>
      </w:r>
      <w:r>
        <w:t>oas</w:t>
      </w:r>
      <w:r>
        <w:rPr>
          <w:spacing w:val="-2"/>
        </w:rPr>
        <w:t>t</w:t>
      </w:r>
      <w:r>
        <w:t xml:space="preserve">ră </w:t>
      </w:r>
      <w:r>
        <w:rPr>
          <w:spacing w:val="-3"/>
        </w:rPr>
        <w:t>p</w:t>
      </w:r>
      <w:r>
        <w:t>oa</w:t>
      </w:r>
      <w:r>
        <w:rPr>
          <w:spacing w:val="1"/>
        </w:rPr>
        <w:t>t</w:t>
      </w:r>
      <w:r>
        <w:t>e</w:t>
      </w:r>
      <w:r>
        <w:rPr>
          <w:spacing w:val="-2"/>
        </w:rPr>
        <w:t xml:space="preserve"> </w:t>
      </w:r>
      <w:r>
        <w:t>cr</w:t>
      </w:r>
      <w:r>
        <w:rPr>
          <w:spacing w:val="-3"/>
        </w:rPr>
        <w:t>e</w:t>
      </w:r>
      <w:r>
        <w:t>ş</w:t>
      </w:r>
      <w:r>
        <w:rPr>
          <w:spacing w:val="-2"/>
        </w:rPr>
        <w:t>t</w:t>
      </w:r>
      <w:r>
        <w:t>e do</w:t>
      </w:r>
      <w:r>
        <w:rPr>
          <w:spacing w:val="-3"/>
        </w:rPr>
        <w:t>z</w:t>
      </w:r>
      <w:r>
        <w:t xml:space="preserve">a </w:t>
      </w:r>
      <w:r>
        <w:rPr>
          <w:spacing w:val="-2"/>
        </w:rPr>
        <w:t>l</w:t>
      </w:r>
      <w:r>
        <w:t>a 40 </w:t>
      </w:r>
      <w:r>
        <w:rPr>
          <w:spacing w:val="-4"/>
        </w:rPr>
        <w:t>m</w:t>
      </w:r>
      <w:r>
        <w:t>g</w:t>
      </w:r>
      <w:r>
        <w:rPr>
          <w:spacing w:val="-3"/>
        </w:rPr>
        <w:t xml:space="preserve"> </w:t>
      </w:r>
      <w:r>
        <w:rPr>
          <w:spacing w:val="2"/>
        </w:rPr>
        <w:t>s</w:t>
      </w:r>
      <w:r>
        <w:t>ăp</w:t>
      </w:r>
      <w:r>
        <w:rPr>
          <w:spacing w:val="1"/>
        </w:rPr>
        <w:t>t</w:t>
      </w:r>
      <w:r>
        <w:t>ă</w:t>
      </w:r>
      <w:r>
        <w:rPr>
          <w:spacing w:val="-4"/>
        </w:rPr>
        <w:t>m</w:t>
      </w:r>
      <w:r>
        <w:t>âna</w:t>
      </w:r>
      <w:r>
        <w:rPr>
          <w:spacing w:val="1"/>
        </w:rPr>
        <w:t xml:space="preserve">l </w:t>
      </w:r>
      <w:r>
        <w:t xml:space="preserve">sau </w:t>
      </w:r>
      <w:r>
        <w:rPr>
          <w:szCs w:val="22"/>
        </w:rPr>
        <w:t>80 mg o</w:t>
      </w:r>
      <w:r>
        <w:rPr>
          <w:spacing w:val="-3"/>
          <w:szCs w:val="22"/>
        </w:rPr>
        <w:t xml:space="preserve"> </w:t>
      </w:r>
      <w:r>
        <w:rPr>
          <w:szCs w:val="22"/>
        </w:rPr>
        <w:t>da</w:t>
      </w:r>
      <w:r>
        <w:rPr>
          <w:spacing w:val="1"/>
          <w:szCs w:val="22"/>
        </w:rPr>
        <w:t>t</w:t>
      </w:r>
      <w:r>
        <w:rPr>
          <w:szCs w:val="22"/>
        </w:rPr>
        <w:t>ă</w:t>
      </w:r>
      <w:r>
        <w:rPr>
          <w:spacing w:val="-2"/>
          <w:szCs w:val="22"/>
        </w:rPr>
        <w:t xml:space="preserve"> </w:t>
      </w:r>
      <w:r>
        <w:rPr>
          <w:spacing w:val="1"/>
          <w:szCs w:val="22"/>
        </w:rPr>
        <w:t>l</w:t>
      </w:r>
      <w:r>
        <w:rPr>
          <w:szCs w:val="22"/>
        </w:rPr>
        <w:t xml:space="preserve">a </w:t>
      </w:r>
      <w:r>
        <w:rPr>
          <w:spacing w:val="-3"/>
          <w:szCs w:val="22"/>
        </w:rPr>
        <w:t>d</w:t>
      </w:r>
      <w:r>
        <w:rPr>
          <w:szCs w:val="22"/>
        </w:rPr>
        <w:t>ouă</w:t>
      </w:r>
      <w:r>
        <w:rPr>
          <w:spacing w:val="-2"/>
          <w:szCs w:val="22"/>
        </w:rPr>
        <w:t xml:space="preserve"> </w:t>
      </w:r>
      <w:r>
        <w:rPr>
          <w:szCs w:val="22"/>
        </w:rPr>
        <w:t>să</w:t>
      </w:r>
      <w:r>
        <w:rPr>
          <w:spacing w:val="-3"/>
          <w:szCs w:val="22"/>
        </w:rPr>
        <w:t>p</w:t>
      </w:r>
      <w:r>
        <w:rPr>
          <w:spacing w:val="1"/>
          <w:szCs w:val="22"/>
        </w:rPr>
        <w:t>t</w:t>
      </w:r>
      <w:r>
        <w:rPr>
          <w:szCs w:val="22"/>
        </w:rPr>
        <w:t>ă</w:t>
      </w:r>
      <w:r>
        <w:rPr>
          <w:spacing w:val="-4"/>
          <w:szCs w:val="22"/>
        </w:rPr>
        <w:t>m</w:t>
      </w:r>
      <w:r>
        <w:rPr>
          <w:szCs w:val="22"/>
        </w:rPr>
        <w:t>ân</w:t>
      </w:r>
      <w:r>
        <w:rPr>
          <w:spacing w:val="1"/>
          <w:szCs w:val="22"/>
        </w:rPr>
        <w:t>i</w:t>
      </w:r>
      <w:r>
        <w:t>.</w:t>
      </w:r>
    </w:p>
    <w:p w14:paraId="135924F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DEB8765"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cu colită ulcerativă </w:t>
      </w:r>
    </w:p>
    <w:p w14:paraId="2FB616F8"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779BE36F"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mai mică de 40 kg </w:t>
      </w:r>
    </w:p>
    <w:p w14:paraId="32711422"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371E2B1A"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Doza uzuală inițială de AMGEVITA este de 80 mg (sub formă de două injecții a 40 mg într-o zi), urmată de 40 mg (sub formă de o injecție a 40 mg) două săptămâni mai târziu. Ulterior, doza uzuală este de 40 mg la două săptămâni.</w:t>
      </w:r>
    </w:p>
    <w:p w14:paraId="1B685A9E"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D690E8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împlinesc vârsta de 18 ani în timp ce li se administrează doza de 40 mg la două săptămâni, trebuie să continue cu doza prescrisă.</w:t>
      </w:r>
    </w:p>
    <w:p w14:paraId="125F348D"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96FC117"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de 40 kg sau mai mult </w:t>
      </w:r>
    </w:p>
    <w:p w14:paraId="7F4F6E36"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25440C2C"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160 mg (sub formă de patru injecții a 40 mg într-o zi sau de două injecții a 40 mg pe zi timp de două zile consecutive), urmată de 80 mg (sub formă de două injecții a 40 mg într-o zi) două săptămâni mai târziu. Ulterior, doza uzuală este de 80 mg la două săptămâni. </w:t>
      </w:r>
    </w:p>
    <w:p w14:paraId="3E93C5E2"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461B370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rFonts w:eastAsia="MS Mincho"/>
          <w:color w:val="000000"/>
          <w:szCs w:val="22"/>
          <w:lang w:eastAsia="ja-JP" w:bidi="ar-SA"/>
        </w:rPr>
        <w:t>Pacienții care împlinesc vârsta de 18 ani în timp ce li se administrează doza de 80 mg la două săptămâni trebuie să continue cu doza prescrisă.</w:t>
      </w:r>
    </w:p>
    <w:p w14:paraId="1D1B162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32CE33B"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Adulți cu uveită non-infecţioasă</w:t>
      </w:r>
    </w:p>
    <w:p w14:paraId="5C160FD8"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56AC143"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o</w:t>
      </w:r>
      <w:r>
        <w:rPr>
          <w:spacing w:val="-3"/>
          <w:szCs w:val="22"/>
        </w:rPr>
        <w:t>z</w:t>
      </w:r>
      <w:r>
        <w:rPr>
          <w:szCs w:val="22"/>
        </w:rPr>
        <w:t xml:space="preserve">a </w:t>
      </w:r>
      <w:r>
        <w:rPr>
          <w:spacing w:val="-2"/>
        </w:rPr>
        <w:t>recomandat</w:t>
      </w:r>
      <w:r>
        <w:t>ă</w:t>
      </w:r>
      <w:r>
        <w:rPr>
          <w:szCs w:val="22"/>
        </w:rPr>
        <w:t xml:space="preserve"> pe</w:t>
      </w:r>
      <w:r>
        <w:rPr>
          <w:spacing w:val="-3"/>
          <w:szCs w:val="22"/>
        </w:rPr>
        <w:t>n</w:t>
      </w:r>
      <w:r>
        <w:rPr>
          <w:spacing w:val="1"/>
          <w:szCs w:val="22"/>
        </w:rPr>
        <w:t>t</w:t>
      </w:r>
      <w:r>
        <w:rPr>
          <w:szCs w:val="22"/>
        </w:rPr>
        <w:t>ru</w:t>
      </w:r>
      <w:r>
        <w:rPr>
          <w:spacing w:val="-3"/>
          <w:szCs w:val="22"/>
        </w:rPr>
        <w:t xml:space="preserve"> </w:t>
      </w:r>
      <w:r>
        <w:rPr>
          <w:szCs w:val="22"/>
        </w:rPr>
        <w:t>ad</w:t>
      </w:r>
      <w:r>
        <w:rPr>
          <w:spacing w:val="-3"/>
          <w:szCs w:val="22"/>
        </w:rPr>
        <w:t>u</w:t>
      </w:r>
      <w:r>
        <w:rPr>
          <w:spacing w:val="1"/>
          <w:szCs w:val="22"/>
        </w:rPr>
        <w:t>l</w:t>
      </w:r>
      <w:r>
        <w:rPr>
          <w:spacing w:val="-2"/>
          <w:szCs w:val="22"/>
        </w:rPr>
        <w:t>ț</w:t>
      </w:r>
      <w:r>
        <w:rPr>
          <w:spacing w:val="1"/>
          <w:szCs w:val="22"/>
        </w:rPr>
        <w:t>i</w:t>
      </w:r>
      <w:r>
        <w:rPr>
          <w:szCs w:val="22"/>
        </w:rPr>
        <w:t>i</w:t>
      </w:r>
      <w:r>
        <w:rPr>
          <w:spacing w:val="-2"/>
          <w:szCs w:val="22"/>
        </w:rPr>
        <w:t xml:space="preserve"> </w:t>
      </w:r>
      <w:r>
        <w:rPr>
          <w:szCs w:val="22"/>
        </w:rPr>
        <w:t>cu u</w:t>
      </w:r>
      <w:r>
        <w:rPr>
          <w:spacing w:val="-3"/>
          <w:szCs w:val="22"/>
        </w:rPr>
        <w:t>v</w:t>
      </w:r>
      <w:r>
        <w:rPr>
          <w:szCs w:val="22"/>
        </w:rPr>
        <w:t>e</w:t>
      </w:r>
      <w:r>
        <w:rPr>
          <w:spacing w:val="1"/>
          <w:szCs w:val="22"/>
        </w:rPr>
        <w:t>i</w:t>
      </w:r>
      <w:r>
        <w:rPr>
          <w:spacing w:val="-2"/>
          <w:szCs w:val="22"/>
        </w:rPr>
        <w:t>t</w:t>
      </w:r>
      <w:r>
        <w:rPr>
          <w:szCs w:val="22"/>
        </w:rPr>
        <w:t>ă non</w:t>
      </w:r>
      <w:r>
        <w:rPr>
          <w:spacing w:val="-4"/>
          <w:szCs w:val="22"/>
        </w:rPr>
        <w:t>-</w:t>
      </w:r>
      <w:r>
        <w:rPr>
          <w:spacing w:val="1"/>
          <w:szCs w:val="22"/>
        </w:rPr>
        <w:t>i</w:t>
      </w:r>
      <w:r>
        <w:rPr>
          <w:szCs w:val="22"/>
        </w:rPr>
        <w:t>nfe</w:t>
      </w:r>
      <w:r>
        <w:rPr>
          <w:spacing w:val="-2"/>
          <w:szCs w:val="22"/>
        </w:rPr>
        <w:t>c</w:t>
      </w:r>
      <w:r>
        <w:rPr>
          <w:spacing w:val="1"/>
          <w:szCs w:val="22"/>
        </w:rPr>
        <w:t>ţ</w:t>
      </w:r>
      <w:r>
        <w:rPr>
          <w:spacing w:val="-2"/>
          <w:szCs w:val="22"/>
        </w:rPr>
        <w:t>i</w:t>
      </w:r>
      <w:r>
        <w:rPr>
          <w:szCs w:val="22"/>
        </w:rPr>
        <w:t>oa</w:t>
      </w:r>
      <w:r>
        <w:rPr>
          <w:spacing w:val="-2"/>
          <w:szCs w:val="22"/>
        </w:rPr>
        <w:t>s</w:t>
      </w:r>
      <w:r>
        <w:rPr>
          <w:szCs w:val="22"/>
        </w:rPr>
        <w:t>ă e</w:t>
      </w:r>
      <w:r>
        <w:rPr>
          <w:spacing w:val="-2"/>
          <w:szCs w:val="22"/>
        </w:rPr>
        <w:t>s</w:t>
      </w:r>
      <w:r>
        <w:rPr>
          <w:spacing w:val="1"/>
          <w:szCs w:val="22"/>
        </w:rPr>
        <w:t>t</w:t>
      </w:r>
      <w:r>
        <w:rPr>
          <w:szCs w:val="22"/>
        </w:rPr>
        <w:t>e o do</w:t>
      </w:r>
      <w:r>
        <w:rPr>
          <w:spacing w:val="-3"/>
          <w:szCs w:val="22"/>
        </w:rPr>
        <w:t>z</w:t>
      </w:r>
      <w:r>
        <w:rPr>
          <w:szCs w:val="22"/>
        </w:rPr>
        <w:t>ă</w:t>
      </w:r>
      <w:r>
        <w:rPr>
          <w:spacing w:val="-2"/>
          <w:szCs w:val="22"/>
        </w:rPr>
        <w:t xml:space="preserve"> </w:t>
      </w:r>
      <w:r>
        <w:rPr>
          <w:spacing w:val="1"/>
          <w:szCs w:val="22"/>
        </w:rPr>
        <w:t>i</w:t>
      </w:r>
      <w:r>
        <w:rPr>
          <w:szCs w:val="22"/>
        </w:rPr>
        <w:t>n</w:t>
      </w:r>
      <w:r>
        <w:rPr>
          <w:spacing w:val="-2"/>
          <w:szCs w:val="22"/>
        </w:rPr>
        <w:t>i</w:t>
      </w:r>
      <w:r>
        <w:rPr>
          <w:spacing w:val="1"/>
          <w:szCs w:val="22"/>
        </w:rPr>
        <w:t>ț</w:t>
      </w:r>
      <w:r>
        <w:rPr>
          <w:spacing w:val="-2"/>
          <w:szCs w:val="22"/>
        </w:rPr>
        <w:t>i</w:t>
      </w:r>
      <w:r>
        <w:rPr>
          <w:szCs w:val="22"/>
        </w:rPr>
        <w:t>a</w:t>
      </w:r>
      <w:r>
        <w:rPr>
          <w:spacing w:val="-2"/>
          <w:szCs w:val="22"/>
        </w:rPr>
        <w:t>l</w:t>
      </w:r>
      <w:r>
        <w:rPr>
          <w:szCs w:val="22"/>
        </w:rPr>
        <w:t xml:space="preserve">ă de </w:t>
      </w:r>
      <w:r>
        <w:rPr>
          <w:spacing w:val="-3"/>
          <w:szCs w:val="22"/>
        </w:rPr>
        <w:t>8</w:t>
      </w:r>
      <w:r>
        <w:rPr>
          <w:szCs w:val="22"/>
        </w:rPr>
        <w:t>0 </w:t>
      </w:r>
      <w:r>
        <w:rPr>
          <w:spacing w:val="-4"/>
          <w:szCs w:val="22"/>
        </w:rPr>
        <w:t>m</w:t>
      </w:r>
      <w:r>
        <w:rPr>
          <w:spacing w:val="-3"/>
          <w:szCs w:val="22"/>
        </w:rPr>
        <w:t xml:space="preserve">g </w:t>
      </w:r>
      <w:r>
        <w:t>(</w:t>
      </w:r>
      <w:r>
        <w:rPr>
          <w:spacing w:val="2"/>
        </w:rPr>
        <w:t>s</w:t>
      </w:r>
      <w:r>
        <w:t>ub f</w:t>
      </w:r>
      <w:r>
        <w:rPr>
          <w:spacing w:val="-3"/>
        </w:rPr>
        <w:t>o</w:t>
      </w:r>
      <w:r>
        <w:t>r</w:t>
      </w:r>
      <w:r>
        <w:rPr>
          <w:spacing w:val="-4"/>
        </w:rPr>
        <w:t>m</w:t>
      </w:r>
      <w:r>
        <w:t xml:space="preserve">ă de </w:t>
      </w:r>
      <w:r>
        <w:rPr>
          <w:szCs w:val="22"/>
          <w:lang w:eastAsia="en-US" w:bidi="ar-SA"/>
        </w:rPr>
        <w:t>două</w:t>
      </w:r>
      <w:r>
        <w:t xml:space="preserve"> </w:t>
      </w:r>
      <w:r>
        <w:rPr>
          <w:spacing w:val="1"/>
        </w:rPr>
        <w:t>i</w:t>
      </w:r>
      <w:r>
        <w:rPr>
          <w:spacing w:val="-3"/>
        </w:rPr>
        <w:t>n</w:t>
      </w:r>
      <w:r>
        <w:rPr>
          <w:spacing w:val="1"/>
        </w:rPr>
        <w:t>j</w:t>
      </w:r>
      <w:r>
        <w:t>e</w:t>
      </w:r>
      <w:r>
        <w:rPr>
          <w:spacing w:val="-3"/>
        </w:rPr>
        <w:t>c</w:t>
      </w:r>
      <w:r>
        <w:rPr>
          <w:spacing w:val="1"/>
        </w:rPr>
        <w:t>ț</w:t>
      </w:r>
      <w:r>
        <w:rPr>
          <w:spacing w:val="-2"/>
        </w:rPr>
        <w:t>i</w:t>
      </w:r>
      <w:r>
        <w:t>i</w:t>
      </w:r>
      <w:r>
        <w:rPr>
          <w:szCs w:val="22"/>
          <w:lang w:eastAsia="en-US" w:bidi="ar-SA"/>
        </w:rPr>
        <w:t xml:space="preserve"> a câte 40 mg </w:t>
      </w:r>
      <w:r>
        <w:rPr>
          <w:spacing w:val="1"/>
        </w:rPr>
        <w:t>î</w:t>
      </w:r>
      <w:r>
        <w:t>n a</w:t>
      </w:r>
      <w:r>
        <w:rPr>
          <w:spacing w:val="-3"/>
        </w:rPr>
        <w:t>c</w:t>
      </w:r>
      <w:r>
        <w:t>ee</w:t>
      </w:r>
      <w:r>
        <w:rPr>
          <w:spacing w:val="-3"/>
        </w:rPr>
        <w:t>a</w:t>
      </w:r>
      <w:r>
        <w:t>și</w:t>
      </w:r>
      <w:r>
        <w:rPr>
          <w:spacing w:val="1"/>
        </w:rPr>
        <w:t xml:space="preserve"> </w:t>
      </w:r>
      <w:r>
        <w:rPr>
          <w:spacing w:val="-3"/>
        </w:rPr>
        <w:t>z</w:t>
      </w:r>
      <w:r>
        <w:rPr>
          <w:spacing w:val="-2"/>
        </w:rPr>
        <w:t>i)</w:t>
      </w:r>
      <w:r>
        <w:rPr>
          <w:szCs w:val="22"/>
        </w:rPr>
        <w:t>,</w:t>
      </w:r>
      <w:r>
        <w:rPr>
          <w:spacing w:val="2"/>
          <w:szCs w:val="22"/>
        </w:rPr>
        <w:t xml:space="preserve"> </w:t>
      </w:r>
      <w:r>
        <w:rPr>
          <w:szCs w:val="22"/>
        </w:rPr>
        <w:t>ur</w:t>
      </w:r>
      <w:r>
        <w:rPr>
          <w:spacing w:val="-4"/>
          <w:szCs w:val="22"/>
        </w:rPr>
        <w:t>m</w:t>
      </w:r>
      <w:r>
        <w:rPr>
          <w:szCs w:val="22"/>
        </w:rPr>
        <w:t>a</w:t>
      </w:r>
      <w:r>
        <w:rPr>
          <w:spacing w:val="1"/>
          <w:szCs w:val="22"/>
        </w:rPr>
        <w:t>t</w:t>
      </w:r>
      <w:r>
        <w:rPr>
          <w:szCs w:val="22"/>
        </w:rPr>
        <w:t>ă de 40</w:t>
      </w:r>
      <w:r>
        <w:rPr>
          <w:spacing w:val="-3"/>
          <w:szCs w:val="22"/>
        </w:rPr>
        <w:t> </w:t>
      </w:r>
      <w:r>
        <w:rPr>
          <w:spacing w:val="-2"/>
          <w:szCs w:val="22"/>
        </w:rPr>
        <w:t>m</w:t>
      </w:r>
      <w:r>
        <w:rPr>
          <w:szCs w:val="22"/>
        </w:rPr>
        <w:t>g ad</w:t>
      </w:r>
      <w:r>
        <w:rPr>
          <w:spacing w:val="-4"/>
          <w:szCs w:val="22"/>
        </w:rPr>
        <w:t>m</w:t>
      </w:r>
      <w:r>
        <w:rPr>
          <w:spacing w:val="1"/>
          <w:szCs w:val="22"/>
        </w:rPr>
        <w:t>i</w:t>
      </w:r>
      <w:r>
        <w:rPr>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t</w:t>
      </w:r>
      <w:r>
        <w:rPr>
          <w:szCs w:val="22"/>
        </w:rPr>
        <w:t xml:space="preserve">ă o </w:t>
      </w:r>
      <w:r>
        <w:rPr>
          <w:spacing w:val="-3"/>
          <w:szCs w:val="22"/>
        </w:rPr>
        <w:t>d</w:t>
      </w:r>
      <w:r>
        <w:rPr>
          <w:szCs w:val="22"/>
        </w:rPr>
        <w:t>a</w:t>
      </w:r>
      <w:r>
        <w:rPr>
          <w:spacing w:val="-2"/>
          <w:szCs w:val="22"/>
        </w:rPr>
        <w:t>t</w:t>
      </w:r>
      <w:r>
        <w:rPr>
          <w:szCs w:val="22"/>
        </w:rPr>
        <w:t xml:space="preserve">ă </w:t>
      </w:r>
      <w:r>
        <w:rPr>
          <w:spacing w:val="1"/>
          <w:szCs w:val="22"/>
        </w:rPr>
        <w:t>l</w:t>
      </w:r>
      <w:r>
        <w:rPr>
          <w:szCs w:val="22"/>
        </w:rPr>
        <w:t>a</w:t>
      </w:r>
      <w:r>
        <w:rPr>
          <w:spacing w:val="-2"/>
          <w:szCs w:val="22"/>
        </w:rPr>
        <w:t xml:space="preserve"> </w:t>
      </w:r>
      <w:r>
        <w:rPr>
          <w:szCs w:val="22"/>
        </w:rPr>
        <w:t>două</w:t>
      </w:r>
      <w:r>
        <w:rPr>
          <w:spacing w:val="-2"/>
          <w:szCs w:val="22"/>
        </w:rPr>
        <w:t xml:space="preserve"> </w:t>
      </w:r>
      <w:r>
        <w:rPr>
          <w:szCs w:val="22"/>
        </w:rPr>
        <w:t>săp</w:t>
      </w:r>
      <w:r>
        <w:rPr>
          <w:spacing w:val="-2"/>
          <w:szCs w:val="22"/>
        </w:rPr>
        <w:t>t</w:t>
      </w:r>
      <w:r>
        <w:rPr>
          <w:szCs w:val="22"/>
        </w:rPr>
        <w:t>ă</w:t>
      </w:r>
      <w:r>
        <w:rPr>
          <w:spacing w:val="-4"/>
          <w:szCs w:val="22"/>
        </w:rPr>
        <w:t>m</w:t>
      </w:r>
      <w:r>
        <w:rPr>
          <w:szCs w:val="22"/>
        </w:rPr>
        <w:t>âni</w:t>
      </w:r>
      <w:r>
        <w:rPr>
          <w:spacing w:val="1"/>
          <w:szCs w:val="22"/>
        </w:rPr>
        <w:t xml:space="preserve"> î</w:t>
      </w:r>
      <w:r>
        <w:rPr>
          <w:szCs w:val="22"/>
        </w:rPr>
        <w:t>n</w:t>
      </w:r>
      <w:r>
        <w:rPr>
          <w:spacing w:val="-3"/>
          <w:szCs w:val="22"/>
        </w:rPr>
        <w:t>c</w:t>
      </w:r>
      <w:r>
        <w:rPr>
          <w:szCs w:val="22"/>
        </w:rPr>
        <w:t>epâ</w:t>
      </w:r>
      <w:r>
        <w:rPr>
          <w:spacing w:val="-3"/>
          <w:szCs w:val="22"/>
        </w:rPr>
        <w:t>n</w:t>
      </w:r>
      <w:r>
        <w:rPr>
          <w:szCs w:val="22"/>
        </w:rPr>
        <w:t xml:space="preserve">d cu </w:t>
      </w:r>
      <w:r>
        <w:rPr>
          <w:spacing w:val="-3"/>
          <w:szCs w:val="22"/>
        </w:rPr>
        <w:t>p</w:t>
      </w:r>
      <w:r>
        <w:rPr>
          <w:szCs w:val="22"/>
        </w:rPr>
        <w:t>r</w:t>
      </w:r>
      <w:r>
        <w:rPr>
          <w:spacing w:val="-2"/>
          <w:szCs w:val="22"/>
        </w:rPr>
        <w:t>i</w:t>
      </w:r>
      <w:r>
        <w:rPr>
          <w:spacing w:val="-4"/>
          <w:szCs w:val="22"/>
        </w:rPr>
        <w:t>m</w:t>
      </w:r>
      <w:r>
        <w:rPr>
          <w:szCs w:val="22"/>
        </w:rPr>
        <w:t>a săp</w:t>
      </w:r>
      <w:r>
        <w:rPr>
          <w:spacing w:val="1"/>
          <w:szCs w:val="22"/>
        </w:rPr>
        <w:t>t</w:t>
      </w:r>
      <w:r>
        <w:rPr>
          <w:szCs w:val="22"/>
        </w:rPr>
        <w:t>ă</w:t>
      </w:r>
      <w:r>
        <w:rPr>
          <w:spacing w:val="-4"/>
          <w:szCs w:val="22"/>
        </w:rPr>
        <w:t>m</w:t>
      </w:r>
      <w:r>
        <w:rPr>
          <w:szCs w:val="22"/>
        </w:rPr>
        <w:t>ână după do</w:t>
      </w:r>
      <w:r>
        <w:rPr>
          <w:spacing w:val="-3"/>
          <w:szCs w:val="22"/>
        </w:rPr>
        <w:t>z</w:t>
      </w:r>
      <w:r>
        <w:rPr>
          <w:szCs w:val="22"/>
        </w:rPr>
        <w:t>a</w:t>
      </w:r>
      <w:r>
        <w:rPr>
          <w:spacing w:val="-2"/>
          <w:szCs w:val="22"/>
        </w:rPr>
        <w:t xml:space="preserve"> </w:t>
      </w:r>
      <w:r>
        <w:rPr>
          <w:spacing w:val="1"/>
          <w:szCs w:val="22"/>
        </w:rPr>
        <w:t>i</w:t>
      </w:r>
      <w:r>
        <w:rPr>
          <w:spacing w:val="-3"/>
          <w:szCs w:val="22"/>
        </w:rPr>
        <w:t>n</w:t>
      </w:r>
      <w:r>
        <w:rPr>
          <w:spacing w:val="1"/>
          <w:szCs w:val="22"/>
        </w:rPr>
        <w:t>i</w:t>
      </w:r>
      <w:r>
        <w:rPr>
          <w:spacing w:val="-2"/>
          <w:szCs w:val="22"/>
        </w:rPr>
        <w:t>ț</w:t>
      </w:r>
      <w:r>
        <w:rPr>
          <w:spacing w:val="1"/>
          <w:szCs w:val="22"/>
        </w:rPr>
        <w:t>i</w:t>
      </w:r>
      <w:r>
        <w:rPr>
          <w:szCs w:val="22"/>
        </w:rPr>
        <w:t>a</w:t>
      </w:r>
      <w:r>
        <w:rPr>
          <w:spacing w:val="-2"/>
          <w:szCs w:val="22"/>
        </w:rPr>
        <w:t>l</w:t>
      </w:r>
      <w:r>
        <w:rPr>
          <w:szCs w:val="22"/>
        </w:rPr>
        <w:t>ă.</w:t>
      </w:r>
      <w:r>
        <w:rPr>
          <w:spacing w:val="-3"/>
          <w:szCs w:val="22"/>
        </w:rPr>
        <w:t xml:space="preserve"> </w:t>
      </w:r>
      <w:r>
        <w:rPr>
          <w:spacing w:val="2"/>
          <w:szCs w:val="22"/>
        </w:rPr>
        <w:t>T</w:t>
      </w:r>
      <w:r>
        <w:rPr>
          <w:spacing w:val="-2"/>
          <w:szCs w:val="22"/>
        </w:rPr>
        <w:t>r</w:t>
      </w:r>
      <w:r>
        <w:rPr>
          <w:szCs w:val="22"/>
        </w:rPr>
        <w:t>eb</w:t>
      </w:r>
      <w:r>
        <w:rPr>
          <w:spacing w:val="-3"/>
          <w:szCs w:val="22"/>
        </w:rPr>
        <w:t>u</w:t>
      </w:r>
      <w:r>
        <w:rPr>
          <w:spacing w:val="1"/>
          <w:szCs w:val="22"/>
        </w:rPr>
        <w:t>i</w:t>
      </w:r>
      <w:r>
        <w:rPr>
          <w:szCs w:val="22"/>
        </w:rPr>
        <w:t xml:space="preserve">e </w:t>
      </w:r>
      <w:r>
        <w:rPr>
          <w:spacing w:val="-2"/>
          <w:szCs w:val="22"/>
        </w:rPr>
        <w:t xml:space="preserve">să </w:t>
      </w:r>
      <w:r>
        <w:rPr>
          <w:szCs w:val="22"/>
        </w:rPr>
        <w:t>con</w:t>
      </w:r>
      <w:r>
        <w:rPr>
          <w:spacing w:val="-2"/>
          <w:szCs w:val="22"/>
        </w:rPr>
        <w:t>t</w:t>
      </w:r>
      <w:r>
        <w:rPr>
          <w:spacing w:val="1"/>
          <w:szCs w:val="22"/>
        </w:rPr>
        <w:t>i</w:t>
      </w:r>
      <w:r>
        <w:rPr>
          <w:szCs w:val="22"/>
        </w:rPr>
        <w:t>nu</w:t>
      </w:r>
      <w:r>
        <w:rPr>
          <w:spacing w:val="-3"/>
          <w:szCs w:val="22"/>
        </w:rPr>
        <w:t>a</w:t>
      </w:r>
      <w:r>
        <w:rPr>
          <w:spacing w:val="1"/>
          <w:szCs w:val="22"/>
        </w:rPr>
        <w:t>ț</w:t>
      </w:r>
      <w:r>
        <w:rPr>
          <w:szCs w:val="22"/>
        </w:rPr>
        <w:t>i</w:t>
      </w:r>
      <w:r>
        <w:rPr>
          <w:spacing w:val="-2"/>
          <w:szCs w:val="22"/>
        </w:rPr>
        <w:t xml:space="preserve"> </w:t>
      </w:r>
      <w:r>
        <w:rPr>
          <w:szCs w:val="22"/>
        </w:rPr>
        <w:t xml:space="preserve">să </w:t>
      </w:r>
      <w:r>
        <w:rPr>
          <w:spacing w:val="-3"/>
          <w:szCs w:val="22"/>
        </w:rPr>
        <w:t>u</w:t>
      </w:r>
      <w:r>
        <w:rPr>
          <w:spacing w:val="1"/>
          <w:szCs w:val="22"/>
        </w:rPr>
        <w:t>t</w:t>
      </w:r>
      <w:r>
        <w:rPr>
          <w:spacing w:val="-2"/>
          <w:szCs w:val="22"/>
        </w:rPr>
        <w:t>i</w:t>
      </w:r>
      <w:r>
        <w:rPr>
          <w:spacing w:val="1"/>
          <w:szCs w:val="22"/>
        </w:rPr>
        <w:t>li</w:t>
      </w:r>
      <w:r>
        <w:rPr>
          <w:spacing w:val="-3"/>
          <w:szCs w:val="22"/>
        </w:rPr>
        <w:t>za</w:t>
      </w:r>
      <w:r>
        <w:rPr>
          <w:spacing w:val="1"/>
          <w:szCs w:val="22"/>
        </w:rPr>
        <w:t>ţ</w:t>
      </w:r>
      <w:r>
        <w:rPr>
          <w:szCs w:val="22"/>
        </w:rPr>
        <w:t>i</w:t>
      </w:r>
      <w:r>
        <w:rPr>
          <w:spacing w:val="1"/>
          <w:szCs w:val="22"/>
        </w:rPr>
        <w:t xml:space="preserve"> </w:t>
      </w:r>
      <w:r>
        <w:rPr>
          <w:spacing w:val="-1"/>
          <w:szCs w:val="22"/>
          <w:lang w:eastAsia="en-US" w:bidi="ar-SA"/>
        </w:rPr>
        <w:t>AMGEVITA</w:t>
      </w:r>
      <w:r>
        <w:rPr>
          <w:szCs w:val="22"/>
        </w:rPr>
        <w:t xml:space="preserve"> </w:t>
      </w:r>
      <w:r>
        <w:rPr>
          <w:spacing w:val="-3"/>
          <w:szCs w:val="22"/>
        </w:rPr>
        <w:t>a</w:t>
      </w:r>
      <w:r>
        <w:rPr>
          <w:spacing w:val="1"/>
          <w:szCs w:val="22"/>
        </w:rPr>
        <w:t>t</w:t>
      </w:r>
      <w:r>
        <w:rPr>
          <w:spacing w:val="-3"/>
          <w:szCs w:val="22"/>
        </w:rPr>
        <w:t>â</w:t>
      </w:r>
      <w:r>
        <w:rPr>
          <w:spacing w:val="1"/>
          <w:szCs w:val="22"/>
        </w:rPr>
        <w:t>t</w:t>
      </w:r>
      <w:r>
        <w:rPr>
          <w:szCs w:val="22"/>
        </w:rPr>
        <w:t xml:space="preserve">a </w:t>
      </w:r>
      <w:r>
        <w:rPr>
          <w:spacing w:val="-2"/>
          <w:szCs w:val="22"/>
        </w:rPr>
        <w:t>t</w:t>
      </w:r>
      <w:r>
        <w:rPr>
          <w:spacing w:val="1"/>
          <w:szCs w:val="22"/>
        </w:rPr>
        <w:t>i</w:t>
      </w:r>
      <w:r>
        <w:rPr>
          <w:spacing w:val="-4"/>
          <w:szCs w:val="22"/>
        </w:rPr>
        <w:t>m</w:t>
      </w:r>
      <w:r>
        <w:rPr>
          <w:szCs w:val="22"/>
        </w:rPr>
        <w:t>p cât</w:t>
      </w:r>
      <w:r>
        <w:rPr>
          <w:spacing w:val="1"/>
          <w:szCs w:val="22"/>
        </w:rPr>
        <w:t xml:space="preserve">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w:t>
      </w:r>
      <w:r>
        <w:rPr>
          <w:spacing w:val="-3"/>
          <w:szCs w:val="22"/>
        </w:rPr>
        <w:t>u</w:t>
      </w:r>
      <w:r>
        <w:rPr>
          <w:spacing w:val="-4"/>
          <w:szCs w:val="22"/>
        </w:rPr>
        <w:t>m</w:t>
      </w:r>
      <w:r>
        <w:rPr>
          <w:szCs w:val="22"/>
        </w:rPr>
        <w:t>nea</w:t>
      </w:r>
      <w:r>
        <w:rPr>
          <w:spacing w:val="-3"/>
          <w:szCs w:val="22"/>
        </w:rPr>
        <w:t>v</w:t>
      </w:r>
      <w:r>
        <w:rPr>
          <w:szCs w:val="22"/>
        </w:rPr>
        <w:t>oas</w:t>
      </w:r>
      <w:r>
        <w:rPr>
          <w:spacing w:val="1"/>
          <w:szCs w:val="22"/>
        </w:rPr>
        <w:t>t</w:t>
      </w:r>
      <w:r>
        <w:rPr>
          <w:szCs w:val="22"/>
        </w:rPr>
        <w:t>ră v</w:t>
      </w:r>
      <w:r>
        <w:rPr>
          <w:spacing w:val="-5"/>
          <w:szCs w:val="22"/>
        </w:rPr>
        <w:t>-</w:t>
      </w:r>
      <w:r>
        <w:rPr>
          <w:szCs w:val="22"/>
        </w:rPr>
        <w:t>a reco</w:t>
      </w:r>
      <w:r>
        <w:rPr>
          <w:spacing w:val="-4"/>
          <w:szCs w:val="22"/>
        </w:rPr>
        <w:t>m</w:t>
      </w:r>
      <w:r>
        <w:rPr>
          <w:szCs w:val="22"/>
        </w:rPr>
        <w:t>andat.</w:t>
      </w:r>
    </w:p>
    <w:p w14:paraId="7B85017A" w14:textId="77777777" w:rsidR="00C04CAD" w:rsidRDefault="00C04CAD">
      <w:pPr>
        <w:tabs>
          <w:tab w:val="clear" w:pos="567"/>
        </w:tabs>
        <w:kinsoku w:val="0"/>
        <w:overflowPunct w:val="0"/>
        <w:autoSpaceDE w:val="0"/>
        <w:autoSpaceDN w:val="0"/>
        <w:adjustRightInd w:val="0"/>
        <w:spacing w:line="240" w:lineRule="auto"/>
      </w:pPr>
    </w:p>
    <w:p w14:paraId="389692DE" w14:textId="77777777" w:rsidR="00C04CAD" w:rsidRDefault="00060E34">
      <w:pPr>
        <w:numPr>
          <w:ilvl w:val="12"/>
          <w:numId w:val="0"/>
        </w:numPr>
        <w:tabs>
          <w:tab w:val="clear" w:pos="567"/>
        </w:tabs>
        <w:spacing w:line="240" w:lineRule="auto"/>
        <w:ind w:right="-2"/>
        <w:rPr>
          <w:szCs w:val="22"/>
        </w:rPr>
      </w:pPr>
      <w:r>
        <w:rPr>
          <w:spacing w:val="-1"/>
          <w:szCs w:val="22"/>
        </w:rPr>
        <w:t>L</w:t>
      </w:r>
      <w:r>
        <w:rPr>
          <w:szCs w:val="22"/>
        </w:rPr>
        <w:t>a pa</w:t>
      </w:r>
      <w:r>
        <w:rPr>
          <w:spacing w:val="-3"/>
          <w:szCs w:val="22"/>
        </w:rPr>
        <w:t>c</w:t>
      </w:r>
      <w:r>
        <w:rPr>
          <w:spacing w:val="1"/>
          <w:szCs w:val="22"/>
        </w:rPr>
        <w:t>i</w:t>
      </w:r>
      <w:r>
        <w:rPr>
          <w:szCs w:val="22"/>
        </w:rPr>
        <w:t>e</w:t>
      </w:r>
      <w:r>
        <w:rPr>
          <w:spacing w:val="-3"/>
          <w:szCs w:val="22"/>
        </w:rPr>
        <w:t>n</w:t>
      </w:r>
      <w:r>
        <w:rPr>
          <w:spacing w:val="1"/>
          <w:szCs w:val="22"/>
        </w:rPr>
        <w:t>ţ</w:t>
      </w:r>
      <w:r>
        <w:rPr>
          <w:spacing w:val="-2"/>
          <w:szCs w:val="22"/>
        </w:rPr>
        <w:t>i</w:t>
      </w:r>
      <w:r>
        <w:rPr>
          <w:szCs w:val="22"/>
        </w:rPr>
        <w:t>i</w:t>
      </w:r>
      <w:r>
        <w:rPr>
          <w:spacing w:val="1"/>
          <w:szCs w:val="22"/>
        </w:rPr>
        <w:t xml:space="preserve"> </w:t>
      </w:r>
      <w:r>
        <w:rPr>
          <w:szCs w:val="22"/>
        </w:rPr>
        <w:t>cu</w:t>
      </w:r>
      <w:r>
        <w:rPr>
          <w:spacing w:val="-3"/>
          <w:szCs w:val="22"/>
        </w:rPr>
        <w:t xml:space="preserve"> </w:t>
      </w:r>
      <w:r>
        <w:rPr>
          <w:szCs w:val="22"/>
        </w:rPr>
        <w:t>u</w:t>
      </w:r>
      <w:r>
        <w:rPr>
          <w:spacing w:val="-3"/>
          <w:szCs w:val="22"/>
        </w:rPr>
        <w:t>v</w:t>
      </w:r>
      <w:r>
        <w:rPr>
          <w:szCs w:val="22"/>
        </w:rPr>
        <w:t>e</w:t>
      </w:r>
      <w:r>
        <w:rPr>
          <w:spacing w:val="1"/>
          <w:szCs w:val="22"/>
        </w:rPr>
        <w:t>it</w:t>
      </w:r>
      <w:r>
        <w:rPr>
          <w:szCs w:val="22"/>
        </w:rPr>
        <w:t>ă</w:t>
      </w:r>
      <w:r>
        <w:rPr>
          <w:spacing w:val="-3"/>
          <w:szCs w:val="22"/>
        </w:rPr>
        <w:t xml:space="preserve"> </w:t>
      </w:r>
      <w:r>
        <w:rPr>
          <w:szCs w:val="22"/>
        </w:rPr>
        <w:t>non</w:t>
      </w:r>
      <w:r>
        <w:rPr>
          <w:spacing w:val="-4"/>
          <w:szCs w:val="22"/>
        </w:rPr>
        <w:t>-</w:t>
      </w:r>
      <w:r>
        <w:rPr>
          <w:spacing w:val="1"/>
          <w:szCs w:val="22"/>
        </w:rPr>
        <w:t>i</w:t>
      </w:r>
      <w:r>
        <w:rPr>
          <w:szCs w:val="22"/>
        </w:rPr>
        <w:t>nfe</w:t>
      </w:r>
      <w:r>
        <w:rPr>
          <w:spacing w:val="-3"/>
          <w:szCs w:val="22"/>
        </w:rPr>
        <w:t>c</w:t>
      </w:r>
      <w:r>
        <w:rPr>
          <w:spacing w:val="1"/>
          <w:szCs w:val="22"/>
        </w:rPr>
        <w:t>ţi</w:t>
      </w:r>
      <w:r>
        <w:rPr>
          <w:spacing w:val="-3"/>
          <w:szCs w:val="22"/>
        </w:rPr>
        <w:t>o</w:t>
      </w:r>
      <w:r>
        <w:rPr>
          <w:szCs w:val="22"/>
        </w:rPr>
        <w:t>as</w:t>
      </w:r>
      <w:r>
        <w:rPr>
          <w:spacing w:val="-3"/>
          <w:szCs w:val="22"/>
        </w:rPr>
        <w:t>ă</w:t>
      </w:r>
      <w:r>
        <w:rPr>
          <w:szCs w:val="22"/>
        </w:rPr>
        <w:t xml:space="preserve">, </w:t>
      </w:r>
      <w:r>
        <w:rPr>
          <w:spacing w:val="1"/>
          <w:szCs w:val="22"/>
        </w:rPr>
        <w:t>î</w:t>
      </w:r>
      <w:r>
        <w:rPr>
          <w:szCs w:val="22"/>
        </w:rPr>
        <w:t>n</w:t>
      </w:r>
      <w:r>
        <w:rPr>
          <w:spacing w:val="-3"/>
          <w:szCs w:val="22"/>
        </w:rPr>
        <w:t xml:space="preserve"> </w:t>
      </w:r>
      <w:r>
        <w:rPr>
          <w:spacing w:val="1"/>
          <w:szCs w:val="22"/>
        </w:rPr>
        <w:t>ti</w:t>
      </w:r>
      <w:r>
        <w:rPr>
          <w:spacing w:val="-4"/>
          <w:szCs w:val="22"/>
        </w:rPr>
        <w:t>m</w:t>
      </w:r>
      <w:r>
        <w:rPr>
          <w:szCs w:val="22"/>
        </w:rPr>
        <w:t>pul</w:t>
      </w:r>
      <w:r>
        <w:rPr>
          <w:spacing w:val="1"/>
          <w:szCs w:val="22"/>
        </w:rPr>
        <w:t xml:space="preserve"> </w:t>
      </w:r>
      <w:r>
        <w:rPr>
          <w:spacing w:val="-3"/>
          <w:szCs w:val="22"/>
        </w:rPr>
        <w:t>u</w:t>
      </w:r>
      <w:r>
        <w:rPr>
          <w:spacing w:val="1"/>
          <w:szCs w:val="22"/>
        </w:rPr>
        <w:t>t</w:t>
      </w:r>
      <w:r>
        <w:rPr>
          <w:spacing w:val="-2"/>
          <w:szCs w:val="22"/>
        </w:rPr>
        <w:t>i</w:t>
      </w:r>
      <w:r>
        <w:rPr>
          <w:spacing w:val="1"/>
          <w:szCs w:val="22"/>
        </w:rPr>
        <w:t>li</w:t>
      </w:r>
      <w:r>
        <w:rPr>
          <w:spacing w:val="-3"/>
          <w:szCs w:val="22"/>
        </w:rPr>
        <w:t>ză</w:t>
      </w:r>
      <w:r>
        <w:rPr>
          <w:szCs w:val="22"/>
        </w:rPr>
        <w:t>r</w:t>
      </w:r>
      <w:r>
        <w:rPr>
          <w:spacing w:val="-2"/>
          <w:szCs w:val="22"/>
        </w:rPr>
        <w:t>i</w:t>
      </w:r>
      <w:r>
        <w:rPr>
          <w:szCs w:val="22"/>
        </w:rPr>
        <w:t>i</w:t>
      </w:r>
      <w:r>
        <w:rPr>
          <w:spacing w:val="1"/>
          <w:szCs w:val="22"/>
        </w:rPr>
        <w:t xml:space="preserve"> </w:t>
      </w:r>
      <w:r>
        <w:rPr>
          <w:spacing w:val="-1"/>
          <w:szCs w:val="22"/>
          <w:lang w:eastAsia="en-US" w:bidi="ar-SA"/>
        </w:rPr>
        <w:t>AMGEVITA</w:t>
      </w:r>
      <w:r>
        <w:rPr>
          <w:szCs w:val="22"/>
        </w:rPr>
        <w:t>, se</w:t>
      </w:r>
      <w:r>
        <w:rPr>
          <w:spacing w:val="-2"/>
          <w:szCs w:val="22"/>
        </w:rPr>
        <w:t xml:space="preserve"> </w:t>
      </w:r>
      <w:r>
        <w:rPr>
          <w:szCs w:val="22"/>
        </w:rPr>
        <w:t>po</w:t>
      </w:r>
      <w:r>
        <w:rPr>
          <w:spacing w:val="-3"/>
          <w:szCs w:val="22"/>
        </w:rPr>
        <w:t>a</w:t>
      </w:r>
      <w:r>
        <w:rPr>
          <w:spacing w:val="1"/>
          <w:szCs w:val="22"/>
        </w:rPr>
        <w:t>t</w:t>
      </w:r>
      <w:r>
        <w:rPr>
          <w:szCs w:val="22"/>
        </w:rPr>
        <w:t>e c</w:t>
      </w:r>
      <w:r>
        <w:rPr>
          <w:spacing w:val="-3"/>
          <w:szCs w:val="22"/>
        </w:rPr>
        <w:t>o</w:t>
      </w:r>
      <w:r>
        <w:rPr>
          <w:szCs w:val="22"/>
        </w:rPr>
        <w:t>n</w:t>
      </w:r>
      <w:r>
        <w:rPr>
          <w:spacing w:val="-2"/>
          <w:szCs w:val="22"/>
        </w:rPr>
        <w:t>t</w:t>
      </w:r>
      <w:r>
        <w:rPr>
          <w:spacing w:val="1"/>
          <w:szCs w:val="22"/>
        </w:rPr>
        <w:t>i</w:t>
      </w:r>
      <w:r>
        <w:rPr>
          <w:spacing w:val="-3"/>
          <w:szCs w:val="22"/>
        </w:rPr>
        <w:t>n</w:t>
      </w:r>
      <w:r>
        <w:rPr>
          <w:szCs w:val="22"/>
        </w:rPr>
        <w:t xml:space="preserve">ua </w:t>
      </w:r>
      <w:r>
        <w:rPr>
          <w:spacing w:val="-2"/>
          <w:szCs w:val="22"/>
        </w:rPr>
        <w:t>t</w:t>
      </w:r>
      <w:r>
        <w:rPr>
          <w:szCs w:val="22"/>
        </w:rPr>
        <w:t>ra</w:t>
      </w:r>
      <w:r>
        <w:rPr>
          <w:spacing w:val="-2"/>
          <w:szCs w:val="22"/>
        </w:rPr>
        <w:t>t</w:t>
      </w:r>
      <w:r>
        <w:rPr>
          <w:szCs w:val="22"/>
        </w:rPr>
        <w:t>a</w:t>
      </w:r>
      <w:r>
        <w:rPr>
          <w:spacing w:val="-4"/>
          <w:szCs w:val="22"/>
        </w:rPr>
        <w:t>m</w:t>
      </w:r>
      <w:r>
        <w:rPr>
          <w:szCs w:val="22"/>
        </w:rPr>
        <w:t>en</w:t>
      </w:r>
      <w:r>
        <w:rPr>
          <w:spacing w:val="1"/>
          <w:szCs w:val="22"/>
        </w:rPr>
        <w:t>t</w:t>
      </w:r>
      <w:r>
        <w:rPr>
          <w:szCs w:val="22"/>
        </w:rPr>
        <w:t>ul</w:t>
      </w:r>
      <w:r>
        <w:rPr>
          <w:spacing w:val="1"/>
          <w:szCs w:val="22"/>
        </w:rPr>
        <w:t xml:space="preserve"> </w:t>
      </w:r>
      <w:r>
        <w:rPr>
          <w:spacing w:val="-3"/>
          <w:szCs w:val="22"/>
        </w:rPr>
        <w:t>c</w:t>
      </w:r>
      <w:r>
        <w:rPr>
          <w:szCs w:val="22"/>
        </w:rPr>
        <w:t>u cor</w:t>
      </w:r>
      <w:r>
        <w:rPr>
          <w:spacing w:val="-2"/>
          <w:szCs w:val="22"/>
        </w:rPr>
        <w:t>t</w:t>
      </w:r>
      <w:r>
        <w:rPr>
          <w:spacing w:val="1"/>
          <w:szCs w:val="22"/>
        </w:rPr>
        <w:t>i</w:t>
      </w:r>
      <w:r>
        <w:rPr>
          <w:szCs w:val="22"/>
        </w:rPr>
        <w:t>c</w:t>
      </w:r>
      <w:r>
        <w:rPr>
          <w:spacing w:val="-3"/>
          <w:szCs w:val="22"/>
        </w:rPr>
        <w:t>o</w:t>
      </w:r>
      <w:r>
        <w:rPr>
          <w:szCs w:val="22"/>
        </w:rPr>
        <w:t>s</w:t>
      </w:r>
      <w:r>
        <w:rPr>
          <w:spacing w:val="-2"/>
          <w:szCs w:val="22"/>
        </w:rPr>
        <w:t>t</w:t>
      </w:r>
      <w:r>
        <w:rPr>
          <w:szCs w:val="22"/>
        </w:rPr>
        <w:t>er</w:t>
      </w:r>
      <w:r>
        <w:rPr>
          <w:spacing w:val="-3"/>
          <w:szCs w:val="22"/>
        </w:rPr>
        <w:t>o</w:t>
      </w:r>
      <w:r>
        <w:rPr>
          <w:spacing w:val="1"/>
          <w:szCs w:val="22"/>
        </w:rPr>
        <w:t>i</w:t>
      </w:r>
      <w:r>
        <w:rPr>
          <w:spacing w:val="-3"/>
          <w:szCs w:val="22"/>
        </w:rPr>
        <w:t>z</w:t>
      </w:r>
      <w:r>
        <w:rPr>
          <w:szCs w:val="22"/>
        </w:rPr>
        <w:t>i</w:t>
      </w:r>
      <w:r>
        <w:rPr>
          <w:spacing w:val="1"/>
          <w:szCs w:val="22"/>
        </w:rPr>
        <w:t xml:space="preserve"> </w:t>
      </w:r>
      <w:r>
        <w:rPr>
          <w:szCs w:val="22"/>
        </w:rPr>
        <w:t>s</w:t>
      </w:r>
      <w:r>
        <w:rPr>
          <w:spacing w:val="-3"/>
          <w:szCs w:val="22"/>
        </w:rPr>
        <w:t>a</w:t>
      </w:r>
      <w:r>
        <w:rPr>
          <w:szCs w:val="22"/>
        </w:rPr>
        <w:t xml:space="preserve">u cu </w:t>
      </w:r>
      <w:r>
        <w:rPr>
          <w:spacing w:val="-3"/>
          <w:szCs w:val="22"/>
        </w:rPr>
        <w:t>a</w:t>
      </w:r>
      <w:r>
        <w:rPr>
          <w:spacing w:val="-2"/>
          <w:szCs w:val="22"/>
        </w:rPr>
        <w:t>l</w:t>
      </w:r>
      <w:r>
        <w:rPr>
          <w:spacing w:val="1"/>
          <w:szCs w:val="22"/>
        </w:rPr>
        <w:t>t</w:t>
      </w:r>
      <w:r>
        <w:rPr>
          <w:szCs w:val="22"/>
        </w:rPr>
        <w:t>e</w:t>
      </w:r>
      <w:r>
        <w:rPr>
          <w:spacing w:val="-2"/>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en</w:t>
      </w:r>
      <w:r>
        <w:rPr>
          <w:spacing w:val="1"/>
          <w:szCs w:val="22"/>
        </w:rPr>
        <w:t>t</w:t>
      </w:r>
      <w:r>
        <w:rPr>
          <w:szCs w:val="22"/>
        </w:rPr>
        <w:t>e c</w:t>
      </w:r>
      <w:r>
        <w:rPr>
          <w:spacing w:val="-3"/>
          <w:szCs w:val="22"/>
        </w:rPr>
        <w:t>a</w:t>
      </w:r>
      <w:r>
        <w:rPr>
          <w:szCs w:val="22"/>
        </w:rPr>
        <w:t xml:space="preserve">re </w:t>
      </w:r>
      <w:r>
        <w:rPr>
          <w:spacing w:val="-2"/>
          <w:szCs w:val="22"/>
        </w:rPr>
        <w:t>i</w:t>
      </w:r>
      <w:r>
        <w:rPr>
          <w:szCs w:val="22"/>
        </w:rPr>
        <w:t>n</w:t>
      </w:r>
      <w:r>
        <w:rPr>
          <w:spacing w:val="-2"/>
          <w:szCs w:val="22"/>
        </w:rPr>
        <w:t>f</w:t>
      </w:r>
      <w:r>
        <w:rPr>
          <w:spacing w:val="1"/>
          <w:szCs w:val="22"/>
        </w:rPr>
        <w:t>l</w:t>
      </w:r>
      <w:r>
        <w:rPr>
          <w:szCs w:val="22"/>
        </w:rPr>
        <w:t>ue</w:t>
      </w:r>
      <w:r>
        <w:rPr>
          <w:spacing w:val="-3"/>
          <w:szCs w:val="22"/>
        </w:rPr>
        <w:t>n</w:t>
      </w:r>
      <w:r>
        <w:rPr>
          <w:spacing w:val="1"/>
          <w:szCs w:val="22"/>
        </w:rPr>
        <w:t>ț</w:t>
      </w:r>
      <w:r>
        <w:rPr>
          <w:spacing w:val="-3"/>
          <w:szCs w:val="22"/>
        </w:rPr>
        <w:t>e</w:t>
      </w:r>
      <w:r>
        <w:rPr>
          <w:szCs w:val="22"/>
        </w:rPr>
        <w:t>a</w:t>
      </w:r>
      <w:r>
        <w:rPr>
          <w:spacing w:val="-3"/>
          <w:szCs w:val="22"/>
        </w:rPr>
        <w:t>z</w:t>
      </w:r>
      <w:r>
        <w:rPr>
          <w:szCs w:val="22"/>
        </w:rPr>
        <w:t>ă s</w:t>
      </w:r>
      <w:r>
        <w:rPr>
          <w:spacing w:val="1"/>
          <w:szCs w:val="22"/>
        </w:rPr>
        <w:t>i</w:t>
      </w:r>
      <w:r>
        <w:rPr>
          <w:spacing w:val="-2"/>
          <w:szCs w:val="22"/>
        </w:rPr>
        <w:t>s</w:t>
      </w:r>
      <w:r>
        <w:rPr>
          <w:spacing w:val="1"/>
          <w:szCs w:val="22"/>
        </w:rPr>
        <w:t>t</w:t>
      </w:r>
      <w:r>
        <w:rPr>
          <w:szCs w:val="22"/>
        </w:rPr>
        <w:t>e</w:t>
      </w:r>
      <w:r>
        <w:rPr>
          <w:spacing w:val="-4"/>
          <w:szCs w:val="22"/>
        </w:rPr>
        <w:t>m</w:t>
      </w:r>
      <w:r>
        <w:rPr>
          <w:szCs w:val="22"/>
        </w:rPr>
        <w:t>ul</w:t>
      </w:r>
      <w:r>
        <w:rPr>
          <w:spacing w:val="1"/>
          <w:szCs w:val="22"/>
        </w:rPr>
        <w:t xml:space="preserve"> i</w:t>
      </w:r>
      <w:r>
        <w:rPr>
          <w:spacing w:val="-4"/>
          <w:szCs w:val="22"/>
        </w:rPr>
        <w:t>m</w:t>
      </w:r>
      <w:r>
        <w:rPr>
          <w:szCs w:val="22"/>
        </w:rPr>
        <w:t>un</w:t>
      </w:r>
      <w:r>
        <w:rPr>
          <w:spacing w:val="1"/>
          <w:szCs w:val="22"/>
        </w:rPr>
        <w:t>it</w:t>
      </w:r>
      <w:r>
        <w:rPr>
          <w:spacing w:val="-3"/>
          <w:szCs w:val="22"/>
        </w:rPr>
        <w:t>a</w:t>
      </w:r>
      <w:r>
        <w:rPr>
          <w:szCs w:val="22"/>
        </w:rPr>
        <w:t xml:space="preserve">r. </w:t>
      </w:r>
      <w:r>
        <w:rPr>
          <w:spacing w:val="-1"/>
          <w:szCs w:val="22"/>
          <w:lang w:eastAsia="en-US" w:bidi="ar-SA"/>
        </w:rPr>
        <w:t>AMGEVITA</w:t>
      </w:r>
      <w:r>
        <w:rPr>
          <w:spacing w:val="-2"/>
          <w:szCs w:val="22"/>
        </w:rPr>
        <w:t xml:space="preserve"> </w:t>
      </w:r>
      <w:r>
        <w:rPr>
          <w:szCs w:val="22"/>
        </w:rPr>
        <w:t>po</w:t>
      </w:r>
      <w:r>
        <w:rPr>
          <w:spacing w:val="-3"/>
          <w:szCs w:val="22"/>
        </w:rPr>
        <w:t>a</w:t>
      </w:r>
      <w:r>
        <w:rPr>
          <w:spacing w:val="1"/>
          <w:szCs w:val="22"/>
        </w:rPr>
        <w:t>t</w:t>
      </w:r>
      <w:r>
        <w:rPr>
          <w:szCs w:val="22"/>
        </w:rPr>
        <w:t xml:space="preserve">e </w:t>
      </w:r>
      <w:r>
        <w:rPr>
          <w:spacing w:val="-2"/>
          <w:szCs w:val="22"/>
        </w:rPr>
        <w:t>f</w:t>
      </w:r>
      <w:r>
        <w:rPr>
          <w:szCs w:val="22"/>
        </w:rPr>
        <w:t>i</w:t>
      </w:r>
      <w:r>
        <w:rPr>
          <w:spacing w:val="1"/>
          <w:szCs w:val="22"/>
        </w:rPr>
        <w:t xml:space="preserve"> </w:t>
      </w:r>
      <w:r>
        <w:rPr>
          <w:spacing w:val="-3"/>
          <w:szCs w:val="22"/>
        </w:rPr>
        <w:t xml:space="preserve">de </w:t>
      </w:r>
      <w:r>
        <w:rPr>
          <w:szCs w:val="22"/>
        </w:rPr>
        <w:t>ase</w:t>
      </w:r>
      <w:r>
        <w:rPr>
          <w:spacing w:val="-4"/>
          <w:szCs w:val="22"/>
        </w:rPr>
        <w:t>m</w:t>
      </w:r>
      <w:r>
        <w:rPr>
          <w:szCs w:val="22"/>
        </w:rPr>
        <w:t>enea ad</w:t>
      </w:r>
      <w:r>
        <w:rPr>
          <w:spacing w:val="-4"/>
          <w:szCs w:val="22"/>
        </w:rPr>
        <w:t>m</w:t>
      </w:r>
      <w:r>
        <w:rPr>
          <w:spacing w:val="1"/>
          <w:szCs w:val="22"/>
        </w:rPr>
        <w:t>i</w:t>
      </w:r>
      <w:r>
        <w:rPr>
          <w:szCs w:val="22"/>
        </w:rPr>
        <w:t>n</w:t>
      </w:r>
      <w:r>
        <w:rPr>
          <w:spacing w:val="-2"/>
          <w:szCs w:val="22"/>
        </w:rPr>
        <w:t>i</w:t>
      </w:r>
      <w:r>
        <w:rPr>
          <w:szCs w:val="22"/>
        </w:rPr>
        <w:t>s</w:t>
      </w:r>
      <w:r>
        <w:rPr>
          <w:spacing w:val="-2"/>
          <w:szCs w:val="22"/>
        </w:rPr>
        <w:t>t</w:t>
      </w:r>
      <w:r>
        <w:rPr>
          <w:szCs w:val="22"/>
        </w:rPr>
        <w:t>rat</w:t>
      </w:r>
      <w:r>
        <w:rPr>
          <w:spacing w:val="-2"/>
          <w:szCs w:val="22"/>
        </w:rPr>
        <w:t xml:space="preserve"> </w:t>
      </w:r>
      <w:r>
        <w:rPr>
          <w:spacing w:val="1"/>
          <w:szCs w:val="22"/>
        </w:rPr>
        <w:t>î</w:t>
      </w:r>
      <w:r>
        <w:rPr>
          <w:szCs w:val="22"/>
        </w:rPr>
        <w:t xml:space="preserve">n </w:t>
      </w:r>
      <w:r>
        <w:rPr>
          <w:spacing w:val="-4"/>
          <w:szCs w:val="22"/>
        </w:rPr>
        <w:t>m</w:t>
      </w:r>
      <w:r>
        <w:rPr>
          <w:szCs w:val="22"/>
        </w:rPr>
        <w:t>ono</w:t>
      </w:r>
      <w:r>
        <w:rPr>
          <w:spacing w:val="1"/>
          <w:szCs w:val="22"/>
        </w:rPr>
        <w:t>t</w:t>
      </w:r>
      <w:r>
        <w:rPr>
          <w:spacing w:val="-3"/>
          <w:szCs w:val="22"/>
        </w:rPr>
        <w:t>e</w:t>
      </w:r>
      <w:r>
        <w:rPr>
          <w:szCs w:val="22"/>
        </w:rPr>
        <w:t>ra</w:t>
      </w:r>
      <w:r>
        <w:rPr>
          <w:spacing w:val="-3"/>
          <w:szCs w:val="22"/>
        </w:rPr>
        <w:t>p</w:t>
      </w:r>
      <w:r>
        <w:rPr>
          <w:spacing w:val="1"/>
          <w:szCs w:val="22"/>
        </w:rPr>
        <w:t>i</w:t>
      </w:r>
      <w:r>
        <w:rPr>
          <w:szCs w:val="22"/>
        </w:rPr>
        <w:t>e.</w:t>
      </w:r>
    </w:p>
    <w:p w14:paraId="038D17B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6D3320D"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 xml:space="preserve">Copii și adolescenți cu uveită cronică non-infecțioasă </w:t>
      </w:r>
      <w:r>
        <w:rPr>
          <w:szCs w:val="24"/>
          <w:u w:val="single"/>
        </w:rPr>
        <w:t xml:space="preserve">cu vârsta </w:t>
      </w:r>
      <w:r>
        <w:rPr>
          <w:szCs w:val="22"/>
          <w:u w:val="single"/>
        </w:rPr>
        <w:t>de la 2 ani</w:t>
      </w:r>
    </w:p>
    <w:p w14:paraId="7F33F882" w14:textId="77777777" w:rsidR="00C04CAD" w:rsidRDefault="00C04CAD">
      <w:pPr>
        <w:tabs>
          <w:tab w:val="clear" w:pos="567"/>
        </w:tabs>
        <w:kinsoku w:val="0"/>
        <w:overflowPunct w:val="0"/>
        <w:autoSpaceDE w:val="0"/>
        <w:autoSpaceDN w:val="0"/>
        <w:adjustRightInd w:val="0"/>
        <w:spacing w:line="240" w:lineRule="auto"/>
        <w:rPr>
          <w:szCs w:val="22"/>
        </w:rPr>
      </w:pPr>
    </w:p>
    <w:p w14:paraId="07D180A0"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mai mică de 30 kg</w:t>
      </w:r>
    </w:p>
    <w:p w14:paraId="0B403519" w14:textId="77777777" w:rsidR="00C04CAD" w:rsidRDefault="00C04CAD">
      <w:pPr>
        <w:tabs>
          <w:tab w:val="clear" w:pos="567"/>
        </w:tabs>
        <w:kinsoku w:val="0"/>
        <w:overflowPunct w:val="0"/>
        <w:autoSpaceDE w:val="0"/>
        <w:autoSpaceDN w:val="0"/>
        <w:adjustRightInd w:val="0"/>
        <w:spacing w:line="240" w:lineRule="auto"/>
        <w:rPr>
          <w:szCs w:val="22"/>
        </w:rPr>
      </w:pPr>
    </w:p>
    <w:p w14:paraId="3941B1A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rPr>
          <w:szCs w:val="24"/>
        </w:rPr>
        <w:t xml:space="preserve">uzuală </w:t>
      </w:r>
      <w:r>
        <w:rPr>
          <w:szCs w:val="22"/>
        </w:rPr>
        <w:t xml:space="preserve">de AMGEVITA este de 20 mg la două săptămâni </w:t>
      </w:r>
      <w:r>
        <w:rPr>
          <w:szCs w:val="24"/>
        </w:rPr>
        <w:t xml:space="preserve">administrată </w:t>
      </w:r>
      <w:r>
        <w:rPr>
          <w:szCs w:val="22"/>
        </w:rPr>
        <w:t>asociat cu metotrexat.</w:t>
      </w:r>
    </w:p>
    <w:p w14:paraId="284A69DB" w14:textId="77777777" w:rsidR="00C04CAD" w:rsidRDefault="00C04CAD">
      <w:pPr>
        <w:tabs>
          <w:tab w:val="clear" w:pos="567"/>
        </w:tabs>
        <w:kinsoku w:val="0"/>
        <w:overflowPunct w:val="0"/>
        <w:autoSpaceDE w:val="0"/>
        <w:autoSpaceDN w:val="0"/>
        <w:adjustRightInd w:val="0"/>
        <w:spacing w:line="240" w:lineRule="auto"/>
        <w:rPr>
          <w:szCs w:val="22"/>
        </w:rPr>
      </w:pPr>
    </w:p>
    <w:p w14:paraId="49CBC3E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Medicul copilului dumneavoastră vă poate prescrie o doză inițială de 40 mg care se poate administra cu o săptămână înainte </w:t>
      </w:r>
      <w:r>
        <w:rPr>
          <w:szCs w:val="24"/>
        </w:rPr>
        <w:t>să începeți doza uzuală</w:t>
      </w:r>
      <w:r>
        <w:rPr>
          <w:szCs w:val="22"/>
        </w:rPr>
        <w:t>.</w:t>
      </w:r>
    </w:p>
    <w:p w14:paraId="2926A053" w14:textId="77777777" w:rsidR="00C04CAD" w:rsidRDefault="00C04CAD">
      <w:pPr>
        <w:tabs>
          <w:tab w:val="clear" w:pos="567"/>
        </w:tabs>
        <w:kinsoku w:val="0"/>
        <w:overflowPunct w:val="0"/>
        <w:autoSpaceDE w:val="0"/>
        <w:autoSpaceDN w:val="0"/>
        <w:adjustRightInd w:val="0"/>
        <w:spacing w:line="240" w:lineRule="auto"/>
        <w:rPr>
          <w:szCs w:val="22"/>
        </w:rPr>
      </w:pPr>
    </w:p>
    <w:p w14:paraId="49E16738"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Pen-ul preumplut de 40 mg nu poate fi utilizat pentru doza de 20 mg. Cu toate acestea, este disponibilă o </w:t>
      </w:r>
      <w:r>
        <w:rPr>
          <w:i/>
          <w:szCs w:val="22"/>
        </w:rPr>
        <w:t xml:space="preserve">seringă </w:t>
      </w:r>
      <w:r>
        <w:rPr>
          <w:szCs w:val="22"/>
        </w:rPr>
        <w:t>preumplută de AMGEVITA 20 mg pentru doza de 20 mg.</w:t>
      </w:r>
    </w:p>
    <w:p w14:paraId="6741ABBA" w14:textId="77777777" w:rsidR="00C04CAD" w:rsidRDefault="00C04CAD">
      <w:pPr>
        <w:tabs>
          <w:tab w:val="clear" w:pos="567"/>
        </w:tabs>
        <w:kinsoku w:val="0"/>
        <w:overflowPunct w:val="0"/>
        <w:autoSpaceDE w:val="0"/>
        <w:autoSpaceDN w:val="0"/>
        <w:adjustRightInd w:val="0"/>
        <w:spacing w:line="240" w:lineRule="auto"/>
        <w:rPr>
          <w:szCs w:val="22"/>
        </w:rPr>
      </w:pPr>
    </w:p>
    <w:p w14:paraId="5D65FD59"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de 30 kg sau mai mult</w:t>
      </w:r>
    </w:p>
    <w:p w14:paraId="2CB5260F" w14:textId="77777777" w:rsidR="00C04CAD" w:rsidRDefault="00C04CAD">
      <w:pPr>
        <w:tabs>
          <w:tab w:val="clear" w:pos="567"/>
        </w:tabs>
        <w:kinsoku w:val="0"/>
        <w:overflowPunct w:val="0"/>
        <w:autoSpaceDE w:val="0"/>
        <w:autoSpaceDN w:val="0"/>
        <w:adjustRightInd w:val="0"/>
        <w:spacing w:line="240" w:lineRule="auto"/>
        <w:rPr>
          <w:szCs w:val="22"/>
        </w:rPr>
      </w:pPr>
    </w:p>
    <w:p w14:paraId="3C81E86A"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 xml:space="preserve">Doza </w:t>
      </w:r>
      <w:r>
        <w:rPr>
          <w:szCs w:val="24"/>
        </w:rPr>
        <w:t xml:space="preserve">uzuală </w:t>
      </w:r>
      <w:r>
        <w:rPr>
          <w:spacing w:val="1"/>
          <w:szCs w:val="22"/>
        </w:rPr>
        <w:t xml:space="preserve">de AMGEVITA este de 20 mg la două săptămâni </w:t>
      </w:r>
      <w:r>
        <w:rPr>
          <w:szCs w:val="24"/>
        </w:rPr>
        <w:t xml:space="preserve">administrată asociat cu </w:t>
      </w:r>
      <w:r>
        <w:rPr>
          <w:spacing w:val="1"/>
          <w:szCs w:val="22"/>
        </w:rPr>
        <w:t>metotrexat.</w:t>
      </w:r>
    </w:p>
    <w:p w14:paraId="5EBDF19D" w14:textId="77777777" w:rsidR="00C04CAD" w:rsidRDefault="00C04CAD">
      <w:pPr>
        <w:tabs>
          <w:tab w:val="clear" w:pos="567"/>
        </w:tabs>
        <w:kinsoku w:val="0"/>
        <w:overflowPunct w:val="0"/>
        <w:autoSpaceDE w:val="0"/>
        <w:autoSpaceDN w:val="0"/>
        <w:adjustRightInd w:val="0"/>
        <w:spacing w:line="240" w:lineRule="auto"/>
        <w:rPr>
          <w:szCs w:val="22"/>
        </w:rPr>
      </w:pPr>
    </w:p>
    <w:p w14:paraId="37EAFC5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 xml:space="preserve">Medicul dumneavoastră vă poate prescrie o doză inițială de 80 mg care se poate administra cu o săptămână înainte </w:t>
      </w:r>
      <w:r>
        <w:rPr>
          <w:szCs w:val="24"/>
        </w:rPr>
        <w:t>să începeți doza uzuală</w:t>
      </w:r>
      <w:r>
        <w:rPr>
          <w:szCs w:val="22"/>
        </w:rPr>
        <w:t>.</w:t>
      </w:r>
    </w:p>
    <w:p w14:paraId="4CDF431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C1D86A6"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Mod</w:t>
      </w:r>
      <w:r>
        <w:rPr>
          <w:b/>
          <w:spacing w:val="-1"/>
          <w:szCs w:val="22"/>
        </w:rPr>
        <w:t xml:space="preserve"> </w:t>
      </w:r>
      <w:r>
        <w:rPr>
          <w:b/>
          <w:spacing w:val="-2"/>
          <w:szCs w:val="22"/>
        </w:rPr>
        <w:t>ș</w:t>
      </w:r>
      <w:r>
        <w:rPr>
          <w:b/>
          <w:szCs w:val="22"/>
        </w:rPr>
        <w:t>i</w:t>
      </w:r>
      <w:r>
        <w:rPr>
          <w:b/>
          <w:spacing w:val="1"/>
          <w:szCs w:val="22"/>
        </w:rPr>
        <w:t xml:space="preserve"> </w:t>
      </w:r>
      <w:r>
        <w:rPr>
          <w:b/>
          <w:szCs w:val="22"/>
        </w:rPr>
        <w:t>c</w:t>
      </w:r>
      <w:r>
        <w:rPr>
          <w:b/>
          <w:spacing w:val="-3"/>
          <w:szCs w:val="22"/>
        </w:rPr>
        <w:t>a</w:t>
      </w:r>
      <w:r>
        <w:rPr>
          <w:b/>
          <w:spacing w:val="1"/>
          <w:szCs w:val="22"/>
        </w:rPr>
        <w:t>l</w:t>
      </w:r>
      <w:r>
        <w:rPr>
          <w:b/>
          <w:szCs w:val="22"/>
        </w:rPr>
        <w:t xml:space="preserve">e </w:t>
      </w:r>
      <w:r>
        <w:rPr>
          <w:b/>
          <w:spacing w:val="-1"/>
          <w:szCs w:val="22"/>
        </w:rPr>
        <w:t>d</w:t>
      </w:r>
      <w:r>
        <w:rPr>
          <w:b/>
          <w:szCs w:val="22"/>
        </w:rPr>
        <w:t>e</w:t>
      </w:r>
      <w:r>
        <w:rPr>
          <w:b/>
          <w:spacing w:val="-2"/>
          <w:szCs w:val="22"/>
        </w:rPr>
        <w:t xml:space="preserve"> </w:t>
      </w:r>
      <w:r>
        <w:rPr>
          <w:b/>
          <w:szCs w:val="22"/>
        </w:rPr>
        <w:t>a</w:t>
      </w:r>
      <w:r>
        <w:rPr>
          <w:b/>
          <w:spacing w:val="-1"/>
          <w:szCs w:val="22"/>
        </w:rPr>
        <w:t>d</w:t>
      </w:r>
      <w:r>
        <w:rPr>
          <w:b/>
          <w:spacing w:val="-2"/>
          <w:szCs w:val="22"/>
        </w:rPr>
        <w:t>m</w:t>
      </w:r>
      <w:r>
        <w:rPr>
          <w:b/>
          <w:spacing w:val="1"/>
          <w:szCs w:val="22"/>
        </w:rPr>
        <w:t>i</w:t>
      </w:r>
      <w:r>
        <w:rPr>
          <w:b/>
          <w:spacing w:val="-1"/>
          <w:szCs w:val="22"/>
        </w:rPr>
        <w:t>n</w:t>
      </w:r>
      <w:r>
        <w:rPr>
          <w:b/>
          <w:spacing w:val="-2"/>
          <w:szCs w:val="22"/>
        </w:rPr>
        <w:t>i</w:t>
      </w:r>
      <w:r>
        <w:rPr>
          <w:b/>
          <w:szCs w:val="22"/>
        </w:rPr>
        <w:t>st</w:t>
      </w:r>
      <w:r>
        <w:rPr>
          <w:b/>
          <w:spacing w:val="-3"/>
          <w:szCs w:val="22"/>
        </w:rPr>
        <w:t>ra</w:t>
      </w:r>
      <w:r>
        <w:rPr>
          <w:b/>
          <w:szCs w:val="22"/>
        </w:rPr>
        <w:t>re</w:t>
      </w:r>
    </w:p>
    <w:p w14:paraId="03C3581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81800C9" w14:textId="77777777" w:rsidR="00C04CAD" w:rsidRDefault="00060E34">
      <w:pPr>
        <w:autoSpaceDE w:val="0"/>
        <w:autoSpaceDN w:val="0"/>
        <w:adjustRightInd w:val="0"/>
        <w:spacing w:line="240" w:lineRule="auto"/>
        <w:rPr>
          <w:szCs w:val="22"/>
        </w:rPr>
      </w:pPr>
      <w:r>
        <w:rPr>
          <w:spacing w:val="-1"/>
          <w:szCs w:val="22"/>
          <w:lang w:eastAsia="en-US" w:bidi="ar-SA"/>
        </w:rPr>
        <w:t>AMGEVITA</w:t>
      </w:r>
      <w:r>
        <w:rPr>
          <w:szCs w:val="22"/>
        </w:rPr>
        <w:t xml:space="preserve"> se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pacing w:val="-2"/>
          <w:szCs w:val="22"/>
        </w:rPr>
        <w:t>r</w:t>
      </w:r>
      <w:r>
        <w:rPr>
          <w:szCs w:val="22"/>
        </w:rPr>
        <w:t>ea</w:t>
      </w:r>
      <w:r>
        <w:rPr>
          <w:spacing w:val="-3"/>
          <w:szCs w:val="22"/>
        </w:rPr>
        <w:t>z</w:t>
      </w:r>
      <w:r>
        <w:rPr>
          <w:szCs w:val="22"/>
        </w:rPr>
        <w:t>ă p</w:t>
      </w:r>
      <w:r>
        <w:rPr>
          <w:spacing w:val="-2"/>
          <w:szCs w:val="22"/>
        </w:rPr>
        <w:t>r</w:t>
      </w:r>
      <w:r>
        <w:rPr>
          <w:spacing w:val="1"/>
          <w:szCs w:val="22"/>
        </w:rPr>
        <w:t>i</w:t>
      </w:r>
      <w:r>
        <w:rPr>
          <w:szCs w:val="22"/>
        </w:rPr>
        <w:t xml:space="preserve">n </w:t>
      </w:r>
      <w:r>
        <w:rPr>
          <w:spacing w:val="1"/>
          <w:szCs w:val="22"/>
        </w:rPr>
        <w:t>i</w:t>
      </w:r>
      <w:r>
        <w:rPr>
          <w:spacing w:val="-3"/>
          <w:szCs w:val="22"/>
        </w:rPr>
        <w:t>n</w:t>
      </w:r>
      <w:r>
        <w:rPr>
          <w:spacing w:val="1"/>
          <w:szCs w:val="22"/>
        </w:rPr>
        <w:t>j</w:t>
      </w:r>
      <w:r>
        <w:rPr>
          <w:spacing w:val="-3"/>
          <w:szCs w:val="22"/>
        </w:rPr>
        <w:t>e</w:t>
      </w:r>
      <w:r>
        <w:rPr>
          <w:szCs w:val="22"/>
        </w:rPr>
        <w:t>c</w:t>
      </w:r>
      <w:r>
        <w:rPr>
          <w:spacing w:val="1"/>
          <w:szCs w:val="22"/>
        </w:rPr>
        <w:t>t</w:t>
      </w:r>
      <w:r>
        <w:rPr>
          <w:spacing w:val="-3"/>
          <w:szCs w:val="22"/>
        </w:rPr>
        <w:t>a</w:t>
      </w:r>
      <w:r>
        <w:rPr>
          <w:szCs w:val="22"/>
        </w:rPr>
        <w:t>re</w:t>
      </w:r>
      <w:r>
        <w:rPr>
          <w:spacing w:val="-2"/>
          <w:szCs w:val="22"/>
        </w:rPr>
        <w:t xml:space="preserve"> </w:t>
      </w:r>
      <w:r>
        <w:rPr>
          <w:szCs w:val="22"/>
        </w:rPr>
        <w:t xml:space="preserve">sub </w:t>
      </w:r>
      <w:r>
        <w:rPr>
          <w:spacing w:val="-3"/>
          <w:szCs w:val="22"/>
        </w:rPr>
        <w:t>p</w:t>
      </w:r>
      <w:r>
        <w:rPr>
          <w:spacing w:val="1"/>
          <w:szCs w:val="22"/>
        </w:rPr>
        <w:t>i</w:t>
      </w:r>
      <w:r>
        <w:rPr>
          <w:spacing w:val="-3"/>
          <w:szCs w:val="22"/>
        </w:rPr>
        <w:t>e</w:t>
      </w:r>
      <w:r>
        <w:rPr>
          <w:spacing w:val="1"/>
          <w:szCs w:val="22"/>
        </w:rPr>
        <w:t>l</w:t>
      </w:r>
      <w:r>
        <w:rPr>
          <w:szCs w:val="22"/>
        </w:rPr>
        <w:t xml:space="preserve">e </w:t>
      </w:r>
      <w:r>
        <w:rPr>
          <w:spacing w:val="-2"/>
          <w:szCs w:val="22"/>
        </w:rPr>
        <w:t>(i</w:t>
      </w:r>
      <w:r>
        <w:rPr>
          <w:spacing w:val="-3"/>
          <w:szCs w:val="22"/>
        </w:rPr>
        <w:t>n</w:t>
      </w:r>
      <w:r>
        <w:rPr>
          <w:spacing w:val="3"/>
          <w:szCs w:val="22"/>
        </w:rPr>
        <w:t>j</w:t>
      </w:r>
      <w:r>
        <w:rPr>
          <w:szCs w:val="22"/>
        </w:rPr>
        <w:t>e</w:t>
      </w:r>
      <w:r>
        <w:rPr>
          <w:spacing w:val="-3"/>
          <w:szCs w:val="22"/>
        </w:rPr>
        <w:t>c</w:t>
      </w:r>
      <w:r>
        <w:rPr>
          <w:spacing w:val="1"/>
          <w:szCs w:val="22"/>
        </w:rPr>
        <w:t>t</w:t>
      </w:r>
      <w:r>
        <w:rPr>
          <w:spacing w:val="-3"/>
          <w:szCs w:val="22"/>
        </w:rPr>
        <w:t>a</w:t>
      </w:r>
      <w:r>
        <w:rPr>
          <w:szCs w:val="22"/>
        </w:rPr>
        <w:t xml:space="preserve">re </w:t>
      </w:r>
      <w:r>
        <w:rPr>
          <w:spacing w:val="-2"/>
          <w:szCs w:val="22"/>
        </w:rPr>
        <w:t>s</w:t>
      </w:r>
      <w:r>
        <w:rPr>
          <w:szCs w:val="22"/>
        </w:rPr>
        <w:t>ubc</w:t>
      </w:r>
      <w:r>
        <w:rPr>
          <w:spacing w:val="-3"/>
          <w:szCs w:val="22"/>
        </w:rPr>
        <w:t>u</w:t>
      </w:r>
      <w:r>
        <w:rPr>
          <w:spacing w:val="1"/>
          <w:szCs w:val="22"/>
        </w:rPr>
        <w:t>t</w:t>
      </w:r>
      <w:r>
        <w:rPr>
          <w:szCs w:val="22"/>
        </w:rPr>
        <w:t>an</w:t>
      </w:r>
      <w:r>
        <w:rPr>
          <w:spacing w:val="-3"/>
          <w:szCs w:val="22"/>
        </w:rPr>
        <w:t>a</w:t>
      </w:r>
      <w:r>
        <w:rPr>
          <w:spacing w:val="1"/>
          <w:szCs w:val="22"/>
        </w:rPr>
        <w:t>t</w:t>
      </w:r>
      <w:r>
        <w:rPr>
          <w:spacing w:val="-3"/>
          <w:szCs w:val="22"/>
        </w:rPr>
        <w:t>ă</w:t>
      </w:r>
      <w:r>
        <w:rPr>
          <w:szCs w:val="22"/>
        </w:rPr>
        <w:t>).</w:t>
      </w:r>
    </w:p>
    <w:p w14:paraId="4BE31E5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30F210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Instrucțiuni detaliate privind modul de injectare al AMGEVITA sunt furnizate la punctul „Instrucțiuni de utilizare”.</w:t>
      </w:r>
    </w:p>
    <w:p w14:paraId="56720EC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0AF072B"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 xml:space="preserve">acă </w:t>
      </w:r>
      <w:r>
        <w:rPr>
          <w:b/>
          <w:spacing w:val="-1"/>
          <w:szCs w:val="22"/>
        </w:rPr>
        <w:t>u</w:t>
      </w:r>
      <w:r>
        <w:rPr>
          <w:b/>
          <w:spacing w:val="-2"/>
          <w:szCs w:val="22"/>
        </w:rPr>
        <w:t>t</w:t>
      </w:r>
      <w:r>
        <w:rPr>
          <w:b/>
          <w:spacing w:val="1"/>
          <w:szCs w:val="22"/>
        </w:rPr>
        <w:t>i</w:t>
      </w:r>
      <w:r>
        <w:rPr>
          <w:b/>
          <w:spacing w:val="-2"/>
          <w:szCs w:val="22"/>
        </w:rPr>
        <w:t>l</w:t>
      </w:r>
      <w:r>
        <w:rPr>
          <w:b/>
          <w:spacing w:val="1"/>
          <w:szCs w:val="22"/>
        </w:rPr>
        <w:t>i</w:t>
      </w:r>
      <w:r>
        <w:rPr>
          <w:b/>
          <w:spacing w:val="-3"/>
          <w:szCs w:val="22"/>
        </w:rPr>
        <w:t>z</w:t>
      </w:r>
      <w:r>
        <w:rPr>
          <w:b/>
          <w:szCs w:val="22"/>
        </w:rPr>
        <w:t>aţi</w:t>
      </w:r>
      <w:r>
        <w:rPr>
          <w:b/>
          <w:spacing w:val="-2"/>
          <w:szCs w:val="22"/>
        </w:rPr>
        <w:t xml:space="preserve"> </w:t>
      </w:r>
      <w:r>
        <w:rPr>
          <w:b/>
          <w:szCs w:val="22"/>
        </w:rPr>
        <w:t>mai</w:t>
      </w:r>
      <w:r>
        <w:rPr>
          <w:b/>
          <w:spacing w:val="-2"/>
          <w:szCs w:val="22"/>
        </w:rPr>
        <w:t xml:space="preserve"> </w:t>
      </w:r>
      <w:r>
        <w:rPr>
          <w:b/>
          <w:szCs w:val="22"/>
        </w:rPr>
        <w:t>m</w:t>
      </w:r>
      <w:r>
        <w:rPr>
          <w:b/>
          <w:spacing w:val="-3"/>
          <w:szCs w:val="22"/>
        </w:rPr>
        <w:t>u</w:t>
      </w:r>
      <w:r>
        <w:rPr>
          <w:b/>
          <w:spacing w:val="1"/>
          <w:szCs w:val="22"/>
        </w:rPr>
        <w:t>l</w:t>
      </w:r>
      <w:r>
        <w:rPr>
          <w:b/>
          <w:szCs w:val="22"/>
        </w:rPr>
        <w:t>t</w:t>
      </w:r>
      <w:r>
        <w:rPr>
          <w:b/>
          <w:spacing w:val="1"/>
          <w:szCs w:val="22"/>
        </w:rPr>
        <w:t xml:space="preserve"> </w:t>
      </w:r>
      <w:r>
        <w:rPr>
          <w:b/>
          <w:spacing w:val="-3"/>
          <w:szCs w:val="22"/>
        </w:rPr>
        <w:t>de</w:t>
      </w:r>
      <w:r>
        <w:rPr>
          <w:b/>
          <w:szCs w:val="22"/>
        </w:rPr>
        <w:t>cât</w:t>
      </w:r>
      <w:r>
        <w:rPr>
          <w:b/>
          <w:spacing w:val="1"/>
          <w:szCs w:val="22"/>
        </w:rPr>
        <w:t xml:space="preserve"> </w:t>
      </w:r>
      <w:r>
        <w:rPr>
          <w:b/>
          <w:spacing w:val="-2"/>
          <w:szCs w:val="22"/>
        </w:rPr>
        <w:t>t</w:t>
      </w:r>
      <w:r>
        <w:rPr>
          <w:b/>
          <w:szCs w:val="22"/>
        </w:rPr>
        <w:t>re</w:t>
      </w:r>
      <w:r>
        <w:rPr>
          <w:b/>
          <w:spacing w:val="-1"/>
          <w:szCs w:val="22"/>
        </w:rPr>
        <w:t>b</w:t>
      </w:r>
      <w:r>
        <w:rPr>
          <w:b/>
          <w:spacing w:val="-3"/>
          <w:szCs w:val="22"/>
        </w:rPr>
        <w:t>u</w:t>
      </w:r>
      <w:r>
        <w:rPr>
          <w:b/>
          <w:spacing w:val="1"/>
          <w:szCs w:val="22"/>
        </w:rPr>
        <w:t>i</w:t>
      </w:r>
      <w:r>
        <w:rPr>
          <w:b/>
          <w:szCs w:val="22"/>
        </w:rPr>
        <w:t xml:space="preserve">e </w:t>
      </w:r>
      <w:r>
        <w:rPr>
          <w:b/>
          <w:spacing w:val="-3"/>
          <w:szCs w:val="22"/>
        </w:rPr>
        <w:t>d</w:t>
      </w:r>
      <w:r>
        <w:rPr>
          <w:b/>
          <w:spacing w:val="1"/>
          <w:szCs w:val="22"/>
        </w:rPr>
        <w:t>i</w:t>
      </w:r>
      <w:r>
        <w:rPr>
          <w:b/>
          <w:szCs w:val="22"/>
        </w:rPr>
        <w:t>n</w:t>
      </w:r>
      <w:r>
        <w:rPr>
          <w:b/>
          <w:spacing w:val="-1"/>
          <w:szCs w:val="22"/>
        </w:rPr>
        <w:t xml:space="preserve"> </w:t>
      </w:r>
      <w:r>
        <w:rPr>
          <w:b/>
          <w:bCs/>
          <w:spacing w:val="1"/>
          <w:szCs w:val="22"/>
          <w:lang w:eastAsia="en-US" w:bidi="ar-SA"/>
        </w:rPr>
        <w:t>AMGEVITA</w:t>
      </w:r>
    </w:p>
    <w:p w14:paraId="05B2F303" w14:textId="77777777" w:rsidR="00C04CAD" w:rsidRDefault="00C04CAD">
      <w:pPr>
        <w:tabs>
          <w:tab w:val="clear" w:pos="567"/>
        </w:tabs>
        <w:kinsoku w:val="0"/>
        <w:overflowPunct w:val="0"/>
        <w:autoSpaceDE w:val="0"/>
        <w:autoSpaceDN w:val="0"/>
        <w:adjustRightInd w:val="0"/>
        <w:spacing w:line="240" w:lineRule="auto"/>
        <w:rPr>
          <w:szCs w:val="22"/>
        </w:rPr>
      </w:pPr>
    </w:p>
    <w:p w14:paraId="3D216D44"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 xml:space="preserve">acă </w:t>
      </w:r>
      <w:r>
        <w:rPr>
          <w:spacing w:val="-3"/>
          <w:szCs w:val="22"/>
        </w:rPr>
        <w:t>v</w:t>
      </w:r>
      <w:r>
        <w:rPr>
          <w:szCs w:val="22"/>
        </w:rPr>
        <w:t>ă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pacing w:val="1"/>
          <w:szCs w:val="22"/>
        </w:rPr>
        <w:t>ţ</w:t>
      </w:r>
      <w:r>
        <w:rPr>
          <w:szCs w:val="22"/>
        </w:rPr>
        <w:t>i</w:t>
      </w:r>
      <w:r>
        <w:rPr>
          <w:spacing w:val="-2"/>
          <w:szCs w:val="22"/>
        </w:rPr>
        <w:t xml:space="preserve"> </w:t>
      </w:r>
      <w:r>
        <w:rPr>
          <w:szCs w:val="22"/>
        </w:rPr>
        <w:t>ac</w:t>
      </w:r>
      <w:r>
        <w:rPr>
          <w:spacing w:val="-3"/>
          <w:szCs w:val="22"/>
        </w:rPr>
        <w:t>c</w:t>
      </w:r>
      <w:r>
        <w:rPr>
          <w:spacing w:val="1"/>
          <w:szCs w:val="22"/>
        </w:rPr>
        <w:t>i</w:t>
      </w:r>
      <w:r>
        <w:rPr>
          <w:szCs w:val="22"/>
        </w:rPr>
        <w:t>d</w:t>
      </w:r>
      <w:r>
        <w:rPr>
          <w:spacing w:val="-3"/>
          <w:szCs w:val="22"/>
        </w:rPr>
        <w:t>e</w:t>
      </w:r>
      <w:r>
        <w:rPr>
          <w:szCs w:val="22"/>
        </w:rPr>
        <w:t>n</w:t>
      </w:r>
      <w:r>
        <w:rPr>
          <w:spacing w:val="1"/>
          <w:szCs w:val="22"/>
        </w:rPr>
        <w:t>t</w:t>
      </w:r>
      <w:r>
        <w:rPr>
          <w:spacing w:val="-3"/>
          <w:szCs w:val="22"/>
        </w:rPr>
        <w:t>a</w:t>
      </w:r>
      <w:r>
        <w:rPr>
          <w:szCs w:val="22"/>
        </w:rPr>
        <w:t>l</w:t>
      </w:r>
      <w:r>
        <w:rPr>
          <w:spacing w:val="1"/>
          <w:szCs w:val="22"/>
        </w:rPr>
        <w:t xml:space="preserve"> </w:t>
      </w:r>
      <w:r>
        <w:rPr>
          <w:spacing w:val="-1"/>
          <w:szCs w:val="22"/>
          <w:lang w:eastAsia="en-US" w:bidi="ar-SA"/>
        </w:rPr>
        <w:t>AMGEVITA</w:t>
      </w:r>
      <w:r>
        <w:rPr>
          <w:szCs w:val="22"/>
        </w:rPr>
        <w:t xml:space="preserve"> </w:t>
      </w:r>
      <w:r>
        <w:rPr>
          <w:spacing w:val="-4"/>
          <w:szCs w:val="22"/>
        </w:rPr>
        <w:t>m</w:t>
      </w:r>
      <w:r>
        <w:rPr>
          <w:szCs w:val="22"/>
        </w:rPr>
        <w:t>ai</w:t>
      </w:r>
      <w:r>
        <w:rPr>
          <w:spacing w:val="1"/>
          <w:szCs w:val="22"/>
        </w:rPr>
        <w:t xml:space="preserve"> </w:t>
      </w:r>
      <w:r>
        <w:rPr>
          <w:szCs w:val="22"/>
        </w:rPr>
        <w:t xml:space="preserve">des </w:t>
      </w:r>
      <w:r>
        <w:rPr>
          <w:spacing w:val="-3"/>
          <w:szCs w:val="22"/>
        </w:rPr>
        <w:t>d</w:t>
      </w:r>
      <w:r>
        <w:rPr>
          <w:szCs w:val="22"/>
        </w:rPr>
        <w:t>ec</w:t>
      </w:r>
      <w:r>
        <w:rPr>
          <w:spacing w:val="-3"/>
          <w:szCs w:val="22"/>
        </w:rPr>
        <w:t>â</w:t>
      </w:r>
      <w:r>
        <w:rPr>
          <w:szCs w:val="22"/>
        </w:rPr>
        <w:t>t</w:t>
      </w:r>
      <w:r>
        <w:rPr>
          <w:spacing w:val="-2"/>
          <w:szCs w:val="22"/>
        </w:rPr>
        <w:t xml:space="preserve"> </w:t>
      </w:r>
      <w:r>
        <w:rPr>
          <w:spacing w:val="-1"/>
          <w:szCs w:val="22"/>
        </w:rPr>
        <w:t>v</w:t>
      </w:r>
      <w:r>
        <w:rPr>
          <w:spacing w:val="-4"/>
          <w:szCs w:val="22"/>
        </w:rPr>
        <w:t>-</w:t>
      </w:r>
      <w:r>
        <w:rPr>
          <w:szCs w:val="22"/>
        </w:rPr>
        <w:t xml:space="preserve">a </w:t>
      </w:r>
      <w:r>
        <w:rPr>
          <w:spacing w:val="1"/>
          <w:szCs w:val="22"/>
        </w:rPr>
        <w:t>i</w:t>
      </w:r>
      <w:r>
        <w:rPr>
          <w:szCs w:val="22"/>
        </w:rPr>
        <w:t>nd</w:t>
      </w:r>
      <w:r>
        <w:rPr>
          <w:spacing w:val="1"/>
          <w:szCs w:val="22"/>
        </w:rPr>
        <w:t>i</w:t>
      </w:r>
      <w:r>
        <w:rPr>
          <w:szCs w:val="22"/>
        </w:rPr>
        <w:t>c</w:t>
      </w:r>
      <w:r>
        <w:rPr>
          <w:spacing w:val="-3"/>
          <w:szCs w:val="22"/>
        </w:rPr>
        <w:t>a</w:t>
      </w:r>
      <w:r>
        <w:rPr>
          <w:szCs w:val="22"/>
        </w:rPr>
        <w:t>t</w:t>
      </w:r>
      <w:r>
        <w:rPr>
          <w:spacing w:val="1"/>
          <w:szCs w:val="22"/>
        </w:rPr>
        <w:t xml:space="preserve"> </w:t>
      </w:r>
      <w:r>
        <w:rPr>
          <w:spacing w:val="-4"/>
          <w:szCs w:val="22"/>
        </w:rPr>
        <w:t>m</w:t>
      </w:r>
      <w:r>
        <w:rPr>
          <w:szCs w:val="22"/>
        </w:rPr>
        <w:t>ed</w:t>
      </w:r>
      <w:r>
        <w:rPr>
          <w:spacing w:val="1"/>
          <w:szCs w:val="22"/>
        </w:rPr>
        <w:t>i</w:t>
      </w:r>
      <w:r>
        <w:rPr>
          <w:szCs w:val="22"/>
        </w:rPr>
        <w:t>cul</w:t>
      </w:r>
      <w:r>
        <w:rPr>
          <w:spacing w:val="-2"/>
          <w:szCs w:val="22"/>
        </w:rPr>
        <w:t xml:space="preserve"> </w:t>
      </w:r>
      <w:r>
        <w:rPr>
          <w:szCs w:val="22"/>
        </w:rPr>
        <w:t>du</w:t>
      </w:r>
      <w:r>
        <w:rPr>
          <w:spacing w:val="-4"/>
          <w:szCs w:val="22"/>
        </w:rPr>
        <w:t>m</w:t>
      </w:r>
      <w:r>
        <w:rPr>
          <w:szCs w:val="22"/>
        </w:rPr>
        <w:t>nea</w:t>
      </w:r>
      <w:r>
        <w:rPr>
          <w:spacing w:val="-3"/>
          <w:szCs w:val="22"/>
        </w:rPr>
        <w:t>v</w:t>
      </w:r>
      <w:r>
        <w:rPr>
          <w:szCs w:val="22"/>
        </w:rPr>
        <w:t>oas</w:t>
      </w:r>
      <w:r>
        <w:rPr>
          <w:spacing w:val="1"/>
          <w:szCs w:val="22"/>
        </w:rPr>
        <w:t>t</w:t>
      </w:r>
      <w:r>
        <w:rPr>
          <w:szCs w:val="22"/>
        </w:rPr>
        <w:t>ră</w:t>
      </w:r>
      <w:r>
        <w:rPr>
          <w:spacing w:val="-2"/>
          <w:szCs w:val="22"/>
        </w:rPr>
        <w:t xml:space="preserve"> </w:t>
      </w:r>
      <w:r>
        <w:rPr>
          <w:szCs w:val="22"/>
        </w:rPr>
        <w:t>sau far</w:t>
      </w:r>
      <w:r>
        <w:rPr>
          <w:spacing w:val="-4"/>
          <w:szCs w:val="22"/>
        </w:rPr>
        <w:t>m</w:t>
      </w:r>
      <w:r>
        <w:rPr>
          <w:szCs w:val="22"/>
        </w:rPr>
        <w:t>ac</w:t>
      </w:r>
      <w:r>
        <w:rPr>
          <w:spacing w:val="1"/>
          <w:szCs w:val="22"/>
        </w:rPr>
        <w:t>i</w:t>
      </w:r>
      <w:r>
        <w:rPr>
          <w:spacing w:val="-2"/>
          <w:szCs w:val="22"/>
        </w:rPr>
        <w:t>s</w:t>
      </w:r>
      <w:r>
        <w:rPr>
          <w:spacing w:val="1"/>
          <w:szCs w:val="22"/>
        </w:rPr>
        <w:t>t</w:t>
      </w:r>
      <w:r>
        <w:rPr>
          <w:spacing w:val="-3"/>
          <w:szCs w:val="22"/>
        </w:rPr>
        <w:t>u</w:t>
      </w:r>
      <w:r>
        <w:rPr>
          <w:szCs w:val="22"/>
        </w:rPr>
        <w:t xml:space="preserve">l, </w:t>
      </w:r>
      <w:r>
        <w:rPr>
          <w:spacing w:val="-3"/>
          <w:szCs w:val="22"/>
        </w:rPr>
        <w:t>a</w:t>
      </w:r>
      <w:r>
        <w:rPr>
          <w:szCs w:val="22"/>
        </w:rPr>
        <w:t>nu</w:t>
      </w:r>
      <w:r>
        <w:rPr>
          <w:spacing w:val="-3"/>
          <w:szCs w:val="22"/>
        </w:rPr>
        <w:t>n</w:t>
      </w:r>
      <w:r>
        <w:rPr>
          <w:spacing w:val="1"/>
          <w:szCs w:val="22"/>
        </w:rPr>
        <w:t>ţ</w:t>
      </w:r>
      <w:r>
        <w:rPr>
          <w:szCs w:val="22"/>
        </w:rPr>
        <w:t>a</w:t>
      </w:r>
      <w:r>
        <w:rPr>
          <w:spacing w:val="-2"/>
          <w:szCs w:val="22"/>
        </w:rPr>
        <w:t>ţ</w:t>
      </w:r>
      <w:r>
        <w:rPr>
          <w:szCs w:val="22"/>
        </w:rPr>
        <w:t>i</w:t>
      </w:r>
      <w:r>
        <w:rPr>
          <w:spacing w:val="1"/>
          <w:szCs w:val="22"/>
        </w:rPr>
        <w:t xml:space="preserve">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2"/>
          <w:szCs w:val="22"/>
        </w:rPr>
        <w:t>t</w:t>
      </w:r>
      <w:r>
        <w:rPr>
          <w:szCs w:val="22"/>
        </w:rPr>
        <w:t>ră</w:t>
      </w:r>
      <w:r>
        <w:rPr>
          <w:spacing w:val="-2"/>
          <w:szCs w:val="22"/>
        </w:rPr>
        <w:t xml:space="preserve"> </w:t>
      </w:r>
      <w:r>
        <w:rPr>
          <w:szCs w:val="22"/>
        </w:rPr>
        <w:t xml:space="preserve">sau </w:t>
      </w:r>
      <w:r>
        <w:rPr>
          <w:spacing w:val="-2"/>
          <w:szCs w:val="22"/>
        </w:rPr>
        <w:t>f</w:t>
      </w:r>
      <w:r>
        <w:rPr>
          <w:szCs w:val="22"/>
        </w:rPr>
        <w:t>ar</w:t>
      </w:r>
      <w:r>
        <w:rPr>
          <w:spacing w:val="-4"/>
          <w:szCs w:val="22"/>
        </w:rPr>
        <w:t>m</w:t>
      </w:r>
      <w:r>
        <w:rPr>
          <w:szCs w:val="22"/>
        </w:rPr>
        <w:t>ac</w:t>
      </w:r>
      <w:r>
        <w:rPr>
          <w:spacing w:val="1"/>
          <w:szCs w:val="22"/>
        </w:rPr>
        <w:t>i</w:t>
      </w:r>
      <w:r>
        <w:rPr>
          <w:spacing w:val="-2"/>
          <w:szCs w:val="22"/>
        </w:rPr>
        <w:t>s</w:t>
      </w:r>
      <w:r>
        <w:rPr>
          <w:spacing w:val="1"/>
          <w:szCs w:val="22"/>
        </w:rPr>
        <w:t>t</w:t>
      </w:r>
      <w:r>
        <w:rPr>
          <w:spacing w:val="-3"/>
          <w:szCs w:val="22"/>
        </w:rPr>
        <w:t>u</w:t>
      </w:r>
      <w:r>
        <w:rPr>
          <w:szCs w:val="22"/>
        </w:rPr>
        <w:t>l</w:t>
      </w:r>
      <w:r>
        <w:rPr>
          <w:spacing w:val="1"/>
          <w:szCs w:val="22"/>
        </w:rPr>
        <w:t xml:space="preserve"> </w:t>
      </w:r>
      <w:r>
        <w:rPr>
          <w:spacing w:val="-2"/>
          <w:szCs w:val="22"/>
        </w:rPr>
        <w:t>ş</w:t>
      </w:r>
      <w:r>
        <w:rPr>
          <w:szCs w:val="22"/>
        </w:rPr>
        <w:t>i</w:t>
      </w:r>
      <w:r>
        <w:rPr>
          <w:spacing w:val="1"/>
          <w:szCs w:val="22"/>
        </w:rPr>
        <w:t xml:space="preserve"> </w:t>
      </w:r>
      <w:r>
        <w:rPr>
          <w:szCs w:val="22"/>
        </w:rPr>
        <w:t>să</w:t>
      </w:r>
      <w:r>
        <w:rPr>
          <w:spacing w:val="-4"/>
          <w:szCs w:val="22"/>
        </w:rPr>
        <w:t>-</w:t>
      </w:r>
      <w:r>
        <w:rPr>
          <w:szCs w:val="22"/>
        </w:rPr>
        <w:t>i</w:t>
      </w:r>
      <w:r>
        <w:rPr>
          <w:spacing w:val="1"/>
          <w:szCs w:val="22"/>
        </w:rPr>
        <w:t xml:space="preserve"> </w:t>
      </w:r>
      <w:r>
        <w:rPr>
          <w:szCs w:val="22"/>
        </w:rPr>
        <w:t>spu</w:t>
      </w:r>
      <w:r>
        <w:rPr>
          <w:spacing w:val="-3"/>
          <w:szCs w:val="22"/>
        </w:rPr>
        <w:t>n</w:t>
      </w:r>
      <w:r>
        <w:rPr>
          <w:szCs w:val="22"/>
        </w:rPr>
        <w:t>e</w:t>
      </w:r>
      <w:r>
        <w:rPr>
          <w:spacing w:val="1"/>
          <w:szCs w:val="22"/>
        </w:rPr>
        <w:t>ţ</w:t>
      </w:r>
      <w:r>
        <w:rPr>
          <w:szCs w:val="22"/>
        </w:rPr>
        <w:t>i</w:t>
      </w:r>
      <w:r>
        <w:rPr>
          <w:spacing w:val="-2"/>
          <w:szCs w:val="22"/>
        </w:rPr>
        <w:t xml:space="preserve"> </w:t>
      </w:r>
      <w:r>
        <w:rPr>
          <w:szCs w:val="22"/>
        </w:rPr>
        <w:t>ac</w:t>
      </w:r>
      <w:r>
        <w:rPr>
          <w:spacing w:val="-3"/>
          <w:szCs w:val="22"/>
        </w:rPr>
        <w:t>e</w:t>
      </w:r>
      <w:r>
        <w:rPr>
          <w:szCs w:val="22"/>
        </w:rPr>
        <w:t>s</w:t>
      </w:r>
      <w:r>
        <w:rPr>
          <w:spacing w:val="1"/>
          <w:szCs w:val="22"/>
        </w:rPr>
        <w:t>t</w:t>
      </w:r>
      <w:r>
        <w:rPr>
          <w:spacing w:val="-3"/>
          <w:szCs w:val="22"/>
        </w:rPr>
        <w:t>u</w:t>
      </w:r>
      <w:r>
        <w:rPr>
          <w:spacing w:val="1"/>
          <w:szCs w:val="22"/>
        </w:rPr>
        <w:t>i</w:t>
      </w:r>
      <w:r>
        <w:rPr>
          <w:spacing w:val="-3"/>
          <w:szCs w:val="22"/>
        </w:rPr>
        <w:t>a</w:t>
      </w:r>
      <w:r>
        <w:rPr>
          <w:spacing w:val="1"/>
          <w:szCs w:val="22"/>
        </w:rPr>
        <w:t>/</w:t>
      </w:r>
      <w:r>
        <w:rPr>
          <w:szCs w:val="22"/>
        </w:rPr>
        <w:t>a</w:t>
      </w:r>
      <w:r>
        <w:rPr>
          <w:spacing w:val="-3"/>
          <w:szCs w:val="22"/>
        </w:rPr>
        <w:t>c</w:t>
      </w:r>
      <w:r>
        <w:rPr>
          <w:szCs w:val="22"/>
        </w:rPr>
        <w:t>e</w:t>
      </w:r>
      <w:r>
        <w:rPr>
          <w:spacing w:val="-2"/>
          <w:szCs w:val="22"/>
        </w:rPr>
        <w:t>s</w:t>
      </w:r>
      <w:r>
        <w:rPr>
          <w:spacing w:val="1"/>
          <w:szCs w:val="22"/>
        </w:rPr>
        <w:t>t</w:t>
      </w:r>
      <w:r>
        <w:rPr>
          <w:szCs w:val="22"/>
        </w:rPr>
        <w:t>e</w:t>
      </w:r>
      <w:r>
        <w:rPr>
          <w:spacing w:val="-2"/>
          <w:szCs w:val="22"/>
        </w:rPr>
        <w:t>i</w:t>
      </w:r>
      <w:r>
        <w:rPr>
          <w:szCs w:val="22"/>
        </w:rPr>
        <w:t xml:space="preserve">a că </w:t>
      </w:r>
      <w:r>
        <w:rPr>
          <w:spacing w:val="-3"/>
          <w:szCs w:val="22"/>
        </w:rPr>
        <w:t>a</w:t>
      </w:r>
      <w:r>
        <w:rPr>
          <w:spacing w:val="1"/>
          <w:szCs w:val="22"/>
        </w:rPr>
        <w:t>ţ</w:t>
      </w:r>
      <w:r>
        <w:rPr>
          <w:szCs w:val="22"/>
        </w:rPr>
        <w:t>i</w:t>
      </w:r>
      <w:r>
        <w:rPr>
          <w:spacing w:val="1"/>
          <w:szCs w:val="22"/>
        </w:rPr>
        <w:t xml:space="preserve"> </w:t>
      </w:r>
      <w:r>
        <w:rPr>
          <w:spacing w:val="-3"/>
          <w:szCs w:val="22"/>
        </w:rPr>
        <w:t>u</w:t>
      </w:r>
      <w:r>
        <w:rPr>
          <w:spacing w:val="1"/>
          <w:szCs w:val="22"/>
        </w:rPr>
        <w:t>t</w:t>
      </w:r>
      <w:r>
        <w:rPr>
          <w:spacing w:val="-2"/>
          <w:szCs w:val="22"/>
        </w:rPr>
        <w:t>i</w:t>
      </w:r>
      <w:r>
        <w:rPr>
          <w:spacing w:val="1"/>
          <w:szCs w:val="22"/>
        </w:rPr>
        <w:t>li</w:t>
      </w:r>
      <w:r>
        <w:rPr>
          <w:spacing w:val="-3"/>
          <w:szCs w:val="22"/>
        </w:rPr>
        <w:t>za</w:t>
      </w:r>
      <w:r>
        <w:rPr>
          <w:szCs w:val="22"/>
        </w:rPr>
        <w:t>t</w:t>
      </w:r>
      <w:r>
        <w:rPr>
          <w:spacing w:val="1"/>
          <w:szCs w:val="22"/>
        </w:rPr>
        <w:t xml:space="preserve"> </w:t>
      </w:r>
      <w:r>
        <w:rPr>
          <w:spacing w:val="-4"/>
          <w:szCs w:val="22"/>
        </w:rPr>
        <w:t>m</w:t>
      </w:r>
      <w:r>
        <w:rPr>
          <w:szCs w:val="22"/>
        </w:rPr>
        <w:t>ai</w:t>
      </w:r>
      <w:r>
        <w:rPr>
          <w:spacing w:val="1"/>
          <w:szCs w:val="22"/>
        </w:rPr>
        <w:t xml:space="preserve"> </w:t>
      </w:r>
      <w:r>
        <w:rPr>
          <w:spacing w:val="-4"/>
          <w:szCs w:val="22"/>
        </w:rPr>
        <w:t>m</w:t>
      </w:r>
      <w:r>
        <w:rPr>
          <w:szCs w:val="22"/>
        </w:rPr>
        <w:t>u</w:t>
      </w:r>
      <w:r>
        <w:rPr>
          <w:spacing w:val="1"/>
          <w:szCs w:val="22"/>
        </w:rPr>
        <w:t>l</w:t>
      </w:r>
      <w:r>
        <w:rPr>
          <w:szCs w:val="22"/>
        </w:rPr>
        <w:t xml:space="preserve">t. </w:t>
      </w:r>
      <w:r>
        <w:rPr>
          <w:spacing w:val="-1"/>
          <w:szCs w:val="22"/>
        </w:rPr>
        <w:t>P</w:t>
      </w:r>
      <w:r>
        <w:rPr>
          <w:szCs w:val="22"/>
        </w:rPr>
        <w:t>ur</w:t>
      </w:r>
      <w:r>
        <w:rPr>
          <w:spacing w:val="-2"/>
          <w:szCs w:val="22"/>
        </w:rPr>
        <w:t>t</w:t>
      </w:r>
      <w:r>
        <w:rPr>
          <w:szCs w:val="22"/>
        </w:rPr>
        <w:t>a</w:t>
      </w:r>
      <w:r>
        <w:rPr>
          <w:spacing w:val="-2"/>
          <w:szCs w:val="22"/>
        </w:rPr>
        <w:t>ţ</w:t>
      </w:r>
      <w:r>
        <w:rPr>
          <w:szCs w:val="22"/>
        </w:rPr>
        <w:t>i</w:t>
      </w:r>
      <w:r>
        <w:rPr>
          <w:spacing w:val="1"/>
          <w:szCs w:val="22"/>
        </w:rPr>
        <w:t xml:space="preserve"> </w:t>
      </w:r>
      <w:r>
        <w:rPr>
          <w:spacing w:val="-4"/>
          <w:szCs w:val="22"/>
        </w:rPr>
        <w:t>m</w:t>
      </w:r>
      <w:r>
        <w:rPr>
          <w:szCs w:val="22"/>
        </w:rPr>
        <w:t xml:space="preserve">ereu </w:t>
      </w:r>
      <w:r>
        <w:rPr>
          <w:spacing w:val="-2"/>
          <w:szCs w:val="22"/>
        </w:rPr>
        <w:t>l</w:t>
      </w:r>
      <w:r>
        <w:rPr>
          <w:szCs w:val="22"/>
        </w:rPr>
        <w:t>a du</w:t>
      </w:r>
      <w:r>
        <w:rPr>
          <w:spacing w:val="-4"/>
          <w:szCs w:val="22"/>
        </w:rPr>
        <w:t>m</w:t>
      </w:r>
      <w:r>
        <w:rPr>
          <w:szCs w:val="22"/>
        </w:rPr>
        <w:t>nea</w:t>
      </w:r>
      <w:r>
        <w:rPr>
          <w:spacing w:val="-3"/>
          <w:szCs w:val="22"/>
        </w:rPr>
        <w:t>v</w:t>
      </w:r>
      <w:r>
        <w:rPr>
          <w:szCs w:val="22"/>
        </w:rPr>
        <w:t>oas</w:t>
      </w:r>
      <w:r>
        <w:rPr>
          <w:spacing w:val="-2"/>
          <w:szCs w:val="22"/>
        </w:rPr>
        <w:t>t</w:t>
      </w:r>
      <w:r>
        <w:rPr>
          <w:szCs w:val="22"/>
        </w:rPr>
        <w:t xml:space="preserve">ră </w:t>
      </w:r>
      <w:r>
        <w:rPr>
          <w:szCs w:val="22"/>
          <w:lang w:eastAsia="en-US" w:bidi="ar-SA"/>
        </w:rPr>
        <w:t>cutia</w:t>
      </w:r>
      <w:r>
        <w:rPr>
          <w:spacing w:val="1"/>
          <w:szCs w:val="22"/>
          <w:lang w:eastAsia="en-US" w:bidi="ar-SA"/>
        </w:rPr>
        <w:t xml:space="preserve"> </w:t>
      </w:r>
      <w:r>
        <w:rPr>
          <w:szCs w:val="22"/>
          <w:lang w:eastAsia="en-US" w:bidi="ar-SA"/>
        </w:rPr>
        <w:t>e</w:t>
      </w:r>
      <w:r>
        <w:rPr>
          <w:spacing w:val="-3"/>
          <w:szCs w:val="22"/>
          <w:lang w:eastAsia="en-US" w:bidi="ar-SA"/>
        </w:rPr>
        <w:t>x</w:t>
      </w:r>
      <w:r>
        <w:rPr>
          <w:spacing w:val="1"/>
          <w:szCs w:val="22"/>
          <w:lang w:eastAsia="en-US" w:bidi="ar-SA"/>
        </w:rPr>
        <w:t>t</w:t>
      </w:r>
      <w:r>
        <w:rPr>
          <w:spacing w:val="-3"/>
          <w:szCs w:val="22"/>
          <w:lang w:eastAsia="en-US" w:bidi="ar-SA"/>
        </w:rPr>
        <w:t>e</w:t>
      </w:r>
      <w:r>
        <w:rPr>
          <w:szCs w:val="22"/>
          <w:lang w:eastAsia="en-US" w:bidi="ar-SA"/>
        </w:rPr>
        <w:t>r</w:t>
      </w:r>
      <w:r>
        <w:rPr>
          <w:spacing w:val="-2"/>
          <w:szCs w:val="22"/>
          <w:lang w:eastAsia="en-US" w:bidi="ar-SA"/>
        </w:rPr>
        <w:t>i</w:t>
      </w:r>
      <w:r>
        <w:rPr>
          <w:szCs w:val="22"/>
          <w:lang w:eastAsia="en-US" w:bidi="ar-SA"/>
        </w:rPr>
        <w:t>oară</w:t>
      </w:r>
      <w:r>
        <w:rPr>
          <w:spacing w:val="1"/>
          <w:szCs w:val="22"/>
          <w:lang w:eastAsia="en-US" w:bidi="ar-SA"/>
        </w:rPr>
        <w:t xml:space="preserve"> </w:t>
      </w:r>
      <w:r>
        <w:rPr>
          <w:szCs w:val="22"/>
          <w:lang w:eastAsia="en-US" w:bidi="ar-SA"/>
        </w:rPr>
        <w:t>a acestui medicament</w:t>
      </w:r>
      <w:r>
        <w:rPr>
          <w:szCs w:val="22"/>
        </w:rPr>
        <w:t>,</w:t>
      </w:r>
      <w:r>
        <w:rPr>
          <w:spacing w:val="-3"/>
          <w:szCs w:val="22"/>
        </w:rPr>
        <w:t xml:space="preserve"> </w:t>
      </w:r>
      <w:r>
        <w:rPr>
          <w:szCs w:val="22"/>
        </w:rPr>
        <w:t>ch</w:t>
      </w:r>
      <w:r>
        <w:rPr>
          <w:spacing w:val="-2"/>
          <w:szCs w:val="22"/>
        </w:rPr>
        <w:t>i</w:t>
      </w:r>
      <w:r>
        <w:rPr>
          <w:szCs w:val="22"/>
        </w:rPr>
        <w:t xml:space="preserve">ar dacă </w:t>
      </w:r>
      <w:r>
        <w:rPr>
          <w:spacing w:val="-3"/>
          <w:szCs w:val="22"/>
        </w:rPr>
        <w:t>e</w:t>
      </w:r>
      <w:r>
        <w:rPr>
          <w:szCs w:val="22"/>
        </w:rPr>
        <w:t>s</w:t>
      </w:r>
      <w:r>
        <w:rPr>
          <w:spacing w:val="-2"/>
          <w:szCs w:val="22"/>
        </w:rPr>
        <w:t>t</w:t>
      </w:r>
      <w:r>
        <w:rPr>
          <w:szCs w:val="22"/>
        </w:rPr>
        <w:t xml:space="preserve">e </w:t>
      </w:r>
      <w:r>
        <w:rPr>
          <w:spacing w:val="-3"/>
          <w:szCs w:val="22"/>
          <w:lang w:eastAsia="en-US" w:bidi="ar-SA"/>
        </w:rPr>
        <w:t>g</w:t>
      </w:r>
      <w:r>
        <w:rPr>
          <w:szCs w:val="22"/>
          <w:lang w:eastAsia="en-US" w:bidi="ar-SA"/>
        </w:rPr>
        <w:t>oa</w:t>
      </w:r>
      <w:r>
        <w:rPr>
          <w:spacing w:val="1"/>
          <w:szCs w:val="22"/>
          <w:lang w:eastAsia="en-US" w:bidi="ar-SA"/>
        </w:rPr>
        <w:t>l</w:t>
      </w:r>
      <w:r>
        <w:rPr>
          <w:szCs w:val="22"/>
          <w:lang w:eastAsia="en-US" w:bidi="ar-SA"/>
        </w:rPr>
        <w:t>ă</w:t>
      </w:r>
      <w:r>
        <w:rPr>
          <w:szCs w:val="22"/>
        </w:rPr>
        <w:t>.</w:t>
      </w:r>
    </w:p>
    <w:p w14:paraId="4669A5DD" w14:textId="77777777" w:rsidR="00C04CAD" w:rsidRDefault="00C04CAD">
      <w:pPr>
        <w:tabs>
          <w:tab w:val="clear" w:pos="567"/>
        </w:tabs>
        <w:kinsoku w:val="0"/>
        <w:overflowPunct w:val="0"/>
        <w:autoSpaceDE w:val="0"/>
        <w:autoSpaceDN w:val="0"/>
        <w:adjustRightInd w:val="0"/>
        <w:spacing w:line="240" w:lineRule="auto"/>
        <w:rPr>
          <w:szCs w:val="22"/>
        </w:rPr>
      </w:pPr>
    </w:p>
    <w:p w14:paraId="5E0CF928"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 xml:space="preserve">acă </w:t>
      </w:r>
      <w:r>
        <w:rPr>
          <w:b/>
          <w:spacing w:val="-1"/>
          <w:szCs w:val="22"/>
        </w:rPr>
        <w:t>u</w:t>
      </w:r>
      <w:r>
        <w:rPr>
          <w:b/>
          <w:spacing w:val="-2"/>
          <w:szCs w:val="22"/>
        </w:rPr>
        <w:t>i</w:t>
      </w:r>
      <w:r>
        <w:rPr>
          <w:b/>
          <w:szCs w:val="22"/>
        </w:rPr>
        <w:t>ta</w:t>
      </w:r>
      <w:r>
        <w:rPr>
          <w:b/>
          <w:spacing w:val="-2"/>
          <w:szCs w:val="22"/>
        </w:rPr>
        <w:t>ţ</w:t>
      </w:r>
      <w:r>
        <w:rPr>
          <w:b/>
          <w:szCs w:val="22"/>
        </w:rPr>
        <w:t>i</w:t>
      </w:r>
      <w:r>
        <w:rPr>
          <w:b/>
          <w:spacing w:val="1"/>
          <w:szCs w:val="22"/>
        </w:rPr>
        <w:t xml:space="preserve"> </w:t>
      </w:r>
      <w:r>
        <w:rPr>
          <w:b/>
          <w:szCs w:val="22"/>
        </w:rPr>
        <w:t xml:space="preserve">să </w:t>
      </w:r>
      <w:r>
        <w:rPr>
          <w:b/>
          <w:spacing w:val="-3"/>
          <w:szCs w:val="22"/>
        </w:rPr>
        <w:t>u</w:t>
      </w:r>
      <w:r>
        <w:rPr>
          <w:b/>
          <w:szCs w:val="22"/>
        </w:rPr>
        <w:t>t</w:t>
      </w:r>
      <w:r>
        <w:rPr>
          <w:b/>
          <w:spacing w:val="-2"/>
          <w:szCs w:val="22"/>
        </w:rPr>
        <w:t>i</w:t>
      </w:r>
      <w:r>
        <w:rPr>
          <w:b/>
          <w:spacing w:val="1"/>
          <w:szCs w:val="22"/>
        </w:rPr>
        <w:t>li</w:t>
      </w:r>
      <w:r>
        <w:rPr>
          <w:b/>
          <w:spacing w:val="-3"/>
          <w:szCs w:val="22"/>
        </w:rPr>
        <w:t>z</w:t>
      </w:r>
      <w:r>
        <w:rPr>
          <w:b/>
          <w:szCs w:val="22"/>
        </w:rPr>
        <w:t>a</w:t>
      </w:r>
      <w:r>
        <w:rPr>
          <w:b/>
          <w:spacing w:val="-2"/>
          <w:szCs w:val="22"/>
        </w:rPr>
        <w:t>ţ</w:t>
      </w:r>
      <w:r>
        <w:rPr>
          <w:b/>
          <w:szCs w:val="22"/>
        </w:rPr>
        <w:t>i</w:t>
      </w:r>
      <w:r>
        <w:rPr>
          <w:b/>
          <w:spacing w:val="-2"/>
          <w:szCs w:val="22"/>
        </w:rPr>
        <w:t xml:space="preserve"> </w:t>
      </w:r>
      <w:r>
        <w:rPr>
          <w:b/>
          <w:bCs/>
          <w:spacing w:val="1"/>
          <w:szCs w:val="22"/>
          <w:lang w:eastAsia="en-US" w:bidi="ar-SA"/>
        </w:rPr>
        <w:t>AMGEVITA</w:t>
      </w:r>
    </w:p>
    <w:p w14:paraId="32BF669F" w14:textId="77777777" w:rsidR="00C04CAD" w:rsidRDefault="00C04CAD">
      <w:pPr>
        <w:tabs>
          <w:tab w:val="clear" w:pos="567"/>
        </w:tabs>
        <w:kinsoku w:val="0"/>
        <w:overflowPunct w:val="0"/>
        <w:autoSpaceDE w:val="0"/>
        <w:autoSpaceDN w:val="0"/>
        <w:adjustRightInd w:val="0"/>
        <w:spacing w:line="240" w:lineRule="auto"/>
        <w:rPr>
          <w:szCs w:val="22"/>
        </w:rPr>
      </w:pPr>
    </w:p>
    <w:p w14:paraId="73D0BB99" w14:textId="77777777" w:rsidR="00C04CAD" w:rsidRDefault="00060E34">
      <w:pPr>
        <w:tabs>
          <w:tab w:val="clear" w:pos="567"/>
        </w:tabs>
        <w:kinsoku w:val="0"/>
        <w:overflowPunct w:val="0"/>
        <w:autoSpaceDE w:val="0"/>
        <w:autoSpaceDN w:val="0"/>
        <w:adjustRightInd w:val="0"/>
        <w:spacing w:line="240" w:lineRule="auto"/>
        <w:rPr>
          <w:szCs w:val="22"/>
        </w:rPr>
      </w:pPr>
      <w:r>
        <w:rPr>
          <w:spacing w:val="-1"/>
          <w:szCs w:val="22"/>
        </w:rPr>
        <w:t>D</w:t>
      </w:r>
      <w:r>
        <w:rPr>
          <w:szCs w:val="22"/>
        </w:rPr>
        <w:t xml:space="preserve">acă </w:t>
      </w:r>
      <w:r>
        <w:rPr>
          <w:spacing w:val="-3"/>
          <w:szCs w:val="22"/>
        </w:rPr>
        <w:t>u</w:t>
      </w:r>
      <w:r>
        <w:rPr>
          <w:spacing w:val="1"/>
          <w:szCs w:val="22"/>
        </w:rPr>
        <w:t>it</w:t>
      </w:r>
      <w:r>
        <w:rPr>
          <w:spacing w:val="-3"/>
          <w:szCs w:val="22"/>
        </w:rPr>
        <w:t>a</w:t>
      </w:r>
      <w:r>
        <w:rPr>
          <w:spacing w:val="1"/>
          <w:szCs w:val="22"/>
        </w:rPr>
        <w:t>ţ</w:t>
      </w:r>
      <w:r>
        <w:rPr>
          <w:szCs w:val="22"/>
        </w:rPr>
        <w:t>i</w:t>
      </w:r>
      <w:r>
        <w:rPr>
          <w:spacing w:val="-2"/>
          <w:szCs w:val="22"/>
        </w:rPr>
        <w:t xml:space="preserve"> </w:t>
      </w:r>
      <w:r>
        <w:rPr>
          <w:szCs w:val="22"/>
        </w:rPr>
        <w:t xml:space="preserve">să </w:t>
      </w:r>
      <w:r>
        <w:rPr>
          <w:spacing w:val="-3"/>
          <w:szCs w:val="22"/>
        </w:rPr>
        <w:t>v</w:t>
      </w:r>
      <w:r>
        <w:rPr>
          <w:szCs w:val="22"/>
        </w:rPr>
        <w:t xml:space="preserve">ă </w:t>
      </w:r>
      <w:r>
        <w:rPr>
          <w:spacing w:val="-2"/>
          <w:szCs w:val="22"/>
        </w:rPr>
        <w:t>f</w:t>
      </w:r>
      <w:r>
        <w:rPr>
          <w:szCs w:val="22"/>
        </w:rPr>
        <w:t>ac</w:t>
      </w:r>
      <w:r>
        <w:rPr>
          <w:spacing w:val="-3"/>
          <w:szCs w:val="22"/>
        </w:rPr>
        <w:t>e</w:t>
      </w:r>
      <w:r>
        <w:rPr>
          <w:spacing w:val="1"/>
          <w:szCs w:val="22"/>
        </w:rPr>
        <w:t>ţ</w:t>
      </w:r>
      <w:r>
        <w:rPr>
          <w:szCs w:val="22"/>
        </w:rPr>
        <w:t>i</w:t>
      </w:r>
      <w:r>
        <w:rPr>
          <w:spacing w:val="1"/>
          <w:szCs w:val="22"/>
        </w:rPr>
        <w:t xml:space="preserve"> </w:t>
      </w:r>
      <w:r>
        <w:rPr>
          <w:szCs w:val="22"/>
        </w:rPr>
        <w:t>o</w:t>
      </w:r>
      <w:r>
        <w:rPr>
          <w:spacing w:val="-3"/>
          <w:szCs w:val="22"/>
        </w:rPr>
        <w:t xml:space="preserve"> </w:t>
      </w:r>
      <w:r>
        <w:rPr>
          <w:spacing w:val="1"/>
          <w:szCs w:val="22"/>
        </w:rPr>
        <w:t>i</w:t>
      </w:r>
      <w:r>
        <w:rPr>
          <w:spacing w:val="-3"/>
          <w:szCs w:val="22"/>
        </w:rPr>
        <w:t>n</w:t>
      </w:r>
      <w:r>
        <w:rPr>
          <w:spacing w:val="-2"/>
          <w:szCs w:val="22"/>
        </w:rPr>
        <w:t>j</w:t>
      </w:r>
      <w:r>
        <w:rPr>
          <w:szCs w:val="22"/>
        </w:rPr>
        <w:t>ec</w:t>
      </w:r>
      <w:r>
        <w:rPr>
          <w:spacing w:val="-2"/>
          <w:szCs w:val="22"/>
        </w:rPr>
        <w:t>ţ</w:t>
      </w:r>
      <w:r>
        <w:rPr>
          <w:spacing w:val="1"/>
          <w:szCs w:val="22"/>
        </w:rPr>
        <w:t>i</w:t>
      </w:r>
      <w:r>
        <w:rPr>
          <w:szCs w:val="22"/>
        </w:rPr>
        <w:t>e,</w:t>
      </w:r>
      <w:r>
        <w:rPr>
          <w:spacing w:val="-3"/>
          <w:szCs w:val="22"/>
        </w:rPr>
        <w:t xml:space="preserve"> </w:t>
      </w:r>
      <w:r>
        <w:rPr>
          <w:spacing w:val="1"/>
          <w:szCs w:val="22"/>
        </w:rPr>
        <w:t>t</w:t>
      </w:r>
      <w:r>
        <w:rPr>
          <w:szCs w:val="22"/>
        </w:rPr>
        <w:t>r</w:t>
      </w:r>
      <w:r>
        <w:rPr>
          <w:spacing w:val="-3"/>
          <w:szCs w:val="22"/>
        </w:rPr>
        <w:t>e</w:t>
      </w:r>
      <w:r>
        <w:rPr>
          <w:szCs w:val="22"/>
        </w:rPr>
        <w:t>bu</w:t>
      </w:r>
      <w:r>
        <w:rPr>
          <w:spacing w:val="-2"/>
          <w:szCs w:val="22"/>
        </w:rPr>
        <w:t>i</w:t>
      </w:r>
      <w:r>
        <w:rPr>
          <w:szCs w:val="22"/>
        </w:rPr>
        <w:t xml:space="preserve">e să </w:t>
      </w:r>
      <w:r>
        <w:rPr>
          <w:spacing w:val="-3"/>
          <w:szCs w:val="22"/>
          <w:lang w:eastAsia="en-US" w:bidi="ar-SA"/>
        </w:rPr>
        <w:t>vă</w:t>
      </w:r>
      <w:r>
        <w:rPr>
          <w:szCs w:val="22"/>
        </w:rPr>
        <w:t xml:space="preserve"> ad</w:t>
      </w:r>
      <w:r>
        <w:rPr>
          <w:spacing w:val="-5"/>
          <w:szCs w:val="22"/>
        </w:rPr>
        <w:t>m</w:t>
      </w:r>
      <w:r>
        <w:rPr>
          <w:spacing w:val="1"/>
          <w:szCs w:val="22"/>
        </w:rPr>
        <w:t>i</w:t>
      </w:r>
      <w:r>
        <w:rPr>
          <w:szCs w:val="22"/>
        </w:rPr>
        <w:t>n</w:t>
      </w:r>
      <w:r>
        <w:rPr>
          <w:spacing w:val="-2"/>
          <w:szCs w:val="22"/>
        </w:rPr>
        <w:t>i</w:t>
      </w:r>
      <w:r>
        <w:rPr>
          <w:szCs w:val="22"/>
        </w:rPr>
        <w:t>s</w:t>
      </w:r>
      <w:r>
        <w:rPr>
          <w:spacing w:val="-2"/>
          <w:szCs w:val="22"/>
        </w:rPr>
        <w:t>t</w:t>
      </w:r>
      <w:r>
        <w:rPr>
          <w:szCs w:val="22"/>
        </w:rPr>
        <w:t>ra</w:t>
      </w:r>
      <w:r>
        <w:rPr>
          <w:spacing w:val="-2"/>
          <w:szCs w:val="22"/>
        </w:rPr>
        <w:t>ţ</w:t>
      </w:r>
      <w:r>
        <w:rPr>
          <w:szCs w:val="22"/>
        </w:rPr>
        <w:t>i</w:t>
      </w:r>
      <w:r>
        <w:rPr>
          <w:spacing w:val="1"/>
          <w:szCs w:val="22"/>
        </w:rPr>
        <w:t xml:space="preserve"> </w:t>
      </w:r>
      <w:r>
        <w:rPr>
          <w:szCs w:val="22"/>
        </w:rPr>
        <w:t>următoarea</w:t>
      </w:r>
      <w:r>
        <w:rPr>
          <w:spacing w:val="1"/>
          <w:szCs w:val="22"/>
        </w:rPr>
        <w:t xml:space="preserve"> </w:t>
      </w:r>
      <w:r>
        <w:rPr>
          <w:szCs w:val="22"/>
        </w:rPr>
        <w:t>doză de AMGEVITA</w:t>
      </w:r>
      <w:r>
        <w:rPr>
          <w:spacing w:val="1"/>
          <w:szCs w:val="22"/>
        </w:rPr>
        <w:t xml:space="preserve"> i</w:t>
      </w:r>
      <w:r>
        <w:rPr>
          <w:spacing w:val="-4"/>
          <w:szCs w:val="22"/>
        </w:rPr>
        <w:t>m</w:t>
      </w:r>
      <w:r>
        <w:rPr>
          <w:szCs w:val="22"/>
        </w:rPr>
        <w:t>ed</w:t>
      </w:r>
      <w:r>
        <w:rPr>
          <w:spacing w:val="1"/>
          <w:szCs w:val="22"/>
        </w:rPr>
        <w:t>i</w:t>
      </w:r>
      <w:r>
        <w:rPr>
          <w:szCs w:val="22"/>
        </w:rPr>
        <w:t>at</w:t>
      </w:r>
      <w:r>
        <w:rPr>
          <w:spacing w:val="-2"/>
          <w:szCs w:val="22"/>
        </w:rPr>
        <w:t xml:space="preserve"> </w:t>
      </w:r>
      <w:r>
        <w:rPr>
          <w:szCs w:val="22"/>
        </w:rPr>
        <w:t xml:space="preserve">ce </w:t>
      </w:r>
      <w:r>
        <w:rPr>
          <w:spacing w:val="-3"/>
          <w:szCs w:val="22"/>
        </w:rPr>
        <w:t>v</w:t>
      </w:r>
      <w:r>
        <w:rPr>
          <w:szCs w:val="22"/>
        </w:rPr>
        <w:t>ă aduc</w:t>
      </w:r>
      <w:r>
        <w:rPr>
          <w:spacing w:val="-3"/>
          <w:szCs w:val="22"/>
        </w:rPr>
        <w:t>e</w:t>
      </w:r>
      <w:r>
        <w:rPr>
          <w:spacing w:val="1"/>
          <w:szCs w:val="22"/>
        </w:rPr>
        <w:t>ţ</w:t>
      </w:r>
      <w:r>
        <w:rPr>
          <w:szCs w:val="22"/>
        </w:rPr>
        <w:t>i</w:t>
      </w:r>
      <w:r>
        <w:rPr>
          <w:spacing w:val="-2"/>
          <w:szCs w:val="22"/>
        </w:rPr>
        <w:t xml:space="preserve"> </w:t>
      </w:r>
      <w:r>
        <w:rPr>
          <w:szCs w:val="22"/>
        </w:rPr>
        <w:t>a</w:t>
      </w:r>
      <w:r>
        <w:rPr>
          <w:spacing w:val="-4"/>
          <w:szCs w:val="22"/>
        </w:rPr>
        <w:t>m</w:t>
      </w:r>
      <w:r>
        <w:rPr>
          <w:spacing w:val="1"/>
          <w:szCs w:val="22"/>
        </w:rPr>
        <w:t>i</w:t>
      </w:r>
      <w:r>
        <w:rPr>
          <w:szCs w:val="22"/>
        </w:rPr>
        <w:t>n</w:t>
      </w:r>
      <w:r>
        <w:rPr>
          <w:spacing w:val="1"/>
          <w:szCs w:val="22"/>
        </w:rPr>
        <w:t>t</w:t>
      </w:r>
      <w:r>
        <w:rPr>
          <w:szCs w:val="22"/>
        </w:rPr>
        <w:t xml:space="preserve">e. </w:t>
      </w:r>
      <w:r>
        <w:rPr>
          <w:spacing w:val="-1"/>
          <w:szCs w:val="22"/>
        </w:rPr>
        <w:t>A</w:t>
      </w:r>
      <w:r>
        <w:rPr>
          <w:szCs w:val="22"/>
        </w:rPr>
        <w:t>p</w:t>
      </w:r>
      <w:r>
        <w:rPr>
          <w:spacing w:val="-3"/>
          <w:szCs w:val="22"/>
        </w:rPr>
        <w:t>o</w:t>
      </w:r>
      <w:r>
        <w:rPr>
          <w:szCs w:val="22"/>
        </w:rPr>
        <w:t>i</w:t>
      </w:r>
      <w:r>
        <w:rPr>
          <w:spacing w:val="1"/>
          <w:szCs w:val="22"/>
        </w:rPr>
        <w:t xml:space="preserve"> </w:t>
      </w:r>
      <w:r>
        <w:rPr>
          <w:szCs w:val="22"/>
        </w:rPr>
        <w:t>ad</w:t>
      </w:r>
      <w:r>
        <w:rPr>
          <w:spacing w:val="-4"/>
          <w:szCs w:val="22"/>
        </w:rPr>
        <w:t>m</w:t>
      </w:r>
      <w:r>
        <w:rPr>
          <w:spacing w:val="1"/>
          <w:szCs w:val="22"/>
        </w:rPr>
        <w:t>i</w:t>
      </w:r>
      <w:r>
        <w:rPr>
          <w:spacing w:val="-3"/>
          <w:szCs w:val="22"/>
        </w:rPr>
        <w:t>n</w:t>
      </w:r>
      <w:r>
        <w:rPr>
          <w:spacing w:val="1"/>
          <w:szCs w:val="22"/>
        </w:rPr>
        <w:t>i</w:t>
      </w:r>
      <w:r>
        <w:rPr>
          <w:szCs w:val="22"/>
        </w:rPr>
        <w:t>s</w:t>
      </w:r>
      <w:r>
        <w:rPr>
          <w:spacing w:val="-2"/>
          <w:szCs w:val="22"/>
        </w:rPr>
        <w:t>t</w:t>
      </w:r>
      <w:r>
        <w:rPr>
          <w:szCs w:val="22"/>
        </w:rPr>
        <w:t>r</w:t>
      </w:r>
      <w:r>
        <w:rPr>
          <w:spacing w:val="-3"/>
          <w:szCs w:val="22"/>
        </w:rPr>
        <w:t>a</w:t>
      </w:r>
      <w:r>
        <w:rPr>
          <w:spacing w:val="1"/>
          <w:szCs w:val="22"/>
        </w:rPr>
        <w:t>ţi</w:t>
      </w:r>
      <w:r>
        <w:rPr>
          <w:spacing w:val="-4"/>
          <w:szCs w:val="22"/>
        </w:rPr>
        <w:t>-</w:t>
      </w:r>
      <w:r>
        <w:rPr>
          <w:spacing w:val="-3"/>
          <w:szCs w:val="22"/>
        </w:rPr>
        <w:t>v</w:t>
      </w:r>
      <w:r>
        <w:rPr>
          <w:szCs w:val="22"/>
        </w:rPr>
        <w:t>ă ur</w:t>
      </w:r>
      <w:r>
        <w:rPr>
          <w:spacing w:val="-4"/>
          <w:szCs w:val="22"/>
        </w:rPr>
        <w:t>m</w:t>
      </w:r>
      <w:r>
        <w:rPr>
          <w:szCs w:val="22"/>
        </w:rPr>
        <w:t>ă</w:t>
      </w:r>
      <w:r>
        <w:rPr>
          <w:spacing w:val="1"/>
          <w:szCs w:val="22"/>
        </w:rPr>
        <w:t>t</w:t>
      </w:r>
      <w:r>
        <w:rPr>
          <w:szCs w:val="22"/>
        </w:rPr>
        <w:t>oarea do</w:t>
      </w:r>
      <w:r>
        <w:rPr>
          <w:spacing w:val="-3"/>
          <w:szCs w:val="22"/>
        </w:rPr>
        <w:t>z</w:t>
      </w:r>
      <w:r>
        <w:rPr>
          <w:szCs w:val="22"/>
        </w:rPr>
        <w:t>ă</w:t>
      </w:r>
      <w:r>
        <w:rPr>
          <w:spacing w:val="-2"/>
          <w:szCs w:val="22"/>
        </w:rPr>
        <w:t xml:space="preserve"> î</w:t>
      </w:r>
      <w:r>
        <w:rPr>
          <w:szCs w:val="22"/>
        </w:rPr>
        <w:t xml:space="preserve">n </w:t>
      </w:r>
      <w:r>
        <w:rPr>
          <w:spacing w:val="-3"/>
          <w:szCs w:val="22"/>
        </w:rPr>
        <w:t>z</w:t>
      </w:r>
      <w:r>
        <w:rPr>
          <w:spacing w:val="1"/>
          <w:szCs w:val="22"/>
        </w:rPr>
        <w:t>i</w:t>
      </w:r>
      <w:r>
        <w:rPr>
          <w:szCs w:val="22"/>
        </w:rPr>
        <w:t>ua pro</w:t>
      </w:r>
      <w:r>
        <w:rPr>
          <w:spacing w:val="-3"/>
          <w:szCs w:val="22"/>
        </w:rPr>
        <w:t>g</w:t>
      </w:r>
      <w:r>
        <w:rPr>
          <w:szCs w:val="22"/>
        </w:rPr>
        <w:t>ra</w:t>
      </w:r>
      <w:r>
        <w:rPr>
          <w:spacing w:val="-4"/>
          <w:szCs w:val="22"/>
        </w:rPr>
        <w:t>m</w:t>
      </w:r>
      <w:r>
        <w:rPr>
          <w:szCs w:val="22"/>
        </w:rPr>
        <w:t>a</w:t>
      </w:r>
      <w:r>
        <w:rPr>
          <w:spacing w:val="1"/>
          <w:szCs w:val="22"/>
        </w:rPr>
        <w:t>t</w:t>
      </w:r>
      <w:r>
        <w:rPr>
          <w:szCs w:val="22"/>
        </w:rPr>
        <w:t>ă</w:t>
      </w:r>
      <w:r>
        <w:rPr>
          <w:spacing w:val="-2"/>
          <w:szCs w:val="22"/>
        </w:rPr>
        <w:t xml:space="preserve"> </w:t>
      </w:r>
      <w:r>
        <w:rPr>
          <w:spacing w:val="1"/>
          <w:szCs w:val="22"/>
        </w:rPr>
        <w:t>i</w:t>
      </w:r>
      <w:r>
        <w:rPr>
          <w:spacing w:val="-3"/>
          <w:szCs w:val="22"/>
        </w:rPr>
        <w:t>n</w:t>
      </w:r>
      <w:r>
        <w:rPr>
          <w:spacing w:val="1"/>
          <w:szCs w:val="22"/>
        </w:rPr>
        <w:t>i</w:t>
      </w:r>
      <w:r>
        <w:rPr>
          <w:spacing w:val="-2"/>
          <w:szCs w:val="22"/>
        </w:rPr>
        <w:t>ţ</w:t>
      </w:r>
      <w:r>
        <w:rPr>
          <w:spacing w:val="1"/>
          <w:szCs w:val="22"/>
        </w:rPr>
        <w:t>i</w:t>
      </w:r>
      <w:r>
        <w:rPr>
          <w:szCs w:val="22"/>
        </w:rPr>
        <w:t>a</w:t>
      </w:r>
      <w:r>
        <w:rPr>
          <w:spacing w:val="-2"/>
          <w:szCs w:val="22"/>
        </w:rPr>
        <w:t>l</w:t>
      </w:r>
      <w:r>
        <w:rPr>
          <w:szCs w:val="22"/>
        </w:rPr>
        <w:t xml:space="preserve">, </w:t>
      </w:r>
      <w:r>
        <w:rPr>
          <w:spacing w:val="-3"/>
          <w:szCs w:val="22"/>
        </w:rPr>
        <w:t>c</w:t>
      </w:r>
      <w:r>
        <w:rPr>
          <w:szCs w:val="22"/>
        </w:rPr>
        <w:t>a şi</w:t>
      </w:r>
      <w:r>
        <w:rPr>
          <w:spacing w:val="-2"/>
          <w:szCs w:val="22"/>
        </w:rPr>
        <w:t xml:space="preserve"> </w:t>
      </w:r>
      <w:r>
        <w:rPr>
          <w:szCs w:val="22"/>
        </w:rPr>
        <w:t>cum</w:t>
      </w:r>
      <w:r>
        <w:rPr>
          <w:spacing w:val="-4"/>
          <w:szCs w:val="22"/>
        </w:rPr>
        <w:t xml:space="preserve"> </w:t>
      </w:r>
      <w:r>
        <w:rPr>
          <w:szCs w:val="22"/>
        </w:rPr>
        <w:t>nu a</w:t>
      </w:r>
      <w:r>
        <w:rPr>
          <w:spacing w:val="1"/>
          <w:szCs w:val="22"/>
        </w:rPr>
        <w:t>ţ</w:t>
      </w:r>
      <w:r>
        <w:rPr>
          <w:szCs w:val="22"/>
        </w:rPr>
        <w:t>i</w:t>
      </w:r>
      <w:r>
        <w:rPr>
          <w:spacing w:val="-2"/>
          <w:szCs w:val="22"/>
        </w:rPr>
        <w:t xml:space="preserve"> </w:t>
      </w:r>
      <w:r>
        <w:rPr>
          <w:szCs w:val="22"/>
        </w:rPr>
        <w:t>fi u</w:t>
      </w:r>
      <w:r>
        <w:rPr>
          <w:spacing w:val="1"/>
          <w:szCs w:val="22"/>
        </w:rPr>
        <w:t>i</w:t>
      </w:r>
      <w:r>
        <w:rPr>
          <w:spacing w:val="-2"/>
          <w:szCs w:val="22"/>
        </w:rPr>
        <w:t>t</w:t>
      </w:r>
      <w:r>
        <w:rPr>
          <w:szCs w:val="22"/>
        </w:rPr>
        <w:t>at</w:t>
      </w:r>
      <w:r>
        <w:rPr>
          <w:spacing w:val="1"/>
          <w:szCs w:val="22"/>
        </w:rPr>
        <w:t xml:space="preserve"> </w:t>
      </w:r>
      <w:r>
        <w:rPr>
          <w:spacing w:val="-2"/>
          <w:szCs w:val="22"/>
        </w:rPr>
        <w:t>s</w:t>
      </w:r>
      <w:r>
        <w:rPr>
          <w:szCs w:val="22"/>
        </w:rPr>
        <w:t xml:space="preserve">ă </w:t>
      </w:r>
      <w:r>
        <w:rPr>
          <w:spacing w:val="-3"/>
          <w:szCs w:val="22"/>
        </w:rPr>
        <w:t>v</w:t>
      </w:r>
      <w:r>
        <w:rPr>
          <w:szCs w:val="22"/>
        </w:rPr>
        <w:t>ă ad</w:t>
      </w:r>
      <w:r>
        <w:rPr>
          <w:spacing w:val="-4"/>
          <w:szCs w:val="22"/>
        </w:rPr>
        <w:t>m</w:t>
      </w:r>
      <w:r>
        <w:rPr>
          <w:spacing w:val="1"/>
          <w:szCs w:val="22"/>
        </w:rPr>
        <w:t>i</w:t>
      </w:r>
      <w:r>
        <w:rPr>
          <w:szCs w:val="22"/>
        </w:rPr>
        <w:t>n</w:t>
      </w:r>
      <w:r>
        <w:rPr>
          <w:spacing w:val="1"/>
          <w:szCs w:val="22"/>
        </w:rPr>
        <w:t>i</w:t>
      </w:r>
      <w:r>
        <w:rPr>
          <w:spacing w:val="-2"/>
          <w:szCs w:val="22"/>
        </w:rPr>
        <w:t>s</w:t>
      </w:r>
      <w:r>
        <w:rPr>
          <w:spacing w:val="1"/>
          <w:szCs w:val="22"/>
        </w:rPr>
        <w:t>t</w:t>
      </w:r>
      <w:r>
        <w:rPr>
          <w:szCs w:val="22"/>
        </w:rPr>
        <w:t>r</w:t>
      </w:r>
      <w:r>
        <w:rPr>
          <w:spacing w:val="-3"/>
          <w:szCs w:val="22"/>
        </w:rPr>
        <w:t>a</w:t>
      </w:r>
      <w:r>
        <w:rPr>
          <w:spacing w:val="-2"/>
          <w:szCs w:val="22"/>
        </w:rPr>
        <w:t>ţ</w:t>
      </w:r>
      <w:r>
        <w:rPr>
          <w:szCs w:val="22"/>
        </w:rPr>
        <w:t>i</w:t>
      </w:r>
      <w:r>
        <w:rPr>
          <w:spacing w:val="1"/>
          <w:szCs w:val="22"/>
        </w:rPr>
        <w:t xml:space="preserve"> </w:t>
      </w:r>
      <w:r>
        <w:rPr>
          <w:szCs w:val="22"/>
        </w:rPr>
        <w:t>o d</w:t>
      </w:r>
      <w:r>
        <w:rPr>
          <w:spacing w:val="-3"/>
          <w:szCs w:val="22"/>
        </w:rPr>
        <w:t>oz</w:t>
      </w:r>
      <w:r>
        <w:rPr>
          <w:szCs w:val="22"/>
        </w:rPr>
        <w:t>ă.</w:t>
      </w:r>
    </w:p>
    <w:p w14:paraId="29B9D49E" w14:textId="77777777" w:rsidR="00C04CAD" w:rsidRDefault="00C04CAD">
      <w:pPr>
        <w:tabs>
          <w:tab w:val="clear" w:pos="567"/>
        </w:tabs>
        <w:kinsoku w:val="0"/>
        <w:overflowPunct w:val="0"/>
        <w:autoSpaceDE w:val="0"/>
        <w:autoSpaceDN w:val="0"/>
        <w:adjustRightInd w:val="0"/>
        <w:spacing w:line="240" w:lineRule="auto"/>
        <w:rPr>
          <w:szCs w:val="22"/>
        </w:rPr>
      </w:pPr>
    </w:p>
    <w:p w14:paraId="591E8AF0"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pacing w:val="-1"/>
          <w:szCs w:val="22"/>
        </w:rPr>
        <w:t>D</w:t>
      </w:r>
      <w:r>
        <w:rPr>
          <w:b/>
          <w:szCs w:val="22"/>
        </w:rPr>
        <w:t>acă o</w:t>
      </w:r>
      <w:r>
        <w:rPr>
          <w:b/>
          <w:spacing w:val="-1"/>
          <w:szCs w:val="22"/>
        </w:rPr>
        <w:t>p</w:t>
      </w:r>
      <w:r>
        <w:rPr>
          <w:b/>
          <w:spacing w:val="-3"/>
          <w:szCs w:val="22"/>
        </w:rPr>
        <w:t>r</w:t>
      </w:r>
      <w:r>
        <w:rPr>
          <w:b/>
          <w:spacing w:val="1"/>
          <w:szCs w:val="22"/>
        </w:rPr>
        <w:t>i</w:t>
      </w:r>
      <w:r>
        <w:rPr>
          <w:b/>
          <w:spacing w:val="-2"/>
          <w:szCs w:val="22"/>
        </w:rPr>
        <w:t>ţ</w:t>
      </w:r>
      <w:r>
        <w:rPr>
          <w:b/>
          <w:szCs w:val="22"/>
        </w:rPr>
        <w:t>i</w:t>
      </w:r>
      <w:r>
        <w:rPr>
          <w:b/>
          <w:spacing w:val="1"/>
          <w:szCs w:val="22"/>
        </w:rPr>
        <w:t xml:space="preserve"> </w:t>
      </w:r>
      <w:r>
        <w:rPr>
          <w:b/>
          <w:spacing w:val="-1"/>
          <w:szCs w:val="22"/>
        </w:rPr>
        <w:t>u</w:t>
      </w:r>
      <w:r>
        <w:rPr>
          <w:b/>
          <w:spacing w:val="-2"/>
          <w:szCs w:val="22"/>
        </w:rPr>
        <w:t>t</w:t>
      </w:r>
      <w:r>
        <w:rPr>
          <w:b/>
          <w:spacing w:val="1"/>
          <w:szCs w:val="22"/>
        </w:rPr>
        <w:t>i</w:t>
      </w:r>
      <w:r>
        <w:rPr>
          <w:b/>
          <w:spacing w:val="-2"/>
          <w:szCs w:val="22"/>
        </w:rPr>
        <w:t>l</w:t>
      </w:r>
      <w:r>
        <w:rPr>
          <w:b/>
          <w:spacing w:val="1"/>
          <w:szCs w:val="22"/>
        </w:rPr>
        <w:t>i</w:t>
      </w:r>
      <w:r>
        <w:rPr>
          <w:b/>
          <w:spacing w:val="-3"/>
          <w:szCs w:val="22"/>
        </w:rPr>
        <w:t>z</w:t>
      </w:r>
      <w:r>
        <w:rPr>
          <w:b/>
          <w:szCs w:val="22"/>
        </w:rPr>
        <w:t>area</w:t>
      </w:r>
      <w:r>
        <w:rPr>
          <w:b/>
          <w:spacing w:val="-3"/>
          <w:szCs w:val="22"/>
        </w:rPr>
        <w:t xml:space="preserve"> </w:t>
      </w:r>
      <w:r>
        <w:rPr>
          <w:b/>
          <w:bCs/>
          <w:spacing w:val="1"/>
          <w:szCs w:val="22"/>
          <w:lang w:eastAsia="en-US" w:bidi="ar-SA"/>
        </w:rPr>
        <w:t>AMGEVITA</w:t>
      </w:r>
    </w:p>
    <w:p w14:paraId="03C4F55A" w14:textId="77777777" w:rsidR="00C04CAD" w:rsidRDefault="00C04CAD">
      <w:pPr>
        <w:tabs>
          <w:tab w:val="clear" w:pos="567"/>
        </w:tabs>
        <w:kinsoku w:val="0"/>
        <w:overflowPunct w:val="0"/>
        <w:autoSpaceDE w:val="0"/>
        <w:autoSpaceDN w:val="0"/>
        <w:adjustRightInd w:val="0"/>
        <w:spacing w:line="240" w:lineRule="auto"/>
        <w:rPr>
          <w:szCs w:val="22"/>
        </w:rPr>
      </w:pPr>
    </w:p>
    <w:p w14:paraId="3605413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pacing w:val="-1"/>
          <w:szCs w:val="22"/>
        </w:rPr>
        <w:t>D</w:t>
      </w:r>
      <w:r>
        <w:rPr>
          <w:szCs w:val="22"/>
        </w:rPr>
        <w:t>ec</w:t>
      </w:r>
      <w:r>
        <w:rPr>
          <w:spacing w:val="1"/>
          <w:szCs w:val="22"/>
        </w:rPr>
        <w:t>i</w:t>
      </w:r>
      <w:r>
        <w:rPr>
          <w:spacing w:val="-3"/>
          <w:szCs w:val="22"/>
        </w:rPr>
        <w:t>z</w:t>
      </w:r>
      <w:r>
        <w:rPr>
          <w:spacing w:val="1"/>
          <w:szCs w:val="22"/>
        </w:rPr>
        <w:t>i</w:t>
      </w:r>
      <w:r>
        <w:rPr>
          <w:szCs w:val="22"/>
        </w:rPr>
        <w:t xml:space="preserve">a </w:t>
      </w:r>
      <w:r>
        <w:rPr>
          <w:spacing w:val="-3"/>
          <w:szCs w:val="22"/>
        </w:rPr>
        <w:t>d</w:t>
      </w:r>
      <w:r>
        <w:rPr>
          <w:szCs w:val="22"/>
        </w:rPr>
        <w:t>e a o</w:t>
      </w:r>
      <w:r>
        <w:rPr>
          <w:spacing w:val="-3"/>
          <w:szCs w:val="22"/>
        </w:rPr>
        <w:t>p</w:t>
      </w:r>
      <w:r>
        <w:rPr>
          <w:szCs w:val="22"/>
        </w:rPr>
        <w:t>ri</w:t>
      </w:r>
      <w:r>
        <w:rPr>
          <w:spacing w:val="-2"/>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ar</w:t>
      </w:r>
      <w:r>
        <w:rPr>
          <w:spacing w:val="-3"/>
          <w:szCs w:val="22"/>
        </w:rPr>
        <w:t>e</w:t>
      </w:r>
      <w:r>
        <w:rPr>
          <w:szCs w:val="22"/>
        </w:rPr>
        <w:t>a</w:t>
      </w:r>
      <w:r>
        <w:rPr>
          <w:spacing w:val="-2"/>
          <w:szCs w:val="22"/>
        </w:rPr>
        <w:t xml:space="preserve"> </w:t>
      </w:r>
      <w:r>
        <w:rPr>
          <w:spacing w:val="-1"/>
          <w:szCs w:val="22"/>
          <w:lang w:eastAsia="en-US" w:bidi="ar-SA"/>
        </w:rPr>
        <w:t>AMGEVITA</w:t>
      </w:r>
      <w:r>
        <w:rPr>
          <w:szCs w:val="22"/>
        </w:rPr>
        <w:t xml:space="preserve"> </w:t>
      </w:r>
      <w:r>
        <w:rPr>
          <w:spacing w:val="1"/>
          <w:szCs w:val="22"/>
        </w:rPr>
        <w:t>t</w:t>
      </w:r>
      <w:r>
        <w:rPr>
          <w:szCs w:val="22"/>
        </w:rPr>
        <w:t>r</w:t>
      </w:r>
      <w:r>
        <w:rPr>
          <w:spacing w:val="-3"/>
          <w:szCs w:val="22"/>
        </w:rPr>
        <w:t>e</w:t>
      </w:r>
      <w:r>
        <w:rPr>
          <w:szCs w:val="22"/>
        </w:rPr>
        <w:t>bu</w:t>
      </w:r>
      <w:r>
        <w:rPr>
          <w:spacing w:val="-2"/>
          <w:szCs w:val="22"/>
        </w:rPr>
        <w:t>i</w:t>
      </w:r>
      <w:r>
        <w:rPr>
          <w:szCs w:val="22"/>
        </w:rPr>
        <w:t>e să</w:t>
      </w:r>
      <w:r>
        <w:rPr>
          <w:spacing w:val="-2"/>
          <w:szCs w:val="22"/>
        </w:rPr>
        <w:t xml:space="preserve"> </w:t>
      </w:r>
      <w:r>
        <w:rPr>
          <w:szCs w:val="22"/>
          <w:lang w:eastAsia="en-US" w:bidi="ar-SA"/>
        </w:rPr>
        <w:t xml:space="preserve">o </w:t>
      </w:r>
      <w:r>
        <w:rPr>
          <w:spacing w:val="-3"/>
          <w:szCs w:val="22"/>
          <w:lang w:eastAsia="en-US" w:bidi="ar-SA"/>
        </w:rPr>
        <w:t>d</w:t>
      </w:r>
      <w:r>
        <w:rPr>
          <w:spacing w:val="1"/>
          <w:szCs w:val="22"/>
          <w:lang w:eastAsia="en-US" w:bidi="ar-SA"/>
        </w:rPr>
        <w:t>i</w:t>
      </w:r>
      <w:r>
        <w:rPr>
          <w:szCs w:val="22"/>
          <w:lang w:eastAsia="en-US" w:bidi="ar-SA"/>
        </w:rPr>
        <w:t>s</w:t>
      </w:r>
      <w:r>
        <w:rPr>
          <w:spacing w:val="-3"/>
          <w:szCs w:val="22"/>
          <w:lang w:eastAsia="en-US" w:bidi="ar-SA"/>
        </w:rPr>
        <w:t>c</w:t>
      </w:r>
      <w:r>
        <w:rPr>
          <w:szCs w:val="22"/>
          <w:lang w:eastAsia="en-US" w:bidi="ar-SA"/>
        </w:rPr>
        <w:t>u</w:t>
      </w:r>
      <w:r>
        <w:rPr>
          <w:spacing w:val="-2"/>
          <w:szCs w:val="22"/>
          <w:lang w:eastAsia="en-US" w:bidi="ar-SA"/>
        </w:rPr>
        <w:t>t</w:t>
      </w:r>
      <w:r>
        <w:rPr>
          <w:szCs w:val="22"/>
          <w:lang w:eastAsia="en-US" w:bidi="ar-SA"/>
        </w:rPr>
        <w:t>aţi</w:t>
      </w:r>
      <w:r>
        <w:rPr>
          <w:szCs w:val="22"/>
        </w:rPr>
        <w:t xml:space="preserve"> cu </w:t>
      </w:r>
      <w:r>
        <w:rPr>
          <w:spacing w:val="-4"/>
          <w:szCs w:val="22"/>
        </w:rPr>
        <w:t>m</w:t>
      </w:r>
      <w:r>
        <w:rPr>
          <w:szCs w:val="22"/>
        </w:rPr>
        <w:t>ed</w:t>
      </w:r>
      <w:r>
        <w:rPr>
          <w:spacing w:val="1"/>
          <w:szCs w:val="22"/>
        </w:rPr>
        <w:t>i</w:t>
      </w:r>
      <w:r>
        <w:rPr>
          <w:szCs w:val="22"/>
        </w:rPr>
        <w:t>c</w:t>
      </w:r>
      <w:r>
        <w:rPr>
          <w:spacing w:val="-3"/>
          <w:szCs w:val="22"/>
        </w:rPr>
        <w:t>u</w:t>
      </w:r>
      <w:r>
        <w:rPr>
          <w:szCs w:val="22"/>
        </w:rPr>
        <w:t>l</w:t>
      </w:r>
      <w:r>
        <w:rPr>
          <w:spacing w:val="1"/>
          <w:szCs w:val="22"/>
        </w:rPr>
        <w:t xml:space="preserve"> </w:t>
      </w:r>
      <w:r>
        <w:rPr>
          <w:szCs w:val="22"/>
        </w:rPr>
        <w:t>du</w:t>
      </w:r>
      <w:r>
        <w:rPr>
          <w:spacing w:val="-4"/>
          <w:szCs w:val="22"/>
        </w:rPr>
        <w:t>m</w:t>
      </w:r>
      <w:r>
        <w:rPr>
          <w:szCs w:val="22"/>
        </w:rPr>
        <w:t>nea</w:t>
      </w:r>
      <w:r>
        <w:rPr>
          <w:spacing w:val="-3"/>
          <w:szCs w:val="22"/>
        </w:rPr>
        <w:t>v</w:t>
      </w:r>
      <w:r>
        <w:rPr>
          <w:szCs w:val="22"/>
        </w:rPr>
        <w:t>oas</w:t>
      </w:r>
      <w:r>
        <w:rPr>
          <w:spacing w:val="1"/>
          <w:szCs w:val="22"/>
        </w:rPr>
        <w:t>t</w:t>
      </w:r>
      <w:r>
        <w:rPr>
          <w:spacing w:val="-2"/>
          <w:szCs w:val="22"/>
        </w:rPr>
        <w:t>r</w:t>
      </w:r>
      <w:r>
        <w:rPr>
          <w:szCs w:val="22"/>
        </w:rPr>
        <w:t xml:space="preserve">ă. </w:t>
      </w:r>
      <w:r>
        <w:rPr>
          <w:spacing w:val="-1"/>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e</w:t>
      </w:r>
      <w:r>
        <w:rPr>
          <w:spacing w:val="1"/>
          <w:szCs w:val="22"/>
        </w:rPr>
        <w:t>l</w:t>
      </w:r>
      <w:r>
        <w:rPr>
          <w:szCs w:val="22"/>
        </w:rPr>
        <w:t>e du</w:t>
      </w:r>
      <w:r>
        <w:rPr>
          <w:spacing w:val="-4"/>
          <w:szCs w:val="22"/>
        </w:rPr>
        <w:t>m</w:t>
      </w:r>
      <w:r>
        <w:rPr>
          <w:szCs w:val="22"/>
        </w:rPr>
        <w:t>nea</w:t>
      </w:r>
      <w:r>
        <w:rPr>
          <w:spacing w:val="-3"/>
          <w:szCs w:val="22"/>
        </w:rPr>
        <w:t>v</w:t>
      </w:r>
      <w:r>
        <w:rPr>
          <w:szCs w:val="22"/>
        </w:rPr>
        <w:t>oas</w:t>
      </w:r>
      <w:r>
        <w:rPr>
          <w:spacing w:val="1"/>
          <w:szCs w:val="22"/>
        </w:rPr>
        <w:t>t</w:t>
      </w:r>
      <w:r>
        <w:rPr>
          <w:szCs w:val="22"/>
        </w:rPr>
        <w:t>ră p</w:t>
      </w:r>
      <w:r>
        <w:rPr>
          <w:spacing w:val="-3"/>
          <w:szCs w:val="22"/>
        </w:rPr>
        <w:t>o</w:t>
      </w:r>
      <w:r>
        <w:rPr>
          <w:szCs w:val="22"/>
        </w:rPr>
        <w:t>t</w:t>
      </w:r>
      <w:r>
        <w:rPr>
          <w:spacing w:val="1"/>
          <w:szCs w:val="22"/>
        </w:rPr>
        <w:t xml:space="preserve"> </w:t>
      </w:r>
      <w:r>
        <w:rPr>
          <w:spacing w:val="-2"/>
          <w:szCs w:val="22"/>
        </w:rPr>
        <w:t>s</w:t>
      </w:r>
      <w:r>
        <w:rPr>
          <w:szCs w:val="22"/>
        </w:rPr>
        <w:t xml:space="preserve">ă </w:t>
      </w:r>
      <w:r>
        <w:rPr>
          <w:spacing w:val="-2"/>
          <w:szCs w:val="22"/>
        </w:rPr>
        <w:t>r</w:t>
      </w:r>
      <w:r>
        <w:rPr>
          <w:szCs w:val="22"/>
        </w:rPr>
        <w:t>e</w:t>
      </w:r>
      <w:r>
        <w:rPr>
          <w:spacing w:val="-3"/>
          <w:szCs w:val="22"/>
        </w:rPr>
        <w:t>v</w:t>
      </w:r>
      <w:r>
        <w:rPr>
          <w:spacing w:val="1"/>
          <w:szCs w:val="22"/>
        </w:rPr>
        <w:t>i</w:t>
      </w:r>
      <w:r>
        <w:rPr>
          <w:szCs w:val="22"/>
        </w:rPr>
        <w:t>nă după</w:t>
      </w:r>
      <w:r>
        <w:rPr>
          <w:spacing w:val="-2"/>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rup</w:t>
      </w:r>
      <w:r>
        <w:rPr>
          <w:spacing w:val="-3"/>
          <w:szCs w:val="22"/>
        </w:rPr>
        <w:t>e</w:t>
      </w:r>
      <w:r>
        <w:rPr>
          <w:szCs w:val="22"/>
        </w:rPr>
        <w:t>re.</w:t>
      </w:r>
    </w:p>
    <w:p w14:paraId="02A35AF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FE62906" w14:textId="77777777" w:rsidR="00C04CAD" w:rsidRDefault="00060E34">
      <w:pPr>
        <w:autoSpaceDE w:val="0"/>
        <w:autoSpaceDN w:val="0"/>
        <w:adjustRightInd w:val="0"/>
        <w:spacing w:line="240" w:lineRule="auto"/>
        <w:rPr>
          <w:b/>
          <w:szCs w:val="22"/>
        </w:rPr>
      </w:pPr>
      <w:r>
        <w:rPr>
          <w:spacing w:val="-1"/>
          <w:szCs w:val="22"/>
        </w:rPr>
        <w:t>D</w:t>
      </w:r>
      <w:r>
        <w:rPr>
          <w:szCs w:val="22"/>
        </w:rPr>
        <w:t>acă a</w:t>
      </w:r>
      <w:r>
        <w:rPr>
          <w:spacing w:val="-3"/>
          <w:szCs w:val="22"/>
        </w:rPr>
        <w:t>v</w:t>
      </w:r>
      <w:r>
        <w:rPr>
          <w:szCs w:val="22"/>
        </w:rPr>
        <w:t>e</w:t>
      </w:r>
      <w:r>
        <w:rPr>
          <w:spacing w:val="-2"/>
          <w:szCs w:val="22"/>
        </w:rPr>
        <w:t>ţ</w:t>
      </w:r>
      <w:r>
        <w:rPr>
          <w:szCs w:val="22"/>
        </w:rPr>
        <w:t>i</w:t>
      </w:r>
      <w:r>
        <w:rPr>
          <w:spacing w:val="1"/>
          <w:szCs w:val="22"/>
        </w:rPr>
        <w:t xml:space="preserve"> </w:t>
      </w:r>
      <w:r>
        <w:rPr>
          <w:spacing w:val="-3"/>
          <w:szCs w:val="22"/>
        </w:rPr>
        <w:t>a</w:t>
      </w:r>
      <w:r>
        <w:rPr>
          <w:spacing w:val="1"/>
          <w:szCs w:val="22"/>
        </w:rPr>
        <w:t>lt</w:t>
      </w:r>
      <w:r>
        <w:rPr>
          <w:szCs w:val="22"/>
        </w:rPr>
        <w:t>e</w:t>
      </w:r>
      <w:r>
        <w:rPr>
          <w:spacing w:val="-2"/>
          <w:szCs w:val="22"/>
        </w:rPr>
        <w:t xml:space="preserve"> </w:t>
      </w:r>
      <w:r>
        <w:rPr>
          <w:spacing w:val="1"/>
          <w:szCs w:val="22"/>
        </w:rPr>
        <w:t>î</w:t>
      </w:r>
      <w:r>
        <w:rPr>
          <w:spacing w:val="-3"/>
          <w:szCs w:val="22"/>
        </w:rPr>
        <w:t>n</w:t>
      </w:r>
      <w:r>
        <w:rPr>
          <w:spacing w:val="1"/>
          <w:szCs w:val="22"/>
        </w:rPr>
        <w:t>t</w:t>
      </w:r>
      <w:r>
        <w:rPr>
          <w:spacing w:val="-2"/>
          <w:szCs w:val="22"/>
        </w:rPr>
        <w:t>r</w:t>
      </w:r>
      <w:r>
        <w:rPr>
          <w:szCs w:val="22"/>
        </w:rPr>
        <w:t>ebă</w:t>
      </w:r>
      <w:r>
        <w:rPr>
          <w:spacing w:val="-2"/>
          <w:szCs w:val="22"/>
        </w:rPr>
        <w:t>r</w:t>
      </w:r>
      <w:r>
        <w:rPr>
          <w:szCs w:val="22"/>
        </w:rPr>
        <w:t>i</w:t>
      </w:r>
      <w:r>
        <w:rPr>
          <w:spacing w:val="1"/>
          <w:szCs w:val="22"/>
        </w:rPr>
        <w:t xml:space="preserve"> </w:t>
      </w:r>
      <w:r>
        <w:rPr>
          <w:spacing w:val="-2"/>
          <w:szCs w:val="22"/>
        </w:rPr>
        <w:t>s</w:t>
      </w:r>
      <w:r>
        <w:rPr>
          <w:spacing w:val="-3"/>
          <w:szCs w:val="22"/>
        </w:rPr>
        <w:t>u</w:t>
      </w:r>
      <w:r>
        <w:rPr>
          <w:szCs w:val="22"/>
        </w:rPr>
        <w:t>p</w:t>
      </w:r>
      <w:r>
        <w:rPr>
          <w:spacing w:val="1"/>
          <w:szCs w:val="22"/>
        </w:rPr>
        <w:t>li</w:t>
      </w:r>
      <w:r>
        <w:rPr>
          <w:spacing w:val="-4"/>
          <w:szCs w:val="22"/>
        </w:rPr>
        <w:t>m</w:t>
      </w:r>
      <w:r>
        <w:rPr>
          <w:szCs w:val="22"/>
        </w:rPr>
        <w:t>en</w:t>
      </w:r>
      <w:r>
        <w:rPr>
          <w:spacing w:val="1"/>
          <w:szCs w:val="22"/>
        </w:rPr>
        <w:t>t</w:t>
      </w:r>
      <w:r>
        <w:rPr>
          <w:spacing w:val="-3"/>
          <w:szCs w:val="22"/>
        </w:rPr>
        <w:t>a</w:t>
      </w:r>
      <w:r>
        <w:rPr>
          <w:szCs w:val="22"/>
        </w:rPr>
        <w:t xml:space="preserve">re </w:t>
      </w:r>
      <w:r>
        <w:rPr>
          <w:spacing w:val="-3"/>
          <w:szCs w:val="22"/>
        </w:rPr>
        <w:t>p</w:t>
      </w:r>
      <w:r>
        <w:rPr>
          <w:szCs w:val="22"/>
        </w:rPr>
        <w:t>r</w:t>
      </w:r>
      <w:r>
        <w:rPr>
          <w:spacing w:val="1"/>
          <w:szCs w:val="22"/>
        </w:rPr>
        <w:t>i</w:t>
      </w:r>
      <w:r>
        <w:rPr>
          <w:spacing w:val="-3"/>
          <w:szCs w:val="22"/>
        </w:rPr>
        <w:t>v</w:t>
      </w:r>
      <w:r>
        <w:rPr>
          <w:spacing w:val="1"/>
          <w:szCs w:val="22"/>
        </w:rPr>
        <w:t>i</w:t>
      </w:r>
      <w:r>
        <w:rPr>
          <w:szCs w:val="22"/>
        </w:rPr>
        <w:t>nd</w:t>
      </w:r>
      <w:r>
        <w:rPr>
          <w:spacing w:val="-4"/>
          <w:szCs w:val="22"/>
        </w:rPr>
        <w:t xml:space="preserve"> </w:t>
      </w:r>
      <w:r>
        <w:rPr>
          <w:szCs w:val="22"/>
        </w:rPr>
        <w:t>u</w:t>
      </w:r>
      <w:r>
        <w:rPr>
          <w:spacing w:val="-2"/>
          <w:szCs w:val="22"/>
        </w:rPr>
        <w:t>t</w:t>
      </w:r>
      <w:r>
        <w:rPr>
          <w:spacing w:val="1"/>
          <w:szCs w:val="22"/>
        </w:rPr>
        <w:t>i</w:t>
      </w:r>
      <w:r>
        <w:rPr>
          <w:spacing w:val="-2"/>
          <w:szCs w:val="22"/>
        </w:rPr>
        <w:t>l</w:t>
      </w:r>
      <w:r>
        <w:rPr>
          <w:spacing w:val="1"/>
          <w:szCs w:val="22"/>
        </w:rPr>
        <w:t>i</w:t>
      </w:r>
      <w:r>
        <w:rPr>
          <w:spacing w:val="-3"/>
          <w:szCs w:val="22"/>
        </w:rPr>
        <w:t>z</w:t>
      </w:r>
      <w:r>
        <w:rPr>
          <w:szCs w:val="22"/>
        </w:rPr>
        <w:t>ar</w:t>
      </w:r>
      <w:r>
        <w:rPr>
          <w:spacing w:val="-3"/>
          <w:szCs w:val="22"/>
        </w:rPr>
        <w:t>e</w:t>
      </w:r>
      <w:r>
        <w:rPr>
          <w:szCs w:val="22"/>
        </w:rPr>
        <w:t>a ac</w:t>
      </w:r>
      <w:r>
        <w:rPr>
          <w:spacing w:val="-3"/>
          <w:szCs w:val="22"/>
        </w:rPr>
        <w:t>e</w:t>
      </w:r>
      <w:r>
        <w:rPr>
          <w:szCs w:val="22"/>
        </w:rPr>
        <w:t>s</w:t>
      </w:r>
      <w:r>
        <w:rPr>
          <w:spacing w:val="1"/>
          <w:szCs w:val="22"/>
        </w:rPr>
        <w:t>t</w:t>
      </w:r>
      <w:r>
        <w:rPr>
          <w:spacing w:val="-3"/>
          <w:szCs w:val="22"/>
        </w:rPr>
        <w:t>u</w:t>
      </w:r>
      <w:r>
        <w:rPr>
          <w:szCs w:val="22"/>
        </w:rPr>
        <w:t>i</w:t>
      </w:r>
      <w:r>
        <w:rPr>
          <w:spacing w:val="1"/>
          <w:szCs w:val="22"/>
        </w:rPr>
        <w:t xml:space="preserve"> </w:t>
      </w:r>
      <w:r>
        <w:rPr>
          <w:spacing w:val="-4"/>
          <w:szCs w:val="22"/>
        </w:rPr>
        <w:t>m</w:t>
      </w:r>
      <w:r>
        <w:rPr>
          <w:szCs w:val="22"/>
        </w:rPr>
        <w:t>ed</w:t>
      </w:r>
      <w:r>
        <w:rPr>
          <w:spacing w:val="1"/>
          <w:szCs w:val="22"/>
        </w:rPr>
        <w:t>i</w:t>
      </w:r>
      <w:r>
        <w:rPr>
          <w:szCs w:val="22"/>
        </w:rPr>
        <w:t>ca</w:t>
      </w:r>
      <w:r>
        <w:rPr>
          <w:spacing w:val="-4"/>
          <w:szCs w:val="22"/>
        </w:rPr>
        <w:t>m</w:t>
      </w:r>
      <w:r>
        <w:rPr>
          <w:szCs w:val="22"/>
        </w:rPr>
        <w:t>e</w:t>
      </w:r>
      <w:r>
        <w:rPr>
          <w:spacing w:val="-1"/>
          <w:szCs w:val="22"/>
        </w:rPr>
        <w:t>n</w:t>
      </w:r>
      <w:r>
        <w:rPr>
          <w:spacing w:val="1"/>
          <w:szCs w:val="22"/>
        </w:rPr>
        <w:t>t</w:t>
      </w:r>
      <w:r>
        <w:rPr>
          <w:szCs w:val="22"/>
        </w:rPr>
        <w:t>,</w:t>
      </w:r>
      <w:r>
        <w:rPr>
          <w:spacing w:val="-3"/>
          <w:szCs w:val="22"/>
        </w:rPr>
        <w:t xml:space="preserve"> </w:t>
      </w:r>
      <w:r>
        <w:rPr>
          <w:spacing w:val="1"/>
          <w:szCs w:val="22"/>
        </w:rPr>
        <w:t>î</w:t>
      </w:r>
      <w:r>
        <w:rPr>
          <w:szCs w:val="22"/>
        </w:rPr>
        <w:t>n</w:t>
      </w:r>
      <w:r>
        <w:rPr>
          <w:spacing w:val="-2"/>
          <w:szCs w:val="22"/>
        </w:rPr>
        <w:t>t</w:t>
      </w:r>
      <w:r>
        <w:rPr>
          <w:szCs w:val="22"/>
        </w:rPr>
        <w:t>r</w:t>
      </w:r>
      <w:r>
        <w:rPr>
          <w:spacing w:val="-3"/>
          <w:szCs w:val="22"/>
        </w:rPr>
        <w:t>e</w:t>
      </w:r>
      <w:r>
        <w:rPr>
          <w:szCs w:val="22"/>
        </w:rPr>
        <w:t>ba</w:t>
      </w:r>
      <w:r>
        <w:rPr>
          <w:spacing w:val="-2"/>
          <w:szCs w:val="22"/>
        </w:rPr>
        <w:t>ţ</w:t>
      </w:r>
      <w:r>
        <w:rPr>
          <w:szCs w:val="22"/>
        </w:rPr>
        <w:t>i</w:t>
      </w:r>
      <w:r>
        <w:rPr>
          <w:spacing w:val="1"/>
          <w:szCs w:val="22"/>
        </w:rPr>
        <w:t xml:space="preserve"> </w:t>
      </w:r>
      <w:r>
        <w:rPr>
          <w:spacing w:val="-4"/>
          <w:szCs w:val="22"/>
        </w:rPr>
        <w:t>m</w:t>
      </w:r>
      <w:r>
        <w:rPr>
          <w:szCs w:val="22"/>
        </w:rPr>
        <w:t>ed</w:t>
      </w:r>
      <w:r>
        <w:rPr>
          <w:spacing w:val="1"/>
          <w:szCs w:val="22"/>
        </w:rPr>
        <w:t>i</w:t>
      </w:r>
      <w:r>
        <w:rPr>
          <w:szCs w:val="22"/>
        </w:rPr>
        <w:t>cul du</w:t>
      </w:r>
      <w:r>
        <w:rPr>
          <w:spacing w:val="-4"/>
          <w:szCs w:val="22"/>
        </w:rPr>
        <w:t>m</w:t>
      </w:r>
      <w:r>
        <w:rPr>
          <w:szCs w:val="22"/>
        </w:rPr>
        <w:t>nea</w:t>
      </w:r>
      <w:r>
        <w:rPr>
          <w:spacing w:val="-3"/>
          <w:szCs w:val="22"/>
        </w:rPr>
        <w:t>v</w:t>
      </w:r>
      <w:r>
        <w:rPr>
          <w:szCs w:val="22"/>
        </w:rPr>
        <w:t>oas</w:t>
      </w:r>
      <w:r>
        <w:rPr>
          <w:spacing w:val="1"/>
          <w:szCs w:val="22"/>
        </w:rPr>
        <w:t>t</w:t>
      </w:r>
      <w:r>
        <w:rPr>
          <w:szCs w:val="22"/>
        </w:rPr>
        <w:t xml:space="preserve">ră </w:t>
      </w:r>
      <w:r>
        <w:rPr>
          <w:spacing w:val="-2"/>
          <w:szCs w:val="22"/>
        </w:rPr>
        <w:t>s</w:t>
      </w:r>
      <w:r>
        <w:rPr>
          <w:szCs w:val="22"/>
        </w:rPr>
        <w:t>au</w:t>
      </w:r>
      <w:r>
        <w:rPr>
          <w:spacing w:val="-3"/>
          <w:szCs w:val="22"/>
        </w:rPr>
        <w:t xml:space="preserve"> </w:t>
      </w:r>
      <w:r>
        <w:rPr>
          <w:szCs w:val="22"/>
        </w:rPr>
        <w:t>far</w:t>
      </w:r>
      <w:r>
        <w:rPr>
          <w:spacing w:val="-4"/>
          <w:szCs w:val="22"/>
        </w:rPr>
        <w:t>m</w:t>
      </w:r>
      <w:r>
        <w:rPr>
          <w:szCs w:val="22"/>
        </w:rPr>
        <w:t>ac</w:t>
      </w:r>
      <w:r>
        <w:rPr>
          <w:spacing w:val="-2"/>
          <w:szCs w:val="22"/>
        </w:rPr>
        <w:t>i</w:t>
      </w:r>
      <w:r>
        <w:rPr>
          <w:szCs w:val="22"/>
        </w:rPr>
        <w:t>s</w:t>
      </w:r>
      <w:r>
        <w:rPr>
          <w:spacing w:val="1"/>
          <w:szCs w:val="22"/>
        </w:rPr>
        <w:t>t</w:t>
      </w:r>
      <w:r>
        <w:rPr>
          <w:spacing w:val="-3"/>
          <w:szCs w:val="22"/>
        </w:rPr>
        <w:t>u</w:t>
      </w:r>
      <w:r>
        <w:rPr>
          <w:spacing w:val="1"/>
          <w:szCs w:val="22"/>
        </w:rPr>
        <w:t>l</w:t>
      </w:r>
      <w:r>
        <w:rPr>
          <w:szCs w:val="22"/>
        </w:rPr>
        <w:t>.</w:t>
      </w:r>
    </w:p>
    <w:p w14:paraId="4BC09CDA" w14:textId="77777777" w:rsidR="00C04CAD" w:rsidRDefault="00060E34">
      <w:pPr>
        <w:tabs>
          <w:tab w:val="clear" w:pos="567"/>
        </w:tabs>
        <w:kinsoku w:val="0"/>
        <w:overflowPunct w:val="0"/>
        <w:autoSpaceDE w:val="0"/>
        <w:autoSpaceDN w:val="0"/>
        <w:adjustRightInd w:val="0"/>
        <w:spacing w:line="240" w:lineRule="auto"/>
        <w:ind w:left="567" w:hanging="567"/>
        <w:rPr>
          <w:b/>
          <w:szCs w:val="22"/>
          <w:lang w:eastAsia="en-US" w:bidi="ar-SA"/>
        </w:rPr>
      </w:pPr>
      <w:r>
        <w:rPr>
          <w:b/>
          <w:szCs w:val="22"/>
          <w:lang w:eastAsia="en-US" w:bidi="ar-SA"/>
        </w:rPr>
        <w:t>4.</w:t>
      </w:r>
      <w:r>
        <w:rPr>
          <w:b/>
          <w:szCs w:val="22"/>
          <w:lang w:eastAsia="en-US" w:bidi="ar-SA"/>
        </w:rPr>
        <w:tab/>
        <w:t>Reacţii adverse posibile</w:t>
      </w:r>
    </w:p>
    <w:p w14:paraId="374E4797"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11D3103"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Ca toate medicamentele, acest medicament poate provoca reacţii adverse, cu toate că nu apar la toate persoanele. Majoritatea reacţiilor adverse sunt uşoare sau moderate. Totuşi, unele pot fi grave şi pot necesita tratament. Reacţiile adverse pot apărea până la celpuţin4lunidupă ultima injecţie de AMGEVITA.</w:t>
      </w:r>
    </w:p>
    <w:p w14:paraId="67EE330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82885C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Adresaţi-vă imediat medicului dumneavoastră dacă observaţi oricare dintre următoarele </w:t>
      </w:r>
      <w:r>
        <w:t>semne de reacții alergice sau insuficiență cardiacă:</w:t>
      </w:r>
    </w:p>
    <w:p w14:paraId="05A2301E"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gravă, urticarie sau alte semne de reacţie alergică;</w:t>
      </w:r>
    </w:p>
    <w:p w14:paraId="3A1CA12D"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Umflarea feţei, a mâinilor, a picioarelor;</w:t>
      </w:r>
    </w:p>
    <w:p w14:paraId="7760109D"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Dificultăţi la respiraţie, la înghiţire;</w:t>
      </w:r>
    </w:p>
    <w:p w14:paraId="3B6A4C00"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Dificultate în respiraţie la efort sau în poziţie orizontală sau umflarea picioarelor.</w:t>
      </w:r>
    </w:p>
    <w:p w14:paraId="77F2644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8FEE90B"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Adresaţi-vă cât mai repede medicului dumneavoastră dacă observaţi oricare dintre următoarele manifestări:</w:t>
      </w:r>
    </w:p>
    <w:p w14:paraId="563F0344"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Semne de infecţie cum sunt febră, stare de rău, răni, probleme dentare, senzaţie de arsură la urinare;</w:t>
      </w:r>
    </w:p>
    <w:p w14:paraId="4A6D315A"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Senzaţie de slăbiciune sau de oboseală;</w:t>
      </w:r>
    </w:p>
    <w:p w14:paraId="5A0B27E1"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Tuse;</w:t>
      </w:r>
    </w:p>
    <w:p w14:paraId="7905C8F0"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Furnicături;</w:t>
      </w:r>
    </w:p>
    <w:p w14:paraId="6DFA9619"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Amorţeală;</w:t>
      </w:r>
    </w:p>
    <w:p w14:paraId="415D211D"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Vedere dublă;</w:t>
      </w:r>
    </w:p>
    <w:p w14:paraId="2CCC1BE5"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Slăbiciune a mâinilor sau a picioarelor;</w:t>
      </w:r>
    </w:p>
    <w:p w14:paraId="2D56E92C" w14:textId="77777777" w:rsidR="00C04CAD" w:rsidRDefault="00060E34">
      <w:pPr>
        <w:pStyle w:val="ListParagraph"/>
        <w:keepNext/>
        <w:numPr>
          <w:ilvl w:val="0"/>
          <w:numId w:val="89"/>
        </w:numPr>
        <w:tabs>
          <w:tab w:val="clear" w:pos="567"/>
        </w:tabs>
        <w:kinsoku w:val="0"/>
        <w:overflowPunct w:val="0"/>
        <w:autoSpaceDE w:val="0"/>
        <w:autoSpaceDN w:val="0"/>
        <w:adjustRightInd w:val="0"/>
        <w:spacing w:line="240" w:lineRule="auto"/>
        <w:ind w:left="567"/>
      </w:pPr>
      <w:r>
        <w:rPr>
          <w:szCs w:val="22"/>
          <w:lang w:eastAsia="en-US" w:bidi="ar-SA"/>
        </w:rPr>
        <w:t xml:space="preserve">Semne ale cancerului de piele, cum sunt o </w:t>
      </w:r>
      <w:r>
        <w:t>inflamaţie sau o rană deschisă care nu se vindecă.</w:t>
      </w:r>
    </w:p>
    <w:p w14:paraId="7A3C13AC"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Semne şi simptome care sugerează tulburări sanguine cum sunt febră persistentă, vânătăi, sângerări, paloare.</w:t>
      </w:r>
    </w:p>
    <w:p w14:paraId="6DCBB3C1" w14:textId="77777777" w:rsidR="00C04CAD" w:rsidRDefault="00C04CAD">
      <w:pPr>
        <w:tabs>
          <w:tab w:val="clear" w:pos="567"/>
        </w:tabs>
        <w:kinsoku w:val="0"/>
        <w:overflowPunct w:val="0"/>
        <w:autoSpaceDE w:val="0"/>
        <w:autoSpaceDN w:val="0"/>
        <w:adjustRightInd w:val="0"/>
        <w:spacing w:line="240" w:lineRule="auto"/>
      </w:pPr>
    </w:p>
    <w:p w14:paraId="3ABBE022"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 xml:space="preserve">Simptomele descrise mai sus pot fi semne ale reacţiilor adverse enumerate mai jos, care au fost observate la administrarea </w:t>
      </w:r>
      <w:r>
        <w:rPr>
          <w:szCs w:val="22"/>
          <w:lang w:eastAsia="en-US" w:bidi="ar-SA"/>
        </w:rPr>
        <w:t>adalimumab.</w:t>
      </w:r>
    </w:p>
    <w:p w14:paraId="54925D4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E116056"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szCs w:val="22"/>
          <w:lang w:eastAsia="en-US" w:bidi="ar-SA"/>
        </w:rPr>
        <w:t>Foarte frecvente (pot să apară la mai mult de 1 persoană din 10)</w:t>
      </w:r>
    </w:p>
    <w:p w14:paraId="4BA97A2A"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la locul administrării (inclusiv durere, umflare, roşeaţă sau mâncărimi);</w:t>
      </w:r>
    </w:p>
    <w:p w14:paraId="3FC07C91"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căilor respiratorii (inclusiv răceală, secreţii nazale, sinuzită, pneumonie);</w:t>
      </w:r>
    </w:p>
    <w:p w14:paraId="5677A250"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de cap;</w:t>
      </w:r>
    </w:p>
    <w:p w14:paraId="469AB685"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abdominale;</w:t>
      </w:r>
    </w:p>
    <w:p w14:paraId="3858F5E4"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greaţă şi vărsături;</w:t>
      </w:r>
    </w:p>
    <w:p w14:paraId="47DE030B"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pe piele;</w:t>
      </w:r>
    </w:p>
    <w:p w14:paraId="2B27A752"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musculare şi osoase.</w:t>
      </w:r>
    </w:p>
    <w:p w14:paraId="2B4AC4F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E72F8D7"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 (pot să apară până la 1 persoană din 10)</w:t>
      </w:r>
    </w:p>
    <w:p w14:paraId="4BC14A63"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grave (inclusiv septicemie şi gripă);</w:t>
      </w:r>
    </w:p>
    <w:p w14:paraId="514FA296"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t>infecții intestinale (inclusiv gastroenterită);</w:t>
      </w:r>
    </w:p>
    <w:p w14:paraId="771D408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pielii (inclusiv celulită şi herpes zoster);</w:t>
      </w:r>
    </w:p>
    <w:p w14:paraId="3841C52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urechii;</w:t>
      </w:r>
    </w:p>
    <w:p w14:paraId="4E34321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gurii (inclusiv infecţii dentare şi abces rece);</w:t>
      </w:r>
    </w:p>
    <w:p w14:paraId="43738C6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genital;</w:t>
      </w:r>
    </w:p>
    <w:p w14:paraId="42DE2DA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urinar;</w:t>
      </w:r>
    </w:p>
    <w:p w14:paraId="608A182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cu ciuperci;</w:t>
      </w:r>
    </w:p>
    <w:p w14:paraId="2CCDDB7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articulaţiilor;</w:t>
      </w:r>
    </w:p>
    <w:p w14:paraId="70689C9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tumori benigne;</w:t>
      </w:r>
    </w:p>
    <w:p w14:paraId="784C80E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cancer de piele;</w:t>
      </w:r>
    </w:p>
    <w:p w14:paraId="29FA30B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alergice (inclusiv alergii sezoniere);</w:t>
      </w:r>
    </w:p>
    <w:p w14:paraId="7E2B3CE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deshidratare;</w:t>
      </w:r>
    </w:p>
    <w:p w14:paraId="5BCD8AF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modificarea dispoziţiei (inclusiv depresie);</w:t>
      </w:r>
    </w:p>
    <w:p w14:paraId="7759268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anxietate;</w:t>
      </w:r>
    </w:p>
    <w:p w14:paraId="3228127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ale somnului;</w:t>
      </w:r>
    </w:p>
    <w:p w14:paraId="465917C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senzoriale cum sunt furnicături, înţepături sau amorţeli;</w:t>
      </w:r>
    </w:p>
    <w:p w14:paraId="62F2F2A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migrenă;</w:t>
      </w:r>
    </w:p>
    <w:p w14:paraId="1D52FE8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compresie a rădăcinii nervoase (inclusiv dureri joase de spate şi dureri de picioare);</w:t>
      </w:r>
    </w:p>
    <w:p w14:paraId="13FC4EE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de vedere;</w:t>
      </w:r>
    </w:p>
    <w:p w14:paraId="516C9C8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inflamaţie a ochilor;</w:t>
      </w:r>
    </w:p>
    <w:p w14:paraId="4EBEF835"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pleoapelor şi umflarea ochilor;</w:t>
      </w:r>
    </w:p>
    <w:p w14:paraId="0F44F66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 xml:space="preserve">vertij </w:t>
      </w:r>
      <w:r>
        <w:rPr>
          <w:szCs w:val="22"/>
          <w:lang w:eastAsia="en-US" w:bidi="ar-SA"/>
        </w:rPr>
        <w:t>(senzație de amețeală sau că se învârte casa)</w:t>
      </w:r>
      <w:r>
        <w:t>;</w:t>
      </w:r>
    </w:p>
    <w:p w14:paraId="63AE800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senzaţie că inima bate repede;</w:t>
      </w:r>
    </w:p>
    <w:p w14:paraId="38724A8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tensiune arterială mare;</w:t>
      </w:r>
    </w:p>
    <w:p w14:paraId="13A13F6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roşeaţă;</w:t>
      </w:r>
    </w:p>
    <w:p w14:paraId="2C096A7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hematom;</w:t>
      </w:r>
    </w:p>
    <w:p w14:paraId="0047401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tuse;</w:t>
      </w:r>
    </w:p>
    <w:p w14:paraId="48725D7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astm bronșic;</w:t>
      </w:r>
    </w:p>
    <w:p w14:paraId="66777C8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scurtarea respiraţiei;</w:t>
      </w:r>
    </w:p>
    <w:p w14:paraId="10F17CB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sângerări gastro-intestinale;</w:t>
      </w:r>
    </w:p>
    <w:p w14:paraId="1B4B713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dispepsie (indigestie, balonare, arsuri);</w:t>
      </w:r>
    </w:p>
    <w:p w14:paraId="3843564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boală de reflux a acidului gastric;</w:t>
      </w:r>
    </w:p>
    <w:p w14:paraId="0A51889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sindrom sicca (inclusiv ochi uscaţi şi gură uscată);</w:t>
      </w:r>
    </w:p>
    <w:p w14:paraId="74F27F9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mâncărime;</w:t>
      </w:r>
    </w:p>
    <w:p w14:paraId="1615C98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erupţie însoțită de mâncărime;</w:t>
      </w:r>
    </w:p>
    <w:p w14:paraId="5CE11BA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vânătăi;</w:t>
      </w:r>
    </w:p>
    <w:p w14:paraId="42EFC1A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pielii (ca de exemplu eczemă);</w:t>
      </w:r>
    </w:p>
    <w:p w14:paraId="02E5A6B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ruperea unghiilor degetelor de la mâini şi picioare;</w:t>
      </w:r>
    </w:p>
    <w:p w14:paraId="3F38D1E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transpiraţii abundente;</w:t>
      </w:r>
    </w:p>
    <w:p w14:paraId="01D88F1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căderea părului;</w:t>
      </w:r>
    </w:p>
    <w:p w14:paraId="6BF53FF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apariţie de leziuni noi sau agravarea psoriazisului;</w:t>
      </w:r>
    </w:p>
    <w:p w14:paraId="3AA4AB5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spasme musculare;</w:t>
      </w:r>
    </w:p>
    <w:p w14:paraId="5A4D549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 în urină;</w:t>
      </w:r>
    </w:p>
    <w:p w14:paraId="63B3CD1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rinichilor;</w:t>
      </w:r>
    </w:p>
    <w:p w14:paraId="03D1000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dureri în piept;</w:t>
      </w:r>
    </w:p>
    <w:p w14:paraId="03FB816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edem;</w:t>
      </w:r>
    </w:p>
    <w:p w14:paraId="62A063B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febră;</w:t>
      </w:r>
    </w:p>
    <w:p w14:paraId="3E1D999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scăderea numărului de trombocite care duce la creşterea riscului de sângerare sau de apariţie a vânătăilor;</w:t>
      </w:r>
    </w:p>
    <w:p w14:paraId="109A7F0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vindecării.</w:t>
      </w:r>
    </w:p>
    <w:p w14:paraId="12087129" w14:textId="77777777" w:rsidR="00C04CAD" w:rsidRDefault="00C04CAD">
      <w:pPr>
        <w:tabs>
          <w:tab w:val="clear" w:pos="567"/>
        </w:tabs>
        <w:kinsoku w:val="0"/>
        <w:overflowPunct w:val="0"/>
        <w:autoSpaceDE w:val="0"/>
        <w:autoSpaceDN w:val="0"/>
        <w:adjustRightInd w:val="0"/>
        <w:spacing w:line="240" w:lineRule="auto"/>
      </w:pPr>
    </w:p>
    <w:p w14:paraId="68E9F328"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Mai puţin frecvente (pot să apară până la 1 persoană din 100)</w:t>
      </w:r>
    </w:p>
    <w:p w14:paraId="72222763"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oportuniste (care includ tuberculoză şi alte infecţii care apar atunci când rezistenţa organismului la boli este scăzută);</w:t>
      </w:r>
    </w:p>
    <w:p w14:paraId="234DE359"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neurologice (inclusiv meningită virală);</w:t>
      </w:r>
    </w:p>
    <w:p w14:paraId="7E1793D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ale ochilor;</w:t>
      </w:r>
    </w:p>
    <w:p w14:paraId="698F7605"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bacteriene;</w:t>
      </w:r>
    </w:p>
    <w:p w14:paraId="3FAF92A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diverticulită (inflamaţie şi infecţie a intestinului gros);</w:t>
      </w:r>
    </w:p>
    <w:p w14:paraId="4D990B25"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cancer</w:t>
      </w:r>
      <w:r>
        <w:rPr>
          <w:szCs w:val="22"/>
          <w:lang w:eastAsia="en-US" w:bidi="ar-SA"/>
        </w:rPr>
        <w:t>, inclusiv cancer care afectează sistemul limfatic (limfom) și melanom (cancer de piele)</w:t>
      </w:r>
      <w:r>
        <w:t>;</w:t>
      </w:r>
    </w:p>
    <w:p w14:paraId="034D706C"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ale sistemului imunitar care ar putea afecta plămânii, pielea şi ganglionii limfatici (cel mai frecvent se prezintă ca sarcoidoză);</w:t>
      </w:r>
    </w:p>
    <w:p w14:paraId="4CDE9AE0"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vasculită (inflamaţie a vaselor de sânge);</w:t>
      </w:r>
    </w:p>
    <w:p w14:paraId="12E873B3"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tremor;</w:t>
      </w:r>
    </w:p>
    <w:p w14:paraId="7AAB48D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neuropatie;</w:t>
      </w:r>
    </w:p>
    <w:p w14:paraId="1816E78E"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accident vascular cerebral;</w:t>
      </w:r>
    </w:p>
    <w:p w14:paraId="41BDFEF0"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pierderea auzului, zgomote în urechi;</w:t>
      </w:r>
    </w:p>
    <w:p w14:paraId="30EA1A8D"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senzaţie că bătăile inimii sunt neregulate, ca de exemplu lipsa unei bătăi;</w:t>
      </w:r>
    </w:p>
    <w:p w14:paraId="20095324"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cardiace care pot determina scurtarea respiraţiei sau umflarea gleznelor;</w:t>
      </w:r>
    </w:p>
    <w:p w14:paraId="20C73D3C"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infarct miocardic;</w:t>
      </w:r>
    </w:p>
    <w:p w14:paraId="1684E045"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dilatarea peretelui unei artere importante, inflamaţie a unei vene şi cheag pe venă, obstrucţie a unui vas de sânge;</w:t>
      </w:r>
    </w:p>
    <w:p w14:paraId="029C76C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boli pulmonare care determină scurtarea respiraţiei (inclusiv inflamaţii);</w:t>
      </w:r>
    </w:p>
    <w:p w14:paraId="4784B31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embolie pulmonară (blocaj al unei artere pulmonare);</w:t>
      </w:r>
    </w:p>
    <w:p w14:paraId="48D73F3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revărsat pleural (acumulare anormală de lichid în spaţiul pleural);</w:t>
      </w:r>
    </w:p>
    <w:p w14:paraId="04A0105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pancreatită care determină durere puternică abdominală şi de spate;</w:t>
      </w:r>
    </w:p>
    <w:p w14:paraId="0BA0D0A0"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dificultate la înghiţire;</w:t>
      </w:r>
    </w:p>
    <w:p w14:paraId="337041D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edem al feţei;</w:t>
      </w:r>
    </w:p>
    <w:p w14:paraId="749BE73E"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inflamaţii ale veziculei biliare, pietre în vezicula biliară;</w:t>
      </w:r>
    </w:p>
    <w:p w14:paraId="1C03308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ficat gras;</w:t>
      </w:r>
    </w:p>
    <w:p w14:paraId="416A9B5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transpiraţii nocturne;</w:t>
      </w:r>
    </w:p>
    <w:p w14:paraId="31D54333"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cicatrice;</w:t>
      </w:r>
    </w:p>
    <w:p w14:paraId="5D7FCE0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oboseală musculară neobişnuită;</w:t>
      </w:r>
    </w:p>
    <w:p w14:paraId="0B0F957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lupus eritematos sistemic (inclusiv inflamaţie a pielii, inimii, plămânului, articulaţiilor şi a altor organe);</w:t>
      </w:r>
    </w:p>
    <w:p w14:paraId="6FE6F064"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întreruperi ale somnului;</w:t>
      </w:r>
    </w:p>
    <w:p w14:paraId="09A12292" w14:textId="77777777" w:rsidR="00C04CAD" w:rsidRDefault="00060E34">
      <w:pPr>
        <w:pStyle w:val="ListParagraph"/>
        <w:keepNext/>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impotenţă;</w:t>
      </w:r>
    </w:p>
    <w:p w14:paraId="05B7E06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inflamaţii.</w:t>
      </w:r>
    </w:p>
    <w:p w14:paraId="7A29A7E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B1C8312" w14:textId="77777777" w:rsidR="00C04CAD" w:rsidRDefault="00060E34">
      <w:pPr>
        <w:keepNext/>
        <w:tabs>
          <w:tab w:val="clear" w:pos="567"/>
        </w:tabs>
        <w:kinsoku w:val="0"/>
        <w:overflowPunct w:val="0"/>
        <w:autoSpaceDE w:val="0"/>
        <w:autoSpaceDN w:val="0"/>
        <w:adjustRightInd w:val="0"/>
        <w:spacing w:line="240" w:lineRule="auto"/>
        <w:rPr>
          <w:b/>
        </w:rPr>
      </w:pPr>
      <w:r>
        <w:rPr>
          <w:szCs w:val="22"/>
          <w:lang w:eastAsia="en-US" w:bidi="ar-SA"/>
        </w:rPr>
        <w:t>Rare (pot să apară până la 1 persoană din 1000)</w:t>
      </w:r>
    </w:p>
    <w:p w14:paraId="7FDD1E2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leucemie (cancer care afectează sângele şi măduva osoasă);</w:t>
      </w:r>
    </w:p>
    <w:p w14:paraId="60D9DAF6"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reacţii alergice severe însoţite de şoc;</w:t>
      </w:r>
    </w:p>
    <w:p w14:paraId="20B1FCB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scleroză multiplă;</w:t>
      </w:r>
    </w:p>
    <w:p w14:paraId="6737C64D"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tulburări nervoase (ca de exemplu inflamaţie a nervilor optici şi sindrom Guillain-Barré care poate determina slăbiciune musculară, senzaţii anormale, furnicături la nivelul braţelor şi a părţii superioare a corpului);</w:t>
      </w:r>
    </w:p>
    <w:p w14:paraId="61BF540F"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oprirea pompării sângelui de către inimă;</w:t>
      </w:r>
    </w:p>
    <w:p w14:paraId="0408A65C"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fibroză pulmonară (cicatrizare a plămânului).</w:t>
      </w:r>
    </w:p>
    <w:p w14:paraId="5AE2C1E8"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perforaţie intestinală</w:t>
      </w:r>
      <w:r>
        <w:rPr>
          <w:szCs w:val="22"/>
          <w:lang w:eastAsia="en-US" w:bidi="ar-SA"/>
        </w:rPr>
        <w:t>(gaură în peretele intestinului)</w:t>
      </w:r>
      <w:r>
        <w:t>;</w:t>
      </w:r>
    </w:p>
    <w:p w14:paraId="4835BABF"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(inflamația ficatului);</w:t>
      </w:r>
    </w:p>
    <w:p w14:paraId="504A0694"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reactivarea hepatitei B;</w:t>
      </w:r>
    </w:p>
    <w:p w14:paraId="42EB49C3"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autoimună (inflamaţie a ficatului cauzată de propriul sistem imunitar);</w:t>
      </w:r>
    </w:p>
    <w:p w14:paraId="57798A3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vasculită cutanată (inflamaţie a vaselor de sânge de la nivelul pielii);</w:t>
      </w:r>
    </w:p>
    <w:p w14:paraId="6CB75729"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Stevens-Johnson (</w:t>
      </w:r>
      <w:r>
        <w:rPr>
          <w:szCs w:val="22"/>
          <w:lang w:eastAsia="en-US" w:bidi="ar-SA"/>
        </w:rPr>
        <w:t>reacție care poate pune viața în pericol, cu simptome asemănătoare gripei și erupții cu vezicule);</w:t>
      </w:r>
    </w:p>
    <w:p w14:paraId="5097A62C"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edem al feţei asociat cu reacţii alergice;</w:t>
      </w:r>
    </w:p>
    <w:p w14:paraId="64CEBD93"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eritem polimorf (erupţie inflamatorie pe piele);</w:t>
      </w:r>
    </w:p>
    <w:p w14:paraId="6A4B9734"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asemănător lupusului ;</w:t>
      </w:r>
    </w:p>
    <w:p w14:paraId="70F487D2" w14:textId="77777777" w:rsidR="00C04CAD" w:rsidRDefault="00060E34">
      <w:pPr>
        <w:pStyle w:val="EMEANormal"/>
        <w:numPr>
          <w:ilvl w:val="0"/>
          <w:numId w:val="93"/>
        </w:numPr>
        <w:tabs>
          <w:tab w:val="clear" w:pos="562"/>
        </w:tabs>
        <w:ind w:left="567" w:hanging="567"/>
        <w:rPr>
          <w:szCs w:val="22"/>
          <w:lang w:val="ro-RO"/>
        </w:rPr>
      </w:pPr>
      <w:r>
        <w:rPr>
          <w:szCs w:val="22"/>
          <w:lang w:val="ro-RO"/>
        </w:rPr>
        <w:t>angioedem (umflare localizată a pielii)</w:t>
      </w:r>
    </w:p>
    <w:p w14:paraId="700B6CA3" w14:textId="77777777" w:rsidR="00C04CAD" w:rsidRDefault="00060E34">
      <w:pPr>
        <w:pStyle w:val="EMEANormal"/>
        <w:numPr>
          <w:ilvl w:val="0"/>
          <w:numId w:val="93"/>
        </w:numPr>
        <w:tabs>
          <w:tab w:val="clear" w:pos="562"/>
        </w:tabs>
        <w:ind w:left="567" w:hanging="567"/>
        <w:rPr>
          <w:szCs w:val="22"/>
          <w:lang w:val="ro-RO"/>
        </w:rPr>
      </w:pPr>
      <w:r>
        <w:rPr>
          <w:szCs w:val="22"/>
          <w:lang w:val="ro-RO"/>
        </w:rPr>
        <w:t>reacție</w:t>
      </w:r>
      <w:r>
        <w:rPr>
          <w:lang w:val="ro-RO"/>
        </w:rPr>
        <w:t xml:space="preserve"> pe piele de tip lichenoid (erupție roșiatică-purpurie pe piele care produce mâncărime)</w:t>
      </w:r>
      <w:r>
        <w:rPr>
          <w:szCs w:val="22"/>
          <w:lang w:val="ro-RO"/>
        </w:rPr>
        <w:t>.</w:t>
      </w:r>
    </w:p>
    <w:p w14:paraId="0153920B" w14:textId="77777777" w:rsidR="00C04CAD" w:rsidRDefault="00C04CAD">
      <w:pPr>
        <w:tabs>
          <w:tab w:val="clear" w:pos="567"/>
        </w:tabs>
        <w:kinsoku w:val="0"/>
        <w:overflowPunct w:val="0"/>
        <w:autoSpaceDE w:val="0"/>
        <w:autoSpaceDN w:val="0"/>
        <w:adjustRightInd w:val="0"/>
        <w:spacing w:line="240" w:lineRule="auto"/>
      </w:pPr>
    </w:p>
    <w:p w14:paraId="7E1667F7" w14:textId="77777777" w:rsidR="00C04CAD" w:rsidRDefault="00060E34">
      <w:pPr>
        <w:keepNext/>
        <w:tabs>
          <w:tab w:val="clear" w:pos="567"/>
        </w:tabs>
        <w:kinsoku w:val="0"/>
        <w:overflowPunct w:val="0"/>
        <w:autoSpaceDE w:val="0"/>
        <w:autoSpaceDN w:val="0"/>
        <w:adjustRightInd w:val="0"/>
        <w:spacing w:line="240" w:lineRule="auto"/>
      </w:pPr>
      <w:r>
        <w:t>Cu frecvență necunoscută (frecvenţa nu poate fi estimată din datele disponibile)</w:t>
      </w:r>
    </w:p>
    <w:p w14:paraId="3C9F62DF"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limfom hepatosplenic cu celule T (o formă rară de cancer al sângelui care de obicei are rezultat letal);</w:t>
      </w:r>
    </w:p>
    <w:p w14:paraId="49A0D8DB"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carcinom cu celule Merkel (un tip de cancer de piele);</w:t>
      </w:r>
    </w:p>
    <w:p w14:paraId="3AAC2D37"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sarcom Kaposi, un cancer rar asociat infecției cu virusul herpetic uman 8. Sarcomul Kaposi se manifestă cel mai frecvent sub formă de leziuni vineții pe piele;</w:t>
      </w:r>
    </w:p>
    <w:p w14:paraId="7A4F60C8"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insuficienţă hepatică;</w:t>
      </w:r>
    </w:p>
    <w:p w14:paraId="5240D5A3"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agravare a unei afecţiuni numită dermatomiozită (descrisă ca o erupţie pe piele însoţită de slăbiciune musculară);</w:t>
      </w:r>
    </w:p>
    <w:p w14:paraId="1C50A728"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creștere în greutate (pentru majoritatea pacienților, creșterea în greutate a fost mică).</w:t>
      </w:r>
    </w:p>
    <w:p w14:paraId="5D29744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A5FDF2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Unele reacţii adverse observate la adalimumab nu au fost însoţite de simptome şi pot fi detectate numai prin teste de laborator. Acestea includ:</w:t>
      </w:r>
    </w:p>
    <w:p w14:paraId="6B01B170" w14:textId="77777777" w:rsidR="00C04CAD" w:rsidRDefault="00C04CAD">
      <w:pPr>
        <w:tabs>
          <w:tab w:val="clear" w:pos="567"/>
        </w:tabs>
        <w:kinsoku w:val="0"/>
        <w:overflowPunct w:val="0"/>
        <w:autoSpaceDE w:val="0"/>
        <w:autoSpaceDN w:val="0"/>
        <w:adjustRightInd w:val="0"/>
        <w:spacing w:line="240" w:lineRule="auto"/>
        <w:rPr>
          <w:b/>
          <w:szCs w:val="22"/>
          <w:lang w:eastAsia="en-US" w:bidi="ar-SA"/>
        </w:rPr>
      </w:pPr>
    </w:p>
    <w:p w14:paraId="3B010BB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Foarte frecvente (pot să apară la mai mult de 1 persoană din 10)</w:t>
      </w:r>
    </w:p>
    <w:p w14:paraId="322AAF2A"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scăderea numărului de celule albe în sânge;</w:t>
      </w:r>
    </w:p>
    <w:p w14:paraId="2A8EAFA2"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scăderea numărului de celule roşii în sânge;</w:t>
      </w:r>
    </w:p>
    <w:p w14:paraId="3EF4975E"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concentrațiilor grăsimilor în sânge;</w:t>
      </w:r>
    </w:p>
    <w:p w14:paraId="485FCFDC"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valorilor enzimelor hepatice.</w:t>
      </w:r>
    </w:p>
    <w:p w14:paraId="1EB5F52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58B996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 (pot să apară  până la 1 persoană din 10)</w:t>
      </w:r>
    </w:p>
    <w:p w14:paraId="178937B9"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numărului de celule albe în sânge;</w:t>
      </w:r>
    </w:p>
    <w:p w14:paraId="062B813D"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scăderea numărului de trombocite în sânge;</w:t>
      </w:r>
    </w:p>
    <w:p w14:paraId="4E09AA25"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acidului uric în sânge;</w:t>
      </w:r>
    </w:p>
    <w:p w14:paraId="63D134FE"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valori modificate ale sodiului în sânge;</w:t>
      </w:r>
    </w:p>
    <w:p w14:paraId="6BEACF29"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scăderea valorii calciului în sânge;</w:t>
      </w:r>
    </w:p>
    <w:p w14:paraId="2A1A3E66"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scăderea valorii fosforului în sânge;</w:t>
      </w:r>
    </w:p>
    <w:p w14:paraId="4BD8951D"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zahărului în sânge;</w:t>
      </w:r>
    </w:p>
    <w:p w14:paraId="4EDD4D01"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creşterea valorilor lactat dehidrogenazei în sânge;</w:t>
      </w:r>
    </w:p>
    <w:p w14:paraId="1AE0068B" w14:textId="77777777" w:rsidR="00C04CAD" w:rsidRDefault="00060E34">
      <w:pPr>
        <w:pStyle w:val="ListParagraph"/>
        <w:keepNext/>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prezenţa autoanticorpilor în sânge;</w:t>
      </w:r>
    </w:p>
    <w:p w14:paraId="1F67BA8B" w14:textId="77777777" w:rsidR="00C04CAD" w:rsidRDefault="00060E34">
      <w:pPr>
        <w:numPr>
          <w:ilvl w:val="0"/>
          <w:numId w:val="96"/>
        </w:numPr>
        <w:kinsoku w:val="0"/>
        <w:overflowPunct w:val="0"/>
        <w:autoSpaceDE w:val="0"/>
        <w:autoSpaceDN w:val="0"/>
        <w:adjustRightInd w:val="0"/>
        <w:spacing w:line="240" w:lineRule="auto"/>
        <w:ind w:left="720" w:hanging="720"/>
        <w:contextualSpacing/>
      </w:pPr>
      <w:r>
        <w:t>scăderea valorii potasiului în sânge.</w:t>
      </w:r>
    </w:p>
    <w:p w14:paraId="696C3B3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8297DB5" w14:textId="77777777" w:rsidR="00C04CAD" w:rsidRDefault="00060E34">
      <w:pPr>
        <w:keepNext/>
        <w:kinsoku w:val="0"/>
        <w:overflowPunct w:val="0"/>
        <w:autoSpaceDE w:val="0"/>
        <w:autoSpaceDN w:val="0"/>
        <w:adjustRightInd w:val="0"/>
        <w:spacing w:line="240" w:lineRule="auto"/>
        <w:ind w:left="567" w:hanging="567"/>
      </w:pPr>
      <w:r>
        <w:t>Mai puțin frecvente (pot să apară  până la 1 persoană din 100)</w:t>
      </w:r>
    </w:p>
    <w:p w14:paraId="6AC86DD4" w14:textId="77777777" w:rsidR="00C04CAD" w:rsidRDefault="00060E34">
      <w:pPr>
        <w:pStyle w:val="ListParagraph"/>
        <w:numPr>
          <w:ilvl w:val="0"/>
          <w:numId w:val="97"/>
        </w:numPr>
        <w:tabs>
          <w:tab w:val="clear" w:pos="567"/>
        </w:tabs>
        <w:kinsoku w:val="0"/>
        <w:overflowPunct w:val="0"/>
        <w:autoSpaceDE w:val="0"/>
        <w:autoSpaceDN w:val="0"/>
        <w:adjustRightInd w:val="0"/>
        <w:spacing w:line="240" w:lineRule="auto"/>
        <w:ind w:left="567" w:hanging="567"/>
        <w:rPr>
          <w:szCs w:val="22"/>
          <w:lang w:eastAsia="en-US" w:bidi="ar-SA"/>
        </w:rPr>
      </w:pPr>
      <w:r>
        <w:t>creșterea valorii bilirubinei în sânge (un test de sânge a funcției ficatului).</w:t>
      </w:r>
    </w:p>
    <w:p w14:paraId="262A5F92" w14:textId="77777777" w:rsidR="00C04CAD" w:rsidRDefault="00C04CAD">
      <w:pPr>
        <w:pStyle w:val="ListParagraph"/>
        <w:tabs>
          <w:tab w:val="clear" w:pos="567"/>
        </w:tabs>
        <w:kinsoku w:val="0"/>
        <w:overflowPunct w:val="0"/>
        <w:autoSpaceDE w:val="0"/>
        <w:autoSpaceDN w:val="0"/>
        <w:adjustRightInd w:val="0"/>
        <w:spacing w:line="240" w:lineRule="auto"/>
        <w:ind w:left="567"/>
        <w:rPr>
          <w:szCs w:val="22"/>
          <w:lang w:eastAsia="en-US" w:bidi="ar-SA"/>
        </w:rPr>
      </w:pPr>
    </w:p>
    <w:p w14:paraId="42A119C3"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Rare (pot să apară până la 1 persoană din 1000)</w:t>
      </w:r>
    </w:p>
    <w:p w14:paraId="396630BF"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scăderea numărului de celule albe, celule roşii şi de trombocite în sânge.</w:t>
      </w:r>
    </w:p>
    <w:p w14:paraId="2068E03D" w14:textId="77777777" w:rsidR="00C04CAD" w:rsidRDefault="00C04CAD">
      <w:pPr>
        <w:kinsoku w:val="0"/>
        <w:overflowPunct w:val="0"/>
        <w:autoSpaceDE w:val="0"/>
        <w:autoSpaceDN w:val="0"/>
        <w:adjustRightInd w:val="0"/>
        <w:spacing w:line="240" w:lineRule="auto"/>
        <w:rPr>
          <w:szCs w:val="22"/>
          <w:lang w:eastAsia="en-US" w:bidi="ar-SA"/>
        </w:rPr>
      </w:pPr>
    </w:p>
    <w:p w14:paraId="726F3742" w14:textId="77777777" w:rsidR="00C04CAD" w:rsidRDefault="00060E34">
      <w:pPr>
        <w:keepNext/>
        <w:kinsoku w:val="0"/>
        <w:overflowPunct w:val="0"/>
        <w:autoSpaceDE w:val="0"/>
        <w:autoSpaceDN w:val="0"/>
        <w:adjustRightInd w:val="0"/>
        <w:spacing w:line="240" w:lineRule="auto"/>
        <w:rPr>
          <w:b/>
        </w:rPr>
      </w:pPr>
      <w:r>
        <w:rPr>
          <w:b/>
        </w:rPr>
        <w:t>Raportarea reacţiilor adverse</w:t>
      </w:r>
    </w:p>
    <w:p w14:paraId="2FA7DA89" w14:textId="77777777" w:rsidR="00C04CAD" w:rsidRDefault="00C04CAD">
      <w:pPr>
        <w:keepNext/>
        <w:tabs>
          <w:tab w:val="clear" w:pos="567"/>
        </w:tabs>
        <w:kinsoku w:val="0"/>
        <w:overflowPunct w:val="0"/>
        <w:autoSpaceDE w:val="0"/>
        <w:autoSpaceDN w:val="0"/>
        <w:adjustRightInd w:val="0"/>
        <w:spacing w:line="240" w:lineRule="auto"/>
      </w:pPr>
    </w:p>
    <w:p w14:paraId="5577817A" w14:textId="77777777" w:rsidR="00C04CAD" w:rsidRDefault="00060E34">
      <w:pPr>
        <w:tabs>
          <w:tab w:val="clear" w:pos="567"/>
        </w:tabs>
        <w:kinsoku w:val="0"/>
        <w:overflowPunct w:val="0"/>
        <w:autoSpaceDE w:val="0"/>
        <w:autoSpaceDN w:val="0"/>
        <w:adjustRightInd w:val="0"/>
        <w:spacing w:line="240" w:lineRule="auto"/>
        <w:rPr>
          <w:color w:val="000000"/>
        </w:rPr>
      </w:pPr>
      <w:r>
        <w:t xml:space="preserve">Dacă manifestați orice reacții adverse, adresați-vă medicului dumneavoastră sau farmacistului. Acestea includ orice posibile reacţii adverse nemenţionate în acest prospect. </w:t>
      </w:r>
      <w:r>
        <w:rPr>
          <w:szCs w:val="22"/>
          <w:lang w:eastAsia="en-US" w:bidi="ar-SA"/>
        </w:rPr>
        <w:t xml:space="preserve">De asemenea, puteţi raporta reacţiile adverse direct prin intermediul </w:t>
      </w:r>
      <w:r>
        <w:rPr>
          <w:szCs w:val="22"/>
          <w:highlight w:val="lightGray"/>
          <w:lang w:eastAsia="en-US" w:bidi="ar-SA"/>
        </w:rPr>
        <w:t>sistemul naţional de raportare, aşa cum este menţionat în</w:t>
      </w:r>
      <w:r>
        <w:rPr>
          <w:szCs w:val="22"/>
          <w:highlight w:val="lightGray"/>
          <w:shd w:val="clear" w:color="auto" w:fill="D0CECE"/>
          <w:lang w:eastAsia="en-US" w:bidi="ar-SA"/>
        </w:rPr>
        <w:t xml:space="preserve"> </w:t>
      </w:r>
      <w:hyperlink r:id="rId40">
        <w:r w:rsidR="00C04CAD">
          <w:rPr>
            <w:rStyle w:val="Hyperlink"/>
            <w:highlight w:val="lightGray"/>
            <w:shd w:val="clear" w:color="auto" w:fill="D0CECE"/>
          </w:rPr>
          <w:t>Anexa V</w:t>
        </w:r>
      </w:hyperlink>
      <w:r>
        <w:rPr>
          <w:color w:val="000000"/>
          <w:szCs w:val="22"/>
          <w:lang w:eastAsia="en-US" w:bidi="ar-SA"/>
        </w:rPr>
        <w:t xml:space="preserve">. </w:t>
      </w:r>
      <w:r>
        <w:rPr>
          <w:color w:val="000000"/>
        </w:rPr>
        <w:t>Raportând reacţiile adverse, puteţi contribui la furnizarea de informaţii suplimentare privind siguranţa acestui medicament.</w:t>
      </w:r>
    </w:p>
    <w:p w14:paraId="64AEF8A3" w14:textId="77777777" w:rsidR="00C04CAD" w:rsidRDefault="00C04CAD">
      <w:pPr>
        <w:tabs>
          <w:tab w:val="clear" w:pos="567"/>
        </w:tabs>
        <w:kinsoku w:val="0"/>
        <w:overflowPunct w:val="0"/>
        <w:autoSpaceDE w:val="0"/>
        <w:autoSpaceDN w:val="0"/>
        <w:adjustRightInd w:val="0"/>
        <w:spacing w:line="240" w:lineRule="auto"/>
      </w:pPr>
    </w:p>
    <w:p w14:paraId="278584D2" w14:textId="77777777" w:rsidR="00C04CAD" w:rsidRDefault="00C04CAD">
      <w:pPr>
        <w:tabs>
          <w:tab w:val="clear" w:pos="567"/>
        </w:tabs>
        <w:kinsoku w:val="0"/>
        <w:overflowPunct w:val="0"/>
        <w:autoSpaceDE w:val="0"/>
        <w:autoSpaceDN w:val="0"/>
        <w:adjustRightInd w:val="0"/>
        <w:spacing w:line="240" w:lineRule="auto"/>
      </w:pPr>
    </w:p>
    <w:p w14:paraId="48452C94" w14:textId="77777777" w:rsidR="00C04CAD" w:rsidRDefault="00060E34">
      <w:pPr>
        <w:tabs>
          <w:tab w:val="clear" w:pos="567"/>
        </w:tabs>
        <w:kinsoku w:val="0"/>
        <w:overflowPunct w:val="0"/>
        <w:autoSpaceDE w:val="0"/>
        <w:autoSpaceDN w:val="0"/>
        <w:adjustRightInd w:val="0"/>
        <w:spacing w:line="240" w:lineRule="auto"/>
        <w:ind w:left="567" w:hanging="567"/>
        <w:rPr>
          <w:b/>
          <w:szCs w:val="22"/>
          <w:lang w:eastAsia="en-US" w:bidi="ar-SA"/>
        </w:rPr>
      </w:pPr>
      <w:r>
        <w:rPr>
          <w:b/>
          <w:szCs w:val="22"/>
          <w:lang w:eastAsia="en-US" w:bidi="ar-SA"/>
        </w:rPr>
        <w:t>5.</w:t>
      </w:r>
      <w:r>
        <w:rPr>
          <w:b/>
          <w:szCs w:val="22"/>
          <w:lang w:eastAsia="en-US" w:bidi="ar-SA"/>
        </w:rPr>
        <w:tab/>
        <w:t>Cum se păstrează AMGEVITA</w:t>
      </w:r>
    </w:p>
    <w:p w14:paraId="20CBFDC3"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4CD2ED1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Nu lăsaţi acest medicament la vederea şi îndemâna copiilor.</w:t>
      </w:r>
    </w:p>
    <w:p w14:paraId="52DD8D1A"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187AF5D0"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nu se utiliza acest medicament după data de expirare înscrisă pe etichetă și cutie după EXP. Data expirării se referă la ultima zi a lunii respective.</w:t>
      </w:r>
    </w:p>
    <w:p w14:paraId="4034FE7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C12BCC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la frigider (2°C–8°C). A nu se congela.</w:t>
      </w:r>
    </w:p>
    <w:p w14:paraId="05E1C65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1829E1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în ambalajul original pentru a fi protejat de lumină.</w:t>
      </w:r>
    </w:p>
    <w:p w14:paraId="4AF8CCA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5D0D24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 pen preumplut AMGEVITA poate fi păstrat la temperaturi până la un maximum de 25°C pentru o perioadă de până la 14 zile. Penul preumplut trebuie protejat faţă de lumină, şi trebuie aruncat dacă nu se utilizează în acest interval de 14 zile.</w:t>
      </w:r>
    </w:p>
    <w:p w14:paraId="771FC7EE" w14:textId="77777777" w:rsidR="00C04CAD" w:rsidRDefault="00C04CAD">
      <w:pPr>
        <w:tabs>
          <w:tab w:val="clear" w:pos="567"/>
        </w:tabs>
        <w:kinsoku w:val="0"/>
        <w:overflowPunct w:val="0"/>
        <w:autoSpaceDE w:val="0"/>
        <w:autoSpaceDN w:val="0"/>
        <w:adjustRightInd w:val="0"/>
        <w:spacing w:line="240" w:lineRule="auto"/>
      </w:pPr>
    </w:p>
    <w:p w14:paraId="1945E302" w14:textId="77777777" w:rsidR="00C04CAD" w:rsidRDefault="00060E34">
      <w:pPr>
        <w:tabs>
          <w:tab w:val="clear" w:pos="567"/>
        </w:tabs>
        <w:kinsoku w:val="0"/>
        <w:overflowPunct w:val="0"/>
        <w:autoSpaceDE w:val="0"/>
        <w:autoSpaceDN w:val="0"/>
        <w:adjustRightInd w:val="0"/>
        <w:spacing w:line="240" w:lineRule="auto"/>
      </w:pPr>
      <w:r>
        <w:t>Nu aruncaţi niciun medicament pe calea apei sau a reziduurilor menajere. Întrebaţi farmacistul cum să aruncaţi medicamentele pe care nu le mai folosiţi. Aceste măsuri vor ajuta la protejarea mediului.</w:t>
      </w:r>
    </w:p>
    <w:p w14:paraId="29228CC9" w14:textId="77777777" w:rsidR="00C04CAD" w:rsidRDefault="00C04CAD">
      <w:pPr>
        <w:tabs>
          <w:tab w:val="clear" w:pos="567"/>
        </w:tabs>
        <w:kinsoku w:val="0"/>
        <w:overflowPunct w:val="0"/>
        <w:autoSpaceDE w:val="0"/>
        <w:autoSpaceDN w:val="0"/>
        <w:adjustRightInd w:val="0"/>
        <w:spacing w:line="240" w:lineRule="auto"/>
      </w:pPr>
    </w:p>
    <w:p w14:paraId="2D7FB251" w14:textId="77777777" w:rsidR="00C04CAD" w:rsidRDefault="00C04CAD">
      <w:pPr>
        <w:tabs>
          <w:tab w:val="clear" w:pos="567"/>
        </w:tabs>
        <w:kinsoku w:val="0"/>
        <w:overflowPunct w:val="0"/>
        <w:autoSpaceDE w:val="0"/>
        <w:autoSpaceDN w:val="0"/>
        <w:adjustRightInd w:val="0"/>
        <w:spacing w:line="240" w:lineRule="auto"/>
      </w:pPr>
    </w:p>
    <w:p w14:paraId="16E8A937" w14:textId="77777777" w:rsidR="00C04CAD" w:rsidRDefault="00060E34">
      <w:pPr>
        <w:keepNext/>
        <w:keepLines/>
        <w:tabs>
          <w:tab w:val="clear" w:pos="567"/>
        </w:tabs>
        <w:kinsoku w:val="0"/>
        <w:overflowPunct w:val="0"/>
        <w:autoSpaceDE w:val="0"/>
        <w:autoSpaceDN w:val="0"/>
        <w:adjustRightInd w:val="0"/>
        <w:spacing w:line="240" w:lineRule="auto"/>
        <w:ind w:left="567" w:hanging="567"/>
        <w:rPr>
          <w:b/>
          <w:szCs w:val="22"/>
          <w:lang w:eastAsia="en-US" w:bidi="ar-SA"/>
        </w:rPr>
      </w:pPr>
      <w:r>
        <w:rPr>
          <w:b/>
          <w:szCs w:val="22"/>
          <w:lang w:eastAsia="en-US" w:bidi="ar-SA"/>
        </w:rPr>
        <w:t>6.</w:t>
      </w:r>
      <w:r>
        <w:rPr>
          <w:b/>
          <w:szCs w:val="22"/>
          <w:lang w:eastAsia="en-US" w:bidi="ar-SA"/>
        </w:rPr>
        <w:tab/>
        <w:t>Conţinutul ambalajului şi alte informaţii</w:t>
      </w:r>
    </w:p>
    <w:p w14:paraId="76B06A02" w14:textId="77777777" w:rsidR="00C04CAD" w:rsidRDefault="00C04CAD">
      <w:pPr>
        <w:keepNext/>
        <w:tabs>
          <w:tab w:val="clear" w:pos="567"/>
          <w:tab w:val="left" w:pos="679"/>
        </w:tabs>
        <w:kinsoku w:val="0"/>
        <w:overflowPunct w:val="0"/>
        <w:autoSpaceDE w:val="0"/>
        <w:autoSpaceDN w:val="0"/>
        <w:adjustRightInd w:val="0"/>
        <w:spacing w:line="240" w:lineRule="auto"/>
        <w:outlineLvl w:val="0"/>
        <w:rPr>
          <w:b/>
        </w:rPr>
      </w:pPr>
    </w:p>
    <w:p w14:paraId="68DFD66B" w14:textId="77777777" w:rsidR="00C04CAD" w:rsidRDefault="00060E34">
      <w:pPr>
        <w:keepNext/>
        <w:tabs>
          <w:tab w:val="clear" w:pos="567"/>
          <w:tab w:val="left" w:pos="679"/>
        </w:tabs>
        <w:kinsoku w:val="0"/>
        <w:overflowPunct w:val="0"/>
        <w:autoSpaceDE w:val="0"/>
        <w:autoSpaceDN w:val="0"/>
        <w:adjustRightInd w:val="0"/>
        <w:spacing w:line="240" w:lineRule="auto"/>
        <w:outlineLvl w:val="0"/>
        <w:rPr>
          <w:b/>
          <w:bCs/>
        </w:rPr>
      </w:pPr>
      <w:r>
        <w:rPr>
          <w:b/>
        </w:rPr>
        <w:t xml:space="preserve">Ce conţine </w:t>
      </w:r>
      <w:r>
        <w:rPr>
          <w:b/>
          <w:bCs/>
          <w:szCs w:val="22"/>
          <w:lang w:eastAsia="en-US" w:bidi="ar-SA"/>
        </w:rPr>
        <w:t>AMGEVITA</w:t>
      </w:r>
    </w:p>
    <w:p w14:paraId="6E31C546"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Substanţa activă este adalimumab.</w:t>
      </w:r>
      <w:r>
        <w:rPr>
          <w:szCs w:val="22"/>
          <w:lang w:eastAsia="en-US" w:bidi="ar-SA"/>
        </w:rPr>
        <w:t xml:space="preserve"> Fiecare pen preumplut conţine adalimumab 40 mg în 0,8 ml soluţie.</w:t>
      </w:r>
    </w:p>
    <w:p w14:paraId="0669F8AF"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 xml:space="preserve">Celelalte componente sunt acid </w:t>
      </w:r>
      <w:r>
        <w:rPr>
          <w:szCs w:val="22"/>
          <w:lang w:eastAsia="en-US" w:bidi="ar-SA"/>
        </w:rPr>
        <w:t>acetic glacial, sucroză</w:t>
      </w:r>
      <w:r>
        <w:t>, polisorbat80, hidroxid de sodiu şi apă pentru preparate injectabile.</w:t>
      </w:r>
    </w:p>
    <w:p w14:paraId="2A75F491" w14:textId="77777777" w:rsidR="00C04CAD" w:rsidRDefault="00C04CAD">
      <w:pPr>
        <w:tabs>
          <w:tab w:val="clear" w:pos="567"/>
        </w:tabs>
        <w:kinsoku w:val="0"/>
        <w:overflowPunct w:val="0"/>
        <w:autoSpaceDE w:val="0"/>
        <w:autoSpaceDN w:val="0"/>
        <w:adjustRightInd w:val="0"/>
        <w:spacing w:line="240" w:lineRule="auto"/>
      </w:pPr>
    </w:p>
    <w:p w14:paraId="0A3431DA"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 xml:space="preserve">Cum arată </w:t>
      </w:r>
      <w:r>
        <w:rPr>
          <w:b/>
          <w:bCs/>
          <w:szCs w:val="22"/>
          <w:lang w:eastAsia="en-US" w:bidi="ar-SA"/>
        </w:rPr>
        <w:t xml:space="preserve">AMGEVITA </w:t>
      </w:r>
      <w:r>
        <w:rPr>
          <w:b/>
          <w:szCs w:val="22"/>
        </w:rPr>
        <w:t>şi conţinutul ambalajului</w:t>
      </w:r>
    </w:p>
    <w:p w14:paraId="0F691D23" w14:textId="77777777" w:rsidR="00C04CAD" w:rsidRDefault="00C04CAD">
      <w:pPr>
        <w:keepNext/>
        <w:tabs>
          <w:tab w:val="clear" w:pos="567"/>
        </w:tabs>
        <w:autoSpaceDE w:val="0"/>
        <w:autoSpaceDN w:val="0"/>
        <w:adjustRightInd w:val="0"/>
        <w:spacing w:line="240" w:lineRule="auto"/>
        <w:rPr>
          <w:b/>
          <w:szCs w:val="22"/>
        </w:rPr>
      </w:pPr>
    </w:p>
    <w:p w14:paraId="4E8F903F" w14:textId="77777777" w:rsidR="00C04CAD" w:rsidRDefault="00060E34">
      <w:pPr>
        <w:tabs>
          <w:tab w:val="clear" w:pos="567"/>
        </w:tabs>
        <w:autoSpaceDE w:val="0"/>
        <w:autoSpaceDN w:val="0"/>
        <w:adjustRightInd w:val="0"/>
        <w:spacing w:line="240" w:lineRule="auto"/>
        <w:rPr>
          <w:b/>
          <w:bCs/>
          <w:szCs w:val="22"/>
          <w:lang w:eastAsia="en-US" w:bidi="ar-SA"/>
        </w:rPr>
      </w:pPr>
      <w:r>
        <w:rPr>
          <w:szCs w:val="22"/>
          <w:lang w:eastAsia="en-US" w:bidi="ar-SA"/>
        </w:rPr>
        <w:t>AMGEVITA</w:t>
      </w:r>
      <w:r>
        <w:rPr>
          <w:szCs w:val="22"/>
        </w:rPr>
        <w:t xml:space="preserve"> este o soluție limpede şi incoloră până la uşor gălbuie.</w:t>
      </w:r>
    </w:p>
    <w:p w14:paraId="749D942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C48AE9F"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 xml:space="preserve">Fiecare </w:t>
      </w:r>
      <w:r>
        <w:rPr>
          <w:szCs w:val="22"/>
        </w:rPr>
        <w:t xml:space="preserve">ambalaj conţine 1,2, 4 sau 6 </w:t>
      </w:r>
      <w:r>
        <w:rPr>
          <w:szCs w:val="22"/>
          <w:lang w:eastAsia="en-US" w:bidi="ar-SA"/>
        </w:rPr>
        <w:t xml:space="preserve">penuri SureClick </w:t>
      </w:r>
      <w:r>
        <w:rPr>
          <w:szCs w:val="22"/>
        </w:rPr>
        <w:t xml:space="preserve">preumplute </w:t>
      </w:r>
      <w:r>
        <w:rPr>
          <w:szCs w:val="22"/>
          <w:lang w:eastAsia="en-US" w:bidi="ar-SA"/>
        </w:rPr>
        <w:t>de unică utilizare</w:t>
      </w:r>
      <w:r>
        <w:rPr>
          <w:szCs w:val="22"/>
        </w:rPr>
        <w:t>.</w:t>
      </w:r>
    </w:p>
    <w:p w14:paraId="6B5FF4AF" w14:textId="77777777" w:rsidR="00C04CAD" w:rsidRDefault="00C04CAD">
      <w:pPr>
        <w:tabs>
          <w:tab w:val="clear" w:pos="567"/>
        </w:tabs>
        <w:kinsoku w:val="0"/>
        <w:overflowPunct w:val="0"/>
        <w:autoSpaceDE w:val="0"/>
        <w:autoSpaceDN w:val="0"/>
        <w:adjustRightInd w:val="0"/>
        <w:spacing w:line="240" w:lineRule="auto"/>
      </w:pPr>
    </w:p>
    <w:p w14:paraId="5B3ABF21" w14:textId="77777777" w:rsidR="00C04CAD" w:rsidRDefault="00060E34">
      <w:pPr>
        <w:keepNext/>
        <w:tabs>
          <w:tab w:val="clear" w:pos="567"/>
        </w:tabs>
        <w:kinsoku w:val="0"/>
        <w:overflowPunct w:val="0"/>
        <w:autoSpaceDE w:val="0"/>
        <w:autoSpaceDN w:val="0"/>
        <w:adjustRightInd w:val="0"/>
        <w:spacing w:line="240" w:lineRule="auto"/>
        <w:outlineLvl w:val="0"/>
        <w:rPr>
          <w:szCs w:val="22"/>
        </w:rPr>
      </w:pPr>
      <w:r>
        <w:rPr>
          <w:b/>
          <w:szCs w:val="22"/>
        </w:rPr>
        <w:t xml:space="preserve">Deţinătorul autorizaţiei de punere pe piaţă </w:t>
      </w:r>
      <w:r>
        <w:rPr>
          <w:b/>
          <w:bCs/>
          <w:szCs w:val="22"/>
          <w:lang w:eastAsia="en-US" w:bidi="ar-SA"/>
        </w:rPr>
        <w:t>şi fabricantul</w:t>
      </w:r>
    </w:p>
    <w:p w14:paraId="77C34202"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Amgen Europe B.V.</w:t>
      </w:r>
    </w:p>
    <w:p w14:paraId="18C82B9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Minervum 7061</w:t>
      </w:r>
    </w:p>
    <w:p w14:paraId="523CB97C"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4817 ZK Breda</w:t>
      </w:r>
    </w:p>
    <w:p w14:paraId="7EA4B96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Olanda</w:t>
      </w:r>
    </w:p>
    <w:p w14:paraId="1069080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86587CD" w14:textId="77777777" w:rsidR="00C04CAD" w:rsidRDefault="00060E34">
      <w:pPr>
        <w:keepNext/>
        <w:tabs>
          <w:tab w:val="clear" w:pos="567"/>
        </w:tabs>
        <w:kinsoku w:val="0"/>
        <w:overflowPunct w:val="0"/>
        <w:autoSpaceDE w:val="0"/>
        <w:autoSpaceDN w:val="0"/>
        <w:adjustRightInd w:val="0"/>
        <w:spacing w:line="240" w:lineRule="auto"/>
        <w:rPr>
          <w:b/>
          <w:szCs w:val="22"/>
          <w:highlight w:val="lightGray"/>
          <w:lang w:eastAsia="en-US" w:bidi="ar-SA"/>
        </w:rPr>
      </w:pPr>
      <w:r>
        <w:rPr>
          <w:b/>
          <w:szCs w:val="22"/>
          <w:highlight w:val="lightGray"/>
          <w:lang w:eastAsia="en-US" w:bidi="ar-SA"/>
        </w:rPr>
        <w:t>Deţinătorul autorizaţiei de punere pe piaţă</w:t>
      </w:r>
    </w:p>
    <w:p w14:paraId="5A179119"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Europe B.V.</w:t>
      </w:r>
    </w:p>
    <w:p w14:paraId="55264CD0"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Minervum 7061</w:t>
      </w:r>
    </w:p>
    <w:p w14:paraId="395DB482"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4817 ZK Breda</w:t>
      </w:r>
    </w:p>
    <w:p w14:paraId="5AE2BD1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Olanda</w:t>
      </w:r>
    </w:p>
    <w:p w14:paraId="477DCBDD"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4002BE51" w14:textId="77777777" w:rsidR="00C04CAD" w:rsidRDefault="00060E34">
      <w:pPr>
        <w:keepNext/>
        <w:tabs>
          <w:tab w:val="clear" w:pos="567"/>
        </w:tabs>
        <w:kinsoku w:val="0"/>
        <w:overflowPunct w:val="0"/>
        <w:autoSpaceDE w:val="0"/>
        <w:autoSpaceDN w:val="0"/>
        <w:adjustRightInd w:val="0"/>
        <w:spacing w:line="240" w:lineRule="auto"/>
        <w:outlineLvl w:val="0"/>
        <w:rPr>
          <w:szCs w:val="22"/>
          <w:highlight w:val="lightGray"/>
          <w:lang w:eastAsia="en-US" w:bidi="ar-SA"/>
        </w:rPr>
      </w:pPr>
      <w:r>
        <w:rPr>
          <w:b/>
          <w:bCs/>
          <w:szCs w:val="22"/>
          <w:highlight w:val="lightGray"/>
          <w:lang w:eastAsia="en-US" w:bidi="ar-SA"/>
        </w:rPr>
        <w:t>Fabricantul</w:t>
      </w:r>
    </w:p>
    <w:p w14:paraId="444C0BE2"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Technology Ireland UC</w:t>
      </w:r>
    </w:p>
    <w:p w14:paraId="3470AA81"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Pottery Road</w:t>
      </w:r>
    </w:p>
    <w:p w14:paraId="6149E2B0"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Dun Laoghaire</w:t>
      </w:r>
    </w:p>
    <w:p w14:paraId="6A8A733E"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Co Dublin</w:t>
      </w:r>
    </w:p>
    <w:p w14:paraId="5C7414A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Irlanda</w:t>
      </w:r>
    </w:p>
    <w:p w14:paraId="6C48F932" w14:textId="77777777" w:rsidR="00C04CAD" w:rsidRDefault="00C04CAD">
      <w:pPr>
        <w:tabs>
          <w:tab w:val="clear" w:pos="567"/>
        </w:tabs>
        <w:kinsoku w:val="0"/>
        <w:overflowPunct w:val="0"/>
        <w:autoSpaceDE w:val="0"/>
        <w:autoSpaceDN w:val="0"/>
        <w:adjustRightInd w:val="0"/>
        <w:spacing w:line="240" w:lineRule="auto"/>
        <w:rPr>
          <w:szCs w:val="22"/>
        </w:rPr>
      </w:pPr>
    </w:p>
    <w:p w14:paraId="468CEBA6" w14:textId="77777777" w:rsidR="00C04CAD" w:rsidRDefault="00060E34">
      <w:pPr>
        <w:spacing w:line="240" w:lineRule="auto"/>
        <w:rPr>
          <w:lang w:eastAsia="ja-JP"/>
        </w:rPr>
      </w:pPr>
      <w:bookmarkStart w:id="20" w:name="_Hlk503464565"/>
      <w:r>
        <w:rPr>
          <w:b/>
          <w:bCs/>
          <w:szCs w:val="22"/>
          <w:highlight w:val="lightGray"/>
          <w:lang w:eastAsia="en-US" w:bidi="ar-SA"/>
        </w:rPr>
        <w:t>Fabricantul</w:t>
      </w:r>
    </w:p>
    <w:p w14:paraId="27391C25" w14:textId="77777777" w:rsidR="00C04CAD" w:rsidRDefault="00060E34">
      <w:pPr>
        <w:spacing w:line="240" w:lineRule="auto"/>
        <w:rPr>
          <w:highlight w:val="lightGray"/>
          <w:lang w:eastAsia="ja-JP"/>
        </w:rPr>
      </w:pPr>
      <w:r>
        <w:rPr>
          <w:highlight w:val="lightGray"/>
          <w:lang w:eastAsia="ja-JP"/>
        </w:rPr>
        <w:t>Amgen NV</w:t>
      </w:r>
    </w:p>
    <w:p w14:paraId="54F96CF0" w14:textId="77777777" w:rsidR="00C04CAD" w:rsidRDefault="00060E34">
      <w:pPr>
        <w:spacing w:line="240" w:lineRule="auto"/>
        <w:rPr>
          <w:highlight w:val="lightGray"/>
          <w:lang w:eastAsia="ja-JP"/>
        </w:rPr>
      </w:pPr>
      <w:r>
        <w:rPr>
          <w:highlight w:val="lightGray"/>
          <w:lang w:eastAsia="ja-JP"/>
        </w:rPr>
        <w:t>Telecomlaan 5-7</w:t>
      </w:r>
    </w:p>
    <w:p w14:paraId="7FD5278C" w14:textId="77777777" w:rsidR="00C04CAD" w:rsidRDefault="00060E34">
      <w:pPr>
        <w:spacing w:line="240" w:lineRule="auto"/>
        <w:rPr>
          <w:highlight w:val="lightGray"/>
          <w:lang w:eastAsia="ja-JP"/>
        </w:rPr>
      </w:pPr>
      <w:r>
        <w:rPr>
          <w:highlight w:val="lightGray"/>
          <w:lang w:eastAsia="ja-JP"/>
        </w:rPr>
        <w:t>1831 Diegem</w:t>
      </w:r>
    </w:p>
    <w:p w14:paraId="2F5B296F" w14:textId="77777777" w:rsidR="00C04CAD" w:rsidRDefault="00060E34">
      <w:pPr>
        <w:numPr>
          <w:ilvl w:val="12"/>
          <w:numId w:val="0"/>
        </w:numPr>
        <w:tabs>
          <w:tab w:val="clear" w:pos="567"/>
        </w:tabs>
        <w:spacing w:line="240" w:lineRule="auto"/>
        <w:rPr>
          <w:szCs w:val="22"/>
        </w:rPr>
      </w:pPr>
      <w:r>
        <w:rPr>
          <w:highlight w:val="lightGray"/>
          <w:lang w:eastAsia="ja-JP"/>
        </w:rPr>
        <w:t>Belgia</w:t>
      </w:r>
      <w:bookmarkEnd w:id="20"/>
    </w:p>
    <w:p w14:paraId="57515FAA" w14:textId="77777777" w:rsidR="00C04CAD" w:rsidRDefault="00C04CAD">
      <w:pPr>
        <w:numPr>
          <w:ilvl w:val="12"/>
          <w:numId w:val="0"/>
        </w:numPr>
        <w:tabs>
          <w:tab w:val="clear" w:pos="567"/>
        </w:tabs>
        <w:spacing w:line="240" w:lineRule="auto"/>
        <w:rPr>
          <w:szCs w:val="22"/>
        </w:rPr>
      </w:pPr>
    </w:p>
    <w:p w14:paraId="67CFDC84" w14:textId="77777777" w:rsidR="00C04CAD" w:rsidRDefault="00060E34">
      <w:pPr>
        <w:numPr>
          <w:ilvl w:val="12"/>
          <w:numId w:val="0"/>
        </w:numPr>
        <w:tabs>
          <w:tab w:val="clear" w:pos="567"/>
        </w:tabs>
        <w:spacing w:line="240" w:lineRule="auto"/>
        <w:rPr>
          <w:szCs w:val="22"/>
        </w:rPr>
      </w:pPr>
      <w:r>
        <w:rPr>
          <w:szCs w:val="22"/>
        </w:rPr>
        <w:t>Pentru orice informaţii despre acest medicament, vă rugăm să contactaţi reprezentanţii locali ai deţinătorului autorizaţiei de punere pe piaţă:</w:t>
      </w:r>
    </w:p>
    <w:p w14:paraId="2C4B930A" w14:textId="77777777" w:rsidR="00C04CAD" w:rsidRDefault="00C04CAD">
      <w:pPr>
        <w:numPr>
          <w:ilvl w:val="12"/>
          <w:numId w:val="0"/>
        </w:numPr>
        <w:tabs>
          <w:tab w:val="clear" w:pos="567"/>
        </w:tabs>
        <w:spacing w:line="240" w:lineRule="auto"/>
        <w:rPr>
          <w:szCs w:val="22"/>
        </w:rPr>
      </w:pPr>
    </w:p>
    <w:tbl>
      <w:tblPr>
        <w:tblW w:w="9356" w:type="dxa"/>
        <w:tblLook w:val="04A0" w:firstRow="1" w:lastRow="0" w:firstColumn="1" w:lastColumn="0" w:noHBand="0" w:noVBand="1"/>
      </w:tblPr>
      <w:tblGrid>
        <w:gridCol w:w="4677"/>
        <w:gridCol w:w="4679"/>
      </w:tblGrid>
      <w:tr w:rsidR="00C04CAD" w14:paraId="1C4BC1D2" w14:textId="77777777">
        <w:trPr>
          <w:cantSplit/>
        </w:trPr>
        <w:tc>
          <w:tcPr>
            <w:tcW w:w="4677" w:type="dxa"/>
          </w:tcPr>
          <w:p w14:paraId="6A54AD5D" w14:textId="77777777" w:rsidR="00C04CAD" w:rsidRDefault="00060E34">
            <w:pPr>
              <w:spacing w:line="240" w:lineRule="auto"/>
              <w:rPr>
                <w:szCs w:val="22"/>
              </w:rPr>
            </w:pPr>
            <w:r>
              <w:rPr>
                <w:b/>
                <w:szCs w:val="22"/>
              </w:rPr>
              <w:t>België/Belgique/Belgien</w:t>
            </w:r>
          </w:p>
          <w:p w14:paraId="4D8BB49B" w14:textId="77777777" w:rsidR="00C04CAD" w:rsidRDefault="00060E34">
            <w:pPr>
              <w:spacing w:line="240" w:lineRule="auto"/>
              <w:rPr>
                <w:rFonts w:eastAsia="PMingLiU"/>
                <w:szCs w:val="22"/>
                <w:lang w:eastAsia="en-US" w:bidi="ar-SA"/>
              </w:rPr>
            </w:pPr>
            <w:r>
              <w:rPr>
                <w:rFonts w:eastAsia="PMingLiU"/>
                <w:szCs w:val="22"/>
                <w:lang w:eastAsia="en-US" w:bidi="ar-SA"/>
              </w:rPr>
              <w:t>s.a. Amgen n.v.</w:t>
            </w:r>
          </w:p>
          <w:p w14:paraId="039C86C3" w14:textId="77777777" w:rsidR="00C04CAD" w:rsidRDefault="00060E34">
            <w:pPr>
              <w:tabs>
                <w:tab w:val="clear" w:pos="567"/>
              </w:tabs>
              <w:autoSpaceDE w:val="0"/>
              <w:autoSpaceDN w:val="0"/>
              <w:adjustRightInd w:val="0"/>
              <w:spacing w:line="240" w:lineRule="auto"/>
              <w:rPr>
                <w:szCs w:val="22"/>
                <w:lang w:eastAsia="en-US" w:bidi="ar-SA"/>
              </w:rPr>
            </w:pPr>
            <w:r>
              <w:rPr>
                <w:szCs w:val="22"/>
              </w:rPr>
              <w:t>Tél/Tel: +32 (0)2 7752711</w:t>
            </w:r>
          </w:p>
          <w:p w14:paraId="26EAA243" w14:textId="77777777" w:rsidR="00C04CAD" w:rsidRDefault="00C04CAD">
            <w:pPr>
              <w:tabs>
                <w:tab w:val="clear" w:pos="567"/>
              </w:tabs>
              <w:autoSpaceDE w:val="0"/>
              <w:autoSpaceDN w:val="0"/>
              <w:adjustRightInd w:val="0"/>
              <w:spacing w:line="240" w:lineRule="auto"/>
              <w:rPr>
                <w:szCs w:val="22"/>
              </w:rPr>
            </w:pPr>
          </w:p>
        </w:tc>
        <w:tc>
          <w:tcPr>
            <w:tcW w:w="4679" w:type="dxa"/>
          </w:tcPr>
          <w:p w14:paraId="125F9964" w14:textId="77777777" w:rsidR="00C04CAD" w:rsidRDefault="00060E34">
            <w:pPr>
              <w:spacing w:line="240" w:lineRule="auto"/>
              <w:rPr>
                <w:rFonts w:eastAsia="MS Mincho"/>
                <w:b/>
                <w:szCs w:val="22"/>
                <w:lang w:eastAsia="en-US" w:bidi="ar-SA"/>
              </w:rPr>
            </w:pPr>
            <w:r>
              <w:rPr>
                <w:b/>
                <w:szCs w:val="22"/>
              </w:rPr>
              <w:t>Lietuva</w:t>
            </w:r>
          </w:p>
          <w:p w14:paraId="788C5BE1" w14:textId="77777777" w:rsidR="00C04CAD" w:rsidRDefault="00060E34">
            <w:pPr>
              <w:spacing w:line="240" w:lineRule="auto"/>
              <w:rPr>
                <w:rFonts w:eastAsia="PMingLiU"/>
                <w:bCs/>
                <w:szCs w:val="22"/>
                <w:lang w:eastAsia="en-US" w:bidi="ar-SA"/>
              </w:rPr>
            </w:pPr>
            <w:r>
              <w:rPr>
                <w:rFonts w:eastAsia="PMingLiU"/>
                <w:szCs w:val="22"/>
                <w:lang w:eastAsia="en-US" w:bidi="ar-SA"/>
              </w:rPr>
              <w:t>Amgen Switzerland AG Vilniaus filialas</w:t>
            </w:r>
          </w:p>
          <w:p w14:paraId="3BADBCAD" w14:textId="77777777" w:rsidR="00C04CAD" w:rsidRDefault="00060E34">
            <w:pPr>
              <w:spacing w:line="240" w:lineRule="auto"/>
              <w:rPr>
                <w:rFonts w:eastAsia="PMingLiU"/>
                <w:bCs/>
                <w:szCs w:val="22"/>
                <w:lang w:eastAsia="en-US" w:bidi="ar-SA"/>
              </w:rPr>
            </w:pPr>
            <w:r>
              <w:rPr>
                <w:szCs w:val="22"/>
              </w:rPr>
              <w:t>Tel</w:t>
            </w:r>
            <w:del w:id="21" w:author="Author">
              <w:r>
                <w:rPr>
                  <w:szCs w:val="22"/>
                </w:rPr>
                <w:delText>:</w:delText>
              </w:r>
            </w:del>
            <w:ins w:id="22" w:author="Author">
              <w:r>
                <w:rPr>
                  <w:szCs w:val="22"/>
                </w:rPr>
                <w:t>.</w:t>
              </w:r>
            </w:ins>
            <w:r>
              <w:rPr>
                <w:szCs w:val="22"/>
              </w:rPr>
              <w:t xml:space="preserve"> +370 5 </w:t>
            </w:r>
            <w:r>
              <w:rPr>
                <w:rFonts w:eastAsia="PMingLiU"/>
                <w:bCs/>
                <w:szCs w:val="22"/>
              </w:rPr>
              <w:t>219 7474</w:t>
            </w:r>
          </w:p>
          <w:p w14:paraId="132C0F18" w14:textId="77777777" w:rsidR="00C04CAD" w:rsidRDefault="00C04CAD">
            <w:pPr>
              <w:tabs>
                <w:tab w:val="clear" w:pos="567"/>
              </w:tabs>
              <w:autoSpaceDE w:val="0"/>
              <w:autoSpaceDN w:val="0"/>
              <w:adjustRightInd w:val="0"/>
              <w:spacing w:line="240" w:lineRule="auto"/>
              <w:rPr>
                <w:szCs w:val="22"/>
              </w:rPr>
            </w:pPr>
          </w:p>
        </w:tc>
      </w:tr>
      <w:tr w:rsidR="00C04CAD" w14:paraId="7CF94742" w14:textId="77777777">
        <w:trPr>
          <w:cantSplit/>
        </w:trPr>
        <w:tc>
          <w:tcPr>
            <w:tcW w:w="4677" w:type="dxa"/>
          </w:tcPr>
          <w:p w14:paraId="21574E50" w14:textId="77777777" w:rsidR="00C04CAD" w:rsidRDefault="00060E34">
            <w:pPr>
              <w:tabs>
                <w:tab w:val="clear" w:pos="567"/>
              </w:tabs>
              <w:autoSpaceDE w:val="0"/>
              <w:autoSpaceDN w:val="0"/>
              <w:adjustRightInd w:val="0"/>
              <w:spacing w:line="240" w:lineRule="auto"/>
              <w:rPr>
                <w:b/>
                <w:szCs w:val="22"/>
              </w:rPr>
            </w:pPr>
            <w:r>
              <w:rPr>
                <w:b/>
                <w:szCs w:val="22"/>
              </w:rPr>
              <w:t>България</w:t>
            </w:r>
          </w:p>
          <w:p w14:paraId="2D640F4E" w14:textId="77777777" w:rsidR="00C04CAD" w:rsidRDefault="00060E34">
            <w:pPr>
              <w:spacing w:line="240" w:lineRule="auto"/>
              <w:rPr>
                <w:szCs w:val="22"/>
              </w:rPr>
            </w:pPr>
            <w:r>
              <w:rPr>
                <w:rFonts w:eastAsia="Arial Unicode MS"/>
                <w:szCs w:val="22"/>
                <w:lang w:eastAsia="en-GB" w:bidi="ar-SA"/>
              </w:rPr>
              <w:t>Амджен България</w:t>
            </w:r>
            <w:r>
              <w:rPr>
                <w:szCs w:val="22"/>
              </w:rPr>
              <w:t xml:space="preserve"> ЕООД</w:t>
            </w:r>
          </w:p>
          <w:p w14:paraId="72ABFEAC" w14:textId="77777777" w:rsidR="00C04CAD" w:rsidRDefault="00060E34">
            <w:pPr>
              <w:spacing w:line="240" w:lineRule="auto"/>
              <w:rPr>
                <w:rFonts w:eastAsia="Arial Unicode MS"/>
                <w:bCs/>
                <w:szCs w:val="22"/>
                <w:lang w:eastAsia="en-US" w:bidi="ar-SA"/>
              </w:rPr>
            </w:pPr>
            <w:r>
              <w:rPr>
                <w:szCs w:val="22"/>
              </w:rPr>
              <w:t>Тел</w:t>
            </w:r>
            <w:r>
              <w:rPr>
                <w:rFonts w:eastAsia="Arial Unicode MS"/>
                <w:szCs w:val="22"/>
                <w:lang w:eastAsia="en-GB"/>
              </w:rPr>
              <w:t>.: +</w:t>
            </w:r>
            <w:r>
              <w:rPr>
                <w:szCs w:val="22"/>
              </w:rPr>
              <w:t xml:space="preserve">359 </w:t>
            </w:r>
            <w:r>
              <w:rPr>
                <w:rFonts w:eastAsia="Arial Unicode MS"/>
                <w:bCs/>
                <w:szCs w:val="22"/>
              </w:rPr>
              <w:t>(0)</w:t>
            </w:r>
            <w:r>
              <w:rPr>
                <w:szCs w:val="22"/>
              </w:rPr>
              <w:t>2</w:t>
            </w:r>
            <w:r>
              <w:rPr>
                <w:rFonts w:eastAsia="Arial Unicode MS"/>
                <w:bCs/>
                <w:szCs w:val="22"/>
                <w:lang w:eastAsia="en-US" w:bidi="ar-SA"/>
              </w:rPr>
              <w:t> 424 7440</w:t>
            </w:r>
          </w:p>
          <w:p w14:paraId="4B55F66F" w14:textId="77777777" w:rsidR="00C04CAD" w:rsidRDefault="00C04CAD">
            <w:pPr>
              <w:tabs>
                <w:tab w:val="clear" w:pos="567"/>
              </w:tabs>
              <w:autoSpaceDE w:val="0"/>
              <w:autoSpaceDN w:val="0"/>
              <w:adjustRightInd w:val="0"/>
              <w:spacing w:line="240" w:lineRule="auto"/>
              <w:rPr>
                <w:szCs w:val="22"/>
              </w:rPr>
            </w:pPr>
          </w:p>
        </w:tc>
        <w:tc>
          <w:tcPr>
            <w:tcW w:w="4679" w:type="dxa"/>
          </w:tcPr>
          <w:p w14:paraId="3BDBD42B" w14:textId="77777777" w:rsidR="00C04CAD" w:rsidRDefault="00060E34">
            <w:pPr>
              <w:spacing w:line="240" w:lineRule="auto"/>
              <w:rPr>
                <w:rFonts w:eastAsia="MS Mincho"/>
                <w:szCs w:val="22"/>
                <w:lang w:eastAsia="en-US" w:bidi="ar-SA"/>
              </w:rPr>
            </w:pPr>
            <w:r>
              <w:rPr>
                <w:b/>
                <w:szCs w:val="22"/>
              </w:rPr>
              <w:t>Luxembourg/Luxemburg</w:t>
            </w:r>
          </w:p>
          <w:p w14:paraId="7B675946" w14:textId="77777777" w:rsidR="00C04CAD" w:rsidRDefault="00060E34">
            <w:pPr>
              <w:spacing w:line="240" w:lineRule="auto"/>
              <w:rPr>
                <w:rFonts w:eastAsia="PMingLiU"/>
                <w:szCs w:val="22"/>
                <w:lang w:eastAsia="en-US" w:bidi="ar-SA"/>
              </w:rPr>
            </w:pPr>
            <w:r>
              <w:rPr>
                <w:rFonts w:eastAsia="PMingLiU"/>
                <w:szCs w:val="22"/>
                <w:lang w:eastAsia="en-US" w:bidi="ar-SA"/>
              </w:rPr>
              <w:t xml:space="preserve">s.a. Amgen </w:t>
            </w:r>
          </w:p>
          <w:p w14:paraId="46D8C299" w14:textId="77777777" w:rsidR="00C04CAD" w:rsidRDefault="00060E34">
            <w:pPr>
              <w:spacing w:line="240" w:lineRule="auto"/>
              <w:rPr>
                <w:rFonts w:eastAsia="MS Mincho"/>
                <w:szCs w:val="22"/>
                <w:lang w:eastAsia="en-US" w:bidi="ar-SA"/>
              </w:rPr>
            </w:pPr>
            <w:r>
              <w:rPr>
                <w:szCs w:val="22"/>
              </w:rPr>
              <w:t>Belgique/Belgien</w:t>
            </w:r>
          </w:p>
          <w:p w14:paraId="04AE3E47" w14:textId="77777777" w:rsidR="00C04CAD" w:rsidRDefault="00060E34">
            <w:pPr>
              <w:spacing w:line="240" w:lineRule="auto"/>
              <w:rPr>
                <w:rFonts w:eastAsia="PMingLiU"/>
                <w:szCs w:val="22"/>
                <w:lang w:eastAsia="en-US" w:bidi="ar-SA"/>
              </w:rPr>
            </w:pPr>
            <w:r>
              <w:rPr>
                <w:szCs w:val="22"/>
              </w:rPr>
              <w:t xml:space="preserve">Tél/Tel: +32 </w:t>
            </w:r>
            <w:r>
              <w:rPr>
                <w:rFonts w:eastAsia="PMingLiU"/>
                <w:szCs w:val="22"/>
              </w:rPr>
              <w:t>(0)2 7752711</w:t>
            </w:r>
          </w:p>
          <w:p w14:paraId="2B97E357" w14:textId="77777777" w:rsidR="00C04CAD" w:rsidRDefault="00C04CAD">
            <w:pPr>
              <w:tabs>
                <w:tab w:val="clear" w:pos="567"/>
              </w:tabs>
              <w:autoSpaceDE w:val="0"/>
              <w:autoSpaceDN w:val="0"/>
              <w:adjustRightInd w:val="0"/>
              <w:spacing w:line="240" w:lineRule="auto"/>
              <w:rPr>
                <w:szCs w:val="22"/>
              </w:rPr>
            </w:pPr>
          </w:p>
        </w:tc>
      </w:tr>
      <w:tr w:rsidR="00C04CAD" w14:paraId="315A4D69" w14:textId="77777777">
        <w:trPr>
          <w:cantSplit/>
        </w:trPr>
        <w:tc>
          <w:tcPr>
            <w:tcW w:w="4677" w:type="dxa"/>
          </w:tcPr>
          <w:p w14:paraId="022FBA33" w14:textId="77777777" w:rsidR="00C04CAD" w:rsidRDefault="00060E34">
            <w:pPr>
              <w:spacing w:line="240" w:lineRule="auto"/>
              <w:rPr>
                <w:b/>
              </w:rPr>
            </w:pPr>
            <w:r>
              <w:rPr>
                <w:b/>
              </w:rPr>
              <w:t>Česká republika</w:t>
            </w:r>
          </w:p>
          <w:p w14:paraId="7C06D685" w14:textId="77777777" w:rsidR="00C04CAD" w:rsidRDefault="00060E34">
            <w:pPr>
              <w:spacing w:line="240" w:lineRule="auto"/>
            </w:pPr>
            <w:r>
              <w:rPr>
                <w:rFonts w:eastAsia="PMingLiU"/>
                <w:bCs/>
                <w:szCs w:val="22"/>
                <w:lang w:eastAsia="en-US" w:bidi="ar-SA"/>
              </w:rPr>
              <w:t>Amgen</w:t>
            </w:r>
            <w:r>
              <w:t xml:space="preserve"> s.r.o.</w:t>
            </w:r>
          </w:p>
          <w:p w14:paraId="2D609BAA" w14:textId="77777777" w:rsidR="00C04CAD" w:rsidRDefault="00060E34">
            <w:pPr>
              <w:spacing w:line="240" w:lineRule="auto"/>
              <w:rPr>
                <w:rFonts w:eastAsia="PMingLiU"/>
                <w:bCs/>
                <w:sz w:val="24"/>
                <w:szCs w:val="22"/>
                <w:lang w:eastAsia="en-US" w:bidi="ar-SA"/>
              </w:rPr>
            </w:pPr>
            <w:r>
              <w:t xml:space="preserve">Tel: +420 </w:t>
            </w:r>
            <w:r>
              <w:rPr>
                <w:rFonts w:eastAsia="PMingLiU"/>
                <w:bCs/>
                <w:szCs w:val="22"/>
              </w:rPr>
              <w:t>221 773 500</w:t>
            </w:r>
          </w:p>
          <w:p w14:paraId="6E409029" w14:textId="77777777" w:rsidR="00C04CAD" w:rsidRDefault="00C04CAD">
            <w:pPr>
              <w:tabs>
                <w:tab w:val="clear" w:pos="567"/>
              </w:tabs>
              <w:autoSpaceDE w:val="0"/>
              <w:autoSpaceDN w:val="0"/>
              <w:adjustRightInd w:val="0"/>
              <w:spacing w:line="240" w:lineRule="auto"/>
              <w:rPr>
                <w:sz w:val="24"/>
              </w:rPr>
            </w:pPr>
          </w:p>
        </w:tc>
        <w:tc>
          <w:tcPr>
            <w:tcW w:w="4679" w:type="dxa"/>
          </w:tcPr>
          <w:p w14:paraId="3DE77912" w14:textId="77777777" w:rsidR="00C04CAD" w:rsidRDefault="00060E34">
            <w:pPr>
              <w:spacing w:line="240" w:lineRule="auto"/>
              <w:rPr>
                <w:rFonts w:eastAsia="MS Mincho"/>
                <w:b/>
                <w:sz w:val="24"/>
                <w:szCs w:val="24"/>
                <w:lang w:eastAsia="en-US" w:bidi="ar-SA"/>
              </w:rPr>
            </w:pPr>
            <w:r>
              <w:rPr>
                <w:b/>
              </w:rPr>
              <w:t>Magyarország</w:t>
            </w:r>
          </w:p>
          <w:p w14:paraId="741C6AE6" w14:textId="77777777" w:rsidR="00C04CAD" w:rsidRDefault="00060E34">
            <w:pPr>
              <w:spacing w:line="240" w:lineRule="auto"/>
            </w:pPr>
            <w:r>
              <w:rPr>
                <w:rFonts w:eastAsia="PMingLiU"/>
                <w:bCs/>
                <w:szCs w:val="22"/>
                <w:lang w:eastAsia="en-US" w:bidi="ar-SA"/>
              </w:rPr>
              <w:t>Amgen</w:t>
            </w:r>
            <w:r>
              <w:t xml:space="preserve"> Kft.</w:t>
            </w:r>
          </w:p>
          <w:p w14:paraId="013DDEB6" w14:textId="77777777" w:rsidR="00C04CAD" w:rsidRDefault="00060E34">
            <w:pPr>
              <w:spacing w:line="240" w:lineRule="auto"/>
              <w:rPr>
                <w:rFonts w:eastAsia="PMingLiU"/>
                <w:bCs/>
                <w:sz w:val="24"/>
                <w:szCs w:val="22"/>
                <w:lang w:eastAsia="en-US" w:bidi="ar-SA"/>
              </w:rPr>
            </w:pPr>
            <w:r>
              <w:t>Tel</w:t>
            </w:r>
            <w:r>
              <w:rPr>
                <w:rFonts w:eastAsia="PMingLiU"/>
                <w:bCs/>
                <w:szCs w:val="22"/>
              </w:rPr>
              <w:t>.: +</w:t>
            </w:r>
            <w:r>
              <w:t xml:space="preserve">36 1 </w:t>
            </w:r>
            <w:r>
              <w:rPr>
                <w:rFonts w:eastAsia="PMingLiU"/>
                <w:bCs/>
                <w:szCs w:val="22"/>
              </w:rPr>
              <w:t>35 44 700</w:t>
            </w:r>
          </w:p>
          <w:p w14:paraId="3D95A7FC" w14:textId="77777777" w:rsidR="00C04CAD" w:rsidRDefault="00C04CAD">
            <w:pPr>
              <w:tabs>
                <w:tab w:val="clear" w:pos="567"/>
              </w:tabs>
              <w:autoSpaceDE w:val="0"/>
              <w:autoSpaceDN w:val="0"/>
              <w:adjustRightInd w:val="0"/>
              <w:spacing w:line="240" w:lineRule="auto"/>
              <w:rPr>
                <w:sz w:val="24"/>
              </w:rPr>
            </w:pPr>
          </w:p>
        </w:tc>
      </w:tr>
      <w:tr w:rsidR="00C04CAD" w14:paraId="0FA6F8E3" w14:textId="77777777">
        <w:trPr>
          <w:cantSplit/>
        </w:trPr>
        <w:tc>
          <w:tcPr>
            <w:tcW w:w="4677" w:type="dxa"/>
          </w:tcPr>
          <w:p w14:paraId="7058726F" w14:textId="77777777" w:rsidR="00C04CAD" w:rsidRDefault="00060E34">
            <w:pPr>
              <w:spacing w:line="240" w:lineRule="auto"/>
            </w:pPr>
            <w:r>
              <w:rPr>
                <w:b/>
              </w:rPr>
              <w:t>Danmark</w:t>
            </w:r>
          </w:p>
          <w:p w14:paraId="0C2AFC7F" w14:textId="77777777" w:rsidR="00C04CAD" w:rsidRDefault="00060E34">
            <w:pPr>
              <w:spacing w:line="240" w:lineRule="auto"/>
              <w:rPr>
                <w:rFonts w:eastAsia="PMingLiU"/>
                <w:szCs w:val="22"/>
                <w:lang w:eastAsia="en-US" w:bidi="ar-SA"/>
              </w:rPr>
            </w:pPr>
            <w:r>
              <w:rPr>
                <w:rFonts w:eastAsia="PMingLiU"/>
                <w:szCs w:val="22"/>
                <w:lang w:eastAsia="en-US" w:bidi="ar-SA"/>
              </w:rPr>
              <w:t>Amgen, filial af Amgen AB, Sverige</w:t>
            </w:r>
          </w:p>
          <w:p w14:paraId="68254477" w14:textId="77777777" w:rsidR="00C04CAD" w:rsidRDefault="00060E34">
            <w:pPr>
              <w:spacing w:line="240" w:lineRule="auto"/>
              <w:rPr>
                <w:rFonts w:eastAsia="PMingLiU"/>
                <w:sz w:val="24"/>
                <w:szCs w:val="22"/>
                <w:lang w:eastAsia="en-US" w:bidi="ar-SA"/>
              </w:rPr>
            </w:pPr>
            <w:r>
              <w:t>Tlf</w:t>
            </w:r>
            <w:ins w:id="23" w:author="Author">
              <w:r>
                <w:t>.</w:t>
              </w:r>
            </w:ins>
            <w:r>
              <w:t xml:space="preserve">: +45 </w:t>
            </w:r>
            <w:r>
              <w:rPr>
                <w:rFonts w:eastAsia="PMingLiU"/>
                <w:szCs w:val="22"/>
              </w:rPr>
              <w:t>39617500</w:t>
            </w:r>
          </w:p>
          <w:p w14:paraId="78C06923" w14:textId="77777777" w:rsidR="00C04CAD" w:rsidRDefault="00C04CAD">
            <w:pPr>
              <w:tabs>
                <w:tab w:val="clear" w:pos="567"/>
              </w:tabs>
              <w:autoSpaceDE w:val="0"/>
              <w:autoSpaceDN w:val="0"/>
              <w:adjustRightInd w:val="0"/>
              <w:spacing w:line="240" w:lineRule="auto"/>
              <w:rPr>
                <w:sz w:val="24"/>
              </w:rPr>
            </w:pPr>
          </w:p>
        </w:tc>
        <w:tc>
          <w:tcPr>
            <w:tcW w:w="4679" w:type="dxa"/>
          </w:tcPr>
          <w:p w14:paraId="088E50BD" w14:textId="77777777" w:rsidR="00C04CAD" w:rsidRDefault="00060E34">
            <w:pPr>
              <w:spacing w:line="240" w:lineRule="auto"/>
              <w:rPr>
                <w:rFonts w:eastAsia="MS Mincho"/>
                <w:b/>
                <w:sz w:val="24"/>
                <w:szCs w:val="24"/>
                <w:lang w:eastAsia="en-US" w:bidi="ar-SA"/>
              </w:rPr>
            </w:pPr>
            <w:r>
              <w:rPr>
                <w:b/>
              </w:rPr>
              <w:t>Malta</w:t>
            </w:r>
          </w:p>
          <w:p w14:paraId="56BC2139" w14:textId="77777777" w:rsidR="00C04CAD" w:rsidRDefault="00060E34">
            <w:pPr>
              <w:pStyle w:val="lbltxt"/>
              <w:rPr>
                <w:szCs w:val="22"/>
                <w:lang w:val="ro-RO"/>
              </w:rPr>
            </w:pPr>
            <w:r>
              <w:rPr>
                <w:szCs w:val="22"/>
                <w:lang w:val="ro-RO"/>
              </w:rPr>
              <w:t>Amgen S.r.l.</w:t>
            </w:r>
          </w:p>
          <w:p w14:paraId="0A537B40" w14:textId="77777777" w:rsidR="00C04CAD" w:rsidRDefault="00060E34">
            <w:pPr>
              <w:pStyle w:val="lbltxt"/>
              <w:rPr>
                <w:szCs w:val="22"/>
                <w:lang w:val="ro-RO"/>
              </w:rPr>
            </w:pPr>
            <w:r>
              <w:rPr>
                <w:szCs w:val="22"/>
                <w:lang w:val="ro-RO"/>
              </w:rPr>
              <w:t>Italy</w:t>
            </w:r>
          </w:p>
          <w:p w14:paraId="3FABFD2C" w14:textId="77777777" w:rsidR="00C04CAD" w:rsidRDefault="00060E34">
            <w:pPr>
              <w:pStyle w:val="lbltxt"/>
              <w:rPr>
                <w:szCs w:val="22"/>
                <w:lang w:val="ro-RO"/>
              </w:rPr>
            </w:pPr>
            <w:r>
              <w:rPr>
                <w:szCs w:val="22"/>
                <w:lang w:val="ro-RO"/>
              </w:rPr>
              <w:t>Tel: +39 02 6241121</w:t>
            </w:r>
          </w:p>
          <w:p w14:paraId="441C604B" w14:textId="77777777" w:rsidR="00C04CAD" w:rsidRDefault="00C04CAD">
            <w:pPr>
              <w:tabs>
                <w:tab w:val="clear" w:pos="567"/>
              </w:tabs>
              <w:autoSpaceDE w:val="0"/>
              <w:autoSpaceDN w:val="0"/>
              <w:adjustRightInd w:val="0"/>
              <w:spacing w:line="240" w:lineRule="auto"/>
              <w:rPr>
                <w:sz w:val="24"/>
              </w:rPr>
            </w:pPr>
          </w:p>
        </w:tc>
      </w:tr>
      <w:tr w:rsidR="00C04CAD" w14:paraId="19497C1D" w14:textId="77777777">
        <w:trPr>
          <w:cantSplit/>
        </w:trPr>
        <w:tc>
          <w:tcPr>
            <w:tcW w:w="4677" w:type="dxa"/>
          </w:tcPr>
          <w:p w14:paraId="13A6D590" w14:textId="77777777" w:rsidR="00C04CAD" w:rsidRDefault="00060E34">
            <w:pPr>
              <w:spacing w:line="240" w:lineRule="auto"/>
            </w:pPr>
            <w:r>
              <w:rPr>
                <w:b/>
              </w:rPr>
              <w:t>Deutschland</w:t>
            </w:r>
          </w:p>
          <w:p w14:paraId="025BB887" w14:textId="77777777" w:rsidR="00C04CAD" w:rsidRDefault="00060E34">
            <w:pPr>
              <w:spacing w:line="240" w:lineRule="auto"/>
            </w:pPr>
            <w:r>
              <w:rPr>
                <w:rFonts w:eastAsia="PMingLiU"/>
                <w:szCs w:val="22"/>
                <w:lang w:eastAsia="en-US" w:bidi="ar-SA"/>
              </w:rPr>
              <w:t>Amgen</w:t>
            </w:r>
            <w:r>
              <w:t xml:space="preserve"> GmbH</w:t>
            </w:r>
          </w:p>
          <w:p w14:paraId="13C2C3E6" w14:textId="77777777" w:rsidR="00C04CAD" w:rsidRDefault="00060E34">
            <w:pPr>
              <w:spacing w:line="240" w:lineRule="auto"/>
              <w:rPr>
                <w:rFonts w:eastAsia="PMingLiU"/>
                <w:szCs w:val="22"/>
                <w:lang w:eastAsia="en-US" w:bidi="ar-SA"/>
              </w:rPr>
            </w:pPr>
            <w:r>
              <w:t>Tel</w:t>
            </w:r>
            <w:r>
              <w:rPr>
                <w:rFonts w:eastAsia="PMingLiU"/>
                <w:szCs w:val="22"/>
              </w:rPr>
              <w:t>:</w:t>
            </w:r>
            <w:r>
              <w:t xml:space="preserve"> +49 </w:t>
            </w:r>
            <w:r>
              <w:rPr>
                <w:rFonts w:eastAsia="PMingLiU"/>
                <w:szCs w:val="22"/>
              </w:rPr>
              <w:t>89 1490960</w:t>
            </w:r>
          </w:p>
          <w:p w14:paraId="31E21285" w14:textId="77777777" w:rsidR="00C04CAD" w:rsidRDefault="00C04CAD">
            <w:pPr>
              <w:tabs>
                <w:tab w:val="clear" w:pos="567"/>
              </w:tabs>
              <w:autoSpaceDE w:val="0"/>
              <w:autoSpaceDN w:val="0"/>
              <w:adjustRightInd w:val="0"/>
              <w:spacing w:line="240" w:lineRule="auto"/>
              <w:rPr>
                <w:sz w:val="24"/>
              </w:rPr>
            </w:pPr>
          </w:p>
        </w:tc>
        <w:tc>
          <w:tcPr>
            <w:tcW w:w="4679" w:type="dxa"/>
          </w:tcPr>
          <w:p w14:paraId="48ED3921" w14:textId="77777777" w:rsidR="00C04CAD" w:rsidRDefault="00060E34">
            <w:pPr>
              <w:spacing w:line="240" w:lineRule="auto"/>
              <w:rPr>
                <w:rFonts w:eastAsia="MS Mincho"/>
                <w:sz w:val="24"/>
                <w:szCs w:val="24"/>
                <w:lang w:eastAsia="en-US" w:bidi="ar-SA"/>
              </w:rPr>
            </w:pPr>
            <w:r>
              <w:rPr>
                <w:b/>
              </w:rPr>
              <w:t>Nederland</w:t>
            </w:r>
          </w:p>
          <w:p w14:paraId="4FB58566" w14:textId="77777777" w:rsidR="00C04CAD" w:rsidRDefault="00060E34">
            <w:pPr>
              <w:spacing w:line="240" w:lineRule="auto"/>
            </w:pPr>
            <w:r>
              <w:rPr>
                <w:rFonts w:eastAsia="PMingLiU"/>
                <w:szCs w:val="22"/>
                <w:lang w:eastAsia="en-US" w:bidi="ar-SA"/>
              </w:rPr>
              <w:t>Amgen</w:t>
            </w:r>
            <w:r>
              <w:t xml:space="preserve"> B.V.</w:t>
            </w:r>
          </w:p>
          <w:p w14:paraId="01CB6ECD" w14:textId="77777777" w:rsidR="00C04CAD" w:rsidRDefault="00060E34">
            <w:pPr>
              <w:spacing w:line="240" w:lineRule="auto"/>
              <w:rPr>
                <w:rFonts w:eastAsia="PMingLiU"/>
                <w:bCs/>
                <w:sz w:val="24"/>
                <w:szCs w:val="22"/>
                <w:lang w:eastAsia="en-US" w:bidi="ar-SA"/>
              </w:rPr>
            </w:pPr>
            <w:r>
              <w:t>Tel: +31 (0)</w:t>
            </w:r>
            <w:r>
              <w:rPr>
                <w:rFonts w:eastAsia="PMingLiU"/>
                <w:szCs w:val="22"/>
              </w:rPr>
              <w:t>76 5732500</w:t>
            </w:r>
          </w:p>
          <w:p w14:paraId="746672A8" w14:textId="77777777" w:rsidR="00C04CAD" w:rsidRDefault="00C04CAD">
            <w:pPr>
              <w:tabs>
                <w:tab w:val="clear" w:pos="567"/>
              </w:tabs>
              <w:autoSpaceDE w:val="0"/>
              <w:autoSpaceDN w:val="0"/>
              <w:adjustRightInd w:val="0"/>
              <w:spacing w:line="240" w:lineRule="auto"/>
              <w:rPr>
                <w:sz w:val="24"/>
              </w:rPr>
            </w:pPr>
          </w:p>
        </w:tc>
      </w:tr>
      <w:tr w:rsidR="00C04CAD" w14:paraId="04053CD0" w14:textId="77777777">
        <w:trPr>
          <w:cantSplit/>
        </w:trPr>
        <w:tc>
          <w:tcPr>
            <w:tcW w:w="4677" w:type="dxa"/>
          </w:tcPr>
          <w:p w14:paraId="332B304A" w14:textId="77777777" w:rsidR="00C04CAD" w:rsidRDefault="00060E34">
            <w:pPr>
              <w:spacing w:line="240" w:lineRule="auto"/>
              <w:rPr>
                <w:b/>
              </w:rPr>
            </w:pPr>
            <w:r>
              <w:rPr>
                <w:b/>
              </w:rPr>
              <w:t>Eesti</w:t>
            </w:r>
          </w:p>
          <w:p w14:paraId="1AE852DD" w14:textId="77777777" w:rsidR="00C04CAD" w:rsidRDefault="00060E34">
            <w:pPr>
              <w:spacing w:line="240" w:lineRule="auto"/>
              <w:rPr>
                <w:rFonts w:eastAsia="PMingLiU"/>
                <w:bCs/>
                <w:szCs w:val="22"/>
                <w:lang w:eastAsia="en-US" w:bidi="ar-SA"/>
              </w:rPr>
            </w:pPr>
            <w:r>
              <w:rPr>
                <w:rFonts w:eastAsia="PMingLiU"/>
                <w:bCs/>
                <w:szCs w:val="22"/>
                <w:lang w:eastAsia="en-US" w:bidi="ar-SA"/>
              </w:rPr>
              <w:t xml:space="preserve">Amgen Switzerland AG </w:t>
            </w:r>
            <w:r>
              <w:rPr>
                <w:rFonts w:eastAsia="PMingLiU"/>
                <w:szCs w:val="22"/>
                <w:lang w:eastAsia="en-US" w:bidi="ar-SA"/>
              </w:rPr>
              <w:t>Vilniaus filialas</w:t>
            </w:r>
          </w:p>
          <w:p w14:paraId="5DBFA2CD" w14:textId="77777777" w:rsidR="00C04CAD" w:rsidRDefault="00060E34">
            <w:pPr>
              <w:spacing w:line="240" w:lineRule="auto"/>
              <w:rPr>
                <w:rFonts w:eastAsia="PMingLiU"/>
                <w:sz w:val="24"/>
                <w:szCs w:val="22"/>
                <w:lang w:eastAsia="en-US" w:bidi="ar-SA"/>
              </w:rPr>
            </w:pPr>
            <w:r>
              <w:t xml:space="preserve">Tel: +372 </w:t>
            </w:r>
            <w:r>
              <w:rPr>
                <w:rFonts w:eastAsia="PMingLiU"/>
                <w:szCs w:val="22"/>
              </w:rPr>
              <w:t>586 09553</w:t>
            </w:r>
          </w:p>
          <w:p w14:paraId="1BD58D5C" w14:textId="77777777" w:rsidR="00C04CAD" w:rsidRDefault="00C04CAD">
            <w:pPr>
              <w:tabs>
                <w:tab w:val="clear" w:pos="567"/>
              </w:tabs>
              <w:autoSpaceDE w:val="0"/>
              <w:autoSpaceDN w:val="0"/>
              <w:adjustRightInd w:val="0"/>
              <w:spacing w:line="240" w:lineRule="auto"/>
              <w:rPr>
                <w:sz w:val="24"/>
              </w:rPr>
            </w:pPr>
          </w:p>
        </w:tc>
        <w:tc>
          <w:tcPr>
            <w:tcW w:w="4679" w:type="dxa"/>
          </w:tcPr>
          <w:p w14:paraId="6A9CB1B3" w14:textId="77777777" w:rsidR="00C04CAD" w:rsidRDefault="00060E34">
            <w:pPr>
              <w:spacing w:line="240" w:lineRule="auto"/>
              <w:rPr>
                <w:rFonts w:eastAsia="MS Mincho"/>
                <w:b/>
                <w:sz w:val="24"/>
                <w:szCs w:val="24"/>
                <w:lang w:eastAsia="en-US" w:bidi="ar-SA"/>
              </w:rPr>
            </w:pPr>
            <w:r>
              <w:rPr>
                <w:b/>
              </w:rPr>
              <w:t>Norge</w:t>
            </w:r>
          </w:p>
          <w:p w14:paraId="185A1179"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525D0295" w14:textId="77777777" w:rsidR="00C04CAD" w:rsidRDefault="00060E34">
            <w:pPr>
              <w:spacing w:line="240" w:lineRule="auto"/>
              <w:rPr>
                <w:rFonts w:eastAsia="PMingLiU"/>
                <w:szCs w:val="22"/>
                <w:lang w:eastAsia="en-US" w:bidi="ar-SA"/>
              </w:rPr>
            </w:pPr>
            <w:r>
              <w:rPr>
                <w:rFonts w:eastAsia="PMingLiU"/>
                <w:szCs w:val="22"/>
                <w:lang w:eastAsia="en-US" w:bidi="ar-SA"/>
              </w:rPr>
              <w:t>Tlf</w:t>
            </w:r>
            <w:r>
              <w:t xml:space="preserve">: +47 </w:t>
            </w:r>
            <w:r>
              <w:rPr>
                <w:rFonts w:eastAsia="PMingLiU"/>
                <w:szCs w:val="22"/>
              </w:rPr>
              <w:t>23308000</w:t>
            </w:r>
          </w:p>
          <w:p w14:paraId="5538EDBD" w14:textId="77777777" w:rsidR="00C04CAD" w:rsidRDefault="00C04CAD">
            <w:pPr>
              <w:tabs>
                <w:tab w:val="clear" w:pos="567"/>
              </w:tabs>
              <w:autoSpaceDE w:val="0"/>
              <w:autoSpaceDN w:val="0"/>
              <w:adjustRightInd w:val="0"/>
              <w:spacing w:line="240" w:lineRule="auto"/>
              <w:rPr>
                <w:sz w:val="24"/>
              </w:rPr>
            </w:pPr>
          </w:p>
        </w:tc>
      </w:tr>
      <w:tr w:rsidR="00C04CAD" w14:paraId="29753D6F" w14:textId="77777777">
        <w:trPr>
          <w:cantSplit/>
        </w:trPr>
        <w:tc>
          <w:tcPr>
            <w:tcW w:w="4677" w:type="dxa"/>
          </w:tcPr>
          <w:p w14:paraId="57FAA02C" w14:textId="77777777" w:rsidR="00C04CAD" w:rsidRDefault="00060E34">
            <w:pPr>
              <w:spacing w:line="240" w:lineRule="auto"/>
              <w:rPr>
                <w:b/>
              </w:rPr>
            </w:pPr>
            <w:r>
              <w:rPr>
                <w:b/>
              </w:rPr>
              <w:t>Ελλάδα</w:t>
            </w:r>
          </w:p>
          <w:p w14:paraId="44DFA30F"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ΕλλάςΦαρμακευτικάΕ.Π.Ε. </w:t>
            </w:r>
          </w:p>
          <w:p w14:paraId="527F3F94" w14:textId="77777777" w:rsidR="00C04CAD" w:rsidRDefault="00060E34">
            <w:pPr>
              <w:spacing w:line="240" w:lineRule="auto"/>
              <w:rPr>
                <w:rFonts w:eastAsia="PMingLiU"/>
                <w:sz w:val="24"/>
                <w:szCs w:val="22"/>
                <w:lang w:eastAsia="en-US" w:bidi="ar-SA"/>
              </w:rPr>
            </w:pPr>
            <w:r>
              <w:t>Τηλ</w:t>
            </w:r>
            <w:r>
              <w:rPr>
                <w:rFonts w:eastAsia="PMingLiU"/>
                <w:szCs w:val="22"/>
              </w:rPr>
              <w:t>:</w:t>
            </w:r>
            <w:r>
              <w:t xml:space="preserve"> +30 </w:t>
            </w:r>
            <w:r>
              <w:rPr>
                <w:rFonts w:eastAsia="PMingLiU"/>
                <w:szCs w:val="22"/>
              </w:rPr>
              <w:t>210 3447000</w:t>
            </w:r>
          </w:p>
          <w:p w14:paraId="76B6F564" w14:textId="77777777" w:rsidR="00C04CAD" w:rsidRDefault="00C04CAD">
            <w:pPr>
              <w:tabs>
                <w:tab w:val="clear" w:pos="567"/>
              </w:tabs>
              <w:autoSpaceDE w:val="0"/>
              <w:autoSpaceDN w:val="0"/>
              <w:adjustRightInd w:val="0"/>
              <w:spacing w:line="240" w:lineRule="auto"/>
              <w:rPr>
                <w:sz w:val="24"/>
              </w:rPr>
            </w:pPr>
          </w:p>
        </w:tc>
        <w:tc>
          <w:tcPr>
            <w:tcW w:w="4679" w:type="dxa"/>
          </w:tcPr>
          <w:p w14:paraId="63F0FB5B" w14:textId="77777777" w:rsidR="00C04CAD" w:rsidRDefault="00060E34">
            <w:pPr>
              <w:spacing w:line="240" w:lineRule="auto"/>
              <w:rPr>
                <w:rFonts w:eastAsia="MS Mincho"/>
                <w:sz w:val="24"/>
                <w:szCs w:val="24"/>
                <w:lang w:eastAsia="en-US" w:bidi="ar-SA"/>
              </w:rPr>
            </w:pPr>
            <w:r>
              <w:rPr>
                <w:b/>
              </w:rPr>
              <w:t>Österreich</w:t>
            </w:r>
          </w:p>
          <w:p w14:paraId="2EE7BFFB" w14:textId="77777777" w:rsidR="00C04CAD" w:rsidRDefault="00060E34">
            <w:pPr>
              <w:spacing w:line="240" w:lineRule="auto"/>
            </w:pPr>
            <w:r>
              <w:rPr>
                <w:rFonts w:eastAsia="PMingLiU"/>
                <w:szCs w:val="22"/>
                <w:lang w:eastAsia="en-US" w:bidi="ar-SA"/>
              </w:rPr>
              <w:t>Amgen</w:t>
            </w:r>
            <w:r>
              <w:t xml:space="preserve"> GmbH</w:t>
            </w:r>
          </w:p>
          <w:p w14:paraId="0BBCC592" w14:textId="77777777" w:rsidR="00C04CAD" w:rsidRDefault="00060E34">
            <w:pPr>
              <w:spacing w:line="240" w:lineRule="auto"/>
              <w:rPr>
                <w:rFonts w:eastAsia="PMingLiU"/>
                <w:sz w:val="24"/>
                <w:szCs w:val="22"/>
                <w:lang w:eastAsia="en-US" w:bidi="ar-SA"/>
              </w:rPr>
            </w:pPr>
            <w:r>
              <w:t xml:space="preserve">Tel: +43 </w:t>
            </w:r>
            <w:r>
              <w:rPr>
                <w:rFonts w:eastAsia="PMingLiU"/>
                <w:szCs w:val="22"/>
              </w:rPr>
              <w:t>(0)</w:t>
            </w:r>
            <w:r>
              <w:t xml:space="preserve">1 </w:t>
            </w:r>
            <w:r>
              <w:rPr>
                <w:rFonts w:eastAsia="PMingLiU"/>
                <w:szCs w:val="22"/>
              </w:rPr>
              <w:t>50 217</w:t>
            </w:r>
          </w:p>
          <w:p w14:paraId="63F42D28" w14:textId="77777777" w:rsidR="00C04CAD" w:rsidRDefault="00C04CAD">
            <w:pPr>
              <w:tabs>
                <w:tab w:val="clear" w:pos="567"/>
              </w:tabs>
              <w:autoSpaceDE w:val="0"/>
              <w:autoSpaceDN w:val="0"/>
              <w:adjustRightInd w:val="0"/>
              <w:spacing w:line="240" w:lineRule="auto"/>
              <w:rPr>
                <w:sz w:val="24"/>
              </w:rPr>
            </w:pPr>
          </w:p>
        </w:tc>
      </w:tr>
      <w:tr w:rsidR="00C04CAD" w14:paraId="2B3F8B08" w14:textId="77777777">
        <w:trPr>
          <w:cantSplit/>
        </w:trPr>
        <w:tc>
          <w:tcPr>
            <w:tcW w:w="4677" w:type="dxa"/>
          </w:tcPr>
          <w:p w14:paraId="11C2A65E" w14:textId="77777777" w:rsidR="00C04CAD" w:rsidRDefault="00060E34">
            <w:pPr>
              <w:keepNext/>
              <w:spacing w:line="240" w:lineRule="auto"/>
            </w:pPr>
            <w:r>
              <w:rPr>
                <w:b/>
              </w:rPr>
              <w:t>España</w:t>
            </w:r>
          </w:p>
          <w:p w14:paraId="73750BDC" w14:textId="77777777" w:rsidR="00C04CAD" w:rsidRDefault="00060E34">
            <w:pPr>
              <w:keepNext/>
              <w:spacing w:line="240" w:lineRule="auto"/>
            </w:pPr>
            <w:r>
              <w:rPr>
                <w:rFonts w:eastAsia="PMingLiU"/>
                <w:szCs w:val="22"/>
                <w:lang w:eastAsia="en-US" w:bidi="ar-SA"/>
              </w:rPr>
              <w:t>Amgen</w:t>
            </w:r>
            <w:r>
              <w:t xml:space="preserve"> S.</w:t>
            </w:r>
            <w:r>
              <w:rPr>
                <w:rFonts w:eastAsia="PMingLiU"/>
                <w:szCs w:val="22"/>
              </w:rPr>
              <w:t>A</w:t>
            </w:r>
            <w:r>
              <w:t>.</w:t>
            </w:r>
          </w:p>
          <w:p w14:paraId="6C54DB19" w14:textId="77777777" w:rsidR="00C04CAD" w:rsidRDefault="00060E34">
            <w:pPr>
              <w:keepNext/>
              <w:spacing w:line="240" w:lineRule="auto"/>
              <w:rPr>
                <w:rFonts w:eastAsia="PMingLiU"/>
                <w:sz w:val="24"/>
                <w:szCs w:val="22"/>
                <w:lang w:eastAsia="en-US" w:bidi="ar-SA"/>
              </w:rPr>
            </w:pPr>
            <w:r>
              <w:t xml:space="preserve">Tel: +34 </w:t>
            </w:r>
            <w:r>
              <w:rPr>
                <w:rFonts w:eastAsia="PMingLiU"/>
                <w:szCs w:val="22"/>
              </w:rPr>
              <w:t xml:space="preserve">93 600 18 60 </w:t>
            </w:r>
          </w:p>
          <w:p w14:paraId="0E6648BE" w14:textId="77777777" w:rsidR="00C04CAD" w:rsidRDefault="00C04CAD">
            <w:pPr>
              <w:keepNext/>
              <w:tabs>
                <w:tab w:val="clear" w:pos="567"/>
              </w:tabs>
              <w:autoSpaceDE w:val="0"/>
              <w:autoSpaceDN w:val="0"/>
              <w:adjustRightInd w:val="0"/>
              <w:spacing w:line="240" w:lineRule="auto"/>
              <w:rPr>
                <w:sz w:val="24"/>
              </w:rPr>
            </w:pPr>
          </w:p>
        </w:tc>
        <w:tc>
          <w:tcPr>
            <w:tcW w:w="4679" w:type="dxa"/>
          </w:tcPr>
          <w:p w14:paraId="050161D7" w14:textId="77777777" w:rsidR="00C04CAD" w:rsidRDefault="00060E34">
            <w:pPr>
              <w:keepNext/>
              <w:spacing w:line="240" w:lineRule="auto"/>
              <w:rPr>
                <w:rFonts w:eastAsia="MS Mincho"/>
                <w:b/>
                <w:sz w:val="24"/>
                <w:szCs w:val="24"/>
                <w:lang w:eastAsia="en-US" w:bidi="ar-SA"/>
              </w:rPr>
            </w:pPr>
            <w:r>
              <w:rPr>
                <w:b/>
              </w:rPr>
              <w:t>Polska</w:t>
            </w:r>
          </w:p>
          <w:p w14:paraId="21132D27" w14:textId="77777777" w:rsidR="00C04CAD" w:rsidRDefault="00060E34">
            <w:pPr>
              <w:keepNext/>
              <w:spacing w:line="240" w:lineRule="auto"/>
            </w:pPr>
            <w:r>
              <w:rPr>
                <w:rFonts w:eastAsia="PMingLiU"/>
                <w:szCs w:val="22"/>
                <w:lang w:eastAsia="en-US" w:bidi="ar-SA"/>
              </w:rPr>
              <w:t xml:space="preserve">Amgen </w:t>
            </w:r>
            <w:r>
              <w:rPr>
                <w:rFonts w:eastAsia="PMingLiU"/>
                <w:color w:val="000000"/>
                <w:szCs w:val="22"/>
                <w:lang w:eastAsia="en-GB" w:bidi="ar-SA"/>
              </w:rPr>
              <w:t>Biotechnologia</w:t>
            </w:r>
            <w:r>
              <w:t xml:space="preserve"> Sp. z o.o.</w:t>
            </w:r>
          </w:p>
          <w:p w14:paraId="77B805E9" w14:textId="77777777" w:rsidR="00C04CAD" w:rsidRDefault="00060E34">
            <w:pPr>
              <w:keepNext/>
              <w:spacing w:line="240" w:lineRule="auto"/>
              <w:rPr>
                <w:rFonts w:eastAsia="PMingLiU"/>
                <w:bCs/>
                <w:sz w:val="24"/>
                <w:szCs w:val="22"/>
                <w:lang w:eastAsia="en-US" w:bidi="ar-SA"/>
              </w:rPr>
            </w:pPr>
            <w:r>
              <w:t xml:space="preserve">Tel.: +48 22 </w:t>
            </w:r>
            <w:r>
              <w:rPr>
                <w:rFonts w:eastAsia="PMingLiU"/>
                <w:bCs/>
                <w:szCs w:val="22"/>
              </w:rPr>
              <w:t>581 3000</w:t>
            </w:r>
          </w:p>
          <w:p w14:paraId="69C7A631" w14:textId="77777777" w:rsidR="00C04CAD" w:rsidRDefault="00C04CAD">
            <w:pPr>
              <w:keepNext/>
              <w:tabs>
                <w:tab w:val="clear" w:pos="567"/>
              </w:tabs>
              <w:autoSpaceDE w:val="0"/>
              <w:autoSpaceDN w:val="0"/>
              <w:adjustRightInd w:val="0"/>
              <w:spacing w:line="240" w:lineRule="auto"/>
              <w:rPr>
                <w:sz w:val="24"/>
              </w:rPr>
            </w:pPr>
          </w:p>
        </w:tc>
      </w:tr>
      <w:tr w:rsidR="00C04CAD" w14:paraId="73BCD9E7" w14:textId="77777777">
        <w:trPr>
          <w:cantSplit/>
        </w:trPr>
        <w:tc>
          <w:tcPr>
            <w:tcW w:w="4677" w:type="dxa"/>
          </w:tcPr>
          <w:p w14:paraId="3FC57498" w14:textId="77777777" w:rsidR="00C04CAD" w:rsidRDefault="00060E34">
            <w:pPr>
              <w:spacing w:line="240" w:lineRule="auto"/>
              <w:rPr>
                <w:szCs w:val="22"/>
              </w:rPr>
            </w:pPr>
            <w:r>
              <w:rPr>
                <w:b/>
                <w:szCs w:val="22"/>
              </w:rPr>
              <w:t>France</w:t>
            </w:r>
          </w:p>
          <w:p w14:paraId="1516B806" w14:textId="77777777" w:rsidR="00C04CAD" w:rsidRDefault="00060E34">
            <w:pPr>
              <w:spacing w:line="240" w:lineRule="auto"/>
              <w:rPr>
                <w:rFonts w:eastAsia="PMingLiU"/>
                <w:szCs w:val="22"/>
                <w:lang w:eastAsia="en-US" w:bidi="ar-SA"/>
              </w:rPr>
            </w:pPr>
            <w:r>
              <w:rPr>
                <w:rFonts w:eastAsia="PMingLiU"/>
                <w:szCs w:val="22"/>
                <w:lang w:eastAsia="en-US" w:bidi="ar-SA"/>
              </w:rPr>
              <w:t>Amgen S.A.S.</w:t>
            </w:r>
          </w:p>
          <w:p w14:paraId="239E78A0" w14:textId="77777777" w:rsidR="00C04CAD" w:rsidRDefault="00060E34">
            <w:pPr>
              <w:tabs>
                <w:tab w:val="clear" w:pos="567"/>
              </w:tabs>
              <w:autoSpaceDE w:val="0"/>
              <w:autoSpaceDN w:val="0"/>
              <w:adjustRightInd w:val="0"/>
              <w:spacing w:line="240" w:lineRule="auto"/>
              <w:rPr>
                <w:rFonts w:eastAsia="MS Mincho"/>
                <w:szCs w:val="22"/>
                <w:lang w:eastAsia="en-IN" w:bidi="ar-SA"/>
              </w:rPr>
            </w:pPr>
            <w:r>
              <w:rPr>
                <w:szCs w:val="22"/>
              </w:rPr>
              <w:t>Tél: +33 (0)9 69 363 363</w:t>
            </w:r>
          </w:p>
          <w:p w14:paraId="11865FAE" w14:textId="77777777" w:rsidR="00C04CAD" w:rsidRDefault="00C04CAD">
            <w:pPr>
              <w:tabs>
                <w:tab w:val="clear" w:pos="567"/>
              </w:tabs>
              <w:autoSpaceDE w:val="0"/>
              <w:autoSpaceDN w:val="0"/>
              <w:adjustRightInd w:val="0"/>
              <w:spacing w:line="240" w:lineRule="auto"/>
              <w:rPr>
                <w:szCs w:val="22"/>
              </w:rPr>
            </w:pPr>
          </w:p>
        </w:tc>
        <w:tc>
          <w:tcPr>
            <w:tcW w:w="4679" w:type="dxa"/>
          </w:tcPr>
          <w:p w14:paraId="6B11499C" w14:textId="77777777" w:rsidR="00C04CAD" w:rsidRDefault="00060E34">
            <w:pPr>
              <w:spacing w:line="240" w:lineRule="auto"/>
              <w:rPr>
                <w:rFonts w:eastAsia="MS Mincho"/>
                <w:szCs w:val="22"/>
                <w:lang w:eastAsia="en-US" w:bidi="ar-SA"/>
              </w:rPr>
            </w:pPr>
            <w:r>
              <w:rPr>
                <w:b/>
                <w:szCs w:val="22"/>
              </w:rPr>
              <w:t>Portugal</w:t>
            </w:r>
          </w:p>
          <w:p w14:paraId="1141D6BE" w14:textId="77777777" w:rsidR="00C04CAD" w:rsidRDefault="00060E34">
            <w:pPr>
              <w:spacing w:line="240" w:lineRule="auto"/>
              <w:rPr>
                <w:szCs w:val="22"/>
              </w:rPr>
            </w:pPr>
            <w:r>
              <w:rPr>
                <w:rFonts w:eastAsia="PMingLiU"/>
                <w:szCs w:val="22"/>
                <w:lang w:eastAsia="en-US" w:bidi="ar-SA"/>
              </w:rPr>
              <w:t>Amgen Biofarmacêutica</w:t>
            </w:r>
            <w:r>
              <w:rPr>
                <w:szCs w:val="22"/>
              </w:rPr>
              <w:t>, Lda.</w:t>
            </w:r>
          </w:p>
          <w:p w14:paraId="25D7EE3F" w14:textId="77777777" w:rsidR="00C04CAD" w:rsidRDefault="00060E34">
            <w:pPr>
              <w:spacing w:line="240" w:lineRule="auto"/>
              <w:rPr>
                <w:rFonts w:eastAsia="PMingLiU"/>
                <w:szCs w:val="22"/>
                <w:lang w:eastAsia="en-US" w:bidi="ar-SA"/>
              </w:rPr>
            </w:pPr>
            <w:r>
              <w:rPr>
                <w:szCs w:val="22"/>
              </w:rPr>
              <w:t xml:space="preserve">Tel: +351 21 </w:t>
            </w:r>
            <w:r>
              <w:rPr>
                <w:rFonts w:eastAsia="PMingLiU"/>
                <w:szCs w:val="22"/>
              </w:rPr>
              <w:t>4220606</w:t>
            </w:r>
          </w:p>
          <w:p w14:paraId="67DBBBB4" w14:textId="77777777" w:rsidR="00C04CAD" w:rsidRDefault="00C04CAD">
            <w:pPr>
              <w:tabs>
                <w:tab w:val="clear" w:pos="567"/>
              </w:tabs>
              <w:autoSpaceDE w:val="0"/>
              <w:autoSpaceDN w:val="0"/>
              <w:adjustRightInd w:val="0"/>
              <w:spacing w:line="240" w:lineRule="auto"/>
              <w:rPr>
                <w:szCs w:val="22"/>
              </w:rPr>
            </w:pPr>
          </w:p>
        </w:tc>
      </w:tr>
      <w:tr w:rsidR="00C04CAD" w14:paraId="4C75CAEE" w14:textId="77777777">
        <w:trPr>
          <w:cantSplit/>
        </w:trPr>
        <w:tc>
          <w:tcPr>
            <w:tcW w:w="4677" w:type="dxa"/>
          </w:tcPr>
          <w:p w14:paraId="2F007A3D" w14:textId="77777777" w:rsidR="00C04CAD" w:rsidRDefault="00060E34">
            <w:pPr>
              <w:keepNext/>
              <w:keepLines/>
              <w:tabs>
                <w:tab w:val="clear" w:pos="567"/>
              </w:tabs>
              <w:autoSpaceDE w:val="0"/>
              <w:autoSpaceDN w:val="0"/>
              <w:adjustRightInd w:val="0"/>
              <w:spacing w:line="240" w:lineRule="auto"/>
              <w:rPr>
                <w:szCs w:val="22"/>
              </w:rPr>
            </w:pPr>
            <w:r>
              <w:rPr>
                <w:b/>
                <w:szCs w:val="22"/>
              </w:rPr>
              <w:t>Hrvatska</w:t>
            </w:r>
          </w:p>
          <w:p w14:paraId="405E51CC" w14:textId="77777777" w:rsidR="00C04CAD" w:rsidRDefault="00060E34">
            <w:pPr>
              <w:keepNext/>
              <w:keepLines/>
              <w:tabs>
                <w:tab w:val="clear" w:pos="567"/>
              </w:tabs>
              <w:autoSpaceDE w:val="0"/>
              <w:autoSpaceDN w:val="0"/>
              <w:adjustRightInd w:val="0"/>
              <w:spacing w:line="240" w:lineRule="auto"/>
              <w:rPr>
                <w:szCs w:val="22"/>
              </w:rPr>
            </w:pPr>
            <w:r>
              <w:rPr>
                <w:szCs w:val="22"/>
                <w:lang w:eastAsia="en-US" w:bidi="ar-SA"/>
              </w:rPr>
              <w:t>Amgen</w:t>
            </w:r>
            <w:r>
              <w:rPr>
                <w:szCs w:val="22"/>
              </w:rPr>
              <w:t xml:space="preserve"> d.o.o.</w:t>
            </w:r>
          </w:p>
          <w:p w14:paraId="7D74DE91" w14:textId="77777777" w:rsidR="00C04CAD" w:rsidRDefault="00060E34">
            <w:pPr>
              <w:keepNext/>
              <w:keepLines/>
              <w:tabs>
                <w:tab w:val="clear" w:pos="567"/>
              </w:tabs>
              <w:autoSpaceDE w:val="0"/>
              <w:autoSpaceDN w:val="0"/>
              <w:adjustRightInd w:val="0"/>
              <w:spacing w:line="240" w:lineRule="auto"/>
              <w:rPr>
                <w:rFonts w:eastAsia="MS Mincho"/>
                <w:szCs w:val="22"/>
                <w:lang w:eastAsia="en-IN" w:bidi="ar-SA"/>
              </w:rPr>
            </w:pPr>
            <w:r>
              <w:rPr>
                <w:szCs w:val="22"/>
              </w:rPr>
              <w:t>Tel: +385 (0)1 562 57 20</w:t>
            </w:r>
          </w:p>
          <w:p w14:paraId="078B4A41" w14:textId="77777777" w:rsidR="00C04CAD" w:rsidRDefault="00C04CAD">
            <w:pPr>
              <w:keepNext/>
              <w:keepLines/>
              <w:tabs>
                <w:tab w:val="clear" w:pos="567"/>
              </w:tabs>
              <w:autoSpaceDE w:val="0"/>
              <w:autoSpaceDN w:val="0"/>
              <w:adjustRightInd w:val="0"/>
              <w:spacing w:line="240" w:lineRule="auto"/>
              <w:rPr>
                <w:szCs w:val="22"/>
              </w:rPr>
            </w:pPr>
          </w:p>
        </w:tc>
        <w:tc>
          <w:tcPr>
            <w:tcW w:w="4679" w:type="dxa"/>
          </w:tcPr>
          <w:p w14:paraId="05AC508C" w14:textId="77777777" w:rsidR="00C04CAD" w:rsidRDefault="00060E34">
            <w:pPr>
              <w:keepNext/>
              <w:keepLines/>
              <w:tabs>
                <w:tab w:val="clear" w:pos="567"/>
              </w:tabs>
              <w:suppressAutoHyphens/>
              <w:autoSpaceDE w:val="0"/>
              <w:autoSpaceDN w:val="0"/>
              <w:adjustRightInd w:val="0"/>
              <w:spacing w:line="240" w:lineRule="auto"/>
              <w:rPr>
                <w:rFonts w:eastAsia="MS Mincho"/>
                <w:b/>
                <w:szCs w:val="22"/>
                <w:lang w:eastAsia="en-US" w:bidi="ar-SA"/>
              </w:rPr>
            </w:pPr>
            <w:r>
              <w:rPr>
                <w:b/>
                <w:szCs w:val="22"/>
              </w:rPr>
              <w:t>România</w:t>
            </w:r>
          </w:p>
          <w:p w14:paraId="3E9AAF6D"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color w:val="000000"/>
                <w:szCs w:val="22"/>
                <w:lang w:eastAsia="en-US" w:bidi="ar-SA"/>
              </w:rPr>
              <w:t>Amgen România SRL</w:t>
            </w:r>
          </w:p>
          <w:p w14:paraId="4F48B4A6" w14:textId="77777777" w:rsidR="00C04CAD" w:rsidRDefault="00060E34">
            <w:pPr>
              <w:keepNext/>
              <w:keepLines/>
              <w:spacing w:line="240" w:lineRule="auto"/>
              <w:rPr>
                <w:rFonts w:eastAsia="PMingLiU"/>
                <w:szCs w:val="22"/>
                <w:lang w:eastAsia="en-US" w:bidi="ar-SA"/>
              </w:rPr>
            </w:pPr>
            <w:r>
              <w:rPr>
                <w:szCs w:val="22"/>
              </w:rPr>
              <w:t>Tel: +</w:t>
            </w:r>
            <w:r>
              <w:rPr>
                <w:rFonts w:eastAsia="PMingLiU"/>
                <w:szCs w:val="22"/>
              </w:rPr>
              <w:t>4021 527 3000</w:t>
            </w:r>
          </w:p>
          <w:p w14:paraId="33472C28" w14:textId="77777777" w:rsidR="00C04CAD" w:rsidRDefault="00C04CAD">
            <w:pPr>
              <w:keepNext/>
              <w:keepLines/>
              <w:tabs>
                <w:tab w:val="clear" w:pos="567"/>
              </w:tabs>
              <w:autoSpaceDE w:val="0"/>
              <w:autoSpaceDN w:val="0"/>
              <w:adjustRightInd w:val="0"/>
              <w:spacing w:line="240" w:lineRule="auto"/>
              <w:rPr>
                <w:szCs w:val="22"/>
              </w:rPr>
            </w:pPr>
          </w:p>
        </w:tc>
      </w:tr>
      <w:tr w:rsidR="00C04CAD" w14:paraId="61E5CB3C" w14:textId="77777777">
        <w:trPr>
          <w:cantSplit/>
        </w:trPr>
        <w:tc>
          <w:tcPr>
            <w:tcW w:w="4677" w:type="dxa"/>
          </w:tcPr>
          <w:p w14:paraId="5DF6E27A" w14:textId="77777777" w:rsidR="00C04CAD" w:rsidRDefault="00060E34">
            <w:pPr>
              <w:spacing w:line="240" w:lineRule="auto"/>
              <w:rPr>
                <w:b/>
              </w:rPr>
            </w:pPr>
            <w:r>
              <w:rPr>
                <w:b/>
              </w:rPr>
              <w:t>Ireland</w:t>
            </w:r>
          </w:p>
          <w:p w14:paraId="635B503D" w14:textId="77777777" w:rsidR="00C04CAD" w:rsidRDefault="00060E34">
            <w:pPr>
              <w:spacing w:line="240" w:lineRule="auto"/>
            </w:pPr>
            <w:r>
              <w:rPr>
                <w:rFonts w:eastAsia="Arial Unicode MS"/>
                <w:bCs/>
                <w:szCs w:val="22"/>
                <w:lang w:eastAsia="en-US" w:bidi="ar-SA"/>
              </w:rPr>
              <w:t>Amgen</w:t>
            </w:r>
            <w:r>
              <w:t>Ireland Limited</w:t>
            </w:r>
          </w:p>
          <w:p w14:paraId="41221FE8" w14:textId="77777777" w:rsidR="00C04CAD" w:rsidRDefault="00060E34">
            <w:pPr>
              <w:spacing w:line="240" w:lineRule="auto"/>
              <w:rPr>
                <w:rFonts w:eastAsia="Arial Unicode MS"/>
                <w:bCs/>
                <w:sz w:val="24"/>
                <w:szCs w:val="22"/>
                <w:lang w:eastAsia="en-US" w:bidi="ar-SA"/>
              </w:rPr>
            </w:pPr>
            <w:r>
              <w:t xml:space="preserve">Tel: </w:t>
            </w:r>
            <w:r>
              <w:rPr>
                <w:rFonts w:eastAsia="Arial Unicode MS"/>
                <w:bCs/>
                <w:szCs w:val="22"/>
              </w:rPr>
              <w:t>+353 1 8527400</w:t>
            </w:r>
          </w:p>
          <w:p w14:paraId="552EE8C3" w14:textId="77777777" w:rsidR="00C04CAD" w:rsidRDefault="00C04CAD">
            <w:pPr>
              <w:spacing w:line="240" w:lineRule="auto"/>
            </w:pPr>
          </w:p>
        </w:tc>
        <w:tc>
          <w:tcPr>
            <w:tcW w:w="4679" w:type="dxa"/>
          </w:tcPr>
          <w:p w14:paraId="03A466BF" w14:textId="77777777" w:rsidR="00C04CAD" w:rsidRDefault="00060E34">
            <w:pPr>
              <w:spacing w:line="240" w:lineRule="auto"/>
              <w:rPr>
                <w:rFonts w:eastAsia="MS Mincho"/>
                <w:b/>
                <w:sz w:val="24"/>
                <w:szCs w:val="24"/>
                <w:lang w:eastAsia="en-US" w:bidi="ar-SA"/>
              </w:rPr>
            </w:pPr>
            <w:r>
              <w:rPr>
                <w:b/>
              </w:rPr>
              <w:t>Slovenija</w:t>
            </w:r>
          </w:p>
          <w:p w14:paraId="5506620F" w14:textId="77777777" w:rsidR="00C04CAD" w:rsidRDefault="00060E34">
            <w:pPr>
              <w:spacing w:line="240" w:lineRule="auto"/>
            </w:pPr>
            <w:r>
              <w:rPr>
                <w:rFonts w:eastAsia="PMingLiU"/>
                <w:szCs w:val="22"/>
                <w:lang w:eastAsia="en-US" w:bidi="ar-SA"/>
              </w:rPr>
              <w:t>AMGEN zdravila</w:t>
            </w:r>
            <w:r>
              <w:t xml:space="preserve"> d.o.o.</w:t>
            </w:r>
          </w:p>
          <w:p w14:paraId="70ECCDE3" w14:textId="77777777" w:rsidR="00C04CAD" w:rsidRDefault="00060E34">
            <w:pPr>
              <w:spacing w:line="240" w:lineRule="auto"/>
              <w:rPr>
                <w:rFonts w:eastAsia="PMingLiU"/>
                <w:bCs/>
                <w:sz w:val="24"/>
                <w:szCs w:val="22"/>
                <w:lang w:eastAsia="en-US" w:bidi="ar-SA"/>
              </w:rPr>
            </w:pPr>
            <w:r>
              <w:t>Tel: +386 (</w:t>
            </w:r>
            <w:r>
              <w:rPr>
                <w:rFonts w:eastAsia="PMingLiU"/>
                <w:bCs/>
                <w:szCs w:val="22"/>
              </w:rPr>
              <w:t>0)</w:t>
            </w:r>
            <w:r>
              <w:t>1</w:t>
            </w:r>
            <w:r>
              <w:rPr>
                <w:rFonts w:eastAsia="PMingLiU"/>
                <w:bCs/>
                <w:szCs w:val="22"/>
                <w:lang w:eastAsia="en-US" w:bidi="ar-SA"/>
              </w:rPr>
              <w:t xml:space="preserve"> 585 1767</w:t>
            </w:r>
          </w:p>
          <w:p w14:paraId="47A361A5" w14:textId="77777777" w:rsidR="00C04CAD" w:rsidRDefault="00C04CAD">
            <w:pPr>
              <w:tabs>
                <w:tab w:val="clear" w:pos="567"/>
              </w:tabs>
              <w:autoSpaceDE w:val="0"/>
              <w:autoSpaceDN w:val="0"/>
              <w:adjustRightInd w:val="0"/>
              <w:spacing w:line="240" w:lineRule="auto"/>
              <w:rPr>
                <w:sz w:val="24"/>
              </w:rPr>
            </w:pPr>
          </w:p>
        </w:tc>
      </w:tr>
      <w:tr w:rsidR="00C04CAD" w14:paraId="285AEB27" w14:textId="77777777">
        <w:trPr>
          <w:cantSplit/>
        </w:trPr>
        <w:tc>
          <w:tcPr>
            <w:tcW w:w="4677" w:type="dxa"/>
          </w:tcPr>
          <w:p w14:paraId="47B2A3E6" w14:textId="77777777" w:rsidR="00C04CAD" w:rsidRDefault="00060E34">
            <w:pPr>
              <w:spacing w:line="240" w:lineRule="auto"/>
              <w:rPr>
                <w:b/>
              </w:rPr>
            </w:pPr>
            <w:r>
              <w:rPr>
                <w:b/>
              </w:rPr>
              <w:t>Ísland</w:t>
            </w:r>
          </w:p>
          <w:p w14:paraId="2B4685FF" w14:textId="77777777" w:rsidR="00C04CAD" w:rsidRDefault="00060E34">
            <w:pPr>
              <w:spacing w:line="240" w:lineRule="auto"/>
              <w:rPr>
                <w:rFonts w:eastAsia="MS Mincho"/>
                <w:sz w:val="24"/>
                <w:szCs w:val="24"/>
                <w:lang w:eastAsia="en-US" w:bidi="ar-SA"/>
              </w:rPr>
            </w:pPr>
            <w:r>
              <w:t>Vistor</w:t>
            </w:r>
            <w:del w:id="24" w:author="Author">
              <w:r>
                <w:delText xml:space="preserve"> hf.</w:delText>
              </w:r>
            </w:del>
          </w:p>
          <w:p w14:paraId="4B8F6080" w14:textId="77777777" w:rsidR="00C04CAD" w:rsidRDefault="00060E34">
            <w:pPr>
              <w:spacing w:line="240" w:lineRule="auto"/>
              <w:rPr>
                <w:rFonts w:eastAsia="PMingLiU"/>
                <w:szCs w:val="22"/>
                <w:lang w:eastAsia="en-US" w:bidi="ar-SA"/>
              </w:rPr>
            </w:pPr>
            <w:r>
              <w:rPr>
                <w:rFonts w:eastAsia="PMingLiU"/>
                <w:szCs w:val="22"/>
                <w:lang w:eastAsia="en-US" w:bidi="ar-SA"/>
              </w:rPr>
              <w:t>Sími</w:t>
            </w:r>
            <w:r>
              <w:t>: +354 535 7000</w:t>
            </w:r>
          </w:p>
          <w:p w14:paraId="5675F8AC" w14:textId="77777777" w:rsidR="00C04CAD" w:rsidRDefault="00C04CAD">
            <w:pPr>
              <w:tabs>
                <w:tab w:val="clear" w:pos="567"/>
              </w:tabs>
              <w:autoSpaceDE w:val="0"/>
              <w:autoSpaceDN w:val="0"/>
              <w:adjustRightInd w:val="0"/>
              <w:spacing w:line="240" w:lineRule="auto"/>
              <w:rPr>
                <w:sz w:val="24"/>
              </w:rPr>
            </w:pPr>
          </w:p>
        </w:tc>
        <w:tc>
          <w:tcPr>
            <w:tcW w:w="4679" w:type="dxa"/>
          </w:tcPr>
          <w:p w14:paraId="06D1C717" w14:textId="77777777" w:rsidR="00C04CAD" w:rsidRDefault="00060E34">
            <w:pPr>
              <w:spacing w:line="240" w:lineRule="auto"/>
              <w:rPr>
                <w:rFonts w:eastAsia="MS Mincho"/>
                <w:b/>
                <w:sz w:val="24"/>
                <w:szCs w:val="24"/>
                <w:lang w:eastAsia="en-US" w:bidi="ar-SA"/>
              </w:rPr>
            </w:pPr>
            <w:r>
              <w:rPr>
                <w:b/>
              </w:rPr>
              <w:t>Slovenská republika</w:t>
            </w:r>
          </w:p>
          <w:p w14:paraId="38CF6059" w14:textId="77777777" w:rsidR="00C04CAD" w:rsidRDefault="00060E34">
            <w:pPr>
              <w:spacing w:line="240" w:lineRule="auto"/>
            </w:pPr>
            <w:r>
              <w:rPr>
                <w:rFonts w:eastAsia="PMingLiU"/>
                <w:bCs/>
                <w:szCs w:val="22"/>
                <w:lang w:eastAsia="en-US" w:bidi="ar-SA"/>
              </w:rPr>
              <w:t>Amgen Slovakia</w:t>
            </w:r>
            <w:r>
              <w:t xml:space="preserve"> s.r.o.</w:t>
            </w:r>
          </w:p>
          <w:p w14:paraId="06B00982" w14:textId="77777777" w:rsidR="00C04CAD" w:rsidRDefault="00060E34">
            <w:pPr>
              <w:spacing w:line="240" w:lineRule="auto"/>
              <w:rPr>
                <w:rFonts w:eastAsia="PMingLiU"/>
                <w:bCs/>
                <w:sz w:val="24"/>
                <w:szCs w:val="22"/>
                <w:lang w:eastAsia="en-US" w:bidi="ar-SA"/>
              </w:rPr>
            </w:pPr>
            <w:r>
              <w:t xml:space="preserve">Tel: </w:t>
            </w:r>
            <w:r>
              <w:rPr>
                <w:lang w:eastAsia="ja-JP"/>
              </w:rPr>
              <w:t>+421 2 321 114 49</w:t>
            </w:r>
          </w:p>
          <w:p w14:paraId="2A69652B" w14:textId="77777777" w:rsidR="00C04CAD" w:rsidRDefault="00C04CAD">
            <w:pPr>
              <w:tabs>
                <w:tab w:val="clear" w:pos="567"/>
              </w:tabs>
              <w:autoSpaceDE w:val="0"/>
              <w:autoSpaceDN w:val="0"/>
              <w:adjustRightInd w:val="0"/>
              <w:spacing w:line="240" w:lineRule="auto"/>
              <w:rPr>
                <w:sz w:val="24"/>
              </w:rPr>
            </w:pPr>
          </w:p>
        </w:tc>
      </w:tr>
      <w:tr w:rsidR="00C04CAD" w14:paraId="04AE287A" w14:textId="77777777">
        <w:trPr>
          <w:cantSplit/>
        </w:trPr>
        <w:tc>
          <w:tcPr>
            <w:tcW w:w="4677" w:type="dxa"/>
          </w:tcPr>
          <w:p w14:paraId="42FC0A6A" w14:textId="77777777" w:rsidR="00C04CAD" w:rsidRDefault="00060E34">
            <w:pPr>
              <w:spacing w:line="240" w:lineRule="auto"/>
            </w:pPr>
            <w:r>
              <w:rPr>
                <w:b/>
              </w:rPr>
              <w:t>Italia</w:t>
            </w:r>
          </w:p>
          <w:p w14:paraId="5A2856C7" w14:textId="77777777" w:rsidR="00C04CAD" w:rsidRDefault="00060E34">
            <w:pPr>
              <w:spacing w:line="240" w:lineRule="auto"/>
            </w:pPr>
            <w:r>
              <w:rPr>
                <w:rFonts w:eastAsia="PMingLiU"/>
                <w:szCs w:val="22"/>
                <w:lang w:eastAsia="en-US" w:bidi="ar-SA"/>
              </w:rPr>
              <w:t>Amgen</w:t>
            </w:r>
            <w:r>
              <w:t xml:space="preserve"> S.r.l.</w:t>
            </w:r>
          </w:p>
          <w:p w14:paraId="5895FB11" w14:textId="77777777" w:rsidR="00C04CAD" w:rsidRDefault="00060E34">
            <w:pPr>
              <w:spacing w:line="240" w:lineRule="auto"/>
              <w:rPr>
                <w:rFonts w:eastAsia="PMingLiU"/>
                <w:sz w:val="24"/>
                <w:szCs w:val="22"/>
                <w:lang w:eastAsia="en-US" w:bidi="ar-SA"/>
              </w:rPr>
            </w:pPr>
            <w:r>
              <w:t xml:space="preserve">Tel: +39 </w:t>
            </w:r>
            <w:r>
              <w:rPr>
                <w:rFonts w:eastAsia="PMingLiU"/>
                <w:szCs w:val="22"/>
              </w:rPr>
              <w:t>02 6241121</w:t>
            </w:r>
          </w:p>
          <w:p w14:paraId="0CCD8ECD" w14:textId="77777777" w:rsidR="00C04CAD" w:rsidRDefault="00C04CAD">
            <w:pPr>
              <w:tabs>
                <w:tab w:val="clear" w:pos="567"/>
              </w:tabs>
              <w:autoSpaceDE w:val="0"/>
              <w:autoSpaceDN w:val="0"/>
              <w:adjustRightInd w:val="0"/>
              <w:spacing w:line="240" w:lineRule="auto"/>
              <w:rPr>
                <w:sz w:val="24"/>
              </w:rPr>
            </w:pPr>
          </w:p>
        </w:tc>
        <w:tc>
          <w:tcPr>
            <w:tcW w:w="4679" w:type="dxa"/>
          </w:tcPr>
          <w:p w14:paraId="44EBF6DC" w14:textId="77777777" w:rsidR="00C04CAD" w:rsidRDefault="00060E34">
            <w:pPr>
              <w:spacing w:line="240" w:lineRule="auto"/>
              <w:rPr>
                <w:rFonts w:eastAsia="MS Mincho"/>
                <w:sz w:val="24"/>
                <w:szCs w:val="24"/>
                <w:lang w:eastAsia="en-US" w:bidi="ar-SA"/>
              </w:rPr>
            </w:pPr>
            <w:r>
              <w:rPr>
                <w:b/>
              </w:rPr>
              <w:t>Suomi/Finland</w:t>
            </w:r>
          </w:p>
          <w:p w14:paraId="2B6A2C17" w14:textId="77777777" w:rsidR="00C04CAD" w:rsidRDefault="00060E34">
            <w:pPr>
              <w:pStyle w:val="lbltxt"/>
              <w:rPr>
                <w:szCs w:val="22"/>
                <w:lang w:val="ro-RO"/>
              </w:rPr>
            </w:pPr>
            <w:r>
              <w:rPr>
                <w:szCs w:val="22"/>
                <w:lang w:val="ro-RO"/>
              </w:rPr>
              <w:t>Amgen AB, sivuliike Suomessa/Amgen AB, filial i Finland</w:t>
            </w:r>
          </w:p>
          <w:p w14:paraId="232A43DA" w14:textId="77777777" w:rsidR="00C04CAD" w:rsidRDefault="00060E34">
            <w:pPr>
              <w:spacing w:line="240" w:lineRule="auto"/>
              <w:rPr>
                <w:rFonts w:eastAsia="PMingLiU"/>
                <w:szCs w:val="22"/>
                <w:lang w:eastAsia="en-US" w:bidi="ar-SA"/>
              </w:rPr>
            </w:pPr>
            <w:r>
              <w:rPr>
                <w:rFonts w:eastAsia="PMingLiU"/>
                <w:szCs w:val="22"/>
                <w:lang w:val="nl-NL" w:eastAsia="en-US" w:bidi="ar-SA"/>
              </w:rPr>
              <w:t>Puh/Tel: +358 (0)9 54900500</w:t>
            </w:r>
          </w:p>
          <w:p w14:paraId="2779BF57" w14:textId="77777777" w:rsidR="00C04CAD" w:rsidRDefault="00C04CAD">
            <w:pPr>
              <w:spacing w:line="240" w:lineRule="auto"/>
              <w:rPr>
                <w:sz w:val="24"/>
              </w:rPr>
            </w:pPr>
          </w:p>
        </w:tc>
      </w:tr>
      <w:tr w:rsidR="00C04CAD" w14:paraId="2E998C95" w14:textId="77777777">
        <w:trPr>
          <w:cantSplit/>
        </w:trPr>
        <w:tc>
          <w:tcPr>
            <w:tcW w:w="4677" w:type="dxa"/>
          </w:tcPr>
          <w:p w14:paraId="285388D1" w14:textId="77777777" w:rsidR="00C04CAD" w:rsidRDefault="00060E34">
            <w:pPr>
              <w:spacing w:line="240" w:lineRule="auto"/>
              <w:rPr>
                <w:rFonts w:eastAsia="PMingLiU"/>
                <w:b/>
                <w:szCs w:val="22"/>
                <w:lang w:eastAsia="en-US" w:bidi="ar-SA"/>
              </w:rPr>
            </w:pPr>
            <w:r>
              <w:rPr>
                <w:rFonts w:eastAsia="PMingLiU"/>
                <w:b/>
                <w:szCs w:val="22"/>
                <w:lang w:eastAsia="en-US" w:bidi="ar-SA"/>
              </w:rPr>
              <w:t>Kύπρος</w:t>
            </w:r>
          </w:p>
          <w:p w14:paraId="27B4921E" w14:textId="77777777" w:rsidR="00C04CAD" w:rsidRDefault="00060E34">
            <w:pPr>
              <w:tabs>
                <w:tab w:val="clear" w:pos="567"/>
              </w:tabs>
              <w:autoSpaceDE w:val="0"/>
              <w:autoSpaceDN w:val="0"/>
              <w:adjustRightInd w:val="0"/>
              <w:spacing w:line="240" w:lineRule="auto"/>
              <w:rPr>
                <w:szCs w:val="22"/>
              </w:rPr>
            </w:pPr>
            <w:r>
              <w:rPr>
                <w:szCs w:val="22"/>
                <w:lang w:eastAsia="en-US" w:bidi="ar-SA"/>
              </w:rPr>
              <w:t>C</w:t>
            </w:r>
            <w:r>
              <w:rPr>
                <w:szCs w:val="22"/>
              </w:rPr>
              <w:t>.A. Papaellinas Ltd</w:t>
            </w:r>
          </w:p>
          <w:p w14:paraId="55565AB8" w14:textId="77777777" w:rsidR="00C04CAD" w:rsidRDefault="00060E34">
            <w:pPr>
              <w:spacing w:line="240" w:lineRule="auto"/>
              <w:rPr>
                <w:rFonts w:eastAsia="PMingLiU"/>
                <w:szCs w:val="22"/>
                <w:lang w:eastAsia="en-US" w:bidi="ar-SA"/>
              </w:rPr>
            </w:pPr>
            <w:r>
              <w:rPr>
                <w:szCs w:val="22"/>
              </w:rPr>
              <w:t xml:space="preserve">Τηλ: +357 </w:t>
            </w:r>
            <w:r>
              <w:rPr>
                <w:rFonts w:eastAsia="PMingLiU"/>
                <w:szCs w:val="22"/>
              </w:rPr>
              <w:t>22741 741</w:t>
            </w:r>
          </w:p>
          <w:p w14:paraId="6CE32C2B" w14:textId="77777777" w:rsidR="00C04CAD" w:rsidRDefault="00C04CAD">
            <w:pPr>
              <w:tabs>
                <w:tab w:val="clear" w:pos="567"/>
              </w:tabs>
              <w:autoSpaceDE w:val="0"/>
              <w:autoSpaceDN w:val="0"/>
              <w:adjustRightInd w:val="0"/>
              <w:spacing w:line="240" w:lineRule="auto"/>
              <w:rPr>
                <w:szCs w:val="22"/>
              </w:rPr>
            </w:pPr>
          </w:p>
        </w:tc>
        <w:tc>
          <w:tcPr>
            <w:tcW w:w="4679" w:type="dxa"/>
          </w:tcPr>
          <w:p w14:paraId="622259F7" w14:textId="77777777" w:rsidR="00C04CAD" w:rsidRDefault="00060E34">
            <w:pPr>
              <w:spacing w:line="240" w:lineRule="auto"/>
              <w:rPr>
                <w:rFonts w:eastAsia="MS Mincho"/>
                <w:szCs w:val="22"/>
                <w:lang w:eastAsia="en-US" w:bidi="ar-SA"/>
              </w:rPr>
            </w:pPr>
            <w:r>
              <w:rPr>
                <w:b/>
                <w:szCs w:val="22"/>
              </w:rPr>
              <w:t>Sverige</w:t>
            </w:r>
          </w:p>
          <w:p w14:paraId="5AE24BBE" w14:textId="77777777" w:rsidR="00C04CAD" w:rsidRDefault="00060E34">
            <w:pPr>
              <w:spacing w:line="240" w:lineRule="auto"/>
              <w:rPr>
                <w:szCs w:val="22"/>
              </w:rPr>
            </w:pPr>
            <w:r>
              <w:rPr>
                <w:rFonts w:eastAsia="PMingLiU"/>
                <w:szCs w:val="22"/>
                <w:lang w:eastAsia="en-US" w:bidi="ar-SA"/>
              </w:rPr>
              <w:t>Amgen</w:t>
            </w:r>
            <w:r>
              <w:rPr>
                <w:szCs w:val="22"/>
              </w:rPr>
              <w:t xml:space="preserve"> AB</w:t>
            </w:r>
          </w:p>
          <w:p w14:paraId="3680B142" w14:textId="77777777" w:rsidR="00C04CAD" w:rsidRDefault="00060E34">
            <w:pPr>
              <w:spacing w:line="240" w:lineRule="auto"/>
              <w:rPr>
                <w:rFonts w:eastAsia="PMingLiU"/>
                <w:szCs w:val="22"/>
                <w:lang w:eastAsia="en-US" w:bidi="ar-SA"/>
              </w:rPr>
            </w:pPr>
            <w:r>
              <w:rPr>
                <w:szCs w:val="22"/>
              </w:rPr>
              <w:t xml:space="preserve">Tel: +46 (0)8 </w:t>
            </w:r>
            <w:r>
              <w:rPr>
                <w:rFonts w:eastAsia="PMingLiU"/>
                <w:szCs w:val="22"/>
              </w:rPr>
              <w:t>6951100</w:t>
            </w:r>
          </w:p>
          <w:p w14:paraId="021D06C6" w14:textId="77777777" w:rsidR="00C04CAD" w:rsidRDefault="00C04CAD">
            <w:pPr>
              <w:tabs>
                <w:tab w:val="clear" w:pos="567"/>
              </w:tabs>
              <w:autoSpaceDE w:val="0"/>
              <w:autoSpaceDN w:val="0"/>
              <w:adjustRightInd w:val="0"/>
              <w:spacing w:line="240" w:lineRule="auto"/>
              <w:rPr>
                <w:szCs w:val="22"/>
              </w:rPr>
            </w:pPr>
          </w:p>
        </w:tc>
      </w:tr>
      <w:tr w:rsidR="00C04CAD" w14:paraId="7BBC677C" w14:textId="77777777">
        <w:trPr>
          <w:cantSplit/>
        </w:trPr>
        <w:tc>
          <w:tcPr>
            <w:tcW w:w="4677" w:type="dxa"/>
          </w:tcPr>
          <w:p w14:paraId="53B301E1" w14:textId="77777777" w:rsidR="00C04CAD" w:rsidRDefault="00060E34">
            <w:pPr>
              <w:spacing w:line="240" w:lineRule="auto"/>
              <w:rPr>
                <w:b/>
              </w:rPr>
            </w:pPr>
            <w:r>
              <w:rPr>
                <w:b/>
              </w:rPr>
              <w:t>Latvija</w:t>
            </w:r>
          </w:p>
          <w:p w14:paraId="155BE5BD" w14:textId="77777777" w:rsidR="00C04CAD" w:rsidRDefault="00060E34">
            <w:pPr>
              <w:spacing w:line="240" w:lineRule="auto"/>
              <w:rPr>
                <w:rFonts w:eastAsia="PMingLiU"/>
                <w:szCs w:val="22"/>
                <w:lang w:eastAsia="en-US" w:bidi="ar-SA"/>
              </w:rPr>
            </w:pPr>
            <w:r>
              <w:rPr>
                <w:rFonts w:eastAsia="PMingLiU"/>
                <w:szCs w:val="22"/>
                <w:lang w:eastAsia="en-US" w:bidi="ar-SA"/>
              </w:rPr>
              <w:t>Amgen Switzerland AG Rīgas filiāle</w:t>
            </w:r>
          </w:p>
          <w:p w14:paraId="018944B4" w14:textId="77777777" w:rsidR="00C04CAD" w:rsidRDefault="00060E34">
            <w:pPr>
              <w:spacing w:line="240" w:lineRule="auto"/>
              <w:rPr>
                <w:rFonts w:eastAsia="PMingLiU"/>
                <w:sz w:val="24"/>
                <w:szCs w:val="22"/>
                <w:lang w:eastAsia="en-US" w:bidi="ar-SA"/>
              </w:rPr>
            </w:pPr>
            <w:r>
              <w:t xml:space="preserve">Tel: +371 </w:t>
            </w:r>
            <w:r>
              <w:rPr>
                <w:rFonts w:eastAsia="PMingLiU"/>
                <w:szCs w:val="22"/>
              </w:rPr>
              <w:t>257 25888</w:t>
            </w:r>
          </w:p>
          <w:p w14:paraId="0A1D53FB" w14:textId="77777777" w:rsidR="00C04CAD" w:rsidRDefault="00C04CAD">
            <w:pPr>
              <w:tabs>
                <w:tab w:val="clear" w:pos="567"/>
              </w:tabs>
              <w:autoSpaceDE w:val="0"/>
              <w:autoSpaceDN w:val="0"/>
              <w:adjustRightInd w:val="0"/>
              <w:spacing w:line="240" w:lineRule="auto"/>
              <w:rPr>
                <w:sz w:val="24"/>
              </w:rPr>
            </w:pPr>
          </w:p>
        </w:tc>
        <w:tc>
          <w:tcPr>
            <w:tcW w:w="4679" w:type="dxa"/>
          </w:tcPr>
          <w:p w14:paraId="222B8C91" w14:textId="77777777" w:rsidR="00C04CAD" w:rsidRDefault="00C04CAD">
            <w:pPr>
              <w:spacing w:line="240" w:lineRule="auto"/>
              <w:rPr>
                <w:sz w:val="24"/>
              </w:rPr>
            </w:pPr>
          </w:p>
        </w:tc>
      </w:tr>
    </w:tbl>
    <w:p w14:paraId="05DAE936" w14:textId="77777777" w:rsidR="00C04CAD" w:rsidRDefault="00C04CAD">
      <w:pPr>
        <w:tabs>
          <w:tab w:val="clear" w:pos="567"/>
        </w:tabs>
        <w:kinsoku w:val="0"/>
        <w:overflowPunct w:val="0"/>
        <w:autoSpaceDE w:val="0"/>
        <w:autoSpaceDN w:val="0"/>
        <w:adjustRightInd w:val="0"/>
        <w:spacing w:line="240" w:lineRule="auto"/>
        <w:outlineLvl w:val="0"/>
        <w:rPr>
          <w:b/>
        </w:rPr>
      </w:pPr>
    </w:p>
    <w:p w14:paraId="3A3180BA" w14:textId="77777777" w:rsidR="00C04CAD" w:rsidRDefault="00060E34">
      <w:pPr>
        <w:tabs>
          <w:tab w:val="clear" w:pos="567"/>
        </w:tabs>
        <w:kinsoku w:val="0"/>
        <w:overflowPunct w:val="0"/>
        <w:autoSpaceDE w:val="0"/>
        <w:autoSpaceDN w:val="0"/>
        <w:adjustRightInd w:val="0"/>
        <w:spacing w:line="240" w:lineRule="auto"/>
        <w:outlineLvl w:val="0"/>
        <w:rPr>
          <w:b/>
          <w:bCs/>
        </w:rPr>
      </w:pPr>
      <w:r>
        <w:rPr>
          <w:b/>
        </w:rPr>
        <w:t>Acest prospect a fost revizuit în</w:t>
      </w:r>
    </w:p>
    <w:p w14:paraId="18243DAF" w14:textId="77777777" w:rsidR="00C04CAD" w:rsidRDefault="00C04CAD">
      <w:pPr>
        <w:keepNext/>
        <w:tabs>
          <w:tab w:val="clear" w:pos="567"/>
        </w:tabs>
        <w:autoSpaceDE w:val="0"/>
        <w:autoSpaceDN w:val="0"/>
        <w:adjustRightInd w:val="0"/>
        <w:spacing w:line="240" w:lineRule="auto"/>
        <w:rPr>
          <w:b/>
          <w:szCs w:val="22"/>
        </w:rPr>
      </w:pPr>
    </w:p>
    <w:p w14:paraId="415F1B72" w14:textId="77777777" w:rsidR="00C04CAD" w:rsidRDefault="00060E34">
      <w:pPr>
        <w:keepNext/>
        <w:keepLines/>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Alte surse de informații</w:t>
      </w:r>
    </w:p>
    <w:p w14:paraId="78ACB914" w14:textId="77777777" w:rsidR="00C04CAD" w:rsidRDefault="00C04CAD">
      <w:pPr>
        <w:keepNext/>
        <w:keepLines/>
        <w:tabs>
          <w:tab w:val="clear" w:pos="567"/>
        </w:tabs>
        <w:kinsoku w:val="0"/>
        <w:overflowPunct w:val="0"/>
        <w:autoSpaceDE w:val="0"/>
        <w:autoSpaceDN w:val="0"/>
        <w:adjustRightInd w:val="0"/>
        <w:spacing w:line="240" w:lineRule="auto"/>
        <w:rPr>
          <w:szCs w:val="22"/>
          <w:lang w:eastAsia="en-US" w:bidi="ar-SA"/>
        </w:rPr>
      </w:pPr>
    </w:p>
    <w:p w14:paraId="15453E36" w14:textId="77777777" w:rsidR="00C04CAD" w:rsidRDefault="00060E34">
      <w:pPr>
        <w:tabs>
          <w:tab w:val="clear" w:pos="567"/>
        </w:tabs>
        <w:kinsoku w:val="0"/>
        <w:overflowPunct w:val="0"/>
        <w:autoSpaceDE w:val="0"/>
        <w:autoSpaceDN w:val="0"/>
        <w:adjustRightInd w:val="0"/>
        <w:spacing w:line="240" w:lineRule="auto"/>
        <w:rPr>
          <w:color w:val="0000FF"/>
          <w:szCs w:val="22"/>
          <w:u w:val="single"/>
          <w:lang w:bidi="ar-SA"/>
        </w:rPr>
      </w:pPr>
      <w:r>
        <w:t xml:space="preserve">Informaţii detaliate privind acest medicament sunt disponibile pe web-site-ul Agenţiei Europene a Medicamentului: </w:t>
      </w:r>
      <w:hyperlink r:id="rId41" w:history="1">
        <w:r w:rsidR="00C04CAD">
          <w:rPr>
            <w:rStyle w:val="Hyperlink"/>
            <w:szCs w:val="22"/>
            <w:lang w:bidi="ar-SA"/>
          </w:rPr>
          <w:t>http://www.ema.europa.eu</w:t>
        </w:r>
      </w:hyperlink>
      <w:r>
        <w:rPr>
          <w:szCs w:val="22"/>
          <w:lang w:bidi="ar-SA"/>
        </w:rPr>
        <w:t>.</w:t>
      </w:r>
    </w:p>
    <w:p w14:paraId="1C706088" w14:textId="77777777" w:rsidR="00C04CAD" w:rsidRDefault="00C04CAD">
      <w:pPr>
        <w:pageBreakBefore/>
        <w:tabs>
          <w:tab w:val="clear" w:pos="567"/>
        </w:tabs>
        <w:kinsoku w:val="0"/>
        <w:overflowPunct w:val="0"/>
        <w:autoSpaceDE w:val="0"/>
        <w:autoSpaceDN w:val="0"/>
        <w:adjustRightInd w:val="0"/>
        <w:spacing w:line="240" w:lineRule="auto"/>
        <w:rPr>
          <w:szCs w:val="22"/>
          <w:u w:val="single"/>
          <w:lang w:bidi="ar-SA"/>
        </w:rPr>
      </w:pPr>
    </w:p>
    <w:tbl>
      <w:tblPr>
        <w:tblW w:w="4999" w:type="pct"/>
        <w:tblLook w:val="04A0" w:firstRow="1" w:lastRow="0" w:firstColumn="1" w:lastColumn="0" w:noHBand="0" w:noVBand="1"/>
      </w:tblPr>
      <w:tblGrid>
        <w:gridCol w:w="2058"/>
        <w:gridCol w:w="2473"/>
        <w:gridCol w:w="2176"/>
        <w:gridCol w:w="2352"/>
      </w:tblGrid>
      <w:tr w:rsidR="00C04CAD" w14:paraId="4D14794E"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1E33FCC0" w14:textId="77777777" w:rsidR="00C04CAD" w:rsidRDefault="00060E34">
            <w:pPr>
              <w:keepNext/>
              <w:keepLines/>
              <w:spacing w:line="240" w:lineRule="auto"/>
              <w:rPr>
                <w:rFonts w:eastAsia="PMingLiU"/>
                <w:szCs w:val="22"/>
                <w:lang w:eastAsia="en-US" w:bidi="ar-SA"/>
              </w:rPr>
            </w:pPr>
            <w:r>
              <w:br w:type="page"/>
            </w:r>
            <w:r>
              <w:rPr>
                <w:rFonts w:eastAsia="PMingLiU"/>
                <w:szCs w:val="22"/>
                <w:lang w:eastAsia="en-US" w:bidi="ar-SA"/>
              </w:rPr>
              <w:t>Instrucţiuni de utilizare:</w:t>
            </w:r>
          </w:p>
          <w:p w14:paraId="4B742632" w14:textId="77777777" w:rsidR="00C04CAD" w:rsidRDefault="00060E34">
            <w:pPr>
              <w:keepNext/>
              <w:keepLines/>
              <w:spacing w:line="240" w:lineRule="auto"/>
              <w:rPr>
                <w:rFonts w:eastAsia="PMingLiU"/>
                <w:szCs w:val="22"/>
                <w:lang w:eastAsia="en-US" w:bidi="ar-SA"/>
              </w:rPr>
            </w:pPr>
            <w:r>
              <w:rPr>
                <w:szCs w:val="22"/>
                <w:lang w:eastAsia="en-US" w:bidi="ar-SA"/>
              </w:rPr>
              <w:t>AMGEVITA pen preumplut SureClick de unică utilizare</w:t>
            </w:r>
          </w:p>
          <w:p w14:paraId="41EA1AD7" w14:textId="77777777" w:rsidR="00C04CAD" w:rsidRDefault="00060E34">
            <w:pPr>
              <w:keepNext/>
              <w:keepLines/>
              <w:spacing w:line="240" w:lineRule="auto"/>
              <w:rPr>
                <w:rFonts w:eastAsia="PMingLiU"/>
                <w:b/>
                <w:szCs w:val="22"/>
                <w:lang w:eastAsia="en-US" w:bidi="ar-SA"/>
              </w:rPr>
            </w:pPr>
            <w:r>
              <w:rPr>
                <w:rFonts w:eastAsia="PMingLiU"/>
                <w:szCs w:val="22"/>
                <w:lang w:eastAsia="en-US" w:bidi="ar-SA"/>
              </w:rPr>
              <w:t>Pentru administrare subcutanată</w:t>
            </w:r>
          </w:p>
        </w:tc>
      </w:tr>
      <w:tr w:rsidR="00C04CAD" w14:paraId="00D91369" w14:textId="77777777">
        <w:trPr>
          <w:trHeight w:val="73"/>
        </w:trPr>
        <w:tc>
          <w:tcPr>
            <w:tcW w:w="5000" w:type="pct"/>
            <w:gridSpan w:val="4"/>
            <w:tcBorders>
              <w:top w:val="single" w:sz="4" w:space="0" w:color="auto"/>
              <w:bottom w:val="single" w:sz="4" w:space="0" w:color="auto"/>
            </w:tcBorders>
          </w:tcPr>
          <w:p w14:paraId="257E7EF4" w14:textId="77777777" w:rsidR="00C04CAD" w:rsidRDefault="00C04CAD">
            <w:pPr>
              <w:keepNext/>
              <w:keepLines/>
              <w:spacing w:line="240" w:lineRule="auto"/>
              <w:jc w:val="center"/>
              <w:rPr>
                <w:rFonts w:eastAsia="PMingLiU"/>
                <w:bCs/>
                <w:szCs w:val="22"/>
                <w:lang w:eastAsia="en-US" w:bidi="ar-SA"/>
              </w:rPr>
            </w:pPr>
          </w:p>
        </w:tc>
      </w:tr>
      <w:tr w:rsidR="00C04CAD" w14:paraId="4202C2D5" w14:textId="77777777">
        <w:tc>
          <w:tcPr>
            <w:tcW w:w="5000" w:type="pct"/>
            <w:gridSpan w:val="4"/>
            <w:tcBorders>
              <w:top w:val="single" w:sz="4" w:space="0" w:color="auto"/>
              <w:left w:val="single" w:sz="4" w:space="0" w:color="auto"/>
              <w:bottom w:val="single" w:sz="4" w:space="0" w:color="auto"/>
              <w:right w:val="single" w:sz="4" w:space="0" w:color="auto"/>
            </w:tcBorders>
          </w:tcPr>
          <w:p w14:paraId="22CA6289" w14:textId="77777777" w:rsidR="00C04CAD" w:rsidRDefault="00060E34">
            <w:pPr>
              <w:keepNext/>
              <w:keepLines/>
              <w:spacing w:line="240" w:lineRule="auto"/>
              <w:jc w:val="center"/>
              <w:rPr>
                <w:rFonts w:eastAsia="PMingLiU"/>
                <w:b/>
                <w:bCs/>
                <w:szCs w:val="22"/>
                <w:lang w:eastAsia="en-US" w:bidi="ar-SA"/>
              </w:rPr>
            </w:pPr>
            <w:r>
              <w:rPr>
                <w:rFonts w:eastAsia="PMingLiU"/>
                <w:b/>
                <w:bCs/>
                <w:szCs w:val="22"/>
                <w:lang w:eastAsia="en-US" w:bidi="ar-SA"/>
              </w:rPr>
              <w:t>Prezentarea componentelor</w:t>
            </w:r>
          </w:p>
          <w:p w14:paraId="4932EEDF" w14:textId="77777777" w:rsidR="00C04CAD" w:rsidRDefault="00C04CAD">
            <w:pPr>
              <w:keepNext/>
              <w:keepLines/>
              <w:spacing w:line="240" w:lineRule="auto"/>
              <w:jc w:val="center"/>
              <w:rPr>
                <w:rFonts w:eastAsia="PMingLiU"/>
                <w:b/>
                <w:szCs w:val="22"/>
                <w:lang w:eastAsia="en-US" w:bidi="ar-SA"/>
              </w:rPr>
            </w:pPr>
          </w:p>
        </w:tc>
      </w:tr>
      <w:tr w:rsidR="00C04CAD" w14:paraId="63FF5A95" w14:textId="77777777">
        <w:trPr>
          <w:trHeight w:val="332"/>
        </w:trPr>
        <w:tc>
          <w:tcPr>
            <w:tcW w:w="2501" w:type="pct"/>
            <w:gridSpan w:val="2"/>
            <w:tcBorders>
              <w:top w:val="single" w:sz="4" w:space="0" w:color="auto"/>
              <w:left w:val="single" w:sz="4" w:space="0" w:color="auto"/>
              <w:right w:val="single" w:sz="4" w:space="0" w:color="auto"/>
            </w:tcBorders>
          </w:tcPr>
          <w:p w14:paraId="7EF9310E" w14:textId="77777777" w:rsidR="00C04CAD" w:rsidRDefault="00060E34">
            <w:pPr>
              <w:keepNext/>
              <w:keepLines/>
              <w:spacing w:line="240" w:lineRule="auto"/>
              <w:jc w:val="center"/>
              <w:rPr>
                <w:rFonts w:eastAsia="PMingLiU"/>
                <w:b/>
                <w:bCs/>
                <w:szCs w:val="22"/>
                <w:lang w:eastAsia="en-US" w:bidi="ar-SA"/>
              </w:rPr>
            </w:pPr>
            <w:r>
              <w:rPr>
                <w:rFonts w:eastAsia="PMingLiU"/>
                <w:b/>
                <w:bCs/>
                <w:szCs w:val="22"/>
                <w:lang w:eastAsia="en-US" w:bidi="ar-SA"/>
              </w:rPr>
              <w:t>Înainte de utilizare</w:t>
            </w:r>
          </w:p>
        </w:tc>
        <w:tc>
          <w:tcPr>
            <w:tcW w:w="2499" w:type="pct"/>
            <w:gridSpan w:val="2"/>
            <w:tcBorders>
              <w:top w:val="single" w:sz="4" w:space="0" w:color="auto"/>
              <w:left w:val="single" w:sz="4" w:space="0" w:color="auto"/>
              <w:right w:val="single" w:sz="4" w:space="0" w:color="auto"/>
            </w:tcBorders>
          </w:tcPr>
          <w:p w14:paraId="38DBD175" w14:textId="77777777" w:rsidR="00C04CAD" w:rsidRDefault="00060E34">
            <w:pPr>
              <w:keepNext/>
              <w:spacing w:line="240" w:lineRule="auto"/>
              <w:jc w:val="center"/>
              <w:rPr>
                <w:rFonts w:eastAsia="PMingLiU"/>
                <w:b/>
                <w:bCs/>
                <w:szCs w:val="22"/>
                <w:lang w:eastAsia="en-US" w:bidi="ar-SA"/>
              </w:rPr>
            </w:pPr>
            <w:r>
              <w:rPr>
                <w:rFonts w:eastAsia="PMingLiU"/>
                <w:b/>
                <w:bCs/>
                <w:szCs w:val="22"/>
                <w:lang w:eastAsia="en-US" w:bidi="ar-SA"/>
              </w:rPr>
              <w:t>După utilizare</w:t>
            </w:r>
          </w:p>
        </w:tc>
      </w:tr>
      <w:tr w:rsidR="00C04CAD" w14:paraId="346586BC" w14:textId="77777777">
        <w:trPr>
          <w:trHeight w:val="332"/>
        </w:trPr>
        <w:tc>
          <w:tcPr>
            <w:tcW w:w="2501" w:type="pct"/>
            <w:gridSpan w:val="2"/>
            <w:tcBorders>
              <w:top w:val="single" w:sz="4" w:space="0" w:color="auto"/>
              <w:left w:val="single" w:sz="4" w:space="0" w:color="auto"/>
              <w:right w:val="single" w:sz="4" w:space="0" w:color="auto"/>
            </w:tcBorders>
            <w:vAlign w:val="center"/>
          </w:tcPr>
          <w:p w14:paraId="5642E13E" w14:textId="77777777" w:rsidR="00C04CAD" w:rsidRDefault="00060E34">
            <w:pPr>
              <w:keepNext/>
              <w:keepLines/>
              <w:spacing w:line="240" w:lineRule="auto"/>
              <w:jc w:val="center"/>
              <w:rPr>
                <w:rFonts w:eastAsia="PMingLiU"/>
                <w:b/>
                <w:bCs/>
                <w:szCs w:val="22"/>
                <w:lang w:eastAsia="en-US" w:bidi="ar-SA"/>
              </w:rPr>
            </w:pPr>
            <w:r>
              <w:rPr>
                <w:rFonts w:eastAsia="PMingLiU"/>
                <w:szCs w:val="22"/>
                <w:lang w:eastAsia="en-US" w:bidi="ar-SA"/>
              </w:rPr>
              <w:t>Buton albastru declanşator</w:t>
            </w:r>
          </w:p>
        </w:tc>
        <w:tc>
          <w:tcPr>
            <w:tcW w:w="2499" w:type="pct"/>
            <w:gridSpan w:val="2"/>
            <w:tcBorders>
              <w:top w:val="single" w:sz="4" w:space="0" w:color="auto"/>
              <w:left w:val="single" w:sz="4" w:space="0" w:color="auto"/>
              <w:right w:val="single" w:sz="4" w:space="0" w:color="auto"/>
            </w:tcBorders>
          </w:tcPr>
          <w:p w14:paraId="5EC7DC91" w14:textId="77777777" w:rsidR="00C04CAD" w:rsidRDefault="00C04CAD">
            <w:pPr>
              <w:keepNext/>
              <w:spacing w:line="240" w:lineRule="auto"/>
              <w:jc w:val="center"/>
              <w:rPr>
                <w:rFonts w:eastAsia="PMingLiU"/>
                <w:b/>
                <w:bCs/>
                <w:szCs w:val="22"/>
                <w:lang w:eastAsia="en-US" w:bidi="ar-SA"/>
              </w:rPr>
            </w:pPr>
          </w:p>
        </w:tc>
      </w:tr>
      <w:tr w:rsidR="00C04CAD" w14:paraId="06BE4CD5" w14:textId="77777777">
        <w:trPr>
          <w:cantSplit/>
          <w:trHeight w:val="9168"/>
        </w:trPr>
        <w:tc>
          <w:tcPr>
            <w:tcW w:w="1136" w:type="pct"/>
            <w:tcBorders>
              <w:left w:val="single" w:sz="4" w:space="0" w:color="auto"/>
              <w:bottom w:val="single" w:sz="4" w:space="0" w:color="auto"/>
            </w:tcBorders>
          </w:tcPr>
          <w:tbl>
            <w:tblPr>
              <w:tblW w:w="0" w:type="auto"/>
              <w:tblLook w:val="04A0" w:firstRow="1" w:lastRow="0" w:firstColumn="1" w:lastColumn="0" w:noHBand="0" w:noVBand="1"/>
            </w:tblPr>
            <w:tblGrid>
              <w:gridCol w:w="1842"/>
            </w:tblGrid>
            <w:tr w:rsidR="00C04CAD" w14:paraId="20B83D71" w14:textId="77777777">
              <w:trPr>
                <w:trHeight w:val="923"/>
              </w:trPr>
              <w:tc>
                <w:tcPr>
                  <w:tcW w:w="2008" w:type="dxa"/>
                  <w:tcBorders>
                    <w:top w:val="nil"/>
                    <w:left w:val="nil"/>
                    <w:bottom w:val="nil"/>
                    <w:right w:val="nil"/>
                  </w:tcBorders>
                  <w:tcMar>
                    <w:top w:w="113" w:type="dxa"/>
                  </w:tcMar>
                  <w:vAlign w:val="bottom"/>
                </w:tcPr>
                <w:p w14:paraId="35EEAEE4" w14:textId="77777777" w:rsidR="00C04CAD" w:rsidRDefault="00060E34">
                  <w:pPr>
                    <w:keepNext/>
                    <w:keepLines/>
                    <w:spacing w:line="240" w:lineRule="auto"/>
                    <w:jc w:val="right"/>
                    <w:rPr>
                      <w:rFonts w:eastAsia="PMingLiU"/>
                      <w:szCs w:val="22"/>
                      <w:lang w:eastAsia="en-US" w:bidi="ar-SA"/>
                    </w:rPr>
                  </w:pPr>
                  <w:r>
                    <w:rPr>
                      <w:rFonts w:eastAsia="PMingLiU"/>
                      <w:szCs w:val="22"/>
                      <w:lang w:eastAsia="en-US" w:bidi="ar-SA"/>
                    </w:rPr>
                    <w:t>Data expirării</w:t>
                  </w:r>
                </w:p>
              </w:tc>
            </w:tr>
            <w:tr w:rsidR="00C04CAD" w14:paraId="168D2A18" w14:textId="77777777">
              <w:trPr>
                <w:trHeight w:val="3404"/>
              </w:trPr>
              <w:tc>
                <w:tcPr>
                  <w:tcW w:w="2008" w:type="dxa"/>
                  <w:tcBorders>
                    <w:top w:val="nil"/>
                    <w:left w:val="nil"/>
                    <w:bottom w:val="nil"/>
                    <w:right w:val="nil"/>
                  </w:tcBorders>
                  <w:vAlign w:val="bottom"/>
                </w:tcPr>
                <w:p w14:paraId="5719DF02" w14:textId="77777777" w:rsidR="00C04CAD" w:rsidRDefault="00060E34">
                  <w:pPr>
                    <w:keepNext/>
                    <w:keepLines/>
                    <w:spacing w:line="240" w:lineRule="auto"/>
                    <w:jc w:val="right"/>
                    <w:rPr>
                      <w:rFonts w:eastAsia="PMingLiU"/>
                      <w:szCs w:val="22"/>
                      <w:lang w:eastAsia="en-US" w:bidi="ar-SA"/>
                    </w:rPr>
                  </w:pPr>
                  <w:r>
                    <w:rPr>
                      <w:rFonts w:eastAsia="PMingLiU"/>
                      <w:szCs w:val="22"/>
                      <w:lang w:eastAsia="en-US" w:bidi="ar-SA"/>
                    </w:rPr>
                    <w:t>Fereastră</w:t>
                  </w:r>
                </w:p>
              </w:tc>
            </w:tr>
            <w:tr w:rsidR="00C04CAD" w14:paraId="1E7621F5" w14:textId="77777777">
              <w:trPr>
                <w:trHeight w:val="854"/>
              </w:trPr>
              <w:tc>
                <w:tcPr>
                  <w:tcW w:w="2008" w:type="dxa"/>
                  <w:tcBorders>
                    <w:top w:val="nil"/>
                    <w:left w:val="nil"/>
                    <w:bottom w:val="nil"/>
                    <w:right w:val="nil"/>
                  </w:tcBorders>
                  <w:vAlign w:val="bottom"/>
                </w:tcPr>
                <w:p w14:paraId="40949071" w14:textId="77777777" w:rsidR="00C04CAD" w:rsidRDefault="00060E34">
                  <w:pPr>
                    <w:keepNext/>
                    <w:keepLines/>
                    <w:spacing w:line="240" w:lineRule="auto"/>
                    <w:jc w:val="right"/>
                    <w:rPr>
                      <w:rFonts w:eastAsia="PMingLiU"/>
                      <w:szCs w:val="22"/>
                      <w:lang w:eastAsia="en-US" w:bidi="ar-SA"/>
                    </w:rPr>
                  </w:pPr>
                  <w:r>
                    <w:rPr>
                      <w:rFonts w:eastAsia="PMingLiU"/>
                      <w:szCs w:val="22"/>
                      <w:lang w:eastAsia="en-US" w:bidi="ar-SA"/>
                    </w:rPr>
                    <w:t>Medicament</w:t>
                  </w:r>
                </w:p>
              </w:tc>
            </w:tr>
            <w:tr w:rsidR="00C04CAD" w14:paraId="165278AA" w14:textId="77777777">
              <w:trPr>
                <w:trHeight w:val="994"/>
              </w:trPr>
              <w:tc>
                <w:tcPr>
                  <w:tcW w:w="2008" w:type="dxa"/>
                  <w:tcBorders>
                    <w:top w:val="nil"/>
                    <w:left w:val="nil"/>
                    <w:bottom w:val="nil"/>
                    <w:right w:val="nil"/>
                  </w:tcBorders>
                  <w:vAlign w:val="bottom"/>
                </w:tcPr>
                <w:p w14:paraId="350184DA" w14:textId="77777777" w:rsidR="00C04CAD" w:rsidRDefault="00060E34">
                  <w:pPr>
                    <w:keepNext/>
                    <w:keepLines/>
                    <w:spacing w:line="240" w:lineRule="auto"/>
                    <w:jc w:val="right"/>
                    <w:rPr>
                      <w:rFonts w:eastAsia="PMingLiU"/>
                      <w:szCs w:val="22"/>
                      <w:lang w:eastAsia="en-US" w:bidi="ar-SA"/>
                    </w:rPr>
                  </w:pPr>
                  <w:r>
                    <w:rPr>
                      <w:rFonts w:eastAsia="PMingLiU"/>
                      <w:szCs w:val="22"/>
                      <w:lang w:eastAsia="en-US" w:bidi="ar-SA"/>
                    </w:rPr>
                    <w:t>Capac galben ataşat</w:t>
                  </w:r>
                </w:p>
              </w:tc>
            </w:tr>
          </w:tbl>
          <w:p w14:paraId="74EBC096" w14:textId="77777777" w:rsidR="00C04CAD" w:rsidRDefault="00C04CAD">
            <w:pPr>
              <w:keepNext/>
              <w:keepLines/>
              <w:spacing w:line="240" w:lineRule="auto"/>
              <w:jc w:val="right"/>
              <w:rPr>
                <w:rFonts w:eastAsia="PMingLiU"/>
                <w:szCs w:val="22"/>
                <w:lang w:eastAsia="en-US" w:bidi="ar-SA"/>
              </w:rPr>
            </w:pPr>
          </w:p>
        </w:tc>
        <w:tc>
          <w:tcPr>
            <w:tcW w:w="1365" w:type="pct"/>
            <w:tcBorders>
              <w:bottom w:val="single" w:sz="4" w:space="0" w:color="auto"/>
              <w:right w:val="single" w:sz="4" w:space="0" w:color="auto"/>
            </w:tcBorders>
          </w:tcPr>
          <w:p w14:paraId="1348287D" w14:textId="77777777" w:rsidR="00C04CAD" w:rsidRDefault="00060E34">
            <w:pPr>
              <w:keepNext/>
              <w:keepLines/>
              <w:spacing w:line="240" w:lineRule="auto"/>
              <w:ind w:left="-75"/>
              <w:rPr>
                <w:rFonts w:eastAsia="PMingLiU"/>
                <w:szCs w:val="22"/>
                <w:lang w:eastAsia="en-US" w:bidi="ar-SA"/>
              </w:rPr>
            </w:pPr>
            <w:r>
              <w:rPr>
                <w:noProof/>
                <w:szCs w:val="22"/>
                <w:lang w:val="en-US" w:eastAsia="zh-CN" w:bidi="ar-SA"/>
              </w:rPr>
              <w:drawing>
                <wp:inline distT="0" distB="0" distL="0" distR="0" wp14:anchorId="58EC3920" wp14:editId="35116D4A">
                  <wp:extent cx="727075" cy="4031615"/>
                  <wp:effectExtent l="0" t="0" r="0" b="0"/>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27075" cy="4031615"/>
                          </a:xfrm>
                          <a:prstGeom prst="rect">
                            <a:avLst/>
                          </a:prstGeom>
                          <a:noFill/>
                          <a:ln>
                            <a:noFill/>
                          </a:ln>
                        </pic:spPr>
                      </pic:pic>
                    </a:graphicData>
                  </a:graphic>
                </wp:inline>
              </w:drawing>
            </w:r>
          </w:p>
        </w:tc>
        <w:tc>
          <w:tcPr>
            <w:tcW w:w="1201" w:type="pct"/>
            <w:tcBorders>
              <w:left w:val="single" w:sz="4" w:space="0" w:color="auto"/>
              <w:bottom w:val="single" w:sz="4" w:space="0" w:color="auto"/>
            </w:tcBorders>
          </w:tcPr>
          <w:p w14:paraId="52460FC3" w14:textId="77777777" w:rsidR="00C04CAD" w:rsidRDefault="00C04CAD">
            <w:pPr>
              <w:spacing w:line="240" w:lineRule="auto"/>
              <w:ind w:right="139"/>
              <w:jc w:val="right"/>
              <w:rPr>
                <w:rFonts w:eastAsia="PMingLiU"/>
                <w:sz w:val="10"/>
                <w:szCs w:val="10"/>
                <w:lang w:eastAsia="en-GB" w:bidi="ar-SA"/>
              </w:rPr>
            </w:pPr>
          </w:p>
          <w:p w14:paraId="64D78933" w14:textId="77777777" w:rsidR="00C04CAD" w:rsidRDefault="00060E34">
            <w:pPr>
              <w:spacing w:line="240" w:lineRule="auto"/>
              <w:ind w:right="139"/>
              <w:jc w:val="right"/>
              <w:rPr>
                <w:rFonts w:eastAsia="PMingLiU"/>
                <w:szCs w:val="22"/>
                <w:lang w:eastAsia="en-US" w:bidi="ar-SA"/>
              </w:rPr>
            </w:pPr>
            <w:r>
              <w:rPr>
                <w:noProof/>
              </w:rPr>
              <w:drawing>
                <wp:anchor distT="0" distB="0" distL="114300" distR="114300" simplePos="0" relativeHeight="251709440" behindDoc="1" locked="0" layoutInCell="1" allowOverlap="1" wp14:anchorId="4DD855CC" wp14:editId="0129A0FB">
                  <wp:simplePos x="0" y="0"/>
                  <wp:positionH relativeFrom="column">
                    <wp:posOffset>473075</wp:posOffset>
                  </wp:positionH>
                  <wp:positionV relativeFrom="paragraph">
                    <wp:posOffset>24130</wp:posOffset>
                  </wp:positionV>
                  <wp:extent cx="763905" cy="5180330"/>
                  <wp:effectExtent l="0" t="0" r="0" b="0"/>
                  <wp:wrapTight wrapText="bothSides">
                    <wp:wrapPolygon edited="0">
                      <wp:start x="0" y="0"/>
                      <wp:lineTo x="0" y="21526"/>
                      <wp:lineTo x="21007" y="21526"/>
                      <wp:lineTo x="21007" y="0"/>
                      <wp:lineTo x="0" y="0"/>
                    </wp:wrapPolygon>
                  </wp:wrapTight>
                  <wp:docPr id="16156498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49879"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763905" cy="5180330"/>
                          </a:xfrm>
                          <a:prstGeom prst="rect">
                            <a:avLst/>
                          </a:prstGeom>
                          <a:noFill/>
                        </pic:spPr>
                      </pic:pic>
                    </a:graphicData>
                  </a:graphic>
                </wp:anchor>
              </w:drawing>
            </w:r>
          </w:p>
        </w:tc>
        <w:tc>
          <w:tcPr>
            <w:tcW w:w="1298" w:type="pct"/>
            <w:tcBorders>
              <w:bottom w:val="single" w:sz="4" w:space="0" w:color="auto"/>
              <w:right w:val="single" w:sz="4" w:space="0" w:color="auto"/>
            </w:tcBorders>
          </w:tcPr>
          <w:tbl>
            <w:tblPr>
              <w:tblW w:w="0" w:type="auto"/>
              <w:tblLook w:val="04A0" w:firstRow="1" w:lastRow="0" w:firstColumn="1" w:lastColumn="0" w:noHBand="0" w:noVBand="1"/>
            </w:tblPr>
            <w:tblGrid>
              <w:gridCol w:w="2136"/>
            </w:tblGrid>
            <w:tr w:rsidR="00C04CAD" w14:paraId="027D695B" w14:textId="77777777">
              <w:trPr>
                <w:trHeight w:val="964"/>
              </w:trPr>
              <w:tc>
                <w:tcPr>
                  <w:tcW w:w="2327" w:type="dxa"/>
                  <w:tcBorders>
                    <w:top w:val="nil"/>
                    <w:left w:val="nil"/>
                    <w:bottom w:val="nil"/>
                    <w:right w:val="nil"/>
                  </w:tcBorders>
                  <w:vAlign w:val="bottom"/>
                </w:tcPr>
                <w:p w14:paraId="3BB74FCE" w14:textId="77777777" w:rsidR="00C04CAD" w:rsidRDefault="00060E34">
                  <w:pPr>
                    <w:spacing w:line="240" w:lineRule="auto"/>
                    <w:rPr>
                      <w:rFonts w:eastAsia="PMingLiU"/>
                      <w:szCs w:val="22"/>
                      <w:lang w:eastAsia="en-US" w:bidi="ar-SA"/>
                    </w:rPr>
                  </w:pPr>
                  <w:r>
                    <w:rPr>
                      <w:rFonts w:eastAsia="PMingLiU"/>
                      <w:szCs w:val="22"/>
                      <w:lang w:eastAsia="en-US" w:bidi="ar-SA"/>
                    </w:rPr>
                    <w:t>Data expirării</w:t>
                  </w:r>
                </w:p>
              </w:tc>
            </w:tr>
            <w:tr w:rsidR="00C04CAD" w14:paraId="5418DEB2" w14:textId="77777777">
              <w:trPr>
                <w:trHeight w:val="3841"/>
              </w:trPr>
              <w:tc>
                <w:tcPr>
                  <w:tcW w:w="2327" w:type="dxa"/>
                  <w:tcBorders>
                    <w:top w:val="nil"/>
                    <w:left w:val="nil"/>
                    <w:bottom w:val="nil"/>
                    <w:right w:val="nil"/>
                  </w:tcBorders>
                  <w:vAlign w:val="bottom"/>
                </w:tcPr>
                <w:p w14:paraId="203F8188" w14:textId="77777777" w:rsidR="00C04CAD" w:rsidRDefault="00060E34">
                  <w:pPr>
                    <w:spacing w:line="240" w:lineRule="auto"/>
                    <w:rPr>
                      <w:rFonts w:eastAsia="PMingLiU"/>
                      <w:szCs w:val="22"/>
                      <w:lang w:eastAsia="en-US" w:bidi="ar-SA"/>
                    </w:rPr>
                  </w:pPr>
                  <w:r>
                    <w:rPr>
                      <w:rFonts w:eastAsia="PMingLiU"/>
                      <w:szCs w:val="22"/>
                      <w:lang w:eastAsia="en-US" w:bidi="ar-SA"/>
                    </w:rPr>
                    <w:t>Fereastră galbenă</w:t>
                  </w:r>
                </w:p>
                <w:p w14:paraId="3F58FE19" w14:textId="77777777" w:rsidR="00C04CAD" w:rsidRDefault="00060E34">
                  <w:pPr>
                    <w:spacing w:line="240" w:lineRule="auto"/>
                    <w:rPr>
                      <w:rFonts w:eastAsia="PMingLiU"/>
                      <w:szCs w:val="22"/>
                      <w:lang w:eastAsia="en-US" w:bidi="ar-SA"/>
                    </w:rPr>
                  </w:pPr>
                  <w:r>
                    <w:rPr>
                      <w:rFonts w:eastAsia="PMingLiU"/>
                      <w:szCs w:val="22"/>
                      <w:lang w:eastAsia="en-US" w:bidi="ar-SA"/>
                    </w:rPr>
                    <w:t>(injectare încheiată)</w:t>
                  </w:r>
                </w:p>
              </w:tc>
            </w:tr>
            <w:tr w:rsidR="00C04CAD" w14:paraId="5D30927F" w14:textId="77777777">
              <w:trPr>
                <w:trHeight w:val="1983"/>
              </w:trPr>
              <w:tc>
                <w:tcPr>
                  <w:tcW w:w="2327" w:type="dxa"/>
                  <w:tcBorders>
                    <w:top w:val="nil"/>
                    <w:left w:val="nil"/>
                    <w:bottom w:val="nil"/>
                    <w:right w:val="nil"/>
                  </w:tcBorders>
                  <w:vAlign w:val="bottom"/>
                </w:tcPr>
                <w:p w14:paraId="592435CB" w14:textId="77777777" w:rsidR="00C04CAD" w:rsidRDefault="00060E34">
                  <w:pPr>
                    <w:spacing w:line="240" w:lineRule="auto"/>
                    <w:rPr>
                      <w:rFonts w:eastAsia="PMingLiU"/>
                      <w:szCs w:val="22"/>
                      <w:lang w:eastAsia="en-US" w:bidi="ar-SA"/>
                    </w:rPr>
                  </w:pPr>
                  <w:r>
                    <w:rPr>
                      <w:rFonts w:eastAsia="PMingLiU"/>
                      <w:szCs w:val="22"/>
                      <w:lang w:eastAsia="en-US" w:bidi="ar-SA"/>
                    </w:rPr>
                    <w:t xml:space="preserve">Protecţie de siguranţă de culoare galbenă </w:t>
                  </w:r>
                </w:p>
              </w:tc>
            </w:tr>
            <w:tr w:rsidR="00C04CAD" w14:paraId="29F0BB44" w14:textId="77777777">
              <w:trPr>
                <w:trHeight w:val="850"/>
              </w:trPr>
              <w:tc>
                <w:tcPr>
                  <w:tcW w:w="2327" w:type="dxa"/>
                  <w:tcBorders>
                    <w:top w:val="nil"/>
                    <w:left w:val="nil"/>
                    <w:bottom w:val="nil"/>
                    <w:right w:val="nil"/>
                  </w:tcBorders>
                  <w:vAlign w:val="bottom"/>
                </w:tcPr>
                <w:p w14:paraId="2B71059A" w14:textId="77777777" w:rsidR="00C04CAD" w:rsidRDefault="00060E34">
                  <w:pPr>
                    <w:spacing w:line="240" w:lineRule="auto"/>
                    <w:rPr>
                      <w:rFonts w:eastAsia="PMingLiU"/>
                      <w:szCs w:val="22"/>
                      <w:lang w:eastAsia="en-US" w:bidi="ar-SA"/>
                    </w:rPr>
                  </w:pPr>
                  <w:r>
                    <w:rPr>
                      <w:rFonts w:eastAsia="PMingLiU"/>
                      <w:szCs w:val="22"/>
                      <w:lang w:eastAsia="en-US" w:bidi="ar-SA"/>
                    </w:rPr>
                    <w:t>Capac galben detaşat</w:t>
                  </w:r>
                </w:p>
              </w:tc>
            </w:tr>
          </w:tbl>
          <w:p w14:paraId="134CDCC6" w14:textId="77777777" w:rsidR="00C04CAD" w:rsidRDefault="00C04CAD">
            <w:pPr>
              <w:spacing w:line="240" w:lineRule="auto"/>
              <w:rPr>
                <w:rFonts w:eastAsia="PMingLiU"/>
                <w:szCs w:val="22"/>
                <w:lang w:eastAsia="en-US" w:bidi="ar-SA"/>
              </w:rPr>
            </w:pPr>
          </w:p>
        </w:tc>
      </w:tr>
      <w:tr w:rsidR="00C04CAD" w14:paraId="18BB6575"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D9643FF" w14:textId="77777777" w:rsidR="00C04CAD" w:rsidRDefault="00060E34">
            <w:pPr>
              <w:spacing w:line="240" w:lineRule="auto"/>
              <w:rPr>
                <w:rFonts w:eastAsia="PMingLiU"/>
                <w:szCs w:val="22"/>
                <w:lang w:eastAsia="en-US" w:bidi="ar-SA"/>
              </w:rPr>
            </w:pPr>
            <w:r>
              <w:rPr>
                <w:rFonts w:eastAsia="PMingLiU"/>
                <w:b/>
                <w:szCs w:val="22"/>
                <w:lang w:eastAsia="en-US" w:bidi="ar-SA"/>
              </w:rPr>
              <w:t xml:space="preserve">Important: </w:t>
            </w:r>
            <w:r>
              <w:rPr>
                <w:rFonts w:eastAsia="PMingLiU"/>
                <w:szCs w:val="22"/>
                <w:lang w:eastAsia="en-US" w:bidi="ar-SA"/>
              </w:rPr>
              <w:t>Acul este în interior</w:t>
            </w:r>
          </w:p>
        </w:tc>
      </w:tr>
    </w:tbl>
    <w:p w14:paraId="682FE87B"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C04CAD" w14:paraId="632F1B82" w14:textId="77777777">
        <w:trPr>
          <w:cantSplit/>
          <w:trHeight w:val="399"/>
        </w:trPr>
        <w:tc>
          <w:tcPr>
            <w:tcW w:w="5000" w:type="pct"/>
            <w:gridSpan w:val="2"/>
            <w:tcBorders>
              <w:bottom w:val="nil"/>
            </w:tcBorders>
            <w:tcMar>
              <w:top w:w="57" w:type="dxa"/>
              <w:left w:w="57" w:type="dxa"/>
              <w:bottom w:w="57" w:type="dxa"/>
              <w:right w:w="57" w:type="dxa"/>
            </w:tcMar>
          </w:tcPr>
          <w:p w14:paraId="10F6B29E" w14:textId="77777777" w:rsidR="00C04CAD" w:rsidRDefault="00060E34">
            <w:pPr>
              <w:keepNext/>
              <w:keepLines/>
              <w:spacing w:line="240" w:lineRule="auto"/>
              <w:jc w:val="center"/>
              <w:rPr>
                <w:rFonts w:eastAsia="PMingLiU"/>
                <w:b/>
                <w:szCs w:val="22"/>
                <w:lang w:eastAsia="en-US" w:bidi="ar-SA"/>
              </w:rPr>
            </w:pPr>
            <w:r>
              <w:rPr>
                <w:rFonts w:eastAsia="PMingLiU"/>
                <w:b/>
                <w:szCs w:val="22"/>
                <w:lang w:eastAsia="en-US" w:bidi="ar-SA"/>
              </w:rPr>
              <w:t>Important</w:t>
            </w:r>
          </w:p>
        </w:tc>
      </w:tr>
      <w:tr w:rsidR="00C04CAD" w14:paraId="5964FEFD" w14:textId="77777777">
        <w:trPr>
          <w:cantSplit/>
        </w:trPr>
        <w:tc>
          <w:tcPr>
            <w:tcW w:w="5000" w:type="pct"/>
            <w:gridSpan w:val="2"/>
            <w:tcBorders>
              <w:top w:val="nil"/>
              <w:bottom w:val="nil"/>
            </w:tcBorders>
            <w:tcMar>
              <w:top w:w="57" w:type="dxa"/>
              <w:left w:w="57" w:type="dxa"/>
              <w:bottom w:w="57" w:type="dxa"/>
              <w:right w:w="57" w:type="dxa"/>
            </w:tcMar>
          </w:tcPr>
          <w:p w14:paraId="213F2857" w14:textId="77777777" w:rsidR="00C04CAD" w:rsidRDefault="00060E34">
            <w:pPr>
              <w:keepNext/>
              <w:keepLines/>
              <w:suppressAutoHyphens/>
              <w:autoSpaceDE w:val="0"/>
              <w:autoSpaceDN w:val="0"/>
              <w:adjustRightInd w:val="0"/>
              <w:spacing w:line="240" w:lineRule="auto"/>
              <w:textAlignment w:val="center"/>
              <w:rPr>
                <w:rFonts w:eastAsia="PMingLiU"/>
                <w:b/>
                <w:bCs/>
                <w:color w:val="000000"/>
                <w:szCs w:val="22"/>
                <w:lang w:eastAsia="en-US" w:bidi="ar-SA"/>
              </w:rPr>
            </w:pPr>
            <w:r>
              <w:rPr>
                <w:rFonts w:eastAsia="PMingLiU"/>
                <w:b/>
                <w:bCs/>
                <w:color w:val="000000"/>
                <w:szCs w:val="22"/>
                <w:lang w:eastAsia="en-US" w:bidi="ar-SA"/>
              </w:rPr>
              <w:t>Înainte de a utiliza penul preumplut AMGEVITA, citiţi aceste informaţii importante:</w:t>
            </w:r>
          </w:p>
          <w:p w14:paraId="0EFB4A7B" w14:textId="77777777" w:rsidR="00C04CAD" w:rsidRDefault="00C04CAD">
            <w:pPr>
              <w:keepNext/>
              <w:keepLines/>
              <w:suppressAutoHyphens/>
              <w:autoSpaceDE w:val="0"/>
              <w:autoSpaceDN w:val="0"/>
              <w:adjustRightInd w:val="0"/>
              <w:spacing w:line="240" w:lineRule="auto"/>
              <w:textAlignment w:val="center"/>
              <w:rPr>
                <w:rFonts w:eastAsia="PMingLiU"/>
                <w:b/>
                <w:bCs/>
                <w:color w:val="000000"/>
                <w:szCs w:val="22"/>
                <w:lang w:eastAsia="en-US" w:bidi="ar-SA"/>
              </w:rPr>
            </w:pPr>
          </w:p>
        </w:tc>
      </w:tr>
      <w:tr w:rsidR="00C04CAD" w14:paraId="48D38B9C" w14:textId="77777777">
        <w:trPr>
          <w:cantSplit/>
          <w:trHeight w:val="299"/>
        </w:trPr>
        <w:tc>
          <w:tcPr>
            <w:tcW w:w="5000" w:type="pct"/>
            <w:gridSpan w:val="2"/>
            <w:tcBorders>
              <w:top w:val="nil"/>
              <w:bottom w:val="nil"/>
            </w:tcBorders>
            <w:tcMar>
              <w:left w:w="57" w:type="dxa"/>
            </w:tcMar>
            <w:vAlign w:val="center"/>
          </w:tcPr>
          <w:p w14:paraId="1297137E" w14:textId="77777777" w:rsidR="00C04CAD" w:rsidRDefault="00060E34">
            <w:pPr>
              <w:keepNext/>
              <w:tabs>
                <w:tab w:val="clear" w:pos="567"/>
              </w:tabs>
              <w:autoSpaceDE w:val="0"/>
              <w:autoSpaceDN w:val="0"/>
              <w:adjustRightInd w:val="0"/>
              <w:spacing w:line="240" w:lineRule="auto"/>
              <w:rPr>
                <w:b/>
                <w:bCs/>
                <w:szCs w:val="22"/>
                <w:lang w:eastAsia="en-US" w:bidi="ar-SA"/>
              </w:rPr>
            </w:pPr>
            <w:r>
              <w:rPr>
                <w:b/>
                <w:bCs/>
                <w:szCs w:val="22"/>
                <w:lang w:eastAsia="en-US" w:bidi="ar-SA"/>
              </w:rPr>
              <w:t>Utilizarea AMGEVITA pen preumplut</w:t>
            </w:r>
          </w:p>
        </w:tc>
      </w:tr>
      <w:tr w:rsidR="00C04CAD" w14:paraId="083CE292" w14:textId="77777777">
        <w:trPr>
          <w:cantSplit/>
        </w:trPr>
        <w:tc>
          <w:tcPr>
            <w:tcW w:w="314" w:type="pct"/>
            <w:tcBorders>
              <w:top w:val="nil"/>
              <w:bottom w:val="nil"/>
              <w:right w:val="nil"/>
            </w:tcBorders>
            <w:tcMar>
              <w:left w:w="57" w:type="dxa"/>
            </w:tcMar>
          </w:tcPr>
          <w:p w14:paraId="769FBA68" w14:textId="77777777" w:rsidR="00C04CAD" w:rsidRDefault="00060E34">
            <w:pPr>
              <w:keepNext/>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86" w:type="pct"/>
            <w:tcBorders>
              <w:top w:val="nil"/>
              <w:left w:val="nil"/>
              <w:bottom w:val="nil"/>
            </w:tcBorders>
            <w:tcMar>
              <w:top w:w="57" w:type="dxa"/>
              <w:left w:w="0" w:type="dxa"/>
              <w:bottom w:w="57" w:type="dxa"/>
              <w:right w:w="57" w:type="dxa"/>
            </w:tcMar>
          </w:tcPr>
          <w:p w14:paraId="68BF26B5" w14:textId="77777777" w:rsidR="00C04CAD" w:rsidRDefault="00060E34">
            <w:pPr>
              <w:keepNext/>
              <w:tabs>
                <w:tab w:val="clear" w:pos="567"/>
              </w:tabs>
              <w:autoSpaceDE w:val="0"/>
              <w:autoSpaceDN w:val="0"/>
              <w:adjustRightInd w:val="0"/>
              <w:spacing w:line="240" w:lineRule="auto"/>
              <w:rPr>
                <w:szCs w:val="22"/>
                <w:lang w:eastAsia="en-US" w:bidi="ar-SA"/>
              </w:rPr>
            </w:pPr>
            <w:r>
              <w:rPr>
                <w:szCs w:val="22"/>
                <w:lang w:eastAsia="en-US" w:bidi="ar-SA"/>
              </w:rPr>
              <w:t>Este important să nu încercaţi să administraţi injecţia decât după ce dumneavoastră sau persoana care vă îngrijeşte aţi primit instruire în acest sens.</w:t>
            </w:r>
          </w:p>
        </w:tc>
      </w:tr>
      <w:tr w:rsidR="00C04CAD" w14:paraId="40E4AA91" w14:textId="77777777">
        <w:trPr>
          <w:cantSplit/>
        </w:trPr>
        <w:tc>
          <w:tcPr>
            <w:tcW w:w="314" w:type="pct"/>
            <w:tcBorders>
              <w:top w:val="nil"/>
              <w:bottom w:val="single" w:sz="4" w:space="0" w:color="auto"/>
              <w:right w:val="nil"/>
            </w:tcBorders>
            <w:tcMar>
              <w:left w:w="57" w:type="dxa"/>
            </w:tcMar>
          </w:tcPr>
          <w:p w14:paraId="22CCB556" w14:textId="77777777" w:rsidR="00C04CAD" w:rsidRDefault="00060E34">
            <w:pPr>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86" w:type="pct"/>
            <w:tcBorders>
              <w:top w:val="nil"/>
              <w:left w:val="nil"/>
              <w:bottom w:val="single" w:sz="4" w:space="0" w:color="auto"/>
            </w:tcBorders>
            <w:tcMar>
              <w:top w:w="57" w:type="dxa"/>
              <w:left w:w="0" w:type="dxa"/>
              <w:bottom w:w="57" w:type="dxa"/>
              <w:right w:w="57" w:type="dxa"/>
            </w:tcMar>
          </w:tcPr>
          <w:p w14:paraId="225563DC"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Nu</w:t>
            </w:r>
            <w:r>
              <w:rPr>
                <w:szCs w:val="22"/>
                <w:lang w:eastAsia="en-US" w:bidi="ar-SA"/>
              </w:rPr>
              <w:t xml:space="preserve"> utilizaţi AMGEVITA dacă penul preumplut a fost lovit prin cădere pe o suprafaţă dură. Părţi ale penului preumplut AMGEVITA pot fi sparte chiar dacă dumneavoastră nu puteţi vedea fisura. Utilizaţi un pen preumplut AMGEVITA nou.</w:t>
            </w:r>
          </w:p>
        </w:tc>
      </w:tr>
    </w:tbl>
    <w:p w14:paraId="1F7046A2"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43143DB2" w14:textId="77777777">
        <w:trPr>
          <w:trHeight w:val="284"/>
        </w:trPr>
        <w:tc>
          <w:tcPr>
            <w:tcW w:w="5000" w:type="pct"/>
            <w:tcMar>
              <w:top w:w="28" w:type="dxa"/>
              <w:left w:w="57" w:type="dxa"/>
              <w:bottom w:w="28" w:type="dxa"/>
              <w:right w:w="57" w:type="dxa"/>
            </w:tcMar>
          </w:tcPr>
          <w:p w14:paraId="3152730B" w14:textId="77777777" w:rsidR="00C04CAD" w:rsidRDefault="00060E34">
            <w:pPr>
              <w:keepLines/>
              <w:suppressAutoHyphens/>
              <w:spacing w:line="240" w:lineRule="auto"/>
              <w:jc w:val="center"/>
              <w:textAlignment w:val="center"/>
              <w:rPr>
                <w:rFonts w:eastAsia="PMingLiU"/>
                <w:b/>
                <w:color w:val="000000"/>
                <w:szCs w:val="22"/>
              </w:rPr>
            </w:pPr>
            <w:r>
              <w:rPr>
                <w:rFonts w:eastAsia="PMingLiU"/>
                <w:b/>
                <w:bCs/>
                <w:szCs w:val="22"/>
              </w:rPr>
              <w:t>Etapa 1: Pregătire</w:t>
            </w:r>
          </w:p>
        </w:tc>
      </w:tr>
    </w:tbl>
    <w:p w14:paraId="7A8FA130"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397E7A56" w14:textId="77777777">
        <w:tc>
          <w:tcPr>
            <w:tcW w:w="303" w:type="pct"/>
            <w:tcMar>
              <w:top w:w="28" w:type="dxa"/>
              <w:left w:w="57" w:type="dxa"/>
              <w:bottom w:w="28" w:type="dxa"/>
              <w:right w:w="57" w:type="dxa"/>
            </w:tcMar>
          </w:tcPr>
          <w:p w14:paraId="7327B23C" w14:textId="77777777" w:rsidR="00C04CAD" w:rsidRDefault="00060E34">
            <w:pPr>
              <w:keepLines/>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A.</w:t>
            </w:r>
          </w:p>
        </w:tc>
        <w:tc>
          <w:tcPr>
            <w:tcW w:w="4697" w:type="pct"/>
            <w:tcMar>
              <w:top w:w="28" w:type="dxa"/>
              <w:left w:w="57" w:type="dxa"/>
              <w:bottom w:w="28" w:type="dxa"/>
              <w:right w:w="57" w:type="dxa"/>
            </w:tcMar>
          </w:tcPr>
          <w:p w14:paraId="54ED951E" w14:textId="77777777" w:rsidR="00C04CAD" w:rsidRDefault="00060E34">
            <w:pPr>
              <w:keepLines/>
              <w:tabs>
                <w:tab w:val="clear" w:pos="567"/>
              </w:tabs>
              <w:autoSpaceDE w:val="0"/>
              <w:autoSpaceDN w:val="0"/>
              <w:adjustRightInd w:val="0"/>
              <w:spacing w:line="240" w:lineRule="auto"/>
              <w:rPr>
                <w:rFonts w:eastAsia="PMingLiU"/>
                <w:color w:val="000000"/>
                <w:szCs w:val="22"/>
                <w:lang w:eastAsia="en-US" w:bidi="ar-SA"/>
              </w:rPr>
            </w:pPr>
            <w:r>
              <w:rPr>
                <w:rFonts w:eastAsia="PMingLiU"/>
                <w:bCs/>
                <w:szCs w:val="22"/>
                <w:lang w:eastAsia="en-US" w:bidi="ar-SA"/>
              </w:rPr>
              <w:t xml:space="preserve">Scoateţi din ambalaj un </w:t>
            </w:r>
            <w:r>
              <w:rPr>
                <w:szCs w:val="22"/>
                <w:lang w:eastAsia="en-US" w:bidi="ar-SA"/>
              </w:rPr>
              <w:t xml:space="preserve">pen preumplut </w:t>
            </w:r>
            <w:r>
              <w:rPr>
                <w:rFonts w:eastAsia="PMingLiU"/>
                <w:bCs/>
                <w:szCs w:val="22"/>
                <w:lang w:eastAsia="en-US" w:bidi="ar-SA"/>
              </w:rPr>
              <w:t>AMGEVITA.</w:t>
            </w:r>
          </w:p>
        </w:tc>
      </w:tr>
      <w:tr w:rsidR="00C04CAD" w14:paraId="14E4A41D" w14:textId="77777777">
        <w:tc>
          <w:tcPr>
            <w:tcW w:w="5000" w:type="pct"/>
            <w:gridSpan w:val="2"/>
            <w:tcBorders>
              <w:bottom w:val="nil"/>
            </w:tcBorders>
            <w:tcMar>
              <w:top w:w="28" w:type="dxa"/>
              <w:left w:w="57" w:type="dxa"/>
              <w:bottom w:w="28" w:type="dxa"/>
              <w:right w:w="57" w:type="dxa"/>
            </w:tcMar>
          </w:tcPr>
          <w:p w14:paraId="4428184C" w14:textId="77777777" w:rsidR="00C04CAD" w:rsidRDefault="00060E34">
            <w:pPr>
              <w:suppressAutoHyphens/>
              <w:autoSpaceDE w:val="0"/>
              <w:autoSpaceDN w:val="0"/>
              <w:adjustRightInd w:val="0"/>
              <w:spacing w:line="240" w:lineRule="auto"/>
              <w:textAlignment w:val="center"/>
              <w:rPr>
                <w:rFonts w:eastAsia="PMingLiU"/>
                <w:color w:val="000000"/>
                <w:szCs w:val="22"/>
                <w:lang w:eastAsia="en-US" w:bidi="ar-SA"/>
              </w:rPr>
            </w:pPr>
            <w:r>
              <w:rPr>
                <w:rFonts w:eastAsia="PMingLiU"/>
                <w:color w:val="000000"/>
                <w:szCs w:val="22"/>
                <w:lang w:eastAsia="en-US" w:bidi="ar-SA"/>
              </w:rPr>
              <w:t xml:space="preserve">Scoateţi cu atenţie </w:t>
            </w:r>
            <w:r>
              <w:rPr>
                <w:szCs w:val="22"/>
                <w:lang w:eastAsia="en-US" w:bidi="ar-SA"/>
              </w:rPr>
              <w:t>penul preumplut din cutie cu o mişcare fermă</w:t>
            </w:r>
            <w:r>
              <w:rPr>
                <w:rFonts w:eastAsia="PMingLiU"/>
                <w:color w:val="000000"/>
                <w:szCs w:val="22"/>
                <w:lang w:eastAsia="en-US" w:bidi="ar-SA"/>
              </w:rPr>
              <w:t>.</w:t>
            </w:r>
          </w:p>
          <w:p w14:paraId="5138FA65" w14:textId="77777777" w:rsidR="00C04CAD" w:rsidRDefault="00C04CAD">
            <w:pPr>
              <w:suppressAutoHyphens/>
              <w:autoSpaceDE w:val="0"/>
              <w:autoSpaceDN w:val="0"/>
              <w:adjustRightInd w:val="0"/>
              <w:spacing w:line="240" w:lineRule="auto"/>
              <w:textAlignment w:val="center"/>
              <w:rPr>
                <w:rFonts w:eastAsia="PMingLiU"/>
                <w:color w:val="000000"/>
                <w:szCs w:val="22"/>
                <w:lang w:eastAsia="en-US" w:bidi="ar-SA"/>
              </w:rPr>
            </w:pPr>
          </w:p>
          <w:p w14:paraId="11EAC5EB" w14:textId="77777777" w:rsidR="00C04CAD" w:rsidRDefault="00060E34">
            <w:pPr>
              <w:suppressAutoHyphens/>
              <w:autoSpaceDE w:val="0"/>
              <w:autoSpaceDN w:val="0"/>
              <w:adjustRightInd w:val="0"/>
              <w:spacing w:line="240" w:lineRule="auto"/>
              <w:textAlignment w:val="center"/>
              <w:rPr>
                <w:rFonts w:eastAsia="PMingLiU"/>
                <w:color w:val="000000"/>
                <w:szCs w:val="22"/>
                <w:lang w:eastAsia="en-US" w:bidi="ar-SA"/>
              </w:rPr>
            </w:pPr>
            <w:r>
              <w:rPr>
                <w:rFonts w:eastAsia="PMingLiU"/>
                <w:color w:val="000000"/>
                <w:szCs w:val="22"/>
                <w:lang w:eastAsia="en-US" w:bidi="ar-SA"/>
              </w:rPr>
              <w:t>Puneţi cutia de ambalaj originală cu stilourile neutilizate înapoi în frigider.</w:t>
            </w:r>
          </w:p>
          <w:p w14:paraId="76B777F3" w14:textId="77777777" w:rsidR="00C04CAD" w:rsidRDefault="00C04CAD">
            <w:pPr>
              <w:suppressAutoHyphens/>
              <w:autoSpaceDE w:val="0"/>
              <w:autoSpaceDN w:val="0"/>
              <w:adjustRightInd w:val="0"/>
              <w:spacing w:line="240" w:lineRule="auto"/>
              <w:textAlignment w:val="center"/>
              <w:rPr>
                <w:rFonts w:eastAsia="PMingLiU"/>
                <w:color w:val="000000"/>
                <w:szCs w:val="22"/>
                <w:lang w:eastAsia="en-US" w:bidi="ar-SA"/>
              </w:rPr>
            </w:pPr>
          </w:p>
          <w:p w14:paraId="77818C3A" w14:textId="77777777" w:rsidR="00C04CAD" w:rsidRDefault="00060E34">
            <w:pPr>
              <w:suppressAutoHyphens/>
              <w:autoSpaceDE w:val="0"/>
              <w:autoSpaceDN w:val="0"/>
              <w:adjustRightInd w:val="0"/>
              <w:spacing w:line="240" w:lineRule="auto"/>
              <w:textAlignment w:val="center"/>
              <w:rPr>
                <w:rFonts w:eastAsia="PMingLiU"/>
                <w:color w:val="000000"/>
                <w:szCs w:val="22"/>
                <w:lang w:eastAsia="en-US" w:bidi="ar-SA"/>
              </w:rPr>
            </w:pPr>
            <w:r>
              <w:rPr>
                <w:rFonts w:eastAsia="PMingLiU"/>
                <w:color w:val="000000"/>
                <w:szCs w:val="22"/>
                <w:lang w:eastAsia="en-US" w:bidi="ar-SA"/>
              </w:rPr>
              <w:t xml:space="preserve">Pentru ca injectarea să fie mai confortabilă, lăsaţi penul preumplut la temperatura camerei timp de </w:t>
            </w:r>
            <w:r>
              <w:rPr>
                <w:rFonts w:eastAsia="PMingLiU"/>
                <w:b/>
                <w:color w:val="000000"/>
                <w:szCs w:val="22"/>
                <w:lang w:eastAsia="en-US" w:bidi="ar-SA"/>
              </w:rPr>
              <w:t>15 – până la 30</w:t>
            </w:r>
            <w:r>
              <w:rPr>
                <w:rFonts w:eastAsia="PMingLiU"/>
                <w:color w:val="000000"/>
                <w:szCs w:val="22"/>
                <w:lang w:eastAsia="en-US" w:bidi="ar-SA"/>
              </w:rPr>
              <w:t xml:space="preserve"> de minute înainte de injectare.</w:t>
            </w:r>
          </w:p>
          <w:p w14:paraId="3FED7D17" w14:textId="77777777" w:rsidR="00C04CAD" w:rsidRDefault="00C04CAD">
            <w:pPr>
              <w:suppressAutoHyphens/>
              <w:autoSpaceDE w:val="0"/>
              <w:autoSpaceDN w:val="0"/>
              <w:adjustRightInd w:val="0"/>
              <w:spacing w:line="240" w:lineRule="auto"/>
              <w:textAlignment w:val="center"/>
              <w:rPr>
                <w:rFonts w:eastAsia="PMingLiU"/>
                <w:color w:val="000000"/>
                <w:szCs w:val="22"/>
                <w:lang w:eastAsia="en-US" w:bidi="ar-SA"/>
              </w:rPr>
            </w:pPr>
          </w:p>
        </w:tc>
      </w:tr>
      <w:tr w:rsidR="00C04CAD" w14:paraId="2C726759" w14:textId="77777777">
        <w:tc>
          <w:tcPr>
            <w:tcW w:w="303" w:type="pct"/>
            <w:tcBorders>
              <w:top w:val="nil"/>
              <w:bottom w:val="nil"/>
              <w:right w:val="nil"/>
            </w:tcBorders>
            <w:tcMar>
              <w:top w:w="28" w:type="dxa"/>
              <w:left w:w="57" w:type="dxa"/>
              <w:bottom w:w="28" w:type="dxa"/>
              <w:right w:w="57" w:type="dxa"/>
            </w:tcMar>
          </w:tcPr>
          <w:p w14:paraId="2278AE53" w14:textId="77777777" w:rsidR="00C04CAD" w:rsidRDefault="00060E34">
            <w:pPr>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0AC46C10"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introduceți penul preumplut înapoi în frigider după ce a ajuns la temperatura camerei.</w:t>
            </w:r>
          </w:p>
        </w:tc>
      </w:tr>
      <w:tr w:rsidR="00C04CAD" w14:paraId="65E036E9" w14:textId="77777777">
        <w:tc>
          <w:tcPr>
            <w:tcW w:w="303" w:type="pct"/>
            <w:tcBorders>
              <w:top w:val="nil"/>
              <w:bottom w:val="nil"/>
              <w:right w:val="nil"/>
            </w:tcBorders>
            <w:tcMar>
              <w:top w:w="28" w:type="dxa"/>
              <w:left w:w="57" w:type="dxa"/>
              <w:bottom w:w="28" w:type="dxa"/>
              <w:right w:w="57" w:type="dxa"/>
            </w:tcMar>
          </w:tcPr>
          <w:p w14:paraId="3BF38A63" w14:textId="77777777" w:rsidR="00C04CAD" w:rsidRDefault="00060E34">
            <w:pPr>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0910D5A1"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încercaţi să încălziţi penul preumplut folosind o sursă de căldură cum ar fi apă fierbinte sau cuptorul cu microunde.</w:t>
            </w:r>
          </w:p>
        </w:tc>
      </w:tr>
      <w:tr w:rsidR="00C04CAD" w14:paraId="0E4461B3" w14:textId="77777777">
        <w:tc>
          <w:tcPr>
            <w:tcW w:w="303" w:type="pct"/>
            <w:tcBorders>
              <w:top w:val="nil"/>
              <w:bottom w:val="nil"/>
              <w:right w:val="nil"/>
            </w:tcBorders>
            <w:tcMar>
              <w:top w:w="28" w:type="dxa"/>
              <w:left w:w="57" w:type="dxa"/>
              <w:bottom w:w="28" w:type="dxa"/>
              <w:right w:w="57" w:type="dxa"/>
            </w:tcMar>
          </w:tcPr>
          <w:p w14:paraId="65A7760A" w14:textId="77777777" w:rsidR="00C04CAD" w:rsidRDefault="00060E34">
            <w:pPr>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64683EF6" w14:textId="77777777" w:rsidR="00C04CAD" w:rsidRDefault="00060E34">
            <w:pPr>
              <w:tabs>
                <w:tab w:val="clear" w:pos="567"/>
              </w:tabs>
              <w:autoSpaceDE w:val="0"/>
              <w:autoSpaceDN w:val="0"/>
              <w:adjustRightInd w:val="0"/>
              <w:spacing w:line="240" w:lineRule="auto"/>
              <w:ind w:left="720" w:hanging="720"/>
              <w:rPr>
                <w:szCs w:val="22"/>
                <w:lang w:eastAsia="en-US" w:bidi="ar-SA"/>
              </w:rPr>
            </w:pPr>
            <w:r>
              <w:rPr>
                <w:b/>
                <w:bCs/>
                <w:szCs w:val="22"/>
                <w:lang w:eastAsia="en-US" w:bidi="ar-SA"/>
              </w:rPr>
              <w:t xml:space="preserve">Nu </w:t>
            </w:r>
            <w:r>
              <w:rPr>
                <w:szCs w:val="22"/>
                <w:lang w:eastAsia="en-US" w:bidi="ar-SA"/>
              </w:rPr>
              <w:t>agitaţi penul preumplut.</w:t>
            </w:r>
          </w:p>
        </w:tc>
      </w:tr>
      <w:tr w:rsidR="00C04CAD" w14:paraId="222F6862" w14:textId="77777777">
        <w:tc>
          <w:tcPr>
            <w:tcW w:w="303" w:type="pct"/>
            <w:tcBorders>
              <w:top w:val="nil"/>
              <w:right w:val="nil"/>
            </w:tcBorders>
            <w:tcMar>
              <w:top w:w="28" w:type="dxa"/>
              <w:left w:w="57" w:type="dxa"/>
              <w:bottom w:w="28" w:type="dxa"/>
              <w:right w:w="57" w:type="dxa"/>
            </w:tcMar>
          </w:tcPr>
          <w:p w14:paraId="7064CCF1" w14:textId="77777777" w:rsidR="00C04CAD" w:rsidRDefault="00060E34">
            <w:pPr>
              <w:tabs>
                <w:tab w:val="clear" w:pos="567"/>
                <w:tab w:val="left" w:pos="90"/>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tcBorders>
            <w:tcMar>
              <w:left w:w="0" w:type="dxa"/>
            </w:tcMar>
          </w:tcPr>
          <w:p w14:paraId="66172D3D"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detaşaţi deocamdată capacul de culoare galbenă de pe penul preumplut.</w:t>
            </w:r>
          </w:p>
        </w:tc>
      </w:tr>
    </w:tbl>
    <w:p w14:paraId="0FC44EAC"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76BE834D" w14:textId="77777777">
        <w:tc>
          <w:tcPr>
            <w:tcW w:w="303" w:type="pct"/>
            <w:tcMar>
              <w:top w:w="28" w:type="dxa"/>
              <w:left w:w="57" w:type="dxa"/>
              <w:bottom w:w="28" w:type="dxa"/>
              <w:right w:w="57" w:type="dxa"/>
            </w:tcMar>
          </w:tcPr>
          <w:p w14:paraId="790AD281" w14:textId="77777777" w:rsidR="00C04CAD" w:rsidRDefault="00060E34">
            <w:pPr>
              <w:autoSpaceDE w:val="0"/>
              <w:autoSpaceDN w:val="0"/>
              <w:adjustRightInd w:val="0"/>
              <w:spacing w:line="240" w:lineRule="auto"/>
              <w:textAlignment w:val="center"/>
              <w:rPr>
                <w:rFonts w:eastAsia="PMingLiU"/>
                <w:b/>
                <w:color w:val="000000"/>
                <w:szCs w:val="22"/>
                <w:lang w:eastAsia="en-US" w:bidi="ar-SA"/>
              </w:rPr>
            </w:pPr>
            <w:r>
              <w:rPr>
                <w:rFonts w:eastAsia="PMingLiU"/>
                <w:b/>
                <w:bCs/>
                <w:szCs w:val="22"/>
                <w:lang w:eastAsia="en-US" w:bidi="ar-SA"/>
              </w:rPr>
              <w:t>B.</w:t>
            </w:r>
          </w:p>
        </w:tc>
        <w:tc>
          <w:tcPr>
            <w:tcW w:w="4697" w:type="pct"/>
            <w:tcMar>
              <w:left w:w="57" w:type="dxa"/>
            </w:tcMar>
          </w:tcPr>
          <w:p w14:paraId="2F3A9DA5" w14:textId="77777777" w:rsidR="00C04CAD" w:rsidRDefault="00060E34">
            <w:pPr>
              <w:tabs>
                <w:tab w:val="clear" w:pos="567"/>
              </w:tabs>
              <w:autoSpaceDE w:val="0"/>
              <w:autoSpaceDN w:val="0"/>
              <w:adjustRightInd w:val="0"/>
              <w:spacing w:line="240" w:lineRule="auto"/>
              <w:rPr>
                <w:rFonts w:eastAsia="PMingLiU"/>
                <w:color w:val="000000"/>
                <w:szCs w:val="22"/>
                <w:lang w:eastAsia="en-US" w:bidi="ar-SA"/>
              </w:rPr>
            </w:pPr>
            <w:r>
              <w:rPr>
                <w:szCs w:val="22"/>
                <w:lang w:eastAsia="en-US" w:bidi="ar-SA"/>
              </w:rPr>
              <w:t>Inspectați AMGEVITA pen preumplut.</w:t>
            </w:r>
          </w:p>
        </w:tc>
      </w:tr>
      <w:tr w:rsidR="00C04CAD" w14:paraId="44874B20" w14:textId="77777777">
        <w:trPr>
          <w:trHeight w:val="1624"/>
        </w:trPr>
        <w:tc>
          <w:tcPr>
            <w:tcW w:w="5000" w:type="pct"/>
            <w:gridSpan w:val="2"/>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830"/>
              <w:gridCol w:w="2518"/>
              <w:gridCol w:w="4599"/>
            </w:tblGrid>
            <w:tr w:rsidR="00C04CAD" w14:paraId="36F0AB3B" w14:textId="77777777">
              <w:tc>
                <w:tcPr>
                  <w:tcW w:w="9107" w:type="dxa"/>
                  <w:gridSpan w:val="3"/>
                  <w:tcBorders>
                    <w:top w:val="nil"/>
                    <w:left w:val="nil"/>
                    <w:bottom w:val="nil"/>
                    <w:right w:val="nil"/>
                  </w:tcBorders>
                </w:tcPr>
                <w:p w14:paraId="05C0224E" w14:textId="77777777" w:rsidR="00C04CAD" w:rsidRDefault="00060E34">
                  <w:pPr>
                    <w:tabs>
                      <w:tab w:val="clear" w:pos="567"/>
                    </w:tabs>
                    <w:autoSpaceDE w:val="0"/>
                    <w:autoSpaceDN w:val="0"/>
                    <w:adjustRightInd w:val="0"/>
                    <w:spacing w:line="240" w:lineRule="auto"/>
                    <w:rPr>
                      <w:bCs/>
                      <w:szCs w:val="22"/>
                      <w:lang w:eastAsia="en-US" w:bidi="ar-SA"/>
                    </w:rPr>
                  </w:pPr>
                  <w:r>
                    <w:rPr>
                      <w:rFonts w:eastAsia="Calibri"/>
                      <w:noProof/>
                      <w:szCs w:val="22"/>
                      <w:lang w:val="en-US" w:eastAsia="zh-CN" w:bidi="ar-SA"/>
                    </w:rPr>
                    <w:drawing>
                      <wp:inline distT="0" distB="0" distL="0" distR="0" wp14:anchorId="2ED63C89" wp14:editId="6BDD0FA3">
                        <wp:extent cx="3387725" cy="914400"/>
                        <wp:effectExtent l="0" t="0" r="0" b="0"/>
                        <wp:docPr id="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387725" cy="914400"/>
                                </a:xfrm>
                                <a:prstGeom prst="rect">
                                  <a:avLst/>
                                </a:prstGeom>
                                <a:noFill/>
                                <a:ln>
                                  <a:noFill/>
                                </a:ln>
                              </pic:spPr>
                            </pic:pic>
                          </a:graphicData>
                        </a:graphic>
                      </wp:inline>
                    </w:drawing>
                  </w:r>
                </w:p>
              </w:tc>
            </w:tr>
            <w:tr w:rsidR="00C04CAD" w14:paraId="0D6D5201" w14:textId="77777777">
              <w:trPr>
                <w:trHeight w:val="106"/>
              </w:trPr>
              <w:tc>
                <w:tcPr>
                  <w:tcW w:w="1843" w:type="dxa"/>
                  <w:tcBorders>
                    <w:top w:val="nil"/>
                    <w:left w:val="nil"/>
                    <w:bottom w:val="nil"/>
                    <w:right w:val="nil"/>
                  </w:tcBorders>
                </w:tcPr>
                <w:p w14:paraId="49E5C64F" w14:textId="77777777" w:rsidR="00C04CAD" w:rsidRDefault="00060E34">
                  <w:pPr>
                    <w:tabs>
                      <w:tab w:val="clear" w:pos="567"/>
                    </w:tabs>
                    <w:autoSpaceDE w:val="0"/>
                    <w:autoSpaceDN w:val="0"/>
                    <w:adjustRightInd w:val="0"/>
                    <w:spacing w:line="240" w:lineRule="auto"/>
                    <w:rPr>
                      <w:bCs/>
                      <w:szCs w:val="22"/>
                      <w:lang w:eastAsia="en-US" w:bidi="ar-SA"/>
                    </w:rPr>
                  </w:pPr>
                  <w:r>
                    <w:rPr>
                      <w:rFonts w:eastAsia="PMingLiU"/>
                      <w:bCs/>
                      <w:szCs w:val="22"/>
                      <w:lang w:eastAsia="en-US" w:bidi="ar-SA"/>
                    </w:rPr>
                    <w:t>Capac galben ataşat</w:t>
                  </w:r>
                </w:p>
              </w:tc>
              <w:tc>
                <w:tcPr>
                  <w:tcW w:w="2552" w:type="dxa"/>
                  <w:tcBorders>
                    <w:top w:val="nil"/>
                    <w:left w:val="nil"/>
                    <w:bottom w:val="nil"/>
                    <w:right w:val="nil"/>
                  </w:tcBorders>
                </w:tcPr>
                <w:p w14:paraId="0EF5904E" w14:textId="77777777" w:rsidR="00C04CAD" w:rsidRDefault="00060E34">
                  <w:pPr>
                    <w:tabs>
                      <w:tab w:val="clear" w:pos="567"/>
                    </w:tabs>
                    <w:autoSpaceDE w:val="0"/>
                    <w:autoSpaceDN w:val="0"/>
                    <w:adjustRightInd w:val="0"/>
                    <w:spacing w:line="240" w:lineRule="auto"/>
                    <w:jc w:val="center"/>
                    <w:rPr>
                      <w:bCs/>
                      <w:szCs w:val="22"/>
                      <w:lang w:eastAsia="en-US" w:bidi="ar-SA"/>
                    </w:rPr>
                  </w:pPr>
                  <w:r>
                    <w:rPr>
                      <w:rFonts w:eastAsia="PMingLiU"/>
                      <w:bCs/>
                      <w:szCs w:val="22"/>
                      <w:lang w:eastAsia="en-US" w:bidi="ar-SA"/>
                    </w:rPr>
                    <w:t>Fereastră</w:t>
                  </w:r>
                </w:p>
              </w:tc>
              <w:tc>
                <w:tcPr>
                  <w:tcW w:w="4712" w:type="dxa"/>
                  <w:tcBorders>
                    <w:top w:val="nil"/>
                    <w:left w:val="nil"/>
                    <w:bottom w:val="nil"/>
                    <w:right w:val="nil"/>
                  </w:tcBorders>
                </w:tcPr>
                <w:p w14:paraId="7DADBE60" w14:textId="77777777" w:rsidR="00C04CAD" w:rsidRDefault="00060E34">
                  <w:pPr>
                    <w:tabs>
                      <w:tab w:val="clear" w:pos="567"/>
                    </w:tabs>
                    <w:autoSpaceDE w:val="0"/>
                    <w:autoSpaceDN w:val="0"/>
                    <w:adjustRightInd w:val="0"/>
                    <w:spacing w:line="240" w:lineRule="auto"/>
                    <w:rPr>
                      <w:bCs/>
                      <w:szCs w:val="22"/>
                      <w:lang w:eastAsia="en-US" w:bidi="ar-SA"/>
                    </w:rPr>
                  </w:pPr>
                  <w:r>
                    <w:rPr>
                      <w:rFonts w:eastAsia="PMingLiU"/>
                      <w:bCs/>
                      <w:szCs w:val="22"/>
                      <w:lang w:eastAsia="en-US" w:bidi="ar-SA"/>
                    </w:rPr>
                    <w:t>Medicament</w:t>
                  </w:r>
                </w:p>
              </w:tc>
            </w:tr>
          </w:tbl>
          <w:p w14:paraId="35EF9DD8" w14:textId="77777777" w:rsidR="00C04CAD" w:rsidRDefault="00C04CAD">
            <w:pPr>
              <w:tabs>
                <w:tab w:val="clear" w:pos="567"/>
              </w:tabs>
              <w:autoSpaceDE w:val="0"/>
              <w:autoSpaceDN w:val="0"/>
              <w:adjustRightInd w:val="0"/>
              <w:spacing w:line="240" w:lineRule="auto"/>
              <w:rPr>
                <w:bCs/>
                <w:szCs w:val="22"/>
                <w:lang w:eastAsia="en-US" w:bidi="ar-SA"/>
              </w:rPr>
            </w:pPr>
          </w:p>
        </w:tc>
      </w:tr>
      <w:tr w:rsidR="00C04CAD" w14:paraId="100144B5" w14:textId="77777777">
        <w:tc>
          <w:tcPr>
            <w:tcW w:w="5000" w:type="pct"/>
            <w:gridSpan w:val="2"/>
            <w:tcBorders>
              <w:top w:val="nil"/>
              <w:bottom w:val="nil"/>
            </w:tcBorders>
            <w:tcMar>
              <w:top w:w="28" w:type="dxa"/>
              <w:left w:w="57" w:type="dxa"/>
              <w:bottom w:w="28" w:type="dxa"/>
              <w:right w:w="57" w:type="dxa"/>
            </w:tcMar>
          </w:tcPr>
          <w:p w14:paraId="1559D46F" w14:textId="77777777" w:rsidR="00C04CAD" w:rsidRDefault="00060E34">
            <w:pPr>
              <w:tabs>
                <w:tab w:val="clear" w:pos="567"/>
              </w:tabs>
              <w:autoSpaceDE w:val="0"/>
              <w:autoSpaceDN w:val="0"/>
              <w:adjustRightInd w:val="0"/>
              <w:spacing w:line="240" w:lineRule="auto"/>
              <w:rPr>
                <w:b/>
                <w:bCs/>
                <w:szCs w:val="22"/>
                <w:lang w:eastAsia="en-US" w:bidi="ar-SA"/>
              </w:rPr>
            </w:pPr>
            <w:r>
              <w:rPr>
                <w:b/>
                <w:bCs/>
                <w:szCs w:val="22"/>
                <w:lang w:eastAsia="en-US" w:bidi="ar-SA"/>
              </w:rPr>
              <w:t>Asiguraţi-vă că medicamentul vizibil prin fereastră este limpede şi de la incolor la ușor gălbui.</w:t>
            </w:r>
          </w:p>
          <w:p w14:paraId="32375694" w14:textId="77777777" w:rsidR="00C04CAD" w:rsidRDefault="00C04CAD">
            <w:pPr>
              <w:tabs>
                <w:tab w:val="clear" w:pos="567"/>
              </w:tabs>
              <w:autoSpaceDE w:val="0"/>
              <w:autoSpaceDN w:val="0"/>
              <w:adjustRightInd w:val="0"/>
              <w:spacing w:line="240" w:lineRule="auto"/>
              <w:rPr>
                <w:bCs/>
                <w:szCs w:val="22"/>
                <w:lang w:eastAsia="en-US" w:bidi="ar-SA"/>
              </w:rPr>
            </w:pPr>
          </w:p>
        </w:tc>
      </w:tr>
      <w:tr w:rsidR="00C04CAD" w14:paraId="1FC1ED32" w14:textId="77777777">
        <w:tc>
          <w:tcPr>
            <w:tcW w:w="303" w:type="pct"/>
            <w:tcBorders>
              <w:top w:val="nil"/>
              <w:bottom w:val="nil"/>
              <w:right w:val="nil"/>
            </w:tcBorders>
            <w:tcMar>
              <w:top w:w="28" w:type="dxa"/>
              <w:left w:w="57" w:type="dxa"/>
              <w:bottom w:w="28" w:type="dxa"/>
              <w:right w:w="57" w:type="dxa"/>
            </w:tcMar>
          </w:tcPr>
          <w:p w14:paraId="1BB59E89"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218FABE3"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b/>
                <w:bCs/>
                <w:color w:val="000000"/>
                <w:szCs w:val="22"/>
                <w:lang w:eastAsia="en-GB" w:bidi="ar-SA"/>
              </w:rPr>
              <w:t>Nu</w:t>
            </w:r>
            <w:r>
              <w:rPr>
                <w:rFonts w:eastAsia="PMingLiU"/>
                <w:color w:val="000000"/>
                <w:szCs w:val="22"/>
                <w:lang w:eastAsia="en-GB" w:bidi="ar-SA"/>
              </w:rPr>
              <w:t xml:space="preserve"> utilizaţi penul preumplut dacă:</w:t>
            </w:r>
          </w:p>
        </w:tc>
      </w:tr>
      <w:tr w:rsidR="00C04CAD" w14:paraId="7A1C7B12" w14:textId="77777777">
        <w:tc>
          <w:tcPr>
            <w:tcW w:w="303" w:type="pct"/>
            <w:tcBorders>
              <w:top w:val="nil"/>
              <w:bottom w:val="nil"/>
              <w:right w:val="nil"/>
            </w:tcBorders>
            <w:tcMar>
              <w:top w:w="28" w:type="dxa"/>
              <w:left w:w="57" w:type="dxa"/>
              <w:bottom w:w="28" w:type="dxa"/>
              <w:right w:w="57" w:type="dxa"/>
            </w:tcMar>
          </w:tcPr>
          <w:p w14:paraId="6DB566CF" w14:textId="77777777" w:rsidR="00C04CAD" w:rsidRDefault="00C04CAD">
            <w:pPr>
              <w:spacing w:line="240" w:lineRule="auto"/>
              <w:rPr>
                <w:rFonts w:eastAsia="PMingLiU"/>
                <w:color w:val="000000"/>
                <w:szCs w:val="22"/>
                <w:lang w:eastAsia="en-US" w:bidi="ar-SA"/>
              </w:rPr>
            </w:pPr>
          </w:p>
        </w:tc>
        <w:tc>
          <w:tcPr>
            <w:tcW w:w="4697" w:type="pct"/>
            <w:tcBorders>
              <w:top w:val="nil"/>
              <w:left w:val="nil"/>
              <w:bottom w:val="nil"/>
            </w:tcBorders>
            <w:tcMar>
              <w:left w:w="57" w:type="dxa"/>
            </w:tcMar>
          </w:tcPr>
          <w:p w14:paraId="6336169F" w14:textId="77777777" w:rsidR="00C04CAD" w:rsidRDefault="00060E34">
            <w:pPr>
              <w:numPr>
                <w:ilvl w:val="0"/>
                <w:numId w:val="66"/>
              </w:numPr>
              <w:tabs>
                <w:tab w:val="clear" w:pos="567"/>
              </w:tabs>
              <w:autoSpaceDE w:val="0"/>
              <w:autoSpaceDN w:val="0"/>
              <w:adjustRightInd w:val="0"/>
              <w:spacing w:line="240" w:lineRule="auto"/>
              <w:ind w:left="567" w:hanging="567"/>
              <w:contextualSpacing/>
              <w:rPr>
                <w:rFonts w:eastAsia="PMingLiU"/>
                <w:szCs w:val="22"/>
                <w:lang w:eastAsia="en-GB" w:bidi="ar-SA"/>
              </w:rPr>
            </w:pPr>
            <w:r>
              <w:rPr>
                <w:rFonts w:eastAsia="PMingLiU"/>
                <w:szCs w:val="22"/>
                <w:lang w:eastAsia="en-GB" w:bidi="ar-SA"/>
              </w:rPr>
              <w:t>Medicamenul este tulbure sau prezintă modificări de culoare sau conţine flocoane sau particule.</w:t>
            </w:r>
          </w:p>
          <w:p w14:paraId="2D0EC2AE" w14:textId="77777777" w:rsidR="00C04CAD" w:rsidRDefault="00060E34">
            <w:pPr>
              <w:numPr>
                <w:ilvl w:val="0"/>
                <w:numId w:val="66"/>
              </w:numPr>
              <w:tabs>
                <w:tab w:val="clear" w:pos="567"/>
              </w:tabs>
              <w:autoSpaceDE w:val="0"/>
              <w:autoSpaceDN w:val="0"/>
              <w:adjustRightInd w:val="0"/>
              <w:spacing w:line="240" w:lineRule="auto"/>
              <w:ind w:left="567" w:hanging="567"/>
              <w:contextualSpacing/>
              <w:rPr>
                <w:rFonts w:eastAsia="PMingLiU"/>
                <w:szCs w:val="22"/>
                <w:lang w:eastAsia="en-GB" w:bidi="ar-SA"/>
              </w:rPr>
            </w:pPr>
            <w:r>
              <w:rPr>
                <w:rFonts w:eastAsia="PMingLiU"/>
                <w:szCs w:val="22"/>
                <w:lang w:eastAsia="en-GB" w:bidi="ar-SA"/>
              </w:rPr>
              <w:t>Oricare din componente apare crăpată sau spartă.</w:t>
            </w:r>
          </w:p>
          <w:p w14:paraId="2A4F5CC9" w14:textId="77777777" w:rsidR="00C04CAD" w:rsidRDefault="00060E34">
            <w:pPr>
              <w:numPr>
                <w:ilvl w:val="0"/>
                <w:numId w:val="66"/>
              </w:numPr>
              <w:tabs>
                <w:tab w:val="clear" w:pos="567"/>
              </w:tabs>
              <w:autoSpaceDE w:val="0"/>
              <w:autoSpaceDN w:val="0"/>
              <w:adjustRightInd w:val="0"/>
              <w:spacing w:line="240" w:lineRule="auto"/>
              <w:ind w:left="567" w:hanging="567"/>
              <w:contextualSpacing/>
              <w:rPr>
                <w:rFonts w:eastAsia="PMingLiU"/>
                <w:szCs w:val="22"/>
                <w:lang w:eastAsia="en-GB" w:bidi="ar-SA"/>
              </w:rPr>
            </w:pPr>
            <w:r>
              <w:rPr>
                <w:rFonts w:eastAsia="PMingLiU"/>
                <w:szCs w:val="22"/>
                <w:lang w:eastAsia="en-GB" w:bidi="ar-SA"/>
              </w:rPr>
              <w:t>Penul preumplut a fost lovit prin cădere pe o suprafaţă dură.</w:t>
            </w:r>
          </w:p>
          <w:p w14:paraId="41A7611D" w14:textId="77777777" w:rsidR="00C04CAD" w:rsidRDefault="00060E34">
            <w:pPr>
              <w:numPr>
                <w:ilvl w:val="0"/>
                <w:numId w:val="66"/>
              </w:numPr>
              <w:tabs>
                <w:tab w:val="clear" w:pos="567"/>
              </w:tabs>
              <w:autoSpaceDE w:val="0"/>
              <w:autoSpaceDN w:val="0"/>
              <w:adjustRightInd w:val="0"/>
              <w:spacing w:line="240" w:lineRule="auto"/>
              <w:ind w:left="567" w:hanging="567"/>
              <w:contextualSpacing/>
              <w:rPr>
                <w:rFonts w:eastAsia="PMingLiU"/>
                <w:szCs w:val="22"/>
                <w:lang w:eastAsia="en-GB" w:bidi="ar-SA"/>
              </w:rPr>
            </w:pPr>
            <w:r>
              <w:rPr>
                <w:rFonts w:eastAsia="PMingLiU"/>
                <w:szCs w:val="22"/>
                <w:lang w:eastAsia="en-GB" w:bidi="ar-SA"/>
              </w:rPr>
              <w:t>Capacul de culoare galbenă lipseşte sau nu este ataşat ferm.</w:t>
            </w:r>
          </w:p>
          <w:p w14:paraId="4D45640F" w14:textId="77777777" w:rsidR="00C04CAD" w:rsidRDefault="00060E34">
            <w:pPr>
              <w:numPr>
                <w:ilvl w:val="0"/>
                <w:numId w:val="66"/>
              </w:numPr>
              <w:tabs>
                <w:tab w:val="clear" w:pos="567"/>
              </w:tabs>
              <w:autoSpaceDE w:val="0"/>
              <w:autoSpaceDN w:val="0"/>
              <w:adjustRightInd w:val="0"/>
              <w:spacing w:line="240" w:lineRule="auto"/>
              <w:ind w:left="567" w:hanging="567"/>
              <w:contextualSpacing/>
              <w:rPr>
                <w:rFonts w:eastAsia="PMingLiU"/>
                <w:szCs w:val="22"/>
                <w:lang w:eastAsia="en-GB" w:bidi="ar-SA"/>
              </w:rPr>
            </w:pPr>
            <w:r>
              <w:rPr>
                <w:rFonts w:eastAsia="PMingLiU"/>
                <w:szCs w:val="22"/>
                <w:lang w:eastAsia="en-GB" w:bidi="ar-SA"/>
              </w:rPr>
              <w:t>Data expirării de pe etichetă este depăşită.</w:t>
            </w:r>
          </w:p>
        </w:tc>
      </w:tr>
      <w:tr w:rsidR="00C04CAD" w14:paraId="71A81A01" w14:textId="77777777">
        <w:tc>
          <w:tcPr>
            <w:tcW w:w="5000" w:type="pct"/>
            <w:gridSpan w:val="2"/>
            <w:tcBorders>
              <w:top w:val="nil"/>
            </w:tcBorders>
            <w:tcMar>
              <w:top w:w="28" w:type="dxa"/>
              <w:left w:w="57" w:type="dxa"/>
              <w:bottom w:w="28" w:type="dxa"/>
              <w:right w:w="57" w:type="dxa"/>
            </w:tcMar>
          </w:tcPr>
          <w:p w14:paraId="31AA69C3" w14:textId="77777777" w:rsidR="00C04CAD" w:rsidRDefault="00060E34">
            <w:pPr>
              <w:tabs>
                <w:tab w:val="clear" w:pos="567"/>
              </w:tabs>
              <w:spacing w:line="240" w:lineRule="auto"/>
              <w:ind w:right="-46"/>
              <w:rPr>
                <w:color w:val="231F20"/>
                <w:szCs w:val="22"/>
                <w:lang w:eastAsia="ja-JP" w:bidi="ar-SA"/>
              </w:rPr>
            </w:pPr>
            <w:r>
              <w:rPr>
                <w:rFonts w:eastAsia="PMingLiU"/>
                <w:color w:val="000000"/>
                <w:szCs w:val="22"/>
                <w:lang w:eastAsia="ja-JP" w:bidi="ar-SA"/>
              </w:rPr>
              <w:t>În toate aceste situaţii, utilizaţi un pen preumplut nou</w:t>
            </w:r>
            <w:r>
              <w:rPr>
                <w:color w:val="000000"/>
                <w:szCs w:val="22"/>
                <w:lang w:eastAsia="ja-JP" w:bidi="ar-SA"/>
              </w:rPr>
              <w:t>.</w:t>
            </w:r>
          </w:p>
        </w:tc>
      </w:tr>
    </w:tbl>
    <w:p w14:paraId="58FA9318"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C04CAD" w14:paraId="51907369" w14:textId="77777777">
        <w:tc>
          <w:tcPr>
            <w:tcW w:w="303" w:type="pct"/>
            <w:tcMar>
              <w:top w:w="28" w:type="dxa"/>
              <w:left w:w="57" w:type="dxa"/>
              <w:bottom w:w="28" w:type="dxa"/>
              <w:right w:w="57" w:type="dxa"/>
            </w:tcMar>
          </w:tcPr>
          <w:p w14:paraId="1FE9EDF1" w14:textId="77777777" w:rsidR="00C04CAD" w:rsidRDefault="00060E34">
            <w:pPr>
              <w:keepNext/>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bCs/>
                <w:szCs w:val="22"/>
                <w:lang w:eastAsia="en-US" w:bidi="ar-SA"/>
              </w:rPr>
              <w:t>C.</w:t>
            </w:r>
          </w:p>
        </w:tc>
        <w:tc>
          <w:tcPr>
            <w:tcW w:w="4697" w:type="pct"/>
            <w:tcMar>
              <w:left w:w="57" w:type="dxa"/>
            </w:tcMar>
          </w:tcPr>
          <w:p w14:paraId="6C59F171" w14:textId="77777777" w:rsidR="00C04CAD" w:rsidRDefault="00060E34">
            <w:pPr>
              <w:keepNext/>
              <w:tabs>
                <w:tab w:val="clear" w:pos="567"/>
              </w:tabs>
              <w:suppressAutoHyphens/>
              <w:autoSpaceDE w:val="0"/>
              <w:autoSpaceDN w:val="0"/>
              <w:adjustRightInd w:val="0"/>
              <w:spacing w:line="240" w:lineRule="auto"/>
              <w:textAlignment w:val="center"/>
              <w:rPr>
                <w:rFonts w:eastAsia="PMingLiU"/>
                <w:bCs/>
                <w:color w:val="000000"/>
                <w:szCs w:val="22"/>
                <w:lang w:eastAsia="ja-JP" w:bidi="ar-SA"/>
              </w:rPr>
            </w:pPr>
            <w:r>
              <w:rPr>
                <w:rFonts w:eastAsia="PMingLiU"/>
                <w:bCs/>
                <w:color w:val="000000"/>
                <w:szCs w:val="22"/>
                <w:lang w:eastAsia="ja-JP" w:bidi="ar-SA"/>
              </w:rPr>
              <w:t>Adunaţi toate materialele care vă sunt necesare pentru administrarea injecţiei.</w:t>
            </w:r>
          </w:p>
        </w:tc>
      </w:tr>
      <w:tr w:rsidR="00C04CAD" w14:paraId="180AB998" w14:textId="77777777">
        <w:trPr>
          <w:trHeight w:val="541"/>
        </w:trPr>
        <w:tc>
          <w:tcPr>
            <w:tcW w:w="5000" w:type="pct"/>
            <w:gridSpan w:val="2"/>
            <w:tcBorders>
              <w:bottom w:val="nil"/>
            </w:tcBorders>
            <w:tcMar>
              <w:top w:w="28" w:type="dxa"/>
              <w:left w:w="57" w:type="dxa"/>
              <w:bottom w:w="28" w:type="dxa"/>
              <w:right w:w="57" w:type="dxa"/>
            </w:tcMar>
          </w:tcPr>
          <w:p w14:paraId="2DA86A9F" w14:textId="77777777" w:rsidR="00C04CAD" w:rsidRDefault="00060E34">
            <w:pPr>
              <w:keepNext/>
              <w:spacing w:line="240" w:lineRule="auto"/>
              <w:rPr>
                <w:rFonts w:eastAsia="PMingLiU"/>
                <w:szCs w:val="22"/>
                <w:lang w:eastAsia="en-US" w:bidi="ar-SA"/>
              </w:rPr>
            </w:pPr>
            <w:r>
              <w:rPr>
                <w:rFonts w:eastAsia="PMingLiU"/>
                <w:szCs w:val="22"/>
                <w:lang w:eastAsia="en-US" w:bidi="ar-SA"/>
              </w:rPr>
              <w:t>Spălaţi-vă bine pe mâini cu apă şi săpun.</w:t>
            </w:r>
          </w:p>
          <w:p w14:paraId="310F29AF" w14:textId="77777777" w:rsidR="00C04CAD" w:rsidRDefault="00060E34">
            <w:pPr>
              <w:keepNext/>
              <w:spacing w:line="240" w:lineRule="auto"/>
              <w:rPr>
                <w:rFonts w:eastAsia="PMingLiU"/>
                <w:szCs w:val="22"/>
                <w:lang w:eastAsia="en-US" w:bidi="ar-SA"/>
              </w:rPr>
            </w:pPr>
            <w:r>
              <w:rPr>
                <w:rFonts w:eastAsia="PMingLiU"/>
                <w:szCs w:val="22"/>
                <w:lang w:eastAsia="en-US" w:bidi="ar-SA"/>
              </w:rPr>
              <w:t>Aşezaţi un pen preumplut nou pe o suprafaţă de lucru curată, bine iluminată.</w:t>
            </w:r>
          </w:p>
          <w:p w14:paraId="2DBEE2D6" w14:textId="77777777" w:rsidR="00C04CAD" w:rsidRDefault="00C04CAD">
            <w:pPr>
              <w:keepNext/>
              <w:spacing w:line="240" w:lineRule="auto"/>
              <w:rPr>
                <w:rFonts w:eastAsia="PMingLiU"/>
                <w:szCs w:val="22"/>
                <w:lang w:eastAsia="en-US" w:bidi="ar-SA"/>
              </w:rPr>
            </w:pPr>
          </w:p>
          <w:p w14:paraId="0F10F16E" w14:textId="77777777" w:rsidR="00C04CAD" w:rsidRDefault="00060E34">
            <w:pPr>
              <w:keepNext/>
              <w:spacing w:line="240" w:lineRule="auto"/>
              <w:rPr>
                <w:rFonts w:eastAsia="PMingLiU"/>
                <w:szCs w:val="22"/>
                <w:lang w:eastAsia="en-US" w:bidi="ar-SA"/>
              </w:rPr>
            </w:pPr>
            <w:r>
              <w:rPr>
                <w:rFonts w:eastAsia="PMingLiU"/>
                <w:szCs w:val="22"/>
                <w:lang w:eastAsia="en-US" w:bidi="ar-SA"/>
              </w:rPr>
              <w:t>Veţi avea nevoie de aceste materiale suplimentare, care nu se găsesc în cutia de ambalaj a medicamentului:</w:t>
            </w:r>
          </w:p>
        </w:tc>
      </w:tr>
      <w:tr w:rsidR="00C04CAD" w14:paraId="44968228" w14:textId="77777777">
        <w:tc>
          <w:tcPr>
            <w:tcW w:w="303" w:type="pct"/>
            <w:tcBorders>
              <w:top w:val="nil"/>
              <w:bottom w:val="nil"/>
              <w:right w:val="nil"/>
            </w:tcBorders>
            <w:tcMar>
              <w:top w:w="28" w:type="dxa"/>
              <w:left w:w="57" w:type="dxa"/>
              <w:bottom w:w="28" w:type="dxa"/>
              <w:right w:w="57" w:type="dxa"/>
            </w:tcMar>
          </w:tcPr>
          <w:p w14:paraId="6E7EAB45" w14:textId="77777777" w:rsidR="00C04CAD" w:rsidRDefault="00060E34">
            <w:pPr>
              <w:keepNext/>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0C7D78F8" w14:textId="77777777" w:rsidR="00C04CAD" w:rsidRDefault="00060E34">
            <w:pPr>
              <w:keepNext/>
              <w:tabs>
                <w:tab w:val="clear" w:pos="567"/>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Tampoane cu alcool</w:t>
            </w:r>
          </w:p>
        </w:tc>
      </w:tr>
      <w:tr w:rsidR="00C04CAD" w14:paraId="22623985" w14:textId="77777777">
        <w:tc>
          <w:tcPr>
            <w:tcW w:w="303" w:type="pct"/>
            <w:tcBorders>
              <w:top w:val="nil"/>
              <w:bottom w:val="nil"/>
              <w:right w:val="nil"/>
            </w:tcBorders>
            <w:tcMar>
              <w:top w:w="28" w:type="dxa"/>
              <w:left w:w="57" w:type="dxa"/>
              <w:bottom w:w="28" w:type="dxa"/>
              <w:right w:w="57" w:type="dxa"/>
            </w:tcMar>
          </w:tcPr>
          <w:p w14:paraId="5D0C1DFC" w14:textId="77777777" w:rsidR="00C04CAD" w:rsidRDefault="00060E34">
            <w:pPr>
              <w:keepNext/>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34E72424" w14:textId="77777777" w:rsidR="00C04CAD" w:rsidRDefault="00060E34">
            <w:pPr>
              <w:keepNext/>
              <w:tabs>
                <w:tab w:val="clear" w:pos="567"/>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Tampon de vată sau compresă din tifon</w:t>
            </w:r>
          </w:p>
        </w:tc>
      </w:tr>
      <w:tr w:rsidR="00C04CAD" w14:paraId="50833D74" w14:textId="77777777">
        <w:tc>
          <w:tcPr>
            <w:tcW w:w="303" w:type="pct"/>
            <w:tcBorders>
              <w:top w:val="nil"/>
              <w:bottom w:val="nil"/>
              <w:right w:val="nil"/>
            </w:tcBorders>
            <w:tcMar>
              <w:top w:w="28" w:type="dxa"/>
              <w:left w:w="57" w:type="dxa"/>
              <w:bottom w:w="28" w:type="dxa"/>
              <w:right w:w="57" w:type="dxa"/>
            </w:tcMar>
          </w:tcPr>
          <w:p w14:paraId="2D455EE3" w14:textId="77777777" w:rsidR="00C04CAD" w:rsidRDefault="00060E34">
            <w:pPr>
              <w:keepNext/>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5955ED73" w14:textId="77777777" w:rsidR="00C04CAD" w:rsidRDefault="00060E34">
            <w:pPr>
              <w:keepNext/>
              <w:tabs>
                <w:tab w:val="clear" w:pos="567"/>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Plasture</w:t>
            </w:r>
          </w:p>
        </w:tc>
      </w:tr>
      <w:tr w:rsidR="00C04CAD" w14:paraId="46689CD5" w14:textId="77777777">
        <w:tc>
          <w:tcPr>
            <w:tcW w:w="303" w:type="pct"/>
            <w:tcBorders>
              <w:top w:val="nil"/>
              <w:bottom w:val="nil"/>
              <w:right w:val="nil"/>
            </w:tcBorders>
            <w:tcMar>
              <w:top w:w="28" w:type="dxa"/>
              <w:left w:w="57" w:type="dxa"/>
              <w:bottom w:w="28" w:type="dxa"/>
              <w:right w:w="57" w:type="dxa"/>
            </w:tcMar>
          </w:tcPr>
          <w:p w14:paraId="55D95B76" w14:textId="77777777" w:rsidR="00C04CAD" w:rsidRDefault="00060E34">
            <w:pPr>
              <w:keepNext/>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0E96B348" w14:textId="77777777" w:rsidR="00C04CAD" w:rsidRDefault="00060E34">
            <w:pPr>
              <w:keepNext/>
              <w:tabs>
                <w:tab w:val="clear" w:pos="567"/>
              </w:tabs>
              <w:suppressAutoHyphen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Recipient pentru eliminarea obiectelor ascuţite</w:t>
            </w:r>
          </w:p>
        </w:tc>
      </w:tr>
      <w:tr w:rsidR="00C04CAD" w14:paraId="6EA821E9" w14:textId="77777777">
        <w:tc>
          <w:tcPr>
            <w:tcW w:w="5000" w:type="pct"/>
            <w:gridSpan w:val="2"/>
            <w:tcBorders>
              <w:top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C04CAD" w14:paraId="70A59441" w14:textId="77777777">
              <w:tc>
                <w:tcPr>
                  <w:tcW w:w="2830" w:type="dxa"/>
                  <w:tcBorders>
                    <w:top w:val="nil"/>
                    <w:left w:val="nil"/>
                    <w:bottom w:val="nil"/>
                    <w:right w:val="nil"/>
                  </w:tcBorders>
                  <w:vAlign w:val="center"/>
                </w:tcPr>
                <w:p w14:paraId="365582C1" w14:textId="77777777" w:rsidR="00C04CAD" w:rsidRDefault="00060E34">
                  <w:pPr>
                    <w:keepNext/>
                    <w:tabs>
                      <w:tab w:val="clear" w:pos="567"/>
                    </w:tabs>
                    <w:spacing w:line="240" w:lineRule="auto"/>
                    <w:ind w:right="-46"/>
                    <w:jc w:val="center"/>
                    <w:rPr>
                      <w:color w:val="231F20"/>
                      <w:szCs w:val="22"/>
                      <w:lang w:eastAsia="ja-JP" w:bidi="ar-SA"/>
                    </w:rPr>
                  </w:pPr>
                  <w:r>
                    <w:rPr>
                      <w:noProof/>
                      <w:szCs w:val="22"/>
                      <w:lang w:val="en-US" w:eastAsia="zh-CN" w:bidi="ar-SA"/>
                    </w:rPr>
                    <w:drawing>
                      <wp:inline distT="0" distB="0" distL="0" distR="0" wp14:anchorId="1AADBF14" wp14:editId="1688143F">
                        <wp:extent cx="1537970" cy="290830"/>
                        <wp:effectExtent l="0" t="0" r="0" b="0"/>
                        <wp:docPr id="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537970" cy="290830"/>
                                </a:xfrm>
                                <a:prstGeom prst="rect">
                                  <a:avLst/>
                                </a:prstGeom>
                                <a:noFill/>
                                <a:ln>
                                  <a:noFill/>
                                </a:ln>
                              </pic:spPr>
                            </pic:pic>
                          </a:graphicData>
                        </a:graphic>
                      </wp:inline>
                    </w:drawing>
                  </w:r>
                </w:p>
              </w:tc>
              <w:tc>
                <w:tcPr>
                  <w:tcW w:w="6237" w:type="dxa"/>
                  <w:tcBorders>
                    <w:top w:val="nil"/>
                    <w:left w:val="nil"/>
                    <w:bottom w:val="nil"/>
                    <w:right w:val="nil"/>
                  </w:tcBorders>
                </w:tcPr>
                <w:p w14:paraId="0985E4C2" w14:textId="77777777" w:rsidR="00C04CAD" w:rsidRDefault="00060E34">
                  <w:pPr>
                    <w:keepNext/>
                    <w:tabs>
                      <w:tab w:val="clear" w:pos="567"/>
                    </w:tabs>
                    <w:spacing w:line="240" w:lineRule="auto"/>
                    <w:ind w:right="-46"/>
                    <w:rPr>
                      <w:color w:val="231F20"/>
                      <w:szCs w:val="22"/>
                      <w:lang w:eastAsia="ja-JP" w:bidi="ar-SA"/>
                    </w:rPr>
                  </w:pPr>
                  <w:r>
                    <w:rPr>
                      <w:noProof/>
                      <w:szCs w:val="22"/>
                      <w:lang w:val="en-US" w:eastAsia="zh-CN" w:bidi="ar-SA"/>
                    </w:rPr>
                    <w:drawing>
                      <wp:inline distT="0" distB="0" distL="0" distR="0" wp14:anchorId="7D7D6E47" wp14:editId="3AB3073E">
                        <wp:extent cx="1828800" cy="1101725"/>
                        <wp:effectExtent l="0" t="0" r="0" b="0"/>
                        <wp:docPr id="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828800" cy="1101725"/>
                                </a:xfrm>
                                <a:prstGeom prst="rect">
                                  <a:avLst/>
                                </a:prstGeom>
                                <a:noFill/>
                                <a:ln>
                                  <a:noFill/>
                                </a:ln>
                              </pic:spPr>
                            </pic:pic>
                          </a:graphicData>
                        </a:graphic>
                      </wp:inline>
                    </w:drawing>
                  </w:r>
                </w:p>
              </w:tc>
            </w:tr>
          </w:tbl>
          <w:p w14:paraId="1B358125" w14:textId="77777777" w:rsidR="00C04CAD" w:rsidRDefault="00C04CAD">
            <w:pPr>
              <w:keepNext/>
              <w:tabs>
                <w:tab w:val="clear" w:pos="567"/>
              </w:tabs>
              <w:spacing w:line="240" w:lineRule="auto"/>
              <w:ind w:right="-46"/>
              <w:rPr>
                <w:color w:val="231F20"/>
                <w:szCs w:val="22"/>
                <w:lang w:eastAsia="ja-JP" w:bidi="ar-SA"/>
              </w:rPr>
            </w:pPr>
          </w:p>
        </w:tc>
      </w:tr>
    </w:tbl>
    <w:p w14:paraId="4329CDB2"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047EC7DC" w14:textId="77777777">
        <w:tc>
          <w:tcPr>
            <w:tcW w:w="303" w:type="pct"/>
            <w:tcMar>
              <w:top w:w="28" w:type="dxa"/>
              <w:left w:w="57" w:type="dxa"/>
              <w:bottom w:w="28" w:type="dxa"/>
              <w:right w:w="57" w:type="dxa"/>
            </w:tcMar>
          </w:tcPr>
          <w:p w14:paraId="35C50ECA" w14:textId="77777777" w:rsidR="00C04CAD" w:rsidRDefault="00060E34">
            <w:pPr>
              <w:autoSpaceDE w:val="0"/>
              <w:autoSpaceDN w:val="0"/>
              <w:adjustRightInd w:val="0"/>
              <w:spacing w:line="240" w:lineRule="auto"/>
              <w:textAlignment w:val="center"/>
              <w:rPr>
                <w:rFonts w:eastAsia="PMingLiU"/>
                <w:b/>
                <w:color w:val="000000"/>
                <w:szCs w:val="22"/>
                <w:lang w:eastAsia="en-US" w:bidi="ar-SA"/>
              </w:rPr>
            </w:pPr>
            <w:r>
              <w:rPr>
                <w:rFonts w:eastAsia="PMingLiU"/>
                <w:b/>
                <w:bCs/>
                <w:szCs w:val="22"/>
                <w:lang w:eastAsia="en-US" w:bidi="ar-SA"/>
              </w:rPr>
              <w:t>D.</w:t>
            </w:r>
          </w:p>
        </w:tc>
        <w:tc>
          <w:tcPr>
            <w:tcW w:w="4697" w:type="pct"/>
            <w:tcMar>
              <w:left w:w="57" w:type="dxa"/>
            </w:tcMar>
          </w:tcPr>
          <w:p w14:paraId="63D52F27" w14:textId="77777777" w:rsidR="00C04CAD" w:rsidRDefault="00060E34">
            <w:pPr>
              <w:tabs>
                <w:tab w:val="clear" w:pos="567"/>
              </w:tabs>
              <w:autoSpaceDE w:val="0"/>
              <w:autoSpaceDN w:val="0"/>
              <w:adjustRightInd w:val="0"/>
              <w:spacing w:line="240" w:lineRule="auto"/>
              <w:textAlignment w:val="center"/>
              <w:rPr>
                <w:rFonts w:eastAsia="PMingLiU"/>
                <w:b/>
                <w:bCs/>
                <w:color w:val="000000"/>
                <w:szCs w:val="22"/>
                <w:lang w:eastAsia="ja-JP" w:bidi="ar-SA"/>
              </w:rPr>
            </w:pPr>
            <w:r>
              <w:rPr>
                <w:rFonts w:eastAsia="PMingLiU"/>
                <w:bCs/>
                <w:color w:val="000000"/>
                <w:szCs w:val="22"/>
                <w:lang w:eastAsia="ja-JP" w:bidi="ar-SA"/>
              </w:rPr>
              <w:t>Pregătiţi şi dezinfectaţi locul (locurile) de injectare.</w:t>
            </w:r>
          </w:p>
        </w:tc>
      </w:tr>
      <w:tr w:rsidR="00C04CAD" w14:paraId="14C6C735" w14:textId="77777777">
        <w:trPr>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38"/>
              <w:gridCol w:w="3593"/>
            </w:tblGrid>
            <w:tr w:rsidR="00C04CAD" w14:paraId="6C8A8C58" w14:textId="77777777">
              <w:trPr>
                <w:trHeight w:val="1661"/>
                <w:jc w:val="right"/>
              </w:trPr>
              <w:tc>
                <w:tcPr>
                  <w:tcW w:w="2598" w:type="dxa"/>
                  <w:vMerge w:val="restart"/>
                  <w:tcBorders>
                    <w:top w:val="nil"/>
                    <w:left w:val="nil"/>
                    <w:bottom w:val="nil"/>
                    <w:right w:val="nil"/>
                  </w:tcBorders>
                </w:tcPr>
                <w:p w14:paraId="0EC5EA7D" w14:textId="77777777" w:rsidR="00C04CAD" w:rsidRDefault="00060E34">
                  <w:pPr>
                    <w:tabs>
                      <w:tab w:val="clear" w:pos="567"/>
                    </w:tabs>
                    <w:autoSpaceDE w:val="0"/>
                    <w:autoSpaceDN w:val="0"/>
                    <w:adjustRightInd w:val="0"/>
                    <w:spacing w:line="240" w:lineRule="auto"/>
                    <w:ind w:right="-108"/>
                    <w:textAlignment w:val="center"/>
                    <w:rPr>
                      <w:rFonts w:eastAsia="PMingLiU"/>
                      <w:b/>
                      <w:bCs/>
                      <w:color w:val="000000"/>
                      <w:szCs w:val="22"/>
                      <w:lang w:eastAsia="ja-JP" w:bidi="ar-SA"/>
                    </w:rPr>
                  </w:pPr>
                  <w:r>
                    <w:rPr>
                      <w:b/>
                      <w:noProof/>
                      <w:szCs w:val="22"/>
                      <w:lang w:val="en-US" w:eastAsia="zh-CN" w:bidi="ar-SA"/>
                    </w:rPr>
                    <w:drawing>
                      <wp:inline distT="0" distB="0" distL="0" distR="0" wp14:anchorId="2975D455" wp14:editId="285F8D4F">
                        <wp:extent cx="1537970" cy="2192655"/>
                        <wp:effectExtent l="0" t="0" r="0" b="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537970" cy="2192655"/>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59C16D4A" w14:textId="77777777" w:rsidR="00C04CAD" w:rsidRDefault="00060E34">
                  <w:pPr>
                    <w:tabs>
                      <w:tab w:val="clear" w:pos="567"/>
                    </w:tabs>
                    <w:autoSpaceDE w:val="0"/>
                    <w:autoSpaceDN w:val="0"/>
                    <w:adjustRightInd w:val="0"/>
                    <w:spacing w:line="240" w:lineRule="auto"/>
                    <w:ind w:left="-36"/>
                    <w:textAlignment w:val="center"/>
                    <w:rPr>
                      <w:rFonts w:eastAsia="PMingLiU"/>
                      <w:bCs/>
                      <w:color w:val="000000"/>
                      <w:szCs w:val="22"/>
                      <w:lang w:eastAsia="ja-JP" w:bidi="ar-SA"/>
                    </w:rPr>
                  </w:pPr>
                  <w:r>
                    <w:rPr>
                      <w:rFonts w:eastAsia="PMingLiU"/>
                      <w:bCs/>
                      <w:color w:val="000000"/>
                      <w:szCs w:val="22"/>
                      <w:lang w:eastAsia="ja-JP" w:bidi="ar-SA"/>
                    </w:rPr>
                    <w:t>Abdomen</w:t>
                  </w:r>
                </w:p>
              </w:tc>
            </w:tr>
            <w:tr w:rsidR="00C04CAD" w14:paraId="53674B2E" w14:textId="77777777">
              <w:trPr>
                <w:jc w:val="right"/>
              </w:trPr>
              <w:tc>
                <w:tcPr>
                  <w:tcW w:w="2598" w:type="dxa"/>
                  <w:vMerge/>
                  <w:tcBorders>
                    <w:top w:val="nil"/>
                    <w:left w:val="nil"/>
                    <w:bottom w:val="nil"/>
                    <w:right w:val="nil"/>
                  </w:tcBorders>
                </w:tcPr>
                <w:p w14:paraId="1A36EB5B" w14:textId="77777777" w:rsidR="00C04CAD" w:rsidRDefault="00C04CAD">
                  <w:pPr>
                    <w:tabs>
                      <w:tab w:val="clear" w:pos="567"/>
                    </w:tabs>
                    <w:autoSpaceDE w:val="0"/>
                    <w:autoSpaceDN w:val="0"/>
                    <w:adjustRightInd w:val="0"/>
                    <w:spacing w:line="240" w:lineRule="auto"/>
                    <w:textAlignment w:val="center"/>
                    <w:rPr>
                      <w:rFonts w:eastAsia="PMingLiU"/>
                      <w:b/>
                      <w:bCs/>
                      <w:color w:val="000000"/>
                      <w:szCs w:val="22"/>
                      <w:lang w:eastAsia="ja-JP" w:bidi="ar-SA"/>
                    </w:rPr>
                  </w:pPr>
                </w:p>
              </w:tc>
              <w:tc>
                <w:tcPr>
                  <w:tcW w:w="3593" w:type="dxa"/>
                  <w:tcBorders>
                    <w:top w:val="nil"/>
                    <w:left w:val="nil"/>
                    <w:bottom w:val="nil"/>
                    <w:right w:val="nil"/>
                  </w:tcBorders>
                  <w:vAlign w:val="center"/>
                </w:tcPr>
                <w:p w14:paraId="47EFBE60" w14:textId="77777777" w:rsidR="00C04CAD" w:rsidRDefault="00060E34">
                  <w:pPr>
                    <w:tabs>
                      <w:tab w:val="clear" w:pos="567"/>
                    </w:tabs>
                    <w:autoSpaceDE w:val="0"/>
                    <w:autoSpaceDN w:val="0"/>
                    <w:adjustRightInd w:val="0"/>
                    <w:spacing w:line="240" w:lineRule="auto"/>
                    <w:ind w:left="-36"/>
                    <w:textAlignment w:val="center"/>
                    <w:rPr>
                      <w:rFonts w:eastAsia="PMingLiU"/>
                      <w:bCs/>
                      <w:color w:val="000000"/>
                      <w:szCs w:val="22"/>
                      <w:lang w:eastAsia="ja-JP" w:bidi="ar-SA"/>
                    </w:rPr>
                  </w:pPr>
                  <w:r>
                    <w:rPr>
                      <w:rFonts w:eastAsia="PMingLiU"/>
                      <w:bCs/>
                      <w:color w:val="000000"/>
                      <w:szCs w:val="22"/>
                      <w:lang w:eastAsia="ja-JP" w:bidi="ar-SA"/>
                    </w:rPr>
                    <w:t>Coapsă</w:t>
                  </w:r>
                </w:p>
              </w:tc>
            </w:tr>
          </w:tbl>
          <w:p w14:paraId="3CBC098A" w14:textId="77777777" w:rsidR="00C04CAD" w:rsidRDefault="00C04CAD">
            <w:pPr>
              <w:spacing w:line="240" w:lineRule="auto"/>
              <w:rPr>
                <w:rFonts w:eastAsia="PMingLiU"/>
                <w:szCs w:val="22"/>
                <w:lang w:eastAsia="en-US" w:bidi="ar-SA"/>
              </w:rPr>
            </w:pPr>
          </w:p>
        </w:tc>
      </w:tr>
      <w:tr w:rsidR="00C04CAD" w14:paraId="0AD877CD" w14:textId="77777777">
        <w:trPr>
          <w:trHeight w:val="355"/>
        </w:trPr>
        <w:tc>
          <w:tcPr>
            <w:tcW w:w="5000" w:type="pct"/>
            <w:gridSpan w:val="2"/>
            <w:tcBorders>
              <w:top w:val="nil"/>
              <w:bottom w:val="nil"/>
            </w:tcBorders>
            <w:tcMar>
              <w:top w:w="28" w:type="dxa"/>
              <w:left w:w="57" w:type="dxa"/>
              <w:bottom w:w="28" w:type="dxa"/>
              <w:right w:w="57" w:type="dxa"/>
            </w:tcMar>
          </w:tcPr>
          <w:p w14:paraId="28D4E817" w14:textId="77777777" w:rsidR="00C04CAD" w:rsidRDefault="00060E34">
            <w:pPr>
              <w:autoSpaceDE w:val="0"/>
              <w:autoSpaceDN w:val="0"/>
              <w:adjustRightInd w:val="0"/>
              <w:spacing w:line="240" w:lineRule="auto"/>
              <w:textAlignment w:val="center"/>
              <w:rPr>
                <w:rFonts w:eastAsia="PMingLiU"/>
                <w:b/>
                <w:bCs/>
                <w:color w:val="000000"/>
                <w:szCs w:val="22"/>
                <w:lang w:eastAsia="en-US" w:bidi="ar-SA"/>
              </w:rPr>
            </w:pPr>
            <w:r>
              <w:rPr>
                <w:rFonts w:eastAsia="PMingLiU"/>
                <w:b/>
                <w:bCs/>
                <w:color w:val="000000"/>
                <w:szCs w:val="22"/>
                <w:lang w:eastAsia="en-US" w:bidi="ar-SA"/>
              </w:rPr>
              <w:t>Puteți utiliza:</w:t>
            </w:r>
          </w:p>
        </w:tc>
      </w:tr>
      <w:tr w:rsidR="00C04CAD" w14:paraId="5B6A73BA" w14:textId="77777777">
        <w:tc>
          <w:tcPr>
            <w:tcW w:w="303" w:type="pct"/>
            <w:tcBorders>
              <w:top w:val="nil"/>
              <w:bottom w:val="nil"/>
              <w:right w:val="nil"/>
            </w:tcBorders>
            <w:tcMar>
              <w:top w:w="28" w:type="dxa"/>
              <w:left w:w="57" w:type="dxa"/>
              <w:bottom w:w="28" w:type="dxa"/>
              <w:right w:w="57" w:type="dxa"/>
            </w:tcMar>
          </w:tcPr>
          <w:p w14:paraId="2D78A4DA"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08590D93"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Coapsa</w:t>
            </w:r>
          </w:p>
        </w:tc>
      </w:tr>
      <w:tr w:rsidR="00C04CAD" w14:paraId="51A3A697" w14:textId="77777777">
        <w:tc>
          <w:tcPr>
            <w:tcW w:w="303" w:type="pct"/>
            <w:tcBorders>
              <w:top w:val="nil"/>
              <w:bottom w:val="nil"/>
              <w:right w:val="nil"/>
            </w:tcBorders>
            <w:tcMar>
              <w:top w:w="28" w:type="dxa"/>
              <w:left w:w="57" w:type="dxa"/>
              <w:bottom w:w="28" w:type="dxa"/>
              <w:right w:w="57" w:type="dxa"/>
            </w:tcMar>
          </w:tcPr>
          <w:p w14:paraId="1DE690AC"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3148D1C1"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Abdomenul, cu excepţia zonei de 5 centimetri din jurul ombilicului</w:t>
            </w:r>
          </w:p>
        </w:tc>
      </w:tr>
      <w:tr w:rsidR="00C04CAD" w14:paraId="211AA8E9" w14:textId="77777777">
        <w:tc>
          <w:tcPr>
            <w:tcW w:w="5000" w:type="pct"/>
            <w:gridSpan w:val="2"/>
            <w:tcBorders>
              <w:top w:val="nil"/>
              <w:bottom w:val="nil"/>
            </w:tcBorders>
            <w:tcMar>
              <w:top w:w="28" w:type="dxa"/>
              <w:left w:w="57" w:type="dxa"/>
              <w:bottom w:w="28" w:type="dxa"/>
              <w:right w:w="57" w:type="dxa"/>
            </w:tcMar>
          </w:tcPr>
          <w:p w14:paraId="0E3AC1A8" w14:textId="77777777" w:rsidR="00C04CAD" w:rsidRDefault="00C04CAD">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p>
          <w:p w14:paraId="7F23F27D"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Dezinfectaţi locul de administrare a injecţiei cu un tampon cu alcool. Lăsaţi pielea să se usuce.</w:t>
            </w:r>
          </w:p>
        </w:tc>
      </w:tr>
      <w:tr w:rsidR="00C04CAD" w14:paraId="28E0527B" w14:textId="77777777">
        <w:tc>
          <w:tcPr>
            <w:tcW w:w="303" w:type="pct"/>
            <w:tcBorders>
              <w:top w:val="nil"/>
              <w:bottom w:val="nil"/>
              <w:right w:val="nil"/>
            </w:tcBorders>
            <w:tcMar>
              <w:top w:w="28" w:type="dxa"/>
              <w:left w:w="57" w:type="dxa"/>
              <w:bottom w:w="28" w:type="dxa"/>
              <w:right w:w="57" w:type="dxa"/>
            </w:tcMar>
          </w:tcPr>
          <w:p w14:paraId="16CEC418"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15459135"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b/>
                <w:bCs/>
                <w:color w:val="000000"/>
                <w:szCs w:val="22"/>
                <w:lang w:eastAsia="en-GB" w:bidi="ar-SA"/>
              </w:rPr>
              <w:t>Nu</w:t>
            </w:r>
            <w:r>
              <w:rPr>
                <w:rFonts w:eastAsia="PMingLiU"/>
                <w:color w:val="000000"/>
                <w:szCs w:val="22"/>
                <w:lang w:eastAsia="en-GB" w:bidi="ar-SA"/>
              </w:rPr>
              <w:t xml:space="preserve"> mai atingeţi această zonă înainte de injectare.</w:t>
            </w:r>
          </w:p>
        </w:tc>
      </w:tr>
      <w:tr w:rsidR="00C04CAD" w14:paraId="24850E48" w14:textId="77777777">
        <w:tc>
          <w:tcPr>
            <w:tcW w:w="303" w:type="pct"/>
            <w:tcBorders>
              <w:top w:val="nil"/>
              <w:bottom w:val="nil"/>
              <w:right w:val="nil"/>
            </w:tcBorders>
            <w:tcMar>
              <w:top w:w="28" w:type="dxa"/>
              <w:left w:w="57" w:type="dxa"/>
              <w:bottom w:w="28" w:type="dxa"/>
              <w:right w:w="57" w:type="dxa"/>
            </w:tcMar>
          </w:tcPr>
          <w:p w14:paraId="40C90350"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bottom w:val="nil"/>
            </w:tcBorders>
            <w:tcMar>
              <w:left w:w="57" w:type="dxa"/>
            </w:tcMar>
          </w:tcPr>
          <w:p w14:paraId="7A90EA9A"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szCs w:val="22"/>
                <w:lang w:eastAsia="en-US" w:bidi="ar-SA"/>
              </w:rPr>
              <w:t>Dacă doriți să utilizaţi acelaşi loc de injectare, asiguraţi-vă că nu injectaţi în acelaşi punct de la locul de injectare, pe care l-ați utilizat la injectarea anterioară.</w:t>
            </w:r>
          </w:p>
        </w:tc>
      </w:tr>
      <w:tr w:rsidR="00C04CAD" w14:paraId="11A648D6" w14:textId="77777777">
        <w:tc>
          <w:tcPr>
            <w:tcW w:w="303" w:type="pct"/>
            <w:tcBorders>
              <w:top w:val="nil"/>
              <w:bottom w:val="nil"/>
              <w:right w:val="nil"/>
            </w:tcBorders>
            <w:tcMar>
              <w:top w:w="28" w:type="dxa"/>
              <w:left w:w="57" w:type="dxa"/>
              <w:bottom w:w="28" w:type="dxa"/>
              <w:right w:w="57" w:type="dxa"/>
            </w:tcMar>
          </w:tcPr>
          <w:p w14:paraId="1F81AF35" w14:textId="77777777" w:rsidR="00C04CAD" w:rsidRDefault="00C04CAD">
            <w:pPr>
              <w:spacing w:line="240" w:lineRule="auto"/>
              <w:rPr>
                <w:rFonts w:eastAsia="PMingLiU"/>
                <w:color w:val="000000"/>
                <w:szCs w:val="22"/>
                <w:lang w:eastAsia="en-US" w:bidi="ar-SA"/>
              </w:rPr>
            </w:pPr>
          </w:p>
        </w:tc>
        <w:tc>
          <w:tcPr>
            <w:tcW w:w="4697" w:type="pct"/>
            <w:tcBorders>
              <w:top w:val="nil"/>
              <w:left w:val="nil"/>
              <w:bottom w:val="nil"/>
            </w:tcBorders>
            <w:tcMar>
              <w:left w:w="57" w:type="dxa"/>
            </w:tcMar>
          </w:tcPr>
          <w:p w14:paraId="4D2B4FEE" w14:textId="77777777" w:rsidR="00C04CAD" w:rsidRDefault="00060E34">
            <w:pPr>
              <w:numPr>
                <w:ilvl w:val="0"/>
                <w:numId w:val="66"/>
              </w:numPr>
              <w:tabs>
                <w:tab w:val="clear" w:pos="567"/>
              </w:tabs>
              <w:autoSpaceDE w:val="0"/>
              <w:autoSpaceDN w:val="0"/>
              <w:adjustRightInd w:val="0"/>
              <w:spacing w:line="240" w:lineRule="auto"/>
              <w:contextualSpacing/>
              <w:rPr>
                <w:rFonts w:eastAsia="PMingLiU"/>
                <w:szCs w:val="22"/>
                <w:lang w:eastAsia="en-GB" w:bidi="ar-SA"/>
              </w:rPr>
            </w:pPr>
            <w:r>
              <w:rPr>
                <w:rFonts w:eastAsia="PMingLiU"/>
                <w:b/>
                <w:szCs w:val="22"/>
                <w:lang w:eastAsia="en-GB" w:bidi="ar-SA"/>
              </w:rPr>
              <w:t>Nu</w:t>
            </w:r>
            <w:r>
              <w:rPr>
                <w:rFonts w:eastAsia="PMingLiU"/>
                <w:szCs w:val="22"/>
                <w:lang w:eastAsia="en-GB" w:bidi="ar-SA"/>
              </w:rPr>
              <w:t xml:space="preserve"> injectaţi în zone în care pielea prezintă sensibilitate, vânătăi, roşeaţă sau unde este întărită. Evitaţi injectarea în zonele cu cicatrice sau vergeturi.</w:t>
            </w:r>
          </w:p>
        </w:tc>
      </w:tr>
      <w:tr w:rsidR="00C04CAD" w14:paraId="3DD8C78D" w14:textId="77777777">
        <w:tc>
          <w:tcPr>
            <w:tcW w:w="303" w:type="pct"/>
            <w:tcBorders>
              <w:top w:val="nil"/>
              <w:right w:val="nil"/>
            </w:tcBorders>
            <w:tcMar>
              <w:top w:w="28" w:type="dxa"/>
              <w:left w:w="57" w:type="dxa"/>
              <w:bottom w:w="28" w:type="dxa"/>
              <w:right w:w="57" w:type="dxa"/>
            </w:tcMar>
          </w:tcPr>
          <w:p w14:paraId="3344F862" w14:textId="77777777" w:rsidR="00C04CAD" w:rsidRDefault="00060E34">
            <w:pPr>
              <w:spacing w:line="240" w:lineRule="auto"/>
              <w:rPr>
                <w:rFonts w:eastAsia="PMingLiU"/>
                <w:szCs w:val="22"/>
                <w:lang w:eastAsia="en-US" w:bidi="ar-SA"/>
              </w:rPr>
            </w:pPr>
            <w:r>
              <w:rPr>
                <w:rFonts w:eastAsia="PMingLiU"/>
                <w:color w:val="000000"/>
                <w:szCs w:val="22"/>
                <w:lang w:eastAsia="en-US" w:bidi="ar-SA"/>
              </w:rPr>
              <w:t>●</w:t>
            </w:r>
          </w:p>
        </w:tc>
        <w:tc>
          <w:tcPr>
            <w:tcW w:w="4697" w:type="pct"/>
            <w:tcBorders>
              <w:top w:val="nil"/>
              <w:left w:val="nil"/>
            </w:tcBorders>
            <w:tcMar>
              <w:left w:w="57" w:type="dxa"/>
            </w:tcMar>
          </w:tcPr>
          <w:p w14:paraId="77F99BBE" w14:textId="77777777" w:rsidR="00C04CAD" w:rsidRDefault="00060E34">
            <w:pPr>
              <w:tabs>
                <w:tab w:val="clear" w:pos="567"/>
              </w:tabs>
              <w:autoSpaceDE w:val="0"/>
              <w:autoSpaceDN w:val="0"/>
              <w:adjustRightInd w:val="0"/>
              <w:spacing w:line="240" w:lineRule="auto"/>
              <w:contextualSpacing/>
              <w:textAlignment w:val="center"/>
              <w:rPr>
                <w:rFonts w:eastAsia="PMingLiU"/>
                <w:color w:val="000000"/>
                <w:szCs w:val="22"/>
                <w:lang w:eastAsia="en-GB" w:bidi="ar-SA"/>
              </w:rPr>
            </w:pPr>
            <w:r>
              <w:rPr>
                <w:color w:val="000000"/>
                <w:szCs w:val="22"/>
                <w:lang w:eastAsia="en-US" w:bidi="ar-SA"/>
              </w:rPr>
              <w:t>Dacă aveți psoriasis, trebuie să evitați injectarea direct în zonele cu plăci sau leziuni reliefate, îngroşate, cu roşeaţă sau cu cruste</w:t>
            </w:r>
            <w:r>
              <w:rPr>
                <w:rFonts w:eastAsia="PMingLiU"/>
                <w:color w:val="000000"/>
                <w:szCs w:val="22"/>
                <w:lang w:eastAsia="en-GB" w:bidi="ar-SA"/>
              </w:rPr>
              <w:t>.</w:t>
            </w:r>
          </w:p>
        </w:tc>
      </w:tr>
    </w:tbl>
    <w:p w14:paraId="406C4C0E" w14:textId="77777777" w:rsidR="00C04CAD" w:rsidRDefault="00C04CAD">
      <w:pPr>
        <w:numPr>
          <w:ilvl w:val="12"/>
          <w:numId w:val="0"/>
        </w:numPr>
        <w:tabs>
          <w:tab w:val="clear" w:pos="567"/>
        </w:tabs>
        <w:spacing w:line="240" w:lineRule="auto"/>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59"/>
      </w:tblGrid>
      <w:tr w:rsidR="00C04CAD" w14:paraId="668276B0" w14:textId="77777777">
        <w:trPr>
          <w:trHeight w:val="258"/>
        </w:trPr>
        <w:tc>
          <w:tcPr>
            <w:tcW w:w="5000" w:type="pct"/>
            <w:tcMar>
              <w:top w:w="28" w:type="dxa"/>
              <w:left w:w="57" w:type="dxa"/>
              <w:bottom w:w="28" w:type="dxa"/>
              <w:right w:w="57" w:type="dxa"/>
            </w:tcMar>
          </w:tcPr>
          <w:p w14:paraId="15AE9B24" w14:textId="77777777" w:rsidR="00C04CAD" w:rsidRDefault="00060E34">
            <w:pPr>
              <w:keepNext/>
              <w:spacing w:line="240" w:lineRule="auto"/>
              <w:jc w:val="center"/>
              <w:textAlignment w:val="center"/>
              <w:rPr>
                <w:rFonts w:eastAsia="PMingLiU"/>
                <w:b/>
                <w:bCs/>
                <w:color w:val="000000"/>
                <w:szCs w:val="22"/>
              </w:rPr>
            </w:pPr>
            <w:r>
              <w:rPr>
                <w:rFonts w:eastAsia="PMingLiU"/>
                <w:b/>
                <w:bCs/>
                <w:szCs w:val="22"/>
              </w:rPr>
              <w:t>Etapa 2: Pregătire</w:t>
            </w:r>
          </w:p>
        </w:tc>
      </w:tr>
    </w:tbl>
    <w:p w14:paraId="36102A23" w14:textId="77777777" w:rsidR="00C04CAD" w:rsidRDefault="00C04CAD">
      <w:pPr>
        <w:keepNext/>
        <w:numPr>
          <w:ilvl w:val="12"/>
          <w:numId w:val="0"/>
        </w:numPr>
        <w:tabs>
          <w:tab w:val="clear" w:pos="567"/>
        </w:tabs>
        <w:spacing w:line="240" w:lineRule="auto"/>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476"/>
        <w:gridCol w:w="127"/>
        <w:gridCol w:w="8458"/>
      </w:tblGrid>
      <w:tr w:rsidR="00C04CAD" w14:paraId="0C1EEC2B" w14:textId="77777777">
        <w:tc>
          <w:tcPr>
            <w:tcW w:w="333" w:type="pct"/>
            <w:gridSpan w:val="2"/>
            <w:tcMar>
              <w:top w:w="28" w:type="dxa"/>
              <w:left w:w="57" w:type="dxa"/>
              <w:bottom w:w="28" w:type="dxa"/>
              <w:right w:w="57" w:type="dxa"/>
            </w:tcMar>
          </w:tcPr>
          <w:p w14:paraId="252D3F48" w14:textId="77777777" w:rsidR="00C04CAD" w:rsidRDefault="00060E34">
            <w:pPr>
              <w:keepNext/>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E.</w:t>
            </w:r>
          </w:p>
        </w:tc>
        <w:tc>
          <w:tcPr>
            <w:tcW w:w="4667" w:type="pct"/>
            <w:tcMar>
              <w:top w:w="28" w:type="dxa"/>
              <w:left w:w="57" w:type="dxa"/>
              <w:bottom w:w="28" w:type="dxa"/>
              <w:right w:w="57" w:type="dxa"/>
            </w:tcMar>
          </w:tcPr>
          <w:p w14:paraId="53E17A55" w14:textId="77777777" w:rsidR="00C04CAD" w:rsidRDefault="00060E34">
            <w:pPr>
              <w:keepNext/>
              <w:tabs>
                <w:tab w:val="clear" w:pos="567"/>
              </w:tabs>
              <w:autoSpaceDE w:val="0"/>
              <w:autoSpaceDN w:val="0"/>
              <w:adjustRightInd w:val="0"/>
              <w:spacing w:line="240" w:lineRule="auto"/>
              <w:rPr>
                <w:rFonts w:eastAsia="PMingLiU"/>
                <w:color w:val="000000"/>
                <w:szCs w:val="22"/>
                <w:lang w:eastAsia="en-US" w:bidi="ar-SA"/>
              </w:rPr>
            </w:pPr>
            <w:r>
              <w:rPr>
                <w:rFonts w:eastAsia="PMingLiU"/>
                <w:szCs w:val="22"/>
                <w:lang w:eastAsia="en-US" w:bidi="ar-SA"/>
              </w:rPr>
              <w:t>Trageţi de capacul de culoare galbenă dintr-o mişcare, atunci când sunteţi pregătit pentru injectare.</w:t>
            </w:r>
          </w:p>
        </w:tc>
      </w:tr>
      <w:tr w:rsidR="00C04CAD" w14:paraId="35D82450" w14:textId="77777777">
        <w:tc>
          <w:tcPr>
            <w:tcW w:w="5000" w:type="pct"/>
            <w:gridSpan w:val="3"/>
            <w:tcBorders>
              <w:bottom w:val="nil"/>
            </w:tcBorders>
            <w:tcMar>
              <w:top w:w="28" w:type="dxa"/>
              <w:left w:w="57" w:type="dxa"/>
              <w:bottom w:w="28" w:type="dxa"/>
              <w:right w:w="57" w:type="dxa"/>
            </w:tcMar>
          </w:tcPr>
          <w:p w14:paraId="1956E692" w14:textId="77777777" w:rsidR="00C04CAD" w:rsidRDefault="00060E34">
            <w:pPr>
              <w:autoSpaceDE w:val="0"/>
              <w:autoSpaceDN w:val="0"/>
              <w:adjustRightInd w:val="0"/>
              <w:spacing w:line="240" w:lineRule="auto"/>
              <w:textAlignment w:val="center"/>
              <w:rPr>
                <w:rFonts w:eastAsia="PMingLiU"/>
                <w:color w:val="000000"/>
                <w:szCs w:val="22"/>
                <w:lang w:eastAsia="en-US" w:bidi="ar-SA"/>
              </w:rPr>
            </w:pPr>
            <w:r>
              <w:rPr>
                <w:noProof/>
                <w:lang w:val="en-US" w:eastAsia="zh-CN" w:bidi="ar-SA"/>
              </w:rPr>
              <w:drawing>
                <wp:inline distT="0" distB="0" distL="0" distR="0" wp14:anchorId="74BCCDA9" wp14:editId="0A2AD4EB">
                  <wp:extent cx="3221355" cy="2400300"/>
                  <wp:effectExtent l="0" t="0" r="0" b="0"/>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221355" cy="2400300"/>
                          </a:xfrm>
                          <a:prstGeom prst="rect">
                            <a:avLst/>
                          </a:prstGeom>
                          <a:noFill/>
                          <a:ln>
                            <a:noFill/>
                          </a:ln>
                        </pic:spPr>
                      </pic:pic>
                    </a:graphicData>
                  </a:graphic>
                </wp:inline>
              </w:drawing>
            </w:r>
          </w:p>
        </w:tc>
      </w:tr>
      <w:tr w:rsidR="00C04CAD" w14:paraId="591907E4" w14:textId="77777777">
        <w:tc>
          <w:tcPr>
            <w:tcW w:w="5000" w:type="pct"/>
            <w:gridSpan w:val="3"/>
            <w:tcBorders>
              <w:top w:val="nil"/>
              <w:bottom w:val="nil"/>
            </w:tcBorders>
            <w:tcMar>
              <w:top w:w="28" w:type="dxa"/>
              <w:left w:w="57" w:type="dxa"/>
              <w:bottom w:w="28" w:type="dxa"/>
              <w:right w:w="57" w:type="dxa"/>
            </w:tcMar>
          </w:tcPr>
          <w:p w14:paraId="3FF5F085" w14:textId="77777777" w:rsidR="00C04CAD" w:rsidRDefault="00060E34">
            <w:pPr>
              <w:autoSpaceDE w:val="0"/>
              <w:autoSpaceDN w:val="0"/>
              <w:adjustRightInd w:val="0"/>
              <w:spacing w:line="240" w:lineRule="auto"/>
              <w:textAlignment w:val="center"/>
              <w:rPr>
                <w:rFonts w:eastAsia="PMingLiU"/>
                <w:color w:val="000000"/>
                <w:szCs w:val="22"/>
                <w:lang w:eastAsia="en-US" w:bidi="ar-SA"/>
              </w:rPr>
            </w:pPr>
            <w:r>
              <w:rPr>
                <w:rFonts w:eastAsia="PMingLiU"/>
                <w:color w:val="000000"/>
                <w:szCs w:val="22"/>
                <w:lang w:eastAsia="en-US" w:bidi="ar-SA"/>
              </w:rPr>
              <w:t>Este normal să se vadă o picătură de lichid la vârful acului sau în capătul p</w:t>
            </w:r>
            <w:r>
              <w:rPr>
                <w:rFonts w:eastAsia="PMingLiU"/>
                <w:szCs w:val="22"/>
                <w:lang w:eastAsia="en-US" w:bidi="ar-SA"/>
              </w:rPr>
              <w:t>rotecţiei de siguranţă de culoare galbenă</w:t>
            </w:r>
            <w:r>
              <w:rPr>
                <w:rFonts w:eastAsia="PMingLiU"/>
                <w:color w:val="000000"/>
                <w:szCs w:val="22"/>
                <w:lang w:eastAsia="en-US" w:bidi="ar-SA"/>
              </w:rPr>
              <w:t>.</w:t>
            </w:r>
          </w:p>
        </w:tc>
      </w:tr>
      <w:tr w:rsidR="00C04CAD" w14:paraId="331B1EF7" w14:textId="77777777">
        <w:tc>
          <w:tcPr>
            <w:tcW w:w="333" w:type="pct"/>
            <w:gridSpan w:val="2"/>
            <w:tcBorders>
              <w:top w:val="nil"/>
              <w:bottom w:val="nil"/>
              <w:right w:val="nil"/>
            </w:tcBorders>
            <w:tcMar>
              <w:top w:w="28" w:type="dxa"/>
              <w:left w:w="57" w:type="dxa"/>
              <w:bottom w:w="28" w:type="dxa"/>
              <w:right w:w="57" w:type="dxa"/>
            </w:tcMar>
          </w:tcPr>
          <w:p w14:paraId="30508D0C" w14:textId="77777777" w:rsidR="00C04CAD" w:rsidRDefault="00060E34">
            <w:pPr>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67" w:type="pct"/>
            <w:tcBorders>
              <w:top w:val="nil"/>
              <w:left w:val="nil"/>
              <w:bottom w:val="nil"/>
            </w:tcBorders>
            <w:tcMar>
              <w:left w:w="0" w:type="dxa"/>
            </w:tcMar>
          </w:tcPr>
          <w:p w14:paraId="1D3FC952" w14:textId="77777777" w:rsidR="00C04CAD" w:rsidRDefault="00060E34">
            <w:pPr>
              <w:tabs>
                <w:tab w:val="clear" w:pos="567"/>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răsuciţi sau îndoiţi capacul de culoare galbenă.</w:t>
            </w:r>
          </w:p>
        </w:tc>
      </w:tr>
      <w:tr w:rsidR="00C04CAD" w14:paraId="6CB16496" w14:textId="77777777">
        <w:tc>
          <w:tcPr>
            <w:tcW w:w="333" w:type="pct"/>
            <w:gridSpan w:val="2"/>
            <w:tcBorders>
              <w:top w:val="nil"/>
              <w:bottom w:val="nil"/>
              <w:right w:val="nil"/>
            </w:tcBorders>
            <w:tcMar>
              <w:top w:w="28" w:type="dxa"/>
              <w:left w:w="57" w:type="dxa"/>
              <w:bottom w:w="28" w:type="dxa"/>
              <w:right w:w="57" w:type="dxa"/>
            </w:tcMar>
          </w:tcPr>
          <w:p w14:paraId="327FAAD8" w14:textId="77777777" w:rsidR="00C04CAD" w:rsidRDefault="00060E34">
            <w:pPr>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67" w:type="pct"/>
            <w:tcBorders>
              <w:top w:val="nil"/>
              <w:left w:val="nil"/>
              <w:bottom w:val="nil"/>
            </w:tcBorders>
            <w:tcMar>
              <w:left w:w="0" w:type="dxa"/>
            </w:tcMar>
          </w:tcPr>
          <w:p w14:paraId="66C9F463" w14:textId="77777777" w:rsidR="00C04CAD" w:rsidRDefault="00060E34">
            <w:pPr>
              <w:tabs>
                <w:tab w:val="clear" w:pos="567"/>
              </w:tabs>
              <w:autoSpaceDE w:val="0"/>
              <w:autoSpaceDN w:val="0"/>
              <w:adjustRightInd w:val="0"/>
              <w:spacing w:line="240" w:lineRule="auto"/>
              <w:ind w:left="720" w:hanging="720"/>
              <w:rPr>
                <w:szCs w:val="22"/>
                <w:lang w:eastAsia="en-US" w:bidi="ar-SA"/>
              </w:rPr>
            </w:pPr>
            <w:r>
              <w:rPr>
                <w:b/>
                <w:bCs/>
                <w:szCs w:val="22"/>
                <w:lang w:eastAsia="en-US" w:bidi="ar-SA"/>
              </w:rPr>
              <w:t xml:space="preserve">Nu </w:t>
            </w:r>
            <w:r>
              <w:rPr>
                <w:szCs w:val="22"/>
                <w:lang w:eastAsia="en-US" w:bidi="ar-SA"/>
              </w:rPr>
              <w:t>așezați capacul de culoare galbenă, înapoi pe penul preumplut.</w:t>
            </w:r>
          </w:p>
        </w:tc>
      </w:tr>
      <w:tr w:rsidR="00C04CAD" w14:paraId="1CB2BBDD" w14:textId="77777777">
        <w:tc>
          <w:tcPr>
            <w:tcW w:w="333" w:type="pct"/>
            <w:gridSpan w:val="2"/>
            <w:tcBorders>
              <w:top w:val="nil"/>
              <w:bottom w:val="single" w:sz="4" w:space="0" w:color="auto"/>
              <w:right w:val="nil"/>
            </w:tcBorders>
            <w:tcMar>
              <w:top w:w="28" w:type="dxa"/>
              <w:left w:w="57" w:type="dxa"/>
              <w:bottom w:w="28" w:type="dxa"/>
              <w:right w:w="57" w:type="dxa"/>
            </w:tcMar>
          </w:tcPr>
          <w:p w14:paraId="6C6CBA89" w14:textId="77777777" w:rsidR="00C04CAD" w:rsidRDefault="00060E34">
            <w:pPr>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67" w:type="pct"/>
            <w:tcBorders>
              <w:top w:val="nil"/>
              <w:left w:val="nil"/>
              <w:bottom w:val="single" w:sz="4" w:space="0" w:color="auto"/>
            </w:tcBorders>
            <w:tcMar>
              <w:left w:w="0" w:type="dxa"/>
            </w:tcMar>
          </w:tcPr>
          <w:p w14:paraId="223D1747" w14:textId="77777777" w:rsidR="00C04CAD" w:rsidRDefault="00060E34">
            <w:pPr>
              <w:tabs>
                <w:tab w:val="clear" w:pos="567"/>
                <w:tab w:val="left" w:pos="5520"/>
              </w:tabs>
              <w:autoSpaceDE w:val="0"/>
              <w:autoSpaceDN w:val="0"/>
              <w:adjustRightInd w:val="0"/>
              <w:spacing w:line="240" w:lineRule="auto"/>
              <w:rPr>
                <w:szCs w:val="22"/>
                <w:lang w:eastAsia="en-US" w:bidi="ar-SA"/>
              </w:rPr>
            </w:pPr>
            <w:r>
              <w:rPr>
                <w:b/>
                <w:bCs/>
                <w:szCs w:val="22"/>
                <w:lang w:eastAsia="en-US" w:bidi="ar-SA"/>
              </w:rPr>
              <w:t xml:space="preserve">Nu </w:t>
            </w:r>
            <w:r>
              <w:rPr>
                <w:szCs w:val="22"/>
                <w:lang w:eastAsia="en-US" w:bidi="ar-SA"/>
              </w:rPr>
              <w:t>îndepărtați capacul de culoare galbenă de pe penul preumplut decât atunci când sunteţi pregătit pentru injectare.</w:t>
            </w:r>
          </w:p>
        </w:tc>
      </w:tr>
      <w:tr w:rsidR="00C04CAD" w14:paraId="51F7B8E7" w14:textId="77777777">
        <w:tc>
          <w:tcPr>
            <w:tcW w:w="263" w:type="pct"/>
            <w:tcMar>
              <w:top w:w="28" w:type="dxa"/>
              <w:left w:w="57" w:type="dxa"/>
              <w:bottom w:w="28" w:type="dxa"/>
              <w:right w:w="57" w:type="dxa"/>
            </w:tcMar>
          </w:tcPr>
          <w:p w14:paraId="0FDDC230" w14:textId="77777777" w:rsidR="00C04CAD" w:rsidRDefault="00060E34">
            <w:pPr>
              <w:keepNext/>
              <w:keepLines/>
              <w:pageBreakBefore/>
              <w:suppressAutoHyphens/>
              <w:spacing w:line="240" w:lineRule="auto"/>
              <w:textAlignment w:val="center"/>
              <w:rPr>
                <w:rFonts w:eastAsia="PMingLiU"/>
                <w:b/>
                <w:color w:val="000000"/>
                <w:szCs w:val="22"/>
              </w:rPr>
            </w:pPr>
            <w:r>
              <w:rPr>
                <w:rFonts w:eastAsia="PMingLiU"/>
                <w:b/>
                <w:szCs w:val="22"/>
              </w:rPr>
              <w:t>F.</w:t>
            </w:r>
          </w:p>
        </w:tc>
        <w:tc>
          <w:tcPr>
            <w:tcW w:w="4737" w:type="pct"/>
            <w:gridSpan w:val="2"/>
            <w:tcMar>
              <w:top w:w="28" w:type="dxa"/>
              <w:left w:w="57" w:type="dxa"/>
              <w:bottom w:w="28" w:type="dxa"/>
              <w:right w:w="57" w:type="dxa"/>
            </w:tcMar>
          </w:tcPr>
          <w:p w14:paraId="496F680E" w14:textId="77777777" w:rsidR="00C04CAD" w:rsidRDefault="00060E34">
            <w:pPr>
              <w:keepNext/>
              <w:keepLines/>
              <w:spacing w:line="240" w:lineRule="auto"/>
              <w:rPr>
                <w:rFonts w:eastAsia="PMingLiU"/>
                <w:color w:val="000000"/>
                <w:szCs w:val="22"/>
              </w:rPr>
            </w:pPr>
            <w:r>
              <w:rPr>
                <w:rFonts w:eastAsia="PMingLiU"/>
                <w:szCs w:val="22"/>
              </w:rPr>
              <w:t>Întindeţi sau prindeţi între degete locul de injectare pentru a crea o suprafaţă fermă.</w:t>
            </w:r>
          </w:p>
        </w:tc>
      </w:tr>
      <w:tr w:rsidR="00C04CAD" w14:paraId="0CBD1EE9" w14:textId="77777777">
        <w:tc>
          <w:tcPr>
            <w:tcW w:w="5000" w:type="pct"/>
            <w:gridSpan w:val="3"/>
            <w:tcBorders>
              <w:bottom w:val="nil"/>
            </w:tcBorders>
            <w:tcMar>
              <w:top w:w="28" w:type="dxa"/>
              <w:left w:w="57" w:type="dxa"/>
              <w:bottom w:w="28" w:type="dxa"/>
              <w:right w:w="57" w:type="dxa"/>
            </w:tcMar>
          </w:tcPr>
          <w:p w14:paraId="277D4B43" w14:textId="77777777" w:rsidR="00C04CAD" w:rsidRDefault="00060E34">
            <w:pPr>
              <w:keepNext/>
              <w:keepLines/>
              <w:tabs>
                <w:tab w:val="left" w:pos="810"/>
              </w:tabs>
              <w:suppressAutoHyphens/>
              <w:spacing w:line="240" w:lineRule="auto"/>
              <w:contextualSpacing/>
              <w:textAlignment w:val="center"/>
              <w:rPr>
                <w:rFonts w:eastAsia="PMingLiU"/>
                <w:b/>
                <w:color w:val="000000"/>
                <w:szCs w:val="22"/>
                <w:lang w:eastAsia="ja-JP"/>
              </w:rPr>
            </w:pPr>
            <w:r>
              <w:rPr>
                <w:rFonts w:eastAsia="PMingLiU"/>
                <w:b/>
                <w:color w:val="000000"/>
                <w:szCs w:val="22"/>
                <w:lang w:eastAsia="ja-JP"/>
              </w:rPr>
              <w:t>Metoda întinderii pielii</w:t>
            </w:r>
          </w:p>
        </w:tc>
      </w:tr>
      <w:tr w:rsidR="00C04CAD" w14:paraId="10F28E3A" w14:textId="77777777">
        <w:trPr>
          <w:trHeight w:val="3056"/>
        </w:trPr>
        <w:tc>
          <w:tcPr>
            <w:tcW w:w="5000" w:type="pct"/>
            <w:gridSpan w:val="3"/>
            <w:tcBorders>
              <w:top w:val="nil"/>
              <w:bottom w:val="nil"/>
            </w:tcBorders>
            <w:tcMar>
              <w:top w:w="28" w:type="dxa"/>
              <w:left w:w="57" w:type="dxa"/>
              <w:bottom w:w="28" w:type="dxa"/>
              <w:right w:w="57" w:type="dxa"/>
            </w:tcMar>
            <w:vAlign w:val="center"/>
          </w:tcPr>
          <w:p w14:paraId="4E5794C1" w14:textId="77777777" w:rsidR="00C04CAD" w:rsidRDefault="00060E34">
            <w:pPr>
              <w:keepNext/>
              <w:keepLines/>
              <w:suppressAutoHyphens/>
              <w:spacing w:line="240" w:lineRule="auto"/>
              <w:textAlignment w:val="center"/>
              <w:rPr>
                <w:rFonts w:eastAsia="PMingLiU"/>
                <w:color w:val="000000"/>
                <w:szCs w:val="22"/>
              </w:rPr>
            </w:pPr>
            <w:r>
              <w:rPr>
                <w:noProof/>
              </w:rPr>
              <w:drawing>
                <wp:anchor distT="0" distB="0" distL="114300" distR="114300" simplePos="0" relativeHeight="251671552" behindDoc="0" locked="0" layoutInCell="1" allowOverlap="1" wp14:anchorId="2836ED0D" wp14:editId="5E30CF9B">
                  <wp:simplePos x="0" y="0"/>
                  <wp:positionH relativeFrom="column">
                    <wp:posOffset>37465</wp:posOffset>
                  </wp:positionH>
                  <wp:positionV relativeFrom="paragraph">
                    <wp:posOffset>-864870</wp:posOffset>
                  </wp:positionV>
                  <wp:extent cx="2393315" cy="1884680"/>
                  <wp:effectExtent l="0" t="0" r="0" b="0"/>
                  <wp:wrapSquare wrapText="bothSides"/>
                  <wp:docPr id="934513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513176"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393315" cy="1884680"/>
                          </a:xfrm>
                          <a:prstGeom prst="rect">
                            <a:avLst/>
                          </a:prstGeom>
                          <a:noFill/>
                        </pic:spPr>
                      </pic:pic>
                    </a:graphicData>
                  </a:graphic>
                </wp:anchor>
              </w:drawing>
            </w:r>
          </w:p>
        </w:tc>
      </w:tr>
      <w:tr w:rsidR="00C04CAD" w14:paraId="72D59538" w14:textId="77777777">
        <w:tc>
          <w:tcPr>
            <w:tcW w:w="5000" w:type="pct"/>
            <w:gridSpan w:val="3"/>
            <w:tcBorders>
              <w:top w:val="nil"/>
              <w:bottom w:val="nil"/>
            </w:tcBorders>
            <w:tcMar>
              <w:top w:w="28" w:type="dxa"/>
              <w:left w:w="57" w:type="dxa"/>
              <w:bottom w:w="28" w:type="dxa"/>
              <w:right w:w="57" w:type="dxa"/>
            </w:tcMar>
          </w:tcPr>
          <w:p w14:paraId="4446FFF1" w14:textId="77777777" w:rsidR="00C04CAD" w:rsidRDefault="00060E34">
            <w:pPr>
              <w:keepNext/>
              <w:keepLines/>
              <w:suppressAutoHyphens/>
              <w:spacing w:line="240" w:lineRule="auto"/>
              <w:textAlignment w:val="center"/>
              <w:rPr>
                <w:rFonts w:eastAsia="PMingLiU"/>
                <w:color w:val="000000"/>
                <w:szCs w:val="22"/>
              </w:rPr>
            </w:pPr>
            <w:r>
              <w:rPr>
                <w:rFonts w:eastAsia="PMingLiU"/>
                <w:color w:val="000000"/>
                <w:szCs w:val="22"/>
              </w:rPr>
              <w:t xml:space="preserve">Întindeţi bine pielea prin deplasarea în direcţii opuse a degetului mare şi a celorlalte degete, pentru a forma o zonă de aproximativ </w:t>
            </w:r>
            <w:r>
              <w:rPr>
                <w:rFonts w:eastAsia="PMingLiU"/>
                <w:b/>
                <w:color w:val="000000"/>
                <w:szCs w:val="22"/>
              </w:rPr>
              <w:t>5</w:t>
            </w:r>
            <w:r>
              <w:rPr>
                <w:rFonts w:eastAsia="PMingLiU"/>
                <w:color w:val="000000"/>
                <w:szCs w:val="22"/>
              </w:rPr>
              <w:t xml:space="preserve"> centimetri.</w:t>
            </w:r>
          </w:p>
        </w:tc>
      </w:tr>
      <w:tr w:rsidR="00C04CAD" w14:paraId="1E280F03" w14:textId="77777777">
        <w:tc>
          <w:tcPr>
            <w:tcW w:w="5000" w:type="pct"/>
            <w:gridSpan w:val="3"/>
            <w:tcBorders>
              <w:top w:val="nil"/>
              <w:bottom w:val="nil"/>
            </w:tcBorders>
            <w:tcMar>
              <w:top w:w="28" w:type="dxa"/>
              <w:left w:w="57" w:type="dxa"/>
              <w:bottom w:w="28" w:type="dxa"/>
              <w:right w:w="57" w:type="dxa"/>
            </w:tcMar>
          </w:tcPr>
          <w:p w14:paraId="06CA68ED" w14:textId="77777777" w:rsidR="00C04CAD" w:rsidRDefault="00060E34">
            <w:pPr>
              <w:keepNext/>
              <w:keepLines/>
              <w:spacing w:line="240" w:lineRule="auto"/>
              <w:ind w:left="720" w:hanging="720"/>
              <w:jc w:val="center"/>
              <w:rPr>
                <w:b/>
                <w:bCs/>
                <w:szCs w:val="22"/>
              </w:rPr>
            </w:pPr>
            <w:r>
              <w:rPr>
                <w:b/>
                <w:bCs/>
                <w:szCs w:val="22"/>
              </w:rPr>
              <w:t>SAU</w:t>
            </w:r>
          </w:p>
        </w:tc>
      </w:tr>
      <w:tr w:rsidR="00C04CAD" w14:paraId="5541F3C4" w14:textId="77777777">
        <w:trPr>
          <w:trHeight w:val="315"/>
        </w:trPr>
        <w:tc>
          <w:tcPr>
            <w:tcW w:w="5000" w:type="pct"/>
            <w:gridSpan w:val="3"/>
            <w:tcBorders>
              <w:top w:val="nil"/>
              <w:bottom w:val="nil"/>
            </w:tcBorders>
            <w:tcMar>
              <w:top w:w="28" w:type="dxa"/>
              <w:left w:w="57" w:type="dxa"/>
              <w:bottom w:w="28" w:type="dxa"/>
              <w:right w:w="57" w:type="dxa"/>
            </w:tcMar>
          </w:tcPr>
          <w:p w14:paraId="01D4A170" w14:textId="77777777" w:rsidR="00C04CAD" w:rsidRDefault="00060E34">
            <w:pPr>
              <w:keepNext/>
              <w:tabs>
                <w:tab w:val="left" w:pos="810"/>
              </w:tabs>
              <w:suppressAutoHyphens/>
              <w:spacing w:line="240" w:lineRule="auto"/>
              <w:contextualSpacing/>
              <w:textAlignment w:val="center"/>
              <w:rPr>
                <w:rFonts w:eastAsia="PMingLiU"/>
                <w:b/>
                <w:color w:val="000000"/>
                <w:szCs w:val="22"/>
                <w:lang w:eastAsia="ja-JP"/>
              </w:rPr>
            </w:pPr>
            <w:r>
              <w:rPr>
                <w:rFonts w:eastAsia="PMingLiU"/>
                <w:b/>
                <w:color w:val="000000"/>
                <w:szCs w:val="22"/>
                <w:lang w:eastAsia="ja-JP"/>
              </w:rPr>
              <w:t>Metoda prinderii între degete</w:t>
            </w:r>
          </w:p>
        </w:tc>
      </w:tr>
      <w:tr w:rsidR="00C04CAD" w14:paraId="301D7FBA" w14:textId="77777777">
        <w:tc>
          <w:tcPr>
            <w:tcW w:w="5000" w:type="pct"/>
            <w:gridSpan w:val="3"/>
            <w:tcBorders>
              <w:top w:val="nil"/>
              <w:bottom w:val="nil"/>
            </w:tcBorders>
            <w:tcMar>
              <w:top w:w="28" w:type="dxa"/>
              <w:left w:w="57" w:type="dxa"/>
              <w:bottom w:w="28" w:type="dxa"/>
              <w:right w:w="57" w:type="dxa"/>
            </w:tcMar>
            <w:vAlign w:val="center"/>
          </w:tcPr>
          <w:p w14:paraId="5E319B3E" w14:textId="77777777" w:rsidR="00C04CAD" w:rsidRDefault="00060E34">
            <w:pPr>
              <w:keepNext/>
              <w:spacing w:line="240" w:lineRule="auto"/>
              <w:ind w:left="720" w:hanging="720"/>
              <w:rPr>
                <w:b/>
                <w:bCs/>
                <w:szCs w:val="22"/>
              </w:rPr>
            </w:pPr>
            <w:r>
              <w:rPr>
                <w:noProof/>
              </w:rPr>
              <w:drawing>
                <wp:anchor distT="0" distB="0" distL="114300" distR="114300" simplePos="0" relativeHeight="251672576" behindDoc="0" locked="0" layoutInCell="1" allowOverlap="1" wp14:anchorId="11995CE1" wp14:editId="25294118">
                  <wp:simplePos x="0" y="0"/>
                  <wp:positionH relativeFrom="column">
                    <wp:posOffset>37465</wp:posOffset>
                  </wp:positionH>
                  <wp:positionV relativeFrom="paragraph">
                    <wp:posOffset>-1318260</wp:posOffset>
                  </wp:positionV>
                  <wp:extent cx="2504440" cy="1447165"/>
                  <wp:effectExtent l="0" t="0" r="0" b="0"/>
                  <wp:wrapSquare wrapText="bothSides"/>
                  <wp:docPr id="21885140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51407" name="Picture 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504440" cy="1447165"/>
                          </a:xfrm>
                          <a:prstGeom prst="rect">
                            <a:avLst/>
                          </a:prstGeom>
                          <a:noFill/>
                        </pic:spPr>
                      </pic:pic>
                    </a:graphicData>
                  </a:graphic>
                </wp:anchor>
              </w:drawing>
            </w:r>
          </w:p>
        </w:tc>
      </w:tr>
      <w:tr w:rsidR="00C04CAD" w14:paraId="51E509DA" w14:textId="77777777">
        <w:tc>
          <w:tcPr>
            <w:tcW w:w="5000" w:type="pct"/>
            <w:gridSpan w:val="3"/>
            <w:tcBorders>
              <w:top w:val="nil"/>
              <w:bottom w:val="nil"/>
            </w:tcBorders>
            <w:tcMar>
              <w:top w:w="28" w:type="dxa"/>
              <w:left w:w="57" w:type="dxa"/>
              <w:bottom w:w="28" w:type="dxa"/>
              <w:right w:w="57" w:type="dxa"/>
            </w:tcMar>
          </w:tcPr>
          <w:p w14:paraId="76B9D31D" w14:textId="77777777" w:rsidR="00C04CAD" w:rsidRDefault="00060E34">
            <w:pPr>
              <w:suppressAutoHyphens/>
              <w:spacing w:line="240" w:lineRule="auto"/>
              <w:textAlignment w:val="center"/>
              <w:rPr>
                <w:rFonts w:eastAsia="PMingLiU"/>
                <w:color w:val="000000"/>
                <w:szCs w:val="22"/>
              </w:rPr>
            </w:pPr>
            <w:r>
              <w:rPr>
                <w:rFonts w:eastAsia="PMingLiU"/>
                <w:color w:val="000000"/>
                <w:szCs w:val="22"/>
              </w:rPr>
              <w:t xml:space="preserve">Prindeţi ferm pielea între degetul mare şi celelalte degete, pentru a forma un pliu cu suprafaţa de aproximativ </w:t>
            </w:r>
            <w:r>
              <w:rPr>
                <w:rFonts w:eastAsia="PMingLiU"/>
                <w:b/>
                <w:color w:val="000000"/>
                <w:szCs w:val="22"/>
              </w:rPr>
              <w:t>5</w:t>
            </w:r>
            <w:r>
              <w:rPr>
                <w:rFonts w:eastAsia="PMingLiU"/>
                <w:color w:val="000000"/>
                <w:szCs w:val="22"/>
              </w:rPr>
              <w:t xml:space="preserve"> centimetri.</w:t>
            </w:r>
          </w:p>
        </w:tc>
      </w:tr>
      <w:tr w:rsidR="00C04CAD" w14:paraId="599A783F" w14:textId="77777777">
        <w:tc>
          <w:tcPr>
            <w:tcW w:w="5000" w:type="pct"/>
            <w:gridSpan w:val="3"/>
            <w:tcBorders>
              <w:top w:val="nil"/>
            </w:tcBorders>
            <w:tcMar>
              <w:top w:w="28" w:type="dxa"/>
              <w:left w:w="57" w:type="dxa"/>
              <w:bottom w:w="28" w:type="dxa"/>
              <w:right w:w="57" w:type="dxa"/>
            </w:tcMar>
          </w:tcPr>
          <w:p w14:paraId="5AB7D606" w14:textId="77777777" w:rsidR="00C04CAD" w:rsidRDefault="00060E34">
            <w:pPr>
              <w:spacing w:line="240" w:lineRule="auto"/>
              <w:rPr>
                <w:szCs w:val="22"/>
              </w:rPr>
            </w:pPr>
            <w:r>
              <w:rPr>
                <w:b/>
                <w:bCs/>
                <w:szCs w:val="22"/>
              </w:rPr>
              <w:t xml:space="preserve">Important: </w:t>
            </w:r>
            <w:r>
              <w:rPr>
                <w:szCs w:val="22"/>
              </w:rPr>
              <w:t>Menţineţi pielea întinsă sau prinsă între degete pe durata injectării.</w:t>
            </w:r>
          </w:p>
        </w:tc>
      </w:tr>
    </w:tbl>
    <w:p w14:paraId="16040173"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64D07A15" w14:textId="77777777">
        <w:tc>
          <w:tcPr>
            <w:tcW w:w="5000" w:type="pct"/>
            <w:tcMar>
              <w:top w:w="28" w:type="dxa"/>
              <w:left w:w="57" w:type="dxa"/>
              <w:bottom w:w="28" w:type="dxa"/>
              <w:right w:w="57" w:type="dxa"/>
            </w:tcMar>
          </w:tcPr>
          <w:p w14:paraId="32B85638" w14:textId="77777777" w:rsidR="00C04CAD" w:rsidRDefault="00060E34">
            <w:pPr>
              <w:tabs>
                <w:tab w:val="left" w:pos="810"/>
              </w:tabs>
              <w:suppressAutoHyphens/>
              <w:spacing w:line="240" w:lineRule="auto"/>
              <w:contextualSpacing/>
              <w:jc w:val="center"/>
              <w:textAlignment w:val="center"/>
              <w:rPr>
                <w:rFonts w:eastAsia="PMingLiU"/>
                <w:b/>
                <w:color w:val="000000"/>
                <w:szCs w:val="22"/>
                <w:lang w:eastAsia="ja-JP"/>
              </w:rPr>
            </w:pPr>
            <w:r>
              <w:rPr>
                <w:rFonts w:eastAsia="PMingLiU"/>
                <w:b/>
                <w:color w:val="000000"/>
                <w:szCs w:val="22"/>
                <w:lang w:eastAsia="ja-JP"/>
              </w:rPr>
              <w:t>Etapa 3: Injectarea</w:t>
            </w:r>
          </w:p>
        </w:tc>
      </w:tr>
    </w:tbl>
    <w:p w14:paraId="2CE86C5E" w14:textId="77777777" w:rsidR="00C04CAD" w:rsidRDefault="00C04CAD">
      <w:pPr>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C04CAD" w14:paraId="1C490BBD" w14:textId="77777777">
        <w:tc>
          <w:tcPr>
            <w:tcW w:w="294" w:type="pct"/>
            <w:tcMar>
              <w:top w:w="28" w:type="dxa"/>
              <w:left w:w="57" w:type="dxa"/>
              <w:bottom w:w="28" w:type="dxa"/>
              <w:right w:w="57" w:type="dxa"/>
            </w:tcMar>
          </w:tcPr>
          <w:p w14:paraId="6B922BD6" w14:textId="77777777" w:rsidR="00C04CAD" w:rsidRDefault="00060E34">
            <w:pPr>
              <w:keepLines/>
              <w:suppressAutoHyphens/>
              <w:autoSpaceDE w:val="0"/>
              <w:autoSpaceDN w:val="0"/>
              <w:adjustRightInd w:val="0"/>
              <w:spacing w:line="240" w:lineRule="auto"/>
              <w:textAlignment w:val="center"/>
              <w:rPr>
                <w:rFonts w:eastAsia="SimSun"/>
                <w:b/>
                <w:color w:val="000000"/>
                <w:szCs w:val="22"/>
                <w:lang w:eastAsia="en-US" w:bidi="ar-SA"/>
              </w:rPr>
            </w:pPr>
            <w:r>
              <w:rPr>
                <w:rFonts w:eastAsia="SimSun"/>
                <w:b/>
                <w:szCs w:val="22"/>
                <w:lang w:eastAsia="en-US" w:bidi="ar-SA"/>
              </w:rPr>
              <w:t>G.</w:t>
            </w:r>
          </w:p>
        </w:tc>
        <w:tc>
          <w:tcPr>
            <w:tcW w:w="4706" w:type="pct"/>
            <w:tcMar>
              <w:top w:w="28" w:type="dxa"/>
              <w:left w:w="57" w:type="dxa"/>
              <w:bottom w:w="28" w:type="dxa"/>
              <w:right w:w="57" w:type="dxa"/>
            </w:tcMar>
          </w:tcPr>
          <w:p w14:paraId="61A89AD7" w14:textId="77777777" w:rsidR="00C04CAD" w:rsidRDefault="00060E34">
            <w:pPr>
              <w:keepLines/>
              <w:tabs>
                <w:tab w:val="clear" w:pos="567"/>
              </w:tabs>
              <w:autoSpaceDE w:val="0"/>
              <w:autoSpaceDN w:val="0"/>
              <w:adjustRightInd w:val="0"/>
              <w:spacing w:line="240" w:lineRule="auto"/>
              <w:rPr>
                <w:rFonts w:eastAsia="SimSun"/>
                <w:color w:val="000000"/>
                <w:szCs w:val="22"/>
                <w:lang w:eastAsia="en-US" w:bidi="ar-SA"/>
              </w:rPr>
            </w:pPr>
            <w:r>
              <w:rPr>
                <w:rFonts w:eastAsia="SimSun"/>
                <w:szCs w:val="22"/>
                <w:lang w:eastAsia="en-US" w:bidi="ar-SA"/>
              </w:rPr>
              <w:t xml:space="preserve">Menţineţi pielea întinsă sau prinsă între degete. După ce detaşaţi capacul de culoare galbenă, </w:t>
            </w:r>
            <w:r>
              <w:rPr>
                <w:rFonts w:eastAsia="SimSun"/>
                <w:b/>
                <w:bCs/>
                <w:szCs w:val="22"/>
                <w:lang w:eastAsia="en-US" w:bidi="ar-SA"/>
              </w:rPr>
              <w:t xml:space="preserve">așezați </w:t>
            </w:r>
            <w:r>
              <w:rPr>
                <w:rFonts w:eastAsia="SimSun"/>
                <w:szCs w:val="22"/>
                <w:lang w:eastAsia="en-US" w:bidi="ar-SA"/>
              </w:rPr>
              <w:t>penul preumplut pe piele la un unghi de 90</w:t>
            </w:r>
            <w:r>
              <w:rPr>
                <w:rFonts w:eastAsia="SimSun"/>
                <w:bCs/>
                <w:szCs w:val="22"/>
                <w:lang w:eastAsia="en-US" w:bidi="ar-SA"/>
              </w:rPr>
              <w:t> </w:t>
            </w:r>
            <w:r>
              <w:rPr>
                <w:rFonts w:eastAsia="SimSun"/>
                <w:szCs w:val="22"/>
                <w:lang w:eastAsia="en-US" w:bidi="ar-SA"/>
              </w:rPr>
              <w:t>de grade.</w:t>
            </w:r>
          </w:p>
        </w:tc>
      </w:tr>
      <w:tr w:rsidR="00C04CAD" w14:paraId="6B3B5482" w14:textId="77777777">
        <w:tc>
          <w:tcPr>
            <w:tcW w:w="5000" w:type="pct"/>
            <w:gridSpan w:val="2"/>
            <w:tcBorders>
              <w:bottom w:val="nil"/>
            </w:tcBorders>
            <w:tcMar>
              <w:top w:w="28" w:type="dxa"/>
              <w:left w:w="57" w:type="dxa"/>
              <w:bottom w:w="28" w:type="dxa"/>
              <w:right w:w="57" w:type="dxa"/>
            </w:tcMar>
          </w:tcPr>
          <w:p w14:paraId="39541F23" w14:textId="77777777" w:rsidR="00C04CAD" w:rsidRDefault="00060E34">
            <w:pPr>
              <w:suppressAutoHyphens/>
              <w:autoSpaceDE w:val="0"/>
              <w:autoSpaceDN w:val="0"/>
              <w:adjustRightInd w:val="0"/>
              <w:spacing w:line="240" w:lineRule="auto"/>
              <w:textAlignment w:val="center"/>
              <w:rPr>
                <w:rFonts w:eastAsia="SimSun"/>
                <w:color w:val="000000"/>
                <w:szCs w:val="22"/>
                <w:lang w:eastAsia="en-US" w:bidi="ar-SA"/>
              </w:rPr>
            </w:pPr>
            <w:r>
              <w:rPr>
                <w:rFonts w:eastAsia="SimSun" w:cs="Arial"/>
                <w:b/>
                <w:noProof/>
                <w:szCs w:val="22"/>
                <w:lang w:val="en-US" w:eastAsia="zh-CN" w:bidi="ar-SA"/>
              </w:rPr>
              <w:drawing>
                <wp:inline distT="0" distB="0" distL="0" distR="0" wp14:anchorId="0FD26C01" wp14:editId="16862A26">
                  <wp:extent cx="2836545" cy="1558925"/>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836545" cy="1558925"/>
                          </a:xfrm>
                          <a:prstGeom prst="rect">
                            <a:avLst/>
                          </a:prstGeom>
                          <a:noFill/>
                          <a:ln>
                            <a:noFill/>
                          </a:ln>
                        </pic:spPr>
                      </pic:pic>
                    </a:graphicData>
                  </a:graphic>
                </wp:inline>
              </w:drawing>
            </w:r>
          </w:p>
        </w:tc>
      </w:tr>
      <w:tr w:rsidR="00C04CAD" w14:paraId="711E63A4" w14:textId="77777777">
        <w:tc>
          <w:tcPr>
            <w:tcW w:w="5000" w:type="pct"/>
            <w:gridSpan w:val="2"/>
            <w:tcBorders>
              <w:top w:val="nil"/>
            </w:tcBorders>
            <w:tcMar>
              <w:top w:w="28" w:type="dxa"/>
              <w:left w:w="57" w:type="dxa"/>
              <w:bottom w:w="28" w:type="dxa"/>
              <w:right w:w="57" w:type="dxa"/>
            </w:tcMar>
          </w:tcPr>
          <w:p w14:paraId="5E25F46A" w14:textId="77777777" w:rsidR="00C04CAD" w:rsidRDefault="00060E34">
            <w:pPr>
              <w:tabs>
                <w:tab w:val="clear" w:pos="567"/>
                <w:tab w:val="left" w:pos="810"/>
              </w:tabs>
              <w:suppressAutoHyphens/>
              <w:autoSpaceDE w:val="0"/>
              <w:autoSpaceDN w:val="0"/>
              <w:adjustRightInd w:val="0"/>
              <w:spacing w:line="240" w:lineRule="auto"/>
              <w:contextualSpacing/>
              <w:textAlignment w:val="center"/>
              <w:rPr>
                <w:rFonts w:eastAsia="SimSun"/>
                <w:color w:val="000000"/>
                <w:szCs w:val="22"/>
                <w:lang w:eastAsia="ja-JP" w:bidi="ar-SA"/>
              </w:rPr>
            </w:pPr>
            <w:r>
              <w:rPr>
                <w:rFonts w:eastAsia="SimSun"/>
                <w:b/>
                <w:color w:val="000000"/>
                <w:szCs w:val="22"/>
                <w:lang w:eastAsia="ja-JP" w:bidi="ar-SA"/>
              </w:rPr>
              <w:t xml:space="preserve">Important: </w:t>
            </w:r>
            <w:r>
              <w:rPr>
                <w:rFonts w:eastAsia="SimSun"/>
                <w:color w:val="000000"/>
                <w:szCs w:val="22"/>
                <w:lang w:eastAsia="ja-JP" w:bidi="ar-SA"/>
              </w:rPr>
              <w:t>Nu atingeţi încă butonul albastru declanşator.</w:t>
            </w:r>
          </w:p>
        </w:tc>
      </w:tr>
    </w:tbl>
    <w:p w14:paraId="35E18251"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C04CAD" w14:paraId="42B69E60" w14:textId="77777777">
        <w:tc>
          <w:tcPr>
            <w:tcW w:w="374" w:type="pct"/>
            <w:tcMar>
              <w:top w:w="28" w:type="dxa"/>
              <w:left w:w="57" w:type="dxa"/>
              <w:bottom w:w="28" w:type="dxa"/>
              <w:right w:w="57" w:type="dxa"/>
            </w:tcMar>
          </w:tcPr>
          <w:p w14:paraId="27511B18" w14:textId="77777777" w:rsidR="00C04CAD" w:rsidRDefault="00060E34">
            <w:pPr>
              <w:keepNext/>
              <w:keepLines/>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H.</w:t>
            </w:r>
          </w:p>
        </w:tc>
        <w:tc>
          <w:tcPr>
            <w:tcW w:w="4626" w:type="pct"/>
            <w:tcMar>
              <w:top w:w="28" w:type="dxa"/>
              <w:left w:w="57" w:type="dxa"/>
              <w:bottom w:w="28" w:type="dxa"/>
              <w:right w:w="57" w:type="dxa"/>
            </w:tcMar>
          </w:tcPr>
          <w:p w14:paraId="6D892E00" w14:textId="77777777" w:rsidR="00C04CAD" w:rsidRDefault="00060E34">
            <w:pPr>
              <w:keepLines/>
              <w:tabs>
                <w:tab w:val="clear" w:pos="567"/>
              </w:tabs>
              <w:autoSpaceDE w:val="0"/>
              <w:autoSpaceDN w:val="0"/>
              <w:adjustRightInd w:val="0"/>
              <w:spacing w:line="240" w:lineRule="auto"/>
              <w:rPr>
                <w:rFonts w:eastAsia="PMingLiU"/>
                <w:color w:val="000000"/>
                <w:szCs w:val="22"/>
                <w:lang w:eastAsia="en-US" w:bidi="ar-SA"/>
              </w:rPr>
            </w:pPr>
            <w:r>
              <w:rPr>
                <w:rFonts w:eastAsia="PMingLiU"/>
                <w:b/>
                <w:szCs w:val="22"/>
                <w:lang w:eastAsia="en-US" w:bidi="ar-SA"/>
              </w:rPr>
              <w:t xml:space="preserve">Apăsaţi </w:t>
            </w:r>
            <w:r>
              <w:rPr>
                <w:rFonts w:eastAsia="PMingLiU"/>
                <w:szCs w:val="22"/>
                <w:lang w:eastAsia="en-US" w:bidi="ar-SA"/>
              </w:rPr>
              <w:t xml:space="preserve">cu fermitate </w:t>
            </w:r>
            <w:r>
              <w:rPr>
                <w:rFonts w:eastAsia="PMingLiU"/>
                <w:bCs/>
                <w:szCs w:val="22"/>
                <w:lang w:eastAsia="en-US" w:bidi="ar-SA"/>
              </w:rPr>
              <w:t>penul preumplut pe piele până când nu mai poate înainta.</w:t>
            </w:r>
          </w:p>
        </w:tc>
      </w:tr>
      <w:tr w:rsidR="00C04CAD" w14:paraId="5A1512AF" w14:textId="77777777">
        <w:tc>
          <w:tcPr>
            <w:tcW w:w="5000" w:type="pct"/>
            <w:gridSpan w:val="2"/>
            <w:tcBorders>
              <w:bottom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C04CAD" w14:paraId="22CEC404" w14:textId="77777777">
              <w:trPr>
                <w:cantSplit/>
                <w:trHeight w:val="1134"/>
              </w:trPr>
              <w:tc>
                <w:tcPr>
                  <w:tcW w:w="4820" w:type="dxa"/>
                  <w:vMerge w:val="restart"/>
                  <w:tcBorders>
                    <w:top w:val="nil"/>
                    <w:left w:val="nil"/>
                    <w:bottom w:val="nil"/>
                    <w:right w:val="nil"/>
                  </w:tcBorders>
                </w:tcPr>
                <w:p w14:paraId="72E6A3C3" w14:textId="77777777" w:rsidR="00C04CAD" w:rsidRDefault="00060E34">
                  <w:pPr>
                    <w:keepNext/>
                    <w:keepLines/>
                    <w:tabs>
                      <w:tab w:val="clear" w:pos="567"/>
                      <w:tab w:val="left" w:pos="810"/>
                    </w:tabs>
                    <w:suppressAutoHyphens/>
                    <w:autoSpaceDE w:val="0"/>
                    <w:autoSpaceDN w:val="0"/>
                    <w:adjustRightInd w:val="0"/>
                    <w:spacing w:line="240" w:lineRule="auto"/>
                    <w:contextualSpacing/>
                    <w:textAlignment w:val="center"/>
                    <w:rPr>
                      <w:rFonts w:eastAsia="PMingLiU"/>
                      <w:b/>
                      <w:color w:val="000000"/>
                      <w:szCs w:val="22"/>
                      <w:lang w:eastAsia="en-US" w:bidi="ar-SA"/>
                    </w:rPr>
                  </w:pPr>
                  <w:r>
                    <w:rPr>
                      <w:b/>
                      <w:noProof/>
                      <w:szCs w:val="22"/>
                      <w:lang w:val="en-US" w:eastAsia="zh-CN" w:bidi="ar-SA"/>
                    </w:rPr>
                    <w:drawing>
                      <wp:inline distT="0" distB="0" distL="0" distR="0" wp14:anchorId="340BA7BB" wp14:editId="3E2E860D">
                        <wp:extent cx="2743200" cy="1548130"/>
                        <wp:effectExtent l="0" t="0" r="0" b="0"/>
                        <wp:docPr id="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743200" cy="1548130"/>
                                </a:xfrm>
                                <a:prstGeom prst="rect">
                                  <a:avLst/>
                                </a:prstGeom>
                                <a:noFill/>
                                <a:ln>
                                  <a:noFill/>
                                </a:ln>
                              </pic:spPr>
                            </pic:pic>
                          </a:graphicData>
                        </a:graphic>
                      </wp:inline>
                    </w:drawing>
                  </w:r>
                </w:p>
              </w:tc>
              <w:tc>
                <w:tcPr>
                  <w:tcW w:w="4054" w:type="dxa"/>
                  <w:tcBorders>
                    <w:top w:val="nil"/>
                    <w:left w:val="nil"/>
                    <w:bottom w:val="nil"/>
                    <w:right w:val="nil"/>
                  </w:tcBorders>
                  <w:tcMar>
                    <w:left w:w="567" w:type="dxa"/>
                  </w:tcMar>
                  <w:vAlign w:val="bottom"/>
                </w:tcPr>
                <w:p w14:paraId="15255658" w14:textId="77777777" w:rsidR="00C04CAD" w:rsidRDefault="00060E34">
                  <w:pPr>
                    <w:pStyle w:val="BULLETED"/>
                    <w:keepNext/>
                    <w:keepLines/>
                    <w:widowControl/>
                    <w:numPr>
                      <w:ilvl w:val="0"/>
                      <w:numId w:val="0"/>
                    </w:numPr>
                    <w:spacing w:before="0" w:line="240" w:lineRule="auto"/>
                    <w:ind w:left="-108"/>
                    <w:rPr>
                      <w:b/>
                      <w:sz w:val="22"/>
                      <w:szCs w:val="22"/>
                      <w:lang w:val="ro-RO" w:eastAsia="en-GB"/>
                    </w:rPr>
                  </w:pPr>
                  <w:r>
                    <w:rPr>
                      <w:b/>
                      <w:noProof/>
                      <w:sz w:val="22"/>
                      <w:szCs w:val="22"/>
                      <w:lang w:eastAsia="zh-CN"/>
                    </w:rPr>
                    <w:drawing>
                      <wp:inline distT="0" distB="0" distL="0" distR="0" wp14:anchorId="19D987C0" wp14:editId="4939A139">
                        <wp:extent cx="727075" cy="727075"/>
                        <wp:effectExtent l="0" t="0" r="0"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727075" cy="727075"/>
                                </a:xfrm>
                                <a:prstGeom prst="rect">
                                  <a:avLst/>
                                </a:prstGeom>
                                <a:noFill/>
                                <a:ln>
                                  <a:noFill/>
                                </a:ln>
                              </pic:spPr>
                            </pic:pic>
                          </a:graphicData>
                        </a:graphic>
                      </wp:inline>
                    </w:drawing>
                  </w:r>
                  <w:r>
                    <w:rPr>
                      <w:rFonts w:eastAsia="MS Mincho"/>
                      <w:b/>
                      <w:bCs/>
                      <w:szCs w:val="22"/>
                      <w:lang w:val="ro-RO"/>
                    </w:rPr>
                    <w:t>Apăsați</w:t>
                  </w:r>
                </w:p>
                <w:p w14:paraId="546E3407" w14:textId="77777777" w:rsidR="00C04CAD" w:rsidRDefault="00C04CAD">
                  <w:pPr>
                    <w:keepNext/>
                    <w:keepLines/>
                    <w:tabs>
                      <w:tab w:val="clear" w:pos="567"/>
                      <w:tab w:val="left" w:pos="810"/>
                    </w:tabs>
                    <w:suppressAutoHyphens/>
                    <w:autoSpaceDE w:val="0"/>
                    <w:autoSpaceDN w:val="0"/>
                    <w:adjustRightInd w:val="0"/>
                    <w:spacing w:line="240" w:lineRule="auto"/>
                    <w:ind w:left="-108"/>
                    <w:contextualSpacing/>
                    <w:textAlignment w:val="center"/>
                    <w:rPr>
                      <w:rFonts w:eastAsia="PMingLiU"/>
                      <w:b/>
                      <w:color w:val="000000"/>
                      <w:szCs w:val="22"/>
                      <w:lang w:eastAsia="en-US" w:bidi="ar-SA"/>
                    </w:rPr>
                  </w:pPr>
                </w:p>
              </w:tc>
            </w:tr>
            <w:tr w:rsidR="00C04CAD" w14:paraId="60C31E47" w14:textId="77777777">
              <w:trPr>
                <w:trHeight w:val="1200"/>
              </w:trPr>
              <w:tc>
                <w:tcPr>
                  <w:tcW w:w="4820" w:type="dxa"/>
                  <w:vMerge/>
                  <w:tcBorders>
                    <w:top w:val="nil"/>
                    <w:left w:val="nil"/>
                    <w:bottom w:val="nil"/>
                    <w:right w:val="nil"/>
                  </w:tcBorders>
                </w:tcPr>
                <w:p w14:paraId="71428E43" w14:textId="77777777" w:rsidR="00C04CAD" w:rsidRDefault="00C04CAD">
                  <w:pPr>
                    <w:keepNext/>
                    <w:keepLines/>
                    <w:tabs>
                      <w:tab w:val="clear" w:pos="567"/>
                      <w:tab w:val="left" w:pos="810"/>
                    </w:tabs>
                    <w:suppressAutoHyphens/>
                    <w:autoSpaceDE w:val="0"/>
                    <w:autoSpaceDN w:val="0"/>
                    <w:adjustRightInd w:val="0"/>
                    <w:spacing w:line="240" w:lineRule="auto"/>
                    <w:contextualSpacing/>
                    <w:textAlignment w:val="center"/>
                    <w:rPr>
                      <w:rFonts w:eastAsia="PMingLiU"/>
                      <w:b/>
                      <w:color w:val="000000"/>
                      <w:szCs w:val="22"/>
                      <w:lang w:eastAsia="nl-NL" w:bidi="ar-SA"/>
                    </w:rPr>
                  </w:pPr>
                </w:p>
              </w:tc>
              <w:tc>
                <w:tcPr>
                  <w:tcW w:w="4054" w:type="dxa"/>
                  <w:tcBorders>
                    <w:top w:val="nil"/>
                    <w:left w:val="nil"/>
                    <w:bottom w:val="nil"/>
                    <w:right w:val="nil"/>
                  </w:tcBorders>
                </w:tcPr>
                <w:p w14:paraId="2158A51D" w14:textId="77777777" w:rsidR="00C04CAD" w:rsidRDefault="00C04CAD">
                  <w:pPr>
                    <w:keepNext/>
                    <w:keepLines/>
                    <w:tabs>
                      <w:tab w:val="clear" w:pos="567"/>
                      <w:tab w:val="left" w:pos="810"/>
                    </w:tabs>
                    <w:suppressAutoHyphens/>
                    <w:autoSpaceDE w:val="0"/>
                    <w:autoSpaceDN w:val="0"/>
                    <w:adjustRightInd w:val="0"/>
                    <w:spacing w:line="240" w:lineRule="auto"/>
                    <w:ind w:left="189"/>
                    <w:contextualSpacing/>
                    <w:textAlignment w:val="center"/>
                    <w:rPr>
                      <w:rFonts w:eastAsia="PMingLiU"/>
                      <w:b/>
                      <w:color w:val="000000"/>
                      <w:szCs w:val="22"/>
                      <w:lang w:eastAsia="en-US" w:bidi="ar-SA"/>
                    </w:rPr>
                  </w:pPr>
                </w:p>
              </w:tc>
            </w:tr>
          </w:tbl>
          <w:p w14:paraId="386D7457" w14:textId="77777777" w:rsidR="00C04CAD" w:rsidRDefault="00C04CAD">
            <w:pPr>
              <w:keepNext/>
              <w:keepLines/>
              <w:suppressAutoHyphens/>
              <w:autoSpaceDE w:val="0"/>
              <w:autoSpaceDN w:val="0"/>
              <w:adjustRightInd w:val="0"/>
              <w:spacing w:line="240" w:lineRule="auto"/>
              <w:textAlignment w:val="center"/>
              <w:rPr>
                <w:rFonts w:eastAsia="PMingLiU"/>
                <w:color w:val="000000"/>
                <w:szCs w:val="22"/>
                <w:lang w:eastAsia="en-US" w:bidi="ar-SA"/>
              </w:rPr>
            </w:pPr>
          </w:p>
        </w:tc>
      </w:tr>
      <w:tr w:rsidR="00C04CAD" w14:paraId="7C269AFA" w14:textId="77777777">
        <w:tc>
          <w:tcPr>
            <w:tcW w:w="5000" w:type="pct"/>
            <w:gridSpan w:val="2"/>
            <w:tcBorders>
              <w:top w:val="nil"/>
            </w:tcBorders>
            <w:tcMar>
              <w:top w:w="28" w:type="dxa"/>
              <w:left w:w="57" w:type="dxa"/>
              <w:bottom w:w="28" w:type="dxa"/>
              <w:right w:w="57" w:type="dxa"/>
            </w:tcMar>
          </w:tcPr>
          <w:p w14:paraId="757A9EAF" w14:textId="77777777" w:rsidR="00C04CAD" w:rsidRDefault="00060E34">
            <w:pPr>
              <w:keepNext/>
              <w:keepLines/>
              <w:tabs>
                <w:tab w:val="clear" w:pos="567"/>
                <w:tab w:val="left" w:pos="810"/>
              </w:tabs>
              <w:suppressAutoHyphens/>
              <w:autoSpaceDE w:val="0"/>
              <w:autoSpaceDN w:val="0"/>
              <w:adjustRightInd w:val="0"/>
              <w:spacing w:line="240" w:lineRule="auto"/>
              <w:contextualSpacing/>
              <w:textAlignment w:val="center"/>
              <w:rPr>
                <w:rFonts w:eastAsia="PMingLiU"/>
                <w:color w:val="000000"/>
                <w:szCs w:val="22"/>
                <w:lang w:eastAsia="ja-JP" w:bidi="ar-SA"/>
              </w:rPr>
            </w:pPr>
            <w:r>
              <w:rPr>
                <w:rFonts w:eastAsia="PMingLiU"/>
                <w:b/>
                <w:color w:val="000000"/>
                <w:szCs w:val="22"/>
                <w:lang w:eastAsia="ja-JP" w:bidi="ar-SA"/>
              </w:rPr>
              <w:t xml:space="preserve">Important: </w:t>
            </w:r>
            <w:r>
              <w:rPr>
                <w:rFonts w:eastAsia="PMingLiU"/>
                <w:bCs/>
                <w:color w:val="000000"/>
                <w:szCs w:val="22"/>
                <w:lang w:eastAsia="ja-JP" w:bidi="ar-SA"/>
              </w:rPr>
              <w:t>Trebuie să apăsaţi penul până nu mai înaintează, însă nu atingeţi butonul albastru declanşator decât atunci când sunteţi pregătit pentru injectare.</w:t>
            </w:r>
          </w:p>
        </w:tc>
      </w:tr>
    </w:tbl>
    <w:p w14:paraId="70146F50"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C04CAD" w14:paraId="53E59383" w14:textId="77777777">
        <w:tc>
          <w:tcPr>
            <w:tcW w:w="292" w:type="pct"/>
            <w:tcMar>
              <w:top w:w="28" w:type="dxa"/>
              <w:left w:w="57" w:type="dxa"/>
              <w:bottom w:w="28" w:type="dxa"/>
              <w:right w:w="57" w:type="dxa"/>
            </w:tcMar>
          </w:tcPr>
          <w:p w14:paraId="5AFF5210" w14:textId="77777777" w:rsidR="00C04CAD" w:rsidRDefault="00060E34">
            <w:pPr>
              <w:keepLines/>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I.</w:t>
            </w:r>
          </w:p>
        </w:tc>
        <w:tc>
          <w:tcPr>
            <w:tcW w:w="4708" w:type="pct"/>
            <w:tcMar>
              <w:top w:w="28" w:type="dxa"/>
              <w:left w:w="57" w:type="dxa"/>
              <w:bottom w:w="28" w:type="dxa"/>
              <w:right w:w="57" w:type="dxa"/>
            </w:tcMar>
          </w:tcPr>
          <w:p w14:paraId="0FFC0F59" w14:textId="77777777" w:rsidR="00C04CAD" w:rsidRDefault="00060E34">
            <w:pPr>
              <w:keepLines/>
              <w:tabs>
                <w:tab w:val="clear" w:pos="567"/>
              </w:tabs>
              <w:autoSpaceDE w:val="0"/>
              <w:autoSpaceDN w:val="0"/>
              <w:adjustRightInd w:val="0"/>
              <w:spacing w:line="240" w:lineRule="auto"/>
              <w:rPr>
                <w:rFonts w:eastAsia="PMingLiU"/>
                <w:color w:val="000000"/>
                <w:szCs w:val="22"/>
                <w:lang w:eastAsia="en-US" w:bidi="ar-SA"/>
              </w:rPr>
            </w:pPr>
            <w:r>
              <w:rPr>
                <w:rFonts w:eastAsia="PMingLiU"/>
                <w:bCs/>
                <w:color w:val="000000"/>
                <w:szCs w:val="22"/>
                <w:lang w:eastAsia="ja-JP" w:bidi="ar-SA"/>
              </w:rPr>
              <w:t>Când sunteţi pregătit pentru injectare</w:t>
            </w:r>
            <w:r>
              <w:rPr>
                <w:rFonts w:eastAsia="PMingLiU"/>
                <w:szCs w:val="22"/>
                <w:lang w:eastAsia="en-US" w:bidi="ar-SA"/>
              </w:rPr>
              <w:t xml:space="preserve">, </w:t>
            </w:r>
            <w:r>
              <w:rPr>
                <w:rFonts w:eastAsia="PMingLiU"/>
                <w:b/>
                <w:bCs/>
                <w:szCs w:val="22"/>
                <w:lang w:eastAsia="en-US" w:bidi="ar-SA"/>
              </w:rPr>
              <w:t xml:space="preserve">apăsaţi </w:t>
            </w:r>
            <w:r>
              <w:rPr>
                <w:rFonts w:eastAsia="PMingLiU"/>
                <w:szCs w:val="22"/>
                <w:lang w:eastAsia="en-US" w:bidi="ar-SA"/>
              </w:rPr>
              <w:t>butonul albastru declanşator. Ve</w:t>
            </w:r>
            <w:r>
              <w:rPr>
                <w:rFonts w:eastAsia="PMingLiU"/>
                <w:bCs/>
                <w:color w:val="000000"/>
                <w:szCs w:val="22"/>
                <w:lang w:eastAsia="ja-JP" w:bidi="ar-SA"/>
              </w:rPr>
              <w:t>ţi auzi un clic.</w:t>
            </w:r>
          </w:p>
        </w:tc>
      </w:tr>
      <w:tr w:rsidR="00C04CAD" w14:paraId="50F0B345" w14:textId="77777777">
        <w:trPr>
          <w:trHeight w:val="3930"/>
        </w:trPr>
        <w:tc>
          <w:tcPr>
            <w:tcW w:w="5000" w:type="pct"/>
            <w:gridSpan w:val="2"/>
            <w:tcMar>
              <w:top w:w="28" w:type="dxa"/>
              <w:left w:w="57" w:type="dxa"/>
              <w:bottom w:w="28" w:type="dxa"/>
              <w:right w:w="57" w:type="dxa"/>
            </w:tcMar>
          </w:tcPr>
          <w:p w14:paraId="2958DBB0" w14:textId="77777777" w:rsidR="00C04CAD" w:rsidRDefault="00060E34">
            <w:pPr>
              <w:suppressAutoHyphens/>
              <w:autoSpaceDE w:val="0"/>
              <w:autoSpaceDN w:val="0"/>
              <w:adjustRightInd w:val="0"/>
              <w:spacing w:line="240" w:lineRule="auto"/>
              <w:textAlignment w:val="center"/>
              <w:rPr>
                <w:rFonts w:eastAsia="PMingLiU"/>
                <w:color w:val="000000"/>
                <w:szCs w:val="22"/>
                <w:lang w:eastAsia="en-US" w:bidi="ar-SA"/>
              </w:rPr>
            </w:pPr>
            <w:r>
              <w:rPr>
                <w:noProof/>
              </w:rPr>
              <mc:AlternateContent>
                <mc:Choice Requires="wps">
                  <w:drawing>
                    <wp:anchor distT="0" distB="0" distL="114300" distR="114300" simplePos="0" relativeHeight="251667456" behindDoc="0" locked="0" layoutInCell="1" allowOverlap="1" wp14:anchorId="42EAE4B1" wp14:editId="48544419">
                      <wp:simplePos x="0" y="0"/>
                      <wp:positionH relativeFrom="column">
                        <wp:posOffset>499110</wp:posOffset>
                      </wp:positionH>
                      <wp:positionV relativeFrom="paragraph">
                        <wp:posOffset>236855</wp:posOffset>
                      </wp:positionV>
                      <wp:extent cx="600710" cy="295910"/>
                      <wp:effectExtent l="0" t="0" r="8890" b="8890"/>
                      <wp:wrapNone/>
                      <wp:docPr id="1078463021" name="Text Box 43"/>
                      <wp:cNvGraphicFramePr/>
                      <a:graphic xmlns:a="http://schemas.openxmlformats.org/drawingml/2006/main">
                        <a:graphicData uri="http://schemas.microsoft.com/office/word/2010/wordprocessingShape">
                          <wps:wsp>
                            <wps:cNvSpPr txBox="1"/>
                            <wps:spPr>
                              <a:xfrm>
                                <a:off x="0" y="0"/>
                                <a:ext cx="600710" cy="295910"/>
                              </a:xfrm>
                              <a:prstGeom prst="rect">
                                <a:avLst/>
                              </a:prstGeom>
                              <a:solidFill>
                                <a:sysClr val="windowText" lastClr="000000"/>
                              </a:solidFill>
                              <a:ln w="6350">
                                <a:solidFill>
                                  <a:prstClr val="black"/>
                                </a:solidFill>
                              </a:ln>
                              <a:effectLst/>
                            </wps:spPr>
                            <wps:txbx>
                              <w:txbxContent>
                                <w:p w14:paraId="42ADF5A2" w14:textId="77777777" w:rsidR="00C04CAD" w:rsidRDefault="00060E34">
                                  <w:pPr>
                                    <w:rPr>
                                      <w:color w:val="FFFFFF"/>
                                      <w:sz w:val="20"/>
                                    </w:rPr>
                                  </w:pPr>
                                  <w:r>
                                    <w:rPr>
                                      <w:b/>
                                      <w:color w:val="FFFFFF"/>
                                      <w:sz w:val="20"/>
                                    </w:rPr>
                                    <w:t>“Clic”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EAE4B1" id="Text Box 43" o:spid="_x0000_s1027" type="#_x0000_t202" style="position:absolute;margin-left:39.3pt;margin-top:18.65pt;width:47.3pt;height:23.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SxMQIAAGsEAAAOAAAAZHJzL2Uyb0RvYy54bWysVN9v2jAQfp+0/8Hy+0hgpS2ooWJUTJPQ&#10;WolOezaOU6I5Ps82JOyv32eHUrruaVoenDt/l/vx3V1ubrtGs71yviZT8OEg50wZSWVtngr+7XH5&#10;4ZozH4QphSajCn5Qnt/O3r+7ae1UjWhLulSOwYnx09YWfBuCnWaZl1vVCD8gqwzAilwjAlT3lJVO&#10;tPDe6GyU55dZS660jqTyHrd3PchnyX9VKRnuq8qrwHTBkVtIp0vnJp7Z7EZMn5yw21oe0xD/kEUj&#10;aoOgJ1d3Igi2c/UbV00tHXmqwkBSk1FV1VKlGlDNMP+jmvVWWJVqATnenmjy/8+t/Lpf2wfHQveJ&#10;OjQwEtJaP/W4jPV0lWviG5ky4KDwcKJNdYFJXF7m+dUQiAQ0mownkOEle/nYOh8+K2pYFAru0JVE&#10;ltivfOhNn01iLE+6Lpe11kk5+IV2bC/QQPS9pPYRcTnTwgcASCY9x4ivPtWGtcju4zhP0V5hMd7J&#10;70YL+eOtB1SgTcxBpUE65vrCTpRCt+lYXZ4xt6HyAEId9bPmrVzWCLZCvg/CYbjAFBYm3OOoNCFD&#10;Okqcbcn9+tt9tEfPgXLWYlgL7n/uhFOg4YvBNEyGFxdxupNyMb4aQXHnyOYcMbtmQaBziNW0MonR&#10;PuhnsXLUfMdezWNUQMJIxC44aO/FRehXCHsp1XyejDDPVoSVWVsZXUfeDM13gao69Tiy1XOD2YgK&#10;JjpNyXH74sqc68nq5R8x+w0AAP//AwBQSwMEFAAGAAgAAAAhAPlfG9reAAAACAEAAA8AAABkcnMv&#10;ZG93bnJldi54bWxMj8FOwzAQRO9I/QdrkbhRh1hqQohTFSQucKKtVHFz4yWOEq9D7DahX497guNo&#10;ZmfeluvZ9uyMo28dSXhYJsCQaqdbaiTsd6/3OTAfFGnVO0IJP+hhXS1uSlVoN9EHnrehYbGEfKEk&#10;mBCGgnNfG7TKL92AFL0vN1oVohwbrkc1xXLb8zRJVtyqluKCUQO+GKy77clGDH/onvPu8vmup+9B&#10;1On0djGNlHe38+YJWMA5/IXhih9voIpMR3ci7VkvIctXMSlBZALY1c9ECuwoIRePwKuS/3+g+gUA&#10;AP//AwBQSwECLQAUAAYACAAAACEAtoM4kv4AAADhAQAAEwAAAAAAAAAAAAAAAAAAAAAAW0NvbnRl&#10;bnRfVHlwZXNdLnhtbFBLAQItABQABgAIAAAAIQA4/SH/1gAAAJQBAAALAAAAAAAAAAAAAAAAAC8B&#10;AABfcmVscy8ucmVsc1BLAQItABQABgAIAAAAIQCZhxSxMQIAAGsEAAAOAAAAAAAAAAAAAAAAAC4C&#10;AABkcnMvZTJvRG9jLnhtbFBLAQItABQABgAIAAAAIQD5Xxva3gAAAAgBAAAPAAAAAAAAAAAAAAAA&#10;AIsEAABkcnMvZG93bnJldi54bWxQSwUGAAAAAAQABADzAAAAlgUAAAAA&#10;" fillcolor="windowText" strokeweight=".5pt">
                      <v:textbox>
                        <w:txbxContent>
                          <w:p w14:paraId="42ADF5A2" w14:textId="77777777" w:rsidR="00C04CAD" w:rsidRDefault="00060E34">
                            <w:pPr>
                              <w:rPr>
                                <w:color w:val="FFFFFF"/>
                                <w:sz w:val="20"/>
                              </w:rPr>
                            </w:pPr>
                            <w:r>
                              <w:rPr>
                                <w:b/>
                                <w:color w:val="FFFFFF"/>
                                <w:sz w:val="20"/>
                              </w:rPr>
                              <w:t>“Clic”</w:t>
                            </w:r>
                          </w:p>
                        </w:txbxContent>
                      </v:textbox>
                    </v:shape>
                  </w:pict>
                </mc:Fallback>
              </mc:AlternateContent>
            </w:r>
            <w:r>
              <w:rPr>
                <w:rFonts w:eastAsia="PMingLiU"/>
                <w:noProof/>
                <w:lang w:val="en-US" w:eastAsia="zh-CN" w:bidi="ar-SA"/>
              </w:rPr>
              <w:drawing>
                <wp:inline distT="0" distB="0" distL="0" distR="0" wp14:anchorId="63C55F34" wp14:editId="25E22BDA">
                  <wp:extent cx="3844925" cy="2473325"/>
                  <wp:effectExtent l="0" t="0" r="0" b="0"/>
                  <wp:docPr id="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844925" cy="2473325"/>
                          </a:xfrm>
                          <a:prstGeom prst="rect">
                            <a:avLst/>
                          </a:prstGeom>
                          <a:noFill/>
                          <a:ln>
                            <a:noFill/>
                          </a:ln>
                        </pic:spPr>
                      </pic:pic>
                    </a:graphicData>
                  </a:graphic>
                </wp:inline>
              </w:drawing>
            </w:r>
          </w:p>
        </w:tc>
      </w:tr>
    </w:tbl>
    <w:p w14:paraId="3D1A5115" w14:textId="77777777" w:rsidR="00C04CAD" w:rsidRDefault="00C04CAD">
      <w:pPr>
        <w:numPr>
          <w:ilvl w:val="12"/>
          <w:numId w:val="0"/>
        </w:numPr>
        <w:tabs>
          <w:tab w:val="clear" w:pos="567"/>
        </w:tabs>
        <w:spacing w:line="240" w:lineRule="auto"/>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C04CAD" w14:paraId="4BBED743" w14:textId="77777777">
        <w:tc>
          <w:tcPr>
            <w:tcW w:w="353" w:type="pct"/>
            <w:tcMar>
              <w:top w:w="28" w:type="dxa"/>
              <w:left w:w="57" w:type="dxa"/>
              <w:bottom w:w="28" w:type="dxa"/>
              <w:right w:w="57" w:type="dxa"/>
            </w:tcMar>
          </w:tcPr>
          <w:p w14:paraId="35A56580" w14:textId="77777777" w:rsidR="00C04CAD" w:rsidRDefault="00060E34">
            <w:pPr>
              <w:keepNext/>
              <w:keepLines/>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J.</w:t>
            </w:r>
          </w:p>
        </w:tc>
        <w:tc>
          <w:tcPr>
            <w:tcW w:w="4647" w:type="pct"/>
            <w:tcMar>
              <w:top w:w="28" w:type="dxa"/>
              <w:left w:w="57" w:type="dxa"/>
              <w:bottom w:w="28" w:type="dxa"/>
              <w:right w:w="57" w:type="dxa"/>
            </w:tcMar>
          </w:tcPr>
          <w:p w14:paraId="2533B54B" w14:textId="77777777" w:rsidR="00C04CAD" w:rsidRDefault="00060E34">
            <w:pPr>
              <w:keepNext/>
              <w:keepLines/>
              <w:tabs>
                <w:tab w:val="clear" w:pos="567"/>
              </w:tabs>
              <w:autoSpaceDE w:val="0"/>
              <w:autoSpaceDN w:val="0"/>
              <w:adjustRightInd w:val="0"/>
              <w:spacing w:line="240" w:lineRule="auto"/>
              <w:rPr>
                <w:rFonts w:eastAsia="PMingLiU"/>
                <w:color w:val="000000"/>
                <w:szCs w:val="22"/>
                <w:lang w:eastAsia="en-US" w:bidi="ar-SA"/>
              </w:rPr>
            </w:pPr>
            <w:r>
              <w:rPr>
                <w:rFonts w:eastAsia="PMingLiU"/>
                <w:szCs w:val="22"/>
                <w:lang w:eastAsia="en-US" w:bidi="ar-SA"/>
              </w:rPr>
              <w:t xml:space="preserve">Ţineţi </w:t>
            </w:r>
            <w:r>
              <w:rPr>
                <w:rFonts w:eastAsia="PMingLiU"/>
                <w:b/>
                <w:bCs/>
                <w:szCs w:val="22"/>
                <w:lang w:eastAsia="en-US" w:bidi="ar-SA"/>
              </w:rPr>
              <w:t xml:space="preserve">apăsat </w:t>
            </w:r>
            <w:r>
              <w:rPr>
                <w:rFonts w:eastAsia="PMingLiU"/>
                <w:szCs w:val="22"/>
                <w:lang w:eastAsia="en-US" w:bidi="ar-SA"/>
              </w:rPr>
              <w:t>dispozitivul pe piele. Injectarea poate dura aproximativ 10 secunde.</w:t>
            </w:r>
          </w:p>
        </w:tc>
      </w:tr>
      <w:tr w:rsidR="00C04CAD" w14:paraId="6BB55582" w14:textId="77777777">
        <w:trPr>
          <w:trHeight w:val="2938"/>
        </w:trPr>
        <w:tc>
          <w:tcPr>
            <w:tcW w:w="5000" w:type="pct"/>
            <w:gridSpan w:val="2"/>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C04CAD" w14:paraId="14F01158" w14:textId="77777777">
              <w:tc>
                <w:tcPr>
                  <w:tcW w:w="6096" w:type="dxa"/>
                  <w:gridSpan w:val="2"/>
                  <w:vMerge w:val="restart"/>
                  <w:tcBorders>
                    <w:top w:val="nil"/>
                    <w:left w:val="nil"/>
                    <w:bottom w:val="nil"/>
                    <w:right w:val="nil"/>
                  </w:tcBorders>
                </w:tcPr>
                <w:p w14:paraId="7354F715" w14:textId="77777777" w:rsidR="00C04CAD" w:rsidRDefault="00060E34">
                  <w:pPr>
                    <w:keepNext/>
                    <w:keepLines/>
                    <w:tabs>
                      <w:tab w:val="clear" w:pos="567"/>
                      <w:tab w:val="left" w:pos="810"/>
                    </w:tabs>
                    <w:suppressAutoHyphens/>
                    <w:autoSpaceDE w:val="0"/>
                    <w:autoSpaceDN w:val="0"/>
                    <w:adjustRightInd w:val="0"/>
                    <w:spacing w:line="240" w:lineRule="auto"/>
                    <w:contextualSpacing/>
                    <w:textAlignment w:val="center"/>
                    <w:rPr>
                      <w:rFonts w:eastAsia="PMingLiU"/>
                      <w:color w:val="000000"/>
                      <w:sz w:val="20"/>
                      <w:szCs w:val="22"/>
                      <w:lang w:eastAsia="ja-JP" w:bidi="ar-SA"/>
                    </w:rPr>
                  </w:pPr>
                  <w:r>
                    <w:rPr>
                      <w:noProof/>
                    </w:rPr>
                    <mc:AlternateContent>
                      <mc:Choice Requires="wps">
                        <w:drawing>
                          <wp:anchor distT="0" distB="0" distL="114300" distR="114300" simplePos="0" relativeHeight="251668480" behindDoc="0" locked="0" layoutInCell="1" allowOverlap="1" wp14:anchorId="70B91B7D" wp14:editId="08608DB0">
                            <wp:simplePos x="0" y="0"/>
                            <wp:positionH relativeFrom="column">
                              <wp:posOffset>412115</wp:posOffset>
                            </wp:positionH>
                            <wp:positionV relativeFrom="paragraph">
                              <wp:posOffset>396875</wp:posOffset>
                            </wp:positionV>
                            <wp:extent cx="666750" cy="230505"/>
                            <wp:effectExtent l="0" t="0" r="0" b="0"/>
                            <wp:wrapNone/>
                            <wp:docPr id="1" name="Text Box 42"/>
                            <wp:cNvGraphicFramePr/>
                            <a:graphic xmlns:a="http://schemas.openxmlformats.org/drawingml/2006/main">
                              <a:graphicData uri="http://schemas.microsoft.com/office/word/2010/wordprocessingShape">
                                <wps:wsp>
                                  <wps:cNvSpPr txBox="1"/>
                                  <wps:spPr>
                                    <a:xfrm>
                                      <a:off x="0" y="0"/>
                                      <a:ext cx="666750" cy="230505"/>
                                    </a:xfrm>
                                    <a:prstGeom prst="rect">
                                      <a:avLst/>
                                    </a:prstGeom>
                                    <a:solidFill>
                                      <a:sysClr val="windowText" lastClr="000000"/>
                                    </a:solidFill>
                                    <a:ln w="6350">
                                      <a:solidFill>
                                        <a:prstClr val="black"/>
                                      </a:solidFill>
                                    </a:ln>
                                    <a:effectLst/>
                                  </wps:spPr>
                                  <wps:txbx>
                                    <w:txbxContent>
                                      <w:p w14:paraId="0CD1E0E0" w14:textId="77777777" w:rsidR="00C04CAD" w:rsidRDefault="00060E34">
                                        <w:pPr>
                                          <w:rPr>
                                            <w:color w:val="FFFFFF"/>
                                            <w:sz w:val="20"/>
                                          </w:rPr>
                                        </w:pPr>
                                        <w:r>
                                          <w:rPr>
                                            <w:b/>
                                            <w:color w:val="FFFFFF"/>
                                            <w:sz w:val="20"/>
                                          </w:rPr>
                                          <w:t>“Clic”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B91B7D" id="Text Box 42" o:spid="_x0000_s1028" type="#_x0000_t202" style="position:absolute;margin-left:32.45pt;margin-top:31.25pt;width:52.5pt;height:18.1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X7MQIAAGsEAAAOAAAAZHJzL2Uyb0RvYy54bWysVE2PGjEMvVfqf4hyLwMssC1iWFFWVJVQ&#10;dyW26jlkMjBqJk6TwAz99X0Jn+32VJVDsGPn2X62Z/LQ1prtlfMVmZz3Ol3OlJFUVGaT868vi3fv&#10;OfNBmEJoMirnB+X5w/Ttm0ljx6pPW9KFcgwgxo8bm/NtCHacZV5uVS18h6wyMJbkahGguk1WONEA&#10;vdZZv9sdZQ25wjqSynvcPh6NfJrwy1LJ8FSWXgWmc47cQjpdOtfxzKYTMd44YbeVPKUh/iGLWlQG&#10;QS9QjyIItnPVK6i6ko48laEjqc6oLCupUg2optf9o5rVVliVagE53l5o8v8PVn7Zr+yzY6H9SC0a&#10;GAlprB97XMZ62tLV8R+ZMthB4eFCm2oDk7gcjUb3Q1gkTP277rA7jCjZ9bF1PnxSVLMo5NyhK4ks&#10;sV/6cHQ9u8RYnnRVLCqtk3Lwc+3YXqCB6HtBzQvicqaFDzAgmfQ7RfztqTasQXZ3yO0VbIx3wV1r&#10;Ib+/RkAF2sSXKg3SKdcrO1EK7bplVYHCz8ytqTiAUEfHWfNWLioEWyLfZ+EwXGAKCxOecJSakCGd&#10;JM625H7+7T76o+ewctZgWHPuf+yEU6Dhs8E0fOgNBnG6kzIY3vehuFvL+tZidvWcQGcPq2llEqN/&#10;0GexdFR/w17NYlSYhJGInXPQfhTn4bhC2EupZrPkhHm2IizNysoIHXkzNNsFKqvU48jWkRvMRlQw&#10;0WlKTtsXV+ZWT17Xb8T0FwAAAP//AwBQSwMEFAAGAAgAAAAhALVM05HdAAAACAEAAA8AAABkcnMv&#10;ZG93bnJldi54bWxMj0FPwzAMhe9I/IfISNxYSoGqLU0nQOICJwYS4pY1pqnaOKXJ1rJfj3caJ8t+&#10;z8+fq/XiBrHHKXSeFFyvEhBIjTcdtQo+3p+vchAhajJ68IQKfjHAuj4/q3Rp/ExvuN/EVnAIhVIr&#10;sDGOpZShseh0WPkRibVvPzkduZ1aaSY9c7gbZJokmXS6I75g9YhPFpt+s3OMET77x7w/fL2a+We8&#10;adL55WBbpS4vlod7EBGXeDLDEZ93oGamrd+RCWJQkN0W7OSa3oE46lnBg62CIs9B1pX8/0D9BwAA&#10;//8DAFBLAQItABQABgAIAAAAIQC2gziS/gAAAOEBAAATAAAAAAAAAAAAAAAAAAAAAABbQ29udGVu&#10;dF9UeXBlc10ueG1sUEsBAi0AFAAGAAgAAAAhADj9If/WAAAAlAEAAAsAAAAAAAAAAAAAAAAALwEA&#10;AF9yZWxzLy5yZWxzUEsBAi0AFAAGAAgAAAAhAKdGNfsxAgAAawQAAA4AAAAAAAAAAAAAAAAALgIA&#10;AGRycy9lMm9Eb2MueG1sUEsBAi0AFAAGAAgAAAAhALVM05HdAAAACAEAAA8AAAAAAAAAAAAAAAAA&#10;iwQAAGRycy9kb3ducmV2LnhtbFBLBQYAAAAABAAEAPMAAACVBQAAAAA=&#10;" fillcolor="windowText" strokeweight=".5pt">
                            <v:textbox>
                              <w:txbxContent>
                                <w:p w14:paraId="0CD1E0E0" w14:textId="77777777" w:rsidR="00C04CAD" w:rsidRDefault="00060E34">
                                  <w:pPr>
                                    <w:rPr>
                                      <w:color w:val="FFFFFF"/>
                                      <w:sz w:val="20"/>
                                    </w:rPr>
                                  </w:pPr>
                                  <w:r>
                                    <w:rPr>
                                      <w:b/>
                                      <w:color w:val="FFFFFF"/>
                                      <w:sz w:val="20"/>
                                    </w:rPr>
                                    <w:t>“Clic”</w:t>
                                  </w:r>
                                </w:p>
                              </w:txbxContent>
                            </v:textbox>
                          </v:shape>
                        </w:pict>
                      </mc:Fallback>
                    </mc:AlternateContent>
                  </w:r>
                  <w:r>
                    <w:rPr>
                      <w:rFonts w:eastAsia="PMingLiU"/>
                      <w:noProof/>
                      <w:lang w:val="en-US" w:eastAsia="zh-CN" w:bidi="ar-SA"/>
                    </w:rPr>
                    <w:drawing>
                      <wp:inline distT="0" distB="0" distL="0" distR="0" wp14:anchorId="7B285567" wp14:editId="556140A9">
                        <wp:extent cx="3730625" cy="2410460"/>
                        <wp:effectExtent l="0" t="0" r="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730625" cy="2410460"/>
                                </a:xfrm>
                                <a:prstGeom prst="rect">
                                  <a:avLst/>
                                </a:prstGeom>
                                <a:noFill/>
                                <a:ln>
                                  <a:noFill/>
                                </a:ln>
                              </pic:spPr>
                            </pic:pic>
                          </a:graphicData>
                        </a:graphic>
                      </wp:inline>
                    </w:drawing>
                  </w:r>
                </w:p>
              </w:tc>
              <w:tc>
                <w:tcPr>
                  <w:tcW w:w="1292" w:type="dxa"/>
                  <w:tcBorders>
                    <w:top w:val="nil"/>
                    <w:left w:val="nil"/>
                    <w:bottom w:val="nil"/>
                    <w:right w:val="nil"/>
                  </w:tcBorders>
                </w:tcPr>
                <w:p w14:paraId="1D97E75A" w14:textId="77777777" w:rsidR="00C04CAD" w:rsidRDefault="00060E34">
                  <w:pPr>
                    <w:keepNext/>
                    <w:keepLines/>
                    <w:suppressAutoHyphens/>
                    <w:autoSpaceDE w:val="0"/>
                    <w:autoSpaceDN w:val="0"/>
                    <w:adjustRightInd w:val="0"/>
                    <w:spacing w:line="240" w:lineRule="auto"/>
                    <w:jc w:val="center"/>
                    <w:textAlignment w:val="center"/>
                    <w:rPr>
                      <w:rFonts w:eastAsia="PMingLiU"/>
                      <w:color w:val="000000"/>
                      <w:szCs w:val="22"/>
                      <w:lang w:eastAsia="en-US" w:bidi="ar-SA"/>
                    </w:rPr>
                  </w:pPr>
                  <w:r>
                    <w:rPr>
                      <w:rFonts w:eastAsia="PMingLiU"/>
                      <w:b/>
                      <w:color w:val="000000"/>
                      <w:szCs w:val="22"/>
                      <w:lang w:eastAsia="en-US" w:bidi="ar-SA"/>
                    </w:rPr>
                    <w:t>~10 sec</w:t>
                  </w:r>
                </w:p>
              </w:tc>
              <w:tc>
                <w:tcPr>
                  <w:tcW w:w="1684" w:type="dxa"/>
                  <w:tcBorders>
                    <w:top w:val="nil"/>
                    <w:left w:val="nil"/>
                    <w:bottom w:val="nil"/>
                    <w:right w:val="nil"/>
                  </w:tcBorders>
                </w:tcPr>
                <w:p w14:paraId="679331F2" w14:textId="77777777" w:rsidR="00C04CAD" w:rsidRDefault="00C04CAD">
                  <w:pPr>
                    <w:keepNext/>
                    <w:keepLines/>
                    <w:suppressAutoHyphens/>
                    <w:autoSpaceDE w:val="0"/>
                    <w:autoSpaceDN w:val="0"/>
                    <w:adjustRightInd w:val="0"/>
                    <w:spacing w:line="240" w:lineRule="auto"/>
                    <w:textAlignment w:val="center"/>
                    <w:rPr>
                      <w:rFonts w:eastAsia="PMingLiU"/>
                      <w:color w:val="000000"/>
                      <w:szCs w:val="22"/>
                      <w:lang w:eastAsia="en-US" w:bidi="ar-SA"/>
                    </w:rPr>
                  </w:pPr>
                </w:p>
              </w:tc>
            </w:tr>
            <w:tr w:rsidR="00C04CAD" w14:paraId="65D7E04C" w14:textId="77777777">
              <w:trPr>
                <w:trHeight w:val="960"/>
              </w:trPr>
              <w:tc>
                <w:tcPr>
                  <w:tcW w:w="6096" w:type="dxa"/>
                  <w:gridSpan w:val="2"/>
                  <w:vMerge/>
                  <w:tcBorders>
                    <w:top w:val="nil"/>
                    <w:left w:val="nil"/>
                    <w:bottom w:val="nil"/>
                    <w:right w:val="nil"/>
                  </w:tcBorders>
                </w:tcPr>
                <w:p w14:paraId="58D61D2E" w14:textId="77777777" w:rsidR="00C04CAD" w:rsidRDefault="00C04CAD">
                  <w:pPr>
                    <w:keepNext/>
                    <w:keepLines/>
                    <w:suppressAutoHyphens/>
                    <w:autoSpaceDE w:val="0"/>
                    <w:autoSpaceDN w:val="0"/>
                    <w:adjustRightInd w:val="0"/>
                    <w:spacing w:line="240" w:lineRule="auto"/>
                    <w:textAlignment w:val="center"/>
                    <w:rPr>
                      <w:rFonts w:eastAsia="PMingLiU"/>
                      <w:color w:val="000000"/>
                      <w:szCs w:val="22"/>
                      <w:lang w:eastAsia="en-US" w:bidi="ar-SA"/>
                    </w:rPr>
                  </w:pPr>
                </w:p>
              </w:tc>
              <w:tc>
                <w:tcPr>
                  <w:tcW w:w="1292" w:type="dxa"/>
                  <w:tcBorders>
                    <w:top w:val="nil"/>
                    <w:left w:val="nil"/>
                    <w:bottom w:val="nil"/>
                    <w:right w:val="nil"/>
                  </w:tcBorders>
                </w:tcPr>
                <w:p w14:paraId="292A611A" w14:textId="77777777" w:rsidR="00C04CAD" w:rsidRDefault="00060E34">
                  <w:pPr>
                    <w:keepNext/>
                    <w:keepLines/>
                    <w:suppressAutoHyphens/>
                    <w:autoSpaceDE w:val="0"/>
                    <w:autoSpaceDN w:val="0"/>
                    <w:adjustRightInd w:val="0"/>
                    <w:spacing w:line="240" w:lineRule="auto"/>
                    <w:jc w:val="center"/>
                    <w:textAlignment w:val="center"/>
                    <w:rPr>
                      <w:rFonts w:eastAsia="PMingLiU"/>
                      <w:color w:val="000000"/>
                      <w:szCs w:val="22"/>
                      <w:lang w:eastAsia="en-US" w:bidi="ar-SA"/>
                    </w:rPr>
                  </w:pPr>
                  <w:r>
                    <w:rPr>
                      <w:rFonts w:eastAsia="PMingLiU"/>
                      <w:noProof/>
                      <w:lang w:val="en-US" w:eastAsia="zh-CN" w:bidi="ar-SA"/>
                    </w:rPr>
                    <w:drawing>
                      <wp:inline distT="0" distB="0" distL="0" distR="0" wp14:anchorId="0EFA7122" wp14:editId="38D2E1BF">
                        <wp:extent cx="436245" cy="436245"/>
                        <wp:effectExtent l="0" t="0" r="0" b="0"/>
                        <wp:docPr id="43" name="Picture 28"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8" descr="SYM0152 v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36245" cy="436245"/>
                                </a:xfrm>
                                <a:prstGeom prst="rect">
                                  <a:avLst/>
                                </a:prstGeom>
                                <a:noFill/>
                                <a:ln>
                                  <a:noFill/>
                                </a:ln>
                              </pic:spPr>
                            </pic:pic>
                          </a:graphicData>
                        </a:graphic>
                      </wp:inline>
                    </w:drawing>
                  </w:r>
                </w:p>
              </w:tc>
              <w:tc>
                <w:tcPr>
                  <w:tcW w:w="1684" w:type="dxa"/>
                  <w:tcBorders>
                    <w:top w:val="nil"/>
                    <w:left w:val="nil"/>
                    <w:bottom w:val="nil"/>
                    <w:right w:val="nil"/>
                  </w:tcBorders>
                </w:tcPr>
                <w:p w14:paraId="59DBF1CB" w14:textId="77777777" w:rsidR="00C04CAD" w:rsidRDefault="00060E34">
                  <w:pPr>
                    <w:keepNext/>
                    <w:keepLines/>
                    <w:suppressAutoHyphens/>
                    <w:autoSpaceDE w:val="0"/>
                    <w:autoSpaceDN w:val="0"/>
                    <w:adjustRightInd w:val="0"/>
                    <w:spacing w:line="240" w:lineRule="auto"/>
                    <w:textAlignment w:val="center"/>
                    <w:rPr>
                      <w:rFonts w:eastAsia="PMingLiU"/>
                      <w:color w:val="000000"/>
                      <w:szCs w:val="22"/>
                      <w:lang w:eastAsia="en-US" w:bidi="ar-SA"/>
                    </w:rPr>
                  </w:pPr>
                  <w:r>
                    <w:rPr>
                      <w:noProof/>
                      <w:color w:val="000000"/>
                      <w:szCs w:val="22"/>
                      <w:lang w:val="en-US" w:eastAsia="zh-CN" w:bidi="ar-SA"/>
                    </w:rPr>
                    <w:drawing>
                      <wp:inline distT="0" distB="0" distL="0" distR="0" wp14:anchorId="0D2B1F4D" wp14:editId="3F1F0C57">
                        <wp:extent cx="914400" cy="914400"/>
                        <wp:effectExtent l="0" t="0" r="0" b="0"/>
                        <wp:docPr id="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noFill/>
                                <a:ln>
                                  <a:noFill/>
                                </a:ln>
                              </pic:spPr>
                            </pic:pic>
                          </a:graphicData>
                        </a:graphic>
                      </wp:inline>
                    </w:drawing>
                  </w:r>
                </w:p>
              </w:tc>
            </w:tr>
            <w:tr w:rsidR="00C04CAD" w14:paraId="05FB89B1" w14:textId="77777777">
              <w:trPr>
                <w:trHeight w:val="1591"/>
              </w:trPr>
              <w:tc>
                <w:tcPr>
                  <w:tcW w:w="6096" w:type="dxa"/>
                  <w:gridSpan w:val="2"/>
                  <w:vMerge/>
                  <w:tcBorders>
                    <w:top w:val="nil"/>
                    <w:left w:val="nil"/>
                    <w:bottom w:val="nil"/>
                    <w:right w:val="nil"/>
                  </w:tcBorders>
                </w:tcPr>
                <w:p w14:paraId="25C49E80" w14:textId="77777777" w:rsidR="00C04CAD" w:rsidRDefault="00C04CAD">
                  <w:pPr>
                    <w:keepNext/>
                    <w:keepLines/>
                    <w:suppressAutoHyphens/>
                    <w:autoSpaceDE w:val="0"/>
                    <w:autoSpaceDN w:val="0"/>
                    <w:adjustRightInd w:val="0"/>
                    <w:spacing w:line="240" w:lineRule="auto"/>
                    <w:textAlignment w:val="center"/>
                    <w:rPr>
                      <w:rFonts w:eastAsia="PMingLiU"/>
                      <w:color w:val="000000"/>
                      <w:szCs w:val="22"/>
                      <w:lang w:eastAsia="en-US" w:bidi="ar-SA"/>
                    </w:rPr>
                  </w:pPr>
                </w:p>
              </w:tc>
              <w:tc>
                <w:tcPr>
                  <w:tcW w:w="2976" w:type="dxa"/>
                  <w:gridSpan w:val="2"/>
                  <w:tcBorders>
                    <w:top w:val="nil"/>
                    <w:left w:val="nil"/>
                    <w:bottom w:val="nil"/>
                    <w:right w:val="nil"/>
                  </w:tcBorders>
                </w:tcPr>
                <w:p w14:paraId="030154A5" w14:textId="77777777" w:rsidR="00C04CAD" w:rsidRDefault="00060E34">
                  <w:pPr>
                    <w:keepNext/>
                    <w:keepLines/>
                    <w:autoSpaceDE w:val="0"/>
                    <w:autoSpaceDN w:val="0"/>
                    <w:adjustRightInd w:val="0"/>
                    <w:spacing w:line="240" w:lineRule="auto"/>
                    <w:jc w:val="both"/>
                    <w:textAlignment w:val="center"/>
                    <w:rPr>
                      <w:rFonts w:eastAsia="PMingLiU"/>
                      <w:color w:val="000000"/>
                      <w:szCs w:val="22"/>
                      <w:lang w:eastAsia="en-US" w:bidi="ar-SA"/>
                    </w:rPr>
                  </w:pPr>
                  <w:r>
                    <w:rPr>
                      <w:rFonts w:eastAsia="PMingLiU"/>
                      <w:color w:val="000000"/>
                      <w:szCs w:val="22"/>
                      <w:lang w:eastAsia="en-US" w:bidi="ar-SA"/>
                    </w:rPr>
                    <w:t>Când injectarea este finalizată, fereastra devine galbenă.</w:t>
                  </w:r>
                </w:p>
                <w:p w14:paraId="6518DDA2" w14:textId="77777777" w:rsidR="00C04CAD" w:rsidRDefault="00060E34">
                  <w:pPr>
                    <w:keepNext/>
                    <w:keepLines/>
                    <w:autoSpaceDE w:val="0"/>
                    <w:autoSpaceDN w:val="0"/>
                    <w:adjustRightInd w:val="0"/>
                    <w:spacing w:line="240" w:lineRule="auto"/>
                    <w:jc w:val="both"/>
                    <w:textAlignment w:val="center"/>
                    <w:rPr>
                      <w:rFonts w:eastAsia="PMingLiU"/>
                      <w:color w:val="000000"/>
                      <w:szCs w:val="22"/>
                      <w:lang w:eastAsia="en-US" w:bidi="ar-SA"/>
                    </w:rPr>
                  </w:pPr>
                  <w:r>
                    <w:rPr>
                      <w:rFonts w:eastAsia="PMingLiU"/>
                      <w:color w:val="000000"/>
                      <w:szCs w:val="22"/>
                      <w:lang w:eastAsia="en-US" w:bidi="ar-SA"/>
                    </w:rPr>
                    <w:t>Este posibil să auziți un al doilea clic.</w:t>
                  </w:r>
                </w:p>
              </w:tc>
            </w:tr>
            <w:tr w:rsidR="00C04CAD" w14:paraId="06465713" w14:textId="77777777">
              <w:trPr>
                <w:trHeight w:val="1835"/>
              </w:trPr>
              <w:tc>
                <w:tcPr>
                  <w:tcW w:w="3196" w:type="dxa"/>
                  <w:tcBorders>
                    <w:top w:val="nil"/>
                    <w:left w:val="nil"/>
                    <w:bottom w:val="nil"/>
                    <w:right w:val="nil"/>
                  </w:tcBorders>
                  <w:tcMar>
                    <w:left w:w="0" w:type="dxa"/>
                    <w:right w:w="0" w:type="dxa"/>
                  </w:tcMar>
                </w:tcPr>
                <w:p w14:paraId="1DDDFCC2" w14:textId="77777777" w:rsidR="00C04CAD" w:rsidRDefault="00060E34">
                  <w:pPr>
                    <w:keepNext/>
                    <w:keepLines/>
                    <w:suppressAutoHyphens/>
                    <w:autoSpaceDE w:val="0"/>
                    <w:autoSpaceDN w:val="0"/>
                    <w:adjustRightInd w:val="0"/>
                    <w:spacing w:line="240" w:lineRule="auto"/>
                    <w:textAlignment w:val="center"/>
                    <w:rPr>
                      <w:rFonts w:eastAsia="PMingLiU"/>
                      <w:color w:val="000000"/>
                      <w:szCs w:val="22"/>
                      <w:lang w:eastAsia="en-US" w:bidi="ar-SA"/>
                    </w:rPr>
                  </w:pPr>
                  <w:r>
                    <w:rPr>
                      <w:noProof/>
                      <w:color w:val="000000"/>
                      <w:szCs w:val="22"/>
                      <w:lang w:val="en-US" w:eastAsia="zh-CN" w:bidi="ar-SA"/>
                    </w:rPr>
                    <w:drawing>
                      <wp:inline distT="0" distB="0" distL="0" distR="0" wp14:anchorId="5AE65FDE" wp14:editId="52F8BCB0">
                        <wp:extent cx="997585" cy="1007745"/>
                        <wp:effectExtent l="0" t="0" r="0" b="0"/>
                        <wp:docPr id="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997585" cy="1007745"/>
                                </a:xfrm>
                                <a:prstGeom prst="rect">
                                  <a:avLst/>
                                </a:prstGeom>
                                <a:noFill/>
                                <a:ln>
                                  <a:noFill/>
                                </a:ln>
                              </pic:spPr>
                            </pic:pic>
                          </a:graphicData>
                        </a:graphic>
                      </wp:inline>
                    </w:drawing>
                  </w:r>
                </w:p>
              </w:tc>
              <w:tc>
                <w:tcPr>
                  <w:tcW w:w="5876" w:type="dxa"/>
                  <w:gridSpan w:val="3"/>
                  <w:tcBorders>
                    <w:top w:val="nil"/>
                    <w:left w:val="nil"/>
                    <w:bottom w:val="nil"/>
                    <w:right w:val="nil"/>
                  </w:tcBorders>
                  <w:tcMar>
                    <w:top w:w="142" w:type="dxa"/>
                  </w:tcMar>
                </w:tcPr>
                <w:p w14:paraId="68364D74" w14:textId="77777777" w:rsidR="00C04CAD" w:rsidRDefault="00060E34">
                  <w:pPr>
                    <w:keepNext/>
                    <w:keepLines/>
                    <w:suppressAutoHyphens/>
                    <w:autoSpaceDE w:val="0"/>
                    <w:autoSpaceDN w:val="0"/>
                    <w:adjustRightInd w:val="0"/>
                    <w:spacing w:line="240" w:lineRule="auto"/>
                    <w:textAlignment w:val="center"/>
                    <w:rPr>
                      <w:rFonts w:eastAsia="PMingLiU"/>
                      <w:color w:val="000000"/>
                      <w:szCs w:val="22"/>
                      <w:lang w:eastAsia="ja-JP" w:bidi="ar-SA"/>
                    </w:rPr>
                  </w:pPr>
                  <w:r>
                    <w:rPr>
                      <w:rFonts w:eastAsia="PMingLiU"/>
                      <w:b/>
                      <w:bCs/>
                      <w:color w:val="000000"/>
                      <w:szCs w:val="22"/>
                      <w:lang w:eastAsia="en-US" w:bidi="ar-SA"/>
                    </w:rPr>
                    <w:t xml:space="preserve">Observaţie: </w:t>
                  </w:r>
                  <w:r>
                    <w:rPr>
                      <w:rFonts w:eastAsia="PMingLiU"/>
                      <w:color w:val="000000"/>
                      <w:szCs w:val="22"/>
                      <w:lang w:eastAsia="en-US" w:bidi="ar-SA"/>
                    </w:rPr>
                    <w:t>După ce îndepărtaţi penul preumplut de pe piele</w:t>
                  </w:r>
                  <w:r>
                    <w:rPr>
                      <w:rFonts w:eastAsia="PMingLiU"/>
                      <w:color w:val="000000"/>
                      <w:szCs w:val="22"/>
                      <w:lang w:eastAsia="ja-JP" w:bidi="ar-SA"/>
                    </w:rPr>
                    <w:t>, acul va fi acoperit automat.</w:t>
                  </w:r>
                </w:p>
              </w:tc>
            </w:tr>
            <w:tr w:rsidR="00C04CAD" w14:paraId="057CA934" w14:textId="77777777">
              <w:tc>
                <w:tcPr>
                  <w:tcW w:w="9072" w:type="dxa"/>
                  <w:gridSpan w:val="4"/>
                  <w:tcBorders>
                    <w:top w:val="nil"/>
                    <w:left w:val="nil"/>
                    <w:bottom w:val="nil"/>
                    <w:right w:val="nil"/>
                  </w:tcBorders>
                </w:tcPr>
                <w:p w14:paraId="53873803" w14:textId="77777777" w:rsidR="00C04CAD" w:rsidRDefault="00060E34">
                  <w:pPr>
                    <w:keepNext/>
                    <w:keepLines/>
                    <w:suppressAutoHyphens/>
                    <w:autoSpaceDE w:val="0"/>
                    <w:autoSpaceDN w:val="0"/>
                    <w:adjustRightInd w:val="0"/>
                    <w:spacing w:line="240" w:lineRule="auto"/>
                    <w:textAlignment w:val="center"/>
                    <w:rPr>
                      <w:rFonts w:eastAsia="PMingLiU"/>
                      <w:color w:val="000000"/>
                      <w:szCs w:val="22"/>
                      <w:lang w:eastAsia="en-US" w:bidi="ar-SA"/>
                    </w:rPr>
                  </w:pPr>
                  <w:r>
                    <w:rPr>
                      <w:rFonts w:eastAsia="PMingLiU"/>
                      <w:b/>
                      <w:szCs w:val="22"/>
                      <w:lang w:eastAsia="en-US" w:bidi="ar-SA"/>
                    </w:rPr>
                    <w:t>Important:</w:t>
                  </w:r>
                  <w:r>
                    <w:rPr>
                      <w:rFonts w:eastAsia="PMingLiU"/>
                      <w:szCs w:val="22"/>
                      <w:lang w:eastAsia="en-US" w:bidi="ar-SA"/>
                    </w:rPr>
                    <w:t xml:space="preserve"> Dacă atunci când îndepărtaţi penul preumplut de pe piele, fereastra nu a devenit galbenă sau dacă pare că injectarea continuă, aceasta înseamnă că nu aţi administrat doza completă. Luaţi imediat legătura telefonic cu medicul dumneavoastră.</w:t>
                  </w:r>
                </w:p>
              </w:tc>
            </w:tr>
          </w:tbl>
          <w:p w14:paraId="1A73E8C4" w14:textId="77777777" w:rsidR="00C04CAD" w:rsidRDefault="00C04CAD">
            <w:pPr>
              <w:keepNext/>
              <w:keepLines/>
              <w:suppressAutoHyphens/>
              <w:autoSpaceDE w:val="0"/>
              <w:autoSpaceDN w:val="0"/>
              <w:adjustRightInd w:val="0"/>
              <w:spacing w:line="240" w:lineRule="auto"/>
              <w:textAlignment w:val="center"/>
              <w:rPr>
                <w:rFonts w:eastAsia="PMingLiU"/>
                <w:color w:val="000000"/>
                <w:szCs w:val="22"/>
                <w:lang w:eastAsia="en-US" w:bidi="ar-SA"/>
              </w:rPr>
            </w:pPr>
          </w:p>
        </w:tc>
      </w:tr>
    </w:tbl>
    <w:p w14:paraId="269E3FCF"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C04CAD" w14:paraId="216B32E1" w14:textId="77777777">
        <w:tc>
          <w:tcPr>
            <w:tcW w:w="5000" w:type="pct"/>
            <w:tcMar>
              <w:top w:w="28" w:type="dxa"/>
              <w:left w:w="57" w:type="dxa"/>
              <w:bottom w:w="28" w:type="dxa"/>
              <w:right w:w="57" w:type="dxa"/>
            </w:tcMar>
          </w:tcPr>
          <w:p w14:paraId="2002AB1D" w14:textId="77777777" w:rsidR="00C04CAD" w:rsidRDefault="00060E34">
            <w:pPr>
              <w:keepNext/>
              <w:pageBreakBefore/>
              <w:tabs>
                <w:tab w:val="left" w:pos="810"/>
              </w:tabs>
              <w:spacing w:line="240" w:lineRule="auto"/>
              <w:contextualSpacing/>
              <w:jc w:val="center"/>
              <w:textAlignment w:val="center"/>
              <w:rPr>
                <w:rFonts w:eastAsia="PMingLiU"/>
                <w:b/>
                <w:color w:val="000000"/>
                <w:szCs w:val="22"/>
                <w:lang w:eastAsia="ja-JP"/>
              </w:rPr>
            </w:pPr>
            <w:r>
              <w:rPr>
                <w:rFonts w:eastAsia="PMingLiU"/>
                <w:b/>
                <w:color w:val="000000"/>
                <w:szCs w:val="22"/>
                <w:lang w:eastAsia="ja-JP"/>
              </w:rPr>
              <w:t>Etapa 4: Finalizare</w:t>
            </w:r>
          </w:p>
        </w:tc>
      </w:tr>
    </w:tbl>
    <w:p w14:paraId="288BB62F" w14:textId="77777777" w:rsidR="00C04CAD" w:rsidRDefault="00C04CAD">
      <w:pPr>
        <w:keepNext/>
        <w:numPr>
          <w:ilvl w:val="12"/>
          <w:numId w:val="0"/>
        </w:numPr>
        <w:tabs>
          <w:tab w:val="clear" w:pos="567"/>
        </w:tabs>
        <w:spacing w:line="240" w:lineRule="auto"/>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C04CAD" w14:paraId="68F8F6E4" w14:textId="77777777">
        <w:trPr>
          <w:cantSplit/>
        </w:trPr>
        <w:tc>
          <w:tcPr>
            <w:tcW w:w="294" w:type="pct"/>
            <w:tcMar>
              <w:top w:w="28" w:type="dxa"/>
              <w:left w:w="57" w:type="dxa"/>
              <w:bottom w:w="28" w:type="dxa"/>
              <w:right w:w="57" w:type="dxa"/>
            </w:tcMar>
          </w:tcPr>
          <w:p w14:paraId="12D8F7C1" w14:textId="77777777" w:rsidR="00C04CAD" w:rsidRDefault="00060E34">
            <w:pPr>
              <w:keepNext/>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K.</w:t>
            </w:r>
          </w:p>
        </w:tc>
        <w:tc>
          <w:tcPr>
            <w:tcW w:w="4706" w:type="pct"/>
            <w:gridSpan w:val="2"/>
            <w:tcMar>
              <w:top w:w="28" w:type="dxa"/>
              <w:left w:w="57" w:type="dxa"/>
              <w:bottom w:w="28" w:type="dxa"/>
              <w:right w:w="57" w:type="dxa"/>
            </w:tcMar>
          </w:tcPr>
          <w:p w14:paraId="28A54FF3" w14:textId="77777777" w:rsidR="00C04CAD" w:rsidRDefault="00060E34">
            <w:pPr>
              <w:keepNext/>
              <w:tabs>
                <w:tab w:val="clear" w:pos="567"/>
              </w:tabs>
              <w:autoSpaceDE w:val="0"/>
              <w:autoSpaceDN w:val="0"/>
              <w:adjustRightInd w:val="0"/>
              <w:spacing w:line="240" w:lineRule="auto"/>
              <w:rPr>
                <w:rFonts w:eastAsia="PMingLiU"/>
                <w:color w:val="000000"/>
                <w:szCs w:val="22"/>
                <w:lang w:eastAsia="en-US" w:bidi="ar-SA"/>
              </w:rPr>
            </w:pPr>
            <w:r>
              <w:rPr>
                <w:rFonts w:eastAsia="PMingLiU"/>
                <w:szCs w:val="22"/>
                <w:lang w:eastAsia="en-US" w:bidi="ar-SA"/>
              </w:rPr>
              <w:t>Aruncaţi penul preumplut utilizat şi capacul de culoare galbenă.</w:t>
            </w:r>
          </w:p>
        </w:tc>
      </w:tr>
      <w:tr w:rsidR="00C04CAD" w14:paraId="3A4E7BC2" w14:textId="77777777">
        <w:trPr>
          <w:cantSplit/>
          <w:trHeight w:val="3673"/>
        </w:trPr>
        <w:tc>
          <w:tcPr>
            <w:tcW w:w="5000" w:type="pct"/>
            <w:gridSpan w:val="3"/>
            <w:tcBorders>
              <w:bottom w:val="nil"/>
            </w:tcBorders>
            <w:tcMar>
              <w:top w:w="28" w:type="dxa"/>
              <w:left w:w="57" w:type="dxa"/>
              <w:bottom w:w="28" w:type="dxa"/>
              <w:right w:w="57" w:type="dxa"/>
            </w:tcMar>
          </w:tcPr>
          <w:p w14:paraId="32246BF6" w14:textId="77777777" w:rsidR="00C04CAD" w:rsidRDefault="00060E34">
            <w:pPr>
              <w:keepNext/>
              <w:autoSpaceDE w:val="0"/>
              <w:autoSpaceDN w:val="0"/>
              <w:adjustRightInd w:val="0"/>
              <w:spacing w:line="240" w:lineRule="auto"/>
              <w:textAlignment w:val="center"/>
              <w:rPr>
                <w:rFonts w:eastAsia="SimSun"/>
                <w:color w:val="000000"/>
                <w:szCs w:val="22"/>
                <w:lang w:eastAsia="en-US" w:bidi="ar-SA"/>
              </w:rPr>
            </w:pPr>
            <w:r>
              <w:rPr>
                <w:rFonts w:eastAsia="SimSun" w:cs="Arial"/>
                <w:noProof/>
                <w:szCs w:val="22"/>
                <w:lang w:val="en-US" w:eastAsia="zh-CN" w:bidi="ar-SA"/>
              </w:rPr>
              <w:drawing>
                <wp:inline distT="0" distB="0" distL="0" distR="0" wp14:anchorId="2B6B7B23" wp14:editId="555FC754">
                  <wp:extent cx="1735455" cy="2390140"/>
                  <wp:effectExtent l="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735455" cy="2390140"/>
                          </a:xfrm>
                          <a:prstGeom prst="rect">
                            <a:avLst/>
                          </a:prstGeom>
                          <a:noFill/>
                          <a:ln>
                            <a:noFill/>
                          </a:ln>
                        </pic:spPr>
                      </pic:pic>
                    </a:graphicData>
                  </a:graphic>
                </wp:inline>
              </w:drawing>
            </w:r>
          </w:p>
        </w:tc>
      </w:tr>
      <w:tr w:rsidR="00C04CAD" w14:paraId="1C83FB10" w14:textId="77777777">
        <w:trPr>
          <w:cantSplit/>
        </w:trPr>
        <w:tc>
          <w:tcPr>
            <w:tcW w:w="303" w:type="pct"/>
            <w:gridSpan w:val="2"/>
            <w:tcBorders>
              <w:top w:val="nil"/>
              <w:bottom w:val="nil"/>
              <w:right w:val="nil"/>
            </w:tcBorders>
            <w:tcMar>
              <w:top w:w="28" w:type="dxa"/>
              <w:left w:w="57" w:type="dxa"/>
              <w:bottom w:w="28" w:type="dxa"/>
              <w:right w:w="57" w:type="dxa"/>
            </w:tcMar>
          </w:tcPr>
          <w:p w14:paraId="6FEE8E93" w14:textId="77777777" w:rsidR="00C04CAD" w:rsidRDefault="00060E34">
            <w:pPr>
              <w:keepNext/>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2DE09A16" w14:textId="77777777" w:rsidR="00C04CAD" w:rsidRDefault="00060E34">
            <w:pPr>
              <w:keepNext/>
              <w:tabs>
                <w:tab w:val="clear" w:pos="567"/>
              </w:tabs>
              <w:autoSpaceDE w:val="0"/>
              <w:autoSpaceDN w:val="0"/>
              <w:adjustRightInd w:val="0"/>
              <w:spacing w:line="240" w:lineRule="auto"/>
              <w:rPr>
                <w:szCs w:val="22"/>
                <w:lang w:eastAsia="en-US" w:bidi="ar-SA"/>
              </w:rPr>
            </w:pPr>
            <w:r>
              <w:rPr>
                <w:szCs w:val="22"/>
                <w:lang w:eastAsia="en-US" w:bidi="ar-SA"/>
              </w:rPr>
              <w:t xml:space="preserve">Introduceți penul preumplut utilizat într-un recipient pentru eliminarea obiectelor ascuţite imediat după utilizare. </w:t>
            </w:r>
            <w:r>
              <w:rPr>
                <w:b/>
                <w:szCs w:val="22"/>
                <w:lang w:eastAsia="en-US" w:bidi="ar-SA"/>
              </w:rPr>
              <w:t xml:space="preserve">Nu </w:t>
            </w:r>
            <w:r>
              <w:rPr>
                <w:szCs w:val="22"/>
                <w:lang w:eastAsia="en-US" w:bidi="ar-SA"/>
              </w:rPr>
              <w:t>aruncaţi (eliminați) penul preumplut pe calea reziduurilor menajere.</w:t>
            </w:r>
          </w:p>
        </w:tc>
      </w:tr>
      <w:tr w:rsidR="00C04CAD" w14:paraId="4576CCE6" w14:textId="77777777">
        <w:trPr>
          <w:cantSplit/>
        </w:trPr>
        <w:tc>
          <w:tcPr>
            <w:tcW w:w="303" w:type="pct"/>
            <w:gridSpan w:val="2"/>
            <w:tcBorders>
              <w:top w:val="nil"/>
              <w:bottom w:val="nil"/>
              <w:right w:val="nil"/>
            </w:tcBorders>
            <w:tcMar>
              <w:top w:w="28" w:type="dxa"/>
              <w:left w:w="57" w:type="dxa"/>
              <w:bottom w:w="28" w:type="dxa"/>
              <w:right w:w="57" w:type="dxa"/>
            </w:tcMar>
          </w:tcPr>
          <w:p w14:paraId="0E4349B7" w14:textId="77777777" w:rsidR="00C04CAD" w:rsidRDefault="00060E34">
            <w:pPr>
              <w:keepNext/>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466FAE19" w14:textId="77777777" w:rsidR="00C04CAD" w:rsidRDefault="00060E34">
            <w:pPr>
              <w:keepNext/>
              <w:tabs>
                <w:tab w:val="clear" w:pos="567"/>
              </w:tabs>
              <w:autoSpaceDE w:val="0"/>
              <w:autoSpaceDN w:val="0"/>
              <w:adjustRightInd w:val="0"/>
              <w:spacing w:line="240" w:lineRule="auto"/>
              <w:textAlignment w:val="center"/>
              <w:rPr>
                <w:rFonts w:eastAsia="PMingLiU"/>
                <w:color w:val="000000"/>
                <w:szCs w:val="22"/>
                <w:lang w:eastAsia="en-US" w:bidi="ar-SA"/>
              </w:rPr>
            </w:pPr>
            <w:r>
              <w:rPr>
                <w:szCs w:val="22"/>
                <w:lang w:eastAsia="en-US" w:bidi="ar-SA"/>
              </w:rPr>
              <w:t>Discutaţi cu medicul dumneavoastră sau cu farmacistul despre cum să aruncaţi în mod corespunzător acest dispozitiv. Este posibil să existe reglementări locale în acest sens.</w:t>
            </w:r>
          </w:p>
        </w:tc>
      </w:tr>
      <w:tr w:rsidR="00C04CAD" w14:paraId="469F30E2" w14:textId="77777777">
        <w:trPr>
          <w:cantSplit/>
        </w:trPr>
        <w:tc>
          <w:tcPr>
            <w:tcW w:w="303" w:type="pct"/>
            <w:gridSpan w:val="2"/>
            <w:tcBorders>
              <w:top w:val="nil"/>
              <w:bottom w:val="nil"/>
              <w:right w:val="nil"/>
            </w:tcBorders>
            <w:tcMar>
              <w:top w:w="28" w:type="dxa"/>
              <w:left w:w="57" w:type="dxa"/>
              <w:bottom w:w="28" w:type="dxa"/>
              <w:right w:w="57" w:type="dxa"/>
            </w:tcMar>
          </w:tcPr>
          <w:p w14:paraId="799F68E5" w14:textId="77777777" w:rsidR="00C04CAD" w:rsidRDefault="00060E34">
            <w:pPr>
              <w:keepNext/>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7388151F" w14:textId="77777777" w:rsidR="00C04CAD" w:rsidRDefault="00060E34">
            <w:pPr>
              <w:keepNext/>
              <w:tabs>
                <w:tab w:val="clear" w:pos="567"/>
              </w:tabs>
              <w:autoSpaceDE w:val="0"/>
              <w:autoSpaceDN w:val="0"/>
              <w:adjustRightInd w:val="0"/>
              <w:spacing w:line="240" w:lineRule="auto"/>
              <w:rPr>
                <w:b/>
                <w:bCs/>
                <w:szCs w:val="22"/>
                <w:lang w:eastAsia="en-US" w:bidi="ar-SA"/>
              </w:rPr>
            </w:pPr>
            <w:r>
              <w:rPr>
                <w:b/>
                <w:bCs/>
                <w:szCs w:val="22"/>
                <w:lang w:eastAsia="en-US" w:bidi="ar-SA"/>
              </w:rPr>
              <w:t>Nu</w:t>
            </w:r>
            <w:r>
              <w:rPr>
                <w:szCs w:val="22"/>
                <w:lang w:eastAsia="en-US" w:bidi="ar-SA"/>
              </w:rPr>
              <w:t xml:space="preserve"> reutilizaţi penul preumplut.</w:t>
            </w:r>
          </w:p>
        </w:tc>
      </w:tr>
      <w:tr w:rsidR="00C04CAD" w14:paraId="06D7C36C" w14:textId="77777777">
        <w:trPr>
          <w:cantSplit/>
        </w:trPr>
        <w:tc>
          <w:tcPr>
            <w:tcW w:w="303" w:type="pct"/>
            <w:gridSpan w:val="2"/>
            <w:tcBorders>
              <w:top w:val="nil"/>
              <w:bottom w:val="nil"/>
              <w:right w:val="nil"/>
            </w:tcBorders>
            <w:tcMar>
              <w:top w:w="28" w:type="dxa"/>
              <w:left w:w="57" w:type="dxa"/>
              <w:bottom w:w="28" w:type="dxa"/>
              <w:right w:w="57" w:type="dxa"/>
            </w:tcMar>
          </w:tcPr>
          <w:p w14:paraId="64233A39" w14:textId="77777777" w:rsidR="00C04CAD" w:rsidRDefault="00060E34">
            <w:pPr>
              <w:keepNext/>
              <w:tabs>
                <w:tab w:val="clear" w:pos="567"/>
                <w:tab w:val="left" w:pos="90"/>
              </w:tabs>
              <w:autoSpaceDE w:val="0"/>
              <w:autoSpaceDN w:val="0"/>
              <w:adjustRightInd w:val="0"/>
              <w:spacing w:line="240" w:lineRule="auto"/>
              <w:contextualSpacing/>
              <w:textAlignment w:val="center"/>
              <w:rPr>
                <w:rFonts w:eastAsia="PMingLiU"/>
                <w:color w:val="000000"/>
                <w:szCs w:val="22"/>
                <w:lang w:eastAsia="en-GB" w:bidi="ar-SA"/>
              </w:rPr>
            </w:pPr>
            <w:r>
              <w:rPr>
                <w:rFonts w:eastAsia="PMingLiU"/>
                <w:color w:val="000000"/>
                <w:szCs w:val="22"/>
                <w:lang w:eastAsia="en-GB" w:bidi="ar-SA"/>
              </w:rPr>
              <w:t>●</w:t>
            </w:r>
          </w:p>
        </w:tc>
        <w:tc>
          <w:tcPr>
            <w:tcW w:w="4697" w:type="pct"/>
            <w:tcBorders>
              <w:top w:val="nil"/>
              <w:left w:val="nil"/>
              <w:bottom w:val="nil"/>
            </w:tcBorders>
            <w:tcMar>
              <w:left w:w="0" w:type="dxa"/>
            </w:tcMar>
          </w:tcPr>
          <w:p w14:paraId="367D7AAB" w14:textId="77777777" w:rsidR="00C04CAD" w:rsidRDefault="00060E34">
            <w:pPr>
              <w:keepNext/>
              <w:tabs>
                <w:tab w:val="clear" w:pos="567"/>
              </w:tabs>
              <w:autoSpaceDE w:val="0"/>
              <w:autoSpaceDN w:val="0"/>
              <w:adjustRightInd w:val="0"/>
              <w:spacing w:line="240" w:lineRule="auto"/>
              <w:rPr>
                <w:b/>
                <w:bCs/>
                <w:szCs w:val="22"/>
                <w:lang w:eastAsia="en-US" w:bidi="ar-SA"/>
              </w:rPr>
            </w:pPr>
            <w:r>
              <w:rPr>
                <w:b/>
                <w:bCs/>
                <w:szCs w:val="22"/>
                <w:lang w:eastAsia="en-US" w:bidi="ar-SA"/>
              </w:rPr>
              <w:t xml:space="preserve">Nu </w:t>
            </w:r>
            <w:r>
              <w:rPr>
                <w:szCs w:val="22"/>
                <w:lang w:eastAsia="en-US" w:bidi="ar-SA"/>
              </w:rPr>
              <w:t>reciclaţi penul preumplut sau recipientul pentru eliminarea obiectelor ascuţite; nu le aruncaţi pe calea reziduurilor menajere.</w:t>
            </w:r>
          </w:p>
        </w:tc>
      </w:tr>
      <w:tr w:rsidR="00C04CAD" w14:paraId="6607277C" w14:textId="77777777">
        <w:trPr>
          <w:cantSplit/>
        </w:trPr>
        <w:tc>
          <w:tcPr>
            <w:tcW w:w="5000" w:type="pct"/>
            <w:gridSpan w:val="3"/>
            <w:tcBorders>
              <w:top w:val="nil"/>
            </w:tcBorders>
            <w:tcMar>
              <w:top w:w="28" w:type="dxa"/>
              <w:left w:w="57" w:type="dxa"/>
              <w:bottom w:w="28" w:type="dxa"/>
              <w:right w:w="57" w:type="dxa"/>
            </w:tcMar>
          </w:tcPr>
          <w:p w14:paraId="1E70BCC9" w14:textId="77777777" w:rsidR="00C04CAD" w:rsidRDefault="00060E34">
            <w:pPr>
              <w:tabs>
                <w:tab w:val="clear" w:pos="567"/>
              </w:tabs>
              <w:autoSpaceDE w:val="0"/>
              <w:autoSpaceDN w:val="0"/>
              <w:adjustRightInd w:val="0"/>
              <w:spacing w:line="240" w:lineRule="auto"/>
              <w:textAlignment w:val="center"/>
              <w:rPr>
                <w:rFonts w:eastAsia="PMingLiU"/>
                <w:bCs/>
                <w:color w:val="000000"/>
                <w:szCs w:val="22"/>
                <w:lang w:eastAsia="ja-JP" w:bidi="ar-SA"/>
              </w:rPr>
            </w:pPr>
            <w:r>
              <w:rPr>
                <w:rFonts w:eastAsia="PMingLiU"/>
                <w:b/>
                <w:color w:val="000000"/>
                <w:szCs w:val="22"/>
                <w:lang w:eastAsia="ja-JP" w:bidi="ar-SA"/>
              </w:rPr>
              <w:t>Important:</w:t>
            </w:r>
            <w:r>
              <w:rPr>
                <w:rFonts w:eastAsia="PMingLiU"/>
                <w:bCs/>
                <w:color w:val="000000"/>
                <w:szCs w:val="22"/>
                <w:lang w:eastAsia="ja-JP" w:bidi="ar-SA"/>
              </w:rPr>
              <w:t xml:space="preserve"> Nu lăsaţi niciodată recipientul pentru eliminarea obiectelor ascuţite la vederea şi îndemâna copiilor.</w:t>
            </w:r>
          </w:p>
        </w:tc>
      </w:tr>
    </w:tbl>
    <w:p w14:paraId="3B82B04A" w14:textId="77777777" w:rsidR="00C04CAD" w:rsidRDefault="00C04CAD">
      <w:pPr>
        <w:numPr>
          <w:ilvl w:val="12"/>
          <w:numId w:val="0"/>
        </w:numPr>
        <w:tabs>
          <w:tab w:val="clear" w:pos="567"/>
        </w:tabs>
        <w:spacing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C04CAD" w14:paraId="5C2E41A9" w14:textId="77777777">
        <w:tc>
          <w:tcPr>
            <w:tcW w:w="303" w:type="pct"/>
            <w:tcMar>
              <w:top w:w="28" w:type="dxa"/>
              <w:left w:w="57" w:type="dxa"/>
              <w:bottom w:w="28" w:type="dxa"/>
              <w:right w:w="57" w:type="dxa"/>
            </w:tcMar>
          </w:tcPr>
          <w:p w14:paraId="1FB1E478" w14:textId="77777777" w:rsidR="00C04CAD" w:rsidRDefault="00060E34">
            <w:pPr>
              <w:keepLines/>
              <w:suppressAutoHyphens/>
              <w:autoSpaceDE w:val="0"/>
              <w:autoSpaceDN w:val="0"/>
              <w:adjustRightInd w:val="0"/>
              <w:spacing w:line="240" w:lineRule="auto"/>
              <w:textAlignment w:val="center"/>
              <w:rPr>
                <w:rFonts w:eastAsia="PMingLiU"/>
                <w:b/>
                <w:color w:val="000000"/>
                <w:szCs w:val="22"/>
                <w:lang w:eastAsia="en-US" w:bidi="ar-SA"/>
              </w:rPr>
            </w:pPr>
            <w:r>
              <w:rPr>
                <w:rFonts w:eastAsia="PMingLiU"/>
                <w:b/>
                <w:szCs w:val="22"/>
                <w:lang w:eastAsia="en-US" w:bidi="ar-SA"/>
              </w:rPr>
              <w:t>L.</w:t>
            </w:r>
          </w:p>
        </w:tc>
        <w:tc>
          <w:tcPr>
            <w:tcW w:w="4697" w:type="pct"/>
            <w:tcMar>
              <w:top w:w="28" w:type="dxa"/>
              <w:left w:w="57" w:type="dxa"/>
              <w:bottom w:w="28" w:type="dxa"/>
              <w:right w:w="57" w:type="dxa"/>
            </w:tcMar>
          </w:tcPr>
          <w:p w14:paraId="0696A46B" w14:textId="77777777" w:rsidR="00C04CAD" w:rsidRDefault="00060E34">
            <w:pPr>
              <w:keepLines/>
              <w:tabs>
                <w:tab w:val="clear" w:pos="567"/>
              </w:tabs>
              <w:autoSpaceDE w:val="0"/>
              <w:autoSpaceDN w:val="0"/>
              <w:adjustRightInd w:val="0"/>
              <w:spacing w:line="240" w:lineRule="auto"/>
              <w:rPr>
                <w:rFonts w:eastAsia="PMingLiU"/>
                <w:color w:val="000000"/>
                <w:szCs w:val="22"/>
                <w:lang w:eastAsia="en-US" w:bidi="ar-SA"/>
              </w:rPr>
            </w:pPr>
            <w:r>
              <w:rPr>
                <w:rFonts w:eastAsia="PMingLiU"/>
                <w:szCs w:val="22"/>
                <w:lang w:eastAsia="en-US" w:bidi="ar-SA"/>
              </w:rPr>
              <w:t>Examinaţi locul de administrare a injecţiei.</w:t>
            </w:r>
          </w:p>
        </w:tc>
      </w:tr>
      <w:tr w:rsidR="00C04CAD" w14:paraId="2901452F" w14:textId="77777777">
        <w:tc>
          <w:tcPr>
            <w:tcW w:w="5000" w:type="pct"/>
            <w:gridSpan w:val="2"/>
            <w:tcMar>
              <w:top w:w="28" w:type="dxa"/>
              <w:left w:w="57" w:type="dxa"/>
              <w:bottom w:w="28" w:type="dxa"/>
              <w:right w:w="57" w:type="dxa"/>
            </w:tcMar>
          </w:tcPr>
          <w:p w14:paraId="7599D159" w14:textId="77777777" w:rsidR="00C04CAD" w:rsidRDefault="00060E34">
            <w:pPr>
              <w:suppressAutoHyphens/>
              <w:autoSpaceDE w:val="0"/>
              <w:autoSpaceDN w:val="0"/>
              <w:adjustRightInd w:val="0"/>
              <w:spacing w:line="240" w:lineRule="auto"/>
              <w:textAlignment w:val="center"/>
              <w:rPr>
                <w:rFonts w:eastAsia="PMingLiU"/>
                <w:color w:val="000000"/>
                <w:szCs w:val="22"/>
                <w:lang w:eastAsia="en-US" w:bidi="ar-SA"/>
              </w:rPr>
            </w:pPr>
            <w:r>
              <w:rPr>
                <w:rFonts w:eastAsia="PMingLiU"/>
                <w:color w:val="000000"/>
                <w:szCs w:val="22"/>
                <w:lang w:eastAsia="en-US" w:bidi="ar-SA"/>
              </w:rPr>
              <w:t xml:space="preserve">Dacă vedeţi sânge, ţineţi apăsat un tampon de vată sau o compresă din tifon pe locul respectiv. </w:t>
            </w:r>
            <w:r>
              <w:rPr>
                <w:rFonts w:eastAsia="PMingLiU"/>
                <w:b/>
                <w:bCs/>
                <w:color w:val="000000"/>
                <w:szCs w:val="22"/>
                <w:lang w:eastAsia="en-US" w:bidi="ar-SA"/>
              </w:rPr>
              <w:t>Nu</w:t>
            </w:r>
            <w:r>
              <w:rPr>
                <w:rFonts w:eastAsia="PMingLiU"/>
                <w:color w:val="000000"/>
                <w:szCs w:val="22"/>
                <w:lang w:eastAsia="en-US" w:bidi="ar-SA"/>
              </w:rPr>
              <w:t xml:space="preserve"> frecaţi locul de administrare a injecţiei. Aplicați un plasture dacă este necesar.</w:t>
            </w:r>
          </w:p>
        </w:tc>
      </w:tr>
    </w:tbl>
    <w:p w14:paraId="30C7EDAC" w14:textId="77777777" w:rsidR="00C04CAD" w:rsidRDefault="00C04CAD">
      <w:pPr>
        <w:numPr>
          <w:ilvl w:val="12"/>
          <w:numId w:val="0"/>
        </w:numPr>
        <w:tabs>
          <w:tab w:val="clear" w:pos="567"/>
        </w:tabs>
        <w:spacing w:line="240" w:lineRule="auto"/>
      </w:pPr>
    </w:p>
    <w:p w14:paraId="00F5B1E9" w14:textId="77777777" w:rsidR="00C04CAD" w:rsidRDefault="00060E34">
      <w:pPr>
        <w:numPr>
          <w:ilvl w:val="12"/>
          <w:numId w:val="0"/>
        </w:numPr>
        <w:tabs>
          <w:tab w:val="clear" w:pos="567"/>
        </w:tabs>
        <w:spacing w:line="240" w:lineRule="auto"/>
      </w:pPr>
      <w:r>
        <w:br w:type="page"/>
      </w:r>
    </w:p>
    <w:p w14:paraId="6CB6E3A0" w14:textId="77777777" w:rsidR="00C04CAD" w:rsidRDefault="00060E34">
      <w:pPr>
        <w:tabs>
          <w:tab w:val="clear" w:pos="567"/>
        </w:tabs>
        <w:spacing w:line="240" w:lineRule="auto"/>
        <w:jc w:val="center"/>
        <w:outlineLvl w:val="0"/>
      </w:pPr>
      <w:r>
        <w:rPr>
          <w:b/>
        </w:rPr>
        <w:t>Prospect: Informații pentru pacient</w:t>
      </w:r>
    </w:p>
    <w:p w14:paraId="3F4762DE" w14:textId="77777777" w:rsidR="00C04CAD" w:rsidRDefault="00C04CAD">
      <w:pPr>
        <w:numPr>
          <w:ilvl w:val="12"/>
          <w:numId w:val="0"/>
        </w:numPr>
        <w:shd w:val="clear" w:color="auto" w:fill="FFFFFF"/>
        <w:tabs>
          <w:tab w:val="clear" w:pos="567"/>
        </w:tabs>
        <w:spacing w:line="240" w:lineRule="auto"/>
        <w:jc w:val="center"/>
      </w:pPr>
    </w:p>
    <w:p w14:paraId="30A8B9B0"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20 mg soluţie injectabilă în seringă preumplută</w:t>
      </w:r>
    </w:p>
    <w:p w14:paraId="53E86303" w14:textId="77777777" w:rsidR="00C04CAD" w:rsidRDefault="00060E34">
      <w:pPr>
        <w:keepNext/>
        <w:tabs>
          <w:tab w:val="clear" w:pos="567"/>
        </w:tabs>
        <w:kinsoku w:val="0"/>
        <w:overflowPunct w:val="0"/>
        <w:autoSpaceDE w:val="0"/>
        <w:autoSpaceDN w:val="0"/>
        <w:adjustRightInd w:val="0"/>
        <w:spacing w:line="240" w:lineRule="auto"/>
        <w:jc w:val="center"/>
        <w:rPr>
          <w:b/>
          <w:bCs/>
          <w:szCs w:val="22"/>
          <w:lang w:eastAsia="en-US" w:bidi="ar-SA"/>
        </w:rPr>
      </w:pPr>
      <w:r>
        <w:rPr>
          <w:b/>
          <w:bCs/>
          <w:szCs w:val="22"/>
          <w:lang w:eastAsia="en-US" w:bidi="ar-SA"/>
        </w:rPr>
        <w:t>AMGEVITA 40 mg soluţie injectabilă în seringă preumplută</w:t>
      </w:r>
    </w:p>
    <w:p w14:paraId="152B4E46"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80 mg soluţie injectabilă în seringă preumplută</w:t>
      </w:r>
    </w:p>
    <w:p w14:paraId="39668149" w14:textId="77777777" w:rsidR="00C04CAD" w:rsidRDefault="00060E34">
      <w:pPr>
        <w:keepNext/>
        <w:tabs>
          <w:tab w:val="clear" w:pos="567"/>
        </w:tabs>
        <w:kinsoku w:val="0"/>
        <w:overflowPunct w:val="0"/>
        <w:autoSpaceDE w:val="0"/>
        <w:autoSpaceDN w:val="0"/>
        <w:adjustRightInd w:val="0"/>
        <w:spacing w:line="240" w:lineRule="auto"/>
        <w:jc w:val="center"/>
      </w:pPr>
      <w:r>
        <w:rPr>
          <w:sz w:val="24"/>
          <w:szCs w:val="24"/>
          <w:lang w:eastAsia="en-US" w:bidi="ar-SA"/>
        </w:rPr>
        <w:t>adalimumab</w:t>
      </w:r>
    </w:p>
    <w:p w14:paraId="2C7AADA7" w14:textId="77777777" w:rsidR="00C04CAD" w:rsidRDefault="00C04CAD">
      <w:pPr>
        <w:tabs>
          <w:tab w:val="clear" w:pos="567"/>
        </w:tabs>
        <w:spacing w:line="240" w:lineRule="auto"/>
      </w:pPr>
    </w:p>
    <w:p w14:paraId="7964BB3A" w14:textId="77777777" w:rsidR="00C04CAD" w:rsidRDefault="00C04CAD">
      <w:pPr>
        <w:tabs>
          <w:tab w:val="clear" w:pos="567"/>
        </w:tabs>
        <w:spacing w:line="240" w:lineRule="auto"/>
      </w:pPr>
    </w:p>
    <w:p w14:paraId="286F9EED" w14:textId="77777777" w:rsidR="00C04CAD" w:rsidRDefault="00060E34">
      <w:pPr>
        <w:tabs>
          <w:tab w:val="clear" w:pos="567"/>
        </w:tabs>
        <w:suppressAutoHyphens/>
        <w:spacing w:line="240" w:lineRule="auto"/>
      </w:pPr>
      <w:r>
        <w:rPr>
          <w:b/>
        </w:rPr>
        <w:t>Citiți cu atenție și în întregime acest prospect înainte de a începe să utilizați acest medicament deoarece conține informații importante pentru dumneavoastră.</w:t>
      </w:r>
    </w:p>
    <w:p w14:paraId="5D30B181" w14:textId="77777777" w:rsidR="00C04CAD" w:rsidRDefault="00060E34">
      <w:pPr>
        <w:numPr>
          <w:ilvl w:val="0"/>
          <w:numId w:val="52"/>
        </w:numPr>
        <w:tabs>
          <w:tab w:val="clear" w:pos="567"/>
        </w:tabs>
        <w:spacing w:line="240" w:lineRule="auto"/>
        <w:ind w:left="567" w:right="-2" w:hanging="567"/>
      </w:pPr>
      <w:r>
        <w:t xml:space="preserve">Păstrați acest prospect. S-ar putea să fie necesar să-l recitiți. </w:t>
      </w:r>
    </w:p>
    <w:p w14:paraId="30167FAD" w14:textId="77777777" w:rsidR="00C04CAD" w:rsidRDefault="00060E34">
      <w:pPr>
        <w:pStyle w:val="ListParagraph"/>
        <w:numPr>
          <w:ilvl w:val="0"/>
          <w:numId w:val="52"/>
        </w:numPr>
        <w:spacing w:line="240" w:lineRule="auto"/>
        <w:ind w:left="567" w:hanging="567"/>
      </w:pPr>
      <w:r>
        <w:t xml:space="preserve">Medicul dumneavoastră vă va da de asemenea un </w:t>
      </w:r>
      <w:r>
        <w:rPr>
          <w:b/>
        </w:rPr>
        <w:t xml:space="preserve">Card de </w:t>
      </w:r>
      <w:r>
        <w:rPr>
          <w:b/>
          <w:szCs w:val="22"/>
        </w:rPr>
        <w:t xml:space="preserve">avertizare al pacientului </w:t>
      </w:r>
      <w:r>
        <w:t xml:space="preserve">care conţine informaţii importante privind siguranţa, informaţii de care aveţi nevoie pentru a fi atenţionaţi înainte de a utiliza AMGEVITA şi în timpul tratamentului cu AMGEVITA. Păstraţi asupra dumneavoastră acest </w:t>
      </w:r>
      <w:r>
        <w:rPr>
          <w:b/>
        </w:rPr>
        <w:t xml:space="preserve">Card de </w:t>
      </w:r>
      <w:r>
        <w:rPr>
          <w:b/>
          <w:szCs w:val="22"/>
        </w:rPr>
        <w:t>avertizare al pacientului</w:t>
      </w:r>
      <w:r>
        <w:t>.</w:t>
      </w:r>
    </w:p>
    <w:p w14:paraId="6A2CD335" w14:textId="77777777" w:rsidR="00C04CAD" w:rsidRDefault="00060E34">
      <w:pPr>
        <w:pStyle w:val="ListParagraph"/>
        <w:numPr>
          <w:ilvl w:val="0"/>
          <w:numId w:val="52"/>
        </w:numPr>
        <w:spacing w:line="240" w:lineRule="auto"/>
        <w:ind w:left="567" w:hanging="567"/>
      </w:pPr>
      <w:r>
        <w:t>Dacă aveţi orice întrebări suplimentare, adresaţi-vă medicului dumneavoastră sau farmacistului.</w:t>
      </w:r>
    </w:p>
    <w:p w14:paraId="54AF7D68" w14:textId="77777777" w:rsidR="00C04CAD" w:rsidRDefault="00060E34">
      <w:pPr>
        <w:pStyle w:val="BodyText"/>
        <w:numPr>
          <w:ilvl w:val="0"/>
          <w:numId w:val="52"/>
        </w:numPr>
        <w:tabs>
          <w:tab w:val="left" w:pos="567"/>
        </w:tabs>
        <w:kinsoku w:val="0"/>
        <w:overflowPunct w:val="0"/>
        <w:autoSpaceDE w:val="0"/>
        <w:autoSpaceDN w:val="0"/>
        <w:adjustRightInd w:val="0"/>
        <w:ind w:left="567" w:hanging="567"/>
        <w:rPr>
          <w:i w:val="0"/>
          <w:color w:val="auto"/>
        </w:rPr>
      </w:pPr>
      <w:r>
        <w:rPr>
          <w:i w:val="0"/>
          <w:color w:val="auto"/>
        </w:rPr>
        <w:t>Acest medicament a fost prescris numai pentru dumneavoastră. Nu trebuie să-l daţi altor persoane. Le poate face rău, chiar dacă au aceleaşi semne de boală cu ale dumneavoastră.</w:t>
      </w:r>
    </w:p>
    <w:p w14:paraId="6B6AE0DC" w14:textId="77777777" w:rsidR="00C04CAD" w:rsidRDefault="00060E34">
      <w:pPr>
        <w:pStyle w:val="BodyText"/>
        <w:numPr>
          <w:ilvl w:val="0"/>
          <w:numId w:val="52"/>
        </w:numPr>
        <w:tabs>
          <w:tab w:val="left" w:pos="567"/>
        </w:tabs>
        <w:kinsoku w:val="0"/>
        <w:overflowPunct w:val="0"/>
        <w:autoSpaceDE w:val="0"/>
        <w:autoSpaceDN w:val="0"/>
        <w:adjustRightInd w:val="0"/>
        <w:ind w:left="567" w:hanging="567"/>
        <w:rPr>
          <w:i w:val="0"/>
          <w:color w:val="auto"/>
        </w:rPr>
      </w:pPr>
      <w:r>
        <w:rPr>
          <w:i w:val="0"/>
          <w:color w:val="auto"/>
        </w:rPr>
        <w:t>Dacă aveţi orice reacţie adversă spuneţi medicului dumneavoastră sau farmacistului. Aceasta include orice posibilă reacţie adversă nemenţionată în acest prospect (vezi pct. 4).</w:t>
      </w:r>
    </w:p>
    <w:p w14:paraId="7E414F34" w14:textId="77777777" w:rsidR="00C04CAD" w:rsidRDefault="00C04CAD">
      <w:pPr>
        <w:tabs>
          <w:tab w:val="clear" w:pos="567"/>
        </w:tabs>
        <w:spacing w:line="240" w:lineRule="auto"/>
        <w:ind w:right="-2"/>
      </w:pPr>
    </w:p>
    <w:p w14:paraId="2A8884B0" w14:textId="77777777" w:rsidR="00C04CAD" w:rsidRDefault="00060E34">
      <w:pPr>
        <w:keepNext/>
        <w:numPr>
          <w:ilvl w:val="12"/>
          <w:numId w:val="0"/>
        </w:numPr>
        <w:tabs>
          <w:tab w:val="clear" w:pos="567"/>
        </w:tabs>
        <w:spacing w:line="240" w:lineRule="auto"/>
        <w:ind w:right="-2"/>
        <w:outlineLvl w:val="0"/>
      </w:pPr>
      <w:r>
        <w:rPr>
          <w:b/>
        </w:rPr>
        <w:t>Ce găsiți în acest prospect</w:t>
      </w:r>
    </w:p>
    <w:p w14:paraId="52572516" w14:textId="77777777" w:rsidR="00C04CAD" w:rsidRDefault="00C04CAD">
      <w:pPr>
        <w:keepNext/>
        <w:numPr>
          <w:ilvl w:val="12"/>
          <w:numId w:val="0"/>
        </w:numPr>
        <w:tabs>
          <w:tab w:val="clear" w:pos="567"/>
        </w:tabs>
        <w:spacing w:line="240" w:lineRule="auto"/>
        <w:ind w:right="-2"/>
        <w:outlineLvl w:val="0"/>
      </w:pPr>
    </w:p>
    <w:p w14:paraId="74368BF7" w14:textId="77777777" w:rsidR="00C04CAD" w:rsidRDefault="00060E34">
      <w:pPr>
        <w:pStyle w:val="ListParagraph"/>
        <w:numPr>
          <w:ilvl w:val="0"/>
          <w:numId w:val="99"/>
        </w:numPr>
        <w:spacing w:line="240" w:lineRule="auto"/>
        <w:ind w:left="567" w:hanging="567"/>
      </w:pPr>
      <w:r>
        <w:t xml:space="preserve">Ce este AMGEVITA și pentru ce se utilizează </w:t>
      </w:r>
    </w:p>
    <w:p w14:paraId="6BA46DCD" w14:textId="77777777" w:rsidR="00C04CAD" w:rsidRDefault="00060E34">
      <w:pPr>
        <w:pStyle w:val="ListParagraph"/>
        <w:numPr>
          <w:ilvl w:val="0"/>
          <w:numId w:val="99"/>
        </w:numPr>
        <w:spacing w:line="240" w:lineRule="auto"/>
        <w:ind w:left="567" w:hanging="567"/>
      </w:pPr>
      <w:r>
        <w:t xml:space="preserve">Ce trebuie să știți înainte să utilizați AMGEVITA </w:t>
      </w:r>
    </w:p>
    <w:p w14:paraId="1E15410B" w14:textId="77777777" w:rsidR="00C04CAD" w:rsidRDefault="00060E34">
      <w:pPr>
        <w:pStyle w:val="ListParagraph"/>
        <w:numPr>
          <w:ilvl w:val="0"/>
          <w:numId w:val="99"/>
        </w:numPr>
        <w:spacing w:line="240" w:lineRule="auto"/>
        <w:ind w:left="567" w:hanging="567"/>
      </w:pPr>
      <w:r>
        <w:t xml:space="preserve">Cum să utilizați AMGEVITA </w:t>
      </w:r>
    </w:p>
    <w:p w14:paraId="306D084E" w14:textId="77777777" w:rsidR="00C04CAD" w:rsidRDefault="00060E34">
      <w:pPr>
        <w:pStyle w:val="ListParagraph"/>
        <w:numPr>
          <w:ilvl w:val="0"/>
          <w:numId w:val="99"/>
        </w:numPr>
        <w:spacing w:line="240" w:lineRule="auto"/>
        <w:ind w:left="567" w:hanging="567"/>
      </w:pPr>
      <w:r>
        <w:t xml:space="preserve">Reacții adverse posibile </w:t>
      </w:r>
    </w:p>
    <w:p w14:paraId="61E472D9" w14:textId="77777777" w:rsidR="00C04CAD" w:rsidRDefault="00060E34">
      <w:pPr>
        <w:pStyle w:val="ListParagraph"/>
        <w:numPr>
          <w:ilvl w:val="0"/>
          <w:numId w:val="99"/>
        </w:numPr>
        <w:spacing w:line="240" w:lineRule="auto"/>
        <w:ind w:left="567" w:hanging="567"/>
      </w:pPr>
      <w:r>
        <w:t xml:space="preserve">Cum se păstrează AMGEVITA </w:t>
      </w:r>
    </w:p>
    <w:p w14:paraId="1416D8DC" w14:textId="77777777" w:rsidR="00C04CAD" w:rsidRDefault="00060E34">
      <w:pPr>
        <w:pStyle w:val="ListParagraph"/>
        <w:numPr>
          <w:ilvl w:val="0"/>
          <w:numId w:val="99"/>
        </w:numPr>
        <w:spacing w:line="240" w:lineRule="auto"/>
        <w:ind w:left="567" w:hanging="567"/>
      </w:pPr>
      <w:r>
        <w:t>Conținutul ambalajului și alte informații</w:t>
      </w:r>
    </w:p>
    <w:p w14:paraId="4B8A2439" w14:textId="77777777" w:rsidR="00C04CAD" w:rsidRDefault="00C04CAD">
      <w:pPr>
        <w:numPr>
          <w:ilvl w:val="12"/>
          <w:numId w:val="0"/>
        </w:numPr>
        <w:tabs>
          <w:tab w:val="clear" w:pos="567"/>
        </w:tabs>
        <w:spacing w:line="240" w:lineRule="auto"/>
        <w:ind w:right="-2"/>
      </w:pPr>
    </w:p>
    <w:p w14:paraId="0D9C704F" w14:textId="77777777" w:rsidR="00C04CAD" w:rsidRDefault="00C04CAD">
      <w:pPr>
        <w:numPr>
          <w:ilvl w:val="12"/>
          <w:numId w:val="0"/>
        </w:numPr>
        <w:tabs>
          <w:tab w:val="clear" w:pos="567"/>
        </w:tabs>
        <w:spacing w:line="240" w:lineRule="auto"/>
        <w:rPr>
          <w:szCs w:val="22"/>
        </w:rPr>
      </w:pPr>
    </w:p>
    <w:p w14:paraId="458D32C2" w14:textId="77777777" w:rsidR="00C04CAD" w:rsidRDefault="00060E34">
      <w:pPr>
        <w:keepNext/>
        <w:numPr>
          <w:ilvl w:val="0"/>
          <w:numId w:val="100"/>
        </w:numPr>
        <w:spacing w:line="240" w:lineRule="auto"/>
        <w:ind w:hanging="930"/>
      </w:pPr>
      <w:r>
        <w:rPr>
          <w:b/>
        </w:rPr>
        <w:t>Ce este AMGEVITA și pentru ce se utilizează</w:t>
      </w:r>
    </w:p>
    <w:p w14:paraId="54E10ED2" w14:textId="77777777" w:rsidR="00C04CAD" w:rsidRDefault="00C04CAD">
      <w:pPr>
        <w:numPr>
          <w:ilvl w:val="12"/>
          <w:numId w:val="0"/>
        </w:numPr>
        <w:tabs>
          <w:tab w:val="clear" w:pos="567"/>
        </w:tabs>
        <w:spacing w:line="240" w:lineRule="auto"/>
      </w:pPr>
    </w:p>
    <w:p w14:paraId="5902800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w:t>
      </w:r>
      <w:r>
        <w:t xml:space="preserve"> conţine substanţa activă adalimumab, un medicament care acționează asupra sistemului imunitar (de apărare) al organismului. </w:t>
      </w:r>
    </w:p>
    <w:p w14:paraId="4FF6826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EF59EE8"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este destinat tratamentului bolilor inflamatorii descrise mai jos:</w:t>
      </w:r>
    </w:p>
    <w:p w14:paraId="6FDDFCED"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Poliartrită reumatoidă </w:t>
      </w:r>
    </w:p>
    <w:p w14:paraId="323CF75A"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Artrită juvenilă idiopatică forma poliarticulară </w:t>
      </w:r>
    </w:p>
    <w:p w14:paraId="67E9F6DC"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Artrită asociată entezitei </w:t>
      </w:r>
    </w:p>
    <w:p w14:paraId="15B0347C"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Spondilită anchilozantă </w:t>
      </w:r>
    </w:p>
    <w:p w14:paraId="23DA355E"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Spondiloartrită axială fără dovadă radiologică a spondilitei anchilozante </w:t>
      </w:r>
    </w:p>
    <w:p w14:paraId="053E1318"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Artrită psoriazică </w:t>
      </w:r>
    </w:p>
    <w:p w14:paraId="396F3F2F"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Psoriazis </w:t>
      </w:r>
      <w:r>
        <w:t>în plăci</w:t>
      </w:r>
      <w:r>
        <w:rPr>
          <w:szCs w:val="22"/>
        </w:rPr>
        <w:t xml:space="preserve"> </w:t>
      </w:r>
    </w:p>
    <w:p w14:paraId="7BD7C224"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Hidrosadenită supurativă</w:t>
      </w:r>
      <w:r>
        <w:rPr>
          <w:szCs w:val="22"/>
          <w:lang w:eastAsia="en-US" w:bidi="ar-SA"/>
        </w:rPr>
        <w:t xml:space="preserve"> </w:t>
      </w:r>
    </w:p>
    <w:p w14:paraId="1F3FD7A4"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B</w:t>
      </w:r>
      <w:r>
        <w:rPr>
          <w:szCs w:val="22"/>
          <w:lang w:eastAsia="en-US" w:bidi="ar-SA"/>
        </w:rPr>
        <w:t>oal</w:t>
      </w:r>
      <w:r>
        <w:rPr>
          <w:szCs w:val="22"/>
        </w:rPr>
        <w:t>ă</w:t>
      </w:r>
      <w:r>
        <w:rPr>
          <w:szCs w:val="22"/>
          <w:lang w:eastAsia="en-US" w:bidi="ar-SA"/>
        </w:rPr>
        <w:t xml:space="preserve"> Crohn</w:t>
      </w:r>
      <w:r>
        <w:rPr>
          <w:szCs w:val="22"/>
        </w:rPr>
        <w:t xml:space="preserve"> </w:t>
      </w:r>
    </w:p>
    <w:p w14:paraId="6F406C17"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Colită ulcerativ</w:t>
      </w:r>
      <w:r>
        <w:rPr>
          <w:szCs w:val="22"/>
          <w:lang w:eastAsia="en-US" w:bidi="ar-SA"/>
        </w:rPr>
        <w:t>ă</w:t>
      </w:r>
      <w:r>
        <w:rPr>
          <w:szCs w:val="22"/>
        </w:rPr>
        <w:t xml:space="preserve"> </w:t>
      </w:r>
    </w:p>
    <w:p w14:paraId="157FB36E" w14:textId="77777777" w:rsidR="00C04CAD" w:rsidRDefault="00060E34">
      <w:pPr>
        <w:pStyle w:val="ListParagraph"/>
        <w:numPr>
          <w:ilvl w:val="0"/>
          <w:numId w:val="50"/>
        </w:numPr>
        <w:tabs>
          <w:tab w:val="clear" w:pos="567"/>
        </w:tabs>
        <w:kinsoku w:val="0"/>
        <w:overflowPunct w:val="0"/>
        <w:autoSpaceDE w:val="0"/>
        <w:autoSpaceDN w:val="0"/>
        <w:adjustRightInd w:val="0"/>
        <w:spacing w:line="240" w:lineRule="auto"/>
        <w:ind w:left="567" w:hanging="567"/>
        <w:rPr>
          <w:szCs w:val="22"/>
        </w:rPr>
      </w:pPr>
      <w:r>
        <w:rPr>
          <w:szCs w:val="22"/>
        </w:rPr>
        <w:t xml:space="preserve">Uveită non-infecţioasă </w:t>
      </w:r>
    </w:p>
    <w:p w14:paraId="5F134D37" w14:textId="77777777" w:rsidR="00C04CAD" w:rsidRDefault="00C04CAD">
      <w:pPr>
        <w:tabs>
          <w:tab w:val="clear" w:pos="567"/>
        </w:tabs>
        <w:kinsoku w:val="0"/>
        <w:overflowPunct w:val="0"/>
        <w:autoSpaceDE w:val="0"/>
        <w:autoSpaceDN w:val="0"/>
        <w:adjustRightInd w:val="0"/>
        <w:spacing w:line="240" w:lineRule="auto"/>
        <w:rPr>
          <w:szCs w:val="22"/>
        </w:rPr>
      </w:pPr>
    </w:p>
    <w:p w14:paraId="0286110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 xml:space="preserve">Substanţa activă a AMGEVITA, adalimumab, este un anticorp monoclonal uman. Anticorpii monoclonali sunt proteine care se ataşează specific de ţintă. </w:t>
      </w:r>
    </w:p>
    <w:p w14:paraId="6C48B99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D04096E" w14:textId="77777777" w:rsidR="00C04CAD" w:rsidRDefault="00060E34">
      <w:pPr>
        <w:tabs>
          <w:tab w:val="clear" w:pos="567"/>
        </w:tabs>
        <w:spacing w:line="240" w:lineRule="auto"/>
        <w:ind w:right="-2"/>
        <w:rPr>
          <w:szCs w:val="22"/>
        </w:rPr>
      </w:pPr>
      <w:r>
        <w:t xml:space="preserve">Ţinta adalimumabului este o proteină denumită factor de necroză tumorală (TNFα), care este implicată în sistemul imunitar (de apărare) și este prezentă în concentrații crescute în bolile inflamatorii enumerate mai sus. Prin atașarea la TNFa, AMGEVITA scade procesul de inflamare din aceste boli. </w:t>
      </w:r>
    </w:p>
    <w:p w14:paraId="5EEAA763" w14:textId="77777777" w:rsidR="00C04CAD" w:rsidRDefault="00060E34">
      <w:pPr>
        <w:keepNext/>
        <w:tabs>
          <w:tab w:val="clear" w:pos="567"/>
        </w:tabs>
        <w:kinsoku w:val="0"/>
        <w:overflowPunct w:val="0"/>
        <w:autoSpaceDE w:val="0"/>
        <w:autoSpaceDN w:val="0"/>
        <w:adjustRightInd w:val="0"/>
        <w:spacing w:line="240" w:lineRule="auto"/>
      </w:pPr>
      <w:r>
        <w:rPr>
          <w:u w:val="single"/>
        </w:rPr>
        <w:t>Poliartrită reumatoidă</w:t>
      </w:r>
    </w:p>
    <w:p w14:paraId="6B24666A" w14:textId="77777777" w:rsidR="00C04CAD" w:rsidRDefault="00C04CAD">
      <w:pPr>
        <w:keepNext/>
        <w:tabs>
          <w:tab w:val="clear" w:pos="567"/>
        </w:tabs>
        <w:kinsoku w:val="0"/>
        <w:overflowPunct w:val="0"/>
        <w:autoSpaceDE w:val="0"/>
        <w:autoSpaceDN w:val="0"/>
        <w:adjustRightInd w:val="0"/>
        <w:spacing w:line="240" w:lineRule="auto"/>
      </w:pPr>
    </w:p>
    <w:p w14:paraId="6E79EE76" w14:textId="77777777" w:rsidR="00C04CAD" w:rsidRDefault="00060E34">
      <w:pPr>
        <w:tabs>
          <w:tab w:val="clear" w:pos="567"/>
        </w:tabs>
        <w:kinsoku w:val="0"/>
        <w:overflowPunct w:val="0"/>
        <w:autoSpaceDE w:val="0"/>
        <w:autoSpaceDN w:val="0"/>
        <w:adjustRightInd w:val="0"/>
        <w:spacing w:line="240" w:lineRule="auto"/>
      </w:pPr>
      <w:r>
        <w:t>Poliartrita reumatoidă este o boală inflamatorie a articulaţiilor.</w:t>
      </w:r>
    </w:p>
    <w:p w14:paraId="56BE0BBE" w14:textId="77777777" w:rsidR="00C04CAD" w:rsidRDefault="00C04CAD">
      <w:pPr>
        <w:tabs>
          <w:tab w:val="clear" w:pos="567"/>
        </w:tabs>
        <w:kinsoku w:val="0"/>
        <w:overflowPunct w:val="0"/>
        <w:autoSpaceDE w:val="0"/>
        <w:autoSpaceDN w:val="0"/>
        <w:adjustRightInd w:val="0"/>
        <w:spacing w:line="240" w:lineRule="auto"/>
      </w:pPr>
    </w:p>
    <w:p w14:paraId="53D560FF"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se utilizează pentru tratamentul poliartritei reumatoide la adult. Dacă aveţi poliartrită reumatoidă activă moderată până la severă, este posibil să vi se administreze întâi alte medicamente care modifică evoluţia bolii, cum este metotrexat. Dacă nu răspundeţi suficient de bine la aceste medicamente, vi se va administra </w:t>
      </w:r>
      <w:r>
        <w:rPr>
          <w:szCs w:val="22"/>
          <w:lang w:eastAsia="en-US" w:bidi="ar-SA"/>
        </w:rPr>
        <w:t>AMGEVITA</w:t>
      </w:r>
      <w:r>
        <w:t xml:space="preserve"> în vederea tratării poliartritei dumneavoastră reumatoide.</w:t>
      </w:r>
    </w:p>
    <w:p w14:paraId="3BF702D5" w14:textId="77777777" w:rsidR="00C04CAD" w:rsidRDefault="00C04CAD">
      <w:pPr>
        <w:tabs>
          <w:tab w:val="clear" w:pos="567"/>
        </w:tabs>
        <w:kinsoku w:val="0"/>
        <w:overflowPunct w:val="0"/>
        <w:autoSpaceDE w:val="0"/>
        <w:autoSpaceDN w:val="0"/>
        <w:adjustRightInd w:val="0"/>
        <w:spacing w:line="240" w:lineRule="auto"/>
      </w:pPr>
    </w:p>
    <w:p w14:paraId="0E348A50"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poate fi de asemenea folosit pentru a trata poliartrita reumatoidă activă severă şi progresivă fără să se fi administrat anterior tratament cu metotrexat.</w:t>
      </w:r>
    </w:p>
    <w:p w14:paraId="10AAC5E1" w14:textId="77777777" w:rsidR="00C04CAD" w:rsidRDefault="00C04CAD">
      <w:pPr>
        <w:tabs>
          <w:tab w:val="clear" w:pos="567"/>
        </w:tabs>
        <w:kinsoku w:val="0"/>
        <w:overflowPunct w:val="0"/>
        <w:autoSpaceDE w:val="0"/>
        <w:autoSpaceDN w:val="0"/>
        <w:adjustRightInd w:val="0"/>
        <w:spacing w:line="240" w:lineRule="auto"/>
        <w:rPr>
          <w:sz w:val="24"/>
        </w:rPr>
      </w:pPr>
    </w:p>
    <w:p w14:paraId="0275FFAA"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încetineşte leziunile cartilajului şi ale osului de la nivelul articulaţiilor afectate de boală şi îmbunătățește activitatea fizică.</w:t>
      </w:r>
    </w:p>
    <w:p w14:paraId="03DDD5B5" w14:textId="77777777" w:rsidR="00C04CAD" w:rsidRDefault="00C04CAD">
      <w:pPr>
        <w:tabs>
          <w:tab w:val="clear" w:pos="567"/>
        </w:tabs>
        <w:kinsoku w:val="0"/>
        <w:overflowPunct w:val="0"/>
        <w:autoSpaceDE w:val="0"/>
        <w:autoSpaceDN w:val="0"/>
        <w:adjustRightInd w:val="0"/>
        <w:spacing w:line="240" w:lineRule="auto"/>
      </w:pPr>
    </w:p>
    <w:p w14:paraId="705C3607" w14:textId="77777777" w:rsidR="00C04CAD" w:rsidRDefault="00060E34">
      <w:pPr>
        <w:tabs>
          <w:tab w:val="clear" w:pos="567"/>
        </w:tabs>
        <w:kinsoku w:val="0"/>
        <w:overflowPunct w:val="0"/>
        <w:autoSpaceDE w:val="0"/>
        <w:autoSpaceDN w:val="0"/>
        <w:adjustRightInd w:val="0"/>
        <w:spacing w:line="240" w:lineRule="auto"/>
      </w:pPr>
      <w:r>
        <w:t xml:space="preserve">De obicei, </w:t>
      </w:r>
      <w:r>
        <w:rPr>
          <w:szCs w:val="22"/>
          <w:lang w:eastAsia="en-US" w:bidi="ar-SA"/>
        </w:rPr>
        <w:t>AMGEVITA</w:t>
      </w:r>
      <w:r>
        <w:t xml:space="preserve"> se administrează împreună cu metotrexat. Dacă medicul dumneavoastră stabileşte că metotrexat nu este adecvat, </w:t>
      </w:r>
      <w:r>
        <w:rPr>
          <w:szCs w:val="22"/>
          <w:lang w:eastAsia="en-US" w:bidi="ar-SA"/>
        </w:rPr>
        <w:t>AMGEVITA</w:t>
      </w:r>
      <w:r>
        <w:t xml:space="preserve"> poate fi administrat singur.</w:t>
      </w:r>
    </w:p>
    <w:p w14:paraId="1C91A0FF" w14:textId="77777777" w:rsidR="00C04CAD" w:rsidRDefault="00C04CAD">
      <w:pPr>
        <w:tabs>
          <w:tab w:val="clear" w:pos="567"/>
        </w:tabs>
        <w:kinsoku w:val="0"/>
        <w:overflowPunct w:val="0"/>
        <w:autoSpaceDE w:val="0"/>
        <w:autoSpaceDN w:val="0"/>
        <w:adjustRightInd w:val="0"/>
        <w:spacing w:line="240" w:lineRule="auto"/>
      </w:pPr>
    </w:p>
    <w:p w14:paraId="19DA27F0" w14:textId="77777777" w:rsidR="00C04CAD" w:rsidRDefault="00060E34">
      <w:pPr>
        <w:tabs>
          <w:tab w:val="clear" w:pos="567"/>
        </w:tabs>
        <w:kinsoku w:val="0"/>
        <w:overflowPunct w:val="0"/>
        <w:autoSpaceDE w:val="0"/>
        <w:autoSpaceDN w:val="0"/>
        <w:adjustRightInd w:val="0"/>
        <w:spacing w:line="240" w:lineRule="auto"/>
      </w:pPr>
      <w:r>
        <w:rPr>
          <w:u w:val="single"/>
        </w:rPr>
        <w:t>Artrită juvenilă idiopatică forma poliarticulară şi artrita asociată entezitei</w:t>
      </w:r>
    </w:p>
    <w:p w14:paraId="613AD8BC" w14:textId="77777777" w:rsidR="00C04CAD" w:rsidRDefault="00C04CAD">
      <w:pPr>
        <w:tabs>
          <w:tab w:val="clear" w:pos="567"/>
        </w:tabs>
        <w:kinsoku w:val="0"/>
        <w:overflowPunct w:val="0"/>
        <w:autoSpaceDE w:val="0"/>
        <w:autoSpaceDN w:val="0"/>
        <w:adjustRightInd w:val="0"/>
        <w:spacing w:line="240" w:lineRule="auto"/>
      </w:pPr>
    </w:p>
    <w:p w14:paraId="29998721" w14:textId="77777777" w:rsidR="00C04CAD" w:rsidRDefault="00060E34">
      <w:pPr>
        <w:tabs>
          <w:tab w:val="clear" w:pos="567"/>
        </w:tabs>
        <w:kinsoku w:val="0"/>
        <w:overflowPunct w:val="0"/>
        <w:autoSpaceDE w:val="0"/>
        <w:autoSpaceDN w:val="0"/>
        <w:adjustRightInd w:val="0"/>
        <w:spacing w:line="240" w:lineRule="auto"/>
      </w:pPr>
      <w:r>
        <w:t>Artrită juvenilă idiopatică forma poliarticulară şi artrita asociată entezitei sunt boli inflamatorii ale articulațiilor care apar de obicei prima oară în perioada copilăriei.</w:t>
      </w:r>
    </w:p>
    <w:p w14:paraId="01E1C6DF" w14:textId="77777777" w:rsidR="00C04CAD" w:rsidRDefault="00C04CAD">
      <w:pPr>
        <w:tabs>
          <w:tab w:val="clear" w:pos="567"/>
        </w:tabs>
        <w:kinsoku w:val="0"/>
        <w:overflowPunct w:val="0"/>
        <w:autoSpaceDE w:val="0"/>
        <w:autoSpaceDN w:val="0"/>
        <w:adjustRightInd w:val="0"/>
        <w:spacing w:line="240" w:lineRule="auto"/>
      </w:pPr>
    </w:p>
    <w:p w14:paraId="4D97103C"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 xml:space="preserve">AMGEVITA se utilizează pentru tratamentul artritei juvenile idiopatice forma poliarticulară la pacienţi cu vârsta de la 2 ani şi la pacienţi cu artrită asociată entezitei cu vârsta de la 6 ani. Este posibil să vi se administreze întâi alte medicamente care modifică evoluţia bolii, cum este metotrexat. </w:t>
      </w:r>
      <w:r>
        <w:t xml:space="preserve">Dacă nu răspundeţi suficient de bine la aceste medicamente, vi se va administra </w:t>
      </w:r>
      <w:r>
        <w:rPr>
          <w:szCs w:val="22"/>
          <w:lang w:eastAsia="en-US" w:bidi="ar-SA"/>
        </w:rPr>
        <w:t>AMGEVITA</w:t>
      </w:r>
      <w:r>
        <w:t xml:space="preserve"> în vederea tratării artritei dumneavoastră reumatoide idiopatice juvenile forma poliarticulară sau artritei asociată entezitei.</w:t>
      </w:r>
    </w:p>
    <w:p w14:paraId="3756A29E" w14:textId="77777777" w:rsidR="00C04CAD" w:rsidRDefault="00C04CAD">
      <w:pPr>
        <w:tabs>
          <w:tab w:val="clear" w:pos="567"/>
        </w:tabs>
        <w:kinsoku w:val="0"/>
        <w:overflowPunct w:val="0"/>
        <w:autoSpaceDE w:val="0"/>
        <w:autoSpaceDN w:val="0"/>
        <w:adjustRightInd w:val="0"/>
        <w:spacing w:line="240" w:lineRule="auto"/>
      </w:pPr>
    </w:p>
    <w:p w14:paraId="11A9698F" w14:textId="77777777" w:rsidR="00C04CAD" w:rsidRDefault="00060E34">
      <w:pPr>
        <w:tabs>
          <w:tab w:val="clear" w:pos="567"/>
        </w:tabs>
        <w:kinsoku w:val="0"/>
        <w:overflowPunct w:val="0"/>
        <w:autoSpaceDE w:val="0"/>
        <w:autoSpaceDN w:val="0"/>
        <w:adjustRightInd w:val="0"/>
        <w:spacing w:line="240" w:lineRule="auto"/>
      </w:pPr>
      <w:r>
        <w:rPr>
          <w:u w:val="single"/>
        </w:rPr>
        <w:t>Spondilită anchilozantă şi spondiloartrită axială fără dovadă radiologică a spondilitei anchilozante</w:t>
      </w:r>
    </w:p>
    <w:p w14:paraId="2B43447A" w14:textId="77777777" w:rsidR="00C04CAD" w:rsidRDefault="00C04CAD">
      <w:pPr>
        <w:tabs>
          <w:tab w:val="clear" w:pos="567"/>
        </w:tabs>
        <w:kinsoku w:val="0"/>
        <w:overflowPunct w:val="0"/>
        <w:autoSpaceDE w:val="0"/>
        <w:autoSpaceDN w:val="0"/>
        <w:adjustRightInd w:val="0"/>
        <w:spacing w:line="240" w:lineRule="auto"/>
      </w:pPr>
    </w:p>
    <w:p w14:paraId="4EA6D8A2" w14:textId="77777777" w:rsidR="00C04CAD" w:rsidRDefault="00060E34">
      <w:pPr>
        <w:tabs>
          <w:tab w:val="clear" w:pos="567"/>
        </w:tabs>
        <w:kinsoku w:val="0"/>
        <w:overflowPunct w:val="0"/>
        <w:autoSpaceDE w:val="0"/>
        <w:autoSpaceDN w:val="0"/>
        <w:adjustRightInd w:val="0"/>
        <w:spacing w:line="240" w:lineRule="auto"/>
      </w:pPr>
      <w:r>
        <w:t>Spondilita anchilozantă şi spondiloartrita axială fără dovadă radiologică a spondilitei anchilozante sunt afecţiuni inflamatorii ale coloanei vertebrale.</w:t>
      </w:r>
    </w:p>
    <w:p w14:paraId="71D1904C" w14:textId="77777777" w:rsidR="00C04CAD" w:rsidRDefault="00C04CAD">
      <w:pPr>
        <w:tabs>
          <w:tab w:val="clear" w:pos="567"/>
        </w:tabs>
        <w:kinsoku w:val="0"/>
        <w:overflowPunct w:val="0"/>
        <w:autoSpaceDE w:val="0"/>
        <w:autoSpaceDN w:val="0"/>
        <w:adjustRightInd w:val="0"/>
        <w:spacing w:line="240" w:lineRule="auto"/>
      </w:pPr>
    </w:p>
    <w:p w14:paraId="0F999E76"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se utilizează pentru tratamentul spondilitei anchilozante şi a spondiloartritei axiale fără dovadă radiologică a spondilitei anchilozante la adulţi. În cazul în care aveţi spondilită anchilozantă sau spondiloartrită axială fără dovadă radiologică a spondilitei anchilozante, vi se vor administra iniţial alte medicamente. Dacă nu răspundeţi bine la aceste medicamente, vi se va administra </w:t>
      </w:r>
      <w:r>
        <w:rPr>
          <w:szCs w:val="22"/>
          <w:lang w:eastAsia="en-US" w:bidi="ar-SA"/>
        </w:rPr>
        <w:t>AMGEVITA</w:t>
      </w:r>
      <w:r>
        <w:t xml:space="preserve"> pentru a reduce semnele şi simptomele acestei boli.</w:t>
      </w:r>
    </w:p>
    <w:p w14:paraId="1360C93F" w14:textId="77777777" w:rsidR="00C04CAD" w:rsidRDefault="00C04CAD">
      <w:pPr>
        <w:tabs>
          <w:tab w:val="clear" w:pos="567"/>
        </w:tabs>
        <w:kinsoku w:val="0"/>
        <w:overflowPunct w:val="0"/>
        <w:autoSpaceDE w:val="0"/>
        <w:autoSpaceDN w:val="0"/>
        <w:adjustRightInd w:val="0"/>
        <w:spacing w:line="240" w:lineRule="auto"/>
      </w:pPr>
    </w:p>
    <w:p w14:paraId="03152818" w14:textId="77777777" w:rsidR="00C04CAD" w:rsidRDefault="00060E34">
      <w:pPr>
        <w:tabs>
          <w:tab w:val="clear" w:pos="567"/>
        </w:tabs>
        <w:kinsoku w:val="0"/>
        <w:overflowPunct w:val="0"/>
        <w:autoSpaceDE w:val="0"/>
        <w:autoSpaceDN w:val="0"/>
        <w:adjustRightInd w:val="0"/>
        <w:spacing w:line="240" w:lineRule="auto"/>
      </w:pPr>
      <w:r>
        <w:rPr>
          <w:u w:val="single"/>
        </w:rPr>
        <w:t>Artrită psoriazică</w:t>
      </w:r>
    </w:p>
    <w:p w14:paraId="5DAFC8A7" w14:textId="77777777" w:rsidR="00C04CAD" w:rsidRDefault="00C04CAD">
      <w:pPr>
        <w:tabs>
          <w:tab w:val="clear" w:pos="567"/>
        </w:tabs>
        <w:kinsoku w:val="0"/>
        <w:overflowPunct w:val="0"/>
        <w:autoSpaceDE w:val="0"/>
        <w:autoSpaceDN w:val="0"/>
        <w:adjustRightInd w:val="0"/>
        <w:spacing w:line="240" w:lineRule="auto"/>
      </w:pPr>
    </w:p>
    <w:p w14:paraId="3BB1A7C1" w14:textId="77777777" w:rsidR="00C04CAD" w:rsidRDefault="00060E34">
      <w:pPr>
        <w:tabs>
          <w:tab w:val="clear" w:pos="567"/>
        </w:tabs>
        <w:kinsoku w:val="0"/>
        <w:overflowPunct w:val="0"/>
        <w:autoSpaceDE w:val="0"/>
        <w:autoSpaceDN w:val="0"/>
        <w:adjustRightInd w:val="0"/>
        <w:spacing w:line="240" w:lineRule="auto"/>
      </w:pPr>
      <w:r>
        <w:t>Artrita psoriazică este o inflamaţie a articulaţiilor asociată psoriazisului.</w:t>
      </w:r>
    </w:p>
    <w:p w14:paraId="297D75F9" w14:textId="77777777" w:rsidR="00C04CAD" w:rsidRDefault="00C04CAD">
      <w:pPr>
        <w:tabs>
          <w:tab w:val="clear" w:pos="567"/>
        </w:tabs>
        <w:kinsoku w:val="0"/>
        <w:overflowPunct w:val="0"/>
        <w:autoSpaceDE w:val="0"/>
        <w:autoSpaceDN w:val="0"/>
        <w:adjustRightInd w:val="0"/>
        <w:spacing w:line="240" w:lineRule="auto"/>
      </w:pPr>
    </w:p>
    <w:p w14:paraId="4D23A9A6"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se utilizează pentru tratamentul artritei psoriazice la adulţi. </w:t>
      </w:r>
      <w:r>
        <w:rPr>
          <w:szCs w:val="22"/>
          <w:lang w:eastAsia="en-US" w:bidi="ar-SA"/>
        </w:rPr>
        <w:t>AMGEVITA</w:t>
      </w:r>
      <w:r>
        <w:t xml:space="preserve"> încetineşte deteriorarea cartilajului şi a osului din articulaţii determinată de boală şi îmbunătăţeşte activitatea fizică.</w:t>
      </w:r>
    </w:p>
    <w:p w14:paraId="6C301720" w14:textId="77777777" w:rsidR="00C04CAD" w:rsidRDefault="00C04CAD">
      <w:pPr>
        <w:tabs>
          <w:tab w:val="clear" w:pos="567"/>
        </w:tabs>
        <w:kinsoku w:val="0"/>
        <w:overflowPunct w:val="0"/>
        <w:autoSpaceDE w:val="0"/>
        <w:autoSpaceDN w:val="0"/>
        <w:adjustRightInd w:val="0"/>
        <w:spacing w:line="240" w:lineRule="auto"/>
      </w:pPr>
    </w:p>
    <w:p w14:paraId="0BF40DF4" w14:textId="77777777" w:rsidR="00C04CAD" w:rsidRDefault="00060E34">
      <w:pPr>
        <w:tabs>
          <w:tab w:val="clear" w:pos="567"/>
        </w:tabs>
        <w:kinsoku w:val="0"/>
        <w:overflowPunct w:val="0"/>
        <w:autoSpaceDE w:val="0"/>
        <w:autoSpaceDN w:val="0"/>
        <w:adjustRightInd w:val="0"/>
        <w:spacing w:line="240" w:lineRule="auto"/>
      </w:pPr>
      <w:r>
        <w:rPr>
          <w:u w:val="single"/>
        </w:rPr>
        <w:t>Psoriazis în plăci la adulţi şi copii</w:t>
      </w:r>
    </w:p>
    <w:p w14:paraId="2CC80FB3" w14:textId="77777777" w:rsidR="00C04CAD" w:rsidRDefault="00C04CAD">
      <w:pPr>
        <w:tabs>
          <w:tab w:val="clear" w:pos="567"/>
        </w:tabs>
        <w:kinsoku w:val="0"/>
        <w:overflowPunct w:val="0"/>
        <w:autoSpaceDE w:val="0"/>
        <w:autoSpaceDN w:val="0"/>
        <w:adjustRightInd w:val="0"/>
        <w:spacing w:line="240" w:lineRule="auto"/>
      </w:pPr>
    </w:p>
    <w:p w14:paraId="120F1980" w14:textId="77777777" w:rsidR="00C04CAD" w:rsidRDefault="00060E34">
      <w:pPr>
        <w:tabs>
          <w:tab w:val="clear" w:pos="567"/>
        </w:tabs>
        <w:kinsoku w:val="0"/>
        <w:overflowPunct w:val="0"/>
        <w:autoSpaceDE w:val="0"/>
        <w:autoSpaceDN w:val="0"/>
        <w:adjustRightInd w:val="0"/>
        <w:spacing w:line="240" w:lineRule="auto"/>
      </w:pPr>
      <w:r>
        <w:t xml:space="preserve">Psoriazisul în plăci este o afecţiune a pielii care determină zone de piele roşii, cu coji, cu cruste acoperite cu solzi argintii. Psoriazisul în plăci poate afecta, de asemenea, unghiile, care pot deveni fărâmicioase, se pot îngroșa și ridica de pe patul unghial, ceea ce poate fi dureros. Psoriazisul este considerat a fi cauzat de o problemă a sistemului imunitar al organismului, care duce la o producție crescută de </w:t>
      </w:r>
      <w:r>
        <w:rPr>
          <w:szCs w:val="22"/>
          <w:lang w:eastAsia="en-US" w:bidi="ar-SA"/>
        </w:rPr>
        <w:t>celule</w:t>
      </w:r>
      <w:r>
        <w:t xml:space="preserve"> ale pielii.</w:t>
      </w:r>
    </w:p>
    <w:p w14:paraId="68520450" w14:textId="77777777" w:rsidR="00C04CAD" w:rsidRDefault="00C04CAD">
      <w:pPr>
        <w:tabs>
          <w:tab w:val="clear" w:pos="567"/>
        </w:tabs>
        <w:kinsoku w:val="0"/>
        <w:overflowPunct w:val="0"/>
        <w:autoSpaceDE w:val="0"/>
        <w:autoSpaceDN w:val="0"/>
        <w:adjustRightInd w:val="0"/>
        <w:spacing w:line="240" w:lineRule="auto"/>
      </w:pPr>
    </w:p>
    <w:p w14:paraId="2D7C4F79"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se utilizează pentru tratamentul psoriazisului în plăci moderat p</w:t>
      </w:r>
      <w:r>
        <w:rPr>
          <w:szCs w:val="22"/>
        </w:rPr>
        <w:t>ân</w:t>
      </w:r>
      <w:r>
        <w:t>ă</w:t>
      </w:r>
      <w:r>
        <w:rPr>
          <w:szCs w:val="22"/>
        </w:rPr>
        <w:t xml:space="preserve"> la </w:t>
      </w:r>
      <w:r>
        <w:t>sever la</w:t>
      </w:r>
      <w:r>
        <w:rPr>
          <w:szCs w:val="22"/>
          <w:lang w:eastAsia="en-US" w:bidi="ar-SA"/>
        </w:rPr>
        <w:t xml:space="preserve"> adul</w:t>
      </w:r>
      <w:r>
        <w:t xml:space="preserve">ți. </w:t>
      </w:r>
      <w:r>
        <w:rPr>
          <w:szCs w:val="22"/>
          <w:lang w:eastAsia="en-US" w:bidi="ar-SA"/>
        </w:rPr>
        <w:t>AMGEVITA</w:t>
      </w:r>
      <w:r>
        <w:t xml:space="preserve"> se utilizează şi pentru tratamentul psoriazisului în plăci sever la copii și adolescenți cu </w:t>
      </w:r>
      <w:r>
        <w:rPr>
          <w:szCs w:val="22"/>
          <w:lang w:eastAsia="en-US" w:bidi="ar-SA"/>
        </w:rPr>
        <w:t>vârsta cuprinsă între 4 și 17 ani,</w:t>
      </w:r>
      <w:r>
        <w:t xml:space="preserve"> la care tratamentul </w:t>
      </w:r>
      <w:r>
        <w:rPr>
          <w:szCs w:val="22"/>
          <w:lang w:eastAsia="en-US" w:bidi="ar-SA"/>
        </w:rPr>
        <w:t>local</w:t>
      </w:r>
      <w:r>
        <w:t xml:space="preserve"> şi fototerapiile fie nu au avut rezultate foarte bune fie acestea nu sunt recomandate.</w:t>
      </w:r>
    </w:p>
    <w:p w14:paraId="1501A9B4" w14:textId="77777777" w:rsidR="00C04CAD" w:rsidRDefault="00C04CAD">
      <w:pPr>
        <w:tabs>
          <w:tab w:val="clear" w:pos="567"/>
        </w:tabs>
        <w:kinsoku w:val="0"/>
        <w:overflowPunct w:val="0"/>
        <w:autoSpaceDE w:val="0"/>
        <w:autoSpaceDN w:val="0"/>
        <w:adjustRightInd w:val="0"/>
        <w:spacing w:line="240" w:lineRule="auto"/>
        <w:rPr>
          <w:szCs w:val="22"/>
        </w:rPr>
      </w:pPr>
    </w:p>
    <w:p w14:paraId="7BD82292"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 xml:space="preserve">Hidrosadenită supurativă la adulți și adolescenți </w:t>
      </w:r>
    </w:p>
    <w:p w14:paraId="2DB3467B" w14:textId="77777777" w:rsidR="00C04CAD" w:rsidRDefault="00C04CAD">
      <w:pPr>
        <w:tabs>
          <w:tab w:val="clear" w:pos="567"/>
        </w:tabs>
        <w:kinsoku w:val="0"/>
        <w:overflowPunct w:val="0"/>
        <w:autoSpaceDE w:val="0"/>
        <w:autoSpaceDN w:val="0"/>
        <w:adjustRightInd w:val="0"/>
        <w:spacing w:line="240" w:lineRule="auto"/>
        <w:rPr>
          <w:szCs w:val="22"/>
        </w:rPr>
      </w:pPr>
    </w:p>
    <w:p w14:paraId="51A3B7D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Hidrosadenita supurativă (uneori numită acnee inversă) este o afecţiune inflamatorie cronică şi adesea dureroasă a pielii. Simptomele pot include noduli </w:t>
      </w:r>
      <w:r>
        <w:rPr>
          <w:szCs w:val="22"/>
          <w:lang w:eastAsia="en-US" w:bidi="ar-SA"/>
        </w:rPr>
        <w:t>sensibili (umflături</w:t>
      </w:r>
      <w:r>
        <w:rPr>
          <w:szCs w:val="22"/>
        </w:rPr>
        <w:t xml:space="preserve">) şi abcese (furuncule) din care poate să curgă puroi. Acestea afectează mai frecvent anumite zone ale pielii, cum ar fi sub sâni, axile, </w:t>
      </w:r>
      <w:r>
        <w:rPr>
          <w:szCs w:val="22"/>
          <w:lang w:eastAsia="en-US" w:bidi="ar-SA"/>
        </w:rPr>
        <w:t>faţa internă a coapselor</w:t>
      </w:r>
      <w:r>
        <w:rPr>
          <w:szCs w:val="22"/>
        </w:rPr>
        <w:t>, zona inghinală și fese. Cicatrizarea poate să apară în zonele afectate.</w:t>
      </w:r>
    </w:p>
    <w:p w14:paraId="10D1C207" w14:textId="77777777" w:rsidR="00C04CAD" w:rsidRDefault="00C04CAD">
      <w:pPr>
        <w:tabs>
          <w:tab w:val="clear" w:pos="567"/>
        </w:tabs>
        <w:kinsoku w:val="0"/>
        <w:overflowPunct w:val="0"/>
        <w:autoSpaceDE w:val="0"/>
        <w:autoSpaceDN w:val="0"/>
        <w:adjustRightInd w:val="0"/>
        <w:spacing w:line="240" w:lineRule="auto"/>
        <w:rPr>
          <w:szCs w:val="22"/>
        </w:rPr>
      </w:pPr>
    </w:p>
    <w:p w14:paraId="5A0D3C1E"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se utilizează pentru tratamentul hidrosadenitei supurative la adulți și adolescenți de la vârsta de 12 ani. </w:t>
      </w:r>
      <w:r>
        <w:rPr>
          <w:szCs w:val="22"/>
          <w:lang w:eastAsia="en-US" w:bidi="ar-SA"/>
        </w:rPr>
        <w:t>AMGEVITA</w:t>
      </w:r>
      <w:r>
        <w:rPr>
          <w:szCs w:val="22"/>
        </w:rPr>
        <w:t xml:space="preserve"> poate reduce numărul de noduli și abcese pe care le aveţi şi durerea care se asociază adesea bolii. Este posibil să </w:t>
      </w:r>
      <w:r>
        <w:rPr>
          <w:szCs w:val="24"/>
        </w:rPr>
        <w:t>primiți inițial alte medicamente</w:t>
      </w:r>
      <w:r>
        <w:rPr>
          <w:szCs w:val="22"/>
        </w:rPr>
        <w:t>. Dacă nu răspundeți suficient de bine la aceste medicamente, vi se va administra AMGEVITA.</w:t>
      </w:r>
    </w:p>
    <w:p w14:paraId="48C81FDE" w14:textId="77777777" w:rsidR="00C04CAD" w:rsidRDefault="00C04CAD">
      <w:pPr>
        <w:tabs>
          <w:tab w:val="clear" w:pos="567"/>
        </w:tabs>
        <w:kinsoku w:val="0"/>
        <w:overflowPunct w:val="0"/>
        <w:autoSpaceDE w:val="0"/>
        <w:autoSpaceDN w:val="0"/>
        <w:adjustRightInd w:val="0"/>
        <w:spacing w:line="240" w:lineRule="auto"/>
        <w:rPr>
          <w:szCs w:val="22"/>
          <w:u w:val="single"/>
        </w:rPr>
      </w:pPr>
    </w:p>
    <w:p w14:paraId="407B60BD"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Boală Crohn la adulţi şi copii</w:t>
      </w:r>
    </w:p>
    <w:p w14:paraId="583B0B60" w14:textId="77777777" w:rsidR="00C04CAD" w:rsidRDefault="00C04CAD">
      <w:pPr>
        <w:tabs>
          <w:tab w:val="clear" w:pos="567"/>
        </w:tabs>
        <w:kinsoku w:val="0"/>
        <w:overflowPunct w:val="0"/>
        <w:autoSpaceDE w:val="0"/>
        <w:autoSpaceDN w:val="0"/>
        <w:adjustRightInd w:val="0"/>
        <w:spacing w:line="240" w:lineRule="auto"/>
        <w:rPr>
          <w:szCs w:val="22"/>
        </w:rPr>
      </w:pPr>
    </w:p>
    <w:p w14:paraId="6C303E1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Boala Crohn este o afecţiune inflamatorie a tractului digestiv.</w:t>
      </w:r>
    </w:p>
    <w:p w14:paraId="11CBA904" w14:textId="77777777" w:rsidR="00C04CAD" w:rsidRDefault="00C04CAD">
      <w:pPr>
        <w:tabs>
          <w:tab w:val="clear" w:pos="567"/>
        </w:tabs>
        <w:kinsoku w:val="0"/>
        <w:overflowPunct w:val="0"/>
        <w:autoSpaceDE w:val="0"/>
        <w:autoSpaceDN w:val="0"/>
        <w:adjustRightInd w:val="0"/>
        <w:spacing w:line="240" w:lineRule="auto"/>
        <w:rPr>
          <w:szCs w:val="22"/>
        </w:rPr>
      </w:pPr>
    </w:p>
    <w:p w14:paraId="4D1FC735"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se utilizează pentru tratamentul bolii Crohn la adulţi şi copii cu vârsta între 6 şi 17 ani. Dacă aveţi boala Crohn, vi se vor administra iniţial alte medicamente. Dacă nu răspundeţi bine la aceste medicamente, vi se va administra </w:t>
      </w:r>
      <w:r>
        <w:rPr>
          <w:szCs w:val="22"/>
          <w:lang w:eastAsia="en-US" w:bidi="ar-SA"/>
        </w:rPr>
        <w:t>AMGEVITA</w:t>
      </w:r>
      <w:r>
        <w:rPr>
          <w:szCs w:val="22"/>
        </w:rPr>
        <w:t xml:space="preserve"> pentru a reduce semnele şi simptomele bolii Crohn.</w:t>
      </w:r>
    </w:p>
    <w:p w14:paraId="572A2467" w14:textId="77777777" w:rsidR="00C04CAD" w:rsidRDefault="00C04CAD">
      <w:pPr>
        <w:tabs>
          <w:tab w:val="clear" w:pos="567"/>
        </w:tabs>
        <w:kinsoku w:val="0"/>
        <w:overflowPunct w:val="0"/>
        <w:autoSpaceDE w:val="0"/>
        <w:autoSpaceDN w:val="0"/>
        <w:adjustRightInd w:val="0"/>
        <w:spacing w:line="240" w:lineRule="auto"/>
        <w:rPr>
          <w:szCs w:val="22"/>
        </w:rPr>
      </w:pPr>
    </w:p>
    <w:p w14:paraId="06C36FB1" w14:textId="77777777" w:rsidR="00C04CAD" w:rsidRDefault="00060E34">
      <w:pPr>
        <w:tabs>
          <w:tab w:val="clear" w:pos="567"/>
        </w:tabs>
        <w:kinsoku w:val="0"/>
        <w:overflowPunct w:val="0"/>
        <w:autoSpaceDE w:val="0"/>
        <w:autoSpaceDN w:val="0"/>
        <w:adjustRightInd w:val="0"/>
        <w:spacing w:line="240" w:lineRule="auto"/>
        <w:rPr>
          <w:szCs w:val="22"/>
          <w:u w:val="single"/>
        </w:rPr>
      </w:pPr>
      <w:r>
        <w:rPr>
          <w:szCs w:val="22"/>
          <w:u w:val="single"/>
        </w:rPr>
        <w:t>Colită ulcerativă</w:t>
      </w:r>
      <w:r>
        <w:rPr>
          <w:szCs w:val="22"/>
          <w:u w:val="single"/>
          <w:lang w:eastAsia="en-US" w:bidi="ar-SA"/>
        </w:rPr>
        <w:t xml:space="preserve"> la adulți și copii</w:t>
      </w:r>
    </w:p>
    <w:p w14:paraId="12A09ED6" w14:textId="77777777" w:rsidR="00C04CAD" w:rsidRDefault="00C04CAD">
      <w:pPr>
        <w:tabs>
          <w:tab w:val="clear" w:pos="567"/>
        </w:tabs>
        <w:kinsoku w:val="0"/>
        <w:overflowPunct w:val="0"/>
        <w:autoSpaceDE w:val="0"/>
        <w:autoSpaceDN w:val="0"/>
        <w:adjustRightInd w:val="0"/>
        <w:spacing w:line="240" w:lineRule="auto"/>
        <w:rPr>
          <w:szCs w:val="22"/>
        </w:rPr>
      </w:pPr>
    </w:p>
    <w:p w14:paraId="36FA40CC"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Colita ulcerativă este o afecţiune inflamatorie a intestinului gros.</w:t>
      </w:r>
    </w:p>
    <w:p w14:paraId="3994AFC5" w14:textId="77777777" w:rsidR="00C04CAD" w:rsidRDefault="00C04CAD">
      <w:pPr>
        <w:tabs>
          <w:tab w:val="clear" w:pos="567"/>
        </w:tabs>
        <w:kinsoku w:val="0"/>
        <w:overflowPunct w:val="0"/>
        <w:autoSpaceDE w:val="0"/>
        <w:autoSpaceDN w:val="0"/>
        <w:adjustRightInd w:val="0"/>
        <w:spacing w:line="240" w:lineRule="auto"/>
        <w:rPr>
          <w:szCs w:val="22"/>
        </w:rPr>
      </w:pPr>
    </w:p>
    <w:p w14:paraId="1827F45B"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se utilizează pentru tratamentul colitei ulcerative, forma moderată până la severă, la adulţi </w:t>
      </w:r>
      <w:r>
        <w:rPr>
          <w:szCs w:val="22"/>
          <w:lang w:eastAsia="en-US" w:bidi="ar-SA"/>
        </w:rPr>
        <w:t>și la copii și adolescenți cu vârsta cuprinsă între 6 și 17 ani</w:t>
      </w:r>
      <w:r>
        <w:rPr>
          <w:szCs w:val="22"/>
        </w:rPr>
        <w:t xml:space="preserve">. În cazul în care aveţi colită ulcerativă, vi se pot administra iniţial alte medicamente. Dacă nu răspundeţi bine la aceste medicamente, vi se va administra </w:t>
      </w:r>
      <w:r>
        <w:rPr>
          <w:szCs w:val="22"/>
          <w:lang w:eastAsia="en-US" w:bidi="ar-SA"/>
        </w:rPr>
        <w:t>AMGEVITA</w:t>
      </w:r>
      <w:r>
        <w:rPr>
          <w:szCs w:val="22"/>
        </w:rPr>
        <w:t xml:space="preserve"> pentru a reduce semnele şi simptomele acestei boli.</w:t>
      </w:r>
    </w:p>
    <w:p w14:paraId="4FD60E17" w14:textId="77777777" w:rsidR="00C04CAD" w:rsidRDefault="00C04CAD">
      <w:pPr>
        <w:kinsoku w:val="0"/>
        <w:overflowPunct w:val="0"/>
        <w:spacing w:line="240" w:lineRule="auto"/>
        <w:rPr>
          <w:szCs w:val="22"/>
        </w:rPr>
      </w:pPr>
    </w:p>
    <w:p w14:paraId="61E769B0"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Uveită non-infecţioasă la adulți și copii</w:t>
      </w:r>
    </w:p>
    <w:p w14:paraId="05CE5CE8" w14:textId="77777777" w:rsidR="00C04CAD" w:rsidRDefault="00C04CAD">
      <w:pPr>
        <w:tabs>
          <w:tab w:val="clear" w:pos="567"/>
        </w:tabs>
        <w:kinsoku w:val="0"/>
        <w:overflowPunct w:val="0"/>
        <w:autoSpaceDE w:val="0"/>
        <w:autoSpaceDN w:val="0"/>
        <w:adjustRightInd w:val="0"/>
        <w:spacing w:line="240" w:lineRule="auto"/>
        <w:rPr>
          <w:szCs w:val="22"/>
        </w:rPr>
      </w:pPr>
    </w:p>
    <w:p w14:paraId="58CEED3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Uveita non-infecţioasă este o boală inflamatorie care afectează anumite părți ale ochiului.</w:t>
      </w:r>
    </w:p>
    <w:p w14:paraId="156E8ADB" w14:textId="77777777" w:rsidR="00C04CAD" w:rsidRDefault="00C04CAD">
      <w:pPr>
        <w:tabs>
          <w:tab w:val="clear" w:pos="567"/>
        </w:tabs>
        <w:kinsoku w:val="0"/>
        <w:overflowPunct w:val="0"/>
        <w:autoSpaceDE w:val="0"/>
        <w:autoSpaceDN w:val="0"/>
        <w:adjustRightInd w:val="0"/>
        <w:spacing w:line="240" w:lineRule="auto"/>
        <w:rPr>
          <w:szCs w:val="22"/>
        </w:rPr>
      </w:pPr>
    </w:p>
    <w:p w14:paraId="4CD1B86B" w14:textId="77777777" w:rsidR="00C04CAD" w:rsidRDefault="00060E34">
      <w:pPr>
        <w:tabs>
          <w:tab w:val="clear" w:pos="567"/>
        </w:tabs>
        <w:spacing w:line="240" w:lineRule="auto"/>
        <w:ind w:right="-2"/>
        <w:rPr>
          <w:szCs w:val="22"/>
        </w:rPr>
      </w:pPr>
      <w:r>
        <w:rPr>
          <w:szCs w:val="22"/>
          <w:lang w:eastAsia="en-US" w:bidi="ar-SA"/>
        </w:rPr>
        <w:t>AMGEVITA</w:t>
      </w:r>
      <w:r>
        <w:rPr>
          <w:szCs w:val="22"/>
        </w:rPr>
        <w:t xml:space="preserve"> se utilizează pentru tratamentul </w:t>
      </w:r>
    </w:p>
    <w:p w14:paraId="249CB7F1" w14:textId="77777777" w:rsidR="00C04CAD" w:rsidRDefault="00060E34">
      <w:pPr>
        <w:pStyle w:val="EMEANormal"/>
        <w:numPr>
          <w:ilvl w:val="0"/>
          <w:numId w:val="51"/>
        </w:numPr>
        <w:ind w:left="567" w:hanging="567"/>
        <w:rPr>
          <w:lang w:val="ro-RO"/>
        </w:rPr>
      </w:pPr>
      <w:r>
        <w:rPr>
          <w:lang w:val="ro-RO"/>
        </w:rPr>
        <w:t xml:space="preserve">Uveitei non-infecţioase cu inflamaţie care afectează partea din spate a ochiului la adulți </w:t>
      </w:r>
    </w:p>
    <w:p w14:paraId="2B494E93" w14:textId="77777777" w:rsidR="00C04CAD" w:rsidRDefault="00060E34">
      <w:pPr>
        <w:pStyle w:val="EMEANormal"/>
        <w:numPr>
          <w:ilvl w:val="0"/>
          <w:numId w:val="51"/>
        </w:numPr>
        <w:ind w:left="567" w:hanging="567"/>
        <w:rPr>
          <w:lang w:val="ro-RO"/>
        </w:rPr>
      </w:pPr>
      <w:r>
        <w:rPr>
          <w:lang w:val="ro-RO"/>
        </w:rPr>
        <w:t>Uveitei cronice non-infecțioase cu inflamație care afectează partea din față a ochiului la copii cu vârsta de la 2 ani</w:t>
      </w:r>
    </w:p>
    <w:p w14:paraId="365835D2" w14:textId="77777777" w:rsidR="00C04CAD" w:rsidRDefault="00C04CAD">
      <w:pPr>
        <w:tabs>
          <w:tab w:val="clear" w:pos="567"/>
        </w:tabs>
        <w:spacing w:line="240" w:lineRule="auto"/>
        <w:ind w:right="-2"/>
        <w:rPr>
          <w:szCs w:val="22"/>
          <w:lang w:eastAsia="en-US" w:bidi="ar-SA"/>
        </w:rPr>
      </w:pPr>
    </w:p>
    <w:p w14:paraId="711579A6" w14:textId="77777777" w:rsidR="00C04CAD" w:rsidRDefault="00060E34">
      <w:pPr>
        <w:tabs>
          <w:tab w:val="clear" w:pos="567"/>
        </w:tabs>
        <w:spacing w:line="240" w:lineRule="auto"/>
        <w:ind w:right="-2"/>
        <w:rPr>
          <w:szCs w:val="22"/>
          <w:lang w:eastAsia="en-US" w:bidi="ar-SA"/>
        </w:rPr>
      </w:pPr>
      <w:r>
        <w:rPr>
          <w:szCs w:val="22"/>
          <w:lang w:eastAsia="en-US" w:bidi="ar-SA"/>
        </w:rPr>
        <w:t xml:space="preserve">Această inflamaţie poate </w:t>
      </w:r>
      <w:r>
        <w:t>să</w:t>
      </w:r>
      <w:r>
        <w:rPr>
          <w:szCs w:val="22"/>
          <w:lang w:eastAsia="en-US" w:bidi="ar-SA"/>
        </w:rPr>
        <w:t xml:space="preserve"> determine o scădere a vederii și/sau prezența flocoanelor în ochi (puncte negre sau linii subţiri care se mișcă peste câmpul vizual). AMGEVITA acționează prin reducerea acestei inflamații.</w:t>
      </w:r>
    </w:p>
    <w:p w14:paraId="5FE8D6A1" w14:textId="77777777" w:rsidR="00C04CAD" w:rsidRDefault="00C04CAD">
      <w:pPr>
        <w:tabs>
          <w:tab w:val="clear" w:pos="567"/>
        </w:tabs>
        <w:spacing w:line="240" w:lineRule="auto"/>
        <w:ind w:right="-2"/>
        <w:rPr>
          <w:szCs w:val="22"/>
        </w:rPr>
      </w:pPr>
    </w:p>
    <w:p w14:paraId="027ECC1D" w14:textId="77777777" w:rsidR="00C04CAD" w:rsidRDefault="00C04CAD">
      <w:pPr>
        <w:tabs>
          <w:tab w:val="clear" w:pos="567"/>
        </w:tabs>
        <w:spacing w:line="240" w:lineRule="auto"/>
        <w:ind w:right="-2"/>
        <w:rPr>
          <w:szCs w:val="22"/>
        </w:rPr>
      </w:pPr>
    </w:p>
    <w:p w14:paraId="55691E0B" w14:textId="77777777" w:rsidR="00C04CAD" w:rsidRDefault="00060E34">
      <w:pPr>
        <w:keepNext/>
        <w:numPr>
          <w:ilvl w:val="0"/>
          <w:numId w:val="100"/>
        </w:numPr>
        <w:spacing w:line="240" w:lineRule="auto"/>
        <w:ind w:left="567" w:right="-2"/>
        <w:rPr>
          <w:b/>
          <w:bCs/>
        </w:rPr>
      </w:pPr>
      <w:r>
        <w:rPr>
          <w:b/>
        </w:rPr>
        <w:t>Ce trebuie să știți înainte să utilizați AMGEVITA</w:t>
      </w:r>
    </w:p>
    <w:p w14:paraId="3CB27DF7" w14:textId="77777777" w:rsidR="00C04CAD" w:rsidRDefault="00C04CAD">
      <w:pPr>
        <w:keepNext/>
        <w:numPr>
          <w:ilvl w:val="12"/>
          <w:numId w:val="0"/>
        </w:numPr>
        <w:tabs>
          <w:tab w:val="clear" w:pos="567"/>
        </w:tabs>
        <w:spacing w:line="240" w:lineRule="auto"/>
        <w:outlineLvl w:val="0"/>
        <w:rPr>
          <w:b/>
          <w:i/>
        </w:rPr>
      </w:pPr>
    </w:p>
    <w:p w14:paraId="269741C7" w14:textId="77777777" w:rsidR="00C04CAD" w:rsidRDefault="00060E34">
      <w:pPr>
        <w:keepNext/>
        <w:tabs>
          <w:tab w:val="clear" w:pos="567"/>
          <w:tab w:val="left" w:pos="679"/>
        </w:tabs>
        <w:kinsoku w:val="0"/>
        <w:overflowPunct w:val="0"/>
        <w:autoSpaceDE w:val="0"/>
        <w:autoSpaceDN w:val="0"/>
        <w:adjustRightInd w:val="0"/>
        <w:spacing w:line="240" w:lineRule="auto"/>
        <w:outlineLvl w:val="0"/>
      </w:pPr>
      <w:r>
        <w:rPr>
          <w:b/>
        </w:rPr>
        <w:t xml:space="preserve">Nu utilizaţi </w:t>
      </w:r>
      <w:r>
        <w:rPr>
          <w:b/>
          <w:bCs/>
          <w:szCs w:val="22"/>
          <w:lang w:eastAsia="en-US" w:bidi="ar-SA"/>
        </w:rPr>
        <w:t>AMGEVITA:</w:t>
      </w:r>
    </w:p>
    <w:p w14:paraId="13C328FE" w14:textId="77777777" w:rsidR="00C04CAD" w:rsidRDefault="00C04CAD">
      <w:pPr>
        <w:keepNext/>
        <w:tabs>
          <w:tab w:val="clear" w:pos="567"/>
        </w:tabs>
        <w:autoSpaceDE w:val="0"/>
        <w:autoSpaceDN w:val="0"/>
        <w:adjustRightInd w:val="0"/>
        <w:spacing w:line="240" w:lineRule="auto"/>
      </w:pPr>
    </w:p>
    <w:p w14:paraId="41084681"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rPr>
          <w:szCs w:val="22"/>
          <w:lang w:eastAsia="en-US" w:bidi="ar-SA"/>
        </w:rPr>
        <w:t>dacă</w:t>
      </w:r>
      <w:r>
        <w:t xml:space="preserve"> sunteţi alergic la adalimumab sau la oricare dintre celelalte componente ale medicamentului (enumerate la pct. 6).</w:t>
      </w:r>
      <w:r>
        <w:rPr>
          <w:szCs w:val="22"/>
          <w:lang w:eastAsia="en-US" w:bidi="ar-SA"/>
        </w:rPr>
        <w:t xml:space="preserve"> </w:t>
      </w:r>
    </w:p>
    <w:p w14:paraId="75859F79"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rPr>
          <w:szCs w:val="22"/>
          <w:lang w:eastAsia="en-US" w:bidi="ar-SA"/>
        </w:rPr>
        <w:t>dacă</w:t>
      </w:r>
      <w:r>
        <w:t xml:space="preserve"> aveţi o infecţie severă, inclusiv tuberculoză activă, septicemie (infecție în sânge) sau alte infecții oportuniste (infecții neobișnuite asociate cu un sistem imunitar slăbit) (vezi “Atenţionări şi precauţii”). Este important să-i spuneţi medicului dumneavoastră dacă aveţi simptome ale unei infecţii, de exemplu febră, plăgi, senzaţie de oboseală, probleme dentare.</w:t>
      </w:r>
      <w:r>
        <w:rPr>
          <w:szCs w:val="22"/>
          <w:lang w:eastAsia="en-US" w:bidi="ar-SA"/>
        </w:rPr>
        <w:t xml:space="preserve"> </w:t>
      </w:r>
    </w:p>
    <w:p w14:paraId="2243D248" w14:textId="77777777" w:rsidR="00C04CAD" w:rsidRDefault="00060E34">
      <w:pPr>
        <w:pStyle w:val="ListParagraph"/>
        <w:numPr>
          <w:ilvl w:val="0"/>
          <w:numId w:val="52"/>
        </w:numPr>
        <w:kinsoku w:val="0"/>
        <w:overflowPunct w:val="0"/>
        <w:autoSpaceDE w:val="0"/>
        <w:autoSpaceDN w:val="0"/>
        <w:adjustRightInd w:val="0"/>
        <w:spacing w:line="240" w:lineRule="auto"/>
        <w:ind w:left="567" w:hanging="567"/>
      </w:pPr>
      <w:r>
        <w:rPr>
          <w:szCs w:val="22"/>
          <w:lang w:eastAsia="en-US" w:bidi="ar-SA"/>
        </w:rPr>
        <w:t>dacă</w:t>
      </w:r>
      <w:r>
        <w:t xml:space="preserve"> aveţi insuficienţă cardiacă moderată sau severă. Este important să-i comunicaţi medicului dacă aţi avut sau aveţi o afecţiune cardiacă gravă (vezi “Atenţionări şi precauţii”).</w:t>
      </w:r>
    </w:p>
    <w:p w14:paraId="1EE6C83C" w14:textId="77777777" w:rsidR="00C04CAD" w:rsidRDefault="00C04CAD">
      <w:pPr>
        <w:numPr>
          <w:ilvl w:val="12"/>
          <w:numId w:val="0"/>
        </w:numPr>
        <w:tabs>
          <w:tab w:val="clear" w:pos="567"/>
        </w:tabs>
        <w:spacing w:line="240" w:lineRule="auto"/>
      </w:pPr>
    </w:p>
    <w:p w14:paraId="169C627E" w14:textId="77777777" w:rsidR="00C04CAD" w:rsidRDefault="00060E34">
      <w:pPr>
        <w:keepNext/>
        <w:numPr>
          <w:ilvl w:val="12"/>
          <w:numId w:val="0"/>
        </w:numPr>
        <w:tabs>
          <w:tab w:val="clear" w:pos="567"/>
        </w:tabs>
        <w:spacing w:line="240" w:lineRule="auto"/>
        <w:outlineLvl w:val="0"/>
        <w:rPr>
          <w:b/>
        </w:rPr>
      </w:pPr>
      <w:r>
        <w:rPr>
          <w:b/>
        </w:rPr>
        <w:t xml:space="preserve">Atenționări și precauții </w:t>
      </w:r>
    </w:p>
    <w:p w14:paraId="087B3433" w14:textId="77777777" w:rsidR="00C04CAD" w:rsidRDefault="00C04CAD">
      <w:pPr>
        <w:keepNext/>
        <w:numPr>
          <w:ilvl w:val="12"/>
          <w:numId w:val="0"/>
        </w:numPr>
        <w:tabs>
          <w:tab w:val="clear" w:pos="567"/>
        </w:tabs>
        <w:spacing w:line="240" w:lineRule="auto"/>
        <w:outlineLvl w:val="0"/>
        <w:rPr>
          <w:rFonts w:eastAsia="MS Mincho"/>
          <w:b/>
          <w:szCs w:val="22"/>
          <w:lang w:eastAsia="en-US" w:bidi="ar-SA"/>
        </w:rPr>
      </w:pPr>
    </w:p>
    <w:p w14:paraId="798E3362" w14:textId="77777777" w:rsidR="00C04CAD" w:rsidRDefault="00060E34">
      <w:pPr>
        <w:keepNext/>
        <w:numPr>
          <w:ilvl w:val="12"/>
          <w:numId w:val="0"/>
        </w:numPr>
        <w:tabs>
          <w:tab w:val="clear" w:pos="567"/>
        </w:tabs>
        <w:spacing w:line="240" w:lineRule="auto"/>
      </w:pPr>
      <w:r>
        <w:t xml:space="preserve">Spuneţi medicului dumneavoastră sau farmacistului înainte să utilizaţi </w:t>
      </w:r>
      <w:r>
        <w:rPr>
          <w:szCs w:val="22"/>
        </w:rPr>
        <w:t>AMGEVITA:</w:t>
      </w:r>
    </w:p>
    <w:p w14:paraId="5F5632E8" w14:textId="77777777" w:rsidR="00C04CAD" w:rsidRDefault="00C04CAD">
      <w:pPr>
        <w:keepNext/>
        <w:numPr>
          <w:ilvl w:val="12"/>
          <w:numId w:val="0"/>
        </w:numPr>
        <w:tabs>
          <w:tab w:val="clear" w:pos="567"/>
        </w:tabs>
        <w:spacing w:line="240" w:lineRule="auto"/>
      </w:pPr>
    </w:p>
    <w:p w14:paraId="08EBD550" w14:textId="77777777" w:rsidR="00C04CAD" w:rsidRDefault="00060E34">
      <w:pPr>
        <w:keepNext/>
        <w:numPr>
          <w:ilvl w:val="12"/>
          <w:numId w:val="0"/>
        </w:numPr>
        <w:tabs>
          <w:tab w:val="clear" w:pos="567"/>
        </w:tabs>
        <w:spacing w:line="240" w:lineRule="auto"/>
      </w:pPr>
      <w:r>
        <w:t>Reacții alergice</w:t>
      </w:r>
    </w:p>
    <w:p w14:paraId="5A63082C" w14:textId="77777777" w:rsidR="00C04CAD" w:rsidRDefault="00C04CAD">
      <w:pPr>
        <w:keepNext/>
        <w:numPr>
          <w:ilvl w:val="12"/>
          <w:numId w:val="0"/>
        </w:numPr>
        <w:tabs>
          <w:tab w:val="clear" w:pos="567"/>
        </w:tabs>
        <w:spacing w:line="240" w:lineRule="auto"/>
      </w:pPr>
    </w:p>
    <w:p w14:paraId="243D5CF9"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prezentaţi reacţii alergice simptomatice precum presiune toracică, respiraţie şuierătoare, ameţeli, edeme sau erupţii cutanate întrerupeţi injecţiile cu </w:t>
      </w:r>
      <w:r>
        <w:rPr>
          <w:szCs w:val="22"/>
          <w:lang w:eastAsia="en-US" w:bidi="ar-SA"/>
        </w:rPr>
        <w:t>AMGEVITA</w:t>
      </w:r>
      <w:r>
        <w:t xml:space="preserve"> şi adresaţi-vă imediat medicului dumneavoastră deoarece, în cazuri rare, aceste reacții adverse pot pune viața în pericol.</w:t>
      </w:r>
    </w:p>
    <w:p w14:paraId="61247FE4"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504B39F3" w14:textId="77777777" w:rsidR="00C04CAD" w:rsidRDefault="00060E34">
      <w:pPr>
        <w:pStyle w:val="ListParagraph"/>
        <w:tabs>
          <w:tab w:val="clear" w:pos="567"/>
        </w:tabs>
        <w:kinsoku w:val="0"/>
        <w:overflowPunct w:val="0"/>
        <w:autoSpaceDE w:val="0"/>
        <w:autoSpaceDN w:val="0"/>
        <w:adjustRightInd w:val="0"/>
        <w:spacing w:line="240" w:lineRule="auto"/>
        <w:ind w:left="0"/>
      </w:pPr>
      <w:r>
        <w:t>Infecții</w:t>
      </w:r>
    </w:p>
    <w:p w14:paraId="70FAFD3C" w14:textId="77777777" w:rsidR="00C04CAD" w:rsidRDefault="00C04CAD">
      <w:pPr>
        <w:tabs>
          <w:tab w:val="clear" w:pos="567"/>
        </w:tabs>
        <w:kinsoku w:val="0"/>
        <w:overflowPunct w:val="0"/>
        <w:autoSpaceDE w:val="0"/>
        <w:autoSpaceDN w:val="0"/>
        <w:adjustRightInd w:val="0"/>
        <w:spacing w:line="240" w:lineRule="auto"/>
      </w:pPr>
    </w:p>
    <w:p w14:paraId="67D1DE75"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aveţi o infecţie, inclusiv o infecţie de lungă durată sau una localizată (de exemplu, o ulceraţie a membrului inferior) spuneţi medicului dumneavoastră înainte de a începe să luaţi </w:t>
      </w:r>
      <w:r>
        <w:rPr>
          <w:szCs w:val="22"/>
          <w:lang w:eastAsia="en-US" w:bidi="ar-SA"/>
        </w:rPr>
        <w:t>AMGEVITA</w:t>
      </w:r>
      <w:r>
        <w:t>. Dacă nu sunteţi sigur, contactaţi-l pe medicul dumneavoastră.</w:t>
      </w:r>
    </w:p>
    <w:p w14:paraId="79500B7D"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Puteţi face mai uşor infecţii în timpul tratamentului cu </w:t>
      </w:r>
      <w:r>
        <w:rPr>
          <w:szCs w:val="22"/>
          <w:lang w:eastAsia="en-US" w:bidi="ar-SA"/>
        </w:rPr>
        <w:t>AMGEVITA. Acest risc poate creşte dacă</w:t>
      </w:r>
      <w:r>
        <w:t xml:space="preserve"> funcţia plămânilor dumneavoastră este afectată</w:t>
      </w:r>
      <w:r>
        <w:rPr>
          <w:szCs w:val="22"/>
          <w:lang w:eastAsia="en-US" w:bidi="ar-SA"/>
        </w:rPr>
        <w:t>.</w:t>
      </w:r>
      <w:r>
        <w:t xml:space="preserve"> Aceste infecţii pot fi </w:t>
      </w:r>
      <w:r>
        <w:rPr>
          <w:szCs w:val="22"/>
          <w:lang w:eastAsia="en-US" w:bidi="ar-SA"/>
        </w:rPr>
        <w:t>grave şi includ</w:t>
      </w:r>
      <w:r>
        <w:t xml:space="preserve"> tuberculoză, infecţii determinate de virusuri, ciuperci, paraziţi sau bacterii sau</w:t>
      </w:r>
      <w:r>
        <w:rPr>
          <w:szCs w:val="22"/>
          <w:lang w:eastAsia="en-US" w:bidi="ar-SA"/>
        </w:rPr>
        <w:t xml:space="preserve"> alte</w:t>
      </w:r>
      <w:r>
        <w:t xml:space="preserve"> infecţii oportuniste şi sepsis care, în rare cazuri, vă pot pune viaţa în pericol. Este important să-i spuneţi medicului dumneavoastră dacă aveţi simptome precum febră, plăgi, senzaţie de oboseală, probleme dentare. Medicul dumneavoastră vă poate recomanda întreruperea temporară a tratamentului cu </w:t>
      </w:r>
      <w:r>
        <w:rPr>
          <w:szCs w:val="22"/>
          <w:lang w:eastAsia="en-US" w:bidi="ar-SA"/>
        </w:rPr>
        <w:t>AMGEVITA</w:t>
      </w:r>
      <w:r>
        <w:t>.</w:t>
      </w:r>
    </w:p>
    <w:p w14:paraId="0ED5A436" w14:textId="77777777" w:rsidR="00C04CAD" w:rsidRDefault="00C04CAD">
      <w:pPr>
        <w:tabs>
          <w:tab w:val="clear" w:pos="567"/>
        </w:tabs>
        <w:kinsoku w:val="0"/>
        <w:overflowPunct w:val="0"/>
        <w:autoSpaceDE w:val="0"/>
        <w:autoSpaceDN w:val="0"/>
        <w:adjustRightInd w:val="0"/>
        <w:spacing w:line="240" w:lineRule="auto"/>
      </w:pPr>
    </w:p>
    <w:p w14:paraId="35097160" w14:textId="77777777" w:rsidR="00C04CAD" w:rsidRDefault="00060E34">
      <w:pPr>
        <w:tabs>
          <w:tab w:val="clear" w:pos="567"/>
        </w:tabs>
        <w:kinsoku w:val="0"/>
        <w:overflowPunct w:val="0"/>
        <w:autoSpaceDE w:val="0"/>
        <w:autoSpaceDN w:val="0"/>
        <w:adjustRightInd w:val="0"/>
        <w:spacing w:line="240" w:lineRule="auto"/>
      </w:pPr>
      <w:r>
        <w:t>Tuberculoză</w:t>
      </w:r>
    </w:p>
    <w:p w14:paraId="464F4DD6" w14:textId="77777777" w:rsidR="00C04CAD" w:rsidRDefault="00C04CAD">
      <w:pPr>
        <w:tabs>
          <w:tab w:val="clear" w:pos="567"/>
        </w:tabs>
        <w:kinsoku w:val="0"/>
        <w:overflowPunct w:val="0"/>
        <w:autoSpaceDE w:val="0"/>
        <w:autoSpaceDN w:val="0"/>
        <w:adjustRightInd w:val="0"/>
        <w:spacing w:line="240" w:lineRule="auto"/>
      </w:pPr>
    </w:p>
    <w:p w14:paraId="6B69DC09"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lang w:eastAsia="en-US" w:bidi="ar-SA"/>
        </w:rPr>
      </w:pPr>
      <w:r>
        <w:t xml:space="preserve">Deoarece s-au raportat cazuri de tuberculoză la pacienţii trataţi cu </w:t>
      </w:r>
      <w:r>
        <w:rPr>
          <w:szCs w:val="22"/>
          <w:lang w:eastAsia="en-US" w:bidi="ar-SA"/>
        </w:rPr>
        <w:t>adalimumab</w:t>
      </w:r>
      <w:r>
        <w:t xml:space="preserve">, medicul dumneavoastră vă va examina, în ceea ce priveşte semnele şi simptomele de tuberculoză înainte de iniţierea tratamentului cu </w:t>
      </w:r>
      <w:r>
        <w:rPr>
          <w:szCs w:val="22"/>
          <w:lang w:eastAsia="en-US" w:bidi="ar-SA"/>
        </w:rPr>
        <w:t xml:space="preserve">AMGEVITA. Aceasta va include o evaluare medicală amănunțită, inclusiv un istoric medical şi teste adecvate (de exemplu: o radiografie toracică şi un test la tuberculină). Efectuarea şi rezultatele acestor teste trebuie înregistrate pe </w:t>
      </w:r>
      <w:r>
        <w:rPr>
          <w:b/>
          <w:szCs w:val="22"/>
          <w:lang w:eastAsia="en-US" w:bidi="ar-SA"/>
        </w:rPr>
        <w:t xml:space="preserve">Cardul dumneavoastră </w:t>
      </w:r>
      <w:r>
        <w:rPr>
          <w:b/>
          <w:szCs w:val="22"/>
        </w:rPr>
        <w:t>de avertizare</w:t>
      </w:r>
      <w:r>
        <w:rPr>
          <w:szCs w:val="22"/>
          <w:lang w:eastAsia="en-US" w:bidi="ar-SA"/>
        </w:rPr>
        <w:t>. Este foarte important să-i spuneţi medicului dumneavoastră dacă aţi avut vreodată tuberculoză sau dacă aţi fost în contact direct cu cineva care a avut tuberculoză.</w:t>
      </w:r>
    </w:p>
    <w:p w14:paraId="572B488B"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Tuberculoza se poate dezvolta în timpul tratamentului, chiar dacă ați urmat un tratament preventiv pentru tuberculoză.</w:t>
      </w:r>
    </w:p>
    <w:p w14:paraId="328ADF54"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Dacă pe parcursul tratamentului sau după încheierea acestuia, apar simptome de tuberculoză (tuse persistentă, pierdere în greutate, apatie, febră uşoară), sau orice alte infecţii, comunicaţi acest lucru imediat medicului dumneavoastră.</w:t>
      </w:r>
    </w:p>
    <w:p w14:paraId="14A6636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E3FF74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Infecții recurente/asociate cu călătoriile</w:t>
      </w:r>
    </w:p>
    <w:p w14:paraId="06FE339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10ED930"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Spuneţi medicului dumneavoastră dacă locuiţi sau călătoriţi în zone endemice pentru infecţiile cu ciuperci, cum sunt histoplasmoză, coccidioidomicoză sau blastomicoză.</w:t>
      </w:r>
    </w:p>
    <w:p w14:paraId="11AEE766"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Spuneţi medicului dumneavoastră dacă aveţi antecedente de infecţii recidivante sau alte afecţiuni care cresc riscul de infecţii.</w:t>
      </w:r>
    </w:p>
    <w:p w14:paraId="7DEFE92D" w14:textId="77777777" w:rsidR="00C04CAD" w:rsidRDefault="00C04CAD">
      <w:pPr>
        <w:tabs>
          <w:tab w:val="clear" w:pos="567"/>
        </w:tabs>
        <w:kinsoku w:val="0"/>
        <w:overflowPunct w:val="0"/>
        <w:autoSpaceDE w:val="0"/>
        <w:autoSpaceDN w:val="0"/>
        <w:adjustRightInd w:val="0"/>
        <w:spacing w:line="240" w:lineRule="auto"/>
        <w:ind w:left="567" w:hanging="567"/>
      </w:pPr>
    </w:p>
    <w:p w14:paraId="77D15B3B" w14:textId="77777777" w:rsidR="00C04CAD" w:rsidRDefault="00060E34">
      <w:pPr>
        <w:keepNext/>
        <w:tabs>
          <w:tab w:val="clear" w:pos="567"/>
        </w:tabs>
        <w:kinsoku w:val="0"/>
        <w:overflowPunct w:val="0"/>
        <w:autoSpaceDE w:val="0"/>
        <w:autoSpaceDN w:val="0"/>
        <w:adjustRightInd w:val="0"/>
        <w:spacing w:line="240" w:lineRule="auto"/>
        <w:ind w:left="567" w:hanging="567"/>
      </w:pPr>
      <w:r>
        <w:t>Virusul hepatitei B</w:t>
      </w:r>
    </w:p>
    <w:p w14:paraId="35A5D840" w14:textId="77777777" w:rsidR="00C04CAD" w:rsidRDefault="00C04CAD">
      <w:pPr>
        <w:keepNext/>
        <w:tabs>
          <w:tab w:val="clear" w:pos="567"/>
        </w:tabs>
        <w:kinsoku w:val="0"/>
        <w:overflowPunct w:val="0"/>
        <w:autoSpaceDE w:val="0"/>
        <w:autoSpaceDN w:val="0"/>
        <w:adjustRightInd w:val="0"/>
        <w:spacing w:line="240" w:lineRule="auto"/>
        <w:ind w:left="567" w:hanging="567"/>
      </w:pPr>
    </w:p>
    <w:p w14:paraId="3665E5CB"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Spuneţi medicului dumneavoastră dacă sunteţi purtător al virusului hepatitei B (VHB), dacă aveţi hepatită B activă sau credeţi că aveţi un risc crescut să dobândiţi VHB. Medicul dumneavoastră trebuie să vă efectueze teste pentru VHB. </w:t>
      </w:r>
      <w:r>
        <w:rPr>
          <w:szCs w:val="22"/>
          <w:lang w:eastAsia="en-US" w:bidi="ar-SA"/>
        </w:rPr>
        <w:t>AMGEVITA</w:t>
      </w:r>
      <w:r>
        <w:t xml:space="preserve"> poate cauza reactivarea VHB la pacienţii purtători ai acestui virus. Rar, în unele cazuri, în special dacă luaţi alte medicamente care scad sistemul imun, reactivarea VHB poate ameninţa viaţa.</w:t>
      </w:r>
    </w:p>
    <w:p w14:paraId="7E2D6EB7" w14:textId="77777777" w:rsidR="00C04CAD" w:rsidRDefault="00C04CAD">
      <w:pPr>
        <w:tabs>
          <w:tab w:val="clear" w:pos="567"/>
        </w:tabs>
        <w:kinsoku w:val="0"/>
        <w:overflowPunct w:val="0"/>
        <w:autoSpaceDE w:val="0"/>
        <w:autoSpaceDN w:val="0"/>
        <w:adjustRightInd w:val="0"/>
        <w:spacing w:line="240" w:lineRule="auto"/>
        <w:ind w:left="567" w:hanging="567"/>
      </w:pPr>
    </w:p>
    <w:p w14:paraId="2FFD57BF" w14:textId="77777777" w:rsidR="00C04CAD" w:rsidRDefault="00060E34">
      <w:pPr>
        <w:tabs>
          <w:tab w:val="clear" w:pos="567"/>
        </w:tabs>
        <w:kinsoku w:val="0"/>
        <w:overflowPunct w:val="0"/>
        <w:autoSpaceDE w:val="0"/>
        <w:autoSpaceDN w:val="0"/>
        <w:adjustRightInd w:val="0"/>
        <w:spacing w:line="240" w:lineRule="auto"/>
        <w:ind w:left="567" w:hanging="567"/>
      </w:pPr>
      <w:r>
        <w:t>Vârsta peste 65 ani</w:t>
      </w:r>
    </w:p>
    <w:p w14:paraId="251BF834" w14:textId="77777777" w:rsidR="00C04CAD" w:rsidRDefault="00C04CAD">
      <w:pPr>
        <w:tabs>
          <w:tab w:val="clear" w:pos="567"/>
        </w:tabs>
        <w:kinsoku w:val="0"/>
        <w:overflowPunct w:val="0"/>
        <w:autoSpaceDE w:val="0"/>
        <w:autoSpaceDN w:val="0"/>
        <w:adjustRightInd w:val="0"/>
        <w:spacing w:line="240" w:lineRule="auto"/>
        <w:ind w:left="567" w:hanging="567"/>
      </w:pPr>
    </w:p>
    <w:p w14:paraId="3D0DB71C"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Dacă aveţi mai mult de 65 ani puteţi fi mai susceptibil la infecţii</w:t>
      </w:r>
      <w:r>
        <w:rPr>
          <w:szCs w:val="22"/>
          <w:lang w:eastAsia="en-US" w:bidi="ar-SA"/>
        </w:rPr>
        <w:t xml:space="preserve"> în timp ce utilizaţi AMGEVITA</w:t>
      </w:r>
      <w:r>
        <w:t xml:space="preserve">. Dumneavoastră şi medicul dumneavoastră trebuie să acordaţi atenţie deosebită semnelor de infecţie în timpul tratamentului cu </w:t>
      </w:r>
      <w:r>
        <w:rPr>
          <w:szCs w:val="22"/>
          <w:lang w:eastAsia="en-US" w:bidi="ar-SA"/>
        </w:rPr>
        <w:t>AMGEVITA</w:t>
      </w:r>
      <w:r>
        <w:t xml:space="preserve">. Este important să spuneţi medicului dumneavoastră dacă aveţi simptome de infecţie cum sunt: febră, răni, </w:t>
      </w:r>
      <w:r>
        <w:rPr>
          <w:szCs w:val="22"/>
          <w:lang w:eastAsia="en-US" w:bidi="ar-SA"/>
        </w:rPr>
        <w:t xml:space="preserve">senzaţie de </w:t>
      </w:r>
      <w:r>
        <w:t>oboseală sau probleme dentare.</w:t>
      </w:r>
    </w:p>
    <w:p w14:paraId="52368D4E" w14:textId="77777777" w:rsidR="00C04CAD" w:rsidRDefault="00C04CAD">
      <w:pPr>
        <w:tabs>
          <w:tab w:val="clear" w:pos="567"/>
        </w:tabs>
        <w:kinsoku w:val="0"/>
        <w:overflowPunct w:val="0"/>
        <w:autoSpaceDE w:val="0"/>
        <w:autoSpaceDN w:val="0"/>
        <w:adjustRightInd w:val="0"/>
        <w:spacing w:line="240" w:lineRule="auto"/>
        <w:ind w:left="567" w:hanging="567"/>
      </w:pPr>
    </w:p>
    <w:p w14:paraId="11D7C4E7" w14:textId="77777777" w:rsidR="00C04CAD" w:rsidRDefault="00060E34">
      <w:pPr>
        <w:tabs>
          <w:tab w:val="clear" w:pos="567"/>
        </w:tabs>
        <w:kinsoku w:val="0"/>
        <w:overflowPunct w:val="0"/>
        <w:autoSpaceDE w:val="0"/>
        <w:autoSpaceDN w:val="0"/>
        <w:adjustRightInd w:val="0"/>
        <w:spacing w:line="240" w:lineRule="auto"/>
        <w:ind w:left="567" w:hanging="567"/>
      </w:pPr>
      <w:r>
        <w:t>Procedură chirurgicală sau stomatologică</w:t>
      </w:r>
    </w:p>
    <w:p w14:paraId="1DA9840C" w14:textId="77777777" w:rsidR="00C04CAD" w:rsidRDefault="00C04CAD">
      <w:pPr>
        <w:tabs>
          <w:tab w:val="clear" w:pos="567"/>
        </w:tabs>
        <w:kinsoku w:val="0"/>
        <w:overflowPunct w:val="0"/>
        <w:autoSpaceDE w:val="0"/>
        <w:autoSpaceDN w:val="0"/>
        <w:adjustRightInd w:val="0"/>
        <w:spacing w:line="240" w:lineRule="auto"/>
        <w:ind w:left="567" w:hanging="567"/>
      </w:pPr>
    </w:p>
    <w:p w14:paraId="0B3B87B2"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sunteţi programat să efectuaţi intervenţii chirurgicale sau dentare informaţi medicul dumneavoastră că sunteţi sub tratament cu </w:t>
      </w:r>
      <w:r>
        <w:rPr>
          <w:szCs w:val="22"/>
          <w:lang w:eastAsia="en-US" w:bidi="ar-SA"/>
        </w:rPr>
        <w:t>AMGEVITA</w:t>
      </w:r>
      <w:r>
        <w:t xml:space="preserve">. Medicul dumneavoastră vă poate recomanda întreruperea temporară a tratamentului cu </w:t>
      </w:r>
      <w:r>
        <w:rPr>
          <w:szCs w:val="22"/>
          <w:lang w:eastAsia="en-US" w:bidi="ar-SA"/>
        </w:rPr>
        <w:t>AMGEVITA</w:t>
      </w:r>
      <w:r>
        <w:t>.</w:t>
      </w:r>
    </w:p>
    <w:p w14:paraId="05D16826" w14:textId="77777777" w:rsidR="00C04CAD" w:rsidRDefault="00C04CAD">
      <w:pPr>
        <w:tabs>
          <w:tab w:val="clear" w:pos="567"/>
        </w:tabs>
        <w:kinsoku w:val="0"/>
        <w:overflowPunct w:val="0"/>
        <w:autoSpaceDE w:val="0"/>
        <w:autoSpaceDN w:val="0"/>
        <w:adjustRightInd w:val="0"/>
        <w:spacing w:line="240" w:lineRule="auto"/>
        <w:ind w:left="567" w:hanging="567"/>
      </w:pPr>
    </w:p>
    <w:p w14:paraId="4D951AEC" w14:textId="77777777" w:rsidR="00C04CAD" w:rsidRDefault="00060E34">
      <w:pPr>
        <w:tabs>
          <w:tab w:val="clear" w:pos="567"/>
        </w:tabs>
        <w:kinsoku w:val="0"/>
        <w:overflowPunct w:val="0"/>
        <w:autoSpaceDE w:val="0"/>
        <w:autoSpaceDN w:val="0"/>
        <w:adjustRightInd w:val="0"/>
        <w:spacing w:line="240" w:lineRule="auto"/>
        <w:ind w:left="567" w:hanging="567"/>
      </w:pPr>
      <w:r>
        <w:t>Boală demielinizantă</w:t>
      </w:r>
    </w:p>
    <w:p w14:paraId="6C36B483" w14:textId="77777777" w:rsidR="00C04CAD" w:rsidRDefault="00C04CAD">
      <w:pPr>
        <w:tabs>
          <w:tab w:val="clear" w:pos="567"/>
        </w:tabs>
        <w:kinsoku w:val="0"/>
        <w:overflowPunct w:val="0"/>
        <w:autoSpaceDE w:val="0"/>
        <w:autoSpaceDN w:val="0"/>
        <w:adjustRightInd w:val="0"/>
        <w:spacing w:line="240" w:lineRule="auto"/>
        <w:ind w:left="567" w:hanging="567"/>
      </w:pPr>
    </w:p>
    <w:p w14:paraId="09B7EB32"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aveţi sau dezvoltaţi o boală demielinizantă cum este scleroza multiplă, medicul dumneavoastră va decide dacă trebuie să fiţi tratat cu </w:t>
      </w:r>
      <w:r>
        <w:rPr>
          <w:szCs w:val="22"/>
          <w:lang w:eastAsia="en-US" w:bidi="ar-SA"/>
        </w:rPr>
        <w:t>AMGEVITA</w:t>
      </w:r>
      <w:r>
        <w:t xml:space="preserve"> sau să continuaţi să fiţi trataţi cu </w:t>
      </w:r>
      <w:r>
        <w:rPr>
          <w:szCs w:val="22"/>
          <w:lang w:eastAsia="en-US" w:bidi="ar-SA"/>
        </w:rPr>
        <w:t>AMGEVITA</w:t>
      </w:r>
      <w:r>
        <w:t>. Spuneţi imediat medicului dumneavoastră dacă aveţi simptome cum sunt modificări ale vederii dumneavoastre, slăbiciune a mâinilor sau picioarelor sau amorţeli sau furnicături în orice parte a corpului.</w:t>
      </w:r>
    </w:p>
    <w:p w14:paraId="6FC69C53" w14:textId="77777777" w:rsidR="00C04CAD" w:rsidRDefault="00C04CAD">
      <w:pPr>
        <w:tabs>
          <w:tab w:val="clear" w:pos="567"/>
        </w:tabs>
        <w:kinsoku w:val="0"/>
        <w:overflowPunct w:val="0"/>
        <w:autoSpaceDE w:val="0"/>
        <w:autoSpaceDN w:val="0"/>
        <w:adjustRightInd w:val="0"/>
        <w:spacing w:line="240" w:lineRule="auto"/>
        <w:ind w:left="567" w:hanging="567"/>
      </w:pPr>
    </w:p>
    <w:p w14:paraId="31682114" w14:textId="77777777" w:rsidR="00C04CAD" w:rsidRDefault="00060E34">
      <w:pPr>
        <w:tabs>
          <w:tab w:val="clear" w:pos="567"/>
        </w:tabs>
        <w:kinsoku w:val="0"/>
        <w:overflowPunct w:val="0"/>
        <w:autoSpaceDE w:val="0"/>
        <w:autoSpaceDN w:val="0"/>
        <w:adjustRightInd w:val="0"/>
        <w:spacing w:line="240" w:lineRule="auto"/>
        <w:ind w:left="567" w:hanging="567"/>
      </w:pPr>
      <w:r>
        <w:t>Vaccinări</w:t>
      </w:r>
    </w:p>
    <w:p w14:paraId="02C9B8BD" w14:textId="77777777" w:rsidR="00C04CAD" w:rsidRDefault="00C04CAD">
      <w:pPr>
        <w:tabs>
          <w:tab w:val="clear" w:pos="567"/>
        </w:tabs>
        <w:kinsoku w:val="0"/>
        <w:overflowPunct w:val="0"/>
        <w:autoSpaceDE w:val="0"/>
        <w:autoSpaceDN w:val="0"/>
        <w:adjustRightInd w:val="0"/>
        <w:spacing w:line="240" w:lineRule="auto"/>
        <w:ind w:left="567" w:hanging="567"/>
      </w:pPr>
    </w:p>
    <w:p w14:paraId="0FC0CE2E"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Anumite vaccinuri conțin forme vii, dar atenuate ale unor bacterii sau virusuri care pot cauza o boală și care pot determina infecţii şi nu trebuie administrate în timpul tratamentului cu </w:t>
      </w:r>
      <w:r>
        <w:rPr>
          <w:szCs w:val="22"/>
          <w:lang w:eastAsia="en-US" w:bidi="ar-SA"/>
        </w:rPr>
        <w:t>AMGEVITA</w:t>
      </w:r>
      <w:r>
        <w:t xml:space="preserve">. Vă rugăm să spuneţi medicului dumneavoastră înainte de a vi se administra orice vaccin. </w:t>
      </w:r>
      <w:r>
        <w:rPr>
          <w:szCs w:val="22"/>
          <w:lang w:eastAsia="en-US" w:bidi="ar-SA"/>
        </w:rPr>
        <w:t>Înaintea</w:t>
      </w:r>
      <w:r>
        <w:t xml:space="preserve"> începerii tratamentului cu </w:t>
      </w:r>
      <w:r>
        <w:rPr>
          <w:szCs w:val="22"/>
          <w:lang w:eastAsia="en-US" w:bidi="ar-SA"/>
        </w:rPr>
        <w:t>AMGEVITA</w:t>
      </w:r>
      <w:r>
        <w:t xml:space="preserve">, se recomandă ca pacienţii copii, dacă este posibil, să fie vaccinaţi la zi, în concordanţă cu </w:t>
      </w:r>
      <w:r>
        <w:rPr>
          <w:szCs w:val="22"/>
          <w:lang w:eastAsia="en-US" w:bidi="ar-SA"/>
        </w:rPr>
        <w:t>ghidurile în vigoare</w:t>
      </w:r>
      <w:r>
        <w:t xml:space="preserve"> privind imunizarea. </w:t>
      </w:r>
    </w:p>
    <w:p w14:paraId="72B271EF"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aţi utilizat </w:t>
      </w:r>
      <w:r>
        <w:rPr>
          <w:szCs w:val="22"/>
          <w:lang w:eastAsia="en-US" w:bidi="ar-SA"/>
        </w:rPr>
        <w:t>AMGEVITA</w:t>
      </w:r>
      <w:r>
        <w:t xml:space="preserve"> </w:t>
      </w:r>
      <w:r>
        <w:rPr>
          <w:szCs w:val="22"/>
          <w:lang w:eastAsia="en-US" w:bidi="ar-SA"/>
        </w:rPr>
        <w:t xml:space="preserve">pe perioada sarcinii, copilul dumneavoastră poate avea un risc crescut de infecţii timp de cel puţin 5 luni de la ultima doză </w:t>
      </w:r>
      <w:r>
        <w:t xml:space="preserve">pe care aţi utilizat-o în timpul sarcinii. Este important să spuneţi medicului copilului dumneavoastră sau altui profesionist din domeniul sănătăţii că aţi utilizat </w:t>
      </w:r>
      <w:r>
        <w:rPr>
          <w:szCs w:val="22"/>
          <w:lang w:eastAsia="en-US" w:bidi="ar-SA"/>
        </w:rPr>
        <w:t>AMGEVITA</w:t>
      </w:r>
      <w:r>
        <w:t xml:space="preserve"> în timpul sarcinii, astfel ei pot decide când ar trebui să primească copilul dumneavoastră un vaccin.</w:t>
      </w:r>
    </w:p>
    <w:p w14:paraId="42C9C9A5" w14:textId="77777777" w:rsidR="00C04CAD" w:rsidRDefault="00C04CAD">
      <w:pPr>
        <w:tabs>
          <w:tab w:val="clear" w:pos="567"/>
        </w:tabs>
        <w:kinsoku w:val="0"/>
        <w:overflowPunct w:val="0"/>
        <w:autoSpaceDE w:val="0"/>
        <w:autoSpaceDN w:val="0"/>
        <w:adjustRightInd w:val="0"/>
        <w:spacing w:line="240" w:lineRule="auto"/>
      </w:pPr>
    </w:p>
    <w:p w14:paraId="5249A777" w14:textId="77777777" w:rsidR="00C04CAD" w:rsidRDefault="00060E34">
      <w:pPr>
        <w:tabs>
          <w:tab w:val="clear" w:pos="567"/>
        </w:tabs>
        <w:kinsoku w:val="0"/>
        <w:overflowPunct w:val="0"/>
        <w:autoSpaceDE w:val="0"/>
        <w:autoSpaceDN w:val="0"/>
        <w:adjustRightInd w:val="0"/>
        <w:spacing w:line="240" w:lineRule="auto"/>
      </w:pPr>
      <w:r>
        <w:t>Insuficiență cardiacă</w:t>
      </w:r>
    </w:p>
    <w:p w14:paraId="6EAA68FA" w14:textId="77777777" w:rsidR="00C04CAD" w:rsidRDefault="00C04CAD">
      <w:pPr>
        <w:tabs>
          <w:tab w:val="clear" w:pos="567"/>
        </w:tabs>
        <w:kinsoku w:val="0"/>
        <w:overflowPunct w:val="0"/>
        <w:autoSpaceDE w:val="0"/>
        <w:autoSpaceDN w:val="0"/>
        <w:adjustRightInd w:val="0"/>
        <w:spacing w:line="240" w:lineRule="auto"/>
      </w:pPr>
    </w:p>
    <w:p w14:paraId="1A8A3C7A"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aveţi insuficienţă cardiacă uşoară şi sunteţi tratat cu </w:t>
      </w:r>
      <w:r>
        <w:rPr>
          <w:szCs w:val="22"/>
          <w:lang w:eastAsia="en-US" w:bidi="ar-SA"/>
        </w:rPr>
        <w:t>AMGEVITA</w:t>
      </w:r>
      <w:r>
        <w:t xml:space="preserve">, evoluţia insuficienţei cardiace trebuie monitorizată îndeaproape de către medicul dumneavoastră. Este important să-i comunicaţi medicului dacă aţi avut sau aveţi o afecţiune cardiacă gravă. Dacă prezentaţi simptome noi sau agravante de insuficienţă cardiacă (de exemplu dificultăţi în respiraţie sau umflarea picioarelor), adresaţi-vă imediat medicului dumneavoastră. Medicul dumneavoastră va decide dacă </w:t>
      </w:r>
      <w:r>
        <w:rPr>
          <w:szCs w:val="22"/>
        </w:rPr>
        <w:t xml:space="preserve">puteţi utiliza </w:t>
      </w:r>
      <w:r>
        <w:t>AMGEVITA.</w:t>
      </w:r>
    </w:p>
    <w:p w14:paraId="443EDF53" w14:textId="77777777" w:rsidR="00C04CAD" w:rsidRDefault="00C04CAD">
      <w:pPr>
        <w:kinsoku w:val="0"/>
        <w:overflowPunct w:val="0"/>
        <w:autoSpaceDE w:val="0"/>
        <w:autoSpaceDN w:val="0"/>
        <w:adjustRightInd w:val="0"/>
        <w:spacing w:line="240" w:lineRule="auto"/>
        <w:ind w:left="567" w:hanging="567"/>
      </w:pPr>
    </w:p>
    <w:p w14:paraId="3B0A462C" w14:textId="77777777" w:rsidR="00C04CAD" w:rsidRDefault="00060E34">
      <w:pPr>
        <w:kinsoku w:val="0"/>
        <w:overflowPunct w:val="0"/>
        <w:autoSpaceDE w:val="0"/>
        <w:autoSpaceDN w:val="0"/>
        <w:adjustRightInd w:val="0"/>
        <w:spacing w:line="240" w:lineRule="auto"/>
        <w:ind w:left="567" w:hanging="567"/>
      </w:pPr>
      <w:r>
        <w:t>Febră, vânătăi, sângerări sau piele foarte palidă</w:t>
      </w:r>
    </w:p>
    <w:p w14:paraId="1432E9B8" w14:textId="77777777" w:rsidR="00C04CAD" w:rsidRDefault="00C04CAD">
      <w:pPr>
        <w:kinsoku w:val="0"/>
        <w:overflowPunct w:val="0"/>
        <w:autoSpaceDE w:val="0"/>
        <w:autoSpaceDN w:val="0"/>
        <w:adjustRightInd w:val="0"/>
        <w:spacing w:line="240" w:lineRule="auto"/>
        <w:ind w:left="567" w:hanging="567"/>
      </w:pPr>
    </w:p>
    <w:p w14:paraId="003CE242"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La unii pacienţi, organismul poate să nu mai producă suficiente celule sanguine care ajută organismul dumneavoastră în lupta contra infecţiilor sau vă ajută în oprirea sângerărilor. Dacă apar febră persistentă, vânătăi sau sângeraţi foarte uşor sau sunteţi foarte palid, anunţaţi medicul imediat. Medicul dumneavoastră poate decide întreruperea tratamentului.</w:t>
      </w:r>
    </w:p>
    <w:p w14:paraId="3AC0AA1C" w14:textId="77777777" w:rsidR="00C04CAD" w:rsidRDefault="00C04CAD">
      <w:pPr>
        <w:tabs>
          <w:tab w:val="clear" w:pos="567"/>
        </w:tabs>
        <w:kinsoku w:val="0"/>
        <w:overflowPunct w:val="0"/>
        <w:autoSpaceDE w:val="0"/>
        <w:autoSpaceDN w:val="0"/>
        <w:adjustRightInd w:val="0"/>
        <w:spacing w:line="240" w:lineRule="auto"/>
        <w:ind w:left="567" w:hanging="567"/>
      </w:pPr>
    </w:p>
    <w:p w14:paraId="0C4ACD7E" w14:textId="77777777" w:rsidR="00C04CAD" w:rsidRDefault="00060E34">
      <w:pPr>
        <w:keepNext/>
        <w:keepLines/>
        <w:tabs>
          <w:tab w:val="clear" w:pos="567"/>
        </w:tabs>
        <w:kinsoku w:val="0"/>
        <w:overflowPunct w:val="0"/>
        <w:autoSpaceDE w:val="0"/>
        <w:autoSpaceDN w:val="0"/>
        <w:adjustRightInd w:val="0"/>
        <w:spacing w:line="240" w:lineRule="auto"/>
        <w:ind w:left="567" w:hanging="567"/>
      </w:pPr>
      <w:r>
        <w:t>Cancer</w:t>
      </w:r>
    </w:p>
    <w:p w14:paraId="2CBA0A0E" w14:textId="77777777" w:rsidR="00C04CAD" w:rsidRDefault="00C04CAD">
      <w:pPr>
        <w:keepNext/>
        <w:keepLines/>
        <w:tabs>
          <w:tab w:val="clear" w:pos="567"/>
        </w:tabs>
        <w:kinsoku w:val="0"/>
        <w:overflowPunct w:val="0"/>
        <w:autoSpaceDE w:val="0"/>
        <w:autoSpaceDN w:val="0"/>
        <w:adjustRightInd w:val="0"/>
        <w:spacing w:line="240" w:lineRule="auto"/>
        <w:ind w:left="567" w:hanging="567"/>
      </w:pPr>
    </w:p>
    <w:p w14:paraId="78208629"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Există foarte rare cazuri de anumite forme de cancer la copii şi adulţi trataţi cu </w:t>
      </w:r>
      <w:r>
        <w:rPr>
          <w:szCs w:val="22"/>
          <w:lang w:eastAsia="en-US" w:bidi="ar-SA"/>
        </w:rPr>
        <w:t>adalimumab</w:t>
      </w:r>
      <w:r>
        <w:t xml:space="preserve"> sau cu alţi blocanţi ai TNF. Persoanele cu poliartrită reumatoidă mai </w:t>
      </w:r>
      <w:r>
        <w:rPr>
          <w:szCs w:val="22"/>
          <w:lang w:eastAsia="en-US" w:bidi="ar-SA"/>
        </w:rPr>
        <w:t>gravă</w:t>
      </w:r>
      <w:r>
        <w:t xml:space="preserve"> care au avut afecţiunea timp îndelungat, au un risc mai mare decât media în dezvoltarea limfomului (un cancer care afectează sistemul limfatic) şi a leucemiei (un cancer care afectează sângele şi măduva osoasă). </w:t>
      </w:r>
    </w:p>
    <w:p w14:paraId="12C7D340"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Dacă utilizaţi </w:t>
      </w:r>
      <w:r>
        <w:rPr>
          <w:szCs w:val="22"/>
          <w:lang w:eastAsia="en-US" w:bidi="ar-SA"/>
        </w:rPr>
        <w:t>AMGEVITA</w:t>
      </w:r>
      <w:r>
        <w:t xml:space="preserve"> poate să crească riscul apariţiei limfomului, leucemiei, sau a altor tipuri de cancer. Rareori, la pacienţii care utilizează </w:t>
      </w:r>
      <w:r>
        <w:rPr>
          <w:szCs w:val="22"/>
          <w:lang w:eastAsia="en-US" w:bidi="ar-SA"/>
        </w:rPr>
        <w:t>adalimumab</w:t>
      </w:r>
      <w:r>
        <w:t xml:space="preserve">, s-a observat un tip specific </w:t>
      </w:r>
      <w:r>
        <w:rPr>
          <w:szCs w:val="22"/>
          <w:lang w:eastAsia="en-US" w:bidi="ar-SA"/>
        </w:rPr>
        <w:t xml:space="preserve">şi sever </w:t>
      </w:r>
      <w:r>
        <w:t xml:space="preserve">de limfom. Unii dintre aceşti pacienţi erau trataţi de asemenea cu azatioprină sau 6-mercaptopurină. Spuneţi medicului dumneavoastră dacă utilizaţi azatioprină sau 6-mercaptopurină concomitent cu </w:t>
      </w:r>
      <w:r>
        <w:rPr>
          <w:szCs w:val="22"/>
          <w:lang w:eastAsia="en-US" w:bidi="ar-SA"/>
        </w:rPr>
        <w:t>AMGEVITA</w:t>
      </w:r>
      <w:r>
        <w:t xml:space="preserve">. </w:t>
      </w:r>
    </w:p>
    <w:p w14:paraId="16FFF793"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În plus, au fost observate cazuri de cancere cutanate de tip ne-melanom la pacienţii care utilizează </w:t>
      </w:r>
      <w:r>
        <w:rPr>
          <w:szCs w:val="22"/>
          <w:lang w:eastAsia="en-US" w:bidi="ar-SA"/>
        </w:rPr>
        <w:t>adalimumab</w:t>
      </w:r>
      <w:r>
        <w:t>. Spuneţi medicului dumneavoastră dacă vă apar noi leziuni ale pielii sau dacă apar modificări ale leziunilor existente în timpul tratamentului sau după.</w:t>
      </w:r>
      <w:r>
        <w:rPr>
          <w:szCs w:val="22"/>
          <w:lang w:eastAsia="en-US" w:bidi="ar-SA"/>
        </w:rPr>
        <w:t xml:space="preserve"> </w:t>
      </w:r>
    </w:p>
    <w:p w14:paraId="74C97427"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rPr>
      </w:pPr>
      <w:r>
        <w:rPr>
          <w:szCs w:val="22"/>
        </w:rPr>
        <w:t xml:space="preserve">Au fost raportate cazuri de </w:t>
      </w:r>
      <w:r>
        <w:rPr>
          <w:szCs w:val="22"/>
          <w:lang w:eastAsia="en-US" w:bidi="ar-SA"/>
        </w:rPr>
        <w:t>cancere</w:t>
      </w:r>
      <w:r>
        <w:rPr>
          <w:szCs w:val="22"/>
        </w:rPr>
        <w:t>,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6F79ED62" w14:textId="77777777" w:rsidR="00C04CAD" w:rsidRDefault="00C04CAD">
      <w:pPr>
        <w:tabs>
          <w:tab w:val="clear" w:pos="567"/>
        </w:tabs>
        <w:kinsoku w:val="0"/>
        <w:overflowPunct w:val="0"/>
        <w:autoSpaceDE w:val="0"/>
        <w:autoSpaceDN w:val="0"/>
        <w:adjustRightInd w:val="0"/>
        <w:spacing w:line="240" w:lineRule="auto"/>
        <w:rPr>
          <w:szCs w:val="22"/>
        </w:rPr>
      </w:pPr>
    </w:p>
    <w:p w14:paraId="3394B42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Bo</w:t>
      </w:r>
      <w:ins w:id="25" w:author="Author">
        <w:r>
          <w:rPr>
            <w:szCs w:val="22"/>
          </w:rPr>
          <w:t>a</w:t>
        </w:r>
      </w:ins>
      <w:r>
        <w:rPr>
          <w:szCs w:val="22"/>
        </w:rPr>
        <w:t>l</w:t>
      </w:r>
      <w:del w:id="26" w:author="Author">
        <w:r>
          <w:rPr>
            <w:szCs w:val="22"/>
          </w:rPr>
          <w:delText>i</w:delText>
        </w:r>
      </w:del>
      <w:ins w:id="27" w:author="Author">
        <w:r>
          <w:rPr>
            <w:szCs w:val="22"/>
          </w:rPr>
          <w:t>ă</w:t>
        </w:r>
      </w:ins>
      <w:r>
        <w:rPr>
          <w:szCs w:val="22"/>
        </w:rPr>
        <w:t xml:space="preserve"> autoimun</w:t>
      </w:r>
      <w:del w:id="28" w:author="Author">
        <w:r>
          <w:rPr>
            <w:szCs w:val="22"/>
          </w:rPr>
          <w:delText>e</w:delText>
        </w:r>
      </w:del>
      <w:ins w:id="29" w:author="Author">
        <w:r>
          <w:rPr>
            <w:szCs w:val="22"/>
          </w:rPr>
          <w:t>ă</w:t>
        </w:r>
      </w:ins>
    </w:p>
    <w:p w14:paraId="6ACEFC46" w14:textId="77777777" w:rsidR="00C04CAD" w:rsidRDefault="00C04CAD">
      <w:pPr>
        <w:pStyle w:val="ListParagraph"/>
        <w:spacing w:line="240" w:lineRule="auto"/>
        <w:ind w:left="0"/>
        <w:rPr>
          <w:szCs w:val="22"/>
        </w:rPr>
      </w:pPr>
    </w:p>
    <w:p w14:paraId="21B102AA"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rPr>
          <w:szCs w:val="22"/>
        </w:rPr>
      </w:pPr>
      <w:r>
        <w:rPr>
          <w:szCs w:val="22"/>
        </w:rPr>
        <w:t xml:space="preserve">Rar, tratamentul cu AMGEVITA poate determina un sindrom asemănător lupusului. Contactati-l pe medicul dumneavoastră dacă apar simptome cum ar fi erupție cutanată neexplicată persistentă, febră, dureri ale articulațiilor sau oboseală. </w:t>
      </w:r>
    </w:p>
    <w:p w14:paraId="1EC009B4" w14:textId="77777777" w:rsidR="00C04CAD" w:rsidRDefault="00C04CAD">
      <w:pPr>
        <w:numPr>
          <w:ilvl w:val="12"/>
          <w:numId w:val="0"/>
        </w:numPr>
        <w:tabs>
          <w:tab w:val="clear" w:pos="567"/>
        </w:tabs>
        <w:spacing w:line="240" w:lineRule="auto"/>
        <w:ind w:right="-2"/>
        <w:rPr>
          <w:szCs w:val="22"/>
        </w:rPr>
      </w:pPr>
    </w:p>
    <w:p w14:paraId="4840FEF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a creşte gradul de trasabilitate a acestui medicament, medicul dumneavoastră sau farmacistul trebuie să înregistreze denumirea şi numărul seriei de fabricaţie ale medicamentului care v-a fost eliberat în fişa dumneavoastră de pacient. Şi dumneavoastră vă puteţi nota aceste informaţii în cazul în care v-ar fi solicitate în viitor.</w:t>
      </w:r>
    </w:p>
    <w:p w14:paraId="0082ACB1" w14:textId="77777777" w:rsidR="00C04CAD" w:rsidRDefault="00C04CAD">
      <w:pPr>
        <w:keepNext/>
        <w:numPr>
          <w:ilvl w:val="12"/>
          <w:numId w:val="0"/>
        </w:numPr>
        <w:tabs>
          <w:tab w:val="clear" w:pos="567"/>
        </w:tabs>
        <w:spacing w:line="240" w:lineRule="auto"/>
        <w:rPr>
          <w:b/>
          <w:szCs w:val="22"/>
        </w:rPr>
      </w:pPr>
    </w:p>
    <w:p w14:paraId="3027BD0C" w14:textId="77777777" w:rsidR="00C04CAD" w:rsidRDefault="00060E34">
      <w:pPr>
        <w:keepNext/>
        <w:numPr>
          <w:ilvl w:val="12"/>
          <w:numId w:val="0"/>
        </w:numPr>
        <w:tabs>
          <w:tab w:val="clear" w:pos="567"/>
        </w:tabs>
        <w:spacing w:line="240" w:lineRule="auto"/>
        <w:rPr>
          <w:b/>
          <w:bCs/>
        </w:rPr>
      </w:pPr>
      <w:r>
        <w:rPr>
          <w:b/>
        </w:rPr>
        <w:t>Copii și adolescenți</w:t>
      </w:r>
    </w:p>
    <w:p w14:paraId="7F8C386B" w14:textId="77777777" w:rsidR="00C04CAD" w:rsidRDefault="00C04CAD">
      <w:pPr>
        <w:keepNext/>
        <w:numPr>
          <w:ilvl w:val="12"/>
          <w:numId w:val="0"/>
        </w:numPr>
        <w:tabs>
          <w:tab w:val="clear" w:pos="567"/>
        </w:tabs>
        <w:spacing w:line="240" w:lineRule="auto"/>
        <w:rPr>
          <w:b/>
        </w:rPr>
      </w:pPr>
    </w:p>
    <w:p w14:paraId="415D5C04"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Vaccinări: dacă este posibil, copilul dumneavoastră trebuie să fie la zi cu toate vaccinările înainte să utilizeze </w:t>
      </w:r>
      <w:r>
        <w:rPr>
          <w:szCs w:val="22"/>
          <w:lang w:eastAsia="en-US" w:bidi="ar-SA"/>
        </w:rPr>
        <w:t>AMGEVITA</w:t>
      </w:r>
      <w:r>
        <w:t>.</w:t>
      </w:r>
    </w:p>
    <w:p w14:paraId="359FE058"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516E501B"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 xml:space="preserve">Nu administraţi </w:t>
      </w:r>
      <w:r>
        <w:rPr>
          <w:szCs w:val="22"/>
          <w:lang w:eastAsia="en-US" w:bidi="ar-SA"/>
        </w:rPr>
        <w:t>AMGEVITA</w:t>
      </w:r>
      <w:r>
        <w:t xml:space="preserve"> la copii cu artrită juvenilă idiopatică forma </w:t>
      </w:r>
      <w:r>
        <w:rPr>
          <w:szCs w:val="22"/>
          <w:lang w:eastAsia="en-US" w:bidi="ar-SA"/>
        </w:rPr>
        <w:t>poliarticulară care</w:t>
      </w:r>
      <w:r>
        <w:t xml:space="preserve"> au vârsta sub 2 ani.</w:t>
      </w:r>
    </w:p>
    <w:p w14:paraId="1004083C" w14:textId="77777777" w:rsidR="00C04CAD" w:rsidRDefault="00C04CAD">
      <w:pPr>
        <w:pStyle w:val="ListParagraph"/>
        <w:tabs>
          <w:tab w:val="clear" w:pos="567"/>
        </w:tabs>
        <w:kinsoku w:val="0"/>
        <w:overflowPunct w:val="0"/>
        <w:autoSpaceDE w:val="0"/>
        <w:autoSpaceDN w:val="0"/>
        <w:adjustRightInd w:val="0"/>
        <w:spacing w:line="240" w:lineRule="auto"/>
        <w:ind w:left="567"/>
      </w:pPr>
    </w:p>
    <w:p w14:paraId="05BC92E8"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Nu administrați AMGEVITA la copii cu psoriazis în plăci care au vârsta sub 4 ani.</w:t>
      </w:r>
    </w:p>
    <w:p w14:paraId="2E5C8F18" w14:textId="77777777" w:rsidR="00C04CAD" w:rsidRDefault="00C04CAD">
      <w:pPr>
        <w:pStyle w:val="ListParagraph"/>
        <w:spacing w:line="240" w:lineRule="auto"/>
      </w:pPr>
    </w:p>
    <w:p w14:paraId="2FEA6A21" w14:textId="77777777" w:rsidR="00C04CAD" w:rsidRDefault="00060E34">
      <w:pPr>
        <w:pStyle w:val="ListParagraph"/>
        <w:numPr>
          <w:ilvl w:val="0"/>
          <w:numId w:val="52"/>
        </w:numPr>
        <w:tabs>
          <w:tab w:val="clear" w:pos="567"/>
        </w:tabs>
        <w:kinsoku w:val="0"/>
        <w:overflowPunct w:val="0"/>
        <w:autoSpaceDE w:val="0"/>
        <w:autoSpaceDN w:val="0"/>
        <w:adjustRightInd w:val="0"/>
        <w:spacing w:line="240" w:lineRule="auto"/>
        <w:ind w:left="567" w:hanging="567"/>
      </w:pPr>
      <w:r>
        <w:t>Nu administrați AMGEVITA la copii cu boala Crohn sau cu colită ulcerativă care au vârsta sub 6 ani.</w:t>
      </w:r>
    </w:p>
    <w:p w14:paraId="4EF648BB" w14:textId="77777777" w:rsidR="00C04CAD" w:rsidRDefault="00C04CAD">
      <w:pPr>
        <w:keepNext/>
        <w:numPr>
          <w:ilvl w:val="12"/>
          <w:numId w:val="0"/>
        </w:numPr>
        <w:tabs>
          <w:tab w:val="clear" w:pos="567"/>
        </w:tabs>
        <w:spacing w:line="240" w:lineRule="auto"/>
        <w:rPr>
          <w:b/>
          <w:bCs/>
        </w:rPr>
      </w:pPr>
    </w:p>
    <w:p w14:paraId="5951187B" w14:textId="77777777" w:rsidR="00C04CAD" w:rsidRDefault="00060E34">
      <w:pPr>
        <w:keepNext/>
        <w:numPr>
          <w:ilvl w:val="12"/>
          <w:numId w:val="0"/>
        </w:numPr>
        <w:tabs>
          <w:tab w:val="clear" w:pos="567"/>
        </w:tabs>
        <w:spacing w:line="240" w:lineRule="auto"/>
        <w:ind w:right="-2"/>
        <w:rPr>
          <w:b/>
        </w:rPr>
      </w:pPr>
      <w:r>
        <w:rPr>
          <w:b/>
        </w:rPr>
        <w:t>AMGEVITA</w:t>
      </w:r>
      <w:r>
        <w:t xml:space="preserve"> </w:t>
      </w:r>
      <w:r>
        <w:rPr>
          <w:b/>
        </w:rPr>
        <w:t>împreună cu alte medicamente</w:t>
      </w:r>
    </w:p>
    <w:p w14:paraId="17250BC4" w14:textId="77777777" w:rsidR="00C04CAD" w:rsidRDefault="00C04CAD">
      <w:pPr>
        <w:tabs>
          <w:tab w:val="clear" w:pos="567"/>
        </w:tabs>
        <w:kinsoku w:val="0"/>
        <w:overflowPunct w:val="0"/>
        <w:autoSpaceDE w:val="0"/>
        <w:autoSpaceDN w:val="0"/>
        <w:adjustRightInd w:val="0"/>
        <w:spacing w:line="240" w:lineRule="auto"/>
      </w:pPr>
    </w:p>
    <w:p w14:paraId="034112F5" w14:textId="77777777" w:rsidR="00C04CAD" w:rsidRDefault="00060E34">
      <w:pPr>
        <w:tabs>
          <w:tab w:val="clear" w:pos="567"/>
        </w:tabs>
        <w:kinsoku w:val="0"/>
        <w:overflowPunct w:val="0"/>
        <w:autoSpaceDE w:val="0"/>
        <w:autoSpaceDN w:val="0"/>
        <w:adjustRightInd w:val="0"/>
        <w:spacing w:line="240" w:lineRule="auto"/>
      </w:pPr>
      <w:r>
        <w:t>Spuneţi medicului dumneavoastră sau farmacistului dacă luaţi, aţi luat recent sau s-ar putea să luaţi orice alt medicament.</w:t>
      </w:r>
    </w:p>
    <w:p w14:paraId="7280EFAE" w14:textId="77777777" w:rsidR="00C04CAD" w:rsidRDefault="00C04CAD">
      <w:pPr>
        <w:tabs>
          <w:tab w:val="clear" w:pos="567"/>
        </w:tabs>
        <w:kinsoku w:val="0"/>
        <w:overflowPunct w:val="0"/>
        <w:autoSpaceDE w:val="0"/>
        <w:autoSpaceDN w:val="0"/>
        <w:adjustRightInd w:val="0"/>
        <w:spacing w:line="240" w:lineRule="auto"/>
      </w:pPr>
    </w:p>
    <w:p w14:paraId="5777ECA2"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t xml:space="preserve"> se poate utiliza împreună cu metotrexat sau cu alte medicamente anti-reumatice modificatoare de boală (sulfasalazină, hidroxiclorochină, leflunomidă şi preparate injectabile pe bază de aur</w:t>
      </w:r>
      <w:r>
        <w:rPr>
          <w:szCs w:val="22"/>
          <w:lang w:eastAsia="en-US" w:bidi="ar-SA"/>
        </w:rPr>
        <w:t>),</w:t>
      </w:r>
      <w:r>
        <w:t xml:space="preserve"> steroizi sau medicamente pentru durere inclusiv medicamentele anti</w:t>
      </w:r>
      <w:r>
        <w:rPr>
          <w:szCs w:val="22"/>
          <w:lang w:eastAsia="en-US" w:bidi="ar-SA"/>
        </w:rPr>
        <w:t>-</w:t>
      </w:r>
      <w:r>
        <w:t>inflamatoare nesteroidiene (</w:t>
      </w:r>
      <w:r>
        <w:rPr>
          <w:szCs w:val="22"/>
        </w:rPr>
        <w:t>AINS).</w:t>
      </w:r>
    </w:p>
    <w:p w14:paraId="2EBDEE86" w14:textId="77777777" w:rsidR="00C04CAD" w:rsidRDefault="00C04CAD">
      <w:pPr>
        <w:tabs>
          <w:tab w:val="clear" w:pos="567"/>
        </w:tabs>
        <w:kinsoku w:val="0"/>
        <w:overflowPunct w:val="0"/>
        <w:autoSpaceDE w:val="0"/>
        <w:autoSpaceDN w:val="0"/>
        <w:adjustRightInd w:val="0"/>
        <w:spacing w:line="240" w:lineRule="auto"/>
        <w:rPr>
          <w:szCs w:val="22"/>
        </w:rPr>
      </w:pPr>
    </w:p>
    <w:p w14:paraId="4774653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Nu trebuie să luaţi </w:t>
      </w:r>
      <w:r>
        <w:rPr>
          <w:szCs w:val="22"/>
          <w:lang w:eastAsia="en-US" w:bidi="ar-SA"/>
        </w:rPr>
        <w:t>AMGEVITA</w:t>
      </w:r>
      <w:r>
        <w:rPr>
          <w:szCs w:val="22"/>
        </w:rPr>
        <w:t xml:space="preserve"> împreună cu medicamente care conţin substanţele active anakinra sau abatacept din cauza riscului crescut de infecții grave. Dacă aveţi întrebări, vă rugăm discutaţi cu medicul dumneavoastră.</w:t>
      </w:r>
    </w:p>
    <w:p w14:paraId="575AF2D3" w14:textId="77777777" w:rsidR="00C04CAD" w:rsidRDefault="00C04CAD">
      <w:pPr>
        <w:numPr>
          <w:ilvl w:val="12"/>
          <w:numId w:val="0"/>
        </w:numPr>
        <w:tabs>
          <w:tab w:val="clear" w:pos="567"/>
          <w:tab w:val="left" w:pos="1290"/>
        </w:tabs>
        <w:spacing w:line="240" w:lineRule="auto"/>
        <w:ind w:right="-2"/>
        <w:rPr>
          <w:szCs w:val="22"/>
        </w:rPr>
      </w:pPr>
    </w:p>
    <w:p w14:paraId="57226351" w14:textId="77777777" w:rsidR="00C04CAD" w:rsidRDefault="00060E34">
      <w:pPr>
        <w:numPr>
          <w:ilvl w:val="12"/>
          <w:numId w:val="0"/>
        </w:numPr>
        <w:tabs>
          <w:tab w:val="clear" w:pos="567"/>
        </w:tabs>
        <w:spacing w:line="240" w:lineRule="auto"/>
        <w:ind w:right="-2"/>
        <w:outlineLvl w:val="0"/>
        <w:rPr>
          <w:b/>
          <w:szCs w:val="22"/>
        </w:rPr>
      </w:pPr>
      <w:r>
        <w:rPr>
          <w:b/>
          <w:szCs w:val="22"/>
        </w:rPr>
        <w:t>Sarcina și alăptarea</w:t>
      </w:r>
    </w:p>
    <w:p w14:paraId="5D48EC05" w14:textId="77777777" w:rsidR="00C04CAD" w:rsidRDefault="00C04CAD">
      <w:pPr>
        <w:pStyle w:val="EMEANormal"/>
        <w:keepNext/>
        <w:rPr>
          <w:b/>
          <w:bCs/>
          <w:szCs w:val="22"/>
          <w:lang w:val="ro-RO"/>
        </w:rPr>
      </w:pPr>
    </w:p>
    <w:p w14:paraId="5193749A" w14:textId="77777777" w:rsidR="00C04CAD" w:rsidRDefault="00060E34">
      <w:pPr>
        <w:numPr>
          <w:ilvl w:val="0"/>
          <w:numId w:val="54"/>
        </w:numPr>
        <w:tabs>
          <w:tab w:val="clear" w:pos="567"/>
        </w:tabs>
        <w:spacing w:line="240" w:lineRule="auto"/>
        <w:ind w:left="567" w:hanging="567"/>
        <w:rPr>
          <w:b/>
          <w:bCs/>
          <w:szCs w:val="22"/>
        </w:rPr>
      </w:pPr>
      <w:r>
        <w:rPr>
          <w:szCs w:val="22"/>
        </w:rPr>
        <w:t xml:space="preserve">Trebuie să luați în considerare utilizarea măsurilor de contracepţie corespunzătoare pentru prevenirea sarcinii şi să continuați să le utilizați pe o perioadă de minim 5 luni după ultimul tratament cu AMGEVITA. </w:t>
      </w:r>
    </w:p>
    <w:p w14:paraId="20ED0A4B" w14:textId="77777777" w:rsidR="00C04CAD" w:rsidRDefault="00060E34">
      <w:pPr>
        <w:numPr>
          <w:ilvl w:val="0"/>
          <w:numId w:val="54"/>
        </w:numPr>
        <w:tabs>
          <w:tab w:val="clear" w:pos="567"/>
        </w:tabs>
        <w:spacing w:line="240" w:lineRule="auto"/>
        <w:ind w:left="567" w:hanging="567"/>
        <w:rPr>
          <w:szCs w:val="22"/>
        </w:rPr>
      </w:pPr>
      <w:r>
        <w:rPr>
          <w:szCs w:val="22"/>
        </w:rPr>
        <w:t>Dacă sunteți gravidă, credeți că sunteți gravidă sau intenționați să aveți un copil, adresați-vă medicului dumneavoastră pentru recomandări privind administrarea acestui medicament.</w:t>
      </w:r>
    </w:p>
    <w:p w14:paraId="40B0AAA0"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unei sarcini numai dacă este necesar.</w:t>
      </w:r>
    </w:p>
    <w:p w14:paraId="548E8B9F" w14:textId="77777777" w:rsidR="00C04CAD" w:rsidRDefault="00060E34">
      <w:pPr>
        <w:numPr>
          <w:ilvl w:val="0"/>
          <w:numId w:val="54"/>
        </w:numPr>
        <w:tabs>
          <w:tab w:val="clear" w:pos="567"/>
        </w:tabs>
        <w:spacing w:line="240" w:lineRule="auto"/>
        <w:ind w:left="567" w:hanging="567"/>
        <w:rPr>
          <w:szCs w:val="22"/>
        </w:rPr>
      </w:pPr>
      <w:r>
        <w:rPr>
          <w:szCs w:val="22"/>
        </w:rPr>
        <w:t>În conformitate cu un studiu privind sarcina, nu a existat un risc mai mare de malformații congenitale atunci când mama a primit AMGEVITA în timpul sarcinii, comparativ cu mamele cu aceeași boală care nu au primit AMGEVITA.</w:t>
      </w:r>
    </w:p>
    <w:p w14:paraId="7B8F483F"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alăptării.</w:t>
      </w:r>
    </w:p>
    <w:p w14:paraId="42D391E5" w14:textId="77777777" w:rsidR="00C04CAD" w:rsidRDefault="00060E34">
      <w:pPr>
        <w:numPr>
          <w:ilvl w:val="0"/>
          <w:numId w:val="54"/>
        </w:numPr>
        <w:tabs>
          <w:tab w:val="clear" w:pos="567"/>
        </w:tabs>
        <w:spacing w:line="240" w:lineRule="auto"/>
        <w:ind w:left="567" w:hanging="567"/>
        <w:rPr>
          <w:szCs w:val="22"/>
        </w:rPr>
      </w:pPr>
      <w:r>
        <w:rPr>
          <w:szCs w:val="22"/>
        </w:rPr>
        <w:t xml:space="preserve">Dacă aţi utilizat AMGEVITA în perioada sarcinii, copilul dumneavoastră poate avea un risc crescut de infecţie. </w:t>
      </w:r>
    </w:p>
    <w:p w14:paraId="4990E584" w14:textId="77777777" w:rsidR="00C04CAD" w:rsidRDefault="00060E34">
      <w:pPr>
        <w:numPr>
          <w:ilvl w:val="0"/>
          <w:numId w:val="54"/>
        </w:numPr>
        <w:tabs>
          <w:tab w:val="clear" w:pos="567"/>
        </w:tabs>
        <w:spacing w:line="240" w:lineRule="auto"/>
        <w:ind w:left="567" w:hanging="567"/>
        <w:rPr>
          <w:szCs w:val="22"/>
        </w:rPr>
      </w:pPr>
      <w:r>
        <w:rPr>
          <w:szCs w:val="22"/>
        </w:rPr>
        <w:t>Înainte să primească copilul dumneavoastră orice vaccin, este important să spuneţi medicului copilului dumneavoastră sau altui profesionist din domeniul sănătăţii despre utilizarea AMGEVITA în timpul sarcinii dumneavoastră (pentru mai multe informaţii referitoare la vaccinuri, consultați capitolul ”Atenționări și precauții”).</w:t>
      </w:r>
    </w:p>
    <w:p w14:paraId="56C1E54C" w14:textId="77777777" w:rsidR="00C04CAD" w:rsidRDefault="00C04CAD">
      <w:pPr>
        <w:numPr>
          <w:ilvl w:val="12"/>
          <w:numId w:val="0"/>
        </w:numPr>
        <w:tabs>
          <w:tab w:val="clear" w:pos="567"/>
        </w:tabs>
        <w:spacing w:line="240" w:lineRule="auto"/>
        <w:rPr>
          <w:szCs w:val="22"/>
        </w:rPr>
      </w:pPr>
    </w:p>
    <w:p w14:paraId="67868779" w14:textId="77777777" w:rsidR="00C04CAD" w:rsidRDefault="00060E34">
      <w:pPr>
        <w:numPr>
          <w:ilvl w:val="12"/>
          <w:numId w:val="0"/>
        </w:numPr>
        <w:tabs>
          <w:tab w:val="clear" w:pos="567"/>
        </w:tabs>
        <w:spacing w:line="240" w:lineRule="auto"/>
        <w:ind w:right="-2"/>
        <w:outlineLvl w:val="0"/>
        <w:rPr>
          <w:szCs w:val="22"/>
        </w:rPr>
      </w:pPr>
      <w:r>
        <w:rPr>
          <w:b/>
          <w:szCs w:val="22"/>
        </w:rPr>
        <w:t>Conducerea vehiculelor și folosirea utilajelor</w:t>
      </w:r>
    </w:p>
    <w:p w14:paraId="2F081841" w14:textId="77777777" w:rsidR="00C04CAD" w:rsidRDefault="00C04CAD">
      <w:pPr>
        <w:numPr>
          <w:ilvl w:val="12"/>
          <w:numId w:val="0"/>
        </w:numPr>
        <w:tabs>
          <w:tab w:val="clear" w:pos="567"/>
        </w:tabs>
        <w:spacing w:line="240" w:lineRule="auto"/>
        <w:ind w:right="-2"/>
        <w:rPr>
          <w:szCs w:val="22"/>
        </w:rPr>
      </w:pPr>
    </w:p>
    <w:p w14:paraId="649753A5"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AMGEVITA</w:t>
      </w:r>
      <w:r>
        <w:rPr>
          <w:szCs w:val="22"/>
        </w:rPr>
        <w:t xml:space="preserve"> poate influenţa în mică măsură capacitatea dumneavoastră de a conduce vehicule, biciclete, sau de a folosi utilaje. După administrarea de </w:t>
      </w:r>
      <w:r>
        <w:rPr>
          <w:szCs w:val="22"/>
          <w:lang w:eastAsia="en-US" w:bidi="ar-SA"/>
        </w:rPr>
        <w:t>AMGEVITA</w:t>
      </w:r>
      <w:r>
        <w:rPr>
          <w:szCs w:val="22"/>
        </w:rPr>
        <w:t xml:space="preserve"> poate să apară senzaţia că se învârte casa (vertij) şi tulburări de vedere.</w:t>
      </w:r>
    </w:p>
    <w:p w14:paraId="1C70DF93" w14:textId="77777777" w:rsidR="00C04CAD" w:rsidRDefault="00C04CAD">
      <w:pPr>
        <w:tabs>
          <w:tab w:val="clear" w:pos="567"/>
        </w:tabs>
        <w:kinsoku w:val="0"/>
        <w:overflowPunct w:val="0"/>
        <w:autoSpaceDE w:val="0"/>
        <w:autoSpaceDN w:val="0"/>
        <w:adjustRightInd w:val="0"/>
        <w:spacing w:line="240" w:lineRule="auto"/>
        <w:rPr>
          <w:szCs w:val="22"/>
        </w:rPr>
      </w:pPr>
    </w:p>
    <w:p w14:paraId="313DBCD5"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AMGEVITA conţine sodiu</w:t>
      </w:r>
    </w:p>
    <w:p w14:paraId="2881F43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C82F511" w14:textId="77777777" w:rsidR="00C04CAD" w:rsidRDefault="00060E34">
      <w:pPr>
        <w:numPr>
          <w:ilvl w:val="12"/>
          <w:numId w:val="0"/>
        </w:numPr>
        <w:tabs>
          <w:tab w:val="clear" w:pos="567"/>
        </w:tabs>
        <w:spacing w:line="240" w:lineRule="auto"/>
        <w:ind w:right="-2"/>
        <w:outlineLvl w:val="0"/>
        <w:rPr>
          <w:b/>
          <w:szCs w:val="22"/>
        </w:rPr>
      </w:pPr>
      <w:r>
        <w:rPr>
          <w:szCs w:val="22"/>
          <w:lang w:eastAsia="en-US" w:bidi="ar-SA"/>
        </w:rPr>
        <w:t>Acest medicament conţine sodiu mai puţin de 1 mmol (23 mg) per doză de 0,8 ml, adică practic „nu conţine sodiu”.</w:t>
      </w:r>
    </w:p>
    <w:p w14:paraId="67005627" w14:textId="77777777" w:rsidR="00C04CAD" w:rsidRDefault="00C04CAD">
      <w:pPr>
        <w:numPr>
          <w:ilvl w:val="12"/>
          <w:numId w:val="0"/>
        </w:numPr>
        <w:tabs>
          <w:tab w:val="clear" w:pos="567"/>
        </w:tabs>
        <w:spacing w:line="240" w:lineRule="auto"/>
        <w:ind w:right="-2"/>
        <w:rPr>
          <w:szCs w:val="22"/>
        </w:rPr>
      </w:pPr>
    </w:p>
    <w:p w14:paraId="12F6133A" w14:textId="77777777" w:rsidR="00C04CAD" w:rsidRDefault="00C04CAD">
      <w:pPr>
        <w:numPr>
          <w:ilvl w:val="12"/>
          <w:numId w:val="0"/>
        </w:numPr>
        <w:tabs>
          <w:tab w:val="clear" w:pos="567"/>
        </w:tabs>
        <w:spacing w:line="240" w:lineRule="auto"/>
        <w:ind w:right="-2"/>
      </w:pPr>
    </w:p>
    <w:p w14:paraId="054C519F" w14:textId="77777777" w:rsidR="00C04CAD" w:rsidRDefault="00060E34">
      <w:pPr>
        <w:keepNext/>
        <w:numPr>
          <w:ilvl w:val="0"/>
          <w:numId w:val="100"/>
        </w:numPr>
        <w:spacing w:line="240" w:lineRule="auto"/>
        <w:ind w:left="567" w:hanging="567"/>
        <w:rPr>
          <w:b/>
          <w:bCs/>
        </w:rPr>
      </w:pPr>
      <w:r>
        <w:rPr>
          <w:b/>
        </w:rPr>
        <w:t>Cum să utilizați AMGEVITA</w:t>
      </w:r>
    </w:p>
    <w:p w14:paraId="5BE3E10E" w14:textId="77777777" w:rsidR="00C04CAD" w:rsidRDefault="00C04CAD">
      <w:pPr>
        <w:keepNext/>
        <w:numPr>
          <w:ilvl w:val="12"/>
          <w:numId w:val="0"/>
        </w:numPr>
        <w:tabs>
          <w:tab w:val="clear" w:pos="567"/>
        </w:tabs>
        <w:spacing w:line="240" w:lineRule="auto"/>
        <w:ind w:right="-2"/>
      </w:pPr>
    </w:p>
    <w:p w14:paraId="503DBAF0" w14:textId="77777777" w:rsidR="00C04CAD" w:rsidRDefault="00060E34">
      <w:pPr>
        <w:tabs>
          <w:tab w:val="clear" w:pos="567"/>
        </w:tabs>
        <w:kinsoku w:val="0"/>
        <w:overflowPunct w:val="0"/>
        <w:autoSpaceDE w:val="0"/>
        <w:autoSpaceDN w:val="0"/>
        <w:adjustRightInd w:val="0"/>
        <w:spacing w:line="240" w:lineRule="auto"/>
      </w:pPr>
      <w:r>
        <w:t xml:space="preserve">Luaţi întotdeauna acest medicament exact aşa cum v-a spus medicul dumneavoastră sau farmacistul. Dacă nu sunteţi sigur, întrebaţi medicul dumneavoastră sau farmacistul. </w:t>
      </w:r>
    </w:p>
    <w:p w14:paraId="6B3975C2" w14:textId="77777777" w:rsidR="00C04CAD" w:rsidRDefault="00C04CAD">
      <w:pPr>
        <w:tabs>
          <w:tab w:val="clear" w:pos="567"/>
        </w:tabs>
        <w:kinsoku w:val="0"/>
        <w:overflowPunct w:val="0"/>
        <w:autoSpaceDE w:val="0"/>
        <w:autoSpaceDN w:val="0"/>
        <w:adjustRightInd w:val="0"/>
        <w:spacing w:line="240" w:lineRule="auto"/>
      </w:pPr>
    </w:p>
    <w:p w14:paraId="166774E3" w14:textId="77777777" w:rsidR="00C04CAD" w:rsidRDefault="00060E34">
      <w:pPr>
        <w:keepNext/>
        <w:tabs>
          <w:tab w:val="clear" w:pos="567"/>
        </w:tabs>
        <w:kinsoku w:val="0"/>
        <w:overflowPunct w:val="0"/>
        <w:autoSpaceDE w:val="0"/>
        <w:autoSpaceDN w:val="0"/>
        <w:adjustRightInd w:val="0"/>
        <w:spacing w:line="240" w:lineRule="auto"/>
        <w:rPr>
          <w:u w:val="single"/>
        </w:rPr>
      </w:pPr>
      <w:r>
        <w:rPr>
          <w:u w:val="single"/>
        </w:rPr>
        <w:t>Adulţi cu poliartrită reumatoidă, artrită psoriazică, spondilită anchilozantă sau spondiloartrită axială fără dovadă radiologică a spondilitei anchilozante</w:t>
      </w:r>
    </w:p>
    <w:p w14:paraId="19FBE10A" w14:textId="77777777" w:rsidR="00C04CAD" w:rsidRDefault="00C04CAD">
      <w:pPr>
        <w:keepNext/>
        <w:tabs>
          <w:tab w:val="clear" w:pos="567"/>
        </w:tabs>
        <w:kinsoku w:val="0"/>
        <w:overflowPunct w:val="0"/>
        <w:autoSpaceDE w:val="0"/>
        <w:autoSpaceDN w:val="0"/>
        <w:adjustRightInd w:val="0"/>
        <w:spacing w:line="240" w:lineRule="auto"/>
      </w:pPr>
    </w:p>
    <w:p w14:paraId="6EF4F56D"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AMGEVITA</w:t>
      </w:r>
      <w:r>
        <w:t xml:space="preserve"> se injectează sub piele (utilizare subcutanată). Doza obişnuită pentru adulţi cu poliartrită reumatoidă, spondilită anchilozantă</w:t>
      </w:r>
      <w:r>
        <w:rPr>
          <w:szCs w:val="22"/>
          <w:lang w:eastAsia="en-US" w:bidi="ar-SA"/>
        </w:rPr>
        <w:t>,</w:t>
      </w:r>
      <w:r>
        <w:t xml:space="preserve"> spondiloartrită axială fără dovadă radiologică a spondilitei anchilozante şi pentru pacienţii cu artrită psoriazică este de 40 mg administrată din două în două săptămâni, sub forma unei doze unice.</w:t>
      </w:r>
    </w:p>
    <w:p w14:paraId="46784AA9" w14:textId="77777777" w:rsidR="00C04CAD" w:rsidRDefault="00C04CAD">
      <w:pPr>
        <w:tabs>
          <w:tab w:val="clear" w:pos="567"/>
        </w:tabs>
        <w:kinsoku w:val="0"/>
        <w:overflowPunct w:val="0"/>
        <w:autoSpaceDE w:val="0"/>
        <w:autoSpaceDN w:val="0"/>
        <w:adjustRightInd w:val="0"/>
        <w:spacing w:line="240" w:lineRule="auto"/>
      </w:pPr>
    </w:p>
    <w:p w14:paraId="0FD51D2C" w14:textId="77777777" w:rsidR="00C04CAD" w:rsidRDefault="00060E34">
      <w:pPr>
        <w:tabs>
          <w:tab w:val="clear" w:pos="567"/>
        </w:tabs>
        <w:kinsoku w:val="0"/>
        <w:overflowPunct w:val="0"/>
        <w:autoSpaceDE w:val="0"/>
        <w:autoSpaceDN w:val="0"/>
        <w:adjustRightInd w:val="0"/>
        <w:spacing w:line="240" w:lineRule="auto"/>
      </w:pPr>
      <w:r>
        <w:t xml:space="preserve">Pentru poliartrita reumatoidă, tratamentul cu metotrexat se continuă în perioada în care utilizaţi </w:t>
      </w:r>
      <w:r>
        <w:rPr>
          <w:szCs w:val="22"/>
          <w:lang w:eastAsia="en-US" w:bidi="ar-SA"/>
        </w:rPr>
        <w:t>AMGEVITA</w:t>
      </w:r>
      <w:r>
        <w:t xml:space="preserve">. Dacă medicul dumneavoastră stabileşte că metotrexat nu este adecvat, </w:t>
      </w:r>
      <w:r>
        <w:rPr>
          <w:szCs w:val="22"/>
          <w:lang w:eastAsia="en-US" w:bidi="ar-SA"/>
        </w:rPr>
        <w:t>AMGEVITA</w:t>
      </w:r>
      <w:r>
        <w:t xml:space="preserve"> poate fi utilizat şi singur.</w:t>
      </w:r>
    </w:p>
    <w:p w14:paraId="7DCCEA69" w14:textId="77777777" w:rsidR="00C04CAD" w:rsidRDefault="00C04CAD">
      <w:pPr>
        <w:tabs>
          <w:tab w:val="clear" w:pos="567"/>
        </w:tabs>
        <w:kinsoku w:val="0"/>
        <w:overflowPunct w:val="0"/>
        <w:autoSpaceDE w:val="0"/>
        <w:autoSpaceDN w:val="0"/>
        <w:adjustRightInd w:val="0"/>
        <w:spacing w:line="240" w:lineRule="auto"/>
      </w:pPr>
    </w:p>
    <w:p w14:paraId="3949BEA6" w14:textId="77777777" w:rsidR="00C04CAD" w:rsidRDefault="00060E34">
      <w:pPr>
        <w:tabs>
          <w:tab w:val="clear" w:pos="567"/>
        </w:tabs>
        <w:kinsoku w:val="0"/>
        <w:overflowPunct w:val="0"/>
        <w:autoSpaceDE w:val="0"/>
        <w:autoSpaceDN w:val="0"/>
        <w:adjustRightInd w:val="0"/>
        <w:spacing w:line="240" w:lineRule="auto"/>
      </w:pPr>
      <w:r>
        <w:t xml:space="preserve">Dacă aveţi poliartrită reumatoidă şi nu vi se administrează metotrexat concomitent cu </w:t>
      </w:r>
      <w:r>
        <w:rPr>
          <w:szCs w:val="22"/>
          <w:lang w:eastAsia="en-US" w:bidi="ar-SA"/>
        </w:rPr>
        <w:t>AMGEVITA</w:t>
      </w:r>
      <w:r>
        <w:t xml:space="preserve">, medicul dumneavoastră poate decide să vă administreze 40 mg săptămânal sau </w:t>
      </w:r>
      <w:r>
        <w:rPr>
          <w:szCs w:val="22"/>
        </w:rPr>
        <w:t>80 mg o dată la două săptămâni</w:t>
      </w:r>
      <w:r>
        <w:t>.</w:t>
      </w:r>
    </w:p>
    <w:p w14:paraId="5D23AD8F" w14:textId="77777777" w:rsidR="00C04CAD" w:rsidRDefault="00C04CAD">
      <w:pPr>
        <w:tabs>
          <w:tab w:val="clear" w:pos="567"/>
        </w:tabs>
        <w:kinsoku w:val="0"/>
        <w:overflowPunct w:val="0"/>
        <w:autoSpaceDE w:val="0"/>
        <w:autoSpaceDN w:val="0"/>
        <w:adjustRightInd w:val="0"/>
        <w:spacing w:line="240" w:lineRule="auto"/>
      </w:pPr>
    </w:p>
    <w:p w14:paraId="3CC63D30" w14:textId="77777777" w:rsidR="00C04CAD" w:rsidRDefault="00060E34">
      <w:pPr>
        <w:keepNext/>
        <w:tabs>
          <w:tab w:val="clear" w:pos="567"/>
        </w:tabs>
        <w:kinsoku w:val="0"/>
        <w:overflowPunct w:val="0"/>
        <w:autoSpaceDE w:val="0"/>
        <w:autoSpaceDN w:val="0"/>
        <w:adjustRightInd w:val="0"/>
        <w:spacing w:line="240" w:lineRule="auto"/>
        <w:rPr>
          <w:u w:val="single"/>
        </w:rPr>
      </w:pPr>
      <w:r>
        <w:rPr>
          <w:u w:val="single"/>
        </w:rPr>
        <w:t>Copii, adolescenți și adulți cu artrită juvenilă idiopatică forma poliarticulară</w:t>
      </w:r>
    </w:p>
    <w:p w14:paraId="1C26260B" w14:textId="77777777" w:rsidR="00C04CAD" w:rsidRDefault="00C04CAD">
      <w:pPr>
        <w:tabs>
          <w:tab w:val="clear" w:pos="567"/>
        </w:tabs>
        <w:kinsoku w:val="0"/>
        <w:overflowPunct w:val="0"/>
        <w:autoSpaceDE w:val="0"/>
        <w:autoSpaceDN w:val="0"/>
        <w:adjustRightInd w:val="0"/>
        <w:spacing w:line="240" w:lineRule="auto"/>
      </w:pPr>
    </w:p>
    <w:p w14:paraId="7E8E3209" w14:textId="77777777" w:rsidR="00C04CAD" w:rsidRDefault="00060E34">
      <w:pPr>
        <w:tabs>
          <w:tab w:val="clear" w:pos="567"/>
        </w:tabs>
        <w:kinsoku w:val="0"/>
        <w:overflowPunct w:val="0"/>
        <w:autoSpaceDE w:val="0"/>
        <w:autoSpaceDN w:val="0"/>
        <w:adjustRightInd w:val="0"/>
        <w:spacing w:line="240" w:lineRule="auto"/>
        <w:rPr>
          <w:i/>
        </w:rPr>
      </w:pPr>
      <w:r>
        <w:rPr>
          <w:i/>
        </w:rPr>
        <w:t>Copii și adolescenți începând cu vârsta de 2 ani și greutatea de la 10 kg la mai puțin de 30 kg</w:t>
      </w:r>
    </w:p>
    <w:p w14:paraId="30226C65" w14:textId="77777777" w:rsidR="00C04CAD" w:rsidRDefault="00C04CAD">
      <w:pPr>
        <w:tabs>
          <w:tab w:val="clear" w:pos="567"/>
        </w:tabs>
        <w:kinsoku w:val="0"/>
        <w:overflowPunct w:val="0"/>
        <w:autoSpaceDE w:val="0"/>
        <w:autoSpaceDN w:val="0"/>
        <w:adjustRightInd w:val="0"/>
        <w:spacing w:line="240" w:lineRule="auto"/>
        <w:rPr>
          <w:i/>
        </w:rPr>
      </w:pPr>
    </w:p>
    <w:p w14:paraId="33A5328A" w14:textId="77777777" w:rsidR="00C04CAD" w:rsidRDefault="00060E34">
      <w:pPr>
        <w:tabs>
          <w:tab w:val="clear" w:pos="567"/>
        </w:tabs>
        <w:kinsoku w:val="0"/>
        <w:overflowPunct w:val="0"/>
        <w:autoSpaceDE w:val="0"/>
        <w:autoSpaceDN w:val="0"/>
        <w:adjustRightInd w:val="0"/>
        <w:spacing w:line="240" w:lineRule="auto"/>
      </w:pPr>
      <w:r>
        <w:t>Doza recomandată de AMGEVITA este de 20 mg la două săptămâni.</w:t>
      </w:r>
    </w:p>
    <w:p w14:paraId="6390956C" w14:textId="77777777" w:rsidR="00C04CAD" w:rsidRDefault="00C04CAD">
      <w:pPr>
        <w:tabs>
          <w:tab w:val="clear" w:pos="567"/>
        </w:tabs>
        <w:kinsoku w:val="0"/>
        <w:overflowPunct w:val="0"/>
        <w:autoSpaceDE w:val="0"/>
        <w:autoSpaceDN w:val="0"/>
        <w:adjustRightInd w:val="0"/>
        <w:spacing w:line="240" w:lineRule="auto"/>
      </w:pPr>
    </w:p>
    <w:p w14:paraId="3CC14067" w14:textId="77777777" w:rsidR="00C04CAD" w:rsidRDefault="00060E34">
      <w:pPr>
        <w:tabs>
          <w:tab w:val="clear" w:pos="567"/>
        </w:tabs>
        <w:kinsoku w:val="0"/>
        <w:overflowPunct w:val="0"/>
        <w:autoSpaceDE w:val="0"/>
        <w:autoSpaceDN w:val="0"/>
        <w:adjustRightInd w:val="0"/>
        <w:spacing w:line="240" w:lineRule="auto"/>
        <w:rPr>
          <w:i/>
        </w:rPr>
      </w:pPr>
      <w:r>
        <w:rPr>
          <w:i/>
        </w:rPr>
        <w:t>Copii, adolescenți și adulți începând cu vârsta de 2 ani și greutatea de 30 kg sau mai mult</w:t>
      </w:r>
    </w:p>
    <w:p w14:paraId="5CD08609" w14:textId="77777777" w:rsidR="00C04CAD" w:rsidRDefault="00C04CAD">
      <w:pPr>
        <w:tabs>
          <w:tab w:val="clear" w:pos="567"/>
        </w:tabs>
        <w:kinsoku w:val="0"/>
        <w:overflowPunct w:val="0"/>
        <w:autoSpaceDE w:val="0"/>
        <w:autoSpaceDN w:val="0"/>
        <w:adjustRightInd w:val="0"/>
        <w:spacing w:line="240" w:lineRule="auto"/>
      </w:pPr>
    </w:p>
    <w:p w14:paraId="46B2E036" w14:textId="77777777" w:rsidR="00C04CAD" w:rsidRDefault="00060E34">
      <w:pPr>
        <w:tabs>
          <w:tab w:val="clear" w:pos="567"/>
        </w:tabs>
        <w:kinsoku w:val="0"/>
        <w:overflowPunct w:val="0"/>
        <w:autoSpaceDE w:val="0"/>
        <w:autoSpaceDN w:val="0"/>
        <w:adjustRightInd w:val="0"/>
        <w:spacing w:line="240" w:lineRule="auto"/>
      </w:pPr>
      <w:r>
        <w:t>Doza recomandată de AMGEVITA este de 40 mg la două săptămâni.</w:t>
      </w:r>
    </w:p>
    <w:p w14:paraId="57504265" w14:textId="77777777" w:rsidR="00C04CAD" w:rsidRDefault="00C04CAD">
      <w:pPr>
        <w:tabs>
          <w:tab w:val="clear" w:pos="567"/>
        </w:tabs>
        <w:kinsoku w:val="0"/>
        <w:overflowPunct w:val="0"/>
        <w:autoSpaceDE w:val="0"/>
        <w:autoSpaceDN w:val="0"/>
        <w:adjustRightInd w:val="0"/>
        <w:spacing w:line="240" w:lineRule="auto"/>
      </w:pPr>
    </w:p>
    <w:p w14:paraId="3D10012C" w14:textId="77777777" w:rsidR="00C04CAD" w:rsidRDefault="00060E34">
      <w:pPr>
        <w:tabs>
          <w:tab w:val="clear" w:pos="567"/>
        </w:tabs>
        <w:kinsoku w:val="0"/>
        <w:overflowPunct w:val="0"/>
        <w:autoSpaceDE w:val="0"/>
        <w:autoSpaceDN w:val="0"/>
        <w:adjustRightInd w:val="0"/>
        <w:spacing w:line="240" w:lineRule="auto"/>
      </w:pPr>
      <w:r>
        <w:rPr>
          <w:u w:val="single"/>
        </w:rPr>
        <w:t>Copii, adolescenți și adulți cu artrită asociată entezitei</w:t>
      </w:r>
    </w:p>
    <w:p w14:paraId="2A09BEB7" w14:textId="77777777" w:rsidR="00C04CAD" w:rsidRDefault="00C04CAD">
      <w:pPr>
        <w:tabs>
          <w:tab w:val="clear" w:pos="567"/>
        </w:tabs>
        <w:kinsoku w:val="0"/>
        <w:overflowPunct w:val="0"/>
        <w:autoSpaceDE w:val="0"/>
        <w:autoSpaceDN w:val="0"/>
        <w:adjustRightInd w:val="0"/>
        <w:spacing w:line="240" w:lineRule="auto"/>
      </w:pPr>
    </w:p>
    <w:p w14:paraId="52E64221" w14:textId="77777777" w:rsidR="00C04CAD" w:rsidRDefault="00060E34">
      <w:pPr>
        <w:tabs>
          <w:tab w:val="clear" w:pos="567"/>
        </w:tabs>
        <w:kinsoku w:val="0"/>
        <w:overflowPunct w:val="0"/>
        <w:autoSpaceDE w:val="0"/>
        <w:autoSpaceDN w:val="0"/>
        <w:adjustRightInd w:val="0"/>
        <w:spacing w:line="240" w:lineRule="auto"/>
      </w:pPr>
      <w:r>
        <w:rPr>
          <w:i/>
        </w:rPr>
        <w:t>Copii și adolescenți începând cu vârsta de 6 ani și greutatea de la 15 kg la mai puțin de 30 kg</w:t>
      </w:r>
    </w:p>
    <w:p w14:paraId="6683C90C" w14:textId="77777777" w:rsidR="00C04CAD" w:rsidRDefault="00C04CAD">
      <w:pPr>
        <w:tabs>
          <w:tab w:val="clear" w:pos="567"/>
        </w:tabs>
        <w:kinsoku w:val="0"/>
        <w:overflowPunct w:val="0"/>
        <w:autoSpaceDE w:val="0"/>
        <w:autoSpaceDN w:val="0"/>
        <w:adjustRightInd w:val="0"/>
        <w:spacing w:line="240" w:lineRule="auto"/>
      </w:pPr>
    </w:p>
    <w:p w14:paraId="68C4C220" w14:textId="77777777" w:rsidR="00C04CAD" w:rsidRDefault="00060E34">
      <w:pPr>
        <w:tabs>
          <w:tab w:val="clear" w:pos="567"/>
        </w:tabs>
        <w:kinsoku w:val="0"/>
        <w:overflowPunct w:val="0"/>
        <w:autoSpaceDE w:val="0"/>
        <w:autoSpaceDN w:val="0"/>
        <w:adjustRightInd w:val="0"/>
        <w:spacing w:line="240" w:lineRule="auto"/>
      </w:pPr>
      <w:r>
        <w:t>Doza recomandată de AMGEVITA este de 20 mg la două săptămâni.</w:t>
      </w:r>
    </w:p>
    <w:p w14:paraId="5F582DA0" w14:textId="77777777" w:rsidR="00C04CAD" w:rsidRDefault="00C04CAD">
      <w:pPr>
        <w:tabs>
          <w:tab w:val="clear" w:pos="567"/>
        </w:tabs>
        <w:kinsoku w:val="0"/>
        <w:overflowPunct w:val="0"/>
        <w:autoSpaceDE w:val="0"/>
        <w:autoSpaceDN w:val="0"/>
        <w:adjustRightInd w:val="0"/>
        <w:spacing w:line="240" w:lineRule="auto"/>
      </w:pPr>
    </w:p>
    <w:p w14:paraId="54DB3175" w14:textId="77777777" w:rsidR="00C04CAD" w:rsidRDefault="00060E34">
      <w:pPr>
        <w:tabs>
          <w:tab w:val="clear" w:pos="567"/>
        </w:tabs>
        <w:kinsoku w:val="0"/>
        <w:overflowPunct w:val="0"/>
        <w:autoSpaceDE w:val="0"/>
        <w:autoSpaceDN w:val="0"/>
        <w:adjustRightInd w:val="0"/>
        <w:spacing w:line="240" w:lineRule="auto"/>
        <w:rPr>
          <w:i/>
        </w:rPr>
      </w:pPr>
      <w:r>
        <w:rPr>
          <w:i/>
        </w:rPr>
        <w:t>Copii, adolescenți și adulți începând cu vârsta de 6 ani și greutatea de 30 kg sau mai mult</w:t>
      </w:r>
    </w:p>
    <w:p w14:paraId="780549A4" w14:textId="77777777" w:rsidR="00C04CAD" w:rsidRDefault="00C04CAD">
      <w:pPr>
        <w:tabs>
          <w:tab w:val="clear" w:pos="567"/>
        </w:tabs>
        <w:kinsoku w:val="0"/>
        <w:overflowPunct w:val="0"/>
        <w:autoSpaceDE w:val="0"/>
        <w:autoSpaceDN w:val="0"/>
        <w:adjustRightInd w:val="0"/>
        <w:spacing w:line="240" w:lineRule="auto"/>
        <w:rPr>
          <w:i/>
        </w:rPr>
      </w:pPr>
    </w:p>
    <w:p w14:paraId="7DE7073E" w14:textId="77777777" w:rsidR="00C04CAD" w:rsidRDefault="00060E34">
      <w:pPr>
        <w:tabs>
          <w:tab w:val="clear" w:pos="567"/>
        </w:tabs>
        <w:kinsoku w:val="0"/>
        <w:overflowPunct w:val="0"/>
        <w:autoSpaceDE w:val="0"/>
        <w:autoSpaceDN w:val="0"/>
        <w:adjustRightInd w:val="0"/>
        <w:spacing w:line="240" w:lineRule="auto"/>
      </w:pPr>
      <w:r>
        <w:t>Doza recomandată de AMGEVITA este de 40 mg la două săptămâni.</w:t>
      </w:r>
    </w:p>
    <w:p w14:paraId="230DE0AB" w14:textId="77777777" w:rsidR="00C04CAD" w:rsidRDefault="00C04CAD">
      <w:pPr>
        <w:tabs>
          <w:tab w:val="clear" w:pos="567"/>
        </w:tabs>
        <w:kinsoku w:val="0"/>
        <w:overflowPunct w:val="0"/>
        <w:autoSpaceDE w:val="0"/>
        <w:autoSpaceDN w:val="0"/>
        <w:adjustRightInd w:val="0"/>
        <w:spacing w:line="240" w:lineRule="auto"/>
      </w:pPr>
    </w:p>
    <w:p w14:paraId="6670BF6F" w14:textId="77777777" w:rsidR="00C04CAD" w:rsidRDefault="00060E34">
      <w:pPr>
        <w:tabs>
          <w:tab w:val="clear" w:pos="567"/>
        </w:tabs>
        <w:kinsoku w:val="0"/>
        <w:overflowPunct w:val="0"/>
        <w:autoSpaceDE w:val="0"/>
        <w:autoSpaceDN w:val="0"/>
        <w:adjustRightInd w:val="0"/>
        <w:spacing w:line="240" w:lineRule="auto"/>
      </w:pPr>
      <w:r>
        <w:rPr>
          <w:u w:val="single"/>
        </w:rPr>
        <w:t xml:space="preserve">Adulţi cu psoriazis în plăci </w:t>
      </w:r>
    </w:p>
    <w:p w14:paraId="0E6CF1D3" w14:textId="77777777" w:rsidR="00C04CAD" w:rsidRDefault="00C04CAD">
      <w:pPr>
        <w:tabs>
          <w:tab w:val="clear" w:pos="567"/>
        </w:tabs>
        <w:kinsoku w:val="0"/>
        <w:overflowPunct w:val="0"/>
        <w:autoSpaceDE w:val="0"/>
        <w:autoSpaceDN w:val="0"/>
        <w:adjustRightInd w:val="0"/>
        <w:spacing w:line="240" w:lineRule="auto"/>
      </w:pPr>
    </w:p>
    <w:p w14:paraId="0485DFBB" w14:textId="77777777" w:rsidR="00C04CAD" w:rsidRDefault="00060E34">
      <w:pPr>
        <w:tabs>
          <w:tab w:val="clear" w:pos="567"/>
        </w:tabs>
        <w:kinsoku w:val="0"/>
        <w:overflowPunct w:val="0"/>
        <w:autoSpaceDE w:val="0"/>
        <w:autoSpaceDN w:val="0"/>
        <w:adjustRightInd w:val="0"/>
        <w:spacing w:line="240" w:lineRule="auto"/>
      </w:pPr>
      <w:r>
        <w:t xml:space="preserve">La adulţi doza recomandată pentru tratamentul psoriazisului în plăci, este o doză iniţială de 80 mg, urmată, după o săptămână, de o doză de 40 mg administrată o dată la două săptămâni. Trebuie să continuaţi injecţiile cu </w:t>
      </w:r>
      <w:r>
        <w:rPr>
          <w:szCs w:val="22"/>
          <w:lang w:eastAsia="en-US" w:bidi="ar-SA"/>
        </w:rPr>
        <w:t>AMGEVITA</w:t>
      </w:r>
      <w:r>
        <w:t xml:space="preserve"> cât timp vă recomandă medicul dumneavoastră. În funcţie de răspunsul dumneavoastră la tratament, medicul dumneavoastră poate să crească doza la 40 mg săptămânal sau </w:t>
      </w:r>
      <w:r>
        <w:rPr>
          <w:szCs w:val="22"/>
        </w:rPr>
        <w:t>80 mg o dată la două săptămâni</w:t>
      </w:r>
      <w:r>
        <w:t>.</w:t>
      </w:r>
    </w:p>
    <w:p w14:paraId="1EE4C5A1" w14:textId="77777777" w:rsidR="00C04CAD" w:rsidRDefault="00C04CAD">
      <w:pPr>
        <w:tabs>
          <w:tab w:val="clear" w:pos="567"/>
        </w:tabs>
        <w:kinsoku w:val="0"/>
        <w:overflowPunct w:val="0"/>
        <w:autoSpaceDE w:val="0"/>
        <w:autoSpaceDN w:val="0"/>
        <w:adjustRightInd w:val="0"/>
        <w:spacing w:line="240" w:lineRule="auto"/>
      </w:pPr>
    </w:p>
    <w:p w14:paraId="497E69E9" w14:textId="77777777" w:rsidR="00C04CAD" w:rsidRDefault="00060E34">
      <w:pPr>
        <w:keepNext/>
        <w:tabs>
          <w:tab w:val="clear" w:pos="567"/>
        </w:tabs>
        <w:kinsoku w:val="0"/>
        <w:overflowPunct w:val="0"/>
        <w:autoSpaceDE w:val="0"/>
        <w:autoSpaceDN w:val="0"/>
        <w:adjustRightInd w:val="0"/>
        <w:spacing w:line="240" w:lineRule="auto"/>
      </w:pPr>
      <w:r>
        <w:rPr>
          <w:u w:val="single"/>
        </w:rPr>
        <w:t>Copii și adolescenţi cu psoriazis în plăci</w:t>
      </w:r>
    </w:p>
    <w:p w14:paraId="11B1E0DF" w14:textId="77777777" w:rsidR="00C04CAD" w:rsidRDefault="00C04CAD">
      <w:pPr>
        <w:keepNext/>
        <w:tabs>
          <w:tab w:val="clear" w:pos="567"/>
        </w:tabs>
        <w:kinsoku w:val="0"/>
        <w:overflowPunct w:val="0"/>
        <w:autoSpaceDE w:val="0"/>
        <w:autoSpaceDN w:val="0"/>
        <w:adjustRightInd w:val="0"/>
        <w:spacing w:line="240" w:lineRule="auto"/>
      </w:pPr>
    </w:p>
    <w:p w14:paraId="700C7A97" w14:textId="77777777" w:rsidR="00C04CAD" w:rsidRDefault="00060E34">
      <w:pPr>
        <w:keepNext/>
        <w:tabs>
          <w:tab w:val="clear" w:pos="567"/>
        </w:tabs>
        <w:kinsoku w:val="0"/>
        <w:overflowPunct w:val="0"/>
        <w:autoSpaceDE w:val="0"/>
        <w:autoSpaceDN w:val="0"/>
        <w:adjustRightInd w:val="0"/>
        <w:spacing w:line="240" w:lineRule="auto"/>
      </w:pPr>
      <w:r>
        <w:rPr>
          <w:i/>
        </w:rPr>
        <w:t>Copii și adolescenți începând cu vârsta de 4 ani până la vârsta de 17 ani și greutatea de la 15 kg la mai puțin de 30 kg</w:t>
      </w:r>
    </w:p>
    <w:p w14:paraId="29C7D9CF" w14:textId="77777777" w:rsidR="00C04CAD" w:rsidRDefault="00C04CAD">
      <w:pPr>
        <w:keepNext/>
        <w:tabs>
          <w:tab w:val="clear" w:pos="567"/>
        </w:tabs>
        <w:kinsoku w:val="0"/>
        <w:overflowPunct w:val="0"/>
        <w:autoSpaceDE w:val="0"/>
        <w:autoSpaceDN w:val="0"/>
        <w:adjustRightInd w:val="0"/>
        <w:spacing w:line="240" w:lineRule="auto"/>
      </w:pPr>
    </w:p>
    <w:p w14:paraId="72FBA3DA"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20 mg, urmată de o doză de 20 mg o săptămână mai târziu. Apoi, doza obișnuită este de 20 mg administrată la două săptămâni.</w:t>
      </w:r>
    </w:p>
    <w:p w14:paraId="3AC9D13D" w14:textId="77777777" w:rsidR="00C04CAD" w:rsidRDefault="00C04CAD">
      <w:pPr>
        <w:tabs>
          <w:tab w:val="clear" w:pos="567"/>
        </w:tabs>
        <w:kinsoku w:val="0"/>
        <w:overflowPunct w:val="0"/>
        <w:autoSpaceDE w:val="0"/>
        <w:autoSpaceDN w:val="0"/>
        <w:adjustRightInd w:val="0"/>
        <w:spacing w:line="240" w:lineRule="auto"/>
      </w:pPr>
    </w:p>
    <w:p w14:paraId="6B6CF27D" w14:textId="77777777" w:rsidR="00C04CAD" w:rsidRDefault="00060E34">
      <w:pPr>
        <w:tabs>
          <w:tab w:val="clear" w:pos="567"/>
        </w:tabs>
        <w:kinsoku w:val="0"/>
        <w:overflowPunct w:val="0"/>
        <w:autoSpaceDE w:val="0"/>
        <w:autoSpaceDN w:val="0"/>
        <w:adjustRightInd w:val="0"/>
        <w:spacing w:line="240" w:lineRule="auto"/>
      </w:pPr>
      <w:r>
        <w:rPr>
          <w:i/>
        </w:rPr>
        <w:t>Copii și adolescenți începând cu vârsta de 4 ani până la vârsta de 17 ani și greutatea de 30 kg sau mai mult</w:t>
      </w:r>
    </w:p>
    <w:p w14:paraId="4D9FA3BD" w14:textId="77777777" w:rsidR="00C04CAD" w:rsidRDefault="00C04CAD">
      <w:pPr>
        <w:tabs>
          <w:tab w:val="clear" w:pos="567"/>
        </w:tabs>
        <w:kinsoku w:val="0"/>
        <w:overflowPunct w:val="0"/>
        <w:autoSpaceDE w:val="0"/>
        <w:autoSpaceDN w:val="0"/>
        <w:adjustRightInd w:val="0"/>
        <w:spacing w:line="240" w:lineRule="auto"/>
      </w:pPr>
    </w:p>
    <w:p w14:paraId="00596D18"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40 mg, urmată de o doză de 40 mg o săptămână mai târziu. Apoi, doza obișnuită este de 40 mg administrată la două săptămâni.</w:t>
      </w:r>
    </w:p>
    <w:p w14:paraId="01BAE69F" w14:textId="77777777" w:rsidR="00C04CAD" w:rsidRDefault="00C04CAD">
      <w:pPr>
        <w:tabs>
          <w:tab w:val="clear" w:pos="567"/>
        </w:tabs>
        <w:kinsoku w:val="0"/>
        <w:overflowPunct w:val="0"/>
        <w:autoSpaceDE w:val="0"/>
        <w:autoSpaceDN w:val="0"/>
        <w:adjustRightInd w:val="0"/>
        <w:spacing w:line="240" w:lineRule="auto"/>
      </w:pPr>
    </w:p>
    <w:p w14:paraId="7A2E1E6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hidrosadenită supurativă</w:t>
      </w:r>
    </w:p>
    <w:p w14:paraId="5650556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2EA2DA8" w14:textId="77777777" w:rsidR="00C04CAD" w:rsidRDefault="00060E34">
      <w:pPr>
        <w:tabs>
          <w:tab w:val="clear" w:pos="567"/>
        </w:tabs>
        <w:kinsoku w:val="0"/>
        <w:overflowPunct w:val="0"/>
        <w:autoSpaceDE w:val="0"/>
        <w:autoSpaceDN w:val="0"/>
        <w:adjustRightInd w:val="0"/>
        <w:spacing w:line="240" w:lineRule="auto"/>
      </w:pPr>
      <w:r>
        <w:t xml:space="preserve">Doza obișnuită pentru hidrosadenita supurativă este o doză inițială de 160 mg (sub formă de </w:t>
      </w:r>
      <w:r>
        <w:rPr>
          <w:szCs w:val="22"/>
          <w:lang w:eastAsia="en-US" w:bidi="ar-SA"/>
        </w:rPr>
        <w:t>două</w:t>
      </w:r>
      <w:r>
        <w:t xml:space="preserve"> injecții </w:t>
      </w:r>
      <w:r>
        <w:rPr>
          <w:szCs w:val="22"/>
          <w:lang w:eastAsia="en-US" w:bidi="ar-SA"/>
        </w:rPr>
        <w:t xml:space="preserve">a câte 80 mg </w:t>
      </w:r>
      <w:r>
        <w:t xml:space="preserve">într-o zi sau </w:t>
      </w:r>
      <w:r>
        <w:rPr>
          <w:szCs w:val="22"/>
          <w:lang w:eastAsia="en-US" w:bidi="ar-SA"/>
        </w:rPr>
        <w:t>o</w:t>
      </w:r>
      <w:r>
        <w:t xml:space="preserve"> injecție </w:t>
      </w:r>
      <w:r>
        <w:rPr>
          <w:szCs w:val="22"/>
          <w:lang w:eastAsia="en-US" w:bidi="ar-SA"/>
        </w:rPr>
        <w:t xml:space="preserve">a câte 80 mg </w:t>
      </w:r>
      <w:r>
        <w:t xml:space="preserve">pe zi, două zile consecutive), urmată de o doză de 80 mg după două săptămâni. După alte două săptămâni, se continuă cu o doză de 40 mg săptămânal sau </w:t>
      </w:r>
      <w:r>
        <w:rPr>
          <w:szCs w:val="22"/>
        </w:rPr>
        <w:t>80 mg o dată la două săptămâni, conform recomandărilor medicului dumneavoastră</w:t>
      </w:r>
      <w:r>
        <w:t>. Se recomandă să spălaţi zilnic cu un antiseptic zonele afectate.</w:t>
      </w:r>
    </w:p>
    <w:p w14:paraId="4CE677EC" w14:textId="77777777" w:rsidR="00C04CAD" w:rsidRDefault="00C04CAD">
      <w:pPr>
        <w:tabs>
          <w:tab w:val="clear" w:pos="567"/>
        </w:tabs>
        <w:kinsoku w:val="0"/>
        <w:overflowPunct w:val="0"/>
        <w:autoSpaceDE w:val="0"/>
        <w:autoSpaceDN w:val="0"/>
        <w:adjustRightInd w:val="0"/>
        <w:spacing w:line="240" w:lineRule="auto"/>
      </w:pPr>
    </w:p>
    <w:p w14:paraId="4093762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 xml:space="preserve">Hidrosadenită supurativă la adolescenți de la vârsta de 12 </w:t>
      </w:r>
      <w:r>
        <w:rPr>
          <w:szCs w:val="22"/>
          <w:u w:val="single"/>
        </w:rPr>
        <w:t xml:space="preserve">până </w:t>
      </w:r>
      <w:r>
        <w:rPr>
          <w:szCs w:val="22"/>
          <w:u w:val="single"/>
          <w:lang w:eastAsia="en-US" w:bidi="ar-SA"/>
        </w:rPr>
        <w:t>la 17 ani cu greutatea de 30 kg sau mai mult</w:t>
      </w:r>
    </w:p>
    <w:p w14:paraId="74293CD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D10E40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de AMGEVITA este o doză inițială de 80 mg, urmată, </w:t>
      </w:r>
      <w:r>
        <w:rPr>
          <w:szCs w:val="22"/>
        </w:rPr>
        <w:t>după o săptămână,</w:t>
      </w:r>
      <w:r>
        <w:rPr>
          <w:szCs w:val="22"/>
          <w:lang w:eastAsia="en-US" w:bidi="ar-SA"/>
        </w:rPr>
        <w:t xml:space="preserve"> de </w:t>
      </w:r>
      <w:r>
        <w:rPr>
          <w:szCs w:val="22"/>
        </w:rPr>
        <w:t xml:space="preserve">o doză de </w:t>
      </w:r>
      <w:r>
        <w:rPr>
          <w:szCs w:val="22"/>
          <w:lang w:eastAsia="en-US" w:bidi="ar-SA"/>
        </w:rPr>
        <w:t xml:space="preserve">40 mg la fiecare </w:t>
      </w:r>
      <w:r>
        <w:rPr>
          <w:szCs w:val="22"/>
        </w:rPr>
        <w:t>două</w:t>
      </w:r>
      <w:r>
        <w:rPr>
          <w:szCs w:val="22"/>
          <w:lang w:eastAsia="en-US" w:bidi="ar-SA"/>
        </w:rPr>
        <w:t xml:space="preserve"> săptămâni. Dacă nu </w:t>
      </w:r>
      <w:r>
        <w:rPr>
          <w:szCs w:val="22"/>
        </w:rPr>
        <w:t xml:space="preserve">răspundeți corespunzător </w:t>
      </w:r>
      <w:r>
        <w:rPr>
          <w:szCs w:val="22"/>
          <w:lang w:eastAsia="en-US" w:bidi="ar-SA"/>
        </w:rPr>
        <w:t xml:space="preserve">la AMGEVITA 40 mg la două săptămâni, medicul dumneavoastră poate </w:t>
      </w:r>
      <w:r>
        <w:rPr>
          <w:szCs w:val="22"/>
        </w:rPr>
        <w:t>să crească doza</w:t>
      </w:r>
      <w:r>
        <w:rPr>
          <w:szCs w:val="22"/>
          <w:lang w:eastAsia="en-US" w:bidi="ar-SA"/>
        </w:rPr>
        <w:t xml:space="preserve"> la 40 mg săptămânal sau 80 mg la două săptămâni.</w:t>
      </w:r>
    </w:p>
    <w:p w14:paraId="3C095A4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DD93F5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Se recomandă să </w:t>
      </w:r>
      <w:r>
        <w:rPr>
          <w:szCs w:val="22"/>
        </w:rPr>
        <w:t>spălaţi zilnic cu un antiseptic zonele afectate</w:t>
      </w:r>
      <w:r>
        <w:rPr>
          <w:szCs w:val="22"/>
          <w:lang w:eastAsia="en-US" w:bidi="ar-SA"/>
        </w:rPr>
        <w:t>.</w:t>
      </w:r>
    </w:p>
    <w:p w14:paraId="2260D05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7266A1B" w14:textId="77777777" w:rsidR="00C04CAD" w:rsidRDefault="00060E34">
      <w:pPr>
        <w:keepNext/>
        <w:tabs>
          <w:tab w:val="clear" w:pos="567"/>
        </w:tabs>
        <w:kinsoku w:val="0"/>
        <w:overflowPunct w:val="0"/>
        <w:autoSpaceDE w:val="0"/>
        <w:autoSpaceDN w:val="0"/>
        <w:adjustRightInd w:val="0"/>
        <w:spacing w:line="240" w:lineRule="auto"/>
      </w:pPr>
      <w:r>
        <w:rPr>
          <w:u w:val="single"/>
        </w:rPr>
        <w:t>Adulţi cu boală Crohn</w:t>
      </w:r>
    </w:p>
    <w:p w14:paraId="17C18459" w14:textId="77777777" w:rsidR="00C04CAD" w:rsidRDefault="00C04CAD">
      <w:pPr>
        <w:keepNext/>
        <w:tabs>
          <w:tab w:val="clear" w:pos="567"/>
        </w:tabs>
        <w:kinsoku w:val="0"/>
        <w:overflowPunct w:val="0"/>
        <w:autoSpaceDE w:val="0"/>
        <w:autoSpaceDN w:val="0"/>
        <w:adjustRightInd w:val="0"/>
        <w:spacing w:line="240" w:lineRule="auto"/>
      </w:pPr>
    </w:p>
    <w:p w14:paraId="75FF0B97" w14:textId="77777777" w:rsidR="00C04CAD" w:rsidRDefault="00060E34">
      <w:pPr>
        <w:tabs>
          <w:tab w:val="clear" w:pos="567"/>
        </w:tabs>
        <w:kinsoku w:val="0"/>
        <w:overflowPunct w:val="0"/>
        <w:autoSpaceDE w:val="0"/>
        <w:autoSpaceDN w:val="0"/>
        <w:adjustRightInd w:val="0"/>
        <w:spacing w:line="240" w:lineRule="auto"/>
      </w:pPr>
      <w:r>
        <w:t xml:space="preserve">Doza obişnuită pentru boala Crohn este de 80 mg iniţial urmată apoi de 40 mg la două săptămâni, două săptămâni mai târziu. Dacă este necesar un răspuns mai rapid, medicul dumneavoastră vă poate prescrie o doză iniţială de 160 mg (sub formă de </w:t>
      </w:r>
      <w:r>
        <w:rPr>
          <w:szCs w:val="22"/>
          <w:lang w:eastAsia="en-US" w:bidi="ar-SA"/>
        </w:rPr>
        <w:t>două</w:t>
      </w:r>
      <w:r>
        <w:t xml:space="preserve"> injecţii </w:t>
      </w:r>
      <w:r>
        <w:rPr>
          <w:szCs w:val="22"/>
          <w:lang w:eastAsia="en-US" w:bidi="ar-SA"/>
        </w:rPr>
        <w:t xml:space="preserve">a câte 80 mg </w:t>
      </w:r>
      <w:r>
        <w:t xml:space="preserve">într-o zi sau </w:t>
      </w:r>
      <w:r>
        <w:rPr>
          <w:szCs w:val="22"/>
          <w:lang w:eastAsia="en-US" w:bidi="ar-SA"/>
        </w:rPr>
        <w:t xml:space="preserve">o </w:t>
      </w:r>
      <w:r>
        <w:t>injecţie</w:t>
      </w:r>
      <w:r>
        <w:rPr>
          <w:szCs w:val="22"/>
          <w:lang w:eastAsia="en-US" w:bidi="ar-SA"/>
        </w:rPr>
        <w:t xml:space="preserve"> a câte 80 mg</w:t>
      </w:r>
      <w:r>
        <w:t xml:space="preserve"> pe zi, două zile consecutiv), urmată de 80 mg două săptămâni mai târziu şi apoi 40 mg la două săptămâni. În funcţie de răspunsul dumneavoastră la tratament, medicul dumneavoastră poate creşte doza la 40 mg săptămânal sau </w:t>
      </w:r>
      <w:r>
        <w:rPr>
          <w:szCs w:val="22"/>
        </w:rPr>
        <w:t>80 mg o dată la două săptămâni</w:t>
      </w:r>
      <w:r>
        <w:t>.</w:t>
      </w:r>
    </w:p>
    <w:p w14:paraId="546CA813" w14:textId="77777777" w:rsidR="00C04CAD" w:rsidRDefault="00C04CAD">
      <w:pPr>
        <w:tabs>
          <w:tab w:val="clear" w:pos="567"/>
        </w:tabs>
        <w:kinsoku w:val="0"/>
        <w:overflowPunct w:val="0"/>
        <w:autoSpaceDE w:val="0"/>
        <w:autoSpaceDN w:val="0"/>
        <w:adjustRightInd w:val="0"/>
        <w:spacing w:line="240" w:lineRule="auto"/>
      </w:pPr>
    </w:p>
    <w:p w14:paraId="6778C36E" w14:textId="77777777" w:rsidR="00C04CAD" w:rsidRDefault="00060E34">
      <w:pPr>
        <w:tabs>
          <w:tab w:val="clear" w:pos="567"/>
        </w:tabs>
        <w:kinsoku w:val="0"/>
        <w:overflowPunct w:val="0"/>
        <w:autoSpaceDE w:val="0"/>
        <w:autoSpaceDN w:val="0"/>
        <w:adjustRightInd w:val="0"/>
        <w:spacing w:line="240" w:lineRule="auto"/>
      </w:pPr>
      <w:r>
        <w:rPr>
          <w:u w:val="single"/>
        </w:rPr>
        <w:t>Copii și adolescenţi cu boală Crohn</w:t>
      </w:r>
    </w:p>
    <w:p w14:paraId="1EEE4DB2" w14:textId="77777777" w:rsidR="00C04CAD" w:rsidRDefault="00C04CAD">
      <w:pPr>
        <w:tabs>
          <w:tab w:val="clear" w:pos="567"/>
        </w:tabs>
        <w:kinsoku w:val="0"/>
        <w:overflowPunct w:val="0"/>
        <w:autoSpaceDE w:val="0"/>
        <w:autoSpaceDN w:val="0"/>
        <w:adjustRightInd w:val="0"/>
        <w:spacing w:line="240" w:lineRule="auto"/>
      </w:pPr>
    </w:p>
    <w:p w14:paraId="37276D5F" w14:textId="77777777" w:rsidR="00C04CAD" w:rsidRDefault="00060E34">
      <w:pPr>
        <w:tabs>
          <w:tab w:val="clear" w:pos="567"/>
        </w:tabs>
        <w:kinsoku w:val="0"/>
        <w:overflowPunct w:val="0"/>
        <w:autoSpaceDE w:val="0"/>
        <w:autoSpaceDN w:val="0"/>
        <w:adjustRightInd w:val="0"/>
        <w:spacing w:line="240" w:lineRule="auto"/>
        <w:rPr>
          <w:u w:val="single"/>
        </w:rPr>
      </w:pPr>
      <w:r>
        <w:rPr>
          <w:i/>
        </w:rPr>
        <w:t>Copii și adolescenţi cu vârsta de 6 ani până la vârsta de 17 ani și greutatea mai mică de 40 kg</w:t>
      </w:r>
    </w:p>
    <w:p w14:paraId="7E9BA8D4" w14:textId="77777777" w:rsidR="00C04CAD" w:rsidRDefault="00C04CAD">
      <w:pPr>
        <w:tabs>
          <w:tab w:val="clear" w:pos="567"/>
        </w:tabs>
        <w:kinsoku w:val="0"/>
        <w:overflowPunct w:val="0"/>
        <w:autoSpaceDE w:val="0"/>
        <w:autoSpaceDN w:val="0"/>
        <w:adjustRightInd w:val="0"/>
        <w:spacing w:line="240" w:lineRule="auto"/>
      </w:pPr>
    </w:p>
    <w:p w14:paraId="34A8CC9F" w14:textId="77777777" w:rsidR="00C04CAD" w:rsidRDefault="00060E34">
      <w:pPr>
        <w:tabs>
          <w:tab w:val="clear" w:pos="567"/>
        </w:tabs>
        <w:kinsoku w:val="0"/>
        <w:overflowPunct w:val="0"/>
        <w:autoSpaceDE w:val="0"/>
        <w:autoSpaceDN w:val="0"/>
        <w:adjustRightInd w:val="0"/>
        <w:spacing w:line="240" w:lineRule="auto"/>
      </w:pPr>
      <w:r>
        <w:t>Doza recomandată este de 40 mg iniţial, urmată de 20 mg după două săptămâni. Dacă este necesar un răspuns mai rapid, medicul copilului dumneavoastră vă poate prescrie o doză iniţială de 80 mg urmată de 40 mg după două săptămâni.</w:t>
      </w:r>
    </w:p>
    <w:p w14:paraId="4ABEB020" w14:textId="77777777" w:rsidR="00C04CAD" w:rsidRDefault="00C04CAD">
      <w:pPr>
        <w:tabs>
          <w:tab w:val="clear" w:pos="567"/>
        </w:tabs>
        <w:kinsoku w:val="0"/>
        <w:overflowPunct w:val="0"/>
        <w:autoSpaceDE w:val="0"/>
        <w:autoSpaceDN w:val="0"/>
        <w:adjustRightInd w:val="0"/>
        <w:spacing w:line="240" w:lineRule="auto"/>
      </w:pPr>
    </w:p>
    <w:p w14:paraId="10779697" w14:textId="77777777" w:rsidR="00C04CAD" w:rsidRDefault="00060E34">
      <w:pPr>
        <w:tabs>
          <w:tab w:val="clear" w:pos="567"/>
        </w:tabs>
        <w:kinsoku w:val="0"/>
        <w:overflowPunct w:val="0"/>
        <w:autoSpaceDE w:val="0"/>
        <w:autoSpaceDN w:val="0"/>
        <w:adjustRightInd w:val="0"/>
        <w:spacing w:line="240" w:lineRule="auto"/>
      </w:pPr>
      <w:r>
        <w:t>Ulterior, doza recomandată este de 20 mg la două săptămâni. În funcţie de răspunsul copilului dumneavoastră la tratament, medicul copilului dumneavoastră poate creşte frecvenţa dozei la 20 mg în fiecare săptămână.</w:t>
      </w:r>
    </w:p>
    <w:p w14:paraId="56D8E5F6" w14:textId="77777777" w:rsidR="00C04CAD" w:rsidRDefault="00C04CAD">
      <w:pPr>
        <w:tabs>
          <w:tab w:val="clear" w:pos="567"/>
        </w:tabs>
        <w:kinsoku w:val="0"/>
        <w:overflowPunct w:val="0"/>
        <w:autoSpaceDE w:val="0"/>
        <w:autoSpaceDN w:val="0"/>
        <w:adjustRightInd w:val="0"/>
        <w:spacing w:line="240" w:lineRule="auto"/>
      </w:pPr>
    </w:p>
    <w:p w14:paraId="59FAF6AB" w14:textId="77777777" w:rsidR="00C04CAD" w:rsidRDefault="00060E34">
      <w:pPr>
        <w:tabs>
          <w:tab w:val="clear" w:pos="567"/>
        </w:tabs>
        <w:kinsoku w:val="0"/>
        <w:overflowPunct w:val="0"/>
        <w:autoSpaceDE w:val="0"/>
        <w:autoSpaceDN w:val="0"/>
        <w:adjustRightInd w:val="0"/>
        <w:spacing w:line="240" w:lineRule="auto"/>
      </w:pPr>
      <w:r>
        <w:rPr>
          <w:i/>
        </w:rPr>
        <w:t>Copii și adolescenţi cu vârsta de 6 ani până la vârsta de 17 ani și greutatea de 40 kg sau mai mult</w:t>
      </w:r>
    </w:p>
    <w:p w14:paraId="0BD5D1F8" w14:textId="77777777" w:rsidR="00C04CAD" w:rsidRDefault="00C04CAD">
      <w:pPr>
        <w:tabs>
          <w:tab w:val="clear" w:pos="567"/>
        </w:tabs>
        <w:kinsoku w:val="0"/>
        <w:overflowPunct w:val="0"/>
        <w:autoSpaceDE w:val="0"/>
        <w:autoSpaceDN w:val="0"/>
        <w:adjustRightInd w:val="0"/>
        <w:spacing w:line="240" w:lineRule="auto"/>
      </w:pPr>
    </w:p>
    <w:p w14:paraId="24E4D463" w14:textId="77777777" w:rsidR="00C04CAD" w:rsidRDefault="00060E34">
      <w:pPr>
        <w:tabs>
          <w:tab w:val="clear" w:pos="567"/>
        </w:tabs>
        <w:kinsoku w:val="0"/>
        <w:overflowPunct w:val="0"/>
        <w:autoSpaceDE w:val="0"/>
        <w:autoSpaceDN w:val="0"/>
        <w:adjustRightInd w:val="0"/>
        <w:spacing w:line="240" w:lineRule="auto"/>
      </w:pPr>
      <w:r>
        <w:t xml:space="preserve">Doza recomandată este de 80 mg iniţial urmată de 40 mg două săptămâni mai târziu. În cazul în care este necesar un răspuns mai rapid, medicul copilului dumneavoastră poate prescrie o doză iniţială de 160 mg (sub formă de </w:t>
      </w:r>
      <w:r>
        <w:rPr>
          <w:szCs w:val="22"/>
          <w:lang w:eastAsia="en-US" w:bidi="ar-SA"/>
        </w:rPr>
        <w:t>două</w:t>
      </w:r>
      <w:r>
        <w:t xml:space="preserve"> injecţii </w:t>
      </w:r>
      <w:r>
        <w:rPr>
          <w:szCs w:val="22"/>
          <w:lang w:eastAsia="en-US" w:bidi="ar-SA"/>
        </w:rPr>
        <w:t xml:space="preserve">a câte 80 mg </w:t>
      </w:r>
      <w:r>
        <w:t xml:space="preserve">într-o zi sau </w:t>
      </w:r>
      <w:r>
        <w:rPr>
          <w:szCs w:val="22"/>
          <w:lang w:eastAsia="en-US" w:bidi="ar-SA"/>
        </w:rPr>
        <w:t>o</w:t>
      </w:r>
      <w:r>
        <w:t xml:space="preserve"> injecţie</w:t>
      </w:r>
      <w:r>
        <w:rPr>
          <w:szCs w:val="22"/>
          <w:lang w:eastAsia="en-US" w:bidi="ar-SA"/>
        </w:rPr>
        <w:t xml:space="preserve"> a câte 80 mg</w:t>
      </w:r>
      <w:r>
        <w:t xml:space="preserve"> pe zi, timp de două zile consecutiv), urmată de 80 mg două săptămâni mai târziu.</w:t>
      </w:r>
    </w:p>
    <w:p w14:paraId="79B4A3C4" w14:textId="77777777" w:rsidR="00C04CAD" w:rsidRDefault="00C04CAD">
      <w:pPr>
        <w:tabs>
          <w:tab w:val="clear" w:pos="567"/>
        </w:tabs>
        <w:kinsoku w:val="0"/>
        <w:overflowPunct w:val="0"/>
        <w:autoSpaceDE w:val="0"/>
        <w:autoSpaceDN w:val="0"/>
        <w:adjustRightInd w:val="0"/>
        <w:spacing w:line="240" w:lineRule="auto"/>
      </w:pPr>
    </w:p>
    <w:p w14:paraId="21FB9330" w14:textId="77777777" w:rsidR="00C04CAD" w:rsidRDefault="00060E34">
      <w:pPr>
        <w:tabs>
          <w:tab w:val="clear" w:pos="567"/>
        </w:tabs>
        <w:kinsoku w:val="0"/>
        <w:overflowPunct w:val="0"/>
        <w:autoSpaceDE w:val="0"/>
        <w:autoSpaceDN w:val="0"/>
        <w:adjustRightInd w:val="0"/>
        <w:spacing w:line="240" w:lineRule="auto"/>
      </w:pPr>
      <w:r>
        <w:t xml:space="preserve">Ulterior, doza recomandată este de 40 mg la două săptămâni. În funcţie de răspunsul copilului dumneavoastră la tratament, medicul copilului dumneavoastră poate creşte doza la 40 mg în fiecare săptămână sau </w:t>
      </w:r>
      <w:r>
        <w:rPr>
          <w:szCs w:val="22"/>
        </w:rPr>
        <w:t>80 mg o dată la două săptămâni</w:t>
      </w:r>
      <w:r>
        <w:t>.</w:t>
      </w:r>
    </w:p>
    <w:p w14:paraId="4B4A4B04" w14:textId="77777777" w:rsidR="00C04CAD" w:rsidRDefault="00C04CAD">
      <w:pPr>
        <w:tabs>
          <w:tab w:val="clear" w:pos="567"/>
        </w:tabs>
        <w:kinsoku w:val="0"/>
        <w:overflowPunct w:val="0"/>
        <w:autoSpaceDE w:val="0"/>
        <w:autoSpaceDN w:val="0"/>
        <w:adjustRightInd w:val="0"/>
        <w:spacing w:line="240" w:lineRule="auto"/>
      </w:pPr>
    </w:p>
    <w:p w14:paraId="7C2CA33A" w14:textId="77777777" w:rsidR="00C04CAD" w:rsidRDefault="00060E34">
      <w:pPr>
        <w:keepNext/>
        <w:tabs>
          <w:tab w:val="clear" w:pos="567"/>
        </w:tabs>
        <w:kinsoku w:val="0"/>
        <w:overflowPunct w:val="0"/>
        <w:autoSpaceDE w:val="0"/>
        <w:autoSpaceDN w:val="0"/>
        <w:adjustRightInd w:val="0"/>
        <w:spacing w:line="240" w:lineRule="auto"/>
      </w:pPr>
      <w:r>
        <w:rPr>
          <w:u w:val="single"/>
        </w:rPr>
        <w:t xml:space="preserve">Adulţi cu colită ulcerativă </w:t>
      </w:r>
    </w:p>
    <w:p w14:paraId="577EF2E9" w14:textId="77777777" w:rsidR="00C04CAD" w:rsidRDefault="00C04CAD">
      <w:pPr>
        <w:keepNext/>
        <w:tabs>
          <w:tab w:val="clear" w:pos="567"/>
        </w:tabs>
        <w:kinsoku w:val="0"/>
        <w:overflowPunct w:val="0"/>
        <w:autoSpaceDE w:val="0"/>
        <w:autoSpaceDN w:val="0"/>
        <w:adjustRightInd w:val="0"/>
        <w:spacing w:line="240" w:lineRule="auto"/>
      </w:pPr>
    </w:p>
    <w:p w14:paraId="3C39C4D0" w14:textId="77777777" w:rsidR="00C04CAD" w:rsidRDefault="00060E34">
      <w:pPr>
        <w:tabs>
          <w:tab w:val="clear" w:pos="567"/>
        </w:tabs>
        <w:kinsoku w:val="0"/>
        <w:overflowPunct w:val="0"/>
        <w:autoSpaceDE w:val="0"/>
        <w:autoSpaceDN w:val="0"/>
        <w:adjustRightInd w:val="0"/>
        <w:spacing w:line="240" w:lineRule="auto"/>
      </w:pPr>
      <w:r>
        <w:t xml:space="preserve">La pacienţii adulţi cu colită ulcerativă doza obişnuită de </w:t>
      </w:r>
      <w:r>
        <w:rPr>
          <w:szCs w:val="22"/>
          <w:lang w:eastAsia="en-US" w:bidi="ar-SA"/>
        </w:rPr>
        <w:t>AMGEVITA</w:t>
      </w:r>
      <w:r>
        <w:t xml:space="preserve"> este 160 mg </w:t>
      </w:r>
      <w:r>
        <w:rPr>
          <w:szCs w:val="22"/>
          <w:lang w:eastAsia="en-US" w:bidi="ar-SA"/>
        </w:rPr>
        <w:t>iniţial</w:t>
      </w:r>
      <w:r>
        <w:t xml:space="preserve"> (sub formă de două injecţii </w:t>
      </w:r>
      <w:r>
        <w:rPr>
          <w:szCs w:val="22"/>
          <w:lang w:eastAsia="en-US" w:bidi="ar-SA"/>
        </w:rPr>
        <w:t xml:space="preserve">a câte 80 mg </w:t>
      </w:r>
      <w:r>
        <w:t xml:space="preserve">într-o zi sau o injecţie </w:t>
      </w:r>
      <w:r>
        <w:rPr>
          <w:szCs w:val="22"/>
          <w:lang w:eastAsia="en-US" w:bidi="ar-SA"/>
        </w:rPr>
        <w:t xml:space="preserve">a câte 80 mg </w:t>
      </w:r>
      <w:r>
        <w:t>pe zi, două zile consecutiv</w:t>
      </w:r>
      <w:r>
        <w:rPr>
          <w:szCs w:val="22"/>
          <w:lang w:eastAsia="en-US" w:bidi="ar-SA"/>
        </w:rPr>
        <w:t>), urmate de</w:t>
      </w:r>
      <w:r>
        <w:t xml:space="preserve"> 80 mg </w:t>
      </w:r>
      <w:r>
        <w:rPr>
          <w:szCs w:val="22"/>
          <w:lang w:eastAsia="en-US" w:bidi="ar-SA"/>
        </w:rPr>
        <w:t>două săptamâni mai târziu,</w:t>
      </w:r>
      <w:r>
        <w:t xml:space="preserve"> şi după aceea 40 mg la două săptămâni. În funcţie de răspunsul dumneavoastră la tratament, medicul dumneavoastră poate creşte doza la 40 mg săptămânal sau </w:t>
      </w:r>
      <w:r>
        <w:rPr>
          <w:szCs w:val="22"/>
        </w:rPr>
        <w:t>80 mg o dată la două săptămâni</w:t>
      </w:r>
      <w:r>
        <w:t>.</w:t>
      </w:r>
    </w:p>
    <w:p w14:paraId="0F40362F" w14:textId="77777777" w:rsidR="00C04CAD" w:rsidRDefault="00C04CAD">
      <w:pPr>
        <w:tabs>
          <w:tab w:val="clear" w:pos="567"/>
        </w:tabs>
        <w:kinsoku w:val="0"/>
        <w:overflowPunct w:val="0"/>
        <w:autoSpaceDE w:val="0"/>
        <w:autoSpaceDN w:val="0"/>
        <w:adjustRightInd w:val="0"/>
        <w:spacing w:line="240" w:lineRule="auto"/>
      </w:pPr>
    </w:p>
    <w:p w14:paraId="2D6B5BA7" w14:textId="77777777" w:rsidR="00C04CAD" w:rsidRDefault="00060E34">
      <w:pPr>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cu colită ulcerativă </w:t>
      </w:r>
    </w:p>
    <w:p w14:paraId="0AA7E073"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655A59E4"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mai mică de 40 kg </w:t>
      </w:r>
    </w:p>
    <w:p w14:paraId="56376FEB"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27CD8063"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80 mg, urmată de 40 mg (sub formă de o injecție a 40 mg) două săptămâni mai târziu. Ulterior, doza uzuală este de 40 mg la două săptămâni. </w:t>
      </w:r>
    </w:p>
    <w:p w14:paraId="11C30CA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2C9A02A"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Pacienții care împlinesc vârsta de 18 ani în timp ce li se administrează doza de 40 mg la două săptămâni, trebuie să continue cu doza prescrisă. </w:t>
      </w:r>
    </w:p>
    <w:p w14:paraId="0C122CE6" w14:textId="77777777" w:rsidR="00C04CAD" w:rsidRDefault="00C04CAD">
      <w:pPr>
        <w:tabs>
          <w:tab w:val="clear" w:pos="567"/>
        </w:tabs>
        <w:autoSpaceDE w:val="0"/>
        <w:autoSpaceDN w:val="0"/>
        <w:adjustRightInd w:val="0"/>
        <w:spacing w:line="240" w:lineRule="auto"/>
        <w:rPr>
          <w:rFonts w:eastAsia="MS Mincho"/>
          <w:i/>
          <w:iCs/>
          <w:color w:val="000000"/>
          <w:szCs w:val="22"/>
          <w:lang w:eastAsia="ja-JP" w:bidi="ar-SA"/>
        </w:rPr>
      </w:pPr>
    </w:p>
    <w:p w14:paraId="30512B88"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de 40 kg sau mai mult </w:t>
      </w:r>
    </w:p>
    <w:p w14:paraId="34FFBED0" w14:textId="77777777" w:rsidR="00C04CAD" w:rsidRDefault="00C04CAD">
      <w:pPr>
        <w:keepNext/>
        <w:keepLines/>
        <w:tabs>
          <w:tab w:val="clear" w:pos="567"/>
        </w:tabs>
        <w:autoSpaceDE w:val="0"/>
        <w:autoSpaceDN w:val="0"/>
        <w:adjustRightInd w:val="0"/>
        <w:spacing w:line="240" w:lineRule="auto"/>
        <w:rPr>
          <w:rFonts w:eastAsia="MS Mincho"/>
          <w:color w:val="000000"/>
          <w:szCs w:val="22"/>
          <w:lang w:eastAsia="ja-JP" w:bidi="ar-SA"/>
        </w:rPr>
      </w:pPr>
    </w:p>
    <w:p w14:paraId="524807EB" w14:textId="77777777" w:rsidR="00C04CAD" w:rsidRDefault="00060E34">
      <w:pPr>
        <w:keepNext/>
        <w:keepLines/>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160 mg (sub formă de două injecții a câte 80 mg într-o zi sau o injecție a câte 80 mg pe zi timp de două zile consecutive), urmată de 80 mg două săptămâni mai târziu. Ulterior, doza uzuală este de 80 mg la două săptămâni. </w:t>
      </w:r>
    </w:p>
    <w:p w14:paraId="3064961B"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1DDF4FCB" w14:textId="77777777" w:rsidR="00C04CAD" w:rsidRDefault="00060E34">
      <w:pPr>
        <w:tabs>
          <w:tab w:val="clear" w:pos="567"/>
        </w:tabs>
        <w:kinsoku w:val="0"/>
        <w:overflowPunct w:val="0"/>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împlinesc vârsta de 18 ani în timp ce li se administrează doza de 80 mg la două săptămâni trebuie să continue cu doza prescrisă.</w:t>
      </w:r>
    </w:p>
    <w:p w14:paraId="1B04EB40" w14:textId="77777777" w:rsidR="00C04CAD" w:rsidRDefault="00C04CAD">
      <w:pPr>
        <w:tabs>
          <w:tab w:val="clear" w:pos="567"/>
        </w:tabs>
        <w:kinsoku w:val="0"/>
        <w:overflowPunct w:val="0"/>
        <w:autoSpaceDE w:val="0"/>
        <w:autoSpaceDN w:val="0"/>
        <w:adjustRightInd w:val="0"/>
        <w:spacing w:line="240" w:lineRule="auto"/>
        <w:rPr>
          <w:rFonts w:eastAsia="MS Mincho"/>
          <w:color w:val="000000"/>
          <w:szCs w:val="22"/>
          <w:lang w:eastAsia="ja-JP" w:bidi="ar-SA"/>
        </w:rPr>
      </w:pPr>
    </w:p>
    <w:p w14:paraId="26C1BB30" w14:textId="77777777" w:rsidR="00C04CAD" w:rsidRDefault="00060E34">
      <w:pPr>
        <w:tabs>
          <w:tab w:val="clear" w:pos="567"/>
        </w:tabs>
        <w:kinsoku w:val="0"/>
        <w:overflowPunct w:val="0"/>
        <w:autoSpaceDE w:val="0"/>
        <w:autoSpaceDN w:val="0"/>
        <w:adjustRightInd w:val="0"/>
        <w:spacing w:line="240" w:lineRule="auto"/>
      </w:pPr>
      <w:r>
        <w:rPr>
          <w:u w:val="single"/>
        </w:rPr>
        <w:t>Adulți cu uveită non-infecţioasă</w:t>
      </w:r>
    </w:p>
    <w:p w14:paraId="7136D81B" w14:textId="77777777" w:rsidR="00C04CAD" w:rsidRDefault="00C04CAD">
      <w:pPr>
        <w:tabs>
          <w:tab w:val="clear" w:pos="567"/>
        </w:tabs>
        <w:kinsoku w:val="0"/>
        <w:overflowPunct w:val="0"/>
        <w:autoSpaceDE w:val="0"/>
        <w:autoSpaceDN w:val="0"/>
        <w:adjustRightInd w:val="0"/>
        <w:spacing w:line="240" w:lineRule="auto"/>
        <w:rPr>
          <w:szCs w:val="22"/>
        </w:rPr>
      </w:pPr>
    </w:p>
    <w:p w14:paraId="600D8270"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t>recomandată</w:t>
      </w:r>
      <w:r>
        <w:rPr>
          <w:szCs w:val="22"/>
        </w:rPr>
        <w:t xml:space="preserve"> pentru adulții cu uveită non-infecţioasă este o doză inițială de 80 mg, urmată de 40 mg administrată o dată la două săptămâni începând cu prima săptămână după doza inițială. Trebuie să continuați să utilizaţi </w:t>
      </w:r>
      <w:r>
        <w:rPr>
          <w:szCs w:val="22"/>
          <w:lang w:eastAsia="en-US" w:bidi="ar-SA"/>
        </w:rPr>
        <w:t>AMGEVITA</w:t>
      </w:r>
      <w:r>
        <w:rPr>
          <w:szCs w:val="22"/>
        </w:rPr>
        <w:t xml:space="preserve"> atâta timp cât medicul dumneavoastră v-a recomandat.</w:t>
      </w:r>
    </w:p>
    <w:p w14:paraId="0151DBA2" w14:textId="77777777" w:rsidR="00C04CAD" w:rsidRDefault="00C04CAD">
      <w:pPr>
        <w:tabs>
          <w:tab w:val="clear" w:pos="567"/>
        </w:tabs>
        <w:kinsoku w:val="0"/>
        <w:overflowPunct w:val="0"/>
        <w:autoSpaceDE w:val="0"/>
        <w:autoSpaceDN w:val="0"/>
        <w:adjustRightInd w:val="0"/>
        <w:spacing w:line="240" w:lineRule="auto"/>
        <w:rPr>
          <w:szCs w:val="22"/>
        </w:rPr>
      </w:pPr>
    </w:p>
    <w:p w14:paraId="3C637A44" w14:textId="77777777" w:rsidR="00C04CAD" w:rsidRDefault="00060E34">
      <w:pPr>
        <w:numPr>
          <w:ilvl w:val="12"/>
          <w:numId w:val="0"/>
        </w:numPr>
        <w:tabs>
          <w:tab w:val="clear" w:pos="567"/>
        </w:tabs>
        <w:spacing w:line="240" w:lineRule="auto"/>
        <w:ind w:right="-2"/>
        <w:rPr>
          <w:szCs w:val="22"/>
        </w:rPr>
      </w:pPr>
      <w:r>
        <w:rPr>
          <w:szCs w:val="22"/>
        </w:rPr>
        <w:t xml:space="preserve">La pacienţii cu uveită non-infecţioasă, în timpul utilizării </w:t>
      </w:r>
      <w:r>
        <w:rPr>
          <w:szCs w:val="22"/>
          <w:lang w:eastAsia="en-US" w:bidi="ar-SA"/>
        </w:rPr>
        <w:t>AMGEVITA</w:t>
      </w:r>
      <w:r>
        <w:rPr>
          <w:szCs w:val="22"/>
        </w:rPr>
        <w:t xml:space="preserve">, se poate continua tratamentul cu corticosteroizi sau cu alte medicamente care influențează sistemul imunitar. </w:t>
      </w:r>
      <w:r>
        <w:rPr>
          <w:szCs w:val="22"/>
          <w:lang w:eastAsia="en-US" w:bidi="ar-SA"/>
        </w:rPr>
        <w:t>AMGEVITA</w:t>
      </w:r>
      <w:r>
        <w:rPr>
          <w:szCs w:val="22"/>
        </w:rPr>
        <w:t xml:space="preserve"> poate fi de asemenea administrat în monoterapie.</w:t>
      </w:r>
    </w:p>
    <w:p w14:paraId="4F56672F" w14:textId="77777777" w:rsidR="00C04CAD" w:rsidRDefault="00C04CAD">
      <w:pPr>
        <w:numPr>
          <w:ilvl w:val="12"/>
          <w:numId w:val="0"/>
        </w:numPr>
        <w:tabs>
          <w:tab w:val="clear" w:pos="567"/>
        </w:tabs>
        <w:spacing w:line="240" w:lineRule="auto"/>
        <w:ind w:right="-2"/>
        <w:rPr>
          <w:szCs w:val="22"/>
        </w:rPr>
      </w:pPr>
    </w:p>
    <w:p w14:paraId="40C14B45" w14:textId="77777777" w:rsidR="00C04CAD" w:rsidRDefault="00060E34">
      <w:pPr>
        <w:numPr>
          <w:ilvl w:val="12"/>
          <w:numId w:val="0"/>
        </w:numPr>
        <w:tabs>
          <w:tab w:val="clear" w:pos="567"/>
        </w:tabs>
        <w:spacing w:line="240" w:lineRule="auto"/>
        <w:ind w:right="-2"/>
        <w:rPr>
          <w:szCs w:val="22"/>
        </w:rPr>
      </w:pPr>
      <w:r>
        <w:rPr>
          <w:szCs w:val="22"/>
          <w:u w:val="single"/>
        </w:rPr>
        <w:t>Copii și adolescenți cu uveită cronică non-infecțioasă cu vârsta de la 2 ani</w:t>
      </w:r>
    </w:p>
    <w:p w14:paraId="52715DB2" w14:textId="77777777" w:rsidR="00C04CAD" w:rsidRDefault="00C04CAD">
      <w:pPr>
        <w:numPr>
          <w:ilvl w:val="12"/>
          <w:numId w:val="0"/>
        </w:numPr>
        <w:tabs>
          <w:tab w:val="clear" w:pos="567"/>
        </w:tabs>
        <w:spacing w:line="240" w:lineRule="auto"/>
        <w:ind w:right="-2"/>
        <w:rPr>
          <w:szCs w:val="22"/>
        </w:rPr>
      </w:pPr>
    </w:p>
    <w:p w14:paraId="62246861" w14:textId="77777777" w:rsidR="00C04CAD" w:rsidRDefault="00060E34">
      <w:pPr>
        <w:numPr>
          <w:ilvl w:val="12"/>
          <w:numId w:val="0"/>
        </w:numPr>
        <w:tabs>
          <w:tab w:val="clear" w:pos="567"/>
        </w:tabs>
        <w:spacing w:line="240" w:lineRule="auto"/>
        <w:ind w:right="-2"/>
        <w:rPr>
          <w:szCs w:val="22"/>
        </w:rPr>
      </w:pPr>
      <w:r>
        <w:rPr>
          <w:i/>
          <w:szCs w:val="22"/>
        </w:rPr>
        <w:t xml:space="preserve">Copii și adolescenți cu vârsta de la 2 ani </w:t>
      </w:r>
      <w:r>
        <w:rPr>
          <w:i/>
          <w:szCs w:val="24"/>
        </w:rPr>
        <w:t xml:space="preserve">cu greutatea mai mică de </w:t>
      </w:r>
      <w:r>
        <w:rPr>
          <w:i/>
          <w:szCs w:val="22"/>
        </w:rPr>
        <w:t>30 kg</w:t>
      </w:r>
    </w:p>
    <w:p w14:paraId="29C52E9A" w14:textId="77777777" w:rsidR="00C04CAD" w:rsidRDefault="00C04CAD">
      <w:pPr>
        <w:numPr>
          <w:ilvl w:val="12"/>
          <w:numId w:val="0"/>
        </w:numPr>
        <w:tabs>
          <w:tab w:val="clear" w:pos="567"/>
        </w:tabs>
        <w:spacing w:line="240" w:lineRule="auto"/>
        <w:ind w:right="-2"/>
        <w:rPr>
          <w:szCs w:val="22"/>
        </w:rPr>
      </w:pPr>
    </w:p>
    <w:p w14:paraId="0C9989DD" w14:textId="77777777" w:rsidR="00C04CAD" w:rsidRDefault="00060E34">
      <w:pPr>
        <w:numPr>
          <w:ilvl w:val="12"/>
          <w:numId w:val="0"/>
        </w:numPr>
        <w:tabs>
          <w:tab w:val="clear" w:pos="567"/>
        </w:tabs>
        <w:spacing w:line="240" w:lineRule="auto"/>
        <w:ind w:right="-2"/>
        <w:rPr>
          <w:szCs w:val="22"/>
        </w:rPr>
      </w:pPr>
      <w:r>
        <w:rPr>
          <w:szCs w:val="22"/>
        </w:rPr>
        <w:t xml:space="preserve">Doza </w:t>
      </w:r>
      <w:r>
        <w:rPr>
          <w:szCs w:val="24"/>
        </w:rPr>
        <w:t xml:space="preserve">uzuală </w:t>
      </w:r>
      <w:r>
        <w:rPr>
          <w:szCs w:val="22"/>
        </w:rPr>
        <w:t xml:space="preserve">de AMGEVITA este de 20 mg la două săptămâni </w:t>
      </w:r>
      <w:r>
        <w:rPr>
          <w:szCs w:val="24"/>
        </w:rPr>
        <w:t xml:space="preserve">administrată asociat cu </w:t>
      </w:r>
      <w:r>
        <w:rPr>
          <w:szCs w:val="22"/>
        </w:rPr>
        <w:t>metotrexat.</w:t>
      </w:r>
    </w:p>
    <w:p w14:paraId="794A946F" w14:textId="77777777" w:rsidR="00C04CAD" w:rsidRDefault="00C04CAD">
      <w:pPr>
        <w:numPr>
          <w:ilvl w:val="12"/>
          <w:numId w:val="0"/>
        </w:numPr>
        <w:tabs>
          <w:tab w:val="clear" w:pos="567"/>
        </w:tabs>
        <w:spacing w:line="240" w:lineRule="auto"/>
        <w:ind w:right="-2"/>
        <w:rPr>
          <w:szCs w:val="22"/>
        </w:rPr>
      </w:pPr>
    </w:p>
    <w:p w14:paraId="3D2D6C85" w14:textId="77777777" w:rsidR="00C04CAD" w:rsidRDefault="00060E34">
      <w:pPr>
        <w:numPr>
          <w:ilvl w:val="12"/>
          <w:numId w:val="0"/>
        </w:numPr>
        <w:tabs>
          <w:tab w:val="clear" w:pos="567"/>
        </w:tabs>
        <w:spacing w:line="240" w:lineRule="auto"/>
        <w:ind w:right="-2"/>
        <w:rPr>
          <w:szCs w:val="22"/>
        </w:rPr>
      </w:pPr>
      <w:r>
        <w:rPr>
          <w:szCs w:val="22"/>
        </w:rPr>
        <w:t xml:space="preserve">Medicul </w:t>
      </w:r>
      <w:r>
        <w:rPr>
          <w:szCs w:val="24"/>
        </w:rPr>
        <w:t xml:space="preserve">copilului </w:t>
      </w:r>
      <w:r>
        <w:rPr>
          <w:szCs w:val="22"/>
        </w:rPr>
        <w:t xml:space="preserve">dumneavoastră vă poate prescrie o doză inițială de 40 mg care se poate administra cu o săptămână înainte </w:t>
      </w:r>
      <w:r>
        <w:rPr>
          <w:szCs w:val="24"/>
        </w:rPr>
        <w:t>să începeți doza uzuală</w:t>
      </w:r>
      <w:r>
        <w:rPr>
          <w:szCs w:val="22"/>
        </w:rPr>
        <w:t>.</w:t>
      </w:r>
    </w:p>
    <w:p w14:paraId="12A91072" w14:textId="77777777" w:rsidR="00C04CAD" w:rsidRDefault="00C04CAD">
      <w:pPr>
        <w:numPr>
          <w:ilvl w:val="12"/>
          <w:numId w:val="0"/>
        </w:numPr>
        <w:tabs>
          <w:tab w:val="clear" w:pos="567"/>
        </w:tabs>
        <w:spacing w:line="240" w:lineRule="auto"/>
        <w:ind w:right="-2"/>
        <w:rPr>
          <w:szCs w:val="22"/>
        </w:rPr>
      </w:pPr>
    </w:p>
    <w:p w14:paraId="7AE8AEFE" w14:textId="77777777" w:rsidR="00C04CAD" w:rsidRDefault="00060E34">
      <w:pPr>
        <w:numPr>
          <w:ilvl w:val="12"/>
          <w:numId w:val="0"/>
        </w:numPr>
        <w:tabs>
          <w:tab w:val="clear" w:pos="567"/>
        </w:tabs>
        <w:spacing w:line="240" w:lineRule="auto"/>
        <w:ind w:right="-2"/>
        <w:rPr>
          <w:szCs w:val="22"/>
        </w:rPr>
      </w:pPr>
      <w:r>
        <w:rPr>
          <w:i/>
          <w:szCs w:val="22"/>
        </w:rPr>
        <w:t xml:space="preserve">Copii și adolescenți cu vârsta de la 2 ani </w:t>
      </w:r>
      <w:r>
        <w:rPr>
          <w:i/>
          <w:szCs w:val="24"/>
        </w:rPr>
        <w:t>cu greutatea de</w:t>
      </w:r>
      <w:r>
        <w:rPr>
          <w:i/>
          <w:szCs w:val="22"/>
        </w:rPr>
        <w:t xml:space="preserve"> 30 kg sau mai mult</w:t>
      </w:r>
    </w:p>
    <w:p w14:paraId="4B8E2E59" w14:textId="77777777" w:rsidR="00C04CAD" w:rsidRDefault="00C04CAD">
      <w:pPr>
        <w:numPr>
          <w:ilvl w:val="12"/>
          <w:numId w:val="0"/>
        </w:numPr>
        <w:tabs>
          <w:tab w:val="clear" w:pos="567"/>
        </w:tabs>
        <w:spacing w:line="240" w:lineRule="auto"/>
        <w:ind w:right="-2"/>
        <w:rPr>
          <w:szCs w:val="22"/>
        </w:rPr>
      </w:pPr>
    </w:p>
    <w:p w14:paraId="2894F1B6" w14:textId="77777777" w:rsidR="00C04CAD" w:rsidRDefault="00060E34">
      <w:pPr>
        <w:numPr>
          <w:ilvl w:val="12"/>
          <w:numId w:val="0"/>
        </w:numPr>
        <w:tabs>
          <w:tab w:val="clear" w:pos="567"/>
        </w:tabs>
        <w:spacing w:line="240" w:lineRule="auto"/>
        <w:ind w:right="-2"/>
        <w:rPr>
          <w:szCs w:val="22"/>
        </w:rPr>
      </w:pPr>
      <w:r>
        <w:rPr>
          <w:szCs w:val="22"/>
        </w:rPr>
        <w:t xml:space="preserve">Doza </w:t>
      </w:r>
      <w:r>
        <w:rPr>
          <w:szCs w:val="24"/>
        </w:rPr>
        <w:t xml:space="preserve">uzuală </w:t>
      </w:r>
      <w:r>
        <w:rPr>
          <w:szCs w:val="22"/>
        </w:rPr>
        <w:t xml:space="preserve">de AMGEVITA este de 40 mg </w:t>
      </w:r>
      <w:r>
        <w:rPr>
          <w:szCs w:val="24"/>
        </w:rPr>
        <w:t>la două săptămâni admnistrată asociat cu metotrexat</w:t>
      </w:r>
      <w:r>
        <w:rPr>
          <w:szCs w:val="22"/>
        </w:rPr>
        <w:t>.</w:t>
      </w:r>
    </w:p>
    <w:p w14:paraId="7509A3BD" w14:textId="77777777" w:rsidR="00C04CAD" w:rsidRDefault="00C04CAD">
      <w:pPr>
        <w:numPr>
          <w:ilvl w:val="12"/>
          <w:numId w:val="0"/>
        </w:numPr>
        <w:tabs>
          <w:tab w:val="clear" w:pos="567"/>
        </w:tabs>
        <w:spacing w:line="240" w:lineRule="auto"/>
        <w:ind w:right="-2"/>
        <w:rPr>
          <w:szCs w:val="22"/>
        </w:rPr>
      </w:pPr>
    </w:p>
    <w:p w14:paraId="0DDB7496" w14:textId="77777777" w:rsidR="00C04CAD" w:rsidRDefault="00060E34">
      <w:pPr>
        <w:numPr>
          <w:ilvl w:val="12"/>
          <w:numId w:val="0"/>
        </w:numPr>
        <w:tabs>
          <w:tab w:val="clear" w:pos="567"/>
        </w:tabs>
        <w:spacing w:line="240" w:lineRule="auto"/>
        <w:ind w:right="-2"/>
        <w:rPr>
          <w:szCs w:val="22"/>
        </w:rPr>
      </w:pPr>
      <w:r>
        <w:rPr>
          <w:szCs w:val="22"/>
        </w:rPr>
        <w:t xml:space="preserve">Medicul dumneavoastră vă poate prescrie o doză inițială de 80 mg care se poate administra cu o săptămână înainte </w:t>
      </w:r>
      <w:r>
        <w:rPr>
          <w:szCs w:val="24"/>
        </w:rPr>
        <w:t>să începeți doza uzuală</w:t>
      </w:r>
      <w:r>
        <w:rPr>
          <w:szCs w:val="22"/>
        </w:rPr>
        <w:t>.</w:t>
      </w:r>
    </w:p>
    <w:p w14:paraId="371459C3" w14:textId="77777777" w:rsidR="00C04CAD" w:rsidRDefault="00C04CAD">
      <w:pPr>
        <w:numPr>
          <w:ilvl w:val="12"/>
          <w:numId w:val="0"/>
        </w:numPr>
        <w:tabs>
          <w:tab w:val="clear" w:pos="567"/>
        </w:tabs>
        <w:spacing w:line="240" w:lineRule="auto"/>
        <w:ind w:right="-2"/>
        <w:rPr>
          <w:szCs w:val="22"/>
        </w:rPr>
      </w:pPr>
    </w:p>
    <w:p w14:paraId="22C45B51"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Mod și cale de administrare</w:t>
      </w:r>
    </w:p>
    <w:p w14:paraId="61F00538" w14:textId="77777777" w:rsidR="00C04CAD" w:rsidRDefault="00C04CAD">
      <w:pPr>
        <w:tabs>
          <w:tab w:val="clear" w:pos="567"/>
        </w:tabs>
        <w:kinsoku w:val="0"/>
        <w:overflowPunct w:val="0"/>
        <w:autoSpaceDE w:val="0"/>
        <w:autoSpaceDN w:val="0"/>
        <w:adjustRightInd w:val="0"/>
        <w:spacing w:line="240" w:lineRule="auto"/>
        <w:rPr>
          <w:szCs w:val="22"/>
        </w:rPr>
      </w:pPr>
    </w:p>
    <w:p w14:paraId="50052A88" w14:textId="77777777" w:rsidR="00C04CAD" w:rsidRDefault="00060E34">
      <w:pPr>
        <w:autoSpaceDE w:val="0"/>
        <w:autoSpaceDN w:val="0"/>
        <w:adjustRightInd w:val="0"/>
        <w:spacing w:line="240" w:lineRule="auto"/>
        <w:rPr>
          <w:szCs w:val="22"/>
        </w:rPr>
      </w:pPr>
      <w:r>
        <w:rPr>
          <w:szCs w:val="22"/>
          <w:lang w:eastAsia="en-US" w:bidi="ar-SA"/>
        </w:rPr>
        <w:t>AMGEVITA</w:t>
      </w:r>
      <w:r>
        <w:rPr>
          <w:szCs w:val="22"/>
        </w:rPr>
        <w:t xml:space="preserve"> se administrează prin injectare sub piele (injectare subcutanată).</w:t>
      </w:r>
    </w:p>
    <w:p w14:paraId="713D808A" w14:textId="77777777" w:rsidR="00C04CAD" w:rsidRDefault="00C04CAD">
      <w:pPr>
        <w:autoSpaceDE w:val="0"/>
        <w:autoSpaceDN w:val="0"/>
        <w:adjustRightInd w:val="0"/>
        <w:spacing w:line="240" w:lineRule="auto"/>
        <w:rPr>
          <w:szCs w:val="22"/>
        </w:rPr>
      </w:pPr>
    </w:p>
    <w:p w14:paraId="5F7925DE" w14:textId="77777777" w:rsidR="00C04CAD" w:rsidRDefault="00060E34">
      <w:pPr>
        <w:autoSpaceDE w:val="0"/>
        <w:autoSpaceDN w:val="0"/>
        <w:adjustRightInd w:val="0"/>
        <w:spacing w:line="240" w:lineRule="auto"/>
        <w:rPr>
          <w:b/>
          <w:szCs w:val="22"/>
        </w:rPr>
      </w:pPr>
      <w:r>
        <w:rPr>
          <w:szCs w:val="22"/>
        </w:rPr>
        <w:t>Instrucțiuni detaliate privind modul de injectare al AMGEVITA sunt furnizate la punctul „Instrucțiuni de utilizare”.</w:t>
      </w:r>
    </w:p>
    <w:p w14:paraId="45AE99AD" w14:textId="77777777" w:rsidR="00C04CAD" w:rsidRDefault="00C04CAD">
      <w:pPr>
        <w:autoSpaceDE w:val="0"/>
        <w:autoSpaceDN w:val="0"/>
        <w:adjustRightInd w:val="0"/>
        <w:spacing w:line="240" w:lineRule="auto"/>
        <w:rPr>
          <w:b/>
          <w:szCs w:val="22"/>
        </w:rPr>
      </w:pPr>
    </w:p>
    <w:p w14:paraId="564A6E7E"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zCs w:val="22"/>
        </w:rPr>
        <w:t xml:space="preserve">Dacă utilizaţi mai mult decât trebuie din </w:t>
      </w:r>
      <w:r>
        <w:rPr>
          <w:b/>
          <w:bCs/>
          <w:szCs w:val="22"/>
          <w:lang w:eastAsia="en-US" w:bidi="ar-SA"/>
        </w:rPr>
        <w:t>AMGEVITA</w:t>
      </w:r>
    </w:p>
    <w:p w14:paraId="007DC027" w14:textId="77777777" w:rsidR="00C04CAD" w:rsidRDefault="00C04CAD">
      <w:pPr>
        <w:tabs>
          <w:tab w:val="clear" w:pos="567"/>
        </w:tabs>
        <w:kinsoku w:val="0"/>
        <w:overflowPunct w:val="0"/>
        <w:autoSpaceDE w:val="0"/>
        <w:autoSpaceDN w:val="0"/>
        <w:adjustRightInd w:val="0"/>
        <w:spacing w:line="240" w:lineRule="auto"/>
        <w:rPr>
          <w:szCs w:val="22"/>
        </w:rPr>
      </w:pPr>
    </w:p>
    <w:p w14:paraId="73414C9D"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Dacă vă administraţi accidental </w:t>
      </w:r>
      <w:r>
        <w:rPr>
          <w:szCs w:val="22"/>
          <w:lang w:eastAsia="en-US" w:bidi="ar-SA"/>
        </w:rPr>
        <w:t>AMGEVITA</w:t>
      </w:r>
      <w:r>
        <w:rPr>
          <w:szCs w:val="22"/>
        </w:rPr>
        <w:t xml:space="preserve"> mai des decât v-a indicat medicul dumneavoastră sau farmacistul, anunţaţi medicul dumneavoastră sau farmacistul şi să-i spuneţi acestuia/acesteia că aţi utilizat mai mult. Purtaţi mereu la dumneavoastră </w:t>
      </w:r>
      <w:r>
        <w:rPr>
          <w:szCs w:val="22"/>
          <w:lang w:eastAsia="en-US" w:bidi="ar-SA"/>
        </w:rPr>
        <w:t>cutia exterioară a acestui medicament</w:t>
      </w:r>
      <w:r>
        <w:rPr>
          <w:szCs w:val="22"/>
        </w:rPr>
        <w:t xml:space="preserve">, chiar dacă este </w:t>
      </w:r>
      <w:r>
        <w:rPr>
          <w:szCs w:val="22"/>
          <w:lang w:eastAsia="en-US" w:bidi="ar-SA"/>
        </w:rPr>
        <w:t>goală</w:t>
      </w:r>
      <w:r>
        <w:rPr>
          <w:szCs w:val="22"/>
        </w:rPr>
        <w:t>.</w:t>
      </w:r>
    </w:p>
    <w:p w14:paraId="2B2528EF" w14:textId="77777777" w:rsidR="00C04CAD" w:rsidRDefault="00C04CAD">
      <w:pPr>
        <w:tabs>
          <w:tab w:val="clear" w:pos="567"/>
        </w:tabs>
        <w:kinsoku w:val="0"/>
        <w:overflowPunct w:val="0"/>
        <w:autoSpaceDE w:val="0"/>
        <w:autoSpaceDN w:val="0"/>
        <w:adjustRightInd w:val="0"/>
        <w:spacing w:line="240" w:lineRule="auto"/>
        <w:rPr>
          <w:szCs w:val="22"/>
        </w:rPr>
      </w:pPr>
    </w:p>
    <w:p w14:paraId="4BA02E9E" w14:textId="77777777" w:rsidR="00C04CAD" w:rsidRDefault="00060E34">
      <w:pPr>
        <w:tabs>
          <w:tab w:val="clear" w:pos="567"/>
        </w:tabs>
        <w:kinsoku w:val="0"/>
        <w:overflowPunct w:val="0"/>
        <w:autoSpaceDE w:val="0"/>
        <w:autoSpaceDN w:val="0"/>
        <w:adjustRightInd w:val="0"/>
        <w:spacing w:line="240" w:lineRule="auto"/>
        <w:outlineLvl w:val="0"/>
        <w:rPr>
          <w:b/>
          <w:bCs/>
          <w:szCs w:val="22"/>
        </w:rPr>
      </w:pPr>
      <w:r>
        <w:rPr>
          <w:b/>
          <w:szCs w:val="22"/>
        </w:rPr>
        <w:t xml:space="preserve">Dacă uitaţi să utilizaţi </w:t>
      </w:r>
      <w:r>
        <w:rPr>
          <w:b/>
          <w:bCs/>
          <w:szCs w:val="22"/>
          <w:lang w:eastAsia="en-US" w:bidi="ar-SA"/>
        </w:rPr>
        <w:t>AMGEVITA</w:t>
      </w:r>
    </w:p>
    <w:p w14:paraId="5B293C69" w14:textId="77777777" w:rsidR="00C04CAD" w:rsidRDefault="00C04CAD">
      <w:pPr>
        <w:tabs>
          <w:tab w:val="clear" w:pos="567"/>
        </w:tabs>
        <w:kinsoku w:val="0"/>
        <w:overflowPunct w:val="0"/>
        <w:autoSpaceDE w:val="0"/>
        <w:autoSpaceDN w:val="0"/>
        <w:adjustRightInd w:val="0"/>
        <w:spacing w:line="240" w:lineRule="auto"/>
        <w:rPr>
          <w:szCs w:val="22"/>
        </w:rPr>
      </w:pPr>
    </w:p>
    <w:p w14:paraId="57FF804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Dacă uitaţi să vă faceţi o injecţie, trebuie să </w:t>
      </w:r>
      <w:r>
        <w:rPr>
          <w:szCs w:val="22"/>
          <w:lang w:eastAsia="en-US" w:bidi="ar-SA"/>
        </w:rPr>
        <w:t>vă</w:t>
      </w:r>
      <w:r>
        <w:rPr>
          <w:szCs w:val="22"/>
        </w:rPr>
        <w:t xml:space="preserve"> administraţi următoarea doză de AMGEVITA imediat ce vă aduceţi aminte. Apoi administraţi-vă următoarea doză în ziua programată iniţial, ca şi cum nu aţi fi uitat să vă administraţi o doză.</w:t>
      </w:r>
    </w:p>
    <w:p w14:paraId="7FE81DF8" w14:textId="77777777" w:rsidR="00C04CAD" w:rsidRDefault="00C04CAD">
      <w:pPr>
        <w:tabs>
          <w:tab w:val="clear" w:pos="567"/>
        </w:tabs>
        <w:kinsoku w:val="0"/>
        <w:overflowPunct w:val="0"/>
        <w:autoSpaceDE w:val="0"/>
        <w:autoSpaceDN w:val="0"/>
        <w:adjustRightInd w:val="0"/>
        <w:spacing w:line="240" w:lineRule="auto"/>
        <w:rPr>
          <w:szCs w:val="22"/>
        </w:rPr>
      </w:pPr>
    </w:p>
    <w:p w14:paraId="06D2A391" w14:textId="77777777" w:rsidR="00C04CAD" w:rsidRDefault="00060E34">
      <w:pPr>
        <w:keepNext/>
        <w:keepLines/>
        <w:tabs>
          <w:tab w:val="clear" w:pos="567"/>
        </w:tabs>
        <w:kinsoku w:val="0"/>
        <w:overflowPunct w:val="0"/>
        <w:autoSpaceDE w:val="0"/>
        <w:autoSpaceDN w:val="0"/>
        <w:adjustRightInd w:val="0"/>
        <w:spacing w:line="240" w:lineRule="auto"/>
        <w:outlineLvl w:val="0"/>
        <w:rPr>
          <w:b/>
          <w:bCs/>
          <w:szCs w:val="22"/>
        </w:rPr>
      </w:pPr>
      <w:r>
        <w:rPr>
          <w:b/>
          <w:szCs w:val="22"/>
        </w:rPr>
        <w:t xml:space="preserve">Dacă opriţi utilizarea </w:t>
      </w:r>
      <w:r>
        <w:rPr>
          <w:b/>
          <w:bCs/>
          <w:szCs w:val="22"/>
          <w:lang w:eastAsia="en-US" w:bidi="ar-SA"/>
        </w:rPr>
        <w:t>AMGEVITA</w:t>
      </w:r>
    </w:p>
    <w:p w14:paraId="59D99783" w14:textId="77777777" w:rsidR="00C04CAD" w:rsidRDefault="00C04CAD">
      <w:pPr>
        <w:keepNext/>
        <w:keepLines/>
        <w:tabs>
          <w:tab w:val="clear" w:pos="567"/>
        </w:tabs>
        <w:kinsoku w:val="0"/>
        <w:overflowPunct w:val="0"/>
        <w:autoSpaceDE w:val="0"/>
        <w:autoSpaceDN w:val="0"/>
        <w:adjustRightInd w:val="0"/>
        <w:spacing w:line="240" w:lineRule="auto"/>
        <w:rPr>
          <w:szCs w:val="22"/>
        </w:rPr>
      </w:pPr>
    </w:p>
    <w:p w14:paraId="0B96726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Decizia de a opri utilizarea </w:t>
      </w:r>
      <w:r>
        <w:rPr>
          <w:szCs w:val="22"/>
          <w:lang w:eastAsia="en-US" w:bidi="ar-SA"/>
        </w:rPr>
        <w:t>AMGEVITA</w:t>
      </w:r>
      <w:r>
        <w:rPr>
          <w:szCs w:val="22"/>
        </w:rPr>
        <w:t xml:space="preserve"> trebuie să </w:t>
      </w:r>
      <w:r>
        <w:rPr>
          <w:szCs w:val="22"/>
          <w:lang w:eastAsia="en-US" w:bidi="ar-SA"/>
        </w:rPr>
        <w:t>o discutaţi</w:t>
      </w:r>
      <w:r>
        <w:rPr>
          <w:szCs w:val="22"/>
        </w:rPr>
        <w:t xml:space="preserve"> cu medicul dumneavoastră. Simptomele dumneavoastră pot să revină după întrerupere.</w:t>
      </w:r>
    </w:p>
    <w:p w14:paraId="25AEBB65" w14:textId="77777777" w:rsidR="00C04CAD" w:rsidRDefault="00C04CAD">
      <w:pPr>
        <w:tabs>
          <w:tab w:val="clear" w:pos="567"/>
        </w:tabs>
        <w:kinsoku w:val="0"/>
        <w:overflowPunct w:val="0"/>
        <w:autoSpaceDE w:val="0"/>
        <w:autoSpaceDN w:val="0"/>
        <w:adjustRightInd w:val="0"/>
        <w:spacing w:line="240" w:lineRule="auto"/>
        <w:rPr>
          <w:szCs w:val="22"/>
        </w:rPr>
      </w:pPr>
    </w:p>
    <w:p w14:paraId="3B57E875" w14:textId="77777777" w:rsidR="00C04CAD" w:rsidRDefault="00060E34">
      <w:pPr>
        <w:autoSpaceDE w:val="0"/>
        <w:autoSpaceDN w:val="0"/>
        <w:adjustRightInd w:val="0"/>
        <w:spacing w:line="240" w:lineRule="auto"/>
        <w:rPr>
          <w:b/>
          <w:szCs w:val="22"/>
        </w:rPr>
      </w:pPr>
      <w:r>
        <w:rPr>
          <w:szCs w:val="22"/>
        </w:rPr>
        <w:t>Dacă aveţi alte întrebări suplimentare privind utilizarea acestui medicament, întrebaţi medicul dumneavoastră sau farmacistul.</w:t>
      </w:r>
    </w:p>
    <w:p w14:paraId="367DB762" w14:textId="77777777" w:rsidR="00C04CAD" w:rsidRDefault="00C04CAD">
      <w:pPr>
        <w:autoSpaceDE w:val="0"/>
        <w:autoSpaceDN w:val="0"/>
        <w:adjustRightInd w:val="0"/>
        <w:spacing w:line="240" w:lineRule="auto"/>
        <w:rPr>
          <w:bCs/>
        </w:rPr>
      </w:pPr>
    </w:p>
    <w:p w14:paraId="0FF0ED24" w14:textId="77777777" w:rsidR="00C04CAD" w:rsidRDefault="00C04CAD">
      <w:pPr>
        <w:numPr>
          <w:ilvl w:val="12"/>
          <w:numId w:val="0"/>
        </w:numPr>
        <w:tabs>
          <w:tab w:val="clear" w:pos="567"/>
        </w:tabs>
        <w:spacing w:line="240" w:lineRule="auto"/>
      </w:pPr>
    </w:p>
    <w:p w14:paraId="28C63CF2" w14:textId="77777777" w:rsidR="00C04CAD" w:rsidRDefault="00060E34">
      <w:pPr>
        <w:keepNext/>
        <w:numPr>
          <w:ilvl w:val="0"/>
          <w:numId w:val="100"/>
        </w:numPr>
        <w:spacing w:line="240" w:lineRule="auto"/>
        <w:ind w:left="567" w:hanging="567"/>
      </w:pPr>
      <w:r>
        <w:rPr>
          <w:b/>
        </w:rPr>
        <w:t>Reacții adverse posibile</w:t>
      </w:r>
    </w:p>
    <w:p w14:paraId="581CD299" w14:textId="77777777" w:rsidR="00C04CAD" w:rsidRDefault="00C04CAD">
      <w:pPr>
        <w:keepNext/>
        <w:numPr>
          <w:ilvl w:val="12"/>
          <w:numId w:val="0"/>
        </w:numPr>
        <w:tabs>
          <w:tab w:val="clear" w:pos="567"/>
        </w:tabs>
        <w:spacing w:line="240" w:lineRule="auto"/>
      </w:pPr>
    </w:p>
    <w:p w14:paraId="64C82ABF" w14:textId="77777777" w:rsidR="00C04CAD" w:rsidRDefault="00060E34">
      <w:pPr>
        <w:numPr>
          <w:ilvl w:val="12"/>
          <w:numId w:val="0"/>
        </w:numPr>
        <w:tabs>
          <w:tab w:val="clear" w:pos="567"/>
        </w:tabs>
        <w:spacing w:line="240" w:lineRule="auto"/>
        <w:ind w:right="-29"/>
      </w:pPr>
      <w:r>
        <w:t>Ca toate medicamentele, acest medicament poate provoca reacţii adverse, cu toate că nu apar la toate persoanele. Majoritatea reacţiilor adverse sunt uşoare sau moderate. Totuşi, unele pot fi grave şi pot necesita tratament. Reacţiile adverse pot apărea până la cel puţin 4 luni după ultima injecţie de AMGEVITA.</w:t>
      </w:r>
    </w:p>
    <w:p w14:paraId="6E1CC231" w14:textId="77777777" w:rsidR="00C04CAD" w:rsidRDefault="00C04CAD">
      <w:pPr>
        <w:numPr>
          <w:ilvl w:val="12"/>
          <w:numId w:val="0"/>
        </w:numPr>
        <w:tabs>
          <w:tab w:val="clear" w:pos="567"/>
        </w:tabs>
        <w:spacing w:line="240" w:lineRule="auto"/>
        <w:ind w:right="-29"/>
      </w:pPr>
    </w:p>
    <w:p w14:paraId="6052C5B7" w14:textId="77777777" w:rsidR="00C04CAD" w:rsidRDefault="00060E34">
      <w:pPr>
        <w:tabs>
          <w:tab w:val="clear" w:pos="567"/>
        </w:tabs>
        <w:kinsoku w:val="0"/>
        <w:overflowPunct w:val="0"/>
        <w:autoSpaceDE w:val="0"/>
        <w:autoSpaceDN w:val="0"/>
        <w:adjustRightInd w:val="0"/>
        <w:spacing w:line="240" w:lineRule="auto"/>
      </w:pPr>
      <w:r>
        <w:t>Adresaţi-vă imediat medicului dumneavoastră dacă observaţi oricare dintre următoarele semne de reacții alergice sau insuficiență cardiacă:</w:t>
      </w:r>
    </w:p>
    <w:p w14:paraId="6277D751"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Erupţie gravă, urticarie sau alte semne de reacţie alergică;</w:t>
      </w:r>
    </w:p>
    <w:p w14:paraId="2A8C3676"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Umflarea feţei, a mâinilor, a picioarelor;</w:t>
      </w:r>
    </w:p>
    <w:p w14:paraId="60122641"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Dificultăţi la respiraţie, la înghiţire;</w:t>
      </w:r>
    </w:p>
    <w:p w14:paraId="33528034" w14:textId="77777777" w:rsidR="00C04CAD" w:rsidRDefault="00060E34">
      <w:pPr>
        <w:numPr>
          <w:ilvl w:val="0"/>
          <w:numId w:val="55"/>
        </w:numPr>
        <w:tabs>
          <w:tab w:val="clear" w:pos="567"/>
        </w:tabs>
        <w:kinsoku w:val="0"/>
        <w:overflowPunct w:val="0"/>
        <w:autoSpaceDE w:val="0"/>
        <w:autoSpaceDN w:val="0"/>
        <w:adjustRightInd w:val="0"/>
        <w:spacing w:line="240" w:lineRule="auto"/>
        <w:ind w:left="567" w:hanging="567"/>
      </w:pPr>
      <w:r>
        <w:t>Dificultate la respiraţie la efort sau în poziţie orizontală sau umflarea picioarelor.</w:t>
      </w:r>
    </w:p>
    <w:p w14:paraId="7F0D16A4" w14:textId="77777777" w:rsidR="00C04CAD" w:rsidRDefault="00C04CAD">
      <w:pPr>
        <w:numPr>
          <w:ilvl w:val="12"/>
          <w:numId w:val="0"/>
        </w:numPr>
        <w:tabs>
          <w:tab w:val="clear" w:pos="567"/>
        </w:tabs>
        <w:spacing w:line="240" w:lineRule="auto"/>
        <w:ind w:right="-29"/>
      </w:pPr>
    </w:p>
    <w:p w14:paraId="342A83EB" w14:textId="77777777" w:rsidR="00C04CAD" w:rsidRDefault="00060E34">
      <w:pPr>
        <w:tabs>
          <w:tab w:val="clear" w:pos="567"/>
        </w:tabs>
        <w:kinsoku w:val="0"/>
        <w:overflowPunct w:val="0"/>
        <w:autoSpaceDE w:val="0"/>
        <w:autoSpaceDN w:val="0"/>
        <w:adjustRightInd w:val="0"/>
        <w:spacing w:line="240" w:lineRule="auto"/>
      </w:pPr>
      <w:r>
        <w:t>Adresaţi-vă cât mai repede medicului dumneavoastră dacă observaţi oricare dintre următoarele manifestări:</w:t>
      </w:r>
    </w:p>
    <w:p w14:paraId="5E13AF67"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t>Semne de infecţie cum sunt febră, stare de rău, plăgi, probleme dentare, senzaţie de arsură la urinare;</w:t>
      </w:r>
    </w:p>
    <w:p w14:paraId="343CE4E0"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t>Senzaţie de slăbiciune sau de oboseală;</w:t>
      </w:r>
    </w:p>
    <w:p w14:paraId="1F2532C7"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pPr>
      <w:r>
        <w:t>Tuse;</w:t>
      </w:r>
    </w:p>
    <w:p w14:paraId="7119C81E"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Furnicături;</w:t>
      </w:r>
    </w:p>
    <w:p w14:paraId="051F2036"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Amorţeală;</w:t>
      </w:r>
    </w:p>
    <w:p w14:paraId="16236E18"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Vedere dublă;</w:t>
      </w:r>
    </w:p>
    <w:p w14:paraId="68434437"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Slăbiciune a mâinilor sau a picioarelor;</w:t>
      </w:r>
    </w:p>
    <w:p w14:paraId="779CE657"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Semne ale cancerului de piele, cum sunt o inflamaţie sau o rană deschisă care nu se vindecă;</w:t>
      </w:r>
    </w:p>
    <w:p w14:paraId="593D9B2E" w14:textId="77777777" w:rsidR="00C04CAD" w:rsidRDefault="00060E34">
      <w:pPr>
        <w:pStyle w:val="ListParagraph"/>
        <w:numPr>
          <w:ilvl w:val="0"/>
          <w:numId w:val="56"/>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Semne şi simptome care sugerează tulburări sanguine cum sunt febră persistentă, vânătăi, sângerări, paloare.</w:t>
      </w:r>
    </w:p>
    <w:p w14:paraId="2B770C0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1162E7C"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Simptomele descrise mai sus pot fi semne ale reacţiilor adverse enumerate mai jos, care au fost observate la administrarea adalimumab</w:t>
      </w:r>
    </w:p>
    <w:p w14:paraId="1B0203C5" w14:textId="77777777" w:rsidR="00C04CAD" w:rsidRDefault="00C04CAD">
      <w:pPr>
        <w:numPr>
          <w:ilvl w:val="12"/>
          <w:numId w:val="0"/>
        </w:numPr>
        <w:tabs>
          <w:tab w:val="clear" w:pos="567"/>
        </w:tabs>
        <w:spacing w:line="240" w:lineRule="auto"/>
        <w:ind w:right="-29"/>
        <w:rPr>
          <w:szCs w:val="22"/>
        </w:rPr>
      </w:pPr>
    </w:p>
    <w:p w14:paraId="3757634D"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Foarte</w:t>
      </w:r>
      <w:r>
        <w:t xml:space="preserve"> frecvente</w:t>
      </w:r>
      <w:r>
        <w:rPr>
          <w:b/>
        </w:rPr>
        <w:t xml:space="preserve"> </w:t>
      </w:r>
      <w:r>
        <w:t>(pot să apară la mai mult de 1 persoană din 10)</w:t>
      </w:r>
    </w:p>
    <w:p w14:paraId="2E89466F"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 xml:space="preserve">reacţii la locul administrării (inclusiv durere, </w:t>
      </w:r>
      <w:r>
        <w:rPr>
          <w:szCs w:val="22"/>
          <w:lang w:eastAsia="en-US" w:bidi="ar-SA"/>
        </w:rPr>
        <w:t>umflare</w:t>
      </w:r>
      <w:r>
        <w:t>, roşeaţă sau mâncărimi</w:t>
      </w:r>
      <w:r>
        <w:rPr>
          <w:szCs w:val="22"/>
          <w:lang w:eastAsia="en-US" w:bidi="ar-SA"/>
        </w:rPr>
        <w:t>);</w:t>
      </w:r>
    </w:p>
    <w:p w14:paraId="635FD269"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infecţii ale căilor respiratorii (inclusiv răceală, secreţii nazale, sinuzită, pneumonie);</w:t>
      </w:r>
    </w:p>
    <w:p w14:paraId="6E17E7EC"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de cap;</w:t>
      </w:r>
    </w:p>
    <w:p w14:paraId="26294A83"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abdominale;</w:t>
      </w:r>
    </w:p>
    <w:p w14:paraId="191C4E25"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greaţă şi vărsături;</w:t>
      </w:r>
    </w:p>
    <w:p w14:paraId="6DEEB103"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erupţie cutanată;</w:t>
      </w:r>
    </w:p>
    <w:p w14:paraId="7909BC8B" w14:textId="77777777" w:rsidR="00C04CAD" w:rsidRDefault="00060E34">
      <w:pPr>
        <w:pStyle w:val="ListParagraph"/>
        <w:numPr>
          <w:ilvl w:val="0"/>
          <w:numId w:val="57"/>
        </w:numPr>
        <w:tabs>
          <w:tab w:val="clear" w:pos="567"/>
        </w:tabs>
        <w:kinsoku w:val="0"/>
        <w:overflowPunct w:val="0"/>
        <w:autoSpaceDE w:val="0"/>
        <w:autoSpaceDN w:val="0"/>
        <w:adjustRightInd w:val="0"/>
        <w:spacing w:line="240" w:lineRule="auto"/>
        <w:ind w:left="567" w:hanging="567"/>
      </w:pPr>
      <w:r>
        <w:t>dureri musculare şi osoase.</w:t>
      </w:r>
    </w:p>
    <w:p w14:paraId="05931577" w14:textId="77777777" w:rsidR="00C04CAD" w:rsidRDefault="00C04CAD">
      <w:pPr>
        <w:tabs>
          <w:tab w:val="clear" w:pos="567"/>
        </w:tabs>
        <w:kinsoku w:val="0"/>
        <w:overflowPunct w:val="0"/>
        <w:autoSpaceDE w:val="0"/>
        <w:autoSpaceDN w:val="0"/>
        <w:adjustRightInd w:val="0"/>
        <w:spacing w:line="240" w:lineRule="auto"/>
      </w:pPr>
    </w:p>
    <w:p w14:paraId="76AB182C"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Frecvente</w:t>
      </w:r>
      <w:r>
        <w:rPr>
          <w:b/>
        </w:rPr>
        <w:t xml:space="preserve"> </w:t>
      </w:r>
      <w:r>
        <w:t>(pot să apară până la 1 persoană din 10)</w:t>
      </w:r>
    </w:p>
    <w:p w14:paraId="1CCB34B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 xml:space="preserve">infecţii </w:t>
      </w:r>
      <w:r>
        <w:rPr>
          <w:szCs w:val="22"/>
          <w:lang w:eastAsia="en-US" w:bidi="ar-SA"/>
        </w:rPr>
        <w:t>grave</w:t>
      </w:r>
      <w:r>
        <w:t xml:space="preserve"> (inclusiv septicemie şi gripă);</w:t>
      </w:r>
    </w:p>
    <w:p w14:paraId="3AB1229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infecții intestinale (inclusiv gastroenterită);</w:t>
      </w:r>
    </w:p>
    <w:p w14:paraId="388824B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cutanate (inclusiv celulită şi herpes zoster);</w:t>
      </w:r>
    </w:p>
    <w:p w14:paraId="59F4521F"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urechii;</w:t>
      </w:r>
    </w:p>
    <w:p w14:paraId="0CFF557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gurii (inclusiv infecţii dentare şi abces rece);</w:t>
      </w:r>
    </w:p>
    <w:p w14:paraId="3A7E86C7"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tractului genital;</w:t>
      </w:r>
    </w:p>
    <w:p w14:paraId="2305644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tractului urinar;</w:t>
      </w:r>
    </w:p>
    <w:p w14:paraId="20E3AA9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micotice;</w:t>
      </w:r>
    </w:p>
    <w:p w14:paraId="591342CF"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infecţii ale articulaţiilor;</w:t>
      </w:r>
    </w:p>
    <w:p w14:paraId="52F6D9A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tumori benigne;</w:t>
      </w:r>
    </w:p>
    <w:p w14:paraId="6308254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cancer cutanat;</w:t>
      </w:r>
    </w:p>
    <w:p w14:paraId="4A8AA6DA"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reacţii alergice (inclusiv alergii sezoniere);</w:t>
      </w:r>
    </w:p>
    <w:p w14:paraId="442FCA6B"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deshidratare;</w:t>
      </w:r>
    </w:p>
    <w:p w14:paraId="787540D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modificarea dispoziţiei (inclusiv depresie);</w:t>
      </w:r>
    </w:p>
    <w:p w14:paraId="4544528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anxietate;</w:t>
      </w:r>
    </w:p>
    <w:p w14:paraId="691E5B9B"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tulburări ale somnului;</w:t>
      </w:r>
    </w:p>
    <w:p w14:paraId="4CAD385A"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tulburări senzoriale cum sunt furnicături, înţepături sau amorţeli;</w:t>
      </w:r>
    </w:p>
    <w:p w14:paraId="2C57B5E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migrenă;</w:t>
      </w:r>
    </w:p>
    <w:p w14:paraId="3BE942C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pPr>
      <w:r>
        <w:t xml:space="preserve">compresie a rădăcinii nervoase (inclusiv dureri </w:t>
      </w:r>
      <w:r>
        <w:rPr>
          <w:szCs w:val="22"/>
          <w:lang w:eastAsia="en-US" w:bidi="ar-SA"/>
        </w:rPr>
        <w:t>joase de spate</w:t>
      </w:r>
      <w:r>
        <w:t xml:space="preserve"> şi dureri de picioare);</w:t>
      </w:r>
    </w:p>
    <w:p w14:paraId="7EB344B9"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de vedere;</w:t>
      </w:r>
    </w:p>
    <w:p w14:paraId="3E606026"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inflamaţia ochilor;</w:t>
      </w:r>
    </w:p>
    <w:p w14:paraId="12555DD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pleoapelor şi umflarea ochilor;</w:t>
      </w:r>
    </w:p>
    <w:p w14:paraId="6FFE826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vertij (senzație de amețeală sau că se învârte casa);</w:t>
      </w:r>
    </w:p>
    <w:p w14:paraId="11DDC68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senzaţie că inima bate repede;</w:t>
      </w:r>
    </w:p>
    <w:p w14:paraId="04169898"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tensiune arterială mare;</w:t>
      </w:r>
    </w:p>
    <w:p w14:paraId="71E8A76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roşeaţă;</w:t>
      </w:r>
    </w:p>
    <w:p w14:paraId="056A1BDE"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hematom;</w:t>
      </w:r>
    </w:p>
    <w:p w14:paraId="52BBCF37"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tuse;</w:t>
      </w:r>
    </w:p>
    <w:p w14:paraId="0A095A5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astm bronșic;</w:t>
      </w:r>
    </w:p>
    <w:p w14:paraId="23DB3131"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scurtarea respiraţiei;</w:t>
      </w:r>
    </w:p>
    <w:p w14:paraId="2AFAF52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sângerări gastro-intestinale;</w:t>
      </w:r>
    </w:p>
    <w:p w14:paraId="789A9BA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dispepsie (indigestie, balonare, arsuri);</w:t>
      </w:r>
    </w:p>
    <w:p w14:paraId="5E530786"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boală de reflux a acidului gastric;</w:t>
      </w:r>
    </w:p>
    <w:p w14:paraId="32548B34"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sindrom sicca (inclusiv ochi uscaţi şi gură uscată);</w:t>
      </w:r>
    </w:p>
    <w:p w14:paraId="706D1677"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mâncărime;</w:t>
      </w:r>
    </w:p>
    <w:p w14:paraId="2403C58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erupţie însoţită de mâncărime;</w:t>
      </w:r>
    </w:p>
    <w:p w14:paraId="3FBC732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vânătăi;</w:t>
      </w:r>
    </w:p>
    <w:p w14:paraId="3B99723C"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pielii (ca de exemplu eczemă);</w:t>
      </w:r>
    </w:p>
    <w:p w14:paraId="08C038F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ruperea unghiilor degetelor de la mâini şi picioare;</w:t>
      </w:r>
    </w:p>
    <w:p w14:paraId="51556AE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transpiraţii abundente;</w:t>
      </w:r>
    </w:p>
    <w:p w14:paraId="54F27189"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căderea părului;</w:t>
      </w:r>
    </w:p>
    <w:p w14:paraId="73FA8443"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apariţia de leziuni noi sau agravarea psoriazisului;</w:t>
      </w:r>
    </w:p>
    <w:p w14:paraId="6CB0E2F7"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spasme musculare;</w:t>
      </w:r>
    </w:p>
    <w:p w14:paraId="59001BD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sânge în urină;</w:t>
      </w:r>
    </w:p>
    <w:p w14:paraId="7438AF30"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renale;</w:t>
      </w:r>
    </w:p>
    <w:p w14:paraId="3DA5CB75"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dureri de piept;</w:t>
      </w:r>
    </w:p>
    <w:p w14:paraId="1C7B2DA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w:t>
      </w:r>
    </w:p>
    <w:p w14:paraId="3C92696F"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febră;</w:t>
      </w:r>
    </w:p>
    <w:p w14:paraId="57E38909"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scăderea numărului de trombocite care duce la creşterea riscului de sângerare sau de apariţie a vânătăilor;</w:t>
      </w:r>
    </w:p>
    <w:p w14:paraId="4F0D0392" w14:textId="77777777" w:rsidR="00C04CAD" w:rsidRDefault="00060E34">
      <w:pPr>
        <w:pStyle w:val="ListParagraph"/>
        <w:numPr>
          <w:ilvl w:val="0"/>
          <w:numId w:val="5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ale vindecării.</w:t>
      </w:r>
    </w:p>
    <w:p w14:paraId="414EE80F" w14:textId="77777777" w:rsidR="00C04CAD" w:rsidRDefault="00C04CAD">
      <w:pPr>
        <w:numPr>
          <w:ilvl w:val="12"/>
          <w:numId w:val="0"/>
        </w:numPr>
        <w:tabs>
          <w:tab w:val="clear" w:pos="567"/>
        </w:tabs>
        <w:spacing w:line="240" w:lineRule="auto"/>
        <w:ind w:right="-29"/>
        <w:rPr>
          <w:szCs w:val="22"/>
        </w:rPr>
      </w:pPr>
    </w:p>
    <w:p w14:paraId="0B295022"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Mai</w:t>
      </w:r>
      <w:r>
        <w:t xml:space="preserve"> puţin frecvente</w:t>
      </w:r>
      <w:r>
        <w:rPr>
          <w:b/>
        </w:rPr>
        <w:t xml:space="preserve"> </w:t>
      </w:r>
      <w:r>
        <w:t>(pot să apară până la 1 persoană din 100)</w:t>
      </w:r>
    </w:p>
    <w:p w14:paraId="4AF3E32C"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oportuniste (care includ tuberculoză şi alte infecţii care apar atunci când rezistenţa organismului la boli este scăzută);</w:t>
      </w:r>
    </w:p>
    <w:p w14:paraId="095ED904"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neurologice (inclusiv meningită virală);</w:t>
      </w:r>
    </w:p>
    <w:p w14:paraId="16B8339D"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ale ochilor;</w:t>
      </w:r>
    </w:p>
    <w:p w14:paraId="33A0DA9D"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infecţii bacteriene;</w:t>
      </w:r>
    </w:p>
    <w:p w14:paraId="3CEF84F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diverticulită (inflamaţie şi infecţie ale intestinului gros);</w:t>
      </w:r>
    </w:p>
    <w:p w14:paraId="4BCBC51A"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cancer, inclusiv cancer care afectează sistemul limfatic (limfom) și melanom (cancer de piele);</w:t>
      </w:r>
    </w:p>
    <w:p w14:paraId="63554F15"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ale sistemului imunitar care ar putea afecta plămânii, pielea şi ganglionii limfatici (cel mai frecvent se prezintă ca sarcoidoză);</w:t>
      </w:r>
    </w:p>
    <w:p w14:paraId="5AC7D44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vasculită (inflamarea vaselor de sânge);</w:t>
      </w:r>
    </w:p>
    <w:p w14:paraId="3F26DCF1"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tremor;</w:t>
      </w:r>
    </w:p>
    <w:p w14:paraId="50F6D1C8"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neuropatie;</w:t>
      </w:r>
    </w:p>
    <w:p w14:paraId="27DAC365"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accident vascular cerebral;</w:t>
      </w:r>
    </w:p>
    <w:p w14:paraId="0E86B616"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pierderea auzului, zgomote în urechi;</w:t>
      </w:r>
    </w:p>
    <w:p w14:paraId="61042CE7"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senzaţie că bătăile inimii sunt neregulate ca de exemplu lipsa unei bătăi;</w:t>
      </w:r>
    </w:p>
    <w:p w14:paraId="783B7B9F"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cardiace care pot determina scurtarea respiraţiei sau umflarea gleznelor;</w:t>
      </w:r>
    </w:p>
    <w:p w14:paraId="1D027D9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infarct miocardic;</w:t>
      </w:r>
    </w:p>
    <w:p w14:paraId="039818CB"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dilatare a peretelui unei artere importante, inflamaţie a unei vene şi cheag pe venă, obstrucţie a unui vas de sânge;</w:t>
      </w:r>
    </w:p>
    <w:p w14:paraId="7CFBD38C"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boli pulmonare care determină scurtarea respiraţiei (inclusiv inflamaţii);</w:t>
      </w:r>
    </w:p>
    <w:p w14:paraId="63EF9DB7"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embolie pulmonară (blocaj al unei artere pulmonare);</w:t>
      </w:r>
    </w:p>
    <w:p w14:paraId="7A82590F"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revărsat pleural (acumulare anormală de lichid în spaţiul pleural);</w:t>
      </w:r>
    </w:p>
    <w:p w14:paraId="759F7DA5"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pancreatită care determină durere puternică abdominală şi de spate;</w:t>
      </w:r>
    </w:p>
    <w:p w14:paraId="02A4240C"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dificultate la înghiţire;</w:t>
      </w:r>
    </w:p>
    <w:p w14:paraId="6E0792A2"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 al feţei;</w:t>
      </w:r>
    </w:p>
    <w:p w14:paraId="33914C7D"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inflamaţii ale vezicii biliare, pietre în vezica biliară;</w:t>
      </w:r>
    </w:p>
    <w:p w14:paraId="683016B9"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ficat gras;</w:t>
      </w:r>
    </w:p>
    <w:p w14:paraId="17E4A3B5"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transpiraţii nocturne;</w:t>
      </w:r>
    </w:p>
    <w:p w14:paraId="39690AD4"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rPr>
          <w:szCs w:val="22"/>
          <w:lang w:eastAsia="en-US" w:bidi="ar-SA"/>
        </w:rPr>
        <w:t>cicatrice</w:t>
      </w:r>
      <w:r>
        <w:t>;</w:t>
      </w:r>
    </w:p>
    <w:p w14:paraId="0DD14A13"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oboseală musculară neobişnuită;</w:t>
      </w:r>
    </w:p>
    <w:p w14:paraId="31137353"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lupus eritematos sistemic (inclusiv inflamaţia pielii, inimii, plămânului, articulaţiilor şi a altor organe);</w:t>
      </w:r>
    </w:p>
    <w:p w14:paraId="523C086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rPr>
          <w:szCs w:val="22"/>
          <w:lang w:eastAsia="en-US" w:bidi="ar-SA"/>
        </w:rPr>
        <w:t>întreruperi ale</w:t>
      </w:r>
      <w:r>
        <w:t xml:space="preserve"> somnului;</w:t>
      </w:r>
    </w:p>
    <w:p w14:paraId="641A20D1"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impotenţă;</w:t>
      </w:r>
    </w:p>
    <w:p w14:paraId="5969D8E0" w14:textId="77777777" w:rsidR="00C04CAD" w:rsidRDefault="00060E34">
      <w:pPr>
        <w:pStyle w:val="ListParagraph"/>
        <w:numPr>
          <w:ilvl w:val="0"/>
          <w:numId w:val="59"/>
        </w:numPr>
        <w:tabs>
          <w:tab w:val="clear" w:pos="567"/>
        </w:tabs>
        <w:kinsoku w:val="0"/>
        <w:overflowPunct w:val="0"/>
        <w:autoSpaceDE w:val="0"/>
        <w:autoSpaceDN w:val="0"/>
        <w:adjustRightInd w:val="0"/>
        <w:spacing w:line="240" w:lineRule="auto"/>
        <w:ind w:left="567" w:hanging="567"/>
      </w:pPr>
      <w:r>
        <w:t>inflamaţii.</w:t>
      </w:r>
    </w:p>
    <w:p w14:paraId="4CB1F93E" w14:textId="77777777" w:rsidR="00C04CAD" w:rsidRDefault="00C04CAD">
      <w:pPr>
        <w:numPr>
          <w:ilvl w:val="12"/>
          <w:numId w:val="0"/>
        </w:numPr>
        <w:tabs>
          <w:tab w:val="clear" w:pos="567"/>
        </w:tabs>
        <w:spacing w:line="240" w:lineRule="auto"/>
        <w:ind w:right="-29"/>
      </w:pPr>
    </w:p>
    <w:p w14:paraId="62B3A0A1" w14:textId="77777777" w:rsidR="00C04CAD" w:rsidRDefault="00060E34">
      <w:pPr>
        <w:keepNext/>
        <w:tabs>
          <w:tab w:val="clear" w:pos="567"/>
        </w:tabs>
        <w:kinsoku w:val="0"/>
        <w:overflowPunct w:val="0"/>
        <w:autoSpaceDE w:val="0"/>
        <w:autoSpaceDN w:val="0"/>
        <w:adjustRightInd w:val="0"/>
        <w:spacing w:line="240" w:lineRule="auto"/>
        <w:rPr>
          <w:b/>
        </w:rPr>
      </w:pPr>
      <w:r>
        <w:rPr>
          <w:szCs w:val="22"/>
          <w:lang w:eastAsia="en-US" w:bidi="ar-SA"/>
        </w:rPr>
        <w:t>Rare</w:t>
      </w:r>
      <w:r>
        <w:rPr>
          <w:b/>
        </w:rPr>
        <w:t xml:space="preserve"> </w:t>
      </w:r>
      <w:r>
        <w:t>(pot să apară până la 1 persoană din 1 000)</w:t>
      </w:r>
    </w:p>
    <w:p w14:paraId="202629EA"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leucemie (cancer care afectează sângele şi măduva osoasă);</w:t>
      </w:r>
    </w:p>
    <w:p w14:paraId="7322BF49"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reacţii alergice severe însoţite de şoc;</w:t>
      </w:r>
    </w:p>
    <w:p w14:paraId="17114616"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scleroză multiplă;</w:t>
      </w:r>
    </w:p>
    <w:p w14:paraId="0CBA897F"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tulburări nervoase (ca de exemplu inflamaţia nervilor optici şi sindrom Guillain-Barré care poate determina slăbiciune musculară, senzaţii anormale, furnicături la nivelul braţelor şi a părţii superioare a corpului);</w:t>
      </w:r>
    </w:p>
    <w:p w14:paraId="6B3975E5"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oprirea pompării sângelui de către inimă;</w:t>
      </w:r>
    </w:p>
    <w:p w14:paraId="166CCB34"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fibroză pulmonară (cicatrizare a plămânului).</w:t>
      </w:r>
    </w:p>
    <w:p w14:paraId="66BC4ADA"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perforaţie intestinală (gaură în peretele intestinului);</w:t>
      </w:r>
    </w:p>
    <w:p w14:paraId="6090798A"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hepatită (inflamația ficatului);</w:t>
      </w:r>
    </w:p>
    <w:p w14:paraId="21939600"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reactivarea hepatitei B;</w:t>
      </w:r>
    </w:p>
    <w:p w14:paraId="35EE42EF"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hepatită autoimună (inflamaţie a ficatului cauzată de propriul sistem imunitar);</w:t>
      </w:r>
    </w:p>
    <w:p w14:paraId="108AA8DD"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vasculită cutanată (inflamaţie a vaselor de sânge de la nivelul pielii);</w:t>
      </w:r>
    </w:p>
    <w:p w14:paraId="327CD830"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sindrom Stevens-Johnson (reacție care poate pune viața în pericol, cu simptome asemănătoare gripei și erupții cu vezicule);</w:t>
      </w:r>
    </w:p>
    <w:p w14:paraId="7A7E8239"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edem al feţei asociat cu reacţii alergice;</w:t>
      </w:r>
    </w:p>
    <w:p w14:paraId="6256CE46"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eritem polimorf (erupţie cutanată inflamatorie);</w:t>
      </w:r>
    </w:p>
    <w:p w14:paraId="37344027" w14:textId="77777777" w:rsidR="00C04CAD" w:rsidRDefault="00060E34">
      <w:pPr>
        <w:pStyle w:val="ListParagraph"/>
        <w:numPr>
          <w:ilvl w:val="0"/>
          <w:numId w:val="60"/>
        </w:numPr>
        <w:tabs>
          <w:tab w:val="clear" w:pos="567"/>
        </w:tabs>
        <w:kinsoku w:val="0"/>
        <w:overflowPunct w:val="0"/>
        <w:autoSpaceDE w:val="0"/>
        <w:autoSpaceDN w:val="0"/>
        <w:adjustRightInd w:val="0"/>
        <w:spacing w:line="240" w:lineRule="auto"/>
        <w:ind w:left="567" w:hanging="567"/>
        <w:rPr>
          <w:szCs w:val="22"/>
        </w:rPr>
      </w:pPr>
      <w:r>
        <w:rPr>
          <w:szCs w:val="22"/>
          <w:lang w:eastAsia="en-US" w:bidi="ar-SA"/>
        </w:rPr>
        <w:t>sindrom asemănător lupusului;</w:t>
      </w:r>
    </w:p>
    <w:p w14:paraId="6A8DE125" w14:textId="77777777" w:rsidR="00C04CAD" w:rsidRDefault="00060E34">
      <w:pPr>
        <w:pStyle w:val="EMEANormal"/>
        <w:numPr>
          <w:ilvl w:val="0"/>
          <w:numId w:val="60"/>
        </w:numPr>
        <w:tabs>
          <w:tab w:val="clear" w:pos="562"/>
        </w:tabs>
        <w:ind w:left="567" w:hanging="567"/>
        <w:rPr>
          <w:szCs w:val="22"/>
          <w:lang w:val="ro-RO"/>
        </w:rPr>
      </w:pPr>
      <w:r>
        <w:rPr>
          <w:szCs w:val="22"/>
          <w:lang w:val="ro-RO"/>
        </w:rPr>
        <w:t>angioedem (umflare localizată a pielii);</w:t>
      </w:r>
    </w:p>
    <w:p w14:paraId="6003457F" w14:textId="77777777" w:rsidR="00C04CAD" w:rsidRDefault="00060E34">
      <w:pPr>
        <w:pStyle w:val="EMEANormal"/>
        <w:numPr>
          <w:ilvl w:val="0"/>
          <w:numId w:val="60"/>
        </w:numPr>
        <w:tabs>
          <w:tab w:val="clear" w:pos="562"/>
        </w:tabs>
        <w:ind w:left="567" w:hanging="567"/>
        <w:rPr>
          <w:szCs w:val="22"/>
          <w:lang w:val="ro-RO"/>
        </w:rPr>
      </w:pPr>
      <w:r>
        <w:rPr>
          <w:szCs w:val="22"/>
          <w:lang w:val="ro-RO"/>
        </w:rPr>
        <w:t>reacție</w:t>
      </w:r>
      <w:r>
        <w:rPr>
          <w:lang w:val="ro-RO"/>
        </w:rPr>
        <w:t xml:space="preserve"> pe piele de tip lichenoid (erupție roșiatică-purpurie pe piele care produce mâncărime)</w:t>
      </w:r>
      <w:r>
        <w:rPr>
          <w:szCs w:val="22"/>
          <w:lang w:val="ro-RO"/>
        </w:rPr>
        <w:t>.</w:t>
      </w:r>
    </w:p>
    <w:p w14:paraId="788DF90B" w14:textId="77777777" w:rsidR="00C04CAD" w:rsidRDefault="00C04CAD">
      <w:pPr>
        <w:numPr>
          <w:ilvl w:val="12"/>
          <w:numId w:val="0"/>
        </w:numPr>
        <w:tabs>
          <w:tab w:val="clear" w:pos="567"/>
        </w:tabs>
        <w:spacing w:line="240" w:lineRule="auto"/>
        <w:ind w:right="-29"/>
        <w:rPr>
          <w:szCs w:val="22"/>
        </w:rPr>
      </w:pPr>
    </w:p>
    <w:p w14:paraId="79980803"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Cu frecvență necunoscută (frecvenţa nu poate fi estimată din datele disponibile)</w:t>
      </w:r>
    </w:p>
    <w:p w14:paraId="58786661" w14:textId="77777777" w:rsidR="00C04CAD" w:rsidRDefault="00060E34">
      <w:pPr>
        <w:pStyle w:val="ListParagraph"/>
        <w:keepNext/>
        <w:numPr>
          <w:ilvl w:val="0"/>
          <w:numId w:val="61"/>
        </w:numPr>
        <w:tabs>
          <w:tab w:val="clear" w:pos="567"/>
        </w:tabs>
        <w:kinsoku w:val="0"/>
        <w:overflowPunct w:val="0"/>
        <w:autoSpaceDE w:val="0"/>
        <w:autoSpaceDN w:val="0"/>
        <w:adjustRightInd w:val="0"/>
        <w:spacing w:line="240" w:lineRule="auto"/>
        <w:ind w:left="567" w:hanging="567"/>
      </w:pPr>
      <w:r>
        <w:t>limfom hepatosplenic cu celule T (o formă rară de cancer al sângelui care de obicei are rezultat letal);</w:t>
      </w:r>
    </w:p>
    <w:p w14:paraId="1DFC8ADB"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pPr>
      <w:r>
        <w:t>carcinom cu celule Merkel (un tip de cancer de piele);</w:t>
      </w:r>
    </w:p>
    <w:p w14:paraId="7C67B172"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rPr>
          <w:szCs w:val="22"/>
        </w:rPr>
      </w:pPr>
      <w:r>
        <w:rPr>
          <w:szCs w:val="22"/>
        </w:rPr>
        <w:t>sarcom Kaposi, un cancer rar asociat infecției cu virusul herpetic uman 8. Sarcomul Kaposi se manifestă cel mai frecvent sub formă de leziuni vineții pe piele</w:t>
      </w:r>
      <w:r>
        <w:t>;</w:t>
      </w:r>
    </w:p>
    <w:p w14:paraId="310F63F7" w14:textId="77777777" w:rsidR="00C04CAD" w:rsidRDefault="00060E34">
      <w:pPr>
        <w:pStyle w:val="ListParagraph"/>
        <w:numPr>
          <w:ilvl w:val="0"/>
          <w:numId w:val="61"/>
        </w:numPr>
        <w:tabs>
          <w:tab w:val="clear" w:pos="567"/>
        </w:tabs>
        <w:kinsoku w:val="0"/>
        <w:overflowPunct w:val="0"/>
        <w:autoSpaceDE w:val="0"/>
        <w:autoSpaceDN w:val="0"/>
        <w:adjustRightInd w:val="0"/>
        <w:spacing w:line="240" w:lineRule="auto"/>
        <w:ind w:left="567" w:hanging="567"/>
      </w:pPr>
      <w:r>
        <w:t>insuficienţă hepatică</w:t>
      </w:r>
      <w:r>
        <w:rPr>
          <w:szCs w:val="22"/>
          <w:lang w:eastAsia="en-US" w:bidi="ar-SA"/>
        </w:rPr>
        <w:t>;</w:t>
      </w:r>
    </w:p>
    <w:p w14:paraId="367AD6D1" w14:textId="77777777" w:rsidR="00C04CAD" w:rsidRDefault="00060E34">
      <w:pPr>
        <w:pStyle w:val="ListParagraph"/>
        <w:numPr>
          <w:ilvl w:val="0"/>
          <w:numId w:val="61"/>
        </w:numPr>
        <w:tabs>
          <w:tab w:val="clear" w:pos="567"/>
        </w:tabs>
        <w:spacing w:line="240" w:lineRule="auto"/>
        <w:ind w:left="567" w:hanging="567"/>
      </w:pPr>
      <w:r>
        <w:t>agravare a unei afecţiuni numită dermatomiozită (descrisă ca o erupţie pe piele însoţită de slăbiciune musculară);</w:t>
      </w:r>
    </w:p>
    <w:p w14:paraId="218FF2D5" w14:textId="77777777" w:rsidR="00C04CAD" w:rsidRDefault="00060E34">
      <w:pPr>
        <w:pStyle w:val="ListParagraph"/>
        <w:numPr>
          <w:ilvl w:val="0"/>
          <w:numId w:val="61"/>
        </w:numPr>
        <w:tabs>
          <w:tab w:val="clear" w:pos="567"/>
        </w:tabs>
        <w:spacing w:line="240" w:lineRule="auto"/>
        <w:ind w:left="567" w:hanging="567"/>
      </w:pPr>
      <w:r>
        <w:t>creștere în greutate (pentru majoritatea pacienților, creșterea în greutate a fost mică).</w:t>
      </w:r>
    </w:p>
    <w:p w14:paraId="2A63A63A" w14:textId="77777777" w:rsidR="00C04CAD" w:rsidRDefault="00C04CAD">
      <w:pPr>
        <w:numPr>
          <w:ilvl w:val="12"/>
          <w:numId w:val="0"/>
        </w:numPr>
        <w:tabs>
          <w:tab w:val="clear" w:pos="567"/>
        </w:tabs>
        <w:spacing w:line="240" w:lineRule="auto"/>
        <w:ind w:right="-29"/>
      </w:pPr>
    </w:p>
    <w:p w14:paraId="4BECD889" w14:textId="77777777" w:rsidR="00C04CAD" w:rsidRDefault="00060E34">
      <w:pPr>
        <w:tabs>
          <w:tab w:val="clear" w:pos="567"/>
        </w:tabs>
        <w:kinsoku w:val="0"/>
        <w:overflowPunct w:val="0"/>
        <w:autoSpaceDE w:val="0"/>
        <w:autoSpaceDN w:val="0"/>
        <w:adjustRightInd w:val="0"/>
        <w:spacing w:line="240" w:lineRule="auto"/>
      </w:pPr>
      <w:r>
        <w:t>Unele reacţii adverse observate la adalimumab nu au fost însoţite de simptome şi pot fi detectate numai prin teste de laborator. Acestea includ:</w:t>
      </w:r>
    </w:p>
    <w:p w14:paraId="583BD4F6" w14:textId="77777777" w:rsidR="00C04CAD" w:rsidRDefault="00C04CAD">
      <w:pPr>
        <w:tabs>
          <w:tab w:val="clear" w:pos="567"/>
        </w:tabs>
        <w:kinsoku w:val="0"/>
        <w:overflowPunct w:val="0"/>
        <w:autoSpaceDE w:val="0"/>
        <w:autoSpaceDN w:val="0"/>
        <w:adjustRightInd w:val="0"/>
        <w:spacing w:line="240" w:lineRule="auto"/>
        <w:rPr>
          <w:b/>
        </w:rPr>
      </w:pPr>
    </w:p>
    <w:p w14:paraId="0A65CF5E"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Foarte</w:t>
      </w:r>
      <w:r>
        <w:t xml:space="preserve"> frecvente</w:t>
      </w:r>
      <w:r>
        <w:rPr>
          <w:b/>
        </w:rPr>
        <w:t xml:space="preserve"> </w:t>
      </w:r>
      <w:r>
        <w:t>(pot să apară la mai mult de 1 persoană din 10)</w:t>
      </w:r>
    </w:p>
    <w:p w14:paraId="7ED0EF22"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scăderea numărului de celule albe în sânge;</w:t>
      </w:r>
    </w:p>
    <w:p w14:paraId="3072EF14"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scăderea numărului de celule roşii în sânge;</w:t>
      </w:r>
    </w:p>
    <w:p w14:paraId="444A9254"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creştere a concentrațiilor grăsimilor în sânge;</w:t>
      </w:r>
    </w:p>
    <w:p w14:paraId="7BDC85F7" w14:textId="77777777" w:rsidR="00C04CAD" w:rsidRDefault="00060E34">
      <w:pPr>
        <w:pStyle w:val="ListParagraph"/>
        <w:numPr>
          <w:ilvl w:val="0"/>
          <w:numId w:val="62"/>
        </w:numPr>
        <w:tabs>
          <w:tab w:val="clear" w:pos="567"/>
        </w:tabs>
        <w:kinsoku w:val="0"/>
        <w:overflowPunct w:val="0"/>
        <w:autoSpaceDE w:val="0"/>
        <w:autoSpaceDN w:val="0"/>
        <w:adjustRightInd w:val="0"/>
        <w:spacing w:line="240" w:lineRule="auto"/>
        <w:ind w:left="567" w:hanging="567"/>
      </w:pPr>
      <w:r>
        <w:t>creştere a valorilor enzimelor hepatice.</w:t>
      </w:r>
    </w:p>
    <w:p w14:paraId="560C52AF" w14:textId="77777777" w:rsidR="00C04CAD" w:rsidRDefault="00C04CAD">
      <w:pPr>
        <w:pStyle w:val="ListParagraph"/>
        <w:tabs>
          <w:tab w:val="clear" w:pos="567"/>
        </w:tabs>
        <w:kinsoku w:val="0"/>
        <w:overflowPunct w:val="0"/>
        <w:autoSpaceDE w:val="0"/>
        <w:autoSpaceDN w:val="0"/>
        <w:adjustRightInd w:val="0"/>
        <w:spacing w:line="240" w:lineRule="auto"/>
        <w:ind w:left="0"/>
      </w:pPr>
    </w:p>
    <w:p w14:paraId="31CCEA74"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Frecvente</w:t>
      </w:r>
      <w:r>
        <w:rPr>
          <w:b/>
        </w:rPr>
        <w:t xml:space="preserve"> </w:t>
      </w:r>
      <w:r>
        <w:t>(pot să apară până la 1 persoană din 10)</w:t>
      </w:r>
    </w:p>
    <w:p w14:paraId="1D4B26AE"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numărului de celule albe în sânge;</w:t>
      </w:r>
    </w:p>
    <w:p w14:paraId="6717A013"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numărului de trombocite în sânge;</w:t>
      </w:r>
    </w:p>
    <w:p w14:paraId="1064E1F4"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acidului uric în sânge;</w:t>
      </w:r>
    </w:p>
    <w:p w14:paraId="093D1A72"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valori modificate ale sodiului în sânge;</w:t>
      </w:r>
    </w:p>
    <w:p w14:paraId="082C41DD"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calciului în sânge;</w:t>
      </w:r>
    </w:p>
    <w:p w14:paraId="24E7627A"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fosforului în sânge;</w:t>
      </w:r>
    </w:p>
    <w:p w14:paraId="5BB995B8"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zahărului în sânge;</w:t>
      </w:r>
    </w:p>
    <w:p w14:paraId="79B1A4E8"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creşterea valorilor lactat dehidrogenazei în sânge;</w:t>
      </w:r>
    </w:p>
    <w:p w14:paraId="2F105C28"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prezenţa autoanticorpilor în sânge;</w:t>
      </w:r>
    </w:p>
    <w:p w14:paraId="21AC3862"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scăderea valorii potasiului în sânge.</w:t>
      </w:r>
    </w:p>
    <w:p w14:paraId="66FBD6E0" w14:textId="77777777" w:rsidR="00C04CAD" w:rsidRDefault="00C04CAD">
      <w:pPr>
        <w:tabs>
          <w:tab w:val="clear" w:pos="567"/>
        </w:tabs>
        <w:kinsoku w:val="0"/>
        <w:overflowPunct w:val="0"/>
        <w:autoSpaceDE w:val="0"/>
        <w:autoSpaceDN w:val="0"/>
        <w:adjustRightInd w:val="0"/>
        <w:spacing w:line="240" w:lineRule="auto"/>
        <w:ind w:left="567" w:hanging="567"/>
      </w:pPr>
    </w:p>
    <w:p w14:paraId="666F2FF5" w14:textId="77777777" w:rsidR="00C04CAD" w:rsidRDefault="00060E34">
      <w:pPr>
        <w:tabs>
          <w:tab w:val="clear" w:pos="567"/>
        </w:tabs>
        <w:kinsoku w:val="0"/>
        <w:overflowPunct w:val="0"/>
        <w:autoSpaceDE w:val="0"/>
        <w:autoSpaceDN w:val="0"/>
        <w:adjustRightInd w:val="0"/>
        <w:spacing w:line="240" w:lineRule="auto"/>
        <w:ind w:left="567" w:hanging="567"/>
      </w:pPr>
      <w:r>
        <w:rPr>
          <w:szCs w:val="22"/>
          <w:lang w:eastAsia="en-US" w:bidi="ar-SA"/>
        </w:rPr>
        <w:t>Mai puțin frecvente</w:t>
      </w:r>
      <w:r>
        <w:rPr>
          <w:b/>
        </w:rPr>
        <w:t xml:space="preserve"> </w:t>
      </w:r>
      <w:r>
        <w:t>(pot să apară până la 1 persoană din 100)</w:t>
      </w:r>
    </w:p>
    <w:p w14:paraId="528FA903" w14:textId="77777777" w:rsidR="00C04CAD" w:rsidRDefault="00060E34">
      <w:pPr>
        <w:pStyle w:val="ListParagraph"/>
        <w:numPr>
          <w:ilvl w:val="0"/>
          <w:numId w:val="63"/>
        </w:numPr>
        <w:tabs>
          <w:tab w:val="clear" w:pos="567"/>
        </w:tabs>
        <w:kinsoku w:val="0"/>
        <w:overflowPunct w:val="0"/>
        <w:autoSpaceDE w:val="0"/>
        <w:autoSpaceDN w:val="0"/>
        <w:adjustRightInd w:val="0"/>
        <w:spacing w:line="240" w:lineRule="auto"/>
        <w:ind w:left="567" w:hanging="567"/>
      </w:pPr>
      <w:r>
        <w:t>creșterea valorii bilirubinei în sânge (un test de sânge care investighează funcția ficatului);</w:t>
      </w:r>
    </w:p>
    <w:p w14:paraId="6C53BE37" w14:textId="77777777" w:rsidR="00C04CAD" w:rsidRDefault="00C04CAD">
      <w:pPr>
        <w:tabs>
          <w:tab w:val="clear" w:pos="567"/>
        </w:tabs>
        <w:kinsoku w:val="0"/>
        <w:overflowPunct w:val="0"/>
        <w:autoSpaceDE w:val="0"/>
        <w:autoSpaceDN w:val="0"/>
        <w:adjustRightInd w:val="0"/>
        <w:spacing w:line="240" w:lineRule="auto"/>
        <w:ind w:left="567" w:hanging="567"/>
      </w:pPr>
    </w:p>
    <w:p w14:paraId="63B533EC"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Rare</w:t>
      </w:r>
      <w:r>
        <w:t xml:space="preserve"> (pot să apară până la 1 persoană din 1 000)</w:t>
      </w:r>
    </w:p>
    <w:p w14:paraId="3995CCF6" w14:textId="77777777" w:rsidR="00C04CAD" w:rsidRDefault="00060E34">
      <w:pPr>
        <w:pStyle w:val="ListParagraph"/>
        <w:numPr>
          <w:ilvl w:val="0"/>
          <w:numId w:val="64"/>
        </w:numPr>
        <w:tabs>
          <w:tab w:val="clear" w:pos="567"/>
        </w:tabs>
        <w:kinsoku w:val="0"/>
        <w:overflowPunct w:val="0"/>
        <w:autoSpaceDE w:val="0"/>
        <w:autoSpaceDN w:val="0"/>
        <w:adjustRightInd w:val="0"/>
        <w:spacing w:line="240" w:lineRule="auto"/>
        <w:ind w:left="567" w:hanging="567"/>
      </w:pPr>
      <w:r>
        <w:t>scăderea numărului de celule albe, celule roşii şi de trombocite în sânge.</w:t>
      </w:r>
    </w:p>
    <w:p w14:paraId="42E4C63E" w14:textId="77777777" w:rsidR="00C04CAD" w:rsidRDefault="00C04CAD">
      <w:pPr>
        <w:kinsoku w:val="0"/>
        <w:overflowPunct w:val="0"/>
        <w:autoSpaceDE w:val="0"/>
        <w:autoSpaceDN w:val="0"/>
        <w:adjustRightInd w:val="0"/>
        <w:spacing w:line="240" w:lineRule="auto"/>
      </w:pPr>
    </w:p>
    <w:p w14:paraId="5D96204C" w14:textId="77777777" w:rsidR="00C04CAD" w:rsidRDefault="00060E34">
      <w:pPr>
        <w:keepNext/>
        <w:numPr>
          <w:ilvl w:val="12"/>
          <w:numId w:val="0"/>
        </w:numPr>
        <w:spacing w:line="240" w:lineRule="auto"/>
        <w:outlineLvl w:val="0"/>
        <w:rPr>
          <w:b/>
        </w:rPr>
      </w:pPr>
      <w:r>
        <w:rPr>
          <w:b/>
          <w:szCs w:val="22"/>
        </w:rPr>
        <w:t>Raportarea reacțiilor adverse</w:t>
      </w:r>
    </w:p>
    <w:p w14:paraId="6361F367" w14:textId="77777777" w:rsidR="00C04CAD" w:rsidRDefault="00C04CAD">
      <w:pPr>
        <w:numPr>
          <w:ilvl w:val="12"/>
          <w:numId w:val="0"/>
        </w:numPr>
        <w:spacing w:line="240" w:lineRule="auto"/>
        <w:outlineLvl w:val="0"/>
        <w:rPr>
          <w:b/>
          <w:szCs w:val="22"/>
        </w:rPr>
      </w:pPr>
    </w:p>
    <w:p w14:paraId="3FC3908F" w14:textId="77777777" w:rsidR="00C04CAD" w:rsidRDefault="00060E34">
      <w:pPr>
        <w:pStyle w:val="BodytextAgency"/>
        <w:spacing w:after="0" w:line="240" w:lineRule="auto"/>
        <w:rPr>
          <w:rFonts w:ascii="Times New Roman" w:hAnsi="Times New Roman"/>
          <w:sz w:val="22"/>
        </w:rPr>
      </w:pPr>
      <w:r>
        <w:rPr>
          <w:rFonts w:ascii="Times New Roman" w:hAnsi="Times New Roman"/>
          <w:sz w:val="22"/>
        </w:rPr>
        <w:t xml:space="preserve">Dacă manifestați orice reacții adverse, adresați-vă medicului dumneavoastră sau farmacistului. Acestea includ orice posibile reacții adverse nemenționate în acest prospect. De asemenea, puteți raporta reacțiile adverse direct prin intermediul </w:t>
      </w:r>
      <w:r>
        <w:rPr>
          <w:rFonts w:ascii="Times New Roman" w:hAnsi="Times New Roman"/>
          <w:sz w:val="22"/>
          <w:highlight w:val="lightGray"/>
        </w:rPr>
        <w:t xml:space="preserve">sistemului național de raportare, așa cum este menționat în </w:t>
      </w:r>
      <w:hyperlink r:id="rId57">
        <w:r w:rsidR="00C04CAD">
          <w:rPr>
            <w:rStyle w:val="Hyperlink"/>
            <w:rFonts w:ascii="Times New Roman" w:hAnsi="Times New Roman"/>
            <w:sz w:val="22"/>
            <w:highlight w:val="lightGray"/>
            <w:shd w:val="clear" w:color="auto" w:fill="D0CECE"/>
          </w:rPr>
          <w:t>Anexa V</w:t>
        </w:r>
      </w:hyperlink>
      <w:r>
        <w:rPr>
          <w:rFonts w:ascii="Times New Roman" w:hAnsi="Times New Roman"/>
          <w:sz w:val="22"/>
        </w:rPr>
        <w:t>. Raportând reacțiile adverse, puteți contribui la furnizarea de informații suplimentare privind siguranța acestui medicament.</w:t>
      </w:r>
    </w:p>
    <w:p w14:paraId="4C8D8521" w14:textId="77777777" w:rsidR="00C04CAD" w:rsidRDefault="00C04CAD">
      <w:pPr>
        <w:autoSpaceDE w:val="0"/>
        <w:autoSpaceDN w:val="0"/>
        <w:adjustRightInd w:val="0"/>
        <w:spacing w:line="240" w:lineRule="auto"/>
        <w:rPr>
          <w:szCs w:val="22"/>
        </w:rPr>
      </w:pPr>
    </w:p>
    <w:p w14:paraId="6C393241" w14:textId="77777777" w:rsidR="00C04CAD" w:rsidRDefault="00C04CAD">
      <w:pPr>
        <w:autoSpaceDE w:val="0"/>
        <w:autoSpaceDN w:val="0"/>
        <w:adjustRightInd w:val="0"/>
        <w:spacing w:line="240" w:lineRule="auto"/>
        <w:rPr>
          <w:szCs w:val="22"/>
        </w:rPr>
      </w:pPr>
    </w:p>
    <w:p w14:paraId="6949DDB3" w14:textId="77777777" w:rsidR="00C04CAD" w:rsidRDefault="00060E34">
      <w:pPr>
        <w:keepNext/>
        <w:numPr>
          <w:ilvl w:val="0"/>
          <w:numId w:val="100"/>
        </w:numPr>
        <w:spacing w:line="240" w:lineRule="auto"/>
        <w:ind w:left="561" w:hanging="567"/>
        <w:rPr>
          <w:b/>
          <w:szCs w:val="22"/>
        </w:rPr>
      </w:pPr>
      <w:r>
        <w:rPr>
          <w:b/>
        </w:rPr>
        <w:t>Cum se păstrează AMGEVITA</w:t>
      </w:r>
    </w:p>
    <w:p w14:paraId="51CB000E" w14:textId="77777777" w:rsidR="00C04CAD" w:rsidRDefault="00C04CAD">
      <w:pPr>
        <w:keepNext/>
        <w:numPr>
          <w:ilvl w:val="12"/>
          <w:numId w:val="0"/>
        </w:numPr>
        <w:tabs>
          <w:tab w:val="clear" w:pos="567"/>
        </w:tabs>
        <w:spacing w:line="240" w:lineRule="auto"/>
        <w:ind w:right="-2"/>
      </w:pPr>
    </w:p>
    <w:p w14:paraId="73CE05BB" w14:textId="77777777" w:rsidR="00C04CAD" w:rsidRDefault="00060E34">
      <w:pPr>
        <w:tabs>
          <w:tab w:val="clear" w:pos="567"/>
        </w:tabs>
        <w:kinsoku w:val="0"/>
        <w:overflowPunct w:val="0"/>
        <w:autoSpaceDE w:val="0"/>
        <w:autoSpaceDN w:val="0"/>
        <w:adjustRightInd w:val="0"/>
        <w:spacing w:line="240" w:lineRule="auto"/>
      </w:pPr>
      <w:r>
        <w:t>Nu lăsaţi acest medicament la vederea şi îndemâna copiilor.</w:t>
      </w:r>
    </w:p>
    <w:p w14:paraId="41BEBF4F" w14:textId="77777777" w:rsidR="00C04CAD" w:rsidRDefault="00C04CAD">
      <w:pPr>
        <w:tabs>
          <w:tab w:val="clear" w:pos="567"/>
        </w:tabs>
        <w:kinsoku w:val="0"/>
        <w:overflowPunct w:val="0"/>
        <w:autoSpaceDE w:val="0"/>
        <w:autoSpaceDN w:val="0"/>
        <w:adjustRightInd w:val="0"/>
        <w:spacing w:line="240" w:lineRule="auto"/>
      </w:pPr>
    </w:p>
    <w:p w14:paraId="4DBE1496" w14:textId="77777777" w:rsidR="00C04CAD" w:rsidRDefault="00060E34">
      <w:pPr>
        <w:tabs>
          <w:tab w:val="clear" w:pos="567"/>
        </w:tabs>
        <w:kinsoku w:val="0"/>
        <w:overflowPunct w:val="0"/>
        <w:autoSpaceDE w:val="0"/>
        <w:autoSpaceDN w:val="0"/>
        <w:adjustRightInd w:val="0"/>
        <w:spacing w:line="240" w:lineRule="auto"/>
      </w:pPr>
      <w:r>
        <w:t>A nu se utiliza acest medicament după data de expirare înscrisă pe etichetă/blister</w:t>
      </w:r>
      <w:r>
        <w:rPr>
          <w:szCs w:val="22"/>
          <w:lang w:eastAsia="en-US" w:bidi="ar-SA"/>
        </w:rPr>
        <w:t xml:space="preserve"> și </w:t>
      </w:r>
      <w:r>
        <w:t>cutie după EXP:. Data expirării se referă la ultima zi a lunii respective.</w:t>
      </w:r>
    </w:p>
    <w:p w14:paraId="1028A4FF" w14:textId="77777777" w:rsidR="00C04CAD" w:rsidRDefault="00C04CAD">
      <w:pPr>
        <w:tabs>
          <w:tab w:val="clear" w:pos="567"/>
        </w:tabs>
        <w:kinsoku w:val="0"/>
        <w:overflowPunct w:val="0"/>
        <w:autoSpaceDE w:val="0"/>
        <w:autoSpaceDN w:val="0"/>
        <w:adjustRightInd w:val="0"/>
        <w:spacing w:line="240" w:lineRule="auto"/>
      </w:pPr>
    </w:p>
    <w:p w14:paraId="024E90B3" w14:textId="77777777" w:rsidR="00C04CAD" w:rsidRDefault="00060E34">
      <w:pPr>
        <w:tabs>
          <w:tab w:val="clear" w:pos="567"/>
        </w:tabs>
        <w:kinsoku w:val="0"/>
        <w:overflowPunct w:val="0"/>
        <w:autoSpaceDE w:val="0"/>
        <w:autoSpaceDN w:val="0"/>
        <w:adjustRightInd w:val="0"/>
        <w:spacing w:line="240" w:lineRule="auto"/>
      </w:pPr>
      <w:r>
        <w:t>A se păstra la frigider (2°C–8°C). A nu se congela.</w:t>
      </w:r>
    </w:p>
    <w:p w14:paraId="1B11D023" w14:textId="77777777" w:rsidR="00C04CAD" w:rsidRDefault="00C04CAD">
      <w:pPr>
        <w:tabs>
          <w:tab w:val="clear" w:pos="567"/>
        </w:tabs>
        <w:kinsoku w:val="0"/>
        <w:overflowPunct w:val="0"/>
        <w:autoSpaceDE w:val="0"/>
        <w:autoSpaceDN w:val="0"/>
        <w:adjustRightInd w:val="0"/>
        <w:spacing w:line="240" w:lineRule="auto"/>
      </w:pPr>
    </w:p>
    <w:p w14:paraId="156A8F88" w14:textId="77777777" w:rsidR="00C04CAD" w:rsidRDefault="00060E34">
      <w:pPr>
        <w:tabs>
          <w:tab w:val="clear" w:pos="567"/>
        </w:tabs>
        <w:kinsoku w:val="0"/>
        <w:overflowPunct w:val="0"/>
        <w:autoSpaceDE w:val="0"/>
        <w:autoSpaceDN w:val="0"/>
        <w:adjustRightInd w:val="0"/>
        <w:spacing w:line="240" w:lineRule="auto"/>
      </w:pPr>
      <w:r>
        <w:t xml:space="preserve">A se păstra în ambalajul original pentru a fi </w:t>
      </w:r>
      <w:r>
        <w:rPr>
          <w:szCs w:val="22"/>
          <w:lang w:eastAsia="en-US" w:bidi="ar-SA"/>
        </w:rPr>
        <w:t>protejat</w:t>
      </w:r>
      <w:r>
        <w:t xml:space="preserve"> de lumină.</w:t>
      </w:r>
    </w:p>
    <w:p w14:paraId="34112375" w14:textId="77777777" w:rsidR="00C04CAD" w:rsidRDefault="00C04CAD">
      <w:pPr>
        <w:tabs>
          <w:tab w:val="clear" w:pos="567"/>
        </w:tabs>
        <w:kinsoku w:val="0"/>
        <w:overflowPunct w:val="0"/>
        <w:autoSpaceDE w:val="0"/>
        <w:autoSpaceDN w:val="0"/>
        <w:adjustRightInd w:val="0"/>
        <w:spacing w:line="240" w:lineRule="auto"/>
      </w:pPr>
    </w:p>
    <w:p w14:paraId="108A0B2F" w14:textId="77777777" w:rsidR="00C04CAD" w:rsidRDefault="00060E34">
      <w:pPr>
        <w:tabs>
          <w:tab w:val="clear" w:pos="567"/>
        </w:tabs>
        <w:kinsoku w:val="0"/>
        <w:overflowPunct w:val="0"/>
        <w:autoSpaceDE w:val="0"/>
        <w:autoSpaceDN w:val="0"/>
        <w:adjustRightInd w:val="0"/>
        <w:spacing w:line="240" w:lineRule="auto"/>
      </w:pPr>
      <w:r>
        <w:rPr>
          <w:szCs w:val="22"/>
          <w:lang w:eastAsia="en-US" w:bidi="ar-SA"/>
        </w:rPr>
        <w:t>O seringă</w:t>
      </w:r>
      <w:r>
        <w:t xml:space="preserve"> preumplută </w:t>
      </w:r>
      <w:r>
        <w:rPr>
          <w:szCs w:val="22"/>
          <w:lang w:eastAsia="en-US" w:bidi="ar-SA"/>
        </w:rPr>
        <w:t>AMGEVITA</w:t>
      </w:r>
      <w:r>
        <w:t xml:space="preserve"> poate fi </w:t>
      </w:r>
      <w:r>
        <w:rPr>
          <w:szCs w:val="22"/>
          <w:lang w:eastAsia="en-US" w:bidi="ar-SA"/>
        </w:rPr>
        <w:t>păstrat</w:t>
      </w:r>
      <w:r>
        <w:t xml:space="preserve">ă la </w:t>
      </w:r>
      <w:r>
        <w:rPr>
          <w:szCs w:val="22"/>
          <w:lang w:eastAsia="en-US" w:bidi="ar-SA"/>
        </w:rPr>
        <w:t xml:space="preserve">temperaturi </w:t>
      </w:r>
      <w:r>
        <w:t xml:space="preserve">până la </w:t>
      </w:r>
      <w:r>
        <w:rPr>
          <w:szCs w:val="22"/>
          <w:lang w:eastAsia="en-US" w:bidi="ar-SA"/>
        </w:rPr>
        <w:t xml:space="preserve">un maximum de </w:t>
      </w:r>
      <w:r>
        <w:t xml:space="preserve">25°C pentru o perioadă de </w:t>
      </w:r>
      <w:r>
        <w:rPr>
          <w:szCs w:val="22"/>
          <w:lang w:eastAsia="en-US" w:bidi="ar-SA"/>
        </w:rPr>
        <w:t>până la</w:t>
      </w:r>
      <w:r>
        <w:t xml:space="preserve"> 14 zile</w:t>
      </w:r>
      <w:r>
        <w:rPr>
          <w:szCs w:val="22"/>
          <w:lang w:eastAsia="en-US" w:bidi="ar-SA"/>
        </w:rPr>
        <w:t xml:space="preserve">. Seringa preumplută </w:t>
      </w:r>
      <w:r>
        <w:t xml:space="preserve">trebuie </w:t>
      </w:r>
      <w:r>
        <w:rPr>
          <w:szCs w:val="22"/>
          <w:lang w:eastAsia="en-US" w:bidi="ar-SA"/>
        </w:rPr>
        <w:t>protejată faţă de lumină,</w:t>
      </w:r>
      <w:r>
        <w:t xml:space="preserve"> şi trebuie aruncată</w:t>
      </w:r>
      <w:r>
        <w:rPr>
          <w:szCs w:val="22"/>
          <w:lang w:eastAsia="en-US" w:bidi="ar-SA"/>
        </w:rPr>
        <w:t xml:space="preserve"> dacă nu se utilizează în acest interval de 14 zile</w:t>
      </w:r>
      <w:r>
        <w:t>.</w:t>
      </w:r>
    </w:p>
    <w:p w14:paraId="1ADBCF16" w14:textId="77777777" w:rsidR="00C04CAD" w:rsidRDefault="00C04CAD">
      <w:pPr>
        <w:numPr>
          <w:ilvl w:val="12"/>
          <w:numId w:val="0"/>
        </w:numPr>
        <w:tabs>
          <w:tab w:val="clear" w:pos="567"/>
        </w:tabs>
        <w:spacing w:line="240" w:lineRule="auto"/>
        <w:ind w:right="-2"/>
        <w:rPr>
          <w:szCs w:val="22"/>
        </w:rPr>
      </w:pPr>
    </w:p>
    <w:p w14:paraId="7DA43DA1" w14:textId="77777777" w:rsidR="00C04CAD" w:rsidRDefault="00060E34">
      <w:pPr>
        <w:numPr>
          <w:ilvl w:val="12"/>
          <w:numId w:val="0"/>
        </w:numPr>
        <w:tabs>
          <w:tab w:val="clear" w:pos="567"/>
        </w:tabs>
        <w:spacing w:line="240" w:lineRule="auto"/>
        <w:ind w:right="-2"/>
        <w:rPr>
          <w:i/>
          <w:iCs/>
          <w:szCs w:val="22"/>
        </w:rPr>
      </w:pPr>
      <w:r>
        <w:t>Nu aruncați niciun medicament pe calea apei sau a reziduurilor menajere. Întrebați farmacistul cum să aruncați medicamentele pe care nu le mai folosiți. Aceste măsuri vor ajuta la protejarea mediului.</w:t>
      </w:r>
    </w:p>
    <w:p w14:paraId="20DD4400" w14:textId="77777777" w:rsidR="00C04CAD" w:rsidRDefault="00C04CAD">
      <w:pPr>
        <w:numPr>
          <w:ilvl w:val="12"/>
          <w:numId w:val="0"/>
        </w:numPr>
        <w:tabs>
          <w:tab w:val="clear" w:pos="567"/>
        </w:tabs>
        <w:spacing w:line="240" w:lineRule="auto"/>
        <w:ind w:right="-2"/>
        <w:rPr>
          <w:szCs w:val="22"/>
        </w:rPr>
      </w:pPr>
    </w:p>
    <w:p w14:paraId="638666E0" w14:textId="77777777" w:rsidR="00C04CAD" w:rsidRDefault="00C04CAD">
      <w:pPr>
        <w:numPr>
          <w:ilvl w:val="12"/>
          <w:numId w:val="0"/>
        </w:numPr>
        <w:tabs>
          <w:tab w:val="clear" w:pos="567"/>
        </w:tabs>
        <w:spacing w:line="240" w:lineRule="auto"/>
        <w:ind w:right="-2"/>
        <w:rPr>
          <w:szCs w:val="22"/>
        </w:rPr>
      </w:pPr>
    </w:p>
    <w:p w14:paraId="36258607" w14:textId="77777777" w:rsidR="00C04CAD" w:rsidRDefault="00060E34">
      <w:pPr>
        <w:keepNext/>
        <w:numPr>
          <w:ilvl w:val="0"/>
          <w:numId w:val="100"/>
        </w:numPr>
        <w:spacing w:line="240" w:lineRule="auto"/>
        <w:ind w:left="561" w:hanging="567"/>
        <w:rPr>
          <w:b/>
        </w:rPr>
      </w:pPr>
      <w:r>
        <w:rPr>
          <w:b/>
        </w:rPr>
        <w:t>Conținutul ambalajului și alte informații</w:t>
      </w:r>
    </w:p>
    <w:p w14:paraId="58938E89" w14:textId="77777777" w:rsidR="00C04CAD" w:rsidRDefault="00C04CAD">
      <w:pPr>
        <w:keepNext/>
        <w:numPr>
          <w:ilvl w:val="12"/>
          <w:numId w:val="0"/>
        </w:numPr>
        <w:tabs>
          <w:tab w:val="clear" w:pos="567"/>
        </w:tabs>
        <w:spacing w:line="240" w:lineRule="auto"/>
      </w:pPr>
    </w:p>
    <w:p w14:paraId="2FD00F5D" w14:textId="77777777" w:rsidR="00C04CAD" w:rsidRDefault="00060E34">
      <w:pPr>
        <w:numPr>
          <w:ilvl w:val="12"/>
          <w:numId w:val="0"/>
        </w:numPr>
        <w:tabs>
          <w:tab w:val="clear" w:pos="567"/>
        </w:tabs>
        <w:spacing w:line="240" w:lineRule="auto"/>
        <w:ind w:right="-2"/>
        <w:rPr>
          <w:b/>
        </w:rPr>
      </w:pPr>
      <w:r>
        <w:rPr>
          <w:b/>
        </w:rPr>
        <w:t xml:space="preserve">Ce conține AMGEVITA </w:t>
      </w:r>
    </w:p>
    <w:p w14:paraId="5BEA2459" w14:textId="77777777" w:rsidR="00C04CAD" w:rsidRDefault="00060E34">
      <w:pPr>
        <w:pStyle w:val="BodyText"/>
        <w:numPr>
          <w:ilvl w:val="0"/>
          <w:numId w:val="65"/>
        </w:numPr>
        <w:kinsoku w:val="0"/>
        <w:overflowPunct w:val="0"/>
        <w:autoSpaceDE w:val="0"/>
        <w:autoSpaceDN w:val="0"/>
        <w:adjustRightInd w:val="0"/>
        <w:ind w:left="567" w:hanging="567"/>
        <w:rPr>
          <w:i w:val="0"/>
          <w:color w:val="auto"/>
        </w:rPr>
      </w:pPr>
      <w:r>
        <w:rPr>
          <w:i w:val="0"/>
          <w:color w:val="auto"/>
        </w:rPr>
        <w:t>Substanţa activă este adalimumab. Fiecare seringă preumplută conţine adalimumab 20 mg în</w:t>
      </w:r>
    </w:p>
    <w:p w14:paraId="408141B3" w14:textId="77777777" w:rsidR="00C04CAD" w:rsidRDefault="00060E34">
      <w:pPr>
        <w:tabs>
          <w:tab w:val="clear" w:pos="567"/>
          <w:tab w:val="left" w:pos="426"/>
        </w:tabs>
        <w:spacing w:line="240" w:lineRule="auto"/>
        <w:ind w:left="567"/>
        <w:rPr>
          <w:szCs w:val="22"/>
        </w:rPr>
      </w:pPr>
      <w:r>
        <w:rPr>
          <w:szCs w:val="22"/>
        </w:rPr>
        <w:t>0,2 ml soluţie, adalimumab 40 mg în 0,4 ml soluţie sau adalimumab 80 mg în 0,8 ml soluţie.</w:t>
      </w:r>
    </w:p>
    <w:p w14:paraId="39C241ED" w14:textId="77777777" w:rsidR="00C04CAD" w:rsidRDefault="00060E34">
      <w:pPr>
        <w:pStyle w:val="BodyText"/>
        <w:numPr>
          <w:ilvl w:val="0"/>
          <w:numId w:val="65"/>
        </w:numPr>
        <w:kinsoku w:val="0"/>
        <w:overflowPunct w:val="0"/>
        <w:autoSpaceDE w:val="0"/>
        <w:autoSpaceDN w:val="0"/>
        <w:adjustRightInd w:val="0"/>
        <w:ind w:left="567" w:hanging="567"/>
        <w:rPr>
          <w:i w:val="0"/>
          <w:color w:val="auto"/>
        </w:rPr>
      </w:pPr>
      <w:r>
        <w:rPr>
          <w:i w:val="0"/>
          <w:color w:val="auto"/>
        </w:rPr>
        <w:t>Celelalte componente sunt acid L-lactic, sucroză, polisorbat 80, hidroxid de sodiu şi apă pentru preparate injectabile.</w:t>
      </w:r>
    </w:p>
    <w:p w14:paraId="6C67E907" w14:textId="77777777" w:rsidR="00C04CAD" w:rsidRDefault="00C04CAD">
      <w:pPr>
        <w:keepNext/>
        <w:tabs>
          <w:tab w:val="clear" w:pos="567"/>
        </w:tabs>
        <w:spacing w:line="240" w:lineRule="auto"/>
        <w:ind w:right="-2"/>
        <w:rPr>
          <w:szCs w:val="22"/>
        </w:rPr>
      </w:pPr>
    </w:p>
    <w:p w14:paraId="696399C4" w14:textId="77777777" w:rsidR="00C04CAD" w:rsidRDefault="00060E34">
      <w:pPr>
        <w:numPr>
          <w:ilvl w:val="12"/>
          <w:numId w:val="0"/>
        </w:numPr>
        <w:tabs>
          <w:tab w:val="clear" w:pos="567"/>
        </w:tabs>
        <w:spacing w:line="240" w:lineRule="auto"/>
        <w:ind w:right="-2"/>
        <w:rPr>
          <w:b/>
          <w:szCs w:val="22"/>
        </w:rPr>
      </w:pPr>
      <w:r>
        <w:rPr>
          <w:b/>
          <w:szCs w:val="22"/>
        </w:rPr>
        <w:t>Cum arată AMGEVITA și conținutul ambalajului</w:t>
      </w:r>
    </w:p>
    <w:p w14:paraId="2D0EE785" w14:textId="77777777" w:rsidR="00C04CAD" w:rsidRDefault="00C04CAD">
      <w:pPr>
        <w:numPr>
          <w:ilvl w:val="12"/>
          <w:numId w:val="0"/>
        </w:numPr>
        <w:tabs>
          <w:tab w:val="clear" w:pos="567"/>
        </w:tabs>
        <w:spacing w:line="240" w:lineRule="auto"/>
        <w:rPr>
          <w:szCs w:val="22"/>
        </w:rPr>
      </w:pPr>
    </w:p>
    <w:p w14:paraId="2FD4A1B3" w14:textId="77777777" w:rsidR="00C04CAD" w:rsidRDefault="00060E34">
      <w:pPr>
        <w:tabs>
          <w:tab w:val="clear" w:pos="567"/>
        </w:tabs>
        <w:autoSpaceDE w:val="0"/>
        <w:autoSpaceDN w:val="0"/>
        <w:adjustRightInd w:val="0"/>
        <w:spacing w:line="240" w:lineRule="auto"/>
        <w:rPr>
          <w:b/>
          <w:bCs/>
          <w:szCs w:val="22"/>
          <w:lang w:eastAsia="en-US" w:bidi="ar-SA"/>
        </w:rPr>
      </w:pPr>
      <w:r>
        <w:rPr>
          <w:szCs w:val="22"/>
          <w:lang w:eastAsia="en-US" w:bidi="ar-SA"/>
        </w:rPr>
        <w:t>AMGEVITA este o soluție limpede</w:t>
      </w:r>
      <w:r>
        <w:rPr>
          <w:szCs w:val="22"/>
        </w:rPr>
        <w:t xml:space="preserve"> şi incoloră până la uşor gălbuie</w:t>
      </w:r>
      <w:r>
        <w:rPr>
          <w:szCs w:val="22"/>
          <w:lang w:eastAsia="en-US" w:bidi="ar-SA"/>
        </w:rPr>
        <w:t>.</w:t>
      </w:r>
    </w:p>
    <w:p w14:paraId="0B4C155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0DB5EC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Fiecare ambalaj conţine 1 seringă preumplută de unică utilizare de 20 mg (cu piston de culoare galbenă). </w:t>
      </w:r>
    </w:p>
    <w:p w14:paraId="7ACEFC2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Fiecare ambalaj conţine 1, 2 sau 6 seringi preumplute de unică utilizare de 40 mg (cu piston de culoare albastră).</w:t>
      </w:r>
    </w:p>
    <w:p w14:paraId="71ABA56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Fiecare ambalaj conţine 1, 2 sau 3 seringi preumplute de unică utilizare de 80 mg (cu piston de culoare portocalie).</w:t>
      </w:r>
    </w:p>
    <w:p w14:paraId="60F4575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8C8CF53" w14:textId="77777777" w:rsidR="00C04CAD" w:rsidRDefault="00060E34">
      <w:pPr>
        <w:keepNext/>
        <w:numPr>
          <w:ilvl w:val="12"/>
          <w:numId w:val="0"/>
        </w:numPr>
        <w:tabs>
          <w:tab w:val="clear" w:pos="567"/>
        </w:tabs>
        <w:spacing w:line="240" w:lineRule="auto"/>
        <w:ind w:right="-2"/>
        <w:rPr>
          <w:b/>
          <w:szCs w:val="22"/>
        </w:rPr>
      </w:pPr>
      <w:r>
        <w:rPr>
          <w:b/>
          <w:szCs w:val="22"/>
        </w:rPr>
        <w:t>Deținătorul autorizației de punere pe piață și fabricantul</w:t>
      </w:r>
    </w:p>
    <w:p w14:paraId="6AC667A2"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Amgen Europe B.V.</w:t>
      </w:r>
    </w:p>
    <w:p w14:paraId="5882B2CD"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Minervum 7061</w:t>
      </w:r>
    </w:p>
    <w:p w14:paraId="2912538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4817 ZK Breda</w:t>
      </w:r>
    </w:p>
    <w:p w14:paraId="3F1BB2A5" w14:textId="77777777" w:rsidR="00C04CAD" w:rsidRDefault="00060E34">
      <w:pPr>
        <w:numPr>
          <w:ilvl w:val="12"/>
          <w:numId w:val="0"/>
        </w:numPr>
        <w:tabs>
          <w:tab w:val="clear" w:pos="567"/>
        </w:tabs>
        <w:spacing w:line="240" w:lineRule="auto"/>
        <w:ind w:right="-2"/>
        <w:rPr>
          <w:szCs w:val="22"/>
        </w:rPr>
      </w:pPr>
      <w:r>
        <w:rPr>
          <w:szCs w:val="22"/>
          <w:lang w:eastAsia="en-US" w:bidi="ar-SA"/>
        </w:rPr>
        <w:t>Olanda</w:t>
      </w:r>
    </w:p>
    <w:p w14:paraId="24A131CB" w14:textId="77777777" w:rsidR="00C04CAD" w:rsidRDefault="00C04CAD">
      <w:pPr>
        <w:numPr>
          <w:ilvl w:val="12"/>
          <w:numId w:val="0"/>
        </w:numPr>
        <w:tabs>
          <w:tab w:val="clear" w:pos="567"/>
        </w:tabs>
        <w:spacing w:line="240" w:lineRule="auto"/>
        <w:ind w:right="-2"/>
        <w:rPr>
          <w:szCs w:val="22"/>
        </w:rPr>
      </w:pPr>
    </w:p>
    <w:p w14:paraId="57000805" w14:textId="77777777" w:rsidR="00C04CAD" w:rsidRDefault="00060E34">
      <w:pPr>
        <w:tabs>
          <w:tab w:val="clear" w:pos="567"/>
        </w:tabs>
        <w:kinsoku w:val="0"/>
        <w:overflowPunct w:val="0"/>
        <w:autoSpaceDE w:val="0"/>
        <w:autoSpaceDN w:val="0"/>
        <w:adjustRightInd w:val="0"/>
        <w:spacing w:line="240" w:lineRule="auto"/>
        <w:rPr>
          <w:b/>
          <w:szCs w:val="22"/>
          <w:highlight w:val="lightGray"/>
          <w:lang w:eastAsia="en-US" w:bidi="ar-SA"/>
        </w:rPr>
      </w:pPr>
      <w:r>
        <w:rPr>
          <w:b/>
          <w:szCs w:val="22"/>
          <w:highlight w:val="lightGray"/>
          <w:lang w:eastAsia="en-US" w:bidi="ar-SA"/>
        </w:rPr>
        <w:t>Deţinătorul autorizaţiei de punere pe piaţă</w:t>
      </w:r>
    </w:p>
    <w:p w14:paraId="37408866"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Europe B.V.</w:t>
      </w:r>
    </w:p>
    <w:p w14:paraId="41BD9010"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Minervum 7061</w:t>
      </w:r>
    </w:p>
    <w:p w14:paraId="204C9BF1"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4817 ZK Breda</w:t>
      </w:r>
    </w:p>
    <w:p w14:paraId="3607362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Olanda</w:t>
      </w:r>
    </w:p>
    <w:p w14:paraId="4DB4781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F6EE31E" w14:textId="77777777" w:rsidR="00C04CAD" w:rsidRDefault="00060E34">
      <w:pPr>
        <w:tabs>
          <w:tab w:val="clear" w:pos="567"/>
        </w:tabs>
        <w:kinsoku w:val="0"/>
        <w:overflowPunct w:val="0"/>
        <w:autoSpaceDE w:val="0"/>
        <w:autoSpaceDN w:val="0"/>
        <w:adjustRightInd w:val="0"/>
        <w:spacing w:line="240" w:lineRule="auto"/>
        <w:outlineLvl w:val="0"/>
        <w:rPr>
          <w:szCs w:val="22"/>
          <w:highlight w:val="lightGray"/>
          <w:lang w:eastAsia="en-US" w:bidi="ar-SA"/>
        </w:rPr>
      </w:pPr>
      <w:r>
        <w:rPr>
          <w:b/>
          <w:bCs/>
          <w:szCs w:val="22"/>
          <w:highlight w:val="lightGray"/>
          <w:lang w:eastAsia="en-US" w:bidi="ar-SA"/>
        </w:rPr>
        <w:t>Fabricantul</w:t>
      </w:r>
    </w:p>
    <w:p w14:paraId="7C0BBF8D"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Technology Ireland UC</w:t>
      </w:r>
    </w:p>
    <w:p w14:paraId="69C07344"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Pottery Road</w:t>
      </w:r>
    </w:p>
    <w:p w14:paraId="1712D90A"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Dun Laoghaire</w:t>
      </w:r>
    </w:p>
    <w:p w14:paraId="491D063C"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Co Dublin</w:t>
      </w:r>
    </w:p>
    <w:p w14:paraId="79850F13" w14:textId="77777777" w:rsidR="00C04CAD" w:rsidRDefault="00060E34">
      <w:pPr>
        <w:numPr>
          <w:ilvl w:val="12"/>
          <w:numId w:val="0"/>
        </w:numPr>
        <w:tabs>
          <w:tab w:val="clear" w:pos="567"/>
        </w:tabs>
        <w:spacing w:line="240" w:lineRule="auto"/>
        <w:ind w:right="-2"/>
      </w:pPr>
      <w:r>
        <w:rPr>
          <w:szCs w:val="24"/>
          <w:highlight w:val="lightGray"/>
          <w:lang w:eastAsia="en-US" w:bidi="ar-SA"/>
        </w:rPr>
        <w:t>Irlanda</w:t>
      </w:r>
    </w:p>
    <w:p w14:paraId="00A03F99" w14:textId="77777777" w:rsidR="00C04CAD" w:rsidRDefault="00C04CAD">
      <w:pPr>
        <w:numPr>
          <w:ilvl w:val="12"/>
          <w:numId w:val="0"/>
        </w:numPr>
        <w:tabs>
          <w:tab w:val="clear" w:pos="567"/>
        </w:tabs>
        <w:spacing w:line="240" w:lineRule="auto"/>
        <w:ind w:right="-2"/>
      </w:pPr>
    </w:p>
    <w:p w14:paraId="1EB46F15" w14:textId="77777777" w:rsidR="00C04CAD" w:rsidRDefault="00060E34">
      <w:pPr>
        <w:keepNext/>
        <w:spacing w:line="240" w:lineRule="auto"/>
        <w:rPr>
          <w:lang w:eastAsia="ja-JP"/>
        </w:rPr>
      </w:pPr>
      <w:r>
        <w:rPr>
          <w:b/>
          <w:bCs/>
          <w:szCs w:val="22"/>
          <w:highlight w:val="lightGray"/>
          <w:lang w:eastAsia="en-US" w:bidi="ar-SA"/>
        </w:rPr>
        <w:t>Fabricantul</w:t>
      </w:r>
    </w:p>
    <w:p w14:paraId="0B162956" w14:textId="77777777" w:rsidR="00C04CAD" w:rsidRDefault="00060E34">
      <w:pPr>
        <w:keepNext/>
        <w:spacing w:line="240" w:lineRule="auto"/>
        <w:rPr>
          <w:highlight w:val="lightGray"/>
          <w:lang w:eastAsia="ja-JP"/>
        </w:rPr>
      </w:pPr>
      <w:r>
        <w:rPr>
          <w:highlight w:val="lightGray"/>
          <w:lang w:eastAsia="ja-JP"/>
        </w:rPr>
        <w:t>Amgen NV</w:t>
      </w:r>
    </w:p>
    <w:p w14:paraId="6C3C89C4" w14:textId="77777777" w:rsidR="00C04CAD" w:rsidRDefault="00060E34">
      <w:pPr>
        <w:autoSpaceDE w:val="0"/>
        <w:autoSpaceDN w:val="0"/>
        <w:spacing w:line="240" w:lineRule="auto"/>
        <w:rPr>
          <w:highlight w:val="lightGray"/>
          <w:lang w:eastAsia="ja-JP"/>
        </w:rPr>
      </w:pPr>
      <w:r>
        <w:rPr>
          <w:highlight w:val="lightGray"/>
          <w:lang w:eastAsia="ja-JP"/>
        </w:rPr>
        <w:t>Telecomlaan 5-7</w:t>
      </w:r>
    </w:p>
    <w:p w14:paraId="697E0B44" w14:textId="77777777" w:rsidR="00C04CAD" w:rsidRDefault="00060E34">
      <w:pPr>
        <w:spacing w:line="240" w:lineRule="auto"/>
        <w:rPr>
          <w:highlight w:val="lightGray"/>
          <w:lang w:eastAsia="ja-JP"/>
        </w:rPr>
      </w:pPr>
      <w:r>
        <w:rPr>
          <w:highlight w:val="lightGray"/>
          <w:lang w:eastAsia="ja-JP"/>
        </w:rPr>
        <w:t>1831 Diegem</w:t>
      </w:r>
    </w:p>
    <w:p w14:paraId="238316E2" w14:textId="77777777" w:rsidR="00C04CAD" w:rsidRDefault="00060E34">
      <w:pPr>
        <w:numPr>
          <w:ilvl w:val="12"/>
          <w:numId w:val="0"/>
        </w:numPr>
        <w:tabs>
          <w:tab w:val="clear" w:pos="567"/>
        </w:tabs>
        <w:spacing w:line="240" w:lineRule="auto"/>
        <w:ind w:right="-2"/>
      </w:pPr>
      <w:r>
        <w:rPr>
          <w:highlight w:val="lightGray"/>
          <w:lang w:eastAsia="ja-JP"/>
        </w:rPr>
        <w:t>Belgia</w:t>
      </w:r>
      <w:r>
        <w:t xml:space="preserve"> </w:t>
      </w:r>
    </w:p>
    <w:p w14:paraId="77119425" w14:textId="77777777" w:rsidR="00C04CAD" w:rsidRDefault="00C04CAD">
      <w:pPr>
        <w:numPr>
          <w:ilvl w:val="12"/>
          <w:numId w:val="0"/>
        </w:numPr>
        <w:tabs>
          <w:tab w:val="clear" w:pos="567"/>
        </w:tabs>
        <w:spacing w:line="240" w:lineRule="auto"/>
        <w:ind w:right="-2"/>
      </w:pPr>
    </w:p>
    <w:p w14:paraId="786D4A8C" w14:textId="77777777" w:rsidR="00C04CAD" w:rsidRDefault="00060E34">
      <w:pPr>
        <w:keepNext/>
        <w:numPr>
          <w:ilvl w:val="12"/>
          <w:numId w:val="0"/>
        </w:numPr>
        <w:tabs>
          <w:tab w:val="clear" w:pos="567"/>
        </w:tabs>
        <w:spacing w:line="240" w:lineRule="auto"/>
        <w:ind w:right="-2"/>
        <w:rPr>
          <w:szCs w:val="22"/>
        </w:rPr>
      </w:pPr>
      <w:r>
        <w:t>Pentru orice informații referitoare la acest medicament, vă rugăm să contactați reprezentanța locală a deținătorului autorizației de punere pe piață:</w:t>
      </w:r>
    </w:p>
    <w:p w14:paraId="13D1C77C" w14:textId="77777777" w:rsidR="00C04CAD" w:rsidRDefault="00C04CAD">
      <w:pPr>
        <w:keepNext/>
        <w:spacing w:line="240" w:lineRule="auto"/>
        <w:rPr>
          <w:szCs w:val="22"/>
        </w:rPr>
      </w:pPr>
    </w:p>
    <w:tbl>
      <w:tblPr>
        <w:tblW w:w="9356" w:type="dxa"/>
        <w:tblLook w:val="04A0" w:firstRow="1" w:lastRow="0" w:firstColumn="1" w:lastColumn="0" w:noHBand="0" w:noVBand="1"/>
      </w:tblPr>
      <w:tblGrid>
        <w:gridCol w:w="4677"/>
        <w:gridCol w:w="4679"/>
      </w:tblGrid>
      <w:tr w:rsidR="00C04CAD" w14:paraId="0D1572F5" w14:textId="77777777">
        <w:trPr>
          <w:cantSplit/>
        </w:trPr>
        <w:tc>
          <w:tcPr>
            <w:tcW w:w="4677" w:type="dxa"/>
          </w:tcPr>
          <w:p w14:paraId="71DEA5CD" w14:textId="77777777" w:rsidR="00C04CAD" w:rsidRDefault="00060E34">
            <w:pPr>
              <w:keepNext/>
              <w:spacing w:line="240" w:lineRule="auto"/>
              <w:rPr>
                <w:rFonts w:eastAsia="PMingLiU"/>
                <w:szCs w:val="22"/>
                <w:lang w:eastAsia="en-US" w:bidi="ar-SA"/>
              </w:rPr>
            </w:pPr>
            <w:r>
              <w:rPr>
                <w:rFonts w:eastAsia="PMingLiU"/>
                <w:b/>
                <w:szCs w:val="22"/>
                <w:lang w:eastAsia="en-US" w:bidi="ar-SA"/>
              </w:rPr>
              <w:t>België/Belgique/Belgien</w:t>
            </w:r>
          </w:p>
          <w:p w14:paraId="058BADCD" w14:textId="77777777" w:rsidR="00C04CAD" w:rsidRDefault="00060E34">
            <w:pPr>
              <w:keepNext/>
              <w:spacing w:line="240" w:lineRule="auto"/>
              <w:rPr>
                <w:rFonts w:eastAsia="PMingLiU"/>
                <w:szCs w:val="22"/>
                <w:lang w:eastAsia="en-US" w:bidi="ar-SA"/>
              </w:rPr>
            </w:pPr>
            <w:r>
              <w:rPr>
                <w:rFonts w:eastAsia="PMingLiU"/>
                <w:szCs w:val="22"/>
                <w:lang w:eastAsia="en-US" w:bidi="ar-SA"/>
              </w:rPr>
              <w:t>s.a. Amgen n.v.</w:t>
            </w:r>
          </w:p>
          <w:p w14:paraId="5A973C8E" w14:textId="77777777" w:rsidR="00C04CAD" w:rsidRDefault="00060E34">
            <w:pPr>
              <w:keepNext/>
              <w:tabs>
                <w:tab w:val="clear" w:pos="567"/>
              </w:tabs>
              <w:autoSpaceDE w:val="0"/>
              <w:autoSpaceDN w:val="0"/>
              <w:adjustRightInd w:val="0"/>
              <w:spacing w:line="240" w:lineRule="auto"/>
              <w:rPr>
                <w:szCs w:val="22"/>
                <w:lang w:eastAsia="en-US" w:bidi="ar-SA"/>
              </w:rPr>
            </w:pPr>
            <w:r>
              <w:rPr>
                <w:szCs w:val="22"/>
              </w:rPr>
              <w:t>Tél/</w:t>
            </w:r>
            <w:r>
              <w:rPr>
                <w:szCs w:val="22"/>
                <w:lang w:eastAsia="en-US" w:bidi="ar-SA"/>
              </w:rPr>
              <w:t>Tel: +32 (0)2 7752711</w:t>
            </w:r>
          </w:p>
          <w:p w14:paraId="76FAFE6E" w14:textId="77777777" w:rsidR="00C04CAD" w:rsidRDefault="00C04CAD">
            <w:pPr>
              <w:keepNext/>
              <w:tabs>
                <w:tab w:val="clear" w:pos="567"/>
              </w:tabs>
              <w:autoSpaceDE w:val="0"/>
              <w:autoSpaceDN w:val="0"/>
              <w:adjustRightInd w:val="0"/>
              <w:spacing w:line="240" w:lineRule="auto"/>
              <w:rPr>
                <w:szCs w:val="22"/>
                <w:lang w:eastAsia="en-US" w:bidi="ar-SA"/>
              </w:rPr>
            </w:pPr>
          </w:p>
        </w:tc>
        <w:tc>
          <w:tcPr>
            <w:tcW w:w="4679" w:type="dxa"/>
          </w:tcPr>
          <w:p w14:paraId="15FFC2EA" w14:textId="77777777" w:rsidR="00C04CAD" w:rsidRDefault="00060E34">
            <w:pPr>
              <w:keepNext/>
              <w:spacing w:line="240" w:lineRule="auto"/>
              <w:rPr>
                <w:rFonts w:eastAsia="PMingLiU"/>
                <w:b/>
                <w:szCs w:val="22"/>
                <w:lang w:eastAsia="en-US" w:bidi="ar-SA"/>
              </w:rPr>
            </w:pPr>
            <w:r>
              <w:rPr>
                <w:rFonts w:eastAsia="PMingLiU"/>
                <w:b/>
                <w:szCs w:val="22"/>
                <w:lang w:eastAsia="en-US" w:bidi="ar-SA"/>
              </w:rPr>
              <w:t>Lietuva</w:t>
            </w:r>
          </w:p>
          <w:p w14:paraId="0FE555B7" w14:textId="77777777" w:rsidR="00C04CAD" w:rsidRDefault="00060E34">
            <w:pPr>
              <w:keepNext/>
              <w:spacing w:line="240" w:lineRule="auto"/>
              <w:rPr>
                <w:rFonts w:eastAsia="PMingLiU"/>
                <w:bCs/>
                <w:szCs w:val="22"/>
                <w:lang w:eastAsia="en-US" w:bidi="ar-SA"/>
              </w:rPr>
            </w:pPr>
            <w:r>
              <w:rPr>
                <w:rFonts w:eastAsia="PMingLiU"/>
                <w:szCs w:val="22"/>
                <w:lang w:eastAsia="en-US" w:bidi="ar-SA"/>
              </w:rPr>
              <w:t>Amgen Switzerland AG Vilniaus filialas</w:t>
            </w:r>
          </w:p>
          <w:p w14:paraId="6C1604A0" w14:textId="77777777" w:rsidR="00C04CAD" w:rsidRDefault="00060E34">
            <w:pPr>
              <w:keepNext/>
              <w:spacing w:line="240" w:lineRule="auto"/>
              <w:rPr>
                <w:rFonts w:eastAsia="PMingLiU"/>
                <w:bCs/>
                <w:szCs w:val="22"/>
                <w:lang w:eastAsia="en-US" w:bidi="ar-SA"/>
              </w:rPr>
            </w:pPr>
            <w:r>
              <w:rPr>
                <w:rFonts w:eastAsia="PMingLiU"/>
                <w:bCs/>
                <w:szCs w:val="22"/>
                <w:lang w:eastAsia="en-US" w:bidi="ar-SA"/>
              </w:rPr>
              <w:t>Tel</w:t>
            </w:r>
            <w:del w:id="30" w:author="Author">
              <w:r>
                <w:rPr>
                  <w:rFonts w:eastAsia="PMingLiU"/>
                  <w:bCs/>
                  <w:szCs w:val="22"/>
                  <w:lang w:eastAsia="en-US" w:bidi="ar-SA"/>
                </w:rPr>
                <w:delText>:</w:delText>
              </w:r>
            </w:del>
            <w:ins w:id="31" w:author="Author">
              <w:r>
                <w:rPr>
                  <w:rFonts w:eastAsia="PMingLiU"/>
                  <w:bCs/>
                  <w:szCs w:val="22"/>
                  <w:lang w:eastAsia="en-US" w:bidi="ar-SA"/>
                </w:rPr>
                <w:t>.</w:t>
              </w:r>
            </w:ins>
            <w:r>
              <w:rPr>
                <w:rFonts w:eastAsia="PMingLiU"/>
                <w:bCs/>
                <w:szCs w:val="22"/>
                <w:lang w:eastAsia="en-US" w:bidi="ar-SA"/>
              </w:rPr>
              <w:t xml:space="preserve"> +370 5 219 7474</w:t>
            </w:r>
          </w:p>
          <w:p w14:paraId="23BC6257" w14:textId="77777777" w:rsidR="00C04CAD" w:rsidRDefault="00C04CAD">
            <w:pPr>
              <w:keepNext/>
              <w:tabs>
                <w:tab w:val="clear" w:pos="567"/>
              </w:tabs>
              <w:autoSpaceDE w:val="0"/>
              <w:autoSpaceDN w:val="0"/>
              <w:adjustRightInd w:val="0"/>
              <w:spacing w:line="240" w:lineRule="auto"/>
              <w:rPr>
                <w:szCs w:val="22"/>
                <w:lang w:eastAsia="en-US" w:bidi="ar-SA"/>
              </w:rPr>
            </w:pPr>
          </w:p>
        </w:tc>
      </w:tr>
      <w:tr w:rsidR="00C04CAD" w14:paraId="3766D658" w14:textId="77777777">
        <w:trPr>
          <w:cantSplit/>
        </w:trPr>
        <w:tc>
          <w:tcPr>
            <w:tcW w:w="4677" w:type="dxa"/>
          </w:tcPr>
          <w:p w14:paraId="0AE7E232" w14:textId="77777777" w:rsidR="00C04CAD" w:rsidRDefault="00060E34">
            <w:pPr>
              <w:tabs>
                <w:tab w:val="clear" w:pos="567"/>
              </w:tabs>
              <w:autoSpaceDE w:val="0"/>
              <w:autoSpaceDN w:val="0"/>
              <w:adjustRightInd w:val="0"/>
              <w:spacing w:line="240" w:lineRule="auto"/>
              <w:rPr>
                <w:b/>
                <w:szCs w:val="22"/>
                <w:lang w:eastAsia="en-US" w:bidi="ar-SA"/>
              </w:rPr>
            </w:pPr>
            <w:r>
              <w:rPr>
                <w:b/>
                <w:szCs w:val="22"/>
                <w:lang w:eastAsia="en-US" w:bidi="ar-SA"/>
              </w:rPr>
              <w:t>България</w:t>
            </w:r>
          </w:p>
          <w:p w14:paraId="7CDD4CAF" w14:textId="77777777" w:rsidR="00C04CAD" w:rsidRDefault="00060E34">
            <w:pPr>
              <w:spacing w:line="240" w:lineRule="auto"/>
              <w:rPr>
                <w:rFonts w:eastAsia="PMingLiU"/>
                <w:szCs w:val="22"/>
                <w:lang w:eastAsia="en-US" w:bidi="ar-SA"/>
              </w:rPr>
            </w:pPr>
            <w:r>
              <w:rPr>
                <w:rFonts w:eastAsia="Arial Unicode MS"/>
                <w:szCs w:val="22"/>
                <w:lang w:eastAsia="en-GB" w:bidi="ar-SA"/>
              </w:rPr>
              <w:t>Амджен България</w:t>
            </w:r>
            <w:r>
              <w:rPr>
                <w:rFonts w:eastAsia="PMingLiU"/>
                <w:szCs w:val="22"/>
                <w:lang w:eastAsia="en-US" w:bidi="ar-SA"/>
              </w:rPr>
              <w:t xml:space="preserve"> ЕООД</w:t>
            </w:r>
          </w:p>
          <w:p w14:paraId="50D3E270" w14:textId="77777777" w:rsidR="00C04CAD" w:rsidRDefault="00060E34">
            <w:pPr>
              <w:spacing w:line="240" w:lineRule="auto"/>
              <w:rPr>
                <w:rFonts w:eastAsia="Arial Unicode MS"/>
                <w:bCs/>
                <w:szCs w:val="22"/>
                <w:lang w:eastAsia="en-US" w:bidi="ar-SA"/>
              </w:rPr>
            </w:pPr>
            <w:r>
              <w:rPr>
                <w:rFonts w:eastAsia="PMingLiU"/>
                <w:szCs w:val="22"/>
                <w:lang w:eastAsia="en-US" w:bidi="ar-SA"/>
              </w:rPr>
              <w:t>Тел</w:t>
            </w:r>
            <w:r>
              <w:rPr>
                <w:rFonts w:eastAsia="Arial Unicode MS"/>
                <w:szCs w:val="22"/>
                <w:lang w:eastAsia="en-GB" w:bidi="ar-SA"/>
              </w:rPr>
              <w:t>.: +</w:t>
            </w:r>
            <w:r>
              <w:rPr>
                <w:rFonts w:eastAsia="PMingLiU"/>
                <w:szCs w:val="22"/>
                <w:lang w:eastAsia="en-US" w:bidi="ar-SA"/>
              </w:rPr>
              <w:t xml:space="preserve">359 </w:t>
            </w:r>
            <w:r>
              <w:rPr>
                <w:rFonts w:eastAsia="Arial Unicode MS"/>
                <w:bCs/>
                <w:szCs w:val="22"/>
                <w:lang w:eastAsia="en-US" w:bidi="ar-SA"/>
              </w:rPr>
              <w:t>(0)</w:t>
            </w:r>
            <w:r>
              <w:rPr>
                <w:rFonts w:eastAsia="PMingLiU"/>
                <w:szCs w:val="22"/>
                <w:lang w:eastAsia="en-US" w:bidi="ar-SA"/>
              </w:rPr>
              <w:t>2</w:t>
            </w:r>
            <w:r>
              <w:rPr>
                <w:rFonts w:eastAsia="Arial Unicode MS"/>
                <w:bCs/>
                <w:szCs w:val="22"/>
                <w:lang w:eastAsia="en-US" w:bidi="ar-SA"/>
              </w:rPr>
              <w:t> 424 7440</w:t>
            </w:r>
          </w:p>
          <w:p w14:paraId="6BA2CF1B"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5FF038A4" w14:textId="77777777" w:rsidR="00C04CAD" w:rsidRDefault="00060E34">
            <w:pPr>
              <w:spacing w:line="240" w:lineRule="auto"/>
              <w:rPr>
                <w:rFonts w:eastAsia="PMingLiU"/>
                <w:szCs w:val="22"/>
                <w:lang w:eastAsia="en-US" w:bidi="ar-SA"/>
              </w:rPr>
            </w:pPr>
            <w:r>
              <w:rPr>
                <w:rFonts w:eastAsia="PMingLiU"/>
                <w:b/>
                <w:szCs w:val="22"/>
                <w:lang w:eastAsia="en-US" w:bidi="ar-SA"/>
              </w:rPr>
              <w:t>Luxembourg/Luxemburg</w:t>
            </w:r>
          </w:p>
          <w:p w14:paraId="1DB9D2E8" w14:textId="77777777" w:rsidR="00C04CAD" w:rsidRDefault="00060E34">
            <w:pPr>
              <w:spacing w:line="240" w:lineRule="auto"/>
              <w:rPr>
                <w:rFonts w:eastAsia="PMingLiU"/>
                <w:szCs w:val="22"/>
                <w:lang w:eastAsia="en-US" w:bidi="ar-SA"/>
              </w:rPr>
            </w:pPr>
            <w:r>
              <w:rPr>
                <w:rFonts w:eastAsia="PMingLiU"/>
                <w:szCs w:val="22"/>
                <w:lang w:eastAsia="en-US" w:bidi="ar-SA"/>
              </w:rPr>
              <w:t xml:space="preserve">s.a. Amgen </w:t>
            </w:r>
          </w:p>
          <w:p w14:paraId="7CDCD443" w14:textId="77777777" w:rsidR="00C04CAD" w:rsidRDefault="00060E34">
            <w:pPr>
              <w:spacing w:line="240" w:lineRule="auto"/>
              <w:rPr>
                <w:rFonts w:eastAsia="PMingLiU"/>
                <w:szCs w:val="22"/>
                <w:lang w:eastAsia="en-US" w:bidi="ar-SA"/>
              </w:rPr>
            </w:pPr>
            <w:r>
              <w:rPr>
                <w:rFonts w:eastAsia="PMingLiU"/>
                <w:szCs w:val="22"/>
                <w:lang w:eastAsia="en-US" w:bidi="ar-SA"/>
              </w:rPr>
              <w:t>Belgique/Belgien</w:t>
            </w:r>
          </w:p>
          <w:p w14:paraId="3EC80135" w14:textId="77777777" w:rsidR="00C04CAD" w:rsidRDefault="00060E34">
            <w:pPr>
              <w:spacing w:line="240" w:lineRule="auto"/>
              <w:rPr>
                <w:rFonts w:eastAsia="PMingLiU"/>
                <w:szCs w:val="22"/>
                <w:lang w:eastAsia="en-US" w:bidi="ar-SA"/>
              </w:rPr>
            </w:pPr>
            <w:r>
              <w:rPr>
                <w:szCs w:val="22"/>
              </w:rPr>
              <w:t>Tél/</w:t>
            </w:r>
            <w:r>
              <w:rPr>
                <w:rFonts w:eastAsia="PMingLiU"/>
                <w:szCs w:val="22"/>
                <w:lang w:eastAsia="en-US" w:bidi="ar-SA"/>
              </w:rPr>
              <w:t>Tel: +32 (0)2 7752711</w:t>
            </w:r>
          </w:p>
          <w:p w14:paraId="19E31344"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74873D26" w14:textId="77777777">
        <w:trPr>
          <w:cantSplit/>
        </w:trPr>
        <w:tc>
          <w:tcPr>
            <w:tcW w:w="4677" w:type="dxa"/>
          </w:tcPr>
          <w:p w14:paraId="7F39C21C" w14:textId="77777777" w:rsidR="00C04CAD" w:rsidRDefault="00060E34">
            <w:pPr>
              <w:keepNext/>
              <w:spacing w:line="240" w:lineRule="auto"/>
              <w:rPr>
                <w:rFonts w:eastAsia="PMingLiU"/>
                <w:b/>
                <w:lang w:eastAsia="en-US" w:bidi="ar-SA"/>
              </w:rPr>
            </w:pPr>
            <w:r>
              <w:rPr>
                <w:rFonts w:eastAsia="PMingLiU"/>
                <w:b/>
                <w:lang w:eastAsia="en-US" w:bidi="ar-SA"/>
              </w:rPr>
              <w:t>Česká republika</w:t>
            </w:r>
          </w:p>
          <w:p w14:paraId="65D8ABB3" w14:textId="77777777" w:rsidR="00C04CAD" w:rsidRDefault="00060E34">
            <w:pPr>
              <w:keepNext/>
              <w:spacing w:line="240" w:lineRule="auto"/>
              <w:rPr>
                <w:rFonts w:eastAsia="PMingLiU"/>
                <w:lang w:eastAsia="en-US" w:bidi="ar-SA"/>
              </w:rPr>
            </w:pPr>
            <w:r>
              <w:rPr>
                <w:rFonts w:eastAsia="PMingLiU"/>
                <w:bCs/>
                <w:szCs w:val="22"/>
                <w:lang w:eastAsia="en-US" w:bidi="ar-SA"/>
              </w:rPr>
              <w:t>Amgen</w:t>
            </w:r>
            <w:r>
              <w:rPr>
                <w:rFonts w:eastAsia="PMingLiU"/>
                <w:lang w:eastAsia="en-US" w:bidi="ar-SA"/>
              </w:rPr>
              <w:t xml:space="preserve"> s.r.o.</w:t>
            </w:r>
          </w:p>
          <w:p w14:paraId="443FD1DC" w14:textId="77777777" w:rsidR="00C04CAD" w:rsidRDefault="00060E34">
            <w:pPr>
              <w:keepNext/>
              <w:spacing w:line="240" w:lineRule="auto"/>
              <w:rPr>
                <w:rFonts w:eastAsia="PMingLiU"/>
                <w:bCs/>
                <w:szCs w:val="22"/>
                <w:lang w:eastAsia="en-US" w:bidi="ar-SA"/>
              </w:rPr>
            </w:pPr>
            <w:r>
              <w:rPr>
                <w:rFonts w:eastAsia="PMingLiU"/>
                <w:lang w:eastAsia="en-US" w:bidi="ar-SA"/>
              </w:rPr>
              <w:t xml:space="preserve">Tel: +420 </w:t>
            </w:r>
            <w:r>
              <w:rPr>
                <w:rFonts w:eastAsia="PMingLiU"/>
                <w:bCs/>
                <w:szCs w:val="22"/>
                <w:lang w:eastAsia="en-US" w:bidi="ar-SA"/>
              </w:rPr>
              <w:t>221 773 500</w:t>
            </w:r>
          </w:p>
          <w:p w14:paraId="5F62CAF9"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6C119B6E" w14:textId="77777777" w:rsidR="00C04CAD" w:rsidRDefault="00060E34">
            <w:pPr>
              <w:spacing w:line="240" w:lineRule="auto"/>
              <w:rPr>
                <w:rFonts w:eastAsia="PMingLiU"/>
                <w:b/>
                <w:lang w:eastAsia="en-US" w:bidi="ar-SA"/>
              </w:rPr>
            </w:pPr>
            <w:r>
              <w:rPr>
                <w:rFonts w:eastAsia="PMingLiU"/>
                <w:b/>
                <w:lang w:eastAsia="en-US" w:bidi="ar-SA"/>
              </w:rPr>
              <w:t>Magyarország</w:t>
            </w:r>
          </w:p>
          <w:p w14:paraId="7A84B727" w14:textId="77777777" w:rsidR="00C04CAD" w:rsidRDefault="00060E34">
            <w:pPr>
              <w:spacing w:line="240" w:lineRule="auto"/>
              <w:rPr>
                <w:rFonts w:eastAsia="PMingLiU"/>
                <w:lang w:eastAsia="en-US" w:bidi="ar-SA"/>
              </w:rPr>
            </w:pPr>
            <w:r>
              <w:rPr>
                <w:rFonts w:eastAsia="PMingLiU"/>
                <w:bCs/>
                <w:szCs w:val="22"/>
                <w:lang w:eastAsia="en-US" w:bidi="ar-SA"/>
              </w:rPr>
              <w:t>Amgen</w:t>
            </w:r>
            <w:r>
              <w:rPr>
                <w:rFonts w:eastAsia="PMingLiU"/>
                <w:lang w:eastAsia="en-US" w:bidi="ar-SA"/>
              </w:rPr>
              <w:t xml:space="preserve"> Kft.</w:t>
            </w:r>
          </w:p>
          <w:p w14:paraId="50735E76" w14:textId="77777777" w:rsidR="00C04CAD" w:rsidRDefault="00060E34">
            <w:pPr>
              <w:spacing w:line="240" w:lineRule="auto"/>
              <w:rPr>
                <w:rFonts w:eastAsia="PMingLiU"/>
                <w:bCs/>
                <w:szCs w:val="22"/>
                <w:lang w:eastAsia="en-US" w:bidi="ar-SA"/>
              </w:rPr>
            </w:pPr>
            <w:r>
              <w:rPr>
                <w:rFonts w:eastAsia="PMingLiU"/>
                <w:lang w:eastAsia="en-US" w:bidi="ar-SA"/>
              </w:rPr>
              <w:t>Tel</w:t>
            </w:r>
            <w:r>
              <w:rPr>
                <w:rFonts w:eastAsia="PMingLiU"/>
                <w:bCs/>
                <w:szCs w:val="22"/>
                <w:lang w:eastAsia="en-US" w:bidi="ar-SA"/>
              </w:rPr>
              <w:t>.: +</w:t>
            </w:r>
            <w:r>
              <w:rPr>
                <w:rFonts w:eastAsia="PMingLiU"/>
                <w:lang w:eastAsia="en-US" w:bidi="ar-SA"/>
              </w:rPr>
              <w:t xml:space="preserve">36 1 </w:t>
            </w:r>
            <w:r>
              <w:rPr>
                <w:rFonts w:eastAsia="PMingLiU"/>
                <w:bCs/>
                <w:szCs w:val="22"/>
                <w:lang w:eastAsia="en-US" w:bidi="ar-SA"/>
              </w:rPr>
              <w:t>35 44 700</w:t>
            </w:r>
          </w:p>
          <w:p w14:paraId="74FBA21E"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7B50C360" w14:textId="77777777">
        <w:trPr>
          <w:cantSplit/>
        </w:trPr>
        <w:tc>
          <w:tcPr>
            <w:tcW w:w="4677" w:type="dxa"/>
          </w:tcPr>
          <w:p w14:paraId="0341DC82" w14:textId="77777777" w:rsidR="00C04CAD" w:rsidRDefault="00060E34">
            <w:pPr>
              <w:spacing w:line="240" w:lineRule="auto"/>
              <w:rPr>
                <w:rFonts w:eastAsia="PMingLiU"/>
                <w:lang w:eastAsia="en-US" w:bidi="ar-SA"/>
              </w:rPr>
            </w:pPr>
            <w:r>
              <w:rPr>
                <w:rFonts w:eastAsia="PMingLiU"/>
                <w:b/>
                <w:lang w:eastAsia="en-US" w:bidi="ar-SA"/>
              </w:rPr>
              <w:t>Danmark</w:t>
            </w:r>
          </w:p>
          <w:p w14:paraId="10B52AE4" w14:textId="77777777" w:rsidR="00C04CAD" w:rsidRDefault="00060E34">
            <w:pPr>
              <w:spacing w:line="240" w:lineRule="auto"/>
              <w:rPr>
                <w:rFonts w:eastAsia="PMingLiU"/>
                <w:szCs w:val="22"/>
                <w:lang w:eastAsia="en-US" w:bidi="ar-SA"/>
              </w:rPr>
            </w:pPr>
            <w:r>
              <w:rPr>
                <w:rFonts w:eastAsia="PMingLiU"/>
                <w:szCs w:val="22"/>
                <w:lang w:eastAsia="en-US" w:bidi="ar-SA"/>
              </w:rPr>
              <w:t>Amgen, filial af Amgen AB, Sverige</w:t>
            </w:r>
          </w:p>
          <w:p w14:paraId="113B2122" w14:textId="77777777" w:rsidR="00C04CAD" w:rsidRDefault="00060E34">
            <w:pPr>
              <w:spacing w:line="240" w:lineRule="auto"/>
              <w:rPr>
                <w:rFonts w:eastAsia="PMingLiU"/>
                <w:szCs w:val="22"/>
                <w:lang w:eastAsia="en-US" w:bidi="ar-SA"/>
              </w:rPr>
            </w:pPr>
            <w:r>
              <w:rPr>
                <w:rFonts w:eastAsia="PMingLiU"/>
                <w:lang w:eastAsia="en-US" w:bidi="ar-SA"/>
              </w:rPr>
              <w:t>Tlf</w:t>
            </w:r>
            <w:ins w:id="32" w:author="Author">
              <w:r>
                <w:rPr>
                  <w:rFonts w:eastAsia="PMingLiU"/>
                  <w:lang w:eastAsia="en-US" w:bidi="ar-SA"/>
                </w:rPr>
                <w:t>.</w:t>
              </w:r>
            </w:ins>
            <w:r>
              <w:rPr>
                <w:rFonts w:eastAsia="PMingLiU"/>
                <w:lang w:eastAsia="en-US" w:bidi="ar-SA"/>
              </w:rPr>
              <w:t xml:space="preserve">: +45 </w:t>
            </w:r>
            <w:r>
              <w:rPr>
                <w:rFonts w:eastAsia="PMingLiU"/>
                <w:szCs w:val="22"/>
                <w:lang w:eastAsia="en-US" w:bidi="ar-SA"/>
              </w:rPr>
              <w:t>39617500</w:t>
            </w:r>
          </w:p>
          <w:p w14:paraId="2472D797"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64C58535" w14:textId="77777777" w:rsidR="00C04CAD" w:rsidRDefault="00060E34">
            <w:pPr>
              <w:spacing w:line="240" w:lineRule="auto"/>
              <w:rPr>
                <w:rFonts w:eastAsia="PMingLiU"/>
                <w:b/>
                <w:lang w:eastAsia="en-US" w:bidi="ar-SA"/>
              </w:rPr>
            </w:pPr>
            <w:r>
              <w:rPr>
                <w:rFonts w:eastAsia="PMingLiU"/>
                <w:b/>
                <w:lang w:eastAsia="en-US" w:bidi="ar-SA"/>
              </w:rPr>
              <w:t>Malta</w:t>
            </w:r>
          </w:p>
          <w:p w14:paraId="08943BCB" w14:textId="77777777" w:rsidR="00C04CAD" w:rsidRDefault="00060E34">
            <w:pPr>
              <w:pStyle w:val="lbltxt"/>
              <w:rPr>
                <w:szCs w:val="22"/>
                <w:lang w:val="ro-RO"/>
              </w:rPr>
            </w:pPr>
            <w:r>
              <w:rPr>
                <w:szCs w:val="22"/>
                <w:lang w:val="ro-RO"/>
              </w:rPr>
              <w:t>Amgen S.r.l.</w:t>
            </w:r>
          </w:p>
          <w:p w14:paraId="39C67FB0" w14:textId="77777777" w:rsidR="00C04CAD" w:rsidRDefault="00060E34">
            <w:pPr>
              <w:pStyle w:val="lbltxt"/>
              <w:rPr>
                <w:szCs w:val="22"/>
                <w:lang w:val="ro-RO"/>
              </w:rPr>
            </w:pPr>
            <w:r>
              <w:rPr>
                <w:szCs w:val="22"/>
                <w:lang w:val="ro-RO"/>
              </w:rPr>
              <w:t>Italy</w:t>
            </w:r>
          </w:p>
          <w:p w14:paraId="0F1D4B79" w14:textId="77777777" w:rsidR="00C04CAD" w:rsidRDefault="00060E34">
            <w:pPr>
              <w:pStyle w:val="lbltxt"/>
              <w:rPr>
                <w:szCs w:val="22"/>
                <w:lang w:val="ro-RO"/>
              </w:rPr>
            </w:pPr>
            <w:r>
              <w:rPr>
                <w:szCs w:val="22"/>
                <w:lang w:val="ro-RO"/>
              </w:rPr>
              <w:t>Tel: +39 02 6241121</w:t>
            </w:r>
          </w:p>
          <w:p w14:paraId="71E50DD6" w14:textId="77777777" w:rsidR="00C04CAD" w:rsidRDefault="00C04CAD">
            <w:pPr>
              <w:spacing w:line="240" w:lineRule="auto"/>
              <w:rPr>
                <w:sz w:val="24"/>
                <w:szCs w:val="24"/>
                <w:lang w:eastAsia="en-US" w:bidi="ar-SA"/>
              </w:rPr>
            </w:pPr>
          </w:p>
        </w:tc>
      </w:tr>
      <w:tr w:rsidR="00C04CAD" w14:paraId="13D56F28" w14:textId="77777777">
        <w:trPr>
          <w:cantSplit/>
        </w:trPr>
        <w:tc>
          <w:tcPr>
            <w:tcW w:w="4677" w:type="dxa"/>
          </w:tcPr>
          <w:p w14:paraId="646424CC" w14:textId="77777777" w:rsidR="00C04CAD" w:rsidRDefault="00060E34">
            <w:pPr>
              <w:spacing w:line="240" w:lineRule="auto"/>
              <w:rPr>
                <w:rFonts w:eastAsia="PMingLiU"/>
                <w:lang w:eastAsia="en-US" w:bidi="ar-SA"/>
              </w:rPr>
            </w:pPr>
            <w:r>
              <w:rPr>
                <w:rFonts w:eastAsia="PMingLiU"/>
                <w:b/>
                <w:lang w:eastAsia="en-US" w:bidi="ar-SA"/>
              </w:rPr>
              <w:t>Deutschland</w:t>
            </w:r>
          </w:p>
          <w:p w14:paraId="70E487BD"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GmbH</w:t>
            </w:r>
          </w:p>
          <w:p w14:paraId="0A385181" w14:textId="77777777" w:rsidR="00C04CAD" w:rsidRDefault="00060E34">
            <w:pPr>
              <w:spacing w:line="240" w:lineRule="auto"/>
              <w:rPr>
                <w:rFonts w:eastAsia="PMingLiU"/>
                <w:szCs w:val="22"/>
                <w:lang w:eastAsia="en-US" w:bidi="ar-SA"/>
              </w:rPr>
            </w:pPr>
            <w:r>
              <w:rPr>
                <w:rFonts w:eastAsia="PMingLiU"/>
                <w:lang w:eastAsia="en-US" w:bidi="ar-SA"/>
              </w:rPr>
              <w:t>Tel</w:t>
            </w:r>
            <w:r>
              <w:rPr>
                <w:rFonts w:eastAsia="PMingLiU"/>
                <w:szCs w:val="22"/>
                <w:lang w:eastAsia="en-US" w:bidi="ar-SA"/>
              </w:rPr>
              <w:t>:</w:t>
            </w:r>
            <w:r>
              <w:rPr>
                <w:rFonts w:eastAsia="PMingLiU"/>
                <w:lang w:eastAsia="en-US" w:bidi="ar-SA"/>
              </w:rPr>
              <w:t xml:space="preserve"> +49 </w:t>
            </w:r>
            <w:r>
              <w:rPr>
                <w:rFonts w:eastAsia="PMingLiU"/>
                <w:szCs w:val="22"/>
                <w:lang w:eastAsia="en-US" w:bidi="ar-SA"/>
              </w:rPr>
              <w:t>89 1490960</w:t>
            </w:r>
          </w:p>
          <w:p w14:paraId="2D9B6E72"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3EE8E82D" w14:textId="77777777" w:rsidR="00C04CAD" w:rsidRDefault="00060E34">
            <w:pPr>
              <w:spacing w:line="240" w:lineRule="auto"/>
              <w:rPr>
                <w:rFonts w:eastAsia="PMingLiU"/>
                <w:lang w:eastAsia="en-US" w:bidi="ar-SA"/>
              </w:rPr>
            </w:pPr>
            <w:r>
              <w:rPr>
                <w:rFonts w:eastAsia="PMingLiU"/>
                <w:b/>
                <w:lang w:eastAsia="en-US" w:bidi="ar-SA"/>
              </w:rPr>
              <w:t>Nederland</w:t>
            </w:r>
          </w:p>
          <w:p w14:paraId="081FDB3F"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B.V.</w:t>
            </w:r>
          </w:p>
          <w:p w14:paraId="492AABA5" w14:textId="77777777" w:rsidR="00C04CAD" w:rsidRDefault="00060E34">
            <w:pPr>
              <w:spacing w:line="240" w:lineRule="auto"/>
              <w:rPr>
                <w:rFonts w:eastAsia="PMingLiU"/>
                <w:bCs/>
                <w:szCs w:val="22"/>
                <w:lang w:eastAsia="en-US" w:bidi="ar-SA"/>
              </w:rPr>
            </w:pPr>
            <w:r>
              <w:rPr>
                <w:rFonts w:eastAsia="PMingLiU"/>
                <w:lang w:eastAsia="en-US" w:bidi="ar-SA"/>
              </w:rPr>
              <w:t>Tel: +31 (0)</w:t>
            </w:r>
            <w:r>
              <w:rPr>
                <w:rFonts w:eastAsia="PMingLiU"/>
                <w:szCs w:val="22"/>
                <w:lang w:eastAsia="en-US" w:bidi="ar-SA"/>
              </w:rPr>
              <w:t>76 5732500</w:t>
            </w:r>
          </w:p>
          <w:p w14:paraId="0507B5C8"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7A455F1C" w14:textId="77777777">
        <w:trPr>
          <w:cantSplit/>
        </w:trPr>
        <w:tc>
          <w:tcPr>
            <w:tcW w:w="4677" w:type="dxa"/>
          </w:tcPr>
          <w:p w14:paraId="7E161F87" w14:textId="77777777" w:rsidR="00C04CAD" w:rsidRDefault="00060E34">
            <w:pPr>
              <w:spacing w:line="240" w:lineRule="auto"/>
              <w:rPr>
                <w:rFonts w:eastAsia="PMingLiU"/>
                <w:b/>
                <w:lang w:eastAsia="en-US" w:bidi="ar-SA"/>
              </w:rPr>
            </w:pPr>
            <w:r>
              <w:rPr>
                <w:rFonts w:eastAsia="PMingLiU"/>
                <w:b/>
                <w:lang w:eastAsia="en-US" w:bidi="ar-SA"/>
              </w:rPr>
              <w:t>Eesti</w:t>
            </w:r>
          </w:p>
          <w:p w14:paraId="31C4819E" w14:textId="77777777" w:rsidR="00C04CAD" w:rsidRDefault="00060E34">
            <w:pPr>
              <w:spacing w:line="240" w:lineRule="auto"/>
              <w:rPr>
                <w:rFonts w:eastAsia="PMingLiU"/>
                <w:bCs/>
                <w:szCs w:val="22"/>
                <w:lang w:eastAsia="en-US" w:bidi="ar-SA"/>
              </w:rPr>
            </w:pPr>
            <w:r>
              <w:rPr>
                <w:rFonts w:eastAsia="PMingLiU"/>
                <w:bCs/>
                <w:szCs w:val="22"/>
                <w:lang w:eastAsia="en-US" w:bidi="ar-SA"/>
              </w:rPr>
              <w:t xml:space="preserve">Amgen Switzerland AG </w:t>
            </w:r>
            <w:r>
              <w:rPr>
                <w:rFonts w:eastAsia="PMingLiU"/>
                <w:szCs w:val="22"/>
                <w:lang w:eastAsia="en-US" w:bidi="ar-SA"/>
              </w:rPr>
              <w:t>Vilniaus filialas</w:t>
            </w:r>
          </w:p>
          <w:p w14:paraId="5AAD62BD" w14:textId="77777777" w:rsidR="00C04CAD" w:rsidRDefault="00060E34">
            <w:pPr>
              <w:spacing w:line="240" w:lineRule="auto"/>
              <w:rPr>
                <w:rFonts w:eastAsia="PMingLiU"/>
                <w:szCs w:val="22"/>
                <w:lang w:eastAsia="en-US" w:bidi="ar-SA"/>
              </w:rPr>
            </w:pPr>
            <w:r>
              <w:rPr>
                <w:rFonts w:eastAsia="PMingLiU"/>
                <w:lang w:eastAsia="en-US" w:bidi="ar-SA"/>
              </w:rPr>
              <w:t xml:space="preserve">Tel: +372 </w:t>
            </w:r>
            <w:r>
              <w:rPr>
                <w:rFonts w:eastAsia="PMingLiU"/>
                <w:szCs w:val="22"/>
                <w:lang w:eastAsia="en-US" w:bidi="ar-SA"/>
              </w:rPr>
              <w:t>586 09553</w:t>
            </w:r>
          </w:p>
          <w:p w14:paraId="48B1CC6B"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67FC03F4" w14:textId="77777777" w:rsidR="00C04CAD" w:rsidRDefault="00060E34">
            <w:pPr>
              <w:spacing w:line="240" w:lineRule="auto"/>
              <w:rPr>
                <w:rFonts w:eastAsia="PMingLiU"/>
                <w:b/>
                <w:lang w:eastAsia="en-US" w:bidi="ar-SA"/>
              </w:rPr>
            </w:pPr>
            <w:r>
              <w:rPr>
                <w:rFonts w:eastAsia="PMingLiU"/>
                <w:b/>
                <w:lang w:eastAsia="en-US" w:bidi="ar-SA"/>
              </w:rPr>
              <w:t>Norge</w:t>
            </w:r>
          </w:p>
          <w:p w14:paraId="4A3094BC"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44C6DC1E" w14:textId="77777777" w:rsidR="00C04CAD" w:rsidRDefault="00060E34">
            <w:pPr>
              <w:spacing w:line="240" w:lineRule="auto"/>
              <w:rPr>
                <w:rFonts w:eastAsia="PMingLiU"/>
                <w:szCs w:val="22"/>
                <w:lang w:eastAsia="en-US" w:bidi="ar-SA"/>
              </w:rPr>
            </w:pPr>
            <w:r>
              <w:rPr>
                <w:rFonts w:eastAsia="PMingLiU"/>
                <w:szCs w:val="22"/>
                <w:lang w:eastAsia="en-US" w:bidi="ar-SA"/>
              </w:rPr>
              <w:t>Tlf</w:t>
            </w:r>
            <w:r>
              <w:rPr>
                <w:rFonts w:eastAsia="PMingLiU"/>
                <w:szCs w:val="16"/>
                <w:lang w:eastAsia="en-US" w:bidi="ar-SA"/>
              </w:rPr>
              <w:t xml:space="preserve">: +47 </w:t>
            </w:r>
            <w:r>
              <w:rPr>
                <w:rFonts w:eastAsia="PMingLiU"/>
                <w:szCs w:val="22"/>
                <w:lang w:eastAsia="en-US" w:bidi="ar-SA"/>
              </w:rPr>
              <w:t>23308000</w:t>
            </w:r>
          </w:p>
          <w:p w14:paraId="1BF7535A"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52A2AFA1" w14:textId="77777777">
        <w:trPr>
          <w:cantSplit/>
        </w:trPr>
        <w:tc>
          <w:tcPr>
            <w:tcW w:w="4677" w:type="dxa"/>
          </w:tcPr>
          <w:p w14:paraId="525EB6F2" w14:textId="77777777" w:rsidR="00C04CAD" w:rsidRDefault="00060E34">
            <w:pPr>
              <w:spacing w:line="240" w:lineRule="auto"/>
              <w:rPr>
                <w:rFonts w:eastAsia="PMingLiU"/>
                <w:b/>
                <w:lang w:eastAsia="en-US" w:bidi="ar-SA"/>
              </w:rPr>
            </w:pPr>
            <w:r>
              <w:rPr>
                <w:rFonts w:eastAsia="PMingLiU"/>
                <w:b/>
                <w:lang w:eastAsia="en-US" w:bidi="ar-SA"/>
              </w:rPr>
              <w:t>Ελλάδα</w:t>
            </w:r>
          </w:p>
          <w:p w14:paraId="169D52D5"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Ελλάς Φαρμακευτικά Ε.Π.Ε. </w:t>
            </w:r>
          </w:p>
          <w:p w14:paraId="2C7F84F4" w14:textId="77777777" w:rsidR="00C04CAD" w:rsidRDefault="00060E34">
            <w:pPr>
              <w:spacing w:line="240" w:lineRule="auto"/>
              <w:rPr>
                <w:rFonts w:eastAsia="PMingLiU"/>
                <w:szCs w:val="22"/>
                <w:lang w:eastAsia="en-US" w:bidi="ar-SA"/>
              </w:rPr>
            </w:pPr>
            <w:r>
              <w:rPr>
                <w:rFonts w:eastAsia="PMingLiU"/>
                <w:lang w:eastAsia="en-US" w:bidi="ar-SA"/>
              </w:rPr>
              <w:t>Τηλ</w:t>
            </w:r>
            <w:r>
              <w:rPr>
                <w:rFonts w:eastAsia="PMingLiU"/>
                <w:szCs w:val="22"/>
                <w:lang w:eastAsia="en-US" w:bidi="ar-SA"/>
              </w:rPr>
              <w:t>:</w:t>
            </w:r>
            <w:r>
              <w:rPr>
                <w:rFonts w:eastAsia="PMingLiU"/>
                <w:lang w:eastAsia="en-US" w:bidi="ar-SA"/>
              </w:rPr>
              <w:t xml:space="preserve"> +30 </w:t>
            </w:r>
            <w:r>
              <w:rPr>
                <w:rFonts w:eastAsia="PMingLiU"/>
                <w:szCs w:val="22"/>
                <w:lang w:eastAsia="en-US" w:bidi="ar-SA"/>
              </w:rPr>
              <w:t>210 3447000</w:t>
            </w:r>
          </w:p>
          <w:p w14:paraId="331C5ABC"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61D1ACD2" w14:textId="77777777" w:rsidR="00C04CAD" w:rsidRDefault="00060E34">
            <w:pPr>
              <w:spacing w:line="240" w:lineRule="auto"/>
              <w:rPr>
                <w:rFonts w:eastAsia="PMingLiU"/>
                <w:lang w:eastAsia="en-US" w:bidi="ar-SA"/>
              </w:rPr>
            </w:pPr>
            <w:r>
              <w:rPr>
                <w:rFonts w:eastAsia="PMingLiU"/>
                <w:b/>
                <w:lang w:eastAsia="en-US" w:bidi="ar-SA"/>
              </w:rPr>
              <w:t>Österreich</w:t>
            </w:r>
          </w:p>
          <w:p w14:paraId="43DFDBEA"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GmbH</w:t>
            </w:r>
            <w:r>
              <w:rPr>
                <w:rFonts w:eastAsia="PMingLiU"/>
                <w:szCs w:val="22"/>
                <w:lang w:eastAsia="en-US" w:bidi="ar-SA"/>
              </w:rPr>
              <w:t xml:space="preserve"> </w:t>
            </w:r>
          </w:p>
          <w:p w14:paraId="7E0481DC" w14:textId="77777777" w:rsidR="00C04CAD" w:rsidRDefault="00060E34">
            <w:pPr>
              <w:spacing w:line="240" w:lineRule="auto"/>
              <w:rPr>
                <w:rFonts w:eastAsia="PMingLiU"/>
                <w:szCs w:val="22"/>
                <w:lang w:eastAsia="en-US" w:bidi="ar-SA"/>
              </w:rPr>
            </w:pPr>
            <w:r>
              <w:rPr>
                <w:rFonts w:eastAsia="PMingLiU"/>
                <w:lang w:eastAsia="en-US" w:bidi="ar-SA"/>
              </w:rPr>
              <w:t xml:space="preserve">Tel: +43 </w:t>
            </w:r>
            <w:r>
              <w:rPr>
                <w:rFonts w:eastAsia="PMingLiU"/>
                <w:szCs w:val="22"/>
                <w:lang w:eastAsia="en-US" w:bidi="ar-SA"/>
              </w:rPr>
              <w:t>(0)</w:t>
            </w:r>
            <w:r>
              <w:rPr>
                <w:rFonts w:eastAsia="PMingLiU"/>
                <w:lang w:eastAsia="en-US" w:bidi="ar-SA"/>
              </w:rPr>
              <w:t xml:space="preserve">1 </w:t>
            </w:r>
            <w:r>
              <w:rPr>
                <w:rFonts w:eastAsia="PMingLiU"/>
                <w:szCs w:val="22"/>
                <w:lang w:eastAsia="en-US" w:bidi="ar-SA"/>
              </w:rPr>
              <w:t>50 217</w:t>
            </w:r>
          </w:p>
          <w:p w14:paraId="0DF6DDAB"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78257EE5" w14:textId="77777777">
        <w:trPr>
          <w:cantSplit/>
        </w:trPr>
        <w:tc>
          <w:tcPr>
            <w:tcW w:w="4677" w:type="dxa"/>
          </w:tcPr>
          <w:p w14:paraId="46388A68" w14:textId="77777777" w:rsidR="00C04CAD" w:rsidRDefault="00060E34">
            <w:pPr>
              <w:keepNext/>
              <w:spacing w:line="240" w:lineRule="auto"/>
              <w:rPr>
                <w:rFonts w:eastAsia="PMingLiU"/>
                <w:lang w:eastAsia="en-US" w:bidi="ar-SA"/>
              </w:rPr>
            </w:pPr>
            <w:r>
              <w:rPr>
                <w:rFonts w:eastAsia="PMingLiU"/>
                <w:b/>
                <w:lang w:eastAsia="en-US" w:bidi="ar-SA"/>
              </w:rPr>
              <w:t>España</w:t>
            </w:r>
          </w:p>
          <w:p w14:paraId="0222863C" w14:textId="77777777" w:rsidR="00C04CAD" w:rsidRDefault="00060E34">
            <w:pPr>
              <w:keepNext/>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S.</w:t>
            </w:r>
            <w:r>
              <w:rPr>
                <w:rFonts w:eastAsia="PMingLiU"/>
                <w:szCs w:val="22"/>
                <w:lang w:eastAsia="en-US" w:bidi="ar-SA"/>
              </w:rPr>
              <w:t>A</w:t>
            </w:r>
            <w:r>
              <w:rPr>
                <w:rFonts w:eastAsia="PMingLiU"/>
                <w:lang w:eastAsia="en-US" w:bidi="ar-SA"/>
              </w:rPr>
              <w:t>.</w:t>
            </w:r>
          </w:p>
          <w:p w14:paraId="01846618" w14:textId="77777777" w:rsidR="00C04CAD" w:rsidRDefault="00060E34">
            <w:pPr>
              <w:keepNext/>
              <w:spacing w:line="240" w:lineRule="auto"/>
              <w:rPr>
                <w:rFonts w:eastAsia="PMingLiU"/>
                <w:sz w:val="24"/>
                <w:szCs w:val="22"/>
                <w:lang w:eastAsia="en-US" w:bidi="ar-SA"/>
              </w:rPr>
            </w:pPr>
            <w:r>
              <w:rPr>
                <w:rFonts w:eastAsia="PMingLiU"/>
                <w:lang w:eastAsia="en-US" w:bidi="ar-SA"/>
              </w:rPr>
              <w:t xml:space="preserve">Tel: +34 </w:t>
            </w:r>
            <w:r>
              <w:rPr>
                <w:rFonts w:eastAsia="PMingLiU"/>
                <w:szCs w:val="22"/>
                <w:lang w:eastAsia="en-US" w:bidi="ar-SA"/>
              </w:rPr>
              <w:t xml:space="preserve">93 600 18 60 </w:t>
            </w:r>
          </w:p>
          <w:p w14:paraId="4F4D6656" w14:textId="77777777" w:rsidR="00C04CAD" w:rsidRDefault="00C04CAD">
            <w:pPr>
              <w:keepNext/>
              <w:tabs>
                <w:tab w:val="clear" w:pos="567"/>
              </w:tabs>
              <w:autoSpaceDE w:val="0"/>
              <w:autoSpaceDN w:val="0"/>
              <w:adjustRightInd w:val="0"/>
              <w:spacing w:line="240" w:lineRule="auto"/>
              <w:rPr>
                <w:sz w:val="24"/>
                <w:szCs w:val="24"/>
                <w:lang w:eastAsia="en-US" w:bidi="ar-SA"/>
              </w:rPr>
            </w:pPr>
          </w:p>
        </w:tc>
        <w:tc>
          <w:tcPr>
            <w:tcW w:w="4679" w:type="dxa"/>
          </w:tcPr>
          <w:p w14:paraId="675BC3E1" w14:textId="77777777" w:rsidR="00C04CAD" w:rsidRDefault="00060E34">
            <w:pPr>
              <w:keepNext/>
              <w:spacing w:line="240" w:lineRule="auto"/>
              <w:rPr>
                <w:rFonts w:eastAsia="PMingLiU"/>
                <w:b/>
                <w:lang w:eastAsia="en-US" w:bidi="ar-SA"/>
              </w:rPr>
            </w:pPr>
            <w:r>
              <w:rPr>
                <w:rFonts w:eastAsia="PMingLiU"/>
                <w:b/>
                <w:lang w:eastAsia="en-US" w:bidi="ar-SA"/>
              </w:rPr>
              <w:t>Polska</w:t>
            </w:r>
          </w:p>
          <w:p w14:paraId="4676893F" w14:textId="77777777" w:rsidR="00C04CAD" w:rsidRDefault="00060E34">
            <w:pPr>
              <w:keepNext/>
              <w:spacing w:line="240" w:lineRule="auto"/>
              <w:rPr>
                <w:rFonts w:eastAsia="PMingLiU"/>
                <w:lang w:eastAsia="en-US" w:bidi="ar-SA"/>
              </w:rPr>
            </w:pPr>
            <w:r>
              <w:rPr>
                <w:rFonts w:eastAsia="PMingLiU"/>
                <w:szCs w:val="22"/>
                <w:lang w:eastAsia="en-US" w:bidi="ar-SA"/>
              </w:rPr>
              <w:t xml:space="preserve">Amgen </w:t>
            </w:r>
            <w:r>
              <w:rPr>
                <w:rFonts w:eastAsia="PMingLiU"/>
                <w:color w:val="000000"/>
                <w:szCs w:val="22"/>
                <w:lang w:eastAsia="en-GB" w:bidi="ar-SA"/>
              </w:rPr>
              <w:t>Biotechnologia</w:t>
            </w:r>
            <w:r>
              <w:rPr>
                <w:rFonts w:eastAsia="PMingLiU"/>
                <w:lang w:eastAsia="en-US" w:bidi="ar-SA"/>
              </w:rPr>
              <w:t xml:space="preserve"> Sp. z o.o.</w:t>
            </w:r>
          </w:p>
          <w:p w14:paraId="4C7C0F0D" w14:textId="77777777" w:rsidR="00C04CAD" w:rsidRDefault="00060E34">
            <w:pPr>
              <w:keepNext/>
              <w:spacing w:line="240" w:lineRule="auto"/>
              <w:rPr>
                <w:rFonts w:eastAsia="PMingLiU"/>
                <w:bCs/>
                <w:szCs w:val="22"/>
                <w:lang w:eastAsia="en-US" w:bidi="ar-SA"/>
              </w:rPr>
            </w:pPr>
            <w:r>
              <w:rPr>
                <w:rFonts w:eastAsia="PMingLiU"/>
                <w:lang w:eastAsia="en-US" w:bidi="ar-SA"/>
              </w:rPr>
              <w:t xml:space="preserve">Tel.: +48 22 </w:t>
            </w:r>
            <w:r>
              <w:rPr>
                <w:rFonts w:eastAsia="PMingLiU"/>
                <w:bCs/>
                <w:szCs w:val="22"/>
                <w:lang w:eastAsia="en-US" w:bidi="ar-SA"/>
              </w:rPr>
              <w:t>581 3000</w:t>
            </w:r>
          </w:p>
          <w:p w14:paraId="4E5A4568" w14:textId="77777777" w:rsidR="00C04CAD" w:rsidRDefault="00C04CAD">
            <w:pPr>
              <w:keepNext/>
              <w:tabs>
                <w:tab w:val="clear" w:pos="567"/>
              </w:tabs>
              <w:autoSpaceDE w:val="0"/>
              <w:autoSpaceDN w:val="0"/>
              <w:adjustRightInd w:val="0"/>
              <w:spacing w:line="240" w:lineRule="auto"/>
              <w:rPr>
                <w:sz w:val="24"/>
                <w:szCs w:val="24"/>
                <w:lang w:eastAsia="en-US" w:bidi="ar-SA"/>
              </w:rPr>
            </w:pPr>
          </w:p>
        </w:tc>
      </w:tr>
      <w:tr w:rsidR="00C04CAD" w14:paraId="02784232" w14:textId="77777777">
        <w:trPr>
          <w:cantSplit/>
        </w:trPr>
        <w:tc>
          <w:tcPr>
            <w:tcW w:w="4677" w:type="dxa"/>
          </w:tcPr>
          <w:p w14:paraId="51820868" w14:textId="77777777" w:rsidR="00C04CAD" w:rsidRDefault="00060E34">
            <w:pPr>
              <w:spacing w:line="240" w:lineRule="auto"/>
              <w:rPr>
                <w:rFonts w:eastAsia="PMingLiU"/>
                <w:szCs w:val="22"/>
                <w:lang w:eastAsia="en-US" w:bidi="ar-SA"/>
              </w:rPr>
            </w:pPr>
            <w:r>
              <w:rPr>
                <w:rFonts w:eastAsia="PMingLiU"/>
                <w:b/>
                <w:szCs w:val="22"/>
                <w:lang w:eastAsia="en-US" w:bidi="ar-SA"/>
              </w:rPr>
              <w:t>France</w:t>
            </w:r>
          </w:p>
          <w:p w14:paraId="0489694F" w14:textId="77777777" w:rsidR="00C04CAD" w:rsidRDefault="00060E34">
            <w:pPr>
              <w:spacing w:line="240" w:lineRule="auto"/>
              <w:rPr>
                <w:rFonts w:eastAsia="PMingLiU"/>
                <w:szCs w:val="22"/>
                <w:lang w:eastAsia="en-US" w:bidi="ar-SA"/>
              </w:rPr>
            </w:pPr>
            <w:r>
              <w:rPr>
                <w:rFonts w:eastAsia="PMingLiU"/>
                <w:szCs w:val="22"/>
                <w:lang w:eastAsia="en-US" w:bidi="ar-SA"/>
              </w:rPr>
              <w:t>Amgen S.A.S.</w:t>
            </w:r>
          </w:p>
          <w:p w14:paraId="2699A1EA" w14:textId="77777777" w:rsidR="00C04CAD" w:rsidRDefault="00060E34">
            <w:pPr>
              <w:tabs>
                <w:tab w:val="clear" w:pos="567"/>
              </w:tabs>
              <w:autoSpaceDE w:val="0"/>
              <w:autoSpaceDN w:val="0"/>
              <w:adjustRightInd w:val="0"/>
              <w:spacing w:line="240" w:lineRule="auto"/>
              <w:rPr>
                <w:szCs w:val="22"/>
                <w:lang w:eastAsia="en-IN" w:bidi="ar-SA"/>
              </w:rPr>
            </w:pPr>
            <w:r>
              <w:rPr>
                <w:szCs w:val="22"/>
                <w:lang w:eastAsia="en-US" w:bidi="ar-SA"/>
              </w:rPr>
              <w:t>Tél: +33 (0)9 69 363 363</w:t>
            </w:r>
          </w:p>
          <w:p w14:paraId="6EE559E8"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6FB7198E" w14:textId="77777777" w:rsidR="00C04CAD" w:rsidRDefault="00060E34">
            <w:pPr>
              <w:spacing w:line="240" w:lineRule="auto"/>
              <w:rPr>
                <w:rFonts w:eastAsia="PMingLiU"/>
                <w:szCs w:val="22"/>
                <w:lang w:eastAsia="en-US" w:bidi="ar-SA"/>
              </w:rPr>
            </w:pPr>
            <w:r>
              <w:rPr>
                <w:rFonts w:eastAsia="PMingLiU"/>
                <w:b/>
                <w:szCs w:val="22"/>
                <w:lang w:eastAsia="en-US" w:bidi="ar-SA"/>
              </w:rPr>
              <w:t>Portugal</w:t>
            </w:r>
          </w:p>
          <w:p w14:paraId="5E5C5B96" w14:textId="77777777" w:rsidR="00C04CAD" w:rsidRDefault="00060E34">
            <w:pPr>
              <w:spacing w:line="240" w:lineRule="auto"/>
              <w:rPr>
                <w:rFonts w:eastAsia="PMingLiU"/>
                <w:szCs w:val="22"/>
                <w:lang w:eastAsia="en-US" w:bidi="ar-SA"/>
              </w:rPr>
            </w:pPr>
            <w:r>
              <w:rPr>
                <w:rFonts w:eastAsia="PMingLiU"/>
                <w:szCs w:val="22"/>
                <w:lang w:eastAsia="en-US" w:bidi="ar-SA"/>
              </w:rPr>
              <w:t>Amgen Biofarmacêutica, Lda.</w:t>
            </w:r>
          </w:p>
          <w:p w14:paraId="18328534" w14:textId="77777777" w:rsidR="00C04CAD" w:rsidRDefault="00060E34">
            <w:pPr>
              <w:spacing w:line="240" w:lineRule="auto"/>
              <w:rPr>
                <w:rFonts w:eastAsia="PMingLiU"/>
                <w:szCs w:val="22"/>
                <w:lang w:eastAsia="en-US" w:bidi="ar-SA"/>
              </w:rPr>
            </w:pPr>
            <w:r>
              <w:rPr>
                <w:rFonts w:eastAsia="PMingLiU"/>
                <w:szCs w:val="22"/>
                <w:lang w:eastAsia="en-US" w:bidi="ar-SA"/>
              </w:rPr>
              <w:t>Tel: +351 21 4220606</w:t>
            </w:r>
          </w:p>
          <w:p w14:paraId="652CCB18"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72ADE41C" w14:textId="77777777">
        <w:trPr>
          <w:cantSplit/>
        </w:trPr>
        <w:tc>
          <w:tcPr>
            <w:tcW w:w="4677" w:type="dxa"/>
          </w:tcPr>
          <w:p w14:paraId="5A902FE9" w14:textId="77777777" w:rsidR="00C04CAD" w:rsidRDefault="00060E34">
            <w:pPr>
              <w:keepNext/>
              <w:keepLines/>
              <w:tabs>
                <w:tab w:val="clear" w:pos="567"/>
              </w:tabs>
              <w:autoSpaceDE w:val="0"/>
              <w:autoSpaceDN w:val="0"/>
              <w:adjustRightInd w:val="0"/>
              <w:spacing w:line="240" w:lineRule="auto"/>
              <w:rPr>
                <w:szCs w:val="22"/>
                <w:lang w:eastAsia="en-US" w:bidi="ar-SA"/>
              </w:rPr>
            </w:pPr>
            <w:r>
              <w:rPr>
                <w:b/>
                <w:szCs w:val="22"/>
                <w:lang w:eastAsia="en-US" w:bidi="ar-SA"/>
              </w:rPr>
              <w:t>Hrvatska</w:t>
            </w:r>
          </w:p>
          <w:p w14:paraId="688ADCE1" w14:textId="77777777" w:rsidR="00C04CAD" w:rsidRDefault="00060E34">
            <w:pPr>
              <w:keepNext/>
              <w:keepLines/>
              <w:tabs>
                <w:tab w:val="clear" w:pos="567"/>
              </w:tabs>
              <w:autoSpaceDE w:val="0"/>
              <w:autoSpaceDN w:val="0"/>
              <w:adjustRightInd w:val="0"/>
              <w:spacing w:line="240" w:lineRule="auto"/>
              <w:rPr>
                <w:szCs w:val="22"/>
                <w:lang w:eastAsia="en-US" w:bidi="ar-SA"/>
              </w:rPr>
            </w:pPr>
            <w:r>
              <w:rPr>
                <w:szCs w:val="22"/>
                <w:lang w:eastAsia="en-US" w:bidi="ar-SA"/>
              </w:rPr>
              <w:t>Amgen d.o.o.</w:t>
            </w:r>
          </w:p>
          <w:p w14:paraId="32488F69" w14:textId="77777777" w:rsidR="00C04CAD" w:rsidRDefault="00060E34">
            <w:pPr>
              <w:keepNext/>
              <w:keepLines/>
              <w:tabs>
                <w:tab w:val="clear" w:pos="567"/>
              </w:tabs>
              <w:autoSpaceDE w:val="0"/>
              <w:autoSpaceDN w:val="0"/>
              <w:adjustRightInd w:val="0"/>
              <w:spacing w:line="240" w:lineRule="auto"/>
              <w:rPr>
                <w:szCs w:val="22"/>
                <w:lang w:eastAsia="en-IN" w:bidi="ar-SA"/>
              </w:rPr>
            </w:pPr>
            <w:r>
              <w:rPr>
                <w:szCs w:val="22"/>
                <w:lang w:eastAsia="en-US" w:bidi="ar-SA"/>
              </w:rPr>
              <w:t>Tel: +385 (0)1 562 57 20</w:t>
            </w:r>
          </w:p>
          <w:p w14:paraId="24B289A9" w14:textId="77777777" w:rsidR="00C04CAD" w:rsidRDefault="00C04CAD">
            <w:pPr>
              <w:keepNext/>
              <w:keepLines/>
              <w:tabs>
                <w:tab w:val="clear" w:pos="567"/>
              </w:tabs>
              <w:autoSpaceDE w:val="0"/>
              <w:autoSpaceDN w:val="0"/>
              <w:adjustRightInd w:val="0"/>
              <w:spacing w:line="240" w:lineRule="auto"/>
              <w:rPr>
                <w:szCs w:val="22"/>
                <w:lang w:eastAsia="en-US" w:bidi="ar-SA"/>
              </w:rPr>
            </w:pPr>
          </w:p>
        </w:tc>
        <w:tc>
          <w:tcPr>
            <w:tcW w:w="4679" w:type="dxa"/>
          </w:tcPr>
          <w:p w14:paraId="7057DC0D" w14:textId="77777777" w:rsidR="00C04CAD" w:rsidRDefault="00060E34">
            <w:pPr>
              <w:keepNext/>
              <w:keepLines/>
              <w:tabs>
                <w:tab w:val="clear" w:pos="567"/>
              </w:tabs>
              <w:suppressAutoHyphens/>
              <w:autoSpaceDE w:val="0"/>
              <w:autoSpaceDN w:val="0"/>
              <w:adjustRightInd w:val="0"/>
              <w:spacing w:line="240" w:lineRule="auto"/>
              <w:rPr>
                <w:b/>
                <w:szCs w:val="22"/>
                <w:lang w:eastAsia="en-US" w:bidi="ar-SA"/>
              </w:rPr>
            </w:pPr>
            <w:r>
              <w:rPr>
                <w:b/>
                <w:szCs w:val="22"/>
                <w:lang w:eastAsia="en-US" w:bidi="ar-SA"/>
              </w:rPr>
              <w:t>România</w:t>
            </w:r>
          </w:p>
          <w:p w14:paraId="75A1DFBF"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color w:val="000000"/>
                <w:szCs w:val="22"/>
                <w:lang w:eastAsia="en-US" w:bidi="ar-SA"/>
              </w:rPr>
              <w:t>Amgen România SRL</w:t>
            </w:r>
          </w:p>
          <w:p w14:paraId="5E119A7F" w14:textId="77777777" w:rsidR="00C04CAD" w:rsidRDefault="00060E34">
            <w:pPr>
              <w:keepNext/>
              <w:keepLines/>
              <w:spacing w:line="240" w:lineRule="auto"/>
              <w:rPr>
                <w:rFonts w:eastAsia="PMingLiU"/>
                <w:szCs w:val="22"/>
                <w:lang w:eastAsia="en-US" w:bidi="ar-SA"/>
              </w:rPr>
            </w:pPr>
            <w:r>
              <w:rPr>
                <w:rFonts w:eastAsia="PMingLiU"/>
                <w:szCs w:val="22"/>
                <w:lang w:eastAsia="en-US" w:bidi="ar-SA"/>
              </w:rPr>
              <w:t>Tel: +4021 527 3000</w:t>
            </w:r>
          </w:p>
          <w:p w14:paraId="6460DA91" w14:textId="77777777" w:rsidR="00C04CAD" w:rsidRDefault="00C04CAD">
            <w:pPr>
              <w:keepNext/>
              <w:keepLines/>
              <w:tabs>
                <w:tab w:val="clear" w:pos="567"/>
              </w:tabs>
              <w:autoSpaceDE w:val="0"/>
              <w:autoSpaceDN w:val="0"/>
              <w:adjustRightInd w:val="0"/>
              <w:spacing w:line="240" w:lineRule="auto"/>
              <w:rPr>
                <w:szCs w:val="22"/>
                <w:lang w:eastAsia="en-US" w:bidi="ar-SA"/>
              </w:rPr>
            </w:pPr>
          </w:p>
        </w:tc>
      </w:tr>
      <w:tr w:rsidR="00C04CAD" w14:paraId="3B99161F" w14:textId="77777777">
        <w:trPr>
          <w:cantSplit/>
        </w:trPr>
        <w:tc>
          <w:tcPr>
            <w:tcW w:w="4677" w:type="dxa"/>
          </w:tcPr>
          <w:p w14:paraId="1414F48B" w14:textId="77777777" w:rsidR="00C04CAD" w:rsidRDefault="00060E34">
            <w:pPr>
              <w:spacing w:line="240" w:lineRule="auto"/>
              <w:rPr>
                <w:rFonts w:eastAsia="PMingLiU"/>
                <w:b/>
                <w:lang w:eastAsia="en-US" w:bidi="ar-SA"/>
              </w:rPr>
            </w:pPr>
            <w:r>
              <w:rPr>
                <w:rFonts w:eastAsia="PMingLiU"/>
                <w:b/>
                <w:lang w:eastAsia="en-US" w:bidi="ar-SA"/>
              </w:rPr>
              <w:t>Ireland</w:t>
            </w:r>
          </w:p>
          <w:p w14:paraId="02F64168" w14:textId="77777777" w:rsidR="00C04CAD" w:rsidRDefault="00060E34">
            <w:pPr>
              <w:spacing w:line="240" w:lineRule="auto"/>
              <w:rPr>
                <w:rFonts w:eastAsia="PMingLiU"/>
                <w:lang w:eastAsia="en-US" w:bidi="ar-SA"/>
              </w:rPr>
            </w:pPr>
            <w:r>
              <w:rPr>
                <w:rFonts w:eastAsia="Arial Unicode MS"/>
                <w:bCs/>
                <w:szCs w:val="22"/>
                <w:lang w:eastAsia="en-US" w:bidi="ar-SA"/>
              </w:rPr>
              <w:t>Amgen</w:t>
            </w:r>
            <w:r>
              <w:rPr>
                <w:rFonts w:eastAsia="PMingLiU"/>
                <w:lang w:eastAsia="en-US" w:bidi="ar-SA"/>
              </w:rPr>
              <w:t xml:space="preserve"> Ireland Limited</w:t>
            </w:r>
          </w:p>
          <w:p w14:paraId="3C37DC24" w14:textId="77777777" w:rsidR="00C04CAD" w:rsidRDefault="00060E34">
            <w:pPr>
              <w:spacing w:line="240" w:lineRule="auto"/>
              <w:rPr>
                <w:rFonts w:eastAsia="Arial Unicode MS"/>
                <w:bCs/>
                <w:sz w:val="24"/>
                <w:szCs w:val="22"/>
                <w:lang w:eastAsia="en-US" w:bidi="ar-SA"/>
              </w:rPr>
            </w:pPr>
            <w:r>
              <w:rPr>
                <w:rFonts w:eastAsia="PMingLiU"/>
                <w:lang w:eastAsia="en-US" w:bidi="ar-SA"/>
              </w:rPr>
              <w:t>Tel: +</w:t>
            </w:r>
            <w:r>
              <w:rPr>
                <w:rFonts w:eastAsia="Arial Unicode MS"/>
                <w:bCs/>
                <w:szCs w:val="22"/>
                <w:lang w:eastAsia="en-US" w:bidi="ar-SA"/>
              </w:rPr>
              <w:t>353</w:t>
            </w:r>
            <w:r>
              <w:rPr>
                <w:rFonts w:eastAsia="PMingLiU"/>
                <w:lang w:eastAsia="en-US" w:bidi="ar-SA"/>
              </w:rPr>
              <w:t xml:space="preserve"> 1 8527400</w:t>
            </w:r>
          </w:p>
          <w:p w14:paraId="4605351C" w14:textId="77777777" w:rsidR="00C04CAD" w:rsidRDefault="00C04CAD">
            <w:pPr>
              <w:spacing w:line="240" w:lineRule="auto"/>
              <w:rPr>
                <w:rFonts w:eastAsia="PMingLiU"/>
                <w:lang w:eastAsia="en-US" w:bidi="ar-SA"/>
              </w:rPr>
            </w:pPr>
          </w:p>
        </w:tc>
        <w:tc>
          <w:tcPr>
            <w:tcW w:w="4679" w:type="dxa"/>
          </w:tcPr>
          <w:p w14:paraId="50D35075" w14:textId="77777777" w:rsidR="00C04CAD" w:rsidRDefault="00060E34">
            <w:pPr>
              <w:spacing w:line="240" w:lineRule="auto"/>
              <w:rPr>
                <w:rFonts w:eastAsia="PMingLiU"/>
                <w:b/>
                <w:lang w:eastAsia="en-US" w:bidi="ar-SA"/>
              </w:rPr>
            </w:pPr>
            <w:r>
              <w:rPr>
                <w:rFonts w:eastAsia="PMingLiU"/>
                <w:b/>
                <w:lang w:eastAsia="en-US" w:bidi="ar-SA"/>
              </w:rPr>
              <w:t>Slovenija</w:t>
            </w:r>
          </w:p>
          <w:p w14:paraId="55C277D0" w14:textId="77777777" w:rsidR="00C04CAD" w:rsidRDefault="00060E34">
            <w:pPr>
              <w:spacing w:line="240" w:lineRule="auto"/>
              <w:rPr>
                <w:rFonts w:eastAsia="PMingLiU"/>
                <w:lang w:eastAsia="en-US" w:bidi="ar-SA"/>
              </w:rPr>
            </w:pPr>
            <w:r>
              <w:rPr>
                <w:rFonts w:eastAsia="PMingLiU"/>
                <w:szCs w:val="22"/>
                <w:lang w:eastAsia="en-US" w:bidi="ar-SA"/>
              </w:rPr>
              <w:t>AMGEN zdravila</w:t>
            </w:r>
            <w:r>
              <w:rPr>
                <w:rFonts w:eastAsia="PMingLiU"/>
                <w:lang w:eastAsia="en-US" w:bidi="ar-SA"/>
              </w:rPr>
              <w:t xml:space="preserve"> d.o.o.</w:t>
            </w:r>
          </w:p>
          <w:p w14:paraId="207B4234" w14:textId="77777777" w:rsidR="00C04CAD" w:rsidRDefault="00060E34">
            <w:pPr>
              <w:spacing w:line="240" w:lineRule="auto"/>
              <w:rPr>
                <w:rFonts w:eastAsia="PMingLiU"/>
                <w:bCs/>
                <w:szCs w:val="22"/>
                <w:lang w:eastAsia="en-US" w:bidi="ar-SA"/>
              </w:rPr>
            </w:pPr>
            <w:r>
              <w:rPr>
                <w:rFonts w:eastAsia="PMingLiU"/>
                <w:lang w:eastAsia="en-US" w:bidi="ar-SA"/>
              </w:rPr>
              <w:t>Tel: +386 (</w:t>
            </w:r>
            <w:r>
              <w:rPr>
                <w:rFonts w:eastAsia="PMingLiU"/>
                <w:bCs/>
                <w:szCs w:val="22"/>
                <w:lang w:eastAsia="en-US" w:bidi="ar-SA"/>
              </w:rPr>
              <w:t>0)</w:t>
            </w:r>
            <w:r>
              <w:rPr>
                <w:rFonts w:eastAsia="PMingLiU"/>
                <w:lang w:eastAsia="en-US" w:bidi="ar-SA"/>
              </w:rPr>
              <w:t>1</w:t>
            </w:r>
            <w:r>
              <w:rPr>
                <w:rFonts w:eastAsia="PMingLiU"/>
                <w:bCs/>
                <w:szCs w:val="22"/>
                <w:lang w:eastAsia="en-US" w:bidi="ar-SA"/>
              </w:rPr>
              <w:t xml:space="preserve"> 585 1767</w:t>
            </w:r>
          </w:p>
          <w:p w14:paraId="33A77DFD"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2484CE03" w14:textId="77777777">
        <w:trPr>
          <w:cantSplit/>
        </w:trPr>
        <w:tc>
          <w:tcPr>
            <w:tcW w:w="4677" w:type="dxa"/>
          </w:tcPr>
          <w:p w14:paraId="7AF27A7A" w14:textId="77777777" w:rsidR="00C04CAD" w:rsidRDefault="00060E34">
            <w:pPr>
              <w:spacing w:line="240" w:lineRule="auto"/>
              <w:rPr>
                <w:rFonts w:eastAsia="PMingLiU"/>
                <w:b/>
                <w:lang w:eastAsia="en-US" w:bidi="ar-SA"/>
              </w:rPr>
            </w:pPr>
            <w:r>
              <w:rPr>
                <w:rFonts w:eastAsia="PMingLiU"/>
                <w:b/>
                <w:lang w:eastAsia="en-US" w:bidi="ar-SA"/>
              </w:rPr>
              <w:t>Ísland</w:t>
            </w:r>
          </w:p>
          <w:p w14:paraId="435184A5" w14:textId="77777777" w:rsidR="00C04CAD" w:rsidRDefault="00060E34">
            <w:pPr>
              <w:spacing w:line="240" w:lineRule="auto"/>
              <w:rPr>
                <w:rFonts w:eastAsia="PMingLiU"/>
                <w:lang w:eastAsia="en-US" w:bidi="ar-SA"/>
              </w:rPr>
            </w:pPr>
            <w:r>
              <w:rPr>
                <w:rFonts w:eastAsia="PMingLiU"/>
                <w:lang w:eastAsia="en-US" w:bidi="ar-SA"/>
              </w:rPr>
              <w:t>Vistor</w:t>
            </w:r>
            <w:del w:id="33" w:author="Author">
              <w:r>
                <w:rPr>
                  <w:rFonts w:eastAsia="PMingLiU"/>
                  <w:lang w:eastAsia="en-US" w:bidi="ar-SA"/>
                </w:rPr>
                <w:delText xml:space="preserve"> hf.</w:delText>
              </w:r>
            </w:del>
          </w:p>
          <w:p w14:paraId="295A7E31" w14:textId="77777777" w:rsidR="00C04CAD" w:rsidRDefault="00060E34">
            <w:pPr>
              <w:spacing w:line="240" w:lineRule="auto"/>
              <w:rPr>
                <w:rFonts w:eastAsia="PMingLiU"/>
                <w:szCs w:val="22"/>
                <w:lang w:eastAsia="en-US" w:bidi="ar-SA"/>
              </w:rPr>
            </w:pPr>
            <w:r>
              <w:rPr>
                <w:rFonts w:eastAsia="PMingLiU"/>
                <w:szCs w:val="22"/>
                <w:lang w:eastAsia="en-US" w:bidi="ar-SA"/>
              </w:rPr>
              <w:t>Sími</w:t>
            </w:r>
            <w:r>
              <w:rPr>
                <w:rFonts w:eastAsia="PMingLiU"/>
                <w:lang w:eastAsia="en-US" w:bidi="ar-SA"/>
              </w:rPr>
              <w:t>: +354 535 7000</w:t>
            </w:r>
          </w:p>
          <w:p w14:paraId="0FA7E5E3"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372ADEE7" w14:textId="77777777" w:rsidR="00C04CAD" w:rsidRDefault="00060E34">
            <w:pPr>
              <w:spacing w:line="240" w:lineRule="auto"/>
              <w:rPr>
                <w:rFonts w:eastAsia="PMingLiU"/>
                <w:b/>
                <w:lang w:eastAsia="en-US" w:bidi="ar-SA"/>
              </w:rPr>
            </w:pPr>
            <w:r>
              <w:rPr>
                <w:rFonts w:eastAsia="PMingLiU"/>
                <w:b/>
                <w:lang w:eastAsia="en-US" w:bidi="ar-SA"/>
              </w:rPr>
              <w:t>Slovenská republika</w:t>
            </w:r>
          </w:p>
          <w:p w14:paraId="02B6088E" w14:textId="77777777" w:rsidR="00C04CAD" w:rsidRDefault="00060E34">
            <w:pPr>
              <w:spacing w:line="240" w:lineRule="auto"/>
              <w:rPr>
                <w:rFonts w:eastAsia="PMingLiU"/>
                <w:lang w:eastAsia="en-US" w:bidi="ar-SA"/>
              </w:rPr>
            </w:pPr>
            <w:r>
              <w:rPr>
                <w:rFonts w:eastAsia="PMingLiU"/>
                <w:bCs/>
                <w:szCs w:val="22"/>
                <w:lang w:eastAsia="en-US" w:bidi="ar-SA"/>
              </w:rPr>
              <w:t>Amgen Slovakia</w:t>
            </w:r>
            <w:r>
              <w:rPr>
                <w:rFonts w:eastAsia="PMingLiU"/>
                <w:lang w:eastAsia="en-US" w:bidi="ar-SA"/>
              </w:rPr>
              <w:t xml:space="preserve"> s.r.o.</w:t>
            </w:r>
          </w:p>
          <w:p w14:paraId="1C72F1C0" w14:textId="77777777" w:rsidR="00C04CAD" w:rsidRDefault="00060E34">
            <w:pPr>
              <w:spacing w:line="240" w:lineRule="auto"/>
              <w:rPr>
                <w:rFonts w:eastAsia="PMingLiU"/>
                <w:bCs/>
                <w:szCs w:val="22"/>
                <w:lang w:eastAsia="en-US" w:bidi="ar-SA"/>
              </w:rPr>
            </w:pPr>
            <w:r>
              <w:rPr>
                <w:rFonts w:eastAsia="PMingLiU"/>
                <w:lang w:eastAsia="en-US" w:bidi="ar-SA"/>
              </w:rPr>
              <w:t xml:space="preserve">Tel: +421 </w:t>
            </w:r>
            <w:r>
              <w:rPr>
                <w:rFonts w:eastAsia="PMingLiU"/>
                <w:bCs/>
                <w:szCs w:val="22"/>
                <w:lang w:eastAsia="en-US" w:bidi="ar-SA"/>
              </w:rPr>
              <w:t>2 321 114 49</w:t>
            </w:r>
          </w:p>
          <w:p w14:paraId="00B11525" w14:textId="77777777" w:rsidR="00C04CAD" w:rsidRDefault="00C04CAD">
            <w:pPr>
              <w:tabs>
                <w:tab w:val="clear" w:pos="567"/>
              </w:tabs>
              <w:autoSpaceDE w:val="0"/>
              <w:autoSpaceDN w:val="0"/>
              <w:adjustRightInd w:val="0"/>
              <w:spacing w:line="240" w:lineRule="auto"/>
              <w:rPr>
                <w:sz w:val="24"/>
                <w:szCs w:val="24"/>
                <w:lang w:eastAsia="en-US" w:bidi="ar-SA"/>
              </w:rPr>
            </w:pPr>
          </w:p>
        </w:tc>
      </w:tr>
      <w:tr w:rsidR="00C04CAD" w14:paraId="36319DF3" w14:textId="77777777">
        <w:trPr>
          <w:cantSplit/>
        </w:trPr>
        <w:tc>
          <w:tcPr>
            <w:tcW w:w="4677" w:type="dxa"/>
          </w:tcPr>
          <w:p w14:paraId="15E00AF5" w14:textId="77777777" w:rsidR="00C04CAD" w:rsidRDefault="00060E34">
            <w:pPr>
              <w:spacing w:line="240" w:lineRule="auto"/>
              <w:rPr>
                <w:rFonts w:eastAsia="PMingLiU"/>
                <w:lang w:eastAsia="en-US" w:bidi="ar-SA"/>
              </w:rPr>
            </w:pPr>
            <w:r>
              <w:rPr>
                <w:rFonts w:eastAsia="PMingLiU"/>
                <w:b/>
                <w:lang w:eastAsia="en-US" w:bidi="ar-SA"/>
              </w:rPr>
              <w:t>Italia</w:t>
            </w:r>
          </w:p>
          <w:p w14:paraId="4F110B05" w14:textId="77777777" w:rsidR="00C04CAD" w:rsidRDefault="00060E34">
            <w:pPr>
              <w:spacing w:line="240" w:lineRule="auto"/>
              <w:rPr>
                <w:rFonts w:eastAsia="PMingLiU"/>
                <w:lang w:eastAsia="en-US" w:bidi="ar-SA"/>
              </w:rPr>
            </w:pPr>
            <w:r>
              <w:rPr>
                <w:rFonts w:eastAsia="PMingLiU"/>
                <w:szCs w:val="22"/>
                <w:lang w:eastAsia="en-US" w:bidi="ar-SA"/>
              </w:rPr>
              <w:t>Amgen</w:t>
            </w:r>
            <w:r>
              <w:rPr>
                <w:rFonts w:eastAsia="PMingLiU"/>
                <w:lang w:eastAsia="en-US" w:bidi="ar-SA"/>
              </w:rPr>
              <w:t xml:space="preserve"> S.r.l.</w:t>
            </w:r>
          </w:p>
          <w:p w14:paraId="5BE08EE0" w14:textId="77777777" w:rsidR="00C04CAD" w:rsidRDefault="00060E34">
            <w:pPr>
              <w:spacing w:line="240" w:lineRule="auto"/>
              <w:rPr>
                <w:rFonts w:eastAsia="PMingLiU"/>
                <w:szCs w:val="22"/>
                <w:lang w:eastAsia="en-US" w:bidi="ar-SA"/>
              </w:rPr>
            </w:pPr>
            <w:r>
              <w:rPr>
                <w:rFonts w:eastAsia="PMingLiU"/>
                <w:lang w:eastAsia="en-US" w:bidi="ar-SA"/>
              </w:rPr>
              <w:t xml:space="preserve">Tel: +39 </w:t>
            </w:r>
            <w:r>
              <w:rPr>
                <w:rFonts w:eastAsia="PMingLiU"/>
                <w:szCs w:val="22"/>
                <w:lang w:eastAsia="en-US" w:bidi="ar-SA"/>
              </w:rPr>
              <w:t>02 6241121</w:t>
            </w:r>
          </w:p>
          <w:p w14:paraId="50D6179E"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4054E5FC" w14:textId="77777777" w:rsidR="00C04CAD" w:rsidRDefault="00060E34">
            <w:pPr>
              <w:spacing w:line="240" w:lineRule="auto"/>
              <w:rPr>
                <w:rFonts w:eastAsia="PMingLiU"/>
                <w:lang w:eastAsia="en-US" w:bidi="ar-SA"/>
              </w:rPr>
            </w:pPr>
            <w:r>
              <w:rPr>
                <w:rFonts w:eastAsia="PMingLiU"/>
                <w:b/>
                <w:lang w:eastAsia="en-US" w:bidi="ar-SA"/>
              </w:rPr>
              <w:t>Suomi/Finland</w:t>
            </w:r>
          </w:p>
          <w:p w14:paraId="1407C95E" w14:textId="77777777" w:rsidR="00C04CAD" w:rsidRDefault="00060E34">
            <w:pPr>
              <w:pStyle w:val="lbltxt"/>
              <w:rPr>
                <w:szCs w:val="22"/>
                <w:lang w:val="ro-RO"/>
              </w:rPr>
            </w:pPr>
            <w:r>
              <w:rPr>
                <w:szCs w:val="22"/>
                <w:lang w:val="ro-RO"/>
              </w:rPr>
              <w:t>Amgen AB, sivuliike Suomessa/Amgen AB, filial i Finland</w:t>
            </w:r>
          </w:p>
          <w:p w14:paraId="09C4E64E" w14:textId="77777777" w:rsidR="00C04CAD" w:rsidRDefault="00060E34">
            <w:pPr>
              <w:spacing w:line="240" w:lineRule="auto"/>
              <w:rPr>
                <w:rFonts w:eastAsia="PMingLiU"/>
                <w:szCs w:val="22"/>
                <w:lang w:eastAsia="en-US" w:bidi="ar-SA"/>
              </w:rPr>
            </w:pPr>
            <w:r>
              <w:rPr>
                <w:rFonts w:eastAsia="PMingLiU"/>
                <w:szCs w:val="22"/>
                <w:lang w:val="nl-NL" w:eastAsia="en-US" w:bidi="ar-SA"/>
              </w:rPr>
              <w:t>Puh/Tel: +358 (0)9 54900500</w:t>
            </w:r>
          </w:p>
          <w:p w14:paraId="61C3F8EE" w14:textId="77777777" w:rsidR="00C04CAD" w:rsidRDefault="00C04CAD">
            <w:pPr>
              <w:spacing w:line="240" w:lineRule="auto"/>
              <w:rPr>
                <w:sz w:val="24"/>
                <w:szCs w:val="24"/>
                <w:lang w:eastAsia="en-US" w:bidi="ar-SA"/>
              </w:rPr>
            </w:pPr>
          </w:p>
        </w:tc>
      </w:tr>
      <w:tr w:rsidR="00C04CAD" w14:paraId="325E5AA0" w14:textId="77777777">
        <w:trPr>
          <w:cantSplit/>
        </w:trPr>
        <w:tc>
          <w:tcPr>
            <w:tcW w:w="4677" w:type="dxa"/>
          </w:tcPr>
          <w:p w14:paraId="288544CD" w14:textId="77777777" w:rsidR="00C04CAD" w:rsidRDefault="00060E34">
            <w:pPr>
              <w:spacing w:line="240" w:lineRule="auto"/>
              <w:rPr>
                <w:rFonts w:eastAsia="PMingLiU"/>
                <w:b/>
                <w:szCs w:val="22"/>
                <w:lang w:eastAsia="en-US" w:bidi="ar-SA"/>
              </w:rPr>
            </w:pPr>
            <w:r>
              <w:rPr>
                <w:rFonts w:eastAsia="PMingLiU"/>
                <w:b/>
                <w:szCs w:val="22"/>
                <w:lang w:eastAsia="en-US" w:bidi="ar-SA"/>
              </w:rPr>
              <w:t>Kύπρος</w:t>
            </w:r>
          </w:p>
          <w:p w14:paraId="1BAD37EE" w14:textId="77777777" w:rsidR="00C04CAD" w:rsidRDefault="00060E34">
            <w:pPr>
              <w:tabs>
                <w:tab w:val="clear" w:pos="567"/>
              </w:tabs>
              <w:autoSpaceDE w:val="0"/>
              <w:autoSpaceDN w:val="0"/>
              <w:adjustRightInd w:val="0"/>
              <w:spacing w:line="240" w:lineRule="auto"/>
              <w:rPr>
                <w:rFonts w:eastAsia="SimSun"/>
                <w:szCs w:val="22"/>
                <w:lang w:eastAsia="zh-CN" w:bidi="ar-SA"/>
              </w:rPr>
            </w:pPr>
            <w:r>
              <w:rPr>
                <w:szCs w:val="22"/>
                <w:lang w:eastAsia="en-US" w:bidi="ar-SA"/>
              </w:rPr>
              <w:t>C.A. Papaellinas Ltd</w:t>
            </w:r>
          </w:p>
          <w:p w14:paraId="5F475590" w14:textId="77777777" w:rsidR="00C04CAD" w:rsidRDefault="00060E34">
            <w:pPr>
              <w:spacing w:line="240" w:lineRule="auto"/>
              <w:rPr>
                <w:rFonts w:eastAsia="PMingLiU"/>
                <w:szCs w:val="22"/>
                <w:lang w:eastAsia="en-US" w:bidi="ar-SA"/>
              </w:rPr>
            </w:pPr>
            <w:r>
              <w:rPr>
                <w:rFonts w:eastAsia="PMingLiU"/>
                <w:szCs w:val="22"/>
                <w:lang w:eastAsia="en-US" w:bidi="ar-SA"/>
              </w:rPr>
              <w:t>Τηλ: +357 22741 741</w:t>
            </w:r>
          </w:p>
          <w:p w14:paraId="4EAA66AE" w14:textId="77777777" w:rsidR="00C04CAD" w:rsidRDefault="00C04CAD">
            <w:pPr>
              <w:tabs>
                <w:tab w:val="clear" w:pos="567"/>
              </w:tabs>
              <w:autoSpaceDE w:val="0"/>
              <w:autoSpaceDN w:val="0"/>
              <w:adjustRightInd w:val="0"/>
              <w:spacing w:line="240" w:lineRule="auto"/>
              <w:rPr>
                <w:szCs w:val="22"/>
                <w:lang w:eastAsia="en-US" w:bidi="ar-SA"/>
              </w:rPr>
            </w:pPr>
          </w:p>
        </w:tc>
        <w:tc>
          <w:tcPr>
            <w:tcW w:w="4679" w:type="dxa"/>
          </w:tcPr>
          <w:p w14:paraId="7A31F43A" w14:textId="77777777" w:rsidR="00C04CAD" w:rsidRDefault="00060E34">
            <w:pPr>
              <w:spacing w:line="240" w:lineRule="auto"/>
              <w:rPr>
                <w:rFonts w:eastAsia="PMingLiU"/>
                <w:szCs w:val="22"/>
                <w:lang w:eastAsia="en-US" w:bidi="ar-SA"/>
              </w:rPr>
            </w:pPr>
            <w:r>
              <w:rPr>
                <w:rFonts w:eastAsia="PMingLiU"/>
                <w:b/>
                <w:szCs w:val="22"/>
                <w:lang w:eastAsia="en-US" w:bidi="ar-SA"/>
              </w:rPr>
              <w:t>Sverige</w:t>
            </w:r>
          </w:p>
          <w:p w14:paraId="69735F29"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AB </w:t>
            </w:r>
          </w:p>
          <w:p w14:paraId="0A169F1C" w14:textId="77777777" w:rsidR="00C04CAD" w:rsidRDefault="00060E34">
            <w:pPr>
              <w:spacing w:line="240" w:lineRule="auto"/>
              <w:rPr>
                <w:rFonts w:eastAsia="PMingLiU"/>
                <w:szCs w:val="22"/>
                <w:lang w:eastAsia="en-US" w:bidi="ar-SA"/>
              </w:rPr>
            </w:pPr>
            <w:r>
              <w:rPr>
                <w:rFonts w:eastAsia="PMingLiU"/>
                <w:szCs w:val="22"/>
                <w:lang w:eastAsia="en-US" w:bidi="ar-SA"/>
              </w:rPr>
              <w:t>Tel: +46 (0)8 6951100</w:t>
            </w:r>
          </w:p>
          <w:p w14:paraId="20E2A846" w14:textId="77777777" w:rsidR="00C04CAD" w:rsidRDefault="00C04CAD">
            <w:pPr>
              <w:tabs>
                <w:tab w:val="clear" w:pos="567"/>
              </w:tabs>
              <w:autoSpaceDE w:val="0"/>
              <w:autoSpaceDN w:val="0"/>
              <w:adjustRightInd w:val="0"/>
              <w:spacing w:line="240" w:lineRule="auto"/>
              <w:rPr>
                <w:szCs w:val="22"/>
                <w:lang w:eastAsia="en-US" w:bidi="ar-SA"/>
              </w:rPr>
            </w:pPr>
          </w:p>
        </w:tc>
      </w:tr>
      <w:tr w:rsidR="00C04CAD" w14:paraId="7044F368" w14:textId="77777777">
        <w:trPr>
          <w:cantSplit/>
        </w:trPr>
        <w:tc>
          <w:tcPr>
            <w:tcW w:w="4677" w:type="dxa"/>
          </w:tcPr>
          <w:p w14:paraId="68C773C1" w14:textId="77777777" w:rsidR="00C04CAD" w:rsidRDefault="00060E34">
            <w:pPr>
              <w:spacing w:line="240" w:lineRule="auto"/>
              <w:rPr>
                <w:rFonts w:eastAsia="PMingLiU"/>
                <w:b/>
                <w:lang w:eastAsia="en-US" w:bidi="ar-SA"/>
              </w:rPr>
            </w:pPr>
            <w:r>
              <w:rPr>
                <w:rFonts w:eastAsia="PMingLiU"/>
                <w:b/>
                <w:lang w:eastAsia="en-US" w:bidi="ar-SA"/>
              </w:rPr>
              <w:t>Latvija</w:t>
            </w:r>
          </w:p>
          <w:p w14:paraId="46B0A5D4" w14:textId="77777777" w:rsidR="00C04CAD" w:rsidRDefault="00060E34">
            <w:pPr>
              <w:spacing w:line="240" w:lineRule="auto"/>
              <w:rPr>
                <w:rFonts w:eastAsia="PMingLiU"/>
                <w:szCs w:val="22"/>
                <w:lang w:eastAsia="en-US" w:bidi="ar-SA"/>
              </w:rPr>
            </w:pPr>
            <w:r>
              <w:rPr>
                <w:rFonts w:eastAsia="PMingLiU"/>
                <w:szCs w:val="22"/>
                <w:lang w:eastAsia="en-US" w:bidi="ar-SA"/>
              </w:rPr>
              <w:t>Amgen Switzerland AG Rīgas filiāle</w:t>
            </w:r>
          </w:p>
          <w:p w14:paraId="01D69361" w14:textId="77777777" w:rsidR="00C04CAD" w:rsidRDefault="00060E34">
            <w:pPr>
              <w:spacing w:line="240" w:lineRule="auto"/>
              <w:rPr>
                <w:rFonts w:eastAsia="PMingLiU"/>
                <w:szCs w:val="22"/>
                <w:lang w:eastAsia="en-US" w:bidi="ar-SA"/>
              </w:rPr>
            </w:pPr>
            <w:r>
              <w:rPr>
                <w:rFonts w:eastAsia="PMingLiU"/>
                <w:lang w:eastAsia="en-US" w:bidi="ar-SA"/>
              </w:rPr>
              <w:t xml:space="preserve">Tel: +371 </w:t>
            </w:r>
            <w:r>
              <w:rPr>
                <w:rFonts w:eastAsia="PMingLiU"/>
                <w:szCs w:val="22"/>
                <w:lang w:eastAsia="en-US" w:bidi="ar-SA"/>
              </w:rPr>
              <w:t>257 25888</w:t>
            </w:r>
          </w:p>
          <w:p w14:paraId="1FE0B028" w14:textId="77777777" w:rsidR="00C04CAD" w:rsidRDefault="00C04CAD">
            <w:pPr>
              <w:tabs>
                <w:tab w:val="clear" w:pos="567"/>
              </w:tabs>
              <w:autoSpaceDE w:val="0"/>
              <w:autoSpaceDN w:val="0"/>
              <w:adjustRightInd w:val="0"/>
              <w:spacing w:line="240" w:lineRule="auto"/>
              <w:rPr>
                <w:sz w:val="24"/>
                <w:szCs w:val="24"/>
                <w:lang w:eastAsia="en-US" w:bidi="ar-SA"/>
              </w:rPr>
            </w:pPr>
          </w:p>
        </w:tc>
        <w:tc>
          <w:tcPr>
            <w:tcW w:w="4679" w:type="dxa"/>
          </w:tcPr>
          <w:p w14:paraId="09D29FB1" w14:textId="77777777" w:rsidR="00C04CAD" w:rsidRDefault="00C04CAD">
            <w:pPr>
              <w:spacing w:line="240" w:lineRule="auto"/>
              <w:rPr>
                <w:sz w:val="24"/>
                <w:szCs w:val="24"/>
                <w:lang w:eastAsia="en-US" w:bidi="ar-SA"/>
              </w:rPr>
            </w:pPr>
          </w:p>
        </w:tc>
      </w:tr>
    </w:tbl>
    <w:p w14:paraId="203AE022" w14:textId="77777777" w:rsidR="00C04CAD" w:rsidRDefault="00C04CAD">
      <w:pPr>
        <w:spacing w:line="240" w:lineRule="auto"/>
        <w:rPr>
          <w:szCs w:val="22"/>
        </w:rPr>
      </w:pPr>
    </w:p>
    <w:p w14:paraId="0DB53BDE" w14:textId="77777777" w:rsidR="00C04CAD" w:rsidRDefault="00060E34">
      <w:pPr>
        <w:keepNext/>
        <w:numPr>
          <w:ilvl w:val="12"/>
          <w:numId w:val="0"/>
        </w:numPr>
        <w:tabs>
          <w:tab w:val="clear" w:pos="567"/>
        </w:tabs>
        <w:spacing w:line="240" w:lineRule="auto"/>
        <w:ind w:right="-2"/>
        <w:outlineLvl w:val="0"/>
        <w:rPr>
          <w:szCs w:val="22"/>
        </w:rPr>
      </w:pPr>
      <w:r>
        <w:rPr>
          <w:b/>
        </w:rPr>
        <w:t xml:space="preserve">Acest prospect a fost revizuit în </w:t>
      </w:r>
    </w:p>
    <w:p w14:paraId="7CC65A02" w14:textId="77777777" w:rsidR="00C04CAD" w:rsidRDefault="00C04CAD">
      <w:pPr>
        <w:keepNext/>
        <w:numPr>
          <w:ilvl w:val="12"/>
          <w:numId w:val="0"/>
        </w:numPr>
        <w:spacing w:line="240" w:lineRule="auto"/>
        <w:ind w:right="-2"/>
        <w:rPr>
          <w:szCs w:val="22"/>
        </w:rPr>
      </w:pPr>
    </w:p>
    <w:p w14:paraId="6077FEED" w14:textId="77777777" w:rsidR="00C04CAD" w:rsidRDefault="00060E34">
      <w:pPr>
        <w:numPr>
          <w:ilvl w:val="12"/>
          <w:numId w:val="0"/>
        </w:numPr>
        <w:tabs>
          <w:tab w:val="clear" w:pos="567"/>
        </w:tabs>
        <w:spacing w:line="240" w:lineRule="auto"/>
        <w:ind w:right="-2"/>
        <w:rPr>
          <w:b/>
        </w:rPr>
      </w:pPr>
      <w:r>
        <w:rPr>
          <w:b/>
        </w:rPr>
        <w:t>Alte surse de informații</w:t>
      </w:r>
    </w:p>
    <w:p w14:paraId="767BC234" w14:textId="77777777" w:rsidR="00C04CAD" w:rsidRDefault="00C04CAD">
      <w:pPr>
        <w:numPr>
          <w:ilvl w:val="12"/>
          <w:numId w:val="0"/>
        </w:numPr>
        <w:tabs>
          <w:tab w:val="clear" w:pos="567"/>
        </w:tabs>
        <w:spacing w:line="240" w:lineRule="auto"/>
        <w:ind w:right="-2"/>
      </w:pPr>
    </w:p>
    <w:p w14:paraId="04D64B9E" w14:textId="77777777" w:rsidR="00C04CAD" w:rsidRDefault="00060E34">
      <w:pPr>
        <w:numPr>
          <w:ilvl w:val="12"/>
          <w:numId w:val="0"/>
        </w:numPr>
        <w:tabs>
          <w:tab w:val="clear" w:pos="567"/>
        </w:tabs>
        <w:spacing w:line="240" w:lineRule="auto"/>
      </w:pPr>
      <w:r>
        <w:t xml:space="preserve">Informații detaliate privind acest medicament sunt disponibile pe site-ul Agenției Europene pentru Medicamente: </w:t>
      </w:r>
      <w:hyperlink r:id="rId58" w:history="1">
        <w:r w:rsidR="00C04CAD">
          <w:rPr>
            <w:rStyle w:val="Hyperlink"/>
            <w:szCs w:val="22"/>
          </w:rPr>
          <w:t>http://www.ema.europa.eu</w:t>
        </w:r>
      </w:hyperlink>
      <w:r>
        <w:t>.</w:t>
      </w:r>
    </w:p>
    <w:p w14:paraId="2C1F904A" w14:textId="77777777" w:rsidR="00C04CAD" w:rsidRDefault="00060E34">
      <w:pPr>
        <w:numPr>
          <w:ilvl w:val="12"/>
          <w:numId w:val="0"/>
        </w:numPr>
        <w:tabs>
          <w:tab w:val="clear" w:pos="567"/>
        </w:tabs>
        <w:spacing w:line="240" w:lineRule="auto"/>
        <w:rPr>
          <w:b/>
        </w:rPr>
      </w:pPr>
      <w: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C04CAD" w14:paraId="629B6A7D"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51EF40F2" w14:textId="77777777" w:rsidR="00C04CAD" w:rsidRDefault="00060E34">
            <w:pPr>
              <w:spacing w:line="240" w:lineRule="auto"/>
              <w:jc w:val="center"/>
              <w:rPr>
                <w:b/>
                <w:bCs/>
              </w:rPr>
            </w:pPr>
            <w:r>
              <w:rPr>
                <w:b/>
              </w:rPr>
              <w:t>INSTRUCȚIUNI DE UTILIZARE</w:t>
            </w:r>
          </w:p>
        </w:tc>
      </w:tr>
      <w:tr w:rsidR="00C04CAD" w14:paraId="68C9F7D2" w14:textId="77777777">
        <w:trPr>
          <w:cantSplit/>
          <w:trHeight w:val="57"/>
        </w:trPr>
        <w:tc>
          <w:tcPr>
            <w:tcW w:w="5000" w:type="pct"/>
            <w:gridSpan w:val="3"/>
            <w:tcBorders>
              <w:top w:val="single" w:sz="4" w:space="0" w:color="auto"/>
              <w:left w:val="nil"/>
              <w:bottom w:val="single" w:sz="4" w:space="0" w:color="auto"/>
              <w:right w:val="nil"/>
            </w:tcBorders>
          </w:tcPr>
          <w:p w14:paraId="7F5130CC" w14:textId="77777777" w:rsidR="00C04CAD" w:rsidRDefault="00C04CAD">
            <w:pPr>
              <w:keepNext/>
              <w:keepLines/>
              <w:spacing w:line="240" w:lineRule="auto"/>
              <w:jc w:val="center"/>
              <w:rPr>
                <w:bCs/>
              </w:rPr>
            </w:pPr>
          </w:p>
        </w:tc>
      </w:tr>
      <w:tr w:rsidR="00C04CAD" w14:paraId="3B5664DD"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27351AEB" w14:textId="77777777" w:rsidR="00C04CAD" w:rsidRDefault="00060E34">
            <w:pPr>
              <w:keepNext/>
              <w:keepLines/>
              <w:spacing w:line="240" w:lineRule="auto"/>
            </w:pPr>
            <w:r>
              <w:t>Descrierea seringii preumplute</w:t>
            </w:r>
          </w:p>
        </w:tc>
      </w:tr>
      <w:tr w:rsidR="00C04CAD" w14:paraId="2D204FA1"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C04CAD" w14:paraId="4984EA8E" w14:textId="77777777">
              <w:trPr>
                <w:trHeight w:val="124"/>
              </w:trPr>
              <w:tc>
                <w:tcPr>
                  <w:tcW w:w="1763" w:type="dxa"/>
                </w:tcPr>
                <w:p w14:paraId="7C6854AA" w14:textId="77777777" w:rsidR="00C04CAD" w:rsidRDefault="00C04CAD">
                  <w:pPr>
                    <w:framePr w:hSpace="141" w:wrap="around" w:vAnchor="text" w:hAnchor="text" w:x="108" w:y="1"/>
                    <w:spacing w:line="240" w:lineRule="auto"/>
                    <w:suppressOverlap/>
                    <w:jc w:val="center"/>
                    <w:rPr>
                      <w:sz w:val="2"/>
                      <w:szCs w:val="2"/>
                    </w:rPr>
                  </w:pPr>
                </w:p>
              </w:tc>
            </w:tr>
            <w:tr w:rsidR="00C04CAD" w14:paraId="760B6F56" w14:textId="77777777">
              <w:trPr>
                <w:trHeight w:val="990"/>
              </w:trPr>
              <w:tc>
                <w:tcPr>
                  <w:tcW w:w="1763" w:type="dxa"/>
                </w:tcPr>
                <w:p w14:paraId="0B27198A" w14:textId="77777777" w:rsidR="00C04CAD" w:rsidRDefault="00C04CAD">
                  <w:pPr>
                    <w:framePr w:hSpace="141" w:wrap="around" w:vAnchor="text" w:hAnchor="text" w:x="108" w:y="1"/>
                    <w:spacing w:line="240" w:lineRule="auto"/>
                    <w:suppressOverlap/>
                    <w:jc w:val="right"/>
                  </w:pPr>
                </w:p>
              </w:tc>
            </w:tr>
            <w:tr w:rsidR="00C04CAD" w14:paraId="6BBCE8D9" w14:textId="77777777">
              <w:trPr>
                <w:trHeight w:val="852"/>
              </w:trPr>
              <w:tc>
                <w:tcPr>
                  <w:tcW w:w="1763" w:type="dxa"/>
                </w:tcPr>
                <w:p w14:paraId="2FBB3CE4" w14:textId="77777777" w:rsidR="00C04CAD" w:rsidRDefault="00060E34">
                  <w:pPr>
                    <w:framePr w:hSpace="141" w:wrap="around" w:vAnchor="text" w:hAnchor="text" w:x="108" w:y="1"/>
                    <w:spacing w:line="240" w:lineRule="auto"/>
                    <w:suppressOverlap/>
                  </w:pPr>
                  <w:r>
                    <w:t>Tija pistonului</w:t>
                  </w:r>
                </w:p>
                <w:p w14:paraId="3D1BBA0A" w14:textId="77777777" w:rsidR="00C04CAD" w:rsidRDefault="00C04CAD">
                  <w:pPr>
                    <w:framePr w:hSpace="141" w:wrap="around" w:vAnchor="text" w:hAnchor="text" w:x="108" w:y="1"/>
                    <w:spacing w:line="240" w:lineRule="auto"/>
                    <w:suppressOverlap/>
                    <w:jc w:val="right"/>
                  </w:pPr>
                </w:p>
              </w:tc>
            </w:tr>
            <w:tr w:rsidR="00C04CAD" w14:paraId="5FA849C7" w14:textId="77777777">
              <w:trPr>
                <w:trHeight w:val="594"/>
              </w:trPr>
              <w:tc>
                <w:tcPr>
                  <w:tcW w:w="1763" w:type="dxa"/>
                </w:tcPr>
                <w:p w14:paraId="493DB728" w14:textId="77777777" w:rsidR="00C04CAD" w:rsidRDefault="00060E34">
                  <w:pPr>
                    <w:framePr w:hSpace="141" w:wrap="around" w:vAnchor="text" w:hAnchor="text" w:x="108" w:y="1"/>
                    <w:spacing w:line="240" w:lineRule="auto"/>
                    <w:suppressOverlap/>
                    <w:jc w:val="right"/>
                  </w:pPr>
                  <w:r>
                    <w:t>Data expirării</w:t>
                  </w:r>
                </w:p>
              </w:tc>
            </w:tr>
            <w:tr w:rsidR="00C04CAD" w14:paraId="3ABDFA81" w14:textId="77777777">
              <w:trPr>
                <w:trHeight w:val="972"/>
              </w:trPr>
              <w:tc>
                <w:tcPr>
                  <w:tcW w:w="1763" w:type="dxa"/>
                </w:tcPr>
                <w:p w14:paraId="562345BC" w14:textId="77777777" w:rsidR="00C04CAD" w:rsidRDefault="00060E34">
                  <w:pPr>
                    <w:framePr w:hSpace="141" w:wrap="around" w:vAnchor="text" w:hAnchor="text" w:x="108" w:y="1"/>
                    <w:spacing w:line="240" w:lineRule="auto"/>
                    <w:suppressOverlap/>
                    <w:jc w:val="right"/>
                  </w:pPr>
                  <w:r>
                    <w:t>Corpul</w:t>
                  </w:r>
                </w:p>
                <w:p w14:paraId="22373376" w14:textId="77777777" w:rsidR="00C04CAD" w:rsidRDefault="00060E34">
                  <w:pPr>
                    <w:framePr w:hSpace="141" w:wrap="around" w:vAnchor="text" w:hAnchor="text" w:x="108" w:y="1"/>
                    <w:spacing w:line="240" w:lineRule="auto"/>
                    <w:suppressOverlap/>
                    <w:jc w:val="right"/>
                  </w:pPr>
                  <w:r>
                    <w:t>seringii</w:t>
                  </w:r>
                </w:p>
              </w:tc>
            </w:tr>
            <w:tr w:rsidR="00C04CAD" w14:paraId="40FB48C1" w14:textId="77777777">
              <w:trPr>
                <w:trHeight w:val="1128"/>
              </w:trPr>
              <w:tc>
                <w:tcPr>
                  <w:tcW w:w="1763" w:type="dxa"/>
                </w:tcPr>
                <w:p w14:paraId="253FE907" w14:textId="77777777" w:rsidR="00C04CAD" w:rsidRDefault="00060E34">
                  <w:pPr>
                    <w:framePr w:hSpace="141" w:wrap="around" w:vAnchor="text" w:hAnchor="text" w:x="108" w:y="1"/>
                    <w:spacing w:line="240" w:lineRule="auto"/>
                    <w:suppressOverlap/>
                    <w:jc w:val="right"/>
                  </w:pPr>
                  <w:r>
                    <w:t>Capacul acului</w:t>
                  </w:r>
                </w:p>
                <w:p w14:paraId="1FDB73EF" w14:textId="77777777" w:rsidR="00C04CAD" w:rsidRDefault="00060E34">
                  <w:pPr>
                    <w:framePr w:hSpace="141" w:wrap="around" w:vAnchor="text" w:hAnchor="text" w:x="108" w:y="1"/>
                    <w:spacing w:line="240" w:lineRule="auto"/>
                    <w:suppressOverlap/>
                    <w:jc w:val="right"/>
                  </w:pPr>
                  <w:r>
                    <w:t>(acul este înăuntru)</w:t>
                  </w:r>
                </w:p>
              </w:tc>
            </w:tr>
          </w:tbl>
          <w:p w14:paraId="0322DF0C" w14:textId="77777777" w:rsidR="00C04CAD" w:rsidRDefault="00C04CAD">
            <w:pPr>
              <w:keepNext/>
              <w:spacing w:line="240" w:lineRule="auto"/>
              <w:jc w:val="right"/>
            </w:pPr>
          </w:p>
        </w:tc>
        <w:tc>
          <w:tcPr>
            <w:tcW w:w="1447" w:type="pct"/>
            <w:tcBorders>
              <w:top w:val="nil"/>
              <w:left w:val="nil"/>
              <w:bottom w:val="single" w:sz="4" w:space="0" w:color="auto"/>
              <w:right w:val="nil"/>
            </w:tcBorders>
          </w:tcPr>
          <w:p w14:paraId="6BD3750C" w14:textId="77777777" w:rsidR="00C04CAD" w:rsidRDefault="00060E34">
            <w:pPr>
              <w:spacing w:line="240" w:lineRule="auto"/>
              <w:jc w:val="right"/>
            </w:pPr>
            <w:r>
              <w:rPr>
                <w:noProof/>
              </w:rPr>
              <w:drawing>
                <wp:anchor distT="0" distB="0" distL="114300" distR="114300" simplePos="0" relativeHeight="251659264" behindDoc="0" locked="0" layoutInCell="1" allowOverlap="1" wp14:anchorId="566EC4A5" wp14:editId="78CF2DDA">
                  <wp:simplePos x="0" y="0"/>
                  <wp:positionH relativeFrom="column">
                    <wp:posOffset>297180</wp:posOffset>
                  </wp:positionH>
                  <wp:positionV relativeFrom="paragraph">
                    <wp:posOffset>307975</wp:posOffset>
                  </wp:positionV>
                  <wp:extent cx="939165" cy="2506345"/>
                  <wp:effectExtent l="0" t="0" r="0" b="0"/>
                  <wp:wrapNone/>
                  <wp:docPr id="1263047518" name="Picture 139"/>
                  <wp:cNvGraphicFramePr/>
                  <a:graphic xmlns:a="http://schemas.openxmlformats.org/drawingml/2006/main">
                    <a:graphicData uri="http://schemas.openxmlformats.org/drawingml/2006/picture">
                      <pic:pic xmlns:pic="http://schemas.openxmlformats.org/drawingml/2006/picture">
                        <pic:nvPicPr>
                          <pic:cNvPr id="1263047518" name="Picture 139"/>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939165" cy="2506345"/>
                          </a:xfrm>
                          <a:prstGeom prst="rect">
                            <a:avLst/>
                          </a:prstGeom>
                          <a:noFill/>
                        </pic:spPr>
                      </pic:pic>
                    </a:graphicData>
                  </a:graphic>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C04CAD" w14:paraId="2F8C4018" w14:textId="77777777">
              <w:trPr>
                <w:trHeight w:val="461"/>
              </w:trPr>
              <w:tc>
                <w:tcPr>
                  <w:tcW w:w="1852" w:type="dxa"/>
                </w:tcPr>
                <w:p w14:paraId="2A3E3537" w14:textId="77777777" w:rsidR="00C04CAD" w:rsidRDefault="00C04CAD">
                  <w:pPr>
                    <w:framePr w:hSpace="141" w:wrap="around" w:vAnchor="text" w:hAnchor="text" w:x="108" w:y="1"/>
                    <w:spacing w:line="240" w:lineRule="auto"/>
                    <w:suppressOverlap/>
                    <w:rPr>
                      <w:sz w:val="2"/>
                      <w:szCs w:val="2"/>
                    </w:rPr>
                  </w:pPr>
                </w:p>
              </w:tc>
            </w:tr>
            <w:tr w:rsidR="00C04CAD" w14:paraId="0082D3D8" w14:textId="77777777">
              <w:trPr>
                <w:trHeight w:val="1077"/>
              </w:trPr>
              <w:tc>
                <w:tcPr>
                  <w:tcW w:w="1852" w:type="dxa"/>
                </w:tcPr>
                <w:p w14:paraId="3283ACA4" w14:textId="77777777" w:rsidR="00C04CAD" w:rsidRDefault="00C04CAD">
                  <w:pPr>
                    <w:framePr w:hSpace="141" w:wrap="around" w:vAnchor="text" w:hAnchor="text" w:x="108" w:y="1"/>
                    <w:spacing w:line="240" w:lineRule="auto"/>
                    <w:suppressOverlap/>
                  </w:pPr>
                </w:p>
              </w:tc>
            </w:tr>
            <w:tr w:rsidR="00C04CAD" w14:paraId="118FB061" w14:textId="77777777">
              <w:trPr>
                <w:trHeight w:val="725"/>
              </w:trPr>
              <w:tc>
                <w:tcPr>
                  <w:tcW w:w="1852" w:type="dxa"/>
                </w:tcPr>
                <w:p w14:paraId="3605A4CA" w14:textId="77777777" w:rsidR="00C04CAD" w:rsidRDefault="00060E34">
                  <w:pPr>
                    <w:framePr w:hSpace="141" w:wrap="around" w:vAnchor="text" w:hAnchor="text" w:x="108" w:y="1"/>
                    <w:spacing w:line="240" w:lineRule="auto"/>
                    <w:suppressOverlap/>
                  </w:pPr>
                  <w:r>
                    <w:rPr>
                      <w:szCs w:val="22"/>
                      <w:lang w:eastAsia="en-US" w:bidi="ar-SA"/>
                    </w:rPr>
                    <w:t>Suport pentru degete</w:t>
                  </w:r>
                </w:p>
              </w:tc>
            </w:tr>
            <w:tr w:rsidR="00C04CAD" w14:paraId="2EC46DFF" w14:textId="77777777">
              <w:trPr>
                <w:trHeight w:val="989"/>
              </w:trPr>
              <w:tc>
                <w:tcPr>
                  <w:tcW w:w="1852" w:type="dxa"/>
                </w:tcPr>
                <w:p w14:paraId="506E33C2" w14:textId="77777777" w:rsidR="00C04CAD" w:rsidRDefault="00060E34">
                  <w:pPr>
                    <w:framePr w:hSpace="141" w:wrap="around" w:vAnchor="text" w:hAnchor="text" w:x="108" w:y="1"/>
                    <w:spacing w:line="240" w:lineRule="auto"/>
                    <w:suppressOverlap/>
                  </w:pPr>
                  <w:r>
                    <w:t>Piston (locația poate varia)</w:t>
                  </w:r>
                </w:p>
              </w:tc>
            </w:tr>
            <w:tr w:rsidR="00C04CAD" w14:paraId="201D863D" w14:textId="77777777">
              <w:trPr>
                <w:trHeight w:val="856"/>
              </w:trPr>
              <w:tc>
                <w:tcPr>
                  <w:tcW w:w="1852" w:type="dxa"/>
                </w:tcPr>
                <w:p w14:paraId="40BCA548" w14:textId="77777777" w:rsidR="00C04CAD" w:rsidRDefault="00060E34">
                  <w:pPr>
                    <w:framePr w:hSpace="141" w:wrap="around" w:vAnchor="text" w:hAnchor="text" w:x="108" w:y="1"/>
                    <w:spacing w:line="240" w:lineRule="auto"/>
                    <w:suppressOverlap/>
                  </w:pPr>
                  <w:r>
                    <w:t>Medicament</w:t>
                  </w:r>
                </w:p>
              </w:tc>
            </w:tr>
          </w:tbl>
          <w:p w14:paraId="27B385CA" w14:textId="77777777" w:rsidR="00C04CAD" w:rsidRDefault="00C04CAD">
            <w:pPr>
              <w:spacing w:line="240" w:lineRule="auto"/>
            </w:pPr>
          </w:p>
        </w:tc>
      </w:tr>
    </w:tbl>
    <w:p w14:paraId="4B9BA4A3" w14:textId="77777777" w:rsidR="00C04CAD" w:rsidRDefault="00C04CAD">
      <w:pPr>
        <w:spacing w:line="240" w:lineRule="auto"/>
        <w:rPr>
          <w:b/>
          <w:bCs/>
        </w:rPr>
      </w:pPr>
    </w:p>
    <w:tbl>
      <w:tblPr>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3"/>
        <w:gridCol w:w="8438"/>
      </w:tblGrid>
      <w:tr w:rsidR="00C04CAD" w14:paraId="3D48E6B8" w14:textId="77777777">
        <w:trPr>
          <w:cantSplit/>
          <w:trHeight w:val="57"/>
        </w:trPr>
        <w:tc>
          <w:tcPr>
            <w:tcW w:w="313"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2D07D031" w14:textId="77777777" w:rsidR="00C04CAD" w:rsidRDefault="00060E34">
            <w:pPr>
              <w:pageBreakBefore/>
              <w:spacing w:line="240" w:lineRule="auto"/>
              <w:ind w:left="567" w:hanging="567"/>
              <w:rPr>
                <w:b/>
                <w:bCs/>
              </w:rPr>
            </w:pPr>
            <w:r>
              <w:rPr>
                <w:b/>
                <w:bCs/>
              </w:rPr>
              <w:t>1</w:t>
            </w:r>
          </w:p>
        </w:tc>
        <w:tc>
          <w:tcPr>
            <w:tcW w:w="4688" w:type="pct"/>
            <w:tcBorders>
              <w:top w:val="single" w:sz="4" w:space="0" w:color="auto"/>
              <w:left w:val="single" w:sz="4" w:space="0" w:color="auto"/>
              <w:bottom w:val="single" w:sz="4" w:space="0" w:color="auto"/>
              <w:right w:val="single" w:sz="4" w:space="0" w:color="auto"/>
            </w:tcBorders>
          </w:tcPr>
          <w:p w14:paraId="1FCAAC83" w14:textId="77777777" w:rsidR="00C04CAD" w:rsidRDefault="00060E34">
            <w:pPr>
              <w:spacing w:line="240" w:lineRule="auto"/>
              <w:rPr>
                <w:b/>
                <w:bCs/>
              </w:rPr>
            </w:pPr>
            <w:r>
              <w:rPr>
                <w:b/>
              </w:rPr>
              <w:t>Informații importante pe care trebuie să le cunoașteți înainte de a vă injecta AMGEVITA</w:t>
            </w:r>
          </w:p>
        </w:tc>
      </w:tr>
      <w:tr w:rsidR="00C04CAD" w14:paraId="2F42B0B3" w14:textId="77777777">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30C80579" w14:textId="77777777" w:rsidR="00C04CAD" w:rsidRDefault="00060E34">
            <w:pPr>
              <w:spacing w:line="240" w:lineRule="auto"/>
              <w:ind w:left="567" w:hanging="567"/>
              <w:rPr>
                <w:b/>
                <w:bCs/>
              </w:rPr>
            </w:pPr>
            <w:r>
              <w:t>Dozare</w:t>
            </w:r>
            <w:r>
              <w:rPr>
                <w:b/>
                <w:bCs/>
              </w:rPr>
              <w:t>:</w:t>
            </w:r>
          </w:p>
          <w:p w14:paraId="0486CAA1" w14:textId="77777777" w:rsidR="00C04CAD" w:rsidRDefault="00060E34">
            <w:pPr>
              <w:pStyle w:val="ListParagraph"/>
              <w:numPr>
                <w:ilvl w:val="0"/>
                <w:numId w:val="101"/>
              </w:numPr>
              <w:tabs>
                <w:tab w:val="clear" w:pos="567"/>
              </w:tabs>
              <w:suppressAutoHyphens/>
              <w:autoSpaceDE w:val="0"/>
              <w:autoSpaceDN w:val="0"/>
              <w:adjustRightInd w:val="0"/>
              <w:spacing w:line="240" w:lineRule="auto"/>
              <w:ind w:left="567" w:hanging="567"/>
              <w:textAlignment w:val="center"/>
              <w:rPr>
                <w:color w:val="000000"/>
                <w:szCs w:val="22"/>
              </w:rPr>
            </w:pPr>
            <w:r>
              <w:rPr>
                <w:color w:val="000000"/>
                <w:szCs w:val="22"/>
              </w:rPr>
              <w:t>AMGEVITA</w:t>
            </w:r>
            <w:r>
              <w:t xml:space="preserve"> este dsponibilă în trei doze diferite: 20 mg/0,2 ml, 40 mg/0,4 ml, 80 mg/0,8 ml. Verificați-vă rețeta pentru a vă asigura că aveți doza corectă</w:t>
            </w:r>
            <w:r>
              <w:rPr>
                <w:color w:val="000000"/>
                <w:szCs w:val="22"/>
              </w:rPr>
              <w:t xml:space="preserve">. </w:t>
            </w:r>
          </w:p>
          <w:p w14:paraId="42182388" w14:textId="77777777" w:rsidR="00C04CAD" w:rsidRDefault="00060E34">
            <w:pPr>
              <w:pStyle w:val="ListParagraph"/>
              <w:numPr>
                <w:ilvl w:val="0"/>
                <w:numId w:val="101"/>
              </w:numPr>
              <w:tabs>
                <w:tab w:val="clear" w:pos="567"/>
              </w:tabs>
              <w:suppressAutoHyphens/>
              <w:autoSpaceDE w:val="0"/>
              <w:autoSpaceDN w:val="0"/>
              <w:adjustRightInd w:val="0"/>
              <w:spacing w:line="240" w:lineRule="auto"/>
              <w:ind w:left="567" w:hanging="567"/>
              <w:textAlignment w:val="center"/>
              <w:rPr>
                <w:szCs w:val="22"/>
              </w:rPr>
            </w:pPr>
            <w:r>
              <w:t>Culoarea și aspectul seringii preumplute sunt diferite pentru fiecare doză. Cantitatea de medicament din seringa preumplută este, de asemenea, diferită pentru fiecare doză</w:t>
            </w:r>
            <w:r>
              <w:rPr>
                <w:szCs w:val="22"/>
              </w:rPr>
              <w:t>.</w:t>
            </w:r>
          </w:p>
          <w:p w14:paraId="3317F638" w14:textId="77777777" w:rsidR="00C04CAD" w:rsidRDefault="00060E34">
            <w:pPr>
              <w:pStyle w:val="ListParagraph"/>
              <w:numPr>
                <w:ilvl w:val="0"/>
                <w:numId w:val="101"/>
              </w:numPr>
              <w:tabs>
                <w:tab w:val="clear" w:pos="567"/>
              </w:tabs>
              <w:suppressAutoHyphens/>
              <w:autoSpaceDE w:val="0"/>
              <w:autoSpaceDN w:val="0"/>
              <w:adjustRightInd w:val="0"/>
              <w:spacing w:line="240" w:lineRule="auto"/>
              <w:ind w:left="567" w:hanging="567"/>
              <w:textAlignment w:val="center"/>
              <w:rPr>
                <w:szCs w:val="22"/>
              </w:rPr>
            </w:pPr>
            <w:r>
              <w:t>De exemplu, este în regulă ca doza de 20 mg/0,2 ml să aibă o cantitate mică de medicament și cea de 80 mg/0,8 ml să aibă o cantitate mare de medicament. Consultați ilustrațiile de mai jos pentru a vedea cum arată doza dumneavoastră din seringa preumplută</w:t>
            </w:r>
            <w:r>
              <w:rPr>
                <w:szCs w:val="22"/>
              </w:rPr>
              <w:t xml:space="preserve">. </w:t>
            </w:r>
          </w:p>
          <w:p w14:paraId="394D85B4" w14:textId="77777777" w:rsidR="00C04CAD" w:rsidRDefault="00C04CAD">
            <w:pPr>
              <w:spacing w:line="240" w:lineRule="auto"/>
              <w:rPr>
                <w:b/>
                <w:bCs/>
              </w:rPr>
            </w:pPr>
          </w:p>
          <w:p w14:paraId="6E0F2F8B" w14:textId="77777777" w:rsidR="00C04CAD" w:rsidRPr="001C668B" w:rsidRDefault="00060E34">
            <w:pPr>
              <w:spacing w:line="240" w:lineRule="auto"/>
              <w:rPr>
                <w:ins w:id="34" w:author="Author"/>
                <w:b/>
                <w:lang w:eastAsia="zh-CN" w:bidi="ar-SA"/>
                <w:rPrChange w:id="35" w:author="Author">
                  <w:rPr>
                    <w:ins w:id="36" w:author="Author"/>
                    <w:b/>
                    <w:lang w:val="en-US" w:eastAsia="zh-CN" w:bidi="ar-SA"/>
                  </w:rPr>
                </w:rPrChange>
              </w:rPr>
            </w:pPr>
            <w:del w:id="37" w:author="Author">
              <w:r>
                <w:rPr>
                  <w:b/>
                  <w:noProof/>
                  <w:lang w:val="en-US" w:eastAsia="zh-CN" w:bidi="ar-SA"/>
                </w:rPr>
                <w:drawing>
                  <wp:inline distT="0" distB="0" distL="0" distR="0" wp14:anchorId="6D1820C3" wp14:editId="51ADD598">
                    <wp:extent cx="1101725" cy="2483485"/>
                    <wp:effectExtent l="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101725" cy="2483485"/>
                            </a:xfrm>
                            <a:prstGeom prst="rect">
                              <a:avLst/>
                            </a:prstGeom>
                            <a:noFill/>
                            <a:ln>
                              <a:noFill/>
                            </a:ln>
                          </pic:spPr>
                        </pic:pic>
                      </a:graphicData>
                    </a:graphic>
                  </wp:inline>
                </w:drawing>
              </w:r>
              <w:r>
                <w:rPr>
                  <w:b/>
                  <w:noProof/>
                  <w:lang w:val="en-US" w:eastAsia="zh-CN" w:bidi="ar-SA"/>
                </w:rPr>
                <w:drawing>
                  <wp:inline distT="0" distB="0" distL="0" distR="0" wp14:anchorId="14E812B2" wp14:editId="293F3489">
                    <wp:extent cx="1007745" cy="2483485"/>
                    <wp:effectExtent l="0" t="0" r="0"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1007745" cy="2483485"/>
                            </a:xfrm>
                            <a:prstGeom prst="rect">
                              <a:avLst/>
                            </a:prstGeom>
                            <a:noFill/>
                            <a:ln>
                              <a:noFill/>
                            </a:ln>
                          </pic:spPr>
                        </pic:pic>
                      </a:graphicData>
                    </a:graphic>
                  </wp:inline>
                </w:drawing>
              </w:r>
              <w:r>
                <w:rPr>
                  <w:b/>
                  <w:noProof/>
                  <w:lang w:val="en-US" w:eastAsia="zh-CN" w:bidi="ar-SA"/>
                </w:rPr>
                <w:drawing>
                  <wp:inline distT="0" distB="0" distL="0" distR="0" wp14:anchorId="7EC41160" wp14:editId="42DB8AE8">
                    <wp:extent cx="914400" cy="2473325"/>
                    <wp:effectExtent l="0" t="0" r="0" b="0"/>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914400" cy="2473325"/>
                            </a:xfrm>
                            <a:prstGeom prst="rect">
                              <a:avLst/>
                            </a:prstGeom>
                            <a:noFill/>
                            <a:ln>
                              <a:noFill/>
                            </a:ln>
                          </pic:spPr>
                        </pic:pic>
                      </a:graphicData>
                    </a:graphic>
                  </wp:inline>
                </w:drawing>
              </w:r>
            </w:del>
          </w:p>
          <w:p w14:paraId="579FC993" w14:textId="77777777" w:rsidR="00C04CAD" w:rsidRDefault="00060E34">
            <w:pPr>
              <w:spacing w:line="240" w:lineRule="auto"/>
              <w:rPr>
                <w:b/>
                <w:bCs/>
              </w:rPr>
            </w:pPr>
            <w:ins w:id="38" w:author="Author">
              <w:r>
                <w:rPr>
                  <w:b/>
                  <w:bCs/>
                  <w:noProof/>
                  <w:lang w:val="nl-NL"/>
                </w:rPr>
                <w:drawing>
                  <wp:inline distT="0" distB="0" distL="0" distR="0" wp14:anchorId="7B6CCA02" wp14:editId="68DAB42E">
                    <wp:extent cx="5195570" cy="2452370"/>
                    <wp:effectExtent l="0" t="0" r="0" b="0"/>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195570" cy="2452370"/>
                            </a:xfrm>
                            <a:prstGeom prst="rect">
                              <a:avLst/>
                            </a:prstGeom>
                            <a:noFill/>
                            <a:ln>
                              <a:noFill/>
                            </a:ln>
                          </pic:spPr>
                        </pic:pic>
                      </a:graphicData>
                    </a:graphic>
                  </wp:inline>
                </w:drawing>
              </w:r>
            </w:ins>
          </w:p>
          <w:p w14:paraId="280503C4" w14:textId="77777777" w:rsidR="00C04CAD" w:rsidRDefault="00C04CAD">
            <w:pPr>
              <w:spacing w:line="240" w:lineRule="auto"/>
              <w:rPr>
                <w:b/>
                <w:bCs/>
              </w:rPr>
            </w:pPr>
          </w:p>
          <w:p w14:paraId="636E373D" w14:textId="77777777" w:rsidR="00C04CAD" w:rsidRDefault="00060E34">
            <w:pPr>
              <w:spacing w:line="240" w:lineRule="auto"/>
              <w:rPr>
                <w:b/>
                <w:bCs/>
              </w:rPr>
            </w:pPr>
            <w:ins w:id="39" w:author="Author">
              <w:r>
                <w:rPr>
                  <w:b/>
                  <w:bCs/>
                  <w:szCs w:val="22"/>
                </w:rPr>
                <w:t xml:space="preserve">    </w:t>
              </w:r>
            </w:ins>
            <w:r>
              <w:rPr>
                <w:b/>
                <w:bCs/>
                <w:szCs w:val="22"/>
              </w:rPr>
              <w:t xml:space="preserve">20 mg/0,2 ml             </w:t>
            </w:r>
            <w:ins w:id="40" w:author="Author">
              <w:r>
                <w:rPr>
                  <w:b/>
                  <w:bCs/>
                  <w:szCs w:val="22"/>
                </w:rPr>
                <w:t xml:space="preserve">                         </w:t>
              </w:r>
            </w:ins>
            <w:r>
              <w:rPr>
                <w:b/>
                <w:bCs/>
                <w:szCs w:val="22"/>
              </w:rPr>
              <w:t xml:space="preserve">40 mg/0,4 ml           </w:t>
            </w:r>
            <w:ins w:id="41" w:author="Author">
              <w:r>
                <w:rPr>
                  <w:b/>
                  <w:bCs/>
                  <w:szCs w:val="22"/>
                </w:rPr>
                <w:t xml:space="preserve">                         </w:t>
              </w:r>
            </w:ins>
            <w:r>
              <w:rPr>
                <w:b/>
                <w:bCs/>
                <w:szCs w:val="22"/>
              </w:rPr>
              <w:t>80 mg/0,8 ml</w:t>
            </w:r>
          </w:p>
          <w:p w14:paraId="164A127A" w14:textId="77777777" w:rsidR="00C04CAD" w:rsidRDefault="00C04CAD">
            <w:pPr>
              <w:spacing w:line="240" w:lineRule="auto"/>
              <w:rPr>
                <w:b/>
                <w:bCs/>
              </w:rPr>
            </w:pPr>
          </w:p>
          <w:p w14:paraId="32B39AB4" w14:textId="77777777" w:rsidR="00C04CAD" w:rsidRDefault="00060E34">
            <w:pPr>
              <w:keepNext/>
              <w:keepLines/>
              <w:spacing w:line="240" w:lineRule="auto"/>
              <w:rPr>
                <w:b/>
                <w:bCs/>
              </w:rPr>
            </w:pPr>
            <w:del w:id="42" w:author="Author">
              <w:r>
                <w:rPr>
                  <w:b/>
                </w:rPr>
                <w:delText>Utilizarea seringii preumplute</w:delText>
              </w:r>
              <w:r>
                <w:delText xml:space="preserve"> </w:delText>
              </w:r>
              <w:r>
                <w:rPr>
                  <w:b/>
                  <w:bCs/>
                </w:rPr>
                <w:delText>AMGEVITA:</w:delText>
              </w:r>
            </w:del>
          </w:p>
        </w:tc>
      </w:tr>
      <w:tr w:rsidR="00C04CAD" w14:paraId="38845632" w14:textId="77777777">
        <w:trPr>
          <w:cantSplit/>
          <w:trHeight w:val="57"/>
        </w:trPr>
        <w:tc>
          <w:tcPr>
            <w:tcW w:w="313" w:type="pct"/>
            <w:tcBorders>
              <w:top w:val="nil"/>
              <w:left w:val="single" w:sz="4" w:space="0" w:color="auto"/>
              <w:bottom w:val="nil"/>
              <w:right w:val="nil"/>
            </w:tcBorders>
          </w:tcPr>
          <w:p w14:paraId="2C819D8B" w14:textId="77777777" w:rsidR="00C04CAD" w:rsidRDefault="00C04CAD">
            <w:pPr>
              <w:keepNext/>
              <w:numPr>
                <w:ilvl w:val="0"/>
                <w:numId w:val="102"/>
              </w:numPr>
              <w:tabs>
                <w:tab w:val="clear" w:pos="567"/>
                <w:tab w:val="left" w:pos="708"/>
              </w:tabs>
              <w:spacing w:line="240" w:lineRule="auto"/>
              <w:ind w:left="567" w:hanging="567"/>
            </w:pPr>
            <w:bookmarkStart w:id="43" w:name="_Hlk215045909"/>
          </w:p>
        </w:tc>
        <w:tc>
          <w:tcPr>
            <w:tcW w:w="4688" w:type="pct"/>
            <w:tcBorders>
              <w:top w:val="nil"/>
              <w:left w:val="nil"/>
              <w:bottom w:val="nil"/>
              <w:right w:val="single" w:sz="4" w:space="0" w:color="auto"/>
            </w:tcBorders>
            <w:tcMar>
              <w:top w:w="57" w:type="dxa"/>
              <w:left w:w="0" w:type="dxa"/>
              <w:bottom w:w="57" w:type="dxa"/>
              <w:right w:w="57" w:type="dxa"/>
            </w:tcMar>
          </w:tcPr>
          <w:p w14:paraId="0385A129" w14:textId="77777777" w:rsidR="00C04CAD" w:rsidRDefault="00060E34">
            <w:pPr>
              <w:spacing w:line="240" w:lineRule="auto"/>
              <w:rPr>
                <w:b/>
                <w:bCs/>
              </w:rPr>
            </w:pPr>
            <w:r>
              <w:t xml:space="preserve">Este important să nu încercaţi să vă administraţi injecţia </w:t>
            </w:r>
            <w:del w:id="44" w:author="Author">
              <w:r>
                <w:delText xml:space="preserve">până când nu aţi citit şi înţeles în întregime aceste instrucţiuni de utilizare şi </w:delText>
              </w:r>
            </w:del>
            <w:r>
              <w:t xml:space="preserve">până când </w:t>
            </w:r>
            <w:ins w:id="45" w:author="Author">
              <w:r>
                <w:t xml:space="preserve">nu aţi citit şi aţi înţeles în întregime aceste instrucţiuni de utilizare şi dacă </w:t>
              </w:r>
            </w:ins>
            <w:r>
              <w:t>nu aţi primit instrucțiuni de la medicul dumneavoastră sau de la furnizorul de servicii medicale.</w:t>
            </w:r>
          </w:p>
        </w:tc>
      </w:tr>
      <w:tr w:rsidR="00C04CAD" w14:paraId="490990B0" w14:textId="77777777">
        <w:trPr>
          <w:cantSplit/>
          <w:trHeight w:val="57"/>
        </w:trPr>
        <w:tc>
          <w:tcPr>
            <w:tcW w:w="313" w:type="pct"/>
            <w:tcBorders>
              <w:top w:val="nil"/>
              <w:left w:val="single" w:sz="4" w:space="0" w:color="auto"/>
              <w:bottom w:val="nil"/>
              <w:right w:val="nil"/>
            </w:tcBorders>
          </w:tcPr>
          <w:p w14:paraId="47EB8DC3" w14:textId="77777777" w:rsidR="00C04CAD" w:rsidRDefault="00C04CAD">
            <w:pPr>
              <w:keepNext/>
              <w:numPr>
                <w:ilvl w:val="0"/>
                <w:numId w:val="102"/>
              </w:numPr>
              <w:tabs>
                <w:tab w:val="clear" w:pos="567"/>
                <w:tab w:val="left" w:pos="708"/>
              </w:tabs>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32AA4443" w14:textId="77777777" w:rsidR="00C04CAD" w:rsidRDefault="00060E34">
            <w:pPr>
              <w:spacing w:line="240" w:lineRule="auto"/>
              <w:rPr>
                <w:b/>
                <w:bCs/>
              </w:rPr>
            </w:pPr>
            <w:r>
              <w:rPr>
                <w:b/>
              </w:rPr>
              <w:t>Nu</w:t>
            </w:r>
            <w:r>
              <w:t xml:space="preserve"> utilizaţi seringa preumplută dacă cutia este deteriorată sau sigiliul este rupt.</w:t>
            </w:r>
          </w:p>
        </w:tc>
      </w:tr>
      <w:tr w:rsidR="00C04CAD" w14:paraId="0E5BD03A" w14:textId="77777777">
        <w:trPr>
          <w:cantSplit/>
          <w:trHeight w:val="57"/>
        </w:trPr>
        <w:tc>
          <w:tcPr>
            <w:tcW w:w="313" w:type="pct"/>
            <w:tcBorders>
              <w:top w:val="nil"/>
              <w:left w:val="single" w:sz="4" w:space="0" w:color="auto"/>
              <w:bottom w:val="nil"/>
              <w:right w:val="nil"/>
            </w:tcBorders>
          </w:tcPr>
          <w:p w14:paraId="0F007B52" w14:textId="77777777" w:rsidR="00C04CAD" w:rsidRDefault="00C04CAD">
            <w:pPr>
              <w:pStyle w:val="ListParagraph"/>
              <w:keepNext/>
              <w:numPr>
                <w:ilvl w:val="0"/>
                <w:numId w:val="103"/>
              </w:numPr>
              <w:tabs>
                <w:tab w:val="clear" w:pos="567"/>
                <w:tab w:val="left" w:pos="474"/>
                <w:tab w:val="left" w:pos="529"/>
              </w:tabs>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2087A1ED" w14:textId="77777777" w:rsidR="00C04CAD" w:rsidRDefault="00060E34">
            <w:pPr>
              <w:spacing w:line="240" w:lineRule="auto"/>
              <w:rPr>
                <w:b/>
                <w:bCs/>
              </w:rPr>
            </w:pPr>
            <w:r>
              <w:rPr>
                <w:b/>
              </w:rPr>
              <w:t>Nu</w:t>
            </w:r>
            <w:r>
              <w:t xml:space="preserve"> utilizaţi seringa preumplută după data de expirare de pe etichetă.</w:t>
            </w:r>
          </w:p>
        </w:tc>
      </w:tr>
      <w:tr w:rsidR="00C04CAD" w14:paraId="3D333571" w14:textId="77777777">
        <w:trPr>
          <w:cantSplit/>
          <w:trHeight w:val="57"/>
        </w:trPr>
        <w:tc>
          <w:tcPr>
            <w:tcW w:w="313" w:type="pct"/>
            <w:tcBorders>
              <w:top w:val="nil"/>
              <w:left w:val="single" w:sz="4" w:space="0" w:color="auto"/>
              <w:bottom w:val="nil"/>
              <w:right w:val="nil"/>
            </w:tcBorders>
          </w:tcPr>
          <w:p w14:paraId="734FED5A" w14:textId="77777777" w:rsidR="00C04CAD" w:rsidRDefault="00C04CAD">
            <w:pPr>
              <w:pStyle w:val="ListParagraph"/>
              <w:keepNext/>
              <w:numPr>
                <w:ilvl w:val="0"/>
                <w:numId w:val="103"/>
              </w:numPr>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5C517CF2" w14:textId="77777777" w:rsidR="00C04CAD" w:rsidRDefault="00060E34">
            <w:pPr>
              <w:spacing w:line="240" w:lineRule="auto"/>
              <w:rPr>
                <w:b/>
                <w:bCs/>
              </w:rPr>
            </w:pPr>
            <w:r>
              <w:rPr>
                <w:b/>
              </w:rPr>
              <w:t>Nu</w:t>
            </w:r>
            <w:r>
              <w:t xml:space="preserve"> agitaţi seringa preumplută.</w:t>
            </w:r>
          </w:p>
        </w:tc>
      </w:tr>
      <w:tr w:rsidR="00C04CAD" w14:paraId="795FB413" w14:textId="77777777">
        <w:trPr>
          <w:cantSplit/>
          <w:trHeight w:val="57"/>
        </w:trPr>
        <w:tc>
          <w:tcPr>
            <w:tcW w:w="313" w:type="pct"/>
            <w:tcBorders>
              <w:top w:val="nil"/>
              <w:left w:val="single" w:sz="4" w:space="0" w:color="auto"/>
              <w:bottom w:val="nil"/>
              <w:right w:val="nil"/>
            </w:tcBorders>
          </w:tcPr>
          <w:p w14:paraId="70960E9C" w14:textId="77777777" w:rsidR="00C04CAD" w:rsidRDefault="00C04CAD">
            <w:pPr>
              <w:pStyle w:val="ListParagraph"/>
              <w:keepNext/>
              <w:numPr>
                <w:ilvl w:val="0"/>
                <w:numId w:val="104"/>
              </w:numPr>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47BB595A" w14:textId="77777777" w:rsidR="00C04CAD" w:rsidRDefault="00060E34">
            <w:pPr>
              <w:spacing w:line="240" w:lineRule="auto"/>
            </w:pPr>
            <w:r>
              <w:rPr>
                <w:b/>
              </w:rPr>
              <w:t>Nu</w:t>
            </w:r>
            <w:r>
              <w:t xml:space="preserve"> scoateți capacul acului de pe seringa preumplută până când nu sunteți gata să vă injectați.</w:t>
            </w:r>
          </w:p>
        </w:tc>
      </w:tr>
      <w:tr w:rsidR="00C04CAD" w14:paraId="38F55464" w14:textId="77777777">
        <w:trPr>
          <w:cantSplit/>
          <w:trHeight w:val="57"/>
        </w:trPr>
        <w:tc>
          <w:tcPr>
            <w:tcW w:w="313" w:type="pct"/>
            <w:tcBorders>
              <w:top w:val="nil"/>
              <w:left w:val="single" w:sz="4" w:space="0" w:color="auto"/>
              <w:bottom w:val="nil"/>
              <w:right w:val="nil"/>
            </w:tcBorders>
          </w:tcPr>
          <w:p w14:paraId="678C29B2" w14:textId="77777777" w:rsidR="00C04CAD" w:rsidRDefault="00C04CAD">
            <w:pPr>
              <w:pStyle w:val="ListParagraph"/>
              <w:keepNext/>
              <w:numPr>
                <w:ilvl w:val="0"/>
                <w:numId w:val="104"/>
              </w:numPr>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072887FB" w14:textId="77777777" w:rsidR="00C04CAD" w:rsidRDefault="00060E34">
            <w:pPr>
              <w:spacing w:line="240" w:lineRule="auto"/>
            </w:pPr>
            <w:r>
              <w:rPr>
                <w:b/>
              </w:rPr>
              <w:t>Nu</w:t>
            </w:r>
            <w:r>
              <w:t xml:space="preserve"> utilizaţi seringa preumplută dacă a fost congelată.</w:t>
            </w:r>
          </w:p>
        </w:tc>
      </w:tr>
      <w:tr w:rsidR="00C04CAD" w14:paraId="5AF4AA3B" w14:textId="77777777">
        <w:trPr>
          <w:cantSplit/>
          <w:trHeight w:val="57"/>
        </w:trPr>
        <w:tc>
          <w:tcPr>
            <w:tcW w:w="313" w:type="pct"/>
            <w:tcBorders>
              <w:top w:val="nil"/>
              <w:left w:val="single" w:sz="4" w:space="0" w:color="auto"/>
              <w:bottom w:val="nil"/>
              <w:right w:val="nil"/>
            </w:tcBorders>
          </w:tcPr>
          <w:p w14:paraId="36B3609D" w14:textId="77777777" w:rsidR="00C04CAD" w:rsidRDefault="00C04CAD">
            <w:pPr>
              <w:pStyle w:val="ListParagraph"/>
              <w:keepNext/>
              <w:numPr>
                <w:ilvl w:val="0"/>
                <w:numId w:val="104"/>
              </w:numPr>
              <w:spacing w:line="240" w:lineRule="auto"/>
              <w:ind w:left="567" w:hanging="567"/>
            </w:pPr>
          </w:p>
        </w:tc>
        <w:tc>
          <w:tcPr>
            <w:tcW w:w="4688" w:type="pct"/>
            <w:tcBorders>
              <w:top w:val="nil"/>
              <w:left w:val="nil"/>
              <w:bottom w:val="nil"/>
              <w:right w:val="single" w:sz="4" w:space="0" w:color="auto"/>
            </w:tcBorders>
            <w:tcMar>
              <w:top w:w="57" w:type="dxa"/>
              <w:left w:w="0" w:type="dxa"/>
              <w:bottom w:w="57" w:type="dxa"/>
              <w:right w:w="57" w:type="dxa"/>
            </w:tcMar>
          </w:tcPr>
          <w:p w14:paraId="1A8E2A2C" w14:textId="77777777" w:rsidR="00C04CAD" w:rsidRDefault="00060E34">
            <w:pPr>
              <w:spacing w:line="240" w:lineRule="auto"/>
            </w:pPr>
            <w:r>
              <w:rPr>
                <w:b/>
              </w:rPr>
              <w:t>Nu</w:t>
            </w:r>
            <w:r>
              <w:t xml:space="preserve"> utilizaţi seringa preumplută dacă a fost scăpată pe o suprafaţă tare. O parte a seringii preumplute poate fi spartă, chiar dacă spărtura nu se vede. Utilizați o seringă preumplută nouă și contactați-vă medicul sau furnizorul de servicii medicale</w:t>
            </w:r>
            <w:r>
              <w:rPr>
                <w:color w:val="000000"/>
                <w:szCs w:val="22"/>
              </w:rPr>
              <w:t>.</w:t>
            </w:r>
          </w:p>
        </w:tc>
      </w:tr>
      <w:bookmarkEnd w:id="43"/>
      <w:tr w:rsidR="00C04CAD" w14:paraId="3E327CD8" w14:textId="77777777">
        <w:trPr>
          <w:cantSplit/>
          <w:trHeight w:val="57"/>
        </w:trPr>
        <w:tc>
          <w:tcPr>
            <w:tcW w:w="313" w:type="pct"/>
            <w:tcBorders>
              <w:top w:val="nil"/>
              <w:left w:val="single" w:sz="4" w:space="0" w:color="auto"/>
              <w:bottom w:val="nil"/>
              <w:right w:val="nil"/>
            </w:tcBorders>
          </w:tcPr>
          <w:p w14:paraId="773387E0" w14:textId="77777777" w:rsidR="00C04CAD" w:rsidRDefault="00C04CAD">
            <w:pPr>
              <w:pStyle w:val="ListParagraph"/>
              <w:keepNext/>
              <w:spacing w:line="240" w:lineRule="auto"/>
              <w:ind w:left="360"/>
              <w:pPrChange w:id="46" w:author="Author">
                <w:pPr>
                  <w:pStyle w:val="ListParagraph"/>
                  <w:keepNext/>
                  <w:numPr>
                    <w:numId w:val="104"/>
                  </w:numPr>
                  <w:spacing w:line="240" w:lineRule="auto"/>
                  <w:ind w:left="567" w:hanging="567"/>
                </w:pPr>
              </w:pPrChange>
            </w:pPr>
          </w:p>
        </w:tc>
        <w:tc>
          <w:tcPr>
            <w:tcW w:w="4688" w:type="pct"/>
            <w:tcBorders>
              <w:top w:val="nil"/>
              <w:left w:val="nil"/>
              <w:bottom w:val="nil"/>
              <w:right w:val="single" w:sz="4" w:space="0" w:color="auto"/>
            </w:tcBorders>
            <w:tcMar>
              <w:top w:w="57" w:type="dxa"/>
              <w:left w:w="0" w:type="dxa"/>
              <w:bottom w:w="57" w:type="dxa"/>
              <w:right w:w="57" w:type="dxa"/>
            </w:tcMar>
          </w:tcPr>
          <w:p w14:paraId="0EF0928A" w14:textId="77777777" w:rsidR="00C04CAD" w:rsidRDefault="00060E34">
            <w:pPr>
              <w:pStyle w:val="ListParagraph"/>
              <w:suppressAutoHyphens/>
              <w:kinsoku w:val="0"/>
              <w:overflowPunct w:val="0"/>
              <w:autoSpaceDE w:val="0"/>
              <w:autoSpaceDN w:val="0"/>
              <w:spacing w:line="240" w:lineRule="auto"/>
              <w:ind w:left="0"/>
              <w:jc w:val="both"/>
              <w:textAlignment w:val="center"/>
              <w:rPr>
                <w:b/>
                <w:color w:val="000000"/>
                <w:szCs w:val="22"/>
              </w:rPr>
            </w:pPr>
            <w:del w:id="47" w:author="Author">
              <w:r>
                <w:delText>Seringa preumplută nu este fabricată cu latex din cauciuc natural</w:delText>
              </w:r>
              <w:r>
                <w:rPr>
                  <w:color w:val="000000"/>
                  <w:szCs w:val="22"/>
                </w:rPr>
                <w:delText>.</w:delText>
              </w:r>
            </w:del>
          </w:p>
        </w:tc>
      </w:tr>
      <w:tr w:rsidR="00C04CAD" w14:paraId="4D845936" w14:textId="77777777">
        <w:trPr>
          <w:cantSplit/>
          <w:trHeight w:val="860"/>
        </w:trPr>
        <w:tc>
          <w:tcPr>
            <w:tcW w:w="5000" w:type="pct"/>
            <w:gridSpan w:val="2"/>
            <w:tcBorders>
              <w:top w:val="nil"/>
              <w:left w:val="single" w:sz="4" w:space="0" w:color="auto"/>
              <w:bottom w:val="single" w:sz="4" w:space="0" w:color="auto"/>
              <w:right w:val="single" w:sz="4" w:space="0" w:color="auto"/>
            </w:tcBorders>
          </w:tcPr>
          <w:p w14:paraId="31EC339A" w14:textId="77777777" w:rsidR="00C04CAD" w:rsidRDefault="00060E34">
            <w:pPr>
              <w:spacing w:line="240" w:lineRule="auto"/>
              <w:rPr>
                <w:b/>
                <w:bCs/>
              </w:rPr>
            </w:pPr>
            <w:r>
              <w:rPr>
                <w:noProof/>
              </w:rPr>
              <mc:AlternateContent>
                <mc:Choice Requires="wps">
                  <w:drawing>
                    <wp:anchor distT="45720" distB="45720" distL="114300" distR="114300" simplePos="0" relativeHeight="251678720" behindDoc="0" locked="0" layoutInCell="1" allowOverlap="1" wp14:anchorId="567DE1EE" wp14:editId="36514EB7">
                      <wp:simplePos x="0" y="0"/>
                      <wp:positionH relativeFrom="margin">
                        <wp:posOffset>53340</wp:posOffset>
                      </wp:positionH>
                      <wp:positionV relativeFrom="paragraph">
                        <wp:posOffset>35560</wp:posOffset>
                      </wp:positionV>
                      <wp:extent cx="5576570" cy="431800"/>
                      <wp:effectExtent l="0" t="0" r="5080" b="6350"/>
                      <wp:wrapSquare wrapText="bothSides"/>
                      <wp:docPr id="161613479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B7F5966" w14:textId="77777777" w:rsidR="00C04CAD" w:rsidRDefault="00060E34">
                                  <w:pPr>
                                    <w:spacing w:line="240" w:lineRule="auto"/>
                                    <w:rPr>
                                      <w:szCs w:val="22"/>
                                    </w:rPr>
                                  </w:pPr>
                                  <w:r>
                                    <w:rPr>
                                      <w:b/>
                                      <w:bCs/>
                                    </w:rPr>
                                    <w:t xml:space="preserve">Important: </w:t>
                                  </w:r>
                                  <w:r>
                                    <w:rPr>
                                      <w:szCs w:val="22"/>
                                    </w:rPr>
                                    <w:t>Nu lăsați la vederea și îndemâna copiilor seringa preumplută și recipientul pentru eliminarea la deșeuri a obiectelor ascuțite.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67DE1EE" id="Text Box 21" o:spid="_x0000_s1029" type="#_x0000_t202" style="position:absolute;margin-left:4.2pt;margin-top:2.8pt;width:439.1pt;height:34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flBwIAAA8EAAAOAAAAZHJzL2Uyb0RvYy54bWysU8Fu2zAMvQ/YPwi6L3bSpGmNOEWXIsOA&#10;rhvQ7QNkWY6FyaJGKbGzrx+lpEnQDTsM00EQReqJ75Fc3A2dYTuFXoMt+XiUc6ashFrbTcm/fV2/&#10;u+HMB2FrYcCqku+V53fLt28WvSvUBFowtUJGINYXvSt5G4IrsszLVnXCj8ApS84GsBOBTNxkNYqe&#10;0DuTTfL8OusBa4cglfd0+3Bw8mXCbxolw+em8SowU3LKLaQd017FPVsuRLFB4Votj2mIf8iiE9rS&#10;pyeoBxEE26L+DarTEsFDE0YSugyaRkuVOBCbcf6KzXMrnEpcSBzvTjL5/wcrn3bP7guyMLyHgQqY&#10;SHj3CPK7ZxZWrbAbdY8IfatETR+Po2RZ73xxfBql9oWPIFX/CWoqstgGSEBDg11UhXgyQqcC7E+i&#10;qyEwSZez2fx6NieXJN/0anyTp6pkonh57dCHDwo6Fg8lRypqQhe7Rx9iNqJ4CYmfeTC6XmtjkoGb&#10;amWQ7QQ1wDqtROBVmLGsJ263+Sw/KPAXjJzWnzA6HaiVje5KThzOQcYeBYsaHdQKQzUwXZf8KgJF&#10;/Sqo96QgwqFDaaLo0AL+5Kyn7iy5/7EVqDgzHy1V4XY8ncZ2TsZ0Np+QgZee6tIjrCSokgfODsdV&#10;SCOQBHL3VK21TkKeMzmmTF2X9D1OSGzrSztFned4+QsAAP//AwBQSwMEFAAGAAgAAAAhAJ9uO0Hb&#10;AAAABgEAAA8AAABkcnMvZG93bnJldi54bWxMjsFOwzAQRO9I/IO1SNyoAxQThWwqhFQhcSNF7dWN&#10;t0mEvQ6xm4S/x5zgNqMZzbxyszgrJhpD7xnhdpWBIG686blF+Nhtb3IQIWo22nomhG8KsKkuL0pd&#10;GD/zO011bEUa4VBohC7GoZAyNB05HVZ+IE7ZyY9Ox2THVppRz2ncWXmXZUo63XN66PRALx01n/XZ&#10;IWyVPg2H17Vtprf6q9nv5/6waxGvr5bnJxCRlvhXhl/8hA5VYjr6M5sgLEK+TkWEBwUipXmukjgi&#10;PN4rkFUp/+NXPwAAAP//AwBQSwECLQAUAAYACAAAACEAtoM4kv4AAADhAQAAEwAAAAAAAAAAAAAA&#10;AAAAAAAAW0NvbnRlbnRfVHlwZXNdLnhtbFBLAQItABQABgAIAAAAIQA4/SH/1gAAAJQBAAALAAAA&#10;AAAAAAAAAAAAAC8BAABfcmVscy8ucmVsc1BLAQItABQABgAIAAAAIQAJVyflBwIAAA8EAAAOAAAA&#10;AAAAAAAAAAAAAC4CAABkcnMvZTJvRG9jLnhtbFBLAQItABQABgAIAAAAIQCfbjtB2wAAAAYBAAAP&#10;AAAAAAAAAAAAAAAAAGEEAABkcnMvZG93bnJldi54bWxQSwUGAAAAAAQABADzAAAAaQUAAAAA&#10;" strokecolor="red" strokeweight="1.5pt">
                      <v:textbox style="mso-fit-shape-to-text:t">
                        <w:txbxContent>
                          <w:p w14:paraId="7B7F5966" w14:textId="77777777" w:rsidR="00C04CAD" w:rsidRDefault="00060E34">
                            <w:pPr>
                              <w:spacing w:line="240" w:lineRule="auto"/>
                              <w:rPr>
                                <w:szCs w:val="22"/>
                              </w:rPr>
                            </w:pPr>
                            <w:r>
                              <w:rPr>
                                <w:b/>
                                <w:bCs/>
                              </w:rPr>
                              <w:t xml:space="preserve">Important: </w:t>
                            </w:r>
                            <w:r>
                              <w:rPr>
                                <w:szCs w:val="22"/>
                              </w:rPr>
                              <w:t>Nu lăsați la vederea și îndemâna copiilor seringa preumplută și recipientul pentru eliminarea la deșeuri a obiectelor ascuțite.</w:t>
                            </w:r>
                          </w:p>
                        </w:txbxContent>
                      </v:textbox>
                      <w10:wrap type="square" anchorx="margin"/>
                    </v:shape>
                  </w:pict>
                </mc:Fallback>
              </mc:AlternateContent>
            </w:r>
          </w:p>
        </w:tc>
      </w:tr>
    </w:tbl>
    <w:p w14:paraId="695F4448" w14:textId="77777777" w:rsidR="00C04CAD" w:rsidRDefault="00C04CAD">
      <w:pPr>
        <w:spacing w:line="240" w:lineRule="auto"/>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C04CAD" w14:paraId="02DEEE0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CB6BEE" w14:textId="77777777" w:rsidR="00C04CAD" w:rsidRDefault="00060E34">
            <w:pPr>
              <w:keepNext/>
              <w:spacing w:line="240" w:lineRule="auto"/>
              <w:ind w:left="567" w:hanging="567"/>
              <w:rPr>
                <w:szCs w:val="22"/>
              </w:rPr>
            </w:pPr>
            <w:r>
              <w:rPr>
                <w:b/>
                <w:bCs/>
                <w:szCs w:val="22"/>
              </w:rPr>
              <w:t>2</w:t>
            </w:r>
          </w:p>
        </w:tc>
        <w:tc>
          <w:tcPr>
            <w:tcW w:w="4646" w:type="pct"/>
            <w:tcBorders>
              <w:top w:val="single" w:sz="4" w:space="0" w:color="auto"/>
              <w:left w:val="single" w:sz="4" w:space="0" w:color="auto"/>
              <w:bottom w:val="single" w:sz="4" w:space="0" w:color="auto"/>
              <w:right w:val="single" w:sz="4" w:space="0" w:color="auto"/>
            </w:tcBorders>
          </w:tcPr>
          <w:p w14:paraId="44F840E8" w14:textId="77777777" w:rsidR="00C04CAD" w:rsidRDefault="00060E34">
            <w:pPr>
              <w:keepNext/>
              <w:spacing w:line="240" w:lineRule="auto"/>
              <w:rPr>
                <w:szCs w:val="22"/>
              </w:rPr>
            </w:pPr>
            <w:r>
              <w:rPr>
                <w:b/>
              </w:rPr>
              <w:t xml:space="preserve">Pregătirea în vederea injectării </w:t>
            </w:r>
            <w:r>
              <w:rPr>
                <w:b/>
                <w:bCs/>
                <w:szCs w:val="22"/>
              </w:rPr>
              <w:t>AMGEVITA</w:t>
            </w:r>
          </w:p>
        </w:tc>
      </w:tr>
      <w:tr w:rsidR="00C04CAD" w14:paraId="44CF4C3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D5D8184" w14:textId="77777777" w:rsidR="00C04CAD" w:rsidRDefault="00060E34">
            <w:pPr>
              <w:keepNext/>
              <w:spacing w:line="240" w:lineRule="auto"/>
              <w:rPr>
                <w:b/>
                <w:bCs/>
                <w:szCs w:val="22"/>
              </w:rPr>
            </w:pPr>
            <w:r>
              <w:rPr>
                <w:b/>
                <w:bCs/>
                <w:szCs w:val="22"/>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3E8709" w14:textId="77777777" w:rsidR="00C04CAD" w:rsidRDefault="00060E34">
            <w:pPr>
              <w:pStyle w:val="ListParagraph"/>
              <w:keepNext/>
              <w:spacing w:line="240" w:lineRule="auto"/>
              <w:ind w:left="567" w:hanging="567"/>
              <w:rPr>
                <w:szCs w:val="22"/>
              </w:rPr>
            </w:pPr>
            <w:del w:id="48" w:author="Author">
              <w:r>
                <w:rPr>
                  <w:b/>
                </w:rPr>
                <w:delText xml:space="preserve">Apucați </w:delText>
              </w:r>
            </w:del>
            <w:ins w:id="49" w:author="Author">
              <w:r>
                <w:rPr>
                  <w:b/>
                </w:rPr>
                <w:t xml:space="preserve">Țineți </w:t>
              </w:r>
            </w:ins>
            <w:r>
              <w:rPr>
                <w:b/>
              </w:rPr>
              <w:t>seringa preumplută de corpul seringii și scoateți-o din cutie</w:t>
            </w:r>
            <w:r>
              <w:rPr>
                <w:b/>
                <w:bCs/>
                <w:szCs w:val="22"/>
              </w:rPr>
              <w:t>.</w:t>
            </w:r>
          </w:p>
        </w:tc>
      </w:tr>
      <w:tr w:rsidR="00C04CAD" w14:paraId="3C00C04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AAF187" w14:textId="77777777" w:rsidR="00C04CAD" w:rsidRDefault="00060E34">
            <w:pPr>
              <w:pStyle w:val="ListParagraph"/>
              <w:keepNext/>
              <w:spacing w:line="240" w:lineRule="auto"/>
              <w:ind w:left="567" w:hanging="567"/>
              <w:jc w:val="center"/>
              <w:rPr>
                <w:b/>
                <w:bCs/>
              </w:rPr>
            </w:pPr>
            <w:r>
              <w:rPr>
                <w:noProof/>
              </w:rPr>
              <w:drawing>
                <wp:anchor distT="0" distB="0" distL="114300" distR="114300" simplePos="0" relativeHeight="251660288" behindDoc="0" locked="0" layoutInCell="1" allowOverlap="1" wp14:anchorId="6845817E" wp14:editId="4D85B5C2">
                  <wp:simplePos x="0" y="0"/>
                  <wp:positionH relativeFrom="column">
                    <wp:posOffset>1218565</wp:posOffset>
                  </wp:positionH>
                  <wp:positionV relativeFrom="paragraph">
                    <wp:posOffset>-1516380</wp:posOffset>
                  </wp:positionV>
                  <wp:extent cx="3200400" cy="1684020"/>
                  <wp:effectExtent l="0" t="0" r="0" b="0"/>
                  <wp:wrapTopAndBottom/>
                  <wp:docPr id="181753304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33046"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200400" cy="1684020"/>
                          </a:xfrm>
                          <a:prstGeom prst="rect">
                            <a:avLst/>
                          </a:prstGeom>
                          <a:noFill/>
                        </pic:spPr>
                      </pic:pic>
                    </a:graphicData>
                  </a:graphic>
                </wp:anchor>
              </w:drawing>
            </w:r>
          </w:p>
        </w:tc>
      </w:tr>
      <w:tr w:rsidR="00C04CAD" w14:paraId="40F6275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3DE3845"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F2170ED" w14:textId="77777777" w:rsidR="00C04CAD" w:rsidRDefault="00060E34">
            <w:pPr>
              <w:spacing w:line="240" w:lineRule="auto"/>
              <w:rPr>
                <w:b/>
                <w:bCs/>
              </w:rPr>
            </w:pPr>
            <w:r>
              <w:rPr>
                <w:b/>
              </w:rPr>
              <w:t>Nu</w:t>
            </w:r>
            <w:r>
              <w:t xml:space="preserve"> apucaţi de suportul pentru degete, de tija pistonului sau de capacul acului</w:t>
            </w:r>
            <w:r>
              <w:rPr>
                <w:szCs w:val="22"/>
              </w:rPr>
              <w:t>.</w:t>
            </w:r>
          </w:p>
        </w:tc>
      </w:tr>
      <w:tr w:rsidR="00C04CAD" w14:paraId="4D4A09C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E4FF62B"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CA3A6FD" w14:textId="77777777" w:rsidR="00C04CAD" w:rsidRDefault="00060E34">
            <w:pPr>
              <w:spacing w:line="240" w:lineRule="auto"/>
              <w:rPr>
                <w:b/>
                <w:bCs/>
              </w:rPr>
            </w:pPr>
            <w:r>
              <w:t>Scoateţi numărul de seringi preumplute de care aveţi nevoie pentru injecţie</w:t>
            </w:r>
            <w:r>
              <w:rPr>
                <w:szCs w:val="22"/>
              </w:rPr>
              <w:t>.</w:t>
            </w:r>
          </w:p>
        </w:tc>
      </w:tr>
      <w:tr w:rsidR="00C04CAD" w14:paraId="7A245EDB"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2C671222"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92F6438" w14:textId="77777777" w:rsidR="00C04CAD" w:rsidRDefault="00060E34">
            <w:pPr>
              <w:spacing w:line="240" w:lineRule="auto"/>
            </w:pPr>
            <w:r>
              <w:t>Puneţi toate seringile preumplute nefolosite înapoi în frigider</w:t>
            </w:r>
            <w:r>
              <w:rPr>
                <w:szCs w:val="22"/>
              </w:rPr>
              <w:t>.</w:t>
            </w:r>
          </w:p>
        </w:tc>
      </w:tr>
    </w:tbl>
    <w:p w14:paraId="6057DF55" w14:textId="77777777" w:rsidR="00C04CAD" w:rsidRDefault="00C04CAD">
      <w:pPr>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C04CAD" w14:paraId="0646B23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1FAFC0" w14:textId="77777777" w:rsidR="00C04CAD" w:rsidRDefault="00060E34">
            <w:pPr>
              <w:keepNext/>
              <w:spacing w:line="240" w:lineRule="auto"/>
              <w:rPr>
                <w:b/>
                <w:bCs/>
                <w:szCs w:val="22"/>
              </w:rPr>
            </w:pPr>
            <w:r>
              <w:rPr>
                <w:b/>
                <w:bCs/>
                <w:szCs w:val="22"/>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A6137F" w14:textId="77777777" w:rsidR="00C04CAD" w:rsidRDefault="00060E34">
            <w:pPr>
              <w:pStyle w:val="ListParagraph"/>
              <w:tabs>
                <w:tab w:val="left" w:pos="228"/>
              </w:tabs>
              <w:spacing w:line="240" w:lineRule="auto"/>
              <w:ind w:left="0"/>
              <w:rPr>
                <w:szCs w:val="22"/>
              </w:rPr>
            </w:pPr>
            <w:r>
              <w:rPr>
                <w:b/>
              </w:rPr>
              <w:t xml:space="preserve">Așteptați </w:t>
            </w:r>
            <w:ins w:id="50" w:author="Author">
              <w:r>
                <w:rPr>
                  <w:b/>
                </w:rPr>
                <w:t xml:space="preserve">între 15 și </w:t>
              </w:r>
            </w:ins>
            <w:r>
              <w:rPr>
                <w:b/>
              </w:rPr>
              <w:t>30 de minute pentru ca seringa preumplută să ajungă la temperatura camerei</w:t>
            </w:r>
            <w:r>
              <w:rPr>
                <w:b/>
                <w:bCs/>
                <w:szCs w:val="22"/>
              </w:rPr>
              <w:t>.</w:t>
            </w:r>
          </w:p>
        </w:tc>
      </w:tr>
      <w:tr w:rsidR="00C04CAD" w14:paraId="683B389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2F17CE" w14:textId="77777777" w:rsidR="00C04CAD" w:rsidRDefault="00060E34">
            <w:pPr>
              <w:spacing w:line="240" w:lineRule="auto"/>
              <w:jc w:val="center"/>
              <w:rPr>
                <w:b/>
                <w:sz w:val="36"/>
              </w:rPr>
            </w:pPr>
            <w:r>
              <w:rPr>
                <w:b/>
                <w:sz w:val="36"/>
              </w:rPr>
              <w:t>AȘTEPTAȚI</w:t>
            </w:r>
          </w:p>
          <w:p w14:paraId="66B12C66" w14:textId="77777777" w:rsidR="00C04CAD" w:rsidRDefault="00060E34">
            <w:pPr>
              <w:spacing w:line="240" w:lineRule="auto"/>
              <w:jc w:val="center"/>
              <w:rPr>
                <w:b/>
                <w:sz w:val="36"/>
              </w:rPr>
            </w:pPr>
            <w:ins w:id="51" w:author="Author">
              <w:r>
                <w:rPr>
                  <w:b/>
                  <w:sz w:val="36"/>
                </w:rPr>
                <w:t xml:space="preserve">între 15 și </w:t>
              </w:r>
            </w:ins>
            <w:r>
              <w:rPr>
                <w:b/>
                <w:sz w:val="36"/>
              </w:rPr>
              <w:t xml:space="preserve">30 de </w:t>
            </w:r>
          </w:p>
          <w:p w14:paraId="36013AD8" w14:textId="77777777" w:rsidR="00C04CAD" w:rsidRDefault="00060E34">
            <w:pPr>
              <w:spacing w:line="240" w:lineRule="auto"/>
              <w:jc w:val="center"/>
              <w:rPr>
                <w:b/>
                <w:bCs/>
              </w:rPr>
            </w:pPr>
            <w:r>
              <w:rPr>
                <w:b/>
                <w:sz w:val="36"/>
              </w:rPr>
              <w:t>minute</w:t>
            </w:r>
          </w:p>
        </w:tc>
      </w:tr>
      <w:tr w:rsidR="00C04CAD" w14:paraId="1A26774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2F828E4"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54599B4" w14:textId="77777777" w:rsidR="00C04CAD" w:rsidRDefault="00060E34">
            <w:pPr>
              <w:spacing w:line="240" w:lineRule="auto"/>
              <w:rPr>
                <w:b/>
                <w:bCs/>
              </w:rPr>
            </w:pPr>
            <w:r>
              <w:t>Lăsaţi seringa preumplută să se încălzească în mod natural</w:t>
            </w:r>
            <w:r>
              <w:rPr>
                <w:szCs w:val="22"/>
              </w:rPr>
              <w:t>.</w:t>
            </w:r>
          </w:p>
        </w:tc>
      </w:tr>
      <w:tr w:rsidR="00C04CAD" w14:paraId="1DE7558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0BB371C"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393E1639" w14:textId="77777777" w:rsidR="00C04CAD" w:rsidRDefault="00060E34">
            <w:pPr>
              <w:spacing w:line="240" w:lineRule="auto"/>
            </w:pPr>
            <w:r>
              <w:rPr>
                <w:b/>
              </w:rPr>
              <w:t>Nu</w:t>
            </w:r>
            <w:r>
              <w:t xml:space="preserve"> încălziți </w:t>
            </w:r>
            <w:ins w:id="52" w:author="Author">
              <w:r>
                <w:t xml:space="preserve">seringa preumplută </w:t>
              </w:r>
            </w:ins>
            <w:r>
              <w:t>cu apă fierbinte, în cuptorul cu microunde sau în lumina directă a soarelui</w:t>
            </w:r>
            <w:r>
              <w:rPr>
                <w:szCs w:val="22"/>
              </w:rPr>
              <w:t>.</w:t>
            </w:r>
          </w:p>
        </w:tc>
      </w:tr>
      <w:tr w:rsidR="00C04CAD" w14:paraId="3C35050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EC83D09"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2DA4FD1" w14:textId="77777777" w:rsidR="00C04CAD" w:rsidRDefault="00060E34">
            <w:pPr>
              <w:spacing w:line="240" w:lineRule="auto"/>
            </w:pPr>
            <w:r>
              <w:rPr>
                <w:b/>
              </w:rPr>
              <w:t>Nu</w:t>
            </w:r>
            <w:r>
              <w:t xml:space="preserve"> agitaţi niciodată seringa preumplută</w:t>
            </w:r>
            <w:r>
              <w:rPr>
                <w:szCs w:val="22"/>
              </w:rPr>
              <w:t>.</w:t>
            </w:r>
          </w:p>
        </w:tc>
      </w:tr>
      <w:tr w:rsidR="00C04CAD" w14:paraId="0EABA0D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90FB4F0"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A9D46A2" w14:textId="77777777" w:rsidR="00C04CAD" w:rsidRDefault="00060E34">
            <w:pPr>
              <w:spacing w:line="240" w:lineRule="auto"/>
              <w:rPr>
                <w:b/>
                <w:bCs/>
                <w:szCs w:val="22"/>
              </w:rPr>
            </w:pPr>
            <w:r>
              <w:rPr>
                <w:b/>
              </w:rPr>
              <w:t>Nu</w:t>
            </w:r>
            <w:r>
              <w:t xml:space="preserve"> puneţi seringa preumplută înapoi în frigider după ce aceasta a ajuns la temperatura camerei</w:t>
            </w:r>
            <w:ins w:id="53" w:author="Author">
              <w:r>
                <w:t>.</w:t>
              </w:r>
            </w:ins>
          </w:p>
        </w:tc>
      </w:tr>
      <w:tr w:rsidR="00C04CAD" w14:paraId="2D081E21"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69458EAC"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2C7F5C63" w14:textId="77777777" w:rsidR="00C04CAD" w:rsidRDefault="00060E34">
            <w:pPr>
              <w:pStyle w:val="ListParagraph"/>
              <w:spacing w:line="240" w:lineRule="auto"/>
              <w:ind w:left="0"/>
            </w:pPr>
            <w:r>
              <w:t>Utilizarea seringii preumplute la temperatura camerei permite o injectare mai confortabilă</w:t>
            </w:r>
            <w:r w:rsidRPr="001C668B">
              <w:rPr>
                <w:szCs w:val="22"/>
                <w:rPrChange w:id="54" w:author="Author">
                  <w:rPr>
                    <w:b/>
                    <w:bCs/>
                    <w:szCs w:val="22"/>
                  </w:rPr>
                </w:rPrChange>
              </w:rPr>
              <w:t xml:space="preserve">. </w:t>
            </w:r>
          </w:p>
        </w:tc>
      </w:tr>
    </w:tbl>
    <w:p w14:paraId="2B789B80" w14:textId="77777777" w:rsidR="00C04CAD" w:rsidRDefault="00C04CAD">
      <w:pPr>
        <w:spacing w:line="240" w:lineRule="auto"/>
        <w:rPr>
          <w:b/>
          <w:bCs/>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0"/>
        <w:gridCol w:w="2420"/>
        <w:gridCol w:w="3178"/>
        <w:gridCol w:w="2728"/>
      </w:tblGrid>
      <w:tr w:rsidR="00C04CAD" w14:paraId="7AAF14D0" w14:textId="77777777">
        <w:trPr>
          <w:cantSplit/>
          <w:trHeight w:val="67"/>
        </w:trPr>
        <w:tc>
          <w:tcPr>
            <w:tcW w:w="348" w:type="pct"/>
            <w:vMerge w:val="restart"/>
            <w:tcBorders>
              <w:top w:val="single" w:sz="4" w:space="0" w:color="auto"/>
              <w:left w:val="single" w:sz="4" w:space="0" w:color="auto"/>
              <w:right w:val="single" w:sz="4" w:space="0" w:color="auto"/>
            </w:tcBorders>
            <w:tcMar>
              <w:top w:w="28" w:type="dxa"/>
              <w:left w:w="57" w:type="dxa"/>
              <w:bottom w:w="28" w:type="dxa"/>
              <w:right w:w="57" w:type="dxa"/>
            </w:tcMar>
          </w:tcPr>
          <w:p w14:paraId="4CF24A3A" w14:textId="77777777" w:rsidR="00C04CAD" w:rsidRDefault="00060E34">
            <w:pPr>
              <w:keepNext/>
              <w:spacing w:line="240" w:lineRule="auto"/>
              <w:rPr>
                <w:b/>
                <w:bCs/>
              </w:rPr>
            </w:pPr>
            <w:r>
              <w:rPr>
                <w:b/>
                <w:bCs/>
              </w:rPr>
              <w:t>2c</w:t>
            </w:r>
          </w:p>
        </w:tc>
        <w:tc>
          <w:tcPr>
            <w:tcW w:w="4652"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06166CEA" w14:textId="77777777" w:rsidR="00C04CAD" w:rsidRDefault="00060E34">
            <w:pPr>
              <w:pStyle w:val="ListParagraph"/>
              <w:tabs>
                <w:tab w:val="clear" w:pos="567"/>
                <w:tab w:val="left" w:pos="16"/>
              </w:tabs>
              <w:spacing w:line="240" w:lineRule="auto"/>
              <w:ind w:left="16" w:hanging="16"/>
              <w:rPr>
                <w:b/>
                <w:bCs/>
                <w:szCs w:val="22"/>
              </w:rPr>
              <w:pPrChange w:id="55" w:author="Author">
                <w:pPr>
                  <w:pStyle w:val="ListParagraph"/>
                  <w:spacing w:line="240" w:lineRule="auto"/>
                  <w:ind w:left="567" w:hanging="567"/>
                </w:pPr>
              </w:pPrChange>
            </w:pPr>
            <w:r>
              <w:rPr>
                <w:b/>
              </w:rPr>
              <w:t xml:space="preserve">Adunați și așezați </w:t>
            </w:r>
            <w:ins w:id="56" w:author="Author">
              <w:r>
                <w:rPr>
                  <w:b/>
                </w:rPr>
                <w:t xml:space="preserve">următoarele </w:t>
              </w:r>
            </w:ins>
            <w:r>
              <w:rPr>
                <w:b/>
              </w:rPr>
              <w:t>articole</w:t>
            </w:r>
            <w:del w:id="57" w:author="Author">
              <w:r>
                <w:rPr>
                  <w:b/>
                </w:rPr>
                <w:delText>le</w:delText>
              </w:r>
            </w:del>
            <w:r>
              <w:rPr>
                <w:b/>
              </w:rPr>
              <w:t xml:space="preserve"> pentru injectare pe o suprafață curată, </w:t>
            </w:r>
            <w:ins w:id="58" w:author="Author">
              <w:r>
                <w:rPr>
                  <w:b/>
                </w:rPr>
                <w:t xml:space="preserve">plană și </w:t>
              </w:r>
            </w:ins>
            <w:r>
              <w:rPr>
                <w:b/>
              </w:rPr>
              <w:t>bine iluminată</w:t>
            </w:r>
            <w:r>
              <w:rPr>
                <w:b/>
                <w:bCs/>
                <w:szCs w:val="22"/>
              </w:rPr>
              <w:t>.</w:t>
            </w:r>
          </w:p>
          <w:p w14:paraId="255CF851" w14:textId="77777777" w:rsidR="00C04CAD" w:rsidRDefault="00C04CAD">
            <w:pPr>
              <w:pStyle w:val="ListParagraph"/>
              <w:spacing w:line="240" w:lineRule="auto"/>
              <w:ind w:left="567" w:hanging="567"/>
            </w:pPr>
          </w:p>
        </w:tc>
      </w:tr>
      <w:tr w:rsidR="00C04CAD" w14:paraId="6715233E" w14:textId="77777777">
        <w:trPr>
          <w:cantSplit/>
          <w:trHeight w:val="2649"/>
        </w:trPr>
        <w:tc>
          <w:tcPr>
            <w:tcW w:w="348" w:type="pct"/>
            <w:vMerge/>
            <w:tcBorders>
              <w:left w:val="single" w:sz="4" w:space="0" w:color="auto"/>
              <w:bottom w:val="single" w:sz="4" w:space="0" w:color="auto"/>
              <w:right w:val="single" w:sz="4" w:space="0" w:color="auto"/>
            </w:tcBorders>
            <w:tcMar>
              <w:top w:w="28" w:type="dxa"/>
              <w:left w:w="57" w:type="dxa"/>
              <w:bottom w:w="28" w:type="dxa"/>
              <w:right w:w="57" w:type="dxa"/>
            </w:tcMar>
          </w:tcPr>
          <w:p w14:paraId="29BE6427" w14:textId="77777777" w:rsidR="00C04CAD" w:rsidRDefault="00C04CAD">
            <w:pPr>
              <w:keepNext/>
              <w:spacing w:line="240" w:lineRule="auto"/>
              <w:rPr>
                <w:b/>
                <w:bCs/>
              </w:rPr>
            </w:pPr>
          </w:p>
        </w:tc>
        <w:tc>
          <w:tcPr>
            <w:tcW w:w="1361" w:type="pct"/>
            <w:tcBorders>
              <w:top w:val="nil"/>
              <w:left w:val="single" w:sz="4" w:space="0" w:color="auto"/>
              <w:bottom w:val="single" w:sz="4" w:space="0" w:color="auto"/>
              <w:right w:val="nil"/>
            </w:tcBorders>
            <w:tcMar>
              <w:top w:w="28" w:type="dxa"/>
              <w:left w:w="57" w:type="dxa"/>
              <w:bottom w:w="28" w:type="dxa"/>
              <w:right w:w="57" w:type="dxa"/>
            </w:tcMar>
          </w:tcPr>
          <w:p w14:paraId="0814F7ED" w14:textId="77777777" w:rsidR="00C04CAD" w:rsidRDefault="00C04CAD">
            <w:pPr>
              <w:spacing w:line="240" w:lineRule="auto"/>
              <w:rPr>
                <w:szCs w:val="22"/>
              </w:rPr>
            </w:pPr>
          </w:p>
          <w:p w14:paraId="2777E4B7" w14:textId="77777777" w:rsidR="00C04CAD" w:rsidRDefault="00C04CAD">
            <w:pPr>
              <w:spacing w:line="240" w:lineRule="auto"/>
              <w:rPr>
                <w:szCs w:val="22"/>
              </w:rPr>
            </w:pPr>
          </w:p>
          <w:p w14:paraId="3D8DFB00" w14:textId="77777777" w:rsidR="00C04CAD" w:rsidRDefault="00C04CAD">
            <w:pPr>
              <w:spacing w:line="240" w:lineRule="auto"/>
              <w:rPr>
                <w:szCs w:val="22"/>
              </w:rPr>
            </w:pPr>
          </w:p>
          <w:p w14:paraId="0AE30386" w14:textId="77777777" w:rsidR="00C04CAD" w:rsidRDefault="00C04CAD">
            <w:pPr>
              <w:spacing w:line="240" w:lineRule="auto"/>
              <w:rPr>
                <w:szCs w:val="22"/>
              </w:rPr>
            </w:pPr>
          </w:p>
          <w:p w14:paraId="420ADAF6" w14:textId="77777777" w:rsidR="00C04CAD" w:rsidRDefault="00C04CAD">
            <w:pPr>
              <w:spacing w:line="240" w:lineRule="auto"/>
              <w:rPr>
                <w:szCs w:val="22"/>
              </w:rPr>
            </w:pPr>
          </w:p>
          <w:p w14:paraId="357EDA72" w14:textId="77777777" w:rsidR="00C04CAD" w:rsidRDefault="00C04CAD">
            <w:pPr>
              <w:spacing w:line="240" w:lineRule="auto"/>
              <w:rPr>
                <w:szCs w:val="22"/>
              </w:rPr>
            </w:pPr>
          </w:p>
          <w:p w14:paraId="5E8F2167" w14:textId="77777777" w:rsidR="00C04CAD" w:rsidRDefault="00060E34">
            <w:pPr>
              <w:spacing w:line="240" w:lineRule="auto"/>
              <w:rPr>
                <w:szCs w:val="22"/>
              </w:rPr>
            </w:pPr>
            <w:r>
              <w:rPr>
                <w:szCs w:val="22"/>
              </w:rPr>
              <w:t>Recipient pentru</w:t>
            </w:r>
          </w:p>
          <w:p w14:paraId="34014C07" w14:textId="77777777" w:rsidR="00C04CAD" w:rsidRDefault="00060E34">
            <w:pPr>
              <w:spacing w:line="240" w:lineRule="auto"/>
              <w:rPr>
                <w:szCs w:val="22"/>
              </w:rPr>
            </w:pPr>
            <w:r>
              <w:rPr>
                <w:szCs w:val="22"/>
              </w:rPr>
              <w:t>eliminarea la deșeuri</w:t>
            </w:r>
          </w:p>
          <w:p w14:paraId="30CE79B1" w14:textId="77777777" w:rsidR="00C04CAD" w:rsidRDefault="00060E34">
            <w:pPr>
              <w:pStyle w:val="ListParagraph"/>
              <w:spacing w:line="240" w:lineRule="auto"/>
              <w:ind w:left="567" w:hanging="567"/>
              <w:rPr>
                <w:b/>
              </w:rPr>
            </w:pPr>
            <w:r>
              <w:rPr>
                <w:szCs w:val="22"/>
              </w:rPr>
              <w:t>a obiectelor ascuțite</w:t>
            </w:r>
          </w:p>
        </w:tc>
        <w:tc>
          <w:tcPr>
            <w:tcW w:w="1758" w:type="pct"/>
            <w:tcBorders>
              <w:top w:val="nil"/>
              <w:left w:val="nil"/>
              <w:bottom w:val="single" w:sz="4" w:space="0" w:color="auto"/>
              <w:right w:val="nil"/>
            </w:tcBorders>
          </w:tcPr>
          <w:p w14:paraId="7C1F4A46" w14:textId="77777777" w:rsidR="00C04CAD" w:rsidRDefault="00060E34">
            <w:pPr>
              <w:pStyle w:val="ListParagraph"/>
              <w:spacing w:line="240" w:lineRule="auto"/>
              <w:ind w:left="0"/>
              <w:rPr>
                <w:b/>
              </w:rPr>
            </w:pPr>
            <w:r>
              <w:rPr>
                <w:noProof/>
              </w:rPr>
              <w:drawing>
                <wp:anchor distT="0" distB="0" distL="114300" distR="114300" simplePos="0" relativeHeight="251706368" behindDoc="0" locked="0" layoutInCell="1" allowOverlap="1" wp14:anchorId="1D9ABE67" wp14:editId="70CFA430">
                  <wp:simplePos x="0" y="0"/>
                  <wp:positionH relativeFrom="margin">
                    <wp:posOffset>72390</wp:posOffset>
                  </wp:positionH>
                  <wp:positionV relativeFrom="margin">
                    <wp:posOffset>20320</wp:posOffset>
                  </wp:positionV>
                  <wp:extent cx="1931670" cy="1714500"/>
                  <wp:effectExtent l="0" t="0" r="0" b="0"/>
                  <wp:wrapSquare wrapText="bothSides"/>
                  <wp:docPr id="196"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1931670" cy="1714500"/>
                          </a:xfrm>
                          <a:prstGeom prst="rect">
                            <a:avLst/>
                          </a:prstGeom>
                          <a:noFill/>
                        </pic:spPr>
                      </pic:pic>
                    </a:graphicData>
                  </a:graphic>
                </wp:anchor>
              </w:drawing>
            </w:r>
          </w:p>
        </w:tc>
        <w:tc>
          <w:tcPr>
            <w:tcW w:w="1533" w:type="pct"/>
            <w:tcBorders>
              <w:top w:val="nil"/>
              <w:left w:val="nil"/>
              <w:bottom w:val="single" w:sz="4" w:space="0" w:color="auto"/>
              <w:right w:val="single" w:sz="4" w:space="0" w:color="auto"/>
            </w:tcBorders>
          </w:tcPr>
          <w:p w14:paraId="57714A80" w14:textId="77777777" w:rsidR="00C04CAD" w:rsidRDefault="00C04CAD">
            <w:pPr>
              <w:pStyle w:val="ListParagraph"/>
              <w:spacing w:line="240" w:lineRule="auto"/>
              <w:ind w:left="0"/>
            </w:pPr>
          </w:p>
          <w:p w14:paraId="30440012" w14:textId="77777777" w:rsidR="00C04CAD" w:rsidRDefault="00C04CAD">
            <w:pPr>
              <w:pStyle w:val="ListParagraph"/>
              <w:spacing w:line="240" w:lineRule="auto"/>
              <w:ind w:left="0"/>
            </w:pPr>
          </w:p>
          <w:p w14:paraId="3BC377C6" w14:textId="77777777" w:rsidR="00C04CAD" w:rsidRDefault="00060E34">
            <w:pPr>
              <w:pStyle w:val="ListParagraph"/>
              <w:spacing w:line="240" w:lineRule="auto"/>
              <w:ind w:left="0"/>
              <w:rPr>
                <w:szCs w:val="22"/>
              </w:rPr>
            </w:pPr>
            <w:r>
              <w:t>Şerveţel cu alcool</w:t>
            </w:r>
            <w:r>
              <w:rPr>
                <w:szCs w:val="22"/>
              </w:rPr>
              <w:t xml:space="preserve">   </w:t>
            </w:r>
          </w:p>
          <w:p w14:paraId="54D6BA79" w14:textId="77777777" w:rsidR="00C04CAD" w:rsidRDefault="00C04CAD">
            <w:pPr>
              <w:pStyle w:val="ListParagraph"/>
              <w:spacing w:line="240" w:lineRule="auto"/>
              <w:ind w:left="0"/>
              <w:rPr>
                <w:szCs w:val="22"/>
              </w:rPr>
            </w:pPr>
          </w:p>
          <w:p w14:paraId="4CBCA21A" w14:textId="77777777" w:rsidR="00C04CAD" w:rsidRDefault="00C04CAD">
            <w:pPr>
              <w:pStyle w:val="ListParagraph"/>
              <w:spacing w:line="240" w:lineRule="auto"/>
              <w:ind w:left="0"/>
              <w:rPr>
                <w:szCs w:val="22"/>
              </w:rPr>
            </w:pPr>
          </w:p>
          <w:p w14:paraId="7BA399BB" w14:textId="77777777" w:rsidR="00C04CAD" w:rsidRDefault="00060E34">
            <w:pPr>
              <w:pStyle w:val="ListParagraph"/>
              <w:spacing w:line="240" w:lineRule="auto"/>
              <w:ind w:left="0"/>
              <w:rPr>
                <w:szCs w:val="22"/>
              </w:rPr>
            </w:pPr>
            <w:r>
              <w:rPr>
                <w:szCs w:val="22"/>
              </w:rPr>
              <w:t>Plasture</w:t>
            </w:r>
          </w:p>
          <w:p w14:paraId="4E4D966A" w14:textId="77777777" w:rsidR="00C04CAD" w:rsidRDefault="00C04CAD">
            <w:pPr>
              <w:pStyle w:val="ListParagraph"/>
              <w:spacing w:line="240" w:lineRule="auto"/>
              <w:ind w:left="0"/>
              <w:rPr>
                <w:szCs w:val="22"/>
                <w:lang w:val="fr-FR"/>
              </w:rPr>
            </w:pPr>
          </w:p>
          <w:p w14:paraId="1190478A" w14:textId="77777777" w:rsidR="00C04CAD" w:rsidRDefault="00060E34">
            <w:pPr>
              <w:pStyle w:val="ListParagraph"/>
              <w:spacing w:line="240" w:lineRule="auto"/>
              <w:ind w:left="0"/>
              <w:rPr>
                <w:b/>
              </w:rPr>
            </w:pPr>
            <w:r>
              <w:t>Tampon de vată sau compresă de tifon</w:t>
            </w:r>
          </w:p>
        </w:tc>
      </w:tr>
      <w:tr w:rsidR="00C04CAD" w14:paraId="5CC1D14D"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30F5DE83" w14:textId="77777777" w:rsidR="00C04CAD" w:rsidRDefault="00C04CAD">
            <w:pPr>
              <w:numPr>
                <w:ilvl w:val="0"/>
                <w:numId w:val="102"/>
              </w:numPr>
              <w:tabs>
                <w:tab w:val="clear" w:pos="567"/>
                <w:tab w:val="left" w:pos="708"/>
              </w:tabs>
              <w:spacing w:line="240" w:lineRule="auto"/>
              <w:ind w:left="567" w:hanging="567"/>
            </w:pPr>
          </w:p>
        </w:tc>
        <w:tc>
          <w:tcPr>
            <w:tcW w:w="4652" w:type="pct"/>
            <w:gridSpan w:val="3"/>
            <w:tcBorders>
              <w:top w:val="nil"/>
              <w:left w:val="nil"/>
              <w:bottom w:val="nil"/>
              <w:right w:val="single" w:sz="4" w:space="0" w:color="auto"/>
            </w:tcBorders>
            <w:tcMar>
              <w:top w:w="0" w:type="dxa"/>
              <w:left w:w="0" w:type="dxa"/>
              <w:bottom w:w="0" w:type="dxa"/>
              <w:right w:w="108" w:type="dxa"/>
            </w:tcMar>
          </w:tcPr>
          <w:p w14:paraId="63660B06" w14:textId="77777777" w:rsidR="00C04CAD" w:rsidRDefault="00060E34">
            <w:pPr>
              <w:spacing w:line="240" w:lineRule="auto"/>
              <w:rPr>
                <w:b/>
                <w:bCs/>
              </w:rPr>
            </w:pPr>
            <w:r>
              <w:t>Seringă preumplută AMGEVITA (temperatura camerei)</w:t>
            </w:r>
          </w:p>
        </w:tc>
      </w:tr>
      <w:tr w:rsidR="00C04CAD" w14:paraId="550D502C"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128754F0" w14:textId="77777777" w:rsidR="00C04CAD" w:rsidRDefault="00C04CAD">
            <w:pPr>
              <w:numPr>
                <w:ilvl w:val="0"/>
                <w:numId w:val="102"/>
              </w:numPr>
              <w:tabs>
                <w:tab w:val="clear" w:pos="567"/>
                <w:tab w:val="left" w:pos="708"/>
              </w:tabs>
              <w:spacing w:line="240" w:lineRule="auto"/>
              <w:ind w:left="567" w:hanging="567"/>
            </w:pPr>
          </w:p>
        </w:tc>
        <w:tc>
          <w:tcPr>
            <w:tcW w:w="4652" w:type="pct"/>
            <w:gridSpan w:val="3"/>
            <w:tcBorders>
              <w:top w:val="nil"/>
              <w:left w:val="nil"/>
              <w:bottom w:val="nil"/>
              <w:right w:val="single" w:sz="4" w:space="0" w:color="auto"/>
            </w:tcBorders>
            <w:tcMar>
              <w:top w:w="0" w:type="dxa"/>
              <w:left w:w="0" w:type="dxa"/>
              <w:bottom w:w="0" w:type="dxa"/>
              <w:right w:w="108" w:type="dxa"/>
            </w:tcMar>
          </w:tcPr>
          <w:p w14:paraId="6CD2261E" w14:textId="77777777" w:rsidR="00C04CAD" w:rsidRDefault="00060E34">
            <w:pPr>
              <w:spacing w:line="240" w:lineRule="auto"/>
            </w:pPr>
            <w:r>
              <w:t xml:space="preserve">Recipient pentru eliminarea la deșeuri a obiectelor ascuțite </w:t>
            </w:r>
          </w:p>
        </w:tc>
      </w:tr>
      <w:tr w:rsidR="00C04CAD" w14:paraId="2F52E593"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7AC98AD0" w14:textId="77777777" w:rsidR="00C04CAD" w:rsidRDefault="00C04CAD">
            <w:pPr>
              <w:numPr>
                <w:ilvl w:val="0"/>
                <w:numId w:val="102"/>
              </w:numPr>
              <w:tabs>
                <w:tab w:val="clear" w:pos="567"/>
                <w:tab w:val="left" w:pos="708"/>
              </w:tabs>
              <w:spacing w:line="240" w:lineRule="auto"/>
              <w:ind w:left="567" w:hanging="567"/>
            </w:pPr>
          </w:p>
        </w:tc>
        <w:tc>
          <w:tcPr>
            <w:tcW w:w="4652" w:type="pct"/>
            <w:gridSpan w:val="3"/>
            <w:tcBorders>
              <w:top w:val="nil"/>
              <w:left w:val="nil"/>
              <w:bottom w:val="nil"/>
              <w:right w:val="single" w:sz="4" w:space="0" w:color="auto"/>
            </w:tcBorders>
            <w:tcMar>
              <w:top w:w="0" w:type="dxa"/>
              <w:left w:w="0" w:type="dxa"/>
              <w:bottom w:w="0" w:type="dxa"/>
              <w:right w:w="108" w:type="dxa"/>
            </w:tcMar>
          </w:tcPr>
          <w:p w14:paraId="20DF3DCF" w14:textId="77777777" w:rsidR="00C04CAD" w:rsidRDefault="00060E34">
            <w:pPr>
              <w:spacing w:line="240" w:lineRule="auto"/>
            </w:pPr>
            <w:r>
              <w:t>Şerveţel cu alcool</w:t>
            </w:r>
          </w:p>
        </w:tc>
      </w:tr>
      <w:tr w:rsidR="00C04CAD" w14:paraId="4C321686"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1A3DF4CC" w14:textId="77777777" w:rsidR="00C04CAD" w:rsidRDefault="00C04CAD">
            <w:pPr>
              <w:numPr>
                <w:ilvl w:val="0"/>
                <w:numId w:val="102"/>
              </w:numPr>
              <w:tabs>
                <w:tab w:val="clear" w:pos="567"/>
                <w:tab w:val="left" w:pos="708"/>
              </w:tabs>
              <w:spacing w:line="240" w:lineRule="auto"/>
              <w:ind w:left="567" w:hanging="567"/>
            </w:pPr>
          </w:p>
        </w:tc>
        <w:tc>
          <w:tcPr>
            <w:tcW w:w="4652" w:type="pct"/>
            <w:gridSpan w:val="3"/>
            <w:tcBorders>
              <w:top w:val="nil"/>
              <w:left w:val="nil"/>
              <w:bottom w:val="nil"/>
              <w:right w:val="single" w:sz="4" w:space="0" w:color="auto"/>
            </w:tcBorders>
            <w:tcMar>
              <w:top w:w="0" w:type="dxa"/>
              <w:left w:w="0" w:type="dxa"/>
              <w:bottom w:w="0" w:type="dxa"/>
              <w:right w:w="108" w:type="dxa"/>
            </w:tcMar>
          </w:tcPr>
          <w:p w14:paraId="55E4F905" w14:textId="77777777" w:rsidR="00C04CAD" w:rsidRDefault="00060E34">
            <w:pPr>
              <w:spacing w:line="240" w:lineRule="auto"/>
            </w:pPr>
            <w:r>
              <w:t>Plasture</w:t>
            </w:r>
          </w:p>
        </w:tc>
      </w:tr>
      <w:tr w:rsidR="00C04CAD" w14:paraId="3D5FAA2C" w14:textId="77777777">
        <w:trPr>
          <w:cantSplit/>
          <w:trHeight w:val="57"/>
        </w:trPr>
        <w:tc>
          <w:tcPr>
            <w:tcW w:w="348" w:type="pct"/>
            <w:tcBorders>
              <w:top w:val="nil"/>
              <w:left w:val="single" w:sz="4" w:space="0" w:color="auto"/>
              <w:bottom w:val="single" w:sz="4" w:space="0" w:color="auto"/>
              <w:right w:val="nil"/>
            </w:tcBorders>
            <w:tcMar>
              <w:top w:w="28" w:type="dxa"/>
              <w:left w:w="57" w:type="dxa"/>
              <w:bottom w:w="28" w:type="dxa"/>
              <w:right w:w="57" w:type="dxa"/>
            </w:tcMar>
          </w:tcPr>
          <w:p w14:paraId="3896E720" w14:textId="77777777" w:rsidR="00C04CAD" w:rsidRDefault="00C04CAD">
            <w:pPr>
              <w:numPr>
                <w:ilvl w:val="0"/>
                <w:numId w:val="102"/>
              </w:numPr>
              <w:tabs>
                <w:tab w:val="clear" w:pos="567"/>
                <w:tab w:val="left" w:pos="708"/>
              </w:tabs>
              <w:spacing w:line="240" w:lineRule="auto"/>
              <w:ind w:left="567" w:hanging="567"/>
            </w:pPr>
          </w:p>
        </w:tc>
        <w:tc>
          <w:tcPr>
            <w:tcW w:w="4652" w:type="pct"/>
            <w:gridSpan w:val="3"/>
            <w:tcBorders>
              <w:top w:val="nil"/>
              <w:left w:val="nil"/>
              <w:bottom w:val="single" w:sz="4" w:space="0" w:color="auto"/>
              <w:right w:val="single" w:sz="4" w:space="0" w:color="auto"/>
            </w:tcBorders>
            <w:tcMar>
              <w:top w:w="0" w:type="dxa"/>
              <w:left w:w="0" w:type="dxa"/>
              <w:bottom w:w="0" w:type="dxa"/>
              <w:right w:w="108" w:type="dxa"/>
            </w:tcMar>
          </w:tcPr>
          <w:p w14:paraId="102D854E" w14:textId="77777777" w:rsidR="00C04CAD" w:rsidRDefault="00060E34">
            <w:pPr>
              <w:spacing w:line="240" w:lineRule="auto"/>
            </w:pPr>
            <w:r>
              <w:t xml:space="preserve">Tampon de vată sau </w:t>
            </w:r>
            <w:r>
              <w:rPr>
                <w:color w:val="000000"/>
                <w:szCs w:val="22"/>
                <w:lang w:eastAsia="en-US" w:bidi="ar-SA"/>
              </w:rPr>
              <w:t>compresă</w:t>
            </w:r>
            <w:r>
              <w:rPr>
                <w:color w:val="000000"/>
                <w:szCs w:val="22"/>
              </w:rPr>
              <w:t xml:space="preserve"> de</w:t>
            </w:r>
            <w:r>
              <w:t xml:space="preserve"> tifon</w:t>
            </w:r>
          </w:p>
        </w:tc>
      </w:tr>
    </w:tbl>
    <w:p w14:paraId="1A10339A" w14:textId="77777777" w:rsidR="00C04CAD" w:rsidRDefault="00C04CAD">
      <w:pPr>
        <w:spacing w:line="240" w:lineRule="auto"/>
        <w:rPr>
          <w:b/>
          <w:bC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5"/>
        <w:gridCol w:w="1118"/>
        <w:gridCol w:w="4594"/>
        <w:gridCol w:w="2673"/>
      </w:tblGrid>
      <w:tr w:rsidR="00C04CAD" w14:paraId="11FF2644"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9857B5" w14:textId="77777777" w:rsidR="00C04CAD" w:rsidRDefault="00060E34">
            <w:pPr>
              <w:keepNext/>
              <w:spacing w:line="240" w:lineRule="auto"/>
              <w:rPr>
                <w:b/>
                <w:bCs/>
              </w:rPr>
            </w:pPr>
            <w:r>
              <w:rPr>
                <w:b/>
                <w:bCs/>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69C6DF" w14:textId="77777777" w:rsidR="00C04CAD" w:rsidRDefault="00060E34">
            <w:pPr>
              <w:pStyle w:val="ListParagraph"/>
              <w:spacing w:line="240" w:lineRule="auto"/>
              <w:ind w:left="567" w:hanging="567"/>
              <w:rPr>
                <w:b/>
                <w:bCs/>
                <w:szCs w:val="22"/>
              </w:rPr>
            </w:pPr>
            <w:r>
              <w:rPr>
                <w:b/>
              </w:rPr>
              <w:t>Pregătirea pentru injecție</w:t>
            </w:r>
          </w:p>
        </w:tc>
      </w:tr>
      <w:tr w:rsidR="00C04CAD" w14:paraId="077CE7CC"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6BBC99" w14:textId="77777777" w:rsidR="00C04CAD" w:rsidRDefault="00060E34">
            <w:pPr>
              <w:keepNext/>
              <w:spacing w:line="240" w:lineRule="auto"/>
              <w:rPr>
                <w:b/>
                <w:bCs/>
              </w:rPr>
            </w:pPr>
            <w:r>
              <w:rPr>
                <w:b/>
                <w:bCs/>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2EEE68" w14:textId="77777777" w:rsidR="00C04CAD" w:rsidRDefault="00060E34">
            <w:pPr>
              <w:pStyle w:val="ListParagraph"/>
              <w:spacing w:line="240" w:lineRule="auto"/>
              <w:ind w:left="567" w:hanging="567"/>
              <w:rPr>
                <w:szCs w:val="22"/>
              </w:rPr>
            </w:pPr>
            <w:r>
              <w:rPr>
                <w:b/>
              </w:rPr>
              <w:t>Inspectați medicamentul</w:t>
            </w:r>
            <w:r>
              <w:rPr>
                <w:b/>
                <w:bCs/>
                <w:szCs w:val="22"/>
              </w:rPr>
              <w:t>.</w:t>
            </w:r>
          </w:p>
        </w:tc>
      </w:tr>
      <w:tr w:rsidR="00C04CAD" w14:paraId="6D0C7B3A"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5DD532AE" w14:textId="77777777" w:rsidR="00C04CAD" w:rsidRDefault="00C04CAD">
            <w:pPr>
              <w:pStyle w:val="ListParagraph"/>
              <w:keepNext/>
              <w:spacing w:line="240" w:lineRule="auto"/>
              <w:ind w:left="567" w:hanging="567"/>
            </w:pPr>
          </w:p>
          <w:p w14:paraId="5706388B" w14:textId="77777777" w:rsidR="00C04CAD" w:rsidRDefault="00C04CAD">
            <w:pPr>
              <w:pStyle w:val="ListParagraph"/>
              <w:keepNext/>
              <w:spacing w:line="240" w:lineRule="auto"/>
              <w:ind w:left="567" w:hanging="567"/>
            </w:pPr>
          </w:p>
        </w:tc>
        <w:tc>
          <w:tcPr>
            <w:tcW w:w="2423" w:type="pct"/>
            <w:tcBorders>
              <w:top w:val="single" w:sz="4" w:space="0" w:color="auto"/>
              <w:left w:val="nil"/>
              <w:bottom w:val="single" w:sz="4" w:space="0" w:color="auto"/>
              <w:right w:val="nil"/>
            </w:tcBorders>
          </w:tcPr>
          <w:p w14:paraId="24B40596" w14:textId="77777777" w:rsidR="00C04CAD" w:rsidRDefault="00060E34">
            <w:pPr>
              <w:pStyle w:val="ListParagraph"/>
              <w:keepNext/>
              <w:spacing w:line="240" w:lineRule="auto"/>
              <w:ind w:left="567" w:hanging="567"/>
            </w:pPr>
            <w:r>
              <w:rPr>
                <w:noProof/>
              </w:rPr>
              <w:drawing>
                <wp:anchor distT="0" distB="0" distL="114300" distR="114300" simplePos="0" relativeHeight="251661312" behindDoc="0" locked="0" layoutInCell="1" allowOverlap="1" wp14:anchorId="6160BD8A" wp14:editId="57545469">
                  <wp:simplePos x="0" y="0"/>
                  <wp:positionH relativeFrom="column">
                    <wp:posOffset>1905</wp:posOffset>
                  </wp:positionH>
                  <wp:positionV relativeFrom="paragraph">
                    <wp:posOffset>-1551305</wp:posOffset>
                  </wp:positionV>
                  <wp:extent cx="2964180" cy="1722120"/>
                  <wp:effectExtent l="0" t="0" r="0" b="0"/>
                  <wp:wrapTopAndBottom/>
                  <wp:docPr id="1518675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7586"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964180" cy="1722120"/>
                          </a:xfrm>
                          <a:prstGeom prst="rect">
                            <a:avLst/>
                          </a:prstGeom>
                          <a:noFill/>
                        </pic:spPr>
                      </pic:pic>
                    </a:graphicData>
                  </a:graphic>
                </wp:anchor>
              </w:drawing>
            </w:r>
          </w:p>
          <w:p w14:paraId="29472436" w14:textId="77777777" w:rsidR="00C04CAD" w:rsidRDefault="00C04CAD">
            <w:pPr>
              <w:pStyle w:val="ListParagraph"/>
              <w:keepNext/>
              <w:spacing w:line="240" w:lineRule="auto"/>
              <w:ind w:left="567" w:hanging="567"/>
            </w:pPr>
          </w:p>
        </w:tc>
        <w:tc>
          <w:tcPr>
            <w:tcW w:w="1569" w:type="pct"/>
            <w:tcBorders>
              <w:top w:val="single" w:sz="4" w:space="0" w:color="auto"/>
              <w:left w:val="nil"/>
              <w:bottom w:val="single" w:sz="4" w:space="0" w:color="auto"/>
              <w:right w:val="single" w:sz="4" w:space="0" w:color="auto"/>
            </w:tcBorders>
          </w:tcPr>
          <w:p w14:paraId="2944E17E" w14:textId="77777777" w:rsidR="00C04CAD" w:rsidRDefault="00C04CAD">
            <w:pPr>
              <w:pStyle w:val="ListParagraph"/>
              <w:spacing w:line="240" w:lineRule="auto"/>
              <w:ind w:left="567" w:hanging="567"/>
              <w:rPr>
                <w:b/>
                <w:bCs/>
              </w:rPr>
            </w:pPr>
          </w:p>
          <w:p w14:paraId="528B6940" w14:textId="77777777" w:rsidR="00C04CAD" w:rsidRDefault="00C04CAD">
            <w:pPr>
              <w:pStyle w:val="ListParagraph"/>
              <w:spacing w:line="240" w:lineRule="auto"/>
              <w:ind w:left="567" w:hanging="567"/>
              <w:rPr>
                <w:b/>
                <w:bCs/>
              </w:rPr>
            </w:pPr>
          </w:p>
          <w:p w14:paraId="4951AB38" w14:textId="77777777" w:rsidR="00C04CAD" w:rsidRDefault="00C04CAD">
            <w:pPr>
              <w:pStyle w:val="ListParagraph"/>
              <w:spacing w:line="240" w:lineRule="auto"/>
              <w:ind w:left="567" w:hanging="567"/>
              <w:rPr>
                <w:b/>
                <w:bCs/>
              </w:rPr>
            </w:pPr>
          </w:p>
          <w:p w14:paraId="5D225D8E" w14:textId="77777777" w:rsidR="00C04CAD" w:rsidRDefault="00C04CAD">
            <w:pPr>
              <w:pStyle w:val="ListParagraph"/>
              <w:spacing w:line="240" w:lineRule="auto"/>
              <w:ind w:left="567" w:hanging="567"/>
              <w:rPr>
                <w:b/>
                <w:bCs/>
              </w:rPr>
            </w:pPr>
          </w:p>
          <w:p w14:paraId="0A6C051A" w14:textId="77777777" w:rsidR="00C04CAD" w:rsidRDefault="00060E34">
            <w:pPr>
              <w:pStyle w:val="ListParagraph"/>
              <w:spacing w:line="240" w:lineRule="auto"/>
              <w:ind w:left="567" w:hanging="567"/>
              <w:rPr>
                <w:szCs w:val="22"/>
              </w:rPr>
            </w:pPr>
            <w:r>
              <w:rPr>
                <w:szCs w:val="22"/>
              </w:rPr>
              <w:t>M</w:t>
            </w:r>
            <w:r>
              <w:t>edicament</w:t>
            </w:r>
          </w:p>
        </w:tc>
      </w:tr>
      <w:tr w:rsidR="00C04CAD" w14:paraId="018EEBEC"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12E05689" w14:textId="77777777" w:rsidR="00C04CAD" w:rsidRDefault="00C04CAD">
            <w:pPr>
              <w:numPr>
                <w:ilvl w:val="0"/>
                <w:numId w:val="102"/>
              </w:numPr>
              <w:tabs>
                <w:tab w:val="clear" w:pos="567"/>
                <w:tab w:val="left" w:pos="708"/>
              </w:tabs>
              <w:spacing w:line="240" w:lineRule="auto"/>
              <w:ind w:left="567" w:hanging="567"/>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43647FFD" w14:textId="77777777" w:rsidR="00C04CAD" w:rsidRDefault="00060E34">
            <w:pPr>
              <w:tabs>
                <w:tab w:val="clear" w:pos="567"/>
              </w:tabs>
              <w:autoSpaceDE w:val="0"/>
              <w:autoSpaceDN w:val="0"/>
              <w:adjustRightInd w:val="0"/>
              <w:spacing w:line="240" w:lineRule="auto"/>
              <w:rPr>
                <w:bCs/>
                <w:szCs w:val="22"/>
                <w:lang w:eastAsia="en-GB"/>
              </w:rPr>
            </w:pPr>
            <w:r>
              <w:t>Trebuie să fie limpede și incolor până la ușor galben.</w:t>
            </w:r>
          </w:p>
        </w:tc>
      </w:tr>
      <w:tr w:rsidR="00C04CAD" w14:paraId="160F66CF"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62FD7C7F" w14:textId="77777777" w:rsidR="00C04CAD" w:rsidRDefault="00C04CAD">
            <w:pPr>
              <w:numPr>
                <w:ilvl w:val="0"/>
                <w:numId w:val="102"/>
              </w:numPr>
              <w:tabs>
                <w:tab w:val="clear" w:pos="567"/>
                <w:tab w:val="left" w:pos="708"/>
              </w:tabs>
              <w:spacing w:line="240" w:lineRule="auto"/>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tcPr>
          <w:p w14:paraId="319E0415" w14:textId="77777777" w:rsidR="00C04CAD" w:rsidRDefault="00060E34">
            <w:pPr>
              <w:spacing w:line="240" w:lineRule="auto"/>
            </w:pPr>
            <w:r>
              <w:t>Este în regulă dacă vedeți bule de aer în seringa preumplută.</w:t>
            </w:r>
          </w:p>
        </w:tc>
      </w:tr>
      <w:tr w:rsidR="00C04CAD" w14:paraId="75374AAC"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67E7CA1F" w14:textId="77777777" w:rsidR="00C04CAD" w:rsidRDefault="00C04CAD">
            <w:pPr>
              <w:numPr>
                <w:ilvl w:val="0"/>
                <w:numId w:val="102"/>
              </w:numPr>
              <w:tabs>
                <w:tab w:val="clear" w:pos="567"/>
                <w:tab w:val="left" w:pos="708"/>
              </w:tabs>
              <w:spacing w:line="240" w:lineRule="auto"/>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tcPr>
          <w:p w14:paraId="4241E692" w14:textId="77777777" w:rsidR="00C04CAD" w:rsidRDefault="00060E34">
            <w:pPr>
              <w:spacing w:line="240" w:lineRule="auto"/>
            </w:pPr>
            <w:r>
              <w:rPr>
                <w:b/>
              </w:rPr>
              <w:t>Nu</w:t>
            </w:r>
            <w:r>
              <w:t xml:space="preserve"> utilizaţi </w:t>
            </w:r>
            <w:ins w:id="59" w:author="Author">
              <w:r>
                <w:t xml:space="preserve">AMGEVITA </w:t>
              </w:r>
            </w:ins>
            <w:r>
              <w:t>dacă medicamentul este tulbure sau decolorat sau dacă acesta conţine flocoane sau particule</w:t>
            </w:r>
          </w:p>
        </w:tc>
      </w:tr>
      <w:tr w:rsidR="00C04CAD" w14:paraId="4A83D00F"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6538AE4E" w14:textId="77777777" w:rsidR="00C04CAD" w:rsidRDefault="00060E34">
            <w:pPr>
              <w:spacing w:line="240" w:lineRule="auto"/>
              <w:rPr>
                <w:b/>
                <w:bCs/>
              </w:rPr>
            </w:pPr>
            <w:r>
              <w:rPr>
                <w:noProof/>
              </w:rPr>
              <mc:AlternateContent>
                <mc:Choice Requires="wps">
                  <w:drawing>
                    <wp:anchor distT="45720" distB="45720" distL="114300" distR="114300" simplePos="0" relativeHeight="251679744" behindDoc="0" locked="0" layoutInCell="1" allowOverlap="1" wp14:anchorId="593734F5" wp14:editId="35F77BAA">
                      <wp:simplePos x="0" y="0"/>
                      <wp:positionH relativeFrom="margin">
                        <wp:posOffset>-2540</wp:posOffset>
                      </wp:positionH>
                      <wp:positionV relativeFrom="paragraph">
                        <wp:posOffset>65405</wp:posOffset>
                      </wp:positionV>
                      <wp:extent cx="5575935" cy="431800"/>
                      <wp:effectExtent l="0" t="0" r="5715" b="6350"/>
                      <wp:wrapSquare wrapText="bothSides"/>
                      <wp:docPr id="113747368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0A58168E" w14:textId="77777777" w:rsidR="00C04CAD" w:rsidRDefault="00060E34">
                                  <w:pPr>
                                    <w:spacing w:line="240" w:lineRule="auto"/>
                                  </w:pPr>
                                  <w:r>
                                    <w:rPr>
                                      <w:b/>
                                      <w:bCs/>
                                    </w:rPr>
                                    <w:t xml:space="preserve">Important: </w:t>
                                  </w:r>
                                  <w:r>
                                    <w:t>Dacă medicamentul este tulbure sau decolorat sau dacă acesta conține flocoane sau particule, contactați-vă medicul sau furnizorul de servicii medicale.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93734F5" id="Text Box 20" o:spid="_x0000_s1030" type="#_x0000_t202" style="position:absolute;margin-left:-.2pt;margin-top:5.15pt;width:439.05pt;height:34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8qUCAIAAA8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6IbwSK&#10;+tXQPJGCCIcOpYmiQwf4k7OBurPi/sdOoOLMfLBUhcV0Po/tnIx5cT0jAy899aVHWElQFQ+cHY7r&#10;kEYgCeTuqFobnYQ8Z3JMmbou6XuckNjWl3aKOs/x6hcA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LLTypQIAgAADwQAAA4A&#10;AAAAAAAAAAAAAAAALgIAAGRycy9lMm9Eb2MueG1sUEsBAi0AFAAGAAgAAAAhAJIrCFHcAAAABwEA&#10;AA8AAAAAAAAAAAAAAAAAYgQAAGRycy9kb3ducmV2LnhtbFBLBQYAAAAABAAEAPMAAABrBQAAAAA=&#10;" strokecolor="red" strokeweight="1.5pt">
                      <v:textbox style="mso-fit-shape-to-text:t">
                        <w:txbxContent>
                          <w:p w14:paraId="0A58168E" w14:textId="77777777" w:rsidR="00C04CAD" w:rsidRDefault="00060E34">
                            <w:pPr>
                              <w:spacing w:line="240" w:lineRule="auto"/>
                            </w:pPr>
                            <w:r>
                              <w:rPr>
                                <w:b/>
                                <w:bCs/>
                              </w:rPr>
                              <w:t xml:space="preserve">Important: </w:t>
                            </w:r>
                            <w:r>
                              <w:t>Dacă medicamentul este tulbure sau decolorat sau dacă acesta conține flocoane sau particule, contactați-vă medicul sau furnizorul de servicii medicale.</w:t>
                            </w:r>
                          </w:p>
                        </w:txbxContent>
                      </v:textbox>
                      <w10:wrap type="square" anchorx="margin"/>
                    </v:shape>
                  </w:pict>
                </mc:Fallback>
              </mc:AlternateContent>
            </w:r>
          </w:p>
        </w:tc>
      </w:tr>
    </w:tbl>
    <w:p w14:paraId="3DD1B49A" w14:textId="77777777" w:rsidR="00C04CAD" w:rsidRDefault="00C04CAD">
      <w:pPr>
        <w:spacing w:line="240" w:lineRule="auto"/>
      </w:pPr>
    </w:p>
    <w:tbl>
      <w:tblPr>
        <w:tblW w:w="497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389"/>
      </w:tblGrid>
      <w:tr w:rsidR="00C04CAD" w14:paraId="4988A8AA" w14:textId="77777777">
        <w:trPr>
          <w:cantSplit/>
          <w:trHeight w:val="57"/>
        </w:trPr>
        <w:tc>
          <w:tcPr>
            <w:tcW w:w="34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0A5A07" w14:textId="77777777" w:rsidR="00C04CAD" w:rsidRDefault="00060E34">
            <w:pPr>
              <w:keepNext/>
              <w:spacing w:line="240" w:lineRule="auto"/>
              <w:rPr>
                <w:b/>
                <w:bCs/>
                <w:szCs w:val="22"/>
              </w:rPr>
            </w:pPr>
            <w:r>
              <w:rPr>
                <w:b/>
                <w:bCs/>
                <w:szCs w:val="22"/>
              </w:rPr>
              <w:t>3b</w:t>
            </w:r>
          </w:p>
        </w:tc>
        <w:tc>
          <w:tcPr>
            <w:tcW w:w="465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2C8F76" w14:textId="77777777" w:rsidR="00C04CAD" w:rsidRDefault="00060E34">
            <w:pPr>
              <w:spacing w:line="240" w:lineRule="auto"/>
              <w:rPr>
                <w:szCs w:val="22"/>
              </w:rPr>
            </w:pPr>
            <w:r>
              <w:rPr>
                <w:b/>
              </w:rPr>
              <w:t>Verificați data de expirare</w:t>
            </w:r>
            <w:r>
              <w:t xml:space="preserve"> </w:t>
            </w:r>
            <w:r>
              <w:rPr>
                <w:b/>
              </w:rPr>
              <w:t>(EXP) și inspectați seringa preumplută pentru a verifica să nu prezinte deteriorări</w:t>
            </w:r>
            <w:r>
              <w:rPr>
                <w:b/>
                <w:bCs/>
                <w:szCs w:val="22"/>
              </w:rPr>
              <w:t>.</w:t>
            </w:r>
          </w:p>
        </w:tc>
      </w:tr>
    </w:tbl>
    <w:p w14:paraId="1ABB52E8" w14:textId="77777777" w:rsidR="00C04CAD" w:rsidRDefault="00C04CAD">
      <w:pPr>
        <w:keepNext/>
        <w:spacing w:line="240" w:lineRule="auto"/>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4"/>
        <w:gridCol w:w="1093"/>
        <w:gridCol w:w="4559"/>
        <w:gridCol w:w="2746"/>
      </w:tblGrid>
      <w:tr w:rsidR="00C04CAD" w14:paraId="5DDAC4E7" w14:textId="77777777">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F685D42" w14:textId="77777777" w:rsidR="00C04CAD" w:rsidRDefault="00060E34">
            <w:pPr>
              <w:pStyle w:val="ListParagraph"/>
              <w:spacing w:line="240" w:lineRule="auto"/>
              <w:ind w:left="567" w:hanging="567"/>
            </w:pPr>
            <w:r>
              <w:rPr>
                <w:noProof/>
              </w:rPr>
              <w:drawing>
                <wp:anchor distT="0" distB="0" distL="114300" distR="114300" simplePos="0" relativeHeight="251662336" behindDoc="0" locked="0" layoutInCell="1" allowOverlap="1" wp14:anchorId="724FE85F" wp14:editId="7E926684">
                  <wp:simplePos x="0" y="0"/>
                  <wp:positionH relativeFrom="column">
                    <wp:posOffset>502285</wp:posOffset>
                  </wp:positionH>
                  <wp:positionV relativeFrom="paragraph">
                    <wp:posOffset>23495</wp:posOffset>
                  </wp:positionV>
                  <wp:extent cx="3162300" cy="1767840"/>
                  <wp:effectExtent l="0" t="0" r="0" b="0"/>
                  <wp:wrapTopAndBottom/>
                  <wp:docPr id="2991286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28655"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162300" cy="1767840"/>
                          </a:xfrm>
                          <a:prstGeom prst="rect">
                            <a:avLst/>
                          </a:prstGeom>
                          <a:noFill/>
                        </pic:spPr>
                      </pic:pic>
                    </a:graphicData>
                  </a:graphic>
                </wp:anchor>
              </w:drawing>
            </w:r>
          </w:p>
          <w:p w14:paraId="01CE71B1" w14:textId="77777777" w:rsidR="00C04CAD" w:rsidRDefault="00C04CAD">
            <w:pPr>
              <w:pStyle w:val="ListParagraph"/>
              <w:spacing w:line="240" w:lineRule="auto"/>
              <w:ind w:left="567" w:hanging="567"/>
            </w:pPr>
          </w:p>
        </w:tc>
        <w:tc>
          <w:tcPr>
            <w:tcW w:w="2535" w:type="pct"/>
            <w:tcBorders>
              <w:top w:val="single" w:sz="4" w:space="0" w:color="auto"/>
              <w:left w:val="nil"/>
              <w:bottom w:val="single" w:sz="4" w:space="0" w:color="auto"/>
              <w:right w:val="nil"/>
            </w:tcBorders>
          </w:tcPr>
          <w:p w14:paraId="67EC3611" w14:textId="77777777" w:rsidR="00C04CAD" w:rsidRDefault="00C04CAD">
            <w:pPr>
              <w:pStyle w:val="ListParagraph"/>
              <w:spacing w:line="240" w:lineRule="auto"/>
              <w:ind w:left="567" w:hanging="567"/>
            </w:pPr>
          </w:p>
          <w:p w14:paraId="6BE30ECE" w14:textId="77777777" w:rsidR="00C04CAD" w:rsidRDefault="00C04CAD">
            <w:pPr>
              <w:pStyle w:val="ListParagraph"/>
              <w:spacing w:line="240" w:lineRule="auto"/>
              <w:ind w:left="567" w:hanging="567"/>
            </w:pPr>
          </w:p>
          <w:p w14:paraId="00BBE382" w14:textId="77777777" w:rsidR="00C04CAD" w:rsidRDefault="00C04CAD">
            <w:pPr>
              <w:pStyle w:val="ListParagraph"/>
              <w:spacing w:line="240" w:lineRule="auto"/>
              <w:ind w:left="567" w:hanging="567"/>
            </w:pPr>
          </w:p>
        </w:tc>
        <w:tc>
          <w:tcPr>
            <w:tcW w:w="1528" w:type="pct"/>
            <w:tcBorders>
              <w:top w:val="single" w:sz="4" w:space="0" w:color="auto"/>
              <w:left w:val="nil"/>
              <w:bottom w:val="single" w:sz="4" w:space="0" w:color="auto"/>
              <w:right w:val="single" w:sz="4" w:space="0" w:color="auto"/>
            </w:tcBorders>
          </w:tcPr>
          <w:p w14:paraId="4313B0A4" w14:textId="77777777" w:rsidR="00C04CAD" w:rsidRDefault="00C04CAD">
            <w:pPr>
              <w:pStyle w:val="ListParagraph"/>
              <w:spacing w:line="240" w:lineRule="auto"/>
              <w:ind w:left="567" w:hanging="567"/>
            </w:pPr>
          </w:p>
          <w:p w14:paraId="656C692E" w14:textId="77777777" w:rsidR="00C04CAD" w:rsidRDefault="00C04CAD">
            <w:pPr>
              <w:pStyle w:val="ListParagraph"/>
              <w:spacing w:line="240" w:lineRule="auto"/>
              <w:ind w:left="567" w:hanging="567"/>
            </w:pPr>
          </w:p>
          <w:p w14:paraId="0B0BFAB5" w14:textId="77777777" w:rsidR="00C04CAD" w:rsidRDefault="00C04CAD">
            <w:pPr>
              <w:pStyle w:val="ListParagraph"/>
              <w:spacing w:line="240" w:lineRule="auto"/>
              <w:ind w:left="567" w:hanging="567"/>
            </w:pPr>
          </w:p>
          <w:p w14:paraId="659DA1EE" w14:textId="77777777" w:rsidR="00C04CAD" w:rsidRDefault="00C04CAD">
            <w:pPr>
              <w:pStyle w:val="ListParagraph"/>
              <w:spacing w:line="240" w:lineRule="auto"/>
              <w:ind w:left="567" w:hanging="567"/>
            </w:pPr>
          </w:p>
          <w:p w14:paraId="6B5A1FCB" w14:textId="77777777" w:rsidR="00C04CAD" w:rsidRDefault="00C04CAD">
            <w:pPr>
              <w:pStyle w:val="ListParagraph"/>
              <w:spacing w:line="240" w:lineRule="auto"/>
              <w:ind w:left="567" w:hanging="567"/>
            </w:pPr>
          </w:p>
          <w:p w14:paraId="7B82A401" w14:textId="77777777" w:rsidR="00C04CAD" w:rsidRDefault="00060E34">
            <w:pPr>
              <w:spacing w:line="240" w:lineRule="auto"/>
            </w:pPr>
            <w:r>
              <w:t>Data expirării</w:t>
            </w:r>
            <w:r>
              <w:rPr>
                <w:szCs w:val="22"/>
              </w:rPr>
              <w:t xml:space="preserve">                       </w:t>
            </w:r>
          </w:p>
        </w:tc>
      </w:tr>
      <w:tr w:rsidR="00C04CAD" w14:paraId="5420CE4E" w14:textId="77777777">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2CC0CC94" w14:textId="77777777" w:rsidR="00C04CAD" w:rsidRDefault="00C04CAD">
            <w:pPr>
              <w:numPr>
                <w:ilvl w:val="0"/>
                <w:numId w:val="102"/>
              </w:numPr>
              <w:tabs>
                <w:tab w:val="clear" w:pos="567"/>
                <w:tab w:val="left" w:pos="708"/>
              </w:tabs>
              <w:spacing w:line="240" w:lineRule="auto"/>
              <w:ind w:left="567" w:hanging="567"/>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tcPr>
          <w:p w14:paraId="7B750A80" w14:textId="77777777" w:rsidR="00C04CAD" w:rsidRDefault="00060E34">
            <w:pPr>
              <w:spacing w:line="240" w:lineRule="auto"/>
              <w:rPr>
                <w:b/>
                <w:bCs/>
              </w:rPr>
            </w:pPr>
            <w:r>
              <w:rPr>
                <w:b/>
              </w:rPr>
              <w:t>Nu</w:t>
            </w:r>
            <w:r>
              <w:t xml:space="preserve"> utilizați </w:t>
            </w:r>
            <w:ins w:id="60" w:author="Author">
              <w:r>
                <w:t xml:space="preserve">seringa preumplută </w:t>
              </w:r>
            </w:ins>
            <w:r>
              <w:t>dacă data expirării este depășită.</w:t>
            </w:r>
          </w:p>
        </w:tc>
      </w:tr>
      <w:tr w:rsidR="00C04CAD" w14:paraId="16F65285" w14:textId="77777777">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09975F48" w14:textId="77777777" w:rsidR="00C04CAD" w:rsidRDefault="00C04CAD">
            <w:pPr>
              <w:numPr>
                <w:ilvl w:val="0"/>
                <w:numId w:val="102"/>
              </w:numPr>
              <w:tabs>
                <w:tab w:val="clear" w:pos="567"/>
                <w:tab w:val="left" w:pos="708"/>
              </w:tabs>
              <w:spacing w:line="240" w:lineRule="auto"/>
              <w:ind w:left="567" w:hanging="567"/>
            </w:pPr>
          </w:p>
        </w:tc>
        <w:tc>
          <w:tcPr>
            <w:tcW w:w="4670" w:type="pct"/>
            <w:gridSpan w:val="3"/>
            <w:tcBorders>
              <w:top w:val="nil"/>
              <w:left w:val="nil"/>
              <w:bottom w:val="nil"/>
              <w:right w:val="single" w:sz="4" w:space="0" w:color="auto"/>
            </w:tcBorders>
            <w:tcMar>
              <w:top w:w="0" w:type="dxa"/>
              <w:left w:w="0" w:type="dxa"/>
              <w:bottom w:w="0" w:type="dxa"/>
              <w:right w:w="108" w:type="dxa"/>
            </w:tcMar>
          </w:tcPr>
          <w:p w14:paraId="0F2EF193" w14:textId="77777777" w:rsidR="00C04CAD" w:rsidRDefault="00060E34">
            <w:pPr>
              <w:spacing w:line="240" w:lineRule="auto"/>
            </w:pPr>
            <w:r>
              <w:rPr>
                <w:b/>
              </w:rPr>
              <w:t>Nu</w:t>
            </w:r>
            <w:r>
              <w:t xml:space="preserve"> utilizați seringa preumplută dacă:</w:t>
            </w:r>
          </w:p>
        </w:tc>
      </w:tr>
      <w:tr w:rsidR="00C04CAD" w14:paraId="6131D602"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2C8820D" w14:textId="77777777" w:rsidR="00C04CAD" w:rsidRDefault="00060E34">
            <w:pPr>
              <w:pStyle w:val="ListParagraph"/>
              <w:numPr>
                <w:ilvl w:val="0"/>
                <w:numId w:val="105"/>
              </w:numPr>
              <w:tabs>
                <w:tab w:val="left" w:pos="1134"/>
              </w:tabs>
              <w:spacing w:line="240" w:lineRule="auto"/>
              <w:ind w:left="1150" w:hanging="567"/>
              <w:rPr>
                <w:szCs w:val="22"/>
              </w:rPr>
            </w:pPr>
            <w:del w:id="61" w:author="Author">
              <w:r>
                <w:delText>C</w:delText>
              </w:r>
            </w:del>
            <w:ins w:id="62" w:author="Author">
              <w:r>
                <w:t>c</w:t>
              </w:r>
            </w:ins>
            <w:r>
              <w:t>apacul acului lipsește sau nu este bine atașat</w:t>
            </w:r>
            <w:r>
              <w:rPr>
                <w:szCs w:val="22"/>
              </w:rPr>
              <w:t>.</w:t>
            </w:r>
          </w:p>
        </w:tc>
      </w:tr>
      <w:tr w:rsidR="00C04CAD" w14:paraId="282811CB"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4FEBE7CA" w14:textId="77777777" w:rsidR="00C04CAD" w:rsidRDefault="00060E34">
            <w:pPr>
              <w:pStyle w:val="ListParagraph"/>
              <w:numPr>
                <w:ilvl w:val="0"/>
                <w:numId w:val="105"/>
              </w:numPr>
              <w:tabs>
                <w:tab w:val="left" w:pos="1134"/>
              </w:tabs>
              <w:spacing w:line="240" w:lineRule="auto"/>
              <w:ind w:left="1150" w:hanging="567"/>
              <w:rPr>
                <w:szCs w:val="22"/>
              </w:rPr>
            </w:pPr>
            <w:del w:id="63" w:author="Author">
              <w:r>
                <w:delText>A</w:delText>
              </w:r>
            </w:del>
            <w:ins w:id="64" w:author="Author">
              <w:r>
                <w:t>a</w:t>
              </w:r>
            </w:ins>
            <w:r>
              <w:t>re crăpături sau piese rupte</w:t>
            </w:r>
            <w:r>
              <w:rPr>
                <w:szCs w:val="22"/>
              </w:rPr>
              <w:t>.</w:t>
            </w:r>
          </w:p>
        </w:tc>
      </w:tr>
      <w:tr w:rsidR="00C04CAD" w14:paraId="2C1F6F96"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243F5152" w14:textId="77777777" w:rsidR="00C04CAD" w:rsidRDefault="00060E34">
            <w:pPr>
              <w:pStyle w:val="ListParagraph"/>
              <w:numPr>
                <w:ilvl w:val="0"/>
                <w:numId w:val="105"/>
              </w:numPr>
              <w:tabs>
                <w:tab w:val="left" w:pos="1134"/>
              </w:tabs>
              <w:spacing w:line="240" w:lineRule="auto"/>
              <w:ind w:left="1150" w:hanging="567"/>
              <w:rPr>
                <w:szCs w:val="22"/>
              </w:rPr>
            </w:pPr>
            <w:del w:id="65" w:author="Author">
              <w:r>
                <w:rPr>
                  <w:szCs w:val="22"/>
                </w:rPr>
                <w:delText>A</w:delText>
              </w:r>
            </w:del>
            <w:ins w:id="66" w:author="Author">
              <w:r>
                <w:rPr>
                  <w:szCs w:val="22"/>
                </w:rPr>
                <w:t>a</w:t>
              </w:r>
            </w:ins>
            <w:r>
              <w:rPr>
                <w:szCs w:val="22"/>
              </w:rPr>
              <w:t xml:space="preserve"> fost scăpată pe o suprafață dură.</w:t>
            </w:r>
          </w:p>
        </w:tc>
      </w:tr>
      <w:tr w:rsidR="00C04CAD" w14:paraId="5E368E80"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4D089B31" w14:textId="77777777" w:rsidR="00C04CAD" w:rsidRDefault="00060E34">
            <w:pPr>
              <w:pStyle w:val="ListParagraph"/>
              <w:tabs>
                <w:tab w:val="left" w:pos="1134"/>
              </w:tabs>
              <w:spacing w:line="240" w:lineRule="auto"/>
              <w:ind w:left="0"/>
              <w:rPr>
                <w:szCs w:val="22"/>
              </w:rPr>
            </w:pPr>
            <w:r>
              <w:rPr>
                <w:noProof/>
              </w:rPr>
              <mc:AlternateContent>
                <mc:Choice Requires="wps">
                  <w:drawing>
                    <wp:anchor distT="45720" distB="45720" distL="114300" distR="114300" simplePos="0" relativeHeight="251682816" behindDoc="0" locked="0" layoutInCell="1" allowOverlap="1" wp14:anchorId="5173C645" wp14:editId="618A29B2">
                      <wp:simplePos x="0" y="0"/>
                      <wp:positionH relativeFrom="margin">
                        <wp:posOffset>12065</wp:posOffset>
                      </wp:positionH>
                      <wp:positionV relativeFrom="paragraph">
                        <wp:posOffset>-12065</wp:posOffset>
                      </wp:positionV>
                      <wp:extent cx="5606415" cy="431800"/>
                      <wp:effectExtent l="0" t="0" r="0" b="6350"/>
                      <wp:wrapSquare wrapText="bothSides"/>
                      <wp:docPr id="19759214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1255D4E5" w14:textId="77777777" w:rsidR="00C04CAD" w:rsidRDefault="00060E34">
                                  <w:pPr>
                                    <w:tabs>
                                      <w:tab w:val="left" w:pos="1134"/>
                                    </w:tabs>
                                    <w:spacing w:line="240" w:lineRule="auto"/>
                                  </w:pPr>
                                  <w:r>
                                    <w:rPr>
                                      <w:b/>
                                      <w:bCs/>
                                    </w:rPr>
                                    <w:t>Important:</w:t>
                                  </w:r>
                                  <w:r>
                                    <w:t xml:space="preserve"> Dacă seringa preumplută </w:t>
                                  </w:r>
                                  <w:del w:id="67" w:author="Author">
                                    <w:r>
                                      <w:delText xml:space="preserve">cu medicament </w:delText>
                                    </w:r>
                                  </w:del>
                                  <w:r>
                                    <w:t>este deteriorată sau expirată, contactați-vă medicul sau furnizorul de servicii medicale.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173C645" id="Text Box 19" o:spid="_x0000_s1031" type="#_x0000_t202" style="position:absolute;margin-left:.95pt;margin-top:-.95pt;width:441.45pt;height:34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7BA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oh8BIr6&#10;1dA8kYIIhw6liaJDB/iTs4G6s+L+x06g4sx8tFSF62I2i+2cjNn83ZQMvPTUlx5hJUFVPHB2OK5D&#10;GoEkkLulam10EvKcyTFl6rqk73FCYltf2inqPMerXwA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Amc7BABwIAAA8EAAAOAAAA&#10;AAAAAAAAAAAAAC4CAABkcnMvZTJvRG9jLnhtbFBLAQItABQABgAIAAAAIQDlBld72wAAAAcBAAAP&#10;AAAAAAAAAAAAAAAAAGEEAABkcnMvZG93bnJldi54bWxQSwUGAAAAAAQABADzAAAAaQUAAAAA&#10;" strokecolor="red" strokeweight="1.5pt">
                      <v:textbox style="mso-fit-shape-to-text:t">
                        <w:txbxContent>
                          <w:p w14:paraId="1255D4E5" w14:textId="77777777" w:rsidR="00C04CAD" w:rsidRDefault="00060E34">
                            <w:pPr>
                              <w:tabs>
                                <w:tab w:val="left" w:pos="1134"/>
                              </w:tabs>
                              <w:spacing w:line="240" w:lineRule="auto"/>
                            </w:pPr>
                            <w:r>
                              <w:rPr>
                                <w:b/>
                                <w:bCs/>
                              </w:rPr>
                              <w:t>Important:</w:t>
                            </w:r>
                            <w:r>
                              <w:t xml:space="preserve"> Dacă seringa preumplută </w:t>
                            </w:r>
                            <w:del w:id="68" w:author="Author">
                              <w:r>
                                <w:delText xml:space="preserve">cu medicament </w:delText>
                              </w:r>
                            </w:del>
                            <w:r>
                              <w:t>este deteriorată sau expirată, contactați-vă medicul sau furnizorul de servicii medicale.</w:t>
                            </w:r>
                          </w:p>
                        </w:txbxContent>
                      </v:textbox>
                      <w10:wrap type="square" anchorx="margin"/>
                    </v:shape>
                  </w:pict>
                </mc:Fallback>
              </mc:AlternateContent>
            </w:r>
          </w:p>
        </w:tc>
      </w:tr>
    </w:tbl>
    <w:p w14:paraId="6E05AD52" w14:textId="77777777" w:rsidR="00C04CAD" w:rsidRDefault="00C04CAD">
      <w:pPr>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09"/>
      </w:tblGrid>
      <w:tr w:rsidR="00C04CAD" w14:paraId="0956B3A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D72769" w14:textId="77777777" w:rsidR="00C04CAD" w:rsidRDefault="00060E34">
            <w:pPr>
              <w:keepNext/>
              <w:spacing w:line="240" w:lineRule="auto"/>
              <w:rPr>
                <w:b/>
                <w:bCs/>
              </w:rPr>
            </w:pPr>
            <w:r>
              <w:rPr>
                <w:b/>
                <w:bCs/>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B0FD477" w14:textId="77777777" w:rsidR="00C04CAD" w:rsidRDefault="00060E34">
            <w:pPr>
              <w:pStyle w:val="ListParagraph"/>
              <w:keepNext/>
              <w:spacing w:line="240" w:lineRule="auto"/>
              <w:ind w:left="567" w:hanging="567"/>
            </w:pPr>
            <w:r>
              <w:rPr>
                <w:b/>
              </w:rPr>
              <w:t xml:space="preserve">Injectați în </w:t>
            </w:r>
            <w:del w:id="68" w:author="Author">
              <w:r>
                <w:rPr>
                  <w:b/>
                </w:rPr>
                <w:delText xml:space="preserve">una </w:delText>
              </w:r>
            </w:del>
            <w:ins w:id="69" w:author="Author">
              <w:r>
                <w:rPr>
                  <w:b/>
                </w:rPr>
                <w:t xml:space="preserve">1 </w:t>
              </w:r>
            </w:ins>
            <w:r>
              <w:rPr>
                <w:b/>
              </w:rPr>
              <w:t xml:space="preserve">dintre aceste </w:t>
            </w:r>
            <w:del w:id="70" w:author="Author">
              <w:r>
                <w:rPr>
                  <w:b/>
                </w:rPr>
                <w:delText>locații</w:delText>
              </w:r>
            </w:del>
            <w:ins w:id="71" w:author="Author">
              <w:r>
                <w:rPr>
                  <w:b/>
                </w:rPr>
                <w:t>locuri</w:t>
              </w:r>
            </w:ins>
            <w:r>
              <w:rPr>
                <w:b/>
                <w:bCs/>
              </w:rPr>
              <w:t>.</w:t>
            </w:r>
          </w:p>
        </w:tc>
      </w:tr>
      <w:tr w:rsidR="00C04CAD" w14:paraId="13BCBF2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378A2D" w14:textId="77777777" w:rsidR="00C04CAD" w:rsidRDefault="00060E34">
            <w:pPr>
              <w:pStyle w:val="ListParagraph"/>
              <w:keepNext/>
              <w:spacing w:line="240" w:lineRule="auto"/>
              <w:ind w:left="567" w:hanging="567"/>
              <w:jc w:val="center"/>
            </w:pPr>
            <w:del w:id="72" w:author="Author">
              <w:r>
                <w:rPr>
                  <w:noProof/>
                </w:rPr>
                <w:drawing>
                  <wp:anchor distT="0" distB="0" distL="114300" distR="114300" simplePos="0" relativeHeight="251663360" behindDoc="0" locked="0" layoutInCell="1" allowOverlap="1" wp14:anchorId="0C6E6955" wp14:editId="3AE4A661">
                    <wp:simplePos x="0" y="0"/>
                    <wp:positionH relativeFrom="column">
                      <wp:posOffset>1889125</wp:posOffset>
                    </wp:positionH>
                    <wp:positionV relativeFrom="paragraph">
                      <wp:posOffset>-1792605</wp:posOffset>
                    </wp:positionV>
                    <wp:extent cx="1866900" cy="1958340"/>
                    <wp:effectExtent l="0" t="0" r="0" b="0"/>
                    <wp:wrapTopAndBottom/>
                    <wp:docPr id="294951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5170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866900" cy="1958340"/>
                            </a:xfrm>
                            <a:prstGeom prst="rect">
                              <a:avLst/>
                            </a:prstGeom>
                            <a:noFill/>
                          </pic:spPr>
                        </pic:pic>
                      </a:graphicData>
                    </a:graphic>
                  </wp:anchor>
                </w:drawing>
              </w:r>
            </w:del>
            <w:ins w:id="73" w:author="Author">
              <w:r>
                <w:rPr>
                  <w:noProof/>
                </w:rPr>
                <w:drawing>
                  <wp:inline distT="0" distB="0" distL="0" distR="0" wp14:anchorId="5A2A3354" wp14:editId="21119743">
                    <wp:extent cx="1381760" cy="1828800"/>
                    <wp:effectExtent l="0" t="0" r="0" b="0"/>
                    <wp:docPr id="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381760" cy="1828800"/>
                            </a:xfrm>
                            <a:prstGeom prst="rect">
                              <a:avLst/>
                            </a:prstGeom>
                            <a:noFill/>
                            <a:ln>
                              <a:noFill/>
                            </a:ln>
                          </pic:spPr>
                        </pic:pic>
                      </a:graphicData>
                    </a:graphic>
                  </wp:inline>
                </w:drawing>
              </w:r>
            </w:ins>
          </w:p>
        </w:tc>
      </w:tr>
      <w:tr w:rsidR="00C04CAD" w14:paraId="398F0BE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AFD4C93"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26F7958" w14:textId="77777777" w:rsidR="00C04CAD" w:rsidRDefault="00060E34">
            <w:pPr>
              <w:keepNext/>
              <w:tabs>
                <w:tab w:val="left" w:pos="1134"/>
              </w:tabs>
              <w:spacing w:line="240" w:lineRule="auto"/>
              <w:rPr>
                <w:b/>
                <w:bCs/>
              </w:rPr>
            </w:pPr>
            <w:r>
              <w:t xml:space="preserve">Injectaţi în </w:t>
            </w:r>
            <w:ins w:id="74" w:author="Author">
              <w:r>
                <w:t xml:space="preserve">partea din față a </w:t>
              </w:r>
            </w:ins>
            <w:r>
              <w:t>coaps</w:t>
            </w:r>
            <w:del w:id="75" w:author="Author">
              <w:r>
                <w:delText>ă</w:delText>
              </w:r>
            </w:del>
            <w:ins w:id="76" w:author="Author">
              <w:r>
                <w:t>ei</w:t>
              </w:r>
            </w:ins>
            <w:r>
              <w:t xml:space="preserve"> sau în burtă (exceptând suprafața cu o rază de 5 </w:t>
            </w:r>
            <w:del w:id="77" w:author="Author">
              <w:r>
                <w:delText xml:space="preserve">cm </w:delText>
              </w:r>
            </w:del>
            <w:ins w:id="78" w:author="Author">
              <w:r>
                <w:t xml:space="preserve">centimetri </w:t>
              </w:r>
            </w:ins>
            <w:r>
              <w:t>din jurul buricului).</w:t>
            </w:r>
          </w:p>
        </w:tc>
      </w:tr>
      <w:tr w:rsidR="00C04CAD" w14:paraId="035E94E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FC92664"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22D29303" w14:textId="77777777" w:rsidR="00C04CAD" w:rsidRDefault="00060E34">
            <w:pPr>
              <w:keepNext/>
              <w:tabs>
                <w:tab w:val="left" w:pos="1134"/>
              </w:tabs>
              <w:spacing w:line="240" w:lineRule="auto"/>
            </w:pPr>
            <w:r>
              <w:t>Alegeţi câte un loc diferit pentru fiecare injecţie</w:t>
            </w:r>
          </w:p>
        </w:tc>
      </w:tr>
      <w:tr w:rsidR="00C04CAD" w14:paraId="0358FB4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E8378AC"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4B94A01" w14:textId="77777777" w:rsidR="00C04CAD" w:rsidRDefault="00060E34">
            <w:pPr>
              <w:keepNext/>
              <w:tabs>
                <w:tab w:val="left" w:pos="1134"/>
              </w:tabs>
              <w:spacing w:line="240" w:lineRule="auto"/>
            </w:pPr>
            <w:r>
              <w:t>Spălați-vă mâinile foarte bine cu apă și săpun.</w:t>
            </w:r>
          </w:p>
        </w:tc>
      </w:tr>
      <w:tr w:rsidR="00C04CAD" w14:paraId="65E80E5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7ADAB64"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2C94DCD1" w14:textId="77777777" w:rsidR="00C04CAD" w:rsidRDefault="00060E34">
            <w:pPr>
              <w:keepNext/>
              <w:spacing w:line="240" w:lineRule="auto"/>
            </w:pPr>
            <w:r>
              <w:t>Curăţaţi locul de injectare cu un şerveţel cu alcool.</w:t>
            </w:r>
          </w:p>
        </w:tc>
      </w:tr>
      <w:tr w:rsidR="00C04CAD" w14:paraId="4D4358E1"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127A5C2C"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B2ECB8A" w14:textId="77777777" w:rsidR="00C04CAD" w:rsidRDefault="00060E34">
            <w:pPr>
              <w:tabs>
                <w:tab w:val="left" w:pos="1134"/>
              </w:tabs>
              <w:spacing w:line="240" w:lineRule="auto"/>
            </w:pPr>
            <w:r>
              <w:t>Lăsați pielea să se usuce singură.</w:t>
            </w:r>
          </w:p>
        </w:tc>
      </w:tr>
      <w:tr w:rsidR="00C04CAD" w14:paraId="03F6DAB6"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2BB5915F"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F96B6FC" w14:textId="77777777" w:rsidR="00C04CAD" w:rsidRDefault="00060E34">
            <w:pPr>
              <w:tabs>
                <w:tab w:val="left" w:pos="1134"/>
              </w:tabs>
              <w:spacing w:line="240" w:lineRule="auto"/>
            </w:pPr>
            <w:r>
              <w:rPr>
                <w:b/>
              </w:rPr>
              <w:t>Nu</w:t>
            </w:r>
            <w:r>
              <w:t xml:space="preserve"> atingeţi din nou această zonă înainte de injectare.</w:t>
            </w:r>
          </w:p>
        </w:tc>
      </w:tr>
      <w:tr w:rsidR="00C04CAD" w14:paraId="67BE8AC5"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03120A8" w14:textId="77777777" w:rsidR="00C04CAD" w:rsidRDefault="00060E34">
            <w:pPr>
              <w:tabs>
                <w:tab w:val="left" w:pos="1134"/>
              </w:tabs>
              <w:spacing w:line="240" w:lineRule="auto"/>
              <w:rPr>
                <w:b/>
                <w:bCs/>
              </w:rPr>
            </w:pPr>
            <w:r>
              <w:rPr>
                <w:noProof/>
              </w:rPr>
              <mc:AlternateContent>
                <mc:Choice Requires="wps">
                  <w:drawing>
                    <wp:anchor distT="45720" distB="45720" distL="114300" distR="114300" simplePos="0" relativeHeight="251681792" behindDoc="0" locked="0" layoutInCell="1" allowOverlap="1" wp14:anchorId="3C22AB51" wp14:editId="19131B71">
                      <wp:simplePos x="0" y="0"/>
                      <wp:positionH relativeFrom="margin">
                        <wp:posOffset>16510</wp:posOffset>
                      </wp:positionH>
                      <wp:positionV relativeFrom="paragraph">
                        <wp:posOffset>53975</wp:posOffset>
                      </wp:positionV>
                      <wp:extent cx="5605780" cy="431800"/>
                      <wp:effectExtent l="0" t="0" r="0" b="6350"/>
                      <wp:wrapSquare wrapText="bothSides"/>
                      <wp:docPr id="181797931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64921B9A"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C22AB51" id="Text Box 18" o:spid="_x0000_s1032" type="#_x0000_t202" style="position:absolute;margin-left:1.3pt;margin-top:4.25pt;width:441.4pt;height:34pt;z-index:251681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HsBwIAAA8EAAAOAAAAZHJzL2Uyb0RvYy54bWysU9uO2jAQfa/Uf7D8XhIosGxEWG1ZUVXa&#10;XqRtP8BxHGLV8bhjQ0K/vmPDAtpWfajqB8vjGR/POTOzvBs6w/YKvQZb8vEo50xZCbW225J/+7p5&#10;s+DMB2FrYcCqkh+U53er16+WvSvUBFowtUJGINYXvSt5G4IrsszLVnXCj8ApS84GsBOBTNxmNYqe&#10;0DuTTfJ8nvWAtUOQynu6fTg6+SrhN42S4XPTeBWYKTnlFtKOaa/inq2WotiicK2WpzTEP2TRCW3p&#10;0zPUgwiC7VD/BtVpieChCSMJXQZNo6VKHIjNOH/B5qkVTiUuJI53Z5n8/4OVn/ZP7guyMLyDgQqY&#10;SHj3CPK7ZxbWrbBbdY8IfatETR+Po2RZ73xxehql9oWPIFX/EWoqstgFSEBDg11UhXgyQqcCHM6i&#10;qyEwSZezeT67WZBLkm/6drzIU1UyUTy/dujDewUdi4eSIxU1oYv9ow8xG1E8h8TPPBhdb7QxycBt&#10;tTbI9oIaYJNWIvAizFjWE7fbfJYfFfgLRk7rTxidDtTKRnclJw6XIGNPgkWNjmqFoRqYrks+j0BR&#10;vwrqAymIcOxQmig6tIA/OeupO0vuf+wEKs7MB0tVuB1Pp7GdkzGd3UzIwGtPde0RVhJUyQNnx+M6&#10;pBFIArl7qtZGJyEvmZxSpq5L+p4mJLb1tZ2iLnO8+gU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LODHsBwIAAA8EAAAOAAAA&#10;AAAAAAAAAAAAAC4CAABkcnMvZTJvRG9jLnhtbFBLAQItABQABgAIAAAAIQDPxoMQ2wAAAAYBAAAP&#10;AAAAAAAAAAAAAAAAAGEEAABkcnMvZG93bnJldi54bWxQSwUGAAAAAAQABADzAAAAaQUAAAAA&#10;" strokecolor="red" strokeweight="1.5pt">
                      <v:textbox style="mso-fit-shape-to-text:t">
                        <w:txbxContent>
                          <w:p w14:paraId="64921B9A"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v:textbox>
                      <w10:wrap type="square" anchorx="margin"/>
                    </v:shape>
                  </w:pict>
                </mc:Fallback>
              </mc:AlternateContent>
            </w:r>
          </w:p>
        </w:tc>
      </w:tr>
    </w:tbl>
    <w:p w14:paraId="13DE9B2F" w14:textId="77777777" w:rsidR="00C04CAD" w:rsidRDefault="00C04CAD">
      <w:pPr>
        <w:tabs>
          <w:tab w:val="left" w:pos="1134"/>
        </w:tabs>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10"/>
      </w:tblGrid>
      <w:tr w:rsidR="00C04CAD" w14:paraId="05E2C86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DF417F7" w14:textId="77777777" w:rsidR="00C04CAD" w:rsidRDefault="00060E34">
            <w:pPr>
              <w:keepNext/>
              <w:spacing w:line="240" w:lineRule="auto"/>
              <w:rPr>
                <w:b/>
                <w:bCs/>
              </w:rPr>
            </w:pPr>
            <w:r>
              <w:rPr>
                <w:b/>
                <w:bCs/>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84839EA" w14:textId="77777777" w:rsidR="00C04CAD" w:rsidRDefault="00060E34">
            <w:pPr>
              <w:pStyle w:val="ListParagraph"/>
              <w:spacing w:line="240" w:lineRule="auto"/>
              <w:ind w:left="567" w:hanging="567"/>
            </w:pPr>
            <w:r>
              <w:rPr>
                <w:b/>
              </w:rPr>
              <w:t>Injectarea</w:t>
            </w:r>
            <w:r>
              <w:rPr>
                <w:b/>
                <w:bCs/>
                <w:szCs w:val="22"/>
              </w:rPr>
              <w:t xml:space="preserve"> AMGEVITA</w:t>
            </w:r>
          </w:p>
        </w:tc>
      </w:tr>
      <w:tr w:rsidR="00C04CAD" w14:paraId="4F7C0A1A"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2E3389" w14:textId="77777777" w:rsidR="00C04CAD" w:rsidRDefault="00060E34">
            <w:pPr>
              <w:pStyle w:val="ListParagraph"/>
              <w:spacing w:line="240" w:lineRule="auto"/>
              <w:ind w:left="0"/>
            </w:pPr>
            <w:r>
              <w:rPr>
                <w:noProof/>
              </w:rPr>
              <mc:AlternateContent>
                <mc:Choice Requires="wps">
                  <w:drawing>
                    <wp:anchor distT="45720" distB="45720" distL="114300" distR="114300" simplePos="0" relativeHeight="251675648" behindDoc="0" locked="0" layoutInCell="1" allowOverlap="1" wp14:anchorId="0D108FCD" wp14:editId="4F696577">
                      <wp:simplePos x="0" y="0"/>
                      <wp:positionH relativeFrom="margin">
                        <wp:posOffset>-2540</wp:posOffset>
                      </wp:positionH>
                      <wp:positionV relativeFrom="paragraph">
                        <wp:posOffset>38735</wp:posOffset>
                      </wp:positionV>
                      <wp:extent cx="5606415" cy="431800"/>
                      <wp:effectExtent l="0" t="0" r="0" b="6350"/>
                      <wp:wrapSquare wrapText="bothSides"/>
                      <wp:docPr id="6457483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48E0B31B" w14:textId="77777777" w:rsidR="00C04CAD" w:rsidRDefault="00060E34">
                                  <w:pPr>
                                    <w:tabs>
                                      <w:tab w:val="left" w:pos="1134"/>
                                    </w:tabs>
                                    <w:spacing w:line="240" w:lineRule="auto"/>
                                  </w:pPr>
                                  <w:r>
                                    <w:rPr>
                                      <w:b/>
                                      <w:bCs/>
                                    </w:rPr>
                                    <w:t>Important:</w:t>
                                  </w:r>
                                  <w:r>
                                    <w:t xml:space="preserve"> </w:t>
                                  </w:r>
                                  <w:r w:rsidRPr="001C668B">
                                    <w:rPr>
                                      <w:rPrChange w:id="79" w:author="Author">
                                        <w:rPr>
                                          <w:b/>
                                          <w:bCs/>
                                        </w:rPr>
                                      </w:rPrChange>
                                    </w:rPr>
                                    <w:t>Scoateți capacul acului numai atunci când vă puteți injecta imediat (în decurs de 5 minute), deoarece medicamentul se poate usca</w:t>
                                  </w:r>
                                  <w:r>
                                    <w:t>.</w:t>
                                  </w:r>
                                  <w:ins w:id="80" w:author="Author">
                                    <w:r>
                                      <w:t xml:space="preserve"> </w:t>
                                    </w:r>
                                    <w:r w:rsidRPr="001C668B">
                                      <w:rPr>
                                        <w:rPrChange w:id="81" w:author="Author">
                                          <w:rPr>
                                            <w:b/>
                                            <w:bCs/>
                                          </w:rPr>
                                        </w:rPrChange>
                                      </w:rPr>
                                      <w:t>Nu puneți capacul la loc.</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D108FCD" id="Text Box 17" o:spid="_x0000_s1033" type="#_x0000_t202" style="position:absolute;margin-left:-.2pt;margin-top:3.05pt;width:441.45pt;height:34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hx3CAIAAA8EAAAOAAAAZHJzL2Uyb0RvYy54bWysU9tu2zAMfR+wfxD0vtjOkrQ14hRdigwD&#10;ugvQ7QNkWY6FyaJGKbG7rx+lpEnQDXsYpgdBFKkjnkNyeTv2hu0Veg224sUk50xZCY2224p/+7p5&#10;c82ZD8I2woBVFX9Snt+uXr9aDq5UU+jANAoZgVhfDq7iXQiuzDIvO9ULPwGnLDlbwF4EMnGbNSgG&#10;Qu9NNs3zRTYANg5BKu/p9v7g5KuE37ZKhs9t61VgpuKUW0g7pr2Oe7ZainKLwnVaHtMQ/5BFL7Sl&#10;T09Q9yIItkP9G1SvJYKHNkwk9Bm0rZYqcSA2Rf6CzWMnnEpcSBzvTjL5/wcrP+0f3RdkYXwHIxUw&#10;kfDuAeR3zyysO2G36g4Rhk6Jhj4uomTZ4Hx5fBql9qWPIPXwERoqstgFSEBji31UhXgyQqcCPJ1E&#10;V2Ngki7ni3wxK+acSfLN3hbXeapKJsrn1w59eK+gZ/FQcaSiJnSxf/AhZiPK55D4mQejm402Jhm4&#10;rdcG2V5QA2zSSgRehBnLBuJ2k8/zgwJ/wchp/Qmj14Fa2ei+4sThHGTsUbCo0UGtMNYj003FryJQ&#10;1K+G5okURDh0KE0UHTrAn5wN1J0V9z92AhVn5oOlKtwUs1ls52TM5ldTMvDSU196hJUEVfHA2eG4&#10;DmkEkkDujqq10UnIcybHlKnrkr7HCYltfWmnqPMcr34BAAD//wMAUEsDBBQABgAIAAAAIQDw00sU&#10;3AAAAAYBAAAPAAAAZHJzL2Rvd25yZXYueG1sTI5RS8MwFIXfhf2HcAe+bWlHraU2HSIMwTc72V7v&#10;kqwtJje1ydr6741P+ng4h+981X6xhk169L0jAek2AaZJOtVTK+DjeNgUwHxAUmgcaQHf2sO+Xt1V&#10;WCo307uemtCyCCFfooAuhKHk3MtOW/RbN2iK3dWNFkOMY8vViHOEW8N3SZJziz3Fhw4H/dJp+dnc&#10;rIBDjtfh/JoZOb01X/J0mvvzsRXifr08PwELegl/Y/jVj+pQR6eLu5HyzAjYZHEoIE+BxbYodg/A&#10;LgIesxR4XfH/+vUPAAAA//8DAFBLAQItABQABgAIAAAAIQC2gziS/gAAAOEBAAATAAAAAAAAAAAA&#10;AAAAAAAAAABbQ29udGVudF9UeXBlc10ueG1sUEsBAi0AFAAGAAgAAAAhADj9If/WAAAAlAEAAAsA&#10;AAAAAAAAAAAAAAAALwEAAF9yZWxzLy5yZWxzUEsBAi0AFAAGAAgAAAAhAMMaHHcIAgAADwQAAA4A&#10;AAAAAAAAAAAAAAAALgIAAGRycy9lMm9Eb2MueG1sUEsBAi0AFAAGAAgAAAAhAPDTSxTcAAAABgEA&#10;AA8AAAAAAAAAAAAAAAAAYgQAAGRycy9kb3ducmV2LnhtbFBLBQYAAAAABAAEAPMAAABrBQAAAAA=&#10;" strokecolor="red" strokeweight="1.5pt">
                      <v:textbox style="mso-fit-shape-to-text:t">
                        <w:txbxContent>
                          <w:p w14:paraId="48E0B31B" w14:textId="77777777" w:rsidR="00C04CAD" w:rsidRDefault="00060E34">
                            <w:pPr>
                              <w:tabs>
                                <w:tab w:val="left" w:pos="1134"/>
                              </w:tabs>
                              <w:spacing w:line="240" w:lineRule="auto"/>
                            </w:pPr>
                            <w:r>
                              <w:rPr>
                                <w:b/>
                                <w:bCs/>
                              </w:rPr>
                              <w:t>Important:</w:t>
                            </w:r>
                            <w:r>
                              <w:t xml:space="preserve"> </w:t>
                            </w:r>
                            <w:r w:rsidRPr="001C668B">
                              <w:rPr>
                                <w:rPrChange w:id="83" w:author="Author">
                                  <w:rPr>
                                    <w:b/>
                                    <w:bCs/>
                                  </w:rPr>
                                </w:rPrChange>
                              </w:rPr>
                              <w:t>Scoateți capacul acului numai atunci când vă puteți injecta imediat (în decurs de 5 minute), deoarece medicamentul se poate usca</w:t>
                            </w:r>
                            <w:r>
                              <w:t>.</w:t>
                            </w:r>
                            <w:ins w:id="84" w:author="Author">
                              <w:r>
                                <w:t xml:space="preserve"> </w:t>
                              </w:r>
                              <w:r w:rsidRPr="001C668B">
                                <w:rPr>
                                  <w:rPrChange w:id="85" w:author="Author">
                                    <w:rPr>
                                      <w:b/>
                                      <w:bCs/>
                                    </w:rPr>
                                  </w:rPrChange>
                                </w:rPr>
                                <w:t>Nu puneți capacul la loc.</w:t>
                              </w:r>
                            </w:ins>
                          </w:p>
                        </w:txbxContent>
                      </v:textbox>
                      <w10:wrap type="square" anchorx="margin"/>
                    </v:shape>
                  </w:pict>
                </mc:Fallback>
              </mc:AlternateContent>
            </w:r>
          </w:p>
        </w:tc>
      </w:tr>
      <w:tr w:rsidR="00C04CAD" w14:paraId="7C26B148"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9C6088" w14:textId="77777777" w:rsidR="00C04CAD" w:rsidRDefault="00060E34">
            <w:pPr>
              <w:keepNext/>
              <w:spacing w:line="240" w:lineRule="auto"/>
              <w:rPr>
                <w:b/>
                <w:bCs/>
              </w:rPr>
            </w:pPr>
            <w:r>
              <w:rPr>
                <w:b/>
                <w:bCs/>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30407C" w14:textId="77777777" w:rsidR="00C04CAD" w:rsidRDefault="00060E34">
            <w:pPr>
              <w:pStyle w:val="ListParagraph"/>
              <w:spacing w:line="240" w:lineRule="auto"/>
              <w:ind w:left="567" w:hanging="567"/>
              <w:rPr>
                <w:szCs w:val="22"/>
              </w:rPr>
            </w:pPr>
            <w:r>
              <w:rPr>
                <w:b/>
                <w:szCs w:val="22"/>
              </w:rPr>
              <w:t>Scoateți capacul acului trăgându-l drept în timp ce țineți cilindrul seringii preumplute</w:t>
            </w:r>
            <w:r>
              <w:rPr>
                <w:b/>
                <w:bCs/>
                <w:szCs w:val="22"/>
              </w:rPr>
              <w:t>.</w:t>
            </w:r>
          </w:p>
        </w:tc>
      </w:tr>
      <w:tr w:rsidR="00C04CAD" w14:paraId="127BB0C2"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6C07FF" w14:textId="77777777" w:rsidR="00C04CAD" w:rsidRDefault="00060E34">
            <w:pPr>
              <w:pStyle w:val="ListParagraph"/>
              <w:spacing w:line="240" w:lineRule="auto"/>
              <w:ind w:left="567" w:hanging="567"/>
              <w:jc w:val="center"/>
              <w:rPr>
                <w:b/>
                <w:bCs/>
              </w:rPr>
            </w:pPr>
            <w:r>
              <w:rPr>
                <w:noProof/>
              </w:rPr>
              <w:drawing>
                <wp:anchor distT="0" distB="0" distL="114300" distR="114300" simplePos="0" relativeHeight="251664384" behindDoc="0" locked="0" layoutInCell="1" allowOverlap="1" wp14:anchorId="196676B3" wp14:editId="0AE47D28">
                  <wp:simplePos x="0" y="0"/>
                  <wp:positionH relativeFrom="column">
                    <wp:posOffset>1214755</wp:posOffset>
                  </wp:positionH>
                  <wp:positionV relativeFrom="paragraph">
                    <wp:posOffset>635</wp:posOffset>
                  </wp:positionV>
                  <wp:extent cx="3204210" cy="1501140"/>
                  <wp:effectExtent l="0" t="0" r="0" b="0"/>
                  <wp:wrapSquare wrapText="bothSides"/>
                  <wp:docPr id="31555517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55174"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204210" cy="1501140"/>
                          </a:xfrm>
                          <a:prstGeom prst="rect">
                            <a:avLst/>
                          </a:prstGeom>
                          <a:noFill/>
                        </pic:spPr>
                      </pic:pic>
                    </a:graphicData>
                  </a:graphic>
                </wp:anchor>
              </w:drawing>
            </w:r>
          </w:p>
        </w:tc>
      </w:tr>
      <w:tr w:rsidR="00C04CAD" w14:paraId="388BF87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E38C457"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52D10A7B" w14:textId="77777777" w:rsidR="00C04CAD" w:rsidRDefault="00060E34">
            <w:pPr>
              <w:tabs>
                <w:tab w:val="left" w:pos="1134"/>
              </w:tabs>
              <w:spacing w:line="240" w:lineRule="auto"/>
              <w:rPr>
                <w:b/>
                <w:bCs/>
              </w:rPr>
            </w:pPr>
            <w:r>
              <w:rPr>
                <w:b/>
              </w:rPr>
              <w:t>Nu</w:t>
            </w:r>
            <w:r>
              <w:t xml:space="preserve"> răsuciți și nu îndoiți capacul acului.</w:t>
            </w:r>
          </w:p>
        </w:tc>
      </w:tr>
      <w:tr w:rsidR="00C04CAD" w14:paraId="3A05C60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CC7904B"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3EF78DC0" w14:textId="77777777" w:rsidR="00C04CAD" w:rsidRDefault="00060E34">
            <w:pPr>
              <w:tabs>
                <w:tab w:val="left" w:pos="1134"/>
              </w:tabs>
              <w:spacing w:line="240" w:lineRule="auto"/>
            </w:pPr>
            <w:r>
              <w:t xml:space="preserve">Nu puneți </w:t>
            </w:r>
            <w:r>
              <w:rPr>
                <w:b/>
              </w:rPr>
              <w:t>niciodată</w:t>
            </w:r>
            <w:r>
              <w:t xml:space="preserve"> capacul acului înapoi. Acesta poate deteriora acul.</w:t>
            </w:r>
          </w:p>
        </w:tc>
      </w:tr>
      <w:tr w:rsidR="00C04CAD" w14:paraId="7007BC4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A8A0A9B"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CC5818C" w14:textId="77777777" w:rsidR="00C04CAD" w:rsidRDefault="00060E34">
            <w:pPr>
              <w:tabs>
                <w:tab w:val="left" w:pos="1134"/>
              </w:tabs>
              <w:spacing w:line="240" w:lineRule="auto"/>
            </w:pPr>
            <w:r>
              <w:rPr>
                <w:b/>
              </w:rPr>
              <w:t>Nu</w:t>
            </w:r>
            <w:r>
              <w:t xml:space="preserve"> lăsați nimic să atingă acul</w:t>
            </w:r>
            <w:del w:id="82" w:author="Author">
              <w:r>
                <w:delText>,</w:delText>
              </w:r>
            </w:del>
            <w:r>
              <w:t xml:space="preserve"> după ce</w:t>
            </w:r>
            <w:ins w:id="83" w:author="Author">
              <w:r>
                <w:t xml:space="preserve"> aţi scos</w:t>
              </w:r>
            </w:ins>
            <w:r>
              <w:t xml:space="preserve"> capacul acului</w:t>
            </w:r>
            <w:del w:id="84" w:author="Author">
              <w:r>
                <w:delText xml:space="preserve"> este scos</w:delText>
              </w:r>
            </w:del>
            <w:r>
              <w:t>.</w:t>
            </w:r>
          </w:p>
        </w:tc>
      </w:tr>
      <w:tr w:rsidR="00C04CAD" w14:paraId="34BB98A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3CE3F76"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A658C13" w14:textId="77777777" w:rsidR="00C04CAD" w:rsidRDefault="00060E34">
            <w:pPr>
              <w:tabs>
                <w:tab w:val="left" w:pos="1134"/>
              </w:tabs>
              <w:spacing w:line="240" w:lineRule="auto"/>
            </w:pPr>
            <w:r>
              <w:rPr>
                <w:b/>
              </w:rPr>
              <w:t>Nu</w:t>
            </w:r>
            <w:r>
              <w:t xml:space="preserve"> aşezaţi seringa preumplută fără capac pe nicio suprafaţă, după ce </w:t>
            </w:r>
            <w:ins w:id="85" w:author="Author">
              <w:r>
                <w:t xml:space="preserve">aţi scos </w:t>
              </w:r>
            </w:ins>
            <w:r>
              <w:t>capacul acului</w:t>
            </w:r>
            <w:del w:id="86" w:author="Author">
              <w:r>
                <w:delText xml:space="preserve"> este scos</w:delText>
              </w:r>
            </w:del>
            <w:r>
              <w:t>.</w:t>
            </w:r>
          </w:p>
        </w:tc>
      </w:tr>
      <w:tr w:rsidR="00C04CAD" w14:paraId="274ED014"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1BDB4FA0"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78A7F9F" w14:textId="77777777" w:rsidR="00C04CAD" w:rsidRDefault="00060E34">
            <w:pPr>
              <w:tabs>
                <w:tab w:val="left" w:pos="1134"/>
              </w:tabs>
              <w:spacing w:line="240" w:lineRule="auto"/>
            </w:pPr>
            <w:r>
              <w:t xml:space="preserve">Nu încercaţi să împingeţi bulele de aer afară din seringa preumplută. Este în regulă dacă vedeți bule de aer </w:t>
            </w:r>
          </w:p>
        </w:tc>
      </w:tr>
      <w:tr w:rsidR="00C04CAD" w14:paraId="3D876D30"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15915686"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3B1228F" w14:textId="77777777" w:rsidR="00C04CAD" w:rsidRDefault="00060E34">
            <w:pPr>
              <w:tabs>
                <w:tab w:val="left" w:pos="1134"/>
              </w:tabs>
              <w:spacing w:line="240" w:lineRule="auto"/>
            </w:pPr>
            <w:ins w:id="87" w:author="Author">
              <w:r>
                <w:t>Este normal să vedeți o picătură de medicament care iese din ac.</w:t>
              </w:r>
            </w:ins>
            <w:del w:id="88" w:author="Author">
              <w:r>
                <w:delText>Prezența unei picături de medicament este normală.</w:delText>
              </w:r>
            </w:del>
          </w:p>
        </w:tc>
      </w:tr>
    </w:tbl>
    <w:p w14:paraId="0F74AED8" w14:textId="77777777" w:rsidR="00C04CAD" w:rsidRDefault="00C04CAD">
      <w:pPr>
        <w:tabs>
          <w:tab w:val="left" w:pos="1134"/>
        </w:tabs>
        <w:spacing w:line="240" w:lineRule="auto"/>
      </w:pPr>
    </w:p>
    <w:tbl>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89"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345"/>
        <w:gridCol w:w="3995"/>
        <w:gridCol w:w="4650"/>
        <w:tblGridChange w:id="90">
          <w:tblGrid>
            <w:gridCol w:w="54"/>
            <w:gridCol w:w="286"/>
            <w:gridCol w:w="5"/>
            <w:gridCol w:w="346"/>
            <w:gridCol w:w="3805"/>
            <w:gridCol w:w="4494"/>
            <w:gridCol w:w="65"/>
          </w:tblGrid>
        </w:tblGridChange>
      </w:tblGrid>
      <w:tr w:rsidR="00C04CAD" w14:paraId="4F591594" w14:textId="77777777" w:rsidTr="001C668B">
        <w:trPr>
          <w:cantSplit/>
          <w:trHeight w:val="57"/>
          <w:trPrChange w:id="91" w:author="Author">
            <w:trPr>
              <w:gridAfter w:val="0"/>
              <w:cantSplit/>
              <w:trHeight w:val="57"/>
            </w:trPr>
          </w:trPrChange>
        </w:trPr>
        <w:tc>
          <w:tcPr>
            <w:tcW w:w="19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92"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A64573C" w14:textId="77777777" w:rsidR="00C04CAD" w:rsidRDefault="00060E34">
            <w:pPr>
              <w:keepNext/>
              <w:spacing w:line="240" w:lineRule="auto"/>
              <w:rPr>
                <w:b/>
                <w:bCs/>
              </w:rPr>
            </w:pPr>
            <w:r>
              <w:rPr>
                <w:b/>
                <w:bCs/>
              </w:rPr>
              <w:t>4b</w:t>
            </w:r>
          </w:p>
        </w:tc>
        <w:tc>
          <w:tcPr>
            <w:tcW w:w="481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93" w:author="Author">
              <w:tcPr>
                <w:tcW w:w="4646"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6734634" w14:textId="77777777" w:rsidR="00C04CAD" w:rsidRDefault="00060E34">
            <w:pPr>
              <w:pStyle w:val="ListParagraph"/>
              <w:keepNext/>
              <w:spacing w:line="240" w:lineRule="auto"/>
              <w:ind w:left="567" w:hanging="567"/>
            </w:pPr>
            <w:r>
              <w:rPr>
                <w:b/>
              </w:rPr>
              <w:t>Ciupiți pielea din jurul locului de injectare, înainte de injectare</w:t>
            </w:r>
            <w:r>
              <w:rPr>
                <w:b/>
                <w:bCs/>
                <w:szCs w:val="22"/>
              </w:rPr>
              <w:t>.</w:t>
            </w:r>
          </w:p>
        </w:tc>
      </w:tr>
      <w:tr w:rsidR="00C04CAD" w14:paraId="6491088B" w14:textId="77777777" w:rsidTr="001C668B">
        <w:trPr>
          <w:cantSplit/>
          <w:trHeight w:val="57"/>
          <w:del w:id="94" w:author="Author"/>
          <w:trPrChange w:id="95" w:author="Author">
            <w:trPr>
              <w:gridAfter w:val="0"/>
              <w:cantSplit/>
              <w:trHeight w:val="57"/>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96" w:author="Author">
              <w:tcPr>
                <w:tcW w:w="5000"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79D9CB1" w14:textId="77777777" w:rsidR="00C04CAD" w:rsidRDefault="00060E34">
            <w:pPr>
              <w:keepNext/>
              <w:tabs>
                <w:tab w:val="left" w:pos="1134"/>
              </w:tabs>
              <w:spacing w:line="240" w:lineRule="auto"/>
              <w:jc w:val="center"/>
              <w:rPr>
                <w:del w:id="97" w:author="Author"/>
              </w:rPr>
            </w:pPr>
            <w:del w:id="98" w:author="Author">
              <w:r>
                <w:rPr>
                  <w:b/>
                  <w:bCs/>
                </w:rPr>
                <w:delText>CIUPIȚI</w:delText>
              </w:r>
            </w:del>
          </w:p>
        </w:tc>
      </w:tr>
      <w:tr w:rsidR="00C04CAD" w14:paraId="4EF95260" w14:textId="77777777" w:rsidTr="001C668B">
        <w:trPr>
          <w:cantSplit/>
          <w:trHeight w:val="57"/>
          <w:trPrChange w:id="99" w:author="Author">
            <w:trPr>
              <w:gridAfter w:val="0"/>
              <w:cantSplit/>
              <w:trHeight w:val="57"/>
            </w:trPr>
          </w:trPrChange>
        </w:trPr>
        <w:tc>
          <w:tcPr>
            <w:tcW w:w="2413"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100" w:author="Author">
              <w:tcPr>
                <w:tcW w:w="2500" w:type="pct"/>
                <w:gridSpan w:val="5"/>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B0198F6" w14:textId="77777777" w:rsidR="00C04CAD" w:rsidRDefault="00060E34">
            <w:pPr>
              <w:keepNext/>
              <w:tabs>
                <w:tab w:val="left" w:pos="1134"/>
              </w:tabs>
              <w:spacing w:line="240" w:lineRule="auto"/>
              <w:jc w:val="right"/>
              <w:rPr>
                <w:ins w:id="101" w:author="Author"/>
              </w:rPr>
            </w:pPr>
            <w:del w:id="102" w:author="Author">
              <w:r>
                <w:rPr>
                  <w:noProof/>
                  <w:lang w:val="en-US" w:eastAsia="zh-CN" w:bidi="ar-SA"/>
                </w:rPr>
                <w:drawing>
                  <wp:inline distT="0" distB="0" distL="0" distR="0" wp14:anchorId="7AA22FFC" wp14:editId="3B17C930">
                    <wp:extent cx="1922145" cy="1195070"/>
                    <wp:effectExtent l="0" t="0" r="0" b="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922145" cy="1195070"/>
                            </a:xfrm>
                            <a:prstGeom prst="rect">
                              <a:avLst/>
                            </a:prstGeom>
                            <a:noFill/>
                            <a:ln>
                              <a:noFill/>
                            </a:ln>
                          </pic:spPr>
                        </pic:pic>
                      </a:graphicData>
                    </a:graphic>
                  </wp:inline>
                </w:drawing>
              </w:r>
            </w:del>
            <w:ins w:id="103" w:author="Author">
              <w:r w:rsidRPr="001C668B">
                <w:rPr>
                  <w:rPrChange w:id="104" w:author="Author">
                    <w:rPr>
                      <w:b/>
                      <w:bCs/>
                    </w:rPr>
                  </w:rPrChange>
                </w:rPr>
                <w:t>CIUPIŢI pielea la</w:t>
              </w:r>
              <w:r>
                <w:t xml:space="preserve"> </w:t>
              </w:r>
            </w:ins>
          </w:p>
          <w:p w14:paraId="7755CE62" w14:textId="77777777" w:rsidR="00C04CAD" w:rsidRDefault="00060E34">
            <w:pPr>
              <w:keepNext/>
              <w:tabs>
                <w:tab w:val="left" w:pos="1134"/>
              </w:tabs>
              <w:spacing w:line="240" w:lineRule="auto"/>
              <w:jc w:val="right"/>
              <w:rPr>
                <w:b/>
                <w:bCs/>
              </w:rPr>
              <w:pPrChange w:id="105" w:author="Author">
                <w:pPr>
                  <w:keepNext/>
                  <w:tabs>
                    <w:tab w:val="left" w:pos="1134"/>
                  </w:tabs>
                  <w:spacing w:line="240" w:lineRule="auto"/>
                  <w:jc w:val="center"/>
                </w:pPr>
              </w:pPrChange>
            </w:pPr>
            <w:ins w:id="106" w:author="Author">
              <w:r w:rsidRPr="001C668B">
                <w:rPr>
                  <w:rPrChange w:id="107" w:author="Author">
                    <w:rPr>
                      <w:b/>
                      <w:bCs/>
                    </w:rPr>
                  </w:rPrChange>
                </w:rPr>
                <w:t>locul de injectare</w:t>
              </w:r>
              <w:del w:id="108" w:author="Author">
                <w:r>
                  <w:rPr>
                    <w:noProof/>
                  </w:rPr>
                  <w:drawing>
                    <wp:inline distT="0" distB="0" distL="0" distR="0" wp14:anchorId="1A8E0CFB" wp14:editId="5B9C951E">
                      <wp:extent cx="1880870" cy="664845"/>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880870" cy="664845"/>
                              </a:xfrm>
                              <a:prstGeom prst="rect">
                                <a:avLst/>
                              </a:prstGeom>
                              <a:noFill/>
                              <a:ln>
                                <a:noFill/>
                              </a:ln>
                            </pic:spPr>
                          </pic:pic>
                        </a:graphicData>
                      </a:graphic>
                    </wp:inline>
                  </w:drawing>
                </w:r>
              </w:del>
            </w:ins>
          </w:p>
        </w:tc>
        <w:tc>
          <w:tcPr>
            <w:tcW w:w="2587" w:type="pct"/>
            <w:tcBorders>
              <w:top w:val="single" w:sz="4" w:space="0" w:color="auto"/>
              <w:left w:val="nil"/>
              <w:bottom w:val="single" w:sz="4" w:space="0" w:color="auto"/>
              <w:right w:val="single" w:sz="4" w:space="0" w:color="auto"/>
            </w:tcBorders>
            <w:tcPrChange w:id="109" w:author="Author">
              <w:tcPr>
                <w:tcW w:w="2500" w:type="pct"/>
                <w:tcBorders>
                  <w:top w:val="single" w:sz="4" w:space="0" w:color="auto"/>
                  <w:left w:val="single" w:sz="4" w:space="0" w:color="auto"/>
                  <w:bottom w:val="single" w:sz="4" w:space="0" w:color="auto"/>
                  <w:right w:val="single" w:sz="4" w:space="0" w:color="auto"/>
                </w:tcBorders>
              </w:tcPr>
            </w:tcPrChange>
          </w:tcPr>
          <w:p w14:paraId="31DB8E92" w14:textId="77777777" w:rsidR="00C04CAD" w:rsidRDefault="00060E34">
            <w:pPr>
              <w:keepNext/>
              <w:tabs>
                <w:tab w:val="left" w:pos="1134"/>
              </w:tabs>
              <w:spacing w:line="240" w:lineRule="auto"/>
              <w:rPr>
                <w:b/>
                <w:bCs/>
              </w:rPr>
              <w:pPrChange w:id="110" w:author="Author">
                <w:pPr>
                  <w:keepNext/>
                  <w:tabs>
                    <w:tab w:val="left" w:pos="1134"/>
                  </w:tabs>
                  <w:spacing w:line="240" w:lineRule="auto"/>
                  <w:jc w:val="center"/>
                </w:pPr>
              </w:pPrChange>
            </w:pPr>
            <w:ins w:id="111" w:author="Author">
              <w:r>
                <w:rPr>
                  <w:noProof/>
                </w:rPr>
                <w:drawing>
                  <wp:inline distT="0" distB="0" distL="0" distR="0" wp14:anchorId="25428C6F" wp14:editId="05123C12">
                    <wp:extent cx="2152650" cy="914400"/>
                    <wp:effectExtent l="0" t="0" r="0" b="0"/>
                    <wp:docPr id="5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152650" cy="914400"/>
                            </a:xfrm>
                            <a:prstGeom prst="rect">
                              <a:avLst/>
                            </a:prstGeom>
                            <a:noFill/>
                            <a:ln>
                              <a:noFill/>
                            </a:ln>
                          </pic:spPr>
                        </pic:pic>
                      </a:graphicData>
                    </a:graphic>
                  </wp:inline>
                </w:drawing>
              </w:r>
            </w:ins>
          </w:p>
        </w:tc>
      </w:tr>
      <w:tr w:rsidR="00C04CAD" w14:paraId="1FA4DC0D" w14:textId="77777777" w:rsidTr="001C668B">
        <w:trPr>
          <w:cantSplit/>
          <w:trHeight w:val="57"/>
          <w:trPrChange w:id="112" w:author="Author">
            <w:trPr>
              <w:gridAfter w:val="0"/>
              <w:cantSplit/>
              <w:trHeight w:val="57"/>
            </w:trPr>
          </w:trPrChange>
        </w:trPr>
        <w:tc>
          <w:tcPr>
            <w:tcW w:w="190" w:type="pct"/>
            <w:tcBorders>
              <w:top w:val="nil"/>
              <w:left w:val="single" w:sz="4" w:space="0" w:color="auto"/>
              <w:bottom w:val="nil"/>
              <w:right w:val="nil"/>
            </w:tcBorders>
            <w:tcMar>
              <w:top w:w="28" w:type="dxa"/>
              <w:left w:w="57" w:type="dxa"/>
              <w:bottom w:w="28" w:type="dxa"/>
              <w:right w:w="57" w:type="dxa"/>
            </w:tcMar>
            <w:tcPrChange w:id="113"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4DDA16D3" w14:textId="77777777" w:rsidR="00C04CAD" w:rsidRDefault="00C04CAD">
            <w:pPr>
              <w:numPr>
                <w:ilvl w:val="0"/>
                <w:numId w:val="102"/>
              </w:numPr>
              <w:tabs>
                <w:tab w:val="clear" w:pos="567"/>
                <w:tab w:val="left" w:pos="708"/>
              </w:tabs>
              <w:spacing w:line="240" w:lineRule="auto"/>
              <w:ind w:left="567" w:hanging="567"/>
            </w:pPr>
          </w:p>
        </w:tc>
        <w:tc>
          <w:tcPr>
            <w:tcW w:w="4810" w:type="pct"/>
            <w:gridSpan w:val="2"/>
            <w:tcBorders>
              <w:top w:val="nil"/>
              <w:left w:val="nil"/>
              <w:bottom w:val="nil"/>
              <w:right w:val="single" w:sz="4" w:space="0" w:color="auto"/>
            </w:tcBorders>
            <w:tcMar>
              <w:top w:w="0" w:type="dxa"/>
              <w:left w:w="0" w:type="dxa"/>
              <w:bottom w:w="0" w:type="dxa"/>
              <w:right w:w="108" w:type="dxa"/>
            </w:tcMar>
            <w:tcPrChange w:id="114" w:author="Author">
              <w:tcPr>
                <w:tcW w:w="4646" w:type="pct"/>
                <w:gridSpan w:val="4"/>
                <w:tcBorders>
                  <w:top w:val="nil"/>
                  <w:left w:val="nil"/>
                  <w:bottom w:val="nil"/>
                  <w:right w:val="single" w:sz="4" w:space="0" w:color="auto"/>
                </w:tcBorders>
                <w:tcMar>
                  <w:top w:w="0" w:type="dxa"/>
                  <w:left w:w="0" w:type="dxa"/>
                  <w:bottom w:w="0" w:type="dxa"/>
                  <w:right w:w="108" w:type="dxa"/>
                </w:tcMar>
              </w:tcPr>
            </w:tcPrChange>
          </w:tcPr>
          <w:p w14:paraId="42AA7059" w14:textId="77777777" w:rsidR="00C04CAD" w:rsidRDefault="00060E34">
            <w:pPr>
              <w:tabs>
                <w:tab w:val="left" w:pos="1134"/>
              </w:tabs>
              <w:spacing w:line="240" w:lineRule="auto"/>
              <w:rPr>
                <w:b/>
                <w:bCs/>
              </w:rPr>
            </w:pPr>
            <w:r>
              <w:t>Ciupiți pielea între degetul mare și arătător</w:t>
            </w:r>
            <w:ins w:id="115" w:author="Author">
              <w:r>
                <w:t xml:space="preserve"> (index)</w:t>
              </w:r>
            </w:ins>
            <w:r>
              <w:t xml:space="preserve"> pentru a crea o denivelare pentru injectare.</w:t>
            </w:r>
          </w:p>
        </w:tc>
      </w:tr>
      <w:tr w:rsidR="00C04CAD" w14:paraId="6266C14E" w14:textId="77777777" w:rsidTr="001C668B">
        <w:trPr>
          <w:cantSplit/>
          <w:trHeight w:val="57"/>
          <w:trPrChange w:id="116" w:author="Author">
            <w:trPr>
              <w:gridBefore w:val="1"/>
              <w:wBefore w:w="54" w:type="dxa"/>
              <w:cantSplit/>
              <w:trHeight w:val="57"/>
            </w:trPr>
          </w:trPrChange>
        </w:trPr>
        <w:tc>
          <w:tcPr>
            <w:tcW w:w="190" w:type="pct"/>
            <w:tcBorders>
              <w:top w:val="nil"/>
              <w:left w:val="single" w:sz="4" w:space="0" w:color="auto"/>
              <w:bottom w:val="nil"/>
              <w:right w:val="nil"/>
            </w:tcBorders>
            <w:tcMar>
              <w:top w:w="28" w:type="dxa"/>
              <w:left w:w="57" w:type="dxa"/>
              <w:bottom w:w="28" w:type="dxa"/>
              <w:right w:w="57" w:type="dxa"/>
            </w:tcMar>
            <w:tcPrChange w:id="117" w:author="Author">
              <w:tcPr>
                <w:tcW w:w="354" w:type="pct"/>
                <w:gridSpan w:val="3"/>
                <w:tcBorders>
                  <w:top w:val="nil"/>
                  <w:left w:val="single" w:sz="4" w:space="0" w:color="auto"/>
                  <w:bottom w:val="single" w:sz="4" w:space="0" w:color="auto"/>
                  <w:right w:val="nil"/>
                </w:tcBorders>
                <w:tcMar>
                  <w:top w:w="28" w:type="dxa"/>
                  <w:left w:w="57" w:type="dxa"/>
                  <w:bottom w:w="28" w:type="dxa"/>
                  <w:right w:w="57" w:type="dxa"/>
                </w:tcMar>
              </w:tcPr>
            </w:tcPrChange>
          </w:tcPr>
          <w:p w14:paraId="129AB0C6" w14:textId="77777777" w:rsidR="00C04CAD" w:rsidRDefault="00C04CAD">
            <w:pPr>
              <w:numPr>
                <w:ilvl w:val="0"/>
                <w:numId w:val="102"/>
              </w:numPr>
              <w:tabs>
                <w:tab w:val="clear" w:pos="567"/>
                <w:tab w:val="left" w:pos="708"/>
              </w:tabs>
              <w:spacing w:line="240" w:lineRule="auto"/>
              <w:ind w:left="567" w:hanging="567"/>
            </w:pPr>
          </w:p>
        </w:tc>
        <w:tc>
          <w:tcPr>
            <w:tcW w:w="4810" w:type="pct"/>
            <w:gridSpan w:val="2"/>
            <w:tcBorders>
              <w:top w:val="nil"/>
              <w:left w:val="nil"/>
              <w:bottom w:val="nil"/>
              <w:right w:val="single" w:sz="4" w:space="0" w:color="auto"/>
            </w:tcBorders>
            <w:tcMar>
              <w:top w:w="0" w:type="dxa"/>
              <w:left w:w="0" w:type="dxa"/>
              <w:bottom w:w="0" w:type="dxa"/>
              <w:right w:w="108" w:type="dxa"/>
            </w:tcMar>
            <w:tcPrChange w:id="118" w:author="Author">
              <w:tcPr>
                <w:tcW w:w="4646" w:type="pct"/>
                <w:gridSpan w:val="3"/>
                <w:tcBorders>
                  <w:top w:val="nil"/>
                  <w:left w:val="nil"/>
                  <w:bottom w:val="single" w:sz="4" w:space="0" w:color="auto"/>
                  <w:right w:val="single" w:sz="4" w:space="0" w:color="auto"/>
                </w:tcBorders>
                <w:tcMar>
                  <w:top w:w="0" w:type="dxa"/>
                  <w:left w:w="0" w:type="dxa"/>
                  <w:bottom w:w="0" w:type="dxa"/>
                  <w:right w:w="108" w:type="dxa"/>
                </w:tcMar>
              </w:tcPr>
            </w:tcPrChange>
          </w:tcPr>
          <w:p w14:paraId="537C4B6F" w14:textId="77777777" w:rsidR="00C04CAD" w:rsidRDefault="00060E34">
            <w:pPr>
              <w:tabs>
                <w:tab w:val="left" w:pos="1134"/>
              </w:tabs>
              <w:spacing w:line="240" w:lineRule="auto"/>
            </w:pPr>
            <w:r>
              <w:t xml:space="preserve">Dacă este posibil, denivelarea ar trebui să aibă aproximativ 5 </w:t>
            </w:r>
            <w:del w:id="119" w:author="Author">
              <w:r>
                <w:delText xml:space="preserve">cm </w:delText>
              </w:r>
            </w:del>
            <w:ins w:id="120" w:author="Author">
              <w:r>
                <w:t xml:space="preserve">centimetri </w:t>
              </w:r>
            </w:ins>
            <w:r>
              <w:t>lățime.</w:t>
            </w:r>
          </w:p>
        </w:tc>
      </w:tr>
      <w:tr w:rsidR="00C04CAD" w14:paraId="4E77640C" w14:textId="77777777" w:rsidTr="001C668B">
        <w:trPr>
          <w:cantSplit/>
          <w:trHeight w:val="57"/>
          <w:ins w:id="121" w:author="Author"/>
          <w:trPrChange w:id="122" w:author="Author">
            <w:trPr>
              <w:gridAfter w:val="0"/>
              <w:cantSplit/>
              <w:trHeight w:val="57"/>
            </w:trPr>
          </w:trPrChange>
        </w:trPr>
        <w:tc>
          <w:tcPr>
            <w:tcW w:w="190" w:type="pct"/>
            <w:tcBorders>
              <w:top w:val="nil"/>
              <w:left w:val="single" w:sz="4" w:space="0" w:color="auto"/>
              <w:bottom w:val="single" w:sz="4" w:space="0" w:color="auto"/>
              <w:right w:val="nil"/>
            </w:tcBorders>
            <w:tcMar>
              <w:top w:w="28" w:type="dxa"/>
              <w:left w:w="57" w:type="dxa"/>
              <w:bottom w:w="28" w:type="dxa"/>
              <w:right w:w="57" w:type="dxa"/>
            </w:tcMar>
            <w:tcPrChange w:id="123" w:author="Author">
              <w:tcPr>
                <w:tcW w:w="354" w:type="pct"/>
                <w:gridSpan w:val="2"/>
                <w:tcBorders>
                  <w:top w:val="nil"/>
                  <w:left w:val="single" w:sz="4" w:space="0" w:color="auto"/>
                  <w:bottom w:val="single" w:sz="4" w:space="0" w:color="auto"/>
                  <w:right w:val="nil"/>
                </w:tcBorders>
                <w:tcMar>
                  <w:top w:w="28" w:type="dxa"/>
                  <w:left w:w="57" w:type="dxa"/>
                  <w:bottom w:w="28" w:type="dxa"/>
                  <w:right w:w="57" w:type="dxa"/>
                </w:tcMar>
              </w:tcPr>
            </w:tcPrChange>
          </w:tcPr>
          <w:p w14:paraId="1B12C154" w14:textId="77777777" w:rsidR="00C04CAD" w:rsidRDefault="00C04CAD">
            <w:pPr>
              <w:tabs>
                <w:tab w:val="left" w:pos="708"/>
              </w:tabs>
              <w:spacing w:line="240" w:lineRule="auto"/>
              <w:ind w:left="568"/>
              <w:rPr>
                <w:ins w:id="124" w:author="Author"/>
              </w:rPr>
              <w:pPrChange w:id="125" w:author="Author">
                <w:pPr>
                  <w:numPr>
                    <w:numId w:val="102"/>
                  </w:numPr>
                  <w:tabs>
                    <w:tab w:val="clear" w:pos="567"/>
                    <w:tab w:val="left" w:pos="708"/>
                  </w:tabs>
                  <w:spacing w:line="240" w:lineRule="auto"/>
                  <w:ind w:left="567" w:hanging="567"/>
                </w:pPr>
              </w:pPrChange>
            </w:pPr>
          </w:p>
        </w:tc>
        <w:tc>
          <w:tcPr>
            <w:tcW w:w="4810" w:type="pct"/>
            <w:gridSpan w:val="2"/>
            <w:tcBorders>
              <w:top w:val="nil"/>
              <w:left w:val="nil"/>
              <w:bottom w:val="single" w:sz="4" w:space="0" w:color="auto"/>
              <w:right w:val="single" w:sz="4" w:space="0" w:color="auto"/>
            </w:tcBorders>
            <w:tcMar>
              <w:top w:w="0" w:type="dxa"/>
              <w:left w:w="0" w:type="dxa"/>
              <w:bottom w:w="0" w:type="dxa"/>
              <w:right w:w="108" w:type="dxa"/>
            </w:tcMar>
            <w:tcPrChange w:id="126" w:author="Author">
              <w:tcPr>
                <w:tcW w:w="4646" w:type="pct"/>
                <w:gridSpan w:val="4"/>
                <w:tcBorders>
                  <w:top w:val="nil"/>
                  <w:left w:val="nil"/>
                  <w:bottom w:val="single" w:sz="4" w:space="0" w:color="auto"/>
                  <w:right w:val="single" w:sz="4" w:space="0" w:color="auto"/>
                </w:tcBorders>
                <w:tcMar>
                  <w:top w:w="0" w:type="dxa"/>
                  <w:left w:w="0" w:type="dxa"/>
                  <w:bottom w:w="0" w:type="dxa"/>
                  <w:right w:w="108" w:type="dxa"/>
                </w:tcMar>
              </w:tcPr>
            </w:tcPrChange>
          </w:tcPr>
          <w:p w14:paraId="398F6DE3" w14:textId="77777777" w:rsidR="00C04CAD" w:rsidRDefault="00060E34">
            <w:pPr>
              <w:tabs>
                <w:tab w:val="left" w:pos="1134"/>
              </w:tabs>
              <w:spacing w:line="240" w:lineRule="auto"/>
              <w:rPr>
                <w:ins w:id="127" w:author="Author"/>
              </w:rPr>
            </w:pPr>
            <w:ins w:id="128" w:author="Author">
              <w:r>
                <w:rPr>
                  <w:noProof/>
                </w:rPr>
                <mc:AlternateContent>
                  <mc:Choice Requires="wps">
                    <w:drawing>
                      <wp:anchor distT="45720" distB="45720" distL="114300" distR="114300" simplePos="0" relativeHeight="251710464" behindDoc="0" locked="0" layoutInCell="1" allowOverlap="1" wp14:anchorId="2797256E" wp14:editId="30932295">
                        <wp:simplePos x="0" y="0"/>
                        <wp:positionH relativeFrom="margin">
                          <wp:posOffset>0</wp:posOffset>
                        </wp:positionH>
                        <wp:positionV relativeFrom="paragraph">
                          <wp:posOffset>43180</wp:posOffset>
                        </wp:positionV>
                        <wp:extent cx="5467350" cy="361950"/>
                        <wp:effectExtent l="0" t="0" r="19050" b="19050"/>
                        <wp:wrapSquare wrapText="bothSides"/>
                        <wp:docPr id="106610195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1950"/>
                                </a:xfrm>
                                <a:prstGeom prst="rect">
                                  <a:avLst/>
                                </a:prstGeom>
                                <a:solidFill>
                                  <a:srgbClr val="FFFFFF"/>
                                </a:solidFill>
                                <a:ln w="19050">
                                  <a:solidFill>
                                    <a:srgbClr val="FF0000"/>
                                  </a:solidFill>
                                  <a:miter lim="800000"/>
                                </a:ln>
                              </wps:spPr>
                              <wps:txbx>
                                <w:txbxContent>
                                  <w:p w14:paraId="1A05E30F" w14:textId="5ACDED9F" w:rsidR="00C04CAD" w:rsidRDefault="00060E34">
                                    <w:pPr>
                                      <w:tabs>
                                        <w:tab w:val="left" w:pos="1134"/>
                                      </w:tabs>
                                      <w:spacing w:line="240" w:lineRule="auto"/>
                                      <w:ind w:left="-567" w:firstLine="567"/>
                                      <w:pPrChange w:id="129" w:author="Author">
                                        <w:pPr>
                                          <w:tabs>
                                            <w:tab w:val="left" w:pos="1134"/>
                                          </w:tabs>
                                          <w:spacing w:line="240" w:lineRule="auto"/>
                                        </w:pPr>
                                      </w:pPrChange>
                                    </w:pPr>
                                    <w:ins w:id="130" w:author="Author">
                                      <w:r>
                                        <w:rPr>
                                          <w:b/>
                                          <w:bCs/>
                                        </w:rPr>
                                        <w:t>Important:</w:t>
                                      </w:r>
                                      <w:r w:rsidRPr="001C668B">
                                        <w:rPr>
                                          <w:rPrChange w:id="131" w:author="Author">
                                            <w:rPr>
                                              <w:b/>
                                              <w:bCs/>
                                            </w:rPr>
                                          </w:rPrChange>
                                        </w:rPr>
                                        <w:t xml:space="preserve"> </w:t>
                                      </w:r>
                                      <w:r>
                                        <w:t>Continuați să țineți pielea ciupită între degete până când injectarea este finalizată.</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7256E" id="Text Box 83" o:spid="_x0000_s1034" type="#_x0000_t202" style="position:absolute;margin-left:0;margin-top:3.4pt;width:430.5pt;height:28.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QgBQIAAA8EAAAOAAAAZHJzL2Uyb0RvYy54bWysU9tu2zAMfR+wfxD0vthJk7Qx4hRdigwD&#10;um5Atw9QZDkWJosapcTuvn6U4qTZBRgwTA8CKVKH5CG5vO1bww4KvQZb8vEo50xZCZW2u5J/+bx5&#10;c8OZD8JWwoBVJX9Wnt+uXr9adq5QE2jAVAoZgVhfdK7kTQiuyDIvG9UKPwKnLBlrwFYEUnGXVSg6&#10;Qm9NNsnzedYBVg5BKu/p9f5o5KuEX9dKho917VVgpuSUW0g3pnsb72y1FMUOhWu0HNIQ/5BFK7Sl&#10;oGeoexEE26P+DarVEsFDHUYS2gzqWkuVaqBqxvkv1Tw1wqlUC5Hj3Zkm//9g5ePhyX1CFvq30FMD&#10;UxHePYD86pmFdSPsTt0hQtcoUVHgcaQs65wvhq+Ral/4CLLtPkBFTRb7AAmor7GNrFCdjNCpAc9n&#10;0lUfmKTH2XR+fTUjkyTb1Xy8IDmGEMXpt0Mf3iloWRRKjtTUhC4ODz4cXU8uMZgHo6uNNiYpuNuu&#10;DbKDoAHYpDOg/+RmLOuotkVOwf+GkdP5E0arA42y0W3Jb6LPycnYgbDI0ZGt0G97pityjECRvy1U&#10;z8QgwnFCaaNIaAC/c9bRdJbcf9sLVJyZ95a6sBhPp3GckzKdXU9IwUvL9tIirCSokgfOjuI6pBWI&#10;lVq4o27VOhH5ksmQMk1dasWwIXGsL/Xk9bLHqx8AAAD//wMAUEsDBBQABgAIAAAAIQBalhiD2QAA&#10;AAUBAAAPAAAAZHJzL2Rvd25yZXYueG1sTI/BTsMwEETvSPyDtUjcqFOQIhPiVBXQA5ciWrg78ZIE&#10;7HVku23g61lOcHya1czbejV7J44Y0xhIw3JRgEDqgh2p1/C631wpECkbssYFQg1fmGDVnJ/VprLh&#10;RC943OVecAmlymgYcp4qKVM3oDdpESYkzt5D9CYzxl7aaE5c7p28LopSejMSLwxmwvsBu8/dwWt4&#10;6NrbD/cdfHx+2qrt+nGj9vJN68uLeX0HIuOc/47hV5/VoWGnNhzIJuE08CNZQ8n6HKpyydwy3yiQ&#10;TS3/2zc/AAAA//8DAFBLAQItABQABgAIAAAAIQC2gziS/gAAAOEBAAATAAAAAAAAAAAAAAAAAAAA&#10;AABbQ29udGVudF9UeXBlc10ueG1sUEsBAi0AFAAGAAgAAAAhADj9If/WAAAAlAEAAAsAAAAAAAAA&#10;AAAAAAAALwEAAF9yZWxzLy5yZWxzUEsBAi0AFAAGAAgAAAAhAGPM1CAFAgAADwQAAA4AAAAAAAAA&#10;AAAAAAAALgIAAGRycy9lMm9Eb2MueG1sUEsBAi0AFAAGAAgAAAAhAFqWGIPZAAAABQEAAA8AAAAA&#10;AAAAAAAAAAAAXwQAAGRycy9kb3ducmV2LnhtbFBLBQYAAAAABAAEAPMAAABlBQAAAAA=&#10;" strokecolor="red" strokeweight="1.5pt">
                        <v:textbox>
                          <w:txbxContent>
                            <w:p w14:paraId="1A05E30F" w14:textId="5ACDED9F" w:rsidR="00C04CAD" w:rsidRDefault="00060E34" w:rsidP="001C668B">
                              <w:pPr>
                                <w:tabs>
                                  <w:tab w:val="left" w:pos="1134"/>
                                </w:tabs>
                                <w:spacing w:line="240" w:lineRule="auto"/>
                                <w:ind w:left="-567" w:firstLine="567"/>
                                <w:pPrChange w:id="136" w:author="Author">
                                  <w:pPr>
                                    <w:tabs>
                                      <w:tab w:val="left" w:pos="1134"/>
                                    </w:tabs>
                                    <w:spacing w:line="240" w:lineRule="auto"/>
                                  </w:pPr>
                                </w:pPrChange>
                              </w:pPr>
                              <w:ins w:id="137" w:author="Author">
                                <w:r>
                                  <w:rPr>
                                    <w:b/>
                                    <w:bCs/>
                                  </w:rPr>
                                  <w:t>Important:</w:t>
                                </w:r>
                                <w:r w:rsidRPr="001C668B">
                                  <w:rPr>
                                    <w:rPrChange w:id="138" w:author="Author">
                                      <w:rPr>
                                        <w:b/>
                                        <w:bCs/>
                                      </w:rPr>
                                    </w:rPrChange>
                                  </w:rPr>
                                  <w:t xml:space="preserve"> </w:t>
                                </w:r>
                                <w:r>
                                  <w:t>Continuați să țineți pielea ciupită între degete până când injectarea este finalizată</w:t>
                                </w:r>
                                <w:r>
                                  <w:t>.</w:t>
                                </w:r>
                              </w:ins>
                            </w:p>
                          </w:txbxContent>
                        </v:textbox>
                        <w10:wrap type="square" anchorx="margin"/>
                      </v:shape>
                    </w:pict>
                  </mc:Fallback>
                </mc:AlternateContent>
              </w:r>
            </w:ins>
          </w:p>
        </w:tc>
      </w:tr>
    </w:tbl>
    <w:p w14:paraId="5545FE3E" w14:textId="77777777" w:rsidR="00C04CAD" w:rsidRDefault="00C04CAD">
      <w:pPr>
        <w:tabs>
          <w:tab w:val="left" w:pos="1134"/>
        </w:tabs>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Change w:id="132">
          <w:tblGrid>
            <w:gridCol w:w="29"/>
            <w:gridCol w:w="600"/>
            <w:gridCol w:w="29"/>
            <w:gridCol w:w="8222"/>
            <w:gridCol w:w="29"/>
          </w:tblGrid>
        </w:tblGridChange>
      </w:tblGrid>
      <w:tr w:rsidR="00C04CAD" w14:paraId="7A24E19E"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378136" w14:textId="77777777" w:rsidR="00C04CAD" w:rsidRDefault="00060E34">
            <w:pPr>
              <w:keepNext/>
              <w:spacing w:line="240" w:lineRule="auto"/>
              <w:rPr>
                <w:b/>
                <w:bCs/>
              </w:rPr>
            </w:pPr>
            <w:r>
              <w:rPr>
                <w:b/>
                <w:bCs/>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64FC03" w14:textId="77777777" w:rsidR="00C04CAD" w:rsidRDefault="00060E34">
            <w:pPr>
              <w:pStyle w:val="ListParagraph"/>
              <w:keepNext/>
              <w:spacing w:line="240" w:lineRule="auto"/>
              <w:ind w:left="567" w:hanging="567"/>
            </w:pPr>
            <w:r>
              <w:rPr>
                <w:b/>
              </w:rPr>
              <w:t>Introduceți acul în pielea ciupită</w:t>
            </w:r>
            <w:ins w:id="133" w:author="Author">
              <w:r>
                <w:rPr>
                  <w:b/>
                </w:rPr>
                <w:t xml:space="preserve"> la un unghi de 45 de grade</w:t>
              </w:r>
            </w:ins>
            <w:r>
              <w:rPr>
                <w:b/>
                <w:bCs/>
              </w:rPr>
              <w:t>.</w:t>
            </w:r>
          </w:p>
        </w:tc>
      </w:tr>
      <w:tr w:rsidR="00C04CAD" w14:paraId="6864913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F06521" w14:textId="77777777" w:rsidR="00C04CAD" w:rsidRDefault="00060E34">
            <w:pPr>
              <w:keepNext/>
              <w:spacing w:line="240" w:lineRule="auto"/>
              <w:jc w:val="center"/>
              <w:rPr>
                <w:b/>
              </w:rPr>
            </w:pPr>
            <w:r>
              <w:rPr>
                <w:b/>
              </w:rPr>
              <w:t>INTRODUCEȚI</w:t>
            </w:r>
          </w:p>
        </w:tc>
      </w:tr>
      <w:tr w:rsidR="00C04CAD" w14:paraId="6DE2757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237F95" w14:textId="77777777" w:rsidR="00C04CAD" w:rsidRDefault="00060E34">
            <w:pPr>
              <w:keepNext/>
              <w:tabs>
                <w:tab w:val="left" w:pos="1134"/>
              </w:tabs>
              <w:spacing w:line="240" w:lineRule="auto"/>
              <w:jc w:val="center"/>
              <w:rPr>
                <w:b/>
                <w:bCs/>
              </w:rPr>
            </w:pPr>
            <w:del w:id="134" w:author="Author">
              <w:r>
                <w:rPr>
                  <w:noProof/>
                  <w:lang w:val="en-US" w:eastAsia="zh-CN" w:bidi="ar-SA"/>
                </w:rPr>
                <w:drawing>
                  <wp:inline distT="0" distB="0" distL="0" distR="0" wp14:anchorId="123E4863" wp14:editId="70DFFA92">
                    <wp:extent cx="2649855" cy="1548130"/>
                    <wp:effectExtent l="0" t="0" r="0" b="0"/>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649855" cy="1548130"/>
                            </a:xfrm>
                            <a:prstGeom prst="rect">
                              <a:avLst/>
                            </a:prstGeom>
                            <a:noFill/>
                            <a:ln>
                              <a:noFill/>
                            </a:ln>
                          </pic:spPr>
                        </pic:pic>
                      </a:graphicData>
                    </a:graphic>
                  </wp:inline>
                </w:drawing>
              </w:r>
            </w:del>
            <w:ins w:id="135" w:author="Author">
              <w:r>
                <w:rPr>
                  <w:noProof/>
                </w:rPr>
                <w:drawing>
                  <wp:inline distT="0" distB="0" distL="0" distR="0" wp14:anchorId="10D949D9" wp14:editId="608BDE67">
                    <wp:extent cx="3075940" cy="1579245"/>
                    <wp:effectExtent l="0" t="0" r="0" b="0"/>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075940" cy="1579245"/>
                            </a:xfrm>
                            <a:prstGeom prst="rect">
                              <a:avLst/>
                            </a:prstGeom>
                            <a:noFill/>
                            <a:ln>
                              <a:noFill/>
                            </a:ln>
                          </pic:spPr>
                        </pic:pic>
                      </a:graphicData>
                    </a:graphic>
                  </wp:inline>
                </w:drawing>
              </w:r>
            </w:ins>
          </w:p>
        </w:tc>
      </w:tr>
      <w:tr w:rsidR="00C04CAD" w14:paraId="49FED6D8" w14:textId="77777777" w:rsidTr="001C668B">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136"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del w:id="137" w:author="Author"/>
          <w:trPrChange w:id="138" w:author="Author">
            <w:trPr>
              <w:gridBefore w:val="1"/>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39"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23C0ECF0" w14:textId="77777777" w:rsidR="00C04CAD" w:rsidRDefault="00C04CAD">
            <w:pPr>
              <w:keepNext/>
              <w:numPr>
                <w:ilvl w:val="0"/>
                <w:numId w:val="102"/>
              </w:numPr>
              <w:tabs>
                <w:tab w:val="clear" w:pos="567"/>
                <w:tab w:val="left" w:pos="708"/>
              </w:tabs>
              <w:spacing w:line="240" w:lineRule="auto"/>
              <w:ind w:left="567" w:hanging="567"/>
              <w:rPr>
                <w:del w:id="140" w:author="Author"/>
              </w:rPr>
            </w:pPr>
          </w:p>
        </w:tc>
        <w:tc>
          <w:tcPr>
            <w:tcW w:w="4646" w:type="pct"/>
            <w:tcBorders>
              <w:top w:val="nil"/>
              <w:left w:val="nil"/>
              <w:bottom w:val="nil"/>
              <w:right w:val="single" w:sz="4" w:space="0" w:color="auto"/>
            </w:tcBorders>
            <w:tcMar>
              <w:top w:w="0" w:type="dxa"/>
              <w:left w:w="0" w:type="dxa"/>
              <w:bottom w:w="0" w:type="dxa"/>
              <w:right w:w="108" w:type="dxa"/>
            </w:tcMar>
            <w:tcPrChange w:id="141"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3B4E682A" w14:textId="77777777" w:rsidR="00C04CAD" w:rsidRDefault="00060E34">
            <w:pPr>
              <w:keepNext/>
              <w:tabs>
                <w:tab w:val="left" w:pos="1134"/>
              </w:tabs>
              <w:spacing w:line="240" w:lineRule="auto"/>
              <w:rPr>
                <w:del w:id="142" w:author="Author"/>
                <w:b/>
                <w:bCs/>
              </w:rPr>
            </w:pPr>
            <w:del w:id="143" w:author="Author">
              <w:r>
                <w:delText>Introduceţi acul în pielea prinsă între degete, fie perpendicular, fie la un unghi de 45 de grade.</w:delText>
              </w:r>
            </w:del>
          </w:p>
        </w:tc>
      </w:tr>
      <w:tr w:rsidR="00C04CAD" w14:paraId="357558DE"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084F02A"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16FE50FB" w14:textId="77777777" w:rsidR="00C04CAD" w:rsidRDefault="00060E34">
            <w:pPr>
              <w:keepNext/>
              <w:tabs>
                <w:tab w:val="left" w:pos="1134"/>
              </w:tabs>
              <w:spacing w:line="240" w:lineRule="auto"/>
            </w:pPr>
            <w:r w:rsidRPr="001C668B">
              <w:rPr>
                <w:b/>
                <w:bCs/>
                <w:rPrChange w:id="144" w:author="Author">
                  <w:rPr/>
                </w:rPrChange>
              </w:rPr>
              <w:t>Nu</w:t>
            </w:r>
            <w:r>
              <w:t xml:space="preserve"> puneți degetul pe tija pistonului în timp ce introduceți acul, deoarece acest lucru poate duce la pierderea medicamentului.</w:t>
            </w:r>
          </w:p>
        </w:tc>
      </w:tr>
    </w:tbl>
    <w:p w14:paraId="71DF1283" w14:textId="77777777" w:rsidR="00C04CAD" w:rsidRDefault="00C04CAD">
      <w:pPr>
        <w:tabs>
          <w:tab w:val="left" w:pos="1134"/>
        </w:tabs>
        <w:spacing w:line="240" w:lineRule="auto"/>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45"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0"/>
        <w:gridCol w:w="8274"/>
        <w:tblGridChange w:id="146">
          <w:tblGrid>
            <w:gridCol w:w="630"/>
            <w:gridCol w:w="8274"/>
          </w:tblGrid>
        </w:tblGridChange>
      </w:tblGrid>
      <w:tr w:rsidR="00C04CAD" w14:paraId="0F57992B" w14:textId="77777777" w:rsidTr="001C668B">
        <w:trPr>
          <w:cantSplit/>
          <w:trHeight w:val="57"/>
          <w:trPrChange w:id="147"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48"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5D631F0" w14:textId="77777777" w:rsidR="00C04CAD" w:rsidRDefault="00060E34">
            <w:pPr>
              <w:keepNext/>
              <w:spacing w:line="240" w:lineRule="auto"/>
              <w:rPr>
                <w:b/>
                <w:bCs/>
              </w:rPr>
            </w:pPr>
            <w:r>
              <w:rPr>
                <w:b/>
                <w:bCs/>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49"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54691E3" w14:textId="77777777" w:rsidR="00C04CAD" w:rsidRDefault="00060E34">
            <w:pPr>
              <w:pStyle w:val="ListParagraph"/>
              <w:tabs>
                <w:tab w:val="left" w:pos="0"/>
              </w:tabs>
              <w:spacing w:line="240" w:lineRule="auto"/>
              <w:ind w:left="0"/>
            </w:pPr>
            <w:r>
              <w:rPr>
                <w:b/>
              </w:rPr>
              <w:t xml:space="preserve">Apăsați încet tija pistonului </w:t>
            </w:r>
            <w:del w:id="150" w:author="Author">
              <w:r>
                <w:rPr>
                  <w:b/>
                </w:rPr>
                <w:delText>în jos, până</w:delText>
              </w:r>
            </w:del>
            <w:ins w:id="151" w:author="Author">
              <w:r>
                <w:rPr>
                  <w:b/>
                </w:rPr>
                <w:t>până când ajunge complet</w:t>
              </w:r>
            </w:ins>
            <w:r>
              <w:rPr>
                <w:b/>
              </w:rPr>
              <w:t xml:space="preserve"> la fundul seringii preumplute, pentru a injecta medicamentul</w:t>
            </w:r>
            <w:r>
              <w:rPr>
                <w:b/>
                <w:bCs/>
                <w:szCs w:val="22"/>
              </w:rPr>
              <w:t>.</w:t>
            </w:r>
          </w:p>
        </w:tc>
      </w:tr>
      <w:tr w:rsidR="00C04CAD" w14:paraId="297E08E4" w14:textId="77777777" w:rsidTr="001C668B">
        <w:trPr>
          <w:cantSplit/>
          <w:trHeight w:val="57"/>
          <w:trPrChange w:id="152"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53"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E9BC915" w14:textId="77777777" w:rsidR="00C04CAD" w:rsidRDefault="00060E34">
            <w:pPr>
              <w:tabs>
                <w:tab w:val="left" w:pos="1134"/>
              </w:tabs>
              <w:spacing w:line="240" w:lineRule="auto"/>
              <w:jc w:val="center"/>
            </w:pPr>
            <w:r>
              <w:rPr>
                <w:b/>
                <w:bCs/>
              </w:rPr>
              <w:t>INJECTAȚI</w:t>
            </w:r>
          </w:p>
        </w:tc>
      </w:tr>
      <w:tr w:rsidR="00C04CAD" w14:paraId="0AD50EA5" w14:textId="77777777" w:rsidTr="001C668B">
        <w:trPr>
          <w:cantSplit/>
          <w:trHeight w:val="57"/>
          <w:trPrChange w:id="154"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55"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327D9A2" w14:textId="77777777" w:rsidR="00C04CAD" w:rsidRDefault="00060E34">
            <w:pPr>
              <w:tabs>
                <w:tab w:val="left" w:pos="1134"/>
              </w:tabs>
              <w:spacing w:line="240" w:lineRule="auto"/>
              <w:jc w:val="center"/>
              <w:rPr>
                <w:b/>
                <w:bCs/>
              </w:rPr>
            </w:pPr>
            <w:r>
              <w:rPr>
                <w:b/>
                <w:noProof/>
                <w:lang w:val="en-US" w:eastAsia="zh-CN" w:bidi="ar-SA"/>
              </w:rPr>
              <w:drawing>
                <wp:inline distT="0" distB="0" distL="0" distR="0" wp14:anchorId="4BFC60E4" wp14:editId="2C1DE02C">
                  <wp:extent cx="2483485" cy="1548130"/>
                  <wp:effectExtent l="0" t="0" r="0" b="0"/>
                  <wp:docPr id="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483485" cy="1548130"/>
                          </a:xfrm>
                          <a:prstGeom prst="rect">
                            <a:avLst/>
                          </a:prstGeom>
                          <a:noFill/>
                          <a:ln>
                            <a:noFill/>
                          </a:ln>
                        </pic:spPr>
                      </pic:pic>
                    </a:graphicData>
                  </a:graphic>
                </wp:inline>
              </w:drawing>
            </w:r>
          </w:p>
        </w:tc>
      </w:tr>
      <w:tr w:rsidR="00C04CAD" w14:paraId="036FA395" w14:textId="77777777" w:rsidTr="001C668B">
        <w:trPr>
          <w:cantSplit/>
          <w:trHeight w:val="57"/>
          <w:trPrChange w:id="156"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57"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A9F8DE9"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Change w:id="158" w:author="Author">
              <w:tcPr>
                <w:tcW w:w="4646" w:type="pct"/>
                <w:tcBorders>
                  <w:top w:val="nil"/>
                  <w:left w:val="nil"/>
                  <w:bottom w:val="nil"/>
                  <w:right w:val="single" w:sz="4" w:space="0" w:color="auto"/>
                </w:tcBorders>
                <w:tcMar>
                  <w:top w:w="0" w:type="dxa"/>
                  <w:left w:w="0" w:type="dxa"/>
                  <w:bottom w:w="0" w:type="dxa"/>
                  <w:right w:w="108" w:type="dxa"/>
                </w:tcMar>
              </w:tcPr>
            </w:tcPrChange>
          </w:tcPr>
          <w:p w14:paraId="4613DF70" w14:textId="77777777" w:rsidR="00C04CAD" w:rsidRDefault="00060E34">
            <w:pPr>
              <w:spacing w:line="240" w:lineRule="auto"/>
            </w:pPr>
            <w:r>
              <w:rPr>
                <w:b/>
              </w:rPr>
              <w:t>Nu</w:t>
            </w:r>
            <w:r>
              <w:t xml:space="preserve"> trageţi înapoi </w:t>
            </w:r>
            <w:ins w:id="159" w:author="Author">
              <w:r>
                <w:rPr>
                  <w:color w:val="000000"/>
                  <w:szCs w:val="22"/>
                  <w:lang w:eastAsia="en-US" w:bidi="ar-SA"/>
                </w:rPr>
                <w:t>tija pistonului</w:t>
              </w:r>
            </w:ins>
            <w:del w:id="160" w:author="Author">
              <w:r>
                <w:delText>pistonul</w:delText>
              </w:r>
            </w:del>
            <w:r>
              <w:t>, în niciun moment.</w:t>
            </w:r>
          </w:p>
        </w:tc>
      </w:tr>
      <w:tr w:rsidR="00C04CAD" w14:paraId="0D31CA0B" w14:textId="77777777" w:rsidTr="001C668B">
        <w:trPr>
          <w:cantSplit/>
          <w:trHeight w:val="57"/>
          <w:trPrChange w:id="161" w:author="Author">
            <w:trPr>
              <w:cantSplit/>
              <w:trHeight w:val="57"/>
            </w:trPr>
          </w:trPrChange>
        </w:trPr>
        <w:tc>
          <w:tcPr>
            <w:tcW w:w="354" w:type="pct"/>
            <w:tcBorders>
              <w:top w:val="nil"/>
              <w:left w:val="single" w:sz="4" w:space="0" w:color="auto"/>
              <w:bottom w:val="single" w:sz="4" w:space="0" w:color="auto"/>
              <w:right w:val="nil"/>
            </w:tcBorders>
            <w:tcMar>
              <w:top w:w="28" w:type="dxa"/>
              <w:left w:w="57" w:type="dxa"/>
              <w:bottom w:w="28" w:type="dxa"/>
              <w:right w:w="57" w:type="dxa"/>
            </w:tcMar>
            <w:tcPrChange w:id="162"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6CE34113" w14:textId="77777777" w:rsidR="00C04CAD" w:rsidRDefault="00C04CAD">
            <w:pPr>
              <w:numPr>
                <w:ilvl w:val="0"/>
                <w:numId w:val="102"/>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Change w:id="163" w:author="Author">
              <w:tcPr>
                <w:tcW w:w="4646" w:type="pct"/>
                <w:tcBorders>
                  <w:top w:val="nil"/>
                  <w:left w:val="nil"/>
                  <w:bottom w:val="nil"/>
                  <w:right w:val="single" w:sz="4" w:space="0" w:color="auto"/>
                </w:tcBorders>
                <w:tcMar>
                  <w:top w:w="0" w:type="dxa"/>
                  <w:left w:w="0" w:type="dxa"/>
                  <w:bottom w:w="0" w:type="dxa"/>
                  <w:right w:w="108" w:type="dxa"/>
                </w:tcMar>
              </w:tcPr>
            </w:tcPrChange>
          </w:tcPr>
          <w:p w14:paraId="65446DB6" w14:textId="77777777" w:rsidR="00C04CAD" w:rsidRDefault="00060E34">
            <w:pPr>
              <w:tabs>
                <w:tab w:val="left" w:pos="1134"/>
              </w:tabs>
              <w:spacing w:line="240" w:lineRule="auto"/>
            </w:pPr>
            <w:r>
              <w:rPr>
                <w:b/>
              </w:rPr>
              <w:t>Nu</w:t>
            </w:r>
            <w:r>
              <w:t xml:space="preserve"> scoateți acul până când nu </w:t>
            </w:r>
            <w:del w:id="164" w:author="Author">
              <w:r>
                <w:delText>este administrat</w:delText>
              </w:r>
            </w:del>
            <w:ins w:id="165" w:author="Author">
              <w:r>
                <w:t>s-a injectat</w:t>
              </w:r>
            </w:ins>
            <w:r>
              <w:t xml:space="preserve"> tot medicamentul.</w:t>
            </w:r>
          </w:p>
        </w:tc>
      </w:tr>
      <w:tr w:rsidR="00C04CAD" w14:paraId="65ECF54E" w14:textId="77777777" w:rsidTr="001C668B">
        <w:trPr>
          <w:cantSplit/>
          <w:trHeight w:val="57"/>
          <w:del w:id="166" w:author="Author"/>
          <w:trPrChange w:id="167"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68"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4A20C330" w14:textId="77777777" w:rsidR="00C04CAD" w:rsidRDefault="00060E34">
            <w:pPr>
              <w:tabs>
                <w:tab w:val="left" w:pos="1134"/>
              </w:tabs>
              <w:spacing w:line="240" w:lineRule="auto"/>
              <w:rPr>
                <w:del w:id="169" w:author="Author"/>
                <w:b/>
                <w:bCs/>
              </w:rPr>
            </w:pPr>
            <w:del w:id="170" w:author="Author">
              <w:r>
                <w:rPr>
                  <w:noProof/>
                </w:rPr>
                <mc:AlternateContent>
                  <mc:Choice Requires="wps">
                    <w:drawing>
                      <wp:anchor distT="45720" distB="45720" distL="114300" distR="114300" simplePos="0" relativeHeight="251683840" behindDoc="0" locked="0" layoutInCell="1" allowOverlap="1" wp14:anchorId="112DCD8E" wp14:editId="253384B3">
                        <wp:simplePos x="0" y="0"/>
                        <wp:positionH relativeFrom="margin">
                          <wp:posOffset>-2540</wp:posOffset>
                        </wp:positionH>
                        <wp:positionV relativeFrom="paragraph">
                          <wp:posOffset>30480</wp:posOffset>
                        </wp:positionV>
                        <wp:extent cx="5575935" cy="271145"/>
                        <wp:effectExtent l="0" t="0" r="5715" b="0"/>
                        <wp:wrapSquare wrapText="bothSides"/>
                        <wp:docPr id="3433271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4EA059A9" w14:textId="77777777" w:rsidR="00C04CAD" w:rsidRDefault="00060E34">
                                    <w:pPr>
                                      <w:tabs>
                                        <w:tab w:val="left" w:pos="1134"/>
                                      </w:tabs>
                                      <w:spacing w:line="240" w:lineRule="auto"/>
                                    </w:pPr>
                                    <w:del w:id="171" w:author="Author">
                                      <w:r>
                                        <w:rPr>
                                          <w:b/>
                                          <w:bCs/>
                                        </w:rPr>
                                        <w:delText>Important:</w:delText>
                                      </w:r>
                                      <w:r>
                                        <w:delText xml:space="preserve"> Continuați să țineți pielea ciupită între degete până când injectarea este finalizată. </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12DCD8E" id="_x0000_s1035" type="#_x0000_t202" style="position:absolute;margin-left:-.2pt;margin-top:2.4pt;width:439.05pt;height:21.35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gaCQ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Rd0lUA&#10;CvxVUB+RQQunCcWNwksH9jslA05nSd23PbOCEvVeYxdW2WIRxjkqi3w5R8VeW6prC9McoUrqKTld&#10;tz6uQCTI3GG3djIS+ZzJlDJOXeR32pAw1td69Hre480PAAAA//8DAFBLAwQUAAYACAAAACEAC68V&#10;kNsAAAAGAQAADwAAAGRycy9kb3ducmV2LnhtbEyOwWrDMBBE74X+g9hAb4mc4sbBtRxKIRR6qxOS&#10;qyJtbFNr5VqK7f59t6f2OMzw5hW72XVixCG0nhSsVwkIJONtS7WC42G/3IIIUZPVnSdU8I0BduX9&#10;XaFz6yf6wLGKtWAIhVwraGLscymDadDpsPI9EndXPzgdOQ61tIOeGO46+ZgkG+l0S/zQ6B5fGzSf&#10;1c0p2G/0tT+/pZ0Z36svczpN7flQK/WwmF+eQUSc498YfvVZHUp2uvgb2SA6BcuUhwpS9ud2m2UZ&#10;iAvn7AlkWcj/+uUPAAAA//8DAFBLAQItABQABgAIAAAAIQC2gziS/gAAAOEBAAATAAAAAAAAAAAA&#10;AAAAAAAAAABbQ29udGVudF9UeXBlc10ueG1sUEsBAi0AFAAGAAgAAAAhADj9If/WAAAAlAEAAAsA&#10;AAAAAAAAAAAAAAAALwEAAF9yZWxzLy5yZWxzUEsBAi0AFAAGAAgAAAAhANFPKBoJAgAADwQAAA4A&#10;AAAAAAAAAAAAAAAALgIAAGRycy9lMm9Eb2MueG1sUEsBAi0AFAAGAAgAAAAhAAuvFZDbAAAABgEA&#10;AA8AAAAAAAAAAAAAAAAAYwQAAGRycy9kb3ducmV2LnhtbFBLBQYAAAAABAAEAPMAAABrBQAAAAA=&#10;" strokecolor="red" strokeweight="1.5pt">
                        <v:textbox style="mso-fit-shape-to-text:t">
                          <w:txbxContent>
                            <w:p w14:paraId="4EA059A9" w14:textId="77777777" w:rsidR="00C04CAD" w:rsidRDefault="00060E34">
                              <w:pPr>
                                <w:tabs>
                                  <w:tab w:val="left" w:pos="1134"/>
                                </w:tabs>
                                <w:spacing w:line="240" w:lineRule="auto"/>
                              </w:pPr>
                              <w:del w:id="179" w:author="Author">
                                <w:r>
                                  <w:rPr>
                                    <w:b/>
                                    <w:bCs/>
                                  </w:rPr>
                                  <w:delText>Important:</w:delText>
                                </w:r>
                                <w:r>
                                  <w:delText xml:space="preserve"> Continuați să țineți pielea ciupită între degete până când injectarea este finalizată. </w:delText>
                                </w:r>
                              </w:del>
                            </w:p>
                          </w:txbxContent>
                        </v:textbox>
                        <w10:wrap type="square" anchorx="margin"/>
                      </v:shape>
                    </w:pict>
                  </mc:Fallback>
                </mc:AlternateContent>
              </w:r>
            </w:del>
          </w:p>
        </w:tc>
      </w:tr>
    </w:tbl>
    <w:p w14:paraId="4E8BAE9E" w14:textId="77777777" w:rsidR="00C04CAD" w:rsidRDefault="00C04CAD">
      <w:pPr>
        <w:tabs>
          <w:tab w:val="left" w:pos="1134"/>
        </w:tabs>
        <w:spacing w:line="240" w:lineRule="auto"/>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C04CAD" w14:paraId="4DB94B6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B6B1D9" w14:textId="77777777" w:rsidR="00C04CAD" w:rsidRDefault="00060E34">
            <w:pPr>
              <w:keepNext/>
              <w:tabs>
                <w:tab w:val="left" w:pos="1134"/>
              </w:tabs>
              <w:spacing w:line="240" w:lineRule="auto"/>
              <w:ind w:left="567" w:hanging="567"/>
            </w:pPr>
            <w:r>
              <w:rPr>
                <w:b/>
                <w:bCs/>
              </w:rPr>
              <w:t>5</w:t>
            </w:r>
          </w:p>
        </w:tc>
        <w:tc>
          <w:tcPr>
            <w:tcW w:w="4646" w:type="pct"/>
            <w:tcBorders>
              <w:top w:val="single" w:sz="4" w:space="0" w:color="auto"/>
              <w:left w:val="single" w:sz="4" w:space="0" w:color="auto"/>
              <w:bottom w:val="single" w:sz="4" w:space="0" w:color="auto"/>
              <w:right w:val="single" w:sz="4" w:space="0" w:color="auto"/>
            </w:tcBorders>
          </w:tcPr>
          <w:p w14:paraId="7ED1B27C" w14:textId="77777777" w:rsidR="00C04CAD" w:rsidRDefault="00060E34">
            <w:pPr>
              <w:keepNext/>
              <w:tabs>
                <w:tab w:val="left" w:pos="1134"/>
              </w:tabs>
              <w:spacing w:line="240" w:lineRule="auto"/>
            </w:pPr>
            <w:r>
              <w:rPr>
                <w:b/>
              </w:rPr>
              <w:t xml:space="preserve">Eliminarea la deșeuri </w:t>
            </w:r>
            <w:del w:id="172" w:author="Author">
              <w:r>
                <w:rPr>
                  <w:b/>
                </w:rPr>
                <w:delText>și finalizare</w:delText>
              </w:r>
            </w:del>
            <w:r>
              <w:rPr>
                <w:b/>
              </w:rPr>
              <w:t>a</w:t>
            </w:r>
            <w:r>
              <w:rPr>
                <w:b/>
                <w:bCs/>
              </w:rPr>
              <w:t xml:space="preserve"> AMGEVITA</w:t>
            </w:r>
            <w:ins w:id="173" w:author="Author">
              <w:r>
                <w:rPr>
                  <w:b/>
                  <w:bCs/>
                </w:rPr>
                <w:t xml:space="preserve"> și verificarea locului injectării</w:t>
              </w:r>
            </w:ins>
          </w:p>
        </w:tc>
      </w:tr>
      <w:tr w:rsidR="00C04CAD" w14:paraId="594B584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8DF70B" w14:textId="77777777" w:rsidR="00C04CAD" w:rsidRDefault="00060E34">
            <w:pPr>
              <w:keepNext/>
              <w:tabs>
                <w:tab w:val="left" w:pos="1134"/>
              </w:tabs>
              <w:spacing w:line="240" w:lineRule="auto"/>
              <w:rPr>
                <w:b/>
                <w:bCs/>
              </w:rPr>
            </w:pPr>
            <w:r>
              <w:rPr>
                <w:noProof/>
              </w:rPr>
              <mc:AlternateContent>
                <mc:Choice Requires="wps">
                  <w:drawing>
                    <wp:anchor distT="45720" distB="45720" distL="114300" distR="114300" simplePos="0" relativeHeight="251674624" behindDoc="0" locked="0" layoutInCell="1" allowOverlap="1" wp14:anchorId="44767EC6" wp14:editId="10EA512B">
                      <wp:simplePos x="0" y="0"/>
                      <wp:positionH relativeFrom="margin">
                        <wp:posOffset>-2540</wp:posOffset>
                      </wp:positionH>
                      <wp:positionV relativeFrom="paragraph">
                        <wp:posOffset>19685</wp:posOffset>
                      </wp:positionV>
                      <wp:extent cx="5575935" cy="271145"/>
                      <wp:effectExtent l="0" t="0" r="5715" b="0"/>
                      <wp:wrapSquare wrapText="bothSides"/>
                      <wp:docPr id="16135348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2A1168E1" w14:textId="77777777" w:rsidR="00C04CAD" w:rsidRDefault="00060E34">
                                  <w:pPr>
                                    <w:tabs>
                                      <w:tab w:val="left" w:pos="1134"/>
                                    </w:tabs>
                                    <w:spacing w:line="240" w:lineRule="auto"/>
                                  </w:pPr>
                                  <w:r>
                                    <w:rPr>
                                      <w:b/>
                                      <w:bCs/>
                                    </w:rPr>
                                    <w:t>Important:</w:t>
                                  </w:r>
                                  <w:r>
                                    <w:t xml:space="preserve"> Nu puneți niciodată capacul acului înapoi.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4767EC6" id="Text Box 15" o:spid="_x0000_s1036" type="#_x0000_t202" style="position:absolute;margin-left:-.2pt;margin-top:1.55pt;width:439.05pt;height:21.35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7SCAIAABA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EaNT&#10;ILCC+ogUWjiNKK4UXjqw3ykZcDxL6r7tmRWUqPca27DKFoswz1FZ5Ms5KvbaUl1bmOYIVVJPyem6&#10;9XEHIkPmDtu1k5HJ50ymnHHsIsHTioS5vtaj1/Mib34AAAD//wMAUEsDBBQABgAIAAAAIQDcRRK8&#10;3AAAAAYBAAAPAAAAZHJzL2Rvd25yZXYueG1sTI7BTsMwEETvSPyDtZW4tU4hNFGIUyGkCokbKWqv&#10;W9tNotrrELtJ+HvMiR5HM3rzyu1sDRv14DtHAtarBJgm6VRHjYCv/W6ZA/MBSaFxpAX8aA/b6v6u&#10;xEK5iT71WIeGRQj5AgW0IfQF51622qJfuV5T7M5usBhiHBquBpwi3Br+mCQbbrGj+NBir99aLS/1&#10;1QrYbfDcH99TI8eP+lseDlN33DdCPCzm1xdgQc/hfwx/+lEdquh0cldSnhkByzQOBTytgcU2z7IM&#10;2ElA+pwDr0p+q1/9AgAA//8DAFBLAQItABQABgAIAAAAIQC2gziS/gAAAOEBAAATAAAAAAAAAAAA&#10;AAAAAAAAAABbQ29udGVudF9UeXBlc10ueG1sUEsBAi0AFAAGAAgAAAAhADj9If/WAAAAlAEAAAsA&#10;AAAAAAAAAAAAAAAALwEAAF9yZWxzLy5yZWxzUEsBAi0AFAAGAAgAAAAhAA1Q7tIIAgAAEAQAAA4A&#10;AAAAAAAAAAAAAAAALgIAAGRycy9lMm9Eb2MueG1sUEsBAi0AFAAGAAgAAAAhANxFErzcAAAABgEA&#10;AA8AAAAAAAAAAAAAAAAAYgQAAGRycy9kb3ducmV2LnhtbFBLBQYAAAAABAAEAPMAAABrBQAAAAA=&#10;" strokecolor="red" strokeweight="1.5pt">
                      <v:textbox style="mso-fit-shape-to-text:t">
                        <w:txbxContent>
                          <w:p w14:paraId="2A1168E1" w14:textId="77777777" w:rsidR="00C04CAD" w:rsidRDefault="00060E34">
                            <w:pPr>
                              <w:tabs>
                                <w:tab w:val="left" w:pos="1134"/>
                              </w:tabs>
                              <w:spacing w:line="240" w:lineRule="auto"/>
                            </w:pPr>
                            <w:r>
                              <w:rPr>
                                <w:b/>
                                <w:bCs/>
                              </w:rPr>
                              <w:t>Important:</w:t>
                            </w:r>
                            <w:r>
                              <w:t xml:space="preserve"> Nu puneți niciodată capacul acului înapoi.</w:t>
                            </w:r>
                          </w:p>
                        </w:txbxContent>
                      </v:textbox>
                      <w10:wrap type="square" anchorx="margin"/>
                    </v:shape>
                  </w:pict>
                </mc:Fallback>
              </mc:AlternateContent>
            </w:r>
          </w:p>
        </w:tc>
      </w:tr>
      <w:tr w:rsidR="00C04CAD" w14:paraId="7125B177"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86A297" w14:textId="77777777" w:rsidR="00C04CAD" w:rsidRDefault="00060E34">
            <w:pPr>
              <w:keepNext/>
              <w:spacing w:line="240" w:lineRule="auto"/>
              <w:rPr>
                <w:b/>
                <w:bCs/>
              </w:rPr>
            </w:pPr>
            <w:r>
              <w:rPr>
                <w:b/>
                <w:bCs/>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184BED" w14:textId="77777777" w:rsidR="00C04CAD" w:rsidRDefault="00060E34">
            <w:pPr>
              <w:pStyle w:val="ListParagraph"/>
              <w:keepNext/>
              <w:tabs>
                <w:tab w:val="left" w:pos="0"/>
              </w:tabs>
              <w:spacing w:line="240" w:lineRule="auto"/>
              <w:ind w:left="0"/>
              <w:rPr>
                <w:szCs w:val="22"/>
              </w:rPr>
            </w:pPr>
            <w:del w:id="174" w:author="Author">
              <w:r>
                <w:rPr>
                  <w:b/>
                </w:rPr>
                <w:delText>Eliminați la deșeuri</w:delText>
              </w:r>
            </w:del>
            <w:ins w:id="175" w:author="Author">
              <w:r>
                <w:rPr>
                  <w:b/>
                </w:rPr>
                <w:t>Puneți</w:t>
              </w:r>
            </w:ins>
            <w:r>
              <w:rPr>
                <w:b/>
              </w:rPr>
              <w:t xml:space="preserve"> seringa preumplută folosită și capacul acului</w:t>
            </w:r>
            <w:del w:id="176" w:author="Author">
              <w:r>
                <w:rPr>
                  <w:b/>
                </w:rPr>
                <w:delText>,</w:delText>
              </w:r>
            </w:del>
            <w:r>
              <w:rPr>
                <w:b/>
              </w:rPr>
              <w:t xml:space="preserve"> în recipientul pentru eliminarea la deșeuri a obiectelor ascuțite</w:t>
            </w:r>
            <w:ins w:id="177" w:author="Author">
              <w:r>
                <w:rPr>
                  <w:b/>
                </w:rPr>
                <w:t xml:space="preserve"> imediat după utilizare</w:t>
              </w:r>
            </w:ins>
            <w:r>
              <w:rPr>
                <w:b/>
                <w:bCs/>
                <w:szCs w:val="22"/>
              </w:rPr>
              <w:t>.</w:t>
            </w:r>
          </w:p>
        </w:tc>
      </w:tr>
      <w:tr w:rsidR="00C04CAD" w14:paraId="3FA74B5A"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E16116C" w14:textId="77777777" w:rsidR="00C04CAD" w:rsidRDefault="00060E34">
            <w:pPr>
              <w:pStyle w:val="ListParagraph"/>
              <w:keepNext/>
              <w:tabs>
                <w:tab w:val="left" w:pos="0"/>
              </w:tabs>
              <w:spacing w:line="240" w:lineRule="auto"/>
              <w:ind w:left="0"/>
              <w:jc w:val="center"/>
              <w:rPr>
                <w:b/>
                <w:bCs/>
              </w:rPr>
            </w:pPr>
            <w:r>
              <w:rPr>
                <w:noProof/>
              </w:rPr>
              <w:drawing>
                <wp:anchor distT="0" distB="0" distL="114300" distR="114300" simplePos="0" relativeHeight="251665408" behindDoc="0" locked="0" layoutInCell="1" allowOverlap="1" wp14:anchorId="08388CEE" wp14:editId="7C8343AD">
                  <wp:simplePos x="0" y="0"/>
                  <wp:positionH relativeFrom="column">
                    <wp:posOffset>1751965</wp:posOffset>
                  </wp:positionH>
                  <wp:positionV relativeFrom="paragraph">
                    <wp:posOffset>-1194435</wp:posOffset>
                  </wp:positionV>
                  <wp:extent cx="2141220" cy="1356360"/>
                  <wp:effectExtent l="0" t="0" r="0" b="0"/>
                  <wp:wrapTopAndBottom/>
                  <wp:docPr id="185458548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85487"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141220" cy="1356360"/>
                          </a:xfrm>
                          <a:prstGeom prst="rect">
                            <a:avLst/>
                          </a:prstGeom>
                          <a:noFill/>
                        </pic:spPr>
                      </pic:pic>
                    </a:graphicData>
                  </a:graphic>
                </wp:anchor>
              </w:drawing>
            </w:r>
          </w:p>
        </w:tc>
      </w:tr>
      <w:tr w:rsidR="00C04CAD" w14:paraId="505481BD"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002A3D9" w14:textId="77777777" w:rsidR="00C04CAD" w:rsidRDefault="00060E34">
            <w:pPr>
              <w:keepNext/>
              <w:spacing w:line="240" w:lineRule="auto"/>
            </w:pPr>
            <w:r>
              <w:rPr>
                <w:noProof/>
              </w:rPr>
              <mc:AlternateContent>
                <mc:Choice Requires="wps">
                  <w:drawing>
                    <wp:anchor distT="45720" distB="45720" distL="114300" distR="114300" simplePos="0" relativeHeight="251677696" behindDoc="0" locked="0" layoutInCell="1" allowOverlap="1" wp14:anchorId="52C82D0C" wp14:editId="64750018">
                      <wp:simplePos x="0" y="0"/>
                      <wp:positionH relativeFrom="margin">
                        <wp:posOffset>-2540</wp:posOffset>
                      </wp:positionH>
                      <wp:positionV relativeFrom="paragraph">
                        <wp:posOffset>18415</wp:posOffset>
                      </wp:positionV>
                      <wp:extent cx="5566410" cy="271145"/>
                      <wp:effectExtent l="0" t="0" r="0" b="0"/>
                      <wp:wrapSquare wrapText="bothSides"/>
                      <wp:docPr id="107436229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5D93599C" w14:textId="77777777" w:rsidR="00C04CAD" w:rsidRDefault="00060E34">
                                  <w:pPr>
                                    <w:spacing w:line="240" w:lineRule="auto"/>
                                  </w:pPr>
                                  <w:r>
                                    <w:rPr>
                                      <w:b/>
                                      <w:bCs/>
                                    </w:rPr>
                                    <w:t>Nu</w:t>
                                  </w:r>
                                  <w:r>
                                    <w:t xml:space="preserve"> reciclați seringa preumplută și nu o eliminați la deșeuri împreună cu deșeurile menajere.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2C82D0C" id="Text Box 14" o:spid="_x0000_s1037" type="#_x0000_t202" style="position:absolute;margin-left:-.2pt;margin-top:1.45pt;width:438.3pt;height:21.35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V5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ic5I&#10;YA3NM1GIcBhRWim6dIDfORtoPCvuv+0EKs7Me0ttuClmszjPSZnNr6ak4KWlvrQIKwmq4oGzw3Ud&#10;0g4khtwdtWujE5MvmRxzprFLBB9XJM71pZ68XhZ59QM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ColJV5BwIAABAEAAAOAAAA&#10;AAAAAAAAAAAAAC4CAABkcnMvZTJvRG9jLnhtbFBLAQItABQABgAIAAAAIQBieEfW2wAAAAYBAAAP&#10;AAAAAAAAAAAAAAAAAGEEAABkcnMvZG93bnJldi54bWxQSwUGAAAAAAQABADzAAAAaQUAAAAA&#10;" strokecolor="red" strokeweight="1.5pt">
                      <v:textbox style="mso-fit-shape-to-text:t">
                        <w:txbxContent>
                          <w:p w14:paraId="5D93599C" w14:textId="77777777" w:rsidR="00C04CAD" w:rsidRDefault="00060E34">
                            <w:pPr>
                              <w:spacing w:line="240" w:lineRule="auto"/>
                            </w:pPr>
                            <w:r>
                              <w:rPr>
                                <w:b/>
                                <w:bCs/>
                              </w:rPr>
                              <w:t>Nu</w:t>
                            </w:r>
                            <w:r>
                              <w:t xml:space="preserve"> reciclați seringa preumplută și nu o eliminați la deșeuri împreună cu deșeurile menajere.</w:t>
                            </w:r>
                          </w:p>
                        </w:txbxContent>
                      </v:textbox>
                      <w10:wrap type="square" anchorx="margin"/>
                    </v:shape>
                  </w:pict>
                </mc:Fallback>
              </mc:AlternateContent>
            </w:r>
          </w:p>
        </w:tc>
      </w:tr>
      <w:tr w:rsidR="00C04CAD" w14:paraId="7C3B320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5021B8E"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CE80601" w14:textId="77777777" w:rsidR="00C04CAD" w:rsidRDefault="00060E34">
            <w:pPr>
              <w:keepNext/>
              <w:spacing w:line="240" w:lineRule="auto"/>
              <w:rPr>
                <w:b/>
                <w:bCs/>
              </w:rPr>
            </w:pPr>
            <w:r>
              <w:rPr>
                <w:b/>
              </w:rPr>
              <w:t>Nu</w:t>
            </w:r>
            <w:r>
              <w:t xml:space="preserve"> refolosiți seringa preumplută.</w:t>
            </w:r>
          </w:p>
        </w:tc>
      </w:tr>
      <w:tr w:rsidR="00C04CAD" w14:paraId="2C809CD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5FAEBF9"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63B5034" w14:textId="77777777" w:rsidR="00C04CAD" w:rsidRDefault="00060E34">
            <w:pPr>
              <w:keepNext/>
              <w:spacing w:line="240" w:lineRule="auto"/>
              <w:rPr>
                <w:b/>
                <w:bCs/>
              </w:rPr>
            </w:pPr>
            <w:r>
              <w:rPr>
                <w:b/>
              </w:rPr>
              <w:t>Nu</w:t>
            </w:r>
            <w:r>
              <w:t xml:space="preserve"> utilizaţi niciun medicament rămas în seringa preumplută folosită</w:t>
            </w:r>
            <w:r>
              <w:rPr>
                <w:rFonts w:eastAsia="Calibri"/>
                <w:szCs w:val="22"/>
              </w:rPr>
              <w:t>.</w:t>
            </w:r>
          </w:p>
        </w:tc>
      </w:tr>
      <w:tr w:rsidR="00C04CAD" w14:paraId="7892B9A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D0D44DC"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1178F93" w14:textId="77777777" w:rsidR="00C04CAD" w:rsidRDefault="00060E34">
            <w:pPr>
              <w:keepNext/>
              <w:spacing w:line="240" w:lineRule="auto"/>
              <w:rPr>
                <w:rFonts w:eastAsia="Calibri"/>
                <w:szCs w:val="22"/>
              </w:rPr>
            </w:pPr>
            <w:r>
              <w:t>Imediat după utilizare, puneţi seringa AMGEVITA folosită într-un recipient pentru eliminarea la deșeuri a obiectelor ascuţite</w:t>
            </w:r>
            <w:r>
              <w:rPr>
                <w:rFonts w:eastAsia="Calibri"/>
                <w:szCs w:val="22"/>
              </w:rPr>
              <w:t xml:space="preserve">. </w:t>
            </w:r>
          </w:p>
          <w:p w14:paraId="5FEBEA92" w14:textId="77777777" w:rsidR="00C04CAD" w:rsidRDefault="00060E34">
            <w:pPr>
              <w:keepNext/>
              <w:spacing w:line="240" w:lineRule="auto"/>
              <w:rPr>
                <w:b/>
                <w:bCs/>
              </w:rPr>
            </w:pPr>
            <w:r>
              <w:rPr>
                <w:b/>
              </w:rPr>
              <w:t>Nu</w:t>
            </w:r>
            <w:r>
              <w:t xml:space="preserve"> aruncați (nu eliminați la deșeuri) seringa în gunoiul menajer</w:t>
            </w:r>
            <w:r>
              <w:rPr>
                <w:rFonts w:eastAsia="Calibri"/>
                <w:szCs w:val="22"/>
              </w:rPr>
              <w:t>.</w:t>
            </w:r>
          </w:p>
        </w:tc>
      </w:tr>
      <w:tr w:rsidR="00C04CAD" w14:paraId="003F1B2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FE93AF9"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21882D50" w14:textId="77777777" w:rsidR="00C04CAD" w:rsidRDefault="00060E34">
            <w:pPr>
              <w:keepNext/>
              <w:spacing w:line="240" w:lineRule="auto"/>
              <w:rPr>
                <w:b/>
                <w:bCs/>
              </w:rPr>
            </w:pPr>
            <w:r>
              <w:t>Discutați cu medicul sau farmacistul dumneavoastră despre eliminarea la deșeuri corectă. Pot exista reguli locale de eliminare la deșeuri</w:t>
            </w:r>
            <w:r>
              <w:rPr>
                <w:rFonts w:eastAsia="Calibri"/>
                <w:szCs w:val="22"/>
              </w:rPr>
              <w:t>.</w:t>
            </w:r>
          </w:p>
        </w:tc>
      </w:tr>
      <w:tr w:rsidR="00C04CAD" w14:paraId="72A7E94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001466B" w14:textId="77777777" w:rsidR="00C04CAD" w:rsidRDefault="00C04CAD">
            <w:pPr>
              <w:keepNext/>
              <w:numPr>
                <w:ilvl w:val="0"/>
                <w:numId w:val="102"/>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BF72089" w14:textId="77777777" w:rsidR="00C04CAD" w:rsidRPr="001C668B" w:rsidRDefault="00060E34">
            <w:pPr>
              <w:keepNext/>
              <w:spacing w:line="240" w:lineRule="auto"/>
              <w:rPr>
                <w:rFonts w:eastAsia="Calibri"/>
                <w:szCs w:val="22"/>
                <w:rPrChange w:id="178" w:author="Author">
                  <w:rPr>
                    <w:b/>
                    <w:bCs/>
                  </w:rPr>
                </w:rPrChange>
              </w:rPr>
            </w:pPr>
            <w:r>
              <w:rPr>
                <w:b/>
              </w:rPr>
              <w:t>Nu</w:t>
            </w:r>
            <w:r>
              <w:t xml:space="preserve"> reciclați seringa sau recipientul pentru eliminarea la deșeuri a obiectelor ascuțite și nu le aruncați în gunoiul menajer</w:t>
            </w:r>
            <w:r>
              <w:rPr>
                <w:rFonts w:eastAsia="Calibri"/>
                <w:szCs w:val="22"/>
              </w:rPr>
              <w:t>.</w:t>
            </w:r>
          </w:p>
        </w:tc>
      </w:tr>
      <w:tr w:rsidR="00C04CAD" w14:paraId="77A3155A" w14:textId="77777777">
        <w:trPr>
          <w:cantSplit/>
          <w:trHeight w:val="5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EAE814C" w14:textId="77777777" w:rsidR="00C04CAD" w:rsidRDefault="00060E34">
            <w:pPr>
              <w:keepNext/>
              <w:spacing w:line="240" w:lineRule="auto"/>
              <w:rPr>
                <w:b/>
                <w:bCs/>
              </w:rPr>
            </w:pPr>
            <w:ins w:id="179" w:author="Author">
              <w:r>
                <w:rPr>
                  <w:b/>
                  <w:bCs/>
                  <w:noProof/>
                  <w:szCs w:val="22"/>
                </w:rPr>
                <mc:AlternateContent>
                  <mc:Choice Requires="wps">
                    <w:drawing>
                      <wp:anchor distT="45720" distB="45720" distL="114300" distR="114300" simplePos="0" relativeHeight="251711488" behindDoc="0" locked="0" layoutInCell="1" allowOverlap="1" wp14:anchorId="779197A5" wp14:editId="2773899B">
                        <wp:simplePos x="0" y="0"/>
                        <wp:positionH relativeFrom="margin">
                          <wp:posOffset>6985</wp:posOffset>
                        </wp:positionH>
                        <wp:positionV relativeFrom="paragraph">
                          <wp:posOffset>-3822700</wp:posOffset>
                        </wp:positionV>
                        <wp:extent cx="5566410" cy="431800"/>
                        <wp:effectExtent l="0" t="0" r="0" b="6350"/>
                        <wp:wrapSquare wrapText="bothSides"/>
                        <wp:docPr id="85982274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431800"/>
                                </a:xfrm>
                                <a:prstGeom prst="rect">
                                  <a:avLst/>
                                </a:prstGeom>
                                <a:solidFill>
                                  <a:srgbClr val="FFFFFF"/>
                                </a:solidFill>
                                <a:ln w="19050">
                                  <a:solidFill>
                                    <a:srgbClr val="FF0000"/>
                                  </a:solidFill>
                                  <a:miter lim="800000"/>
                                </a:ln>
                              </wps:spPr>
                              <wps:txbx>
                                <w:txbxContent>
                                  <w:p w14:paraId="01F4D320" w14:textId="77777777" w:rsidR="00C04CAD" w:rsidRDefault="00060E34">
                                    <w:pPr>
                                      <w:spacing w:line="240" w:lineRule="auto"/>
                                    </w:pPr>
                                    <w:ins w:id="180" w:author="Author">
                                      <w:r>
                                        <w:rPr>
                                          <w:b/>
                                          <w:bCs/>
                                          <w:szCs w:val="22"/>
                                        </w:rPr>
                                        <w:t>Important</w:t>
                                      </w:r>
                                      <w:r w:rsidRPr="001C668B">
                                        <w:rPr>
                                          <w:b/>
                                          <w:bCs/>
                                          <w:szCs w:val="22"/>
                                          <w:rPrChange w:id="181" w:author="Author">
                                            <w:rPr>
                                              <w:szCs w:val="22"/>
                                            </w:rPr>
                                          </w:rPrChange>
                                        </w:rPr>
                                        <w:t>:</w:t>
                                      </w:r>
                                      <w:r>
                                        <w:rPr>
                                          <w:szCs w:val="22"/>
                                        </w:rPr>
                                        <w:t xml:space="preserve"> </w:t>
                                      </w:r>
                                      <w:r>
                                        <w:rPr>
                                          <w:rFonts w:eastAsia="PMingLiU"/>
                                          <w:color w:val="000000"/>
                                          <w:szCs w:val="22"/>
                                          <w:lang w:eastAsia="ja-JP" w:bidi="ar-SA"/>
                                        </w:rPr>
                                        <w:t xml:space="preserve">Nu lăsați niciodată recipientul pentru eliminarea </w:t>
                                      </w:r>
                                      <w:r>
                                        <w:rPr>
                                          <w:color w:val="000000"/>
                                          <w:szCs w:val="22"/>
                                          <w:lang w:eastAsia="ja-JP"/>
                                        </w:rPr>
                                        <w:t xml:space="preserve">la deșeuri a </w:t>
                                      </w:r>
                                      <w:r>
                                        <w:rPr>
                                          <w:rFonts w:eastAsia="PMingLiU"/>
                                          <w:color w:val="000000"/>
                                          <w:szCs w:val="22"/>
                                          <w:lang w:eastAsia="ja-JP" w:bidi="ar-SA"/>
                                        </w:rPr>
                                        <w:t xml:space="preserve">obiectelor ascuțite la vederea și </w:t>
                                      </w:r>
                                      <w:r>
                                        <w:rPr>
                                          <w:rFonts w:eastAsia="PMingLiU"/>
                                          <w:bCs/>
                                          <w:color w:val="000000"/>
                                          <w:szCs w:val="22"/>
                                          <w:lang w:eastAsia="ja-JP" w:bidi="ar-SA"/>
                                        </w:rPr>
                                        <w:t>îndemâna copiilor</w:t>
                                      </w:r>
                                      <w:r>
                                        <w:rPr>
                                          <w:szCs w:val="22"/>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79197A5" id="Text Box 78" o:spid="_x0000_s1038" type="#_x0000_t202" style="position:absolute;margin-left:.55pt;margin-top:-301pt;width:438.3pt;height:34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CuIBw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7ni8WsIJck3+xtcZWnqmSifP7t0IcPCnoWDxVHKmpCF/t7H2I2onx+EoN5MLrZaGOSgdt6&#10;bZDtBTXAJq1E4MUzY9lA3K7zeX5Q4C8YOa0/YfQ6UCsb3VecOJwfGXsULGp0UCuM9ch0QxGnESkK&#10;WEPzRBIiHFqURooOHeBPzgZqz4r7HzuBijPz0VIZrovZLPZzMmbzd1My8NJTX3qElQRV8cDZ4bgO&#10;aQaSQu6WyrXRSclzJsecqe2SwMcRiX19aadX50Fe/QIAAP//AwBQSwMEFAAGAAgAAAAhAPziMb/f&#10;AAAACwEAAA8AAABkcnMvZG93bnJldi54bWxMj81OwzAQhO9IvIO1SNxau6UkVYhTIaQKiRspaq+u&#10;vU0i/BNiNwlvz3KC48x+mp0pd7OzbMQhdsFLWC0FMPQ6mM43Ej4O+8UWWEzKG2WDRwnfGGFX3d6U&#10;qjBh8u841qlhFOJjoSS0KfUF51G36FRchh493S5hcCqRHBpuBjVRuLN8LUTGneo8fWhVjy8t6s/6&#10;6iTsM3XpT68bq8e3+ksfj1N3OjRS3t/Nz0/AEs7pD4bf+lQdKup0DldvIrOkVwRKWGRiTZsI2OZ5&#10;DuxM1uPDRgCvSv5/Q/UDAAD//wMAUEsBAi0AFAAGAAgAAAAhALaDOJL+AAAA4QEAABMAAAAAAAAA&#10;AAAAAAAAAAAAAFtDb250ZW50X1R5cGVzXS54bWxQSwECLQAUAAYACAAAACEAOP0h/9YAAACUAQAA&#10;CwAAAAAAAAAAAAAAAAAvAQAAX3JlbHMvLnJlbHNQSwECLQAUAAYACAAAACEAKdAriAcCAAAQBAAA&#10;DgAAAAAAAAAAAAAAAAAuAgAAZHJzL2Uyb0RvYy54bWxQSwECLQAUAAYACAAAACEA/OIxv98AAAAL&#10;AQAADwAAAAAAAAAAAAAAAABhBAAAZHJzL2Rvd25yZXYueG1sUEsFBgAAAAAEAAQA8wAAAG0FAAAA&#10;AA==&#10;" strokecolor="red" strokeweight="1.5pt">
                        <v:textbox style="mso-fit-shape-to-text:t">
                          <w:txbxContent>
                            <w:p w14:paraId="01F4D320" w14:textId="77777777" w:rsidR="00C04CAD" w:rsidRDefault="00060E34">
                              <w:pPr>
                                <w:spacing w:line="240" w:lineRule="auto"/>
                              </w:pPr>
                              <w:ins w:id="190" w:author="Author">
                                <w:r>
                                  <w:rPr>
                                    <w:b/>
                                    <w:bCs/>
                                    <w:szCs w:val="22"/>
                                  </w:rPr>
                                  <w:t>Important</w:t>
                                </w:r>
                                <w:r w:rsidRPr="001C668B">
                                  <w:rPr>
                                    <w:b/>
                                    <w:bCs/>
                                    <w:szCs w:val="22"/>
                                    <w:rPrChange w:id="191" w:author="Author">
                                      <w:rPr>
                                        <w:szCs w:val="22"/>
                                      </w:rPr>
                                    </w:rPrChange>
                                  </w:rPr>
                                  <w:t>:</w:t>
                                </w:r>
                                <w:r>
                                  <w:rPr>
                                    <w:szCs w:val="22"/>
                                  </w:rPr>
                                  <w:t xml:space="preserve"> </w:t>
                                </w:r>
                                <w:r>
                                  <w:rPr>
                                    <w:rFonts w:eastAsia="PMingLiU"/>
                                    <w:color w:val="000000"/>
                                    <w:szCs w:val="22"/>
                                    <w:lang w:eastAsia="ja-JP" w:bidi="ar-SA"/>
                                  </w:rPr>
                                  <w:t xml:space="preserve">Nu lăsați niciodată recipientul pentru eliminarea </w:t>
                                </w:r>
                                <w:r>
                                  <w:rPr>
                                    <w:color w:val="000000"/>
                                    <w:szCs w:val="22"/>
                                    <w:lang w:eastAsia="ja-JP"/>
                                  </w:rPr>
                                  <w:t xml:space="preserve">la deșeuri a </w:t>
                                </w:r>
                                <w:r>
                                  <w:rPr>
                                    <w:rFonts w:eastAsia="PMingLiU"/>
                                    <w:color w:val="000000"/>
                                    <w:szCs w:val="22"/>
                                    <w:lang w:eastAsia="ja-JP" w:bidi="ar-SA"/>
                                  </w:rPr>
                                  <w:t xml:space="preserve">obiectelor ascuțite la vederea și </w:t>
                                </w:r>
                                <w:r>
                                  <w:rPr>
                                    <w:rFonts w:eastAsia="PMingLiU"/>
                                    <w:bCs/>
                                    <w:color w:val="000000"/>
                                    <w:szCs w:val="22"/>
                                    <w:lang w:eastAsia="ja-JP" w:bidi="ar-SA"/>
                                  </w:rPr>
                                  <w:t>îndemâna copiilor</w:t>
                                </w:r>
                                <w:r>
                                  <w:rPr>
                                    <w:szCs w:val="22"/>
                                  </w:rPr>
                                  <w:t>.</w:t>
                                </w:r>
                              </w:ins>
                            </w:p>
                          </w:txbxContent>
                        </v:textbox>
                        <w10:wrap type="square" anchorx="margin"/>
                      </v:shape>
                    </w:pict>
                  </mc:Fallback>
                </mc:AlternateContent>
              </w:r>
            </w:ins>
            <w:del w:id="182" w:author="Author">
              <w:r>
                <w:rPr>
                  <w:b/>
                  <w:bCs/>
                  <w:szCs w:val="22"/>
                </w:rPr>
                <w:delText>Important</w:delText>
              </w:r>
              <w:r>
                <w:rPr>
                  <w:szCs w:val="22"/>
                </w:rPr>
                <w:delText xml:space="preserve">: </w:delText>
              </w:r>
              <w:r>
                <w:rPr>
                  <w:rFonts w:eastAsia="PMingLiU"/>
                  <w:color w:val="000000"/>
                  <w:szCs w:val="22"/>
                  <w:lang w:eastAsia="ja-JP" w:bidi="ar-SA"/>
                </w:rPr>
                <w:delText xml:space="preserve">Nu lăsați niciodată recipientul pentru eliminarea </w:delText>
              </w:r>
              <w:r>
                <w:rPr>
                  <w:color w:val="000000"/>
                  <w:szCs w:val="22"/>
                  <w:lang w:eastAsia="ja-JP"/>
                </w:rPr>
                <w:delText xml:space="preserve">la deșeuri a </w:delText>
              </w:r>
              <w:r>
                <w:rPr>
                  <w:rFonts w:eastAsia="PMingLiU"/>
                  <w:color w:val="000000"/>
                  <w:szCs w:val="22"/>
                  <w:lang w:eastAsia="ja-JP" w:bidi="ar-SA"/>
                </w:rPr>
                <w:delText xml:space="preserve">obiectelor ascuțite la vederea și </w:delText>
              </w:r>
              <w:r>
                <w:rPr>
                  <w:rFonts w:eastAsia="PMingLiU"/>
                  <w:bCs/>
                  <w:color w:val="000000"/>
                  <w:szCs w:val="22"/>
                  <w:lang w:eastAsia="ja-JP" w:bidi="ar-SA"/>
                </w:rPr>
                <w:delText>îndemâna copiilor</w:delText>
              </w:r>
              <w:r>
                <w:rPr>
                  <w:szCs w:val="22"/>
                </w:rPr>
                <w:delText>.</w:delText>
              </w:r>
            </w:del>
          </w:p>
        </w:tc>
      </w:tr>
    </w:tbl>
    <w:p w14:paraId="4677083E" w14:textId="77777777" w:rsidR="00C04CAD" w:rsidRDefault="00C04CAD">
      <w:pPr>
        <w:tabs>
          <w:tab w:val="left" w:pos="1134"/>
        </w:tabs>
        <w:spacing w:line="240" w:lineRule="auto"/>
      </w:pPr>
    </w:p>
    <w:tbl>
      <w:tblPr>
        <w:tblW w:w="90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8447"/>
      </w:tblGrid>
      <w:tr w:rsidR="00C04CAD" w14:paraId="55D4CA46" w14:textId="77777777">
        <w:trPr>
          <w:trHeight w:val="345"/>
        </w:trPr>
        <w:tc>
          <w:tcPr>
            <w:tcW w:w="566" w:type="dxa"/>
          </w:tcPr>
          <w:p w14:paraId="5F8417C0" w14:textId="77777777" w:rsidR="00C04CAD" w:rsidRDefault="00060E34">
            <w:pPr>
              <w:pStyle w:val="ListParagraph"/>
              <w:keepNext/>
              <w:keepLines/>
              <w:autoSpaceDE w:val="0"/>
              <w:autoSpaceDN w:val="0"/>
              <w:adjustRightInd w:val="0"/>
              <w:spacing w:line="240" w:lineRule="auto"/>
              <w:ind w:left="0"/>
              <w:textAlignment w:val="center"/>
              <w:rPr>
                <w:szCs w:val="22"/>
              </w:rPr>
            </w:pPr>
            <w:r>
              <w:rPr>
                <w:b/>
                <w:bCs/>
                <w:szCs w:val="22"/>
              </w:rPr>
              <w:t>5b</w:t>
            </w:r>
          </w:p>
        </w:tc>
        <w:tc>
          <w:tcPr>
            <w:tcW w:w="8447" w:type="dxa"/>
          </w:tcPr>
          <w:p w14:paraId="699009CC" w14:textId="77777777" w:rsidR="00C04CAD" w:rsidRDefault="00060E34">
            <w:pPr>
              <w:pStyle w:val="ListParagraph"/>
              <w:keepNext/>
              <w:keepLines/>
              <w:autoSpaceDE w:val="0"/>
              <w:autoSpaceDN w:val="0"/>
              <w:adjustRightInd w:val="0"/>
              <w:spacing w:line="240" w:lineRule="auto"/>
              <w:ind w:left="0"/>
              <w:textAlignment w:val="center"/>
              <w:rPr>
                <w:szCs w:val="22"/>
              </w:rPr>
            </w:pPr>
            <w:r>
              <w:rPr>
                <w:b/>
              </w:rPr>
              <w:t>Verificați locul injectării</w:t>
            </w:r>
            <w:r>
              <w:rPr>
                <w:b/>
                <w:bCs/>
                <w:szCs w:val="22"/>
              </w:rPr>
              <w:t>.</w:t>
            </w:r>
          </w:p>
        </w:tc>
      </w:tr>
      <w:tr w:rsidR="00C04CAD" w14:paraId="449D6CE2" w14:textId="77777777">
        <w:trPr>
          <w:trHeight w:val="325"/>
        </w:trPr>
        <w:tc>
          <w:tcPr>
            <w:tcW w:w="566" w:type="dxa"/>
            <w:tcBorders>
              <w:bottom w:val="nil"/>
              <w:right w:val="nil"/>
            </w:tcBorders>
          </w:tcPr>
          <w:p w14:paraId="5F60C03C" w14:textId="77777777" w:rsidR="00C04CAD" w:rsidRDefault="00C04CAD">
            <w:pPr>
              <w:pStyle w:val="ListParagraph"/>
              <w:keepNext/>
              <w:keepLines/>
              <w:numPr>
                <w:ilvl w:val="0"/>
                <w:numId w:val="106"/>
              </w:numPr>
              <w:tabs>
                <w:tab w:val="clear" w:pos="567"/>
              </w:tabs>
              <w:autoSpaceDE w:val="0"/>
              <w:autoSpaceDN w:val="0"/>
              <w:adjustRightInd w:val="0"/>
              <w:spacing w:line="240" w:lineRule="auto"/>
              <w:ind w:left="567" w:hanging="567"/>
              <w:textAlignment w:val="center"/>
              <w:rPr>
                <w:szCs w:val="22"/>
              </w:rPr>
            </w:pPr>
          </w:p>
        </w:tc>
        <w:tc>
          <w:tcPr>
            <w:tcW w:w="8447" w:type="dxa"/>
            <w:tcBorders>
              <w:left w:val="nil"/>
              <w:bottom w:val="nil"/>
            </w:tcBorders>
          </w:tcPr>
          <w:p w14:paraId="1DBBB1B7" w14:textId="77777777" w:rsidR="00C04CAD" w:rsidRDefault="00060E34">
            <w:pPr>
              <w:pStyle w:val="ListParagraph"/>
              <w:keepNext/>
              <w:keepLines/>
              <w:autoSpaceDE w:val="0"/>
              <w:autoSpaceDN w:val="0"/>
              <w:adjustRightInd w:val="0"/>
              <w:spacing w:line="240" w:lineRule="auto"/>
              <w:ind w:left="0" w:right="1414"/>
              <w:textAlignment w:val="center"/>
              <w:rPr>
                <w:szCs w:val="22"/>
              </w:rPr>
            </w:pPr>
            <w:r>
              <w:rPr>
                <w:b/>
              </w:rPr>
              <w:t>Nu</w:t>
            </w:r>
            <w:r>
              <w:t xml:space="preserve"> frecaţi locul injectării</w:t>
            </w:r>
            <w:r>
              <w:rPr>
                <w:color w:val="000000"/>
                <w:szCs w:val="22"/>
              </w:rPr>
              <w:t>.</w:t>
            </w:r>
          </w:p>
        </w:tc>
      </w:tr>
      <w:tr w:rsidR="00C04CAD" w14:paraId="7102742E" w14:textId="77777777">
        <w:trPr>
          <w:trHeight w:val="366"/>
        </w:trPr>
        <w:tc>
          <w:tcPr>
            <w:tcW w:w="566" w:type="dxa"/>
            <w:tcBorders>
              <w:top w:val="nil"/>
              <w:right w:val="nil"/>
            </w:tcBorders>
          </w:tcPr>
          <w:p w14:paraId="6666E4CE" w14:textId="77777777" w:rsidR="00C04CAD" w:rsidRDefault="00C04CAD">
            <w:pPr>
              <w:pStyle w:val="ARROWBULLETED"/>
              <w:keepNext/>
              <w:keepLines/>
              <w:widowControl/>
              <w:numPr>
                <w:ilvl w:val="0"/>
                <w:numId w:val="107"/>
              </w:numPr>
              <w:tabs>
                <w:tab w:val="clear" w:pos="828"/>
              </w:tabs>
              <w:suppressAutoHyphens w:val="0"/>
              <w:spacing w:before="0" w:line="240" w:lineRule="auto"/>
              <w:ind w:left="567" w:hanging="567"/>
              <w:rPr>
                <w:spacing w:val="0"/>
                <w:sz w:val="22"/>
                <w:szCs w:val="22"/>
                <w:lang w:val="ro-RO"/>
              </w:rPr>
            </w:pPr>
          </w:p>
        </w:tc>
        <w:tc>
          <w:tcPr>
            <w:tcW w:w="8447" w:type="dxa"/>
            <w:tcBorders>
              <w:top w:val="nil"/>
              <w:left w:val="nil"/>
            </w:tcBorders>
          </w:tcPr>
          <w:p w14:paraId="14649059" w14:textId="77777777" w:rsidR="00C04CAD" w:rsidRDefault="00060E34">
            <w:pPr>
              <w:spacing w:line="240" w:lineRule="auto"/>
              <w:rPr>
                <w:szCs w:val="22"/>
              </w:rPr>
            </w:pPr>
            <w:r>
              <w:t xml:space="preserve">Dacă există sânge, </w:t>
            </w:r>
            <w:r>
              <w:rPr>
                <w:color w:val="000000"/>
                <w:szCs w:val="22"/>
                <w:lang w:eastAsia="en-US" w:bidi="ar-SA"/>
              </w:rPr>
              <w:t>țineți apăsat un tampon de vată sau o compresă de tifon</w:t>
            </w:r>
            <w:r>
              <w:t xml:space="preserve"> pe locul injectării. Aplicați un plasture, dacă este necesar</w:t>
            </w:r>
            <w:r>
              <w:rPr>
                <w:szCs w:val="22"/>
              </w:rPr>
              <w:t xml:space="preserve">. </w:t>
            </w:r>
          </w:p>
        </w:tc>
      </w:tr>
    </w:tbl>
    <w:p w14:paraId="062FFE5A" w14:textId="77777777" w:rsidR="00C04CAD" w:rsidRDefault="00C04CAD">
      <w:pPr>
        <w:numPr>
          <w:ilvl w:val="12"/>
          <w:numId w:val="0"/>
        </w:numPr>
        <w:tabs>
          <w:tab w:val="clear" w:pos="567"/>
        </w:tabs>
        <w:spacing w:line="240" w:lineRule="auto"/>
      </w:pPr>
    </w:p>
    <w:p w14:paraId="7A3D7D10" w14:textId="77777777" w:rsidR="00C04CAD" w:rsidRDefault="00060E34">
      <w:pPr>
        <w:tabs>
          <w:tab w:val="clear" w:pos="567"/>
        </w:tabs>
        <w:spacing w:line="240" w:lineRule="auto"/>
      </w:pPr>
      <w:r>
        <w:br w:type="page"/>
      </w:r>
    </w:p>
    <w:p w14:paraId="23F3BBC3" w14:textId="77777777" w:rsidR="00C04CAD" w:rsidRDefault="00060E34">
      <w:pPr>
        <w:keepNext/>
        <w:tabs>
          <w:tab w:val="clear" w:pos="567"/>
        </w:tabs>
        <w:kinsoku w:val="0"/>
        <w:overflowPunct w:val="0"/>
        <w:autoSpaceDE w:val="0"/>
        <w:autoSpaceDN w:val="0"/>
        <w:adjustRightInd w:val="0"/>
        <w:spacing w:line="240" w:lineRule="auto"/>
        <w:jc w:val="center"/>
        <w:outlineLvl w:val="0"/>
        <w:rPr>
          <w:b/>
          <w:bCs/>
          <w:szCs w:val="22"/>
          <w:lang w:eastAsia="en-US" w:bidi="ar-SA"/>
        </w:rPr>
      </w:pPr>
      <w:r>
        <w:rPr>
          <w:b/>
          <w:bCs/>
          <w:szCs w:val="22"/>
          <w:lang w:eastAsia="en-US" w:bidi="ar-SA"/>
        </w:rPr>
        <w:t>Prospect: Informaţii pentru pacient</w:t>
      </w:r>
    </w:p>
    <w:p w14:paraId="5876DF83" w14:textId="77777777" w:rsidR="00C04CAD" w:rsidRDefault="00C04CAD">
      <w:pPr>
        <w:tabs>
          <w:tab w:val="clear" w:pos="567"/>
        </w:tabs>
        <w:autoSpaceDE w:val="0"/>
        <w:autoSpaceDN w:val="0"/>
        <w:adjustRightInd w:val="0"/>
        <w:spacing w:line="240" w:lineRule="auto"/>
        <w:rPr>
          <w:b/>
          <w:sz w:val="24"/>
          <w:szCs w:val="24"/>
          <w:lang w:eastAsia="en-US" w:bidi="ar-SA"/>
        </w:rPr>
      </w:pPr>
    </w:p>
    <w:p w14:paraId="63697CDB"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40 mg soluţie injectabilă în pen preumplut</w:t>
      </w:r>
    </w:p>
    <w:p w14:paraId="60E7B659" w14:textId="77777777" w:rsidR="00C04CAD" w:rsidRDefault="00060E34">
      <w:pPr>
        <w:tabs>
          <w:tab w:val="clear" w:pos="567"/>
        </w:tabs>
        <w:kinsoku w:val="0"/>
        <w:overflowPunct w:val="0"/>
        <w:autoSpaceDE w:val="0"/>
        <w:autoSpaceDN w:val="0"/>
        <w:adjustRightInd w:val="0"/>
        <w:spacing w:line="240" w:lineRule="auto"/>
        <w:jc w:val="center"/>
        <w:rPr>
          <w:szCs w:val="22"/>
          <w:lang w:eastAsia="en-US" w:bidi="ar-SA"/>
        </w:rPr>
      </w:pPr>
      <w:r>
        <w:rPr>
          <w:szCs w:val="22"/>
          <w:lang w:eastAsia="en-US" w:bidi="ar-SA"/>
        </w:rPr>
        <w:t>adalimumab</w:t>
      </w:r>
    </w:p>
    <w:p w14:paraId="344B578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6A0F7D" w14:textId="77777777" w:rsidR="00C04CAD" w:rsidRDefault="00C04CAD">
      <w:pPr>
        <w:tabs>
          <w:tab w:val="clear" w:pos="567"/>
        </w:tabs>
        <w:autoSpaceDE w:val="0"/>
        <w:autoSpaceDN w:val="0"/>
        <w:adjustRightInd w:val="0"/>
        <w:spacing w:line="240" w:lineRule="auto"/>
        <w:rPr>
          <w:b/>
          <w:bCs/>
          <w:sz w:val="24"/>
          <w:szCs w:val="24"/>
          <w:lang w:eastAsia="en-US" w:bidi="ar-SA"/>
        </w:rPr>
      </w:pPr>
    </w:p>
    <w:p w14:paraId="04E11DC2" w14:textId="77777777" w:rsidR="00C04CAD" w:rsidRDefault="00060E34">
      <w:pPr>
        <w:tabs>
          <w:tab w:val="clear" w:pos="567"/>
        </w:tabs>
        <w:kinsoku w:val="0"/>
        <w:overflowPunct w:val="0"/>
        <w:autoSpaceDE w:val="0"/>
        <w:autoSpaceDN w:val="0"/>
        <w:adjustRightInd w:val="0"/>
        <w:spacing w:line="240" w:lineRule="auto"/>
        <w:outlineLvl w:val="0"/>
        <w:rPr>
          <w:bCs/>
          <w:szCs w:val="22"/>
          <w:lang w:eastAsia="en-US" w:bidi="ar-SA"/>
        </w:rPr>
      </w:pPr>
      <w:r>
        <w:rPr>
          <w:b/>
          <w:bCs/>
          <w:szCs w:val="22"/>
          <w:lang w:eastAsia="en-US" w:bidi="ar-SA"/>
        </w:rPr>
        <w:t>Citiţi cu atenţie şi în întregime acest prospect înainte de a începe să utilizaţi acest medicament deoarece acesta conţine informaţii importante pentru dumneavoastră.</w:t>
      </w:r>
    </w:p>
    <w:p w14:paraId="4B3F4BCE" w14:textId="77777777" w:rsidR="00C04CAD" w:rsidRDefault="00060E34">
      <w:pPr>
        <w:numPr>
          <w:ilvl w:val="0"/>
          <w:numId w:val="7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Păstraţi acest prospect. S-ar putea să fie necesar să-l recitiţi.</w:t>
      </w:r>
    </w:p>
    <w:p w14:paraId="564BFDBE" w14:textId="77777777" w:rsidR="00C04CAD" w:rsidRDefault="00060E34">
      <w:pPr>
        <w:numPr>
          <w:ilvl w:val="0"/>
          <w:numId w:val="70"/>
        </w:numPr>
        <w:tabs>
          <w:tab w:val="clear" w:pos="567"/>
        </w:tabs>
        <w:kinsoku w:val="0"/>
        <w:overflowPunct w:val="0"/>
        <w:autoSpaceDE w:val="0"/>
        <w:autoSpaceDN w:val="0"/>
        <w:adjustRightInd w:val="0"/>
        <w:spacing w:line="240" w:lineRule="auto"/>
        <w:ind w:left="567" w:hanging="567"/>
      </w:pPr>
      <w:r>
        <w:rPr>
          <w:szCs w:val="22"/>
          <w:lang w:eastAsia="en-US" w:bidi="ar-SA"/>
        </w:rPr>
        <w:t xml:space="preserve">Medicul dumneavoastră vă va da de asemenea un </w:t>
      </w:r>
      <w:r>
        <w:rPr>
          <w:b/>
          <w:szCs w:val="22"/>
          <w:lang w:eastAsia="en-US" w:bidi="ar-SA"/>
        </w:rPr>
        <w:t xml:space="preserve">Card de </w:t>
      </w:r>
      <w:r>
        <w:rPr>
          <w:b/>
          <w:szCs w:val="22"/>
        </w:rPr>
        <w:t>avertizare al pacientului</w:t>
      </w:r>
      <w:r>
        <w:rPr>
          <w:szCs w:val="22"/>
          <w:lang w:eastAsia="en-US" w:bidi="ar-SA"/>
        </w:rPr>
        <w:t xml:space="preserve"> care conţine informaţii importante privind siguranţa, informaţii de care aveţi nevoie pentru a fi atenţionaţi înainte de a utiliza AMGEVITA şi în timpul tratamentului cu AMGEVITA.</w:t>
      </w:r>
      <w:r>
        <w:t xml:space="preserve"> Păstraţi asupra dumneavoastră acest </w:t>
      </w:r>
      <w:r>
        <w:rPr>
          <w:b/>
        </w:rPr>
        <w:t xml:space="preserve">Card de </w:t>
      </w:r>
      <w:r>
        <w:rPr>
          <w:b/>
          <w:szCs w:val="22"/>
        </w:rPr>
        <w:t>avertizare al pacientului</w:t>
      </w:r>
      <w:r>
        <w:t>.</w:t>
      </w:r>
    </w:p>
    <w:p w14:paraId="3C524F0B" w14:textId="77777777" w:rsidR="00C04CAD" w:rsidRDefault="00060E34">
      <w:pPr>
        <w:numPr>
          <w:ilvl w:val="0"/>
          <w:numId w:val="70"/>
        </w:numPr>
        <w:tabs>
          <w:tab w:val="clear" w:pos="567"/>
        </w:tabs>
        <w:kinsoku w:val="0"/>
        <w:overflowPunct w:val="0"/>
        <w:autoSpaceDE w:val="0"/>
        <w:autoSpaceDN w:val="0"/>
        <w:adjustRightInd w:val="0"/>
        <w:spacing w:line="240" w:lineRule="auto"/>
        <w:ind w:left="567" w:hanging="567"/>
      </w:pPr>
      <w:r>
        <w:t>Dacă aveţi orice întrebări suplimentare, adresaţi-vă medicului dumneavoastră sau farmacistului.</w:t>
      </w:r>
    </w:p>
    <w:p w14:paraId="3CAF3DDA" w14:textId="77777777" w:rsidR="00C04CAD" w:rsidRDefault="00060E34">
      <w:pPr>
        <w:numPr>
          <w:ilvl w:val="0"/>
          <w:numId w:val="70"/>
        </w:numPr>
        <w:tabs>
          <w:tab w:val="clear" w:pos="567"/>
        </w:tabs>
        <w:kinsoku w:val="0"/>
        <w:overflowPunct w:val="0"/>
        <w:autoSpaceDE w:val="0"/>
        <w:autoSpaceDN w:val="0"/>
        <w:adjustRightInd w:val="0"/>
        <w:spacing w:line="240" w:lineRule="auto"/>
        <w:ind w:left="567" w:hanging="567"/>
      </w:pPr>
      <w:r>
        <w:t>Acest medicament a fost prescris numai pentru dumneavoastră. Nu trebuie să-l daţi altor persoane. Le poate face rău, chiar dacă au aceleaşi semne de boală cu ale dumneavoastră.</w:t>
      </w:r>
    </w:p>
    <w:p w14:paraId="29E49A68" w14:textId="77777777" w:rsidR="00C04CAD" w:rsidRDefault="00060E34">
      <w:pPr>
        <w:numPr>
          <w:ilvl w:val="0"/>
          <w:numId w:val="70"/>
        </w:numPr>
        <w:tabs>
          <w:tab w:val="clear" w:pos="567"/>
        </w:tabs>
        <w:kinsoku w:val="0"/>
        <w:overflowPunct w:val="0"/>
        <w:autoSpaceDE w:val="0"/>
        <w:autoSpaceDN w:val="0"/>
        <w:adjustRightInd w:val="0"/>
        <w:spacing w:line="240" w:lineRule="auto"/>
        <w:ind w:left="567" w:hanging="567"/>
      </w:pPr>
      <w:r>
        <w:t>Dacă aveţi orice reacţie adversă spuneţi medicului dumneavoastră sau farmacistului. Aceasta include orice posibilă reacţie adversă nemenţionată în acest prospect (vezi pct. 4).</w:t>
      </w:r>
    </w:p>
    <w:p w14:paraId="420442D3" w14:textId="77777777" w:rsidR="00C04CAD" w:rsidRDefault="00C04CAD">
      <w:pPr>
        <w:tabs>
          <w:tab w:val="clear" w:pos="567"/>
        </w:tabs>
        <w:kinsoku w:val="0"/>
        <w:overflowPunct w:val="0"/>
        <w:autoSpaceDE w:val="0"/>
        <w:autoSpaceDN w:val="0"/>
        <w:adjustRightInd w:val="0"/>
        <w:spacing w:line="240" w:lineRule="auto"/>
      </w:pPr>
    </w:p>
    <w:p w14:paraId="38847796" w14:textId="77777777" w:rsidR="00C04CAD" w:rsidRDefault="00060E34">
      <w:pPr>
        <w:tabs>
          <w:tab w:val="clear" w:pos="567"/>
        </w:tabs>
        <w:kinsoku w:val="0"/>
        <w:overflowPunct w:val="0"/>
        <w:autoSpaceDE w:val="0"/>
        <w:autoSpaceDN w:val="0"/>
        <w:adjustRightInd w:val="0"/>
        <w:spacing w:line="240" w:lineRule="auto"/>
        <w:outlineLvl w:val="0"/>
        <w:rPr>
          <w:bCs/>
        </w:rPr>
      </w:pPr>
      <w:r>
        <w:rPr>
          <w:b/>
        </w:rPr>
        <w:t>Ce găsiţi în acest prospect:</w:t>
      </w:r>
    </w:p>
    <w:p w14:paraId="4CEC94A7" w14:textId="77777777" w:rsidR="00C04CAD" w:rsidRDefault="00C04CAD">
      <w:pPr>
        <w:tabs>
          <w:tab w:val="clear" w:pos="567"/>
        </w:tabs>
        <w:autoSpaceDE w:val="0"/>
        <w:autoSpaceDN w:val="0"/>
        <w:adjustRightInd w:val="0"/>
        <w:spacing w:line="240" w:lineRule="auto"/>
        <w:rPr>
          <w:bCs/>
          <w:sz w:val="24"/>
          <w:szCs w:val="24"/>
          <w:lang w:eastAsia="en-US" w:bidi="ar-SA"/>
        </w:rPr>
      </w:pPr>
    </w:p>
    <w:p w14:paraId="2B0F985F"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Ce este AMGEVITA şi pentru ce se utilizează</w:t>
      </w:r>
    </w:p>
    <w:p w14:paraId="105535DA"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Ce trebuie să ştiţi înainte să utilizaţi AMGEVITA</w:t>
      </w:r>
    </w:p>
    <w:p w14:paraId="2FFFAEA8"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Cum să utilizaţi AMGEVITA</w:t>
      </w:r>
    </w:p>
    <w:p w14:paraId="7EDC414A"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hanging="567"/>
      </w:pPr>
      <w:r>
        <w:t>Reacţii adverse posibile</w:t>
      </w:r>
    </w:p>
    <w:p w14:paraId="62C1A10D"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Cum se păstrează AMGEVITA</w:t>
      </w:r>
    </w:p>
    <w:p w14:paraId="394C6297" w14:textId="77777777" w:rsidR="00C04CAD" w:rsidRDefault="00060E34">
      <w:pPr>
        <w:numPr>
          <w:ilvl w:val="0"/>
          <w:numId w:val="108"/>
        </w:numPr>
        <w:tabs>
          <w:tab w:val="clear" w:pos="567"/>
        </w:tabs>
        <w:kinsoku w:val="0"/>
        <w:overflowPunct w:val="0"/>
        <w:autoSpaceDE w:val="0"/>
        <w:autoSpaceDN w:val="0"/>
        <w:adjustRightInd w:val="0"/>
        <w:spacing w:line="240" w:lineRule="auto"/>
        <w:ind w:left="567" w:hanging="567"/>
      </w:pPr>
      <w:r>
        <w:t>Conţinutul ambalajului şi alte informaţii</w:t>
      </w:r>
    </w:p>
    <w:p w14:paraId="426EFFCA" w14:textId="77777777" w:rsidR="00C04CAD" w:rsidRDefault="00C04CAD">
      <w:pPr>
        <w:tabs>
          <w:tab w:val="clear" w:pos="567"/>
        </w:tabs>
        <w:kinsoku w:val="0"/>
        <w:overflowPunct w:val="0"/>
        <w:autoSpaceDE w:val="0"/>
        <w:autoSpaceDN w:val="0"/>
        <w:adjustRightInd w:val="0"/>
        <w:spacing w:line="240" w:lineRule="auto"/>
      </w:pPr>
    </w:p>
    <w:p w14:paraId="3757C66B" w14:textId="77777777" w:rsidR="00C04CAD" w:rsidRDefault="00C04CAD">
      <w:pPr>
        <w:tabs>
          <w:tab w:val="clear" w:pos="567"/>
        </w:tabs>
        <w:kinsoku w:val="0"/>
        <w:overflowPunct w:val="0"/>
        <w:autoSpaceDE w:val="0"/>
        <w:autoSpaceDN w:val="0"/>
        <w:adjustRightInd w:val="0"/>
        <w:spacing w:line="240" w:lineRule="auto"/>
      </w:pPr>
    </w:p>
    <w:p w14:paraId="3D63CF23" w14:textId="77777777" w:rsidR="00C04CAD" w:rsidRDefault="00060E34">
      <w:pPr>
        <w:numPr>
          <w:ilvl w:val="0"/>
          <w:numId w:val="109"/>
        </w:numPr>
        <w:tabs>
          <w:tab w:val="clear" w:pos="567"/>
        </w:tabs>
        <w:kinsoku w:val="0"/>
        <w:overflowPunct w:val="0"/>
        <w:autoSpaceDE w:val="0"/>
        <w:autoSpaceDN w:val="0"/>
        <w:adjustRightInd w:val="0"/>
        <w:spacing w:line="240" w:lineRule="auto"/>
        <w:ind w:left="567"/>
        <w:outlineLvl w:val="0"/>
        <w:rPr>
          <w:szCs w:val="22"/>
          <w:lang w:eastAsia="en-US" w:bidi="ar-SA"/>
        </w:rPr>
      </w:pPr>
      <w:r>
        <w:rPr>
          <w:b/>
          <w:bCs/>
          <w:szCs w:val="22"/>
          <w:lang w:eastAsia="en-US" w:bidi="ar-SA"/>
        </w:rPr>
        <w:t>Ce este AMGEVITA şi pentru ce se utilizează</w:t>
      </w:r>
    </w:p>
    <w:p w14:paraId="390E4A8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44D1A1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conţine substanţa activă adalimumab</w:t>
      </w:r>
      <w:r>
        <w:t>, un medicament care acționează asupra sistemului imunitar (de apărare) al organismului</w:t>
      </w:r>
      <w:r>
        <w:rPr>
          <w:szCs w:val="22"/>
          <w:lang w:eastAsia="en-US" w:bidi="ar-SA"/>
        </w:rPr>
        <w:t xml:space="preserve">. </w:t>
      </w:r>
    </w:p>
    <w:p w14:paraId="4CEDEAE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E59429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este destinat tratamentului bolilor inflamatorii descrise mai jos :</w:t>
      </w:r>
    </w:p>
    <w:p w14:paraId="215D3856"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Poliartrită reumatoidă </w:t>
      </w:r>
    </w:p>
    <w:p w14:paraId="1046F0AB"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juvenilă idiopatică forma poliarticulară </w:t>
      </w:r>
    </w:p>
    <w:p w14:paraId="0C8B9728"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asociată entezitei </w:t>
      </w:r>
    </w:p>
    <w:p w14:paraId="62329480"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Spondilită anchilozantă </w:t>
      </w:r>
    </w:p>
    <w:p w14:paraId="4977CA77"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Spondiloartrită axială fără dovadă radiologică a spondilitei anchilozante </w:t>
      </w:r>
    </w:p>
    <w:p w14:paraId="139F1A83"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psoriazică </w:t>
      </w:r>
    </w:p>
    <w:p w14:paraId="59C8E0EA"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Psoriazis în plăci </w:t>
      </w:r>
    </w:p>
    <w:p w14:paraId="0A695C3C"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Hidrosadenită supurativă  </w:t>
      </w:r>
    </w:p>
    <w:p w14:paraId="07041A81"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Boală Crohn </w:t>
      </w:r>
    </w:p>
    <w:p w14:paraId="43797CE3"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Colită ulcerativă </w:t>
      </w:r>
    </w:p>
    <w:p w14:paraId="26B8E8E2"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Uveită non-infecţioasă </w:t>
      </w:r>
    </w:p>
    <w:p w14:paraId="1ECAE67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8F83E3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Substanţa activă a AMGEVITA, adalimumab, este un anticorp monoclonal uman. Anticorpii monoclonali sunt proteine care se </w:t>
      </w:r>
      <w:r>
        <w:rPr>
          <w:szCs w:val="22"/>
        </w:rPr>
        <w:t>ataşează</w:t>
      </w:r>
      <w:r>
        <w:rPr>
          <w:szCs w:val="22"/>
          <w:lang w:eastAsia="en-US" w:bidi="ar-SA"/>
        </w:rPr>
        <w:t xml:space="preserve"> specific de ţintă. </w:t>
      </w:r>
    </w:p>
    <w:p w14:paraId="1676CB4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660FE5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Ţinta adalimumabului este o proteină denumită factor de necroză tumorală (TNFα), care este implicată în sistemul imunitar (de apărare) și este prezentă în concentrații crescute în bolile inflamatorii enumerate mai sus. Prin atașarea la TNFa, AMGEVITA scade procesul de inflamare din aceste boli.</w:t>
      </w:r>
    </w:p>
    <w:p w14:paraId="320B2FF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23D06ED"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Poliartrită reumatoidă</w:t>
      </w:r>
    </w:p>
    <w:p w14:paraId="2A3FA244"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640E16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Poliartrita reumatoidă este o boală inflamatorie a articulaţiilor.</w:t>
      </w:r>
    </w:p>
    <w:p w14:paraId="6213BF9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AAA3D9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poliartritei reumatoide la adult. Dacă aveţi poliartrită reumatoidă activă moderată până la severă, este posibil să vi se administreze întâi alte medicamente care modifică evoluţia bolii, cum este metotrexat. Dacă nu răspundeţi suficient de bine la aceste medicamente, vi se va administra AMGEVITA în vederea tratării poliartritei dumneavoastră reumatoide.</w:t>
      </w:r>
    </w:p>
    <w:p w14:paraId="600A21C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FBF7BA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poate fi de asemenea folosit pentru a trata poliartrita reumatoidă activă severă şi progresivă fără să se fi administrat anterior tratament cu metotrexat.</w:t>
      </w:r>
    </w:p>
    <w:p w14:paraId="6FF8A39D" w14:textId="77777777" w:rsidR="00C04CAD" w:rsidRDefault="00C04CAD">
      <w:pPr>
        <w:tabs>
          <w:tab w:val="clear" w:pos="567"/>
        </w:tabs>
        <w:kinsoku w:val="0"/>
        <w:overflowPunct w:val="0"/>
        <w:autoSpaceDE w:val="0"/>
        <w:autoSpaceDN w:val="0"/>
        <w:adjustRightInd w:val="0"/>
        <w:spacing w:line="240" w:lineRule="auto"/>
        <w:rPr>
          <w:sz w:val="24"/>
          <w:szCs w:val="24"/>
          <w:lang w:eastAsia="en-US" w:bidi="ar-SA"/>
        </w:rPr>
      </w:pPr>
    </w:p>
    <w:p w14:paraId="30A9C35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încetineşte deteriorarea cartilajului şi a osului de la nivelul articulaţiilor afectate de boală şi îmbunătățește activitatea fizică.</w:t>
      </w:r>
    </w:p>
    <w:p w14:paraId="7BB7731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7C7F43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De obicei, AMGEVITA se administrează împreună cu metotrexat. Dacă medicul dumneavoastră stabileşte că metotrexat nu este adecvat, AMGEVITA poate fi administrat singur.</w:t>
      </w:r>
    </w:p>
    <w:p w14:paraId="5CF0529E" w14:textId="77777777" w:rsidR="00C04CAD" w:rsidRDefault="00C04CAD">
      <w:pPr>
        <w:tabs>
          <w:tab w:val="clear" w:pos="567"/>
        </w:tabs>
        <w:kinsoku w:val="0"/>
        <w:overflowPunct w:val="0"/>
        <w:autoSpaceDE w:val="0"/>
        <w:autoSpaceDN w:val="0"/>
        <w:adjustRightInd w:val="0"/>
        <w:spacing w:line="240" w:lineRule="auto"/>
      </w:pPr>
    </w:p>
    <w:p w14:paraId="0A9E6E8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u w:val="single"/>
        </w:rPr>
        <w:t>Artrită juvenilă idiopatică</w:t>
      </w:r>
      <w:r>
        <w:rPr>
          <w:szCs w:val="22"/>
          <w:u w:val="single"/>
          <w:lang w:eastAsia="en-US" w:bidi="ar-SA"/>
        </w:rPr>
        <w:t xml:space="preserve"> forma poliarticulară şi artrita asociată entezitei</w:t>
      </w:r>
    </w:p>
    <w:p w14:paraId="7B0350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2B1A0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Artrita juvenilă idiopatică</w:t>
      </w:r>
      <w:r>
        <w:rPr>
          <w:szCs w:val="22"/>
          <w:lang w:eastAsia="en-US" w:bidi="ar-SA"/>
        </w:rPr>
        <w:t xml:space="preserve"> forma poliarticulară şi artrita asociată entezitei sunt boli inflamatorii </w:t>
      </w:r>
      <w:r>
        <w:t>ale articulațiilor care apar de obicei prima oară în perioada copilăriei</w:t>
      </w:r>
      <w:r>
        <w:rPr>
          <w:szCs w:val="22"/>
          <w:lang w:eastAsia="en-US" w:bidi="ar-SA"/>
        </w:rPr>
        <w:t>.</w:t>
      </w:r>
    </w:p>
    <w:p w14:paraId="1591F91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C0D1DC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w:t>
      </w:r>
      <w:r>
        <w:t xml:space="preserve"> se utilizează pentru tratamentul artritei juvenile idiopatice forma poliarticulară la pacienţi cu vârsta de la 2 ani şi la pacienţi cu artrită asociată entezitei cu vârsta de la 6 ani. Este posibil să vi se administreze întâi alte medicamente care modifică evoluţia bolii, cum este metotrexat. </w:t>
      </w:r>
      <w:r>
        <w:rPr>
          <w:szCs w:val="22"/>
          <w:lang w:eastAsia="en-US" w:bidi="ar-SA"/>
        </w:rPr>
        <w:t>Dacă nu răspundeţi suficient de bine la aceste medicamente, vi se va administra AMGEVITA în vederea tratării artritei dumneavoastră reumatoide idiopatice juvenile forma poliarticulară sau artritei asociată entezitei.</w:t>
      </w:r>
    </w:p>
    <w:p w14:paraId="3E3C26E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4AD039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Spondilită anchilozantă şi spondiloartrită axială fără dovadă radiologică a spondilitei anchilozante</w:t>
      </w:r>
    </w:p>
    <w:p w14:paraId="1C6FC75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73F4EB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Spondilita anchilozantă şi spondiloartrita axială fără dovadă radiologică a spondilitei anchilozante sunt afecţiuni inflamatorii ale coloanei vertebrale.</w:t>
      </w:r>
    </w:p>
    <w:p w14:paraId="22BC855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554754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spondilitei anchilozante şi a spondiloartritei axiale fără dovadă radiologică a spondilitei anchilozante la adulţi. În cazul în care aveţi spondilită anchilozantă sau spondiloartrită axială fără dovadă radiologică a spondilitei anchilozante, vi se vor administra iniţial alte medicamente. Dacă nu răspundeţi bine la aceste medicamente, vi se va administra AMGEVITA pentru a reduce semnele şi simptomele acestei boli.</w:t>
      </w:r>
    </w:p>
    <w:p w14:paraId="04233B3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6A3AFC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Artrită psoriazică</w:t>
      </w:r>
    </w:p>
    <w:p w14:paraId="609C513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7E4B3F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Artrita psoriazică este o inflamaţie a articulaţiilor asociată psoriazisului.</w:t>
      </w:r>
    </w:p>
    <w:p w14:paraId="4BD84C9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4000CF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artritei psoriazice la adulţi. AMGEVITA încetineşte deteriorarea cartilajului şi a osului din articulaţii determinată de boală şi îmbunătăţeşte activitatea fizică.</w:t>
      </w:r>
    </w:p>
    <w:p w14:paraId="50FEF33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FC6673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Psoriazis în plăci la adulţi şi copii</w:t>
      </w:r>
    </w:p>
    <w:p w14:paraId="5973879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024C1E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Psoriazisul în plăci este o afecţiune a pielii care determină zone de piele roşie, cu coji, cu cruste acoperite cu solzi argintii. </w:t>
      </w:r>
      <w:r>
        <w:t xml:space="preserve">Psoriazisul în plăci poate afecta, de asemenea, unghiile, care pot deveni fărâmicioase, se pot îngroșa și ridica de pe patul unghial, ceea ce poate fi dureros. </w:t>
      </w:r>
      <w:r>
        <w:rPr>
          <w:szCs w:val="22"/>
          <w:lang w:eastAsia="en-US" w:bidi="ar-SA"/>
        </w:rPr>
        <w:t>Psoriazisul este considerat a fi cauzat de o problemă a sistemului imunitar al organismului, care duce la o producție crescută de celule ale pielii.</w:t>
      </w:r>
    </w:p>
    <w:p w14:paraId="5D2FC1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C161B5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w:t>
      </w:r>
      <w:r>
        <w:t xml:space="preserve"> se utilizează pentru tratamentul psoriazisului în plăci moderat p</w:t>
      </w:r>
      <w:r>
        <w:rPr>
          <w:szCs w:val="22"/>
        </w:rPr>
        <w:t>ân</w:t>
      </w:r>
      <w:r>
        <w:t>ă</w:t>
      </w:r>
      <w:r>
        <w:rPr>
          <w:szCs w:val="22"/>
        </w:rPr>
        <w:t xml:space="preserve"> la </w:t>
      </w:r>
      <w:r>
        <w:t>sever la</w:t>
      </w:r>
      <w:r>
        <w:rPr>
          <w:szCs w:val="22"/>
          <w:lang w:eastAsia="en-US" w:bidi="ar-SA"/>
        </w:rPr>
        <w:t xml:space="preserve"> adul</w:t>
      </w:r>
      <w:r>
        <w:t xml:space="preserve">ți. </w:t>
      </w:r>
      <w:r>
        <w:rPr>
          <w:szCs w:val="22"/>
          <w:lang w:eastAsia="en-US" w:bidi="ar-SA"/>
        </w:rPr>
        <w:t xml:space="preserve">AMGEVITA se utilizează și pentru tratamentul psoriazisului în plăci sever la copii și adolescenți </w:t>
      </w:r>
      <w:r>
        <w:t>cu vârsta cuprinsă între 4 și 17 ani</w:t>
      </w:r>
      <w:r>
        <w:rPr>
          <w:szCs w:val="22"/>
          <w:lang w:eastAsia="en-US" w:bidi="ar-SA"/>
        </w:rPr>
        <w:t>, la care tratamentul local şi fototerapiile fie nu au avut rezultate foarte bune fie nu sunt recomandate.</w:t>
      </w:r>
    </w:p>
    <w:p w14:paraId="4723463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F4ACBD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Hidrosadenită supurativă la adulți și adolescenți</w:t>
      </w:r>
    </w:p>
    <w:p w14:paraId="637A88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ECA630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Hidrosadenita supurativă (uneori numită acnee inversă) este o afecţiune inflamatorie cronică şi adesea dureroasă a pielii. Simptomele pot include noduli sensibili (umflături) şi abcese (furuncule) din care poate să curgă puroi. Acestea afectează mai frecvent anumite zone ale pielii, cum ar fi zona de sub sâni, axilele, faţa internă a coapselor, zona inghinală și fesele. Cicatrizarea poate să apară în zonele afectate.</w:t>
      </w:r>
    </w:p>
    <w:p w14:paraId="65460AF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B1E7BB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AMGEVITA se utilizează pentru tratamentul hidrosadenitei supurative la adulți </w:t>
      </w:r>
      <w:r>
        <w:rPr>
          <w:szCs w:val="22"/>
        </w:rPr>
        <w:t>și adolescenți de la vârsta de 12 ani</w:t>
      </w:r>
      <w:r>
        <w:rPr>
          <w:szCs w:val="22"/>
          <w:lang w:eastAsia="en-US" w:bidi="ar-SA"/>
        </w:rPr>
        <w:t>. AMGEVITA poate reduce numărul de noduli și abcese pe care le aveţi şi durerea care se asociază adesea bolii.</w:t>
      </w:r>
      <w:r>
        <w:rPr>
          <w:szCs w:val="22"/>
        </w:rPr>
        <w:t xml:space="preserve"> Este posibil să primiți inițial alte medicamente. Dacă nu răspundeți suficient de bine la aceste medicamente, vi se va administra AMGEVITA.</w:t>
      </w:r>
    </w:p>
    <w:p w14:paraId="6B7D1636"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38CA03B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Boală Crohn la adulţi şi copii</w:t>
      </w:r>
    </w:p>
    <w:p w14:paraId="38FC4A5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1BC7F1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Boala Crohn este o afecţiune inflamatorie a tractului digestiv.</w:t>
      </w:r>
    </w:p>
    <w:p w14:paraId="7764518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E98560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bolii Crohn la adulţi şi copii cu vârsta între 6 şi 17 ani. Dacă aveţi boala Crohn, vi se vor administra iniţial alte medicamente. Dacă nu răspundeţi bine la aceste medicamente, vi se va administra AMGEVITA pentru a reduce semnele şi simptomele bolii Crohn.</w:t>
      </w:r>
    </w:p>
    <w:p w14:paraId="1529F89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632270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Colită ulcerativă la adulţi şi copii</w:t>
      </w:r>
    </w:p>
    <w:p w14:paraId="4D0FE22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564BFB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Colita ulcerativă este o afecţiune inflamatorie a intestinului gros.</w:t>
      </w:r>
    </w:p>
    <w:p w14:paraId="351CF5B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30AC2D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colitei ulcerative, forma moderată până la severă, la adulţi și la copii și adolescenți cu vârsta cuprinsă între 6 și 17 ani. În cazul în care aveţi colită ulcerativă, vi se pot administra iniţial alte medicamente. Dacă nu răspundeţi bine la aceste medicamente, vi se va administra AMGEVITA pentru a reduce semnele şi simptomele acestei boli.</w:t>
      </w:r>
    </w:p>
    <w:p w14:paraId="3EE1CB1C"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7739C79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Uveită non-infecţioasă la adulți și copii</w:t>
      </w:r>
    </w:p>
    <w:p w14:paraId="7EA9C9B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2AC224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Uveita non-infecţioasă este o boală inflamatorie care afectează anumite părți ale ochiului.</w:t>
      </w:r>
    </w:p>
    <w:p w14:paraId="30AB216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02D6E0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AMGEVITA se utilizează la adulți pentru tratamentul </w:t>
      </w:r>
    </w:p>
    <w:p w14:paraId="59E37EFA" w14:textId="77777777" w:rsidR="00C04CAD" w:rsidRDefault="00060E34">
      <w:pPr>
        <w:pStyle w:val="EMEANormal"/>
        <w:numPr>
          <w:ilvl w:val="0"/>
          <w:numId w:val="51"/>
        </w:numPr>
        <w:rPr>
          <w:szCs w:val="22"/>
          <w:lang w:val="ro-RO"/>
        </w:rPr>
      </w:pPr>
      <w:r>
        <w:rPr>
          <w:szCs w:val="22"/>
          <w:lang w:val="ro-RO"/>
        </w:rPr>
        <w:t xml:space="preserve">Uveitei non-infecţioase cu inflamaţie care afectează partea din spate a ochiului la adulți </w:t>
      </w:r>
    </w:p>
    <w:p w14:paraId="078B14A4"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rPr>
      </w:pPr>
      <w:r>
        <w:rPr>
          <w:szCs w:val="22"/>
        </w:rPr>
        <w:t>Uveitei cronice non-infecțioase cu inflamație care afectează partea din față a ochiului la copii cu vârsta de la 2 ani</w:t>
      </w:r>
    </w:p>
    <w:p w14:paraId="7DA3868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56DF18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Această inflamaţie poate </w:t>
      </w:r>
      <w:r>
        <w:rPr>
          <w:szCs w:val="22"/>
        </w:rPr>
        <w:t xml:space="preserve">să </w:t>
      </w:r>
      <w:r>
        <w:rPr>
          <w:szCs w:val="22"/>
          <w:lang w:eastAsia="en-US" w:bidi="ar-SA"/>
        </w:rPr>
        <w:t>determine o scădere a vederii și/sau prezența flocoanelor în ochi (puncte negre sau linii subţiri care se mișcă peste câmpul vizual). AMGEVITA acționează prin reducerea acestei inflamații.</w:t>
      </w:r>
    </w:p>
    <w:p w14:paraId="65D73F9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DAED67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765D0C6" w14:textId="77777777" w:rsidR="00C04CAD" w:rsidRDefault="00060E34">
      <w:pPr>
        <w:keepNext/>
        <w:numPr>
          <w:ilvl w:val="0"/>
          <w:numId w:val="109"/>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 xml:space="preserve">Ce trebuie să ştiţi înainte să utilizaţi AMGEVITA </w:t>
      </w:r>
    </w:p>
    <w:p w14:paraId="6806EAFC" w14:textId="77777777" w:rsidR="00C04CAD" w:rsidRDefault="00C04CAD">
      <w:pPr>
        <w:keepNext/>
        <w:tabs>
          <w:tab w:val="clear" w:pos="567"/>
        </w:tabs>
        <w:autoSpaceDE w:val="0"/>
        <w:autoSpaceDN w:val="0"/>
        <w:adjustRightInd w:val="0"/>
        <w:spacing w:line="240" w:lineRule="auto"/>
        <w:rPr>
          <w:sz w:val="24"/>
          <w:szCs w:val="24"/>
          <w:lang w:eastAsia="en-US" w:bidi="ar-SA"/>
        </w:rPr>
      </w:pPr>
    </w:p>
    <w:p w14:paraId="6C71A215" w14:textId="77777777" w:rsidR="00C04CAD" w:rsidRDefault="00060E34">
      <w:pPr>
        <w:keepNext/>
        <w:tabs>
          <w:tab w:val="clear" w:pos="567"/>
          <w:tab w:val="left" w:pos="679"/>
        </w:tabs>
        <w:kinsoku w:val="0"/>
        <w:overflowPunct w:val="0"/>
        <w:autoSpaceDE w:val="0"/>
        <w:autoSpaceDN w:val="0"/>
        <w:adjustRightInd w:val="0"/>
        <w:spacing w:line="240" w:lineRule="auto"/>
        <w:outlineLvl w:val="0"/>
        <w:rPr>
          <w:b/>
          <w:bCs/>
          <w:szCs w:val="22"/>
          <w:lang w:eastAsia="en-US" w:bidi="ar-SA"/>
        </w:rPr>
      </w:pPr>
      <w:r>
        <w:rPr>
          <w:b/>
          <w:bCs/>
          <w:szCs w:val="22"/>
          <w:lang w:eastAsia="en-US" w:bidi="ar-SA"/>
        </w:rPr>
        <w:t>Nu utilizaţi AMGEVITA:</w:t>
      </w:r>
    </w:p>
    <w:p w14:paraId="5E63E5FB" w14:textId="77777777" w:rsidR="00C04CAD" w:rsidRDefault="00C04CAD">
      <w:pPr>
        <w:keepNext/>
        <w:tabs>
          <w:tab w:val="clear" w:pos="567"/>
        </w:tabs>
        <w:autoSpaceDE w:val="0"/>
        <w:autoSpaceDN w:val="0"/>
        <w:adjustRightInd w:val="0"/>
        <w:spacing w:line="240" w:lineRule="auto"/>
        <w:rPr>
          <w:szCs w:val="22"/>
          <w:lang w:eastAsia="en-US" w:bidi="ar-SA"/>
        </w:rPr>
      </w:pPr>
    </w:p>
    <w:p w14:paraId="397AACD2"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sunteţi alergic la adalimumab sau la oricare dintre celelalte componente ale medicamentului (enumerate la pct. 6).</w:t>
      </w:r>
    </w:p>
    <w:p w14:paraId="3244B793"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o infecţie severă, inclusiv tuberculoză activă</w:t>
      </w:r>
      <w:r>
        <w:t>, septicemie (infecție în sânge) sau alte infecții oportuniste (infecții neobișnuite asociate cu un sistem imunitar slăbit)</w:t>
      </w:r>
      <w:r>
        <w:rPr>
          <w:szCs w:val="22"/>
          <w:lang w:eastAsia="en-US" w:bidi="ar-SA"/>
        </w:rPr>
        <w:t xml:space="preserve"> (vezi “Atenţionări şi precauţii”). Este important să-i spuneţi medicului dumneavoastră dacă aveţi simptome ale unei infecţii, de exemplu febră, răni, senzaţie de oboseală, probleme dentare.</w:t>
      </w:r>
    </w:p>
    <w:p w14:paraId="11436097"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insuficienţă cardiacă moderată sau severă. Este important să-i comunicaţi medicului dacă aţi avut sau aveţi o afecţiune cardiacă gravă (vezi “</w:t>
      </w:r>
      <w:r>
        <w:t>Atenţionări şi precauţii</w:t>
      </w:r>
      <w:r>
        <w:rPr>
          <w:szCs w:val="22"/>
          <w:lang w:eastAsia="en-US" w:bidi="ar-SA"/>
        </w:rPr>
        <w:t>”).</w:t>
      </w:r>
    </w:p>
    <w:p w14:paraId="60DD40B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307BD37"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Atenţionări şi precauţii</w:t>
      </w:r>
    </w:p>
    <w:p w14:paraId="7AF2A491"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49A05AB7"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Spuneţi medicului dumneavoastră sau farmacistului înainte să utilizaţi AMGEVITA:</w:t>
      </w:r>
    </w:p>
    <w:p w14:paraId="27C50B0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D45D32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Reacții alergice</w:t>
      </w:r>
    </w:p>
    <w:p w14:paraId="0AC177E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B2277E5" w14:textId="77777777" w:rsidR="00C04CAD" w:rsidRDefault="00060E34">
      <w:pPr>
        <w:pStyle w:val="ListParagraph"/>
        <w:numPr>
          <w:ilvl w:val="0"/>
          <w:numId w:val="7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prezentaţi reacţii alergice simptomatice precum presiune toracică, respiraţie şuierătoare, ameţeli, edeme sau erupţii pe piele întrerupeţi injecţiile cu AMGEVITA şi adresaţi-vă imediat medicului dumneavoastră deoarece, în cazuri rare, aceste reacții adverse pot pune viața în pericol.</w:t>
      </w:r>
    </w:p>
    <w:p w14:paraId="345E59E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2AB678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Infecții</w:t>
      </w:r>
    </w:p>
    <w:p w14:paraId="24AF8ED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E08B8E8" w14:textId="77777777" w:rsidR="00C04CAD" w:rsidRDefault="00060E34">
      <w:pPr>
        <w:pStyle w:val="ListParagraph"/>
        <w:numPr>
          <w:ilvl w:val="0"/>
          <w:numId w:val="7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o infecţie, inclusiv o infecţie de lungă durată sau una localizată (de exemplu, o ulceraţie a membrului inferior) spuneţi medicului dumneavoastră înainte de a începe să luaţi AMGEVITA. Dacă nu sunteţi sigur, contactaţi-l pe medicul dumneavoastră.</w:t>
      </w:r>
    </w:p>
    <w:p w14:paraId="2FAA8974" w14:textId="77777777" w:rsidR="00C04CAD" w:rsidRDefault="00060E34">
      <w:pPr>
        <w:pStyle w:val="ListParagraph"/>
        <w:numPr>
          <w:ilvl w:val="0"/>
          <w:numId w:val="74"/>
        </w:numPr>
        <w:tabs>
          <w:tab w:val="clear" w:pos="567"/>
        </w:tabs>
        <w:kinsoku w:val="0"/>
        <w:overflowPunct w:val="0"/>
        <w:autoSpaceDE w:val="0"/>
        <w:autoSpaceDN w:val="0"/>
        <w:adjustRightInd w:val="0"/>
        <w:spacing w:line="240" w:lineRule="auto"/>
        <w:ind w:left="567"/>
      </w:pPr>
      <w:r>
        <w:rPr>
          <w:szCs w:val="22"/>
          <w:lang w:eastAsia="en-US" w:bidi="ar-SA"/>
        </w:rPr>
        <w:t>Puteţi face mai uşor infecţii în timpul tratamentului cu AMGEVITA. Acest risc poate creşte dacă funcţia plămânilor dumneavoastră este afectată. Aceste infecţii pot fi grave şi includ tuberculoză, infecţii determinate de virusuri, ciuperci, paraziţi sau bacterii sau alte infecţii oportuniste şi sepsis care, în rare cazuri, vă pot pune viaţa în pericol. Este important să-i spuneţi medicului dumneavoastră dacă aveţi simptome precum febră, răni, senzaţie de oboseală, probleme dentare. Medicul dumneavoastră vă poate recomanda întreruperea temporară a tratamentului cu AMGEVITA.</w:t>
      </w:r>
    </w:p>
    <w:p w14:paraId="3C67F3A5"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7AFAC5DF"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Tuberculoză</w:t>
      </w:r>
    </w:p>
    <w:p w14:paraId="0186006A"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0CCA947D"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Deoarece </w:t>
      </w:r>
      <w:r>
        <w:rPr>
          <w:szCs w:val="22"/>
          <w:lang w:eastAsia="en-US" w:bidi="ar-SA"/>
        </w:rPr>
        <w:t>s-au raportat cazuri de tuberculoză la pacienţii trataţi cu adalimumab, medicul dumneavoastră vă va examina, în ceea ce priveşte semnele şi simptomele de tuberculoză înainte de iniţierea tratamentului cu AMGEVITA.</w:t>
      </w:r>
      <w:r>
        <w:t xml:space="preserve"> Aceasta va include o evaluare medicală amănunțită, inclusiv un istoric medical şi teste adecvate (de exemplu: o radiografie toracică şi un test la tuberculină). Efectuarea şi rezultatele acestor teste trebuie înregistrate pe </w:t>
      </w:r>
      <w:r>
        <w:rPr>
          <w:b/>
        </w:rPr>
        <w:t>Cardul dumneavoastră de</w:t>
      </w:r>
      <w:r>
        <w:t xml:space="preserve"> </w:t>
      </w:r>
      <w:r>
        <w:rPr>
          <w:b/>
          <w:szCs w:val="22"/>
        </w:rPr>
        <w:t>avertizare</w:t>
      </w:r>
      <w:r>
        <w:rPr>
          <w:szCs w:val="22"/>
          <w:lang w:eastAsia="en-US" w:bidi="ar-SA"/>
        </w:rPr>
        <w:t>.</w:t>
      </w:r>
      <w:r>
        <w:t xml:space="preserve"> Este foarte important să-i spuneţi medicului dumneavoastră dacă aţi avut vreodată tuberculoză sau dacă aţi fost în contact direct cu cineva care a avut tuberculoză. </w:t>
      </w:r>
    </w:p>
    <w:p w14:paraId="52AF38CE"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Tuberculoza se poate dezvolta în timpul tratamentului, chiar dacă ați urmat un tratament preventiv pentru tuberculoză. </w:t>
      </w:r>
    </w:p>
    <w:p w14:paraId="2723216C"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Dacă pe parcursul tratamentului sau după încheierea acestuia, apar simptome de tuberculoză (tuse persistentă, pierdere în greutate, apatie, febră uşoară), sau orice alte infecţii, comunicaţi acest lucru imediat medicului dumneavoastră.</w:t>
      </w:r>
    </w:p>
    <w:p w14:paraId="09C601A8"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0C3A4035"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pPr>
      <w:r>
        <w:t>Infecții recurente/asociate cu călătoriile</w:t>
      </w:r>
    </w:p>
    <w:p w14:paraId="31BDF13E"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pPr>
    </w:p>
    <w:p w14:paraId="5EDCB602" w14:textId="77777777" w:rsidR="00C04CAD" w:rsidRDefault="00060E34">
      <w:pPr>
        <w:pStyle w:val="ListParagraph"/>
        <w:numPr>
          <w:ilvl w:val="0"/>
          <w:numId w:val="76"/>
        </w:numPr>
        <w:tabs>
          <w:tab w:val="clear" w:pos="567"/>
        </w:tabs>
        <w:kinsoku w:val="0"/>
        <w:overflowPunct w:val="0"/>
        <w:autoSpaceDE w:val="0"/>
        <w:autoSpaceDN w:val="0"/>
        <w:adjustRightInd w:val="0"/>
        <w:spacing w:line="240" w:lineRule="auto"/>
        <w:ind w:left="567"/>
        <w:rPr>
          <w:szCs w:val="22"/>
          <w:lang w:eastAsia="en-US" w:bidi="ar-SA"/>
        </w:rPr>
      </w:pPr>
      <w:r>
        <w:t xml:space="preserve">Spuneţi medicului dumneavoastră dacă locuiţi sau călătoriţi în zone endemice pentru infecţiile cu ciuperci, cum sunt histoplasmoză, </w:t>
      </w:r>
      <w:r>
        <w:rPr>
          <w:szCs w:val="22"/>
          <w:lang w:eastAsia="en-US" w:bidi="ar-SA"/>
        </w:rPr>
        <w:t>coccidioidomicoză sau blastomicoză.</w:t>
      </w:r>
    </w:p>
    <w:p w14:paraId="543F4670" w14:textId="77777777" w:rsidR="00C04CAD" w:rsidRDefault="00060E34">
      <w:pPr>
        <w:pStyle w:val="ListParagraph"/>
        <w:numPr>
          <w:ilvl w:val="0"/>
          <w:numId w:val="77"/>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aveţi antecedente de infecţii recidivante sau alte afecţiuni care cresc riscul de infecţii.</w:t>
      </w:r>
    </w:p>
    <w:p w14:paraId="1A7E1D1E"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732FC6FC" w14:textId="77777777" w:rsidR="00C04CAD" w:rsidRDefault="00060E34">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Virusul hepatitei B</w:t>
      </w:r>
    </w:p>
    <w:p w14:paraId="0AF1AF81" w14:textId="77777777" w:rsidR="00C04CAD" w:rsidRDefault="00C04CAD">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p>
    <w:p w14:paraId="74E6A860" w14:textId="77777777" w:rsidR="00C04CAD" w:rsidRDefault="00060E34">
      <w:pPr>
        <w:pStyle w:val="ListParagraph"/>
        <w:numPr>
          <w:ilvl w:val="0"/>
          <w:numId w:val="7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sunteţi purtător al virusului hepatitei B (VHB), dacă aveţi hepatită B activă sau credeţi că aveţi un risc crescut să dobândiţi VHB. Medicul dumneavoastră trebuie să vă efectueze teste pentru VHB. AMGEVITA poate cauza reactivarea VHB la pacienţii purtători ai acestui virus. Rar, în unele cazuri, în special dacă luaţi alte medicamente care scad sistemul imun, reactivarea VHB poate pune viaţa în pericol.</w:t>
      </w:r>
    </w:p>
    <w:p w14:paraId="4FD653C6"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6C58B828"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Vârsta peste 65 ani</w:t>
      </w:r>
    </w:p>
    <w:p w14:paraId="229DBF95"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18CB8415" w14:textId="77777777" w:rsidR="00C04CAD" w:rsidRDefault="00060E34">
      <w:pPr>
        <w:pStyle w:val="ListParagraph"/>
        <w:numPr>
          <w:ilvl w:val="0"/>
          <w:numId w:val="7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mai mult de 65 ani puteţi fi mai susceptibil la infecţii în timp ce utilizaţi AMGEVITA. Dumneavoastră şi medicul dumneavoastră trebuie să acordaţi atenţie deosebită semnelor de infecţie în timpul tratamentului cu AMGEVITA. Este important să spuneţi medicului dumneavoastră dacă aveţi simptome de infecţie cum sunt: febră, răni, senzaţie de oboseală sau probleme dentare.</w:t>
      </w:r>
    </w:p>
    <w:p w14:paraId="5296E202"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01695267"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Procedură chirurgicală sau stomatologică</w:t>
      </w:r>
    </w:p>
    <w:p w14:paraId="408AED91"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2CC8BDB4" w14:textId="77777777" w:rsidR="00C04CAD" w:rsidRDefault="00060E34">
      <w:pPr>
        <w:pStyle w:val="ListParagraph"/>
        <w:numPr>
          <w:ilvl w:val="0"/>
          <w:numId w:val="8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sunteţi programat să efectuaţi intervenţii chirurgicale sau dentare informaţi medicul dumneavoastră că sunteţi sub tratament cu AMGEVITA. Medicul dumneavoastră vă poate recomanda întreruperea temporară a tratamentului cu AMGEVITA.</w:t>
      </w:r>
    </w:p>
    <w:p w14:paraId="2C226228"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3E1C621C"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Boală demielinizantă</w:t>
      </w:r>
    </w:p>
    <w:p w14:paraId="61ECB43F"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50CBBA30" w14:textId="77777777" w:rsidR="00C04CAD" w:rsidRDefault="00060E34">
      <w:pPr>
        <w:pStyle w:val="ListParagraph"/>
        <w:numPr>
          <w:ilvl w:val="0"/>
          <w:numId w:val="8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sau dezvoltaţi o boală demielinizantă cum este scleroza multiplă, medicul dumneavoastră va decide dacă trebuie să fiţi tratat cu AMGEVITA sau să continuaţi să fiţi tratat cu AMGEVITA. Spuneţi imediat medicului dumneavoastră dacă aveţi simptome cum sunt modificări ale vederii, slăbiciune la nivelul mâinilor sau picioarelor sau amorţeli sau furnicături în orice parte a corpului.</w:t>
      </w:r>
    </w:p>
    <w:p w14:paraId="32B2B375"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0C9B5830"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Vaccinări</w:t>
      </w:r>
    </w:p>
    <w:p w14:paraId="3E92E442"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244B8202"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Anumite vaccinuri </w:t>
      </w:r>
      <w:r>
        <w:t>conțin forme vii, dar atenuate ale unor bacterii sau virusuri care pot cauza o boală și care</w:t>
      </w:r>
      <w:r>
        <w:rPr>
          <w:szCs w:val="22"/>
          <w:lang w:eastAsia="en-US" w:bidi="ar-SA"/>
        </w:rPr>
        <w:t xml:space="preserve"> pot determina infecţii şi nu trebuie administrate în timpul tratamentului cu AMGEVITA. Vă rugăm să spuneţi medicului dumneavoastră înainte de a vi se administra orice vaccin. Înaintea începerii tratamentului cu AMGEVITA, se recomandă ca pacienţii copii, dacă este posibil, să fie vaccinaţi la zi, în concordanţă cu ghidurile în vigoare privind imunizarea. </w:t>
      </w:r>
    </w:p>
    <w:p w14:paraId="7FC74BE2"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aţi utilizat AMGEVITA pe perioada sarcinii, copilul dumneavoastră poate avea un risc crescut de infecţii timp de cel puţin 5 luni de la ultima doză pe care aţi utilizat-o în timpul sarcinii. Este important să spuneţi medicului copilului dumneavoastră şi altor profesionişti din domeniul sănătăţii că aţi utilizat AMGEVITA în timpul sarcinii, astfel ei pot decide când ar trebui să i se administreze  copilului dumneavoastră un vaccin.</w:t>
      </w:r>
    </w:p>
    <w:p w14:paraId="1BB7100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8EF420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Insuficiență cardiacă</w:t>
      </w:r>
    </w:p>
    <w:p w14:paraId="6DC5AE3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3B91E04" w14:textId="77777777" w:rsidR="00C04CAD" w:rsidRDefault="00060E34">
      <w:pPr>
        <w:pStyle w:val="ListParagraph"/>
        <w:numPr>
          <w:ilvl w:val="0"/>
          <w:numId w:val="8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aveţi insuficienţă cardiacă uşoară şi sunteţi tratat cu AMGEVITA, evoluţia insuficienţei cardiace trebuie monitorizată îndeaproape de către medicul dumneavoastră. Este important să-i comunicaţi medicului dacă aţi avut sau aveţi o afecţiune cardiacă gravă. Dacă prezentaţi simptome noi sau agravate de insuficienţă cardiacă (de exemplu dificultăţi în respiraţie sau umflarea picioarelor), adresaţi-vă imediat medicului dumneavoastră. </w:t>
      </w:r>
      <w:r>
        <w:t xml:space="preserve">Medicul dumneavoastră va decide dacă </w:t>
      </w:r>
      <w:r>
        <w:rPr>
          <w:szCs w:val="22"/>
        </w:rPr>
        <w:t xml:space="preserve">puteţi utiliza </w:t>
      </w:r>
      <w:r>
        <w:t>AMGEVITA.</w:t>
      </w:r>
    </w:p>
    <w:p w14:paraId="7FC1558B"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36FBAA63"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Febră, vânătăi, sângerări sau piele foarte palidă</w:t>
      </w:r>
    </w:p>
    <w:p w14:paraId="6FC4593A"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5A9FE7ED" w14:textId="77777777" w:rsidR="00C04CAD" w:rsidRDefault="00060E34">
      <w:pPr>
        <w:pStyle w:val="ListParagraph"/>
        <w:numPr>
          <w:ilvl w:val="0"/>
          <w:numId w:val="84"/>
        </w:numPr>
        <w:tabs>
          <w:tab w:val="clear" w:pos="567"/>
        </w:tabs>
        <w:kinsoku w:val="0"/>
        <w:overflowPunct w:val="0"/>
        <w:autoSpaceDE w:val="0"/>
        <w:autoSpaceDN w:val="0"/>
        <w:adjustRightInd w:val="0"/>
        <w:spacing w:line="240" w:lineRule="auto"/>
        <w:ind w:left="567"/>
        <w:rPr>
          <w:szCs w:val="22"/>
          <w:lang w:eastAsia="en-US" w:bidi="ar-SA"/>
        </w:rPr>
      </w:pPr>
      <w:r>
        <w:t xml:space="preserve">La </w:t>
      </w:r>
      <w:r>
        <w:rPr>
          <w:szCs w:val="22"/>
          <w:lang w:eastAsia="en-US" w:bidi="ar-SA"/>
        </w:rPr>
        <w:t>unii pacienţi, organismul poate să nu mai producă suficiente celule sanguine care ajută organismul dumneavoastră în lupta contra infecţiilor sau vă ajută în oprirea sângerărilor. Dacă apar febră persistentă, vânătăi sau sângeraţi foarte uşor sau sunteţi foarte palid, anunţaţi medicul imediat. Medicul dumneavoastră poate decide întreruperea tratamentului.</w:t>
      </w:r>
    </w:p>
    <w:p w14:paraId="439151A1"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38F561DC"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Cancer</w:t>
      </w:r>
    </w:p>
    <w:p w14:paraId="38B7FCA1"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05637FD0" w14:textId="77777777" w:rsidR="00C04CAD" w:rsidRDefault="00060E34">
      <w:pPr>
        <w:pStyle w:val="ListParagraph"/>
        <w:keepNext/>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Există foarte rare cazuri de anumite forme de cancer la copii şi adulţi trataţi cu adalimumab sau cu alţi blocanţi ai TNF. Persoanele cu poliartrită reumatoidă mai gravă care au avut afecţiunea timp îndelungat, au un risc mai mare decât media în dezvoltarea limfomului (cancer care afectează sistemul limfatic) şi a leucemiei (cancer care afectează sângele şi măduva osoasă). </w:t>
      </w:r>
    </w:p>
    <w:p w14:paraId="552B0170"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utilizaţi AMGEVITA poate să crească riscul apariţiei limfomului, leucemiei, sau a altor tipuri de cancer. Rareori, la pacienţii care utilizează adalimumab, s-a observat un tip specific şi sever de limfom. Unii dintre aceşti pacienţi erau trataţi de asemenea cu azatioprină sau 6-mercaptopurină. Spuneţi medicului dumneavoastră dacă utilizaţi azatioprină sau 6-mercaptopurină concomitent cu AMGEVITA. </w:t>
      </w:r>
    </w:p>
    <w:p w14:paraId="6DE30C56"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 plus, au fost observate cazuri de cancere de piele altele decât melanom la pacienţii care utilizează adalimumab. Spuneţi medicului dumneavoastră dacă vă apar noi leziuni ale pielii sau dacă apar modificări ale leziunilor existente în timpul tratamentului sau după.</w:t>
      </w:r>
    </w:p>
    <w:p w14:paraId="3A5D399A" w14:textId="77777777" w:rsidR="00C04CAD" w:rsidRDefault="00060E34">
      <w:pPr>
        <w:pStyle w:val="ListParagraph"/>
        <w:numPr>
          <w:ilvl w:val="0"/>
          <w:numId w:val="8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25779440" w14:textId="77777777" w:rsidR="00C04CAD" w:rsidRDefault="00C04CAD">
      <w:pPr>
        <w:spacing w:line="240" w:lineRule="auto"/>
        <w:rPr>
          <w:szCs w:val="22"/>
          <w:lang w:eastAsia="en-US" w:bidi="ar-SA"/>
        </w:rPr>
      </w:pPr>
    </w:p>
    <w:p w14:paraId="777F23C7" w14:textId="77777777" w:rsidR="00C04CAD" w:rsidRDefault="00060E34">
      <w:pPr>
        <w:spacing w:line="240" w:lineRule="auto"/>
        <w:rPr>
          <w:szCs w:val="22"/>
          <w:lang w:eastAsia="en-US" w:bidi="ar-SA"/>
        </w:rPr>
      </w:pPr>
      <w:r>
        <w:rPr>
          <w:szCs w:val="22"/>
          <w:lang w:eastAsia="en-US" w:bidi="ar-SA"/>
        </w:rPr>
        <w:t>Bo</w:t>
      </w:r>
      <w:ins w:id="183" w:author="Author">
        <w:r>
          <w:rPr>
            <w:szCs w:val="22"/>
            <w:lang w:eastAsia="en-US" w:bidi="ar-SA"/>
          </w:rPr>
          <w:t>a</w:t>
        </w:r>
      </w:ins>
      <w:r>
        <w:rPr>
          <w:szCs w:val="22"/>
          <w:lang w:eastAsia="en-US" w:bidi="ar-SA"/>
        </w:rPr>
        <w:t>l</w:t>
      </w:r>
      <w:del w:id="184" w:author="Author">
        <w:r>
          <w:rPr>
            <w:szCs w:val="22"/>
            <w:lang w:eastAsia="en-US" w:bidi="ar-SA"/>
          </w:rPr>
          <w:delText>i</w:delText>
        </w:r>
      </w:del>
      <w:ins w:id="185" w:author="Author">
        <w:r>
          <w:rPr>
            <w:szCs w:val="22"/>
            <w:lang w:eastAsia="en-US" w:bidi="ar-SA"/>
          </w:rPr>
          <w:t>ă</w:t>
        </w:r>
      </w:ins>
      <w:r>
        <w:rPr>
          <w:szCs w:val="22"/>
          <w:lang w:eastAsia="en-US" w:bidi="ar-SA"/>
        </w:rPr>
        <w:t xml:space="preserve"> autoimun</w:t>
      </w:r>
      <w:del w:id="186" w:author="Author">
        <w:r>
          <w:rPr>
            <w:szCs w:val="22"/>
            <w:lang w:eastAsia="en-US" w:bidi="ar-SA"/>
          </w:rPr>
          <w:delText>e</w:delText>
        </w:r>
      </w:del>
      <w:ins w:id="187" w:author="Author">
        <w:r>
          <w:rPr>
            <w:szCs w:val="22"/>
            <w:lang w:eastAsia="en-US" w:bidi="ar-SA"/>
          </w:rPr>
          <w:t>ă</w:t>
        </w:r>
      </w:ins>
    </w:p>
    <w:p w14:paraId="638C82E6" w14:textId="77777777" w:rsidR="00C04CAD" w:rsidRDefault="00C04CAD">
      <w:pPr>
        <w:spacing w:line="240" w:lineRule="auto"/>
        <w:rPr>
          <w:szCs w:val="22"/>
          <w:lang w:eastAsia="en-US" w:bidi="ar-SA"/>
        </w:rPr>
      </w:pPr>
    </w:p>
    <w:p w14:paraId="2086AA44"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rPr>
          <w:szCs w:val="22"/>
          <w:lang w:eastAsia="en-US" w:bidi="ar-SA"/>
        </w:rPr>
      </w:pPr>
      <w:r>
        <w:t>Rar, tratamentul cu AMGEVITA poate determina un sindrom asemănător lupusului. Contactati-l pe medicul dumneavoastră dacă apar simptome cum ar fi erupție cutanată neexplicată persistentă, febră, dureri ale articulațiilor sau oboseală.</w:t>
      </w:r>
    </w:p>
    <w:p w14:paraId="693EBE1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70EFB2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a creşte gradul de trasabilitate a acestui medicament, medicul dumneavoastră sau farmacistul trebuie să înregistreze denumirea şi numărul seriei de fabricaţie ale medicamentului care v-a fost eliberat în fişa dumneavoastră de pacient. Şi dumneavoastră vă puteţi nota aceste informaţii în cazul în care v-ar fi solicitate în viitor.</w:t>
      </w:r>
    </w:p>
    <w:p w14:paraId="04C4F01E"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123C5B2F"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Copii şi adolescenţi</w:t>
      </w:r>
    </w:p>
    <w:p w14:paraId="3082DAF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716F4BF" w14:textId="77777777" w:rsidR="00C04CAD" w:rsidRDefault="00060E34">
      <w:pPr>
        <w:pStyle w:val="ListParagraph"/>
        <w:numPr>
          <w:ilvl w:val="0"/>
          <w:numId w:val="87"/>
        </w:numPr>
        <w:kinsoku w:val="0"/>
        <w:overflowPunct w:val="0"/>
        <w:autoSpaceDE w:val="0"/>
        <w:autoSpaceDN w:val="0"/>
        <w:adjustRightInd w:val="0"/>
        <w:spacing w:line="240" w:lineRule="auto"/>
        <w:ind w:left="567" w:hanging="567"/>
      </w:pPr>
      <w:r>
        <w:t>Vaccinări: dacă este posibil, copilul dumneavoastră trebuie să fie la zi cu toate vaccinările înainte să utilizeze AMGEVITA.</w:t>
      </w:r>
    </w:p>
    <w:p w14:paraId="36B81403" w14:textId="77777777" w:rsidR="00C04CAD" w:rsidRDefault="00060E34">
      <w:pPr>
        <w:pStyle w:val="ListParagraph"/>
        <w:numPr>
          <w:ilvl w:val="0"/>
          <w:numId w:val="87"/>
        </w:numPr>
        <w:kinsoku w:val="0"/>
        <w:overflowPunct w:val="0"/>
        <w:autoSpaceDE w:val="0"/>
        <w:autoSpaceDN w:val="0"/>
        <w:adjustRightInd w:val="0"/>
        <w:spacing w:line="240" w:lineRule="auto"/>
        <w:ind w:left="567" w:hanging="567"/>
      </w:pPr>
      <w:r>
        <w:t>Nu administraţi AMGEVITA la copii cu artrită juvenilă idiopatică forma poliarticulară care au vârsta sub 2 ani.</w:t>
      </w:r>
    </w:p>
    <w:p w14:paraId="4EE47BA6" w14:textId="77777777" w:rsidR="00C04CAD" w:rsidRDefault="00060E34">
      <w:pPr>
        <w:pStyle w:val="ListParagraph"/>
        <w:numPr>
          <w:ilvl w:val="0"/>
          <w:numId w:val="87"/>
        </w:numPr>
        <w:kinsoku w:val="0"/>
        <w:overflowPunct w:val="0"/>
        <w:autoSpaceDE w:val="0"/>
        <w:autoSpaceDN w:val="0"/>
        <w:adjustRightInd w:val="0"/>
        <w:spacing w:line="240" w:lineRule="auto"/>
        <w:ind w:left="567" w:hanging="567"/>
      </w:pPr>
      <w:r>
        <w:t>Nu administrați AMGEVITA la copii cu psoriazis în plăci care au vârsta sub 4 ani.</w:t>
      </w:r>
    </w:p>
    <w:p w14:paraId="2E6870DD" w14:textId="77777777" w:rsidR="00C04CAD" w:rsidRDefault="00060E34">
      <w:pPr>
        <w:pStyle w:val="ListParagraph"/>
        <w:numPr>
          <w:ilvl w:val="0"/>
          <w:numId w:val="87"/>
        </w:numPr>
        <w:kinsoku w:val="0"/>
        <w:overflowPunct w:val="0"/>
        <w:autoSpaceDE w:val="0"/>
        <w:autoSpaceDN w:val="0"/>
        <w:adjustRightInd w:val="0"/>
        <w:spacing w:line="240" w:lineRule="auto"/>
        <w:ind w:left="567" w:hanging="567"/>
      </w:pPr>
      <w:r>
        <w:t>Nu administrați AMGEVITA la copii cu boala Crohn sau cu colită ulcerativă care au vârsta sub 6 ani.</w:t>
      </w:r>
    </w:p>
    <w:p w14:paraId="77BE94C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55F06A9"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AMGEVITA împreună cu alte medicamente</w:t>
      </w:r>
    </w:p>
    <w:p w14:paraId="098F7636"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FB6AFE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Spuneţi medicului dumneavoastră sau farmacistului dacă luaţi, aţi luat recent sau s-ar putea să luaţi orice alt medicament.</w:t>
      </w:r>
    </w:p>
    <w:p w14:paraId="7E87639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B05ACC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poate utiliza împreună cu metotrexat sau cu alte medicamente anti-reumatice modificatoare de boală (sulfasalazină, hidroxiclorochină, leflunomidă şi preparate injectabile pe bază de aur), steroizi sau medicamente pentru durere inclusiv medicamentele anti-inflamatoare nesteroidiene (AINS).</w:t>
      </w:r>
    </w:p>
    <w:p w14:paraId="13C1CB8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CA991E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Nu trebuie să luaţi AMGEVITA împreună cu medicamente care conţin substanţele active anakinra sau abatacept </w:t>
      </w:r>
      <w:r>
        <w:t>din cauza riscului crescut de infecții grave</w:t>
      </w:r>
      <w:r>
        <w:rPr>
          <w:szCs w:val="22"/>
          <w:lang w:eastAsia="en-US" w:bidi="ar-SA"/>
        </w:rPr>
        <w:t>. Dacă aveţi întrebări, vă rugăm discutaţi cu medicul dumneavoastră.</w:t>
      </w:r>
    </w:p>
    <w:p w14:paraId="604DE8B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7E559A6"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rPr>
        <w:t>Sarcină</w:t>
      </w:r>
      <w:r>
        <w:rPr>
          <w:b/>
          <w:bCs/>
          <w:szCs w:val="22"/>
          <w:lang w:eastAsia="en-US" w:bidi="ar-SA"/>
        </w:rPr>
        <w:t xml:space="preserve"> şi alăptare</w:t>
      </w:r>
    </w:p>
    <w:p w14:paraId="24ACEC61" w14:textId="77777777" w:rsidR="00C04CAD" w:rsidRDefault="00C04CAD">
      <w:pPr>
        <w:pStyle w:val="EMEANormal"/>
        <w:keepNext/>
        <w:rPr>
          <w:b/>
          <w:bCs/>
          <w:szCs w:val="22"/>
          <w:lang w:val="ro-RO"/>
        </w:rPr>
      </w:pPr>
    </w:p>
    <w:p w14:paraId="18F50C20" w14:textId="77777777" w:rsidR="00C04CAD" w:rsidRDefault="00060E34">
      <w:pPr>
        <w:numPr>
          <w:ilvl w:val="0"/>
          <w:numId w:val="54"/>
        </w:numPr>
        <w:tabs>
          <w:tab w:val="clear" w:pos="567"/>
        </w:tabs>
        <w:spacing w:line="240" w:lineRule="auto"/>
        <w:ind w:left="567" w:hanging="567"/>
        <w:rPr>
          <w:b/>
          <w:bCs/>
          <w:szCs w:val="22"/>
        </w:rPr>
      </w:pPr>
      <w:r>
        <w:rPr>
          <w:szCs w:val="22"/>
        </w:rPr>
        <w:t xml:space="preserve">Trebuie să luați în considerare utilizarea măsurilor de contracepţie corespunzătoare pentru prevenirea sarcinii şi să continuați să le utilizați pe o perioadă de minim 5 luni după ultimul tratament cu AMGEVITA. </w:t>
      </w:r>
    </w:p>
    <w:p w14:paraId="0BDED4A9" w14:textId="77777777" w:rsidR="00C04CAD" w:rsidRDefault="00060E34">
      <w:pPr>
        <w:numPr>
          <w:ilvl w:val="0"/>
          <w:numId w:val="54"/>
        </w:numPr>
        <w:tabs>
          <w:tab w:val="clear" w:pos="567"/>
        </w:tabs>
        <w:spacing w:line="240" w:lineRule="auto"/>
        <w:ind w:left="567" w:hanging="567"/>
        <w:rPr>
          <w:szCs w:val="22"/>
        </w:rPr>
      </w:pPr>
      <w:r>
        <w:rPr>
          <w:szCs w:val="22"/>
        </w:rPr>
        <w:t>Dacă sunteți gravidă, credeți că sunteți gravidă sau intenționați să aveți un copil, adresați-vă medicului dumneavoastră pentru recomandări privind administrarea acestui medicament.</w:t>
      </w:r>
    </w:p>
    <w:p w14:paraId="7E91113C"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unei sarcini numai dacă este necesar.</w:t>
      </w:r>
    </w:p>
    <w:p w14:paraId="1E4F33B1" w14:textId="77777777" w:rsidR="00C04CAD" w:rsidRDefault="00060E34">
      <w:pPr>
        <w:numPr>
          <w:ilvl w:val="0"/>
          <w:numId w:val="54"/>
        </w:numPr>
        <w:tabs>
          <w:tab w:val="clear" w:pos="567"/>
        </w:tabs>
        <w:spacing w:line="240" w:lineRule="auto"/>
        <w:ind w:left="567" w:hanging="567"/>
        <w:rPr>
          <w:szCs w:val="22"/>
        </w:rPr>
      </w:pPr>
      <w:r>
        <w:rPr>
          <w:szCs w:val="22"/>
        </w:rPr>
        <w:t>În conformitate cu un studiu privind sarcina, nu a existat un risc mai mare de malformații congenitale atunci când mama a primit AMGEVITA în timpul sarcinii, comparativ cu mamele cu aceeași boală care nu au primit AMGEVITA.</w:t>
      </w:r>
    </w:p>
    <w:p w14:paraId="5F7EE1BE"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alăptării.</w:t>
      </w:r>
    </w:p>
    <w:p w14:paraId="21A72B10" w14:textId="77777777" w:rsidR="00C04CAD" w:rsidRDefault="00060E34">
      <w:pPr>
        <w:numPr>
          <w:ilvl w:val="0"/>
          <w:numId w:val="54"/>
        </w:numPr>
        <w:tabs>
          <w:tab w:val="clear" w:pos="567"/>
        </w:tabs>
        <w:spacing w:line="240" w:lineRule="auto"/>
        <w:ind w:left="567" w:hanging="567"/>
        <w:rPr>
          <w:szCs w:val="22"/>
        </w:rPr>
      </w:pPr>
      <w:r>
        <w:rPr>
          <w:szCs w:val="22"/>
        </w:rPr>
        <w:t xml:space="preserve">Dacă aţi utilizat AMGEVITA în perioada sarcinii, copilul dumneavoastră poate avea un risc crescut de infecţie. </w:t>
      </w:r>
    </w:p>
    <w:p w14:paraId="252BD403" w14:textId="77777777" w:rsidR="00C04CAD" w:rsidRDefault="00060E34">
      <w:pPr>
        <w:numPr>
          <w:ilvl w:val="0"/>
          <w:numId w:val="54"/>
        </w:numPr>
        <w:tabs>
          <w:tab w:val="clear" w:pos="567"/>
        </w:tabs>
        <w:spacing w:line="240" w:lineRule="auto"/>
        <w:ind w:left="567" w:hanging="567"/>
        <w:rPr>
          <w:szCs w:val="22"/>
          <w:lang w:eastAsia="en-US" w:bidi="ar-SA"/>
        </w:rPr>
      </w:pPr>
      <w:r>
        <w:rPr>
          <w:szCs w:val="22"/>
        </w:rPr>
        <w:t>Înainte să primească copilul dumneavoastră orice vaccin, este important să spuneţi medicului copilului dumneavoastră sau altui profesionist din domeniul sănătăţii despre utilizarea AMGEVITA în timpul sarcinii dumneavoastră (pentru mai multe informaţii referitoare la vaccinuri, consultați capitolul ”Atenționări și precauții”).</w:t>
      </w:r>
    </w:p>
    <w:p w14:paraId="1D7150B5"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1F31EC86"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Conducerea vehiculelor şi folosirea utilajelor</w:t>
      </w:r>
    </w:p>
    <w:p w14:paraId="594B9011"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42E2CFA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poate influenţa în mică măsură capacitatea dumneavoastră de a conduce vehicule, biciclete, sau de a folosi utilaje. După administrarea de AMGEVITA poate să apară senzaţia că se învârte casa (vertij) şi tulburări de vedere.</w:t>
      </w:r>
    </w:p>
    <w:p w14:paraId="12449CE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D43E09E"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AMGEVITA conţine sodiu</w:t>
      </w:r>
    </w:p>
    <w:p w14:paraId="600D0F0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0063C4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Acest medicament conţine sodiu mai puţin de 1 mmol (23 mg) per doză de 0,8 ml, adică practic</w:t>
      </w:r>
      <w:r>
        <w:t xml:space="preserve"> </w:t>
      </w:r>
      <w:r>
        <w:rPr>
          <w:szCs w:val="22"/>
          <w:lang w:eastAsia="en-US" w:bidi="ar-SA"/>
        </w:rPr>
        <w:t>„nu conţine sodiu”.</w:t>
      </w:r>
    </w:p>
    <w:p w14:paraId="3A44887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233976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043BB95" w14:textId="77777777" w:rsidR="00C04CAD" w:rsidRDefault="00060E34">
      <w:pPr>
        <w:keepNext/>
        <w:numPr>
          <w:ilvl w:val="0"/>
          <w:numId w:val="109"/>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Cum să utilizaţi AMGEVITA</w:t>
      </w:r>
    </w:p>
    <w:p w14:paraId="01801E78"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2B1DA52E" w14:textId="77777777" w:rsidR="00C04CAD" w:rsidRDefault="00060E34">
      <w:pPr>
        <w:keepNext/>
        <w:tabs>
          <w:tab w:val="clear" w:pos="567"/>
        </w:tabs>
        <w:kinsoku w:val="0"/>
        <w:overflowPunct w:val="0"/>
        <w:autoSpaceDE w:val="0"/>
        <w:autoSpaceDN w:val="0"/>
        <w:adjustRightInd w:val="0"/>
        <w:spacing w:line="240" w:lineRule="auto"/>
        <w:jc w:val="both"/>
        <w:rPr>
          <w:szCs w:val="22"/>
          <w:lang w:eastAsia="en-US" w:bidi="ar-SA"/>
        </w:rPr>
      </w:pPr>
      <w:r>
        <w:rPr>
          <w:szCs w:val="22"/>
          <w:lang w:eastAsia="en-US" w:bidi="ar-SA"/>
        </w:rPr>
        <w:t>Luaţi întotdeauna acest medicament exact aşa cum v-a spus medicul dumneavoastră sau farmacistul. Dacă nu sunteţi sigur, întrebaţi medicul dumneavoastră sau farmacistul.</w:t>
      </w:r>
    </w:p>
    <w:p w14:paraId="2B56A96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6ADDC00" w14:textId="77777777" w:rsidR="00C04CAD" w:rsidRDefault="00060E34">
      <w:pPr>
        <w:tabs>
          <w:tab w:val="clear" w:pos="567"/>
        </w:tabs>
        <w:kinsoku w:val="0"/>
        <w:overflowPunct w:val="0"/>
        <w:autoSpaceDE w:val="0"/>
        <w:autoSpaceDN w:val="0"/>
        <w:adjustRightInd w:val="0"/>
        <w:spacing w:line="240" w:lineRule="auto"/>
        <w:rPr>
          <w:szCs w:val="22"/>
          <w:u w:val="single"/>
          <w:lang w:eastAsia="en-US" w:bidi="ar-SA"/>
        </w:rPr>
      </w:pPr>
      <w:r>
        <w:rPr>
          <w:szCs w:val="22"/>
          <w:u w:val="single"/>
          <w:lang w:eastAsia="en-US" w:bidi="ar-SA"/>
        </w:rPr>
        <w:t>Adulţi cu poliartrită reumatoidă, artrită psoriazică, spondilită anchilozantă sau spondiloartrită axială fără dovadă radiologică a spondilitei anchilozante</w:t>
      </w:r>
    </w:p>
    <w:p w14:paraId="46DDCCB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6029EF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injectează sub piele (utilizare subcutanată). Doza obişnuită pentru adulţi cu poliartrită reumatoidă, spondilită anchilozantă, spondiloartrită axială fără dovadă radiologică a spondilitei anchilozante şi pentru pacienţii cu artrită psoriazică este de 40 mg administrată din două în două săptămâni, sub forma unei doze unice.</w:t>
      </w:r>
    </w:p>
    <w:p w14:paraId="6D99E69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430F04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poliartrita reumatoidă, tratamentul cu metotrexat se continuă în perioada în care utilizaţi AMGEVITA. Dacă medicul dumneavoastră stabileşte că metotrexat nu este adecvat, AMGEVITA poate fi utilizat şi singur.</w:t>
      </w:r>
    </w:p>
    <w:p w14:paraId="247F76B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8FB166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Dacă aveţi poliartrită reumatoidă şi nu vi se administrează metotrexat concomitent cu AMGEVITA, medicul dumneavoastră poate decide să vă administreze 40 mg săptămânal sau 80 mg </w:t>
      </w:r>
      <w:r>
        <w:rPr>
          <w:szCs w:val="22"/>
        </w:rPr>
        <w:t xml:space="preserve">o dată la </w:t>
      </w:r>
      <w:r>
        <w:rPr>
          <w:szCs w:val="22"/>
          <w:lang w:eastAsia="en-US" w:bidi="ar-SA"/>
        </w:rPr>
        <w:t>două săptămâni.</w:t>
      </w:r>
    </w:p>
    <w:p w14:paraId="6397AD9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CEC0FFD"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adolescenți și adulți cu artrită juvenilă idiopatică forma poliarticulară</w:t>
      </w:r>
    </w:p>
    <w:p w14:paraId="172E4058"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46724DE" w14:textId="77777777" w:rsidR="00C04CAD" w:rsidRDefault="00060E34">
      <w:pPr>
        <w:keepNext/>
        <w:kinsoku w:val="0"/>
        <w:overflowPunct w:val="0"/>
        <w:autoSpaceDE w:val="0"/>
        <w:autoSpaceDN w:val="0"/>
        <w:adjustRightInd w:val="0"/>
        <w:spacing w:line="240" w:lineRule="auto"/>
        <w:rPr>
          <w:i/>
        </w:rPr>
      </w:pPr>
      <w:r>
        <w:rPr>
          <w:i/>
        </w:rPr>
        <w:t>Copii, adolescenți și adulți începând cu vârsta de 2 ani și greutatea de 30 kg sau mai mult</w:t>
      </w:r>
    </w:p>
    <w:p w14:paraId="63FE3BA0" w14:textId="77777777" w:rsidR="00C04CAD" w:rsidRDefault="00C04CAD">
      <w:pPr>
        <w:keepNext/>
        <w:kinsoku w:val="0"/>
        <w:overflowPunct w:val="0"/>
        <w:autoSpaceDE w:val="0"/>
        <w:autoSpaceDN w:val="0"/>
        <w:adjustRightInd w:val="0"/>
        <w:spacing w:line="240" w:lineRule="auto"/>
      </w:pPr>
    </w:p>
    <w:p w14:paraId="2B42674E"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Doza recomandată de AMGEVITA este de 40 mg la două săptămâni.</w:t>
      </w:r>
    </w:p>
    <w:p w14:paraId="2D81F0A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CFB18C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adolescenți și adulți cu artrită asociată entezitei</w:t>
      </w:r>
    </w:p>
    <w:p w14:paraId="77F274C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B766164" w14:textId="77777777" w:rsidR="00C04CAD" w:rsidRDefault="00060E34">
      <w:pPr>
        <w:kinsoku w:val="0"/>
        <w:overflowPunct w:val="0"/>
        <w:autoSpaceDE w:val="0"/>
        <w:autoSpaceDN w:val="0"/>
        <w:adjustRightInd w:val="0"/>
        <w:spacing w:line="240" w:lineRule="auto"/>
        <w:rPr>
          <w:i/>
        </w:rPr>
      </w:pPr>
      <w:r>
        <w:rPr>
          <w:i/>
        </w:rPr>
        <w:t>Copii, adolescenți și adulți începând cu vârsta de 6 ani și greutatea de 30 kg sau mai mult</w:t>
      </w:r>
    </w:p>
    <w:p w14:paraId="7782F93D" w14:textId="77777777" w:rsidR="00C04CAD" w:rsidRDefault="00C04CAD">
      <w:pPr>
        <w:kinsoku w:val="0"/>
        <w:overflowPunct w:val="0"/>
        <w:autoSpaceDE w:val="0"/>
        <w:autoSpaceDN w:val="0"/>
        <w:adjustRightInd w:val="0"/>
        <w:spacing w:line="240" w:lineRule="auto"/>
        <w:rPr>
          <w:i/>
        </w:rPr>
      </w:pPr>
    </w:p>
    <w:p w14:paraId="76A0970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Doza recomandată de AMGEVITA este de 40 mg la două săptămâni.</w:t>
      </w:r>
    </w:p>
    <w:p w14:paraId="09CF3A7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E02CD5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psoriazis în plăci</w:t>
      </w:r>
    </w:p>
    <w:p w14:paraId="7C8D0C00" w14:textId="77777777" w:rsidR="00C04CAD" w:rsidRDefault="00C04CAD">
      <w:pPr>
        <w:tabs>
          <w:tab w:val="clear" w:pos="567"/>
        </w:tabs>
        <w:kinsoku w:val="0"/>
        <w:overflowPunct w:val="0"/>
        <w:autoSpaceDE w:val="0"/>
        <w:autoSpaceDN w:val="0"/>
        <w:adjustRightInd w:val="0"/>
        <w:spacing w:line="240" w:lineRule="auto"/>
      </w:pPr>
    </w:p>
    <w:p w14:paraId="4A12443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w:t>
      </w:r>
      <w:r>
        <w:rPr>
          <w:szCs w:val="22"/>
          <w:lang w:eastAsia="en-US" w:bidi="ar-SA"/>
        </w:rPr>
        <w:t xml:space="preserve">adulţi doza recomandată pentru tratamentul psoriazisului </w:t>
      </w:r>
      <w:r>
        <w:rPr>
          <w:szCs w:val="22"/>
          <w:u w:val="single"/>
          <w:lang w:eastAsia="en-US" w:bidi="ar-SA"/>
        </w:rPr>
        <w:t>în plăci</w:t>
      </w:r>
      <w:r>
        <w:rPr>
          <w:szCs w:val="22"/>
          <w:lang w:eastAsia="en-US" w:bidi="ar-SA"/>
        </w:rPr>
        <w:t xml:space="preserve">, este o doză iniţială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 xml:space="preserve">urmată după o săptămână, de o doză de 40 mg administrată o dată la două săptămâni. Trebuie să continuaţi injecţiile cu AMGEVITA cât timp vă recomandă medicul dumneavoastră. În funcţie de răspunsul dumneavoastră la tratament, medicul dumneavoastră poate să crească doza la 40 mg săptămânal sau 80 mg </w:t>
      </w:r>
      <w:r>
        <w:rPr>
          <w:szCs w:val="22"/>
        </w:rPr>
        <w:t xml:space="preserve">o dată la </w:t>
      </w:r>
      <w:r>
        <w:rPr>
          <w:szCs w:val="22"/>
          <w:lang w:eastAsia="en-US" w:bidi="ar-SA"/>
        </w:rPr>
        <w:t>două săptămâni.</w:t>
      </w:r>
    </w:p>
    <w:p w14:paraId="39D0320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31BD89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și adolescenţi cu psoriazis în plăci</w:t>
      </w:r>
    </w:p>
    <w:p w14:paraId="5E4FD19F"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37299B47" w14:textId="77777777" w:rsidR="00C04CAD" w:rsidRDefault="00060E34">
      <w:pPr>
        <w:keepNext/>
        <w:kinsoku w:val="0"/>
        <w:overflowPunct w:val="0"/>
        <w:autoSpaceDE w:val="0"/>
        <w:autoSpaceDN w:val="0"/>
        <w:adjustRightInd w:val="0"/>
        <w:spacing w:line="240" w:lineRule="auto"/>
      </w:pPr>
      <w:r>
        <w:rPr>
          <w:i/>
        </w:rPr>
        <w:t>Copii și adolescenți începând cu vârsta de 4 ani până la vârsta de 17 ani și greutatea de 30 kg sau mai mult</w:t>
      </w:r>
    </w:p>
    <w:p w14:paraId="5236CD75" w14:textId="77777777" w:rsidR="00C04CAD" w:rsidRDefault="00C04CAD">
      <w:pPr>
        <w:kinsoku w:val="0"/>
        <w:overflowPunct w:val="0"/>
        <w:autoSpaceDE w:val="0"/>
        <w:autoSpaceDN w:val="0"/>
        <w:adjustRightInd w:val="0"/>
        <w:spacing w:line="240" w:lineRule="auto"/>
      </w:pPr>
    </w:p>
    <w:p w14:paraId="1B74D31A" w14:textId="77777777" w:rsidR="00C04CAD" w:rsidRDefault="00060E34">
      <w:pPr>
        <w:tabs>
          <w:tab w:val="clear" w:pos="567"/>
        </w:tabs>
        <w:kinsoku w:val="0"/>
        <w:overflowPunct w:val="0"/>
        <w:autoSpaceDE w:val="0"/>
        <w:autoSpaceDN w:val="0"/>
        <w:adjustRightInd w:val="0"/>
        <w:spacing w:line="240" w:lineRule="auto"/>
      </w:pPr>
      <w:r>
        <w:t>Doza recomandată de AMGEVITA este o doză inițială de 40 mg, urmată de o doză de 40 mg o săptămână mai târziu. Apoi, doza obișnuită este de 40 mg administrată la două săptămâni.</w:t>
      </w:r>
    </w:p>
    <w:p w14:paraId="6BD35EDD" w14:textId="77777777" w:rsidR="00C04CAD" w:rsidRDefault="00C04CAD">
      <w:pPr>
        <w:tabs>
          <w:tab w:val="clear" w:pos="567"/>
        </w:tabs>
        <w:kinsoku w:val="0"/>
        <w:overflowPunct w:val="0"/>
        <w:autoSpaceDE w:val="0"/>
        <w:autoSpaceDN w:val="0"/>
        <w:adjustRightInd w:val="0"/>
        <w:spacing w:line="240" w:lineRule="auto"/>
        <w:rPr>
          <w:u w:val="single"/>
        </w:rPr>
      </w:pPr>
    </w:p>
    <w:p w14:paraId="26EB3CFF" w14:textId="77777777" w:rsidR="00C04CAD" w:rsidRDefault="00060E34">
      <w:pPr>
        <w:keepNext/>
        <w:tabs>
          <w:tab w:val="clear" w:pos="567"/>
        </w:tabs>
        <w:kinsoku w:val="0"/>
        <w:overflowPunct w:val="0"/>
        <w:autoSpaceDE w:val="0"/>
        <w:autoSpaceDN w:val="0"/>
        <w:adjustRightInd w:val="0"/>
        <w:spacing w:line="240" w:lineRule="auto"/>
      </w:pPr>
      <w:r>
        <w:rPr>
          <w:u w:val="single"/>
        </w:rPr>
        <w:t>Adulţi cu hidrosadenită supurativă</w:t>
      </w:r>
    </w:p>
    <w:p w14:paraId="298FCE17" w14:textId="77777777" w:rsidR="00C04CAD" w:rsidRDefault="00C04CAD">
      <w:pPr>
        <w:keepNext/>
        <w:tabs>
          <w:tab w:val="clear" w:pos="567"/>
        </w:tabs>
        <w:kinsoku w:val="0"/>
        <w:overflowPunct w:val="0"/>
        <w:autoSpaceDE w:val="0"/>
        <w:autoSpaceDN w:val="0"/>
        <w:adjustRightInd w:val="0"/>
        <w:spacing w:line="240" w:lineRule="auto"/>
      </w:pPr>
    </w:p>
    <w:p w14:paraId="0CE21ED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obișnuită pentru hidrosadenita supurativă este o doză inițială de 160 mg (sub formă de patru injecții a câte 40 mg într-o zi sau două injecții a câte 40 mg pe zi, două zile consecutive), urmată de o doză de 80 mg (sub formă de două injecții a câte 40 mg în aceeași zi) după două săptămâni. După alte două săptămâni, se continuă cu o doză de 40 mg săptămânal </w:t>
      </w:r>
      <w:r>
        <w:t xml:space="preserve">sau </w:t>
      </w:r>
      <w:r>
        <w:rPr>
          <w:szCs w:val="22"/>
        </w:rPr>
        <w:t>80 mg o dată la două săptămâni, conform recomandărilor medicului dumneavoastră</w:t>
      </w:r>
      <w:r>
        <w:rPr>
          <w:szCs w:val="22"/>
          <w:lang w:eastAsia="en-US" w:bidi="ar-SA"/>
        </w:rPr>
        <w:t>. Se recomandă să spălaţi zilnic cu un antiseptic zonele afectate.</w:t>
      </w:r>
    </w:p>
    <w:p w14:paraId="59C54FA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18DB30E"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4"/>
          <w:u w:val="single"/>
        </w:rPr>
        <w:t>Hidrosadenită supurativă la adolescenți de la vârsta de 12 până la 17 ani, cu greutatea de 30 kg sau mai mult</w:t>
      </w:r>
    </w:p>
    <w:p w14:paraId="341ADD74"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05AE7BEB"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de AMGEVITA este o doză inițială de 80 mg (sub formă de două injecții a 40 mg într-o zi), urmată, </w:t>
      </w:r>
      <w:r>
        <w:rPr>
          <w:szCs w:val="24"/>
        </w:rPr>
        <w:t>după o săptămână,</w:t>
      </w:r>
      <w:r>
        <w:rPr>
          <w:szCs w:val="22"/>
          <w:lang w:eastAsia="en-US" w:bidi="ar-SA"/>
        </w:rPr>
        <w:t xml:space="preserve"> de o </w:t>
      </w:r>
      <w:r>
        <w:rPr>
          <w:szCs w:val="24"/>
        </w:rPr>
        <w:t xml:space="preserve">doză </w:t>
      </w:r>
      <w:r>
        <w:rPr>
          <w:szCs w:val="22"/>
          <w:lang w:eastAsia="en-US" w:bidi="ar-SA"/>
        </w:rPr>
        <w:t xml:space="preserve">40 mg la fiecare două săptămâni. </w:t>
      </w:r>
      <w:r>
        <w:rPr>
          <w:szCs w:val="24"/>
        </w:rPr>
        <w:t>Dacă nu răspundeți corespunzător la</w:t>
      </w:r>
      <w:r>
        <w:rPr>
          <w:szCs w:val="22"/>
          <w:lang w:eastAsia="en-US" w:bidi="ar-SA"/>
        </w:rPr>
        <w:t xml:space="preserve"> AMGEVITA 40 mg la două săptămâni, medicul dumneavoastră poate </w:t>
      </w:r>
      <w:r>
        <w:rPr>
          <w:szCs w:val="24"/>
        </w:rPr>
        <w:t>să crească doza la 40 mg săptămânal sau 80 mg la două săptămâni</w:t>
      </w:r>
      <w:r>
        <w:rPr>
          <w:szCs w:val="22"/>
          <w:lang w:eastAsia="en-US" w:bidi="ar-SA"/>
        </w:rPr>
        <w:t>.</w:t>
      </w:r>
    </w:p>
    <w:p w14:paraId="11D49E02"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24BE7454"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Se recomandă să spălaţi zilnic cu un antiseptic zonele afectate.</w:t>
      </w:r>
    </w:p>
    <w:p w14:paraId="3981822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86C281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boală Crohn</w:t>
      </w:r>
    </w:p>
    <w:p w14:paraId="284AE8C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CD1D04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obişnuită pentru boala Crohn este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 xml:space="preserve">iniţial urmată apoi de 40 mg la două săptămâni, două săptămâni mai târziu. Dacă este necesar un răspuns mai rapid, medicul dumneavoastră vă poate prescrie o doză iniţială de 160 mg (sub formă de patru injecţii a câte 40 mg într-o zi sau două injecţii a câte 40 mg pe zi, două zile consecutiv), urmată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 xml:space="preserve">două săptămâni mai târziu şi apoi 40 mg la două săptămâni. În funcţie de răspunsul dumneavoastră la tratament, medicul dumneavoastră poate creşte doza la 40 mg săptămânal sau </w:t>
      </w:r>
      <w:r>
        <w:rPr>
          <w:szCs w:val="22"/>
        </w:rPr>
        <w:t>80 mg o dată la două săptămâni</w:t>
      </w:r>
      <w:r>
        <w:rPr>
          <w:szCs w:val="22"/>
          <w:lang w:eastAsia="en-US" w:bidi="ar-SA"/>
        </w:rPr>
        <w:t>.</w:t>
      </w:r>
    </w:p>
    <w:p w14:paraId="782FD21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D9A9856"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și adolescenţi cu boală Crohn</w:t>
      </w:r>
    </w:p>
    <w:p w14:paraId="0ED30412"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04FDE6F" w14:textId="77777777" w:rsidR="00C04CAD" w:rsidRDefault="00060E34">
      <w:pPr>
        <w:keepNext/>
        <w:kinsoku w:val="0"/>
        <w:overflowPunct w:val="0"/>
        <w:autoSpaceDE w:val="0"/>
        <w:autoSpaceDN w:val="0"/>
        <w:adjustRightInd w:val="0"/>
        <w:spacing w:line="240" w:lineRule="auto"/>
        <w:rPr>
          <w:u w:val="single"/>
        </w:rPr>
      </w:pPr>
      <w:r>
        <w:rPr>
          <w:i/>
        </w:rPr>
        <w:t>Copii și adolescenţi cu vârsta de 6 ani până la vârsta de 17 ani și greutatea mai mică de 40 kg</w:t>
      </w:r>
    </w:p>
    <w:p w14:paraId="2315357F" w14:textId="77777777" w:rsidR="00C04CAD" w:rsidRDefault="00C04CAD">
      <w:pPr>
        <w:keepNext/>
        <w:tabs>
          <w:tab w:val="clear" w:pos="567"/>
        </w:tabs>
        <w:kinsoku w:val="0"/>
        <w:overflowPunct w:val="0"/>
        <w:autoSpaceDE w:val="0"/>
        <w:autoSpaceDN w:val="0"/>
        <w:adjustRightInd w:val="0"/>
        <w:spacing w:line="240" w:lineRule="auto"/>
        <w:rPr>
          <w:szCs w:val="22"/>
          <w:u w:val="single"/>
          <w:lang w:eastAsia="en-US" w:bidi="ar-SA"/>
        </w:rPr>
      </w:pPr>
    </w:p>
    <w:p w14:paraId="7FB2158F"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Doza recomandată este de 40 mg iniţial, urmată de 20 mg după două săptămâni. Dacă este necesar un răspuns mai rapid, medicul copilului dumneavoastră va poate prescrie o doză iniţială de 80 mg (sub formă de două injecţii a câte 40 mg într-o zi) urmată de 40 mg după două săptămâni.</w:t>
      </w:r>
    </w:p>
    <w:p w14:paraId="6DF219A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BCE8AC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Ulterior, doza recomandată este de 20 mg la două săptămâni. În funcţie de răspunsul copilului dumneavoastră la tratament, medicul copilului dumneavoastră poate creşte frecvenţa dozei la 20 mg în fiecare săptămână.</w:t>
      </w:r>
    </w:p>
    <w:p w14:paraId="3DB0062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4E8259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Penul preumplut de 40 mg nu poate fi utilizat pentru doza de 20 mg. Pentru doza de 20 mg este disponibilă AMGEVITA 20 mg </w:t>
      </w:r>
      <w:r>
        <w:rPr>
          <w:i/>
          <w:szCs w:val="22"/>
          <w:lang w:eastAsia="en-US" w:bidi="ar-SA"/>
        </w:rPr>
        <w:t>seringă</w:t>
      </w:r>
      <w:r>
        <w:rPr>
          <w:szCs w:val="22"/>
          <w:lang w:eastAsia="en-US" w:bidi="ar-SA"/>
        </w:rPr>
        <w:t xml:space="preserve"> preumplută.</w:t>
      </w:r>
    </w:p>
    <w:p w14:paraId="78F6C02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D36C87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i/>
        </w:rPr>
        <w:t>Copii și adolescenţi cu vârsta de 6 ani până la vârsta de 17 ani și greutatea de 40 kg sau mai mult</w:t>
      </w:r>
    </w:p>
    <w:p w14:paraId="29B5B33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AA9C02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este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 xml:space="preserve">iniţial urmată de 40 mg două săptămâni mai târziu. În cazul în care este necesar un răspuns mai rapid, medicul copilului dumneavoastră poate prescrie o doză iniţială de 160 mg (sub formă de patru injecţii a câte 40 mg într-o zi sau două injecţii a câte 40 mg pe zi, timp de două zile consecutiv), urmată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două săptămâni mai târziu.</w:t>
      </w:r>
    </w:p>
    <w:p w14:paraId="1D3CF98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73D585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Ulterior, doza recomandată este de 40 mg la două săptămâni. În funcţie de răspunsul copilului dumneavoastră la tratament, medicul copilului dumneavoastră poate creşte doza la 40 mg în fiecare săptămână sau </w:t>
      </w:r>
      <w:r>
        <w:rPr>
          <w:szCs w:val="22"/>
        </w:rPr>
        <w:t>80 mg o dată la două săptămâni</w:t>
      </w:r>
      <w:r>
        <w:rPr>
          <w:szCs w:val="22"/>
          <w:lang w:eastAsia="en-US" w:bidi="ar-SA"/>
        </w:rPr>
        <w:t>.</w:t>
      </w:r>
    </w:p>
    <w:p w14:paraId="17736A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1C03F97"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colită ulcerativă</w:t>
      </w:r>
    </w:p>
    <w:p w14:paraId="075466FD" w14:textId="77777777" w:rsidR="00C04CAD" w:rsidRDefault="00C04CAD">
      <w:pPr>
        <w:keepNext/>
        <w:tabs>
          <w:tab w:val="clear" w:pos="567"/>
        </w:tabs>
        <w:kinsoku w:val="0"/>
        <w:overflowPunct w:val="0"/>
        <w:autoSpaceDE w:val="0"/>
        <w:autoSpaceDN w:val="0"/>
        <w:adjustRightInd w:val="0"/>
        <w:spacing w:line="240" w:lineRule="auto"/>
      </w:pPr>
    </w:p>
    <w:p w14:paraId="4BFFB74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pacienţii </w:t>
      </w:r>
      <w:r>
        <w:rPr>
          <w:szCs w:val="22"/>
          <w:lang w:eastAsia="en-US" w:bidi="ar-SA"/>
        </w:rPr>
        <w:t xml:space="preserve">adulţi cu colită ulcerativă doza obişnuită de AMGEVITA este 160 mg iniţial (sub formă de patru injecţii a câte 40 mg într-o zi sau de două injecţii a câte 40 mg pe zi, două zile consecutiv), urmate de 80 mg </w:t>
      </w:r>
      <w:r>
        <w:t xml:space="preserve">(sub formă de </w:t>
      </w:r>
      <w:r>
        <w:rPr>
          <w:szCs w:val="22"/>
          <w:lang w:eastAsia="en-US" w:bidi="ar-SA"/>
        </w:rPr>
        <w:t>două</w:t>
      </w:r>
      <w:r>
        <w:t xml:space="preserve"> injecții</w:t>
      </w:r>
      <w:r>
        <w:rPr>
          <w:szCs w:val="22"/>
          <w:lang w:eastAsia="en-US" w:bidi="ar-SA"/>
        </w:rPr>
        <w:t xml:space="preserve"> a câte 40 mg </w:t>
      </w:r>
      <w:r>
        <w:t xml:space="preserve">în aceeași zi) </w:t>
      </w:r>
      <w:r>
        <w:rPr>
          <w:szCs w:val="22"/>
          <w:lang w:eastAsia="en-US" w:bidi="ar-SA"/>
        </w:rPr>
        <w:t xml:space="preserve">două săptamâni mai târziu, şi după aceea 40 mg la două săptămâni. În funcţie de răspunsul dumneavoastră la tratament, medicul dumneavoastră poate creşte doza la 40 mg săptămânal sau </w:t>
      </w:r>
      <w:r>
        <w:rPr>
          <w:szCs w:val="22"/>
        </w:rPr>
        <w:t>80 mg o dată la două săptămâni</w:t>
      </w:r>
      <w:r>
        <w:rPr>
          <w:szCs w:val="22"/>
          <w:lang w:eastAsia="en-US" w:bidi="ar-SA"/>
        </w:rPr>
        <w:t>.</w:t>
      </w:r>
    </w:p>
    <w:p w14:paraId="2C27D21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EB2F939"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cu colită ulcerativă </w:t>
      </w:r>
    </w:p>
    <w:p w14:paraId="030FBCC7"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0DC9D332"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mai mică de 40 kg </w:t>
      </w:r>
    </w:p>
    <w:p w14:paraId="12B7E1C9"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335DA47A"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Doza uzuală inițială de AMGEVITA este de 80 mg (sub formă de două injecții a 40 mg într-o zi), urmată de 40 mg (sub formă de o injecție a 40 mg) două săptămâni mai târziu. Ulterior, doza uzuală este de 40 mg la două săptămâni.</w:t>
      </w:r>
    </w:p>
    <w:p w14:paraId="2A7BA899"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64FFCBF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împlinesc vârsta de 18 ani în timp ce li se administrează doza de 40 mg la două săptămâni, trebuie să continue cu doza prescrisă.</w:t>
      </w:r>
    </w:p>
    <w:p w14:paraId="4440F9DB"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0BBE1DB4"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de 40 kg sau mai mult </w:t>
      </w:r>
    </w:p>
    <w:p w14:paraId="17863F63"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43A66E6"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160 mg (sub formă de patru injecții a 40 mg într-o zi sau de două injecții a 40 mg pe zi timp de două zile consecutive), urmată de 80 mg (sub formă de două injecții a 40 mg într-o zi) două săptămâni mai târziu. Ulterior, doza uzuală este de 80 mg la două săptămâni. </w:t>
      </w:r>
    </w:p>
    <w:p w14:paraId="1F8A464C"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6B782B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rFonts w:eastAsia="MS Mincho"/>
          <w:color w:val="000000"/>
          <w:szCs w:val="22"/>
          <w:lang w:eastAsia="ja-JP" w:bidi="ar-SA"/>
        </w:rPr>
        <w:t>Pacienții care împlinesc vârsta de 18 ani în timp ce li se administrează doza de 80 mg la două săptămâni trebuie să continue cu doza prescrisă.</w:t>
      </w:r>
    </w:p>
    <w:p w14:paraId="191D72C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9CA0CA6"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Adulți cu uveită non-infecţioasă</w:t>
      </w:r>
    </w:p>
    <w:p w14:paraId="7753FE8A"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C58E3D9"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 xml:space="preserve">Doza recomandată pentru adulții cu uveită non-infecţioasă este o doză inițială de 80 mg </w:t>
      </w:r>
      <w:r>
        <w:t>(sub formă de două injecții a câte 40 mg în aceeași zi)</w:t>
      </w:r>
      <w:r>
        <w:rPr>
          <w:szCs w:val="22"/>
          <w:lang w:eastAsia="en-US" w:bidi="ar-SA"/>
        </w:rPr>
        <w:t>, urmată de 40 mg administrată o dată la două săptămâni începând cu prima săptămână după doza inițială. Trebuie să continuați să utilizaţi AMGEVITA atâta timp cât medicul dumneavoastră v-a recomandat</w:t>
      </w:r>
      <w:r>
        <w:t>.</w:t>
      </w:r>
    </w:p>
    <w:p w14:paraId="2929F571" w14:textId="77777777" w:rsidR="00C04CAD" w:rsidRDefault="00C04CAD">
      <w:pPr>
        <w:tabs>
          <w:tab w:val="clear" w:pos="567"/>
        </w:tabs>
        <w:kinsoku w:val="0"/>
        <w:overflowPunct w:val="0"/>
        <w:autoSpaceDE w:val="0"/>
        <w:autoSpaceDN w:val="0"/>
        <w:adjustRightInd w:val="0"/>
        <w:spacing w:line="240" w:lineRule="auto"/>
      </w:pPr>
    </w:p>
    <w:p w14:paraId="49B9C26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pacienţii cu </w:t>
      </w:r>
      <w:r>
        <w:rPr>
          <w:szCs w:val="22"/>
          <w:lang w:eastAsia="en-US" w:bidi="ar-SA"/>
        </w:rPr>
        <w:t>uveită non-infecţioasă, în timpul utilizării AMGEVITA, se poate continua tratamentul cu corticosteroizi sau cu alte medicamente care influențează sistemul imunitar. AMGEVITA poate fi de asemenea administrat în monoterapie.</w:t>
      </w:r>
    </w:p>
    <w:p w14:paraId="76638E6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45C07D2"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 xml:space="preserve">Copii și adolescenți cu uveită cronică non-infecțioasă </w:t>
      </w:r>
      <w:r>
        <w:rPr>
          <w:szCs w:val="24"/>
          <w:u w:val="single"/>
        </w:rPr>
        <w:t xml:space="preserve">cu vârsta </w:t>
      </w:r>
      <w:r>
        <w:rPr>
          <w:szCs w:val="22"/>
          <w:u w:val="single"/>
        </w:rPr>
        <w:t>de la 2 ani</w:t>
      </w:r>
    </w:p>
    <w:p w14:paraId="39A4F8DA" w14:textId="77777777" w:rsidR="00C04CAD" w:rsidRDefault="00C04CAD">
      <w:pPr>
        <w:tabs>
          <w:tab w:val="clear" w:pos="567"/>
        </w:tabs>
        <w:kinsoku w:val="0"/>
        <w:overflowPunct w:val="0"/>
        <w:autoSpaceDE w:val="0"/>
        <w:autoSpaceDN w:val="0"/>
        <w:adjustRightInd w:val="0"/>
        <w:spacing w:line="240" w:lineRule="auto"/>
        <w:rPr>
          <w:szCs w:val="22"/>
        </w:rPr>
      </w:pPr>
    </w:p>
    <w:p w14:paraId="08EB9CD0"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mai mică de 30 kg</w:t>
      </w:r>
    </w:p>
    <w:p w14:paraId="51EB9454" w14:textId="77777777" w:rsidR="00C04CAD" w:rsidRDefault="00C04CAD">
      <w:pPr>
        <w:tabs>
          <w:tab w:val="clear" w:pos="567"/>
        </w:tabs>
        <w:kinsoku w:val="0"/>
        <w:overflowPunct w:val="0"/>
        <w:autoSpaceDE w:val="0"/>
        <w:autoSpaceDN w:val="0"/>
        <w:adjustRightInd w:val="0"/>
        <w:spacing w:line="240" w:lineRule="auto"/>
        <w:rPr>
          <w:szCs w:val="22"/>
        </w:rPr>
      </w:pPr>
    </w:p>
    <w:p w14:paraId="55A64044"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rPr>
          <w:szCs w:val="24"/>
        </w:rPr>
        <w:t xml:space="preserve">uzuală </w:t>
      </w:r>
      <w:r>
        <w:rPr>
          <w:szCs w:val="22"/>
        </w:rPr>
        <w:t xml:space="preserve">de AMGEVITA este de 20 mg la două săptămâni </w:t>
      </w:r>
      <w:r>
        <w:rPr>
          <w:szCs w:val="24"/>
        </w:rPr>
        <w:t xml:space="preserve">administrată </w:t>
      </w:r>
      <w:r>
        <w:rPr>
          <w:szCs w:val="22"/>
        </w:rPr>
        <w:t>asociat cu metotrexat.</w:t>
      </w:r>
    </w:p>
    <w:p w14:paraId="65FC642A" w14:textId="77777777" w:rsidR="00C04CAD" w:rsidRDefault="00C04CAD">
      <w:pPr>
        <w:tabs>
          <w:tab w:val="clear" w:pos="567"/>
        </w:tabs>
        <w:kinsoku w:val="0"/>
        <w:overflowPunct w:val="0"/>
        <w:autoSpaceDE w:val="0"/>
        <w:autoSpaceDN w:val="0"/>
        <w:adjustRightInd w:val="0"/>
        <w:spacing w:line="240" w:lineRule="auto"/>
        <w:rPr>
          <w:szCs w:val="22"/>
        </w:rPr>
      </w:pPr>
    </w:p>
    <w:p w14:paraId="1E9B9BF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Medicul copilului dumneavoastră vă poate prescrie o doză inițială de 40 mg care se poate administra cu o săptămână înainte </w:t>
      </w:r>
      <w:r>
        <w:rPr>
          <w:szCs w:val="24"/>
        </w:rPr>
        <w:t>să începeți doza uzuală</w:t>
      </w:r>
      <w:r>
        <w:rPr>
          <w:szCs w:val="22"/>
        </w:rPr>
        <w:t>.</w:t>
      </w:r>
    </w:p>
    <w:p w14:paraId="52BA299E" w14:textId="77777777" w:rsidR="00C04CAD" w:rsidRDefault="00C04CAD">
      <w:pPr>
        <w:tabs>
          <w:tab w:val="clear" w:pos="567"/>
        </w:tabs>
        <w:kinsoku w:val="0"/>
        <w:overflowPunct w:val="0"/>
        <w:autoSpaceDE w:val="0"/>
        <w:autoSpaceDN w:val="0"/>
        <w:adjustRightInd w:val="0"/>
        <w:spacing w:line="240" w:lineRule="auto"/>
        <w:rPr>
          <w:szCs w:val="22"/>
        </w:rPr>
      </w:pPr>
    </w:p>
    <w:p w14:paraId="4ADB6DA9"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Pen-ul preumplut de 40 mg nu poate fi utilizat pentru doza de 20 mg. Cu toate acestea, este disponibilă o </w:t>
      </w:r>
      <w:r>
        <w:rPr>
          <w:i/>
          <w:szCs w:val="22"/>
        </w:rPr>
        <w:t>seringă</w:t>
      </w:r>
      <w:r>
        <w:rPr>
          <w:szCs w:val="22"/>
        </w:rPr>
        <w:t xml:space="preserve"> preumplută de AMGEVITA 20 mg pentru doza de 20 mg.</w:t>
      </w:r>
    </w:p>
    <w:p w14:paraId="5F0ACF60" w14:textId="77777777" w:rsidR="00C04CAD" w:rsidRDefault="00C04CAD">
      <w:pPr>
        <w:tabs>
          <w:tab w:val="clear" w:pos="567"/>
        </w:tabs>
        <w:kinsoku w:val="0"/>
        <w:overflowPunct w:val="0"/>
        <w:autoSpaceDE w:val="0"/>
        <w:autoSpaceDN w:val="0"/>
        <w:adjustRightInd w:val="0"/>
        <w:spacing w:line="240" w:lineRule="auto"/>
        <w:rPr>
          <w:szCs w:val="22"/>
        </w:rPr>
      </w:pPr>
    </w:p>
    <w:p w14:paraId="3CC26DB1"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de 30 kg sau mai mult</w:t>
      </w:r>
    </w:p>
    <w:p w14:paraId="09F6F4A6" w14:textId="77777777" w:rsidR="00C04CAD" w:rsidRDefault="00C04CAD">
      <w:pPr>
        <w:tabs>
          <w:tab w:val="clear" w:pos="567"/>
        </w:tabs>
        <w:kinsoku w:val="0"/>
        <w:overflowPunct w:val="0"/>
        <w:autoSpaceDE w:val="0"/>
        <w:autoSpaceDN w:val="0"/>
        <w:adjustRightInd w:val="0"/>
        <w:spacing w:line="240" w:lineRule="auto"/>
        <w:rPr>
          <w:szCs w:val="22"/>
        </w:rPr>
      </w:pPr>
    </w:p>
    <w:p w14:paraId="62143382"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rPr>
          <w:szCs w:val="24"/>
        </w:rPr>
        <w:t xml:space="preserve">uzuală </w:t>
      </w:r>
      <w:r>
        <w:rPr>
          <w:szCs w:val="22"/>
        </w:rPr>
        <w:t xml:space="preserve">de AMGEVITA este de 40 mg la </w:t>
      </w:r>
      <w:r>
        <w:rPr>
          <w:szCs w:val="24"/>
        </w:rPr>
        <w:t>două</w:t>
      </w:r>
      <w:r>
        <w:rPr>
          <w:szCs w:val="22"/>
        </w:rPr>
        <w:t xml:space="preserve"> săptămâni </w:t>
      </w:r>
      <w:r>
        <w:rPr>
          <w:szCs w:val="24"/>
        </w:rPr>
        <w:t>admnistrată asociat cu metotrexat</w:t>
      </w:r>
      <w:r>
        <w:rPr>
          <w:szCs w:val="22"/>
        </w:rPr>
        <w:t>.</w:t>
      </w:r>
    </w:p>
    <w:p w14:paraId="3C08ECB3" w14:textId="77777777" w:rsidR="00C04CAD" w:rsidRDefault="00C04CAD">
      <w:pPr>
        <w:tabs>
          <w:tab w:val="clear" w:pos="567"/>
        </w:tabs>
        <w:kinsoku w:val="0"/>
        <w:overflowPunct w:val="0"/>
        <w:autoSpaceDE w:val="0"/>
        <w:autoSpaceDN w:val="0"/>
        <w:adjustRightInd w:val="0"/>
        <w:spacing w:line="240" w:lineRule="auto"/>
        <w:rPr>
          <w:szCs w:val="22"/>
        </w:rPr>
      </w:pPr>
    </w:p>
    <w:p w14:paraId="3D6D6D2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 xml:space="preserve">Medicul dumneavoastră vă poate prescrie o doză inițială de 80 mg care se poate administra cu o săptămână înainte </w:t>
      </w:r>
      <w:r>
        <w:rPr>
          <w:szCs w:val="24"/>
        </w:rPr>
        <w:t>să începeți doza uzuală</w:t>
      </w:r>
      <w:r>
        <w:rPr>
          <w:szCs w:val="22"/>
        </w:rPr>
        <w:t>.</w:t>
      </w:r>
    </w:p>
    <w:p w14:paraId="2A00B6F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8775CF1"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Mod și cale de administrare</w:t>
      </w:r>
    </w:p>
    <w:p w14:paraId="1635937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068320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administrează prin injectare sub piele (injectare subcutanată).</w:t>
      </w:r>
    </w:p>
    <w:p w14:paraId="5854D81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F1D89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Instrucțiuni detaliate privind modul de injectare al AMGEVITA sunt furnizate la punctul „Instrucțiuni de utilizare”.</w:t>
      </w:r>
    </w:p>
    <w:p w14:paraId="5E101A6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AD309E3"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utilizaţi mai mult decât trebuie din AMGEVITA</w:t>
      </w:r>
    </w:p>
    <w:p w14:paraId="7D2F231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461996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Dacă vă administraţi accidental AMGEVITA mai des decât v-a indicat medicul dumneavoastră sau farmacistul, anunţaţi medicul dumneavoastră sau farmacistul şi să-i spuneţi acestuia/acesteia că aţi utilizat mai mult. Purtaţi mereu la dumneavoastră cutia exterioară a acestui medicament, chiar dacă este goală.</w:t>
      </w:r>
    </w:p>
    <w:p w14:paraId="7F469D8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315CB63"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uitaţi să utilizaţi AMGEVITA</w:t>
      </w:r>
    </w:p>
    <w:p w14:paraId="0628675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710337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Dacă uitaţi să vă faceţi o injecţie, trebuie să vă administraţi </w:t>
      </w:r>
      <w:r>
        <w:rPr>
          <w:szCs w:val="22"/>
        </w:rPr>
        <w:t>următoarea doză de AMGEVITA</w:t>
      </w:r>
      <w:r>
        <w:rPr>
          <w:szCs w:val="22"/>
          <w:lang w:eastAsia="en-US" w:bidi="ar-SA"/>
        </w:rPr>
        <w:t xml:space="preserve"> imediat ce vă aduceţi aminte. Apoi administraţi-vă următoarea doză în ziua programată iniţial, ca şi cum nu aţi fi uitat să vă administraţi o doză.</w:t>
      </w:r>
    </w:p>
    <w:p w14:paraId="2392458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D830159"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opriţi utilizarea AMGEVITA</w:t>
      </w:r>
    </w:p>
    <w:p w14:paraId="65D785F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83BAF1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Decizia de a opri utilizarea AMGEVITA trebuie să o discutaţi cu medicul dumneavoastră. Simptomele dumneavoastră pot să revină după întrerupere.</w:t>
      </w:r>
    </w:p>
    <w:p w14:paraId="44B82AE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85349F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Dacă aveţi alte întrebări suplimentare privind utilizarea acestui medicament, întrebaţi medicul dumneavoastră sau farmacistul.</w:t>
      </w:r>
    </w:p>
    <w:p w14:paraId="5E4A803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B24DFB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0A782B8" w14:textId="77777777" w:rsidR="00C04CAD" w:rsidRDefault="00060E34">
      <w:pPr>
        <w:keepNext/>
        <w:numPr>
          <w:ilvl w:val="0"/>
          <w:numId w:val="109"/>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Reacţii adverse posibile</w:t>
      </w:r>
    </w:p>
    <w:p w14:paraId="354E7D79"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1F30606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Ca toate medicamentele, acest medicament poate provoca reacţii adverse, cu toate că nu apar la toate persoanele. Majoritatea reacţiilor adverse sunt uşoare sau moderate. Totuşi, unele pot fi grave şi pot necesita tratament. Reacţiile adverse pot apărea până la cel puţin 4 luni după ultima injecţie de AMGEVITA.</w:t>
      </w:r>
    </w:p>
    <w:p w14:paraId="1DEE2AE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4F121A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Adresaţi-vă imediat medicului dumneavoastră dacă observaţi oricare dintre următoarele </w:t>
      </w:r>
      <w:r>
        <w:t>semne de reacții alergice sau insuficiență cardiacă:</w:t>
      </w:r>
    </w:p>
    <w:p w14:paraId="41A495D7"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gravă, urticarie sau alte semne de reacţie alergică;</w:t>
      </w:r>
    </w:p>
    <w:p w14:paraId="621521A2"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Umflare a feţei, a mâinilor, a picioarelor;</w:t>
      </w:r>
    </w:p>
    <w:p w14:paraId="5FB83D75"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Dificultăţi la respiraţie, la înghiţire;</w:t>
      </w:r>
    </w:p>
    <w:p w14:paraId="3A1AAA24"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Dificultate în respiraţie la efort sau în poziţie orizontală sau umflare a picioarelor.</w:t>
      </w:r>
    </w:p>
    <w:p w14:paraId="2BFDEB7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73FEE0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Adresaţi-vă cât mai repede medicului dumneavoastră dacă observaţi oricare dintre următoarele manifestări:</w:t>
      </w:r>
    </w:p>
    <w:p w14:paraId="7A9B77A7"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Semne de infecţie cum sunt febră, stare de rău, răni, probleme dentare, senzaţie de arsură la urinare;</w:t>
      </w:r>
    </w:p>
    <w:p w14:paraId="394A3E33"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Senzaţie de slăbiciune sau de oboseală;</w:t>
      </w:r>
    </w:p>
    <w:p w14:paraId="7041002B"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Tuse;</w:t>
      </w:r>
    </w:p>
    <w:p w14:paraId="08B06311"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Furnicături;</w:t>
      </w:r>
    </w:p>
    <w:p w14:paraId="71D536F3"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Amorţeală;</w:t>
      </w:r>
    </w:p>
    <w:p w14:paraId="1BA9F5D3"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Vedere dublă;</w:t>
      </w:r>
    </w:p>
    <w:p w14:paraId="624868B5"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Slăbiciune a mâinilor sau a picioarelor;</w:t>
      </w:r>
    </w:p>
    <w:p w14:paraId="0EE5C56B" w14:textId="77777777" w:rsidR="00C04CAD" w:rsidRDefault="00060E34">
      <w:pPr>
        <w:pStyle w:val="ListParagraph"/>
        <w:keepNext/>
        <w:numPr>
          <w:ilvl w:val="0"/>
          <w:numId w:val="89"/>
        </w:numPr>
        <w:tabs>
          <w:tab w:val="clear" w:pos="567"/>
        </w:tabs>
        <w:kinsoku w:val="0"/>
        <w:overflowPunct w:val="0"/>
        <w:autoSpaceDE w:val="0"/>
        <w:autoSpaceDN w:val="0"/>
        <w:adjustRightInd w:val="0"/>
        <w:spacing w:line="240" w:lineRule="auto"/>
        <w:ind w:left="567"/>
      </w:pPr>
      <w:r>
        <w:rPr>
          <w:szCs w:val="22"/>
          <w:lang w:eastAsia="en-US" w:bidi="ar-SA"/>
        </w:rPr>
        <w:t xml:space="preserve">Semne ale cancerului de piele, cum sunt o </w:t>
      </w:r>
      <w:r>
        <w:t>inflamaţie sau o rană deschisă care nu se vindecă.</w:t>
      </w:r>
    </w:p>
    <w:p w14:paraId="1FD34F4C"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Semne şi simptome care sugerează tulburări sanguine cum sunt febră persistentă, vânătăi, sângerări, paloare.</w:t>
      </w:r>
    </w:p>
    <w:p w14:paraId="0895DDA5" w14:textId="77777777" w:rsidR="00C04CAD" w:rsidRDefault="00C04CAD">
      <w:pPr>
        <w:tabs>
          <w:tab w:val="clear" w:pos="567"/>
        </w:tabs>
        <w:kinsoku w:val="0"/>
        <w:overflowPunct w:val="0"/>
        <w:autoSpaceDE w:val="0"/>
        <w:autoSpaceDN w:val="0"/>
        <w:adjustRightInd w:val="0"/>
        <w:spacing w:line="240" w:lineRule="auto"/>
      </w:pPr>
    </w:p>
    <w:p w14:paraId="7864BDE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 xml:space="preserve">Simptomele descrise mai sus pot fi semne ale reacţiilor adverse enumerate mai jos, care au fost observate la administrarea </w:t>
      </w:r>
      <w:r>
        <w:rPr>
          <w:szCs w:val="22"/>
          <w:lang w:eastAsia="en-US" w:bidi="ar-SA"/>
        </w:rPr>
        <w:t>adalimumab.</w:t>
      </w:r>
    </w:p>
    <w:p w14:paraId="4BD66B9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BEB2319"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szCs w:val="22"/>
          <w:lang w:eastAsia="en-US" w:bidi="ar-SA"/>
        </w:rPr>
        <w:t>Foarte frecvente</w:t>
      </w:r>
      <w:r>
        <w:rPr>
          <w:b/>
          <w:szCs w:val="22"/>
          <w:lang w:eastAsia="en-US" w:bidi="ar-SA"/>
        </w:rPr>
        <w:t xml:space="preserve"> </w:t>
      </w:r>
      <w:r>
        <w:rPr>
          <w:szCs w:val="22"/>
          <w:lang w:eastAsia="en-US" w:bidi="ar-SA"/>
        </w:rPr>
        <w:t>(pot să apară la mai mult de 1 persoană din 10)</w:t>
      </w:r>
    </w:p>
    <w:p w14:paraId="06AE77B6"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la locul administrării (inclusiv durere, umflare, roşeaţă sau mâncărimi);</w:t>
      </w:r>
    </w:p>
    <w:p w14:paraId="6E333DE2"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căilor respiratorii (inclusiv răceală, secreţii nazale, sinuzită, pneumonie);</w:t>
      </w:r>
    </w:p>
    <w:p w14:paraId="3ED9ECDB"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de cap;</w:t>
      </w:r>
    </w:p>
    <w:p w14:paraId="49605ACF"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abdominale;</w:t>
      </w:r>
    </w:p>
    <w:p w14:paraId="10889B75"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greaţă şi vărsături;</w:t>
      </w:r>
    </w:p>
    <w:p w14:paraId="63C08C54"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pe piele;</w:t>
      </w:r>
    </w:p>
    <w:p w14:paraId="6CD44E86"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musculare şi osoase.</w:t>
      </w:r>
    </w:p>
    <w:p w14:paraId="27D56CF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1C2AE3A"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w:t>
      </w:r>
      <w:r>
        <w:rPr>
          <w:b/>
          <w:szCs w:val="22"/>
          <w:lang w:eastAsia="en-US" w:bidi="ar-SA"/>
        </w:rPr>
        <w:t xml:space="preserve"> </w:t>
      </w:r>
      <w:r>
        <w:rPr>
          <w:szCs w:val="22"/>
          <w:lang w:eastAsia="en-US" w:bidi="ar-SA"/>
        </w:rPr>
        <w:t>(pot să apară până la 1 persoană din 10)</w:t>
      </w:r>
    </w:p>
    <w:p w14:paraId="64A2C720"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grave (inclusiv septicemie şi gripă);</w:t>
      </w:r>
    </w:p>
    <w:p w14:paraId="53BE1195"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t>infecții intestinale (inclusiv gastroenterită);</w:t>
      </w:r>
    </w:p>
    <w:p w14:paraId="3DB55DB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pielii (inclusiv celulită şi herpes zoster);</w:t>
      </w:r>
    </w:p>
    <w:p w14:paraId="71DA08F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urechii;</w:t>
      </w:r>
    </w:p>
    <w:p w14:paraId="54975F8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gurii (inclusiv infecţii dentare şi abces rece);</w:t>
      </w:r>
    </w:p>
    <w:p w14:paraId="4E395A1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genital;</w:t>
      </w:r>
    </w:p>
    <w:p w14:paraId="09423B9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urinar;</w:t>
      </w:r>
    </w:p>
    <w:p w14:paraId="4CF3CBE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cu ciuperci;</w:t>
      </w:r>
    </w:p>
    <w:p w14:paraId="3FE2D09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articulaţiilor;</w:t>
      </w:r>
    </w:p>
    <w:p w14:paraId="7B68D8A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tumori benigne;</w:t>
      </w:r>
    </w:p>
    <w:p w14:paraId="004BF6B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cancer de piele;</w:t>
      </w:r>
    </w:p>
    <w:p w14:paraId="7D450DD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alergice (inclusiv alergii sezoniere);</w:t>
      </w:r>
    </w:p>
    <w:p w14:paraId="5D2FF95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deshidratare;</w:t>
      </w:r>
    </w:p>
    <w:p w14:paraId="147E8FB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modificare a dispoziţiei (inclusiv depresie);</w:t>
      </w:r>
    </w:p>
    <w:p w14:paraId="565B85D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anxietate;</w:t>
      </w:r>
    </w:p>
    <w:p w14:paraId="102B663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ale somnului;</w:t>
      </w:r>
    </w:p>
    <w:p w14:paraId="6BFC701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senzoriale cum sunt furnicături, înţepături sau amorţeli;</w:t>
      </w:r>
    </w:p>
    <w:p w14:paraId="4E66149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migrenă;</w:t>
      </w:r>
    </w:p>
    <w:p w14:paraId="3D3037F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compresie a rădăcinii nervoase (inclusiv dureri joase de spate şi dureri de picioare);</w:t>
      </w:r>
    </w:p>
    <w:p w14:paraId="7DE02CD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de vedere;</w:t>
      </w:r>
    </w:p>
    <w:p w14:paraId="1C25F93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inflamaţie a ochilor;</w:t>
      </w:r>
    </w:p>
    <w:p w14:paraId="77D6B89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pleoapelor şi umflarea ochilor;</w:t>
      </w:r>
    </w:p>
    <w:p w14:paraId="0373DA7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 xml:space="preserve">vertij </w:t>
      </w:r>
      <w:r>
        <w:rPr>
          <w:szCs w:val="22"/>
          <w:lang w:eastAsia="en-US" w:bidi="ar-SA"/>
        </w:rPr>
        <w:t>(senzație de amețeală sau că se învârte casa)</w:t>
      </w:r>
      <w:r>
        <w:t>;</w:t>
      </w:r>
    </w:p>
    <w:p w14:paraId="0E8FB80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senzaţie că inima bate repede;</w:t>
      </w:r>
    </w:p>
    <w:p w14:paraId="3A94C1D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tensiune arterială mare;</w:t>
      </w:r>
    </w:p>
    <w:p w14:paraId="77DDE76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roşeaţă;</w:t>
      </w:r>
    </w:p>
    <w:p w14:paraId="1703CD3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hematom;</w:t>
      </w:r>
    </w:p>
    <w:p w14:paraId="07E371B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tuse;</w:t>
      </w:r>
    </w:p>
    <w:p w14:paraId="3B8D898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astm bronșic;</w:t>
      </w:r>
    </w:p>
    <w:p w14:paraId="3FE23EB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scurtare a respiraţiei;</w:t>
      </w:r>
    </w:p>
    <w:p w14:paraId="658D96B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sângerări gastro-intestinale;</w:t>
      </w:r>
    </w:p>
    <w:p w14:paraId="03DB3A2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dispepsie (indigestie, balonare, arsuri);</w:t>
      </w:r>
    </w:p>
    <w:p w14:paraId="0C52BDF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boală de reflux a acidului gastric;</w:t>
      </w:r>
    </w:p>
    <w:p w14:paraId="5D4D7CD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sindrom sicca (inclusiv ochi uscaţi şi gură uscată);</w:t>
      </w:r>
    </w:p>
    <w:p w14:paraId="00BC6B4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mâncărime;</w:t>
      </w:r>
    </w:p>
    <w:p w14:paraId="576D3F3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erupţie însoțită de mâncărime;</w:t>
      </w:r>
    </w:p>
    <w:p w14:paraId="151EFD7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vânătăi;</w:t>
      </w:r>
    </w:p>
    <w:p w14:paraId="60EDC2E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pielii (ca de exemplu eczemă);</w:t>
      </w:r>
    </w:p>
    <w:p w14:paraId="1C5ACC25"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rupere a unghiilor degetelor de la mâini şi picioare;</w:t>
      </w:r>
    </w:p>
    <w:p w14:paraId="6256721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transpiraţii abundente;</w:t>
      </w:r>
    </w:p>
    <w:p w14:paraId="2962F315"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cădere a părului;</w:t>
      </w:r>
    </w:p>
    <w:p w14:paraId="54143E9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apariţie de leziuni noi sau agravare a psoriazisului;</w:t>
      </w:r>
    </w:p>
    <w:p w14:paraId="27B268D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spasme musculare;</w:t>
      </w:r>
    </w:p>
    <w:p w14:paraId="026D0A9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 în urină;</w:t>
      </w:r>
    </w:p>
    <w:p w14:paraId="2C3B76A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rinichilor;</w:t>
      </w:r>
    </w:p>
    <w:p w14:paraId="0043C8E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dureri în piept;</w:t>
      </w:r>
    </w:p>
    <w:p w14:paraId="437FF7E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edem;</w:t>
      </w:r>
    </w:p>
    <w:p w14:paraId="1F57120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febră;</w:t>
      </w:r>
    </w:p>
    <w:p w14:paraId="6A5C1B2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scăderea numărului de trombocite care duce la creşterea riscului de sângerare sau de apariţie a vânătăilor;</w:t>
      </w:r>
    </w:p>
    <w:p w14:paraId="6A8A2A8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vindecării.</w:t>
      </w:r>
    </w:p>
    <w:p w14:paraId="518ED0A4" w14:textId="77777777" w:rsidR="00C04CAD" w:rsidRDefault="00C04CAD">
      <w:pPr>
        <w:tabs>
          <w:tab w:val="clear" w:pos="567"/>
        </w:tabs>
        <w:kinsoku w:val="0"/>
        <w:overflowPunct w:val="0"/>
        <w:autoSpaceDE w:val="0"/>
        <w:autoSpaceDN w:val="0"/>
        <w:adjustRightInd w:val="0"/>
        <w:spacing w:line="240" w:lineRule="auto"/>
      </w:pPr>
    </w:p>
    <w:p w14:paraId="6EE6FB9E"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Mai puţin frecvente</w:t>
      </w:r>
      <w:r>
        <w:rPr>
          <w:b/>
          <w:szCs w:val="22"/>
          <w:lang w:eastAsia="en-US" w:bidi="ar-SA"/>
        </w:rPr>
        <w:t xml:space="preserve"> </w:t>
      </w:r>
      <w:r>
        <w:rPr>
          <w:szCs w:val="22"/>
          <w:lang w:eastAsia="en-US" w:bidi="ar-SA"/>
        </w:rPr>
        <w:t>(pot să apară până la 1 persoană din 100)</w:t>
      </w:r>
    </w:p>
    <w:p w14:paraId="2E4FC6A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oportuniste (care includ tuberculoză şi alte infecţii care apar atunci când rezistenţa organismului la boli este scăzută);</w:t>
      </w:r>
    </w:p>
    <w:p w14:paraId="458497A9"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neurologice (inclusiv meningită virală);</w:t>
      </w:r>
    </w:p>
    <w:p w14:paraId="0ABB019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ale ochilor;</w:t>
      </w:r>
    </w:p>
    <w:p w14:paraId="4337E2F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bacteriene;</w:t>
      </w:r>
    </w:p>
    <w:p w14:paraId="520B7FB7"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diverticulită (inflamaţie şi infecţie a intestinului gros);</w:t>
      </w:r>
    </w:p>
    <w:p w14:paraId="1E2F62BA"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cancer</w:t>
      </w:r>
      <w:r>
        <w:rPr>
          <w:szCs w:val="22"/>
          <w:lang w:eastAsia="en-US" w:bidi="ar-SA"/>
        </w:rPr>
        <w:t>, inclusiv cancer care afectează sistemul limfatic (limfom) și melanom (cancer de piele)</w:t>
      </w:r>
      <w:r>
        <w:t>;</w:t>
      </w:r>
    </w:p>
    <w:p w14:paraId="1AEB4BD8"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ale sistemului imunitar care ar putea afecta plămânii, pielea şi ganglionii limfatici (cel mai frecvent se prezintă ca sarcoidoză);</w:t>
      </w:r>
    </w:p>
    <w:p w14:paraId="4FC961E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vasculită (inflamaţie a vaselor de sânge);</w:t>
      </w:r>
    </w:p>
    <w:p w14:paraId="7BBCC85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tremor;</w:t>
      </w:r>
    </w:p>
    <w:p w14:paraId="145F402D"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neuropatie;</w:t>
      </w:r>
    </w:p>
    <w:p w14:paraId="252DAE3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accident vascular cerebral;</w:t>
      </w:r>
    </w:p>
    <w:p w14:paraId="6481C388"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pierdere a auzului, zgomote în urechi;</w:t>
      </w:r>
    </w:p>
    <w:p w14:paraId="613717CA"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senzaţie că bătăile inimii sunt neregulate, ca de exemplu lipsa unei bătăi;</w:t>
      </w:r>
    </w:p>
    <w:p w14:paraId="199882FE"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cardiace care pot determina scurtare a respiraţiei sau umflare a gleznelor;</w:t>
      </w:r>
    </w:p>
    <w:p w14:paraId="0AE5FF40"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infarct miocardic;</w:t>
      </w:r>
    </w:p>
    <w:p w14:paraId="347DFDD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dilatare a peretelui unei artere importante, inflamaţie a unei vene şi cheag pe venă, obstrucţie a unui vas de sânge;</w:t>
      </w:r>
    </w:p>
    <w:p w14:paraId="607FCE6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boli pulmonare care determină scurtare a respiraţiei (inclusiv inflamaţii);</w:t>
      </w:r>
    </w:p>
    <w:p w14:paraId="221F7468"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embolie pulmonară (blocaj al unei artere pulmonare);</w:t>
      </w:r>
    </w:p>
    <w:p w14:paraId="2BC18BD4"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revărsat pleural (acumulare anormală de lichid în spaţiul pleural);</w:t>
      </w:r>
    </w:p>
    <w:p w14:paraId="3B1E19E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pancreatită care determină durere puternică abdominală şi de spate;</w:t>
      </w:r>
    </w:p>
    <w:p w14:paraId="0CD3D317"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dificultate la înghiţire;</w:t>
      </w:r>
    </w:p>
    <w:p w14:paraId="3555C09E"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edem al feţei;</w:t>
      </w:r>
    </w:p>
    <w:p w14:paraId="35CB4E2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inflamaţii ale veziculei biliare, pietre în vezicula biliară;</w:t>
      </w:r>
    </w:p>
    <w:p w14:paraId="538134E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ficat gras;</w:t>
      </w:r>
    </w:p>
    <w:p w14:paraId="1ED892B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transpiraţii nocturne;</w:t>
      </w:r>
    </w:p>
    <w:p w14:paraId="75811A7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cicatrice;</w:t>
      </w:r>
    </w:p>
    <w:p w14:paraId="74E0687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oboseală musculară neobişnuită;</w:t>
      </w:r>
    </w:p>
    <w:p w14:paraId="6013BFF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lupus eritematos sistemic (inclusiv inflamaţie a pielii, inimii, plămânului, articulaţiilor şi a altor organe);</w:t>
      </w:r>
    </w:p>
    <w:p w14:paraId="70B77B5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întreruperi ale somnului;</w:t>
      </w:r>
    </w:p>
    <w:p w14:paraId="4A044719" w14:textId="77777777" w:rsidR="00C04CAD" w:rsidRDefault="00060E34">
      <w:pPr>
        <w:pStyle w:val="ListParagraph"/>
        <w:keepNext/>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impotenţă;</w:t>
      </w:r>
    </w:p>
    <w:p w14:paraId="2128596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inflamaţii.</w:t>
      </w:r>
    </w:p>
    <w:p w14:paraId="23FBB88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AE2547B" w14:textId="77777777" w:rsidR="00C04CAD" w:rsidRDefault="00060E34">
      <w:pPr>
        <w:keepNext/>
        <w:tabs>
          <w:tab w:val="clear" w:pos="567"/>
        </w:tabs>
        <w:kinsoku w:val="0"/>
        <w:overflowPunct w:val="0"/>
        <w:autoSpaceDE w:val="0"/>
        <w:autoSpaceDN w:val="0"/>
        <w:adjustRightInd w:val="0"/>
        <w:spacing w:line="240" w:lineRule="auto"/>
        <w:rPr>
          <w:b/>
        </w:rPr>
      </w:pPr>
      <w:r>
        <w:rPr>
          <w:szCs w:val="22"/>
          <w:lang w:eastAsia="en-US" w:bidi="ar-SA"/>
        </w:rPr>
        <w:t>Rare</w:t>
      </w:r>
      <w:r>
        <w:rPr>
          <w:b/>
          <w:szCs w:val="22"/>
          <w:lang w:eastAsia="en-US" w:bidi="ar-SA"/>
        </w:rPr>
        <w:t xml:space="preserve"> </w:t>
      </w:r>
      <w:r>
        <w:rPr>
          <w:szCs w:val="22"/>
          <w:lang w:eastAsia="en-US" w:bidi="ar-SA"/>
        </w:rPr>
        <w:t>(pot să apară până la 1 persoană din 1 000)</w:t>
      </w:r>
    </w:p>
    <w:p w14:paraId="27CFB2D3"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leucemie (cancer care afectează sângele şi măduva osoasă);</w:t>
      </w:r>
    </w:p>
    <w:p w14:paraId="660C0EB5"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reacţii alergice severe însoţite de şoc;</w:t>
      </w:r>
    </w:p>
    <w:p w14:paraId="779D2F96"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scleroză multiplă;</w:t>
      </w:r>
    </w:p>
    <w:p w14:paraId="643774AB"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tulburări nervoase (ca de exemplu inflamaţie a nervilor optici şi sindrom Guillain-Barré care poate determina slăbiciune musculară, senzaţii anormale, furnicături la nivelul braţelor şi a părţii superioare a corpului);</w:t>
      </w:r>
    </w:p>
    <w:p w14:paraId="3E83A29B"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oprire a pompării sângelui de către inimă;</w:t>
      </w:r>
    </w:p>
    <w:p w14:paraId="5B01F005"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fibroză pulmonară (cicatrizare a plămânului).</w:t>
      </w:r>
    </w:p>
    <w:p w14:paraId="7461D63E"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 xml:space="preserve">perforaţie intestinală </w:t>
      </w:r>
      <w:r>
        <w:rPr>
          <w:szCs w:val="22"/>
          <w:lang w:eastAsia="en-US" w:bidi="ar-SA"/>
        </w:rPr>
        <w:t>(gaură în peretele intestinului)</w:t>
      </w:r>
      <w:r>
        <w:t>;</w:t>
      </w:r>
    </w:p>
    <w:p w14:paraId="6864EDF9"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(inflamația ficatului);</w:t>
      </w:r>
    </w:p>
    <w:p w14:paraId="030A679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reactivare a hepatitei B;</w:t>
      </w:r>
    </w:p>
    <w:p w14:paraId="4133CDB0"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autoimună (inflamaţie a ficatului cauzată de propriul sistem imunitar);</w:t>
      </w:r>
    </w:p>
    <w:p w14:paraId="7B66B2A0"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vasculită cutanată (inflamaţie a vaselor de sânge de la nivelul pielii);</w:t>
      </w:r>
    </w:p>
    <w:p w14:paraId="2DDFA53A"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Stevens-Johnson (</w:t>
      </w:r>
      <w:r>
        <w:rPr>
          <w:szCs w:val="22"/>
          <w:lang w:eastAsia="en-US" w:bidi="ar-SA"/>
        </w:rPr>
        <w:t>reacție care poate pune viața în pericol, cu simptome asemănătoare gripei și erupții cu vezicule);</w:t>
      </w:r>
    </w:p>
    <w:p w14:paraId="77D27AB5"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edem al feţei asociat cu reacţii alergice;</w:t>
      </w:r>
    </w:p>
    <w:p w14:paraId="60BA6D62"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eritem polimorf (erupţie inflamatorie pe piele);</w:t>
      </w:r>
    </w:p>
    <w:p w14:paraId="6B033DB6"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asemănător lupusului ;</w:t>
      </w:r>
    </w:p>
    <w:p w14:paraId="76636BA5" w14:textId="77777777" w:rsidR="00C04CAD" w:rsidRDefault="00060E34">
      <w:pPr>
        <w:pStyle w:val="EMEANormal"/>
        <w:numPr>
          <w:ilvl w:val="0"/>
          <w:numId w:val="93"/>
        </w:numPr>
        <w:tabs>
          <w:tab w:val="clear" w:pos="562"/>
        </w:tabs>
        <w:ind w:left="567" w:hanging="567"/>
        <w:rPr>
          <w:szCs w:val="22"/>
          <w:lang w:val="ro-RO"/>
        </w:rPr>
      </w:pPr>
      <w:r>
        <w:rPr>
          <w:szCs w:val="22"/>
          <w:lang w:val="ro-RO"/>
        </w:rPr>
        <w:t>angioedem (umflare localizată a pielii)</w:t>
      </w:r>
    </w:p>
    <w:p w14:paraId="5F2594F2" w14:textId="77777777" w:rsidR="00C04CAD" w:rsidRDefault="00060E34">
      <w:pPr>
        <w:pStyle w:val="EMEANormal"/>
        <w:numPr>
          <w:ilvl w:val="0"/>
          <w:numId w:val="93"/>
        </w:numPr>
        <w:tabs>
          <w:tab w:val="clear" w:pos="562"/>
        </w:tabs>
        <w:ind w:left="567" w:hanging="567"/>
        <w:rPr>
          <w:szCs w:val="22"/>
          <w:lang w:val="ro-RO"/>
        </w:rPr>
      </w:pPr>
      <w:r>
        <w:rPr>
          <w:szCs w:val="22"/>
          <w:lang w:val="ro-RO"/>
        </w:rPr>
        <w:t>reacție</w:t>
      </w:r>
      <w:r>
        <w:rPr>
          <w:lang w:val="ro-RO"/>
        </w:rPr>
        <w:t xml:space="preserve"> pe piele de tip lichenoid (erupție roșiatică-purpurie pe piele care produce mâncărime)</w:t>
      </w:r>
      <w:r>
        <w:rPr>
          <w:szCs w:val="22"/>
          <w:lang w:val="ro-RO"/>
        </w:rPr>
        <w:t>.</w:t>
      </w:r>
    </w:p>
    <w:p w14:paraId="3FCFF96E" w14:textId="77777777" w:rsidR="00C04CAD" w:rsidRDefault="00C04CAD">
      <w:pPr>
        <w:tabs>
          <w:tab w:val="clear" w:pos="567"/>
        </w:tabs>
        <w:kinsoku w:val="0"/>
        <w:overflowPunct w:val="0"/>
        <w:autoSpaceDE w:val="0"/>
        <w:autoSpaceDN w:val="0"/>
        <w:adjustRightInd w:val="0"/>
        <w:spacing w:line="240" w:lineRule="auto"/>
      </w:pPr>
    </w:p>
    <w:p w14:paraId="28A0D1EB" w14:textId="77777777" w:rsidR="00C04CAD" w:rsidRDefault="00060E34">
      <w:pPr>
        <w:keepNext/>
        <w:tabs>
          <w:tab w:val="clear" w:pos="567"/>
        </w:tabs>
        <w:kinsoku w:val="0"/>
        <w:overflowPunct w:val="0"/>
        <w:autoSpaceDE w:val="0"/>
        <w:autoSpaceDN w:val="0"/>
        <w:adjustRightInd w:val="0"/>
        <w:spacing w:line="240" w:lineRule="auto"/>
      </w:pPr>
      <w:r>
        <w:t>Cu frecvență necunoscută (frecvenţa nu poate fi estimată din datele disponibile)</w:t>
      </w:r>
    </w:p>
    <w:p w14:paraId="3CA1FFDC"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limfom hepatosplenic cu celule T (o formă rară de cancer al sângelui care de obicei are rezultat letal);</w:t>
      </w:r>
    </w:p>
    <w:p w14:paraId="2DE16C72"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carcinom cu celule Merkel (un tip de cancer de piele);</w:t>
      </w:r>
    </w:p>
    <w:p w14:paraId="3C0A1CDE"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sarcom Kaposi, un cancer rar asociat infecției cu virusul herpetic uman 8. Sarcomul Kaposi se manifestă cel mai frecvent sub formă de leziuni vineții pe piele;</w:t>
      </w:r>
    </w:p>
    <w:p w14:paraId="6B02471D"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insuficienţă hepatică;</w:t>
      </w:r>
    </w:p>
    <w:p w14:paraId="516F14E7" w14:textId="77777777" w:rsidR="00C04CAD" w:rsidRDefault="00060E34">
      <w:pPr>
        <w:pStyle w:val="ListParagraph"/>
        <w:keepNext/>
        <w:keepLines/>
        <w:numPr>
          <w:ilvl w:val="0"/>
          <w:numId w:val="94"/>
        </w:numPr>
        <w:tabs>
          <w:tab w:val="clear" w:pos="567"/>
        </w:tabs>
        <w:kinsoku w:val="0"/>
        <w:overflowPunct w:val="0"/>
        <w:autoSpaceDE w:val="0"/>
        <w:autoSpaceDN w:val="0"/>
        <w:adjustRightInd w:val="0"/>
        <w:spacing w:line="240" w:lineRule="auto"/>
        <w:ind w:left="567" w:hanging="561"/>
        <w:rPr>
          <w:szCs w:val="22"/>
          <w:lang w:eastAsia="en-US" w:bidi="ar-SA"/>
        </w:rPr>
      </w:pPr>
      <w:r>
        <w:rPr>
          <w:szCs w:val="22"/>
          <w:lang w:eastAsia="en-US" w:bidi="ar-SA"/>
        </w:rPr>
        <w:t>agravare a unei afecţiuni numită dermatomiozită (descrisă ca o erupţie pe piele însoţită de slăbiciune musculară);</w:t>
      </w:r>
    </w:p>
    <w:p w14:paraId="2D81B504"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creștere în greutate (pentru majoritatea pacienților, creșterea în greutate a fost mică).</w:t>
      </w:r>
    </w:p>
    <w:p w14:paraId="640A1EC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34BF80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Unele reacţii adverse observate la adalimumab nu au fost însoţite de simptome şi pot fi detectate numai prin teste de laborator. Acestea includ:</w:t>
      </w:r>
    </w:p>
    <w:p w14:paraId="44774424" w14:textId="77777777" w:rsidR="00C04CAD" w:rsidRDefault="00C04CAD">
      <w:pPr>
        <w:tabs>
          <w:tab w:val="clear" w:pos="567"/>
        </w:tabs>
        <w:kinsoku w:val="0"/>
        <w:overflowPunct w:val="0"/>
        <w:autoSpaceDE w:val="0"/>
        <w:autoSpaceDN w:val="0"/>
        <w:adjustRightInd w:val="0"/>
        <w:spacing w:line="240" w:lineRule="auto"/>
        <w:rPr>
          <w:b/>
          <w:szCs w:val="22"/>
          <w:lang w:eastAsia="en-US" w:bidi="ar-SA"/>
        </w:rPr>
      </w:pPr>
    </w:p>
    <w:p w14:paraId="2E7DEF0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Foarte frecvente</w:t>
      </w:r>
      <w:r>
        <w:rPr>
          <w:b/>
          <w:szCs w:val="22"/>
          <w:lang w:eastAsia="en-US" w:bidi="ar-SA"/>
        </w:rPr>
        <w:t xml:space="preserve"> </w:t>
      </w:r>
      <w:r>
        <w:rPr>
          <w:szCs w:val="22"/>
          <w:lang w:eastAsia="en-US" w:bidi="ar-SA"/>
        </w:rPr>
        <w:t>(pot să apară la mai mult de 1 persoană din 10)</w:t>
      </w:r>
    </w:p>
    <w:p w14:paraId="304779C5"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celule albe în sânge;</w:t>
      </w:r>
    </w:p>
    <w:p w14:paraId="41174412"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celule roşii în sânge;</w:t>
      </w:r>
    </w:p>
    <w:p w14:paraId="349B47A6"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concentrațiilor grăsimilor în sânge;</w:t>
      </w:r>
    </w:p>
    <w:p w14:paraId="44186E5E"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valorilor enzimelor hepatice.</w:t>
      </w:r>
    </w:p>
    <w:p w14:paraId="784ED56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35EA92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w:t>
      </w:r>
      <w:r>
        <w:rPr>
          <w:b/>
          <w:szCs w:val="22"/>
          <w:lang w:eastAsia="en-US" w:bidi="ar-SA"/>
        </w:rPr>
        <w:t xml:space="preserve"> </w:t>
      </w:r>
      <w:r>
        <w:rPr>
          <w:szCs w:val="22"/>
          <w:lang w:eastAsia="en-US" w:bidi="ar-SA"/>
        </w:rPr>
        <w:t>(pot să apară până la 1 persoană din 10)</w:t>
      </w:r>
    </w:p>
    <w:p w14:paraId="618C7FC1"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numărului de celule albe în sânge;</w:t>
      </w:r>
    </w:p>
    <w:p w14:paraId="660E0499"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trombocite în sânge;</w:t>
      </w:r>
    </w:p>
    <w:p w14:paraId="42D35A97"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acidului uric în sânge;</w:t>
      </w:r>
    </w:p>
    <w:p w14:paraId="41473A1B"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valori modificate ale sodiului în sânge;</w:t>
      </w:r>
    </w:p>
    <w:p w14:paraId="648D032F"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valorii calciului în sânge;</w:t>
      </w:r>
    </w:p>
    <w:p w14:paraId="10C01910"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valorii fosforului în sânge;</w:t>
      </w:r>
    </w:p>
    <w:p w14:paraId="348E3F5F"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zahărului în sânge;</w:t>
      </w:r>
    </w:p>
    <w:p w14:paraId="50220111"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valorilor lactat dehidrogenazei în sânge;</w:t>
      </w:r>
    </w:p>
    <w:p w14:paraId="438FD60C" w14:textId="77777777" w:rsidR="00C04CAD" w:rsidRDefault="00060E34">
      <w:pPr>
        <w:pStyle w:val="ListParagraph"/>
        <w:keepNext/>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prezenţa autoanticorpilor în sânge;</w:t>
      </w:r>
    </w:p>
    <w:p w14:paraId="00136148" w14:textId="77777777" w:rsidR="00C04CAD" w:rsidRDefault="00060E34">
      <w:pPr>
        <w:numPr>
          <w:ilvl w:val="0"/>
          <w:numId w:val="96"/>
        </w:numPr>
        <w:kinsoku w:val="0"/>
        <w:overflowPunct w:val="0"/>
        <w:autoSpaceDE w:val="0"/>
        <w:autoSpaceDN w:val="0"/>
        <w:adjustRightInd w:val="0"/>
        <w:spacing w:line="240" w:lineRule="auto"/>
        <w:ind w:left="720" w:hanging="720"/>
        <w:contextualSpacing/>
      </w:pPr>
      <w:r>
        <w:t>scăderea valorii potasiului în sânge.</w:t>
      </w:r>
    </w:p>
    <w:p w14:paraId="0287AF3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A5ABE2F" w14:textId="77777777" w:rsidR="00C04CAD" w:rsidRDefault="00060E34">
      <w:pPr>
        <w:keepNext/>
        <w:kinsoku w:val="0"/>
        <w:overflowPunct w:val="0"/>
        <w:autoSpaceDE w:val="0"/>
        <w:autoSpaceDN w:val="0"/>
        <w:adjustRightInd w:val="0"/>
        <w:spacing w:line="240" w:lineRule="auto"/>
        <w:ind w:left="567" w:hanging="567"/>
      </w:pPr>
      <w:r>
        <w:t>Mai puțin frecvente</w:t>
      </w:r>
      <w:r>
        <w:rPr>
          <w:b/>
        </w:rPr>
        <w:t xml:space="preserve"> </w:t>
      </w:r>
      <w:r>
        <w:t>(pot să apară până la 1 persoană din 100)</w:t>
      </w:r>
    </w:p>
    <w:p w14:paraId="763EDE57" w14:textId="77777777" w:rsidR="00C04CAD" w:rsidRDefault="00060E34">
      <w:pPr>
        <w:pStyle w:val="ListParagraph"/>
        <w:numPr>
          <w:ilvl w:val="0"/>
          <w:numId w:val="97"/>
        </w:numPr>
        <w:tabs>
          <w:tab w:val="clear" w:pos="567"/>
        </w:tabs>
        <w:kinsoku w:val="0"/>
        <w:overflowPunct w:val="0"/>
        <w:autoSpaceDE w:val="0"/>
        <w:autoSpaceDN w:val="0"/>
        <w:adjustRightInd w:val="0"/>
        <w:spacing w:line="240" w:lineRule="auto"/>
        <w:ind w:left="567" w:hanging="567"/>
        <w:rPr>
          <w:szCs w:val="22"/>
          <w:lang w:eastAsia="en-US" w:bidi="ar-SA"/>
        </w:rPr>
      </w:pPr>
      <w:r>
        <w:t>creștere a valorii bilirubinei în sânge (un test de sânge a funcției ficatului).</w:t>
      </w:r>
    </w:p>
    <w:p w14:paraId="64E4B25A" w14:textId="77777777" w:rsidR="00C04CAD" w:rsidRDefault="00C04CAD">
      <w:pPr>
        <w:pStyle w:val="ListParagraph"/>
        <w:tabs>
          <w:tab w:val="clear" w:pos="567"/>
        </w:tabs>
        <w:kinsoku w:val="0"/>
        <w:overflowPunct w:val="0"/>
        <w:autoSpaceDE w:val="0"/>
        <w:autoSpaceDN w:val="0"/>
        <w:adjustRightInd w:val="0"/>
        <w:spacing w:line="240" w:lineRule="auto"/>
        <w:ind w:left="0"/>
        <w:rPr>
          <w:szCs w:val="22"/>
          <w:lang w:eastAsia="en-US" w:bidi="ar-SA"/>
        </w:rPr>
      </w:pPr>
    </w:p>
    <w:p w14:paraId="349B258D"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Rare (pot să apară până la 1 persoană din 1 000)</w:t>
      </w:r>
    </w:p>
    <w:p w14:paraId="3EFC598E"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scădere a numărului de celule albe, celule roşii şi de trombocite în sânge.</w:t>
      </w:r>
    </w:p>
    <w:p w14:paraId="7204736D" w14:textId="77777777" w:rsidR="00C04CAD" w:rsidRDefault="00C04CAD">
      <w:pPr>
        <w:kinsoku w:val="0"/>
        <w:overflowPunct w:val="0"/>
        <w:autoSpaceDE w:val="0"/>
        <w:autoSpaceDN w:val="0"/>
        <w:adjustRightInd w:val="0"/>
        <w:spacing w:line="240" w:lineRule="auto"/>
        <w:rPr>
          <w:szCs w:val="22"/>
          <w:lang w:eastAsia="en-US" w:bidi="ar-SA"/>
        </w:rPr>
      </w:pPr>
    </w:p>
    <w:p w14:paraId="2FCD0A72" w14:textId="77777777" w:rsidR="00C04CAD" w:rsidRDefault="00060E34">
      <w:pPr>
        <w:keepNext/>
        <w:kinsoku w:val="0"/>
        <w:overflowPunct w:val="0"/>
        <w:autoSpaceDE w:val="0"/>
        <w:autoSpaceDN w:val="0"/>
        <w:adjustRightInd w:val="0"/>
        <w:spacing w:line="240" w:lineRule="auto"/>
        <w:rPr>
          <w:b/>
        </w:rPr>
      </w:pPr>
      <w:r>
        <w:rPr>
          <w:b/>
        </w:rPr>
        <w:t>Raportarea reacţiilor adverse</w:t>
      </w:r>
    </w:p>
    <w:p w14:paraId="681675FA" w14:textId="77777777" w:rsidR="00C04CAD" w:rsidRDefault="00C04CAD">
      <w:pPr>
        <w:keepNext/>
        <w:tabs>
          <w:tab w:val="clear" w:pos="567"/>
        </w:tabs>
        <w:kinsoku w:val="0"/>
        <w:overflowPunct w:val="0"/>
        <w:autoSpaceDE w:val="0"/>
        <w:autoSpaceDN w:val="0"/>
        <w:adjustRightInd w:val="0"/>
        <w:spacing w:line="240" w:lineRule="auto"/>
      </w:pPr>
    </w:p>
    <w:p w14:paraId="40B8EB5C" w14:textId="77777777" w:rsidR="00C04CAD" w:rsidRDefault="00060E34">
      <w:pPr>
        <w:tabs>
          <w:tab w:val="clear" w:pos="567"/>
        </w:tabs>
        <w:kinsoku w:val="0"/>
        <w:overflowPunct w:val="0"/>
        <w:autoSpaceDE w:val="0"/>
        <w:autoSpaceDN w:val="0"/>
        <w:adjustRightInd w:val="0"/>
        <w:spacing w:line="240" w:lineRule="auto"/>
        <w:rPr>
          <w:color w:val="000000"/>
        </w:rPr>
      </w:pPr>
      <w:r>
        <w:t>Dacă manifestați orice reacții adverse, adresați-vă medicului dumneavoastră sau farmacistului. Acestea includ orice posibile reacţii adverse nemenţionate în acest prospect.</w:t>
      </w:r>
      <w:r>
        <w:rPr>
          <w:szCs w:val="22"/>
          <w:lang w:eastAsia="en-US" w:bidi="ar-SA"/>
        </w:rPr>
        <w:t xml:space="preserve"> De asemenea, puteţi raporta reacţiile adverse direct prin intermediul </w:t>
      </w:r>
      <w:r>
        <w:rPr>
          <w:szCs w:val="22"/>
          <w:highlight w:val="lightGray"/>
          <w:lang w:eastAsia="en-US" w:bidi="ar-SA"/>
        </w:rPr>
        <w:t xml:space="preserve">sistemul naţional de raportare, aşa cum este menţionat în </w:t>
      </w:r>
      <w:hyperlink r:id="rId78">
        <w:r w:rsidR="00C04CAD">
          <w:rPr>
            <w:rStyle w:val="Hyperlink"/>
            <w:highlight w:val="lightGray"/>
            <w:shd w:val="clear" w:color="auto" w:fill="D0CECE"/>
          </w:rPr>
          <w:t>Anexa V</w:t>
        </w:r>
      </w:hyperlink>
      <w:r>
        <w:rPr>
          <w:color w:val="000000"/>
          <w:szCs w:val="22"/>
          <w:lang w:eastAsia="en-US" w:bidi="ar-SA"/>
        </w:rPr>
        <w:t>.</w:t>
      </w:r>
      <w:r>
        <w:t xml:space="preserve"> </w:t>
      </w:r>
      <w:r>
        <w:rPr>
          <w:color w:val="000000"/>
        </w:rPr>
        <w:t>Raportând reacţiile adverse, puteţi contribui la furnizarea de informaţii suplimentare privind siguranţa acestui medicament.</w:t>
      </w:r>
    </w:p>
    <w:p w14:paraId="112A05B6" w14:textId="77777777" w:rsidR="00C04CAD" w:rsidRDefault="00C04CAD">
      <w:pPr>
        <w:tabs>
          <w:tab w:val="clear" w:pos="567"/>
        </w:tabs>
        <w:kinsoku w:val="0"/>
        <w:overflowPunct w:val="0"/>
        <w:autoSpaceDE w:val="0"/>
        <w:autoSpaceDN w:val="0"/>
        <w:adjustRightInd w:val="0"/>
        <w:spacing w:line="240" w:lineRule="auto"/>
      </w:pPr>
    </w:p>
    <w:p w14:paraId="1429D011" w14:textId="77777777" w:rsidR="00C04CAD" w:rsidRDefault="00C04CAD">
      <w:pPr>
        <w:tabs>
          <w:tab w:val="clear" w:pos="567"/>
        </w:tabs>
        <w:kinsoku w:val="0"/>
        <w:overflowPunct w:val="0"/>
        <w:autoSpaceDE w:val="0"/>
        <w:autoSpaceDN w:val="0"/>
        <w:adjustRightInd w:val="0"/>
        <w:spacing w:line="240" w:lineRule="auto"/>
      </w:pPr>
    </w:p>
    <w:p w14:paraId="231FD174" w14:textId="77777777" w:rsidR="00C04CAD" w:rsidRDefault="00060E34">
      <w:pPr>
        <w:keepNext/>
        <w:numPr>
          <w:ilvl w:val="0"/>
          <w:numId w:val="109"/>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rPr>
        <w:t xml:space="preserve">Cum se păstrează </w:t>
      </w:r>
      <w:r>
        <w:rPr>
          <w:b/>
          <w:bCs/>
          <w:szCs w:val="22"/>
          <w:lang w:eastAsia="en-US" w:bidi="ar-SA"/>
        </w:rPr>
        <w:t>AMGEVITA</w:t>
      </w:r>
    </w:p>
    <w:p w14:paraId="16B3083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D4FCF5E"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Nu lăsaţi acest medicament la vederea şi îndemâna copiilor.</w:t>
      </w:r>
    </w:p>
    <w:p w14:paraId="29D346BB"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294D37E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nu se utiliza acest medicament după data de expirare înscrisă pe etichetă și cutie după EXP. Data expirării se referă la ultima zi a lunii respective.</w:t>
      </w:r>
    </w:p>
    <w:p w14:paraId="12661C5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25B034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la frigider (2°C–8°C). A nu se congela.</w:t>
      </w:r>
    </w:p>
    <w:p w14:paraId="2898F5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F05CF9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în ambalajul original pentru a fi protejat de lumină.</w:t>
      </w:r>
    </w:p>
    <w:p w14:paraId="6CFA0CA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FC3537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 pen preumplut AMGEVITA poate fi păstrat la temperaturi până la un maximum de 25°C pentru o perioadă de până la 14 zile. Penul preumplut trebuie protejat faţă de lumină, şi trebuie aruncat dacă nu se utilizează în acest interval de 14 zile.</w:t>
      </w:r>
    </w:p>
    <w:p w14:paraId="13666B2E" w14:textId="77777777" w:rsidR="00C04CAD" w:rsidRDefault="00C04CAD">
      <w:pPr>
        <w:tabs>
          <w:tab w:val="clear" w:pos="567"/>
        </w:tabs>
        <w:kinsoku w:val="0"/>
        <w:overflowPunct w:val="0"/>
        <w:autoSpaceDE w:val="0"/>
        <w:autoSpaceDN w:val="0"/>
        <w:adjustRightInd w:val="0"/>
        <w:spacing w:line="240" w:lineRule="auto"/>
      </w:pPr>
    </w:p>
    <w:p w14:paraId="5B2A80DA" w14:textId="77777777" w:rsidR="00C04CAD" w:rsidRDefault="00060E34">
      <w:pPr>
        <w:tabs>
          <w:tab w:val="clear" w:pos="567"/>
        </w:tabs>
        <w:kinsoku w:val="0"/>
        <w:overflowPunct w:val="0"/>
        <w:autoSpaceDE w:val="0"/>
        <w:autoSpaceDN w:val="0"/>
        <w:adjustRightInd w:val="0"/>
        <w:spacing w:line="240" w:lineRule="auto"/>
      </w:pPr>
      <w:r>
        <w:t>Nu aruncaţi niciun medicament pe calea apei sau a reziduurilor menajere. Întrebaţi farmacistul cum să aruncaţi medicamentele pe care nu le mai folosiţi. Aceste măsuri vor ajuta la protejarea mediului.</w:t>
      </w:r>
    </w:p>
    <w:p w14:paraId="089E0D6E" w14:textId="77777777" w:rsidR="00C04CAD" w:rsidRDefault="00C04CAD">
      <w:pPr>
        <w:tabs>
          <w:tab w:val="clear" w:pos="567"/>
        </w:tabs>
        <w:kinsoku w:val="0"/>
        <w:overflowPunct w:val="0"/>
        <w:autoSpaceDE w:val="0"/>
        <w:autoSpaceDN w:val="0"/>
        <w:adjustRightInd w:val="0"/>
        <w:spacing w:line="240" w:lineRule="auto"/>
      </w:pPr>
    </w:p>
    <w:p w14:paraId="3275ED75" w14:textId="77777777" w:rsidR="00C04CAD" w:rsidRDefault="00C04CAD">
      <w:pPr>
        <w:tabs>
          <w:tab w:val="clear" w:pos="567"/>
        </w:tabs>
        <w:kinsoku w:val="0"/>
        <w:overflowPunct w:val="0"/>
        <w:autoSpaceDE w:val="0"/>
        <w:autoSpaceDN w:val="0"/>
        <w:adjustRightInd w:val="0"/>
        <w:spacing w:line="240" w:lineRule="auto"/>
      </w:pPr>
    </w:p>
    <w:p w14:paraId="712379B1" w14:textId="77777777" w:rsidR="00C04CAD" w:rsidRDefault="00060E34">
      <w:pPr>
        <w:keepNext/>
        <w:numPr>
          <w:ilvl w:val="0"/>
          <w:numId w:val="109"/>
        </w:numPr>
        <w:tabs>
          <w:tab w:val="clear" w:pos="567"/>
        </w:tabs>
        <w:kinsoku w:val="0"/>
        <w:overflowPunct w:val="0"/>
        <w:autoSpaceDE w:val="0"/>
        <w:autoSpaceDN w:val="0"/>
        <w:adjustRightInd w:val="0"/>
        <w:spacing w:line="240" w:lineRule="auto"/>
        <w:ind w:left="567" w:hanging="567"/>
        <w:outlineLvl w:val="0"/>
        <w:rPr>
          <w:b/>
          <w:bCs/>
        </w:rPr>
      </w:pPr>
      <w:r>
        <w:rPr>
          <w:b/>
        </w:rPr>
        <w:t xml:space="preserve">Conţinutul ambalajului şi alte informaţii </w:t>
      </w:r>
    </w:p>
    <w:p w14:paraId="7900737C" w14:textId="77777777" w:rsidR="00C04CAD" w:rsidRDefault="00C04CAD">
      <w:pPr>
        <w:keepNext/>
        <w:tabs>
          <w:tab w:val="clear" w:pos="567"/>
          <w:tab w:val="left" w:pos="679"/>
        </w:tabs>
        <w:kinsoku w:val="0"/>
        <w:overflowPunct w:val="0"/>
        <w:autoSpaceDE w:val="0"/>
        <w:autoSpaceDN w:val="0"/>
        <w:adjustRightInd w:val="0"/>
        <w:spacing w:line="240" w:lineRule="auto"/>
        <w:outlineLvl w:val="0"/>
        <w:rPr>
          <w:b/>
        </w:rPr>
      </w:pPr>
    </w:p>
    <w:p w14:paraId="215B4360" w14:textId="77777777" w:rsidR="00C04CAD" w:rsidRDefault="00060E34">
      <w:pPr>
        <w:keepNext/>
        <w:tabs>
          <w:tab w:val="clear" w:pos="567"/>
          <w:tab w:val="left" w:pos="679"/>
        </w:tabs>
        <w:kinsoku w:val="0"/>
        <w:overflowPunct w:val="0"/>
        <w:autoSpaceDE w:val="0"/>
        <w:autoSpaceDN w:val="0"/>
        <w:adjustRightInd w:val="0"/>
        <w:spacing w:line="240" w:lineRule="auto"/>
        <w:outlineLvl w:val="0"/>
        <w:rPr>
          <w:b/>
          <w:bCs/>
        </w:rPr>
      </w:pPr>
      <w:r>
        <w:rPr>
          <w:b/>
        </w:rPr>
        <w:t xml:space="preserve">Ce conţine </w:t>
      </w:r>
      <w:r>
        <w:rPr>
          <w:b/>
          <w:bCs/>
          <w:szCs w:val="22"/>
          <w:lang w:eastAsia="en-US" w:bidi="ar-SA"/>
        </w:rPr>
        <w:t>AMGEVITA</w:t>
      </w:r>
    </w:p>
    <w:p w14:paraId="45347FEF"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Substanţa activă este adalimumab.</w:t>
      </w:r>
      <w:r>
        <w:rPr>
          <w:szCs w:val="22"/>
          <w:lang w:eastAsia="en-US" w:bidi="ar-SA"/>
        </w:rPr>
        <w:t xml:space="preserve"> Fiecare pen preumplut conţine adalimumab 40 mg în 0,4 ml soluţie.</w:t>
      </w:r>
    </w:p>
    <w:p w14:paraId="0A1CC74C"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 xml:space="preserve">Celelalte componente sunt acid </w:t>
      </w:r>
      <w:r>
        <w:rPr>
          <w:szCs w:val="22"/>
          <w:lang w:eastAsia="en-US" w:bidi="ar-SA"/>
        </w:rPr>
        <w:t>L-lactic, sucroză</w:t>
      </w:r>
      <w:r>
        <w:t>, polisorbat 80, hidroxid de sodiu şi apă pentru preparate injectabile.</w:t>
      </w:r>
    </w:p>
    <w:p w14:paraId="0D166F6D" w14:textId="77777777" w:rsidR="00C04CAD" w:rsidRDefault="00C04CAD">
      <w:pPr>
        <w:tabs>
          <w:tab w:val="clear" w:pos="567"/>
        </w:tabs>
        <w:kinsoku w:val="0"/>
        <w:overflowPunct w:val="0"/>
        <w:autoSpaceDE w:val="0"/>
        <w:autoSpaceDN w:val="0"/>
        <w:adjustRightInd w:val="0"/>
        <w:spacing w:line="240" w:lineRule="auto"/>
      </w:pPr>
    </w:p>
    <w:p w14:paraId="30BD60A5"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 xml:space="preserve">Cum arată </w:t>
      </w:r>
      <w:r>
        <w:rPr>
          <w:b/>
          <w:bCs/>
          <w:szCs w:val="22"/>
          <w:lang w:eastAsia="en-US" w:bidi="ar-SA"/>
        </w:rPr>
        <w:t>AMGEVITA</w:t>
      </w:r>
      <w:r>
        <w:rPr>
          <w:b/>
          <w:szCs w:val="22"/>
        </w:rPr>
        <w:t xml:space="preserve"> şi conţinutul ambalajului</w:t>
      </w:r>
    </w:p>
    <w:p w14:paraId="6C316EAF" w14:textId="77777777" w:rsidR="00C04CAD" w:rsidRDefault="00C04CAD">
      <w:pPr>
        <w:keepNext/>
        <w:tabs>
          <w:tab w:val="clear" w:pos="567"/>
        </w:tabs>
        <w:autoSpaceDE w:val="0"/>
        <w:autoSpaceDN w:val="0"/>
        <w:adjustRightInd w:val="0"/>
        <w:spacing w:line="240" w:lineRule="auto"/>
        <w:rPr>
          <w:b/>
          <w:szCs w:val="22"/>
        </w:rPr>
      </w:pPr>
    </w:p>
    <w:p w14:paraId="3F701A1F" w14:textId="77777777" w:rsidR="00C04CAD" w:rsidRDefault="00060E34">
      <w:pPr>
        <w:tabs>
          <w:tab w:val="clear" w:pos="567"/>
        </w:tabs>
        <w:autoSpaceDE w:val="0"/>
        <w:autoSpaceDN w:val="0"/>
        <w:adjustRightInd w:val="0"/>
        <w:spacing w:line="240" w:lineRule="auto"/>
        <w:rPr>
          <w:b/>
          <w:bCs/>
          <w:szCs w:val="22"/>
          <w:lang w:eastAsia="en-US" w:bidi="ar-SA"/>
        </w:rPr>
      </w:pPr>
      <w:r>
        <w:rPr>
          <w:szCs w:val="22"/>
          <w:lang w:eastAsia="en-US" w:bidi="ar-SA"/>
        </w:rPr>
        <w:t>AMGEVITA</w:t>
      </w:r>
      <w:r>
        <w:rPr>
          <w:szCs w:val="22"/>
        </w:rPr>
        <w:t xml:space="preserve"> este o soluție limpede şi incoloră până la uşor gălbuie.</w:t>
      </w:r>
    </w:p>
    <w:p w14:paraId="4AA6FC7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3313077"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 xml:space="preserve">Fiecare </w:t>
      </w:r>
      <w:r>
        <w:rPr>
          <w:szCs w:val="22"/>
        </w:rPr>
        <w:t xml:space="preserve">ambalaj conţine 1, 2 sau 6 </w:t>
      </w:r>
      <w:r>
        <w:rPr>
          <w:szCs w:val="22"/>
          <w:lang w:eastAsia="en-US" w:bidi="ar-SA"/>
        </w:rPr>
        <w:t>penuri SureClick</w:t>
      </w:r>
      <w:r>
        <w:rPr>
          <w:szCs w:val="22"/>
        </w:rPr>
        <w:t xml:space="preserve"> preumplute de 40 mg </w:t>
      </w:r>
      <w:r>
        <w:rPr>
          <w:szCs w:val="22"/>
          <w:lang w:eastAsia="en-US" w:bidi="ar-SA"/>
        </w:rPr>
        <w:t>de unică utilizare</w:t>
      </w:r>
      <w:r>
        <w:rPr>
          <w:szCs w:val="22"/>
        </w:rPr>
        <w:t>.</w:t>
      </w:r>
    </w:p>
    <w:p w14:paraId="111CEBAC" w14:textId="77777777" w:rsidR="00C04CAD" w:rsidRDefault="00C04CAD">
      <w:pPr>
        <w:tabs>
          <w:tab w:val="clear" w:pos="567"/>
        </w:tabs>
        <w:kinsoku w:val="0"/>
        <w:overflowPunct w:val="0"/>
        <w:autoSpaceDE w:val="0"/>
        <w:autoSpaceDN w:val="0"/>
        <w:adjustRightInd w:val="0"/>
        <w:spacing w:line="240" w:lineRule="auto"/>
      </w:pPr>
    </w:p>
    <w:p w14:paraId="1D89DFEF" w14:textId="77777777" w:rsidR="00C04CAD" w:rsidRDefault="00060E34">
      <w:pPr>
        <w:keepNext/>
        <w:tabs>
          <w:tab w:val="clear" w:pos="567"/>
        </w:tabs>
        <w:kinsoku w:val="0"/>
        <w:overflowPunct w:val="0"/>
        <w:autoSpaceDE w:val="0"/>
        <w:autoSpaceDN w:val="0"/>
        <w:adjustRightInd w:val="0"/>
        <w:spacing w:line="240" w:lineRule="auto"/>
        <w:outlineLvl w:val="0"/>
        <w:rPr>
          <w:szCs w:val="22"/>
        </w:rPr>
      </w:pPr>
      <w:r>
        <w:rPr>
          <w:b/>
          <w:szCs w:val="22"/>
        </w:rPr>
        <w:t>Deţinătorul autorizaţiei de punere pe piaţă</w:t>
      </w:r>
      <w:r>
        <w:rPr>
          <w:b/>
          <w:bCs/>
          <w:szCs w:val="22"/>
          <w:lang w:eastAsia="en-US" w:bidi="ar-SA"/>
        </w:rPr>
        <w:t xml:space="preserve"> şi fabricantul</w:t>
      </w:r>
    </w:p>
    <w:p w14:paraId="4D609204"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Amgen Europe B.V.</w:t>
      </w:r>
    </w:p>
    <w:p w14:paraId="0CCE742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Minervum 7061</w:t>
      </w:r>
    </w:p>
    <w:p w14:paraId="674AC7B2"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4817 ZK Breda</w:t>
      </w:r>
    </w:p>
    <w:p w14:paraId="3ADBD51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Olanda</w:t>
      </w:r>
    </w:p>
    <w:p w14:paraId="1E8B0D54"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78B22E9" w14:textId="77777777" w:rsidR="00C04CAD" w:rsidRDefault="00060E34">
      <w:pPr>
        <w:keepNext/>
        <w:tabs>
          <w:tab w:val="clear" w:pos="567"/>
        </w:tabs>
        <w:kinsoku w:val="0"/>
        <w:overflowPunct w:val="0"/>
        <w:autoSpaceDE w:val="0"/>
        <w:autoSpaceDN w:val="0"/>
        <w:adjustRightInd w:val="0"/>
        <w:spacing w:line="240" w:lineRule="auto"/>
        <w:rPr>
          <w:b/>
          <w:szCs w:val="22"/>
          <w:highlight w:val="lightGray"/>
          <w:lang w:eastAsia="en-US" w:bidi="ar-SA"/>
        </w:rPr>
      </w:pPr>
      <w:r>
        <w:rPr>
          <w:b/>
          <w:szCs w:val="22"/>
          <w:highlight w:val="lightGray"/>
          <w:lang w:eastAsia="en-US" w:bidi="ar-SA"/>
        </w:rPr>
        <w:t>Deţinătorul autorizaţiei de punere pe piaţă</w:t>
      </w:r>
    </w:p>
    <w:p w14:paraId="0FC724DB"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Europe B.V.</w:t>
      </w:r>
    </w:p>
    <w:p w14:paraId="65DDA1B9"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Minervum 7061</w:t>
      </w:r>
    </w:p>
    <w:p w14:paraId="029230F2"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4817 ZK Breda</w:t>
      </w:r>
    </w:p>
    <w:p w14:paraId="3D6C554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Olanda</w:t>
      </w:r>
    </w:p>
    <w:p w14:paraId="000F984E"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71528BD9" w14:textId="77777777" w:rsidR="00C04CAD" w:rsidRDefault="00060E34">
      <w:pPr>
        <w:keepNext/>
        <w:tabs>
          <w:tab w:val="clear" w:pos="567"/>
        </w:tabs>
        <w:kinsoku w:val="0"/>
        <w:overflowPunct w:val="0"/>
        <w:autoSpaceDE w:val="0"/>
        <w:autoSpaceDN w:val="0"/>
        <w:adjustRightInd w:val="0"/>
        <w:spacing w:line="240" w:lineRule="auto"/>
        <w:outlineLvl w:val="0"/>
        <w:rPr>
          <w:szCs w:val="22"/>
          <w:highlight w:val="lightGray"/>
          <w:lang w:eastAsia="en-US" w:bidi="ar-SA"/>
        </w:rPr>
      </w:pPr>
      <w:r>
        <w:rPr>
          <w:b/>
          <w:bCs/>
          <w:szCs w:val="22"/>
          <w:highlight w:val="lightGray"/>
          <w:lang w:eastAsia="en-US" w:bidi="ar-SA"/>
        </w:rPr>
        <w:t>Fabricantul</w:t>
      </w:r>
    </w:p>
    <w:p w14:paraId="06CC07C9"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Technology Ireland UC</w:t>
      </w:r>
    </w:p>
    <w:p w14:paraId="5C536630"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Pottery Road</w:t>
      </w:r>
    </w:p>
    <w:p w14:paraId="068413D0"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Dun Laoghaire</w:t>
      </w:r>
    </w:p>
    <w:p w14:paraId="13F8B3E9"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Co Dublin</w:t>
      </w:r>
    </w:p>
    <w:p w14:paraId="471A9E9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Irlanda</w:t>
      </w:r>
    </w:p>
    <w:p w14:paraId="6343532F" w14:textId="77777777" w:rsidR="00C04CAD" w:rsidRDefault="00C04CAD">
      <w:pPr>
        <w:tabs>
          <w:tab w:val="clear" w:pos="567"/>
        </w:tabs>
        <w:kinsoku w:val="0"/>
        <w:overflowPunct w:val="0"/>
        <w:autoSpaceDE w:val="0"/>
        <w:autoSpaceDN w:val="0"/>
        <w:adjustRightInd w:val="0"/>
        <w:spacing w:line="240" w:lineRule="auto"/>
        <w:rPr>
          <w:szCs w:val="22"/>
        </w:rPr>
      </w:pPr>
    </w:p>
    <w:p w14:paraId="28DB18BA" w14:textId="77777777" w:rsidR="00C04CAD" w:rsidRDefault="00060E34">
      <w:pPr>
        <w:spacing w:line="240" w:lineRule="auto"/>
        <w:rPr>
          <w:lang w:eastAsia="ja-JP"/>
        </w:rPr>
      </w:pPr>
      <w:r>
        <w:rPr>
          <w:b/>
          <w:bCs/>
          <w:szCs w:val="22"/>
          <w:highlight w:val="lightGray"/>
          <w:lang w:eastAsia="en-US" w:bidi="ar-SA"/>
        </w:rPr>
        <w:t>Fabricantul</w:t>
      </w:r>
    </w:p>
    <w:p w14:paraId="78506B90" w14:textId="77777777" w:rsidR="00C04CAD" w:rsidRDefault="00060E34">
      <w:pPr>
        <w:spacing w:line="240" w:lineRule="auto"/>
        <w:rPr>
          <w:highlight w:val="lightGray"/>
          <w:lang w:eastAsia="ja-JP"/>
        </w:rPr>
      </w:pPr>
      <w:r>
        <w:rPr>
          <w:highlight w:val="lightGray"/>
          <w:lang w:eastAsia="ja-JP"/>
        </w:rPr>
        <w:t>Amgen NV</w:t>
      </w:r>
    </w:p>
    <w:p w14:paraId="403B64E7" w14:textId="77777777" w:rsidR="00C04CAD" w:rsidRDefault="00060E34">
      <w:pPr>
        <w:spacing w:line="240" w:lineRule="auto"/>
        <w:rPr>
          <w:highlight w:val="lightGray"/>
          <w:lang w:eastAsia="ja-JP"/>
        </w:rPr>
      </w:pPr>
      <w:r>
        <w:rPr>
          <w:highlight w:val="lightGray"/>
          <w:lang w:eastAsia="ja-JP"/>
        </w:rPr>
        <w:t>Telecomlaan 5-7</w:t>
      </w:r>
    </w:p>
    <w:p w14:paraId="419AD9D8" w14:textId="77777777" w:rsidR="00C04CAD" w:rsidRDefault="00060E34">
      <w:pPr>
        <w:spacing w:line="240" w:lineRule="auto"/>
        <w:rPr>
          <w:highlight w:val="lightGray"/>
          <w:lang w:eastAsia="ja-JP"/>
        </w:rPr>
      </w:pPr>
      <w:r>
        <w:rPr>
          <w:highlight w:val="lightGray"/>
          <w:lang w:eastAsia="ja-JP"/>
        </w:rPr>
        <w:t>1831 Diegem</w:t>
      </w:r>
    </w:p>
    <w:p w14:paraId="6CA40AD5" w14:textId="77777777" w:rsidR="00C04CAD" w:rsidRDefault="00060E34">
      <w:pPr>
        <w:numPr>
          <w:ilvl w:val="12"/>
          <w:numId w:val="0"/>
        </w:numPr>
        <w:tabs>
          <w:tab w:val="clear" w:pos="567"/>
        </w:tabs>
        <w:spacing w:line="240" w:lineRule="auto"/>
        <w:rPr>
          <w:szCs w:val="22"/>
        </w:rPr>
      </w:pPr>
      <w:r>
        <w:rPr>
          <w:highlight w:val="lightGray"/>
          <w:lang w:eastAsia="ja-JP"/>
        </w:rPr>
        <w:t>Belgia</w:t>
      </w:r>
      <w:r>
        <w:rPr>
          <w:szCs w:val="22"/>
        </w:rPr>
        <w:t xml:space="preserve"> </w:t>
      </w:r>
    </w:p>
    <w:p w14:paraId="6C4085A3" w14:textId="77777777" w:rsidR="00C04CAD" w:rsidRDefault="00C04CAD">
      <w:pPr>
        <w:numPr>
          <w:ilvl w:val="12"/>
          <w:numId w:val="0"/>
        </w:numPr>
        <w:tabs>
          <w:tab w:val="clear" w:pos="567"/>
        </w:tabs>
        <w:spacing w:line="240" w:lineRule="auto"/>
        <w:rPr>
          <w:szCs w:val="22"/>
        </w:rPr>
      </w:pPr>
    </w:p>
    <w:p w14:paraId="0253AC97" w14:textId="77777777" w:rsidR="00C04CAD" w:rsidRDefault="00060E34">
      <w:pPr>
        <w:numPr>
          <w:ilvl w:val="12"/>
          <w:numId w:val="0"/>
        </w:numPr>
        <w:tabs>
          <w:tab w:val="clear" w:pos="567"/>
        </w:tabs>
        <w:spacing w:line="240" w:lineRule="auto"/>
        <w:rPr>
          <w:szCs w:val="22"/>
        </w:rPr>
      </w:pPr>
      <w:r>
        <w:rPr>
          <w:szCs w:val="22"/>
        </w:rPr>
        <w:t>Pentru orice informaţii despre acest medicament, vă rugăm să contactaţi reprezentanţii locali ai deţinătorului autorizaţiei de punere pe piaţă:</w:t>
      </w:r>
    </w:p>
    <w:p w14:paraId="5F10BF65" w14:textId="77777777" w:rsidR="00C04CAD" w:rsidRDefault="00C04CAD">
      <w:pPr>
        <w:numPr>
          <w:ilvl w:val="12"/>
          <w:numId w:val="0"/>
        </w:numPr>
        <w:tabs>
          <w:tab w:val="clear" w:pos="567"/>
        </w:tabs>
        <w:spacing w:line="240" w:lineRule="auto"/>
        <w:rPr>
          <w:szCs w:val="22"/>
        </w:rPr>
      </w:pPr>
    </w:p>
    <w:tbl>
      <w:tblPr>
        <w:tblW w:w="9356" w:type="dxa"/>
        <w:tblLook w:val="04A0" w:firstRow="1" w:lastRow="0" w:firstColumn="1" w:lastColumn="0" w:noHBand="0" w:noVBand="1"/>
      </w:tblPr>
      <w:tblGrid>
        <w:gridCol w:w="4677"/>
        <w:gridCol w:w="4679"/>
      </w:tblGrid>
      <w:tr w:rsidR="00C04CAD" w14:paraId="6DBC35E9" w14:textId="77777777">
        <w:trPr>
          <w:cantSplit/>
        </w:trPr>
        <w:tc>
          <w:tcPr>
            <w:tcW w:w="4677" w:type="dxa"/>
          </w:tcPr>
          <w:p w14:paraId="208B7BC8" w14:textId="77777777" w:rsidR="00C04CAD" w:rsidRDefault="00060E34">
            <w:pPr>
              <w:spacing w:line="240" w:lineRule="auto"/>
              <w:rPr>
                <w:szCs w:val="22"/>
              </w:rPr>
            </w:pPr>
            <w:r>
              <w:rPr>
                <w:b/>
                <w:szCs w:val="22"/>
              </w:rPr>
              <w:t>België/Belgique/Belgien</w:t>
            </w:r>
          </w:p>
          <w:p w14:paraId="22187C54" w14:textId="77777777" w:rsidR="00C04CAD" w:rsidRDefault="00060E34">
            <w:pPr>
              <w:spacing w:line="240" w:lineRule="auto"/>
              <w:rPr>
                <w:rFonts w:eastAsia="PMingLiU"/>
                <w:szCs w:val="22"/>
                <w:lang w:eastAsia="en-US" w:bidi="ar-SA"/>
              </w:rPr>
            </w:pPr>
            <w:r>
              <w:rPr>
                <w:rFonts w:eastAsia="PMingLiU"/>
                <w:szCs w:val="22"/>
                <w:lang w:eastAsia="en-US" w:bidi="ar-SA"/>
              </w:rPr>
              <w:t>s.a. Amgen n.v.</w:t>
            </w:r>
          </w:p>
          <w:p w14:paraId="20665FBC" w14:textId="77777777" w:rsidR="00C04CAD" w:rsidRDefault="00060E34">
            <w:pPr>
              <w:tabs>
                <w:tab w:val="clear" w:pos="567"/>
              </w:tabs>
              <w:autoSpaceDE w:val="0"/>
              <w:autoSpaceDN w:val="0"/>
              <w:adjustRightInd w:val="0"/>
              <w:spacing w:line="240" w:lineRule="auto"/>
              <w:rPr>
                <w:szCs w:val="22"/>
                <w:lang w:eastAsia="en-US" w:bidi="ar-SA"/>
              </w:rPr>
            </w:pPr>
            <w:r>
              <w:rPr>
                <w:szCs w:val="22"/>
              </w:rPr>
              <w:t>Tél/Tel: +32 (0)2 7752711</w:t>
            </w:r>
          </w:p>
          <w:p w14:paraId="12737223" w14:textId="77777777" w:rsidR="00C04CAD" w:rsidRDefault="00C04CAD">
            <w:pPr>
              <w:tabs>
                <w:tab w:val="clear" w:pos="567"/>
              </w:tabs>
              <w:autoSpaceDE w:val="0"/>
              <w:autoSpaceDN w:val="0"/>
              <w:adjustRightInd w:val="0"/>
              <w:spacing w:line="240" w:lineRule="auto"/>
              <w:rPr>
                <w:szCs w:val="22"/>
              </w:rPr>
            </w:pPr>
          </w:p>
        </w:tc>
        <w:tc>
          <w:tcPr>
            <w:tcW w:w="4679" w:type="dxa"/>
          </w:tcPr>
          <w:p w14:paraId="71EE5D16" w14:textId="77777777" w:rsidR="00C04CAD" w:rsidRDefault="00060E34">
            <w:pPr>
              <w:spacing w:line="240" w:lineRule="auto"/>
              <w:rPr>
                <w:rFonts w:eastAsia="MS Mincho"/>
                <w:b/>
                <w:szCs w:val="22"/>
                <w:lang w:eastAsia="en-US" w:bidi="ar-SA"/>
              </w:rPr>
            </w:pPr>
            <w:r>
              <w:rPr>
                <w:b/>
                <w:szCs w:val="22"/>
              </w:rPr>
              <w:t>Lietuva</w:t>
            </w:r>
          </w:p>
          <w:p w14:paraId="607613EB" w14:textId="77777777" w:rsidR="00C04CAD" w:rsidRDefault="00060E34">
            <w:pPr>
              <w:spacing w:line="240" w:lineRule="auto"/>
              <w:rPr>
                <w:rFonts w:eastAsia="PMingLiU"/>
                <w:bCs/>
                <w:szCs w:val="22"/>
                <w:lang w:eastAsia="en-US" w:bidi="ar-SA"/>
              </w:rPr>
            </w:pPr>
            <w:r>
              <w:rPr>
                <w:rFonts w:eastAsia="PMingLiU"/>
                <w:szCs w:val="22"/>
                <w:lang w:eastAsia="en-US" w:bidi="ar-SA"/>
              </w:rPr>
              <w:t>Amgen Switzerland AG Vilniaus filialas</w:t>
            </w:r>
          </w:p>
          <w:p w14:paraId="2CE71330" w14:textId="77777777" w:rsidR="00C04CAD" w:rsidRDefault="00060E34">
            <w:pPr>
              <w:spacing w:line="240" w:lineRule="auto"/>
              <w:rPr>
                <w:rFonts w:eastAsia="PMingLiU"/>
                <w:bCs/>
                <w:szCs w:val="22"/>
                <w:lang w:eastAsia="en-US" w:bidi="ar-SA"/>
              </w:rPr>
            </w:pPr>
            <w:r>
              <w:rPr>
                <w:szCs w:val="22"/>
              </w:rPr>
              <w:t>Tel</w:t>
            </w:r>
            <w:del w:id="188" w:author="Author">
              <w:r>
                <w:rPr>
                  <w:szCs w:val="22"/>
                </w:rPr>
                <w:delText>:</w:delText>
              </w:r>
            </w:del>
            <w:ins w:id="189" w:author="Author">
              <w:r>
                <w:rPr>
                  <w:szCs w:val="22"/>
                </w:rPr>
                <w:t>.</w:t>
              </w:r>
            </w:ins>
            <w:r>
              <w:rPr>
                <w:szCs w:val="22"/>
              </w:rPr>
              <w:t xml:space="preserve"> +370 5 </w:t>
            </w:r>
            <w:r>
              <w:rPr>
                <w:rFonts w:eastAsia="PMingLiU"/>
                <w:bCs/>
                <w:szCs w:val="22"/>
              </w:rPr>
              <w:t>219 7474</w:t>
            </w:r>
          </w:p>
          <w:p w14:paraId="37D7D2BC" w14:textId="77777777" w:rsidR="00C04CAD" w:rsidRDefault="00C04CAD">
            <w:pPr>
              <w:tabs>
                <w:tab w:val="clear" w:pos="567"/>
              </w:tabs>
              <w:autoSpaceDE w:val="0"/>
              <w:autoSpaceDN w:val="0"/>
              <w:adjustRightInd w:val="0"/>
              <w:spacing w:line="240" w:lineRule="auto"/>
              <w:rPr>
                <w:szCs w:val="22"/>
              </w:rPr>
            </w:pPr>
          </w:p>
        </w:tc>
      </w:tr>
      <w:tr w:rsidR="00C04CAD" w14:paraId="2085B20B" w14:textId="77777777">
        <w:trPr>
          <w:cantSplit/>
        </w:trPr>
        <w:tc>
          <w:tcPr>
            <w:tcW w:w="4677" w:type="dxa"/>
          </w:tcPr>
          <w:p w14:paraId="686D0DA6" w14:textId="77777777" w:rsidR="00C04CAD" w:rsidRDefault="00060E34">
            <w:pPr>
              <w:tabs>
                <w:tab w:val="clear" w:pos="567"/>
              </w:tabs>
              <w:autoSpaceDE w:val="0"/>
              <w:autoSpaceDN w:val="0"/>
              <w:adjustRightInd w:val="0"/>
              <w:spacing w:line="240" w:lineRule="auto"/>
              <w:rPr>
                <w:b/>
                <w:szCs w:val="22"/>
              </w:rPr>
            </w:pPr>
            <w:r>
              <w:rPr>
                <w:b/>
                <w:szCs w:val="22"/>
              </w:rPr>
              <w:t>България</w:t>
            </w:r>
          </w:p>
          <w:p w14:paraId="3AB1899F" w14:textId="77777777" w:rsidR="00C04CAD" w:rsidRDefault="00060E34">
            <w:pPr>
              <w:spacing w:line="240" w:lineRule="auto"/>
              <w:rPr>
                <w:szCs w:val="22"/>
              </w:rPr>
            </w:pPr>
            <w:r>
              <w:rPr>
                <w:rFonts w:eastAsia="Arial Unicode MS"/>
                <w:szCs w:val="22"/>
                <w:lang w:eastAsia="en-GB" w:bidi="ar-SA"/>
              </w:rPr>
              <w:t>Амджен България</w:t>
            </w:r>
            <w:r>
              <w:rPr>
                <w:szCs w:val="22"/>
              </w:rPr>
              <w:t xml:space="preserve"> ЕООД</w:t>
            </w:r>
          </w:p>
          <w:p w14:paraId="47F97D51" w14:textId="77777777" w:rsidR="00C04CAD" w:rsidRDefault="00060E34">
            <w:pPr>
              <w:spacing w:line="240" w:lineRule="auto"/>
              <w:rPr>
                <w:rFonts w:eastAsia="Arial Unicode MS"/>
                <w:bCs/>
                <w:szCs w:val="22"/>
                <w:lang w:eastAsia="en-US" w:bidi="ar-SA"/>
              </w:rPr>
            </w:pPr>
            <w:r>
              <w:rPr>
                <w:szCs w:val="22"/>
              </w:rPr>
              <w:t>Тел</w:t>
            </w:r>
            <w:r>
              <w:rPr>
                <w:rFonts w:eastAsia="Arial Unicode MS"/>
                <w:szCs w:val="22"/>
                <w:lang w:eastAsia="en-GB"/>
              </w:rPr>
              <w:t>.: +</w:t>
            </w:r>
            <w:r>
              <w:rPr>
                <w:szCs w:val="22"/>
              </w:rPr>
              <w:t xml:space="preserve">359 </w:t>
            </w:r>
            <w:r>
              <w:rPr>
                <w:rFonts w:eastAsia="Arial Unicode MS"/>
                <w:bCs/>
                <w:szCs w:val="22"/>
              </w:rPr>
              <w:t>(0)</w:t>
            </w:r>
            <w:r>
              <w:rPr>
                <w:szCs w:val="22"/>
              </w:rPr>
              <w:t>2</w:t>
            </w:r>
            <w:r>
              <w:rPr>
                <w:rFonts w:eastAsia="Arial Unicode MS"/>
                <w:bCs/>
                <w:szCs w:val="22"/>
                <w:lang w:eastAsia="en-US" w:bidi="ar-SA"/>
              </w:rPr>
              <w:t> 424 7440</w:t>
            </w:r>
          </w:p>
          <w:p w14:paraId="49495D20" w14:textId="77777777" w:rsidR="00C04CAD" w:rsidRDefault="00C04CAD">
            <w:pPr>
              <w:tabs>
                <w:tab w:val="clear" w:pos="567"/>
              </w:tabs>
              <w:autoSpaceDE w:val="0"/>
              <w:autoSpaceDN w:val="0"/>
              <w:adjustRightInd w:val="0"/>
              <w:spacing w:line="240" w:lineRule="auto"/>
              <w:rPr>
                <w:szCs w:val="22"/>
              </w:rPr>
            </w:pPr>
          </w:p>
        </w:tc>
        <w:tc>
          <w:tcPr>
            <w:tcW w:w="4679" w:type="dxa"/>
          </w:tcPr>
          <w:p w14:paraId="1E866028" w14:textId="77777777" w:rsidR="00C04CAD" w:rsidRDefault="00060E34">
            <w:pPr>
              <w:spacing w:line="240" w:lineRule="auto"/>
              <w:rPr>
                <w:rFonts w:eastAsia="MS Mincho"/>
                <w:szCs w:val="22"/>
                <w:lang w:eastAsia="en-US" w:bidi="ar-SA"/>
              </w:rPr>
            </w:pPr>
            <w:r>
              <w:rPr>
                <w:b/>
                <w:szCs w:val="22"/>
              </w:rPr>
              <w:t>Luxembourg/Luxemburg</w:t>
            </w:r>
          </w:p>
          <w:p w14:paraId="2423959B" w14:textId="77777777" w:rsidR="00C04CAD" w:rsidRDefault="00060E34">
            <w:pPr>
              <w:spacing w:line="240" w:lineRule="auto"/>
              <w:rPr>
                <w:rFonts w:eastAsia="PMingLiU"/>
                <w:szCs w:val="22"/>
                <w:lang w:eastAsia="en-US" w:bidi="ar-SA"/>
              </w:rPr>
            </w:pPr>
            <w:r>
              <w:rPr>
                <w:rFonts w:eastAsia="PMingLiU"/>
                <w:szCs w:val="22"/>
                <w:lang w:eastAsia="en-US" w:bidi="ar-SA"/>
              </w:rPr>
              <w:t xml:space="preserve">s.a. Amgen </w:t>
            </w:r>
          </w:p>
          <w:p w14:paraId="042F2232" w14:textId="77777777" w:rsidR="00C04CAD" w:rsidRDefault="00060E34">
            <w:pPr>
              <w:spacing w:line="240" w:lineRule="auto"/>
              <w:rPr>
                <w:rFonts w:eastAsia="MS Mincho"/>
                <w:szCs w:val="22"/>
                <w:lang w:eastAsia="en-US" w:bidi="ar-SA"/>
              </w:rPr>
            </w:pPr>
            <w:r>
              <w:rPr>
                <w:szCs w:val="22"/>
              </w:rPr>
              <w:t>Belgique/Belgien</w:t>
            </w:r>
          </w:p>
          <w:p w14:paraId="1F3F8533" w14:textId="77777777" w:rsidR="00C04CAD" w:rsidRDefault="00060E34">
            <w:pPr>
              <w:spacing w:line="240" w:lineRule="auto"/>
              <w:rPr>
                <w:rFonts w:eastAsia="PMingLiU"/>
                <w:szCs w:val="22"/>
                <w:lang w:eastAsia="en-US" w:bidi="ar-SA"/>
              </w:rPr>
            </w:pPr>
            <w:r>
              <w:rPr>
                <w:szCs w:val="22"/>
              </w:rPr>
              <w:t xml:space="preserve">Tél/Tel: +32 </w:t>
            </w:r>
            <w:r>
              <w:rPr>
                <w:rFonts w:eastAsia="PMingLiU"/>
                <w:szCs w:val="22"/>
              </w:rPr>
              <w:t>(0)2 7752711</w:t>
            </w:r>
          </w:p>
          <w:p w14:paraId="62E5AF5F" w14:textId="77777777" w:rsidR="00C04CAD" w:rsidRDefault="00C04CAD">
            <w:pPr>
              <w:tabs>
                <w:tab w:val="clear" w:pos="567"/>
              </w:tabs>
              <w:autoSpaceDE w:val="0"/>
              <w:autoSpaceDN w:val="0"/>
              <w:adjustRightInd w:val="0"/>
              <w:spacing w:line="240" w:lineRule="auto"/>
              <w:rPr>
                <w:szCs w:val="22"/>
              </w:rPr>
            </w:pPr>
          </w:p>
        </w:tc>
      </w:tr>
      <w:tr w:rsidR="00C04CAD" w14:paraId="7FE61CC4" w14:textId="77777777">
        <w:trPr>
          <w:cantSplit/>
        </w:trPr>
        <w:tc>
          <w:tcPr>
            <w:tcW w:w="4677" w:type="dxa"/>
          </w:tcPr>
          <w:p w14:paraId="440C245E" w14:textId="77777777" w:rsidR="00C04CAD" w:rsidRDefault="00060E34">
            <w:pPr>
              <w:spacing w:line="240" w:lineRule="auto"/>
              <w:rPr>
                <w:b/>
              </w:rPr>
            </w:pPr>
            <w:r>
              <w:rPr>
                <w:b/>
              </w:rPr>
              <w:t>Česká republika</w:t>
            </w:r>
          </w:p>
          <w:p w14:paraId="20DBF1DB" w14:textId="77777777" w:rsidR="00C04CAD" w:rsidRDefault="00060E34">
            <w:pPr>
              <w:spacing w:line="240" w:lineRule="auto"/>
            </w:pPr>
            <w:r>
              <w:rPr>
                <w:rFonts w:eastAsia="PMingLiU"/>
                <w:bCs/>
                <w:szCs w:val="22"/>
                <w:lang w:eastAsia="en-US" w:bidi="ar-SA"/>
              </w:rPr>
              <w:t>Amgen</w:t>
            </w:r>
            <w:r>
              <w:t xml:space="preserve"> s.r.o.</w:t>
            </w:r>
          </w:p>
          <w:p w14:paraId="30DA31E1" w14:textId="77777777" w:rsidR="00C04CAD" w:rsidRDefault="00060E34">
            <w:pPr>
              <w:spacing w:line="240" w:lineRule="auto"/>
              <w:rPr>
                <w:rFonts w:eastAsia="PMingLiU"/>
                <w:bCs/>
                <w:sz w:val="24"/>
                <w:szCs w:val="22"/>
                <w:lang w:eastAsia="en-US" w:bidi="ar-SA"/>
              </w:rPr>
            </w:pPr>
            <w:r>
              <w:t xml:space="preserve">Tel: +420 </w:t>
            </w:r>
            <w:r>
              <w:rPr>
                <w:rFonts w:eastAsia="PMingLiU"/>
                <w:bCs/>
                <w:szCs w:val="22"/>
              </w:rPr>
              <w:t>221 773 500</w:t>
            </w:r>
          </w:p>
          <w:p w14:paraId="3DB85DFA" w14:textId="77777777" w:rsidR="00C04CAD" w:rsidRDefault="00C04CAD">
            <w:pPr>
              <w:tabs>
                <w:tab w:val="clear" w:pos="567"/>
              </w:tabs>
              <w:autoSpaceDE w:val="0"/>
              <w:autoSpaceDN w:val="0"/>
              <w:adjustRightInd w:val="0"/>
              <w:spacing w:line="240" w:lineRule="auto"/>
              <w:rPr>
                <w:sz w:val="24"/>
              </w:rPr>
            </w:pPr>
          </w:p>
        </w:tc>
        <w:tc>
          <w:tcPr>
            <w:tcW w:w="4679" w:type="dxa"/>
          </w:tcPr>
          <w:p w14:paraId="64FA2678" w14:textId="77777777" w:rsidR="00C04CAD" w:rsidRDefault="00060E34">
            <w:pPr>
              <w:spacing w:line="240" w:lineRule="auto"/>
              <w:rPr>
                <w:rFonts w:eastAsia="MS Mincho"/>
                <w:b/>
                <w:sz w:val="24"/>
                <w:szCs w:val="24"/>
                <w:lang w:eastAsia="en-US" w:bidi="ar-SA"/>
              </w:rPr>
            </w:pPr>
            <w:r>
              <w:rPr>
                <w:b/>
              </w:rPr>
              <w:t>Magyarország</w:t>
            </w:r>
          </w:p>
          <w:p w14:paraId="6BA2C3F3" w14:textId="77777777" w:rsidR="00C04CAD" w:rsidRDefault="00060E34">
            <w:pPr>
              <w:spacing w:line="240" w:lineRule="auto"/>
            </w:pPr>
            <w:r>
              <w:rPr>
                <w:rFonts w:eastAsia="PMingLiU"/>
                <w:bCs/>
                <w:szCs w:val="22"/>
                <w:lang w:eastAsia="en-US" w:bidi="ar-SA"/>
              </w:rPr>
              <w:t>Amgen</w:t>
            </w:r>
            <w:r>
              <w:t xml:space="preserve"> Kft.</w:t>
            </w:r>
          </w:p>
          <w:p w14:paraId="5E4432DE" w14:textId="77777777" w:rsidR="00C04CAD" w:rsidRDefault="00060E34">
            <w:pPr>
              <w:spacing w:line="240" w:lineRule="auto"/>
              <w:rPr>
                <w:rFonts w:eastAsia="PMingLiU"/>
                <w:bCs/>
                <w:sz w:val="24"/>
                <w:szCs w:val="22"/>
                <w:lang w:eastAsia="en-US" w:bidi="ar-SA"/>
              </w:rPr>
            </w:pPr>
            <w:r>
              <w:t>Tel</w:t>
            </w:r>
            <w:r>
              <w:rPr>
                <w:rFonts w:eastAsia="PMingLiU"/>
                <w:bCs/>
                <w:szCs w:val="22"/>
              </w:rPr>
              <w:t>.: +</w:t>
            </w:r>
            <w:r>
              <w:t xml:space="preserve">36 1 </w:t>
            </w:r>
            <w:r>
              <w:rPr>
                <w:rFonts w:eastAsia="PMingLiU"/>
                <w:bCs/>
                <w:szCs w:val="22"/>
              </w:rPr>
              <w:t>35 44 700</w:t>
            </w:r>
          </w:p>
          <w:p w14:paraId="79605692" w14:textId="77777777" w:rsidR="00C04CAD" w:rsidRDefault="00C04CAD">
            <w:pPr>
              <w:tabs>
                <w:tab w:val="clear" w:pos="567"/>
              </w:tabs>
              <w:autoSpaceDE w:val="0"/>
              <w:autoSpaceDN w:val="0"/>
              <w:adjustRightInd w:val="0"/>
              <w:spacing w:line="240" w:lineRule="auto"/>
              <w:rPr>
                <w:sz w:val="24"/>
              </w:rPr>
            </w:pPr>
          </w:p>
        </w:tc>
      </w:tr>
      <w:tr w:rsidR="00C04CAD" w14:paraId="6C69D6C9" w14:textId="77777777">
        <w:trPr>
          <w:cantSplit/>
        </w:trPr>
        <w:tc>
          <w:tcPr>
            <w:tcW w:w="4677" w:type="dxa"/>
          </w:tcPr>
          <w:p w14:paraId="39EA839D" w14:textId="77777777" w:rsidR="00C04CAD" w:rsidRDefault="00060E34">
            <w:pPr>
              <w:spacing w:line="240" w:lineRule="auto"/>
            </w:pPr>
            <w:r>
              <w:rPr>
                <w:b/>
              </w:rPr>
              <w:t>Danmark</w:t>
            </w:r>
          </w:p>
          <w:p w14:paraId="74C7F3FA" w14:textId="77777777" w:rsidR="00C04CAD" w:rsidRDefault="00060E34">
            <w:pPr>
              <w:spacing w:line="240" w:lineRule="auto"/>
              <w:rPr>
                <w:rFonts w:eastAsia="PMingLiU"/>
                <w:szCs w:val="22"/>
                <w:lang w:eastAsia="en-US" w:bidi="ar-SA"/>
              </w:rPr>
            </w:pPr>
            <w:r>
              <w:rPr>
                <w:rFonts w:eastAsia="PMingLiU"/>
                <w:szCs w:val="22"/>
                <w:lang w:eastAsia="en-US" w:bidi="ar-SA"/>
              </w:rPr>
              <w:t>Amgen, filial af Amgen AB, Sverige</w:t>
            </w:r>
          </w:p>
          <w:p w14:paraId="35E7A4C6" w14:textId="77777777" w:rsidR="00C04CAD" w:rsidRDefault="00060E34">
            <w:pPr>
              <w:spacing w:line="240" w:lineRule="auto"/>
              <w:rPr>
                <w:rFonts w:eastAsia="PMingLiU"/>
                <w:sz w:val="24"/>
                <w:szCs w:val="22"/>
                <w:lang w:eastAsia="en-US" w:bidi="ar-SA"/>
              </w:rPr>
            </w:pPr>
            <w:r>
              <w:t>Tlf</w:t>
            </w:r>
            <w:ins w:id="190" w:author="Author">
              <w:r>
                <w:t>.</w:t>
              </w:r>
            </w:ins>
            <w:r>
              <w:t xml:space="preserve">: +45 </w:t>
            </w:r>
            <w:r>
              <w:rPr>
                <w:rFonts w:eastAsia="PMingLiU"/>
                <w:szCs w:val="22"/>
              </w:rPr>
              <w:t>39617500</w:t>
            </w:r>
          </w:p>
          <w:p w14:paraId="12A90996" w14:textId="77777777" w:rsidR="00C04CAD" w:rsidRDefault="00C04CAD">
            <w:pPr>
              <w:tabs>
                <w:tab w:val="clear" w:pos="567"/>
              </w:tabs>
              <w:autoSpaceDE w:val="0"/>
              <w:autoSpaceDN w:val="0"/>
              <w:adjustRightInd w:val="0"/>
              <w:spacing w:line="240" w:lineRule="auto"/>
              <w:rPr>
                <w:sz w:val="24"/>
              </w:rPr>
            </w:pPr>
          </w:p>
        </w:tc>
        <w:tc>
          <w:tcPr>
            <w:tcW w:w="4679" w:type="dxa"/>
          </w:tcPr>
          <w:p w14:paraId="79E1882B" w14:textId="77777777" w:rsidR="00C04CAD" w:rsidRDefault="00060E34">
            <w:pPr>
              <w:spacing w:line="240" w:lineRule="auto"/>
              <w:rPr>
                <w:rFonts w:eastAsia="MS Mincho"/>
                <w:b/>
                <w:sz w:val="24"/>
                <w:szCs w:val="24"/>
                <w:lang w:eastAsia="en-US" w:bidi="ar-SA"/>
              </w:rPr>
            </w:pPr>
            <w:r>
              <w:rPr>
                <w:b/>
              </w:rPr>
              <w:t>Malta</w:t>
            </w:r>
          </w:p>
          <w:p w14:paraId="5C31E12A" w14:textId="77777777" w:rsidR="00C04CAD" w:rsidRDefault="00060E34">
            <w:pPr>
              <w:pStyle w:val="lbltxt"/>
              <w:rPr>
                <w:szCs w:val="22"/>
                <w:lang w:val="ro-RO"/>
              </w:rPr>
            </w:pPr>
            <w:r>
              <w:rPr>
                <w:szCs w:val="22"/>
                <w:lang w:val="ro-RO"/>
              </w:rPr>
              <w:t>Amgen S.r.l.</w:t>
            </w:r>
          </w:p>
          <w:p w14:paraId="0097F8BB" w14:textId="77777777" w:rsidR="00C04CAD" w:rsidRDefault="00060E34">
            <w:pPr>
              <w:pStyle w:val="lbltxt"/>
              <w:rPr>
                <w:szCs w:val="22"/>
                <w:lang w:val="ro-RO"/>
              </w:rPr>
            </w:pPr>
            <w:r>
              <w:rPr>
                <w:szCs w:val="22"/>
                <w:lang w:val="ro-RO"/>
              </w:rPr>
              <w:t>Italy</w:t>
            </w:r>
          </w:p>
          <w:p w14:paraId="612DC3B2" w14:textId="77777777" w:rsidR="00C04CAD" w:rsidRDefault="00060E34">
            <w:pPr>
              <w:pStyle w:val="lbltxt"/>
              <w:rPr>
                <w:szCs w:val="22"/>
                <w:lang w:val="ro-RO"/>
              </w:rPr>
            </w:pPr>
            <w:r>
              <w:rPr>
                <w:szCs w:val="22"/>
                <w:lang w:val="ro-RO"/>
              </w:rPr>
              <w:t>Tel: +39 02 6241121</w:t>
            </w:r>
          </w:p>
          <w:p w14:paraId="33B9727C" w14:textId="77777777" w:rsidR="00C04CAD" w:rsidRDefault="00C04CAD">
            <w:pPr>
              <w:tabs>
                <w:tab w:val="clear" w:pos="567"/>
              </w:tabs>
              <w:autoSpaceDE w:val="0"/>
              <w:autoSpaceDN w:val="0"/>
              <w:adjustRightInd w:val="0"/>
              <w:spacing w:line="240" w:lineRule="auto"/>
              <w:rPr>
                <w:sz w:val="24"/>
              </w:rPr>
            </w:pPr>
          </w:p>
        </w:tc>
      </w:tr>
      <w:tr w:rsidR="00C04CAD" w14:paraId="27AFBFCB" w14:textId="77777777">
        <w:trPr>
          <w:cantSplit/>
        </w:trPr>
        <w:tc>
          <w:tcPr>
            <w:tcW w:w="4677" w:type="dxa"/>
          </w:tcPr>
          <w:p w14:paraId="3361D1C2" w14:textId="77777777" w:rsidR="00C04CAD" w:rsidRDefault="00060E34">
            <w:pPr>
              <w:spacing w:line="240" w:lineRule="auto"/>
            </w:pPr>
            <w:r>
              <w:rPr>
                <w:b/>
              </w:rPr>
              <w:t>Deutschland</w:t>
            </w:r>
          </w:p>
          <w:p w14:paraId="4AB8D951" w14:textId="77777777" w:rsidR="00C04CAD" w:rsidRDefault="00060E34">
            <w:pPr>
              <w:spacing w:line="240" w:lineRule="auto"/>
            </w:pPr>
            <w:r>
              <w:rPr>
                <w:rFonts w:eastAsia="PMingLiU"/>
                <w:szCs w:val="22"/>
                <w:lang w:eastAsia="en-US" w:bidi="ar-SA"/>
              </w:rPr>
              <w:t>Amgen</w:t>
            </w:r>
            <w:r>
              <w:t xml:space="preserve"> GmbH</w:t>
            </w:r>
          </w:p>
          <w:p w14:paraId="3075CA19" w14:textId="77777777" w:rsidR="00C04CAD" w:rsidRDefault="00060E34">
            <w:pPr>
              <w:spacing w:line="240" w:lineRule="auto"/>
              <w:rPr>
                <w:rFonts w:eastAsia="PMingLiU"/>
                <w:szCs w:val="22"/>
                <w:lang w:eastAsia="en-US" w:bidi="ar-SA"/>
              </w:rPr>
            </w:pPr>
            <w:r>
              <w:t>Tel</w:t>
            </w:r>
            <w:r>
              <w:rPr>
                <w:rFonts w:eastAsia="PMingLiU"/>
                <w:szCs w:val="22"/>
              </w:rPr>
              <w:t>:</w:t>
            </w:r>
            <w:r>
              <w:t xml:space="preserve"> +49 </w:t>
            </w:r>
            <w:r>
              <w:rPr>
                <w:rFonts w:eastAsia="PMingLiU"/>
                <w:szCs w:val="22"/>
              </w:rPr>
              <w:t>89 1490960</w:t>
            </w:r>
          </w:p>
          <w:p w14:paraId="31D6FA79" w14:textId="77777777" w:rsidR="00C04CAD" w:rsidRDefault="00C04CAD">
            <w:pPr>
              <w:tabs>
                <w:tab w:val="clear" w:pos="567"/>
              </w:tabs>
              <w:autoSpaceDE w:val="0"/>
              <w:autoSpaceDN w:val="0"/>
              <w:adjustRightInd w:val="0"/>
              <w:spacing w:line="240" w:lineRule="auto"/>
              <w:rPr>
                <w:sz w:val="24"/>
              </w:rPr>
            </w:pPr>
          </w:p>
        </w:tc>
        <w:tc>
          <w:tcPr>
            <w:tcW w:w="4679" w:type="dxa"/>
          </w:tcPr>
          <w:p w14:paraId="1F53C22F" w14:textId="77777777" w:rsidR="00C04CAD" w:rsidRDefault="00060E34">
            <w:pPr>
              <w:spacing w:line="240" w:lineRule="auto"/>
              <w:rPr>
                <w:rFonts w:eastAsia="MS Mincho"/>
                <w:sz w:val="24"/>
                <w:szCs w:val="24"/>
                <w:lang w:eastAsia="en-US" w:bidi="ar-SA"/>
              </w:rPr>
            </w:pPr>
            <w:r>
              <w:rPr>
                <w:b/>
              </w:rPr>
              <w:t>Nederland</w:t>
            </w:r>
          </w:p>
          <w:p w14:paraId="6B4D50D3" w14:textId="77777777" w:rsidR="00C04CAD" w:rsidRDefault="00060E34">
            <w:pPr>
              <w:spacing w:line="240" w:lineRule="auto"/>
            </w:pPr>
            <w:r>
              <w:rPr>
                <w:rFonts w:eastAsia="PMingLiU"/>
                <w:szCs w:val="22"/>
                <w:lang w:eastAsia="en-US" w:bidi="ar-SA"/>
              </w:rPr>
              <w:t>Amgen</w:t>
            </w:r>
            <w:r>
              <w:t xml:space="preserve"> B.V.</w:t>
            </w:r>
          </w:p>
          <w:p w14:paraId="1022A0FF" w14:textId="77777777" w:rsidR="00C04CAD" w:rsidRDefault="00060E34">
            <w:pPr>
              <w:spacing w:line="240" w:lineRule="auto"/>
              <w:rPr>
                <w:rFonts w:eastAsia="PMingLiU"/>
                <w:bCs/>
                <w:sz w:val="24"/>
                <w:szCs w:val="22"/>
                <w:lang w:eastAsia="en-US" w:bidi="ar-SA"/>
              </w:rPr>
            </w:pPr>
            <w:r>
              <w:t>Tel: +31 (0)</w:t>
            </w:r>
            <w:r>
              <w:rPr>
                <w:rFonts w:eastAsia="PMingLiU"/>
                <w:szCs w:val="22"/>
              </w:rPr>
              <w:t>76 5732500</w:t>
            </w:r>
          </w:p>
          <w:p w14:paraId="1B87114F" w14:textId="77777777" w:rsidR="00C04CAD" w:rsidRDefault="00C04CAD">
            <w:pPr>
              <w:tabs>
                <w:tab w:val="clear" w:pos="567"/>
              </w:tabs>
              <w:autoSpaceDE w:val="0"/>
              <w:autoSpaceDN w:val="0"/>
              <w:adjustRightInd w:val="0"/>
              <w:spacing w:line="240" w:lineRule="auto"/>
              <w:rPr>
                <w:sz w:val="24"/>
              </w:rPr>
            </w:pPr>
          </w:p>
        </w:tc>
      </w:tr>
      <w:tr w:rsidR="00C04CAD" w14:paraId="525B070F" w14:textId="77777777">
        <w:trPr>
          <w:cantSplit/>
        </w:trPr>
        <w:tc>
          <w:tcPr>
            <w:tcW w:w="4677" w:type="dxa"/>
          </w:tcPr>
          <w:p w14:paraId="1C5D9C26" w14:textId="77777777" w:rsidR="00C04CAD" w:rsidRDefault="00060E34">
            <w:pPr>
              <w:spacing w:line="240" w:lineRule="auto"/>
              <w:rPr>
                <w:b/>
              </w:rPr>
            </w:pPr>
            <w:r>
              <w:rPr>
                <w:b/>
              </w:rPr>
              <w:t>Eesti</w:t>
            </w:r>
          </w:p>
          <w:p w14:paraId="4E3C29A2" w14:textId="77777777" w:rsidR="00C04CAD" w:rsidRDefault="00060E34">
            <w:pPr>
              <w:spacing w:line="240" w:lineRule="auto"/>
              <w:rPr>
                <w:rFonts w:eastAsia="PMingLiU"/>
                <w:bCs/>
                <w:szCs w:val="22"/>
                <w:lang w:eastAsia="en-US" w:bidi="ar-SA"/>
              </w:rPr>
            </w:pPr>
            <w:r>
              <w:rPr>
                <w:rFonts w:eastAsia="PMingLiU"/>
                <w:bCs/>
                <w:szCs w:val="22"/>
                <w:lang w:eastAsia="en-US" w:bidi="ar-SA"/>
              </w:rPr>
              <w:t xml:space="preserve">Amgen Switzerland AG </w:t>
            </w:r>
            <w:r>
              <w:rPr>
                <w:rFonts w:eastAsia="PMingLiU"/>
                <w:szCs w:val="22"/>
                <w:lang w:eastAsia="en-US" w:bidi="ar-SA"/>
              </w:rPr>
              <w:t>Vilniaus filialas</w:t>
            </w:r>
          </w:p>
          <w:p w14:paraId="7515FECB" w14:textId="77777777" w:rsidR="00C04CAD" w:rsidRDefault="00060E34">
            <w:pPr>
              <w:spacing w:line="240" w:lineRule="auto"/>
              <w:rPr>
                <w:rFonts w:eastAsia="PMingLiU"/>
                <w:sz w:val="24"/>
                <w:szCs w:val="22"/>
                <w:lang w:eastAsia="en-US" w:bidi="ar-SA"/>
              </w:rPr>
            </w:pPr>
            <w:r>
              <w:t xml:space="preserve">Tel: +372 </w:t>
            </w:r>
            <w:r>
              <w:rPr>
                <w:rFonts w:eastAsia="PMingLiU"/>
                <w:szCs w:val="22"/>
              </w:rPr>
              <w:t>586 09553</w:t>
            </w:r>
          </w:p>
          <w:p w14:paraId="67DCB4DE" w14:textId="77777777" w:rsidR="00C04CAD" w:rsidRDefault="00C04CAD">
            <w:pPr>
              <w:tabs>
                <w:tab w:val="clear" w:pos="567"/>
              </w:tabs>
              <w:autoSpaceDE w:val="0"/>
              <w:autoSpaceDN w:val="0"/>
              <w:adjustRightInd w:val="0"/>
              <w:spacing w:line="240" w:lineRule="auto"/>
              <w:rPr>
                <w:sz w:val="24"/>
              </w:rPr>
            </w:pPr>
          </w:p>
        </w:tc>
        <w:tc>
          <w:tcPr>
            <w:tcW w:w="4679" w:type="dxa"/>
          </w:tcPr>
          <w:p w14:paraId="1913A40F" w14:textId="77777777" w:rsidR="00C04CAD" w:rsidRDefault="00060E34">
            <w:pPr>
              <w:spacing w:line="240" w:lineRule="auto"/>
              <w:rPr>
                <w:rFonts w:eastAsia="MS Mincho"/>
                <w:b/>
                <w:sz w:val="24"/>
                <w:szCs w:val="24"/>
                <w:lang w:eastAsia="en-US" w:bidi="ar-SA"/>
              </w:rPr>
            </w:pPr>
            <w:r>
              <w:rPr>
                <w:b/>
              </w:rPr>
              <w:t>Norge</w:t>
            </w:r>
          </w:p>
          <w:p w14:paraId="21898D25"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34F89909" w14:textId="77777777" w:rsidR="00C04CAD" w:rsidRDefault="00060E34">
            <w:pPr>
              <w:spacing w:line="240" w:lineRule="auto"/>
              <w:rPr>
                <w:rFonts w:eastAsia="PMingLiU"/>
                <w:szCs w:val="22"/>
                <w:lang w:eastAsia="en-US" w:bidi="ar-SA"/>
              </w:rPr>
            </w:pPr>
            <w:r>
              <w:rPr>
                <w:rFonts w:eastAsia="PMingLiU"/>
                <w:szCs w:val="22"/>
                <w:lang w:eastAsia="en-US" w:bidi="ar-SA"/>
              </w:rPr>
              <w:t>Tlf</w:t>
            </w:r>
            <w:r>
              <w:t xml:space="preserve">: +47 </w:t>
            </w:r>
            <w:r>
              <w:rPr>
                <w:rFonts w:eastAsia="PMingLiU"/>
                <w:szCs w:val="22"/>
              </w:rPr>
              <w:t>23308000</w:t>
            </w:r>
          </w:p>
          <w:p w14:paraId="4013CAE2" w14:textId="77777777" w:rsidR="00C04CAD" w:rsidRDefault="00C04CAD">
            <w:pPr>
              <w:tabs>
                <w:tab w:val="clear" w:pos="567"/>
              </w:tabs>
              <w:autoSpaceDE w:val="0"/>
              <w:autoSpaceDN w:val="0"/>
              <w:adjustRightInd w:val="0"/>
              <w:spacing w:line="240" w:lineRule="auto"/>
              <w:rPr>
                <w:sz w:val="24"/>
              </w:rPr>
            </w:pPr>
          </w:p>
        </w:tc>
      </w:tr>
      <w:tr w:rsidR="00C04CAD" w14:paraId="6ABECF8C" w14:textId="77777777">
        <w:trPr>
          <w:cantSplit/>
        </w:trPr>
        <w:tc>
          <w:tcPr>
            <w:tcW w:w="4677" w:type="dxa"/>
          </w:tcPr>
          <w:p w14:paraId="092AA4D1" w14:textId="77777777" w:rsidR="00C04CAD" w:rsidRDefault="00060E34">
            <w:pPr>
              <w:spacing w:line="240" w:lineRule="auto"/>
              <w:rPr>
                <w:b/>
              </w:rPr>
            </w:pPr>
            <w:r>
              <w:rPr>
                <w:b/>
              </w:rPr>
              <w:t>Ελλάδα</w:t>
            </w:r>
          </w:p>
          <w:p w14:paraId="44019BA6"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Ελλάς Φαρμακευτικά Ε.Π.Ε. </w:t>
            </w:r>
          </w:p>
          <w:p w14:paraId="0CBD1237" w14:textId="77777777" w:rsidR="00C04CAD" w:rsidRDefault="00060E34">
            <w:pPr>
              <w:spacing w:line="240" w:lineRule="auto"/>
              <w:rPr>
                <w:rFonts w:eastAsia="PMingLiU"/>
                <w:sz w:val="24"/>
                <w:szCs w:val="22"/>
                <w:lang w:eastAsia="en-US" w:bidi="ar-SA"/>
              </w:rPr>
            </w:pPr>
            <w:r>
              <w:t>Τηλ</w:t>
            </w:r>
            <w:r>
              <w:rPr>
                <w:rFonts w:eastAsia="PMingLiU"/>
                <w:szCs w:val="22"/>
              </w:rPr>
              <w:t>:</w:t>
            </w:r>
            <w:r>
              <w:t xml:space="preserve"> +30 </w:t>
            </w:r>
            <w:r>
              <w:rPr>
                <w:rFonts w:eastAsia="PMingLiU"/>
                <w:szCs w:val="22"/>
              </w:rPr>
              <w:t>210 3447000</w:t>
            </w:r>
          </w:p>
          <w:p w14:paraId="4C707277" w14:textId="77777777" w:rsidR="00C04CAD" w:rsidRDefault="00C04CAD">
            <w:pPr>
              <w:tabs>
                <w:tab w:val="clear" w:pos="567"/>
              </w:tabs>
              <w:autoSpaceDE w:val="0"/>
              <w:autoSpaceDN w:val="0"/>
              <w:adjustRightInd w:val="0"/>
              <w:spacing w:line="240" w:lineRule="auto"/>
              <w:rPr>
                <w:sz w:val="24"/>
              </w:rPr>
            </w:pPr>
          </w:p>
        </w:tc>
        <w:tc>
          <w:tcPr>
            <w:tcW w:w="4679" w:type="dxa"/>
          </w:tcPr>
          <w:p w14:paraId="10E418B3" w14:textId="77777777" w:rsidR="00C04CAD" w:rsidRDefault="00060E34">
            <w:pPr>
              <w:spacing w:line="240" w:lineRule="auto"/>
              <w:rPr>
                <w:rFonts w:eastAsia="MS Mincho"/>
                <w:sz w:val="24"/>
                <w:szCs w:val="24"/>
                <w:lang w:eastAsia="en-US" w:bidi="ar-SA"/>
              </w:rPr>
            </w:pPr>
            <w:r>
              <w:rPr>
                <w:b/>
              </w:rPr>
              <w:t>Österreich</w:t>
            </w:r>
          </w:p>
          <w:p w14:paraId="199439DC" w14:textId="77777777" w:rsidR="00C04CAD" w:rsidRDefault="00060E34">
            <w:pPr>
              <w:spacing w:line="240" w:lineRule="auto"/>
            </w:pPr>
            <w:r>
              <w:rPr>
                <w:rFonts w:eastAsia="PMingLiU"/>
                <w:szCs w:val="22"/>
                <w:lang w:eastAsia="en-US" w:bidi="ar-SA"/>
              </w:rPr>
              <w:t>Amgen</w:t>
            </w:r>
            <w:r>
              <w:t xml:space="preserve"> GmbH</w:t>
            </w:r>
            <w:r>
              <w:rPr>
                <w:rFonts w:eastAsia="PMingLiU"/>
                <w:szCs w:val="22"/>
              </w:rPr>
              <w:t xml:space="preserve"> </w:t>
            </w:r>
          </w:p>
          <w:p w14:paraId="667C748D" w14:textId="77777777" w:rsidR="00C04CAD" w:rsidRDefault="00060E34">
            <w:pPr>
              <w:spacing w:line="240" w:lineRule="auto"/>
              <w:rPr>
                <w:rFonts w:eastAsia="PMingLiU"/>
                <w:sz w:val="24"/>
                <w:szCs w:val="22"/>
                <w:lang w:eastAsia="en-US" w:bidi="ar-SA"/>
              </w:rPr>
            </w:pPr>
            <w:r>
              <w:t xml:space="preserve">Tel: +43 </w:t>
            </w:r>
            <w:r>
              <w:rPr>
                <w:rFonts w:eastAsia="PMingLiU"/>
                <w:szCs w:val="22"/>
              </w:rPr>
              <w:t>(0)</w:t>
            </w:r>
            <w:r>
              <w:t xml:space="preserve">1 </w:t>
            </w:r>
            <w:r>
              <w:rPr>
                <w:rFonts w:eastAsia="PMingLiU"/>
                <w:szCs w:val="22"/>
              </w:rPr>
              <w:t>50 217</w:t>
            </w:r>
          </w:p>
          <w:p w14:paraId="4F9037F0" w14:textId="77777777" w:rsidR="00C04CAD" w:rsidRDefault="00C04CAD">
            <w:pPr>
              <w:tabs>
                <w:tab w:val="clear" w:pos="567"/>
              </w:tabs>
              <w:autoSpaceDE w:val="0"/>
              <w:autoSpaceDN w:val="0"/>
              <w:adjustRightInd w:val="0"/>
              <w:spacing w:line="240" w:lineRule="auto"/>
              <w:rPr>
                <w:sz w:val="24"/>
              </w:rPr>
            </w:pPr>
          </w:p>
        </w:tc>
      </w:tr>
      <w:tr w:rsidR="00C04CAD" w14:paraId="079FF6A5" w14:textId="77777777">
        <w:trPr>
          <w:cantSplit/>
        </w:trPr>
        <w:tc>
          <w:tcPr>
            <w:tcW w:w="4677" w:type="dxa"/>
          </w:tcPr>
          <w:p w14:paraId="352D1423" w14:textId="77777777" w:rsidR="00C04CAD" w:rsidRDefault="00060E34">
            <w:pPr>
              <w:keepNext/>
              <w:spacing w:line="240" w:lineRule="auto"/>
            </w:pPr>
            <w:r>
              <w:rPr>
                <w:b/>
              </w:rPr>
              <w:t>España</w:t>
            </w:r>
          </w:p>
          <w:p w14:paraId="1D6A5A3C" w14:textId="77777777" w:rsidR="00C04CAD" w:rsidRDefault="00060E34">
            <w:pPr>
              <w:keepNext/>
              <w:spacing w:line="240" w:lineRule="auto"/>
            </w:pPr>
            <w:r>
              <w:rPr>
                <w:rFonts w:eastAsia="PMingLiU"/>
                <w:szCs w:val="22"/>
                <w:lang w:eastAsia="en-US" w:bidi="ar-SA"/>
              </w:rPr>
              <w:t>Amgen</w:t>
            </w:r>
            <w:r>
              <w:t xml:space="preserve"> S.</w:t>
            </w:r>
            <w:r>
              <w:rPr>
                <w:rFonts w:eastAsia="PMingLiU"/>
                <w:szCs w:val="22"/>
              </w:rPr>
              <w:t>A</w:t>
            </w:r>
            <w:r>
              <w:t>.</w:t>
            </w:r>
          </w:p>
          <w:p w14:paraId="14146945" w14:textId="77777777" w:rsidR="00C04CAD" w:rsidRDefault="00060E34">
            <w:pPr>
              <w:keepNext/>
              <w:spacing w:line="240" w:lineRule="auto"/>
              <w:rPr>
                <w:rFonts w:eastAsia="PMingLiU"/>
                <w:sz w:val="24"/>
                <w:szCs w:val="22"/>
                <w:lang w:eastAsia="en-US" w:bidi="ar-SA"/>
              </w:rPr>
            </w:pPr>
            <w:r>
              <w:t xml:space="preserve">Tel: +34 </w:t>
            </w:r>
            <w:r>
              <w:rPr>
                <w:rFonts w:eastAsia="PMingLiU"/>
                <w:szCs w:val="22"/>
              </w:rPr>
              <w:t xml:space="preserve">93 600 18 60 </w:t>
            </w:r>
          </w:p>
          <w:p w14:paraId="6E173BC1" w14:textId="77777777" w:rsidR="00C04CAD" w:rsidRDefault="00C04CAD">
            <w:pPr>
              <w:keepNext/>
              <w:tabs>
                <w:tab w:val="clear" w:pos="567"/>
              </w:tabs>
              <w:autoSpaceDE w:val="0"/>
              <w:autoSpaceDN w:val="0"/>
              <w:adjustRightInd w:val="0"/>
              <w:spacing w:line="240" w:lineRule="auto"/>
              <w:rPr>
                <w:sz w:val="24"/>
              </w:rPr>
            </w:pPr>
          </w:p>
        </w:tc>
        <w:tc>
          <w:tcPr>
            <w:tcW w:w="4679" w:type="dxa"/>
          </w:tcPr>
          <w:p w14:paraId="0C5C4417" w14:textId="77777777" w:rsidR="00C04CAD" w:rsidRDefault="00060E34">
            <w:pPr>
              <w:keepNext/>
              <w:spacing w:line="240" w:lineRule="auto"/>
              <w:rPr>
                <w:rFonts w:eastAsia="MS Mincho"/>
                <w:b/>
                <w:sz w:val="24"/>
                <w:szCs w:val="24"/>
                <w:lang w:eastAsia="en-US" w:bidi="ar-SA"/>
              </w:rPr>
            </w:pPr>
            <w:r>
              <w:rPr>
                <w:b/>
              </w:rPr>
              <w:t>Polska</w:t>
            </w:r>
          </w:p>
          <w:p w14:paraId="4AACEC43" w14:textId="77777777" w:rsidR="00C04CAD" w:rsidRDefault="00060E34">
            <w:pPr>
              <w:keepNext/>
              <w:spacing w:line="240" w:lineRule="auto"/>
            </w:pPr>
            <w:r>
              <w:rPr>
                <w:rFonts w:eastAsia="PMingLiU"/>
                <w:szCs w:val="22"/>
                <w:lang w:eastAsia="en-US" w:bidi="ar-SA"/>
              </w:rPr>
              <w:t xml:space="preserve">Amgen </w:t>
            </w:r>
            <w:r>
              <w:rPr>
                <w:rFonts w:eastAsia="PMingLiU"/>
                <w:color w:val="000000"/>
                <w:szCs w:val="22"/>
                <w:lang w:eastAsia="en-GB" w:bidi="ar-SA"/>
              </w:rPr>
              <w:t>Biotechnologia</w:t>
            </w:r>
            <w:r>
              <w:t xml:space="preserve"> Sp. z o.o.</w:t>
            </w:r>
          </w:p>
          <w:p w14:paraId="66F0B23C" w14:textId="77777777" w:rsidR="00C04CAD" w:rsidRDefault="00060E34">
            <w:pPr>
              <w:keepNext/>
              <w:spacing w:line="240" w:lineRule="auto"/>
              <w:rPr>
                <w:rFonts w:eastAsia="PMingLiU"/>
                <w:bCs/>
                <w:sz w:val="24"/>
                <w:szCs w:val="22"/>
                <w:lang w:eastAsia="en-US" w:bidi="ar-SA"/>
              </w:rPr>
            </w:pPr>
            <w:r>
              <w:t xml:space="preserve">Tel.: +48 22 </w:t>
            </w:r>
            <w:r>
              <w:rPr>
                <w:rFonts w:eastAsia="PMingLiU"/>
                <w:bCs/>
                <w:szCs w:val="22"/>
              </w:rPr>
              <w:t>581 3000</w:t>
            </w:r>
          </w:p>
          <w:p w14:paraId="3AF29737" w14:textId="77777777" w:rsidR="00C04CAD" w:rsidRDefault="00C04CAD">
            <w:pPr>
              <w:keepNext/>
              <w:tabs>
                <w:tab w:val="clear" w:pos="567"/>
              </w:tabs>
              <w:autoSpaceDE w:val="0"/>
              <w:autoSpaceDN w:val="0"/>
              <w:adjustRightInd w:val="0"/>
              <w:spacing w:line="240" w:lineRule="auto"/>
              <w:rPr>
                <w:sz w:val="24"/>
              </w:rPr>
            </w:pPr>
          </w:p>
        </w:tc>
      </w:tr>
      <w:tr w:rsidR="00C04CAD" w14:paraId="5600A1AA" w14:textId="77777777">
        <w:trPr>
          <w:cantSplit/>
        </w:trPr>
        <w:tc>
          <w:tcPr>
            <w:tcW w:w="4677" w:type="dxa"/>
          </w:tcPr>
          <w:p w14:paraId="1EC5CD5E" w14:textId="77777777" w:rsidR="00C04CAD" w:rsidRDefault="00060E34">
            <w:pPr>
              <w:spacing w:line="240" w:lineRule="auto"/>
              <w:rPr>
                <w:szCs w:val="22"/>
              </w:rPr>
            </w:pPr>
            <w:r>
              <w:rPr>
                <w:b/>
                <w:szCs w:val="22"/>
              </w:rPr>
              <w:t>France</w:t>
            </w:r>
          </w:p>
          <w:p w14:paraId="2564562F" w14:textId="77777777" w:rsidR="00C04CAD" w:rsidRDefault="00060E34">
            <w:pPr>
              <w:spacing w:line="240" w:lineRule="auto"/>
              <w:rPr>
                <w:rFonts w:eastAsia="PMingLiU"/>
                <w:szCs w:val="22"/>
                <w:lang w:eastAsia="en-US" w:bidi="ar-SA"/>
              </w:rPr>
            </w:pPr>
            <w:r>
              <w:rPr>
                <w:rFonts w:eastAsia="PMingLiU"/>
                <w:szCs w:val="22"/>
                <w:lang w:eastAsia="en-US" w:bidi="ar-SA"/>
              </w:rPr>
              <w:t>Amgen S.A.S.</w:t>
            </w:r>
          </w:p>
          <w:p w14:paraId="154B040C" w14:textId="77777777" w:rsidR="00C04CAD" w:rsidRDefault="00060E34">
            <w:pPr>
              <w:tabs>
                <w:tab w:val="clear" w:pos="567"/>
              </w:tabs>
              <w:autoSpaceDE w:val="0"/>
              <w:autoSpaceDN w:val="0"/>
              <w:adjustRightInd w:val="0"/>
              <w:spacing w:line="240" w:lineRule="auto"/>
              <w:rPr>
                <w:rFonts w:eastAsia="MS Mincho"/>
                <w:szCs w:val="22"/>
                <w:lang w:eastAsia="en-IN" w:bidi="ar-SA"/>
              </w:rPr>
            </w:pPr>
            <w:r>
              <w:rPr>
                <w:szCs w:val="22"/>
              </w:rPr>
              <w:t>Tél: +33 (0)9 69 363 363</w:t>
            </w:r>
          </w:p>
          <w:p w14:paraId="79E6F1F5" w14:textId="77777777" w:rsidR="00C04CAD" w:rsidRDefault="00C04CAD">
            <w:pPr>
              <w:tabs>
                <w:tab w:val="clear" w:pos="567"/>
              </w:tabs>
              <w:autoSpaceDE w:val="0"/>
              <w:autoSpaceDN w:val="0"/>
              <w:adjustRightInd w:val="0"/>
              <w:spacing w:line="240" w:lineRule="auto"/>
              <w:rPr>
                <w:szCs w:val="22"/>
              </w:rPr>
            </w:pPr>
          </w:p>
        </w:tc>
        <w:tc>
          <w:tcPr>
            <w:tcW w:w="4679" w:type="dxa"/>
          </w:tcPr>
          <w:p w14:paraId="2BDD4DA6" w14:textId="77777777" w:rsidR="00C04CAD" w:rsidRDefault="00060E34">
            <w:pPr>
              <w:spacing w:line="240" w:lineRule="auto"/>
              <w:rPr>
                <w:rFonts w:eastAsia="MS Mincho"/>
                <w:szCs w:val="22"/>
                <w:lang w:eastAsia="en-US" w:bidi="ar-SA"/>
              </w:rPr>
            </w:pPr>
            <w:r>
              <w:rPr>
                <w:b/>
                <w:szCs w:val="22"/>
              </w:rPr>
              <w:t>Portugal</w:t>
            </w:r>
          </w:p>
          <w:p w14:paraId="63F8A6B4" w14:textId="77777777" w:rsidR="00C04CAD" w:rsidRDefault="00060E34">
            <w:pPr>
              <w:spacing w:line="240" w:lineRule="auto"/>
              <w:rPr>
                <w:szCs w:val="22"/>
              </w:rPr>
            </w:pPr>
            <w:r>
              <w:rPr>
                <w:rFonts w:eastAsia="PMingLiU"/>
                <w:szCs w:val="22"/>
                <w:lang w:eastAsia="en-US" w:bidi="ar-SA"/>
              </w:rPr>
              <w:t>Amgen Biofarmacêutica</w:t>
            </w:r>
            <w:r>
              <w:rPr>
                <w:szCs w:val="22"/>
              </w:rPr>
              <w:t>, Lda.</w:t>
            </w:r>
          </w:p>
          <w:p w14:paraId="55203995" w14:textId="77777777" w:rsidR="00C04CAD" w:rsidRDefault="00060E34">
            <w:pPr>
              <w:spacing w:line="240" w:lineRule="auto"/>
              <w:rPr>
                <w:rFonts w:eastAsia="PMingLiU"/>
                <w:szCs w:val="22"/>
                <w:lang w:eastAsia="en-US" w:bidi="ar-SA"/>
              </w:rPr>
            </w:pPr>
            <w:r>
              <w:rPr>
                <w:szCs w:val="22"/>
              </w:rPr>
              <w:t xml:space="preserve">Tel: +351 21 </w:t>
            </w:r>
            <w:r>
              <w:rPr>
                <w:rFonts w:eastAsia="PMingLiU"/>
                <w:szCs w:val="22"/>
              </w:rPr>
              <w:t>4220606</w:t>
            </w:r>
          </w:p>
          <w:p w14:paraId="504DDC13" w14:textId="77777777" w:rsidR="00C04CAD" w:rsidRDefault="00C04CAD">
            <w:pPr>
              <w:tabs>
                <w:tab w:val="clear" w:pos="567"/>
              </w:tabs>
              <w:autoSpaceDE w:val="0"/>
              <w:autoSpaceDN w:val="0"/>
              <w:adjustRightInd w:val="0"/>
              <w:spacing w:line="240" w:lineRule="auto"/>
              <w:rPr>
                <w:szCs w:val="22"/>
              </w:rPr>
            </w:pPr>
          </w:p>
        </w:tc>
      </w:tr>
      <w:tr w:rsidR="00C04CAD" w14:paraId="2FD2CDFE" w14:textId="77777777">
        <w:trPr>
          <w:cantSplit/>
        </w:trPr>
        <w:tc>
          <w:tcPr>
            <w:tcW w:w="4677" w:type="dxa"/>
          </w:tcPr>
          <w:p w14:paraId="7146CBA6" w14:textId="77777777" w:rsidR="00C04CAD" w:rsidRDefault="00060E34">
            <w:pPr>
              <w:keepNext/>
              <w:keepLines/>
              <w:tabs>
                <w:tab w:val="clear" w:pos="567"/>
              </w:tabs>
              <w:autoSpaceDE w:val="0"/>
              <w:autoSpaceDN w:val="0"/>
              <w:adjustRightInd w:val="0"/>
              <w:spacing w:line="240" w:lineRule="auto"/>
              <w:rPr>
                <w:szCs w:val="22"/>
              </w:rPr>
            </w:pPr>
            <w:r>
              <w:rPr>
                <w:b/>
                <w:szCs w:val="22"/>
              </w:rPr>
              <w:t>Hrvatska</w:t>
            </w:r>
          </w:p>
          <w:p w14:paraId="43FF97CA" w14:textId="77777777" w:rsidR="00C04CAD" w:rsidRDefault="00060E34">
            <w:pPr>
              <w:keepNext/>
              <w:keepLines/>
              <w:tabs>
                <w:tab w:val="clear" w:pos="567"/>
              </w:tabs>
              <w:autoSpaceDE w:val="0"/>
              <w:autoSpaceDN w:val="0"/>
              <w:adjustRightInd w:val="0"/>
              <w:spacing w:line="240" w:lineRule="auto"/>
              <w:rPr>
                <w:szCs w:val="22"/>
              </w:rPr>
            </w:pPr>
            <w:r>
              <w:rPr>
                <w:szCs w:val="22"/>
                <w:lang w:eastAsia="en-US" w:bidi="ar-SA"/>
              </w:rPr>
              <w:t>Amgen</w:t>
            </w:r>
            <w:r>
              <w:rPr>
                <w:szCs w:val="22"/>
              </w:rPr>
              <w:t xml:space="preserve"> d.o.o.</w:t>
            </w:r>
          </w:p>
          <w:p w14:paraId="3F6EFD38" w14:textId="77777777" w:rsidR="00C04CAD" w:rsidRDefault="00060E34">
            <w:pPr>
              <w:keepNext/>
              <w:keepLines/>
              <w:tabs>
                <w:tab w:val="clear" w:pos="567"/>
              </w:tabs>
              <w:autoSpaceDE w:val="0"/>
              <w:autoSpaceDN w:val="0"/>
              <w:adjustRightInd w:val="0"/>
              <w:spacing w:line="240" w:lineRule="auto"/>
              <w:rPr>
                <w:rFonts w:eastAsia="MS Mincho"/>
                <w:szCs w:val="22"/>
                <w:lang w:eastAsia="en-IN" w:bidi="ar-SA"/>
              </w:rPr>
            </w:pPr>
            <w:r>
              <w:rPr>
                <w:szCs w:val="22"/>
              </w:rPr>
              <w:t>Tel: +385 (0)1 562 57 20</w:t>
            </w:r>
          </w:p>
          <w:p w14:paraId="1FF52935" w14:textId="77777777" w:rsidR="00C04CAD" w:rsidRDefault="00C04CAD">
            <w:pPr>
              <w:keepNext/>
              <w:keepLines/>
              <w:tabs>
                <w:tab w:val="clear" w:pos="567"/>
              </w:tabs>
              <w:autoSpaceDE w:val="0"/>
              <w:autoSpaceDN w:val="0"/>
              <w:adjustRightInd w:val="0"/>
              <w:spacing w:line="240" w:lineRule="auto"/>
              <w:rPr>
                <w:szCs w:val="22"/>
              </w:rPr>
            </w:pPr>
          </w:p>
        </w:tc>
        <w:tc>
          <w:tcPr>
            <w:tcW w:w="4679" w:type="dxa"/>
          </w:tcPr>
          <w:p w14:paraId="1B3AA442" w14:textId="77777777" w:rsidR="00C04CAD" w:rsidRDefault="00060E34">
            <w:pPr>
              <w:keepNext/>
              <w:keepLines/>
              <w:tabs>
                <w:tab w:val="clear" w:pos="567"/>
              </w:tabs>
              <w:suppressAutoHyphens/>
              <w:autoSpaceDE w:val="0"/>
              <w:autoSpaceDN w:val="0"/>
              <w:adjustRightInd w:val="0"/>
              <w:spacing w:line="240" w:lineRule="auto"/>
              <w:rPr>
                <w:rFonts w:eastAsia="MS Mincho"/>
                <w:b/>
                <w:szCs w:val="22"/>
                <w:lang w:eastAsia="en-US" w:bidi="ar-SA"/>
              </w:rPr>
            </w:pPr>
            <w:r>
              <w:rPr>
                <w:b/>
                <w:szCs w:val="22"/>
              </w:rPr>
              <w:t>România</w:t>
            </w:r>
          </w:p>
          <w:p w14:paraId="33BC2ED3"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color w:val="000000"/>
                <w:szCs w:val="22"/>
                <w:lang w:eastAsia="en-US" w:bidi="ar-SA"/>
              </w:rPr>
              <w:t>Amgen România SRL</w:t>
            </w:r>
          </w:p>
          <w:p w14:paraId="555D2CFE" w14:textId="77777777" w:rsidR="00C04CAD" w:rsidRDefault="00060E34">
            <w:pPr>
              <w:keepNext/>
              <w:keepLines/>
              <w:spacing w:line="240" w:lineRule="auto"/>
              <w:rPr>
                <w:rFonts w:eastAsia="PMingLiU"/>
                <w:szCs w:val="22"/>
                <w:lang w:eastAsia="en-US" w:bidi="ar-SA"/>
              </w:rPr>
            </w:pPr>
            <w:r>
              <w:rPr>
                <w:szCs w:val="22"/>
              </w:rPr>
              <w:t>Tel: +</w:t>
            </w:r>
            <w:r>
              <w:rPr>
                <w:rFonts w:eastAsia="PMingLiU"/>
                <w:szCs w:val="22"/>
              </w:rPr>
              <w:t>4021 527 3000</w:t>
            </w:r>
          </w:p>
          <w:p w14:paraId="7293EC07" w14:textId="77777777" w:rsidR="00C04CAD" w:rsidRDefault="00C04CAD">
            <w:pPr>
              <w:keepNext/>
              <w:keepLines/>
              <w:tabs>
                <w:tab w:val="clear" w:pos="567"/>
              </w:tabs>
              <w:autoSpaceDE w:val="0"/>
              <w:autoSpaceDN w:val="0"/>
              <w:adjustRightInd w:val="0"/>
              <w:spacing w:line="240" w:lineRule="auto"/>
              <w:rPr>
                <w:szCs w:val="22"/>
              </w:rPr>
            </w:pPr>
          </w:p>
        </w:tc>
      </w:tr>
      <w:tr w:rsidR="00C04CAD" w14:paraId="4C279103" w14:textId="77777777">
        <w:trPr>
          <w:cantSplit/>
        </w:trPr>
        <w:tc>
          <w:tcPr>
            <w:tcW w:w="4677" w:type="dxa"/>
          </w:tcPr>
          <w:p w14:paraId="45355015" w14:textId="77777777" w:rsidR="00C04CAD" w:rsidRDefault="00060E34">
            <w:pPr>
              <w:spacing w:line="240" w:lineRule="auto"/>
              <w:rPr>
                <w:b/>
              </w:rPr>
            </w:pPr>
            <w:r>
              <w:rPr>
                <w:b/>
              </w:rPr>
              <w:t>Ireland</w:t>
            </w:r>
          </w:p>
          <w:p w14:paraId="294E020F" w14:textId="77777777" w:rsidR="00C04CAD" w:rsidRDefault="00060E34">
            <w:pPr>
              <w:spacing w:line="240" w:lineRule="auto"/>
            </w:pPr>
            <w:r>
              <w:rPr>
                <w:rFonts w:eastAsia="Arial Unicode MS"/>
                <w:bCs/>
                <w:szCs w:val="22"/>
                <w:lang w:eastAsia="en-US" w:bidi="ar-SA"/>
              </w:rPr>
              <w:t>Amgen</w:t>
            </w:r>
            <w:r>
              <w:t xml:space="preserve"> Ireland Limited</w:t>
            </w:r>
          </w:p>
          <w:p w14:paraId="30B1B76B" w14:textId="77777777" w:rsidR="00C04CAD" w:rsidRDefault="00060E34">
            <w:pPr>
              <w:spacing w:line="240" w:lineRule="auto"/>
              <w:rPr>
                <w:rFonts w:eastAsia="Arial Unicode MS"/>
                <w:bCs/>
                <w:sz w:val="24"/>
                <w:szCs w:val="22"/>
                <w:lang w:eastAsia="en-US" w:bidi="ar-SA"/>
              </w:rPr>
            </w:pPr>
            <w:r>
              <w:t xml:space="preserve">Tel: </w:t>
            </w:r>
            <w:r>
              <w:rPr>
                <w:rFonts w:eastAsia="Arial Unicode MS"/>
                <w:bCs/>
                <w:szCs w:val="22"/>
              </w:rPr>
              <w:t>+353 1 8527400</w:t>
            </w:r>
          </w:p>
          <w:p w14:paraId="2CD63FAA" w14:textId="77777777" w:rsidR="00C04CAD" w:rsidRDefault="00C04CAD">
            <w:pPr>
              <w:spacing w:line="240" w:lineRule="auto"/>
            </w:pPr>
          </w:p>
        </w:tc>
        <w:tc>
          <w:tcPr>
            <w:tcW w:w="4679" w:type="dxa"/>
          </w:tcPr>
          <w:p w14:paraId="325534A6" w14:textId="77777777" w:rsidR="00C04CAD" w:rsidRDefault="00060E34">
            <w:pPr>
              <w:spacing w:line="240" w:lineRule="auto"/>
              <w:rPr>
                <w:rFonts w:eastAsia="MS Mincho"/>
                <w:b/>
                <w:sz w:val="24"/>
                <w:szCs w:val="24"/>
                <w:lang w:eastAsia="en-US" w:bidi="ar-SA"/>
              </w:rPr>
            </w:pPr>
            <w:r>
              <w:rPr>
                <w:b/>
              </w:rPr>
              <w:t>Slovenija</w:t>
            </w:r>
          </w:p>
          <w:p w14:paraId="09D1A09F" w14:textId="77777777" w:rsidR="00C04CAD" w:rsidRDefault="00060E34">
            <w:pPr>
              <w:spacing w:line="240" w:lineRule="auto"/>
            </w:pPr>
            <w:r>
              <w:rPr>
                <w:rFonts w:eastAsia="PMingLiU"/>
                <w:szCs w:val="22"/>
                <w:lang w:eastAsia="en-US" w:bidi="ar-SA"/>
              </w:rPr>
              <w:t>AMGEN zdravila</w:t>
            </w:r>
            <w:r>
              <w:t xml:space="preserve"> d.o.o.</w:t>
            </w:r>
          </w:p>
          <w:p w14:paraId="4A0B9ED8" w14:textId="77777777" w:rsidR="00C04CAD" w:rsidRDefault="00060E34">
            <w:pPr>
              <w:spacing w:line="240" w:lineRule="auto"/>
              <w:rPr>
                <w:rFonts w:eastAsia="PMingLiU"/>
                <w:bCs/>
                <w:sz w:val="24"/>
                <w:szCs w:val="22"/>
                <w:lang w:eastAsia="en-US" w:bidi="ar-SA"/>
              </w:rPr>
            </w:pPr>
            <w:r>
              <w:t>Tel: +386 (</w:t>
            </w:r>
            <w:r>
              <w:rPr>
                <w:rFonts w:eastAsia="PMingLiU"/>
                <w:bCs/>
                <w:szCs w:val="22"/>
              </w:rPr>
              <w:t>0)</w:t>
            </w:r>
            <w:r>
              <w:t>1</w:t>
            </w:r>
            <w:r>
              <w:rPr>
                <w:rFonts w:eastAsia="PMingLiU"/>
                <w:bCs/>
                <w:szCs w:val="22"/>
                <w:lang w:eastAsia="en-US" w:bidi="ar-SA"/>
              </w:rPr>
              <w:t xml:space="preserve"> 585 1767</w:t>
            </w:r>
          </w:p>
          <w:p w14:paraId="3AD9AF51" w14:textId="77777777" w:rsidR="00C04CAD" w:rsidRDefault="00C04CAD">
            <w:pPr>
              <w:tabs>
                <w:tab w:val="clear" w:pos="567"/>
              </w:tabs>
              <w:autoSpaceDE w:val="0"/>
              <w:autoSpaceDN w:val="0"/>
              <w:adjustRightInd w:val="0"/>
              <w:spacing w:line="240" w:lineRule="auto"/>
              <w:rPr>
                <w:sz w:val="24"/>
              </w:rPr>
            </w:pPr>
          </w:p>
        </w:tc>
      </w:tr>
      <w:tr w:rsidR="00C04CAD" w14:paraId="523AFA00" w14:textId="77777777">
        <w:trPr>
          <w:cantSplit/>
        </w:trPr>
        <w:tc>
          <w:tcPr>
            <w:tcW w:w="4677" w:type="dxa"/>
          </w:tcPr>
          <w:p w14:paraId="24F31115" w14:textId="77777777" w:rsidR="00C04CAD" w:rsidRDefault="00060E34">
            <w:pPr>
              <w:spacing w:line="240" w:lineRule="auto"/>
              <w:rPr>
                <w:b/>
              </w:rPr>
            </w:pPr>
            <w:r>
              <w:rPr>
                <w:b/>
              </w:rPr>
              <w:t>Ísland</w:t>
            </w:r>
          </w:p>
          <w:p w14:paraId="1BE3292C" w14:textId="77777777" w:rsidR="00C04CAD" w:rsidRDefault="00060E34">
            <w:pPr>
              <w:spacing w:line="240" w:lineRule="auto"/>
              <w:rPr>
                <w:rFonts w:eastAsia="MS Mincho"/>
                <w:sz w:val="24"/>
                <w:szCs w:val="24"/>
                <w:lang w:eastAsia="en-US" w:bidi="ar-SA"/>
              </w:rPr>
            </w:pPr>
            <w:r>
              <w:t>Vistor</w:t>
            </w:r>
            <w:del w:id="191" w:author="Author">
              <w:r>
                <w:delText xml:space="preserve"> hf.</w:delText>
              </w:r>
            </w:del>
          </w:p>
          <w:p w14:paraId="74AF4EF4" w14:textId="77777777" w:rsidR="00C04CAD" w:rsidRDefault="00060E34">
            <w:pPr>
              <w:spacing w:line="240" w:lineRule="auto"/>
              <w:rPr>
                <w:rFonts w:eastAsia="PMingLiU"/>
                <w:szCs w:val="22"/>
                <w:lang w:eastAsia="en-US" w:bidi="ar-SA"/>
              </w:rPr>
            </w:pPr>
            <w:r>
              <w:rPr>
                <w:rFonts w:eastAsia="PMingLiU"/>
                <w:szCs w:val="22"/>
                <w:lang w:eastAsia="en-US" w:bidi="ar-SA"/>
              </w:rPr>
              <w:t>Sími</w:t>
            </w:r>
            <w:r>
              <w:t>: +354 535 7000</w:t>
            </w:r>
          </w:p>
          <w:p w14:paraId="0474DBE8" w14:textId="77777777" w:rsidR="00C04CAD" w:rsidRDefault="00C04CAD">
            <w:pPr>
              <w:tabs>
                <w:tab w:val="clear" w:pos="567"/>
              </w:tabs>
              <w:autoSpaceDE w:val="0"/>
              <w:autoSpaceDN w:val="0"/>
              <w:adjustRightInd w:val="0"/>
              <w:spacing w:line="240" w:lineRule="auto"/>
              <w:rPr>
                <w:sz w:val="24"/>
              </w:rPr>
            </w:pPr>
          </w:p>
        </w:tc>
        <w:tc>
          <w:tcPr>
            <w:tcW w:w="4679" w:type="dxa"/>
          </w:tcPr>
          <w:p w14:paraId="1225111A" w14:textId="77777777" w:rsidR="00C04CAD" w:rsidRDefault="00060E34">
            <w:pPr>
              <w:spacing w:line="240" w:lineRule="auto"/>
              <w:rPr>
                <w:rFonts w:eastAsia="MS Mincho"/>
                <w:b/>
                <w:sz w:val="24"/>
                <w:szCs w:val="24"/>
                <w:lang w:eastAsia="en-US" w:bidi="ar-SA"/>
              </w:rPr>
            </w:pPr>
            <w:r>
              <w:rPr>
                <w:b/>
              </w:rPr>
              <w:t>Slovenská republika</w:t>
            </w:r>
          </w:p>
          <w:p w14:paraId="330DC04D" w14:textId="77777777" w:rsidR="00C04CAD" w:rsidRDefault="00060E34">
            <w:pPr>
              <w:spacing w:line="240" w:lineRule="auto"/>
            </w:pPr>
            <w:r>
              <w:rPr>
                <w:rFonts w:eastAsia="PMingLiU"/>
                <w:bCs/>
                <w:szCs w:val="22"/>
                <w:lang w:eastAsia="en-US" w:bidi="ar-SA"/>
              </w:rPr>
              <w:t>Amgen Slovakia</w:t>
            </w:r>
            <w:r>
              <w:t xml:space="preserve"> s.r.o.</w:t>
            </w:r>
          </w:p>
          <w:p w14:paraId="31972A1B" w14:textId="77777777" w:rsidR="00C04CAD" w:rsidRDefault="00060E34">
            <w:pPr>
              <w:spacing w:line="240" w:lineRule="auto"/>
              <w:rPr>
                <w:rFonts w:eastAsia="PMingLiU"/>
                <w:bCs/>
                <w:sz w:val="24"/>
                <w:szCs w:val="22"/>
                <w:lang w:eastAsia="en-US" w:bidi="ar-SA"/>
              </w:rPr>
            </w:pPr>
            <w:r>
              <w:t xml:space="preserve">Tel: </w:t>
            </w:r>
            <w:r>
              <w:rPr>
                <w:lang w:eastAsia="ja-JP"/>
              </w:rPr>
              <w:t>+421 2 321 114 49</w:t>
            </w:r>
          </w:p>
          <w:p w14:paraId="0F372960" w14:textId="77777777" w:rsidR="00C04CAD" w:rsidRDefault="00C04CAD">
            <w:pPr>
              <w:tabs>
                <w:tab w:val="clear" w:pos="567"/>
              </w:tabs>
              <w:autoSpaceDE w:val="0"/>
              <w:autoSpaceDN w:val="0"/>
              <w:adjustRightInd w:val="0"/>
              <w:spacing w:line="240" w:lineRule="auto"/>
              <w:rPr>
                <w:sz w:val="24"/>
              </w:rPr>
            </w:pPr>
          </w:p>
        </w:tc>
      </w:tr>
      <w:tr w:rsidR="00C04CAD" w14:paraId="3FDEA4E0" w14:textId="77777777">
        <w:trPr>
          <w:cantSplit/>
        </w:trPr>
        <w:tc>
          <w:tcPr>
            <w:tcW w:w="4677" w:type="dxa"/>
          </w:tcPr>
          <w:p w14:paraId="3B95BFB2" w14:textId="77777777" w:rsidR="00C04CAD" w:rsidRDefault="00060E34">
            <w:pPr>
              <w:spacing w:line="240" w:lineRule="auto"/>
            </w:pPr>
            <w:r>
              <w:rPr>
                <w:b/>
              </w:rPr>
              <w:t>Italia</w:t>
            </w:r>
          </w:p>
          <w:p w14:paraId="7AE7E681" w14:textId="77777777" w:rsidR="00C04CAD" w:rsidRDefault="00060E34">
            <w:pPr>
              <w:spacing w:line="240" w:lineRule="auto"/>
            </w:pPr>
            <w:r>
              <w:rPr>
                <w:rFonts w:eastAsia="PMingLiU"/>
                <w:szCs w:val="22"/>
                <w:lang w:eastAsia="en-US" w:bidi="ar-SA"/>
              </w:rPr>
              <w:t>Amgen</w:t>
            </w:r>
            <w:r>
              <w:t xml:space="preserve"> S.r.l.</w:t>
            </w:r>
          </w:p>
          <w:p w14:paraId="2D82D0B6" w14:textId="77777777" w:rsidR="00C04CAD" w:rsidRDefault="00060E34">
            <w:pPr>
              <w:spacing w:line="240" w:lineRule="auto"/>
              <w:rPr>
                <w:rFonts w:eastAsia="PMingLiU"/>
                <w:sz w:val="24"/>
                <w:szCs w:val="22"/>
                <w:lang w:eastAsia="en-US" w:bidi="ar-SA"/>
              </w:rPr>
            </w:pPr>
            <w:r>
              <w:t xml:space="preserve">Tel: +39 </w:t>
            </w:r>
            <w:r>
              <w:rPr>
                <w:rFonts w:eastAsia="PMingLiU"/>
                <w:szCs w:val="22"/>
              </w:rPr>
              <w:t>02 6241121</w:t>
            </w:r>
          </w:p>
          <w:p w14:paraId="0E8D94B0" w14:textId="77777777" w:rsidR="00C04CAD" w:rsidRDefault="00C04CAD">
            <w:pPr>
              <w:tabs>
                <w:tab w:val="clear" w:pos="567"/>
              </w:tabs>
              <w:autoSpaceDE w:val="0"/>
              <w:autoSpaceDN w:val="0"/>
              <w:adjustRightInd w:val="0"/>
              <w:spacing w:line="240" w:lineRule="auto"/>
              <w:rPr>
                <w:sz w:val="24"/>
              </w:rPr>
            </w:pPr>
          </w:p>
        </w:tc>
        <w:tc>
          <w:tcPr>
            <w:tcW w:w="4679" w:type="dxa"/>
          </w:tcPr>
          <w:p w14:paraId="688DCAC0" w14:textId="77777777" w:rsidR="00C04CAD" w:rsidRDefault="00060E34">
            <w:pPr>
              <w:spacing w:line="240" w:lineRule="auto"/>
              <w:rPr>
                <w:rFonts w:eastAsia="MS Mincho"/>
                <w:sz w:val="24"/>
                <w:szCs w:val="24"/>
                <w:lang w:eastAsia="en-US" w:bidi="ar-SA"/>
              </w:rPr>
            </w:pPr>
            <w:r>
              <w:rPr>
                <w:b/>
              </w:rPr>
              <w:t>Suomi/Finland</w:t>
            </w:r>
          </w:p>
          <w:p w14:paraId="22A8050A" w14:textId="77777777" w:rsidR="00C04CAD" w:rsidRDefault="00060E34">
            <w:pPr>
              <w:pStyle w:val="lbltxt"/>
              <w:rPr>
                <w:szCs w:val="22"/>
                <w:lang w:val="ro-RO"/>
              </w:rPr>
            </w:pPr>
            <w:r>
              <w:rPr>
                <w:szCs w:val="22"/>
                <w:lang w:val="ro-RO"/>
              </w:rPr>
              <w:t>Amgen AB, sivuliike Suomessa/Amgen AB, filial i Finland</w:t>
            </w:r>
          </w:p>
          <w:p w14:paraId="22D60995" w14:textId="77777777" w:rsidR="00C04CAD" w:rsidRDefault="00060E34">
            <w:pPr>
              <w:spacing w:line="240" w:lineRule="auto"/>
              <w:rPr>
                <w:rFonts w:eastAsia="PMingLiU"/>
                <w:szCs w:val="22"/>
                <w:lang w:eastAsia="en-US" w:bidi="ar-SA"/>
              </w:rPr>
            </w:pPr>
            <w:r>
              <w:rPr>
                <w:rFonts w:eastAsia="PMingLiU"/>
                <w:szCs w:val="22"/>
                <w:lang w:val="nl-NL" w:eastAsia="en-US" w:bidi="ar-SA"/>
              </w:rPr>
              <w:t>Puh/Tel: +358 (0)9 54900500</w:t>
            </w:r>
          </w:p>
          <w:p w14:paraId="083A4E68" w14:textId="77777777" w:rsidR="00C04CAD" w:rsidRDefault="00C04CAD">
            <w:pPr>
              <w:spacing w:line="240" w:lineRule="auto"/>
              <w:rPr>
                <w:sz w:val="24"/>
              </w:rPr>
            </w:pPr>
          </w:p>
        </w:tc>
      </w:tr>
      <w:tr w:rsidR="00C04CAD" w14:paraId="2854ADD0" w14:textId="77777777">
        <w:trPr>
          <w:cantSplit/>
        </w:trPr>
        <w:tc>
          <w:tcPr>
            <w:tcW w:w="4677" w:type="dxa"/>
          </w:tcPr>
          <w:p w14:paraId="5B680EF3" w14:textId="77777777" w:rsidR="00C04CAD" w:rsidRDefault="00060E34">
            <w:pPr>
              <w:spacing w:line="240" w:lineRule="auto"/>
              <w:rPr>
                <w:rFonts w:eastAsia="PMingLiU"/>
                <w:b/>
                <w:szCs w:val="22"/>
                <w:lang w:eastAsia="en-US" w:bidi="ar-SA"/>
              </w:rPr>
            </w:pPr>
            <w:r>
              <w:rPr>
                <w:rFonts w:eastAsia="PMingLiU"/>
                <w:b/>
                <w:szCs w:val="22"/>
                <w:lang w:eastAsia="en-US" w:bidi="ar-SA"/>
              </w:rPr>
              <w:t>Kύπρος</w:t>
            </w:r>
          </w:p>
          <w:p w14:paraId="4212577E" w14:textId="77777777" w:rsidR="00C04CAD" w:rsidRDefault="00060E34">
            <w:pPr>
              <w:tabs>
                <w:tab w:val="clear" w:pos="567"/>
              </w:tabs>
              <w:autoSpaceDE w:val="0"/>
              <w:autoSpaceDN w:val="0"/>
              <w:adjustRightInd w:val="0"/>
              <w:spacing w:line="240" w:lineRule="auto"/>
              <w:rPr>
                <w:szCs w:val="22"/>
              </w:rPr>
            </w:pPr>
            <w:r>
              <w:rPr>
                <w:szCs w:val="22"/>
                <w:lang w:eastAsia="en-US" w:bidi="ar-SA"/>
              </w:rPr>
              <w:t>C</w:t>
            </w:r>
            <w:r>
              <w:rPr>
                <w:szCs w:val="22"/>
              </w:rPr>
              <w:t>.A. Papaellinas Ltd</w:t>
            </w:r>
          </w:p>
          <w:p w14:paraId="54B36719" w14:textId="77777777" w:rsidR="00C04CAD" w:rsidRDefault="00060E34">
            <w:pPr>
              <w:spacing w:line="240" w:lineRule="auto"/>
              <w:rPr>
                <w:rFonts w:eastAsia="PMingLiU"/>
                <w:szCs w:val="22"/>
                <w:lang w:eastAsia="en-US" w:bidi="ar-SA"/>
              </w:rPr>
            </w:pPr>
            <w:r>
              <w:rPr>
                <w:szCs w:val="22"/>
              </w:rPr>
              <w:t xml:space="preserve">Τηλ: +357 </w:t>
            </w:r>
            <w:r>
              <w:rPr>
                <w:rFonts w:eastAsia="PMingLiU"/>
                <w:szCs w:val="22"/>
              </w:rPr>
              <w:t>22741 741</w:t>
            </w:r>
          </w:p>
          <w:p w14:paraId="0186FA42" w14:textId="77777777" w:rsidR="00C04CAD" w:rsidRDefault="00C04CAD">
            <w:pPr>
              <w:tabs>
                <w:tab w:val="clear" w:pos="567"/>
              </w:tabs>
              <w:autoSpaceDE w:val="0"/>
              <w:autoSpaceDN w:val="0"/>
              <w:adjustRightInd w:val="0"/>
              <w:spacing w:line="240" w:lineRule="auto"/>
              <w:rPr>
                <w:szCs w:val="22"/>
              </w:rPr>
            </w:pPr>
          </w:p>
        </w:tc>
        <w:tc>
          <w:tcPr>
            <w:tcW w:w="4679" w:type="dxa"/>
          </w:tcPr>
          <w:p w14:paraId="323B7717" w14:textId="77777777" w:rsidR="00C04CAD" w:rsidRDefault="00060E34">
            <w:pPr>
              <w:spacing w:line="240" w:lineRule="auto"/>
              <w:rPr>
                <w:rFonts w:eastAsia="MS Mincho"/>
                <w:szCs w:val="22"/>
                <w:lang w:eastAsia="en-US" w:bidi="ar-SA"/>
              </w:rPr>
            </w:pPr>
            <w:r>
              <w:rPr>
                <w:b/>
                <w:szCs w:val="22"/>
              </w:rPr>
              <w:t>Sverige</w:t>
            </w:r>
          </w:p>
          <w:p w14:paraId="2E548147" w14:textId="77777777" w:rsidR="00C04CAD" w:rsidRDefault="00060E34">
            <w:pPr>
              <w:spacing w:line="240" w:lineRule="auto"/>
              <w:rPr>
                <w:szCs w:val="22"/>
              </w:rPr>
            </w:pPr>
            <w:r>
              <w:rPr>
                <w:rFonts w:eastAsia="PMingLiU"/>
                <w:szCs w:val="22"/>
                <w:lang w:eastAsia="en-US" w:bidi="ar-SA"/>
              </w:rPr>
              <w:t>Amgen</w:t>
            </w:r>
            <w:r>
              <w:rPr>
                <w:szCs w:val="22"/>
              </w:rPr>
              <w:t xml:space="preserve"> AB</w:t>
            </w:r>
            <w:r>
              <w:rPr>
                <w:rFonts w:eastAsia="PMingLiU"/>
                <w:szCs w:val="22"/>
              </w:rPr>
              <w:t xml:space="preserve"> </w:t>
            </w:r>
          </w:p>
          <w:p w14:paraId="7AF0508D" w14:textId="77777777" w:rsidR="00C04CAD" w:rsidRDefault="00060E34">
            <w:pPr>
              <w:spacing w:line="240" w:lineRule="auto"/>
              <w:rPr>
                <w:rFonts w:eastAsia="PMingLiU"/>
                <w:szCs w:val="22"/>
                <w:lang w:eastAsia="en-US" w:bidi="ar-SA"/>
              </w:rPr>
            </w:pPr>
            <w:r>
              <w:rPr>
                <w:szCs w:val="22"/>
              </w:rPr>
              <w:t xml:space="preserve">Tel: +46 (0)8 </w:t>
            </w:r>
            <w:r>
              <w:rPr>
                <w:rFonts w:eastAsia="PMingLiU"/>
                <w:szCs w:val="22"/>
              </w:rPr>
              <w:t>6951100</w:t>
            </w:r>
          </w:p>
          <w:p w14:paraId="704F2BEA" w14:textId="77777777" w:rsidR="00C04CAD" w:rsidRDefault="00C04CAD">
            <w:pPr>
              <w:tabs>
                <w:tab w:val="clear" w:pos="567"/>
              </w:tabs>
              <w:autoSpaceDE w:val="0"/>
              <w:autoSpaceDN w:val="0"/>
              <w:adjustRightInd w:val="0"/>
              <w:spacing w:line="240" w:lineRule="auto"/>
              <w:rPr>
                <w:szCs w:val="22"/>
              </w:rPr>
            </w:pPr>
          </w:p>
        </w:tc>
      </w:tr>
      <w:tr w:rsidR="00C04CAD" w14:paraId="65205B7B" w14:textId="77777777">
        <w:trPr>
          <w:cantSplit/>
        </w:trPr>
        <w:tc>
          <w:tcPr>
            <w:tcW w:w="4677" w:type="dxa"/>
          </w:tcPr>
          <w:p w14:paraId="539CDD80" w14:textId="77777777" w:rsidR="00C04CAD" w:rsidRDefault="00060E34">
            <w:pPr>
              <w:spacing w:line="240" w:lineRule="auto"/>
              <w:rPr>
                <w:b/>
              </w:rPr>
            </w:pPr>
            <w:r>
              <w:rPr>
                <w:b/>
              </w:rPr>
              <w:t>Latvija</w:t>
            </w:r>
          </w:p>
          <w:p w14:paraId="43EA68A4" w14:textId="77777777" w:rsidR="00C04CAD" w:rsidRDefault="00060E34">
            <w:pPr>
              <w:spacing w:line="240" w:lineRule="auto"/>
              <w:rPr>
                <w:rFonts w:eastAsia="PMingLiU"/>
                <w:szCs w:val="22"/>
                <w:lang w:eastAsia="en-US" w:bidi="ar-SA"/>
              </w:rPr>
            </w:pPr>
            <w:r>
              <w:rPr>
                <w:rFonts w:eastAsia="PMingLiU"/>
                <w:szCs w:val="22"/>
                <w:lang w:eastAsia="en-US" w:bidi="ar-SA"/>
              </w:rPr>
              <w:t>Amgen Switzerland AG Rīgas filiāle</w:t>
            </w:r>
          </w:p>
          <w:p w14:paraId="12BD400F" w14:textId="77777777" w:rsidR="00C04CAD" w:rsidRDefault="00060E34">
            <w:pPr>
              <w:spacing w:line="240" w:lineRule="auto"/>
              <w:rPr>
                <w:rFonts w:eastAsia="PMingLiU"/>
                <w:sz w:val="24"/>
                <w:szCs w:val="22"/>
                <w:lang w:eastAsia="en-US" w:bidi="ar-SA"/>
              </w:rPr>
            </w:pPr>
            <w:r>
              <w:t xml:space="preserve">Tel: +371 </w:t>
            </w:r>
            <w:r>
              <w:rPr>
                <w:rFonts w:eastAsia="PMingLiU"/>
                <w:szCs w:val="22"/>
              </w:rPr>
              <w:t>257 25888</w:t>
            </w:r>
          </w:p>
          <w:p w14:paraId="014F492F" w14:textId="77777777" w:rsidR="00C04CAD" w:rsidRDefault="00C04CAD">
            <w:pPr>
              <w:tabs>
                <w:tab w:val="clear" w:pos="567"/>
              </w:tabs>
              <w:autoSpaceDE w:val="0"/>
              <w:autoSpaceDN w:val="0"/>
              <w:adjustRightInd w:val="0"/>
              <w:spacing w:line="240" w:lineRule="auto"/>
              <w:rPr>
                <w:sz w:val="24"/>
              </w:rPr>
            </w:pPr>
          </w:p>
        </w:tc>
        <w:tc>
          <w:tcPr>
            <w:tcW w:w="4679" w:type="dxa"/>
          </w:tcPr>
          <w:p w14:paraId="59B7395C" w14:textId="77777777" w:rsidR="00C04CAD" w:rsidRDefault="00C04CAD">
            <w:pPr>
              <w:spacing w:line="240" w:lineRule="auto"/>
              <w:rPr>
                <w:sz w:val="24"/>
              </w:rPr>
            </w:pPr>
          </w:p>
        </w:tc>
      </w:tr>
    </w:tbl>
    <w:p w14:paraId="256279EB" w14:textId="77777777" w:rsidR="00C04CAD" w:rsidRDefault="00C04CAD">
      <w:pPr>
        <w:tabs>
          <w:tab w:val="clear" w:pos="567"/>
        </w:tabs>
        <w:kinsoku w:val="0"/>
        <w:overflowPunct w:val="0"/>
        <w:autoSpaceDE w:val="0"/>
        <w:autoSpaceDN w:val="0"/>
        <w:adjustRightInd w:val="0"/>
        <w:spacing w:line="240" w:lineRule="auto"/>
        <w:outlineLvl w:val="0"/>
        <w:rPr>
          <w:b/>
        </w:rPr>
      </w:pPr>
    </w:p>
    <w:p w14:paraId="4DEBE5FE" w14:textId="77777777" w:rsidR="00C04CAD" w:rsidRDefault="00060E34">
      <w:pPr>
        <w:keepNext/>
        <w:tabs>
          <w:tab w:val="clear" w:pos="567"/>
        </w:tabs>
        <w:kinsoku w:val="0"/>
        <w:overflowPunct w:val="0"/>
        <w:autoSpaceDE w:val="0"/>
        <w:autoSpaceDN w:val="0"/>
        <w:adjustRightInd w:val="0"/>
        <w:spacing w:line="240" w:lineRule="auto"/>
        <w:outlineLvl w:val="0"/>
        <w:rPr>
          <w:b/>
          <w:bCs/>
        </w:rPr>
      </w:pPr>
      <w:r>
        <w:rPr>
          <w:b/>
        </w:rPr>
        <w:t>Acest prospect a fost revizuit în</w:t>
      </w:r>
    </w:p>
    <w:p w14:paraId="6DE30EE6" w14:textId="77777777" w:rsidR="00C04CAD" w:rsidRDefault="00C04CAD">
      <w:pPr>
        <w:keepNext/>
        <w:tabs>
          <w:tab w:val="clear" w:pos="567"/>
        </w:tabs>
        <w:autoSpaceDE w:val="0"/>
        <w:autoSpaceDN w:val="0"/>
        <w:adjustRightInd w:val="0"/>
        <w:spacing w:line="240" w:lineRule="auto"/>
        <w:rPr>
          <w:b/>
          <w:szCs w:val="22"/>
        </w:rPr>
      </w:pPr>
    </w:p>
    <w:p w14:paraId="3ABF6E4A" w14:textId="77777777" w:rsidR="00C04CAD" w:rsidRDefault="00060E34">
      <w:pPr>
        <w:keepNext/>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Alte surse de informații</w:t>
      </w:r>
    </w:p>
    <w:p w14:paraId="5CF6D38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41E39FE" w14:textId="77777777" w:rsidR="00C04CAD" w:rsidRDefault="00060E34">
      <w:pPr>
        <w:tabs>
          <w:tab w:val="clear" w:pos="567"/>
        </w:tabs>
        <w:kinsoku w:val="0"/>
        <w:overflowPunct w:val="0"/>
        <w:autoSpaceDE w:val="0"/>
        <w:autoSpaceDN w:val="0"/>
        <w:adjustRightInd w:val="0"/>
        <w:spacing w:line="240" w:lineRule="auto"/>
        <w:rPr>
          <w:szCs w:val="22"/>
          <w:lang w:bidi="ar-SA"/>
        </w:rPr>
      </w:pPr>
      <w:r>
        <w:t xml:space="preserve">Informaţii detaliate privind acest medicament sunt disponibile pe web-site-ul Agenţiei Europene a Medicamentului: </w:t>
      </w:r>
      <w:hyperlink r:id="rId79" w:history="1">
        <w:r w:rsidR="00C04CAD">
          <w:rPr>
            <w:color w:val="0000FF"/>
            <w:szCs w:val="22"/>
            <w:u w:val="single"/>
            <w:lang w:bidi="ar-SA"/>
          </w:rPr>
          <w:t>http://www.ema.europa.eu</w:t>
        </w:r>
      </w:hyperlink>
      <w:r>
        <w:rPr>
          <w:szCs w:val="22"/>
          <w:lang w:bidi="ar-SA"/>
        </w:rPr>
        <w:t>.</w:t>
      </w:r>
    </w:p>
    <w:p w14:paraId="16A3651F" w14:textId="77777777" w:rsidR="00C04CAD" w:rsidRDefault="00060E34">
      <w:pPr>
        <w:tabs>
          <w:tab w:val="clear" w:pos="567"/>
        </w:tabs>
        <w:kinsoku w:val="0"/>
        <w:overflowPunct w:val="0"/>
        <w:autoSpaceDE w:val="0"/>
        <w:autoSpaceDN w:val="0"/>
        <w:adjustRightInd w:val="0"/>
        <w:spacing w:line="240" w:lineRule="auto"/>
        <w:rPr>
          <w:szCs w:val="22"/>
          <w:u w:val="single"/>
          <w:lang w:bidi="ar-SA"/>
        </w:rPr>
      </w:pPr>
      <w:r>
        <w:rPr>
          <w:szCs w:val="22"/>
          <w:lang w:bidi="ar-SA"/>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C04CAD" w14:paraId="4783BC45" w14:textId="77777777">
        <w:trPr>
          <w:cantSplit/>
          <w:trHeight w:val="57"/>
        </w:trPr>
        <w:tc>
          <w:tcPr>
            <w:tcW w:w="5000" w:type="pct"/>
            <w:gridSpan w:val="3"/>
            <w:tcBorders>
              <w:bottom w:val="single" w:sz="4" w:space="0" w:color="auto"/>
            </w:tcBorders>
          </w:tcPr>
          <w:p w14:paraId="156B114F" w14:textId="77777777" w:rsidR="00C04CAD" w:rsidRDefault="00060E34">
            <w:pPr>
              <w:keepNext/>
              <w:keepLines/>
              <w:spacing w:line="240" w:lineRule="auto"/>
              <w:jc w:val="center"/>
              <w:rPr>
                <w:b/>
                <w:bCs/>
              </w:rPr>
            </w:pPr>
            <w:r>
              <w:rPr>
                <w:b/>
              </w:rPr>
              <w:t>INSTRUCȚIUNI DE UTILIZARE</w:t>
            </w:r>
            <w:r>
              <w:rPr>
                <w:b/>
                <w:bCs/>
              </w:rPr>
              <w:t xml:space="preserve"> 40 mg/0,4 ml</w:t>
            </w:r>
          </w:p>
        </w:tc>
      </w:tr>
      <w:tr w:rsidR="00C04CAD" w14:paraId="10C2B8C6" w14:textId="77777777">
        <w:trPr>
          <w:cantSplit/>
          <w:trHeight w:val="57"/>
        </w:trPr>
        <w:tc>
          <w:tcPr>
            <w:tcW w:w="5000" w:type="pct"/>
            <w:gridSpan w:val="3"/>
            <w:tcBorders>
              <w:top w:val="single" w:sz="4" w:space="0" w:color="auto"/>
              <w:left w:val="nil"/>
              <w:bottom w:val="single" w:sz="4" w:space="0" w:color="auto"/>
              <w:right w:val="nil"/>
            </w:tcBorders>
          </w:tcPr>
          <w:p w14:paraId="23DA823A" w14:textId="77777777" w:rsidR="00C04CAD" w:rsidRDefault="00C04CAD">
            <w:pPr>
              <w:keepNext/>
              <w:keepLines/>
              <w:spacing w:line="240" w:lineRule="auto"/>
              <w:jc w:val="center"/>
              <w:rPr>
                <w:bCs/>
              </w:rPr>
            </w:pPr>
          </w:p>
        </w:tc>
      </w:tr>
      <w:tr w:rsidR="00C04CAD" w14:paraId="78692A86" w14:textId="77777777">
        <w:trPr>
          <w:cantSplit/>
          <w:trHeight w:val="57"/>
        </w:trPr>
        <w:tc>
          <w:tcPr>
            <w:tcW w:w="5000" w:type="pct"/>
            <w:gridSpan w:val="3"/>
            <w:tcBorders>
              <w:top w:val="single" w:sz="4" w:space="0" w:color="auto"/>
            </w:tcBorders>
          </w:tcPr>
          <w:p w14:paraId="19374545" w14:textId="77777777" w:rsidR="00C04CAD" w:rsidRDefault="00060E34">
            <w:pPr>
              <w:keepNext/>
              <w:keepLines/>
              <w:spacing w:line="240" w:lineRule="auto"/>
              <w:rPr>
                <w:b/>
              </w:rPr>
            </w:pPr>
            <w:r>
              <w:rPr>
                <w:b/>
              </w:rPr>
              <w:t>Descrierea pen-ului</w:t>
            </w:r>
            <w:r>
              <w:rPr>
                <w:b/>
                <w:bCs/>
              </w:rPr>
              <w:t xml:space="preserve"> preumplut </w:t>
            </w:r>
            <w:r>
              <w:rPr>
                <w:rFonts w:eastAsia="Calibri"/>
                <w:b/>
                <w:szCs w:val="22"/>
              </w:rPr>
              <w:t>SureClick</w:t>
            </w:r>
          </w:p>
        </w:tc>
      </w:tr>
      <w:tr w:rsidR="00C04CAD" w14:paraId="7A8BBDFB"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C04CAD" w14:paraId="6468864B" w14:textId="77777777">
              <w:trPr>
                <w:trHeight w:val="459"/>
              </w:trPr>
              <w:tc>
                <w:tcPr>
                  <w:tcW w:w="1763" w:type="dxa"/>
                </w:tcPr>
                <w:p w14:paraId="75915B4D" w14:textId="77777777" w:rsidR="00C04CAD" w:rsidRDefault="00C04CAD">
                  <w:pPr>
                    <w:framePr w:hSpace="141" w:wrap="around" w:vAnchor="text" w:hAnchor="text" w:x="108" w:y="1"/>
                    <w:spacing w:line="240" w:lineRule="auto"/>
                    <w:suppressOverlap/>
                    <w:jc w:val="center"/>
                    <w:rPr>
                      <w:sz w:val="2"/>
                      <w:szCs w:val="2"/>
                    </w:rPr>
                  </w:pPr>
                </w:p>
              </w:tc>
            </w:tr>
            <w:tr w:rsidR="00C04CAD" w14:paraId="0150ADA2" w14:textId="77777777">
              <w:trPr>
                <w:trHeight w:val="990"/>
              </w:trPr>
              <w:tc>
                <w:tcPr>
                  <w:tcW w:w="1763" w:type="dxa"/>
                </w:tcPr>
                <w:p w14:paraId="18F4C5B0" w14:textId="77777777" w:rsidR="00C04CAD" w:rsidRDefault="00060E34">
                  <w:pPr>
                    <w:framePr w:hSpace="141" w:wrap="around" w:vAnchor="text" w:hAnchor="text" w:x="108" w:y="1"/>
                    <w:spacing w:line="240" w:lineRule="auto"/>
                    <w:suppressOverlap/>
                    <w:jc w:val="right"/>
                  </w:pPr>
                  <w:r>
                    <w:t>Data expirării</w:t>
                  </w:r>
                </w:p>
              </w:tc>
            </w:tr>
            <w:tr w:rsidR="00C04CAD" w14:paraId="2072C6A8" w14:textId="77777777">
              <w:trPr>
                <w:trHeight w:val="852"/>
              </w:trPr>
              <w:tc>
                <w:tcPr>
                  <w:tcW w:w="1763" w:type="dxa"/>
                </w:tcPr>
                <w:p w14:paraId="0F21D847" w14:textId="77777777" w:rsidR="00C04CAD" w:rsidRDefault="00C04CAD">
                  <w:pPr>
                    <w:framePr w:hSpace="141" w:wrap="around" w:vAnchor="text" w:hAnchor="text" w:x="108" w:y="1"/>
                    <w:spacing w:line="240" w:lineRule="auto"/>
                    <w:suppressOverlap/>
                    <w:jc w:val="right"/>
                  </w:pPr>
                </w:p>
              </w:tc>
            </w:tr>
            <w:tr w:rsidR="00C04CAD" w14:paraId="0891E5C7" w14:textId="77777777">
              <w:trPr>
                <w:trHeight w:val="860"/>
              </w:trPr>
              <w:tc>
                <w:tcPr>
                  <w:tcW w:w="1763" w:type="dxa"/>
                </w:tcPr>
                <w:p w14:paraId="6E3BD61C" w14:textId="77777777" w:rsidR="00C04CAD" w:rsidRDefault="00C04CAD">
                  <w:pPr>
                    <w:framePr w:hSpace="141" w:wrap="around" w:vAnchor="text" w:hAnchor="text" w:x="108" w:y="1"/>
                    <w:spacing w:line="240" w:lineRule="auto"/>
                    <w:suppressOverlap/>
                    <w:jc w:val="right"/>
                  </w:pPr>
                </w:p>
              </w:tc>
            </w:tr>
            <w:tr w:rsidR="00C04CAD" w14:paraId="129710A9" w14:textId="77777777">
              <w:trPr>
                <w:trHeight w:val="972"/>
              </w:trPr>
              <w:tc>
                <w:tcPr>
                  <w:tcW w:w="1763" w:type="dxa"/>
                </w:tcPr>
                <w:p w14:paraId="6028A6E2" w14:textId="77777777" w:rsidR="00C04CAD" w:rsidRDefault="00060E34">
                  <w:pPr>
                    <w:framePr w:hSpace="141" w:wrap="around" w:vAnchor="text" w:hAnchor="text" w:x="108" w:y="1"/>
                    <w:spacing w:line="240" w:lineRule="auto"/>
                    <w:suppressOverlap/>
                    <w:jc w:val="right"/>
                  </w:pPr>
                  <w:r>
                    <w:t>Fereastră</w:t>
                  </w:r>
                </w:p>
              </w:tc>
            </w:tr>
            <w:tr w:rsidR="00C04CAD" w14:paraId="39086E4E" w14:textId="77777777">
              <w:trPr>
                <w:trHeight w:val="1128"/>
              </w:trPr>
              <w:tc>
                <w:tcPr>
                  <w:tcW w:w="1763" w:type="dxa"/>
                </w:tcPr>
                <w:p w14:paraId="4866CDBB" w14:textId="77777777" w:rsidR="00C04CAD" w:rsidRDefault="00060E34">
                  <w:pPr>
                    <w:framePr w:hSpace="141" w:wrap="around" w:vAnchor="text" w:hAnchor="text" w:x="108" w:y="1"/>
                    <w:spacing w:line="240" w:lineRule="auto"/>
                    <w:suppressOverlap/>
                  </w:pPr>
                  <w:r>
                    <w:t>Element de protecție de culoare crem (acul este în interior)</w:t>
                  </w:r>
                </w:p>
                <w:p w14:paraId="2AEF4A77" w14:textId="77777777" w:rsidR="00C04CAD" w:rsidRDefault="00C04CAD">
                  <w:pPr>
                    <w:framePr w:hSpace="141" w:wrap="around" w:vAnchor="text" w:hAnchor="text" w:x="108" w:y="1"/>
                    <w:spacing w:line="240" w:lineRule="auto"/>
                    <w:suppressOverlap/>
                    <w:jc w:val="right"/>
                  </w:pPr>
                </w:p>
              </w:tc>
            </w:tr>
          </w:tbl>
          <w:p w14:paraId="137C6D39" w14:textId="77777777" w:rsidR="00C04CAD" w:rsidRDefault="00C04CAD">
            <w:pPr>
              <w:keepNext/>
              <w:spacing w:line="240" w:lineRule="auto"/>
              <w:jc w:val="right"/>
            </w:pPr>
          </w:p>
        </w:tc>
        <w:tc>
          <w:tcPr>
            <w:tcW w:w="1447" w:type="pct"/>
            <w:tcBorders>
              <w:top w:val="nil"/>
              <w:left w:val="nil"/>
              <w:bottom w:val="single" w:sz="4" w:space="0" w:color="auto"/>
              <w:right w:val="nil"/>
            </w:tcBorders>
          </w:tcPr>
          <w:p w14:paraId="2776D0BE" w14:textId="77777777" w:rsidR="00C04CAD" w:rsidRDefault="00060E34">
            <w:pPr>
              <w:spacing w:line="240" w:lineRule="auto"/>
              <w:jc w:val="center"/>
            </w:pPr>
            <w:r>
              <w:rPr>
                <w:noProof/>
              </w:rPr>
              <w:drawing>
                <wp:anchor distT="0" distB="0" distL="114300" distR="114300" simplePos="0" relativeHeight="251666432" behindDoc="0" locked="0" layoutInCell="1" allowOverlap="1" wp14:anchorId="1672D21B" wp14:editId="4DF324A2">
                  <wp:simplePos x="0" y="0"/>
                  <wp:positionH relativeFrom="column">
                    <wp:posOffset>207010</wp:posOffset>
                  </wp:positionH>
                  <wp:positionV relativeFrom="paragraph">
                    <wp:posOffset>82550</wp:posOffset>
                  </wp:positionV>
                  <wp:extent cx="1095375" cy="3200400"/>
                  <wp:effectExtent l="0" t="0" r="0" b="0"/>
                  <wp:wrapSquare wrapText="bothSides"/>
                  <wp:docPr id="159460742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07428" name="Picture 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095375" cy="3200400"/>
                          </a:xfrm>
                          <a:prstGeom prst="rect">
                            <a:avLst/>
                          </a:prstGeom>
                          <a:noFill/>
                        </pic:spPr>
                      </pic:pic>
                    </a:graphicData>
                  </a:graphic>
                </wp:anchor>
              </w:drawing>
            </w:r>
            <w: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C04CAD" w14:paraId="7A6AA12D" w14:textId="77777777">
              <w:trPr>
                <w:trHeight w:val="461"/>
              </w:trPr>
              <w:tc>
                <w:tcPr>
                  <w:tcW w:w="1852" w:type="dxa"/>
                </w:tcPr>
                <w:p w14:paraId="1432C2DF" w14:textId="77777777" w:rsidR="00C04CAD" w:rsidRDefault="00060E34">
                  <w:pPr>
                    <w:framePr w:hSpace="141" w:wrap="around" w:vAnchor="text" w:hAnchor="text" w:x="108" w:y="1"/>
                    <w:spacing w:line="240" w:lineRule="auto"/>
                    <w:suppressOverlap/>
                    <w:rPr>
                      <w:szCs w:val="22"/>
                    </w:rPr>
                  </w:pPr>
                  <w:r>
                    <w:rPr>
                      <w:szCs w:val="22"/>
                    </w:rPr>
                    <w:t>Buton de pornire albastru-deschis</w:t>
                  </w:r>
                </w:p>
              </w:tc>
            </w:tr>
            <w:tr w:rsidR="00C04CAD" w14:paraId="54458B7C" w14:textId="77777777">
              <w:trPr>
                <w:trHeight w:val="1077"/>
              </w:trPr>
              <w:tc>
                <w:tcPr>
                  <w:tcW w:w="1852" w:type="dxa"/>
                </w:tcPr>
                <w:p w14:paraId="67B63614" w14:textId="77777777" w:rsidR="00C04CAD" w:rsidRDefault="00C04CAD">
                  <w:pPr>
                    <w:framePr w:hSpace="141" w:wrap="around" w:vAnchor="text" w:hAnchor="text" w:x="108" w:y="1"/>
                    <w:spacing w:line="240" w:lineRule="auto"/>
                    <w:suppressOverlap/>
                  </w:pPr>
                </w:p>
              </w:tc>
            </w:tr>
            <w:tr w:rsidR="00C04CAD" w14:paraId="58438255" w14:textId="77777777">
              <w:trPr>
                <w:trHeight w:val="725"/>
              </w:trPr>
              <w:tc>
                <w:tcPr>
                  <w:tcW w:w="1852" w:type="dxa"/>
                </w:tcPr>
                <w:p w14:paraId="0B04F54F" w14:textId="77777777" w:rsidR="00C04CAD" w:rsidRDefault="00060E34">
                  <w:pPr>
                    <w:framePr w:hSpace="141" w:wrap="around" w:vAnchor="text" w:hAnchor="text" w:x="108" w:y="1"/>
                    <w:spacing w:line="240" w:lineRule="auto"/>
                    <w:suppressOverlap/>
                  </w:pPr>
                  <w:r>
                    <w:t>Piston (poate fi vizibil în fereastră; locația poate varia)</w:t>
                  </w:r>
                </w:p>
              </w:tc>
            </w:tr>
            <w:tr w:rsidR="00C04CAD" w14:paraId="63BB3D1B" w14:textId="77777777">
              <w:trPr>
                <w:trHeight w:val="989"/>
              </w:trPr>
              <w:tc>
                <w:tcPr>
                  <w:tcW w:w="1852" w:type="dxa"/>
                </w:tcPr>
                <w:p w14:paraId="30EBDE48" w14:textId="77777777" w:rsidR="00C04CAD" w:rsidRDefault="00C04CAD">
                  <w:pPr>
                    <w:framePr w:hSpace="141" w:wrap="around" w:vAnchor="text" w:hAnchor="text" w:x="108" w:y="1"/>
                    <w:spacing w:line="240" w:lineRule="auto"/>
                    <w:suppressOverlap/>
                  </w:pPr>
                </w:p>
              </w:tc>
            </w:tr>
            <w:tr w:rsidR="00C04CAD" w14:paraId="0274C3E6" w14:textId="77777777">
              <w:trPr>
                <w:trHeight w:val="1077"/>
              </w:trPr>
              <w:tc>
                <w:tcPr>
                  <w:tcW w:w="1852" w:type="dxa"/>
                </w:tcPr>
                <w:p w14:paraId="2124238E" w14:textId="77777777" w:rsidR="00C04CAD" w:rsidRDefault="00060E34">
                  <w:pPr>
                    <w:framePr w:hSpace="141" w:wrap="around" w:vAnchor="text" w:hAnchor="text" w:x="108" w:y="1"/>
                    <w:spacing w:line="240" w:lineRule="auto"/>
                    <w:suppressOverlap/>
                  </w:pPr>
                  <w:r>
                    <w:t>Medicament</w:t>
                  </w:r>
                </w:p>
              </w:tc>
            </w:tr>
            <w:tr w:rsidR="00C04CAD" w14:paraId="21B3DD2D" w14:textId="77777777">
              <w:trPr>
                <w:trHeight w:val="568"/>
              </w:trPr>
              <w:tc>
                <w:tcPr>
                  <w:tcW w:w="1852" w:type="dxa"/>
                </w:tcPr>
                <w:p w14:paraId="548C02B4" w14:textId="77777777" w:rsidR="00C04CAD" w:rsidRDefault="00060E34">
                  <w:pPr>
                    <w:framePr w:hSpace="141" w:wrap="around" w:vAnchor="text" w:hAnchor="text" w:x="108" w:y="1"/>
                    <w:spacing w:line="240" w:lineRule="auto"/>
                    <w:suppressOverlap/>
                  </w:pPr>
                  <w:r>
                    <w:t>Capac galben</w:t>
                  </w:r>
                </w:p>
                <w:p w14:paraId="1A509D6B" w14:textId="77777777" w:rsidR="00C04CAD" w:rsidRDefault="00C04CAD">
                  <w:pPr>
                    <w:framePr w:hSpace="141" w:wrap="around" w:vAnchor="text" w:hAnchor="text" w:x="108" w:y="1"/>
                    <w:spacing w:line="240" w:lineRule="auto"/>
                    <w:suppressOverlap/>
                  </w:pPr>
                </w:p>
              </w:tc>
            </w:tr>
          </w:tbl>
          <w:p w14:paraId="0C38CFE2" w14:textId="77777777" w:rsidR="00C04CAD" w:rsidRDefault="00C04CAD">
            <w:pPr>
              <w:spacing w:line="240" w:lineRule="auto"/>
            </w:pPr>
          </w:p>
        </w:tc>
      </w:tr>
    </w:tbl>
    <w:p w14:paraId="5E043ED1" w14:textId="77777777" w:rsidR="00C04CAD" w:rsidRDefault="00C04CAD">
      <w:pPr>
        <w:spacing w:line="240" w:lineRule="auto"/>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C04CAD" w14:paraId="3A4A22D6"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63EAC2D9" w14:textId="77777777" w:rsidR="00C04CAD" w:rsidRDefault="00060E34">
            <w:pPr>
              <w:spacing w:line="240" w:lineRule="auto"/>
              <w:rPr>
                <w:b/>
                <w:bCs/>
              </w:rPr>
            </w:pPr>
            <w:r>
              <w:rPr>
                <w:b/>
                <w:bCs/>
              </w:rPr>
              <w:t>1</w:t>
            </w:r>
          </w:p>
        </w:tc>
        <w:tc>
          <w:tcPr>
            <w:tcW w:w="4688" w:type="pct"/>
            <w:tcBorders>
              <w:left w:val="single" w:sz="4" w:space="0" w:color="auto"/>
              <w:bottom w:val="single" w:sz="4" w:space="0" w:color="auto"/>
            </w:tcBorders>
          </w:tcPr>
          <w:p w14:paraId="4041E064" w14:textId="77777777" w:rsidR="00C04CAD" w:rsidRDefault="00060E34">
            <w:pPr>
              <w:spacing w:line="240" w:lineRule="auto"/>
              <w:rPr>
                <w:b/>
                <w:bCs/>
              </w:rPr>
            </w:pPr>
            <w:r>
              <w:rPr>
                <w:b/>
              </w:rPr>
              <w:t>Informații importante pe care trebuie să le cunoașteți înainte de a vă injecta</w:t>
            </w:r>
            <w:r>
              <w:rPr>
                <w:b/>
                <w:bCs/>
              </w:rPr>
              <w:t xml:space="preserve"> AMGEVITA</w:t>
            </w:r>
          </w:p>
        </w:tc>
      </w:tr>
      <w:tr w:rsidR="00C04CAD" w14:paraId="4A7A0E20" w14:textId="77777777">
        <w:trPr>
          <w:cantSplit/>
          <w:trHeight w:val="57"/>
          <w:del w:id="192" w:author="Author"/>
        </w:trPr>
        <w:tc>
          <w:tcPr>
            <w:tcW w:w="5000" w:type="pct"/>
            <w:gridSpan w:val="2"/>
            <w:tcBorders>
              <w:bottom w:val="nil"/>
            </w:tcBorders>
            <w:tcMar>
              <w:top w:w="57" w:type="dxa"/>
              <w:left w:w="57" w:type="dxa"/>
              <w:bottom w:w="57" w:type="dxa"/>
              <w:right w:w="57" w:type="dxa"/>
            </w:tcMar>
          </w:tcPr>
          <w:p w14:paraId="492742A9" w14:textId="77777777" w:rsidR="00C04CAD" w:rsidRDefault="00060E34">
            <w:pPr>
              <w:spacing w:line="240" w:lineRule="auto"/>
              <w:rPr>
                <w:del w:id="193" w:author="Author"/>
                <w:b/>
                <w:bCs/>
              </w:rPr>
            </w:pPr>
            <w:del w:id="194" w:author="Author">
              <w:r>
                <w:rPr>
                  <w:b/>
                </w:rPr>
                <w:delText>Utilizarea pen-ului preumplut SureClick AMGEVITA</w:delText>
              </w:r>
              <w:r>
                <w:rPr>
                  <w:b/>
                  <w:bCs/>
                </w:rPr>
                <w:delText>:</w:delText>
              </w:r>
            </w:del>
          </w:p>
          <w:p w14:paraId="02351BD9" w14:textId="77777777" w:rsidR="00C04CAD" w:rsidRDefault="00C04CAD">
            <w:pPr>
              <w:spacing w:line="240" w:lineRule="auto"/>
              <w:rPr>
                <w:del w:id="195" w:author="Author"/>
                <w:b/>
                <w:bCs/>
              </w:rPr>
            </w:pPr>
          </w:p>
        </w:tc>
      </w:tr>
      <w:tr w:rsidR="00C04CAD" w14:paraId="09F512E5" w14:textId="77777777">
        <w:trPr>
          <w:cantSplit/>
          <w:trHeight w:val="57"/>
        </w:trPr>
        <w:tc>
          <w:tcPr>
            <w:tcW w:w="312" w:type="pct"/>
            <w:tcBorders>
              <w:top w:val="nil"/>
              <w:bottom w:val="nil"/>
              <w:right w:val="nil"/>
            </w:tcBorders>
          </w:tcPr>
          <w:p w14:paraId="477CC79B" w14:textId="77777777" w:rsidR="00C04CAD" w:rsidRDefault="00C04CAD">
            <w:pPr>
              <w:keepNext/>
              <w:numPr>
                <w:ilvl w:val="0"/>
                <w:numId w:val="102"/>
              </w:numPr>
              <w:tabs>
                <w:tab w:val="clear" w:pos="567"/>
              </w:tabs>
              <w:spacing w:line="240" w:lineRule="auto"/>
              <w:ind w:left="567" w:hanging="567"/>
            </w:pPr>
          </w:p>
        </w:tc>
        <w:tc>
          <w:tcPr>
            <w:tcW w:w="4688" w:type="pct"/>
            <w:tcBorders>
              <w:top w:val="nil"/>
              <w:left w:val="nil"/>
              <w:bottom w:val="nil"/>
            </w:tcBorders>
            <w:tcMar>
              <w:top w:w="57" w:type="dxa"/>
              <w:left w:w="0" w:type="dxa"/>
              <w:bottom w:w="57" w:type="dxa"/>
              <w:right w:w="57" w:type="dxa"/>
            </w:tcMar>
          </w:tcPr>
          <w:p w14:paraId="190257F5" w14:textId="77777777" w:rsidR="00C04CAD" w:rsidRDefault="00060E34">
            <w:pPr>
              <w:spacing w:line="240" w:lineRule="auto"/>
              <w:rPr>
                <w:b/>
                <w:bCs/>
              </w:rPr>
            </w:pPr>
            <w:r>
              <w:t xml:space="preserve">Este important să nu încercaţi să vă administraţi injecţia până când </w:t>
            </w:r>
            <w:del w:id="196" w:author="Author">
              <w:r>
                <w:delText xml:space="preserve">nu aţi citit şi înţeles în întregime aceste instrucţiuni de utilizare şi până când </w:delText>
              </w:r>
            </w:del>
            <w:ins w:id="197" w:author="Author">
              <w:r>
                <w:t xml:space="preserve">nu aţi citit şi înţeles în întregime aceste instrucţiuni de utilizare şi dacă </w:t>
              </w:r>
            </w:ins>
            <w:r>
              <w:t>nu aţi primit instrucțiuni de la medicul dumneavoastră sau de la furnizorul de servicii medicale</w:t>
            </w:r>
            <w:bookmarkStart w:id="198" w:name="_Hlk117681572"/>
            <w:r>
              <w:t>.</w:t>
            </w:r>
            <w:bookmarkEnd w:id="198"/>
          </w:p>
        </w:tc>
      </w:tr>
      <w:tr w:rsidR="00C04CAD" w14:paraId="0AFB834D" w14:textId="77777777">
        <w:trPr>
          <w:cantSplit/>
          <w:trHeight w:val="57"/>
        </w:trPr>
        <w:tc>
          <w:tcPr>
            <w:tcW w:w="312" w:type="pct"/>
            <w:tcBorders>
              <w:top w:val="nil"/>
              <w:bottom w:val="nil"/>
              <w:right w:val="nil"/>
            </w:tcBorders>
          </w:tcPr>
          <w:p w14:paraId="19E29A35" w14:textId="77777777" w:rsidR="00C04CAD" w:rsidRDefault="00C04CAD">
            <w:pPr>
              <w:keepNext/>
              <w:numPr>
                <w:ilvl w:val="0"/>
                <w:numId w:val="102"/>
              </w:numPr>
              <w:tabs>
                <w:tab w:val="clear" w:pos="567"/>
              </w:tabs>
              <w:spacing w:line="240" w:lineRule="auto"/>
              <w:ind w:left="567" w:hanging="567"/>
            </w:pPr>
          </w:p>
        </w:tc>
        <w:tc>
          <w:tcPr>
            <w:tcW w:w="4688" w:type="pct"/>
            <w:tcBorders>
              <w:top w:val="nil"/>
              <w:left w:val="nil"/>
              <w:bottom w:val="nil"/>
            </w:tcBorders>
            <w:tcMar>
              <w:top w:w="57" w:type="dxa"/>
              <w:left w:w="0" w:type="dxa"/>
              <w:bottom w:w="57" w:type="dxa"/>
              <w:right w:w="57" w:type="dxa"/>
            </w:tcMar>
          </w:tcPr>
          <w:p w14:paraId="2542B3E1" w14:textId="77777777" w:rsidR="00C04CAD" w:rsidRDefault="00060E34">
            <w:pPr>
              <w:spacing w:line="240" w:lineRule="auto"/>
              <w:rPr>
                <w:b/>
                <w:bCs/>
              </w:rPr>
            </w:pPr>
            <w:r>
              <w:rPr>
                <w:b/>
              </w:rPr>
              <w:t>Nu</w:t>
            </w:r>
            <w:r>
              <w:t xml:space="preserve"> utilizaţi pen-ul preumplut dacă cutia este deteriorată sau sigiliul este rupt.</w:t>
            </w:r>
          </w:p>
        </w:tc>
      </w:tr>
      <w:tr w:rsidR="00C04CAD" w14:paraId="259DDCFB" w14:textId="77777777">
        <w:trPr>
          <w:cantSplit/>
          <w:trHeight w:val="57"/>
        </w:trPr>
        <w:tc>
          <w:tcPr>
            <w:tcW w:w="312" w:type="pct"/>
            <w:tcBorders>
              <w:top w:val="nil"/>
              <w:bottom w:val="nil"/>
              <w:right w:val="nil"/>
            </w:tcBorders>
          </w:tcPr>
          <w:p w14:paraId="6DE8DC2A" w14:textId="77777777" w:rsidR="00C04CAD" w:rsidRDefault="00C04CAD">
            <w:pPr>
              <w:pStyle w:val="ListParagraph"/>
              <w:keepNext/>
              <w:numPr>
                <w:ilvl w:val="0"/>
                <w:numId w:val="103"/>
              </w:numPr>
              <w:tabs>
                <w:tab w:val="clear" w:pos="567"/>
                <w:tab w:val="left" w:pos="474"/>
                <w:tab w:val="left" w:pos="529"/>
              </w:tabs>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19532422" w14:textId="77777777" w:rsidR="00C04CAD" w:rsidRDefault="00060E34">
            <w:pPr>
              <w:spacing w:line="240" w:lineRule="auto"/>
              <w:rPr>
                <w:b/>
                <w:bCs/>
              </w:rPr>
            </w:pPr>
            <w:r>
              <w:rPr>
                <w:b/>
              </w:rPr>
              <w:t>Nu</w:t>
            </w:r>
            <w:r>
              <w:t xml:space="preserve"> utilizaţi pen-ul preumplut după data de expirare de pe etichetă.</w:t>
            </w:r>
          </w:p>
        </w:tc>
      </w:tr>
      <w:tr w:rsidR="00C04CAD" w14:paraId="57885309" w14:textId="77777777">
        <w:trPr>
          <w:cantSplit/>
          <w:trHeight w:val="57"/>
        </w:trPr>
        <w:tc>
          <w:tcPr>
            <w:tcW w:w="312" w:type="pct"/>
            <w:tcBorders>
              <w:top w:val="nil"/>
              <w:bottom w:val="nil"/>
              <w:right w:val="nil"/>
            </w:tcBorders>
          </w:tcPr>
          <w:p w14:paraId="34335E9A" w14:textId="77777777" w:rsidR="00C04CAD" w:rsidRDefault="00C04CAD">
            <w:pPr>
              <w:pStyle w:val="ListParagraph"/>
              <w:keepNext/>
              <w:numPr>
                <w:ilvl w:val="0"/>
                <w:numId w:val="103"/>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31C1167C" w14:textId="77777777" w:rsidR="00C04CAD" w:rsidRDefault="00060E34">
            <w:pPr>
              <w:spacing w:line="240" w:lineRule="auto"/>
              <w:rPr>
                <w:b/>
                <w:bCs/>
              </w:rPr>
            </w:pPr>
            <w:r>
              <w:rPr>
                <w:b/>
              </w:rPr>
              <w:t>Nu</w:t>
            </w:r>
            <w:r>
              <w:t xml:space="preserve"> agitaţi pen-ul preumplut.</w:t>
            </w:r>
          </w:p>
        </w:tc>
      </w:tr>
      <w:tr w:rsidR="00C04CAD" w14:paraId="12299E15" w14:textId="77777777">
        <w:trPr>
          <w:cantSplit/>
          <w:trHeight w:val="57"/>
        </w:trPr>
        <w:tc>
          <w:tcPr>
            <w:tcW w:w="312" w:type="pct"/>
            <w:tcBorders>
              <w:top w:val="nil"/>
              <w:bottom w:val="nil"/>
              <w:right w:val="nil"/>
            </w:tcBorders>
          </w:tcPr>
          <w:p w14:paraId="23E65EC2"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57CDEDD3" w14:textId="77777777" w:rsidR="00C04CAD" w:rsidRDefault="00060E34">
            <w:pPr>
              <w:spacing w:line="240" w:lineRule="auto"/>
            </w:pPr>
            <w:r>
              <w:rPr>
                <w:b/>
              </w:rPr>
              <w:t>Nu</w:t>
            </w:r>
            <w:r>
              <w:t xml:space="preserve"> scoateți capacul galben de pe pen-ul preumplut până când nu sunteți gata să vă injectați.</w:t>
            </w:r>
          </w:p>
        </w:tc>
      </w:tr>
      <w:tr w:rsidR="00C04CAD" w14:paraId="27962521" w14:textId="77777777">
        <w:trPr>
          <w:cantSplit/>
          <w:trHeight w:val="57"/>
        </w:trPr>
        <w:tc>
          <w:tcPr>
            <w:tcW w:w="312" w:type="pct"/>
            <w:tcBorders>
              <w:top w:val="nil"/>
              <w:bottom w:val="nil"/>
              <w:right w:val="nil"/>
            </w:tcBorders>
          </w:tcPr>
          <w:p w14:paraId="61A24AB8"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2A194C70" w14:textId="77777777" w:rsidR="00C04CAD" w:rsidRDefault="00060E34">
            <w:pPr>
              <w:spacing w:line="240" w:lineRule="auto"/>
            </w:pPr>
            <w:r>
              <w:rPr>
                <w:b/>
              </w:rPr>
              <w:t>Nu</w:t>
            </w:r>
            <w:r>
              <w:t xml:space="preserve"> utilizaţi pen-ul preumplut dacă a fost congelat.</w:t>
            </w:r>
          </w:p>
        </w:tc>
      </w:tr>
      <w:tr w:rsidR="00C04CAD" w14:paraId="7C2CB77F" w14:textId="77777777">
        <w:trPr>
          <w:cantSplit/>
          <w:trHeight w:val="57"/>
        </w:trPr>
        <w:tc>
          <w:tcPr>
            <w:tcW w:w="312" w:type="pct"/>
            <w:tcBorders>
              <w:top w:val="nil"/>
              <w:bottom w:val="nil"/>
              <w:right w:val="nil"/>
            </w:tcBorders>
          </w:tcPr>
          <w:p w14:paraId="461B1E8E"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197016F0" w14:textId="77777777" w:rsidR="00C04CAD" w:rsidRDefault="00060E34">
            <w:pPr>
              <w:spacing w:line="240" w:lineRule="auto"/>
            </w:pPr>
            <w:r>
              <w:rPr>
                <w:b/>
              </w:rPr>
              <w:t>Nu</w:t>
            </w:r>
            <w:r>
              <w:t xml:space="preserve"> utilizaţi pen-ul preumplut dacă a fost scăpat pe o suprafaţă tare. O parte a pen-ului preumplut poate fi spartă, chiar dacă spărtura nu se vede. Utilizați un pen preumplut nou și contactați-vă medicul sau furnizorul de servicii medicale</w:t>
            </w:r>
            <w:r>
              <w:rPr>
                <w:color w:val="000000"/>
                <w:szCs w:val="22"/>
              </w:rPr>
              <w:t>.</w:t>
            </w:r>
          </w:p>
        </w:tc>
      </w:tr>
      <w:tr w:rsidR="00C04CAD" w14:paraId="40B662B4" w14:textId="77777777">
        <w:trPr>
          <w:cantSplit/>
          <w:trHeight w:val="57"/>
        </w:trPr>
        <w:tc>
          <w:tcPr>
            <w:tcW w:w="5000" w:type="pct"/>
            <w:gridSpan w:val="2"/>
            <w:tcBorders>
              <w:top w:val="nil"/>
              <w:bottom w:val="single" w:sz="4" w:space="0" w:color="auto"/>
            </w:tcBorders>
          </w:tcPr>
          <w:p w14:paraId="5A8879D2" w14:textId="77777777" w:rsidR="00C04CAD" w:rsidRDefault="00060E34">
            <w:pPr>
              <w:spacing w:line="240" w:lineRule="auto"/>
              <w:rPr>
                <w:b/>
                <w:bCs/>
              </w:rPr>
            </w:pPr>
            <w:r>
              <w:rPr>
                <w:noProof/>
              </w:rPr>
              <mc:AlternateContent>
                <mc:Choice Requires="wps">
                  <w:drawing>
                    <wp:anchor distT="45720" distB="45720" distL="114300" distR="114300" simplePos="0" relativeHeight="251687936" behindDoc="0" locked="0" layoutInCell="1" allowOverlap="1" wp14:anchorId="03D137FE" wp14:editId="0C5DB649">
                      <wp:simplePos x="0" y="0"/>
                      <wp:positionH relativeFrom="margin">
                        <wp:posOffset>43815</wp:posOffset>
                      </wp:positionH>
                      <wp:positionV relativeFrom="paragraph">
                        <wp:posOffset>204470</wp:posOffset>
                      </wp:positionV>
                      <wp:extent cx="5576570" cy="431800"/>
                      <wp:effectExtent l="0" t="0" r="5080" b="6350"/>
                      <wp:wrapSquare wrapText="bothSides"/>
                      <wp:docPr id="10168934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3FD07EEA" w14:textId="77777777" w:rsidR="00C04CAD" w:rsidRDefault="00060E34">
                                  <w:pPr>
                                    <w:spacing w:line="240" w:lineRule="auto"/>
                                    <w:rPr>
                                      <w:szCs w:val="22"/>
                                    </w:rPr>
                                  </w:pPr>
                                  <w:r>
                                    <w:rPr>
                                      <w:b/>
                                      <w:bCs/>
                                    </w:rPr>
                                    <w:t>Important:</w:t>
                                  </w:r>
                                  <w:r>
                                    <w:rPr>
                                      <w:szCs w:val="22"/>
                                    </w:rPr>
                                    <w:t xml:space="preserve"> Nu lăsați la vederea și îndemâna copiilor pen-ul preumplut și recipientul pentru eliminarea la deșeuri a obiectelor ascuțite.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3D137FE" id="Text Box 13" o:spid="_x0000_s1039" type="#_x0000_t202" style="position:absolute;margin-left:3.45pt;margin-top:16.1pt;width:439.1pt;height:34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C8CAIAABAEAAAOAAAAZHJzL2Uyb0RvYy54bWysU8Fu2zAMvQ/YPwi6L3bSpGmNOEWXIsOA&#10;rhvQ7QNkWY6FyaJGKbGzrx+lpEnQDTsM00EQRemR75Fc3A2dYTuFXoMt+XiUc6ashFrbTcm/fV2/&#10;u+HMB2FrYcCqku+V53fLt28WvSvUBFowtUJGINYXvSt5G4IrsszLVnXCj8ApS84GsBOBTNxkNYqe&#10;0DuTTfL8OusBa4cglfd0+3Bw8mXCbxolw+em8SowU3LKLaQd017FPVsuRLFB4Votj2mIf8iiE9pS&#10;0BPUgwiCbVH/BtVpieChCSMJXQZNo6VKHIjNOH/F5rkVTiUuJI53J5n8/4OVT7tn9wVZGN7DQAVM&#10;JLx7BPndMwurVtiNukeEvlWipsDjKFnWO18cv0apfeEjSNV/gpqKLLYBEtDQYBdVIZ6M0KkA+5Po&#10;aghM0uVsNr+ezcklyTe9Gt/kqSqZKF5+O/Thg4KOxUPJkYqa0MXu0YeYjShensRgHoyu19qYZOCm&#10;WhlkO0ENsE4rEXj1zFjWE7fbfJYfFPgLRk7rTxidDtTKRnclJw7nR8YeBYsaHdQKQzUwXVPEq4gU&#10;Bayg3pOECIcWpZGiQwv4k7Oe2rPk/sdWoOLMfLRUhtvxdBr7ORnT2XxCBl56qkuPsJKgSh44OxxX&#10;Ic1AUsjdU7nWOil5zuSYM7VdEvg4IrGvL+306jzIy18AAAD//wMAUEsDBBQABgAIAAAAIQB46GYc&#10;3QAAAAgBAAAPAAAAZHJzL2Rvd25yZXYueG1sTI/BTsMwEETvSPyDtUjcqN0AUQhxKoRUIXEjRe3V&#10;tbdJhL0OsZuEv8ec6HE1TzNvq83iLJtwDL0nCeuVAIakvemplfC5294VwEJUZJT1hBJ+MMCmvr6q&#10;VGn8TB84NbFlqYRCqSR0MQ4l50F36FRY+QEpZSc/OhXTObbcjGpO5c7yTIicO9VTWujUgK8d6q/m&#10;7CRsc3UaDm8PVk/vzbfe7+f+sGulvL1ZXp6BRVziPwx/+kkd6uR09GcygVkJ+VMCJdxnGbAUF8Xj&#10;GtgxcUJkwOuKXz5Q/wIAAP//AwBQSwECLQAUAAYACAAAACEAtoM4kv4AAADhAQAAEwAAAAAAAAAA&#10;AAAAAAAAAAAAW0NvbnRlbnRfVHlwZXNdLnhtbFBLAQItABQABgAIAAAAIQA4/SH/1gAAAJQBAAAL&#10;AAAAAAAAAAAAAAAAAC8BAABfcmVscy8ucmVsc1BLAQItABQABgAIAAAAIQCghzC8CAIAABAEAAAO&#10;AAAAAAAAAAAAAAAAAC4CAABkcnMvZTJvRG9jLnhtbFBLAQItABQABgAIAAAAIQB46GYc3QAAAAgB&#10;AAAPAAAAAAAAAAAAAAAAAGIEAABkcnMvZG93bnJldi54bWxQSwUGAAAAAAQABADzAAAAbAUAAAAA&#10;" strokecolor="red" strokeweight="1.5pt">
                      <v:textbox style="mso-fit-shape-to-text:t">
                        <w:txbxContent>
                          <w:p w14:paraId="3FD07EEA" w14:textId="77777777" w:rsidR="00C04CAD" w:rsidRDefault="00060E34">
                            <w:pPr>
                              <w:spacing w:line="240" w:lineRule="auto"/>
                              <w:rPr>
                                <w:szCs w:val="22"/>
                              </w:rPr>
                            </w:pPr>
                            <w:r>
                              <w:rPr>
                                <w:b/>
                                <w:bCs/>
                              </w:rPr>
                              <w:t>Important:</w:t>
                            </w:r>
                            <w:r>
                              <w:rPr>
                                <w:szCs w:val="22"/>
                              </w:rPr>
                              <w:t xml:space="preserve"> Nu lăsați la vederea și îndemâna copiilor pen-ul preumplut și recipientul pentru eliminarea la deșeuri a obiectelor ascuțite.</w:t>
                            </w:r>
                          </w:p>
                        </w:txbxContent>
                      </v:textbox>
                      <w10:wrap type="square" anchorx="margin"/>
                    </v:shape>
                  </w:pict>
                </mc:Fallback>
              </mc:AlternateContent>
            </w:r>
          </w:p>
        </w:tc>
      </w:tr>
    </w:tbl>
    <w:p w14:paraId="2FF55F12" w14:textId="77777777" w:rsidR="00C04CAD" w:rsidRDefault="00C04CAD">
      <w:pPr>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C04CAD" w14:paraId="5F983F6E" w14:textId="77777777">
        <w:trPr>
          <w:cantSplit/>
          <w:trHeight w:val="57"/>
        </w:trPr>
        <w:tc>
          <w:tcPr>
            <w:tcW w:w="305" w:type="pct"/>
            <w:tcBorders>
              <w:top w:val="single" w:sz="4" w:space="0" w:color="auto"/>
            </w:tcBorders>
            <w:tcMar>
              <w:top w:w="28" w:type="dxa"/>
              <w:left w:w="57" w:type="dxa"/>
              <w:bottom w:w="28" w:type="dxa"/>
              <w:right w:w="57" w:type="dxa"/>
            </w:tcMar>
          </w:tcPr>
          <w:p w14:paraId="734CFA8C" w14:textId="77777777" w:rsidR="00C04CAD" w:rsidRDefault="00060E34">
            <w:pPr>
              <w:keepNext/>
              <w:spacing w:line="240" w:lineRule="auto"/>
              <w:rPr>
                <w:szCs w:val="22"/>
              </w:rPr>
            </w:pPr>
            <w:r>
              <w:rPr>
                <w:b/>
                <w:bCs/>
                <w:szCs w:val="22"/>
              </w:rPr>
              <w:t>2</w:t>
            </w:r>
          </w:p>
        </w:tc>
        <w:tc>
          <w:tcPr>
            <w:tcW w:w="4695" w:type="pct"/>
            <w:tcBorders>
              <w:top w:val="single" w:sz="4" w:space="0" w:color="auto"/>
            </w:tcBorders>
          </w:tcPr>
          <w:p w14:paraId="6B34B1DC" w14:textId="77777777" w:rsidR="00C04CAD" w:rsidRDefault="00060E34">
            <w:pPr>
              <w:keepNext/>
              <w:spacing w:line="240" w:lineRule="auto"/>
              <w:ind w:left="567" w:hanging="567"/>
              <w:rPr>
                <w:szCs w:val="22"/>
              </w:rPr>
            </w:pPr>
            <w:r>
              <w:rPr>
                <w:b/>
              </w:rPr>
              <w:t>Pregătirea în vederea injectării</w:t>
            </w:r>
            <w:r>
              <w:rPr>
                <w:b/>
                <w:bCs/>
                <w:szCs w:val="22"/>
              </w:rPr>
              <w:t xml:space="preserve"> AMGEVITA</w:t>
            </w:r>
          </w:p>
        </w:tc>
      </w:tr>
    </w:tbl>
    <w:p w14:paraId="6EC63833" w14:textId="77777777" w:rsidR="00C04CAD" w:rsidRDefault="00C04CAD">
      <w:pPr>
        <w:keepNext/>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C04CAD" w14:paraId="2F06BDBA" w14:textId="77777777">
        <w:trPr>
          <w:cantSplit/>
          <w:trHeight w:val="57"/>
        </w:trPr>
        <w:tc>
          <w:tcPr>
            <w:tcW w:w="310" w:type="pct"/>
            <w:tcBorders>
              <w:bottom w:val="single" w:sz="4" w:space="0" w:color="auto"/>
            </w:tcBorders>
            <w:tcMar>
              <w:top w:w="28" w:type="dxa"/>
              <w:left w:w="57" w:type="dxa"/>
              <w:bottom w:w="28" w:type="dxa"/>
              <w:right w:w="57" w:type="dxa"/>
            </w:tcMar>
          </w:tcPr>
          <w:p w14:paraId="4566E32E" w14:textId="77777777" w:rsidR="00C04CAD" w:rsidRDefault="00060E34">
            <w:pPr>
              <w:keepNext/>
              <w:spacing w:line="240" w:lineRule="auto"/>
              <w:rPr>
                <w:szCs w:val="22"/>
              </w:rPr>
            </w:pPr>
            <w:r>
              <w:rPr>
                <w:b/>
                <w:bCs/>
                <w:szCs w:val="22"/>
              </w:rPr>
              <w:t>2a</w:t>
            </w:r>
          </w:p>
        </w:tc>
        <w:tc>
          <w:tcPr>
            <w:tcW w:w="4690" w:type="pct"/>
            <w:gridSpan w:val="2"/>
            <w:tcBorders>
              <w:bottom w:val="single" w:sz="4" w:space="0" w:color="auto"/>
            </w:tcBorders>
          </w:tcPr>
          <w:p w14:paraId="17262FDC" w14:textId="77777777" w:rsidR="00C04CAD" w:rsidRDefault="00060E34">
            <w:pPr>
              <w:keepNext/>
              <w:spacing w:line="240" w:lineRule="auto"/>
              <w:ind w:left="567" w:hanging="567"/>
              <w:rPr>
                <w:szCs w:val="22"/>
              </w:rPr>
            </w:pPr>
            <w:r>
              <w:rPr>
                <w:b/>
              </w:rPr>
              <w:t xml:space="preserve">Așteptați </w:t>
            </w:r>
            <w:ins w:id="199" w:author="Author">
              <w:r>
                <w:rPr>
                  <w:b/>
                </w:rPr>
                <w:t xml:space="preserve">între 15 și </w:t>
              </w:r>
            </w:ins>
            <w:r>
              <w:rPr>
                <w:b/>
              </w:rPr>
              <w:t>30 de minute pentru ca pen-ul preumplut să ajungă la temperatura camerei</w:t>
            </w:r>
            <w:r>
              <w:rPr>
                <w:b/>
                <w:bCs/>
                <w:szCs w:val="22"/>
              </w:rPr>
              <w:t>.</w:t>
            </w:r>
          </w:p>
        </w:tc>
      </w:tr>
      <w:tr w:rsidR="00C04CAD" w14:paraId="0F8937A7"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0A941E4" w14:textId="77777777" w:rsidR="00C04CAD" w:rsidRDefault="00060E34">
            <w:pPr>
              <w:spacing w:line="240" w:lineRule="auto"/>
              <w:jc w:val="center"/>
              <w:rPr>
                <w:b/>
                <w:bCs/>
                <w:sz w:val="36"/>
                <w:szCs w:val="36"/>
              </w:rPr>
            </w:pPr>
            <w:r>
              <w:rPr>
                <w:b/>
                <w:sz w:val="36"/>
              </w:rPr>
              <w:t>AȘTEPTAȚI</w:t>
            </w:r>
          </w:p>
          <w:p w14:paraId="68519FF1" w14:textId="77777777" w:rsidR="00C04CAD" w:rsidRDefault="00060E34">
            <w:pPr>
              <w:spacing w:line="240" w:lineRule="auto"/>
              <w:jc w:val="center"/>
              <w:rPr>
                <w:b/>
                <w:bCs/>
                <w:sz w:val="36"/>
                <w:szCs w:val="36"/>
              </w:rPr>
            </w:pPr>
            <w:ins w:id="200" w:author="Author">
              <w:r>
                <w:rPr>
                  <w:b/>
                  <w:bCs/>
                  <w:sz w:val="36"/>
                  <w:szCs w:val="36"/>
                </w:rPr>
                <w:t xml:space="preserve">între 15 și </w:t>
              </w:r>
            </w:ins>
            <w:r>
              <w:rPr>
                <w:b/>
                <w:bCs/>
                <w:sz w:val="36"/>
                <w:szCs w:val="36"/>
              </w:rPr>
              <w:t>30 de</w:t>
            </w:r>
          </w:p>
          <w:p w14:paraId="1E71D1C5" w14:textId="77777777" w:rsidR="00C04CAD" w:rsidRDefault="00060E34">
            <w:pPr>
              <w:spacing w:line="240" w:lineRule="auto"/>
              <w:jc w:val="center"/>
              <w:rPr>
                <w:b/>
                <w:bCs/>
              </w:rPr>
            </w:pPr>
            <w:r>
              <w:rPr>
                <w:b/>
                <w:bCs/>
                <w:sz w:val="36"/>
                <w:szCs w:val="36"/>
              </w:rPr>
              <w:t>minute</w:t>
            </w:r>
          </w:p>
        </w:tc>
      </w:tr>
      <w:tr w:rsidR="00C04CAD" w14:paraId="2FB23177"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1E28C747"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1D71BED2" w14:textId="77777777" w:rsidR="00C04CAD" w:rsidRDefault="00060E34">
            <w:pPr>
              <w:pStyle w:val="ListBullets"/>
              <w:numPr>
                <w:ilvl w:val="0"/>
                <w:numId w:val="0"/>
              </w:numPr>
              <w:spacing w:after="0"/>
              <w:contextualSpacing w:val="0"/>
              <w:rPr>
                <w:szCs w:val="22"/>
                <w:lang w:val="ro-RO"/>
              </w:rPr>
            </w:pPr>
            <w:r>
              <w:rPr>
                <w:rFonts w:eastAsia="PMingLiU" w:cs="Times New Roman"/>
                <w:color w:val="000000"/>
                <w:sz w:val="22"/>
                <w:szCs w:val="22"/>
                <w:lang w:val="ro-RO" w:eastAsia="en-US"/>
              </w:rPr>
              <w:t>Scoateţi numărul de pen-uri preumplute de care aveţi nevoie pentru injecţie și puneţi toate pen-urile preumplute nefolosite înapoi în frigider.</w:t>
            </w:r>
          </w:p>
        </w:tc>
      </w:tr>
      <w:tr w:rsidR="00C04CAD" w14:paraId="22E4139F"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2207E64"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139DAC34" w14:textId="77777777" w:rsidR="00C04CAD" w:rsidRDefault="00060E34">
            <w:pPr>
              <w:spacing w:line="240" w:lineRule="auto"/>
              <w:rPr>
                <w:b/>
                <w:bCs/>
              </w:rPr>
            </w:pPr>
            <w:r>
              <w:t>Lăsaţi pen-ul preumplut să se încălzească în mod natural</w:t>
            </w:r>
            <w:r>
              <w:rPr>
                <w:szCs w:val="22"/>
              </w:rPr>
              <w:t>.</w:t>
            </w:r>
          </w:p>
        </w:tc>
      </w:tr>
      <w:tr w:rsidR="00C04CAD" w14:paraId="3B2A23C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2D16E3D"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577EEBD5" w14:textId="77777777" w:rsidR="00C04CAD" w:rsidRDefault="00060E34">
            <w:pPr>
              <w:spacing w:line="240" w:lineRule="auto"/>
            </w:pPr>
            <w:r>
              <w:rPr>
                <w:b/>
              </w:rPr>
              <w:t>Nu</w:t>
            </w:r>
            <w:r>
              <w:t xml:space="preserve"> încălziți </w:t>
            </w:r>
            <w:ins w:id="201" w:author="Author">
              <w:r>
                <w:t xml:space="preserve">pen-ul preumplut </w:t>
              </w:r>
            </w:ins>
            <w:r>
              <w:t>cu apă fierbinte, în cuptorul cu microunde sau în lumina directă a soarelui</w:t>
            </w:r>
            <w:r>
              <w:rPr>
                <w:szCs w:val="22"/>
              </w:rPr>
              <w:t>.</w:t>
            </w:r>
          </w:p>
        </w:tc>
      </w:tr>
      <w:tr w:rsidR="00C04CAD" w14:paraId="50A9CF7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AAB0ACA"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EC9D97F" w14:textId="77777777" w:rsidR="00C04CAD" w:rsidRDefault="00060E34">
            <w:pPr>
              <w:spacing w:line="240" w:lineRule="auto"/>
            </w:pPr>
            <w:r>
              <w:rPr>
                <w:b/>
              </w:rPr>
              <w:t>Nu</w:t>
            </w:r>
            <w:r>
              <w:t xml:space="preserve"> agitaţi niciodată pen-ul preumplut</w:t>
            </w:r>
            <w:r>
              <w:rPr>
                <w:szCs w:val="22"/>
              </w:rPr>
              <w:t>.</w:t>
            </w:r>
          </w:p>
        </w:tc>
      </w:tr>
      <w:tr w:rsidR="00C04CAD" w14:paraId="1B86649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D895C5B"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9A8CB27" w14:textId="77777777" w:rsidR="00C04CAD" w:rsidRDefault="00060E34">
            <w:pPr>
              <w:spacing w:line="240" w:lineRule="auto"/>
              <w:rPr>
                <w:b/>
                <w:bCs/>
                <w:szCs w:val="22"/>
              </w:rPr>
            </w:pPr>
            <w:r>
              <w:rPr>
                <w:b/>
              </w:rPr>
              <w:t>Nu</w:t>
            </w:r>
            <w:r>
              <w:t xml:space="preserve"> puneţi pen-ul preumplut înapoi în frigider după ce acesta a ajuns la temperatura camerei</w:t>
            </w:r>
            <w:ins w:id="202" w:author="Author">
              <w:r>
                <w:t>.</w:t>
              </w:r>
            </w:ins>
          </w:p>
        </w:tc>
      </w:tr>
      <w:tr w:rsidR="00C04CAD" w14:paraId="3582B814"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DCD00DF"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single" w:sz="4" w:space="0" w:color="auto"/>
            </w:tcBorders>
            <w:tcMar>
              <w:left w:w="0" w:type="dxa"/>
            </w:tcMar>
          </w:tcPr>
          <w:p w14:paraId="0CA71799" w14:textId="77777777" w:rsidR="00C04CAD" w:rsidRDefault="00060E34">
            <w:pPr>
              <w:pStyle w:val="ListParagraph"/>
              <w:spacing w:line="240" w:lineRule="auto"/>
              <w:ind w:left="0"/>
              <w:rPr>
                <w:b/>
                <w:bCs/>
                <w:szCs w:val="22"/>
              </w:rPr>
            </w:pPr>
            <w:r>
              <w:t xml:space="preserve">Utilizarea pen-ului preumplut la temperatura camerei </w:t>
            </w:r>
            <w:ins w:id="203" w:author="Author">
              <w:r>
                <w:t xml:space="preserve">asigură administrarea dozei complete și </w:t>
              </w:r>
            </w:ins>
            <w:r>
              <w:t>permite o injectare mai confortabilă</w:t>
            </w:r>
            <w:r>
              <w:rPr>
                <w:b/>
                <w:bCs/>
                <w:szCs w:val="22"/>
              </w:rPr>
              <w:t xml:space="preserve">. </w:t>
            </w:r>
          </w:p>
          <w:p w14:paraId="0140FEFC" w14:textId="77777777" w:rsidR="00C04CAD" w:rsidRDefault="00C04CAD">
            <w:pPr>
              <w:spacing w:line="240" w:lineRule="auto"/>
            </w:pPr>
          </w:p>
        </w:tc>
      </w:tr>
    </w:tbl>
    <w:p w14:paraId="72DCA963" w14:textId="77777777" w:rsidR="00C04CAD" w:rsidRDefault="00C04CAD">
      <w:pPr>
        <w:spacing w:line="240" w:lineRule="auto"/>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204"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194"/>
        <w:gridCol w:w="4380"/>
        <w:gridCol w:w="4324"/>
        <w:tblGridChange w:id="205">
          <w:tblGrid>
            <w:gridCol w:w="83"/>
            <w:gridCol w:w="111"/>
            <w:gridCol w:w="437"/>
            <w:gridCol w:w="96"/>
            <w:gridCol w:w="3848"/>
            <w:gridCol w:w="4323"/>
            <w:gridCol w:w="255"/>
          </w:tblGrid>
        </w:tblGridChange>
      </w:tblGrid>
      <w:tr w:rsidR="00C04CAD" w14:paraId="507BCD83" w14:textId="77777777" w:rsidTr="001C668B">
        <w:trPr>
          <w:cantSplit/>
          <w:trHeight w:val="382"/>
          <w:trPrChange w:id="206" w:author="Author">
            <w:trPr>
              <w:gridAfter w:val="0"/>
              <w:cantSplit/>
              <w:trHeight w:val="382"/>
            </w:trPr>
          </w:trPrChange>
        </w:trPr>
        <w:tc>
          <w:tcPr>
            <w:tcW w:w="109" w:type="pct"/>
            <w:tcBorders>
              <w:bottom w:val="nil"/>
            </w:tcBorders>
            <w:tcMar>
              <w:top w:w="28" w:type="dxa"/>
              <w:left w:w="57" w:type="dxa"/>
              <w:bottom w:w="28" w:type="dxa"/>
              <w:right w:w="57" w:type="dxa"/>
            </w:tcMar>
            <w:tcPrChange w:id="207" w:author="Author">
              <w:tcPr>
                <w:tcW w:w="355" w:type="pct"/>
                <w:gridSpan w:val="3"/>
                <w:tcBorders>
                  <w:bottom w:val="nil"/>
                </w:tcBorders>
                <w:tcMar>
                  <w:top w:w="28" w:type="dxa"/>
                  <w:left w:w="57" w:type="dxa"/>
                  <w:bottom w:w="28" w:type="dxa"/>
                  <w:right w:w="57" w:type="dxa"/>
                </w:tcMar>
              </w:tcPr>
            </w:tcPrChange>
          </w:tcPr>
          <w:p w14:paraId="165B2345" w14:textId="77777777" w:rsidR="00C04CAD" w:rsidRDefault="00060E34">
            <w:pPr>
              <w:keepNext/>
              <w:spacing w:line="240" w:lineRule="auto"/>
            </w:pPr>
            <w:r>
              <w:rPr>
                <w:b/>
                <w:bCs/>
              </w:rPr>
              <w:t>2b</w:t>
            </w:r>
          </w:p>
        </w:tc>
        <w:tc>
          <w:tcPr>
            <w:tcW w:w="4891" w:type="pct"/>
            <w:gridSpan w:val="2"/>
            <w:tcBorders>
              <w:bottom w:val="nil"/>
            </w:tcBorders>
            <w:tcPrChange w:id="208" w:author="Author">
              <w:tcPr>
                <w:tcW w:w="4645" w:type="pct"/>
                <w:gridSpan w:val="3"/>
                <w:tcBorders>
                  <w:bottom w:val="nil"/>
                </w:tcBorders>
              </w:tcPr>
            </w:tcPrChange>
          </w:tcPr>
          <w:p w14:paraId="4164BB8C" w14:textId="77777777" w:rsidR="00C04CAD" w:rsidRDefault="00060E34">
            <w:pPr>
              <w:keepNext/>
              <w:spacing w:line="240" w:lineRule="auto"/>
            </w:pPr>
            <w:r>
              <w:rPr>
                <w:b/>
              </w:rPr>
              <w:t>Inspectați medicamentul</w:t>
            </w:r>
            <w:r>
              <w:rPr>
                <w:b/>
                <w:bCs/>
                <w:szCs w:val="22"/>
              </w:rPr>
              <w:t xml:space="preserve">. </w:t>
            </w:r>
            <w:r>
              <w:rPr>
                <w:b/>
              </w:rPr>
              <w:t>Trebuie să fie limpede și incolor până la ușor galben</w:t>
            </w:r>
            <w:r>
              <w:rPr>
                <w:b/>
                <w:bCs/>
                <w:szCs w:val="22"/>
              </w:rPr>
              <w:t>.</w:t>
            </w:r>
          </w:p>
        </w:tc>
      </w:tr>
      <w:tr w:rsidR="00C04CAD" w14:paraId="2D5D17EC" w14:textId="77777777" w:rsidTr="001C668B">
        <w:trPr>
          <w:cantSplit/>
          <w:trHeight w:val="2460"/>
          <w:trPrChange w:id="209" w:author="Author">
            <w:trPr>
              <w:gridAfter w:val="0"/>
              <w:cantSplit/>
              <w:trHeight w:val="2460"/>
            </w:trPr>
          </w:trPrChange>
        </w:trPr>
        <w:tc>
          <w:tcPr>
            <w:tcW w:w="109" w:type="pct"/>
            <w:tcBorders>
              <w:bottom w:val="nil"/>
              <w:right w:val="nil"/>
            </w:tcBorders>
            <w:tcMar>
              <w:top w:w="28" w:type="dxa"/>
              <w:left w:w="57" w:type="dxa"/>
              <w:bottom w:w="28" w:type="dxa"/>
              <w:right w:w="57" w:type="dxa"/>
            </w:tcMar>
            <w:tcPrChange w:id="210" w:author="Author">
              <w:tcPr>
                <w:tcW w:w="355" w:type="pct"/>
                <w:gridSpan w:val="3"/>
                <w:tcBorders>
                  <w:bottom w:val="nil"/>
                  <w:right w:val="nil"/>
                </w:tcBorders>
                <w:tcMar>
                  <w:top w:w="28" w:type="dxa"/>
                  <w:left w:w="57" w:type="dxa"/>
                  <w:bottom w:w="28" w:type="dxa"/>
                  <w:right w:w="57" w:type="dxa"/>
                </w:tcMar>
              </w:tcPr>
            </w:tcPrChange>
          </w:tcPr>
          <w:p w14:paraId="38880AC2" w14:textId="77777777" w:rsidR="00C04CAD" w:rsidRDefault="00C04CAD">
            <w:pPr>
              <w:keepNext/>
              <w:spacing w:line="240" w:lineRule="auto"/>
              <w:rPr>
                <w:b/>
                <w:bCs/>
              </w:rPr>
            </w:pPr>
          </w:p>
        </w:tc>
        <w:tc>
          <w:tcPr>
            <w:tcW w:w="2461" w:type="pct"/>
            <w:tcBorders>
              <w:top w:val="single" w:sz="4" w:space="0" w:color="auto"/>
              <w:left w:val="nil"/>
              <w:bottom w:val="nil"/>
              <w:right w:val="nil"/>
            </w:tcBorders>
            <w:tcMar>
              <w:top w:w="28" w:type="dxa"/>
              <w:left w:w="57" w:type="dxa"/>
              <w:bottom w:w="28" w:type="dxa"/>
              <w:right w:w="57" w:type="dxa"/>
            </w:tcMar>
            <w:tcPrChange w:id="211" w:author="Author">
              <w:tcPr>
                <w:tcW w:w="2216" w:type="pct"/>
                <w:gridSpan w:val="2"/>
                <w:tcBorders>
                  <w:top w:val="single" w:sz="4" w:space="0" w:color="auto"/>
                  <w:left w:val="nil"/>
                  <w:bottom w:val="nil"/>
                  <w:right w:val="nil"/>
                </w:tcBorders>
                <w:tcMar>
                  <w:top w:w="28" w:type="dxa"/>
                  <w:left w:w="57" w:type="dxa"/>
                  <w:bottom w:w="28" w:type="dxa"/>
                  <w:right w:w="57" w:type="dxa"/>
                </w:tcMar>
              </w:tcPr>
            </w:tcPrChange>
          </w:tcPr>
          <w:p w14:paraId="56118B18" w14:textId="77777777" w:rsidR="00C04CAD" w:rsidRDefault="00060E34">
            <w:pPr>
              <w:pStyle w:val="ListParagraph"/>
              <w:spacing w:line="240" w:lineRule="auto"/>
              <w:ind w:left="567" w:hanging="567"/>
              <w:rPr>
                <w:b/>
                <w:bCs/>
                <w:szCs w:val="22"/>
              </w:rPr>
            </w:pPr>
            <w:r>
              <w:rPr>
                <w:noProof/>
              </w:rPr>
              <w:drawing>
                <wp:anchor distT="0" distB="0" distL="114300" distR="114300" simplePos="0" relativeHeight="251673600" behindDoc="0" locked="0" layoutInCell="1" allowOverlap="1" wp14:anchorId="0226CC0A" wp14:editId="256E53FB">
                  <wp:simplePos x="0" y="0"/>
                  <wp:positionH relativeFrom="column">
                    <wp:posOffset>370205</wp:posOffset>
                  </wp:positionH>
                  <wp:positionV relativeFrom="paragraph">
                    <wp:posOffset>-1270</wp:posOffset>
                  </wp:positionV>
                  <wp:extent cx="2192655" cy="1270000"/>
                  <wp:effectExtent l="0" t="0" r="0" b="0"/>
                  <wp:wrapTopAndBottom/>
                  <wp:docPr id="2630373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37329"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192655" cy="1270000"/>
                          </a:xfrm>
                          <a:prstGeom prst="rect">
                            <a:avLst/>
                          </a:prstGeom>
                          <a:noFill/>
                        </pic:spPr>
                      </pic:pic>
                    </a:graphicData>
                  </a:graphic>
                </wp:anchor>
              </w:drawing>
            </w:r>
          </w:p>
        </w:tc>
        <w:tc>
          <w:tcPr>
            <w:tcW w:w="2430" w:type="pct"/>
            <w:tcBorders>
              <w:top w:val="single" w:sz="4" w:space="0" w:color="auto"/>
              <w:left w:val="nil"/>
              <w:bottom w:val="nil"/>
              <w:right w:val="single" w:sz="4" w:space="0" w:color="auto"/>
            </w:tcBorders>
            <w:tcPrChange w:id="212" w:author="Author">
              <w:tcPr>
                <w:tcW w:w="2429" w:type="pct"/>
                <w:tcBorders>
                  <w:top w:val="single" w:sz="4" w:space="0" w:color="auto"/>
                  <w:left w:val="nil"/>
                  <w:bottom w:val="nil"/>
                  <w:right w:val="single" w:sz="4" w:space="0" w:color="auto"/>
                </w:tcBorders>
              </w:tcPr>
            </w:tcPrChange>
          </w:tcPr>
          <w:p w14:paraId="7A11F0A8" w14:textId="77777777" w:rsidR="00C04CAD" w:rsidRDefault="00C04CAD">
            <w:pPr>
              <w:pStyle w:val="ListParagraph"/>
              <w:spacing w:line="240" w:lineRule="auto"/>
              <w:ind w:left="567" w:hanging="567"/>
              <w:rPr>
                <w:b/>
                <w:bCs/>
                <w:szCs w:val="22"/>
              </w:rPr>
            </w:pPr>
          </w:p>
          <w:p w14:paraId="1D4A4E2D" w14:textId="77777777" w:rsidR="00C04CAD" w:rsidRDefault="00C04CAD">
            <w:pPr>
              <w:pStyle w:val="ListParagraph"/>
              <w:spacing w:line="240" w:lineRule="auto"/>
              <w:ind w:left="567" w:hanging="567"/>
              <w:rPr>
                <w:b/>
                <w:bCs/>
                <w:szCs w:val="22"/>
              </w:rPr>
            </w:pPr>
          </w:p>
          <w:p w14:paraId="46A5D29D" w14:textId="77777777" w:rsidR="00C04CAD" w:rsidRDefault="00C04CAD">
            <w:pPr>
              <w:pStyle w:val="ListParagraph"/>
              <w:spacing w:line="240" w:lineRule="auto"/>
              <w:ind w:left="567" w:hanging="567"/>
              <w:rPr>
                <w:b/>
                <w:bCs/>
                <w:szCs w:val="22"/>
              </w:rPr>
            </w:pPr>
          </w:p>
          <w:p w14:paraId="628DA8B3" w14:textId="77777777" w:rsidR="00C04CAD" w:rsidRDefault="00C04CAD">
            <w:pPr>
              <w:pStyle w:val="ListParagraph"/>
              <w:spacing w:line="240" w:lineRule="auto"/>
              <w:ind w:left="567" w:hanging="567"/>
              <w:rPr>
                <w:b/>
                <w:bCs/>
                <w:szCs w:val="22"/>
              </w:rPr>
            </w:pPr>
          </w:p>
          <w:p w14:paraId="6F8DC8CB" w14:textId="77777777" w:rsidR="00C04CAD" w:rsidRDefault="00060E34">
            <w:pPr>
              <w:pStyle w:val="ListParagraph"/>
              <w:spacing w:line="240" w:lineRule="auto"/>
              <w:ind w:left="567" w:hanging="567"/>
              <w:rPr>
                <w:szCs w:val="22"/>
              </w:rPr>
            </w:pPr>
            <w:r>
              <w:rPr>
                <w:szCs w:val="22"/>
              </w:rPr>
              <w:t>Medicament</w:t>
            </w:r>
          </w:p>
        </w:tc>
      </w:tr>
      <w:tr w:rsidR="00C04CAD" w14:paraId="74AA1217" w14:textId="77777777" w:rsidTr="001C668B">
        <w:trPr>
          <w:cantSplit/>
          <w:trHeight w:val="57"/>
          <w:trPrChange w:id="213" w:author="Author">
            <w:trPr>
              <w:gridAfter w:val="0"/>
              <w:cantSplit/>
              <w:trHeight w:val="57"/>
            </w:trPr>
          </w:trPrChange>
        </w:trPr>
        <w:tc>
          <w:tcPr>
            <w:tcW w:w="109" w:type="pct"/>
            <w:tcBorders>
              <w:top w:val="nil"/>
              <w:bottom w:val="nil"/>
              <w:right w:val="nil"/>
            </w:tcBorders>
            <w:tcMar>
              <w:top w:w="28" w:type="dxa"/>
              <w:left w:w="57" w:type="dxa"/>
              <w:bottom w:w="28" w:type="dxa"/>
              <w:right w:w="57" w:type="dxa"/>
            </w:tcMar>
            <w:tcPrChange w:id="214" w:author="Author">
              <w:tcPr>
                <w:tcW w:w="355" w:type="pct"/>
                <w:gridSpan w:val="3"/>
                <w:tcBorders>
                  <w:top w:val="nil"/>
                  <w:bottom w:val="nil"/>
                  <w:right w:val="nil"/>
                </w:tcBorders>
                <w:tcMar>
                  <w:top w:w="28" w:type="dxa"/>
                  <w:left w:w="57" w:type="dxa"/>
                  <w:bottom w:w="28" w:type="dxa"/>
                  <w:right w:w="57" w:type="dxa"/>
                </w:tcMar>
              </w:tcPr>
            </w:tcPrChange>
          </w:tcPr>
          <w:p w14:paraId="676B7C18" w14:textId="77777777" w:rsidR="00C04CAD" w:rsidRDefault="00C04CAD">
            <w:pPr>
              <w:numPr>
                <w:ilvl w:val="0"/>
                <w:numId w:val="102"/>
              </w:numPr>
              <w:tabs>
                <w:tab w:val="clear" w:pos="567"/>
              </w:tabs>
              <w:spacing w:line="240" w:lineRule="auto"/>
              <w:ind w:left="567" w:hanging="567"/>
            </w:pPr>
          </w:p>
        </w:tc>
        <w:tc>
          <w:tcPr>
            <w:tcW w:w="4891" w:type="pct"/>
            <w:gridSpan w:val="2"/>
            <w:tcBorders>
              <w:top w:val="nil"/>
              <w:left w:val="nil"/>
              <w:bottom w:val="nil"/>
            </w:tcBorders>
            <w:tcMar>
              <w:left w:w="0" w:type="dxa"/>
            </w:tcMar>
            <w:tcPrChange w:id="215" w:author="Author">
              <w:tcPr>
                <w:tcW w:w="4645" w:type="pct"/>
                <w:gridSpan w:val="3"/>
                <w:tcBorders>
                  <w:top w:val="nil"/>
                  <w:left w:val="nil"/>
                  <w:bottom w:val="nil"/>
                </w:tcBorders>
                <w:tcMar>
                  <w:left w:w="0" w:type="dxa"/>
                </w:tcMar>
              </w:tcPr>
            </w:tcPrChange>
          </w:tcPr>
          <w:p w14:paraId="218489E0" w14:textId="77777777" w:rsidR="00C04CAD" w:rsidRDefault="00060E34">
            <w:pPr>
              <w:pStyle w:val="ListBullets"/>
              <w:numPr>
                <w:ilvl w:val="0"/>
                <w:numId w:val="0"/>
              </w:numPr>
              <w:spacing w:after="0"/>
              <w:rPr>
                <w:b/>
                <w:bCs/>
                <w:lang w:val="ro-RO"/>
              </w:rPr>
            </w:pPr>
            <w:r>
              <w:rPr>
                <w:rFonts w:cs="Times New Roman"/>
                <w:sz w:val="22"/>
                <w:szCs w:val="22"/>
                <w:lang w:val="ro-RO"/>
              </w:rPr>
              <w:t>Este în regulă dacă vedeți bule de aer</w:t>
            </w:r>
            <w:ins w:id="216" w:author="Author">
              <w:r>
                <w:rPr>
                  <w:rFonts w:cs="Times New Roman"/>
                  <w:sz w:val="22"/>
                  <w:szCs w:val="22"/>
                  <w:lang w:val="ro-RO"/>
                </w:rPr>
                <w:t xml:space="preserve"> în pen-ul preumplut</w:t>
              </w:r>
            </w:ins>
            <w:r>
              <w:rPr>
                <w:rFonts w:cs="Times New Roman"/>
                <w:sz w:val="22"/>
                <w:szCs w:val="22"/>
                <w:lang w:val="ro-RO"/>
              </w:rPr>
              <w:t>.</w:t>
            </w:r>
          </w:p>
        </w:tc>
      </w:tr>
      <w:tr w:rsidR="00C04CAD" w14:paraId="36AA332A" w14:textId="77777777" w:rsidTr="001C668B">
        <w:trPr>
          <w:cantSplit/>
          <w:trHeight w:val="57"/>
          <w:trPrChange w:id="217" w:author="Author">
            <w:trPr>
              <w:gridBefore w:val="1"/>
              <w:wBefore w:w="54" w:type="dxa"/>
              <w:cantSplit/>
              <w:trHeight w:val="57"/>
            </w:trPr>
          </w:trPrChange>
        </w:trPr>
        <w:tc>
          <w:tcPr>
            <w:tcW w:w="109" w:type="pct"/>
            <w:tcBorders>
              <w:top w:val="nil"/>
              <w:bottom w:val="nil"/>
              <w:right w:val="nil"/>
            </w:tcBorders>
            <w:tcMar>
              <w:top w:w="28" w:type="dxa"/>
              <w:left w:w="57" w:type="dxa"/>
              <w:bottom w:w="28" w:type="dxa"/>
              <w:right w:w="57" w:type="dxa"/>
            </w:tcMar>
            <w:tcPrChange w:id="218" w:author="Author">
              <w:tcPr>
                <w:tcW w:w="355" w:type="pct"/>
                <w:gridSpan w:val="3"/>
                <w:tcBorders>
                  <w:top w:val="nil"/>
                  <w:bottom w:val="single" w:sz="4" w:space="0" w:color="auto"/>
                  <w:right w:val="nil"/>
                </w:tcBorders>
                <w:tcMar>
                  <w:top w:w="28" w:type="dxa"/>
                  <w:left w:w="57" w:type="dxa"/>
                  <w:bottom w:w="28" w:type="dxa"/>
                  <w:right w:w="57" w:type="dxa"/>
                </w:tcMar>
              </w:tcPr>
            </w:tcPrChange>
          </w:tcPr>
          <w:p w14:paraId="3B84F3A4" w14:textId="77777777" w:rsidR="00C04CAD" w:rsidRDefault="00C04CAD">
            <w:pPr>
              <w:numPr>
                <w:ilvl w:val="0"/>
                <w:numId w:val="102"/>
              </w:numPr>
              <w:tabs>
                <w:tab w:val="clear" w:pos="567"/>
              </w:tabs>
              <w:spacing w:line="240" w:lineRule="auto"/>
              <w:ind w:left="567" w:hanging="567"/>
            </w:pPr>
          </w:p>
        </w:tc>
        <w:tc>
          <w:tcPr>
            <w:tcW w:w="4891" w:type="pct"/>
            <w:gridSpan w:val="2"/>
            <w:tcBorders>
              <w:top w:val="nil"/>
              <w:left w:val="nil"/>
              <w:bottom w:val="nil"/>
            </w:tcBorders>
            <w:tcMar>
              <w:left w:w="0" w:type="dxa"/>
            </w:tcMar>
            <w:tcPrChange w:id="219" w:author="Author">
              <w:tcPr>
                <w:tcW w:w="4645" w:type="pct"/>
                <w:gridSpan w:val="3"/>
                <w:tcBorders>
                  <w:top w:val="nil"/>
                  <w:left w:val="nil"/>
                  <w:bottom w:val="single" w:sz="4" w:space="0" w:color="auto"/>
                </w:tcBorders>
                <w:tcMar>
                  <w:left w:w="0" w:type="dxa"/>
                </w:tcMar>
              </w:tcPr>
            </w:tcPrChange>
          </w:tcPr>
          <w:p w14:paraId="7683BB02" w14:textId="77777777" w:rsidR="00C04CAD" w:rsidRDefault="00060E34">
            <w:pPr>
              <w:spacing w:line="240" w:lineRule="auto"/>
            </w:pPr>
            <w:r>
              <w:rPr>
                <w:b/>
              </w:rPr>
              <w:t>Nu</w:t>
            </w:r>
            <w:r>
              <w:t xml:space="preserve"> utilizaţi dacă medicamentul este tulbure sau decolorat sau dacă acesta conţine flocoane</w:t>
            </w:r>
            <w:ins w:id="220" w:author="Author">
              <w:r>
                <w:t xml:space="preserve"> sau particule</w:t>
              </w:r>
            </w:ins>
            <w:r>
              <w:t xml:space="preserve">.   </w:t>
            </w:r>
          </w:p>
        </w:tc>
      </w:tr>
      <w:tr w:rsidR="00C04CAD" w14:paraId="4E28834E" w14:textId="77777777" w:rsidTr="001C668B">
        <w:trPr>
          <w:cantSplit/>
          <w:trHeight w:val="57"/>
          <w:ins w:id="221" w:author="Author"/>
          <w:trPrChange w:id="222" w:author="Author">
            <w:trPr>
              <w:gridAfter w:val="0"/>
              <w:cantSplit/>
              <w:trHeight w:val="57"/>
            </w:trPr>
          </w:trPrChange>
        </w:trPr>
        <w:tc>
          <w:tcPr>
            <w:tcW w:w="109" w:type="pct"/>
            <w:tcBorders>
              <w:top w:val="nil"/>
              <w:bottom w:val="single" w:sz="4" w:space="0" w:color="auto"/>
              <w:right w:val="nil"/>
            </w:tcBorders>
            <w:tcMar>
              <w:top w:w="28" w:type="dxa"/>
              <w:left w:w="57" w:type="dxa"/>
              <w:bottom w:w="28" w:type="dxa"/>
              <w:right w:w="57" w:type="dxa"/>
            </w:tcMar>
            <w:tcPrChange w:id="223" w:author="Author">
              <w:tcPr>
                <w:tcW w:w="355" w:type="pct"/>
                <w:gridSpan w:val="3"/>
                <w:tcBorders>
                  <w:top w:val="nil"/>
                  <w:bottom w:val="single" w:sz="4" w:space="0" w:color="auto"/>
                  <w:right w:val="nil"/>
                </w:tcBorders>
                <w:tcMar>
                  <w:top w:w="28" w:type="dxa"/>
                  <w:left w:w="57" w:type="dxa"/>
                  <w:bottom w:w="28" w:type="dxa"/>
                  <w:right w:w="57" w:type="dxa"/>
                </w:tcMar>
              </w:tcPr>
            </w:tcPrChange>
          </w:tcPr>
          <w:p w14:paraId="3A799A6A" w14:textId="77777777" w:rsidR="00C04CAD" w:rsidRDefault="00C04CAD">
            <w:pPr>
              <w:spacing w:line="240" w:lineRule="auto"/>
              <w:ind w:left="568"/>
              <w:rPr>
                <w:ins w:id="224" w:author="Author"/>
              </w:rPr>
              <w:pPrChange w:id="225" w:author="Author">
                <w:pPr>
                  <w:numPr>
                    <w:numId w:val="102"/>
                  </w:numPr>
                  <w:tabs>
                    <w:tab w:val="clear" w:pos="567"/>
                  </w:tabs>
                  <w:spacing w:line="240" w:lineRule="auto"/>
                  <w:ind w:left="567" w:hanging="567"/>
                </w:pPr>
              </w:pPrChange>
            </w:pPr>
          </w:p>
        </w:tc>
        <w:tc>
          <w:tcPr>
            <w:tcW w:w="4891" w:type="pct"/>
            <w:gridSpan w:val="2"/>
            <w:tcBorders>
              <w:top w:val="nil"/>
              <w:left w:val="nil"/>
              <w:bottom w:val="single" w:sz="4" w:space="0" w:color="auto"/>
            </w:tcBorders>
            <w:tcMar>
              <w:left w:w="0" w:type="dxa"/>
            </w:tcMar>
            <w:tcPrChange w:id="226" w:author="Author">
              <w:tcPr>
                <w:tcW w:w="4645" w:type="pct"/>
                <w:gridSpan w:val="3"/>
                <w:tcBorders>
                  <w:top w:val="nil"/>
                  <w:left w:val="nil"/>
                  <w:bottom w:val="single" w:sz="4" w:space="0" w:color="auto"/>
                </w:tcBorders>
                <w:tcMar>
                  <w:left w:w="0" w:type="dxa"/>
                </w:tcMar>
              </w:tcPr>
            </w:tcPrChange>
          </w:tcPr>
          <w:p w14:paraId="6625AB46" w14:textId="77777777" w:rsidR="00C04CAD" w:rsidRDefault="00060E34">
            <w:pPr>
              <w:spacing w:line="240" w:lineRule="auto"/>
              <w:rPr>
                <w:ins w:id="227" w:author="Author"/>
                <w:b/>
              </w:rPr>
            </w:pPr>
            <w:ins w:id="228" w:author="Author">
              <w:r>
                <w:rPr>
                  <w:b/>
                  <w:noProof/>
                </w:rPr>
                <mc:AlternateContent>
                  <mc:Choice Requires="wps">
                    <w:drawing>
                      <wp:anchor distT="45720" distB="45720" distL="114300" distR="114300" simplePos="0" relativeHeight="251712512" behindDoc="0" locked="0" layoutInCell="1" allowOverlap="1" wp14:anchorId="14988E71" wp14:editId="3B9D4FC1">
                        <wp:simplePos x="0" y="0"/>
                        <wp:positionH relativeFrom="margin">
                          <wp:posOffset>-1327785</wp:posOffset>
                        </wp:positionH>
                        <wp:positionV relativeFrom="paragraph">
                          <wp:posOffset>-6551930</wp:posOffset>
                        </wp:positionV>
                        <wp:extent cx="5575935" cy="431800"/>
                        <wp:effectExtent l="0" t="0" r="5715" b="6350"/>
                        <wp:wrapSquare wrapText="bothSides"/>
                        <wp:docPr id="62053186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1EC5CC24" w14:textId="77777777" w:rsidR="00C04CAD" w:rsidRDefault="00060E34">
                                    <w:pPr>
                                      <w:spacing w:line="240" w:lineRule="auto"/>
                                      <w:rPr>
                                        <w:szCs w:val="22"/>
                                      </w:rPr>
                                    </w:pPr>
                                    <w:ins w:id="229" w:author="Author">
                                      <w:r>
                                        <w:rPr>
                                          <w:b/>
                                          <w:bCs/>
                                        </w:rPr>
                                        <w:t xml:space="preserve">Important: </w:t>
                                      </w:r>
                                      <w:r>
                                        <w:t>Dacă medicamentul este tulbure sau decolorat sau dacă acesta conține flocoane sau particule sau dacă pen-ul preumplut este deteriorat sau expirat, contactați-vă medicul sau furnizorul de servicii medicale</w:t>
                                      </w:r>
                                      <w:r>
                                        <w:rPr>
                                          <w:szCs w:val="22"/>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4988E71" id="Text Box 12" o:spid="_x0000_s1040" type="#_x0000_t202" style="position:absolute;margin-left:-104.55pt;margin-top:-515.9pt;width:439.05pt;height:34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qNCQ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4o4jwi&#10;RQFraJ5IQoRDi9JI0aED/MnZQO1Zcf9jJ1BxZj5YKsNiOp/Hfk7GvLiekYGXnvrSI6wkqIoHzg7H&#10;dUgzkBRyd1SujU5KnjM55kxtlwQ+jkjs60s7vToP8uoXAAAA//8DAFBLAwQUAAYACAAAACEAbcBw&#10;E+MAAAAPAQAADwAAAGRycy9kb3ducmV2LnhtbEyPzWrDMBCE74W8g9hAb4nkpIjYtRxKIRR6qxOS&#10;qyIptql+XEux3bfv9tTedneG2W/K/ewsGc0Qu+AFZGsGxHgVdOcbAafjYbUDEpP0WtrgjYBvE2Ff&#10;LR5KWegw+Q8z1qkhGOJjIQW0KfUFpVG1xsm4Dr3xqN3C4GTCdWioHuSE4c7SDWOcOtl5/NDK3ry2&#10;Rn3WdyfgwOWtv7w9WTW+11/qfJ66y7ER4nE5vzwDSWZOf2b4xUd0qJDpGu5eR2IFrDYsz9CLU8a2&#10;GdZAE+c5FrziLefbHdCqpP97VD8AAAD//wMAUEsBAi0AFAAGAAgAAAAhALaDOJL+AAAA4QEAABMA&#10;AAAAAAAAAAAAAAAAAAAAAFtDb250ZW50X1R5cGVzXS54bWxQSwECLQAUAAYACAAAACEAOP0h/9YA&#10;AACUAQAACwAAAAAAAAAAAAAAAAAvAQAAX3JlbHMvLnJlbHNQSwECLQAUAAYACAAAACEAcRnKjQkC&#10;AAAQBAAADgAAAAAAAAAAAAAAAAAuAgAAZHJzL2Uyb0RvYy54bWxQSwECLQAUAAYACAAAACEAbcBw&#10;E+MAAAAPAQAADwAAAAAAAAAAAAAAAABjBAAAZHJzL2Rvd25yZXYueG1sUEsFBgAAAAAEAAQA8wAA&#10;AHMFAAAAAA==&#10;" strokecolor="red" strokeweight="1.5pt">
                        <v:textbox style="mso-fit-shape-to-text:t">
                          <w:txbxContent>
                            <w:p w14:paraId="1EC5CC24" w14:textId="77777777" w:rsidR="00C04CAD" w:rsidRDefault="00060E34">
                              <w:pPr>
                                <w:spacing w:line="240" w:lineRule="auto"/>
                                <w:rPr>
                                  <w:szCs w:val="22"/>
                                </w:rPr>
                              </w:pPr>
                              <w:ins w:id="240" w:author="Author">
                                <w:r>
                                  <w:rPr>
                                    <w:b/>
                                    <w:bCs/>
                                  </w:rPr>
                                  <w:t xml:space="preserve">Important: </w:t>
                                </w:r>
                                <w:r>
                                  <w:t>Dacă medicamentul este tulbure sau decolorat sau dacă acesta conține flocoane</w:t>
                                </w:r>
                                <w:r>
                                  <w:t xml:space="preserve"> sau particule</w:t>
                                </w:r>
                                <w:r>
                                  <w:t xml:space="preserve"> sau dacă pen-ul preumplut este deteriorat sau expirat</w:t>
                                </w:r>
                                <w:r>
                                  <w:t>, contactați-vă medicul sau furnizorul de servicii medicale</w:t>
                                </w:r>
                                <w:r>
                                  <w:rPr>
                                    <w:szCs w:val="22"/>
                                  </w:rPr>
                                  <w:t>.</w:t>
                                </w:r>
                              </w:ins>
                            </w:p>
                          </w:txbxContent>
                        </v:textbox>
                        <w10:wrap type="square" anchorx="margin"/>
                      </v:shape>
                    </w:pict>
                  </mc:Fallback>
                </mc:AlternateContent>
              </w:r>
            </w:ins>
          </w:p>
        </w:tc>
      </w:tr>
    </w:tbl>
    <w:p w14:paraId="0342303D" w14:textId="77777777" w:rsidR="00C04CAD" w:rsidRDefault="00C04CAD">
      <w:pPr>
        <w:spacing w:line="240" w:lineRule="auto"/>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C04CAD" w14:paraId="1B65193E" w14:textId="77777777">
        <w:trPr>
          <w:cantSplit/>
          <w:trHeight w:val="335"/>
        </w:trPr>
        <w:tc>
          <w:tcPr>
            <w:tcW w:w="384" w:type="pct"/>
            <w:gridSpan w:val="2"/>
            <w:tcBorders>
              <w:bottom w:val="nil"/>
            </w:tcBorders>
            <w:tcMar>
              <w:top w:w="28" w:type="dxa"/>
              <w:left w:w="57" w:type="dxa"/>
              <w:bottom w:w="28" w:type="dxa"/>
              <w:right w:w="57" w:type="dxa"/>
            </w:tcMar>
          </w:tcPr>
          <w:p w14:paraId="1D415307" w14:textId="77777777" w:rsidR="00C04CAD" w:rsidRDefault="00060E34">
            <w:pPr>
              <w:keepNext/>
              <w:tabs>
                <w:tab w:val="clear" w:pos="567"/>
              </w:tabs>
              <w:spacing w:line="240" w:lineRule="auto"/>
            </w:pPr>
            <w:r>
              <w:rPr>
                <w:b/>
                <w:bCs/>
              </w:rPr>
              <w:t>2c</w:t>
            </w:r>
          </w:p>
        </w:tc>
        <w:tc>
          <w:tcPr>
            <w:tcW w:w="4616" w:type="pct"/>
            <w:gridSpan w:val="2"/>
            <w:tcBorders>
              <w:bottom w:val="nil"/>
            </w:tcBorders>
          </w:tcPr>
          <w:p w14:paraId="6E1AF63B" w14:textId="77777777" w:rsidR="00C04CAD" w:rsidRDefault="00060E34">
            <w:pPr>
              <w:keepNext/>
              <w:tabs>
                <w:tab w:val="clear" w:pos="567"/>
              </w:tabs>
              <w:spacing w:line="240" w:lineRule="auto"/>
            </w:pPr>
            <w:r>
              <w:rPr>
                <w:b/>
              </w:rPr>
              <w:t>Verificați data de expirare (EXP) și inspectați pen-ul preumplut pentru a verifica să nu prezinte deteriorări</w:t>
            </w:r>
            <w:r>
              <w:rPr>
                <w:b/>
                <w:bCs/>
                <w:szCs w:val="22"/>
              </w:rPr>
              <w:t xml:space="preserve">. </w:t>
            </w:r>
          </w:p>
        </w:tc>
      </w:tr>
      <w:tr w:rsidR="00C04CAD" w14:paraId="539A00CF" w14:textId="77777777">
        <w:trPr>
          <w:cantSplit/>
          <w:trHeight w:val="1612"/>
        </w:trPr>
        <w:tc>
          <w:tcPr>
            <w:tcW w:w="356" w:type="pct"/>
            <w:tcBorders>
              <w:bottom w:val="nil"/>
              <w:right w:val="nil"/>
            </w:tcBorders>
            <w:tcMar>
              <w:top w:w="28" w:type="dxa"/>
              <w:left w:w="57" w:type="dxa"/>
              <w:bottom w:w="28" w:type="dxa"/>
              <w:right w:w="57" w:type="dxa"/>
            </w:tcMar>
          </w:tcPr>
          <w:p w14:paraId="108610E8" w14:textId="77777777" w:rsidR="00C04CAD" w:rsidRDefault="00C04CAD">
            <w:pPr>
              <w:keepNext/>
              <w:spacing w:line="240" w:lineRule="auto"/>
              <w:rPr>
                <w:b/>
                <w:bCs/>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02433C4C" w14:textId="77777777" w:rsidR="00C04CAD" w:rsidRDefault="00060E34">
            <w:pPr>
              <w:suppressAutoHyphens/>
              <w:autoSpaceDE w:val="0"/>
              <w:autoSpaceDN w:val="0"/>
              <w:adjustRightInd w:val="0"/>
              <w:spacing w:line="240" w:lineRule="auto"/>
              <w:textAlignment w:val="center"/>
              <w:rPr>
                <w:b/>
                <w:bCs/>
                <w:szCs w:val="22"/>
              </w:rPr>
            </w:pPr>
            <w:r>
              <w:rPr>
                <w:b/>
                <w:noProof/>
                <w:szCs w:val="22"/>
                <w:lang w:val="en-US" w:eastAsia="zh-CN" w:bidi="ar-SA"/>
              </w:rPr>
              <w:drawing>
                <wp:inline distT="0" distB="0" distL="0" distR="0" wp14:anchorId="1D097CA0" wp14:editId="12A86087">
                  <wp:extent cx="2265045" cy="1267460"/>
                  <wp:effectExtent l="0" t="0" r="0" b="0"/>
                  <wp:docPr id="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265045" cy="126746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686CE2EF" w14:textId="77777777" w:rsidR="00C04CAD" w:rsidRDefault="00C04CAD">
            <w:pPr>
              <w:suppressAutoHyphens/>
              <w:autoSpaceDE w:val="0"/>
              <w:autoSpaceDN w:val="0"/>
              <w:adjustRightInd w:val="0"/>
              <w:spacing w:line="240" w:lineRule="auto"/>
              <w:textAlignment w:val="center"/>
              <w:rPr>
                <w:b/>
                <w:bCs/>
                <w:szCs w:val="22"/>
              </w:rPr>
            </w:pPr>
          </w:p>
          <w:p w14:paraId="344AD4ED" w14:textId="77777777" w:rsidR="00C04CAD" w:rsidRDefault="00C04CAD">
            <w:pPr>
              <w:suppressAutoHyphens/>
              <w:autoSpaceDE w:val="0"/>
              <w:autoSpaceDN w:val="0"/>
              <w:adjustRightInd w:val="0"/>
              <w:spacing w:line="240" w:lineRule="auto"/>
              <w:textAlignment w:val="center"/>
              <w:rPr>
                <w:b/>
                <w:bCs/>
                <w:szCs w:val="22"/>
              </w:rPr>
            </w:pPr>
          </w:p>
          <w:p w14:paraId="35D75A5F" w14:textId="77777777" w:rsidR="00C04CAD" w:rsidRDefault="00C04CAD">
            <w:pPr>
              <w:suppressAutoHyphens/>
              <w:autoSpaceDE w:val="0"/>
              <w:autoSpaceDN w:val="0"/>
              <w:adjustRightInd w:val="0"/>
              <w:spacing w:line="240" w:lineRule="auto"/>
              <w:textAlignment w:val="center"/>
              <w:rPr>
                <w:b/>
                <w:bCs/>
                <w:szCs w:val="22"/>
              </w:rPr>
            </w:pPr>
          </w:p>
          <w:p w14:paraId="21B2B2EC" w14:textId="77777777" w:rsidR="00C04CAD" w:rsidRDefault="00C04CAD">
            <w:pPr>
              <w:suppressAutoHyphens/>
              <w:autoSpaceDE w:val="0"/>
              <w:autoSpaceDN w:val="0"/>
              <w:adjustRightInd w:val="0"/>
              <w:spacing w:line="240" w:lineRule="auto"/>
              <w:textAlignment w:val="center"/>
              <w:rPr>
                <w:b/>
                <w:bCs/>
                <w:szCs w:val="22"/>
              </w:rPr>
            </w:pPr>
          </w:p>
          <w:p w14:paraId="5F86DB5A" w14:textId="77777777" w:rsidR="00C04CAD" w:rsidRDefault="00060E34">
            <w:pPr>
              <w:suppressAutoHyphens/>
              <w:autoSpaceDE w:val="0"/>
              <w:autoSpaceDN w:val="0"/>
              <w:adjustRightInd w:val="0"/>
              <w:spacing w:line="240" w:lineRule="auto"/>
              <w:textAlignment w:val="center"/>
              <w:rPr>
                <w:szCs w:val="22"/>
              </w:rPr>
            </w:pPr>
            <w:r>
              <w:t>Data expirării</w:t>
            </w:r>
          </w:p>
        </w:tc>
      </w:tr>
      <w:tr w:rsidR="00C04CAD" w14:paraId="7FEEC914" w14:textId="77777777">
        <w:trPr>
          <w:cantSplit/>
          <w:trHeight w:val="57"/>
        </w:trPr>
        <w:tc>
          <w:tcPr>
            <w:tcW w:w="356" w:type="pct"/>
            <w:tcBorders>
              <w:top w:val="nil"/>
              <w:bottom w:val="nil"/>
              <w:right w:val="nil"/>
            </w:tcBorders>
            <w:tcMar>
              <w:top w:w="28" w:type="dxa"/>
              <w:left w:w="57" w:type="dxa"/>
              <w:bottom w:w="28" w:type="dxa"/>
              <w:right w:w="57" w:type="dxa"/>
            </w:tcMar>
          </w:tcPr>
          <w:p w14:paraId="561DDB5E" w14:textId="77777777" w:rsidR="00C04CAD" w:rsidRDefault="00C04CAD">
            <w:pPr>
              <w:numPr>
                <w:ilvl w:val="0"/>
                <w:numId w:val="102"/>
              </w:numPr>
              <w:tabs>
                <w:tab w:val="clear" w:pos="567"/>
              </w:tabs>
              <w:spacing w:line="240" w:lineRule="auto"/>
              <w:ind w:left="567" w:hanging="567"/>
            </w:pPr>
          </w:p>
        </w:tc>
        <w:tc>
          <w:tcPr>
            <w:tcW w:w="4644" w:type="pct"/>
            <w:gridSpan w:val="3"/>
            <w:tcBorders>
              <w:top w:val="nil"/>
              <w:left w:val="nil"/>
              <w:bottom w:val="nil"/>
            </w:tcBorders>
            <w:tcMar>
              <w:left w:w="0" w:type="dxa"/>
            </w:tcMar>
          </w:tcPr>
          <w:p w14:paraId="52757AA4" w14:textId="77777777" w:rsidR="00C04CAD" w:rsidRDefault="00060E34">
            <w:pPr>
              <w:pStyle w:val="ListParagraph"/>
              <w:suppressAutoHyphens/>
              <w:autoSpaceDE w:val="0"/>
              <w:autoSpaceDN w:val="0"/>
              <w:adjustRightInd w:val="0"/>
              <w:spacing w:line="240" w:lineRule="auto"/>
              <w:ind w:left="0"/>
              <w:textAlignment w:val="center"/>
              <w:rPr>
                <w:b/>
                <w:bCs/>
              </w:rPr>
            </w:pPr>
            <w:r>
              <w:rPr>
                <w:b/>
              </w:rPr>
              <w:t>Nu</w:t>
            </w:r>
            <w:r>
              <w:t xml:space="preserve"> utilizați </w:t>
            </w:r>
            <w:ins w:id="230" w:author="Author">
              <w:r>
                <w:t xml:space="preserve">pen-ul preumplut </w:t>
              </w:r>
            </w:ins>
            <w:r>
              <w:t>dacă data expirării este depășită</w:t>
            </w:r>
            <w:r>
              <w:rPr>
                <w:szCs w:val="22"/>
              </w:rPr>
              <w:t xml:space="preserve">. </w:t>
            </w:r>
          </w:p>
        </w:tc>
      </w:tr>
      <w:tr w:rsidR="00C04CAD" w14:paraId="685754FD" w14:textId="77777777">
        <w:trPr>
          <w:cantSplit/>
          <w:trHeight w:val="57"/>
        </w:trPr>
        <w:tc>
          <w:tcPr>
            <w:tcW w:w="356" w:type="pct"/>
            <w:tcBorders>
              <w:top w:val="nil"/>
              <w:bottom w:val="nil"/>
              <w:right w:val="nil"/>
            </w:tcBorders>
            <w:tcMar>
              <w:top w:w="28" w:type="dxa"/>
              <w:left w:w="57" w:type="dxa"/>
              <w:bottom w:w="28" w:type="dxa"/>
              <w:right w:w="57" w:type="dxa"/>
            </w:tcMar>
          </w:tcPr>
          <w:p w14:paraId="06A50CDD" w14:textId="77777777" w:rsidR="00C04CAD" w:rsidRDefault="00C04CAD">
            <w:pPr>
              <w:numPr>
                <w:ilvl w:val="0"/>
                <w:numId w:val="102"/>
              </w:numPr>
              <w:tabs>
                <w:tab w:val="clear" w:pos="567"/>
              </w:tabs>
              <w:spacing w:line="240" w:lineRule="auto"/>
              <w:ind w:left="567" w:hanging="567"/>
            </w:pPr>
          </w:p>
        </w:tc>
        <w:tc>
          <w:tcPr>
            <w:tcW w:w="4644" w:type="pct"/>
            <w:gridSpan w:val="3"/>
            <w:tcBorders>
              <w:top w:val="nil"/>
              <w:left w:val="nil"/>
              <w:bottom w:val="nil"/>
            </w:tcBorders>
            <w:tcMar>
              <w:left w:w="0" w:type="dxa"/>
            </w:tcMar>
          </w:tcPr>
          <w:p w14:paraId="04EB32DC" w14:textId="77777777" w:rsidR="00C04CAD" w:rsidRDefault="00060E34">
            <w:pPr>
              <w:pStyle w:val="ListParagraph"/>
              <w:suppressAutoHyphens/>
              <w:autoSpaceDE w:val="0"/>
              <w:autoSpaceDN w:val="0"/>
              <w:adjustRightInd w:val="0"/>
              <w:spacing w:line="240" w:lineRule="auto"/>
              <w:ind w:left="0"/>
              <w:textAlignment w:val="center"/>
              <w:rPr>
                <w:szCs w:val="22"/>
              </w:rPr>
            </w:pPr>
            <w:r>
              <w:rPr>
                <w:b/>
              </w:rPr>
              <w:t>Nu</w:t>
            </w:r>
            <w:r>
              <w:t xml:space="preserve"> utilizați pen-ul preumplut dacă</w:t>
            </w:r>
            <w:r>
              <w:rPr>
                <w:szCs w:val="22"/>
              </w:rPr>
              <w:t>:</w:t>
            </w:r>
          </w:p>
          <w:p w14:paraId="4E0ADAB8"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right="-464" w:hanging="357"/>
              <w:textAlignment w:val="center"/>
              <w:rPr>
                <w:szCs w:val="22"/>
              </w:rPr>
            </w:pPr>
            <w:del w:id="231" w:author="Author">
              <w:r>
                <w:delText>C</w:delText>
              </w:r>
            </w:del>
            <w:ins w:id="232" w:author="Author">
              <w:r>
                <w:t>c</w:t>
              </w:r>
            </w:ins>
            <w:r>
              <w:t>apacul galben lipsește sau nu este bine atașat</w:t>
            </w:r>
            <w:r>
              <w:rPr>
                <w:szCs w:val="22"/>
              </w:rPr>
              <w:t>.</w:t>
            </w:r>
          </w:p>
          <w:p w14:paraId="1175928C"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hanging="357"/>
              <w:textAlignment w:val="center"/>
              <w:rPr>
                <w:szCs w:val="22"/>
              </w:rPr>
            </w:pPr>
            <w:del w:id="233" w:author="Author">
              <w:r>
                <w:delText>A</w:delText>
              </w:r>
            </w:del>
            <w:ins w:id="234" w:author="Author">
              <w:r>
                <w:t>a</w:t>
              </w:r>
            </w:ins>
            <w:r>
              <w:t>re crăpături sau piese rupte</w:t>
            </w:r>
            <w:r>
              <w:rPr>
                <w:szCs w:val="22"/>
              </w:rPr>
              <w:t>.</w:t>
            </w:r>
          </w:p>
          <w:p w14:paraId="6683C632"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hanging="357"/>
              <w:textAlignment w:val="center"/>
              <w:rPr>
                <w:szCs w:val="22"/>
              </w:rPr>
            </w:pPr>
            <w:del w:id="235" w:author="Author">
              <w:r>
                <w:rPr>
                  <w:szCs w:val="22"/>
                </w:rPr>
                <w:delText>A</w:delText>
              </w:r>
            </w:del>
            <w:ins w:id="236" w:author="Author">
              <w:r>
                <w:rPr>
                  <w:szCs w:val="22"/>
                </w:rPr>
                <w:t>a</w:t>
              </w:r>
            </w:ins>
            <w:r>
              <w:rPr>
                <w:szCs w:val="22"/>
              </w:rPr>
              <w:t xml:space="preserve"> fost scăpat pe o suprafață dură.</w:t>
            </w:r>
          </w:p>
        </w:tc>
      </w:tr>
      <w:tr w:rsidR="00C04CAD" w14:paraId="61040A3F" w14:textId="77777777">
        <w:trPr>
          <w:cantSplit/>
          <w:trHeight w:val="57"/>
        </w:trPr>
        <w:tc>
          <w:tcPr>
            <w:tcW w:w="356" w:type="pct"/>
            <w:tcBorders>
              <w:top w:val="nil"/>
              <w:bottom w:val="nil"/>
              <w:right w:val="nil"/>
            </w:tcBorders>
            <w:tcMar>
              <w:top w:w="28" w:type="dxa"/>
              <w:left w:w="57" w:type="dxa"/>
              <w:bottom w:w="28" w:type="dxa"/>
              <w:right w:w="57" w:type="dxa"/>
            </w:tcMar>
          </w:tcPr>
          <w:p w14:paraId="79644C2B" w14:textId="77777777" w:rsidR="00C04CAD" w:rsidRDefault="00C04CAD">
            <w:pPr>
              <w:numPr>
                <w:ilvl w:val="0"/>
                <w:numId w:val="102"/>
              </w:numPr>
              <w:tabs>
                <w:tab w:val="clear" w:pos="567"/>
              </w:tabs>
              <w:spacing w:line="240" w:lineRule="auto"/>
              <w:ind w:left="567" w:hanging="567"/>
            </w:pPr>
          </w:p>
        </w:tc>
        <w:tc>
          <w:tcPr>
            <w:tcW w:w="4644" w:type="pct"/>
            <w:gridSpan w:val="3"/>
            <w:tcBorders>
              <w:top w:val="nil"/>
              <w:left w:val="nil"/>
              <w:bottom w:val="nil"/>
            </w:tcBorders>
            <w:tcMar>
              <w:left w:w="0" w:type="dxa"/>
            </w:tcMar>
          </w:tcPr>
          <w:p w14:paraId="17CAFACB" w14:textId="77777777" w:rsidR="00C04CAD" w:rsidRDefault="00060E34">
            <w:pPr>
              <w:spacing w:line="240" w:lineRule="auto"/>
            </w:pPr>
            <w:r>
              <w:rPr>
                <w:szCs w:val="22"/>
              </w:rPr>
              <w:t>Asigurați-vă că aveți medicamentul și doza corecte.</w:t>
            </w:r>
          </w:p>
        </w:tc>
      </w:tr>
      <w:tr w:rsidR="00C04CAD" w14:paraId="61692F1C" w14:textId="77777777">
        <w:trPr>
          <w:cantSplit/>
          <w:trHeight w:val="57"/>
          <w:del w:id="237" w:author="Author"/>
        </w:trPr>
        <w:tc>
          <w:tcPr>
            <w:tcW w:w="5000" w:type="pct"/>
            <w:gridSpan w:val="4"/>
            <w:tcBorders>
              <w:top w:val="nil"/>
              <w:bottom w:val="single" w:sz="4" w:space="0" w:color="auto"/>
            </w:tcBorders>
            <w:tcMar>
              <w:top w:w="28" w:type="dxa"/>
              <w:left w:w="57" w:type="dxa"/>
              <w:bottom w:w="28" w:type="dxa"/>
              <w:right w:w="57" w:type="dxa"/>
            </w:tcMar>
          </w:tcPr>
          <w:p w14:paraId="7309FE2E" w14:textId="77777777" w:rsidR="00C04CAD" w:rsidRDefault="00060E34">
            <w:pPr>
              <w:spacing w:line="240" w:lineRule="auto"/>
              <w:rPr>
                <w:del w:id="238" w:author="Author"/>
                <w:szCs w:val="22"/>
              </w:rPr>
            </w:pPr>
            <w:del w:id="239" w:author="Author">
              <w:r>
                <w:rPr>
                  <w:noProof/>
                </w:rPr>
                <mc:AlternateContent>
                  <mc:Choice Requires="wps">
                    <w:drawing>
                      <wp:anchor distT="45720" distB="45720" distL="114300" distR="114300" simplePos="0" relativeHeight="251691008" behindDoc="0" locked="0" layoutInCell="1" allowOverlap="1" wp14:anchorId="3E16ED18" wp14:editId="1092924E">
                        <wp:simplePos x="0" y="0"/>
                        <wp:positionH relativeFrom="margin">
                          <wp:posOffset>6985</wp:posOffset>
                        </wp:positionH>
                        <wp:positionV relativeFrom="paragraph">
                          <wp:posOffset>81280</wp:posOffset>
                        </wp:positionV>
                        <wp:extent cx="5575935" cy="431800"/>
                        <wp:effectExtent l="0" t="0" r="5715" b="6350"/>
                        <wp:wrapSquare wrapText="bothSides"/>
                        <wp:docPr id="11478734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069B0CD6" w14:textId="77777777" w:rsidR="00C04CAD" w:rsidRDefault="00060E34">
                                    <w:pPr>
                                      <w:spacing w:line="240" w:lineRule="auto"/>
                                      <w:rPr>
                                        <w:szCs w:val="22"/>
                                      </w:rPr>
                                    </w:pPr>
                                    <w:del w:id="240" w:author="Author">
                                      <w:r>
                                        <w:rPr>
                                          <w:b/>
                                          <w:bCs/>
                                        </w:rPr>
                                        <w:delText xml:space="preserve">Important: </w:delText>
                                      </w:r>
                                      <w:r>
                                        <w:delText>Dacă medicamentul este tulbure sau decolorat sau dacă acesta conține flocoane, contactați-vă medicul sau furnizorul de servicii medicale</w:delText>
                                      </w:r>
                                      <w:r>
                                        <w:rPr>
                                          <w:szCs w:val="22"/>
                                        </w:rPr>
                                        <w:delTex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E16ED18" id="_x0000_s1041" type="#_x0000_t202" style="position:absolute;margin-left:.55pt;margin-top:6.4pt;width:439.05pt;height:34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qR7CA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4oYhGR&#10;ooA1NE8kIcKhRWmk6NAB/uRsoPasuP+xE6g4Mx8slWExnc9jPydjXlzPyMBLT33pEVYSVMUDZ4fj&#10;OqQZSAq5OyrXRiclz5kcc6a2SwIfRyT29aWdXp0HefULAAD//wMAUEsDBBQABgAIAAAAIQDfHVen&#10;2wAAAAcBAAAPAAAAZHJzL2Rvd25yZXYueG1sTI9PS8NAEMXvgt9hGcGb3TRIjTGbIkIRvJlKe53u&#10;TpPg/onZbRK/veNJTzOP93jzm2q7OCsmGmMfvIL1KgNBXgfT+1bBx353V4CICb1BGzwp+KYI2/r6&#10;qsLShNm/09SkVnCJjyUq6FIaSimj7shhXIWBPHvnMDpMLMdWmhFnLndW5lm2kQ57zxc6HOilI/3Z&#10;XJyC3QbPw/H13urprfnSh8PcH/etUrc3y/MTiERL+gvDLz6jQ81Mp3DxJgrLes1BHjk/wHbx8JiD&#10;OPGSFSDrSv7nr38AAAD//wMAUEsBAi0AFAAGAAgAAAAhALaDOJL+AAAA4QEAABMAAAAAAAAAAAAA&#10;AAAAAAAAAFtDb250ZW50X1R5cGVzXS54bWxQSwECLQAUAAYACAAAACEAOP0h/9YAAACUAQAACwAA&#10;AAAAAAAAAAAAAAAvAQAAX3JlbHMvLnJlbHNQSwECLQAUAAYACAAAACEAo66kewgCAAAQBAAADgAA&#10;AAAAAAAAAAAAAAAuAgAAZHJzL2Uyb0RvYy54bWxQSwECLQAUAAYACAAAACEA3x1Xp9sAAAAHAQAA&#10;DwAAAAAAAAAAAAAAAABiBAAAZHJzL2Rvd25yZXYueG1sUEsFBgAAAAAEAAQA8wAAAGoFAAAAAA==&#10;" strokecolor="red" strokeweight="1.5pt">
                        <v:textbox style="mso-fit-shape-to-text:t">
                          <w:txbxContent>
                            <w:p w14:paraId="069B0CD6" w14:textId="77777777" w:rsidR="00C04CAD" w:rsidRDefault="00060E34">
                              <w:pPr>
                                <w:spacing w:line="240" w:lineRule="auto"/>
                                <w:rPr>
                                  <w:szCs w:val="22"/>
                                </w:rPr>
                              </w:pPr>
                              <w:del w:id="252" w:author="Author">
                                <w:r>
                                  <w:rPr>
                                    <w:b/>
                                    <w:bCs/>
                                  </w:rPr>
                                  <w:delText xml:space="preserve">Important: </w:delText>
                                </w:r>
                                <w:r>
                                  <w:delText>Dacă medicamentul este tulbure sau decolorat sau dacă acesta conține flocoane, contactați-vă medicul sau furnizorul de servicii medicale</w:delText>
                                </w:r>
                                <w:r>
                                  <w:rPr>
                                    <w:szCs w:val="22"/>
                                  </w:rPr>
                                  <w:delText>.</w:delText>
                                </w:r>
                              </w:del>
                            </w:p>
                          </w:txbxContent>
                        </v:textbox>
                        <w10:wrap type="square" anchorx="margin"/>
                      </v:shape>
                    </w:pict>
                  </mc:Fallback>
                </mc:AlternateContent>
              </w:r>
            </w:del>
          </w:p>
        </w:tc>
      </w:tr>
    </w:tbl>
    <w:p w14:paraId="1B411D84" w14:textId="77777777" w:rsidR="00C04CAD" w:rsidRDefault="00C04CAD">
      <w:pPr>
        <w:spacing w:line="240" w:lineRule="auto"/>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560"/>
        <w:gridCol w:w="3495"/>
        <w:gridCol w:w="4207"/>
      </w:tblGrid>
      <w:tr w:rsidR="00C04CAD" w14:paraId="302FEA9B" w14:textId="77777777">
        <w:trPr>
          <w:cantSplit/>
          <w:trHeight w:val="57"/>
        </w:trPr>
        <w:tc>
          <w:tcPr>
            <w:tcW w:w="383" w:type="pct"/>
            <w:tcBorders>
              <w:bottom w:val="single" w:sz="4" w:space="0" w:color="auto"/>
            </w:tcBorders>
            <w:tcMar>
              <w:top w:w="28" w:type="dxa"/>
              <w:left w:w="57" w:type="dxa"/>
              <w:bottom w:w="28" w:type="dxa"/>
              <w:right w:w="57" w:type="dxa"/>
            </w:tcMar>
          </w:tcPr>
          <w:p w14:paraId="2C160A5A" w14:textId="77777777" w:rsidR="00C04CAD" w:rsidRDefault="00060E34">
            <w:pPr>
              <w:keepNext/>
              <w:spacing w:line="240" w:lineRule="auto"/>
              <w:rPr>
                <w:b/>
                <w:bCs/>
              </w:rPr>
            </w:pPr>
            <w:r>
              <w:rPr>
                <w:b/>
                <w:bCs/>
              </w:rPr>
              <w:t>3</w:t>
            </w:r>
          </w:p>
        </w:tc>
        <w:tc>
          <w:tcPr>
            <w:tcW w:w="4617" w:type="pct"/>
            <w:gridSpan w:val="3"/>
            <w:tcBorders>
              <w:bottom w:val="single" w:sz="4" w:space="0" w:color="auto"/>
            </w:tcBorders>
            <w:tcMar>
              <w:top w:w="28" w:type="dxa"/>
              <w:left w:w="57" w:type="dxa"/>
              <w:bottom w:w="28" w:type="dxa"/>
              <w:right w:w="57" w:type="dxa"/>
            </w:tcMar>
          </w:tcPr>
          <w:p w14:paraId="6497D76A" w14:textId="77777777" w:rsidR="00C04CAD" w:rsidRDefault="00060E34">
            <w:pPr>
              <w:pStyle w:val="ListParagraph"/>
              <w:spacing w:line="240" w:lineRule="auto"/>
              <w:ind w:left="567" w:hanging="567"/>
              <w:rPr>
                <w:b/>
                <w:bCs/>
                <w:szCs w:val="22"/>
              </w:rPr>
            </w:pPr>
            <w:r>
              <w:rPr>
                <w:b/>
              </w:rPr>
              <w:t>Pregătirea pentru injecție</w:t>
            </w:r>
          </w:p>
        </w:tc>
      </w:tr>
      <w:tr w:rsidR="00C04CAD" w14:paraId="21517C74" w14:textId="77777777">
        <w:trPr>
          <w:cantSplit/>
          <w:trHeight w:val="57"/>
        </w:trPr>
        <w:tc>
          <w:tcPr>
            <w:tcW w:w="383" w:type="pct"/>
            <w:tcBorders>
              <w:bottom w:val="single" w:sz="4" w:space="0" w:color="auto"/>
            </w:tcBorders>
            <w:tcMar>
              <w:top w:w="28" w:type="dxa"/>
              <w:left w:w="57" w:type="dxa"/>
              <w:bottom w:w="28" w:type="dxa"/>
              <w:right w:w="57" w:type="dxa"/>
            </w:tcMar>
          </w:tcPr>
          <w:p w14:paraId="394801C5" w14:textId="77777777" w:rsidR="00C04CAD" w:rsidRDefault="00060E34">
            <w:pPr>
              <w:keepNext/>
              <w:spacing w:line="240" w:lineRule="auto"/>
              <w:rPr>
                <w:b/>
                <w:bCs/>
              </w:rPr>
            </w:pPr>
            <w:r>
              <w:rPr>
                <w:b/>
                <w:bCs/>
              </w:rPr>
              <w:t>3a</w:t>
            </w:r>
          </w:p>
        </w:tc>
        <w:tc>
          <w:tcPr>
            <w:tcW w:w="4617" w:type="pct"/>
            <w:gridSpan w:val="3"/>
            <w:tcBorders>
              <w:bottom w:val="single" w:sz="4" w:space="0" w:color="auto"/>
            </w:tcBorders>
            <w:tcMar>
              <w:top w:w="28" w:type="dxa"/>
              <w:left w:w="57" w:type="dxa"/>
              <w:bottom w:w="28" w:type="dxa"/>
              <w:right w:w="57" w:type="dxa"/>
            </w:tcMar>
          </w:tcPr>
          <w:p w14:paraId="1A78A4A8" w14:textId="77777777" w:rsidR="00C04CAD" w:rsidRDefault="00060E34">
            <w:pPr>
              <w:pStyle w:val="ListParagraph"/>
              <w:spacing w:line="240" w:lineRule="auto"/>
              <w:ind w:left="567" w:hanging="567"/>
              <w:rPr>
                <w:szCs w:val="22"/>
              </w:rPr>
            </w:pPr>
            <w:r>
              <w:rPr>
                <w:b/>
              </w:rPr>
              <w:t xml:space="preserve">Adunați și așezați </w:t>
            </w:r>
            <w:ins w:id="241" w:author="Author">
              <w:r>
                <w:rPr>
                  <w:b/>
                </w:rPr>
                <w:t xml:space="preserve">următoarele </w:t>
              </w:r>
            </w:ins>
            <w:r>
              <w:rPr>
                <w:b/>
              </w:rPr>
              <w:t>articole</w:t>
            </w:r>
            <w:del w:id="242" w:author="Author">
              <w:r>
                <w:rPr>
                  <w:b/>
                </w:rPr>
                <w:delText>le</w:delText>
              </w:r>
            </w:del>
            <w:r>
              <w:rPr>
                <w:b/>
              </w:rPr>
              <w:t xml:space="preserve"> pentru injectare pe o suprafață curată, </w:t>
            </w:r>
            <w:ins w:id="243" w:author="Author">
              <w:r>
                <w:rPr>
                  <w:b/>
                </w:rPr>
                <w:t xml:space="preserve">plană și </w:t>
              </w:r>
            </w:ins>
            <w:r>
              <w:rPr>
                <w:b/>
              </w:rPr>
              <w:t>bine iluminată</w:t>
            </w:r>
            <w:r>
              <w:rPr>
                <w:b/>
                <w:bCs/>
                <w:szCs w:val="22"/>
              </w:rPr>
              <w:t>.</w:t>
            </w:r>
          </w:p>
        </w:tc>
      </w:tr>
      <w:tr w:rsidR="00C04CAD" w14:paraId="055DF2EC" w14:textId="77777777">
        <w:trPr>
          <w:cantSplit/>
          <w:trHeight w:val="2070"/>
        </w:trPr>
        <w:tc>
          <w:tcPr>
            <w:tcW w:w="696"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4E202330" w14:textId="77777777" w:rsidR="00C04CAD" w:rsidRDefault="00C04CAD">
            <w:pPr>
              <w:pStyle w:val="ListParagraph"/>
              <w:keepNext/>
              <w:spacing w:line="240" w:lineRule="auto"/>
              <w:ind w:left="567" w:hanging="567"/>
            </w:pPr>
          </w:p>
          <w:p w14:paraId="41F2D95B" w14:textId="77777777" w:rsidR="00C04CAD" w:rsidRDefault="00C04CAD">
            <w:pPr>
              <w:pStyle w:val="ListParagraph"/>
              <w:keepNext/>
              <w:spacing w:line="240" w:lineRule="auto"/>
              <w:ind w:left="567" w:hanging="567"/>
            </w:pPr>
          </w:p>
          <w:p w14:paraId="1C8947A3" w14:textId="77777777" w:rsidR="00C04CAD" w:rsidRDefault="00C04CAD">
            <w:pPr>
              <w:pStyle w:val="ListParagraph"/>
              <w:keepNext/>
              <w:spacing w:line="240" w:lineRule="auto"/>
              <w:ind w:left="567" w:hanging="567"/>
            </w:pPr>
          </w:p>
          <w:p w14:paraId="598DE7F1" w14:textId="77777777" w:rsidR="00C04CAD" w:rsidRDefault="00C04CAD">
            <w:pPr>
              <w:pStyle w:val="ListParagraph"/>
              <w:keepNext/>
              <w:spacing w:line="240" w:lineRule="auto"/>
              <w:ind w:left="567" w:hanging="567"/>
            </w:pPr>
          </w:p>
          <w:p w14:paraId="3407FD71" w14:textId="77777777" w:rsidR="00C04CAD" w:rsidRDefault="00C04CAD">
            <w:pPr>
              <w:pStyle w:val="ListParagraph"/>
              <w:keepNext/>
              <w:spacing w:line="240" w:lineRule="auto"/>
              <w:ind w:left="567" w:hanging="567"/>
            </w:pPr>
          </w:p>
          <w:p w14:paraId="31929951" w14:textId="77777777" w:rsidR="00C04CAD" w:rsidRDefault="00060E34">
            <w:pPr>
              <w:spacing w:line="240" w:lineRule="auto"/>
              <w:rPr>
                <w:szCs w:val="22"/>
              </w:rPr>
            </w:pPr>
            <w:r>
              <w:rPr>
                <w:szCs w:val="22"/>
              </w:rPr>
              <w:t>Recipient pentru</w:t>
            </w:r>
          </w:p>
          <w:p w14:paraId="601073EB" w14:textId="77777777" w:rsidR="00C04CAD" w:rsidRDefault="00060E34">
            <w:pPr>
              <w:spacing w:line="240" w:lineRule="auto"/>
              <w:rPr>
                <w:szCs w:val="22"/>
              </w:rPr>
            </w:pPr>
            <w:r>
              <w:rPr>
                <w:szCs w:val="22"/>
              </w:rPr>
              <w:t>eliminarea la deșeuri</w:t>
            </w:r>
          </w:p>
          <w:p w14:paraId="723BE0C0" w14:textId="77777777" w:rsidR="00C04CAD" w:rsidRDefault="00060E34">
            <w:pPr>
              <w:pStyle w:val="ListParagraph"/>
              <w:keepNext/>
              <w:spacing w:line="240" w:lineRule="auto"/>
              <w:ind w:left="0"/>
            </w:pPr>
            <w:r>
              <w:rPr>
                <w:szCs w:val="22"/>
              </w:rPr>
              <w:t>a obiectelor ascuțite</w:t>
            </w:r>
          </w:p>
        </w:tc>
        <w:tc>
          <w:tcPr>
            <w:tcW w:w="1953" w:type="pct"/>
            <w:tcBorders>
              <w:top w:val="single" w:sz="4" w:space="0" w:color="auto"/>
              <w:left w:val="nil"/>
              <w:bottom w:val="single" w:sz="4" w:space="0" w:color="auto"/>
              <w:right w:val="nil"/>
            </w:tcBorders>
          </w:tcPr>
          <w:p w14:paraId="7E2A128B" w14:textId="77777777" w:rsidR="00C04CAD" w:rsidRDefault="00060E34">
            <w:pPr>
              <w:pStyle w:val="ListParagraph"/>
              <w:keepNext/>
              <w:spacing w:line="240" w:lineRule="auto"/>
              <w:ind w:left="567" w:hanging="567"/>
            </w:pPr>
            <w:r>
              <w:rPr>
                <w:noProof/>
              </w:rPr>
              <w:drawing>
                <wp:anchor distT="0" distB="0" distL="114300" distR="114300" simplePos="0" relativeHeight="251676672" behindDoc="0" locked="0" layoutInCell="1" allowOverlap="1" wp14:anchorId="620372FB" wp14:editId="395EED50">
                  <wp:simplePos x="0" y="0"/>
                  <wp:positionH relativeFrom="column">
                    <wp:posOffset>21590</wp:posOffset>
                  </wp:positionH>
                  <wp:positionV relativeFrom="paragraph">
                    <wp:posOffset>-1518920</wp:posOffset>
                  </wp:positionV>
                  <wp:extent cx="1830705" cy="1683385"/>
                  <wp:effectExtent l="0" t="0" r="0" b="0"/>
                  <wp:wrapTopAndBottom/>
                  <wp:docPr id="17519254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25454"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830705" cy="1683385"/>
                          </a:xfrm>
                          <a:prstGeom prst="rect">
                            <a:avLst/>
                          </a:prstGeom>
                          <a:noFill/>
                        </pic:spPr>
                      </pic:pic>
                    </a:graphicData>
                  </a:graphic>
                </wp:anchor>
              </w:drawing>
            </w:r>
          </w:p>
          <w:p w14:paraId="2F1654CF" w14:textId="77777777" w:rsidR="00C04CAD" w:rsidRDefault="00C04CAD">
            <w:pPr>
              <w:pStyle w:val="ListParagraph"/>
              <w:keepNext/>
              <w:spacing w:line="240" w:lineRule="auto"/>
              <w:ind w:left="567" w:hanging="567"/>
            </w:pPr>
          </w:p>
          <w:p w14:paraId="06C05BD9" w14:textId="77777777" w:rsidR="00C04CAD" w:rsidRDefault="00C04CAD">
            <w:pPr>
              <w:pStyle w:val="ListParagraph"/>
              <w:keepNext/>
              <w:spacing w:line="240" w:lineRule="auto"/>
              <w:ind w:left="567" w:hanging="567"/>
            </w:pPr>
          </w:p>
        </w:tc>
        <w:tc>
          <w:tcPr>
            <w:tcW w:w="2351" w:type="pct"/>
            <w:tcBorders>
              <w:top w:val="single" w:sz="4" w:space="0" w:color="auto"/>
              <w:left w:val="nil"/>
              <w:bottom w:val="single" w:sz="4" w:space="0" w:color="auto"/>
              <w:right w:val="single" w:sz="4" w:space="0" w:color="auto"/>
            </w:tcBorders>
          </w:tcPr>
          <w:p w14:paraId="1C9054B9" w14:textId="77777777" w:rsidR="00C04CAD" w:rsidRDefault="00C04CAD">
            <w:pPr>
              <w:pStyle w:val="ListParagraph"/>
              <w:spacing w:line="240" w:lineRule="auto"/>
              <w:ind w:left="567" w:hanging="567"/>
              <w:rPr>
                <w:b/>
                <w:bCs/>
              </w:rPr>
            </w:pPr>
          </w:p>
          <w:p w14:paraId="680EFC38" w14:textId="77777777" w:rsidR="00C04CAD" w:rsidRDefault="00060E34">
            <w:pPr>
              <w:pStyle w:val="ListParagraph"/>
              <w:spacing w:line="240" w:lineRule="auto"/>
              <w:ind w:left="567" w:hanging="567"/>
              <w:rPr>
                <w:szCs w:val="22"/>
              </w:rPr>
            </w:pPr>
            <w:r>
              <w:t>Şerveţel cu alcool</w:t>
            </w:r>
          </w:p>
          <w:p w14:paraId="21EEE755" w14:textId="77777777" w:rsidR="00C04CAD" w:rsidRDefault="00C04CAD">
            <w:pPr>
              <w:pStyle w:val="ListParagraph"/>
              <w:spacing w:line="240" w:lineRule="auto"/>
              <w:ind w:left="567" w:hanging="567"/>
              <w:rPr>
                <w:b/>
                <w:bCs/>
                <w:szCs w:val="22"/>
              </w:rPr>
            </w:pPr>
          </w:p>
          <w:p w14:paraId="652D6C70" w14:textId="77777777" w:rsidR="00C04CAD" w:rsidRDefault="00C04CAD">
            <w:pPr>
              <w:pStyle w:val="ListParagraph"/>
              <w:spacing w:line="240" w:lineRule="auto"/>
              <w:ind w:left="567" w:hanging="567"/>
              <w:rPr>
                <w:b/>
                <w:bCs/>
                <w:szCs w:val="22"/>
              </w:rPr>
            </w:pPr>
          </w:p>
          <w:p w14:paraId="1AA5E63F" w14:textId="77777777" w:rsidR="00C04CAD" w:rsidRDefault="00060E34">
            <w:pPr>
              <w:pStyle w:val="ListParagraph"/>
              <w:spacing w:line="240" w:lineRule="auto"/>
              <w:ind w:left="567" w:hanging="567"/>
              <w:rPr>
                <w:szCs w:val="22"/>
              </w:rPr>
            </w:pPr>
            <w:r>
              <w:rPr>
                <w:szCs w:val="22"/>
              </w:rPr>
              <w:t>Plasture</w:t>
            </w:r>
          </w:p>
          <w:p w14:paraId="697EC564" w14:textId="77777777" w:rsidR="00C04CAD" w:rsidRDefault="00C04CAD">
            <w:pPr>
              <w:pStyle w:val="ListParagraph"/>
              <w:spacing w:line="240" w:lineRule="auto"/>
              <w:ind w:left="567" w:hanging="567"/>
              <w:rPr>
                <w:szCs w:val="22"/>
              </w:rPr>
            </w:pPr>
          </w:p>
          <w:p w14:paraId="3F678A9C" w14:textId="77777777" w:rsidR="00C04CAD" w:rsidRDefault="00C04CAD">
            <w:pPr>
              <w:pStyle w:val="ListParagraph"/>
              <w:spacing w:line="240" w:lineRule="auto"/>
              <w:ind w:left="567" w:hanging="567"/>
              <w:rPr>
                <w:szCs w:val="22"/>
              </w:rPr>
            </w:pPr>
          </w:p>
          <w:p w14:paraId="023D5120" w14:textId="77777777" w:rsidR="00C04CAD" w:rsidRDefault="00060E34">
            <w:pPr>
              <w:pStyle w:val="ListParagraph"/>
              <w:spacing w:line="240" w:lineRule="auto"/>
              <w:ind w:left="567" w:hanging="567"/>
              <w:rPr>
                <w:szCs w:val="22"/>
              </w:rPr>
            </w:pPr>
            <w:r>
              <w:t>Tampon de vată sau compresă de tifon</w:t>
            </w:r>
          </w:p>
        </w:tc>
      </w:tr>
      <w:tr w:rsidR="00C04CAD" w14:paraId="5277C6E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03D075B"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404FDA55" w14:textId="77777777" w:rsidR="00C04CAD" w:rsidRDefault="00060E34">
            <w:pPr>
              <w:pStyle w:val="ListParagraph"/>
              <w:keepNext/>
              <w:keepLines/>
              <w:suppressAutoHyphens/>
              <w:autoSpaceDE w:val="0"/>
              <w:autoSpaceDN w:val="0"/>
              <w:adjustRightInd w:val="0"/>
              <w:spacing w:line="240" w:lineRule="auto"/>
              <w:ind w:left="0"/>
              <w:textAlignment w:val="center"/>
              <w:rPr>
                <w:lang w:eastAsia="en-US"/>
              </w:rPr>
            </w:pPr>
            <w:r>
              <w:rPr>
                <w:lang w:eastAsia="en-US"/>
              </w:rPr>
              <w:t>Pen preumplut AMGEVITA (</w:t>
            </w:r>
            <w:r>
              <w:t>temperatura camerei</w:t>
            </w:r>
            <w:r>
              <w:rPr>
                <w:lang w:eastAsia="en-US"/>
              </w:rPr>
              <w:t>)</w:t>
            </w:r>
          </w:p>
        </w:tc>
      </w:tr>
      <w:tr w:rsidR="00C04CAD" w14:paraId="785CE871" w14:textId="77777777">
        <w:trPr>
          <w:cantSplit/>
          <w:trHeight w:val="57"/>
        </w:trPr>
        <w:tc>
          <w:tcPr>
            <w:tcW w:w="383" w:type="pct"/>
            <w:tcBorders>
              <w:top w:val="nil"/>
              <w:bottom w:val="nil"/>
              <w:right w:val="nil"/>
            </w:tcBorders>
            <w:tcMar>
              <w:top w:w="28" w:type="dxa"/>
              <w:left w:w="57" w:type="dxa"/>
              <w:bottom w:w="28" w:type="dxa"/>
              <w:right w:w="57" w:type="dxa"/>
            </w:tcMar>
          </w:tcPr>
          <w:p w14:paraId="58155218"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44FB50F0" w14:textId="77777777" w:rsidR="00C04CAD" w:rsidRDefault="00060E34">
            <w:pPr>
              <w:pStyle w:val="ListParagraph"/>
              <w:keepNext/>
              <w:keepLines/>
              <w:suppressAutoHyphens/>
              <w:autoSpaceDE w:val="0"/>
              <w:autoSpaceDN w:val="0"/>
              <w:adjustRightInd w:val="0"/>
              <w:spacing w:line="240" w:lineRule="auto"/>
              <w:ind w:left="0"/>
              <w:textAlignment w:val="center"/>
              <w:rPr>
                <w:lang w:eastAsia="en-US"/>
              </w:rPr>
            </w:pPr>
            <w:r>
              <w:t>Recipient pentru eliminarea la deșeuri a obiectelor ascuțite</w:t>
            </w:r>
            <w:r>
              <w:rPr>
                <w:lang w:eastAsia="en-US"/>
              </w:rPr>
              <w:t xml:space="preserve"> </w:t>
            </w:r>
          </w:p>
        </w:tc>
      </w:tr>
      <w:tr w:rsidR="00C04CAD" w14:paraId="5315FCAE" w14:textId="77777777">
        <w:trPr>
          <w:cantSplit/>
          <w:trHeight w:val="57"/>
        </w:trPr>
        <w:tc>
          <w:tcPr>
            <w:tcW w:w="383" w:type="pct"/>
            <w:tcBorders>
              <w:top w:val="nil"/>
              <w:bottom w:val="nil"/>
              <w:right w:val="nil"/>
            </w:tcBorders>
            <w:tcMar>
              <w:top w:w="28" w:type="dxa"/>
              <w:left w:w="57" w:type="dxa"/>
              <w:bottom w:w="28" w:type="dxa"/>
              <w:right w:w="57" w:type="dxa"/>
            </w:tcMar>
          </w:tcPr>
          <w:p w14:paraId="1F4E2E6A"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155759A0" w14:textId="77777777" w:rsidR="00C04CAD" w:rsidRDefault="00060E34">
            <w:pPr>
              <w:spacing w:line="240" w:lineRule="auto"/>
            </w:pPr>
            <w:r>
              <w:t>Şerveţel cu alcool</w:t>
            </w:r>
          </w:p>
        </w:tc>
      </w:tr>
      <w:tr w:rsidR="00C04CAD" w14:paraId="0004D898" w14:textId="77777777">
        <w:trPr>
          <w:cantSplit/>
          <w:trHeight w:val="57"/>
        </w:trPr>
        <w:tc>
          <w:tcPr>
            <w:tcW w:w="383" w:type="pct"/>
            <w:tcBorders>
              <w:top w:val="nil"/>
              <w:bottom w:val="nil"/>
              <w:right w:val="nil"/>
            </w:tcBorders>
            <w:tcMar>
              <w:top w:w="28" w:type="dxa"/>
              <w:left w:w="57" w:type="dxa"/>
              <w:bottom w:w="28" w:type="dxa"/>
              <w:right w:w="57" w:type="dxa"/>
            </w:tcMar>
          </w:tcPr>
          <w:p w14:paraId="0D8B89D6"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3D339C6D" w14:textId="77777777" w:rsidR="00C04CAD" w:rsidRDefault="00060E34">
            <w:pPr>
              <w:spacing w:line="240" w:lineRule="auto"/>
            </w:pPr>
            <w:r>
              <w:t>Plasture</w:t>
            </w:r>
          </w:p>
        </w:tc>
      </w:tr>
      <w:tr w:rsidR="00C04CAD" w14:paraId="41B12AF2"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54F5EE46"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single" w:sz="4" w:space="0" w:color="auto"/>
            </w:tcBorders>
            <w:tcMar>
              <w:left w:w="0" w:type="dxa"/>
            </w:tcMar>
          </w:tcPr>
          <w:p w14:paraId="79C2CFF7" w14:textId="77777777" w:rsidR="00C04CAD" w:rsidRDefault="00060E34">
            <w:pPr>
              <w:spacing w:line="240" w:lineRule="auto"/>
              <w:rPr>
                <w:b/>
                <w:bCs/>
              </w:rPr>
            </w:pPr>
            <w:r>
              <w:t xml:space="preserve">Tampon de vată sau </w:t>
            </w:r>
            <w:r>
              <w:rPr>
                <w:color w:val="000000"/>
                <w:szCs w:val="22"/>
                <w:lang w:eastAsia="en-US" w:bidi="ar-SA"/>
              </w:rPr>
              <w:t>compresă</w:t>
            </w:r>
            <w:r>
              <w:rPr>
                <w:color w:val="000000"/>
                <w:szCs w:val="22"/>
              </w:rPr>
              <w:t xml:space="preserve"> de</w:t>
            </w:r>
            <w:r>
              <w:t xml:space="preserve"> tifon</w:t>
            </w:r>
          </w:p>
        </w:tc>
      </w:tr>
    </w:tbl>
    <w:p w14:paraId="44C95543" w14:textId="77777777" w:rsidR="00C04CAD" w:rsidRDefault="00C04CAD">
      <w:pPr>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C04CAD" w14:paraId="2B42060F" w14:textId="77777777">
        <w:trPr>
          <w:cantSplit/>
          <w:trHeight w:val="57"/>
        </w:trPr>
        <w:tc>
          <w:tcPr>
            <w:tcW w:w="354" w:type="pct"/>
            <w:tcBorders>
              <w:bottom w:val="single" w:sz="4" w:space="0" w:color="auto"/>
            </w:tcBorders>
            <w:tcMar>
              <w:top w:w="28" w:type="dxa"/>
              <w:left w:w="57" w:type="dxa"/>
              <w:bottom w:w="28" w:type="dxa"/>
              <w:right w:w="57" w:type="dxa"/>
            </w:tcMar>
          </w:tcPr>
          <w:p w14:paraId="7AD8D2E3" w14:textId="77777777" w:rsidR="00C04CAD" w:rsidRDefault="00060E34">
            <w:pPr>
              <w:keepNext/>
              <w:spacing w:line="240" w:lineRule="auto"/>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6B1F4FB7" w14:textId="77777777" w:rsidR="00C04CAD" w:rsidRDefault="00060E34">
            <w:pPr>
              <w:pStyle w:val="ListParagraph"/>
              <w:keepNext/>
              <w:spacing w:line="240" w:lineRule="auto"/>
              <w:ind w:left="567" w:hanging="567"/>
              <w:rPr>
                <w:szCs w:val="22"/>
              </w:rPr>
            </w:pPr>
            <w:r>
              <w:rPr>
                <w:b/>
              </w:rPr>
              <w:t xml:space="preserve">Injectați în </w:t>
            </w:r>
            <w:del w:id="244" w:author="Author">
              <w:r>
                <w:rPr>
                  <w:b/>
                </w:rPr>
                <w:delText xml:space="preserve">una </w:delText>
              </w:r>
            </w:del>
            <w:ins w:id="245" w:author="Author">
              <w:r>
                <w:rPr>
                  <w:b/>
                </w:rPr>
                <w:t xml:space="preserve">1 </w:t>
              </w:r>
            </w:ins>
            <w:r>
              <w:rPr>
                <w:b/>
              </w:rPr>
              <w:t xml:space="preserve">dintre aceste </w:t>
            </w:r>
            <w:del w:id="246" w:author="Author">
              <w:r>
                <w:rPr>
                  <w:b/>
                </w:rPr>
                <w:delText>locații</w:delText>
              </w:r>
            </w:del>
            <w:ins w:id="247" w:author="Author">
              <w:r>
                <w:rPr>
                  <w:b/>
                </w:rPr>
                <w:t>locuri</w:t>
              </w:r>
            </w:ins>
            <w:r>
              <w:rPr>
                <w:b/>
                <w:bCs/>
                <w:szCs w:val="22"/>
              </w:rPr>
              <w:t>.</w:t>
            </w:r>
          </w:p>
        </w:tc>
      </w:tr>
      <w:tr w:rsidR="00C04CAD" w14:paraId="5AA6098A"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EEF3A8E" w14:textId="77777777" w:rsidR="00C04CAD" w:rsidRDefault="00060E34">
            <w:pPr>
              <w:pStyle w:val="ListParagraph"/>
              <w:keepNext/>
              <w:spacing w:line="240" w:lineRule="auto"/>
              <w:ind w:left="567" w:hanging="567"/>
              <w:jc w:val="center"/>
            </w:pPr>
            <w:del w:id="248" w:author="Author">
              <w:r>
                <w:rPr>
                  <w:noProof/>
                </w:rPr>
                <w:drawing>
                  <wp:anchor distT="0" distB="0" distL="114300" distR="114300" simplePos="0" relativeHeight="251680768" behindDoc="0" locked="0" layoutInCell="1" allowOverlap="1" wp14:anchorId="09C2DFA5" wp14:editId="6F831422">
                    <wp:simplePos x="0" y="0"/>
                    <wp:positionH relativeFrom="column">
                      <wp:posOffset>1908810</wp:posOffset>
                    </wp:positionH>
                    <wp:positionV relativeFrom="paragraph">
                      <wp:posOffset>-1791335</wp:posOffset>
                    </wp:positionV>
                    <wp:extent cx="1870075" cy="1960245"/>
                    <wp:effectExtent l="0" t="0" r="0" b="0"/>
                    <wp:wrapTopAndBottom/>
                    <wp:docPr id="21156159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15978"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870075" cy="1960245"/>
                            </a:xfrm>
                            <a:prstGeom prst="rect">
                              <a:avLst/>
                            </a:prstGeom>
                            <a:noFill/>
                          </pic:spPr>
                        </pic:pic>
                      </a:graphicData>
                    </a:graphic>
                  </wp:anchor>
                </w:drawing>
              </w:r>
            </w:del>
            <w:ins w:id="249" w:author="Author">
              <w:r>
                <w:rPr>
                  <w:noProof/>
                </w:rPr>
                <w:drawing>
                  <wp:inline distT="0" distB="0" distL="0" distR="0" wp14:anchorId="71A9B1F8" wp14:editId="06CFDDF7">
                    <wp:extent cx="1381760" cy="1828800"/>
                    <wp:effectExtent l="0" t="0" r="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381760" cy="1828800"/>
                            </a:xfrm>
                            <a:prstGeom prst="rect">
                              <a:avLst/>
                            </a:prstGeom>
                            <a:noFill/>
                            <a:ln>
                              <a:noFill/>
                            </a:ln>
                          </pic:spPr>
                        </pic:pic>
                      </a:graphicData>
                    </a:graphic>
                  </wp:inline>
                </w:drawing>
              </w:r>
            </w:ins>
          </w:p>
        </w:tc>
      </w:tr>
      <w:tr w:rsidR="00C04CAD" w14:paraId="3ECD4362" w14:textId="77777777">
        <w:trPr>
          <w:cantSplit/>
          <w:trHeight w:val="57"/>
        </w:trPr>
        <w:tc>
          <w:tcPr>
            <w:tcW w:w="354" w:type="pct"/>
            <w:tcBorders>
              <w:top w:val="nil"/>
              <w:bottom w:val="nil"/>
              <w:right w:val="nil"/>
            </w:tcBorders>
            <w:tcMar>
              <w:top w:w="28" w:type="dxa"/>
              <w:left w:w="57" w:type="dxa"/>
              <w:bottom w:w="28" w:type="dxa"/>
              <w:right w:w="57" w:type="dxa"/>
            </w:tcMar>
          </w:tcPr>
          <w:p w14:paraId="2EC8D690"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9DC2D93" w14:textId="77777777" w:rsidR="00C04CAD" w:rsidRDefault="00060E34">
            <w:pPr>
              <w:keepNext/>
              <w:tabs>
                <w:tab w:val="left" w:pos="1134"/>
              </w:tabs>
              <w:spacing w:line="240" w:lineRule="auto"/>
              <w:rPr>
                <w:b/>
                <w:bCs/>
              </w:rPr>
            </w:pPr>
            <w:r>
              <w:t xml:space="preserve">Injectaţi în </w:t>
            </w:r>
            <w:ins w:id="250" w:author="Author">
              <w:r>
                <w:t xml:space="preserve">partea din față a </w:t>
              </w:r>
            </w:ins>
            <w:r>
              <w:t>coaps</w:t>
            </w:r>
            <w:del w:id="251" w:author="Author">
              <w:r>
                <w:delText>ă</w:delText>
              </w:r>
            </w:del>
            <w:ins w:id="252" w:author="Author">
              <w:r>
                <w:t>ei</w:t>
              </w:r>
            </w:ins>
            <w:r>
              <w:t xml:space="preserve"> sau în burtă (exceptând suprafața cu o rază de 5 </w:t>
            </w:r>
            <w:del w:id="253" w:author="Author">
              <w:r>
                <w:delText xml:space="preserve">cm </w:delText>
              </w:r>
            </w:del>
            <w:ins w:id="254" w:author="Author">
              <w:r>
                <w:t xml:space="preserve">centimetri </w:t>
              </w:r>
            </w:ins>
            <w:r>
              <w:t>din jurul buricului).</w:t>
            </w:r>
          </w:p>
        </w:tc>
      </w:tr>
      <w:tr w:rsidR="00C04CAD" w14:paraId="6128078C" w14:textId="77777777">
        <w:trPr>
          <w:cantSplit/>
          <w:trHeight w:val="57"/>
        </w:trPr>
        <w:tc>
          <w:tcPr>
            <w:tcW w:w="354" w:type="pct"/>
            <w:tcBorders>
              <w:top w:val="nil"/>
              <w:bottom w:val="nil"/>
              <w:right w:val="nil"/>
            </w:tcBorders>
            <w:tcMar>
              <w:top w:w="28" w:type="dxa"/>
              <w:left w:w="57" w:type="dxa"/>
              <w:bottom w:w="28" w:type="dxa"/>
              <w:right w:w="57" w:type="dxa"/>
            </w:tcMar>
          </w:tcPr>
          <w:p w14:paraId="639EDE6A"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0C78436" w14:textId="77777777" w:rsidR="00C04CAD" w:rsidRDefault="00060E34">
            <w:pPr>
              <w:keepNext/>
              <w:tabs>
                <w:tab w:val="left" w:pos="1134"/>
              </w:tabs>
              <w:spacing w:line="240" w:lineRule="auto"/>
            </w:pPr>
            <w:r>
              <w:t>Alegeţi câte un loc diferit pentru fiecare injecţie</w:t>
            </w:r>
            <w:ins w:id="255" w:author="Author">
              <w:r>
                <w:t>.</w:t>
              </w:r>
            </w:ins>
          </w:p>
        </w:tc>
      </w:tr>
      <w:tr w:rsidR="00C04CAD" w14:paraId="5F49AB24" w14:textId="77777777">
        <w:trPr>
          <w:cantSplit/>
          <w:trHeight w:val="57"/>
        </w:trPr>
        <w:tc>
          <w:tcPr>
            <w:tcW w:w="354" w:type="pct"/>
            <w:tcBorders>
              <w:top w:val="nil"/>
              <w:bottom w:val="nil"/>
              <w:right w:val="nil"/>
            </w:tcBorders>
            <w:tcMar>
              <w:top w:w="28" w:type="dxa"/>
              <w:left w:w="57" w:type="dxa"/>
              <w:bottom w:w="28" w:type="dxa"/>
              <w:right w:w="57" w:type="dxa"/>
            </w:tcMar>
          </w:tcPr>
          <w:p w14:paraId="57B67055"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0D004AFE" w14:textId="77777777" w:rsidR="00C04CAD" w:rsidRDefault="00060E34">
            <w:pPr>
              <w:keepNext/>
              <w:tabs>
                <w:tab w:val="left" w:pos="1134"/>
              </w:tabs>
              <w:spacing w:line="240" w:lineRule="auto"/>
            </w:pPr>
            <w:r>
              <w:t>Spălați-vă mâinile foarte bine cu apă și săpun.</w:t>
            </w:r>
          </w:p>
        </w:tc>
      </w:tr>
      <w:tr w:rsidR="00C04CAD" w14:paraId="46D206F3" w14:textId="77777777">
        <w:trPr>
          <w:cantSplit/>
          <w:trHeight w:val="57"/>
        </w:trPr>
        <w:tc>
          <w:tcPr>
            <w:tcW w:w="354" w:type="pct"/>
            <w:tcBorders>
              <w:top w:val="nil"/>
              <w:bottom w:val="nil"/>
              <w:right w:val="nil"/>
            </w:tcBorders>
            <w:tcMar>
              <w:top w:w="28" w:type="dxa"/>
              <w:left w:w="57" w:type="dxa"/>
              <w:bottom w:w="28" w:type="dxa"/>
              <w:right w:w="57" w:type="dxa"/>
            </w:tcMar>
          </w:tcPr>
          <w:p w14:paraId="28377F1D"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741438C0" w14:textId="77777777" w:rsidR="00C04CAD" w:rsidRDefault="00060E34">
            <w:pPr>
              <w:keepNext/>
              <w:spacing w:line="240" w:lineRule="auto"/>
            </w:pPr>
            <w:r>
              <w:t>Curăţaţi locul de injectare cu un şerveţel cu alcool.</w:t>
            </w:r>
          </w:p>
        </w:tc>
      </w:tr>
      <w:tr w:rsidR="00C04CAD" w14:paraId="0B46431F" w14:textId="77777777">
        <w:trPr>
          <w:cantSplit/>
          <w:trHeight w:val="55"/>
        </w:trPr>
        <w:tc>
          <w:tcPr>
            <w:tcW w:w="354" w:type="pct"/>
            <w:tcBorders>
              <w:top w:val="nil"/>
              <w:bottom w:val="nil"/>
              <w:right w:val="nil"/>
            </w:tcBorders>
            <w:tcMar>
              <w:top w:w="28" w:type="dxa"/>
              <w:left w:w="57" w:type="dxa"/>
              <w:bottom w:w="28" w:type="dxa"/>
              <w:right w:w="57" w:type="dxa"/>
            </w:tcMar>
          </w:tcPr>
          <w:p w14:paraId="02617305"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F863904" w14:textId="77777777" w:rsidR="00C04CAD" w:rsidRDefault="00060E34">
            <w:pPr>
              <w:tabs>
                <w:tab w:val="left" w:pos="1134"/>
              </w:tabs>
              <w:spacing w:line="240" w:lineRule="auto"/>
            </w:pPr>
            <w:r>
              <w:t>Lăsați pielea să se usuce singură.</w:t>
            </w:r>
          </w:p>
        </w:tc>
      </w:tr>
      <w:tr w:rsidR="00C04CAD" w14:paraId="7300C216" w14:textId="77777777">
        <w:trPr>
          <w:cantSplit/>
          <w:trHeight w:val="55"/>
        </w:trPr>
        <w:tc>
          <w:tcPr>
            <w:tcW w:w="354" w:type="pct"/>
            <w:tcBorders>
              <w:top w:val="nil"/>
              <w:bottom w:val="nil"/>
              <w:right w:val="nil"/>
            </w:tcBorders>
            <w:tcMar>
              <w:top w:w="28" w:type="dxa"/>
              <w:left w:w="57" w:type="dxa"/>
              <w:bottom w:w="28" w:type="dxa"/>
              <w:right w:w="57" w:type="dxa"/>
            </w:tcMar>
          </w:tcPr>
          <w:p w14:paraId="2189BFA0"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C891BEA" w14:textId="77777777" w:rsidR="00C04CAD" w:rsidRDefault="00060E34">
            <w:pPr>
              <w:tabs>
                <w:tab w:val="left" w:pos="1134"/>
              </w:tabs>
              <w:spacing w:line="240" w:lineRule="auto"/>
            </w:pPr>
            <w:r>
              <w:rPr>
                <w:b/>
              </w:rPr>
              <w:t>Nu</w:t>
            </w:r>
            <w:r>
              <w:t xml:space="preserve"> atingeţi din nou această zonă înainte de injectare.</w:t>
            </w:r>
          </w:p>
        </w:tc>
      </w:tr>
      <w:tr w:rsidR="00C04CAD" w14:paraId="72C42D39"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F22BD46" w14:textId="77777777" w:rsidR="00C04CAD" w:rsidRDefault="00060E34">
            <w:pPr>
              <w:tabs>
                <w:tab w:val="left" w:pos="1134"/>
              </w:tabs>
              <w:spacing w:line="240" w:lineRule="auto"/>
              <w:rPr>
                <w:b/>
                <w:bCs/>
              </w:rPr>
            </w:pPr>
            <w:r>
              <w:rPr>
                <w:noProof/>
              </w:rPr>
              <mc:AlternateContent>
                <mc:Choice Requires="wps">
                  <w:drawing>
                    <wp:anchor distT="45720" distB="45720" distL="114300" distR="114300" simplePos="0" relativeHeight="251688960" behindDoc="0" locked="0" layoutInCell="1" allowOverlap="1" wp14:anchorId="01098C4B" wp14:editId="6657DB08">
                      <wp:simplePos x="0" y="0"/>
                      <wp:positionH relativeFrom="margin">
                        <wp:posOffset>-2540</wp:posOffset>
                      </wp:positionH>
                      <wp:positionV relativeFrom="paragraph">
                        <wp:posOffset>6350</wp:posOffset>
                      </wp:positionV>
                      <wp:extent cx="5605780" cy="431800"/>
                      <wp:effectExtent l="0" t="0" r="0" b="6350"/>
                      <wp:wrapSquare wrapText="bothSides"/>
                      <wp:docPr id="146084960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3D2BFC20"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1098C4B" id="Text Box 11" o:spid="_x0000_s1042" type="#_x0000_t202" style="position:absolute;margin-left:-.2pt;margin-top:.5pt;width:441.4pt;height:34pt;z-index:251688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BDCAIAABAEAAAOAAAAZHJzL2Uyb0RvYy54bWysU9uO2jAQfa/Uf7D8XhIosGxEWG1ZUVXa&#10;XqRtP8BxHGLV8bhjQ0K/vmPDAtpWfajqB8vjsc/MOTOzvBs6w/YKvQZb8vEo50xZCbW225J/+7p5&#10;s+DMB2FrYcCqkh+U53er16+WvSvUBFowtUJGINYXvSt5G4IrsszLVnXCj8ApS84GsBOBTNxmNYqe&#10;0DuTTfJ8nvWAtUOQynu6fTg6+SrhN42S4XPTeBWYKTnlFtKOaa/inq2WotiicK2WpzTEP2TRCW0p&#10;6BnqQQTBdqh/g+q0RPDQhJGELoOm0VIlDsRmnL9g89QKpxIXEse7s0z+/8HKT/sn9wVZGN7BQAVM&#10;JLx7BPndMwvrVtitukeEvlWipsDjKFnWO1+cvkapfeEjSNV/hJqKLHYBEtDQYBdVIZ6M0KkAh7Po&#10;aghM0uVsns9uFuSS5Ju+HS/yVJVMFM+/HfrwXkHH4qHkSEVN6GL/6EPMRhTPT2IwD0bXG21MMnBb&#10;rQ2yvaAG2KSVCLx4ZizridttPsuPCvwFI6f1J4xOB2plo7uSE4fLI2NPgkWNjmqFoRqYriniPCJF&#10;ASuoDyQhwrFFaaTo0AL+5Kyn9iy5/7ETqDgzHyyV4XY8ncZ+TsZ0djMhA6891bVHWElQJQ+cHY/r&#10;kGYgKeTuqVwbnZS8ZHLKmdouCXwakdjX13Z6dRnk1S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5+JBDCAIAABAEAAAOAAAA&#10;AAAAAAAAAAAAAC4CAABkcnMvZTJvRG9jLnhtbFBLAQItABQABgAIAAAAIQCQcOwl2gAAAAYBAAAP&#10;AAAAAAAAAAAAAAAAAGIEAABkcnMvZG93bnJldi54bWxQSwUGAAAAAAQABADzAAAAaQUAAAAA&#10;" strokecolor="red" strokeweight="1.5pt">
                      <v:textbox style="mso-fit-shape-to-text:t">
                        <w:txbxContent>
                          <w:p w14:paraId="3D2BFC20"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v:textbox>
                      <w10:wrap type="square" anchorx="margin"/>
                    </v:shape>
                  </w:pict>
                </mc:Fallback>
              </mc:AlternateContent>
            </w:r>
          </w:p>
        </w:tc>
      </w:tr>
    </w:tbl>
    <w:p w14:paraId="6B07DB37" w14:textId="77777777" w:rsidR="00C04CAD" w:rsidRDefault="00C04CAD">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C04CAD" w14:paraId="4C22A964" w14:textId="77777777">
        <w:trPr>
          <w:cantSplit/>
          <w:trHeight w:val="57"/>
        </w:trPr>
        <w:tc>
          <w:tcPr>
            <w:tcW w:w="355" w:type="pct"/>
            <w:tcMar>
              <w:top w:w="28" w:type="dxa"/>
              <w:left w:w="57" w:type="dxa"/>
              <w:bottom w:w="28" w:type="dxa"/>
              <w:right w:w="57" w:type="dxa"/>
            </w:tcMar>
          </w:tcPr>
          <w:p w14:paraId="2771C265" w14:textId="77777777" w:rsidR="00C04CAD" w:rsidRDefault="00060E34">
            <w:pPr>
              <w:keepNext/>
              <w:spacing w:line="240" w:lineRule="auto"/>
              <w:rPr>
                <w:b/>
                <w:bCs/>
                <w:szCs w:val="22"/>
              </w:rPr>
            </w:pPr>
            <w:r>
              <w:rPr>
                <w:b/>
                <w:bCs/>
                <w:szCs w:val="22"/>
              </w:rPr>
              <w:t>4</w:t>
            </w:r>
          </w:p>
        </w:tc>
        <w:tc>
          <w:tcPr>
            <w:tcW w:w="4645" w:type="pct"/>
            <w:gridSpan w:val="2"/>
            <w:tcMar>
              <w:top w:w="28" w:type="dxa"/>
              <w:left w:w="57" w:type="dxa"/>
              <w:bottom w:w="28" w:type="dxa"/>
              <w:right w:w="57" w:type="dxa"/>
            </w:tcMar>
          </w:tcPr>
          <w:p w14:paraId="523B6871" w14:textId="77777777" w:rsidR="00C04CAD" w:rsidRDefault="00060E34">
            <w:pPr>
              <w:pStyle w:val="ListParagraph"/>
              <w:spacing w:line="240" w:lineRule="auto"/>
              <w:ind w:left="567" w:hanging="567"/>
              <w:rPr>
                <w:szCs w:val="22"/>
              </w:rPr>
            </w:pPr>
            <w:r>
              <w:rPr>
                <w:b/>
              </w:rPr>
              <w:t>Injectarea</w:t>
            </w:r>
            <w:r>
              <w:rPr>
                <w:b/>
                <w:bCs/>
                <w:szCs w:val="22"/>
              </w:rPr>
              <w:t xml:space="preserve"> AMGEVITA</w:t>
            </w:r>
          </w:p>
        </w:tc>
      </w:tr>
      <w:tr w:rsidR="00C04CAD" w14:paraId="0BFDE624"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68C94235" w14:textId="77777777" w:rsidR="00C04CAD" w:rsidRDefault="00060E34">
            <w:pPr>
              <w:pStyle w:val="ListParagraph"/>
              <w:spacing w:line="240" w:lineRule="auto"/>
              <w:ind w:left="567" w:hanging="567"/>
            </w:pPr>
            <w:r>
              <w:rPr>
                <w:noProof/>
              </w:rPr>
              <mc:AlternateContent>
                <mc:Choice Requires="wps">
                  <w:drawing>
                    <wp:anchor distT="45720" distB="45720" distL="114300" distR="114300" simplePos="0" relativeHeight="251685888" behindDoc="0" locked="0" layoutInCell="1" allowOverlap="1" wp14:anchorId="537AAE2E" wp14:editId="2478EBB6">
                      <wp:simplePos x="0" y="0"/>
                      <wp:positionH relativeFrom="margin">
                        <wp:posOffset>6985</wp:posOffset>
                      </wp:positionH>
                      <wp:positionV relativeFrom="paragraph">
                        <wp:posOffset>1270</wp:posOffset>
                      </wp:positionV>
                      <wp:extent cx="5606415" cy="431800"/>
                      <wp:effectExtent l="0" t="0" r="0" b="6350"/>
                      <wp:wrapSquare wrapText="bothSides"/>
                      <wp:docPr id="53097785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13751596" w14:textId="77777777" w:rsidR="00C04CAD" w:rsidRDefault="00060E34">
                                  <w:pPr>
                                    <w:tabs>
                                      <w:tab w:val="left" w:pos="1134"/>
                                    </w:tabs>
                                    <w:spacing w:line="240" w:lineRule="auto"/>
                                  </w:pPr>
                                  <w:r>
                                    <w:rPr>
                                      <w:b/>
                                      <w:bCs/>
                                    </w:rPr>
                                    <w:t>Important:</w:t>
                                  </w:r>
                                  <w:r>
                                    <w:t xml:space="preserve"> </w:t>
                                  </w:r>
                                  <w:r>
                                    <w:rPr>
                                      <w:bCs/>
                                    </w:rPr>
                                    <w:t>Scoateți capacul galben numai atunci când vă puteți injecta imediat (în decurs de 5 minute), deoarece medicamentul se poate usca</w:t>
                                  </w:r>
                                  <w:r>
                                    <w:t>.</w:t>
                                  </w:r>
                                  <w:ins w:id="256" w:author="Author">
                                    <w:r>
                                      <w:t xml:space="preserve"> Nu puneți capacul la loc.</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37AAE2E" id="Text Box 10" o:spid="_x0000_s1043" type="#_x0000_t202" style="position:absolute;left:0;text-align:left;margin-left:.55pt;margin-top:.1pt;width:441.45pt;height:34pt;z-index:25168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5XTCAIAABAEAAAOAAAAZHJzL2Uyb0RvYy54bWysU9tu2zAMfR+wfxD0vtjOkrQ14hRdigwD&#10;ugvQ7QNkWY6FyaJGKbG7rx+lpEnQDXsYpgdBFKVDnkNyeTv2hu0Veg224sUk50xZCY2224p/+7p5&#10;c82ZD8I2woBVFX9Snt+uXr9aDq5UU+jANAoZgVhfDq7iXQiuzDIvO9ULPwGnLDlbwF4EMnGbNSgG&#10;Qu9NNs3zRTYANg5BKu/p9v7g5KuE37ZKhs9t61VgpuKUW0g7pr2Oe7ZainKLwnVaHtMQ/5BFL7Sl&#10;oCeoexEE26H+DarXEsFDGyYS+gzaVkuVOBCbIn/B5rETTiUuJI53J5n8/4OVn/aP7guyML6DkQqY&#10;SHj3APK7ZxbWnbBbdYcIQ6dEQ4GLKFk2OF8ev0apfekjSD18hIaKLHYBEtDYYh9VIZ6M0KkATyfR&#10;1RiYpMv5Il/Mijlnknyzt8V1nqqSifL5t0Mf3ivoWTxUHKmoCV3sH3yI2Yjy+UkM5sHoZqONSQZu&#10;67VBthfUAJu0EoEXz4xlA3G7yef5QYG/YOS0/oTR60CtbHRfceJwfmTsUbCo0UGtMNYj0w1FvIpI&#10;UcAamieSEOHQojRSdOgAf3I2UHtW3P/YCVScmQ+WynBTzGaxn5Mxm19NycBLT33pEVYSVMUDZ4fj&#10;OqQZSAq5OyrXRiclz5kcc6a2SwIfRyT29aWdXp0HefUL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D0N5XTCAIAABAEAAAOAAAA&#10;AAAAAAAAAAAAAC4CAABkcnMvZTJvRG9jLnhtbFBLAQItABQABgAIAAAAIQBmkiA22gAAAAUBAAAP&#10;AAAAAAAAAAAAAAAAAGIEAABkcnMvZG93bnJldi54bWxQSwUGAAAAAAQABADzAAAAaQUAAAAA&#10;" strokecolor="red" strokeweight="1.5pt">
                      <v:textbox style="mso-fit-shape-to-text:t">
                        <w:txbxContent>
                          <w:p w14:paraId="13751596" w14:textId="77777777" w:rsidR="00C04CAD" w:rsidRDefault="00060E34">
                            <w:pPr>
                              <w:tabs>
                                <w:tab w:val="left" w:pos="1134"/>
                              </w:tabs>
                              <w:spacing w:line="240" w:lineRule="auto"/>
                            </w:pPr>
                            <w:r>
                              <w:rPr>
                                <w:b/>
                                <w:bCs/>
                              </w:rPr>
                              <w:t>Important:</w:t>
                            </w:r>
                            <w:r>
                              <w:t xml:space="preserve"> </w:t>
                            </w:r>
                            <w:r>
                              <w:rPr>
                                <w:bCs/>
                              </w:rPr>
                              <w:t>Scoateți capacul galben numai atunci când vă puteți injecta imediat (în decurs de 5 minute), deoarece medicamentul se poate usca</w:t>
                            </w:r>
                            <w:r>
                              <w:t>.</w:t>
                            </w:r>
                            <w:ins w:id="269" w:author="Author">
                              <w:r>
                                <w:t xml:space="preserve"> Nu puneți capacul la loc.</w:t>
                              </w:r>
                            </w:ins>
                          </w:p>
                        </w:txbxContent>
                      </v:textbox>
                      <w10:wrap type="square" anchorx="margin"/>
                    </v:shape>
                  </w:pict>
                </mc:Fallback>
              </mc:AlternateContent>
            </w:r>
          </w:p>
        </w:tc>
      </w:tr>
      <w:tr w:rsidR="00C04CAD" w14:paraId="155AFE7E" w14:textId="77777777">
        <w:trPr>
          <w:cantSplit/>
          <w:trHeight w:val="57"/>
        </w:trPr>
        <w:tc>
          <w:tcPr>
            <w:tcW w:w="355" w:type="pct"/>
            <w:tcBorders>
              <w:bottom w:val="single" w:sz="4" w:space="0" w:color="auto"/>
            </w:tcBorders>
            <w:tcMar>
              <w:top w:w="28" w:type="dxa"/>
              <w:left w:w="57" w:type="dxa"/>
              <w:bottom w:w="28" w:type="dxa"/>
              <w:right w:w="57" w:type="dxa"/>
            </w:tcMar>
          </w:tcPr>
          <w:p w14:paraId="2672A25C" w14:textId="77777777" w:rsidR="00C04CAD" w:rsidRDefault="00060E34">
            <w:pPr>
              <w:keepNext/>
              <w:spacing w:line="240" w:lineRule="auto"/>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16CB6E81" w14:textId="77777777" w:rsidR="00C04CAD" w:rsidRDefault="00060E34">
            <w:pPr>
              <w:spacing w:line="240" w:lineRule="auto"/>
              <w:rPr>
                <w:szCs w:val="22"/>
              </w:rPr>
            </w:pPr>
            <w:r>
              <w:rPr>
                <w:b/>
              </w:rPr>
              <w:t xml:space="preserve">Țineți pen-ul preumplut astfel încât să puteți vedea fereastra. </w:t>
            </w:r>
            <w:r>
              <w:rPr>
                <w:b/>
                <w:szCs w:val="22"/>
              </w:rPr>
              <w:t>Scoateți capacul galben trăgându-l drept</w:t>
            </w:r>
            <w:r>
              <w:rPr>
                <w:b/>
              </w:rPr>
              <w:t>. S-ar putea să fie nevoie să trageți cu putere</w:t>
            </w:r>
            <w:r>
              <w:rPr>
                <w:b/>
                <w:bCs/>
                <w:szCs w:val="22"/>
              </w:rPr>
              <w:t>.</w:t>
            </w:r>
          </w:p>
        </w:tc>
      </w:tr>
      <w:tr w:rsidR="00C04CAD" w14:paraId="5F833D76"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5EE1E104" w14:textId="77777777" w:rsidR="00C04CAD" w:rsidRDefault="00C04CAD">
            <w:pPr>
              <w:pStyle w:val="ListParagraph"/>
              <w:spacing w:line="240" w:lineRule="auto"/>
              <w:ind w:left="567" w:hanging="567"/>
              <w:jc w:val="center"/>
              <w:rPr>
                <w:b/>
                <w:bCs/>
              </w:rPr>
            </w:pPr>
          </w:p>
          <w:p w14:paraId="1A824DF7" w14:textId="77777777" w:rsidR="00C04CAD" w:rsidRDefault="00C04CAD">
            <w:pPr>
              <w:pStyle w:val="ListParagraph"/>
              <w:spacing w:line="240" w:lineRule="auto"/>
              <w:ind w:left="567" w:hanging="567"/>
              <w:jc w:val="center"/>
              <w:rPr>
                <w:b/>
                <w:bCs/>
              </w:rPr>
            </w:pPr>
          </w:p>
          <w:p w14:paraId="13F5CBB5" w14:textId="77777777" w:rsidR="00C04CAD" w:rsidRDefault="00C04CAD">
            <w:pPr>
              <w:pStyle w:val="ListParagraph"/>
              <w:spacing w:line="240" w:lineRule="auto"/>
              <w:ind w:left="567" w:hanging="567"/>
              <w:jc w:val="center"/>
              <w:rPr>
                <w:b/>
                <w:bCs/>
              </w:rPr>
            </w:pPr>
          </w:p>
          <w:p w14:paraId="5794A376" w14:textId="77777777" w:rsidR="00C04CAD" w:rsidRDefault="00C04CAD">
            <w:pPr>
              <w:pStyle w:val="ListParagraph"/>
              <w:spacing w:line="240" w:lineRule="auto"/>
              <w:ind w:left="567" w:hanging="567"/>
              <w:jc w:val="center"/>
              <w:rPr>
                <w:b/>
                <w:bCs/>
              </w:rPr>
            </w:pPr>
          </w:p>
          <w:p w14:paraId="7C4FD55B" w14:textId="77777777" w:rsidR="00C04CAD" w:rsidRDefault="00060E34">
            <w:pPr>
              <w:spacing w:line="240" w:lineRule="auto"/>
            </w:pPr>
            <w:r>
              <w:t>Fereastra ar trebui să fie vizibilă</w:t>
            </w:r>
          </w:p>
        </w:tc>
        <w:tc>
          <w:tcPr>
            <w:tcW w:w="3757" w:type="pct"/>
            <w:tcBorders>
              <w:left w:val="nil"/>
              <w:bottom w:val="single" w:sz="4" w:space="0" w:color="auto"/>
            </w:tcBorders>
          </w:tcPr>
          <w:p w14:paraId="1DB90F0E" w14:textId="77777777" w:rsidR="00C04CAD" w:rsidRDefault="00060E34">
            <w:pPr>
              <w:pStyle w:val="ListParagraph"/>
              <w:spacing w:line="240" w:lineRule="auto"/>
              <w:ind w:left="567" w:hanging="567"/>
              <w:jc w:val="center"/>
              <w:rPr>
                <w:b/>
                <w:bCs/>
              </w:rPr>
            </w:pPr>
            <w:del w:id="257" w:author="Author">
              <w:r>
                <w:rPr>
                  <w:noProof/>
                </w:rPr>
                <w:drawing>
                  <wp:anchor distT="0" distB="0" distL="114300" distR="114300" simplePos="0" relativeHeight="251670528" behindDoc="0" locked="0" layoutInCell="1" allowOverlap="1" wp14:anchorId="4DF76628" wp14:editId="2716D97C">
                    <wp:simplePos x="0" y="0"/>
                    <wp:positionH relativeFrom="margin">
                      <wp:align>left</wp:align>
                    </wp:positionH>
                    <wp:positionV relativeFrom="margin">
                      <wp:align>center</wp:align>
                    </wp:positionV>
                    <wp:extent cx="3006090" cy="1744980"/>
                    <wp:effectExtent l="0" t="0" r="0" b="0"/>
                    <wp:wrapSquare wrapText="bothSides"/>
                    <wp:docPr id="6053282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2823" name="Picture 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3006090" cy="1744980"/>
                            </a:xfrm>
                            <a:prstGeom prst="rect">
                              <a:avLst/>
                            </a:prstGeom>
                            <a:noFill/>
                          </pic:spPr>
                        </pic:pic>
                      </a:graphicData>
                    </a:graphic>
                  </wp:anchor>
                </w:drawing>
              </w:r>
            </w:del>
            <w:ins w:id="258" w:author="Author">
              <w:r>
                <w:rPr>
                  <w:b/>
                  <w:bCs/>
                  <w:noProof/>
                </w:rPr>
                <w:drawing>
                  <wp:inline distT="0" distB="0" distL="0" distR="0" wp14:anchorId="32A2326E" wp14:editId="13756B46">
                    <wp:extent cx="2950845" cy="1755775"/>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950845" cy="1755775"/>
                            </a:xfrm>
                            <a:prstGeom prst="rect">
                              <a:avLst/>
                            </a:prstGeom>
                            <a:noFill/>
                            <a:ln>
                              <a:noFill/>
                            </a:ln>
                          </pic:spPr>
                        </pic:pic>
                      </a:graphicData>
                    </a:graphic>
                  </wp:inline>
                </w:drawing>
              </w:r>
            </w:ins>
          </w:p>
        </w:tc>
      </w:tr>
      <w:tr w:rsidR="00C04CAD" w14:paraId="04BD33BD" w14:textId="77777777">
        <w:trPr>
          <w:cantSplit/>
          <w:trHeight w:val="57"/>
        </w:trPr>
        <w:tc>
          <w:tcPr>
            <w:tcW w:w="355" w:type="pct"/>
            <w:tcBorders>
              <w:top w:val="nil"/>
              <w:bottom w:val="nil"/>
              <w:right w:val="nil"/>
            </w:tcBorders>
            <w:tcMar>
              <w:top w:w="28" w:type="dxa"/>
              <w:left w:w="57" w:type="dxa"/>
              <w:bottom w:w="28" w:type="dxa"/>
              <w:right w:w="57" w:type="dxa"/>
            </w:tcMar>
          </w:tcPr>
          <w:p w14:paraId="48D9CC9B"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668B2FFF" w14:textId="77777777" w:rsidR="00C04CAD" w:rsidRDefault="00060E34">
            <w:pPr>
              <w:tabs>
                <w:tab w:val="left" w:pos="1134"/>
              </w:tabs>
              <w:spacing w:line="240" w:lineRule="auto"/>
              <w:rPr>
                <w:b/>
                <w:bCs/>
              </w:rPr>
            </w:pPr>
            <w:r>
              <w:rPr>
                <w:b/>
              </w:rPr>
              <w:t>Nu</w:t>
            </w:r>
            <w:r>
              <w:t xml:space="preserve"> răsuciți, îndoiți sau mișcați capacul galben pentru a-l scoate.</w:t>
            </w:r>
          </w:p>
        </w:tc>
      </w:tr>
      <w:tr w:rsidR="00C04CAD" w14:paraId="72D438FB" w14:textId="77777777">
        <w:trPr>
          <w:cantSplit/>
          <w:trHeight w:val="57"/>
        </w:trPr>
        <w:tc>
          <w:tcPr>
            <w:tcW w:w="355" w:type="pct"/>
            <w:tcBorders>
              <w:top w:val="nil"/>
              <w:bottom w:val="nil"/>
              <w:right w:val="nil"/>
            </w:tcBorders>
            <w:tcMar>
              <w:top w:w="28" w:type="dxa"/>
              <w:left w:w="57" w:type="dxa"/>
              <w:bottom w:w="28" w:type="dxa"/>
              <w:right w:w="57" w:type="dxa"/>
            </w:tcMar>
          </w:tcPr>
          <w:p w14:paraId="697694ED"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053C3BF1" w14:textId="77777777" w:rsidR="00C04CAD" w:rsidRDefault="00060E34">
            <w:pPr>
              <w:tabs>
                <w:tab w:val="left" w:pos="1134"/>
              </w:tabs>
              <w:spacing w:line="240" w:lineRule="auto"/>
            </w:pPr>
            <w:r>
              <w:t xml:space="preserve">Nu puneți </w:t>
            </w:r>
            <w:r>
              <w:rPr>
                <w:b/>
              </w:rPr>
              <w:t>niciodată</w:t>
            </w:r>
            <w:r>
              <w:t xml:space="preserve"> capacul acului înapoi. Acesta poate deteriora acul.</w:t>
            </w:r>
          </w:p>
        </w:tc>
      </w:tr>
      <w:tr w:rsidR="00C04CAD" w14:paraId="4A1780AD" w14:textId="77777777">
        <w:trPr>
          <w:cantSplit/>
          <w:trHeight w:val="57"/>
        </w:trPr>
        <w:tc>
          <w:tcPr>
            <w:tcW w:w="355" w:type="pct"/>
            <w:tcBorders>
              <w:top w:val="nil"/>
              <w:bottom w:val="nil"/>
              <w:right w:val="nil"/>
            </w:tcBorders>
            <w:tcMar>
              <w:top w:w="28" w:type="dxa"/>
              <w:left w:w="57" w:type="dxa"/>
              <w:bottom w:w="28" w:type="dxa"/>
              <w:right w:w="57" w:type="dxa"/>
            </w:tcMar>
          </w:tcPr>
          <w:p w14:paraId="529AEA5F"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1C1E1BA6" w14:textId="77777777" w:rsidR="00C04CAD" w:rsidRDefault="00060E34">
            <w:pPr>
              <w:keepNext/>
              <w:keepLines/>
              <w:tabs>
                <w:tab w:val="clear" w:pos="567"/>
              </w:tabs>
              <w:spacing w:line="240" w:lineRule="auto"/>
              <w:contextualSpacing/>
              <w:rPr>
                <w:b/>
                <w:bCs/>
              </w:rPr>
            </w:pPr>
            <w:r>
              <w:rPr>
                <w:b/>
              </w:rPr>
              <w:t>Nu</w:t>
            </w:r>
            <w:r>
              <w:t xml:space="preserve"> introduceți degetul în interiorul elementului de protecție de culoare crem</w:t>
            </w:r>
            <w:r>
              <w:rPr>
                <w:color w:val="000000"/>
                <w:szCs w:val="22"/>
              </w:rPr>
              <w:t>.</w:t>
            </w:r>
          </w:p>
        </w:tc>
      </w:tr>
      <w:tr w:rsidR="00C04CAD" w14:paraId="7C976A69"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02B050BB"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single" w:sz="4" w:space="0" w:color="auto"/>
            </w:tcBorders>
            <w:tcMar>
              <w:left w:w="0" w:type="dxa"/>
            </w:tcMar>
          </w:tcPr>
          <w:p w14:paraId="4115CE48" w14:textId="77777777" w:rsidR="00C04CAD" w:rsidRDefault="00060E34">
            <w:pPr>
              <w:keepNext/>
              <w:keepLines/>
              <w:tabs>
                <w:tab w:val="clear" w:pos="567"/>
              </w:tabs>
              <w:spacing w:line="240" w:lineRule="auto"/>
              <w:contextualSpacing/>
              <w:rPr>
                <w:b/>
                <w:bCs/>
                <w:color w:val="000000"/>
                <w:szCs w:val="22"/>
              </w:rPr>
            </w:pPr>
            <w:r>
              <w:t>Este normal să vedeți o picătură de medicament la capătul acului sau al elementului de protecție de culoare crem</w:t>
            </w:r>
            <w:r>
              <w:rPr>
                <w:color w:val="000000"/>
                <w:szCs w:val="22"/>
              </w:rPr>
              <w:t>.</w:t>
            </w:r>
          </w:p>
        </w:tc>
      </w:tr>
    </w:tbl>
    <w:p w14:paraId="57DA2F36" w14:textId="77777777" w:rsidR="00C04CAD" w:rsidRDefault="00C04CAD">
      <w:pPr>
        <w:tabs>
          <w:tab w:val="left" w:pos="1134"/>
        </w:tabs>
        <w:spacing w:line="240" w:lineRule="auto"/>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Change w:id="259">
          <w:tblGrid>
            <w:gridCol w:w="29"/>
            <w:gridCol w:w="575"/>
            <w:gridCol w:w="38"/>
            <w:gridCol w:w="44"/>
            <w:gridCol w:w="8250"/>
            <w:gridCol w:w="151"/>
          </w:tblGrid>
        </w:tblGridChange>
      </w:tblGrid>
      <w:tr w:rsidR="00C04CAD" w14:paraId="71901C44" w14:textId="77777777">
        <w:trPr>
          <w:cantSplit/>
          <w:trHeight w:val="57"/>
        </w:trPr>
        <w:tc>
          <w:tcPr>
            <w:tcW w:w="338" w:type="pct"/>
            <w:tcBorders>
              <w:bottom w:val="single" w:sz="4" w:space="0" w:color="auto"/>
            </w:tcBorders>
            <w:tcMar>
              <w:top w:w="28" w:type="dxa"/>
              <w:left w:w="57" w:type="dxa"/>
              <w:bottom w:w="28" w:type="dxa"/>
              <w:right w:w="57" w:type="dxa"/>
            </w:tcMar>
          </w:tcPr>
          <w:p w14:paraId="68520833" w14:textId="77777777" w:rsidR="00C04CAD" w:rsidRDefault="00060E34">
            <w:pPr>
              <w:keepNext/>
              <w:spacing w:line="240" w:lineRule="auto"/>
              <w:rPr>
                <w:b/>
                <w:bCs/>
                <w:szCs w:val="22"/>
              </w:rPr>
            </w:pPr>
            <w:r>
              <w:rPr>
                <w:b/>
                <w:bCs/>
                <w:szCs w:val="22"/>
              </w:rPr>
              <w:t>4b</w:t>
            </w:r>
          </w:p>
        </w:tc>
        <w:tc>
          <w:tcPr>
            <w:tcW w:w="4662" w:type="pct"/>
            <w:gridSpan w:val="2"/>
            <w:tcBorders>
              <w:bottom w:val="single" w:sz="4" w:space="0" w:color="auto"/>
            </w:tcBorders>
            <w:tcMar>
              <w:top w:w="28" w:type="dxa"/>
              <w:left w:w="57" w:type="dxa"/>
              <w:bottom w:w="28" w:type="dxa"/>
              <w:right w:w="57" w:type="dxa"/>
            </w:tcMar>
          </w:tcPr>
          <w:p w14:paraId="2E1187B6" w14:textId="77777777" w:rsidR="00C04CAD" w:rsidRDefault="00060E34">
            <w:pPr>
              <w:pStyle w:val="ListParagraph"/>
              <w:keepNext/>
              <w:spacing w:line="240" w:lineRule="auto"/>
              <w:ind w:left="0"/>
              <w:rPr>
                <w:szCs w:val="22"/>
              </w:rPr>
            </w:pPr>
            <w:r>
              <w:rPr>
                <w:b/>
              </w:rPr>
              <w:t>Ciupiți pielea pentru a crea o suprafață fermă la locul injectării. Așezați elementul de protecție de culoare crem perpendicular pe piele</w:t>
            </w:r>
            <w:ins w:id="260" w:author="Author">
              <w:r>
                <w:rPr>
                  <w:b/>
                </w:rPr>
                <w:t>a ciupită</w:t>
              </w:r>
            </w:ins>
            <w:r>
              <w:rPr>
                <w:b/>
                <w:bCs/>
                <w:szCs w:val="22"/>
              </w:rPr>
              <w:t xml:space="preserve">.  </w:t>
            </w:r>
          </w:p>
        </w:tc>
      </w:tr>
      <w:tr w:rsidR="00C04CAD" w14:paraId="579F15D1"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40996406" w14:textId="77777777" w:rsidR="00C04CAD" w:rsidRDefault="00060E34">
            <w:pPr>
              <w:keepNext/>
              <w:tabs>
                <w:tab w:val="left" w:pos="1134"/>
              </w:tabs>
              <w:spacing w:line="240" w:lineRule="auto"/>
              <w:jc w:val="center"/>
            </w:pPr>
            <w:del w:id="261" w:author="Author">
              <w:r>
                <w:rPr>
                  <w:b/>
                  <w:bCs/>
                </w:rPr>
                <w:delText>CIUPIȚI</w:delText>
              </w:r>
            </w:del>
          </w:p>
        </w:tc>
      </w:tr>
      <w:tr w:rsidR="00C04CAD" w14:paraId="72D7E32C"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D14D263" w14:textId="77777777" w:rsidR="00C04CAD" w:rsidRDefault="00060E34">
            <w:pPr>
              <w:keepNext/>
              <w:tabs>
                <w:tab w:val="left" w:pos="1134"/>
              </w:tabs>
              <w:spacing w:line="240" w:lineRule="auto"/>
              <w:jc w:val="right"/>
              <w:rPr>
                <w:b/>
                <w:bCs/>
              </w:rPr>
              <w:pPrChange w:id="262" w:author="Author">
                <w:pPr>
                  <w:keepNext/>
                  <w:tabs>
                    <w:tab w:val="left" w:pos="1134"/>
                  </w:tabs>
                  <w:spacing w:line="240" w:lineRule="auto"/>
                  <w:jc w:val="center"/>
                </w:pPr>
              </w:pPrChange>
            </w:pPr>
            <w:ins w:id="263" w:author="Author">
              <w:r>
                <w:t>CIUPIȚI pielea la locul de injectare</w:t>
              </w:r>
              <w:r w:rsidRPr="001C668B">
                <w:rPr>
                  <w:b/>
                  <w:lang w:val="es-ES" w:eastAsia="zh-CN" w:bidi="ar-SA"/>
                  <w:rPrChange w:id="264" w:author="Author">
                    <w:rPr>
                      <w:b/>
                      <w:lang w:val="en-US" w:eastAsia="zh-CN" w:bidi="ar-SA"/>
                    </w:rPr>
                  </w:rPrChange>
                </w:rPr>
                <w:t xml:space="preserve"> </w:t>
              </w:r>
            </w:ins>
            <w:del w:id="265" w:author="Author">
              <w:r>
                <w:rPr>
                  <w:b/>
                  <w:noProof/>
                  <w:lang w:val="en-US" w:eastAsia="zh-CN" w:bidi="ar-SA"/>
                </w:rPr>
                <w:drawing>
                  <wp:inline distT="0" distB="0" distL="0" distR="0" wp14:anchorId="1AA11095" wp14:editId="2AE0A2BC">
                    <wp:extent cx="3221355" cy="1901825"/>
                    <wp:effectExtent l="0" t="0" r="0" b="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3221355" cy="1901825"/>
                            </a:xfrm>
                            <a:prstGeom prst="rect">
                              <a:avLst/>
                            </a:prstGeom>
                            <a:noFill/>
                            <a:ln>
                              <a:noFill/>
                            </a:ln>
                          </pic:spPr>
                        </pic:pic>
                      </a:graphicData>
                    </a:graphic>
                  </wp:inline>
                </w:drawing>
              </w:r>
            </w:del>
            <w:ins w:id="266" w:author="Author">
              <w:r>
                <w:rPr>
                  <w:b/>
                  <w:noProof/>
                </w:rPr>
                <w:drawing>
                  <wp:inline distT="0" distB="0" distL="0" distR="0" wp14:anchorId="6D9A0B0B" wp14:editId="477D3ED7">
                    <wp:extent cx="2950845" cy="1797685"/>
                    <wp:effectExtent l="0" t="0" r="0"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950845" cy="1797685"/>
                            </a:xfrm>
                            <a:prstGeom prst="rect">
                              <a:avLst/>
                            </a:prstGeom>
                            <a:noFill/>
                            <a:ln>
                              <a:noFill/>
                            </a:ln>
                          </pic:spPr>
                        </pic:pic>
                      </a:graphicData>
                    </a:graphic>
                  </wp:inline>
                </w:drawing>
              </w:r>
            </w:ins>
          </w:p>
        </w:tc>
      </w:tr>
      <w:tr w:rsidR="00C04CAD" w14:paraId="78516F63" w14:textId="77777777">
        <w:trPr>
          <w:cantSplit/>
          <w:trHeight w:val="57"/>
        </w:trPr>
        <w:tc>
          <w:tcPr>
            <w:tcW w:w="338" w:type="pct"/>
            <w:tcBorders>
              <w:top w:val="nil"/>
              <w:bottom w:val="nil"/>
              <w:right w:val="nil"/>
            </w:tcBorders>
            <w:tcMar>
              <w:top w:w="28" w:type="dxa"/>
              <w:left w:w="57" w:type="dxa"/>
              <w:bottom w:w="28" w:type="dxa"/>
              <w:right w:w="57" w:type="dxa"/>
            </w:tcMar>
          </w:tcPr>
          <w:p w14:paraId="5F330C90"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nil"/>
            </w:tcBorders>
            <w:tcMar>
              <w:left w:w="0" w:type="dxa"/>
            </w:tcMar>
          </w:tcPr>
          <w:p w14:paraId="4475DAA3" w14:textId="77777777" w:rsidR="00C04CAD" w:rsidRDefault="00060E34">
            <w:pPr>
              <w:tabs>
                <w:tab w:val="left" w:pos="1134"/>
              </w:tabs>
              <w:spacing w:line="240" w:lineRule="auto"/>
            </w:pPr>
            <w:r>
              <w:t xml:space="preserve">Mențineți pielea </w:t>
            </w:r>
            <w:r>
              <w:rPr>
                <w:b/>
              </w:rPr>
              <w:t>ciupită</w:t>
            </w:r>
            <w:r>
              <w:t xml:space="preserve"> între degete până la terminarea injecției.</w:t>
            </w:r>
          </w:p>
        </w:tc>
      </w:tr>
      <w:tr w:rsidR="00C04CAD" w14:paraId="1B6FFE97" w14:textId="77777777" w:rsidTr="001C668B">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67"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68" w:author="Author">
            <w:trPr>
              <w:gridBefore w:val="1"/>
              <w:cantSplit/>
              <w:trHeight w:val="57"/>
            </w:trPr>
          </w:trPrChange>
        </w:trPr>
        <w:tc>
          <w:tcPr>
            <w:tcW w:w="338" w:type="pct"/>
            <w:tcBorders>
              <w:top w:val="nil"/>
              <w:bottom w:val="nil"/>
              <w:right w:val="nil"/>
            </w:tcBorders>
            <w:tcMar>
              <w:top w:w="28" w:type="dxa"/>
              <w:left w:w="57" w:type="dxa"/>
              <w:bottom w:w="28" w:type="dxa"/>
              <w:right w:w="57" w:type="dxa"/>
            </w:tcMar>
            <w:tcPrChange w:id="269" w:author="Author">
              <w:tcPr>
                <w:tcW w:w="338" w:type="pct"/>
                <w:gridSpan w:val="2"/>
                <w:tcBorders>
                  <w:top w:val="nil"/>
                  <w:bottom w:val="single" w:sz="4" w:space="0" w:color="auto"/>
                  <w:right w:val="nil"/>
                </w:tcBorders>
                <w:tcMar>
                  <w:top w:w="28" w:type="dxa"/>
                  <w:left w:w="57" w:type="dxa"/>
                  <w:bottom w:w="28" w:type="dxa"/>
                  <w:right w:w="57" w:type="dxa"/>
                </w:tcMar>
              </w:tcPr>
            </w:tcPrChange>
          </w:tcPr>
          <w:p w14:paraId="672B1070"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nil"/>
            </w:tcBorders>
            <w:tcMar>
              <w:left w:w="0" w:type="dxa"/>
            </w:tcMar>
            <w:tcPrChange w:id="270" w:author="Author">
              <w:tcPr>
                <w:tcW w:w="4662" w:type="pct"/>
                <w:gridSpan w:val="3"/>
                <w:tcBorders>
                  <w:top w:val="nil"/>
                  <w:left w:val="nil"/>
                  <w:bottom w:val="single" w:sz="4" w:space="0" w:color="auto"/>
                </w:tcBorders>
                <w:tcMar>
                  <w:left w:w="0" w:type="dxa"/>
                </w:tcMar>
              </w:tcPr>
            </w:tcPrChange>
          </w:tcPr>
          <w:p w14:paraId="7A22930B" w14:textId="77777777" w:rsidR="00C04CAD" w:rsidRDefault="00060E34">
            <w:pPr>
              <w:tabs>
                <w:tab w:val="left" w:pos="1134"/>
              </w:tabs>
              <w:spacing w:line="240" w:lineRule="auto"/>
            </w:pPr>
            <w:r>
              <w:t>Asigurați-vă că puteți vedea fereastra.</w:t>
            </w:r>
          </w:p>
        </w:tc>
      </w:tr>
      <w:tr w:rsidR="00C04CAD" w14:paraId="2B953E0F" w14:textId="77777777" w:rsidTr="001C668B">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71"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72" w:author="Author">
            <w:trPr>
              <w:gridBefore w:val="1"/>
              <w:cantSplit/>
              <w:trHeight w:val="57"/>
            </w:trPr>
          </w:trPrChange>
        </w:trPr>
        <w:tc>
          <w:tcPr>
            <w:tcW w:w="338" w:type="pct"/>
            <w:tcBorders>
              <w:top w:val="nil"/>
              <w:bottom w:val="single" w:sz="4" w:space="0" w:color="auto"/>
              <w:right w:val="nil"/>
            </w:tcBorders>
            <w:tcMar>
              <w:top w:w="28" w:type="dxa"/>
              <w:left w:w="57" w:type="dxa"/>
              <w:bottom w:w="28" w:type="dxa"/>
              <w:right w:w="57" w:type="dxa"/>
            </w:tcMar>
            <w:tcPrChange w:id="273" w:author="Author">
              <w:tcPr>
                <w:tcW w:w="338" w:type="pct"/>
                <w:gridSpan w:val="2"/>
                <w:tcBorders>
                  <w:top w:val="nil"/>
                  <w:bottom w:val="single" w:sz="4" w:space="0" w:color="auto"/>
                  <w:right w:val="nil"/>
                </w:tcBorders>
                <w:tcMar>
                  <w:top w:w="28" w:type="dxa"/>
                  <w:left w:w="57" w:type="dxa"/>
                  <w:bottom w:w="28" w:type="dxa"/>
                  <w:right w:w="57" w:type="dxa"/>
                </w:tcMar>
              </w:tcPr>
            </w:tcPrChange>
          </w:tcPr>
          <w:p w14:paraId="3286A86B"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single" w:sz="4" w:space="0" w:color="auto"/>
            </w:tcBorders>
            <w:tcMar>
              <w:left w:w="0" w:type="dxa"/>
            </w:tcMar>
            <w:tcPrChange w:id="274" w:author="Author">
              <w:tcPr>
                <w:tcW w:w="4662" w:type="pct"/>
                <w:gridSpan w:val="3"/>
                <w:tcBorders>
                  <w:top w:val="nil"/>
                  <w:left w:val="nil"/>
                  <w:bottom w:val="single" w:sz="4" w:space="0" w:color="auto"/>
                </w:tcBorders>
                <w:tcMar>
                  <w:left w:w="0" w:type="dxa"/>
                </w:tcMar>
              </w:tcPr>
            </w:tcPrChange>
          </w:tcPr>
          <w:p w14:paraId="72F7E83C" w14:textId="77777777" w:rsidR="00C04CAD" w:rsidRDefault="00060E34">
            <w:pPr>
              <w:tabs>
                <w:tab w:val="left" w:pos="1134"/>
              </w:tabs>
              <w:spacing w:line="240" w:lineRule="auto"/>
            </w:pPr>
            <w:r>
              <w:t xml:space="preserve">Asiguraţi-vă că </w:t>
            </w:r>
            <w:del w:id="275" w:author="Author">
              <w:r>
                <w:delText xml:space="preserve">auto-injectorul </w:delText>
              </w:r>
            </w:del>
            <w:ins w:id="276" w:author="Author">
              <w:r>
                <w:t xml:space="preserve">pen-ul preumplut </w:t>
              </w:r>
            </w:ins>
            <w:r>
              <w:t>este poziţionat perpendicular pe locul de injectare (la un unghi de 90 de grade).</w:t>
            </w:r>
          </w:p>
        </w:tc>
      </w:tr>
      <w:tr w:rsidR="00C04CAD" w14:paraId="490F97C9" w14:textId="77777777">
        <w:trPr>
          <w:cantSplit/>
          <w:trHeight w:val="57"/>
        </w:trPr>
        <w:tc>
          <w:tcPr>
            <w:tcW w:w="5000" w:type="pct"/>
            <w:gridSpan w:val="3"/>
            <w:tcBorders>
              <w:top w:val="single" w:sz="4" w:space="0" w:color="auto"/>
              <w:bottom w:val="nil"/>
            </w:tcBorders>
            <w:tcMar>
              <w:top w:w="28" w:type="dxa"/>
              <w:left w:w="57" w:type="dxa"/>
              <w:bottom w:w="28" w:type="dxa"/>
              <w:right w:w="57" w:type="dxa"/>
            </w:tcMar>
            <w:vAlign w:val="center"/>
          </w:tcPr>
          <w:p w14:paraId="177A8D75" w14:textId="77777777" w:rsidR="00C04CAD" w:rsidRDefault="00C04CAD">
            <w:pPr>
              <w:keepNext/>
              <w:tabs>
                <w:tab w:val="left" w:pos="1134"/>
              </w:tabs>
              <w:spacing w:line="240" w:lineRule="auto"/>
              <w:jc w:val="center"/>
              <w:rPr>
                <w:b/>
                <w:bCs/>
              </w:rPr>
            </w:pPr>
          </w:p>
          <w:p w14:paraId="53918A55" w14:textId="77777777" w:rsidR="00C04CAD" w:rsidRDefault="00060E34">
            <w:pPr>
              <w:spacing w:line="240" w:lineRule="auto"/>
              <w:jc w:val="center"/>
              <w:rPr>
                <w:b/>
              </w:rPr>
            </w:pPr>
            <w:r>
              <w:rPr>
                <w:b/>
              </w:rPr>
              <w:t>APĂSAŢI</w:t>
            </w:r>
          </w:p>
          <w:p w14:paraId="1174CE00" w14:textId="77777777" w:rsidR="00C04CAD" w:rsidRDefault="00060E34">
            <w:pPr>
              <w:spacing w:line="240" w:lineRule="auto"/>
              <w:jc w:val="center"/>
            </w:pPr>
            <w:r>
              <w:rPr>
                <w:b/>
              </w:rPr>
              <w:t>și mențineți în contact cu pielea</w:t>
            </w:r>
          </w:p>
        </w:tc>
      </w:tr>
      <w:tr w:rsidR="00C04CAD" w14:paraId="661590C7"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763EE64A" w14:textId="77777777" w:rsidR="00C04CAD" w:rsidRDefault="00060E34">
            <w:pPr>
              <w:keepNext/>
              <w:tabs>
                <w:tab w:val="left" w:pos="1134"/>
              </w:tabs>
              <w:spacing w:line="240" w:lineRule="auto"/>
              <w:jc w:val="center"/>
            </w:pPr>
            <w:r>
              <w:rPr>
                <w:noProof/>
                <w:lang w:val="en-US" w:eastAsia="zh-CN" w:bidi="ar-SA"/>
              </w:rPr>
              <w:drawing>
                <wp:inline distT="0" distB="0" distL="0" distR="0" wp14:anchorId="17E03581" wp14:editId="710AD43E">
                  <wp:extent cx="3221355" cy="1901825"/>
                  <wp:effectExtent l="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221355" cy="1901825"/>
                          </a:xfrm>
                          <a:prstGeom prst="rect">
                            <a:avLst/>
                          </a:prstGeom>
                          <a:noFill/>
                          <a:ln>
                            <a:noFill/>
                          </a:ln>
                        </pic:spPr>
                      </pic:pic>
                    </a:graphicData>
                  </a:graphic>
                </wp:inline>
              </w:drawing>
            </w:r>
          </w:p>
        </w:tc>
      </w:tr>
      <w:tr w:rsidR="00C04CAD" w14:paraId="58EBBE14"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46011B6" w14:textId="77777777" w:rsidR="00C04CAD" w:rsidRDefault="00060E34">
            <w:pPr>
              <w:tabs>
                <w:tab w:val="left" w:pos="1134"/>
              </w:tabs>
              <w:spacing w:line="240" w:lineRule="auto"/>
              <w:rPr>
                <w:b/>
                <w:bCs/>
              </w:rPr>
            </w:pPr>
            <w:r>
              <w:rPr>
                <w:b/>
                <w:bCs/>
              </w:rPr>
              <w:t>4c</w:t>
            </w:r>
          </w:p>
        </w:tc>
        <w:tc>
          <w:tcPr>
            <w:tcW w:w="4616" w:type="pct"/>
            <w:tcBorders>
              <w:top w:val="single" w:sz="4" w:space="0" w:color="auto"/>
              <w:bottom w:val="single" w:sz="4" w:space="0" w:color="auto"/>
            </w:tcBorders>
            <w:vAlign w:val="center"/>
          </w:tcPr>
          <w:p w14:paraId="549450C7" w14:textId="77777777" w:rsidR="00C04CAD" w:rsidRDefault="00060E34">
            <w:pPr>
              <w:tabs>
                <w:tab w:val="left" w:pos="1134"/>
              </w:tabs>
              <w:spacing w:line="240" w:lineRule="auto"/>
            </w:pPr>
            <w:r>
              <w:rPr>
                <w:b/>
              </w:rPr>
              <w:t xml:space="preserve">Împingeți ferm </w:t>
            </w:r>
            <w:ins w:id="277" w:author="Author">
              <w:r w:rsidRPr="001C668B">
                <w:rPr>
                  <w:b/>
                  <w:bCs/>
                  <w:rPrChange w:id="278" w:author="Author">
                    <w:rPr/>
                  </w:rPrChange>
                </w:rPr>
                <w:t xml:space="preserve">pen-ul preumplut </w:t>
              </w:r>
            </w:ins>
            <w:r>
              <w:rPr>
                <w:b/>
              </w:rPr>
              <w:t>în jos până când elementul de protecție de culoare crem nu se mai mișcă. Țineți apăsat</w:t>
            </w:r>
            <w:ins w:id="279" w:author="Author">
              <w:r>
                <w:rPr>
                  <w:b/>
                </w:rPr>
                <w:t xml:space="preserve"> </w:t>
              </w:r>
              <w:r>
                <w:rPr>
                  <w:b/>
                  <w:bCs/>
                </w:rPr>
                <w:t>pen-ul preumplut în jos</w:t>
              </w:r>
            </w:ins>
            <w:r>
              <w:rPr>
                <w:b/>
              </w:rPr>
              <w:t>; nu ridicați</w:t>
            </w:r>
            <w:r>
              <w:rPr>
                <w:b/>
                <w:bCs/>
                <w:szCs w:val="22"/>
              </w:rPr>
              <w:t>.</w:t>
            </w:r>
          </w:p>
        </w:tc>
      </w:tr>
      <w:tr w:rsidR="00C04CAD" w14:paraId="3B889D89"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6E7F2A9" w14:textId="77777777" w:rsidR="00C04CAD" w:rsidRDefault="00C04CAD">
            <w:pPr>
              <w:numPr>
                <w:ilvl w:val="0"/>
                <w:numId w:val="102"/>
              </w:numPr>
              <w:tabs>
                <w:tab w:val="clear" w:pos="567"/>
                <w:tab w:val="left" w:pos="578"/>
              </w:tabs>
              <w:spacing w:line="240" w:lineRule="auto"/>
              <w:ind w:left="642" w:hanging="642"/>
            </w:pPr>
          </w:p>
        </w:tc>
        <w:tc>
          <w:tcPr>
            <w:tcW w:w="4616" w:type="pct"/>
            <w:tcBorders>
              <w:top w:val="single" w:sz="4" w:space="0" w:color="auto"/>
              <w:bottom w:val="single" w:sz="4" w:space="0" w:color="auto"/>
            </w:tcBorders>
            <w:vAlign w:val="center"/>
          </w:tcPr>
          <w:p w14:paraId="6B551EB9" w14:textId="77777777" w:rsidR="00C04CAD" w:rsidRDefault="00060E34">
            <w:pPr>
              <w:spacing w:line="240" w:lineRule="auto"/>
            </w:pPr>
            <w:r>
              <w:t>Elementul de protecție de culoare crem împinge și deblochează butonul de pornire albastru-deschis</w:t>
            </w:r>
            <w:ins w:id="280" w:author="Author">
              <w:r>
                <w:t>.</w:t>
              </w:r>
            </w:ins>
          </w:p>
        </w:tc>
      </w:tr>
    </w:tbl>
    <w:p w14:paraId="03107434" w14:textId="77777777" w:rsidR="00C04CAD" w:rsidRDefault="00C04CAD">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C04CAD" w14:paraId="0D85619C" w14:textId="77777777">
        <w:trPr>
          <w:cantSplit/>
          <w:trHeight w:val="57"/>
        </w:trPr>
        <w:tc>
          <w:tcPr>
            <w:tcW w:w="5000" w:type="pct"/>
            <w:gridSpan w:val="2"/>
            <w:tcBorders>
              <w:bottom w:val="nil"/>
            </w:tcBorders>
            <w:tcMar>
              <w:top w:w="28" w:type="dxa"/>
              <w:left w:w="57" w:type="dxa"/>
              <w:bottom w:w="28" w:type="dxa"/>
              <w:right w:w="57" w:type="dxa"/>
            </w:tcMar>
          </w:tcPr>
          <w:p w14:paraId="2946A3CB" w14:textId="77777777" w:rsidR="00C04CAD" w:rsidRDefault="00060E34">
            <w:pPr>
              <w:tabs>
                <w:tab w:val="left" w:pos="1134"/>
              </w:tabs>
              <w:spacing w:line="240" w:lineRule="auto"/>
              <w:jc w:val="center"/>
              <w:rPr>
                <w:b/>
                <w:bCs/>
              </w:rPr>
            </w:pPr>
            <w:r>
              <w:rPr>
                <w:b/>
                <w:bCs/>
              </w:rPr>
              <w:t>APĂSAȚI</w:t>
            </w:r>
          </w:p>
          <w:p w14:paraId="16065F5E" w14:textId="77777777" w:rsidR="00C04CAD" w:rsidRDefault="00060E34">
            <w:pPr>
              <w:spacing w:line="240" w:lineRule="auto"/>
              <w:jc w:val="center"/>
            </w:pPr>
            <w:r>
              <w:rPr>
                <w:b/>
                <w:bCs/>
              </w:rPr>
              <w:t xml:space="preserve">butonul </w:t>
            </w:r>
            <w:r>
              <w:rPr>
                <w:b/>
              </w:rPr>
              <w:t>de pornire albastru-deschis</w:t>
            </w:r>
          </w:p>
        </w:tc>
      </w:tr>
      <w:tr w:rsidR="00C04CAD" w14:paraId="4573A7E2"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50FE4396" w14:textId="77777777" w:rsidR="00C04CAD" w:rsidRDefault="00060E34">
            <w:pPr>
              <w:tabs>
                <w:tab w:val="left" w:pos="1134"/>
              </w:tabs>
              <w:spacing w:line="240" w:lineRule="auto"/>
              <w:jc w:val="center"/>
              <w:rPr>
                <w:b/>
                <w:bCs/>
              </w:rPr>
            </w:pPr>
            <w:r>
              <w:rPr>
                <w:noProof/>
                <w:lang w:val="en-US" w:eastAsia="zh-CN" w:bidi="ar-SA"/>
              </w:rPr>
              <w:drawing>
                <wp:inline distT="0" distB="0" distL="0" distR="0" wp14:anchorId="08034130" wp14:editId="6E709B83">
                  <wp:extent cx="4572000" cy="2743200"/>
                  <wp:effectExtent l="0" t="0" r="0" b="0"/>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C04CAD" w14:paraId="2AA292F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00FC7381" w14:textId="77777777" w:rsidR="00C04CAD" w:rsidRDefault="00060E34">
            <w:pPr>
              <w:tabs>
                <w:tab w:val="clear" w:pos="567"/>
              </w:tabs>
              <w:spacing w:line="240" w:lineRule="auto"/>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6FE7CCA4" w14:textId="77777777" w:rsidR="00C04CAD" w:rsidRDefault="00060E34">
            <w:pPr>
              <w:tabs>
                <w:tab w:val="left" w:pos="1134"/>
              </w:tabs>
              <w:spacing w:line="240" w:lineRule="auto"/>
              <w:rPr>
                <w:b/>
                <w:bCs/>
              </w:rPr>
            </w:pPr>
            <w:r>
              <w:rPr>
                <w:b/>
              </w:rPr>
              <w:t xml:space="preserve">Continuați să țineți apăsat </w:t>
            </w:r>
            <w:ins w:id="281" w:author="Author">
              <w:r>
                <w:rPr>
                  <w:b/>
                  <w:bCs/>
                </w:rPr>
                <w:t xml:space="preserve">pen-ul preumplut în jos </w:t>
              </w:r>
            </w:ins>
            <w:del w:id="282" w:author="Author">
              <w:r>
                <w:rPr>
                  <w:b/>
                </w:rPr>
                <w:delText xml:space="preserve">ferm </w:delText>
              </w:r>
            </w:del>
            <w:r>
              <w:rPr>
                <w:b/>
              </w:rPr>
              <w:t>și apăsați butonul de pornire albastru-deschis pentru a începe injecția</w:t>
            </w:r>
            <w:r>
              <w:rPr>
                <w:b/>
                <w:bCs/>
                <w:szCs w:val="22"/>
              </w:rPr>
              <w:t>.</w:t>
            </w:r>
          </w:p>
        </w:tc>
      </w:tr>
      <w:tr w:rsidR="00C04CAD" w14:paraId="671DFF9A"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9EBBAA8"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2364A516" w14:textId="77777777" w:rsidR="00C04CAD" w:rsidRDefault="00060E34">
            <w:pPr>
              <w:tabs>
                <w:tab w:val="left" w:pos="1134"/>
              </w:tabs>
              <w:spacing w:line="240" w:lineRule="auto"/>
            </w:pPr>
            <w:r>
              <w:t>Este posibil să auziți sau să simțiți un clic.</w:t>
            </w:r>
          </w:p>
        </w:tc>
      </w:tr>
      <w:tr w:rsidR="00C04CAD" w14:paraId="2ABFF6E8" w14:textId="77777777">
        <w:trPr>
          <w:cantSplit/>
          <w:trHeight w:val="57"/>
        </w:trPr>
        <w:tc>
          <w:tcPr>
            <w:tcW w:w="383" w:type="pct"/>
            <w:tcBorders>
              <w:top w:val="nil"/>
              <w:bottom w:val="nil"/>
              <w:right w:val="nil"/>
            </w:tcBorders>
            <w:tcMar>
              <w:top w:w="28" w:type="dxa"/>
              <w:left w:w="57" w:type="dxa"/>
              <w:bottom w:w="28" w:type="dxa"/>
              <w:right w:w="57" w:type="dxa"/>
            </w:tcMar>
          </w:tcPr>
          <w:p w14:paraId="04E3A325"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2BF68102" w14:textId="77777777" w:rsidR="00C04CAD" w:rsidRDefault="00060E34">
            <w:pPr>
              <w:tabs>
                <w:tab w:val="left" w:pos="1134"/>
              </w:tabs>
              <w:spacing w:line="240" w:lineRule="auto"/>
              <w:rPr>
                <w:b/>
                <w:bCs/>
              </w:rPr>
            </w:pPr>
            <w:r>
              <w:t>Fereastra începe să devină galbenă.</w:t>
            </w:r>
          </w:p>
        </w:tc>
      </w:tr>
      <w:tr w:rsidR="00C04CAD" w14:paraId="3DD8A32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16FD935"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5AEC7F33" w14:textId="77777777" w:rsidR="00C04CAD" w:rsidRDefault="00060E34">
            <w:pPr>
              <w:tabs>
                <w:tab w:val="left" w:pos="1134"/>
              </w:tabs>
              <w:spacing w:line="240" w:lineRule="auto"/>
              <w:rPr>
                <w:b/>
                <w:bCs/>
              </w:rPr>
            </w:pPr>
            <w:r>
              <w:t xml:space="preserve">Este în regulă dacă eliberați butonul </w:t>
            </w:r>
            <w:ins w:id="283" w:author="Author">
              <w:r>
                <w:t xml:space="preserve">de pornire </w:t>
              </w:r>
            </w:ins>
            <w:r>
              <w:t>albastru-deschis.</w:t>
            </w:r>
          </w:p>
        </w:tc>
      </w:tr>
    </w:tbl>
    <w:p w14:paraId="3AF861B8" w14:textId="77777777" w:rsidR="00C04CAD" w:rsidRDefault="00C04CAD">
      <w:pPr>
        <w:tabs>
          <w:tab w:val="left" w:pos="1134"/>
        </w:tabs>
        <w:spacing w:line="240" w:lineRule="auto"/>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1"/>
        <w:gridCol w:w="8206"/>
      </w:tblGrid>
      <w:tr w:rsidR="00C04CAD" w14:paraId="10F10F4D" w14:textId="77777777">
        <w:trPr>
          <w:cantSplit/>
          <w:trHeight w:val="56"/>
        </w:trPr>
        <w:tc>
          <w:tcPr>
            <w:tcW w:w="5000" w:type="pct"/>
            <w:gridSpan w:val="2"/>
            <w:tcBorders>
              <w:bottom w:val="single" w:sz="4" w:space="0" w:color="auto"/>
            </w:tcBorders>
            <w:tcMar>
              <w:top w:w="28" w:type="dxa"/>
              <w:left w:w="57" w:type="dxa"/>
              <w:bottom w:w="28" w:type="dxa"/>
              <w:right w:w="57" w:type="dxa"/>
            </w:tcMar>
          </w:tcPr>
          <w:p w14:paraId="65C9930D" w14:textId="77777777" w:rsidR="00C04CAD" w:rsidRDefault="00060E34">
            <w:pPr>
              <w:keepNext/>
              <w:tabs>
                <w:tab w:val="left" w:pos="1134"/>
              </w:tabs>
              <w:spacing w:line="240" w:lineRule="auto"/>
              <w:jc w:val="center"/>
              <w:rPr>
                <w:b/>
                <w:bCs/>
              </w:rPr>
            </w:pPr>
            <w:r>
              <w:rPr>
                <w:b/>
                <w:bCs/>
              </w:rPr>
              <w:t xml:space="preserve">URMĂRIȚI </w:t>
            </w:r>
            <w:ins w:id="284" w:author="Author">
              <w:r>
                <w:rPr>
                  <w:b/>
                  <w:bCs/>
                </w:rPr>
                <w:t xml:space="preserve">și </w:t>
              </w:r>
            </w:ins>
            <w:del w:id="285" w:author="Author">
              <w:r>
                <w:rPr>
                  <w:b/>
                  <w:bCs/>
                </w:rPr>
                <w:delText xml:space="preserve">FEREASTRA DE </w:delText>
              </w:r>
            </w:del>
            <w:r>
              <w:rPr>
                <w:b/>
                <w:bCs/>
              </w:rPr>
              <w:t>CONFIRMA</w:t>
            </w:r>
            <w:del w:id="286" w:author="Author">
              <w:r>
                <w:rPr>
                  <w:b/>
                  <w:bCs/>
                </w:rPr>
                <w:delText>RE</w:delText>
              </w:r>
            </w:del>
            <w:ins w:id="287" w:author="Author">
              <w:r>
                <w:rPr>
                  <w:b/>
                  <w:bCs/>
                </w:rPr>
                <w:t>ȚI</w:t>
              </w:r>
            </w:ins>
            <w:del w:id="288" w:author="Author">
              <w:r>
                <w:rPr>
                  <w:b/>
                  <w:bCs/>
                </w:rPr>
                <w:delText>,</w:delText>
              </w:r>
            </w:del>
          </w:p>
          <w:p w14:paraId="011B574E" w14:textId="77777777" w:rsidR="00C04CAD" w:rsidRDefault="00060E34">
            <w:pPr>
              <w:keepNext/>
              <w:tabs>
                <w:tab w:val="left" w:pos="1134"/>
              </w:tabs>
              <w:spacing w:line="240" w:lineRule="auto"/>
              <w:jc w:val="center"/>
              <w:rPr>
                <w:b/>
                <w:bCs/>
              </w:rPr>
            </w:pPr>
            <w:ins w:id="289" w:author="Author">
              <w:r>
                <w:rPr>
                  <w:b/>
                  <w:bCs/>
                </w:rPr>
                <w:t>că fereastra</w:t>
              </w:r>
            </w:ins>
            <w:del w:id="290" w:author="Author">
              <w:r>
                <w:rPr>
                  <w:b/>
                  <w:bCs/>
                </w:rPr>
                <w:delText>care</w:delText>
              </w:r>
            </w:del>
            <w:r>
              <w:rPr>
                <w:b/>
                <w:bCs/>
              </w:rPr>
              <w:t xml:space="preserve"> devine complet galbenă</w:t>
            </w:r>
          </w:p>
        </w:tc>
      </w:tr>
      <w:tr w:rsidR="00C04CAD" w14:paraId="0EB2DE6C" w14:textId="77777777">
        <w:trPr>
          <w:cantSplit/>
          <w:trHeight w:val="56"/>
        </w:trPr>
        <w:tc>
          <w:tcPr>
            <w:tcW w:w="5000" w:type="pct"/>
            <w:gridSpan w:val="2"/>
            <w:tcBorders>
              <w:bottom w:val="single" w:sz="4" w:space="0" w:color="auto"/>
            </w:tcBorders>
            <w:tcMar>
              <w:top w:w="28" w:type="dxa"/>
              <w:left w:w="57" w:type="dxa"/>
              <w:bottom w:w="28" w:type="dxa"/>
              <w:right w:w="57" w:type="dxa"/>
            </w:tcMar>
          </w:tcPr>
          <w:p w14:paraId="0AE4A6CA" w14:textId="77777777" w:rsidR="00C04CAD" w:rsidRDefault="00060E34">
            <w:pPr>
              <w:keepNext/>
              <w:tabs>
                <w:tab w:val="left" w:pos="1134"/>
              </w:tabs>
              <w:spacing w:line="240" w:lineRule="auto"/>
              <w:jc w:val="center"/>
              <w:rPr>
                <w:b/>
                <w:bCs/>
              </w:rPr>
            </w:pPr>
            <w:r>
              <w:rPr>
                <w:b/>
                <w:noProof/>
                <w:lang w:val="en-US" w:eastAsia="zh-CN" w:bidi="ar-SA"/>
              </w:rPr>
              <w:drawing>
                <wp:inline distT="0" distB="0" distL="0" distR="0" wp14:anchorId="144E70E2" wp14:editId="6027B5A6">
                  <wp:extent cx="3366770" cy="2016125"/>
                  <wp:effectExtent l="0" t="0" r="0"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3366770" cy="2016125"/>
                          </a:xfrm>
                          <a:prstGeom prst="rect">
                            <a:avLst/>
                          </a:prstGeom>
                          <a:noFill/>
                          <a:ln>
                            <a:noFill/>
                          </a:ln>
                        </pic:spPr>
                      </pic:pic>
                    </a:graphicData>
                  </a:graphic>
                </wp:inline>
              </w:drawing>
            </w:r>
          </w:p>
          <w:p w14:paraId="00DF39A3" w14:textId="77777777" w:rsidR="00C04CAD" w:rsidRDefault="00C04CAD">
            <w:pPr>
              <w:keepNext/>
              <w:tabs>
                <w:tab w:val="left" w:pos="1134"/>
              </w:tabs>
              <w:spacing w:line="240" w:lineRule="auto"/>
              <w:jc w:val="center"/>
              <w:rPr>
                <w:b/>
                <w:bCs/>
              </w:rPr>
            </w:pPr>
          </w:p>
        </w:tc>
      </w:tr>
      <w:tr w:rsidR="00C04CAD" w14:paraId="05746BE8" w14:textId="77777777">
        <w:trPr>
          <w:cantSplit/>
          <w:trHeight w:val="56"/>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F0B99E7" w14:textId="77777777" w:rsidR="00C04CAD" w:rsidRDefault="00060E34">
            <w:pPr>
              <w:tabs>
                <w:tab w:val="clear" w:pos="567"/>
              </w:tabs>
              <w:spacing w:line="240" w:lineRule="auto"/>
              <w:rPr>
                <w:b/>
                <w:bCs/>
              </w:rPr>
            </w:pPr>
            <w:r>
              <w:rPr>
                <w:b/>
                <w:bCs/>
              </w:rPr>
              <w:t>4e</w:t>
            </w:r>
          </w:p>
        </w:tc>
        <w:tc>
          <w:tcPr>
            <w:tcW w:w="4616" w:type="pct"/>
            <w:tcBorders>
              <w:top w:val="single" w:sz="4" w:space="0" w:color="auto"/>
              <w:left w:val="single" w:sz="4" w:space="0" w:color="auto"/>
              <w:bottom w:val="single" w:sz="4" w:space="0" w:color="auto"/>
            </w:tcBorders>
            <w:tcMar>
              <w:left w:w="0" w:type="dxa"/>
            </w:tcMar>
          </w:tcPr>
          <w:p w14:paraId="7B1C3D9B" w14:textId="77777777" w:rsidR="00C04CAD" w:rsidRDefault="00060E34">
            <w:pPr>
              <w:spacing w:line="240" w:lineRule="auto"/>
              <w:rPr>
                <w:b/>
              </w:rPr>
            </w:pPr>
            <w:r>
              <w:rPr>
                <w:b/>
              </w:rPr>
              <w:t xml:space="preserve">Continuați să împingeți </w:t>
            </w:r>
            <w:ins w:id="291" w:author="Author">
              <w:r>
                <w:rPr>
                  <w:b/>
                  <w:bCs/>
                </w:rPr>
                <w:t xml:space="preserve">pen-ul preumplut </w:t>
              </w:r>
            </w:ins>
            <w:r>
              <w:rPr>
                <w:b/>
              </w:rPr>
              <w:t>în jos. Când fereastra este complet galbenă, injecția este finalizată</w:t>
            </w:r>
          </w:p>
        </w:tc>
      </w:tr>
      <w:tr w:rsidR="00C04CAD" w14:paraId="67D405C2" w14:textId="77777777">
        <w:trPr>
          <w:cantSplit/>
          <w:trHeight w:val="56"/>
        </w:trPr>
        <w:tc>
          <w:tcPr>
            <w:tcW w:w="383" w:type="pct"/>
            <w:tcBorders>
              <w:top w:val="single" w:sz="4" w:space="0" w:color="auto"/>
              <w:bottom w:val="nil"/>
              <w:right w:val="nil"/>
            </w:tcBorders>
            <w:tcMar>
              <w:top w:w="28" w:type="dxa"/>
              <w:left w:w="57" w:type="dxa"/>
              <w:bottom w:w="28" w:type="dxa"/>
              <w:right w:w="57" w:type="dxa"/>
            </w:tcMar>
          </w:tcPr>
          <w:p w14:paraId="5E5C5BDA" w14:textId="77777777" w:rsidR="00C04CAD" w:rsidRDefault="00C04CAD">
            <w:pPr>
              <w:numPr>
                <w:ilvl w:val="0"/>
                <w:numId w:val="102"/>
              </w:numPr>
              <w:tabs>
                <w:tab w:val="clear" w:pos="567"/>
              </w:tabs>
              <w:spacing w:line="240" w:lineRule="auto"/>
              <w:ind w:left="567" w:hanging="567"/>
            </w:pPr>
          </w:p>
        </w:tc>
        <w:tc>
          <w:tcPr>
            <w:tcW w:w="4616" w:type="pct"/>
            <w:tcBorders>
              <w:top w:val="single" w:sz="4" w:space="0" w:color="auto"/>
              <w:left w:val="nil"/>
              <w:bottom w:val="nil"/>
            </w:tcBorders>
            <w:tcMar>
              <w:left w:w="0" w:type="dxa"/>
            </w:tcMar>
          </w:tcPr>
          <w:p w14:paraId="183C995B" w14:textId="77777777" w:rsidR="00C04CAD" w:rsidRDefault="00060E34">
            <w:pPr>
              <w:spacing w:line="240" w:lineRule="auto"/>
              <w:rPr>
                <w:b/>
                <w:bCs/>
              </w:rPr>
            </w:pPr>
            <w:r>
              <w:t xml:space="preserve">Finalizarea injecției poate dura până la </w:t>
            </w:r>
            <w:r>
              <w:rPr>
                <w:b/>
              </w:rPr>
              <w:t>10</w:t>
            </w:r>
            <w:r>
              <w:t xml:space="preserve"> secunde. </w:t>
            </w:r>
          </w:p>
        </w:tc>
      </w:tr>
      <w:tr w:rsidR="00C04CAD" w14:paraId="7D94843E" w14:textId="77777777">
        <w:trPr>
          <w:cantSplit/>
          <w:trHeight w:val="56"/>
        </w:trPr>
        <w:tc>
          <w:tcPr>
            <w:tcW w:w="383" w:type="pct"/>
            <w:tcBorders>
              <w:top w:val="nil"/>
              <w:bottom w:val="nil"/>
              <w:right w:val="nil"/>
            </w:tcBorders>
            <w:tcMar>
              <w:top w:w="28" w:type="dxa"/>
              <w:left w:w="57" w:type="dxa"/>
              <w:bottom w:w="28" w:type="dxa"/>
              <w:right w:w="57" w:type="dxa"/>
            </w:tcMar>
          </w:tcPr>
          <w:p w14:paraId="4BEDCB2D" w14:textId="77777777" w:rsidR="00C04CAD" w:rsidRDefault="00C04CAD">
            <w:pPr>
              <w:numPr>
                <w:ilvl w:val="0"/>
                <w:numId w:val="102"/>
              </w:numPr>
              <w:tabs>
                <w:tab w:val="clear" w:pos="567"/>
              </w:tabs>
              <w:spacing w:line="240" w:lineRule="auto"/>
              <w:ind w:left="567" w:hanging="567"/>
            </w:pPr>
          </w:p>
        </w:tc>
        <w:tc>
          <w:tcPr>
            <w:tcW w:w="4616" w:type="pct"/>
            <w:tcBorders>
              <w:top w:val="nil"/>
              <w:left w:val="nil"/>
              <w:bottom w:val="nil"/>
            </w:tcBorders>
            <w:tcMar>
              <w:left w:w="0" w:type="dxa"/>
            </w:tcMar>
          </w:tcPr>
          <w:p w14:paraId="7C98662B" w14:textId="77777777" w:rsidR="00C04CAD" w:rsidRDefault="00060E34">
            <w:pPr>
              <w:spacing w:line="240" w:lineRule="auto"/>
              <w:rPr>
                <w:b/>
                <w:bCs/>
              </w:rPr>
            </w:pPr>
            <w:r>
              <w:t xml:space="preserve">Este posibil să auziți sau să simțiți un clic.  </w:t>
            </w:r>
          </w:p>
        </w:tc>
      </w:tr>
      <w:tr w:rsidR="00C04CAD" w14:paraId="2BFFC257" w14:textId="77777777">
        <w:trPr>
          <w:cantSplit/>
          <w:trHeight w:val="56"/>
        </w:trPr>
        <w:tc>
          <w:tcPr>
            <w:tcW w:w="383" w:type="pct"/>
            <w:tcBorders>
              <w:top w:val="nil"/>
              <w:bottom w:val="nil"/>
              <w:right w:val="nil"/>
            </w:tcBorders>
            <w:tcMar>
              <w:top w:w="28" w:type="dxa"/>
              <w:left w:w="57" w:type="dxa"/>
              <w:bottom w:w="28" w:type="dxa"/>
              <w:right w:w="57" w:type="dxa"/>
            </w:tcMar>
          </w:tcPr>
          <w:p w14:paraId="45A22BD8" w14:textId="77777777" w:rsidR="00C04CAD" w:rsidRDefault="00C04CAD">
            <w:pPr>
              <w:numPr>
                <w:ilvl w:val="0"/>
                <w:numId w:val="102"/>
              </w:numPr>
              <w:tabs>
                <w:tab w:val="clear" w:pos="567"/>
              </w:tabs>
              <w:spacing w:line="240" w:lineRule="auto"/>
              <w:ind w:left="567" w:hanging="567"/>
            </w:pPr>
          </w:p>
        </w:tc>
        <w:tc>
          <w:tcPr>
            <w:tcW w:w="4616" w:type="pct"/>
            <w:tcBorders>
              <w:top w:val="nil"/>
              <w:left w:val="nil"/>
              <w:bottom w:val="nil"/>
            </w:tcBorders>
            <w:tcMar>
              <w:left w:w="0" w:type="dxa"/>
            </w:tcMar>
          </w:tcPr>
          <w:p w14:paraId="7978D7E7" w14:textId="77777777" w:rsidR="00C04CAD" w:rsidRDefault="00060E34">
            <w:pPr>
              <w:spacing w:line="240" w:lineRule="auto"/>
              <w:rPr>
                <w:b/>
                <w:bCs/>
              </w:rPr>
            </w:pPr>
            <w:r>
              <w:t>Ridicați pen-ul preumplut de pe piele.</w:t>
            </w:r>
          </w:p>
        </w:tc>
      </w:tr>
      <w:tr w:rsidR="00C04CAD" w14:paraId="75906DED" w14:textId="77777777">
        <w:trPr>
          <w:cantSplit/>
          <w:trHeight w:val="56"/>
        </w:trPr>
        <w:tc>
          <w:tcPr>
            <w:tcW w:w="383" w:type="pct"/>
            <w:tcBorders>
              <w:top w:val="nil"/>
              <w:bottom w:val="nil"/>
              <w:right w:val="nil"/>
            </w:tcBorders>
            <w:tcMar>
              <w:top w:w="28" w:type="dxa"/>
              <w:left w:w="57" w:type="dxa"/>
              <w:bottom w:w="28" w:type="dxa"/>
              <w:right w:w="57" w:type="dxa"/>
            </w:tcMar>
          </w:tcPr>
          <w:p w14:paraId="0DCF3C2E" w14:textId="77777777" w:rsidR="00C04CAD" w:rsidRDefault="00C04CAD">
            <w:pPr>
              <w:numPr>
                <w:ilvl w:val="0"/>
                <w:numId w:val="102"/>
              </w:numPr>
              <w:tabs>
                <w:tab w:val="clear" w:pos="567"/>
              </w:tabs>
              <w:spacing w:line="240" w:lineRule="auto"/>
              <w:ind w:left="567" w:hanging="567"/>
            </w:pPr>
          </w:p>
        </w:tc>
        <w:tc>
          <w:tcPr>
            <w:tcW w:w="4616" w:type="pct"/>
            <w:tcBorders>
              <w:top w:val="nil"/>
              <w:left w:val="nil"/>
              <w:bottom w:val="nil"/>
            </w:tcBorders>
            <w:tcMar>
              <w:left w:w="0" w:type="dxa"/>
            </w:tcMar>
          </w:tcPr>
          <w:p w14:paraId="62446981" w14:textId="77777777" w:rsidR="00C04CAD" w:rsidRDefault="00060E34">
            <w:pPr>
              <w:tabs>
                <w:tab w:val="left" w:pos="1134"/>
              </w:tabs>
              <w:spacing w:line="240" w:lineRule="auto"/>
            </w:pPr>
            <w:r>
              <w:t>Elementul de protecție de culoare crem se blochează în jurul acului.</w:t>
            </w:r>
          </w:p>
        </w:tc>
      </w:tr>
      <w:tr w:rsidR="00C04CAD" w14:paraId="6D82EEEE" w14:textId="77777777">
        <w:trPr>
          <w:cantSplit/>
          <w:trHeight w:val="56"/>
        </w:trPr>
        <w:tc>
          <w:tcPr>
            <w:tcW w:w="5000" w:type="pct"/>
            <w:gridSpan w:val="2"/>
            <w:tcBorders>
              <w:top w:val="nil"/>
              <w:bottom w:val="single" w:sz="4" w:space="0" w:color="auto"/>
            </w:tcBorders>
            <w:tcMar>
              <w:top w:w="28" w:type="dxa"/>
              <w:left w:w="57" w:type="dxa"/>
              <w:bottom w:w="28" w:type="dxa"/>
              <w:right w:w="57" w:type="dxa"/>
            </w:tcMar>
          </w:tcPr>
          <w:p w14:paraId="40D604CC" w14:textId="77777777" w:rsidR="00C04CAD" w:rsidRDefault="00060E34">
            <w:pPr>
              <w:tabs>
                <w:tab w:val="left" w:pos="1134"/>
              </w:tabs>
              <w:spacing w:line="240" w:lineRule="auto"/>
            </w:pPr>
            <w:r>
              <w:rPr>
                <w:noProof/>
              </w:rPr>
              <mc:AlternateContent>
                <mc:Choice Requires="wps">
                  <w:drawing>
                    <wp:anchor distT="45720" distB="45720" distL="114300" distR="114300" simplePos="0" relativeHeight="251692032" behindDoc="0" locked="0" layoutInCell="1" allowOverlap="1" wp14:anchorId="5071CA13" wp14:editId="38620A8D">
                      <wp:simplePos x="0" y="0"/>
                      <wp:positionH relativeFrom="column">
                        <wp:posOffset>13970</wp:posOffset>
                      </wp:positionH>
                      <wp:positionV relativeFrom="paragraph">
                        <wp:posOffset>38100</wp:posOffset>
                      </wp:positionV>
                      <wp:extent cx="5491480" cy="616585"/>
                      <wp:effectExtent l="0" t="0" r="0" b="0"/>
                      <wp:wrapSquare wrapText="bothSides"/>
                      <wp:docPr id="18648173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16585"/>
                              </a:xfrm>
                              <a:prstGeom prst="rect">
                                <a:avLst/>
                              </a:prstGeom>
                              <a:solidFill>
                                <a:srgbClr val="FFFFFF"/>
                              </a:solidFill>
                              <a:ln w="19050">
                                <a:solidFill>
                                  <a:srgbClr val="FF0000"/>
                                </a:solidFill>
                                <a:miter lim="800000"/>
                              </a:ln>
                            </wps:spPr>
                            <wps:txbx>
                              <w:txbxContent>
                                <w:p w14:paraId="144C184B" w14:textId="77777777" w:rsidR="00C04CAD" w:rsidRDefault="00060E34">
                                  <w:pPr>
                                    <w:spacing w:line="240" w:lineRule="auto"/>
                                    <w:rPr>
                                      <w:szCs w:val="22"/>
                                    </w:rPr>
                                  </w:pPr>
                                  <w:r>
                                    <w:rPr>
                                      <w:b/>
                                      <w:bCs/>
                                      <w:szCs w:val="22"/>
                                    </w:rPr>
                                    <w:t>Important:</w:t>
                                  </w:r>
                                  <w:r>
                                    <w:rPr>
                                      <w:szCs w:val="22"/>
                                    </w:rPr>
                                    <w:t xml:space="preserve"> Dacă fereastra nu a devenit </w:t>
                                  </w:r>
                                  <w:ins w:id="292" w:author="Author">
                                    <w:r>
                                      <w:rPr>
                                        <w:szCs w:val="22"/>
                                      </w:rPr>
                                      <w:t xml:space="preserve">complet </w:t>
                                    </w:r>
                                  </w:ins>
                                  <w:r>
                                    <w:rPr>
                                      <w:szCs w:val="22"/>
                                    </w:rPr>
                                    <w:t xml:space="preserve">galbenă sau dacă se pare că medicamentul iese în continuare, nu ați primit o doză completă. Contactați-vă </w:t>
                                  </w:r>
                                  <w:del w:id="293" w:author="Author">
                                    <w:r>
                                      <w:rPr>
                                        <w:szCs w:val="22"/>
                                      </w:rPr>
                                      <w:delText xml:space="preserve">imediat </w:delText>
                                    </w:r>
                                  </w:del>
                                  <w:ins w:id="294" w:author="Author">
                                    <w:r>
                                      <w:rPr>
                                        <w:szCs w:val="22"/>
                                      </w:rPr>
                                      <w:t xml:space="preserve">fără întârziere </w:t>
                                    </w:r>
                                  </w:ins>
                                  <w:r>
                                    <w:rPr>
                                      <w:szCs w:val="22"/>
                                    </w:rPr>
                                    <w:t>medicul sau furnizorul de servicii medicale.</w:t>
                                  </w:r>
                                </w:p>
                                <w:p w14:paraId="464CA20E" w14:textId="77777777" w:rsidR="00C04CAD" w:rsidRDefault="00C04CAD">
                                  <w:pPr>
                                    <w:spacing w:line="240" w:lineRule="auto"/>
                                    <w:rPr>
                                      <w:szCs w:val="22"/>
                                    </w:rPr>
                                  </w:pPr>
                                </w:p>
                              </w:txbxContent>
                            </wps:txbx>
                            <wps:bodyPr rot="0" vert="horz" wrap="square" lIns="91440" tIns="45720" rIns="91440" bIns="45720" anchor="t" anchorCtr="0">
                              <a:noAutofit/>
                            </wps:bodyPr>
                          </wps:wsp>
                        </a:graphicData>
                      </a:graphic>
                    </wp:anchor>
                  </w:drawing>
                </mc:Choice>
                <mc:Fallback>
                  <w:pict>
                    <v:shape w14:anchorId="5071CA13" id="Text Box 9" o:spid="_x0000_s1044" type="#_x0000_t202" style="position:absolute;margin-left:1.1pt;margin-top:3pt;width:432.4pt;height:48.55pt;z-index:2516920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ngCAIAABAEAAAOAAAAZHJzL2Uyb0RvYy54bWysU9tu2zAMfR+wfxD0vtgJkiw14hRdigwD&#10;ugvQ7QNkWY6FyaJGKbG7rx+lOGl2wR6G6YEQReqQPCTXt0Nn2FGh12BLPp3knCkrodZ2X/Ivn3ev&#10;Vpz5IGwtDFhV8ifl+e3m5Yt17wo1gxZMrZARiPVF70rehuCKLPOyVZ3wE3DKkrEB7EQgFfdZjaIn&#10;9M5kszxfZj1g7RCk8p5e709Gvkn4TaNk+Ng0XgVmSk65hSQxySrKbLMWxR6Fa7Uc0xD/kEUntKWg&#10;F6h7EQQ7oP4NqtMSwUMTJhK6DJpGS5VqoGqm+S/VPLbCqVQLkePdhSb//2Dlh+Oj+4QsDG9goAam&#10;Irx7APnVMwvbVti9ukOEvlWipsDTSFnWO1+MXyPVvvARpOrfQ01NFocACWhosIusUJ2M0KkBTxfS&#10;1RCYpMfF/GY6X5FJkm05XS5WixRCFOffDn14q6Bj8VJypKYmdHF88CFmI4qzSwzmweh6p41JCu6r&#10;rUF2FDQAu3RG9J/cjGU91XaTL/ITA3/ByOn8CaPTgUbZ6K7kq+hzdjJ2JCxydGIrDNXAdE0RVxEp&#10;ElhB/UQUIpxGlFaKLi3gd856Gs+S+28HgYoz885SG4izeZznpMwXr2ek4LWlurYIKwmq5IGz03Ub&#10;0g5EhizcUbsanZh8zmTMmcYuETyuSJzraz15PS/y5gcAAAD//wMAUEsDBBQABgAIAAAAIQBouwr4&#10;3AAAAAcBAAAPAAAAZHJzL2Rvd25yZXYueG1sTI/BTsMwDIbvSLxDZCRuLF2RSilNpwnYgcsQG9zT&#10;xrSFxKmSbCs8PeYEN1v/p9+f69XsrDhiiKMnBctFBgKp82akXsHrfnNVgohJk9HWEyr4wgir5vys&#10;1pXxJ3rB4y71gksoVlrBkNJUSRm7AZ2OCz8hcfbug9OJ19BLE/SJy52VeZYV0umR+MKgJ7wfsPvc&#10;HZyCh669/bDf3oXnp225XT9uyr18U+ryYl7fgUg4pz8YfvVZHRp2av2BTBRWQZ4zqKDghzgtixse&#10;Wsay6yXIppb//ZsfAAAA//8DAFBLAQItABQABgAIAAAAIQC2gziS/gAAAOEBAAATAAAAAAAAAAAA&#10;AAAAAAAAAABbQ29udGVudF9UeXBlc10ueG1sUEsBAi0AFAAGAAgAAAAhADj9If/WAAAAlAEAAAsA&#10;AAAAAAAAAAAAAAAALwEAAF9yZWxzLy5yZWxzUEsBAi0AFAAGAAgAAAAhAHV2meAIAgAAEAQAAA4A&#10;AAAAAAAAAAAAAAAALgIAAGRycy9lMm9Eb2MueG1sUEsBAi0AFAAGAAgAAAAhAGi7CvjcAAAABwEA&#10;AA8AAAAAAAAAAAAAAAAAYgQAAGRycy9kb3ducmV2LnhtbFBLBQYAAAAABAAEAPMAAABrBQAAAAA=&#10;" strokecolor="red" strokeweight="1.5pt">
                      <v:textbox>
                        <w:txbxContent>
                          <w:p w14:paraId="144C184B" w14:textId="77777777" w:rsidR="00C04CAD" w:rsidRDefault="00060E34">
                            <w:pPr>
                              <w:spacing w:line="240" w:lineRule="auto"/>
                              <w:rPr>
                                <w:szCs w:val="22"/>
                              </w:rPr>
                            </w:pPr>
                            <w:r>
                              <w:rPr>
                                <w:b/>
                                <w:bCs/>
                                <w:szCs w:val="22"/>
                              </w:rPr>
                              <w:t>Important:</w:t>
                            </w:r>
                            <w:r>
                              <w:rPr>
                                <w:szCs w:val="22"/>
                              </w:rPr>
                              <w:t xml:space="preserve"> Dacă fereastra nu a devenit </w:t>
                            </w:r>
                            <w:ins w:id="308" w:author="Author">
                              <w:r>
                                <w:rPr>
                                  <w:szCs w:val="22"/>
                                </w:rPr>
                                <w:t xml:space="preserve">complet </w:t>
                              </w:r>
                            </w:ins>
                            <w:r>
                              <w:rPr>
                                <w:szCs w:val="22"/>
                              </w:rPr>
                              <w:t xml:space="preserve">galbenă sau dacă se pare că medicamentul iese în continuare, nu ați primit o doză completă. Contactați-vă </w:t>
                            </w:r>
                            <w:del w:id="309" w:author="Author">
                              <w:r>
                                <w:rPr>
                                  <w:szCs w:val="22"/>
                                </w:rPr>
                                <w:delText xml:space="preserve">imediat </w:delText>
                              </w:r>
                            </w:del>
                            <w:ins w:id="310" w:author="Author">
                              <w:r>
                                <w:rPr>
                                  <w:szCs w:val="22"/>
                                </w:rPr>
                                <w:t xml:space="preserve">fără întârziere </w:t>
                              </w:r>
                            </w:ins>
                            <w:r>
                              <w:rPr>
                                <w:szCs w:val="22"/>
                              </w:rPr>
                              <w:t>medicul sau furnizorul de servicii medicale.</w:t>
                            </w:r>
                          </w:p>
                          <w:p w14:paraId="464CA20E" w14:textId="77777777" w:rsidR="00C04CAD" w:rsidRDefault="00C04CAD">
                            <w:pPr>
                              <w:spacing w:line="240" w:lineRule="auto"/>
                              <w:rPr>
                                <w:szCs w:val="22"/>
                              </w:rPr>
                            </w:pPr>
                          </w:p>
                        </w:txbxContent>
                      </v:textbox>
                      <w10:wrap type="square"/>
                    </v:shape>
                  </w:pict>
                </mc:Fallback>
              </mc:AlternateContent>
            </w:r>
          </w:p>
        </w:tc>
      </w:tr>
    </w:tbl>
    <w:p w14:paraId="53152515" w14:textId="77777777" w:rsidR="00C04CAD" w:rsidRDefault="00C04CAD">
      <w:pPr>
        <w:tabs>
          <w:tab w:val="left" w:pos="1134"/>
        </w:tabs>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139"/>
        <w:gridCol w:w="8216"/>
        <w:tblGridChange w:id="295">
          <w:tblGrid>
            <w:gridCol w:w="29"/>
            <w:gridCol w:w="514"/>
            <w:gridCol w:w="139"/>
            <w:gridCol w:w="42"/>
            <w:gridCol w:w="8174"/>
            <w:gridCol w:w="201"/>
          </w:tblGrid>
        </w:tblGridChange>
      </w:tblGrid>
      <w:tr w:rsidR="00C04CAD" w14:paraId="7A5CFED0" w14:textId="77777777">
        <w:trPr>
          <w:cantSplit/>
          <w:trHeight w:val="57"/>
        </w:trPr>
        <w:tc>
          <w:tcPr>
            <w:tcW w:w="305" w:type="pct"/>
            <w:tcBorders>
              <w:bottom w:val="single" w:sz="4" w:space="0" w:color="auto"/>
            </w:tcBorders>
            <w:tcMar>
              <w:top w:w="28" w:type="dxa"/>
              <w:left w:w="57" w:type="dxa"/>
              <w:bottom w:w="28" w:type="dxa"/>
              <w:right w:w="57" w:type="dxa"/>
            </w:tcMar>
          </w:tcPr>
          <w:p w14:paraId="6D3C83F2" w14:textId="77777777" w:rsidR="00C04CAD" w:rsidRDefault="00060E34">
            <w:pPr>
              <w:tabs>
                <w:tab w:val="left" w:pos="1134"/>
              </w:tabs>
              <w:spacing w:line="240" w:lineRule="auto"/>
            </w:pPr>
            <w:r>
              <w:rPr>
                <w:b/>
                <w:bCs/>
              </w:rPr>
              <w:t>5</w:t>
            </w:r>
          </w:p>
        </w:tc>
        <w:tc>
          <w:tcPr>
            <w:tcW w:w="4695" w:type="pct"/>
            <w:gridSpan w:val="2"/>
            <w:tcBorders>
              <w:bottom w:val="single" w:sz="4" w:space="0" w:color="auto"/>
            </w:tcBorders>
          </w:tcPr>
          <w:p w14:paraId="459EDBA4" w14:textId="77777777" w:rsidR="00C04CAD" w:rsidRDefault="00060E34">
            <w:pPr>
              <w:tabs>
                <w:tab w:val="left" w:pos="1134"/>
              </w:tabs>
              <w:spacing w:line="240" w:lineRule="auto"/>
              <w:ind w:left="567" w:hanging="567"/>
            </w:pPr>
            <w:r>
              <w:rPr>
                <w:b/>
              </w:rPr>
              <w:t xml:space="preserve">Eliminarea la deșeuri </w:t>
            </w:r>
            <w:del w:id="296" w:author="Author">
              <w:r>
                <w:rPr>
                  <w:b/>
                </w:rPr>
                <w:delText>și finalizare</w:delText>
              </w:r>
            </w:del>
            <w:r>
              <w:rPr>
                <w:b/>
              </w:rPr>
              <w:t>a</w:t>
            </w:r>
            <w:r>
              <w:rPr>
                <w:b/>
                <w:bCs/>
              </w:rPr>
              <w:t xml:space="preserve"> AMGEVITA</w:t>
            </w:r>
            <w:ins w:id="297" w:author="Author">
              <w:r>
                <w:rPr>
                  <w:b/>
                  <w:bCs/>
                </w:rPr>
                <w:t xml:space="preserve"> și verificarea locului injectării</w:t>
              </w:r>
            </w:ins>
          </w:p>
        </w:tc>
      </w:tr>
      <w:tr w:rsidR="00C04CAD" w14:paraId="42D3F889"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CA86267" w14:textId="77777777" w:rsidR="00C04CAD" w:rsidRDefault="00060E34">
            <w:pPr>
              <w:pStyle w:val="ListParagraph"/>
              <w:tabs>
                <w:tab w:val="left" w:pos="0"/>
              </w:tabs>
              <w:spacing w:line="240" w:lineRule="auto"/>
              <w:ind w:left="0"/>
              <w:jc w:val="center"/>
              <w:rPr>
                <w:b/>
                <w:bCs/>
              </w:rPr>
            </w:pPr>
            <w:r>
              <w:rPr>
                <w:noProof/>
              </w:rPr>
              <w:drawing>
                <wp:anchor distT="0" distB="0" distL="114300" distR="114300" simplePos="0" relativeHeight="251684864" behindDoc="0" locked="0" layoutInCell="1" allowOverlap="1" wp14:anchorId="243BA049" wp14:editId="1E80DAED">
                  <wp:simplePos x="0" y="0"/>
                  <wp:positionH relativeFrom="column">
                    <wp:posOffset>1471930</wp:posOffset>
                  </wp:positionH>
                  <wp:positionV relativeFrom="paragraph">
                    <wp:posOffset>-1570990</wp:posOffset>
                  </wp:positionV>
                  <wp:extent cx="2743200" cy="1731645"/>
                  <wp:effectExtent l="0" t="0" r="0" b="0"/>
                  <wp:wrapTopAndBottom/>
                  <wp:docPr id="10869216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21602" name="Picture 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743200" cy="1731645"/>
                          </a:xfrm>
                          <a:prstGeom prst="rect">
                            <a:avLst/>
                          </a:prstGeom>
                          <a:noFill/>
                        </pic:spPr>
                      </pic:pic>
                    </a:graphicData>
                  </a:graphic>
                </wp:anchor>
              </w:drawing>
            </w:r>
          </w:p>
        </w:tc>
      </w:tr>
      <w:tr w:rsidR="00C04CAD" w14:paraId="6B552EA4" w14:textId="77777777">
        <w:trPr>
          <w:cantSplit/>
          <w:trHeight w:val="904"/>
        </w:trPr>
        <w:tc>
          <w:tcPr>
            <w:tcW w:w="5000" w:type="pct"/>
            <w:gridSpan w:val="3"/>
            <w:tcBorders>
              <w:top w:val="nil"/>
              <w:bottom w:val="single" w:sz="4" w:space="0" w:color="auto"/>
            </w:tcBorders>
            <w:tcMar>
              <w:top w:w="28" w:type="dxa"/>
              <w:left w:w="57" w:type="dxa"/>
              <w:bottom w:w="28" w:type="dxa"/>
              <w:right w:w="57" w:type="dxa"/>
            </w:tcMar>
          </w:tcPr>
          <w:p w14:paraId="58F287EB" w14:textId="77777777" w:rsidR="00C04CAD" w:rsidRDefault="00060E34">
            <w:pPr>
              <w:spacing w:line="240" w:lineRule="auto"/>
            </w:pPr>
            <w:r>
              <w:rPr>
                <w:noProof/>
              </w:rPr>
              <mc:AlternateContent>
                <mc:Choice Requires="wps">
                  <w:drawing>
                    <wp:anchor distT="45720" distB="45720" distL="114300" distR="114300" simplePos="0" relativeHeight="251686912" behindDoc="0" locked="0" layoutInCell="1" allowOverlap="1" wp14:anchorId="505B77BC" wp14:editId="600D45A1">
                      <wp:simplePos x="0" y="0"/>
                      <wp:positionH relativeFrom="margin">
                        <wp:posOffset>-2540</wp:posOffset>
                      </wp:positionH>
                      <wp:positionV relativeFrom="paragraph">
                        <wp:posOffset>18415</wp:posOffset>
                      </wp:positionV>
                      <wp:extent cx="5566410" cy="271145"/>
                      <wp:effectExtent l="0" t="0" r="0" b="0"/>
                      <wp:wrapSquare wrapText="bothSides"/>
                      <wp:docPr id="14097265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4921CADC" w14:textId="77777777" w:rsidR="00C04CAD" w:rsidRDefault="00060E34">
                                  <w:pPr>
                                    <w:spacing w:line="240" w:lineRule="auto"/>
                                    <w:rPr>
                                      <w:szCs w:val="22"/>
                                    </w:rPr>
                                  </w:pPr>
                                  <w:r>
                                    <w:rPr>
                                      <w:b/>
                                      <w:bCs/>
                                    </w:rPr>
                                    <w:t>Important: Nu</w:t>
                                  </w:r>
                                  <w:r>
                                    <w:t xml:space="preserve"> elimi</w:t>
                                  </w:r>
                                  <w:ins w:id="298" w:author="Author">
                                    <w:r>
                                      <w:t>n</w:t>
                                    </w:r>
                                  </w:ins>
                                  <w:r>
                                    <w:t xml:space="preserve">ați pen-ul preumplut </w:t>
                                  </w:r>
                                  <w:del w:id="299" w:author="Author">
                                    <w:r>
                                      <w:delText xml:space="preserve">în </w:delText>
                                    </w:r>
                                  </w:del>
                                  <w:ins w:id="300" w:author="Author">
                                    <w:r>
                                      <w:t xml:space="preserve">împreună cu </w:t>
                                    </w:r>
                                  </w:ins>
                                  <w:r>
                                    <w:t>deșeurile menajere.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05B77BC" id="Text Box 8" o:spid="_x0000_s1045" type="#_x0000_t202" style="position:absolute;margin-left:-.2pt;margin-top:1.45pt;width:438.3pt;height:21.35pt;z-index:251686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ySn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okRI1Ik&#10;sIbmmShEOIworRRdOsDvnA00nhX333YCFWfmvaU23BSzWZznpMzmV1NS8NJSX1qElQRV8cDZ4boO&#10;aQcSQ+6O2rXRicmXTI4509glgo8rEuf6Uk9eL4u8+gE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A8MySnBwIAABAEAAAOAAAA&#10;AAAAAAAAAAAAAC4CAABkcnMvZTJvRG9jLnhtbFBLAQItABQABgAIAAAAIQBieEfW2wAAAAYBAAAP&#10;AAAAAAAAAAAAAAAAAGEEAABkcnMvZG93bnJldi54bWxQSwUGAAAAAAQABADzAAAAaQUAAAAA&#10;" strokecolor="red" strokeweight="1.5pt">
                      <v:textbox style="mso-fit-shape-to-text:t">
                        <w:txbxContent>
                          <w:p w14:paraId="4921CADC" w14:textId="77777777" w:rsidR="00C04CAD" w:rsidRDefault="00060E34">
                            <w:pPr>
                              <w:spacing w:line="240" w:lineRule="auto"/>
                              <w:rPr>
                                <w:szCs w:val="22"/>
                              </w:rPr>
                            </w:pPr>
                            <w:r>
                              <w:rPr>
                                <w:b/>
                                <w:bCs/>
                              </w:rPr>
                              <w:t>Important: Nu</w:t>
                            </w:r>
                            <w:r>
                              <w:t xml:space="preserve"> elimi</w:t>
                            </w:r>
                            <w:ins w:id="317" w:author="Author">
                              <w:r>
                                <w:t>n</w:t>
                              </w:r>
                            </w:ins>
                            <w:r>
                              <w:t xml:space="preserve">ați pen-ul preumplut </w:t>
                            </w:r>
                            <w:del w:id="318" w:author="Author">
                              <w:r>
                                <w:delText xml:space="preserve">în </w:delText>
                              </w:r>
                            </w:del>
                            <w:ins w:id="319" w:author="Author">
                              <w:r>
                                <w:t xml:space="preserve">împreună cu </w:t>
                              </w:r>
                            </w:ins>
                            <w:r>
                              <w:t>deșeurile menajere.</w:t>
                            </w:r>
                          </w:p>
                        </w:txbxContent>
                      </v:textbox>
                      <w10:wrap type="square" anchorx="margin"/>
                    </v:shape>
                  </w:pict>
                </mc:Fallback>
              </mc:AlternateContent>
            </w:r>
          </w:p>
        </w:tc>
      </w:tr>
      <w:tr w:rsidR="00C04CAD" w14:paraId="60B80A89" w14:textId="77777777">
        <w:trPr>
          <w:cantSplit/>
          <w:trHeight w:val="57"/>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3DEB357A" w14:textId="77777777" w:rsidR="00C04CAD" w:rsidRDefault="00060E34">
            <w:pPr>
              <w:tabs>
                <w:tab w:val="clear" w:pos="567"/>
              </w:tabs>
              <w:spacing w:line="240" w:lineRule="auto"/>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036F5261" w14:textId="77777777" w:rsidR="00C04CAD" w:rsidRDefault="00060E34">
            <w:pPr>
              <w:spacing w:line="240" w:lineRule="auto"/>
              <w:rPr>
                <w:b/>
                <w:bCs/>
              </w:rPr>
            </w:pPr>
            <w:r>
              <w:rPr>
                <w:b/>
              </w:rPr>
              <w:t>Puneţi pen-ul preumplut folosit și capacul galben în recipientul pentru eliminarea la deșeuri a obiectelor ascuţite</w:t>
            </w:r>
            <w:ins w:id="301" w:author="Author">
              <w:r>
                <w:rPr>
                  <w:b/>
                </w:rPr>
                <w:t xml:space="preserve"> imediat după utilizare.</w:t>
              </w:r>
            </w:ins>
          </w:p>
        </w:tc>
      </w:tr>
      <w:tr w:rsidR="00C04CAD" w14:paraId="440D4F84" w14:textId="77777777">
        <w:trPr>
          <w:cantSplit/>
          <w:trHeight w:val="57"/>
        </w:trPr>
        <w:tc>
          <w:tcPr>
            <w:tcW w:w="383" w:type="pct"/>
            <w:gridSpan w:val="2"/>
            <w:tcBorders>
              <w:top w:val="single" w:sz="4" w:space="0" w:color="auto"/>
              <w:bottom w:val="nil"/>
              <w:right w:val="nil"/>
            </w:tcBorders>
            <w:tcMar>
              <w:top w:w="28" w:type="dxa"/>
              <w:left w:w="57" w:type="dxa"/>
              <w:bottom w:w="28" w:type="dxa"/>
              <w:right w:w="57" w:type="dxa"/>
            </w:tcMar>
          </w:tcPr>
          <w:p w14:paraId="0F79058F"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30D705FC" w14:textId="77777777" w:rsidR="00C04CAD" w:rsidRDefault="00060E34">
            <w:pPr>
              <w:spacing w:line="240" w:lineRule="auto"/>
              <w:rPr>
                <w:b/>
                <w:bCs/>
              </w:rPr>
            </w:pPr>
            <w:r>
              <w:rPr>
                <w:b/>
              </w:rPr>
              <w:t>Nu</w:t>
            </w:r>
            <w:r>
              <w:t xml:space="preserve"> refolosiți pen-ul preumplut</w:t>
            </w:r>
          </w:p>
        </w:tc>
      </w:tr>
      <w:tr w:rsidR="00C04CAD" w14:paraId="7975A7FE" w14:textId="77777777" w:rsidTr="001C668B">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02"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03" w:author="Author">
            <w:trPr>
              <w:gridBefore w:val="1"/>
              <w:cantSplit/>
              <w:trHeight w:val="57"/>
            </w:trPr>
          </w:trPrChange>
        </w:trPr>
        <w:tc>
          <w:tcPr>
            <w:tcW w:w="383" w:type="pct"/>
            <w:gridSpan w:val="2"/>
            <w:tcBorders>
              <w:top w:val="nil"/>
              <w:bottom w:val="single" w:sz="4" w:space="0" w:color="auto"/>
              <w:right w:val="nil"/>
            </w:tcBorders>
            <w:tcMar>
              <w:top w:w="28" w:type="dxa"/>
              <w:left w:w="57" w:type="dxa"/>
              <w:bottom w:w="28" w:type="dxa"/>
              <w:right w:w="57" w:type="dxa"/>
            </w:tcMar>
            <w:tcPrChange w:id="304" w:author="Author">
              <w:tcPr>
                <w:tcW w:w="383" w:type="pct"/>
                <w:gridSpan w:val="3"/>
                <w:tcBorders>
                  <w:top w:val="nil"/>
                  <w:bottom w:val="nil"/>
                  <w:right w:val="nil"/>
                </w:tcBorders>
                <w:tcMar>
                  <w:top w:w="28" w:type="dxa"/>
                  <w:left w:w="57" w:type="dxa"/>
                  <w:bottom w:w="28" w:type="dxa"/>
                  <w:right w:w="57" w:type="dxa"/>
                </w:tcMar>
              </w:tcPr>
            </w:tcPrChange>
          </w:tcPr>
          <w:p w14:paraId="4DB052EB"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single" w:sz="4" w:space="0" w:color="auto"/>
            </w:tcBorders>
            <w:tcMar>
              <w:left w:w="0" w:type="dxa"/>
            </w:tcMar>
            <w:tcPrChange w:id="305" w:author="Author">
              <w:tcPr>
                <w:tcW w:w="4617" w:type="pct"/>
                <w:gridSpan w:val="2"/>
                <w:tcBorders>
                  <w:top w:val="nil"/>
                  <w:left w:val="nil"/>
                  <w:bottom w:val="nil"/>
                </w:tcBorders>
                <w:tcMar>
                  <w:left w:w="0" w:type="dxa"/>
                </w:tcMar>
              </w:tcPr>
            </w:tcPrChange>
          </w:tcPr>
          <w:p w14:paraId="0069E4A8" w14:textId="77777777" w:rsidR="00C04CAD" w:rsidRDefault="00060E34">
            <w:pPr>
              <w:spacing w:line="240" w:lineRule="auto"/>
              <w:rPr>
                <w:b/>
                <w:bCs/>
              </w:rPr>
            </w:pPr>
            <w:r>
              <w:rPr>
                <w:b/>
              </w:rPr>
              <w:t>Nu</w:t>
            </w:r>
            <w:r>
              <w:t xml:space="preserve"> atingeți elementul de protecție de culoare crem</w:t>
            </w:r>
          </w:p>
        </w:tc>
      </w:tr>
      <w:tr w:rsidR="00C04CAD" w14:paraId="6507C751" w14:textId="77777777" w:rsidTr="001C668B">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06"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307" w:author="Author"/>
          <w:trPrChange w:id="308" w:author="Author">
            <w:trPr>
              <w:gridBefore w:val="1"/>
              <w:cantSplit/>
              <w:trHeight w:val="57"/>
            </w:trPr>
          </w:trPrChange>
        </w:trPr>
        <w:tc>
          <w:tcPr>
            <w:tcW w:w="383" w:type="pct"/>
            <w:gridSpan w:val="2"/>
            <w:tcBorders>
              <w:top w:val="single" w:sz="4" w:space="0" w:color="auto"/>
              <w:left w:val="nil"/>
              <w:bottom w:val="single" w:sz="4" w:space="0" w:color="auto"/>
              <w:right w:val="nil"/>
            </w:tcBorders>
            <w:tcMar>
              <w:top w:w="28" w:type="dxa"/>
              <w:left w:w="57" w:type="dxa"/>
              <w:bottom w:w="28" w:type="dxa"/>
              <w:right w:w="57" w:type="dxa"/>
            </w:tcMar>
            <w:tcPrChange w:id="309" w:author="Author">
              <w:tcPr>
                <w:tcW w:w="383" w:type="pct"/>
                <w:gridSpan w:val="3"/>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31BAA680" w14:textId="77777777" w:rsidR="00C04CAD" w:rsidRDefault="00C04CAD">
            <w:pPr>
              <w:tabs>
                <w:tab w:val="clear" w:pos="567"/>
              </w:tabs>
              <w:spacing w:line="240" w:lineRule="auto"/>
              <w:rPr>
                <w:ins w:id="310" w:author="Author"/>
                <w:b/>
                <w:bCs/>
              </w:rPr>
            </w:pPr>
          </w:p>
        </w:tc>
        <w:tc>
          <w:tcPr>
            <w:tcW w:w="4617" w:type="pct"/>
            <w:tcBorders>
              <w:top w:val="single" w:sz="4" w:space="0" w:color="auto"/>
              <w:left w:val="nil"/>
              <w:bottom w:val="single" w:sz="4" w:space="0" w:color="auto"/>
              <w:right w:val="nil"/>
            </w:tcBorders>
            <w:tcMar>
              <w:left w:w="0" w:type="dxa"/>
            </w:tcMar>
            <w:tcPrChange w:id="311" w:author="Author">
              <w:tcPr>
                <w:tcW w:w="4617" w:type="pct"/>
                <w:gridSpan w:val="2"/>
                <w:tcBorders>
                  <w:top w:val="single" w:sz="4" w:space="0" w:color="auto"/>
                  <w:left w:val="single" w:sz="4" w:space="0" w:color="auto"/>
                  <w:bottom w:val="single" w:sz="4" w:space="0" w:color="auto"/>
                </w:tcBorders>
                <w:tcMar>
                  <w:left w:w="0" w:type="dxa"/>
                </w:tcMar>
              </w:tcPr>
            </w:tcPrChange>
          </w:tcPr>
          <w:p w14:paraId="60923BAA" w14:textId="77777777" w:rsidR="00C04CAD" w:rsidRDefault="00C04CAD">
            <w:pPr>
              <w:spacing w:line="240" w:lineRule="auto"/>
              <w:rPr>
                <w:ins w:id="312" w:author="Author"/>
                <w:b/>
              </w:rPr>
            </w:pPr>
          </w:p>
        </w:tc>
      </w:tr>
      <w:tr w:rsidR="00C04CAD" w14:paraId="3F3E4D5D" w14:textId="77777777">
        <w:trPr>
          <w:cantSplit/>
          <w:trHeight w:val="57"/>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7676511A" w14:textId="77777777" w:rsidR="00C04CAD" w:rsidRDefault="00060E34">
            <w:pPr>
              <w:tabs>
                <w:tab w:val="clear" w:pos="567"/>
              </w:tabs>
              <w:spacing w:line="240" w:lineRule="auto"/>
            </w:pPr>
            <w:r>
              <w:rPr>
                <w:b/>
                <w:bCs/>
              </w:rPr>
              <w:t>5b</w:t>
            </w:r>
          </w:p>
        </w:tc>
        <w:tc>
          <w:tcPr>
            <w:tcW w:w="4617" w:type="pct"/>
            <w:tcBorders>
              <w:top w:val="single" w:sz="4" w:space="0" w:color="auto"/>
              <w:left w:val="single" w:sz="4" w:space="0" w:color="auto"/>
              <w:bottom w:val="single" w:sz="4" w:space="0" w:color="auto"/>
            </w:tcBorders>
            <w:tcMar>
              <w:left w:w="0" w:type="dxa"/>
            </w:tcMar>
          </w:tcPr>
          <w:p w14:paraId="34125B1E" w14:textId="77777777" w:rsidR="00C04CAD" w:rsidRDefault="00060E34">
            <w:pPr>
              <w:spacing w:line="240" w:lineRule="auto"/>
              <w:rPr>
                <w:b/>
                <w:bCs/>
              </w:rPr>
            </w:pPr>
            <w:r>
              <w:rPr>
                <w:b/>
              </w:rPr>
              <w:t>Verificați locul injectării</w:t>
            </w:r>
            <w:r>
              <w:rPr>
                <w:b/>
                <w:bCs/>
              </w:rPr>
              <w:t>.</w:t>
            </w:r>
          </w:p>
        </w:tc>
      </w:tr>
      <w:tr w:rsidR="00C04CAD" w14:paraId="2749A2EB" w14:textId="77777777">
        <w:trPr>
          <w:cantSplit/>
          <w:trHeight w:val="57"/>
        </w:trPr>
        <w:tc>
          <w:tcPr>
            <w:tcW w:w="383" w:type="pct"/>
            <w:gridSpan w:val="2"/>
            <w:tcBorders>
              <w:top w:val="single" w:sz="4" w:space="0" w:color="auto"/>
              <w:bottom w:val="nil"/>
              <w:right w:val="nil"/>
            </w:tcBorders>
            <w:tcMar>
              <w:top w:w="28" w:type="dxa"/>
              <w:left w:w="57" w:type="dxa"/>
              <w:bottom w:w="28" w:type="dxa"/>
              <w:right w:w="57" w:type="dxa"/>
            </w:tcMar>
          </w:tcPr>
          <w:p w14:paraId="542ABCDB"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069BEFC2" w14:textId="77777777" w:rsidR="00C04CAD" w:rsidRDefault="00060E34">
            <w:pPr>
              <w:spacing w:line="240" w:lineRule="auto"/>
              <w:rPr>
                <w:b/>
                <w:bCs/>
              </w:rPr>
            </w:pPr>
            <w:r>
              <w:rPr>
                <w:b/>
              </w:rPr>
              <w:t>Nu</w:t>
            </w:r>
            <w:r>
              <w:t xml:space="preserve"> frecaţi locul injectării. </w:t>
            </w:r>
          </w:p>
        </w:tc>
      </w:tr>
      <w:tr w:rsidR="00C04CAD" w14:paraId="51DD8355" w14:textId="77777777">
        <w:trPr>
          <w:cantSplit/>
          <w:trHeight w:val="57"/>
        </w:trPr>
        <w:tc>
          <w:tcPr>
            <w:tcW w:w="383" w:type="pct"/>
            <w:gridSpan w:val="2"/>
            <w:tcBorders>
              <w:top w:val="nil"/>
              <w:bottom w:val="single" w:sz="4" w:space="0" w:color="auto"/>
              <w:right w:val="nil"/>
            </w:tcBorders>
            <w:tcMar>
              <w:top w:w="28" w:type="dxa"/>
              <w:left w:w="57" w:type="dxa"/>
              <w:bottom w:w="28" w:type="dxa"/>
              <w:right w:w="57" w:type="dxa"/>
            </w:tcMar>
          </w:tcPr>
          <w:p w14:paraId="4EFBE91D"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312ACBE9" w14:textId="77777777" w:rsidR="00C04CAD" w:rsidRDefault="00060E34">
            <w:pPr>
              <w:spacing w:line="240" w:lineRule="auto"/>
              <w:rPr>
                <w:b/>
                <w:bCs/>
              </w:rPr>
            </w:pPr>
            <w:r>
              <w:t xml:space="preserve">Dacă există sânge, </w:t>
            </w:r>
            <w:r>
              <w:rPr>
                <w:color w:val="000000"/>
                <w:szCs w:val="22"/>
                <w:lang w:eastAsia="en-US" w:bidi="ar-SA"/>
              </w:rPr>
              <w:t>țineți apăsat un tampon de vată sau o compresă de tifon</w:t>
            </w:r>
            <w:r>
              <w:t xml:space="preserve"> pe locul injectării. Aplicați un plasture, dacă este necesar.</w:t>
            </w:r>
          </w:p>
        </w:tc>
      </w:tr>
    </w:tbl>
    <w:p w14:paraId="3A043DFA" w14:textId="77777777" w:rsidR="00C04CAD" w:rsidRDefault="00C04CAD">
      <w:pPr>
        <w:numPr>
          <w:ilvl w:val="12"/>
          <w:numId w:val="0"/>
        </w:numPr>
        <w:tabs>
          <w:tab w:val="clear" w:pos="567"/>
        </w:tabs>
        <w:spacing w:line="240" w:lineRule="auto"/>
        <w:rPr>
          <w:ins w:id="313" w:author="Author"/>
        </w:rPr>
      </w:pPr>
    </w:p>
    <w:p w14:paraId="4FCA8174" w14:textId="77777777" w:rsidR="00C04CAD" w:rsidRDefault="00060E34">
      <w:pPr>
        <w:numPr>
          <w:ilvl w:val="12"/>
          <w:numId w:val="0"/>
        </w:numPr>
        <w:tabs>
          <w:tab w:val="clear" w:pos="567"/>
        </w:tabs>
        <w:spacing w:line="240" w:lineRule="auto"/>
      </w:pPr>
      <w:ins w:id="314" w:author="Author">
        <w:r>
          <w:br w:type="page"/>
        </w:r>
      </w:ins>
    </w:p>
    <w:p w14:paraId="26D50C9E" w14:textId="77777777" w:rsidR="00C04CAD" w:rsidRDefault="00060E34">
      <w:pPr>
        <w:keepNext/>
        <w:tabs>
          <w:tab w:val="clear" w:pos="567"/>
        </w:tabs>
        <w:kinsoku w:val="0"/>
        <w:overflowPunct w:val="0"/>
        <w:autoSpaceDE w:val="0"/>
        <w:autoSpaceDN w:val="0"/>
        <w:adjustRightInd w:val="0"/>
        <w:spacing w:line="240" w:lineRule="auto"/>
        <w:jc w:val="center"/>
        <w:outlineLvl w:val="0"/>
        <w:rPr>
          <w:b/>
          <w:bCs/>
          <w:szCs w:val="22"/>
          <w:lang w:eastAsia="en-US" w:bidi="ar-SA"/>
        </w:rPr>
      </w:pPr>
      <w:r>
        <w:rPr>
          <w:b/>
          <w:bCs/>
          <w:szCs w:val="22"/>
          <w:lang w:eastAsia="en-US" w:bidi="ar-SA"/>
        </w:rPr>
        <w:t>Prospect: Informaţii pentru pacient</w:t>
      </w:r>
    </w:p>
    <w:p w14:paraId="5651DC31" w14:textId="77777777" w:rsidR="00C04CAD" w:rsidRDefault="00C04CAD">
      <w:pPr>
        <w:tabs>
          <w:tab w:val="clear" w:pos="567"/>
        </w:tabs>
        <w:autoSpaceDE w:val="0"/>
        <w:autoSpaceDN w:val="0"/>
        <w:adjustRightInd w:val="0"/>
        <w:spacing w:line="240" w:lineRule="auto"/>
        <w:rPr>
          <w:b/>
          <w:sz w:val="24"/>
          <w:szCs w:val="24"/>
          <w:lang w:eastAsia="en-US" w:bidi="ar-SA"/>
        </w:rPr>
      </w:pPr>
    </w:p>
    <w:p w14:paraId="1D7938FE" w14:textId="77777777" w:rsidR="00C04CAD" w:rsidRDefault="00060E34">
      <w:pPr>
        <w:keepNext/>
        <w:tabs>
          <w:tab w:val="clear" w:pos="567"/>
        </w:tabs>
        <w:kinsoku w:val="0"/>
        <w:overflowPunct w:val="0"/>
        <w:autoSpaceDE w:val="0"/>
        <w:autoSpaceDN w:val="0"/>
        <w:adjustRightInd w:val="0"/>
        <w:spacing w:line="240" w:lineRule="auto"/>
        <w:jc w:val="center"/>
        <w:rPr>
          <w:szCs w:val="22"/>
          <w:lang w:eastAsia="en-US" w:bidi="ar-SA"/>
        </w:rPr>
      </w:pPr>
      <w:r>
        <w:rPr>
          <w:b/>
          <w:bCs/>
          <w:szCs w:val="22"/>
          <w:lang w:eastAsia="en-US" w:bidi="ar-SA"/>
        </w:rPr>
        <w:t>AMGEVITA 80 mg soluţie injectabilă în pen preumplut</w:t>
      </w:r>
    </w:p>
    <w:p w14:paraId="4E8C1F0C" w14:textId="77777777" w:rsidR="00C04CAD" w:rsidRDefault="00060E34">
      <w:pPr>
        <w:tabs>
          <w:tab w:val="clear" w:pos="567"/>
        </w:tabs>
        <w:kinsoku w:val="0"/>
        <w:overflowPunct w:val="0"/>
        <w:autoSpaceDE w:val="0"/>
        <w:autoSpaceDN w:val="0"/>
        <w:adjustRightInd w:val="0"/>
        <w:spacing w:line="240" w:lineRule="auto"/>
        <w:jc w:val="center"/>
        <w:rPr>
          <w:szCs w:val="22"/>
          <w:lang w:eastAsia="en-US" w:bidi="ar-SA"/>
        </w:rPr>
      </w:pPr>
      <w:r>
        <w:rPr>
          <w:szCs w:val="22"/>
          <w:lang w:eastAsia="en-US" w:bidi="ar-SA"/>
        </w:rPr>
        <w:t>adalimumab</w:t>
      </w:r>
    </w:p>
    <w:p w14:paraId="708FE0B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AAD49D0" w14:textId="77777777" w:rsidR="00C04CAD" w:rsidRDefault="00C04CAD">
      <w:pPr>
        <w:tabs>
          <w:tab w:val="clear" w:pos="567"/>
        </w:tabs>
        <w:autoSpaceDE w:val="0"/>
        <w:autoSpaceDN w:val="0"/>
        <w:adjustRightInd w:val="0"/>
        <w:spacing w:line="240" w:lineRule="auto"/>
        <w:rPr>
          <w:b/>
          <w:bCs/>
          <w:sz w:val="24"/>
          <w:szCs w:val="24"/>
          <w:lang w:eastAsia="en-US" w:bidi="ar-SA"/>
        </w:rPr>
      </w:pPr>
    </w:p>
    <w:p w14:paraId="44F58F59" w14:textId="77777777" w:rsidR="00C04CAD" w:rsidRDefault="00060E34">
      <w:pPr>
        <w:tabs>
          <w:tab w:val="clear" w:pos="567"/>
        </w:tabs>
        <w:kinsoku w:val="0"/>
        <w:overflowPunct w:val="0"/>
        <w:autoSpaceDE w:val="0"/>
        <w:autoSpaceDN w:val="0"/>
        <w:adjustRightInd w:val="0"/>
        <w:spacing w:line="240" w:lineRule="auto"/>
        <w:outlineLvl w:val="0"/>
        <w:rPr>
          <w:bCs/>
          <w:szCs w:val="22"/>
          <w:lang w:eastAsia="en-US" w:bidi="ar-SA"/>
        </w:rPr>
      </w:pPr>
      <w:r>
        <w:rPr>
          <w:b/>
          <w:bCs/>
          <w:szCs w:val="22"/>
          <w:lang w:eastAsia="en-US" w:bidi="ar-SA"/>
        </w:rPr>
        <w:t>Citiţi cu atenţie şi în întregime acest prospect înainte de a începe să utilizaţi acest medicament deoarece acesta conţine informaţii importante pentru dumneavoastră.</w:t>
      </w:r>
    </w:p>
    <w:p w14:paraId="1B891A8F" w14:textId="77777777" w:rsidR="00C04CAD" w:rsidRDefault="00060E34">
      <w:pPr>
        <w:numPr>
          <w:ilvl w:val="0"/>
          <w:numId w:val="11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Păstraţi acest prospect. S-ar putea să fie necesar să-l recitiţi.</w:t>
      </w:r>
    </w:p>
    <w:p w14:paraId="75CC8F87" w14:textId="77777777" w:rsidR="00C04CAD" w:rsidRDefault="00060E34">
      <w:pPr>
        <w:numPr>
          <w:ilvl w:val="0"/>
          <w:numId w:val="111"/>
        </w:numPr>
        <w:tabs>
          <w:tab w:val="clear" w:pos="567"/>
        </w:tabs>
        <w:kinsoku w:val="0"/>
        <w:overflowPunct w:val="0"/>
        <w:autoSpaceDE w:val="0"/>
        <w:autoSpaceDN w:val="0"/>
        <w:adjustRightInd w:val="0"/>
        <w:spacing w:line="240" w:lineRule="auto"/>
        <w:ind w:left="567"/>
      </w:pPr>
      <w:r>
        <w:rPr>
          <w:szCs w:val="22"/>
          <w:lang w:eastAsia="en-US" w:bidi="ar-SA"/>
        </w:rPr>
        <w:t xml:space="preserve">Medicul dumneavoastră vă va da de asemenea un </w:t>
      </w:r>
      <w:r>
        <w:rPr>
          <w:b/>
          <w:szCs w:val="22"/>
          <w:lang w:eastAsia="en-US" w:bidi="ar-SA"/>
        </w:rPr>
        <w:t xml:space="preserve">Card de </w:t>
      </w:r>
      <w:r>
        <w:rPr>
          <w:b/>
          <w:szCs w:val="22"/>
        </w:rPr>
        <w:t>avertizare al pacientului</w:t>
      </w:r>
      <w:r>
        <w:rPr>
          <w:szCs w:val="22"/>
          <w:lang w:eastAsia="en-US" w:bidi="ar-SA"/>
        </w:rPr>
        <w:t xml:space="preserve"> care conţine informaţii importante privind siguranţa, informaţii de care aveţi nevoie pentru a fi atenţionaţi înainte de a utiliza AMGEVITA şi în timpul tratamentului cu AMGEVITA.</w:t>
      </w:r>
      <w:r>
        <w:t xml:space="preserve"> Păstraţi asupra dumneavoastră acest </w:t>
      </w:r>
      <w:r>
        <w:rPr>
          <w:b/>
        </w:rPr>
        <w:t xml:space="preserve">Card de </w:t>
      </w:r>
      <w:r>
        <w:rPr>
          <w:b/>
          <w:szCs w:val="22"/>
        </w:rPr>
        <w:t>avertizare al pacientului</w:t>
      </w:r>
      <w:r>
        <w:t>.</w:t>
      </w:r>
    </w:p>
    <w:p w14:paraId="43AB14FF" w14:textId="77777777" w:rsidR="00C04CAD" w:rsidRDefault="00060E34">
      <w:pPr>
        <w:numPr>
          <w:ilvl w:val="0"/>
          <w:numId w:val="111"/>
        </w:numPr>
        <w:tabs>
          <w:tab w:val="clear" w:pos="567"/>
        </w:tabs>
        <w:kinsoku w:val="0"/>
        <w:overflowPunct w:val="0"/>
        <w:autoSpaceDE w:val="0"/>
        <w:autoSpaceDN w:val="0"/>
        <w:adjustRightInd w:val="0"/>
        <w:spacing w:line="240" w:lineRule="auto"/>
        <w:ind w:left="567"/>
      </w:pPr>
      <w:r>
        <w:t>Dacă aveţi orice întrebări suplimentare, adresaţi-vă medicului dumneavoastră sau farmacistului.</w:t>
      </w:r>
    </w:p>
    <w:p w14:paraId="1551444B" w14:textId="77777777" w:rsidR="00C04CAD" w:rsidRDefault="00060E34">
      <w:pPr>
        <w:numPr>
          <w:ilvl w:val="0"/>
          <w:numId w:val="111"/>
        </w:numPr>
        <w:tabs>
          <w:tab w:val="clear" w:pos="567"/>
        </w:tabs>
        <w:kinsoku w:val="0"/>
        <w:overflowPunct w:val="0"/>
        <w:autoSpaceDE w:val="0"/>
        <w:autoSpaceDN w:val="0"/>
        <w:adjustRightInd w:val="0"/>
        <w:spacing w:line="240" w:lineRule="auto"/>
        <w:ind w:left="567"/>
      </w:pPr>
      <w:r>
        <w:t>Acest medicament a fost prescris numai pentru dumneavoastră. Nu trebuie să-l daţi altor persoane. Le poate face rău, chiar dacă au aceleaşi semne de boală cu ale dumneavoastră.</w:t>
      </w:r>
    </w:p>
    <w:p w14:paraId="69B5B9ED" w14:textId="77777777" w:rsidR="00C04CAD" w:rsidRDefault="00060E34">
      <w:pPr>
        <w:numPr>
          <w:ilvl w:val="0"/>
          <w:numId w:val="111"/>
        </w:numPr>
        <w:tabs>
          <w:tab w:val="clear" w:pos="567"/>
        </w:tabs>
        <w:kinsoku w:val="0"/>
        <w:overflowPunct w:val="0"/>
        <w:autoSpaceDE w:val="0"/>
        <w:autoSpaceDN w:val="0"/>
        <w:adjustRightInd w:val="0"/>
        <w:spacing w:line="240" w:lineRule="auto"/>
        <w:ind w:left="567"/>
      </w:pPr>
      <w:r>
        <w:t>Dacă aveţi orice reacţie adversă spuneţi medicului dumneavoastră sau farmacistului. Aceasta include orice posibilă reacţie adversă nemenţionată în acest prospect (vezi pct. 4).</w:t>
      </w:r>
    </w:p>
    <w:p w14:paraId="7BAA9A47" w14:textId="77777777" w:rsidR="00C04CAD" w:rsidRDefault="00C04CAD">
      <w:pPr>
        <w:tabs>
          <w:tab w:val="clear" w:pos="567"/>
        </w:tabs>
        <w:kinsoku w:val="0"/>
        <w:overflowPunct w:val="0"/>
        <w:autoSpaceDE w:val="0"/>
        <w:autoSpaceDN w:val="0"/>
        <w:adjustRightInd w:val="0"/>
        <w:spacing w:line="240" w:lineRule="auto"/>
      </w:pPr>
    </w:p>
    <w:p w14:paraId="5AED862F" w14:textId="77777777" w:rsidR="00C04CAD" w:rsidRDefault="00060E34">
      <w:pPr>
        <w:tabs>
          <w:tab w:val="clear" w:pos="567"/>
        </w:tabs>
        <w:kinsoku w:val="0"/>
        <w:overflowPunct w:val="0"/>
        <w:autoSpaceDE w:val="0"/>
        <w:autoSpaceDN w:val="0"/>
        <w:adjustRightInd w:val="0"/>
        <w:spacing w:line="240" w:lineRule="auto"/>
        <w:outlineLvl w:val="0"/>
        <w:rPr>
          <w:bCs/>
        </w:rPr>
      </w:pPr>
      <w:r>
        <w:rPr>
          <w:b/>
        </w:rPr>
        <w:t>Ce găsiţi în acest prospect:</w:t>
      </w:r>
    </w:p>
    <w:p w14:paraId="6541A498" w14:textId="77777777" w:rsidR="00C04CAD" w:rsidRDefault="00C04CAD">
      <w:pPr>
        <w:tabs>
          <w:tab w:val="clear" w:pos="567"/>
        </w:tabs>
        <w:autoSpaceDE w:val="0"/>
        <w:autoSpaceDN w:val="0"/>
        <w:adjustRightInd w:val="0"/>
        <w:spacing w:line="240" w:lineRule="auto"/>
        <w:rPr>
          <w:bCs/>
          <w:sz w:val="24"/>
          <w:szCs w:val="24"/>
          <w:lang w:eastAsia="en-US" w:bidi="ar-SA"/>
        </w:rPr>
      </w:pPr>
    </w:p>
    <w:p w14:paraId="22544E29"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Ce este AMGEVITA şi pentru ce se utilizează</w:t>
      </w:r>
    </w:p>
    <w:p w14:paraId="174746CD"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Ce trebuie să ştiţi înainte să utilizaţi AMGEVITA</w:t>
      </w:r>
    </w:p>
    <w:p w14:paraId="2473DA06"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Cum să utilizaţi AMGEVITA</w:t>
      </w:r>
    </w:p>
    <w:p w14:paraId="0B7FF0D3"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hanging="567"/>
      </w:pPr>
      <w:r>
        <w:t>Reacţii adverse posibile</w:t>
      </w:r>
    </w:p>
    <w:p w14:paraId="46467D8F"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Cum se păstrează AMGEVITA</w:t>
      </w:r>
    </w:p>
    <w:p w14:paraId="194BA58D" w14:textId="77777777" w:rsidR="00C04CAD" w:rsidRDefault="00060E34">
      <w:pPr>
        <w:numPr>
          <w:ilvl w:val="0"/>
          <w:numId w:val="112"/>
        </w:numPr>
        <w:tabs>
          <w:tab w:val="clear" w:pos="567"/>
        </w:tabs>
        <w:kinsoku w:val="0"/>
        <w:overflowPunct w:val="0"/>
        <w:autoSpaceDE w:val="0"/>
        <w:autoSpaceDN w:val="0"/>
        <w:adjustRightInd w:val="0"/>
        <w:spacing w:line="240" w:lineRule="auto"/>
        <w:ind w:left="567" w:hanging="567"/>
      </w:pPr>
      <w:r>
        <w:t>Conţinutul ambalajului şi alte informaţii</w:t>
      </w:r>
    </w:p>
    <w:p w14:paraId="061ADA75" w14:textId="77777777" w:rsidR="00C04CAD" w:rsidRDefault="00C04CAD">
      <w:pPr>
        <w:tabs>
          <w:tab w:val="clear" w:pos="567"/>
        </w:tabs>
        <w:kinsoku w:val="0"/>
        <w:overflowPunct w:val="0"/>
        <w:autoSpaceDE w:val="0"/>
        <w:autoSpaceDN w:val="0"/>
        <w:adjustRightInd w:val="0"/>
        <w:spacing w:line="240" w:lineRule="auto"/>
      </w:pPr>
    </w:p>
    <w:p w14:paraId="4F3B71E0" w14:textId="77777777" w:rsidR="00C04CAD" w:rsidRDefault="00C04CAD">
      <w:pPr>
        <w:tabs>
          <w:tab w:val="clear" w:pos="567"/>
        </w:tabs>
        <w:kinsoku w:val="0"/>
        <w:overflowPunct w:val="0"/>
        <w:autoSpaceDE w:val="0"/>
        <w:autoSpaceDN w:val="0"/>
        <w:adjustRightInd w:val="0"/>
        <w:spacing w:line="240" w:lineRule="auto"/>
      </w:pPr>
    </w:p>
    <w:p w14:paraId="368C8122" w14:textId="77777777" w:rsidR="00C04CAD" w:rsidRDefault="00060E34">
      <w:pPr>
        <w:numPr>
          <w:ilvl w:val="0"/>
          <w:numId w:val="113"/>
        </w:numPr>
        <w:tabs>
          <w:tab w:val="clear" w:pos="567"/>
        </w:tabs>
        <w:kinsoku w:val="0"/>
        <w:overflowPunct w:val="0"/>
        <w:autoSpaceDE w:val="0"/>
        <w:autoSpaceDN w:val="0"/>
        <w:adjustRightInd w:val="0"/>
        <w:spacing w:line="240" w:lineRule="auto"/>
        <w:ind w:left="567"/>
        <w:outlineLvl w:val="0"/>
        <w:rPr>
          <w:szCs w:val="22"/>
          <w:lang w:eastAsia="en-US" w:bidi="ar-SA"/>
        </w:rPr>
      </w:pPr>
      <w:r>
        <w:rPr>
          <w:b/>
          <w:bCs/>
          <w:szCs w:val="22"/>
          <w:lang w:eastAsia="en-US" w:bidi="ar-SA"/>
        </w:rPr>
        <w:t>Ce este AMGEVITA şi pentru ce se utilizează</w:t>
      </w:r>
    </w:p>
    <w:p w14:paraId="4742B8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5A3C40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conţine substanţa activă adalimumab</w:t>
      </w:r>
      <w:r>
        <w:t>, un medicament care acționează asupra sistemului imunitar (de apărare) al organismului</w:t>
      </w:r>
      <w:r>
        <w:rPr>
          <w:szCs w:val="22"/>
          <w:lang w:eastAsia="en-US" w:bidi="ar-SA"/>
        </w:rPr>
        <w:t xml:space="preserve">. </w:t>
      </w:r>
    </w:p>
    <w:p w14:paraId="56A4D4C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C84B18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este destinat tratamentului bolilor inflamatorii descrise mai jos :</w:t>
      </w:r>
    </w:p>
    <w:p w14:paraId="599ABDCA"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Poliartrită reumatoidă </w:t>
      </w:r>
    </w:p>
    <w:p w14:paraId="206FC800"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juvenilă idiopatică forma poliarticulară </w:t>
      </w:r>
    </w:p>
    <w:p w14:paraId="7B5864C3"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asociată entezitei </w:t>
      </w:r>
    </w:p>
    <w:p w14:paraId="091E98F6"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Spondilită anchilozantă </w:t>
      </w:r>
    </w:p>
    <w:p w14:paraId="75DEBC41"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Spondiloartrită axială fără dovadă radiologică a spondilitei anchilozante </w:t>
      </w:r>
    </w:p>
    <w:p w14:paraId="7CE8EDDD"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Artrită psoriazică </w:t>
      </w:r>
    </w:p>
    <w:p w14:paraId="0EFA38FD"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Psoriazis în plăci </w:t>
      </w:r>
    </w:p>
    <w:p w14:paraId="30690592"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Hidrosadenită supurativă  </w:t>
      </w:r>
    </w:p>
    <w:p w14:paraId="48078CB4"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Boală Crohn </w:t>
      </w:r>
    </w:p>
    <w:p w14:paraId="64ADA6FC"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Colită ulcerativă </w:t>
      </w:r>
    </w:p>
    <w:p w14:paraId="74EC0A54" w14:textId="77777777" w:rsidR="00C04CAD" w:rsidRDefault="00060E34">
      <w:pPr>
        <w:pStyle w:val="ListParagraph"/>
        <w:numPr>
          <w:ilvl w:val="0"/>
          <w:numId w:val="69"/>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 xml:space="preserve">Uveită non-infecţioasă </w:t>
      </w:r>
    </w:p>
    <w:p w14:paraId="1E55313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54E498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Substanţa activă a AMGEVITA, adalimumab, este un anticorp monoclonal uman. Anticorpii monoclonali sunt proteine care se </w:t>
      </w:r>
      <w:r>
        <w:rPr>
          <w:szCs w:val="22"/>
        </w:rPr>
        <w:t>ataşează</w:t>
      </w:r>
      <w:r>
        <w:rPr>
          <w:szCs w:val="22"/>
          <w:lang w:eastAsia="en-US" w:bidi="ar-SA"/>
        </w:rPr>
        <w:t xml:space="preserve"> specific de ţintă. </w:t>
      </w:r>
    </w:p>
    <w:p w14:paraId="6767702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6462CD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Ţinta adalimumabului este o proteină denumită factor de necroză tumorală (TNFα), care este implicată în sistemul imunitar (de apărare) și este prezentă în concentrații crescute în bolile inflamatorii enumerate mai sus. Prin atașarea la TNFa, AMGEVITA scade procesul de inflamare din aceste boli.</w:t>
      </w:r>
    </w:p>
    <w:p w14:paraId="4D31D43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BA74C14"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Poliartrită reumatoidă</w:t>
      </w:r>
    </w:p>
    <w:p w14:paraId="2C1E45A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2063D05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Poliartrita reumatoidă este o boală inflamatorie a articulaţiilor.</w:t>
      </w:r>
    </w:p>
    <w:p w14:paraId="303C994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FD14CC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poliartritei reumatoide la adult. Dacă aveţi poliartrită reumatoidă activă moderată până la severă, este posibil să vi se administreze întâi alte medicamente care modifică evoluţia bolii, cum este metotrexat. Dacă nu răspundeţi suficient de bine la aceste medicamente, vi se va administra AMGEVITA în vederea tratării poliartritei dumneavoastră reumatoide.</w:t>
      </w:r>
    </w:p>
    <w:p w14:paraId="3B7B3E2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20CC33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poate fi de asemenea folosit pentru a trata poliartrita reumatoidă activă severă şi progresivă fără să se fi administrat anterior tratament cu metotrexat.</w:t>
      </w:r>
    </w:p>
    <w:p w14:paraId="3EAA461D" w14:textId="77777777" w:rsidR="00C04CAD" w:rsidRDefault="00C04CAD">
      <w:pPr>
        <w:tabs>
          <w:tab w:val="clear" w:pos="567"/>
        </w:tabs>
        <w:kinsoku w:val="0"/>
        <w:overflowPunct w:val="0"/>
        <w:autoSpaceDE w:val="0"/>
        <w:autoSpaceDN w:val="0"/>
        <w:adjustRightInd w:val="0"/>
        <w:spacing w:line="240" w:lineRule="auto"/>
        <w:rPr>
          <w:sz w:val="24"/>
          <w:szCs w:val="24"/>
          <w:lang w:eastAsia="en-US" w:bidi="ar-SA"/>
        </w:rPr>
      </w:pPr>
    </w:p>
    <w:p w14:paraId="2550894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încetineşte deteriorarea cartilajului şi a osului de la nivelul articulaţiilor afectate de boală şi îmbunătățește activitatea fizică.</w:t>
      </w:r>
    </w:p>
    <w:p w14:paraId="1DB0136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6E46A3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De obicei, AMGEVITA se administrează împreună cu metotrexat. Dacă medicul dumneavoastră stabileşte că metotrexat nu este adecvat, AMGEVITA poate fi administrat singur.</w:t>
      </w:r>
    </w:p>
    <w:p w14:paraId="03CBDB76" w14:textId="77777777" w:rsidR="00C04CAD" w:rsidRDefault="00C04CAD">
      <w:pPr>
        <w:tabs>
          <w:tab w:val="clear" w:pos="567"/>
        </w:tabs>
        <w:kinsoku w:val="0"/>
        <w:overflowPunct w:val="0"/>
        <w:autoSpaceDE w:val="0"/>
        <w:autoSpaceDN w:val="0"/>
        <w:adjustRightInd w:val="0"/>
        <w:spacing w:line="240" w:lineRule="auto"/>
      </w:pPr>
    </w:p>
    <w:p w14:paraId="3EAEEDA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u w:val="single"/>
        </w:rPr>
        <w:t>Artrită juvenilă idiopatică</w:t>
      </w:r>
      <w:r>
        <w:rPr>
          <w:szCs w:val="22"/>
          <w:u w:val="single"/>
          <w:lang w:eastAsia="en-US" w:bidi="ar-SA"/>
        </w:rPr>
        <w:t xml:space="preserve"> forma poliarticulară şi artrita asociată entezitei</w:t>
      </w:r>
    </w:p>
    <w:p w14:paraId="57E0B4F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28BBE5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Artrita juvenilă idiopatică</w:t>
      </w:r>
      <w:r>
        <w:rPr>
          <w:szCs w:val="22"/>
          <w:lang w:eastAsia="en-US" w:bidi="ar-SA"/>
        </w:rPr>
        <w:t xml:space="preserve"> forma poliarticulară şi artrita asociată entezitei sunt boli inflamatorii </w:t>
      </w:r>
      <w:r>
        <w:t>ale articulațiilor care apar de obicei prima oară în perioada copilăriei</w:t>
      </w:r>
      <w:r>
        <w:rPr>
          <w:szCs w:val="22"/>
          <w:lang w:eastAsia="en-US" w:bidi="ar-SA"/>
        </w:rPr>
        <w:t>.</w:t>
      </w:r>
    </w:p>
    <w:p w14:paraId="2611586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278867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w:t>
      </w:r>
      <w:r>
        <w:t xml:space="preserve"> se utilizează pentru tratamentul artritei juvenile idiopatice forma poliarticulară la pacienţi cu vârsta de la 2 ani şi la pacienţi cu artrită asociată entezitei cu vârsta de la 6 ani. Este posibil să vi se administreze întâi alte medicamente care modifică evoluţia bolii, cum este metotrexat. </w:t>
      </w:r>
      <w:r>
        <w:rPr>
          <w:szCs w:val="22"/>
          <w:lang w:eastAsia="en-US" w:bidi="ar-SA"/>
        </w:rPr>
        <w:t>Dacă nu răspundeţi suficient de bine la aceste medicamente, vi se va administra AMGEVITA în vederea tratării artritei dumneavoastră reumatoide idiopatice juvenile forma poliarticulară sau artritei asociată entezitei.</w:t>
      </w:r>
    </w:p>
    <w:p w14:paraId="64CB350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2BF524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Spondilită anchilozantă şi spondiloartrită axială fără dovadă radiologică a spondilitei anchilozante</w:t>
      </w:r>
    </w:p>
    <w:p w14:paraId="60C41F6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EF548F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Spondilita anchilozantă şi spondiloartrita axială fără dovadă radiologică a spondilitei anchilozante sunt afecţiuni inflamatorii ale coloanei vertebrale.</w:t>
      </w:r>
    </w:p>
    <w:p w14:paraId="02FD45C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6AF4E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spondilitei anchilozante şi a spondiloartritei axiale fără dovadă radiologică a spondilitei anchilozante la adulţi. În cazul în care aveţi spondilită anchilozantă sau spondiloartrită axială fără dovadă radiologică a spondilitei anchilozante, vi se vor administra iniţial alte medicamente. Dacă nu răspundeţi bine la aceste medicamente, vi se va administra AMGEVITA pentru a reduce semnele şi simptomele acestei boli.</w:t>
      </w:r>
    </w:p>
    <w:p w14:paraId="274132C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B46FC3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Artrită psoriazică</w:t>
      </w:r>
    </w:p>
    <w:p w14:paraId="3D470C6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9B44C6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Artrita psoriazică este o inflamaţie a articulaţiilor asociată psoriazisului.</w:t>
      </w:r>
    </w:p>
    <w:p w14:paraId="44E4A61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2C5D9C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artritei psoriazice la adulţi. AMGEVITA încetineşte deteriorarea cartilajului şi a osului din articulaţii determinată de boală şi îmbunătăţeşte activitatea fizică.</w:t>
      </w:r>
    </w:p>
    <w:p w14:paraId="4B3FFA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070AFC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Psoriazis în plăci la adulţi şi copii</w:t>
      </w:r>
    </w:p>
    <w:p w14:paraId="2E157F6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9C4645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Psoriazisul în plăci este o afecţiune a pielii care determină zone de piele roşie, cu coji, cu cruste acoperite cu solzi argintii. </w:t>
      </w:r>
      <w:r>
        <w:t xml:space="preserve">Psoriazisul în plăci poate afecta, de asemenea, unghiile, care pot deveni fărâmicioase, se pot îngroșa și ridica de pe patul unghial, ceea ce poate fi dureros. </w:t>
      </w:r>
      <w:r>
        <w:rPr>
          <w:szCs w:val="22"/>
          <w:lang w:eastAsia="en-US" w:bidi="ar-SA"/>
        </w:rPr>
        <w:t>Psoriazisul este considerat a fi cauzat de o problemă a sistemului imunitar al organismului, care duce la o producție crescută de celule ale pielii.</w:t>
      </w:r>
    </w:p>
    <w:p w14:paraId="4E4AF92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D4473C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w:t>
      </w:r>
      <w:r>
        <w:t xml:space="preserve"> se utilizează pentru tratamentul psoriazisului în plăci moderat p</w:t>
      </w:r>
      <w:r>
        <w:rPr>
          <w:szCs w:val="22"/>
        </w:rPr>
        <w:t>ân</w:t>
      </w:r>
      <w:r>
        <w:t>ă</w:t>
      </w:r>
      <w:r>
        <w:rPr>
          <w:szCs w:val="22"/>
        </w:rPr>
        <w:t xml:space="preserve"> la </w:t>
      </w:r>
      <w:r>
        <w:t>sever la</w:t>
      </w:r>
      <w:r>
        <w:rPr>
          <w:szCs w:val="22"/>
          <w:lang w:eastAsia="en-US" w:bidi="ar-SA"/>
        </w:rPr>
        <w:t xml:space="preserve"> adul</w:t>
      </w:r>
      <w:r>
        <w:t xml:space="preserve">ți. </w:t>
      </w:r>
      <w:r>
        <w:rPr>
          <w:szCs w:val="22"/>
          <w:lang w:eastAsia="en-US" w:bidi="ar-SA"/>
        </w:rPr>
        <w:t xml:space="preserve">AMGEVITA se utilizează și pentru tratamentul psoriazisului în plăci sever la copii și adolescenți </w:t>
      </w:r>
      <w:r>
        <w:t>cu vârsta cuprinsă între 4 și 17 ani</w:t>
      </w:r>
      <w:r>
        <w:rPr>
          <w:szCs w:val="22"/>
          <w:lang w:eastAsia="en-US" w:bidi="ar-SA"/>
        </w:rPr>
        <w:t>, la care tratamentul local şi fototerapiile fie nu au avut rezultate foarte bune fie nu sunt recomandate.</w:t>
      </w:r>
    </w:p>
    <w:p w14:paraId="361A7EB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17D3CFB"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Hidrosadenită supurativă la adulți și adolescenți</w:t>
      </w:r>
    </w:p>
    <w:p w14:paraId="2C9929A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ADE9AB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Hidrosadenita supurativă (uneori numită acnee inversă) este o afecţiune inflamatorie cronică şi adesea dureroasă a pielii. Simptomele pot include noduli sensibili (umflături) şi abcese (furuncule) din care poate să curgă puroi. Acestea afectează mai frecvent anumite zone ale pielii, cum ar fi zona de sub sâni, axilele, faţa internă a coapselor, zona inghinală și fesele. Cicatrizarea poate să apară în zonele afectate.</w:t>
      </w:r>
    </w:p>
    <w:p w14:paraId="18E161A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96C05F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AMGEVITA se utilizează pentru tratamentul hidrosadenitei supurative la adulți </w:t>
      </w:r>
      <w:r>
        <w:rPr>
          <w:szCs w:val="22"/>
        </w:rPr>
        <w:t>și adolescenți de la vârsta de 12 ani</w:t>
      </w:r>
      <w:r>
        <w:rPr>
          <w:szCs w:val="22"/>
          <w:lang w:eastAsia="en-US" w:bidi="ar-SA"/>
        </w:rPr>
        <w:t>. AMGEVITA poate reduce numărul de noduli și abcese pe care le aveţi şi durerea care se asociază adesea bolii.</w:t>
      </w:r>
      <w:r>
        <w:rPr>
          <w:szCs w:val="22"/>
        </w:rPr>
        <w:t xml:space="preserve"> Este posibil să primiți inițial alte medicamente. Dacă nu răspundeți suficient de bine la aceste medicamente, vi se va administra AMGEVITA.</w:t>
      </w:r>
    </w:p>
    <w:p w14:paraId="602E3E81"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6920D04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Boală Crohn la adulţi şi copii</w:t>
      </w:r>
    </w:p>
    <w:p w14:paraId="2AE2FF7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16F89F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Boala Crohn este o afecţiune inflamatorie a tractului digestiv.</w:t>
      </w:r>
    </w:p>
    <w:p w14:paraId="0F0CADB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471D97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bolii Crohn la adulţi şi copii cu vârsta între 6 şi 17 ani. Dacă aveţi boala Crohn, vi se vor administra iniţial alte medicamente. Dacă nu răspundeţi bine la aceste medicamente, vi se va administra AMGEVITA pentru a reduce semnele şi simptomele bolii Crohn.</w:t>
      </w:r>
    </w:p>
    <w:p w14:paraId="4EAF9D3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22F26D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Colită ulcerativă la adulţi şi copii</w:t>
      </w:r>
    </w:p>
    <w:p w14:paraId="25F0DF9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4BF730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Colita ulcerativă este o afecţiune inflamatorie a intestinului gros.</w:t>
      </w:r>
    </w:p>
    <w:p w14:paraId="5FABFFE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485E5A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utilizează pentru tratamentul colitei ulcerative, forma moderată până la severă, la adulţi și la copii și adolescenți cu vârsta cuprinsă între 6 și 17 ani. În cazul în care aveţi colită ulcerativă, vi se pot administra iniţial alte medicamente. Dacă nu răspundeţi bine la aceste medicamente, vi se va administra AMGEVITA pentru a reduce semnele şi simptomele acestei boli.</w:t>
      </w:r>
    </w:p>
    <w:p w14:paraId="7FC877EE" w14:textId="77777777" w:rsidR="00C04CAD" w:rsidRDefault="00C04CAD">
      <w:pPr>
        <w:tabs>
          <w:tab w:val="clear" w:pos="567"/>
        </w:tabs>
        <w:kinsoku w:val="0"/>
        <w:overflowPunct w:val="0"/>
        <w:autoSpaceDE w:val="0"/>
        <w:autoSpaceDN w:val="0"/>
        <w:adjustRightInd w:val="0"/>
        <w:spacing w:line="240" w:lineRule="auto"/>
        <w:rPr>
          <w:szCs w:val="22"/>
          <w:u w:val="single"/>
          <w:lang w:eastAsia="en-US" w:bidi="ar-SA"/>
        </w:rPr>
      </w:pPr>
    </w:p>
    <w:p w14:paraId="48ADE91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Uveită non-infecţioasă la adulți și copii</w:t>
      </w:r>
    </w:p>
    <w:p w14:paraId="52D4B68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56C483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Uveita non-infecţioasă este o boală inflamatorie care afectează anumite părți ale ochiului.</w:t>
      </w:r>
    </w:p>
    <w:p w14:paraId="661A5B2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C2737A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AMGEVITA se utilizează la adulți pentru tratamentul </w:t>
      </w:r>
    </w:p>
    <w:p w14:paraId="278F4874" w14:textId="77777777" w:rsidR="00C04CAD" w:rsidRDefault="00060E34">
      <w:pPr>
        <w:pStyle w:val="EMEANormal"/>
        <w:numPr>
          <w:ilvl w:val="0"/>
          <w:numId w:val="51"/>
        </w:numPr>
        <w:rPr>
          <w:szCs w:val="22"/>
          <w:lang w:val="ro-RO"/>
        </w:rPr>
      </w:pPr>
      <w:r>
        <w:rPr>
          <w:szCs w:val="22"/>
          <w:lang w:val="ro-RO"/>
        </w:rPr>
        <w:t xml:space="preserve">Uveitei non-infecţioase cu inflamaţie care afectează partea din spate a ochiului la adulți </w:t>
      </w:r>
    </w:p>
    <w:p w14:paraId="3EDB5FDC"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rPr>
      </w:pPr>
      <w:r>
        <w:rPr>
          <w:szCs w:val="22"/>
        </w:rPr>
        <w:t>Uveitei cronice non-infecțioase cu inflamație care afectează partea din față a ochiului la copii cu vârsta de la 2 ani</w:t>
      </w:r>
    </w:p>
    <w:p w14:paraId="00F94CF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70A9BF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Această inflamaţie poate </w:t>
      </w:r>
      <w:r>
        <w:rPr>
          <w:szCs w:val="22"/>
        </w:rPr>
        <w:t xml:space="preserve">să </w:t>
      </w:r>
      <w:r>
        <w:rPr>
          <w:szCs w:val="22"/>
          <w:lang w:eastAsia="en-US" w:bidi="ar-SA"/>
        </w:rPr>
        <w:t>determine o scădere a vederii și/sau prezența flocoanelor în ochi (puncte negre sau linii subţiri care se mișcă peste câmpul vizual). AMGEVITA acționează prin reducerea acestei inflamații.</w:t>
      </w:r>
    </w:p>
    <w:p w14:paraId="6D0E0C5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EFCB1E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F43048D" w14:textId="77777777" w:rsidR="00C04CAD" w:rsidRDefault="00060E34">
      <w:pPr>
        <w:keepNext/>
        <w:numPr>
          <w:ilvl w:val="0"/>
          <w:numId w:val="113"/>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 xml:space="preserve">Ce trebuie să ştiţi înainte să utilizaţi AMGEVITA </w:t>
      </w:r>
    </w:p>
    <w:p w14:paraId="5912702F" w14:textId="77777777" w:rsidR="00C04CAD" w:rsidRDefault="00C04CAD">
      <w:pPr>
        <w:keepNext/>
        <w:tabs>
          <w:tab w:val="clear" w:pos="567"/>
        </w:tabs>
        <w:autoSpaceDE w:val="0"/>
        <w:autoSpaceDN w:val="0"/>
        <w:adjustRightInd w:val="0"/>
        <w:spacing w:line="240" w:lineRule="auto"/>
        <w:rPr>
          <w:sz w:val="24"/>
          <w:szCs w:val="24"/>
          <w:lang w:eastAsia="en-US" w:bidi="ar-SA"/>
        </w:rPr>
      </w:pPr>
    </w:p>
    <w:p w14:paraId="3366A88C" w14:textId="77777777" w:rsidR="00C04CAD" w:rsidRDefault="00060E34">
      <w:pPr>
        <w:keepNext/>
        <w:tabs>
          <w:tab w:val="clear" w:pos="567"/>
          <w:tab w:val="left" w:pos="679"/>
        </w:tabs>
        <w:kinsoku w:val="0"/>
        <w:overflowPunct w:val="0"/>
        <w:autoSpaceDE w:val="0"/>
        <w:autoSpaceDN w:val="0"/>
        <w:adjustRightInd w:val="0"/>
        <w:spacing w:line="240" w:lineRule="auto"/>
        <w:outlineLvl w:val="0"/>
        <w:rPr>
          <w:b/>
          <w:bCs/>
          <w:szCs w:val="22"/>
          <w:lang w:eastAsia="en-US" w:bidi="ar-SA"/>
        </w:rPr>
      </w:pPr>
      <w:r>
        <w:rPr>
          <w:b/>
          <w:bCs/>
          <w:szCs w:val="22"/>
          <w:lang w:eastAsia="en-US" w:bidi="ar-SA"/>
        </w:rPr>
        <w:t>Nu utilizaţi AMGEVITA:</w:t>
      </w:r>
    </w:p>
    <w:p w14:paraId="045CC4CD" w14:textId="77777777" w:rsidR="00C04CAD" w:rsidRDefault="00C04CAD">
      <w:pPr>
        <w:keepNext/>
        <w:tabs>
          <w:tab w:val="clear" w:pos="567"/>
        </w:tabs>
        <w:autoSpaceDE w:val="0"/>
        <w:autoSpaceDN w:val="0"/>
        <w:adjustRightInd w:val="0"/>
        <w:spacing w:line="240" w:lineRule="auto"/>
        <w:rPr>
          <w:szCs w:val="22"/>
          <w:lang w:eastAsia="en-US" w:bidi="ar-SA"/>
        </w:rPr>
      </w:pPr>
    </w:p>
    <w:p w14:paraId="75F699F3"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sunteţi alergic la adalimumab sau la oricare dintre celelalte componente ale medicamentului (enumerate la pct. 6).</w:t>
      </w:r>
    </w:p>
    <w:p w14:paraId="107D094C"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o infecţie severă, inclusiv tuberculoză activă</w:t>
      </w:r>
      <w:r>
        <w:t>, septicemie (infecție în sânge) sau alte infecții oportuniste (infecții neobișnuite asociate cu un sistem imunitar slăbit)</w:t>
      </w:r>
      <w:r>
        <w:rPr>
          <w:szCs w:val="22"/>
          <w:lang w:eastAsia="en-US" w:bidi="ar-SA"/>
        </w:rPr>
        <w:t xml:space="preserve"> (vezi “Atenţionări şi precauţii”). Este important să-i spuneţi medicului dumneavoastră dacă aveţi simptome ale unei infecţii, de exemplu febră, răni, senzaţie de oboseală, probleme dentare.</w:t>
      </w:r>
    </w:p>
    <w:p w14:paraId="27DA7291" w14:textId="77777777" w:rsidR="00C04CAD" w:rsidRDefault="00060E34">
      <w:pPr>
        <w:pStyle w:val="ListParagraph"/>
        <w:numPr>
          <w:ilvl w:val="0"/>
          <w:numId w:val="7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insuficienţă cardiacă moderată sau severă. Este important să-i comunicaţi medicului dacă aţi avut sau aveţi o afecţiune cardiacă gravă (vezi “</w:t>
      </w:r>
      <w:r>
        <w:t>Atenţionări şi precauţii</w:t>
      </w:r>
      <w:r>
        <w:rPr>
          <w:szCs w:val="22"/>
          <w:lang w:eastAsia="en-US" w:bidi="ar-SA"/>
        </w:rPr>
        <w:t>”).</w:t>
      </w:r>
    </w:p>
    <w:p w14:paraId="0269E2D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3312F59"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Atenţionări şi precauţii</w:t>
      </w:r>
    </w:p>
    <w:p w14:paraId="00F234DE"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6E2D05C"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Spuneţi medicului dumneavoastră sau farmacistului înainte să utilizaţi AMGEVITA:</w:t>
      </w:r>
    </w:p>
    <w:p w14:paraId="26603D9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5281CA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Reacții alergice</w:t>
      </w:r>
    </w:p>
    <w:p w14:paraId="7EDF249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18C1929" w14:textId="77777777" w:rsidR="00C04CAD" w:rsidRDefault="00060E34">
      <w:pPr>
        <w:pStyle w:val="ListParagraph"/>
        <w:numPr>
          <w:ilvl w:val="0"/>
          <w:numId w:val="7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prezentaţi reacţii alergice simptomatice precum presiune toracică, respiraţie şuierătoare, ameţeli, edeme sau erupţii pe piele întrerupeţi injecţiile cu AMGEVITA şi adresaţi-vă imediat medicului dumneavoastră deoarece, în cazuri rare, aceste reacții adverse pot pune viața în pericol.</w:t>
      </w:r>
    </w:p>
    <w:p w14:paraId="06AE256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1DE467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Infecții</w:t>
      </w:r>
    </w:p>
    <w:p w14:paraId="274175A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54C6E21" w14:textId="77777777" w:rsidR="00C04CAD" w:rsidRDefault="00060E34">
      <w:pPr>
        <w:pStyle w:val="ListParagraph"/>
        <w:numPr>
          <w:ilvl w:val="0"/>
          <w:numId w:val="7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o infecţie, inclusiv o infecţie de lungă durată sau una localizată (de exemplu, o ulceraţie a membrului inferior) spuneţi medicului dumneavoastră înainte de a începe să luaţi AMGEVITA. Dacă nu sunteţi sigur, contactaţi-l pe medicul dumneavoastră.</w:t>
      </w:r>
    </w:p>
    <w:p w14:paraId="30299A44" w14:textId="77777777" w:rsidR="00C04CAD" w:rsidRDefault="00060E34">
      <w:pPr>
        <w:pStyle w:val="ListParagraph"/>
        <w:numPr>
          <w:ilvl w:val="0"/>
          <w:numId w:val="74"/>
        </w:numPr>
        <w:tabs>
          <w:tab w:val="clear" w:pos="567"/>
        </w:tabs>
        <w:kinsoku w:val="0"/>
        <w:overflowPunct w:val="0"/>
        <w:autoSpaceDE w:val="0"/>
        <w:autoSpaceDN w:val="0"/>
        <w:adjustRightInd w:val="0"/>
        <w:spacing w:line="240" w:lineRule="auto"/>
        <w:ind w:left="567"/>
      </w:pPr>
      <w:r>
        <w:rPr>
          <w:szCs w:val="22"/>
          <w:lang w:eastAsia="en-US" w:bidi="ar-SA"/>
        </w:rPr>
        <w:t>Puteţi face mai uşor infecţii în timpul tratamentului cu AMGEVITA. Acest risc poate creşte dacă funcţia plămânilor dumneavoastră este afectată. Aceste infecţii pot fi grave şi includ tuberculoză, infecţii determinate de virusuri, ciuperci, paraziţi sau bacterii sau alte infecţii oportuniste şi sepsis care, în rare cazuri, vă pot pune viaţa în pericol. Este important să-i spuneţi medicului dumneavoastră dacă aveţi simptome precum febră, răni, senzaţie de oboseală, probleme dentare. Medicul dumneavoastră vă poate recomanda întreruperea temporară a tratamentului cu AMGEVITA.</w:t>
      </w:r>
    </w:p>
    <w:p w14:paraId="470FF7F9"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4AA8DA0E"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Tuberculoză</w:t>
      </w:r>
    </w:p>
    <w:p w14:paraId="4AC239AE"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182BA5F3"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Deoarece </w:t>
      </w:r>
      <w:r>
        <w:rPr>
          <w:szCs w:val="22"/>
          <w:lang w:eastAsia="en-US" w:bidi="ar-SA"/>
        </w:rPr>
        <w:t>s-au raportat cazuri de tuberculoză la pacienţii trataţi cu adalimumab, medicul dumneavoastră vă va examina, în ceea ce priveşte semnele şi simptomele de tuberculoză înainte de iniţierea tratamentului cu AMGEVITA.</w:t>
      </w:r>
      <w:r>
        <w:t xml:space="preserve"> Aceasta va include o evaluare medicală amănunțită, inclusiv un istoric medical şi teste adecvate (de exemplu: o radiografie toracică şi un test la tuberculină). Efectuarea şi rezultatele acestor teste trebuie înregistrate pe </w:t>
      </w:r>
      <w:r>
        <w:rPr>
          <w:b/>
        </w:rPr>
        <w:t>Cardul dumneavoastră de</w:t>
      </w:r>
      <w:r>
        <w:t xml:space="preserve"> </w:t>
      </w:r>
      <w:r>
        <w:rPr>
          <w:b/>
          <w:szCs w:val="22"/>
        </w:rPr>
        <w:t>avertizare</w:t>
      </w:r>
      <w:r>
        <w:rPr>
          <w:szCs w:val="22"/>
          <w:lang w:eastAsia="en-US" w:bidi="ar-SA"/>
        </w:rPr>
        <w:t>.</w:t>
      </w:r>
      <w:r>
        <w:t xml:space="preserve"> Este foarte important să-i spuneţi medicului dumneavoastră dacă aţi avut vreodată tuberculoză sau dacă aţi fost în contact direct cu cineva care a avut tuberculoză. </w:t>
      </w:r>
    </w:p>
    <w:p w14:paraId="5D8A17AB"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 xml:space="preserve">Tuberculoza se poate dezvolta în timpul tratamentului, chiar dacă ați urmat un tratament preventiv pentru tuberculoză. </w:t>
      </w:r>
    </w:p>
    <w:p w14:paraId="15BAE466" w14:textId="77777777" w:rsidR="00C04CAD" w:rsidRDefault="00060E34">
      <w:pPr>
        <w:pStyle w:val="ListParagraph"/>
        <w:numPr>
          <w:ilvl w:val="0"/>
          <w:numId w:val="75"/>
        </w:numPr>
        <w:tabs>
          <w:tab w:val="clear" w:pos="567"/>
        </w:tabs>
        <w:kinsoku w:val="0"/>
        <w:overflowPunct w:val="0"/>
        <w:autoSpaceDE w:val="0"/>
        <w:autoSpaceDN w:val="0"/>
        <w:adjustRightInd w:val="0"/>
        <w:spacing w:line="240" w:lineRule="auto"/>
        <w:ind w:left="567"/>
      </w:pPr>
      <w:r>
        <w:t>Dacă pe parcursul tratamentului sau după încheierea acestuia, apar simptome de tuberculoză (tuse persistentă, pierdere în greutate, apatie, febră uşoară), sau orice alte infecţii, comunicaţi acest lucru imediat medicului dumneavoastră.</w:t>
      </w:r>
    </w:p>
    <w:p w14:paraId="3DD8D866"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42F29580"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pPr>
      <w:r>
        <w:t>Infecții recurente/asociate cu călătoriile</w:t>
      </w:r>
    </w:p>
    <w:p w14:paraId="6F5E1E2C"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pPr>
    </w:p>
    <w:p w14:paraId="08B8738D" w14:textId="77777777" w:rsidR="00C04CAD" w:rsidRDefault="00060E34">
      <w:pPr>
        <w:pStyle w:val="ListParagraph"/>
        <w:numPr>
          <w:ilvl w:val="0"/>
          <w:numId w:val="76"/>
        </w:numPr>
        <w:tabs>
          <w:tab w:val="clear" w:pos="567"/>
        </w:tabs>
        <w:kinsoku w:val="0"/>
        <w:overflowPunct w:val="0"/>
        <w:autoSpaceDE w:val="0"/>
        <w:autoSpaceDN w:val="0"/>
        <w:adjustRightInd w:val="0"/>
        <w:spacing w:line="240" w:lineRule="auto"/>
        <w:ind w:left="567"/>
        <w:rPr>
          <w:szCs w:val="22"/>
          <w:lang w:eastAsia="en-US" w:bidi="ar-SA"/>
        </w:rPr>
      </w:pPr>
      <w:r>
        <w:t xml:space="preserve">Spuneţi medicului dumneavoastră dacă locuiţi sau călătoriţi în zone endemice pentru infecţiile cu ciuperci, cum sunt histoplasmoză, </w:t>
      </w:r>
      <w:r>
        <w:rPr>
          <w:szCs w:val="22"/>
          <w:lang w:eastAsia="en-US" w:bidi="ar-SA"/>
        </w:rPr>
        <w:t>coccidioidomicoză sau blastomicoză.</w:t>
      </w:r>
    </w:p>
    <w:p w14:paraId="27359B8D" w14:textId="77777777" w:rsidR="00C04CAD" w:rsidRDefault="00060E34">
      <w:pPr>
        <w:pStyle w:val="ListParagraph"/>
        <w:numPr>
          <w:ilvl w:val="0"/>
          <w:numId w:val="77"/>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aveţi antecedente de infecţii recidivante sau alte afecţiuni care cresc riscul de infecţii.</w:t>
      </w:r>
    </w:p>
    <w:p w14:paraId="4E9D33F5"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7FDF1FA2" w14:textId="77777777" w:rsidR="00C04CAD" w:rsidRDefault="00060E34">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Virusul hepatitei B</w:t>
      </w:r>
    </w:p>
    <w:p w14:paraId="2DCD7DB1" w14:textId="77777777" w:rsidR="00C04CAD" w:rsidRDefault="00C04CAD">
      <w:pPr>
        <w:pStyle w:val="ListParagraph"/>
        <w:keepNext/>
        <w:keepLines/>
        <w:tabs>
          <w:tab w:val="clear" w:pos="567"/>
        </w:tabs>
        <w:kinsoku w:val="0"/>
        <w:overflowPunct w:val="0"/>
        <w:autoSpaceDE w:val="0"/>
        <w:autoSpaceDN w:val="0"/>
        <w:adjustRightInd w:val="0"/>
        <w:spacing w:line="240" w:lineRule="auto"/>
        <w:ind w:left="567" w:hanging="567"/>
        <w:rPr>
          <w:szCs w:val="22"/>
          <w:lang w:eastAsia="en-US" w:bidi="ar-SA"/>
        </w:rPr>
      </w:pPr>
    </w:p>
    <w:p w14:paraId="3F5BC23F" w14:textId="77777777" w:rsidR="00C04CAD" w:rsidRDefault="00060E34">
      <w:pPr>
        <w:pStyle w:val="ListParagraph"/>
        <w:numPr>
          <w:ilvl w:val="0"/>
          <w:numId w:val="7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Spuneţi medicului dumneavoastră dacă sunteţi purtător al virusului hepatitei B (VHB), dacă aveţi hepatită B activă sau credeţi că aveţi un risc crescut să dobândiţi VHB. Medicul dumneavoastră trebuie să vă efectueze teste pentru VHB. AMGEVITA poate cauza reactivarea VHB la pacienţii purtători ai acestui virus. Rar, în unele cazuri, în special dacă luaţi alte medicamente care scad sistemul imun, reactivarea VHB poate pune viaţa în pericol.</w:t>
      </w:r>
    </w:p>
    <w:p w14:paraId="3E37C7A6"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7CF30032"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Vârsta peste 65 ani</w:t>
      </w:r>
    </w:p>
    <w:p w14:paraId="115B76A7"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7CE39B23" w14:textId="77777777" w:rsidR="00C04CAD" w:rsidRDefault="00060E34">
      <w:pPr>
        <w:pStyle w:val="ListParagraph"/>
        <w:numPr>
          <w:ilvl w:val="0"/>
          <w:numId w:val="7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mai mult de 65 ani puteţi fi mai susceptibil la infecţii în timp ce utilizaţi AMGEVITA. Dumneavoastră şi medicul dumneavoastră trebuie să acordaţi atenţie deosebită semnelor de infecţie în timpul tratamentului cu AMGEVITA. Este important să spuneţi medicului dumneavoastră dacă aveţi simptome de infecţie cum sunt: febră, răni, senzaţie de oboseală sau probleme dentare.</w:t>
      </w:r>
    </w:p>
    <w:p w14:paraId="42C38FF1"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6375DEB3"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Procedură chirurgicală sau stomatologică</w:t>
      </w:r>
    </w:p>
    <w:p w14:paraId="3BED642D"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1D28E273" w14:textId="77777777" w:rsidR="00C04CAD" w:rsidRDefault="00060E34">
      <w:pPr>
        <w:pStyle w:val="ListParagraph"/>
        <w:numPr>
          <w:ilvl w:val="0"/>
          <w:numId w:val="8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sunteţi programat să efectuaţi intervenţii chirurgicale sau dentare informaţi medicul dumneavoastră că sunteţi sub tratament cu AMGEVITA. Medicul dumneavoastră vă poate recomanda întreruperea temporară a tratamentului cu AMGEVITA.</w:t>
      </w:r>
    </w:p>
    <w:p w14:paraId="44840FEC"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1963A8C7"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Boală demielinizantă</w:t>
      </w:r>
    </w:p>
    <w:p w14:paraId="1F4E9E2E"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261713EB" w14:textId="77777777" w:rsidR="00C04CAD" w:rsidRDefault="00060E34">
      <w:pPr>
        <w:pStyle w:val="ListParagraph"/>
        <w:numPr>
          <w:ilvl w:val="0"/>
          <w:numId w:val="8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aveţi sau dezvoltaţi o boală demielinizantă cum este scleroza multiplă, medicul dumneavoastră va decide dacă trebuie să fiţi tratat cu AMGEVITA sau să continuaţi să fiţi tratat cu AMGEVITA. Spuneţi imediat medicului dumneavoastră dacă aveţi simptome cum sunt modificări ale vederii, slăbiciune la nivelul mâinilor sau picioarelor sau amorţeli sau furnicături în orice parte a corpului.</w:t>
      </w:r>
    </w:p>
    <w:p w14:paraId="5E63E39A"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391F84DB" w14:textId="77777777" w:rsidR="00C04CAD" w:rsidRDefault="00060E34">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Vaccinări</w:t>
      </w:r>
    </w:p>
    <w:p w14:paraId="09388D58"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59931CE5"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Anumite vaccinuri </w:t>
      </w:r>
      <w:r>
        <w:t>conțin forme vii, dar atenuate ale unor bacterii sau virusuri care pot cauza o boală și care</w:t>
      </w:r>
      <w:r>
        <w:rPr>
          <w:szCs w:val="22"/>
          <w:lang w:eastAsia="en-US" w:bidi="ar-SA"/>
        </w:rPr>
        <w:t xml:space="preserve"> pot determina infecţii şi nu trebuie administrate în timpul tratamentului cu AMGEVITA. Vă rugăm să spuneţi medicului dumneavoastră înainte de a vi se administra orice vaccin. Înaintea începerii tratamentului cu AMGEVITA, se recomandă ca pacienţii copii, dacă este posibil, să fie vaccinaţi la zi, în concordanţă cu ghidurile în vigoare privind imunizarea. </w:t>
      </w:r>
    </w:p>
    <w:p w14:paraId="7BC8524E" w14:textId="77777777" w:rsidR="00C04CAD" w:rsidRDefault="00060E34">
      <w:pPr>
        <w:pStyle w:val="ListParagraph"/>
        <w:numPr>
          <w:ilvl w:val="0"/>
          <w:numId w:val="8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Dacă aţi utilizat AMGEVITA pe perioada sarcinii, copilul dumneavoastră poate avea un risc crescut de infecţii timp de cel puţin 5 luni de la ultima doză pe care aţi utilizat-o în timpul sarcinii. Este important să spuneţi medicului copilului dumneavoastră şi altor profesionişti din domeniul sănătăţii că aţi utilizat AMGEVITA în timpul sarcinii, astfel ei pot decide când ar trebui să i se administreze  copilului dumneavoastră un vaccin.</w:t>
      </w:r>
    </w:p>
    <w:p w14:paraId="4F0A87B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205BB1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Insuficiență cardiacă</w:t>
      </w:r>
    </w:p>
    <w:p w14:paraId="10E851D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B98FDE0" w14:textId="77777777" w:rsidR="00C04CAD" w:rsidRDefault="00060E34">
      <w:pPr>
        <w:pStyle w:val="ListParagraph"/>
        <w:numPr>
          <w:ilvl w:val="0"/>
          <w:numId w:val="83"/>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aveţi insuficienţă cardiacă uşoară şi sunteţi tratat cu AMGEVITA, evoluţia insuficienţei cardiace trebuie monitorizată îndeaproape de către medicul dumneavoastră. Este important să-i comunicaţi medicului dacă aţi avut sau aveţi o afecţiune cardiacă gravă. Dacă prezentaţi simptome noi sau agravate de insuficienţă cardiacă (de exemplu dificultăţi în respiraţie sau umflarea picioarelor), adresaţi-vă imediat medicului dumneavoastră. </w:t>
      </w:r>
      <w:r>
        <w:t xml:space="preserve">Medicul dumneavoastră va decide dacă </w:t>
      </w:r>
      <w:r>
        <w:rPr>
          <w:szCs w:val="22"/>
        </w:rPr>
        <w:t xml:space="preserve">puteţi utiliza </w:t>
      </w:r>
      <w:r>
        <w:t>AMGEVITA.</w:t>
      </w:r>
    </w:p>
    <w:p w14:paraId="77504081"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5CC795AA" w14:textId="77777777" w:rsidR="00C04CAD" w:rsidRDefault="00060E34">
      <w:pPr>
        <w:pStyle w:val="ListParagraph"/>
        <w:tabs>
          <w:tab w:val="clear" w:pos="567"/>
        </w:tabs>
        <w:kinsoku w:val="0"/>
        <w:overflowPunct w:val="0"/>
        <w:autoSpaceDE w:val="0"/>
        <w:autoSpaceDN w:val="0"/>
        <w:adjustRightInd w:val="0"/>
        <w:spacing w:line="240" w:lineRule="auto"/>
        <w:ind w:left="567" w:hanging="567"/>
      </w:pPr>
      <w:r>
        <w:t>Febră, vânătăi, sângerări sau piele foarte palidă</w:t>
      </w:r>
    </w:p>
    <w:p w14:paraId="6FC57DE3" w14:textId="77777777" w:rsidR="00C04CAD" w:rsidRDefault="00C04CAD">
      <w:pPr>
        <w:pStyle w:val="ListParagraph"/>
        <w:tabs>
          <w:tab w:val="clear" w:pos="567"/>
        </w:tabs>
        <w:kinsoku w:val="0"/>
        <w:overflowPunct w:val="0"/>
        <w:autoSpaceDE w:val="0"/>
        <w:autoSpaceDN w:val="0"/>
        <w:adjustRightInd w:val="0"/>
        <w:spacing w:line="240" w:lineRule="auto"/>
        <w:ind w:left="567" w:hanging="567"/>
      </w:pPr>
    </w:p>
    <w:p w14:paraId="067B5339" w14:textId="77777777" w:rsidR="00C04CAD" w:rsidRDefault="00060E34">
      <w:pPr>
        <w:pStyle w:val="ListParagraph"/>
        <w:numPr>
          <w:ilvl w:val="0"/>
          <w:numId w:val="84"/>
        </w:numPr>
        <w:tabs>
          <w:tab w:val="clear" w:pos="567"/>
        </w:tabs>
        <w:kinsoku w:val="0"/>
        <w:overflowPunct w:val="0"/>
        <w:autoSpaceDE w:val="0"/>
        <w:autoSpaceDN w:val="0"/>
        <w:adjustRightInd w:val="0"/>
        <w:spacing w:line="240" w:lineRule="auto"/>
        <w:ind w:left="567"/>
        <w:rPr>
          <w:szCs w:val="22"/>
          <w:lang w:eastAsia="en-US" w:bidi="ar-SA"/>
        </w:rPr>
      </w:pPr>
      <w:r>
        <w:t xml:space="preserve">La </w:t>
      </w:r>
      <w:r>
        <w:rPr>
          <w:szCs w:val="22"/>
          <w:lang w:eastAsia="en-US" w:bidi="ar-SA"/>
        </w:rPr>
        <w:t>unii pacienţi, organismul poate să nu mai producă suficiente celule sanguine care ajută organismul dumneavoastră în lupta contra infecţiilor sau vă ajută în oprirea sângerărilor. Dacă apar febră persistentă, vânătăi sau sângeraţi foarte uşor sau sunteţi foarte palid, anunţaţi medicul imediat. Medicul dumneavoastră poate decide întreruperea tratamentului.</w:t>
      </w:r>
    </w:p>
    <w:p w14:paraId="44345898"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2737A37A" w14:textId="77777777" w:rsidR="00C04CAD" w:rsidRDefault="00060E34">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Cancer</w:t>
      </w:r>
    </w:p>
    <w:p w14:paraId="1C873426" w14:textId="77777777" w:rsidR="00C04CAD" w:rsidRDefault="00C04CAD">
      <w:pPr>
        <w:pStyle w:val="ListParagraph"/>
        <w:keepNext/>
        <w:tabs>
          <w:tab w:val="clear" w:pos="567"/>
        </w:tabs>
        <w:kinsoku w:val="0"/>
        <w:overflowPunct w:val="0"/>
        <w:autoSpaceDE w:val="0"/>
        <w:autoSpaceDN w:val="0"/>
        <w:adjustRightInd w:val="0"/>
        <w:spacing w:line="240" w:lineRule="auto"/>
        <w:ind w:left="567" w:hanging="567"/>
        <w:rPr>
          <w:szCs w:val="22"/>
          <w:lang w:eastAsia="en-US" w:bidi="ar-SA"/>
        </w:rPr>
      </w:pPr>
    </w:p>
    <w:p w14:paraId="09E84B75" w14:textId="77777777" w:rsidR="00C04CAD" w:rsidRDefault="00060E34">
      <w:pPr>
        <w:pStyle w:val="ListParagraph"/>
        <w:keepNext/>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Există foarte rare cazuri de anumite forme de cancer la copii şi adulţi trataţi cu adalimumab sau cu alţi blocanţi ai TNF. Persoanele cu poliartrită reumatoidă mai gravă care au avut afecţiunea timp îndelungat, au un risc mai mare decât media în dezvoltarea limfomului (cancer care afectează sistemul limfatic) şi a leucemiei (cancer care afectează sângele şi măduva osoasă). </w:t>
      </w:r>
    </w:p>
    <w:p w14:paraId="2FA37D14"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 xml:space="preserve">Dacă utilizaţi AMGEVITA poate să crească riscul apariţiei limfomului, leucemiei, sau a altor tipuri de cancer. Rareori, la pacienţii care utilizează adalimumab, s-a observat un tip specific şi sever de limfom. Unii dintre aceşti pacienţi erau trataţi de asemenea cu azatioprină sau 6-mercaptopurină. Spuneţi medicului dumneavoastră dacă utilizaţi azatioprină sau 6-mercaptopurină concomitent cu AMGEVITA. </w:t>
      </w:r>
    </w:p>
    <w:p w14:paraId="2E023D3C" w14:textId="77777777" w:rsidR="00C04CAD" w:rsidRDefault="00060E34">
      <w:pPr>
        <w:pStyle w:val="ListParagraph"/>
        <w:numPr>
          <w:ilvl w:val="0"/>
          <w:numId w:val="8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 plus, au fost observate cazuri de cancere de piele altele decât melanom la pacienţii care utilizează adalimumab. Spuneţi medicului dumneavoastră dacă vă apar noi leziuni ale pielii sau dacă apar modificări ale leziunilor existente în timpul tratamentului sau după.</w:t>
      </w:r>
    </w:p>
    <w:p w14:paraId="26F3FFE3" w14:textId="77777777" w:rsidR="00C04CAD" w:rsidRDefault="00060E34">
      <w:pPr>
        <w:pStyle w:val="ListParagraph"/>
        <w:numPr>
          <w:ilvl w:val="0"/>
          <w:numId w:val="8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79AC802D" w14:textId="77777777" w:rsidR="00C04CAD" w:rsidRDefault="00C04CAD">
      <w:pPr>
        <w:spacing w:line="240" w:lineRule="auto"/>
        <w:rPr>
          <w:szCs w:val="22"/>
          <w:lang w:eastAsia="en-US" w:bidi="ar-SA"/>
        </w:rPr>
      </w:pPr>
    </w:p>
    <w:p w14:paraId="69BE40F2" w14:textId="77777777" w:rsidR="00C04CAD" w:rsidRDefault="00060E34">
      <w:pPr>
        <w:spacing w:line="240" w:lineRule="auto"/>
        <w:rPr>
          <w:szCs w:val="22"/>
          <w:lang w:eastAsia="en-US" w:bidi="ar-SA"/>
        </w:rPr>
      </w:pPr>
      <w:r>
        <w:rPr>
          <w:szCs w:val="22"/>
          <w:lang w:eastAsia="en-US" w:bidi="ar-SA"/>
        </w:rPr>
        <w:t>Bo</w:t>
      </w:r>
      <w:ins w:id="315" w:author="Author">
        <w:r>
          <w:rPr>
            <w:szCs w:val="22"/>
            <w:lang w:eastAsia="en-US" w:bidi="ar-SA"/>
          </w:rPr>
          <w:t>a</w:t>
        </w:r>
      </w:ins>
      <w:r>
        <w:rPr>
          <w:szCs w:val="22"/>
          <w:lang w:eastAsia="en-US" w:bidi="ar-SA"/>
        </w:rPr>
        <w:t>l</w:t>
      </w:r>
      <w:del w:id="316" w:author="Author">
        <w:r>
          <w:rPr>
            <w:szCs w:val="22"/>
            <w:lang w:eastAsia="en-US" w:bidi="ar-SA"/>
          </w:rPr>
          <w:delText>i</w:delText>
        </w:r>
      </w:del>
      <w:ins w:id="317" w:author="Author">
        <w:r>
          <w:rPr>
            <w:szCs w:val="22"/>
            <w:lang w:eastAsia="en-US" w:bidi="ar-SA"/>
          </w:rPr>
          <w:t>ă</w:t>
        </w:r>
      </w:ins>
      <w:r>
        <w:rPr>
          <w:szCs w:val="22"/>
          <w:lang w:eastAsia="en-US" w:bidi="ar-SA"/>
        </w:rPr>
        <w:t xml:space="preserve"> autoimun</w:t>
      </w:r>
      <w:del w:id="318" w:author="Author">
        <w:r>
          <w:rPr>
            <w:szCs w:val="22"/>
            <w:lang w:eastAsia="en-US" w:bidi="ar-SA"/>
          </w:rPr>
          <w:delText>e</w:delText>
        </w:r>
      </w:del>
      <w:ins w:id="319" w:author="Author">
        <w:r>
          <w:rPr>
            <w:szCs w:val="22"/>
            <w:lang w:eastAsia="en-US" w:bidi="ar-SA"/>
          </w:rPr>
          <w:t>ă</w:t>
        </w:r>
      </w:ins>
    </w:p>
    <w:p w14:paraId="42CE74D5" w14:textId="77777777" w:rsidR="00C04CAD" w:rsidRDefault="00C04CAD">
      <w:pPr>
        <w:spacing w:line="240" w:lineRule="auto"/>
        <w:rPr>
          <w:szCs w:val="22"/>
          <w:lang w:eastAsia="en-US" w:bidi="ar-SA"/>
        </w:rPr>
      </w:pPr>
    </w:p>
    <w:p w14:paraId="0564DEF5"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rPr>
          <w:szCs w:val="22"/>
          <w:lang w:eastAsia="en-US" w:bidi="ar-SA"/>
        </w:rPr>
      </w:pPr>
      <w:r>
        <w:t>Rar, tratamentul cu AMGEVITA poate determina un sindrom asemănător lupusului. Contactati-l pe medicul dumneavoastră dacă apar simptome cum ar fi erupție cutanată neexplicată persistentă, febră, dureri ale articulațiilor sau oboseală.</w:t>
      </w:r>
    </w:p>
    <w:p w14:paraId="09CA0CB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75756D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a creşte gradul de trasabilitate a acestui medicament, medicul dumneavoastră sau farmacistul trebuie să înregistreze denumirea şi numărul seriei de fabricaţie ale medicamentului care v-a fost eliberat în fişa dumneavoastră de pacient. Şi dumneavoastră vă puteţi nota aceste informaţii în cazul în care v-ar fi solicitate în viitor.</w:t>
      </w:r>
    </w:p>
    <w:p w14:paraId="5CAA9DEA"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1878FBDE"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Copii şi adolescenţi</w:t>
      </w:r>
    </w:p>
    <w:p w14:paraId="74632FA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C28798E"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hanging="567"/>
      </w:pPr>
      <w:r>
        <w:t>Vaccinări: dacă este posibil, copilul dumneavoastră trebuie să fie la zi cu toate vaccinările înainte să utilizeze AMGEVITA.</w:t>
      </w:r>
    </w:p>
    <w:p w14:paraId="57CC0C89" w14:textId="77777777" w:rsidR="00C04CAD" w:rsidRDefault="00C04CAD">
      <w:pPr>
        <w:pStyle w:val="ListParagraph"/>
        <w:tabs>
          <w:tab w:val="clear" w:pos="567"/>
        </w:tabs>
        <w:kinsoku w:val="0"/>
        <w:overflowPunct w:val="0"/>
        <w:autoSpaceDE w:val="0"/>
        <w:autoSpaceDN w:val="0"/>
        <w:adjustRightInd w:val="0"/>
        <w:spacing w:line="240" w:lineRule="auto"/>
        <w:ind w:left="567" w:hanging="567"/>
        <w:rPr>
          <w:szCs w:val="22"/>
          <w:lang w:eastAsia="en-US" w:bidi="ar-SA"/>
        </w:rPr>
      </w:pPr>
    </w:p>
    <w:p w14:paraId="4A09B657"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hanging="567"/>
      </w:pPr>
      <w:r>
        <w:t>Nu administraţi AMGEVITA la copii cu artrită juvenilă idiopatică forma poliarticulară care au vârsta sub 2 ani.</w:t>
      </w:r>
    </w:p>
    <w:p w14:paraId="71A507E3" w14:textId="77777777" w:rsidR="00C04CAD" w:rsidRDefault="00C04CAD">
      <w:pPr>
        <w:pStyle w:val="ListParagraph"/>
        <w:spacing w:line="240" w:lineRule="auto"/>
        <w:ind w:left="567" w:hanging="567"/>
        <w:rPr>
          <w:szCs w:val="22"/>
          <w:lang w:eastAsia="en-US" w:bidi="ar-SA"/>
        </w:rPr>
      </w:pPr>
    </w:p>
    <w:p w14:paraId="632C78F6"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hanging="567"/>
      </w:pPr>
      <w:r>
        <w:t>Nu administrați AMGEVITA la copii cu psoriazis în plăci care au vârsta sub 4 ani.</w:t>
      </w:r>
    </w:p>
    <w:p w14:paraId="3C296BFB" w14:textId="77777777" w:rsidR="00C04CAD" w:rsidRDefault="00C04CAD">
      <w:pPr>
        <w:pStyle w:val="ListParagraph"/>
        <w:spacing w:line="240" w:lineRule="auto"/>
        <w:ind w:left="567" w:hanging="567"/>
        <w:rPr>
          <w:szCs w:val="22"/>
          <w:lang w:eastAsia="en-US" w:bidi="ar-SA"/>
        </w:rPr>
      </w:pPr>
    </w:p>
    <w:p w14:paraId="1C204444" w14:textId="77777777" w:rsidR="00C04CAD" w:rsidRDefault="00060E34">
      <w:pPr>
        <w:pStyle w:val="ListParagraph"/>
        <w:numPr>
          <w:ilvl w:val="0"/>
          <w:numId w:val="87"/>
        </w:numPr>
        <w:tabs>
          <w:tab w:val="clear" w:pos="567"/>
        </w:tabs>
        <w:kinsoku w:val="0"/>
        <w:overflowPunct w:val="0"/>
        <w:autoSpaceDE w:val="0"/>
        <w:autoSpaceDN w:val="0"/>
        <w:adjustRightInd w:val="0"/>
        <w:spacing w:line="240" w:lineRule="auto"/>
        <w:ind w:left="567" w:hanging="567"/>
      </w:pPr>
      <w:r>
        <w:t>Nu administrați AMGEVITA la copii cu boala Crohn sau cu colită ulcerativă care au vârsta sub 6 ani.</w:t>
      </w:r>
    </w:p>
    <w:p w14:paraId="1CE7B48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0047D80"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AMGEVITA împreună cu alte medicamente</w:t>
      </w:r>
    </w:p>
    <w:p w14:paraId="474F59A9"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4A2F912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Spuneţi medicului dumneavoastră sau farmacistului dacă luaţi, aţi luat recent sau s-ar putea să luaţi orice alt medicament.</w:t>
      </w:r>
    </w:p>
    <w:p w14:paraId="1DE01D99"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9DC324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poate utiliza împreună cu metotrexat sau cu alte medicamente anti-reumatice modificatoare de boală (sulfasalazină, hidroxiclorochină, leflunomidă şi preparate injectabile pe bază de aur), steroizi sau medicamente pentru durere inclusiv medicamentele anti-inflamatoare nesteroidiene (AINS).</w:t>
      </w:r>
    </w:p>
    <w:p w14:paraId="4F8284E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D31259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Nu trebuie să luaţi AMGEVITA împreună cu medicamente care conţin substanţele active anakinra sau abatacept </w:t>
      </w:r>
      <w:r>
        <w:t>din cauza riscului crescut de infecții grave</w:t>
      </w:r>
      <w:r>
        <w:rPr>
          <w:szCs w:val="22"/>
          <w:lang w:eastAsia="en-US" w:bidi="ar-SA"/>
        </w:rPr>
        <w:t>. Dacă aveţi întrebări, vă rugăm discutaţi cu medicul dumneavoastră.</w:t>
      </w:r>
    </w:p>
    <w:p w14:paraId="417D3C3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C7B3888"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rPr>
        <w:t>Sarcină</w:t>
      </w:r>
      <w:r>
        <w:rPr>
          <w:b/>
          <w:bCs/>
          <w:szCs w:val="22"/>
          <w:lang w:eastAsia="en-US" w:bidi="ar-SA"/>
        </w:rPr>
        <w:t xml:space="preserve"> şi alăptare</w:t>
      </w:r>
    </w:p>
    <w:p w14:paraId="1E34A89A" w14:textId="77777777" w:rsidR="00C04CAD" w:rsidRDefault="00C04CAD">
      <w:pPr>
        <w:pStyle w:val="EMEANormal"/>
        <w:keepNext/>
        <w:rPr>
          <w:b/>
          <w:bCs/>
          <w:szCs w:val="22"/>
          <w:lang w:val="ro-RO"/>
        </w:rPr>
      </w:pPr>
    </w:p>
    <w:p w14:paraId="6534E4B3" w14:textId="77777777" w:rsidR="00C04CAD" w:rsidRDefault="00060E34">
      <w:pPr>
        <w:numPr>
          <w:ilvl w:val="0"/>
          <w:numId w:val="54"/>
        </w:numPr>
        <w:tabs>
          <w:tab w:val="clear" w:pos="567"/>
        </w:tabs>
        <w:spacing w:line="240" w:lineRule="auto"/>
        <w:ind w:left="567" w:hanging="567"/>
        <w:rPr>
          <w:b/>
          <w:bCs/>
          <w:szCs w:val="22"/>
        </w:rPr>
      </w:pPr>
      <w:r>
        <w:rPr>
          <w:szCs w:val="22"/>
        </w:rPr>
        <w:t xml:space="preserve">Trebuie să luați în considerare utilizarea măsurilor de contracepţie corespunzătoare pentru prevenirea sarcinii şi să continuați să le utilizați pe o perioadă de minim 5 luni după ultimul tratament cu AMGEVITA. </w:t>
      </w:r>
    </w:p>
    <w:p w14:paraId="39368F2E" w14:textId="77777777" w:rsidR="00C04CAD" w:rsidRDefault="00060E34">
      <w:pPr>
        <w:numPr>
          <w:ilvl w:val="0"/>
          <w:numId w:val="54"/>
        </w:numPr>
        <w:tabs>
          <w:tab w:val="clear" w:pos="567"/>
        </w:tabs>
        <w:spacing w:line="240" w:lineRule="auto"/>
        <w:ind w:left="567" w:hanging="567"/>
        <w:rPr>
          <w:szCs w:val="22"/>
        </w:rPr>
      </w:pPr>
      <w:r>
        <w:rPr>
          <w:szCs w:val="22"/>
        </w:rPr>
        <w:t>Dacă sunteți gravidă, credeți că sunteți gravidă sau intenționați să aveți un copil, adresați-vă medicului dumneavoastră pentru recomandări privind administrarea acestui medicament.</w:t>
      </w:r>
    </w:p>
    <w:p w14:paraId="7D1F9D9E"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unei sarcini numai dacă este necesar.</w:t>
      </w:r>
    </w:p>
    <w:p w14:paraId="40EEA24C" w14:textId="77777777" w:rsidR="00C04CAD" w:rsidRDefault="00060E34">
      <w:pPr>
        <w:numPr>
          <w:ilvl w:val="0"/>
          <w:numId w:val="54"/>
        </w:numPr>
        <w:tabs>
          <w:tab w:val="clear" w:pos="567"/>
        </w:tabs>
        <w:spacing w:line="240" w:lineRule="auto"/>
        <w:ind w:left="567" w:hanging="567"/>
        <w:rPr>
          <w:szCs w:val="22"/>
        </w:rPr>
      </w:pPr>
      <w:r>
        <w:rPr>
          <w:szCs w:val="22"/>
        </w:rPr>
        <w:t>În conformitate cu un studiu privind sarcina, nu a existat un risc mai mare de malformații congenitale atunci când mama a primit AMGEVITA în timpul sarcinii, comparativ cu mamele cu aceeași boală care nu au primit AMGEVITA.</w:t>
      </w:r>
    </w:p>
    <w:p w14:paraId="1DD506AB" w14:textId="77777777" w:rsidR="00C04CAD" w:rsidRDefault="00060E34">
      <w:pPr>
        <w:numPr>
          <w:ilvl w:val="0"/>
          <w:numId w:val="54"/>
        </w:numPr>
        <w:tabs>
          <w:tab w:val="clear" w:pos="567"/>
        </w:tabs>
        <w:spacing w:line="240" w:lineRule="auto"/>
        <w:ind w:left="567" w:hanging="567"/>
        <w:rPr>
          <w:szCs w:val="22"/>
        </w:rPr>
      </w:pPr>
      <w:r>
        <w:rPr>
          <w:szCs w:val="22"/>
        </w:rPr>
        <w:t>AMGEVITA poate fi utilizat în timpul alăptării.</w:t>
      </w:r>
    </w:p>
    <w:p w14:paraId="106D856C" w14:textId="77777777" w:rsidR="00C04CAD" w:rsidRDefault="00060E34">
      <w:pPr>
        <w:numPr>
          <w:ilvl w:val="0"/>
          <w:numId w:val="54"/>
        </w:numPr>
        <w:tabs>
          <w:tab w:val="clear" w:pos="567"/>
        </w:tabs>
        <w:spacing w:line="240" w:lineRule="auto"/>
        <w:ind w:left="567" w:hanging="567"/>
        <w:rPr>
          <w:szCs w:val="22"/>
        </w:rPr>
      </w:pPr>
      <w:r>
        <w:rPr>
          <w:szCs w:val="22"/>
        </w:rPr>
        <w:t xml:space="preserve">Dacă aţi utilizat AMGEVITA în perioada sarcinii, copilul dumneavoastră poate avea un risc crescut de infecţie. </w:t>
      </w:r>
    </w:p>
    <w:p w14:paraId="54A435A8" w14:textId="77777777" w:rsidR="00C04CAD" w:rsidRDefault="00060E34">
      <w:pPr>
        <w:numPr>
          <w:ilvl w:val="0"/>
          <w:numId w:val="54"/>
        </w:numPr>
        <w:tabs>
          <w:tab w:val="clear" w:pos="567"/>
        </w:tabs>
        <w:spacing w:line="240" w:lineRule="auto"/>
        <w:ind w:left="567" w:hanging="567"/>
        <w:rPr>
          <w:szCs w:val="22"/>
          <w:lang w:eastAsia="en-US" w:bidi="ar-SA"/>
        </w:rPr>
      </w:pPr>
      <w:r>
        <w:rPr>
          <w:szCs w:val="22"/>
        </w:rPr>
        <w:t>Înainte să primească copilul dumneavoastră orice vaccin, este important să spuneţi medicului copilului dumneavoastră sau altui profesionist din domeniul sănătăţii despre utilizarea AMGEVITA în timpul sarcinii dumneavoastră (pentru mai multe informaţii referitoare la vaccinuri, consultați capitolul ”Atenționări și precauții”).</w:t>
      </w:r>
    </w:p>
    <w:p w14:paraId="3AAB5B6D"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5ADF45EE"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Conducerea vehiculelor şi folosirea utilajelor</w:t>
      </w:r>
    </w:p>
    <w:p w14:paraId="428A936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59469FE0"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poate influenţa în mică măsură capacitatea dumneavoastră de a conduce vehicule, biciclete, sau de a folosi utilaje. După administrarea de AMGEVITA poate să apară senzaţia că se învârte casa (vertij) şi tulburări de vedere.</w:t>
      </w:r>
    </w:p>
    <w:p w14:paraId="0570481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F897909"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AMGEVITA conţine sodiu</w:t>
      </w:r>
    </w:p>
    <w:p w14:paraId="17F5255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2A630A1"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Acest medicament conţine sodiu mai puţin de 1 mmol (23 mg) per doză de 0,8 ml, adică practic</w:t>
      </w:r>
      <w:r>
        <w:t xml:space="preserve"> </w:t>
      </w:r>
      <w:r>
        <w:rPr>
          <w:szCs w:val="22"/>
          <w:lang w:eastAsia="en-US" w:bidi="ar-SA"/>
        </w:rPr>
        <w:t>„nu conţine sodiu”.</w:t>
      </w:r>
    </w:p>
    <w:p w14:paraId="2CA468E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A594CA5"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EDE30E8" w14:textId="77777777" w:rsidR="00C04CAD" w:rsidRDefault="00060E34">
      <w:pPr>
        <w:keepNext/>
        <w:numPr>
          <w:ilvl w:val="0"/>
          <w:numId w:val="113"/>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Cum să utilizaţi AMGEVITA</w:t>
      </w:r>
    </w:p>
    <w:p w14:paraId="7D06FB63"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0FE6ED45" w14:textId="77777777" w:rsidR="00C04CAD" w:rsidRDefault="00060E34">
      <w:pPr>
        <w:keepNext/>
        <w:tabs>
          <w:tab w:val="clear" w:pos="567"/>
        </w:tabs>
        <w:kinsoku w:val="0"/>
        <w:overflowPunct w:val="0"/>
        <w:autoSpaceDE w:val="0"/>
        <w:autoSpaceDN w:val="0"/>
        <w:adjustRightInd w:val="0"/>
        <w:spacing w:line="240" w:lineRule="auto"/>
        <w:jc w:val="both"/>
        <w:rPr>
          <w:szCs w:val="22"/>
          <w:lang w:eastAsia="en-US" w:bidi="ar-SA"/>
        </w:rPr>
      </w:pPr>
      <w:r>
        <w:rPr>
          <w:szCs w:val="22"/>
          <w:lang w:eastAsia="en-US" w:bidi="ar-SA"/>
        </w:rPr>
        <w:t>Luaţi întotdeauna acest medicament exact aşa cum v-a spus medicul dumneavoastră sau farmacistul. Dacă nu sunteţi sigur, întrebaţi medicul dumneavoastră sau farmacistul.</w:t>
      </w:r>
    </w:p>
    <w:p w14:paraId="29291D8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95F6784" w14:textId="77777777" w:rsidR="00C04CAD" w:rsidRDefault="00060E34">
      <w:pPr>
        <w:tabs>
          <w:tab w:val="clear" w:pos="567"/>
        </w:tabs>
        <w:kinsoku w:val="0"/>
        <w:overflowPunct w:val="0"/>
        <w:autoSpaceDE w:val="0"/>
        <w:autoSpaceDN w:val="0"/>
        <w:adjustRightInd w:val="0"/>
        <w:spacing w:line="240" w:lineRule="auto"/>
        <w:rPr>
          <w:szCs w:val="22"/>
          <w:u w:val="single"/>
          <w:lang w:eastAsia="en-US" w:bidi="ar-SA"/>
        </w:rPr>
      </w:pPr>
      <w:r>
        <w:rPr>
          <w:szCs w:val="22"/>
          <w:u w:val="single"/>
          <w:lang w:eastAsia="en-US" w:bidi="ar-SA"/>
        </w:rPr>
        <w:t>Adulţi cu poliartrită reumatoidă, artrită psoriazică, spondilită anchilozantă sau spondiloartrită axială fără dovadă radiologică a spondilitei anchilozante</w:t>
      </w:r>
    </w:p>
    <w:p w14:paraId="4C12FCC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F77751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injectează sub piele (utilizare subcutanată). Doza obişnuită pentru adulţi cu poliartrită reumatoidă, spondilită anchilozantă, spondiloartrită axială fără dovadă radiologică a spondilitei anchilozante şi pentru pacienţii cu artrită psoriazică este de 40 mg administrată din două în două săptămâni, sub forma unei doze unice.</w:t>
      </w:r>
    </w:p>
    <w:p w14:paraId="74D3F2A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211082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Pentru poliartrita reumatoidă, tratamentul cu metotrexat se continuă în perioada în care utilizaţi AMGEVITA. Dacă medicul dumneavoastră stabileşte că metotrexat nu este adecvat, AMGEVITA poate fi utilizat şi singur.</w:t>
      </w:r>
    </w:p>
    <w:p w14:paraId="6273649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FE7B2B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Dacă aveţi poliartrită reumatoidă şi nu vi se administrează metotrexat concomitent cu AMGEVITA, medicul dumneavoastră poate decide să vă administreze 40 mg săptămânal sau 80 mg </w:t>
      </w:r>
      <w:r>
        <w:rPr>
          <w:szCs w:val="22"/>
        </w:rPr>
        <w:t xml:space="preserve">o dată la </w:t>
      </w:r>
      <w:r>
        <w:rPr>
          <w:szCs w:val="22"/>
          <w:lang w:eastAsia="en-US" w:bidi="ar-SA"/>
        </w:rPr>
        <w:t>două săptămâni.</w:t>
      </w:r>
    </w:p>
    <w:p w14:paraId="76BF81C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BE36A3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psoriazis în plăci</w:t>
      </w:r>
    </w:p>
    <w:p w14:paraId="4E6EAA9A" w14:textId="77777777" w:rsidR="00C04CAD" w:rsidRDefault="00C04CAD">
      <w:pPr>
        <w:tabs>
          <w:tab w:val="clear" w:pos="567"/>
        </w:tabs>
        <w:kinsoku w:val="0"/>
        <w:overflowPunct w:val="0"/>
        <w:autoSpaceDE w:val="0"/>
        <w:autoSpaceDN w:val="0"/>
        <w:adjustRightInd w:val="0"/>
        <w:spacing w:line="240" w:lineRule="auto"/>
      </w:pPr>
    </w:p>
    <w:p w14:paraId="0693C1FF"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w:t>
      </w:r>
      <w:r>
        <w:rPr>
          <w:szCs w:val="22"/>
          <w:lang w:eastAsia="en-US" w:bidi="ar-SA"/>
        </w:rPr>
        <w:t xml:space="preserve">adulţi doza recomandată pentru tratamentul psoriazisului </w:t>
      </w:r>
      <w:r>
        <w:rPr>
          <w:szCs w:val="22"/>
          <w:u w:val="single"/>
          <w:lang w:eastAsia="en-US" w:bidi="ar-SA"/>
        </w:rPr>
        <w:t>în plăci</w:t>
      </w:r>
      <w:r>
        <w:rPr>
          <w:szCs w:val="22"/>
          <w:lang w:eastAsia="en-US" w:bidi="ar-SA"/>
        </w:rPr>
        <w:t xml:space="preserve"> este o doză iniţială de 80 mg urmată după o săptămână de o doză de 40 mg administrată o dată la două săptămâni. Trebuie să continuaţi injecţiile cu AMGEVITA cât timp vă recomandă medicul dumneavoastră. În funcţie de răspunsul dumneavoastră la tratament, medicul dumneavoastră poate să crească doza la 40 mg săptămânal sau 80 mg </w:t>
      </w:r>
      <w:r>
        <w:rPr>
          <w:szCs w:val="22"/>
        </w:rPr>
        <w:t xml:space="preserve">o dată la </w:t>
      </w:r>
      <w:r>
        <w:rPr>
          <w:szCs w:val="22"/>
          <w:lang w:eastAsia="en-US" w:bidi="ar-SA"/>
        </w:rPr>
        <w:t>două săptămâni.</w:t>
      </w:r>
    </w:p>
    <w:p w14:paraId="6D86044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95E7A1F" w14:textId="77777777" w:rsidR="00C04CAD" w:rsidRDefault="00060E34">
      <w:pPr>
        <w:keepNext/>
        <w:tabs>
          <w:tab w:val="clear" w:pos="567"/>
        </w:tabs>
        <w:kinsoku w:val="0"/>
        <w:overflowPunct w:val="0"/>
        <w:autoSpaceDE w:val="0"/>
        <w:autoSpaceDN w:val="0"/>
        <w:adjustRightInd w:val="0"/>
        <w:spacing w:line="240" w:lineRule="auto"/>
      </w:pPr>
      <w:r>
        <w:rPr>
          <w:u w:val="single"/>
        </w:rPr>
        <w:t>Adulţi cu hidrosadenită supurativă</w:t>
      </w:r>
    </w:p>
    <w:p w14:paraId="487FD3CC" w14:textId="77777777" w:rsidR="00C04CAD" w:rsidRDefault="00C04CAD">
      <w:pPr>
        <w:keepNext/>
        <w:tabs>
          <w:tab w:val="clear" w:pos="567"/>
        </w:tabs>
        <w:kinsoku w:val="0"/>
        <w:overflowPunct w:val="0"/>
        <w:autoSpaceDE w:val="0"/>
        <w:autoSpaceDN w:val="0"/>
        <w:adjustRightInd w:val="0"/>
        <w:spacing w:line="240" w:lineRule="auto"/>
      </w:pPr>
    </w:p>
    <w:p w14:paraId="6AED1F7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obișnuită pentru hidrosadenita supurativă este o doză inițială de 160 mg (sub formă de două injecții a câte 80 mg într-o zi sau o injecție a câte 80 mg pe zi, două zile consecutive), urmată de o doză de 80 mg (sub forma unei injecții de 80 mg) după două săptămâni. După alte două săptămâni, se continuă cu o doză de 40 mg săptămânal </w:t>
      </w:r>
      <w:r>
        <w:t xml:space="preserve">sau </w:t>
      </w:r>
      <w:r>
        <w:rPr>
          <w:szCs w:val="22"/>
        </w:rPr>
        <w:t>80 mg o dată la două săptămâni, conform recomandărilor medicului dumneavoastră</w:t>
      </w:r>
      <w:r>
        <w:rPr>
          <w:szCs w:val="22"/>
          <w:lang w:eastAsia="en-US" w:bidi="ar-SA"/>
        </w:rPr>
        <w:t>. Se recomandă să spălaţi zilnic cu un antiseptic zonele afectate.</w:t>
      </w:r>
    </w:p>
    <w:p w14:paraId="25DCD05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331E87C"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4"/>
          <w:u w:val="single"/>
        </w:rPr>
        <w:t>Hidrosadenită supurativă la adolescenți de la vârsta de 12 până la 17 ani, cu greutatea de 30 kg sau mai mult</w:t>
      </w:r>
    </w:p>
    <w:p w14:paraId="4CB0A414"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2F937499"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recomandată de AMGEVITA este o doză inițială de 80 mg, urmată, </w:t>
      </w:r>
      <w:r>
        <w:rPr>
          <w:szCs w:val="24"/>
        </w:rPr>
        <w:t>după o săptămână,</w:t>
      </w:r>
      <w:r>
        <w:rPr>
          <w:szCs w:val="22"/>
          <w:lang w:eastAsia="en-US" w:bidi="ar-SA"/>
        </w:rPr>
        <w:t xml:space="preserve"> de o </w:t>
      </w:r>
      <w:r>
        <w:rPr>
          <w:szCs w:val="24"/>
        </w:rPr>
        <w:t xml:space="preserve">doză </w:t>
      </w:r>
      <w:r>
        <w:rPr>
          <w:szCs w:val="22"/>
          <w:lang w:eastAsia="en-US" w:bidi="ar-SA"/>
        </w:rPr>
        <w:t xml:space="preserve">40 mg la fiecare două săptămâni. </w:t>
      </w:r>
      <w:r>
        <w:rPr>
          <w:szCs w:val="24"/>
        </w:rPr>
        <w:t>Dacă nu răspundeți corespunzător la</w:t>
      </w:r>
      <w:r>
        <w:rPr>
          <w:szCs w:val="22"/>
          <w:lang w:eastAsia="en-US" w:bidi="ar-SA"/>
        </w:rPr>
        <w:t xml:space="preserve"> AMGEVITA 40 mg la două săptămâni, medicul dumneavoastră poate </w:t>
      </w:r>
      <w:r>
        <w:rPr>
          <w:szCs w:val="24"/>
        </w:rPr>
        <w:t>să crească doza la 40 mg săptămânal sau 80 mg la două săptămâni</w:t>
      </w:r>
      <w:r>
        <w:rPr>
          <w:szCs w:val="22"/>
          <w:lang w:eastAsia="en-US" w:bidi="ar-SA"/>
        </w:rPr>
        <w:t>.</w:t>
      </w:r>
    </w:p>
    <w:p w14:paraId="46ECE98C" w14:textId="77777777" w:rsidR="00C04CAD" w:rsidRDefault="00C04CAD">
      <w:pPr>
        <w:keepLines/>
        <w:tabs>
          <w:tab w:val="clear" w:pos="567"/>
        </w:tabs>
        <w:kinsoku w:val="0"/>
        <w:overflowPunct w:val="0"/>
        <w:autoSpaceDE w:val="0"/>
        <w:autoSpaceDN w:val="0"/>
        <w:adjustRightInd w:val="0"/>
        <w:spacing w:line="240" w:lineRule="auto"/>
        <w:rPr>
          <w:szCs w:val="22"/>
          <w:lang w:eastAsia="en-US" w:bidi="ar-SA"/>
        </w:rPr>
      </w:pPr>
    </w:p>
    <w:p w14:paraId="09C88325" w14:textId="77777777" w:rsidR="00C04CAD" w:rsidRDefault="00060E34">
      <w:pPr>
        <w:keepLines/>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Se recomandă să spălaţi zilnic cu un antiseptic zonele afectate.</w:t>
      </w:r>
    </w:p>
    <w:p w14:paraId="6C5BC96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84A5FA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boală Crohn</w:t>
      </w:r>
    </w:p>
    <w:p w14:paraId="7843EDB7"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61038F3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Doza obişnuită pentru boala Crohn este de 80 mg iniţial urmată apoi de 40 mg la două săptămâni, două săptămâni mai târziu. Dacă este necesar un răspuns mai rapid, medicul dumneavoastră vă poate prescrie o doză iniţială de 160 mg (sub formă de două injecţii a câte 80 mg într-o zi sau o injecţie a câte 80 mg pe zi, două zile consecutiv), urmată de 80 mg două săptămâni mai târziu şi apoi 40 mg la două săptămâni. În funcţie de răspunsul dumneavoastră la tratament, medicul dumneavoastră poate creşte doza la 40 mg săptămânal sau </w:t>
      </w:r>
      <w:r>
        <w:rPr>
          <w:szCs w:val="22"/>
        </w:rPr>
        <w:t>80 mg o dată la două săptămâni</w:t>
      </w:r>
      <w:r>
        <w:rPr>
          <w:szCs w:val="22"/>
          <w:lang w:eastAsia="en-US" w:bidi="ar-SA"/>
        </w:rPr>
        <w:t>.</w:t>
      </w:r>
    </w:p>
    <w:p w14:paraId="60996BF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8CFFE2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Copii și adolescenţi cu boală Crohn</w:t>
      </w:r>
    </w:p>
    <w:p w14:paraId="5E552D8D"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04C153EA" w14:textId="77777777" w:rsidR="00C04CAD" w:rsidRDefault="00060E34">
      <w:pPr>
        <w:keepNext/>
        <w:kinsoku w:val="0"/>
        <w:overflowPunct w:val="0"/>
        <w:autoSpaceDE w:val="0"/>
        <w:autoSpaceDN w:val="0"/>
        <w:adjustRightInd w:val="0"/>
        <w:spacing w:line="240" w:lineRule="auto"/>
        <w:rPr>
          <w:u w:val="single"/>
        </w:rPr>
      </w:pPr>
      <w:r>
        <w:rPr>
          <w:i/>
        </w:rPr>
        <w:t>Copii și adolescenţi cu vârsta de 6 ani până la vârsta de 17 ani și greutatea mai mică de 40 kg</w:t>
      </w:r>
    </w:p>
    <w:p w14:paraId="07BCFBBF" w14:textId="77777777" w:rsidR="00C04CAD" w:rsidRDefault="00C04CAD">
      <w:pPr>
        <w:keepNext/>
        <w:tabs>
          <w:tab w:val="clear" w:pos="567"/>
        </w:tabs>
        <w:kinsoku w:val="0"/>
        <w:overflowPunct w:val="0"/>
        <w:autoSpaceDE w:val="0"/>
        <w:autoSpaceDN w:val="0"/>
        <w:adjustRightInd w:val="0"/>
        <w:spacing w:line="240" w:lineRule="auto"/>
        <w:rPr>
          <w:szCs w:val="22"/>
          <w:u w:val="single"/>
          <w:lang w:eastAsia="en-US" w:bidi="ar-SA"/>
        </w:rPr>
      </w:pPr>
    </w:p>
    <w:p w14:paraId="781289A7"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Doza recomandată este de 40 mg iniţial, urmată de 20 mg după două săptămâni. Dacă este necesar un răspuns mai rapid, medicul copilului dumneavoastră va poate prescrie o doză iniţială de 80 mg urmată de 40 mg după două săptămâni.</w:t>
      </w:r>
    </w:p>
    <w:p w14:paraId="7A37BF8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7BAB12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Ulterior, doza recomandată este de 20 mg la două săptămâni. În funcţie de răspunsul copilului dumneavoastră la tratament, medicul copilului dumneavoastră poate creşte frecvenţa dozei la 20 mg în fiecare săptămână.</w:t>
      </w:r>
    </w:p>
    <w:p w14:paraId="602BC1D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9B7712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Penul preumplut de 40 mg nu poate fi utilizat pentru doza de 20 mg. Pentru doza de 20 mg este disponibilă AMGEVITA 20 mg seringă preumplută.</w:t>
      </w:r>
    </w:p>
    <w:p w14:paraId="5D7CB32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3F255D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i/>
        </w:rPr>
        <w:t>Copii și adolescenţi cu vârsta de 6 ani până la vârsta de 17 ani și greutatea de 40 kg sau mai mult</w:t>
      </w:r>
    </w:p>
    <w:p w14:paraId="52D3A4B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C63069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Doza recomandată este de 80 mg iniţial urmată de 40 mg două săptămâni mai târziu. În cazul în care este necesar un răspuns mai rapid, medicul copilului dumneavoastră poate prescrie o doză iniţială de 160 mg (sub formă de două injecţii a câte 80 mg într-o zi sau o injecţie a câte 80 mg pe zi, timp de două zile consecutiv), urmată de 80 mg două săptămâni mai târziu.</w:t>
      </w:r>
    </w:p>
    <w:p w14:paraId="1E01210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C5CF6A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Ulterior, doza recomandată este de 40 mg la două săptămâni. În funcţie de răspunsul copilului dumneavoastră la tratament, medicul copilului dumneavoastră poate creşte doza la 40 mg în fiecare săptămână sau </w:t>
      </w:r>
      <w:r>
        <w:rPr>
          <w:szCs w:val="22"/>
        </w:rPr>
        <w:t>80 mg o dată la două săptămâni</w:t>
      </w:r>
      <w:r>
        <w:rPr>
          <w:szCs w:val="22"/>
          <w:lang w:eastAsia="en-US" w:bidi="ar-SA"/>
        </w:rPr>
        <w:t>.</w:t>
      </w:r>
    </w:p>
    <w:p w14:paraId="056EB70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370BCB9"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Adulţi cu colită ulcerativă</w:t>
      </w:r>
    </w:p>
    <w:p w14:paraId="1704C0A1" w14:textId="77777777" w:rsidR="00C04CAD" w:rsidRDefault="00C04CAD">
      <w:pPr>
        <w:keepNext/>
        <w:tabs>
          <w:tab w:val="clear" w:pos="567"/>
        </w:tabs>
        <w:kinsoku w:val="0"/>
        <w:overflowPunct w:val="0"/>
        <w:autoSpaceDE w:val="0"/>
        <w:autoSpaceDN w:val="0"/>
        <w:adjustRightInd w:val="0"/>
        <w:spacing w:line="240" w:lineRule="auto"/>
      </w:pPr>
    </w:p>
    <w:p w14:paraId="2C5E958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pacienţii </w:t>
      </w:r>
      <w:r>
        <w:rPr>
          <w:szCs w:val="22"/>
          <w:lang w:eastAsia="en-US" w:bidi="ar-SA"/>
        </w:rPr>
        <w:t xml:space="preserve">adulţi cu colită ulcerativă doza obişnuită de AMGEVITA este 160 mg iniţial (sub formă de două injecţii a câte 80 mg într-o zi sau o injecţie a câte 80 mg pe zi, două zile consecutiv), urmate de 80 mg două săptamâni mai târziu, şi după aceea 40 mg la două săptămâni. În funcţie de răspunsul dumneavoastră la tratament, medicul dumneavoastră poate creşte doza la 40 mg săptămânal sau </w:t>
      </w:r>
      <w:r>
        <w:rPr>
          <w:szCs w:val="22"/>
        </w:rPr>
        <w:t>80 mg o dată la două săptămâni</w:t>
      </w:r>
      <w:r>
        <w:rPr>
          <w:szCs w:val="22"/>
          <w:lang w:eastAsia="en-US" w:bidi="ar-SA"/>
        </w:rPr>
        <w:t>.</w:t>
      </w:r>
    </w:p>
    <w:p w14:paraId="439B99B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363C483" w14:textId="77777777" w:rsidR="00C04CAD" w:rsidRDefault="00060E34">
      <w:pPr>
        <w:keepNext/>
        <w:tabs>
          <w:tab w:val="clear" w:pos="567"/>
        </w:tabs>
        <w:autoSpaceDE w:val="0"/>
        <w:autoSpaceDN w:val="0"/>
        <w:adjustRightInd w:val="0"/>
        <w:spacing w:line="240" w:lineRule="auto"/>
        <w:rPr>
          <w:rFonts w:eastAsia="MS Mincho"/>
          <w:color w:val="000000"/>
          <w:szCs w:val="22"/>
          <w:u w:val="single"/>
          <w:lang w:eastAsia="ja-JP" w:bidi="ar-SA"/>
        </w:rPr>
      </w:pPr>
      <w:r>
        <w:rPr>
          <w:rFonts w:eastAsia="MS Mincho"/>
          <w:color w:val="000000"/>
          <w:szCs w:val="22"/>
          <w:u w:val="single"/>
          <w:lang w:eastAsia="ja-JP" w:bidi="ar-SA"/>
        </w:rPr>
        <w:t xml:space="preserve">Copii și adolescenți cu colită ulcerativă </w:t>
      </w:r>
    </w:p>
    <w:p w14:paraId="6576ABAE" w14:textId="77777777" w:rsidR="00C04CAD" w:rsidRDefault="00C04CAD">
      <w:pPr>
        <w:keepNext/>
        <w:tabs>
          <w:tab w:val="clear" w:pos="567"/>
        </w:tabs>
        <w:autoSpaceDE w:val="0"/>
        <w:autoSpaceDN w:val="0"/>
        <w:adjustRightInd w:val="0"/>
        <w:spacing w:line="240" w:lineRule="auto"/>
        <w:rPr>
          <w:rFonts w:eastAsia="MS Mincho"/>
          <w:i/>
          <w:iCs/>
          <w:color w:val="000000"/>
          <w:szCs w:val="22"/>
          <w:lang w:eastAsia="ja-JP" w:bidi="ar-SA"/>
        </w:rPr>
      </w:pPr>
    </w:p>
    <w:p w14:paraId="14A5271A" w14:textId="77777777" w:rsidR="00C04CAD" w:rsidRDefault="00060E34">
      <w:pPr>
        <w:keepNext/>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mai mică de 40 kg </w:t>
      </w:r>
    </w:p>
    <w:p w14:paraId="1ED9D1B6" w14:textId="77777777" w:rsidR="00C04CAD" w:rsidRDefault="00C04CAD">
      <w:pPr>
        <w:keepNext/>
        <w:tabs>
          <w:tab w:val="clear" w:pos="567"/>
        </w:tabs>
        <w:autoSpaceDE w:val="0"/>
        <w:autoSpaceDN w:val="0"/>
        <w:adjustRightInd w:val="0"/>
        <w:spacing w:line="240" w:lineRule="auto"/>
        <w:rPr>
          <w:rFonts w:eastAsia="MS Mincho"/>
          <w:color w:val="000000"/>
          <w:szCs w:val="22"/>
          <w:lang w:eastAsia="ja-JP" w:bidi="ar-SA"/>
        </w:rPr>
      </w:pPr>
    </w:p>
    <w:p w14:paraId="254EEE9D"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Doza uzuală inițială de AMGEVITA este de 80 mg, urmată de 40 mg (sub formă de o injecție a 40 mg) două săptămâni mai târziu. Ulterior, doza uzuală este de 40 mg la două săptămâni.</w:t>
      </w:r>
    </w:p>
    <w:p w14:paraId="6024B90D"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BDC1484"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Pacienții care împlinesc vârsta de 18 ani în timp ce li se administrează doza de 40 mg la două săptămâni, trebuie să continue cu doza prescrisă.</w:t>
      </w:r>
    </w:p>
    <w:p w14:paraId="450C0244"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78BFBD59"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i/>
          <w:iCs/>
          <w:color w:val="000000"/>
          <w:szCs w:val="22"/>
          <w:lang w:eastAsia="ja-JP" w:bidi="ar-SA"/>
        </w:rPr>
        <w:t xml:space="preserve">Copii și adolescenți cu vârsta de la 6 ani cu greutatea de 40 kg sau mai mult </w:t>
      </w:r>
    </w:p>
    <w:p w14:paraId="6ECFE695"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38CDC7A8" w14:textId="77777777" w:rsidR="00C04CAD" w:rsidRDefault="00060E34">
      <w:pPr>
        <w:tabs>
          <w:tab w:val="clear" w:pos="567"/>
        </w:tabs>
        <w:autoSpaceDE w:val="0"/>
        <w:autoSpaceDN w:val="0"/>
        <w:adjustRightInd w:val="0"/>
        <w:spacing w:line="240" w:lineRule="auto"/>
        <w:rPr>
          <w:rFonts w:eastAsia="MS Mincho"/>
          <w:color w:val="000000"/>
          <w:szCs w:val="22"/>
          <w:lang w:eastAsia="ja-JP" w:bidi="ar-SA"/>
        </w:rPr>
      </w:pPr>
      <w:r>
        <w:rPr>
          <w:rFonts w:eastAsia="MS Mincho"/>
          <w:color w:val="000000"/>
          <w:szCs w:val="22"/>
          <w:lang w:eastAsia="ja-JP" w:bidi="ar-SA"/>
        </w:rPr>
        <w:t xml:space="preserve">Doza uzuală inițială de AMGEVITA este de 160 mg (sub formă de două injecții a câte 80 mg într-o zi sau o injecție a câte 80 mg pe zi timp de două zile consecutive), urmată de 80 mg două săptămâni mai târziu. Ulterior, doza uzuală este de 80 mg la două săptămâni. </w:t>
      </w:r>
    </w:p>
    <w:p w14:paraId="497156AA" w14:textId="77777777" w:rsidR="00C04CAD" w:rsidRDefault="00C04CAD">
      <w:pPr>
        <w:tabs>
          <w:tab w:val="clear" w:pos="567"/>
        </w:tabs>
        <w:autoSpaceDE w:val="0"/>
        <w:autoSpaceDN w:val="0"/>
        <w:adjustRightInd w:val="0"/>
        <w:spacing w:line="240" w:lineRule="auto"/>
        <w:rPr>
          <w:rFonts w:eastAsia="MS Mincho"/>
          <w:color w:val="000000"/>
          <w:szCs w:val="22"/>
          <w:lang w:eastAsia="ja-JP" w:bidi="ar-SA"/>
        </w:rPr>
      </w:pPr>
    </w:p>
    <w:p w14:paraId="1C16A16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rFonts w:eastAsia="MS Mincho"/>
          <w:color w:val="000000"/>
          <w:szCs w:val="22"/>
          <w:lang w:eastAsia="ja-JP" w:bidi="ar-SA"/>
        </w:rPr>
        <w:t>Pacienții care împlinesc vârsta de 18 ani în timp ce li se administrează doza de 80 mg la două săptămâni trebuie să continue cu doza prescrisă.</w:t>
      </w:r>
    </w:p>
    <w:p w14:paraId="2B3AF0F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F3B19F0"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u w:val="single"/>
          <w:lang w:eastAsia="en-US" w:bidi="ar-SA"/>
        </w:rPr>
        <w:t>Adulți cu uveită non-infecţioasă</w:t>
      </w:r>
    </w:p>
    <w:p w14:paraId="695EB65F"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71873E77" w14:textId="77777777" w:rsidR="00C04CAD" w:rsidRDefault="00060E34">
      <w:pPr>
        <w:keepNext/>
        <w:tabs>
          <w:tab w:val="clear" w:pos="567"/>
        </w:tabs>
        <w:kinsoku w:val="0"/>
        <w:overflowPunct w:val="0"/>
        <w:autoSpaceDE w:val="0"/>
        <w:autoSpaceDN w:val="0"/>
        <w:adjustRightInd w:val="0"/>
        <w:spacing w:line="240" w:lineRule="auto"/>
      </w:pPr>
      <w:r>
        <w:rPr>
          <w:szCs w:val="22"/>
          <w:lang w:eastAsia="en-US" w:bidi="ar-SA"/>
        </w:rPr>
        <w:t>Doza recomandată pentru adulții cu uveită non-infecţioasă este o doză inițială de 80 mg, urmată de 40 mg administrată o dată la două săptămâni începând cu prima săptămână după doza inițială. Trebuie să continuați să utilizaţi AMGEVITA atâta timp cât medicul dumneavoastră v-a recomandat</w:t>
      </w:r>
      <w:r>
        <w:t>.</w:t>
      </w:r>
    </w:p>
    <w:p w14:paraId="6C7440E8" w14:textId="77777777" w:rsidR="00C04CAD" w:rsidRDefault="00C04CAD">
      <w:pPr>
        <w:tabs>
          <w:tab w:val="clear" w:pos="567"/>
        </w:tabs>
        <w:kinsoku w:val="0"/>
        <w:overflowPunct w:val="0"/>
        <w:autoSpaceDE w:val="0"/>
        <w:autoSpaceDN w:val="0"/>
        <w:adjustRightInd w:val="0"/>
        <w:spacing w:line="240" w:lineRule="auto"/>
      </w:pPr>
    </w:p>
    <w:p w14:paraId="42EAF0D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t xml:space="preserve">La pacienţii cu </w:t>
      </w:r>
      <w:r>
        <w:rPr>
          <w:szCs w:val="22"/>
          <w:lang w:eastAsia="en-US" w:bidi="ar-SA"/>
        </w:rPr>
        <w:t>uveită non-infecţioasă, în timpul utilizării AMGEVITA, se poate continua tratamentul cu corticosteroizi sau cu alte medicamente care influențează sistemul imunitar. AMGEVITA poate fi de asemenea administrat în monoterapie.</w:t>
      </w:r>
    </w:p>
    <w:p w14:paraId="4A26BCA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B211EC0" w14:textId="77777777" w:rsidR="00C04CAD" w:rsidRDefault="00060E34">
      <w:pPr>
        <w:tabs>
          <w:tab w:val="clear" w:pos="567"/>
        </w:tabs>
        <w:kinsoku w:val="0"/>
        <w:overflowPunct w:val="0"/>
        <w:autoSpaceDE w:val="0"/>
        <w:autoSpaceDN w:val="0"/>
        <w:adjustRightInd w:val="0"/>
        <w:spacing w:line="240" w:lineRule="auto"/>
        <w:rPr>
          <w:szCs w:val="22"/>
        </w:rPr>
      </w:pPr>
      <w:r>
        <w:rPr>
          <w:szCs w:val="22"/>
          <w:u w:val="single"/>
        </w:rPr>
        <w:t xml:space="preserve">Copii și adolescenți cu uveită cronică non-infecțioasă </w:t>
      </w:r>
      <w:r>
        <w:rPr>
          <w:szCs w:val="24"/>
          <w:u w:val="single"/>
        </w:rPr>
        <w:t xml:space="preserve">cu vârsta </w:t>
      </w:r>
      <w:r>
        <w:rPr>
          <w:szCs w:val="22"/>
          <w:u w:val="single"/>
        </w:rPr>
        <w:t>de la 2 ani</w:t>
      </w:r>
    </w:p>
    <w:p w14:paraId="50A586CA" w14:textId="77777777" w:rsidR="00C04CAD" w:rsidRDefault="00C04CAD">
      <w:pPr>
        <w:tabs>
          <w:tab w:val="clear" w:pos="567"/>
        </w:tabs>
        <w:kinsoku w:val="0"/>
        <w:overflowPunct w:val="0"/>
        <w:autoSpaceDE w:val="0"/>
        <w:autoSpaceDN w:val="0"/>
        <w:adjustRightInd w:val="0"/>
        <w:spacing w:line="240" w:lineRule="auto"/>
        <w:rPr>
          <w:szCs w:val="22"/>
        </w:rPr>
      </w:pPr>
    </w:p>
    <w:p w14:paraId="7930C174"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mai mică de 30 kg</w:t>
      </w:r>
    </w:p>
    <w:p w14:paraId="5E7A89AE" w14:textId="77777777" w:rsidR="00C04CAD" w:rsidRDefault="00C04CAD">
      <w:pPr>
        <w:tabs>
          <w:tab w:val="clear" w:pos="567"/>
        </w:tabs>
        <w:kinsoku w:val="0"/>
        <w:overflowPunct w:val="0"/>
        <w:autoSpaceDE w:val="0"/>
        <w:autoSpaceDN w:val="0"/>
        <w:adjustRightInd w:val="0"/>
        <w:spacing w:line="240" w:lineRule="auto"/>
        <w:rPr>
          <w:szCs w:val="22"/>
        </w:rPr>
      </w:pPr>
    </w:p>
    <w:p w14:paraId="1E00D2D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rPr>
          <w:szCs w:val="24"/>
        </w:rPr>
        <w:t xml:space="preserve">uzuală </w:t>
      </w:r>
      <w:r>
        <w:rPr>
          <w:szCs w:val="22"/>
        </w:rPr>
        <w:t xml:space="preserve">de AMGEVITA este de 20 mg la două săptămâni </w:t>
      </w:r>
      <w:r>
        <w:rPr>
          <w:szCs w:val="24"/>
        </w:rPr>
        <w:t xml:space="preserve">administrată </w:t>
      </w:r>
      <w:r>
        <w:rPr>
          <w:szCs w:val="22"/>
        </w:rPr>
        <w:t>asociat cu metotrexat.</w:t>
      </w:r>
    </w:p>
    <w:p w14:paraId="20A675C1" w14:textId="77777777" w:rsidR="00C04CAD" w:rsidRDefault="00C04CAD">
      <w:pPr>
        <w:tabs>
          <w:tab w:val="clear" w:pos="567"/>
        </w:tabs>
        <w:kinsoku w:val="0"/>
        <w:overflowPunct w:val="0"/>
        <w:autoSpaceDE w:val="0"/>
        <w:autoSpaceDN w:val="0"/>
        <w:adjustRightInd w:val="0"/>
        <w:spacing w:line="240" w:lineRule="auto"/>
        <w:rPr>
          <w:szCs w:val="22"/>
        </w:rPr>
      </w:pPr>
    </w:p>
    <w:p w14:paraId="2D001E3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Medicul copilului dumneavoastră vă poate prescrie o doză inițială de 40 mg care se poate administra cu o săptămână înainte </w:t>
      </w:r>
      <w:r>
        <w:rPr>
          <w:szCs w:val="24"/>
        </w:rPr>
        <w:t>să începeți doza uzuală</w:t>
      </w:r>
      <w:r>
        <w:rPr>
          <w:szCs w:val="22"/>
        </w:rPr>
        <w:t>.</w:t>
      </w:r>
    </w:p>
    <w:p w14:paraId="789316AA" w14:textId="77777777" w:rsidR="00C04CAD" w:rsidRDefault="00C04CAD">
      <w:pPr>
        <w:tabs>
          <w:tab w:val="clear" w:pos="567"/>
        </w:tabs>
        <w:kinsoku w:val="0"/>
        <w:overflowPunct w:val="0"/>
        <w:autoSpaceDE w:val="0"/>
        <w:autoSpaceDN w:val="0"/>
        <w:adjustRightInd w:val="0"/>
        <w:spacing w:line="240" w:lineRule="auto"/>
        <w:rPr>
          <w:szCs w:val="22"/>
        </w:rPr>
      </w:pPr>
    </w:p>
    <w:p w14:paraId="3DD961EF"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Pen-ul preumplut de 40 mg nu poate fi utilizat pentru doza de 20 mg. Cu toate acestea, este disponibilă o </w:t>
      </w:r>
      <w:r>
        <w:rPr>
          <w:i/>
          <w:szCs w:val="22"/>
        </w:rPr>
        <w:t>seringă</w:t>
      </w:r>
      <w:r>
        <w:rPr>
          <w:szCs w:val="22"/>
        </w:rPr>
        <w:t xml:space="preserve"> preumplută de AMGEVITA 20 mg pentru doza de 20 mg.</w:t>
      </w:r>
    </w:p>
    <w:p w14:paraId="578ED022" w14:textId="77777777" w:rsidR="00C04CAD" w:rsidRDefault="00C04CAD">
      <w:pPr>
        <w:tabs>
          <w:tab w:val="clear" w:pos="567"/>
        </w:tabs>
        <w:kinsoku w:val="0"/>
        <w:overflowPunct w:val="0"/>
        <w:autoSpaceDE w:val="0"/>
        <w:autoSpaceDN w:val="0"/>
        <w:adjustRightInd w:val="0"/>
        <w:spacing w:line="240" w:lineRule="auto"/>
        <w:rPr>
          <w:szCs w:val="22"/>
        </w:rPr>
      </w:pPr>
    </w:p>
    <w:p w14:paraId="1CD39F0A" w14:textId="77777777" w:rsidR="00C04CAD" w:rsidRDefault="00060E34">
      <w:pPr>
        <w:tabs>
          <w:tab w:val="clear" w:pos="567"/>
        </w:tabs>
        <w:kinsoku w:val="0"/>
        <w:overflowPunct w:val="0"/>
        <w:autoSpaceDE w:val="0"/>
        <w:autoSpaceDN w:val="0"/>
        <w:adjustRightInd w:val="0"/>
        <w:spacing w:line="240" w:lineRule="auto"/>
        <w:rPr>
          <w:szCs w:val="22"/>
        </w:rPr>
      </w:pPr>
      <w:r>
        <w:rPr>
          <w:i/>
          <w:szCs w:val="22"/>
        </w:rPr>
        <w:t xml:space="preserve">Copii și adolescenți cu vârsta de la 2 ani </w:t>
      </w:r>
      <w:r>
        <w:rPr>
          <w:i/>
          <w:szCs w:val="24"/>
        </w:rPr>
        <w:t>cu greutatea de 30 kg sau mai mult</w:t>
      </w:r>
    </w:p>
    <w:p w14:paraId="7D8911AE" w14:textId="77777777" w:rsidR="00C04CAD" w:rsidRDefault="00C04CAD">
      <w:pPr>
        <w:tabs>
          <w:tab w:val="clear" w:pos="567"/>
        </w:tabs>
        <w:kinsoku w:val="0"/>
        <w:overflowPunct w:val="0"/>
        <w:autoSpaceDE w:val="0"/>
        <w:autoSpaceDN w:val="0"/>
        <w:adjustRightInd w:val="0"/>
        <w:spacing w:line="240" w:lineRule="auto"/>
        <w:rPr>
          <w:szCs w:val="22"/>
        </w:rPr>
      </w:pPr>
    </w:p>
    <w:p w14:paraId="0E783241" w14:textId="77777777" w:rsidR="00C04CAD" w:rsidRDefault="00060E34">
      <w:pPr>
        <w:tabs>
          <w:tab w:val="clear" w:pos="567"/>
        </w:tabs>
        <w:kinsoku w:val="0"/>
        <w:overflowPunct w:val="0"/>
        <w:autoSpaceDE w:val="0"/>
        <w:autoSpaceDN w:val="0"/>
        <w:adjustRightInd w:val="0"/>
        <w:spacing w:line="240" w:lineRule="auto"/>
        <w:rPr>
          <w:szCs w:val="22"/>
        </w:rPr>
      </w:pPr>
      <w:r>
        <w:rPr>
          <w:szCs w:val="22"/>
        </w:rPr>
        <w:t xml:space="preserve">Doza </w:t>
      </w:r>
      <w:r>
        <w:rPr>
          <w:szCs w:val="24"/>
        </w:rPr>
        <w:t xml:space="preserve">uzuală </w:t>
      </w:r>
      <w:r>
        <w:rPr>
          <w:szCs w:val="22"/>
        </w:rPr>
        <w:t xml:space="preserve">de AMGEVITA este de 40 mg la </w:t>
      </w:r>
      <w:r>
        <w:rPr>
          <w:szCs w:val="24"/>
        </w:rPr>
        <w:t>două</w:t>
      </w:r>
      <w:r>
        <w:rPr>
          <w:szCs w:val="22"/>
        </w:rPr>
        <w:t xml:space="preserve"> săptămâni </w:t>
      </w:r>
      <w:r>
        <w:rPr>
          <w:szCs w:val="24"/>
        </w:rPr>
        <w:t>administrată asociat cu metotrexat</w:t>
      </w:r>
      <w:r>
        <w:rPr>
          <w:szCs w:val="22"/>
        </w:rPr>
        <w:t>.</w:t>
      </w:r>
    </w:p>
    <w:p w14:paraId="342CACC6" w14:textId="77777777" w:rsidR="00C04CAD" w:rsidRDefault="00C04CAD">
      <w:pPr>
        <w:tabs>
          <w:tab w:val="clear" w:pos="567"/>
        </w:tabs>
        <w:kinsoku w:val="0"/>
        <w:overflowPunct w:val="0"/>
        <w:autoSpaceDE w:val="0"/>
        <w:autoSpaceDN w:val="0"/>
        <w:adjustRightInd w:val="0"/>
        <w:spacing w:line="240" w:lineRule="auto"/>
        <w:rPr>
          <w:szCs w:val="22"/>
        </w:rPr>
      </w:pPr>
    </w:p>
    <w:p w14:paraId="30ECF482"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 xml:space="preserve">Medicul dumneavoastră vă poate prescrie o doză inițială de 80 mg care se poate administra cu o săptămână înainte </w:t>
      </w:r>
      <w:r>
        <w:rPr>
          <w:szCs w:val="24"/>
        </w:rPr>
        <w:t>să începeți doza uzuală</w:t>
      </w:r>
      <w:r>
        <w:rPr>
          <w:szCs w:val="22"/>
        </w:rPr>
        <w:t>.</w:t>
      </w:r>
    </w:p>
    <w:p w14:paraId="0D6CEB22"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6852AE7"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Mod și cale de administrare</w:t>
      </w:r>
    </w:p>
    <w:p w14:paraId="5DCBB88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B741B37"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AMGEVITA se administrează prin injectare sub piele (injectare subcutanată).</w:t>
      </w:r>
    </w:p>
    <w:p w14:paraId="604501F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2686938"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rPr>
        <w:t>Instrucțiuni detaliate privind modul de injectare al AMGEVITA sunt furnizate la punctul „Instrucțiuni de utilizare”.</w:t>
      </w:r>
    </w:p>
    <w:p w14:paraId="0A996E0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B1FA0FF" w14:textId="77777777" w:rsidR="00C04CAD" w:rsidRDefault="00060E34">
      <w:pPr>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utilizaţi mai mult decât trebuie din AMGEVITA</w:t>
      </w:r>
    </w:p>
    <w:p w14:paraId="477019E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29F50EC"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Dacă vă administraţi accidental AMGEVITA mai des decât v-a indicat medicul dumneavoastră sau farmacistul, anunţaţi medicul dumneavoastră sau farmacistul şi să-i spuneţi acestuia/acesteia că aţi utilizat mai mult. Purtaţi mereu la dumneavoastră cutia exterioară a acestui medicament, chiar dacă este goală.</w:t>
      </w:r>
    </w:p>
    <w:p w14:paraId="24F02D9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D1130F4"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uitaţi să utilizaţi AMGEVITA</w:t>
      </w:r>
    </w:p>
    <w:p w14:paraId="078FBE3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081C31D"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Dacă uitaţi să vă faceţi o injecţie, trebuie să vă administraţi </w:t>
      </w:r>
      <w:r>
        <w:rPr>
          <w:szCs w:val="22"/>
        </w:rPr>
        <w:t>următoarea doză de AMGEVITA</w:t>
      </w:r>
      <w:r>
        <w:rPr>
          <w:szCs w:val="22"/>
          <w:lang w:eastAsia="en-US" w:bidi="ar-SA"/>
        </w:rPr>
        <w:t xml:space="preserve"> imediat ce vă aduceţi aminte. Apoi administraţi-vă următoarea doză în ziua programată iniţial, ca şi cum nu aţi fi uitat să vă administraţi o doză.</w:t>
      </w:r>
    </w:p>
    <w:p w14:paraId="7D26F5AA"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AAB7B8F" w14:textId="77777777" w:rsidR="00C04CAD" w:rsidRDefault="00060E34">
      <w:pPr>
        <w:keepNext/>
        <w:tabs>
          <w:tab w:val="clear" w:pos="567"/>
        </w:tabs>
        <w:kinsoku w:val="0"/>
        <w:overflowPunct w:val="0"/>
        <w:autoSpaceDE w:val="0"/>
        <w:autoSpaceDN w:val="0"/>
        <w:adjustRightInd w:val="0"/>
        <w:spacing w:line="240" w:lineRule="auto"/>
        <w:outlineLvl w:val="0"/>
        <w:rPr>
          <w:szCs w:val="22"/>
          <w:lang w:eastAsia="en-US" w:bidi="ar-SA"/>
        </w:rPr>
      </w:pPr>
      <w:r>
        <w:rPr>
          <w:b/>
          <w:bCs/>
          <w:szCs w:val="22"/>
          <w:lang w:eastAsia="en-US" w:bidi="ar-SA"/>
        </w:rPr>
        <w:t>Dacă opriţi utilizarea AMGEVITA</w:t>
      </w:r>
    </w:p>
    <w:p w14:paraId="7FB00013"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DFFE50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Decizia de a opri utilizarea AMGEVITA trebuie să o discutaţi cu medicul dumneavoastră. Simptomele dumneavoastră pot să revină după întrerupere.</w:t>
      </w:r>
    </w:p>
    <w:p w14:paraId="7D01BE1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46E5766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Dacă aveţi alte întrebări suplimentare privind utilizarea acestui medicament, întrebaţi medicul dumneavoastră sau farmacistul.</w:t>
      </w:r>
    </w:p>
    <w:p w14:paraId="6BFD354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BF28E8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5353D7CB" w14:textId="77777777" w:rsidR="00C04CAD" w:rsidRDefault="00060E34">
      <w:pPr>
        <w:keepNext/>
        <w:numPr>
          <w:ilvl w:val="0"/>
          <w:numId w:val="113"/>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bCs/>
          <w:szCs w:val="22"/>
          <w:lang w:eastAsia="en-US" w:bidi="ar-SA"/>
        </w:rPr>
        <w:t>Reacţii adverse posibile</w:t>
      </w:r>
    </w:p>
    <w:p w14:paraId="528A6A7A"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23239B18"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Ca toate medicamentele, acest medicament poate provoca reacţii adverse, cu toate că nu apar la toate persoanele. Majoritatea reacţiilor adverse sunt uşoare sau moderate. Totuşi, unele pot fi grave şi pot necesita tratament. Reacţiile adverse pot apărea până la cel puţin 4 luni după ultima injecţie de AMGEVITA.</w:t>
      </w:r>
    </w:p>
    <w:p w14:paraId="2801BA37"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551A94B"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 xml:space="preserve">Adresaţi-vă imediat medicului dumneavoastră dacă observaţi oricare dintre următoarele </w:t>
      </w:r>
      <w:r>
        <w:t>semne de reacții alergice sau insuficiență cardiacă:</w:t>
      </w:r>
    </w:p>
    <w:p w14:paraId="08D88FDF"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gravă, urticarie sau alte semne de reacţie alergică;</w:t>
      </w:r>
    </w:p>
    <w:p w14:paraId="77140785"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Umflare a feţei, a mâinilor, a picioarelor;</w:t>
      </w:r>
    </w:p>
    <w:p w14:paraId="56716B48"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Dificultăţi la respiraţie, la înghiţire;</w:t>
      </w:r>
    </w:p>
    <w:p w14:paraId="582D8DA2" w14:textId="77777777" w:rsidR="00C04CAD" w:rsidRDefault="00060E34">
      <w:pPr>
        <w:pStyle w:val="ListParagraph"/>
        <w:numPr>
          <w:ilvl w:val="0"/>
          <w:numId w:val="88"/>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Dificultate în respiraţie la efort sau în poziţie orizontală sau umflare a picioarelor.</w:t>
      </w:r>
    </w:p>
    <w:p w14:paraId="669F6FF1"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D966691"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Adresaţi-vă cât mai repede medicului dumneavoastră dacă observaţi oricare dintre următoarele manifestări:</w:t>
      </w:r>
    </w:p>
    <w:p w14:paraId="5DE97F5F"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Semne de infecţie cum sunt febră, stare de rău, răni, probleme dentare, senzaţie de arsură la urinare;</w:t>
      </w:r>
    </w:p>
    <w:p w14:paraId="61C85047"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Senzaţie de slăbiciune sau de oboseală;</w:t>
      </w:r>
    </w:p>
    <w:p w14:paraId="5CBC9BCB"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Tuse;</w:t>
      </w:r>
    </w:p>
    <w:p w14:paraId="4AB19915"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Furnicături;</w:t>
      </w:r>
    </w:p>
    <w:p w14:paraId="1A4A8868"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Amorţeală;</w:t>
      </w:r>
    </w:p>
    <w:p w14:paraId="385FC616"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Vedere dublă;</w:t>
      </w:r>
    </w:p>
    <w:p w14:paraId="4D3F1EB2"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Slăbiciune a mâinilor sau a picioarelor;</w:t>
      </w:r>
    </w:p>
    <w:p w14:paraId="0989714D" w14:textId="77777777" w:rsidR="00C04CAD" w:rsidRDefault="00060E34">
      <w:pPr>
        <w:pStyle w:val="ListParagraph"/>
        <w:keepNext/>
        <w:numPr>
          <w:ilvl w:val="0"/>
          <w:numId w:val="89"/>
        </w:numPr>
        <w:tabs>
          <w:tab w:val="clear" w:pos="567"/>
        </w:tabs>
        <w:kinsoku w:val="0"/>
        <w:overflowPunct w:val="0"/>
        <w:autoSpaceDE w:val="0"/>
        <w:autoSpaceDN w:val="0"/>
        <w:adjustRightInd w:val="0"/>
        <w:spacing w:line="240" w:lineRule="auto"/>
        <w:ind w:left="567"/>
      </w:pPr>
      <w:r>
        <w:rPr>
          <w:szCs w:val="22"/>
          <w:lang w:eastAsia="en-US" w:bidi="ar-SA"/>
        </w:rPr>
        <w:t xml:space="preserve">Semne ale cancerului de piele, cum sunt o </w:t>
      </w:r>
      <w:r>
        <w:t>inflamaţie sau o rană deschisă care nu se vindecă.</w:t>
      </w:r>
    </w:p>
    <w:p w14:paraId="78CC5A41" w14:textId="77777777" w:rsidR="00C04CAD" w:rsidRDefault="00060E34">
      <w:pPr>
        <w:pStyle w:val="ListParagraph"/>
        <w:numPr>
          <w:ilvl w:val="0"/>
          <w:numId w:val="89"/>
        </w:numPr>
        <w:tabs>
          <w:tab w:val="clear" w:pos="567"/>
        </w:tabs>
        <w:kinsoku w:val="0"/>
        <w:overflowPunct w:val="0"/>
        <w:autoSpaceDE w:val="0"/>
        <w:autoSpaceDN w:val="0"/>
        <w:adjustRightInd w:val="0"/>
        <w:spacing w:line="240" w:lineRule="auto"/>
        <w:ind w:left="567"/>
      </w:pPr>
      <w:r>
        <w:t>Semne şi simptome care sugerează tulburări sanguine cum sunt febră persistentă, vânătăi, sângerări, paloare.</w:t>
      </w:r>
    </w:p>
    <w:p w14:paraId="52AF7429" w14:textId="77777777" w:rsidR="00C04CAD" w:rsidRDefault="00C04CAD">
      <w:pPr>
        <w:tabs>
          <w:tab w:val="clear" w:pos="567"/>
        </w:tabs>
        <w:kinsoku w:val="0"/>
        <w:overflowPunct w:val="0"/>
        <w:autoSpaceDE w:val="0"/>
        <w:autoSpaceDN w:val="0"/>
        <w:adjustRightInd w:val="0"/>
        <w:spacing w:line="240" w:lineRule="auto"/>
      </w:pPr>
    </w:p>
    <w:p w14:paraId="30082F2C"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t xml:space="preserve">Simptomele descrise mai sus pot fi semne ale reacţiilor adverse enumerate mai jos, care au fost observate la administrarea </w:t>
      </w:r>
      <w:r>
        <w:rPr>
          <w:szCs w:val="22"/>
          <w:lang w:eastAsia="en-US" w:bidi="ar-SA"/>
        </w:rPr>
        <w:t>adalimumab.</w:t>
      </w:r>
    </w:p>
    <w:p w14:paraId="4506828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25C94856" w14:textId="77777777" w:rsidR="00C04CAD" w:rsidRDefault="00060E34">
      <w:pPr>
        <w:tabs>
          <w:tab w:val="clear" w:pos="567"/>
        </w:tabs>
        <w:kinsoku w:val="0"/>
        <w:overflowPunct w:val="0"/>
        <w:autoSpaceDE w:val="0"/>
        <w:autoSpaceDN w:val="0"/>
        <w:adjustRightInd w:val="0"/>
        <w:spacing w:line="240" w:lineRule="auto"/>
        <w:rPr>
          <w:b/>
          <w:szCs w:val="22"/>
          <w:lang w:eastAsia="en-US" w:bidi="ar-SA"/>
        </w:rPr>
      </w:pPr>
      <w:r>
        <w:rPr>
          <w:szCs w:val="22"/>
          <w:lang w:eastAsia="en-US" w:bidi="ar-SA"/>
        </w:rPr>
        <w:t>Foarte frecvente</w:t>
      </w:r>
      <w:r>
        <w:rPr>
          <w:b/>
          <w:szCs w:val="22"/>
          <w:lang w:eastAsia="en-US" w:bidi="ar-SA"/>
        </w:rPr>
        <w:t xml:space="preserve"> </w:t>
      </w:r>
      <w:r>
        <w:rPr>
          <w:szCs w:val="22"/>
          <w:lang w:eastAsia="en-US" w:bidi="ar-SA"/>
        </w:rPr>
        <w:t>(pot să apară la mai mult de 1 persoană din 10)</w:t>
      </w:r>
    </w:p>
    <w:p w14:paraId="35E8CAEF"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la locul administrării (inclusiv durere, umflare, roşeaţă sau mâncărimi);</w:t>
      </w:r>
    </w:p>
    <w:p w14:paraId="3EBDF570"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căilor respiratorii (inclusiv răceală, secreţii nazale, sinuzită, pneumonie);</w:t>
      </w:r>
    </w:p>
    <w:p w14:paraId="187D8F86"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de cap;</w:t>
      </w:r>
    </w:p>
    <w:p w14:paraId="23F7C63F"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abdominale;</w:t>
      </w:r>
    </w:p>
    <w:p w14:paraId="737D2C0F"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greaţă şi vărsături;</w:t>
      </w:r>
    </w:p>
    <w:p w14:paraId="24103F1A"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erupţie pe piele;</w:t>
      </w:r>
    </w:p>
    <w:p w14:paraId="1E518178" w14:textId="77777777" w:rsidR="00C04CAD" w:rsidRDefault="00060E34">
      <w:pPr>
        <w:pStyle w:val="ListParagraph"/>
        <w:numPr>
          <w:ilvl w:val="0"/>
          <w:numId w:val="90"/>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dureri musculare şi osoase.</w:t>
      </w:r>
    </w:p>
    <w:p w14:paraId="37E094D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DBAB11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w:t>
      </w:r>
      <w:r>
        <w:rPr>
          <w:b/>
          <w:szCs w:val="22"/>
          <w:lang w:eastAsia="en-US" w:bidi="ar-SA"/>
        </w:rPr>
        <w:t xml:space="preserve"> </w:t>
      </w:r>
      <w:r>
        <w:rPr>
          <w:szCs w:val="22"/>
          <w:lang w:eastAsia="en-US" w:bidi="ar-SA"/>
        </w:rPr>
        <w:t>(pot să apară până la 1 persoană din 10)</w:t>
      </w:r>
    </w:p>
    <w:p w14:paraId="3E283637"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grave (inclusiv septicemie şi gripă);</w:t>
      </w:r>
    </w:p>
    <w:p w14:paraId="27B4AFAD" w14:textId="77777777" w:rsidR="00C04CAD" w:rsidRDefault="00060E34">
      <w:pPr>
        <w:pStyle w:val="ListParagraph"/>
        <w:keepNext/>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t>infecții intestinale (inclusiv gastroenterită);</w:t>
      </w:r>
    </w:p>
    <w:p w14:paraId="59C4559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pielii (inclusiv celulită şi herpes zoster);</w:t>
      </w:r>
    </w:p>
    <w:p w14:paraId="5C136DB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urechii;</w:t>
      </w:r>
    </w:p>
    <w:p w14:paraId="7065281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gurii (inclusiv infecţii dentare şi abces rece);</w:t>
      </w:r>
    </w:p>
    <w:p w14:paraId="73BF40E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genital;</w:t>
      </w:r>
    </w:p>
    <w:p w14:paraId="0B29122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tractului urinar;</w:t>
      </w:r>
    </w:p>
    <w:p w14:paraId="41AABD0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cu ciuperci;</w:t>
      </w:r>
    </w:p>
    <w:p w14:paraId="4E22CBB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infecţii ale articulaţiilor;</w:t>
      </w:r>
    </w:p>
    <w:p w14:paraId="27ED6C2B"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tumori benigne;</w:t>
      </w:r>
    </w:p>
    <w:p w14:paraId="5A5B74C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cancer de piele;</w:t>
      </w:r>
    </w:p>
    <w:p w14:paraId="019CCBB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reacţii alergice (inclusiv alergii sezoniere);</w:t>
      </w:r>
    </w:p>
    <w:p w14:paraId="774107B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deshidratare;</w:t>
      </w:r>
    </w:p>
    <w:p w14:paraId="14D30E6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modificare a dispoziţiei (inclusiv depresie);</w:t>
      </w:r>
    </w:p>
    <w:p w14:paraId="7FDCF0C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anxietate;</w:t>
      </w:r>
    </w:p>
    <w:p w14:paraId="5A0D7D7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ale somnului;</w:t>
      </w:r>
    </w:p>
    <w:p w14:paraId="5294595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tulburări senzoriale cum sunt furnicături, înţepături sau amorţeli;</w:t>
      </w:r>
    </w:p>
    <w:p w14:paraId="203511A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migrenă;</w:t>
      </w:r>
    </w:p>
    <w:p w14:paraId="2EF3682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compresie a rădăcinii nervoase (inclusiv dureri joase de spate şi dureri de picioare);</w:t>
      </w:r>
    </w:p>
    <w:p w14:paraId="4AF0296A"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de vedere;</w:t>
      </w:r>
    </w:p>
    <w:p w14:paraId="7A71A1A5"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inflamaţie a ochilor;</w:t>
      </w:r>
    </w:p>
    <w:p w14:paraId="7453247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pleoapelor şi umflarea ochilor;</w:t>
      </w:r>
    </w:p>
    <w:p w14:paraId="34AB987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 xml:space="preserve">vertij </w:t>
      </w:r>
      <w:r>
        <w:rPr>
          <w:szCs w:val="22"/>
          <w:lang w:eastAsia="en-US" w:bidi="ar-SA"/>
        </w:rPr>
        <w:t>(senzație de amețeală sau că se învârte casa)</w:t>
      </w:r>
      <w:r>
        <w:t>;</w:t>
      </w:r>
    </w:p>
    <w:p w14:paraId="3604EAF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senzaţie că inima bate repede;</w:t>
      </w:r>
    </w:p>
    <w:p w14:paraId="75B6E87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tensiune arterială mare;</w:t>
      </w:r>
    </w:p>
    <w:p w14:paraId="0501C65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roşeaţă;</w:t>
      </w:r>
    </w:p>
    <w:p w14:paraId="3022199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hematom;</w:t>
      </w:r>
    </w:p>
    <w:p w14:paraId="273BD174"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tuse;</w:t>
      </w:r>
    </w:p>
    <w:p w14:paraId="3CDF19B2"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astm bronșic;</w:t>
      </w:r>
    </w:p>
    <w:p w14:paraId="55E9913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scurtare a respiraţiei;</w:t>
      </w:r>
    </w:p>
    <w:p w14:paraId="7C75A74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sângerări gastro-intestinale;</w:t>
      </w:r>
    </w:p>
    <w:p w14:paraId="489E3723"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dispepsie (indigestie, balonare, arsuri);</w:t>
      </w:r>
    </w:p>
    <w:p w14:paraId="78B6215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boală de reflux a acidului gastric;</w:t>
      </w:r>
    </w:p>
    <w:p w14:paraId="7E29E875"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sindrom sicca (inclusiv ochi uscaţi şi gură uscată);</w:t>
      </w:r>
    </w:p>
    <w:p w14:paraId="28C7D96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mâncărime;</w:t>
      </w:r>
    </w:p>
    <w:p w14:paraId="15EBF28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erupţie însoțită de mâncărime;</w:t>
      </w:r>
    </w:p>
    <w:p w14:paraId="17C2E72D"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vânătăi;</w:t>
      </w:r>
    </w:p>
    <w:p w14:paraId="2B2B788C"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inflamaţii ale pielii (ca de exemplu eczemă);</w:t>
      </w:r>
    </w:p>
    <w:p w14:paraId="3DBC6C79"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rupere a unghiilor degetelor de la mâini şi picioare;</w:t>
      </w:r>
    </w:p>
    <w:p w14:paraId="009A411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transpiraţii abundente;</w:t>
      </w:r>
    </w:p>
    <w:p w14:paraId="38BFCEB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cădere a părului;</w:t>
      </w:r>
    </w:p>
    <w:p w14:paraId="316B427E"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apariţie de leziuni noi sau agravare a psoriazisului;</w:t>
      </w:r>
    </w:p>
    <w:p w14:paraId="7AE29730"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spasme musculare;</w:t>
      </w:r>
    </w:p>
    <w:p w14:paraId="61CF0E36"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sânge în urină;</w:t>
      </w:r>
    </w:p>
    <w:p w14:paraId="5F611E8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rinichilor;</w:t>
      </w:r>
    </w:p>
    <w:p w14:paraId="2BDD3D58"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dureri în piept;</w:t>
      </w:r>
    </w:p>
    <w:p w14:paraId="61872F0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edem;</w:t>
      </w:r>
    </w:p>
    <w:p w14:paraId="1A254757"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febră;</w:t>
      </w:r>
    </w:p>
    <w:p w14:paraId="232E95DF"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scăderea numărului de trombocite care duce la creşterea riscului de sângerare sau de apariţie a vânătăilor;</w:t>
      </w:r>
    </w:p>
    <w:p w14:paraId="4D384781" w14:textId="77777777" w:rsidR="00C04CAD" w:rsidRDefault="00060E34">
      <w:pPr>
        <w:pStyle w:val="ListParagraph"/>
        <w:numPr>
          <w:ilvl w:val="0"/>
          <w:numId w:val="91"/>
        </w:numPr>
        <w:tabs>
          <w:tab w:val="clear" w:pos="567"/>
        </w:tabs>
        <w:kinsoku w:val="0"/>
        <w:overflowPunct w:val="0"/>
        <w:autoSpaceDE w:val="0"/>
        <w:autoSpaceDN w:val="0"/>
        <w:adjustRightInd w:val="0"/>
        <w:spacing w:line="240" w:lineRule="auto"/>
        <w:ind w:left="567"/>
      </w:pPr>
      <w:r>
        <w:t>tulburări ale vindecării.</w:t>
      </w:r>
    </w:p>
    <w:p w14:paraId="031C0240" w14:textId="77777777" w:rsidR="00C04CAD" w:rsidRDefault="00C04CAD">
      <w:pPr>
        <w:tabs>
          <w:tab w:val="clear" w:pos="567"/>
        </w:tabs>
        <w:kinsoku w:val="0"/>
        <w:overflowPunct w:val="0"/>
        <w:autoSpaceDE w:val="0"/>
        <w:autoSpaceDN w:val="0"/>
        <w:adjustRightInd w:val="0"/>
        <w:spacing w:line="240" w:lineRule="auto"/>
      </w:pPr>
    </w:p>
    <w:p w14:paraId="648EF151" w14:textId="77777777" w:rsidR="00C04CAD" w:rsidRDefault="00060E34">
      <w:pPr>
        <w:tabs>
          <w:tab w:val="clear" w:pos="567"/>
        </w:tabs>
        <w:kinsoku w:val="0"/>
        <w:overflowPunct w:val="0"/>
        <w:autoSpaceDE w:val="0"/>
        <w:autoSpaceDN w:val="0"/>
        <w:adjustRightInd w:val="0"/>
        <w:spacing w:line="240" w:lineRule="auto"/>
        <w:rPr>
          <w:b/>
        </w:rPr>
      </w:pPr>
      <w:r>
        <w:rPr>
          <w:szCs w:val="22"/>
          <w:lang w:eastAsia="en-US" w:bidi="ar-SA"/>
        </w:rPr>
        <w:t>Mai puţin frecvente</w:t>
      </w:r>
      <w:r>
        <w:rPr>
          <w:b/>
          <w:szCs w:val="22"/>
          <w:lang w:eastAsia="en-US" w:bidi="ar-SA"/>
        </w:rPr>
        <w:t xml:space="preserve"> </w:t>
      </w:r>
      <w:r>
        <w:rPr>
          <w:szCs w:val="22"/>
          <w:lang w:eastAsia="en-US" w:bidi="ar-SA"/>
        </w:rPr>
        <w:t>(pot să apară până la 1 persoană din 100)</w:t>
      </w:r>
    </w:p>
    <w:p w14:paraId="5ACCA6BD"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oportuniste (care includ tuberculoză şi alte infecţii care apar atunci când rezistenţa organismului la boli este scăzută);</w:t>
      </w:r>
    </w:p>
    <w:p w14:paraId="78258A3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neurologice (inclusiv meningită virală);</w:t>
      </w:r>
    </w:p>
    <w:p w14:paraId="5334F703"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ale ochilor;</w:t>
      </w:r>
    </w:p>
    <w:p w14:paraId="31F5186A"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infecţii bacteriene;</w:t>
      </w:r>
    </w:p>
    <w:p w14:paraId="22B66AA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diverticulită (inflamaţie şi infecţie a intestinului gros);</w:t>
      </w:r>
    </w:p>
    <w:p w14:paraId="4B277CB0"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cancer</w:t>
      </w:r>
      <w:r>
        <w:rPr>
          <w:szCs w:val="22"/>
          <w:lang w:eastAsia="en-US" w:bidi="ar-SA"/>
        </w:rPr>
        <w:t>, inclusiv cancer care afectează sistemul limfatic (limfom) și melanom (cancer de piele)</w:t>
      </w:r>
      <w:r>
        <w:t>;</w:t>
      </w:r>
    </w:p>
    <w:p w14:paraId="44E73FD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ale sistemului imunitar care ar putea afecta plămânii, pielea şi ganglionii limfatici (cel mai frecvent se prezintă ca sarcoidoză);</w:t>
      </w:r>
    </w:p>
    <w:p w14:paraId="76899F2E"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vasculită (inflamaţie a vaselor de sânge);</w:t>
      </w:r>
    </w:p>
    <w:p w14:paraId="18AC93C3"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tremor;</w:t>
      </w:r>
    </w:p>
    <w:p w14:paraId="2FAD509F"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neuropatie;</w:t>
      </w:r>
    </w:p>
    <w:p w14:paraId="26FAA0C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accident vascular cerebral;</w:t>
      </w:r>
    </w:p>
    <w:p w14:paraId="77F5E068"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pierdere a auzului, zgomote în urechi;</w:t>
      </w:r>
    </w:p>
    <w:p w14:paraId="2EAEDCE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senzaţie că bătăile inimii sunt neregulate, ca de exemplu lipsa unei bătăi;</w:t>
      </w:r>
    </w:p>
    <w:p w14:paraId="055CA18C"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tulburări cardiace care pot determina scurtare a respiraţiei sau umflare a gleznelor;</w:t>
      </w:r>
    </w:p>
    <w:p w14:paraId="4DAE2A5C"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infarct miocardic;</w:t>
      </w:r>
    </w:p>
    <w:p w14:paraId="2D9BF599"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dilatare a peretelui unei artere importante, inflamaţie a unei vene şi cheag pe venă, obstrucţie a unui vas de sânge;</w:t>
      </w:r>
    </w:p>
    <w:p w14:paraId="5329B0D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boli pulmonare care determină scurtare a respiraţiei (inclusiv inflamaţii);</w:t>
      </w:r>
    </w:p>
    <w:p w14:paraId="017131A6"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embolie pulmonară (blocaj al unei artere pulmonare);</w:t>
      </w:r>
    </w:p>
    <w:p w14:paraId="6E8A5A1C"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revărsat pleural (acumulare anormală de lichid în spaţiul pleural);</w:t>
      </w:r>
    </w:p>
    <w:p w14:paraId="4CAFD5D7"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pancreatită care determină durere puternică abdominală şi de spate;</w:t>
      </w:r>
    </w:p>
    <w:p w14:paraId="10AB6D4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dificultate la înghiţire;</w:t>
      </w:r>
    </w:p>
    <w:p w14:paraId="1B8B096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edem al feţei;</w:t>
      </w:r>
    </w:p>
    <w:p w14:paraId="3FF50731"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inflamaţii ale veziculei biliare, pietre în vezicula biliară;</w:t>
      </w:r>
    </w:p>
    <w:p w14:paraId="3621BAE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ficat gras;</w:t>
      </w:r>
    </w:p>
    <w:p w14:paraId="470C9439"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pPr>
      <w:r>
        <w:t>transpiraţii nocturne;</w:t>
      </w:r>
    </w:p>
    <w:p w14:paraId="489F3A27"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cicatrice;</w:t>
      </w:r>
    </w:p>
    <w:p w14:paraId="1F86D624"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oboseală musculară neobişnuită;</w:t>
      </w:r>
    </w:p>
    <w:p w14:paraId="12D1F31B"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lupus eritematos sistemic (inclusiv inflamaţie a pielii, inimii, plămânului, articulaţiilor şi a altor organe);</w:t>
      </w:r>
    </w:p>
    <w:p w14:paraId="1B6805FD"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întreruperi ale somnului;</w:t>
      </w:r>
    </w:p>
    <w:p w14:paraId="00BA70B6" w14:textId="77777777" w:rsidR="00C04CAD" w:rsidRDefault="00060E34">
      <w:pPr>
        <w:pStyle w:val="ListParagraph"/>
        <w:keepNext/>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impotenţă;</w:t>
      </w:r>
    </w:p>
    <w:p w14:paraId="0B82B9A2" w14:textId="77777777" w:rsidR="00C04CAD" w:rsidRDefault="00060E34">
      <w:pPr>
        <w:pStyle w:val="ListParagraph"/>
        <w:numPr>
          <w:ilvl w:val="0"/>
          <w:numId w:val="92"/>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inflamaţii.</w:t>
      </w:r>
    </w:p>
    <w:p w14:paraId="31182238"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5E57D53" w14:textId="77777777" w:rsidR="00C04CAD" w:rsidRDefault="00060E34">
      <w:pPr>
        <w:keepNext/>
        <w:tabs>
          <w:tab w:val="clear" w:pos="567"/>
        </w:tabs>
        <w:kinsoku w:val="0"/>
        <w:overflowPunct w:val="0"/>
        <w:autoSpaceDE w:val="0"/>
        <w:autoSpaceDN w:val="0"/>
        <w:adjustRightInd w:val="0"/>
        <w:spacing w:line="240" w:lineRule="auto"/>
        <w:rPr>
          <w:b/>
        </w:rPr>
      </w:pPr>
      <w:r>
        <w:rPr>
          <w:szCs w:val="22"/>
          <w:lang w:eastAsia="en-US" w:bidi="ar-SA"/>
        </w:rPr>
        <w:t>Rare</w:t>
      </w:r>
      <w:r>
        <w:rPr>
          <w:b/>
          <w:szCs w:val="22"/>
          <w:lang w:eastAsia="en-US" w:bidi="ar-SA"/>
        </w:rPr>
        <w:t xml:space="preserve"> </w:t>
      </w:r>
      <w:r>
        <w:rPr>
          <w:szCs w:val="22"/>
          <w:lang w:eastAsia="en-US" w:bidi="ar-SA"/>
        </w:rPr>
        <w:t>(pot să apară până la 1 persoană din 1 000)</w:t>
      </w:r>
    </w:p>
    <w:p w14:paraId="5005931C"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leucemie (cancer care afectează sângele şi măduva osoasă);</w:t>
      </w:r>
    </w:p>
    <w:p w14:paraId="00E972FA"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reacţii alergice severe însoţite de şoc;</w:t>
      </w:r>
    </w:p>
    <w:p w14:paraId="16EC9BDE"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scleroză multiplă;</w:t>
      </w:r>
    </w:p>
    <w:p w14:paraId="0E244C39"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tulburări nervoase (ca de exemplu inflamaţie a nervilor optici şi sindrom Guillain-Barré care poate determina slăbiciune musculară, senzaţii anormale, furnicături la nivelul braţelor şi a părţii superioare a corpului);</w:t>
      </w:r>
    </w:p>
    <w:p w14:paraId="218CEB02"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oprire a pompării sângelui de către inimă;</w:t>
      </w:r>
    </w:p>
    <w:p w14:paraId="362061B7"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fibroză pulmonară (cicatrizare a plămânului).</w:t>
      </w:r>
    </w:p>
    <w:p w14:paraId="13516B3C"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 xml:space="preserve">perforaţie intestinală </w:t>
      </w:r>
      <w:r>
        <w:rPr>
          <w:szCs w:val="22"/>
          <w:lang w:eastAsia="en-US" w:bidi="ar-SA"/>
        </w:rPr>
        <w:t>(gaură în peretele intestinului)</w:t>
      </w:r>
      <w:r>
        <w:t>;</w:t>
      </w:r>
    </w:p>
    <w:p w14:paraId="358B8C0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(inflamația ficatului);</w:t>
      </w:r>
    </w:p>
    <w:p w14:paraId="4586C679"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reactivare a hepatitei B;</w:t>
      </w:r>
    </w:p>
    <w:p w14:paraId="5E78EE11"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hepatită autoimună (inflamaţie a ficatului cauzată de propriul sistem imunitar);</w:t>
      </w:r>
    </w:p>
    <w:p w14:paraId="6051E168"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vasculită cutanată (inflamaţie a vaselor de sânge de la nivelul pielii);</w:t>
      </w:r>
    </w:p>
    <w:p w14:paraId="40414DD0"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Stevens-Johnson (</w:t>
      </w:r>
      <w:r>
        <w:rPr>
          <w:szCs w:val="22"/>
          <w:lang w:eastAsia="en-US" w:bidi="ar-SA"/>
        </w:rPr>
        <w:t>reacție care poate pune viața în pericol, cu simptome asemănătoare gripei și erupții cu vezicule);</w:t>
      </w:r>
    </w:p>
    <w:p w14:paraId="24530825"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edem al feţei asociat cu reacţii alergice;</w:t>
      </w:r>
    </w:p>
    <w:p w14:paraId="206C3648"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eritem polimorf (erupţie inflamatorie pe piele);</w:t>
      </w:r>
    </w:p>
    <w:p w14:paraId="726B1C87" w14:textId="77777777" w:rsidR="00C04CAD" w:rsidRDefault="00060E34">
      <w:pPr>
        <w:pStyle w:val="ListParagraph"/>
        <w:numPr>
          <w:ilvl w:val="0"/>
          <w:numId w:val="93"/>
        </w:numPr>
        <w:tabs>
          <w:tab w:val="clear" w:pos="567"/>
        </w:tabs>
        <w:kinsoku w:val="0"/>
        <w:overflowPunct w:val="0"/>
        <w:autoSpaceDE w:val="0"/>
        <w:autoSpaceDN w:val="0"/>
        <w:adjustRightInd w:val="0"/>
        <w:spacing w:line="240" w:lineRule="auto"/>
        <w:ind w:left="567"/>
      </w:pPr>
      <w:r>
        <w:t>sindrom asemănător lupusului ;</w:t>
      </w:r>
    </w:p>
    <w:p w14:paraId="123265FA" w14:textId="77777777" w:rsidR="00C04CAD" w:rsidRDefault="00060E34">
      <w:pPr>
        <w:pStyle w:val="EMEANormal"/>
        <w:numPr>
          <w:ilvl w:val="0"/>
          <w:numId w:val="93"/>
        </w:numPr>
        <w:tabs>
          <w:tab w:val="clear" w:pos="562"/>
        </w:tabs>
        <w:ind w:left="567" w:hanging="567"/>
        <w:rPr>
          <w:szCs w:val="22"/>
          <w:lang w:val="ro-RO"/>
        </w:rPr>
      </w:pPr>
      <w:r>
        <w:rPr>
          <w:szCs w:val="22"/>
          <w:lang w:val="ro-RO"/>
        </w:rPr>
        <w:t>angioedem (umflare localizată a pielii)</w:t>
      </w:r>
    </w:p>
    <w:p w14:paraId="327ECFE8" w14:textId="77777777" w:rsidR="00C04CAD" w:rsidRDefault="00060E34">
      <w:pPr>
        <w:pStyle w:val="EMEANormal"/>
        <w:numPr>
          <w:ilvl w:val="0"/>
          <w:numId w:val="93"/>
        </w:numPr>
        <w:tabs>
          <w:tab w:val="clear" w:pos="562"/>
        </w:tabs>
        <w:ind w:left="567" w:hanging="567"/>
        <w:rPr>
          <w:szCs w:val="22"/>
          <w:lang w:val="ro-RO"/>
        </w:rPr>
      </w:pPr>
      <w:r>
        <w:rPr>
          <w:szCs w:val="22"/>
          <w:lang w:val="ro-RO"/>
        </w:rPr>
        <w:t>reacție</w:t>
      </w:r>
      <w:r>
        <w:rPr>
          <w:lang w:val="ro-RO"/>
        </w:rPr>
        <w:t xml:space="preserve"> pe piele de tip lichenoid (erupție roșiatică-purpurie pe piele care produce mâncărime)</w:t>
      </w:r>
      <w:r>
        <w:rPr>
          <w:szCs w:val="22"/>
          <w:lang w:val="ro-RO"/>
        </w:rPr>
        <w:t>.</w:t>
      </w:r>
    </w:p>
    <w:p w14:paraId="45FAD7F0" w14:textId="77777777" w:rsidR="00C04CAD" w:rsidRDefault="00C04CAD">
      <w:pPr>
        <w:tabs>
          <w:tab w:val="clear" w:pos="567"/>
        </w:tabs>
        <w:kinsoku w:val="0"/>
        <w:overflowPunct w:val="0"/>
        <w:autoSpaceDE w:val="0"/>
        <w:autoSpaceDN w:val="0"/>
        <w:adjustRightInd w:val="0"/>
        <w:spacing w:line="240" w:lineRule="auto"/>
      </w:pPr>
    </w:p>
    <w:p w14:paraId="433AF82A" w14:textId="77777777" w:rsidR="00C04CAD" w:rsidRDefault="00060E34">
      <w:pPr>
        <w:keepNext/>
        <w:tabs>
          <w:tab w:val="clear" w:pos="567"/>
        </w:tabs>
        <w:kinsoku w:val="0"/>
        <w:overflowPunct w:val="0"/>
        <w:autoSpaceDE w:val="0"/>
        <w:autoSpaceDN w:val="0"/>
        <w:adjustRightInd w:val="0"/>
        <w:spacing w:line="240" w:lineRule="auto"/>
      </w:pPr>
      <w:r>
        <w:t>Cu frecvență necunoscută (frecvenţa nu poate fi estimată din datele disponibile)</w:t>
      </w:r>
    </w:p>
    <w:p w14:paraId="484F4544"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limfom hepatosplenic cu celule T (o formă rară de cancer al sângelui care de obicei are rezultat letal);</w:t>
      </w:r>
    </w:p>
    <w:p w14:paraId="24210BA9"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carcinom cu celule Merkel (un tip de cancer de piele);</w:t>
      </w:r>
    </w:p>
    <w:p w14:paraId="22C91096"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sarcom Kaposi, un cancer rar asociat infecției cu virusul herpetic uman 8. Sarcomul Kaposi se manifestă cel mai frecvent sub formă de leziuni vineții pe piele;</w:t>
      </w:r>
    </w:p>
    <w:p w14:paraId="168E1B31"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insuficienţă hepatică;</w:t>
      </w:r>
    </w:p>
    <w:p w14:paraId="64B5F254"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agravare a unei afecţiuni numită dermatomiozită (descrisă ca o erupţie pe piele însoţită de slăbiciune musculară);</w:t>
      </w:r>
    </w:p>
    <w:p w14:paraId="331E5DF4" w14:textId="77777777" w:rsidR="00C04CAD" w:rsidRDefault="00060E34">
      <w:pPr>
        <w:pStyle w:val="ListParagraph"/>
        <w:numPr>
          <w:ilvl w:val="0"/>
          <w:numId w:val="94"/>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creștere în greutate (pentru majoritatea pacienților, creșterea în greutate a fost mică).</w:t>
      </w:r>
    </w:p>
    <w:p w14:paraId="2F07208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F778813"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Unele reacţii adverse observate la adalimumab nu au fost însoţite de simptome şi pot fi detectate numai prin teste de laborator. Acestea includ:</w:t>
      </w:r>
    </w:p>
    <w:p w14:paraId="67AC211C" w14:textId="77777777" w:rsidR="00C04CAD" w:rsidRDefault="00C04CAD">
      <w:pPr>
        <w:tabs>
          <w:tab w:val="clear" w:pos="567"/>
        </w:tabs>
        <w:kinsoku w:val="0"/>
        <w:overflowPunct w:val="0"/>
        <w:autoSpaceDE w:val="0"/>
        <w:autoSpaceDN w:val="0"/>
        <w:adjustRightInd w:val="0"/>
        <w:spacing w:line="240" w:lineRule="auto"/>
        <w:rPr>
          <w:b/>
          <w:szCs w:val="22"/>
          <w:lang w:eastAsia="en-US" w:bidi="ar-SA"/>
        </w:rPr>
      </w:pPr>
    </w:p>
    <w:p w14:paraId="517F11B4"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Foarte frecvente</w:t>
      </w:r>
      <w:r>
        <w:rPr>
          <w:b/>
          <w:szCs w:val="22"/>
          <w:lang w:eastAsia="en-US" w:bidi="ar-SA"/>
        </w:rPr>
        <w:t xml:space="preserve"> </w:t>
      </w:r>
      <w:r>
        <w:rPr>
          <w:szCs w:val="22"/>
          <w:lang w:eastAsia="en-US" w:bidi="ar-SA"/>
        </w:rPr>
        <w:t>(pot să apară la mai mult de 1 persoană din 10)</w:t>
      </w:r>
    </w:p>
    <w:p w14:paraId="12D6FAC3"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celule albe în sânge;</w:t>
      </w:r>
    </w:p>
    <w:p w14:paraId="5C5ED28B"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celule roşii în sânge;</w:t>
      </w:r>
    </w:p>
    <w:p w14:paraId="3CC0182E"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concentrațiilor grăsimilor în sânge;</w:t>
      </w:r>
    </w:p>
    <w:p w14:paraId="306C75F4" w14:textId="77777777" w:rsidR="00C04CAD" w:rsidRDefault="00060E34">
      <w:pPr>
        <w:pStyle w:val="ListParagraph"/>
        <w:numPr>
          <w:ilvl w:val="0"/>
          <w:numId w:val="95"/>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valorilor enzimelor hepatice.</w:t>
      </w:r>
    </w:p>
    <w:p w14:paraId="4BF5D1E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0836B7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Frecvente</w:t>
      </w:r>
      <w:r>
        <w:rPr>
          <w:b/>
          <w:szCs w:val="22"/>
          <w:lang w:eastAsia="en-US" w:bidi="ar-SA"/>
        </w:rPr>
        <w:t xml:space="preserve"> </w:t>
      </w:r>
      <w:r>
        <w:rPr>
          <w:szCs w:val="22"/>
          <w:lang w:eastAsia="en-US" w:bidi="ar-SA"/>
        </w:rPr>
        <w:t>(pot să apară până la 1 persoană din 10)</w:t>
      </w:r>
    </w:p>
    <w:p w14:paraId="3CBE32BC"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numărului de celule albe în sânge;</w:t>
      </w:r>
    </w:p>
    <w:p w14:paraId="67AD17DB"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numărului de trombocite în sânge;</w:t>
      </w:r>
    </w:p>
    <w:p w14:paraId="76792A49"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acidului uric în sânge;</w:t>
      </w:r>
    </w:p>
    <w:p w14:paraId="21582AC8"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valori modificate ale sodiului în sânge;</w:t>
      </w:r>
    </w:p>
    <w:p w14:paraId="4E6E02A9"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valorii calciului în sânge;</w:t>
      </w:r>
    </w:p>
    <w:p w14:paraId="6D68FC96"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scădere a valorii fosforului în sânge;</w:t>
      </w:r>
    </w:p>
    <w:p w14:paraId="6FAEF59C"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zahărului în sânge;</w:t>
      </w:r>
    </w:p>
    <w:p w14:paraId="261149E6" w14:textId="77777777" w:rsidR="00C04CAD" w:rsidRDefault="00060E34">
      <w:pPr>
        <w:pStyle w:val="ListParagraph"/>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creştere a valorilor lactat dehidrogenazei în sânge;</w:t>
      </w:r>
    </w:p>
    <w:p w14:paraId="004CC983" w14:textId="77777777" w:rsidR="00C04CAD" w:rsidRDefault="00060E34">
      <w:pPr>
        <w:pStyle w:val="ListParagraph"/>
        <w:keepNext/>
        <w:numPr>
          <w:ilvl w:val="0"/>
          <w:numId w:val="96"/>
        </w:numPr>
        <w:tabs>
          <w:tab w:val="clear" w:pos="567"/>
        </w:tabs>
        <w:kinsoku w:val="0"/>
        <w:overflowPunct w:val="0"/>
        <w:autoSpaceDE w:val="0"/>
        <w:autoSpaceDN w:val="0"/>
        <w:adjustRightInd w:val="0"/>
        <w:spacing w:line="240" w:lineRule="auto"/>
        <w:ind w:left="567"/>
        <w:rPr>
          <w:szCs w:val="22"/>
          <w:lang w:eastAsia="en-US" w:bidi="ar-SA"/>
        </w:rPr>
      </w:pPr>
      <w:r>
        <w:rPr>
          <w:szCs w:val="22"/>
          <w:lang w:eastAsia="en-US" w:bidi="ar-SA"/>
        </w:rPr>
        <w:t>prezenţa autoanticorpilor în sânge;</w:t>
      </w:r>
    </w:p>
    <w:p w14:paraId="1CDB489C" w14:textId="77777777" w:rsidR="00C04CAD" w:rsidRDefault="00060E34">
      <w:pPr>
        <w:numPr>
          <w:ilvl w:val="0"/>
          <w:numId w:val="96"/>
        </w:numPr>
        <w:kinsoku w:val="0"/>
        <w:overflowPunct w:val="0"/>
        <w:autoSpaceDE w:val="0"/>
        <w:autoSpaceDN w:val="0"/>
        <w:adjustRightInd w:val="0"/>
        <w:spacing w:line="240" w:lineRule="auto"/>
        <w:ind w:left="720" w:hanging="720"/>
        <w:contextualSpacing/>
      </w:pPr>
      <w:r>
        <w:t>scăderea valorii potasiului în sânge.</w:t>
      </w:r>
    </w:p>
    <w:p w14:paraId="237D4DFC"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9257F16" w14:textId="77777777" w:rsidR="00C04CAD" w:rsidRDefault="00060E34">
      <w:pPr>
        <w:keepNext/>
        <w:kinsoku w:val="0"/>
        <w:overflowPunct w:val="0"/>
        <w:autoSpaceDE w:val="0"/>
        <w:autoSpaceDN w:val="0"/>
        <w:adjustRightInd w:val="0"/>
        <w:spacing w:line="240" w:lineRule="auto"/>
        <w:ind w:left="567" w:hanging="567"/>
      </w:pPr>
      <w:r>
        <w:t>Mai puțin frecvente</w:t>
      </w:r>
      <w:r>
        <w:rPr>
          <w:b/>
        </w:rPr>
        <w:t xml:space="preserve"> </w:t>
      </w:r>
      <w:r>
        <w:t>(pot să apară până la 1 persoană din 100)</w:t>
      </w:r>
    </w:p>
    <w:p w14:paraId="4E892DDB" w14:textId="77777777" w:rsidR="00C04CAD" w:rsidRDefault="00060E34">
      <w:pPr>
        <w:pStyle w:val="ListParagraph"/>
        <w:numPr>
          <w:ilvl w:val="0"/>
          <w:numId w:val="97"/>
        </w:numPr>
        <w:tabs>
          <w:tab w:val="clear" w:pos="567"/>
        </w:tabs>
        <w:kinsoku w:val="0"/>
        <w:overflowPunct w:val="0"/>
        <w:autoSpaceDE w:val="0"/>
        <w:autoSpaceDN w:val="0"/>
        <w:adjustRightInd w:val="0"/>
        <w:spacing w:line="240" w:lineRule="auto"/>
        <w:ind w:left="567" w:hanging="567"/>
        <w:rPr>
          <w:szCs w:val="22"/>
          <w:lang w:eastAsia="en-US" w:bidi="ar-SA"/>
        </w:rPr>
      </w:pPr>
      <w:r>
        <w:t>creștere a valorii bilirubinei în sânge (un test de sânge a funcției ficatului).</w:t>
      </w:r>
    </w:p>
    <w:p w14:paraId="7FB1139B" w14:textId="77777777" w:rsidR="00C04CAD" w:rsidRDefault="00C04CAD">
      <w:pPr>
        <w:pStyle w:val="ListParagraph"/>
        <w:tabs>
          <w:tab w:val="clear" w:pos="567"/>
        </w:tabs>
        <w:kinsoku w:val="0"/>
        <w:overflowPunct w:val="0"/>
        <w:autoSpaceDE w:val="0"/>
        <w:autoSpaceDN w:val="0"/>
        <w:adjustRightInd w:val="0"/>
        <w:spacing w:line="240" w:lineRule="auto"/>
        <w:ind w:left="0"/>
        <w:rPr>
          <w:szCs w:val="22"/>
          <w:lang w:eastAsia="en-US" w:bidi="ar-SA"/>
        </w:rPr>
      </w:pPr>
    </w:p>
    <w:p w14:paraId="474A1479"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Rare (pot să apară până la 1 persoană din 1 000)</w:t>
      </w:r>
    </w:p>
    <w:p w14:paraId="000046D8" w14:textId="77777777" w:rsidR="00C04CAD" w:rsidRDefault="00060E34">
      <w:pPr>
        <w:pStyle w:val="ListParagraph"/>
        <w:numPr>
          <w:ilvl w:val="0"/>
          <w:numId w:val="70"/>
        </w:numPr>
        <w:tabs>
          <w:tab w:val="clear" w:pos="567"/>
        </w:tabs>
        <w:kinsoku w:val="0"/>
        <w:overflowPunct w:val="0"/>
        <w:autoSpaceDE w:val="0"/>
        <w:autoSpaceDN w:val="0"/>
        <w:adjustRightInd w:val="0"/>
        <w:spacing w:line="240" w:lineRule="auto"/>
        <w:ind w:left="567" w:hanging="567"/>
        <w:rPr>
          <w:szCs w:val="22"/>
          <w:lang w:eastAsia="en-US" w:bidi="ar-SA"/>
        </w:rPr>
      </w:pPr>
      <w:r>
        <w:rPr>
          <w:szCs w:val="22"/>
          <w:lang w:eastAsia="en-US" w:bidi="ar-SA"/>
        </w:rPr>
        <w:t>scădere a numărului de celule albe, celule roşii şi de trombocite în sânge.</w:t>
      </w:r>
    </w:p>
    <w:p w14:paraId="25AA7AA0" w14:textId="77777777" w:rsidR="00C04CAD" w:rsidRDefault="00C04CAD">
      <w:pPr>
        <w:kinsoku w:val="0"/>
        <w:overflowPunct w:val="0"/>
        <w:autoSpaceDE w:val="0"/>
        <w:autoSpaceDN w:val="0"/>
        <w:adjustRightInd w:val="0"/>
        <w:spacing w:line="240" w:lineRule="auto"/>
        <w:rPr>
          <w:szCs w:val="22"/>
          <w:lang w:eastAsia="en-US" w:bidi="ar-SA"/>
        </w:rPr>
      </w:pPr>
    </w:p>
    <w:p w14:paraId="182F21C6" w14:textId="77777777" w:rsidR="00C04CAD" w:rsidRDefault="00060E34">
      <w:pPr>
        <w:keepNext/>
        <w:kinsoku w:val="0"/>
        <w:overflowPunct w:val="0"/>
        <w:autoSpaceDE w:val="0"/>
        <w:autoSpaceDN w:val="0"/>
        <w:adjustRightInd w:val="0"/>
        <w:spacing w:line="240" w:lineRule="auto"/>
        <w:rPr>
          <w:b/>
        </w:rPr>
      </w:pPr>
      <w:r>
        <w:rPr>
          <w:b/>
        </w:rPr>
        <w:t>Raportarea reacţiilor adverse</w:t>
      </w:r>
    </w:p>
    <w:p w14:paraId="632F5B6E" w14:textId="77777777" w:rsidR="00C04CAD" w:rsidRDefault="00C04CAD">
      <w:pPr>
        <w:keepNext/>
        <w:tabs>
          <w:tab w:val="clear" w:pos="567"/>
        </w:tabs>
        <w:kinsoku w:val="0"/>
        <w:overflowPunct w:val="0"/>
        <w:autoSpaceDE w:val="0"/>
        <w:autoSpaceDN w:val="0"/>
        <w:adjustRightInd w:val="0"/>
        <w:spacing w:line="240" w:lineRule="auto"/>
      </w:pPr>
    </w:p>
    <w:p w14:paraId="2AD37523" w14:textId="77777777" w:rsidR="00C04CAD" w:rsidRDefault="00060E34">
      <w:pPr>
        <w:tabs>
          <w:tab w:val="clear" w:pos="567"/>
        </w:tabs>
        <w:kinsoku w:val="0"/>
        <w:overflowPunct w:val="0"/>
        <w:autoSpaceDE w:val="0"/>
        <w:autoSpaceDN w:val="0"/>
        <w:adjustRightInd w:val="0"/>
        <w:spacing w:line="240" w:lineRule="auto"/>
        <w:rPr>
          <w:color w:val="000000"/>
        </w:rPr>
      </w:pPr>
      <w:r>
        <w:t>Dacă manifestați orice reacții adverse, adresați-vă medicului dumneavoastră sau farmacistului. Acestea includ orice posibile reacţii adverse nemenţionate în acest prospect.</w:t>
      </w:r>
      <w:r>
        <w:rPr>
          <w:szCs w:val="22"/>
          <w:lang w:eastAsia="en-US" w:bidi="ar-SA"/>
        </w:rPr>
        <w:t xml:space="preserve"> De asemenea, puteţi raporta reacţiile adverse direct prin intermediul </w:t>
      </w:r>
      <w:r>
        <w:rPr>
          <w:szCs w:val="22"/>
          <w:highlight w:val="lightGray"/>
          <w:lang w:eastAsia="en-US" w:bidi="ar-SA"/>
        </w:rPr>
        <w:t xml:space="preserve">sistemul naţional de raportare, aşa cum este menţionat în </w:t>
      </w:r>
      <w:hyperlink r:id="rId93">
        <w:r w:rsidR="00C04CAD">
          <w:rPr>
            <w:rStyle w:val="Hyperlink"/>
            <w:highlight w:val="lightGray"/>
            <w:shd w:val="clear" w:color="auto" w:fill="D0CECE"/>
          </w:rPr>
          <w:t>Anexa V</w:t>
        </w:r>
      </w:hyperlink>
      <w:r>
        <w:rPr>
          <w:color w:val="000000"/>
          <w:szCs w:val="22"/>
          <w:lang w:eastAsia="en-US" w:bidi="ar-SA"/>
        </w:rPr>
        <w:t>.</w:t>
      </w:r>
      <w:r>
        <w:t xml:space="preserve"> </w:t>
      </w:r>
      <w:r>
        <w:rPr>
          <w:color w:val="000000"/>
        </w:rPr>
        <w:t>Raportând reacţiile adverse, puteţi contribui la furnizarea de informaţii suplimentare privind siguranţa acestui medicament.</w:t>
      </w:r>
    </w:p>
    <w:p w14:paraId="0D4181F4" w14:textId="77777777" w:rsidR="00C04CAD" w:rsidRDefault="00C04CAD">
      <w:pPr>
        <w:tabs>
          <w:tab w:val="clear" w:pos="567"/>
        </w:tabs>
        <w:kinsoku w:val="0"/>
        <w:overflowPunct w:val="0"/>
        <w:autoSpaceDE w:val="0"/>
        <w:autoSpaceDN w:val="0"/>
        <w:adjustRightInd w:val="0"/>
        <w:spacing w:line="240" w:lineRule="auto"/>
      </w:pPr>
    </w:p>
    <w:p w14:paraId="252336FF" w14:textId="77777777" w:rsidR="00C04CAD" w:rsidRDefault="00C04CAD">
      <w:pPr>
        <w:tabs>
          <w:tab w:val="clear" w:pos="567"/>
        </w:tabs>
        <w:kinsoku w:val="0"/>
        <w:overflowPunct w:val="0"/>
        <w:autoSpaceDE w:val="0"/>
        <w:autoSpaceDN w:val="0"/>
        <w:adjustRightInd w:val="0"/>
        <w:spacing w:line="240" w:lineRule="auto"/>
      </w:pPr>
    </w:p>
    <w:p w14:paraId="5301A7CE" w14:textId="77777777" w:rsidR="00C04CAD" w:rsidRDefault="00060E34">
      <w:pPr>
        <w:keepNext/>
        <w:numPr>
          <w:ilvl w:val="0"/>
          <w:numId w:val="113"/>
        </w:numPr>
        <w:tabs>
          <w:tab w:val="clear" w:pos="567"/>
        </w:tabs>
        <w:kinsoku w:val="0"/>
        <w:overflowPunct w:val="0"/>
        <w:autoSpaceDE w:val="0"/>
        <w:autoSpaceDN w:val="0"/>
        <w:adjustRightInd w:val="0"/>
        <w:spacing w:line="240" w:lineRule="auto"/>
        <w:ind w:left="567" w:hanging="567"/>
        <w:outlineLvl w:val="0"/>
        <w:rPr>
          <w:szCs w:val="22"/>
          <w:lang w:eastAsia="en-US" w:bidi="ar-SA"/>
        </w:rPr>
      </w:pPr>
      <w:r>
        <w:rPr>
          <w:b/>
        </w:rPr>
        <w:t xml:space="preserve">Cum se păstrează </w:t>
      </w:r>
      <w:r>
        <w:rPr>
          <w:b/>
          <w:bCs/>
          <w:szCs w:val="22"/>
          <w:lang w:eastAsia="en-US" w:bidi="ar-SA"/>
        </w:rPr>
        <w:t>AMGEVITA</w:t>
      </w:r>
    </w:p>
    <w:p w14:paraId="018F7B82"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7881CC64"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Nu lăsaţi acest medicament la vederea şi îndemâna copiilor.</w:t>
      </w:r>
    </w:p>
    <w:p w14:paraId="268B11F1" w14:textId="77777777" w:rsidR="00C04CAD" w:rsidRDefault="00C04CAD">
      <w:pPr>
        <w:keepNext/>
        <w:tabs>
          <w:tab w:val="clear" w:pos="567"/>
        </w:tabs>
        <w:kinsoku w:val="0"/>
        <w:overflowPunct w:val="0"/>
        <w:autoSpaceDE w:val="0"/>
        <w:autoSpaceDN w:val="0"/>
        <w:adjustRightInd w:val="0"/>
        <w:spacing w:line="240" w:lineRule="auto"/>
        <w:rPr>
          <w:szCs w:val="22"/>
          <w:lang w:eastAsia="en-US" w:bidi="ar-SA"/>
        </w:rPr>
      </w:pPr>
    </w:p>
    <w:p w14:paraId="403C0213"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nu se utiliza acest medicament după data de expirare înscrisă pe etichetă și cutie după EXP. Data expirării se referă la ultima zi a lunii respective.</w:t>
      </w:r>
    </w:p>
    <w:p w14:paraId="59285D3B"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7C8D8176"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la frigider (2°C–8°C). A nu se congela.</w:t>
      </w:r>
    </w:p>
    <w:p w14:paraId="5BAC94AF"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06D0F17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 se păstra în ambalajul original pentru a fi protejat de lumină.</w:t>
      </w:r>
    </w:p>
    <w:p w14:paraId="18CD222D"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10A4E30E"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Un pen preumplut AMGEVITA poate fi păstrat la temperaturi până la un maximum de 25°C pentru o perioadă de până la 14 zile. Penul preumplut trebuie protejat faţă de lumină, şi trebuie aruncat dacă nu se utilizează în acest interval de 14 zile.</w:t>
      </w:r>
    </w:p>
    <w:p w14:paraId="20A7473C" w14:textId="77777777" w:rsidR="00C04CAD" w:rsidRDefault="00C04CAD">
      <w:pPr>
        <w:tabs>
          <w:tab w:val="clear" w:pos="567"/>
        </w:tabs>
        <w:kinsoku w:val="0"/>
        <w:overflowPunct w:val="0"/>
        <w:autoSpaceDE w:val="0"/>
        <w:autoSpaceDN w:val="0"/>
        <w:adjustRightInd w:val="0"/>
        <w:spacing w:line="240" w:lineRule="auto"/>
      </w:pPr>
    </w:p>
    <w:p w14:paraId="4C6496A6" w14:textId="77777777" w:rsidR="00C04CAD" w:rsidRDefault="00060E34">
      <w:pPr>
        <w:tabs>
          <w:tab w:val="clear" w:pos="567"/>
        </w:tabs>
        <w:kinsoku w:val="0"/>
        <w:overflowPunct w:val="0"/>
        <w:autoSpaceDE w:val="0"/>
        <w:autoSpaceDN w:val="0"/>
        <w:adjustRightInd w:val="0"/>
        <w:spacing w:line="240" w:lineRule="auto"/>
      </w:pPr>
      <w:r>
        <w:t>Nu aruncaţi niciun medicament pe calea apei sau a reziduurilor menajere. Întrebaţi farmacistul cum să aruncaţi medicamentele pe care nu le mai folosiţi. Aceste măsuri vor ajuta la protejarea mediului.</w:t>
      </w:r>
    </w:p>
    <w:p w14:paraId="49F42D94" w14:textId="77777777" w:rsidR="00C04CAD" w:rsidRDefault="00C04CAD">
      <w:pPr>
        <w:tabs>
          <w:tab w:val="clear" w:pos="567"/>
        </w:tabs>
        <w:kinsoku w:val="0"/>
        <w:overflowPunct w:val="0"/>
        <w:autoSpaceDE w:val="0"/>
        <w:autoSpaceDN w:val="0"/>
        <w:adjustRightInd w:val="0"/>
        <w:spacing w:line="240" w:lineRule="auto"/>
      </w:pPr>
    </w:p>
    <w:p w14:paraId="37856759" w14:textId="77777777" w:rsidR="00C04CAD" w:rsidRDefault="00C04CAD">
      <w:pPr>
        <w:tabs>
          <w:tab w:val="clear" w:pos="567"/>
        </w:tabs>
        <w:kinsoku w:val="0"/>
        <w:overflowPunct w:val="0"/>
        <w:autoSpaceDE w:val="0"/>
        <w:autoSpaceDN w:val="0"/>
        <w:adjustRightInd w:val="0"/>
        <w:spacing w:line="240" w:lineRule="auto"/>
      </w:pPr>
    </w:p>
    <w:p w14:paraId="13DAA058" w14:textId="77777777" w:rsidR="00C04CAD" w:rsidRDefault="00060E34">
      <w:pPr>
        <w:keepNext/>
        <w:numPr>
          <w:ilvl w:val="0"/>
          <w:numId w:val="113"/>
        </w:numPr>
        <w:tabs>
          <w:tab w:val="clear" w:pos="567"/>
        </w:tabs>
        <w:kinsoku w:val="0"/>
        <w:overflowPunct w:val="0"/>
        <w:autoSpaceDE w:val="0"/>
        <w:autoSpaceDN w:val="0"/>
        <w:adjustRightInd w:val="0"/>
        <w:spacing w:line="240" w:lineRule="auto"/>
        <w:ind w:left="567" w:hanging="567"/>
        <w:outlineLvl w:val="0"/>
        <w:rPr>
          <w:b/>
          <w:bCs/>
        </w:rPr>
      </w:pPr>
      <w:r>
        <w:rPr>
          <w:b/>
        </w:rPr>
        <w:t xml:space="preserve">Conţinutul ambalajului şi alte informaţii </w:t>
      </w:r>
    </w:p>
    <w:p w14:paraId="45460FBC" w14:textId="77777777" w:rsidR="00C04CAD" w:rsidRDefault="00C04CAD">
      <w:pPr>
        <w:keepNext/>
        <w:tabs>
          <w:tab w:val="clear" w:pos="567"/>
          <w:tab w:val="left" w:pos="679"/>
        </w:tabs>
        <w:kinsoku w:val="0"/>
        <w:overflowPunct w:val="0"/>
        <w:autoSpaceDE w:val="0"/>
        <w:autoSpaceDN w:val="0"/>
        <w:adjustRightInd w:val="0"/>
        <w:spacing w:line="240" w:lineRule="auto"/>
        <w:outlineLvl w:val="0"/>
        <w:rPr>
          <w:b/>
        </w:rPr>
      </w:pPr>
    </w:p>
    <w:p w14:paraId="2BD668E1" w14:textId="77777777" w:rsidR="00C04CAD" w:rsidRDefault="00060E34">
      <w:pPr>
        <w:keepNext/>
        <w:tabs>
          <w:tab w:val="clear" w:pos="567"/>
          <w:tab w:val="left" w:pos="679"/>
        </w:tabs>
        <w:kinsoku w:val="0"/>
        <w:overflowPunct w:val="0"/>
        <w:autoSpaceDE w:val="0"/>
        <w:autoSpaceDN w:val="0"/>
        <w:adjustRightInd w:val="0"/>
        <w:spacing w:line="240" w:lineRule="auto"/>
        <w:outlineLvl w:val="0"/>
        <w:rPr>
          <w:b/>
          <w:bCs/>
        </w:rPr>
      </w:pPr>
      <w:r>
        <w:rPr>
          <w:b/>
        </w:rPr>
        <w:t xml:space="preserve">Ce conţine </w:t>
      </w:r>
      <w:r>
        <w:rPr>
          <w:b/>
          <w:bCs/>
          <w:szCs w:val="22"/>
          <w:lang w:eastAsia="en-US" w:bidi="ar-SA"/>
        </w:rPr>
        <w:t>AMGEVITA</w:t>
      </w:r>
    </w:p>
    <w:p w14:paraId="5B824173"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Substanţa activă este adalimumab.</w:t>
      </w:r>
      <w:r>
        <w:rPr>
          <w:szCs w:val="22"/>
          <w:lang w:eastAsia="en-US" w:bidi="ar-SA"/>
        </w:rPr>
        <w:t xml:space="preserve"> Fiecare pen preumplut conţine adalimumab 80 mg în 0,8 ml soluţie.</w:t>
      </w:r>
    </w:p>
    <w:p w14:paraId="2F15BE15" w14:textId="77777777" w:rsidR="00C04CAD" w:rsidRDefault="00060E34">
      <w:pPr>
        <w:numPr>
          <w:ilvl w:val="0"/>
          <w:numId w:val="98"/>
        </w:numPr>
        <w:tabs>
          <w:tab w:val="clear" w:pos="567"/>
        </w:tabs>
        <w:kinsoku w:val="0"/>
        <w:overflowPunct w:val="0"/>
        <w:autoSpaceDE w:val="0"/>
        <w:autoSpaceDN w:val="0"/>
        <w:adjustRightInd w:val="0"/>
        <w:spacing w:line="240" w:lineRule="auto"/>
        <w:ind w:left="567" w:hanging="567"/>
      </w:pPr>
      <w:r>
        <w:t xml:space="preserve">Celelalte componente sunt acid </w:t>
      </w:r>
      <w:r>
        <w:rPr>
          <w:szCs w:val="22"/>
          <w:lang w:eastAsia="en-US" w:bidi="ar-SA"/>
        </w:rPr>
        <w:t>L-lactic, sucroză</w:t>
      </w:r>
      <w:r>
        <w:t>, polisorbat 80, hidroxid de sodiu şi apă pentru preparate injectabile.</w:t>
      </w:r>
    </w:p>
    <w:p w14:paraId="7029F548" w14:textId="77777777" w:rsidR="00C04CAD" w:rsidRDefault="00C04CAD">
      <w:pPr>
        <w:tabs>
          <w:tab w:val="clear" w:pos="567"/>
        </w:tabs>
        <w:kinsoku w:val="0"/>
        <w:overflowPunct w:val="0"/>
        <w:autoSpaceDE w:val="0"/>
        <w:autoSpaceDN w:val="0"/>
        <w:adjustRightInd w:val="0"/>
        <w:spacing w:line="240" w:lineRule="auto"/>
      </w:pPr>
    </w:p>
    <w:p w14:paraId="14B3BA34" w14:textId="77777777" w:rsidR="00C04CAD" w:rsidRDefault="00060E34">
      <w:pPr>
        <w:keepNext/>
        <w:tabs>
          <w:tab w:val="clear" w:pos="567"/>
        </w:tabs>
        <w:kinsoku w:val="0"/>
        <w:overflowPunct w:val="0"/>
        <w:autoSpaceDE w:val="0"/>
        <w:autoSpaceDN w:val="0"/>
        <w:adjustRightInd w:val="0"/>
        <w:spacing w:line="240" w:lineRule="auto"/>
        <w:outlineLvl w:val="0"/>
        <w:rPr>
          <w:b/>
          <w:bCs/>
          <w:szCs w:val="22"/>
        </w:rPr>
      </w:pPr>
      <w:r>
        <w:rPr>
          <w:b/>
          <w:szCs w:val="22"/>
        </w:rPr>
        <w:t xml:space="preserve">Cum arată </w:t>
      </w:r>
      <w:r>
        <w:rPr>
          <w:b/>
          <w:bCs/>
          <w:szCs w:val="22"/>
          <w:lang w:eastAsia="en-US" w:bidi="ar-SA"/>
        </w:rPr>
        <w:t>AMGEVITA</w:t>
      </w:r>
      <w:r>
        <w:rPr>
          <w:b/>
          <w:szCs w:val="22"/>
        </w:rPr>
        <w:t xml:space="preserve"> şi conţinutul ambalajului</w:t>
      </w:r>
    </w:p>
    <w:p w14:paraId="4DFB17DC" w14:textId="77777777" w:rsidR="00C04CAD" w:rsidRDefault="00C04CAD">
      <w:pPr>
        <w:keepNext/>
        <w:tabs>
          <w:tab w:val="clear" w:pos="567"/>
        </w:tabs>
        <w:autoSpaceDE w:val="0"/>
        <w:autoSpaceDN w:val="0"/>
        <w:adjustRightInd w:val="0"/>
        <w:spacing w:line="240" w:lineRule="auto"/>
        <w:rPr>
          <w:b/>
          <w:szCs w:val="22"/>
        </w:rPr>
      </w:pPr>
    </w:p>
    <w:p w14:paraId="34CF2AE4" w14:textId="77777777" w:rsidR="00C04CAD" w:rsidRDefault="00060E34">
      <w:pPr>
        <w:tabs>
          <w:tab w:val="clear" w:pos="567"/>
        </w:tabs>
        <w:autoSpaceDE w:val="0"/>
        <w:autoSpaceDN w:val="0"/>
        <w:adjustRightInd w:val="0"/>
        <w:spacing w:line="240" w:lineRule="auto"/>
        <w:rPr>
          <w:b/>
          <w:bCs/>
          <w:szCs w:val="22"/>
          <w:lang w:eastAsia="en-US" w:bidi="ar-SA"/>
        </w:rPr>
      </w:pPr>
      <w:r>
        <w:rPr>
          <w:szCs w:val="22"/>
          <w:lang w:eastAsia="en-US" w:bidi="ar-SA"/>
        </w:rPr>
        <w:t>AMGEVITA</w:t>
      </w:r>
      <w:r>
        <w:rPr>
          <w:szCs w:val="22"/>
        </w:rPr>
        <w:t xml:space="preserve"> este o soluție limpede şi incoloră până la uşor gălbuie.</w:t>
      </w:r>
    </w:p>
    <w:p w14:paraId="0AAD29C0"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302751B7"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eastAsia="en-US" w:bidi="ar-SA"/>
        </w:rPr>
        <w:t xml:space="preserve">Fiecare </w:t>
      </w:r>
      <w:r>
        <w:rPr>
          <w:szCs w:val="22"/>
        </w:rPr>
        <w:t xml:space="preserve">ambalaj conţine 1, 2 sau 3 </w:t>
      </w:r>
      <w:r>
        <w:rPr>
          <w:szCs w:val="22"/>
          <w:lang w:eastAsia="en-US" w:bidi="ar-SA"/>
        </w:rPr>
        <w:t>penuri SureClick</w:t>
      </w:r>
      <w:r>
        <w:rPr>
          <w:szCs w:val="22"/>
        </w:rPr>
        <w:t xml:space="preserve"> preumplute de 80 mg </w:t>
      </w:r>
      <w:r>
        <w:rPr>
          <w:szCs w:val="22"/>
          <w:lang w:eastAsia="en-US" w:bidi="ar-SA"/>
        </w:rPr>
        <w:t>de unică utilizare</w:t>
      </w:r>
      <w:r>
        <w:rPr>
          <w:szCs w:val="22"/>
        </w:rPr>
        <w:t>.</w:t>
      </w:r>
    </w:p>
    <w:p w14:paraId="6F769E56" w14:textId="77777777" w:rsidR="00C04CAD" w:rsidRDefault="00C04CAD">
      <w:pPr>
        <w:tabs>
          <w:tab w:val="clear" w:pos="567"/>
        </w:tabs>
        <w:kinsoku w:val="0"/>
        <w:overflowPunct w:val="0"/>
        <w:autoSpaceDE w:val="0"/>
        <w:autoSpaceDN w:val="0"/>
        <w:adjustRightInd w:val="0"/>
        <w:spacing w:line="240" w:lineRule="auto"/>
      </w:pPr>
    </w:p>
    <w:p w14:paraId="34A546AC" w14:textId="77777777" w:rsidR="00C04CAD" w:rsidRDefault="00060E34">
      <w:pPr>
        <w:keepNext/>
        <w:tabs>
          <w:tab w:val="clear" w:pos="567"/>
        </w:tabs>
        <w:kinsoku w:val="0"/>
        <w:overflowPunct w:val="0"/>
        <w:autoSpaceDE w:val="0"/>
        <w:autoSpaceDN w:val="0"/>
        <w:adjustRightInd w:val="0"/>
        <w:spacing w:line="240" w:lineRule="auto"/>
        <w:outlineLvl w:val="0"/>
        <w:rPr>
          <w:szCs w:val="22"/>
        </w:rPr>
      </w:pPr>
      <w:r>
        <w:rPr>
          <w:b/>
          <w:szCs w:val="22"/>
        </w:rPr>
        <w:t>Deţinătorul autorizaţiei de punere pe piaţă</w:t>
      </w:r>
      <w:r>
        <w:rPr>
          <w:b/>
          <w:bCs/>
          <w:szCs w:val="22"/>
          <w:lang w:eastAsia="en-US" w:bidi="ar-SA"/>
        </w:rPr>
        <w:t xml:space="preserve"> şi fabricantul</w:t>
      </w:r>
    </w:p>
    <w:p w14:paraId="43951105"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Amgen Europe B.V.</w:t>
      </w:r>
    </w:p>
    <w:p w14:paraId="48BAD32B"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Minervum 7061</w:t>
      </w:r>
    </w:p>
    <w:p w14:paraId="4243F71B" w14:textId="77777777" w:rsidR="00C04CAD" w:rsidRDefault="00060E34">
      <w:pPr>
        <w:keepNext/>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4817 ZK Breda</w:t>
      </w:r>
    </w:p>
    <w:p w14:paraId="446BA285"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lang w:eastAsia="en-US" w:bidi="ar-SA"/>
        </w:rPr>
        <w:t>Olanda</w:t>
      </w:r>
    </w:p>
    <w:p w14:paraId="7046AEBE"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2AA9479" w14:textId="77777777" w:rsidR="00C04CAD" w:rsidRDefault="00060E34">
      <w:pPr>
        <w:keepNext/>
        <w:tabs>
          <w:tab w:val="clear" w:pos="567"/>
        </w:tabs>
        <w:kinsoku w:val="0"/>
        <w:overflowPunct w:val="0"/>
        <w:autoSpaceDE w:val="0"/>
        <w:autoSpaceDN w:val="0"/>
        <w:adjustRightInd w:val="0"/>
        <w:spacing w:line="240" w:lineRule="auto"/>
        <w:rPr>
          <w:b/>
          <w:szCs w:val="22"/>
          <w:highlight w:val="lightGray"/>
          <w:lang w:eastAsia="en-US" w:bidi="ar-SA"/>
        </w:rPr>
      </w:pPr>
      <w:r>
        <w:rPr>
          <w:b/>
          <w:szCs w:val="22"/>
          <w:highlight w:val="lightGray"/>
          <w:lang w:eastAsia="en-US" w:bidi="ar-SA"/>
        </w:rPr>
        <w:t>Deţinătorul autorizaţiei de punere pe piaţă</w:t>
      </w:r>
    </w:p>
    <w:p w14:paraId="450EE410"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Europe B.V.</w:t>
      </w:r>
    </w:p>
    <w:p w14:paraId="6750082F"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Minervum 7061</w:t>
      </w:r>
    </w:p>
    <w:p w14:paraId="0456F321" w14:textId="77777777" w:rsidR="00C04CAD" w:rsidRDefault="00060E34">
      <w:pPr>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4817 ZK Breda</w:t>
      </w:r>
    </w:p>
    <w:p w14:paraId="16B9FCBA"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Olanda</w:t>
      </w:r>
    </w:p>
    <w:p w14:paraId="782126D6" w14:textId="77777777" w:rsidR="00C04CAD" w:rsidRDefault="00C04CAD">
      <w:pPr>
        <w:tabs>
          <w:tab w:val="clear" w:pos="567"/>
        </w:tabs>
        <w:kinsoku w:val="0"/>
        <w:overflowPunct w:val="0"/>
        <w:autoSpaceDE w:val="0"/>
        <w:autoSpaceDN w:val="0"/>
        <w:adjustRightInd w:val="0"/>
        <w:spacing w:line="240" w:lineRule="auto"/>
        <w:outlineLvl w:val="0"/>
        <w:rPr>
          <w:b/>
          <w:bCs/>
          <w:szCs w:val="22"/>
          <w:lang w:eastAsia="en-US" w:bidi="ar-SA"/>
        </w:rPr>
      </w:pPr>
    </w:p>
    <w:p w14:paraId="2ADBD395" w14:textId="77777777" w:rsidR="00C04CAD" w:rsidRDefault="00060E34">
      <w:pPr>
        <w:keepNext/>
        <w:tabs>
          <w:tab w:val="clear" w:pos="567"/>
        </w:tabs>
        <w:kinsoku w:val="0"/>
        <w:overflowPunct w:val="0"/>
        <w:autoSpaceDE w:val="0"/>
        <w:autoSpaceDN w:val="0"/>
        <w:adjustRightInd w:val="0"/>
        <w:spacing w:line="240" w:lineRule="auto"/>
        <w:outlineLvl w:val="0"/>
        <w:rPr>
          <w:szCs w:val="22"/>
          <w:highlight w:val="lightGray"/>
          <w:lang w:eastAsia="en-US" w:bidi="ar-SA"/>
        </w:rPr>
      </w:pPr>
      <w:r>
        <w:rPr>
          <w:b/>
          <w:bCs/>
          <w:szCs w:val="22"/>
          <w:highlight w:val="lightGray"/>
          <w:lang w:eastAsia="en-US" w:bidi="ar-SA"/>
        </w:rPr>
        <w:t>Fabricantul</w:t>
      </w:r>
    </w:p>
    <w:p w14:paraId="4E50CE13"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Amgen Technology Ireland UC</w:t>
      </w:r>
    </w:p>
    <w:p w14:paraId="0CFE8BAB"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Pottery Road</w:t>
      </w:r>
    </w:p>
    <w:p w14:paraId="1C40CDA7"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Dun Laoghaire</w:t>
      </w:r>
    </w:p>
    <w:p w14:paraId="7D1E51C9" w14:textId="77777777" w:rsidR="00C04CAD" w:rsidRDefault="00060E34">
      <w:pPr>
        <w:keepNext/>
        <w:tabs>
          <w:tab w:val="clear" w:pos="567"/>
        </w:tabs>
        <w:kinsoku w:val="0"/>
        <w:overflowPunct w:val="0"/>
        <w:autoSpaceDE w:val="0"/>
        <w:autoSpaceDN w:val="0"/>
        <w:adjustRightInd w:val="0"/>
        <w:spacing w:line="240" w:lineRule="auto"/>
        <w:rPr>
          <w:szCs w:val="22"/>
          <w:highlight w:val="lightGray"/>
          <w:lang w:eastAsia="en-US" w:bidi="ar-SA"/>
        </w:rPr>
      </w:pPr>
      <w:r>
        <w:rPr>
          <w:szCs w:val="22"/>
          <w:highlight w:val="lightGray"/>
          <w:lang w:eastAsia="en-US" w:bidi="ar-SA"/>
        </w:rPr>
        <w:t>Co Dublin</w:t>
      </w:r>
    </w:p>
    <w:p w14:paraId="0F348F39" w14:textId="77777777" w:rsidR="00C04CAD" w:rsidRDefault="00060E34">
      <w:pPr>
        <w:tabs>
          <w:tab w:val="clear" w:pos="567"/>
        </w:tabs>
        <w:kinsoku w:val="0"/>
        <w:overflowPunct w:val="0"/>
        <w:autoSpaceDE w:val="0"/>
        <w:autoSpaceDN w:val="0"/>
        <w:adjustRightInd w:val="0"/>
        <w:spacing w:line="240" w:lineRule="auto"/>
        <w:rPr>
          <w:szCs w:val="22"/>
          <w:lang w:eastAsia="en-US" w:bidi="ar-SA"/>
        </w:rPr>
      </w:pPr>
      <w:r>
        <w:rPr>
          <w:szCs w:val="22"/>
          <w:highlight w:val="lightGray"/>
          <w:lang w:eastAsia="en-US" w:bidi="ar-SA"/>
        </w:rPr>
        <w:t>Irlanda</w:t>
      </w:r>
    </w:p>
    <w:p w14:paraId="6E673347" w14:textId="77777777" w:rsidR="00C04CAD" w:rsidRDefault="00C04CAD">
      <w:pPr>
        <w:tabs>
          <w:tab w:val="clear" w:pos="567"/>
        </w:tabs>
        <w:kinsoku w:val="0"/>
        <w:overflowPunct w:val="0"/>
        <w:autoSpaceDE w:val="0"/>
        <w:autoSpaceDN w:val="0"/>
        <w:adjustRightInd w:val="0"/>
        <w:spacing w:line="240" w:lineRule="auto"/>
        <w:rPr>
          <w:szCs w:val="22"/>
        </w:rPr>
      </w:pPr>
    </w:p>
    <w:p w14:paraId="08272621" w14:textId="77777777" w:rsidR="00C04CAD" w:rsidRDefault="00060E34">
      <w:pPr>
        <w:spacing w:line="240" w:lineRule="auto"/>
        <w:rPr>
          <w:lang w:eastAsia="ja-JP"/>
        </w:rPr>
      </w:pPr>
      <w:r>
        <w:rPr>
          <w:b/>
          <w:bCs/>
          <w:szCs w:val="22"/>
          <w:highlight w:val="lightGray"/>
          <w:lang w:eastAsia="en-US" w:bidi="ar-SA"/>
        </w:rPr>
        <w:t>Fabricantul</w:t>
      </w:r>
    </w:p>
    <w:p w14:paraId="60EE72DD" w14:textId="77777777" w:rsidR="00C04CAD" w:rsidRDefault="00060E34">
      <w:pPr>
        <w:spacing w:line="240" w:lineRule="auto"/>
        <w:rPr>
          <w:highlight w:val="lightGray"/>
          <w:lang w:eastAsia="ja-JP"/>
        </w:rPr>
      </w:pPr>
      <w:r>
        <w:rPr>
          <w:highlight w:val="lightGray"/>
          <w:lang w:eastAsia="ja-JP"/>
        </w:rPr>
        <w:t>Amgen NV</w:t>
      </w:r>
    </w:p>
    <w:p w14:paraId="36B96EF0" w14:textId="77777777" w:rsidR="00C04CAD" w:rsidRDefault="00060E34">
      <w:pPr>
        <w:spacing w:line="240" w:lineRule="auto"/>
        <w:rPr>
          <w:highlight w:val="lightGray"/>
          <w:lang w:eastAsia="ja-JP"/>
        </w:rPr>
      </w:pPr>
      <w:r>
        <w:rPr>
          <w:highlight w:val="lightGray"/>
          <w:lang w:eastAsia="ja-JP"/>
        </w:rPr>
        <w:t>Telecomlaan 5-7</w:t>
      </w:r>
    </w:p>
    <w:p w14:paraId="02E1C130" w14:textId="77777777" w:rsidR="00C04CAD" w:rsidRDefault="00060E34">
      <w:pPr>
        <w:spacing w:line="240" w:lineRule="auto"/>
        <w:rPr>
          <w:highlight w:val="lightGray"/>
          <w:lang w:eastAsia="ja-JP"/>
        </w:rPr>
      </w:pPr>
      <w:r>
        <w:rPr>
          <w:highlight w:val="lightGray"/>
          <w:lang w:eastAsia="ja-JP"/>
        </w:rPr>
        <w:t>1831 Diegem</w:t>
      </w:r>
    </w:p>
    <w:p w14:paraId="29BCF34E" w14:textId="77777777" w:rsidR="00C04CAD" w:rsidRDefault="00060E34">
      <w:pPr>
        <w:numPr>
          <w:ilvl w:val="12"/>
          <w:numId w:val="0"/>
        </w:numPr>
        <w:tabs>
          <w:tab w:val="clear" w:pos="567"/>
        </w:tabs>
        <w:spacing w:line="240" w:lineRule="auto"/>
        <w:rPr>
          <w:szCs w:val="22"/>
        </w:rPr>
      </w:pPr>
      <w:r>
        <w:rPr>
          <w:highlight w:val="lightGray"/>
          <w:lang w:eastAsia="ja-JP"/>
        </w:rPr>
        <w:t>Belgia</w:t>
      </w:r>
      <w:r>
        <w:rPr>
          <w:szCs w:val="22"/>
        </w:rPr>
        <w:t xml:space="preserve"> </w:t>
      </w:r>
    </w:p>
    <w:p w14:paraId="50CEB8E6" w14:textId="77777777" w:rsidR="00C04CAD" w:rsidRDefault="00C04CAD">
      <w:pPr>
        <w:numPr>
          <w:ilvl w:val="12"/>
          <w:numId w:val="0"/>
        </w:numPr>
        <w:tabs>
          <w:tab w:val="clear" w:pos="567"/>
        </w:tabs>
        <w:spacing w:line="240" w:lineRule="auto"/>
        <w:rPr>
          <w:szCs w:val="22"/>
        </w:rPr>
      </w:pPr>
    </w:p>
    <w:p w14:paraId="25983DED" w14:textId="77777777" w:rsidR="00C04CAD" w:rsidRDefault="00060E34">
      <w:pPr>
        <w:keepNext/>
        <w:numPr>
          <w:ilvl w:val="12"/>
          <w:numId w:val="0"/>
        </w:numPr>
        <w:tabs>
          <w:tab w:val="clear" w:pos="567"/>
        </w:tabs>
        <w:spacing w:line="240" w:lineRule="auto"/>
        <w:rPr>
          <w:szCs w:val="22"/>
        </w:rPr>
      </w:pPr>
      <w:r>
        <w:rPr>
          <w:szCs w:val="22"/>
        </w:rPr>
        <w:t>Pentru orice informaţii despre acest medicament, vă rugăm să contactaţi reprezentanţii locali ai deţinătorului autorizaţiei de punere pe piaţă:</w:t>
      </w:r>
    </w:p>
    <w:p w14:paraId="5C8C75ED" w14:textId="77777777" w:rsidR="00C04CAD" w:rsidRDefault="00C04CAD">
      <w:pPr>
        <w:keepNext/>
        <w:numPr>
          <w:ilvl w:val="12"/>
          <w:numId w:val="0"/>
        </w:numPr>
        <w:tabs>
          <w:tab w:val="clear" w:pos="567"/>
        </w:tabs>
        <w:spacing w:line="240" w:lineRule="auto"/>
        <w:rPr>
          <w:szCs w:val="22"/>
        </w:rPr>
      </w:pPr>
    </w:p>
    <w:tbl>
      <w:tblPr>
        <w:tblW w:w="9356" w:type="dxa"/>
        <w:tblLook w:val="04A0" w:firstRow="1" w:lastRow="0" w:firstColumn="1" w:lastColumn="0" w:noHBand="0" w:noVBand="1"/>
      </w:tblPr>
      <w:tblGrid>
        <w:gridCol w:w="4677"/>
        <w:gridCol w:w="4679"/>
      </w:tblGrid>
      <w:tr w:rsidR="00C04CAD" w14:paraId="734467F1" w14:textId="77777777">
        <w:trPr>
          <w:cantSplit/>
        </w:trPr>
        <w:tc>
          <w:tcPr>
            <w:tcW w:w="4677" w:type="dxa"/>
          </w:tcPr>
          <w:p w14:paraId="1394F438" w14:textId="77777777" w:rsidR="00C04CAD" w:rsidRDefault="00060E34">
            <w:pPr>
              <w:keepNext/>
              <w:spacing w:line="240" w:lineRule="auto"/>
              <w:rPr>
                <w:szCs w:val="22"/>
              </w:rPr>
            </w:pPr>
            <w:r>
              <w:rPr>
                <w:b/>
                <w:szCs w:val="22"/>
              </w:rPr>
              <w:t>België/Belgique/Belgien</w:t>
            </w:r>
          </w:p>
          <w:p w14:paraId="5469CA21" w14:textId="77777777" w:rsidR="00C04CAD" w:rsidRDefault="00060E34">
            <w:pPr>
              <w:keepNext/>
              <w:spacing w:line="240" w:lineRule="auto"/>
              <w:rPr>
                <w:rFonts w:eastAsia="PMingLiU"/>
                <w:szCs w:val="22"/>
                <w:lang w:eastAsia="en-US" w:bidi="ar-SA"/>
              </w:rPr>
            </w:pPr>
            <w:r>
              <w:rPr>
                <w:rFonts w:eastAsia="PMingLiU"/>
                <w:szCs w:val="22"/>
                <w:lang w:eastAsia="en-US" w:bidi="ar-SA"/>
              </w:rPr>
              <w:t>s.a. Amgen n.v.</w:t>
            </w:r>
          </w:p>
          <w:p w14:paraId="797C4042" w14:textId="77777777" w:rsidR="00C04CAD" w:rsidRDefault="00060E34">
            <w:pPr>
              <w:keepNext/>
              <w:tabs>
                <w:tab w:val="clear" w:pos="567"/>
              </w:tabs>
              <w:autoSpaceDE w:val="0"/>
              <w:autoSpaceDN w:val="0"/>
              <w:adjustRightInd w:val="0"/>
              <w:spacing w:line="240" w:lineRule="auto"/>
              <w:rPr>
                <w:szCs w:val="22"/>
                <w:lang w:eastAsia="en-US" w:bidi="ar-SA"/>
              </w:rPr>
            </w:pPr>
            <w:r>
              <w:rPr>
                <w:szCs w:val="22"/>
              </w:rPr>
              <w:t>Tél/Tel: +32 (0)2 7752711</w:t>
            </w:r>
          </w:p>
          <w:p w14:paraId="2EBA0FE0" w14:textId="77777777" w:rsidR="00C04CAD" w:rsidRDefault="00C04CAD">
            <w:pPr>
              <w:keepNext/>
              <w:tabs>
                <w:tab w:val="clear" w:pos="567"/>
              </w:tabs>
              <w:autoSpaceDE w:val="0"/>
              <w:autoSpaceDN w:val="0"/>
              <w:adjustRightInd w:val="0"/>
              <w:spacing w:line="240" w:lineRule="auto"/>
              <w:rPr>
                <w:szCs w:val="22"/>
              </w:rPr>
            </w:pPr>
          </w:p>
        </w:tc>
        <w:tc>
          <w:tcPr>
            <w:tcW w:w="4679" w:type="dxa"/>
          </w:tcPr>
          <w:p w14:paraId="32FFCD6E" w14:textId="77777777" w:rsidR="00C04CAD" w:rsidRDefault="00060E34">
            <w:pPr>
              <w:keepNext/>
              <w:spacing w:line="240" w:lineRule="auto"/>
              <w:rPr>
                <w:rFonts w:eastAsia="MS Mincho"/>
                <w:b/>
                <w:szCs w:val="22"/>
                <w:lang w:eastAsia="en-US" w:bidi="ar-SA"/>
              </w:rPr>
            </w:pPr>
            <w:r>
              <w:rPr>
                <w:b/>
                <w:szCs w:val="22"/>
              </w:rPr>
              <w:t>Lietuva</w:t>
            </w:r>
          </w:p>
          <w:p w14:paraId="1A78D2A0" w14:textId="77777777" w:rsidR="00C04CAD" w:rsidRDefault="00060E34">
            <w:pPr>
              <w:keepNext/>
              <w:spacing w:line="240" w:lineRule="auto"/>
              <w:rPr>
                <w:rFonts w:eastAsia="PMingLiU"/>
                <w:bCs/>
                <w:szCs w:val="22"/>
                <w:lang w:eastAsia="en-US" w:bidi="ar-SA"/>
              </w:rPr>
            </w:pPr>
            <w:r>
              <w:rPr>
                <w:rFonts w:eastAsia="PMingLiU"/>
                <w:szCs w:val="22"/>
                <w:lang w:eastAsia="en-US" w:bidi="ar-SA"/>
              </w:rPr>
              <w:t>Amgen Switzerland AG Vilniaus filialas</w:t>
            </w:r>
          </w:p>
          <w:p w14:paraId="2834F98D" w14:textId="77777777" w:rsidR="00C04CAD" w:rsidRDefault="00060E34">
            <w:pPr>
              <w:keepNext/>
              <w:spacing w:line="240" w:lineRule="auto"/>
              <w:rPr>
                <w:rFonts w:eastAsia="PMingLiU"/>
                <w:bCs/>
                <w:szCs w:val="22"/>
                <w:lang w:eastAsia="en-US" w:bidi="ar-SA"/>
              </w:rPr>
            </w:pPr>
            <w:r>
              <w:rPr>
                <w:szCs w:val="22"/>
              </w:rPr>
              <w:t>Tel</w:t>
            </w:r>
            <w:del w:id="320" w:author="Author">
              <w:r>
                <w:rPr>
                  <w:szCs w:val="22"/>
                </w:rPr>
                <w:delText>:</w:delText>
              </w:r>
            </w:del>
            <w:ins w:id="321" w:author="Author">
              <w:r>
                <w:rPr>
                  <w:szCs w:val="22"/>
                </w:rPr>
                <w:t>.</w:t>
              </w:r>
            </w:ins>
            <w:r>
              <w:rPr>
                <w:szCs w:val="22"/>
              </w:rPr>
              <w:t xml:space="preserve"> +370 5 </w:t>
            </w:r>
            <w:r>
              <w:rPr>
                <w:rFonts w:eastAsia="PMingLiU"/>
                <w:bCs/>
                <w:szCs w:val="22"/>
              </w:rPr>
              <w:t>219 7474</w:t>
            </w:r>
          </w:p>
          <w:p w14:paraId="13565D42" w14:textId="77777777" w:rsidR="00C04CAD" w:rsidRDefault="00C04CAD">
            <w:pPr>
              <w:keepNext/>
              <w:tabs>
                <w:tab w:val="clear" w:pos="567"/>
              </w:tabs>
              <w:autoSpaceDE w:val="0"/>
              <w:autoSpaceDN w:val="0"/>
              <w:adjustRightInd w:val="0"/>
              <w:spacing w:line="240" w:lineRule="auto"/>
              <w:rPr>
                <w:szCs w:val="22"/>
              </w:rPr>
            </w:pPr>
          </w:p>
        </w:tc>
      </w:tr>
      <w:tr w:rsidR="00C04CAD" w14:paraId="3CE586A0" w14:textId="77777777">
        <w:trPr>
          <w:cantSplit/>
        </w:trPr>
        <w:tc>
          <w:tcPr>
            <w:tcW w:w="4677" w:type="dxa"/>
          </w:tcPr>
          <w:p w14:paraId="225486E2" w14:textId="77777777" w:rsidR="00C04CAD" w:rsidRDefault="00060E34">
            <w:pPr>
              <w:keepNext/>
              <w:tabs>
                <w:tab w:val="clear" w:pos="567"/>
              </w:tabs>
              <w:autoSpaceDE w:val="0"/>
              <w:autoSpaceDN w:val="0"/>
              <w:adjustRightInd w:val="0"/>
              <w:spacing w:line="240" w:lineRule="auto"/>
              <w:rPr>
                <w:b/>
                <w:szCs w:val="22"/>
              </w:rPr>
            </w:pPr>
            <w:r>
              <w:rPr>
                <w:b/>
                <w:szCs w:val="22"/>
              </w:rPr>
              <w:t>България</w:t>
            </w:r>
          </w:p>
          <w:p w14:paraId="1FC7492C" w14:textId="77777777" w:rsidR="00C04CAD" w:rsidRDefault="00060E34">
            <w:pPr>
              <w:spacing w:line="240" w:lineRule="auto"/>
              <w:rPr>
                <w:szCs w:val="22"/>
              </w:rPr>
            </w:pPr>
            <w:r>
              <w:rPr>
                <w:rFonts w:eastAsia="Arial Unicode MS"/>
                <w:szCs w:val="22"/>
                <w:lang w:eastAsia="en-GB" w:bidi="ar-SA"/>
              </w:rPr>
              <w:t>Амджен България</w:t>
            </w:r>
            <w:r>
              <w:rPr>
                <w:szCs w:val="22"/>
              </w:rPr>
              <w:t xml:space="preserve"> ЕООД</w:t>
            </w:r>
          </w:p>
          <w:p w14:paraId="3B4ED1E2" w14:textId="77777777" w:rsidR="00C04CAD" w:rsidRDefault="00060E34">
            <w:pPr>
              <w:spacing w:line="240" w:lineRule="auto"/>
              <w:rPr>
                <w:rFonts w:eastAsia="Arial Unicode MS"/>
                <w:bCs/>
                <w:szCs w:val="22"/>
                <w:lang w:eastAsia="en-US" w:bidi="ar-SA"/>
              </w:rPr>
            </w:pPr>
            <w:r>
              <w:rPr>
                <w:szCs w:val="22"/>
              </w:rPr>
              <w:t>Тел</w:t>
            </w:r>
            <w:r>
              <w:rPr>
                <w:rFonts w:eastAsia="Arial Unicode MS"/>
                <w:szCs w:val="22"/>
                <w:lang w:eastAsia="en-GB"/>
              </w:rPr>
              <w:t>.: +</w:t>
            </w:r>
            <w:r>
              <w:rPr>
                <w:szCs w:val="22"/>
              </w:rPr>
              <w:t xml:space="preserve">359 </w:t>
            </w:r>
            <w:r>
              <w:rPr>
                <w:rFonts w:eastAsia="Arial Unicode MS"/>
                <w:bCs/>
                <w:szCs w:val="22"/>
              </w:rPr>
              <w:t>(0)</w:t>
            </w:r>
            <w:r>
              <w:rPr>
                <w:szCs w:val="22"/>
              </w:rPr>
              <w:t>2</w:t>
            </w:r>
            <w:r>
              <w:rPr>
                <w:rFonts w:eastAsia="Arial Unicode MS"/>
                <w:bCs/>
                <w:szCs w:val="22"/>
                <w:lang w:eastAsia="en-US" w:bidi="ar-SA"/>
              </w:rPr>
              <w:t> 424 7440</w:t>
            </w:r>
          </w:p>
          <w:p w14:paraId="59D6AE15" w14:textId="77777777" w:rsidR="00C04CAD" w:rsidRDefault="00C04CAD">
            <w:pPr>
              <w:tabs>
                <w:tab w:val="clear" w:pos="567"/>
              </w:tabs>
              <w:autoSpaceDE w:val="0"/>
              <w:autoSpaceDN w:val="0"/>
              <w:adjustRightInd w:val="0"/>
              <w:spacing w:line="240" w:lineRule="auto"/>
              <w:rPr>
                <w:szCs w:val="22"/>
              </w:rPr>
            </w:pPr>
          </w:p>
        </w:tc>
        <w:tc>
          <w:tcPr>
            <w:tcW w:w="4679" w:type="dxa"/>
          </w:tcPr>
          <w:p w14:paraId="1BE13373" w14:textId="77777777" w:rsidR="00C04CAD" w:rsidRDefault="00060E34">
            <w:pPr>
              <w:spacing w:line="240" w:lineRule="auto"/>
              <w:rPr>
                <w:rFonts w:eastAsia="MS Mincho"/>
                <w:szCs w:val="22"/>
                <w:lang w:eastAsia="en-US" w:bidi="ar-SA"/>
              </w:rPr>
            </w:pPr>
            <w:r>
              <w:rPr>
                <w:b/>
                <w:szCs w:val="22"/>
              </w:rPr>
              <w:t>Luxembourg/Luxemburg</w:t>
            </w:r>
          </w:p>
          <w:p w14:paraId="297F71C2" w14:textId="77777777" w:rsidR="00C04CAD" w:rsidRDefault="00060E34">
            <w:pPr>
              <w:spacing w:line="240" w:lineRule="auto"/>
              <w:rPr>
                <w:rFonts w:eastAsia="PMingLiU"/>
                <w:szCs w:val="22"/>
                <w:lang w:eastAsia="en-US" w:bidi="ar-SA"/>
              </w:rPr>
            </w:pPr>
            <w:r>
              <w:rPr>
                <w:rFonts w:eastAsia="PMingLiU"/>
                <w:szCs w:val="22"/>
                <w:lang w:eastAsia="en-US" w:bidi="ar-SA"/>
              </w:rPr>
              <w:t xml:space="preserve">s.a. Amgen </w:t>
            </w:r>
          </w:p>
          <w:p w14:paraId="193BF50C" w14:textId="77777777" w:rsidR="00C04CAD" w:rsidRDefault="00060E34">
            <w:pPr>
              <w:spacing w:line="240" w:lineRule="auto"/>
              <w:rPr>
                <w:rFonts w:eastAsia="MS Mincho"/>
                <w:szCs w:val="22"/>
                <w:lang w:eastAsia="en-US" w:bidi="ar-SA"/>
              </w:rPr>
            </w:pPr>
            <w:r>
              <w:rPr>
                <w:szCs w:val="22"/>
              </w:rPr>
              <w:t>Belgique/Belgien</w:t>
            </w:r>
          </w:p>
          <w:p w14:paraId="2C349179" w14:textId="77777777" w:rsidR="00C04CAD" w:rsidRDefault="00060E34">
            <w:pPr>
              <w:spacing w:line="240" w:lineRule="auto"/>
              <w:rPr>
                <w:rFonts w:eastAsia="PMingLiU"/>
                <w:szCs w:val="22"/>
                <w:lang w:eastAsia="en-US" w:bidi="ar-SA"/>
              </w:rPr>
            </w:pPr>
            <w:r>
              <w:rPr>
                <w:szCs w:val="22"/>
              </w:rPr>
              <w:t xml:space="preserve">Tél/Tel: +32 </w:t>
            </w:r>
            <w:r>
              <w:rPr>
                <w:rFonts w:eastAsia="PMingLiU"/>
                <w:szCs w:val="22"/>
              </w:rPr>
              <w:t>(0)2 7752711</w:t>
            </w:r>
          </w:p>
          <w:p w14:paraId="77BD86B3" w14:textId="77777777" w:rsidR="00C04CAD" w:rsidRDefault="00C04CAD">
            <w:pPr>
              <w:tabs>
                <w:tab w:val="clear" w:pos="567"/>
              </w:tabs>
              <w:autoSpaceDE w:val="0"/>
              <w:autoSpaceDN w:val="0"/>
              <w:adjustRightInd w:val="0"/>
              <w:spacing w:line="240" w:lineRule="auto"/>
              <w:rPr>
                <w:szCs w:val="22"/>
              </w:rPr>
            </w:pPr>
          </w:p>
        </w:tc>
      </w:tr>
      <w:tr w:rsidR="00C04CAD" w14:paraId="566DB24B" w14:textId="77777777">
        <w:trPr>
          <w:cantSplit/>
        </w:trPr>
        <w:tc>
          <w:tcPr>
            <w:tcW w:w="4677" w:type="dxa"/>
          </w:tcPr>
          <w:p w14:paraId="4C6A7CDE" w14:textId="77777777" w:rsidR="00C04CAD" w:rsidRDefault="00060E34">
            <w:pPr>
              <w:keepNext/>
              <w:spacing w:line="240" w:lineRule="auto"/>
              <w:rPr>
                <w:b/>
              </w:rPr>
            </w:pPr>
            <w:r>
              <w:rPr>
                <w:b/>
              </w:rPr>
              <w:t>Česká republika</w:t>
            </w:r>
          </w:p>
          <w:p w14:paraId="2C453B33" w14:textId="77777777" w:rsidR="00C04CAD" w:rsidRDefault="00060E34">
            <w:pPr>
              <w:keepNext/>
              <w:spacing w:line="240" w:lineRule="auto"/>
            </w:pPr>
            <w:r>
              <w:rPr>
                <w:rFonts w:eastAsia="PMingLiU"/>
                <w:bCs/>
                <w:szCs w:val="22"/>
                <w:lang w:eastAsia="en-US" w:bidi="ar-SA"/>
              </w:rPr>
              <w:t>Amgen</w:t>
            </w:r>
            <w:r>
              <w:t xml:space="preserve"> s.r.o.</w:t>
            </w:r>
          </w:p>
          <w:p w14:paraId="76FCD23D" w14:textId="77777777" w:rsidR="00C04CAD" w:rsidRDefault="00060E34">
            <w:pPr>
              <w:keepNext/>
              <w:spacing w:line="240" w:lineRule="auto"/>
              <w:rPr>
                <w:rFonts w:eastAsia="PMingLiU"/>
                <w:bCs/>
                <w:sz w:val="24"/>
                <w:szCs w:val="22"/>
                <w:lang w:eastAsia="en-US" w:bidi="ar-SA"/>
              </w:rPr>
            </w:pPr>
            <w:r>
              <w:t xml:space="preserve">Tel: +420 </w:t>
            </w:r>
            <w:r>
              <w:rPr>
                <w:rFonts w:eastAsia="PMingLiU"/>
                <w:bCs/>
                <w:szCs w:val="22"/>
              </w:rPr>
              <w:t>221 773 500</w:t>
            </w:r>
          </w:p>
          <w:p w14:paraId="5C1A6FA3" w14:textId="77777777" w:rsidR="00C04CAD" w:rsidRDefault="00C04CAD">
            <w:pPr>
              <w:tabs>
                <w:tab w:val="clear" w:pos="567"/>
              </w:tabs>
              <w:autoSpaceDE w:val="0"/>
              <w:autoSpaceDN w:val="0"/>
              <w:adjustRightInd w:val="0"/>
              <w:spacing w:line="240" w:lineRule="auto"/>
              <w:rPr>
                <w:sz w:val="24"/>
              </w:rPr>
            </w:pPr>
          </w:p>
        </w:tc>
        <w:tc>
          <w:tcPr>
            <w:tcW w:w="4679" w:type="dxa"/>
          </w:tcPr>
          <w:p w14:paraId="7D399541" w14:textId="77777777" w:rsidR="00C04CAD" w:rsidRDefault="00060E34">
            <w:pPr>
              <w:spacing w:line="240" w:lineRule="auto"/>
              <w:rPr>
                <w:rFonts w:eastAsia="MS Mincho"/>
                <w:b/>
                <w:sz w:val="24"/>
                <w:szCs w:val="24"/>
                <w:lang w:eastAsia="en-US" w:bidi="ar-SA"/>
              </w:rPr>
            </w:pPr>
            <w:r>
              <w:rPr>
                <w:b/>
              </w:rPr>
              <w:t>Magyarország</w:t>
            </w:r>
          </w:p>
          <w:p w14:paraId="251FE509" w14:textId="77777777" w:rsidR="00C04CAD" w:rsidRDefault="00060E34">
            <w:pPr>
              <w:spacing w:line="240" w:lineRule="auto"/>
            </w:pPr>
            <w:r>
              <w:rPr>
                <w:rFonts w:eastAsia="PMingLiU"/>
                <w:bCs/>
                <w:szCs w:val="22"/>
                <w:lang w:eastAsia="en-US" w:bidi="ar-SA"/>
              </w:rPr>
              <w:t>Amgen</w:t>
            </w:r>
            <w:r>
              <w:t xml:space="preserve"> Kft.</w:t>
            </w:r>
          </w:p>
          <w:p w14:paraId="53A25F03" w14:textId="77777777" w:rsidR="00C04CAD" w:rsidRDefault="00060E34">
            <w:pPr>
              <w:spacing w:line="240" w:lineRule="auto"/>
              <w:rPr>
                <w:rFonts w:eastAsia="PMingLiU"/>
                <w:bCs/>
                <w:sz w:val="24"/>
                <w:szCs w:val="22"/>
                <w:lang w:eastAsia="en-US" w:bidi="ar-SA"/>
              </w:rPr>
            </w:pPr>
            <w:r>
              <w:t>Tel</w:t>
            </w:r>
            <w:r>
              <w:rPr>
                <w:rFonts w:eastAsia="PMingLiU"/>
                <w:bCs/>
                <w:szCs w:val="22"/>
              </w:rPr>
              <w:t>.: +</w:t>
            </w:r>
            <w:r>
              <w:t xml:space="preserve">36 1 </w:t>
            </w:r>
            <w:r>
              <w:rPr>
                <w:rFonts w:eastAsia="PMingLiU"/>
                <w:bCs/>
                <w:szCs w:val="22"/>
              </w:rPr>
              <w:t>35 44 700</w:t>
            </w:r>
          </w:p>
          <w:p w14:paraId="1723E0A4" w14:textId="77777777" w:rsidR="00C04CAD" w:rsidRDefault="00C04CAD">
            <w:pPr>
              <w:tabs>
                <w:tab w:val="clear" w:pos="567"/>
              </w:tabs>
              <w:autoSpaceDE w:val="0"/>
              <w:autoSpaceDN w:val="0"/>
              <w:adjustRightInd w:val="0"/>
              <w:spacing w:line="240" w:lineRule="auto"/>
              <w:rPr>
                <w:sz w:val="24"/>
              </w:rPr>
            </w:pPr>
          </w:p>
        </w:tc>
      </w:tr>
      <w:tr w:rsidR="00C04CAD" w14:paraId="58014326" w14:textId="77777777">
        <w:trPr>
          <w:cantSplit/>
        </w:trPr>
        <w:tc>
          <w:tcPr>
            <w:tcW w:w="4677" w:type="dxa"/>
          </w:tcPr>
          <w:p w14:paraId="495DC25C" w14:textId="77777777" w:rsidR="00C04CAD" w:rsidRDefault="00060E34">
            <w:pPr>
              <w:spacing w:line="240" w:lineRule="auto"/>
            </w:pPr>
            <w:r>
              <w:rPr>
                <w:b/>
              </w:rPr>
              <w:t>Danmark</w:t>
            </w:r>
          </w:p>
          <w:p w14:paraId="2CF61878" w14:textId="77777777" w:rsidR="00C04CAD" w:rsidRDefault="00060E34">
            <w:pPr>
              <w:spacing w:line="240" w:lineRule="auto"/>
              <w:rPr>
                <w:rFonts w:eastAsia="PMingLiU"/>
                <w:szCs w:val="22"/>
                <w:lang w:eastAsia="en-US" w:bidi="ar-SA"/>
              </w:rPr>
            </w:pPr>
            <w:r>
              <w:rPr>
                <w:rFonts w:eastAsia="PMingLiU"/>
                <w:szCs w:val="22"/>
                <w:lang w:eastAsia="en-US" w:bidi="ar-SA"/>
              </w:rPr>
              <w:t>Amgen, filial af Amgen AB, Sverige</w:t>
            </w:r>
          </w:p>
          <w:p w14:paraId="78156D49" w14:textId="77777777" w:rsidR="00C04CAD" w:rsidRDefault="00060E34">
            <w:pPr>
              <w:spacing w:line="240" w:lineRule="auto"/>
              <w:rPr>
                <w:rFonts w:eastAsia="PMingLiU"/>
                <w:sz w:val="24"/>
                <w:szCs w:val="22"/>
                <w:lang w:eastAsia="en-US" w:bidi="ar-SA"/>
              </w:rPr>
            </w:pPr>
            <w:r>
              <w:t>Tlf</w:t>
            </w:r>
            <w:ins w:id="322" w:author="Author">
              <w:r>
                <w:t>.</w:t>
              </w:r>
            </w:ins>
            <w:r>
              <w:t xml:space="preserve">: +45 </w:t>
            </w:r>
            <w:r>
              <w:rPr>
                <w:rFonts w:eastAsia="PMingLiU"/>
                <w:szCs w:val="22"/>
              </w:rPr>
              <w:t>39617500</w:t>
            </w:r>
          </w:p>
          <w:p w14:paraId="690E847A" w14:textId="77777777" w:rsidR="00C04CAD" w:rsidRDefault="00C04CAD">
            <w:pPr>
              <w:tabs>
                <w:tab w:val="clear" w:pos="567"/>
              </w:tabs>
              <w:autoSpaceDE w:val="0"/>
              <w:autoSpaceDN w:val="0"/>
              <w:adjustRightInd w:val="0"/>
              <w:spacing w:line="240" w:lineRule="auto"/>
              <w:rPr>
                <w:sz w:val="24"/>
              </w:rPr>
            </w:pPr>
          </w:p>
        </w:tc>
        <w:tc>
          <w:tcPr>
            <w:tcW w:w="4679" w:type="dxa"/>
          </w:tcPr>
          <w:p w14:paraId="6CFD1901" w14:textId="77777777" w:rsidR="00C04CAD" w:rsidRDefault="00060E34">
            <w:pPr>
              <w:spacing w:line="240" w:lineRule="auto"/>
              <w:rPr>
                <w:rFonts w:eastAsia="MS Mincho"/>
                <w:b/>
                <w:sz w:val="24"/>
                <w:szCs w:val="24"/>
                <w:lang w:eastAsia="en-US" w:bidi="ar-SA"/>
              </w:rPr>
            </w:pPr>
            <w:r>
              <w:rPr>
                <w:b/>
              </w:rPr>
              <w:t>Malta</w:t>
            </w:r>
          </w:p>
          <w:p w14:paraId="44B52FA7" w14:textId="77777777" w:rsidR="00C04CAD" w:rsidRDefault="00060E34">
            <w:pPr>
              <w:pStyle w:val="lbltxt"/>
              <w:rPr>
                <w:szCs w:val="22"/>
                <w:lang w:val="ro-RO"/>
              </w:rPr>
            </w:pPr>
            <w:r>
              <w:rPr>
                <w:szCs w:val="22"/>
                <w:lang w:val="ro-RO"/>
              </w:rPr>
              <w:t>Amgen S.r.l.</w:t>
            </w:r>
          </w:p>
          <w:p w14:paraId="75F1EFE8" w14:textId="77777777" w:rsidR="00C04CAD" w:rsidRDefault="00060E34">
            <w:pPr>
              <w:pStyle w:val="lbltxt"/>
              <w:rPr>
                <w:szCs w:val="22"/>
                <w:lang w:val="ro-RO"/>
              </w:rPr>
            </w:pPr>
            <w:r>
              <w:rPr>
                <w:szCs w:val="22"/>
                <w:lang w:val="ro-RO"/>
              </w:rPr>
              <w:t>Italy</w:t>
            </w:r>
          </w:p>
          <w:p w14:paraId="5D8D9A1B" w14:textId="77777777" w:rsidR="00C04CAD" w:rsidRDefault="00060E34">
            <w:pPr>
              <w:pStyle w:val="lbltxt"/>
              <w:rPr>
                <w:szCs w:val="22"/>
                <w:lang w:val="ro-RO"/>
              </w:rPr>
            </w:pPr>
            <w:r>
              <w:rPr>
                <w:szCs w:val="22"/>
                <w:lang w:val="ro-RO"/>
              </w:rPr>
              <w:t>Tel: +39 02 6241121</w:t>
            </w:r>
          </w:p>
          <w:p w14:paraId="1C5DDD58" w14:textId="77777777" w:rsidR="00C04CAD" w:rsidRDefault="00C04CAD">
            <w:pPr>
              <w:tabs>
                <w:tab w:val="clear" w:pos="567"/>
              </w:tabs>
              <w:autoSpaceDE w:val="0"/>
              <w:autoSpaceDN w:val="0"/>
              <w:adjustRightInd w:val="0"/>
              <w:spacing w:line="240" w:lineRule="auto"/>
              <w:rPr>
                <w:sz w:val="24"/>
              </w:rPr>
            </w:pPr>
          </w:p>
        </w:tc>
      </w:tr>
      <w:tr w:rsidR="00C04CAD" w14:paraId="6AA1BC63" w14:textId="77777777">
        <w:trPr>
          <w:cantSplit/>
        </w:trPr>
        <w:tc>
          <w:tcPr>
            <w:tcW w:w="4677" w:type="dxa"/>
          </w:tcPr>
          <w:p w14:paraId="4379DBE6" w14:textId="77777777" w:rsidR="00C04CAD" w:rsidRDefault="00060E34">
            <w:pPr>
              <w:spacing w:line="240" w:lineRule="auto"/>
            </w:pPr>
            <w:r>
              <w:rPr>
                <w:b/>
              </w:rPr>
              <w:t>Deutschland</w:t>
            </w:r>
          </w:p>
          <w:p w14:paraId="34F5F141" w14:textId="77777777" w:rsidR="00C04CAD" w:rsidRDefault="00060E34">
            <w:pPr>
              <w:spacing w:line="240" w:lineRule="auto"/>
            </w:pPr>
            <w:r>
              <w:rPr>
                <w:rFonts w:eastAsia="PMingLiU"/>
                <w:szCs w:val="22"/>
                <w:lang w:eastAsia="en-US" w:bidi="ar-SA"/>
              </w:rPr>
              <w:t>Amgen</w:t>
            </w:r>
            <w:r>
              <w:t xml:space="preserve"> GmbH</w:t>
            </w:r>
          </w:p>
          <w:p w14:paraId="5A351743" w14:textId="77777777" w:rsidR="00C04CAD" w:rsidRDefault="00060E34">
            <w:pPr>
              <w:spacing w:line="240" w:lineRule="auto"/>
              <w:rPr>
                <w:rFonts w:eastAsia="PMingLiU"/>
                <w:szCs w:val="22"/>
                <w:lang w:eastAsia="en-US" w:bidi="ar-SA"/>
              </w:rPr>
            </w:pPr>
            <w:r>
              <w:t>Tel</w:t>
            </w:r>
            <w:r>
              <w:rPr>
                <w:rFonts w:eastAsia="PMingLiU"/>
                <w:szCs w:val="22"/>
              </w:rPr>
              <w:t>:</w:t>
            </w:r>
            <w:r>
              <w:t xml:space="preserve"> +49 </w:t>
            </w:r>
            <w:r>
              <w:rPr>
                <w:rFonts w:eastAsia="PMingLiU"/>
                <w:szCs w:val="22"/>
              </w:rPr>
              <w:t>89 1490960</w:t>
            </w:r>
          </w:p>
          <w:p w14:paraId="41CA5E93" w14:textId="77777777" w:rsidR="00C04CAD" w:rsidRDefault="00C04CAD">
            <w:pPr>
              <w:tabs>
                <w:tab w:val="clear" w:pos="567"/>
              </w:tabs>
              <w:autoSpaceDE w:val="0"/>
              <w:autoSpaceDN w:val="0"/>
              <w:adjustRightInd w:val="0"/>
              <w:spacing w:line="240" w:lineRule="auto"/>
              <w:rPr>
                <w:sz w:val="24"/>
              </w:rPr>
            </w:pPr>
          </w:p>
        </w:tc>
        <w:tc>
          <w:tcPr>
            <w:tcW w:w="4679" w:type="dxa"/>
          </w:tcPr>
          <w:p w14:paraId="0B9B0333" w14:textId="77777777" w:rsidR="00C04CAD" w:rsidRDefault="00060E34">
            <w:pPr>
              <w:spacing w:line="240" w:lineRule="auto"/>
              <w:rPr>
                <w:rFonts w:eastAsia="MS Mincho"/>
                <w:sz w:val="24"/>
                <w:szCs w:val="24"/>
                <w:lang w:eastAsia="en-US" w:bidi="ar-SA"/>
              </w:rPr>
            </w:pPr>
            <w:r>
              <w:rPr>
                <w:b/>
              </w:rPr>
              <w:t>Nederland</w:t>
            </w:r>
          </w:p>
          <w:p w14:paraId="54D66E2E" w14:textId="77777777" w:rsidR="00C04CAD" w:rsidRDefault="00060E34">
            <w:pPr>
              <w:spacing w:line="240" w:lineRule="auto"/>
            </w:pPr>
            <w:r>
              <w:rPr>
                <w:rFonts w:eastAsia="PMingLiU"/>
                <w:szCs w:val="22"/>
                <w:lang w:eastAsia="en-US" w:bidi="ar-SA"/>
              </w:rPr>
              <w:t>Amgen</w:t>
            </w:r>
            <w:r>
              <w:t xml:space="preserve"> B.V.</w:t>
            </w:r>
          </w:p>
          <w:p w14:paraId="414DAC75" w14:textId="77777777" w:rsidR="00C04CAD" w:rsidRDefault="00060E34">
            <w:pPr>
              <w:spacing w:line="240" w:lineRule="auto"/>
              <w:rPr>
                <w:rFonts w:eastAsia="PMingLiU"/>
                <w:bCs/>
                <w:sz w:val="24"/>
                <w:szCs w:val="22"/>
                <w:lang w:eastAsia="en-US" w:bidi="ar-SA"/>
              </w:rPr>
            </w:pPr>
            <w:r>
              <w:t>Tel: +31 (0)</w:t>
            </w:r>
            <w:r>
              <w:rPr>
                <w:rFonts w:eastAsia="PMingLiU"/>
                <w:szCs w:val="22"/>
              </w:rPr>
              <w:t>76 5732500</w:t>
            </w:r>
          </w:p>
          <w:p w14:paraId="5BDDE4DC" w14:textId="77777777" w:rsidR="00C04CAD" w:rsidRDefault="00C04CAD">
            <w:pPr>
              <w:tabs>
                <w:tab w:val="clear" w:pos="567"/>
              </w:tabs>
              <w:autoSpaceDE w:val="0"/>
              <w:autoSpaceDN w:val="0"/>
              <w:adjustRightInd w:val="0"/>
              <w:spacing w:line="240" w:lineRule="auto"/>
              <w:rPr>
                <w:sz w:val="24"/>
              </w:rPr>
            </w:pPr>
          </w:p>
        </w:tc>
      </w:tr>
      <w:tr w:rsidR="00C04CAD" w14:paraId="7ACF2A6C" w14:textId="77777777">
        <w:trPr>
          <w:cantSplit/>
        </w:trPr>
        <w:tc>
          <w:tcPr>
            <w:tcW w:w="4677" w:type="dxa"/>
          </w:tcPr>
          <w:p w14:paraId="59C51474" w14:textId="77777777" w:rsidR="00C04CAD" w:rsidRDefault="00060E34">
            <w:pPr>
              <w:spacing w:line="240" w:lineRule="auto"/>
              <w:rPr>
                <w:b/>
              </w:rPr>
            </w:pPr>
            <w:r>
              <w:rPr>
                <w:b/>
              </w:rPr>
              <w:t>Eesti</w:t>
            </w:r>
          </w:p>
          <w:p w14:paraId="78AE94F5" w14:textId="77777777" w:rsidR="00C04CAD" w:rsidRDefault="00060E34">
            <w:pPr>
              <w:spacing w:line="240" w:lineRule="auto"/>
              <w:rPr>
                <w:rFonts w:eastAsia="PMingLiU"/>
                <w:bCs/>
                <w:szCs w:val="22"/>
                <w:lang w:eastAsia="en-US" w:bidi="ar-SA"/>
              </w:rPr>
            </w:pPr>
            <w:r>
              <w:rPr>
                <w:rFonts w:eastAsia="PMingLiU"/>
                <w:bCs/>
                <w:szCs w:val="22"/>
                <w:lang w:eastAsia="en-US" w:bidi="ar-SA"/>
              </w:rPr>
              <w:t xml:space="preserve">Amgen Switzerland AG </w:t>
            </w:r>
            <w:r>
              <w:rPr>
                <w:rFonts w:eastAsia="PMingLiU"/>
                <w:szCs w:val="22"/>
                <w:lang w:eastAsia="en-US" w:bidi="ar-SA"/>
              </w:rPr>
              <w:t>Vilniaus filialas</w:t>
            </w:r>
          </w:p>
          <w:p w14:paraId="5C956DA5" w14:textId="77777777" w:rsidR="00C04CAD" w:rsidRDefault="00060E34">
            <w:pPr>
              <w:spacing w:line="240" w:lineRule="auto"/>
              <w:rPr>
                <w:rFonts w:eastAsia="PMingLiU"/>
                <w:sz w:val="24"/>
                <w:szCs w:val="22"/>
                <w:lang w:eastAsia="en-US" w:bidi="ar-SA"/>
              </w:rPr>
            </w:pPr>
            <w:r>
              <w:t xml:space="preserve">Tel: +372 </w:t>
            </w:r>
            <w:r>
              <w:rPr>
                <w:rFonts w:eastAsia="PMingLiU"/>
                <w:szCs w:val="22"/>
              </w:rPr>
              <w:t>586 09553</w:t>
            </w:r>
          </w:p>
          <w:p w14:paraId="6B9C297B" w14:textId="77777777" w:rsidR="00C04CAD" w:rsidRDefault="00C04CAD">
            <w:pPr>
              <w:tabs>
                <w:tab w:val="clear" w:pos="567"/>
              </w:tabs>
              <w:autoSpaceDE w:val="0"/>
              <w:autoSpaceDN w:val="0"/>
              <w:adjustRightInd w:val="0"/>
              <w:spacing w:line="240" w:lineRule="auto"/>
              <w:rPr>
                <w:sz w:val="24"/>
              </w:rPr>
            </w:pPr>
          </w:p>
        </w:tc>
        <w:tc>
          <w:tcPr>
            <w:tcW w:w="4679" w:type="dxa"/>
          </w:tcPr>
          <w:p w14:paraId="60F04C04" w14:textId="77777777" w:rsidR="00C04CAD" w:rsidRDefault="00060E34">
            <w:pPr>
              <w:spacing w:line="240" w:lineRule="auto"/>
              <w:rPr>
                <w:rFonts w:eastAsia="MS Mincho"/>
                <w:b/>
                <w:sz w:val="24"/>
                <w:szCs w:val="24"/>
                <w:lang w:eastAsia="en-US" w:bidi="ar-SA"/>
              </w:rPr>
            </w:pPr>
            <w:r>
              <w:rPr>
                <w:b/>
              </w:rPr>
              <w:t>Norge</w:t>
            </w:r>
          </w:p>
          <w:p w14:paraId="7DA12ADD" w14:textId="77777777" w:rsidR="00C04CAD" w:rsidRDefault="00060E34">
            <w:pPr>
              <w:spacing w:line="240" w:lineRule="auto"/>
              <w:rPr>
                <w:rFonts w:eastAsia="PMingLiU"/>
                <w:szCs w:val="22"/>
                <w:lang w:eastAsia="en-US" w:bidi="ar-SA"/>
              </w:rPr>
            </w:pPr>
            <w:r>
              <w:rPr>
                <w:rFonts w:eastAsia="PMingLiU"/>
                <w:szCs w:val="22"/>
                <w:lang w:eastAsia="en-US" w:bidi="ar-SA"/>
              </w:rPr>
              <w:t>Amgen AB</w:t>
            </w:r>
          </w:p>
          <w:p w14:paraId="2AF65254" w14:textId="77777777" w:rsidR="00C04CAD" w:rsidRDefault="00060E34">
            <w:pPr>
              <w:spacing w:line="240" w:lineRule="auto"/>
              <w:rPr>
                <w:rFonts w:eastAsia="PMingLiU"/>
                <w:szCs w:val="22"/>
                <w:lang w:eastAsia="en-US" w:bidi="ar-SA"/>
              </w:rPr>
            </w:pPr>
            <w:r>
              <w:rPr>
                <w:rFonts w:eastAsia="PMingLiU"/>
                <w:szCs w:val="22"/>
                <w:lang w:eastAsia="en-US" w:bidi="ar-SA"/>
              </w:rPr>
              <w:t>Tlf</w:t>
            </w:r>
            <w:r>
              <w:t xml:space="preserve">: +47 </w:t>
            </w:r>
            <w:r>
              <w:rPr>
                <w:rFonts w:eastAsia="PMingLiU"/>
                <w:szCs w:val="22"/>
              </w:rPr>
              <w:t>23308000</w:t>
            </w:r>
          </w:p>
          <w:p w14:paraId="46C125AD" w14:textId="77777777" w:rsidR="00C04CAD" w:rsidRDefault="00C04CAD">
            <w:pPr>
              <w:tabs>
                <w:tab w:val="clear" w:pos="567"/>
              </w:tabs>
              <w:autoSpaceDE w:val="0"/>
              <w:autoSpaceDN w:val="0"/>
              <w:adjustRightInd w:val="0"/>
              <w:spacing w:line="240" w:lineRule="auto"/>
              <w:rPr>
                <w:sz w:val="24"/>
              </w:rPr>
            </w:pPr>
          </w:p>
        </w:tc>
      </w:tr>
      <w:tr w:rsidR="00C04CAD" w14:paraId="51202CD1" w14:textId="77777777">
        <w:trPr>
          <w:cantSplit/>
        </w:trPr>
        <w:tc>
          <w:tcPr>
            <w:tcW w:w="4677" w:type="dxa"/>
          </w:tcPr>
          <w:p w14:paraId="789B637F" w14:textId="77777777" w:rsidR="00C04CAD" w:rsidRDefault="00060E34">
            <w:pPr>
              <w:spacing w:line="240" w:lineRule="auto"/>
              <w:rPr>
                <w:b/>
              </w:rPr>
            </w:pPr>
            <w:r>
              <w:rPr>
                <w:b/>
              </w:rPr>
              <w:t>Ελλάδα</w:t>
            </w:r>
          </w:p>
          <w:p w14:paraId="7C44FF7C" w14:textId="77777777" w:rsidR="00C04CAD" w:rsidRDefault="00060E34">
            <w:pPr>
              <w:spacing w:line="240" w:lineRule="auto"/>
              <w:rPr>
                <w:rFonts w:eastAsia="PMingLiU"/>
                <w:szCs w:val="22"/>
                <w:lang w:eastAsia="en-US" w:bidi="ar-SA"/>
              </w:rPr>
            </w:pPr>
            <w:r>
              <w:rPr>
                <w:rFonts w:eastAsia="PMingLiU"/>
                <w:szCs w:val="22"/>
                <w:lang w:eastAsia="en-US" w:bidi="ar-SA"/>
              </w:rPr>
              <w:t xml:space="preserve">Amgen Ελλάς Φαρμακευτικά Ε.Π.Ε. </w:t>
            </w:r>
          </w:p>
          <w:p w14:paraId="7E0A3E17" w14:textId="77777777" w:rsidR="00C04CAD" w:rsidRDefault="00060E34">
            <w:pPr>
              <w:spacing w:line="240" w:lineRule="auto"/>
              <w:rPr>
                <w:rFonts w:eastAsia="PMingLiU"/>
                <w:sz w:val="24"/>
                <w:szCs w:val="22"/>
                <w:lang w:eastAsia="en-US" w:bidi="ar-SA"/>
              </w:rPr>
            </w:pPr>
            <w:r>
              <w:t>Τηλ</w:t>
            </w:r>
            <w:r>
              <w:rPr>
                <w:rFonts w:eastAsia="PMingLiU"/>
                <w:szCs w:val="22"/>
              </w:rPr>
              <w:t>:</w:t>
            </w:r>
            <w:r>
              <w:t xml:space="preserve"> +30 </w:t>
            </w:r>
            <w:r>
              <w:rPr>
                <w:rFonts w:eastAsia="PMingLiU"/>
                <w:szCs w:val="22"/>
              </w:rPr>
              <w:t>210 3447000</w:t>
            </w:r>
          </w:p>
          <w:p w14:paraId="69FCF6E8" w14:textId="77777777" w:rsidR="00C04CAD" w:rsidRDefault="00C04CAD">
            <w:pPr>
              <w:tabs>
                <w:tab w:val="clear" w:pos="567"/>
              </w:tabs>
              <w:autoSpaceDE w:val="0"/>
              <w:autoSpaceDN w:val="0"/>
              <w:adjustRightInd w:val="0"/>
              <w:spacing w:line="240" w:lineRule="auto"/>
              <w:rPr>
                <w:sz w:val="24"/>
              </w:rPr>
            </w:pPr>
          </w:p>
        </w:tc>
        <w:tc>
          <w:tcPr>
            <w:tcW w:w="4679" w:type="dxa"/>
          </w:tcPr>
          <w:p w14:paraId="28991A8B" w14:textId="77777777" w:rsidR="00C04CAD" w:rsidRDefault="00060E34">
            <w:pPr>
              <w:spacing w:line="240" w:lineRule="auto"/>
              <w:rPr>
                <w:rFonts w:eastAsia="MS Mincho"/>
                <w:sz w:val="24"/>
                <w:szCs w:val="24"/>
                <w:lang w:eastAsia="en-US" w:bidi="ar-SA"/>
              </w:rPr>
            </w:pPr>
            <w:r>
              <w:rPr>
                <w:b/>
              </w:rPr>
              <w:t>Österreich</w:t>
            </w:r>
          </w:p>
          <w:p w14:paraId="149C0E6E" w14:textId="77777777" w:rsidR="00C04CAD" w:rsidRDefault="00060E34">
            <w:pPr>
              <w:spacing w:line="240" w:lineRule="auto"/>
            </w:pPr>
            <w:r>
              <w:rPr>
                <w:rFonts w:eastAsia="PMingLiU"/>
                <w:szCs w:val="22"/>
                <w:lang w:eastAsia="en-US" w:bidi="ar-SA"/>
              </w:rPr>
              <w:t>Amgen</w:t>
            </w:r>
            <w:r>
              <w:t xml:space="preserve"> GmbH</w:t>
            </w:r>
            <w:r>
              <w:rPr>
                <w:rFonts w:eastAsia="PMingLiU"/>
                <w:szCs w:val="22"/>
              </w:rPr>
              <w:t xml:space="preserve"> </w:t>
            </w:r>
          </w:p>
          <w:p w14:paraId="41E253D3" w14:textId="77777777" w:rsidR="00C04CAD" w:rsidRDefault="00060E34">
            <w:pPr>
              <w:spacing w:line="240" w:lineRule="auto"/>
              <w:rPr>
                <w:rFonts w:eastAsia="PMingLiU"/>
                <w:sz w:val="24"/>
                <w:szCs w:val="22"/>
                <w:lang w:eastAsia="en-US" w:bidi="ar-SA"/>
              </w:rPr>
            </w:pPr>
            <w:r>
              <w:t xml:space="preserve">Tel: +43 </w:t>
            </w:r>
            <w:r>
              <w:rPr>
                <w:rFonts w:eastAsia="PMingLiU"/>
                <w:szCs w:val="22"/>
              </w:rPr>
              <w:t>(0)</w:t>
            </w:r>
            <w:r>
              <w:t xml:space="preserve">1 </w:t>
            </w:r>
            <w:r>
              <w:rPr>
                <w:rFonts w:eastAsia="PMingLiU"/>
                <w:szCs w:val="22"/>
              </w:rPr>
              <w:t>50 217</w:t>
            </w:r>
          </w:p>
          <w:p w14:paraId="22B69288" w14:textId="77777777" w:rsidR="00C04CAD" w:rsidRDefault="00C04CAD">
            <w:pPr>
              <w:tabs>
                <w:tab w:val="clear" w:pos="567"/>
              </w:tabs>
              <w:autoSpaceDE w:val="0"/>
              <w:autoSpaceDN w:val="0"/>
              <w:adjustRightInd w:val="0"/>
              <w:spacing w:line="240" w:lineRule="auto"/>
              <w:rPr>
                <w:sz w:val="24"/>
              </w:rPr>
            </w:pPr>
          </w:p>
        </w:tc>
      </w:tr>
      <w:tr w:rsidR="00C04CAD" w14:paraId="40AD00D3" w14:textId="77777777">
        <w:trPr>
          <w:cantSplit/>
        </w:trPr>
        <w:tc>
          <w:tcPr>
            <w:tcW w:w="4677" w:type="dxa"/>
          </w:tcPr>
          <w:p w14:paraId="5A643DB8" w14:textId="77777777" w:rsidR="00C04CAD" w:rsidRDefault="00060E34">
            <w:pPr>
              <w:keepNext/>
              <w:spacing w:line="240" w:lineRule="auto"/>
            </w:pPr>
            <w:r>
              <w:rPr>
                <w:b/>
              </w:rPr>
              <w:t>España</w:t>
            </w:r>
          </w:p>
          <w:p w14:paraId="52A095FB" w14:textId="77777777" w:rsidR="00C04CAD" w:rsidRDefault="00060E34">
            <w:pPr>
              <w:keepNext/>
              <w:spacing w:line="240" w:lineRule="auto"/>
            </w:pPr>
            <w:r>
              <w:rPr>
                <w:rFonts w:eastAsia="PMingLiU"/>
                <w:szCs w:val="22"/>
                <w:lang w:eastAsia="en-US" w:bidi="ar-SA"/>
              </w:rPr>
              <w:t>Amgen</w:t>
            </w:r>
            <w:r>
              <w:t xml:space="preserve"> S.</w:t>
            </w:r>
            <w:r>
              <w:rPr>
                <w:rFonts w:eastAsia="PMingLiU"/>
                <w:szCs w:val="22"/>
              </w:rPr>
              <w:t>A</w:t>
            </w:r>
            <w:r>
              <w:t>.</w:t>
            </w:r>
          </w:p>
          <w:p w14:paraId="75A6ABBA" w14:textId="77777777" w:rsidR="00C04CAD" w:rsidRDefault="00060E34">
            <w:pPr>
              <w:keepNext/>
              <w:spacing w:line="240" w:lineRule="auto"/>
              <w:rPr>
                <w:rFonts w:eastAsia="PMingLiU"/>
                <w:sz w:val="24"/>
                <w:szCs w:val="22"/>
                <w:lang w:eastAsia="en-US" w:bidi="ar-SA"/>
              </w:rPr>
            </w:pPr>
            <w:r>
              <w:t xml:space="preserve">Tel: +34 </w:t>
            </w:r>
            <w:r>
              <w:rPr>
                <w:rFonts w:eastAsia="PMingLiU"/>
                <w:szCs w:val="22"/>
              </w:rPr>
              <w:t xml:space="preserve">93 600 18 60 </w:t>
            </w:r>
          </w:p>
          <w:p w14:paraId="1616EDD7" w14:textId="77777777" w:rsidR="00C04CAD" w:rsidRDefault="00C04CAD">
            <w:pPr>
              <w:keepNext/>
              <w:tabs>
                <w:tab w:val="clear" w:pos="567"/>
              </w:tabs>
              <w:autoSpaceDE w:val="0"/>
              <w:autoSpaceDN w:val="0"/>
              <w:adjustRightInd w:val="0"/>
              <w:spacing w:line="240" w:lineRule="auto"/>
              <w:rPr>
                <w:sz w:val="24"/>
              </w:rPr>
            </w:pPr>
          </w:p>
        </w:tc>
        <w:tc>
          <w:tcPr>
            <w:tcW w:w="4679" w:type="dxa"/>
          </w:tcPr>
          <w:p w14:paraId="08AF20E8" w14:textId="77777777" w:rsidR="00C04CAD" w:rsidRDefault="00060E34">
            <w:pPr>
              <w:keepNext/>
              <w:spacing w:line="240" w:lineRule="auto"/>
              <w:rPr>
                <w:rFonts w:eastAsia="MS Mincho"/>
                <w:b/>
                <w:sz w:val="24"/>
                <w:szCs w:val="24"/>
                <w:lang w:eastAsia="en-US" w:bidi="ar-SA"/>
              </w:rPr>
            </w:pPr>
            <w:r>
              <w:rPr>
                <w:b/>
              </w:rPr>
              <w:t>Polska</w:t>
            </w:r>
          </w:p>
          <w:p w14:paraId="418E28EA" w14:textId="77777777" w:rsidR="00C04CAD" w:rsidRDefault="00060E34">
            <w:pPr>
              <w:keepNext/>
              <w:spacing w:line="240" w:lineRule="auto"/>
            </w:pPr>
            <w:r>
              <w:rPr>
                <w:rFonts w:eastAsia="PMingLiU"/>
                <w:szCs w:val="22"/>
                <w:lang w:eastAsia="en-US" w:bidi="ar-SA"/>
              </w:rPr>
              <w:t xml:space="preserve">Amgen </w:t>
            </w:r>
            <w:r>
              <w:rPr>
                <w:rFonts w:eastAsia="PMingLiU"/>
                <w:color w:val="000000"/>
                <w:szCs w:val="22"/>
                <w:lang w:eastAsia="en-GB" w:bidi="ar-SA"/>
              </w:rPr>
              <w:t>Biotechnologia</w:t>
            </w:r>
            <w:r>
              <w:t xml:space="preserve"> Sp. z o.o.</w:t>
            </w:r>
          </w:p>
          <w:p w14:paraId="05C48189" w14:textId="77777777" w:rsidR="00C04CAD" w:rsidRDefault="00060E34">
            <w:pPr>
              <w:keepNext/>
              <w:spacing w:line="240" w:lineRule="auto"/>
              <w:rPr>
                <w:rFonts w:eastAsia="PMingLiU"/>
                <w:bCs/>
                <w:sz w:val="24"/>
                <w:szCs w:val="22"/>
                <w:lang w:eastAsia="en-US" w:bidi="ar-SA"/>
              </w:rPr>
            </w:pPr>
            <w:r>
              <w:t xml:space="preserve">Tel.: +48 22 </w:t>
            </w:r>
            <w:r>
              <w:rPr>
                <w:rFonts w:eastAsia="PMingLiU"/>
                <w:bCs/>
                <w:szCs w:val="22"/>
              </w:rPr>
              <w:t>581 3000</w:t>
            </w:r>
          </w:p>
          <w:p w14:paraId="5EAA2728" w14:textId="77777777" w:rsidR="00C04CAD" w:rsidRDefault="00C04CAD">
            <w:pPr>
              <w:keepNext/>
              <w:tabs>
                <w:tab w:val="clear" w:pos="567"/>
              </w:tabs>
              <w:autoSpaceDE w:val="0"/>
              <w:autoSpaceDN w:val="0"/>
              <w:adjustRightInd w:val="0"/>
              <w:spacing w:line="240" w:lineRule="auto"/>
              <w:rPr>
                <w:sz w:val="24"/>
              </w:rPr>
            </w:pPr>
          </w:p>
        </w:tc>
      </w:tr>
      <w:tr w:rsidR="00C04CAD" w14:paraId="0CBD39FA" w14:textId="77777777">
        <w:trPr>
          <w:cantSplit/>
        </w:trPr>
        <w:tc>
          <w:tcPr>
            <w:tcW w:w="4677" w:type="dxa"/>
          </w:tcPr>
          <w:p w14:paraId="48056995" w14:textId="77777777" w:rsidR="00C04CAD" w:rsidRDefault="00060E34">
            <w:pPr>
              <w:spacing w:line="240" w:lineRule="auto"/>
              <w:rPr>
                <w:szCs w:val="22"/>
              </w:rPr>
            </w:pPr>
            <w:r>
              <w:rPr>
                <w:b/>
                <w:szCs w:val="22"/>
              </w:rPr>
              <w:t>France</w:t>
            </w:r>
          </w:p>
          <w:p w14:paraId="12B0452F" w14:textId="77777777" w:rsidR="00C04CAD" w:rsidRDefault="00060E34">
            <w:pPr>
              <w:spacing w:line="240" w:lineRule="auto"/>
              <w:rPr>
                <w:rFonts w:eastAsia="PMingLiU"/>
                <w:szCs w:val="22"/>
                <w:lang w:eastAsia="en-US" w:bidi="ar-SA"/>
              </w:rPr>
            </w:pPr>
            <w:r>
              <w:rPr>
                <w:rFonts w:eastAsia="PMingLiU"/>
                <w:szCs w:val="22"/>
                <w:lang w:eastAsia="en-US" w:bidi="ar-SA"/>
              </w:rPr>
              <w:t>Amgen S.A.S.</w:t>
            </w:r>
          </w:p>
          <w:p w14:paraId="0F5ADD91" w14:textId="77777777" w:rsidR="00C04CAD" w:rsidRDefault="00060E34">
            <w:pPr>
              <w:tabs>
                <w:tab w:val="clear" w:pos="567"/>
              </w:tabs>
              <w:autoSpaceDE w:val="0"/>
              <w:autoSpaceDN w:val="0"/>
              <w:adjustRightInd w:val="0"/>
              <w:spacing w:line="240" w:lineRule="auto"/>
              <w:rPr>
                <w:rFonts w:eastAsia="MS Mincho"/>
                <w:szCs w:val="22"/>
                <w:lang w:eastAsia="en-IN" w:bidi="ar-SA"/>
              </w:rPr>
            </w:pPr>
            <w:r>
              <w:rPr>
                <w:szCs w:val="22"/>
              </w:rPr>
              <w:t>Tél: +33 (0)9 69 363 363</w:t>
            </w:r>
          </w:p>
          <w:p w14:paraId="2BF2ADB6" w14:textId="77777777" w:rsidR="00C04CAD" w:rsidRDefault="00C04CAD">
            <w:pPr>
              <w:tabs>
                <w:tab w:val="clear" w:pos="567"/>
              </w:tabs>
              <w:autoSpaceDE w:val="0"/>
              <w:autoSpaceDN w:val="0"/>
              <w:adjustRightInd w:val="0"/>
              <w:spacing w:line="240" w:lineRule="auto"/>
              <w:rPr>
                <w:szCs w:val="22"/>
              </w:rPr>
            </w:pPr>
          </w:p>
        </w:tc>
        <w:tc>
          <w:tcPr>
            <w:tcW w:w="4679" w:type="dxa"/>
          </w:tcPr>
          <w:p w14:paraId="17FEF523" w14:textId="77777777" w:rsidR="00C04CAD" w:rsidRDefault="00060E34">
            <w:pPr>
              <w:spacing w:line="240" w:lineRule="auto"/>
              <w:rPr>
                <w:rFonts w:eastAsia="MS Mincho"/>
                <w:szCs w:val="22"/>
                <w:lang w:eastAsia="en-US" w:bidi="ar-SA"/>
              </w:rPr>
            </w:pPr>
            <w:r>
              <w:rPr>
                <w:b/>
                <w:szCs w:val="22"/>
              </w:rPr>
              <w:t>Portugal</w:t>
            </w:r>
          </w:p>
          <w:p w14:paraId="2B0F0746" w14:textId="77777777" w:rsidR="00C04CAD" w:rsidRDefault="00060E34">
            <w:pPr>
              <w:spacing w:line="240" w:lineRule="auto"/>
              <w:rPr>
                <w:szCs w:val="22"/>
              </w:rPr>
            </w:pPr>
            <w:r>
              <w:rPr>
                <w:rFonts w:eastAsia="PMingLiU"/>
                <w:szCs w:val="22"/>
                <w:lang w:eastAsia="en-US" w:bidi="ar-SA"/>
              </w:rPr>
              <w:t>Amgen Biofarmacêutica</w:t>
            </w:r>
            <w:r>
              <w:rPr>
                <w:szCs w:val="22"/>
              </w:rPr>
              <w:t>, Lda.</w:t>
            </w:r>
          </w:p>
          <w:p w14:paraId="7A96CDCF" w14:textId="77777777" w:rsidR="00C04CAD" w:rsidRDefault="00060E34">
            <w:pPr>
              <w:spacing w:line="240" w:lineRule="auto"/>
              <w:rPr>
                <w:rFonts w:eastAsia="PMingLiU"/>
                <w:szCs w:val="22"/>
                <w:lang w:eastAsia="en-US" w:bidi="ar-SA"/>
              </w:rPr>
            </w:pPr>
            <w:r>
              <w:rPr>
                <w:szCs w:val="22"/>
              </w:rPr>
              <w:t xml:space="preserve">Tel: +351 21 </w:t>
            </w:r>
            <w:r>
              <w:rPr>
                <w:rFonts w:eastAsia="PMingLiU"/>
                <w:szCs w:val="22"/>
              </w:rPr>
              <w:t>4220606</w:t>
            </w:r>
          </w:p>
          <w:p w14:paraId="0662860C" w14:textId="77777777" w:rsidR="00C04CAD" w:rsidRDefault="00C04CAD">
            <w:pPr>
              <w:tabs>
                <w:tab w:val="clear" w:pos="567"/>
              </w:tabs>
              <w:autoSpaceDE w:val="0"/>
              <w:autoSpaceDN w:val="0"/>
              <w:adjustRightInd w:val="0"/>
              <w:spacing w:line="240" w:lineRule="auto"/>
              <w:rPr>
                <w:szCs w:val="22"/>
              </w:rPr>
            </w:pPr>
          </w:p>
        </w:tc>
      </w:tr>
      <w:tr w:rsidR="00C04CAD" w14:paraId="697E2B42" w14:textId="77777777">
        <w:trPr>
          <w:cantSplit/>
        </w:trPr>
        <w:tc>
          <w:tcPr>
            <w:tcW w:w="4677" w:type="dxa"/>
          </w:tcPr>
          <w:p w14:paraId="5265E776" w14:textId="77777777" w:rsidR="00C04CAD" w:rsidRDefault="00060E34">
            <w:pPr>
              <w:keepNext/>
              <w:keepLines/>
              <w:tabs>
                <w:tab w:val="clear" w:pos="567"/>
              </w:tabs>
              <w:autoSpaceDE w:val="0"/>
              <w:autoSpaceDN w:val="0"/>
              <w:adjustRightInd w:val="0"/>
              <w:spacing w:line="240" w:lineRule="auto"/>
              <w:rPr>
                <w:szCs w:val="22"/>
              </w:rPr>
            </w:pPr>
            <w:r>
              <w:rPr>
                <w:b/>
                <w:szCs w:val="22"/>
              </w:rPr>
              <w:t>Hrvatska</w:t>
            </w:r>
          </w:p>
          <w:p w14:paraId="2A6D8A30" w14:textId="77777777" w:rsidR="00C04CAD" w:rsidRDefault="00060E34">
            <w:pPr>
              <w:keepNext/>
              <w:keepLines/>
              <w:tabs>
                <w:tab w:val="clear" w:pos="567"/>
              </w:tabs>
              <w:autoSpaceDE w:val="0"/>
              <w:autoSpaceDN w:val="0"/>
              <w:adjustRightInd w:val="0"/>
              <w:spacing w:line="240" w:lineRule="auto"/>
              <w:rPr>
                <w:szCs w:val="22"/>
              </w:rPr>
            </w:pPr>
            <w:r>
              <w:rPr>
                <w:szCs w:val="22"/>
                <w:lang w:eastAsia="en-US" w:bidi="ar-SA"/>
              </w:rPr>
              <w:t>Amgen</w:t>
            </w:r>
            <w:r>
              <w:rPr>
                <w:szCs w:val="22"/>
              </w:rPr>
              <w:t xml:space="preserve"> d.o.o.</w:t>
            </w:r>
          </w:p>
          <w:p w14:paraId="475B11A1" w14:textId="77777777" w:rsidR="00C04CAD" w:rsidRDefault="00060E34">
            <w:pPr>
              <w:keepNext/>
              <w:keepLines/>
              <w:tabs>
                <w:tab w:val="clear" w:pos="567"/>
              </w:tabs>
              <w:autoSpaceDE w:val="0"/>
              <w:autoSpaceDN w:val="0"/>
              <w:adjustRightInd w:val="0"/>
              <w:spacing w:line="240" w:lineRule="auto"/>
              <w:rPr>
                <w:rFonts w:eastAsia="MS Mincho"/>
                <w:szCs w:val="22"/>
                <w:lang w:eastAsia="en-IN" w:bidi="ar-SA"/>
              </w:rPr>
            </w:pPr>
            <w:r>
              <w:rPr>
                <w:szCs w:val="22"/>
              </w:rPr>
              <w:t>Tel: +385 (0)1 562 57 20</w:t>
            </w:r>
          </w:p>
          <w:p w14:paraId="0BC01E31" w14:textId="77777777" w:rsidR="00C04CAD" w:rsidRDefault="00C04CAD">
            <w:pPr>
              <w:keepNext/>
              <w:keepLines/>
              <w:tabs>
                <w:tab w:val="clear" w:pos="567"/>
              </w:tabs>
              <w:autoSpaceDE w:val="0"/>
              <w:autoSpaceDN w:val="0"/>
              <w:adjustRightInd w:val="0"/>
              <w:spacing w:line="240" w:lineRule="auto"/>
              <w:rPr>
                <w:szCs w:val="22"/>
              </w:rPr>
            </w:pPr>
          </w:p>
        </w:tc>
        <w:tc>
          <w:tcPr>
            <w:tcW w:w="4679" w:type="dxa"/>
          </w:tcPr>
          <w:p w14:paraId="6452E2F7" w14:textId="77777777" w:rsidR="00C04CAD" w:rsidRDefault="00060E34">
            <w:pPr>
              <w:keepNext/>
              <w:keepLines/>
              <w:tabs>
                <w:tab w:val="clear" w:pos="567"/>
              </w:tabs>
              <w:suppressAutoHyphens/>
              <w:autoSpaceDE w:val="0"/>
              <w:autoSpaceDN w:val="0"/>
              <w:adjustRightInd w:val="0"/>
              <w:spacing w:line="240" w:lineRule="auto"/>
              <w:rPr>
                <w:rFonts w:eastAsia="MS Mincho"/>
                <w:b/>
                <w:szCs w:val="22"/>
                <w:lang w:eastAsia="en-US" w:bidi="ar-SA"/>
              </w:rPr>
            </w:pPr>
            <w:r>
              <w:rPr>
                <w:b/>
                <w:szCs w:val="22"/>
              </w:rPr>
              <w:t>România</w:t>
            </w:r>
          </w:p>
          <w:p w14:paraId="5AD9FB2A" w14:textId="77777777" w:rsidR="00C04CAD" w:rsidRDefault="00060E34">
            <w:pPr>
              <w:keepNext/>
              <w:keepLines/>
              <w:tabs>
                <w:tab w:val="clear" w:pos="567"/>
              </w:tabs>
              <w:autoSpaceDE w:val="0"/>
              <w:autoSpaceDN w:val="0"/>
              <w:adjustRightInd w:val="0"/>
              <w:spacing w:line="240" w:lineRule="auto"/>
              <w:rPr>
                <w:color w:val="000000"/>
                <w:szCs w:val="22"/>
                <w:lang w:eastAsia="en-US" w:bidi="ar-SA"/>
              </w:rPr>
            </w:pPr>
            <w:r>
              <w:rPr>
                <w:color w:val="000000"/>
                <w:szCs w:val="22"/>
                <w:lang w:eastAsia="en-US" w:bidi="ar-SA"/>
              </w:rPr>
              <w:t>Amgen România SRL</w:t>
            </w:r>
          </w:p>
          <w:p w14:paraId="77856780" w14:textId="77777777" w:rsidR="00C04CAD" w:rsidRDefault="00060E34">
            <w:pPr>
              <w:keepNext/>
              <w:keepLines/>
              <w:spacing w:line="240" w:lineRule="auto"/>
              <w:rPr>
                <w:rFonts w:eastAsia="PMingLiU"/>
                <w:szCs w:val="22"/>
                <w:lang w:eastAsia="en-US" w:bidi="ar-SA"/>
              </w:rPr>
            </w:pPr>
            <w:r>
              <w:rPr>
                <w:szCs w:val="22"/>
              </w:rPr>
              <w:t>Tel: +</w:t>
            </w:r>
            <w:r>
              <w:rPr>
                <w:rFonts w:eastAsia="PMingLiU"/>
                <w:szCs w:val="22"/>
              </w:rPr>
              <w:t>4021 527 3000</w:t>
            </w:r>
          </w:p>
          <w:p w14:paraId="53E09342" w14:textId="77777777" w:rsidR="00C04CAD" w:rsidRDefault="00C04CAD">
            <w:pPr>
              <w:keepNext/>
              <w:keepLines/>
              <w:tabs>
                <w:tab w:val="clear" w:pos="567"/>
              </w:tabs>
              <w:autoSpaceDE w:val="0"/>
              <w:autoSpaceDN w:val="0"/>
              <w:adjustRightInd w:val="0"/>
              <w:spacing w:line="240" w:lineRule="auto"/>
              <w:rPr>
                <w:szCs w:val="22"/>
              </w:rPr>
            </w:pPr>
          </w:p>
        </w:tc>
      </w:tr>
      <w:tr w:rsidR="00C04CAD" w14:paraId="5D29D75A" w14:textId="77777777">
        <w:trPr>
          <w:cantSplit/>
        </w:trPr>
        <w:tc>
          <w:tcPr>
            <w:tcW w:w="4677" w:type="dxa"/>
          </w:tcPr>
          <w:p w14:paraId="284E6C7A" w14:textId="77777777" w:rsidR="00C04CAD" w:rsidRDefault="00060E34">
            <w:pPr>
              <w:spacing w:line="240" w:lineRule="auto"/>
              <w:rPr>
                <w:b/>
              </w:rPr>
            </w:pPr>
            <w:r>
              <w:rPr>
                <w:b/>
              </w:rPr>
              <w:t>Ireland</w:t>
            </w:r>
          </w:p>
          <w:p w14:paraId="63A45491" w14:textId="77777777" w:rsidR="00C04CAD" w:rsidRDefault="00060E34">
            <w:pPr>
              <w:spacing w:line="240" w:lineRule="auto"/>
            </w:pPr>
            <w:r>
              <w:rPr>
                <w:rFonts w:eastAsia="Arial Unicode MS"/>
                <w:bCs/>
                <w:szCs w:val="22"/>
                <w:lang w:eastAsia="en-US" w:bidi="ar-SA"/>
              </w:rPr>
              <w:t>Amgen</w:t>
            </w:r>
            <w:r>
              <w:t xml:space="preserve"> Ireland Limited</w:t>
            </w:r>
          </w:p>
          <w:p w14:paraId="324D2D1F" w14:textId="77777777" w:rsidR="00C04CAD" w:rsidRDefault="00060E34">
            <w:pPr>
              <w:spacing w:line="240" w:lineRule="auto"/>
              <w:rPr>
                <w:rFonts w:eastAsia="Arial Unicode MS"/>
                <w:bCs/>
                <w:sz w:val="24"/>
                <w:szCs w:val="22"/>
                <w:lang w:eastAsia="en-US" w:bidi="ar-SA"/>
              </w:rPr>
            </w:pPr>
            <w:r>
              <w:t xml:space="preserve">Tel: </w:t>
            </w:r>
            <w:r>
              <w:rPr>
                <w:rFonts w:eastAsia="Arial Unicode MS"/>
                <w:bCs/>
                <w:szCs w:val="22"/>
              </w:rPr>
              <w:t>+353 1 8527400</w:t>
            </w:r>
          </w:p>
          <w:p w14:paraId="55C8CE0F" w14:textId="77777777" w:rsidR="00C04CAD" w:rsidRDefault="00C04CAD">
            <w:pPr>
              <w:spacing w:line="240" w:lineRule="auto"/>
            </w:pPr>
          </w:p>
        </w:tc>
        <w:tc>
          <w:tcPr>
            <w:tcW w:w="4679" w:type="dxa"/>
          </w:tcPr>
          <w:p w14:paraId="13960073" w14:textId="77777777" w:rsidR="00C04CAD" w:rsidRDefault="00060E34">
            <w:pPr>
              <w:spacing w:line="240" w:lineRule="auto"/>
              <w:rPr>
                <w:rFonts w:eastAsia="MS Mincho"/>
                <w:b/>
                <w:sz w:val="24"/>
                <w:szCs w:val="24"/>
                <w:lang w:eastAsia="en-US" w:bidi="ar-SA"/>
              </w:rPr>
            </w:pPr>
            <w:r>
              <w:rPr>
                <w:b/>
              </w:rPr>
              <w:t>Slovenija</w:t>
            </w:r>
          </w:p>
          <w:p w14:paraId="7C9BFDF0" w14:textId="77777777" w:rsidR="00C04CAD" w:rsidRDefault="00060E34">
            <w:pPr>
              <w:spacing w:line="240" w:lineRule="auto"/>
            </w:pPr>
            <w:r>
              <w:rPr>
                <w:rFonts w:eastAsia="PMingLiU"/>
                <w:szCs w:val="22"/>
                <w:lang w:eastAsia="en-US" w:bidi="ar-SA"/>
              </w:rPr>
              <w:t>AMGEN zdravila</w:t>
            </w:r>
            <w:r>
              <w:t xml:space="preserve"> d.o.o.</w:t>
            </w:r>
          </w:p>
          <w:p w14:paraId="0769C8F1" w14:textId="77777777" w:rsidR="00C04CAD" w:rsidRDefault="00060E34">
            <w:pPr>
              <w:spacing w:line="240" w:lineRule="auto"/>
              <w:rPr>
                <w:rFonts w:eastAsia="PMingLiU"/>
                <w:bCs/>
                <w:sz w:val="24"/>
                <w:szCs w:val="22"/>
                <w:lang w:eastAsia="en-US" w:bidi="ar-SA"/>
              </w:rPr>
            </w:pPr>
            <w:r>
              <w:t>Tel: +386 (</w:t>
            </w:r>
            <w:r>
              <w:rPr>
                <w:rFonts w:eastAsia="PMingLiU"/>
                <w:bCs/>
                <w:szCs w:val="22"/>
              </w:rPr>
              <w:t>0)</w:t>
            </w:r>
            <w:r>
              <w:t>1</w:t>
            </w:r>
            <w:r>
              <w:rPr>
                <w:rFonts w:eastAsia="PMingLiU"/>
                <w:bCs/>
                <w:szCs w:val="22"/>
                <w:lang w:eastAsia="en-US" w:bidi="ar-SA"/>
              </w:rPr>
              <w:t xml:space="preserve"> 585 1767</w:t>
            </w:r>
          </w:p>
          <w:p w14:paraId="004E76A2" w14:textId="77777777" w:rsidR="00C04CAD" w:rsidRDefault="00C04CAD">
            <w:pPr>
              <w:tabs>
                <w:tab w:val="clear" w:pos="567"/>
              </w:tabs>
              <w:autoSpaceDE w:val="0"/>
              <w:autoSpaceDN w:val="0"/>
              <w:adjustRightInd w:val="0"/>
              <w:spacing w:line="240" w:lineRule="auto"/>
              <w:rPr>
                <w:sz w:val="24"/>
              </w:rPr>
            </w:pPr>
          </w:p>
        </w:tc>
      </w:tr>
      <w:tr w:rsidR="00C04CAD" w14:paraId="4E78EFE6" w14:textId="77777777">
        <w:trPr>
          <w:cantSplit/>
        </w:trPr>
        <w:tc>
          <w:tcPr>
            <w:tcW w:w="4677" w:type="dxa"/>
          </w:tcPr>
          <w:p w14:paraId="293781DF" w14:textId="77777777" w:rsidR="00C04CAD" w:rsidRDefault="00060E34">
            <w:pPr>
              <w:spacing w:line="240" w:lineRule="auto"/>
              <w:rPr>
                <w:b/>
              </w:rPr>
            </w:pPr>
            <w:r>
              <w:rPr>
                <w:b/>
              </w:rPr>
              <w:t>Ísland</w:t>
            </w:r>
          </w:p>
          <w:p w14:paraId="517E18A2" w14:textId="77777777" w:rsidR="00C04CAD" w:rsidRDefault="00060E34">
            <w:pPr>
              <w:spacing w:line="240" w:lineRule="auto"/>
              <w:rPr>
                <w:rFonts w:eastAsia="MS Mincho"/>
                <w:sz w:val="24"/>
                <w:szCs w:val="24"/>
                <w:lang w:eastAsia="en-US" w:bidi="ar-SA"/>
              </w:rPr>
            </w:pPr>
            <w:r>
              <w:t>Vistor</w:t>
            </w:r>
            <w:del w:id="323" w:author="Author">
              <w:r>
                <w:delText xml:space="preserve"> hf.</w:delText>
              </w:r>
            </w:del>
          </w:p>
          <w:p w14:paraId="6D83E9C6" w14:textId="77777777" w:rsidR="00C04CAD" w:rsidRDefault="00060E34">
            <w:pPr>
              <w:spacing w:line="240" w:lineRule="auto"/>
              <w:rPr>
                <w:rFonts w:eastAsia="PMingLiU"/>
                <w:szCs w:val="22"/>
                <w:lang w:eastAsia="en-US" w:bidi="ar-SA"/>
              </w:rPr>
            </w:pPr>
            <w:r>
              <w:rPr>
                <w:rFonts w:eastAsia="PMingLiU"/>
                <w:szCs w:val="22"/>
                <w:lang w:eastAsia="en-US" w:bidi="ar-SA"/>
              </w:rPr>
              <w:t>Sími</w:t>
            </w:r>
            <w:r>
              <w:t>: +354 535 7000</w:t>
            </w:r>
          </w:p>
          <w:p w14:paraId="78AC327C" w14:textId="77777777" w:rsidR="00C04CAD" w:rsidRDefault="00C04CAD">
            <w:pPr>
              <w:tabs>
                <w:tab w:val="clear" w:pos="567"/>
              </w:tabs>
              <w:autoSpaceDE w:val="0"/>
              <w:autoSpaceDN w:val="0"/>
              <w:adjustRightInd w:val="0"/>
              <w:spacing w:line="240" w:lineRule="auto"/>
              <w:rPr>
                <w:sz w:val="24"/>
              </w:rPr>
            </w:pPr>
          </w:p>
        </w:tc>
        <w:tc>
          <w:tcPr>
            <w:tcW w:w="4679" w:type="dxa"/>
          </w:tcPr>
          <w:p w14:paraId="0119AC12" w14:textId="77777777" w:rsidR="00C04CAD" w:rsidRDefault="00060E34">
            <w:pPr>
              <w:spacing w:line="240" w:lineRule="auto"/>
              <w:rPr>
                <w:rFonts w:eastAsia="MS Mincho"/>
                <w:b/>
                <w:sz w:val="24"/>
                <w:szCs w:val="24"/>
                <w:lang w:eastAsia="en-US" w:bidi="ar-SA"/>
              </w:rPr>
            </w:pPr>
            <w:r>
              <w:rPr>
                <w:b/>
              </w:rPr>
              <w:t>Slovenská republika</w:t>
            </w:r>
          </w:p>
          <w:p w14:paraId="50EAED1A" w14:textId="77777777" w:rsidR="00C04CAD" w:rsidRDefault="00060E34">
            <w:pPr>
              <w:spacing w:line="240" w:lineRule="auto"/>
            </w:pPr>
            <w:r>
              <w:rPr>
                <w:rFonts w:eastAsia="PMingLiU"/>
                <w:bCs/>
                <w:szCs w:val="22"/>
                <w:lang w:eastAsia="en-US" w:bidi="ar-SA"/>
              </w:rPr>
              <w:t>Amgen Slovakia</w:t>
            </w:r>
            <w:r>
              <w:t xml:space="preserve"> s.r.o.</w:t>
            </w:r>
          </w:p>
          <w:p w14:paraId="5F96F1FC" w14:textId="77777777" w:rsidR="00C04CAD" w:rsidRDefault="00060E34">
            <w:pPr>
              <w:spacing w:line="240" w:lineRule="auto"/>
              <w:rPr>
                <w:rFonts w:eastAsia="PMingLiU"/>
                <w:bCs/>
                <w:sz w:val="24"/>
                <w:szCs w:val="22"/>
                <w:lang w:eastAsia="en-US" w:bidi="ar-SA"/>
              </w:rPr>
            </w:pPr>
            <w:r>
              <w:t xml:space="preserve">Tel: </w:t>
            </w:r>
            <w:r>
              <w:rPr>
                <w:lang w:eastAsia="ja-JP"/>
              </w:rPr>
              <w:t>+421 2 321 114 49</w:t>
            </w:r>
          </w:p>
          <w:p w14:paraId="3CCE394C" w14:textId="77777777" w:rsidR="00C04CAD" w:rsidRDefault="00C04CAD">
            <w:pPr>
              <w:tabs>
                <w:tab w:val="clear" w:pos="567"/>
              </w:tabs>
              <w:autoSpaceDE w:val="0"/>
              <w:autoSpaceDN w:val="0"/>
              <w:adjustRightInd w:val="0"/>
              <w:spacing w:line="240" w:lineRule="auto"/>
              <w:rPr>
                <w:sz w:val="24"/>
              </w:rPr>
            </w:pPr>
          </w:p>
        </w:tc>
      </w:tr>
      <w:tr w:rsidR="00C04CAD" w14:paraId="6820D6A9" w14:textId="77777777">
        <w:trPr>
          <w:cantSplit/>
        </w:trPr>
        <w:tc>
          <w:tcPr>
            <w:tcW w:w="4677" w:type="dxa"/>
          </w:tcPr>
          <w:p w14:paraId="10983BD9" w14:textId="77777777" w:rsidR="00C04CAD" w:rsidRDefault="00060E34">
            <w:pPr>
              <w:spacing w:line="240" w:lineRule="auto"/>
            </w:pPr>
            <w:r>
              <w:rPr>
                <w:b/>
              </w:rPr>
              <w:t>Italia</w:t>
            </w:r>
          </w:p>
          <w:p w14:paraId="3B3CBFE3" w14:textId="77777777" w:rsidR="00C04CAD" w:rsidRDefault="00060E34">
            <w:pPr>
              <w:spacing w:line="240" w:lineRule="auto"/>
            </w:pPr>
            <w:r>
              <w:rPr>
                <w:rFonts w:eastAsia="PMingLiU"/>
                <w:szCs w:val="22"/>
                <w:lang w:eastAsia="en-US" w:bidi="ar-SA"/>
              </w:rPr>
              <w:t>Amgen</w:t>
            </w:r>
            <w:r>
              <w:t xml:space="preserve"> S.r.l.</w:t>
            </w:r>
          </w:p>
          <w:p w14:paraId="249A28F4" w14:textId="77777777" w:rsidR="00C04CAD" w:rsidRDefault="00060E34">
            <w:pPr>
              <w:spacing w:line="240" w:lineRule="auto"/>
              <w:rPr>
                <w:rFonts w:eastAsia="PMingLiU"/>
                <w:sz w:val="24"/>
                <w:szCs w:val="22"/>
                <w:lang w:eastAsia="en-US" w:bidi="ar-SA"/>
              </w:rPr>
            </w:pPr>
            <w:r>
              <w:t xml:space="preserve">Tel: +39 </w:t>
            </w:r>
            <w:r>
              <w:rPr>
                <w:rFonts w:eastAsia="PMingLiU"/>
                <w:szCs w:val="22"/>
              </w:rPr>
              <w:t>02 6241121</w:t>
            </w:r>
          </w:p>
          <w:p w14:paraId="4921E90A" w14:textId="77777777" w:rsidR="00C04CAD" w:rsidRDefault="00C04CAD">
            <w:pPr>
              <w:tabs>
                <w:tab w:val="clear" w:pos="567"/>
              </w:tabs>
              <w:autoSpaceDE w:val="0"/>
              <w:autoSpaceDN w:val="0"/>
              <w:adjustRightInd w:val="0"/>
              <w:spacing w:line="240" w:lineRule="auto"/>
              <w:rPr>
                <w:sz w:val="24"/>
              </w:rPr>
            </w:pPr>
          </w:p>
        </w:tc>
        <w:tc>
          <w:tcPr>
            <w:tcW w:w="4679" w:type="dxa"/>
          </w:tcPr>
          <w:p w14:paraId="34F5FAA7" w14:textId="77777777" w:rsidR="00C04CAD" w:rsidRDefault="00060E34">
            <w:pPr>
              <w:spacing w:line="240" w:lineRule="auto"/>
              <w:rPr>
                <w:rFonts w:eastAsia="MS Mincho"/>
                <w:sz w:val="24"/>
                <w:szCs w:val="24"/>
                <w:lang w:eastAsia="en-US" w:bidi="ar-SA"/>
              </w:rPr>
            </w:pPr>
            <w:r>
              <w:rPr>
                <w:b/>
              </w:rPr>
              <w:t>Suomi/Finland</w:t>
            </w:r>
          </w:p>
          <w:p w14:paraId="5B9DA039" w14:textId="77777777" w:rsidR="00C04CAD" w:rsidRDefault="00060E34">
            <w:pPr>
              <w:pStyle w:val="lbltxt"/>
              <w:rPr>
                <w:szCs w:val="22"/>
                <w:lang w:val="ro-RO"/>
              </w:rPr>
            </w:pPr>
            <w:r>
              <w:rPr>
                <w:szCs w:val="22"/>
                <w:lang w:val="ro-RO"/>
              </w:rPr>
              <w:t>Amgen AB, sivuliike Suomessa/Amgen AB, filial i Finland</w:t>
            </w:r>
          </w:p>
          <w:p w14:paraId="49189674" w14:textId="77777777" w:rsidR="00C04CAD" w:rsidRDefault="00060E34">
            <w:pPr>
              <w:spacing w:line="240" w:lineRule="auto"/>
              <w:rPr>
                <w:rFonts w:eastAsia="PMingLiU"/>
                <w:szCs w:val="22"/>
                <w:lang w:eastAsia="en-US" w:bidi="ar-SA"/>
              </w:rPr>
            </w:pPr>
            <w:r>
              <w:rPr>
                <w:rFonts w:eastAsia="PMingLiU"/>
                <w:szCs w:val="22"/>
                <w:lang w:val="nl-NL" w:eastAsia="en-US" w:bidi="ar-SA"/>
              </w:rPr>
              <w:t>Puh/Tel: +358 (0)9 54900500</w:t>
            </w:r>
          </w:p>
          <w:p w14:paraId="4F50C19F" w14:textId="77777777" w:rsidR="00C04CAD" w:rsidRDefault="00C04CAD">
            <w:pPr>
              <w:spacing w:line="240" w:lineRule="auto"/>
              <w:rPr>
                <w:sz w:val="24"/>
              </w:rPr>
            </w:pPr>
          </w:p>
        </w:tc>
      </w:tr>
      <w:tr w:rsidR="00C04CAD" w14:paraId="7DC64A69" w14:textId="77777777">
        <w:trPr>
          <w:cantSplit/>
        </w:trPr>
        <w:tc>
          <w:tcPr>
            <w:tcW w:w="4677" w:type="dxa"/>
          </w:tcPr>
          <w:p w14:paraId="4ED812CC" w14:textId="77777777" w:rsidR="00C04CAD" w:rsidRDefault="00060E34">
            <w:pPr>
              <w:spacing w:line="240" w:lineRule="auto"/>
              <w:rPr>
                <w:rFonts w:eastAsia="PMingLiU"/>
                <w:b/>
                <w:szCs w:val="22"/>
                <w:lang w:eastAsia="en-US" w:bidi="ar-SA"/>
              </w:rPr>
            </w:pPr>
            <w:r>
              <w:rPr>
                <w:rFonts w:eastAsia="PMingLiU"/>
                <w:b/>
                <w:szCs w:val="22"/>
                <w:lang w:eastAsia="en-US" w:bidi="ar-SA"/>
              </w:rPr>
              <w:t>Kύπρος</w:t>
            </w:r>
          </w:p>
          <w:p w14:paraId="5255EA2F" w14:textId="77777777" w:rsidR="00C04CAD" w:rsidRDefault="00060E34">
            <w:pPr>
              <w:tabs>
                <w:tab w:val="clear" w:pos="567"/>
              </w:tabs>
              <w:autoSpaceDE w:val="0"/>
              <w:autoSpaceDN w:val="0"/>
              <w:adjustRightInd w:val="0"/>
              <w:spacing w:line="240" w:lineRule="auto"/>
              <w:rPr>
                <w:szCs w:val="22"/>
              </w:rPr>
            </w:pPr>
            <w:r>
              <w:rPr>
                <w:szCs w:val="22"/>
                <w:lang w:eastAsia="en-US" w:bidi="ar-SA"/>
              </w:rPr>
              <w:t>C</w:t>
            </w:r>
            <w:r>
              <w:rPr>
                <w:szCs w:val="22"/>
              </w:rPr>
              <w:t>.A. Papaellinas Ltd</w:t>
            </w:r>
          </w:p>
          <w:p w14:paraId="4505F141" w14:textId="77777777" w:rsidR="00C04CAD" w:rsidRDefault="00060E34">
            <w:pPr>
              <w:spacing w:line="240" w:lineRule="auto"/>
              <w:rPr>
                <w:rFonts w:eastAsia="PMingLiU"/>
                <w:szCs w:val="22"/>
                <w:lang w:eastAsia="en-US" w:bidi="ar-SA"/>
              </w:rPr>
            </w:pPr>
            <w:r>
              <w:rPr>
                <w:szCs w:val="22"/>
              </w:rPr>
              <w:t xml:space="preserve">Τηλ: +357 </w:t>
            </w:r>
            <w:r>
              <w:rPr>
                <w:rFonts w:eastAsia="PMingLiU"/>
                <w:szCs w:val="22"/>
              </w:rPr>
              <w:t>22741 741</w:t>
            </w:r>
          </w:p>
          <w:p w14:paraId="10051ED6" w14:textId="77777777" w:rsidR="00C04CAD" w:rsidRDefault="00C04CAD">
            <w:pPr>
              <w:tabs>
                <w:tab w:val="clear" w:pos="567"/>
              </w:tabs>
              <w:autoSpaceDE w:val="0"/>
              <w:autoSpaceDN w:val="0"/>
              <w:adjustRightInd w:val="0"/>
              <w:spacing w:line="240" w:lineRule="auto"/>
              <w:rPr>
                <w:szCs w:val="22"/>
              </w:rPr>
            </w:pPr>
          </w:p>
        </w:tc>
        <w:tc>
          <w:tcPr>
            <w:tcW w:w="4679" w:type="dxa"/>
          </w:tcPr>
          <w:p w14:paraId="2F7CB183" w14:textId="77777777" w:rsidR="00C04CAD" w:rsidRDefault="00060E34">
            <w:pPr>
              <w:spacing w:line="240" w:lineRule="auto"/>
              <w:rPr>
                <w:rFonts w:eastAsia="MS Mincho"/>
                <w:szCs w:val="22"/>
                <w:lang w:eastAsia="en-US" w:bidi="ar-SA"/>
              </w:rPr>
            </w:pPr>
            <w:r>
              <w:rPr>
                <w:b/>
                <w:szCs w:val="22"/>
              </w:rPr>
              <w:t>Sverige</w:t>
            </w:r>
          </w:p>
          <w:p w14:paraId="5DB2CA27" w14:textId="77777777" w:rsidR="00C04CAD" w:rsidRDefault="00060E34">
            <w:pPr>
              <w:spacing w:line="240" w:lineRule="auto"/>
              <w:rPr>
                <w:szCs w:val="22"/>
              </w:rPr>
            </w:pPr>
            <w:r>
              <w:rPr>
                <w:rFonts w:eastAsia="PMingLiU"/>
                <w:szCs w:val="22"/>
                <w:lang w:eastAsia="en-US" w:bidi="ar-SA"/>
              </w:rPr>
              <w:t>Amgen</w:t>
            </w:r>
            <w:r>
              <w:rPr>
                <w:szCs w:val="22"/>
              </w:rPr>
              <w:t xml:space="preserve"> AB</w:t>
            </w:r>
            <w:r>
              <w:rPr>
                <w:rFonts w:eastAsia="PMingLiU"/>
                <w:szCs w:val="22"/>
              </w:rPr>
              <w:t xml:space="preserve"> </w:t>
            </w:r>
          </w:p>
          <w:p w14:paraId="2F0212A9" w14:textId="77777777" w:rsidR="00C04CAD" w:rsidRDefault="00060E34">
            <w:pPr>
              <w:spacing w:line="240" w:lineRule="auto"/>
              <w:rPr>
                <w:rFonts w:eastAsia="PMingLiU"/>
                <w:szCs w:val="22"/>
                <w:lang w:eastAsia="en-US" w:bidi="ar-SA"/>
              </w:rPr>
            </w:pPr>
            <w:r>
              <w:rPr>
                <w:szCs w:val="22"/>
              </w:rPr>
              <w:t xml:space="preserve">Tel: +46 (0)8 </w:t>
            </w:r>
            <w:r>
              <w:rPr>
                <w:rFonts w:eastAsia="PMingLiU"/>
                <w:szCs w:val="22"/>
              </w:rPr>
              <w:t>6951100</w:t>
            </w:r>
          </w:p>
          <w:p w14:paraId="7D92A4B9" w14:textId="77777777" w:rsidR="00C04CAD" w:rsidRDefault="00C04CAD">
            <w:pPr>
              <w:tabs>
                <w:tab w:val="clear" w:pos="567"/>
              </w:tabs>
              <w:autoSpaceDE w:val="0"/>
              <w:autoSpaceDN w:val="0"/>
              <w:adjustRightInd w:val="0"/>
              <w:spacing w:line="240" w:lineRule="auto"/>
              <w:rPr>
                <w:szCs w:val="22"/>
              </w:rPr>
            </w:pPr>
          </w:p>
        </w:tc>
      </w:tr>
      <w:tr w:rsidR="00C04CAD" w14:paraId="0A6BFB9A" w14:textId="77777777">
        <w:trPr>
          <w:cantSplit/>
        </w:trPr>
        <w:tc>
          <w:tcPr>
            <w:tcW w:w="4677" w:type="dxa"/>
          </w:tcPr>
          <w:p w14:paraId="3B218C11" w14:textId="77777777" w:rsidR="00C04CAD" w:rsidRDefault="00060E34">
            <w:pPr>
              <w:spacing w:line="240" w:lineRule="auto"/>
              <w:rPr>
                <w:b/>
              </w:rPr>
            </w:pPr>
            <w:r>
              <w:rPr>
                <w:b/>
              </w:rPr>
              <w:t>Latvija</w:t>
            </w:r>
          </w:p>
          <w:p w14:paraId="11072DA3" w14:textId="77777777" w:rsidR="00C04CAD" w:rsidRDefault="00060E34">
            <w:pPr>
              <w:spacing w:line="240" w:lineRule="auto"/>
              <w:rPr>
                <w:rFonts w:eastAsia="PMingLiU"/>
                <w:szCs w:val="22"/>
                <w:lang w:eastAsia="en-US" w:bidi="ar-SA"/>
              </w:rPr>
            </w:pPr>
            <w:r>
              <w:rPr>
                <w:rFonts w:eastAsia="PMingLiU"/>
                <w:szCs w:val="22"/>
                <w:lang w:eastAsia="en-US" w:bidi="ar-SA"/>
              </w:rPr>
              <w:t>Amgen Switzerland AG Rīgas filiāle</w:t>
            </w:r>
          </w:p>
          <w:p w14:paraId="5B6E884D" w14:textId="77777777" w:rsidR="00C04CAD" w:rsidRDefault="00060E34">
            <w:pPr>
              <w:spacing w:line="240" w:lineRule="auto"/>
              <w:rPr>
                <w:rFonts w:eastAsia="PMingLiU"/>
                <w:sz w:val="24"/>
                <w:szCs w:val="22"/>
                <w:lang w:eastAsia="en-US" w:bidi="ar-SA"/>
              </w:rPr>
            </w:pPr>
            <w:r>
              <w:t xml:space="preserve">Tel: +371 </w:t>
            </w:r>
            <w:r>
              <w:rPr>
                <w:rFonts w:eastAsia="PMingLiU"/>
                <w:szCs w:val="22"/>
              </w:rPr>
              <w:t>257 25888</w:t>
            </w:r>
          </w:p>
          <w:p w14:paraId="3A6FD3C1" w14:textId="77777777" w:rsidR="00C04CAD" w:rsidRDefault="00C04CAD">
            <w:pPr>
              <w:tabs>
                <w:tab w:val="clear" w:pos="567"/>
              </w:tabs>
              <w:autoSpaceDE w:val="0"/>
              <w:autoSpaceDN w:val="0"/>
              <w:adjustRightInd w:val="0"/>
              <w:spacing w:line="240" w:lineRule="auto"/>
              <w:rPr>
                <w:sz w:val="24"/>
              </w:rPr>
            </w:pPr>
          </w:p>
        </w:tc>
        <w:tc>
          <w:tcPr>
            <w:tcW w:w="4679" w:type="dxa"/>
          </w:tcPr>
          <w:p w14:paraId="6F1B6E86" w14:textId="77777777" w:rsidR="00C04CAD" w:rsidRDefault="00C04CAD">
            <w:pPr>
              <w:spacing w:line="240" w:lineRule="auto"/>
              <w:rPr>
                <w:sz w:val="24"/>
              </w:rPr>
            </w:pPr>
          </w:p>
        </w:tc>
      </w:tr>
    </w:tbl>
    <w:p w14:paraId="6B9FEC3A" w14:textId="77777777" w:rsidR="00C04CAD" w:rsidRDefault="00C04CAD">
      <w:pPr>
        <w:tabs>
          <w:tab w:val="clear" w:pos="567"/>
        </w:tabs>
        <w:kinsoku w:val="0"/>
        <w:overflowPunct w:val="0"/>
        <w:autoSpaceDE w:val="0"/>
        <w:autoSpaceDN w:val="0"/>
        <w:adjustRightInd w:val="0"/>
        <w:spacing w:line="240" w:lineRule="auto"/>
        <w:outlineLvl w:val="0"/>
        <w:rPr>
          <w:b/>
        </w:rPr>
      </w:pPr>
    </w:p>
    <w:p w14:paraId="7136707E" w14:textId="77777777" w:rsidR="00C04CAD" w:rsidRDefault="00060E34">
      <w:pPr>
        <w:keepNext/>
        <w:tabs>
          <w:tab w:val="clear" w:pos="567"/>
        </w:tabs>
        <w:kinsoku w:val="0"/>
        <w:overflowPunct w:val="0"/>
        <w:autoSpaceDE w:val="0"/>
        <w:autoSpaceDN w:val="0"/>
        <w:adjustRightInd w:val="0"/>
        <w:spacing w:line="240" w:lineRule="auto"/>
        <w:outlineLvl w:val="0"/>
        <w:rPr>
          <w:b/>
          <w:bCs/>
        </w:rPr>
      </w:pPr>
      <w:r>
        <w:rPr>
          <w:b/>
        </w:rPr>
        <w:t>Acest prospect a fost revizuit în</w:t>
      </w:r>
    </w:p>
    <w:p w14:paraId="508682B1" w14:textId="77777777" w:rsidR="00C04CAD" w:rsidRDefault="00C04CAD">
      <w:pPr>
        <w:keepNext/>
        <w:tabs>
          <w:tab w:val="clear" w:pos="567"/>
        </w:tabs>
        <w:autoSpaceDE w:val="0"/>
        <w:autoSpaceDN w:val="0"/>
        <w:adjustRightInd w:val="0"/>
        <w:spacing w:line="240" w:lineRule="auto"/>
        <w:rPr>
          <w:b/>
          <w:szCs w:val="22"/>
        </w:rPr>
      </w:pPr>
    </w:p>
    <w:p w14:paraId="53508FF3" w14:textId="77777777" w:rsidR="00C04CAD" w:rsidRDefault="00060E34">
      <w:pPr>
        <w:keepNext/>
        <w:tabs>
          <w:tab w:val="clear" w:pos="567"/>
        </w:tabs>
        <w:kinsoku w:val="0"/>
        <w:overflowPunct w:val="0"/>
        <w:autoSpaceDE w:val="0"/>
        <w:autoSpaceDN w:val="0"/>
        <w:adjustRightInd w:val="0"/>
        <w:spacing w:line="240" w:lineRule="auto"/>
        <w:rPr>
          <w:b/>
          <w:szCs w:val="22"/>
          <w:lang w:eastAsia="en-US" w:bidi="ar-SA"/>
        </w:rPr>
      </w:pPr>
      <w:r>
        <w:rPr>
          <w:b/>
          <w:szCs w:val="22"/>
          <w:lang w:eastAsia="en-US" w:bidi="ar-SA"/>
        </w:rPr>
        <w:t>Alte surse de informații</w:t>
      </w:r>
    </w:p>
    <w:p w14:paraId="54AF3A56" w14:textId="77777777" w:rsidR="00C04CAD" w:rsidRDefault="00C04CAD">
      <w:pPr>
        <w:tabs>
          <w:tab w:val="clear" w:pos="567"/>
        </w:tabs>
        <w:kinsoku w:val="0"/>
        <w:overflowPunct w:val="0"/>
        <w:autoSpaceDE w:val="0"/>
        <w:autoSpaceDN w:val="0"/>
        <w:adjustRightInd w:val="0"/>
        <w:spacing w:line="240" w:lineRule="auto"/>
        <w:rPr>
          <w:szCs w:val="22"/>
          <w:lang w:eastAsia="en-US" w:bidi="ar-SA"/>
        </w:rPr>
      </w:pPr>
    </w:p>
    <w:p w14:paraId="615DE602" w14:textId="77777777" w:rsidR="00C04CAD" w:rsidRDefault="00060E34">
      <w:pPr>
        <w:tabs>
          <w:tab w:val="clear" w:pos="567"/>
        </w:tabs>
        <w:kinsoku w:val="0"/>
        <w:overflowPunct w:val="0"/>
        <w:autoSpaceDE w:val="0"/>
        <w:autoSpaceDN w:val="0"/>
        <w:adjustRightInd w:val="0"/>
        <w:spacing w:line="240" w:lineRule="auto"/>
        <w:rPr>
          <w:szCs w:val="22"/>
          <w:lang w:bidi="ar-SA"/>
        </w:rPr>
      </w:pPr>
      <w:r>
        <w:t xml:space="preserve">Informaţii detaliate privind acest medicament sunt disponibile pe web-site-ul Agenţiei Europene a Medicamentului: </w:t>
      </w:r>
      <w:hyperlink r:id="rId94" w:history="1">
        <w:r w:rsidR="00C04CAD">
          <w:rPr>
            <w:color w:val="0000FF"/>
            <w:szCs w:val="22"/>
            <w:u w:val="single"/>
            <w:lang w:bidi="ar-SA"/>
          </w:rPr>
          <w:t>http://www.ema.europa.eu</w:t>
        </w:r>
      </w:hyperlink>
      <w:r>
        <w:rPr>
          <w:szCs w:val="22"/>
          <w:lang w:bidi="ar-SA"/>
        </w:rPr>
        <w:t>.</w:t>
      </w:r>
    </w:p>
    <w:p w14:paraId="6A4DC2BA" w14:textId="77777777" w:rsidR="00C04CAD" w:rsidRDefault="00060E34">
      <w:pPr>
        <w:tabs>
          <w:tab w:val="clear" w:pos="567"/>
        </w:tabs>
        <w:kinsoku w:val="0"/>
        <w:overflowPunct w:val="0"/>
        <w:autoSpaceDE w:val="0"/>
        <w:autoSpaceDN w:val="0"/>
        <w:adjustRightInd w:val="0"/>
        <w:spacing w:line="240" w:lineRule="auto"/>
        <w:rPr>
          <w:szCs w:val="22"/>
        </w:rPr>
      </w:pPr>
      <w:r>
        <w:rPr>
          <w:szCs w:val="22"/>
          <w:lang w:bidi="ar-SA"/>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C04CAD" w14:paraId="22518D0F" w14:textId="77777777">
        <w:trPr>
          <w:cantSplit/>
          <w:trHeight w:val="57"/>
        </w:trPr>
        <w:tc>
          <w:tcPr>
            <w:tcW w:w="5000" w:type="pct"/>
            <w:gridSpan w:val="3"/>
            <w:tcBorders>
              <w:bottom w:val="single" w:sz="4" w:space="0" w:color="auto"/>
            </w:tcBorders>
          </w:tcPr>
          <w:p w14:paraId="443437E8" w14:textId="77777777" w:rsidR="00C04CAD" w:rsidRDefault="00060E34">
            <w:pPr>
              <w:keepNext/>
              <w:keepLines/>
              <w:spacing w:line="240" w:lineRule="auto"/>
              <w:jc w:val="center"/>
              <w:rPr>
                <w:b/>
                <w:bCs/>
              </w:rPr>
            </w:pPr>
            <w:r>
              <w:rPr>
                <w:b/>
              </w:rPr>
              <w:t>INSTRUCȚIUNI DE UTILIZARE</w:t>
            </w:r>
            <w:r>
              <w:rPr>
                <w:b/>
                <w:bCs/>
              </w:rPr>
              <w:t xml:space="preserve"> 80 mg/0,8 ml</w:t>
            </w:r>
          </w:p>
        </w:tc>
      </w:tr>
      <w:tr w:rsidR="00C04CAD" w14:paraId="04CA10D2" w14:textId="77777777">
        <w:trPr>
          <w:cantSplit/>
          <w:trHeight w:val="57"/>
        </w:trPr>
        <w:tc>
          <w:tcPr>
            <w:tcW w:w="5000" w:type="pct"/>
            <w:gridSpan w:val="3"/>
            <w:tcBorders>
              <w:top w:val="single" w:sz="4" w:space="0" w:color="auto"/>
              <w:left w:val="nil"/>
              <w:bottom w:val="single" w:sz="4" w:space="0" w:color="auto"/>
              <w:right w:val="nil"/>
            </w:tcBorders>
          </w:tcPr>
          <w:p w14:paraId="2D9D40C2" w14:textId="77777777" w:rsidR="00C04CAD" w:rsidRDefault="00C04CAD">
            <w:pPr>
              <w:keepNext/>
              <w:keepLines/>
              <w:spacing w:line="240" w:lineRule="auto"/>
              <w:jc w:val="center"/>
              <w:rPr>
                <w:bCs/>
              </w:rPr>
            </w:pPr>
          </w:p>
        </w:tc>
      </w:tr>
      <w:tr w:rsidR="00C04CAD" w14:paraId="69C65799" w14:textId="77777777">
        <w:trPr>
          <w:cantSplit/>
          <w:trHeight w:val="57"/>
        </w:trPr>
        <w:tc>
          <w:tcPr>
            <w:tcW w:w="5000" w:type="pct"/>
            <w:gridSpan w:val="3"/>
            <w:tcBorders>
              <w:top w:val="single" w:sz="4" w:space="0" w:color="auto"/>
            </w:tcBorders>
          </w:tcPr>
          <w:p w14:paraId="56F4008F" w14:textId="77777777" w:rsidR="00C04CAD" w:rsidRPr="001C668B" w:rsidRDefault="00060E34">
            <w:pPr>
              <w:keepNext/>
              <w:keepLines/>
              <w:spacing w:line="240" w:lineRule="auto"/>
              <w:rPr>
                <w:bCs/>
                <w:rPrChange w:id="324" w:author="Author">
                  <w:rPr>
                    <w:b/>
                  </w:rPr>
                </w:rPrChange>
              </w:rPr>
            </w:pPr>
            <w:r w:rsidRPr="001C668B">
              <w:rPr>
                <w:bCs/>
                <w:rPrChange w:id="325" w:author="Author">
                  <w:rPr>
                    <w:b/>
                  </w:rPr>
                </w:rPrChange>
              </w:rPr>
              <w:t>Descrierea pen-ului</w:t>
            </w:r>
            <w:r w:rsidRPr="001C668B">
              <w:rPr>
                <w:bCs/>
                <w:rPrChange w:id="326" w:author="Author">
                  <w:rPr>
                    <w:b/>
                    <w:bCs/>
                  </w:rPr>
                </w:rPrChange>
              </w:rPr>
              <w:t xml:space="preserve"> preumplut </w:t>
            </w:r>
            <w:r w:rsidRPr="001C668B">
              <w:rPr>
                <w:rFonts w:eastAsia="Calibri"/>
                <w:bCs/>
                <w:szCs w:val="22"/>
                <w:rPrChange w:id="327" w:author="Author">
                  <w:rPr>
                    <w:rFonts w:eastAsia="Calibri"/>
                    <w:b/>
                    <w:szCs w:val="22"/>
                  </w:rPr>
                </w:rPrChange>
              </w:rPr>
              <w:t>SureClick</w:t>
            </w:r>
          </w:p>
        </w:tc>
      </w:tr>
      <w:tr w:rsidR="00C04CAD" w14:paraId="75651D9F"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C04CAD" w14:paraId="2B425368" w14:textId="77777777">
              <w:trPr>
                <w:trHeight w:val="459"/>
              </w:trPr>
              <w:tc>
                <w:tcPr>
                  <w:tcW w:w="1763" w:type="dxa"/>
                </w:tcPr>
                <w:p w14:paraId="791B66C4" w14:textId="77777777" w:rsidR="00C04CAD" w:rsidRDefault="00C04CAD">
                  <w:pPr>
                    <w:framePr w:hSpace="141" w:wrap="around" w:vAnchor="text" w:hAnchor="text" w:x="108" w:y="1"/>
                    <w:spacing w:line="240" w:lineRule="auto"/>
                    <w:suppressOverlap/>
                    <w:jc w:val="center"/>
                    <w:rPr>
                      <w:sz w:val="2"/>
                      <w:szCs w:val="2"/>
                    </w:rPr>
                  </w:pPr>
                </w:p>
              </w:tc>
            </w:tr>
            <w:tr w:rsidR="00C04CAD" w14:paraId="06E8B379" w14:textId="77777777">
              <w:trPr>
                <w:trHeight w:val="990"/>
              </w:trPr>
              <w:tc>
                <w:tcPr>
                  <w:tcW w:w="1763" w:type="dxa"/>
                </w:tcPr>
                <w:p w14:paraId="2A868D55" w14:textId="77777777" w:rsidR="00C04CAD" w:rsidRDefault="00060E34">
                  <w:pPr>
                    <w:framePr w:hSpace="141" w:wrap="around" w:vAnchor="text" w:hAnchor="text" w:x="108" w:y="1"/>
                    <w:spacing w:line="240" w:lineRule="auto"/>
                    <w:suppressOverlap/>
                    <w:jc w:val="right"/>
                  </w:pPr>
                  <w:r>
                    <w:t>Data expirării</w:t>
                  </w:r>
                </w:p>
              </w:tc>
            </w:tr>
            <w:tr w:rsidR="00C04CAD" w14:paraId="50908B90" w14:textId="77777777">
              <w:trPr>
                <w:trHeight w:val="852"/>
              </w:trPr>
              <w:tc>
                <w:tcPr>
                  <w:tcW w:w="1763" w:type="dxa"/>
                </w:tcPr>
                <w:p w14:paraId="2839E846" w14:textId="77777777" w:rsidR="00C04CAD" w:rsidRDefault="00C04CAD">
                  <w:pPr>
                    <w:framePr w:hSpace="141" w:wrap="around" w:vAnchor="text" w:hAnchor="text" w:x="108" w:y="1"/>
                    <w:spacing w:line="240" w:lineRule="auto"/>
                    <w:suppressOverlap/>
                    <w:jc w:val="right"/>
                  </w:pPr>
                </w:p>
              </w:tc>
            </w:tr>
            <w:tr w:rsidR="00C04CAD" w14:paraId="401BC1CE" w14:textId="77777777">
              <w:trPr>
                <w:trHeight w:val="860"/>
              </w:trPr>
              <w:tc>
                <w:tcPr>
                  <w:tcW w:w="1763" w:type="dxa"/>
                </w:tcPr>
                <w:p w14:paraId="5446EDC0" w14:textId="77777777" w:rsidR="00C04CAD" w:rsidRDefault="00C04CAD">
                  <w:pPr>
                    <w:framePr w:hSpace="141" w:wrap="around" w:vAnchor="text" w:hAnchor="text" w:x="108" w:y="1"/>
                    <w:spacing w:line="240" w:lineRule="auto"/>
                    <w:suppressOverlap/>
                    <w:jc w:val="right"/>
                  </w:pPr>
                </w:p>
              </w:tc>
            </w:tr>
            <w:tr w:rsidR="00C04CAD" w14:paraId="4A5DD6FC" w14:textId="77777777">
              <w:trPr>
                <w:trHeight w:val="972"/>
              </w:trPr>
              <w:tc>
                <w:tcPr>
                  <w:tcW w:w="1763" w:type="dxa"/>
                </w:tcPr>
                <w:p w14:paraId="03E6DAA0" w14:textId="77777777" w:rsidR="00C04CAD" w:rsidRDefault="00060E34">
                  <w:pPr>
                    <w:framePr w:hSpace="141" w:wrap="around" w:vAnchor="text" w:hAnchor="text" w:x="108" w:y="1"/>
                    <w:spacing w:line="240" w:lineRule="auto"/>
                    <w:suppressOverlap/>
                    <w:jc w:val="right"/>
                  </w:pPr>
                  <w:r>
                    <w:t>Fereastră</w:t>
                  </w:r>
                </w:p>
              </w:tc>
            </w:tr>
            <w:tr w:rsidR="00C04CAD" w14:paraId="2958E24B" w14:textId="77777777">
              <w:trPr>
                <w:trHeight w:val="1128"/>
              </w:trPr>
              <w:tc>
                <w:tcPr>
                  <w:tcW w:w="1763" w:type="dxa"/>
                </w:tcPr>
                <w:p w14:paraId="0D0D577E" w14:textId="77777777" w:rsidR="00C04CAD" w:rsidRDefault="00060E34">
                  <w:pPr>
                    <w:framePr w:hSpace="141" w:wrap="around" w:vAnchor="text" w:hAnchor="text" w:x="108" w:y="1"/>
                    <w:spacing w:line="240" w:lineRule="auto"/>
                    <w:suppressOverlap/>
                  </w:pPr>
                  <w:r>
                    <w:t>Element de protecție de culoare crem (acul este în interior)</w:t>
                  </w:r>
                </w:p>
                <w:p w14:paraId="53E23D5C" w14:textId="77777777" w:rsidR="00C04CAD" w:rsidRDefault="00C04CAD">
                  <w:pPr>
                    <w:framePr w:hSpace="141" w:wrap="around" w:vAnchor="text" w:hAnchor="text" w:x="108" w:y="1"/>
                    <w:spacing w:line="240" w:lineRule="auto"/>
                    <w:suppressOverlap/>
                    <w:jc w:val="right"/>
                  </w:pPr>
                </w:p>
              </w:tc>
            </w:tr>
          </w:tbl>
          <w:p w14:paraId="51EE11FD" w14:textId="77777777" w:rsidR="00C04CAD" w:rsidRDefault="00C04CAD">
            <w:pPr>
              <w:keepNext/>
              <w:spacing w:line="240" w:lineRule="auto"/>
              <w:jc w:val="right"/>
            </w:pPr>
          </w:p>
        </w:tc>
        <w:tc>
          <w:tcPr>
            <w:tcW w:w="1447" w:type="pct"/>
            <w:tcBorders>
              <w:top w:val="nil"/>
              <w:left w:val="nil"/>
              <w:bottom w:val="single" w:sz="4" w:space="0" w:color="auto"/>
              <w:right w:val="nil"/>
            </w:tcBorders>
          </w:tcPr>
          <w:p w14:paraId="35350056" w14:textId="77777777" w:rsidR="00C04CAD" w:rsidRDefault="00C04CAD">
            <w:pPr>
              <w:spacing w:line="240" w:lineRule="auto"/>
              <w:jc w:val="center"/>
              <w:rPr>
                <w:ins w:id="328" w:author="Author"/>
              </w:rPr>
            </w:pPr>
          </w:p>
          <w:p w14:paraId="4D5AAC86" w14:textId="77777777" w:rsidR="00C04CAD" w:rsidRDefault="00C04CAD">
            <w:pPr>
              <w:spacing w:line="240" w:lineRule="auto"/>
              <w:jc w:val="center"/>
              <w:rPr>
                <w:ins w:id="329" w:author="Author"/>
              </w:rPr>
            </w:pPr>
          </w:p>
          <w:p w14:paraId="2A995CE2" w14:textId="77777777" w:rsidR="00C04CAD" w:rsidRDefault="00060E34">
            <w:pPr>
              <w:spacing w:line="240" w:lineRule="auto"/>
              <w:jc w:val="center"/>
            </w:pPr>
            <w:r>
              <w:rPr>
                <w:noProof/>
              </w:rPr>
              <w:drawing>
                <wp:anchor distT="0" distB="0" distL="114300" distR="114300" simplePos="0" relativeHeight="251705344" behindDoc="0" locked="0" layoutInCell="1" allowOverlap="1" wp14:anchorId="783525A0" wp14:editId="29F159CC">
                  <wp:simplePos x="0" y="0"/>
                  <wp:positionH relativeFrom="margin">
                    <wp:align>center</wp:align>
                  </wp:positionH>
                  <wp:positionV relativeFrom="margin">
                    <wp:align>center</wp:align>
                  </wp:positionV>
                  <wp:extent cx="1155700" cy="3365500"/>
                  <wp:effectExtent l="0" t="0" r="0" b="0"/>
                  <wp:wrapSquare wrapText="bothSides"/>
                  <wp:docPr id="255705685" name="Picture 219" descr="A blu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05685" name="Picture 219" descr="A blue rectangular object with black lines&#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1155700" cy="3365500"/>
                          </a:xfrm>
                          <a:prstGeom prst="rect">
                            <a:avLst/>
                          </a:prstGeom>
                          <a:noFill/>
                        </pic:spPr>
                      </pic:pic>
                    </a:graphicData>
                  </a:graphic>
                </wp:anchor>
              </w:drawing>
            </w:r>
            <w: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C04CAD" w14:paraId="38191833" w14:textId="77777777">
              <w:trPr>
                <w:trHeight w:val="461"/>
              </w:trPr>
              <w:tc>
                <w:tcPr>
                  <w:tcW w:w="1852" w:type="dxa"/>
                </w:tcPr>
                <w:p w14:paraId="588D1986" w14:textId="77777777" w:rsidR="00C04CAD" w:rsidRDefault="00060E34">
                  <w:pPr>
                    <w:framePr w:hSpace="141" w:wrap="around" w:vAnchor="text" w:hAnchor="text" w:x="108" w:y="1"/>
                    <w:spacing w:line="240" w:lineRule="auto"/>
                    <w:suppressOverlap/>
                    <w:rPr>
                      <w:szCs w:val="22"/>
                    </w:rPr>
                  </w:pPr>
                  <w:r>
                    <w:rPr>
                      <w:szCs w:val="22"/>
                    </w:rPr>
                    <w:t>Buton de pornire albastru-deschis</w:t>
                  </w:r>
                </w:p>
              </w:tc>
            </w:tr>
            <w:tr w:rsidR="00C04CAD" w14:paraId="7636AB1F" w14:textId="77777777">
              <w:trPr>
                <w:trHeight w:val="1077"/>
              </w:trPr>
              <w:tc>
                <w:tcPr>
                  <w:tcW w:w="1852" w:type="dxa"/>
                </w:tcPr>
                <w:p w14:paraId="35C2334C" w14:textId="77777777" w:rsidR="00C04CAD" w:rsidRDefault="00C04CAD">
                  <w:pPr>
                    <w:framePr w:hSpace="141" w:wrap="around" w:vAnchor="text" w:hAnchor="text" w:x="108" w:y="1"/>
                    <w:spacing w:line="240" w:lineRule="auto"/>
                    <w:suppressOverlap/>
                  </w:pPr>
                </w:p>
              </w:tc>
            </w:tr>
            <w:tr w:rsidR="00C04CAD" w14:paraId="4DB2E31F" w14:textId="77777777">
              <w:trPr>
                <w:trHeight w:val="725"/>
              </w:trPr>
              <w:tc>
                <w:tcPr>
                  <w:tcW w:w="1852" w:type="dxa"/>
                </w:tcPr>
                <w:p w14:paraId="2A4FAD2A" w14:textId="77777777" w:rsidR="00C04CAD" w:rsidRDefault="00060E34">
                  <w:pPr>
                    <w:framePr w:hSpace="141" w:wrap="around" w:vAnchor="text" w:hAnchor="text" w:x="108" w:y="1"/>
                    <w:spacing w:line="240" w:lineRule="auto"/>
                    <w:suppressOverlap/>
                  </w:pPr>
                  <w:r>
                    <w:t>Piston (poate fi vizibil în fereastră; locația poate varia)</w:t>
                  </w:r>
                </w:p>
              </w:tc>
            </w:tr>
            <w:tr w:rsidR="00C04CAD" w14:paraId="7B989ADC" w14:textId="77777777">
              <w:trPr>
                <w:trHeight w:val="989"/>
              </w:trPr>
              <w:tc>
                <w:tcPr>
                  <w:tcW w:w="1852" w:type="dxa"/>
                </w:tcPr>
                <w:p w14:paraId="62C0054F" w14:textId="77777777" w:rsidR="00C04CAD" w:rsidRDefault="00C04CAD">
                  <w:pPr>
                    <w:framePr w:hSpace="141" w:wrap="around" w:vAnchor="text" w:hAnchor="text" w:x="108" w:y="1"/>
                    <w:spacing w:line="240" w:lineRule="auto"/>
                    <w:suppressOverlap/>
                  </w:pPr>
                </w:p>
              </w:tc>
            </w:tr>
            <w:tr w:rsidR="00C04CAD" w14:paraId="6922F344" w14:textId="77777777">
              <w:trPr>
                <w:trHeight w:val="1077"/>
              </w:trPr>
              <w:tc>
                <w:tcPr>
                  <w:tcW w:w="1852" w:type="dxa"/>
                </w:tcPr>
                <w:p w14:paraId="2879F118" w14:textId="77777777" w:rsidR="00C04CAD" w:rsidRDefault="00060E34">
                  <w:pPr>
                    <w:framePr w:hSpace="141" w:wrap="around" w:vAnchor="text" w:hAnchor="text" w:x="108" w:y="1"/>
                    <w:spacing w:line="240" w:lineRule="auto"/>
                    <w:suppressOverlap/>
                  </w:pPr>
                  <w:r>
                    <w:t>Medicament</w:t>
                  </w:r>
                </w:p>
              </w:tc>
            </w:tr>
            <w:tr w:rsidR="00C04CAD" w14:paraId="757D9036" w14:textId="77777777">
              <w:trPr>
                <w:trHeight w:val="568"/>
              </w:trPr>
              <w:tc>
                <w:tcPr>
                  <w:tcW w:w="1852" w:type="dxa"/>
                </w:tcPr>
                <w:p w14:paraId="7CDB77D4" w14:textId="77777777" w:rsidR="00C04CAD" w:rsidRDefault="00060E34">
                  <w:pPr>
                    <w:framePr w:hSpace="141" w:wrap="around" w:vAnchor="text" w:hAnchor="text" w:x="108" w:y="1"/>
                    <w:spacing w:line="240" w:lineRule="auto"/>
                    <w:suppressOverlap/>
                  </w:pPr>
                  <w:r>
                    <w:t>Capac galben</w:t>
                  </w:r>
                </w:p>
                <w:p w14:paraId="0A90F116" w14:textId="77777777" w:rsidR="00C04CAD" w:rsidRDefault="00C04CAD">
                  <w:pPr>
                    <w:framePr w:hSpace="141" w:wrap="around" w:vAnchor="text" w:hAnchor="text" w:x="108" w:y="1"/>
                    <w:spacing w:line="240" w:lineRule="auto"/>
                    <w:suppressOverlap/>
                  </w:pPr>
                </w:p>
              </w:tc>
            </w:tr>
          </w:tbl>
          <w:p w14:paraId="6D1262CC" w14:textId="77777777" w:rsidR="00C04CAD" w:rsidRDefault="00C04CAD">
            <w:pPr>
              <w:spacing w:line="240" w:lineRule="auto"/>
            </w:pPr>
          </w:p>
        </w:tc>
      </w:tr>
    </w:tbl>
    <w:p w14:paraId="432E6428" w14:textId="77777777" w:rsidR="00C04CAD" w:rsidRDefault="00C04CAD">
      <w:pPr>
        <w:spacing w:line="240" w:lineRule="auto"/>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C04CAD" w14:paraId="3D2F81C8"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65C5350F" w14:textId="77777777" w:rsidR="00C04CAD" w:rsidRDefault="00060E34">
            <w:pPr>
              <w:spacing w:line="240" w:lineRule="auto"/>
              <w:rPr>
                <w:b/>
                <w:bCs/>
              </w:rPr>
            </w:pPr>
            <w:r>
              <w:rPr>
                <w:b/>
                <w:bCs/>
              </w:rPr>
              <w:t>1</w:t>
            </w:r>
          </w:p>
        </w:tc>
        <w:tc>
          <w:tcPr>
            <w:tcW w:w="4688" w:type="pct"/>
            <w:tcBorders>
              <w:left w:val="single" w:sz="4" w:space="0" w:color="auto"/>
              <w:bottom w:val="single" w:sz="4" w:space="0" w:color="auto"/>
            </w:tcBorders>
          </w:tcPr>
          <w:p w14:paraId="59917B2E" w14:textId="77777777" w:rsidR="00C04CAD" w:rsidRDefault="00060E34">
            <w:pPr>
              <w:spacing w:line="240" w:lineRule="auto"/>
              <w:rPr>
                <w:b/>
                <w:bCs/>
              </w:rPr>
            </w:pPr>
            <w:r>
              <w:rPr>
                <w:b/>
              </w:rPr>
              <w:t>Informații importante pe care trebuie să le cunoașteți înainte de a vă injecta</w:t>
            </w:r>
            <w:r>
              <w:rPr>
                <w:b/>
                <w:bCs/>
              </w:rPr>
              <w:t xml:space="preserve"> AMGEVITA</w:t>
            </w:r>
          </w:p>
        </w:tc>
      </w:tr>
      <w:tr w:rsidR="00C04CAD" w14:paraId="77641E19" w14:textId="77777777">
        <w:trPr>
          <w:cantSplit/>
          <w:trHeight w:val="57"/>
          <w:del w:id="330" w:author="Author"/>
        </w:trPr>
        <w:tc>
          <w:tcPr>
            <w:tcW w:w="5000" w:type="pct"/>
            <w:gridSpan w:val="2"/>
            <w:tcBorders>
              <w:bottom w:val="nil"/>
            </w:tcBorders>
            <w:tcMar>
              <w:top w:w="57" w:type="dxa"/>
              <w:left w:w="57" w:type="dxa"/>
              <w:bottom w:w="57" w:type="dxa"/>
              <w:right w:w="57" w:type="dxa"/>
            </w:tcMar>
          </w:tcPr>
          <w:p w14:paraId="6292A8FA" w14:textId="77777777" w:rsidR="00C04CAD" w:rsidRDefault="00060E34">
            <w:pPr>
              <w:spacing w:line="240" w:lineRule="auto"/>
              <w:rPr>
                <w:del w:id="331" w:author="Author"/>
                <w:b/>
                <w:bCs/>
              </w:rPr>
            </w:pPr>
            <w:del w:id="332" w:author="Author">
              <w:r>
                <w:rPr>
                  <w:b/>
                </w:rPr>
                <w:delText>Utilizarea pen-ului preumplut SureClick AMGEVITA</w:delText>
              </w:r>
              <w:r>
                <w:rPr>
                  <w:b/>
                  <w:bCs/>
                </w:rPr>
                <w:delText>:</w:delText>
              </w:r>
            </w:del>
          </w:p>
          <w:p w14:paraId="2F695810" w14:textId="77777777" w:rsidR="00C04CAD" w:rsidRDefault="00C04CAD">
            <w:pPr>
              <w:spacing w:line="240" w:lineRule="auto"/>
              <w:rPr>
                <w:del w:id="333" w:author="Author"/>
                <w:b/>
                <w:bCs/>
              </w:rPr>
            </w:pPr>
          </w:p>
        </w:tc>
      </w:tr>
      <w:tr w:rsidR="00C04CAD" w14:paraId="449DD497" w14:textId="77777777">
        <w:trPr>
          <w:cantSplit/>
          <w:trHeight w:val="57"/>
        </w:trPr>
        <w:tc>
          <w:tcPr>
            <w:tcW w:w="312" w:type="pct"/>
            <w:tcBorders>
              <w:top w:val="nil"/>
              <w:bottom w:val="nil"/>
              <w:right w:val="nil"/>
            </w:tcBorders>
          </w:tcPr>
          <w:p w14:paraId="56E39F70" w14:textId="77777777" w:rsidR="00C04CAD" w:rsidRDefault="00C04CAD">
            <w:pPr>
              <w:keepNext/>
              <w:numPr>
                <w:ilvl w:val="0"/>
                <w:numId w:val="102"/>
              </w:numPr>
              <w:tabs>
                <w:tab w:val="clear" w:pos="567"/>
              </w:tabs>
              <w:spacing w:line="240" w:lineRule="auto"/>
              <w:ind w:left="567" w:hanging="567"/>
            </w:pPr>
          </w:p>
        </w:tc>
        <w:tc>
          <w:tcPr>
            <w:tcW w:w="4688" w:type="pct"/>
            <w:tcBorders>
              <w:top w:val="nil"/>
              <w:left w:val="nil"/>
              <w:bottom w:val="nil"/>
            </w:tcBorders>
            <w:tcMar>
              <w:top w:w="57" w:type="dxa"/>
              <w:left w:w="0" w:type="dxa"/>
              <w:bottom w:w="57" w:type="dxa"/>
              <w:right w:w="57" w:type="dxa"/>
            </w:tcMar>
          </w:tcPr>
          <w:p w14:paraId="75687D5A" w14:textId="77777777" w:rsidR="00C04CAD" w:rsidRDefault="00060E34">
            <w:pPr>
              <w:spacing w:line="240" w:lineRule="auto"/>
              <w:rPr>
                <w:b/>
                <w:bCs/>
              </w:rPr>
            </w:pPr>
            <w:r>
              <w:t xml:space="preserve">Este important să nu încercaţi să vă administraţi injecţia până când </w:t>
            </w:r>
            <w:del w:id="334" w:author="Author">
              <w:r>
                <w:delText xml:space="preserve">nu aţi citit şi înţeles în întregime aceste instrucţiuni de utilizare şi până când </w:delText>
              </w:r>
            </w:del>
            <w:ins w:id="335" w:author="Author">
              <w:r>
                <w:t xml:space="preserve">nu aţi citit şi înţeles în întregime aceste instrucţiuni de utilizare şi dacă </w:t>
              </w:r>
            </w:ins>
            <w:r>
              <w:t>nu aţi primit instrucțiuni de la medicul dumneavoastră sau de la furnizorul de servicii medicale.</w:t>
            </w:r>
          </w:p>
        </w:tc>
      </w:tr>
      <w:tr w:rsidR="00C04CAD" w14:paraId="53940A67" w14:textId="77777777">
        <w:trPr>
          <w:cantSplit/>
          <w:trHeight w:val="57"/>
        </w:trPr>
        <w:tc>
          <w:tcPr>
            <w:tcW w:w="312" w:type="pct"/>
            <w:tcBorders>
              <w:top w:val="nil"/>
              <w:bottom w:val="nil"/>
              <w:right w:val="nil"/>
            </w:tcBorders>
          </w:tcPr>
          <w:p w14:paraId="75F17819" w14:textId="77777777" w:rsidR="00C04CAD" w:rsidRDefault="00C04CAD">
            <w:pPr>
              <w:keepNext/>
              <w:numPr>
                <w:ilvl w:val="0"/>
                <w:numId w:val="102"/>
              </w:numPr>
              <w:tabs>
                <w:tab w:val="clear" w:pos="567"/>
              </w:tabs>
              <w:spacing w:line="240" w:lineRule="auto"/>
              <w:ind w:left="567" w:hanging="567"/>
            </w:pPr>
          </w:p>
        </w:tc>
        <w:tc>
          <w:tcPr>
            <w:tcW w:w="4688" w:type="pct"/>
            <w:tcBorders>
              <w:top w:val="nil"/>
              <w:left w:val="nil"/>
              <w:bottom w:val="nil"/>
            </w:tcBorders>
            <w:tcMar>
              <w:top w:w="57" w:type="dxa"/>
              <w:left w:w="0" w:type="dxa"/>
              <w:bottom w:w="57" w:type="dxa"/>
              <w:right w:w="57" w:type="dxa"/>
            </w:tcMar>
          </w:tcPr>
          <w:p w14:paraId="4B994FB7" w14:textId="77777777" w:rsidR="00C04CAD" w:rsidRDefault="00060E34">
            <w:pPr>
              <w:spacing w:line="240" w:lineRule="auto"/>
              <w:rPr>
                <w:b/>
                <w:bCs/>
              </w:rPr>
            </w:pPr>
            <w:r>
              <w:rPr>
                <w:b/>
              </w:rPr>
              <w:t>Nu</w:t>
            </w:r>
            <w:r>
              <w:t xml:space="preserve"> utilizaţi pen-ul preumplut dacă cutia este deteriorată sau sigiliul este rupt.</w:t>
            </w:r>
          </w:p>
        </w:tc>
      </w:tr>
      <w:tr w:rsidR="00C04CAD" w14:paraId="59669882" w14:textId="77777777">
        <w:trPr>
          <w:cantSplit/>
          <w:trHeight w:val="57"/>
        </w:trPr>
        <w:tc>
          <w:tcPr>
            <w:tcW w:w="312" w:type="pct"/>
            <w:tcBorders>
              <w:top w:val="nil"/>
              <w:bottom w:val="nil"/>
              <w:right w:val="nil"/>
            </w:tcBorders>
          </w:tcPr>
          <w:p w14:paraId="715FF2F9" w14:textId="77777777" w:rsidR="00C04CAD" w:rsidRDefault="00C04CAD">
            <w:pPr>
              <w:pStyle w:val="ListParagraph"/>
              <w:keepNext/>
              <w:numPr>
                <w:ilvl w:val="0"/>
                <w:numId w:val="103"/>
              </w:numPr>
              <w:tabs>
                <w:tab w:val="clear" w:pos="567"/>
                <w:tab w:val="left" w:pos="474"/>
                <w:tab w:val="left" w:pos="529"/>
              </w:tabs>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08F92755" w14:textId="77777777" w:rsidR="00C04CAD" w:rsidRDefault="00060E34">
            <w:pPr>
              <w:spacing w:line="240" w:lineRule="auto"/>
              <w:rPr>
                <w:b/>
                <w:bCs/>
              </w:rPr>
            </w:pPr>
            <w:r>
              <w:rPr>
                <w:b/>
              </w:rPr>
              <w:t>Nu</w:t>
            </w:r>
            <w:r>
              <w:t xml:space="preserve"> utilizaţi pen-ul preumplut după data expirării de pe etichetă.</w:t>
            </w:r>
          </w:p>
        </w:tc>
      </w:tr>
      <w:tr w:rsidR="00C04CAD" w14:paraId="113A74AD" w14:textId="77777777">
        <w:trPr>
          <w:cantSplit/>
          <w:trHeight w:val="57"/>
        </w:trPr>
        <w:tc>
          <w:tcPr>
            <w:tcW w:w="312" w:type="pct"/>
            <w:tcBorders>
              <w:top w:val="nil"/>
              <w:bottom w:val="nil"/>
              <w:right w:val="nil"/>
            </w:tcBorders>
          </w:tcPr>
          <w:p w14:paraId="4FF588A5" w14:textId="77777777" w:rsidR="00C04CAD" w:rsidRDefault="00C04CAD">
            <w:pPr>
              <w:pStyle w:val="ListParagraph"/>
              <w:keepNext/>
              <w:numPr>
                <w:ilvl w:val="0"/>
                <w:numId w:val="103"/>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1987FE7B" w14:textId="77777777" w:rsidR="00C04CAD" w:rsidRDefault="00060E34">
            <w:pPr>
              <w:spacing w:line="240" w:lineRule="auto"/>
              <w:rPr>
                <w:b/>
                <w:bCs/>
              </w:rPr>
            </w:pPr>
            <w:r>
              <w:rPr>
                <w:b/>
              </w:rPr>
              <w:t>Nu</w:t>
            </w:r>
            <w:r>
              <w:t xml:space="preserve"> agitaţi pen-ul preumplut.</w:t>
            </w:r>
          </w:p>
        </w:tc>
      </w:tr>
      <w:tr w:rsidR="00C04CAD" w14:paraId="3A449E43" w14:textId="77777777">
        <w:trPr>
          <w:cantSplit/>
          <w:trHeight w:val="57"/>
        </w:trPr>
        <w:tc>
          <w:tcPr>
            <w:tcW w:w="312" w:type="pct"/>
            <w:tcBorders>
              <w:top w:val="nil"/>
              <w:bottom w:val="nil"/>
              <w:right w:val="nil"/>
            </w:tcBorders>
          </w:tcPr>
          <w:p w14:paraId="0A9AC8F9"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6F1CADCE" w14:textId="77777777" w:rsidR="00C04CAD" w:rsidRDefault="00060E34">
            <w:pPr>
              <w:spacing w:line="240" w:lineRule="auto"/>
            </w:pPr>
            <w:r>
              <w:rPr>
                <w:b/>
              </w:rPr>
              <w:t>Nu</w:t>
            </w:r>
            <w:r>
              <w:t xml:space="preserve"> scoateți capacul galben de pe pen-ul preumplut până când nu sunteți gata să vă injectați.</w:t>
            </w:r>
          </w:p>
        </w:tc>
      </w:tr>
      <w:tr w:rsidR="00C04CAD" w14:paraId="51454815" w14:textId="77777777">
        <w:trPr>
          <w:cantSplit/>
          <w:trHeight w:val="57"/>
        </w:trPr>
        <w:tc>
          <w:tcPr>
            <w:tcW w:w="312" w:type="pct"/>
            <w:tcBorders>
              <w:top w:val="nil"/>
              <w:bottom w:val="nil"/>
              <w:right w:val="nil"/>
            </w:tcBorders>
          </w:tcPr>
          <w:p w14:paraId="757855DD"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24830436" w14:textId="77777777" w:rsidR="00C04CAD" w:rsidRDefault="00060E34">
            <w:pPr>
              <w:spacing w:line="240" w:lineRule="auto"/>
            </w:pPr>
            <w:r>
              <w:rPr>
                <w:b/>
              </w:rPr>
              <w:t>Nu</w:t>
            </w:r>
            <w:r>
              <w:t xml:space="preserve"> utilizaţi pen-ul preumplut dacă a fost congelat.</w:t>
            </w:r>
          </w:p>
        </w:tc>
      </w:tr>
      <w:tr w:rsidR="00C04CAD" w14:paraId="325FCF67" w14:textId="77777777">
        <w:trPr>
          <w:cantSplit/>
          <w:trHeight w:val="57"/>
        </w:trPr>
        <w:tc>
          <w:tcPr>
            <w:tcW w:w="312" w:type="pct"/>
            <w:tcBorders>
              <w:top w:val="nil"/>
              <w:bottom w:val="nil"/>
              <w:right w:val="nil"/>
            </w:tcBorders>
          </w:tcPr>
          <w:p w14:paraId="69EB3DDF" w14:textId="77777777" w:rsidR="00C04CAD" w:rsidRDefault="00C04CAD">
            <w:pPr>
              <w:pStyle w:val="ListParagraph"/>
              <w:keepNext/>
              <w:numPr>
                <w:ilvl w:val="0"/>
                <w:numId w:val="104"/>
              </w:numPr>
              <w:spacing w:line="240" w:lineRule="auto"/>
              <w:ind w:left="567" w:hanging="567"/>
              <w:contextualSpacing w:val="0"/>
            </w:pPr>
          </w:p>
        </w:tc>
        <w:tc>
          <w:tcPr>
            <w:tcW w:w="4688" w:type="pct"/>
            <w:tcBorders>
              <w:top w:val="nil"/>
              <w:left w:val="nil"/>
              <w:bottom w:val="nil"/>
            </w:tcBorders>
            <w:tcMar>
              <w:top w:w="57" w:type="dxa"/>
              <w:left w:w="0" w:type="dxa"/>
              <w:bottom w:w="57" w:type="dxa"/>
              <w:right w:w="57" w:type="dxa"/>
            </w:tcMar>
          </w:tcPr>
          <w:p w14:paraId="00B1719A" w14:textId="77777777" w:rsidR="00C04CAD" w:rsidRDefault="00060E34">
            <w:pPr>
              <w:spacing w:line="240" w:lineRule="auto"/>
            </w:pPr>
            <w:r>
              <w:rPr>
                <w:b/>
              </w:rPr>
              <w:t>Nu</w:t>
            </w:r>
            <w:r>
              <w:t xml:space="preserve"> utilizaţi pen-ul preumplut dacă a fost scăpat pe o suprafaţă tare. O parte a pen-ului preumplut poate fi spartă, chiar dacă spărtura nu se vede. Utilizați un pen preumplut nou și contactați-vă medicul sau furnizorul de servicii medicale</w:t>
            </w:r>
            <w:r>
              <w:rPr>
                <w:color w:val="000000"/>
                <w:szCs w:val="22"/>
              </w:rPr>
              <w:t>.</w:t>
            </w:r>
          </w:p>
        </w:tc>
      </w:tr>
      <w:tr w:rsidR="00C04CAD" w14:paraId="5F0C667F" w14:textId="77777777">
        <w:trPr>
          <w:cantSplit/>
          <w:trHeight w:val="57"/>
        </w:trPr>
        <w:tc>
          <w:tcPr>
            <w:tcW w:w="5000" w:type="pct"/>
            <w:gridSpan w:val="2"/>
            <w:tcBorders>
              <w:top w:val="nil"/>
              <w:bottom w:val="single" w:sz="4" w:space="0" w:color="auto"/>
            </w:tcBorders>
          </w:tcPr>
          <w:p w14:paraId="20A46D93" w14:textId="77777777" w:rsidR="00C04CAD" w:rsidRDefault="00060E34">
            <w:pPr>
              <w:spacing w:line="240" w:lineRule="auto"/>
              <w:rPr>
                <w:b/>
                <w:bCs/>
              </w:rPr>
            </w:pPr>
            <w:r>
              <w:rPr>
                <w:noProof/>
              </w:rPr>
              <mc:AlternateContent>
                <mc:Choice Requires="wps">
                  <w:drawing>
                    <wp:anchor distT="45720" distB="45720" distL="114300" distR="114300" simplePos="0" relativeHeight="251697152" behindDoc="0" locked="0" layoutInCell="1" allowOverlap="1" wp14:anchorId="2B0EA587" wp14:editId="6BF0EB48">
                      <wp:simplePos x="0" y="0"/>
                      <wp:positionH relativeFrom="margin">
                        <wp:posOffset>43815</wp:posOffset>
                      </wp:positionH>
                      <wp:positionV relativeFrom="paragraph">
                        <wp:posOffset>204470</wp:posOffset>
                      </wp:positionV>
                      <wp:extent cx="5576570" cy="431800"/>
                      <wp:effectExtent l="0" t="0" r="5080" b="6350"/>
                      <wp:wrapSquare wrapText="bothSides"/>
                      <wp:docPr id="8512736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5A819CE4" w14:textId="77777777" w:rsidR="00C04CAD" w:rsidRDefault="00060E34">
                                  <w:pPr>
                                    <w:spacing w:line="240" w:lineRule="auto"/>
                                  </w:pPr>
                                  <w:r>
                                    <w:rPr>
                                      <w:b/>
                                      <w:bCs/>
                                    </w:rPr>
                                    <w:t>Important:</w:t>
                                  </w:r>
                                  <w:r>
                                    <w:rPr>
                                      <w:szCs w:val="22"/>
                                    </w:rPr>
                                    <w:t xml:space="preserve"> Nu lăsați la vederea și îndemâna copiilor pen-ul preumplut și recipientul pentru eliminarea la deșeuri a obiectelor ascuțite.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B0EA587" id="Text Box 7" o:spid="_x0000_s1046" type="#_x0000_t202" style="position:absolute;margin-left:3.45pt;margin-top:16.1pt;width:439.1pt;height:34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7FCAIAABA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UKK&#10;AlZQ70lChEOL0kjRoQX8xVlP7Vly/3MrUHFmPlkqw814Oo39nIzpbE5ADC891aVHWElQJQ+cHY6r&#10;kGYgKeTuqFxrnZQ8Z3LMmdouCXwckdjXl3aKOg/y8jcAAAD//wMAUEsDBBQABgAIAAAAIQB46GYc&#10;3QAAAAgBAAAPAAAAZHJzL2Rvd25yZXYueG1sTI/BTsMwEETvSPyDtUjcqN0AUQhxKoRUIXEjRe3V&#10;tbdJhL0OsZuEv8ec6HE1TzNvq83iLJtwDL0nCeuVAIakvemplfC5294VwEJUZJT1hBJ+MMCmvr6q&#10;VGn8TB84NbFlqYRCqSR0MQ4l50F36FRY+QEpZSc/OhXTObbcjGpO5c7yTIicO9VTWujUgK8d6q/m&#10;7CRsc3UaDm8PVk/vzbfe7+f+sGulvL1ZXp6BRVziPwx/+kkd6uR09GcygVkJ+VMCJdxnGbAUF8Xj&#10;GtgxcUJkwOuKXz5Q/wIAAP//AwBQSwECLQAUAAYACAAAACEAtoM4kv4AAADhAQAAEwAAAAAAAAAA&#10;AAAAAAAAAAAAW0NvbnRlbnRfVHlwZXNdLnhtbFBLAQItABQABgAIAAAAIQA4/SH/1gAAAJQBAAAL&#10;AAAAAAAAAAAAAAAAAC8BAABfcmVscy8ucmVsc1BLAQItABQABgAIAAAAIQBGPo7FCAIAABAEAAAO&#10;AAAAAAAAAAAAAAAAAC4CAABkcnMvZTJvRG9jLnhtbFBLAQItABQABgAIAAAAIQB46GYc3QAAAAgB&#10;AAAPAAAAAAAAAAAAAAAAAGIEAABkcnMvZG93bnJldi54bWxQSwUGAAAAAAQABADzAAAAbAUAAAAA&#10;" strokecolor="red" strokeweight="1.5pt">
                      <v:textbox style="mso-fit-shape-to-text:t">
                        <w:txbxContent>
                          <w:p w14:paraId="5A819CE4" w14:textId="77777777" w:rsidR="00C04CAD" w:rsidRDefault="00060E34">
                            <w:pPr>
                              <w:spacing w:line="240" w:lineRule="auto"/>
                            </w:pPr>
                            <w:r>
                              <w:rPr>
                                <w:b/>
                                <w:bCs/>
                              </w:rPr>
                              <w:t>Important:</w:t>
                            </w:r>
                            <w:r>
                              <w:rPr>
                                <w:szCs w:val="22"/>
                              </w:rPr>
                              <w:t xml:space="preserve"> Nu lăsați la vederea și îndemâna copiilor pen-ul preumplut și recipientul pentru eliminarea la deșeuri a obiectelor ascuțite.</w:t>
                            </w:r>
                          </w:p>
                        </w:txbxContent>
                      </v:textbox>
                      <w10:wrap type="square" anchorx="margin"/>
                    </v:shape>
                  </w:pict>
                </mc:Fallback>
              </mc:AlternateContent>
            </w:r>
          </w:p>
        </w:tc>
      </w:tr>
    </w:tbl>
    <w:p w14:paraId="79C50045" w14:textId="77777777" w:rsidR="00C04CAD" w:rsidRDefault="00C04CAD">
      <w:pPr>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C04CAD" w14:paraId="5A0E5445" w14:textId="77777777">
        <w:trPr>
          <w:cantSplit/>
          <w:trHeight w:val="57"/>
        </w:trPr>
        <w:tc>
          <w:tcPr>
            <w:tcW w:w="305" w:type="pct"/>
            <w:tcBorders>
              <w:top w:val="single" w:sz="4" w:space="0" w:color="auto"/>
            </w:tcBorders>
            <w:tcMar>
              <w:top w:w="28" w:type="dxa"/>
              <w:left w:w="57" w:type="dxa"/>
              <w:bottom w:w="28" w:type="dxa"/>
              <w:right w:w="57" w:type="dxa"/>
            </w:tcMar>
          </w:tcPr>
          <w:p w14:paraId="15A84F67" w14:textId="77777777" w:rsidR="00C04CAD" w:rsidRDefault="00060E34">
            <w:pPr>
              <w:keepNext/>
              <w:spacing w:line="240" w:lineRule="auto"/>
              <w:rPr>
                <w:szCs w:val="22"/>
              </w:rPr>
            </w:pPr>
            <w:r>
              <w:rPr>
                <w:b/>
                <w:bCs/>
                <w:szCs w:val="22"/>
              </w:rPr>
              <w:t>2</w:t>
            </w:r>
          </w:p>
        </w:tc>
        <w:tc>
          <w:tcPr>
            <w:tcW w:w="4695" w:type="pct"/>
            <w:tcBorders>
              <w:top w:val="single" w:sz="4" w:space="0" w:color="auto"/>
            </w:tcBorders>
          </w:tcPr>
          <w:p w14:paraId="74FAF177" w14:textId="77777777" w:rsidR="00C04CAD" w:rsidRDefault="00060E34">
            <w:pPr>
              <w:keepNext/>
              <w:spacing w:line="240" w:lineRule="auto"/>
              <w:ind w:left="567" w:hanging="567"/>
              <w:rPr>
                <w:szCs w:val="22"/>
              </w:rPr>
            </w:pPr>
            <w:r>
              <w:rPr>
                <w:b/>
              </w:rPr>
              <w:t>Pregătirea în vederea injectării</w:t>
            </w:r>
            <w:r>
              <w:rPr>
                <w:b/>
                <w:bCs/>
                <w:szCs w:val="22"/>
              </w:rPr>
              <w:t xml:space="preserve"> AMGEVITA</w:t>
            </w:r>
          </w:p>
        </w:tc>
      </w:tr>
    </w:tbl>
    <w:p w14:paraId="72C3C696" w14:textId="77777777" w:rsidR="00C04CAD" w:rsidRDefault="00C04CAD">
      <w:pPr>
        <w:keepNext/>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C04CAD" w14:paraId="7EECB3B9" w14:textId="77777777">
        <w:trPr>
          <w:cantSplit/>
          <w:trHeight w:val="57"/>
        </w:trPr>
        <w:tc>
          <w:tcPr>
            <w:tcW w:w="310" w:type="pct"/>
            <w:tcBorders>
              <w:bottom w:val="single" w:sz="4" w:space="0" w:color="auto"/>
            </w:tcBorders>
            <w:tcMar>
              <w:top w:w="28" w:type="dxa"/>
              <w:left w:w="57" w:type="dxa"/>
              <w:bottom w:w="28" w:type="dxa"/>
              <w:right w:w="57" w:type="dxa"/>
            </w:tcMar>
          </w:tcPr>
          <w:p w14:paraId="5BA65B6E" w14:textId="77777777" w:rsidR="00C04CAD" w:rsidRDefault="00060E34">
            <w:pPr>
              <w:keepNext/>
              <w:spacing w:line="240" w:lineRule="auto"/>
              <w:rPr>
                <w:szCs w:val="22"/>
              </w:rPr>
            </w:pPr>
            <w:r>
              <w:rPr>
                <w:b/>
                <w:bCs/>
                <w:szCs w:val="22"/>
              </w:rPr>
              <w:t>2a</w:t>
            </w:r>
          </w:p>
        </w:tc>
        <w:tc>
          <w:tcPr>
            <w:tcW w:w="4690" w:type="pct"/>
            <w:gridSpan w:val="2"/>
            <w:tcBorders>
              <w:bottom w:val="single" w:sz="4" w:space="0" w:color="auto"/>
            </w:tcBorders>
          </w:tcPr>
          <w:p w14:paraId="180E7D61" w14:textId="77777777" w:rsidR="00C04CAD" w:rsidRDefault="00060E34">
            <w:pPr>
              <w:keepNext/>
              <w:spacing w:line="240" w:lineRule="auto"/>
              <w:ind w:left="567" w:hanging="567"/>
              <w:rPr>
                <w:szCs w:val="22"/>
              </w:rPr>
            </w:pPr>
            <w:r>
              <w:rPr>
                <w:b/>
              </w:rPr>
              <w:t xml:space="preserve">Așteptați </w:t>
            </w:r>
            <w:ins w:id="336" w:author="Author">
              <w:r>
                <w:rPr>
                  <w:b/>
                </w:rPr>
                <w:t xml:space="preserve">între 15 și </w:t>
              </w:r>
            </w:ins>
            <w:r>
              <w:rPr>
                <w:b/>
              </w:rPr>
              <w:t>30 de minute pentru ca pen-ul preumplut să ajungă la temperatura camerei</w:t>
            </w:r>
            <w:r>
              <w:rPr>
                <w:b/>
                <w:bCs/>
                <w:szCs w:val="22"/>
              </w:rPr>
              <w:t>.</w:t>
            </w:r>
          </w:p>
        </w:tc>
      </w:tr>
      <w:tr w:rsidR="00C04CAD" w14:paraId="7657F5F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9B7B6F8" w14:textId="77777777" w:rsidR="00C04CAD" w:rsidRDefault="00060E34">
            <w:pPr>
              <w:spacing w:line="240" w:lineRule="auto"/>
              <w:jc w:val="center"/>
              <w:rPr>
                <w:b/>
                <w:bCs/>
                <w:sz w:val="36"/>
                <w:szCs w:val="36"/>
              </w:rPr>
            </w:pPr>
            <w:r>
              <w:rPr>
                <w:b/>
                <w:sz w:val="36"/>
              </w:rPr>
              <w:t>AȘTEPTAȚI</w:t>
            </w:r>
          </w:p>
          <w:p w14:paraId="77F31E2F" w14:textId="77777777" w:rsidR="00C04CAD" w:rsidRDefault="00060E34">
            <w:pPr>
              <w:spacing w:line="240" w:lineRule="auto"/>
              <w:jc w:val="center"/>
              <w:rPr>
                <w:b/>
                <w:bCs/>
                <w:sz w:val="36"/>
                <w:szCs w:val="36"/>
              </w:rPr>
            </w:pPr>
            <w:ins w:id="337" w:author="Author">
              <w:r>
                <w:rPr>
                  <w:b/>
                  <w:bCs/>
                  <w:sz w:val="36"/>
                  <w:szCs w:val="36"/>
                </w:rPr>
                <w:t xml:space="preserve">între 15 și </w:t>
              </w:r>
            </w:ins>
            <w:r>
              <w:rPr>
                <w:b/>
                <w:bCs/>
                <w:sz w:val="36"/>
                <w:szCs w:val="36"/>
              </w:rPr>
              <w:t>30 de</w:t>
            </w:r>
          </w:p>
          <w:p w14:paraId="44D9E5F6" w14:textId="77777777" w:rsidR="00C04CAD" w:rsidRDefault="00060E34">
            <w:pPr>
              <w:spacing w:line="240" w:lineRule="auto"/>
              <w:jc w:val="center"/>
              <w:rPr>
                <w:b/>
                <w:bCs/>
              </w:rPr>
            </w:pPr>
            <w:r>
              <w:rPr>
                <w:b/>
                <w:bCs/>
                <w:sz w:val="36"/>
                <w:szCs w:val="36"/>
              </w:rPr>
              <w:t>minute</w:t>
            </w:r>
          </w:p>
        </w:tc>
      </w:tr>
      <w:tr w:rsidR="00C04CAD" w14:paraId="11DC91B0"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2784F322"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2701B85" w14:textId="77777777" w:rsidR="00C04CAD" w:rsidRDefault="00060E34">
            <w:pPr>
              <w:pStyle w:val="ListBullets"/>
              <w:numPr>
                <w:ilvl w:val="0"/>
                <w:numId w:val="0"/>
              </w:numPr>
              <w:spacing w:after="0"/>
              <w:contextualSpacing w:val="0"/>
              <w:rPr>
                <w:szCs w:val="22"/>
                <w:lang w:val="ro-RO"/>
              </w:rPr>
            </w:pPr>
            <w:r>
              <w:rPr>
                <w:rFonts w:eastAsia="PMingLiU" w:cs="Times New Roman"/>
                <w:color w:val="000000"/>
                <w:sz w:val="22"/>
                <w:szCs w:val="22"/>
                <w:lang w:val="ro-RO" w:eastAsia="en-US"/>
              </w:rPr>
              <w:t>Scoateţi numărul de pen-uri preumplute de care aveţi nevoie pentru injecţie și puneţi toate pen-urile preumplute nefolosite înapoi în frigider.</w:t>
            </w:r>
          </w:p>
        </w:tc>
      </w:tr>
      <w:tr w:rsidR="00C04CAD" w14:paraId="0AC8909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5CDD4A5"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54639143" w14:textId="77777777" w:rsidR="00C04CAD" w:rsidRDefault="00060E34">
            <w:pPr>
              <w:spacing w:line="240" w:lineRule="auto"/>
              <w:rPr>
                <w:b/>
                <w:bCs/>
              </w:rPr>
            </w:pPr>
            <w:r>
              <w:t>Lăsaţi pen-ul preumplut să se încălzească în mod natural</w:t>
            </w:r>
            <w:r>
              <w:rPr>
                <w:szCs w:val="22"/>
              </w:rPr>
              <w:t>.</w:t>
            </w:r>
          </w:p>
        </w:tc>
      </w:tr>
      <w:tr w:rsidR="00C04CAD" w14:paraId="740B7FE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B5F646B"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259C30DE" w14:textId="77777777" w:rsidR="00C04CAD" w:rsidRDefault="00060E34">
            <w:pPr>
              <w:spacing w:line="240" w:lineRule="auto"/>
            </w:pPr>
            <w:r>
              <w:rPr>
                <w:b/>
              </w:rPr>
              <w:t>Nu</w:t>
            </w:r>
            <w:r>
              <w:t xml:space="preserve"> încălziți </w:t>
            </w:r>
            <w:ins w:id="338" w:author="Author">
              <w:r>
                <w:t xml:space="preserve">pen-ul preumplut </w:t>
              </w:r>
            </w:ins>
            <w:r>
              <w:t>cu apă fierbinte, în cuptorul cu microunde sau în lumina directă a soarelui</w:t>
            </w:r>
            <w:r>
              <w:rPr>
                <w:szCs w:val="22"/>
              </w:rPr>
              <w:t>.</w:t>
            </w:r>
          </w:p>
        </w:tc>
      </w:tr>
      <w:tr w:rsidR="00C04CAD" w14:paraId="6BA1747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8359C4C"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BBA0D6A" w14:textId="77777777" w:rsidR="00C04CAD" w:rsidRDefault="00060E34">
            <w:pPr>
              <w:spacing w:line="240" w:lineRule="auto"/>
            </w:pPr>
            <w:r>
              <w:rPr>
                <w:b/>
              </w:rPr>
              <w:t>Nu</w:t>
            </w:r>
            <w:r>
              <w:t xml:space="preserve"> agitaţi niciodată pen-ul preumplut</w:t>
            </w:r>
            <w:r>
              <w:rPr>
                <w:szCs w:val="22"/>
              </w:rPr>
              <w:t>.</w:t>
            </w:r>
          </w:p>
        </w:tc>
      </w:tr>
      <w:tr w:rsidR="00C04CAD" w14:paraId="50CF0BA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BFD2A8F"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2A566E37" w14:textId="77777777" w:rsidR="00C04CAD" w:rsidRDefault="00060E34">
            <w:pPr>
              <w:spacing w:line="240" w:lineRule="auto"/>
              <w:rPr>
                <w:b/>
                <w:bCs/>
                <w:szCs w:val="22"/>
              </w:rPr>
            </w:pPr>
            <w:r>
              <w:rPr>
                <w:b/>
              </w:rPr>
              <w:t>Nu</w:t>
            </w:r>
            <w:r>
              <w:t xml:space="preserve"> puneţi pen-ul preumplut înapoi în frigider după ce acesta a ajuns la temperatura camerei</w:t>
            </w:r>
            <w:ins w:id="339" w:author="Author">
              <w:r>
                <w:t>.</w:t>
              </w:r>
            </w:ins>
          </w:p>
        </w:tc>
      </w:tr>
      <w:tr w:rsidR="00C04CAD" w14:paraId="7AF5AF70"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31FEA6B6"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single" w:sz="4" w:space="0" w:color="auto"/>
            </w:tcBorders>
            <w:tcMar>
              <w:left w:w="0" w:type="dxa"/>
            </w:tcMar>
          </w:tcPr>
          <w:p w14:paraId="114E71EE" w14:textId="77777777" w:rsidR="00C04CAD" w:rsidRDefault="00060E34">
            <w:pPr>
              <w:pStyle w:val="ListParagraph"/>
              <w:spacing w:line="240" w:lineRule="auto"/>
              <w:ind w:left="0"/>
              <w:rPr>
                <w:b/>
                <w:bCs/>
                <w:szCs w:val="22"/>
              </w:rPr>
            </w:pPr>
            <w:r>
              <w:t xml:space="preserve">Utilizarea pen-ului preumplut la temperatura camerei </w:t>
            </w:r>
            <w:ins w:id="340" w:author="Author">
              <w:r>
                <w:t xml:space="preserve">asigură administrarea dozei complete și </w:t>
              </w:r>
            </w:ins>
            <w:r>
              <w:t>permite o injectare mai confortabilă</w:t>
            </w:r>
            <w:r>
              <w:rPr>
                <w:b/>
                <w:bCs/>
                <w:szCs w:val="22"/>
              </w:rPr>
              <w:t>.</w:t>
            </w:r>
          </w:p>
          <w:p w14:paraId="09757AD3" w14:textId="77777777" w:rsidR="00C04CAD" w:rsidRDefault="00C04CAD">
            <w:pPr>
              <w:spacing w:line="240" w:lineRule="auto"/>
            </w:pPr>
          </w:p>
        </w:tc>
      </w:tr>
    </w:tbl>
    <w:p w14:paraId="3E586422" w14:textId="77777777" w:rsidR="00C04CAD" w:rsidRDefault="00C04CAD">
      <w:pPr>
        <w:spacing w:line="240" w:lineRule="auto"/>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341">
          <w:tblGrid>
            <w:gridCol w:w="83"/>
            <w:gridCol w:w="548"/>
            <w:gridCol w:w="96"/>
            <w:gridCol w:w="3848"/>
            <w:gridCol w:w="4323"/>
            <w:gridCol w:w="255"/>
          </w:tblGrid>
        </w:tblGridChange>
      </w:tblGrid>
      <w:tr w:rsidR="00C04CAD" w14:paraId="5BAE073F" w14:textId="77777777">
        <w:trPr>
          <w:cantSplit/>
          <w:trHeight w:val="382"/>
        </w:trPr>
        <w:tc>
          <w:tcPr>
            <w:tcW w:w="355" w:type="pct"/>
            <w:tcBorders>
              <w:bottom w:val="nil"/>
            </w:tcBorders>
            <w:tcMar>
              <w:top w:w="28" w:type="dxa"/>
              <w:left w:w="57" w:type="dxa"/>
              <w:bottom w:w="28" w:type="dxa"/>
              <w:right w:w="57" w:type="dxa"/>
            </w:tcMar>
          </w:tcPr>
          <w:p w14:paraId="60063D59" w14:textId="77777777" w:rsidR="00C04CAD" w:rsidRDefault="00060E34">
            <w:pPr>
              <w:keepNext/>
              <w:spacing w:line="240" w:lineRule="auto"/>
            </w:pPr>
            <w:r>
              <w:rPr>
                <w:b/>
                <w:bCs/>
              </w:rPr>
              <w:t>2b</w:t>
            </w:r>
          </w:p>
        </w:tc>
        <w:tc>
          <w:tcPr>
            <w:tcW w:w="4645" w:type="pct"/>
            <w:gridSpan w:val="2"/>
            <w:tcBorders>
              <w:bottom w:val="nil"/>
            </w:tcBorders>
          </w:tcPr>
          <w:p w14:paraId="6A6C66BB" w14:textId="77777777" w:rsidR="00C04CAD" w:rsidRDefault="00060E34">
            <w:pPr>
              <w:keepNext/>
              <w:spacing w:line="240" w:lineRule="auto"/>
            </w:pPr>
            <w:r>
              <w:rPr>
                <w:b/>
              </w:rPr>
              <w:t>Inspectați medicamentul</w:t>
            </w:r>
            <w:r>
              <w:rPr>
                <w:b/>
                <w:bCs/>
                <w:szCs w:val="22"/>
              </w:rPr>
              <w:t xml:space="preserve">. </w:t>
            </w:r>
            <w:r>
              <w:rPr>
                <w:b/>
              </w:rPr>
              <w:t>Trebuie să fie limpede și incolor până la ușor galben</w:t>
            </w:r>
            <w:r>
              <w:rPr>
                <w:b/>
                <w:bCs/>
                <w:szCs w:val="22"/>
              </w:rPr>
              <w:t>.</w:t>
            </w:r>
          </w:p>
        </w:tc>
      </w:tr>
      <w:tr w:rsidR="00C04CAD" w14:paraId="0331A8B4" w14:textId="77777777">
        <w:trPr>
          <w:cantSplit/>
          <w:trHeight w:val="2460"/>
        </w:trPr>
        <w:tc>
          <w:tcPr>
            <w:tcW w:w="355" w:type="pct"/>
            <w:tcBorders>
              <w:bottom w:val="nil"/>
              <w:right w:val="nil"/>
            </w:tcBorders>
            <w:tcMar>
              <w:top w:w="28" w:type="dxa"/>
              <w:left w:w="57" w:type="dxa"/>
              <w:bottom w:w="28" w:type="dxa"/>
              <w:right w:w="57" w:type="dxa"/>
            </w:tcMar>
          </w:tcPr>
          <w:p w14:paraId="3E58EAA2" w14:textId="77777777" w:rsidR="00C04CAD" w:rsidRDefault="00C04CAD">
            <w:pPr>
              <w:keepNext/>
              <w:spacing w:line="240" w:lineRule="auto"/>
              <w:rPr>
                <w:b/>
                <w:bCs/>
              </w:rPr>
            </w:pPr>
          </w:p>
        </w:tc>
        <w:tc>
          <w:tcPr>
            <w:tcW w:w="2216" w:type="pct"/>
            <w:tcBorders>
              <w:top w:val="single" w:sz="4" w:space="0" w:color="auto"/>
              <w:left w:val="nil"/>
              <w:bottom w:val="nil"/>
              <w:right w:val="nil"/>
            </w:tcBorders>
            <w:tcMar>
              <w:top w:w="28" w:type="dxa"/>
              <w:left w:w="57" w:type="dxa"/>
              <w:bottom w:w="28" w:type="dxa"/>
              <w:right w:w="57" w:type="dxa"/>
            </w:tcMar>
          </w:tcPr>
          <w:p w14:paraId="742E0E28" w14:textId="77777777" w:rsidR="00C04CAD" w:rsidRDefault="00060E34">
            <w:pPr>
              <w:pStyle w:val="ListParagraph"/>
              <w:spacing w:line="240" w:lineRule="auto"/>
              <w:ind w:left="567" w:hanging="567"/>
              <w:rPr>
                <w:b/>
                <w:bCs/>
                <w:szCs w:val="22"/>
              </w:rPr>
            </w:pPr>
            <w:r>
              <w:rPr>
                <w:noProof/>
              </w:rPr>
              <w:drawing>
                <wp:anchor distT="0" distB="0" distL="114300" distR="114300" simplePos="0" relativeHeight="251696128" behindDoc="0" locked="0" layoutInCell="1" allowOverlap="1" wp14:anchorId="147F0EB0" wp14:editId="69632E35">
                  <wp:simplePos x="0" y="0"/>
                  <wp:positionH relativeFrom="column">
                    <wp:posOffset>321945</wp:posOffset>
                  </wp:positionH>
                  <wp:positionV relativeFrom="paragraph">
                    <wp:posOffset>-1270</wp:posOffset>
                  </wp:positionV>
                  <wp:extent cx="2165350" cy="1259205"/>
                  <wp:effectExtent l="0" t="0" r="0" b="0"/>
                  <wp:wrapTopAndBottom/>
                  <wp:docPr id="20031366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3661" name="Picture 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165350" cy="1259205"/>
                          </a:xfrm>
                          <a:prstGeom prst="rect">
                            <a:avLst/>
                          </a:prstGeom>
                          <a:noFill/>
                        </pic:spPr>
                      </pic:pic>
                    </a:graphicData>
                  </a:graphic>
                </wp:anchor>
              </w:drawing>
            </w:r>
          </w:p>
        </w:tc>
        <w:tc>
          <w:tcPr>
            <w:tcW w:w="2429" w:type="pct"/>
            <w:tcBorders>
              <w:top w:val="single" w:sz="4" w:space="0" w:color="auto"/>
              <w:left w:val="nil"/>
              <w:bottom w:val="nil"/>
              <w:right w:val="single" w:sz="4" w:space="0" w:color="auto"/>
            </w:tcBorders>
          </w:tcPr>
          <w:p w14:paraId="25E21569" w14:textId="77777777" w:rsidR="00C04CAD" w:rsidRDefault="00C04CAD">
            <w:pPr>
              <w:pStyle w:val="ListParagraph"/>
              <w:spacing w:line="240" w:lineRule="auto"/>
              <w:ind w:left="567" w:hanging="567"/>
              <w:rPr>
                <w:b/>
                <w:bCs/>
                <w:szCs w:val="22"/>
              </w:rPr>
            </w:pPr>
          </w:p>
          <w:p w14:paraId="6D5C20CD" w14:textId="77777777" w:rsidR="00C04CAD" w:rsidRDefault="00C04CAD">
            <w:pPr>
              <w:pStyle w:val="ListParagraph"/>
              <w:spacing w:line="240" w:lineRule="auto"/>
              <w:ind w:left="567" w:hanging="567"/>
              <w:rPr>
                <w:b/>
                <w:bCs/>
                <w:szCs w:val="22"/>
              </w:rPr>
            </w:pPr>
          </w:p>
          <w:p w14:paraId="02635981" w14:textId="77777777" w:rsidR="00C04CAD" w:rsidRDefault="00C04CAD">
            <w:pPr>
              <w:pStyle w:val="ListParagraph"/>
              <w:spacing w:line="240" w:lineRule="auto"/>
              <w:ind w:left="567" w:hanging="567"/>
              <w:rPr>
                <w:b/>
                <w:bCs/>
                <w:szCs w:val="22"/>
              </w:rPr>
            </w:pPr>
          </w:p>
          <w:p w14:paraId="386D553F" w14:textId="77777777" w:rsidR="00C04CAD" w:rsidRDefault="00C04CAD">
            <w:pPr>
              <w:pStyle w:val="ListParagraph"/>
              <w:spacing w:line="240" w:lineRule="auto"/>
              <w:ind w:left="567" w:hanging="567"/>
              <w:rPr>
                <w:b/>
                <w:bCs/>
                <w:szCs w:val="22"/>
              </w:rPr>
            </w:pPr>
          </w:p>
          <w:p w14:paraId="556C323F" w14:textId="77777777" w:rsidR="00C04CAD" w:rsidRDefault="00C04CAD">
            <w:pPr>
              <w:pStyle w:val="ListParagraph"/>
              <w:spacing w:line="240" w:lineRule="auto"/>
              <w:ind w:left="567" w:hanging="567"/>
              <w:rPr>
                <w:szCs w:val="22"/>
              </w:rPr>
            </w:pPr>
          </w:p>
          <w:p w14:paraId="32D07BFF" w14:textId="77777777" w:rsidR="00C04CAD" w:rsidRDefault="00060E34">
            <w:pPr>
              <w:pStyle w:val="ListParagraph"/>
              <w:spacing w:line="240" w:lineRule="auto"/>
              <w:ind w:left="567" w:hanging="567"/>
              <w:rPr>
                <w:szCs w:val="22"/>
              </w:rPr>
            </w:pPr>
            <w:r>
              <w:rPr>
                <w:szCs w:val="22"/>
              </w:rPr>
              <w:t>Medicament</w:t>
            </w:r>
          </w:p>
        </w:tc>
      </w:tr>
      <w:tr w:rsidR="00C04CAD" w14:paraId="62AC2258" w14:textId="77777777">
        <w:trPr>
          <w:cantSplit/>
          <w:trHeight w:val="57"/>
        </w:trPr>
        <w:tc>
          <w:tcPr>
            <w:tcW w:w="355" w:type="pct"/>
            <w:tcBorders>
              <w:top w:val="nil"/>
              <w:bottom w:val="nil"/>
              <w:right w:val="nil"/>
            </w:tcBorders>
            <w:tcMar>
              <w:top w:w="28" w:type="dxa"/>
              <w:left w:w="57" w:type="dxa"/>
              <w:bottom w:w="28" w:type="dxa"/>
              <w:right w:w="57" w:type="dxa"/>
            </w:tcMar>
          </w:tcPr>
          <w:p w14:paraId="2321A44F"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5CA936E7" w14:textId="77777777" w:rsidR="00C04CAD" w:rsidRDefault="00060E34">
            <w:pPr>
              <w:pStyle w:val="ListBullets"/>
              <w:numPr>
                <w:ilvl w:val="0"/>
                <w:numId w:val="0"/>
              </w:numPr>
              <w:spacing w:after="0"/>
              <w:rPr>
                <w:b/>
                <w:bCs/>
                <w:lang w:val="ro-RO"/>
              </w:rPr>
            </w:pPr>
            <w:r>
              <w:rPr>
                <w:rFonts w:cs="Times New Roman"/>
                <w:sz w:val="22"/>
                <w:szCs w:val="22"/>
                <w:lang w:val="ro-RO"/>
              </w:rPr>
              <w:t>Este în regulă dacă vedeți bule de aer</w:t>
            </w:r>
            <w:ins w:id="342" w:author="Author">
              <w:r>
                <w:rPr>
                  <w:rFonts w:cs="Times New Roman"/>
                  <w:sz w:val="22"/>
                  <w:szCs w:val="22"/>
                  <w:lang w:val="ro-RO"/>
                </w:rPr>
                <w:t xml:space="preserve"> în pen-ul preumplut</w:t>
              </w:r>
            </w:ins>
            <w:r>
              <w:rPr>
                <w:rFonts w:cs="Times New Roman"/>
                <w:sz w:val="22"/>
                <w:szCs w:val="22"/>
                <w:lang w:val="ro-RO"/>
              </w:rPr>
              <w:t>.</w:t>
            </w:r>
          </w:p>
        </w:tc>
      </w:tr>
      <w:tr w:rsidR="00C04CAD" w14:paraId="6583DA74" w14:textId="77777777" w:rsidTr="001C668B">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43"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44" w:author="Author">
            <w:trPr>
              <w:gridBefore w:val="1"/>
              <w:wBefore w:w="54" w:type="dxa"/>
              <w:cantSplit/>
              <w:trHeight w:val="57"/>
            </w:trPr>
          </w:trPrChange>
        </w:trPr>
        <w:tc>
          <w:tcPr>
            <w:tcW w:w="355" w:type="pct"/>
            <w:tcBorders>
              <w:top w:val="nil"/>
              <w:bottom w:val="nil"/>
              <w:right w:val="nil"/>
            </w:tcBorders>
            <w:tcMar>
              <w:top w:w="28" w:type="dxa"/>
              <w:left w:w="57" w:type="dxa"/>
              <w:bottom w:w="28" w:type="dxa"/>
              <w:right w:w="57" w:type="dxa"/>
            </w:tcMar>
            <w:tcPrChange w:id="345"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00AE6F6D"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Change w:id="346" w:author="Author">
              <w:tcPr>
                <w:tcW w:w="4645" w:type="pct"/>
                <w:gridSpan w:val="3"/>
                <w:tcBorders>
                  <w:top w:val="nil"/>
                  <w:left w:val="nil"/>
                  <w:bottom w:val="single" w:sz="4" w:space="0" w:color="auto"/>
                </w:tcBorders>
                <w:tcMar>
                  <w:left w:w="0" w:type="dxa"/>
                </w:tcMar>
              </w:tcPr>
            </w:tcPrChange>
          </w:tcPr>
          <w:p w14:paraId="3EF559D3" w14:textId="77777777" w:rsidR="00C04CAD" w:rsidRDefault="00060E34">
            <w:pPr>
              <w:spacing w:line="240" w:lineRule="auto"/>
            </w:pPr>
            <w:r>
              <w:rPr>
                <w:b/>
              </w:rPr>
              <w:t>Nu</w:t>
            </w:r>
            <w:r>
              <w:t xml:space="preserve"> utilizaţi dacă medicamentul este tulbure sau decolorat sau dacă acesta conţine flocoane</w:t>
            </w:r>
            <w:ins w:id="347" w:author="Author">
              <w:r>
                <w:t xml:space="preserve"> sau particule</w:t>
              </w:r>
            </w:ins>
            <w:r>
              <w:t>.</w:t>
            </w:r>
          </w:p>
        </w:tc>
      </w:tr>
      <w:tr w:rsidR="00C04CAD" w14:paraId="33CC2B6A" w14:textId="77777777">
        <w:trPr>
          <w:cantSplit/>
          <w:trHeight w:val="57"/>
          <w:ins w:id="348" w:author="Author"/>
        </w:trPr>
        <w:tc>
          <w:tcPr>
            <w:tcW w:w="355" w:type="pct"/>
            <w:tcBorders>
              <w:top w:val="nil"/>
              <w:bottom w:val="single" w:sz="4" w:space="0" w:color="auto"/>
              <w:right w:val="nil"/>
            </w:tcBorders>
            <w:tcMar>
              <w:top w:w="28" w:type="dxa"/>
              <w:left w:w="57" w:type="dxa"/>
              <w:bottom w:w="28" w:type="dxa"/>
              <w:right w:w="57" w:type="dxa"/>
            </w:tcMar>
          </w:tcPr>
          <w:p w14:paraId="0E60818A" w14:textId="2631EE62" w:rsidR="00C04CAD" w:rsidRDefault="00C04CAD">
            <w:pPr>
              <w:spacing w:line="240" w:lineRule="auto"/>
              <w:ind w:left="567"/>
              <w:rPr>
                <w:ins w:id="349" w:author="Author"/>
              </w:rPr>
              <w:pPrChange w:id="350" w:author="Author">
                <w:pPr>
                  <w:numPr>
                    <w:numId w:val="102"/>
                  </w:numPr>
                  <w:tabs>
                    <w:tab w:val="clear" w:pos="567"/>
                  </w:tabs>
                  <w:spacing w:line="240" w:lineRule="auto"/>
                  <w:ind w:left="567" w:hanging="567"/>
                </w:pPr>
              </w:pPrChange>
            </w:pPr>
          </w:p>
        </w:tc>
        <w:tc>
          <w:tcPr>
            <w:tcW w:w="4645" w:type="pct"/>
            <w:gridSpan w:val="2"/>
            <w:tcBorders>
              <w:top w:val="nil"/>
              <w:left w:val="nil"/>
              <w:bottom w:val="single" w:sz="4" w:space="0" w:color="auto"/>
            </w:tcBorders>
            <w:tcMar>
              <w:left w:w="0" w:type="dxa"/>
            </w:tcMar>
          </w:tcPr>
          <w:p w14:paraId="2756461A" w14:textId="568422A5" w:rsidR="00C04CAD" w:rsidRDefault="00060E34">
            <w:pPr>
              <w:spacing w:line="240" w:lineRule="auto"/>
              <w:rPr>
                <w:ins w:id="351" w:author="Author"/>
                <w:b/>
              </w:rPr>
            </w:pPr>
            <w:ins w:id="352" w:author="Author">
              <w:r>
                <w:rPr>
                  <w:b/>
                  <w:noProof/>
                </w:rPr>
                <mc:AlternateContent>
                  <mc:Choice Requires="wps">
                    <w:drawing>
                      <wp:anchor distT="45720" distB="45720" distL="114300" distR="114300" simplePos="0" relativeHeight="251713536" behindDoc="0" locked="0" layoutInCell="1" allowOverlap="1" wp14:anchorId="1CF090E8" wp14:editId="026B8D30">
                        <wp:simplePos x="0" y="0"/>
                        <wp:positionH relativeFrom="margin">
                          <wp:posOffset>634</wp:posOffset>
                        </wp:positionH>
                        <wp:positionV relativeFrom="paragraph">
                          <wp:posOffset>2540</wp:posOffset>
                        </wp:positionV>
                        <wp:extent cx="5305425" cy="638175"/>
                        <wp:effectExtent l="0" t="0" r="28575" b="28575"/>
                        <wp:wrapSquare wrapText="bothSides"/>
                        <wp:docPr id="43942334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638175"/>
                                </a:xfrm>
                                <a:prstGeom prst="rect">
                                  <a:avLst/>
                                </a:prstGeom>
                                <a:solidFill>
                                  <a:srgbClr val="FFFFFF"/>
                                </a:solidFill>
                                <a:ln w="19050">
                                  <a:solidFill>
                                    <a:srgbClr val="FF0000"/>
                                  </a:solidFill>
                                  <a:miter lim="800000"/>
                                </a:ln>
                              </wps:spPr>
                              <wps:txbx>
                                <w:txbxContent>
                                  <w:p w14:paraId="1C4C0491" w14:textId="50C4986D" w:rsidR="00C04CAD" w:rsidRDefault="00060E34">
                                    <w:pPr>
                                      <w:spacing w:line="240" w:lineRule="auto"/>
                                    </w:pPr>
                                    <w:ins w:id="353" w:author="Author">
                                      <w:r>
                                        <w:rPr>
                                          <w:b/>
                                          <w:bCs/>
                                        </w:rPr>
                                        <w:t xml:space="preserve">Important: </w:t>
                                      </w:r>
                                      <w:r>
                                        <w:t>Dacă medicamentul este tulbure</w:t>
                                      </w:r>
                                      <w:r w:rsidR="00FF1600">
                                        <w:t xml:space="preserve">, </w:t>
                                      </w:r>
                                      <w:del w:id="354" w:author="Author">
                                        <w:r w:rsidDel="00FF1600">
                                          <w:delText xml:space="preserve"> sau </w:delText>
                                        </w:r>
                                      </w:del>
                                      <w:r>
                                        <w:t>decolorat sau dacă acesta conține flocoane sau particule sau dacă pen-ul preumplut este deteriorat sau expirat, contactați-vă medicul sau furnizorul de servicii medicale.</w:t>
                                      </w:r>
                                    </w:ins>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1CF090E8" id="Text Box 6" o:spid="_x0000_s1047" type="#_x0000_t202" style="position:absolute;margin-left:.05pt;margin-top:.2pt;width:417.75pt;height:50.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NPQCwIAABAEAAAOAAAAZHJzL2Uyb0RvYy54bWysk99v2yAQx98n7X9AvC920rhNrThVlyrT&#10;pK6b1O0PwBjHaMAxILGzv34HcdLsh/YwzQ+I8x1f7j53LO8GrcheOC/BVHQ6ySkRhkMjzbaiXz5v&#10;3iwo8YGZhikwoqIH4end6vWrZW9LMYMOVCMcQRHjy95WtAvBllnmeSc08xOwwqCzBadZQNNts8ax&#10;HtW1ymZ5fp314BrrgAvv8e/D0UlXSb9tBQ8f29aLQFRFMbeQVpfWOq7ZasnKrWO2k3xMg/1DFppJ&#10;g5eepR5YYGTn5G9SWnIHHtow4aAzaFvJRaoBq5nmv1Tz3DErUi0Ix9szJv//ZPnT/tl+ciQMb2HA&#10;BqYivH0E/tUTA+uOma24dw76TrAGL55GZFlvfTkejah96aNI3X+ABpvMdgGS0NA6HalgnQTVsQGH&#10;M3QxBMLxZ3GVF/NZQQlH3/XVYnpTpCtYeTptnQ/vBGgSNxV12NSkzvaPPsRsWHkKiZd5ULLZSKWS&#10;4bb1WjmyZzgAm/SN6j+FKUN6rO02L/Ijgb9o5Pj9SUPLgKOspK7oIsacgpQZgUVGR1phqAcim4rO&#10;Es4IsIbmgAgdHEcUnxRuOnDfKelxPCvqv+2YE5So9wbbcDudz+M8J2Ne3MzQcJee+tLDDEepigZK&#10;jtt1SG8gEjJwj+1qZSL5ksmYM45dAjw+kTjXl3aKennIqx8AAAD//wMAUEsDBBQABgAIAAAAIQDn&#10;1/6M2gAAAAUBAAAPAAAAZHJzL2Rvd25yZXYueG1sTI47b8IwFIX3Sv0P1kXqVmz6QCHEQagtAwuo&#10;UHYnvk3S2teRbSDl19dM7XgeOucrFoM17IQ+dI4kTMYCGFLtdEeNhI/96j4DFqIirYwjlPCDARbl&#10;7U2hcu3O9I6nXWxYGqGQKwltjH3OeahbtCqMXY+Usk/nrYpJ+oZrr85p3Br+IMSUW9VRemhVjy8t&#10;1t+7o5XwWlezL3Nx1m/Xm2yzfFtle36Q8m40LOfAIg7xrwxX/IQOZWKq3JF0YOaqWZTwBCxl2ePz&#10;FFiVTCFmwMuC/6cvfwEAAP//AwBQSwECLQAUAAYACAAAACEAtoM4kv4AAADhAQAAEwAAAAAAAAAA&#10;AAAAAAAAAAAAW0NvbnRlbnRfVHlwZXNdLnhtbFBLAQItABQABgAIAAAAIQA4/SH/1gAAAJQBAAAL&#10;AAAAAAAAAAAAAAAAAC8BAABfcmVscy8ucmVsc1BLAQItABQABgAIAAAAIQBK7NPQCwIAABAEAAAO&#10;AAAAAAAAAAAAAAAAAC4CAABkcnMvZTJvRG9jLnhtbFBLAQItABQABgAIAAAAIQDn1/6M2gAAAAUB&#10;AAAPAAAAAAAAAAAAAAAAAGUEAABkcnMvZG93bnJldi54bWxQSwUGAAAAAAQABADzAAAAbAUAAAAA&#10;" strokecolor="red" strokeweight="1.5pt">
                        <v:textbox>
                          <w:txbxContent>
                            <w:p w14:paraId="1C4C0491" w14:textId="50C4986D" w:rsidR="00C04CAD" w:rsidRDefault="00060E34">
                              <w:pPr>
                                <w:spacing w:line="240" w:lineRule="auto"/>
                              </w:pPr>
                              <w:ins w:id="374" w:author="Author">
                                <w:r>
                                  <w:rPr>
                                    <w:b/>
                                    <w:bCs/>
                                  </w:rPr>
                                  <w:t xml:space="preserve">Important: </w:t>
                                </w:r>
                                <w:r>
                                  <w:t>Dacă medicamentul este tulbure</w:t>
                                </w:r>
                                <w:r w:rsidR="00FF1600">
                                  <w:t xml:space="preserve">, </w:t>
                                </w:r>
                                <w:del w:id="375" w:author="Author">
                                  <w:r w:rsidDel="00FF1600">
                                    <w:delText xml:space="preserve"> sau </w:delText>
                                  </w:r>
                                </w:del>
                                <w:r>
                                  <w:t>decolorat sau dacă acesta conține flocoane</w:t>
                                </w:r>
                                <w:r>
                                  <w:t xml:space="preserve"> sau particule</w:t>
                                </w:r>
                                <w:r>
                                  <w:t xml:space="preserve"> sau dacă pen-ul preumplut este deteriorat sau expirat</w:t>
                                </w:r>
                                <w:r>
                                  <w:t>, contactați-vă medicul sau furnizorul de servicii medicale.</w:t>
                                </w:r>
                              </w:ins>
                            </w:p>
                          </w:txbxContent>
                        </v:textbox>
                        <w10:wrap type="square" anchorx="margin"/>
                      </v:shape>
                    </w:pict>
                  </mc:Fallback>
                </mc:AlternateContent>
              </w:r>
            </w:ins>
          </w:p>
        </w:tc>
      </w:tr>
    </w:tbl>
    <w:p w14:paraId="3AAA3E6D" w14:textId="77777777" w:rsidR="00C04CAD" w:rsidRDefault="00C04CAD">
      <w:pPr>
        <w:spacing w:line="240" w:lineRule="auto"/>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C04CAD" w14:paraId="10289E13" w14:textId="77777777">
        <w:trPr>
          <w:cantSplit/>
          <w:trHeight w:val="335"/>
        </w:trPr>
        <w:tc>
          <w:tcPr>
            <w:tcW w:w="384" w:type="pct"/>
            <w:gridSpan w:val="2"/>
            <w:tcBorders>
              <w:bottom w:val="nil"/>
            </w:tcBorders>
            <w:tcMar>
              <w:top w:w="28" w:type="dxa"/>
              <w:left w:w="57" w:type="dxa"/>
              <w:bottom w:w="28" w:type="dxa"/>
              <w:right w:w="57" w:type="dxa"/>
            </w:tcMar>
          </w:tcPr>
          <w:p w14:paraId="3029A8ED" w14:textId="77777777" w:rsidR="00C04CAD" w:rsidRDefault="00060E34">
            <w:pPr>
              <w:keepNext/>
              <w:tabs>
                <w:tab w:val="clear" w:pos="567"/>
              </w:tabs>
              <w:spacing w:line="240" w:lineRule="auto"/>
            </w:pPr>
            <w:r>
              <w:rPr>
                <w:b/>
                <w:bCs/>
              </w:rPr>
              <w:t>2c</w:t>
            </w:r>
          </w:p>
        </w:tc>
        <w:tc>
          <w:tcPr>
            <w:tcW w:w="4616" w:type="pct"/>
            <w:gridSpan w:val="2"/>
            <w:tcBorders>
              <w:bottom w:val="nil"/>
            </w:tcBorders>
          </w:tcPr>
          <w:p w14:paraId="494250F5" w14:textId="77777777" w:rsidR="00C04CAD" w:rsidRDefault="00060E34">
            <w:pPr>
              <w:keepNext/>
              <w:tabs>
                <w:tab w:val="clear" w:pos="567"/>
              </w:tabs>
              <w:spacing w:line="240" w:lineRule="auto"/>
            </w:pPr>
            <w:r>
              <w:rPr>
                <w:b/>
              </w:rPr>
              <w:t>Verificați data expirării (EXP) și inspectați pen-ul preumplut pentru a verifica să nu prezinte deteriorări</w:t>
            </w:r>
            <w:r>
              <w:rPr>
                <w:b/>
                <w:bCs/>
                <w:szCs w:val="22"/>
              </w:rPr>
              <w:t>.</w:t>
            </w:r>
          </w:p>
        </w:tc>
      </w:tr>
      <w:tr w:rsidR="00C04CAD" w14:paraId="71AF2DA5" w14:textId="77777777">
        <w:trPr>
          <w:cantSplit/>
          <w:trHeight w:val="1612"/>
        </w:trPr>
        <w:tc>
          <w:tcPr>
            <w:tcW w:w="356" w:type="pct"/>
            <w:tcBorders>
              <w:bottom w:val="nil"/>
              <w:right w:val="nil"/>
            </w:tcBorders>
            <w:tcMar>
              <w:top w:w="28" w:type="dxa"/>
              <w:left w:w="57" w:type="dxa"/>
              <w:bottom w:w="28" w:type="dxa"/>
              <w:right w:w="57" w:type="dxa"/>
            </w:tcMar>
          </w:tcPr>
          <w:p w14:paraId="0144F4EE" w14:textId="77777777" w:rsidR="00C04CAD" w:rsidRDefault="00C04CAD">
            <w:pPr>
              <w:keepNext/>
              <w:spacing w:line="240" w:lineRule="auto"/>
              <w:rPr>
                <w:b/>
                <w:bCs/>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4D750083" w14:textId="77777777" w:rsidR="00C04CAD" w:rsidRDefault="00060E34">
            <w:pPr>
              <w:suppressAutoHyphens/>
              <w:autoSpaceDE w:val="0"/>
              <w:autoSpaceDN w:val="0"/>
              <w:adjustRightInd w:val="0"/>
              <w:spacing w:line="240" w:lineRule="auto"/>
              <w:textAlignment w:val="center"/>
              <w:rPr>
                <w:b/>
                <w:bCs/>
                <w:szCs w:val="22"/>
              </w:rPr>
            </w:pPr>
            <w:r>
              <w:rPr>
                <w:noProof/>
              </w:rPr>
              <w:drawing>
                <wp:anchor distT="0" distB="0" distL="114300" distR="114300" simplePos="0" relativeHeight="251699200" behindDoc="0" locked="0" layoutInCell="1" allowOverlap="1" wp14:anchorId="4AE9E7A6" wp14:editId="0A689BDB">
                  <wp:simplePos x="0" y="0"/>
                  <wp:positionH relativeFrom="column">
                    <wp:posOffset>-15240</wp:posOffset>
                  </wp:positionH>
                  <wp:positionV relativeFrom="paragraph">
                    <wp:posOffset>5080</wp:posOffset>
                  </wp:positionV>
                  <wp:extent cx="2063750" cy="1203960"/>
                  <wp:effectExtent l="0" t="0" r="0" b="0"/>
                  <wp:wrapTopAndBottom/>
                  <wp:docPr id="1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063750" cy="1203960"/>
                          </a:xfrm>
                          <a:prstGeom prst="rect">
                            <a:avLst/>
                          </a:prstGeom>
                          <a:noFill/>
                        </pic:spPr>
                      </pic:pic>
                    </a:graphicData>
                  </a:graphic>
                </wp:anchor>
              </w:drawing>
            </w:r>
          </w:p>
        </w:tc>
        <w:tc>
          <w:tcPr>
            <w:tcW w:w="2737" w:type="pct"/>
            <w:tcBorders>
              <w:top w:val="single" w:sz="4" w:space="0" w:color="auto"/>
              <w:left w:val="nil"/>
              <w:bottom w:val="nil"/>
              <w:right w:val="single" w:sz="4" w:space="0" w:color="auto"/>
            </w:tcBorders>
          </w:tcPr>
          <w:p w14:paraId="1CA18852" w14:textId="77777777" w:rsidR="00C04CAD" w:rsidRDefault="00C04CAD">
            <w:pPr>
              <w:suppressAutoHyphens/>
              <w:autoSpaceDE w:val="0"/>
              <w:autoSpaceDN w:val="0"/>
              <w:adjustRightInd w:val="0"/>
              <w:spacing w:line="240" w:lineRule="auto"/>
              <w:textAlignment w:val="center"/>
              <w:rPr>
                <w:b/>
                <w:bCs/>
                <w:szCs w:val="22"/>
              </w:rPr>
            </w:pPr>
          </w:p>
          <w:p w14:paraId="7BF771D9" w14:textId="77777777" w:rsidR="00C04CAD" w:rsidRDefault="00C04CAD">
            <w:pPr>
              <w:suppressAutoHyphens/>
              <w:autoSpaceDE w:val="0"/>
              <w:autoSpaceDN w:val="0"/>
              <w:adjustRightInd w:val="0"/>
              <w:spacing w:line="240" w:lineRule="auto"/>
              <w:textAlignment w:val="center"/>
              <w:rPr>
                <w:b/>
                <w:bCs/>
                <w:szCs w:val="22"/>
              </w:rPr>
            </w:pPr>
          </w:p>
          <w:p w14:paraId="5ED79DA6" w14:textId="77777777" w:rsidR="00C04CAD" w:rsidRDefault="00C04CAD">
            <w:pPr>
              <w:suppressAutoHyphens/>
              <w:autoSpaceDE w:val="0"/>
              <w:autoSpaceDN w:val="0"/>
              <w:adjustRightInd w:val="0"/>
              <w:spacing w:line="240" w:lineRule="auto"/>
              <w:textAlignment w:val="center"/>
              <w:rPr>
                <w:b/>
                <w:bCs/>
                <w:szCs w:val="22"/>
              </w:rPr>
            </w:pPr>
          </w:p>
          <w:p w14:paraId="10C7C10D" w14:textId="77777777" w:rsidR="00C04CAD" w:rsidRDefault="00C04CAD">
            <w:pPr>
              <w:suppressAutoHyphens/>
              <w:autoSpaceDE w:val="0"/>
              <w:autoSpaceDN w:val="0"/>
              <w:adjustRightInd w:val="0"/>
              <w:spacing w:line="240" w:lineRule="auto"/>
              <w:textAlignment w:val="center"/>
              <w:rPr>
                <w:b/>
                <w:bCs/>
                <w:szCs w:val="22"/>
              </w:rPr>
            </w:pPr>
          </w:p>
          <w:p w14:paraId="5A45B7BC" w14:textId="77777777" w:rsidR="00C04CAD" w:rsidRDefault="00C04CAD">
            <w:pPr>
              <w:suppressAutoHyphens/>
              <w:autoSpaceDE w:val="0"/>
              <w:autoSpaceDN w:val="0"/>
              <w:adjustRightInd w:val="0"/>
              <w:spacing w:line="240" w:lineRule="auto"/>
              <w:textAlignment w:val="center"/>
              <w:rPr>
                <w:b/>
                <w:bCs/>
                <w:szCs w:val="22"/>
              </w:rPr>
            </w:pPr>
          </w:p>
          <w:p w14:paraId="3FA680FD" w14:textId="77777777" w:rsidR="00C04CAD" w:rsidRDefault="00060E34">
            <w:pPr>
              <w:suppressAutoHyphens/>
              <w:autoSpaceDE w:val="0"/>
              <w:autoSpaceDN w:val="0"/>
              <w:adjustRightInd w:val="0"/>
              <w:spacing w:line="240" w:lineRule="auto"/>
              <w:textAlignment w:val="center"/>
              <w:rPr>
                <w:szCs w:val="22"/>
              </w:rPr>
            </w:pPr>
            <w:r>
              <w:t>Data expirării</w:t>
            </w:r>
          </w:p>
        </w:tc>
      </w:tr>
      <w:tr w:rsidR="00C04CAD" w14:paraId="05DA0269" w14:textId="77777777">
        <w:trPr>
          <w:cantSplit/>
          <w:trHeight w:val="57"/>
        </w:trPr>
        <w:tc>
          <w:tcPr>
            <w:tcW w:w="356" w:type="pct"/>
            <w:tcBorders>
              <w:top w:val="nil"/>
              <w:bottom w:val="nil"/>
              <w:right w:val="nil"/>
            </w:tcBorders>
            <w:tcMar>
              <w:top w:w="28" w:type="dxa"/>
              <w:left w:w="57" w:type="dxa"/>
              <w:bottom w:w="28" w:type="dxa"/>
              <w:right w:w="57" w:type="dxa"/>
            </w:tcMar>
          </w:tcPr>
          <w:p w14:paraId="6876F492" w14:textId="77777777" w:rsidR="00C04CAD" w:rsidRDefault="00C04CAD">
            <w:pPr>
              <w:numPr>
                <w:ilvl w:val="0"/>
                <w:numId w:val="102"/>
              </w:numPr>
              <w:tabs>
                <w:tab w:val="clear" w:pos="567"/>
              </w:tabs>
              <w:spacing w:line="240" w:lineRule="auto"/>
              <w:ind w:left="567" w:hanging="567"/>
              <w:rPr>
                <w:szCs w:val="22"/>
              </w:rPr>
            </w:pPr>
          </w:p>
        </w:tc>
        <w:tc>
          <w:tcPr>
            <w:tcW w:w="4644" w:type="pct"/>
            <w:gridSpan w:val="3"/>
            <w:tcBorders>
              <w:top w:val="nil"/>
              <w:left w:val="nil"/>
              <w:bottom w:val="nil"/>
            </w:tcBorders>
            <w:tcMar>
              <w:left w:w="0" w:type="dxa"/>
            </w:tcMar>
          </w:tcPr>
          <w:p w14:paraId="369178F4" w14:textId="77777777" w:rsidR="00C04CAD" w:rsidRDefault="00060E34">
            <w:pPr>
              <w:pStyle w:val="ListParagraph"/>
              <w:suppressAutoHyphens/>
              <w:autoSpaceDE w:val="0"/>
              <w:autoSpaceDN w:val="0"/>
              <w:adjustRightInd w:val="0"/>
              <w:spacing w:line="240" w:lineRule="auto"/>
              <w:ind w:left="0"/>
              <w:textAlignment w:val="center"/>
              <w:rPr>
                <w:b/>
                <w:bCs/>
                <w:szCs w:val="22"/>
              </w:rPr>
            </w:pPr>
            <w:r>
              <w:rPr>
                <w:b/>
                <w:szCs w:val="22"/>
              </w:rPr>
              <w:t>Nu</w:t>
            </w:r>
            <w:r>
              <w:rPr>
                <w:szCs w:val="22"/>
              </w:rPr>
              <w:t xml:space="preserve"> utilizați </w:t>
            </w:r>
            <w:ins w:id="355" w:author="Author">
              <w:r>
                <w:rPr>
                  <w:szCs w:val="22"/>
                </w:rPr>
                <w:t xml:space="preserve">pen-ul preumplut </w:t>
              </w:r>
            </w:ins>
            <w:r>
              <w:rPr>
                <w:szCs w:val="22"/>
              </w:rPr>
              <w:t xml:space="preserve">dacă data expirării este depășită. </w:t>
            </w:r>
          </w:p>
        </w:tc>
      </w:tr>
      <w:tr w:rsidR="00C04CAD" w14:paraId="32F3761B" w14:textId="77777777">
        <w:trPr>
          <w:cantSplit/>
          <w:trHeight w:val="57"/>
        </w:trPr>
        <w:tc>
          <w:tcPr>
            <w:tcW w:w="356" w:type="pct"/>
            <w:tcBorders>
              <w:top w:val="nil"/>
              <w:bottom w:val="nil"/>
              <w:right w:val="nil"/>
            </w:tcBorders>
            <w:tcMar>
              <w:top w:w="28" w:type="dxa"/>
              <w:left w:w="57" w:type="dxa"/>
              <w:bottom w:w="28" w:type="dxa"/>
              <w:right w:w="57" w:type="dxa"/>
            </w:tcMar>
          </w:tcPr>
          <w:p w14:paraId="179B1A7D" w14:textId="77777777" w:rsidR="00C04CAD" w:rsidRDefault="00C04CAD">
            <w:pPr>
              <w:numPr>
                <w:ilvl w:val="0"/>
                <w:numId w:val="102"/>
              </w:numPr>
              <w:tabs>
                <w:tab w:val="clear" w:pos="567"/>
              </w:tabs>
              <w:spacing w:line="240" w:lineRule="auto"/>
              <w:ind w:left="567" w:hanging="567"/>
            </w:pPr>
          </w:p>
        </w:tc>
        <w:tc>
          <w:tcPr>
            <w:tcW w:w="4644" w:type="pct"/>
            <w:gridSpan w:val="3"/>
            <w:tcBorders>
              <w:top w:val="nil"/>
              <w:left w:val="nil"/>
              <w:bottom w:val="nil"/>
            </w:tcBorders>
            <w:tcMar>
              <w:left w:w="0" w:type="dxa"/>
            </w:tcMar>
          </w:tcPr>
          <w:p w14:paraId="3453E48F" w14:textId="77777777" w:rsidR="00C04CAD" w:rsidRDefault="00060E34">
            <w:pPr>
              <w:pStyle w:val="ListParagraph"/>
              <w:suppressAutoHyphens/>
              <w:autoSpaceDE w:val="0"/>
              <w:autoSpaceDN w:val="0"/>
              <w:adjustRightInd w:val="0"/>
              <w:spacing w:line="240" w:lineRule="auto"/>
              <w:ind w:left="0"/>
              <w:textAlignment w:val="center"/>
              <w:rPr>
                <w:szCs w:val="22"/>
              </w:rPr>
            </w:pPr>
            <w:r>
              <w:rPr>
                <w:b/>
              </w:rPr>
              <w:t>Nu</w:t>
            </w:r>
            <w:r>
              <w:t xml:space="preserve"> utilizați pen-ul preumplut dacă</w:t>
            </w:r>
            <w:r>
              <w:rPr>
                <w:szCs w:val="22"/>
              </w:rPr>
              <w:t>:</w:t>
            </w:r>
          </w:p>
          <w:p w14:paraId="11740FCE"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right="-464" w:hanging="357"/>
              <w:textAlignment w:val="center"/>
              <w:rPr>
                <w:szCs w:val="22"/>
              </w:rPr>
            </w:pPr>
            <w:del w:id="356" w:author="Author">
              <w:r>
                <w:delText>C</w:delText>
              </w:r>
            </w:del>
            <w:ins w:id="357" w:author="Author">
              <w:r>
                <w:t>c</w:t>
              </w:r>
            </w:ins>
            <w:r>
              <w:t>apacul galben lipsește sau nu este bine atașat</w:t>
            </w:r>
            <w:r>
              <w:rPr>
                <w:szCs w:val="22"/>
              </w:rPr>
              <w:t>.</w:t>
            </w:r>
          </w:p>
          <w:p w14:paraId="2C8EFAC0"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hanging="357"/>
              <w:textAlignment w:val="center"/>
              <w:rPr>
                <w:szCs w:val="22"/>
              </w:rPr>
            </w:pPr>
            <w:del w:id="358" w:author="Author">
              <w:r>
                <w:delText>A</w:delText>
              </w:r>
            </w:del>
            <w:ins w:id="359" w:author="Author">
              <w:r>
                <w:t>a</w:t>
              </w:r>
            </w:ins>
            <w:r>
              <w:t>re crăpături sau piese rupte</w:t>
            </w:r>
            <w:r>
              <w:rPr>
                <w:szCs w:val="22"/>
              </w:rPr>
              <w:t>.</w:t>
            </w:r>
          </w:p>
          <w:p w14:paraId="043651F9" w14:textId="77777777" w:rsidR="00C04CAD" w:rsidRDefault="00060E34">
            <w:pPr>
              <w:pStyle w:val="ListParagraph"/>
              <w:numPr>
                <w:ilvl w:val="0"/>
                <w:numId w:val="110"/>
              </w:numPr>
              <w:tabs>
                <w:tab w:val="clear" w:pos="567"/>
              </w:tabs>
              <w:suppressAutoHyphens/>
              <w:autoSpaceDE w:val="0"/>
              <w:autoSpaceDN w:val="0"/>
              <w:adjustRightInd w:val="0"/>
              <w:spacing w:line="240" w:lineRule="auto"/>
              <w:ind w:left="677" w:hanging="357"/>
              <w:textAlignment w:val="center"/>
            </w:pPr>
            <w:del w:id="360" w:author="Author">
              <w:r>
                <w:rPr>
                  <w:szCs w:val="22"/>
                </w:rPr>
                <w:delText>A</w:delText>
              </w:r>
            </w:del>
            <w:ins w:id="361" w:author="Author">
              <w:r>
                <w:rPr>
                  <w:szCs w:val="22"/>
                </w:rPr>
                <w:t>a</w:t>
              </w:r>
            </w:ins>
            <w:r>
              <w:rPr>
                <w:szCs w:val="22"/>
              </w:rPr>
              <w:t xml:space="preserve"> fost scăpat pe o suprafață dură.</w:t>
            </w:r>
          </w:p>
        </w:tc>
      </w:tr>
      <w:tr w:rsidR="00C04CAD" w14:paraId="31B7C643" w14:textId="77777777">
        <w:trPr>
          <w:cantSplit/>
          <w:trHeight w:val="57"/>
        </w:trPr>
        <w:tc>
          <w:tcPr>
            <w:tcW w:w="356" w:type="pct"/>
            <w:tcBorders>
              <w:top w:val="nil"/>
              <w:bottom w:val="nil"/>
              <w:right w:val="nil"/>
            </w:tcBorders>
            <w:tcMar>
              <w:top w:w="28" w:type="dxa"/>
              <w:left w:w="57" w:type="dxa"/>
              <w:bottom w:w="28" w:type="dxa"/>
              <w:right w:w="57" w:type="dxa"/>
            </w:tcMar>
          </w:tcPr>
          <w:p w14:paraId="4106A993" w14:textId="77777777" w:rsidR="00C04CAD" w:rsidRDefault="00C04CAD">
            <w:pPr>
              <w:numPr>
                <w:ilvl w:val="0"/>
                <w:numId w:val="102"/>
              </w:numPr>
              <w:tabs>
                <w:tab w:val="clear" w:pos="567"/>
              </w:tabs>
              <w:spacing w:line="240" w:lineRule="auto"/>
              <w:ind w:left="567" w:hanging="567"/>
            </w:pPr>
          </w:p>
        </w:tc>
        <w:tc>
          <w:tcPr>
            <w:tcW w:w="4644" w:type="pct"/>
            <w:gridSpan w:val="3"/>
            <w:tcBorders>
              <w:top w:val="nil"/>
              <w:left w:val="nil"/>
              <w:bottom w:val="nil"/>
            </w:tcBorders>
            <w:tcMar>
              <w:left w:w="0" w:type="dxa"/>
            </w:tcMar>
          </w:tcPr>
          <w:p w14:paraId="37A435FC" w14:textId="77777777" w:rsidR="00C04CAD" w:rsidRDefault="00060E34">
            <w:pPr>
              <w:spacing w:line="240" w:lineRule="auto"/>
            </w:pPr>
            <w:r>
              <w:rPr>
                <w:szCs w:val="22"/>
              </w:rPr>
              <w:t>Asigurați-vă că aveți medicamentul și doza corecte.</w:t>
            </w:r>
          </w:p>
        </w:tc>
      </w:tr>
      <w:tr w:rsidR="00C04CAD" w14:paraId="44AD0ED0" w14:textId="77777777">
        <w:trPr>
          <w:cantSplit/>
          <w:trHeight w:val="57"/>
          <w:del w:id="362" w:author="Author"/>
        </w:trPr>
        <w:tc>
          <w:tcPr>
            <w:tcW w:w="5000" w:type="pct"/>
            <w:gridSpan w:val="4"/>
            <w:tcBorders>
              <w:top w:val="nil"/>
              <w:bottom w:val="single" w:sz="4" w:space="0" w:color="auto"/>
            </w:tcBorders>
            <w:tcMar>
              <w:top w:w="28" w:type="dxa"/>
              <w:left w:w="57" w:type="dxa"/>
              <w:bottom w:w="28" w:type="dxa"/>
              <w:right w:w="57" w:type="dxa"/>
            </w:tcMar>
          </w:tcPr>
          <w:p w14:paraId="723DB747" w14:textId="77777777" w:rsidR="00C04CAD" w:rsidRDefault="00060E34">
            <w:pPr>
              <w:spacing w:line="240" w:lineRule="auto"/>
              <w:rPr>
                <w:del w:id="363" w:author="Author"/>
                <w:szCs w:val="22"/>
              </w:rPr>
            </w:pPr>
            <w:del w:id="364" w:author="Author">
              <w:r>
                <w:rPr>
                  <w:noProof/>
                </w:rPr>
                <mc:AlternateContent>
                  <mc:Choice Requires="wps">
                    <w:drawing>
                      <wp:anchor distT="45720" distB="45720" distL="114300" distR="114300" simplePos="0" relativeHeight="251700224" behindDoc="0" locked="0" layoutInCell="1" allowOverlap="1" wp14:anchorId="6A2FDE26" wp14:editId="496A3D7B">
                        <wp:simplePos x="0" y="0"/>
                        <wp:positionH relativeFrom="margin">
                          <wp:posOffset>6985</wp:posOffset>
                        </wp:positionH>
                        <wp:positionV relativeFrom="paragraph">
                          <wp:posOffset>81280</wp:posOffset>
                        </wp:positionV>
                        <wp:extent cx="5575935" cy="431800"/>
                        <wp:effectExtent l="0" t="0" r="5715" b="6350"/>
                        <wp:wrapSquare wrapText="bothSides"/>
                        <wp:docPr id="84903305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69A214C3" w14:textId="77777777" w:rsidR="00C04CAD" w:rsidRDefault="00060E34">
                                    <w:pPr>
                                      <w:spacing w:line="240" w:lineRule="auto"/>
                                    </w:pPr>
                                    <w:del w:id="365" w:author="Author">
                                      <w:r>
                                        <w:rPr>
                                          <w:b/>
                                          <w:bCs/>
                                        </w:rPr>
                                        <w:delText xml:space="preserve">Important: </w:delText>
                                      </w:r>
                                      <w:r>
                                        <w:delText>Dacă medicamentul este tulbure sau decolorat sau dacă acesta conține flocoane, contactați-vă medicul sau furnizorul de servicii medicale.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A2FDE26" id="_x0000_s1048" type="#_x0000_t202" style="position:absolute;margin-left:.55pt;margin-top:6.4pt;width:439.05pt;height:34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JtCQ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ptF&#10;pChgDc0TSYhwaFEaKTp0gD85G6g9K+5/7AQqzswHS2VYTOfz2M/JmBfXMzLw0lNfeoSVBFXxwNnh&#10;uA5pBpJC7o7KtdFJyXMmx5yp7ZLAxxGJfX1pp6jzIK9+AQ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I/EQm0JAgAAEAQAAA4A&#10;AAAAAAAAAAAAAAAALgIAAGRycy9lMm9Eb2MueG1sUEsBAi0AFAAGAAgAAAAhAN8dV6fbAAAABwEA&#10;AA8AAAAAAAAAAAAAAAAAYwQAAGRycy9kb3ducmV2LnhtbFBLBQYAAAAABAAEAPMAAABrBQAAAAA=&#10;" strokecolor="red" strokeweight="1.5pt">
                        <v:textbox style="mso-fit-shape-to-text:t">
                          <w:txbxContent>
                            <w:p w14:paraId="69A214C3" w14:textId="77777777" w:rsidR="00C04CAD" w:rsidRDefault="00060E34">
                              <w:pPr>
                                <w:spacing w:line="240" w:lineRule="auto"/>
                              </w:pPr>
                              <w:del w:id="387" w:author="Author">
                                <w:r>
                                  <w:rPr>
                                    <w:b/>
                                    <w:bCs/>
                                  </w:rPr>
                                  <w:delText xml:space="preserve">Important: </w:delText>
                                </w:r>
                                <w:r>
                                  <w:delText>Dacă medicamentul este tulbure sau decolorat sau dacă acesta conține flocoane, contactați-vă medicul sau furnizorul de servicii medicale.</w:delText>
                                </w:r>
                              </w:del>
                            </w:p>
                          </w:txbxContent>
                        </v:textbox>
                        <w10:wrap type="square" anchorx="margin"/>
                      </v:shape>
                    </w:pict>
                  </mc:Fallback>
                </mc:AlternateContent>
              </w:r>
            </w:del>
          </w:p>
        </w:tc>
      </w:tr>
    </w:tbl>
    <w:p w14:paraId="3E1E0A51" w14:textId="77777777" w:rsidR="00C04CAD" w:rsidRDefault="00C04CAD">
      <w:pPr>
        <w:spacing w:line="240" w:lineRule="auto"/>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560"/>
        <w:gridCol w:w="3495"/>
        <w:gridCol w:w="4207"/>
      </w:tblGrid>
      <w:tr w:rsidR="00C04CAD" w14:paraId="0C19CE62" w14:textId="77777777">
        <w:trPr>
          <w:cantSplit/>
          <w:trHeight w:val="57"/>
        </w:trPr>
        <w:tc>
          <w:tcPr>
            <w:tcW w:w="383" w:type="pct"/>
            <w:tcBorders>
              <w:bottom w:val="single" w:sz="4" w:space="0" w:color="auto"/>
            </w:tcBorders>
            <w:tcMar>
              <w:top w:w="28" w:type="dxa"/>
              <w:left w:w="57" w:type="dxa"/>
              <w:bottom w:w="28" w:type="dxa"/>
              <w:right w:w="57" w:type="dxa"/>
            </w:tcMar>
          </w:tcPr>
          <w:p w14:paraId="217EAD94" w14:textId="77777777" w:rsidR="00C04CAD" w:rsidRDefault="00060E34">
            <w:pPr>
              <w:keepNext/>
              <w:spacing w:line="240" w:lineRule="auto"/>
              <w:rPr>
                <w:b/>
                <w:bCs/>
              </w:rPr>
            </w:pPr>
            <w:r>
              <w:rPr>
                <w:b/>
                <w:bCs/>
              </w:rPr>
              <w:t>3</w:t>
            </w:r>
          </w:p>
        </w:tc>
        <w:tc>
          <w:tcPr>
            <w:tcW w:w="4617" w:type="pct"/>
            <w:gridSpan w:val="3"/>
            <w:tcBorders>
              <w:bottom w:val="single" w:sz="4" w:space="0" w:color="auto"/>
            </w:tcBorders>
            <w:tcMar>
              <w:top w:w="28" w:type="dxa"/>
              <w:left w:w="57" w:type="dxa"/>
              <w:bottom w:w="28" w:type="dxa"/>
              <w:right w:w="57" w:type="dxa"/>
            </w:tcMar>
          </w:tcPr>
          <w:p w14:paraId="13D5CCAD" w14:textId="77777777" w:rsidR="00C04CAD" w:rsidRDefault="00060E34">
            <w:pPr>
              <w:pStyle w:val="ListParagraph"/>
              <w:spacing w:line="240" w:lineRule="auto"/>
              <w:ind w:left="567" w:hanging="567"/>
              <w:rPr>
                <w:b/>
                <w:bCs/>
                <w:szCs w:val="22"/>
              </w:rPr>
            </w:pPr>
            <w:r>
              <w:rPr>
                <w:b/>
              </w:rPr>
              <w:t>Pregătirea pentru injecție</w:t>
            </w:r>
          </w:p>
        </w:tc>
      </w:tr>
      <w:tr w:rsidR="00C04CAD" w14:paraId="650F4216" w14:textId="77777777">
        <w:trPr>
          <w:cantSplit/>
          <w:trHeight w:val="57"/>
        </w:trPr>
        <w:tc>
          <w:tcPr>
            <w:tcW w:w="383" w:type="pct"/>
            <w:tcBorders>
              <w:bottom w:val="single" w:sz="4" w:space="0" w:color="auto"/>
            </w:tcBorders>
            <w:tcMar>
              <w:top w:w="28" w:type="dxa"/>
              <w:left w:w="57" w:type="dxa"/>
              <w:bottom w:w="28" w:type="dxa"/>
              <w:right w:w="57" w:type="dxa"/>
            </w:tcMar>
          </w:tcPr>
          <w:p w14:paraId="550F4EA8" w14:textId="77777777" w:rsidR="00C04CAD" w:rsidRDefault="00060E34">
            <w:pPr>
              <w:keepNext/>
              <w:spacing w:line="240" w:lineRule="auto"/>
              <w:rPr>
                <w:b/>
                <w:bCs/>
              </w:rPr>
            </w:pPr>
            <w:r>
              <w:rPr>
                <w:b/>
                <w:bCs/>
              </w:rPr>
              <w:t>3a</w:t>
            </w:r>
          </w:p>
        </w:tc>
        <w:tc>
          <w:tcPr>
            <w:tcW w:w="4617" w:type="pct"/>
            <w:gridSpan w:val="3"/>
            <w:tcBorders>
              <w:bottom w:val="single" w:sz="4" w:space="0" w:color="auto"/>
            </w:tcBorders>
            <w:tcMar>
              <w:top w:w="28" w:type="dxa"/>
              <w:left w:w="57" w:type="dxa"/>
              <w:bottom w:w="28" w:type="dxa"/>
              <w:right w:w="57" w:type="dxa"/>
            </w:tcMar>
          </w:tcPr>
          <w:p w14:paraId="474960B1" w14:textId="77777777" w:rsidR="00C04CAD" w:rsidRDefault="00060E34">
            <w:pPr>
              <w:pStyle w:val="ListParagraph"/>
              <w:spacing w:line="240" w:lineRule="auto"/>
              <w:ind w:left="0"/>
              <w:rPr>
                <w:szCs w:val="22"/>
              </w:rPr>
            </w:pPr>
            <w:r>
              <w:rPr>
                <w:b/>
              </w:rPr>
              <w:t xml:space="preserve">Adunați și așezați </w:t>
            </w:r>
            <w:ins w:id="366" w:author="Author">
              <w:r>
                <w:rPr>
                  <w:b/>
                </w:rPr>
                <w:t xml:space="preserve">următoarele </w:t>
              </w:r>
            </w:ins>
            <w:r>
              <w:rPr>
                <w:b/>
              </w:rPr>
              <w:t>articole</w:t>
            </w:r>
            <w:del w:id="367" w:author="Author">
              <w:r>
                <w:rPr>
                  <w:b/>
                </w:rPr>
                <w:delText>le</w:delText>
              </w:r>
            </w:del>
            <w:r>
              <w:rPr>
                <w:b/>
              </w:rPr>
              <w:t xml:space="preserve"> pentru injectare pe o suprafață curată, </w:t>
            </w:r>
            <w:ins w:id="368" w:author="Author">
              <w:r>
                <w:rPr>
                  <w:b/>
                </w:rPr>
                <w:t xml:space="preserve">plană și </w:t>
              </w:r>
            </w:ins>
            <w:r>
              <w:rPr>
                <w:b/>
              </w:rPr>
              <w:t>bine iluminată</w:t>
            </w:r>
            <w:r>
              <w:rPr>
                <w:b/>
                <w:bCs/>
                <w:szCs w:val="22"/>
              </w:rPr>
              <w:t>.</w:t>
            </w:r>
          </w:p>
        </w:tc>
      </w:tr>
      <w:tr w:rsidR="00C04CAD" w14:paraId="3C391811" w14:textId="77777777">
        <w:trPr>
          <w:cantSplit/>
          <w:trHeight w:val="2070"/>
        </w:trPr>
        <w:tc>
          <w:tcPr>
            <w:tcW w:w="696"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5673364" w14:textId="77777777" w:rsidR="00C04CAD" w:rsidRDefault="00C04CAD">
            <w:pPr>
              <w:pStyle w:val="ListParagraph"/>
              <w:keepNext/>
              <w:spacing w:line="240" w:lineRule="auto"/>
              <w:ind w:left="567" w:hanging="567"/>
            </w:pPr>
          </w:p>
          <w:p w14:paraId="332B3E4C" w14:textId="77777777" w:rsidR="00C04CAD" w:rsidRDefault="00C04CAD">
            <w:pPr>
              <w:pStyle w:val="ListParagraph"/>
              <w:keepNext/>
              <w:spacing w:line="240" w:lineRule="auto"/>
              <w:ind w:left="567" w:hanging="567"/>
            </w:pPr>
          </w:p>
          <w:p w14:paraId="1D01C194" w14:textId="77777777" w:rsidR="00C04CAD" w:rsidRDefault="00C04CAD">
            <w:pPr>
              <w:pStyle w:val="ListParagraph"/>
              <w:keepNext/>
              <w:spacing w:line="240" w:lineRule="auto"/>
              <w:ind w:left="567" w:hanging="567"/>
            </w:pPr>
          </w:p>
          <w:p w14:paraId="676C07AE" w14:textId="77777777" w:rsidR="00C04CAD" w:rsidRDefault="00C04CAD">
            <w:pPr>
              <w:pStyle w:val="ListParagraph"/>
              <w:keepNext/>
              <w:spacing w:line="240" w:lineRule="auto"/>
              <w:ind w:left="567" w:hanging="567"/>
            </w:pPr>
          </w:p>
          <w:p w14:paraId="366F91E7" w14:textId="77777777" w:rsidR="00C04CAD" w:rsidRDefault="00C04CAD">
            <w:pPr>
              <w:pStyle w:val="ListParagraph"/>
              <w:keepNext/>
              <w:spacing w:line="240" w:lineRule="auto"/>
              <w:ind w:left="567" w:hanging="567"/>
            </w:pPr>
          </w:p>
          <w:p w14:paraId="713D0FC6" w14:textId="77777777" w:rsidR="00C04CAD" w:rsidRDefault="00060E34">
            <w:pPr>
              <w:spacing w:line="240" w:lineRule="auto"/>
              <w:rPr>
                <w:szCs w:val="22"/>
              </w:rPr>
            </w:pPr>
            <w:r>
              <w:rPr>
                <w:szCs w:val="22"/>
              </w:rPr>
              <w:t>Recipient pentru</w:t>
            </w:r>
          </w:p>
          <w:p w14:paraId="4E931C5C" w14:textId="77777777" w:rsidR="00C04CAD" w:rsidRDefault="00060E34">
            <w:pPr>
              <w:spacing w:line="240" w:lineRule="auto"/>
              <w:rPr>
                <w:szCs w:val="22"/>
              </w:rPr>
            </w:pPr>
            <w:r>
              <w:rPr>
                <w:szCs w:val="22"/>
              </w:rPr>
              <w:t>eliminarea la deșeuri</w:t>
            </w:r>
          </w:p>
          <w:p w14:paraId="7CB3D1F4" w14:textId="77777777" w:rsidR="00C04CAD" w:rsidRDefault="00060E34">
            <w:pPr>
              <w:pStyle w:val="ListParagraph"/>
              <w:keepNext/>
              <w:spacing w:line="240" w:lineRule="auto"/>
              <w:ind w:left="0"/>
            </w:pPr>
            <w:r>
              <w:rPr>
                <w:szCs w:val="22"/>
              </w:rPr>
              <w:t>a obiectelor ascuțite</w:t>
            </w:r>
          </w:p>
        </w:tc>
        <w:tc>
          <w:tcPr>
            <w:tcW w:w="1953" w:type="pct"/>
            <w:tcBorders>
              <w:top w:val="single" w:sz="4" w:space="0" w:color="auto"/>
              <w:left w:val="nil"/>
              <w:bottom w:val="single" w:sz="4" w:space="0" w:color="auto"/>
              <w:right w:val="nil"/>
            </w:tcBorders>
          </w:tcPr>
          <w:p w14:paraId="198A8A5C" w14:textId="77777777" w:rsidR="00C04CAD" w:rsidRDefault="00060E34">
            <w:pPr>
              <w:pStyle w:val="ListParagraph"/>
              <w:keepNext/>
              <w:spacing w:line="240" w:lineRule="auto"/>
              <w:ind w:left="567" w:hanging="567"/>
            </w:pPr>
            <w:r>
              <w:rPr>
                <w:noProof/>
              </w:rPr>
              <w:drawing>
                <wp:anchor distT="0" distB="0" distL="114300" distR="114300" simplePos="0" relativeHeight="251689984" behindDoc="0" locked="0" layoutInCell="1" allowOverlap="1" wp14:anchorId="0BC5842F" wp14:editId="336CB327">
                  <wp:simplePos x="0" y="0"/>
                  <wp:positionH relativeFrom="column">
                    <wp:posOffset>21590</wp:posOffset>
                  </wp:positionH>
                  <wp:positionV relativeFrom="paragraph">
                    <wp:posOffset>-1518920</wp:posOffset>
                  </wp:positionV>
                  <wp:extent cx="1830705" cy="1683385"/>
                  <wp:effectExtent l="0" t="0" r="0" b="0"/>
                  <wp:wrapTopAndBottom/>
                  <wp:docPr id="8441355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35585"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830705" cy="1683385"/>
                          </a:xfrm>
                          <a:prstGeom prst="rect">
                            <a:avLst/>
                          </a:prstGeom>
                          <a:noFill/>
                        </pic:spPr>
                      </pic:pic>
                    </a:graphicData>
                  </a:graphic>
                </wp:anchor>
              </w:drawing>
            </w:r>
          </w:p>
          <w:p w14:paraId="72EAA3B1" w14:textId="77777777" w:rsidR="00C04CAD" w:rsidRDefault="00C04CAD">
            <w:pPr>
              <w:pStyle w:val="ListParagraph"/>
              <w:keepNext/>
              <w:spacing w:line="240" w:lineRule="auto"/>
              <w:ind w:left="567" w:hanging="567"/>
            </w:pPr>
          </w:p>
          <w:p w14:paraId="2E96A6F3" w14:textId="77777777" w:rsidR="00C04CAD" w:rsidRDefault="00C04CAD">
            <w:pPr>
              <w:pStyle w:val="ListParagraph"/>
              <w:keepNext/>
              <w:spacing w:line="240" w:lineRule="auto"/>
              <w:ind w:left="567" w:hanging="567"/>
            </w:pPr>
          </w:p>
        </w:tc>
        <w:tc>
          <w:tcPr>
            <w:tcW w:w="2351" w:type="pct"/>
            <w:tcBorders>
              <w:top w:val="single" w:sz="4" w:space="0" w:color="auto"/>
              <w:left w:val="nil"/>
              <w:bottom w:val="single" w:sz="4" w:space="0" w:color="auto"/>
              <w:right w:val="single" w:sz="4" w:space="0" w:color="auto"/>
            </w:tcBorders>
          </w:tcPr>
          <w:p w14:paraId="648F969C" w14:textId="77777777" w:rsidR="00C04CAD" w:rsidRDefault="00C04CAD">
            <w:pPr>
              <w:pStyle w:val="ListParagraph"/>
              <w:spacing w:line="240" w:lineRule="auto"/>
              <w:ind w:left="567" w:hanging="567"/>
              <w:rPr>
                <w:b/>
                <w:bCs/>
              </w:rPr>
            </w:pPr>
          </w:p>
          <w:p w14:paraId="7391D2CF" w14:textId="77777777" w:rsidR="00C04CAD" w:rsidRDefault="00060E34">
            <w:pPr>
              <w:pStyle w:val="ListParagraph"/>
              <w:spacing w:line="240" w:lineRule="auto"/>
              <w:ind w:left="567" w:hanging="567"/>
              <w:rPr>
                <w:szCs w:val="22"/>
              </w:rPr>
            </w:pPr>
            <w:r>
              <w:t>Şerveţel cu alcool</w:t>
            </w:r>
          </w:p>
          <w:p w14:paraId="3C513DDE" w14:textId="77777777" w:rsidR="00C04CAD" w:rsidRDefault="00C04CAD">
            <w:pPr>
              <w:pStyle w:val="ListParagraph"/>
              <w:spacing w:line="240" w:lineRule="auto"/>
              <w:ind w:left="567" w:hanging="567"/>
              <w:rPr>
                <w:b/>
                <w:bCs/>
                <w:szCs w:val="22"/>
              </w:rPr>
            </w:pPr>
          </w:p>
          <w:p w14:paraId="13BF526E" w14:textId="77777777" w:rsidR="00C04CAD" w:rsidRDefault="00C04CAD">
            <w:pPr>
              <w:pStyle w:val="ListParagraph"/>
              <w:spacing w:line="240" w:lineRule="auto"/>
              <w:ind w:left="567" w:hanging="567"/>
              <w:rPr>
                <w:b/>
                <w:bCs/>
                <w:szCs w:val="22"/>
              </w:rPr>
            </w:pPr>
          </w:p>
          <w:p w14:paraId="2DCA0534" w14:textId="77777777" w:rsidR="00C04CAD" w:rsidRDefault="00060E34">
            <w:pPr>
              <w:pStyle w:val="ListParagraph"/>
              <w:spacing w:line="240" w:lineRule="auto"/>
              <w:ind w:left="567" w:hanging="567"/>
              <w:rPr>
                <w:szCs w:val="22"/>
              </w:rPr>
            </w:pPr>
            <w:r>
              <w:rPr>
                <w:szCs w:val="22"/>
              </w:rPr>
              <w:t>Plasture</w:t>
            </w:r>
          </w:p>
          <w:p w14:paraId="3A365B0E" w14:textId="77777777" w:rsidR="00C04CAD" w:rsidRDefault="00C04CAD">
            <w:pPr>
              <w:pStyle w:val="ListParagraph"/>
              <w:spacing w:line="240" w:lineRule="auto"/>
              <w:ind w:left="567" w:hanging="567"/>
              <w:rPr>
                <w:szCs w:val="22"/>
              </w:rPr>
            </w:pPr>
          </w:p>
          <w:p w14:paraId="525006A5" w14:textId="77777777" w:rsidR="00C04CAD" w:rsidRDefault="00C04CAD">
            <w:pPr>
              <w:pStyle w:val="ListParagraph"/>
              <w:spacing w:line="240" w:lineRule="auto"/>
              <w:ind w:left="567" w:hanging="567"/>
              <w:rPr>
                <w:szCs w:val="22"/>
              </w:rPr>
            </w:pPr>
          </w:p>
          <w:p w14:paraId="631BCA9F" w14:textId="77777777" w:rsidR="00C04CAD" w:rsidRDefault="00060E34">
            <w:pPr>
              <w:pStyle w:val="ListParagraph"/>
              <w:spacing w:line="240" w:lineRule="auto"/>
              <w:ind w:left="567" w:hanging="567"/>
              <w:rPr>
                <w:szCs w:val="22"/>
              </w:rPr>
            </w:pPr>
            <w:r>
              <w:t>Tampon de vată sau compresă de tifon</w:t>
            </w:r>
          </w:p>
        </w:tc>
      </w:tr>
      <w:tr w:rsidR="00C04CAD" w14:paraId="201840AC"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D2A00"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12213C70" w14:textId="77777777" w:rsidR="00C04CAD" w:rsidRDefault="00060E34">
            <w:pPr>
              <w:pStyle w:val="ListParagraph"/>
              <w:keepNext/>
              <w:keepLines/>
              <w:suppressAutoHyphens/>
              <w:autoSpaceDE w:val="0"/>
              <w:autoSpaceDN w:val="0"/>
              <w:adjustRightInd w:val="0"/>
              <w:spacing w:line="240" w:lineRule="auto"/>
              <w:ind w:left="0"/>
              <w:textAlignment w:val="center"/>
              <w:rPr>
                <w:lang w:eastAsia="en-US"/>
              </w:rPr>
            </w:pPr>
            <w:r>
              <w:rPr>
                <w:lang w:eastAsia="en-US"/>
              </w:rPr>
              <w:t>Pen preumplut AMGEVITA (</w:t>
            </w:r>
            <w:r>
              <w:t>temperatura camerei</w:t>
            </w:r>
            <w:r>
              <w:rPr>
                <w:lang w:eastAsia="en-US"/>
              </w:rPr>
              <w:t>)</w:t>
            </w:r>
          </w:p>
        </w:tc>
      </w:tr>
      <w:tr w:rsidR="00C04CAD" w14:paraId="17D62026" w14:textId="77777777">
        <w:trPr>
          <w:cantSplit/>
          <w:trHeight w:val="57"/>
        </w:trPr>
        <w:tc>
          <w:tcPr>
            <w:tcW w:w="383" w:type="pct"/>
            <w:tcBorders>
              <w:top w:val="nil"/>
              <w:bottom w:val="nil"/>
              <w:right w:val="nil"/>
            </w:tcBorders>
            <w:tcMar>
              <w:top w:w="28" w:type="dxa"/>
              <w:left w:w="57" w:type="dxa"/>
              <w:bottom w:w="28" w:type="dxa"/>
              <w:right w:w="57" w:type="dxa"/>
            </w:tcMar>
          </w:tcPr>
          <w:p w14:paraId="5D75D1DC"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0C00DACA" w14:textId="77777777" w:rsidR="00C04CAD" w:rsidRDefault="00060E34">
            <w:pPr>
              <w:pStyle w:val="ListParagraph"/>
              <w:keepNext/>
              <w:keepLines/>
              <w:suppressAutoHyphens/>
              <w:autoSpaceDE w:val="0"/>
              <w:autoSpaceDN w:val="0"/>
              <w:adjustRightInd w:val="0"/>
              <w:spacing w:line="240" w:lineRule="auto"/>
              <w:ind w:left="0"/>
              <w:textAlignment w:val="center"/>
              <w:rPr>
                <w:lang w:eastAsia="en-US"/>
              </w:rPr>
            </w:pPr>
            <w:r>
              <w:t>Recipient pentru eliminarea la deșeuri a obiectelor ascuțite</w:t>
            </w:r>
            <w:r>
              <w:rPr>
                <w:lang w:eastAsia="en-US"/>
              </w:rPr>
              <w:t xml:space="preserve"> </w:t>
            </w:r>
          </w:p>
        </w:tc>
      </w:tr>
      <w:tr w:rsidR="00C04CAD" w14:paraId="6A8B24E6" w14:textId="77777777">
        <w:trPr>
          <w:cantSplit/>
          <w:trHeight w:val="57"/>
        </w:trPr>
        <w:tc>
          <w:tcPr>
            <w:tcW w:w="383" w:type="pct"/>
            <w:tcBorders>
              <w:top w:val="nil"/>
              <w:bottom w:val="nil"/>
              <w:right w:val="nil"/>
            </w:tcBorders>
            <w:tcMar>
              <w:top w:w="28" w:type="dxa"/>
              <w:left w:w="57" w:type="dxa"/>
              <w:bottom w:w="28" w:type="dxa"/>
              <w:right w:w="57" w:type="dxa"/>
            </w:tcMar>
          </w:tcPr>
          <w:p w14:paraId="0C9BFE17"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576F793E" w14:textId="77777777" w:rsidR="00C04CAD" w:rsidRDefault="00060E34">
            <w:pPr>
              <w:spacing w:line="240" w:lineRule="auto"/>
            </w:pPr>
            <w:r>
              <w:t>Şerveţel cu alcool</w:t>
            </w:r>
          </w:p>
        </w:tc>
      </w:tr>
      <w:tr w:rsidR="00C04CAD" w14:paraId="5644A1B7" w14:textId="77777777">
        <w:trPr>
          <w:cantSplit/>
          <w:trHeight w:val="57"/>
        </w:trPr>
        <w:tc>
          <w:tcPr>
            <w:tcW w:w="383" w:type="pct"/>
            <w:tcBorders>
              <w:top w:val="nil"/>
              <w:bottom w:val="nil"/>
              <w:right w:val="nil"/>
            </w:tcBorders>
            <w:tcMar>
              <w:top w:w="28" w:type="dxa"/>
              <w:left w:w="57" w:type="dxa"/>
              <w:bottom w:w="28" w:type="dxa"/>
              <w:right w:w="57" w:type="dxa"/>
            </w:tcMar>
          </w:tcPr>
          <w:p w14:paraId="7713828A"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nil"/>
            </w:tcBorders>
            <w:tcMar>
              <w:left w:w="0" w:type="dxa"/>
            </w:tcMar>
          </w:tcPr>
          <w:p w14:paraId="4283D30E" w14:textId="77777777" w:rsidR="00C04CAD" w:rsidRDefault="00060E34">
            <w:pPr>
              <w:spacing w:line="240" w:lineRule="auto"/>
            </w:pPr>
            <w:r>
              <w:t>Plasture</w:t>
            </w:r>
          </w:p>
        </w:tc>
      </w:tr>
      <w:tr w:rsidR="00C04CAD" w14:paraId="6F1CFA50"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1FCDD52" w14:textId="77777777" w:rsidR="00C04CAD" w:rsidRDefault="00C04CAD">
            <w:pPr>
              <w:numPr>
                <w:ilvl w:val="0"/>
                <w:numId w:val="102"/>
              </w:numPr>
              <w:tabs>
                <w:tab w:val="clear" w:pos="567"/>
              </w:tabs>
              <w:spacing w:line="240" w:lineRule="auto"/>
              <w:ind w:left="567" w:hanging="567"/>
            </w:pPr>
          </w:p>
        </w:tc>
        <w:tc>
          <w:tcPr>
            <w:tcW w:w="4617" w:type="pct"/>
            <w:gridSpan w:val="3"/>
            <w:tcBorders>
              <w:top w:val="nil"/>
              <w:left w:val="nil"/>
              <w:bottom w:val="single" w:sz="4" w:space="0" w:color="auto"/>
            </w:tcBorders>
            <w:tcMar>
              <w:left w:w="0" w:type="dxa"/>
            </w:tcMar>
          </w:tcPr>
          <w:p w14:paraId="7CC36595" w14:textId="77777777" w:rsidR="00C04CAD" w:rsidRDefault="00060E34">
            <w:pPr>
              <w:spacing w:line="240" w:lineRule="auto"/>
              <w:rPr>
                <w:b/>
                <w:bCs/>
              </w:rPr>
            </w:pPr>
            <w:r>
              <w:t xml:space="preserve">Tampon de vată sau </w:t>
            </w:r>
            <w:r>
              <w:rPr>
                <w:color w:val="000000"/>
                <w:szCs w:val="22"/>
                <w:lang w:eastAsia="en-US" w:bidi="ar-SA"/>
              </w:rPr>
              <w:t>compresă</w:t>
            </w:r>
            <w:r>
              <w:rPr>
                <w:color w:val="000000"/>
                <w:szCs w:val="22"/>
              </w:rPr>
              <w:t xml:space="preserve"> de</w:t>
            </w:r>
            <w:r>
              <w:t xml:space="preserve"> tifon</w:t>
            </w:r>
          </w:p>
        </w:tc>
      </w:tr>
    </w:tbl>
    <w:p w14:paraId="45BBD290" w14:textId="77777777" w:rsidR="00C04CAD" w:rsidRDefault="00C04CAD">
      <w:pPr>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C04CAD" w14:paraId="71359ABD" w14:textId="77777777">
        <w:trPr>
          <w:cantSplit/>
          <w:trHeight w:val="57"/>
        </w:trPr>
        <w:tc>
          <w:tcPr>
            <w:tcW w:w="354" w:type="pct"/>
            <w:tcBorders>
              <w:bottom w:val="single" w:sz="4" w:space="0" w:color="auto"/>
            </w:tcBorders>
            <w:tcMar>
              <w:top w:w="28" w:type="dxa"/>
              <w:left w:w="57" w:type="dxa"/>
              <w:bottom w:w="28" w:type="dxa"/>
              <w:right w:w="57" w:type="dxa"/>
            </w:tcMar>
          </w:tcPr>
          <w:p w14:paraId="5189AFC2" w14:textId="77777777" w:rsidR="00C04CAD" w:rsidRDefault="00060E34">
            <w:pPr>
              <w:keepNext/>
              <w:spacing w:line="240" w:lineRule="auto"/>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2A289053" w14:textId="77777777" w:rsidR="00C04CAD" w:rsidRDefault="00060E34">
            <w:pPr>
              <w:pStyle w:val="ListParagraph"/>
              <w:keepNext/>
              <w:spacing w:line="240" w:lineRule="auto"/>
              <w:ind w:left="567" w:hanging="567"/>
              <w:rPr>
                <w:szCs w:val="22"/>
              </w:rPr>
            </w:pPr>
            <w:r>
              <w:rPr>
                <w:b/>
              </w:rPr>
              <w:t xml:space="preserve">Injectați în </w:t>
            </w:r>
            <w:del w:id="369" w:author="Author">
              <w:r>
                <w:rPr>
                  <w:b/>
                </w:rPr>
                <w:delText xml:space="preserve">una </w:delText>
              </w:r>
            </w:del>
            <w:ins w:id="370" w:author="Author">
              <w:r>
                <w:rPr>
                  <w:b/>
                </w:rPr>
                <w:t xml:space="preserve">1 </w:t>
              </w:r>
            </w:ins>
            <w:r>
              <w:rPr>
                <w:b/>
              </w:rPr>
              <w:t xml:space="preserve">dintre aceste </w:t>
            </w:r>
            <w:del w:id="371" w:author="Author">
              <w:r>
                <w:rPr>
                  <w:b/>
                </w:rPr>
                <w:delText>locații</w:delText>
              </w:r>
            </w:del>
            <w:ins w:id="372" w:author="Author">
              <w:r>
                <w:rPr>
                  <w:b/>
                </w:rPr>
                <w:t>locuri</w:t>
              </w:r>
            </w:ins>
            <w:r>
              <w:rPr>
                <w:b/>
                <w:bCs/>
                <w:szCs w:val="22"/>
              </w:rPr>
              <w:t>.</w:t>
            </w:r>
          </w:p>
        </w:tc>
      </w:tr>
      <w:tr w:rsidR="00C04CAD" w14:paraId="74DD1E3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07E35A7" w14:textId="77777777" w:rsidR="00C04CAD" w:rsidRDefault="00060E34">
            <w:pPr>
              <w:pStyle w:val="ListParagraph"/>
              <w:keepNext/>
              <w:spacing w:line="240" w:lineRule="auto"/>
              <w:ind w:left="567" w:hanging="567"/>
              <w:jc w:val="center"/>
            </w:pPr>
            <w:del w:id="373" w:author="Author">
              <w:r>
                <w:rPr>
                  <w:noProof/>
                </w:rPr>
                <w:drawing>
                  <wp:anchor distT="0" distB="0" distL="114300" distR="114300" simplePos="0" relativeHeight="251693056" behindDoc="0" locked="0" layoutInCell="1" allowOverlap="1" wp14:anchorId="6C219BDC" wp14:editId="70073922">
                    <wp:simplePos x="0" y="0"/>
                    <wp:positionH relativeFrom="column">
                      <wp:posOffset>1908810</wp:posOffset>
                    </wp:positionH>
                    <wp:positionV relativeFrom="paragraph">
                      <wp:posOffset>-1791335</wp:posOffset>
                    </wp:positionV>
                    <wp:extent cx="1870075" cy="1960245"/>
                    <wp:effectExtent l="0" t="0" r="0" b="0"/>
                    <wp:wrapTopAndBottom/>
                    <wp:docPr id="15436285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28532"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870075" cy="1960245"/>
                            </a:xfrm>
                            <a:prstGeom prst="rect">
                              <a:avLst/>
                            </a:prstGeom>
                            <a:noFill/>
                          </pic:spPr>
                        </pic:pic>
                      </a:graphicData>
                    </a:graphic>
                  </wp:anchor>
                </w:drawing>
              </w:r>
            </w:del>
            <w:ins w:id="374" w:author="Author">
              <w:r>
                <w:rPr>
                  <w:noProof/>
                </w:rPr>
                <w:drawing>
                  <wp:inline distT="0" distB="0" distL="0" distR="0" wp14:anchorId="2364620E" wp14:editId="05462BB4">
                    <wp:extent cx="1381760" cy="1828800"/>
                    <wp:effectExtent l="0" t="0" r="0" b="0"/>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381760" cy="1828800"/>
                            </a:xfrm>
                            <a:prstGeom prst="rect">
                              <a:avLst/>
                            </a:prstGeom>
                            <a:noFill/>
                            <a:ln>
                              <a:noFill/>
                            </a:ln>
                          </pic:spPr>
                        </pic:pic>
                      </a:graphicData>
                    </a:graphic>
                  </wp:inline>
                </w:drawing>
              </w:r>
            </w:ins>
          </w:p>
        </w:tc>
      </w:tr>
      <w:tr w:rsidR="00C04CAD" w14:paraId="05BA69F6" w14:textId="77777777">
        <w:trPr>
          <w:cantSplit/>
          <w:trHeight w:val="57"/>
        </w:trPr>
        <w:tc>
          <w:tcPr>
            <w:tcW w:w="354" w:type="pct"/>
            <w:tcBorders>
              <w:top w:val="nil"/>
              <w:bottom w:val="nil"/>
              <w:right w:val="nil"/>
            </w:tcBorders>
            <w:tcMar>
              <w:top w:w="28" w:type="dxa"/>
              <w:left w:w="57" w:type="dxa"/>
              <w:bottom w:w="28" w:type="dxa"/>
              <w:right w:w="57" w:type="dxa"/>
            </w:tcMar>
          </w:tcPr>
          <w:p w14:paraId="61DCCF96"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F14A2E7" w14:textId="77777777" w:rsidR="00C04CAD" w:rsidRDefault="00060E34">
            <w:pPr>
              <w:keepNext/>
              <w:tabs>
                <w:tab w:val="left" w:pos="1134"/>
              </w:tabs>
              <w:spacing w:line="240" w:lineRule="auto"/>
              <w:rPr>
                <w:b/>
                <w:bCs/>
              </w:rPr>
            </w:pPr>
            <w:r>
              <w:t xml:space="preserve">Injectaţi în </w:t>
            </w:r>
            <w:ins w:id="375" w:author="Author">
              <w:r>
                <w:t xml:space="preserve">partea din față a </w:t>
              </w:r>
            </w:ins>
            <w:r>
              <w:t>coaps</w:t>
            </w:r>
            <w:ins w:id="376" w:author="Author">
              <w:r>
                <w:t>ei</w:t>
              </w:r>
            </w:ins>
            <w:del w:id="377" w:author="Author">
              <w:r>
                <w:delText>ă</w:delText>
              </w:r>
            </w:del>
            <w:r>
              <w:t xml:space="preserve"> sau în burtă (exceptând suprafața cu o rază de 5 </w:t>
            </w:r>
            <w:del w:id="378" w:author="Author">
              <w:r>
                <w:delText xml:space="preserve">cm </w:delText>
              </w:r>
            </w:del>
            <w:ins w:id="379" w:author="Author">
              <w:r>
                <w:t xml:space="preserve">centimetri </w:t>
              </w:r>
            </w:ins>
            <w:r>
              <w:t>din jurul buricului).</w:t>
            </w:r>
          </w:p>
        </w:tc>
      </w:tr>
      <w:tr w:rsidR="00C04CAD" w14:paraId="036C69AB" w14:textId="77777777">
        <w:trPr>
          <w:cantSplit/>
          <w:trHeight w:val="57"/>
        </w:trPr>
        <w:tc>
          <w:tcPr>
            <w:tcW w:w="354" w:type="pct"/>
            <w:tcBorders>
              <w:top w:val="nil"/>
              <w:bottom w:val="nil"/>
              <w:right w:val="nil"/>
            </w:tcBorders>
            <w:tcMar>
              <w:top w:w="28" w:type="dxa"/>
              <w:left w:w="57" w:type="dxa"/>
              <w:bottom w:w="28" w:type="dxa"/>
              <w:right w:w="57" w:type="dxa"/>
            </w:tcMar>
          </w:tcPr>
          <w:p w14:paraId="5B7FC786"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5016529E" w14:textId="77777777" w:rsidR="00C04CAD" w:rsidRDefault="00060E34">
            <w:pPr>
              <w:keepNext/>
              <w:tabs>
                <w:tab w:val="left" w:pos="1134"/>
              </w:tabs>
              <w:spacing w:line="240" w:lineRule="auto"/>
            </w:pPr>
            <w:r>
              <w:t>Alegeţi câte un loc diferit pentru fiecare injecţie</w:t>
            </w:r>
            <w:ins w:id="380" w:author="Author">
              <w:r>
                <w:t>.</w:t>
              </w:r>
            </w:ins>
          </w:p>
        </w:tc>
      </w:tr>
      <w:tr w:rsidR="00C04CAD" w14:paraId="0B379BF9" w14:textId="77777777">
        <w:trPr>
          <w:cantSplit/>
          <w:trHeight w:val="57"/>
        </w:trPr>
        <w:tc>
          <w:tcPr>
            <w:tcW w:w="354" w:type="pct"/>
            <w:tcBorders>
              <w:top w:val="nil"/>
              <w:bottom w:val="nil"/>
              <w:right w:val="nil"/>
            </w:tcBorders>
            <w:tcMar>
              <w:top w:w="28" w:type="dxa"/>
              <w:left w:w="57" w:type="dxa"/>
              <w:bottom w:w="28" w:type="dxa"/>
              <w:right w:w="57" w:type="dxa"/>
            </w:tcMar>
          </w:tcPr>
          <w:p w14:paraId="711E78AB"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9083720" w14:textId="77777777" w:rsidR="00C04CAD" w:rsidRDefault="00060E34">
            <w:pPr>
              <w:keepNext/>
              <w:tabs>
                <w:tab w:val="left" w:pos="1134"/>
              </w:tabs>
              <w:spacing w:line="240" w:lineRule="auto"/>
            </w:pPr>
            <w:r>
              <w:t>Spălați-vă mâinile foarte bine cu apă și săpun.</w:t>
            </w:r>
          </w:p>
        </w:tc>
      </w:tr>
      <w:tr w:rsidR="00C04CAD" w14:paraId="13D289D6" w14:textId="77777777">
        <w:trPr>
          <w:cantSplit/>
          <w:trHeight w:val="57"/>
        </w:trPr>
        <w:tc>
          <w:tcPr>
            <w:tcW w:w="354" w:type="pct"/>
            <w:tcBorders>
              <w:top w:val="nil"/>
              <w:bottom w:val="nil"/>
              <w:right w:val="nil"/>
            </w:tcBorders>
            <w:tcMar>
              <w:top w:w="28" w:type="dxa"/>
              <w:left w:w="57" w:type="dxa"/>
              <w:bottom w:w="28" w:type="dxa"/>
              <w:right w:w="57" w:type="dxa"/>
            </w:tcMar>
          </w:tcPr>
          <w:p w14:paraId="6F674EA9" w14:textId="77777777" w:rsidR="00C04CAD" w:rsidRDefault="00C04CAD">
            <w:pPr>
              <w:keepNext/>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694193DE" w14:textId="77777777" w:rsidR="00C04CAD" w:rsidRDefault="00060E34">
            <w:pPr>
              <w:keepNext/>
              <w:spacing w:line="240" w:lineRule="auto"/>
            </w:pPr>
            <w:r>
              <w:t>Curăţaţi locul de injectare cu un şerveţel cu alcool.</w:t>
            </w:r>
          </w:p>
        </w:tc>
      </w:tr>
      <w:tr w:rsidR="00C04CAD" w14:paraId="52E4AACD" w14:textId="77777777">
        <w:trPr>
          <w:cantSplit/>
          <w:trHeight w:val="55"/>
        </w:trPr>
        <w:tc>
          <w:tcPr>
            <w:tcW w:w="354" w:type="pct"/>
            <w:tcBorders>
              <w:top w:val="nil"/>
              <w:bottom w:val="nil"/>
              <w:right w:val="nil"/>
            </w:tcBorders>
            <w:tcMar>
              <w:top w:w="28" w:type="dxa"/>
              <w:left w:w="57" w:type="dxa"/>
              <w:bottom w:w="28" w:type="dxa"/>
              <w:right w:w="57" w:type="dxa"/>
            </w:tcMar>
          </w:tcPr>
          <w:p w14:paraId="0EFE9696"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57E3A2AD" w14:textId="77777777" w:rsidR="00C04CAD" w:rsidRDefault="00060E34">
            <w:pPr>
              <w:tabs>
                <w:tab w:val="left" w:pos="1134"/>
              </w:tabs>
              <w:spacing w:line="240" w:lineRule="auto"/>
            </w:pPr>
            <w:r>
              <w:t>Lăsați pielea să se usuce singură.</w:t>
            </w:r>
          </w:p>
        </w:tc>
      </w:tr>
      <w:tr w:rsidR="00C04CAD" w14:paraId="007C2A6A" w14:textId="77777777">
        <w:trPr>
          <w:cantSplit/>
          <w:trHeight w:val="55"/>
        </w:trPr>
        <w:tc>
          <w:tcPr>
            <w:tcW w:w="354" w:type="pct"/>
            <w:tcBorders>
              <w:top w:val="nil"/>
              <w:bottom w:val="nil"/>
              <w:right w:val="nil"/>
            </w:tcBorders>
            <w:tcMar>
              <w:top w:w="28" w:type="dxa"/>
              <w:left w:w="57" w:type="dxa"/>
              <w:bottom w:w="28" w:type="dxa"/>
              <w:right w:w="57" w:type="dxa"/>
            </w:tcMar>
          </w:tcPr>
          <w:p w14:paraId="29796027" w14:textId="77777777" w:rsidR="00C04CAD" w:rsidRDefault="00C04CAD">
            <w:pPr>
              <w:numPr>
                <w:ilvl w:val="0"/>
                <w:numId w:val="102"/>
              </w:numPr>
              <w:tabs>
                <w:tab w:val="clear" w:pos="567"/>
              </w:tabs>
              <w:spacing w:line="240" w:lineRule="auto"/>
              <w:ind w:left="567" w:hanging="567"/>
            </w:pPr>
          </w:p>
        </w:tc>
        <w:tc>
          <w:tcPr>
            <w:tcW w:w="4646" w:type="pct"/>
            <w:tcBorders>
              <w:top w:val="nil"/>
              <w:left w:val="nil"/>
              <w:bottom w:val="nil"/>
            </w:tcBorders>
            <w:tcMar>
              <w:left w:w="0" w:type="dxa"/>
            </w:tcMar>
          </w:tcPr>
          <w:p w14:paraId="306A7E4D" w14:textId="77777777" w:rsidR="00C04CAD" w:rsidRDefault="00060E34">
            <w:pPr>
              <w:tabs>
                <w:tab w:val="left" w:pos="1134"/>
              </w:tabs>
              <w:spacing w:line="240" w:lineRule="auto"/>
            </w:pPr>
            <w:r>
              <w:rPr>
                <w:b/>
              </w:rPr>
              <w:t>Nu</w:t>
            </w:r>
            <w:r>
              <w:t xml:space="preserve"> atingeţi din nou această zonă înainte de injectare.</w:t>
            </w:r>
          </w:p>
        </w:tc>
      </w:tr>
      <w:tr w:rsidR="00C04CAD" w14:paraId="16934051"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3673E133" w14:textId="77777777" w:rsidR="00C04CAD" w:rsidRDefault="00060E34">
            <w:pPr>
              <w:tabs>
                <w:tab w:val="left" w:pos="1134"/>
              </w:tabs>
              <w:spacing w:line="240" w:lineRule="auto"/>
              <w:rPr>
                <w:b/>
                <w:bCs/>
              </w:rPr>
            </w:pPr>
            <w:r>
              <w:rPr>
                <w:noProof/>
              </w:rPr>
              <mc:AlternateContent>
                <mc:Choice Requires="wps">
                  <w:drawing>
                    <wp:anchor distT="45720" distB="45720" distL="114300" distR="114300" simplePos="0" relativeHeight="251698176" behindDoc="0" locked="0" layoutInCell="1" allowOverlap="1" wp14:anchorId="266B4EAF" wp14:editId="7DB65973">
                      <wp:simplePos x="0" y="0"/>
                      <wp:positionH relativeFrom="margin">
                        <wp:posOffset>-2540</wp:posOffset>
                      </wp:positionH>
                      <wp:positionV relativeFrom="paragraph">
                        <wp:posOffset>6350</wp:posOffset>
                      </wp:positionV>
                      <wp:extent cx="5605780" cy="431800"/>
                      <wp:effectExtent l="0" t="0" r="0" b="6350"/>
                      <wp:wrapSquare wrapText="bothSides"/>
                      <wp:docPr id="153766387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423A282B"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66B4EAF" id="Text Box 5" o:spid="_x0000_s1049" type="#_x0000_t202" style="position:absolute;margin-left:-.2pt;margin-top:.5pt;width:441.4pt;height:34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iCAIAABAEAAAOAAAAZHJzL2Uyb0RvYy54bWysU8Fu2zAMvQ/YPwi6L3bSpE2NOEWXIsOA&#10;rhvQ7QNkWY6FyaJGKbGzrx+lpEnQDTsM00EQReqJ75Fc3A2dYTuFXoMt+XiUc6ashFrbTcm/fV2/&#10;m3Pmg7C1MGBVyffK87vl2zeL3hVqAi2YWiEjEOuL3pW8DcEVWeZlqzrhR+CUJWcD2IlAJm6yGkVP&#10;6J3JJnl+nfWAtUOQynu6fTg4+TLhN42S4XPTeBWYKTnlFtKOaa/ini0XotigcK2WxzTEP2TRCW3p&#10;0xPUgwiCbVH/BtVpieChCSMJXQZNo6VKHIjNOH/F5rkVTiUuJI53J5n8/4OVT7tn9wVZGN7DQAVM&#10;JLx7BPndMwurVtiNukeEvlWipo/HUbKsd744Po1S+8JHkKr/BDUVWWwDJKChwS6qQjwZoVMB9ifR&#10;1RCYpMvZdT67mZNLkm96NZ7nqSqZKF5eO/Thg4KOxUPJkYqa0MXu0YeYjSheQuJnHoyu19qYZOCm&#10;WhlkO0ENsE4rEXgVZizridttPssPCvwFI6f1J4xOB2plo7uSE4dzkLFHwaJGB7XCUA1M1yWfXEWk&#10;KGAF9Z4kRDi0KI0UHVrAn5z11J4l9z+2AhVn5qOlMtyOp9PYz8mYzm4mZOClp7r0CCsJquSBs8Nx&#10;FdIMJIXcPZVrrZOS50yOOVPbJYGPIxL7+tJOUedBXv4C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Cw+9piCAIAABAEAAAOAAAA&#10;AAAAAAAAAAAAAC4CAABkcnMvZTJvRG9jLnhtbFBLAQItABQABgAIAAAAIQCQcOwl2gAAAAYBAAAP&#10;AAAAAAAAAAAAAAAAAGIEAABkcnMvZG93bnJldi54bWxQSwUGAAAAAAQABADzAAAAaQUAAAAA&#10;" strokecolor="red" strokeweight="1.5pt">
                      <v:textbox style="mso-fit-shape-to-text:t">
                        <w:txbxContent>
                          <w:p w14:paraId="423A282B" w14:textId="77777777" w:rsidR="00C04CAD" w:rsidRDefault="00060E34">
                            <w:pPr>
                              <w:tabs>
                                <w:tab w:val="left" w:pos="1134"/>
                              </w:tabs>
                              <w:spacing w:line="240" w:lineRule="auto"/>
                            </w:pPr>
                            <w:r>
                              <w:rPr>
                                <w:b/>
                                <w:bCs/>
                              </w:rPr>
                              <w:t>Important:</w:t>
                            </w:r>
                            <w:r>
                              <w:t xml:space="preserve"> Evitați zonele cu cicatrici sau vergeturi sau unde pielea este sensibilă, învinețită, roșie sau dură.</w:t>
                            </w:r>
                          </w:p>
                        </w:txbxContent>
                      </v:textbox>
                      <w10:wrap type="square" anchorx="margin"/>
                    </v:shape>
                  </w:pict>
                </mc:Fallback>
              </mc:AlternateContent>
            </w:r>
          </w:p>
        </w:tc>
      </w:tr>
    </w:tbl>
    <w:p w14:paraId="2A1719C0" w14:textId="77777777" w:rsidR="00C04CAD" w:rsidRDefault="00C04CAD">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C04CAD" w14:paraId="643E0DD1" w14:textId="77777777">
        <w:trPr>
          <w:cantSplit/>
          <w:trHeight w:val="57"/>
        </w:trPr>
        <w:tc>
          <w:tcPr>
            <w:tcW w:w="355" w:type="pct"/>
            <w:tcMar>
              <w:top w:w="28" w:type="dxa"/>
              <w:left w:w="57" w:type="dxa"/>
              <w:bottom w:w="28" w:type="dxa"/>
              <w:right w:w="57" w:type="dxa"/>
            </w:tcMar>
          </w:tcPr>
          <w:p w14:paraId="5343A8AD" w14:textId="77777777" w:rsidR="00C04CAD" w:rsidRDefault="00060E34">
            <w:pPr>
              <w:keepNext/>
              <w:spacing w:line="240" w:lineRule="auto"/>
              <w:rPr>
                <w:b/>
                <w:bCs/>
                <w:szCs w:val="22"/>
              </w:rPr>
            </w:pPr>
            <w:r>
              <w:rPr>
                <w:b/>
                <w:bCs/>
                <w:szCs w:val="22"/>
              </w:rPr>
              <w:t>4</w:t>
            </w:r>
          </w:p>
        </w:tc>
        <w:tc>
          <w:tcPr>
            <w:tcW w:w="4645" w:type="pct"/>
            <w:gridSpan w:val="2"/>
            <w:tcMar>
              <w:top w:w="28" w:type="dxa"/>
              <w:left w:w="57" w:type="dxa"/>
              <w:bottom w:w="28" w:type="dxa"/>
              <w:right w:w="57" w:type="dxa"/>
            </w:tcMar>
          </w:tcPr>
          <w:p w14:paraId="65AACB17" w14:textId="77777777" w:rsidR="00C04CAD" w:rsidRDefault="00060E34">
            <w:pPr>
              <w:pStyle w:val="ListParagraph"/>
              <w:spacing w:line="240" w:lineRule="auto"/>
              <w:ind w:left="567" w:hanging="567"/>
              <w:rPr>
                <w:szCs w:val="22"/>
              </w:rPr>
            </w:pPr>
            <w:r>
              <w:rPr>
                <w:b/>
              </w:rPr>
              <w:t>Injectarea</w:t>
            </w:r>
            <w:r>
              <w:rPr>
                <w:b/>
                <w:bCs/>
                <w:szCs w:val="22"/>
              </w:rPr>
              <w:t xml:space="preserve"> AMGEVITA</w:t>
            </w:r>
          </w:p>
        </w:tc>
      </w:tr>
      <w:tr w:rsidR="00C04CAD" w14:paraId="40BDBB4E"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BA4EA4F" w14:textId="77777777" w:rsidR="00C04CAD" w:rsidRDefault="00060E34">
            <w:pPr>
              <w:pStyle w:val="ListParagraph"/>
              <w:spacing w:line="240" w:lineRule="auto"/>
              <w:ind w:left="567" w:hanging="567"/>
            </w:pPr>
            <w:r>
              <w:rPr>
                <w:noProof/>
              </w:rPr>
              <mc:AlternateContent>
                <mc:Choice Requires="wps">
                  <w:drawing>
                    <wp:anchor distT="45720" distB="45720" distL="114300" distR="114300" simplePos="0" relativeHeight="251694080" behindDoc="0" locked="0" layoutInCell="1" allowOverlap="1" wp14:anchorId="579294BA" wp14:editId="2D607877">
                      <wp:simplePos x="0" y="0"/>
                      <wp:positionH relativeFrom="margin">
                        <wp:posOffset>6985</wp:posOffset>
                      </wp:positionH>
                      <wp:positionV relativeFrom="paragraph">
                        <wp:posOffset>1270</wp:posOffset>
                      </wp:positionV>
                      <wp:extent cx="5606415" cy="431800"/>
                      <wp:effectExtent l="0" t="0" r="0" b="6350"/>
                      <wp:wrapSquare wrapText="bothSides"/>
                      <wp:docPr id="4307986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16B6190F" w14:textId="77777777" w:rsidR="00C04CAD" w:rsidRDefault="00060E34">
                                  <w:pPr>
                                    <w:tabs>
                                      <w:tab w:val="left" w:pos="1134"/>
                                    </w:tabs>
                                    <w:spacing w:line="240" w:lineRule="auto"/>
                                  </w:pPr>
                                  <w:r>
                                    <w:rPr>
                                      <w:b/>
                                      <w:bCs/>
                                    </w:rPr>
                                    <w:t>Important:</w:t>
                                  </w:r>
                                  <w:r>
                                    <w:t xml:space="preserve"> </w:t>
                                  </w:r>
                                  <w:r>
                                    <w:rPr>
                                      <w:bCs/>
                                    </w:rPr>
                                    <w:t>Scoateți capacul galben numai atunci când vă puteți injecta imediat (în decurs de 5 minute), deoarece medicamentul se poate usca</w:t>
                                  </w:r>
                                  <w:r>
                                    <w:t>.</w:t>
                                  </w:r>
                                  <w:ins w:id="381" w:author="Author">
                                    <w:r>
                                      <w:t xml:space="preserve"> Nu puneți capacul la loc.</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9294BA" id="Text Box 4" o:spid="_x0000_s1050" type="#_x0000_t202" style="position:absolute;left:0;text-align:left;margin-left:.55pt;margin-top:.1pt;width:441.45pt;height:34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uqCAIAABAEAAAOAAAAZHJzL2Uyb0RvYy54bWysU1Fv0zAQfkfiP1h+p0lKWrao6TQ6FSGN&#10;gTT4Aa7jNBaOz5zdJuPXc3a7thqIB4QfLJ/v/Pm+7+4WN2Nv2F6h12BrXkxyzpSV0Gi7rfm3r+s3&#10;V5z5IGwjDFhV8yfl+c3y9avF4Co1hQ5Mo5ARiPXV4GreheCqLPOyU73wE3DKkrMF7EUgE7dZg2Ig&#10;9N5k0zyfZwNg4xCk8p5u7w5Ovkz4batk+Ny2XgVmak65hbRj2jdxz5YLUW1RuE7LYxriH7Lohbb0&#10;6QnqTgTBdqh/g+q1RPDQhomEPoO21VIlDsSmyF+weeyEU4kLiePdSSb//2Dlw/7RfUEWxvcwUgET&#10;Ce/uQX73zMKqE3arbhFh6JRo6OMiSpYNzlfHp1FqX/kIshk+QUNFFrsACWhssY+qEE9G6FSAp5Po&#10;agxM0uVsns/LYsaZJF/5trjKU1UyUT2/dujDBwU9i4eaIxU1oYv9vQ8xG1E9h8TPPBjdrLUxycDt&#10;ZmWQ7QU1wDqtROBFmLFsIG7X+Sw/KPAXjJzWnzB6HaiVje5rThzOQcYeBYsaHdQK42Zkuqn5tIxI&#10;UcANNE8kIcKhRWmk6NAB/uRsoPasuf+xE6g4Mx8tleG6KMvYz8koZ++mZOClZ3PpEVYSVM0DZ4fj&#10;KqQZSAq5WyrXWiclz5kcc6a2SwIfRyT29aWdos6DvPwF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SjiuqCAIAABAEAAAOAAAA&#10;AAAAAAAAAAAAAC4CAABkcnMvZTJvRG9jLnhtbFBLAQItABQABgAIAAAAIQBmkiA22gAAAAUBAAAP&#10;AAAAAAAAAAAAAAAAAGIEAABkcnMvZG93bnJldi54bWxQSwUGAAAAAAQABADzAAAAaQUAAAAA&#10;" strokecolor="red" strokeweight="1.5pt">
                      <v:textbox style="mso-fit-shape-to-text:t">
                        <w:txbxContent>
                          <w:p w14:paraId="16B6190F" w14:textId="77777777" w:rsidR="00C04CAD" w:rsidRDefault="00060E34">
                            <w:pPr>
                              <w:tabs>
                                <w:tab w:val="left" w:pos="1134"/>
                              </w:tabs>
                              <w:spacing w:line="240" w:lineRule="auto"/>
                            </w:pPr>
                            <w:r>
                              <w:rPr>
                                <w:b/>
                                <w:bCs/>
                              </w:rPr>
                              <w:t>Important:</w:t>
                            </w:r>
                            <w:r>
                              <w:t xml:space="preserve"> </w:t>
                            </w:r>
                            <w:r>
                              <w:rPr>
                                <w:bCs/>
                              </w:rPr>
                              <w:t>Scoateți capacul galben numai atunci când vă puteți injecta imediat (în decurs de 5 minute), deoarece medicamentul se poate usca</w:t>
                            </w:r>
                            <w:r>
                              <w:t>.</w:t>
                            </w:r>
                            <w:ins w:id="404" w:author="Author">
                              <w:r>
                                <w:t xml:space="preserve"> Nu puneți capacul la loc.</w:t>
                              </w:r>
                            </w:ins>
                          </w:p>
                        </w:txbxContent>
                      </v:textbox>
                      <w10:wrap type="square" anchorx="margin"/>
                    </v:shape>
                  </w:pict>
                </mc:Fallback>
              </mc:AlternateContent>
            </w:r>
          </w:p>
        </w:tc>
      </w:tr>
      <w:tr w:rsidR="00C04CAD" w14:paraId="6EFC3004" w14:textId="77777777">
        <w:trPr>
          <w:cantSplit/>
          <w:trHeight w:val="57"/>
        </w:trPr>
        <w:tc>
          <w:tcPr>
            <w:tcW w:w="355" w:type="pct"/>
            <w:tcBorders>
              <w:bottom w:val="single" w:sz="4" w:space="0" w:color="auto"/>
            </w:tcBorders>
            <w:tcMar>
              <w:top w:w="28" w:type="dxa"/>
              <w:left w:w="57" w:type="dxa"/>
              <w:bottom w:w="28" w:type="dxa"/>
              <w:right w:w="57" w:type="dxa"/>
            </w:tcMar>
          </w:tcPr>
          <w:p w14:paraId="49C77AAC" w14:textId="77777777" w:rsidR="00C04CAD" w:rsidRDefault="00060E34">
            <w:pPr>
              <w:keepNext/>
              <w:spacing w:line="240" w:lineRule="auto"/>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04BA0270" w14:textId="77777777" w:rsidR="00C04CAD" w:rsidRDefault="00060E34">
            <w:pPr>
              <w:spacing w:line="240" w:lineRule="auto"/>
              <w:rPr>
                <w:szCs w:val="22"/>
              </w:rPr>
            </w:pPr>
            <w:r>
              <w:rPr>
                <w:b/>
              </w:rPr>
              <w:t>Țineți pen-ul preumplut astfel încât să puteți vedea fereastra.</w:t>
            </w:r>
            <w:r>
              <w:rPr>
                <w:b/>
                <w:szCs w:val="22"/>
              </w:rPr>
              <w:t xml:space="preserve"> Scoateți capacul galben trăgându-l drept. </w:t>
            </w:r>
            <w:r>
              <w:rPr>
                <w:b/>
              </w:rPr>
              <w:t>S-ar putea să fie nevoie să trageți cu putere</w:t>
            </w:r>
            <w:r>
              <w:rPr>
                <w:b/>
                <w:bCs/>
                <w:szCs w:val="22"/>
              </w:rPr>
              <w:t>.</w:t>
            </w:r>
          </w:p>
        </w:tc>
      </w:tr>
      <w:tr w:rsidR="00C04CAD" w14:paraId="0D523129"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5BCB0588" w14:textId="77777777" w:rsidR="00C04CAD" w:rsidRDefault="00C04CAD">
            <w:pPr>
              <w:pStyle w:val="ListParagraph"/>
              <w:spacing w:line="240" w:lineRule="auto"/>
              <w:ind w:left="567" w:hanging="567"/>
              <w:jc w:val="center"/>
              <w:rPr>
                <w:b/>
                <w:bCs/>
              </w:rPr>
            </w:pPr>
          </w:p>
          <w:p w14:paraId="16A02AD2" w14:textId="77777777" w:rsidR="00C04CAD" w:rsidRDefault="00C04CAD">
            <w:pPr>
              <w:pStyle w:val="ListParagraph"/>
              <w:spacing w:line="240" w:lineRule="auto"/>
              <w:ind w:left="567" w:hanging="567"/>
              <w:jc w:val="center"/>
              <w:rPr>
                <w:b/>
                <w:bCs/>
              </w:rPr>
            </w:pPr>
          </w:p>
          <w:p w14:paraId="199769CC" w14:textId="77777777" w:rsidR="00C04CAD" w:rsidRDefault="00C04CAD">
            <w:pPr>
              <w:pStyle w:val="ListParagraph"/>
              <w:spacing w:line="240" w:lineRule="auto"/>
              <w:ind w:left="567" w:hanging="567"/>
              <w:jc w:val="center"/>
              <w:rPr>
                <w:b/>
                <w:bCs/>
              </w:rPr>
            </w:pPr>
          </w:p>
          <w:p w14:paraId="60C270BA" w14:textId="77777777" w:rsidR="00C04CAD" w:rsidRDefault="00C04CAD">
            <w:pPr>
              <w:pStyle w:val="ListParagraph"/>
              <w:spacing w:line="240" w:lineRule="auto"/>
              <w:ind w:left="567" w:hanging="567"/>
              <w:jc w:val="center"/>
              <w:rPr>
                <w:b/>
                <w:bCs/>
              </w:rPr>
            </w:pPr>
          </w:p>
          <w:p w14:paraId="1E6B8390" w14:textId="77777777" w:rsidR="00C04CAD" w:rsidRDefault="00060E34">
            <w:pPr>
              <w:spacing w:line="240" w:lineRule="auto"/>
            </w:pPr>
            <w:r>
              <w:t>Fereastra ar trebui să fie vizibilă</w:t>
            </w:r>
          </w:p>
        </w:tc>
        <w:tc>
          <w:tcPr>
            <w:tcW w:w="3757" w:type="pct"/>
            <w:tcBorders>
              <w:left w:val="nil"/>
              <w:bottom w:val="single" w:sz="4" w:space="0" w:color="auto"/>
            </w:tcBorders>
          </w:tcPr>
          <w:p w14:paraId="1DA2E5AF" w14:textId="77777777" w:rsidR="00C04CAD" w:rsidRDefault="00060E34">
            <w:pPr>
              <w:pStyle w:val="ListParagraph"/>
              <w:spacing w:line="240" w:lineRule="auto"/>
              <w:ind w:left="567" w:hanging="567"/>
              <w:jc w:val="center"/>
              <w:rPr>
                <w:b/>
                <w:bCs/>
              </w:rPr>
            </w:pPr>
            <w:del w:id="382" w:author="Author">
              <w:r>
                <w:rPr>
                  <w:noProof/>
                </w:rPr>
                <w:drawing>
                  <wp:anchor distT="0" distB="0" distL="114300" distR="114300" simplePos="0" relativeHeight="251702272" behindDoc="0" locked="0" layoutInCell="1" allowOverlap="1" wp14:anchorId="68FA3F5A" wp14:editId="635D3C88">
                    <wp:simplePos x="0" y="0"/>
                    <wp:positionH relativeFrom="column">
                      <wp:posOffset>511175</wp:posOffset>
                    </wp:positionH>
                    <wp:positionV relativeFrom="paragraph">
                      <wp:posOffset>1905</wp:posOffset>
                    </wp:positionV>
                    <wp:extent cx="3206750" cy="1862455"/>
                    <wp:effectExtent l="0" t="0" r="0" b="0"/>
                    <wp:wrapTopAndBottom/>
                    <wp:docPr id="114475039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50393" name="Picture 7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3206750" cy="1862455"/>
                            </a:xfrm>
                            <a:prstGeom prst="rect">
                              <a:avLst/>
                            </a:prstGeom>
                            <a:noFill/>
                          </pic:spPr>
                        </pic:pic>
                      </a:graphicData>
                    </a:graphic>
                  </wp:anchor>
                </w:drawing>
              </w:r>
            </w:del>
            <w:ins w:id="383" w:author="Author">
              <w:r>
                <w:rPr>
                  <w:b/>
                  <w:noProof/>
                </w:rPr>
                <w:drawing>
                  <wp:inline distT="0" distB="0" distL="0" distR="0" wp14:anchorId="0AE80946" wp14:editId="02B86A12">
                    <wp:extent cx="3210560" cy="1870075"/>
                    <wp:effectExtent l="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3210560" cy="1870075"/>
                            </a:xfrm>
                            <a:prstGeom prst="rect">
                              <a:avLst/>
                            </a:prstGeom>
                            <a:noFill/>
                            <a:ln>
                              <a:noFill/>
                            </a:ln>
                          </pic:spPr>
                        </pic:pic>
                      </a:graphicData>
                    </a:graphic>
                  </wp:inline>
                </w:drawing>
              </w:r>
            </w:ins>
          </w:p>
        </w:tc>
      </w:tr>
      <w:tr w:rsidR="00C04CAD" w14:paraId="69FCDD8F" w14:textId="77777777">
        <w:trPr>
          <w:cantSplit/>
          <w:trHeight w:val="57"/>
        </w:trPr>
        <w:tc>
          <w:tcPr>
            <w:tcW w:w="355" w:type="pct"/>
            <w:tcBorders>
              <w:top w:val="nil"/>
              <w:bottom w:val="nil"/>
              <w:right w:val="nil"/>
            </w:tcBorders>
            <w:tcMar>
              <w:top w:w="28" w:type="dxa"/>
              <w:left w:w="57" w:type="dxa"/>
              <w:bottom w:w="28" w:type="dxa"/>
              <w:right w:w="57" w:type="dxa"/>
            </w:tcMar>
          </w:tcPr>
          <w:p w14:paraId="2534A96B"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70543833" w14:textId="77777777" w:rsidR="00C04CAD" w:rsidRDefault="00060E34">
            <w:pPr>
              <w:tabs>
                <w:tab w:val="left" w:pos="1134"/>
              </w:tabs>
              <w:spacing w:line="240" w:lineRule="auto"/>
              <w:rPr>
                <w:b/>
                <w:bCs/>
              </w:rPr>
            </w:pPr>
            <w:r>
              <w:rPr>
                <w:b/>
              </w:rPr>
              <w:t>Nu</w:t>
            </w:r>
            <w:r>
              <w:t xml:space="preserve"> răsuciți, îndoiți sau mișcați capacul galben pentru a-l scoate.</w:t>
            </w:r>
          </w:p>
        </w:tc>
      </w:tr>
      <w:tr w:rsidR="00C04CAD" w14:paraId="31F558CB" w14:textId="77777777">
        <w:trPr>
          <w:cantSplit/>
          <w:trHeight w:val="57"/>
        </w:trPr>
        <w:tc>
          <w:tcPr>
            <w:tcW w:w="355" w:type="pct"/>
            <w:tcBorders>
              <w:top w:val="nil"/>
              <w:bottom w:val="nil"/>
              <w:right w:val="nil"/>
            </w:tcBorders>
            <w:tcMar>
              <w:top w:w="28" w:type="dxa"/>
              <w:left w:w="57" w:type="dxa"/>
              <w:bottom w:w="28" w:type="dxa"/>
              <w:right w:w="57" w:type="dxa"/>
            </w:tcMar>
          </w:tcPr>
          <w:p w14:paraId="24CC997B"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5828D80D" w14:textId="77777777" w:rsidR="00C04CAD" w:rsidRDefault="00060E34">
            <w:pPr>
              <w:tabs>
                <w:tab w:val="left" w:pos="1134"/>
              </w:tabs>
              <w:spacing w:line="240" w:lineRule="auto"/>
            </w:pPr>
            <w:r>
              <w:t xml:space="preserve">Nu puneți </w:t>
            </w:r>
            <w:r>
              <w:rPr>
                <w:b/>
              </w:rPr>
              <w:t>niciodată</w:t>
            </w:r>
            <w:r>
              <w:t xml:space="preserve"> capacul acului înapoi. Acesta poate deteriora acul.</w:t>
            </w:r>
          </w:p>
        </w:tc>
      </w:tr>
      <w:tr w:rsidR="00C04CAD" w14:paraId="2AB4A929" w14:textId="77777777">
        <w:trPr>
          <w:cantSplit/>
          <w:trHeight w:val="57"/>
        </w:trPr>
        <w:tc>
          <w:tcPr>
            <w:tcW w:w="355" w:type="pct"/>
            <w:tcBorders>
              <w:top w:val="nil"/>
              <w:bottom w:val="nil"/>
              <w:right w:val="nil"/>
            </w:tcBorders>
            <w:tcMar>
              <w:top w:w="28" w:type="dxa"/>
              <w:left w:w="57" w:type="dxa"/>
              <w:bottom w:w="28" w:type="dxa"/>
              <w:right w:w="57" w:type="dxa"/>
            </w:tcMar>
          </w:tcPr>
          <w:p w14:paraId="2C5C3711"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nil"/>
            </w:tcBorders>
            <w:tcMar>
              <w:left w:w="0" w:type="dxa"/>
            </w:tcMar>
          </w:tcPr>
          <w:p w14:paraId="68B9606A" w14:textId="77777777" w:rsidR="00C04CAD" w:rsidRDefault="00060E34">
            <w:pPr>
              <w:keepNext/>
              <w:keepLines/>
              <w:tabs>
                <w:tab w:val="clear" w:pos="567"/>
              </w:tabs>
              <w:spacing w:line="240" w:lineRule="auto"/>
              <w:contextualSpacing/>
              <w:rPr>
                <w:b/>
                <w:bCs/>
              </w:rPr>
            </w:pPr>
            <w:r>
              <w:rPr>
                <w:b/>
              </w:rPr>
              <w:t>Nu</w:t>
            </w:r>
            <w:r>
              <w:t xml:space="preserve"> introduceți degetul în interiorul elementului de protecție de culoare crem</w:t>
            </w:r>
            <w:r>
              <w:rPr>
                <w:color w:val="000000"/>
                <w:szCs w:val="22"/>
              </w:rPr>
              <w:t>.</w:t>
            </w:r>
          </w:p>
        </w:tc>
      </w:tr>
      <w:tr w:rsidR="00C04CAD" w14:paraId="032E6404"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6FCA5DE3" w14:textId="77777777" w:rsidR="00C04CAD" w:rsidRDefault="00C04CAD">
            <w:pPr>
              <w:numPr>
                <w:ilvl w:val="0"/>
                <w:numId w:val="102"/>
              </w:numPr>
              <w:tabs>
                <w:tab w:val="clear" w:pos="567"/>
              </w:tabs>
              <w:spacing w:line="240" w:lineRule="auto"/>
              <w:ind w:left="567" w:hanging="567"/>
            </w:pPr>
          </w:p>
        </w:tc>
        <w:tc>
          <w:tcPr>
            <w:tcW w:w="4645" w:type="pct"/>
            <w:gridSpan w:val="2"/>
            <w:tcBorders>
              <w:top w:val="nil"/>
              <w:left w:val="nil"/>
              <w:bottom w:val="single" w:sz="4" w:space="0" w:color="auto"/>
            </w:tcBorders>
            <w:tcMar>
              <w:left w:w="0" w:type="dxa"/>
            </w:tcMar>
          </w:tcPr>
          <w:p w14:paraId="4180BF0E" w14:textId="77777777" w:rsidR="00C04CAD" w:rsidRDefault="00060E34">
            <w:pPr>
              <w:keepNext/>
              <w:keepLines/>
              <w:tabs>
                <w:tab w:val="clear" w:pos="567"/>
              </w:tabs>
              <w:spacing w:line="240" w:lineRule="auto"/>
              <w:contextualSpacing/>
              <w:rPr>
                <w:b/>
                <w:bCs/>
                <w:color w:val="000000"/>
                <w:szCs w:val="22"/>
              </w:rPr>
            </w:pPr>
            <w:r>
              <w:t>Este normal să vedeți o picătură de medicament la capătul acului sau al elementului de protecție de culoare crem</w:t>
            </w:r>
            <w:r>
              <w:rPr>
                <w:color w:val="000000"/>
                <w:szCs w:val="22"/>
              </w:rPr>
              <w:t>.</w:t>
            </w:r>
          </w:p>
        </w:tc>
      </w:tr>
    </w:tbl>
    <w:p w14:paraId="25BF9E75" w14:textId="77777777" w:rsidR="00C04CAD" w:rsidRDefault="00C04CAD">
      <w:pPr>
        <w:tabs>
          <w:tab w:val="left" w:pos="1134"/>
        </w:tabs>
        <w:spacing w:line="240" w:lineRule="auto"/>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
      <w:tr w:rsidR="00C04CAD" w14:paraId="2B6B71DB" w14:textId="77777777">
        <w:trPr>
          <w:cantSplit/>
          <w:trHeight w:val="57"/>
        </w:trPr>
        <w:tc>
          <w:tcPr>
            <w:tcW w:w="338" w:type="pct"/>
            <w:tcBorders>
              <w:bottom w:val="single" w:sz="4" w:space="0" w:color="auto"/>
            </w:tcBorders>
            <w:tcMar>
              <w:top w:w="28" w:type="dxa"/>
              <w:left w:w="57" w:type="dxa"/>
              <w:bottom w:w="28" w:type="dxa"/>
              <w:right w:w="57" w:type="dxa"/>
            </w:tcMar>
          </w:tcPr>
          <w:p w14:paraId="432EC067" w14:textId="77777777" w:rsidR="00C04CAD" w:rsidRDefault="00060E34">
            <w:pPr>
              <w:keepNext/>
              <w:spacing w:line="240" w:lineRule="auto"/>
              <w:rPr>
                <w:b/>
                <w:bCs/>
                <w:szCs w:val="22"/>
              </w:rPr>
            </w:pPr>
            <w:r>
              <w:rPr>
                <w:b/>
                <w:bCs/>
                <w:szCs w:val="22"/>
              </w:rPr>
              <w:t>4b</w:t>
            </w:r>
          </w:p>
        </w:tc>
        <w:tc>
          <w:tcPr>
            <w:tcW w:w="4662" w:type="pct"/>
            <w:gridSpan w:val="2"/>
            <w:tcBorders>
              <w:bottom w:val="single" w:sz="4" w:space="0" w:color="auto"/>
            </w:tcBorders>
            <w:tcMar>
              <w:top w:w="28" w:type="dxa"/>
              <w:left w:w="57" w:type="dxa"/>
              <w:bottom w:w="28" w:type="dxa"/>
              <w:right w:w="57" w:type="dxa"/>
            </w:tcMar>
          </w:tcPr>
          <w:p w14:paraId="73980E59" w14:textId="77777777" w:rsidR="00C04CAD" w:rsidRDefault="00060E34">
            <w:pPr>
              <w:pStyle w:val="ListParagraph"/>
              <w:keepNext/>
              <w:spacing w:line="240" w:lineRule="auto"/>
              <w:ind w:left="0"/>
              <w:rPr>
                <w:szCs w:val="22"/>
              </w:rPr>
            </w:pPr>
            <w:r>
              <w:rPr>
                <w:b/>
              </w:rPr>
              <w:t>Ciupiți pielea pentru a crea o suprafață fermă la locul injectării. Așezați elementul de protecție de culoare crem perpendicular pe piele</w:t>
            </w:r>
            <w:ins w:id="384" w:author="Author">
              <w:r>
                <w:rPr>
                  <w:b/>
                </w:rPr>
                <w:t>a ciupită</w:t>
              </w:r>
            </w:ins>
            <w:r>
              <w:rPr>
                <w:b/>
                <w:bCs/>
                <w:szCs w:val="22"/>
              </w:rPr>
              <w:t xml:space="preserve">.  </w:t>
            </w:r>
          </w:p>
        </w:tc>
      </w:tr>
      <w:tr w:rsidR="00C04CAD" w14:paraId="7912076A" w14:textId="77777777">
        <w:trPr>
          <w:cantSplit/>
          <w:trHeight w:val="57"/>
          <w:del w:id="385" w:author="Author"/>
        </w:trPr>
        <w:tc>
          <w:tcPr>
            <w:tcW w:w="5000" w:type="pct"/>
            <w:gridSpan w:val="3"/>
            <w:tcBorders>
              <w:bottom w:val="single" w:sz="4" w:space="0" w:color="auto"/>
            </w:tcBorders>
            <w:tcMar>
              <w:top w:w="28" w:type="dxa"/>
              <w:left w:w="57" w:type="dxa"/>
              <w:bottom w:w="28" w:type="dxa"/>
              <w:right w:w="57" w:type="dxa"/>
            </w:tcMar>
          </w:tcPr>
          <w:p w14:paraId="53FBAC68" w14:textId="77777777" w:rsidR="00C04CAD" w:rsidRDefault="00060E34">
            <w:pPr>
              <w:keepNext/>
              <w:tabs>
                <w:tab w:val="left" w:pos="1134"/>
              </w:tabs>
              <w:spacing w:line="240" w:lineRule="auto"/>
              <w:jc w:val="center"/>
              <w:rPr>
                <w:del w:id="386" w:author="Author"/>
              </w:rPr>
            </w:pPr>
            <w:del w:id="387" w:author="Author">
              <w:r>
                <w:rPr>
                  <w:b/>
                  <w:bCs/>
                </w:rPr>
                <w:delText>CIUPIȚI</w:delText>
              </w:r>
            </w:del>
          </w:p>
        </w:tc>
      </w:tr>
      <w:tr w:rsidR="00C04CAD" w14:paraId="11528B73"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43B37474" w14:textId="77777777" w:rsidR="00C04CAD" w:rsidRDefault="00C04CAD">
            <w:pPr>
              <w:keepNext/>
              <w:tabs>
                <w:tab w:val="left" w:pos="1134"/>
              </w:tabs>
              <w:spacing w:line="240" w:lineRule="auto"/>
              <w:jc w:val="right"/>
              <w:rPr>
                <w:ins w:id="388" w:author="Author"/>
                <w:bCs/>
              </w:rPr>
            </w:pPr>
          </w:p>
          <w:p w14:paraId="56876539" w14:textId="77777777" w:rsidR="00C04CAD" w:rsidRDefault="00C04CAD">
            <w:pPr>
              <w:keepNext/>
              <w:tabs>
                <w:tab w:val="left" w:pos="1134"/>
              </w:tabs>
              <w:spacing w:line="240" w:lineRule="auto"/>
              <w:jc w:val="right"/>
              <w:rPr>
                <w:ins w:id="389" w:author="Author"/>
                <w:bCs/>
              </w:rPr>
            </w:pPr>
          </w:p>
          <w:p w14:paraId="234328CE" w14:textId="77777777" w:rsidR="00C04CAD" w:rsidRDefault="00C04CAD">
            <w:pPr>
              <w:keepNext/>
              <w:tabs>
                <w:tab w:val="left" w:pos="1134"/>
              </w:tabs>
              <w:spacing w:line="240" w:lineRule="auto"/>
              <w:jc w:val="right"/>
              <w:rPr>
                <w:ins w:id="390" w:author="Author"/>
                <w:bCs/>
              </w:rPr>
            </w:pPr>
          </w:p>
          <w:p w14:paraId="62812C4B" w14:textId="77777777" w:rsidR="00C04CAD" w:rsidRDefault="00C04CAD">
            <w:pPr>
              <w:keepNext/>
              <w:tabs>
                <w:tab w:val="left" w:pos="1134"/>
              </w:tabs>
              <w:spacing w:line="240" w:lineRule="auto"/>
              <w:jc w:val="right"/>
              <w:rPr>
                <w:ins w:id="391" w:author="Author"/>
                <w:bCs/>
              </w:rPr>
            </w:pPr>
          </w:p>
          <w:p w14:paraId="108D21B3" w14:textId="77777777" w:rsidR="00C04CAD" w:rsidRDefault="00060E34">
            <w:pPr>
              <w:keepNext/>
              <w:tabs>
                <w:tab w:val="left" w:pos="1134"/>
              </w:tabs>
              <w:spacing w:line="240" w:lineRule="auto"/>
              <w:jc w:val="right"/>
              <w:rPr>
                <w:b/>
                <w:bCs/>
              </w:rPr>
              <w:pPrChange w:id="392" w:author="Author">
                <w:pPr>
                  <w:keepNext/>
                  <w:tabs>
                    <w:tab w:val="left" w:pos="1134"/>
                  </w:tabs>
                  <w:spacing w:line="240" w:lineRule="auto"/>
                  <w:jc w:val="center"/>
                </w:pPr>
              </w:pPrChange>
            </w:pPr>
            <w:ins w:id="393" w:author="Author">
              <w:r>
                <w:rPr>
                  <w:bCs/>
                </w:rPr>
                <w:t>CIUPIȚI pielea la locul de injectare</w:t>
              </w:r>
            </w:ins>
            <w:del w:id="394" w:author="Author">
              <w:r>
                <w:rPr>
                  <w:noProof/>
                </w:rPr>
                <w:drawing>
                  <wp:anchor distT="0" distB="0" distL="114300" distR="114300" simplePos="0" relativeHeight="251703296" behindDoc="0" locked="0" layoutInCell="1" allowOverlap="1" wp14:anchorId="77C9EB62" wp14:editId="18580D4F">
                    <wp:simplePos x="0" y="0"/>
                    <wp:positionH relativeFrom="column">
                      <wp:posOffset>1238885</wp:posOffset>
                    </wp:positionH>
                    <wp:positionV relativeFrom="paragraph">
                      <wp:posOffset>3175</wp:posOffset>
                    </wp:positionV>
                    <wp:extent cx="3198495" cy="1964055"/>
                    <wp:effectExtent l="0" t="0" r="0" b="0"/>
                    <wp:wrapTopAndBottom/>
                    <wp:docPr id="113564514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45147" name="Picture 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3198495" cy="1964055"/>
                            </a:xfrm>
                            <a:prstGeom prst="rect">
                              <a:avLst/>
                            </a:prstGeom>
                            <a:noFill/>
                          </pic:spPr>
                        </pic:pic>
                      </a:graphicData>
                    </a:graphic>
                  </wp:anchor>
                </w:drawing>
              </w:r>
            </w:del>
            <w:ins w:id="395" w:author="Author">
              <w:r>
                <w:rPr>
                  <w:bCs/>
                  <w:noProof/>
                </w:rPr>
                <w:drawing>
                  <wp:inline distT="0" distB="0" distL="0" distR="0" wp14:anchorId="0503601A" wp14:editId="6D8A7519">
                    <wp:extent cx="2909570" cy="1828800"/>
                    <wp:effectExtent l="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909570" cy="1828800"/>
                            </a:xfrm>
                            <a:prstGeom prst="rect">
                              <a:avLst/>
                            </a:prstGeom>
                            <a:noFill/>
                            <a:ln>
                              <a:noFill/>
                            </a:ln>
                          </pic:spPr>
                        </pic:pic>
                      </a:graphicData>
                    </a:graphic>
                  </wp:inline>
                </w:drawing>
              </w:r>
            </w:ins>
          </w:p>
        </w:tc>
      </w:tr>
      <w:tr w:rsidR="00C04CAD" w14:paraId="7072CA9C" w14:textId="77777777">
        <w:trPr>
          <w:cantSplit/>
          <w:trHeight w:val="57"/>
        </w:trPr>
        <w:tc>
          <w:tcPr>
            <w:tcW w:w="338" w:type="pct"/>
            <w:tcBorders>
              <w:top w:val="nil"/>
              <w:bottom w:val="nil"/>
              <w:right w:val="nil"/>
            </w:tcBorders>
            <w:tcMar>
              <w:top w:w="28" w:type="dxa"/>
              <w:left w:w="57" w:type="dxa"/>
              <w:bottom w:w="28" w:type="dxa"/>
              <w:right w:w="57" w:type="dxa"/>
            </w:tcMar>
          </w:tcPr>
          <w:p w14:paraId="26BC6FD4"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nil"/>
            </w:tcBorders>
            <w:tcMar>
              <w:left w:w="0" w:type="dxa"/>
            </w:tcMar>
          </w:tcPr>
          <w:p w14:paraId="261AE292" w14:textId="77777777" w:rsidR="00C04CAD" w:rsidRDefault="00060E34">
            <w:pPr>
              <w:tabs>
                <w:tab w:val="left" w:pos="1134"/>
              </w:tabs>
              <w:spacing w:line="240" w:lineRule="auto"/>
            </w:pPr>
            <w:r>
              <w:t xml:space="preserve">Mențineți pielea </w:t>
            </w:r>
            <w:r>
              <w:rPr>
                <w:b/>
              </w:rPr>
              <w:t>ciupită</w:t>
            </w:r>
            <w:r>
              <w:t xml:space="preserve"> între degete până la terminarea injecției.</w:t>
            </w:r>
          </w:p>
        </w:tc>
      </w:tr>
      <w:tr w:rsidR="00C04CAD" w14:paraId="7C5A2028"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ED3BF20"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single" w:sz="4" w:space="0" w:color="auto"/>
            </w:tcBorders>
            <w:tcMar>
              <w:left w:w="0" w:type="dxa"/>
            </w:tcMar>
          </w:tcPr>
          <w:p w14:paraId="1C582397" w14:textId="77777777" w:rsidR="00C04CAD" w:rsidRDefault="00060E34">
            <w:pPr>
              <w:tabs>
                <w:tab w:val="left" w:pos="1134"/>
              </w:tabs>
              <w:spacing w:line="240" w:lineRule="auto"/>
            </w:pPr>
            <w:r>
              <w:t>Asigurați-vă că puteți vedea fereastra.</w:t>
            </w:r>
          </w:p>
        </w:tc>
      </w:tr>
      <w:tr w:rsidR="00C04CAD" w14:paraId="04B7F4A2"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2890A99A" w14:textId="77777777" w:rsidR="00C04CAD" w:rsidRDefault="00C04CAD">
            <w:pPr>
              <w:numPr>
                <w:ilvl w:val="0"/>
                <w:numId w:val="102"/>
              </w:numPr>
              <w:tabs>
                <w:tab w:val="clear" w:pos="567"/>
              </w:tabs>
              <w:spacing w:line="240" w:lineRule="auto"/>
              <w:ind w:left="567" w:hanging="567"/>
            </w:pPr>
          </w:p>
        </w:tc>
        <w:tc>
          <w:tcPr>
            <w:tcW w:w="4662" w:type="pct"/>
            <w:gridSpan w:val="2"/>
            <w:tcBorders>
              <w:top w:val="nil"/>
              <w:left w:val="nil"/>
              <w:bottom w:val="single" w:sz="4" w:space="0" w:color="auto"/>
            </w:tcBorders>
            <w:tcMar>
              <w:left w:w="0" w:type="dxa"/>
            </w:tcMar>
          </w:tcPr>
          <w:p w14:paraId="50C73137" w14:textId="77777777" w:rsidR="00C04CAD" w:rsidRDefault="00060E34">
            <w:pPr>
              <w:tabs>
                <w:tab w:val="left" w:pos="1134"/>
              </w:tabs>
              <w:spacing w:line="240" w:lineRule="auto"/>
            </w:pPr>
            <w:r>
              <w:t xml:space="preserve">Asiguraţi-vă că </w:t>
            </w:r>
            <w:del w:id="396" w:author="Author">
              <w:r>
                <w:delText>auto-injectorul</w:delText>
              </w:r>
            </w:del>
            <w:ins w:id="397" w:author="Author">
              <w:r>
                <w:t>pen-ul preumplut</w:t>
              </w:r>
            </w:ins>
            <w:r>
              <w:t xml:space="preserve"> este poziţionat perpendicular pe locul de injectare (la un unghi de 90 de grade).</w:t>
            </w:r>
          </w:p>
        </w:tc>
      </w:tr>
      <w:tr w:rsidR="00C04CAD" w14:paraId="21581F01" w14:textId="77777777">
        <w:trPr>
          <w:cantSplit/>
          <w:trHeight w:val="57"/>
        </w:trPr>
        <w:tc>
          <w:tcPr>
            <w:tcW w:w="5000" w:type="pct"/>
            <w:gridSpan w:val="3"/>
            <w:tcBorders>
              <w:top w:val="single" w:sz="4" w:space="0" w:color="auto"/>
              <w:bottom w:val="nil"/>
            </w:tcBorders>
            <w:tcMar>
              <w:top w:w="28" w:type="dxa"/>
              <w:left w:w="57" w:type="dxa"/>
              <w:bottom w:w="28" w:type="dxa"/>
              <w:right w:w="57" w:type="dxa"/>
            </w:tcMar>
            <w:vAlign w:val="center"/>
          </w:tcPr>
          <w:p w14:paraId="2030A2AD" w14:textId="77777777" w:rsidR="00C04CAD" w:rsidRDefault="00C04CAD">
            <w:pPr>
              <w:keepNext/>
              <w:tabs>
                <w:tab w:val="left" w:pos="1134"/>
              </w:tabs>
              <w:spacing w:line="240" w:lineRule="auto"/>
              <w:jc w:val="center"/>
              <w:rPr>
                <w:b/>
                <w:bCs/>
              </w:rPr>
            </w:pPr>
          </w:p>
          <w:p w14:paraId="04DD86B1" w14:textId="77777777" w:rsidR="00C04CAD" w:rsidRDefault="00060E34">
            <w:pPr>
              <w:spacing w:line="240" w:lineRule="auto"/>
              <w:jc w:val="center"/>
              <w:rPr>
                <w:b/>
              </w:rPr>
            </w:pPr>
            <w:r>
              <w:rPr>
                <w:b/>
              </w:rPr>
              <w:t>APĂSAŢI</w:t>
            </w:r>
          </w:p>
          <w:p w14:paraId="4184DE7C" w14:textId="77777777" w:rsidR="00C04CAD" w:rsidRDefault="00060E34">
            <w:pPr>
              <w:spacing w:line="240" w:lineRule="auto"/>
              <w:jc w:val="center"/>
            </w:pPr>
            <w:r>
              <w:rPr>
                <w:b/>
              </w:rPr>
              <w:t>și mențineți în contact cu pielea</w:t>
            </w:r>
          </w:p>
        </w:tc>
      </w:tr>
      <w:tr w:rsidR="00C04CAD" w14:paraId="36E76158"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4CAA28AD" w14:textId="77777777" w:rsidR="00C04CAD" w:rsidRDefault="00060E34">
            <w:pPr>
              <w:keepNext/>
              <w:tabs>
                <w:tab w:val="left" w:pos="1134"/>
              </w:tabs>
              <w:spacing w:line="240" w:lineRule="auto"/>
              <w:jc w:val="center"/>
            </w:pPr>
            <w:r>
              <w:rPr>
                <w:noProof/>
                <w:lang w:val="en-US" w:eastAsia="zh-CN" w:bidi="ar-SA"/>
              </w:rPr>
              <w:drawing>
                <wp:inline distT="0" distB="0" distL="0" distR="0" wp14:anchorId="73BB2E00" wp14:editId="0CC88FED">
                  <wp:extent cx="3210560" cy="1901825"/>
                  <wp:effectExtent l="0" t="0" r="0"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210560" cy="1901825"/>
                          </a:xfrm>
                          <a:prstGeom prst="rect">
                            <a:avLst/>
                          </a:prstGeom>
                          <a:noFill/>
                          <a:ln>
                            <a:noFill/>
                          </a:ln>
                        </pic:spPr>
                      </pic:pic>
                    </a:graphicData>
                  </a:graphic>
                </wp:inline>
              </w:drawing>
            </w:r>
          </w:p>
        </w:tc>
      </w:tr>
      <w:tr w:rsidR="00C04CAD" w14:paraId="6E754786"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58E4768" w14:textId="77777777" w:rsidR="00C04CAD" w:rsidRDefault="00060E34">
            <w:pPr>
              <w:tabs>
                <w:tab w:val="left" w:pos="1134"/>
              </w:tabs>
              <w:spacing w:line="240" w:lineRule="auto"/>
              <w:rPr>
                <w:b/>
                <w:bCs/>
              </w:rPr>
            </w:pPr>
            <w:r>
              <w:rPr>
                <w:b/>
                <w:bCs/>
              </w:rPr>
              <w:t>4c</w:t>
            </w:r>
          </w:p>
        </w:tc>
        <w:tc>
          <w:tcPr>
            <w:tcW w:w="4616" w:type="pct"/>
            <w:tcBorders>
              <w:top w:val="single" w:sz="4" w:space="0" w:color="auto"/>
              <w:bottom w:val="single" w:sz="4" w:space="0" w:color="auto"/>
            </w:tcBorders>
            <w:vAlign w:val="center"/>
          </w:tcPr>
          <w:p w14:paraId="1E5643D7" w14:textId="77777777" w:rsidR="00C04CAD" w:rsidRDefault="00060E34">
            <w:pPr>
              <w:tabs>
                <w:tab w:val="left" w:pos="1134"/>
              </w:tabs>
              <w:spacing w:line="240" w:lineRule="auto"/>
            </w:pPr>
            <w:r>
              <w:rPr>
                <w:b/>
              </w:rPr>
              <w:t xml:space="preserve">Împingeți ferm </w:t>
            </w:r>
            <w:ins w:id="398" w:author="Author">
              <w:r>
                <w:rPr>
                  <w:b/>
                </w:rPr>
                <w:t xml:space="preserve">pen-ul preumplut </w:t>
              </w:r>
            </w:ins>
            <w:r>
              <w:rPr>
                <w:b/>
              </w:rPr>
              <w:t>în jos până când elementul de protecție de culoare crem nu se mai mișcă. Țineți apăsat</w:t>
            </w:r>
            <w:ins w:id="399" w:author="Author">
              <w:r>
                <w:rPr>
                  <w:b/>
                </w:rPr>
                <w:t xml:space="preserve"> pen-ul preumplut în jos</w:t>
              </w:r>
            </w:ins>
            <w:r>
              <w:rPr>
                <w:b/>
              </w:rPr>
              <w:t>; nu ridicați</w:t>
            </w:r>
            <w:r>
              <w:rPr>
                <w:b/>
                <w:bCs/>
                <w:szCs w:val="22"/>
              </w:rPr>
              <w:t>.</w:t>
            </w:r>
          </w:p>
        </w:tc>
      </w:tr>
      <w:tr w:rsidR="00C04CAD" w14:paraId="50F79DE4"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445D744" w14:textId="77777777" w:rsidR="00C04CAD" w:rsidRDefault="00C04CAD">
            <w:pPr>
              <w:numPr>
                <w:ilvl w:val="0"/>
                <w:numId w:val="102"/>
              </w:numPr>
              <w:tabs>
                <w:tab w:val="clear" w:pos="567"/>
                <w:tab w:val="left" w:pos="578"/>
              </w:tabs>
              <w:spacing w:line="240" w:lineRule="auto"/>
              <w:ind w:left="642" w:hanging="642"/>
            </w:pPr>
          </w:p>
        </w:tc>
        <w:tc>
          <w:tcPr>
            <w:tcW w:w="4616" w:type="pct"/>
            <w:tcBorders>
              <w:top w:val="single" w:sz="4" w:space="0" w:color="auto"/>
              <w:bottom w:val="single" w:sz="4" w:space="0" w:color="auto"/>
            </w:tcBorders>
            <w:vAlign w:val="center"/>
          </w:tcPr>
          <w:p w14:paraId="266021A6" w14:textId="77777777" w:rsidR="00C04CAD" w:rsidRDefault="00060E34">
            <w:pPr>
              <w:spacing w:line="240" w:lineRule="auto"/>
            </w:pPr>
            <w:r>
              <w:t>Elementul de protecție de culoare crem împinge și deblochează butonul de pornire albastru-deschis</w:t>
            </w:r>
            <w:ins w:id="400" w:author="Author">
              <w:r>
                <w:t>.</w:t>
              </w:r>
            </w:ins>
          </w:p>
        </w:tc>
      </w:tr>
    </w:tbl>
    <w:p w14:paraId="467123B2" w14:textId="77777777" w:rsidR="00C04CAD" w:rsidRDefault="00C04CAD">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C04CAD" w14:paraId="1AA533A1" w14:textId="77777777">
        <w:trPr>
          <w:cantSplit/>
          <w:trHeight w:val="57"/>
        </w:trPr>
        <w:tc>
          <w:tcPr>
            <w:tcW w:w="5000" w:type="pct"/>
            <w:gridSpan w:val="2"/>
            <w:tcBorders>
              <w:bottom w:val="nil"/>
            </w:tcBorders>
            <w:tcMar>
              <w:top w:w="28" w:type="dxa"/>
              <w:left w:w="57" w:type="dxa"/>
              <w:bottom w:w="28" w:type="dxa"/>
              <w:right w:w="57" w:type="dxa"/>
            </w:tcMar>
          </w:tcPr>
          <w:p w14:paraId="7D7344C5" w14:textId="77777777" w:rsidR="00C04CAD" w:rsidRDefault="00060E34">
            <w:pPr>
              <w:tabs>
                <w:tab w:val="left" w:pos="1134"/>
              </w:tabs>
              <w:spacing w:line="240" w:lineRule="auto"/>
              <w:jc w:val="center"/>
              <w:rPr>
                <w:b/>
                <w:bCs/>
              </w:rPr>
            </w:pPr>
            <w:r>
              <w:rPr>
                <w:b/>
                <w:bCs/>
              </w:rPr>
              <w:t>APĂSAȚI</w:t>
            </w:r>
          </w:p>
          <w:p w14:paraId="4A2222FD" w14:textId="77777777" w:rsidR="00C04CAD" w:rsidRDefault="00060E34">
            <w:pPr>
              <w:spacing w:line="240" w:lineRule="auto"/>
              <w:jc w:val="center"/>
            </w:pPr>
            <w:r>
              <w:rPr>
                <w:b/>
                <w:bCs/>
              </w:rPr>
              <w:t xml:space="preserve">butonul </w:t>
            </w:r>
            <w:r>
              <w:rPr>
                <w:b/>
              </w:rPr>
              <w:t>de pornire albastru-deschis</w:t>
            </w:r>
          </w:p>
        </w:tc>
      </w:tr>
      <w:tr w:rsidR="00C04CAD" w14:paraId="630070B2"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EBA7AA8" w14:textId="77777777" w:rsidR="00C04CAD" w:rsidRDefault="00060E34">
            <w:pPr>
              <w:tabs>
                <w:tab w:val="left" w:pos="1134"/>
              </w:tabs>
              <w:spacing w:line="240" w:lineRule="auto"/>
              <w:jc w:val="center"/>
              <w:rPr>
                <w:b/>
                <w:bCs/>
              </w:rPr>
            </w:pPr>
            <w:r>
              <w:rPr>
                <w:noProof/>
                <w:lang w:val="en-US" w:eastAsia="zh-CN" w:bidi="ar-SA"/>
              </w:rPr>
              <w:drawing>
                <wp:inline distT="0" distB="0" distL="0" distR="0" wp14:anchorId="3AACDDD1" wp14:editId="194F2845">
                  <wp:extent cx="4572000" cy="2743200"/>
                  <wp:effectExtent l="0" t="0" r="0" b="0"/>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C04CAD" w14:paraId="5735D06F"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22F04B8F" w14:textId="77777777" w:rsidR="00C04CAD" w:rsidRDefault="00060E34">
            <w:pPr>
              <w:tabs>
                <w:tab w:val="clear" w:pos="567"/>
              </w:tabs>
              <w:spacing w:line="240" w:lineRule="auto"/>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778F8031" w14:textId="77777777" w:rsidR="00C04CAD" w:rsidRDefault="00060E34">
            <w:pPr>
              <w:tabs>
                <w:tab w:val="left" w:pos="1134"/>
              </w:tabs>
              <w:spacing w:line="240" w:lineRule="auto"/>
              <w:rPr>
                <w:b/>
                <w:bCs/>
              </w:rPr>
            </w:pPr>
            <w:r>
              <w:rPr>
                <w:b/>
              </w:rPr>
              <w:t xml:space="preserve">Continuați să țineți apăsat </w:t>
            </w:r>
            <w:ins w:id="401" w:author="Author">
              <w:r>
                <w:rPr>
                  <w:b/>
                </w:rPr>
                <w:t xml:space="preserve">pen-ul preumplut în jos </w:t>
              </w:r>
            </w:ins>
            <w:del w:id="402" w:author="Author">
              <w:r>
                <w:rPr>
                  <w:b/>
                </w:rPr>
                <w:delText xml:space="preserve">ferm </w:delText>
              </w:r>
            </w:del>
            <w:r>
              <w:rPr>
                <w:b/>
              </w:rPr>
              <w:t>și apăsați butonul de pornire albastru-deschis pentru a începe injecția</w:t>
            </w:r>
            <w:r>
              <w:rPr>
                <w:b/>
                <w:bCs/>
                <w:szCs w:val="22"/>
              </w:rPr>
              <w:t>.</w:t>
            </w:r>
          </w:p>
        </w:tc>
      </w:tr>
      <w:tr w:rsidR="00C04CAD" w14:paraId="3F3F6AEC"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468A1D3F"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3B90DB72" w14:textId="77777777" w:rsidR="00C04CAD" w:rsidRDefault="00060E34">
            <w:pPr>
              <w:tabs>
                <w:tab w:val="left" w:pos="1134"/>
              </w:tabs>
              <w:spacing w:line="240" w:lineRule="auto"/>
            </w:pPr>
            <w:r>
              <w:t>Este posibil să auziți sau să simțiți un clic.</w:t>
            </w:r>
          </w:p>
        </w:tc>
      </w:tr>
      <w:tr w:rsidR="00C04CAD" w14:paraId="75B7A6A1" w14:textId="77777777">
        <w:trPr>
          <w:cantSplit/>
          <w:trHeight w:val="57"/>
        </w:trPr>
        <w:tc>
          <w:tcPr>
            <w:tcW w:w="383" w:type="pct"/>
            <w:tcBorders>
              <w:top w:val="nil"/>
              <w:bottom w:val="nil"/>
              <w:right w:val="nil"/>
            </w:tcBorders>
            <w:tcMar>
              <w:top w:w="28" w:type="dxa"/>
              <w:left w:w="57" w:type="dxa"/>
              <w:bottom w:w="28" w:type="dxa"/>
              <w:right w:w="57" w:type="dxa"/>
            </w:tcMar>
          </w:tcPr>
          <w:p w14:paraId="7EF5B6A6"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336CF31E" w14:textId="77777777" w:rsidR="00C04CAD" w:rsidRDefault="00060E34">
            <w:pPr>
              <w:tabs>
                <w:tab w:val="left" w:pos="1134"/>
              </w:tabs>
              <w:spacing w:line="240" w:lineRule="auto"/>
              <w:rPr>
                <w:b/>
                <w:bCs/>
              </w:rPr>
            </w:pPr>
            <w:r>
              <w:t>Fereastra începe să devină galbenă.</w:t>
            </w:r>
          </w:p>
        </w:tc>
      </w:tr>
      <w:tr w:rsidR="00C04CAD" w14:paraId="4BC894B0"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1805B70"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54408F5C" w14:textId="77777777" w:rsidR="00C04CAD" w:rsidRDefault="00060E34">
            <w:pPr>
              <w:tabs>
                <w:tab w:val="left" w:pos="1134"/>
              </w:tabs>
              <w:spacing w:line="240" w:lineRule="auto"/>
              <w:rPr>
                <w:b/>
                <w:bCs/>
              </w:rPr>
            </w:pPr>
            <w:r>
              <w:t xml:space="preserve">Este în regulă dacă eliberați butonul </w:t>
            </w:r>
            <w:ins w:id="403" w:author="Author">
              <w:r>
                <w:t xml:space="preserve">de pornire </w:t>
              </w:r>
            </w:ins>
            <w:r>
              <w:t>albastru-deschis.</w:t>
            </w:r>
          </w:p>
        </w:tc>
      </w:tr>
    </w:tbl>
    <w:p w14:paraId="68FCFCBA" w14:textId="77777777" w:rsidR="00C04CAD" w:rsidRDefault="00C04CAD">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C04CAD" w14:paraId="5A3A45A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C784EC6" w14:textId="77777777" w:rsidR="00C04CAD" w:rsidRDefault="00060E34">
            <w:pPr>
              <w:keepNext/>
              <w:tabs>
                <w:tab w:val="left" w:pos="1134"/>
              </w:tabs>
              <w:spacing w:line="240" w:lineRule="auto"/>
              <w:jc w:val="center"/>
              <w:rPr>
                <w:b/>
                <w:bCs/>
              </w:rPr>
            </w:pPr>
            <w:r>
              <w:rPr>
                <w:b/>
                <w:bCs/>
              </w:rPr>
              <w:t xml:space="preserve">URMĂRIȚI </w:t>
            </w:r>
            <w:del w:id="404" w:author="Author">
              <w:r>
                <w:rPr>
                  <w:b/>
                  <w:bCs/>
                </w:rPr>
                <w:delText>FEREASTRA DE</w:delText>
              </w:r>
            </w:del>
            <w:ins w:id="405" w:author="Author">
              <w:r>
                <w:rPr>
                  <w:b/>
                  <w:bCs/>
                </w:rPr>
                <w:t>și</w:t>
              </w:r>
            </w:ins>
            <w:r>
              <w:rPr>
                <w:b/>
                <w:bCs/>
              </w:rPr>
              <w:t xml:space="preserve"> CONFIRMA</w:t>
            </w:r>
            <w:ins w:id="406" w:author="Author">
              <w:r>
                <w:rPr>
                  <w:b/>
                  <w:bCs/>
                </w:rPr>
                <w:t>ȚI</w:t>
              </w:r>
            </w:ins>
            <w:del w:id="407" w:author="Author">
              <w:r>
                <w:rPr>
                  <w:b/>
                  <w:bCs/>
                </w:rPr>
                <w:delText>RE,</w:delText>
              </w:r>
            </w:del>
          </w:p>
          <w:p w14:paraId="3E72EEA7" w14:textId="57C59F60" w:rsidR="00C04CAD" w:rsidRDefault="00060E34">
            <w:pPr>
              <w:keepNext/>
              <w:tabs>
                <w:tab w:val="left" w:pos="1134"/>
              </w:tabs>
              <w:spacing w:line="240" w:lineRule="auto"/>
              <w:jc w:val="center"/>
              <w:rPr>
                <w:b/>
                <w:bCs/>
              </w:rPr>
            </w:pPr>
            <w:ins w:id="408" w:author="Author">
              <w:r>
                <w:rPr>
                  <w:b/>
                  <w:bCs/>
                </w:rPr>
                <w:t>că fereastra</w:t>
              </w:r>
              <w:del w:id="409" w:author="Author">
                <w:r w:rsidDel="00FF1600">
                  <w:rPr>
                    <w:b/>
                    <w:bCs/>
                  </w:rPr>
                  <w:delText xml:space="preserve"> de confirmare</w:delText>
                </w:r>
              </w:del>
            </w:ins>
            <w:del w:id="410" w:author="Author">
              <w:r>
                <w:rPr>
                  <w:b/>
                  <w:bCs/>
                </w:rPr>
                <w:delText>care</w:delText>
              </w:r>
            </w:del>
            <w:r>
              <w:rPr>
                <w:b/>
                <w:bCs/>
              </w:rPr>
              <w:t xml:space="preserve"> devine complet galbenă</w:t>
            </w:r>
          </w:p>
        </w:tc>
      </w:tr>
      <w:tr w:rsidR="00C04CAD" w14:paraId="2BF9FE8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88EC800" w14:textId="77777777" w:rsidR="00C04CAD" w:rsidRDefault="00060E34">
            <w:pPr>
              <w:keepNext/>
              <w:tabs>
                <w:tab w:val="left" w:pos="1134"/>
              </w:tabs>
              <w:spacing w:line="240" w:lineRule="auto"/>
              <w:jc w:val="center"/>
              <w:rPr>
                <w:b/>
                <w:bCs/>
              </w:rPr>
            </w:pPr>
            <w:r>
              <w:rPr>
                <w:b/>
                <w:noProof/>
                <w:lang w:val="en-US" w:eastAsia="zh-CN" w:bidi="ar-SA"/>
              </w:rPr>
              <w:drawing>
                <wp:inline distT="0" distB="0" distL="0" distR="0" wp14:anchorId="18F97D3A" wp14:editId="0215CC66">
                  <wp:extent cx="3210560" cy="1901825"/>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3210560" cy="1901825"/>
                          </a:xfrm>
                          <a:prstGeom prst="rect">
                            <a:avLst/>
                          </a:prstGeom>
                          <a:noFill/>
                          <a:ln>
                            <a:noFill/>
                          </a:ln>
                        </pic:spPr>
                      </pic:pic>
                    </a:graphicData>
                  </a:graphic>
                </wp:inline>
              </w:drawing>
            </w:r>
          </w:p>
          <w:p w14:paraId="689B618B" w14:textId="77777777" w:rsidR="00C04CAD" w:rsidRDefault="00C04CAD">
            <w:pPr>
              <w:keepNext/>
              <w:tabs>
                <w:tab w:val="left" w:pos="1134"/>
              </w:tabs>
              <w:spacing w:line="240" w:lineRule="auto"/>
              <w:jc w:val="center"/>
              <w:rPr>
                <w:b/>
                <w:bCs/>
              </w:rPr>
            </w:pPr>
          </w:p>
        </w:tc>
      </w:tr>
      <w:tr w:rsidR="00C04CAD" w14:paraId="3E1C383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0A5F2CF" w14:textId="77777777" w:rsidR="00C04CAD" w:rsidRDefault="00060E34">
            <w:pPr>
              <w:tabs>
                <w:tab w:val="clear" w:pos="567"/>
              </w:tabs>
              <w:spacing w:line="240" w:lineRule="auto"/>
              <w:rPr>
                <w:b/>
                <w:bCs/>
              </w:rPr>
            </w:pPr>
            <w:r>
              <w:rPr>
                <w:b/>
                <w:bCs/>
              </w:rPr>
              <w:t>4e</w:t>
            </w:r>
          </w:p>
        </w:tc>
        <w:tc>
          <w:tcPr>
            <w:tcW w:w="4617" w:type="pct"/>
            <w:tcBorders>
              <w:top w:val="single" w:sz="4" w:space="0" w:color="auto"/>
              <w:left w:val="single" w:sz="4" w:space="0" w:color="auto"/>
              <w:bottom w:val="single" w:sz="4" w:space="0" w:color="auto"/>
            </w:tcBorders>
            <w:tcMar>
              <w:left w:w="0" w:type="dxa"/>
            </w:tcMar>
          </w:tcPr>
          <w:p w14:paraId="6960B568" w14:textId="77777777" w:rsidR="00C04CAD" w:rsidRDefault="00060E34">
            <w:pPr>
              <w:spacing w:line="240" w:lineRule="auto"/>
              <w:rPr>
                <w:b/>
              </w:rPr>
            </w:pPr>
            <w:r>
              <w:rPr>
                <w:b/>
              </w:rPr>
              <w:t xml:space="preserve">Continuați să împingeți </w:t>
            </w:r>
            <w:ins w:id="411" w:author="Author">
              <w:r>
                <w:rPr>
                  <w:b/>
                </w:rPr>
                <w:t xml:space="preserve">pen-ul preumplut </w:t>
              </w:r>
            </w:ins>
            <w:r>
              <w:rPr>
                <w:b/>
              </w:rPr>
              <w:t>în jos. Când fereastra este complet galbenă, injecția este finalizată</w:t>
            </w:r>
          </w:p>
        </w:tc>
      </w:tr>
      <w:tr w:rsidR="00C04CAD" w14:paraId="66DF0B2F"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BA4685F"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4D44E3AC" w14:textId="77777777" w:rsidR="00C04CAD" w:rsidRDefault="00060E34">
            <w:pPr>
              <w:spacing w:line="240" w:lineRule="auto"/>
              <w:rPr>
                <w:b/>
                <w:bCs/>
              </w:rPr>
            </w:pPr>
            <w:r>
              <w:t xml:space="preserve">Finalizarea injecției poate dura până la </w:t>
            </w:r>
            <w:r>
              <w:rPr>
                <w:b/>
              </w:rPr>
              <w:t>15</w:t>
            </w:r>
            <w:r>
              <w:t xml:space="preserve"> secunde. </w:t>
            </w:r>
          </w:p>
        </w:tc>
      </w:tr>
      <w:tr w:rsidR="00C04CAD" w14:paraId="29DFC760" w14:textId="77777777">
        <w:trPr>
          <w:cantSplit/>
          <w:trHeight w:val="57"/>
        </w:trPr>
        <w:tc>
          <w:tcPr>
            <w:tcW w:w="383" w:type="pct"/>
            <w:tcBorders>
              <w:top w:val="nil"/>
              <w:bottom w:val="nil"/>
              <w:right w:val="nil"/>
            </w:tcBorders>
            <w:tcMar>
              <w:top w:w="28" w:type="dxa"/>
              <w:left w:w="57" w:type="dxa"/>
              <w:bottom w:w="28" w:type="dxa"/>
              <w:right w:w="57" w:type="dxa"/>
            </w:tcMar>
          </w:tcPr>
          <w:p w14:paraId="15BCF1C7"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0C9421C2" w14:textId="77777777" w:rsidR="00C04CAD" w:rsidRDefault="00060E34">
            <w:pPr>
              <w:spacing w:line="240" w:lineRule="auto"/>
              <w:rPr>
                <w:b/>
                <w:bCs/>
              </w:rPr>
            </w:pPr>
            <w:r>
              <w:t xml:space="preserve">Este posibil să auziți sau să simțiți un clic.  </w:t>
            </w:r>
          </w:p>
        </w:tc>
      </w:tr>
      <w:tr w:rsidR="00C04CAD" w14:paraId="598D2654" w14:textId="77777777">
        <w:trPr>
          <w:cantSplit/>
          <w:trHeight w:val="57"/>
        </w:trPr>
        <w:tc>
          <w:tcPr>
            <w:tcW w:w="383" w:type="pct"/>
            <w:tcBorders>
              <w:top w:val="nil"/>
              <w:bottom w:val="nil"/>
              <w:right w:val="nil"/>
            </w:tcBorders>
            <w:tcMar>
              <w:top w:w="28" w:type="dxa"/>
              <w:left w:w="57" w:type="dxa"/>
              <w:bottom w:w="28" w:type="dxa"/>
              <w:right w:w="57" w:type="dxa"/>
            </w:tcMar>
          </w:tcPr>
          <w:p w14:paraId="08F074B0"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0BB92A01" w14:textId="77777777" w:rsidR="00C04CAD" w:rsidRDefault="00060E34">
            <w:pPr>
              <w:spacing w:line="240" w:lineRule="auto"/>
              <w:rPr>
                <w:b/>
                <w:bCs/>
              </w:rPr>
            </w:pPr>
            <w:r>
              <w:t>Ridicați pen-ul preumplut de pe piele.</w:t>
            </w:r>
          </w:p>
        </w:tc>
      </w:tr>
      <w:tr w:rsidR="00C04CAD" w14:paraId="279F9B30" w14:textId="77777777">
        <w:trPr>
          <w:cantSplit/>
          <w:trHeight w:val="57"/>
        </w:trPr>
        <w:tc>
          <w:tcPr>
            <w:tcW w:w="383" w:type="pct"/>
            <w:tcBorders>
              <w:top w:val="nil"/>
              <w:bottom w:val="nil"/>
              <w:right w:val="nil"/>
            </w:tcBorders>
            <w:tcMar>
              <w:top w:w="28" w:type="dxa"/>
              <w:left w:w="57" w:type="dxa"/>
              <w:bottom w:w="28" w:type="dxa"/>
              <w:right w:w="57" w:type="dxa"/>
            </w:tcMar>
          </w:tcPr>
          <w:p w14:paraId="170446AD"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1A180C61" w14:textId="77777777" w:rsidR="00C04CAD" w:rsidRDefault="00060E34">
            <w:pPr>
              <w:tabs>
                <w:tab w:val="left" w:pos="1134"/>
              </w:tabs>
              <w:spacing w:line="240" w:lineRule="auto"/>
            </w:pPr>
            <w:r>
              <w:t>Elementul de protecție de culoare crem se blochează în jurul acului.</w:t>
            </w:r>
          </w:p>
        </w:tc>
      </w:tr>
      <w:tr w:rsidR="00C04CAD" w14:paraId="007F35F4"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311151E3" w14:textId="77777777" w:rsidR="00C04CAD" w:rsidRDefault="00060E34">
            <w:pPr>
              <w:tabs>
                <w:tab w:val="left" w:pos="1134"/>
              </w:tabs>
              <w:spacing w:line="240" w:lineRule="auto"/>
            </w:pPr>
            <w:r>
              <w:rPr>
                <w:noProof/>
              </w:rPr>
              <mc:AlternateContent>
                <mc:Choice Requires="wps">
                  <w:drawing>
                    <wp:anchor distT="45720" distB="45720" distL="114300" distR="114300" simplePos="0" relativeHeight="251701248" behindDoc="0" locked="0" layoutInCell="1" allowOverlap="1" wp14:anchorId="31D0E42B" wp14:editId="35CE0396">
                      <wp:simplePos x="0" y="0"/>
                      <wp:positionH relativeFrom="column">
                        <wp:posOffset>13970</wp:posOffset>
                      </wp:positionH>
                      <wp:positionV relativeFrom="paragraph">
                        <wp:posOffset>38100</wp:posOffset>
                      </wp:positionV>
                      <wp:extent cx="5491480" cy="616585"/>
                      <wp:effectExtent l="0" t="0" r="0" b="0"/>
                      <wp:wrapSquare wrapText="bothSides"/>
                      <wp:docPr id="7690827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16585"/>
                              </a:xfrm>
                              <a:prstGeom prst="rect">
                                <a:avLst/>
                              </a:prstGeom>
                              <a:solidFill>
                                <a:srgbClr val="FFFFFF"/>
                              </a:solidFill>
                              <a:ln w="19050">
                                <a:solidFill>
                                  <a:srgbClr val="FF0000"/>
                                </a:solidFill>
                                <a:miter lim="800000"/>
                              </a:ln>
                            </wps:spPr>
                            <wps:txbx>
                              <w:txbxContent>
                                <w:p w14:paraId="13B9A39E" w14:textId="77777777" w:rsidR="00C04CAD" w:rsidRDefault="00060E34">
                                  <w:pPr>
                                    <w:spacing w:line="240" w:lineRule="auto"/>
                                    <w:rPr>
                                      <w:szCs w:val="22"/>
                                    </w:rPr>
                                  </w:pPr>
                                  <w:r>
                                    <w:rPr>
                                      <w:b/>
                                      <w:bCs/>
                                      <w:szCs w:val="22"/>
                                    </w:rPr>
                                    <w:t>Important:</w:t>
                                  </w:r>
                                  <w:r>
                                    <w:rPr>
                                      <w:szCs w:val="22"/>
                                    </w:rPr>
                                    <w:t xml:space="preserve"> Dacă fereastra nu a devenit </w:t>
                                  </w:r>
                                  <w:ins w:id="412" w:author="Author">
                                    <w:r>
                                      <w:rPr>
                                        <w:szCs w:val="22"/>
                                      </w:rPr>
                                      <w:t xml:space="preserve">complet </w:t>
                                    </w:r>
                                  </w:ins>
                                  <w:r>
                                    <w:rPr>
                                      <w:szCs w:val="22"/>
                                    </w:rPr>
                                    <w:t xml:space="preserve">galbenă sau dacă se pare că medicamentul iese în continuare, nu ați primit o doză completă. Contactați-vă </w:t>
                                  </w:r>
                                  <w:del w:id="413" w:author="Author">
                                    <w:r>
                                      <w:rPr>
                                        <w:szCs w:val="22"/>
                                      </w:rPr>
                                      <w:delText xml:space="preserve">imediat </w:delText>
                                    </w:r>
                                  </w:del>
                                  <w:ins w:id="414" w:author="Author">
                                    <w:r>
                                      <w:rPr>
                                        <w:szCs w:val="22"/>
                                      </w:rPr>
                                      <w:t xml:space="preserve">fără întârziere </w:t>
                                    </w:r>
                                  </w:ins>
                                  <w:r>
                                    <w:rPr>
                                      <w:szCs w:val="22"/>
                                    </w:rPr>
                                    <w:t>medicul sau furnizorul de servicii medicale.</w:t>
                                  </w:r>
                                </w:p>
                              </w:txbxContent>
                            </wps:txbx>
                            <wps:bodyPr rot="0" vert="horz" wrap="square" lIns="91440" tIns="45720" rIns="91440" bIns="45720" anchor="t" anchorCtr="0">
                              <a:noAutofit/>
                            </wps:bodyPr>
                          </wps:wsp>
                        </a:graphicData>
                      </a:graphic>
                    </wp:anchor>
                  </w:drawing>
                </mc:Choice>
                <mc:Fallback>
                  <w:pict>
                    <v:shape w14:anchorId="31D0E42B" id="Text Box 3" o:spid="_x0000_s1051" type="#_x0000_t202" style="position:absolute;margin-left:1.1pt;margin-top:3pt;width:432.4pt;height:48.55pt;z-index:2517012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mIfCAIAABAEAAAOAAAAZHJzL2Uyb0RvYy54bWysU9uO2yAQfa/Uf0C8N3aiJM1acVbbrFJV&#10;2l6kbT8AYxyjYoYOJPb26zsQJ5te1IeqPCCGGQ5zzsysb4fOsKNCr8GWfDrJOVNWQq3tvuRfPu9e&#10;rTjzQdhaGLCq5E/K89vNyxfr3hVqBi2YWiEjEOuL3pW8DcEVWeZlqzrhJ+CUJWcD2IlAJu6zGkVP&#10;6J3JZnm+zHrA2iFI5T3d3p+cfJPwm0bJ8LFpvArMlJxyC2nHtFdxzzZrUexRuFbLMQ3xD1l0Qlv6&#10;9AJ1L4JgB9S/QXVaInhowkRCl0HTaKkSB2IzzX9h89gKpxIXEse7i0z+/8HKD8dH9wlZGN7AQAVM&#10;JLx7APnVMwvbVti9ukOEvlWipo+nUbKsd74Yn0apfeEjSNW/h5qKLA4BEtDQYBdVIZ6M0KkATxfR&#10;1RCYpMvF/GY6X5FLkm85XS5Wi/SFKM6vHfrwVkHH4qHkSEVN6OL44EPMRhTnkPiZB6PrnTYmGbiv&#10;tgbZUVAD7NIa0X8KM5b1xO0mX+QnBf6CkdP6E0anA7Wy0V3JVzHmHGTsKFjU6KRWGKqB6brks8Q1&#10;ClhB/UQSIpxalEaKDi3gd856as+S+28HgYoz885SGUizeeznZMwXr2dk4LWnuvYIKwmq5IGz03Eb&#10;0gxEhSzcUbkanZR8zmTMmdouCTyOSOzraztFPQ/y5gcAAAD//wMAUEsDBBQABgAIAAAAIQBouwr4&#10;3AAAAAcBAAAPAAAAZHJzL2Rvd25yZXYueG1sTI/BTsMwDIbvSLxDZCRuLF2RSilNpwnYgcsQG9zT&#10;xrSFxKmSbCs8PeYEN1v/p9+f69XsrDhiiKMnBctFBgKp82akXsHrfnNVgohJk9HWEyr4wgir5vys&#10;1pXxJ3rB4y71gksoVlrBkNJUSRm7AZ2OCz8hcfbug9OJ19BLE/SJy52VeZYV0umR+MKgJ7wfsPvc&#10;HZyCh669/bDf3oXnp225XT9uyr18U+ryYl7fgUg4pz8YfvVZHRp2av2BTBRWQZ4zqKDghzgtixse&#10;Wsay6yXIppb//ZsfAAAA//8DAFBLAQItABQABgAIAAAAIQC2gziS/gAAAOEBAAATAAAAAAAAAAAA&#10;AAAAAAAAAABbQ29udGVudF9UeXBlc10ueG1sUEsBAi0AFAAGAAgAAAAhADj9If/WAAAAlAEAAAsA&#10;AAAAAAAAAAAAAAAALwEAAF9yZWxzLy5yZWxzUEsBAi0AFAAGAAgAAAAhACjSYh8IAgAAEAQAAA4A&#10;AAAAAAAAAAAAAAAALgIAAGRycy9lMm9Eb2MueG1sUEsBAi0AFAAGAAgAAAAhAGi7CvjcAAAABwEA&#10;AA8AAAAAAAAAAAAAAAAAYgQAAGRycy9kb3ducmV2LnhtbFBLBQYAAAAABAAEAPMAAABrBQAAAAA=&#10;" strokecolor="red" strokeweight="1.5pt">
                      <v:textbox>
                        <w:txbxContent>
                          <w:p w14:paraId="13B9A39E" w14:textId="77777777" w:rsidR="00C04CAD" w:rsidRDefault="00060E34">
                            <w:pPr>
                              <w:spacing w:line="240" w:lineRule="auto"/>
                              <w:rPr>
                                <w:szCs w:val="22"/>
                              </w:rPr>
                            </w:pPr>
                            <w:r>
                              <w:rPr>
                                <w:b/>
                                <w:bCs/>
                                <w:szCs w:val="22"/>
                              </w:rPr>
                              <w:t>Important:</w:t>
                            </w:r>
                            <w:r>
                              <w:rPr>
                                <w:szCs w:val="22"/>
                              </w:rPr>
                              <w:t xml:space="preserve"> Dacă fereastra nu a devenit </w:t>
                            </w:r>
                            <w:ins w:id="438" w:author="Author">
                              <w:r>
                                <w:rPr>
                                  <w:szCs w:val="22"/>
                                </w:rPr>
                                <w:t xml:space="preserve">complet </w:t>
                              </w:r>
                            </w:ins>
                            <w:r>
                              <w:rPr>
                                <w:szCs w:val="22"/>
                              </w:rPr>
                              <w:t xml:space="preserve">galbenă sau dacă se pare că medicamentul iese în continuare, nu ați primit o doză completă. Contactați-vă </w:t>
                            </w:r>
                            <w:del w:id="439" w:author="Author">
                              <w:r>
                                <w:rPr>
                                  <w:szCs w:val="22"/>
                                </w:rPr>
                                <w:delText xml:space="preserve">imediat </w:delText>
                              </w:r>
                            </w:del>
                            <w:ins w:id="440" w:author="Author">
                              <w:r>
                                <w:rPr>
                                  <w:szCs w:val="22"/>
                                </w:rPr>
                                <w:t xml:space="preserve">fără întârziere </w:t>
                              </w:r>
                            </w:ins>
                            <w:r>
                              <w:rPr>
                                <w:szCs w:val="22"/>
                              </w:rPr>
                              <w:t>medicul sau furnizorul de servicii medicale.</w:t>
                            </w:r>
                          </w:p>
                        </w:txbxContent>
                      </v:textbox>
                      <w10:wrap type="square"/>
                    </v:shape>
                  </w:pict>
                </mc:Fallback>
              </mc:AlternateContent>
            </w:r>
          </w:p>
        </w:tc>
      </w:tr>
    </w:tbl>
    <w:p w14:paraId="2B4585DE" w14:textId="77777777" w:rsidR="00C04CAD" w:rsidRDefault="00C04CAD">
      <w:pPr>
        <w:tabs>
          <w:tab w:val="left" w:pos="1134"/>
        </w:tabs>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C04CAD" w14:paraId="40F6A35D" w14:textId="77777777">
        <w:trPr>
          <w:cantSplit/>
          <w:trHeight w:val="57"/>
        </w:trPr>
        <w:tc>
          <w:tcPr>
            <w:tcW w:w="383" w:type="pct"/>
            <w:tcBorders>
              <w:bottom w:val="single" w:sz="4" w:space="0" w:color="auto"/>
            </w:tcBorders>
            <w:tcMar>
              <w:top w:w="28" w:type="dxa"/>
              <w:left w:w="57" w:type="dxa"/>
              <w:bottom w:w="28" w:type="dxa"/>
              <w:right w:w="57" w:type="dxa"/>
            </w:tcMar>
          </w:tcPr>
          <w:p w14:paraId="252D6048" w14:textId="77777777" w:rsidR="00C04CAD" w:rsidRDefault="00060E34">
            <w:pPr>
              <w:tabs>
                <w:tab w:val="left" w:pos="1134"/>
              </w:tabs>
              <w:spacing w:line="240" w:lineRule="auto"/>
            </w:pPr>
            <w:r>
              <w:rPr>
                <w:b/>
                <w:bCs/>
              </w:rPr>
              <w:t>5</w:t>
            </w:r>
          </w:p>
        </w:tc>
        <w:tc>
          <w:tcPr>
            <w:tcW w:w="4617" w:type="pct"/>
            <w:tcBorders>
              <w:bottom w:val="single" w:sz="4" w:space="0" w:color="auto"/>
            </w:tcBorders>
          </w:tcPr>
          <w:p w14:paraId="58D365D6" w14:textId="77777777" w:rsidR="00C04CAD" w:rsidRDefault="00060E34">
            <w:pPr>
              <w:tabs>
                <w:tab w:val="left" w:pos="1134"/>
              </w:tabs>
              <w:spacing w:line="240" w:lineRule="auto"/>
              <w:ind w:left="567" w:hanging="567"/>
            </w:pPr>
            <w:r>
              <w:rPr>
                <w:b/>
              </w:rPr>
              <w:t xml:space="preserve">Eliminarea la deșeuri </w:t>
            </w:r>
            <w:del w:id="415" w:author="Author">
              <w:r>
                <w:rPr>
                  <w:b/>
                </w:rPr>
                <w:delText>și finalizare</w:delText>
              </w:r>
            </w:del>
            <w:r>
              <w:rPr>
                <w:b/>
              </w:rPr>
              <w:t>a</w:t>
            </w:r>
            <w:r>
              <w:rPr>
                <w:b/>
                <w:bCs/>
              </w:rPr>
              <w:t xml:space="preserve"> AMGEVITA</w:t>
            </w:r>
            <w:ins w:id="416" w:author="Author">
              <w:r>
                <w:rPr>
                  <w:b/>
                  <w:bCs/>
                </w:rPr>
                <w:t xml:space="preserve"> și verificarea locului injectării</w:t>
              </w:r>
            </w:ins>
          </w:p>
        </w:tc>
      </w:tr>
      <w:tr w:rsidR="00C04CAD" w14:paraId="211D7E0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0E5F60F" w14:textId="77777777" w:rsidR="00C04CAD" w:rsidRDefault="00060E34">
            <w:pPr>
              <w:pStyle w:val="ListParagraph"/>
              <w:tabs>
                <w:tab w:val="left" w:pos="0"/>
              </w:tabs>
              <w:spacing w:line="240" w:lineRule="auto"/>
              <w:ind w:left="0"/>
              <w:jc w:val="center"/>
              <w:rPr>
                <w:b/>
                <w:bCs/>
              </w:rPr>
            </w:pPr>
            <w:r>
              <w:rPr>
                <w:noProof/>
              </w:rPr>
              <w:drawing>
                <wp:anchor distT="0" distB="0" distL="114300" distR="114300" simplePos="0" relativeHeight="251704320" behindDoc="0" locked="0" layoutInCell="1" allowOverlap="1" wp14:anchorId="3B6C73A6" wp14:editId="4A9D7F32">
                  <wp:simplePos x="0" y="0"/>
                  <wp:positionH relativeFrom="column">
                    <wp:posOffset>1467485</wp:posOffset>
                  </wp:positionH>
                  <wp:positionV relativeFrom="paragraph">
                    <wp:posOffset>2540</wp:posOffset>
                  </wp:positionV>
                  <wp:extent cx="2741295" cy="1701800"/>
                  <wp:effectExtent l="0" t="0" r="0" b="0"/>
                  <wp:wrapTopAndBottom/>
                  <wp:docPr id="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741295" cy="1701800"/>
                          </a:xfrm>
                          <a:prstGeom prst="rect">
                            <a:avLst/>
                          </a:prstGeom>
                          <a:noFill/>
                        </pic:spPr>
                      </pic:pic>
                    </a:graphicData>
                  </a:graphic>
                </wp:anchor>
              </w:drawing>
            </w:r>
          </w:p>
        </w:tc>
      </w:tr>
      <w:tr w:rsidR="00C04CAD" w14:paraId="4E001222"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0378D7EB" w14:textId="77777777" w:rsidR="00C04CAD" w:rsidRDefault="00060E34">
            <w:pPr>
              <w:spacing w:line="240" w:lineRule="auto"/>
            </w:pPr>
            <w:r>
              <w:rPr>
                <w:noProof/>
              </w:rPr>
              <mc:AlternateContent>
                <mc:Choice Requires="wps">
                  <w:drawing>
                    <wp:anchor distT="45720" distB="45720" distL="114300" distR="114300" simplePos="0" relativeHeight="251695104" behindDoc="0" locked="0" layoutInCell="1" allowOverlap="1" wp14:anchorId="17257D7B" wp14:editId="144B82C5">
                      <wp:simplePos x="0" y="0"/>
                      <wp:positionH relativeFrom="margin">
                        <wp:posOffset>-2540</wp:posOffset>
                      </wp:positionH>
                      <wp:positionV relativeFrom="paragraph">
                        <wp:posOffset>18415</wp:posOffset>
                      </wp:positionV>
                      <wp:extent cx="5566410" cy="271145"/>
                      <wp:effectExtent l="0" t="0" r="0" b="0"/>
                      <wp:wrapSquare wrapText="bothSides"/>
                      <wp:docPr id="1215995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06C2A6C6" w14:textId="77777777" w:rsidR="00C04CAD" w:rsidRDefault="00060E34">
                                  <w:pPr>
                                    <w:tabs>
                                      <w:tab w:val="left" w:pos="1134"/>
                                    </w:tabs>
                                    <w:spacing w:line="240" w:lineRule="auto"/>
                                  </w:pPr>
                                  <w:r>
                                    <w:rPr>
                                      <w:b/>
                                      <w:bCs/>
                                    </w:rPr>
                                    <w:t xml:space="preserve">Important: </w:t>
                                  </w:r>
                                  <w:r>
                                    <w:rPr>
                                      <w:bCs/>
                                    </w:rPr>
                                    <w:t>Nu</w:t>
                                  </w:r>
                                  <w:r>
                                    <w:t xml:space="preserve"> eliminați pen-ul preumplut </w:t>
                                  </w:r>
                                  <w:del w:id="417" w:author="Author">
                                    <w:r>
                                      <w:delText xml:space="preserve">în </w:delText>
                                    </w:r>
                                  </w:del>
                                  <w:ins w:id="418" w:author="Author">
                                    <w:r>
                                      <w:t xml:space="preserve">împreună cu </w:t>
                                    </w:r>
                                  </w:ins>
                                  <w:r>
                                    <w:t>deșeurile menajere.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7257D7B" id="Text Box 2" o:spid="_x0000_s1052" type="#_x0000_t202" style="position:absolute;margin-left:-.2pt;margin-top:1.45pt;width:438.3pt;height:21.35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NvCA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Yb4LiJS&#10;FLCG5pkkRDi0KI0UHTrA75wN1J4V9992AhVn5r2lMtwUs1ns52TM5ldTMvDSU196hJUEVfHA2eG4&#10;DmkGkkLujsq10UnJl0yOOVPbJYGPIxL7+tJOUS+DvPoB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hP5zbwgCAAAQBAAADgAA&#10;AAAAAAAAAAAAAAAuAgAAZHJzL2Uyb0RvYy54bWxQSwECLQAUAAYACAAAACEAYnhH1tsAAAAGAQAA&#10;DwAAAAAAAAAAAAAAAABiBAAAZHJzL2Rvd25yZXYueG1sUEsFBgAAAAAEAAQA8wAAAGoFAAAAAA==&#10;" strokecolor="red" strokeweight="1.5pt">
                      <v:textbox style="mso-fit-shape-to-text:t">
                        <w:txbxContent>
                          <w:p w14:paraId="06C2A6C6" w14:textId="77777777" w:rsidR="00C04CAD" w:rsidRDefault="00060E34">
                            <w:pPr>
                              <w:tabs>
                                <w:tab w:val="left" w:pos="1134"/>
                              </w:tabs>
                              <w:spacing w:line="240" w:lineRule="auto"/>
                            </w:pPr>
                            <w:r>
                              <w:rPr>
                                <w:b/>
                                <w:bCs/>
                              </w:rPr>
                              <w:t xml:space="preserve">Important: </w:t>
                            </w:r>
                            <w:r>
                              <w:rPr>
                                <w:bCs/>
                              </w:rPr>
                              <w:t>Nu</w:t>
                            </w:r>
                            <w:r>
                              <w:t xml:space="preserve"> eliminați pen-ul preumplut </w:t>
                            </w:r>
                            <w:del w:id="445" w:author="Author">
                              <w:r>
                                <w:delText xml:space="preserve">în </w:delText>
                              </w:r>
                            </w:del>
                            <w:ins w:id="446" w:author="Author">
                              <w:r>
                                <w:t xml:space="preserve">împreună cu </w:t>
                              </w:r>
                            </w:ins>
                            <w:r>
                              <w:t>deșeurile menajere.</w:t>
                            </w:r>
                          </w:p>
                        </w:txbxContent>
                      </v:textbox>
                      <w10:wrap type="square" anchorx="margin"/>
                    </v:shape>
                  </w:pict>
                </mc:Fallback>
              </mc:AlternateContent>
            </w:r>
          </w:p>
        </w:tc>
      </w:tr>
      <w:tr w:rsidR="00C04CAD" w14:paraId="7B7D422A"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3C4924B" w14:textId="77777777" w:rsidR="00C04CAD" w:rsidRDefault="00060E34">
            <w:pPr>
              <w:tabs>
                <w:tab w:val="clear" w:pos="567"/>
              </w:tabs>
              <w:spacing w:line="240" w:lineRule="auto"/>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572D2F52" w14:textId="77777777" w:rsidR="00C04CAD" w:rsidRDefault="00060E34">
            <w:pPr>
              <w:spacing w:line="240" w:lineRule="auto"/>
              <w:rPr>
                <w:b/>
                <w:bCs/>
              </w:rPr>
            </w:pPr>
            <w:r>
              <w:rPr>
                <w:b/>
              </w:rPr>
              <w:t>Puneţi pen-ul preumplut folosit și capacul galben în recipientul pentru eliminarea la deșeuri a obiectelor ascuţite</w:t>
            </w:r>
            <w:ins w:id="419" w:author="Author">
              <w:r>
                <w:rPr>
                  <w:b/>
                </w:rPr>
                <w:t xml:space="preserve"> imediat după utilizare.</w:t>
              </w:r>
            </w:ins>
          </w:p>
        </w:tc>
      </w:tr>
      <w:tr w:rsidR="00C04CAD" w14:paraId="20E853F9"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F603C3F"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79F40171" w14:textId="77777777" w:rsidR="00C04CAD" w:rsidRDefault="00060E34">
            <w:pPr>
              <w:spacing w:line="240" w:lineRule="auto"/>
              <w:rPr>
                <w:b/>
                <w:bCs/>
              </w:rPr>
            </w:pPr>
            <w:r>
              <w:rPr>
                <w:b/>
              </w:rPr>
              <w:t>Nu</w:t>
            </w:r>
            <w:r>
              <w:t xml:space="preserve"> refolosiți pen-ul preumplut</w:t>
            </w:r>
            <w:ins w:id="420" w:author="Author">
              <w:r>
                <w:t>.</w:t>
              </w:r>
            </w:ins>
          </w:p>
        </w:tc>
      </w:tr>
      <w:tr w:rsidR="00C04CAD" w14:paraId="0C1D998A" w14:textId="77777777">
        <w:trPr>
          <w:cantSplit/>
          <w:trHeight w:val="57"/>
        </w:trPr>
        <w:tc>
          <w:tcPr>
            <w:tcW w:w="383" w:type="pct"/>
            <w:tcBorders>
              <w:top w:val="nil"/>
              <w:bottom w:val="nil"/>
              <w:right w:val="nil"/>
            </w:tcBorders>
            <w:tcMar>
              <w:top w:w="28" w:type="dxa"/>
              <w:left w:w="57" w:type="dxa"/>
              <w:bottom w:w="28" w:type="dxa"/>
              <w:right w:w="57" w:type="dxa"/>
            </w:tcMar>
          </w:tcPr>
          <w:p w14:paraId="0BEA3E1E"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nil"/>
            </w:tcBorders>
            <w:tcMar>
              <w:left w:w="0" w:type="dxa"/>
            </w:tcMar>
          </w:tcPr>
          <w:p w14:paraId="345DC364" w14:textId="77777777" w:rsidR="00C04CAD" w:rsidRDefault="00060E34">
            <w:pPr>
              <w:spacing w:line="240" w:lineRule="auto"/>
              <w:rPr>
                <w:b/>
                <w:bCs/>
              </w:rPr>
            </w:pPr>
            <w:r>
              <w:rPr>
                <w:b/>
              </w:rPr>
              <w:t>Nu</w:t>
            </w:r>
            <w:r>
              <w:t xml:space="preserve"> atingeți elementul de protecție de culoare crem</w:t>
            </w:r>
            <w:ins w:id="421" w:author="Author">
              <w:r>
                <w:t>.</w:t>
              </w:r>
            </w:ins>
          </w:p>
        </w:tc>
      </w:tr>
      <w:tr w:rsidR="00C04CAD" w14:paraId="20622051"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6697FE2D" w14:textId="77777777" w:rsidR="00C04CAD" w:rsidRDefault="00060E34">
            <w:pPr>
              <w:tabs>
                <w:tab w:val="clear" w:pos="567"/>
              </w:tabs>
              <w:spacing w:line="240" w:lineRule="auto"/>
            </w:pPr>
            <w:r>
              <w:rPr>
                <w:b/>
                <w:bCs/>
              </w:rPr>
              <w:t>5b</w:t>
            </w:r>
          </w:p>
        </w:tc>
        <w:tc>
          <w:tcPr>
            <w:tcW w:w="4617" w:type="pct"/>
            <w:tcBorders>
              <w:top w:val="single" w:sz="4" w:space="0" w:color="auto"/>
              <w:left w:val="single" w:sz="4" w:space="0" w:color="auto"/>
              <w:bottom w:val="single" w:sz="4" w:space="0" w:color="auto"/>
            </w:tcBorders>
            <w:tcMar>
              <w:left w:w="0" w:type="dxa"/>
            </w:tcMar>
          </w:tcPr>
          <w:p w14:paraId="6FFEE347" w14:textId="77777777" w:rsidR="00C04CAD" w:rsidRDefault="00060E34">
            <w:pPr>
              <w:spacing w:line="240" w:lineRule="auto"/>
              <w:rPr>
                <w:b/>
                <w:bCs/>
              </w:rPr>
            </w:pPr>
            <w:r>
              <w:rPr>
                <w:b/>
              </w:rPr>
              <w:t>Verificați locul injectării</w:t>
            </w:r>
            <w:r>
              <w:rPr>
                <w:b/>
                <w:bCs/>
              </w:rPr>
              <w:t>.</w:t>
            </w:r>
          </w:p>
        </w:tc>
      </w:tr>
      <w:tr w:rsidR="00C04CAD" w14:paraId="18130CE9"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F7E9146" w14:textId="77777777" w:rsidR="00C04CAD" w:rsidRDefault="00C04CAD">
            <w:pPr>
              <w:numPr>
                <w:ilvl w:val="0"/>
                <w:numId w:val="102"/>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65982011" w14:textId="77777777" w:rsidR="00C04CAD" w:rsidRDefault="00060E34">
            <w:pPr>
              <w:spacing w:line="240" w:lineRule="auto"/>
              <w:rPr>
                <w:b/>
                <w:bCs/>
              </w:rPr>
            </w:pPr>
            <w:r>
              <w:rPr>
                <w:b/>
              </w:rPr>
              <w:t>Nu</w:t>
            </w:r>
            <w:r>
              <w:t xml:space="preserve"> frecaţi locul injectării. </w:t>
            </w:r>
          </w:p>
        </w:tc>
      </w:tr>
      <w:tr w:rsidR="00C04CAD" w14:paraId="7FF84C54"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DE30D3A" w14:textId="77777777" w:rsidR="00C04CAD" w:rsidRDefault="00C04CAD">
            <w:pPr>
              <w:numPr>
                <w:ilvl w:val="0"/>
                <w:numId w:val="102"/>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7A7F47F4" w14:textId="77777777" w:rsidR="00C04CAD" w:rsidRDefault="00060E34">
            <w:pPr>
              <w:spacing w:line="240" w:lineRule="auto"/>
              <w:rPr>
                <w:b/>
                <w:bCs/>
              </w:rPr>
            </w:pPr>
            <w:r>
              <w:t xml:space="preserve">Dacă există sânge, </w:t>
            </w:r>
            <w:r>
              <w:rPr>
                <w:color w:val="000000"/>
                <w:szCs w:val="22"/>
                <w:lang w:eastAsia="en-US" w:bidi="ar-SA"/>
              </w:rPr>
              <w:t>țineți apăsat un tampon de vată sau o compresă de tifon</w:t>
            </w:r>
            <w:r>
              <w:t xml:space="preserve"> pe locul injectării. Aplicați un plasture, dacă este necesar.</w:t>
            </w:r>
          </w:p>
        </w:tc>
      </w:tr>
    </w:tbl>
    <w:p w14:paraId="739539E9" w14:textId="77777777" w:rsidR="00C04CAD" w:rsidRDefault="00C04CAD">
      <w:pPr>
        <w:numPr>
          <w:ilvl w:val="12"/>
          <w:numId w:val="0"/>
        </w:numPr>
        <w:tabs>
          <w:tab w:val="clear" w:pos="567"/>
        </w:tabs>
        <w:spacing w:line="240" w:lineRule="auto"/>
      </w:pPr>
    </w:p>
    <w:sectPr w:rsidR="00C04CAD">
      <w:footerReference w:type="even" r:id="rId103"/>
      <w:footerReference w:type="default" r:id="rId104"/>
      <w:footerReference w:type="first" r:id="rId105"/>
      <w:endnotePr>
        <w:numFmt w:val="decimal"/>
      </w:endnotePr>
      <w:pgSz w:w="11907" w:h="16840"/>
      <w:pgMar w:top="1134" w:right="1418" w:bottom="1134" w:left="1418"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33B3FF" w14:textId="77777777" w:rsidR="00391E6C" w:rsidRDefault="00391E6C">
      <w:pPr>
        <w:spacing w:line="240" w:lineRule="auto"/>
      </w:pPr>
      <w:r>
        <w:separator/>
      </w:r>
    </w:p>
  </w:endnote>
  <w:endnote w:type="continuationSeparator" w:id="0">
    <w:p w14:paraId="78CB658B" w14:textId="77777777" w:rsidR="00391E6C" w:rsidRDefault="00391E6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Georgia-Bold">
    <w:altName w:val="Georgia"/>
    <w:panose1 w:val="00000000000000000000"/>
    <w:charset w:val="4D"/>
    <w:family w:val="auto"/>
    <w:notTrueType/>
    <w:pitch w:val="default"/>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ingLiU_HKSCS-ExtB">
    <w:panose1 w:val="02020500000000000000"/>
    <w:charset w:val="88"/>
    <w:family w:val="roman"/>
    <w:pitch w:val="variable"/>
    <w:sig w:usb0="8000002F" w:usb1="0A080008" w:usb2="00000010" w:usb3="00000000" w:csb0="00100001" w:csb1="00000000"/>
  </w:font>
  <w:font w:name="EUAlbertina">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Times New Roman Bold">
    <w:altName w:val="Times New Roman"/>
    <w:panose1 w:val="02020803070505020304"/>
    <w:charset w:val="00"/>
    <w:family w:val="roman"/>
    <w:pitch w:val="default"/>
    <w:sig w:usb0="00000000" w:usb1="00000000" w:usb2="00000000" w:usb3="00000000" w:csb0="0061004D" w:csb1="006C0072"/>
  </w:font>
  <w:font w:name="CG Times">
    <w:altName w:val="Times New Roman"/>
    <w:panose1 w:val="00000000000000000000"/>
    <w:charset w:val="00"/>
    <w:family w:val="roman"/>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CAB87" w14:textId="4125ED8E" w:rsidR="00F803F7" w:rsidRDefault="00F803F7">
    <w:pPr>
      <w:pStyle w:val="Footer"/>
    </w:pPr>
    <w:r>
      <w:rPr>
        <w:noProof/>
      </w:rPr>
      <mc:AlternateContent>
        <mc:Choice Requires="wps">
          <w:drawing>
            <wp:anchor distT="0" distB="0" distL="0" distR="0" simplePos="0" relativeHeight="251659264" behindDoc="0" locked="0" layoutInCell="1" allowOverlap="1" wp14:anchorId="671745D0" wp14:editId="2DB700E6">
              <wp:simplePos x="635" y="635"/>
              <wp:positionH relativeFrom="page">
                <wp:align>center</wp:align>
              </wp:positionH>
              <wp:positionV relativeFrom="page">
                <wp:align>bottom</wp:align>
              </wp:positionV>
              <wp:extent cx="2242820" cy="355600"/>
              <wp:effectExtent l="0" t="0" r="5080" b="0"/>
              <wp:wrapNone/>
              <wp:docPr id="28319911" name="Text Box 2"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55600"/>
                      </a:xfrm>
                      <a:prstGeom prst="rect">
                        <a:avLst/>
                      </a:prstGeom>
                      <a:noFill/>
                      <a:ln>
                        <a:noFill/>
                      </a:ln>
                    </wps:spPr>
                    <wps:txbx>
                      <w:txbxContent>
                        <w:p w14:paraId="386D268D" w14:textId="4E6CD3C7"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1745D0" id="_x0000_t202" coordsize="21600,21600" o:spt="202" path="m,l,21600r21600,l21600,xe">
              <v:stroke joinstyle="miter"/>
              <v:path gradientshapeok="t" o:connecttype="rect"/>
            </v:shapetype>
            <v:shape id="_x0000_s1053" type="#_x0000_t202" alt="Internal Use Only Ethics and Compliance" style="position:absolute;margin-left:0;margin-top:0;width:176.6pt;height:28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oHfCwIAABYEAAAOAAAAZHJzL2Uyb0RvYy54bWysU01v2zAMvQ/YfxB0X+x4S9EZcYqsRYYB&#10;QVsgHXqWZSk2IImCpMTOfv0oxU62bqdhF5kmKX6897S8G7QiR+F8B6ai81lOiTAcms7sK/r9ZfPh&#10;lhIfmGmYAiMqehKe3q3ev1v2thQFtKAa4QgWMb7sbUXbEGyZZZ63QjM/AysMBiU4zQL+un3WONZj&#10;da2yIs9vsh5cYx1w4T16H85Bukr1pRQ8PEnpRSCqojhbSKdLZx3PbLVk5d4x23Z8HIP9wxSadQab&#10;Xko9sMDIwXV/lNIdd+BBhhkHnYGUHRdpB9xmnr/ZZtcyK9IuCI63F5j8/yvLH487++xIGL7AgARG&#10;QHrrS4/OuM8gnY5fnJRgHCE8XWATQyAcnUXxqbgtMMQx9nGxuMkTrtn1tnU+fBWgSTQq6pCWhBY7&#10;bn3Ajpg6pcRmBjadUokaZX5zYGL0ZNcRoxWGehjnrqE54ToOzkx7yzcd9twyH56ZQ2pxTJRreMJD&#10;KugrCqNFSQvux9/8MR8RxyglPUqloga1TIn6ZpCJqKrJcJNRJ2P+OV8gFsQc9D2gAOf4FixPJnpd&#10;UJMpHehXFPI6NsIQMxzbVbSezPtw1iw+BC7W65SEArIsbM3O8lg64hRBfBlembMj0gE5eoRJR6x8&#10;A/g5N970dn0ICHtiI2J6BnKEGsWXSBofSlT3r/8p6/qcVz8BAAD//wMAUEsDBBQABgAIAAAAIQBf&#10;duiJ2wAAAAQBAAAPAAAAZHJzL2Rvd25yZXYueG1sTI9Na8MwDIbvg/4Ho8Fuq7OElpHFKaXQU8eg&#10;H5fdXFtNssZyiJ02/ffTdmkvAvG+PHpULEbXigv2ofGk4G2agEAy3jZUKTjs16/vIELUZHXrCRXc&#10;MMCinDwVOrf+Slu87GIlGEIh1wrqGLtcymBqdDpMfYfE2cn3Tkde+0raXl8Z7lqZJslcOt0QX6h1&#10;h6sazXk3OAWzbfwcvmiffY/p7WfTrUx22hilXp7H5QeIiGO8l+FPn9WhZKejH8gG0SrgR+L/5Cyb&#10;ZSmII4PnCciykI/y5S8AAAD//wMAUEsBAi0AFAAGAAgAAAAhALaDOJL+AAAA4QEAABMAAAAAAAAA&#10;AAAAAAAAAAAAAFtDb250ZW50X1R5cGVzXS54bWxQSwECLQAUAAYACAAAACEAOP0h/9YAAACUAQAA&#10;CwAAAAAAAAAAAAAAAAAvAQAAX3JlbHMvLnJlbHNQSwECLQAUAAYACAAAACEAuUqB3wsCAAAWBAAA&#10;DgAAAAAAAAAAAAAAAAAuAgAAZHJzL2Uyb0RvYy54bWxQSwECLQAUAAYACAAAACEAX3boidsAAAAE&#10;AQAADwAAAAAAAAAAAAAAAABlBAAAZHJzL2Rvd25yZXYueG1sUEsFBgAAAAAEAAQA8wAAAG0FAAAA&#10;AA==&#10;" filled="f" stroked="f">
              <v:fill o:detectmouseclick="t"/>
              <v:textbox style="mso-fit-shape-to-text:t" inset="0,0,0,15pt">
                <w:txbxContent>
                  <w:p w14:paraId="386D268D" w14:textId="4E6CD3C7"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20599" w14:textId="7C8F1493" w:rsidR="00C04CAD" w:rsidRDefault="00F803F7">
    <w:pPr>
      <w:pStyle w:val="Footer"/>
      <w:tabs>
        <w:tab w:val="right" w:pos="8931"/>
      </w:tabs>
      <w:spacing w:line="240" w:lineRule="auto"/>
      <w:jc w:val="center"/>
    </w:pPr>
    <w:r>
      <w:rPr>
        <w:noProof/>
      </w:rPr>
      <mc:AlternateContent>
        <mc:Choice Requires="wps">
          <w:drawing>
            <wp:anchor distT="0" distB="0" distL="0" distR="0" simplePos="0" relativeHeight="251660288" behindDoc="0" locked="0" layoutInCell="1" allowOverlap="1" wp14:anchorId="1815397A" wp14:editId="633B2DA7">
              <wp:simplePos x="902970" y="10109835"/>
              <wp:positionH relativeFrom="page">
                <wp:align>center</wp:align>
              </wp:positionH>
              <wp:positionV relativeFrom="page">
                <wp:align>bottom</wp:align>
              </wp:positionV>
              <wp:extent cx="2242820" cy="355600"/>
              <wp:effectExtent l="0" t="0" r="5080" b="0"/>
              <wp:wrapNone/>
              <wp:docPr id="49539640" name="Text Box 3"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55600"/>
                      </a:xfrm>
                      <a:prstGeom prst="rect">
                        <a:avLst/>
                      </a:prstGeom>
                      <a:noFill/>
                      <a:ln>
                        <a:noFill/>
                      </a:ln>
                    </wps:spPr>
                    <wps:txbx>
                      <w:txbxContent>
                        <w:p w14:paraId="568C6673" w14:textId="634329A5"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15397A" id="_x0000_t202" coordsize="21600,21600" o:spt="202" path="m,l,21600r21600,l21600,xe">
              <v:stroke joinstyle="miter"/>
              <v:path gradientshapeok="t" o:connecttype="rect"/>
            </v:shapetype>
            <v:shape id="_x0000_s1054" type="#_x0000_t202" alt="Internal Use Only Ethics and Compliance" style="position:absolute;left:0;text-align:left;margin-left:0;margin-top:0;width:176.6pt;height:28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cWJDQIAAB0EAAAOAAAAZHJzL2Uyb0RvYy54bWysU01v2zAMvQ/YfxB0X+x4S9EacYqsRYYB&#10;QVsgHXpWZCk2IIsCpcTOfv0oJW66bqdhF5kmKX689zS/HTrDDgp9C7bi00nOmbIS6tbuKv7jefXp&#10;mjMfhK2FAasqflSe3y4+fpj3rlQFNGBqhYyKWF/2ruJNCK7MMi8b1Qk/AacsBTVgJwL94i6rUfRU&#10;vTNZkedXWQ9YOwSpvCfv/SnIF6m+1kqGR629CsxUnGYL6cR0buOZLeai3KFwTSvPY4h/mKITraWm&#10;r6XuRRBsj+0fpbpWInjQYSKhy0DrVqq0A20zzd9ts2mEU2kXAse7V5j8/ysrHw4b94QsDF9hIAIj&#10;IL3zpSdn3GfQ2MUvTcooThAeX2FTQ2CSnEXxpbguKCQp9nk2u8oTrtnltkMfvinoWDQqjkRLQksc&#10;1j5QR0odU2IzC6vWmESNsb85KDF6ssuI0QrDdmBt/Wb8LdRH2grhRLh3ctVS67Xw4UkgMUzTkmrD&#10;Ix3aQF9xOFucNYA//+aP+QQ8RTnrSTEVtyRpzsx3S4REcY0GjsY2GdObfEaQMLvv7oB0OKUn4WQy&#10;yYvBjKZG6F5Iz8vYiELCSmpX8e1o3oWTdOk9SLVcpiTSkRNhbTdOxtIRrojl8/Ai0J0BD0TVA4xy&#10;EuU73E+58aZ3y30g9BMpEdoTkGfESYOJq/N7iSJ/+5+yLq968QsAAP//AwBQSwMEFAAGAAgAAAAh&#10;AF926InbAAAABAEAAA8AAABkcnMvZG93bnJldi54bWxMj01rwzAMhu+D/gejwW6rs4SWkcUppdBT&#10;x6Afl91cW02yxnKInTb999N2aS8C8b48elQsRteKC/ah8aTgbZqAQDLeNlQpOOzXr+8gQtRkdesJ&#10;FdwwwKKcPBU6t/5KW7zsYiUYQiHXCuoYu1zKYGp0Okx9h8TZyfdOR177StpeXxnuWpkmyVw63RBf&#10;qHWHqxrNeTc4BbNt/By+aJ99j+ntZ9OtTHbaGKVensflB4iIY7yX4U+f1aFkp6MfyAbRKuBH4v/k&#10;LJtlKYgjg+cJyLKQj/LlLwAAAP//AwBQSwECLQAUAAYACAAAACEAtoM4kv4AAADhAQAAEwAAAAAA&#10;AAAAAAAAAAAAAAAAW0NvbnRlbnRfVHlwZXNdLnhtbFBLAQItABQABgAIAAAAIQA4/SH/1gAAAJQB&#10;AAALAAAAAAAAAAAAAAAAAC8BAABfcmVscy8ucmVsc1BLAQItABQABgAIAAAAIQA7icWJDQIAAB0E&#10;AAAOAAAAAAAAAAAAAAAAAC4CAABkcnMvZTJvRG9jLnhtbFBLAQItABQABgAIAAAAIQBfduiJ2wAA&#10;AAQBAAAPAAAAAAAAAAAAAAAAAGcEAABkcnMvZG93bnJldi54bWxQSwUGAAAAAAQABADzAAAAbwUA&#10;AAAA&#10;" filled="f" stroked="f">
              <v:fill o:detectmouseclick="t"/>
              <v:textbox style="mso-fit-shape-to-text:t" inset="0,0,0,15pt">
                <w:txbxContent>
                  <w:p w14:paraId="568C6673" w14:textId="634329A5"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v:textbox>
              <w10:wrap anchorx="page" anchory="page"/>
            </v:shape>
          </w:pict>
        </mc:Fallback>
      </mc:AlternateContent>
    </w:r>
    <w:r w:rsidR="00060E34">
      <w:fldChar w:fldCharType="begin"/>
    </w:r>
    <w:r w:rsidR="00060E34">
      <w:instrText xml:space="preserve"> EQ </w:instrText>
    </w:r>
    <w:r w:rsidR="00060E34">
      <w:fldChar w:fldCharType="end"/>
    </w:r>
    <w:r w:rsidR="00060E34">
      <w:rPr>
        <w:rStyle w:val="PageNumber"/>
        <w:rFonts w:cs="Arial"/>
      </w:rPr>
      <w:fldChar w:fldCharType="begin"/>
    </w:r>
    <w:r w:rsidR="00060E34">
      <w:rPr>
        <w:rStyle w:val="PageNumber"/>
        <w:rFonts w:cs="Arial"/>
      </w:rPr>
      <w:instrText xml:space="preserve">PAGE  </w:instrText>
    </w:r>
    <w:r w:rsidR="00060E34">
      <w:rPr>
        <w:rStyle w:val="PageNumber"/>
        <w:rFonts w:cs="Arial"/>
      </w:rPr>
      <w:fldChar w:fldCharType="separate"/>
    </w:r>
    <w:r w:rsidR="00060E34">
      <w:rPr>
        <w:rStyle w:val="PageNumber"/>
        <w:rFonts w:cs="Arial"/>
      </w:rPr>
      <w:t>280</w:t>
    </w:r>
    <w:r w:rsidR="00060E34">
      <w:rPr>
        <w:rStyle w:val="PageNumbe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4D99C" w14:textId="71CC04FC" w:rsidR="00C04CAD" w:rsidRDefault="00F803F7">
    <w:pPr>
      <w:pStyle w:val="Footer"/>
      <w:tabs>
        <w:tab w:val="right" w:pos="8931"/>
      </w:tabs>
      <w:spacing w:line="240" w:lineRule="auto"/>
      <w:jc w:val="center"/>
    </w:pPr>
    <w:r>
      <w:rPr>
        <w:noProof/>
      </w:rPr>
      <mc:AlternateContent>
        <mc:Choice Requires="wps">
          <w:drawing>
            <wp:anchor distT="0" distB="0" distL="0" distR="0" simplePos="0" relativeHeight="251658240" behindDoc="0" locked="0" layoutInCell="1" allowOverlap="1" wp14:anchorId="3AE82EAF" wp14:editId="11A5BF09">
              <wp:simplePos x="635" y="635"/>
              <wp:positionH relativeFrom="page">
                <wp:align>center</wp:align>
              </wp:positionH>
              <wp:positionV relativeFrom="page">
                <wp:align>bottom</wp:align>
              </wp:positionV>
              <wp:extent cx="2242820" cy="355600"/>
              <wp:effectExtent l="0" t="0" r="5080" b="0"/>
              <wp:wrapNone/>
              <wp:docPr id="1063846724" name="Text Box 1"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55600"/>
                      </a:xfrm>
                      <a:prstGeom prst="rect">
                        <a:avLst/>
                      </a:prstGeom>
                      <a:noFill/>
                      <a:ln>
                        <a:noFill/>
                      </a:ln>
                    </wps:spPr>
                    <wps:txbx>
                      <w:txbxContent>
                        <w:p w14:paraId="28FF3DC0" w14:textId="62F0A6F2"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E82EAF" id="_x0000_t202" coordsize="21600,21600" o:spt="202" path="m,l,21600r21600,l21600,xe">
              <v:stroke joinstyle="miter"/>
              <v:path gradientshapeok="t" o:connecttype="rect"/>
            </v:shapetype>
            <v:shape id="Text Box 1" o:spid="_x0000_s1055" type="#_x0000_t202" alt="Internal Use Only Ethics and Compliance" style="position:absolute;left:0;text-align:left;margin-left:0;margin-top:0;width:176.6pt;height:28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LPDwIAAB0EAAAOAAAAZHJzL2Uyb0RvYy54bWysU8tu2zAQvBfoPxC815LVOkgFy4GbwEUB&#10;IwngFDnTFGUJkLgESVtyv75D2rLbtKeiF2q1u9zHzHB+N3QtOyjrGtIFn05SzpSWVDZ6V/DvL6sP&#10;t5w5L3QpWtKq4Efl+N3i/bt5b3KVUU1tqSxDEe3y3hS89t7kSeJkrTrhJmSURrAi2wmPX7tLSit6&#10;VO/aJEvTm6QnWxpLUjkH78MpyBexflUp6Z+qyinP2oJjNh9PG89tOJPFXOQ7K0zdyPMY4h+m6ESj&#10;0fRS6kF4wfa2+aNU10hLjio/kdQlVFWNVHEHbDNN32yzqYVRcReA48wFJvf/ysrHw8Y8W+aHLzSA&#10;wABIb1zu4Az7DJXtwheTMsQB4fECmxo8k3Bm2afsNkNIIvZxNrtJI67J9baxzn9V1LFgFNyCloiW&#10;OKydR0ekjimhmaZV07aRmlb/5kBi8CTXEYPlh+3AmhKTjONvqTxiK0snwp2Rqwat18L5Z2HBMKaF&#10;av0TjqqlvuB0tjiryf74mz/kA3hEOeuhmIJrSJqz9psGIUFco2FHYxuN6ed0BkiY3nf3BB1O8SSM&#10;jCa81rejWVnqXqHnZWiEkNAS7Qq+Hc17f5Iu3oNUy2VMgo6M8Gu9MTKUDnAFLF+GV2HNGXAPqh5p&#10;lJPI3+B+yg03nVnuPdCPpARoT0CeEYcGI1fn9xJE/ut/zLq+6sVPAAAA//8DAFBLAwQUAAYACAAA&#10;ACEAX3boidsAAAAEAQAADwAAAGRycy9kb3ducmV2LnhtbEyPTWvDMAyG74P+B6PBbquzhJaRxSml&#10;0FPHoB+X3VxbTbLGcoidNv3303ZpLwLxvjx6VCxG14oL9qHxpOBtmoBAMt42VCk47Nev7yBC1GR1&#10;6wkV3DDAopw8FTq3/kpbvOxiJRhCIdcK6hi7XMpganQ6TH2HxNnJ905HXvtK2l5fGe5amSbJXDrd&#10;EF+odYerGs15NzgFs238HL5on32P6e1n061MdtoYpV6ex+UHiIhjvJfhT5/VoWSnox/IBtEq4Efi&#10;/+Qsm2UpiCOD5wnIspCP8uUvAAAA//8DAFBLAQItABQABgAIAAAAIQC2gziS/gAAAOEBAAATAAAA&#10;AAAAAAAAAAAAAAAAAABbQ29udGVudF9UeXBlc10ueG1sUEsBAi0AFAAGAAgAAAAhADj9If/WAAAA&#10;lAEAAAsAAAAAAAAAAAAAAAAALwEAAF9yZWxzLy5yZWxzUEsBAi0AFAAGAAgAAAAhAIxIEs8PAgAA&#10;HQQAAA4AAAAAAAAAAAAAAAAALgIAAGRycy9lMm9Eb2MueG1sUEsBAi0AFAAGAAgAAAAhAF926Inb&#10;AAAABAEAAA8AAAAAAAAAAAAAAAAAaQQAAGRycy9kb3ducmV2LnhtbFBLBQYAAAAABAAEAPMAAABx&#10;BQAAAAA=&#10;" filled="f" stroked="f">
              <v:fill o:detectmouseclick="t"/>
              <v:textbox style="mso-fit-shape-to-text:t" inset="0,0,0,15pt">
                <w:txbxContent>
                  <w:p w14:paraId="28FF3DC0" w14:textId="62F0A6F2" w:rsidR="00F803F7" w:rsidRPr="00F803F7" w:rsidRDefault="00F803F7" w:rsidP="00F803F7">
                    <w:pPr>
                      <w:rPr>
                        <w:rFonts w:ascii="Aptos" w:eastAsia="Aptos" w:hAnsi="Aptos" w:cs="Aptos"/>
                        <w:noProof/>
                        <w:color w:val="000000"/>
                        <w:sz w:val="20"/>
                      </w:rPr>
                    </w:pPr>
                    <w:r w:rsidRPr="00F803F7">
                      <w:rPr>
                        <w:rFonts w:ascii="Aptos" w:eastAsia="Aptos" w:hAnsi="Aptos" w:cs="Aptos"/>
                        <w:noProof/>
                        <w:color w:val="000000"/>
                        <w:sz w:val="20"/>
                      </w:rPr>
                      <w:t>Internal Use Only Ethics and Compliance</w:t>
                    </w:r>
                  </w:p>
                </w:txbxContent>
              </v:textbox>
              <w10:wrap anchorx="page" anchory="page"/>
            </v:shape>
          </w:pict>
        </mc:Fallback>
      </mc:AlternateContent>
    </w:r>
    <w:r w:rsidR="00060E34">
      <w:fldChar w:fldCharType="begin"/>
    </w:r>
    <w:r w:rsidR="00060E34">
      <w:instrText xml:space="preserve"> EQ </w:instrText>
    </w:r>
    <w:r w:rsidR="00060E34">
      <w:fldChar w:fldCharType="end"/>
    </w:r>
    <w:r w:rsidR="00060E34">
      <w:rPr>
        <w:rStyle w:val="PageNumber"/>
        <w:rFonts w:cs="Arial"/>
      </w:rPr>
      <w:fldChar w:fldCharType="begin"/>
    </w:r>
    <w:r w:rsidR="00060E34">
      <w:rPr>
        <w:rStyle w:val="PageNumber"/>
        <w:rFonts w:cs="Arial"/>
      </w:rPr>
      <w:instrText xml:space="preserve">PAGE  </w:instrText>
    </w:r>
    <w:r w:rsidR="00060E34">
      <w:rPr>
        <w:rStyle w:val="PageNumber"/>
        <w:rFonts w:cs="Arial"/>
      </w:rPr>
      <w:fldChar w:fldCharType="separate"/>
    </w:r>
    <w:r w:rsidR="00060E34">
      <w:rPr>
        <w:rStyle w:val="PageNumber"/>
        <w:rFonts w:cs="Arial"/>
      </w:rPr>
      <w:t>1</w:t>
    </w:r>
    <w:r w:rsidR="00060E34">
      <w:rPr>
        <w:rStyle w:val="PageNumber"/>
        <w:rFonts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2FC051" w14:textId="77777777" w:rsidR="00391E6C" w:rsidRDefault="00391E6C">
      <w:pPr>
        <w:spacing w:line="240" w:lineRule="auto"/>
      </w:pPr>
      <w:r>
        <w:separator/>
      </w:r>
    </w:p>
  </w:footnote>
  <w:footnote w:type="continuationSeparator" w:id="0">
    <w:p w14:paraId="7C69D1B5" w14:textId="77777777" w:rsidR="00391E6C" w:rsidRDefault="00391E6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E"/>
    <w:lvl w:ilvl="0">
      <w:numFmt w:val="decimal"/>
      <w:lvlText w:val="*"/>
      <w:lvlJc w:val="left"/>
    </w:lvl>
  </w:abstractNum>
  <w:abstractNum w:abstractNumId="1" w15:restartNumberingAfterBreak="0">
    <w:nsid w:val="00000403"/>
    <w:multiLevelType w:val="multilevel"/>
    <w:tmpl w:val="00000403"/>
    <w:lvl w:ilvl="0">
      <w:numFmt w:val="bullet"/>
      <w:lvlText w:val="•"/>
      <w:lvlJc w:val="left"/>
      <w:pPr>
        <w:ind w:hanging="567"/>
      </w:pPr>
      <w:rPr>
        <w:rFonts w:ascii="Arial" w:eastAsia="SimSun" w:hAnsi="Arial" w:cs="Aria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8"/>
    <w:multiLevelType w:val="multilevel"/>
    <w:tmpl w:val="00000408"/>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6D78C5"/>
    <w:multiLevelType w:val="multilevel"/>
    <w:tmpl w:val="006D78C5"/>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 w15:restartNumberingAfterBreak="0">
    <w:nsid w:val="00B53DDF"/>
    <w:multiLevelType w:val="multilevel"/>
    <w:tmpl w:val="00B53DDF"/>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1665BF6"/>
    <w:multiLevelType w:val="multilevel"/>
    <w:tmpl w:val="01665B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39050C9"/>
    <w:multiLevelType w:val="multilevel"/>
    <w:tmpl w:val="039050C9"/>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8125E36"/>
    <w:multiLevelType w:val="multilevel"/>
    <w:tmpl w:val="08125E36"/>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 w15:restartNumberingAfterBreak="0">
    <w:nsid w:val="08567E47"/>
    <w:multiLevelType w:val="multilevel"/>
    <w:tmpl w:val="08567E47"/>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 w15:restartNumberingAfterBreak="0">
    <w:nsid w:val="087E71EB"/>
    <w:multiLevelType w:val="multilevel"/>
    <w:tmpl w:val="087E71EB"/>
    <w:lvl w:ilvl="0">
      <w:start w:val="1"/>
      <w:numFmt w:val="decimal"/>
      <w:lvlText w:val="%1."/>
      <w:lvlJc w:val="left"/>
      <w:pPr>
        <w:ind w:hanging="562"/>
      </w:pPr>
      <w:rPr>
        <w:rFonts w:ascii="Times New Roman" w:hAnsi="Times New Roman" w:cs="Times New Roman" w:hint="default"/>
        <w:b w:val="0"/>
        <w:bCs w:val="0"/>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12" w15:restartNumberingAfterBreak="0">
    <w:nsid w:val="09C44CC1"/>
    <w:multiLevelType w:val="multilevel"/>
    <w:tmpl w:val="09C44CC1"/>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4" w15:restartNumberingAfterBreak="0">
    <w:nsid w:val="0ADF3603"/>
    <w:multiLevelType w:val="multilevel"/>
    <w:tmpl w:val="0ADF3603"/>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 w15:restartNumberingAfterBreak="0">
    <w:nsid w:val="0D9A79D2"/>
    <w:multiLevelType w:val="multilevel"/>
    <w:tmpl w:val="0D9A79D2"/>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0E0F13D2"/>
    <w:multiLevelType w:val="multilevel"/>
    <w:tmpl w:val="0E0F13D2"/>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15:restartNumberingAfterBreak="0">
    <w:nsid w:val="0E312C9F"/>
    <w:multiLevelType w:val="multilevel"/>
    <w:tmpl w:val="0E312C9F"/>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8" w15:restartNumberingAfterBreak="0">
    <w:nsid w:val="0E586E21"/>
    <w:multiLevelType w:val="multilevel"/>
    <w:tmpl w:val="0E586E21"/>
    <w:lvl w:ilvl="0">
      <w:start w:val="1"/>
      <w:numFmt w:val="decimal"/>
      <w:lvlText w:val="%1."/>
      <w:lvlJc w:val="left"/>
      <w:pPr>
        <w:ind w:left="930" w:hanging="57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E7961B4"/>
    <w:multiLevelType w:val="multilevel"/>
    <w:tmpl w:val="0E7961B4"/>
    <w:lvl w:ilvl="0">
      <w:start w:val="1"/>
      <w:numFmt w:val="bullet"/>
      <w:lvlText w:val="-"/>
      <w:lvlJc w:val="left"/>
      <w:pPr>
        <w:ind w:left="720" w:hanging="360"/>
      </w:p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2090521"/>
    <w:multiLevelType w:val="multilevel"/>
    <w:tmpl w:val="1209052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32A66F6"/>
    <w:multiLevelType w:val="multilevel"/>
    <w:tmpl w:val="132A66F6"/>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2" w15:restartNumberingAfterBreak="0">
    <w:nsid w:val="1698001A"/>
    <w:multiLevelType w:val="multilevel"/>
    <w:tmpl w:val="1698001A"/>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3" w15:restartNumberingAfterBreak="0">
    <w:nsid w:val="16A86C78"/>
    <w:multiLevelType w:val="multilevel"/>
    <w:tmpl w:val="16A86C78"/>
    <w:lvl w:ilvl="0">
      <w:start w:val="1"/>
      <w:numFmt w:val="decimal"/>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70266C2"/>
    <w:multiLevelType w:val="singleLevel"/>
    <w:tmpl w:val="170266C2"/>
    <w:lvl w:ilvl="0">
      <w:start w:val="1"/>
      <w:numFmt w:val="bullet"/>
      <w:lvlText w:val="-"/>
      <w:lvlJc w:val="left"/>
      <w:pPr>
        <w:ind w:left="360" w:hanging="360"/>
      </w:pPr>
      <w:rPr>
        <w:rFonts w:ascii="Times New Roman" w:hAnsi="Times New Roman" w:cs="Times New Roman" w:hint="default"/>
        <w:sz w:val="20"/>
        <w:szCs w:val="20"/>
      </w:rPr>
    </w:lvl>
  </w:abstractNum>
  <w:abstractNum w:abstractNumId="25" w15:restartNumberingAfterBreak="0">
    <w:nsid w:val="17333028"/>
    <w:multiLevelType w:val="multilevel"/>
    <w:tmpl w:val="17333028"/>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15:restartNumberingAfterBreak="0">
    <w:nsid w:val="1A6138D4"/>
    <w:multiLevelType w:val="multilevel"/>
    <w:tmpl w:val="1A6138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1AEE456E"/>
    <w:multiLevelType w:val="multilevel"/>
    <w:tmpl w:val="1AEE456E"/>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8" w15:restartNumberingAfterBreak="0">
    <w:nsid w:val="1C261492"/>
    <w:multiLevelType w:val="multilevel"/>
    <w:tmpl w:val="1C2614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E695748"/>
    <w:multiLevelType w:val="multilevel"/>
    <w:tmpl w:val="1E695748"/>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0" w15:restartNumberingAfterBreak="0">
    <w:nsid w:val="1E9D2A5B"/>
    <w:multiLevelType w:val="multilevel"/>
    <w:tmpl w:val="1E9D2A5B"/>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1" w15:restartNumberingAfterBreak="0">
    <w:nsid w:val="1EAB3AB6"/>
    <w:multiLevelType w:val="multilevel"/>
    <w:tmpl w:val="1EAB3AB6"/>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2" w15:restartNumberingAfterBreak="0">
    <w:nsid w:val="1F5E1D6A"/>
    <w:multiLevelType w:val="multilevel"/>
    <w:tmpl w:val="1F5E1D6A"/>
    <w:lvl w:ilvl="0">
      <w:start w:val="1"/>
      <w:numFmt w:val="decimal"/>
      <w:lvlText w:val="%1."/>
      <w:lvlJc w:val="left"/>
      <w:pPr>
        <w:ind w:hanging="562"/>
      </w:pPr>
      <w:rPr>
        <w:rFonts w:ascii="Times New Roman" w:hAnsi="Times New Roman" w:cs="Times New Roman" w:hint="default"/>
        <w:b/>
        <w:bCs/>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33" w15:restartNumberingAfterBreak="0">
    <w:nsid w:val="1F9F6045"/>
    <w:multiLevelType w:val="multilevel"/>
    <w:tmpl w:val="1F9F6045"/>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4" w15:restartNumberingAfterBreak="0">
    <w:nsid w:val="1FBE7F96"/>
    <w:multiLevelType w:val="multilevel"/>
    <w:tmpl w:val="1FBE7F96"/>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FD86731"/>
    <w:multiLevelType w:val="multilevel"/>
    <w:tmpl w:val="1FD86731"/>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6" w15:restartNumberingAfterBreak="0">
    <w:nsid w:val="202B3A5E"/>
    <w:multiLevelType w:val="multilevel"/>
    <w:tmpl w:val="202B3A5E"/>
    <w:lvl w:ilvl="0">
      <w:start w:val="1"/>
      <w:numFmt w:val="upperRoman"/>
      <w:pStyle w:val="AHeader1"/>
      <w:lvlText w:val="%1"/>
      <w:lvlJc w:val="left"/>
      <w:pPr>
        <w:tabs>
          <w:tab w:val="left" w:pos="720"/>
        </w:tabs>
        <w:ind w:left="284" w:hanging="284"/>
      </w:pPr>
      <w:rPr>
        <w:rFonts w:ascii="Arial" w:hAnsi="Arial" w:cs="Times New Roman" w:hint="default"/>
        <w:b/>
        <w:i w:val="0"/>
        <w:sz w:val="24"/>
      </w:rPr>
    </w:lvl>
    <w:lvl w:ilvl="1">
      <w:start w:val="1"/>
      <w:numFmt w:val="decimal"/>
      <w:pStyle w:val="AHeader2"/>
      <w:lvlText w:val="%1.%2"/>
      <w:lvlJc w:val="left"/>
      <w:pPr>
        <w:tabs>
          <w:tab w:val="left" w:pos="709"/>
        </w:tabs>
        <w:ind w:left="709" w:hanging="425"/>
      </w:pPr>
      <w:rPr>
        <w:rFonts w:ascii="Arial" w:hAnsi="Arial" w:cs="Times New Roman" w:hint="default"/>
        <w:b/>
        <w:i w:val="0"/>
        <w:sz w:val="22"/>
      </w:rPr>
    </w:lvl>
    <w:lvl w:ilvl="2">
      <w:start w:val="1"/>
      <w:numFmt w:val="decimal"/>
      <w:pStyle w:val="AHeader3"/>
      <w:lvlText w:val="%1.%2.%3"/>
      <w:lvlJc w:val="left"/>
      <w:pPr>
        <w:tabs>
          <w:tab w:val="left" w:pos="1276"/>
        </w:tabs>
        <w:ind w:left="1276" w:hanging="567"/>
      </w:pPr>
      <w:rPr>
        <w:rFonts w:ascii="Arial" w:hAnsi="Arial" w:cs="Times New Roman" w:hint="default"/>
        <w:b/>
        <w:i w:val="0"/>
        <w:sz w:val="22"/>
      </w:rPr>
    </w:lvl>
    <w:lvl w:ilvl="3">
      <w:start w:val="1"/>
      <w:numFmt w:val="lowerLetter"/>
      <w:pStyle w:val="AHeader2abc"/>
      <w:lvlText w:val="%4)"/>
      <w:lvlJc w:val="left"/>
      <w:pPr>
        <w:tabs>
          <w:tab w:val="left" w:pos="1276"/>
        </w:tabs>
        <w:ind w:left="1276" w:hanging="567"/>
      </w:pPr>
      <w:rPr>
        <w:rFonts w:ascii="Arial" w:hAnsi="Arial" w:cs="Times New Roman" w:hint="default"/>
        <w:b w:val="0"/>
        <w:i w:val="0"/>
        <w:sz w:val="22"/>
      </w:rPr>
    </w:lvl>
    <w:lvl w:ilvl="4">
      <w:start w:val="1"/>
      <w:numFmt w:val="lowerLetter"/>
      <w:lvlRestart w:val="2"/>
      <w:pStyle w:val="AHeader3abc"/>
      <w:lvlText w:val="%5)"/>
      <w:lvlJc w:val="left"/>
      <w:pPr>
        <w:tabs>
          <w:tab w:val="left" w:pos="1701"/>
        </w:tabs>
        <w:ind w:left="1701" w:hanging="425"/>
      </w:pPr>
      <w:rPr>
        <w:rFonts w:hint="default"/>
      </w:rPr>
    </w:lvl>
    <w:lvl w:ilvl="5">
      <w:start w:val="1"/>
      <w:numFmt w:val="lowerLetter"/>
      <w:lvlText w:val="%6)"/>
      <w:lvlJc w:val="left"/>
      <w:pPr>
        <w:tabs>
          <w:tab w:val="left" w:pos="1663"/>
        </w:tabs>
        <w:ind w:left="1663" w:hanging="432"/>
      </w:pPr>
      <w:rPr>
        <w:rFonts w:hint="default"/>
      </w:rPr>
    </w:lvl>
    <w:lvl w:ilvl="6">
      <w:start w:val="1"/>
      <w:numFmt w:val="lowerRoman"/>
      <w:lvlText w:val="%7)"/>
      <w:lvlJc w:val="right"/>
      <w:pPr>
        <w:tabs>
          <w:tab w:val="left" w:pos="1807"/>
        </w:tabs>
        <w:ind w:left="1807" w:hanging="288"/>
      </w:pPr>
      <w:rPr>
        <w:rFonts w:hint="default"/>
      </w:rPr>
    </w:lvl>
    <w:lvl w:ilvl="7">
      <w:start w:val="1"/>
      <w:numFmt w:val="lowerLetter"/>
      <w:lvlText w:val="%8."/>
      <w:lvlJc w:val="left"/>
      <w:pPr>
        <w:tabs>
          <w:tab w:val="left" w:pos="1951"/>
        </w:tabs>
        <w:ind w:left="1951" w:hanging="432"/>
      </w:pPr>
      <w:rPr>
        <w:rFonts w:hint="default"/>
      </w:rPr>
    </w:lvl>
    <w:lvl w:ilvl="8">
      <w:start w:val="1"/>
      <w:numFmt w:val="lowerRoman"/>
      <w:lvlText w:val="%9."/>
      <w:lvlJc w:val="left"/>
      <w:pPr>
        <w:tabs>
          <w:tab w:val="left" w:pos="2671"/>
        </w:tabs>
        <w:ind w:left="2311" w:hanging="360"/>
      </w:pPr>
      <w:rPr>
        <w:rFonts w:ascii="Arial" w:hAnsi="Arial" w:hint="default"/>
        <w:b w:val="0"/>
        <w:i w:val="0"/>
        <w:sz w:val="22"/>
      </w:rPr>
    </w:lvl>
  </w:abstractNum>
  <w:abstractNum w:abstractNumId="37" w15:restartNumberingAfterBreak="0">
    <w:nsid w:val="24B143F4"/>
    <w:multiLevelType w:val="multilevel"/>
    <w:tmpl w:val="24B143F4"/>
    <w:lvl w:ilvl="0">
      <w:start w:val="1"/>
      <w:numFmt w:val="decimal"/>
      <w:lvlText w:val="%1."/>
      <w:lvlJc w:val="left"/>
      <w:pPr>
        <w:ind w:hanging="562"/>
      </w:pPr>
      <w:rPr>
        <w:rFonts w:ascii="Times New Roman" w:hAnsi="Times New Roman" w:cs="Times New Roman" w:hint="default"/>
        <w:b/>
        <w:bCs/>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38"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26C75935"/>
    <w:multiLevelType w:val="multilevel"/>
    <w:tmpl w:val="26C75935"/>
    <w:lvl w:ilvl="0">
      <w:start w:val="1"/>
      <w:numFmt w:val="bullet"/>
      <w:lvlText w:val="o"/>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27C14AC3"/>
    <w:multiLevelType w:val="multilevel"/>
    <w:tmpl w:val="27C14AC3"/>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1" w15:restartNumberingAfterBreak="0">
    <w:nsid w:val="28521463"/>
    <w:multiLevelType w:val="singleLevel"/>
    <w:tmpl w:val="28521463"/>
    <w:lvl w:ilvl="0">
      <w:start w:val="1"/>
      <w:numFmt w:val="bullet"/>
      <w:pStyle w:val="TextBullet"/>
      <w:lvlText w:val=""/>
      <w:lvlJc w:val="left"/>
      <w:pPr>
        <w:tabs>
          <w:tab w:val="left" w:pos="360"/>
        </w:tabs>
        <w:ind w:left="360" w:hanging="360"/>
      </w:pPr>
      <w:rPr>
        <w:rFonts w:ascii="Symbol" w:hAnsi="Symbol" w:hint="default"/>
      </w:rPr>
    </w:lvl>
  </w:abstractNum>
  <w:abstractNum w:abstractNumId="42" w15:restartNumberingAfterBreak="0">
    <w:nsid w:val="28DA7485"/>
    <w:multiLevelType w:val="multilevel"/>
    <w:tmpl w:val="28DA7485"/>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43" w15:restartNumberingAfterBreak="0">
    <w:nsid w:val="28EA64C8"/>
    <w:multiLevelType w:val="multilevel"/>
    <w:tmpl w:val="28EA64C8"/>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4"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2D085535"/>
    <w:multiLevelType w:val="multilevel"/>
    <w:tmpl w:val="2D085535"/>
    <w:lvl w:ilvl="0">
      <w:start w:val="1"/>
      <w:numFmt w:val="decimal"/>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D3F14CF"/>
    <w:multiLevelType w:val="multilevel"/>
    <w:tmpl w:val="2D3F14CF"/>
    <w:lvl w:ilvl="0">
      <w:start w:val="1"/>
      <w:numFmt w:val="decimal"/>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E007942"/>
    <w:multiLevelType w:val="multilevel"/>
    <w:tmpl w:val="2E007942"/>
    <w:lvl w:ilvl="0">
      <w:start w:val="1"/>
      <w:numFmt w:val="bullet"/>
      <w:lvlText w:val="-"/>
      <w:lvlJc w:val="left"/>
      <w:pPr>
        <w:ind w:left="360" w:hanging="360"/>
      </w:pPr>
      <w:rPr>
        <w:rFonts w:ascii="Times New Roman"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300B54A0"/>
    <w:multiLevelType w:val="multilevel"/>
    <w:tmpl w:val="300B54A0"/>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9" w15:restartNumberingAfterBreak="0">
    <w:nsid w:val="30945984"/>
    <w:multiLevelType w:val="multilevel"/>
    <w:tmpl w:val="30945984"/>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0" w15:restartNumberingAfterBreak="0">
    <w:nsid w:val="309C0446"/>
    <w:multiLevelType w:val="multilevel"/>
    <w:tmpl w:val="309C0446"/>
    <w:lvl w:ilvl="0">
      <w:start w:val="1"/>
      <w:numFmt w:val="decimal"/>
      <w:lvlText w:val="%1."/>
      <w:lvlJc w:val="left"/>
      <w:pPr>
        <w:ind w:left="930" w:hanging="57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1AF3BEA"/>
    <w:multiLevelType w:val="multilevel"/>
    <w:tmpl w:val="31AF3BEA"/>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2" w15:restartNumberingAfterBreak="0">
    <w:nsid w:val="31DE6192"/>
    <w:multiLevelType w:val="multilevel"/>
    <w:tmpl w:val="31DE6192"/>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3" w15:restartNumberingAfterBreak="0">
    <w:nsid w:val="32441F26"/>
    <w:multiLevelType w:val="multilevel"/>
    <w:tmpl w:val="32441F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352E689A"/>
    <w:multiLevelType w:val="multilevel"/>
    <w:tmpl w:val="352E689A"/>
    <w:lvl w:ilvl="0">
      <w:start w:val="1"/>
      <w:numFmt w:val="decimal"/>
      <w:lvlText w:val="%1."/>
      <w:lvlJc w:val="left"/>
      <w:pPr>
        <w:ind w:hanging="562"/>
      </w:pPr>
      <w:rPr>
        <w:rFonts w:ascii="Times New Roman" w:hAnsi="Times New Roman" w:cs="Times New Roman" w:hint="default"/>
        <w:b w:val="0"/>
        <w:bCs w:val="0"/>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55" w15:restartNumberingAfterBreak="0">
    <w:nsid w:val="35775A59"/>
    <w:multiLevelType w:val="multilevel"/>
    <w:tmpl w:val="35775A59"/>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6" w15:restartNumberingAfterBreak="0">
    <w:nsid w:val="389914E6"/>
    <w:multiLevelType w:val="multilevel"/>
    <w:tmpl w:val="389914E6"/>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8D617AF"/>
    <w:multiLevelType w:val="multilevel"/>
    <w:tmpl w:val="38D617AF"/>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8" w15:restartNumberingAfterBreak="0">
    <w:nsid w:val="39AF3AA2"/>
    <w:multiLevelType w:val="multilevel"/>
    <w:tmpl w:val="39AF3AA2"/>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9"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3B8B0FBF"/>
    <w:multiLevelType w:val="multilevel"/>
    <w:tmpl w:val="3B8B0FBF"/>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1"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62" w15:restartNumberingAfterBreak="0">
    <w:nsid w:val="3CFF3945"/>
    <w:multiLevelType w:val="multilevel"/>
    <w:tmpl w:val="3CFF394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3DE6628E"/>
    <w:multiLevelType w:val="multilevel"/>
    <w:tmpl w:val="3DE6628E"/>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65" w15:restartNumberingAfterBreak="0">
    <w:nsid w:val="3E7964A0"/>
    <w:multiLevelType w:val="multilevel"/>
    <w:tmpl w:val="3E7964A0"/>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66" w15:restartNumberingAfterBreak="0">
    <w:nsid w:val="3F613365"/>
    <w:multiLevelType w:val="multilevel"/>
    <w:tmpl w:val="3F613365"/>
    <w:lvl w:ilvl="0">
      <w:start w:val="1"/>
      <w:numFmt w:val="lowerLetter"/>
      <w:lvlText w:val="%1."/>
      <w:lvlJc w:val="left"/>
      <w:pPr>
        <w:ind w:left="720" w:hanging="360"/>
      </w:pPr>
      <w:rPr>
        <w:rFonts w:cs="Times New Roman"/>
        <w:vertAlign w:val="superscrip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7" w15:restartNumberingAfterBreak="0">
    <w:nsid w:val="430D0E95"/>
    <w:multiLevelType w:val="multilevel"/>
    <w:tmpl w:val="430D0E95"/>
    <w:lvl w:ilvl="0">
      <w:start w:val="1"/>
      <w:numFmt w:val="bullet"/>
      <w:lvlText w:val=""/>
      <w:lvlJc w:val="left"/>
      <w:pPr>
        <w:ind w:left="720"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68" w15:restartNumberingAfterBreak="0">
    <w:nsid w:val="4412362B"/>
    <w:multiLevelType w:val="multilevel"/>
    <w:tmpl w:val="4412362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48ED68AB"/>
    <w:multiLevelType w:val="multilevel"/>
    <w:tmpl w:val="48ED68AB"/>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0" w15:restartNumberingAfterBreak="0">
    <w:nsid w:val="4E92023B"/>
    <w:multiLevelType w:val="multilevel"/>
    <w:tmpl w:val="4E92023B"/>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1" w15:restartNumberingAfterBreak="0">
    <w:nsid w:val="4FD01296"/>
    <w:multiLevelType w:val="multilevel"/>
    <w:tmpl w:val="4FD01296"/>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2" w15:restartNumberingAfterBreak="0">
    <w:nsid w:val="5000582B"/>
    <w:multiLevelType w:val="multilevel"/>
    <w:tmpl w:val="5000582B"/>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73" w15:restartNumberingAfterBreak="0">
    <w:nsid w:val="52B40E98"/>
    <w:multiLevelType w:val="multilevel"/>
    <w:tmpl w:val="52B40E98"/>
    <w:lvl w:ilvl="0">
      <w:start w:val="1"/>
      <w:numFmt w:val="decimal"/>
      <w:lvlText w:val="%1."/>
      <w:lvlJc w:val="left"/>
      <w:pPr>
        <w:ind w:left="570" w:hanging="570"/>
      </w:pPr>
      <w:rPr>
        <w:rFonts w:hint="default"/>
        <w:b/>
        <w:i w:val="0"/>
      </w:r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74" w15:restartNumberingAfterBreak="0">
    <w:nsid w:val="55074648"/>
    <w:multiLevelType w:val="multilevel"/>
    <w:tmpl w:val="550746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6BF3541"/>
    <w:multiLevelType w:val="multilevel"/>
    <w:tmpl w:val="56BF3541"/>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6" w15:restartNumberingAfterBreak="0">
    <w:nsid w:val="57400A91"/>
    <w:multiLevelType w:val="multilevel"/>
    <w:tmpl w:val="57400A91"/>
    <w:lvl w:ilvl="0">
      <w:start w:val="1"/>
      <w:numFmt w:val="upperLetter"/>
      <w:lvlText w:val="%1."/>
      <w:lvlJc w:val="left"/>
      <w:pPr>
        <w:ind w:left="1701" w:hanging="708"/>
      </w:pPr>
      <w:rPr>
        <w:rFonts w:hint="default"/>
      </w:rPr>
    </w:lvl>
    <w:lvl w:ilvl="1">
      <w:start w:val="1"/>
      <w:numFmt w:val="decimal"/>
      <w:lvlText w:val="%2."/>
      <w:lvlJc w:val="left"/>
      <w:pPr>
        <w:ind w:left="2283" w:hanging="570"/>
      </w:pPr>
      <w:rPr>
        <w:rFonts w:hint="default"/>
      </w:r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77" w15:restartNumberingAfterBreak="0">
    <w:nsid w:val="587E2FFF"/>
    <w:multiLevelType w:val="multilevel"/>
    <w:tmpl w:val="587E2FFF"/>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8" w15:restartNumberingAfterBreak="0">
    <w:nsid w:val="5AB069E9"/>
    <w:multiLevelType w:val="multilevel"/>
    <w:tmpl w:val="5AB069E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0" w15:restartNumberingAfterBreak="0">
    <w:nsid w:val="5DAF4E07"/>
    <w:multiLevelType w:val="multilevel"/>
    <w:tmpl w:val="5DAF4E07"/>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81" w15:restartNumberingAfterBreak="0">
    <w:nsid w:val="5F7B39A4"/>
    <w:multiLevelType w:val="multilevel"/>
    <w:tmpl w:val="5F7B39A4"/>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2" w15:restartNumberingAfterBreak="0">
    <w:nsid w:val="60B832ED"/>
    <w:multiLevelType w:val="multilevel"/>
    <w:tmpl w:val="60B832ED"/>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3"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84" w15:restartNumberingAfterBreak="0">
    <w:nsid w:val="63D642CD"/>
    <w:multiLevelType w:val="multilevel"/>
    <w:tmpl w:val="63D642CD"/>
    <w:lvl w:ilvl="0">
      <w:start w:val="1"/>
      <w:numFmt w:val="lowerLetter"/>
      <w:lvlText w:val="%1."/>
      <w:lvlJc w:val="left"/>
      <w:pPr>
        <w:ind w:left="720" w:hanging="360"/>
      </w:pPr>
      <w:rPr>
        <w:rFonts w:cs="Times New Roman" w:hint="default"/>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3D7769C"/>
    <w:multiLevelType w:val="multilevel"/>
    <w:tmpl w:val="63D7769C"/>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86" w15:restartNumberingAfterBreak="0">
    <w:nsid w:val="641C5EDE"/>
    <w:multiLevelType w:val="multilevel"/>
    <w:tmpl w:val="641C5EDE"/>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7"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8" w15:restartNumberingAfterBreak="0">
    <w:nsid w:val="64636EAE"/>
    <w:multiLevelType w:val="multilevel"/>
    <w:tmpl w:val="64636EAE"/>
    <w:lvl w:ilvl="0">
      <w:start w:val="1"/>
      <w:numFmt w:val="decimal"/>
      <w:lvlText w:val="%1."/>
      <w:lvlJc w:val="left"/>
      <w:pPr>
        <w:ind w:left="930" w:hanging="930"/>
      </w:pPr>
      <w:rPr>
        <w:rFonts w:hint="default"/>
        <w:b/>
      </w:rPr>
    </w:lvl>
    <w:lvl w:ilvl="1">
      <w:start w:val="1"/>
      <w:numFmt w:val="decimal"/>
      <w:isLgl/>
      <w:lvlText w:val="%1.%2"/>
      <w:lvlJc w:val="left"/>
      <w:pPr>
        <w:ind w:left="570" w:hanging="57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440" w:hanging="1440"/>
      </w:pPr>
      <w:rPr>
        <w:rFonts w:hint="default"/>
        <w:b/>
      </w:rPr>
    </w:lvl>
  </w:abstractNum>
  <w:abstractNum w:abstractNumId="89" w15:restartNumberingAfterBreak="0">
    <w:nsid w:val="654C7258"/>
    <w:multiLevelType w:val="multilevel"/>
    <w:tmpl w:val="654C72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15:restartNumberingAfterBreak="0">
    <w:nsid w:val="6928707C"/>
    <w:multiLevelType w:val="multilevel"/>
    <w:tmpl w:val="692870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15:restartNumberingAfterBreak="0">
    <w:nsid w:val="6A5B684B"/>
    <w:multiLevelType w:val="multilevel"/>
    <w:tmpl w:val="6A5B684B"/>
    <w:lvl w:ilvl="0">
      <w:start w:val="1"/>
      <w:numFmt w:val="decimal"/>
      <w:lvlText w:val="%1."/>
      <w:lvlJc w:val="left"/>
      <w:pPr>
        <w:ind w:left="930" w:hanging="930"/>
      </w:pPr>
      <w:rPr>
        <w:rFonts w:hint="default"/>
        <w:b/>
      </w:rPr>
    </w:lvl>
    <w:lvl w:ilvl="1">
      <w:start w:val="1"/>
      <w:numFmt w:val="decimal"/>
      <w:isLgl/>
      <w:lvlText w:val="%1.%2"/>
      <w:lvlJc w:val="left"/>
      <w:pPr>
        <w:ind w:left="570" w:hanging="57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440" w:hanging="1440"/>
      </w:pPr>
      <w:rPr>
        <w:rFonts w:hint="default"/>
        <w:b/>
      </w:rPr>
    </w:lvl>
  </w:abstractNum>
  <w:abstractNum w:abstractNumId="92" w15:restartNumberingAfterBreak="0">
    <w:nsid w:val="6B78350D"/>
    <w:multiLevelType w:val="multilevel"/>
    <w:tmpl w:val="6B78350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6C931790"/>
    <w:multiLevelType w:val="multilevel"/>
    <w:tmpl w:val="6C931790"/>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94"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5" w15:restartNumberingAfterBreak="0">
    <w:nsid w:val="6FC11087"/>
    <w:multiLevelType w:val="multilevel"/>
    <w:tmpl w:val="6FC1108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712C6AD8"/>
    <w:multiLevelType w:val="multilevel"/>
    <w:tmpl w:val="712C6A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7" w15:restartNumberingAfterBreak="0">
    <w:nsid w:val="72527E37"/>
    <w:multiLevelType w:val="multilevel"/>
    <w:tmpl w:val="72527E37"/>
    <w:lvl w:ilvl="0">
      <w:start w:val="33"/>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8" w15:restartNumberingAfterBreak="0">
    <w:nsid w:val="732406EA"/>
    <w:multiLevelType w:val="multilevel"/>
    <w:tmpl w:val="732406EA"/>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9"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100" w15:restartNumberingAfterBreak="0">
    <w:nsid w:val="76254389"/>
    <w:multiLevelType w:val="multilevel"/>
    <w:tmpl w:val="76254389"/>
    <w:lvl w:ilvl="0">
      <w:start w:val="1"/>
      <w:numFmt w:val="bullet"/>
      <w:lvlText w:val=""/>
      <w:lvlJc w:val="left"/>
      <w:pPr>
        <w:ind w:hanging="562"/>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1" w15:restartNumberingAfterBreak="0">
    <w:nsid w:val="7643447C"/>
    <w:multiLevelType w:val="multilevel"/>
    <w:tmpl w:val="7643447C"/>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2" w15:restartNumberingAfterBreak="0">
    <w:nsid w:val="776D58FA"/>
    <w:multiLevelType w:val="multilevel"/>
    <w:tmpl w:val="776D58F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03" w15:restartNumberingAfterBreak="0">
    <w:nsid w:val="7793022C"/>
    <w:multiLevelType w:val="multilevel"/>
    <w:tmpl w:val="7793022C"/>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4" w15:restartNumberingAfterBreak="0">
    <w:nsid w:val="77D02EB2"/>
    <w:multiLevelType w:val="multilevel"/>
    <w:tmpl w:val="77D02EB2"/>
    <w:lvl w:ilvl="0">
      <w:start w:val="1"/>
      <w:numFmt w:val="decimal"/>
      <w:lvlText w:val="%1."/>
      <w:lvlJc w:val="left"/>
      <w:pPr>
        <w:ind w:left="1650" w:hanging="570"/>
      </w:pPr>
      <w:rPr>
        <w:rFonts w:cs="Times New Roman" w:hint="default"/>
        <w:b/>
        <w:i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5" w15:restartNumberingAfterBreak="0">
    <w:nsid w:val="7A100D28"/>
    <w:multiLevelType w:val="multilevel"/>
    <w:tmpl w:val="7A100D28"/>
    <w:lvl w:ilvl="0">
      <w:start w:val="1"/>
      <w:numFmt w:val="upperLetter"/>
      <w:pStyle w:val="TitleB"/>
      <w:lvlText w:val="%1."/>
      <w:lvlJc w:val="left"/>
      <w:pPr>
        <w:ind w:left="5670" w:hanging="5670"/>
      </w:pPr>
      <w:rPr>
        <w:rFonts w:hint="default"/>
        <w:b/>
      </w:rPr>
    </w:lvl>
    <w:lvl w:ilvl="1">
      <w:start w:val="1"/>
      <w:numFmt w:val="decimal"/>
      <w:lvlText w:val="%2."/>
      <w:lvlJc w:val="left"/>
      <w:pPr>
        <w:ind w:left="1650" w:hanging="570"/>
      </w:pPr>
      <w:rPr>
        <w:rFonts w:hint="default"/>
        <w:b/>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BAD77D4"/>
    <w:multiLevelType w:val="multilevel"/>
    <w:tmpl w:val="7BAD77D4"/>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7" w15:restartNumberingAfterBreak="0">
    <w:nsid w:val="7C0C3743"/>
    <w:multiLevelType w:val="multilevel"/>
    <w:tmpl w:val="7C0C374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15:restartNumberingAfterBreak="0">
    <w:nsid w:val="7C1A469A"/>
    <w:multiLevelType w:val="multilevel"/>
    <w:tmpl w:val="7C1A469A"/>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9" w15:restartNumberingAfterBreak="0">
    <w:nsid w:val="7DB01784"/>
    <w:multiLevelType w:val="multilevel"/>
    <w:tmpl w:val="7DB01784"/>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0" w15:restartNumberingAfterBreak="0">
    <w:nsid w:val="7E81019C"/>
    <w:multiLevelType w:val="multilevel"/>
    <w:tmpl w:val="7E81019C"/>
    <w:lvl w:ilvl="0">
      <w:start w:val="1"/>
      <w:numFmt w:val="bullet"/>
      <w:lvlText w:val="-"/>
      <w:lvlJc w:val="left"/>
      <w:pPr>
        <w:ind w:hanging="562"/>
      </w:pPr>
      <w:rPr>
        <w:rFonts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1"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105421766">
    <w:abstractNumId w:val="13"/>
  </w:num>
  <w:num w:numId="2" w16cid:durableId="568733084">
    <w:abstractNumId w:val="105"/>
  </w:num>
  <w:num w:numId="3" w16cid:durableId="1586525107">
    <w:abstractNumId w:val="36"/>
  </w:num>
  <w:num w:numId="4" w16cid:durableId="1098528082">
    <w:abstractNumId w:val="41"/>
  </w:num>
  <w:num w:numId="5" w16cid:durableId="640815583">
    <w:abstractNumId w:val="59"/>
  </w:num>
  <w:num w:numId="6" w16cid:durableId="1318267672">
    <w:abstractNumId w:val="8"/>
  </w:num>
  <w:num w:numId="7" w16cid:durableId="1522427093">
    <w:abstractNumId w:val="88"/>
  </w:num>
  <w:num w:numId="8" w16cid:durableId="814031420">
    <w:abstractNumId w:val="1"/>
  </w:num>
  <w:num w:numId="9" w16cid:durableId="1992828907">
    <w:abstractNumId w:val="67"/>
  </w:num>
  <w:num w:numId="10" w16cid:durableId="1939825815">
    <w:abstractNumId w:val="99"/>
  </w:num>
  <w:num w:numId="11" w16cid:durableId="199438492">
    <w:abstractNumId w:val="17"/>
  </w:num>
  <w:num w:numId="12" w16cid:durableId="1521776823">
    <w:abstractNumId w:val="61"/>
  </w:num>
  <w:num w:numId="13" w16cid:durableId="607660875">
    <w:abstractNumId w:val="66"/>
  </w:num>
  <w:num w:numId="14" w16cid:durableId="1287539491">
    <w:abstractNumId w:val="91"/>
  </w:num>
  <w:num w:numId="15" w16cid:durableId="367418636">
    <w:abstractNumId w:val="84"/>
  </w:num>
  <w:num w:numId="16" w16cid:durableId="409666787">
    <w:abstractNumId w:val="76"/>
  </w:num>
  <w:num w:numId="17" w16cid:durableId="1991136679">
    <w:abstractNumId w:val="94"/>
  </w:num>
  <w:num w:numId="18" w16cid:durableId="396827809">
    <w:abstractNumId w:val="12"/>
  </w:num>
  <w:num w:numId="19" w16cid:durableId="170267474">
    <w:abstractNumId w:val="97"/>
  </w:num>
  <w:num w:numId="20" w16cid:durableId="27461789">
    <w:abstractNumId w:val="34"/>
  </w:num>
  <w:num w:numId="21" w16cid:durableId="1361317171">
    <w:abstractNumId w:val="49"/>
  </w:num>
  <w:num w:numId="22" w16cid:durableId="1192764259">
    <w:abstractNumId w:val="16"/>
  </w:num>
  <w:num w:numId="23" w16cid:durableId="1090658595">
    <w:abstractNumId w:val="57"/>
  </w:num>
  <w:num w:numId="24" w16cid:durableId="866524578">
    <w:abstractNumId w:val="109"/>
  </w:num>
  <w:num w:numId="25" w16cid:durableId="1958484869">
    <w:abstractNumId w:val="93"/>
  </w:num>
  <w:num w:numId="26" w16cid:durableId="352850349">
    <w:abstractNumId w:val="72"/>
  </w:num>
  <w:num w:numId="27" w16cid:durableId="773866815">
    <w:abstractNumId w:val="85"/>
  </w:num>
  <w:num w:numId="28" w16cid:durableId="1528448404">
    <w:abstractNumId w:val="60"/>
  </w:num>
  <w:num w:numId="29" w16cid:durableId="637998468">
    <w:abstractNumId w:val="73"/>
  </w:num>
  <w:num w:numId="30" w16cid:durableId="1510632262">
    <w:abstractNumId w:val="56"/>
  </w:num>
  <w:num w:numId="31" w16cid:durableId="1518543386">
    <w:abstractNumId w:val="82"/>
  </w:num>
  <w:num w:numId="32" w16cid:durableId="1586724292">
    <w:abstractNumId w:val="98"/>
  </w:num>
  <w:num w:numId="33" w16cid:durableId="2145812081">
    <w:abstractNumId w:val="58"/>
  </w:num>
  <w:num w:numId="34" w16cid:durableId="812406897">
    <w:abstractNumId w:val="25"/>
  </w:num>
  <w:num w:numId="35" w16cid:durableId="205876771">
    <w:abstractNumId w:val="30"/>
  </w:num>
  <w:num w:numId="36" w16cid:durableId="1263101052">
    <w:abstractNumId w:val="42"/>
  </w:num>
  <w:num w:numId="37" w16cid:durableId="970674105">
    <w:abstractNumId w:val="80"/>
  </w:num>
  <w:num w:numId="38" w16cid:durableId="1281457519">
    <w:abstractNumId w:val="14"/>
  </w:num>
  <w:num w:numId="39" w16cid:durableId="1225025371">
    <w:abstractNumId w:val="7"/>
  </w:num>
  <w:num w:numId="40" w16cid:durableId="2003315373">
    <w:abstractNumId w:val="3"/>
  </w:num>
  <w:num w:numId="41" w16cid:durableId="828667307">
    <w:abstractNumId w:val="104"/>
  </w:num>
  <w:num w:numId="42" w16cid:durableId="882980726">
    <w:abstractNumId w:val="29"/>
  </w:num>
  <w:num w:numId="43" w16cid:durableId="2091657094">
    <w:abstractNumId w:val="64"/>
  </w:num>
  <w:num w:numId="44" w16cid:durableId="552426136">
    <w:abstractNumId w:val="65"/>
  </w:num>
  <w:num w:numId="45" w16cid:durableId="2062751440">
    <w:abstractNumId w:val="35"/>
  </w:num>
  <w:num w:numId="46" w16cid:durableId="1495678434">
    <w:abstractNumId w:val="69"/>
  </w:num>
  <w:num w:numId="47" w16cid:durableId="1852988728">
    <w:abstractNumId w:val="0"/>
    <w:lvlOverride w:ilvl="0">
      <w:lvl w:ilvl="0">
        <w:start w:val="1"/>
        <w:numFmt w:val="bullet"/>
        <w:lvlText w:val="-"/>
        <w:lvlJc w:val="left"/>
        <w:pPr>
          <w:ind w:left="720" w:hanging="360"/>
        </w:pPr>
      </w:lvl>
    </w:lvlOverride>
  </w:num>
  <w:num w:numId="48" w16cid:durableId="1797063362">
    <w:abstractNumId w:val="46"/>
  </w:num>
  <w:num w:numId="49" w16cid:durableId="1620641922">
    <w:abstractNumId w:val="50"/>
  </w:num>
  <w:num w:numId="50" w16cid:durableId="237328063">
    <w:abstractNumId w:val="89"/>
  </w:num>
  <w:num w:numId="51" w16cid:durableId="885070512">
    <w:abstractNumId w:val="102"/>
  </w:num>
  <w:num w:numId="52" w16cid:durableId="28527807">
    <w:abstractNumId w:val="24"/>
  </w:num>
  <w:num w:numId="53" w16cid:durableId="1841002781">
    <w:abstractNumId w:val="0"/>
    <w:lvlOverride w:ilvl="0">
      <w:lvl w:ilvl="0">
        <w:start w:val="1"/>
        <w:numFmt w:val="bullet"/>
        <w:lvlText w:val="-"/>
        <w:lvlJc w:val="left"/>
        <w:pPr>
          <w:ind w:left="720" w:hanging="360"/>
        </w:pPr>
      </w:lvl>
    </w:lvlOverride>
  </w:num>
  <w:num w:numId="54" w16cid:durableId="1197695533">
    <w:abstractNumId w:val="5"/>
  </w:num>
  <w:num w:numId="55" w16cid:durableId="944003743">
    <w:abstractNumId w:val="92"/>
  </w:num>
  <w:num w:numId="56" w16cid:durableId="1666470638">
    <w:abstractNumId w:val="68"/>
  </w:num>
  <w:num w:numId="57" w16cid:durableId="2107730400">
    <w:abstractNumId w:val="78"/>
  </w:num>
  <w:num w:numId="58" w16cid:durableId="719132388">
    <w:abstractNumId w:val="53"/>
  </w:num>
  <w:num w:numId="59" w16cid:durableId="1762411150">
    <w:abstractNumId w:val="90"/>
  </w:num>
  <w:num w:numId="60" w16cid:durableId="1422991445">
    <w:abstractNumId w:val="96"/>
  </w:num>
  <w:num w:numId="61" w16cid:durableId="1554807897">
    <w:abstractNumId w:val="20"/>
  </w:num>
  <w:num w:numId="62" w16cid:durableId="1419474575">
    <w:abstractNumId w:val="28"/>
  </w:num>
  <w:num w:numId="63" w16cid:durableId="639267795">
    <w:abstractNumId w:val="62"/>
  </w:num>
  <w:num w:numId="64" w16cid:durableId="764498611">
    <w:abstractNumId w:val="95"/>
  </w:num>
  <w:num w:numId="65" w16cid:durableId="46924665">
    <w:abstractNumId w:val="74"/>
  </w:num>
  <w:num w:numId="66" w16cid:durableId="1026979262">
    <w:abstractNumId w:val="83"/>
  </w:num>
  <w:num w:numId="67" w16cid:durableId="120615859">
    <w:abstractNumId w:val="47"/>
  </w:num>
  <w:num w:numId="68" w16cid:durableId="1115056108">
    <w:abstractNumId w:val="23"/>
  </w:num>
  <w:num w:numId="69" w16cid:durableId="167404221">
    <w:abstractNumId w:val="26"/>
  </w:num>
  <w:num w:numId="70" w16cid:durableId="1286933906">
    <w:abstractNumId w:val="2"/>
  </w:num>
  <w:num w:numId="71" w16cid:durableId="296034454">
    <w:abstractNumId w:val="48"/>
  </w:num>
  <w:num w:numId="72" w16cid:durableId="981495716">
    <w:abstractNumId w:val="110"/>
  </w:num>
  <w:num w:numId="73" w16cid:durableId="288752000">
    <w:abstractNumId w:val="10"/>
  </w:num>
  <w:num w:numId="74" w16cid:durableId="1067921909">
    <w:abstractNumId w:val="81"/>
  </w:num>
  <w:num w:numId="75" w16cid:durableId="1131747777">
    <w:abstractNumId w:val="43"/>
  </w:num>
  <w:num w:numId="76" w16cid:durableId="415323217">
    <w:abstractNumId w:val="103"/>
  </w:num>
  <w:num w:numId="77" w16cid:durableId="124734536">
    <w:abstractNumId w:val="75"/>
  </w:num>
  <w:num w:numId="78" w16cid:durableId="534925700">
    <w:abstractNumId w:val="55"/>
  </w:num>
  <w:num w:numId="79" w16cid:durableId="1999335936">
    <w:abstractNumId w:val="31"/>
  </w:num>
  <w:num w:numId="80" w16cid:durableId="2000111677">
    <w:abstractNumId w:val="51"/>
  </w:num>
  <w:num w:numId="81" w16cid:durableId="1748842352">
    <w:abstractNumId w:val="108"/>
  </w:num>
  <w:num w:numId="82" w16cid:durableId="1150905783">
    <w:abstractNumId w:val="9"/>
  </w:num>
  <w:num w:numId="83" w16cid:durableId="1418207168">
    <w:abstractNumId w:val="71"/>
  </w:num>
  <w:num w:numId="84" w16cid:durableId="1649165747">
    <w:abstractNumId w:val="27"/>
  </w:num>
  <w:num w:numId="85" w16cid:durableId="1566836908">
    <w:abstractNumId w:val="40"/>
  </w:num>
  <w:num w:numId="86" w16cid:durableId="46027808">
    <w:abstractNumId w:val="101"/>
  </w:num>
  <w:num w:numId="87" w16cid:durableId="147594098">
    <w:abstractNumId w:val="106"/>
  </w:num>
  <w:num w:numId="88" w16cid:durableId="1950119936">
    <w:abstractNumId w:val="4"/>
  </w:num>
  <w:num w:numId="89" w16cid:durableId="33582848">
    <w:abstractNumId w:val="52"/>
  </w:num>
  <w:num w:numId="90" w16cid:durableId="1977638829">
    <w:abstractNumId w:val="22"/>
  </w:num>
  <w:num w:numId="91" w16cid:durableId="1339648901">
    <w:abstractNumId w:val="21"/>
  </w:num>
  <w:num w:numId="92" w16cid:durableId="1397126971">
    <w:abstractNumId w:val="15"/>
  </w:num>
  <w:num w:numId="93" w16cid:durableId="1124616201">
    <w:abstractNumId w:val="33"/>
  </w:num>
  <w:num w:numId="94" w16cid:durableId="749346477">
    <w:abstractNumId w:val="100"/>
  </w:num>
  <w:num w:numId="95" w16cid:durableId="427697668">
    <w:abstractNumId w:val="86"/>
  </w:num>
  <w:num w:numId="96" w16cid:durableId="1850295733">
    <w:abstractNumId w:val="77"/>
  </w:num>
  <w:num w:numId="97" w16cid:durableId="948511786">
    <w:abstractNumId w:val="107"/>
  </w:num>
  <w:num w:numId="98" w16cid:durableId="2090886226">
    <w:abstractNumId w:val="19"/>
  </w:num>
  <w:num w:numId="99" w16cid:durableId="1791321241">
    <w:abstractNumId w:val="45"/>
  </w:num>
  <w:num w:numId="100" w16cid:durableId="1169638098">
    <w:abstractNumId w:val="18"/>
  </w:num>
  <w:num w:numId="101" w16cid:durableId="121384428">
    <w:abstractNumId w:val="87"/>
  </w:num>
  <w:num w:numId="102" w16cid:durableId="943000156">
    <w:abstractNumId w:val="44"/>
  </w:num>
  <w:num w:numId="103" w16cid:durableId="878396603">
    <w:abstractNumId w:val="63"/>
  </w:num>
  <w:num w:numId="104" w16cid:durableId="957489316">
    <w:abstractNumId w:val="111"/>
  </w:num>
  <w:num w:numId="105" w16cid:durableId="408622472">
    <w:abstractNumId w:val="38"/>
  </w:num>
  <w:num w:numId="106" w16cid:durableId="401877851">
    <w:abstractNumId w:val="79"/>
  </w:num>
  <w:num w:numId="107" w16cid:durableId="1022130189">
    <w:abstractNumId w:val="6"/>
  </w:num>
  <w:num w:numId="108" w16cid:durableId="141850832">
    <w:abstractNumId w:val="54"/>
  </w:num>
  <w:num w:numId="109" w16cid:durableId="2139177756">
    <w:abstractNumId w:val="37"/>
  </w:num>
  <w:num w:numId="110" w16cid:durableId="84109096">
    <w:abstractNumId w:val="39"/>
  </w:num>
  <w:num w:numId="111" w16cid:durableId="122769051">
    <w:abstractNumId w:val="70"/>
  </w:num>
  <w:num w:numId="112" w16cid:durableId="2142184402">
    <w:abstractNumId w:val="11"/>
  </w:num>
  <w:num w:numId="113" w16cid:durableId="1530603029">
    <w:abstractNumId w:val="32"/>
  </w:num>
  <w:numIdMacAtCleanup w:val="1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bordersDoNotSurroundHeader/>
  <w:bordersDoNotSurroundFooter/>
  <w:hideSpellingErrors/>
  <w:hideGrammaticalErrors/>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numFmt w:val="decimal"/>
    <w:endnote w:id="-1"/>
    <w:endnote w:id="0"/>
  </w:endnotePr>
  <w:compat>
    <w:spaceForUL/>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1F7D"/>
    <w:rsid w:val="0000033D"/>
    <w:rsid w:val="000008A3"/>
    <w:rsid w:val="00000D62"/>
    <w:rsid w:val="00000FF8"/>
    <w:rsid w:val="00001423"/>
    <w:rsid w:val="00001587"/>
    <w:rsid w:val="000028D2"/>
    <w:rsid w:val="00002D4B"/>
    <w:rsid w:val="000031EF"/>
    <w:rsid w:val="0000362A"/>
    <w:rsid w:val="000037B5"/>
    <w:rsid w:val="00004CD5"/>
    <w:rsid w:val="000052CA"/>
    <w:rsid w:val="00005701"/>
    <w:rsid w:val="00005728"/>
    <w:rsid w:val="00006803"/>
    <w:rsid w:val="00006E45"/>
    <w:rsid w:val="00007528"/>
    <w:rsid w:val="00007705"/>
    <w:rsid w:val="00010480"/>
    <w:rsid w:val="0001164F"/>
    <w:rsid w:val="00011CAF"/>
    <w:rsid w:val="00011DBA"/>
    <w:rsid w:val="000121E8"/>
    <w:rsid w:val="00012E24"/>
    <w:rsid w:val="00012EF4"/>
    <w:rsid w:val="00012F39"/>
    <w:rsid w:val="000142BE"/>
    <w:rsid w:val="00014869"/>
    <w:rsid w:val="00014C0E"/>
    <w:rsid w:val="000150D3"/>
    <w:rsid w:val="000166C1"/>
    <w:rsid w:val="00016D0C"/>
    <w:rsid w:val="00017967"/>
    <w:rsid w:val="0002006B"/>
    <w:rsid w:val="00020AE8"/>
    <w:rsid w:val="00020EA9"/>
    <w:rsid w:val="000212BB"/>
    <w:rsid w:val="000225A2"/>
    <w:rsid w:val="00022C21"/>
    <w:rsid w:val="000236F3"/>
    <w:rsid w:val="00023A2C"/>
    <w:rsid w:val="00023DFF"/>
    <w:rsid w:val="000248A9"/>
    <w:rsid w:val="00025EBE"/>
    <w:rsid w:val="0002615C"/>
    <w:rsid w:val="00026BF2"/>
    <w:rsid w:val="00026F4C"/>
    <w:rsid w:val="000271F6"/>
    <w:rsid w:val="00027225"/>
    <w:rsid w:val="0002799C"/>
    <w:rsid w:val="00027B39"/>
    <w:rsid w:val="00027C38"/>
    <w:rsid w:val="00030445"/>
    <w:rsid w:val="000312DB"/>
    <w:rsid w:val="000318B6"/>
    <w:rsid w:val="000318C7"/>
    <w:rsid w:val="00032339"/>
    <w:rsid w:val="00032952"/>
    <w:rsid w:val="00033706"/>
    <w:rsid w:val="00033D26"/>
    <w:rsid w:val="00033FDB"/>
    <w:rsid w:val="0003403C"/>
    <w:rsid w:val="000344F6"/>
    <w:rsid w:val="00034BA2"/>
    <w:rsid w:val="00034D91"/>
    <w:rsid w:val="000351B5"/>
    <w:rsid w:val="00035A99"/>
    <w:rsid w:val="00035F31"/>
    <w:rsid w:val="00036593"/>
    <w:rsid w:val="00036D07"/>
    <w:rsid w:val="00037131"/>
    <w:rsid w:val="00040D3C"/>
    <w:rsid w:val="00041EF5"/>
    <w:rsid w:val="00042263"/>
    <w:rsid w:val="00043505"/>
    <w:rsid w:val="00043C70"/>
    <w:rsid w:val="00043E88"/>
    <w:rsid w:val="00044042"/>
    <w:rsid w:val="000442D2"/>
    <w:rsid w:val="000474D2"/>
    <w:rsid w:val="000479C5"/>
    <w:rsid w:val="000507E0"/>
    <w:rsid w:val="00050813"/>
    <w:rsid w:val="00050CA0"/>
    <w:rsid w:val="00050D0B"/>
    <w:rsid w:val="00050DFD"/>
    <w:rsid w:val="000519BE"/>
    <w:rsid w:val="000524F7"/>
    <w:rsid w:val="00053809"/>
    <w:rsid w:val="00053914"/>
    <w:rsid w:val="0005462E"/>
    <w:rsid w:val="00054756"/>
    <w:rsid w:val="00054766"/>
    <w:rsid w:val="00055C4B"/>
    <w:rsid w:val="000560C5"/>
    <w:rsid w:val="00056C49"/>
    <w:rsid w:val="00056DFB"/>
    <w:rsid w:val="00056E7A"/>
    <w:rsid w:val="00056F64"/>
    <w:rsid w:val="00056FE0"/>
    <w:rsid w:val="00057406"/>
    <w:rsid w:val="00057924"/>
    <w:rsid w:val="000603C8"/>
    <w:rsid w:val="000608A4"/>
    <w:rsid w:val="00060AA1"/>
    <w:rsid w:val="00060E1C"/>
    <w:rsid w:val="00060E34"/>
    <w:rsid w:val="000614DF"/>
    <w:rsid w:val="00061DEE"/>
    <w:rsid w:val="00062375"/>
    <w:rsid w:val="000623B5"/>
    <w:rsid w:val="000626F9"/>
    <w:rsid w:val="0006274C"/>
    <w:rsid w:val="000631FD"/>
    <w:rsid w:val="000643D3"/>
    <w:rsid w:val="000647ED"/>
    <w:rsid w:val="0006490D"/>
    <w:rsid w:val="00065ABE"/>
    <w:rsid w:val="00065B06"/>
    <w:rsid w:val="000660AC"/>
    <w:rsid w:val="00066ACF"/>
    <w:rsid w:val="00066D81"/>
    <w:rsid w:val="00066F1A"/>
    <w:rsid w:val="00066FFE"/>
    <w:rsid w:val="00067097"/>
    <w:rsid w:val="00067326"/>
    <w:rsid w:val="0006746E"/>
    <w:rsid w:val="00067B16"/>
    <w:rsid w:val="00067C47"/>
    <w:rsid w:val="00070567"/>
    <w:rsid w:val="0007105E"/>
    <w:rsid w:val="0007143B"/>
    <w:rsid w:val="00071BED"/>
    <w:rsid w:val="00071E55"/>
    <w:rsid w:val="00071F8A"/>
    <w:rsid w:val="00073580"/>
    <w:rsid w:val="000735D1"/>
    <w:rsid w:val="00073E04"/>
    <w:rsid w:val="0007401B"/>
    <w:rsid w:val="00074C66"/>
    <w:rsid w:val="00075B83"/>
    <w:rsid w:val="0007628D"/>
    <w:rsid w:val="00076414"/>
    <w:rsid w:val="000764E4"/>
    <w:rsid w:val="0007651F"/>
    <w:rsid w:val="00076AD2"/>
    <w:rsid w:val="00076B23"/>
    <w:rsid w:val="00076BB9"/>
    <w:rsid w:val="00076C62"/>
    <w:rsid w:val="00077B12"/>
    <w:rsid w:val="00077EF9"/>
    <w:rsid w:val="00077FB4"/>
    <w:rsid w:val="0008021A"/>
    <w:rsid w:val="00080DC1"/>
    <w:rsid w:val="000812B2"/>
    <w:rsid w:val="00081AC9"/>
    <w:rsid w:val="00081DAB"/>
    <w:rsid w:val="000821C5"/>
    <w:rsid w:val="00082392"/>
    <w:rsid w:val="00082813"/>
    <w:rsid w:val="00083425"/>
    <w:rsid w:val="00083971"/>
    <w:rsid w:val="00083B69"/>
    <w:rsid w:val="00085366"/>
    <w:rsid w:val="00085659"/>
    <w:rsid w:val="0008739F"/>
    <w:rsid w:val="000902D7"/>
    <w:rsid w:val="00090717"/>
    <w:rsid w:val="00090D82"/>
    <w:rsid w:val="00091686"/>
    <w:rsid w:val="00092829"/>
    <w:rsid w:val="00092B09"/>
    <w:rsid w:val="00092EB0"/>
    <w:rsid w:val="00093038"/>
    <w:rsid w:val="0009351E"/>
    <w:rsid w:val="0009479A"/>
    <w:rsid w:val="00094ABC"/>
    <w:rsid w:val="00094AD6"/>
    <w:rsid w:val="00095D61"/>
    <w:rsid w:val="00095E44"/>
    <w:rsid w:val="000960A6"/>
    <w:rsid w:val="00096530"/>
    <w:rsid w:val="000969B1"/>
    <w:rsid w:val="00096D8D"/>
    <w:rsid w:val="00097380"/>
    <w:rsid w:val="00097405"/>
    <w:rsid w:val="0009755A"/>
    <w:rsid w:val="00097871"/>
    <w:rsid w:val="00097E93"/>
    <w:rsid w:val="00097F6F"/>
    <w:rsid w:val="000A011B"/>
    <w:rsid w:val="000A0269"/>
    <w:rsid w:val="000A0BEA"/>
    <w:rsid w:val="000A1232"/>
    <w:rsid w:val="000A1369"/>
    <w:rsid w:val="000A17C8"/>
    <w:rsid w:val="000A2EDD"/>
    <w:rsid w:val="000A2F51"/>
    <w:rsid w:val="000A30E5"/>
    <w:rsid w:val="000A330D"/>
    <w:rsid w:val="000A3472"/>
    <w:rsid w:val="000A388F"/>
    <w:rsid w:val="000A40D0"/>
    <w:rsid w:val="000A477B"/>
    <w:rsid w:val="000A4BEB"/>
    <w:rsid w:val="000A5CF6"/>
    <w:rsid w:val="000A60B0"/>
    <w:rsid w:val="000A64EF"/>
    <w:rsid w:val="000A7702"/>
    <w:rsid w:val="000A7F06"/>
    <w:rsid w:val="000A7F7C"/>
    <w:rsid w:val="000B0097"/>
    <w:rsid w:val="000B02FA"/>
    <w:rsid w:val="000B0587"/>
    <w:rsid w:val="000B0770"/>
    <w:rsid w:val="000B101F"/>
    <w:rsid w:val="000B1E91"/>
    <w:rsid w:val="000B1F4B"/>
    <w:rsid w:val="000B2F27"/>
    <w:rsid w:val="000B2F58"/>
    <w:rsid w:val="000B37A8"/>
    <w:rsid w:val="000B39E3"/>
    <w:rsid w:val="000B3D04"/>
    <w:rsid w:val="000B429D"/>
    <w:rsid w:val="000B4BDD"/>
    <w:rsid w:val="000B5111"/>
    <w:rsid w:val="000B51D9"/>
    <w:rsid w:val="000C03FB"/>
    <w:rsid w:val="000C287D"/>
    <w:rsid w:val="000C2AE4"/>
    <w:rsid w:val="000C2EC2"/>
    <w:rsid w:val="000C308F"/>
    <w:rsid w:val="000C3540"/>
    <w:rsid w:val="000C3541"/>
    <w:rsid w:val="000C374B"/>
    <w:rsid w:val="000C3D56"/>
    <w:rsid w:val="000C417A"/>
    <w:rsid w:val="000C42B8"/>
    <w:rsid w:val="000C4C6C"/>
    <w:rsid w:val="000C5A4E"/>
    <w:rsid w:val="000C635D"/>
    <w:rsid w:val="000C7221"/>
    <w:rsid w:val="000C7F49"/>
    <w:rsid w:val="000D016C"/>
    <w:rsid w:val="000D0B49"/>
    <w:rsid w:val="000D1AEE"/>
    <w:rsid w:val="000D1F4F"/>
    <w:rsid w:val="000D1F7D"/>
    <w:rsid w:val="000D2786"/>
    <w:rsid w:val="000D31A6"/>
    <w:rsid w:val="000D4C78"/>
    <w:rsid w:val="000D4D07"/>
    <w:rsid w:val="000D4D56"/>
    <w:rsid w:val="000D7095"/>
    <w:rsid w:val="000D7535"/>
    <w:rsid w:val="000D78D5"/>
    <w:rsid w:val="000D7EA3"/>
    <w:rsid w:val="000E165D"/>
    <w:rsid w:val="000E186A"/>
    <w:rsid w:val="000E1ADB"/>
    <w:rsid w:val="000E1BAF"/>
    <w:rsid w:val="000E223E"/>
    <w:rsid w:val="000E2403"/>
    <w:rsid w:val="000E2491"/>
    <w:rsid w:val="000E2AB7"/>
    <w:rsid w:val="000E2EA9"/>
    <w:rsid w:val="000E350A"/>
    <w:rsid w:val="000E4217"/>
    <w:rsid w:val="000E46A3"/>
    <w:rsid w:val="000E4A2A"/>
    <w:rsid w:val="000E4E88"/>
    <w:rsid w:val="000E522B"/>
    <w:rsid w:val="000E5726"/>
    <w:rsid w:val="000E6C94"/>
    <w:rsid w:val="000F0978"/>
    <w:rsid w:val="000F1ADE"/>
    <w:rsid w:val="000F1BB2"/>
    <w:rsid w:val="000F1D9A"/>
    <w:rsid w:val="000F2063"/>
    <w:rsid w:val="000F217A"/>
    <w:rsid w:val="000F22A9"/>
    <w:rsid w:val="000F29A3"/>
    <w:rsid w:val="000F3078"/>
    <w:rsid w:val="000F3189"/>
    <w:rsid w:val="000F345F"/>
    <w:rsid w:val="000F393F"/>
    <w:rsid w:val="000F3F94"/>
    <w:rsid w:val="000F518F"/>
    <w:rsid w:val="000F5235"/>
    <w:rsid w:val="000F52DF"/>
    <w:rsid w:val="000F5B21"/>
    <w:rsid w:val="000F60A1"/>
    <w:rsid w:val="000F6C84"/>
    <w:rsid w:val="000F6FA9"/>
    <w:rsid w:val="000F75E2"/>
    <w:rsid w:val="000F75E5"/>
    <w:rsid w:val="000F78C0"/>
    <w:rsid w:val="000F7E06"/>
    <w:rsid w:val="001004E3"/>
    <w:rsid w:val="0010105A"/>
    <w:rsid w:val="00101B20"/>
    <w:rsid w:val="00103501"/>
    <w:rsid w:val="00103946"/>
    <w:rsid w:val="00103B2D"/>
    <w:rsid w:val="00103CD2"/>
    <w:rsid w:val="00104061"/>
    <w:rsid w:val="00105205"/>
    <w:rsid w:val="0010538B"/>
    <w:rsid w:val="00105F50"/>
    <w:rsid w:val="00106F6C"/>
    <w:rsid w:val="00107236"/>
    <w:rsid w:val="00107856"/>
    <w:rsid w:val="001101A2"/>
    <w:rsid w:val="00110416"/>
    <w:rsid w:val="001106F7"/>
    <w:rsid w:val="001108A9"/>
    <w:rsid w:val="001111CF"/>
    <w:rsid w:val="00112EDA"/>
    <w:rsid w:val="0011394A"/>
    <w:rsid w:val="00114174"/>
    <w:rsid w:val="00114C03"/>
    <w:rsid w:val="00115EF3"/>
    <w:rsid w:val="001172D4"/>
    <w:rsid w:val="001178BC"/>
    <w:rsid w:val="00117ADB"/>
    <w:rsid w:val="00117C1D"/>
    <w:rsid w:val="00117CC0"/>
    <w:rsid w:val="00120352"/>
    <w:rsid w:val="001204B7"/>
    <w:rsid w:val="001208B9"/>
    <w:rsid w:val="00120EA2"/>
    <w:rsid w:val="001215E6"/>
    <w:rsid w:val="00123640"/>
    <w:rsid w:val="00123688"/>
    <w:rsid w:val="0012698D"/>
    <w:rsid w:val="00126D72"/>
    <w:rsid w:val="00127630"/>
    <w:rsid w:val="00127F47"/>
    <w:rsid w:val="00130BB8"/>
    <w:rsid w:val="00130D46"/>
    <w:rsid w:val="00131341"/>
    <w:rsid w:val="00131769"/>
    <w:rsid w:val="001322F2"/>
    <w:rsid w:val="0013282F"/>
    <w:rsid w:val="001334A9"/>
    <w:rsid w:val="00133572"/>
    <w:rsid w:val="0013507F"/>
    <w:rsid w:val="00135F03"/>
    <w:rsid w:val="00135F20"/>
    <w:rsid w:val="001364C1"/>
    <w:rsid w:val="001364FB"/>
    <w:rsid w:val="001365F2"/>
    <w:rsid w:val="00136D7A"/>
    <w:rsid w:val="001374C5"/>
    <w:rsid w:val="001374CB"/>
    <w:rsid w:val="00137524"/>
    <w:rsid w:val="00140476"/>
    <w:rsid w:val="00140F2D"/>
    <w:rsid w:val="00141470"/>
    <w:rsid w:val="00141540"/>
    <w:rsid w:val="001416AA"/>
    <w:rsid w:val="00141D7A"/>
    <w:rsid w:val="00141EA6"/>
    <w:rsid w:val="00142337"/>
    <w:rsid w:val="001435A9"/>
    <w:rsid w:val="00143A4C"/>
    <w:rsid w:val="00143ACB"/>
    <w:rsid w:val="00144061"/>
    <w:rsid w:val="001449DF"/>
    <w:rsid w:val="00145459"/>
    <w:rsid w:val="0014569B"/>
    <w:rsid w:val="0014593E"/>
    <w:rsid w:val="00145B16"/>
    <w:rsid w:val="0014656A"/>
    <w:rsid w:val="001470E0"/>
    <w:rsid w:val="0014757B"/>
    <w:rsid w:val="00147AC8"/>
    <w:rsid w:val="00150060"/>
    <w:rsid w:val="001518F6"/>
    <w:rsid w:val="00151B26"/>
    <w:rsid w:val="00152020"/>
    <w:rsid w:val="00152191"/>
    <w:rsid w:val="00152B0C"/>
    <w:rsid w:val="00152F4C"/>
    <w:rsid w:val="00152FF3"/>
    <w:rsid w:val="001538F4"/>
    <w:rsid w:val="001541C1"/>
    <w:rsid w:val="00154C69"/>
    <w:rsid w:val="0015623E"/>
    <w:rsid w:val="001565ED"/>
    <w:rsid w:val="00156B9C"/>
    <w:rsid w:val="0015704C"/>
    <w:rsid w:val="001570B7"/>
    <w:rsid w:val="00157895"/>
    <w:rsid w:val="00160EC2"/>
    <w:rsid w:val="001610D4"/>
    <w:rsid w:val="00161701"/>
    <w:rsid w:val="0016187B"/>
    <w:rsid w:val="00161E87"/>
    <w:rsid w:val="00162F97"/>
    <w:rsid w:val="00163547"/>
    <w:rsid w:val="001635FC"/>
    <w:rsid w:val="001647E8"/>
    <w:rsid w:val="00164B62"/>
    <w:rsid w:val="0016566C"/>
    <w:rsid w:val="001656B6"/>
    <w:rsid w:val="00165AAF"/>
    <w:rsid w:val="0016647D"/>
    <w:rsid w:val="00166758"/>
    <w:rsid w:val="00166AD7"/>
    <w:rsid w:val="00170069"/>
    <w:rsid w:val="0017074C"/>
    <w:rsid w:val="00171832"/>
    <w:rsid w:val="00171FA9"/>
    <w:rsid w:val="001727F0"/>
    <w:rsid w:val="00172B06"/>
    <w:rsid w:val="00172D72"/>
    <w:rsid w:val="001730EF"/>
    <w:rsid w:val="0017347E"/>
    <w:rsid w:val="00174097"/>
    <w:rsid w:val="001752D8"/>
    <w:rsid w:val="00175931"/>
    <w:rsid w:val="00176262"/>
    <w:rsid w:val="001763E8"/>
    <w:rsid w:val="001764E0"/>
    <w:rsid w:val="0017657D"/>
    <w:rsid w:val="00176B25"/>
    <w:rsid w:val="001771C6"/>
    <w:rsid w:val="0018067F"/>
    <w:rsid w:val="0018104A"/>
    <w:rsid w:val="0018121B"/>
    <w:rsid w:val="00181301"/>
    <w:rsid w:val="0018232A"/>
    <w:rsid w:val="0018238B"/>
    <w:rsid w:val="00182468"/>
    <w:rsid w:val="00182D90"/>
    <w:rsid w:val="00183419"/>
    <w:rsid w:val="0018394A"/>
    <w:rsid w:val="00183C18"/>
    <w:rsid w:val="0018479B"/>
    <w:rsid w:val="00184953"/>
    <w:rsid w:val="00184DCC"/>
    <w:rsid w:val="0018507C"/>
    <w:rsid w:val="001854E2"/>
    <w:rsid w:val="001855A3"/>
    <w:rsid w:val="0018566F"/>
    <w:rsid w:val="00185F34"/>
    <w:rsid w:val="001862E6"/>
    <w:rsid w:val="0018637F"/>
    <w:rsid w:val="00186729"/>
    <w:rsid w:val="00186A9D"/>
    <w:rsid w:val="00187102"/>
    <w:rsid w:val="0018722E"/>
    <w:rsid w:val="001874A6"/>
    <w:rsid w:val="0018765B"/>
    <w:rsid w:val="001876CD"/>
    <w:rsid w:val="00187F27"/>
    <w:rsid w:val="00187F52"/>
    <w:rsid w:val="0019062A"/>
    <w:rsid w:val="00190913"/>
    <w:rsid w:val="00190BBF"/>
    <w:rsid w:val="0019120B"/>
    <w:rsid w:val="00191FC3"/>
    <w:rsid w:val="0019236A"/>
    <w:rsid w:val="00192BE9"/>
    <w:rsid w:val="0019315E"/>
    <w:rsid w:val="0019393B"/>
    <w:rsid w:val="00193953"/>
    <w:rsid w:val="00193B21"/>
    <w:rsid w:val="00193DD3"/>
    <w:rsid w:val="001946E7"/>
    <w:rsid w:val="001948AA"/>
    <w:rsid w:val="00194FE4"/>
    <w:rsid w:val="00195004"/>
    <w:rsid w:val="00195241"/>
    <w:rsid w:val="0019562F"/>
    <w:rsid w:val="001959DA"/>
    <w:rsid w:val="00195F65"/>
    <w:rsid w:val="0019657C"/>
    <w:rsid w:val="00197FB0"/>
    <w:rsid w:val="001A0262"/>
    <w:rsid w:val="001A07E2"/>
    <w:rsid w:val="001A0A5D"/>
    <w:rsid w:val="001A2018"/>
    <w:rsid w:val="001A2B12"/>
    <w:rsid w:val="001A3416"/>
    <w:rsid w:val="001A3A75"/>
    <w:rsid w:val="001A3B52"/>
    <w:rsid w:val="001A3EEC"/>
    <w:rsid w:val="001A56F1"/>
    <w:rsid w:val="001A5D0E"/>
    <w:rsid w:val="001A6680"/>
    <w:rsid w:val="001A792E"/>
    <w:rsid w:val="001A7BE8"/>
    <w:rsid w:val="001B01C8"/>
    <w:rsid w:val="001B0B52"/>
    <w:rsid w:val="001B0C66"/>
    <w:rsid w:val="001B0D56"/>
    <w:rsid w:val="001B13F6"/>
    <w:rsid w:val="001B1747"/>
    <w:rsid w:val="001B2018"/>
    <w:rsid w:val="001B2D44"/>
    <w:rsid w:val="001B6CAD"/>
    <w:rsid w:val="001B7387"/>
    <w:rsid w:val="001B752A"/>
    <w:rsid w:val="001B786C"/>
    <w:rsid w:val="001B7BA5"/>
    <w:rsid w:val="001C004B"/>
    <w:rsid w:val="001C0114"/>
    <w:rsid w:val="001C0809"/>
    <w:rsid w:val="001C12FB"/>
    <w:rsid w:val="001C2D1C"/>
    <w:rsid w:val="001C2DB4"/>
    <w:rsid w:val="001C3087"/>
    <w:rsid w:val="001C3228"/>
    <w:rsid w:val="001C35E9"/>
    <w:rsid w:val="001C36BD"/>
    <w:rsid w:val="001C3733"/>
    <w:rsid w:val="001C49B3"/>
    <w:rsid w:val="001C5A76"/>
    <w:rsid w:val="001C5B30"/>
    <w:rsid w:val="001C668B"/>
    <w:rsid w:val="001C69B3"/>
    <w:rsid w:val="001C6E50"/>
    <w:rsid w:val="001C700D"/>
    <w:rsid w:val="001C76F6"/>
    <w:rsid w:val="001D033F"/>
    <w:rsid w:val="001D0902"/>
    <w:rsid w:val="001D149D"/>
    <w:rsid w:val="001D243B"/>
    <w:rsid w:val="001D2953"/>
    <w:rsid w:val="001D2C56"/>
    <w:rsid w:val="001D3C05"/>
    <w:rsid w:val="001D47A7"/>
    <w:rsid w:val="001D547B"/>
    <w:rsid w:val="001D565E"/>
    <w:rsid w:val="001D6AF4"/>
    <w:rsid w:val="001D6F7E"/>
    <w:rsid w:val="001D6FE1"/>
    <w:rsid w:val="001D7350"/>
    <w:rsid w:val="001E056E"/>
    <w:rsid w:val="001E0CC1"/>
    <w:rsid w:val="001E1435"/>
    <w:rsid w:val="001E1C10"/>
    <w:rsid w:val="001E2348"/>
    <w:rsid w:val="001E2682"/>
    <w:rsid w:val="001E29D7"/>
    <w:rsid w:val="001E314F"/>
    <w:rsid w:val="001E3690"/>
    <w:rsid w:val="001E3CC0"/>
    <w:rsid w:val="001E4587"/>
    <w:rsid w:val="001E45D1"/>
    <w:rsid w:val="001E4749"/>
    <w:rsid w:val="001E4C17"/>
    <w:rsid w:val="001E5791"/>
    <w:rsid w:val="001E6711"/>
    <w:rsid w:val="001E6AF6"/>
    <w:rsid w:val="001E74FC"/>
    <w:rsid w:val="001E77C3"/>
    <w:rsid w:val="001F090B"/>
    <w:rsid w:val="001F109C"/>
    <w:rsid w:val="001F180A"/>
    <w:rsid w:val="001F1A28"/>
    <w:rsid w:val="001F1AD0"/>
    <w:rsid w:val="001F1D2B"/>
    <w:rsid w:val="001F23CD"/>
    <w:rsid w:val="001F2981"/>
    <w:rsid w:val="001F31B9"/>
    <w:rsid w:val="001F35E8"/>
    <w:rsid w:val="001F4014"/>
    <w:rsid w:val="001F42E5"/>
    <w:rsid w:val="001F445E"/>
    <w:rsid w:val="001F4A62"/>
    <w:rsid w:val="001F6423"/>
    <w:rsid w:val="001F7B49"/>
    <w:rsid w:val="00200BC0"/>
    <w:rsid w:val="00201213"/>
    <w:rsid w:val="0020165E"/>
    <w:rsid w:val="0020272E"/>
    <w:rsid w:val="0020273A"/>
    <w:rsid w:val="00202995"/>
    <w:rsid w:val="00202E50"/>
    <w:rsid w:val="0020362F"/>
    <w:rsid w:val="00203828"/>
    <w:rsid w:val="00203D0A"/>
    <w:rsid w:val="0020484F"/>
    <w:rsid w:val="00204AAB"/>
    <w:rsid w:val="00205180"/>
    <w:rsid w:val="0020603A"/>
    <w:rsid w:val="00206437"/>
    <w:rsid w:val="0020693D"/>
    <w:rsid w:val="00206EA1"/>
    <w:rsid w:val="0020779F"/>
    <w:rsid w:val="00207F16"/>
    <w:rsid w:val="00207F81"/>
    <w:rsid w:val="002104C4"/>
    <w:rsid w:val="002105EF"/>
    <w:rsid w:val="002109F4"/>
    <w:rsid w:val="00210AE7"/>
    <w:rsid w:val="0021192C"/>
    <w:rsid w:val="00211FDA"/>
    <w:rsid w:val="002128BE"/>
    <w:rsid w:val="00212A86"/>
    <w:rsid w:val="00213849"/>
    <w:rsid w:val="00214278"/>
    <w:rsid w:val="0021466E"/>
    <w:rsid w:val="00214DD4"/>
    <w:rsid w:val="0021559A"/>
    <w:rsid w:val="00215FDA"/>
    <w:rsid w:val="002160C2"/>
    <w:rsid w:val="00216C12"/>
    <w:rsid w:val="00216F25"/>
    <w:rsid w:val="002170D8"/>
    <w:rsid w:val="002218D0"/>
    <w:rsid w:val="00221FEA"/>
    <w:rsid w:val="00222BB9"/>
    <w:rsid w:val="00223384"/>
    <w:rsid w:val="0022389C"/>
    <w:rsid w:val="00223914"/>
    <w:rsid w:val="00225292"/>
    <w:rsid w:val="002258D6"/>
    <w:rsid w:val="002274FB"/>
    <w:rsid w:val="00230634"/>
    <w:rsid w:val="00230907"/>
    <w:rsid w:val="002309D2"/>
    <w:rsid w:val="002315FD"/>
    <w:rsid w:val="00231B61"/>
    <w:rsid w:val="002321AB"/>
    <w:rsid w:val="002325C6"/>
    <w:rsid w:val="00232C35"/>
    <w:rsid w:val="0023315B"/>
    <w:rsid w:val="002347FE"/>
    <w:rsid w:val="00235FB4"/>
    <w:rsid w:val="00237D1D"/>
    <w:rsid w:val="00240667"/>
    <w:rsid w:val="002408D1"/>
    <w:rsid w:val="0024178D"/>
    <w:rsid w:val="00243033"/>
    <w:rsid w:val="00243419"/>
    <w:rsid w:val="0024392B"/>
    <w:rsid w:val="00244D3E"/>
    <w:rsid w:val="002450C6"/>
    <w:rsid w:val="00245134"/>
    <w:rsid w:val="00245678"/>
    <w:rsid w:val="0024580D"/>
    <w:rsid w:val="00245DCF"/>
    <w:rsid w:val="00245E0F"/>
    <w:rsid w:val="00246150"/>
    <w:rsid w:val="00246C65"/>
    <w:rsid w:val="0024721F"/>
    <w:rsid w:val="0024777F"/>
    <w:rsid w:val="00250E1F"/>
    <w:rsid w:val="002515BB"/>
    <w:rsid w:val="0025165B"/>
    <w:rsid w:val="00251A10"/>
    <w:rsid w:val="00252249"/>
    <w:rsid w:val="002527D1"/>
    <w:rsid w:val="00252BFF"/>
    <w:rsid w:val="00252EF1"/>
    <w:rsid w:val="00253732"/>
    <w:rsid w:val="002542A8"/>
    <w:rsid w:val="0025524E"/>
    <w:rsid w:val="00255E5E"/>
    <w:rsid w:val="0025652A"/>
    <w:rsid w:val="00256D43"/>
    <w:rsid w:val="002574DA"/>
    <w:rsid w:val="00257AEF"/>
    <w:rsid w:val="00260A11"/>
    <w:rsid w:val="00260FF2"/>
    <w:rsid w:val="00261125"/>
    <w:rsid w:val="00261159"/>
    <w:rsid w:val="0026169A"/>
    <w:rsid w:val="00262763"/>
    <w:rsid w:val="00262916"/>
    <w:rsid w:val="0026302F"/>
    <w:rsid w:val="0026371D"/>
    <w:rsid w:val="00264BEA"/>
    <w:rsid w:val="00265B9E"/>
    <w:rsid w:val="00265DC8"/>
    <w:rsid w:val="00266A15"/>
    <w:rsid w:val="00266ED3"/>
    <w:rsid w:val="00267042"/>
    <w:rsid w:val="00267850"/>
    <w:rsid w:val="00267D53"/>
    <w:rsid w:val="002708AF"/>
    <w:rsid w:val="00271032"/>
    <w:rsid w:val="0027160D"/>
    <w:rsid w:val="00271B5C"/>
    <w:rsid w:val="00272B27"/>
    <w:rsid w:val="00273171"/>
    <w:rsid w:val="00273372"/>
    <w:rsid w:val="00273E3E"/>
    <w:rsid w:val="00274147"/>
    <w:rsid w:val="00275189"/>
    <w:rsid w:val="002754A2"/>
    <w:rsid w:val="00275562"/>
    <w:rsid w:val="002756DC"/>
    <w:rsid w:val="00276412"/>
    <w:rsid w:val="00276437"/>
    <w:rsid w:val="002767C8"/>
    <w:rsid w:val="00277350"/>
    <w:rsid w:val="00277639"/>
    <w:rsid w:val="0027789C"/>
    <w:rsid w:val="00280053"/>
    <w:rsid w:val="0028063F"/>
    <w:rsid w:val="00280740"/>
    <w:rsid w:val="002813AF"/>
    <w:rsid w:val="00281C79"/>
    <w:rsid w:val="00281D46"/>
    <w:rsid w:val="00281EC5"/>
    <w:rsid w:val="00281ECD"/>
    <w:rsid w:val="00283445"/>
    <w:rsid w:val="0028398A"/>
    <w:rsid w:val="00283B02"/>
    <w:rsid w:val="00283C5D"/>
    <w:rsid w:val="002844B0"/>
    <w:rsid w:val="00284DC4"/>
    <w:rsid w:val="00286322"/>
    <w:rsid w:val="00286F8A"/>
    <w:rsid w:val="002915C6"/>
    <w:rsid w:val="0029177D"/>
    <w:rsid w:val="0029183D"/>
    <w:rsid w:val="00291DF4"/>
    <w:rsid w:val="00293054"/>
    <w:rsid w:val="002933FC"/>
    <w:rsid w:val="00293870"/>
    <w:rsid w:val="00295046"/>
    <w:rsid w:val="0029526A"/>
    <w:rsid w:val="00295F7E"/>
    <w:rsid w:val="00296981"/>
    <w:rsid w:val="00296B03"/>
    <w:rsid w:val="00296C1F"/>
    <w:rsid w:val="00297875"/>
    <w:rsid w:val="002A0098"/>
    <w:rsid w:val="002A0228"/>
    <w:rsid w:val="002A0BD4"/>
    <w:rsid w:val="002A0E8D"/>
    <w:rsid w:val="002A0F58"/>
    <w:rsid w:val="002A1FDC"/>
    <w:rsid w:val="002A27DD"/>
    <w:rsid w:val="002A3079"/>
    <w:rsid w:val="002A34A2"/>
    <w:rsid w:val="002A3EA0"/>
    <w:rsid w:val="002A402E"/>
    <w:rsid w:val="002A41E6"/>
    <w:rsid w:val="002A44C8"/>
    <w:rsid w:val="002A4977"/>
    <w:rsid w:val="002A5E48"/>
    <w:rsid w:val="002A6656"/>
    <w:rsid w:val="002A691D"/>
    <w:rsid w:val="002A6C5D"/>
    <w:rsid w:val="002A7252"/>
    <w:rsid w:val="002A79FA"/>
    <w:rsid w:val="002A7FCE"/>
    <w:rsid w:val="002B0013"/>
    <w:rsid w:val="002B0059"/>
    <w:rsid w:val="002B0188"/>
    <w:rsid w:val="002B0455"/>
    <w:rsid w:val="002B1BD3"/>
    <w:rsid w:val="002B214D"/>
    <w:rsid w:val="002B261C"/>
    <w:rsid w:val="002B29CF"/>
    <w:rsid w:val="002B2AC3"/>
    <w:rsid w:val="002B2BEE"/>
    <w:rsid w:val="002B3275"/>
    <w:rsid w:val="002B35C5"/>
    <w:rsid w:val="002B37E3"/>
    <w:rsid w:val="002B3935"/>
    <w:rsid w:val="002B3975"/>
    <w:rsid w:val="002B406A"/>
    <w:rsid w:val="002B41D4"/>
    <w:rsid w:val="002B4271"/>
    <w:rsid w:val="002B4670"/>
    <w:rsid w:val="002B543F"/>
    <w:rsid w:val="002B575C"/>
    <w:rsid w:val="002B57B5"/>
    <w:rsid w:val="002B6165"/>
    <w:rsid w:val="002B68BB"/>
    <w:rsid w:val="002B7A99"/>
    <w:rsid w:val="002B7D73"/>
    <w:rsid w:val="002C06E3"/>
    <w:rsid w:val="002C0801"/>
    <w:rsid w:val="002C096C"/>
    <w:rsid w:val="002C145F"/>
    <w:rsid w:val="002C19D2"/>
    <w:rsid w:val="002C2553"/>
    <w:rsid w:val="002C28D3"/>
    <w:rsid w:val="002C33B3"/>
    <w:rsid w:val="002C3B02"/>
    <w:rsid w:val="002C3CA8"/>
    <w:rsid w:val="002C3F62"/>
    <w:rsid w:val="002C44B0"/>
    <w:rsid w:val="002C4874"/>
    <w:rsid w:val="002C4A14"/>
    <w:rsid w:val="002C4E07"/>
    <w:rsid w:val="002C62B9"/>
    <w:rsid w:val="002C6568"/>
    <w:rsid w:val="002C6E7D"/>
    <w:rsid w:val="002C7E40"/>
    <w:rsid w:val="002D0586"/>
    <w:rsid w:val="002D1023"/>
    <w:rsid w:val="002D1459"/>
    <w:rsid w:val="002D1470"/>
    <w:rsid w:val="002D14AF"/>
    <w:rsid w:val="002D14B7"/>
    <w:rsid w:val="002D1C71"/>
    <w:rsid w:val="002D1DD3"/>
    <w:rsid w:val="002D21CF"/>
    <w:rsid w:val="002D30D1"/>
    <w:rsid w:val="002D3DB7"/>
    <w:rsid w:val="002D4705"/>
    <w:rsid w:val="002D4BF2"/>
    <w:rsid w:val="002D52B9"/>
    <w:rsid w:val="002D5B65"/>
    <w:rsid w:val="002D6396"/>
    <w:rsid w:val="002D6E67"/>
    <w:rsid w:val="002D75B7"/>
    <w:rsid w:val="002D796F"/>
    <w:rsid w:val="002D7AC6"/>
    <w:rsid w:val="002D7E5E"/>
    <w:rsid w:val="002E07BA"/>
    <w:rsid w:val="002E07EF"/>
    <w:rsid w:val="002E0B55"/>
    <w:rsid w:val="002E0D06"/>
    <w:rsid w:val="002E1780"/>
    <w:rsid w:val="002E1810"/>
    <w:rsid w:val="002E2F90"/>
    <w:rsid w:val="002E3516"/>
    <w:rsid w:val="002E4E94"/>
    <w:rsid w:val="002E5C5E"/>
    <w:rsid w:val="002F03E0"/>
    <w:rsid w:val="002F067D"/>
    <w:rsid w:val="002F071B"/>
    <w:rsid w:val="002F09A9"/>
    <w:rsid w:val="002F1B4C"/>
    <w:rsid w:val="002F1F28"/>
    <w:rsid w:val="002F2184"/>
    <w:rsid w:val="002F281A"/>
    <w:rsid w:val="002F333F"/>
    <w:rsid w:val="002F3537"/>
    <w:rsid w:val="002F38D1"/>
    <w:rsid w:val="002F3DB8"/>
    <w:rsid w:val="002F43CA"/>
    <w:rsid w:val="002F44E2"/>
    <w:rsid w:val="002F4DB5"/>
    <w:rsid w:val="002F57AA"/>
    <w:rsid w:val="002F5A00"/>
    <w:rsid w:val="002F5DD4"/>
    <w:rsid w:val="002F6EF7"/>
    <w:rsid w:val="002F70ED"/>
    <w:rsid w:val="002F714C"/>
    <w:rsid w:val="002F7532"/>
    <w:rsid w:val="002F77BF"/>
    <w:rsid w:val="003004A2"/>
    <w:rsid w:val="003009B2"/>
    <w:rsid w:val="0030384E"/>
    <w:rsid w:val="00303918"/>
    <w:rsid w:val="00303DD5"/>
    <w:rsid w:val="0030659C"/>
    <w:rsid w:val="003074EA"/>
    <w:rsid w:val="003075A8"/>
    <w:rsid w:val="00307B74"/>
    <w:rsid w:val="00307D52"/>
    <w:rsid w:val="0031043E"/>
    <w:rsid w:val="003105BF"/>
    <w:rsid w:val="00310764"/>
    <w:rsid w:val="00310845"/>
    <w:rsid w:val="003110D8"/>
    <w:rsid w:val="00311BFD"/>
    <w:rsid w:val="00311C29"/>
    <w:rsid w:val="00311D69"/>
    <w:rsid w:val="00311E0B"/>
    <w:rsid w:val="00311E6B"/>
    <w:rsid w:val="00311FA7"/>
    <w:rsid w:val="0031400D"/>
    <w:rsid w:val="00314718"/>
    <w:rsid w:val="0031488A"/>
    <w:rsid w:val="00314A99"/>
    <w:rsid w:val="003160DC"/>
    <w:rsid w:val="00316B06"/>
    <w:rsid w:val="003175E1"/>
    <w:rsid w:val="00317912"/>
    <w:rsid w:val="00320203"/>
    <w:rsid w:val="0032114F"/>
    <w:rsid w:val="00321150"/>
    <w:rsid w:val="00322002"/>
    <w:rsid w:val="00323044"/>
    <w:rsid w:val="003247B0"/>
    <w:rsid w:val="0032561D"/>
    <w:rsid w:val="003256C9"/>
    <w:rsid w:val="003257E8"/>
    <w:rsid w:val="00325E81"/>
    <w:rsid w:val="00325EF1"/>
    <w:rsid w:val="003262EA"/>
    <w:rsid w:val="003262EE"/>
    <w:rsid w:val="003268AC"/>
    <w:rsid w:val="00326948"/>
    <w:rsid w:val="00327052"/>
    <w:rsid w:val="0032708F"/>
    <w:rsid w:val="00327C5B"/>
    <w:rsid w:val="00330A53"/>
    <w:rsid w:val="00332853"/>
    <w:rsid w:val="003330BD"/>
    <w:rsid w:val="0033442A"/>
    <w:rsid w:val="0033486D"/>
    <w:rsid w:val="00334DCB"/>
    <w:rsid w:val="00334E23"/>
    <w:rsid w:val="00335228"/>
    <w:rsid w:val="0033574F"/>
    <w:rsid w:val="00335A0A"/>
    <w:rsid w:val="00335AFE"/>
    <w:rsid w:val="003367C4"/>
    <w:rsid w:val="00336B39"/>
    <w:rsid w:val="00336D8E"/>
    <w:rsid w:val="003376B3"/>
    <w:rsid w:val="00337C1F"/>
    <w:rsid w:val="0034078B"/>
    <w:rsid w:val="00340DC5"/>
    <w:rsid w:val="0034126A"/>
    <w:rsid w:val="003413C2"/>
    <w:rsid w:val="00341CC7"/>
    <w:rsid w:val="00342128"/>
    <w:rsid w:val="0034256D"/>
    <w:rsid w:val="00342CAB"/>
    <w:rsid w:val="00343FEC"/>
    <w:rsid w:val="00344BC6"/>
    <w:rsid w:val="00344BE5"/>
    <w:rsid w:val="00344F7E"/>
    <w:rsid w:val="00345694"/>
    <w:rsid w:val="00345F9C"/>
    <w:rsid w:val="00346022"/>
    <w:rsid w:val="003461C1"/>
    <w:rsid w:val="003469C9"/>
    <w:rsid w:val="00346C56"/>
    <w:rsid w:val="00346D81"/>
    <w:rsid w:val="00346E25"/>
    <w:rsid w:val="00347776"/>
    <w:rsid w:val="00347A5B"/>
    <w:rsid w:val="00350092"/>
    <w:rsid w:val="00351281"/>
    <w:rsid w:val="0035199E"/>
    <w:rsid w:val="00351A74"/>
    <w:rsid w:val="00351A91"/>
    <w:rsid w:val="00351CCA"/>
    <w:rsid w:val="00351EB4"/>
    <w:rsid w:val="003520C4"/>
    <w:rsid w:val="003523A6"/>
    <w:rsid w:val="003525CF"/>
    <w:rsid w:val="003532F5"/>
    <w:rsid w:val="003533AE"/>
    <w:rsid w:val="00353565"/>
    <w:rsid w:val="0035372E"/>
    <w:rsid w:val="0035385D"/>
    <w:rsid w:val="00354466"/>
    <w:rsid w:val="0035468B"/>
    <w:rsid w:val="003547D2"/>
    <w:rsid w:val="00355E14"/>
    <w:rsid w:val="0035671E"/>
    <w:rsid w:val="00357C5E"/>
    <w:rsid w:val="0036065C"/>
    <w:rsid w:val="003606F3"/>
    <w:rsid w:val="003608BD"/>
    <w:rsid w:val="00361280"/>
    <w:rsid w:val="003615F1"/>
    <w:rsid w:val="00361A6E"/>
    <w:rsid w:val="003626AF"/>
    <w:rsid w:val="00362DF4"/>
    <w:rsid w:val="00363A44"/>
    <w:rsid w:val="00363C64"/>
    <w:rsid w:val="00363D7F"/>
    <w:rsid w:val="00364562"/>
    <w:rsid w:val="0036506F"/>
    <w:rsid w:val="0036509B"/>
    <w:rsid w:val="00365B90"/>
    <w:rsid w:val="0036655E"/>
    <w:rsid w:val="003667E2"/>
    <w:rsid w:val="00366FD5"/>
    <w:rsid w:val="00367C66"/>
    <w:rsid w:val="00367EE6"/>
    <w:rsid w:val="00367F58"/>
    <w:rsid w:val="003700B2"/>
    <w:rsid w:val="003704D2"/>
    <w:rsid w:val="0037180D"/>
    <w:rsid w:val="0037233D"/>
    <w:rsid w:val="0037278E"/>
    <w:rsid w:val="00372EDB"/>
    <w:rsid w:val="00372F27"/>
    <w:rsid w:val="003736EF"/>
    <w:rsid w:val="003737E3"/>
    <w:rsid w:val="003745D8"/>
    <w:rsid w:val="00375022"/>
    <w:rsid w:val="003750B5"/>
    <w:rsid w:val="0037680D"/>
    <w:rsid w:val="003805DF"/>
    <w:rsid w:val="00380A1A"/>
    <w:rsid w:val="00380D80"/>
    <w:rsid w:val="00380F32"/>
    <w:rsid w:val="00381480"/>
    <w:rsid w:val="00381E0B"/>
    <w:rsid w:val="00382AC7"/>
    <w:rsid w:val="00382FA4"/>
    <w:rsid w:val="00383BC2"/>
    <w:rsid w:val="00384794"/>
    <w:rsid w:val="00384E01"/>
    <w:rsid w:val="00384F65"/>
    <w:rsid w:val="0038500E"/>
    <w:rsid w:val="00385785"/>
    <w:rsid w:val="00385827"/>
    <w:rsid w:val="0038761D"/>
    <w:rsid w:val="0038790A"/>
    <w:rsid w:val="00387A37"/>
    <w:rsid w:val="00387B18"/>
    <w:rsid w:val="00387C30"/>
    <w:rsid w:val="00387F5B"/>
    <w:rsid w:val="0039032B"/>
    <w:rsid w:val="003906F8"/>
    <w:rsid w:val="00390B07"/>
    <w:rsid w:val="00390F90"/>
    <w:rsid w:val="00391E6C"/>
    <w:rsid w:val="0039202E"/>
    <w:rsid w:val="00392642"/>
    <w:rsid w:val="003935EE"/>
    <w:rsid w:val="00393EE9"/>
    <w:rsid w:val="0039408A"/>
    <w:rsid w:val="003945F5"/>
    <w:rsid w:val="003945FA"/>
    <w:rsid w:val="00394E45"/>
    <w:rsid w:val="0039569F"/>
    <w:rsid w:val="0039589F"/>
    <w:rsid w:val="0039673D"/>
    <w:rsid w:val="003975DA"/>
    <w:rsid w:val="00397893"/>
    <w:rsid w:val="00397A41"/>
    <w:rsid w:val="003A15F3"/>
    <w:rsid w:val="003A2407"/>
    <w:rsid w:val="003A2941"/>
    <w:rsid w:val="003A2CF0"/>
    <w:rsid w:val="003A30DC"/>
    <w:rsid w:val="003A335B"/>
    <w:rsid w:val="003A33D3"/>
    <w:rsid w:val="003A3880"/>
    <w:rsid w:val="003A44E7"/>
    <w:rsid w:val="003A46BA"/>
    <w:rsid w:val="003A4B52"/>
    <w:rsid w:val="003A50DA"/>
    <w:rsid w:val="003A52A7"/>
    <w:rsid w:val="003A5BC5"/>
    <w:rsid w:val="003A5D55"/>
    <w:rsid w:val="003A601E"/>
    <w:rsid w:val="003A6B06"/>
    <w:rsid w:val="003A75E6"/>
    <w:rsid w:val="003A784A"/>
    <w:rsid w:val="003B094F"/>
    <w:rsid w:val="003B1D10"/>
    <w:rsid w:val="003B24AA"/>
    <w:rsid w:val="003B255B"/>
    <w:rsid w:val="003B30FC"/>
    <w:rsid w:val="003B3317"/>
    <w:rsid w:val="003B3E73"/>
    <w:rsid w:val="003B3EBC"/>
    <w:rsid w:val="003B4469"/>
    <w:rsid w:val="003B48D5"/>
    <w:rsid w:val="003B4B2F"/>
    <w:rsid w:val="003B4C50"/>
    <w:rsid w:val="003B52D4"/>
    <w:rsid w:val="003B54DE"/>
    <w:rsid w:val="003B5763"/>
    <w:rsid w:val="003B6777"/>
    <w:rsid w:val="003B7D48"/>
    <w:rsid w:val="003C0309"/>
    <w:rsid w:val="003C0E29"/>
    <w:rsid w:val="003C0F1A"/>
    <w:rsid w:val="003C1CA5"/>
    <w:rsid w:val="003C1EC7"/>
    <w:rsid w:val="003C25E2"/>
    <w:rsid w:val="003C2961"/>
    <w:rsid w:val="003C3D8E"/>
    <w:rsid w:val="003C41AC"/>
    <w:rsid w:val="003C468B"/>
    <w:rsid w:val="003C4E13"/>
    <w:rsid w:val="003C5E61"/>
    <w:rsid w:val="003C5F43"/>
    <w:rsid w:val="003C64A0"/>
    <w:rsid w:val="003C68A8"/>
    <w:rsid w:val="003C6F0B"/>
    <w:rsid w:val="003C6F37"/>
    <w:rsid w:val="003C7BA3"/>
    <w:rsid w:val="003D1C2D"/>
    <w:rsid w:val="003D2AFF"/>
    <w:rsid w:val="003D3642"/>
    <w:rsid w:val="003D3BAC"/>
    <w:rsid w:val="003D4283"/>
    <w:rsid w:val="003D4D4D"/>
    <w:rsid w:val="003D4E9C"/>
    <w:rsid w:val="003D53E0"/>
    <w:rsid w:val="003D57BC"/>
    <w:rsid w:val="003D59B4"/>
    <w:rsid w:val="003D5A01"/>
    <w:rsid w:val="003D5AA0"/>
    <w:rsid w:val="003D5B77"/>
    <w:rsid w:val="003D5EE8"/>
    <w:rsid w:val="003D63BB"/>
    <w:rsid w:val="003D715D"/>
    <w:rsid w:val="003D74EF"/>
    <w:rsid w:val="003D787C"/>
    <w:rsid w:val="003E0D78"/>
    <w:rsid w:val="003E1A74"/>
    <w:rsid w:val="003E1CB1"/>
    <w:rsid w:val="003E3A1D"/>
    <w:rsid w:val="003E4187"/>
    <w:rsid w:val="003E4D61"/>
    <w:rsid w:val="003E66FF"/>
    <w:rsid w:val="003E68AA"/>
    <w:rsid w:val="003E6C7E"/>
    <w:rsid w:val="003E6CA0"/>
    <w:rsid w:val="003E73D7"/>
    <w:rsid w:val="003E78E8"/>
    <w:rsid w:val="003F02D9"/>
    <w:rsid w:val="003F0714"/>
    <w:rsid w:val="003F0E4F"/>
    <w:rsid w:val="003F1ADB"/>
    <w:rsid w:val="003F1F41"/>
    <w:rsid w:val="003F2B38"/>
    <w:rsid w:val="003F2FDE"/>
    <w:rsid w:val="003F316D"/>
    <w:rsid w:val="003F330B"/>
    <w:rsid w:val="003F3B0B"/>
    <w:rsid w:val="003F552F"/>
    <w:rsid w:val="003F6FDF"/>
    <w:rsid w:val="00400366"/>
    <w:rsid w:val="004003B5"/>
    <w:rsid w:val="004016F5"/>
    <w:rsid w:val="00401726"/>
    <w:rsid w:val="00402B1C"/>
    <w:rsid w:val="0040441E"/>
    <w:rsid w:val="004045A1"/>
    <w:rsid w:val="004045AA"/>
    <w:rsid w:val="00404B51"/>
    <w:rsid w:val="0040505C"/>
    <w:rsid w:val="0040549A"/>
    <w:rsid w:val="004056C6"/>
    <w:rsid w:val="00405CC9"/>
    <w:rsid w:val="004065DF"/>
    <w:rsid w:val="0040667B"/>
    <w:rsid w:val="0040711E"/>
    <w:rsid w:val="00407362"/>
    <w:rsid w:val="00407D67"/>
    <w:rsid w:val="0041018D"/>
    <w:rsid w:val="004101EF"/>
    <w:rsid w:val="00410A77"/>
    <w:rsid w:val="00410A92"/>
    <w:rsid w:val="00411310"/>
    <w:rsid w:val="004115D7"/>
    <w:rsid w:val="004117F5"/>
    <w:rsid w:val="00412450"/>
    <w:rsid w:val="00412FDC"/>
    <w:rsid w:val="00413313"/>
    <w:rsid w:val="0041381B"/>
    <w:rsid w:val="004138DE"/>
    <w:rsid w:val="004139D0"/>
    <w:rsid w:val="00413B39"/>
    <w:rsid w:val="00414B2F"/>
    <w:rsid w:val="00415287"/>
    <w:rsid w:val="004153D6"/>
    <w:rsid w:val="00415763"/>
    <w:rsid w:val="00415B0A"/>
    <w:rsid w:val="00415E58"/>
    <w:rsid w:val="00416231"/>
    <w:rsid w:val="004169CF"/>
    <w:rsid w:val="004172F9"/>
    <w:rsid w:val="00417F32"/>
    <w:rsid w:val="004208AB"/>
    <w:rsid w:val="00420B51"/>
    <w:rsid w:val="004211C3"/>
    <w:rsid w:val="004219EF"/>
    <w:rsid w:val="00421A72"/>
    <w:rsid w:val="00421B0B"/>
    <w:rsid w:val="0042209A"/>
    <w:rsid w:val="00422ED4"/>
    <w:rsid w:val="00422FBB"/>
    <w:rsid w:val="0042315F"/>
    <w:rsid w:val="004235D7"/>
    <w:rsid w:val="00424348"/>
    <w:rsid w:val="00424F40"/>
    <w:rsid w:val="004250A0"/>
    <w:rsid w:val="0042560B"/>
    <w:rsid w:val="00425B43"/>
    <w:rsid w:val="00426CD9"/>
    <w:rsid w:val="00426D78"/>
    <w:rsid w:val="00426DE2"/>
    <w:rsid w:val="004272F9"/>
    <w:rsid w:val="004278E9"/>
    <w:rsid w:val="004279C9"/>
    <w:rsid w:val="004302D5"/>
    <w:rsid w:val="004303F8"/>
    <w:rsid w:val="00430FEB"/>
    <w:rsid w:val="004310EE"/>
    <w:rsid w:val="00431E9F"/>
    <w:rsid w:val="00432E13"/>
    <w:rsid w:val="00433186"/>
    <w:rsid w:val="00433677"/>
    <w:rsid w:val="00433DC2"/>
    <w:rsid w:val="004340D5"/>
    <w:rsid w:val="00434880"/>
    <w:rsid w:val="00434A21"/>
    <w:rsid w:val="0043526D"/>
    <w:rsid w:val="004359A8"/>
    <w:rsid w:val="00435FD8"/>
    <w:rsid w:val="004368E9"/>
    <w:rsid w:val="004374DA"/>
    <w:rsid w:val="00440499"/>
    <w:rsid w:val="00440D06"/>
    <w:rsid w:val="00440F70"/>
    <w:rsid w:val="004418E8"/>
    <w:rsid w:val="004433CB"/>
    <w:rsid w:val="0044493E"/>
    <w:rsid w:val="00444C8C"/>
    <w:rsid w:val="004459A1"/>
    <w:rsid w:val="004460E9"/>
    <w:rsid w:val="004464DA"/>
    <w:rsid w:val="004466D5"/>
    <w:rsid w:val="0044675E"/>
    <w:rsid w:val="004474FB"/>
    <w:rsid w:val="00447B6F"/>
    <w:rsid w:val="00447E35"/>
    <w:rsid w:val="00450CEC"/>
    <w:rsid w:val="00450FA2"/>
    <w:rsid w:val="00452695"/>
    <w:rsid w:val="00453623"/>
    <w:rsid w:val="00453C11"/>
    <w:rsid w:val="0045456C"/>
    <w:rsid w:val="004557B0"/>
    <w:rsid w:val="00455B39"/>
    <w:rsid w:val="00455C02"/>
    <w:rsid w:val="004570CD"/>
    <w:rsid w:val="00457407"/>
    <w:rsid w:val="00457946"/>
    <w:rsid w:val="00457D8B"/>
    <w:rsid w:val="00460A17"/>
    <w:rsid w:val="00460A41"/>
    <w:rsid w:val="00461512"/>
    <w:rsid w:val="00461C31"/>
    <w:rsid w:val="00462F79"/>
    <w:rsid w:val="00463438"/>
    <w:rsid w:val="00463ECE"/>
    <w:rsid w:val="004647E7"/>
    <w:rsid w:val="00464872"/>
    <w:rsid w:val="00465388"/>
    <w:rsid w:val="004674E2"/>
    <w:rsid w:val="00467579"/>
    <w:rsid w:val="004677C9"/>
    <w:rsid w:val="00467854"/>
    <w:rsid w:val="00467DAE"/>
    <w:rsid w:val="0047002E"/>
    <w:rsid w:val="004702DF"/>
    <w:rsid w:val="00470CB5"/>
    <w:rsid w:val="00471321"/>
    <w:rsid w:val="00471EAB"/>
    <w:rsid w:val="004723EE"/>
    <w:rsid w:val="00473627"/>
    <w:rsid w:val="00473C4A"/>
    <w:rsid w:val="00474496"/>
    <w:rsid w:val="0047520F"/>
    <w:rsid w:val="00475A92"/>
    <w:rsid w:val="00475B95"/>
    <w:rsid w:val="00476A53"/>
    <w:rsid w:val="004779DE"/>
    <w:rsid w:val="00477BB9"/>
    <w:rsid w:val="00477FD7"/>
    <w:rsid w:val="004800EF"/>
    <w:rsid w:val="00480AD3"/>
    <w:rsid w:val="00481C7B"/>
    <w:rsid w:val="0048438D"/>
    <w:rsid w:val="0048450A"/>
    <w:rsid w:val="004859EE"/>
    <w:rsid w:val="0048646D"/>
    <w:rsid w:val="004866D9"/>
    <w:rsid w:val="004869F8"/>
    <w:rsid w:val="004872ED"/>
    <w:rsid w:val="00487366"/>
    <w:rsid w:val="004873E4"/>
    <w:rsid w:val="00490559"/>
    <w:rsid w:val="0049072C"/>
    <w:rsid w:val="004908D5"/>
    <w:rsid w:val="00490FD1"/>
    <w:rsid w:val="0049169A"/>
    <w:rsid w:val="00491AD2"/>
    <w:rsid w:val="004922A5"/>
    <w:rsid w:val="00492EE6"/>
    <w:rsid w:val="0049302E"/>
    <w:rsid w:val="004935C0"/>
    <w:rsid w:val="00493B43"/>
    <w:rsid w:val="00494EB1"/>
    <w:rsid w:val="0049528A"/>
    <w:rsid w:val="00496414"/>
    <w:rsid w:val="004970E6"/>
    <w:rsid w:val="00497A38"/>
    <w:rsid w:val="004A00CA"/>
    <w:rsid w:val="004A053D"/>
    <w:rsid w:val="004A1E09"/>
    <w:rsid w:val="004A282C"/>
    <w:rsid w:val="004A369A"/>
    <w:rsid w:val="004A44D8"/>
    <w:rsid w:val="004A45BD"/>
    <w:rsid w:val="004A4656"/>
    <w:rsid w:val="004A4BFE"/>
    <w:rsid w:val="004A56A4"/>
    <w:rsid w:val="004A5709"/>
    <w:rsid w:val="004A5EFA"/>
    <w:rsid w:val="004A6E9E"/>
    <w:rsid w:val="004A75DA"/>
    <w:rsid w:val="004A77B0"/>
    <w:rsid w:val="004A7EBD"/>
    <w:rsid w:val="004B07F6"/>
    <w:rsid w:val="004B08A9"/>
    <w:rsid w:val="004B0B09"/>
    <w:rsid w:val="004B183D"/>
    <w:rsid w:val="004B1CA8"/>
    <w:rsid w:val="004B1CED"/>
    <w:rsid w:val="004B1D28"/>
    <w:rsid w:val="004B2267"/>
    <w:rsid w:val="004B25D5"/>
    <w:rsid w:val="004B262A"/>
    <w:rsid w:val="004B27C0"/>
    <w:rsid w:val="004B34A7"/>
    <w:rsid w:val="004B3B06"/>
    <w:rsid w:val="004B3D04"/>
    <w:rsid w:val="004B3ED5"/>
    <w:rsid w:val="004B4643"/>
    <w:rsid w:val="004B4826"/>
    <w:rsid w:val="004B5751"/>
    <w:rsid w:val="004B603F"/>
    <w:rsid w:val="004B7623"/>
    <w:rsid w:val="004B7CFE"/>
    <w:rsid w:val="004B7E71"/>
    <w:rsid w:val="004B7F67"/>
    <w:rsid w:val="004C06BE"/>
    <w:rsid w:val="004C0938"/>
    <w:rsid w:val="004C0F7F"/>
    <w:rsid w:val="004C1994"/>
    <w:rsid w:val="004C2E5C"/>
    <w:rsid w:val="004C3929"/>
    <w:rsid w:val="004C3AD0"/>
    <w:rsid w:val="004C4161"/>
    <w:rsid w:val="004C5D0F"/>
    <w:rsid w:val="004C6519"/>
    <w:rsid w:val="004C6DDD"/>
    <w:rsid w:val="004C70FC"/>
    <w:rsid w:val="004C7DCA"/>
    <w:rsid w:val="004D1004"/>
    <w:rsid w:val="004D2675"/>
    <w:rsid w:val="004D2CCF"/>
    <w:rsid w:val="004D311F"/>
    <w:rsid w:val="004D3EA5"/>
    <w:rsid w:val="004D4080"/>
    <w:rsid w:val="004D4CB8"/>
    <w:rsid w:val="004D5437"/>
    <w:rsid w:val="004D69E3"/>
    <w:rsid w:val="004D6BB3"/>
    <w:rsid w:val="004D7366"/>
    <w:rsid w:val="004D781A"/>
    <w:rsid w:val="004D7CB3"/>
    <w:rsid w:val="004E05FD"/>
    <w:rsid w:val="004E070B"/>
    <w:rsid w:val="004E12D0"/>
    <w:rsid w:val="004E1569"/>
    <w:rsid w:val="004E18C3"/>
    <w:rsid w:val="004E1A0D"/>
    <w:rsid w:val="004E23F5"/>
    <w:rsid w:val="004E2748"/>
    <w:rsid w:val="004E2765"/>
    <w:rsid w:val="004E2EF8"/>
    <w:rsid w:val="004E42ED"/>
    <w:rsid w:val="004E4D24"/>
    <w:rsid w:val="004E4F74"/>
    <w:rsid w:val="004E5418"/>
    <w:rsid w:val="004E5677"/>
    <w:rsid w:val="004E63E5"/>
    <w:rsid w:val="004E6724"/>
    <w:rsid w:val="004E6B76"/>
    <w:rsid w:val="004E6B7D"/>
    <w:rsid w:val="004E6F3F"/>
    <w:rsid w:val="004E7C65"/>
    <w:rsid w:val="004E7DAE"/>
    <w:rsid w:val="004F0A46"/>
    <w:rsid w:val="004F0F6C"/>
    <w:rsid w:val="004F1437"/>
    <w:rsid w:val="004F1BE6"/>
    <w:rsid w:val="004F22B5"/>
    <w:rsid w:val="004F2988"/>
    <w:rsid w:val="004F2DDC"/>
    <w:rsid w:val="004F2DE1"/>
    <w:rsid w:val="004F3491"/>
    <w:rsid w:val="004F3540"/>
    <w:rsid w:val="004F36A7"/>
    <w:rsid w:val="004F39A7"/>
    <w:rsid w:val="004F3D73"/>
    <w:rsid w:val="004F3DC2"/>
    <w:rsid w:val="004F3FD7"/>
    <w:rsid w:val="004F400F"/>
    <w:rsid w:val="004F52DB"/>
    <w:rsid w:val="004F5461"/>
    <w:rsid w:val="004F5528"/>
    <w:rsid w:val="004F558C"/>
    <w:rsid w:val="004F5624"/>
    <w:rsid w:val="004F597E"/>
    <w:rsid w:val="004F5DA4"/>
    <w:rsid w:val="004F62B2"/>
    <w:rsid w:val="004F6424"/>
    <w:rsid w:val="004F6CDB"/>
    <w:rsid w:val="004F6DD0"/>
    <w:rsid w:val="004F7051"/>
    <w:rsid w:val="004F7AC8"/>
    <w:rsid w:val="004F7AD3"/>
    <w:rsid w:val="004F7EFE"/>
    <w:rsid w:val="00501A9A"/>
    <w:rsid w:val="00501E8B"/>
    <w:rsid w:val="0050250A"/>
    <w:rsid w:val="00502556"/>
    <w:rsid w:val="00502A6F"/>
    <w:rsid w:val="00503A7D"/>
    <w:rsid w:val="005040CD"/>
    <w:rsid w:val="005051B1"/>
    <w:rsid w:val="005051E6"/>
    <w:rsid w:val="00505229"/>
    <w:rsid w:val="00506895"/>
    <w:rsid w:val="00506A28"/>
    <w:rsid w:val="00507F98"/>
    <w:rsid w:val="00510382"/>
    <w:rsid w:val="005108A3"/>
    <w:rsid w:val="00510A33"/>
    <w:rsid w:val="00510DB5"/>
    <w:rsid w:val="00510F6E"/>
    <w:rsid w:val="0051103D"/>
    <w:rsid w:val="00511422"/>
    <w:rsid w:val="0051162E"/>
    <w:rsid w:val="005118AE"/>
    <w:rsid w:val="00511E8F"/>
    <w:rsid w:val="00512043"/>
    <w:rsid w:val="0051212F"/>
    <w:rsid w:val="005134F4"/>
    <w:rsid w:val="00514CCE"/>
    <w:rsid w:val="0051543B"/>
    <w:rsid w:val="00515479"/>
    <w:rsid w:val="00515592"/>
    <w:rsid w:val="0051587A"/>
    <w:rsid w:val="005158FA"/>
    <w:rsid w:val="0051608C"/>
    <w:rsid w:val="005169AD"/>
    <w:rsid w:val="00516C0B"/>
    <w:rsid w:val="00517E8A"/>
    <w:rsid w:val="005208B9"/>
    <w:rsid w:val="00521A73"/>
    <w:rsid w:val="005221F0"/>
    <w:rsid w:val="0052237E"/>
    <w:rsid w:val="0052321E"/>
    <w:rsid w:val="00524807"/>
    <w:rsid w:val="005250A2"/>
    <w:rsid w:val="005252FE"/>
    <w:rsid w:val="00525FF9"/>
    <w:rsid w:val="00526175"/>
    <w:rsid w:val="005266C4"/>
    <w:rsid w:val="00527C11"/>
    <w:rsid w:val="00530A07"/>
    <w:rsid w:val="005325F0"/>
    <w:rsid w:val="00532C41"/>
    <w:rsid w:val="00532D3F"/>
    <w:rsid w:val="005331A3"/>
    <w:rsid w:val="0053386D"/>
    <w:rsid w:val="0053387D"/>
    <w:rsid w:val="00533D1F"/>
    <w:rsid w:val="00534700"/>
    <w:rsid w:val="0053495F"/>
    <w:rsid w:val="00535304"/>
    <w:rsid w:val="005363D2"/>
    <w:rsid w:val="0053717B"/>
    <w:rsid w:val="005376CF"/>
    <w:rsid w:val="0053791F"/>
    <w:rsid w:val="00537965"/>
    <w:rsid w:val="00537D91"/>
    <w:rsid w:val="00540AA5"/>
    <w:rsid w:val="00540BD7"/>
    <w:rsid w:val="005434C3"/>
    <w:rsid w:val="005439D6"/>
    <w:rsid w:val="005450CD"/>
    <w:rsid w:val="005454BE"/>
    <w:rsid w:val="00545549"/>
    <w:rsid w:val="00545C73"/>
    <w:rsid w:val="00546259"/>
    <w:rsid w:val="005462AE"/>
    <w:rsid w:val="00546622"/>
    <w:rsid w:val="00546724"/>
    <w:rsid w:val="00547538"/>
    <w:rsid w:val="00550944"/>
    <w:rsid w:val="00551972"/>
    <w:rsid w:val="005520E8"/>
    <w:rsid w:val="005521D1"/>
    <w:rsid w:val="00553459"/>
    <w:rsid w:val="00553546"/>
    <w:rsid w:val="00553625"/>
    <w:rsid w:val="00553BFA"/>
    <w:rsid w:val="00553D53"/>
    <w:rsid w:val="00554D05"/>
    <w:rsid w:val="0055532C"/>
    <w:rsid w:val="00555657"/>
    <w:rsid w:val="0055577D"/>
    <w:rsid w:val="005559CE"/>
    <w:rsid w:val="00555A33"/>
    <w:rsid w:val="005565F4"/>
    <w:rsid w:val="0055733D"/>
    <w:rsid w:val="00560075"/>
    <w:rsid w:val="0056013F"/>
    <w:rsid w:val="0056077E"/>
    <w:rsid w:val="00560919"/>
    <w:rsid w:val="00560B63"/>
    <w:rsid w:val="00560EDA"/>
    <w:rsid w:val="0056115B"/>
    <w:rsid w:val="00561605"/>
    <w:rsid w:val="0056212D"/>
    <w:rsid w:val="0056215D"/>
    <w:rsid w:val="005629EE"/>
    <w:rsid w:val="00562B89"/>
    <w:rsid w:val="005638F4"/>
    <w:rsid w:val="0056402E"/>
    <w:rsid w:val="005648FA"/>
    <w:rsid w:val="0056490A"/>
    <w:rsid w:val="00564AFD"/>
    <w:rsid w:val="00564D50"/>
    <w:rsid w:val="00565090"/>
    <w:rsid w:val="005651B0"/>
    <w:rsid w:val="005659BD"/>
    <w:rsid w:val="00566C9D"/>
    <w:rsid w:val="00567183"/>
    <w:rsid w:val="00567346"/>
    <w:rsid w:val="005676B1"/>
    <w:rsid w:val="005700D6"/>
    <w:rsid w:val="00570704"/>
    <w:rsid w:val="00570E65"/>
    <w:rsid w:val="00571F8D"/>
    <w:rsid w:val="0057319F"/>
    <w:rsid w:val="0057371B"/>
    <w:rsid w:val="00573CB8"/>
    <w:rsid w:val="005749F5"/>
    <w:rsid w:val="00574AD4"/>
    <w:rsid w:val="005751BD"/>
    <w:rsid w:val="00575E25"/>
    <w:rsid w:val="00575EB8"/>
    <w:rsid w:val="0057613A"/>
    <w:rsid w:val="005764DE"/>
    <w:rsid w:val="0058099F"/>
    <w:rsid w:val="00580E3A"/>
    <w:rsid w:val="00582860"/>
    <w:rsid w:val="00582A9B"/>
    <w:rsid w:val="00582D1A"/>
    <w:rsid w:val="005832AB"/>
    <w:rsid w:val="0058334C"/>
    <w:rsid w:val="0058362A"/>
    <w:rsid w:val="00583E1F"/>
    <w:rsid w:val="0058437C"/>
    <w:rsid w:val="00584BF4"/>
    <w:rsid w:val="00584EAE"/>
    <w:rsid w:val="005857F0"/>
    <w:rsid w:val="0058592D"/>
    <w:rsid w:val="00586456"/>
    <w:rsid w:val="00586479"/>
    <w:rsid w:val="0058764A"/>
    <w:rsid w:val="005913D9"/>
    <w:rsid w:val="0059156D"/>
    <w:rsid w:val="00591B80"/>
    <w:rsid w:val="00592170"/>
    <w:rsid w:val="00592CA0"/>
    <w:rsid w:val="005935F4"/>
    <w:rsid w:val="005939A1"/>
    <w:rsid w:val="00593C45"/>
    <w:rsid w:val="00593E0A"/>
    <w:rsid w:val="00594334"/>
    <w:rsid w:val="005A167F"/>
    <w:rsid w:val="005A24EC"/>
    <w:rsid w:val="005A257E"/>
    <w:rsid w:val="005A346E"/>
    <w:rsid w:val="005A39BB"/>
    <w:rsid w:val="005A3F21"/>
    <w:rsid w:val="005A4171"/>
    <w:rsid w:val="005A475B"/>
    <w:rsid w:val="005A52DE"/>
    <w:rsid w:val="005A66DA"/>
    <w:rsid w:val="005A720D"/>
    <w:rsid w:val="005A73CF"/>
    <w:rsid w:val="005A79CB"/>
    <w:rsid w:val="005B0064"/>
    <w:rsid w:val="005B050F"/>
    <w:rsid w:val="005B1EFA"/>
    <w:rsid w:val="005B297F"/>
    <w:rsid w:val="005B2DBC"/>
    <w:rsid w:val="005B2EF9"/>
    <w:rsid w:val="005B3776"/>
    <w:rsid w:val="005B3D2A"/>
    <w:rsid w:val="005B3F5C"/>
    <w:rsid w:val="005B3F6F"/>
    <w:rsid w:val="005B4EC5"/>
    <w:rsid w:val="005B5A22"/>
    <w:rsid w:val="005B5BF3"/>
    <w:rsid w:val="005B5C7D"/>
    <w:rsid w:val="005B60EE"/>
    <w:rsid w:val="005B64B0"/>
    <w:rsid w:val="005B798B"/>
    <w:rsid w:val="005C0D73"/>
    <w:rsid w:val="005C1A21"/>
    <w:rsid w:val="005C1A33"/>
    <w:rsid w:val="005C1FAE"/>
    <w:rsid w:val="005C2126"/>
    <w:rsid w:val="005C2B62"/>
    <w:rsid w:val="005C313B"/>
    <w:rsid w:val="005C39E8"/>
    <w:rsid w:val="005C3AE1"/>
    <w:rsid w:val="005C5660"/>
    <w:rsid w:val="005C5D7B"/>
    <w:rsid w:val="005C65A7"/>
    <w:rsid w:val="005C7197"/>
    <w:rsid w:val="005C71E4"/>
    <w:rsid w:val="005C72E3"/>
    <w:rsid w:val="005D01B6"/>
    <w:rsid w:val="005D09E3"/>
    <w:rsid w:val="005D0F98"/>
    <w:rsid w:val="005D11B2"/>
    <w:rsid w:val="005D15DA"/>
    <w:rsid w:val="005D1932"/>
    <w:rsid w:val="005D30E7"/>
    <w:rsid w:val="005D343C"/>
    <w:rsid w:val="005D4788"/>
    <w:rsid w:val="005D4B68"/>
    <w:rsid w:val="005D5AB9"/>
    <w:rsid w:val="005D5D74"/>
    <w:rsid w:val="005D76BB"/>
    <w:rsid w:val="005D7D95"/>
    <w:rsid w:val="005D7FE3"/>
    <w:rsid w:val="005E03BA"/>
    <w:rsid w:val="005E06F2"/>
    <w:rsid w:val="005E06F4"/>
    <w:rsid w:val="005E11C1"/>
    <w:rsid w:val="005E149B"/>
    <w:rsid w:val="005E2563"/>
    <w:rsid w:val="005E31AC"/>
    <w:rsid w:val="005E35F9"/>
    <w:rsid w:val="005E394C"/>
    <w:rsid w:val="005E42BF"/>
    <w:rsid w:val="005E4E70"/>
    <w:rsid w:val="005E54CC"/>
    <w:rsid w:val="005E5BB5"/>
    <w:rsid w:val="005E65BB"/>
    <w:rsid w:val="005E6C7B"/>
    <w:rsid w:val="005E783D"/>
    <w:rsid w:val="005F0DA0"/>
    <w:rsid w:val="005F19AA"/>
    <w:rsid w:val="005F26B4"/>
    <w:rsid w:val="005F2718"/>
    <w:rsid w:val="005F2767"/>
    <w:rsid w:val="005F291F"/>
    <w:rsid w:val="005F2D03"/>
    <w:rsid w:val="005F41AD"/>
    <w:rsid w:val="005F4914"/>
    <w:rsid w:val="005F4CAE"/>
    <w:rsid w:val="005F5F03"/>
    <w:rsid w:val="005F62B7"/>
    <w:rsid w:val="005F66D1"/>
    <w:rsid w:val="005F67FC"/>
    <w:rsid w:val="005F6869"/>
    <w:rsid w:val="005F6BB9"/>
    <w:rsid w:val="005F7093"/>
    <w:rsid w:val="00600C11"/>
    <w:rsid w:val="00601980"/>
    <w:rsid w:val="00602320"/>
    <w:rsid w:val="0060285C"/>
    <w:rsid w:val="0060301F"/>
    <w:rsid w:val="00603148"/>
    <w:rsid w:val="006035EB"/>
    <w:rsid w:val="00604565"/>
    <w:rsid w:val="00604816"/>
    <w:rsid w:val="00605929"/>
    <w:rsid w:val="00606C74"/>
    <w:rsid w:val="00606F93"/>
    <w:rsid w:val="00606FC7"/>
    <w:rsid w:val="00607B2D"/>
    <w:rsid w:val="00610456"/>
    <w:rsid w:val="00610643"/>
    <w:rsid w:val="00610974"/>
    <w:rsid w:val="00610BD8"/>
    <w:rsid w:val="00611397"/>
    <w:rsid w:val="00611473"/>
    <w:rsid w:val="00611B36"/>
    <w:rsid w:val="00611D81"/>
    <w:rsid w:val="00612584"/>
    <w:rsid w:val="00612591"/>
    <w:rsid w:val="00612940"/>
    <w:rsid w:val="00612ABB"/>
    <w:rsid w:val="00613A34"/>
    <w:rsid w:val="00613E76"/>
    <w:rsid w:val="0061546C"/>
    <w:rsid w:val="006155F2"/>
    <w:rsid w:val="00615ADA"/>
    <w:rsid w:val="0061649D"/>
    <w:rsid w:val="006167FD"/>
    <w:rsid w:val="00616809"/>
    <w:rsid w:val="0061697D"/>
    <w:rsid w:val="00617320"/>
    <w:rsid w:val="00617992"/>
    <w:rsid w:val="00617B34"/>
    <w:rsid w:val="006201E0"/>
    <w:rsid w:val="00620F58"/>
    <w:rsid w:val="0062139E"/>
    <w:rsid w:val="00621B76"/>
    <w:rsid w:val="00621CA8"/>
    <w:rsid w:val="00621D06"/>
    <w:rsid w:val="006221CD"/>
    <w:rsid w:val="00622220"/>
    <w:rsid w:val="006235BD"/>
    <w:rsid w:val="00623724"/>
    <w:rsid w:val="00623C2D"/>
    <w:rsid w:val="00624038"/>
    <w:rsid w:val="006247A3"/>
    <w:rsid w:val="0062546F"/>
    <w:rsid w:val="006254BC"/>
    <w:rsid w:val="00625F9E"/>
    <w:rsid w:val="006266A9"/>
    <w:rsid w:val="0062732F"/>
    <w:rsid w:val="00630426"/>
    <w:rsid w:val="00630CAF"/>
    <w:rsid w:val="006316A7"/>
    <w:rsid w:val="006316C1"/>
    <w:rsid w:val="00631ED4"/>
    <w:rsid w:val="006328E0"/>
    <w:rsid w:val="00632A56"/>
    <w:rsid w:val="00632B3E"/>
    <w:rsid w:val="006339E0"/>
    <w:rsid w:val="00633BC7"/>
    <w:rsid w:val="00635174"/>
    <w:rsid w:val="006353D7"/>
    <w:rsid w:val="00635AC7"/>
    <w:rsid w:val="00635DA0"/>
    <w:rsid w:val="00635E9C"/>
    <w:rsid w:val="00636279"/>
    <w:rsid w:val="0063658F"/>
    <w:rsid w:val="0063753F"/>
    <w:rsid w:val="00637B41"/>
    <w:rsid w:val="00637F2F"/>
    <w:rsid w:val="006405EC"/>
    <w:rsid w:val="00640E0C"/>
    <w:rsid w:val="006414EE"/>
    <w:rsid w:val="00642524"/>
    <w:rsid w:val="0064258E"/>
    <w:rsid w:val="00642B24"/>
    <w:rsid w:val="00642D0A"/>
    <w:rsid w:val="006439D3"/>
    <w:rsid w:val="006444C5"/>
    <w:rsid w:val="0064619B"/>
    <w:rsid w:val="0064630E"/>
    <w:rsid w:val="00646CFA"/>
    <w:rsid w:val="00646FE1"/>
    <w:rsid w:val="00647075"/>
    <w:rsid w:val="0065043E"/>
    <w:rsid w:val="00650933"/>
    <w:rsid w:val="006520C2"/>
    <w:rsid w:val="0065251E"/>
    <w:rsid w:val="00653FDC"/>
    <w:rsid w:val="0065458C"/>
    <w:rsid w:val="00654CFE"/>
    <w:rsid w:val="00654D74"/>
    <w:rsid w:val="00654FCE"/>
    <w:rsid w:val="00655233"/>
    <w:rsid w:val="00655798"/>
    <w:rsid w:val="0065581D"/>
    <w:rsid w:val="006558D3"/>
    <w:rsid w:val="00655C2F"/>
    <w:rsid w:val="0065611F"/>
    <w:rsid w:val="0065685B"/>
    <w:rsid w:val="00656F62"/>
    <w:rsid w:val="006577FC"/>
    <w:rsid w:val="00660403"/>
    <w:rsid w:val="00661140"/>
    <w:rsid w:val="00661B6E"/>
    <w:rsid w:val="0066210B"/>
    <w:rsid w:val="00662354"/>
    <w:rsid w:val="006628DE"/>
    <w:rsid w:val="00662CDC"/>
    <w:rsid w:val="00662CDE"/>
    <w:rsid w:val="00663B48"/>
    <w:rsid w:val="0066490E"/>
    <w:rsid w:val="00665094"/>
    <w:rsid w:val="006673D4"/>
    <w:rsid w:val="00667ACB"/>
    <w:rsid w:val="00667FC3"/>
    <w:rsid w:val="0067007C"/>
    <w:rsid w:val="0067022D"/>
    <w:rsid w:val="006710DD"/>
    <w:rsid w:val="00671BF8"/>
    <w:rsid w:val="00671FC9"/>
    <w:rsid w:val="0067216E"/>
    <w:rsid w:val="00672888"/>
    <w:rsid w:val="00672B7A"/>
    <w:rsid w:val="00673200"/>
    <w:rsid w:val="006738B5"/>
    <w:rsid w:val="00674260"/>
    <w:rsid w:val="0067479C"/>
    <w:rsid w:val="00674A68"/>
    <w:rsid w:val="00674BA4"/>
    <w:rsid w:val="0067501E"/>
    <w:rsid w:val="00676B97"/>
    <w:rsid w:val="006773D2"/>
    <w:rsid w:val="006777F0"/>
    <w:rsid w:val="00680581"/>
    <w:rsid w:val="00681A41"/>
    <w:rsid w:val="00681BBE"/>
    <w:rsid w:val="006821B2"/>
    <w:rsid w:val="006821C6"/>
    <w:rsid w:val="00682A6E"/>
    <w:rsid w:val="00682D99"/>
    <w:rsid w:val="0068331B"/>
    <w:rsid w:val="006838C0"/>
    <w:rsid w:val="00685881"/>
    <w:rsid w:val="00685901"/>
    <w:rsid w:val="00685BB9"/>
    <w:rsid w:val="006867C8"/>
    <w:rsid w:val="00687C94"/>
    <w:rsid w:val="00690078"/>
    <w:rsid w:val="00690127"/>
    <w:rsid w:val="00690477"/>
    <w:rsid w:val="006906B7"/>
    <w:rsid w:val="006918F2"/>
    <w:rsid w:val="00691BB7"/>
    <w:rsid w:val="00691BFF"/>
    <w:rsid w:val="006934FE"/>
    <w:rsid w:val="00693DEF"/>
    <w:rsid w:val="006953C1"/>
    <w:rsid w:val="00695622"/>
    <w:rsid w:val="00696EB2"/>
    <w:rsid w:val="006972B3"/>
    <w:rsid w:val="006A09DC"/>
    <w:rsid w:val="006A0F6F"/>
    <w:rsid w:val="006A1411"/>
    <w:rsid w:val="006A1438"/>
    <w:rsid w:val="006A16E9"/>
    <w:rsid w:val="006A1722"/>
    <w:rsid w:val="006A2036"/>
    <w:rsid w:val="006A2F5F"/>
    <w:rsid w:val="006A3BA5"/>
    <w:rsid w:val="006A44FD"/>
    <w:rsid w:val="006A4832"/>
    <w:rsid w:val="006A5450"/>
    <w:rsid w:val="006A5F22"/>
    <w:rsid w:val="006A7251"/>
    <w:rsid w:val="006B0199"/>
    <w:rsid w:val="006B0A32"/>
    <w:rsid w:val="006B0BD8"/>
    <w:rsid w:val="006B2135"/>
    <w:rsid w:val="006B280F"/>
    <w:rsid w:val="006B32CB"/>
    <w:rsid w:val="006B3DDA"/>
    <w:rsid w:val="006B4557"/>
    <w:rsid w:val="006B4E8C"/>
    <w:rsid w:val="006B504F"/>
    <w:rsid w:val="006B5E86"/>
    <w:rsid w:val="006B679E"/>
    <w:rsid w:val="006B762F"/>
    <w:rsid w:val="006B79F0"/>
    <w:rsid w:val="006C0251"/>
    <w:rsid w:val="006C0261"/>
    <w:rsid w:val="006C03A5"/>
    <w:rsid w:val="006C0B53"/>
    <w:rsid w:val="006C197F"/>
    <w:rsid w:val="006C1A0F"/>
    <w:rsid w:val="006C2177"/>
    <w:rsid w:val="006C2B9A"/>
    <w:rsid w:val="006C33E8"/>
    <w:rsid w:val="006C395D"/>
    <w:rsid w:val="006C39BB"/>
    <w:rsid w:val="006C3EDD"/>
    <w:rsid w:val="006C40A0"/>
    <w:rsid w:val="006C4502"/>
    <w:rsid w:val="006C54C6"/>
    <w:rsid w:val="006C6114"/>
    <w:rsid w:val="006C67FF"/>
    <w:rsid w:val="006C6890"/>
    <w:rsid w:val="006C75CD"/>
    <w:rsid w:val="006D2288"/>
    <w:rsid w:val="006D269E"/>
    <w:rsid w:val="006D4464"/>
    <w:rsid w:val="006D4887"/>
    <w:rsid w:val="006D4AB5"/>
    <w:rsid w:val="006D5E91"/>
    <w:rsid w:val="006D6223"/>
    <w:rsid w:val="006D6895"/>
    <w:rsid w:val="006D7504"/>
    <w:rsid w:val="006D7D44"/>
    <w:rsid w:val="006D7E87"/>
    <w:rsid w:val="006E0310"/>
    <w:rsid w:val="006E0ABE"/>
    <w:rsid w:val="006E0ECB"/>
    <w:rsid w:val="006E14E6"/>
    <w:rsid w:val="006E1607"/>
    <w:rsid w:val="006E1AEE"/>
    <w:rsid w:val="006E1E78"/>
    <w:rsid w:val="006E2E50"/>
    <w:rsid w:val="006E2F1C"/>
    <w:rsid w:val="006E2F52"/>
    <w:rsid w:val="006E304A"/>
    <w:rsid w:val="006E32A9"/>
    <w:rsid w:val="006E3B9C"/>
    <w:rsid w:val="006E48E9"/>
    <w:rsid w:val="006E51A2"/>
    <w:rsid w:val="006E5D0F"/>
    <w:rsid w:val="006E6F28"/>
    <w:rsid w:val="006E79B3"/>
    <w:rsid w:val="006E79E5"/>
    <w:rsid w:val="006E7F4D"/>
    <w:rsid w:val="006F05AF"/>
    <w:rsid w:val="006F09B0"/>
    <w:rsid w:val="006F0DE2"/>
    <w:rsid w:val="006F11BD"/>
    <w:rsid w:val="006F184F"/>
    <w:rsid w:val="006F25B4"/>
    <w:rsid w:val="006F32C7"/>
    <w:rsid w:val="006F32FE"/>
    <w:rsid w:val="006F3392"/>
    <w:rsid w:val="006F3495"/>
    <w:rsid w:val="006F3721"/>
    <w:rsid w:val="006F3A2D"/>
    <w:rsid w:val="006F3D5A"/>
    <w:rsid w:val="006F3DC1"/>
    <w:rsid w:val="006F417D"/>
    <w:rsid w:val="006F45A5"/>
    <w:rsid w:val="006F4940"/>
    <w:rsid w:val="006F56BD"/>
    <w:rsid w:val="006F5C83"/>
    <w:rsid w:val="006F5F85"/>
    <w:rsid w:val="006F6717"/>
    <w:rsid w:val="006F67CC"/>
    <w:rsid w:val="006F6B89"/>
    <w:rsid w:val="006F73E7"/>
    <w:rsid w:val="006F78B2"/>
    <w:rsid w:val="006F78D9"/>
    <w:rsid w:val="00701698"/>
    <w:rsid w:val="00701C2D"/>
    <w:rsid w:val="00702162"/>
    <w:rsid w:val="007025C9"/>
    <w:rsid w:val="00702839"/>
    <w:rsid w:val="00703930"/>
    <w:rsid w:val="00703A2F"/>
    <w:rsid w:val="007041A2"/>
    <w:rsid w:val="00704293"/>
    <w:rsid w:val="0070610E"/>
    <w:rsid w:val="00706F6E"/>
    <w:rsid w:val="00707759"/>
    <w:rsid w:val="00707793"/>
    <w:rsid w:val="00710081"/>
    <w:rsid w:val="00710725"/>
    <w:rsid w:val="00710B0D"/>
    <w:rsid w:val="00710B7E"/>
    <w:rsid w:val="007110C2"/>
    <w:rsid w:val="00711628"/>
    <w:rsid w:val="00711DE5"/>
    <w:rsid w:val="007122FC"/>
    <w:rsid w:val="00713CB5"/>
    <w:rsid w:val="00714E3F"/>
    <w:rsid w:val="0071558B"/>
    <w:rsid w:val="00715BEE"/>
    <w:rsid w:val="00715D32"/>
    <w:rsid w:val="00716A01"/>
    <w:rsid w:val="00716CE4"/>
    <w:rsid w:val="007170CB"/>
    <w:rsid w:val="0071776A"/>
    <w:rsid w:val="00717778"/>
    <w:rsid w:val="007203E5"/>
    <w:rsid w:val="007204DD"/>
    <w:rsid w:val="00721189"/>
    <w:rsid w:val="0072187C"/>
    <w:rsid w:val="00721943"/>
    <w:rsid w:val="00721E57"/>
    <w:rsid w:val="007221C3"/>
    <w:rsid w:val="00722311"/>
    <w:rsid w:val="00722511"/>
    <w:rsid w:val="0072256F"/>
    <w:rsid w:val="007227E4"/>
    <w:rsid w:val="00722F2C"/>
    <w:rsid w:val="007233AD"/>
    <w:rsid w:val="007238E9"/>
    <w:rsid w:val="007245D6"/>
    <w:rsid w:val="0072504E"/>
    <w:rsid w:val="007254D1"/>
    <w:rsid w:val="00725B32"/>
    <w:rsid w:val="00725B3C"/>
    <w:rsid w:val="007261F3"/>
    <w:rsid w:val="00726475"/>
    <w:rsid w:val="00726483"/>
    <w:rsid w:val="00726867"/>
    <w:rsid w:val="00726FA7"/>
    <w:rsid w:val="007275BC"/>
    <w:rsid w:val="00727D08"/>
    <w:rsid w:val="007302A1"/>
    <w:rsid w:val="00731633"/>
    <w:rsid w:val="00733D54"/>
    <w:rsid w:val="00733E1C"/>
    <w:rsid w:val="00734B27"/>
    <w:rsid w:val="00734F96"/>
    <w:rsid w:val="007355BF"/>
    <w:rsid w:val="00735D86"/>
    <w:rsid w:val="007362DB"/>
    <w:rsid w:val="00736A4F"/>
    <w:rsid w:val="007371F1"/>
    <w:rsid w:val="00737275"/>
    <w:rsid w:val="007374EF"/>
    <w:rsid w:val="00737753"/>
    <w:rsid w:val="00737768"/>
    <w:rsid w:val="00737C32"/>
    <w:rsid w:val="007405BB"/>
    <w:rsid w:val="00740BB8"/>
    <w:rsid w:val="00740CE9"/>
    <w:rsid w:val="00740DE8"/>
    <w:rsid w:val="00741ECE"/>
    <w:rsid w:val="00742066"/>
    <w:rsid w:val="00742865"/>
    <w:rsid w:val="007428E3"/>
    <w:rsid w:val="00742967"/>
    <w:rsid w:val="00742ECD"/>
    <w:rsid w:val="0074394E"/>
    <w:rsid w:val="0074422D"/>
    <w:rsid w:val="00745C0A"/>
    <w:rsid w:val="00746E93"/>
    <w:rsid w:val="00750D0A"/>
    <w:rsid w:val="00750F2C"/>
    <w:rsid w:val="00751013"/>
    <w:rsid w:val="007517FE"/>
    <w:rsid w:val="00751D93"/>
    <w:rsid w:val="00751ED4"/>
    <w:rsid w:val="00751FC5"/>
    <w:rsid w:val="00752300"/>
    <w:rsid w:val="0075343B"/>
    <w:rsid w:val="00753B13"/>
    <w:rsid w:val="00753BF5"/>
    <w:rsid w:val="007546F8"/>
    <w:rsid w:val="00754CBF"/>
    <w:rsid w:val="0075579B"/>
    <w:rsid w:val="00755AF1"/>
    <w:rsid w:val="00755BAB"/>
    <w:rsid w:val="007567F3"/>
    <w:rsid w:val="007576B7"/>
    <w:rsid w:val="00757AA6"/>
    <w:rsid w:val="0076024C"/>
    <w:rsid w:val="007604DA"/>
    <w:rsid w:val="007607DC"/>
    <w:rsid w:val="0076080E"/>
    <w:rsid w:val="00761801"/>
    <w:rsid w:val="00761B9C"/>
    <w:rsid w:val="0076411D"/>
    <w:rsid w:val="007649AF"/>
    <w:rsid w:val="00765423"/>
    <w:rsid w:val="00765435"/>
    <w:rsid w:val="00766BBD"/>
    <w:rsid w:val="0076702D"/>
    <w:rsid w:val="007670F8"/>
    <w:rsid w:val="007671D4"/>
    <w:rsid w:val="00767517"/>
    <w:rsid w:val="00767CEE"/>
    <w:rsid w:val="00770494"/>
    <w:rsid w:val="00770A65"/>
    <w:rsid w:val="00770A85"/>
    <w:rsid w:val="00770D97"/>
    <w:rsid w:val="00770E50"/>
    <w:rsid w:val="00771CF4"/>
    <w:rsid w:val="00771D34"/>
    <w:rsid w:val="00773DC9"/>
    <w:rsid w:val="00773FC5"/>
    <w:rsid w:val="0077559C"/>
    <w:rsid w:val="0077572E"/>
    <w:rsid w:val="00775C64"/>
    <w:rsid w:val="00777796"/>
    <w:rsid w:val="00777BE4"/>
    <w:rsid w:val="0078031B"/>
    <w:rsid w:val="00781164"/>
    <w:rsid w:val="007820F5"/>
    <w:rsid w:val="00783272"/>
    <w:rsid w:val="00784985"/>
    <w:rsid w:val="00784B76"/>
    <w:rsid w:val="00784F44"/>
    <w:rsid w:val="00786672"/>
    <w:rsid w:val="00786FEC"/>
    <w:rsid w:val="007872CF"/>
    <w:rsid w:val="0079201C"/>
    <w:rsid w:val="00792285"/>
    <w:rsid w:val="0079278B"/>
    <w:rsid w:val="0079307F"/>
    <w:rsid w:val="00793788"/>
    <w:rsid w:val="007940C5"/>
    <w:rsid w:val="007947C4"/>
    <w:rsid w:val="00795812"/>
    <w:rsid w:val="00795CE1"/>
    <w:rsid w:val="0079769A"/>
    <w:rsid w:val="00797CF4"/>
    <w:rsid w:val="007A0646"/>
    <w:rsid w:val="007A06AC"/>
    <w:rsid w:val="007A1182"/>
    <w:rsid w:val="007A154B"/>
    <w:rsid w:val="007A17CA"/>
    <w:rsid w:val="007A1897"/>
    <w:rsid w:val="007A1B2F"/>
    <w:rsid w:val="007A42AD"/>
    <w:rsid w:val="007A441F"/>
    <w:rsid w:val="007A4636"/>
    <w:rsid w:val="007A465E"/>
    <w:rsid w:val="007A4F71"/>
    <w:rsid w:val="007A5152"/>
    <w:rsid w:val="007A54E2"/>
    <w:rsid w:val="007A797C"/>
    <w:rsid w:val="007B0338"/>
    <w:rsid w:val="007B1014"/>
    <w:rsid w:val="007B103F"/>
    <w:rsid w:val="007B143D"/>
    <w:rsid w:val="007B1484"/>
    <w:rsid w:val="007B1A10"/>
    <w:rsid w:val="007B1A2E"/>
    <w:rsid w:val="007B2032"/>
    <w:rsid w:val="007B2401"/>
    <w:rsid w:val="007B31AB"/>
    <w:rsid w:val="007B3268"/>
    <w:rsid w:val="007B358E"/>
    <w:rsid w:val="007B37F1"/>
    <w:rsid w:val="007B3D42"/>
    <w:rsid w:val="007B3F00"/>
    <w:rsid w:val="007B42D3"/>
    <w:rsid w:val="007B451B"/>
    <w:rsid w:val="007B46D9"/>
    <w:rsid w:val="007B62E3"/>
    <w:rsid w:val="007B6659"/>
    <w:rsid w:val="007B6C39"/>
    <w:rsid w:val="007B76AB"/>
    <w:rsid w:val="007B78ED"/>
    <w:rsid w:val="007B7A72"/>
    <w:rsid w:val="007B7DA5"/>
    <w:rsid w:val="007B7DBD"/>
    <w:rsid w:val="007C056F"/>
    <w:rsid w:val="007C1EA2"/>
    <w:rsid w:val="007C264B"/>
    <w:rsid w:val="007C309E"/>
    <w:rsid w:val="007C3597"/>
    <w:rsid w:val="007C36CC"/>
    <w:rsid w:val="007C394A"/>
    <w:rsid w:val="007C3ADD"/>
    <w:rsid w:val="007C3EC3"/>
    <w:rsid w:val="007C3F23"/>
    <w:rsid w:val="007C45D3"/>
    <w:rsid w:val="007C4C08"/>
    <w:rsid w:val="007C4CA8"/>
    <w:rsid w:val="007C597B"/>
    <w:rsid w:val="007C6A27"/>
    <w:rsid w:val="007C6AC9"/>
    <w:rsid w:val="007C760C"/>
    <w:rsid w:val="007C78FF"/>
    <w:rsid w:val="007D065F"/>
    <w:rsid w:val="007D08FD"/>
    <w:rsid w:val="007D1584"/>
    <w:rsid w:val="007D1714"/>
    <w:rsid w:val="007D1E5F"/>
    <w:rsid w:val="007D1F43"/>
    <w:rsid w:val="007D2044"/>
    <w:rsid w:val="007D20C1"/>
    <w:rsid w:val="007D2C3B"/>
    <w:rsid w:val="007D2F78"/>
    <w:rsid w:val="007D4AA6"/>
    <w:rsid w:val="007D4F33"/>
    <w:rsid w:val="007D5014"/>
    <w:rsid w:val="007D50BA"/>
    <w:rsid w:val="007D554B"/>
    <w:rsid w:val="007D6460"/>
    <w:rsid w:val="007D6518"/>
    <w:rsid w:val="007D65C7"/>
    <w:rsid w:val="007D6E18"/>
    <w:rsid w:val="007D7465"/>
    <w:rsid w:val="007D7474"/>
    <w:rsid w:val="007D74D2"/>
    <w:rsid w:val="007D79B5"/>
    <w:rsid w:val="007E0097"/>
    <w:rsid w:val="007E0177"/>
    <w:rsid w:val="007E047B"/>
    <w:rsid w:val="007E0F77"/>
    <w:rsid w:val="007E1534"/>
    <w:rsid w:val="007E2334"/>
    <w:rsid w:val="007E23CE"/>
    <w:rsid w:val="007E283F"/>
    <w:rsid w:val="007E2CE7"/>
    <w:rsid w:val="007E2EB1"/>
    <w:rsid w:val="007E3DB5"/>
    <w:rsid w:val="007E43D0"/>
    <w:rsid w:val="007E4F00"/>
    <w:rsid w:val="007E54F8"/>
    <w:rsid w:val="007E5987"/>
    <w:rsid w:val="007E5BD8"/>
    <w:rsid w:val="007E7BF9"/>
    <w:rsid w:val="007F02BC"/>
    <w:rsid w:val="007F09D2"/>
    <w:rsid w:val="007F0CA4"/>
    <w:rsid w:val="007F132D"/>
    <w:rsid w:val="007F1D17"/>
    <w:rsid w:val="007F20D7"/>
    <w:rsid w:val="007F2E65"/>
    <w:rsid w:val="007F43BA"/>
    <w:rsid w:val="007F45D1"/>
    <w:rsid w:val="007F4DAF"/>
    <w:rsid w:val="007F503A"/>
    <w:rsid w:val="007F5335"/>
    <w:rsid w:val="007F5476"/>
    <w:rsid w:val="007F5C05"/>
    <w:rsid w:val="007F6173"/>
    <w:rsid w:val="007F64BE"/>
    <w:rsid w:val="007F6B42"/>
    <w:rsid w:val="007F6DC3"/>
    <w:rsid w:val="007F717C"/>
    <w:rsid w:val="007F74BA"/>
    <w:rsid w:val="008006B4"/>
    <w:rsid w:val="008015B6"/>
    <w:rsid w:val="0080266E"/>
    <w:rsid w:val="00803274"/>
    <w:rsid w:val="00803FD4"/>
    <w:rsid w:val="008043DA"/>
    <w:rsid w:val="0080481C"/>
    <w:rsid w:val="00804C54"/>
    <w:rsid w:val="008056DD"/>
    <w:rsid w:val="0081104C"/>
    <w:rsid w:val="0081118A"/>
    <w:rsid w:val="008121F2"/>
    <w:rsid w:val="00812D16"/>
    <w:rsid w:val="008139F6"/>
    <w:rsid w:val="00814F9E"/>
    <w:rsid w:val="00815D9F"/>
    <w:rsid w:val="008164F6"/>
    <w:rsid w:val="00816C51"/>
    <w:rsid w:val="0081757B"/>
    <w:rsid w:val="00817716"/>
    <w:rsid w:val="00820250"/>
    <w:rsid w:val="008209B2"/>
    <w:rsid w:val="008212D0"/>
    <w:rsid w:val="008214DC"/>
    <w:rsid w:val="00821865"/>
    <w:rsid w:val="008225EB"/>
    <w:rsid w:val="00823215"/>
    <w:rsid w:val="0082327D"/>
    <w:rsid w:val="008239C4"/>
    <w:rsid w:val="008239CA"/>
    <w:rsid w:val="0082414C"/>
    <w:rsid w:val="0082433D"/>
    <w:rsid w:val="008244DA"/>
    <w:rsid w:val="00824957"/>
    <w:rsid w:val="00825BF0"/>
    <w:rsid w:val="00826509"/>
    <w:rsid w:val="00826F2C"/>
    <w:rsid w:val="00830335"/>
    <w:rsid w:val="0083087E"/>
    <w:rsid w:val="00830A09"/>
    <w:rsid w:val="008327B6"/>
    <w:rsid w:val="00832BD8"/>
    <w:rsid w:val="00833027"/>
    <w:rsid w:val="0083354D"/>
    <w:rsid w:val="00833638"/>
    <w:rsid w:val="0083395F"/>
    <w:rsid w:val="0083561B"/>
    <w:rsid w:val="00835A3B"/>
    <w:rsid w:val="008365B6"/>
    <w:rsid w:val="0083693C"/>
    <w:rsid w:val="0083728C"/>
    <w:rsid w:val="00837D78"/>
    <w:rsid w:val="00840818"/>
    <w:rsid w:val="00840D79"/>
    <w:rsid w:val="00841348"/>
    <w:rsid w:val="008425C2"/>
    <w:rsid w:val="00842A21"/>
    <w:rsid w:val="0084334D"/>
    <w:rsid w:val="00844864"/>
    <w:rsid w:val="00845811"/>
    <w:rsid w:val="00845DAD"/>
    <w:rsid w:val="00846856"/>
    <w:rsid w:val="00846D41"/>
    <w:rsid w:val="00847539"/>
    <w:rsid w:val="008478E8"/>
    <w:rsid w:val="00847B31"/>
    <w:rsid w:val="008503BB"/>
    <w:rsid w:val="008505AB"/>
    <w:rsid w:val="00850751"/>
    <w:rsid w:val="00851377"/>
    <w:rsid w:val="008513C1"/>
    <w:rsid w:val="00851803"/>
    <w:rsid w:val="00851FC4"/>
    <w:rsid w:val="00852344"/>
    <w:rsid w:val="00852396"/>
    <w:rsid w:val="0085239F"/>
    <w:rsid w:val="00852BE3"/>
    <w:rsid w:val="008531E4"/>
    <w:rsid w:val="00854044"/>
    <w:rsid w:val="0085409D"/>
    <w:rsid w:val="0085437C"/>
    <w:rsid w:val="00854B2F"/>
    <w:rsid w:val="00855481"/>
    <w:rsid w:val="00856354"/>
    <w:rsid w:val="00856465"/>
    <w:rsid w:val="008568E1"/>
    <w:rsid w:val="00856A15"/>
    <w:rsid w:val="00856BE9"/>
    <w:rsid w:val="00856DE4"/>
    <w:rsid w:val="008578F8"/>
    <w:rsid w:val="00860135"/>
    <w:rsid w:val="00860566"/>
    <w:rsid w:val="0086129A"/>
    <w:rsid w:val="0086165C"/>
    <w:rsid w:val="00861B26"/>
    <w:rsid w:val="00862EED"/>
    <w:rsid w:val="00863204"/>
    <w:rsid w:val="00863391"/>
    <w:rsid w:val="00863661"/>
    <w:rsid w:val="008643FC"/>
    <w:rsid w:val="008649B9"/>
    <w:rsid w:val="00867555"/>
    <w:rsid w:val="0086784F"/>
    <w:rsid w:val="00867E0F"/>
    <w:rsid w:val="00870394"/>
    <w:rsid w:val="0087073B"/>
    <w:rsid w:val="00871E26"/>
    <w:rsid w:val="008720B8"/>
    <w:rsid w:val="0087279F"/>
    <w:rsid w:val="00873967"/>
    <w:rsid w:val="0087397F"/>
    <w:rsid w:val="00874030"/>
    <w:rsid w:val="0087413E"/>
    <w:rsid w:val="008743BB"/>
    <w:rsid w:val="008770D4"/>
    <w:rsid w:val="0087762E"/>
    <w:rsid w:val="00877CAE"/>
    <w:rsid w:val="00877F71"/>
    <w:rsid w:val="008800E5"/>
    <w:rsid w:val="008802AA"/>
    <w:rsid w:val="00880502"/>
    <w:rsid w:val="00880EAC"/>
    <w:rsid w:val="0088127F"/>
    <w:rsid w:val="008815EF"/>
    <w:rsid w:val="00881E27"/>
    <w:rsid w:val="0088278F"/>
    <w:rsid w:val="008828F4"/>
    <w:rsid w:val="00882CC6"/>
    <w:rsid w:val="008835ED"/>
    <w:rsid w:val="00883750"/>
    <w:rsid w:val="00883ED5"/>
    <w:rsid w:val="008847C2"/>
    <w:rsid w:val="00885273"/>
    <w:rsid w:val="0088564A"/>
    <w:rsid w:val="00885CE8"/>
    <w:rsid w:val="00885F2C"/>
    <w:rsid w:val="008861F4"/>
    <w:rsid w:val="00886386"/>
    <w:rsid w:val="00886A74"/>
    <w:rsid w:val="0088701C"/>
    <w:rsid w:val="00890DFB"/>
    <w:rsid w:val="008920E6"/>
    <w:rsid w:val="008923A6"/>
    <w:rsid w:val="00892459"/>
    <w:rsid w:val="008929AA"/>
    <w:rsid w:val="00892AA5"/>
    <w:rsid w:val="00892EDD"/>
    <w:rsid w:val="00893319"/>
    <w:rsid w:val="00893E85"/>
    <w:rsid w:val="00894198"/>
    <w:rsid w:val="008947CE"/>
    <w:rsid w:val="0089499B"/>
    <w:rsid w:val="00894ACA"/>
    <w:rsid w:val="00894EC5"/>
    <w:rsid w:val="00896658"/>
    <w:rsid w:val="008967B5"/>
    <w:rsid w:val="00897821"/>
    <w:rsid w:val="008A03AC"/>
    <w:rsid w:val="008A04B6"/>
    <w:rsid w:val="008A1008"/>
    <w:rsid w:val="008A1933"/>
    <w:rsid w:val="008A1A50"/>
    <w:rsid w:val="008A1D2A"/>
    <w:rsid w:val="008A25A4"/>
    <w:rsid w:val="008A27D7"/>
    <w:rsid w:val="008A2F14"/>
    <w:rsid w:val="008A30A5"/>
    <w:rsid w:val="008A345A"/>
    <w:rsid w:val="008A3D7A"/>
    <w:rsid w:val="008A3DB9"/>
    <w:rsid w:val="008A4DB3"/>
    <w:rsid w:val="008A528F"/>
    <w:rsid w:val="008A6A5C"/>
    <w:rsid w:val="008A7316"/>
    <w:rsid w:val="008B01E3"/>
    <w:rsid w:val="008B09F9"/>
    <w:rsid w:val="008B1A2A"/>
    <w:rsid w:val="008B1D9A"/>
    <w:rsid w:val="008B3401"/>
    <w:rsid w:val="008B3499"/>
    <w:rsid w:val="008B35F7"/>
    <w:rsid w:val="008B4A1C"/>
    <w:rsid w:val="008B500A"/>
    <w:rsid w:val="008B578C"/>
    <w:rsid w:val="008B60C1"/>
    <w:rsid w:val="008B7806"/>
    <w:rsid w:val="008C090B"/>
    <w:rsid w:val="008C0B5C"/>
    <w:rsid w:val="008C0E98"/>
    <w:rsid w:val="008C0EF5"/>
    <w:rsid w:val="008C14E9"/>
    <w:rsid w:val="008C1610"/>
    <w:rsid w:val="008C2BC7"/>
    <w:rsid w:val="008C2C15"/>
    <w:rsid w:val="008C2F1E"/>
    <w:rsid w:val="008C30E5"/>
    <w:rsid w:val="008C31F0"/>
    <w:rsid w:val="008C3569"/>
    <w:rsid w:val="008C3B5B"/>
    <w:rsid w:val="008C4077"/>
    <w:rsid w:val="008C409F"/>
    <w:rsid w:val="008C47A6"/>
    <w:rsid w:val="008C5237"/>
    <w:rsid w:val="008C5330"/>
    <w:rsid w:val="008C602D"/>
    <w:rsid w:val="008C6577"/>
    <w:rsid w:val="008C6A2D"/>
    <w:rsid w:val="008C6BCC"/>
    <w:rsid w:val="008C7A29"/>
    <w:rsid w:val="008C7EF6"/>
    <w:rsid w:val="008D098D"/>
    <w:rsid w:val="008D1074"/>
    <w:rsid w:val="008D129C"/>
    <w:rsid w:val="008D135A"/>
    <w:rsid w:val="008D2205"/>
    <w:rsid w:val="008D2331"/>
    <w:rsid w:val="008D347F"/>
    <w:rsid w:val="008D356D"/>
    <w:rsid w:val="008D35AD"/>
    <w:rsid w:val="008D36CD"/>
    <w:rsid w:val="008D3FB9"/>
    <w:rsid w:val="008D4380"/>
    <w:rsid w:val="008D4581"/>
    <w:rsid w:val="008D48D1"/>
    <w:rsid w:val="008D4A46"/>
    <w:rsid w:val="008D6BE8"/>
    <w:rsid w:val="008E053A"/>
    <w:rsid w:val="008E0989"/>
    <w:rsid w:val="008E19A3"/>
    <w:rsid w:val="008E1A78"/>
    <w:rsid w:val="008E27E9"/>
    <w:rsid w:val="008E36E4"/>
    <w:rsid w:val="008E3842"/>
    <w:rsid w:val="008E38F7"/>
    <w:rsid w:val="008E42DE"/>
    <w:rsid w:val="008E5139"/>
    <w:rsid w:val="008E5D46"/>
    <w:rsid w:val="008E6692"/>
    <w:rsid w:val="008E6A01"/>
    <w:rsid w:val="008F0064"/>
    <w:rsid w:val="008F04AF"/>
    <w:rsid w:val="008F0F0B"/>
    <w:rsid w:val="008F1D17"/>
    <w:rsid w:val="008F1ED8"/>
    <w:rsid w:val="008F1F89"/>
    <w:rsid w:val="008F2413"/>
    <w:rsid w:val="008F25B1"/>
    <w:rsid w:val="008F2C49"/>
    <w:rsid w:val="008F30DE"/>
    <w:rsid w:val="008F36F0"/>
    <w:rsid w:val="008F5B5F"/>
    <w:rsid w:val="008F66BC"/>
    <w:rsid w:val="008F674D"/>
    <w:rsid w:val="008F688F"/>
    <w:rsid w:val="008F6B77"/>
    <w:rsid w:val="008F7276"/>
    <w:rsid w:val="008F74DD"/>
    <w:rsid w:val="008F760B"/>
    <w:rsid w:val="008F79EB"/>
    <w:rsid w:val="008F7CFF"/>
    <w:rsid w:val="008F7ED1"/>
    <w:rsid w:val="0090068B"/>
    <w:rsid w:val="00900CC1"/>
    <w:rsid w:val="009011BF"/>
    <w:rsid w:val="00901212"/>
    <w:rsid w:val="009013D8"/>
    <w:rsid w:val="00901C8D"/>
    <w:rsid w:val="00901DEB"/>
    <w:rsid w:val="00902C13"/>
    <w:rsid w:val="009036AE"/>
    <w:rsid w:val="00903929"/>
    <w:rsid w:val="00903C07"/>
    <w:rsid w:val="00904A4D"/>
    <w:rsid w:val="00905643"/>
    <w:rsid w:val="0090576B"/>
    <w:rsid w:val="00905EE9"/>
    <w:rsid w:val="009065F4"/>
    <w:rsid w:val="009066C9"/>
    <w:rsid w:val="009075A7"/>
    <w:rsid w:val="00907C3F"/>
    <w:rsid w:val="00907DFB"/>
    <w:rsid w:val="009100D8"/>
    <w:rsid w:val="00910624"/>
    <w:rsid w:val="00910FBA"/>
    <w:rsid w:val="00911245"/>
    <w:rsid w:val="00911C70"/>
    <w:rsid w:val="00911D39"/>
    <w:rsid w:val="00912B9F"/>
    <w:rsid w:val="00912C3B"/>
    <w:rsid w:val="0091594F"/>
    <w:rsid w:val="00915A5C"/>
    <w:rsid w:val="00916377"/>
    <w:rsid w:val="00917C0F"/>
    <w:rsid w:val="0092040E"/>
    <w:rsid w:val="00920628"/>
    <w:rsid w:val="009207DC"/>
    <w:rsid w:val="0092099E"/>
    <w:rsid w:val="00920A74"/>
    <w:rsid w:val="00920C6C"/>
    <w:rsid w:val="009212DF"/>
    <w:rsid w:val="00921545"/>
    <w:rsid w:val="00921897"/>
    <w:rsid w:val="009219D9"/>
    <w:rsid w:val="00921C6D"/>
    <w:rsid w:val="009227D9"/>
    <w:rsid w:val="00923C44"/>
    <w:rsid w:val="00923E20"/>
    <w:rsid w:val="0092462E"/>
    <w:rsid w:val="0092509D"/>
    <w:rsid w:val="009254F6"/>
    <w:rsid w:val="0092588C"/>
    <w:rsid w:val="00926A77"/>
    <w:rsid w:val="00927100"/>
    <w:rsid w:val="00927791"/>
    <w:rsid w:val="00927A30"/>
    <w:rsid w:val="00930168"/>
    <w:rsid w:val="00930453"/>
    <w:rsid w:val="00930607"/>
    <w:rsid w:val="00930B8C"/>
    <w:rsid w:val="00930BD0"/>
    <w:rsid w:val="00930D0A"/>
    <w:rsid w:val="00931E1A"/>
    <w:rsid w:val="0093252C"/>
    <w:rsid w:val="009329BA"/>
    <w:rsid w:val="0093304D"/>
    <w:rsid w:val="00933550"/>
    <w:rsid w:val="00935BD6"/>
    <w:rsid w:val="00936939"/>
    <w:rsid w:val="00936F2F"/>
    <w:rsid w:val="00937480"/>
    <w:rsid w:val="00937C81"/>
    <w:rsid w:val="0094053B"/>
    <w:rsid w:val="009410D7"/>
    <w:rsid w:val="00941361"/>
    <w:rsid w:val="009413E2"/>
    <w:rsid w:val="0094186A"/>
    <w:rsid w:val="00942040"/>
    <w:rsid w:val="0094295B"/>
    <w:rsid w:val="00942C9F"/>
    <w:rsid w:val="00942D93"/>
    <w:rsid w:val="009435F0"/>
    <w:rsid w:val="009436C1"/>
    <w:rsid w:val="00943880"/>
    <w:rsid w:val="009438A0"/>
    <w:rsid w:val="00943CDA"/>
    <w:rsid w:val="00943F98"/>
    <w:rsid w:val="00944A42"/>
    <w:rsid w:val="00944BEF"/>
    <w:rsid w:val="009454C0"/>
    <w:rsid w:val="00945631"/>
    <w:rsid w:val="009463DF"/>
    <w:rsid w:val="00947549"/>
    <w:rsid w:val="00947CF3"/>
    <w:rsid w:val="0095157E"/>
    <w:rsid w:val="009517B6"/>
    <w:rsid w:val="00952466"/>
    <w:rsid w:val="00953B97"/>
    <w:rsid w:val="00953F6B"/>
    <w:rsid w:val="00954015"/>
    <w:rsid w:val="0095613B"/>
    <w:rsid w:val="0095703D"/>
    <w:rsid w:val="0095742E"/>
    <w:rsid w:val="0095793C"/>
    <w:rsid w:val="00957BEB"/>
    <w:rsid w:val="00957E4E"/>
    <w:rsid w:val="00960B7A"/>
    <w:rsid w:val="0096111E"/>
    <w:rsid w:val="00961125"/>
    <w:rsid w:val="0096143E"/>
    <w:rsid w:val="00962263"/>
    <w:rsid w:val="009623D8"/>
    <w:rsid w:val="00963362"/>
    <w:rsid w:val="009633EF"/>
    <w:rsid w:val="0096350B"/>
    <w:rsid w:val="00963A36"/>
    <w:rsid w:val="00963BD1"/>
    <w:rsid w:val="009641C8"/>
    <w:rsid w:val="00964239"/>
    <w:rsid w:val="009643CF"/>
    <w:rsid w:val="00964B67"/>
    <w:rsid w:val="00966B1F"/>
    <w:rsid w:val="00966BF1"/>
    <w:rsid w:val="00967473"/>
    <w:rsid w:val="00967B4D"/>
    <w:rsid w:val="00967DF1"/>
    <w:rsid w:val="00970A7E"/>
    <w:rsid w:val="00970C6A"/>
    <w:rsid w:val="0097116E"/>
    <w:rsid w:val="00972859"/>
    <w:rsid w:val="00972EF9"/>
    <w:rsid w:val="00973358"/>
    <w:rsid w:val="00973DF0"/>
    <w:rsid w:val="0097407C"/>
    <w:rsid w:val="009744DC"/>
    <w:rsid w:val="00974518"/>
    <w:rsid w:val="00974F2B"/>
    <w:rsid w:val="00974FEC"/>
    <w:rsid w:val="00977123"/>
    <w:rsid w:val="00977641"/>
    <w:rsid w:val="009779C9"/>
    <w:rsid w:val="00977D5E"/>
    <w:rsid w:val="00980560"/>
    <w:rsid w:val="009807B6"/>
    <w:rsid w:val="00980B26"/>
    <w:rsid w:val="00980E84"/>
    <w:rsid w:val="00980FE0"/>
    <w:rsid w:val="00982E11"/>
    <w:rsid w:val="00983974"/>
    <w:rsid w:val="009841B3"/>
    <w:rsid w:val="0098438B"/>
    <w:rsid w:val="009845DA"/>
    <w:rsid w:val="00984F43"/>
    <w:rsid w:val="0098528E"/>
    <w:rsid w:val="00985300"/>
    <w:rsid w:val="00985F8B"/>
    <w:rsid w:val="009861FC"/>
    <w:rsid w:val="00986219"/>
    <w:rsid w:val="00986C2E"/>
    <w:rsid w:val="0098728D"/>
    <w:rsid w:val="00990C3B"/>
    <w:rsid w:val="00990C8B"/>
    <w:rsid w:val="009910AA"/>
    <w:rsid w:val="00991ACF"/>
    <w:rsid w:val="00991CBD"/>
    <w:rsid w:val="009921E6"/>
    <w:rsid w:val="009928B7"/>
    <w:rsid w:val="00992A75"/>
    <w:rsid w:val="0099321A"/>
    <w:rsid w:val="009947E8"/>
    <w:rsid w:val="009960B7"/>
    <w:rsid w:val="009969AC"/>
    <w:rsid w:val="00996F08"/>
    <w:rsid w:val="009972FE"/>
    <w:rsid w:val="00997306"/>
    <w:rsid w:val="0099730D"/>
    <w:rsid w:val="009978B7"/>
    <w:rsid w:val="009978DB"/>
    <w:rsid w:val="009A196A"/>
    <w:rsid w:val="009A1B1F"/>
    <w:rsid w:val="009A2438"/>
    <w:rsid w:val="009A3F28"/>
    <w:rsid w:val="009A42D6"/>
    <w:rsid w:val="009A449B"/>
    <w:rsid w:val="009A4942"/>
    <w:rsid w:val="009A49E7"/>
    <w:rsid w:val="009A6C4C"/>
    <w:rsid w:val="009A733F"/>
    <w:rsid w:val="009B01E4"/>
    <w:rsid w:val="009B2080"/>
    <w:rsid w:val="009B2F7B"/>
    <w:rsid w:val="009B3F2D"/>
    <w:rsid w:val="009B45C1"/>
    <w:rsid w:val="009B4665"/>
    <w:rsid w:val="009B4743"/>
    <w:rsid w:val="009B536C"/>
    <w:rsid w:val="009B5687"/>
    <w:rsid w:val="009B59E0"/>
    <w:rsid w:val="009B5C19"/>
    <w:rsid w:val="009B5D59"/>
    <w:rsid w:val="009B6496"/>
    <w:rsid w:val="009B66E2"/>
    <w:rsid w:val="009B6E0F"/>
    <w:rsid w:val="009B7353"/>
    <w:rsid w:val="009B7CEC"/>
    <w:rsid w:val="009C01DA"/>
    <w:rsid w:val="009C0B37"/>
    <w:rsid w:val="009C1528"/>
    <w:rsid w:val="009C20CC"/>
    <w:rsid w:val="009C2BDF"/>
    <w:rsid w:val="009C3558"/>
    <w:rsid w:val="009C515A"/>
    <w:rsid w:val="009C562E"/>
    <w:rsid w:val="009C5E44"/>
    <w:rsid w:val="009C6324"/>
    <w:rsid w:val="009C6C1A"/>
    <w:rsid w:val="009C6C5E"/>
    <w:rsid w:val="009C7531"/>
    <w:rsid w:val="009D0CC2"/>
    <w:rsid w:val="009D18D7"/>
    <w:rsid w:val="009D220C"/>
    <w:rsid w:val="009D221F"/>
    <w:rsid w:val="009D2902"/>
    <w:rsid w:val="009D2B77"/>
    <w:rsid w:val="009D2EAB"/>
    <w:rsid w:val="009D3413"/>
    <w:rsid w:val="009D4FD6"/>
    <w:rsid w:val="009D68F2"/>
    <w:rsid w:val="009D6C8E"/>
    <w:rsid w:val="009D6EFB"/>
    <w:rsid w:val="009D78A5"/>
    <w:rsid w:val="009D7941"/>
    <w:rsid w:val="009E09F0"/>
    <w:rsid w:val="009E0FD7"/>
    <w:rsid w:val="009E1761"/>
    <w:rsid w:val="009E19E8"/>
    <w:rsid w:val="009E1D74"/>
    <w:rsid w:val="009E1FCB"/>
    <w:rsid w:val="009E35C7"/>
    <w:rsid w:val="009E377C"/>
    <w:rsid w:val="009E411C"/>
    <w:rsid w:val="009E458A"/>
    <w:rsid w:val="009E4A08"/>
    <w:rsid w:val="009E4BF0"/>
    <w:rsid w:val="009E5316"/>
    <w:rsid w:val="009E5D7C"/>
    <w:rsid w:val="009E5DFC"/>
    <w:rsid w:val="009E7B65"/>
    <w:rsid w:val="009F0A01"/>
    <w:rsid w:val="009F138C"/>
    <w:rsid w:val="009F1789"/>
    <w:rsid w:val="009F19D2"/>
    <w:rsid w:val="009F2E3B"/>
    <w:rsid w:val="009F3650"/>
    <w:rsid w:val="009F36D2"/>
    <w:rsid w:val="009F39E9"/>
    <w:rsid w:val="009F3B6B"/>
    <w:rsid w:val="009F3EBF"/>
    <w:rsid w:val="009F415C"/>
    <w:rsid w:val="009F4504"/>
    <w:rsid w:val="009F46D5"/>
    <w:rsid w:val="009F502C"/>
    <w:rsid w:val="009F603B"/>
    <w:rsid w:val="009F6182"/>
    <w:rsid w:val="009F6529"/>
    <w:rsid w:val="009F6987"/>
    <w:rsid w:val="009F6B63"/>
    <w:rsid w:val="009F720F"/>
    <w:rsid w:val="00A00D68"/>
    <w:rsid w:val="00A010E7"/>
    <w:rsid w:val="00A01A17"/>
    <w:rsid w:val="00A01A60"/>
    <w:rsid w:val="00A01AD4"/>
    <w:rsid w:val="00A026D1"/>
    <w:rsid w:val="00A02BB4"/>
    <w:rsid w:val="00A03416"/>
    <w:rsid w:val="00A03C39"/>
    <w:rsid w:val="00A04046"/>
    <w:rsid w:val="00A04214"/>
    <w:rsid w:val="00A04BCA"/>
    <w:rsid w:val="00A04D62"/>
    <w:rsid w:val="00A05407"/>
    <w:rsid w:val="00A05F9C"/>
    <w:rsid w:val="00A06E6E"/>
    <w:rsid w:val="00A0719D"/>
    <w:rsid w:val="00A07673"/>
    <w:rsid w:val="00A076F9"/>
    <w:rsid w:val="00A07997"/>
    <w:rsid w:val="00A07CA4"/>
    <w:rsid w:val="00A07D5A"/>
    <w:rsid w:val="00A07E8A"/>
    <w:rsid w:val="00A07F87"/>
    <w:rsid w:val="00A106E9"/>
    <w:rsid w:val="00A10D24"/>
    <w:rsid w:val="00A10FAA"/>
    <w:rsid w:val="00A11493"/>
    <w:rsid w:val="00A12CF3"/>
    <w:rsid w:val="00A130AD"/>
    <w:rsid w:val="00A13659"/>
    <w:rsid w:val="00A13736"/>
    <w:rsid w:val="00A14261"/>
    <w:rsid w:val="00A14B4A"/>
    <w:rsid w:val="00A153C8"/>
    <w:rsid w:val="00A1637F"/>
    <w:rsid w:val="00A16CA2"/>
    <w:rsid w:val="00A17040"/>
    <w:rsid w:val="00A1743B"/>
    <w:rsid w:val="00A1765C"/>
    <w:rsid w:val="00A17834"/>
    <w:rsid w:val="00A206ED"/>
    <w:rsid w:val="00A20806"/>
    <w:rsid w:val="00A20C7F"/>
    <w:rsid w:val="00A2132A"/>
    <w:rsid w:val="00A21703"/>
    <w:rsid w:val="00A21B2F"/>
    <w:rsid w:val="00A21D41"/>
    <w:rsid w:val="00A22DBA"/>
    <w:rsid w:val="00A22F2F"/>
    <w:rsid w:val="00A22FA3"/>
    <w:rsid w:val="00A230F6"/>
    <w:rsid w:val="00A2329D"/>
    <w:rsid w:val="00A23B95"/>
    <w:rsid w:val="00A2490E"/>
    <w:rsid w:val="00A25442"/>
    <w:rsid w:val="00A25BFF"/>
    <w:rsid w:val="00A26648"/>
    <w:rsid w:val="00A26F79"/>
    <w:rsid w:val="00A27522"/>
    <w:rsid w:val="00A3029B"/>
    <w:rsid w:val="00A304F4"/>
    <w:rsid w:val="00A3136F"/>
    <w:rsid w:val="00A315A5"/>
    <w:rsid w:val="00A323B0"/>
    <w:rsid w:val="00A329C1"/>
    <w:rsid w:val="00A33276"/>
    <w:rsid w:val="00A34016"/>
    <w:rsid w:val="00A34D0C"/>
    <w:rsid w:val="00A34D76"/>
    <w:rsid w:val="00A35059"/>
    <w:rsid w:val="00A35BB2"/>
    <w:rsid w:val="00A365D0"/>
    <w:rsid w:val="00A402B8"/>
    <w:rsid w:val="00A4043E"/>
    <w:rsid w:val="00A41566"/>
    <w:rsid w:val="00A4253F"/>
    <w:rsid w:val="00A434AD"/>
    <w:rsid w:val="00A437D9"/>
    <w:rsid w:val="00A4380A"/>
    <w:rsid w:val="00A43C16"/>
    <w:rsid w:val="00A443A6"/>
    <w:rsid w:val="00A44479"/>
    <w:rsid w:val="00A44B3A"/>
    <w:rsid w:val="00A455CF"/>
    <w:rsid w:val="00A45A1A"/>
    <w:rsid w:val="00A45E61"/>
    <w:rsid w:val="00A473B2"/>
    <w:rsid w:val="00A4799E"/>
    <w:rsid w:val="00A47CA2"/>
    <w:rsid w:val="00A47F32"/>
    <w:rsid w:val="00A52148"/>
    <w:rsid w:val="00A52BD3"/>
    <w:rsid w:val="00A5312B"/>
    <w:rsid w:val="00A53220"/>
    <w:rsid w:val="00A538E6"/>
    <w:rsid w:val="00A54514"/>
    <w:rsid w:val="00A552BC"/>
    <w:rsid w:val="00A56102"/>
    <w:rsid w:val="00A56281"/>
    <w:rsid w:val="00A5631D"/>
    <w:rsid w:val="00A56800"/>
    <w:rsid w:val="00A56CEE"/>
    <w:rsid w:val="00A56D7E"/>
    <w:rsid w:val="00A57404"/>
    <w:rsid w:val="00A575BD"/>
    <w:rsid w:val="00A603A3"/>
    <w:rsid w:val="00A6075C"/>
    <w:rsid w:val="00A60EEC"/>
    <w:rsid w:val="00A60EF4"/>
    <w:rsid w:val="00A60FDA"/>
    <w:rsid w:val="00A6148B"/>
    <w:rsid w:val="00A62434"/>
    <w:rsid w:val="00A63B83"/>
    <w:rsid w:val="00A6494E"/>
    <w:rsid w:val="00A654CF"/>
    <w:rsid w:val="00A65BD9"/>
    <w:rsid w:val="00A65E1D"/>
    <w:rsid w:val="00A65ED3"/>
    <w:rsid w:val="00A66200"/>
    <w:rsid w:val="00A662EF"/>
    <w:rsid w:val="00A66718"/>
    <w:rsid w:val="00A66B87"/>
    <w:rsid w:val="00A671EF"/>
    <w:rsid w:val="00A67758"/>
    <w:rsid w:val="00A679BC"/>
    <w:rsid w:val="00A70B31"/>
    <w:rsid w:val="00A712C7"/>
    <w:rsid w:val="00A7136A"/>
    <w:rsid w:val="00A7152A"/>
    <w:rsid w:val="00A72D16"/>
    <w:rsid w:val="00A731C1"/>
    <w:rsid w:val="00A73673"/>
    <w:rsid w:val="00A736E2"/>
    <w:rsid w:val="00A73A74"/>
    <w:rsid w:val="00A73ED2"/>
    <w:rsid w:val="00A73F0A"/>
    <w:rsid w:val="00A740DC"/>
    <w:rsid w:val="00A743DF"/>
    <w:rsid w:val="00A74A72"/>
    <w:rsid w:val="00A74BB4"/>
    <w:rsid w:val="00A759FE"/>
    <w:rsid w:val="00A75FE1"/>
    <w:rsid w:val="00A769CE"/>
    <w:rsid w:val="00A76A2F"/>
    <w:rsid w:val="00A76D67"/>
    <w:rsid w:val="00A77562"/>
    <w:rsid w:val="00A776B8"/>
    <w:rsid w:val="00A80647"/>
    <w:rsid w:val="00A81AE9"/>
    <w:rsid w:val="00A81EB6"/>
    <w:rsid w:val="00A82696"/>
    <w:rsid w:val="00A8280A"/>
    <w:rsid w:val="00A83419"/>
    <w:rsid w:val="00A837FE"/>
    <w:rsid w:val="00A845A6"/>
    <w:rsid w:val="00A84D68"/>
    <w:rsid w:val="00A85357"/>
    <w:rsid w:val="00A85648"/>
    <w:rsid w:val="00A866D1"/>
    <w:rsid w:val="00A871E5"/>
    <w:rsid w:val="00A9015B"/>
    <w:rsid w:val="00A902DD"/>
    <w:rsid w:val="00A90E1E"/>
    <w:rsid w:val="00A9156F"/>
    <w:rsid w:val="00A91617"/>
    <w:rsid w:val="00A9170C"/>
    <w:rsid w:val="00A9190D"/>
    <w:rsid w:val="00A92584"/>
    <w:rsid w:val="00A927B9"/>
    <w:rsid w:val="00A928D7"/>
    <w:rsid w:val="00A92B56"/>
    <w:rsid w:val="00A93666"/>
    <w:rsid w:val="00A93A87"/>
    <w:rsid w:val="00A93C1C"/>
    <w:rsid w:val="00A951C9"/>
    <w:rsid w:val="00A95BF2"/>
    <w:rsid w:val="00A963D1"/>
    <w:rsid w:val="00A96FA8"/>
    <w:rsid w:val="00A96FAD"/>
    <w:rsid w:val="00A971DC"/>
    <w:rsid w:val="00A9757C"/>
    <w:rsid w:val="00A97597"/>
    <w:rsid w:val="00A975CF"/>
    <w:rsid w:val="00A97619"/>
    <w:rsid w:val="00A9770A"/>
    <w:rsid w:val="00A97790"/>
    <w:rsid w:val="00AA0288"/>
    <w:rsid w:val="00AA0A43"/>
    <w:rsid w:val="00AA0DD3"/>
    <w:rsid w:val="00AA10D5"/>
    <w:rsid w:val="00AA1C07"/>
    <w:rsid w:val="00AA2EA8"/>
    <w:rsid w:val="00AA322E"/>
    <w:rsid w:val="00AA33E8"/>
    <w:rsid w:val="00AA3688"/>
    <w:rsid w:val="00AA3D3C"/>
    <w:rsid w:val="00AA5887"/>
    <w:rsid w:val="00AA5D4C"/>
    <w:rsid w:val="00AA5D53"/>
    <w:rsid w:val="00AA6093"/>
    <w:rsid w:val="00AA6202"/>
    <w:rsid w:val="00AA6A0D"/>
    <w:rsid w:val="00AA7BF1"/>
    <w:rsid w:val="00AB0522"/>
    <w:rsid w:val="00AB0BC5"/>
    <w:rsid w:val="00AB0CF4"/>
    <w:rsid w:val="00AB124B"/>
    <w:rsid w:val="00AB19F8"/>
    <w:rsid w:val="00AB1CC5"/>
    <w:rsid w:val="00AB1E7C"/>
    <w:rsid w:val="00AB22A6"/>
    <w:rsid w:val="00AB27A1"/>
    <w:rsid w:val="00AB2A61"/>
    <w:rsid w:val="00AB3252"/>
    <w:rsid w:val="00AB3327"/>
    <w:rsid w:val="00AB3794"/>
    <w:rsid w:val="00AB37D3"/>
    <w:rsid w:val="00AB3A12"/>
    <w:rsid w:val="00AB45D7"/>
    <w:rsid w:val="00AB47DA"/>
    <w:rsid w:val="00AB5A8D"/>
    <w:rsid w:val="00AB5C88"/>
    <w:rsid w:val="00AB5F80"/>
    <w:rsid w:val="00AB6481"/>
    <w:rsid w:val="00AB652B"/>
    <w:rsid w:val="00AB6642"/>
    <w:rsid w:val="00AB779D"/>
    <w:rsid w:val="00AB7AEC"/>
    <w:rsid w:val="00AC039A"/>
    <w:rsid w:val="00AC13A4"/>
    <w:rsid w:val="00AC211A"/>
    <w:rsid w:val="00AC26A9"/>
    <w:rsid w:val="00AC2ED4"/>
    <w:rsid w:val="00AC2EFE"/>
    <w:rsid w:val="00AC2F0A"/>
    <w:rsid w:val="00AC348A"/>
    <w:rsid w:val="00AC349A"/>
    <w:rsid w:val="00AC3930"/>
    <w:rsid w:val="00AC3AB1"/>
    <w:rsid w:val="00AC4D84"/>
    <w:rsid w:val="00AC5072"/>
    <w:rsid w:val="00AC66B0"/>
    <w:rsid w:val="00AC68C6"/>
    <w:rsid w:val="00AC6BC1"/>
    <w:rsid w:val="00AC7005"/>
    <w:rsid w:val="00AC72EB"/>
    <w:rsid w:val="00AC7582"/>
    <w:rsid w:val="00AC76C9"/>
    <w:rsid w:val="00AC79C1"/>
    <w:rsid w:val="00AC79F3"/>
    <w:rsid w:val="00AC7CA4"/>
    <w:rsid w:val="00AD1322"/>
    <w:rsid w:val="00AD1704"/>
    <w:rsid w:val="00AD24DE"/>
    <w:rsid w:val="00AD2667"/>
    <w:rsid w:val="00AD2915"/>
    <w:rsid w:val="00AD328E"/>
    <w:rsid w:val="00AD39AC"/>
    <w:rsid w:val="00AD42A3"/>
    <w:rsid w:val="00AD493B"/>
    <w:rsid w:val="00AD4A64"/>
    <w:rsid w:val="00AD4D4E"/>
    <w:rsid w:val="00AD598F"/>
    <w:rsid w:val="00AD6479"/>
    <w:rsid w:val="00AD6B21"/>
    <w:rsid w:val="00AD6D09"/>
    <w:rsid w:val="00AD7534"/>
    <w:rsid w:val="00AD7D5F"/>
    <w:rsid w:val="00AE00C0"/>
    <w:rsid w:val="00AE07DA"/>
    <w:rsid w:val="00AE098E"/>
    <w:rsid w:val="00AE0BBA"/>
    <w:rsid w:val="00AE2122"/>
    <w:rsid w:val="00AE2291"/>
    <w:rsid w:val="00AE25C8"/>
    <w:rsid w:val="00AE2A1E"/>
    <w:rsid w:val="00AE2CCB"/>
    <w:rsid w:val="00AE4003"/>
    <w:rsid w:val="00AE4113"/>
    <w:rsid w:val="00AE4380"/>
    <w:rsid w:val="00AE477C"/>
    <w:rsid w:val="00AE4FAC"/>
    <w:rsid w:val="00AE5525"/>
    <w:rsid w:val="00AE59DE"/>
    <w:rsid w:val="00AE6381"/>
    <w:rsid w:val="00AE656F"/>
    <w:rsid w:val="00AE7D78"/>
    <w:rsid w:val="00AF036C"/>
    <w:rsid w:val="00AF0EDB"/>
    <w:rsid w:val="00AF205D"/>
    <w:rsid w:val="00AF30FD"/>
    <w:rsid w:val="00AF369D"/>
    <w:rsid w:val="00AF3703"/>
    <w:rsid w:val="00AF41F6"/>
    <w:rsid w:val="00AF438E"/>
    <w:rsid w:val="00AF43DB"/>
    <w:rsid w:val="00AF45CA"/>
    <w:rsid w:val="00AF483C"/>
    <w:rsid w:val="00AF4CDF"/>
    <w:rsid w:val="00AF5134"/>
    <w:rsid w:val="00AF5370"/>
    <w:rsid w:val="00AF5CBE"/>
    <w:rsid w:val="00AF5CEE"/>
    <w:rsid w:val="00AF5F3E"/>
    <w:rsid w:val="00AF61B2"/>
    <w:rsid w:val="00AF6729"/>
    <w:rsid w:val="00AF6D0D"/>
    <w:rsid w:val="00AF73AA"/>
    <w:rsid w:val="00AF7506"/>
    <w:rsid w:val="00AF778C"/>
    <w:rsid w:val="00AF7904"/>
    <w:rsid w:val="00AF79B5"/>
    <w:rsid w:val="00B007DD"/>
    <w:rsid w:val="00B0098A"/>
    <w:rsid w:val="00B009D2"/>
    <w:rsid w:val="00B01016"/>
    <w:rsid w:val="00B0146E"/>
    <w:rsid w:val="00B02160"/>
    <w:rsid w:val="00B027CB"/>
    <w:rsid w:val="00B02C20"/>
    <w:rsid w:val="00B0352B"/>
    <w:rsid w:val="00B039AC"/>
    <w:rsid w:val="00B03BAE"/>
    <w:rsid w:val="00B05260"/>
    <w:rsid w:val="00B05573"/>
    <w:rsid w:val="00B073E6"/>
    <w:rsid w:val="00B074F8"/>
    <w:rsid w:val="00B10ADE"/>
    <w:rsid w:val="00B11430"/>
    <w:rsid w:val="00B11A3D"/>
    <w:rsid w:val="00B121B0"/>
    <w:rsid w:val="00B12905"/>
    <w:rsid w:val="00B12F2E"/>
    <w:rsid w:val="00B13761"/>
    <w:rsid w:val="00B13B87"/>
    <w:rsid w:val="00B13D67"/>
    <w:rsid w:val="00B143E6"/>
    <w:rsid w:val="00B15915"/>
    <w:rsid w:val="00B15E16"/>
    <w:rsid w:val="00B163EB"/>
    <w:rsid w:val="00B1650F"/>
    <w:rsid w:val="00B16674"/>
    <w:rsid w:val="00B17FAB"/>
    <w:rsid w:val="00B202A8"/>
    <w:rsid w:val="00B2077C"/>
    <w:rsid w:val="00B21601"/>
    <w:rsid w:val="00B21985"/>
    <w:rsid w:val="00B21A28"/>
    <w:rsid w:val="00B22097"/>
    <w:rsid w:val="00B226EA"/>
    <w:rsid w:val="00B22C5F"/>
    <w:rsid w:val="00B22F4D"/>
    <w:rsid w:val="00B23579"/>
    <w:rsid w:val="00B23687"/>
    <w:rsid w:val="00B23D22"/>
    <w:rsid w:val="00B23F76"/>
    <w:rsid w:val="00B24919"/>
    <w:rsid w:val="00B24B14"/>
    <w:rsid w:val="00B250F2"/>
    <w:rsid w:val="00B25710"/>
    <w:rsid w:val="00B25BBB"/>
    <w:rsid w:val="00B26CA7"/>
    <w:rsid w:val="00B2712E"/>
    <w:rsid w:val="00B271A5"/>
    <w:rsid w:val="00B27B03"/>
    <w:rsid w:val="00B27F21"/>
    <w:rsid w:val="00B31B62"/>
    <w:rsid w:val="00B3208E"/>
    <w:rsid w:val="00B327E9"/>
    <w:rsid w:val="00B329F6"/>
    <w:rsid w:val="00B32A9D"/>
    <w:rsid w:val="00B33711"/>
    <w:rsid w:val="00B34889"/>
    <w:rsid w:val="00B34B37"/>
    <w:rsid w:val="00B354D8"/>
    <w:rsid w:val="00B35676"/>
    <w:rsid w:val="00B357FE"/>
    <w:rsid w:val="00B3592F"/>
    <w:rsid w:val="00B36620"/>
    <w:rsid w:val="00B37550"/>
    <w:rsid w:val="00B376CE"/>
    <w:rsid w:val="00B3784D"/>
    <w:rsid w:val="00B37B44"/>
    <w:rsid w:val="00B402C6"/>
    <w:rsid w:val="00B41AD3"/>
    <w:rsid w:val="00B41DC1"/>
    <w:rsid w:val="00B42A71"/>
    <w:rsid w:val="00B42B74"/>
    <w:rsid w:val="00B42BF7"/>
    <w:rsid w:val="00B42C0F"/>
    <w:rsid w:val="00B42F69"/>
    <w:rsid w:val="00B42FAE"/>
    <w:rsid w:val="00B44941"/>
    <w:rsid w:val="00B44F17"/>
    <w:rsid w:val="00B46AB3"/>
    <w:rsid w:val="00B46EC7"/>
    <w:rsid w:val="00B4713A"/>
    <w:rsid w:val="00B47E9E"/>
    <w:rsid w:val="00B50426"/>
    <w:rsid w:val="00B507F7"/>
    <w:rsid w:val="00B50873"/>
    <w:rsid w:val="00B50A91"/>
    <w:rsid w:val="00B5160B"/>
    <w:rsid w:val="00B51761"/>
    <w:rsid w:val="00B51871"/>
    <w:rsid w:val="00B52022"/>
    <w:rsid w:val="00B52187"/>
    <w:rsid w:val="00B522BE"/>
    <w:rsid w:val="00B54691"/>
    <w:rsid w:val="00B547E1"/>
    <w:rsid w:val="00B54DA5"/>
    <w:rsid w:val="00B54E7B"/>
    <w:rsid w:val="00B5545A"/>
    <w:rsid w:val="00B55BB0"/>
    <w:rsid w:val="00B57262"/>
    <w:rsid w:val="00B60791"/>
    <w:rsid w:val="00B60CCD"/>
    <w:rsid w:val="00B618F0"/>
    <w:rsid w:val="00B62854"/>
    <w:rsid w:val="00B62EF1"/>
    <w:rsid w:val="00B6409A"/>
    <w:rsid w:val="00B640CC"/>
    <w:rsid w:val="00B645B6"/>
    <w:rsid w:val="00B64B2F"/>
    <w:rsid w:val="00B6607A"/>
    <w:rsid w:val="00B667BF"/>
    <w:rsid w:val="00B66C23"/>
    <w:rsid w:val="00B67358"/>
    <w:rsid w:val="00B674D6"/>
    <w:rsid w:val="00B6797D"/>
    <w:rsid w:val="00B713FF"/>
    <w:rsid w:val="00B71E77"/>
    <w:rsid w:val="00B7245B"/>
    <w:rsid w:val="00B72828"/>
    <w:rsid w:val="00B72D43"/>
    <w:rsid w:val="00B73013"/>
    <w:rsid w:val="00B73375"/>
    <w:rsid w:val="00B735B8"/>
    <w:rsid w:val="00B736EE"/>
    <w:rsid w:val="00B7386C"/>
    <w:rsid w:val="00B73FF8"/>
    <w:rsid w:val="00B74247"/>
    <w:rsid w:val="00B74858"/>
    <w:rsid w:val="00B75136"/>
    <w:rsid w:val="00B752EB"/>
    <w:rsid w:val="00B756A9"/>
    <w:rsid w:val="00B7688E"/>
    <w:rsid w:val="00B76B06"/>
    <w:rsid w:val="00B76DCC"/>
    <w:rsid w:val="00B77BE4"/>
    <w:rsid w:val="00B800C1"/>
    <w:rsid w:val="00B8061A"/>
    <w:rsid w:val="00B812BE"/>
    <w:rsid w:val="00B813D5"/>
    <w:rsid w:val="00B8258D"/>
    <w:rsid w:val="00B825B4"/>
    <w:rsid w:val="00B82869"/>
    <w:rsid w:val="00B82E43"/>
    <w:rsid w:val="00B83231"/>
    <w:rsid w:val="00B83704"/>
    <w:rsid w:val="00B842C9"/>
    <w:rsid w:val="00B84E7E"/>
    <w:rsid w:val="00B84F26"/>
    <w:rsid w:val="00B86608"/>
    <w:rsid w:val="00B86C7A"/>
    <w:rsid w:val="00B86CAB"/>
    <w:rsid w:val="00B87847"/>
    <w:rsid w:val="00B8788D"/>
    <w:rsid w:val="00B87A57"/>
    <w:rsid w:val="00B87FAF"/>
    <w:rsid w:val="00B90477"/>
    <w:rsid w:val="00B90841"/>
    <w:rsid w:val="00B91886"/>
    <w:rsid w:val="00B92327"/>
    <w:rsid w:val="00B923D9"/>
    <w:rsid w:val="00B92AA5"/>
    <w:rsid w:val="00B93122"/>
    <w:rsid w:val="00B9368A"/>
    <w:rsid w:val="00B93904"/>
    <w:rsid w:val="00B93AF0"/>
    <w:rsid w:val="00B955FE"/>
    <w:rsid w:val="00B95865"/>
    <w:rsid w:val="00B96443"/>
    <w:rsid w:val="00B96744"/>
    <w:rsid w:val="00B9783C"/>
    <w:rsid w:val="00B97840"/>
    <w:rsid w:val="00B97F4D"/>
    <w:rsid w:val="00BA0140"/>
    <w:rsid w:val="00BA041D"/>
    <w:rsid w:val="00BA0B9F"/>
    <w:rsid w:val="00BA12E5"/>
    <w:rsid w:val="00BA1C56"/>
    <w:rsid w:val="00BA21CD"/>
    <w:rsid w:val="00BA2666"/>
    <w:rsid w:val="00BA3287"/>
    <w:rsid w:val="00BA340D"/>
    <w:rsid w:val="00BA387B"/>
    <w:rsid w:val="00BA3C59"/>
    <w:rsid w:val="00BA400B"/>
    <w:rsid w:val="00BA525F"/>
    <w:rsid w:val="00BA6419"/>
    <w:rsid w:val="00BA6550"/>
    <w:rsid w:val="00BA6D19"/>
    <w:rsid w:val="00BA6E1A"/>
    <w:rsid w:val="00BA78C5"/>
    <w:rsid w:val="00BB088D"/>
    <w:rsid w:val="00BB1B37"/>
    <w:rsid w:val="00BB1BD4"/>
    <w:rsid w:val="00BB27B4"/>
    <w:rsid w:val="00BB3642"/>
    <w:rsid w:val="00BB4A3B"/>
    <w:rsid w:val="00BB59F6"/>
    <w:rsid w:val="00BB5D93"/>
    <w:rsid w:val="00BB5EF0"/>
    <w:rsid w:val="00BB5FA7"/>
    <w:rsid w:val="00BB66AB"/>
    <w:rsid w:val="00BB790F"/>
    <w:rsid w:val="00BB7BBA"/>
    <w:rsid w:val="00BC022F"/>
    <w:rsid w:val="00BC0AD6"/>
    <w:rsid w:val="00BC0BBC"/>
    <w:rsid w:val="00BC122E"/>
    <w:rsid w:val="00BC1AE4"/>
    <w:rsid w:val="00BC1E4E"/>
    <w:rsid w:val="00BC29EC"/>
    <w:rsid w:val="00BC3584"/>
    <w:rsid w:val="00BC3745"/>
    <w:rsid w:val="00BC487E"/>
    <w:rsid w:val="00BC4ABF"/>
    <w:rsid w:val="00BC4BB3"/>
    <w:rsid w:val="00BC4EC7"/>
    <w:rsid w:val="00BC4F77"/>
    <w:rsid w:val="00BC5838"/>
    <w:rsid w:val="00BC63DE"/>
    <w:rsid w:val="00BC6DC2"/>
    <w:rsid w:val="00BD201C"/>
    <w:rsid w:val="00BD33C2"/>
    <w:rsid w:val="00BD35B7"/>
    <w:rsid w:val="00BD4604"/>
    <w:rsid w:val="00BD4710"/>
    <w:rsid w:val="00BD4849"/>
    <w:rsid w:val="00BD4C8B"/>
    <w:rsid w:val="00BD5D89"/>
    <w:rsid w:val="00BD6D43"/>
    <w:rsid w:val="00BD6FF4"/>
    <w:rsid w:val="00BD7058"/>
    <w:rsid w:val="00BD734B"/>
    <w:rsid w:val="00BE0C32"/>
    <w:rsid w:val="00BE0D9C"/>
    <w:rsid w:val="00BE204F"/>
    <w:rsid w:val="00BE2AEA"/>
    <w:rsid w:val="00BE2DE6"/>
    <w:rsid w:val="00BE4ED6"/>
    <w:rsid w:val="00BE54F3"/>
    <w:rsid w:val="00BE5561"/>
    <w:rsid w:val="00BE5B99"/>
    <w:rsid w:val="00BE5F67"/>
    <w:rsid w:val="00BE639E"/>
    <w:rsid w:val="00BE7695"/>
    <w:rsid w:val="00BE7920"/>
    <w:rsid w:val="00BE7CE8"/>
    <w:rsid w:val="00BE7DD3"/>
    <w:rsid w:val="00BF03EA"/>
    <w:rsid w:val="00BF0CA0"/>
    <w:rsid w:val="00BF0D28"/>
    <w:rsid w:val="00BF1B44"/>
    <w:rsid w:val="00BF1E46"/>
    <w:rsid w:val="00BF2A3A"/>
    <w:rsid w:val="00BF2CD1"/>
    <w:rsid w:val="00BF3057"/>
    <w:rsid w:val="00BF3838"/>
    <w:rsid w:val="00BF3ACE"/>
    <w:rsid w:val="00BF3D54"/>
    <w:rsid w:val="00BF474E"/>
    <w:rsid w:val="00BF4B6A"/>
    <w:rsid w:val="00BF5135"/>
    <w:rsid w:val="00BF54E7"/>
    <w:rsid w:val="00BF5770"/>
    <w:rsid w:val="00BF5B24"/>
    <w:rsid w:val="00BF6CFD"/>
    <w:rsid w:val="00BF7321"/>
    <w:rsid w:val="00BF74C4"/>
    <w:rsid w:val="00C00312"/>
    <w:rsid w:val="00C00828"/>
    <w:rsid w:val="00C009F5"/>
    <w:rsid w:val="00C01129"/>
    <w:rsid w:val="00C01556"/>
    <w:rsid w:val="00C016AD"/>
    <w:rsid w:val="00C02239"/>
    <w:rsid w:val="00C022E1"/>
    <w:rsid w:val="00C02457"/>
    <w:rsid w:val="00C02FD0"/>
    <w:rsid w:val="00C0398D"/>
    <w:rsid w:val="00C03B08"/>
    <w:rsid w:val="00C04CAD"/>
    <w:rsid w:val="00C05386"/>
    <w:rsid w:val="00C058B2"/>
    <w:rsid w:val="00C05C3D"/>
    <w:rsid w:val="00C071AC"/>
    <w:rsid w:val="00C0763D"/>
    <w:rsid w:val="00C07A65"/>
    <w:rsid w:val="00C103B0"/>
    <w:rsid w:val="00C109A2"/>
    <w:rsid w:val="00C109E3"/>
    <w:rsid w:val="00C10CD7"/>
    <w:rsid w:val="00C11276"/>
    <w:rsid w:val="00C11E4C"/>
    <w:rsid w:val="00C132FC"/>
    <w:rsid w:val="00C1494C"/>
    <w:rsid w:val="00C14954"/>
    <w:rsid w:val="00C15101"/>
    <w:rsid w:val="00C151B3"/>
    <w:rsid w:val="00C163B7"/>
    <w:rsid w:val="00C179B0"/>
    <w:rsid w:val="00C20245"/>
    <w:rsid w:val="00C2024E"/>
    <w:rsid w:val="00C206BB"/>
    <w:rsid w:val="00C20CA6"/>
    <w:rsid w:val="00C21159"/>
    <w:rsid w:val="00C21562"/>
    <w:rsid w:val="00C222B3"/>
    <w:rsid w:val="00C226F9"/>
    <w:rsid w:val="00C2311C"/>
    <w:rsid w:val="00C23398"/>
    <w:rsid w:val="00C2379E"/>
    <w:rsid w:val="00C23B23"/>
    <w:rsid w:val="00C2428B"/>
    <w:rsid w:val="00C2538F"/>
    <w:rsid w:val="00C258A6"/>
    <w:rsid w:val="00C26C22"/>
    <w:rsid w:val="00C26E10"/>
    <w:rsid w:val="00C27B03"/>
    <w:rsid w:val="00C3012E"/>
    <w:rsid w:val="00C30490"/>
    <w:rsid w:val="00C3089B"/>
    <w:rsid w:val="00C32458"/>
    <w:rsid w:val="00C3283E"/>
    <w:rsid w:val="00C330C7"/>
    <w:rsid w:val="00C3329A"/>
    <w:rsid w:val="00C347FF"/>
    <w:rsid w:val="00C34B40"/>
    <w:rsid w:val="00C35836"/>
    <w:rsid w:val="00C36CD0"/>
    <w:rsid w:val="00C36EA3"/>
    <w:rsid w:val="00C371DE"/>
    <w:rsid w:val="00C373A7"/>
    <w:rsid w:val="00C415F1"/>
    <w:rsid w:val="00C41CD3"/>
    <w:rsid w:val="00C41E62"/>
    <w:rsid w:val="00C4231C"/>
    <w:rsid w:val="00C428E0"/>
    <w:rsid w:val="00C43438"/>
    <w:rsid w:val="00C44264"/>
    <w:rsid w:val="00C442F8"/>
    <w:rsid w:val="00C46021"/>
    <w:rsid w:val="00C46251"/>
    <w:rsid w:val="00C4633B"/>
    <w:rsid w:val="00C46B34"/>
    <w:rsid w:val="00C4790F"/>
    <w:rsid w:val="00C47FC0"/>
    <w:rsid w:val="00C50809"/>
    <w:rsid w:val="00C51173"/>
    <w:rsid w:val="00C5189F"/>
    <w:rsid w:val="00C51D88"/>
    <w:rsid w:val="00C52246"/>
    <w:rsid w:val="00C5244D"/>
    <w:rsid w:val="00C5268B"/>
    <w:rsid w:val="00C528CC"/>
    <w:rsid w:val="00C52D05"/>
    <w:rsid w:val="00C537C1"/>
    <w:rsid w:val="00C5390A"/>
    <w:rsid w:val="00C53A12"/>
    <w:rsid w:val="00C53ABD"/>
    <w:rsid w:val="00C53AD3"/>
    <w:rsid w:val="00C53C94"/>
    <w:rsid w:val="00C54873"/>
    <w:rsid w:val="00C55C43"/>
    <w:rsid w:val="00C55E1E"/>
    <w:rsid w:val="00C55E34"/>
    <w:rsid w:val="00C568E9"/>
    <w:rsid w:val="00C57741"/>
    <w:rsid w:val="00C579D6"/>
    <w:rsid w:val="00C60028"/>
    <w:rsid w:val="00C6030D"/>
    <w:rsid w:val="00C60630"/>
    <w:rsid w:val="00C6074F"/>
    <w:rsid w:val="00C6081C"/>
    <w:rsid w:val="00C60D26"/>
    <w:rsid w:val="00C60E98"/>
    <w:rsid w:val="00C619DD"/>
    <w:rsid w:val="00C61AD8"/>
    <w:rsid w:val="00C61B7D"/>
    <w:rsid w:val="00C61D89"/>
    <w:rsid w:val="00C62568"/>
    <w:rsid w:val="00C63659"/>
    <w:rsid w:val="00C63D8A"/>
    <w:rsid w:val="00C64143"/>
    <w:rsid w:val="00C6434D"/>
    <w:rsid w:val="00C652E5"/>
    <w:rsid w:val="00C66496"/>
    <w:rsid w:val="00C6665F"/>
    <w:rsid w:val="00C669A5"/>
    <w:rsid w:val="00C67446"/>
    <w:rsid w:val="00C7018F"/>
    <w:rsid w:val="00C704C4"/>
    <w:rsid w:val="00C70962"/>
    <w:rsid w:val="00C70F99"/>
    <w:rsid w:val="00C714F2"/>
    <w:rsid w:val="00C71674"/>
    <w:rsid w:val="00C717CE"/>
    <w:rsid w:val="00C71CB2"/>
    <w:rsid w:val="00C71EDD"/>
    <w:rsid w:val="00C729E8"/>
    <w:rsid w:val="00C739D4"/>
    <w:rsid w:val="00C73A9D"/>
    <w:rsid w:val="00C74E88"/>
    <w:rsid w:val="00C75B4D"/>
    <w:rsid w:val="00C7697F"/>
    <w:rsid w:val="00C76C83"/>
    <w:rsid w:val="00C8025E"/>
    <w:rsid w:val="00C8136C"/>
    <w:rsid w:val="00C8241A"/>
    <w:rsid w:val="00C82E8C"/>
    <w:rsid w:val="00C82FAC"/>
    <w:rsid w:val="00C82FFA"/>
    <w:rsid w:val="00C83E5D"/>
    <w:rsid w:val="00C84269"/>
    <w:rsid w:val="00C84651"/>
    <w:rsid w:val="00C84655"/>
    <w:rsid w:val="00C84A1B"/>
    <w:rsid w:val="00C853A0"/>
    <w:rsid w:val="00C85521"/>
    <w:rsid w:val="00C856A5"/>
    <w:rsid w:val="00C856C0"/>
    <w:rsid w:val="00C857B0"/>
    <w:rsid w:val="00C85988"/>
    <w:rsid w:val="00C863EE"/>
    <w:rsid w:val="00C86525"/>
    <w:rsid w:val="00C86B9D"/>
    <w:rsid w:val="00C873B5"/>
    <w:rsid w:val="00C879A9"/>
    <w:rsid w:val="00C90828"/>
    <w:rsid w:val="00C9198B"/>
    <w:rsid w:val="00C919A3"/>
    <w:rsid w:val="00C92386"/>
    <w:rsid w:val="00C92646"/>
    <w:rsid w:val="00C92775"/>
    <w:rsid w:val="00C92CDF"/>
    <w:rsid w:val="00C9316A"/>
    <w:rsid w:val="00C93878"/>
    <w:rsid w:val="00C93B5E"/>
    <w:rsid w:val="00C94098"/>
    <w:rsid w:val="00C9452C"/>
    <w:rsid w:val="00C953D0"/>
    <w:rsid w:val="00C95D8D"/>
    <w:rsid w:val="00C96D46"/>
    <w:rsid w:val="00C96EA2"/>
    <w:rsid w:val="00C97065"/>
    <w:rsid w:val="00C9771B"/>
    <w:rsid w:val="00C97BAC"/>
    <w:rsid w:val="00C97C7F"/>
    <w:rsid w:val="00CA00B2"/>
    <w:rsid w:val="00CA01AF"/>
    <w:rsid w:val="00CA09BE"/>
    <w:rsid w:val="00CA15F3"/>
    <w:rsid w:val="00CA17F7"/>
    <w:rsid w:val="00CA2283"/>
    <w:rsid w:val="00CA2AEF"/>
    <w:rsid w:val="00CA2CA3"/>
    <w:rsid w:val="00CA2CAA"/>
    <w:rsid w:val="00CA3194"/>
    <w:rsid w:val="00CA325F"/>
    <w:rsid w:val="00CA33B8"/>
    <w:rsid w:val="00CA40C4"/>
    <w:rsid w:val="00CA4615"/>
    <w:rsid w:val="00CA4860"/>
    <w:rsid w:val="00CA4B6F"/>
    <w:rsid w:val="00CA5A91"/>
    <w:rsid w:val="00CA63D7"/>
    <w:rsid w:val="00CA66CE"/>
    <w:rsid w:val="00CA6833"/>
    <w:rsid w:val="00CB1582"/>
    <w:rsid w:val="00CB2048"/>
    <w:rsid w:val="00CB22B7"/>
    <w:rsid w:val="00CB31DA"/>
    <w:rsid w:val="00CB4009"/>
    <w:rsid w:val="00CB4DCD"/>
    <w:rsid w:val="00CB5032"/>
    <w:rsid w:val="00CB5172"/>
    <w:rsid w:val="00CB57F9"/>
    <w:rsid w:val="00CB7552"/>
    <w:rsid w:val="00CB7562"/>
    <w:rsid w:val="00CB7648"/>
    <w:rsid w:val="00CB78A9"/>
    <w:rsid w:val="00CB7DF6"/>
    <w:rsid w:val="00CC09A2"/>
    <w:rsid w:val="00CC1281"/>
    <w:rsid w:val="00CC13D0"/>
    <w:rsid w:val="00CC14E2"/>
    <w:rsid w:val="00CC18B3"/>
    <w:rsid w:val="00CC1E42"/>
    <w:rsid w:val="00CC21C9"/>
    <w:rsid w:val="00CC29FE"/>
    <w:rsid w:val="00CC303F"/>
    <w:rsid w:val="00CC354F"/>
    <w:rsid w:val="00CC389F"/>
    <w:rsid w:val="00CC3C96"/>
    <w:rsid w:val="00CC40CE"/>
    <w:rsid w:val="00CC44F9"/>
    <w:rsid w:val="00CC5226"/>
    <w:rsid w:val="00CC540A"/>
    <w:rsid w:val="00CC614E"/>
    <w:rsid w:val="00CC6555"/>
    <w:rsid w:val="00CC6748"/>
    <w:rsid w:val="00CC7516"/>
    <w:rsid w:val="00CD077C"/>
    <w:rsid w:val="00CD0899"/>
    <w:rsid w:val="00CD0A3E"/>
    <w:rsid w:val="00CD10EB"/>
    <w:rsid w:val="00CD14FB"/>
    <w:rsid w:val="00CD16AC"/>
    <w:rsid w:val="00CD1E13"/>
    <w:rsid w:val="00CD1FEB"/>
    <w:rsid w:val="00CD2E85"/>
    <w:rsid w:val="00CD2FCE"/>
    <w:rsid w:val="00CD342A"/>
    <w:rsid w:val="00CD3940"/>
    <w:rsid w:val="00CD4B25"/>
    <w:rsid w:val="00CD5967"/>
    <w:rsid w:val="00CD740A"/>
    <w:rsid w:val="00CD7562"/>
    <w:rsid w:val="00CE01F0"/>
    <w:rsid w:val="00CE02AB"/>
    <w:rsid w:val="00CE1751"/>
    <w:rsid w:val="00CE1841"/>
    <w:rsid w:val="00CE1B85"/>
    <w:rsid w:val="00CE2F14"/>
    <w:rsid w:val="00CE2FA6"/>
    <w:rsid w:val="00CE3909"/>
    <w:rsid w:val="00CE4A85"/>
    <w:rsid w:val="00CE52B8"/>
    <w:rsid w:val="00CE5783"/>
    <w:rsid w:val="00CE5DE2"/>
    <w:rsid w:val="00CE5F85"/>
    <w:rsid w:val="00CE6A0B"/>
    <w:rsid w:val="00CE7053"/>
    <w:rsid w:val="00CE7BF6"/>
    <w:rsid w:val="00CF079A"/>
    <w:rsid w:val="00CF0950"/>
    <w:rsid w:val="00CF1553"/>
    <w:rsid w:val="00CF1BDA"/>
    <w:rsid w:val="00CF2B06"/>
    <w:rsid w:val="00CF3B07"/>
    <w:rsid w:val="00CF468F"/>
    <w:rsid w:val="00CF4C13"/>
    <w:rsid w:val="00CF5F43"/>
    <w:rsid w:val="00CF62E0"/>
    <w:rsid w:val="00CF6384"/>
    <w:rsid w:val="00CF6902"/>
    <w:rsid w:val="00CF7CF8"/>
    <w:rsid w:val="00D00AD4"/>
    <w:rsid w:val="00D01472"/>
    <w:rsid w:val="00D017DA"/>
    <w:rsid w:val="00D01D15"/>
    <w:rsid w:val="00D0265A"/>
    <w:rsid w:val="00D02B8F"/>
    <w:rsid w:val="00D02C79"/>
    <w:rsid w:val="00D03AAB"/>
    <w:rsid w:val="00D0401F"/>
    <w:rsid w:val="00D056C6"/>
    <w:rsid w:val="00D06A88"/>
    <w:rsid w:val="00D06E88"/>
    <w:rsid w:val="00D07520"/>
    <w:rsid w:val="00D1013B"/>
    <w:rsid w:val="00D110E2"/>
    <w:rsid w:val="00D11103"/>
    <w:rsid w:val="00D11F90"/>
    <w:rsid w:val="00D12764"/>
    <w:rsid w:val="00D13527"/>
    <w:rsid w:val="00D13CFC"/>
    <w:rsid w:val="00D13DE1"/>
    <w:rsid w:val="00D13FD8"/>
    <w:rsid w:val="00D15E4E"/>
    <w:rsid w:val="00D15E63"/>
    <w:rsid w:val="00D16164"/>
    <w:rsid w:val="00D163EF"/>
    <w:rsid w:val="00D16F06"/>
    <w:rsid w:val="00D17601"/>
    <w:rsid w:val="00D20A13"/>
    <w:rsid w:val="00D20D6E"/>
    <w:rsid w:val="00D21300"/>
    <w:rsid w:val="00D22F1C"/>
    <w:rsid w:val="00D22F7B"/>
    <w:rsid w:val="00D230DC"/>
    <w:rsid w:val="00D23430"/>
    <w:rsid w:val="00D25456"/>
    <w:rsid w:val="00D26906"/>
    <w:rsid w:val="00D26C9A"/>
    <w:rsid w:val="00D27BE6"/>
    <w:rsid w:val="00D27CDB"/>
    <w:rsid w:val="00D303E8"/>
    <w:rsid w:val="00D304A4"/>
    <w:rsid w:val="00D31BA6"/>
    <w:rsid w:val="00D3256C"/>
    <w:rsid w:val="00D335E1"/>
    <w:rsid w:val="00D3392A"/>
    <w:rsid w:val="00D3545E"/>
    <w:rsid w:val="00D35928"/>
    <w:rsid w:val="00D35B1A"/>
    <w:rsid w:val="00D35FEA"/>
    <w:rsid w:val="00D365CA"/>
    <w:rsid w:val="00D366E4"/>
    <w:rsid w:val="00D3735B"/>
    <w:rsid w:val="00D37995"/>
    <w:rsid w:val="00D40159"/>
    <w:rsid w:val="00D41B3C"/>
    <w:rsid w:val="00D423AC"/>
    <w:rsid w:val="00D423E2"/>
    <w:rsid w:val="00D4296F"/>
    <w:rsid w:val="00D42F4B"/>
    <w:rsid w:val="00D434D6"/>
    <w:rsid w:val="00D4357E"/>
    <w:rsid w:val="00D436DA"/>
    <w:rsid w:val="00D43795"/>
    <w:rsid w:val="00D4393E"/>
    <w:rsid w:val="00D44039"/>
    <w:rsid w:val="00D44469"/>
    <w:rsid w:val="00D44B15"/>
    <w:rsid w:val="00D44DC6"/>
    <w:rsid w:val="00D468DA"/>
    <w:rsid w:val="00D46C13"/>
    <w:rsid w:val="00D46F91"/>
    <w:rsid w:val="00D47061"/>
    <w:rsid w:val="00D47257"/>
    <w:rsid w:val="00D476EA"/>
    <w:rsid w:val="00D47700"/>
    <w:rsid w:val="00D5014A"/>
    <w:rsid w:val="00D514E5"/>
    <w:rsid w:val="00D51D33"/>
    <w:rsid w:val="00D53589"/>
    <w:rsid w:val="00D539D5"/>
    <w:rsid w:val="00D53F28"/>
    <w:rsid w:val="00D544D5"/>
    <w:rsid w:val="00D54574"/>
    <w:rsid w:val="00D56536"/>
    <w:rsid w:val="00D57566"/>
    <w:rsid w:val="00D57897"/>
    <w:rsid w:val="00D602DE"/>
    <w:rsid w:val="00D6096A"/>
    <w:rsid w:val="00D609A8"/>
    <w:rsid w:val="00D60ABE"/>
    <w:rsid w:val="00D60ACF"/>
    <w:rsid w:val="00D60CE5"/>
    <w:rsid w:val="00D60F42"/>
    <w:rsid w:val="00D61811"/>
    <w:rsid w:val="00D61A94"/>
    <w:rsid w:val="00D626CE"/>
    <w:rsid w:val="00D62DDB"/>
    <w:rsid w:val="00D636C6"/>
    <w:rsid w:val="00D63F9F"/>
    <w:rsid w:val="00D643D1"/>
    <w:rsid w:val="00D646D3"/>
    <w:rsid w:val="00D64E5D"/>
    <w:rsid w:val="00D65FB8"/>
    <w:rsid w:val="00D66209"/>
    <w:rsid w:val="00D662F2"/>
    <w:rsid w:val="00D665F1"/>
    <w:rsid w:val="00D6701D"/>
    <w:rsid w:val="00D6711E"/>
    <w:rsid w:val="00D6784C"/>
    <w:rsid w:val="00D67CA2"/>
    <w:rsid w:val="00D707F8"/>
    <w:rsid w:val="00D7111B"/>
    <w:rsid w:val="00D72775"/>
    <w:rsid w:val="00D729F7"/>
    <w:rsid w:val="00D72A85"/>
    <w:rsid w:val="00D730B6"/>
    <w:rsid w:val="00D73B08"/>
    <w:rsid w:val="00D75057"/>
    <w:rsid w:val="00D751C8"/>
    <w:rsid w:val="00D80127"/>
    <w:rsid w:val="00D804E2"/>
    <w:rsid w:val="00D805D1"/>
    <w:rsid w:val="00D813CE"/>
    <w:rsid w:val="00D81493"/>
    <w:rsid w:val="00D81E82"/>
    <w:rsid w:val="00D81FB3"/>
    <w:rsid w:val="00D82C02"/>
    <w:rsid w:val="00D82FD7"/>
    <w:rsid w:val="00D832D8"/>
    <w:rsid w:val="00D8377F"/>
    <w:rsid w:val="00D84FA6"/>
    <w:rsid w:val="00D858BB"/>
    <w:rsid w:val="00D85C5F"/>
    <w:rsid w:val="00D85ECC"/>
    <w:rsid w:val="00D863C4"/>
    <w:rsid w:val="00D864C7"/>
    <w:rsid w:val="00D86EB7"/>
    <w:rsid w:val="00D87727"/>
    <w:rsid w:val="00D9166A"/>
    <w:rsid w:val="00D91E9F"/>
    <w:rsid w:val="00D91EFB"/>
    <w:rsid w:val="00D92B5E"/>
    <w:rsid w:val="00D9321B"/>
    <w:rsid w:val="00D93293"/>
    <w:rsid w:val="00D93388"/>
    <w:rsid w:val="00D93CFF"/>
    <w:rsid w:val="00D93FE0"/>
    <w:rsid w:val="00D94A7D"/>
    <w:rsid w:val="00D95457"/>
    <w:rsid w:val="00D96BBD"/>
    <w:rsid w:val="00D96E15"/>
    <w:rsid w:val="00D976BF"/>
    <w:rsid w:val="00D97A7B"/>
    <w:rsid w:val="00DA0A7D"/>
    <w:rsid w:val="00DA0BA3"/>
    <w:rsid w:val="00DA10B9"/>
    <w:rsid w:val="00DA1259"/>
    <w:rsid w:val="00DA1AAD"/>
    <w:rsid w:val="00DA1E08"/>
    <w:rsid w:val="00DA32B1"/>
    <w:rsid w:val="00DA4A52"/>
    <w:rsid w:val="00DA4AE7"/>
    <w:rsid w:val="00DA4C54"/>
    <w:rsid w:val="00DA4FBC"/>
    <w:rsid w:val="00DA5F52"/>
    <w:rsid w:val="00DA61B9"/>
    <w:rsid w:val="00DA6957"/>
    <w:rsid w:val="00DA6A22"/>
    <w:rsid w:val="00DA6F5A"/>
    <w:rsid w:val="00DA7457"/>
    <w:rsid w:val="00DB02CE"/>
    <w:rsid w:val="00DB0514"/>
    <w:rsid w:val="00DB07A1"/>
    <w:rsid w:val="00DB0F83"/>
    <w:rsid w:val="00DB1083"/>
    <w:rsid w:val="00DB13CA"/>
    <w:rsid w:val="00DB1B31"/>
    <w:rsid w:val="00DB2995"/>
    <w:rsid w:val="00DB2A2E"/>
    <w:rsid w:val="00DB2ED0"/>
    <w:rsid w:val="00DB37CC"/>
    <w:rsid w:val="00DB38F0"/>
    <w:rsid w:val="00DB3EE8"/>
    <w:rsid w:val="00DB41C8"/>
    <w:rsid w:val="00DB4701"/>
    <w:rsid w:val="00DB4A58"/>
    <w:rsid w:val="00DB4E76"/>
    <w:rsid w:val="00DB501D"/>
    <w:rsid w:val="00DB59C0"/>
    <w:rsid w:val="00DB689F"/>
    <w:rsid w:val="00DB6ADF"/>
    <w:rsid w:val="00DB6E3D"/>
    <w:rsid w:val="00DB6F32"/>
    <w:rsid w:val="00DB7C15"/>
    <w:rsid w:val="00DB7E24"/>
    <w:rsid w:val="00DC0146"/>
    <w:rsid w:val="00DC015C"/>
    <w:rsid w:val="00DC03EE"/>
    <w:rsid w:val="00DC0539"/>
    <w:rsid w:val="00DC0B1C"/>
    <w:rsid w:val="00DC2190"/>
    <w:rsid w:val="00DC2CFD"/>
    <w:rsid w:val="00DC30DE"/>
    <w:rsid w:val="00DC3460"/>
    <w:rsid w:val="00DC36B8"/>
    <w:rsid w:val="00DC46C7"/>
    <w:rsid w:val="00DC4D96"/>
    <w:rsid w:val="00DC5016"/>
    <w:rsid w:val="00DC53F2"/>
    <w:rsid w:val="00DC54B8"/>
    <w:rsid w:val="00DC597E"/>
    <w:rsid w:val="00DC5DF3"/>
    <w:rsid w:val="00DC615A"/>
    <w:rsid w:val="00DC619C"/>
    <w:rsid w:val="00DC67EC"/>
    <w:rsid w:val="00DC6B01"/>
    <w:rsid w:val="00DC6CA3"/>
    <w:rsid w:val="00DC6D1F"/>
    <w:rsid w:val="00DC708A"/>
    <w:rsid w:val="00DC7797"/>
    <w:rsid w:val="00DC7A96"/>
    <w:rsid w:val="00DC7E53"/>
    <w:rsid w:val="00DD0510"/>
    <w:rsid w:val="00DD078A"/>
    <w:rsid w:val="00DD1737"/>
    <w:rsid w:val="00DD1E38"/>
    <w:rsid w:val="00DD34E1"/>
    <w:rsid w:val="00DD3F72"/>
    <w:rsid w:val="00DD45E7"/>
    <w:rsid w:val="00DD5468"/>
    <w:rsid w:val="00DD54A4"/>
    <w:rsid w:val="00DD6F97"/>
    <w:rsid w:val="00DD6FCE"/>
    <w:rsid w:val="00DD71F6"/>
    <w:rsid w:val="00DD75B7"/>
    <w:rsid w:val="00DD7667"/>
    <w:rsid w:val="00DD76C5"/>
    <w:rsid w:val="00DD777C"/>
    <w:rsid w:val="00DE00DB"/>
    <w:rsid w:val="00DE0D2F"/>
    <w:rsid w:val="00DE0D75"/>
    <w:rsid w:val="00DE176E"/>
    <w:rsid w:val="00DE19EB"/>
    <w:rsid w:val="00DE2184"/>
    <w:rsid w:val="00DE2B45"/>
    <w:rsid w:val="00DE3145"/>
    <w:rsid w:val="00DE3A05"/>
    <w:rsid w:val="00DE49E1"/>
    <w:rsid w:val="00DE4B55"/>
    <w:rsid w:val="00DE5869"/>
    <w:rsid w:val="00DE5A65"/>
    <w:rsid w:val="00DE5B0F"/>
    <w:rsid w:val="00DE632E"/>
    <w:rsid w:val="00DE64B1"/>
    <w:rsid w:val="00DF0709"/>
    <w:rsid w:val="00DF0FE3"/>
    <w:rsid w:val="00DF182D"/>
    <w:rsid w:val="00DF1B42"/>
    <w:rsid w:val="00DF1ED0"/>
    <w:rsid w:val="00DF270A"/>
    <w:rsid w:val="00DF2CB1"/>
    <w:rsid w:val="00DF553D"/>
    <w:rsid w:val="00DF69F9"/>
    <w:rsid w:val="00E018EA"/>
    <w:rsid w:val="00E021CB"/>
    <w:rsid w:val="00E02579"/>
    <w:rsid w:val="00E02B50"/>
    <w:rsid w:val="00E03537"/>
    <w:rsid w:val="00E03867"/>
    <w:rsid w:val="00E03D2C"/>
    <w:rsid w:val="00E03FC3"/>
    <w:rsid w:val="00E045B2"/>
    <w:rsid w:val="00E04962"/>
    <w:rsid w:val="00E04B3F"/>
    <w:rsid w:val="00E04B6E"/>
    <w:rsid w:val="00E04C9B"/>
    <w:rsid w:val="00E060C1"/>
    <w:rsid w:val="00E06B1E"/>
    <w:rsid w:val="00E07331"/>
    <w:rsid w:val="00E07787"/>
    <w:rsid w:val="00E0788B"/>
    <w:rsid w:val="00E106F2"/>
    <w:rsid w:val="00E10AAF"/>
    <w:rsid w:val="00E114CA"/>
    <w:rsid w:val="00E11D49"/>
    <w:rsid w:val="00E13A97"/>
    <w:rsid w:val="00E13B35"/>
    <w:rsid w:val="00E13F6F"/>
    <w:rsid w:val="00E147D5"/>
    <w:rsid w:val="00E14C0E"/>
    <w:rsid w:val="00E14CE5"/>
    <w:rsid w:val="00E16642"/>
    <w:rsid w:val="00E167F5"/>
    <w:rsid w:val="00E16D59"/>
    <w:rsid w:val="00E171BD"/>
    <w:rsid w:val="00E17496"/>
    <w:rsid w:val="00E1787C"/>
    <w:rsid w:val="00E17A6F"/>
    <w:rsid w:val="00E17B73"/>
    <w:rsid w:val="00E202EC"/>
    <w:rsid w:val="00E20A71"/>
    <w:rsid w:val="00E2157C"/>
    <w:rsid w:val="00E21976"/>
    <w:rsid w:val="00E21E64"/>
    <w:rsid w:val="00E2249E"/>
    <w:rsid w:val="00E22B76"/>
    <w:rsid w:val="00E22C5C"/>
    <w:rsid w:val="00E23020"/>
    <w:rsid w:val="00E23442"/>
    <w:rsid w:val="00E234F1"/>
    <w:rsid w:val="00E239FC"/>
    <w:rsid w:val="00E241ED"/>
    <w:rsid w:val="00E24E3A"/>
    <w:rsid w:val="00E25AF8"/>
    <w:rsid w:val="00E26C55"/>
    <w:rsid w:val="00E26F6C"/>
    <w:rsid w:val="00E2720E"/>
    <w:rsid w:val="00E304E9"/>
    <w:rsid w:val="00E30A46"/>
    <w:rsid w:val="00E31073"/>
    <w:rsid w:val="00E31BD0"/>
    <w:rsid w:val="00E339C1"/>
    <w:rsid w:val="00E3411F"/>
    <w:rsid w:val="00E34CA3"/>
    <w:rsid w:val="00E35C4A"/>
    <w:rsid w:val="00E361CC"/>
    <w:rsid w:val="00E36460"/>
    <w:rsid w:val="00E36521"/>
    <w:rsid w:val="00E3694E"/>
    <w:rsid w:val="00E36D9A"/>
    <w:rsid w:val="00E373F8"/>
    <w:rsid w:val="00E37A0F"/>
    <w:rsid w:val="00E37DA6"/>
    <w:rsid w:val="00E37DCD"/>
    <w:rsid w:val="00E37FE3"/>
    <w:rsid w:val="00E40309"/>
    <w:rsid w:val="00E40598"/>
    <w:rsid w:val="00E40EB7"/>
    <w:rsid w:val="00E414A2"/>
    <w:rsid w:val="00E41B4D"/>
    <w:rsid w:val="00E427D5"/>
    <w:rsid w:val="00E42A40"/>
    <w:rsid w:val="00E43826"/>
    <w:rsid w:val="00E43AAA"/>
    <w:rsid w:val="00E43B15"/>
    <w:rsid w:val="00E44197"/>
    <w:rsid w:val="00E443A1"/>
    <w:rsid w:val="00E44C62"/>
    <w:rsid w:val="00E44F8B"/>
    <w:rsid w:val="00E46398"/>
    <w:rsid w:val="00E4659D"/>
    <w:rsid w:val="00E50EF1"/>
    <w:rsid w:val="00E51084"/>
    <w:rsid w:val="00E51D75"/>
    <w:rsid w:val="00E5387C"/>
    <w:rsid w:val="00E53DE5"/>
    <w:rsid w:val="00E54C99"/>
    <w:rsid w:val="00E54EF2"/>
    <w:rsid w:val="00E550A7"/>
    <w:rsid w:val="00E5567C"/>
    <w:rsid w:val="00E56342"/>
    <w:rsid w:val="00E56C48"/>
    <w:rsid w:val="00E570D4"/>
    <w:rsid w:val="00E571D6"/>
    <w:rsid w:val="00E57404"/>
    <w:rsid w:val="00E57885"/>
    <w:rsid w:val="00E57C34"/>
    <w:rsid w:val="00E60C5D"/>
    <w:rsid w:val="00E60DC5"/>
    <w:rsid w:val="00E61B0C"/>
    <w:rsid w:val="00E61D8F"/>
    <w:rsid w:val="00E6218B"/>
    <w:rsid w:val="00E6309C"/>
    <w:rsid w:val="00E63559"/>
    <w:rsid w:val="00E64006"/>
    <w:rsid w:val="00E642CA"/>
    <w:rsid w:val="00E64630"/>
    <w:rsid w:val="00E649F9"/>
    <w:rsid w:val="00E6550D"/>
    <w:rsid w:val="00E66E42"/>
    <w:rsid w:val="00E66E6D"/>
    <w:rsid w:val="00E67180"/>
    <w:rsid w:val="00E67649"/>
    <w:rsid w:val="00E676E2"/>
    <w:rsid w:val="00E707D0"/>
    <w:rsid w:val="00E707E7"/>
    <w:rsid w:val="00E70BB3"/>
    <w:rsid w:val="00E72218"/>
    <w:rsid w:val="00E7272F"/>
    <w:rsid w:val="00E72F28"/>
    <w:rsid w:val="00E73C61"/>
    <w:rsid w:val="00E74FA5"/>
    <w:rsid w:val="00E75007"/>
    <w:rsid w:val="00E756A8"/>
    <w:rsid w:val="00E76032"/>
    <w:rsid w:val="00E7638E"/>
    <w:rsid w:val="00E76873"/>
    <w:rsid w:val="00E768F2"/>
    <w:rsid w:val="00E76BDA"/>
    <w:rsid w:val="00E77E9E"/>
    <w:rsid w:val="00E77EF8"/>
    <w:rsid w:val="00E77EFE"/>
    <w:rsid w:val="00E81DED"/>
    <w:rsid w:val="00E8202C"/>
    <w:rsid w:val="00E82316"/>
    <w:rsid w:val="00E825B3"/>
    <w:rsid w:val="00E83859"/>
    <w:rsid w:val="00E843DD"/>
    <w:rsid w:val="00E84977"/>
    <w:rsid w:val="00E849DE"/>
    <w:rsid w:val="00E85948"/>
    <w:rsid w:val="00E85D4A"/>
    <w:rsid w:val="00E86536"/>
    <w:rsid w:val="00E86F33"/>
    <w:rsid w:val="00E9167E"/>
    <w:rsid w:val="00E92158"/>
    <w:rsid w:val="00E922A4"/>
    <w:rsid w:val="00E925CE"/>
    <w:rsid w:val="00E926BD"/>
    <w:rsid w:val="00E92B3B"/>
    <w:rsid w:val="00E92EAD"/>
    <w:rsid w:val="00E9340B"/>
    <w:rsid w:val="00E93F3F"/>
    <w:rsid w:val="00E95B11"/>
    <w:rsid w:val="00E96402"/>
    <w:rsid w:val="00E96E53"/>
    <w:rsid w:val="00E9734E"/>
    <w:rsid w:val="00EA05D9"/>
    <w:rsid w:val="00EA0AD3"/>
    <w:rsid w:val="00EA0D28"/>
    <w:rsid w:val="00EA1104"/>
    <w:rsid w:val="00EA13D7"/>
    <w:rsid w:val="00EA1983"/>
    <w:rsid w:val="00EA2758"/>
    <w:rsid w:val="00EA2AE3"/>
    <w:rsid w:val="00EA3183"/>
    <w:rsid w:val="00EA5257"/>
    <w:rsid w:val="00EA587A"/>
    <w:rsid w:val="00EA59B6"/>
    <w:rsid w:val="00EA5E6D"/>
    <w:rsid w:val="00EA7310"/>
    <w:rsid w:val="00EA7415"/>
    <w:rsid w:val="00EB0433"/>
    <w:rsid w:val="00EB1A81"/>
    <w:rsid w:val="00EB1B8B"/>
    <w:rsid w:val="00EB1E7D"/>
    <w:rsid w:val="00EB24EC"/>
    <w:rsid w:val="00EB29B2"/>
    <w:rsid w:val="00EB2E5F"/>
    <w:rsid w:val="00EB3C54"/>
    <w:rsid w:val="00EB3D23"/>
    <w:rsid w:val="00EB4089"/>
    <w:rsid w:val="00EB4951"/>
    <w:rsid w:val="00EB566F"/>
    <w:rsid w:val="00EB595B"/>
    <w:rsid w:val="00EB5CAA"/>
    <w:rsid w:val="00EB638B"/>
    <w:rsid w:val="00EB7D56"/>
    <w:rsid w:val="00EC0029"/>
    <w:rsid w:val="00EC0591"/>
    <w:rsid w:val="00EC098E"/>
    <w:rsid w:val="00EC0BCB"/>
    <w:rsid w:val="00EC0E71"/>
    <w:rsid w:val="00EC1A97"/>
    <w:rsid w:val="00EC2789"/>
    <w:rsid w:val="00EC2B98"/>
    <w:rsid w:val="00EC42BE"/>
    <w:rsid w:val="00EC4617"/>
    <w:rsid w:val="00EC4997"/>
    <w:rsid w:val="00EC56F2"/>
    <w:rsid w:val="00EC5F00"/>
    <w:rsid w:val="00EC66DD"/>
    <w:rsid w:val="00EC747D"/>
    <w:rsid w:val="00ED00FD"/>
    <w:rsid w:val="00ED02D0"/>
    <w:rsid w:val="00ED092D"/>
    <w:rsid w:val="00ED09B8"/>
    <w:rsid w:val="00ED11F1"/>
    <w:rsid w:val="00ED1CE3"/>
    <w:rsid w:val="00ED1E22"/>
    <w:rsid w:val="00ED22A4"/>
    <w:rsid w:val="00ED2AB3"/>
    <w:rsid w:val="00ED34A3"/>
    <w:rsid w:val="00ED395C"/>
    <w:rsid w:val="00ED3E27"/>
    <w:rsid w:val="00ED4515"/>
    <w:rsid w:val="00ED52DC"/>
    <w:rsid w:val="00ED5B00"/>
    <w:rsid w:val="00ED5D01"/>
    <w:rsid w:val="00ED613A"/>
    <w:rsid w:val="00ED6CFA"/>
    <w:rsid w:val="00ED6D53"/>
    <w:rsid w:val="00ED758E"/>
    <w:rsid w:val="00ED77C0"/>
    <w:rsid w:val="00ED78FE"/>
    <w:rsid w:val="00ED7FE7"/>
    <w:rsid w:val="00ED7FFB"/>
    <w:rsid w:val="00EE00ED"/>
    <w:rsid w:val="00EE0710"/>
    <w:rsid w:val="00EE0C2B"/>
    <w:rsid w:val="00EE0CB2"/>
    <w:rsid w:val="00EE0F5D"/>
    <w:rsid w:val="00EE109E"/>
    <w:rsid w:val="00EE1855"/>
    <w:rsid w:val="00EE207B"/>
    <w:rsid w:val="00EE2B68"/>
    <w:rsid w:val="00EE2F90"/>
    <w:rsid w:val="00EE3733"/>
    <w:rsid w:val="00EE395E"/>
    <w:rsid w:val="00EE3C6F"/>
    <w:rsid w:val="00EE3E99"/>
    <w:rsid w:val="00EE3FED"/>
    <w:rsid w:val="00EE415B"/>
    <w:rsid w:val="00EE5168"/>
    <w:rsid w:val="00EE5301"/>
    <w:rsid w:val="00EE6205"/>
    <w:rsid w:val="00EE66AE"/>
    <w:rsid w:val="00EE6725"/>
    <w:rsid w:val="00EE6D70"/>
    <w:rsid w:val="00EE7D02"/>
    <w:rsid w:val="00EF040C"/>
    <w:rsid w:val="00EF0838"/>
    <w:rsid w:val="00EF0E66"/>
    <w:rsid w:val="00EF1386"/>
    <w:rsid w:val="00EF1DE2"/>
    <w:rsid w:val="00EF2491"/>
    <w:rsid w:val="00EF256B"/>
    <w:rsid w:val="00EF29CB"/>
    <w:rsid w:val="00EF2C9F"/>
    <w:rsid w:val="00EF30F7"/>
    <w:rsid w:val="00EF343D"/>
    <w:rsid w:val="00EF449E"/>
    <w:rsid w:val="00EF5277"/>
    <w:rsid w:val="00EF53DF"/>
    <w:rsid w:val="00EF56E3"/>
    <w:rsid w:val="00EF5CAD"/>
    <w:rsid w:val="00EF611F"/>
    <w:rsid w:val="00EF6317"/>
    <w:rsid w:val="00EF76E1"/>
    <w:rsid w:val="00EF771A"/>
    <w:rsid w:val="00EF7900"/>
    <w:rsid w:val="00F00520"/>
    <w:rsid w:val="00F00929"/>
    <w:rsid w:val="00F00DB4"/>
    <w:rsid w:val="00F019F8"/>
    <w:rsid w:val="00F02324"/>
    <w:rsid w:val="00F02836"/>
    <w:rsid w:val="00F029AF"/>
    <w:rsid w:val="00F02AD7"/>
    <w:rsid w:val="00F0305D"/>
    <w:rsid w:val="00F04099"/>
    <w:rsid w:val="00F04DFB"/>
    <w:rsid w:val="00F04E23"/>
    <w:rsid w:val="00F04F02"/>
    <w:rsid w:val="00F05B66"/>
    <w:rsid w:val="00F060CC"/>
    <w:rsid w:val="00F07319"/>
    <w:rsid w:val="00F1030E"/>
    <w:rsid w:val="00F10925"/>
    <w:rsid w:val="00F11297"/>
    <w:rsid w:val="00F12E5B"/>
    <w:rsid w:val="00F12F6C"/>
    <w:rsid w:val="00F13DAE"/>
    <w:rsid w:val="00F13DCE"/>
    <w:rsid w:val="00F14E0C"/>
    <w:rsid w:val="00F151F7"/>
    <w:rsid w:val="00F157D8"/>
    <w:rsid w:val="00F15873"/>
    <w:rsid w:val="00F15D81"/>
    <w:rsid w:val="00F1623E"/>
    <w:rsid w:val="00F16479"/>
    <w:rsid w:val="00F16841"/>
    <w:rsid w:val="00F16AFE"/>
    <w:rsid w:val="00F16C35"/>
    <w:rsid w:val="00F16DB1"/>
    <w:rsid w:val="00F170B0"/>
    <w:rsid w:val="00F20151"/>
    <w:rsid w:val="00F201AD"/>
    <w:rsid w:val="00F203A8"/>
    <w:rsid w:val="00F2101C"/>
    <w:rsid w:val="00F21102"/>
    <w:rsid w:val="00F21481"/>
    <w:rsid w:val="00F21B21"/>
    <w:rsid w:val="00F21BCF"/>
    <w:rsid w:val="00F222BB"/>
    <w:rsid w:val="00F2402E"/>
    <w:rsid w:val="00F2427F"/>
    <w:rsid w:val="00F2491A"/>
    <w:rsid w:val="00F249D5"/>
    <w:rsid w:val="00F24EF6"/>
    <w:rsid w:val="00F254E4"/>
    <w:rsid w:val="00F26AAB"/>
    <w:rsid w:val="00F26F5D"/>
    <w:rsid w:val="00F27AFF"/>
    <w:rsid w:val="00F32B0A"/>
    <w:rsid w:val="00F32F4C"/>
    <w:rsid w:val="00F3353A"/>
    <w:rsid w:val="00F337A2"/>
    <w:rsid w:val="00F34181"/>
    <w:rsid w:val="00F34803"/>
    <w:rsid w:val="00F34C92"/>
    <w:rsid w:val="00F3502A"/>
    <w:rsid w:val="00F35C9E"/>
    <w:rsid w:val="00F35D19"/>
    <w:rsid w:val="00F362AB"/>
    <w:rsid w:val="00F377AE"/>
    <w:rsid w:val="00F411D1"/>
    <w:rsid w:val="00F41269"/>
    <w:rsid w:val="00F41319"/>
    <w:rsid w:val="00F41926"/>
    <w:rsid w:val="00F41CB6"/>
    <w:rsid w:val="00F42197"/>
    <w:rsid w:val="00F435BD"/>
    <w:rsid w:val="00F44443"/>
    <w:rsid w:val="00F44647"/>
    <w:rsid w:val="00F44B13"/>
    <w:rsid w:val="00F4569B"/>
    <w:rsid w:val="00F45BE7"/>
    <w:rsid w:val="00F463D7"/>
    <w:rsid w:val="00F46DAD"/>
    <w:rsid w:val="00F472C8"/>
    <w:rsid w:val="00F47FE6"/>
    <w:rsid w:val="00F50163"/>
    <w:rsid w:val="00F50E7C"/>
    <w:rsid w:val="00F50FCA"/>
    <w:rsid w:val="00F510E2"/>
    <w:rsid w:val="00F515F1"/>
    <w:rsid w:val="00F517BC"/>
    <w:rsid w:val="00F5273A"/>
    <w:rsid w:val="00F52839"/>
    <w:rsid w:val="00F52D6B"/>
    <w:rsid w:val="00F52E18"/>
    <w:rsid w:val="00F5309C"/>
    <w:rsid w:val="00F535E2"/>
    <w:rsid w:val="00F53F3A"/>
    <w:rsid w:val="00F54181"/>
    <w:rsid w:val="00F546FB"/>
    <w:rsid w:val="00F54785"/>
    <w:rsid w:val="00F54D94"/>
    <w:rsid w:val="00F55335"/>
    <w:rsid w:val="00F55A6C"/>
    <w:rsid w:val="00F55A6D"/>
    <w:rsid w:val="00F55CF7"/>
    <w:rsid w:val="00F563EC"/>
    <w:rsid w:val="00F56EA0"/>
    <w:rsid w:val="00F5749D"/>
    <w:rsid w:val="00F57A05"/>
    <w:rsid w:val="00F57D1C"/>
    <w:rsid w:val="00F57F2B"/>
    <w:rsid w:val="00F60765"/>
    <w:rsid w:val="00F6086A"/>
    <w:rsid w:val="00F609E7"/>
    <w:rsid w:val="00F6169B"/>
    <w:rsid w:val="00F61E47"/>
    <w:rsid w:val="00F62824"/>
    <w:rsid w:val="00F62D7C"/>
    <w:rsid w:val="00F634C8"/>
    <w:rsid w:val="00F63F0C"/>
    <w:rsid w:val="00F6422D"/>
    <w:rsid w:val="00F64297"/>
    <w:rsid w:val="00F64B9B"/>
    <w:rsid w:val="00F6518F"/>
    <w:rsid w:val="00F6529C"/>
    <w:rsid w:val="00F658B9"/>
    <w:rsid w:val="00F6593D"/>
    <w:rsid w:val="00F65995"/>
    <w:rsid w:val="00F659D5"/>
    <w:rsid w:val="00F67155"/>
    <w:rsid w:val="00F67E1F"/>
    <w:rsid w:val="00F7058F"/>
    <w:rsid w:val="00F70D21"/>
    <w:rsid w:val="00F70FD6"/>
    <w:rsid w:val="00F70FEF"/>
    <w:rsid w:val="00F7251C"/>
    <w:rsid w:val="00F7393B"/>
    <w:rsid w:val="00F73D4A"/>
    <w:rsid w:val="00F73EB4"/>
    <w:rsid w:val="00F73F06"/>
    <w:rsid w:val="00F74F3A"/>
    <w:rsid w:val="00F752C2"/>
    <w:rsid w:val="00F75A82"/>
    <w:rsid w:val="00F75C02"/>
    <w:rsid w:val="00F76C1E"/>
    <w:rsid w:val="00F7726A"/>
    <w:rsid w:val="00F772A7"/>
    <w:rsid w:val="00F77ECB"/>
    <w:rsid w:val="00F80207"/>
    <w:rsid w:val="00F80231"/>
    <w:rsid w:val="00F803F7"/>
    <w:rsid w:val="00F81B73"/>
    <w:rsid w:val="00F81BF8"/>
    <w:rsid w:val="00F81E47"/>
    <w:rsid w:val="00F824EF"/>
    <w:rsid w:val="00F827C2"/>
    <w:rsid w:val="00F82C98"/>
    <w:rsid w:val="00F84408"/>
    <w:rsid w:val="00F86474"/>
    <w:rsid w:val="00F868B4"/>
    <w:rsid w:val="00F8730A"/>
    <w:rsid w:val="00F9008B"/>
    <w:rsid w:val="00F9016F"/>
    <w:rsid w:val="00F90601"/>
    <w:rsid w:val="00F9123B"/>
    <w:rsid w:val="00F9139E"/>
    <w:rsid w:val="00F913E7"/>
    <w:rsid w:val="00F91BC6"/>
    <w:rsid w:val="00F9225B"/>
    <w:rsid w:val="00F92C34"/>
    <w:rsid w:val="00F93214"/>
    <w:rsid w:val="00F93703"/>
    <w:rsid w:val="00F93FA0"/>
    <w:rsid w:val="00F9406C"/>
    <w:rsid w:val="00F95E90"/>
    <w:rsid w:val="00F96884"/>
    <w:rsid w:val="00F96AE5"/>
    <w:rsid w:val="00FA01AB"/>
    <w:rsid w:val="00FA0977"/>
    <w:rsid w:val="00FA211C"/>
    <w:rsid w:val="00FA2428"/>
    <w:rsid w:val="00FA2A65"/>
    <w:rsid w:val="00FA334C"/>
    <w:rsid w:val="00FA39FB"/>
    <w:rsid w:val="00FA7531"/>
    <w:rsid w:val="00FA78FD"/>
    <w:rsid w:val="00FA79A7"/>
    <w:rsid w:val="00FA7F2C"/>
    <w:rsid w:val="00FB04FF"/>
    <w:rsid w:val="00FB0DEC"/>
    <w:rsid w:val="00FB11BE"/>
    <w:rsid w:val="00FB1357"/>
    <w:rsid w:val="00FB1799"/>
    <w:rsid w:val="00FB1920"/>
    <w:rsid w:val="00FB1B56"/>
    <w:rsid w:val="00FB233B"/>
    <w:rsid w:val="00FB2508"/>
    <w:rsid w:val="00FB27F1"/>
    <w:rsid w:val="00FB293E"/>
    <w:rsid w:val="00FB3087"/>
    <w:rsid w:val="00FB389B"/>
    <w:rsid w:val="00FB3DF7"/>
    <w:rsid w:val="00FB4C6F"/>
    <w:rsid w:val="00FB4D7D"/>
    <w:rsid w:val="00FB50C6"/>
    <w:rsid w:val="00FB7101"/>
    <w:rsid w:val="00FB77C5"/>
    <w:rsid w:val="00FC06A6"/>
    <w:rsid w:val="00FC0997"/>
    <w:rsid w:val="00FC0BCC"/>
    <w:rsid w:val="00FC1468"/>
    <w:rsid w:val="00FC24BA"/>
    <w:rsid w:val="00FC2C62"/>
    <w:rsid w:val="00FC305E"/>
    <w:rsid w:val="00FC3CC8"/>
    <w:rsid w:val="00FC54AD"/>
    <w:rsid w:val="00FC5E76"/>
    <w:rsid w:val="00FC69CF"/>
    <w:rsid w:val="00FC7214"/>
    <w:rsid w:val="00FD058F"/>
    <w:rsid w:val="00FD0B70"/>
    <w:rsid w:val="00FD11B8"/>
    <w:rsid w:val="00FD1440"/>
    <w:rsid w:val="00FD1489"/>
    <w:rsid w:val="00FD17D7"/>
    <w:rsid w:val="00FD19B2"/>
    <w:rsid w:val="00FD21BA"/>
    <w:rsid w:val="00FD2DA9"/>
    <w:rsid w:val="00FD35FA"/>
    <w:rsid w:val="00FD42C5"/>
    <w:rsid w:val="00FD4E72"/>
    <w:rsid w:val="00FD4F84"/>
    <w:rsid w:val="00FD50AA"/>
    <w:rsid w:val="00FD50B9"/>
    <w:rsid w:val="00FD5423"/>
    <w:rsid w:val="00FD59F1"/>
    <w:rsid w:val="00FD6FE2"/>
    <w:rsid w:val="00FD74CB"/>
    <w:rsid w:val="00FD7543"/>
    <w:rsid w:val="00FD7BF5"/>
    <w:rsid w:val="00FD7D57"/>
    <w:rsid w:val="00FE0BA8"/>
    <w:rsid w:val="00FE10D7"/>
    <w:rsid w:val="00FE14C1"/>
    <w:rsid w:val="00FE185C"/>
    <w:rsid w:val="00FE24F7"/>
    <w:rsid w:val="00FE2755"/>
    <w:rsid w:val="00FE335B"/>
    <w:rsid w:val="00FE3C5F"/>
    <w:rsid w:val="00FE3CB0"/>
    <w:rsid w:val="00FE3F5E"/>
    <w:rsid w:val="00FE401B"/>
    <w:rsid w:val="00FE4705"/>
    <w:rsid w:val="00FE520D"/>
    <w:rsid w:val="00FE557C"/>
    <w:rsid w:val="00FE670A"/>
    <w:rsid w:val="00FE7965"/>
    <w:rsid w:val="00FF040C"/>
    <w:rsid w:val="00FF04EB"/>
    <w:rsid w:val="00FF155A"/>
    <w:rsid w:val="00FF1600"/>
    <w:rsid w:val="00FF334C"/>
    <w:rsid w:val="00FF3D65"/>
    <w:rsid w:val="00FF41E6"/>
    <w:rsid w:val="00FF4C3A"/>
    <w:rsid w:val="00FF5EB5"/>
    <w:rsid w:val="00FF62F4"/>
    <w:rsid w:val="00FF6519"/>
    <w:rsid w:val="00FF7E61"/>
    <w:rsid w:val="78666AB1"/>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0BC34A5"/>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ro-RO" w:eastAsia="ro-R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iPriority="0" w:qFormat="1"/>
    <w:lsdException w:name="footer" w:uiPriority="0"/>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uiPriority="0"/>
    <w:lsdException w:name="FollowedHyperlink" w:uiPriority="0" w:unhideWhenUsed="1" w:qFormat="1"/>
    <w:lsdException w:name="Strong" w:uiPriority="0" w:qFormat="1"/>
    <w:lsdException w:name="Emphasis" w:uiPriority="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tabs>
        <w:tab w:val="left" w:pos="567"/>
      </w:tabs>
      <w:spacing w:line="260" w:lineRule="exact"/>
    </w:pPr>
    <w:rPr>
      <w:rFonts w:ascii="Times New Roman" w:eastAsia="Times New Roman" w:hAnsi="Times New Roman"/>
      <w:sz w:val="22"/>
      <w:lang w:bidi="ro-RO"/>
    </w:rPr>
  </w:style>
  <w:style w:type="paragraph" w:styleId="Heading1">
    <w:name w:val="heading 1"/>
    <w:basedOn w:val="Normal"/>
    <w:next w:val="Normal"/>
    <w:link w:val="Heading1Char"/>
    <w:qFormat/>
    <w:pPr>
      <w:widowControl w:val="0"/>
      <w:tabs>
        <w:tab w:val="clear" w:pos="567"/>
      </w:tabs>
      <w:autoSpaceDE w:val="0"/>
      <w:autoSpaceDN w:val="0"/>
      <w:adjustRightInd w:val="0"/>
      <w:spacing w:line="240" w:lineRule="auto"/>
      <w:ind w:left="104"/>
      <w:outlineLvl w:val="0"/>
    </w:pPr>
    <w:rPr>
      <w:rFonts w:eastAsia="MS Mincho"/>
      <w:b/>
      <w:bCs/>
      <w:szCs w:val="22"/>
      <w:lang w:val="en-US" w:eastAsia="en-US" w:bidi="ar-SA"/>
    </w:rPr>
  </w:style>
  <w:style w:type="paragraph" w:styleId="Heading2">
    <w:name w:val="heading 2"/>
    <w:basedOn w:val="Normal"/>
    <w:next w:val="Normal"/>
    <w:link w:val="Heading2Char"/>
    <w:qFormat/>
    <w:pPr>
      <w:keepNext/>
      <w:spacing w:before="240" w:after="60"/>
      <w:outlineLvl w:val="1"/>
    </w:pPr>
    <w:rPr>
      <w:rFonts w:ascii="Helvetica" w:eastAsia="PMingLiU" w:hAnsi="Helvetica"/>
      <w:b/>
      <w:i/>
      <w:sz w:val="24"/>
      <w:lang w:val="en-GB" w:eastAsia="en-US" w:bidi="ar-SA"/>
    </w:rPr>
  </w:style>
  <w:style w:type="paragraph" w:styleId="Heading3">
    <w:name w:val="heading 3"/>
    <w:basedOn w:val="Normal"/>
    <w:next w:val="Normal"/>
    <w:link w:val="Heading3Char"/>
    <w:qFormat/>
    <w:pPr>
      <w:keepNext/>
      <w:keepLines/>
      <w:spacing w:before="120" w:after="80"/>
      <w:outlineLvl w:val="2"/>
    </w:pPr>
    <w:rPr>
      <w:rFonts w:eastAsia="PMingLiU"/>
      <w:b/>
      <w:kern w:val="28"/>
      <w:sz w:val="24"/>
      <w:lang w:val="en-US" w:eastAsia="en-US" w:bidi="ar-SA"/>
    </w:rPr>
  </w:style>
  <w:style w:type="paragraph" w:styleId="Heading4">
    <w:name w:val="heading 4"/>
    <w:basedOn w:val="Normal"/>
    <w:next w:val="Normal"/>
    <w:link w:val="Heading4Char"/>
    <w:qFormat/>
    <w:pPr>
      <w:keepNext/>
      <w:jc w:val="both"/>
      <w:outlineLvl w:val="3"/>
    </w:pPr>
    <w:rPr>
      <w:rFonts w:eastAsia="PMingLiU"/>
      <w:b/>
      <w:lang w:val="en-GB" w:eastAsia="en-US" w:bidi="ar-SA"/>
    </w:rPr>
  </w:style>
  <w:style w:type="paragraph" w:styleId="Heading5">
    <w:name w:val="heading 5"/>
    <w:basedOn w:val="Normal"/>
    <w:next w:val="Normal"/>
    <w:link w:val="Heading5Char"/>
    <w:qFormat/>
    <w:pPr>
      <w:keepNext/>
      <w:jc w:val="both"/>
      <w:outlineLvl w:val="4"/>
    </w:pPr>
    <w:rPr>
      <w:rFonts w:eastAsia="PMingLiU"/>
      <w:lang w:val="en-GB" w:eastAsia="en-US" w:bidi="ar-SA"/>
    </w:rPr>
  </w:style>
  <w:style w:type="paragraph" w:styleId="Heading6">
    <w:name w:val="heading 6"/>
    <w:basedOn w:val="Normal"/>
    <w:next w:val="Normal"/>
    <w:link w:val="Heading6Char"/>
    <w:qFormat/>
    <w:pPr>
      <w:keepNext/>
      <w:tabs>
        <w:tab w:val="left" w:pos="-720"/>
        <w:tab w:val="left" w:pos="4536"/>
      </w:tabs>
      <w:suppressAutoHyphens/>
      <w:outlineLvl w:val="5"/>
    </w:pPr>
    <w:rPr>
      <w:rFonts w:eastAsia="PMingLiU"/>
      <w:i/>
      <w:lang w:val="en-GB" w:eastAsia="en-US" w:bidi="ar-SA"/>
    </w:rPr>
  </w:style>
  <w:style w:type="paragraph" w:styleId="Heading7">
    <w:name w:val="heading 7"/>
    <w:basedOn w:val="Normal"/>
    <w:next w:val="Normal"/>
    <w:link w:val="Heading7Char"/>
    <w:qFormat/>
    <w:pPr>
      <w:keepNext/>
      <w:tabs>
        <w:tab w:val="left" w:pos="-720"/>
        <w:tab w:val="left" w:pos="4536"/>
      </w:tabs>
      <w:suppressAutoHyphens/>
      <w:jc w:val="both"/>
      <w:outlineLvl w:val="6"/>
    </w:pPr>
    <w:rPr>
      <w:rFonts w:eastAsia="PMingLiU"/>
      <w:i/>
      <w:lang w:val="en-GB" w:eastAsia="en-US" w:bidi="ar-SA"/>
    </w:rPr>
  </w:style>
  <w:style w:type="paragraph" w:styleId="Heading8">
    <w:name w:val="heading 8"/>
    <w:basedOn w:val="Normal"/>
    <w:next w:val="Normal"/>
    <w:link w:val="Heading8Char"/>
    <w:qFormat/>
    <w:pPr>
      <w:keepNext/>
      <w:ind w:left="567" w:hanging="567"/>
      <w:jc w:val="both"/>
      <w:outlineLvl w:val="7"/>
    </w:pPr>
    <w:rPr>
      <w:rFonts w:eastAsia="PMingLiU"/>
      <w:b/>
      <w:i/>
      <w:lang w:val="en-GB" w:eastAsia="en-US" w:bidi="ar-SA"/>
    </w:rPr>
  </w:style>
  <w:style w:type="paragraph" w:styleId="Heading9">
    <w:name w:val="heading 9"/>
    <w:basedOn w:val="Normal"/>
    <w:next w:val="Normal"/>
    <w:link w:val="Heading9Char"/>
    <w:qFormat/>
    <w:pPr>
      <w:keepNext/>
      <w:jc w:val="both"/>
      <w:outlineLvl w:val="8"/>
    </w:pPr>
    <w:rPr>
      <w:rFonts w:eastAsia="PMingLiU"/>
      <w:b/>
      <w:i/>
      <w:lang w:val="en-GB"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qFormat/>
    <w:rPr>
      <w:rFonts w:ascii="Tahoma" w:hAnsi="Tahoma" w:cs="Tahoma"/>
      <w:sz w:val="16"/>
      <w:szCs w:val="16"/>
    </w:rPr>
  </w:style>
  <w:style w:type="paragraph" w:styleId="BodyText">
    <w:name w:val="Body Text"/>
    <w:basedOn w:val="Normal"/>
    <w:link w:val="BodyTextChar"/>
    <w:qFormat/>
    <w:pPr>
      <w:tabs>
        <w:tab w:val="clear" w:pos="567"/>
      </w:tabs>
      <w:spacing w:line="240" w:lineRule="auto"/>
    </w:pPr>
    <w:rPr>
      <w:i/>
      <w:color w:val="008000"/>
    </w:rPr>
  </w:style>
  <w:style w:type="paragraph" w:styleId="BodyText2">
    <w:name w:val="Body Text 2"/>
    <w:basedOn w:val="Normal"/>
    <w:link w:val="BodyText2Char"/>
    <w:qFormat/>
    <w:pPr>
      <w:pBdr>
        <w:top w:val="wave" w:sz="6" w:space="0" w:color="auto"/>
        <w:left w:val="wave" w:sz="6" w:space="3" w:color="auto"/>
        <w:bottom w:val="wave" w:sz="6" w:space="1" w:color="auto"/>
        <w:right w:val="wave" w:sz="6" w:space="4" w:color="auto"/>
      </w:pBdr>
      <w:autoSpaceDE w:val="0"/>
      <w:autoSpaceDN w:val="0"/>
      <w:adjustRightInd w:val="0"/>
      <w:jc w:val="both"/>
    </w:pPr>
    <w:rPr>
      <w:rFonts w:eastAsia="PMingLiU"/>
      <w:b/>
      <w:bCs/>
      <w:color w:val="0000FF"/>
      <w:szCs w:val="22"/>
      <w:u w:val="single"/>
      <w:lang w:val="en-GB" w:eastAsia="en-US" w:bidi="ar-SA"/>
    </w:rPr>
  </w:style>
  <w:style w:type="paragraph" w:styleId="BodyText3">
    <w:name w:val="Body Text 3"/>
    <w:basedOn w:val="Normal"/>
    <w:link w:val="BodyText3Char"/>
    <w:qFormat/>
    <w:pPr>
      <w:tabs>
        <w:tab w:val="clear" w:pos="567"/>
      </w:tabs>
      <w:autoSpaceDE w:val="0"/>
      <w:autoSpaceDN w:val="0"/>
      <w:adjustRightInd w:val="0"/>
      <w:spacing w:line="240" w:lineRule="auto"/>
      <w:jc w:val="both"/>
    </w:pPr>
    <w:rPr>
      <w:rFonts w:eastAsia="PMingLiU"/>
      <w:color w:val="0000FF"/>
      <w:szCs w:val="22"/>
      <w:lang w:val="en-GB" w:eastAsia="en-GB" w:bidi="ar-SA"/>
    </w:rPr>
  </w:style>
  <w:style w:type="paragraph" w:styleId="BodyTextIndent">
    <w:name w:val="Body Text Indent"/>
    <w:basedOn w:val="Normal"/>
    <w:link w:val="BodyTextIndentChar"/>
    <w:qFormat/>
    <w:pPr>
      <w:tabs>
        <w:tab w:val="clear" w:pos="567"/>
      </w:tabs>
      <w:autoSpaceDE w:val="0"/>
      <w:autoSpaceDN w:val="0"/>
      <w:adjustRightInd w:val="0"/>
      <w:spacing w:line="240" w:lineRule="auto"/>
      <w:ind w:left="720"/>
      <w:jc w:val="both"/>
    </w:pPr>
    <w:rPr>
      <w:rFonts w:eastAsia="PMingLiU"/>
      <w:szCs w:val="22"/>
      <w:lang w:val="en-GB" w:eastAsia="en-GB" w:bidi="ar-SA"/>
    </w:rPr>
  </w:style>
  <w:style w:type="paragraph" w:styleId="BodyTextIndent2">
    <w:name w:val="Body Text Indent 2"/>
    <w:basedOn w:val="Normal"/>
    <w:link w:val="BodyTextIndent2Char"/>
    <w:qFormat/>
    <w:pPr>
      <w:pBdr>
        <w:top w:val="wave" w:sz="6" w:space="0" w:color="auto"/>
        <w:left w:val="wave" w:sz="6" w:space="3" w:color="auto"/>
        <w:bottom w:val="wave" w:sz="6" w:space="1" w:color="auto"/>
        <w:right w:val="wave" w:sz="6" w:space="4" w:color="auto"/>
      </w:pBdr>
      <w:autoSpaceDE w:val="0"/>
      <w:autoSpaceDN w:val="0"/>
      <w:adjustRightInd w:val="0"/>
      <w:ind w:left="1134"/>
      <w:jc w:val="both"/>
    </w:pPr>
    <w:rPr>
      <w:rFonts w:eastAsia="PMingLiU"/>
      <w:b/>
      <w:bCs/>
      <w:color w:val="0000FF"/>
      <w:szCs w:val="22"/>
      <w:lang w:val="en-GB" w:eastAsia="en-US" w:bidi="ar-SA"/>
    </w:rPr>
  </w:style>
  <w:style w:type="paragraph" w:styleId="BodyTextIndent3">
    <w:name w:val="Body Text Indent 3"/>
    <w:basedOn w:val="Normal"/>
    <w:link w:val="BodyTextIndent3Char"/>
    <w:qFormat/>
    <w:pPr>
      <w:tabs>
        <w:tab w:val="left" w:pos="1134"/>
      </w:tabs>
      <w:autoSpaceDE w:val="0"/>
      <w:autoSpaceDN w:val="0"/>
      <w:adjustRightInd w:val="0"/>
      <w:ind w:left="633"/>
      <w:jc w:val="both"/>
    </w:pPr>
    <w:rPr>
      <w:rFonts w:eastAsia="PMingLiU"/>
      <w:szCs w:val="21"/>
      <w:lang w:val="en-GB" w:eastAsia="en-US" w:bidi="ar-SA"/>
    </w:rPr>
  </w:style>
  <w:style w:type="paragraph" w:styleId="Caption">
    <w:name w:val="caption"/>
    <w:basedOn w:val="Normal"/>
    <w:next w:val="Text"/>
    <w:qFormat/>
    <w:pPr>
      <w:keepNext/>
      <w:tabs>
        <w:tab w:val="clear" w:pos="567"/>
      </w:tabs>
      <w:suppressAutoHyphens/>
      <w:spacing w:before="300" w:after="100" w:line="300" w:lineRule="atLeast"/>
      <w:jc w:val="center"/>
    </w:pPr>
    <w:rPr>
      <w:rFonts w:ascii="Arial" w:eastAsia="PMingLiU" w:hAnsi="Arial"/>
      <w:b/>
      <w:lang w:val="en-GB" w:eastAsia="en-US" w:bidi="ar-SA"/>
    </w:rPr>
  </w:style>
  <w:style w:type="paragraph" w:customStyle="1" w:styleId="Text">
    <w:name w:val="Text"/>
    <w:basedOn w:val="Normal"/>
    <w:qFormat/>
    <w:pPr>
      <w:tabs>
        <w:tab w:val="clear" w:pos="567"/>
      </w:tabs>
      <w:overflowPunct w:val="0"/>
      <w:autoSpaceDE w:val="0"/>
      <w:autoSpaceDN w:val="0"/>
      <w:adjustRightInd w:val="0"/>
      <w:spacing w:before="100" w:beforeAutospacing="1" w:after="100" w:afterAutospacing="1" w:line="360" w:lineRule="auto"/>
      <w:ind w:left="56"/>
      <w:textAlignment w:val="baseline"/>
    </w:pPr>
    <w:rPr>
      <w:rFonts w:ascii="Arial" w:eastAsia="PMingLiU" w:hAnsi="Arial" w:cs="Arial"/>
      <w:bCs/>
      <w:color w:val="0000FF"/>
      <w:sz w:val="20"/>
      <w:szCs w:val="14"/>
      <w:lang w:val="en-US" w:eastAsia="en-US" w:bidi="ar-SA"/>
    </w:rPr>
  </w:style>
  <w:style w:type="character" w:styleId="CommentReference">
    <w:name w:val="annotation reference"/>
    <w:uiPriority w:val="99"/>
    <w:unhideWhenUsed/>
    <w:qFormat/>
    <w:rPr>
      <w:sz w:val="16"/>
      <w:szCs w:val="16"/>
    </w:rPr>
  </w:style>
  <w:style w:type="paragraph" w:styleId="CommentText">
    <w:name w:val="annotation text"/>
    <w:basedOn w:val="Normal"/>
    <w:link w:val="CommentTextChar"/>
    <w:uiPriority w:val="99"/>
    <w:unhideWhenUsed/>
    <w:pPr>
      <w:spacing w:line="240" w:lineRule="auto"/>
    </w:pPr>
    <w:rPr>
      <w:sz w:val="20"/>
    </w:rPr>
  </w:style>
  <w:style w:type="paragraph" w:styleId="CommentSubject">
    <w:name w:val="annotation subject"/>
    <w:basedOn w:val="CommentText"/>
    <w:next w:val="CommentText"/>
    <w:link w:val="CommentSubjectChar"/>
    <w:uiPriority w:val="99"/>
    <w:qFormat/>
    <w:rPr>
      <w:b/>
      <w:bCs/>
    </w:rPr>
  </w:style>
  <w:style w:type="paragraph" w:styleId="Date">
    <w:name w:val="Date"/>
    <w:basedOn w:val="Normal"/>
    <w:next w:val="Normal"/>
    <w:link w:val="DateChar"/>
    <w:qFormat/>
    <w:pPr>
      <w:tabs>
        <w:tab w:val="clear" w:pos="567"/>
      </w:tabs>
      <w:spacing w:line="240" w:lineRule="auto"/>
    </w:pPr>
    <w:rPr>
      <w:rFonts w:eastAsia="PMingLiU"/>
      <w:lang w:val="en-GB" w:eastAsia="en-US" w:bidi="ar-SA"/>
    </w:rPr>
  </w:style>
  <w:style w:type="paragraph" w:styleId="DocumentMap">
    <w:name w:val="Document Map"/>
    <w:basedOn w:val="Normal"/>
    <w:link w:val="DocumentMapChar"/>
    <w:semiHidden/>
    <w:qFormat/>
    <w:pPr>
      <w:shd w:val="clear" w:color="auto" w:fill="000080"/>
    </w:pPr>
    <w:rPr>
      <w:rFonts w:ascii="Tahoma" w:eastAsia="PMingLiU" w:hAnsi="Tahoma" w:cs="Tahoma"/>
      <w:lang w:val="en-GB" w:eastAsia="en-US" w:bidi="ar-SA"/>
    </w:rPr>
  </w:style>
  <w:style w:type="character" w:styleId="Emphasis">
    <w:name w:val="Emphasis"/>
    <w:qFormat/>
    <w:rPr>
      <w:i/>
      <w:iCs/>
    </w:rPr>
  </w:style>
  <w:style w:type="character" w:styleId="FollowedHyperlink">
    <w:name w:val="FollowedHyperlink"/>
    <w:unhideWhenUsed/>
    <w:qFormat/>
    <w:rPr>
      <w:rFonts w:cs="Times New Roman"/>
      <w:color w:val="954F72"/>
      <w:u w:val="single"/>
    </w:rPr>
  </w:style>
  <w:style w:type="paragraph" w:styleId="Footer">
    <w:name w:val="footer"/>
    <w:basedOn w:val="Normal"/>
    <w:link w:val="FooterChar"/>
    <w:pPr>
      <w:tabs>
        <w:tab w:val="center" w:pos="4536"/>
        <w:tab w:val="right" w:pos="8306"/>
      </w:tabs>
    </w:pPr>
    <w:rPr>
      <w:rFonts w:ascii="Arial" w:hAnsi="Arial"/>
      <w:sz w:val="16"/>
    </w:rPr>
  </w:style>
  <w:style w:type="paragraph" w:styleId="Header">
    <w:name w:val="header"/>
    <w:basedOn w:val="Normal"/>
    <w:link w:val="HeaderChar"/>
    <w:qFormat/>
    <w:pPr>
      <w:tabs>
        <w:tab w:val="center" w:pos="4153"/>
        <w:tab w:val="right" w:pos="8306"/>
      </w:tabs>
    </w:pPr>
    <w:rPr>
      <w:rFonts w:ascii="Arial" w:hAnsi="Arial"/>
      <w:sz w:val="20"/>
    </w:rPr>
  </w:style>
  <w:style w:type="character" w:styleId="Hyperlink">
    <w:name w:val="Hyperlink"/>
    <w:rPr>
      <w:rFonts w:cs="Times New Roman"/>
      <w:color w:val="0000FF"/>
      <w:u w:val="single"/>
    </w:rPr>
  </w:style>
  <w:style w:type="paragraph" w:styleId="NormalWeb">
    <w:name w:val="Normal (Web)"/>
    <w:basedOn w:val="Normal"/>
    <w:uiPriority w:val="99"/>
    <w:pPr>
      <w:tabs>
        <w:tab w:val="clear" w:pos="567"/>
      </w:tabs>
      <w:spacing w:before="100" w:beforeAutospacing="1" w:after="100" w:afterAutospacing="1" w:line="240" w:lineRule="auto"/>
    </w:pPr>
    <w:rPr>
      <w:rFonts w:eastAsia="MS Mincho"/>
      <w:sz w:val="24"/>
      <w:szCs w:val="24"/>
      <w:lang w:val="en-GB" w:eastAsia="ja-JP" w:bidi="ar-SA"/>
    </w:rPr>
  </w:style>
  <w:style w:type="character" w:styleId="PageNumber">
    <w:name w:val="page number"/>
    <w:basedOn w:val="DefaultParagraphFont"/>
  </w:style>
  <w:style w:type="character" w:styleId="Strong">
    <w:name w:val="Strong"/>
    <w:qFormat/>
    <w:rPr>
      <w:b/>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pPr>
      <w:spacing w:line="240" w:lineRule="auto"/>
      <w:contextualSpacing/>
    </w:pPr>
    <w:rPr>
      <w:rFonts w:ascii="Calibri Light" w:eastAsia="Malgun Gothic" w:hAnsi="Calibri Light"/>
      <w:spacing w:val="-10"/>
      <w:kern w:val="28"/>
      <w:sz w:val="56"/>
      <w:szCs w:val="56"/>
      <w:lang w:val="en-GB" w:eastAsia="en-US" w:bidi="ar-SA"/>
    </w:rPr>
  </w:style>
  <w:style w:type="character" w:customStyle="1" w:styleId="Heading1Char">
    <w:name w:val="Heading 1 Char"/>
    <w:link w:val="Heading1"/>
    <w:uiPriority w:val="1"/>
    <w:locked/>
    <w:rPr>
      <w:rFonts w:ascii="Times New Roman" w:hAnsi="Times New Roman"/>
      <w:b/>
      <w:bCs/>
      <w:lang w:eastAsia="en-US"/>
    </w:rPr>
  </w:style>
  <w:style w:type="character" w:customStyle="1" w:styleId="BodyTextChar">
    <w:name w:val="Body Text Char"/>
    <w:link w:val="BodyText"/>
    <w:uiPriority w:val="1"/>
    <w:qFormat/>
    <w:locked/>
    <w:rPr>
      <w:rFonts w:ascii="Times New Roman" w:eastAsia="Times New Roman" w:hAnsi="Times New Roman"/>
      <w:i/>
      <w:color w:val="008000"/>
      <w:szCs w:val="20"/>
      <w:lang w:val="ro-RO" w:eastAsia="ro-RO" w:bidi="ro-RO"/>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qFormat/>
    <w:pPr>
      <w:widowControl w:val="0"/>
      <w:tabs>
        <w:tab w:val="clear" w:pos="567"/>
      </w:tabs>
      <w:autoSpaceDE w:val="0"/>
      <w:autoSpaceDN w:val="0"/>
      <w:adjustRightInd w:val="0"/>
      <w:spacing w:line="240" w:lineRule="auto"/>
    </w:pPr>
    <w:rPr>
      <w:rFonts w:eastAsia="MS Mincho"/>
      <w:sz w:val="24"/>
      <w:szCs w:val="24"/>
      <w:lang w:val="en-US" w:eastAsia="en-US" w:bidi="ar-SA"/>
    </w:rPr>
  </w:style>
  <w:style w:type="character" w:customStyle="1" w:styleId="HeaderChar">
    <w:name w:val="Header Char"/>
    <w:link w:val="Header"/>
    <w:uiPriority w:val="99"/>
    <w:locked/>
    <w:rPr>
      <w:rFonts w:ascii="Arial" w:eastAsia="Times New Roman" w:hAnsi="Arial"/>
      <w:sz w:val="20"/>
      <w:szCs w:val="20"/>
      <w:lang w:val="ro-RO" w:eastAsia="ro-RO" w:bidi="ro-RO"/>
    </w:rPr>
  </w:style>
  <w:style w:type="character" w:customStyle="1" w:styleId="FooterChar">
    <w:name w:val="Footer Char"/>
    <w:link w:val="Footer"/>
    <w:uiPriority w:val="99"/>
    <w:locked/>
    <w:rPr>
      <w:rFonts w:ascii="Arial" w:eastAsia="Times New Roman" w:hAnsi="Arial"/>
      <w:sz w:val="16"/>
      <w:szCs w:val="20"/>
      <w:lang w:val="ro-RO" w:eastAsia="ro-RO" w:bidi="ro-RO"/>
    </w:rPr>
  </w:style>
  <w:style w:type="paragraph" w:customStyle="1" w:styleId="TitleA">
    <w:name w:val="Title A"/>
    <w:basedOn w:val="Normal"/>
    <w:qFormat/>
    <w:pPr>
      <w:widowControl w:val="0"/>
      <w:tabs>
        <w:tab w:val="clear" w:pos="567"/>
      </w:tabs>
      <w:autoSpaceDE w:val="0"/>
      <w:autoSpaceDN w:val="0"/>
      <w:adjustRightInd w:val="0"/>
      <w:spacing w:line="240" w:lineRule="auto"/>
      <w:jc w:val="center"/>
      <w:outlineLvl w:val="0"/>
    </w:pPr>
    <w:rPr>
      <w:rFonts w:eastAsia="MS Mincho"/>
      <w:b/>
      <w:szCs w:val="22"/>
      <w:lang w:val="en-US" w:eastAsia="en-US" w:bidi="ar-SA"/>
    </w:rPr>
  </w:style>
  <w:style w:type="paragraph" w:customStyle="1" w:styleId="MemoHeaderStyle">
    <w:name w:val="MemoHeaderStyle"/>
    <w:basedOn w:val="Normal"/>
    <w:next w:val="Normal"/>
    <w:pPr>
      <w:spacing w:line="120" w:lineRule="atLeast"/>
      <w:ind w:left="1418"/>
      <w:jc w:val="both"/>
    </w:pPr>
    <w:rPr>
      <w:rFonts w:ascii="Arial" w:hAnsi="Arial"/>
      <w:b/>
      <w:smallCaps/>
    </w:rPr>
  </w:style>
  <w:style w:type="character" w:customStyle="1" w:styleId="CommentTextChar">
    <w:name w:val="Comment Text Char"/>
    <w:link w:val="CommentText"/>
    <w:uiPriority w:val="99"/>
    <w:qFormat/>
    <w:rPr>
      <w:rFonts w:ascii="Times New Roman" w:eastAsia="Times New Roman" w:hAnsi="Times New Roman"/>
      <w:sz w:val="20"/>
      <w:szCs w:val="20"/>
      <w:lang w:val="ro-RO" w:eastAsia="ro-RO" w:bidi="ro-RO"/>
    </w:rPr>
  </w:style>
  <w:style w:type="paragraph" w:customStyle="1" w:styleId="EMEAEnBodyText">
    <w:name w:val="EMEA En Body Text"/>
    <w:basedOn w:val="Normal"/>
    <w:qFormat/>
    <w:pPr>
      <w:tabs>
        <w:tab w:val="clear" w:pos="567"/>
      </w:tabs>
      <w:spacing w:before="120" w:after="120" w:line="240" w:lineRule="auto"/>
      <w:jc w:val="both"/>
    </w:pPr>
  </w:style>
  <w:style w:type="character" w:customStyle="1" w:styleId="BalloonTextChar">
    <w:name w:val="Balloon Text Char"/>
    <w:link w:val="BalloonText"/>
    <w:uiPriority w:val="99"/>
    <w:semiHidden/>
    <w:rPr>
      <w:rFonts w:ascii="Tahoma" w:eastAsia="Times New Roman" w:hAnsi="Tahoma" w:cs="Tahoma"/>
      <w:sz w:val="16"/>
      <w:szCs w:val="16"/>
      <w:lang w:val="ro-RO" w:eastAsia="ro-RO" w:bidi="ro-RO"/>
    </w:rPr>
  </w:style>
  <w:style w:type="paragraph" w:customStyle="1" w:styleId="BodytextAgency">
    <w:name w:val="Body text (Agency)"/>
    <w:basedOn w:val="Normal"/>
    <w:link w:val="BodytextAgencyChar"/>
    <w:qFormat/>
    <w:pPr>
      <w:tabs>
        <w:tab w:val="clear" w:pos="567"/>
      </w:tabs>
      <w:spacing w:after="140" w:line="280" w:lineRule="atLeast"/>
    </w:pPr>
    <w:rPr>
      <w:rFonts w:ascii="Verdana" w:eastAsia="Verdana" w:hAnsi="Verdana" w:cs="Verdana"/>
      <w:sz w:val="18"/>
      <w:szCs w:val="18"/>
    </w:rPr>
  </w:style>
  <w:style w:type="character" w:customStyle="1" w:styleId="BodytextAgencyChar">
    <w:name w:val="Body text (Agency) Char"/>
    <w:link w:val="BodytextAgency"/>
    <w:qFormat/>
    <w:rPr>
      <w:rFonts w:ascii="Verdana" w:eastAsia="Verdana" w:hAnsi="Verdana" w:cs="Verdana"/>
      <w:sz w:val="18"/>
      <w:szCs w:val="18"/>
      <w:lang w:val="ro-RO" w:eastAsia="ro-RO" w:bidi="ro-RO"/>
    </w:rPr>
  </w:style>
  <w:style w:type="paragraph" w:customStyle="1" w:styleId="DraftingNotesAgency">
    <w:name w:val="Drafting Notes (Agency)"/>
    <w:basedOn w:val="Normal"/>
    <w:next w:val="BodytextAgency"/>
    <w:link w:val="DraftingNotesAgencyChar"/>
    <w:pPr>
      <w:tabs>
        <w:tab w:val="clear" w:pos="567"/>
      </w:tabs>
      <w:spacing w:after="140" w:line="280" w:lineRule="atLeast"/>
    </w:pPr>
    <w:rPr>
      <w:rFonts w:ascii="Courier New" w:eastAsia="Verdana" w:hAnsi="Courier New"/>
      <w:i/>
      <w:color w:val="339966"/>
      <w:szCs w:val="18"/>
    </w:rPr>
  </w:style>
  <w:style w:type="character" w:customStyle="1" w:styleId="DraftingNotesAgencyChar">
    <w:name w:val="Drafting Notes (Agency) Char"/>
    <w:link w:val="DraftingNotesAgency"/>
    <w:rPr>
      <w:rFonts w:ascii="Courier New" w:eastAsia="Verdana" w:hAnsi="Times New Roman"/>
      <w:i/>
      <w:color w:val="339966"/>
      <w:szCs w:val="18"/>
      <w:lang w:val="ro-RO" w:eastAsia="ro-RO" w:bidi="ro-RO"/>
    </w:rPr>
  </w:style>
  <w:style w:type="paragraph" w:customStyle="1" w:styleId="NormalAgency">
    <w:name w:val="Normal (Agency)"/>
    <w:link w:val="NormalAgencyChar"/>
    <w:qFormat/>
    <w:rPr>
      <w:rFonts w:ascii="Verdana" w:eastAsia="Verdana" w:hAnsi="Verdana" w:cs="Verdana"/>
      <w:sz w:val="18"/>
      <w:szCs w:val="18"/>
      <w:lang w:bidi="ro-RO"/>
    </w:rPr>
  </w:style>
  <w:style w:type="table" w:customStyle="1" w:styleId="TablegridAgencyblack">
    <w:name w:val="Table grid (Agency) black"/>
    <w:basedOn w:val="TableNormal"/>
    <w:semiHidden/>
    <w:rPr>
      <w:rFonts w:ascii="Verdana" w:eastAsia="SimSun" w:hAnsi="Verdana"/>
      <w:sz w:val="18"/>
      <w:lang w:bidi="ro-RO"/>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Arial Black" w:hAnsi="Arial Black"/>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TableheadingrowsAgency">
    <w:name w:val="Table heading rows (Agency)"/>
    <w:basedOn w:val="BodytextAgency"/>
    <w:qFormat/>
    <w:pPr>
      <w:keepNext/>
    </w:pPr>
    <w:rPr>
      <w:rFonts w:eastAsia="Times New Roman"/>
      <w:b/>
    </w:rPr>
  </w:style>
  <w:style w:type="paragraph" w:customStyle="1" w:styleId="TabletextrowsAgency">
    <w:name w:val="Table text rows (Agency)"/>
    <w:basedOn w:val="Normal"/>
    <w:qFormat/>
    <w:pPr>
      <w:tabs>
        <w:tab w:val="clear" w:pos="567"/>
      </w:tabs>
      <w:spacing w:line="280" w:lineRule="exact"/>
    </w:pPr>
    <w:rPr>
      <w:rFonts w:ascii="Verdana" w:hAnsi="Verdana" w:cs="Verdana"/>
      <w:sz w:val="18"/>
      <w:szCs w:val="18"/>
    </w:rPr>
  </w:style>
  <w:style w:type="character" w:customStyle="1" w:styleId="NormalAgencyChar">
    <w:name w:val="Normal (Agency) Char"/>
    <w:link w:val="NormalAgency"/>
    <w:qFormat/>
    <w:rPr>
      <w:rFonts w:ascii="Verdana" w:eastAsia="Verdana" w:hAnsi="Verdana" w:cs="Verdana"/>
      <w:sz w:val="18"/>
      <w:szCs w:val="18"/>
      <w:lang w:val="ro-RO" w:eastAsia="ro-RO" w:bidi="ro-RO"/>
    </w:rPr>
  </w:style>
  <w:style w:type="character" w:customStyle="1" w:styleId="CommentSubjectChar">
    <w:name w:val="Comment Subject Char"/>
    <w:link w:val="CommentSubject"/>
    <w:uiPriority w:val="99"/>
    <w:rPr>
      <w:rFonts w:ascii="Times New Roman" w:eastAsia="Times New Roman" w:hAnsi="Times New Roman"/>
      <w:b/>
      <w:bCs/>
      <w:sz w:val="20"/>
      <w:szCs w:val="20"/>
      <w:lang w:val="ro-RO" w:eastAsia="ro-RO" w:bidi="ro-RO"/>
    </w:rPr>
  </w:style>
  <w:style w:type="character" w:customStyle="1" w:styleId="DoNotTranslateExternal1">
    <w:name w:val="DoNotTranslateExternal1"/>
    <w:qFormat/>
    <w:rPr>
      <w:b/>
      <w:szCs w:val="22"/>
    </w:rPr>
  </w:style>
  <w:style w:type="paragraph" w:customStyle="1" w:styleId="Revision1">
    <w:name w:val="Revision1"/>
    <w:hidden/>
    <w:semiHidden/>
    <w:rPr>
      <w:rFonts w:ascii="Times New Roman" w:eastAsia="Times New Roman" w:hAnsi="Times New Roman"/>
      <w:sz w:val="22"/>
      <w:lang w:bidi="ro-RO"/>
    </w:rPr>
  </w:style>
  <w:style w:type="character" w:customStyle="1" w:styleId="value">
    <w:name w:val="value"/>
  </w:style>
  <w:style w:type="table" w:customStyle="1" w:styleId="TableGrid1">
    <w:name w:val="Table Grid1"/>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bltxt">
    <w:name w:val="lbltxt"/>
    <w:pPr>
      <w:tabs>
        <w:tab w:val="left" w:pos="567"/>
      </w:tabs>
    </w:pPr>
    <w:rPr>
      <w:rFonts w:ascii="Times New Roman" w:eastAsia="PMingLiU" w:hAnsi="Times New Roman"/>
      <w:sz w:val="22"/>
      <w:lang w:val="en-GB" w:eastAsia="en-US"/>
    </w:rPr>
  </w:style>
  <w:style w:type="character" w:customStyle="1" w:styleId="Initial">
    <w:name w:val="Initial"/>
    <w:rPr>
      <w:rFonts w:ascii="Times New Roman" w:hAnsi="Times New Roman"/>
      <w:sz w:val="24"/>
      <w:lang w:val="da-DK"/>
    </w:rPr>
  </w:style>
  <w:style w:type="paragraph" w:customStyle="1" w:styleId="Default">
    <w:name w:val="Default"/>
    <w:pPr>
      <w:autoSpaceDE w:val="0"/>
      <w:autoSpaceDN w:val="0"/>
      <w:adjustRightInd w:val="0"/>
    </w:pPr>
    <w:rPr>
      <w:rFonts w:ascii="Times New Roman" w:hAnsi="Times New Roman"/>
      <w:color w:val="000000"/>
      <w:sz w:val="24"/>
      <w:szCs w:val="24"/>
      <w:lang w:val="en-GB" w:eastAsia="ja-JP"/>
    </w:rPr>
  </w:style>
  <w:style w:type="character" w:customStyle="1" w:styleId="bodybold">
    <w:name w:val="body bold"/>
    <w:uiPriority w:val="99"/>
    <w:rPr>
      <w:b/>
    </w:rPr>
  </w:style>
  <w:style w:type="paragraph" w:customStyle="1" w:styleId="trianglemarkcopy">
    <w:name w:val="triangle mark copy"/>
    <w:basedOn w:val="Normal"/>
    <w:uiPriority w:val="99"/>
    <w:pPr>
      <w:widowControl w:val="0"/>
      <w:tabs>
        <w:tab w:val="clear" w:pos="567"/>
        <w:tab w:val="left" w:pos="828"/>
      </w:tabs>
      <w:suppressAutoHyphens/>
      <w:autoSpaceDE w:val="0"/>
      <w:autoSpaceDN w:val="0"/>
      <w:adjustRightInd w:val="0"/>
      <w:spacing w:before="90" w:line="250" w:lineRule="atLeast"/>
      <w:ind w:left="810" w:hanging="270"/>
      <w:textAlignment w:val="center"/>
    </w:pPr>
    <w:rPr>
      <w:rFonts w:ascii="Georgia-Bold" w:eastAsia="PMingLiU" w:hAnsi="Georgia-Bold" w:cs="Georgia-Bold"/>
      <w:b/>
      <w:bCs/>
      <w:color w:val="000000"/>
      <w:sz w:val="20"/>
      <w:lang w:val="en-US" w:eastAsia="ja-JP" w:bidi="ar-SA"/>
    </w:rPr>
  </w:style>
  <w:style w:type="paragraph" w:customStyle="1" w:styleId="BasicParagraph">
    <w:name w:val="[Basic Paragraph]"/>
    <w:basedOn w:val="Normal"/>
    <w:uiPriority w:val="99"/>
    <w:qFormat/>
    <w:pPr>
      <w:widowControl w:val="0"/>
      <w:tabs>
        <w:tab w:val="clear" w:pos="567"/>
      </w:tabs>
      <w:autoSpaceDE w:val="0"/>
      <w:autoSpaceDN w:val="0"/>
      <w:adjustRightInd w:val="0"/>
      <w:spacing w:line="288" w:lineRule="auto"/>
      <w:textAlignment w:val="center"/>
    </w:pPr>
    <w:rPr>
      <w:rFonts w:ascii="Times-Roman" w:eastAsia="PMingLiU" w:hAnsi="Times-Roman" w:cs="Times-Roman"/>
      <w:color w:val="000000"/>
      <w:szCs w:val="24"/>
      <w:lang w:val="en-US" w:eastAsia="ja-JP" w:bidi="ar-SA"/>
    </w:rPr>
  </w:style>
  <w:style w:type="paragraph" w:customStyle="1" w:styleId="DONOT">
    <w:name w:val="DO NOT!"/>
    <w:basedOn w:val="Normal"/>
    <w:pPr>
      <w:tabs>
        <w:tab w:val="clear" w:pos="567"/>
      </w:tabs>
      <w:spacing w:line="270" w:lineRule="auto"/>
      <w:ind w:right="-46"/>
    </w:pPr>
    <w:rPr>
      <w:color w:val="231F20"/>
      <w:sz w:val="20"/>
      <w:szCs w:val="24"/>
      <w:lang w:val="en-US" w:eastAsia="ja-JP" w:bidi="ar-SA"/>
    </w:rPr>
  </w:style>
  <w:style w:type="paragraph" w:customStyle="1" w:styleId="STEPS">
    <w:name w:val="STEPS"/>
    <w:basedOn w:val="Normal"/>
    <w:pPr>
      <w:widowControl w:val="0"/>
      <w:tabs>
        <w:tab w:val="clear" w:pos="567"/>
      </w:tabs>
      <w:suppressAutoHyphens/>
      <w:autoSpaceDE w:val="0"/>
      <w:autoSpaceDN w:val="0"/>
      <w:adjustRightInd w:val="0"/>
      <w:spacing w:before="270" w:line="250" w:lineRule="atLeast"/>
      <w:textAlignment w:val="center"/>
    </w:pPr>
    <w:rPr>
      <w:rFonts w:eastAsia="PMingLiU" w:cs="Georgia"/>
      <w:b/>
      <w:color w:val="000000"/>
      <w:sz w:val="24"/>
      <w:lang w:val="en-US" w:eastAsia="ja-JP" w:bidi="ar-SA"/>
    </w:rPr>
  </w:style>
  <w:style w:type="paragraph" w:customStyle="1" w:styleId="BULLETED">
    <w:name w:val="BULLETED"/>
    <w:basedOn w:val="ListParagraph"/>
    <w:qFormat/>
    <w:pPr>
      <w:widowControl w:val="0"/>
      <w:numPr>
        <w:numId w:val="1"/>
      </w:numPr>
      <w:tabs>
        <w:tab w:val="clear" w:pos="567"/>
        <w:tab w:val="left" w:pos="810"/>
      </w:tabs>
      <w:suppressAutoHyphens/>
      <w:autoSpaceDE w:val="0"/>
      <w:autoSpaceDN w:val="0"/>
      <w:adjustRightInd w:val="0"/>
      <w:spacing w:before="90" w:line="250" w:lineRule="atLeast"/>
      <w:textAlignment w:val="center"/>
    </w:pPr>
    <w:rPr>
      <w:rFonts w:eastAsia="PMingLiU"/>
      <w:color w:val="000000"/>
      <w:sz w:val="20"/>
      <w:szCs w:val="24"/>
      <w:lang w:val="en-US" w:eastAsia="ja-JP" w:bidi="ar-SA"/>
    </w:rPr>
  </w:style>
  <w:style w:type="paragraph" w:customStyle="1" w:styleId="SUBSTEP">
    <w:name w:val="SUB STEP"/>
    <w:basedOn w:val="Normal"/>
    <w:qFormat/>
    <w:pPr>
      <w:widowControl w:val="0"/>
      <w:tabs>
        <w:tab w:val="clear" w:pos="567"/>
        <w:tab w:val="left" w:pos="240"/>
        <w:tab w:val="left" w:pos="360"/>
        <w:tab w:val="left" w:pos="660"/>
        <w:tab w:val="left" w:pos="780"/>
      </w:tabs>
      <w:suppressAutoHyphens/>
      <w:autoSpaceDE w:val="0"/>
      <w:autoSpaceDN w:val="0"/>
      <w:adjustRightInd w:val="0"/>
      <w:spacing w:before="180" w:line="320" w:lineRule="atLeast"/>
      <w:ind w:left="-90" w:firstLine="90"/>
      <w:textAlignment w:val="center"/>
    </w:pPr>
    <w:rPr>
      <w:rFonts w:eastAsia="PMingLiU"/>
      <w:b/>
      <w:bCs/>
      <w:color w:val="000000"/>
      <w:szCs w:val="28"/>
      <w:lang w:val="en-US" w:eastAsia="ja-JP" w:bidi="ar-SA"/>
    </w:rPr>
  </w:style>
  <w:style w:type="table" w:customStyle="1" w:styleId="TableGrid20">
    <w:name w:val="Table Grid20"/>
    <w:basedOn w:val="TableNormal"/>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xttable">
    <w:name w:val="In-text table"/>
    <w:basedOn w:val="Normal"/>
    <w:qFormat/>
    <w:pPr>
      <w:keepNext/>
      <w:tabs>
        <w:tab w:val="clear" w:pos="567"/>
      </w:tabs>
      <w:suppressAutoHyphens/>
      <w:overflowPunct w:val="0"/>
      <w:autoSpaceDE w:val="0"/>
      <w:autoSpaceDN w:val="0"/>
      <w:adjustRightInd w:val="0"/>
      <w:spacing w:line="288" w:lineRule="auto"/>
      <w:textAlignment w:val="baseline"/>
    </w:pPr>
    <w:rPr>
      <w:rFonts w:ascii="Arial" w:hAnsi="Arial"/>
      <w:sz w:val="16"/>
      <w:szCs w:val="24"/>
      <w:lang w:val="en-US" w:eastAsia="en-US" w:bidi="ar-SA"/>
    </w:rPr>
  </w:style>
  <w:style w:type="paragraph" w:customStyle="1" w:styleId="gtctablespaceafter">
    <w:name w:val="gtctablespaceafter"/>
    <w:basedOn w:val="Normal"/>
    <w:qFormat/>
    <w:pPr>
      <w:tabs>
        <w:tab w:val="clear" w:pos="567"/>
      </w:tabs>
      <w:spacing w:after="280" w:line="240" w:lineRule="auto"/>
    </w:pPr>
    <w:rPr>
      <w:sz w:val="2"/>
      <w:szCs w:val="2"/>
      <w:lang w:val="en-US" w:eastAsia="en-US" w:bidi="ar-SA"/>
    </w:rPr>
  </w:style>
  <w:style w:type="paragraph" w:customStyle="1" w:styleId="EMEANormal">
    <w:name w:val="EMEA Normal"/>
    <w:link w:val="EMEANormalChar"/>
    <w:qFormat/>
    <w:pPr>
      <w:tabs>
        <w:tab w:val="left" w:pos="562"/>
      </w:tabs>
      <w:suppressAutoHyphens/>
    </w:pPr>
    <w:rPr>
      <w:rFonts w:ascii="Times New Roman" w:eastAsia="Times New Roman" w:hAnsi="Times New Roman"/>
      <w:sz w:val="22"/>
      <w:lang w:val="en-US" w:eastAsia="en-US"/>
    </w:rPr>
  </w:style>
  <w:style w:type="character" w:customStyle="1" w:styleId="EMEANormalChar">
    <w:name w:val="EMEA Normal Char"/>
    <w:link w:val="EMEANormal"/>
    <w:qFormat/>
    <w:rPr>
      <w:rFonts w:ascii="Times New Roman" w:eastAsia="Times New Roman" w:hAnsi="Times New Roman"/>
      <w:szCs w:val="20"/>
      <w:lang w:eastAsia="en-US"/>
    </w:rPr>
  </w:style>
  <w:style w:type="paragraph" w:customStyle="1" w:styleId="TitleB">
    <w:name w:val="Title B"/>
    <w:basedOn w:val="Normal"/>
    <w:qFormat/>
    <w:pPr>
      <w:keepNext/>
      <w:numPr>
        <w:numId w:val="2"/>
      </w:numPr>
      <w:spacing w:line="240" w:lineRule="auto"/>
      <w:ind w:left="567" w:hanging="567"/>
    </w:pPr>
    <w:rPr>
      <w:b/>
    </w:rPr>
  </w:style>
  <w:style w:type="character" w:customStyle="1" w:styleId="tlid-translation">
    <w:name w:val="tlid-translation"/>
    <w:basedOn w:val="DefaultParagraphFont"/>
    <w:qFormat/>
  </w:style>
  <w:style w:type="character" w:customStyle="1" w:styleId="Heading2Char">
    <w:name w:val="Heading 2 Char"/>
    <w:link w:val="Heading2"/>
    <w:qFormat/>
    <w:rPr>
      <w:rFonts w:ascii="Helvetica" w:eastAsia="PMingLiU" w:hAnsi="Helvetica"/>
      <w:b/>
      <w:i/>
      <w:sz w:val="24"/>
      <w:szCs w:val="20"/>
      <w:lang w:val="en-GB" w:eastAsia="en-US"/>
    </w:rPr>
  </w:style>
  <w:style w:type="character" w:customStyle="1" w:styleId="Heading3Char">
    <w:name w:val="Heading 3 Char"/>
    <w:link w:val="Heading3"/>
    <w:qFormat/>
    <w:rPr>
      <w:rFonts w:ascii="Times New Roman" w:eastAsia="PMingLiU" w:hAnsi="Times New Roman"/>
      <w:b/>
      <w:kern w:val="28"/>
      <w:sz w:val="24"/>
      <w:szCs w:val="20"/>
      <w:lang w:eastAsia="en-US"/>
    </w:rPr>
  </w:style>
  <w:style w:type="character" w:customStyle="1" w:styleId="Heading4Char">
    <w:name w:val="Heading 4 Char"/>
    <w:link w:val="Heading4"/>
    <w:qFormat/>
    <w:rPr>
      <w:rFonts w:ascii="Times New Roman" w:eastAsia="PMingLiU" w:hAnsi="Times New Roman"/>
      <w:b/>
      <w:szCs w:val="20"/>
      <w:lang w:val="en-GB" w:eastAsia="en-US"/>
    </w:rPr>
  </w:style>
  <w:style w:type="character" w:customStyle="1" w:styleId="Heading5Char">
    <w:name w:val="Heading 5 Char"/>
    <w:link w:val="Heading5"/>
    <w:qFormat/>
    <w:rPr>
      <w:rFonts w:ascii="Times New Roman" w:eastAsia="PMingLiU" w:hAnsi="Times New Roman"/>
      <w:szCs w:val="20"/>
      <w:lang w:val="en-GB" w:eastAsia="en-US"/>
    </w:rPr>
  </w:style>
  <w:style w:type="character" w:customStyle="1" w:styleId="Heading6Char">
    <w:name w:val="Heading 6 Char"/>
    <w:link w:val="Heading6"/>
    <w:qFormat/>
    <w:rPr>
      <w:rFonts w:ascii="Times New Roman" w:eastAsia="PMingLiU" w:hAnsi="Times New Roman"/>
      <w:i/>
      <w:szCs w:val="20"/>
      <w:lang w:val="en-GB" w:eastAsia="en-US"/>
    </w:rPr>
  </w:style>
  <w:style w:type="character" w:customStyle="1" w:styleId="Heading7Char">
    <w:name w:val="Heading 7 Char"/>
    <w:link w:val="Heading7"/>
    <w:qFormat/>
    <w:rPr>
      <w:rFonts w:ascii="Times New Roman" w:eastAsia="PMingLiU" w:hAnsi="Times New Roman"/>
      <w:i/>
      <w:szCs w:val="20"/>
      <w:lang w:val="en-GB" w:eastAsia="en-US"/>
    </w:rPr>
  </w:style>
  <w:style w:type="character" w:customStyle="1" w:styleId="Heading8Char">
    <w:name w:val="Heading 8 Char"/>
    <w:link w:val="Heading8"/>
    <w:qFormat/>
    <w:rPr>
      <w:rFonts w:ascii="Times New Roman" w:eastAsia="PMingLiU" w:hAnsi="Times New Roman"/>
      <w:b/>
      <w:i/>
      <w:szCs w:val="20"/>
      <w:lang w:val="en-GB" w:eastAsia="en-US"/>
    </w:rPr>
  </w:style>
  <w:style w:type="character" w:customStyle="1" w:styleId="Heading9Char">
    <w:name w:val="Heading 9 Char"/>
    <w:link w:val="Heading9"/>
    <w:qFormat/>
    <w:rPr>
      <w:rFonts w:ascii="Times New Roman" w:eastAsia="PMingLiU" w:hAnsi="Times New Roman"/>
      <w:b/>
      <w:i/>
      <w:szCs w:val="20"/>
      <w:lang w:val="en-GB" w:eastAsia="en-US"/>
    </w:rPr>
  </w:style>
  <w:style w:type="character" w:customStyle="1" w:styleId="BodyTextIndentChar">
    <w:name w:val="Body Text Indent Char"/>
    <w:link w:val="BodyTextIndent"/>
    <w:qFormat/>
    <w:rPr>
      <w:rFonts w:ascii="Times New Roman" w:eastAsia="PMingLiU" w:hAnsi="Times New Roman"/>
      <w:lang w:val="en-GB" w:eastAsia="en-GB"/>
    </w:rPr>
  </w:style>
  <w:style w:type="character" w:customStyle="1" w:styleId="BodyText3Char">
    <w:name w:val="Body Text 3 Char"/>
    <w:link w:val="BodyText3"/>
    <w:qFormat/>
    <w:rPr>
      <w:rFonts w:ascii="Times New Roman" w:eastAsia="PMingLiU" w:hAnsi="Times New Roman"/>
      <w:color w:val="0000FF"/>
      <w:lang w:val="en-GB" w:eastAsia="en-GB"/>
    </w:rPr>
  </w:style>
  <w:style w:type="character" w:customStyle="1" w:styleId="BodyTextIndent2Char">
    <w:name w:val="Body Text Indent 2 Char"/>
    <w:link w:val="BodyTextIndent2"/>
    <w:qFormat/>
    <w:rPr>
      <w:rFonts w:ascii="Times New Roman" w:eastAsia="PMingLiU" w:hAnsi="Times New Roman"/>
      <w:b/>
      <w:bCs/>
      <w:color w:val="0000FF"/>
      <w:lang w:val="en-GB" w:eastAsia="en-US"/>
    </w:rPr>
  </w:style>
  <w:style w:type="character" w:customStyle="1" w:styleId="BodyText2Char">
    <w:name w:val="Body Text 2 Char"/>
    <w:link w:val="BodyText2"/>
    <w:qFormat/>
    <w:rPr>
      <w:rFonts w:ascii="Times New Roman" w:eastAsia="PMingLiU" w:hAnsi="Times New Roman"/>
      <w:b/>
      <w:bCs/>
      <w:color w:val="0000FF"/>
      <w:u w:val="single"/>
      <w:lang w:val="en-GB" w:eastAsia="en-US"/>
    </w:rPr>
  </w:style>
  <w:style w:type="character" w:customStyle="1" w:styleId="DocumentMapChar">
    <w:name w:val="Document Map Char"/>
    <w:link w:val="DocumentMap"/>
    <w:semiHidden/>
    <w:qFormat/>
    <w:rPr>
      <w:rFonts w:ascii="Tahoma" w:eastAsia="PMingLiU" w:hAnsi="Tahoma" w:cs="Tahoma"/>
      <w:szCs w:val="20"/>
      <w:shd w:val="clear" w:color="auto" w:fill="000080"/>
      <w:lang w:val="en-GB" w:eastAsia="en-US"/>
    </w:rPr>
  </w:style>
  <w:style w:type="paragraph" w:customStyle="1" w:styleId="AHeader1">
    <w:name w:val="AHeader 1"/>
    <w:basedOn w:val="Normal"/>
    <w:qFormat/>
    <w:pPr>
      <w:numPr>
        <w:numId w:val="3"/>
      </w:numPr>
      <w:tabs>
        <w:tab w:val="clear" w:pos="567"/>
      </w:tabs>
      <w:spacing w:after="120" w:line="240" w:lineRule="auto"/>
    </w:pPr>
    <w:rPr>
      <w:rFonts w:ascii="Arial" w:eastAsia="PMingLiU" w:hAnsi="Arial" w:cs="Arial"/>
      <w:b/>
      <w:bCs/>
      <w:sz w:val="24"/>
      <w:lang w:val="en-GB" w:eastAsia="en-US" w:bidi="ar-SA"/>
    </w:rPr>
  </w:style>
  <w:style w:type="paragraph" w:customStyle="1" w:styleId="AHeader2">
    <w:name w:val="AHeader 2"/>
    <w:basedOn w:val="AHeader1"/>
    <w:pPr>
      <w:numPr>
        <w:ilvl w:val="1"/>
      </w:numPr>
      <w:tabs>
        <w:tab w:val="left" w:pos="360"/>
      </w:tabs>
    </w:pPr>
    <w:rPr>
      <w:sz w:val="22"/>
    </w:rPr>
  </w:style>
  <w:style w:type="paragraph" w:customStyle="1" w:styleId="AHeader3">
    <w:name w:val="AHeader 3"/>
    <w:basedOn w:val="AHeader2"/>
    <w:qFormat/>
    <w:pPr>
      <w:numPr>
        <w:ilvl w:val="2"/>
      </w:numPr>
    </w:pPr>
  </w:style>
  <w:style w:type="paragraph" w:customStyle="1" w:styleId="AHeader2abc">
    <w:name w:val="AHeader 2 abc"/>
    <w:basedOn w:val="AHeader3"/>
    <w:pPr>
      <w:numPr>
        <w:ilvl w:val="3"/>
      </w:numPr>
      <w:jc w:val="both"/>
    </w:pPr>
    <w:rPr>
      <w:b w:val="0"/>
      <w:bCs w:val="0"/>
    </w:rPr>
  </w:style>
  <w:style w:type="paragraph" w:customStyle="1" w:styleId="AHeader3abc">
    <w:name w:val="AHeader 3 abc"/>
    <w:basedOn w:val="AHeader2abc"/>
    <w:qFormat/>
    <w:pPr>
      <w:numPr>
        <w:ilvl w:val="4"/>
      </w:numPr>
    </w:pPr>
  </w:style>
  <w:style w:type="character" w:customStyle="1" w:styleId="BodyTextIndent3Char">
    <w:name w:val="Body Text Indent 3 Char"/>
    <w:link w:val="BodyTextIndent3"/>
    <w:qFormat/>
    <w:rPr>
      <w:rFonts w:ascii="Times New Roman" w:eastAsia="PMingLiU" w:hAnsi="Times New Roman"/>
      <w:szCs w:val="21"/>
      <w:lang w:val="en-GB" w:eastAsia="en-US"/>
    </w:rPr>
  </w:style>
  <w:style w:type="paragraph" w:customStyle="1" w:styleId="Ballongtext3">
    <w:name w:val="Ballongtext3"/>
    <w:basedOn w:val="Normal"/>
    <w:semiHidden/>
    <w:qFormat/>
    <w:rPr>
      <w:rFonts w:ascii="Tahoma" w:eastAsia="PMingLiU" w:hAnsi="Tahoma" w:cs="Tahoma"/>
      <w:sz w:val="16"/>
      <w:szCs w:val="16"/>
      <w:lang w:val="en-GB" w:eastAsia="en-US" w:bidi="ar-SA"/>
    </w:rPr>
  </w:style>
  <w:style w:type="paragraph" w:customStyle="1" w:styleId="Kommentarsmne3">
    <w:name w:val="Kommentarsämne3"/>
    <w:basedOn w:val="CommentText"/>
    <w:next w:val="CommentText"/>
    <w:semiHidden/>
    <w:qFormat/>
    <w:pPr>
      <w:spacing w:line="260" w:lineRule="exact"/>
    </w:pPr>
    <w:rPr>
      <w:rFonts w:eastAsia="PMingLiU"/>
      <w:b/>
      <w:bCs/>
      <w:lang w:val="en-GB" w:eastAsia="en-US" w:bidi="ar-SA"/>
    </w:rPr>
  </w:style>
  <w:style w:type="character" w:customStyle="1" w:styleId="TextChar">
    <w:name w:val="Text Char"/>
    <w:rPr>
      <w:rFonts w:ascii="Arial" w:hAnsi="Arial" w:cs="Arial"/>
      <w:bCs/>
      <w:color w:val="0000FF"/>
      <w:szCs w:val="14"/>
      <w:lang w:val="en-US" w:eastAsia="en-US" w:bidi="ar-SA"/>
    </w:rPr>
  </w:style>
  <w:style w:type="character" w:customStyle="1" w:styleId="PeggyHo">
    <w:name w:val="Peggy Ho"/>
    <w:basedOn w:val="DefaultParagraphFont"/>
    <w:semiHidden/>
    <w:qFormat/>
  </w:style>
  <w:style w:type="paragraph" w:customStyle="1" w:styleId="TextBullet">
    <w:name w:val="TextBullet"/>
    <w:basedOn w:val="Normal"/>
    <w:qFormat/>
    <w:pPr>
      <w:numPr>
        <w:numId w:val="4"/>
      </w:numPr>
      <w:tabs>
        <w:tab w:val="clear" w:pos="567"/>
      </w:tabs>
      <w:suppressAutoHyphens/>
      <w:spacing w:after="100" w:line="340" w:lineRule="atLeast"/>
    </w:pPr>
    <w:rPr>
      <w:rFonts w:ascii="Arial" w:eastAsia="PMingLiU" w:hAnsi="Arial"/>
      <w:lang w:val="en-GB" w:eastAsia="en-US" w:bidi="ar-SA"/>
    </w:rPr>
  </w:style>
  <w:style w:type="character" w:customStyle="1" w:styleId="TextBulletChar">
    <w:name w:val="TextBullet Char"/>
    <w:qFormat/>
    <w:rPr>
      <w:rFonts w:ascii="Arial" w:hAnsi="Arial"/>
      <w:sz w:val="22"/>
      <w:lang w:val="en-GB" w:eastAsia="en-US"/>
    </w:rPr>
  </w:style>
  <w:style w:type="character" w:customStyle="1" w:styleId="SidhuvudChar1">
    <w:name w:val="Sidhuvud Char1"/>
    <w:qFormat/>
    <w:rPr>
      <w:rFonts w:ascii="Helvetica" w:hAnsi="Helvetica"/>
      <w:lang w:val="en-GB" w:eastAsia="en-US" w:bidi="ar-SA"/>
    </w:rPr>
  </w:style>
  <w:style w:type="paragraph" w:customStyle="1" w:styleId="Para">
    <w:name w:val="Para"/>
    <w:basedOn w:val="Normal"/>
    <w:next w:val="Normal"/>
    <w:qFormat/>
    <w:pPr>
      <w:tabs>
        <w:tab w:val="clear" w:pos="567"/>
      </w:tabs>
      <w:autoSpaceDE w:val="0"/>
      <w:autoSpaceDN w:val="0"/>
      <w:adjustRightInd w:val="0"/>
      <w:spacing w:line="240" w:lineRule="auto"/>
    </w:pPr>
    <w:rPr>
      <w:rFonts w:eastAsia="PMingLiU"/>
      <w:sz w:val="24"/>
      <w:szCs w:val="24"/>
      <w:lang w:val="en-US" w:eastAsia="en-US" w:bidi="ar-SA"/>
    </w:rPr>
  </w:style>
  <w:style w:type="paragraph" w:customStyle="1" w:styleId="SynopsisText">
    <w:name w:val="SynopsisText"/>
    <w:basedOn w:val="Text"/>
    <w:pPr>
      <w:tabs>
        <w:tab w:val="left" w:pos="1794"/>
      </w:tabs>
      <w:overflowPunct/>
      <w:autoSpaceDE/>
      <w:autoSpaceDN/>
      <w:adjustRightInd/>
      <w:spacing w:before="120" w:beforeAutospacing="0" w:after="120" w:afterAutospacing="0" w:line="240" w:lineRule="auto"/>
      <w:ind w:left="0"/>
      <w:textAlignment w:val="auto"/>
    </w:pPr>
    <w:rPr>
      <w:rFonts w:cs="Times New Roman"/>
      <w:bCs w:val="0"/>
      <w:color w:val="000000"/>
      <w:szCs w:val="20"/>
    </w:rPr>
  </w:style>
  <w:style w:type="paragraph" w:customStyle="1" w:styleId="text0">
    <w:name w:val="text"/>
    <w:basedOn w:val="Normal"/>
    <w:qFormat/>
    <w:pPr>
      <w:tabs>
        <w:tab w:val="clear" w:pos="567"/>
      </w:tabs>
      <w:overflowPunct w:val="0"/>
      <w:autoSpaceDE w:val="0"/>
      <w:autoSpaceDN w:val="0"/>
      <w:spacing w:before="100" w:beforeAutospacing="1" w:after="100" w:afterAutospacing="1" w:line="360" w:lineRule="auto"/>
      <w:ind w:left="56"/>
    </w:pPr>
    <w:rPr>
      <w:rFonts w:ascii="Arial" w:eastAsia="PMingLiU" w:hAnsi="Arial" w:cs="Arial"/>
      <w:color w:val="0000FF"/>
      <w:sz w:val="20"/>
      <w:lang w:val="en-US" w:eastAsia="en-US" w:bidi="ar-SA"/>
    </w:rPr>
  </w:style>
  <w:style w:type="character" w:customStyle="1" w:styleId="emailstyle18">
    <w:name w:val="emailstyle18"/>
    <w:semiHidden/>
    <w:qFormat/>
    <w:rPr>
      <w:rFonts w:ascii="Arial" w:hAnsi="Arial" w:cs="Arial" w:hint="default"/>
      <w:color w:val="auto"/>
      <w:sz w:val="20"/>
      <w:szCs w:val="20"/>
    </w:rPr>
  </w:style>
  <w:style w:type="paragraph" w:customStyle="1" w:styleId="synopsistext0">
    <w:name w:val="synopsistext"/>
    <w:basedOn w:val="Normal"/>
    <w:qFormat/>
    <w:pPr>
      <w:tabs>
        <w:tab w:val="clear" w:pos="567"/>
      </w:tabs>
      <w:spacing w:before="120" w:after="120" w:line="240" w:lineRule="auto"/>
    </w:pPr>
    <w:rPr>
      <w:rFonts w:ascii="Arial" w:eastAsia="MS Mincho" w:hAnsi="Arial" w:cs="Arial"/>
      <w:color w:val="000000"/>
      <w:sz w:val="20"/>
      <w:lang w:val="en-GB" w:eastAsia="ja-JP" w:bidi="ar-SA"/>
    </w:rPr>
  </w:style>
  <w:style w:type="paragraph" w:customStyle="1" w:styleId="lblhead1">
    <w:name w:val="lblhead1"/>
    <w:basedOn w:val="lbltxt"/>
    <w:qFormat/>
    <w:pPr>
      <w:keepNext/>
      <w:ind w:left="567" w:hanging="567"/>
    </w:pPr>
    <w:rPr>
      <w:b/>
      <w:caps/>
    </w:rPr>
  </w:style>
  <w:style w:type="paragraph" w:customStyle="1" w:styleId="TableCenterBold">
    <w:name w:val="TableCenterBold"/>
    <w:basedOn w:val="Normal"/>
    <w:qFormat/>
    <w:pPr>
      <w:tabs>
        <w:tab w:val="clear" w:pos="567"/>
      </w:tabs>
      <w:suppressAutoHyphens/>
      <w:spacing w:before="60" w:line="240" w:lineRule="exact"/>
      <w:jc w:val="center"/>
    </w:pPr>
    <w:rPr>
      <w:rFonts w:eastAsia="PMingLiU"/>
      <w:b/>
      <w:sz w:val="24"/>
      <w:szCs w:val="24"/>
      <w:lang w:val="en-US" w:eastAsia="en-US" w:bidi="ar-SA"/>
    </w:rPr>
  </w:style>
  <w:style w:type="paragraph" w:customStyle="1" w:styleId="lblbullet">
    <w:name w:val="lblbullet"/>
    <w:basedOn w:val="Normal"/>
    <w:qFormat/>
    <w:pPr>
      <w:spacing w:line="240" w:lineRule="auto"/>
      <w:ind w:left="567" w:hanging="567"/>
    </w:pPr>
    <w:rPr>
      <w:rFonts w:eastAsia="PMingLiU"/>
      <w:lang w:val="en-GB" w:eastAsia="en-US" w:bidi="ar-SA"/>
    </w:rPr>
  </w:style>
  <w:style w:type="paragraph" w:customStyle="1" w:styleId="Ballongtext1">
    <w:name w:val="Ballongtext1"/>
    <w:basedOn w:val="Normal"/>
    <w:semiHidden/>
    <w:qFormat/>
    <w:rPr>
      <w:rFonts w:ascii="Tahoma" w:eastAsia="PMingLiU" w:hAnsi="Tahoma" w:cs="Tahoma"/>
      <w:sz w:val="16"/>
      <w:szCs w:val="16"/>
      <w:lang w:val="en-GB" w:eastAsia="en-US" w:bidi="ar-SA"/>
    </w:rPr>
  </w:style>
  <w:style w:type="paragraph" w:customStyle="1" w:styleId="Kommentarsmne1">
    <w:name w:val="Kommentarsämne1"/>
    <w:basedOn w:val="CommentText"/>
    <w:next w:val="CommentText"/>
    <w:semiHidden/>
    <w:qFormat/>
    <w:pPr>
      <w:spacing w:line="260" w:lineRule="exact"/>
    </w:pPr>
    <w:rPr>
      <w:rFonts w:eastAsia="PMingLiU"/>
      <w:b/>
      <w:bCs/>
      <w:lang w:val="en-GB" w:eastAsia="en-US" w:bidi="ar-SA"/>
    </w:rPr>
  </w:style>
  <w:style w:type="character" w:customStyle="1" w:styleId="SidhuvudChar">
    <w:name w:val="Sidhuvud Char"/>
    <w:qFormat/>
    <w:rPr>
      <w:rFonts w:ascii="Helvetica" w:hAnsi="Helvetica"/>
      <w:lang w:val="en-GB" w:eastAsia="en-US" w:bidi="ar-SA"/>
    </w:rPr>
  </w:style>
  <w:style w:type="paragraph" w:customStyle="1" w:styleId="TableLeftAlign">
    <w:name w:val="TableLeftAlign"/>
    <w:basedOn w:val="Normal"/>
    <w:uiPriority w:val="99"/>
    <w:qFormat/>
    <w:pPr>
      <w:tabs>
        <w:tab w:val="clear" w:pos="567"/>
      </w:tabs>
      <w:suppressAutoHyphens/>
      <w:spacing w:before="60" w:after="60" w:line="240" w:lineRule="exact"/>
    </w:pPr>
    <w:rPr>
      <w:rFonts w:ascii="Arial" w:eastAsia="PMingLiU" w:hAnsi="Arial"/>
      <w:sz w:val="20"/>
      <w:lang w:val="en-GB" w:eastAsia="en-US" w:bidi="ar-SA"/>
    </w:rPr>
  </w:style>
  <w:style w:type="paragraph" w:customStyle="1" w:styleId="Liststycke1">
    <w:name w:val="Liststycke1"/>
    <w:basedOn w:val="Normal"/>
    <w:qFormat/>
    <w:pPr>
      <w:ind w:left="1304"/>
    </w:pPr>
    <w:rPr>
      <w:rFonts w:eastAsia="PMingLiU"/>
      <w:lang w:val="en-GB" w:eastAsia="en-US" w:bidi="ar-SA"/>
    </w:rPr>
  </w:style>
  <w:style w:type="paragraph" w:customStyle="1" w:styleId="Ballongtext2">
    <w:name w:val="Ballongtext2"/>
    <w:basedOn w:val="Normal"/>
    <w:semiHidden/>
    <w:qFormat/>
    <w:rPr>
      <w:rFonts w:ascii="Tahoma" w:eastAsia="PMingLiU" w:hAnsi="Tahoma" w:cs="Tahoma"/>
      <w:sz w:val="16"/>
      <w:szCs w:val="16"/>
      <w:lang w:val="en-GB" w:eastAsia="en-US" w:bidi="ar-SA"/>
    </w:rPr>
  </w:style>
  <w:style w:type="paragraph" w:customStyle="1" w:styleId="Kommentarsmne2">
    <w:name w:val="Kommentarsämne2"/>
    <w:basedOn w:val="CommentText"/>
    <w:next w:val="CommentText"/>
    <w:semiHidden/>
    <w:qFormat/>
    <w:pPr>
      <w:spacing w:line="260" w:lineRule="exact"/>
    </w:pPr>
    <w:rPr>
      <w:rFonts w:eastAsia="PMingLiU"/>
      <w:b/>
      <w:bCs/>
      <w:lang w:val="en-GB" w:eastAsia="en-US" w:bidi="ar-SA"/>
    </w:rPr>
  </w:style>
  <w:style w:type="character" w:customStyle="1" w:styleId="BeskrivningChar">
    <w:name w:val="Beskrivning Char"/>
    <w:qFormat/>
    <w:rPr>
      <w:rFonts w:ascii="Arial" w:hAnsi="Arial"/>
      <w:b/>
      <w:sz w:val="22"/>
      <w:lang w:val="en-GB" w:eastAsia="en-US"/>
    </w:rPr>
  </w:style>
  <w:style w:type="character" w:customStyle="1" w:styleId="z3988">
    <w:name w:val="z3988"/>
    <w:basedOn w:val="DefaultParagraphFont"/>
    <w:qFormat/>
  </w:style>
  <w:style w:type="character" w:customStyle="1" w:styleId="SidhuvudChar2">
    <w:name w:val="Sidhuvud Char2"/>
    <w:qFormat/>
    <w:rPr>
      <w:rFonts w:ascii="Helvetica" w:hAnsi="Helvetica"/>
      <w:lang w:val="en-GB" w:eastAsia="en-US" w:bidi="ar-SA"/>
    </w:rPr>
  </w:style>
  <w:style w:type="character" w:customStyle="1" w:styleId="DateChar">
    <w:name w:val="Date Char"/>
    <w:link w:val="Date"/>
    <w:qFormat/>
    <w:rPr>
      <w:rFonts w:ascii="Times New Roman" w:eastAsia="PMingLiU" w:hAnsi="Times New Roman"/>
      <w:szCs w:val="20"/>
      <w:lang w:val="en-GB" w:eastAsia="en-US"/>
    </w:rPr>
  </w:style>
  <w:style w:type="paragraph" w:customStyle="1" w:styleId="TextItalicized">
    <w:name w:val="Text Italicized"/>
    <w:basedOn w:val="Normal"/>
    <w:link w:val="TextItalicizedChar"/>
    <w:qFormat/>
    <w:pPr>
      <w:tabs>
        <w:tab w:val="clear" w:pos="567"/>
      </w:tabs>
      <w:spacing w:line="240" w:lineRule="auto"/>
    </w:pPr>
    <w:rPr>
      <w:rFonts w:eastAsia="MS Mincho"/>
      <w:i/>
      <w:iCs/>
      <w:color w:val="000000"/>
      <w:sz w:val="24"/>
      <w:szCs w:val="24"/>
      <w:lang w:eastAsia="ja-JP" w:bidi="ar-SA"/>
    </w:rPr>
  </w:style>
  <w:style w:type="character" w:customStyle="1" w:styleId="TextItalicizedChar">
    <w:name w:val="Text Italicized Char"/>
    <w:link w:val="TextItalicized"/>
    <w:qFormat/>
    <w:rPr>
      <w:rFonts w:ascii="Times New Roman" w:eastAsia="MS Mincho" w:hAnsi="Times New Roman"/>
      <w:i/>
      <w:iCs/>
      <w:color w:val="000000"/>
      <w:sz w:val="24"/>
      <w:szCs w:val="24"/>
    </w:rPr>
  </w:style>
  <w:style w:type="table" w:customStyle="1" w:styleId="TableGrid23">
    <w:name w:val="Table Grid23"/>
    <w:basedOn w:val="TableNormal"/>
    <w:uiPriority w:val="59"/>
    <w:qFormat/>
    <w:rPr>
      <w:rFonts w:ascii="Times New Roman" w:eastAsia="PMingLiU" w:hAnsi="Times New Roman"/>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Page">
    <w:name w:val="CoverPage"/>
    <w:basedOn w:val="Normal"/>
    <w:qFormat/>
    <w:pPr>
      <w:keepNext/>
      <w:keepLines/>
      <w:tabs>
        <w:tab w:val="clear" w:pos="567"/>
      </w:tabs>
      <w:suppressAutoHyphens/>
      <w:spacing w:before="400" w:after="400" w:line="240" w:lineRule="auto"/>
      <w:jc w:val="center"/>
    </w:pPr>
    <w:rPr>
      <w:rFonts w:ascii="Arial" w:eastAsia="PMingLiU" w:hAnsi="Arial"/>
      <w:b/>
      <w:sz w:val="24"/>
      <w:lang w:val="en-US" w:eastAsia="en-US" w:bidi="ar-SA"/>
    </w:rPr>
  </w:style>
  <w:style w:type="table" w:customStyle="1" w:styleId="TablegridAgencyblack1">
    <w:name w:val="Table grid (Agency) black1"/>
    <w:basedOn w:val="TableNormal"/>
    <w:semiHidden/>
    <w:qFormat/>
    <w:rPr>
      <w:rFonts w:ascii="Times New Roman" w:eastAsia="SimSun" w:hAnsi="Times New Roman"/>
      <w:sz w:val="18"/>
      <w:lang w:val="pl-PL" w:eastAsia="pl-PL"/>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MingLiU_HKSCS-ExtB" w:hAnsi="MingLiU_HKSCS-ExtB"/>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CM1">
    <w:name w:val="CM1"/>
    <w:basedOn w:val="Default"/>
    <w:next w:val="Default"/>
    <w:uiPriority w:val="99"/>
    <w:qFormat/>
    <w:rPr>
      <w:rFonts w:ascii="EUAlbertina" w:eastAsia="PMingLiU" w:hAnsi="EUAlbertina"/>
      <w:color w:val="auto"/>
      <w:lang w:eastAsia="en-GB"/>
    </w:rPr>
  </w:style>
  <w:style w:type="paragraph" w:customStyle="1" w:styleId="CM3">
    <w:name w:val="CM3"/>
    <w:basedOn w:val="Default"/>
    <w:next w:val="Default"/>
    <w:uiPriority w:val="99"/>
    <w:qFormat/>
    <w:rPr>
      <w:rFonts w:ascii="EUAlbertina" w:eastAsia="PMingLiU" w:hAnsi="EUAlbertina"/>
      <w:color w:val="auto"/>
      <w:lang w:eastAsia="en-GB"/>
    </w:rPr>
  </w:style>
  <w:style w:type="paragraph" w:customStyle="1" w:styleId="CM4">
    <w:name w:val="CM4"/>
    <w:basedOn w:val="Default"/>
    <w:next w:val="Default"/>
    <w:uiPriority w:val="99"/>
    <w:qFormat/>
    <w:rPr>
      <w:rFonts w:ascii="EUAlbertina" w:eastAsia="PMingLiU" w:hAnsi="EUAlbertina"/>
      <w:color w:val="auto"/>
      <w:lang w:eastAsia="en-GB"/>
    </w:rPr>
  </w:style>
  <w:style w:type="character" w:customStyle="1" w:styleId="glossary-term">
    <w:name w:val="glossary-term"/>
    <w:qFormat/>
  </w:style>
  <w:style w:type="character" w:customStyle="1" w:styleId="st1">
    <w:name w:val="st1"/>
    <w:qFormat/>
  </w:style>
  <w:style w:type="paragraph" w:customStyle="1" w:styleId="gtctabletitleotherwise">
    <w:name w:val="gtctabletitleotherwise"/>
    <w:basedOn w:val="Normal"/>
    <w:qFormat/>
    <w:pPr>
      <w:tabs>
        <w:tab w:val="clear" w:pos="567"/>
      </w:tabs>
      <w:spacing w:before="120" w:line="240" w:lineRule="auto"/>
      <w:jc w:val="center"/>
    </w:pPr>
    <w:rPr>
      <w:b/>
      <w:bCs/>
      <w:sz w:val="24"/>
      <w:szCs w:val="24"/>
      <w:lang w:val="en-US" w:eastAsia="en-US" w:bidi="ar-SA"/>
    </w:rPr>
  </w:style>
  <w:style w:type="paragraph" w:customStyle="1" w:styleId="EMEAHeadingUnderline">
    <w:name w:val="EMEA Heading Underline"/>
    <w:next w:val="EMEANormal"/>
    <w:qFormat/>
    <w:pPr>
      <w:tabs>
        <w:tab w:val="left" w:pos="562"/>
      </w:tabs>
      <w:suppressAutoHyphens/>
      <w:spacing w:beforeLines="100" w:afterLines="100"/>
    </w:pPr>
    <w:rPr>
      <w:rFonts w:ascii="Times New Roman" w:eastAsia="Times New Roman" w:hAnsi="Times New Roman"/>
      <w:sz w:val="22"/>
      <w:u w:val="single"/>
      <w:lang w:val="en-US" w:eastAsia="en-US"/>
    </w:rPr>
  </w:style>
  <w:style w:type="table" w:customStyle="1" w:styleId="TableGrid110">
    <w:name w:val="Table Grid110"/>
    <w:basedOn w:val="TableNormal"/>
    <w:qFormat/>
    <w:pPr>
      <w:tabs>
        <w:tab w:val="left" w:pos="562"/>
      </w:tabs>
      <w:suppressAutoHyphens/>
    </w:pPr>
    <w:rPr>
      <w:rFonts w:ascii="Times New Roman" w:eastAsia="Times New Roman" w:hAnsi="Times New Roman"/>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tcbodytext">
    <w:name w:val="gtcbodytext"/>
    <w:basedOn w:val="Normal"/>
    <w:qFormat/>
    <w:pPr>
      <w:tabs>
        <w:tab w:val="clear" w:pos="567"/>
      </w:tabs>
      <w:spacing w:before="240" w:after="240" w:line="300" w:lineRule="auto"/>
    </w:pPr>
    <w:rPr>
      <w:sz w:val="24"/>
      <w:szCs w:val="24"/>
      <w:lang w:val="en-US" w:eastAsia="en-US" w:bidi="ar-SA"/>
    </w:rPr>
  </w:style>
  <w:style w:type="paragraph" w:customStyle="1" w:styleId="ARROWBULLETED">
    <w:name w:val="ARROW BULLETED"/>
    <w:basedOn w:val="ListParagraph"/>
    <w:qFormat/>
    <w:pPr>
      <w:widowControl w:val="0"/>
      <w:numPr>
        <w:numId w:val="5"/>
      </w:numPr>
      <w:tabs>
        <w:tab w:val="clear" w:pos="567"/>
        <w:tab w:val="left" w:pos="828"/>
      </w:tabs>
      <w:suppressAutoHyphens/>
      <w:autoSpaceDE w:val="0"/>
      <w:autoSpaceDN w:val="0"/>
      <w:adjustRightInd w:val="0"/>
      <w:spacing w:before="90" w:line="250" w:lineRule="atLeast"/>
    </w:pPr>
    <w:rPr>
      <w:bCs/>
      <w:color w:val="000000"/>
      <w:spacing w:val="-2"/>
      <w:sz w:val="20"/>
      <w:szCs w:val="24"/>
      <w:lang w:val="en-US" w:eastAsia="ja-JP" w:bidi="ar-SA"/>
    </w:rPr>
  </w:style>
  <w:style w:type="paragraph" w:customStyle="1" w:styleId="ListBullets">
    <w:name w:val="List Bullets"/>
    <w:basedOn w:val="Normal"/>
    <w:qFormat/>
    <w:pPr>
      <w:numPr>
        <w:numId w:val="6"/>
      </w:numPr>
      <w:tabs>
        <w:tab w:val="clear" w:pos="567"/>
      </w:tabs>
      <w:autoSpaceDE w:val="0"/>
      <w:autoSpaceDN w:val="0"/>
      <w:adjustRightInd w:val="0"/>
      <w:spacing w:after="120" w:line="240" w:lineRule="auto"/>
      <w:contextualSpacing/>
    </w:pPr>
    <w:rPr>
      <w:rFonts w:eastAsia="Cambria" w:cs="Arial"/>
      <w:sz w:val="20"/>
      <w:szCs w:val="24"/>
      <w:lang w:val="en-US" w:eastAsia="en-GB" w:bidi="ar-SA"/>
    </w:rPr>
  </w:style>
  <w:style w:type="paragraph" w:customStyle="1" w:styleId="ListBulletsIndent">
    <w:name w:val="List Bullets Indent"/>
    <w:basedOn w:val="ListBullets"/>
    <w:qFormat/>
    <w:pPr>
      <w:numPr>
        <w:ilvl w:val="1"/>
      </w:numPr>
      <w:tabs>
        <w:tab w:val="left" w:pos="360"/>
      </w:tabs>
    </w:pPr>
  </w:style>
  <w:style w:type="character" w:customStyle="1" w:styleId="TitleChar">
    <w:name w:val="Title Char"/>
    <w:link w:val="Title"/>
    <w:qFormat/>
    <w:rPr>
      <w:rFonts w:ascii="Calibri Light" w:eastAsia="Malgun Gothic" w:hAnsi="Calibri Light" w:cs="Times New Roman"/>
      <w:spacing w:val="-10"/>
      <w:kern w:val="28"/>
      <w:sz w:val="56"/>
      <w:szCs w:val="56"/>
      <w:lang w:val="en-GB" w:eastAsia="en-US"/>
    </w:rPr>
  </w:style>
  <w:style w:type="character" w:customStyle="1" w:styleId="UnresolvedMention1">
    <w:name w:val="Unresolved Mention1"/>
    <w:uiPriority w:val="99"/>
    <w:semiHidden/>
    <w:unhideWhenUsed/>
    <w:qFormat/>
    <w:rPr>
      <w:color w:val="605E5C"/>
      <w:shd w:val="clear" w:color="auto" w:fill="E1DFDD"/>
    </w:rPr>
  </w:style>
  <w:style w:type="character" w:customStyle="1" w:styleId="ui-provider">
    <w:name w:val="ui-provider"/>
    <w:qFormat/>
  </w:style>
  <w:style w:type="paragraph" w:styleId="Revision">
    <w:name w:val="Revision"/>
    <w:hidden/>
    <w:uiPriority w:val="99"/>
    <w:unhideWhenUsed/>
    <w:rsid w:val="000C7221"/>
    <w:rPr>
      <w:rFonts w:ascii="Times New Roman" w:eastAsia="Times New Roman" w:hAnsi="Times New Roman"/>
      <w:sz w:val="22"/>
      <w:lang w:bidi="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www.ema.europa.eu/en/documents/template-form/qrd-appendix-v-adverse-drug-reaction-reporting-details_en.docx"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customXml" Target="../customXml/item7.xml"/><Relationship Id="rId16" Type="http://schemas.openxmlformats.org/officeDocument/2006/relationships/image" Target="media/image4.png"/><Relationship Id="rId107" Type="http://schemas.microsoft.com/office/2011/relationships/people" Target="people.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hyperlink" Target="http://www.ema.europa.eu/" TargetMode="External"/><Relationship Id="rId74" Type="http://schemas.openxmlformats.org/officeDocument/2006/relationships/image" Target="media/image52.jpeg"/><Relationship Id="rId79" Type="http://schemas.openxmlformats.org/officeDocument/2006/relationships/hyperlink" Target="http://www.ema.europa.eu/" TargetMode="External"/><Relationship Id="rId102" Type="http://schemas.openxmlformats.org/officeDocument/2006/relationships/image" Target="media/image76.jpeg"/><Relationship Id="rId5" Type="http://schemas.openxmlformats.org/officeDocument/2006/relationships/styles" Target="styles.xml"/><Relationship Id="rId90" Type="http://schemas.openxmlformats.org/officeDocument/2006/relationships/image" Target="media/image66.jpeg"/><Relationship Id="rId95" Type="http://schemas.openxmlformats.org/officeDocument/2006/relationships/image" Target="media/image69.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footer" Target="footer1.xml"/><Relationship Id="rId108" Type="http://schemas.openxmlformats.org/officeDocument/2006/relationships/theme" Target="theme/theme1.xml"/><Relationship Id="rId54" Type="http://schemas.openxmlformats.org/officeDocument/2006/relationships/image" Target="media/image34.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7.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www.ema.europa.eu/"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s://www.ema.europa.eu/en/documents/template-form/qrd-appendix-v-adverse-drug-reaction-reporting-details_en.docx" TargetMode="External"/><Relationship Id="rId106" Type="http://schemas.openxmlformats.org/officeDocument/2006/relationships/fontTable" Target="fontTable.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yperlink" Target="https://www.ema.europa.eu/en/documents/template-form/qrd-appendix-v-adverse-drug-reaction-reporting-details_en.docx"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hyperlink" Target="http://www.ema.europa.eu/" TargetMode="External"/><Relationship Id="rId99" Type="http://schemas.openxmlformats.org/officeDocument/2006/relationships/image" Target="media/image73.jpeg"/><Relationship Id="rId101" Type="http://schemas.openxmlformats.org/officeDocument/2006/relationships/image" Target="media/image75.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1.jpeg"/><Relationship Id="rId109" Type="http://schemas.openxmlformats.org/officeDocument/2006/relationships/customXml" Target="../customXml/item4.xm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s://www.ema.europa.eu/en/documents/template-form/qrd-appendix-v-adverse-drug-reaction-reporting-details_en.docx" TargetMode="External"/><Relationship Id="rId40" Type="http://schemas.openxmlformats.org/officeDocument/2006/relationships/hyperlink" Target="https://www.ema.europa.eu/en/documents/template-form/qrd-appendix-v-adverse-drug-reaction-reporting-details_en.docx"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110" Type="http://schemas.openxmlformats.org/officeDocument/2006/relationships/customXml" Target="../customXml/item5.xml"/><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image" Target="media/image55.jpeg"/><Relationship Id="rId100" Type="http://schemas.openxmlformats.org/officeDocument/2006/relationships/image" Target="media/image74.jpeg"/><Relationship Id="rId105" Type="http://schemas.openxmlformats.org/officeDocument/2006/relationships/footer" Target="footer3.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hyperlink" Target="https://www.ema.europa.eu/en/documents/template-form/qrd-appendix-v-adverse-drug-reaction-reporting-details_en.docx" TargetMode="External"/><Relationship Id="rId98" Type="http://schemas.openxmlformats.org/officeDocument/2006/relationships/image" Target="media/image72.jpeg"/><Relationship Id="rId3" Type="http://schemas.openxmlformats.org/officeDocument/2006/relationships/customXml" Target="../customXml/item3.xml"/><Relationship Id="rId25" Type="http://schemas.openxmlformats.org/officeDocument/2006/relationships/hyperlink" Target="http://www.ema.europa.eu/" TargetMode="External"/><Relationship Id="rId46" Type="http://schemas.openxmlformats.org/officeDocument/2006/relationships/image" Target="media/image26.jpeg"/><Relationship Id="rId67" Type="http://schemas.openxmlformats.org/officeDocument/2006/relationships/image" Target="media/image45.jpeg"/><Relationship Id="rId20" Type="http://schemas.openxmlformats.org/officeDocument/2006/relationships/hyperlink" Target="http://www.ema.europa.eu" TargetMode="External"/><Relationship Id="rId41" Type="http://schemas.openxmlformats.org/officeDocument/2006/relationships/hyperlink" Target="http://www.ema.europa.eu" TargetMode="External"/><Relationship Id="rId62" Type="http://schemas.openxmlformats.org/officeDocument/2006/relationships/image" Target="media/image40.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customXml" Target="../customXml/item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EMADOC-1700519818-2905915</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https://euema.sharepoint.com/sites/CRM/_layouts/15/DocIdRedir.aspx?ID=EMADOC-1700519818-2905915</Url>
      <Description>EMADOC-1700519818-2905915</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0CDD0A-E2BD-4E62-8C36-FF5A2BB71FDD}">
  <ds:schemaRefs>
    <ds:schemaRef ds:uri="http://schemas.openxmlformats.org/officeDocument/2006/bibliography"/>
  </ds:schemaRefs>
</ds:datastoreItem>
</file>

<file path=customXml/itemProps3.xml><?xml version="1.0" encoding="utf-8"?>
<ds:datastoreItem xmlns:ds="http://schemas.openxmlformats.org/officeDocument/2006/customXml" ds:itemID="{ECA05ADE-6098-49E2-98C5-5DF316DD1351}">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39BDEE68-4F11-4958-B098-959A7D2B5A28}"/>
</file>

<file path=customXml/itemProps5.xml><?xml version="1.0" encoding="utf-8"?>
<ds:datastoreItem xmlns:ds="http://schemas.openxmlformats.org/officeDocument/2006/customXml" ds:itemID="{4AD4A464-2437-4219-B9BD-611CB5483316}"/>
</file>

<file path=customXml/itemProps6.xml><?xml version="1.0" encoding="utf-8"?>
<ds:datastoreItem xmlns:ds="http://schemas.openxmlformats.org/officeDocument/2006/customXml" ds:itemID="{559FB847-4DC2-43E7-88E9-DA337467F102}"/>
</file>

<file path=customXml/itemProps7.xml><?xml version="1.0" encoding="utf-8"?>
<ds:datastoreItem xmlns:ds="http://schemas.openxmlformats.org/officeDocument/2006/customXml" ds:itemID="{7AC386EF-84AF-472C-A7F2-D2521AE76E7B}"/>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93829</Words>
  <Characters>530627</Characters>
  <Application>Microsoft Office Word</Application>
  <DocSecurity>0</DocSecurity>
  <Lines>16704</Lines>
  <Paragraphs>7514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2026-04-22T16:34:00Z</dcterms:created>
  <dcterms:modified xsi:type="dcterms:W3CDTF">2026-04-22T16:35:00Z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3f690344,1b020a7,2f3ea38</vt:lpwstr>
  </property>
  <property fmtid="{D5CDD505-2E9C-101B-9397-08002B2CF9AE}" pid="3" name="ClassificationContentMarkingFooterFontProps">
    <vt:lpwstr>#000000,10,Aptos</vt:lpwstr>
  </property>
  <property fmtid="{D5CDD505-2E9C-101B-9397-08002B2CF9AE}" pid="4" name="ClassificationContentMarkingFooterText">
    <vt:lpwstr>Internal Use Only Ethics and Compliance</vt:lpwstr>
  </property>
  <property fmtid="{D5CDD505-2E9C-101B-9397-08002B2CF9AE}" pid="5" name="MSIP_Label_cf513a46-b961-46d6-9006-1e87d5eb3e82_Enabled">
    <vt:lpwstr>true</vt:lpwstr>
  </property>
  <property fmtid="{D5CDD505-2E9C-101B-9397-08002B2CF9AE}" pid="6" name="MSIP_Label_cf513a46-b961-46d6-9006-1e87d5eb3e82_SetDate">
    <vt:lpwstr>2026-04-22T16:34:28Z</vt:lpwstr>
  </property>
  <property fmtid="{D5CDD505-2E9C-101B-9397-08002B2CF9AE}" pid="7" name="MSIP_Label_cf513a46-b961-46d6-9006-1e87d5eb3e82_Method">
    <vt:lpwstr>Privileged</vt:lpwstr>
  </property>
  <property fmtid="{D5CDD505-2E9C-101B-9397-08002B2CF9AE}" pid="8" name="MSIP_Label_cf513a46-b961-46d6-9006-1e87d5eb3e82_Name">
    <vt:lpwstr>Internal Use Only Ethics and Compliance</vt:lpwstr>
  </property>
  <property fmtid="{D5CDD505-2E9C-101B-9397-08002B2CF9AE}" pid="9" name="MSIP_Label_cf513a46-b961-46d6-9006-1e87d5eb3e82_SiteId">
    <vt:lpwstr>4b4266a6-1368-41af-ad5a-59eb634f7ad8</vt:lpwstr>
  </property>
  <property fmtid="{D5CDD505-2E9C-101B-9397-08002B2CF9AE}" pid="10" name="MSIP_Label_cf513a46-b961-46d6-9006-1e87d5eb3e82_ActionId">
    <vt:lpwstr>3ddb000f-e44b-4bf4-aa93-3a908c40bba3</vt:lpwstr>
  </property>
  <property fmtid="{D5CDD505-2E9C-101B-9397-08002B2CF9AE}" pid="11" name="MSIP_Label_cf513a46-b961-46d6-9006-1e87d5eb3e82_ContentBits">
    <vt:lpwstr>2</vt:lpwstr>
  </property>
  <property fmtid="{D5CDD505-2E9C-101B-9397-08002B2CF9AE}" pid="12" name="MSIP_Label_cf513a46-b961-46d6-9006-1e87d5eb3e82_Tag">
    <vt:lpwstr>10, 0, 1, 1</vt:lpwstr>
  </property>
  <property fmtid="{D5CDD505-2E9C-101B-9397-08002B2CF9AE}" pid="13" name="ContentTypeId">
    <vt:lpwstr>0x0101000DA6AD19014FF648A49316945EE786F90200176DED4FF78CD74995F64A0F46B59E48</vt:lpwstr>
  </property>
  <property fmtid="{D5CDD505-2E9C-101B-9397-08002B2CF9AE}" pid="14" name="_dlc_DocIdItemGuid">
    <vt:lpwstr>fa34660a-9fe8-427c-bbf0-bb379e4b99d8</vt:lpwstr>
  </property>
</Properties>
</file>